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1DC01" w14:textId="5F5EB9C8" w:rsidR="00073F8F" w:rsidRPr="001B4A02" w:rsidRDefault="00000000" w:rsidP="00ED48A3">
      <w:pPr>
        <w:shd w:val="clear" w:color="auto" w:fill="FFFFFF"/>
      </w:pPr>
      <w:r w:rsidRPr="00AD2B60">
        <w:rPr>
          <w:b/>
          <w:noProof/>
          <w:szCs w:val="22"/>
        </w:rPr>
        <mc:AlternateContent>
          <mc:Choice Requires="wps">
            <w:drawing>
              <wp:anchor distT="0" distB="0" distL="114300" distR="114300" simplePos="0" relativeHeight="251668480" behindDoc="0" locked="0" layoutInCell="1" allowOverlap="1" wp14:anchorId="3D1BD5B5" wp14:editId="6FE265FB">
                <wp:simplePos x="0" y="0"/>
                <wp:positionH relativeFrom="margin">
                  <wp:align>left</wp:align>
                </wp:positionH>
                <wp:positionV relativeFrom="paragraph">
                  <wp:posOffset>0</wp:posOffset>
                </wp:positionV>
                <wp:extent cx="5772150" cy="1404620"/>
                <wp:effectExtent l="0" t="0" r="1905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rgbClr val="FFFFFF"/>
                        </a:solidFill>
                        <a:ln w="9525">
                          <a:solidFill>
                            <a:srgbClr val="000000"/>
                          </a:solidFill>
                          <a:miter lim="800000"/>
                          <a:headEnd/>
                          <a:tailEnd/>
                        </a:ln>
                      </wps:spPr>
                      <wps:txbx>
                        <w:txbxContent>
                          <w:p w14:paraId="1CA1EDCA" w14:textId="77777777" w:rsidR="00607B73" w:rsidRDefault="00000000" w:rsidP="00607B73">
                            <w:pPr>
                              <w:ind w:left="0" w:firstLine="0"/>
                            </w:pPr>
                            <w:r w:rsidRPr="00220238">
                              <w:t xml:space="preserve">Tento dokument představuje schválené informace o přípravku </w:t>
                            </w:r>
                            <w:r>
                              <w:t>Humira</w:t>
                            </w:r>
                            <w:r w:rsidRPr="00AD2B60">
                              <w:t xml:space="preserve"> </w:t>
                            </w:r>
                            <w:r w:rsidRPr="00220238">
                              <w:t>se změnami v textech, které byly provedeny od předchozí procedury s dopadem do informací o přípravku</w:t>
                            </w:r>
                            <w:r w:rsidRPr="00AD2B60">
                              <w:t xml:space="preserve"> (</w:t>
                            </w:r>
                            <w:r w:rsidRPr="00EA5277">
                              <w:t>EMA/N/0000249136</w:t>
                            </w:r>
                            <w:r w:rsidRPr="00AD2B60">
                              <w:t xml:space="preserve">) </w:t>
                            </w:r>
                            <w:r w:rsidRPr="00220238">
                              <w:t>a které jsou vyznačeny revizemi.</w:t>
                            </w:r>
                          </w:p>
                          <w:p w14:paraId="0B2C0D97" w14:textId="77777777" w:rsidR="00607B73" w:rsidRDefault="00607B73" w:rsidP="00607B73"/>
                          <w:p w14:paraId="34121DF7" w14:textId="77777777" w:rsidR="00607B73" w:rsidRDefault="00000000" w:rsidP="00607B73">
                            <w:pPr>
                              <w:ind w:left="0" w:firstLine="0"/>
                            </w:pPr>
                            <w:r w:rsidRPr="00220238">
                              <w:t>Další informace k tomuto léčivému přípravku naleznete na webových stránkách Evropské agentury pro léčivé přípravky</w:t>
                            </w:r>
                            <w:r>
                              <w:t xml:space="preserve"> </w:t>
                            </w:r>
                          </w:p>
                          <w:p w14:paraId="36146AD7" w14:textId="77777777" w:rsidR="00607B73" w:rsidRDefault="00607B73" w:rsidP="00607B73">
                            <w:pPr>
                              <w:ind w:left="0" w:firstLine="0"/>
                            </w:pPr>
                            <w:hyperlink r:id="rId8" w:history="1">
                              <w:r w:rsidRPr="006B561F">
                                <w:rPr>
                                  <w:rStyle w:val="Hyperlink"/>
                                </w:rPr>
                                <w:t>https://www.ema.europa.eu/en/medicines/human/EPAR/Humira</w:t>
                              </w:r>
                            </w:hyperlink>
                          </w:p>
                        </w:txbxContent>
                      </wps:txbx>
                      <wps:bodyPr rot="0" vert="horz" wrap="square" lIns="91440" tIns="45720" rIns="91440" bIns="45720" anchor="t" anchorCtr="0">
                        <a:spAutoFit/>
                      </wps:bodyPr>
                    </wps:wsp>
                  </a:graphicData>
                </a:graphic>
              </wp:anchor>
            </w:drawing>
          </mc:Choice>
          <mc:Fallback>
            <w:pict>
              <v:shapetype w14:anchorId="3D1BD5B5" id="_x0000_t202" coordsize="21600,21600" o:spt="202" path="m,l,21600r21600,l21600,xe">
                <v:stroke joinstyle="miter"/>
                <v:path gradientshapeok="t" o:connecttype="rect"/>
              </v:shapetype>
              <v:shape id="Text Box 2" o:spid="_x0000_s1026" type="#_x0000_t202" style="position:absolute;left:0;text-align:left;margin-left:0;margin-top:0;width:454.5pt;height:110.6pt;z-index:2516684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">
                <v:textbox style="mso-fit-shape-to-text:t">
                  <w:txbxContent>
                    <w:p w14:paraId="1CA1EDCA" w14:textId="77777777" w:rsidR="00607B73" w:rsidRDefault="00000000" w:rsidP="00607B73">
                      <w:pPr>
                        <w:ind w:left="0" w:firstLine="0"/>
                      </w:pPr>
                      <w:r w:rsidRPr="00220238">
                        <w:t xml:space="preserve">Tento dokument představuje schválené informace o přípravku </w:t>
                      </w:r>
                      <w:r>
                        <w:t>Humira</w:t>
                      </w:r>
                      <w:r w:rsidRPr="00AD2B60">
                        <w:t xml:space="preserve"> </w:t>
                      </w:r>
                      <w:r w:rsidRPr="00220238">
                        <w:t>se změnami v textech, které byly provedeny od předchozí procedury s dopadem do informací o přípravku</w:t>
                      </w:r>
                      <w:r w:rsidRPr="00AD2B60">
                        <w:t xml:space="preserve"> (</w:t>
                      </w:r>
                      <w:r w:rsidRPr="00EA5277">
                        <w:t>EMA/N/0000249136</w:t>
                      </w:r>
                      <w:r w:rsidRPr="00AD2B60">
                        <w:t xml:space="preserve">) </w:t>
                      </w:r>
                      <w:r w:rsidRPr="00220238">
                        <w:t>a které jsou vyznačeny revizemi.</w:t>
                      </w:r>
                    </w:p>
                    <w:p w14:paraId="0B2C0D97" w14:textId="77777777" w:rsidR="00607B73" w:rsidRDefault="00607B73" w:rsidP="00607B73"/>
                    <w:p w14:paraId="34121DF7" w14:textId="77777777" w:rsidR="00607B73" w:rsidRDefault="00000000" w:rsidP="00607B73">
                      <w:pPr>
                        <w:ind w:left="0" w:firstLine="0"/>
                      </w:pPr>
                      <w:r w:rsidRPr="00220238">
                        <w:t>Další informace k tomuto léčivému přípravku naleznete na webových stránkách Evropské agentury pro léčivé přípravky</w:t>
                      </w:r>
                      <w:r>
                        <w:t xml:space="preserve"> </w:t>
                      </w:r>
                    </w:p>
                    <w:p w14:paraId="36146AD7" w14:textId="77777777" w:rsidR="00607B73" w:rsidRDefault="00607B73" w:rsidP="00607B73">
                      <w:pPr>
                        <w:ind w:left="0" w:firstLine="0"/>
                      </w:pPr>
                      <w:hyperlink r:id="rId9" w:history="1">
                        <w:r w:rsidRPr="006B561F">
                          <w:rPr>
                            <w:rStyle w:val="Hyperlink"/>
                          </w:rPr>
                          <w:t>https://www.ema.europa.eu/en/medicines/human/EPAR/Humira</w:t>
                        </w:r>
                      </w:hyperlink>
                    </w:p>
                  </w:txbxContent>
                </v:textbox>
                <w10:wrap type="square" anchorx="margin"/>
              </v:shape>
            </w:pict>
          </mc:Fallback>
        </mc:AlternateContent>
      </w:r>
    </w:p>
    <w:p w14:paraId="50121137" w14:textId="264FD302" w:rsidR="001D7017" w:rsidRPr="001B4A02" w:rsidRDefault="001D7017" w:rsidP="00ED48A3">
      <w:pPr>
        <w:shd w:val="clear" w:color="auto" w:fill="FFFFFF"/>
      </w:pPr>
    </w:p>
    <w:p w14:paraId="602B58AD" w14:textId="77777777" w:rsidR="00073F8F" w:rsidRPr="001B4A02" w:rsidRDefault="00073F8F" w:rsidP="00ED48A3"/>
    <w:p w14:paraId="79F5BBB0" w14:textId="77777777" w:rsidR="00073F8F" w:rsidRPr="001B4A02" w:rsidRDefault="00073F8F" w:rsidP="00ED48A3"/>
    <w:p w14:paraId="632E3CC8" w14:textId="77777777" w:rsidR="00073F8F" w:rsidRPr="001B4A02" w:rsidRDefault="00073F8F" w:rsidP="00ED48A3"/>
    <w:p w14:paraId="7FDEA995" w14:textId="77777777" w:rsidR="00073F8F" w:rsidRPr="001B4A02" w:rsidRDefault="00073F8F" w:rsidP="00ED48A3"/>
    <w:p w14:paraId="1C1CACAC" w14:textId="77777777" w:rsidR="00073F8F" w:rsidRPr="001B4A02" w:rsidRDefault="00073F8F" w:rsidP="00ED48A3">
      <w:pPr>
        <w:pStyle w:val="EndnoteText"/>
        <w:rPr>
          <w:lang w:val="cs-CZ"/>
        </w:rPr>
      </w:pPr>
    </w:p>
    <w:p w14:paraId="1318F98F" w14:textId="77777777" w:rsidR="00073F8F" w:rsidRPr="001B4A02" w:rsidRDefault="00073F8F" w:rsidP="00ED48A3"/>
    <w:p w14:paraId="402AA9D5" w14:textId="77777777" w:rsidR="00073F8F" w:rsidRPr="001B4A02" w:rsidRDefault="00073F8F" w:rsidP="00ED48A3"/>
    <w:p w14:paraId="3FC223C6" w14:textId="77777777" w:rsidR="00073F8F" w:rsidRPr="001B4A02" w:rsidRDefault="00073F8F" w:rsidP="00ED48A3">
      <w:pPr>
        <w:shd w:val="clear" w:color="auto" w:fill="FFFFFF"/>
      </w:pPr>
    </w:p>
    <w:p w14:paraId="15E34324" w14:textId="77777777" w:rsidR="00073F8F" w:rsidRPr="001B4A02" w:rsidRDefault="00073F8F" w:rsidP="00ED48A3"/>
    <w:p w14:paraId="4A93783F" w14:textId="77777777" w:rsidR="00073F8F" w:rsidRPr="001B4A02" w:rsidRDefault="00073F8F" w:rsidP="00ED48A3"/>
    <w:p w14:paraId="1678DD42" w14:textId="77777777" w:rsidR="00073F8F" w:rsidRPr="001B4A02" w:rsidRDefault="00073F8F" w:rsidP="00ED48A3"/>
    <w:p w14:paraId="35CCF4AF" w14:textId="77777777" w:rsidR="002C058E" w:rsidRPr="001B4A02" w:rsidRDefault="002C058E" w:rsidP="00ED48A3"/>
    <w:p w14:paraId="12D3B0E6" w14:textId="77777777" w:rsidR="00073F8F" w:rsidRPr="001B4A02" w:rsidRDefault="00073F8F" w:rsidP="00ED48A3"/>
    <w:p w14:paraId="5E361A6E" w14:textId="77777777" w:rsidR="00073F8F" w:rsidRPr="001B4A02" w:rsidRDefault="00073F8F" w:rsidP="00ED48A3"/>
    <w:p w14:paraId="5CA0D49C" w14:textId="77777777" w:rsidR="00073F8F" w:rsidRPr="001B4A02" w:rsidRDefault="00073F8F" w:rsidP="00ED48A3"/>
    <w:p w14:paraId="21095F08" w14:textId="77777777" w:rsidR="00073F8F" w:rsidRPr="001B4A02" w:rsidRDefault="00073F8F" w:rsidP="00ED48A3"/>
    <w:p w14:paraId="7F8F8121" w14:textId="77777777" w:rsidR="00073F8F" w:rsidRPr="001B4A02" w:rsidRDefault="00073F8F" w:rsidP="00ED48A3"/>
    <w:p w14:paraId="3F59DD47" w14:textId="77777777" w:rsidR="00073F8F" w:rsidRPr="001B4A02" w:rsidRDefault="00073F8F" w:rsidP="00ED48A3"/>
    <w:p w14:paraId="758AC43B" w14:textId="77777777" w:rsidR="00073F8F" w:rsidRPr="001B4A02" w:rsidRDefault="00073F8F" w:rsidP="00ED48A3"/>
    <w:p w14:paraId="67970AA9" w14:textId="77777777" w:rsidR="00073F8F" w:rsidRPr="001B4A02" w:rsidRDefault="00073F8F" w:rsidP="00ED48A3">
      <w:pPr>
        <w:pStyle w:val="Footer"/>
        <w:tabs>
          <w:tab w:val="clear" w:pos="4536"/>
        </w:tabs>
        <w:ind w:left="0" w:firstLine="0"/>
        <w:rPr>
          <w:rFonts w:ascii="Times New Roman" w:hAnsi="Times New Roman"/>
          <w:sz w:val="22"/>
        </w:rPr>
      </w:pPr>
    </w:p>
    <w:p w14:paraId="2880DFB8" w14:textId="77777777" w:rsidR="0009084E" w:rsidRDefault="0009084E" w:rsidP="00D427E8">
      <w:pPr>
        <w:jc w:val="center"/>
        <w:rPr>
          <w:b/>
        </w:rPr>
      </w:pPr>
    </w:p>
    <w:p w14:paraId="73136604" w14:textId="77777777" w:rsidR="00D427E8" w:rsidRPr="0009084E" w:rsidRDefault="00000000" w:rsidP="0009084E">
      <w:pPr>
        <w:jc w:val="center"/>
        <w:outlineLvl w:val="0"/>
        <w:rPr>
          <w:b/>
        </w:rPr>
      </w:pPr>
      <w:r w:rsidRPr="0009084E">
        <w:rPr>
          <w:b/>
        </w:rPr>
        <w:t>PŘÍLOHA I</w:t>
      </w:r>
    </w:p>
    <w:p w14:paraId="4A3D8EEE" w14:textId="77777777" w:rsidR="00073F8F" w:rsidRPr="001B4A02" w:rsidRDefault="00073F8F" w:rsidP="00ED48A3">
      <w:pPr>
        <w:jc w:val="center"/>
        <w:rPr>
          <w:b/>
        </w:rPr>
      </w:pPr>
    </w:p>
    <w:p w14:paraId="36A11475" w14:textId="77777777" w:rsidR="00073F8F" w:rsidRPr="001B4A02" w:rsidRDefault="00000000" w:rsidP="00ED48A3">
      <w:pPr>
        <w:pStyle w:val="BMCENTRED"/>
      </w:pPr>
      <w:r w:rsidRPr="001B4A02">
        <w:t>SOUHRN ÚDAJŮ O PŘÍPRAVKU</w:t>
      </w:r>
    </w:p>
    <w:p w14:paraId="5C9A97BB" w14:textId="77777777" w:rsidR="00073F8F" w:rsidRPr="001B4A02" w:rsidRDefault="00073F8F" w:rsidP="00ED48A3">
      <w:pPr>
        <w:tabs>
          <w:tab w:val="left" w:pos="-1440"/>
          <w:tab w:val="left" w:pos="-720"/>
        </w:tabs>
        <w:jc w:val="center"/>
      </w:pPr>
    </w:p>
    <w:p w14:paraId="31BBC8DC" w14:textId="77777777" w:rsidR="00F24C86" w:rsidRPr="001B4A02" w:rsidRDefault="00000000" w:rsidP="000447EA">
      <w:pPr>
        <w:ind w:left="0" w:firstLine="0"/>
        <w:outlineLvl w:val="0"/>
        <w:rPr>
          <w:b/>
        </w:rPr>
      </w:pPr>
      <w:r w:rsidRPr="001B4A02">
        <w:br w:type="page"/>
      </w:r>
      <w:r w:rsidRPr="001B4A02">
        <w:rPr>
          <w:b/>
        </w:rPr>
        <w:lastRenderedPageBreak/>
        <w:t>1.</w:t>
      </w:r>
      <w:r w:rsidRPr="001B4A02">
        <w:rPr>
          <w:b/>
        </w:rPr>
        <w:tab/>
        <w:t>NÁZEV PŘÍPRAVKU</w:t>
      </w:r>
    </w:p>
    <w:p w14:paraId="0C15774B" w14:textId="77777777" w:rsidR="00F24C86" w:rsidRPr="001B4A02" w:rsidRDefault="00F24C86" w:rsidP="00F24C86">
      <w:pPr>
        <w:ind w:left="0" w:firstLine="0"/>
      </w:pPr>
    </w:p>
    <w:p w14:paraId="2E8E23C8" w14:textId="77777777" w:rsidR="00F24C86" w:rsidRPr="001B4A02" w:rsidRDefault="00000000" w:rsidP="00F24C86">
      <w:pPr>
        <w:ind w:left="0" w:firstLine="0"/>
      </w:pPr>
      <w:r w:rsidRPr="001B4A02">
        <w:t xml:space="preserve">Humira 20 mg injekční </w:t>
      </w:r>
      <w:r w:rsidRPr="00503067">
        <w:t>roztok v předplněné injekční stříkačce</w:t>
      </w:r>
    </w:p>
    <w:p w14:paraId="1DFF7797" w14:textId="77777777" w:rsidR="00F24C86" w:rsidRPr="001B4A02" w:rsidRDefault="00F24C86" w:rsidP="00F24C86">
      <w:pPr>
        <w:pStyle w:val="EndnoteText"/>
        <w:ind w:left="0" w:firstLine="0"/>
        <w:rPr>
          <w:lang w:val="cs-CZ"/>
        </w:rPr>
      </w:pPr>
    </w:p>
    <w:p w14:paraId="6C9B9DB7" w14:textId="77777777" w:rsidR="00F24C86" w:rsidRPr="001B4A02" w:rsidRDefault="00F24C86" w:rsidP="00F24C86">
      <w:pPr>
        <w:ind w:left="0" w:firstLine="0"/>
      </w:pPr>
    </w:p>
    <w:p w14:paraId="28FE68B9" w14:textId="77777777" w:rsidR="00F24C86" w:rsidRPr="001B4A02" w:rsidRDefault="00000000" w:rsidP="000447EA">
      <w:pPr>
        <w:ind w:left="0" w:firstLine="0"/>
        <w:outlineLvl w:val="0"/>
        <w:rPr>
          <w:b/>
        </w:rPr>
      </w:pPr>
      <w:r w:rsidRPr="001B4A02">
        <w:rPr>
          <w:b/>
        </w:rPr>
        <w:t>2.</w:t>
      </w:r>
      <w:r w:rsidRPr="001B4A02">
        <w:rPr>
          <w:b/>
        </w:rPr>
        <w:tab/>
        <w:t>KVALITATIVNÍ A KVANTITATIVNÍ SLOŽENÍ</w:t>
      </w:r>
    </w:p>
    <w:p w14:paraId="430442C5" w14:textId="77777777" w:rsidR="00F24C86" w:rsidRPr="001B4A02" w:rsidRDefault="00F24C86" w:rsidP="00F24C86">
      <w:pPr>
        <w:ind w:left="0" w:firstLine="0"/>
      </w:pPr>
    </w:p>
    <w:p w14:paraId="158256F0" w14:textId="77777777" w:rsidR="00F24C86" w:rsidRPr="001B4A02" w:rsidRDefault="00000000" w:rsidP="00F24C86">
      <w:pPr>
        <w:ind w:left="0" w:firstLine="0"/>
      </w:pPr>
      <w:r w:rsidRPr="001B4A02">
        <w:t xml:space="preserve">Jedna předplněná injekční stříkačka na jedno použití o objemu 0,2 ml obsahuje </w:t>
      </w:r>
      <w:del w:id="0" w:author="Abbvie02" w:date="2025-05-16T11:13:00Z">
        <w:r w:rsidRPr="001B4A02">
          <w:delText xml:space="preserve">adalimumabum </w:delText>
        </w:r>
      </w:del>
      <w:r w:rsidRPr="001B4A02">
        <w:t>20 mg</w:t>
      </w:r>
      <w:ins w:id="1" w:author="Abbvie02" w:date="2025-05-16T11:13:00Z">
        <w:r w:rsidR="00063CB5" w:rsidRPr="00063CB5">
          <w:t xml:space="preserve"> </w:t>
        </w:r>
        <w:r w:rsidR="00063CB5" w:rsidRPr="001B4A02">
          <w:t>adalimumabu</w:t>
        </w:r>
      </w:ins>
      <w:r w:rsidRPr="001B4A02">
        <w:t>.</w:t>
      </w:r>
    </w:p>
    <w:p w14:paraId="444DE0B9" w14:textId="77777777" w:rsidR="00F24C86" w:rsidRPr="001B4A02" w:rsidRDefault="00F24C86" w:rsidP="00063CB5">
      <w:pPr>
        <w:ind w:left="0" w:firstLine="0"/>
      </w:pPr>
    </w:p>
    <w:p w14:paraId="7AB2E123" w14:textId="77777777" w:rsidR="00F24C86" w:rsidRPr="001B4A02" w:rsidRDefault="00000000" w:rsidP="00F24C86">
      <w:pPr>
        <w:ind w:left="0" w:firstLine="0"/>
      </w:pPr>
      <w:r w:rsidRPr="001B4A02">
        <w:t>Adalimumab</w:t>
      </w:r>
      <w:del w:id="2" w:author="Abbvie02" w:date="2025-05-16T11:15:00Z">
        <w:r w:rsidRPr="001B4A02">
          <w:delText>um</w:delText>
        </w:r>
      </w:del>
      <w:r w:rsidRPr="001B4A02">
        <w:t xml:space="preserve"> je rekombinantní lidská monoklonální protilátka produkovaná ovariálními buňkami čínských křečíků.</w:t>
      </w:r>
    </w:p>
    <w:p w14:paraId="3B73E3F1" w14:textId="77777777" w:rsidR="00F24C86" w:rsidRDefault="00F24C86" w:rsidP="00F24C86">
      <w:pPr>
        <w:pStyle w:val="EndnoteText"/>
        <w:ind w:left="0" w:firstLine="0"/>
        <w:rPr>
          <w:ins w:id="3" w:author="AbbVie1" w:date="2025-05-12T13:53:00Z"/>
          <w:lang w:val="cs-CZ"/>
        </w:rPr>
      </w:pPr>
    </w:p>
    <w:p w14:paraId="67FC6180" w14:textId="77777777" w:rsidR="00653460" w:rsidRPr="000602EB" w:rsidRDefault="00000000" w:rsidP="00653460">
      <w:pPr>
        <w:keepNext/>
        <w:rPr>
          <w:ins w:id="4" w:author="AbbVie1" w:date="2025-05-12T13:53:00Z"/>
          <w:noProof/>
          <w:szCs w:val="22"/>
          <w:u w:val="single"/>
        </w:rPr>
      </w:pPr>
      <w:ins w:id="5" w:author="AbbVie1" w:date="2025-05-12T13:53:00Z">
        <w:r w:rsidRPr="000602EB">
          <w:rPr>
            <w:szCs w:val="22"/>
            <w:u w:val="single"/>
          </w:rPr>
          <w:t>Pomocn</w:t>
        </w:r>
      </w:ins>
      <w:ins w:id="6" w:author="AbbVie1" w:date="2025-05-12T13:59:00Z">
        <w:r w:rsidR="007F388F" w:rsidRPr="000602EB">
          <w:rPr>
            <w:szCs w:val="22"/>
            <w:u w:val="single"/>
          </w:rPr>
          <w:t>é</w:t>
        </w:r>
      </w:ins>
      <w:ins w:id="7" w:author="AbbVie1" w:date="2025-05-12T13:53:00Z">
        <w:r w:rsidRPr="000602EB">
          <w:rPr>
            <w:szCs w:val="22"/>
            <w:u w:val="single"/>
          </w:rPr>
          <w:t xml:space="preserve"> látk</w:t>
        </w:r>
      </w:ins>
      <w:ins w:id="8" w:author="AbbVie1" w:date="2025-05-12T13:59:00Z">
        <w:r w:rsidR="007F388F" w:rsidRPr="000602EB">
          <w:rPr>
            <w:szCs w:val="22"/>
            <w:u w:val="single"/>
          </w:rPr>
          <w:t>y</w:t>
        </w:r>
      </w:ins>
      <w:ins w:id="9" w:author="AbbVie1" w:date="2025-05-12T13:53:00Z">
        <w:r w:rsidRPr="000602EB">
          <w:rPr>
            <w:szCs w:val="22"/>
            <w:u w:val="single"/>
          </w:rPr>
          <w:t xml:space="preserve"> se známým účinkem</w:t>
        </w:r>
      </w:ins>
    </w:p>
    <w:p w14:paraId="58355A3E" w14:textId="77777777" w:rsidR="00823B8A" w:rsidRDefault="00823B8A" w:rsidP="00653460">
      <w:pPr>
        <w:rPr>
          <w:ins w:id="10" w:author="AbbVie1" w:date="2025-05-12T13:54:00Z"/>
          <w:szCs w:val="22"/>
        </w:rPr>
      </w:pPr>
    </w:p>
    <w:p w14:paraId="11D3E833" w14:textId="77777777" w:rsidR="00653460" w:rsidRPr="00653460" w:rsidRDefault="00000000" w:rsidP="000602EB">
      <w:ins w:id="11" w:author="AbbVie1" w:date="2025-05-12T13:53:00Z">
        <w:r>
          <w:rPr>
            <w:szCs w:val="22"/>
          </w:rPr>
          <w:t>Tento léčivý přípravek</w:t>
        </w:r>
        <w:r w:rsidRPr="00F767A1">
          <w:rPr>
            <w:szCs w:val="22"/>
          </w:rPr>
          <w:t xml:space="preserve"> obsahuje </w:t>
        </w:r>
        <w:r>
          <w:rPr>
            <w:szCs w:val="22"/>
          </w:rPr>
          <w:t>0,2</w:t>
        </w:r>
        <w:r w:rsidRPr="00F767A1">
          <w:rPr>
            <w:szCs w:val="22"/>
          </w:rPr>
          <w:t> mg polysorbátu 80</w:t>
        </w:r>
      </w:ins>
      <w:ins w:id="12" w:author="AbbVie1" w:date="2025-05-12T13:54:00Z">
        <w:r>
          <w:rPr>
            <w:szCs w:val="22"/>
          </w:rPr>
          <w:t xml:space="preserve"> v</w:t>
        </w:r>
      </w:ins>
      <w:ins w:id="13" w:author="AbbVie1" w:date="2025-05-12T13:55:00Z">
        <w:r w:rsidR="00EC2DEB">
          <w:rPr>
            <w:szCs w:val="22"/>
          </w:rPr>
          <w:t> </w:t>
        </w:r>
      </w:ins>
      <w:ins w:id="14" w:author="AbbVie1" w:date="2025-05-12T13:58:00Z">
        <w:r w:rsidR="0001354E">
          <w:rPr>
            <w:szCs w:val="22"/>
          </w:rPr>
          <w:t>jedné</w:t>
        </w:r>
      </w:ins>
      <w:ins w:id="15" w:author="AbbVie1" w:date="2025-05-12T13:55:00Z">
        <w:r w:rsidR="00EC2DEB">
          <w:rPr>
            <w:szCs w:val="22"/>
          </w:rPr>
          <w:t xml:space="preserve"> 20mg dávce</w:t>
        </w:r>
      </w:ins>
      <w:ins w:id="16" w:author="AbbVie1" w:date="2025-05-12T13:53:00Z">
        <w:r w:rsidRPr="00F767A1">
          <w:rPr>
            <w:szCs w:val="22"/>
          </w:rPr>
          <w:t>.</w:t>
        </w:r>
      </w:ins>
    </w:p>
    <w:p w14:paraId="097FA0AE" w14:textId="77777777" w:rsidR="00653460" w:rsidRDefault="00653460" w:rsidP="00F24C86">
      <w:pPr>
        <w:ind w:left="0" w:firstLine="0"/>
        <w:rPr>
          <w:ins w:id="17" w:author="AbbVie1" w:date="2025-05-12T13:53:00Z"/>
        </w:rPr>
      </w:pPr>
    </w:p>
    <w:p w14:paraId="0043F6E0" w14:textId="77777777" w:rsidR="00F24C86" w:rsidRPr="001B4A02" w:rsidRDefault="00000000" w:rsidP="00F24C86">
      <w:pPr>
        <w:ind w:left="0" w:firstLine="0"/>
      </w:pPr>
      <w:r w:rsidRPr="001B4A02">
        <w:t>Úplný seznam pomocných látek viz bod 6.1.</w:t>
      </w:r>
    </w:p>
    <w:p w14:paraId="4A62A3AD" w14:textId="77777777" w:rsidR="00F24C86" w:rsidRPr="001B4A02" w:rsidRDefault="00F24C86" w:rsidP="00F24C86">
      <w:pPr>
        <w:ind w:left="0" w:firstLine="0"/>
      </w:pPr>
    </w:p>
    <w:p w14:paraId="452DF572" w14:textId="77777777" w:rsidR="00527B4A" w:rsidRPr="001B4A02" w:rsidRDefault="00527B4A" w:rsidP="00F24C86">
      <w:pPr>
        <w:ind w:left="0" w:firstLine="0"/>
      </w:pPr>
    </w:p>
    <w:p w14:paraId="0F2DF73A" w14:textId="77777777" w:rsidR="00F24C86" w:rsidRPr="001B4A02" w:rsidRDefault="00000000" w:rsidP="000447EA">
      <w:pPr>
        <w:ind w:left="0" w:firstLine="0"/>
        <w:outlineLvl w:val="0"/>
        <w:rPr>
          <w:b/>
          <w:caps/>
        </w:rPr>
      </w:pPr>
      <w:r w:rsidRPr="001B4A02">
        <w:rPr>
          <w:b/>
        </w:rPr>
        <w:t>3.</w:t>
      </w:r>
      <w:r w:rsidRPr="001B4A02">
        <w:rPr>
          <w:b/>
        </w:rPr>
        <w:tab/>
        <w:t>LÉKOVÁ FORMA</w:t>
      </w:r>
    </w:p>
    <w:p w14:paraId="71721341" w14:textId="77777777" w:rsidR="00F24C86" w:rsidRPr="001B4A02" w:rsidRDefault="00F24C86" w:rsidP="00F24C86">
      <w:pPr>
        <w:ind w:left="0" w:firstLine="0"/>
      </w:pPr>
    </w:p>
    <w:p w14:paraId="4059A4BE" w14:textId="77777777" w:rsidR="00F24C86" w:rsidRPr="001B4A02" w:rsidRDefault="00000000" w:rsidP="00F24C86">
      <w:pPr>
        <w:pStyle w:val="EndnoteText"/>
        <w:ind w:left="0" w:firstLine="0"/>
        <w:rPr>
          <w:lang w:val="cs-CZ"/>
        </w:rPr>
      </w:pPr>
      <w:r w:rsidRPr="00503067">
        <w:rPr>
          <w:lang w:val="cs-CZ"/>
        </w:rPr>
        <w:t>Injekční roztok</w:t>
      </w:r>
      <w:r w:rsidR="00187D55" w:rsidRPr="00503067">
        <w:rPr>
          <w:lang w:val="cs-CZ"/>
        </w:rPr>
        <w:t xml:space="preserve"> (injekce)</w:t>
      </w:r>
    </w:p>
    <w:p w14:paraId="4A11D7E0" w14:textId="77777777" w:rsidR="00F24C86" w:rsidRPr="001B4A02" w:rsidRDefault="00F24C86" w:rsidP="00F24C86">
      <w:pPr>
        <w:pStyle w:val="EndnoteText"/>
        <w:ind w:left="0" w:firstLine="0"/>
        <w:rPr>
          <w:lang w:val="cs-CZ"/>
        </w:rPr>
      </w:pPr>
    </w:p>
    <w:p w14:paraId="299397D3" w14:textId="77777777" w:rsidR="00F24C86" w:rsidRPr="001B4A02" w:rsidRDefault="00000000" w:rsidP="00F24C86">
      <w:pPr>
        <w:pStyle w:val="EndnoteText"/>
        <w:ind w:left="0" w:firstLine="0"/>
        <w:rPr>
          <w:lang w:val="cs-CZ"/>
        </w:rPr>
      </w:pPr>
      <w:r w:rsidRPr="001B4A02">
        <w:rPr>
          <w:lang w:val="cs-CZ"/>
        </w:rPr>
        <w:t>Čirý, bezbarvý roztok</w:t>
      </w:r>
      <w:r w:rsidR="00187D55" w:rsidRPr="001B4A02">
        <w:rPr>
          <w:lang w:val="cs-CZ"/>
        </w:rPr>
        <w:t>.</w:t>
      </w:r>
    </w:p>
    <w:p w14:paraId="1E343F43" w14:textId="77777777" w:rsidR="00F24C86" w:rsidRPr="001B4A02" w:rsidRDefault="00F24C86" w:rsidP="00F24C86">
      <w:pPr>
        <w:ind w:left="0" w:firstLine="0"/>
      </w:pPr>
    </w:p>
    <w:p w14:paraId="556BBD5D" w14:textId="77777777" w:rsidR="00F24C86" w:rsidRPr="001B4A02" w:rsidRDefault="00F24C86" w:rsidP="00F24C86">
      <w:pPr>
        <w:ind w:left="0" w:firstLine="0"/>
      </w:pPr>
    </w:p>
    <w:p w14:paraId="214C7254" w14:textId="77777777" w:rsidR="00F24C86" w:rsidRPr="001B4A02" w:rsidRDefault="00000000" w:rsidP="000447EA">
      <w:pPr>
        <w:ind w:left="0" w:firstLine="0"/>
        <w:outlineLvl w:val="0"/>
        <w:rPr>
          <w:b/>
          <w:caps/>
        </w:rPr>
      </w:pPr>
      <w:r w:rsidRPr="001B4A02">
        <w:rPr>
          <w:b/>
          <w:caps/>
        </w:rPr>
        <w:t>4.</w:t>
      </w:r>
      <w:r w:rsidRPr="001B4A02">
        <w:rPr>
          <w:b/>
          <w:caps/>
        </w:rPr>
        <w:tab/>
        <w:t>KLINICKÉ ÚDAJE</w:t>
      </w:r>
    </w:p>
    <w:p w14:paraId="0CCAB651" w14:textId="77777777" w:rsidR="00F24C86" w:rsidRPr="001B4A02" w:rsidRDefault="00F24C86" w:rsidP="00F24C86">
      <w:pPr>
        <w:ind w:left="0" w:firstLine="0"/>
        <w:rPr>
          <w:b/>
        </w:rPr>
      </w:pPr>
    </w:p>
    <w:p w14:paraId="57C104EF" w14:textId="77777777" w:rsidR="00F24C86" w:rsidRPr="001B4A02" w:rsidRDefault="00000000" w:rsidP="000A5426">
      <w:pPr>
        <w:outlineLvl w:val="1"/>
      </w:pPr>
      <w:r w:rsidRPr="001B4A02">
        <w:rPr>
          <w:b/>
        </w:rPr>
        <w:t>4.1</w:t>
      </w:r>
      <w:r w:rsidRPr="001B4A02">
        <w:rPr>
          <w:b/>
        </w:rPr>
        <w:tab/>
        <w:t>Terapeutické indikace</w:t>
      </w:r>
    </w:p>
    <w:p w14:paraId="22E737EB" w14:textId="77777777" w:rsidR="00F24C86" w:rsidRPr="001B4A02" w:rsidRDefault="00F24C86" w:rsidP="00F24C86">
      <w:pPr>
        <w:ind w:left="0" w:firstLine="0"/>
      </w:pPr>
    </w:p>
    <w:p w14:paraId="1B58E5D9" w14:textId="77777777" w:rsidR="00F24C86" w:rsidRPr="001B4A02" w:rsidRDefault="00000000" w:rsidP="00F24C86">
      <w:pPr>
        <w:ind w:left="0" w:firstLine="0"/>
        <w:rPr>
          <w:u w:val="single"/>
        </w:rPr>
      </w:pPr>
      <w:r w:rsidRPr="001B4A02">
        <w:rPr>
          <w:u w:val="single"/>
        </w:rPr>
        <w:t>Juvenilní idiopatická artritida</w:t>
      </w:r>
    </w:p>
    <w:p w14:paraId="3C768781" w14:textId="77777777" w:rsidR="00F24C86" w:rsidRPr="001B4A02" w:rsidRDefault="00F24C86" w:rsidP="00F24C86">
      <w:pPr>
        <w:ind w:left="0" w:firstLine="0"/>
      </w:pPr>
    </w:p>
    <w:p w14:paraId="2A393941" w14:textId="77777777" w:rsidR="00F24C86" w:rsidRPr="001B4A02" w:rsidRDefault="00000000" w:rsidP="00F24C86">
      <w:pPr>
        <w:pStyle w:val="EMEAHeadingUnderline"/>
        <w:tabs>
          <w:tab w:val="clear" w:pos="562"/>
          <w:tab w:val="left" w:pos="708"/>
        </w:tabs>
        <w:suppressAutoHyphens w:val="0"/>
        <w:spacing w:beforeLines="0" w:before="0" w:afterLines="0" w:after="0"/>
        <w:rPr>
          <w:i/>
          <w:u w:val="none"/>
          <w:lang w:val="cs-CZ"/>
        </w:rPr>
      </w:pPr>
      <w:r w:rsidRPr="001B4A02">
        <w:rPr>
          <w:i/>
          <w:u w:val="none"/>
          <w:lang w:val="cs-CZ"/>
        </w:rPr>
        <w:t>Polyartikulární juvenilní idiopatická artritida</w:t>
      </w:r>
    </w:p>
    <w:p w14:paraId="705640D6" w14:textId="77777777" w:rsidR="00F24C86" w:rsidRPr="001B4A02" w:rsidRDefault="00F24C86" w:rsidP="00F24C86">
      <w:pPr>
        <w:ind w:left="0" w:firstLine="0"/>
      </w:pPr>
    </w:p>
    <w:p w14:paraId="380243DC" w14:textId="77777777" w:rsidR="00F24C86" w:rsidRPr="001B4A02" w:rsidRDefault="00000000" w:rsidP="00F24C86">
      <w:pPr>
        <w:pStyle w:val="EMEANormal"/>
        <w:tabs>
          <w:tab w:val="clear" w:pos="562"/>
          <w:tab w:val="left" w:pos="708"/>
        </w:tabs>
        <w:suppressAutoHyphens w:val="0"/>
        <w:rPr>
          <w:lang w:val="cs-CZ"/>
        </w:rPr>
      </w:pPr>
      <w:r w:rsidRPr="001B4A02">
        <w:rPr>
          <w:lang w:val="cs-CZ"/>
        </w:rPr>
        <w:t>Přípravek Humira je indikován, v kombinaci s methotrexátem, k léčbě aktivní polyartikulární juvenilní idiopatické artritidy u</w:t>
      </w:r>
      <w:r w:rsidR="00057A14" w:rsidRPr="001B4A02">
        <w:rPr>
          <w:lang w:val="cs-CZ"/>
        </w:rPr>
        <w:t> </w:t>
      </w:r>
      <w:r w:rsidRPr="001B4A02">
        <w:rPr>
          <w:lang w:val="cs-CZ"/>
        </w:rPr>
        <w:t>pacientů od 2 let, u</w:t>
      </w:r>
      <w:r w:rsidR="00057A14" w:rsidRPr="001B4A02">
        <w:rPr>
          <w:lang w:val="cs-CZ"/>
        </w:rPr>
        <w:t> </w:t>
      </w:r>
      <w:r w:rsidRPr="001B4A02">
        <w:rPr>
          <w:lang w:val="cs-CZ"/>
        </w:rPr>
        <w:t>kterých odpověď na léčbu jedním nebo více chorobu modifikujícími antirevmatiky (DMARD) nebyla dostatečná. Při nesnášenlivosti methotrexátu nebo v případě, kdy pokračování v</w:t>
      </w:r>
      <w:r w:rsidR="00057A14" w:rsidRPr="001B4A02">
        <w:rPr>
          <w:lang w:val="cs-CZ"/>
        </w:rPr>
        <w:t> </w:t>
      </w:r>
      <w:r w:rsidRPr="001B4A02">
        <w:rPr>
          <w:lang w:val="cs-CZ"/>
        </w:rPr>
        <w:t>léčbě methotrexátem není vhodné, může být přípravek Humira podáván samostatně (účinnost při monoterapii viz bod 5.1). Přípravek Humira nebyl studován u</w:t>
      </w:r>
      <w:r w:rsidR="00057A14" w:rsidRPr="001B4A02">
        <w:rPr>
          <w:lang w:val="cs-CZ"/>
        </w:rPr>
        <w:t> </w:t>
      </w:r>
      <w:r w:rsidRPr="001B4A02">
        <w:rPr>
          <w:lang w:val="cs-CZ"/>
        </w:rPr>
        <w:t>pacientů mladších 2 let.</w:t>
      </w:r>
    </w:p>
    <w:p w14:paraId="49F21AF9" w14:textId="77777777" w:rsidR="00F24C86" w:rsidRPr="001B4A02" w:rsidRDefault="00F24C86" w:rsidP="00F24C86">
      <w:pPr>
        <w:ind w:left="0" w:firstLine="0"/>
      </w:pPr>
    </w:p>
    <w:p w14:paraId="6801AA4E" w14:textId="77777777" w:rsidR="00F24C86" w:rsidRPr="001B4A02" w:rsidRDefault="00000000" w:rsidP="00F24C86">
      <w:pPr>
        <w:keepNext/>
        <w:ind w:left="0" w:firstLine="0"/>
        <w:rPr>
          <w:i/>
        </w:rPr>
      </w:pPr>
      <w:r w:rsidRPr="001B4A02">
        <w:rPr>
          <w:i/>
        </w:rPr>
        <w:t>Entezopatická artritida</w:t>
      </w:r>
    </w:p>
    <w:p w14:paraId="22EF6919" w14:textId="77777777" w:rsidR="00F24C86" w:rsidRPr="001B4A02" w:rsidRDefault="00F24C86" w:rsidP="00F24C86">
      <w:pPr>
        <w:pStyle w:val="EMEANormal"/>
        <w:keepNext/>
        <w:tabs>
          <w:tab w:val="clear" w:pos="562"/>
          <w:tab w:val="left" w:pos="708"/>
        </w:tabs>
        <w:suppressAutoHyphens w:val="0"/>
        <w:rPr>
          <w:lang w:val="cs-CZ"/>
        </w:rPr>
      </w:pPr>
    </w:p>
    <w:p w14:paraId="559FBA19" w14:textId="77777777" w:rsidR="00F24C86" w:rsidRPr="001B4A02" w:rsidRDefault="00000000" w:rsidP="00057A14">
      <w:pPr>
        <w:pStyle w:val="EMEANormal"/>
        <w:tabs>
          <w:tab w:val="clear" w:pos="562"/>
          <w:tab w:val="left" w:pos="708"/>
        </w:tabs>
        <w:suppressAutoHyphens w:val="0"/>
        <w:rPr>
          <w:lang w:val="cs-CZ"/>
        </w:rPr>
      </w:pPr>
      <w:r w:rsidRPr="007928B5">
        <w:rPr>
          <w:lang w:val="cs-CZ"/>
        </w:rPr>
        <w:t xml:space="preserve">Přípravek </w:t>
      </w:r>
      <w:r w:rsidRPr="001B4A02">
        <w:rPr>
          <w:lang w:val="cs-CZ"/>
        </w:rPr>
        <w:t>Humira je indikován k</w:t>
      </w:r>
      <w:r w:rsidR="00057A14" w:rsidRPr="001B4A02">
        <w:rPr>
          <w:lang w:val="cs-CZ"/>
        </w:rPr>
        <w:t> </w:t>
      </w:r>
      <w:r w:rsidRPr="001B4A02">
        <w:rPr>
          <w:lang w:val="cs-CZ"/>
        </w:rPr>
        <w:t>léčbě aktivní entezopatické artritidy u</w:t>
      </w:r>
      <w:r w:rsidR="00057A14" w:rsidRPr="001B4A02">
        <w:rPr>
          <w:lang w:val="cs-CZ"/>
        </w:rPr>
        <w:t> </w:t>
      </w:r>
      <w:r w:rsidRPr="001B4A02">
        <w:rPr>
          <w:lang w:val="cs-CZ"/>
        </w:rPr>
        <w:t>pacientů ve věku od 6 let, u</w:t>
      </w:r>
      <w:r w:rsidR="00057A14" w:rsidRPr="001B4A02">
        <w:rPr>
          <w:lang w:val="cs-CZ"/>
        </w:rPr>
        <w:t> </w:t>
      </w:r>
      <w:r w:rsidRPr="001B4A02">
        <w:rPr>
          <w:lang w:val="cs-CZ"/>
        </w:rPr>
        <w:t>nichž nebylo dosaženo adekvátní odpovědi na konvenční léčbu, nebo u</w:t>
      </w:r>
      <w:r w:rsidR="00057A14" w:rsidRPr="001B4A02">
        <w:rPr>
          <w:lang w:val="cs-CZ"/>
        </w:rPr>
        <w:t> </w:t>
      </w:r>
      <w:r w:rsidRPr="001B4A02">
        <w:rPr>
          <w:lang w:val="cs-CZ"/>
        </w:rPr>
        <w:t>nichž léčba nebyla tolerována (viz bod 5.1).</w:t>
      </w:r>
    </w:p>
    <w:p w14:paraId="6BB33F00" w14:textId="77777777" w:rsidR="00F24C86" w:rsidRPr="001B4A02" w:rsidRDefault="00F24C86" w:rsidP="00F24C86">
      <w:pPr>
        <w:ind w:left="0" w:firstLine="0"/>
      </w:pPr>
    </w:p>
    <w:p w14:paraId="5684CEBF" w14:textId="77777777" w:rsidR="00F24C86" w:rsidRPr="001B4A02" w:rsidRDefault="00000000" w:rsidP="00F24C86">
      <w:pPr>
        <w:pStyle w:val="EMEANormal"/>
        <w:tabs>
          <w:tab w:val="clear" w:pos="562"/>
          <w:tab w:val="left" w:pos="708"/>
        </w:tabs>
        <w:suppressAutoHyphens w:val="0"/>
        <w:rPr>
          <w:u w:val="single"/>
          <w:lang w:val="cs-CZ"/>
        </w:rPr>
      </w:pPr>
      <w:r w:rsidRPr="001B4A02">
        <w:rPr>
          <w:u w:val="single"/>
          <w:lang w:val="cs-CZ"/>
        </w:rPr>
        <w:t>Ložisková psoriáza u pediatrických pacientů</w:t>
      </w:r>
    </w:p>
    <w:p w14:paraId="3FFC5705" w14:textId="77777777" w:rsidR="00F24C86" w:rsidRPr="001B4A02" w:rsidRDefault="00F24C86" w:rsidP="00F24C86">
      <w:pPr>
        <w:pStyle w:val="EMEANormal"/>
        <w:tabs>
          <w:tab w:val="clear" w:pos="562"/>
          <w:tab w:val="left" w:pos="708"/>
        </w:tabs>
        <w:suppressAutoHyphens w:val="0"/>
        <w:rPr>
          <w:u w:val="single"/>
          <w:lang w:val="cs-CZ"/>
        </w:rPr>
      </w:pPr>
    </w:p>
    <w:p w14:paraId="4EA3284B" w14:textId="77777777" w:rsidR="00F24C86" w:rsidRPr="001B4A02" w:rsidRDefault="00000000" w:rsidP="00F24C86">
      <w:pPr>
        <w:pStyle w:val="EMEANormal"/>
        <w:tabs>
          <w:tab w:val="clear" w:pos="562"/>
          <w:tab w:val="left" w:pos="708"/>
        </w:tabs>
        <w:suppressAutoHyphens w:val="0"/>
        <w:rPr>
          <w:lang w:val="cs-CZ"/>
        </w:rPr>
      </w:pPr>
      <w:r w:rsidRPr="001B4A02">
        <w:rPr>
          <w:lang w:val="cs-CZ"/>
        </w:rPr>
        <w:t>Přípravek Humira je indikován k léčbě těžké chronické ložiskové psoriázy u</w:t>
      </w:r>
      <w:r w:rsidR="00057A14" w:rsidRPr="001B4A02">
        <w:rPr>
          <w:lang w:val="cs-CZ"/>
        </w:rPr>
        <w:t> </w:t>
      </w:r>
      <w:r w:rsidRPr="001B4A02">
        <w:rPr>
          <w:lang w:val="cs-CZ"/>
        </w:rPr>
        <w:t>dětí</w:t>
      </w:r>
      <w:r w:rsidR="002378E0">
        <w:rPr>
          <w:lang w:val="cs-CZ"/>
        </w:rPr>
        <w:t xml:space="preserve"> a </w:t>
      </w:r>
      <w:r w:rsidRPr="001B4A02">
        <w:rPr>
          <w:lang w:val="cs-CZ"/>
        </w:rPr>
        <w:t>dospívajících od 4 let, u</w:t>
      </w:r>
      <w:r w:rsidR="00057A14" w:rsidRPr="001B4A02">
        <w:rPr>
          <w:lang w:val="cs-CZ"/>
        </w:rPr>
        <w:t> </w:t>
      </w:r>
      <w:r w:rsidRPr="001B4A02">
        <w:rPr>
          <w:lang w:val="cs-CZ"/>
        </w:rPr>
        <w:t>kterých reakce na lokální terapii</w:t>
      </w:r>
      <w:r w:rsidR="002378E0">
        <w:rPr>
          <w:lang w:val="cs-CZ"/>
        </w:rPr>
        <w:t xml:space="preserve"> a </w:t>
      </w:r>
      <w:r w:rsidRPr="001B4A02">
        <w:rPr>
          <w:lang w:val="cs-CZ"/>
        </w:rPr>
        <w:t>fototerapie nebyla dostatečná nebo nejsou pro tuto léčbu vhodnými kandidáty.</w:t>
      </w:r>
    </w:p>
    <w:p w14:paraId="644D980A" w14:textId="77777777" w:rsidR="00F24C86" w:rsidRPr="001B4A02" w:rsidRDefault="00F24C86" w:rsidP="00F24C86">
      <w:pPr>
        <w:pStyle w:val="EMEANormal"/>
        <w:tabs>
          <w:tab w:val="clear" w:pos="562"/>
          <w:tab w:val="left" w:pos="708"/>
        </w:tabs>
        <w:suppressAutoHyphens w:val="0"/>
        <w:rPr>
          <w:lang w:val="cs-CZ"/>
        </w:rPr>
      </w:pPr>
    </w:p>
    <w:p w14:paraId="0FCEACD3" w14:textId="77777777" w:rsidR="00F24C86" w:rsidRPr="001B4A02" w:rsidRDefault="00000000" w:rsidP="00F24C86">
      <w:pPr>
        <w:pStyle w:val="EMEANormal"/>
        <w:keepNext/>
        <w:tabs>
          <w:tab w:val="clear" w:pos="562"/>
          <w:tab w:val="left" w:pos="708"/>
        </w:tabs>
        <w:suppressAutoHyphens w:val="0"/>
        <w:rPr>
          <w:u w:val="single"/>
          <w:lang w:val="cs-CZ"/>
        </w:rPr>
      </w:pPr>
      <w:r w:rsidRPr="001B4A02">
        <w:rPr>
          <w:u w:val="single"/>
          <w:lang w:val="cs-CZ"/>
        </w:rPr>
        <w:lastRenderedPageBreak/>
        <w:t>Crohnova choroba u pediatrických pacientů</w:t>
      </w:r>
    </w:p>
    <w:p w14:paraId="06C8D16E" w14:textId="77777777" w:rsidR="00F24C86" w:rsidRPr="001B4A02" w:rsidRDefault="00F24C86" w:rsidP="00F24C86">
      <w:pPr>
        <w:pStyle w:val="EMEANormal"/>
        <w:keepNext/>
        <w:tabs>
          <w:tab w:val="clear" w:pos="562"/>
          <w:tab w:val="left" w:pos="708"/>
        </w:tabs>
        <w:suppressAutoHyphens w:val="0"/>
        <w:rPr>
          <w:lang w:val="cs-CZ"/>
        </w:rPr>
      </w:pPr>
    </w:p>
    <w:p w14:paraId="611713F8" w14:textId="77777777" w:rsidR="00F24C86" w:rsidRPr="001B4A02" w:rsidRDefault="00000000" w:rsidP="00F24C86">
      <w:pPr>
        <w:pStyle w:val="EMEANormal"/>
        <w:tabs>
          <w:tab w:val="clear" w:pos="562"/>
          <w:tab w:val="left" w:pos="708"/>
        </w:tabs>
        <w:suppressAutoHyphens w:val="0"/>
        <w:rPr>
          <w:lang w:val="cs-CZ"/>
        </w:rPr>
      </w:pPr>
      <w:r w:rsidRPr="001B4A02">
        <w:rPr>
          <w:lang w:val="cs-CZ"/>
        </w:rPr>
        <w:t>Přípravek Humira je indikován k léčbě středně těžké až těžké aktivní Crohnovy choroby u pediatrických pacientů (od 6 let), u</w:t>
      </w:r>
      <w:r w:rsidR="00057A14" w:rsidRPr="001B4A02">
        <w:rPr>
          <w:lang w:val="cs-CZ"/>
        </w:rPr>
        <w:t> </w:t>
      </w:r>
      <w:r w:rsidRPr="001B4A02">
        <w:rPr>
          <w:lang w:val="cs-CZ"/>
        </w:rPr>
        <w:t>kterých reakce na konvenční léčbu včetně primární nutriční léčby</w:t>
      </w:r>
      <w:r w:rsidR="002378E0">
        <w:rPr>
          <w:lang w:val="cs-CZ"/>
        </w:rPr>
        <w:t xml:space="preserve"> a </w:t>
      </w:r>
      <w:r w:rsidRPr="001B4A02">
        <w:rPr>
          <w:lang w:val="cs-CZ"/>
        </w:rPr>
        <w:t>kortikosteroidů a/nebo imunosupresiv nebyla dostatečná, nebo kteří ji netolerují nebo je u</w:t>
      </w:r>
      <w:r w:rsidR="00057A14" w:rsidRPr="001B4A02">
        <w:rPr>
          <w:lang w:val="cs-CZ"/>
        </w:rPr>
        <w:t> </w:t>
      </w:r>
      <w:r w:rsidRPr="001B4A02">
        <w:rPr>
          <w:lang w:val="cs-CZ"/>
        </w:rPr>
        <w:t>nich tato léčba kontraindikována.</w:t>
      </w:r>
    </w:p>
    <w:p w14:paraId="4D65F4F9" w14:textId="77777777" w:rsidR="00F24C86" w:rsidRPr="001B4A02" w:rsidRDefault="00F24C86" w:rsidP="00F24C86">
      <w:pPr>
        <w:pStyle w:val="EMEANormal"/>
        <w:tabs>
          <w:tab w:val="clear" w:pos="562"/>
          <w:tab w:val="left" w:pos="708"/>
        </w:tabs>
        <w:suppressAutoHyphens w:val="0"/>
        <w:rPr>
          <w:lang w:val="cs-CZ"/>
        </w:rPr>
      </w:pPr>
    </w:p>
    <w:p w14:paraId="5B73D32A" w14:textId="77777777" w:rsidR="00F24C86" w:rsidRPr="001B4A02" w:rsidRDefault="00000000" w:rsidP="00527B4A">
      <w:pPr>
        <w:pStyle w:val="BodyText"/>
        <w:keepNext/>
        <w:rPr>
          <w:b w:val="0"/>
          <w:i w:val="0"/>
          <w:szCs w:val="22"/>
          <w:u w:val="single"/>
          <w:lang w:val="cs-CZ"/>
        </w:rPr>
      </w:pPr>
      <w:r w:rsidRPr="001B4A02">
        <w:rPr>
          <w:b w:val="0"/>
          <w:i w:val="0"/>
          <w:szCs w:val="22"/>
          <w:u w:val="single"/>
          <w:lang w:val="cs-CZ"/>
        </w:rPr>
        <w:t>Uveitida u pediatrických pacientů</w:t>
      </w:r>
    </w:p>
    <w:p w14:paraId="0578E2E1" w14:textId="77777777" w:rsidR="00F24C86" w:rsidRPr="001B4A02" w:rsidRDefault="00F24C86" w:rsidP="00527B4A">
      <w:pPr>
        <w:keepNext/>
      </w:pPr>
    </w:p>
    <w:p w14:paraId="09A48571" w14:textId="77777777" w:rsidR="00F24C86" w:rsidRPr="001B4A02" w:rsidRDefault="00000000" w:rsidP="00527B4A">
      <w:pPr>
        <w:pStyle w:val="EMEANormal"/>
        <w:keepNext/>
        <w:tabs>
          <w:tab w:val="clear" w:pos="562"/>
          <w:tab w:val="left" w:pos="708"/>
        </w:tabs>
        <w:suppressAutoHyphens w:val="0"/>
        <w:rPr>
          <w:lang w:val="cs-CZ"/>
        </w:rPr>
      </w:pPr>
      <w:r w:rsidRPr="001B4A02">
        <w:rPr>
          <w:szCs w:val="22"/>
          <w:lang w:val="cs-CZ"/>
        </w:rPr>
        <w:t>Přípravek Humira je indikován k</w:t>
      </w:r>
      <w:r w:rsidR="00057A14" w:rsidRPr="001B4A02">
        <w:rPr>
          <w:szCs w:val="22"/>
          <w:lang w:val="cs-CZ"/>
        </w:rPr>
        <w:t> </w:t>
      </w:r>
      <w:r w:rsidRPr="001B4A02">
        <w:rPr>
          <w:szCs w:val="22"/>
          <w:lang w:val="cs-CZ"/>
        </w:rPr>
        <w:t>léčbě chronické neinfekční přední uveitidy u</w:t>
      </w:r>
      <w:r w:rsidR="00057A14" w:rsidRPr="001B4A02">
        <w:rPr>
          <w:szCs w:val="22"/>
          <w:lang w:val="cs-CZ"/>
        </w:rPr>
        <w:t> </w:t>
      </w:r>
      <w:r w:rsidRPr="001B4A02">
        <w:rPr>
          <w:szCs w:val="22"/>
          <w:lang w:val="cs-CZ"/>
        </w:rPr>
        <w:t xml:space="preserve">pediatrických pacientů ve věku od 2 let, </w:t>
      </w:r>
      <w:r w:rsidRPr="001B4A02">
        <w:rPr>
          <w:lang w:val="cs-CZ"/>
        </w:rPr>
        <w:t>u</w:t>
      </w:r>
      <w:r w:rsidR="00057A14" w:rsidRPr="001B4A02">
        <w:rPr>
          <w:lang w:val="cs-CZ"/>
        </w:rPr>
        <w:t> </w:t>
      </w:r>
      <w:r w:rsidRPr="001B4A02">
        <w:rPr>
          <w:lang w:val="cs-CZ"/>
        </w:rPr>
        <w:t>kterých reakce na konvenční léčbu nebyla dostatečná, nebo kteří ji netolerují nebo u</w:t>
      </w:r>
      <w:r w:rsidR="00057A14" w:rsidRPr="001B4A02">
        <w:rPr>
          <w:lang w:val="cs-CZ"/>
        </w:rPr>
        <w:t> </w:t>
      </w:r>
      <w:r w:rsidRPr="001B4A02">
        <w:rPr>
          <w:lang w:val="cs-CZ"/>
        </w:rPr>
        <w:t>nichž tato léčba není vhodná.</w:t>
      </w:r>
    </w:p>
    <w:p w14:paraId="07A00045" w14:textId="77777777" w:rsidR="00F24C86" w:rsidRPr="001B4A02" w:rsidRDefault="00F24C86" w:rsidP="00F24C86">
      <w:pPr>
        <w:pStyle w:val="EMEANormal"/>
        <w:rPr>
          <w:lang w:val="cs-CZ"/>
        </w:rPr>
      </w:pPr>
    </w:p>
    <w:p w14:paraId="2036FDBB" w14:textId="77777777" w:rsidR="00F24C86" w:rsidRPr="001B4A02" w:rsidRDefault="00000000" w:rsidP="000A5426">
      <w:pPr>
        <w:outlineLvl w:val="1"/>
        <w:rPr>
          <w:b/>
        </w:rPr>
      </w:pPr>
      <w:r w:rsidRPr="001B4A02">
        <w:rPr>
          <w:b/>
        </w:rPr>
        <w:t>4.2</w:t>
      </w:r>
      <w:r w:rsidRPr="001B4A02">
        <w:rPr>
          <w:b/>
        </w:rPr>
        <w:tab/>
        <w:t>Dávkování</w:t>
      </w:r>
      <w:r w:rsidR="002378E0">
        <w:rPr>
          <w:b/>
        </w:rPr>
        <w:t xml:space="preserve"> a </w:t>
      </w:r>
      <w:r w:rsidRPr="001B4A02">
        <w:rPr>
          <w:b/>
        </w:rPr>
        <w:t>způsob podání</w:t>
      </w:r>
    </w:p>
    <w:p w14:paraId="78B0BE48" w14:textId="77777777" w:rsidR="00F24C86" w:rsidRPr="001B4A02" w:rsidRDefault="00F24C86" w:rsidP="00F24C86">
      <w:pPr>
        <w:ind w:left="0" w:firstLine="0"/>
      </w:pPr>
    </w:p>
    <w:p w14:paraId="2F80B7B5" w14:textId="77777777" w:rsidR="00F24C86" w:rsidRPr="001B4A02" w:rsidRDefault="00000000" w:rsidP="00F24C86">
      <w:pPr>
        <w:ind w:left="0" w:firstLine="0"/>
      </w:pPr>
      <w:r w:rsidRPr="001B4A02">
        <w:t>Léčba přípravkem Humira má být zahájena</w:t>
      </w:r>
      <w:r w:rsidR="002378E0">
        <w:t xml:space="preserve"> a </w:t>
      </w:r>
      <w:r w:rsidRPr="001B4A02">
        <w:t>sledována odborným lékařem se zkušenostmi v diagnostice</w:t>
      </w:r>
      <w:r w:rsidR="002378E0">
        <w:t xml:space="preserve"> a </w:t>
      </w:r>
      <w:r w:rsidRPr="001B4A02">
        <w:t>léčbě těch typů onemocnění, pro něž je přípravek Humira indikován. Oftalmologům se doporučuje terapii přípravkem Humira před jejím zahájením zkonzultovat s příslušným odborným lékařem</w:t>
      </w:r>
      <w:r w:rsidRPr="001B4A02">
        <w:rPr>
          <w:szCs w:val="22"/>
        </w:rPr>
        <w:t xml:space="preserve"> (viz bod 4.4). </w:t>
      </w:r>
      <w:r w:rsidRPr="001B4A02">
        <w:t>Pacienti léčení přípravkem Humira musí být vybaveni speciální informační kartičkou.</w:t>
      </w:r>
    </w:p>
    <w:p w14:paraId="781475CA" w14:textId="77777777" w:rsidR="00F24C86" w:rsidRPr="001B4A02" w:rsidRDefault="00F24C86" w:rsidP="00F24C86">
      <w:pPr>
        <w:ind w:left="0" w:firstLine="0"/>
      </w:pPr>
    </w:p>
    <w:p w14:paraId="43F7BAD2" w14:textId="77777777" w:rsidR="00F24C86" w:rsidRPr="001B4A02" w:rsidRDefault="00000000" w:rsidP="00F24C86">
      <w:pPr>
        <w:ind w:left="0" w:firstLine="0"/>
      </w:pPr>
      <w:r w:rsidRPr="001B4A02">
        <w:t>Po řádném proškolení v podávání injekce si pacienti mohou přípravek Humira aplikovat sami, jestliže jejich lékař rozhodne, že je to vhodné,</w:t>
      </w:r>
      <w:r w:rsidR="002378E0">
        <w:t xml:space="preserve"> a </w:t>
      </w:r>
      <w:r w:rsidRPr="001B4A02">
        <w:t>je-li zajištěn podle potřeby lékařský dohled.</w:t>
      </w:r>
    </w:p>
    <w:p w14:paraId="11C6EE9F" w14:textId="77777777" w:rsidR="00F24C86" w:rsidRPr="001B4A02" w:rsidRDefault="00F24C86" w:rsidP="00F24C86">
      <w:pPr>
        <w:ind w:left="0" w:firstLine="0"/>
      </w:pPr>
    </w:p>
    <w:p w14:paraId="17BD058F" w14:textId="77777777" w:rsidR="00F24C86" w:rsidRPr="001B4A02" w:rsidRDefault="00000000" w:rsidP="00F24C86">
      <w:pPr>
        <w:ind w:left="0" w:firstLine="0"/>
      </w:pPr>
      <w:r w:rsidRPr="001B4A02">
        <w:t>Po dobu léčby přípravkem Humira je třeba upravit dávky ostatních současně užívaných léčiv (např. kortikosteroidů a/nebo imunomodulačních léků).</w:t>
      </w:r>
    </w:p>
    <w:p w14:paraId="498AF07A" w14:textId="77777777" w:rsidR="00F24C86" w:rsidRPr="001B4A02" w:rsidRDefault="00F24C86" w:rsidP="00F24C86">
      <w:pPr>
        <w:ind w:left="0" w:firstLine="0"/>
        <w:rPr>
          <w:u w:val="single"/>
        </w:rPr>
      </w:pPr>
    </w:p>
    <w:p w14:paraId="723854A1" w14:textId="77777777" w:rsidR="00F24C86" w:rsidRPr="001B4A02" w:rsidRDefault="00000000" w:rsidP="00F24C86">
      <w:pPr>
        <w:ind w:left="0" w:firstLine="0"/>
        <w:rPr>
          <w:u w:val="single"/>
        </w:rPr>
      </w:pPr>
      <w:r w:rsidRPr="001B4A02">
        <w:rPr>
          <w:u w:val="single"/>
        </w:rPr>
        <w:t>Dávkování</w:t>
      </w:r>
    </w:p>
    <w:p w14:paraId="76139C4C" w14:textId="77777777" w:rsidR="00F24C86" w:rsidRPr="001B4A02" w:rsidRDefault="00F24C86" w:rsidP="00F24C86">
      <w:pPr>
        <w:ind w:left="0" w:firstLine="0"/>
      </w:pPr>
    </w:p>
    <w:p w14:paraId="695FFA88" w14:textId="77777777" w:rsidR="00F24C86" w:rsidRPr="001B4A02" w:rsidRDefault="00000000" w:rsidP="00F24C86">
      <w:pPr>
        <w:rPr>
          <w:u w:val="single"/>
        </w:rPr>
      </w:pPr>
      <w:r w:rsidRPr="001B4A02">
        <w:rPr>
          <w:u w:val="single"/>
        </w:rPr>
        <w:t>Pediatrická populace</w:t>
      </w:r>
    </w:p>
    <w:p w14:paraId="221B150A" w14:textId="77777777" w:rsidR="00F24C86" w:rsidRPr="001B4A02" w:rsidRDefault="00F24C86" w:rsidP="00F24C86">
      <w:pPr>
        <w:ind w:left="0" w:firstLine="0"/>
      </w:pPr>
    </w:p>
    <w:p w14:paraId="0402EE1D" w14:textId="77777777" w:rsidR="00F24C86" w:rsidRPr="001B4A02" w:rsidRDefault="00000000" w:rsidP="00F24C86">
      <w:pPr>
        <w:pStyle w:val="EMEAHeadingUnderline"/>
        <w:tabs>
          <w:tab w:val="clear" w:pos="562"/>
          <w:tab w:val="left" w:pos="708"/>
        </w:tabs>
        <w:suppressAutoHyphens w:val="0"/>
        <w:spacing w:beforeLines="0" w:before="0" w:afterLines="0" w:after="0"/>
        <w:rPr>
          <w:i/>
          <w:u w:val="none"/>
          <w:lang w:val="cs-CZ"/>
        </w:rPr>
      </w:pPr>
      <w:r w:rsidRPr="001B4A02">
        <w:rPr>
          <w:i/>
          <w:u w:val="none"/>
          <w:lang w:val="cs-CZ"/>
        </w:rPr>
        <w:t>Juvenilní idiopatická artritida</w:t>
      </w:r>
    </w:p>
    <w:p w14:paraId="7F757AF7" w14:textId="77777777" w:rsidR="00F24C86" w:rsidRPr="001B4A02" w:rsidRDefault="00F24C86" w:rsidP="00F24C86">
      <w:pPr>
        <w:pStyle w:val="EMEANormal"/>
        <w:rPr>
          <w:lang w:val="cs-CZ"/>
        </w:rPr>
      </w:pPr>
    </w:p>
    <w:p w14:paraId="58FB4AEB" w14:textId="77777777" w:rsidR="00F24C86" w:rsidRPr="001B4A02" w:rsidRDefault="00000000" w:rsidP="00F24C86">
      <w:pPr>
        <w:pStyle w:val="EMEANormal"/>
        <w:rPr>
          <w:i/>
          <w:u w:val="single"/>
          <w:lang w:val="cs-CZ"/>
        </w:rPr>
      </w:pPr>
      <w:r w:rsidRPr="001B4A02">
        <w:rPr>
          <w:i/>
          <w:u w:val="single"/>
          <w:lang w:val="cs-CZ"/>
        </w:rPr>
        <w:t>Polyartikulární juvenilní idiopatická artritida od 2 let</w:t>
      </w:r>
    </w:p>
    <w:p w14:paraId="3B75F682" w14:textId="77777777" w:rsidR="00F24C86" w:rsidRPr="001B4A02" w:rsidRDefault="00F24C86" w:rsidP="00F24C86">
      <w:pPr>
        <w:ind w:left="0" w:firstLine="0"/>
      </w:pPr>
    </w:p>
    <w:p w14:paraId="377EAA99" w14:textId="77777777" w:rsidR="00F24C86" w:rsidRPr="001B4A02" w:rsidRDefault="00000000" w:rsidP="00E14781">
      <w:pPr>
        <w:ind w:left="0" w:firstLine="0"/>
      </w:pPr>
      <w:r w:rsidRPr="001B4A02">
        <w:t xml:space="preserve">Doporučená dávka přípravku Humira pro pacienty s polyartikulární juvenilní idiopatickou artritidou, ve věku </w:t>
      </w:r>
      <w:r w:rsidR="00393D8B" w:rsidRPr="001B4A02">
        <w:t xml:space="preserve">od </w:t>
      </w:r>
      <w:r w:rsidRPr="001B4A02">
        <w:t xml:space="preserve">2 let, </w:t>
      </w:r>
      <w:r w:rsidR="00E14781" w:rsidRPr="001B4A02">
        <w:t xml:space="preserve">vychází z tělesné hmotnosti (tabulka 1). </w:t>
      </w:r>
      <w:r w:rsidR="005A3629" w:rsidRPr="001B4A02">
        <w:t xml:space="preserve">Přípravek </w:t>
      </w:r>
      <w:r w:rsidR="00596AAF" w:rsidRPr="001B4A02">
        <w:t xml:space="preserve">Humira se podává </w:t>
      </w:r>
      <w:r w:rsidR="00EA5E2D" w:rsidRPr="001B4A02">
        <w:t>jednou za dva týdny</w:t>
      </w:r>
      <w:r w:rsidR="00596AAF" w:rsidRPr="001B4A02">
        <w:t xml:space="preserve"> subkutánní injekcí</w:t>
      </w:r>
      <w:r w:rsidR="00E14781" w:rsidRPr="001B4A02">
        <w:t xml:space="preserve">. </w:t>
      </w:r>
    </w:p>
    <w:p w14:paraId="11639377" w14:textId="77777777" w:rsidR="00E14781" w:rsidRPr="001B4A02" w:rsidRDefault="00E14781" w:rsidP="00E14781">
      <w:pPr>
        <w:ind w:left="0" w:firstLine="0"/>
      </w:pPr>
    </w:p>
    <w:p w14:paraId="341CF494" w14:textId="77777777" w:rsidR="00E14781" w:rsidRPr="001B4A02" w:rsidRDefault="00000000" w:rsidP="00202301">
      <w:pPr>
        <w:ind w:left="0" w:firstLine="0"/>
        <w:jc w:val="center"/>
        <w:rPr>
          <w:b/>
        </w:rPr>
      </w:pPr>
      <w:r w:rsidRPr="001B4A02">
        <w:rPr>
          <w:b/>
        </w:rPr>
        <w:t>Tabulka 1. Dávka přípravku Humira u</w:t>
      </w:r>
      <w:r w:rsidR="00EE607C" w:rsidRPr="001B4A02">
        <w:rPr>
          <w:b/>
        </w:rPr>
        <w:t> </w:t>
      </w:r>
      <w:r w:rsidRPr="001B4A02">
        <w:rPr>
          <w:b/>
        </w:rPr>
        <w:t>pacientů s polyartikulární juvenilní idiopatickou artritidou</w:t>
      </w:r>
    </w:p>
    <w:p w14:paraId="55DF9C05" w14:textId="77777777" w:rsidR="00E14781" w:rsidRPr="001B4A02" w:rsidRDefault="00E14781" w:rsidP="00202301">
      <w:pPr>
        <w:ind w:left="0" w:firstLine="0"/>
        <w:jc w:val="center"/>
        <w:rPr>
          <w:b/>
        </w:rPr>
      </w:pPr>
    </w:p>
    <w:tbl>
      <w:tblPr>
        <w:tblW w:w="7509" w:type="dxa"/>
        <w:jc w:val="center"/>
        <w:tblLayout w:type="fixed"/>
        <w:tblLook w:val="0000" w:firstRow="0" w:lastRow="0" w:firstColumn="0" w:lastColumn="0" w:noHBand="0" w:noVBand="0"/>
      </w:tblPr>
      <w:tblGrid>
        <w:gridCol w:w="3401"/>
        <w:gridCol w:w="4108"/>
      </w:tblGrid>
      <w:tr w:rsidR="00534A2D" w14:paraId="485C8387" w14:textId="77777777" w:rsidTr="001E322F">
        <w:trPr>
          <w:tblHeader/>
          <w:jc w:val="center"/>
        </w:trPr>
        <w:tc>
          <w:tcPr>
            <w:tcW w:w="3401" w:type="dxa"/>
            <w:tcBorders>
              <w:top w:val="single" w:sz="4" w:space="0" w:color="auto"/>
              <w:bottom w:val="single" w:sz="4" w:space="0" w:color="auto"/>
            </w:tcBorders>
            <w:shd w:val="clear" w:color="auto" w:fill="auto"/>
          </w:tcPr>
          <w:p w14:paraId="7E7145E0" w14:textId="77777777" w:rsidR="00E14781" w:rsidRPr="001B4A02" w:rsidRDefault="00000000" w:rsidP="0012179D">
            <w:pPr>
              <w:pStyle w:val="TableLeft"/>
              <w:jc w:val="center"/>
              <w:rPr>
                <w:b/>
                <w:sz w:val="22"/>
                <w:szCs w:val="22"/>
                <w:lang w:val="cs-CZ"/>
              </w:rPr>
            </w:pPr>
            <w:r w:rsidRPr="001B4A02">
              <w:rPr>
                <w:b/>
                <w:sz w:val="22"/>
                <w:szCs w:val="22"/>
                <w:lang w:val="cs-CZ"/>
              </w:rPr>
              <w:t>Hmotnost pacienta</w:t>
            </w:r>
          </w:p>
        </w:tc>
        <w:tc>
          <w:tcPr>
            <w:tcW w:w="4108" w:type="dxa"/>
            <w:tcBorders>
              <w:top w:val="single" w:sz="4" w:space="0" w:color="auto"/>
              <w:bottom w:val="single" w:sz="4" w:space="0" w:color="auto"/>
            </w:tcBorders>
            <w:shd w:val="clear" w:color="auto" w:fill="auto"/>
          </w:tcPr>
          <w:p w14:paraId="5A92AF50" w14:textId="77777777" w:rsidR="00E14781" w:rsidRPr="001B4A02" w:rsidRDefault="00000000" w:rsidP="0012179D">
            <w:pPr>
              <w:pStyle w:val="TableLeft"/>
              <w:jc w:val="center"/>
              <w:rPr>
                <w:b/>
                <w:sz w:val="22"/>
                <w:szCs w:val="22"/>
                <w:lang w:val="cs-CZ"/>
              </w:rPr>
            </w:pPr>
            <w:r w:rsidRPr="001B4A02">
              <w:rPr>
                <w:b/>
                <w:sz w:val="22"/>
                <w:szCs w:val="22"/>
                <w:lang w:val="cs-CZ"/>
              </w:rPr>
              <w:t>Režim dávkování</w:t>
            </w:r>
          </w:p>
        </w:tc>
      </w:tr>
      <w:tr w:rsidR="00534A2D" w14:paraId="780FEA74" w14:textId="77777777" w:rsidTr="001E322F">
        <w:trPr>
          <w:tblHeader/>
          <w:jc w:val="center"/>
        </w:trPr>
        <w:tc>
          <w:tcPr>
            <w:tcW w:w="3401" w:type="dxa"/>
            <w:tcBorders>
              <w:top w:val="single" w:sz="4" w:space="0" w:color="auto"/>
              <w:bottom w:val="single" w:sz="4" w:space="0" w:color="auto"/>
            </w:tcBorders>
            <w:shd w:val="clear" w:color="auto" w:fill="auto"/>
          </w:tcPr>
          <w:p w14:paraId="202EA85D" w14:textId="77777777" w:rsidR="00E14781" w:rsidRPr="00005EC2" w:rsidRDefault="00000000" w:rsidP="0012179D">
            <w:pPr>
              <w:pStyle w:val="TableLeft"/>
              <w:jc w:val="center"/>
              <w:rPr>
                <w:b/>
                <w:sz w:val="22"/>
                <w:szCs w:val="22"/>
                <w:lang w:val="cs-CZ"/>
              </w:rPr>
            </w:pPr>
            <w:r w:rsidRPr="00005EC2">
              <w:rPr>
                <w:sz w:val="22"/>
                <w:szCs w:val="22"/>
                <w:lang w:val="cs-CZ"/>
              </w:rPr>
              <w:t>10</w:t>
            </w:r>
            <w:r w:rsidR="00005EC2" w:rsidRPr="00005EC2">
              <w:rPr>
                <w:sz w:val="22"/>
                <w:szCs w:val="22"/>
              </w:rPr>
              <w:t> </w:t>
            </w:r>
            <w:r w:rsidRPr="00005EC2">
              <w:rPr>
                <w:sz w:val="22"/>
                <w:szCs w:val="22"/>
                <w:lang w:val="cs-CZ"/>
              </w:rPr>
              <w:t>kg až &lt;</w:t>
            </w:r>
            <w:r w:rsidR="00057A14" w:rsidRPr="00005EC2">
              <w:rPr>
                <w:sz w:val="22"/>
                <w:szCs w:val="22"/>
                <w:lang w:val="cs-CZ"/>
              </w:rPr>
              <w:t> </w:t>
            </w:r>
            <w:r w:rsidRPr="00005EC2">
              <w:rPr>
                <w:sz w:val="22"/>
                <w:szCs w:val="22"/>
                <w:lang w:val="cs-CZ"/>
              </w:rPr>
              <w:t>30</w:t>
            </w:r>
            <w:r w:rsidR="00005EC2" w:rsidRPr="00005EC2">
              <w:rPr>
                <w:sz w:val="22"/>
                <w:szCs w:val="22"/>
              </w:rPr>
              <w:t> </w:t>
            </w:r>
            <w:r w:rsidRPr="00005EC2">
              <w:rPr>
                <w:sz w:val="22"/>
                <w:szCs w:val="22"/>
                <w:lang w:val="cs-CZ"/>
              </w:rPr>
              <w:t>kg</w:t>
            </w:r>
          </w:p>
        </w:tc>
        <w:tc>
          <w:tcPr>
            <w:tcW w:w="4108" w:type="dxa"/>
            <w:tcBorders>
              <w:top w:val="single" w:sz="4" w:space="0" w:color="auto"/>
              <w:bottom w:val="single" w:sz="4" w:space="0" w:color="auto"/>
            </w:tcBorders>
            <w:shd w:val="clear" w:color="auto" w:fill="auto"/>
          </w:tcPr>
          <w:p w14:paraId="38FDB4DA" w14:textId="77777777" w:rsidR="00E14781" w:rsidRPr="001B4A02" w:rsidRDefault="00000000" w:rsidP="0012179D">
            <w:pPr>
              <w:pStyle w:val="TableLeft"/>
              <w:jc w:val="center"/>
              <w:rPr>
                <w:b/>
                <w:sz w:val="22"/>
                <w:szCs w:val="22"/>
                <w:lang w:val="cs-CZ"/>
              </w:rPr>
            </w:pPr>
            <w:r w:rsidRPr="001B4A02">
              <w:rPr>
                <w:sz w:val="22"/>
                <w:szCs w:val="22"/>
                <w:lang w:val="cs-CZ"/>
              </w:rPr>
              <w:t>20 mg jednou za dva týdny</w:t>
            </w:r>
          </w:p>
        </w:tc>
      </w:tr>
      <w:tr w:rsidR="00534A2D" w14:paraId="59A3A47F" w14:textId="77777777" w:rsidTr="001E322F">
        <w:trPr>
          <w:tblHeader/>
          <w:jc w:val="center"/>
        </w:trPr>
        <w:tc>
          <w:tcPr>
            <w:tcW w:w="3401" w:type="dxa"/>
            <w:tcBorders>
              <w:top w:val="single" w:sz="4" w:space="0" w:color="auto"/>
              <w:bottom w:val="single" w:sz="4" w:space="0" w:color="auto"/>
            </w:tcBorders>
            <w:shd w:val="clear" w:color="auto" w:fill="auto"/>
          </w:tcPr>
          <w:p w14:paraId="15A26D7D" w14:textId="77777777" w:rsidR="00E14781" w:rsidRPr="001B4A02" w:rsidRDefault="00000000" w:rsidP="0012179D">
            <w:pPr>
              <w:pStyle w:val="TableLeft"/>
              <w:jc w:val="center"/>
              <w:rPr>
                <w:b/>
                <w:sz w:val="22"/>
                <w:szCs w:val="22"/>
                <w:lang w:val="cs-CZ"/>
              </w:rPr>
            </w:pPr>
            <w:r w:rsidRPr="001B4A02">
              <w:rPr>
                <w:sz w:val="22"/>
                <w:szCs w:val="22"/>
                <w:lang w:val="cs-CZ"/>
              </w:rPr>
              <w:t>≥</w:t>
            </w:r>
            <w:r w:rsidR="00057A14" w:rsidRPr="001B4A02">
              <w:rPr>
                <w:sz w:val="22"/>
                <w:szCs w:val="22"/>
                <w:lang w:val="cs-CZ"/>
              </w:rPr>
              <w:t> </w:t>
            </w:r>
            <w:r w:rsidRPr="001B4A02">
              <w:rPr>
                <w:sz w:val="22"/>
                <w:szCs w:val="22"/>
                <w:lang w:val="cs-CZ"/>
              </w:rPr>
              <w:t>30</w:t>
            </w:r>
            <w:r w:rsidR="00005EC2" w:rsidRPr="00005EC2">
              <w:rPr>
                <w:sz w:val="22"/>
                <w:szCs w:val="22"/>
              </w:rPr>
              <w:t> </w:t>
            </w:r>
            <w:r w:rsidRPr="001B4A02">
              <w:rPr>
                <w:sz w:val="22"/>
                <w:szCs w:val="22"/>
                <w:lang w:val="cs-CZ"/>
              </w:rPr>
              <w:t>kg</w:t>
            </w:r>
          </w:p>
        </w:tc>
        <w:tc>
          <w:tcPr>
            <w:tcW w:w="4108" w:type="dxa"/>
            <w:tcBorders>
              <w:top w:val="single" w:sz="4" w:space="0" w:color="auto"/>
              <w:bottom w:val="single" w:sz="4" w:space="0" w:color="auto"/>
            </w:tcBorders>
            <w:shd w:val="clear" w:color="auto" w:fill="auto"/>
          </w:tcPr>
          <w:p w14:paraId="134F05F1" w14:textId="77777777" w:rsidR="00E14781" w:rsidRPr="001B4A02" w:rsidRDefault="00000000" w:rsidP="0012179D">
            <w:pPr>
              <w:pStyle w:val="TableLeft"/>
              <w:jc w:val="center"/>
              <w:rPr>
                <w:b/>
                <w:sz w:val="22"/>
                <w:szCs w:val="22"/>
                <w:lang w:val="cs-CZ"/>
              </w:rPr>
            </w:pPr>
            <w:r w:rsidRPr="001B4A02">
              <w:rPr>
                <w:sz w:val="22"/>
                <w:szCs w:val="22"/>
                <w:lang w:val="cs-CZ"/>
              </w:rPr>
              <w:t>40</w:t>
            </w:r>
            <w:r w:rsidR="00005EC2" w:rsidRPr="00005EC2">
              <w:rPr>
                <w:sz w:val="22"/>
                <w:szCs w:val="22"/>
                <w:lang w:val="cs-CZ"/>
              </w:rPr>
              <w:t> </w:t>
            </w:r>
            <w:r w:rsidRPr="001B4A02">
              <w:rPr>
                <w:sz w:val="22"/>
                <w:szCs w:val="22"/>
                <w:lang w:val="cs-CZ"/>
              </w:rPr>
              <w:t>mg jednou za dva týdny</w:t>
            </w:r>
          </w:p>
        </w:tc>
      </w:tr>
    </w:tbl>
    <w:p w14:paraId="75EA93F2" w14:textId="77777777" w:rsidR="00E14781" w:rsidRPr="001B4A02" w:rsidRDefault="00E14781" w:rsidP="00202301">
      <w:pPr>
        <w:ind w:left="0" w:firstLine="0"/>
      </w:pPr>
    </w:p>
    <w:p w14:paraId="433A95C3" w14:textId="77777777" w:rsidR="00F24C86" w:rsidRPr="001B4A02" w:rsidRDefault="00000000" w:rsidP="00F24C86">
      <w:pPr>
        <w:ind w:left="0" w:firstLine="0"/>
      </w:pPr>
      <w:r w:rsidRPr="001B4A02">
        <w:t>Dostupné údaje naznačují, že klinické odpovědi je obvykle dosaženo v průběhu 12 týdnů léčby. Pokračování v léčbě je nutno pečlivě zvážit u</w:t>
      </w:r>
      <w:r w:rsidR="00EE607C" w:rsidRPr="001B4A02">
        <w:t> </w:t>
      </w:r>
      <w:r w:rsidRPr="001B4A02">
        <w:t>těch pacientů, u</w:t>
      </w:r>
      <w:r w:rsidR="00EE607C" w:rsidRPr="001B4A02">
        <w:t> </w:t>
      </w:r>
      <w:r w:rsidRPr="001B4A02">
        <w:t>kterých nedošlo během této doby k odpovědi.</w:t>
      </w:r>
    </w:p>
    <w:p w14:paraId="39903494" w14:textId="77777777" w:rsidR="00F24C86" w:rsidRPr="001B4A02" w:rsidRDefault="00F24C86" w:rsidP="00F24C86">
      <w:pPr>
        <w:ind w:left="0" w:firstLine="0"/>
      </w:pPr>
    </w:p>
    <w:p w14:paraId="6C3DEA54" w14:textId="77777777" w:rsidR="00F24C86" w:rsidRPr="001B4A02" w:rsidRDefault="00000000" w:rsidP="00F24C86">
      <w:pPr>
        <w:rPr>
          <w:color w:val="000000"/>
        </w:rPr>
      </w:pPr>
      <w:r w:rsidRPr="001B4A02">
        <w:rPr>
          <w:color w:val="000000"/>
        </w:rPr>
        <w:t>Použití přípravku Humira u</w:t>
      </w:r>
      <w:r w:rsidR="00EE607C" w:rsidRPr="001B4A02">
        <w:rPr>
          <w:color w:val="000000"/>
        </w:rPr>
        <w:t> </w:t>
      </w:r>
      <w:r w:rsidRPr="001B4A02">
        <w:rPr>
          <w:color w:val="000000"/>
        </w:rPr>
        <w:t>pacientů mladších než 2 roky není v této indikaci relevantní.</w:t>
      </w:r>
    </w:p>
    <w:p w14:paraId="1E538D2E" w14:textId="77777777" w:rsidR="00085F34" w:rsidRPr="001B4A02" w:rsidRDefault="00085F34" w:rsidP="00F24C86">
      <w:pPr>
        <w:ind w:left="0" w:firstLine="0"/>
      </w:pPr>
    </w:p>
    <w:p w14:paraId="065BF083" w14:textId="77777777" w:rsidR="00F24C86" w:rsidRPr="001B4A02" w:rsidRDefault="00000000" w:rsidP="00F24C86">
      <w:pPr>
        <w:ind w:left="0" w:firstLine="0"/>
      </w:pPr>
      <w:r w:rsidRPr="001B4A02">
        <w:t xml:space="preserve">Přípravek Humira je k dispozici v dalších silách a/nebo </w:t>
      </w:r>
      <w:r w:rsidR="000B7C84">
        <w:t>typech balení</w:t>
      </w:r>
      <w:r w:rsidRPr="001B4A02">
        <w:t>v závislosti na individuálních potřebách léčby.</w:t>
      </w:r>
    </w:p>
    <w:p w14:paraId="10267A0E" w14:textId="77777777" w:rsidR="00085F34" w:rsidRPr="001B4A02" w:rsidRDefault="00085F34" w:rsidP="00F24C86">
      <w:pPr>
        <w:ind w:left="0" w:firstLine="0"/>
        <w:rPr>
          <w:u w:val="single"/>
        </w:rPr>
      </w:pPr>
    </w:p>
    <w:p w14:paraId="2F2521DC" w14:textId="77777777" w:rsidR="00F24C86" w:rsidRPr="001B4A02" w:rsidRDefault="00000000" w:rsidP="00F24C86">
      <w:pPr>
        <w:keepNext/>
        <w:ind w:left="0" w:firstLine="0"/>
        <w:rPr>
          <w:i/>
          <w:u w:val="single"/>
        </w:rPr>
      </w:pPr>
      <w:r w:rsidRPr="001B4A02">
        <w:rPr>
          <w:i/>
          <w:u w:val="single"/>
        </w:rPr>
        <w:lastRenderedPageBreak/>
        <w:t>Entezopatická artritida</w:t>
      </w:r>
    </w:p>
    <w:p w14:paraId="3E90C64B" w14:textId="77777777" w:rsidR="00F24C86" w:rsidRPr="001B4A02" w:rsidRDefault="00F24C86" w:rsidP="00F24C86">
      <w:pPr>
        <w:keepNext/>
        <w:ind w:left="0" w:firstLine="0"/>
      </w:pPr>
    </w:p>
    <w:p w14:paraId="53140F20" w14:textId="77777777" w:rsidR="00F24C86" w:rsidRPr="001B4A02" w:rsidRDefault="00000000" w:rsidP="00F24C86">
      <w:pPr>
        <w:ind w:left="0" w:firstLine="0"/>
      </w:pPr>
      <w:r w:rsidRPr="001B4A02">
        <w:t>Doporučená dávka přípravku Humira u</w:t>
      </w:r>
      <w:r w:rsidR="00EE607C" w:rsidRPr="001B4A02">
        <w:t> </w:t>
      </w:r>
      <w:r w:rsidRPr="001B4A02">
        <w:t xml:space="preserve">pacientů s entezopatickou artritidou ve věku od 6 let </w:t>
      </w:r>
      <w:r w:rsidR="00E14781" w:rsidRPr="001B4A02">
        <w:t xml:space="preserve">vychází z tělesné hmotnosti (tabulka 2). </w:t>
      </w:r>
      <w:r w:rsidR="00596AAF" w:rsidRPr="001B4A02">
        <w:t xml:space="preserve">Humira se podává </w:t>
      </w:r>
      <w:r w:rsidR="00EA5E2D" w:rsidRPr="001B4A02">
        <w:t>jednou za dva týdny</w:t>
      </w:r>
      <w:r w:rsidR="00596AAF" w:rsidRPr="001B4A02">
        <w:t xml:space="preserve"> subkutánní injekcí</w:t>
      </w:r>
      <w:r w:rsidR="00E14781" w:rsidRPr="001B4A02">
        <w:t xml:space="preserve">. </w:t>
      </w:r>
    </w:p>
    <w:p w14:paraId="43951D56" w14:textId="77777777" w:rsidR="00E14781" w:rsidRPr="001B4A02" w:rsidRDefault="00E14781" w:rsidP="00F24C86">
      <w:pPr>
        <w:ind w:left="0" w:firstLine="0"/>
      </w:pPr>
    </w:p>
    <w:p w14:paraId="4A93367F" w14:textId="77777777" w:rsidR="00E14781" w:rsidRPr="001B4A02" w:rsidRDefault="00000000" w:rsidP="00527B4A">
      <w:pPr>
        <w:keepNext/>
        <w:ind w:left="0" w:firstLine="0"/>
        <w:jc w:val="center"/>
        <w:rPr>
          <w:b/>
        </w:rPr>
      </w:pPr>
      <w:r w:rsidRPr="001B4A02">
        <w:rPr>
          <w:b/>
        </w:rPr>
        <w:t>Tabulka 2. Dávka přípravku Humira u</w:t>
      </w:r>
      <w:r w:rsidR="00EE607C" w:rsidRPr="001B4A02">
        <w:rPr>
          <w:b/>
        </w:rPr>
        <w:t> </w:t>
      </w:r>
      <w:r w:rsidRPr="001B4A02">
        <w:rPr>
          <w:b/>
        </w:rPr>
        <w:t>pacientů s entezopatickou artritidou</w:t>
      </w:r>
    </w:p>
    <w:p w14:paraId="0C9E8034" w14:textId="77777777" w:rsidR="00E14781" w:rsidRPr="001B4A02" w:rsidRDefault="00E14781" w:rsidP="00527B4A">
      <w:pPr>
        <w:keepNext/>
        <w:ind w:left="0" w:firstLine="0"/>
        <w:jc w:val="center"/>
        <w:rPr>
          <w:b/>
        </w:rPr>
      </w:pPr>
    </w:p>
    <w:tbl>
      <w:tblPr>
        <w:tblW w:w="7509" w:type="dxa"/>
        <w:jc w:val="center"/>
        <w:tblLayout w:type="fixed"/>
        <w:tblLook w:val="0000" w:firstRow="0" w:lastRow="0" w:firstColumn="0" w:lastColumn="0" w:noHBand="0" w:noVBand="0"/>
      </w:tblPr>
      <w:tblGrid>
        <w:gridCol w:w="3401"/>
        <w:gridCol w:w="4108"/>
      </w:tblGrid>
      <w:tr w:rsidR="00534A2D" w14:paraId="2633FC18" w14:textId="77777777" w:rsidTr="001E322F">
        <w:trPr>
          <w:tblHeader/>
          <w:jc w:val="center"/>
        </w:trPr>
        <w:tc>
          <w:tcPr>
            <w:tcW w:w="3401" w:type="dxa"/>
            <w:tcBorders>
              <w:top w:val="single" w:sz="4" w:space="0" w:color="auto"/>
              <w:bottom w:val="single" w:sz="4" w:space="0" w:color="auto"/>
            </w:tcBorders>
            <w:shd w:val="clear" w:color="auto" w:fill="auto"/>
          </w:tcPr>
          <w:p w14:paraId="37A90B1B" w14:textId="77777777" w:rsidR="00E14781" w:rsidRPr="001B4A02" w:rsidRDefault="00000000" w:rsidP="00527B4A">
            <w:pPr>
              <w:pStyle w:val="TableLeft"/>
              <w:jc w:val="center"/>
              <w:rPr>
                <w:b/>
                <w:sz w:val="22"/>
                <w:szCs w:val="22"/>
                <w:lang w:val="cs-CZ"/>
              </w:rPr>
            </w:pPr>
            <w:r w:rsidRPr="001B4A02">
              <w:rPr>
                <w:b/>
                <w:sz w:val="22"/>
                <w:szCs w:val="22"/>
                <w:lang w:val="cs-CZ"/>
              </w:rPr>
              <w:t>Hmotnost pacienta</w:t>
            </w:r>
          </w:p>
        </w:tc>
        <w:tc>
          <w:tcPr>
            <w:tcW w:w="4108" w:type="dxa"/>
            <w:tcBorders>
              <w:top w:val="single" w:sz="4" w:space="0" w:color="auto"/>
              <w:bottom w:val="single" w:sz="4" w:space="0" w:color="auto"/>
            </w:tcBorders>
            <w:shd w:val="clear" w:color="auto" w:fill="auto"/>
          </w:tcPr>
          <w:p w14:paraId="6B1BD7D5" w14:textId="77777777" w:rsidR="00E14781" w:rsidRPr="001B4A02" w:rsidRDefault="00000000" w:rsidP="00527B4A">
            <w:pPr>
              <w:pStyle w:val="TableLeft"/>
              <w:jc w:val="center"/>
              <w:rPr>
                <w:b/>
                <w:sz w:val="22"/>
                <w:szCs w:val="22"/>
                <w:lang w:val="cs-CZ"/>
              </w:rPr>
            </w:pPr>
            <w:r w:rsidRPr="001B4A02">
              <w:rPr>
                <w:b/>
                <w:sz w:val="22"/>
                <w:szCs w:val="22"/>
                <w:lang w:val="cs-CZ"/>
              </w:rPr>
              <w:t>Režim dávkování</w:t>
            </w:r>
          </w:p>
        </w:tc>
      </w:tr>
      <w:tr w:rsidR="00534A2D" w14:paraId="43AF5204" w14:textId="77777777" w:rsidTr="001E322F">
        <w:trPr>
          <w:tblHeader/>
          <w:jc w:val="center"/>
        </w:trPr>
        <w:tc>
          <w:tcPr>
            <w:tcW w:w="3401" w:type="dxa"/>
            <w:tcBorders>
              <w:top w:val="single" w:sz="4" w:space="0" w:color="auto"/>
              <w:bottom w:val="single" w:sz="4" w:space="0" w:color="auto"/>
            </w:tcBorders>
            <w:shd w:val="clear" w:color="auto" w:fill="auto"/>
          </w:tcPr>
          <w:p w14:paraId="335AE5FB" w14:textId="77777777" w:rsidR="00E14781" w:rsidRPr="001B4A02" w:rsidRDefault="00000000" w:rsidP="00527B4A">
            <w:pPr>
              <w:pStyle w:val="TableLeft"/>
              <w:jc w:val="center"/>
              <w:rPr>
                <w:b/>
                <w:sz w:val="22"/>
                <w:szCs w:val="22"/>
                <w:lang w:val="cs-CZ"/>
              </w:rPr>
            </w:pPr>
            <w:r w:rsidRPr="001B4A02">
              <w:rPr>
                <w:sz w:val="22"/>
                <w:szCs w:val="22"/>
                <w:lang w:val="cs-CZ"/>
              </w:rPr>
              <w:t>15</w:t>
            </w:r>
            <w:r w:rsidR="00005EC2" w:rsidRPr="00005EC2">
              <w:rPr>
                <w:sz w:val="22"/>
                <w:szCs w:val="22"/>
              </w:rPr>
              <w:t> </w:t>
            </w:r>
            <w:r w:rsidRPr="001B4A02">
              <w:rPr>
                <w:sz w:val="22"/>
                <w:szCs w:val="22"/>
                <w:lang w:val="cs-CZ"/>
              </w:rPr>
              <w:t>kg až &lt;</w:t>
            </w:r>
            <w:r w:rsidR="00057A14" w:rsidRPr="001B4A02">
              <w:rPr>
                <w:sz w:val="22"/>
                <w:szCs w:val="22"/>
                <w:lang w:val="cs-CZ"/>
              </w:rPr>
              <w:t> </w:t>
            </w:r>
            <w:r w:rsidRPr="001B4A02">
              <w:rPr>
                <w:sz w:val="22"/>
                <w:szCs w:val="22"/>
                <w:lang w:val="cs-CZ"/>
              </w:rPr>
              <w:t>30</w:t>
            </w:r>
            <w:r w:rsidR="002767FC">
              <w:rPr>
                <w:sz w:val="22"/>
                <w:szCs w:val="22"/>
                <w:lang w:val="cs-CZ"/>
              </w:rPr>
              <w:t> kg</w:t>
            </w:r>
          </w:p>
        </w:tc>
        <w:tc>
          <w:tcPr>
            <w:tcW w:w="4108" w:type="dxa"/>
            <w:tcBorders>
              <w:top w:val="single" w:sz="4" w:space="0" w:color="auto"/>
              <w:bottom w:val="single" w:sz="4" w:space="0" w:color="auto"/>
            </w:tcBorders>
            <w:shd w:val="clear" w:color="auto" w:fill="auto"/>
          </w:tcPr>
          <w:p w14:paraId="4135B00A" w14:textId="77777777" w:rsidR="00E14781" w:rsidRPr="001B4A02" w:rsidRDefault="00000000" w:rsidP="00527B4A">
            <w:pPr>
              <w:pStyle w:val="TableLeft"/>
              <w:jc w:val="center"/>
              <w:rPr>
                <w:b/>
                <w:sz w:val="22"/>
                <w:szCs w:val="22"/>
                <w:lang w:val="cs-CZ"/>
              </w:rPr>
            </w:pPr>
            <w:r w:rsidRPr="001B4A02">
              <w:rPr>
                <w:sz w:val="22"/>
                <w:szCs w:val="22"/>
                <w:lang w:val="cs-CZ"/>
              </w:rPr>
              <w:t>20 mg jednou za dva týdny</w:t>
            </w:r>
          </w:p>
        </w:tc>
      </w:tr>
      <w:tr w:rsidR="00534A2D" w14:paraId="4CB6EA14" w14:textId="77777777" w:rsidTr="001E322F">
        <w:trPr>
          <w:tblHeader/>
          <w:jc w:val="center"/>
        </w:trPr>
        <w:tc>
          <w:tcPr>
            <w:tcW w:w="3401" w:type="dxa"/>
            <w:tcBorders>
              <w:top w:val="single" w:sz="4" w:space="0" w:color="auto"/>
              <w:bottom w:val="single" w:sz="4" w:space="0" w:color="auto"/>
            </w:tcBorders>
            <w:shd w:val="clear" w:color="auto" w:fill="auto"/>
          </w:tcPr>
          <w:p w14:paraId="37EA29E3" w14:textId="77777777" w:rsidR="00E14781" w:rsidRPr="001B4A02" w:rsidRDefault="00000000" w:rsidP="00527B4A">
            <w:pPr>
              <w:pStyle w:val="TableLeft"/>
              <w:jc w:val="center"/>
              <w:rPr>
                <w:b/>
                <w:sz w:val="22"/>
                <w:szCs w:val="22"/>
                <w:lang w:val="cs-CZ"/>
              </w:rPr>
            </w:pPr>
            <w:r w:rsidRPr="001B4A02">
              <w:rPr>
                <w:sz w:val="22"/>
                <w:szCs w:val="22"/>
                <w:lang w:val="cs-CZ"/>
              </w:rPr>
              <w:t>≥</w:t>
            </w:r>
            <w:r w:rsidR="00057A14" w:rsidRPr="001B4A02">
              <w:rPr>
                <w:sz w:val="22"/>
                <w:szCs w:val="22"/>
                <w:lang w:val="cs-CZ"/>
              </w:rPr>
              <w:t> </w:t>
            </w:r>
            <w:r w:rsidRPr="001B4A02">
              <w:rPr>
                <w:sz w:val="22"/>
                <w:szCs w:val="22"/>
                <w:lang w:val="cs-CZ"/>
              </w:rPr>
              <w:t>30</w:t>
            </w:r>
            <w:r w:rsidR="00005EC2" w:rsidRPr="00005EC2">
              <w:rPr>
                <w:sz w:val="22"/>
                <w:szCs w:val="22"/>
              </w:rPr>
              <w:t> </w:t>
            </w:r>
            <w:r w:rsidRPr="001B4A02">
              <w:rPr>
                <w:sz w:val="22"/>
                <w:szCs w:val="22"/>
                <w:lang w:val="cs-CZ"/>
              </w:rPr>
              <w:t>kg</w:t>
            </w:r>
          </w:p>
        </w:tc>
        <w:tc>
          <w:tcPr>
            <w:tcW w:w="4108" w:type="dxa"/>
            <w:tcBorders>
              <w:top w:val="single" w:sz="4" w:space="0" w:color="auto"/>
              <w:bottom w:val="single" w:sz="4" w:space="0" w:color="auto"/>
            </w:tcBorders>
            <w:shd w:val="clear" w:color="auto" w:fill="auto"/>
          </w:tcPr>
          <w:p w14:paraId="2D55B96A" w14:textId="77777777" w:rsidR="00E14781" w:rsidRPr="001B4A02" w:rsidRDefault="00000000" w:rsidP="00527B4A">
            <w:pPr>
              <w:pStyle w:val="TableLeft"/>
              <w:jc w:val="center"/>
              <w:rPr>
                <w:b/>
                <w:sz w:val="22"/>
                <w:szCs w:val="22"/>
                <w:lang w:val="cs-CZ"/>
              </w:rPr>
            </w:pPr>
            <w:r w:rsidRPr="001B4A02">
              <w:rPr>
                <w:sz w:val="22"/>
                <w:szCs w:val="22"/>
                <w:lang w:val="cs-CZ"/>
              </w:rPr>
              <w:t>40</w:t>
            </w:r>
            <w:r w:rsidR="00005EC2" w:rsidRPr="00005EC2">
              <w:rPr>
                <w:sz w:val="22"/>
                <w:szCs w:val="22"/>
                <w:lang w:val="cs-CZ"/>
              </w:rPr>
              <w:t> </w:t>
            </w:r>
            <w:r w:rsidRPr="001B4A02">
              <w:rPr>
                <w:sz w:val="22"/>
                <w:szCs w:val="22"/>
                <w:lang w:val="cs-CZ"/>
              </w:rPr>
              <w:t>mg jednou za dva týdny</w:t>
            </w:r>
          </w:p>
        </w:tc>
      </w:tr>
    </w:tbl>
    <w:p w14:paraId="203EE18D" w14:textId="77777777" w:rsidR="00E14781" w:rsidRPr="001B4A02" w:rsidRDefault="00E14781" w:rsidP="00527B4A">
      <w:pPr>
        <w:keepNext/>
        <w:ind w:left="0" w:firstLine="0"/>
      </w:pPr>
    </w:p>
    <w:p w14:paraId="275FA15C" w14:textId="77777777" w:rsidR="00F24C86" w:rsidRPr="001B4A02" w:rsidRDefault="00000000" w:rsidP="00F24C86">
      <w:pPr>
        <w:ind w:left="0" w:firstLine="0"/>
      </w:pPr>
      <w:r w:rsidRPr="001B4A02">
        <w:t>Přípravek Humira nebyl studován u pacientů s entezopatickou artritidou mladších než 6 let.</w:t>
      </w:r>
    </w:p>
    <w:p w14:paraId="1ABE16AC" w14:textId="77777777" w:rsidR="00085F34" w:rsidRPr="001B4A02" w:rsidRDefault="00085F34" w:rsidP="00F24C86">
      <w:pPr>
        <w:ind w:left="0" w:firstLine="0"/>
      </w:pPr>
    </w:p>
    <w:p w14:paraId="09788C92" w14:textId="77777777" w:rsidR="00F24C86" w:rsidRPr="001B4A02" w:rsidRDefault="00000000" w:rsidP="00F24C86">
      <w:pPr>
        <w:ind w:left="0" w:firstLine="0"/>
      </w:pPr>
      <w:r w:rsidRPr="001B4A02">
        <w:t xml:space="preserve">Přípravek </w:t>
      </w:r>
      <w:r w:rsidR="00085F34" w:rsidRPr="001B4A02">
        <w:t xml:space="preserve">Humira je k dispozici v dalších silách a/nebo </w:t>
      </w:r>
      <w:r>
        <w:t>typech balení</w:t>
      </w:r>
      <w:r w:rsidR="00085F34" w:rsidRPr="001B4A02">
        <w:t xml:space="preserve"> v závislosti na individuálních potřebách léčby.</w:t>
      </w:r>
    </w:p>
    <w:p w14:paraId="70B56679" w14:textId="77777777" w:rsidR="00085F34" w:rsidRPr="001B4A02" w:rsidRDefault="00085F34" w:rsidP="00F24C86">
      <w:pPr>
        <w:ind w:left="0" w:firstLine="0"/>
        <w:rPr>
          <w:u w:val="single"/>
        </w:rPr>
      </w:pPr>
    </w:p>
    <w:p w14:paraId="7A291AF4" w14:textId="77777777" w:rsidR="00F24C86" w:rsidRPr="007E416D" w:rsidRDefault="00000000" w:rsidP="00F24C86">
      <w:pPr>
        <w:keepNext/>
        <w:ind w:left="0" w:firstLine="0"/>
        <w:rPr>
          <w:i/>
        </w:rPr>
      </w:pPr>
      <w:r w:rsidRPr="007E416D">
        <w:rPr>
          <w:i/>
        </w:rPr>
        <w:t>Ložisková psoriáza u pediatrických pacientů</w:t>
      </w:r>
    </w:p>
    <w:p w14:paraId="15FBEB2B" w14:textId="77777777" w:rsidR="00F24C86" w:rsidRPr="001B4A02" w:rsidRDefault="00F24C86" w:rsidP="00F24C86">
      <w:pPr>
        <w:keepNext/>
        <w:ind w:left="0" w:firstLine="0"/>
      </w:pPr>
    </w:p>
    <w:p w14:paraId="7C799314" w14:textId="77777777" w:rsidR="00F24C86" w:rsidRPr="001B4A02" w:rsidRDefault="00000000" w:rsidP="00F24C86">
      <w:pPr>
        <w:ind w:left="0" w:firstLine="0"/>
      </w:pPr>
      <w:r w:rsidRPr="001B4A02">
        <w:t xml:space="preserve">Doporučená dávka přípravku Humira </w:t>
      </w:r>
      <w:r w:rsidR="00C327D5" w:rsidRPr="001B4A02">
        <w:t>u</w:t>
      </w:r>
      <w:r w:rsidR="00EE607C" w:rsidRPr="001B4A02">
        <w:t> </w:t>
      </w:r>
      <w:r w:rsidR="00C327D5" w:rsidRPr="001B4A02">
        <w:t xml:space="preserve">pacientů s ložiskovou psoriázou ve věku </w:t>
      </w:r>
      <w:r w:rsidR="00AB61E7" w:rsidRPr="001B4A02">
        <w:t>od</w:t>
      </w:r>
      <w:r w:rsidR="00C327D5" w:rsidRPr="001B4A02">
        <w:t xml:space="preserve"> 4 do 17 let vychází z tělesné hmotnosti (tabulka 3). </w:t>
      </w:r>
      <w:r w:rsidR="005A3629" w:rsidRPr="001B4A02">
        <w:t xml:space="preserve">Přípravek </w:t>
      </w:r>
      <w:r w:rsidR="00C327D5" w:rsidRPr="001B4A02">
        <w:t>Humira se podává subkutánní injekc</w:t>
      </w:r>
      <w:r w:rsidR="002A7C84" w:rsidRPr="001B4A02">
        <w:t>í</w:t>
      </w:r>
      <w:r w:rsidR="00C327D5" w:rsidRPr="001B4A02">
        <w:t xml:space="preserve">. </w:t>
      </w:r>
    </w:p>
    <w:p w14:paraId="5F0C6AE3" w14:textId="77777777" w:rsidR="00C327D5" w:rsidRPr="001B4A02" w:rsidRDefault="00C327D5" w:rsidP="00F24C86">
      <w:pPr>
        <w:ind w:left="0" w:firstLine="0"/>
      </w:pPr>
    </w:p>
    <w:p w14:paraId="7A6D73C8" w14:textId="77777777" w:rsidR="00C327D5" w:rsidRPr="001B4A02" w:rsidRDefault="00000000" w:rsidP="00C327D5">
      <w:pPr>
        <w:jc w:val="center"/>
        <w:rPr>
          <w:b/>
          <w:szCs w:val="22"/>
        </w:rPr>
      </w:pPr>
      <w:r w:rsidRPr="001B4A02">
        <w:rPr>
          <w:b/>
          <w:szCs w:val="22"/>
        </w:rPr>
        <w:t>Tabulka 3. Dávka přípravku Humira u</w:t>
      </w:r>
      <w:r w:rsidR="00EE607C" w:rsidRPr="001B4A02">
        <w:rPr>
          <w:b/>
          <w:szCs w:val="22"/>
        </w:rPr>
        <w:t> </w:t>
      </w:r>
      <w:r w:rsidRPr="001B4A02">
        <w:rPr>
          <w:b/>
          <w:szCs w:val="22"/>
        </w:rPr>
        <w:t xml:space="preserve">pediatrických pacientů s ložiskovou psoriázou </w:t>
      </w:r>
    </w:p>
    <w:p w14:paraId="53FFC062" w14:textId="77777777" w:rsidR="00C327D5" w:rsidRPr="001B4A02" w:rsidRDefault="00C327D5" w:rsidP="00C327D5">
      <w:pPr>
        <w:rPr>
          <w:szCs w:val="22"/>
        </w:rPr>
      </w:pPr>
    </w:p>
    <w:tbl>
      <w:tblPr>
        <w:tblW w:w="7509" w:type="dxa"/>
        <w:jc w:val="center"/>
        <w:tblLayout w:type="fixed"/>
        <w:tblLook w:val="0000" w:firstRow="0" w:lastRow="0" w:firstColumn="0" w:lastColumn="0" w:noHBand="0" w:noVBand="0"/>
      </w:tblPr>
      <w:tblGrid>
        <w:gridCol w:w="3401"/>
        <w:gridCol w:w="4108"/>
      </w:tblGrid>
      <w:tr w:rsidR="00534A2D" w14:paraId="2E06E019" w14:textId="77777777" w:rsidTr="00490910">
        <w:trPr>
          <w:tblHeader/>
          <w:jc w:val="center"/>
        </w:trPr>
        <w:tc>
          <w:tcPr>
            <w:tcW w:w="3401" w:type="dxa"/>
            <w:tcBorders>
              <w:top w:val="single" w:sz="4" w:space="0" w:color="auto"/>
              <w:bottom w:val="single" w:sz="4" w:space="0" w:color="auto"/>
            </w:tcBorders>
            <w:shd w:val="clear" w:color="auto" w:fill="auto"/>
          </w:tcPr>
          <w:p w14:paraId="15844BD7" w14:textId="77777777" w:rsidR="00C327D5" w:rsidRPr="001B4A02" w:rsidRDefault="00000000" w:rsidP="0012179D">
            <w:pPr>
              <w:pStyle w:val="TableLeft"/>
              <w:jc w:val="center"/>
              <w:rPr>
                <w:b/>
                <w:sz w:val="22"/>
                <w:szCs w:val="22"/>
                <w:lang w:val="cs-CZ"/>
              </w:rPr>
            </w:pPr>
            <w:r w:rsidRPr="001B4A02">
              <w:rPr>
                <w:b/>
                <w:sz w:val="22"/>
                <w:szCs w:val="22"/>
                <w:lang w:val="cs-CZ"/>
              </w:rPr>
              <w:t>Hmotnost pacienta</w:t>
            </w:r>
          </w:p>
        </w:tc>
        <w:tc>
          <w:tcPr>
            <w:tcW w:w="4108" w:type="dxa"/>
            <w:tcBorders>
              <w:top w:val="single" w:sz="4" w:space="0" w:color="auto"/>
              <w:bottom w:val="single" w:sz="4" w:space="0" w:color="auto"/>
            </w:tcBorders>
            <w:shd w:val="clear" w:color="auto" w:fill="auto"/>
          </w:tcPr>
          <w:p w14:paraId="0F5E4196" w14:textId="77777777" w:rsidR="00C327D5" w:rsidRPr="001B4A02" w:rsidRDefault="00000000" w:rsidP="0012179D">
            <w:pPr>
              <w:pStyle w:val="TableLeft"/>
              <w:jc w:val="center"/>
              <w:rPr>
                <w:b/>
                <w:sz w:val="22"/>
                <w:szCs w:val="22"/>
                <w:lang w:val="cs-CZ"/>
              </w:rPr>
            </w:pPr>
            <w:r w:rsidRPr="001B4A02">
              <w:rPr>
                <w:b/>
                <w:sz w:val="22"/>
                <w:szCs w:val="22"/>
                <w:lang w:val="cs-CZ"/>
              </w:rPr>
              <w:t>Režim dávkování</w:t>
            </w:r>
          </w:p>
        </w:tc>
      </w:tr>
      <w:tr w:rsidR="00534A2D" w14:paraId="17594BA0" w14:textId="77777777" w:rsidTr="00490910">
        <w:trPr>
          <w:tblHeader/>
          <w:jc w:val="center"/>
        </w:trPr>
        <w:tc>
          <w:tcPr>
            <w:tcW w:w="3401" w:type="dxa"/>
            <w:tcBorders>
              <w:top w:val="single" w:sz="4" w:space="0" w:color="auto"/>
              <w:bottom w:val="single" w:sz="4" w:space="0" w:color="auto"/>
            </w:tcBorders>
            <w:shd w:val="clear" w:color="auto" w:fill="auto"/>
          </w:tcPr>
          <w:p w14:paraId="58CFF94B" w14:textId="77777777" w:rsidR="00C327D5" w:rsidRPr="001B4A02" w:rsidRDefault="00000000" w:rsidP="0012179D">
            <w:pPr>
              <w:pStyle w:val="TableLeft"/>
              <w:jc w:val="center"/>
              <w:rPr>
                <w:b/>
                <w:sz w:val="22"/>
                <w:szCs w:val="22"/>
                <w:lang w:val="cs-CZ"/>
              </w:rPr>
            </w:pPr>
            <w:r w:rsidRPr="001B4A02">
              <w:rPr>
                <w:sz w:val="22"/>
                <w:szCs w:val="22"/>
                <w:lang w:val="cs-CZ"/>
              </w:rPr>
              <w:t>15</w:t>
            </w:r>
            <w:r w:rsidR="002767FC">
              <w:rPr>
                <w:sz w:val="22"/>
                <w:szCs w:val="22"/>
                <w:lang w:val="cs-CZ"/>
              </w:rPr>
              <w:t> kg</w:t>
            </w:r>
            <w:r w:rsidRPr="001B4A02">
              <w:rPr>
                <w:sz w:val="22"/>
                <w:szCs w:val="22"/>
                <w:lang w:val="cs-CZ"/>
              </w:rPr>
              <w:t xml:space="preserve"> až &lt;</w:t>
            </w:r>
            <w:r w:rsidR="00057A14" w:rsidRPr="001B4A02">
              <w:rPr>
                <w:sz w:val="22"/>
                <w:szCs w:val="22"/>
                <w:lang w:val="cs-CZ"/>
              </w:rPr>
              <w:t> </w:t>
            </w:r>
            <w:r w:rsidRPr="001B4A02">
              <w:rPr>
                <w:sz w:val="22"/>
                <w:szCs w:val="22"/>
                <w:lang w:val="cs-CZ"/>
              </w:rPr>
              <w:t>30</w:t>
            </w:r>
            <w:r w:rsidR="002767FC">
              <w:rPr>
                <w:sz w:val="22"/>
                <w:szCs w:val="22"/>
                <w:lang w:val="cs-CZ"/>
              </w:rPr>
              <w:t> kg</w:t>
            </w:r>
          </w:p>
        </w:tc>
        <w:tc>
          <w:tcPr>
            <w:tcW w:w="4108" w:type="dxa"/>
            <w:tcBorders>
              <w:top w:val="single" w:sz="4" w:space="0" w:color="auto"/>
              <w:bottom w:val="single" w:sz="4" w:space="0" w:color="auto"/>
            </w:tcBorders>
            <w:shd w:val="clear" w:color="auto" w:fill="auto"/>
          </w:tcPr>
          <w:p w14:paraId="3D9BA6C3" w14:textId="77777777" w:rsidR="00C327D5" w:rsidRPr="001B4A02" w:rsidRDefault="00000000" w:rsidP="0012179D">
            <w:pPr>
              <w:pStyle w:val="TableLeft"/>
              <w:jc w:val="center"/>
              <w:rPr>
                <w:b/>
                <w:sz w:val="22"/>
                <w:szCs w:val="22"/>
                <w:lang w:val="cs-CZ"/>
              </w:rPr>
            </w:pPr>
            <w:r w:rsidRPr="001B4A02">
              <w:rPr>
                <w:sz w:val="22"/>
                <w:szCs w:val="22"/>
                <w:lang w:val="cs-CZ"/>
              </w:rPr>
              <w:t>Úvodní dávka 20 mg s</w:t>
            </w:r>
            <w:r w:rsidR="00706381" w:rsidRPr="001B4A02">
              <w:rPr>
                <w:sz w:val="22"/>
                <w:szCs w:val="22"/>
                <w:lang w:val="cs-CZ"/>
              </w:rPr>
              <w:t> </w:t>
            </w:r>
            <w:r w:rsidRPr="001B4A02">
              <w:rPr>
                <w:sz w:val="22"/>
                <w:szCs w:val="22"/>
                <w:lang w:val="cs-CZ"/>
              </w:rPr>
              <w:t xml:space="preserve">následným podáváním 20 mg jednou za dva týdny od </w:t>
            </w:r>
            <w:r w:rsidR="00D54C0A" w:rsidRPr="001B4A02">
              <w:rPr>
                <w:sz w:val="22"/>
                <w:szCs w:val="22"/>
                <w:lang w:val="cs-CZ"/>
              </w:rPr>
              <w:t>jednoho týdne po úvodní dávce</w:t>
            </w:r>
          </w:p>
        </w:tc>
      </w:tr>
      <w:tr w:rsidR="00534A2D" w14:paraId="571A0605" w14:textId="77777777" w:rsidTr="00490910">
        <w:trPr>
          <w:tblHeader/>
          <w:jc w:val="center"/>
        </w:trPr>
        <w:tc>
          <w:tcPr>
            <w:tcW w:w="3401" w:type="dxa"/>
            <w:tcBorders>
              <w:top w:val="single" w:sz="4" w:space="0" w:color="auto"/>
              <w:bottom w:val="single" w:sz="4" w:space="0" w:color="auto"/>
            </w:tcBorders>
            <w:shd w:val="clear" w:color="auto" w:fill="auto"/>
          </w:tcPr>
          <w:p w14:paraId="57B70939" w14:textId="77777777" w:rsidR="00C327D5" w:rsidRPr="001B4A02" w:rsidRDefault="00000000" w:rsidP="0012179D">
            <w:pPr>
              <w:pStyle w:val="TableLeft"/>
              <w:jc w:val="center"/>
              <w:rPr>
                <w:b/>
                <w:sz w:val="22"/>
                <w:szCs w:val="22"/>
                <w:lang w:val="cs-CZ"/>
              </w:rPr>
            </w:pPr>
            <w:r w:rsidRPr="001B4A02">
              <w:rPr>
                <w:sz w:val="22"/>
                <w:szCs w:val="22"/>
                <w:lang w:val="cs-CZ"/>
              </w:rPr>
              <w:t>≥</w:t>
            </w:r>
            <w:r w:rsidR="00057A14" w:rsidRPr="001B4A02">
              <w:rPr>
                <w:sz w:val="22"/>
                <w:szCs w:val="22"/>
                <w:lang w:val="cs-CZ"/>
              </w:rPr>
              <w:t> </w:t>
            </w:r>
            <w:r w:rsidRPr="001B4A02">
              <w:rPr>
                <w:sz w:val="22"/>
                <w:szCs w:val="22"/>
                <w:lang w:val="cs-CZ"/>
              </w:rPr>
              <w:t>30</w:t>
            </w:r>
            <w:r w:rsidR="002767FC">
              <w:rPr>
                <w:sz w:val="22"/>
                <w:szCs w:val="22"/>
                <w:lang w:val="cs-CZ"/>
              </w:rPr>
              <w:t> kg</w:t>
            </w:r>
          </w:p>
        </w:tc>
        <w:tc>
          <w:tcPr>
            <w:tcW w:w="4108" w:type="dxa"/>
            <w:tcBorders>
              <w:top w:val="single" w:sz="4" w:space="0" w:color="auto"/>
              <w:bottom w:val="single" w:sz="4" w:space="0" w:color="auto"/>
            </w:tcBorders>
            <w:shd w:val="clear" w:color="auto" w:fill="auto"/>
          </w:tcPr>
          <w:p w14:paraId="23E9B037" w14:textId="77777777" w:rsidR="00C327D5" w:rsidRPr="001B4A02" w:rsidRDefault="00000000" w:rsidP="0012179D">
            <w:pPr>
              <w:pStyle w:val="TableLeft"/>
              <w:jc w:val="center"/>
              <w:rPr>
                <w:b/>
                <w:sz w:val="22"/>
                <w:szCs w:val="22"/>
                <w:lang w:val="cs-CZ"/>
              </w:rPr>
            </w:pPr>
            <w:r w:rsidRPr="001B4A02">
              <w:rPr>
                <w:sz w:val="22"/>
                <w:szCs w:val="22"/>
                <w:lang w:val="cs-CZ"/>
              </w:rPr>
              <w:t>Úvodní dávk</w:t>
            </w:r>
            <w:r w:rsidR="00D611EF" w:rsidRPr="001B4A02">
              <w:rPr>
                <w:sz w:val="22"/>
                <w:szCs w:val="22"/>
                <w:lang w:val="cs-CZ"/>
              </w:rPr>
              <w:t>a</w:t>
            </w:r>
            <w:r w:rsidRPr="001B4A02">
              <w:rPr>
                <w:sz w:val="22"/>
                <w:szCs w:val="22"/>
                <w:lang w:val="cs-CZ"/>
              </w:rPr>
              <w:t xml:space="preserve"> 40 mg s</w:t>
            </w:r>
            <w:r w:rsidR="00706381" w:rsidRPr="001B4A02">
              <w:rPr>
                <w:sz w:val="22"/>
                <w:szCs w:val="22"/>
                <w:lang w:val="cs-CZ"/>
              </w:rPr>
              <w:t> </w:t>
            </w:r>
            <w:r w:rsidRPr="001B4A02">
              <w:rPr>
                <w:sz w:val="22"/>
                <w:szCs w:val="22"/>
                <w:lang w:val="cs-CZ"/>
              </w:rPr>
              <w:t>následným podáváním 40 mg jednou za dva týdny od jednoho týdne po úvodní dávce</w:t>
            </w:r>
          </w:p>
        </w:tc>
      </w:tr>
    </w:tbl>
    <w:p w14:paraId="1C65D811" w14:textId="77777777" w:rsidR="00C327D5" w:rsidRPr="001B4A02" w:rsidRDefault="00C327D5" w:rsidP="00F24C86">
      <w:pPr>
        <w:ind w:left="0" w:firstLine="0"/>
      </w:pPr>
    </w:p>
    <w:p w14:paraId="0A1ECD62" w14:textId="77777777" w:rsidR="0012179D" w:rsidRPr="001B4A02" w:rsidRDefault="00000000" w:rsidP="0012179D">
      <w:pPr>
        <w:pStyle w:val="EMEANormal"/>
        <w:rPr>
          <w:lang w:val="cs-CZ"/>
        </w:rPr>
      </w:pPr>
      <w:r w:rsidRPr="001B4A02">
        <w:rPr>
          <w:szCs w:val="22"/>
          <w:lang w:val="cs-CZ"/>
        </w:rPr>
        <w:t>Pokračování léčby nad 16 týdnů by mělo být pečlivě zváženo u</w:t>
      </w:r>
      <w:r w:rsidR="00706381" w:rsidRPr="001B4A02">
        <w:rPr>
          <w:szCs w:val="22"/>
          <w:lang w:val="cs-CZ"/>
        </w:rPr>
        <w:t> </w:t>
      </w:r>
      <w:r w:rsidRPr="001B4A02">
        <w:rPr>
          <w:szCs w:val="22"/>
          <w:lang w:val="cs-CZ"/>
        </w:rPr>
        <w:t>pacientů, u</w:t>
      </w:r>
      <w:r w:rsidR="00706381" w:rsidRPr="001B4A02">
        <w:rPr>
          <w:szCs w:val="22"/>
          <w:lang w:val="cs-CZ"/>
        </w:rPr>
        <w:t> </w:t>
      </w:r>
      <w:r w:rsidRPr="001B4A02">
        <w:rPr>
          <w:szCs w:val="22"/>
          <w:lang w:val="cs-CZ"/>
        </w:rPr>
        <w:t>kterých během tohoto období nedošlo k</w:t>
      </w:r>
      <w:r w:rsidR="00C735ED" w:rsidRPr="001B4A02">
        <w:rPr>
          <w:szCs w:val="22"/>
          <w:lang w:val="cs-CZ"/>
        </w:rPr>
        <w:t> </w:t>
      </w:r>
      <w:r w:rsidRPr="001B4A02">
        <w:rPr>
          <w:szCs w:val="22"/>
          <w:lang w:val="cs-CZ"/>
        </w:rPr>
        <w:t>žádnému zlepšení.</w:t>
      </w:r>
    </w:p>
    <w:p w14:paraId="5AB9EDD6" w14:textId="77777777" w:rsidR="0012179D" w:rsidRPr="001B4A02" w:rsidRDefault="0012179D" w:rsidP="00F24C86">
      <w:pPr>
        <w:ind w:left="0" w:firstLine="0"/>
      </w:pPr>
    </w:p>
    <w:p w14:paraId="29E5FE4A" w14:textId="77777777" w:rsidR="00F24C86" w:rsidRPr="001B4A02" w:rsidRDefault="00000000" w:rsidP="00F24C86">
      <w:pPr>
        <w:ind w:left="0" w:firstLine="0"/>
      </w:pPr>
      <w:r w:rsidRPr="001B4A02">
        <w:t>Je-li léčba přípravkem Humira indikována opětovně, měl by být dodržen výše uvedený postup dávkování</w:t>
      </w:r>
      <w:r w:rsidR="002378E0">
        <w:t xml:space="preserve"> a </w:t>
      </w:r>
      <w:r w:rsidRPr="001B4A02">
        <w:t>trvání léčby.</w:t>
      </w:r>
    </w:p>
    <w:p w14:paraId="775924A9" w14:textId="77777777" w:rsidR="00F24C86" w:rsidRPr="001B4A02" w:rsidRDefault="00F24C86" w:rsidP="00F24C86">
      <w:pPr>
        <w:ind w:left="0" w:firstLine="0"/>
      </w:pPr>
    </w:p>
    <w:p w14:paraId="31E0680C" w14:textId="77777777" w:rsidR="00F24C86" w:rsidRPr="001B4A02" w:rsidRDefault="00000000" w:rsidP="00F24C86">
      <w:pPr>
        <w:ind w:left="0" w:firstLine="0"/>
      </w:pPr>
      <w:r w:rsidRPr="001B4A02">
        <w:t>Bezpečnost přípravku Humira u</w:t>
      </w:r>
      <w:r w:rsidR="00706381" w:rsidRPr="001B4A02">
        <w:t> </w:t>
      </w:r>
      <w:r w:rsidRPr="001B4A02">
        <w:t>pediatrických pacientů s ložiskovou psoriázou byla hodnocena průměrně 13 měsíců.</w:t>
      </w:r>
    </w:p>
    <w:p w14:paraId="0904698E" w14:textId="77777777" w:rsidR="00F24C86" w:rsidRPr="001B4A02" w:rsidRDefault="00F24C86" w:rsidP="00F24C86">
      <w:pPr>
        <w:ind w:left="0" w:firstLine="0"/>
      </w:pPr>
    </w:p>
    <w:p w14:paraId="09523439" w14:textId="77777777" w:rsidR="00F24C86" w:rsidRPr="001B4A02" w:rsidRDefault="00000000" w:rsidP="00F24C86">
      <w:pPr>
        <w:ind w:left="0" w:firstLine="0"/>
      </w:pPr>
      <w:r w:rsidRPr="001B4A02">
        <w:t>Použití přípravku Humira u</w:t>
      </w:r>
      <w:r w:rsidR="00EE607C" w:rsidRPr="001B4A02">
        <w:t> </w:t>
      </w:r>
      <w:r w:rsidRPr="001B4A02">
        <w:t>dětí mladších než 4 roky není v této indikaci relevantní.</w:t>
      </w:r>
    </w:p>
    <w:p w14:paraId="31AA14B2" w14:textId="77777777" w:rsidR="00085F34" w:rsidRPr="001B4A02" w:rsidRDefault="00085F34" w:rsidP="00F24C86">
      <w:pPr>
        <w:ind w:left="0" w:firstLine="0"/>
      </w:pPr>
    </w:p>
    <w:p w14:paraId="64E8CE06" w14:textId="77777777" w:rsidR="00085F34" w:rsidRPr="001B4A02" w:rsidRDefault="00000000" w:rsidP="00F24C86">
      <w:pPr>
        <w:ind w:left="0" w:firstLine="0"/>
      </w:pPr>
      <w:r w:rsidRPr="001B4A02">
        <w:t xml:space="preserve">Přípravek Humira je k dispozici v dalších silách a/nebo </w:t>
      </w:r>
      <w:r w:rsidR="00B952F4">
        <w:t>typech balení</w:t>
      </w:r>
      <w:r w:rsidRPr="001B4A02">
        <w:t xml:space="preserve"> v závislosti na individuálních potřebách léčby.</w:t>
      </w:r>
    </w:p>
    <w:p w14:paraId="5234A275" w14:textId="77777777" w:rsidR="00085F34" w:rsidRPr="001B4A02" w:rsidRDefault="00085F34" w:rsidP="00F24C86">
      <w:pPr>
        <w:ind w:left="0" w:firstLine="0"/>
      </w:pPr>
    </w:p>
    <w:p w14:paraId="48493A05" w14:textId="77777777" w:rsidR="00F24C86" w:rsidRPr="001B4A02" w:rsidRDefault="00000000" w:rsidP="00F24C86">
      <w:pPr>
        <w:ind w:left="0" w:firstLine="0"/>
        <w:rPr>
          <w:i/>
        </w:rPr>
      </w:pPr>
      <w:r w:rsidRPr="001B4A02">
        <w:rPr>
          <w:i/>
        </w:rPr>
        <w:t>Crohnova choroba u pediatrických pacientů</w:t>
      </w:r>
    </w:p>
    <w:p w14:paraId="3C43B1A6" w14:textId="77777777" w:rsidR="00F24C86" w:rsidRPr="001B4A02" w:rsidRDefault="00F24C86" w:rsidP="00F24C86">
      <w:pPr>
        <w:ind w:left="0" w:firstLine="0"/>
      </w:pPr>
    </w:p>
    <w:p w14:paraId="0C03135C" w14:textId="77777777" w:rsidR="00F24C86" w:rsidRPr="001B4A02" w:rsidRDefault="00000000" w:rsidP="00F24C86">
      <w:pPr>
        <w:ind w:left="0" w:firstLine="0"/>
      </w:pPr>
      <w:r w:rsidRPr="001B4A02">
        <w:t>Doporučen</w:t>
      </w:r>
      <w:r w:rsidR="003941F6" w:rsidRPr="001B4A02">
        <w:t>á</w:t>
      </w:r>
      <w:r w:rsidRPr="001B4A02">
        <w:t xml:space="preserve"> dávk</w:t>
      </w:r>
      <w:r w:rsidR="003941F6" w:rsidRPr="001B4A02">
        <w:t>a</w:t>
      </w:r>
      <w:r w:rsidRPr="001B4A02">
        <w:t xml:space="preserve"> přípravku Humira u pacientů s</w:t>
      </w:r>
      <w:r w:rsidR="00706381" w:rsidRPr="001B4A02">
        <w:t> </w:t>
      </w:r>
      <w:r w:rsidRPr="001B4A02">
        <w:t xml:space="preserve">Crohnovou chorobou </w:t>
      </w:r>
      <w:r w:rsidR="0012179D" w:rsidRPr="001B4A02">
        <w:t xml:space="preserve">ve věku od 6 do 17 let vychází z tělesné hmotnosti (tabulka 4). </w:t>
      </w:r>
      <w:r w:rsidR="005A3629" w:rsidRPr="001B4A02">
        <w:t xml:space="preserve">Přípravek </w:t>
      </w:r>
      <w:r w:rsidR="0012179D" w:rsidRPr="001B4A02">
        <w:t>Humira se podává subkutánní injekc</w:t>
      </w:r>
      <w:r w:rsidR="002A7C84" w:rsidRPr="001B4A02">
        <w:t>í</w:t>
      </w:r>
      <w:r w:rsidR="0012179D" w:rsidRPr="001B4A02">
        <w:t>.</w:t>
      </w:r>
    </w:p>
    <w:p w14:paraId="6D0A7308" w14:textId="77777777" w:rsidR="0012179D" w:rsidRPr="001B4A02" w:rsidRDefault="0012179D" w:rsidP="00F24C86">
      <w:pPr>
        <w:ind w:left="0" w:firstLine="0"/>
      </w:pPr>
    </w:p>
    <w:p w14:paraId="44EBE61A" w14:textId="77777777" w:rsidR="0012179D" w:rsidRPr="001B4A02" w:rsidRDefault="00000000" w:rsidP="0012179D">
      <w:pPr>
        <w:keepNext/>
        <w:jc w:val="center"/>
        <w:rPr>
          <w:b/>
          <w:szCs w:val="22"/>
        </w:rPr>
      </w:pPr>
      <w:r w:rsidRPr="001B4A02">
        <w:rPr>
          <w:b/>
          <w:szCs w:val="22"/>
        </w:rPr>
        <w:lastRenderedPageBreak/>
        <w:t>Tabulka 4. Dávka přípravku Humira u</w:t>
      </w:r>
      <w:r w:rsidR="00EE607C" w:rsidRPr="001B4A02">
        <w:rPr>
          <w:b/>
          <w:szCs w:val="22"/>
        </w:rPr>
        <w:t> </w:t>
      </w:r>
      <w:r w:rsidRPr="001B4A02">
        <w:rPr>
          <w:b/>
          <w:szCs w:val="22"/>
        </w:rPr>
        <w:t>pediatrických pacientů s Crohnovou chorobou</w:t>
      </w:r>
    </w:p>
    <w:p w14:paraId="28E75860" w14:textId="77777777" w:rsidR="0012179D" w:rsidRPr="001B4A02" w:rsidRDefault="0012179D" w:rsidP="0012179D">
      <w:pPr>
        <w:keepNext/>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09"/>
        <w:gridCol w:w="6223"/>
        <w:gridCol w:w="1423"/>
      </w:tblGrid>
      <w:tr w:rsidR="00534A2D" w14:paraId="03FCCBBE" w14:textId="77777777" w:rsidTr="00202301">
        <w:trPr>
          <w:tblHeader/>
        </w:trPr>
        <w:tc>
          <w:tcPr>
            <w:tcW w:w="0" w:type="auto"/>
            <w:tcBorders>
              <w:top w:val="single" w:sz="6" w:space="0" w:color="000000"/>
              <w:left w:val="single" w:sz="6" w:space="0" w:color="000000"/>
              <w:bottom w:val="single" w:sz="6" w:space="0" w:color="000000"/>
              <w:right w:val="single" w:sz="6" w:space="0" w:color="000000"/>
            </w:tcBorders>
            <w:hideMark/>
          </w:tcPr>
          <w:p w14:paraId="4E36280D" w14:textId="77777777" w:rsidR="0012179D" w:rsidRPr="001B4A02" w:rsidRDefault="00000000" w:rsidP="00202301">
            <w:pPr>
              <w:keepNext/>
              <w:ind w:left="0" w:firstLine="0"/>
              <w:jc w:val="center"/>
            </w:pPr>
            <w:r w:rsidRPr="001B4A02">
              <w:rPr>
                <w:b/>
              </w:rPr>
              <w:t>Hmotnost pacienta</w:t>
            </w:r>
          </w:p>
        </w:tc>
        <w:tc>
          <w:tcPr>
            <w:tcW w:w="3436" w:type="pct"/>
            <w:tcBorders>
              <w:top w:val="single" w:sz="6" w:space="0" w:color="000000"/>
              <w:left w:val="single" w:sz="6" w:space="0" w:color="000000"/>
              <w:bottom w:val="single" w:sz="6" w:space="0" w:color="000000"/>
              <w:right w:val="single" w:sz="6" w:space="0" w:color="000000"/>
            </w:tcBorders>
            <w:hideMark/>
          </w:tcPr>
          <w:p w14:paraId="0EAB5803" w14:textId="77777777" w:rsidR="0012179D" w:rsidRPr="001B4A02" w:rsidRDefault="00000000" w:rsidP="00202301">
            <w:pPr>
              <w:keepNext/>
              <w:ind w:left="0" w:firstLine="0"/>
              <w:jc w:val="center"/>
            </w:pPr>
            <w:r w:rsidRPr="001B4A02">
              <w:rPr>
                <w:b/>
              </w:rPr>
              <w:t>Indukční dávka</w:t>
            </w:r>
          </w:p>
        </w:tc>
        <w:tc>
          <w:tcPr>
            <w:tcW w:w="786" w:type="pct"/>
            <w:tcBorders>
              <w:top w:val="single" w:sz="6" w:space="0" w:color="000000"/>
              <w:left w:val="single" w:sz="6" w:space="0" w:color="000000"/>
              <w:bottom w:val="single" w:sz="6" w:space="0" w:color="000000"/>
              <w:right w:val="single" w:sz="6" w:space="0" w:color="000000"/>
            </w:tcBorders>
            <w:hideMark/>
          </w:tcPr>
          <w:p w14:paraId="5E5C2409" w14:textId="77777777" w:rsidR="0012179D" w:rsidRPr="001B4A02" w:rsidRDefault="00000000" w:rsidP="00202301">
            <w:pPr>
              <w:keepNext/>
              <w:ind w:left="0" w:firstLine="0"/>
              <w:jc w:val="center"/>
              <w:rPr>
                <w:b/>
              </w:rPr>
            </w:pPr>
            <w:r w:rsidRPr="001B4A02">
              <w:rPr>
                <w:b/>
              </w:rPr>
              <w:t>Udržovací dávka</w:t>
            </w:r>
          </w:p>
          <w:p w14:paraId="0FDF48E9" w14:textId="77777777" w:rsidR="0012179D" w:rsidRPr="001B4A02" w:rsidRDefault="00000000" w:rsidP="00202301">
            <w:pPr>
              <w:keepNext/>
              <w:ind w:left="0" w:firstLine="0"/>
              <w:jc w:val="center"/>
            </w:pPr>
            <w:r w:rsidRPr="001B4A02">
              <w:rPr>
                <w:b/>
              </w:rPr>
              <w:t>od týdne 4</w:t>
            </w:r>
          </w:p>
        </w:tc>
      </w:tr>
      <w:tr w:rsidR="00534A2D" w14:paraId="7C2BD8C1" w14:textId="77777777" w:rsidTr="00202301">
        <w:tc>
          <w:tcPr>
            <w:tcW w:w="0" w:type="auto"/>
            <w:tcBorders>
              <w:top w:val="single" w:sz="6" w:space="0" w:color="000000"/>
              <w:left w:val="single" w:sz="6" w:space="0" w:color="000000"/>
              <w:bottom w:val="single" w:sz="6" w:space="0" w:color="000000"/>
              <w:right w:val="single" w:sz="6" w:space="0" w:color="000000"/>
            </w:tcBorders>
            <w:hideMark/>
          </w:tcPr>
          <w:p w14:paraId="1420FB3D" w14:textId="77777777" w:rsidR="0012179D" w:rsidRPr="001B4A02" w:rsidRDefault="00000000" w:rsidP="00202301">
            <w:pPr>
              <w:keepNext/>
              <w:ind w:left="0" w:firstLine="0"/>
              <w:jc w:val="center"/>
            </w:pPr>
            <w:r w:rsidRPr="001B4A02">
              <w:t>&lt;</w:t>
            </w:r>
            <w:r w:rsidR="00057A14" w:rsidRPr="001B4A02">
              <w:t> </w:t>
            </w:r>
            <w:r w:rsidRPr="001B4A02">
              <w:t>40</w:t>
            </w:r>
            <w:r w:rsidR="002767FC">
              <w:t> kg</w:t>
            </w:r>
          </w:p>
        </w:tc>
        <w:tc>
          <w:tcPr>
            <w:tcW w:w="3436" w:type="pct"/>
            <w:tcBorders>
              <w:top w:val="single" w:sz="6" w:space="0" w:color="000000"/>
              <w:left w:val="single" w:sz="6" w:space="0" w:color="000000"/>
              <w:bottom w:val="single" w:sz="6" w:space="0" w:color="000000"/>
              <w:right w:val="single" w:sz="6" w:space="0" w:color="000000"/>
            </w:tcBorders>
            <w:hideMark/>
          </w:tcPr>
          <w:p w14:paraId="50530403" w14:textId="77777777" w:rsidR="0012179D" w:rsidRPr="001B4A02" w:rsidRDefault="00000000" w:rsidP="00202301">
            <w:pPr>
              <w:keepNext/>
              <w:numPr>
                <w:ilvl w:val="0"/>
                <w:numId w:val="242"/>
              </w:numPr>
              <w:ind w:left="203" w:hanging="14"/>
              <w:rPr>
                <w:szCs w:val="22"/>
              </w:rPr>
            </w:pPr>
            <w:r w:rsidRPr="001B4A02">
              <w:rPr>
                <w:szCs w:val="22"/>
              </w:rPr>
              <w:t>40 mg v týdnu 0</w:t>
            </w:r>
            <w:r w:rsidR="002378E0">
              <w:rPr>
                <w:szCs w:val="22"/>
              </w:rPr>
              <w:t xml:space="preserve"> a </w:t>
            </w:r>
            <w:r w:rsidRPr="001B4A02">
              <w:rPr>
                <w:szCs w:val="22"/>
              </w:rPr>
              <w:t>20 mg v týdnu 2</w:t>
            </w:r>
          </w:p>
          <w:p w14:paraId="1BCDD16A" w14:textId="77777777" w:rsidR="0012179D" w:rsidRPr="001B4A02" w:rsidRDefault="0012179D" w:rsidP="00202301">
            <w:pPr>
              <w:keepNext/>
              <w:ind w:left="203" w:hanging="14"/>
              <w:rPr>
                <w:szCs w:val="22"/>
              </w:rPr>
            </w:pPr>
          </w:p>
          <w:p w14:paraId="41E79FAE" w14:textId="77777777" w:rsidR="0012179D" w:rsidRPr="001B4A02" w:rsidRDefault="00000000" w:rsidP="00202301">
            <w:pPr>
              <w:keepNext/>
              <w:ind w:left="203" w:hanging="14"/>
              <w:rPr>
                <w:szCs w:val="22"/>
              </w:rPr>
            </w:pPr>
            <w:r w:rsidRPr="001B4A02">
              <w:rPr>
                <w:szCs w:val="22"/>
              </w:rPr>
              <w:t>V případě, že je nutná rychlejší odpověď s vědomím, že riziko nežádoucích účinků může být vyšší při použití vyšší indukční dávky, může být použita následující dávka:</w:t>
            </w:r>
          </w:p>
          <w:p w14:paraId="6DE5BDAF" w14:textId="77777777" w:rsidR="0012179D" w:rsidRPr="001B4A02" w:rsidRDefault="00000000" w:rsidP="00202301">
            <w:pPr>
              <w:keepNext/>
              <w:numPr>
                <w:ilvl w:val="0"/>
                <w:numId w:val="244"/>
              </w:numPr>
              <w:ind w:left="203" w:hanging="14"/>
              <w:rPr>
                <w:iCs/>
                <w:szCs w:val="22"/>
              </w:rPr>
            </w:pPr>
            <w:r w:rsidRPr="001B4A02">
              <w:rPr>
                <w:szCs w:val="22"/>
              </w:rPr>
              <w:t>80 mg v týdnu 0</w:t>
            </w:r>
            <w:r w:rsidR="002378E0">
              <w:rPr>
                <w:szCs w:val="22"/>
              </w:rPr>
              <w:t xml:space="preserve"> a </w:t>
            </w:r>
            <w:r w:rsidRPr="001B4A02">
              <w:rPr>
                <w:szCs w:val="22"/>
              </w:rPr>
              <w:t>40 mg v týdnu 2</w:t>
            </w:r>
          </w:p>
        </w:tc>
        <w:tc>
          <w:tcPr>
            <w:tcW w:w="786" w:type="pct"/>
            <w:tcBorders>
              <w:top w:val="single" w:sz="6" w:space="0" w:color="000000"/>
              <w:left w:val="single" w:sz="6" w:space="0" w:color="000000"/>
              <w:bottom w:val="single" w:sz="6" w:space="0" w:color="000000"/>
              <w:right w:val="single" w:sz="6" w:space="0" w:color="000000"/>
            </w:tcBorders>
            <w:hideMark/>
          </w:tcPr>
          <w:p w14:paraId="21AADCDC" w14:textId="77777777" w:rsidR="0012179D" w:rsidRPr="001B4A02" w:rsidRDefault="00000000" w:rsidP="00202301">
            <w:pPr>
              <w:keepNext/>
              <w:ind w:left="0" w:firstLine="0"/>
              <w:jc w:val="center"/>
            </w:pPr>
            <w:r w:rsidRPr="001B4A02">
              <w:t xml:space="preserve">20 mg jednou </w:t>
            </w:r>
          </w:p>
          <w:p w14:paraId="32E7A82F" w14:textId="77777777" w:rsidR="0012179D" w:rsidRPr="001B4A02" w:rsidRDefault="00000000" w:rsidP="00202301">
            <w:pPr>
              <w:keepNext/>
              <w:ind w:left="0" w:firstLine="0"/>
              <w:jc w:val="center"/>
            </w:pPr>
            <w:r w:rsidRPr="001B4A02">
              <w:t>za dva týdny</w:t>
            </w:r>
          </w:p>
        </w:tc>
      </w:tr>
      <w:tr w:rsidR="00534A2D" w14:paraId="2A645C00" w14:textId="77777777" w:rsidTr="00202301">
        <w:tc>
          <w:tcPr>
            <w:tcW w:w="0" w:type="auto"/>
            <w:tcBorders>
              <w:top w:val="single" w:sz="6" w:space="0" w:color="000000"/>
              <w:left w:val="single" w:sz="6" w:space="0" w:color="000000"/>
              <w:bottom w:val="single" w:sz="6" w:space="0" w:color="000000"/>
              <w:right w:val="single" w:sz="6" w:space="0" w:color="000000"/>
            </w:tcBorders>
            <w:hideMark/>
          </w:tcPr>
          <w:p w14:paraId="39276178" w14:textId="77777777" w:rsidR="0012179D" w:rsidRPr="001B4A02" w:rsidRDefault="00000000" w:rsidP="00202301">
            <w:pPr>
              <w:keepNext/>
              <w:ind w:left="0" w:firstLine="0"/>
              <w:jc w:val="center"/>
            </w:pPr>
            <w:r w:rsidRPr="001B4A02">
              <w:t>≥</w:t>
            </w:r>
            <w:r w:rsidR="00057A14" w:rsidRPr="001B4A02">
              <w:t> </w:t>
            </w:r>
            <w:r w:rsidRPr="001B4A02">
              <w:t>40</w:t>
            </w:r>
            <w:r w:rsidR="002767FC">
              <w:t> kg</w:t>
            </w:r>
          </w:p>
        </w:tc>
        <w:tc>
          <w:tcPr>
            <w:tcW w:w="3436" w:type="pct"/>
            <w:tcBorders>
              <w:top w:val="single" w:sz="6" w:space="0" w:color="000000"/>
              <w:left w:val="single" w:sz="6" w:space="0" w:color="000000"/>
              <w:bottom w:val="single" w:sz="6" w:space="0" w:color="000000"/>
              <w:right w:val="single" w:sz="6" w:space="0" w:color="000000"/>
            </w:tcBorders>
            <w:hideMark/>
          </w:tcPr>
          <w:p w14:paraId="36D30E16" w14:textId="77777777" w:rsidR="0012179D" w:rsidRPr="001B4A02" w:rsidRDefault="00000000" w:rsidP="00202301">
            <w:pPr>
              <w:keepNext/>
              <w:numPr>
                <w:ilvl w:val="0"/>
                <w:numId w:val="245"/>
              </w:numPr>
              <w:ind w:left="203" w:hanging="14"/>
              <w:rPr>
                <w:szCs w:val="22"/>
              </w:rPr>
            </w:pPr>
            <w:r w:rsidRPr="001B4A02">
              <w:rPr>
                <w:szCs w:val="22"/>
              </w:rPr>
              <w:t>80 mg v týdnu 0</w:t>
            </w:r>
            <w:r w:rsidR="002378E0">
              <w:rPr>
                <w:szCs w:val="22"/>
              </w:rPr>
              <w:t xml:space="preserve"> a </w:t>
            </w:r>
            <w:r w:rsidRPr="001B4A02">
              <w:rPr>
                <w:szCs w:val="22"/>
              </w:rPr>
              <w:t>40 mg v týdnu 2</w:t>
            </w:r>
          </w:p>
          <w:p w14:paraId="59D0457F" w14:textId="77777777" w:rsidR="0012179D" w:rsidRPr="001B4A02" w:rsidRDefault="0012179D" w:rsidP="00202301">
            <w:pPr>
              <w:keepNext/>
              <w:ind w:left="203" w:hanging="14"/>
              <w:rPr>
                <w:szCs w:val="22"/>
              </w:rPr>
            </w:pPr>
          </w:p>
          <w:p w14:paraId="2606FB5F" w14:textId="77777777" w:rsidR="0012179D" w:rsidRPr="001B4A02" w:rsidRDefault="00000000" w:rsidP="00202301">
            <w:pPr>
              <w:keepNext/>
              <w:ind w:left="203" w:hanging="14"/>
              <w:rPr>
                <w:iCs/>
                <w:szCs w:val="22"/>
              </w:rPr>
            </w:pPr>
            <w:r w:rsidRPr="001B4A02">
              <w:rPr>
                <w:szCs w:val="22"/>
              </w:rPr>
              <w:t>V případě, že je nutná rychlejší odpověď s vědomím, že riziko nežádoucích účinků může být vyšší při použití vyšší indukční dávky, může být použita následující dávka:</w:t>
            </w:r>
          </w:p>
          <w:p w14:paraId="74E62401" w14:textId="77777777" w:rsidR="0012179D" w:rsidRPr="001B4A02" w:rsidRDefault="00000000" w:rsidP="00202301">
            <w:pPr>
              <w:keepNext/>
              <w:numPr>
                <w:ilvl w:val="0"/>
                <w:numId w:val="243"/>
              </w:numPr>
              <w:ind w:left="203" w:hanging="14"/>
              <w:rPr>
                <w:szCs w:val="22"/>
              </w:rPr>
            </w:pPr>
            <w:r w:rsidRPr="001B4A02">
              <w:rPr>
                <w:szCs w:val="22"/>
              </w:rPr>
              <w:t>160 mg v týdnu 0</w:t>
            </w:r>
            <w:r w:rsidR="002378E0">
              <w:rPr>
                <w:szCs w:val="22"/>
              </w:rPr>
              <w:t xml:space="preserve"> a </w:t>
            </w:r>
            <w:r w:rsidRPr="001B4A02">
              <w:rPr>
                <w:szCs w:val="22"/>
              </w:rPr>
              <w:t>80 mg v týdnu 2</w:t>
            </w:r>
          </w:p>
        </w:tc>
        <w:tc>
          <w:tcPr>
            <w:tcW w:w="786" w:type="pct"/>
            <w:tcBorders>
              <w:top w:val="single" w:sz="6" w:space="0" w:color="000000"/>
              <w:left w:val="single" w:sz="6" w:space="0" w:color="000000"/>
              <w:bottom w:val="single" w:sz="6" w:space="0" w:color="000000"/>
              <w:right w:val="single" w:sz="6" w:space="0" w:color="000000"/>
            </w:tcBorders>
            <w:hideMark/>
          </w:tcPr>
          <w:p w14:paraId="3C0038EB" w14:textId="77777777" w:rsidR="0012179D" w:rsidRPr="001B4A02" w:rsidRDefault="00000000" w:rsidP="00202301">
            <w:pPr>
              <w:keepNext/>
              <w:ind w:left="0" w:firstLine="0"/>
              <w:jc w:val="center"/>
            </w:pPr>
            <w:r w:rsidRPr="001B4A02">
              <w:t xml:space="preserve">40 mg jednou </w:t>
            </w:r>
          </w:p>
          <w:p w14:paraId="6F946144" w14:textId="77777777" w:rsidR="0012179D" w:rsidRPr="001B4A02" w:rsidRDefault="00000000" w:rsidP="00202301">
            <w:pPr>
              <w:keepNext/>
              <w:ind w:left="0" w:firstLine="0"/>
              <w:jc w:val="center"/>
            </w:pPr>
            <w:r w:rsidRPr="001B4A02">
              <w:t>za dva týdny</w:t>
            </w:r>
          </w:p>
        </w:tc>
      </w:tr>
    </w:tbl>
    <w:p w14:paraId="672A2DDC" w14:textId="77777777" w:rsidR="0012179D" w:rsidRPr="001B4A02" w:rsidRDefault="0012179D" w:rsidP="00F24C86">
      <w:pPr>
        <w:ind w:left="0" w:firstLine="0"/>
      </w:pPr>
    </w:p>
    <w:p w14:paraId="582E4429" w14:textId="77777777" w:rsidR="00F24C86" w:rsidRPr="001B4A02" w:rsidRDefault="00000000" w:rsidP="00F24C86">
      <w:pPr>
        <w:pStyle w:val="EMEANormal"/>
        <w:tabs>
          <w:tab w:val="clear" w:pos="562"/>
          <w:tab w:val="left" w:pos="708"/>
        </w:tabs>
        <w:suppressAutoHyphens w:val="0"/>
        <w:rPr>
          <w:lang w:val="cs-CZ"/>
        </w:rPr>
      </w:pPr>
      <w:r w:rsidRPr="001B4A02">
        <w:rPr>
          <w:lang w:val="cs-CZ"/>
        </w:rPr>
        <w:t>Pacienti s nedostatečnou odpovědí mohou mít přínos ze zvýšení dávkování:</w:t>
      </w:r>
    </w:p>
    <w:p w14:paraId="01F9C0AD" w14:textId="77777777" w:rsidR="0012179D" w:rsidRPr="001B4A02" w:rsidRDefault="00000000" w:rsidP="0012179D">
      <w:pPr>
        <w:keepNext/>
        <w:numPr>
          <w:ilvl w:val="0"/>
          <w:numId w:val="246"/>
        </w:numPr>
        <w:tabs>
          <w:tab w:val="left" w:pos="540"/>
        </w:tabs>
        <w:suppressAutoHyphens/>
      </w:pPr>
      <w:r w:rsidRPr="001B4A02">
        <w:t>&lt; 40</w:t>
      </w:r>
      <w:r w:rsidR="002767FC">
        <w:t> kg</w:t>
      </w:r>
      <w:r w:rsidRPr="001B4A02">
        <w:t>: 20 mg týdně</w:t>
      </w:r>
    </w:p>
    <w:p w14:paraId="65614FEA" w14:textId="77777777" w:rsidR="0012179D" w:rsidRPr="001B4A02" w:rsidRDefault="00000000" w:rsidP="0012179D">
      <w:pPr>
        <w:keepNext/>
        <w:numPr>
          <w:ilvl w:val="0"/>
          <w:numId w:val="246"/>
        </w:numPr>
        <w:tabs>
          <w:tab w:val="left" w:pos="540"/>
        </w:tabs>
        <w:suppressAutoHyphens/>
      </w:pPr>
      <w:r w:rsidRPr="001B4A02">
        <w:t>≥ 40 kg: 40 mg týdně</w:t>
      </w:r>
      <w:r w:rsidR="00085F34" w:rsidRPr="001B4A02">
        <w:t xml:space="preserve"> nebo 80</w:t>
      </w:r>
      <w:r w:rsidR="00005EC2" w:rsidRPr="00005EC2">
        <w:rPr>
          <w:szCs w:val="22"/>
        </w:rPr>
        <w:t> </w:t>
      </w:r>
      <w:r w:rsidR="00085F34" w:rsidRPr="001B4A02">
        <w:t>mg jednou za dva týdny</w:t>
      </w:r>
    </w:p>
    <w:p w14:paraId="61439E26" w14:textId="77777777" w:rsidR="00F24C86" w:rsidRPr="001B4A02" w:rsidRDefault="00F24C86" w:rsidP="00F24C86">
      <w:pPr>
        <w:pStyle w:val="EMEANormal"/>
        <w:tabs>
          <w:tab w:val="clear" w:pos="562"/>
          <w:tab w:val="left" w:pos="708"/>
        </w:tabs>
        <w:suppressAutoHyphens w:val="0"/>
        <w:rPr>
          <w:lang w:val="cs-CZ"/>
        </w:rPr>
      </w:pPr>
    </w:p>
    <w:p w14:paraId="7A16F5FD" w14:textId="77777777" w:rsidR="00F24C86" w:rsidRPr="001B4A02" w:rsidRDefault="00000000" w:rsidP="00F24C86">
      <w:pPr>
        <w:pStyle w:val="EMEANormal"/>
        <w:tabs>
          <w:tab w:val="clear" w:pos="562"/>
          <w:tab w:val="left" w:pos="708"/>
        </w:tabs>
        <w:suppressAutoHyphens w:val="0"/>
        <w:rPr>
          <w:lang w:val="cs-CZ"/>
        </w:rPr>
      </w:pPr>
      <w:r w:rsidRPr="001B4A02">
        <w:rPr>
          <w:lang w:val="cs-CZ"/>
        </w:rPr>
        <w:t>Pokračování v léčbě je třeba pečlivě zvážit u</w:t>
      </w:r>
      <w:r w:rsidR="000D1F8F" w:rsidRPr="001B4A02">
        <w:rPr>
          <w:lang w:val="cs-CZ"/>
        </w:rPr>
        <w:t> </w:t>
      </w:r>
      <w:r w:rsidRPr="001B4A02">
        <w:rPr>
          <w:lang w:val="cs-CZ"/>
        </w:rPr>
        <w:t>pacientů, u</w:t>
      </w:r>
      <w:r w:rsidR="000D1F8F" w:rsidRPr="001B4A02">
        <w:rPr>
          <w:lang w:val="cs-CZ"/>
        </w:rPr>
        <w:t> </w:t>
      </w:r>
      <w:r w:rsidRPr="001B4A02">
        <w:rPr>
          <w:lang w:val="cs-CZ"/>
        </w:rPr>
        <w:t>nichž se nerozvine odpověď na léčbu do 12. týdne.</w:t>
      </w:r>
    </w:p>
    <w:p w14:paraId="5DE7D11C" w14:textId="77777777" w:rsidR="00F24C86" w:rsidRPr="001B4A02" w:rsidRDefault="00F24C86" w:rsidP="00F24C86">
      <w:pPr>
        <w:pStyle w:val="EMEANormal"/>
        <w:tabs>
          <w:tab w:val="clear" w:pos="562"/>
          <w:tab w:val="left" w:pos="708"/>
        </w:tabs>
        <w:suppressAutoHyphens w:val="0"/>
        <w:rPr>
          <w:lang w:val="cs-CZ"/>
        </w:rPr>
      </w:pPr>
    </w:p>
    <w:p w14:paraId="214E1616" w14:textId="77777777" w:rsidR="00F24C86" w:rsidRPr="001B4A02" w:rsidRDefault="00000000" w:rsidP="00F24C86">
      <w:pPr>
        <w:rPr>
          <w:color w:val="000000"/>
        </w:rPr>
      </w:pPr>
      <w:r w:rsidRPr="001B4A02">
        <w:rPr>
          <w:color w:val="000000"/>
        </w:rPr>
        <w:t>Použití přípravku Humira u</w:t>
      </w:r>
      <w:r w:rsidR="000D1F8F" w:rsidRPr="001B4A02">
        <w:rPr>
          <w:color w:val="000000"/>
        </w:rPr>
        <w:t> </w:t>
      </w:r>
      <w:r w:rsidRPr="001B4A02">
        <w:rPr>
          <w:color w:val="000000"/>
        </w:rPr>
        <w:t>dětí mladších než 6 let není v této indikaci relevantní.</w:t>
      </w:r>
    </w:p>
    <w:p w14:paraId="4BB20795" w14:textId="77777777" w:rsidR="00F24C86" w:rsidRPr="001B4A02" w:rsidRDefault="00F24C86" w:rsidP="00F24C86">
      <w:pPr>
        <w:rPr>
          <w:color w:val="000000"/>
        </w:rPr>
      </w:pPr>
    </w:p>
    <w:p w14:paraId="07D9C4CF" w14:textId="77777777" w:rsidR="00085F34" w:rsidRPr="001B4A02" w:rsidRDefault="00000000" w:rsidP="00085F34">
      <w:pPr>
        <w:ind w:left="0" w:firstLine="0"/>
      </w:pPr>
      <w:r w:rsidRPr="001B4A02">
        <w:t xml:space="preserve">Přípravek Humira je k dispozici v dalších silách a/nebo </w:t>
      </w:r>
      <w:r w:rsidR="00B952F4">
        <w:t>typech balení</w:t>
      </w:r>
      <w:r w:rsidRPr="001B4A02">
        <w:t xml:space="preserve"> v závislosti na individuálních potřebách léčby.</w:t>
      </w:r>
    </w:p>
    <w:p w14:paraId="485FFF55" w14:textId="77777777" w:rsidR="00085F34" w:rsidRPr="001B4A02" w:rsidRDefault="00085F34" w:rsidP="00F24C86">
      <w:pPr>
        <w:rPr>
          <w:color w:val="000000"/>
        </w:rPr>
      </w:pPr>
    </w:p>
    <w:p w14:paraId="25D33A52" w14:textId="77777777" w:rsidR="00F24C86" w:rsidRPr="001B4A02" w:rsidRDefault="00000000" w:rsidP="00F24C86">
      <w:pPr>
        <w:keepNext/>
        <w:rPr>
          <w:i/>
          <w:color w:val="000000"/>
        </w:rPr>
      </w:pPr>
      <w:r w:rsidRPr="001B4A02">
        <w:rPr>
          <w:i/>
          <w:color w:val="000000"/>
        </w:rPr>
        <w:t>Uveitida u pediatrických pacientů</w:t>
      </w:r>
    </w:p>
    <w:p w14:paraId="3371187B" w14:textId="77777777" w:rsidR="00F24C86" w:rsidRPr="001B4A02" w:rsidRDefault="00F24C86" w:rsidP="00F24C86">
      <w:pPr>
        <w:keepNext/>
        <w:rPr>
          <w:color w:val="000000"/>
        </w:rPr>
      </w:pPr>
    </w:p>
    <w:p w14:paraId="14C50579" w14:textId="77777777" w:rsidR="00F24C86" w:rsidRPr="001B4A02" w:rsidRDefault="00000000" w:rsidP="0012179D">
      <w:pPr>
        <w:ind w:left="0" w:firstLine="0"/>
      </w:pPr>
      <w:r w:rsidRPr="001B4A02">
        <w:rPr>
          <w:szCs w:val="22"/>
        </w:rPr>
        <w:t xml:space="preserve">Doporučená dávka přípravku Humira </w:t>
      </w:r>
      <w:r w:rsidR="0012179D" w:rsidRPr="001B4A02">
        <w:rPr>
          <w:szCs w:val="22"/>
        </w:rPr>
        <w:t>u</w:t>
      </w:r>
      <w:r w:rsidR="00283310" w:rsidRPr="001B4A02">
        <w:rPr>
          <w:szCs w:val="22"/>
        </w:rPr>
        <w:t> </w:t>
      </w:r>
      <w:r w:rsidR="0012179D" w:rsidRPr="001B4A02">
        <w:rPr>
          <w:szCs w:val="22"/>
        </w:rPr>
        <w:t xml:space="preserve">pediatrických pacientů s uveitidou od 2 let vychází z tělesné hmotnosti (tabulka 5). </w:t>
      </w:r>
      <w:r w:rsidR="005A3629" w:rsidRPr="001B4A02">
        <w:t xml:space="preserve">Přípravek </w:t>
      </w:r>
      <w:r w:rsidR="0012179D" w:rsidRPr="001B4A02">
        <w:t>Humira se podává subkutánní injekc</w:t>
      </w:r>
      <w:r w:rsidR="002A7C84" w:rsidRPr="001B4A02">
        <w:t>í</w:t>
      </w:r>
      <w:r w:rsidR="0012179D" w:rsidRPr="001B4A02">
        <w:t>.</w:t>
      </w:r>
    </w:p>
    <w:p w14:paraId="656F9DD0" w14:textId="77777777" w:rsidR="00601F04" w:rsidRPr="001B4A02" w:rsidRDefault="00601F04" w:rsidP="0012179D">
      <w:pPr>
        <w:ind w:left="0" w:firstLine="0"/>
      </w:pPr>
    </w:p>
    <w:p w14:paraId="060630DF" w14:textId="77777777" w:rsidR="00601F04" w:rsidRPr="001B4A02" w:rsidRDefault="00000000" w:rsidP="0012179D">
      <w:pPr>
        <w:ind w:left="0" w:firstLine="0"/>
      </w:pPr>
      <w:r w:rsidRPr="001B4A02">
        <w:t>U pediatrické uveitidy nejsou žádné zkušenosti s léčbou přípravkem Humira bez současné léčby methotrexátem.</w:t>
      </w:r>
    </w:p>
    <w:p w14:paraId="368D9B9A" w14:textId="77777777" w:rsidR="00601F04" w:rsidRPr="001B4A02" w:rsidRDefault="00601F04" w:rsidP="0012179D">
      <w:pPr>
        <w:ind w:left="0" w:firstLine="0"/>
      </w:pPr>
    </w:p>
    <w:p w14:paraId="71972C73" w14:textId="77777777" w:rsidR="00601F04" w:rsidRPr="001B4A02" w:rsidRDefault="00000000" w:rsidP="00601F04">
      <w:pPr>
        <w:jc w:val="center"/>
        <w:rPr>
          <w:b/>
          <w:szCs w:val="22"/>
        </w:rPr>
      </w:pPr>
      <w:r w:rsidRPr="001B4A02">
        <w:rPr>
          <w:b/>
          <w:szCs w:val="22"/>
        </w:rPr>
        <w:t>Tabulka 5. Dávka přípravku Humira u</w:t>
      </w:r>
      <w:r w:rsidR="00706381" w:rsidRPr="001B4A02">
        <w:rPr>
          <w:b/>
          <w:szCs w:val="22"/>
        </w:rPr>
        <w:t> </w:t>
      </w:r>
      <w:r w:rsidRPr="001B4A02">
        <w:rPr>
          <w:b/>
          <w:szCs w:val="22"/>
        </w:rPr>
        <w:t>pediatrických pacientů s</w:t>
      </w:r>
      <w:r w:rsidR="00706381" w:rsidRPr="001B4A02">
        <w:rPr>
          <w:b/>
          <w:szCs w:val="22"/>
        </w:rPr>
        <w:t> </w:t>
      </w:r>
      <w:r w:rsidRPr="001B4A02">
        <w:rPr>
          <w:b/>
          <w:szCs w:val="22"/>
        </w:rPr>
        <w:t>uveitidou</w:t>
      </w:r>
    </w:p>
    <w:p w14:paraId="4F9118E2" w14:textId="77777777" w:rsidR="00601F04" w:rsidRPr="001B4A02" w:rsidRDefault="00601F04" w:rsidP="00601F04">
      <w:pPr>
        <w:jc w:val="center"/>
      </w:pPr>
    </w:p>
    <w:tbl>
      <w:tblPr>
        <w:tblW w:w="7509" w:type="dxa"/>
        <w:jc w:val="center"/>
        <w:tblLayout w:type="fixed"/>
        <w:tblLook w:val="0000" w:firstRow="0" w:lastRow="0" w:firstColumn="0" w:lastColumn="0" w:noHBand="0" w:noVBand="0"/>
      </w:tblPr>
      <w:tblGrid>
        <w:gridCol w:w="3401"/>
        <w:gridCol w:w="4108"/>
      </w:tblGrid>
      <w:tr w:rsidR="00534A2D" w14:paraId="66EA675A" w14:textId="77777777" w:rsidTr="00202301">
        <w:trPr>
          <w:tblHeader/>
          <w:jc w:val="center"/>
        </w:trPr>
        <w:tc>
          <w:tcPr>
            <w:tcW w:w="3401" w:type="dxa"/>
            <w:tcBorders>
              <w:top w:val="single" w:sz="4" w:space="0" w:color="auto"/>
              <w:bottom w:val="single" w:sz="4" w:space="0" w:color="auto"/>
            </w:tcBorders>
            <w:shd w:val="clear" w:color="auto" w:fill="auto"/>
          </w:tcPr>
          <w:p w14:paraId="0C747F87" w14:textId="77777777" w:rsidR="00601F04" w:rsidRPr="001B4A02" w:rsidRDefault="00000000" w:rsidP="00A5191B">
            <w:pPr>
              <w:pStyle w:val="TableLeft"/>
              <w:jc w:val="center"/>
              <w:rPr>
                <w:b/>
                <w:sz w:val="22"/>
                <w:szCs w:val="22"/>
                <w:lang w:val="cs-CZ"/>
              </w:rPr>
            </w:pPr>
            <w:r w:rsidRPr="001B4A02">
              <w:rPr>
                <w:b/>
                <w:sz w:val="22"/>
                <w:szCs w:val="22"/>
                <w:lang w:val="cs-CZ"/>
              </w:rPr>
              <w:t>Hmotnost pacienta</w:t>
            </w:r>
          </w:p>
        </w:tc>
        <w:tc>
          <w:tcPr>
            <w:tcW w:w="4108" w:type="dxa"/>
            <w:tcBorders>
              <w:top w:val="single" w:sz="4" w:space="0" w:color="auto"/>
              <w:bottom w:val="single" w:sz="4" w:space="0" w:color="auto"/>
            </w:tcBorders>
            <w:shd w:val="clear" w:color="auto" w:fill="auto"/>
          </w:tcPr>
          <w:p w14:paraId="6C4D2752" w14:textId="77777777" w:rsidR="00601F04" w:rsidRPr="001B4A02" w:rsidRDefault="00000000" w:rsidP="00A5191B">
            <w:pPr>
              <w:pStyle w:val="TableLeft"/>
              <w:jc w:val="center"/>
              <w:rPr>
                <w:b/>
                <w:sz w:val="22"/>
                <w:szCs w:val="22"/>
                <w:lang w:val="cs-CZ"/>
              </w:rPr>
            </w:pPr>
            <w:r w:rsidRPr="001B4A02">
              <w:rPr>
                <w:b/>
                <w:sz w:val="22"/>
                <w:szCs w:val="22"/>
                <w:lang w:val="cs-CZ"/>
              </w:rPr>
              <w:t>Režim dávkování</w:t>
            </w:r>
          </w:p>
        </w:tc>
      </w:tr>
      <w:tr w:rsidR="00534A2D" w14:paraId="6F87598C" w14:textId="77777777" w:rsidTr="00202301">
        <w:trPr>
          <w:tblHeader/>
          <w:jc w:val="center"/>
        </w:trPr>
        <w:tc>
          <w:tcPr>
            <w:tcW w:w="3401" w:type="dxa"/>
            <w:tcBorders>
              <w:top w:val="single" w:sz="4" w:space="0" w:color="auto"/>
              <w:bottom w:val="single" w:sz="4" w:space="0" w:color="auto"/>
            </w:tcBorders>
            <w:shd w:val="clear" w:color="auto" w:fill="auto"/>
          </w:tcPr>
          <w:p w14:paraId="498BDD8F" w14:textId="77777777" w:rsidR="00601F04" w:rsidRPr="001B4A02" w:rsidRDefault="00000000" w:rsidP="00A5191B">
            <w:pPr>
              <w:pStyle w:val="TableLeft"/>
              <w:jc w:val="center"/>
              <w:rPr>
                <w:b/>
                <w:sz w:val="22"/>
                <w:szCs w:val="22"/>
                <w:lang w:val="cs-CZ"/>
              </w:rPr>
            </w:pPr>
            <w:r w:rsidRPr="001B4A02">
              <w:rPr>
                <w:sz w:val="22"/>
                <w:szCs w:val="22"/>
                <w:lang w:val="cs-CZ"/>
              </w:rPr>
              <w:t>&lt;</w:t>
            </w:r>
            <w:r w:rsidR="00057A14" w:rsidRPr="001B4A02">
              <w:rPr>
                <w:sz w:val="22"/>
                <w:szCs w:val="22"/>
                <w:lang w:val="cs-CZ"/>
              </w:rPr>
              <w:t> </w:t>
            </w:r>
            <w:r w:rsidRPr="001B4A02">
              <w:rPr>
                <w:sz w:val="22"/>
                <w:szCs w:val="22"/>
                <w:lang w:val="cs-CZ"/>
              </w:rPr>
              <w:t>30</w:t>
            </w:r>
            <w:r w:rsidR="002767FC">
              <w:rPr>
                <w:sz w:val="22"/>
                <w:szCs w:val="22"/>
                <w:lang w:val="cs-CZ"/>
              </w:rPr>
              <w:t> kg</w:t>
            </w:r>
          </w:p>
        </w:tc>
        <w:tc>
          <w:tcPr>
            <w:tcW w:w="4108" w:type="dxa"/>
            <w:tcBorders>
              <w:top w:val="single" w:sz="4" w:space="0" w:color="auto"/>
              <w:bottom w:val="single" w:sz="4" w:space="0" w:color="auto"/>
            </w:tcBorders>
            <w:shd w:val="clear" w:color="auto" w:fill="auto"/>
          </w:tcPr>
          <w:p w14:paraId="15BF8614" w14:textId="77777777" w:rsidR="00601F04" w:rsidRPr="001B4A02" w:rsidRDefault="00000000" w:rsidP="00A5191B">
            <w:pPr>
              <w:pStyle w:val="TableLeft"/>
              <w:jc w:val="center"/>
              <w:rPr>
                <w:b/>
                <w:sz w:val="22"/>
                <w:szCs w:val="22"/>
                <w:lang w:val="cs-CZ"/>
              </w:rPr>
            </w:pPr>
            <w:r w:rsidRPr="001B4A02">
              <w:rPr>
                <w:sz w:val="22"/>
                <w:szCs w:val="22"/>
                <w:lang w:val="cs-CZ"/>
              </w:rPr>
              <w:t>20 mg jednou za dva týdny v</w:t>
            </w:r>
            <w:r w:rsidR="00202301" w:rsidRPr="001B4A02">
              <w:rPr>
                <w:sz w:val="22"/>
                <w:szCs w:val="22"/>
                <w:lang w:val="cs-CZ"/>
              </w:rPr>
              <w:t> </w:t>
            </w:r>
            <w:r w:rsidRPr="001B4A02">
              <w:rPr>
                <w:sz w:val="22"/>
                <w:szCs w:val="22"/>
                <w:lang w:val="cs-CZ"/>
              </w:rPr>
              <w:t>kombinaci s</w:t>
            </w:r>
            <w:r w:rsidR="00202301" w:rsidRPr="001B4A02">
              <w:rPr>
                <w:sz w:val="22"/>
                <w:szCs w:val="22"/>
                <w:lang w:val="cs-CZ"/>
              </w:rPr>
              <w:t> </w:t>
            </w:r>
            <w:r w:rsidRPr="001B4A02">
              <w:rPr>
                <w:sz w:val="22"/>
                <w:szCs w:val="22"/>
                <w:lang w:val="cs-CZ"/>
              </w:rPr>
              <w:t>methotrexátem</w:t>
            </w:r>
          </w:p>
        </w:tc>
      </w:tr>
      <w:tr w:rsidR="00534A2D" w14:paraId="2F683B97" w14:textId="77777777" w:rsidTr="00202301">
        <w:trPr>
          <w:tblHeader/>
          <w:jc w:val="center"/>
        </w:trPr>
        <w:tc>
          <w:tcPr>
            <w:tcW w:w="3401" w:type="dxa"/>
            <w:tcBorders>
              <w:top w:val="single" w:sz="4" w:space="0" w:color="auto"/>
              <w:bottom w:val="single" w:sz="4" w:space="0" w:color="auto"/>
            </w:tcBorders>
            <w:shd w:val="clear" w:color="auto" w:fill="auto"/>
          </w:tcPr>
          <w:p w14:paraId="3683371D" w14:textId="77777777" w:rsidR="00601F04" w:rsidRPr="001B4A02" w:rsidRDefault="00000000" w:rsidP="00A5191B">
            <w:pPr>
              <w:pStyle w:val="TableLeft"/>
              <w:jc w:val="center"/>
              <w:rPr>
                <w:b/>
                <w:sz w:val="22"/>
                <w:szCs w:val="22"/>
                <w:lang w:val="cs-CZ"/>
              </w:rPr>
            </w:pPr>
            <w:r w:rsidRPr="001B4A02">
              <w:rPr>
                <w:sz w:val="22"/>
                <w:szCs w:val="22"/>
                <w:lang w:val="cs-CZ"/>
              </w:rPr>
              <w:t>≥</w:t>
            </w:r>
            <w:r w:rsidR="00057A14" w:rsidRPr="001B4A02">
              <w:rPr>
                <w:sz w:val="22"/>
                <w:szCs w:val="22"/>
                <w:lang w:val="cs-CZ"/>
              </w:rPr>
              <w:t> </w:t>
            </w:r>
            <w:r w:rsidRPr="001B4A02">
              <w:rPr>
                <w:sz w:val="22"/>
                <w:szCs w:val="22"/>
                <w:lang w:val="cs-CZ"/>
              </w:rPr>
              <w:t>30</w:t>
            </w:r>
            <w:r w:rsidR="002767FC">
              <w:rPr>
                <w:sz w:val="22"/>
                <w:szCs w:val="22"/>
                <w:lang w:val="cs-CZ"/>
              </w:rPr>
              <w:t> kg</w:t>
            </w:r>
          </w:p>
        </w:tc>
        <w:tc>
          <w:tcPr>
            <w:tcW w:w="4108" w:type="dxa"/>
            <w:tcBorders>
              <w:top w:val="single" w:sz="4" w:space="0" w:color="auto"/>
              <w:bottom w:val="single" w:sz="4" w:space="0" w:color="auto"/>
            </w:tcBorders>
            <w:shd w:val="clear" w:color="auto" w:fill="auto"/>
          </w:tcPr>
          <w:p w14:paraId="62E612B3" w14:textId="77777777" w:rsidR="00601F04" w:rsidRPr="001B4A02" w:rsidRDefault="00000000" w:rsidP="00A5191B">
            <w:pPr>
              <w:pStyle w:val="TableLeft"/>
              <w:jc w:val="center"/>
              <w:rPr>
                <w:b/>
                <w:sz w:val="22"/>
                <w:szCs w:val="22"/>
                <w:lang w:val="cs-CZ"/>
              </w:rPr>
            </w:pPr>
            <w:r w:rsidRPr="001B4A02">
              <w:rPr>
                <w:sz w:val="22"/>
                <w:szCs w:val="22"/>
                <w:lang w:val="cs-CZ"/>
              </w:rPr>
              <w:t>40 mg jednou za dva týdny v</w:t>
            </w:r>
            <w:r w:rsidR="00202301" w:rsidRPr="001B4A02">
              <w:rPr>
                <w:sz w:val="22"/>
                <w:szCs w:val="22"/>
                <w:lang w:val="cs-CZ"/>
              </w:rPr>
              <w:t> </w:t>
            </w:r>
            <w:r w:rsidRPr="001B4A02">
              <w:rPr>
                <w:sz w:val="22"/>
                <w:szCs w:val="22"/>
                <w:lang w:val="cs-CZ"/>
              </w:rPr>
              <w:t>kombinaci s</w:t>
            </w:r>
            <w:r w:rsidR="00202301" w:rsidRPr="001B4A02">
              <w:rPr>
                <w:sz w:val="22"/>
                <w:szCs w:val="22"/>
                <w:lang w:val="cs-CZ"/>
              </w:rPr>
              <w:t> </w:t>
            </w:r>
            <w:r w:rsidRPr="001B4A02">
              <w:rPr>
                <w:sz w:val="22"/>
                <w:szCs w:val="22"/>
                <w:lang w:val="cs-CZ"/>
              </w:rPr>
              <w:t>methotrexátem</w:t>
            </w:r>
          </w:p>
        </w:tc>
      </w:tr>
    </w:tbl>
    <w:p w14:paraId="4CC2CC2C" w14:textId="77777777" w:rsidR="00601F04" w:rsidRPr="001B4A02" w:rsidRDefault="00601F04" w:rsidP="0012179D">
      <w:pPr>
        <w:ind w:left="0" w:firstLine="0"/>
      </w:pPr>
    </w:p>
    <w:p w14:paraId="681F964A" w14:textId="77777777" w:rsidR="00F24C86" w:rsidRPr="001B4A02" w:rsidRDefault="00000000" w:rsidP="00F24C86">
      <w:pPr>
        <w:ind w:left="0" w:firstLine="0"/>
      </w:pPr>
      <w:r w:rsidRPr="001B4A02">
        <w:rPr>
          <w:szCs w:val="22"/>
        </w:rPr>
        <w:t>Při zahájení léčby přípravkem Humira může být podána úvodní dávka 40 mg</w:t>
      </w:r>
      <w:r w:rsidR="00601F04" w:rsidRPr="001B4A02">
        <w:rPr>
          <w:szCs w:val="22"/>
        </w:rPr>
        <w:t xml:space="preserve"> pacientům s tělesnou hmotností </w:t>
      </w:r>
      <w:r w:rsidR="00601F04" w:rsidRPr="001B4A02">
        <w:t>&lt; 30 kg nebo 80 mg pacientům s tělesnou hmotností ≥</w:t>
      </w:r>
      <w:r w:rsidR="00057A14" w:rsidRPr="001B4A02">
        <w:t> </w:t>
      </w:r>
      <w:r w:rsidR="00601F04" w:rsidRPr="001B4A02">
        <w:t>30 kg</w:t>
      </w:r>
      <w:r w:rsidRPr="001B4A02">
        <w:rPr>
          <w:szCs w:val="22"/>
        </w:rPr>
        <w:t xml:space="preserve"> jeden týden před zahájením udržovací léčby. Nejsou k</w:t>
      </w:r>
      <w:r w:rsidR="00C735ED" w:rsidRPr="001B4A02">
        <w:rPr>
          <w:szCs w:val="22"/>
        </w:rPr>
        <w:t> </w:t>
      </w:r>
      <w:r w:rsidRPr="001B4A02">
        <w:rPr>
          <w:szCs w:val="22"/>
        </w:rPr>
        <w:t>dispozici žádné klinické údaje o</w:t>
      </w:r>
      <w:r w:rsidR="00706381" w:rsidRPr="001B4A02">
        <w:rPr>
          <w:szCs w:val="22"/>
        </w:rPr>
        <w:t> </w:t>
      </w:r>
      <w:r w:rsidRPr="001B4A02">
        <w:rPr>
          <w:szCs w:val="22"/>
        </w:rPr>
        <w:t>použití úvodní dávky přípravku Humira u</w:t>
      </w:r>
      <w:r w:rsidR="00C735ED" w:rsidRPr="001B4A02">
        <w:rPr>
          <w:szCs w:val="22"/>
        </w:rPr>
        <w:t> </w:t>
      </w:r>
      <w:r w:rsidRPr="001B4A02">
        <w:rPr>
          <w:szCs w:val="22"/>
        </w:rPr>
        <w:t>dětí ve věku &lt; 6 let (viz bod 5.2).</w:t>
      </w:r>
    </w:p>
    <w:p w14:paraId="1ED57AB6" w14:textId="77777777" w:rsidR="00F24C86" w:rsidRPr="001B4A02" w:rsidRDefault="00F24C86" w:rsidP="00F24C86"/>
    <w:p w14:paraId="7ED16C2F" w14:textId="77777777" w:rsidR="00F24C86" w:rsidRPr="001B4A02" w:rsidRDefault="00000000" w:rsidP="00F24C86">
      <w:pPr>
        <w:pStyle w:val="EMEANormal"/>
        <w:rPr>
          <w:lang w:val="cs-CZ"/>
        </w:rPr>
      </w:pPr>
      <w:r w:rsidRPr="001B4A02">
        <w:rPr>
          <w:szCs w:val="22"/>
          <w:lang w:val="cs-CZ"/>
        </w:rPr>
        <w:t>Použití přípravku Humira u</w:t>
      </w:r>
      <w:r w:rsidR="00706381" w:rsidRPr="001B4A02">
        <w:rPr>
          <w:szCs w:val="22"/>
          <w:lang w:val="cs-CZ"/>
        </w:rPr>
        <w:t> </w:t>
      </w:r>
      <w:r w:rsidRPr="001B4A02">
        <w:rPr>
          <w:szCs w:val="22"/>
          <w:lang w:val="cs-CZ"/>
        </w:rPr>
        <w:t>dětí mladších než 2 roky není v</w:t>
      </w:r>
      <w:r w:rsidR="00706381" w:rsidRPr="001B4A02">
        <w:rPr>
          <w:szCs w:val="22"/>
          <w:lang w:val="cs-CZ"/>
        </w:rPr>
        <w:t> </w:t>
      </w:r>
      <w:r w:rsidRPr="001B4A02">
        <w:rPr>
          <w:szCs w:val="22"/>
          <w:lang w:val="cs-CZ"/>
        </w:rPr>
        <w:t>této indikaci relevantní.</w:t>
      </w:r>
    </w:p>
    <w:p w14:paraId="43303FA2" w14:textId="77777777" w:rsidR="00F24C86" w:rsidRPr="001B4A02" w:rsidRDefault="00F24C86" w:rsidP="00F24C86">
      <w:pPr>
        <w:pStyle w:val="EMEANormal"/>
        <w:rPr>
          <w:lang w:val="cs-CZ"/>
        </w:rPr>
      </w:pPr>
    </w:p>
    <w:p w14:paraId="2D060DBC" w14:textId="77777777" w:rsidR="00F24C86" w:rsidRPr="001B4A02" w:rsidRDefault="00000000" w:rsidP="00F24C86">
      <w:pPr>
        <w:ind w:left="0" w:firstLine="0"/>
        <w:rPr>
          <w:szCs w:val="22"/>
          <w:bdr w:val="nil"/>
        </w:rPr>
      </w:pPr>
      <w:r w:rsidRPr="001B4A02">
        <w:rPr>
          <w:szCs w:val="22"/>
        </w:rPr>
        <w:t>Je doporučeno, aby byl každý rok vyhodnocen poměr přínosu</w:t>
      </w:r>
      <w:r w:rsidR="002378E0">
        <w:rPr>
          <w:szCs w:val="22"/>
        </w:rPr>
        <w:t xml:space="preserve"> a </w:t>
      </w:r>
      <w:r w:rsidRPr="001B4A02">
        <w:rPr>
          <w:szCs w:val="22"/>
        </w:rPr>
        <w:t>rizika pokračování dlouhodobé léčby (viz bod 5.1).</w:t>
      </w:r>
    </w:p>
    <w:p w14:paraId="5C499DA4" w14:textId="77777777" w:rsidR="006C0AD7" w:rsidRPr="001B4A02" w:rsidRDefault="006C0AD7" w:rsidP="00F24C86">
      <w:pPr>
        <w:ind w:left="0" w:firstLine="0"/>
        <w:rPr>
          <w:color w:val="000000"/>
        </w:rPr>
      </w:pPr>
    </w:p>
    <w:p w14:paraId="0F318D33" w14:textId="77777777" w:rsidR="00085F34" w:rsidRPr="001B4A02" w:rsidRDefault="00000000" w:rsidP="00085F34">
      <w:pPr>
        <w:ind w:left="0" w:firstLine="0"/>
      </w:pPr>
      <w:r w:rsidRPr="001B4A02">
        <w:t xml:space="preserve">Přípravek Humira je k dispozici v dalších silách a/nebo </w:t>
      </w:r>
      <w:r w:rsidR="00B952F4">
        <w:t>typech balení</w:t>
      </w:r>
      <w:r w:rsidRPr="001B4A02">
        <w:t xml:space="preserve"> v závislosti na individuálních potřebách léčby.</w:t>
      </w:r>
    </w:p>
    <w:p w14:paraId="7B029139" w14:textId="77777777" w:rsidR="00085F34" w:rsidRPr="001B4A02" w:rsidRDefault="00085F34" w:rsidP="00F24C86">
      <w:pPr>
        <w:ind w:left="0" w:firstLine="0"/>
        <w:rPr>
          <w:color w:val="000000"/>
        </w:rPr>
      </w:pPr>
    </w:p>
    <w:p w14:paraId="2C8A44A6" w14:textId="77777777" w:rsidR="00494B64" w:rsidRPr="001B4A02" w:rsidRDefault="00000000" w:rsidP="00527B4A">
      <w:pPr>
        <w:keepNext/>
        <w:rPr>
          <w:u w:val="single"/>
        </w:rPr>
      </w:pPr>
      <w:r w:rsidRPr="001B4A02">
        <w:rPr>
          <w:u w:val="single"/>
        </w:rPr>
        <w:t>Porucha funkce ledvin a/nebo jater</w:t>
      </w:r>
    </w:p>
    <w:p w14:paraId="4F786168" w14:textId="77777777" w:rsidR="00494B64" w:rsidRPr="001B4A02" w:rsidRDefault="00494B64" w:rsidP="00527B4A">
      <w:pPr>
        <w:keepNext/>
        <w:ind w:left="0" w:firstLine="0"/>
      </w:pPr>
    </w:p>
    <w:p w14:paraId="583DA919" w14:textId="77777777" w:rsidR="00494B64" w:rsidRPr="001B4A02" w:rsidRDefault="00000000" w:rsidP="0017164D">
      <w:pPr>
        <w:ind w:left="0" w:firstLine="0"/>
      </w:pPr>
      <w:r w:rsidRPr="001B4A02">
        <w:t>Přípravek Humira nebyl studován u této populace pacientů. Proto nelze uvést žádná doporučení ohledně dávky léku.</w:t>
      </w:r>
    </w:p>
    <w:p w14:paraId="508D0783" w14:textId="77777777" w:rsidR="00F24C86" w:rsidRPr="001B4A02" w:rsidRDefault="00F24C86" w:rsidP="0017164D">
      <w:pPr>
        <w:ind w:left="0" w:firstLine="0"/>
      </w:pPr>
    </w:p>
    <w:p w14:paraId="4D6607DA" w14:textId="77777777" w:rsidR="00F24C86" w:rsidRPr="001B4A02" w:rsidRDefault="00000000" w:rsidP="0017164D">
      <w:pPr>
        <w:keepNext/>
        <w:ind w:left="0" w:firstLine="0"/>
        <w:rPr>
          <w:u w:val="single"/>
        </w:rPr>
      </w:pPr>
      <w:r w:rsidRPr="001B4A02">
        <w:rPr>
          <w:u w:val="single"/>
        </w:rPr>
        <w:t>Způsob podání</w:t>
      </w:r>
    </w:p>
    <w:p w14:paraId="5E48192D" w14:textId="77777777" w:rsidR="00F24C86" w:rsidRPr="001B4A02" w:rsidRDefault="00F24C86" w:rsidP="0017164D">
      <w:pPr>
        <w:keepNext/>
        <w:ind w:left="0" w:firstLine="0"/>
        <w:rPr>
          <w:u w:val="single"/>
        </w:rPr>
      </w:pPr>
    </w:p>
    <w:p w14:paraId="0EFAAB2B" w14:textId="77777777" w:rsidR="00F24C86" w:rsidRPr="001B4A02" w:rsidRDefault="00000000" w:rsidP="00F24C86">
      <w:pPr>
        <w:ind w:left="0" w:firstLine="0"/>
        <w:rPr>
          <w:u w:val="single"/>
        </w:rPr>
      </w:pPr>
      <w:r w:rsidRPr="001B4A02">
        <w:t>Přípravek Humira se podává subkutánní injekcí. Podrobný návod k</w:t>
      </w:r>
      <w:r w:rsidR="00C735ED" w:rsidRPr="001B4A02">
        <w:t> </w:t>
      </w:r>
      <w:r w:rsidRPr="001B4A02">
        <w:t>použití je uveden v</w:t>
      </w:r>
      <w:r w:rsidR="003D5529" w:rsidRPr="001B4A02">
        <w:t> </w:t>
      </w:r>
      <w:r w:rsidRPr="001B4A02">
        <w:t>příbalové informaci.</w:t>
      </w:r>
    </w:p>
    <w:p w14:paraId="41853F9A" w14:textId="77777777" w:rsidR="00F24C86" w:rsidRPr="001B4A02" w:rsidRDefault="00F24C86" w:rsidP="00F24C86">
      <w:pPr>
        <w:ind w:left="0" w:firstLine="0"/>
      </w:pPr>
    </w:p>
    <w:p w14:paraId="2FE5CC84" w14:textId="77777777" w:rsidR="00601F04" w:rsidRPr="001B4A02" w:rsidRDefault="00000000" w:rsidP="00F24C86">
      <w:pPr>
        <w:ind w:left="0" w:firstLine="0"/>
      </w:pPr>
      <w:r w:rsidRPr="001B4A02">
        <w:t>Přípravek Humira je k dispozici v dalších silách</w:t>
      </w:r>
      <w:r w:rsidR="002378E0">
        <w:t xml:space="preserve"> a </w:t>
      </w:r>
      <w:r w:rsidR="00B952F4">
        <w:t>typech balení</w:t>
      </w:r>
      <w:r w:rsidRPr="001B4A02">
        <w:t>.</w:t>
      </w:r>
    </w:p>
    <w:p w14:paraId="1DE3A811" w14:textId="77777777" w:rsidR="00F24C86" w:rsidRPr="001B4A02" w:rsidRDefault="00F24C86" w:rsidP="00F24C86">
      <w:pPr>
        <w:ind w:left="0" w:firstLine="0"/>
      </w:pPr>
    </w:p>
    <w:p w14:paraId="41B34BEC" w14:textId="77777777" w:rsidR="00F24C86" w:rsidRPr="001B4A02" w:rsidRDefault="00000000" w:rsidP="000A5426">
      <w:pPr>
        <w:keepNext/>
        <w:outlineLvl w:val="1"/>
      </w:pPr>
      <w:r w:rsidRPr="001B4A02">
        <w:rPr>
          <w:b/>
        </w:rPr>
        <w:t>4.3</w:t>
      </w:r>
      <w:r w:rsidRPr="001B4A02">
        <w:rPr>
          <w:b/>
        </w:rPr>
        <w:tab/>
        <w:t>Kontraindikace</w:t>
      </w:r>
    </w:p>
    <w:p w14:paraId="16747BF9" w14:textId="77777777" w:rsidR="00F24C86" w:rsidRPr="001B4A02" w:rsidRDefault="00F24C86" w:rsidP="0017164D">
      <w:pPr>
        <w:keepNext/>
        <w:ind w:left="0" w:firstLine="0"/>
      </w:pPr>
    </w:p>
    <w:p w14:paraId="0DC4ADC4" w14:textId="77777777" w:rsidR="00F24C86" w:rsidRPr="001B4A02" w:rsidRDefault="00000000" w:rsidP="00F24C86">
      <w:pPr>
        <w:ind w:left="0" w:firstLine="0"/>
      </w:pPr>
      <w:r w:rsidRPr="001B4A02">
        <w:t>Hypersenzitivita na léčivou látku nebo na kteroukoli pomocnou látku uvedenou v bodě 6.1.</w:t>
      </w:r>
    </w:p>
    <w:p w14:paraId="4D4AF56B" w14:textId="77777777" w:rsidR="00F24C86" w:rsidRPr="001B4A02" w:rsidRDefault="00F24C86" w:rsidP="00F24C86">
      <w:pPr>
        <w:ind w:left="0" w:firstLine="0"/>
      </w:pPr>
    </w:p>
    <w:p w14:paraId="4FB5F312" w14:textId="77777777" w:rsidR="00F24C86" w:rsidRPr="001B4A02" w:rsidRDefault="00000000" w:rsidP="00F24C86">
      <w:pPr>
        <w:ind w:left="0" w:firstLine="0"/>
      </w:pPr>
      <w:r w:rsidRPr="001B4A02">
        <w:t>Aktivní tuberkulóza nebo jiné závažné infekce, jako je sepse</w:t>
      </w:r>
      <w:r w:rsidR="002378E0">
        <w:t xml:space="preserve"> a </w:t>
      </w:r>
      <w:r w:rsidRPr="001B4A02">
        <w:t>oportunní infekce (viz bod 4.4).</w:t>
      </w:r>
    </w:p>
    <w:p w14:paraId="123AD448" w14:textId="77777777" w:rsidR="00F24C86" w:rsidRPr="001B4A02" w:rsidRDefault="00F24C86" w:rsidP="00F24C86">
      <w:pPr>
        <w:ind w:left="0" w:firstLine="0"/>
      </w:pPr>
    </w:p>
    <w:p w14:paraId="75EE805B" w14:textId="77777777" w:rsidR="00F24C86" w:rsidRPr="001B4A02" w:rsidRDefault="00000000" w:rsidP="00F24C86">
      <w:pPr>
        <w:ind w:left="0" w:firstLine="0"/>
      </w:pPr>
      <w:r w:rsidRPr="001B4A02">
        <w:t>Středně těžké až těžké srdeční selhání (NYHA třída III/IV) (viz bod 4.4).</w:t>
      </w:r>
    </w:p>
    <w:p w14:paraId="59BF17B9" w14:textId="77777777" w:rsidR="00F24C86" w:rsidRPr="001B4A02" w:rsidRDefault="00F24C86" w:rsidP="00F24C86">
      <w:pPr>
        <w:ind w:left="0" w:firstLine="0"/>
      </w:pPr>
    </w:p>
    <w:p w14:paraId="12FDE702" w14:textId="77777777" w:rsidR="00F24C86" w:rsidRPr="001B4A02" w:rsidRDefault="00000000" w:rsidP="000A5426">
      <w:pPr>
        <w:keepNext/>
        <w:outlineLvl w:val="1"/>
        <w:rPr>
          <w:b/>
        </w:rPr>
      </w:pPr>
      <w:r w:rsidRPr="001B4A02">
        <w:rPr>
          <w:b/>
        </w:rPr>
        <w:t>4.4</w:t>
      </w:r>
      <w:r w:rsidRPr="001B4A02">
        <w:rPr>
          <w:b/>
        </w:rPr>
        <w:tab/>
        <w:t>Zvláštní upozornění</w:t>
      </w:r>
      <w:r w:rsidR="002378E0">
        <w:rPr>
          <w:b/>
        </w:rPr>
        <w:t xml:space="preserve"> a </w:t>
      </w:r>
      <w:r w:rsidRPr="001B4A02">
        <w:rPr>
          <w:b/>
        </w:rPr>
        <w:t>opatření pro použití</w:t>
      </w:r>
    </w:p>
    <w:p w14:paraId="3193E030" w14:textId="77777777" w:rsidR="00F24C86" w:rsidRPr="001B4A02" w:rsidRDefault="00F24C86" w:rsidP="0017164D">
      <w:pPr>
        <w:keepNext/>
        <w:ind w:left="0" w:firstLine="0"/>
      </w:pPr>
    </w:p>
    <w:p w14:paraId="110C6E94" w14:textId="77777777" w:rsidR="00601F04" w:rsidRPr="001B4A02" w:rsidRDefault="00000000" w:rsidP="0017164D">
      <w:pPr>
        <w:keepNext/>
        <w:ind w:left="0" w:firstLine="0"/>
        <w:rPr>
          <w:u w:val="single"/>
        </w:rPr>
      </w:pPr>
      <w:r w:rsidRPr="001B4A02">
        <w:rPr>
          <w:u w:val="single"/>
        </w:rPr>
        <w:t>Sledovatelnost</w:t>
      </w:r>
    </w:p>
    <w:p w14:paraId="24FACEC7" w14:textId="77777777" w:rsidR="00601F04" w:rsidRPr="001B4A02" w:rsidRDefault="00601F04" w:rsidP="0017164D">
      <w:pPr>
        <w:keepNext/>
        <w:ind w:left="0" w:firstLine="0"/>
      </w:pPr>
    </w:p>
    <w:p w14:paraId="44DB65CF" w14:textId="77777777" w:rsidR="00F24C86" w:rsidRPr="001B4A02" w:rsidRDefault="00000000" w:rsidP="00F24C86">
      <w:pPr>
        <w:ind w:left="0" w:firstLine="0"/>
      </w:pPr>
      <w:r w:rsidRPr="001B4A02">
        <w:t>Z</w:t>
      </w:r>
      <w:r w:rsidR="00B76F26">
        <w:t> </w:t>
      </w:r>
      <w:r w:rsidRPr="001B4A02">
        <w:t>důvodu zlepšení sledovatelnosti biologických léčivých přípravků musí být přesně zaznamenáván název</w:t>
      </w:r>
      <w:r w:rsidR="002378E0">
        <w:t xml:space="preserve"> a </w:t>
      </w:r>
      <w:r w:rsidRPr="001B4A02">
        <w:t>číslo šarže podaného přípravku.</w:t>
      </w:r>
    </w:p>
    <w:p w14:paraId="2FDD94E9" w14:textId="77777777" w:rsidR="00F24C86" w:rsidRPr="001B4A02" w:rsidRDefault="00F24C86" w:rsidP="00F24C86">
      <w:pPr>
        <w:ind w:left="0" w:firstLine="0"/>
      </w:pPr>
    </w:p>
    <w:p w14:paraId="62A678E6" w14:textId="77777777" w:rsidR="00F24C86" w:rsidRPr="001B4A02" w:rsidRDefault="00000000" w:rsidP="00F24C86">
      <w:pPr>
        <w:keepNext/>
        <w:rPr>
          <w:u w:val="single"/>
        </w:rPr>
      </w:pPr>
      <w:r w:rsidRPr="001B4A02">
        <w:rPr>
          <w:u w:val="single"/>
        </w:rPr>
        <w:t>Infekce</w:t>
      </w:r>
    </w:p>
    <w:p w14:paraId="2778E99F" w14:textId="77777777" w:rsidR="00F24C86" w:rsidRPr="001B4A02" w:rsidRDefault="00F24C86" w:rsidP="00F24C86">
      <w:pPr>
        <w:keepNext/>
        <w:ind w:left="0" w:firstLine="0"/>
      </w:pPr>
    </w:p>
    <w:p w14:paraId="64A738F9" w14:textId="77777777" w:rsidR="00F24C86" w:rsidRPr="001B4A02" w:rsidRDefault="00000000" w:rsidP="0017164D">
      <w:pPr>
        <w:ind w:left="0" w:firstLine="0"/>
      </w:pPr>
      <w:r w:rsidRPr="001B4A02">
        <w:t>Pacienti užívající TNF-antagonisty jsou více náchylní k závažným infekcím. Riziko rozvoje infekcí může stoupat při porušené funkci plic. Pacienti musí být proto pečlivě sledováni z hlediska výskytu infekcí včetně tuberkulózy,</w:t>
      </w:r>
      <w:r w:rsidR="002378E0">
        <w:t xml:space="preserve"> a </w:t>
      </w:r>
      <w:r w:rsidRPr="001B4A02">
        <w:t>to před léčbou, během léčby i po ukončení léčby přípravkem Humira. Vzhledem k tomu, že eliminace adalimumabu z organismu může trvat až čtyři měsíce, sledování musí trvat po celou tuto dobu.</w:t>
      </w:r>
    </w:p>
    <w:p w14:paraId="7E419BD8" w14:textId="77777777" w:rsidR="00F24C86" w:rsidRPr="001B4A02" w:rsidRDefault="00F24C86" w:rsidP="00F24C86">
      <w:pPr>
        <w:ind w:left="0" w:firstLine="0"/>
      </w:pPr>
    </w:p>
    <w:p w14:paraId="3604A32F" w14:textId="77777777" w:rsidR="00F24C86" w:rsidRPr="001B4A02" w:rsidRDefault="00000000" w:rsidP="00F24C86">
      <w:pPr>
        <w:ind w:left="0" w:firstLine="0"/>
      </w:pPr>
      <w:r w:rsidRPr="001B4A02">
        <w:t>Léčba přípravkem Humira nesmí být zahájena u pacientů s aktivní infekcí včetně chronické nebo lokalizované infekce do té doby, než jsou tyto infekce terapeuticky zvládnuty. U</w:t>
      </w:r>
      <w:r w:rsidR="00283310" w:rsidRPr="001B4A02">
        <w:t> </w:t>
      </w:r>
      <w:r w:rsidRPr="001B4A02">
        <w:t>pacientů, kteří přišli do styku s tuberkulózou,</w:t>
      </w:r>
      <w:r w:rsidR="002378E0">
        <w:t xml:space="preserve"> a </w:t>
      </w:r>
      <w:r w:rsidRPr="001B4A02">
        <w:t>pacientů, kteří cestovali do oblastí s vysokým rizikem výskytu tuberkulózy nebo endemických mykóz, jako například histoplasmóza, kokcidiomykóza, nebo blastomykóza, by měl být zvážen poměr rizika</w:t>
      </w:r>
      <w:r w:rsidR="002378E0">
        <w:t xml:space="preserve"> a </w:t>
      </w:r>
      <w:r w:rsidRPr="001B4A02">
        <w:t xml:space="preserve">přínosu léčby přípravkem Humira ještě před zahájením léčby (viz </w:t>
      </w:r>
      <w:r w:rsidRPr="001B4A02">
        <w:rPr>
          <w:i/>
        </w:rPr>
        <w:t>Jiné oportunní infekce</w:t>
      </w:r>
      <w:r w:rsidRPr="001B4A02">
        <w:t>).</w:t>
      </w:r>
    </w:p>
    <w:p w14:paraId="6AF50356" w14:textId="77777777" w:rsidR="00F24C86" w:rsidRPr="001B4A02" w:rsidRDefault="00F24C86" w:rsidP="00F24C86">
      <w:pPr>
        <w:ind w:left="0" w:firstLine="0"/>
      </w:pPr>
    </w:p>
    <w:p w14:paraId="548DDC19" w14:textId="77777777" w:rsidR="00F24C86" w:rsidRPr="001B4A02" w:rsidRDefault="00000000" w:rsidP="00F24C86">
      <w:pPr>
        <w:ind w:left="0" w:firstLine="0"/>
      </w:pPr>
      <w:r w:rsidRPr="001B4A02">
        <w:t xml:space="preserve">Ti pacienti, u nichž dojde během léčby přípravkem Humira k rozvoji nové infekce, </w:t>
      </w:r>
      <w:r w:rsidR="002F4FFA">
        <w:t>mají</w:t>
      </w:r>
      <w:r w:rsidR="002F4FFA" w:rsidRPr="001B4A02">
        <w:t xml:space="preserve"> </w:t>
      </w:r>
      <w:r w:rsidRPr="001B4A02">
        <w:t>být pečlivě sledováni</w:t>
      </w:r>
      <w:r w:rsidR="002378E0">
        <w:t xml:space="preserve"> a </w:t>
      </w:r>
      <w:r w:rsidR="002F4FFA">
        <w:t xml:space="preserve">mají </w:t>
      </w:r>
      <w:r w:rsidRPr="001B4A02">
        <w:t>podstoupit kompletní diagnostické vyšetření. Pokud u pacienta dojde k rozvoji nové závažné infekce nebo sepse, podávání přípravku Humira se přeruší</w:t>
      </w:r>
      <w:r w:rsidR="002378E0">
        <w:t xml:space="preserve"> a </w:t>
      </w:r>
      <w:r w:rsidRPr="001B4A02">
        <w:t>je nutno zahájit vhodnou antimikrobiální či antifungální léčbu do doby, než je infekce terapeuticky zvládnuta. Lékaři musí být opatrní při zvažování léčby přípravkem Humira u pacientů s anamnézou recidivující infekce nebo u pacientů, jejichž celkový zdravotní stav k infekcím predisponuje, včetně těch, kteří současně užívají imunosupresivní medikaci.</w:t>
      </w:r>
    </w:p>
    <w:p w14:paraId="61418D9C" w14:textId="77777777" w:rsidR="00F24C86" w:rsidRPr="001B4A02" w:rsidRDefault="00F24C86" w:rsidP="00F24C86">
      <w:pPr>
        <w:ind w:left="0" w:firstLine="0"/>
        <w:rPr>
          <w:i/>
          <w:iCs/>
          <w:u w:val="single"/>
        </w:rPr>
      </w:pPr>
    </w:p>
    <w:p w14:paraId="2AE29468" w14:textId="77777777" w:rsidR="00F24C86" w:rsidRPr="001B4A02" w:rsidRDefault="00000000" w:rsidP="0017164D">
      <w:pPr>
        <w:keepNext/>
        <w:ind w:left="0" w:firstLine="0"/>
        <w:rPr>
          <w:i/>
          <w:iCs/>
        </w:rPr>
      </w:pPr>
      <w:r w:rsidRPr="001B4A02">
        <w:rPr>
          <w:i/>
          <w:iCs/>
        </w:rPr>
        <w:lastRenderedPageBreak/>
        <w:t>Závažné infekce</w:t>
      </w:r>
    </w:p>
    <w:p w14:paraId="5164217D" w14:textId="77777777" w:rsidR="00F24C86" w:rsidRPr="001B4A02" w:rsidRDefault="00F24C86" w:rsidP="0017164D">
      <w:pPr>
        <w:keepNext/>
        <w:ind w:left="0" w:firstLine="0"/>
      </w:pPr>
    </w:p>
    <w:p w14:paraId="09658BBC" w14:textId="77777777" w:rsidR="00F24C86" w:rsidRPr="001B4A02" w:rsidRDefault="00000000" w:rsidP="00F24C86">
      <w:pPr>
        <w:ind w:left="0" w:firstLine="0"/>
      </w:pPr>
      <w:r w:rsidRPr="001B4A02">
        <w:t>U</w:t>
      </w:r>
      <w:r w:rsidR="00B76F26" w:rsidRPr="00005EC2">
        <w:rPr>
          <w:szCs w:val="22"/>
        </w:rPr>
        <w:t> </w:t>
      </w:r>
      <w:r w:rsidRPr="001B4A02">
        <w:t>pacientů používajících přípravek Humira byly hlášeny závažné infekce, včetně sepse způsobené bakteriemi, mykobakteriemi, invazivními plísněmi, parazity, viry či jiné oportunní infekce jako například listerióza, legionelóza</w:t>
      </w:r>
      <w:r w:rsidR="002378E0">
        <w:t xml:space="preserve"> a </w:t>
      </w:r>
      <w:r w:rsidRPr="001B4A02">
        <w:t>pneumocystóza.</w:t>
      </w:r>
    </w:p>
    <w:p w14:paraId="17AE5E2D" w14:textId="77777777" w:rsidR="00F24C86" w:rsidRPr="001B4A02" w:rsidRDefault="00F24C86" w:rsidP="00F24C86">
      <w:pPr>
        <w:ind w:left="0" w:firstLine="0"/>
      </w:pPr>
    </w:p>
    <w:p w14:paraId="175FA4A4" w14:textId="77777777" w:rsidR="00F24C86" w:rsidRPr="001B4A02" w:rsidRDefault="00000000" w:rsidP="00F24C86">
      <w:pPr>
        <w:ind w:left="0" w:firstLine="0"/>
      </w:pPr>
      <w:r w:rsidRPr="001B4A02">
        <w:t xml:space="preserve">Jiné závažné infekce pozorované v klinických studiích zahrnují pneumonii, </w:t>
      </w:r>
      <w:r w:rsidR="002F4FFA" w:rsidRPr="001B4A02">
        <w:t>pyelonefriti</w:t>
      </w:r>
      <w:r w:rsidR="002F4FFA">
        <w:t>du</w:t>
      </w:r>
      <w:r w:rsidRPr="001B4A02">
        <w:t xml:space="preserve">, septickou </w:t>
      </w:r>
      <w:r w:rsidR="002F4FFA" w:rsidRPr="001B4A02">
        <w:t>artriti</w:t>
      </w:r>
      <w:r w:rsidR="002F4FFA">
        <w:t>du</w:t>
      </w:r>
      <w:r w:rsidR="002378E0">
        <w:t xml:space="preserve"> a </w:t>
      </w:r>
      <w:r w:rsidRPr="001B4A02">
        <w:t>septikémii. V souvislosti s těmito infekcemi byly hlášeny případy hospitalizace i fatálního zakončení.</w:t>
      </w:r>
    </w:p>
    <w:p w14:paraId="4B3BD536" w14:textId="77777777" w:rsidR="00F24C86" w:rsidRPr="00B76F26" w:rsidRDefault="00F24C86" w:rsidP="00F24C86">
      <w:pPr>
        <w:ind w:left="0" w:firstLine="0"/>
      </w:pPr>
    </w:p>
    <w:p w14:paraId="516F43D8" w14:textId="77777777" w:rsidR="00F24C86" w:rsidRPr="001B4A02" w:rsidRDefault="00000000" w:rsidP="0017164D">
      <w:pPr>
        <w:keepNext/>
        <w:ind w:left="0" w:firstLine="0"/>
      </w:pPr>
      <w:r w:rsidRPr="001B4A02">
        <w:rPr>
          <w:i/>
          <w:iCs/>
        </w:rPr>
        <w:t>Tuberkulóza</w:t>
      </w:r>
    </w:p>
    <w:p w14:paraId="348A9D65" w14:textId="77777777" w:rsidR="00F24C86" w:rsidRPr="001B4A02" w:rsidRDefault="00F24C86" w:rsidP="0017164D">
      <w:pPr>
        <w:keepNext/>
        <w:ind w:left="0" w:firstLine="0"/>
      </w:pPr>
    </w:p>
    <w:p w14:paraId="44C5030F" w14:textId="77777777" w:rsidR="00F24C86" w:rsidRPr="001B4A02" w:rsidRDefault="00000000" w:rsidP="00F24C86">
      <w:pPr>
        <w:ind w:left="0" w:firstLine="0"/>
      </w:pPr>
      <w:r w:rsidRPr="001B4A02">
        <w:t>U pacientů, léčených přípravkem Humira, byly hlášeny případy tuberkulózy včetně reaktivace i nového vzniku infekce. Hlášení zahrnovala jak pulmonální, tak extrapulmonální (tj. diseminovanou) tuberkulózu.</w:t>
      </w:r>
    </w:p>
    <w:p w14:paraId="55132858" w14:textId="77777777" w:rsidR="00F24C86" w:rsidRPr="001B4A02" w:rsidRDefault="00F24C86" w:rsidP="00F24C86">
      <w:pPr>
        <w:ind w:left="0" w:firstLine="0"/>
      </w:pPr>
    </w:p>
    <w:p w14:paraId="5AFFA643" w14:textId="77777777" w:rsidR="00F24C86" w:rsidRPr="001B4A02" w:rsidRDefault="00000000" w:rsidP="00F24C86">
      <w:pPr>
        <w:ind w:left="0" w:firstLine="0"/>
      </w:pPr>
      <w:r w:rsidRPr="001B4A02">
        <w:t>Před zahájením léčby přípravkem Humira musí být všichni pacienti vyšetřeni na přítomnost aktivní či inaktivní („latentní“) tuberkulózy. Toto vyšetření má spočívat v podrobném posouzení osobní anamnézy pacienta cílené na výskyt tuberkulózy v minulosti, či na možné dřívější kontakty s osobami s aktivní tuberkulózou</w:t>
      </w:r>
      <w:r w:rsidR="002378E0">
        <w:t xml:space="preserve"> a </w:t>
      </w:r>
      <w:r w:rsidRPr="001B4A02">
        <w:t>na dřívější a/nebo současnou imunosupresivní léčbu. U všech pacientů musí být provedena příslušná orientační vyšetření (tj. kožní tuberkulinový test</w:t>
      </w:r>
      <w:r w:rsidR="002378E0">
        <w:t xml:space="preserve"> a </w:t>
      </w:r>
      <w:r w:rsidRPr="001B4A02">
        <w:t>RTG vyšetření hrudníku), přičemž se lze řídit místními doporučeními. Doporučuje se, aby provedení těchto testů</w:t>
      </w:r>
      <w:r w:rsidR="002378E0">
        <w:t xml:space="preserve"> a </w:t>
      </w:r>
      <w:r w:rsidRPr="001B4A02">
        <w:t>jejich výsledky byly zaznamenány v informační kartičce pacienta. Předepisujícím lékařům připomínáme riziko falešně negativních výsledků kožního tuberkulinového testu,</w:t>
      </w:r>
      <w:r w:rsidR="002378E0">
        <w:t xml:space="preserve"> a </w:t>
      </w:r>
      <w:r w:rsidRPr="001B4A02">
        <w:t>to zejména u těžce nemocných nebo pacientů se sníženou imunitní odpovědí.</w:t>
      </w:r>
    </w:p>
    <w:p w14:paraId="1C9A4091" w14:textId="77777777" w:rsidR="00F24C86" w:rsidRPr="001B4A02" w:rsidRDefault="00F24C86" w:rsidP="00F24C86">
      <w:pPr>
        <w:ind w:left="0" w:firstLine="0"/>
      </w:pPr>
    </w:p>
    <w:p w14:paraId="64ABC78D" w14:textId="77777777" w:rsidR="00F24C86" w:rsidRPr="001B4A02" w:rsidRDefault="00000000" w:rsidP="00F24C86">
      <w:pPr>
        <w:ind w:left="0" w:firstLine="0"/>
      </w:pPr>
      <w:r w:rsidRPr="001B4A02">
        <w:t>Léčba přípravkem Humira nesmí být zahájena u pacientů s diagnostikovanou aktivní tuberkulózou (viz bod 4.3).</w:t>
      </w:r>
    </w:p>
    <w:p w14:paraId="2D135400" w14:textId="77777777" w:rsidR="00F24C86" w:rsidRPr="001B4A02" w:rsidRDefault="00F24C86" w:rsidP="00F24C86">
      <w:pPr>
        <w:ind w:left="0" w:firstLine="0"/>
      </w:pPr>
    </w:p>
    <w:p w14:paraId="598A4D6E" w14:textId="77777777" w:rsidR="00F24C86" w:rsidRPr="001B4A02" w:rsidRDefault="00000000" w:rsidP="00F24C86">
      <w:pPr>
        <w:ind w:left="0" w:firstLine="0"/>
      </w:pPr>
      <w:r w:rsidRPr="001B4A02">
        <w:t>Ve všech níže popsaných situacích by měl být velmi pečlivě posouzen poměr přínosu</w:t>
      </w:r>
      <w:r w:rsidR="002378E0">
        <w:t xml:space="preserve"> a </w:t>
      </w:r>
      <w:r w:rsidRPr="001B4A02">
        <w:t>rizika léčby.</w:t>
      </w:r>
    </w:p>
    <w:p w14:paraId="29C94F1A" w14:textId="77777777" w:rsidR="00F24C86" w:rsidRPr="001B4A02" w:rsidRDefault="00F24C86" w:rsidP="00F24C86">
      <w:pPr>
        <w:ind w:left="0" w:firstLine="0"/>
      </w:pPr>
    </w:p>
    <w:p w14:paraId="2AEC5FA1" w14:textId="77777777" w:rsidR="00F24C86" w:rsidRPr="001B4A02" w:rsidRDefault="00000000" w:rsidP="00F24C86">
      <w:pPr>
        <w:ind w:left="0" w:firstLine="0"/>
      </w:pPr>
      <w:r w:rsidRPr="001B4A02">
        <w:t>Jestliže existuje podezření na latentní tuberkulózu, je třeba uvědomit lékaře, jež má zkušenosti s léčbou tuberkulózy.</w:t>
      </w:r>
    </w:p>
    <w:p w14:paraId="491D6C65" w14:textId="77777777" w:rsidR="00F24C86" w:rsidRPr="001B4A02" w:rsidRDefault="00F24C86" w:rsidP="00F24C86">
      <w:pPr>
        <w:ind w:left="0" w:firstLine="0"/>
      </w:pPr>
    </w:p>
    <w:p w14:paraId="08D42E6B" w14:textId="77777777" w:rsidR="00F24C86" w:rsidRPr="001B4A02" w:rsidRDefault="00000000" w:rsidP="00F24C86">
      <w:pPr>
        <w:ind w:left="0" w:firstLine="0"/>
      </w:pPr>
      <w:r w:rsidRPr="001B4A02">
        <w:t>V případě diagnózy latentní tuberkulózy musí být odpovídající profylaktická antituberkulózní léčba započata ještě před zahájením léčby přípravkem Humira</w:t>
      </w:r>
      <w:r w:rsidR="002378E0">
        <w:t xml:space="preserve"> a </w:t>
      </w:r>
      <w:r w:rsidRPr="001B4A02">
        <w:t>musí být v souladu s místními doporučeními.</w:t>
      </w:r>
    </w:p>
    <w:p w14:paraId="4F057C89" w14:textId="77777777" w:rsidR="00F24C86" w:rsidRPr="001B4A02" w:rsidRDefault="00F24C86" w:rsidP="00F24C86">
      <w:pPr>
        <w:ind w:left="0" w:firstLine="0"/>
      </w:pPr>
    </w:p>
    <w:p w14:paraId="2087806B" w14:textId="77777777" w:rsidR="00C95A11" w:rsidRPr="001B4A02" w:rsidRDefault="00000000" w:rsidP="00F24C86">
      <w:pPr>
        <w:ind w:left="0" w:firstLine="0"/>
      </w:pPr>
      <w:r w:rsidRPr="001B4A02">
        <w:t>Použití profylaktické antituberkulózní léčby je třeba zvážit před zahájením léčby přípravkem Humira také u</w:t>
      </w:r>
      <w:r w:rsidR="00283310" w:rsidRPr="001B4A02">
        <w:t> </w:t>
      </w:r>
      <w:r w:rsidRPr="001B4A02">
        <w:t>pacientů, u</w:t>
      </w:r>
      <w:r w:rsidR="00283310" w:rsidRPr="001B4A02">
        <w:t> </w:t>
      </w:r>
      <w:r w:rsidRPr="001B4A02">
        <w:t>kterých se, i přes negativní testy na tuberkulózu, vyskytují</w:t>
      </w:r>
      <w:r w:rsidR="00283310" w:rsidRPr="001B4A02">
        <w:t xml:space="preserve"> </w:t>
      </w:r>
      <w:r w:rsidRPr="001B4A02">
        <w:t>závažné nebo významné rizikové faktory pro její rozvoj nebo mají dřívější anamnézu latentní či aktivní tuberkulózy</w:t>
      </w:r>
      <w:r w:rsidR="002378E0">
        <w:t xml:space="preserve"> a </w:t>
      </w:r>
      <w:r w:rsidRPr="001B4A02">
        <w:t xml:space="preserve">nelze u nich zaručit adekvátní postup léčby. </w:t>
      </w:r>
    </w:p>
    <w:p w14:paraId="09564AE3" w14:textId="77777777" w:rsidR="00C95A11" w:rsidRPr="001B4A02" w:rsidRDefault="00C95A11" w:rsidP="00F24C86">
      <w:pPr>
        <w:ind w:left="0" w:firstLine="0"/>
      </w:pPr>
    </w:p>
    <w:p w14:paraId="4E839AEA" w14:textId="77777777" w:rsidR="00F24C86" w:rsidRPr="001B4A02" w:rsidRDefault="00000000" w:rsidP="00F24C86">
      <w:pPr>
        <w:ind w:left="0" w:firstLine="0"/>
      </w:pPr>
      <w:r w:rsidRPr="001B4A02">
        <w:t>U pacientů léčených přípravkem Humira se i přes profylaktickou léčbu tuberkulózy objevily případy reaktivace tuberkulózy. U</w:t>
      </w:r>
      <w:r w:rsidR="00283310" w:rsidRPr="001B4A02">
        <w:t> </w:t>
      </w:r>
      <w:r w:rsidRPr="001B4A02">
        <w:t>některých pacientů, kteří byli v minulosti úspěšně léčeni na aktivní tuberkulózu, se během léčby přípravkem Humira znovu rozvinula aktivní tuberkulóza.</w:t>
      </w:r>
    </w:p>
    <w:p w14:paraId="29DAE28B" w14:textId="77777777" w:rsidR="00F24C86" w:rsidRPr="001B4A02" w:rsidRDefault="00F24C86" w:rsidP="00F24C86">
      <w:pPr>
        <w:ind w:left="0" w:firstLine="0"/>
      </w:pPr>
    </w:p>
    <w:p w14:paraId="4D31B8AD" w14:textId="77777777" w:rsidR="00F24C86" w:rsidRPr="001B4A02" w:rsidRDefault="00000000" w:rsidP="00F24C86">
      <w:pPr>
        <w:ind w:left="0" w:firstLine="0"/>
      </w:pPr>
      <w:r w:rsidRPr="001B4A02">
        <w:t>Pacienty je třeba poučit, aby vyhledali lékaře, pokud se objeví během léčby přípravkem Humira nebo po jejím ukončení příznaky suspektní pro tuberkulózu (např. přetrvávající kašel, vyčerpání</w:t>
      </w:r>
      <w:r w:rsidR="002F4FFA">
        <w:t>/</w:t>
      </w:r>
      <w:r w:rsidR="00454636">
        <w:t>snížení tělesné hmotnosti</w:t>
      </w:r>
      <w:r w:rsidRPr="001B4A02">
        <w:t>, mírně zvýšená teplota, malátnost).</w:t>
      </w:r>
    </w:p>
    <w:p w14:paraId="078697F2" w14:textId="77777777" w:rsidR="00F24C86" w:rsidRPr="001B4A02" w:rsidRDefault="00F24C86" w:rsidP="00F24C86">
      <w:pPr>
        <w:ind w:left="0" w:firstLine="0"/>
      </w:pPr>
    </w:p>
    <w:p w14:paraId="517FE33F" w14:textId="77777777" w:rsidR="00F24C86" w:rsidRPr="001B4A02" w:rsidRDefault="00000000" w:rsidP="00F24C86">
      <w:pPr>
        <w:keepNext/>
        <w:rPr>
          <w:i/>
          <w:iCs/>
        </w:rPr>
      </w:pPr>
      <w:r w:rsidRPr="001B4A02">
        <w:rPr>
          <w:i/>
          <w:iCs/>
        </w:rPr>
        <w:t>Jiné oportunní infekce</w:t>
      </w:r>
    </w:p>
    <w:p w14:paraId="323DDAE7" w14:textId="77777777" w:rsidR="00F24C86" w:rsidRPr="001B4A02" w:rsidRDefault="00F24C86" w:rsidP="00F24C86">
      <w:pPr>
        <w:keepNext/>
        <w:rPr>
          <w:u w:val="single"/>
        </w:rPr>
      </w:pPr>
    </w:p>
    <w:p w14:paraId="0A03A2CB" w14:textId="77777777" w:rsidR="00F24C86" w:rsidRPr="001B4A02" w:rsidRDefault="00000000" w:rsidP="0017164D">
      <w:pPr>
        <w:ind w:left="0" w:firstLine="0"/>
      </w:pPr>
      <w:r w:rsidRPr="001B4A02">
        <w:t>U pacientů používajících přípravek Humira byly hlášeny oportunní infekce, včetně invazivních fungálních infekcí. Tyto infekce nebyly u</w:t>
      </w:r>
      <w:r w:rsidR="00283310" w:rsidRPr="001B4A02">
        <w:t> </w:t>
      </w:r>
      <w:r w:rsidRPr="001B4A02">
        <w:t>pacientů užívajících TNF-antagonisty vždy rozpoznány, což mělo za následek opožděné nasazení vhodné léčby</w:t>
      </w:r>
      <w:r w:rsidR="002378E0">
        <w:t xml:space="preserve"> a </w:t>
      </w:r>
      <w:r w:rsidRPr="001B4A02">
        <w:t>v některých případech vedlo až k fatálnímu zakončení.</w:t>
      </w:r>
    </w:p>
    <w:p w14:paraId="4888F52D" w14:textId="77777777" w:rsidR="00F24C86" w:rsidRPr="001B4A02" w:rsidRDefault="00F24C86" w:rsidP="00F24C86">
      <w:pPr>
        <w:ind w:left="0" w:firstLine="0"/>
      </w:pPr>
    </w:p>
    <w:p w14:paraId="4932985D" w14:textId="77777777" w:rsidR="00F24C86" w:rsidRPr="001B4A02" w:rsidRDefault="00000000" w:rsidP="00F24C86">
      <w:pPr>
        <w:ind w:left="0" w:firstLine="0"/>
      </w:pPr>
      <w:r w:rsidRPr="001B4A02">
        <w:t>U pacientů, u</w:t>
      </w:r>
      <w:r w:rsidR="00283310" w:rsidRPr="001B4A02">
        <w:t> </w:t>
      </w:r>
      <w:r w:rsidRPr="001B4A02">
        <w:t>nichž se rozvinou známky</w:t>
      </w:r>
      <w:r w:rsidR="002378E0">
        <w:t xml:space="preserve"> a </w:t>
      </w:r>
      <w:r w:rsidRPr="001B4A02">
        <w:t>příznaky, jako je horečka, malátnost, úbytek hmotnosti, pocení, kašel, dyspnoe a/nebo plicní infiltráty či jiné závažné systémové onemocnění s nebo bez doprovodného šoku, je třeba pomýšlet na možnost invazivní plísňové infekce; používání přípravku Humira by mělo být ihned přerušeno. Diagnóza onemocnění</w:t>
      </w:r>
      <w:r w:rsidR="002378E0">
        <w:t xml:space="preserve"> a </w:t>
      </w:r>
      <w:r w:rsidRPr="001B4A02">
        <w:t>zahájení empirické antifungální terapie u</w:t>
      </w:r>
      <w:r w:rsidR="00E87DE7" w:rsidRPr="001B4A02">
        <w:t> </w:t>
      </w:r>
      <w:r w:rsidRPr="001B4A02">
        <w:t>těchto pacientů by mělo být učiněno po konzultaci s lékařem, který má zkušenost s léčbou pacientů s invazivními plísňovými infekcemi.</w:t>
      </w:r>
    </w:p>
    <w:p w14:paraId="350BF988" w14:textId="77777777" w:rsidR="00F24C86" w:rsidRPr="001B4A02" w:rsidRDefault="00F24C86" w:rsidP="00F24C86">
      <w:pPr>
        <w:ind w:left="0" w:firstLine="0"/>
      </w:pPr>
    </w:p>
    <w:p w14:paraId="2770B6C4" w14:textId="77777777" w:rsidR="00F24C86" w:rsidRPr="001B4A02" w:rsidRDefault="00000000" w:rsidP="0017164D">
      <w:pPr>
        <w:pStyle w:val="EMEANormal"/>
        <w:keepNext/>
        <w:tabs>
          <w:tab w:val="clear" w:pos="562"/>
        </w:tabs>
        <w:suppressAutoHyphens w:val="0"/>
        <w:rPr>
          <w:u w:val="single"/>
          <w:lang w:val="cs-CZ"/>
        </w:rPr>
      </w:pPr>
      <w:r w:rsidRPr="001B4A02">
        <w:rPr>
          <w:u w:val="single"/>
          <w:lang w:val="cs-CZ"/>
        </w:rPr>
        <w:t xml:space="preserve">Reaktivace </w:t>
      </w:r>
      <w:r w:rsidR="002F4FFA" w:rsidRPr="001B4A02">
        <w:rPr>
          <w:u w:val="single"/>
          <w:lang w:val="cs-CZ"/>
        </w:rPr>
        <w:t>hepatiti</w:t>
      </w:r>
      <w:r w:rsidR="002F4FFA">
        <w:rPr>
          <w:u w:val="single"/>
          <w:lang w:val="cs-CZ"/>
        </w:rPr>
        <w:t>dy</w:t>
      </w:r>
      <w:r w:rsidR="002F4FFA" w:rsidRPr="001B4A02">
        <w:rPr>
          <w:u w:val="single"/>
          <w:lang w:val="cs-CZ"/>
        </w:rPr>
        <w:t xml:space="preserve"> </w:t>
      </w:r>
      <w:r w:rsidRPr="001B4A02">
        <w:rPr>
          <w:u w:val="single"/>
          <w:lang w:val="cs-CZ"/>
        </w:rPr>
        <w:t>B</w:t>
      </w:r>
    </w:p>
    <w:p w14:paraId="2A20474F" w14:textId="77777777" w:rsidR="00F24C86" w:rsidRPr="001B4A02" w:rsidRDefault="00F24C86" w:rsidP="0017164D">
      <w:pPr>
        <w:keepNext/>
        <w:ind w:left="0" w:firstLine="0"/>
        <w:rPr>
          <w:bCs/>
          <w:szCs w:val="22"/>
        </w:rPr>
      </w:pPr>
    </w:p>
    <w:p w14:paraId="335C6DD4" w14:textId="77777777" w:rsidR="00F24C86" w:rsidRPr="001B4A02" w:rsidRDefault="00000000" w:rsidP="00F24C86">
      <w:pPr>
        <w:ind w:left="0" w:firstLine="0"/>
        <w:rPr>
          <w:szCs w:val="22"/>
          <w:lang w:eastAsia="de-DE"/>
        </w:rPr>
      </w:pPr>
      <w:r w:rsidRPr="001B4A02">
        <w:rPr>
          <w:szCs w:val="22"/>
          <w:lang w:eastAsia="de-DE"/>
        </w:rPr>
        <w:t xml:space="preserve">Reaktivace </w:t>
      </w:r>
      <w:r w:rsidR="002F4FFA" w:rsidRPr="001B4A02">
        <w:rPr>
          <w:szCs w:val="22"/>
          <w:lang w:eastAsia="de-DE"/>
        </w:rPr>
        <w:t>hepatiti</w:t>
      </w:r>
      <w:r w:rsidR="002F4FFA">
        <w:rPr>
          <w:szCs w:val="22"/>
          <w:lang w:eastAsia="de-DE"/>
        </w:rPr>
        <w:t>dy</w:t>
      </w:r>
      <w:r w:rsidR="002F4FFA" w:rsidRPr="001B4A02">
        <w:rPr>
          <w:szCs w:val="22"/>
          <w:lang w:eastAsia="de-DE"/>
        </w:rPr>
        <w:t xml:space="preserve"> </w:t>
      </w:r>
      <w:r w:rsidRPr="001B4A02">
        <w:rPr>
          <w:szCs w:val="22"/>
          <w:lang w:eastAsia="de-DE"/>
        </w:rPr>
        <w:t>B se objevila u těch pacientů, užívajících TNF</w:t>
      </w:r>
      <w:r w:rsidRPr="001B4A02">
        <w:rPr>
          <w:szCs w:val="22"/>
          <w:lang w:eastAsia="de-DE"/>
        </w:rPr>
        <w:noBreakHyphen/>
        <w:t>antagonisty včetně přípravku Humira, kteří jsou chronickými nositeli tohoto viru (tedy surface antigen pozitivní). Některé z případů byly fatální. Pacienti by měli být testováni na přítomnost možné nákazy HBV ještě před započetím léčby přípravkem Humira.</w:t>
      </w:r>
      <w:r w:rsidR="006C0AD7" w:rsidRPr="001B4A02">
        <w:rPr>
          <w:szCs w:val="22"/>
          <w:lang w:eastAsia="de-DE"/>
        </w:rPr>
        <w:t xml:space="preserve"> </w:t>
      </w:r>
      <w:r w:rsidRPr="001B4A02">
        <w:rPr>
          <w:szCs w:val="22"/>
          <w:lang w:eastAsia="de-DE"/>
        </w:rPr>
        <w:t>Pacientům, u</w:t>
      </w:r>
      <w:r w:rsidR="000D1F8F" w:rsidRPr="001B4A02">
        <w:rPr>
          <w:szCs w:val="22"/>
          <w:lang w:eastAsia="de-DE"/>
        </w:rPr>
        <w:t> </w:t>
      </w:r>
      <w:r w:rsidRPr="001B4A02">
        <w:rPr>
          <w:szCs w:val="22"/>
          <w:lang w:eastAsia="de-DE"/>
        </w:rPr>
        <w:t xml:space="preserve">kterých byl test na infekci </w:t>
      </w:r>
      <w:r w:rsidR="00B56199" w:rsidRPr="001B4A02">
        <w:rPr>
          <w:szCs w:val="22"/>
          <w:lang w:eastAsia="de-DE"/>
        </w:rPr>
        <w:t>hepatiti</w:t>
      </w:r>
      <w:r w:rsidR="00B56199">
        <w:rPr>
          <w:szCs w:val="22"/>
          <w:lang w:eastAsia="de-DE"/>
        </w:rPr>
        <w:t>dy</w:t>
      </w:r>
      <w:r w:rsidR="005363C8">
        <w:rPr>
          <w:szCs w:val="22"/>
          <w:lang w:eastAsia="de-DE"/>
        </w:rPr>
        <w:t> </w:t>
      </w:r>
      <w:r w:rsidRPr="001B4A02">
        <w:rPr>
          <w:szCs w:val="22"/>
          <w:lang w:eastAsia="de-DE"/>
        </w:rPr>
        <w:t xml:space="preserve">B pozitivní, je třeba doporučit, aby vyhledali pomoc lékaře, který má zkušenosti s léčbou </w:t>
      </w:r>
      <w:r w:rsidR="005363C8" w:rsidRPr="001B4A02">
        <w:rPr>
          <w:szCs w:val="22"/>
          <w:lang w:eastAsia="de-DE"/>
        </w:rPr>
        <w:t>hepatiti</w:t>
      </w:r>
      <w:r w:rsidR="005363C8">
        <w:rPr>
          <w:szCs w:val="22"/>
          <w:lang w:eastAsia="de-DE"/>
        </w:rPr>
        <w:t>dy </w:t>
      </w:r>
      <w:r w:rsidRPr="001B4A02">
        <w:rPr>
          <w:szCs w:val="22"/>
          <w:lang w:eastAsia="de-DE"/>
        </w:rPr>
        <w:t>B.</w:t>
      </w:r>
    </w:p>
    <w:p w14:paraId="7BEE2678" w14:textId="77777777" w:rsidR="00F24C86" w:rsidRPr="001B4A02" w:rsidRDefault="00F24C86" w:rsidP="00F24C86">
      <w:pPr>
        <w:ind w:left="0" w:firstLine="0"/>
        <w:rPr>
          <w:szCs w:val="22"/>
          <w:lang w:eastAsia="de-DE"/>
        </w:rPr>
      </w:pPr>
    </w:p>
    <w:p w14:paraId="7A46BC3B" w14:textId="77777777" w:rsidR="00F24C86" w:rsidRPr="001B4A02" w:rsidRDefault="00000000" w:rsidP="00F24C86">
      <w:pPr>
        <w:ind w:left="0" w:firstLine="0"/>
        <w:rPr>
          <w:szCs w:val="22"/>
          <w:lang w:eastAsia="de-DE"/>
        </w:rPr>
      </w:pPr>
      <w:r w:rsidRPr="001B4A02">
        <w:rPr>
          <w:szCs w:val="22"/>
          <w:lang w:eastAsia="de-DE"/>
        </w:rPr>
        <w:t xml:space="preserve">Nositelé HBV, kteří vyžadují léčbu přípravkem Humira, </w:t>
      </w:r>
      <w:r w:rsidR="000D4191">
        <w:rPr>
          <w:szCs w:val="22"/>
          <w:lang w:eastAsia="de-DE"/>
        </w:rPr>
        <w:t>mají</w:t>
      </w:r>
      <w:r w:rsidR="000D4191" w:rsidRPr="001B4A02">
        <w:rPr>
          <w:szCs w:val="22"/>
          <w:lang w:eastAsia="de-DE"/>
        </w:rPr>
        <w:t xml:space="preserve"> </w:t>
      </w:r>
      <w:r w:rsidRPr="001B4A02">
        <w:rPr>
          <w:szCs w:val="22"/>
          <w:lang w:eastAsia="de-DE"/>
        </w:rPr>
        <w:t>být v průběhu léčby</w:t>
      </w:r>
      <w:r w:rsidR="002378E0">
        <w:rPr>
          <w:szCs w:val="22"/>
          <w:lang w:eastAsia="de-DE"/>
        </w:rPr>
        <w:t xml:space="preserve"> a </w:t>
      </w:r>
      <w:r w:rsidRPr="001B4A02">
        <w:rPr>
          <w:szCs w:val="22"/>
          <w:lang w:eastAsia="de-DE"/>
        </w:rPr>
        <w:t xml:space="preserve">několik dalších měsíců po jejím ukončení pečlivě sledováni z hlediska výskytu známek či projevů aktivní HBV infekce. </w:t>
      </w:r>
      <w:r w:rsidRPr="001B4A02">
        <w:t>Adekvátní údaje, vypovídající o léčbě pacientů, nositelů HBV, kombinací TNF</w:t>
      </w:r>
      <w:r w:rsidRPr="001B4A02">
        <w:noBreakHyphen/>
        <w:t>antagonisty</w:t>
      </w:r>
      <w:r w:rsidR="002378E0">
        <w:t xml:space="preserve"> a </w:t>
      </w:r>
      <w:r w:rsidRPr="001B4A02">
        <w:t xml:space="preserve">antivirotika z důvodu zabránění reaktivace HBV, nejsou k dispozici. </w:t>
      </w:r>
      <w:r w:rsidRPr="001B4A02">
        <w:rPr>
          <w:szCs w:val="22"/>
          <w:lang w:eastAsia="de-DE"/>
        </w:rPr>
        <w:t>U pacientů, u kterých dojde k rozvoji HBV reaktivace, musí být přípravek Humira vysazen</w:t>
      </w:r>
      <w:r w:rsidR="002378E0">
        <w:rPr>
          <w:szCs w:val="22"/>
          <w:lang w:eastAsia="de-DE"/>
        </w:rPr>
        <w:t xml:space="preserve"> a </w:t>
      </w:r>
      <w:r w:rsidRPr="001B4A02">
        <w:rPr>
          <w:szCs w:val="22"/>
          <w:lang w:eastAsia="de-DE"/>
        </w:rPr>
        <w:t>je třeba zahájit účinnou antivirovou terapii</w:t>
      </w:r>
      <w:r w:rsidR="002378E0">
        <w:rPr>
          <w:szCs w:val="22"/>
          <w:lang w:eastAsia="de-DE"/>
        </w:rPr>
        <w:t xml:space="preserve"> a </w:t>
      </w:r>
      <w:r w:rsidRPr="001B4A02">
        <w:rPr>
          <w:szCs w:val="22"/>
          <w:lang w:eastAsia="de-DE"/>
        </w:rPr>
        <w:t>další podpůrnou léčbu.</w:t>
      </w:r>
    </w:p>
    <w:p w14:paraId="06B02058" w14:textId="77777777" w:rsidR="00F24C86" w:rsidRPr="001B4A02" w:rsidRDefault="00F24C86" w:rsidP="00F24C86">
      <w:pPr>
        <w:ind w:left="0" w:firstLine="0"/>
      </w:pPr>
    </w:p>
    <w:p w14:paraId="2DD57BA7" w14:textId="77777777" w:rsidR="00F24C86" w:rsidRPr="001B4A02" w:rsidRDefault="00000000" w:rsidP="00F24C86">
      <w:pPr>
        <w:keepNext/>
        <w:rPr>
          <w:u w:val="single"/>
        </w:rPr>
      </w:pPr>
      <w:r w:rsidRPr="001B4A02">
        <w:rPr>
          <w:u w:val="single"/>
        </w:rPr>
        <w:t>Neurologické příhody</w:t>
      </w:r>
    </w:p>
    <w:p w14:paraId="71F58B88" w14:textId="77777777" w:rsidR="00F24C86" w:rsidRPr="001B4A02" w:rsidRDefault="00F24C86" w:rsidP="00F24C86">
      <w:pPr>
        <w:keepNext/>
        <w:ind w:left="0" w:firstLine="0"/>
      </w:pPr>
    </w:p>
    <w:p w14:paraId="73F6E6C0" w14:textId="77777777" w:rsidR="00F24C86" w:rsidRPr="001B4A02" w:rsidRDefault="00000000" w:rsidP="0017164D">
      <w:pPr>
        <w:ind w:left="0" w:firstLine="0"/>
      </w:pPr>
      <w:r w:rsidRPr="001B4A02">
        <w:t>V souvislosti s podáváním antagonistů TNF včetně přípravku Humira se vzácně vyskytly případy nového vzniku nebo exacerbace klinických symptomů a/nebo radiografického průkazu demyelinizačního onemocnění centrálního nervového systému, včetně roztroušené sklerózy</w:t>
      </w:r>
      <w:r w:rsidR="002378E0">
        <w:t xml:space="preserve"> a </w:t>
      </w:r>
      <w:r w:rsidRPr="001B4A02">
        <w:t>optické neuritidy</w:t>
      </w:r>
      <w:r w:rsidR="002378E0">
        <w:t xml:space="preserve"> a </w:t>
      </w:r>
      <w:r w:rsidRPr="001B4A02">
        <w:t>periferního nervového systému, včetně Guillain-Barré syndromu. Předepisující lékaři by měli s opatrností zvážit použití přípravku Humira u</w:t>
      </w:r>
      <w:r w:rsidR="000D1F8F" w:rsidRPr="001B4A02">
        <w:t> </w:t>
      </w:r>
      <w:r w:rsidRPr="001B4A02">
        <w:t>pacientů s preexistujícími nebo v nedávné době vzniklými demyelinizačními poruchami centrálního nebo periferního nervového systému; pokud se některá z uvedených poruch objeví, je třeba zvážit vysazení přípravku Humira</w:t>
      </w:r>
      <w:r w:rsidRPr="001B4A02">
        <w:rPr>
          <w:bCs/>
        </w:rPr>
        <w:t>. Je známo, že existuje spojení mezi intermediální uveitidou</w:t>
      </w:r>
      <w:r w:rsidR="002378E0">
        <w:rPr>
          <w:bCs/>
        </w:rPr>
        <w:t xml:space="preserve"> a </w:t>
      </w:r>
      <w:r w:rsidRPr="001B4A02">
        <w:t>demyelinizačními poruchami centrálního nervového systému. U pacientů s neinfekční intermediální uveitidou je třeba před zahájením terapie přípravkem Humira</w:t>
      </w:r>
      <w:r w:rsidR="002378E0">
        <w:t xml:space="preserve"> a </w:t>
      </w:r>
      <w:r w:rsidRPr="001B4A02">
        <w:t>pravidelně během léčby provádět neurologické vyšetření k</w:t>
      </w:r>
      <w:r w:rsidR="00C735ED" w:rsidRPr="001B4A02">
        <w:t> </w:t>
      </w:r>
      <w:r w:rsidRPr="001B4A02">
        <w:t>posouzení preexistujících nebo vyvíjejících se demyelinizačních poruch centrálního nervového systému.</w:t>
      </w:r>
    </w:p>
    <w:p w14:paraId="61FF47D0" w14:textId="77777777" w:rsidR="00F24C86" w:rsidRPr="001B4A02" w:rsidRDefault="00F24C86" w:rsidP="00F24C86">
      <w:pPr>
        <w:ind w:left="0" w:firstLine="0"/>
      </w:pPr>
    </w:p>
    <w:p w14:paraId="1972DE57" w14:textId="77777777" w:rsidR="00F24C86" w:rsidRPr="001B4A02" w:rsidRDefault="00000000" w:rsidP="0017164D">
      <w:pPr>
        <w:keepNext/>
        <w:ind w:left="0" w:firstLine="0"/>
        <w:rPr>
          <w:u w:val="single"/>
        </w:rPr>
      </w:pPr>
      <w:r w:rsidRPr="001B4A02">
        <w:rPr>
          <w:u w:val="single"/>
        </w:rPr>
        <w:t>Alergické reakce</w:t>
      </w:r>
    </w:p>
    <w:p w14:paraId="66C87908" w14:textId="77777777" w:rsidR="00F24C86" w:rsidRPr="001B4A02" w:rsidRDefault="00F24C86" w:rsidP="0017164D">
      <w:pPr>
        <w:keepNext/>
        <w:ind w:left="0" w:firstLine="0"/>
      </w:pPr>
    </w:p>
    <w:p w14:paraId="33D82869" w14:textId="77777777" w:rsidR="00F24C86" w:rsidRPr="001B4A02" w:rsidRDefault="00000000" w:rsidP="00F24C86">
      <w:pPr>
        <w:ind w:left="0" w:firstLine="0"/>
      </w:pPr>
      <w:r w:rsidRPr="001B4A02">
        <w:t>Při podávání přípravku Humira v klinických studiích</w:t>
      </w:r>
      <w:r w:rsidR="00A21671" w:rsidRPr="001B4A02">
        <w:t xml:space="preserve"> </w:t>
      </w:r>
      <w:r w:rsidRPr="001B4A02">
        <w:t>byly závažné alergické reakce, spojené s jeho podáním, pozorovány pouze vzácně. V klinických studiích s přípravkem Humira se občas vyskytly nezávažné alergické reakce. Hlášení z praxe uvádějí výskyt závažných alergických reakcí, včetně anafylaxe, po podání přípravku Humira. Pokud se objeví anafylaktická reakce nebo jiná závažná alergická reakce, musí být ihned ukončeno podávání přípravku Humira</w:t>
      </w:r>
      <w:r w:rsidR="002378E0">
        <w:t xml:space="preserve"> a </w:t>
      </w:r>
      <w:r w:rsidRPr="001B4A02">
        <w:t>zahájená příslušná léčba.</w:t>
      </w:r>
    </w:p>
    <w:p w14:paraId="06930B55" w14:textId="77777777" w:rsidR="00F24C86" w:rsidRPr="001B4A02" w:rsidRDefault="00F24C86" w:rsidP="00F24C86">
      <w:pPr>
        <w:ind w:left="0" w:firstLine="0"/>
      </w:pPr>
    </w:p>
    <w:p w14:paraId="52265E6C" w14:textId="77777777" w:rsidR="00F24C86" w:rsidRPr="001B4A02" w:rsidRDefault="00000000" w:rsidP="0017164D">
      <w:pPr>
        <w:keepNext/>
        <w:ind w:left="0" w:firstLine="0"/>
      </w:pPr>
      <w:r w:rsidRPr="001B4A02">
        <w:rPr>
          <w:u w:val="single"/>
        </w:rPr>
        <w:t>Imunosuprese</w:t>
      </w:r>
    </w:p>
    <w:p w14:paraId="250124F6" w14:textId="77777777" w:rsidR="00F24C86" w:rsidRPr="001B4A02" w:rsidRDefault="00F24C86" w:rsidP="0017164D">
      <w:pPr>
        <w:keepNext/>
        <w:ind w:left="0" w:firstLine="0"/>
      </w:pPr>
    </w:p>
    <w:p w14:paraId="37F3AF09" w14:textId="77777777" w:rsidR="00F24C86" w:rsidRPr="001B4A02" w:rsidRDefault="00000000" w:rsidP="00F24C86">
      <w:pPr>
        <w:ind w:left="0" w:firstLine="0"/>
      </w:pPr>
      <w:r w:rsidRPr="001B4A02">
        <w:t>Ve studii u 64 pacientů s revmatoidní artritidou, kteří byli léčeni přípravkem Humira, nebylo prokázáno snížení hypersenzitivity opožděného typu, snížení hladin imunoglobulinů nebo změna v počtu efektorových T, B</w:t>
      </w:r>
      <w:r w:rsidR="002378E0">
        <w:t xml:space="preserve"> a </w:t>
      </w:r>
      <w:r w:rsidRPr="001B4A02">
        <w:t>NK buněk, monocytů/makrofágů</w:t>
      </w:r>
      <w:r w:rsidR="002378E0">
        <w:t xml:space="preserve"> a </w:t>
      </w:r>
      <w:r w:rsidRPr="001B4A02">
        <w:t>neutrofilů.</w:t>
      </w:r>
    </w:p>
    <w:p w14:paraId="1A8EB28E" w14:textId="77777777" w:rsidR="00C95A11" w:rsidRPr="001B4A02" w:rsidRDefault="00C95A11" w:rsidP="0017164D">
      <w:pPr>
        <w:pStyle w:val="EMEAHeadingUnderline"/>
        <w:tabs>
          <w:tab w:val="clear" w:pos="562"/>
        </w:tabs>
        <w:suppressAutoHyphens w:val="0"/>
        <w:spacing w:beforeLines="0" w:before="0" w:afterLines="0" w:after="0"/>
        <w:rPr>
          <w:szCs w:val="24"/>
          <w:lang w:val="cs-CZ"/>
        </w:rPr>
      </w:pPr>
    </w:p>
    <w:p w14:paraId="6F64B398" w14:textId="77777777" w:rsidR="00F24C86" w:rsidRPr="001B4A02" w:rsidRDefault="00000000" w:rsidP="00F24C86">
      <w:pPr>
        <w:pStyle w:val="EMEAHeadingUnderline"/>
        <w:keepNext/>
        <w:tabs>
          <w:tab w:val="clear" w:pos="562"/>
        </w:tabs>
        <w:suppressAutoHyphens w:val="0"/>
        <w:spacing w:beforeLines="0" w:before="0" w:afterLines="0" w:after="0"/>
        <w:rPr>
          <w:szCs w:val="24"/>
          <w:lang w:val="cs-CZ"/>
        </w:rPr>
      </w:pPr>
      <w:r w:rsidRPr="001B4A02">
        <w:rPr>
          <w:szCs w:val="24"/>
          <w:lang w:val="cs-CZ"/>
        </w:rPr>
        <w:t>Maligní onemocnění</w:t>
      </w:r>
      <w:r w:rsidR="002378E0">
        <w:rPr>
          <w:szCs w:val="24"/>
          <w:lang w:val="cs-CZ"/>
        </w:rPr>
        <w:t xml:space="preserve"> a </w:t>
      </w:r>
      <w:r w:rsidRPr="001B4A02">
        <w:rPr>
          <w:szCs w:val="24"/>
          <w:lang w:val="cs-CZ"/>
        </w:rPr>
        <w:t>lymfoproliferativní poruchy</w:t>
      </w:r>
    </w:p>
    <w:p w14:paraId="054ACF66" w14:textId="77777777" w:rsidR="00F24C86" w:rsidRPr="001B4A02" w:rsidRDefault="00F24C86" w:rsidP="00F24C86">
      <w:pPr>
        <w:pStyle w:val="EMEANormal"/>
        <w:keepNext/>
        <w:tabs>
          <w:tab w:val="clear" w:pos="562"/>
        </w:tabs>
        <w:suppressAutoHyphens w:val="0"/>
        <w:rPr>
          <w:szCs w:val="24"/>
          <w:lang w:val="cs-CZ"/>
        </w:rPr>
      </w:pPr>
    </w:p>
    <w:p w14:paraId="2203353A" w14:textId="77777777" w:rsidR="00F24C86" w:rsidRPr="001B4A02" w:rsidRDefault="00000000" w:rsidP="0017164D">
      <w:pPr>
        <w:pStyle w:val="EMEANormal"/>
        <w:tabs>
          <w:tab w:val="clear" w:pos="562"/>
        </w:tabs>
        <w:suppressAutoHyphens w:val="0"/>
        <w:rPr>
          <w:szCs w:val="24"/>
          <w:lang w:val="cs-CZ"/>
        </w:rPr>
      </w:pPr>
      <w:r w:rsidRPr="001B4A02">
        <w:rPr>
          <w:szCs w:val="24"/>
          <w:lang w:val="cs-CZ"/>
        </w:rPr>
        <w:t>V kontrolovaných částech klinických studií s antagonisty TNF bylo u pacientů léčených antagonisty TNF pozorováno v porovnání s kontrolní skupinou pacientů více případů malignit včetně lymfomů. Jejich výskyt byl však vzácný. V postmarketingovém období byly u</w:t>
      </w:r>
      <w:r w:rsidR="000D1F8F" w:rsidRPr="001B4A02">
        <w:rPr>
          <w:szCs w:val="24"/>
          <w:lang w:val="cs-CZ"/>
        </w:rPr>
        <w:t> </w:t>
      </w:r>
      <w:r w:rsidRPr="001B4A02">
        <w:rPr>
          <w:szCs w:val="24"/>
          <w:lang w:val="cs-CZ"/>
        </w:rPr>
        <w:t>pacientů léčených TNF-antagonisty hlášeny případy leukémie. U pacientů s revmatoidní artritidou s dlouhodobým vysoce aktivním zánětlivým onemocněním existuje zvýšené riziko vzniku lymfomu</w:t>
      </w:r>
      <w:r w:rsidR="002378E0">
        <w:rPr>
          <w:szCs w:val="24"/>
          <w:lang w:val="cs-CZ"/>
        </w:rPr>
        <w:t xml:space="preserve"> a </w:t>
      </w:r>
      <w:r w:rsidRPr="001B4A02">
        <w:rPr>
          <w:szCs w:val="24"/>
          <w:lang w:val="cs-CZ"/>
        </w:rPr>
        <w:t>leukémie, což komplikuje odhad rizika. Podle současného stavu znalostí nelze u pacientů léčených antagonisty TNF vyloučit možné riziko rozvoje lymfomů, leukémie</w:t>
      </w:r>
      <w:r w:rsidR="002378E0">
        <w:rPr>
          <w:szCs w:val="24"/>
          <w:lang w:val="cs-CZ"/>
        </w:rPr>
        <w:t xml:space="preserve"> a </w:t>
      </w:r>
      <w:r w:rsidRPr="001B4A02">
        <w:rPr>
          <w:szCs w:val="24"/>
          <w:lang w:val="cs-CZ"/>
        </w:rPr>
        <w:t>jiných maligních onemocnění.</w:t>
      </w:r>
    </w:p>
    <w:p w14:paraId="701DBC3F" w14:textId="77777777" w:rsidR="00F24C86" w:rsidRPr="001B4A02" w:rsidRDefault="00F24C86" w:rsidP="00F24C86">
      <w:pPr>
        <w:ind w:left="0" w:firstLine="0"/>
      </w:pPr>
    </w:p>
    <w:p w14:paraId="3FCBB659" w14:textId="77777777" w:rsidR="00F24C86" w:rsidRPr="001B4A02" w:rsidRDefault="00000000" w:rsidP="00F24C86">
      <w:pPr>
        <w:ind w:left="0" w:firstLine="0"/>
      </w:pPr>
      <w:r w:rsidRPr="001B4A02">
        <w:t>V postmarketingovém období byly u</w:t>
      </w:r>
      <w:r w:rsidR="000D1F8F" w:rsidRPr="001B4A02">
        <w:t> </w:t>
      </w:r>
      <w:r w:rsidRPr="001B4A02">
        <w:t xml:space="preserve">dětí, </w:t>
      </w:r>
      <w:r w:rsidR="003D67C0">
        <w:t>dospívajících</w:t>
      </w:r>
      <w:r w:rsidR="002378E0">
        <w:t xml:space="preserve"> a </w:t>
      </w:r>
      <w:r w:rsidRPr="001B4A02">
        <w:t>mladých dospělých (do 22 let) užívajících TNF-blokátory (zahájení léčby v</w:t>
      </w:r>
      <w:r w:rsidR="003D5529" w:rsidRPr="001B4A02">
        <w:t> </w:t>
      </w:r>
      <w:r w:rsidRPr="001B4A02">
        <w:t>≤ 18 letech věku), včetně adalimumabu, hlášeny malignity, z nichž některé byly fatální. Přibližně polovina případů byly lymfomy. Jiné případy představovaly různé druhy malignit</w:t>
      </w:r>
      <w:r w:rsidR="002378E0">
        <w:t xml:space="preserve"> a </w:t>
      </w:r>
      <w:r w:rsidRPr="001B4A02">
        <w:t>zahrnovaly vzácné malignity, které jsou obvykle spojeny s imunosupresí. Riziko rozvoje malignit u</w:t>
      </w:r>
      <w:r w:rsidR="000D1F8F" w:rsidRPr="001B4A02">
        <w:t> </w:t>
      </w:r>
      <w:r w:rsidRPr="001B4A02">
        <w:t>dětí</w:t>
      </w:r>
      <w:r w:rsidR="002378E0">
        <w:t xml:space="preserve"> a </w:t>
      </w:r>
      <w:r w:rsidR="007633DC">
        <w:t>dospívajících</w:t>
      </w:r>
      <w:r w:rsidRPr="001B4A02">
        <w:t xml:space="preserve"> léčených TNF-blokátory nelze vyloučit.</w:t>
      </w:r>
    </w:p>
    <w:p w14:paraId="051F38BF" w14:textId="77777777" w:rsidR="00F24C86" w:rsidRPr="001B4A02" w:rsidRDefault="00F24C86" w:rsidP="00F24C86"/>
    <w:p w14:paraId="19D0A4A5" w14:textId="77777777" w:rsidR="00F24C86" w:rsidRPr="001B4A02" w:rsidRDefault="00000000" w:rsidP="00F24C86">
      <w:pPr>
        <w:pStyle w:val="EMEANormal"/>
        <w:tabs>
          <w:tab w:val="clear" w:pos="562"/>
        </w:tabs>
        <w:suppressAutoHyphens w:val="0"/>
        <w:rPr>
          <w:lang w:val="cs-CZ"/>
        </w:rPr>
      </w:pPr>
      <w:r w:rsidRPr="001B4A02">
        <w:rPr>
          <w:lang w:val="cs-CZ"/>
        </w:rPr>
        <w:t>Z postmarketingové praxe u</w:t>
      </w:r>
      <w:r w:rsidR="000D1F8F" w:rsidRPr="001B4A02">
        <w:rPr>
          <w:lang w:val="cs-CZ"/>
        </w:rPr>
        <w:t> </w:t>
      </w:r>
      <w:r w:rsidRPr="001B4A02">
        <w:rPr>
          <w:lang w:val="cs-CZ"/>
        </w:rPr>
        <w:t>pacientů léčených adalimumabem byly hlášeny vzácné případy hepatosplenického T-buněčného lymfomu. Tento vzácný typ T-buněčného lymfomu se vyznačuje velmi agresívním průběhem onemocnění</w:t>
      </w:r>
      <w:r w:rsidR="002378E0">
        <w:rPr>
          <w:lang w:val="cs-CZ"/>
        </w:rPr>
        <w:t xml:space="preserve"> a </w:t>
      </w:r>
      <w:r w:rsidRPr="001B4A02">
        <w:rPr>
          <w:lang w:val="cs-CZ"/>
        </w:rPr>
        <w:t>je obvykle fatální. Některé z těchto T-buněčných lymfomů, spojované s</w:t>
      </w:r>
      <w:r w:rsidR="00706381" w:rsidRPr="001B4A02">
        <w:rPr>
          <w:lang w:val="cs-CZ"/>
        </w:rPr>
        <w:t> </w:t>
      </w:r>
      <w:r w:rsidRPr="001B4A02">
        <w:rPr>
          <w:lang w:val="cs-CZ"/>
        </w:rPr>
        <w:t>přípravkem Humira, se vyskytly u</w:t>
      </w:r>
      <w:r w:rsidR="00706381" w:rsidRPr="001B4A02">
        <w:rPr>
          <w:lang w:val="cs-CZ"/>
        </w:rPr>
        <w:t> </w:t>
      </w:r>
      <w:r w:rsidRPr="001B4A02">
        <w:rPr>
          <w:lang w:val="cs-CZ"/>
        </w:rPr>
        <w:t>mladých pacientů léčených současně azathioprinem nebo 6-merkaptopurinem pro zánětlivé střevní onemocnění. Možné riziko kombinace azathioprinu nebo 6-merkaptopurinu</w:t>
      </w:r>
      <w:r w:rsidR="002378E0">
        <w:rPr>
          <w:lang w:val="cs-CZ"/>
        </w:rPr>
        <w:t xml:space="preserve"> a </w:t>
      </w:r>
      <w:r w:rsidRPr="001B4A02">
        <w:rPr>
          <w:lang w:val="cs-CZ"/>
        </w:rPr>
        <w:t>přípravku Humira je třeba pečlivě zvážit. Riziko rozvoje hepatosplenického T-buněčného lymfomu nelze u</w:t>
      </w:r>
      <w:r w:rsidR="000D1F8F" w:rsidRPr="001B4A02">
        <w:rPr>
          <w:lang w:val="cs-CZ"/>
        </w:rPr>
        <w:t> </w:t>
      </w:r>
      <w:r w:rsidRPr="001B4A02">
        <w:rPr>
          <w:lang w:val="cs-CZ"/>
        </w:rPr>
        <w:t>pacientů léčených přípravkem Humira vyloučit (viz bod 4.8).</w:t>
      </w:r>
    </w:p>
    <w:p w14:paraId="74491CB0" w14:textId="77777777" w:rsidR="00F24C86" w:rsidRPr="001B4A02" w:rsidRDefault="00F24C86" w:rsidP="00F24C86"/>
    <w:p w14:paraId="33DE8878" w14:textId="77777777" w:rsidR="00F24C86" w:rsidRPr="001B4A02" w:rsidRDefault="00000000" w:rsidP="00F24C86">
      <w:pPr>
        <w:ind w:left="0" w:firstLine="0"/>
      </w:pPr>
      <w:r w:rsidRPr="001B4A02">
        <w:t>Nebyly provedeny žádné studie u pacientů s anamnézou maligního onemocnění nebo v</w:t>
      </w:r>
      <w:r w:rsidR="003D5529" w:rsidRPr="001B4A02">
        <w:t> </w:t>
      </w:r>
      <w:r w:rsidRPr="001B4A02">
        <w:t>případech, kde by léčba přípravkem Humira dále pokračovala i u pacientů, u kterých došlo k</w:t>
      </w:r>
      <w:r w:rsidR="00C735ED" w:rsidRPr="001B4A02">
        <w:t> </w:t>
      </w:r>
      <w:r w:rsidRPr="001B4A02">
        <w:t>rozvoji maligního onemocnění. Je proto zapotřebí ještě větší opatrnost při úvaze o léčbě přípravkem Humira u těchto pacientů (viz bod 4.8).</w:t>
      </w:r>
    </w:p>
    <w:p w14:paraId="7B26393C" w14:textId="77777777" w:rsidR="00F24C86" w:rsidRPr="001B4A02" w:rsidRDefault="00F24C86" w:rsidP="00F24C86">
      <w:pPr>
        <w:ind w:left="0" w:firstLine="0"/>
      </w:pPr>
    </w:p>
    <w:p w14:paraId="046EA43E" w14:textId="77777777" w:rsidR="00F24C86" w:rsidRPr="001B4A02" w:rsidRDefault="00000000" w:rsidP="00F24C86">
      <w:pPr>
        <w:ind w:left="0" w:firstLine="0"/>
      </w:pPr>
      <w:r w:rsidRPr="001B4A02">
        <w:t>Všechny pacienty, zvláště pacienty s anamnézou rozsáhlé imunosupres</w:t>
      </w:r>
      <w:r w:rsidR="00B60555" w:rsidRPr="001B4A02">
        <w:t>i</w:t>
      </w:r>
      <w:r w:rsidRPr="001B4A02">
        <w:t>vní léčby nebo pacienty s psoriázou, kteří byli v minulosti léčeni PUVA, je třeba vyšetřit na přítomnost nemelanomového kožního karcinomu ještě před</w:t>
      </w:r>
      <w:r w:rsidR="002378E0">
        <w:t xml:space="preserve"> a </w:t>
      </w:r>
      <w:r w:rsidRPr="001B4A02">
        <w:t>během léčby přípravkem Humira. U</w:t>
      </w:r>
      <w:r w:rsidR="000D1F8F" w:rsidRPr="001B4A02">
        <w:t> </w:t>
      </w:r>
      <w:r w:rsidRPr="001B4A02">
        <w:t>pacientů užívajících TNF-antagonisty, včetně přípravku Humira, byl také hlášen výskyt melanomu</w:t>
      </w:r>
      <w:r w:rsidR="002378E0">
        <w:t xml:space="preserve"> a </w:t>
      </w:r>
      <w:r w:rsidRPr="001B4A02">
        <w:t>karcinomu z Merkelových buněk (viz bod 4.8).</w:t>
      </w:r>
    </w:p>
    <w:p w14:paraId="239F924D" w14:textId="77777777" w:rsidR="00F24C86" w:rsidRPr="001B4A02" w:rsidRDefault="00F24C86" w:rsidP="00F24C86">
      <w:pPr>
        <w:ind w:left="0" w:firstLine="0"/>
      </w:pPr>
    </w:p>
    <w:p w14:paraId="3BBC5B28" w14:textId="77777777" w:rsidR="00F24C86" w:rsidRPr="001B4A02" w:rsidRDefault="00000000" w:rsidP="00F24C86">
      <w:pPr>
        <w:pStyle w:val="EMEANormal"/>
        <w:tabs>
          <w:tab w:val="clear" w:pos="562"/>
        </w:tabs>
        <w:suppressAutoHyphens w:val="0"/>
        <w:rPr>
          <w:bCs/>
          <w:szCs w:val="22"/>
          <w:lang w:val="cs-CZ"/>
        </w:rPr>
      </w:pPr>
      <w:r w:rsidRPr="001B4A02">
        <w:rPr>
          <w:bCs/>
          <w:szCs w:val="22"/>
          <w:lang w:val="cs-CZ"/>
        </w:rPr>
        <w:t>V ověřovací klinické studii, zkoumající užívání jiného antagonisty TNF, infliximabu, u pacientů se středně těžkou až těžkou chronickou obstrukční chorobou plicní (CHOPN), bylo u pacientů léčených infliximabem pozorováno více malignit, převážně plic, hlavy</w:t>
      </w:r>
      <w:r w:rsidR="002378E0">
        <w:rPr>
          <w:bCs/>
          <w:szCs w:val="22"/>
          <w:lang w:val="cs-CZ"/>
        </w:rPr>
        <w:t xml:space="preserve"> a </w:t>
      </w:r>
      <w:r w:rsidRPr="001B4A02">
        <w:rPr>
          <w:bCs/>
          <w:szCs w:val="22"/>
          <w:lang w:val="cs-CZ"/>
        </w:rPr>
        <w:t>krku v porovnání s kontrolní skupinou pacientů. Všichni pacienti byli v minulosti těžcí kuřáci. Z tohoto důvodu je zapotřebí opatrnosti při užívání jakéhokoli TNF-antagonisty u pacientů s CHOPN, stejně jako u pacientů s vyšším rizikem vzniku malignit v důsledku jejich těžkého kuřáctví.</w:t>
      </w:r>
    </w:p>
    <w:p w14:paraId="4401D670" w14:textId="77777777" w:rsidR="00F24C86" w:rsidRPr="001B4A02" w:rsidRDefault="00F24C86" w:rsidP="00F24C86">
      <w:pPr>
        <w:ind w:left="0" w:firstLine="0"/>
      </w:pPr>
    </w:p>
    <w:p w14:paraId="158C566A" w14:textId="77777777" w:rsidR="00F24C86" w:rsidRPr="001B4A02" w:rsidRDefault="00000000" w:rsidP="00F24C86">
      <w:pPr>
        <w:ind w:left="0" w:firstLine="0"/>
      </w:pPr>
      <w:r w:rsidRPr="001B4A02">
        <w:t>Podle současných údajů není známo, zda léčba adalimumabem ovlivňuje riziko vzniku dyspl</w:t>
      </w:r>
      <w:r w:rsidR="008C32DF">
        <w:t>a</w:t>
      </w:r>
      <w:r w:rsidRPr="001B4A02">
        <w:t>zie nebo kolorektálního karcinomu. Všichni pacienti s ulcerózní kolitidou, u</w:t>
      </w:r>
      <w:r w:rsidR="000D1F8F" w:rsidRPr="001B4A02">
        <w:t> </w:t>
      </w:r>
      <w:r w:rsidRPr="001B4A02">
        <w:t>nichž existuje riziko pro vznik dyspl</w:t>
      </w:r>
      <w:r w:rsidR="008C32DF">
        <w:t>a</w:t>
      </w:r>
      <w:r w:rsidRPr="001B4A02">
        <w:t>zie nebo kolorektálního karcinomu (např. pacienti s dlouhotrvající ulcerózní kolitidou nebo primární sklerotizující cholangitidou), u</w:t>
      </w:r>
      <w:r w:rsidR="000D1F8F" w:rsidRPr="001B4A02">
        <w:t> </w:t>
      </w:r>
      <w:r w:rsidRPr="001B4A02">
        <w:t>kterých se v minulosti vyskytla dyspl</w:t>
      </w:r>
      <w:r w:rsidR="008C32DF">
        <w:t>a</w:t>
      </w:r>
      <w:r w:rsidRPr="001B4A02">
        <w:t xml:space="preserve">zie nebo kolorektální karcinom, </w:t>
      </w:r>
      <w:r w:rsidR="00996822">
        <w:t>mají</w:t>
      </w:r>
      <w:r w:rsidRPr="001B4A02">
        <w:t xml:space="preserve"> být vyšetřeni na možný rozvoj dyspl</w:t>
      </w:r>
      <w:r w:rsidR="008C32DF">
        <w:t>a</w:t>
      </w:r>
      <w:r w:rsidRPr="001B4A02">
        <w:t>zie nebo kolorektálního karcinomu ještě před zahájením léčby</w:t>
      </w:r>
      <w:r w:rsidR="002378E0">
        <w:t xml:space="preserve"> a </w:t>
      </w:r>
      <w:r w:rsidRPr="001B4A02">
        <w:t>dále v pravidelných intervalech v jejím průběhu. Toto vyšetření má, v souladu s místními požadavky, zahrnovat kolonoskopii</w:t>
      </w:r>
      <w:r w:rsidR="002378E0">
        <w:t xml:space="preserve"> a </w:t>
      </w:r>
      <w:r w:rsidRPr="001B4A02">
        <w:t>biopsii.</w:t>
      </w:r>
    </w:p>
    <w:p w14:paraId="43DBDE2D" w14:textId="77777777" w:rsidR="00F24C86" w:rsidRPr="001B4A02" w:rsidRDefault="00F24C86" w:rsidP="00F24C86">
      <w:pPr>
        <w:tabs>
          <w:tab w:val="left" w:pos="426"/>
        </w:tabs>
        <w:jc w:val="both"/>
        <w:rPr>
          <w:bCs/>
          <w:szCs w:val="22"/>
          <w:u w:val="single"/>
        </w:rPr>
      </w:pPr>
    </w:p>
    <w:p w14:paraId="64E72AA1" w14:textId="77777777" w:rsidR="00F24C86" w:rsidRPr="001B4A02" w:rsidRDefault="00000000" w:rsidP="0017164D">
      <w:pPr>
        <w:keepNext/>
        <w:tabs>
          <w:tab w:val="left" w:pos="426"/>
        </w:tabs>
        <w:jc w:val="both"/>
        <w:rPr>
          <w:bCs/>
          <w:szCs w:val="22"/>
          <w:u w:val="single"/>
        </w:rPr>
      </w:pPr>
      <w:r w:rsidRPr="001B4A02">
        <w:rPr>
          <w:bCs/>
          <w:szCs w:val="22"/>
          <w:u w:val="single"/>
        </w:rPr>
        <w:t>Hematologické reakce</w:t>
      </w:r>
    </w:p>
    <w:p w14:paraId="135B4ADE" w14:textId="77777777" w:rsidR="00F24C86" w:rsidRPr="001B4A02" w:rsidRDefault="00F24C86" w:rsidP="0017164D">
      <w:pPr>
        <w:keepNext/>
        <w:tabs>
          <w:tab w:val="left" w:pos="426"/>
        </w:tabs>
        <w:jc w:val="both"/>
        <w:rPr>
          <w:bCs/>
          <w:szCs w:val="22"/>
          <w:u w:val="single"/>
        </w:rPr>
      </w:pPr>
    </w:p>
    <w:p w14:paraId="3053DB19" w14:textId="77777777" w:rsidR="00F24C86" w:rsidRPr="001B4A02" w:rsidRDefault="00000000" w:rsidP="00F24C86">
      <w:pPr>
        <w:ind w:left="0" w:firstLine="0"/>
        <w:rPr>
          <w:u w:val="single"/>
        </w:rPr>
      </w:pPr>
      <w:r w:rsidRPr="001B4A02">
        <w:rPr>
          <w:bCs/>
          <w:szCs w:val="22"/>
        </w:rPr>
        <w:t>Při užívání antagonistů TNF byly vzácně hlášeny případy pancytopenie včetně aplastické anémie. U přípravku Humira byly hlášeny nežádoucí příhody v oblasti hematologického systému, včetně medicínsky významné cytopenie (např. trombocytopenie, leukopenie). Všem pacientům je nutné doporučit, aby ihned vyhledali lékařskou pomoc, pokud se při léčbě přípravkem Humira vyvinou příznaky</w:t>
      </w:r>
      <w:r w:rsidR="002378E0">
        <w:rPr>
          <w:bCs/>
          <w:szCs w:val="22"/>
        </w:rPr>
        <w:t xml:space="preserve"> a </w:t>
      </w:r>
      <w:r w:rsidRPr="001B4A02">
        <w:rPr>
          <w:bCs/>
          <w:szCs w:val="22"/>
        </w:rPr>
        <w:t>projevy podezřelé z krevní dyskrasie (např. přetrvávající horečka, hematomy, krvácení, bledost). U pacientů s potvrzenými významnými hematologickými abnormalitami je nutné zvážit vysazení léčby.</w:t>
      </w:r>
    </w:p>
    <w:p w14:paraId="1C092D9E" w14:textId="77777777" w:rsidR="00F24C86" w:rsidRPr="001B4A02" w:rsidRDefault="00F24C86" w:rsidP="00F24C86">
      <w:pPr>
        <w:ind w:left="0" w:firstLine="0"/>
      </w:pPr>
    </w:p>
    <w:p w14:paraId="2727D094" w14:textId="77777777" w:rsidR="00F24C86" w:rsidRPr="001B4A02" w:rsidRDefault="00000000" w:rsidP="0017164D">
      <w:pPr>
        <w:keepNext/>
        <w:ind w:left="0" w:firstLine="0"/>
      </w:pPr>
      <w:r w:rsidRPr="001B4A02">
        <w:rPr>
          <w:u w:val="single"/>
        </w:rPr>
        <w:t>Očkování</w:t>
      </w:r>
    </w:p>
    <w:p w14:paraId="3D7990DD" w14:textId="77777777" w:rsidR="00F24C86" w:rsidRPr="001B4A02" w:rsidRDefault="00F24C86" w:rsidP="0017164D">
      <w:pPr>
        <w:keepNext/>
        <w:ind w:left="0" w:firstLine="0"/>
      </w:pPr>
    </w:p>
    <w:p w14:paraId="7BB7329E" w14:textId="77777777" w:rsidR="00F24C86" w:rsidRPr="001B4A02" w:rsidRDefault="00000000" w:rsidP="00F24C86">
      <w:pPr>
        <w:pStyle w:val="EMEANormal"/>
        <w:tabs>
          <w:tab w:val="clear" w:pos="562"/>
        </w:tabs>
        <w:suppressAutoHyphens w:val="0"/>
        <w:rPr>
          <w:lang w:val="cs-CZ"/>
        </w:rPr>
      </w:pPr>
      <w:r w:rsidRPr="001B4A02">
        <w:rPr>
          <w:lang w:val="cs-CZ"/>
        </w:rPr>
        <w:t>Obdobná protilátková odpověď na standardní 23složkovou pneumokokovou vakcínu</w:t>
      </w:r>
      <w:r w:rsidR="002378E0">
        <w:rPr>
          <w:lang w:val="cs-CZ"/>
        </w:rPr>
        <w:t xml:space="preserve"> a </w:t>
      </w:r>
      <w:r w:rsidRPr="001B4A02">
        <w:rPr>
          <w:lang w:val="cs-CZ"/>
        </w:rPr>
        <w:t>třísložkovou virovou vakcínu proti chřipce byla pozorována ve studii s 226 dospělými subjekty s revmatoidní artritidou, kte</w:t>
      </w:r>
      <w:r w:rsidR="002A321C">
        <w:rPr>
          <w:lang w:val="cs-CZ"/>
        </w:rPr>
        <w:t>ré</w:t>
      </w:r>
      <w:r w:rsidRPr="001B4A02">
        <w:rPr>
          <w:lang w:val="cs-CZ"/>
        </w:rPr>
        <w:t xml:space="preserve"> byl</w:t>
      </w:r>
      <w:r w:rsidR="002A321C">
        <w:rPr>
          <w:lang w:val="cs-CZ"/>
        </w:rPr>
        <w:t>y</w:t>
      </w:r>
      <w:r w:rsidRPr="001B4A02">
        <w:rPr>
          <w:lang w:val="cs-CZ"/>
        </w:rPr>
        <w:t xml:space="preserve"> léčen</w:t>
      </w:r>
      <w:r w:rsidR="002A321C">
        <w:rPr>
          <w:lang w:val="cs-CZ"/>
        </w:rPr>
        <w:t>y</w:t>
      </w:r>
      <w:r w:rsidRPr="001B4A02">
        <w:rPr>
          <w:lang w:val="cs-CZ"/>
        </w:rPr>
        <w:t xml:space="preserve"> adalimumabem nebo placebem. Nejsou k dispozici žádné údaje týkající se sekundárního přenosu infekce v důsledku živé vakcíny u pacientů léčených přípravkem Humira. </w:t>
      </w:r>
    </w:p>
    <w:p w14:paraId="3E1DCA6A" w14:textId="77777777" w:rsidR="00F24C86" w:rsidRPr="001B4A02" w:rsidRDefault="00F24C86" w:rsidP="00F24C86">
      <w:pPr>
        <w:ind w:left="0" w:firstLine="0"/>
        <w:rPr>
          <w:u w:val="single"/>
        </w:rPr>
      </w:pPr>
    </w:p>
    <w:p w14:paraId="17EB1775" w14:textId="77777777" w:rsidR="00F24C86" w:rsidRPr="001B4A02" w:rsidRDefault="00000000" w:rsidP="00F24C86">
      <w:pPr>
        <w:ind w:left="0" w:firstLine="0"/>
      </w:pPr>
      <w:r w:rsidRPr="001B4A02">
        <w:t>Doporučuje se, aby pediatričtí pacienti absolvovali pokud možno všechna doporučená očkování v souladu se současnými vakcinačními směrnicemi ještě před zahájením léčby přípravkem Humira.</w:t>
      </w:r>
    </w:p>
    <w:p w14:paraId="30EF99E7" w14:textId="77777777" w:rsidR="00F24C86" w:rsidRPr="001B4A02" w:rsidRDefault="00F24C86" w:rsidP="00F24C86">
      <w:pPr>
        <w:ind w:left="0" w:firstLine="0"/>
      </w:pPr>
    </w:p>
    <w:p w14:paraId="72F007CF" w14:textId="77777777" w:rsidR="00F24C86" w:rsidRPr="001B4A02" w:rsidRDefault="00000000" w:rsidP="00F24C86">
      <w:pPr>
        <w:ind w:left="0" w:firstLine="0"/>
      </w:pPr>
      <w:r w:rsidRPr="001B4A02">
        <w:t>Pacienti léčení přípravkem Humira mohou být souběžně očkováni, s výjimkou očkování živými vakcínami. Podávání živých vakcín</w:t>
      </w:r>
      <w:r w:rsidR="004D2E6D">
        <w:t xml:space="preserve"> (např. BCG vakcín)</w:t>
      </w:r>
      <w:r w:rsidRPr="001B4A02">
        <w:t xml:space="preserve"> se nedoporučuje u</w:t>
      </w:r>
      <w:r w:rsidR="000D1F8F" w:rsidRPr="001B4A02">
        <w:t> </w:t>
      </w:r>
      <w:r w:rsidRPr="001B4A02">
        <w:t>dětí, které byly adalimumabu vystaveny in utero,</w:t>
      </w:r>
      <w:r w:rsidR="002378E0">
        <w:t xml:space="preserve"> a </w:t>
      </w:r>
      <w:r w:rsidRPr="001B4A02">
        <w:t>to po dobu 5 měsíců od poslední dávky adalimumabu, jež byla matce během těhotenství podána.</w:t>
      </w:r>
    </w:p>
    <w:p w14:paraId="7D6888AE" w14:textId="77777777" w:rsidR="00F24C86" w:rsidRPr="001B4A02" w:rsidRDefault="00F24C86" w:rsidP="00F24C86">
      <w:pPr>
        <w:ind w:left="0" w:firstLine="0"/>
        <w:rPr>
          <w:u w:val="single"/>
        </w:rPr>
      </w:pPr>
    </w:p>
    <w:p w14:paraId="2E507E69" w14:textId="77777777" w:rsidR="00F24C86" w:rsidRPr="001B4A02" w:rsidRDefault="00000000" w:rsidP="00F24C86">
      <w:pPr>
        <w:keepNext/>
        <w:ind w:left="0" w:firstLine="0"/>
      </w:pPr>
      <w:r w:rsidRPr="001B4A02">
        <w:rPr>
          <w:u w:val="single"/>
        </w:rPr>
        <w:t>Městnavé srdeční selhání</w:t>
      </w:r>
    </w:p>
    <w:p w14:paraId="610E5E14" w14:textId="77777777" w:rsidR="00F24C86" w:rsidRPr="001B4A02" w:rsidRDefault="00F24C86" w:rsidP="00F24C86">
      <w:pPr>
        <w:keepNext/>
        <w:ind w:left="0" w:firstLine="0"/>
      </w:pPr>
    </w:p>
    <w:p w14:paraId="7F3C2098" w14:textId="77777777" w:rsidR="00F24C86" w:rsidRPr="001B4A02" w:rsidRDefault="00000000" w:rsidP="00F24C86">
      <w:pPr>
        <w:ind w:left="0" w:firstLine="0"/>
      </w:pPr>
      <w:r w:rsidRPr="001B4A02">
        <w:t>V klinické studii s jiným antagonistou TNF bylo pozorováno zhoršení městnavého srdečního selhání</w:t>
      </w:r>
      <w:r w:rsidR="002378E0">
        <w:t xml:space="preserve"> a </w:t>
      </w:r>
      <w:r w:rsidRPr="001B4A02">
        <w:t>zvýšení mortality na městnavé srdeční selhání. Případy zhoršení městnavého srdečního selhání byly rovněž popsány u pacientů léčených přípravkem Humira. U pacientů s mírným srdečním selháním (třída I/II podle NYHA) se musí přípravek Humira podávat s opatrností. Přípravek Humira je kontraindikován u středně těžkého až těžkého srdečního selhání (viz bod 4.3). U pacientů, u</w:t>
      </w:r>
      <w:r w:rsidR="000D1F8F" w:rsidRPr="001B4A02">
        <w:t> </w:t>
      </w:r>
      <w:r w:rsidRPr="001B4A02">
        <w:t>kterých dojde k rozvoji nebo zhoršení příznaků městnavého srdečního selhání, musí být léčba přípravkem Humira ukončena.</w:t>
      </w:r>
    </w:p>
    <w:p w14:paraId="40BB66AC" w14:textId="77777777" w:rsidR="00F24C86" w:rsidRPr="001B4A02" w:rsidRDefault="00F24C86" w:rsidP="00F24C86">
      <w:pPr>
        <w:ind w:left="0" w:firstLine="0"/>
        <w:rPr>
          <w:u w:val="single"/>
        </w:rPr>
      </w:pPr>
    </w:p>
    <w:p w14:paraId="705EAD46" w14:textId="77777777" w:rsidR="00F24C86" w:rsidRPr="001B4A02" w:rsidRDefault="00000000" w:rsidP="0017164D">
      <w:pPr>
        <w:keepNext/>
        <w:ind w:left="0" w:firstLine="0"/>
      </w:pPr>
      <w:r w:rsidRPr="001B4A02">
        <w:rPr>
          <w:u w:val="single"/>
        </w:rPr>
        <w:t>Autoimunitní procesy</w:t>
      </w:r>
    </w:p>
    <w:p w14:paraId="7B2A39A2" w14:textId="77777777" w:rsidR="00F24C86" w:rsidRPr="001B4A02" w:rsidRDefault="00F24C86" w:rsidP="0017164D">
      <w:pPr>
        <w:keepNext/>
        <w:ind w:left="0" w:firstLine="0"/>
      </w:pPr>
    </w:p>
    <w:p w14:paraId="1DF1E893" w14:textId="77777777" w:rsidR="00F24C86" w:rsidRPr="001B4A02" w:rsidRDefault="00000000" w:rsidP="00F24C86">
      <w:pPr>
        <w:ind w:left="0" w:firstLine="0"/>
      </w:pPr>
      <w:r w:rsidRPr="001B4A02">
        <w:t>Léčba přípravkem Humira může vést ke tvorbě autoimunitních protilátek. Dopad dlouhodobé léčby přípravkem Humira na rozvoj autoimunitních onemocnění není znám. Jestliže se u pacienta v souvislosti s léčbou přípravkem Humira vyvinou symptomy, svědčící pro lupus-like syndrom</w:t>
      </w:r>
      <w:r w:rsidR="002378E0">
        <w:t xml:space="preserve"> a </w:t>
      </w:r>
      <w:r w:rsidRPr="001B4A02">
        <w:t>má-li pozitivní protilátky proti dvoušroubovici DNA, pak u něj léčba přípravkem Humira nesmí dále pokračovat (viz bod 4.8).</w:t>
      </w:r>
    </w:p>
    <w:p w14:paraId="64741875" w14:textId="77777777" w:rsidR="00F24C86" w:rsidRPr="001B4A02" w:rsidRDefault="00F24C86" w:rsidP="00F24C86">
      <w:pPr>
        <w:ind w:left="0" w:firstLine="0"/>
      </w:pPr>
    </w:p>
    <w:p w14:paraId="54DB1E2A" w14:textId="77777777" w:rsidR="00F24C86" w:rsidRPr="001B4A02" w:rsidRDefault="00000000" w:rsidP="0017164D">
      <w:pPr>
        <w:keepNext/>
        <w:ind w:left="0" w:firstLine="0"/>
      </w:pPr>
      <w:r w:rsidRPr="001B4A02">
        <w:rPr>
          <w:u w:val="single"/>
        </w:rPr>
        <w:t>Současné podávání biologických DMARD nebo antagonistů TNF</w:t>
      </w:r>
    </w:p>
    <w:p w14:paraId="75210D0B" w14:textId="77777777" w:rsidR="00F24C86" w:rsidRPr="001B4A02" w:rsidRDefault="00F24C86" w:rsidP="0017164D">
      <w:pPr>
        <w:keepNext/>
        <w:ind w:left="0" w:firstLine="0"/>
      </w:pPr>
    </w:p>
    <w:p w14:paraId="0FFE4C65" w14:textId="77777777" w:rsidR="00F24C86" w:rsidRPr="001B4A02" w:rsidRDefault="00000000" w:rsidP="00F24C86">
      <w:pPr>
        <w:ind w:left="0" w:firstLine="0"/>
        <w:rPr>
          <w:szCs w:val="24"/>
        </w:rPr>
      </w:pPr>
      <w:r w:rsidRPr="001B4A02">
        <w:rPr>
          <w:szCs w:val="24"/>
        </w:rPr>
        <w:t>V klinických studiích sledujících současné podávání anakinry</w:t>
      </w:r>
      <w:r w:rsidR="002378E0">
        <w:rPr>
          <w:szCs w:val="24"/>
        </w:rPr>
        <w:t xml:space="preserve"> a </w:t>
      </w:r>
      <w:r w:rsidRPr="001B4A02">
        <w:rPr>
          <w:szCs w:val="24"/>
        </w:rPr>
        <w:t>dalšího antagonisty TNF – etanerceptu, byly pozorovány závažné infekce, přičemž nebyl zjištěn žádný další klinický přínos v porovnání s monoterapií etanerceptem. Vzhledem k původu nežádoucích účinků pozorovaných při kombinované léčbě etanerceptem</w:t>
      </w:r>
      <w:r w:rsidR="002378E0">
        <w:rPr>
          <w:szCs w:val="24"/>
        </w:rPr>
        <w:t xml:space="preserve"> a </w:t>
      </w:r>
      <w:r w:rsidRPr="001B4A02">
        <w:rPr>
          <w:szCs w:val="24"/>
        </w:rPr>
        <w:t>anakinrou se mohou vyskytnout obdobné toxické projevy při podávání kombinace anakinry</w:t>
      </w:r>
      <w:r w:rsidR="002378E0">
        <w:rPr>
          <w:szCs w:val="24"/>
        </w:rPr>
        <w:t xml:space="preserve"> a </w:t>
      </w:r>
      <w:r w:rsidRPr="001B4A02">
        <w:rPr>
          <w:szCs w:val="24"/>
        </w:rPr>
        <w:t>jiných antagonistů TNF. Proto se nedoporučuje používat kombinaci adalimumabu</w:t>
      </w:r>
      <w:r w:rsidR="002378E0">
        <w:rPr>
          <w:szCs w:val="24"/>
        </w:rPr>
        <w:t xml:space="preserve"> a </w:t>
      </w:r>
      <w:r w:rsidRPr="001B4A02">
        <w:rPr>
          <w:szCs w:val="24"/>
        </w:rPr>
        <w:t>anakinry (viz bod 4.5).</w:t>
      </w:r>
    </w:p>
    <w:p w14:paraId="29C579A9" w14:textId="77777777" w:rsidR="00F24C86" w:rsidRPr="001B4A02" w:rsidRDefault="00F24C86" w:rsidP="00F24C86">
      <w:pPr>
        <w:ind w:left="0" w:firstLine="0"/>
        <w:rPr>
          <w:u w:val="single"/>
        </w:rPr>
      </w:pPr>
    </w:p>
    <w:p w14:paraId="17D9205D" w14:textId="77777777" w:rsidR="00F24C86" w:rsidRPr="001B4A02" w:rsidRDefault="00000000" w:rsidP="00F24C86">
      <w:pPr>
        <w:pStyle w:val="EMEANormal"/>
        <w:tabs>
          <w:tab w:val="clear" w:pos="562"/>
        </w:tabs>
        <w:suppressAutoHyphens w:val="0"/>
        <w:rPr>
          <w:lang w:val="cs-CZ"/>
        </w:rPr>
      </w:pPr>
      <w:r w:rsidRPr="001B4A02">
        <w:rPr>
          <w:lang w:val="cs-CZ"/>
        </w:rPr>
        <w:t>Současné používání adalimumabu spolu s jinými biologickými DMARD (např. anakinra</w:t>
      </w:r>
      <w:r w:rsidR="002378E0">
        <w:rPr>
          <w:lang w:val="cs-CZ"/>
        </w:rPr>
        <w:t xml:space="preserve"> a </w:t>
      </w:r>
      <w:r w:rsidRPr="001B4A02">
        <w:rPr>
          <w:lang w:val="cs-CZ"/>
        </w:rPr>
        <w:t>abatacept) nebo jinými antagonisty TNF se nedoporučuje na základě možného zvýšení rizika infekcí včetně závažných infekcí, ale i možných farmakologických interakcí (viz bod 4.5).</w:t>
      </w:r>
    </w:p>
    <w:p w14:paraId="7FBB4CB3" w14:textId="77777777" w:rsidR="00F24C86" w:rsidRPr="001B4A02" w:rsidRDefault="00F24C86" w:rsidP="00F24C86">
      <w:pPr>
        <w:ind w:left="0" w:firstLine="0"/>
      </w:pPr>
    </w:p>
    <w:p w14:paraId="4F7A62B7" w14:textId="77777777" w:rsidR="00F24C86" w:rsidRPr="001B4A02" w:rsidRDefault="00000000" w:rsidP="0017164D">
      <w:pPr>
        <w:keepNext/>
        <w:rPr>
          <w:u w:val="single"/>
        </w:rPr>
      </w:pPr>
      <w:r w:rsidRPr="001B4A02">
        <w:rPr>
          <w:u w:val="single"/>
        </w:rPr>
        <w:t>Chirurgické výkony</w:t>
      </w:r>
    </w:p>
    <w:p w14:paraId="2529F1B4" w14:textId="77777777" w:rsidR="00F24C86" w:rsidRPr="001B4A02" w:rsidRDefault="00F24C86" w:rsidP="0017164D">
      <w:pPr>
        <w:keepNext/>
        <w:rPr>
          <w:u w:val="single"/>
        </w:rPr>
      </w:pPr>
    </w:p>
    <w:p w14:paraId="552A5D75" w14:textId="77777777" w:rsidR="00F24C86" w:rsidRPr="001B4A02" w:rsidRDefault="00000000" w:rsidP="00F24C86">
      <w:pPr>
        <w:ind w:left="0" w:firstLine="0"/>
      </w:pPr>
      <w:r w:rsidRPr="001B4A02">
        <w:t>U pacientů léčených přípravkem Humira existují jen omezené zkušenosti týkající se bezpečnosti přípravku v souvislosti s chirurgickými výkony. Při plánování chirurgického výkonu je třeba vzít v úvahu dlouhý poločas adalimumabu. Pacient, u kterého je nutná operace během léčby přípravkem Humira, musí být pečlivě sledován z hlediska vzniku infekcí</w:t>
      </w:r>
      <w:r w:rsidR="002378E0">
        <w:t xml:space="preserve"> a </w:t>
      </w:r>
      <w:r w:rsidRPr="001B4A02">
        <w:t>musí být provedena příslušná opatření. U pacientů léčených přípravkem Humira, u kterých byla provedena arthroplastika, existují jen omezené zkušenosti týkající se bezpečnosti přípravku.</w:t>
      </w:r>
    </w:p>
    <w:p w14:paraId="55502DE4" w14:textId="77777777" w:rsidR="00F24C86" w:rsidRPr="001B4A02" w:rsidRDefault="00F24C86" w:rsidP="00F24C86">
      <w:pPr>
        <w:ind w:left="0" w:firstLine="0"/>
      </w:pPr>
    </w:p>
    <w:p w14:paraId="7FFD5C3D" w14:textId="77777777" w:rsidR="00F24C86" w:rsidRPr="001B4A02" w:rsidRDefault="00000000" w:rsidP="0017164D">
      <w:pPr>
        <w:keepNext/>
        <w:ind w:left="0" w:firstLine="0"/>
        <w:rPr>
          <w:u w:val="single"/>
        </w:rPr>
      </w:pPr>
      <w:r w:rsidRPr="001B4A02">
        <w:rPr>
          <w:u w:val="single"/>
        </w:rPr>
        <w:t>Obstrukce tenkého střeva</w:t>
      </w:r>
    </w:p>
    <w:p w14:paraId="35C89D40" w14:textId="77777777" w:rsidR="00F24C86" w:rsidRPr="001B4A02" w:rsidRDefault="00F24C86" w:rsidP="0017164D">
      <w:pPr>
        <w:keepNext/>
        <w:ind w:left="0" w:firstLine="0"/>
      </w:pPr>
    </w:p>
    <w:p w14:paraId="6C457B49" w14:textId="77777777" w:rsidR="00F24C86" w:rsidRPr="001B4A02" w:rsidRDefault="00000000" w:rsidP="00F24C86">
      <w:pPr>
        <w:ind w:left="0" w:firstLine="0"/>
      </w:pPr>
      <w:r w:rsidRPr="001B4A02">
        <w:t>Selhání odpovědi na léčbu u</w:t>
      </w:r>
      <w:r w:rsidR="000D1F8F" w:rsidRPr="001B4A02">
        <w:t> </w:t>
      </w:r>
      <w:r w:rsidRPr="001B4A02">
        <w:t>Crohnovy choroby může signalizovat výskyt fixované fibrotické striktury, která si může vyžádat chirurgickou léčbu. Dostupné údaje naznačují, že přípravek Humira nezhoršuje ani nezpůsobuje striktury.</w:t>
      </w:r>
    </w:p>
    <w:p w14:paraId="409793F5" w14:textId="77777777" w:rsidR="00F24C86" w:rsidRPr="001B4A02" w:rsidRDefault="00F24C86" w:rsidP="00F24C86">
      <w:pPr>
        <w:ind w:left="0" w:firstLine="0"/>
      </w:pPr>
    </w:p>
    <w:p w14:paraId="12140256" w14:textId="77777777" w:rsidR="00F24C86" w:rsidRPr="001B4A02" w:rsidRDefault="00000000" w:rsidP="00527B4A">
      <w:pPr>
        <w:keepNext/>
        <w:ind w:left="0" w:firstLine="0"/>
        <w:rPr>
          <w:u w:val="single"/>
        </w:rPr>
      </w:pPr>
      <w:r w:rsidRPr="001B4A02">
        <w:rPr>
          <w:u w:val="single"/>
        </w:rPr>
        <w:t>Starší pacienti</w:t>
      </w:r>
    </w:p>
    <w:p w14:paraId="24AA5909" w14:textId="77777777" w:rsidR="00F24C86" w:rsidRPr="001B4A02" w:rsidRDefault="00F24C86" w:rsidP="00527B4A">
      <w:pPr>
        <w:keepNext/>
        <w:ind w:left="0" w:firstLine="0"/>
      </w:pPr>
    </w:p>
    <w:p w14:paraId="36268629" w14:textId="77777777" w:rsidR="00F24C86" w:rsidRPr="001B4A02" w:rsidRDefault="00000000" w:rsidP="0017164D">
      <w:pPr>
        <w:ind w:left="0" w:firstLine="0"/>
      </w:pPr>
      <w:r w:rsidRPr="001B4A02">
        <w:t>Frekvence závažných infekcí u</w:t>
      </w:r>
      <w:r w:rsidR="000D1F8F" w:rsidRPr="001B4A02">
        <w:t> </w:t>
      </w:r>
      <w:r w:rsidRPr="001B4A02">
        <w:t>pacientů ve věku nad 65 let (3,7</w:t>
      </w:r>
      <w:r w:rsidR="006008CB">
        <w:t> %</w:t>
      </w:r>
      <w:r w:rsidRPr="001B4A02">
        <w:t>), léčených přípravkem Humira, byla vyšší než u</w:t>
      </w:r>
      <w:r w:rsidR="000D1F8F" w:rsidRPr="001B4A02">
        <w:t> </w:t>
      </w:r>
      <w:r w:rsidRPr="001B4A02">
        <w:t>pacientů ve věku do 65 let (1,5</w:t>
      </w:r>
      <w:r w:rsidR="006008CB">
        <w:t> %</w:t>
      </w:r>
      <w:r w:rsidRPr="001B4A02">
        <w:t>). Některé z těchto infekcí měly fatální zakončení. Při léčbě starších pacientů je zapotřebí věnovat obzvláštní pozornost riziku vzniku infekcí.</w:t>
      </w:r>
    </w:p>
    <w:p w14:paraId="7EF5AF34" w14:textId="77777777" w:rsidR="00F24C86" w:rsidRPr="001B4A02" w:rsidRDefault="00F24C86" w:rsidP="00F24C86">
      <w:pPr>
        <w:ind w:left="0" w:firstLine="0"/>
      </w:pPr>
    </w:p>
    <w:p w14:paraId="324F55B4" w14:textId="77777777" w:rsidR="00F24C86" w:rsidRPr="001B4A02" w:rsidRDefault="00000000" w:rsidP="00F24C86">
      <w:pPr>
        <w:ind w:left="0" w:firstLine="0"/>
        <w:rPr>
          <w:u w:val="single"/>
        </w:rPr>
      </w:pPr>
      <w:r w:rsidRPr="001B4A02">
        <w:rPr>
          <w:u w:val="single"/>
        </w:rPr>
        <w:t>Pediatrická populace</w:t>
      </w:r>
    </w:p>
    <w:p w14:paraId="28979EF4" w14:textId="77777777" w:rsidR="00F24C86" w:rsidRPr="001B4A02" w:rsidRDefault="00F24C86" w:rsidP="00F24C86">
      <w:pPr>
        <w:ind w:left="0" w:firstLine="0"/>
      </w:pPr>
    </w:p>
    <w:p w14:paraId="5BB9B1D5" w14:textId="77777777" w:rsidR="00F24C86" w:rsidRPr="001B4A02" w:rsidRDefault="00000000" w:rsidP="00F24C86">
      <w:pPr>
        <w:ind w:left="0" w:firstLine="0"/>
      </w:pPr>
      <w:r w:rsidRPr="001B4A02">
        <w:t>Viz Očkování výše.</w:t>
      </w:r>
    </w:p>
    <w:p w14:paraId="7DE8253F" w14:textId="77777777" w:rsidR="007F388F" w:rsidRDefault="007F388F" w:rsidP="00723F1D">
      <w:pPr>
        <w:rPr>
          <w:ins w:id="18" w:author="AbbVie1" w:date="2025-05-12T13:59:00Z"/>
          <w:szCs w:val="22"/>
        </w:rPr>
      </w:pPr>
    </w:p>
    <w:p w14:paraId="4DE9DF2B" w14:textId="77777777" w:rsidR="007F388F" w:rsidRPr="00176DF5" w:rsidRDefault="00000000" w:rsidP="007F388F">
      <w:pPr>
        <w:keepNext/>
        <w:rPr>
          <w:ins w:id="19" w:author="AbbVie1" w:date="2025-05-12T13:59:00Z"/>
          <w:noProof/>
          <w:szCs w:val="22"/>
          <w:u w:val="single"/>
        </w:rPr>
      </w:pPr>
      <w:ins w:id="20" w:author="AbbVie1" w:date="2025-05-12T13:59:00Z">
        <w:r w:rsidRPr="00176DF5">
          <w:rPr>
            <w:szCs w:val="22"/>
            <w:u w:val="single"/>
          </w:rPr>
          <w:t>Pomocné látky se známým účinkem</w:t>
        </w:r>
      </w:ins>
    </w:p>
    <w:p w14:paraId="20234313" w14:textId="77777777" w:rsidR="007F388F" w:rsidRDefault="007F388F" w:rsidP="00723F1D">
      <w:pPr>
        <w:keepNext/>
        <w:rPr>
          <w:ins w:id="21" w:author="AbbVie1" w:date="2025-05-12T13:59:00Z"/>
          <w:szCs w:val="22"/>
        </w:rPr>
      </w:pPr>
    </w:p>
    <w:p w14:paraId="03D0EA33" w14:textId="3C78DD72" w:rsidR="007F388F" w:rsidRPr="00653460" w:rsidRDefault="00000000">
      <w:pPr>
        <w:ind w:left="0" w:firstLine="0"/>
        <w:rPr>
          <w:ins w:id="22" w:author="AbbVie1" w:date="2025-05-12T13:59:00Z"/>
        </w:rPr>
        <w:pPrChange w:id="23" w:author="AbbVie1" w:date="2025-09-08T12:44:00Z">
          <w:pPr/>
        </w:pPrChange>
      </w:pPr>
      <w:ins w:id="24" w:author="AbbVie1" w:date="2025-05-12T13:59:00Z">
        <w:r>
          <w:rPr>
            <w:szCs w:val="22"/>
          </w:rPr>
          <w:t>Tento léčivý přípravek</w:t>
        </w:r>
        <w:r w:rsidRPr="00F767A1">
          <w:rPr>
            <w:szCs w:val="22"/>
          </w:rPr>
          <w:t xml:space="preserve"> obsahuje </w:t>
        </w:r>
        <w:r>
          <w:rPr>
            <w:szCs w:val="22"/>
          </w:rPr>
          <w:t>0,2</w:t>
        </w:r>
        <w:r w:rsidRPr="00F767A1">
          <w:rPr>
            <w:szCs w:val="22"/>
          </w:rPr>
          <w:t> mg polysorbátu 80</w:t>
        </w:r>
        <w:r>
          <w:rPr>
            <w:szCs w:val="22"/>
          </w:rPr>
          <w:t xml:space="preserve"> v jedné 20mg dávce</w:t>
        </w:r>
        <w:r w:rsidRPr="00F767A1">
          <w:rPr>
            <w:szCs w:val="22"/>
          </w:rPr>
          <w:t>.</w:t>
        </w:r>
      </w:ins>
      <w:r w:rsidR="00963F06">
        <w:rPr>
          <w:szCs w:val="22"/>
        </w:rPr>
        <w:t xml:space="preserve"> </w:t>
      </w:r>
      <w:ins w:id="25" w:author="AbbVie1" w:date="2025-09-08T12:44:00Z">
        <w:r w:rsidR="00963F06">
          <w:rPr>
            <w:szCs w:val="22"/>
          </w:rPr>
          <w:t>Polysorbáty mohou způsob</w:t>
        </w:r>
      </w:ins>
      <w:ins w:id="26" w:author="AbbVie1" w:date="2025-09-08T12:45:00Z">
        <w:r w:rsidR="002C6175">
          <w:rPr>
            <w:szCs w:val="22"/>
          </w:rPr>
          <w:t>i</w:t>
        </w:r>
      </w:ins>
      <w:ins w:id="27" w:author="AbbVie1" w:date="2025-09-08T12:44:00Z">
        <w:r w:rsidR="00963F06">
          <w:rPr>
            <w:szCs w:val="22"/>
          </w:rPr>
          <w:t>t alergické reakce.</w:t>
        </w:r>
      </w:ins>
    </w:p>
    <w:p w14:paraId="00B56625" w14:textId="77777777" w:rsidR="00F24C86" w:rsidRPr="001B4A02" w:rsidRDefault="00F24C86" w:rsidP="00F24C86">
      <w:pPr>
        <w:ind w:left="0" w:firstLine="0"/>
      </w:pPr>
    </w:p>
    <w:p w14:paraId="4A1C5516" w14:textId="77777777" w:rsidR="00F24C86" w:rsidRPr="001B4A02" w:rsidRDefault="00000000" w:rsidP="000A5426">
      <w:pPr>
        <w:keepNext/>
        <w:outlineLvl w:val="1"/>
        <w:rPr>
          <w:b/>
        </w:rPr>
      </w:pPr>
      <w:r>
        <w:rPr>
          <w:b/>
        </w:rPr>
        <w:t>4.5</w:t>
      </w:r>
      <w:r>
        <w:rPr>
          <w:b/>
        </w:rPr>
        <w:tab/>
      </w:r>
      <w:r w:rsidRPr="001B4A02">
        <w:rPr>
          <w:b/>
        </w:rPr>
        <w:t>Interakce s jinými léčivými přípravky</w:t>
      </w:r>
      <w:r w:rsidR="002378E0">
        <w:rPr>
          <w:b/>
        </w:rPr>
        <w:t xml:space="preserve"> a </w:t>
      </w:r>
      <w:r w:rsidRPr="001B4A02">
        <w:rPr>
          <w:b/>
        </w:rPr>
        <w:t>jiné formy interakce</w:t>
      </w:r>
    </w:p>
    <w:p w14:paraId="3BF8F6F3" w14:textId="77777777" w:rsidR="00F24C86" w:rsidRPr="00461B02" w:rsidRDefault="00F24C86" w:rsidP="00F24C86">
      <w:pPr>
        <w:keepNext/>
        <w:ind w:left="0" w:firstLine="0"/>
        <w:rPr>
          <w:bCs/>
        </w:rPr>
      </w:pPr>
    </w:p>
    <w:p w14:paraId="592691EE" w14:textId="77777777" w:rsidR="00F24C86" w:rsidRPr="001B4A02" w:rsidRDefault="00000000" w:rsidP="0017164D">
      <w:pPr>
        <w:ind w:left="0" w:firstLine="0"/>
      </w:pPr>
      <w:r w:rsidRPr="001B4A02">
        <w:t>Přípravek Humira byl studován u</w:t>
      </w:r>
      <w:r w:rsidR="000D1F8F" w:rsidRPr="001B4A02">
        <w:t> </w:t>
      </w:r>
      <w:r w:rsidRPr="001B4A02">
        <w:t>pacientů s revmatoidní artritidou polyartikulární juvenilní idiopatickou artritidou</w:t>
      </w:r>
      <w:r w:rsidR="002378E0">
        <w:t xml:space="preserve"> a </w:t>
      </w:r>
      <w:r w:rsidRPr="001B4A02">
        <w:t>psoriatickou artritidou, u</w:t>
      </w:r>
      <w:r w:rsidR="000D1F8F" w:rsidRPr="001B4A02">
        <w:t> </w:t>
      </w:r>
      <w:r w:rsidRPr="001B4A02">
        <w:t>kterých byl podáván v monoterapii nebo v kombinaci s methotrexátem. Při podávání přípravku Humira v kombinaci s methotrexátem byla v porovnání s monoterapií tvorba protilátek nižší. Podávání přípravku Humira bez methotrexátu vedlo ke zvýšené tvorbě protilátek, zvýšené clearance</w:t>
      </w:r>
      <w:r w:rsidR="002378E0">
        <w:t xml:space="preserve"> a </w:t>
      </w:r>
      <w:r w:rsidRPr="001B4A02">
        <w:t>snížené účinnosti adalimumabu (viz bod 5.1).</w:t>
      </w:r>
    </w:p>
    <w:p w14:paraId="37B94681" w14:textId="77777777" w:rsidR="00F24C86" w:rsidRPr="001B4A02" w:rsidRDefault="00F24C86" w:rsidP="00F24C86">
      <w:pPr>
        <w:ind w:left="0" w:firstLine="0"/>
      </w:pPr>
    </w:p>
    <w:p w14:paraId="59D2A40B" w14:textId="77777777" w:rsidR="00F24C86" w:rsidRPr="001B4A02" w:rsidRDefault="00000000" w:rsidP="00F24C86">
      <w:pPr>
        <w:ind w:left="0" w:firstLine="0"/>
      </w:pPr>
      <w:r w:rsidRPr="001B4A02">
        <w:t>Kombinovat přípravek Humira s</w:t>
      </w:r>
      <w:r w:rsidR="00706381" w:rsidRPr="001B4A02">
        <w:t> </w:t>
      </w:r>
      <w:r w:rsidRPr="001B4A02">
        <w:t>anakinrou se nedoporučuje (viz bod 4.4 „Současné podávání biologických DMARD nebo antagonistů TNF“).</w:t>
      </w:r>
    </w:p>
    <w:p w14:paraId="00EC2A65" w14:textId="77777777" w:rsidR="00F24C86" w:rsidRPr="001B4A02" w:rsidRDefault="00F24C86" w:rsidP="00F24C86">
      <w:pPr>
        <w:pStyle w:val="EMEANormal"/>
        <w:tabs>
          <w:tab w:val="clear" w:pos="562"/>
        </w:tabs>
        <w:suppressAutoHyphens w:val="0"/>
        <w:rPr>
          <w:lang w:val="cs-CZ"/>
        </w:rPr>
      </w:pPr>
    </w:p>
    <w:p w14:paraId="7F23037C" w14:textId="77777777" w:rsidR="00F24C86" w:rsidRPr="001B4A02" w:rsidRDefault="00000000" w:rsidP="00F24C86">
      <w:pPr>
        <w:ind w:left="0" w:firstLine="0"/>
      </w:pPr>
      <w:r w:rsidRPr="001B4A02">
        <w:t>Kombinovat přípravek Humira s</w:t>
      </w:r>
      <w:r w:rsidR="00706381" w:rsidRPr="001B4A02">
        <w:t> </w:t>
      </w:r>
      <w:r w:rsidRPr="001B4A02">
        <w:t>abataceptem se nedoporučuje (viz bod 4.4 „Současné podávání biologických DMARD nebo antagonistů TNF“).</w:t>
      </w:r>
    </w:p>
    <w:p w14:paraId="7D499EFC" w14:textId="77777777" w:rsidR="00F24C86" w:rsidRPr="001B4A02" w:rsidRDefault="00F24C86" w:rsidP="00F24C86">
      <w:pPr>
        <w:ind w:left="0" w:firstLine="0"/>
      </w:pPr>
    </w:p>
    <w:p w14:paraId="0C65275B" w14:textId="77777777" w:rsidR="00F24C86" w:rsidRPr="001B4A02" w:rsidRDefault="00000000" w:rsidP="000A5426">
      <w:pPr>
        <w:keepNext/>
        <w:outlineLvl w:val="1"/>
        <w:rPr>
          <w:b/>
        </w:rPr>
      </w:pPr>
      <w:r w:rsidRPr="001B4A02">
        <w:rPr>
          <w:b/>
        </w:rPr>
        <w:t>4.6</w:t>
      </w:r>
      <w:r w:rsidRPr="001B4A02">
        <w:rPr>
          <w:b/>
        </w:rPr>
        <w:tab/>
        <w:t>Fertilita, těhotenství</w:t>
      </w:r>
      <w:r w:rsidR="002378E0">
        <w:rPr>
          <w:b/>
        </w:rPr>
        <w:t xml:space="preserve"> a </w:t>
      </w:r>
      <w:r w:rsidRPr="001B4A02">
        <w:rPr>
          <w:b/>
        </w:rPr>
        <w:t>kojení</w:t>
      </w:r>
    </w:p>
    <w:p w14:paraId="1FA380A3" w14:textId="77777777" w:rsidR="00F24C86" w:rsidRPr="001B4A02" w:rsidRDefault="00F24C86" w:rsidP="0017164D">
      <w:pPr>
        <w:keepNext/>
        <w:ind w:left="0" w:firstLine="0"/>
      </w:pPr>
    </w:p>
    <w:p w14:paraId="5E8AB7FE" w14:textId="77777777" w:rsidR="00F24C86" w:rsidRPr="001B4A02" w:rsidRDefault="00000000" w:rsidP="0017164D">
      <w:pPr>
        <w:keepNext/>
        <w:ind w:left="0" w:firstLine="0"/>
        <w:rPr>
          <w:u w:val="single"/>
        </w:rPr>
      </w:pPr>
      <w:r w:rsidRPr="001B4A02">
        <w:rPr>
          <w:u w:val="single"/>
        </w:rPr>
        <w:t>Ženy ve fertilním věku</w:t>
      </w:r>
    </w:p>
    <w:p w14:paraId="0AC16FC1" w14:textId="77777777" w:rsidR="00F24C86" w:rsidRPr="001B4A02" w:rsidRDefault="00F24C86" w:rsidP="0017164D">
      <w:pPr>
        <w:keepNext/>
        <w:ind w:left="0" w:firstLine="0"/>
      </w:pPr>
    </w:p>
    <w:p w14:paraId="39E908D8" w14:textId="77777777" w:rsidR="00F24C86" w:rsidRPr="001B4A02" w:rsidRDefault="00000000" w:rsidP="00F24C86">
      <w:pPr>
        <w:ind w:left="0" w:firstLine="0"/>
      </w:pPr>
      <w:r>
        <w:t>Ženy</w:t>
      </w:r>
      <w:r w:rsidRPr="001B4A02">
        <w:t xml:space="preserve"> ve fertilním věku </w:t>
      </w:r>
      <w:r>
        <w:t>mají zvážit použití vhodné antikoncepce k prevenci těhotenství</w:t>
      </w:r>
      <w:r w:rsidR="002378E0">
        <w:t xml:space="preserve"> a </w:t>
      </w:r>
      <w:r>
        <w:t>pokračovat v</w:t>
      </w:r>
      <w:r w:rsidR="007E4A18">
        <w:t xml:space="preserve"> jejím </w:t>
      </w:r>
      <w:r>
        <w:t>užívání</w:t>
      </w:r>
      <w:r w:rsidRPr="001B4A02">
        <w:t xml:space="preserve"> po dobu nejméně pěti měsíců po posledním podání přípravku Humira.</w:t>
      </w:r>
    </w:p>
    <w:p w14:paraId="3C05161E" w14:textId="77777777" w:rsidR="00F24C86" w:rsidRPr="001B4A02" w:rsidRDefault="00F24C86" w:rsidP="00F24C86">
      <w:pPr>
        <w:ind w:left="0" w:firstLine="0"/>
        <w:rPr>
          <w:u w:val="single"/>
        </w:rPr>
      </w:pPr>
    </w:p>
    <w:p w14:paraId="2A2E59F6" w14:textId="77777777" w:rsidR="00F24C86" w:rsidRPr="001B4A02" w:rsidRDefault="00000000" w:rsidP="0017164D">
      <w:pPr>
        <w:keepNext/>
        <w:ind w:left="0" w:firstLine="0"/>
        <w:rPr>
          <w:u w:val="single"/>
        </w:rPr>
      </w:pPr>
      <w:r w:rsidRPr="001B4A02">
        <w:rPr>
          <w:u w:val="single"/>
        </w:rPr>
        <w:t>Těhotenství</w:t>
      </w:r>
    </w:p>
    <w:p w14:paraId="4F3DFCC5" w14:textId="77777777" w:rsidR="00F24C86" w:rsidRPr="001B4A02" w:rsidRDefault="00F24C86" w:rsidP="0017164D">
      <w:pPr>
        <w:keepNext/>
        <w:ind w:left="0" w:firstLine="0"/>
      </w:pPr>
    </w:p>
    <w:p w14:paraId="1816F992" w14:textId="77777777" w:rsidR="0051408F" w:rsidRDefault="00000000" w:rsidP="00F24C86">
      <w:pPr>
        <w:ind w:left="0" w:firstLine="0"/>
      </w:pPr>
      <w:r w:rsidRPr="0051408F">
        <w:t>Z</w:t>
      </w:r>
      <w:r w:rsidR="003A0495">
        <w:t> </w:t>
      </w:r>
      <w:r w:rsidRPr="0051408F">
        <w:t xml:space="preserve">velkého počtu </w:t>
      </w:r>
      <w:r w:rsidR="00F64D00">
        <w:t>(</w:t>
      </w:r>
      <w:r w:rsidRPr="0051408F">
        <w:t>přibližně 2</w:t>
      </w:r>
      <w:r w:rsidR="00F64D00">
        <w:t> </w:t>
      </w:r>
      <w:r w:rsidRPr="0051408F">
        <w:t>100</w:t>
      </w:r>
      <w:r w:rsidR="00F64D00">
        <w:t>)</w:t>
      </w:r>
      <w:r w:rsidRPr="0051408F">
        <w:t xml:space="preserve"> do konce gravidity prospektivně sledovaných těhotenství </w:t>
      </w:r>
      <w:r w:rsidR="004D1100" w:rsidRPr="0051408F">
        <w:t>vedoucích k</w:t>
      </w:r>
      <w:r w:rsidR="004D1100">
        <w:t> </w:t>
      </w:r>
      <w:r w:rsidR="004D1100" w:rsidRPr="0051408F">
        <w:t xml:space="preserve">porodům </w:t>
      </w:r>
      <w:r w:rsidR="004D1100">
        <w:t xml:space="preserve">živých </w:t>
      </w:r>
      <w:r w:rsidR="004D1100" w:rsidRPr="0051408F">
        <w:t xml:space="preserve">dětí </w:t>
      </w:r>
      <w:r w:rsidRPr="0051408F">
        <w:t>u</w:t>
      </w:r>
      <w:r w:rsidR="003A0495">
        <w:t> </w:t>
      </w:r>
      <w:r w:rsidRPr="0051408F">
        <w:t>žen léčených adalimumabem</w:t>
      </w:r>
      <w:r w:rsidR="00B96879">
        <w:t>,</w:t>
      </w:r>
      <w:r w:rsidR="00A7085F">
        <w:t xml:space="preserve"> </w:t>
      </w:r>
      <w:r w:rsidRPr="0051408F">
        <w:t>z</w:t>
      </w:r>
      <w:r w:rsidR="003A0495">
        <w:t> </w:t>
      </w:r>
      <w:r w:rsidRPr="0051408F">
        <w:t>nichž více než 1</w:t>
      </w:r>
      <w:r w:rsidR="003A0495">
        <w:t> </w:t>
      </w:r>
      <w:r w:rsidRPr="0051408F">
        <w:t>500</w:t>
      </w:r>
      <w:r>
        <w:t xml:space="preserve"> bylo</w:t>
      </w:r>
      <w:r w:rsidRPr="0051408F">
        <w:t xml:space="preserve"> léčen</w:t>
      </w:r>
      <w:r w:rsidR="003A0495">
        <w:t>o</w:t>
      </w:r>
      <w:r w:rsidRPr="0051408F">
        <w:t xml:space="preserve"> adalimumabem v</w:t>
      </w:r>
      <w:r w:rsidR="003A0495">
        <w:t> </w:t>
      </w:r>
      <w:r w:rsidRPr="0051408F">
        <w:t>1. trimestru, nevyplývá zvýšené riziko vrozených malformací u</w:t>
      </w:r>
      <w:r w:rsidR="003A0495">
        <w:t> </w:t>
      </w:r>
      <w:r w:rsidRPr="0051408F">
        <w:t>novorozence.</w:t>
      </w:r>
    </w:p>
    <w:p w14:paraId="44710E03" w14:textId="77777777" w:rsidR="00F24C86" w:rsidRDefault="00F24C86" w:rsidP="00F24C86">
      <w:pPr>
        <w:ind w:left="0" w:firstLine="0"/>
      </w:pPr>
    </w:p>
    <w:p w14:paraId="403356DE" w14:textId="77777777" w:rsidR="007E4A18" w:rsidRDefault="00000000" w:rsidP="00F24C86">
      <w:pPr>
        <w:ind w:left="0" w:firstLine="0"/>
      </w:pPr>
      <w:r>
        <w:t>Do</w:t>
      </w:r>
      <w:r w:rsidRPr="004A21D8">
        <w:t xml:space="preserve"> prospektivní</w:t>
      </w:r>
      <w:r>
        <w:t>ho</w:t>
      </w:r>
      <w:r w:rsidRPr="004A21D8">
        <w:t xml:space="preserve"> kohortové</w:t>
      </w:r>
      <w:r>
        <w:t>ho</w:t>
      </w:r>
      <w:r w:rsidRPr="004A21D8">
        <w:t xml:space="preserve"> registru bylo zařazeno 257 žen s</w:t>
      </w:r>
      <w:r w:rsidR="003A0495">
        <w:t> </w:t>
      </w:r>
      <w:r w:rsidRPr="004A21D8">
        <w:t>revmatoidní artritidou (RA) nebo Crohnovou chorobou (CD) léčených adalimumabem alespoň během prvního trimestru</w:t>
      </w:r>
      <w:r w:rsidR="002378E0">
        <w:t xml:space="preserve"> a </w:t>
      </w:r>
      <w:r w:rsidRPr="004A21D8">
        <w:t>120 žen s</w:t>
      </w:r>
      <w:r w:rsidR="003A0495">
        <w:t> </w:t>
      </w:r>
      <w:r w:rsidRPr="004A21D8">
        <w:t>RA nebo CD neléčený</w:t>
      </w:r>
      <w:r>
        <w:t>ch</w:t>
      </w:r>
      <w:r w:rsidRPr="004A21D8">
        <w:t xml:space="preserve"> adalimumabem. Primárním </w:t>
      </w:r>
      <w:r w:rsidR="009E65D5">
        <w:t>cílovým parametrem</w:t>
      </w:r>
      <w:r w:rsidRPr="004A21D8">
        <w:t xml:space="preserve"> byl</w:t>
      </w:r>
      <w:r>
        <w:t>a prevalence vrozených</w:t>
      </w:r>
      <w:r w:rsidRPr="004A21D8">
        <w:t xml:space="preserve"> vad.</w:t>
      </w:r>
      <w:r>
        <w:t xml:space="preserve"> </w:t>
      </w:r>
      <w:r w:rsidRPr="005F4842">
        <w:t xml:space="preserve">Míra těhotenství ukončená alespoň jedním </w:t>
      </w:r>
      <w:r>
        <w:t>porodem živého dítěte</w:t>
      </w:r>
      <w:r w:rsidRPr="005F4842">
        <w:t xml:space="preserve"> s</w:t>
      </w:r>
      <w:r w:rsidR="003A0495">
        <w:t> </w:t>
      </w:r>
      <w:r w:rsidRPr="005F4842">
        <w:t>významnou vrozenou vadou byla 6/69 (8,7</w:t>
      </w:r>
      <w:r w:rsidR="006008CB">
        <w:t> %</w:t>
      </w:r>
      <w:r w:rsidRPr="005F4842">
        <w:t>) u</w:t>
      </w:r>
      <w:r w:rsidR="003A0495">
        <w:t> </w:t>
      </w:r>
      <w:r w:rsidRPr="005F4842">
        <w:t>žen léčených adalimumabem s</w:t>
      </w:r>
      <w:r w:rsidR="003A0495">
        <w:t> </w:t>
      </w:r>
      <w:r w:rsidRPr="005F4842">
        <w:t>RA</w:t>
      </w:r>
      <w:r w:rsidR="002378E0">
        <w:t xml:space="preserve"> a </w:t>
      </w:r>
      <w:r w:rsidRPr="005F4842">
        <w:t>5/74 (6,8</w:t>
      </w:r>
      <w:r w:rsidR="006008CB">
        <w:t> %</w:t>
      </w:r>
      <w:r w:rsidRPr="005F4842">
        <w:t>) u</w:t>
      </w:r>
      <w:r w:rsidR="003A0495">
        <w:t> </w:t>
      </w:r>
      <w:r w:rsidRPr="005F4842">
        <w:t>neléčených žen s</w:t>
      </w:r>
      <w:r w:rsidR="003A0495">
        <w:t> </w:t>
      </w:r>
      <w:r w:rsidRPr="005F4842">
        <w:t>RA (neupravená OR 1,31, 95% CI 0,38</w:t>
      </w:r>
      <w:r w:rsidR="003A0495">
        <w:t>–</w:t>
      </w:r>
      <w:r w:rsidRPr="005F4842">
        <w:t>4,52)</w:t>
      </w:r>
      <w:r w:rsidR="002378E0">
        <w:t xml:space="preserve"> a </w:t>
      </w:r>
      <w:r w:rsidRPr="005F4842">
        <w:t>16/152 (10,5</w:t>
      </w:r>
      <w:r w:rsidR="006008CB">
        <w:t> %</w:t>
      </w:r>
      <w:r w:rsidRPr="005F4842">
        <w:t>) u</w:t>
      </w:r>
      <w:r w:rsidR="003A0495">
        <w:t> </w:t>
      </w:r>
      <w:r w:rsidRPr="005F4842">
        <w:t>žen léčených adalimumabem s</w:t>
      </w:r>
      <w:r w:rsidR="003A0495">
        <w:t> </w:t>
      </w:r>
      <w:r w:rsidRPr="005F4842">
        <w:t>CD</w:t>
      </w:r>
      <w:r w:rsidR="002378E0">
        <w:t xml:space="preserve"> a </w:t>
      </w:r>
      <w:r w:rsidRPr="005F4842">
        <w:t>3/32 (9,4</w:t>
      </w:r>
      <w:r w:rsidR="006008CB">
        <w:t> %</w:t>
      </w:r>
      <w:r w:rsidRPr="005F4842">
        <w:t>) u</w:t>
      </w:r>
      <w:r w:rsidR="003A0495">
        <w:t> </w:t>
      </w:r>
      <w:r w:rsidRPr="005F4842">
        <w:t>neléčených žen s</w:t>
      </w:r>
      <w:r w:rsidR="003A0495">
        <w:t> </w:t>
      </w:r>
      <w:r w:rsidRPr="005F4842">
        <w:t>CD (neupraven</w:t>
      </w:r>
      <w:r>
        <w:t>á OR 1,14, 95% CI 0,31</w:t>
      </w:r>
      <w:r w:rsidR="003A0495">
        <w:t>–</w:t>
      </w:r>
      <w:r>
        <w:t>4,16). U</w:t>
      </w:r>
      <w:r w:rsidRPr="005F4842">
        <w:t>praven</w:t>
      </w:r>
      <w:r>
        <w:t>á</w:t>
      </w:r>
      <w:r w:rsidRPr="005F4842">
        <w:t xml:space="preserve"> OR (vypočten</w:t>
      </w:r>
      <w:r>
        <w:t>á</w:t>
      </w:r>
      <w:r w:rsidRPr="005F4842">
        <w:t xml:space="preserve"> pro rozdíly při výchozím stavu) byl</w:t>
      </w:r>
      <w:r>
        <w:t>a</w:t>
      </w:r>
      <w:r w:rsidRPr="005F4842">
        <w:t xml:space="preserve"> 1,10 (95% CI 0,45</w:t>
      </w:r>
      <w:r w:rsidR="003A0495">
        <w:t>–</w:t>
      </w:r>
      <w:r w:rsidRPr="005F4842">
        <w:t>2,73) s</w:t>
      </w:r>
      <w:r w:rsidR="003A0495">
        <w:t> </w:t>
      </w:r>
      <w:r w:rsidRPr="005F4842">
        <w:t>kombinací RA</w:t>
      </w:r>
      <w:r w:rsidR="002378E0">
        <w:t xml:space="preserve"> a </w:t>
      </w:r>
      <w:r w:rsidRPr="005F4842">
        <w:t>CD. Mezi sekundárním</w:t>
      </w:r>
      <w:r>
        <w:t>i</w:t>
      </w:r>
      <w:r w:rsidRPr="005F4842">
        <w:t xml:space="preserve"> </w:t>
      </w:r>
      <w:r w:rsidR="006666B3">
        <w:t>cílovými parametry</w:t>
      </w:r>
      <w:r w:rsidR="006666B3" w:rsidRPr="004A21D8">
        <w:t xml:space="preserve"> </w:t>
      </w:r>
      <w:r>
        <w:t>(spontánní potraty, menší vrozené vady, předčasný porod, porod s vážnými nebo oportunními infekcemi)</w:t>
      </w:r>
      <w:r w:rsidRPr="005F4842">
        <w:t xml:space="preserve"> nebyly </w:t>
      </w:r>
      <w:r w:rsidR="00DC4232">
        <w:t xml:space="preserve">hlášeny </w:t>
      </w:r>
      <w:r w:rsidRPr="005F4842">
        <w:t xml:space="preserve">žádné </w:t>
      </w:r>
      <w:r>
        <w:t>výrazné</w:t>
      </w:r>
      <w:r w:rsidRPr="005F4842">
        <w:t xml:space="preserve"> rozdíly mezi ženami léčenými adalimumabem</w:t>
      </w:r>
      <w:r w:rsidR="002378E0">
        <w:t xml:space="preserve"> a </w:t>
      </w:r>
      <w:r>
        <w:t>neléčenými</w:t>
      </w:r>
      <w:r w:rsidR="00DC4232">
        <w:t xml:space="preserve"> ženami</w:t>
      </w:r>
      <w:r>
        <w:t>,</w:t>
      </w:r>
      <w:r w:rsidR="002378E0">
        <w:t xml:space="preserve"> a </w:t>
      </w:r>
      <w:r>
        <w:t>zároveň</w:t>
      </w:r>
      <w:r w:rsidRPr="005F4842">
        <w:t xml:space="preserve"> nebyly hlášeny žádné porody mrtvého plodu nebo maligní stavy. Interpretace údajů může být ovlivněna metodologickými</w:t>
      </w:r>
      <w:r>
        <w:t xml:space="preserve"> limity </w:t>
      </w:r>
      <w:r w:rsidRPr="005F4842">
        <w:t xml:space="preserve">studie, včetně malé velikosti </w:t>
      </w:r>
      <w:r>
        <w:t>sledovaného soubor</w:t>
      </w:r>
      <w:r w:rsidRPr="005F4842">
        <w:t>u</w:t>
      </w:r>
      <w:r>
        <w:t xml:space="preserve"> pacientek</w:t>
      </w:r>
      <w:r w:rsidR="002378E0">
        <w:t xml:space="preserve"> a </w:t>
      </w:r>
      <w:r w:rsidRPr="005F4842">
        <w:t xml:space="preserve">nerandomizovaného </w:t>
      </w:r>
      <w:r w:rsidR="009835D5">
        <w:t>designu studie</w:t>
      </w:r>
      <w:r w:rsidRPr="005F4842">
        <w:t>.</w:t>
      </w:r>
    </w:p>
    <w:p w14:paraId="0C984AF5" w14:textId="77777777" w:rsidR="007E4A18" w:rsidRPr="001B4A02" w:rsidRDefault="007E4A18" w:rsidP="00F24C86">
      <w:pPr>
        <w:ind w:left="0" w:firstLine="0"/>
      </w:pPr>
    </w:p>
    <w:p w14:paraId="49805758" w14:textId="77777777" w:rsidR="00F24C86" w:rsidRPr="001B4A02" w:rsidRDefault="00000000" w:rsidP="00F24C86">
      <w:pPr>
        <w:ind w:left="0" w:firstLine="0"/>
      </w:pPr>
      <w:r w:rsidRPr="001B4A02">
        <w:t>Ve vývojové toxikologické studii prováděné na opicích nebyly zjištěny známky toxicity u matek, embryotoxicity či teratogenity. Preklinická data o účinku adalimumabu na postnatální toxicitu nejsou k dispozici (viz bod 5.3).</w:t>
      </w:r>
    </w:p>
    <w:p w14:paraId="5BA3A99A" w14:textId="77777777" w:rsidR="00F24C86" w:rsidRPr="001B4A02" w:rsidRDefault="00F24C86" w:rsidP="00F24C86">
      <w:pPr>
        <w:ind w:left="0" w:firstLine="0"/>
      </w:pPr>
    </w:p>
    <w:p w14:paraId="30AE6298" w14:textId="77777777" w:rsidR="007E4A18" w:rsidRPr="001B4A02" w:rsidRDefault="00000000" w:rsidP="007E4A18">
      <w:pPr>
        <w:ind w:left="0" w:firstLine="0"/>
      </w:pPr>
      <w:r w:rsidRPr="001B4A02">
        <w:t xml:space="preserve">Adalimumab podávaný v těhotenství může vzhledem k inhibici TNFα ovlivnit normální imunologickou odpověď u novorozenců. </w:t>
      </w:r>
      <w:r>
        <w:t>Adalimumab má být užíván během těhotenství pouze tehdy, pokud je to nezbytně nutné.</w:t>
      </w:r>
    </w:p>
    <w:p w14:paraId="2D093F68" w14:textId="77777777" w:rsidR="006C0AD7" w:rsidRPr="001B4A02" w:rsidRDefault="006C0AD7" w:rsidP="00F24C86">
      <w:pPr>
        <w:ind w:left="0" w:firstLine="0"/>
      </w:pPr>
    </w:p>
    <w:p w14:paraId="56D2389E" w14:textId="77777777" w:rsidR="00F24C86" w:rsidRPr="001B4A02" w:rsidRDefault="00000000" w:rsidP="00F24C86">
      <w:pPr>
        <w:ind w:left="0" w:firstLine="0"/>
      </w:pPr>
      <w:r w:rsidRPr="001B4A02">
        <w:t xml:space="preserve">Adalimumab může přecházet přes placentu do séra dětí narozeným matkám, které byly v těhotenství adalimumabem léčeny. V důsledku toho mohou být tyto děti náchylnější k infekcím. Podávání živých vakcín </w:t>
      </w:r>
      <w:r w:rsidR="007E4A18">
        <w:t xml:space="preserve">(např. BCG vakcín) </w:t>
      </w:r>
      <w:r w:rsidRPr="001B4A02">
        <w:t xml:space="preserve">dětem, které byly in utero adalimumabu vystaveny, se nedoporučuje po dobu 5 měsíců po poslední injekci adalimumabu, kterou matka v průběhu těhotenství dostala. </w:t>
      </w:r>
    </w:p>
    <w:p w14:paraId="59D2FC4F" w14:textId="77777777" w:rsidR="00F24C86" w:rsidRPr="001B4A02" w:rsidRDefault="00F24C86" w:rsidP="00F24C86">
      <w:pPr>
        <w:ind w:left="0" w:firstLine="0"/>
      </w:pPr>
    </w:p>
    <w:p w14:paraId="0E2646A8" w14:textId="77777777" w:rsidR="00F24C86" w:rsidRPr="001B4A02" w:rsidRDefault="00000000" w:rsidP="0017164D">
      <w:pPr>
        <w:keepNext/>
        <w:ind w:left="0" w:firstLine="0"/>
        <w:rPr>
          <w:u w:val="single"/>
        </w:rPr>
      </w:pPr>
      <w:r w:rsidRPr="001B4A02">
        <w:rPr>
          <w:u w:val="single"/>
        </w:rPr>
        <w:t>Kojení</w:t>
      </w:r>
    </w:p>
    <w:p w14:paraId="6D715A58" w14:textId="77777777" w:rsidR="00F24C86" w:rsidRPr="001B4A02" w:rsidRDefault="00F24C86" w:rsidP="0017164D">
      <w:pPr>
        <w:keepNext/>
        <w:ind w:left="0" w:firstLine="0"/>
      </w:pPr>
    </w:p>
    <w:p w14:paraId="30A3CE77" w14:textId="77777777" w:rsidR="00BA3861" w:rsidRDefault="00000000" w:rsidP="00BA3861">
      <w:pPr>
        <w:ind w:left="0" w:firstLine="0"/>
      </w:pPr>
      <w:r>
        <w:t>Z omezených (limitovaných) informací v publikované literatuře vyplývá, že adalimumab je vylučován do mateřského mléka ve velmi nízkých koncentracích s přítomností adalimumabu v</w:t>
      </w:r>
      <w:r w:rsidR="009835D5">
        <w:t> </w:t>
      </w:r>
      <w:r>
        <w:t>mateřském mléce v koncentracích od 0,1</w:t>
      </w:r>
      <w:r w:rsidR="006008CB">
        <w:t> %</w:t>
      </w:r>
      <w:r>
        <w:t xml:space="preserve"> do 1</w:t>
      </w:r>
      <w:r w:rsidR="006008CB">
        <w:t> %</w:t>
      </w:r>
      <w:r>
        <w:t xml:space="preserve"> sérové hladiny matky. Při perorálním podávání proteinů imunoglobulinu G probíhá jejich proteolýza ve střevech</w:t>
      </w:r>
      <w:r w:rsidR="002378E0">
        <w:t xml:space="preserve"> a </w:t>
      </w:r>
      <w:r w:rsidR="00DC4232">
        <w:t>jejich</w:t>
      </w:r>
      <w:r>
        <w:t xml:space="preserve"> biologick</w:t>
      </w:r>
      <w:r w:rsidR="00DC4232">
        <w:t>á</w:t>
      </w:r>
      <w:r>
        <w:t xml:space="preserve"> dostupnost</w:t>
      </w:r>
      <w:r w:rsidR="00DC4232">
        <w:t xml:space="preserve"> je nízká</w:t>
      </w:r>
      <w:r>
        <w:t>. Nepředpokládá se žádný vliv na kojené novorozence/</w:t>
      </w:r>
      <w:r w:rsidR="00870856">
        <w:t>kojence</w:t>
      </w:r>
      <w:r>
        <w:t>. Proto lze přípravek Humira podávat během kojení.</w:t>
      </w:r>
    </w:p>
    <w:p w14:paraId="173485AC" w14:textId="77777777" w:rsidR="00F24C86" w:rsidRPr="001B4A02" w:rsidRDefault="00F24C86" w:rsidP="00F24C86">
      <w:pPr>
        <w:ind w:left="0" w:firstLine="0"/>
      </w:pPr>
    </w:p>
    <w:p w14:paraId="54F8D42D" w14:textId="77777777" w:rsidR="00F24C86" w:rsidRPr="001B4A02" w:rsidRDefault="00000000" w:rsidP="00527B4A">
      <w:pPr>
        <w:keepNext/>
        <w:ind w:left="0" w:firstLine="0"/>
        <w:rPr>
          <w:u w:val="single"/>
        </w:rPr>
      </w:pPr>
      <w:r w:rsidRPr="001B4A02">
        <w:rPr>
          <w:u w:val="single"/>
        </w:rPr>
        <w:t>Fertilita</w:t>
      </w:r>
    </w:p>
    <w:p w14:paraId="68F0A121" w14:textId="77777777" w:rsidR="00F24C86" w:rsidRPr="001B4A02" w:rsidRDefault="00F24C86" w:rsidP="00527B4A">
      <w:pPr>
        <w:keepNext/>
        <w:ind w:left="0" w:firstLine="0"/>
      </w:pPr>
    </w:p>
    <w:p w14:paraId="72626692" w14:textId="77777777" w:rsidR="00F24C86" w:rsidRPr="001B4A02" w:rsidRDefault="00000000" w:rsidP="0017164D">
      <w:pPr>
        <w:ind w:left="0" w:firstLine="0"/>
      </w:pPr>
      <w:r w:rsidRPr="001B4A02">
        <w:t>Preklinické studie zaměřené na vliv adalimumabu na fertilitu nejsou k dispozici.</w:t>
      </w:r>
    </w:p>
    <w:p w14:paraId="4405EB58" w14:textId="77777777" w:rsidR="00F24C86" w:rsidRPr="001B4A02" w:rsidRDefault="00F24C86" w:rsidP="00F24C86">
      <w:pPr>
        <w:ind w:left="0" w:firstLine="0"/>
        <w:rPr>
          <w:b/>
        </w:rPr>
      </w:pPr>
    </w:p>
    <w:p w14:paraId="322275FF" w14:textId="77777777" w:rsidR="00F24C86" w:rsidRPr="001B4A02" w:rsidRDefault="00000000" w:rsidP="000A5426">
      <w:pPr>
        <w:keepNext/>
        <w:outlineLvl w:val="1"/>
        <w:rPr>
          <w:b/>
        </w:rPr>
      </w:pPr>
      <w:r w:rsidRPr="001B4A02">
        <w:rPr>
          <w:b/>
        </w:rPr>
        <w:t>4.7</w:t>
      </w:r>
      <w:r w:rsidRPr="001B4A02">
        <w:rPr>
          <w:b/>
        </w:rPr>
        <w:tab/>
        <w:t>Účinky na schopnost řídit</w:t>
      </w:r>
      <w:r w:rsidR="002378E0">
        <w:rPr>
          <w:b/>
        </w:rPr>
        <w:t xml:space="preserve"> a </w:t>
      </w:r>
      <w:r w:rsidRPr="001B4A02">
        <w:rPr>
          <w:b/>
        </w:rPr>
        <w:t>obsluhovat stroje</w:t>
      </w:r>
    </w:p>
    <w:p w14:paraId="6F15881B" w14:textId="77777777" w:rsidR="00F24C86" w:rsidRPr="001B4A02" w:rsidRDefault="00F24C86" w:rsidP="0017164D">
      <w:pPr>
        <w:keepNext/>
        <w:ind w:left="0" w:firstLine="0"/>
      </w:pPr>
    </w:p>
    <w:p w14:paraId="28137729" w14:textId="77777777" w:rsidR="00F24C86" w:rsidRPr="001B4A02" w:rsidRDefault="00000000" w:rsidP="00F24C86">
      <w:pPr>
        <w:ind w:left="0" w:firstLine="0"/>
      </w:pPr>
      <w:r w:rsidRPr="001B4A02">
        <w:t xml:space="preserve">Přípravek Humira </w:t>
      </w:r>
      <w:r w:rsidR="006014DF">
        <w:t xml:space="preserve">má malý </w:t>
      </w:r>
      <w:r w:rsidRPr="001B4A02">
        <w:t>vliv na schopnost řídit</w:t>
      </w:r>
      <w:r w:rsidR="002378E0">
        <w:t xml:space="preserve"> a </w:t>
      </w:r>
      <w:r w:rsidRPr="001B4A02">
        <w:t>obsluhovat stroje. Po použití přípravku Humira se může objevit vertigo</w:t>
      </w:r>
      <w:r w:rsidR="002378E0">
        <w:t xml:space="preserve"> a </w:t>
      </w:r>
      <w:r w:rsidRPr="001B4A02">
        <w:t>zrakové poruchy (viz bod 4.8).</w:t>
      </w:r>
    </w:p>
    <w:p w14:paraId="0DCF2369" w14:textId="77777777" w:rsidR="00F24C86" w:rsidRPr="001B4A02" w:rsidRDefault="00F24C86" w:rsidP="00F24C86">
      <w:pPr>
        <w:ind w:left="0" w:firstLine="0"/>
      </w:pPr>
    </w:p>
    <w:p w14:paraId="5E8E1982" w14:textId="77777777" w:rsidR="00F24C86" w:rsidRPr="001B4A02" w:rsidRDefault="00000000" w:rsidP="000A5426">
      <w:pPr>
        <w:keepNext/>
        <w:outlineLvl w:val="1"/>
        <w:rPr>
          <w:b/>
        </w:rPr>
      </w:pPr>
      <w:r w:rsidRPr="001B4A02">
        <w:rPr>
          <w:b/>
        </w:rPr>
        <w:t>4.8</w:t>
      </w:r>
      <w:r w:rsidRPr="001B4A02">
        <w:rPr>
          <w:b/>
        </w:rPr>
        <w:tab/>
        <w:t>Nežádoucí účinky</w:t>
      </w:r>
    </w:p>
    <w:p w14:paraId="0C756A12" w14:textId="77777777" w:rsidR="00F24C86" w:rsidRPr="001B4A02" w:rsidRDefault="00F24C86" w:rsidP="00F24C86">
      <w:pPr>
        <w:keepNext/>
        <w:ind w:left="0" w:firstLine="0"/>
      </w:pPr>
    </w:p>
    <w:p w14:paraId="0F72DFDA" w14:textId="77777777" w:rsidR="00F24C86" w:rsidRPr="001B4A02" w:rsidRDefault="00000000" w:rsidP="0017164D">
      <w:pPr>
        <w:keepNext/>
        <w:ind w:left="0" w:firstLine="0"/>
        <w:rPr>
          <w:u w:val="single"/>
        </w:rPr>
      </w:pPr>
      <w:r w:rsidRPr="001B4A02">
        <w:rPr>
          <w:u w:val="single"/>
        </w:rPr>
        <w:t>Souhrnný bezpečnostní profil</w:t>
      </w:r>
    </w:p>
    <w:p w14:paraId="45026139" w14:textId="77777777" w:rsidR="00F24C86" w:rsidRPr="001B4A02" w:rsidRDefault="00F24C86" w:rsidP="00F24C86">
      <w:pPr>
        <w:keepNext/>
        <w:ind w:left="0" w:firstLine="0"/>
        <w:rPr>
          <w:szCs w:val="22"/>
        </w:rPr>
      </w:pPr>
    </w:p>
    <w:p w14:paraId="075895F0" w14:textId="77777777" w:rsidR="00F24C86" w:rsidRPr="001B4A02" w:rsidRDefault="00000000" w:rsidP="0017164D">
      <w:pPr>
        <w:ind w:left="0" w:firstLine="0"/>
      </w:pPr>
      <w:r w:rsidRPr="001B4A02">
        <w:rPr>
          <w:szCs w:val="22"/>
        </w:rPr>
        <w:t>Přípravek Humira byl hodnocen u 9 506 pacientů v kontrolovaných</w:t>
      </w:r>
      <w:r w:rsidR="002378E0">
        <w:rPr>
          <w:szCs w:val="22"/>
        </w:rPr>
        <w:t xml:space="preserve"> a </w:t>
      </w:r>
      <w:r w:rsidRPr="001B4A02">
        <w:rPr>
          <w:szCs w:val="22"/>
        </w:rPr>
        <w:t>otevřených pivotních studiích po dobu až 60 měsíců nebo déle. Tyto studie zahrnovaly pacienty s revmatoidní artritidou s krátkým</w:t>
      </w:r>
      <w:r w:rsidR="002378E0">
        <w:rPr>
          <w:szCs w:val="22"/>
        </w:rPr>
        <w:t xml:space="preserve"> a </w:t>
      </w:r>
      <w:r w:rsidRPr="001B4A02">
        <w:rPr>
          <w:szCs w:val="22"/>
        </w:rPr>
        <w:t>dlouhým trváním, pacienty s</w:t>
      </w:r>
      <w:r w:rsidR="00706381" w:rsidRPr="001B4A02">
        <w:rPr>
          <w:szCs w:val="22"/>
        </w:rPr>
        <w:t> </w:t>
      </w:r>
      <w:r w:rsidRPr="001B4A02">
        <w:t xml:space="preserve">juvenilní idiopatickou artritidou </w:t>
      </w:r>
      <w:r w:rsidRPr="001B4A02">
        <w:rPr>
          <w:szCs w:val="22"/>
        </w:rPr>
        <w:t>(polyartikulární juvenilní idiopatickou artritidou</w:t>
      </w:r>
      <w:r w:rsidR="002378E0">
        <w:rPr>
          <w:szCs w:val="22"/>
        </w:rPr>
        <w:t xml:space="preserve"> a </w:t>
      </w:r>
      <w:r w:rsidRPr="001B4A02">
        <w:rPr>
          <w:szCs w:val="22"/>
        </w:rPr>
        <w:t>entezopatickou artritidou), stejně jako</w:t>
      </w:r>
      <w:r w:rsidRPr="001B4A02">
        <w:t xml:space="preserve"> </w:t>
      </w:r>
      <w:r w:rsidRPr="001B4A02">
        <w:rPr>
          <w:szCs w:val="22"/>
        </w:rPr>
        <w:t>pacienty s</w:t>
      </w:r>
      <w:r w:rsidR="00706381" w:rsidRPr="001B4A02">
        <w:rPr>
          <w:szCs w:val="22"/>
        </w:rPr>
        <w:t> </w:t>
      </w:r>
      <w:r w:rsidRPr="001B4A02">
        <w:rPr>
          <w:szCs w:val="22"/>
        </w:rPr>
        <w:t>axiální spondylartritidou (ankylozující spondylitidou</w:t>
      </w:r>
      <w:r w:rsidR="002378E0">
        <w:rPr>
          <w:szCs w:val="22"/>
        </w:rPr>
        <w:t xml:space="preserve"> a </w:t>
      </w:r>
      <w:r w:rsidRPr="001B4A02">
        <w:rPr>
          <w:szCs w:val="22"/>
        </w:rPr>
        <w:t>axiální spondylartritidou bez radiologického průkazu AS), psoriatickou artritidou, pacienty s Crohnovou chorobou, ulcerózní kolitidou, psoriázou</w:t>
      </w:r>
      <w:r w:rsidR="002378E0">
        <w:rPr>
          <w:szCs w:val="22"/>
        </w:rPr>
        <w:t xml:space="preserve"> a </w:t>
      </w:r>
      <w:r w:rsidRPr="001B4A02">
        <w:rPr>
          <w:szCs w:val="22"/>
        </w:rPr>
        <w:t>pacienty s hidradenitis suppurativa</w:t>
      </w:r>
      <w:r w:rsidR="002378E0">
        <w:rPr>
          <w:szCs w:val="22"/>
        </w:rPr>
        <w:t xml:space="preserve"> a </w:t>
      </w:r>
      <w:r w:rsidRPr="001B4A02">
        <w:rPr>
          <w:szCs w:val="22"/>
        </w:rPr>
        <w:t>uveitidou. Pivotní kontrolované studie zahrnovaly 6 089 pacientů léčených přípravkem Humira</w:t>
      </w:r>
      <w:r w:rsidR="002378E0">
        <w:rPr>
          <w:szCs w:val="22"/>
        </w:rPr>
        <w:t xml:space="preserve"> a </w:t>
      </w:r>
      <w:r w:rsidRPr="001B4A02">
        <w:rPr>
          <w:szCs w:val="22"/>
        </w:rPr>
        <w:t>3 801 pacientů, kteří v kontrolovaném období studií dostávali placebo nebo aktivní srovnávací lék.</w:t>
      </w:r>
    </w:p>
    <w:p w14:paraId="6C7CBD93" w14:textId="77777777" w:rsidR="00F24C86" w:rsidRPr="001B4A02" w:rsidRDefault="00F24C86" w:rsidP="00F24C86">
      <w:pPr>
        <w:ind w:left="0" w:firstLine="0"/>
      </w:pPr>
    </w:p>
    <w:p w14:paraId="0881A2BF" w14:textId="77777777" w:rsidR="00F24C86" w:rsidRPr="001B4A02" w:rsidRDefault="00000000" w:rsidP="00F24C86">
      <w:pPr>
        <w:ind w:left="0" w:firstLine="0"/>
      </w:pPr>
      <w:r w:rsidRPr="001B4A02">
        <w:t>Podíl pacientů, kteří předčasně ukončili léčbu pro nežádoucí účinky ve dvojitě zaslepené kontrolované části klíčových studií, byl 5,9</w:t>
      </w:r>
      <w:r w:rsidR="006008CB">
        <w:t> %</w:t>
      </w:r>
      <w:r w:rsidRPr="001B4A02">
        <w:t xml:space="preserve"> pacientů léčených přípravkem Humira</w:t>
      </w:r>
      <w:r w:rsidR="002378E0">
        <w:t xml:space="preserve"> a </w:t>
      </w:r>
      <w:r w:rsidRPr="001B4A02">
        <w:t>5,4</w:t>
      </w:r>
      <w:r w:rsidR="006008CB">
        <w:t> %</w:t>
      </w:r>
      <w:r w:rsidRPr="001B4A02">
        <w:t xml:space="preserve"> u pacientů užívajících kontrolní léčbu.</w:t>
      </w:r>
    </w:p>
    <w:p w14:paraId="704D340E" w14:textId="77777777" w:rsidR="00F24C86" w:rsidRPr="001B4A02" w:rsidRDefault="00F24C86" w:rsidP="00F24C86">
      <w:pPr>
        <w:pStyle w:val="EMEAHeadingUnderline"/>
        <w:tabs>
          <w:tab w:val="clear" w:pos="562"/>
          <w:tab w:val="left" w:pos="708"/>
        </w:tabs>
        <w:suppressAutoHyphens w:val="0"/>
        <w:spacing w:beforeLines="0" w:before="0" w:afterLines="0" w:after="0"/>
        <w:rPr>
          <w:lang w:val="cs-CZ"/>
        </w:rPr>
      </w:pPr>
    </w:p>
    <w:p w14:paraId="5CD2DF8A" w14:textId="77777777" w:rsidR="00F24C86" w:rsidRPr="001B4A02" w:rsidRDefault="00000000" w:rsidP="00F24C86">
      <w:pPr>
        <w:ind w:left="0" w:firstLine="0"/>
      </w:pPr>
      <w:r w:rsidRPr="001B4A02">
        <w:t>Nejčastěji hlášenými nežádoucími účinky jsou infekce (jako je nasofaryngitida, infekce horních dýchacích cest</w:t>
      </w:r>
      <w:r w:rsidR="002378E0">
        <w:t xml:space="preserve"> a </w:t>
      </w:r>
      <w:r w:rsidRPr="001B4A02">
        <w:t>sinusitida), reakce v místě injekčního vpichu (erytém, svědění, krvácení, bolest nebo otoky), bolest hlavy</w:t>
      </w:r>
      <w:r w:rsidR="002378E0">
        <w:t xml:space="preserve"> a </w:t>
      </w:r>
      <w:r w:rsidRPr="001B4A02">
        <w:t>muskuloskeletální bolest.</w:t>
      </w:r>
    </w:p>
    <w:p w14:paraId="20D6A50D" w14:textId="77777777" w:rsidR="00F24C86" w:rsidRPr="001B4A02" w:rsidRDefault="00F24C86" w:rsidP="00F24C86">
      <w:pPr>
        <w:ind w:left="0" w:firstLine="0"/>
      </w:pPr>
    </w:p>
    <w:p w14:paraId="6586971F" w14:textId="77777777" w:rsidR="00F24C86" w:rsidRPr="001B4A02" w:rsidRDefault="00000000" w:rsidP="00F24C86">
      <w:pPr>
        <w:ind w:left="0" w:firstLine="0"/>
      </w:pPr>
      <w:r w:rsidRPr="001B4A02">
        <w:t>U přípravku Humira byly hlášeny závažné nežádoucí účinky. TNF antagonisté, jako například přípravek Humira, ovlivňují imunitní systém</w:t>
      </w:r>
      <w:r w:rsidR="002378E0">
        <w:t xml:space="preserve"> a </w:t>
      </w:r>
      <w:r w:rsidRPr="001B4A02">
        <w:t>jejich užití může ovlivňovat schopnost obranyschopnosti organismu vůči infekci</w:t>
      </w:r>
      <w:r w:rsidR="002378E0">
        <w:t xml:space="preserve"> a </w:t>
      </w:r>
      <w:r w:rsidRPr="001B4A02">
        <w:t>rakovinnému bujení. U</w:t>
      </w:r>
      <w:r w:rsidR="000D1F8F" w:rsidRPr="001B4A02">
        <w:t> </w:t>
      </w:r>
      <w:r w:rsidRPr="001B4A02">
        <w:t>přípravku Humira byly také hlášeny fatální</w:t>
      </w:r>
      <w:r w:rsidR="002378E0">
        <w:t xml:space="preserve"> a </w:t>
      </w:r>
      <w:r w:rsidRPr="001B4A02">
        <w:t>život ohrožující infekce (včetně sepse, oportunních infekcí TBC), HBV reaktivace</w:t>
      </w:r>
      <w:r w:rsidR="002378E0">
        <w:t xml:space="preserve"> a </w:t>
      </w:r>
      <w:r w:rsidRPr="001B4A02">
        <w:t>různé malignity (včetně leukémie, lymfomů</w:t>
      </w:r>
      <w:r w:rsidR="002378E0">
        <w:t xml:space="preserve"> a </w:t>
      </w:r>
      <w:r w:rsidRPr="001B4A02">
        <w:t>HSTCL).</w:t>
      </w:r>
    </w:p>
    <w:p w14:paraId="77607153" w14:textId="77777777" w:rsidR="00F24C86" w:rsidRPr="001B4A02" w:rsidRDefault="00F24C86" w:rsidP="00F24C86">
      <w:pPr>
        <w:ind w:left="0" w:firstLine="0"/>
      </w:pPr>
    </w:p>
    <w:p w14:paraId="49E88107" w14:textId="77777777" w:rsidR="00F24C86" w:rsidRPr="001B4A02" w:rsidRDefault="00000000" w:rsidP="00F24C86">
      <w:pPr>
        <w:ind w:left="0" w:firstLine="0"/>
        <w:rPr>
          <w:u w:val="single"/>
        </w:rPr>
      </w:pPr>
      <w:r w:rsidRPr="001B4A02">
        <w:t>Byly také hlášeny závažné hematologické, neurologické</w:t>
      </w:r>
      <w:r w:rsidR="002378E0">
        <w:t xml:space="preserve"> a </w:t>
      </w:r>
      <w:r w:rsidRPr="001B4A02">
        <w:t>autoimunní reakce. Tyto zahrnují vzácně se vyskytující případy pancytopenie, aplastické anémie, centrálních</w:t>
      </w:r>
      <w:r w:rsidR="002378E0">
        <w:t xml:space="preserve"> a </w:t>
      </w:r>
      <w:r w:rsidRPr="001B4A02">
        <w:t>periferních demyelinizačních chorob, případy lupus erythematodes</w:t>
      </w:r>
      <w:r w:rsidR="002378E0">
        <w:t xml:space="preserve"> a </w:t>
      </w:r>
      <w:r w:rsidRPr="001B4A02">
        <w:t>stavů podobných lupusu</w:t>
      </w:r>
      <w:r w:rsidR="002378E0">
        <w:t xml:space="preserve"> a </w:t>
      </w:r>
      <w:r w:rsidRPr="001B4A02">
        <w:t>Stevens</w:t>
      </w:r>
      <w:r w:rsidR="00C43387">
        <w:t>ův</w:t>
      </w:r>
      <w:r w:rsidRPr="001B4A02">
        <w:t>-Johnsonův syndrom.</w:t>
      </w:r>
    </w:p>
    <w:p w14:paraId="77AAB764" w14:textId="77777777" w:rsidR="00F24C86" w:rsidRPr="001B4A02" w:rsidRDefault="00F24C86" w:rsidP="00F24C86">
      <w:pPr>
        <w:pStyle w:val="EMEAHeadingUnderline"/>
        <w:tabs>
          <w:tab w:val="clear" w:pos="562"/>
          <w:tab w:val="left" w:pos="708"/>
        </w:tabs>
        <w:suppressAutoHyphens w:val="0"/>
        <w:spacing w:beforeLines="0" w:before="0" w:afterLines="0" w:after="0"/>
        <w:rPr>
          <w:i/>
          <w:u w:val="none"/>
          <w:lang w:val="cs-CZ"/>
        </w:rPr>
      </w:pPr>
    </w:p>
    <w:p w14:paraId="6B4A6CF7" w14:textId="77777777" w:rsidR="00F24C86" w:rsidRPr="001B4A02" w:rsidRDefault="00000000" w:rsidP="0017164D">
      <w:pPr>
        <w:pStyle w:val="EMEAHeadingUnderline"/>
        <w:keepNext/>
        <w:tabs>
          <w:tab w:val="clear" w:pos="562"/>
          <w:tab w:val="left" w:pos="708"/>
        </w:tabs>
        <w:suppressAutoHyphens w:val="0"/>
        <w:spacing w:beforeLines="0" w:before="0" w:afterLines="0" w:after="0"/>
        <w:rPr>
          <w:lang w:val="cs-CZ"/>
        </w:rPr>
      </w:pPr>
      <w:r w:rsidRPr="001B4A02">
        <w:rPr>
          <w:lang w:val="cs-CZ"/>
        </w:rPr>
        <w:t>Pediatrická populace</w:t>
      </w:r>
    </w:p>
    <w:p w14:paraId="21432077" w14:textId="77777777" w:rsidR="00F24C86" w:rsidRPr="001B4A02" w:rsidRDefault="00F24C86" w:rsidP="0017164D">
      <w:pPr>
        <w:pStyle w:val="EMEANormal"/>
        <w:keepNext/>
        <w:rPr>
          <w:lang w:val="cs-CZ"/>
        </w:rPr>
      </w:pPr>
    </w:p>
    <w:p w14:paraId="27413BE4" w14:textId="77777777" w:rsidR="00F24C86" w:rsidRPr="001B4A02" w:rsidRDefault="00000000" w:rsidP="00F24C86">
      <w:pPr>
        <w:ind w:left="0" w:firstLine="0"/>
      </w:pPr>
      <w:r w:rsidRPr="001B4A02">
        <w:t>Obecně byly nežádoucí účinky u</w:t>
      </w:r>
      <w:r w:rsidR="000D1F8F" w:rsidRPr="001B4A02">
        <w:t> </w:t>
      </w:r>
      <w:r w:rsidRPr="001B4A02">
        <w:t>pediatrických pacientů, pokud jde o</w:t>
      </w:r>
      <w:r w:rsidR="0018074F" w:rsidRPr="001B4A02">
        <w:t> </w:t>
      </w:r>
      <w:r w:rsidRPr="001B4A02">
        <w:t>typ</w:t>
      </w:r>
      <w:r w:rsidR="002378E0">
        <w:t xml:space="preserve"> a </w:t>
      </w:r>
      <w:r w:rsidRPr="001B4A02">
        <w:t>četnost výskytu, podobné těm, které byly pozorovány u</w:t>
      </w:r>
      <w:r w:rsidR="000D1F8F" w:rsidRPr="001B4A02">
        <w:t> </w:t>
      </w:r>
      <w:r w:rsidRPr="001B4A02">
        <w:t>dospělých pacientů.</w:t>
      </w:r>
    </w:p>
    <w:p w14:paraId="0CA35852" w14:textId="77777777" w:rsidR="00F24C86" w:rsidRPr="001B4A02" w:rsidRDefault="00F24C86" w:rsidP="00F24C86">
      <w:pPr>
        <w:ind w:left="0" w:firstLine="0"/>
        <w:rPr>
          <w:u w:val="single"/>
        </w:rPr>
      </w:pPr>
    </w:p>
    <w:p w14:paraId="718007FF" w14:textId="77777777" w:rsidR="00F24C86" w:rsidRPr="001B4A02" w:rsidRDefault="00000000" w:rsidP="0017164D">
      <w:pPr>
        <w:keepNext/>
        <w:ind w:left="0" w:firstLine="0"/>
        <w:rPr>
          <w:u w:val="single"/>
        </w:rPr>
      </w:pPr>
      <w:r w:rsidRPr="001B4A02">
        <w:rPr>
          <w:u w:val="single"/>
        </w:rPr>
        <w:t>Tabulkový seznam nežádoucích účinků</w:t>
      </w:r>
    </w:p>
    <w:p w14:paraId="57BFA30B" w14:textId="77777777" w:rsidR="00F24C86" w:rsidRPr="001B4A02" w:rsidRDefault="00F24C86" w:rsidP="0017164D">
      <w:pPr>
        <w:keepNext/>
        <w:ind w:left="0" w:firstLine="0"/>
      </w:pPr>
    </w:p>
    <w:p w14:paraId="6DDEBBEE" w14:textId="77777777" w:rsidR="00F24C86" w:rsidRPr="001B4A02" w:rsidRDefault="00000000" w:rsidP="00F24C86">
      <w:pPr>
        <w:ind w:left="0" w:firstLine="0"/>
      </w:pPr>
      <w:r w:rsidRPr="001B4A02">
        <w:t>Následující výčet nežádoucích účinků je založen na zkušenosti z klinických studií</w:t>
      </w:r>
      <w:r w:rsidR="002378E0">
        <w:t xml:space="preserve"> a </w:t>
      </w:r>
      <w:r w:rsidRPr="001B4A02">
        <w:t>z období postmarketingu, účinky jsou seřazeny podle orgánových systémů</w:t>
      </w:r>
      <w:r w:rsidR="002378E0">
        <w:t xml:space="preserve"> a </w:t>
      </w:r>
      <w:r w:rsidRPr="001B4A02">
        <w:t xml:space="preserve">frekvence výskytu v tabulce </w:t>
      </w:r>
      <w:r w:rsidR="003C0008" w:rsidRPr="001B4A02">
        <w:t>6</w:t>
      </w:r>
      <w:r w:rsidRPr="001B4A02">
        <w:t xml:space="preserve"> níže: velmi časté (</w:t>
      </w:r>
      <w:r w:rsidRPr="001B4A02">
        <w:rPr>
          <w:rFonts w:ascii="Symbol" w:hAnsi="Symbol"/>
        </w:rPr>
        <w:sym w:font="Symbol" w:char="F0B3"/>
      </w:r>
      <w:r w:rsidRPr="001B4A02">
        <w:t> 1/10); časté (</w:t>
      </w:r>
      <w:r w:rsidRPr="001B4A02">
        <w:rPr>
          <w:rFonts w:ascii="Symbol" w:hAnsi="Symbol"/>
        </w:rPr>
        <w:sym w:font="Symbol" w:char="F0B3"/>
      </w:r>
      <w:r w:rsidRPr="001B4A02">
        <w:t xml:space="preserve"> 1/100 do </w:t>
      </w:r>
      <w:r w:rsidR="009B56B1" w:rsidRPr="001B4A02">
        <w:rPr>
          <w:rFonts w:ascii="Symbol" w:hAnsi="Symbol"/>
        </w:rPr>
        <w:sym w:font="Symbol" w:char="F03C"/>
      </w:r>
      <w:r w:rsidRPr="001B4A02">
        <w:t> 1/10); méně časté (</w:t>
      </w:r>
      <w:r w:rsidRPr="001B4A02">
        <w:rPr>
          <w:rFonts w:ascii="Symbol" w:hAnsi="Symbol"/>
        </w:rPr>
        <w:sym w:font="Symbol" w:char="F0B3"/>
      </w:r>
      <w:r w:rsidRPr="001B4A02">
        <w:t xml:space="preserve"> 1/1 000 do </w:t>
      </w:r>
      <w:r w:rsidRPr="001B4A02">
        <w:rPr>
          <w:rFonts w:ascii="Symbol" w:hAnsi="Symbol"/>
        </w:rPr>
        <w:sym w:font="Symbol" w:char="F03C"/>
      </w:r>
      <w:r w:rsidRPr="001B4A02">
        <w:t> 1/100); vzácné (</w:t>
      </w:r>
      <w:r w:rsidR="008E5C77" w:rsidRPr="001B4A02">
        <w:rPr>
          <w:rFonts w:ascii="Symbol" w:hAnsi="Symbol"/>
        </w:rPr>
        <w:sym w:font="Symbol" w:char="F0B3"/>
      </w:r>
      <w:r w:rsidRPr="001B4A02">
        <w:t xml:space="preserve"> 1/10 000 do </w:t>
      </w:r>
      <w:r w:rsidRPr="001B4A02">
        <w:rPr>
          <w:rFonts w:ascii="Symbol" w:hAnsi="Symbol"/>
        </w:rPr>
        <w:sym w:font="Symbol" w:char="F03C"/>
      </w:r>
      <w:r w:rsidRPr="001B4A02">
        <w:t> 1/1 000)</w:t>
      </w:r>
      <w:r w:rsidR="002378E0">
        <w:t xml:space="preserve"> a </w:t>
      </w:r>
      <w:r w:rsidRPr="001B4A02">
        <w:t>není známo (z dostupných údajů nelze určit). V každé skupině četností jsou nežádoucí účinky řazeny podle klesající závažnosti. Jsou zde zahrnuty účinky, které se, napříč jednotlivými indikacemi, vyskytovaly s</w:t>
      </w:r>
      <w:r w:rsidR="00706381" w:rsidRPr="001B4A02">
        <w:t> </w:t>
      </w:r>
      <w:r w:rsidRPr="001B4A02">
        <w:t>nejvyšší frekvencí. Hvězdička (*) se ve sloupci tříd orgánových systémů vyskytuje tehdy, pokud lze další informace nalézt na jiných místech textu, v bodech 4.3, 4.4</w:t>
      </w:r>
      <w:r w:rsidR="002378E0">
        <w:t xml:space="preserve"> a </w:t>
      </w:r>
      <w:r w:rsidRPr="001B4A02">
        <w:t>4.8.</w:t>
      </w:r>
    </w:p>
    <w:p w14:paraId="14DC789F" w14:textId="77777777" w:rsidR="00F24C86" w:rsidRPr="00C43387" w:rsidRDefault="00F24C86" w:rsidP="00F24C86">
      <w:pPr>
        <w:pStyle w:val="BodyText"/>
        <w:ind w:left="0" w:firstLine="0"/>
        <w:rPr>
          <w:b w:val="0"/>
          <w:bCs/>
          <w:i w:val="0"/>
          <w:iCs/>
          <w:lang w:val="cs-CZ"/>
        </w:rPr>
      </w:pPr>
    </w:p>
    <w:p w14:paraId="690C399C" w14:textId="77777777" w:rsidR="00F24C86" w:rsidRPr="001B4A02" w:rsidRDefault="00000000" w:rsidP="00F24C86">
      <w:pPr>
        <w:keepNext/>
        <w:ind w:left="0" w:firstLine="0"/>
        <w:jc w:val="center"/>
        <w:rPr>
          <w:b/>
        </w:rPr>
      </w:pPr>
      <w:r w:rsidRPr="001B4A02">
        <w:rPr>
          <w:b/>
        </w:rPr>
        <w:t xml:space="preserve">Tabulka </w:t>
      </w:r>
      <w:r w:rsidR="00381C4E" w:rsidRPr="001B4A02">
        <w:rPr>
          <w:b/>
        </w:rPr>
        <w:t>6</w:t>
      </w:r>
    </w:p>
    <w:p w14:paraId="150B0B50" w14:textId="77777777" w:rsidR="00F24C86" w:rsidRPr="001B4A02" w:rsidRDefault="00000000" w:rsidP="00F24C86">
      <w:pPr>
        <w:pStyle w:val="EndnoteText"/>
        <w:keepNext/>
        <w:ind w:left="0" w:firstLine="0"/>
        <w:jc w:val="center"/>
        <w:rPr>
          <w:b/>
          <w:lang w:val="cs-CZ"/>
        </w:rPr>
      </w:pPr>
      <w:r w:rsidRPr="001B4A02">
        <w:rPr>
          <w:b/>
          <w:lang w:val="cs-CZ"/>
        </w:rPr>
        <w:t>Nežádoucí účinky</w:t>
      </w:r>
    </w:p>
    <w:p w14:paraId="63BDB648" w14:textId="77777777" w:rsidR="00F24C86" w:rsidRPr="001B4A02" w:rsidRDefault="00F24C86" w:rsidP="00F24C86">
      <w:pPr>
        <w:keepNext/>
        <w:ind w:left="0"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1440"/>
        <w:gridCol w:w="4689"/>
      </w:tblGrid>
      <w:tr w:rsidR="00534A2D" w14:paraId="5A9CE935" w14:textId="77777777" w:rsidTr="00336B48">
        <w:trPr>
          <w:jc w:val="center"/>
        </w:trPr>
        <w:tc>
          <w:tcPr>
            <w:tcW w:w="2880" w:type="dxa"/>
            <w:tcBorders>
              <w:top w:val="single" w:sz="4" w:space="0" w:color="auto"/>
              <w:left w:val="single" w:sz="4" w:space="0" w:color="auto"/>
              <w:bottom w:val="single" w:sz="4" w:space="0" w:color="auto"/>
              <w:right w:val="single" w:sz="4" w:space="0" w:color="auto"/>
            </w:tcBorders>
          </w:tcPr>
          <w:p w14:paraId="0006C72B" w14:textId="77777777" w:rsidR="00F24C86" w:rsidRPr="001B4A02" w:rsidRDefault="00000000" w:rsidP="0012179D">
            <w:pPr>
              <w:pStyle w:val="EMEANormal"/>
              <w:keepNext/>
              <w:tabs>
                <w:tab w:val="left" w:pos="0"/>
              </w:tabs>
              <w:rPr>
                <w:b/>
                <w:bCs/>
                <w:szCs w:val="22"/>
                <w:lang w:val="cs-CZ"/>
              </w:rPr>
            </w:pPr>
            <w:r w:rsidRPr="001B4A02">
              <w:rPr>
                <w:b/>
                <w:bCs/>
                <w:szCs w:val="22"/>
                <w:lang w:val="cs-CZ"/>
              </w:rPr>
              <w:t>Třídy orgánových systémů</w:t>
            </w:r>
          </w:p>
        </w:tc>
        <w:tc>
          <w:tcPr>
            <w:tcW w:w="1440" w:type="dxa"/>
            <w:tcBorders>
              <w:top w:val="single" w:sz="4" w:space="0" w:color="auto"/>
              <w:left w:val="single" w:sz="4" w:space="0" w:color="auto"/>
              <w:bottom w:val="single" w:sz="4" w:space="0" w:color="auto"/>
              <w:right w:val="single" w:sz="4" w:space="0" w:color="auto"/>
            </w:tcBorders>
          </w:tcPr>
          <w:p w14:paraId="1F137C63" w14:textId="77777777" w:rsidR="00F24C86" w:rsidRPr="001B4A02" w:rsidRDefault="00000000" w:rsidP="0012179D">
            <w:pPr>
              <w:pStyle w:val="EMEANormal"/>
              <w:keepNext/>
              <w:ind w:left="112"/>
              <w:rPr>
                <w:b/>
                <w:bCs/>
                <w:szCs w:val="22"/>
                <w:lang w:val="cs-CZ"/>
              </w:rPr>
            </w:pPr>
            <w:r w:rsidRPr="001B4A02">
              <w:rPr>
                <w:b/>
                <w:bCs/>
                <w:szCs w:val="22"/>
                <w:lang w:val="cs-CZ"/>
              </w:rPr>
              <w:t>Frekvence</w:t>
            </w:r>
          </w:p>
        </w:tc>
        <w:tc>
          <w:tcPr>
            <w:tcW w:w="4689" w:type="dxa"/>
            <w:tcBorders>
              <w:top w:val="single" w:sz="4" w:space="0" w:color="auto"/>
              <w:left w:val="single" w:sz="4" w:space="0" w:color="auto"/>
              <w:bottom w:val="single" w:sz="4" w:space="0" w:color="auto"/>
              <w:right w:val="single" w:sz="4" w:space="0" w:color="auto"/>
            </w:tcBorders>
          </w:tcPr>
          <w:p w14:paraId="4997AB8C" w14:textId="77777777" w:rsidR="00F24C86" w:rsidRPr="001B4A02" w:rsidRDefault="00000000" w:rsidP="0012179D">
            <w:pPr>
              <w:pStyle w:val="EMEANormal"/>
              <w:keepNext/>
              <w:rPr>
                <w:b/>
                <w:bCs/>
                <w:szCs w:val="22"/>
                <w:lang w:val="cs-CZ"/>
              </w:rPr>
            </w:pPr>
            <w:r w:rsidRPr="001B4A02">
              <w:rPr>
                <w:b/>
                <w:bCs/>
                <w:szCs w:val="22"/>
                <w:lang w:val="cs-CZ"/>
              </w:rPr>
              <w:t>Nežádoucí účinek</w:t>
            </w:r>
          </w:p>
        </w:tc>
      </w:tr>
      <w:tr w:rsidR="00534A2D" w14:paraId="025E6ED2" w14:textId="77777777" w:rsidTr="00961CF6">
        <w:trPr>
          <w:cantSplit/>
          <w:trHeight w:val="343"/>
          <w:jc w:val="center"/>
        </w:trPr>
        <w:tc>
          <w:tcPr>
            <w:tcW w:w="2880" w:type="dxa"/>
            <w:vMerge w:val="restart"/>
            <w:tcBorders>
              <w:top w:val="single" w:sz="4" w:space="0" w:color="auto"/>
              <w:left w:val="single" w:sz="4" w:space="0" w:color="auto"/>
              <w:bottom w:val="single" w:sz="4" w:space="0" w:color="auto"/>
              <w:right w:val="single" w:sz="4" w:space="0" w:color="auto"/>
            </w:tcBorders>
          </w:tcPr>
          <w:p w14:paraId="50AB7DCE" w14:textId="77777777" w:rsidR="00F24C86" w:rsidRPr="001B4A02" w:rsidRDefault="00000000" w:rsidP="0012179D">
            <w:pPr>
              <w:pStyle w:val="EMEANormal"/>
              <w:tabs>
                <w:tab w:val="left" w:pos="0"/>
              </w:tabs>
              <w:rPr>
                <w:szCs w:val="22"/>
                <w:lang w:val="cs-CZ"/>
              </w:rPr>
            </w:pPr>
            <w:r w:rsidRPr="001B4A02">
              <w:rPr>
                <w:szCs w:val="22"/>
                <w:lang w:val="cs-CZ"/>
              </w:rPr>
              <w:t>Infekce</w:t>
            </w:r>
            <w:r w:rsidR="002378E0">
              <w:rPr>
                <w:szCs w:val="22"/>
                <w:lang w:val="cs-CZ"/>
              </w:rPr>
              <w:t xml:space="preserve"> a </w:t>
            </w:r>
            <w:r w:rsidRPr="001B4A02">
              <w:rPr>
                <w:szCs w:val="22"/>
                <w:lang w:val="cs-CZ"/>
              </w:rPr>
              <w:t>infestace*</w:t>
            </w:r>
          </w:p>
        </w:tc>
        <w:tc>
          <w:tcPr>
            <w:tcW w:w="1440" w:type="dxa"/>
            <w:tcBorders>
              <w:top w:val="single" w:sz="4" w:space="0" w:color="auto"/>
              <w:left w:val="single" w:sz="4" w:space="0" w:color="auto"/>
              <w:bottom w:val="single" w:sz="4" w:space="0" w:color="auto"/>
              <w:right w:val="single" w:sz="4" w:space="0" w:color="auto"/>
            </w:tcBorders>
          </w:tcPr>
          <w:p w14:paraId="5E0622B9" w14:textId="77777777" w:rsidR="00F24C86" w:rsidRPr="001B4A02" w:rsidRDefault="00000000" w:rsidP="0012179D">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2C6EF9B6" w14:textId="77777777" w:rsidR="00F24C86" w:rsidRPr="001B4A02" w:rsidRDefault="00000000" w:rsidP="0012179D">
            <w:pPr>
              <w:pStyle w:val="EMEANormal"/>
              <w:rPr>
                <w:szCs w:val="22"/>
                <w:lang w:val="cs-CZ"/>
              </w:rPr>
            </w:pPr>
            <w:r w:rsidRPr="001B4A02">
              <w:rPr>
                <w:szCs w:val="22"/>
                <w:lang w:val="cs-CZ"/>
              </w:rPr>
              <w:t>Infekce dýchacích cest (včetně infekce dolních</w:t>
            </w:r>
            <w:r w:rsidR="002378E0">
              <w:rPr>
                <w:szCs w:val="22"/>
                <w:lang w:val="cs-CZ"/>
              </w:rPr>
              <w:t xml:space="preserve"> a </w:t>
            </w:r>
            <w:r w:rsidRPr="001B4A02">
              <w:rPr>
                <w:szCs w:val="22"/>
                <w:lang w:val="cs-CZ"/>
              </w:rPr>
              <w:t>horních cest dýchacích, pneumonie, sinusitidy, faryngitidy, nazofaryngitidy</w:t>
            </w:r>
            <w:r w:rsidR="002378E0">
              <w:rPr>
                <w:szCs w:val="22"/>
                <w:lang w:val="cs-CZ"/>
              </w:rPr>
              <w:t xml:space="preserve"> a </w:t>
            </w:r>
            <w:r w:rsidRPr="001B4A02">
              <w:rPr>
                <w:szCs w:val="22"/>
                <w:lang w:val="cs-CZ"/>
              </w:rPr>
              <w:t>pneumonie vyvolané herpetickými viry)</w:t>
            </w:r>
          </w:p>
          <w:p w14:paraId="386E812D" w14:textId="77777777" w:rsidR="00F24C86" w:rsidRPr="001B4A02" w:rsidRDefault="00F24C86" w:rsidP="0012179D">
            <w:pPr>
              <w:pStyle w:val="EMEANormal"/>
              <w:rPr>
                <w:szCs w:val="22"/>
                <w:lang w:val="cs-CZ"/>
              </w:rPr>
            </w:pPr>
          </w:p>
        </w:tc>
      </w:tr>
      <w:tr w:rsidR="00534A2D" w14:paraId="0AF394BF" w14:textId="77777777" w:rsidTr="00961CF6">
        <w:trPr>
          <w:cantSplit/>
          <w:trHeight w:val="342"/>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BCE2F19"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FF1D6DC" w14:textId="77777777" w:rsidR="00F24C86"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6BCC7B61" w14:textId="77777777" w:rsidR="00F24C86" w:rsidRPr="001B4A02" w:rsidRDefault="00000000" w:rsidP="0012179D">
            <w:pPr>
              <w:pStyle w:val="EMEANormal"/>
              <w:rPr>
                <w:szCs w:val="22"/>
                <w:lang w:val="cs-CZ"/>
              </w:rPr>
            </w:pPr>
            <w:r w:rsidRPr="001B4A02">
              <w:rPr>
                <w:szCs w:val="22"/>
                <w:lang w:val="cs-CZ"/>
              </w:rPr>
              <w:t>Systémové infekce (včetně sepse, kandidózy</w:t>
            </w:r>
            <w:r w:rsidR="002378E0">
              <w:rPr>
                <w:szCs w:val="22"/>
                <w:lang w:val="cs-CZ"/>
              </w:rPr>
              <w:t xml:space="preserve"> a </w:t>
            </w:r>
            <w:r w:rsidRPr="001B4A02">
              <w:rPr>
                <w:szCs w:val="22"/>
                <w:lang w:val="cs-CZ"/>
              </w:rPr>
              <w:t>chřipky),</w:t>
            </w:r>
          </w:p>
          <w:p w14:paraId="1EA620B1" w14:textId="77777777" w:rsidR="00F24C86" w:rsidRPr="001B4A02" w:rsidRDefault="00000000" w:rsidP="0012179D">
            <w:pPr>
              <w:pStyle w:val="EMEANormal"/>
              <w:rPr>
                <w:szCs w:val="22"/>
                <w:lang w:val="cs-CZ"/>
              </w:rPr>
            </w:pPr>
            <w:r w:rsidRPr="001B4A02">
              <w:rPr>
                <w:szCs w:val="22"/>
                <w:lang w:val="cs-CZ"/>
              </w:rPr>
              <w:t>střevní infekce (včetně virové gastroenteritidy),</w:t>
            </w:r>
          </w:p>
          <w:p w14:paraId="6640E1DE" w14:textId="77777777" w:rsidR="00F24C86" w:rsidRPr="001B4A02" w:rsidRDefault="00000000" w:rsidP="0012179D">
            <w:pPr>
              <w:pStyle w:val="EMEANormal"/>
              <w:rPr>
                <w:szCs w:val="22"/>
                <w:lang w:val="cs-CZ"/>
              </w:rPr>
            </w:pPr>
            <w:r w:rsidRPr="001B4A02">
              <w:rPr>
                <w:szCs w:val="22"/>
                <w:lang w:val="cs-CZ"/>
              </w:rPr>
              <w:t>infekce kůže</w:t>
            </w:r>
            <w:r w:rsidR="002378E0">
              <w:rPr>
                <w:szCs w:val="22"/>
                <w:lang w:val="cs-CZ"/>
              </w:rPr>
              <w:t xml:space="preserve"> a </w:t>
            </w:r>
            <w:r w:rsidRPr="001B4A02">
              <w:rPr>
                <w:szCs w:val="22"/>
                <w:lang w:val="cs-CZ"/>
              </w:rPr>
              <w:t>měkkých tkání (včetně paronychia, celulitidy, impetiga, nekrotizující fasciitidy</w:t>
            </w:r>
            <w:r w:rsidR="002378E0">
              <w:rPr>
                <w:szCs w:val="22"/>
                <w:lang w:val="cs-CZ"/>
              </w:rPr>
              <w:t xml:space="preserve"> a </w:t>
            </w:r>
            <w:r w:rsidRPr="001B4A02">
              <w:rPr>
                <w:szCs w:val="22"/>
                <w:lang w:val="cs-CZ"/>
              </w:rPr>
              <w:t>herpes zoster),</w:t>
            </w:r>
          </w:p>
          <w:p w14:paraId="6225EAFF" w14:textId="77777777" w:rsidR="00F24C86" w:rsidRPr="001B4A02" w:rsidRDefault="00000000" w:rsidP="0012179D">
            <w:pPr>
              <w:pStyle w:val="EMEANormal"/>
              <w:rPr>
                <w:szCs w:val="22"/>
                <w:lang w:val="cs-CZ"/>
              </w:rPr>
            </w:pPr>
            <w:r w:rsidRPr="001B4A02">
              <w:rPr>
                <w:szCs w:val="22"/>
                <w:lang w:val="cs-CZ"/>
              </w:rPr>
              <w:t>ušní infekce,</w:t>
            </w:r>
          </w:p>
          <w:p w14:paraId="63B5214F" w14:textId="77777777" w:rsidR="00F24C86" w:rsidRPr="001B4A02" w:rsidRDefault="00000000" w:rsidP="0012179D">
            <w:pPr>
              <w:pStyle w:val="EMEANormal"/>
              <w:rPr>
                <w:szCs w:val="22"/>
                <w:shd w:val="clear" w:color="auto" w:fill="FFFF00"/>
                <w:lang w:val="cs-CZ"/>
              </w:rPr>
            </w:pPr>
            <w:r w:rsidRPr="001B4A02">
              <w:rPr>
                <w:szCs w:val="22"/>
                <w:lang w:val="cs-CZ"/>
              </w:rPr>
              <w:t>orální infekce (včetně herpes simplex, orální</w:t>
            </w:r>
            <w:r w:rsidR="00BE44F4">
              <w:rPr>
                <w:szCs w:val="22"/>
                <w:lang w:val="cs-CZ"/>
              </w:rPr>
              <w:t xml:space="preserve">ho </w:t>
            </w:r>
            <w:r w:rsidRPr="001B4A02">
              <w:rPr>
                <w:szCs w:val="22"/>
                <w:lang w:val="cs-CZ"/>
              </w:rPr>
              <w:t>herpes</w:t>
            </w:r>
            <w:r w:rsidR="002378E0">
              <w:rPr>
                <w:szCs w:val="22"/>
                <w:lang w:val="cs-CZ"/>
              </w:rPr>
              <w:t xml:space="preserve"> a </w:t>
            </w:r>
            <w:r w:rsidRPr="001B4A02">
              <w:rPr>
                <w:szCs w:val="22"/>
                <w:lang w:val="cs-CZ"/>
              </w:rPr>
              <w:t>zubních infekcí),</w:t>
            </w:r>
            <w:r w:rsidRPr="001B4A02">
              <w:rPr>
                <w:szCs w:val="22"/>
                <w:shd w:val="clear" w:color="auto" w:fill="FFFF00"/>
                <w:lang w:val="cs-CZ"/>
              </w:rPr>
              <w:t xml:space="preserve"> </w:t>
            </w:r>
          </w:p>
          <w:p w14:paraId="36CBCA63" w14:textId="77777777" w:rsidR="00F24C86" w:rsidRPr="001B4A02" w:rsidRDefault="00000000" w:rsidP="0012179D">
            <w:pPr>
              <w:pStyle w:val="EMEANormal"/>
              <w:rPr>
                <w:szCs w:val="22"/>
                <w:lang w:val="cs-CZ"/>
              </w:rPr>
            </w:pPr>
            <w:r w:rsidRPr="001B4A02">
              <w:rPr>
                <w:szCs w:val="22"/>
                <w:lang w:val="cs-CZ"/>
              </w:rPr>
              <w:t>infekce reprodukčního systému (včetně vulvovaginální myotické infekce),</w:t>
            </w:r>
          </w:p>
          <w:p w14:paraId="43200704" w14:textId="77777777" w:rsidR="00F24C86" w:rsidRPr="001B4A02" w:rsidRDefault="00000000" w:rsidP="0012179D">
            <w:pPr>
              <w:pStyle w:val="EMEANormal"/>
              <w:rPr>
                <w:szCs w:val="22"/>
                <w:lang w:val="cs-CZ"/>
              </w:rPr>
            </w:pPr>
            <w:r w:rsidRPr="001B4A02">
              <w:rPr>
                <w:szCs w:val="22"/>
                <w:lang w:val="cs-CZ"/>
              </w:rPr>
              <w:t>infekce močových cest (včetně pyelonefritidy),</w:t>
            </w:r>
          </w:p>
          <w:p w14:paraId="3EB9F022" w14:textId="77777777" w:rsidR="00F24C86" w:rsidRPr="001B4A02" w:rsidRDefault="00000000" w:rsidP="0012179D">
            <w:pPr>
              <w:pStyle w:val="EMEANormal"/>
              <w:rPr>
                <w:szCs w:val="22"/>
                <w:lang w:val="cs-CZ"/>
              </w:rPr>
            </w:pPr>
            <w:r w:rsidRPr="001B4A02">
              <w:rPr>
                <w:szCs w:val="22"/>
                <w:lang w:val="cs-CZ"/>
              </w:rPr>
              <w:t>plísňové infekce,</w:t>
            </w:r>
          </w:p>
          <w:p w14:paraId="7E3E0D5B" w14:textId="77777777" w:rsidR="00F24C86" w:rsidRPr="001B4A02" w:rsidRDefault="00000000" w:rsidP="0012179D">
            <w:pPr>
              <w:pStyle w:val="EMEANormal"/>
              <w:rPr>
                <w:szCs w:val="22"/>
                <w:lang w:val="cs-CZ"/>
              </w:rPr>
            </w:pPr>
            <w:r w:rsidRPr="001B4A02">
              <w:rPr>
                <w:szCs w:val="22"/>
                <w:lang w:val="cs-CZ"/>
              </w:rPr>
              <w:t xml:space="preserve">kloubní infekce </w:t>
            </w:r>
          </w:p>
          <w:p w14:paraId="2D93676D" w14:textId="77777777" w:rsidR="00F24C86" w:rsidRPr="001B4A02" w:rsidRDefault="00F24C86" w:rsidP="0012179D">
            <w:pPr>
              <w:pStyle w:val="EMEANormal"/>
              <w:rPr>
                <w:szCs w:val="22"/>
                <w:lang w:val="cs-CZ"/>
              </w:rPr>
            </w:pPr>
          </w:p>
        </w:tc>
      </w:tr>
      <w:tr w:rsidR="00534A2D" w14:paraId="72F36099" w14:textId="77777777" w:rsidTr="00961CF6">
        <w:trPr>
          <w:cantSplit/>
          <w:trHeight w:val="342"/>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9E1630"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74C60F1E" w14:textId="77777777" w:rsidR="00F24C86" w:rsidRPr="001B4A02" w:rsidRDefault="00000000" w:rsidP="0012179D">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6D3EF060" w14:textId="77777777" w:rsidR="00F24C86" w:rsidRPr="001B4A02" w:rsidRDefault="00000000" w:rsidP="0012179D">
            <w:pPr>
              <w:pStyle w:val="EMEANormal"/>
              <w:rPr>
                <w:szCs w:val="22"/>
                <w:lang w:val="cs-CZ"/>
              </w:rPr>
            </w:pPr>
            <w:r w:rsidRPr="001B4A02">
              <w:rPr>
                <w:szCs w:val="22"/>
                <w:lang w:val="cs-CZ"/>
              </w:rPr>
              <w:t>Neurologické infekce (včetně virové meningitidy),</w:t>
            </w:r>
          </w:p>
          <w:p w14:paraId="22988418" w14:textId="77777777" w:rsidR="00F24C86" w:rsidRPr="001B4A02" w:rsidRDefault="00000000" w:rsidP="0012179D">
            <w:pPr>
              <w:pStyle w:val="EMEANormal"/>
              <w:rPr>
                <w:szCs w:val="22"/>
                <w:lang w:val="cs-CZ"/>
              </w:rPr>
            </w:pPr>
            <w:r w:rsidRPr="001B4A02">
              <w:rPr>
                <w:szCs w:val="22"/>
                <w:lang w:val="cs-CZ"/>
              </w:rPr>
              <w:t>oportunní infekce</w:t>
            </w:r>
            <w:r w:rsidR="002378E0">
              <w:rPr>
                <w:szCs w:val="22"/>
                <w:lang w:val="cs-CZ"/>
              </w:rPr>
              <w:t xml:space="preserve"> a </w:t>
            </w:r>
            <w:r w:rsidRPr="001B4A02">
              <w:rPr>
                <w:szCs w:val="22"/>
                <w:lang w:val="cs-CZ"/>
              </w:rPr>
              <w:t>tuberkulóza (včetně kokcidiomykózy, histoplasmózy</w:t>
            </w:r>
            <w:r w:rsidR="002378E0">
              <w:rPr>
                <w:szCs w:val="22"/>
                <w:lang w:val="cs-CZ"/>
              </w:rPr>
              <w:t xml:space="preserve"> a </w:t>
            </w:r>
            <w:r w:rsidRPr="001B4A02">
              <w:rPr>
                <w:szCs w:val="22"/>
                <w:lang w:val="cs-CZ"/>
              </w:rPr>
              <w:t>infekcí způsobených mycobacterium avium complex),</w:t>
            </w:r>
          </w:p>
          <w:p w14:paraId="501051E0" w14:textId="77777777" w:rsidR="00F24C86" w:rsidRPr="001B4A02" w:rsidRDefault="00000000" w:rsidP="0012179D">
            <w:pPr>
              <w:pStyle w:val="EMEANormal"/>
              <w:rPr>
                <w:szCs w:val="22"/>
                <w:lang w:val="cs-CZ"/>
              </w:rPr>
            </w:pPr>
            <w:r w:rsidRPr="001B4A02">
              <w:rPr>
                <w:szCs w:val="22"/>
                <w:lang w:val="cs-CZ"/>
              </w:rPr>
              <w:t>bakteriální infekce,</w:t>
            </w:r>
          </w:p>
          <w:p w14:paraId="1D21F151" w14:textId="77777777" w:rsidR="00F24C86" w:rsidRPr="001B4A02" w:rsidRDefault="00000000" w:rsidP="0012179D">
            <w:pPr>
              <w:pStyle w:val="EMEANormal"/>
              <w:rPr>
                <w:szCs w:val="22"/>
                <w:lang w:val="cs-CZ"/>
              </w:rPr>
            </w:pPr>
            <w:r w:rsidRPr="001B4A02">
              <w:rPr>
                <w:szCs w:val="22"/>
                <w:lang w:val="cs-CZ"/>
              </w:rPr>
              <w:t>oční infekce,</w:t>
            </w:r>
          </w:p>
          <w:p w14:paraId="3A337C54" w14:textId="77777777" w:rsidR="00F24C86" w:rsidRPr="001B4A02" w:rsidRDefault="00000000" w:rsidP="0012179D">
            <w:pPr>
              <w:pStyle w:val="EMEANormal"/>
              <w:rPr>
                <w:szCs w:val="22"/>
                <w:lang w:val="cs-CZ"/>
              </w:rPr>
            </w:pPr>
            <w:r w:rsidRPr="001B4A02">
              <w:rPr>
                <w:szCs w:val="22"/>
                <w:lang w:val="cs-CZ"/>
              </w:rPr>
              <w:t>divertikulitida</w:t>
            </w:r>
            <w:r w:rsidRPr="001B4A02">
              <w:rPr>
                <w:szCs w:val="22"/>
                <w:vertAlign w:val="superscript"/>
                <w:lang w:val="cs-CZ"/>
              </w:rPr>
              <w:t>1)</w:t>
            </w:r>
          </w:p>
          <w:p w14:paraId="64357C6D" w14:textId="77777777" w:rsidR="00F24C86" w:rsidRPr="001B4A02" w:rsidRDefault="00F24C86" w:rsidP="0012179D">
            <w:pPr>
              <w:pStyle w:val="EMEANormal"/>
              <w:rPr>
                <w:szCs w:val="22"/>
                <w:lang w:val="cs-CZ"/>
              </w:rPr>
            </w:pPr>
          </w:p>
        </w:tc>
      </w:tr>
      <w:tr w:rsidR="00534A2D" w14:paraId="2FD121BC" w14:textId="77777777" w:rsidTr="00961CF6">
        <w:trPr>
          <w:cantSplit/>
          <w:trHeight w:val="274"/>
          <w:jc w:val="center"/>
        </w:trPr>
        <w:tc>
          <w:tcPr>
            <w:tcW w:w="2880" w:type="dxa"/>
            <w:vMerge w:val="restart"/>
            <w:tcBorders>
              <w:top w:val="single" w:sz="4" w:space="0" w:color="auto"/>
              <w:left w:val="single" w:sz="4" w:space="0" w:color="auto"/>
              <w:right w:val="single" w:sz="4" w:space="0" w:color="auto"/>
            </w:tcBorders>
          </w:tcPr>
          <w:p w14:paraId="7DCDC936" w14:textId="77777777" w:rsidR="00F24C86" w:rsidRPr="001B4A02" w:rsidRDefault="00000000" w:rsidP="0012179D">
            <w:pPr>
              <w:pStyle w:val="EMEANormal"/>
              <w:tabs>
                <w:tab w:val="left" w:pos="0"/>
              </w:tabs>
              <w:suppressAutoHyphens w:val="0"/>
              <w:rPr>
                <w:szCs w:val="22"/>
                <w:lang w:val="cs-CZ"/>
              </w:rPr>
            </w:pPr>
            <w:r w:rsidRPr="001B4A02">
              <w:rPr>
                <w:szCs w:val="22"/>
                <w:lang w:val="cs-CZ"/>
              </w:rPr>
              <w:t>Novotvary benigní, maligní</w:t>
            </w:r>
            <w:r w:rsidR="002378E0">
              <w:rPr>
                <w:szCs w:val="22"/>
                <w:lang w:val="cs-CZ"/>
              </w:rPr>
              <w:t xml:space="preserve"> a </w:t>
            </w:r>
            <w:r w:rsidRPr="001B4A02">
              <w:rPr>
                <w:szCs w:val="22"/>
                <w:lang w:val="cs-CZ"/>
              </w:rPr>
              <w:t>blíže neurčené (zahrnující cysty</w:t>
            </w:r>
            <w:r w:rsidR="002378E0">
              <w:rPr>
                <w:szCs w:val="22"/>
                <w:lang w:val="cs-CZ"/>
              </w:rPr>
              <w:t xml:space="preserve"> a </w:t>
            </w:r>
            <w:r w:rsidRPr="001B4A02">
              <w:rPr>
                <w:szCs w:val="22"/>
                <w:lang w:val="cs-CZ"/>
              </w:rPr>
              <w:t>polypy)*</w:t>
            </w:r>
          </w:p>
        </w:tc>
        <w:tc>
          <w:tcPr>
            <w:tcW w:w="1440" w:type="dxa"/>
            <w:tcBorders>
              <w:top w:val="single" w:sz="4" w:space="0" w:color="auto"/>
              <w:left w:val="single" w:sz="4" w:space="0" w:color="auto"/>
              <w:bottom w:val="single" w:sz="4" w:space="0" w:color="auto"/>
              <w:right w:val="single" w:sz="4" w:space="0" w:color="auto"/>
            </w:tcBorders>
          </w:tcPr>
          <w:p w14:paraId="5AAD11BB" w14:textId="77777777" w:rsidR="00F24C86"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3C8E092D" w14:textId="77777777" w:rsidR="00F24C86" w:rsidRPr="001B4A02" w:rsidRDefault="00000000" w:rsidP="0012179D">
            <w:pPr>
              <w:pStyle w:val="EMEANormal"/>
              <w:rPr>
                <w:szCs w:val="22"/>
                <w:lang w:val="cs-CZ"/>
              </w:rPr>
            </w:pPr>
            <w:r w:rsidRPr="001B4A02">
              <w:rPr>
                <w:szCs w:val="22"/>
                <w:lang w:val="cs-CZ"/>
              </w:rPr>
              <w:t>Karcinom kůže vyjma melanomu (včetně karcinomu z bazálních buněk</w:t>
            </w:r>
            <w:r w:rsidR="002378E0">
              <w:rPr>
                <w:szCs w:val="22"/>
                <w:lang w:val="cs-CZ"/>
              </w:rPr>
              <w:t xml:space="preserve"> a </w:t>
            </w:r>
            <w:r w:rsidRPr="001B4A02">
              <w:rPr>
                <w:szCs w:val="22"/>
                <w:lang w:val="cs-CZ"/>
              </w:rPr>
              <w:t>skvamózního buněčného karcinomu),</w:t>
            </w:r>
          </w:p>
          <w:p w14:paraId="3002DFCF" w14:textId="77777777" w:rsidR="00F24C86" w:rsidRPr="001B4A02" w:rsidRDefault="00000000" w:rsidP="0012179D">
            <w:pPr>
              <w:pStyle w:val="EMEANormal"/>
              <w:rPr>
                <w:szCs w:val="22"/>
                <w:lang w:val="cs-CZ"/>
              </w:rPr>
            </w:pPr>
            <w:r w:rsidRPr="001B4A02">
              <w:rPr>
                <w:szCs w:val="22"/>
                <w:lang w:val="cs-CZ"/>
              </w:rPr>
              <w:t>benigní neoplázie</w:t>
            </w:r>
          </w:p>
          <w:p w14:paraId="7950E794" w14:textId="77777777" w:rsidR="00F24C86" w:rsidRPr="001B4A02" w:rsidRDefault="00F24C86" w:rsidP="0012179D">
            <w:pPr>
              <w:pStyle w:val="EMEANormal"/>
              <w:rPr>
                <w:szCs w:val="22"/>
                <w:lang w:val="cs-CZ"/>
              </w:rPr>
            </w:pPr>
          </w:p>
        </w:tc>
      </w:tr>
      <w:tr w:rsidR="00534A2D" w14:paraId="4EF5C9C1" w14:textId="77777777" w:rsidTr="00961CF6">
        <w:trPr>
          <w:cantSplit/>
          <w:trHeight w:val="432"/>
          <w:jc w:val="center"/>
        </w:trPr>
        <w:tc>
          <w:tcPr>
            <w:tcW w:w="0" w:type="auto"/>
            <w:vMerge/>
            <w:tcBorders>
              <w:left w:val="single" w:sz="4" w:space="0" w:color="auto"/>
              <w:right w:val="single" w:sz="4" w:space="0" w:color="auto"/>
            </w:tcBorders>
            <w:vAlign w:val="center"/>
          </w:tcPr>
          <w:p w14:paraId="050804A3"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1FA6A4CD" w14:textId="77777777" w:rsidR="00F24C86" w:rsidRPr="001B4A02" w:rsidRDefault="00000000" w:rsidP="0012179D">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570D202B" w14:textId="77777777" w:rsidR="00F24C86" w:rsidRPr="001B4A02" w:rsidRDefault="00000000" w:rsidP="0012179D">
            <w:pPr>
              <w:pStyle w:val="EMEANormal"/>
              <w:rPr>
                <w:szCs w:val="22"/>
                <w:lang w:val="cs-CZ"/>
              </w:rPr>
            </w:pPr>
            <w:r w:rsidRPr="001B4A02">
              <w:rPr>
                <w:szCs w:val="22"/>
                <w:lang w:val="cs-CZ"/>
              </w:rPr>
              <w:t>Lymfom**,</w:t>
            </w:r>
          </w:p>
          <w:p w14:paraId="2D97E757" w14:textId="77777777" w:rsidR="00F24C86" w:rsidRPr="001B4A02" w:rsidRDefault="00000000" w:rsidP="0012179D">
            <w:pPr>
              <w:pStyle w:val="EMEANormal"/>
              <w:rPr>
                <w:szCs w:val="22"/>
                <w:lang w:val="cs-CZ"/>
              </w:rPr>
            </w:pPr>
            <w:r w:rsidRPr="001B4A02">
              <w:rPr>
                <w:szCs w:val="22"/>
                <w:lang w:val="cs-CZ"/>
              </w:rPr>
              <w:t>novotvary solidních orgánů (včetně karcinomu prsu, plicní neoplázie</w:t>
            </w:r>
            <w:r w:rsidR="002378E0">
              <w:rPr>
                <w:szCs w:val="22"/>
                <w:lang w:val="cs-CZ"/>
              </w:rPr>
              <w:t xml:space="preserve"> a </w:t>
            </w:r>
            <w:r w:rsidRPr="001B4A02">
              <w:rPr>
                <w:szCs w:val="22"/>
                <w:lang w:val="cs-CZ"/>
              </w:rPr>
              <w:t>neoplázie štítné žlázy),</w:t>
            </w:r>
          </w:p>
          <w:p w14:paraId="3792C6A7" w14:textId="77777777" w:rsidR="00F24C86" w:rsidRPr="001B4A02" w:rsidRDefault="00000000" w:rsidP="0012179D">
            <w:pPr>
              <w:pStyle w:val="EMEANormal"/>
              <w:rPr>
                <w:szCs w:val="22"/>
                <w:lang w:val="cs-CZ"/>
              </w:rPr>
            </w:pPr>
            <w:r w:rsidRPr="001B4A02">
              <w:rPr>
                <w:szCs w:val="22"/>
                <w:lang w:val="cs-CZ"/>
              </w:rPr>
              <w:t>melanom**</w:t>
            </w:r>
          </w:p>
          <w:p w14:paraId="14DBCA8A" w14:textId="77777777" w:rsidR="00F24C86" w:rsidRPr="001B4A02" w:rsidRDefault="00F24C86" w:rsidP="0012179D">
            <w:pPr>
              <w:pStyle w:val="EMEANormal"/>
              <w:rPr>
                <w:szCs w:val="22"/>
                <w:lang w:val="cs-CZ"/>
              </w:rPr>
            </w:pPr>
          </w:p>
        </w:tc>
      </w:tr>
      <w:tr w:rsidR="00534A2D" w14:paraId="33520AD5" w14:textId="77777777" w:rsidTr="00961CF6">
        <w:trPr>
          <w:cantSplit/>
          <w:trHeight w:val="432"/>
          <w:jc w:val="center"/>
        </w:trPr>
        <w:tc>
          <w:tcPr>
            <w:tcW w:w="0" w:type="auto"/>
            <w:vMerge/>
            <w:tcBorders>
              <w:left w:val="single" w:sz="4" w:space="0" w:color="auto"/>
              <w:right w:val="single" w:sz="4" w:space="0" w:color="auto"/>
            </w:tcBorders>
            <w:vAlign w:val="center"/>
          </w:tcPr>
          <w:p w14:paraId="4649BEBD"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16273965" w14:textId="77777777" w:rsidR="00F24C86" w:rsidRPr="001B4A02" w:rsidRDefault="00000000" w:rsidP="0012179D">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79D19E45" w14:textId="77777777" w:rsidR="00F24C86" w:rsidRDefault="00000000" w:rsidP="0012179D">
            <w:pPr>
              <w:pStyle w:val="EMEANormal"/>
              <w:rPr>
                <w:szCs w:val="22"/>
                <w:lang w:val="cs-CZ"/>
              </w:rPr>
            </w:pPr>
            <w:r w:rsidRPr="001B4A02">
              <w:rPr>
                <w:szCs w:val="22"/>
                <w:lang w:val="cs-CZ"/>
              </w:rPr>
              <w:t>Leukémie</w:t>
            </w:r>
            <w:r w:rsidRPr="001B4A02">
              <w:rPr>
                <w:szCs w:val="22"/>
                <w:vertAlign w:val="superscript"/>
                <w:lang w:val="cs-CZ"/>
              </w:rPr>
              <w:t>1)</w:t>
            </w:r>
          </w:p>
          <w:p w14:paraId="79B1C150" w14:textId="77777777" w:rsidR="0027760D" w:rsidRPr="0027760D" w:rsidRDefault="0027760D" w:rsidP="0012179D">
            <w:pPr>
              <w:pStyle w:val="EMEANormal"/>
              <w:rPr>
                <w:szCs w:val="22"/>
                <w:lang w:val="cs-CZ"/>
              </w:rPr>
            </w:pPr>
          </w:p>
        </w:tc>
      </w:tr>
      <w:tr w:rsidR="00534A2D" w14:paraId="038B3B30" w14:textId="77777777" w:rsidTr="00961CF6">
        <w:trPr>
          <w:cantSplit/>
          <w:trHeight w:val="432"/>
          <w:jc w:val="center"/>
        </w:trPr>
        <w:tc>
          <w:tcPr>
            <w:tcW w:w="0" w:type="auto"/>
            <w:vMerge/>
            <w:tcBorders>
              <w:left w:val="single" w:sz="4" w:space="0" w:color="auto"/>
              <w:bottom w:val="single" w:sz="4" w:space="0" w:color="auto"/>
              <w:right w:val="single" w:sz="4" w:space="0" w:color="auto"/>
            </w:tcBorders>
            <w:vAlign w:val="center"/>
          </w:tcPr>
          <w:p w14:paraId="6D764F17"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6EC50AA8" w14:textId="77777777" w:rsidR="00F24C86" w:rsidRPr="001B4A02" w:rsidRDefault="00000000" w:rsidP="0012179D">
            <w:pPr>
              <w:pStyle w:val="EMEANormal"/>
              <w:rPr>
                <w:szCs w:val="22"/>
                <w:lang w:val="cs-CZ"/>
              </w:rPr>
            </w:pPr>
            <w:r w:rsidRPr="001B4A02">
              <w:rPr>
                <w:szCs w:val="22"/>
                <w:lang w:val="cs-CZ"/>
              </w:rPr>
              <w:t>Není známo</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1836BF0D" w14:textId="77777777" w:rsidR="00F24C86" w:rsidRPr="009A21A5" w:rsidRDefault="00000000" w:rsidP="0012179D">
            <w:pPr>
              <w:pStyle w:val="EMEANormal"/>
              <w:rPr>
                <w:szCs w:val="22"/>
                <w:lang w:val="cs-CZ"/>
              </w:rPr>
            </w:pPr>
            <w:r w:rsidRPr="001B4A02">
              <w:rPr>
                <w:szCs w:val="22"/>
                <w:lang w:val="cs-CZ"/>
              </w:rPr>
              <w:t>Hepatosplenický T-buněčný lymfom</w:t>
            </w:r>
            <w:r w:rsidRPr="001B4A02">
              <w:rPr>
                <w:szCs w:val="22"/>
                <w:vertAlign w:val="superscript"/>
                <w:lang w:val="cs-CZ"/>
              </w:rPr>
              <w:t>1)</w:t>
            </w:r>
            <w:r w:rsidR="009A21A5">
              <w:rPr>
                <w:szCs w:val="22"/>
                <w:lang w:val="cs-CZ"/>
              </w:rPr>
              <w:t>,</w:t>
            </w:r>
          </w:p>
          <w:p w14:paraId="074C1E7B" w14:textId="77777777" w:rsidR="00F24C86" w:rsidRDefault="00000000" w:rsidP="0012179D">
            <w:pPr>
              <w:pStyle w:val="EMEANormal"/>
              <w:rPr>
                <w:lang w:val="cs-CZ"/>
              </w:rPr>
            </w:pPr>
            <w:r w:rsidRPr="001B4A02">
              <w:rPr>
                <w:lang w:val="cs-CZ"/>
              </w:rPr>
              <w:t>karcinom z Merkelových buněk (neuroendokrinní karcinom kůže)</w:t>
            </w:r>
            <w:r w:rsidRPr="001B4A02">
              <w:rPr>
                <w:vertAlign w:val="superscript"/>
                <w:lang w:val="cs-CZ"/>
              </w:rPr>
              <w:t>1</w:t>
            </w:r>
            <w:r w:rsidR="00720799">
              <w:rPr>
                <w:lang w:val="cs-CZ"/>
              </w:rPr>
              <w:t>,</w:t>
            </w:r>
          </w:p>
          <w:p w14:paraId="0E3A1679" w14:textId="77777777" w:rsidR="00720799" w:rsidRPr="00720799" w:rsidRDefault="00000000" w:rsidP="0012179D">
            <w:pPr>
              <w:pStyle w:val="EMEANormal"/>
              <w:rPr>
                <w:lang w:val="cs-CZ"/>
              </w:rPr>
            </w:pPr>
            <w:r>
              <w:rPr>
                <w:lang w:val="cs-CZ"/>
              </w:rPr>
              <w:t>Kaposiho sarkom</w:t>
            </w:r>
          </w:p>
          <w:p w14:paraId="657CE5DD" w14:textId="77777777" w:rsidR="00F24C86" w:rsidRPr="001B4A02" w:rsidRDefault="00F24C86" w:rsidP="0012179D">
            <w:pPr>
              <w:pStyle w:val="EMEANormal"/>
              <w:rPr>
                <w:szCs w:val="22"/>
                <w:lang w:val="cs-CZ"/>
              </w:rPr>
            </w:pPr>
          </w:p>
        </w:tc>
      </w:tr>
      <w:tr w:rsidR="00534A2D" w14:paraId="40435B7C" w14:textId="77777777" w:rsidTr="00961CF6">
        <w:trPr>
          <w:cantSplit/>
          <w:trHeight w:val="127"/>
          <w:jc w:val="center"/>
        </w:trPr>
        <w:tc>
          <w:tcPr>
            <w:tcW w:w="2880" w:type="dxa"/>
            <w:vMerge w:val="restart"/>
            <w:tcBorders>
              <w:top w:val="single" w:sz="4" w:space="0" w:color="auto"/>
              <w:left w:val="single" w:sz="4" w:space="0" w:color="auto"/>
              <w:bottom w:val="single" w:sz="4" w:space="0" w:color="auto"/>
              <w:right w:val="single" w:sz="4" w:space="0" w:color="auto"/>
            </w:tcBorders>
          </w:tcPr>
          <w:p w14:paraId="0F6A4322" w14:textId="77777777" w:rsidR="00F24C86" w:rsidRPr="001B4A02" w:rsidRDefault="00000000" w:rsidP="0012179D">
            <w:pPr>
              <w:pStyle w:val="EMEANormal"/>
              <w:tabs>
                <w:tab w:val="left" w:pos="0"/>
              </w:tabs>
              <w:rPr>
                <w:szCs w:val="22"/>
                <w:lang w:val="cs-CZ"/>
              </w:rPr>
            </w:pPr>
            <w:r w:rsidRPr="001B4A02">
              <w:rPr>
                <w:szCs w:val="22"/>
                <w:lang w:val="cs-CZ"/>
              </w:rPr>
              <w:t>Poruchy krve</w:t>
            </w:r>
            <w:r w:rsidR="002378E0">
              <w:rPr>
                <w:szCs w:val="22"/>
                <w:lang w:val="cs-CZ"/>
              </w:rPr>
              <w:t xml:space="preserve"> a </w:t>
            </w:r>
            <w:r w:rsidRPr="001B4A02">
              <w:rPr>
                <w:szCs w:val="22"/>
                <w:lang w:val="cs-CZ"/>
              </w:rPr>
              <w:t>lymfatického systému*</w:t>
            </w:r>
          </w:p>
        </w:tc>
        <w:tc>
          <w:tcPr>
            <w:tcW w:w="1440" w:type="dxa"/>
            <w:tcBorders>
              <w:top w:val="single" w:sz="4" w:space="0" w:color="auto"/>
              <w:left w:val="single" w:sz="4" w:space="0" w:color="auto"/>
              <w:bottom w:val="single" w:sz="4" w:space="0" w:color="auto"/>
              <w:right w:val="single" w:sz="4" w:space="0" w:color="auto"/>
            </w:tcBorders>
          </w:tcPr>
          <w:p w14:paraId="7A9E26A5" w14:textId="77777777" w:rsidR="00F24C86" w:rsidRPr="001B4A02" w:rsidRDefault="00000000" w:rsidP="0012179D">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203D8A18" w14:textId="77777777" w:rsidR="00F24C86" w:rsidRPr="001B4A02" w:rsidRDefault="00000000" w:rsidP="0012179D">
            <w:pPr>
              <w:pStyle w:val="EMEANormal"/>
              <w:rPr>
                <w:szCs w:val="22"/>
                <w:lang w:val="cs-CZ"/>
              </w:rPr>
            </w:pPr>
            <w:r w:rsidRPr="001B4A02">
              <w:rPr>
                <w:szCs w:val="22"/>
                <w:lang w:val="cs-CZ"/>
              </w:rPr>
              <w:t>Leukopenie (včetně neutropenie</w:t>
            </w:r>
            <w:r w:rsidR="002378E0">
              <w:rPr>
                <w:szCs w:val="22"/>
                <w:lang w:val="cs-CZ"/>
              </w:rPr>
              <w:t xml:space="preserve"> a </w:t>
            </w:r>
            <w:r w:rsidRPr="001B4A02">
              <w:rPr>
                <w:szCs w:val="22"/>
                <w:lang w:val="cs-CZ"/>
              </w:rPr>
              <w:t>agranulocytózy),</w:t>
            </w:r>
          </w:p>
          <w:p w14:paraId="73E781D3" w14:textId="77777777" w:rsidR="00F24C86" w:rsidRPr="001B4A02" w:rsidRDefault="00000000" w:rsidP="0012179D">
            <w:pPr>
              <w:pStyle w:val="EMEANormal"/>
              <w:rPr>
                <w:szCs w:val="22"/>
                <w:lang w:val="cs-CZ"/>
              </w:rPr>
            </w:pPr>
            <w:r w:rsidRPr="001B4A02">
              <w:rPr>
                <w:szCs w:val="22"/>
                <w:lang w:val="cs-CZ"/>
              </w:rPr>
              <w:t>anémie</w:t>
            </w:r>
          </w:p>
          <w:p w14:paraId="136C63F5" w14:textId="77777777" w:rsidR="00F24C86" w:rsidRPr="001B4A02" w:rsidRDefault="00F24C86" w:rsidP="0012179D">
            <w:pPr>
              <w:pStyle w:val="EMEANormal"/>
              <w:rPr>
                <w:szCs w:val="22"/>
                <w:lang w:val="cs-CZ"/>
              </w:rPr>
            </w:pPr>
          </w:p>
        </w:tc>
      </w:tr>
      <w:tr w:rsidR="00534A2D" w14:paraId="6752C11A" w14:textId="77777777" w:rsidTr="00961CF6">
        <w:trPr>
          <w:cantSplit/>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31987B3"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3577CE32" w14:textId="77777777" w:rsidR="00F24C86"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502E2ADB" w14:textId="77777777" w:rsidR="00F24C86" w:rsidRPr="001B4A02" w:rsidRDefault="00000000" w:rsidP="0012179D">
            <w:pPr>
              <w:pStyle w:val="EMEANormal"/>
              <w:rPr>
                <w:szCs w:val="22"/>
                <w:lang w:val="cs-CZ"/>
              </w:rPr>
            </w:pPr>
            <w:r w:rsidRPr="001B4A02">
              <w:rPr>
                <w:szCs w:val="22"/>
                <w:lang w:val="cs-CZ"/>
              </w:rPr>
              <w:t>Leukocytóza,</w:t>
            </w:r>
          </w:p>
          <w:p w14:paraId="162EF378" w14:textId="77777777" w:rsidR="00F24C86" w:rsidRPr="001B4A02" w:rsidRDefault="00000000" w:rsidP="0012179D">
            <w:pPr>
              <w:pStyle w:val="EMEANormal"/>
              <w:rPr>
                <w:szCs w:val="22"/>
                <w:lang w:val="cs-CZ"/>
              </w:rPr>
            </w:pPr>
            <w:r w:rsidRPr="001B4A02">
              <w:rPr>
                <w:szCs w:val="22"/>
                <w:lang w:val="cs-CZ"/>
              </w:rPr>
              <w:t>trombocytopenie</w:t>
            </w:r>
          </w:p>
          <w:p w14:paraId="223F0941" w14:textId="77777777" w:rsidR="00F24C86" w:rsidRPr="001B4A02" w:rsidRDefault="00F24C86" w:rsidP="0012179D">
            <w:pPr>
              <w:pStyle w:val="EMEANormal"/>
              <w:rPr>
                <w:szCs w:val="22"/>
                <w:lang w:val="cs-CZ"/>
              </w:rPr>
            </w:pPr>
          </w:p>
        </w:tc>
      </w:tr>
      <w:tr w:rsidR="00534A2D" w14:paraId="7001D78B" w14:textId="77777777" w:rsidTr="00961CF6">
        <w:trPr>
          <w:cantSplit/>
          <w:trHeight w:val="8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CC6EF04"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6CC4DDD" w14:textId="77777777" w:rsidR="00F24C86" w:rsidRPr="001B4A02" w:rsidRDefault="00000000" w:rsidP="0012179D">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06D3CFDC" w14:textId="77777777" w:rsidR="00F24C86" w:rsidRPr="001B4A02" w:rsidRDefault="00000000" w:rsidP="0012179D">
            <w:pPr>
              <w:pStyle w:val="EMEANormal"/>
              <w:rPr>
                <w:szCs w:val="22"/>
                <w:lang w:val="cs-CZ"/>
              </w:rPr>
            </w:pPr>
            <w:r w:rsidRPr="001B4A02">
              <w:rPr>
                <w:szCs w:val="22"/>
                <w:lang w:val="cs-CZ"/>
              </w:rPr>
              <w:t>Idiopatická trombocytopenická purpura</w:t>
            </w:r>
          </w:p>
          <w:p w14:paraId="06D9E3B9" w14:textId="77777777" w:rsidR="00F24C86" w:rsidRPr="001B4A02" w:rsidRDefault="00F24C86" w:rsidP="0012179D">
            <w:pPr>
              <w:pStyle w:val="EMEANormal"/>
              <w:rPr>
                <w:szCs w:val="22"/>
                <w:lang w:val="cs-CZ"/>
              </w:rPr>
            </w:pPr>
          </w:p>
        </w:tc>
      </w:tr>
      <w:tr w:rsidR="00534A2D" w14:paraId="518BEB2C" w14:textId="77777777" w:rsidTr="00961CF6">
        <w:trPr>
          <w:cantSplit/>
          <w:trHeight w:val="8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1B6D733"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E6A81FD" w14:textId="77777777" w:rsidR="00F24C86" w:rsidRPr="001B4A02" w:rsidRDefault="00000000" w:rsidP="0012179D">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4709A52B" w14:textId="77777777" w:rsidR="00F24C86" w:rsidRPr="001B4A02" w:rsidRDefault="00000000" w:rsidP="0012179D">
            <w:pPr>
              <w:pStyle w:val="EMEANormal"/>
              <w:rPr>
                <w:szCs w:val="22"/>
                <w:lang w:val="cs-CZ"/>
              </w:rPr>
            </w:pPr>
            <w:r w:rsidRPr="001B4A02">
              <w:rPr>
                <w:szCs w:val="22"/>
                <w:lang w:val="cs-CZ"/>
              </w:rPr>
              <w:t>Pancytopenie</w:t>
            </w:r>
          </w:p>
          <w:p w14:paraId="58124FCA" w14:textId="77777777" w:rsidR="00F24C86" w:rsidRPr="001B4A02" w:rsidRDefault="00F24C86" w:rsidP="0012179D">
            <w:pPr>
              <w:pStyle w:val="EMEANormal"/>
              <w:rPr>
                <w:szCs w:val="22"/>
                <w:lang w:val="cs-CZ"/>
              </w:rPr>
            </w:pPr>
          </w:p>
        </w:tc>
      </w:tr>
      <w:tr w:rsidR="00534A2D" w14:paraId="6FC2DD8A" w14:textId="77777777" w:rsidTr="00961CF6">
        <w:trPr>
          <w:cantSplit/>
          <w:trHeight w:val="260"/>
          <w:jc w:val="center"/>
        </w:trPr>
        <w:tc>
          <w:tcPr>
            <w:tcW w:w="2880" w:type="dxa"/>
            <w:vMerge w:val="restart"/>
            <w:tcBorders>
              <w:top w:val="single" w:sz="4" w:space="0" w:color="auto"/>
              <w:left w:val="single" w:sz="4" w:space="0" w:color="auto"/>
              <w:right w:val="single" w:sz="4" w:space="0" w:color="auto"/>
            </w:tcBorders>
          </w:tcPr>
          <w:p w14:paraId="7FC9DB4F" w14:textId="77777777" w:rsidR="00F24C86" w:rsidRPr="001B4A02" w:rsidRDefault="00000000" w:rsidP="0012179D">
            <w:pPr>
              <w:tabs>
                <w:tab w:val="left" w:pos="0"/>
              </w:tabs>
              <w:ind w:left="0" w:firstLine="0"/>
              <w:rPr>
                <w:szCs w:val="22"/>
              </w:rPr>
            </w:pPr>
            <w:r w:rsidRPr="001B4A02">
              <w:rPr>
                <w:szCs w:val="22"/>
              </w:rPr>
              <w:t>Poruchy imunitního systému*</w:t>
            </w:r>
          </w:p>
        </w:tc>
        <w:tc>
          <w:tcPr>
            <w:tcW w:w="1440" w:type="dxa"/>
            <w:tcBorders>
              <w:top w:val="single" w:sz="4" w:space="0" w:color="auto"/>
              <w:left w:val="single" w:sz="4" w:space="0" w:color="auto"/>
              <w:bottom w:val="single" w:sz="4" w:space="0" w:color="auto"/>
              <w:right w:val="single" w:sz="4" w:space="0" w:color="auto"/>
            </w:tcBorders>
          </w:tcPr>
          <w:p w14:paraId="7DEF6E37" w14:textId="77777777" w:rsidR="00F24C86"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65643262" w14:textId="77777777" w:rsidR="00F24C86" w:rsidRPr="001B4A02" w:rsidRDefault="00000000" w:rsidP="0012179D">
            <w:pPr>
              <w:pStyle w:val="EMEANormal"/>
              <w:rPr>
                <w:szCs w:val="22"/>
                <w:lang w:val="cs-CZ"/>
              </w:rPr>
            </w:pPr>
            <w:r w:rsidRPr="001B4A02">
              <w:rPr>
                <w:szCs w:val="22"/>
                <w:lang w:val="cs-CZ"/>
              </w:rPr>
              <w:t>Hypersenzitivita,</w:t>
            </w:r>
          </w:p>
          <w:p w14:paraId="4FEDC3ED" w14:textId="77777777" w:rsidR="00F24C86" w:rsidRPr="001B4A02" w:rsidRDefault="00000000" w:rsidP="0012179D">
            <w:pPr>
              <w:pStyle w:val="EMEANormal"/>
              <w:rPr>
                <w:szCs w:val="22"/>
                <w:lang w:val="cs-CZ"/>
              </w:rPr>
            </w:pPr>
            <w:r w:rsidRPr="001B4A02">
              <w:rPr>
                <w:szCs w:val="22"/>
                <w:lang w:val="cs-CZ"/>
              </w:rPr>
              <w:t>alergie (včetně sezónní alergie)</w:t>
            </w:r>
          </w:p>
          <w:p w14:paraId="6F822B45" w14:textId="77777777" w:rsidR="00F24C86" w:rsidRPr="001B4A02" w:rsidRDefault="00F24C86" w:rsidP="0012179D">
            <w:pPr>
              <w:pStyle w:val="EMEANormal"/>
              <w:rPr>
                <w:szCs w:val="22"/>
                <w:lang w:val="cs-CZ"/>
              </w:rPr>
            </w:pPr>
          </w:p>
        </w:tc>
      </w:tr>
      <w:tr w:rsidR="00534A2D" w14:paraId="1FB58755" w14:textId="77777777" w:rsidTr="00961CF6">
        <w:trPr>
          <w:cantSplit/>
          <w:trHeight w:val="260"/>
          <w:jc w:val="center"/>
        </w:trPr>
        <w:tc>
          <w:tcPr>
            <w:tcW w:w="2880" w:type="dxa"/>
            <w:vMerge/>
            <w:tcBorders>
              <w:left w:val="single" w:sz="4" w:space="0" w:color="auto"/>
              <w:right w:val="single" w:sz="4" w:space="0" w:color="auto"/>
            </w:tcBorders>
          </w:tcPr>
          <w:p w14:paraId="21B9F17E" w14:textId="77777777" w:rsidR="00F24C86" w:rsidRPr="001B4A02" w:rsidRDefault="00F24C86" w:rsidP="0012179D">
            <w:pPr>
              <w:tabs>
                <w:tab w:val="left" w:pos="0"/>
              </w:tabs>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75723A13" w14:textId="77777777" w:rsidR="00F24C86" w:rsidRPr="001B4A02" w:rsidRDefault="00000000" w:rsidP="0012179D">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3A2AD9CC" w14:textId="77777777" w:rsidR="00F24C86" w:rsidRDefault="00000000" w:rsidP="0012179D">
            <w:pPr>
              <w:pStyle w:val="EMEANormal"/>
              <w:rPr>
                <w:szCs w:val="22"/>
                <w:lang w:val="cs-CZ"/>
              </w:rPr>
            </w:pPr>
            <w:r w:rsidRPr="001B4A02">
              <w:rPr>
                <w:szCs w:val="22"/>
                <w:lang w:val="cs-CZ"/>
              </w:rPr>
              <w:t>Sarkoidóza</w:t>
            </w:r>
            <w:r w:rsidRPr="001B4A02">
              <w:rPr>
                <w:szCs w:val="22"/>
                <w:vertAlign w:val="superscript"/>
                <w:lang w:val="cs-CZ"/>
              </w:rPr>
              <w:t>1)</w:t>
            </w:r>
            <w:r w:rsidRPr="001B4A02">
              <w:rPr>
                <w:szCs w:val="22"/>
                <w:lang w:val="cs-CZ"/>
              </w:rPr>
              <w:t>, vaskulitida</w:t>
            </w:r>
          </w:p>
          <w:p w14:paraId="18F23A5B" w14:textId="77777777" w:rsidR="00A20953" w:rsidRPr="001B4A02" w:rsidRDefault="00A20953" w:rsidP="0012179D">
            <w:pPr>
              <w:pStyle w:val="EMEANormal"/>
              <w:rPr>
                <w:szCs w:val="22"/>
                <w:lang w:val="cs-CZ"/>
              </w:rPr>
            </w:pPr>
          </w:p>
        </w:tc>
      </w:tr>
      <w:tr w:rsidR="00534A2D" w14:paraId="035DC263" w14:textId="77777777" w:rsidTr="00961CF6">
        <w:trPr>
          <w:cantSplit/>
          <w:trHeight w:val="260"/>
          <w:jc w:val="center"/>
        </w:trPr>
        <w:tc>
          <w:tcPr>
            <w:tcW w:w="2880" w:type="dxa"/>
            <w:vMerge/>
            <w:tcBorders>
              <w:left w:val="single" w:sz="4" w:space="0" w:color="auto"/>
              <w:bottom w:val="single" w:sz="4" w:space="0" w:color="auto"/>
              <w:right w:val="single" w:sz="4" w:space="0" w:color="auto"/>
            </w:tcBorders>
          </w:tcPr>
          <w:p w14:paraId="12158C4B" w14:textId="77777777" w:rsidR="00F24C86" w:rsidRPr="001B4A02" w:rsidRDefault="00F24C86" w:rsidP="0012179D">
            <w:pPr>
              <w:tabs>
                <w:tab w:val="left" w:pos="0"/>
              </w:tabs>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5FB3C680" w14:textId="77777777" w:rsidR="00F24C86" w:rsidRPr="001B4A02" w:rsidRDefault="00000000" w:rsidP="00A20953">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0ED3119E" w14:textId="77777777" w:rsidR="00F24C86" w:rsidRDefault="00000000" w:rsidP="0012179D">
            <w:pPr>
              <w:pStyle w:val="EMEANormal"/>
              <w:rPr>
                <w:szCs w:val="22"/>
                <w:lang w:val="cs-CZ"/>
              </w:rPr>
            </w:pPr>
            <w:r w:rsidRPr="001B4A02">
              <w:rPr>
                <w:szCs w:val="22"/>
                <w:lang w:val="cs-CZ"/>
              </w:rPr>
              <w:t>anafylaxe</w:t>
            </w:r>
            <w:r w:rsidRPr="001B4A02">
              <w:rPr>
                <w:szCs w:val="22"/>
                <w:vertAlign w:val="superscript"/>
                <w:lang w:val="cs-CZ"/>
              </w:rPr>
              <w:t>1)</w:t>
            </w:r>
          </w:p>
          <w:p w14:paraId="52578A34" w14:textId="77777777" w:rsidR="00A20953" w:rsidRPr="00A20953" w:rsidRDefault="00A20953" w:rsidP="0012179D">
            <w:pPr>
              <w:pStyle w:val="EMEANormal"/>
              <w:rPr>
                <w:szCs w:val="22"/>
                <w:lang w:val="cs-CZ"/>
              </w:rPr>
            </w:pPr>
          </w:p>
        </w:tc>
      </w:tr>
      <w:tr w:rsidR="00534A2D" w14:paraId="000D1BA2" w14:textId="77777777" w:rsidTr="00961CF6">
        <w:trPr>
          <w:cantSplit/>
          <w:trHeight w:val="20"/>
          <w:jc w:val="center"/>
        </w:trPr>
        <w:tc>
          <w:tcPr>
            <w:tcW w:w="2880" w:type="dxa"/>
            <w:vMerge w:val="restart"/>
            <w:tcBorders>
              <w:top w:val="single" w:sz="4" w:space="0" w:color="auto"/>
              <w:left w:val="single" w:sz="4" w:space="0" w:color="auto"/>
              <w:bottom w:val="single" w:sz="4" w:space="0" w:color="auto"/>
              <w:right w:val="single" w:sz="4" w:space="0" w:color="auto"/>
            </w:tcBorders>
          </w:tcPr>
          <w:p w14:paraId="3EF70D1B" w14:textId="77777777" w:rsidR="00F24C86" w:rsidRPr="001B4A02" w:rsidRDefault="00000000" w:rsidP="0012179D">
            <w:pPr>
              <w:pStyle w:val="EMEANormal"/>
              <w:tabs>
                <w:tab w:val="left" w:pos="0"/>
              </w:tabs>
              <w:rPr>
                <w:szCs w:val="22"/>
                <w:lang w:val="cs-CZ"/>
              </w:rPr>
            </w:pPr>
            <w:r w:rsidRPr="001B4A02">
              <w:rPr>
                <w:szCs w:val="22"/>
                <w:lang w:val="cs-CZ"/>
              </w:rPr>
              <w:t>Poruchy metabolismu</w:t>
            </w:r>
            <w:r w:rsidR="002378E0">
              <w:rPr>
                <w:szCs w:val="22"/>
                <w:lang w:val="cs-CZ"/>
              </w:rPr>
              <w:t xml:space="preserve"> a </w:t>
            </w:r>
            <w:r w:rsidRPr="001B4A02">
              <w:rPr>
                <w:szCs w:val="22"/>
                <w:lang w:val="cs-CZ"/>
              </w:rPr>
              <w:t>výživy</w:t>
            </w:r>
          </w:p>
        </w:tc>
        <w:tc>
          <w:tcPr>
            <w:tcW w:w="1440" w:type="dxa"/>
            <w:tcBorders>
              <w:top w:val="single" w:sz="4" w:space="0" w:color="auto"/>
              <w:left w:val="single" w:sz="4" w:space="0" w:color="auto"/>
              <w:bottom w:val="single" w:sz="4" w:space="0" w:color="auto"/>
              <w:right w:val="single" w:sz="4" w:space="0" w:color="auto"/>
            </w:tcBorders>
          </w:tcPr>
          <w:p w14:paraId="26BEA70B" w14:textId="77777777" w:rsidR="00F24C86" w:rsidRPr="001B4A02" w:rsidRDefault="00000000" w:rsidP="0012179D">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7B1B097D" w14:textId="77777777" w:rsidR="00F24C86" w:rsidRPr="001B4A02" w:rsidRDefault="00000000" w:rsidP="0012179D">
            <w:pPr>
              <w:pStyle w:val="EMEANormal"/>
              <w:rPr>
                <w:szCs w:val="22"/>
                <w:lang w:val="cs-CZ"/>
              </w:rPr>
            </w:pPr>
            <w:r w:rsidRPr="001B4A02">
              <w:rPr>
                <w:szCs w:val="22"/>
                <w:lang w:val="cs-CZ"/>
              </w:rPr>
              <w:t>Zvýšení lipidů</w:t>
            </w:r>
          </w:p>
          <w:p w14:paraId="5747FEF7" w14:textId="77777777" w:rsidR="00F24C86" w:rsidRPr="001B4A02" w:rsidRDefault="00F24C86" w:rsidP="0012179D">
            <w:pPr>
              <w:pStyle w:val="EMEANormal"/>
              <w:rPr>
                <w:szCs w:val="22"/>
                <w:lang w:val="cs-CZ"/>
              </w:rPr>
            </w:pPr>
          </w:p>
        </w:tc>
      </w:tr>
      <w:tr w:rsidR="00534A2D" w14:paraId="41F02F3F" w14:textId="77777777" w:rsidTr="00961CF6">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1E9B76C" w14:textId="77777777" w:rsidR="006855DE" w:rsidRPr="001B4A02" w:rsidRDefault="006855DE"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4E2E6C19" w14:textId="77777777" w:rsidR="006855DE"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65F5D59D" w14:textId="77777777" w:rsidR="006855DE" w:rsidRPr="001B4A02" w:rsidRDefault="00000000" w:rsidP="0012179D">
            <w:pPr>
              <w:pStyle w:val="EMEANormal"/>
              <w:rPr>
                <w:szCs w:val="22"/>
                <w:lang w:val="cs-CZ"/>
              </w:rPr>
            </w:pPr>
            <w:r w:rsidRPr="006E7ECF">
              <w:rPr>
                <w:szCs w:val="22"/>
                <w:lang w:val="cs-CZ"/>
              </w:rPr>
              <w:t>Hypokalemie</w:t>
            </w:r>
            <w:r w:rsidRPr="001B4A02">
              <w:rPr>
                <w:szCs w:val="22"/>
                <w:lang w:val="cs-CZ"/>
              </w:rPr>
              <w:t>,</w:t>
            </w:r>
          </w:p>
          <w:p w14:paraId="2310CA31" w14:textId="77777777" w:rsidR="006855DE" w:rsidRPr="001B4A02" w:rsidRDefault="00000000" w:rsidP="0012179D">
            <w:pPr>
              <w:pStyle w:val="EMEANormal"/>
              <w:rPr>
                <w:szCs w:val="22"/>
                <w:lang w:val="cs-CZ"/>
              </w:rPr>
            </w:pPr>
            <w:r w:rsidRPr="001B4A02">
              <w:rPr>
                <w:szCs w:val="22"/>
                <w:lang w:val="cs-CZ"/>
              </w:rPr>
              <w:t>zvýšení kyseliny močové,</w:t>
            </w:r>
          </w:p>
          <w:p w14:paraId="562991B1" w14:textId="77777777" w:rsidR="006855DE" w:rsidRPr="001B4A02" w:rsidRDefault="00000000" w:rsidP="0012179D">
            <w:pPr>
              <w:pStyle w:val="EMEANormal"/>
              <w:rPr>
                <w:szCs w:val="22"/>
                <w:lang w:val="cs-CZ"/>
              </w:rPr>
            </w:pPr>
            <w:r w:rsidRPr="001B4A02">
              <w:rPr>
                <w:szCs w:val="22"/>
                <w:lang w:val="cs-CZ"/>
              </w:rPr>
              <w:t>abnormální hladina sodíku v krvi,</w:t>
            </w:r>
          </w:p>
          <w:p w14:paraId="13C70F9E" w14:textId="77777777" w:rsidR="006855DE" w:rsidRPr="006E7ECF" w:rsidRDefault="00000000" w:rsidP="0012179D">
            <w:pPr>
              <w:pStyle w:val="EMEANormal"/>
              <w:rPr>
                <w:szCs w:val="22"/>
                <w:lang w:val="cs-CZ"/>
              </w:rPr>
            </w:pPr>
            <w:r w:rsidRPr="006E7ECF">
              <w:rPr>
                <w:szCs w:val="22"/>
                <w:lang w:val="cs-CZ"/>
              </w:rPr>
              <w:t>hypokalcemie,</w:t>
            </w:r>
          </w:p>
          <w:p w14:paraId="56AECB7B" w14:textId="77777777" w:rsidR="006855DE" w:rsidRPr="006E7ECF" w:rsidRDefault="00000000" w:rsidP="0012179D">
            <w:pPr>
              <w:pStyle w:val="EMEANormal"/>
              <w:rPr>
                <w:szCs w:val="22"/>
                <w:lang w:val="cs-CZ"/>
              </w:rPr>
            </w:pPr>
            <w:r w:rsidRPr="006E7ECF">
              <w:rPr>
                <w:szCs w:val="22"/>
                <w:lang w:val="cs-CZ"/>
              </w:rPr>
              <w:t>hyperglykemie,</w:t>
            </w:r>
          </w:p>
          <w:p w14:paraId="0AC11889" w14:textId="77777777" w:rsidR="006855DE" w:rsidRPr="001B4A02" w:rsidRDefault="00000000" w:rsidP="0012179D">
            <w:pPr>
              <w:pStyle w:val="EMEANormal"/>
              <w:rPr>
                <w:szCs w:val="22"/>
                <w:lang w:val="cs-CZ"/>
              </w:rPr>
            </w:pPr>
            <w:r w:rsidRPr="006E7ECF">
              <w:rPr>
                <w:szCs w:val="22"/>
                <w:lang w:val="cs-CZ"/>
              </w:rPr>
              <w:t>hypofosfatemie</w:t>
            </w:r>
            <w:r w:rsidRPr="001B4A02">
              <w:rPr>
                <w:szCs w:val="22"/>
                <w:lang w:val="cs-CZ"/>
              </w:rPr>
              <w:t>,</w:t>
            </w:r>
          </w:p>
          <w:p w14:paraId="2CD6F3FF" w14:textId="77777777" w:rsidR="006855DE" w:rsidRDefault="00000000" w:rsidP="0012179D">
            <w:pPr>
              <w:pStyle w:val="EMEANormal"/>
              <w:rPr>
                <w:szCs w:val="22"/>
                <w:lang w:val="cs-CZ"/>
              </w:rPr>
            </w:pPr>
            <w:r w:rsidRPr="001B4A02">
              <w:rPr>
                <w:szCs w:val="22"/>
                <w:lang w:val="cs-CZ"/>
              </w:rPr>
              <w:t>dehydratace</w:t>
            </w:r>
          </w:p>
          <w:p w14:paraId="4D5B4844" w14:textId="77777777" w:rsidR="00701677" w:rsidRPr="001B4A02" w:rsidRDefault="00701677" w:rsidP="0012179D">
            <w:pPr>
              <w:pStyle w:val="EMEANormal"/>
              <w:rPr>
                <w:szCs w:val="22"/>
                <w:lang w:val="cs-CZ"/>
              </w:rPr>
            </w:pPr>
          </w:p>
        </w:tc>
      </w:tr>
      <w:tr w:rsidR="00534A2D" w14:paraId="01BF53CF" w14:textId="77777777" w:rsidTr="00336B48">
        <w:trPr>
          <w:cantSplit/>
          <w:trHeight w:val="782"/>
          <w:jc w:val="center"/>
        </w:trPr>
        <w:tc>
          <w:tcPr>
            <w:tcW w:w="2880" w:type="dxa"/>
            <w:tcBorders>
              <w:top w:val="single" w:sz="4" w:space="0" w:color="auto"/>
              <w:left w:val="single" w:sz="4" w:space="0" w:color="auto"/>
              <w:bottom w:val="single" w:sz="4" w:space="0" w:color="auto"/>
              <w:right w:val="single" w:sz="4" w:space="0" w:color="auto"/>
            </w:tcBorders>
          </w:tcPr>
          <w:p w14:paraId="365155DC" w14:textId="77777777" w:rsidR="00F24C86" w:rsidRPr="001B4A02" w:rsidRDefault="00000000" w:rsidP="0012179D">
            <w:pPr>
              <w:pStyle w:val="EMEANormal"/>
              <w:tabs>
                <w:tab w:val="left" w:pos="0"/>
              </w:tabs>
              <w:rPr>
                <w:szCs w:val="22"/>
                <w:lang w:val="cs-CZ"/>
              </w:rPr>
            </w:pPr>
            <w:r w:rsidRPr="001B4A02">
              <w:rPr>
                <w:szCs w:val="22"/>
                <w:lang w:val="cs-CZ"/>
              </w:rPr>
              <w:t>Psychiatrické poruchy</w:t>
            </w:r>
          </w:p>
        </w:tc>
        <w:tc>
          <w:tcPr>
            <w:tcW w:w="1440" w:type="dxa"/>
            <w:tcBorders>
              <w:top w:val="single" w:sz="4" w:space="0" w:color="auto"/>
              <w:left w:val="single" w:sz="4" w:space="0" w:color="auto"/>
              <w:bottom w:val="single" w:sz="4" w:space="0" w:color="auto"/>
              <w:right w:val="single" w:sz="4" w:space="0" w:color="auto"/>
            </w:tcBorders>
          </w:tcPr>
          <w:p w14:paraId="6957A7D2" w14:textId="77777777" w:rsidR="00F24C86"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62CE0764" w14:textId="77777777" w:rsidR="00F24C86" w:rsidRPr="001B4A02" w:rsidRDefault="00000000" w:rsidP="0012179D">
            <w:pPr>
              <w:pStyle w:val="EMEANormal"/>
              <w:rPr>
                <w:szCs w:val="22"/>
                <w:lang w:val="cs-CZ"/>
              </w:rPr>
            </w:pPr>
            <w:r w:rsidRPr="001B4A02">
              <w:rPr>
                <w:szCs w:val="22"/>
                <w:lang w:val="cs-CZ"/>
              </w:rPr>
              <w:t>Alterace nálady (včetně deprese),</w:t>
            </w:r>
          </w:p>
          <w:p w14:paraId="14FE7AF2" w14:textId="77777777" w:rsidR="00F24C86" w:rsidRPr="001B4A02" w:rsidRDefault="00000000" w:rsidP="0012179D">
            <w:pPr>
              <w:pStyle w:val="EMEANormal"/>
              <w:rPr>
                <w:szCs w:val="22"/>
                <w:lang w:val="cs-CZ"/>
              </w:rPr>
            </w:pPr>
            <w:r w:rsidRPr="001B4A02">
              <w:rPr>
                <w:szCs w:val="22"/>
                <w:lang w:val="cs-CZ"/>
              </w:rPr>
              <w:t>úzkost, nespavost</w:t>
            </w:r>
          </w:p>
        </w:tc>
      </w:tr>
      <w:tr w:rsidR="00534A2D" w14:paraId="4947A703" w14:textId="77777777" w:rsidTr="00E501B6">
        <w:trPr>
          <w:cantSplit/>
          <w:trHeight w:val="127"/>
          <w:jc w:val="center"/>
        </w:trPr>
        <w:tc>
          <w:tcPr>
            <w:tcW w:w="2880" w:type="dxa"/>
            <w:vMerge w:val="restart"/>
            <w:tcBorders>
              <w:top w:val="single" w:sz="4" w:space="0" w:color="auto"/>
              <w:left w:val="single" w:sz="4" w:space="0" w:color="auto"/>
              <w:bottom w:val="single" w:sz="4" w:space="0" w:color="auto"/>
              <w:right w:val="single" w:sz="4" w:space="0" w:color="auto"/>
            </w:tcBorders>
          </w:tcPr>
          <w:p w14:paraId="23FEE107" w14:textId="77777777" w:rsidR="00F24C86" w:rsidRPr="001B4A02" w:rsidRDefault="00000000" w:rsidP="0012179D">
            <w:pPr>
              <w:pStyle w:val="EMEANormal"/>
              <w:tabs>
                <w:tab w:val="left" w:pos="0"/>
              </w:tabs>
              <w:rPr>
                <w:szCs w:val="22"/>
                <w:lang w:val="cs-CZ"/>
              </w:rPr>
            </w:pPr>
            <w:r w:rsidRPr="001B4A02">
              <w:rPr>
                <w:szCs w:val="22"/>
                <w:lang w:val="cs-CZ"/>
              </w:rPr>
              <w:t>Poruchy nervového systému*</w:t>
            </w:r>
          </w:p>
        </w:tc>
        <w:tc>
          <w:tcPr>
            <w:tcW w:w="1440" w:type="dxa"/>
            <w:tcBorders>
              <w:top w:val="single" w:sz="4" w:space="0" w:color="auto"/>
              <w:left w:val="single" w:sz="4" w:space="0" w:color="auto"/>
              <w:bottom w:val="single" w:sz="4" w:space="0" w:color="auto"/>
              <w:right w:val="single" w:sz="4" w:space="0" w:color="auto"/>
            </w:tcBorders>
          </w:tcPr>
          <w:p w14:paraId="040B7F33" w14:textId="77777777" w:rsidR="00F24C86" w:rsidRPr="001B4A02" w:rsidRDefault="00000000" w:rsidP="0012179D">
            <w:pPr>
              <w:pStyle w:val="EMEANormal"/>
              <w:ind w:left="112" w:hanging="112"/>
              <w:jc w:val="both"/>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481B6DBE" w14:textId="77777777" w:rsidR="00F24C86" w:rsidRPr="001B4A02" w:rsidRDefault="00000000" w:rsidP="0012179D">
            <w:pPr>
              <w:pStyle w:val="EMEANormal"/>
              <w:rPr>
                <w:szCs w:val="22"/>
                <w:lang w:val="cs-CZ"/>
              </w:rPr>
            </w:pPr>
            <w:r w:rsidRPr="001B4A02">
              <w:rPr>
                <w:szCs w:val="22"/>
                <w:lang w:val="cs-CZ"/>
              </w:rPr>
              <w:t>Bolest hlavy</w:t>
            </w:r>
          </w:p>
          <w:p w14:paraId="5F4DDDED" w14:textId="77777777" w:rsidR="00F24C86" w:rsidRPr="001B4A02" w:rsidRDefault="00F24C86" w:rsidP="0012179D">
            <w:pPr>
              <w:pStyle w:val="EMEANormal"/>
              <w:rPr>
                <w:szCs w:val="22"/>
                <w:lang w:val="cs-CZ"/>
              </w:rPr>
            </w:pPr>
          </w:p>
        </w:tc>
      </w:tr>
      <w:tr w:rsidR="00534A2D" w14:paraId="2FB0EC39" w14:textId="77777777" w:rsidTr="00E501B6">
        <w:trPr>
          <w:cantSplit/>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DEF6BB"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70AC3933" w14:textId="77777777" w:rsidR="00F24C86" w:rsidRPr="001B4A02" w:rsidRDefault="00000000" w:rsidP="0012179D">
            <w:pPr>
              <w:pStyle w:val="EMEANormal"/>
              <w:ind w:left="112" w:hanging="112"/>
              <w:jc w:val="both"/>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1A1B4E7E" w14:textId="77777777" w:rsidR="00F24C86" w:rsidRPr="001B4A02" w:rsidRDefault="00000000" w:rsidP="0012179D">
            <w:pPr>
              <w:pStyle w:val="EMEANormal"/>
              <w:rPr>
                <w:szCs w:val="22"/>
                <w:lang w:val="cs-CZ"/>
              </w:rPr>
            </w:pPr>
            <w:r w:rsidRPr="001B4A02">
              <w:rPr>
                <w:szCs w:val="22"/>
                <w:lang w:val="cs-CZ"/>
              </w:rPr>
              <w:t xml:space="preserve">Parestezie (včetně </w:t>
            </w:r>
            <w:r w:rsidRPr="006E7ECF">
              <w:rPr>
                <w:szCs w:val="22"/>
                <w:lang w:val="cs-CZ"/>
              </w:rPr>
              <w:t>hypest</w:t>
            </w:r>
            <w:r w:rsidR="00185EA8" w:rsidRPr="006E7ECF">
              <w:rPr>
                <w:szCs w:val="22"/>
                <w:lang w:val="cs-CZ"/>
              </w:rPr>
              <w:t>e</w:t>
            </w:r>
            <w:r w:rsidRPr="006E7ECF">
              <w:rPr>
                <w:szCs w:val="22"/>
                <w:lang w:val="cs-CZ"/>
              </w:rPr>
              <w:t>zie</w:t>
            </w:r>
            <w:r w:rsidRPr="001B4A02">
              <w:rPr>
                <w:szCs w:val="22"/>
                <w:lang w:val="cs-CZ"/>
              </w:rPr>
              <w:t>),</w:t>
            </w:r>
          </w:p>
          <w:p w14:paraId="249F0015" w14:textId="77777777" w:rsidR="00F24C86" w:rsidRPr="001B4A02" w:rsidRDefault="00000000" w:rsidP="0012179D">
            <w:pPr>
              <w:pStyle w:val="EMEANormal"/>
              <w:rPr>
                <w:szCs w:val="22"/>
                <w:lang w:val="cs-CZ"/>
              </w:rPr>
            </w:pPr>
            <w:r w:rsidRPr="001B4A02">
              <w:rPr>
                <w:szCs w:val="22"/>
                <w:lang w:val="cs-CZ"/>
              </w:rPr>
              <w:t>migréna,</w:t>
            </w:r>
          </w:p>
          <w:p w14:paraId="02D2E3F9" w14:textId="77777777" w:rsidR="00F24C86" w:rsidRPr="001B4A02" w:rsidRDefault="00000000" w:rsidP="0012179D">
            <w:pPr>
              <w:pStyle w:val="EMEANormal"/>
              <w:rPr>
                <w:szCs w:val="22"/>
                <w:lang w:val="cs-CZ"/>
              </w:rPr>
            </w:pPr>
            <w:r w:rsidRPr="001B4A02">
              <w:rPr>
                <w:szCs w:val="22"/>
                <w:lang w:val="cs-CZ"/>
              </w:rPr>
              <w:t>útlak nervových kořenů</w:t>
            </w:r>
          </w:p>
          <w:p w14:paraId="6F807FBA" w14:textId="77777777" w:rsidR="00F24C86" w:rsidRPr="001B4A02" w:rsidRDefault="00F24C86" w:rsidP="0012179D">
            <w:pPr>
              <w:pStyle w:val="EMEANormal"/>
              <w:rPr>
                <w:szCs w:val="22"/>
                <w:lang w:val="cs-CZ"/>
              </w:rPr>
            </w:pPr>
          </w:p>
        </w:tc>
      </w:tr>
      <w:tr w:rsidR="00534A2D" w14:paraId="2C663326" w14:textId="77777777" w:rsidTr="00E501B6">
        <w:trPr>
          <w:cantSplit/>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163159C"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4140BF6A" w14:textId="77777777" w:rsidR="00F24C86" w:rsidRPr="001B4A02" w:rsidRDefault="00000000" w:rsidP="00E501B6">
            <w:pPr>
              <w:pStyle w:val="EMEANormal"/>
              <w:ind w:left="113" w:hanging="113"/>
              <w:jc w:val="both"/>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6BFC12C2" w14:textId="77777777" w:rsidR="00F24C86" w:rsidRPr="001B4A02" w:rsidRDefault="00000000" w:rsidP="0012179D">
            <w:pPr>
              <w:pStyle w:val="EMEANormal"/>
              <w:rPr>
                <w:szCs w:val="22"/>
                <w:lang w:val="cs-CZ"/>
              </w:rPr>
            </w:pPr>
            <w:r w:rsidRPr="001B4A02">
              <w:rPr>
                <w:szCs w:val="22"/>
                <w:lang w:val="cs-CZ"/>
              </w:rPr>
              <w:t>Cévní mozková příhoda</w:t>
            </w:r>
            <w:r w:rsidRPr="001B4A02">
              <w:rPr>
                <w:szCs w:val="22"/>
                <w:vertAlign w:val="superscript"/>
                <w:lang w:val="cs-CZ"/>
              </w:rPr>
              <w:t>1)</w:t>
            </w:r>
            <w:r w:rsidRPr="001B4A02">
              <w:rPr>
                <w:szCs w:val="22"/>
                <w:lang w:val="cs-CZ"/>
              </w:rPr>
              <w:t>,</w:t>
            </w:r>
          </w:p>
          <w:p w14:paraId="406880BB" w14:textId="77777777" w:rsidR="00F24C86" w:rsidRPr="001B4A02" w:rsidRDefault="00000000" w:rsidP="0012179D">
            <w:pPr>
              <w:pStyle w:val="EMEANormal"/>
              <w:rPr>
                <w:szCs w:val="22"/>
                <w:lang w:val="cs-CZ"/>
              </w:rPr>
            </w:pPr>
            <w:r w:rsidRPr="001B4A02">
              <w:rPr>
                <w:szCs w:val="22"/>
                <w:lang w:val="cs-CZ"/>
              </w:rPr>
              <w:t>třes,</w:t>
            </w:r>
          </w:p>
          <w:p w14:paraId="041F6146" w14:textId="77777777" w:rsidR="00F24C86" w:rsidRPr="001B4A02" w:rsidRDefault="00000000" w:rsidP="0012179D">
            <w:pPr>
              <w:pStyle w:val="EMEANormal"/>
              <w:rPr>
                <w:szCs w:val="22"/>
                <w:lang w:val="cs-CZ"/>
              </w:rPr>
            </w:pPr>
            <w:r w:rsidRPr="001B4A02">
              <w:rPr>
                <w:szCs w:val="22"/>
                <w:lang w:val="cs-CZ"/>
              </w:rPr>
              <w:t>neuropatie</w:t>
            </w:r>
          </w:p>
          <w:p w14:paraId="42E37E04" w14:textId="77777777" w:rsidR="00F24C86" w:rsidRPr="001B4A02" w:rsidRDefault="00F24C86" w:rsidP="0012179D">
            <w:pPr>
              <w:pStyle w:val="EMEANormal"/>
              <w:rPr>
                <w:szCs w:val="22"/>
                <w:lang w:val="cs-CZ"/>
              </w:rPr>
            </w:pPr>
          </w:p>
        </w:tc>
      </w:tr>
      <w:tr w:rsidR="00534A2D" w14:paraId="2BAD03E8" w14:textId="77777777" w:rsidTr="00E501B6">
        <w:trPr>
          <w:cantSplit/>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7C50E85"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DCAFCBB" w14:textId="77777777" w:rsidR="00F24C86" w:rsidRPr="001B4A02" w:rsidRDefault="00000000" w:rsidP="0012179D">
            <w:pPr>
              <w:pStyle w:val="EMEANormal"/>
              <w:ind w:left="112" w:hanging="112"/>
              <w:jc w:val="both"/>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3F4E4170" w14:textId="77777777" w:rsidR="00F24C86" w:rsidRPr="001B4A02" w:rsidRDefault="00000000" w:rsidP="0012179D">
            <w:pPr>
              <w:pStyle w:val="EMEANormal"/>
              <w:rPr>
                <w:szCs w:val="22"/>
                <w:lang w:val="cs-CZ"/>
              </w:rPr>
            </w:pPr>
            <w:r w:rsidRPr="001B4A02">
              <w:rPr>
                <w:szCs w:val="22"/>
                <w:lang w:val="cs-CZ"/>
              </w:rPr>
              <w:t>Roztroušená skleróza,</w:t>
            </w:r>
          </w:p>
          <w:p w14:paraId="383145AC" w14:textId="77777777" w:rsidR="00F24C86" w:rsidRPr="001B4A02" w:rsidRDefault="00000000" w:rsidP="0012179D">
            <w:pPr>
              <w:pStyle w:val="EMEANormal"/>
              <w:rPr>
                <w:szCs w:val="22"/>
                <w:lang w:val="cs-CZ"/>
              </w:rPr>
            </w:pPr>
            <w:r w:rsidRPr="001B4A02">
              <w:rPr>
                <w:szCs w:val="22"/>
                <w:lang w:val="cs-CZ"/>
              </w:rPr>
              <w:t>demyelinizační poruchy (např. optická neuritida, Guillain-Barré syndrom)</w:t>
            </w:r>
            <w:r w:rsidRPr="001B4A02">
              <w:rPr>
                <w:szCs w:val="22"/>
                <w:vertAlign w:val="superscript"/>
                <w:lang w:val="cs-CZ"/>
              </w:rPr>
              <w:t>1)</w:t>
            </w:r>
          </w:p>
          <w:p w14:paraId="554AA51C" w14:textId="77777777" w:rsidR="00F24C86" w:rsidRPr="001B4A02" w:rsidRDefault="00F24C86" w:rsidP="0012179D">
            <w:pPr>
              <w:pStyle w:val="EMEANormal"/>
              <w:rPr>
                <w:szCs w:val="22"/>
                <w:lang w:val="cs-CZ"/>
              </w:rPr>
            </w:pPr>
          </w:p>
        </w:tc>
      </w:tr>
      <w:tr w:rsidR="00534A2D" w14:paraId="6FBE00B5" w14:textId="77777777" w:rsidTr="00E501B6">
        <w:trPr>
          <w:cantSplit/>
          <w:trHeight w:val="259"/>
          <w:jc w:val="center"/>
        </w:trPr>
        <w:tc>
          <w:tcPr>
            <w:tcW w:w="2880" w:type="dxa"/>
            <w:vMerge w:val="restart"/>
            <w:tcBorders>
              <w:top w:val="single" w:sz="4" w:space="0" w:color="auto"/>
              <w:left w:val="single" w:sz="4" w:space="0" w:color="auto"/>
              <w:bottom w:val="single" w:sz="4" w:space="0" w:color="auto"/>
              <w:right w:val="single" w:sz="4" w:space="0" w:color="auto"/>
            </w:tcBorders>
          </w:tcPr>
          <w:p w14:paraId="277BA1DE" w14:textId="77777777" w:rsidR="00F24C86" w:rsidRPr="001B4A02" w:rsidRDefault="00000000" w:rsidP="0012179D">
            <w:pPr>
              <w:pStyle w:val="EMEANormal"/>
              <w:tabs>
                <w:tab w:val="left" w:pos="0"/>
              </w:tabs>
              <w:rPr>
                <w:szCs w:val="22"/>
                <w:lang w:val="cs-CZ"/>
              </w:rPr>
            </w:pPr>
            <w:r w:rsidRPr="001B4A02">
              <w:rPr>
                <w:szCs w:val="22"/>
                <w:lang w:val="cs-CZ"/>
              </w:rPr>
              <w:t>Poruchy oka</w:t>
            </w:r>
          </w:p>
        </w:tc>
        <w:tc>
          <w:tcPr>
            <w:tcW w:w="1440" w:type="dxa"/>
            <w:tcBorders>
              <w:top w:val="single" w:sz="4" w:space="0" w:color="auto"/>
              <w:left w:val="single" w:sz="4" w:space="0" w:color="auto"/>
              <w:bottom w:val="single" w:sz="4" w:space="0" w:color="auto"/>
              <w:right w:val="single" w:sz="4" w:space="0" w:color="auto"/>
            </w:tcBorders>
          </w:tcPr>
          <w:p w14:paraId="4CFD792B" w14:textId="77777777" w:rsidR="00F24C86"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331E5750" w14:textId="77777777" w:rsidR="00F24C86" w:rsidRPr="001B4A02" w:rsidRDefault="00000000" w:rsidP="0012179D">
            <w:pPr>
              <w:pStyle w:val="EMEANormal"/>
              <w:rPr>
                <w:szCs w:val="22"/>
                <w:lang w:val="cs-CZ"/>
              </w:rPr>
            </w:pPr>
            <w:r w:rsidRPr="001B4A02">
              <w:rPr>
                <w:szCs w:val="22"/>
                <w:lang w:val="cs-CZ"/>
              </w:rPr>
              <w:t>Poruchy zraku,</w:t>
            </w:r>
          </w:p>
          <w:p w14:paraId="2E087919" w14:textId="77777777" w:rsidR="00F24C86" w:rsidRPr="001B4A02" w:rsidRDefault="00000000" w:rsidP="0012179D">
            <w:pPr>
              <w:pStyle w:val="EMEANormal"/>
              <w:rPr>
                <w:szCs w:val="22"/>
                <w:lang w:val="cs-CZ"/>
              </w:rPr>
            </w:pPr>
            <w:r w:rsidRPr="001B4A02">
              <w:rPr>
                <w:szCs w:val="22"/>
                <w:lang w:val="cs-CZ"/>
              </w:rPr>
              <w:t>konjunktivitida,</w:t>
            </w:r>
          </w:p>
          <w:p w14:paraId="161A702D" w14:textId="77777777" w:rsidR="00F24C86" w:rsidRPr="001B4A02" w:rsidRDefault="00000000" w:rsidP="0012179D">
            <w:pPr>
              <w:pStyle w:val="EMEANormal"/>
              <w:rPr>
                <w:szCs w:val="22"/>
                <w:lang w:val="cs-CZ"/>
              </w:rPr>
            </w:pPr>
            <w:r w:rsidRPr="001B4A02">
              <w:rPr>
                <w:szCs w:val="22"/>
                <w:lang w:val="cs-CZ"/>
              </w:rPr>
              <w:t>blefaritida,</w:t>
            </w:r>
          </w:p>
          <w:p w14:paraId="0F4E3BC0" w14:textId="77777777" w:rsidR="00F24C86" w:rsidRPr="001B4A02" w:rsidRDefault="00000000" w:rsidP="0012179D">
            <w:pPr>
              <w:pStyle w:val="EMEANormal"/>
              <w:rPr>
                <w:szCs w:val="22"/>
                <w:lang w:val="cs-CZ"/>
              </w:rPr>
            </w:pPr>
            <w:r w:rsidRPr="001B4A02">
              <w:rPr>
                <w:szCs w:val="22"/>
                <w:lang w:val="cs-CZ"/>
              </w:rPr>
              <w:t>otoky oka</w:t>
            </w:r>
          </w:p>
          <w:p w14:paraId="47570094" w14:textId="77777777" w:rsidR="00F24C86" w:rsidRPr="001B4A02" w:rsidRDefault="00F24C86" w:rsidP="0012179D">
            <w:pPr>
              <w:pStyle w:val="EMEANormal"/>
              <w:rPr>
                <w:szCs w:val="22"/>
                <w:lang w:val="cs-CZ"/>
              </w:rPr>
            </w:pPr>
          </w:p>
        </w:tc>
      </w:tr>
      <w:tr w:rsidR="00534A2D" w14:paraId="66172841" w14:textId="77777777" w:rsidTr="00E501B6">
        <w:trPr>
          <w:cantSplit/>
          <w:trHeight w:val="25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72E22E0"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6FFCE6C7" w14:textId="77777777" w:rsidR="00F24C86" w:rsidRPr="001B4A02" w:rsidRDefault="00000000" w:rsidP="0012179D">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542E66B7" w14:textId="77777777" w:rsidR="00F24C86" w:rsidRPr="001B4A02" w:rsidRDefault="00000000" w:rsidP="0012179D">
            <w:pPr>
              <w:pStyle w:val="EMEANormal"/>
              <w:rPr>
                <w:szCs w:val="22"/>
                <w:lang w:val="cs-CZ"/>
              </w:rPr>
            </w:pPr>
            <w:r w:rsidRPr="001B4A02">
              <w:rPr>
                <w:szCs w:val="22"/>
                <w:lang w:val="cs-CZ"/>
              </w:rPr>
              <w:t>Diplopie</w:t>
            </w:r>
          </w:p>
          <w:p w14:paraId="13274F3A" w14:textId="77777777" w:rsidR="00F24C86" w:rsidRPr="001B4A02" w:rsidRDefault="00F24C86" w:rsidP="0012179D">
            <w:pPr>
              <w:pStyle w:val="EMEANormal"/>
              <w:rPr>
                <w:szCs w:val="22"/>
                <w:lang w:val="cs-CZ"/>
              </w:rPr>
            </w:pPr>
          </w:p>
        </w:tc>
      </w:tr>
      <w:tr w:rsidR="00534A2D" w14:paraId="7443D9BF" w14:textId="77777777" w:rsidTr="00E501B6">
        <w:trPr>
          <w:cantSplit/>
          <w:trHeight w:val="96"/>
          <w:jc w:val="center"/>
        </w:trPr>
        <w:tc>
          <w:tcPr>
            <w:tcW w:w="2880" w:type="dxa"/>
            <w:vMerge w:val="restart"/>
            <w:tcBorders>
              <w:top w:val="single" w:sz="4" w:space="0" w:color="auto"/>
              <w:left w:val="single" w:sz="4" w:space="0" w:color="auto"/>
              <w:bottom w:val="single" w:sz="4" w:space="0" w:color="auto"/>
              <w:right w:val="single" w:sz="4" w:space="0" w:color="auto"/>
            </w:tcBorders>
            <w:shd w:val="clear" w:color="auto" w:fill="FFFFFF"/>
          </w:tcPr>
          <w:p w14:paraId="21702AB2" w14:textId="77777777" w:rsidR="00F24C86" w:rsidRPr="001B4A02" w:rsidRDefault="00000000" w:rsidP="0012179D">
            <w:pPr>
              <w:pStyle w:val="EMEANormal"/>
              <w:tabs>
                <w:tab w:val="left" w:pos="0"/>
              </w:tabs>
              <w:rPr>
                <w:szCs w:val="22"/>
                <w:lang w:val="cs-CZ"/>
              </w:rPr>
            </w:pPr>
            <w:r w:rsidRPr="001B4A02">
              <w:rPr>
                <w:szCs w:val="22"/>
                <w:lang w:val="cs-CZ"/>
              </w:rPr>
              <w:t>Poruchy ucha</w:t>
            </w:r>
            <w:r w:rsidR="002378E0">
              <w:rPr>
                <w:szCs w:val="22"/>
                <w:lang w:val="cs-CZ"/>
              </w:rPr>
              <w:t xml:space="preserve"> a </w:t>
            </w:r>
            <w:r w:rsidRPr="001B4A02">
              <w:rPr>
                <w:szCs w:val="22"/>
                <w:lang w:val="cs-CZ"/>
              </w:rPr>
              <w:t>labyrintu</w:t>
            </w:r>
          </w:p>
        </w:tc>
        <w:tc>
          <w:tcPr>
            <w:tcW w:w="1440" w:type="dxa"/>
            <w:tcBorders>
              <w:top w:val="single" w:sz="4" w:space="0" w:color="auto"/>
              <w:left w:val="single" w:sz="4" w:space="0" w:color="auto"/>
              <w:bottom w:val="single" w:sz="4" w:space="0" w:color="auto"/>
              <w:right w:val="single" w:sz="4" w:space="0" w:color="auto"/>
            </w:tcBorders>
          </w:tcPr>
          <w:p w14:paraId="6722A369" w14:textId="77777777" w:rsidR="00F24C86"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36E3EE8D" w14:textId="77777777" w:rsidR="00F24C86" w:rsidRPr="001B4A02" w:rsidRDefault="00000000" w:rsidP="0012179D">
            <w:pPr>
              <w:pStyle w:val="EMEANormal"/>
              <w:rPr>
                <w:szCs w:val="22"/>
                <w:lang w:val="cs-CZ"/>
              </w:rPr>
            </w:pPr>
            <w:r w:rsidRPr="001B4A02">
              <w:rPr>
                <w:szCs w:val="22"/>
                <w:lang w:val="cs-CZ"/>
              </w:rPr>
              <w:t>Vertigo</w:t>
            </w:r>
          </w:p>
          <w:p w14:paraId="61437747" w14:textId="77777777" w:rsidR="00F24C86" w:rsidRPr="001B4A02" w:rsidRDefault="00F24C86" w:rsidP="0012179D">
            <w:pPr>
              <w:pStyle w:val="EMEANormal"/>
              <w:rPr>
                <w:szCs w:val="22"/>
                <w:lang w:val="cs-CZ"/>
              </w:rPr>
            </w:pPr>
          </w:p>
        </w:tc>
      </w:tr>
      <w:tr w:rsidR="00534A2D" w14:paraId="6F0127FC" w14:textId="77777777" w:rsidTr="00E501B6">
        <w:trPr>
          <w:cantSplit/>
          <w:trHeight w:val="40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A05775C"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6EC0F1BD" w14:textId="77777777" w:rsidR="00F24C86" w:rsidRPr="00DF4EAF" w:rsidRDefault="00000000" w:rsidP="0012179D">
            <w:pPr>
              <w:pStyle w:val="EMEANormal"/>
              <w:rPr>
                <w:szCs w:val="22"/>
                <w:lang w:val="cs-CZ"/>
              </w:rPr>
            </w:pPr>
            <w:r w:rsidRPr="00DF4EAF">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7B06E062" w14:textId="77777777" w:rsidR="00F24C86" w:rsidRPr="00DF4EAF" w:rsidRDefault="00000000" w:rsidP="0012179D">
            <w:pPr>
              <w:pStyle w:val="EMEANormal"/>
              <w:rPr>
                <w:szCs w:val="22"/>
                <w:lang w:val="cs-CZ"/>
              </w:rPr>
            </w:pPr>
            <w:r w:rsidRPr="00F62725">
              <w:rPr>
                <w:szCs w:val="22"/>
                <w:lang w:val="cs-CZ"/>
              </w:rPr>
              <w:t>Z</w:t>
            </w:r>
            <w:r w:rsidRPr="00DF4EAF">
              <w:rPr>
                <w:szCs w:val="22"/>
                <w:lang w:val="cs-CZ"/>
              </w:rPr>
              <w:t>tráta sluchu,</w:t>
            </w:r>
          </w:p>
          <w:p w14:paraId="51DB1233" w14:textId="77777777" w:rsidR="00F24C86" w:rsidRPr="00DF4EAF" w:rsidRDefault="00000000" w:rsidP="0012179D">
            <w:pPr>
              <w:pStyle w:val="EMEANormal"/>
              <w:rPr>
                <w:szCs w:val="22"/>
                <w:lang w:val="cs-CZ"/>
              </w:rPr>
            </w:pPr>
            <w:r w:rsidRPr="0044764C">
              <w:rPr>
                <w:szCs w:val="22"/>
                <w:lang w:val="cs-CZ"/>
              </w:rPr>
              <w:t>tinitus</w:t>
            </w:r>
          </w:p>
          <w:p w14:paraId="5C561F71" w14:textId="77777777" w:rsidR="00F24C86" w:rsidRPr="00DF4EAF" w:rsidRDefault="00F24C86" w:rsidP="0012179D">
            <w:pPr>
              <w:pStyle w:val="EMEANormal"/>
              <w:rPr>
                <w:szCs w:val="22"/>
                <w:lang w:val="cs-CZ"/>
              </w:rPr>
            </w:pPr>
          </w:p>
        </w:tc>
      </w:tr>
      <w:tr w:rsidR="00534A2D" w14:paraId="701FB933" w14:textId="77777777" w:rsidTr="00E501B6">
        <w:trPr>
          <w:cantSplit/>
          <w:trHeight w:val="127"/>
          <w:jc w:val="center"/>
        </w:trPr>
        <w:tc>
          <w:tcPr>
            <w:tcW w:w="2880" w:type="dxa"/>
            <w:vMerge w:val="restart"/>
            <w:tcBorders>
              <w:top w:val="single" w:sz="4" w:space="0" w:color="auto"/>
              <w:left w:val="single" w:sz="4" w:space="0" w:color="auto"/>
              <w:bottom w:val="single" w:sz="4" w:space="0" w:color="auto"/>
              <w:right w:val="single" w:sz="4" w:space="0" w:color="auto"/>
            </w:tcBorders>
          </w:tcPr>
          <w:p w14:paraId="1A67EB01" w14:textId="77777777" w:rsidR="00F24C86" w:rsidRPr="001B4A02" w:rsidRDefault="00000000" w:rsidP="0012179D">
            <w:pPr>
              <w:pStyle w:val="EMEANormal"/>
              <w:tabs>
                <w:tab w:val="left" w:pos="0"/>
              </w:tabs>
              <w:rPr>
                <w:szCs w:val="22"/>
                <w:lang w:val="cs-CZ"/>
              </w:rPr>
            </w:pPr>
            <w:r w:rsidRPr="001B4A02">
              <w:rPr>
                <w:szCs w:val="22"/>
                <w:lang w:val="cs-CZ"/>
              </w:rPr>
              <w:t>Srdeční poruchy*</w:t>
            </w:r>
          </w:p>
        </w:tc>
        <w:tc>
          <w:tcPr>
            <w:tcW w:w="1440" w:type="dxa"/>
            <w:tcBorders>
              <w:top w:val="single" w:sz="4" w:space="0" w:color="auto"/>
              <w:left w:val="single" w:sz="4" w:space="0" w:color="auto"/>
              <w:bottom w:val="single" w:sz="4" w:space="0" w:color="auto"/>
              <w:right w:val="single" w:sz="4" w:space="0" w:color="auto"/>
            </w:tcBorders>
          </w:tcPr>
          <w:p w14:paraId="1FAF53F7" w14:textId="77777777" w:rsidR="00F24C86"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2434F2F7" w14:textId="77777777" w:rsidR="00F24C86" w:rsidRPr="001B4A02" w:rsidRDefault="00000000" w:rsidP="0012179D">
            <w:pPr>
              <w:pStyle w:val="EMEANormal"/>
              <w:rPr>
                <w:szCs w:val="22"/>
                <w:lang w:val="cs-CZ"/>
              </w:rPr>
            </w:pPr>
            <w:r w:rsidRPr="001B4A02">
              <w:rPr>
                <w:szCs w:val="22"/>
                <w:lang w:val="cs-CZ"/>
              </w:rPr>
              <w:t>Tachykardie</w:t>
            </w:r>
          </w:p>
          <w:p w14:paraId="1E59A51B" w14:textId="77777777" w:rsidR="00F24C86" w:rsidRPr="001B4A02" w:rsidRDefault="00F24C86" w:rsidP="0012179D">
            <w:pPr>
              <w:pStyle w:val="EMEANormal"/>
              <w:rPr>
                <w:szCs w:val="22"/>
                <w:lang w:val="cs-CZ"/>
              </w:rPr>
            </w:pPr>
          </w:p>
        </w:tc>
      </w:tr>
      <w:tr w:rsidR="00534A2D" w14:paraId="56258EF7" w14:textId="77777777" w:rsidTr="00E501B6">
        <w:trPr>
          <w:cantSplit/>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10C2CE"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7A0E1440" w14:textId="77777777" w:rsidR="00F24C86" w:rsidRPr="001B4A02" w:rsidRDefault="00000000" w:rsidP="0012179D">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092BDD08" w14:textId="77777777" w:rsidR="00F24C86" w:rsidRPr="001B4A02" w:rsidRDefault="00000000" w:rsidP="0012179D">
            <w:pPr>
              <w:pStyle w:val="EMEANormal"/>
              <w:rPr>
                <w:szCs w:val="22"/>
                <w:lang w:val="cs-CZ"/>
              </w:rPr>
            </w:pPr>
            <w:r w:rsidRPr="001B4A02">
              <w:rPr>
                <w:szCs w:val="22"/>
                <w:lang w:val="cs-CZ"/>
              </w:rPr>
              <w:t>Infarkt myokardu</w:t>
            </w:r>
            <w:r w:rsidRPr="001B4A02">
              <w:rPr>
                <w:szCs w:val="22"/>
                <w:vertAlign w:val="superscript"/>
                <w:lang w:val="cs-CZ"/>
              </w:rPr>
              <w:t>1)</w:t>
            </w:r>
            <w:r w:rsidRPr="001B4A02">
              <w:rPr>
                <w:szCs w:val="22"/>
                <w:lang w:val="cs-CZ"/>
              </w:rPr>
              <w:t>,</w:t>
            </w:r>
          </w:p>
          <w:p w14:paraId="72CB2018" w14:textId="77777777" w:rsidR="00F24C86" w:rsidRPr="001B4A02" w:rsidRDefault="00000000" w:rsidP="0012179D">
            <w:pPr>
              <w:pStyle w:val="EMEANormal"/>
              <w:rPr>
                <w:szCs w:val="22"/>
                <w:lang w:val="cs-CZ"/>
              </w:rPr>
            </w:pPr>
            <w:r w:rsidRPr="001B4A02">
              <w:rPr>
                <w:szCs w:val="22"/>
                <w:lang w:val="cs-CZ"/>
              </w:rPr>
              <w:t>arytmie,</w:t>
            </w:r>
          </w:p>
          <w:p w14:paraId="759B2EA7" w14:textId="77777777" w:rsidR="00F24C86" w:rsidRPr="001B4A02" w:rsidRDefault="00000000" w:rsidP="0012179D">
            <w:pPr>
              <w:pStyle w:val="EMEANormal"/>
              <w:rPr>
                <w:szCs w:val="22"/>
                <w:lang w:val="cs-CZ"/>
              </w:rPr>
            </w:pPr>
            <w:r w:rsidRPr="001B4A02">
              <w:rPr>
                <w:szCs w:val="22"/>
                <w:lang w:val="cs-CZ"/>
              </w:rPr>
              <w:t>městnavé srdeční selhání</w:t>
            </w:r>
          </w:p>
          <w:p w14:paraId="5D59B946" w14:textId="77777777" w:rsidR="00F24C86" w:rsidRPr="001B4A02" w:rsidRDefault="00F24C86" w:rsidP="0012179D">
            <w:pPr>
              <w:pStyle w:val="EMEANormal"/>
              <w:rPr>
                <w:szCs w:val="22"/>
                <w:lang w:val="cs-CZ"/>
              </w:rPr>
            </w:pPr>
          </w:p>
        </w:tc>
      </w:tr>
      <w:tr w:rsidR="00534A2D" w14:paraId="29AF4F68" w14:textId="77777777" w:rsidTr="00E501B6">
        <w:trPr>
          <w:cantSplit/>
          <w:trHeight w:val="25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9EA8014"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3440841D" w14:textId="77777777" w:rsidR="00F24C86" w:rsidRPr="001B4A02" w:rsidRDefault="00000000" w:rsidP="0012179D">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2A192853" w14:textId="77777777" w:rsidR="00F24C86" w:rsidRPr="001B4A02" w:rsidRDefault="00000000" w:rsidP="0012179D">
            <w:pPr>
              <w:pStyle w:val="EMEANormal"/>
              <w:rPr>
                <w:szCs w:val="22"/>
                <w:lang w:val="cs-CZ"/>
              </w:rPr>
            </w:pPr>
            <w:r w:rsidRPr="001B4A02">
              <w:rPr>
                <w:szCs w:val="22"/>
                <w:lang w:val="cs-CZ"/>
              </w:rPr>
              <w:t>Srdeční zástava</w:t>
            </w:r>
          </w:p>
          <w:p w14:paraId="222CBF30" w14:textId="77777777" w:rsidR="00F24C86" w:rsidRPr="001B4A02" w:rsidRDefault="00F24C86" w:rsidP="0012179D">
            <w:pPr>
              <w:pStyle w:val="EMEANormal"/>
              <w:rPr>
                <w:szCs w:val="22"/>
                <w:lang w:val="cs-CZ"/>
              </w:rPr>
            </w:pPr>
          </w:p>
        </w:tc>
      </w:tr>
      <w:tr w:rsidR="00534A2D" w14:paraId="1DA1D5EA" w14:textId="77777777" w:rsidTr="00E501B6">
        <w:trPr>
          <w:cantSplit/>
          <w:trHeight w:val="143"/>
          <w:jc w:val="center"/>
        </w:trPr>
        <w:tc>
          <w:tcPr>
            <w:tcW w:w="2880" w:type="dxa"/>
            <w:vMerge w:val="restart"/>
            <w:tcBorders>
              <w:top w:val="single" w:sz="4" w:space="0" w:color="auto"/>
              <w:left w:val="single" w:sz="4" w:space="0" w:color="auto"/>
              <w:bottom w:val="single" w:sz="4" w:space="0" w:color="auto"/>
              <w:right w:val="single" w:sz="4" w:space="0" w:color="auto"/>
            </w:tcBorders>
          </w:tcPr>
          <w:p w14:paraId="458620BF" w14:textId="77777777" w:rsidR="00F24C86" w:rsidRPr="001B4A02" w:rsidRDefault="00000000" w:rsidP="0012179D">
            <w:pPr>
              <w:pStyle w:val="EMEANormal"/>
              <w:tabs>
                <w:tab w:val="left" w:pos="0"/>
              </w:tabs>
              <w:rPr>
                <w:szCs w:val="22"/>
                <w:lang w:val="cs-CZ"/>
              </w:rPr>
            </w:pPr>
            <w:r w:rsidRPr="001B4A02">
              <w:rPr>
                <w:szCs w:val="22"/>
                <w:lang w:val="cs-CZ"/>
              </w:rPr>
              <w:t>Cévní poruchy</w:t>
            </w:r>
          </w:p>
        </w:tc>
        <w:tc>
          <w:tcPr>
            <w:tcW w:w="1440" w:type="dxa"/>
            <w:tcBorders>
              <w:top w:val="single" w:sz="4" w:space="0" w:color="auto"/>
              <w:left w:val="single" w:sz="4" w:space="0" w:color="auto"/>
              <w:bottom w:val="single" w:sz="4" w:space="0" w:color="auto"/>
              <w:right w:val="single" w:sz="4" w:space="0" w:color="auto"/>
            </w:tcBorders>
          </w:tcPr>
          <w:p w14:paraId="45A322AB" w14:textId="77777777" w:rsidR="00F24C86"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1E75C773" w14:textId="77777777" w:rsidR="00F24C86" w:rsidRPr="001B4A02" w:rsidRDefault="00000000" w:rsidP="0012179D">
            <w:pPr>
              <w:pStyle w:val="EMEANormal"/>
              <w:rPr>
                <w:szCs w:val="22"/>
                <w:lang w:val="cs-CZ"/>
              </w:rPr>
            </w:pPr>
            <w:r w:rsidRPr="001B4A02">
              <w:rPr>
                <w:szCs w:val="22"/>
                <w:lang w:val="cs-CZ"/>
              </w:rPr>
              <w:t>Hypertenze,</w:t>
            </w:r>
          </w:p>
          <w:p w14:paraId="27714BA3" w14:textId="77777777" w:rsidR="00F24C86" w:rsidRPr="001B4A02" w:rsidRDefault="00000000" w:rsidP="0012179D">
            <w:pPr>
              <w:pStyle w:val="EMEANormal"/>
              <w:rPr>
                <w:szCs w:val="22"/>
                <w:lang w:val="cs-CZ"/>
              </w:rPr>
            </w:pPr>
            <w:r w:rsidRPr="001B4A02">
              <w:rPr>
                <w:szCs w:val="22"/>
                <w:lang w:val="cs-CZ"/>
              </w:rPr>
              <w:t>záchvaty zrudnutí,</w:t>
            </w:r>
          </w:p>
          <w:p w14:paraId="406F8348" w14:textId="77777777" w:rsidR="00F24C86" w:rsidRPr="001B4A02" w:rsidRDefault="00000000" w:rsidP="0012179D">
            <w:pPr>
              <w:pStyle w:val="EMEANormal"/>
              <w:rPr>
                <w:szCs w:val="22"/>
                <w:lang w:val="cs-CZ"/>
              </w:rPr>
            </w:pPr>
            <w:r w:rsidRPr="001B4A02">
              <w:rPr>
                <w:szCs w:val="22"/>
                <w:lang w:val="cs-CZ"/>
              </w:rPr>
              <w:t>hematomy</w:t>
            </w:r>
          </w:p>
          <w:p w14:paraId="110C3D8C" w14:textId="77777777" w:rsidR="00F24C86" w:rsidRPr="001B4A02" w:rsidRDefault="00F24C86" w:rsidP="0012179D">
            <w:pPr>
              <w:pStyle w:val="EMEANormal"/>
              <w:rPr>
                <w:szCs w:val="22"/>
                <w:lang w:val="cs-CZ"/>
              </w:rPr>
            </w:pPr>
          </w:p>
        </w:tc>
      </w:tr>
      <w:tr w:rsidR="00534A2D" w14:paraId="18808C13" w14:textId="77777777" w:rsidTr="00E501B6">
        <w:trPr>
          <w:cantSplit/>
          <w:trHeight w:val="14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498325F"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3DD1417A" w14:textId="77777777" w:rsidR="00F24C86" w:rsidRPr="001B4A02" w:rsidRDefault="00000000" w:rsidP="0012179D">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1FC9AC6E" w14:textId="77777777" w:rsidR="00F24C86" w:rsidRPr="001B4A02" w:rsidRDefault="00000000" w:rsidP="0012179D">
            <w:pPr>
              <w:pStyle w:val="EMEANormal"/>
              <w:rPr>
                <w:szCs w:val="22"/>
                <w:lang w:val="cs-CZ"/>
              </w:rPr>
            </w:pPr>
            <w:r w:rsidRPr="001B4A02">
              <w:rPr>
                <w:szCs w:val="22"/>
                <w:lang w:val="cs-CZ"/>
              </w:rPr>
              <w:t>Aneurysma aorty,</w:t>
            </w:r>
          </w:p>
          <w:p w14:paraId="16E8B9E7" w14:textId="77777777" w:rsidR="00F24C86" w:rsidRPr="001B4A02" w:rsidRDefault="00000000" w:rsidP="0012179D">
            <w:pPr>
              <w:pStyle w:val="EMEANormal"/>
              <w:rPr>
                <w:szCs w:val="22"/>
                <w:lang w:val="cs-CZ"/>
              </w:rPr>
            </w:pPr>
            <w:r w:rsidRPr="001B4A02">
              <w:rPr>
                <w:szCs w:val="22"/>
                <w:lang w:val="cs-CZ"/>
              </w:rPr>
              <w:t>cévní arteriální okluze,</w:t>
            </w:r>
          </w:p>
          <w:p w14:paraId="79308065" w14:textId="77777777" w:rsidR="00F24C86" w:rsidRPr="001B4A02" w:rsidRDefault="00000000" w:rsidP="0012179D">
            <w:pPr>
              <w:pStyle w:val="EMEANormal"/>
              <w:rPr>
                <w:szCs w:val="22"/>
                <w:lang w:val="cs-CZ"/>
              </w:rPr>
            </w:pPr>
            <w:r w:rsidRPr="001B4A02">
              <w:rPr>
                <w:szCs w:val="22"/>
                <w:lang w:val="cs-CZ"/>
              </w:rPr>
              <w:t>tromoflebitida</w:t>
            </w:r>
          </w:p>
          <w:p w14:paraId="54BAACB5" w14:textId="77777777" w:rsidR="00F24C86" w:rsidRPr="001B4A02" w:rsidRDefault="00F24C86" w:rsidP="0012179D">
            <w:pPr>
              <w:pStyle w:val="EMEANormal"/>
              <w:rPr>
                <w:szCs w:val="22"/>
                <w:lang w:val="cs-CZ"/>
              </w:rPr>
            </w:pPr>
          </w:p>
        </w:tc>
      </w:tr>
      <w:tr w:rsidR="00534A2D" w14:paraId="1B225FCF" w14:textId="77777777" w:rsidTr="00E501B6">
        <w:trPr>
          <w:cantSplit/>
          <w:trHeight w:val="391"/>
          <w:jc w:val="center"/>
        </w:trPr>
        <w:tc>
          <w:tcPr>
            <w:tcW w:w="2880" w:type="dxa"/>
            <w:vMerge w:val="restart"/>
            <w:tcBorders>
              <w:top w:val="single" w:sz="4" w:space="0" w:color="auto"/>
              <w:left w:val="single" w:sz="4" w:space="0" w:color="auto"/>
              <w:right w:val="single" w:sz="4" w:space="0" w:color="auto"/>
            </w:tcBorders>
          </w:tcPr>
          <w:p w14:paraId="168A7318" w14:textId="77777777" w:rsidR="00F24C86" w:rsidRPr="001B4A02" w:rsidRDefault="00000000" w:rsidP="0012179D">
            <w:pPr>
              <w:pStyle w:val="EMEANormal"/>
              <w:tabs>
                <w:tab w:val="left" w:pos="0"/>
              </w:tabs>
              <w:rPr>
                <w:szCs w:val="22"/>
                <w:lang w:val="cs-CZ"/>
              </w:rPr>
            </w:pPr>
            <w:r w:rsidRPr="001B4A02">
              <w:rPr>
                <w:szCs w:val="22"/>
                <w:lang w:val="cs-CZ"/>
              </w:rPr>
              <w:t>Respirační, hrudní</w:t>
            </w:r>
            <w:r w:rsidR="002378E0">
              <w:rPr>
                <w:szCs w:val="22"/>
                <w:lang w:val="cs-CZ"/>
              </w:rPr>
              <w:t xml:space="preserve"> a </w:t>
            </w:r>
            <w:r w:rsidRPr="001B4A02">
              <w:rPr>
                <w:szCs w:val="22"/>
                <w:lang w:val="cs-CZ"/>
              </w:rPr>
              <w:t>mediastinální poruchy*</w:t>
            </w:r>
          </w:p>
        </w:tc>
        <w:tc>
          <w:tcPr>
            <w:tcW w:w="1440" w:type="dxa"/>
            <w:tcBorders>
              <w:top w:val="single" w:sz="4" w:space="0" w:color="auto"/>
              <w:left w:val="single" w:sz="4" w:space="0" w:color="auto"/>
              <w:bottom w:val="single" w:sz="4" w:space="0" w:color="auto"/>
              <w:right w:val="single" w:sz="4" w:space="0" w:color="auto"/>
            </w:tcBorders>
          </w:tcPr>
          <w:p w14:paraId="586E306A" w14:textId="77777777" w:rsidR="00F24C86"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16444467" w14:textId="77777777" w:rsidR="00F24C86" w:rsidRPr="001B4A02" w:rsidRDefault="00000000" w:rsidP="0012179D">
            <w:pPr>
              <w:pStyle w:val="EMEANormal"/>
              <w:rPr>
                <w:szCs w:val="22"/>
                <w:lang w:val="cs-CZ"/>
              </w:rPr>
            </w:pPr>
            <w:r w:rsidRPr="001B4A02">
              <w:rPr>
                <w:szCs w:val="22"/>
                <w:lang w:val="cs-CZ"/>
              </w:rPr>
              <w:t>Astma,</w:t>
            </w:r>
          </w:p>
          <w:p w14:paraId="5400DA7D" w14:textId="77777777" w:rsidR="00F24C86" w:rsidRPr="001B4A02" w:rsidRDefault="00000000" w:rsidP="0012179D">
            <w:pPr>
              <w:pStyle w:val="EMEANormal"/>
              <w:rPr>
                <w:szCs w:val="22"/>
                <w:lang w:val="cs-CZ"/>
              </w:rPr>
            </w:pPr>
            <w:r w:rsidRPr="001B4A02">
              <w:rPr>
                <w:szCs w:val="22"/>
                <w:lang w:val="cs-CZ"/>
              </w:rPr>
              <w:t>dyspnoe,</w:t>
            </w:r>
          </w:p>
          <w:p w14:paraId="3FCADAA8" w14:textId="77777777" w:rsidR="00F24C86" w:rsidRPr="001B4A02" w:rsidRDefault="00000000" w:rsidP="0012179D">
            <w:pPr>
              <w:pStyle w:val="EMEANormal"/>
              <w:rPr>
                <w:szCs w:val="22"/>
                <w:lang w:val="cs-CZ"/>
              </w:rPr>
            </w:pPr>
            <w:r w:rsidRPr="001B4A02">
              <w:rPr>
                <w:szCs w:val="22"/>
                <w:lang w:val="cs-CZ"/>
              </w:rPr>
              <w:t>kašel</w:t>
            </w:r>
          </w:p>
          <w:p w14:paraId="6433326D" w14:textId="77777777" w:rsidR="00F24C86" w:rsidRPr="001B4A02" w:rsidRDefault="00F24C86" w:rsidP="0012179D">
            <w:pPr>
              <w:pStyle w:val="EMEANormal"/>
              <w:rPr>
                <w:szCs w:val="22"/>
                <w:lang w:val="cs-CZ"/>
              </w:rPr>
            </w:pPr>
          </w:p>
        </w:tc>
      </w:tr>
      <w:tr w:rsidR="00534A2D" w14:paraId="7356388D" w14:textId="77777777" w:rsidTr="00E501B6">
        <w:trPr>
          <w:cantSplit/>
          <w:trHeight w:val="234"/>
          <w:jc w:val="center"/>
        </w:trPr>
        <w:tc>
          <w:tcPr>
            <w:tcW w:w="0" w:type="auto"/>
            <w:vMerge/>
            <w:tcBorders>
              <w:left w:val="single" w:sz="4" w:space="0" w:color="auto"/>
              <w:right w:val="single" w:sz="4" w:space="0" w:color="auto"/>
            </w:tcBorders>
            <w:vAlign w:val="center"/>
          </w:tcPr>
          <w:p w14:paraId="10C2445F"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7C59E85" w14:textId="77777777" w:rsidR="00F24C86" w:rsidRPr="001B4A02" w:rsidRDefault="00000000" w:rsidP="0012179D">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435F1C06" w14:textId="77777777" w:rsidR="00F24C86" w:rsidRPr="001B4A02" w:rsidRDefault="00000000" w:rsidP="0012179D">
            <w:pPr>
              <w:pStyle w:val="EMEANormal"/>
              <w:rPr>
                <w:szCs w:val="22"/>
                <w:lang w:val="cs-CZ"/>
              </w:rPr>
            </w:pPr>
            <w:r w:rsidRPr="001B4A02">
              <w:rPr>
                <w:szCs w:val="22"/>
                <w:lang w:val="cs-CZ"/>
              </w:rPr>
              <w:t>Plicní embolie,</w:t>
            </w:r>
            <w:r w:rsidRPr="001B4A02">
              <w:rPr>
                <w:szCs w:val="22"/>
                <w:vertAlign w:val="superscript"/>
                <w:lang w:val="cs-CZ"/>
              </w:rPr>
              <w:t>1)</w:t>
            </w:r>
          </w:p>
          <w:p w14:paraId="32C2E580" w14:textId="77777777" w:rsidR="00F24C86" w:rsidRPr="001B4A02" w:rsidRDefault="00000000" w:rsidP="0012179D">
            <w:pPr>
              <w:pStyle w:val="EMEANormal"/>
              <w:rPr>
                <w:szCs w:val="22"/>
                <w:lang w:val="cs-CZ"/>
              </w:rPr>
            </w:pPr>
            <w:r w:rsidRPr="001B4A02">
              <w:rPr>
                <w:szCs w:val="22"/>
                <w:lang w:val="cs-CZ"/>
              </w:rPr>
              <w:t>intersticiální plicní choroba,</w:t>
            </w:r>
          </w:p>
          <w:p w14:paraId="79EB38BD" w14:textId="77777777" w:rsidR="00F24C86" w:rsidRPr="001B4A02" w:rsidRDefault="00000000" w:rsidP="0012179D">
            <w:pPr>
              <w:pStyle w:val="EMEANormal"/>
              <w:rPr>
                <w:szCs w:val="22"/>
                <w:lang w:val="cs-CZ"/>
              </w:rPr>
            </w:pPr>
            <w:r w:rsidRPr="001B4A02">
              <w:rPr>
                <w:szCs w:val="22"/>
                <w:lang w:val="cs-CZ"/>
              </w:rPr>
              <w:t>chronická obstrukční plicní nemoc,</w:t>
            </w:r>
          </w:p>
          <w:p w14:paraId="4FEC9150" w14:textId="77777777" w:rsidR="00F24C86" w:rsidRPr="001B4A02" w:rsidRDefault="00000000" w:rsidP="0012179D">
            <w:pPr>
              <w:pStyle w:val="EMEANormal"/>
              <w:rPr>
                <w:szCs w:val="22"/>
                <w:lang w:val="cs-CZ"/>
              </w:rPr>
            </w:pPr>
            <w:r w:rsidRPr="001B4A02">
              <w:rPr>
                <w:szCs w:val="22"/>
                <w:lang w:val="cs-CZ"/>
              </w:rPr>
              <w:t>pneumonitida,</w:t>
            </w:r>
          </w:p>
          <w:p w14:paraId="418F7E35" w14:textId="77777777" w:rsidR="00F24C86" w:rsidRPr="001B4A02" w:rsidRDefault="00000000" w:rsidP="0012179D">
            <w:pPr>
              <w:pStyle w:val="EMEANormal"/>
              <w:rPr>
                <w:szCs w:val="22"/>
                <w:lang w:val="cs-CZ"/>
              </w:rPr>
            </w:pPr>
            <w:r w:rsidRPr="001B4A02">
              <w:rPr>
                <w:szCs w:val="22"/>
                <w:lang w:val="cs-CZ"/>
              </w:rPr>
              <w:t>pleurální výpotek</w:t>
            </w:r>
            <w:r w:rsidRPr="001B4A02">
              <w:rPr>
                <w:szCs w:val="22"/>
                <w:vertAlign w:val="superscript"/>
                <w:lang w:val="cs-CZ"/>
              </w:rPr>
              <w:t>1)</w:t>
            </w:r>
          </w:p>
          <w:p w14:paraId="38E9906B" w14:textId="77777777" w:rsidR="00F24C86" w:rsidRPr="001B4A02" w:rsidRDefault="00F24C86" w:rsidP="0012179D">
            <w:pPr>
              <w:pStyle w:val="EMEANormal"/>
              <w:rPr>
                <w:szCs w:val="22"/>
                <w:lang w:val="cs-CZ"/>
              </w:rPr>
            </w:pPr>
          </w:p>
        </w:tc>
      </w:tr>
      <w:tr w:rsidR="00534A2D" w14:paraId="2E42F233" w14:textId="77777777" w:rsidTr="00E501B6">
        <w:trPr>
          <w:cantSplit/>
          <w:trHeight w:val="234"/>
          <w:jc w:val="center"/>
        </w:trPr>
        <w:tc>
          <w:tcPr>
            <w:tcW w:w="0" w:type="auto"/>
            <w:vMerge/>
            <w:tcBorders>
              <w:left w:val="single" w:sz="4" w:space="0" w:color="auto"/>
              <w:bottom w:val="single" w:sz="4" w:space="0" w:color="auto"/>
              <w:right w:val="single" w:sz="4" w:space="0" w:color="auto"/>
            </w:tcBorders>
            <w:vAlign w:val="center"/>
          </w:tcPr>
          <w:p w14:paraId="4DC477B3"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530FF3F" w14:textId="77777777" w:rsidR="00F24C86" w:rsidRPr="001B4A02" w:rsidRDefault="00000000" w:rsidP="0012179D">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43BCD8F9" w14:textId="77777777" w:rsidR="00F24C86" w:rsidRPr="001B4A02" w:rsidRDefault="00000000" w:rsidP="0012179D">
            <w:pPr>
              <w:pStyle w:val="EMEANormal"/>
              <w:rPr>
                <w:szCs w:val="22"/>
                <w:lang w:val="cs-CZ"/>
              </w:rPr>
            </w:pPr>
            <w:r w:rsidRPr="001B4A02">
              <w:rPr>
                <w:szCs w:val="22"/>
                <w:lang w:val="cs-CZ"/>
              </w:rPr>
              <w:t>Plicní fibróza</w:t>
            </w:r>
            <w:r w:rsidRPr="001B4A02">
              <w:rPr>
                <w:szCs w:val="22"/>
                <w:vertAlign w:val="superscript"/>
                <w:lang w:val="cs-CZ"/>
              </w:rPr>
              <w:t>1)</w:t>
            </w:r>
          </w:p>
          <w:p w14:paraId="3EDC8E11" w14:textId="77777777" w:rsidR="00F24C86" w:rsidRPr="001B4A02" w:rsidRDefault="00F24C86" w:rsidP="0012179D">
            <w:pPr>
              <w:pStyle w:val="EMEANormal"/>
              <w:rPr>
                <w:szCs w:val="22"/>
                <w:lang w:val="cs-CZ"/>
              </w:rPr>
            </w:pPr>
          </w:p>
        </w:tc>
      </w:tr>
      <w:tr w:rsidR="00534A2D" w14:paraId="3F969067" w14:textId="77777777" w:rsidTr="00E501B6">
        <w:trPr>
          <w:cantSplit/>
          <w:trHeight w:val="261"/>
          <w:jc w:val="center"/>
        </w:trPr>
        <w:tc>
          <w:tcPr>
            <w:tcW w:w="2880" w:type="dxa"/>
            <w:vMerge w:val="restart"/>
            <w:tcBorders>
              <w:top w:val="single" w:sz="4" w:space="0" w:color="auto"/>
              <w:left w:val="single" w:sz="4" w:space="0" w:color="auto"/>
              <w:right w:val="single" w:sz="4" w:space="0" w:color="auto"/>
            </w:tcBorders>
          </w:tcPr>
          <w:p w14:paraId="59526811" w14:textId="77777777" w:rsidR="00F24C86" w:rsidRPr="001B4A02" w:rsidRDefault="00000000" w:rsidP="0012179D">
            <w:pPr>
              <w:pStyle w:val="EMEANormal"/>
              <w:tabs>
                <w:tab w:val="left" w:pos="0"/>
              </w:tabs>
              <w:rPr>
                <w:szCs w:val="22"/>
                <w:lang w:val="cs-CZ"/>
              </w:rPr>
            </w:pPr>
            <w:r w:rsidRPr="001B4A02">
              <w:rPr>
                <w:szCs w:val="22"/>
                <w:lang w:val="cs-CZ"/>
              </w:rPr>
              <w:t>Gastrointestinální poruchy</w:t>
            </w:r>
          </w:p>
        </w:tc>
        <w:tc>
          <w:tcPr>
            <w:tcW w:w="1440" w:type="dxa"/>
            <w:tcBorders>
              <w:top w:val="single" w:sz="4" w:space="0" w:color="auto"/>
              <w:left w:val="single" w:sz="4" w:space="0" w:color="auto"/>
              <w:bottom w:val="single" w:sz="4" w:space="0" w:color="auto"/>
              <w:right w:val="single" w:sz="4" w:space="0" w:color="auto"/>
            </w:tcBorders>
          </w:tcPr>
          <w:p w14:paraId="496F3056" w14:textId="77777777" w:rsidR="00F24C86" w:rsidRPr="001B4A02" w:rsidRDefault="00000000" w:rsidP="0012179D">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499E3D1E" w14:textId="77777777" w:rsidR="00F24C86" w:rsidRPr="001B4A02" w:rsidRDefault="00000000" w:rsidP="0012179D">
            <w:pPr>
              <w:pStyle w:val="EMEANormal"/>
              <w:rPr>
                <w:szCs w:val="22"/>
                <w:lang w:val="cs-CZ"/>
              </w:rPr>
            </w:pPr>
            <w:r w:rsidRPr="001B4A02">
              <w:rPr>
                <w:szCs w:val="22"/>
                <w:lang w:val="cs-CZ"/>
              </w:rPr>
              <w:t>Bolest břicha,</w:t>
            </w:r>
          </w:p>
          <w:p w14:paraId="569B74A0" w14:textId="77777777" w:rsidR="00F24C86" w:rsidRPr="001B4A02" w:rsidRDefault="00000000" w:rsidP="0012179D">
            <w:pPr>
              <w:pStyle w:val="EMEANormal"/>
              <w:rPr>
                <w:szCs w:val="22"/>
                <w:lang w:val="cs-CZ"/>
              </w:rPr>
            </w:pPr>
            <w:r w:rsidRPr="00664E8D">
              <w:rPr>
                <w:szCs w:val="22"/>
                <w:lang w:val="cs-CZ"/>
              </w:rPr>
              <w:t>nau</w:t>
            </w:r>
            <w:r w:rsidR="00185EA8" w:rsidRPr="00664E8D">
              <w:rPr>
                <w:szCs w:val="22"/>
                <w:lang w:val="cs-CZ"/>
              </w:rPr>
              <w:t>z</w:t>
            </w:r>
            <w:r w:rsidRPr="00664E8D">
              <w:rPr>
                <w:szCs w:val="22"/>
                <w:lang w:val="cs-CZ"/>
              </w:rPr>
              <w:t>ea</w:t>
            </w:r>
            <w:r w:rsidR="002378E0">
              <w:rPr>
                <w:szCs w:val="22"/>
                <w:lang w:val="cs-CZ"/>
              </w:rPr>
              <w:t xml:space="preserve"> a </w:t>
            </w:r>
            <w:r w:rsidRPr="00DF4EAF">
              <w:rPr>
                <w:szCs w:val="22"/>
                <w:lang w:val="cs-CZ"/>
              </w:rPr>
              <w:t>zvracení</w:t>
            </w:r>
          </w:p>
          <w:p w14:paraId="24D5F7F7" w14:textId="77777777" w:rsidR="00F24C86" w:rsidRPr="001B4A02" w:rsidRDefault="00F24C86" w:rsidP="0012179D">
            <w:pPr>
              <w:pStyle w:val="EMEANormal"/>
              <w:rPr>
                <w:szCs w:val="22"/>
                <w:lang w:val="cs-CZ"/>
              </w:rPr>
            </w:pPr>
          </w:p>
        </w:tc>
      </w:tr>
      <w:tr w:rsidR="00534A2D" w14:paraId="5C48B0C3" w14:textId="77777777" w:rsidTr="00E501B6">
        <w:trPr>
          <w:cantSplit/>
          <w:trHeight w:val="260"/>
          <w:jc w:val="center"/>
        </w:trPr>
        <w:tc>
          <w:tcPr>
            <w:tcW w:w="0" w:type="auto"/>
            <w:vMerge/>
            <w:tcBorders>
              <w:left w:val="single" w:sz="4" w:space="0" w:color="auto"/>
              <w:right w:val="single" w:sz="4" w:space="0" w:color="auto"/>
            </w:tcBorders>
            <w:vAlign w:val="center"/>
          </w:tcPr>
          <w:p w14:paraId="0E2E98D0"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CA90B6D" w14:textId="77777777" w:rsidR="00F24C86" w:rsidRPr="001B4A02" w:rsidRDefault="00000000" w:rsidP="0012179D">
            <w:pPr>
              <w:pStyle w:val="EMEANormal"/>
              <w:tabs>
                <w:tab w:val="left" w:pos="100"/>
              </w:tabs>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6C282059" w14:textId="77777777" w:rsidR="00F24C86" w:rsidRPr="001B4A02" w:rsidRDefault="00000000" w:rsidP="0012179D">
            <w:pPr>
              <w:pStyle w:val="EMEANormal"/>
              <w:rPr>
                <w:szCs w:val="22"/>
                <w:lang w:val="cs-CZ"/>
              </w:rPr>
            </w:pPr>
            <w:r w:rsidRPr="001B4A02">
              <w:rPr>
                <w:szCs w:val="22"/>
                <w:lang w:val="cs-CZ"/>
              </w:rPr>
              <w:t>Krvácení z GI traktu,</w:t>
            </w:r>
          </w:p>
          <w:p w14:paraId="5A6DE8AC" w14:textId="77777777" w:rsidR="00F24C86" w:rsidRPr="001B4A02" w:rsidRDefault="00000000" w:rsidP="0012179D">
            <w:pPr>
              <w:pStyle w:val="EMEANormal"/>
              <w:rPr>
                <w:szCs w:val="22"/>
                <w:lang w:val="cs-CZ"/>
              </w:rPr>
            </w:pPr>
            <w:r w:rsidRPr="001B4A02">
              <w:rPr>
                <w:szCs w:val="22"/>
                <w:lang w:val="cs-CZ"/>
              </w:rPr>
              <w:t>dyspepsie,</w:t>
            </w:r>
          </w:p>
          <w:p w14:paraId="4583EF84" w14:textId="77777777" w:rsidR="00F24C86" w:rsidRPr="001B4A02" w:rsidRDefault="00000000" w:rsidP="0012179D">
            <w:pPr>
              <w:pStyle w:val="EMEANormal"/>
              <w:rPr>
                <w:szCs w:val="22"/>
                <w:lang w:val="cs-CZ"/>
              </w:rPr>
            </w:pPr>
            <w:r w:rsidRPr="001B4A02">
              <w:rPr>
                <w:szCs w:val="22"/>
                <w:lang w:val="cs-CZ"/>
              </w:rPr>
              <w:t>gastroesofageální refl</w:t>
            </w:r>
            <w:r w:rsidR="00BE44F4">
              <w:rPr>
                <w:szCs w:val="22"/>
                <w:lang w:val="cs-CZ"/>
              </w:rPr>
              <w:t>u</w:t>
            </w:r>
            <w:r w:rsidRPr="001B4A02">
              <w:rPr>
                <w:szCs w:val="22"/>
                <w:lang w:val="cs-CZ"/>
              </w:rPr>
              <w:t>xní choroba,</w:t>
            </w:r>
          </w:p>
          <w:p w14:paraId="71887D68" w14:textId="77777777" w:rsidR="00F24C86" w:rsidRPr="001B4A02" w:rsidRDefault="00000000" w:rsidP="0012179D">
            <w:pPr>
              <w:pStyle w:val="EMEANormal"/>
              <w:rPr>
                <w:szCs w:val="22"/>
                <w:lang w:val="cs-CZ"/>
              </w:rPr>
            </w:pPr>
            <w:r w:rsidRPr="001B4A02">
              <w:rPr>
                <w:szCs w:val="22"/>
                <w:lang w:val="cs-CZ"/>
              </w:rPr>
              <w:t>sicca syndrom</w:t>
            </w:r>
          </w:p>
          <w:p w14:paraId="1C3FF28C" w14:textId="77777777" w:rsidR="00F24C86" w:rsidRPr="001B4A02" w:rsidRDefault="00F24C86" w:rsidP="0012179D">
            <w:pPr>
              <w:pStyle w:val="EMEANormal"/>
              <w:rPr>
                <w:szCs w:val="22"/>
                <w:lang w:val="cs-CZ"/>
              </w:rPr>
            </w:pPr>
          </w:p>
        </w:tc>
      </w:tr>
      <w:tr w:rsidR="00534A2D" w14:paraId="607E42C2" w14:textId="77777777" w:rsidTr="00E501B6">
        <w:trPr>
          <w:cantSplit/>
          <w:trHeight w:val="260"/>
          <w:jc w:val="center"/>
        </w:trPr>
        <w:tc>
          <w:tcPr>
            <w:tcW w:w="0" w:type="auto"/>
            <w:vMerge/>
            <w:tcBorders>
              <w:left w:val="single" w:sz="4" w:space="0" w:color="auto"/>
              <w:right w:val="single" w:sz="4" w:space="0" w:color="auto"/>
            </w:tcBorders>
            <w:vAlign w:val="center"/>
          </w:tcPr>
          <w:p w14:paraId="6BB202C0"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7207EC1" w14:textId="77777777" w:rsidR="00F24C86" w:rsidRPr="001B4A02" w:rsidRDefault="00000000" w:rsidP="0012179D">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24AB8775" w14:textId="77777777" w:rsidR="00F24C86" w:rsidRPr="001B4A02" w:rsidRDefault="00000000" w:rsidP="0012179D">
            <w:pPr>
              <w:pStyle w:val="EMEANormal"/>
              <w:rPr>
                <w:szCs w:val="22"/>
                <w:lang w:val="cs-CZ"/>
              </w:rPr>
            </w:pPr>
            <w:r w:rsidRPr="001B4A02">
              <w:rPr>
                <w:szCs w:val="22"/>
                <w:lang w:val="cs-CZ"/>
              </w:rPr>
              <w:t>Pankreatitida,</w:t>
            </w:r>
          </w:p>
          <w:p w14:paraId="63786912" w14:textId="77777777" w:rsidR="00F24C86" w:rsidRPr="001B4A02" w:rsidRDefault="00000000" w:rsidP="0012179D">
            <w:pPr>
              <w:pStyle w:val="EMEANormal"/>
              <w:rPr>
                <w:szCs w:val="22"/>
                <w:lang w:val="cs-CZ"/>
              </w:rPr>
            </w:pPr>
            <w:r w:rsidRPr="001B4A02">
              <w:rPr>
                <w:szCs w:val="22"/>
                <w:lang w:val="cs-CZ"/>
              </w:rPr>
              <w:t>dysfagie,</w:t>
            </w:r>
          </w:p>
          <w:p w14:paraId="1D63C204" w14:textId="77777777" w:rsidR="00F24C86" w:rsidRPr="001B4A02" w:rsidRDefault="00000000" w:rsidP="0012179D">
            <w:pPr>
              <w:pStyle w:val="EMEANormal"/>
              <w:rPr>
                <w:szCs w:val="22"/>
                <w:lang w:val="cs-CZ"/>
              </w:rPr>
            </w:pPr>
            <w:r w:rsidRPr="001B4A02">
              <w:rPr>
                <w:szCs w:val="22"/>
                <w:lang w:val="cs-CZ"/>
              </w:rPr>
              <w:t>edém obličeje</w:t>
            </w:r>
          </w:p>
          <w:p w14:paraId="1716CB34" w14:textId="77777777" w:rsidR="00F24C86" w:rsidRPr="001B4A02" w:rsidRDefault="00F24C86" w:rsidP="0012179D">
            <w:pPr>
              <w:pStyle w:val="EMEANormal"/>
              <w:rPr>
                <w:szCs w:val="22"/>
                <w:lang w:val="cs-CZ"/>
              </w:rPr>
            </w:pPr>
          </w:p>
        </w:tc>
      </w:tr>
      <w:tr w:rsidR="00534A2D" w14:paraId="57F29E4A" w14:textId="77777777" w:rsidTr="00E501B6">
        <w:trPr>
          <w:cantSplit/>
          <w:trHeight w:val="260"/>
          <w:jc w:val="center"/>
        </w:trPr>
        <w:tc>
          <w:tcPr>
            <w:tcW w:w="0" w:type="auto"/>
            <w:vMerge/>
            <w:tcBorders>
              <w:left w:val="single" w:sz="4" w:space="0" w:color="auto"/>
              <w:bottom w:val="single" w:sz="4" w:space="0" w:color="auto"/>
              <w:right w:val="single" w:sz="4" w:space="0" w:color="auto"/>
            </w:tcBorders>
            <w:vAlign w:val="center"/>
          </w:tcPr>
          <w:p w14:paraId="66D40782"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6F30E9CE" w14:textId="77777777" w:rsidR="00F24C86" w:rsidRPr="001B4A02" w:rsidRDefault="00000000" w:rsidP="0012179D">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42866D09" w14:textId="77777777" w:rsidR="00F24C86" w:rsidRPr="001B4A02" w:rsidRDefault="00000000" w:rsidP="0012179D">
            <w:pPr>
              <w:pStyle w:val="EMEANormal"/>
              <w:rPr>
                <w:szCs w:val="22"/>
                <w:lang w:val="cs-CZ"/>
              </w:rPr>
            </w:pPr>
            <w:r w:rsidRPr="001B4A02">
              <w:rPr>
                <w:szCs w:val="22"/>
                <w:lang w:val="cs-CZ"/>
              </w:rPr>
              <w:t>Perforace střeva</w:t>
            </w:r>
            <w:r w:rsidRPr="001B4A02">
              <w:rPr>
                <w:szCs w:val="22"/>
                <w:vertAlign w:val="superscript"/>
                <w:lang w:val="cs-CZ"/>
              </w:rPr>
              <w:t>1)</w:t>
            </w:r>
          </w:p>
          <w:p w14:paraId="3A11CD02" w14:textId="77777777" w:rsidR="00F24C86" w:rsidRPr="001B4A02" w:rsidRDefault="00F24C86" w:rsidP="0012179D">
            <w:pPr>
              <w:pStyle w:val="EMEANormal"/>
              <w:rPr>
                <w:szCs w:val="22"/>
                <w:lang w:val="cs-CZ"/>
              </w:rPr>
            </w:pPr>
          </w:p>
        </w:tc>
      </w:tr>
      <w:tr w:rsidR="00534A2D" w14:paraId="6CEBB8D5" w14:textId="77777777" w:rsidTr="00E501B6">
        <w:trPr>
          <w:trHeight w:val="138"/>
          <w:jc w:val="center"/>
        </w:trPr>
        <w:tc>
          <w:tcPr>
            <w:tcW w:w="2880" w:type="dxa"/>
            <w:vMerge w:val="restart"/>
            <w:tcBorders>
              <w:top w:val="single" w:sz="4" w:space="0" w:color="auto"/>
              <w:left w:val="single" w:sz="4" w:space="0" w:color="auto"/>
              <w:right w:val="single" w:sz="4" w:space="0" w:color="auto"/>
            </w:tcBorders>
          </w:tcPr>
          <w:p w14:paraId="11AF718D" w14:textId="77777777" w:rsidR="00F24C86" w:rsidRPr="001B4A02" w:rsidRDefault="00000000" w:rsidP="0012179D">
            <w:pPr>
              <w:keepNext/>
              <w:tabs>
                <w:tab w:val="left" w:pos="0"/>
              </w:tabs>
              <w:ind w:left="0" w:firstLine="0"/>
              <w:rPr>
                <w:szCs w:val="22"/>
              </w:rPr>
            </w:pPr>
            <w:r w:rsidRPr="001B4A02">
              <w:rPr>
                <w:szCs w:val="22"/>
              </w:rPr>
              <w:t>Poruchy jater</w:t>
            </w:r>
            <w:r w:rsidR="002378E0">
              <w:rPr>
                <w:szCs w:val="22"/>
              </w:rPr>
              <w:t xml:space="preserve"> a </w:t>
            </w:r>
            <w:r w:rsidRPr="001B4A02">
              <w:rPr>
                <w:szCs w:val="22"/>
              </w:rPr>
              <w:t>žlučových cest*</w:t>
            </w:r>
          </w:p>
        </w:tc>
        <w:tc>
          <w:tcPr>
            <w:tcW w:w="1440" w:type="dxa"/>
            <w:tcBorders>
              <w:top w:val="single" w:sz="4" w:space="0" w:color="auto"/>
              <w:left w:val="single" w:sz="4" w:space="0" w:color="auto"/>
              <w:bottom w:val="single" w:sz="4" w:space="0" w:color="auto"/>
              <w:right w:val="single" w:sz="4" w:space="0" w:color="auto"/>
            </w:tcBorders>
          </w:tcPr>
          <w:p w14:paraId="12A3DA95" w14:textId="77777777" w:rsidR="00F24C86" w:rsidRPr="001B4A02" w:rsidRDefault="00000000" w:rsidP="0012179D">
            <w:pPr>
              <w:pStyle w:val="EMEANormal"/>
              <w:keepNext/>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33054DFC" w14:textId="77777777" w:rsidR="00F24C86" w:rsidRPr="001B4A02" w:rsidRDefault="00000000" w:rsidP="0012179D">
            <w:pPr>
              <w:pStyle w:val="EMEANormal"/>
              <w:keepNext/>
              <w:rPr>
                <w:szCs w:val="22"/>
                <w:lang w:val="cs-CZ"/>
              </w:rPr>
            </w:pPr>
            <w:r w:rsidRPr="001B4A02">
              <w:rPr>
                <w:szCs w:val="22"/>
                <w:lang w:val="cs-CZ"/>
              </w:rPr>
              <w:t>Zvýšení jaterních enzymů</w:t>
            </w:r>
          </w:p>
          <w:p w14:paraId="6D8D9DCD" w14:textId="77777777" w:rsidR="00F24C86" w:rsidRPr="001B4A02" w:rsidRDefault="00F24C86" w:rsidP="0012179D">
            <w:pPr>
              <w:pStyle w:val="EMEANormal"/>
              <w:keepNext/>
              <w:rPr>
                <w:szCs w:val="22"/>
                <w:lang w:val="cs-CZ"/>
              </w:rPr>
            </w:pPr>
          </w:p>
        </w:tc>
      </w:tr>
      <w:tr w:rsidR="00534A2D" w14:paraId="3FCCC1BB" w14:textId="77777777" w:rsidTr="00E501B6">
        <w:trPr>
          <w:trHeight w:val="137"/>
          <w:jc w:val="center"/>
        </w:trPr>
        <w:tc>
          <w:tcPr>
            <w:tcW w:w="0" w:type="auto"/>
            <w:vMerge/>
            <w:tcBorders>
              <w:left w:val="single" w:sz="4" w:space="0" w:color="auto"/>
              <w:right w:val="single" w:sz="4" w:space="0" w:color="auto"/>
            </w:tcBorders>
            <w:vAlign w:val="center"/>
          </w:tcPr>
          <w:p w14:paraId="2A1EAADB" w14:textId="77777777" w:rsidR="00F24C86" w:rsidRPr="001B4A02" w:rsidRDefault="00F24C86" w:rsidP="0012179D">
            <w:pPr>
              <w:keepNext/>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758D678D" w14:textId="77777777" w:rsidR="00F24C86" w:rsidRPr="001B4A02" w:rsidRDefault="00000000" w:rsidP="0012179D">
            <w:pPr>
              <w:pStyle w:val="EMEANormal"/>
              <w:keepNext/>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4CCA7DD0" w14:textId="77777777" w:rsidR="00F24C86" w:rsidRPr="001B4A02" w:rsidRDefault="00000000" w:rsidP="0012179D">
            <w:pPr>
              <w:pStyle w:val="EMEANormal"/>
              <w:keepNext/>
              <w:rPr>
                <w:szCs w:val="22"/>
                <w:lang w:val="cs-CZ"/>
              </w:rPr>
            </w:pPr>
            <w:r w:rsidRPr="001B4A02">
              <w:rPr>
                <w:szCs w:val="22"/>
                <w:lang w:val="cs-CZ"/>
              </w:rPr>
              <w:t>Steatóza jater,</w:t>
            </w:r>
          </w:p>
          <w:p w14:paraId="0F497C7E" w14:textId="77777777" w:rsidR="00F24C86" w:rsidRPr="001B4A02" w:rsidRDefault="00000000" w:rsidP="0012179D">
            <w:pPr>
              <w:pStyle w:val="EMEANormal"/>
              <w:keepNext/>
              <w:rPr>
                <w:szCs w:val="22"/>
                <w:lang w:val="cs-CZ"/>
              </w:rPr>
            </w:pPr>
            <w:r w:rsidRPr="001B4A02">
              <w:rPr>
                <w:szCs w:val="22"/>
                <w:lang w:val="cs-CZ"/>
              </w:rPr>
              <w:t>cholecystitida</w:t>
            </w:r>
            <w:r w:rsidR="002378E0">
              <w:rPr>
                <w:szCs w:val="22"/>
                <w:lang w:val="cs-CZ"/>
              </w:rPr>
              <w:t xml:space="preserve"> a </w:t>
            </w:r>
            <w:r w:rsidRPr="001B4A02">
              <w:rPr>
                <w:szCs w:val="22"/>
                <w:lang w:val="cs-CZ"/>
              </w:rPr>
              <w:t>cholelithiáza,</w:t>
            </w:r>
          </w:p>
          <w:p w14:paraId="11399EC8" w14:textId="77777777" w:rsidR="00F24C86" w:rsidRPr="001B4A02" w:rsidRDefault="00000000" w:rsidP="0012179D">
            <w:pPr>
              <w:pStyle w:val="EMEANormal"/>
              <w:keepNext/>
              <w:rPr>
                <w:szCs w:val="22"/>
                <w:lang w:val="cs-CZ"/>
              </w:rPr>
            </w:pPr>
            <w:r w:rsidRPr="001B4A02">
              <w:rPr>
                <w:szCs w:val="22"/>
                <w:lang w:val="cs-CZ"/>
              </w:rPr>
              <w:t>zvýšení bilirubinu</w:t>
            </w:r>
          </w:p>
          <w:p w14:paraId="6A8D0A30" w14:textId="77777777" w:rsidR="00F24C86" w:rsidRPr="001B4A02" w:rsidRDefault="00F24C86" w:rsidP="0012179D">
            <w:pPr>
              <w:pStyle w:val="EMEANormal"/>
              <w:keepNext/>
              <w:rPr>
                <w:szCs w:val="22"/>
                <w:lang w:val="cs-CZ"/>
              </w:rPr>
            </w:pPr>
          </w:p>
        </w:tc>
      </w:tr>
      <w:tr w:rsidR="00534A2D" w14:paraId="4D6AB53D" w14:textId="77777777" w:rsidTr="00E501B6">
        <w:trPr>
          <w:trHeight w:val="390"/>
          <w:jc w:val="center"/>
        </w:trPr>
        <w:tc>
          <w:tcPr>
            <w:tcW w:w="0" w:type="auto"/>
            <w:vMerge/>
            <w:tcBorders>
              <w:left w:val="single" w:sz="4" w:space="0" w:color="auto"/>
              <w:right w:val="single" w:sz="4" w:space="0" w:color="auto"/>
            </w:tcBorders>
            <w:vAlign w:val="center"/>
          </w:tcPr>
          <w:p w14:paraId="2D310B29" w14:textId="77777777" w:rsidR="00F24C86" w:rsidRPr="001B4A02" w:rsidRDefault="00F24C86" w:rsidP="0012179D">
            <w:pPr>
              <w:keepNext/>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4D85F0C5" w14:textId="77777777" w:rsidR="00F24C86" w:rsidRPr="001B4A02" w:rsidRDefault="00000000" w:rsidP="0012179D">
            <w:pPr>
              <w:pStyle w:val="EMEANormal"/>
              <w:keepNext/>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26729D58" w14:textId="77777777" w:rsidR="00F24C86" w:rsidRPr="001B4A02" w:rsidRDefault="00000000" w:rsidP="0012179D">
            <w:pPr>
              <w:pStyle w:val="EMEANormal"/>
              <w:keepNext/>
              <w:rPr>
                <w:szCs w:val="22"/>
                <w:lang w:val="cs-CZ"/>
              </w:rPr>
            </w:pPr>
            <w:r w:rsidRPr="001B4A02">
              <w:rPr>
                <w:szCs w:val="22"/>
                <w:lang w:val="cs-CZ"/>
              </w:rPr>
              <w:t>Hepatitida,</w:t>
            </w:r>
          </w:p>
          <w:p w14:paraId="160B0267" w14:textId="77777777" w:rsidR="00F24C86" w:rsidRPr="001B4A02" w:rsidRDefault="00000000" w:rsidP="0012179D">
            <w:pPr>
              <w:pStyle w:val="EMEANormal"/>
              <w:keepNext/>
              <w:rPr>
                <w:szCs w:val="22"/>
                <w:lang w:val="cs-CZ"/>
              </w:rPr>
            </w:pPr>
            <w:r w:rsidRPr="001B4A02">
              <w:rPr>
                <w:szCs w:val="22"/>
                <w:lang w:val="cs-CZ"/>
              </w:rPr>
              <w:t>reaktivace hepatitidy B</w:t>
            </w:r>
            <w:r w:rsidRPr="001B4A02">
              <w:rPr>
                <w:szCs w:val="22"/>
                <w:vertAlign w:val="superscript"/>
                <w:lang w:val="cs-CZ"/>
              </w:rPr>
              <w:t>1)</w:t>
            </w:r>
            <w:r w:rsidRPr="001B4A02">
              <w:rPr>
                <w:szCs w:val="22"/>
                <w:lang w:val="cs-CZ"/>
              </w:rPr>
              <w:t>,</w:t>
            </w:r>
          </w:p>
          <w:p w14:paraId="3F67DD32" w14:textId="77777777" w:rsidR="00F24C86" w:rsidRPr="001B4A02" w:rsidRDefault="00000000" w:rsidP="0012179D">
            <w:pPr>
              <w:pStyle w:val="EMEANormal"/>
              <w:keepNext/>
              <w:rPr>
                <w:szCs w:val="22"/>
                <w:lang w:val="cs-CZ"/>
              </w:rPr>
            </w:pPr>
            <w:r w:rsidRPr="001B4A02">
              <w:rPr>
                <w:szCs w:val="22"/>
                <w:lang w:val="cs-CZ"/>
              </w:rPr>
              <w:t>autoimunní hepatitida</w:t>
            </w:r>
            <w:r w:rsidRPr="001B4A02">
              <w:rPr>
                <w:szCs w:val="22"/>
                <w:vertAlign w:val="superscript"/>
                <w:lang w:val="cs-CZ"/>
              </w:rPr>
              <w:t>1)</w:t>
            </w:r>
          </w:p>
          <w:p w14:paraId="0E9D8E59" w14:textId="77777777" w:rsidR="00F24C86" w:rsidRPr="001B4A02" w:rsidRDefault="00F24C86" w:rsidP="0012179D">
            <w:pPr>
              <w:pStyle w:val="EMEANormal"/>
              <w:keepNext/>
              <w:rPr>
                <w:szCs w:val="22"/>
                <w:lang w:val="cs-CZ"/>
              </w:rPr>
            </w:pPr>
          </w:p>
        </w:tc>
      </w:tr>
      <w:tr w:rsidR="00534A2D" w14:paraId="665EAAE2" w14:textId="77777777" w:rsidTr="00E501B6">
        <w:trPr>
          <w:trHeight w:val="390"/>
          <w:jc w:val="center"/>
        </w:trPr>
        <w:tc>
          <w:tcPr>
            <w:tcW w:w="0" w:type="auto"/>
            <w:vMerge/>
            <w:tcBorders>
              <w:left w:val="single" w:sz="4" w:space="0" w:color="auto"/>
              <w:bottom w:val="nil"/>
              <w:right w:val="single" w:sz="4" w:space="0" w:color="auto"/>
            </w:tcBorders>
            <w:vAlign w:val="center"/>
          </w:tcPr>
          <w:p w14:paraId="11B7B4E3" w14:textId="77777777" w:rsidR="00F24C86" w:rsidRPr="001B4A02" w:rsidRDefault="00F24C86" w:rsidP="0012179D">
            <w:pPr>
              <w:keepNext/>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4FA32621" w14:textId="77777777" w:rsidR="00F24C86" w:rsidRPr="001B4A02" w:rsidRDefault="00000000" w:rsidP="0012179D">
            <w:pPr>
              <w:pStyle w:val="EMEANormal"/>
              <w:keepNext/>
              <w:rPr>
                <w:szCs w:val="22"/>
                <w:lang w:val="cs-CZ"/>
              </w:rPr>
            </w:pPr>
            <w:r w:rsidRPr="001B4A02">
              <w:rPr>
                <w:szCs w:val="22"/>
                <w:lang w:val="cs-CZ"/>
              </w:rPr>
              <w:t>Není známo</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40FAACA2" w14:textId="77777777" w:rsidR="00F24C86" w:rsidRPr="001B4A02" w:rsidRDefault="00000000" w:rsidP="0012179D">
            <w:pPr>
              <w:pStyle w:val="EMEANormal"/>
              <w:keepNext/>
              <w:rPr>
                <w:szCs w:val="22"/>
                <w:lang w:val="cs-CZ"/>
              </w:rPr>
            </w:pPr>
            <w:r w:rsidRPr="001B4A02">
              <w:rPr>
                <w:szCs w:val="22"/>
                <w:lang w:val="cs-CZ"/>
              </w:rPr>
              <w:t>Selhání jater</w:t>
            </w:r>
            <w:r w:rsidRPr="001B4A02">
              <w:rPr>
                <w:szCs w:val="22"/>
                <w:vertAlign w:val="superscript"/>
                <w:lang w:val="cs-CZ"/>
              </w:rPr>
              <w:t>1)</w:t>
            </w:r>
          </w:p>
          <w:p w14:paraId="6BBDAB39" w14:textId="77777777" w:rsidR="00F24C86" w:rsidRPr="001B4A02" w:rsidRDefault="00F24C86" w:rsidP="0012179D">
            <w:pPr>
              <w:pStyle w:val="EMEANormal"/>
              <w:keepNext/>
              <w:rPr>
                <w:szCs w:val="22"/>
                <w:lang w:val="cs-CZ"/>
              </w:rPr>
            </w:pPr>
          </w:p>
        </w:tc>
      </w:tr>
      <w:tr w:rsidR="00534A2D" w14:paraId="7A55C37E" w14:textId="77777777" w:rsidTr="00E501B6">
        <w:trPr>
          <w:cantSplit/>
          <w:trHeight w:val="127"/>
          <w:jc w:val="center"/>
        </w:trPr>
        <w:tc>
          <w:tcPr>
            <w:tcW w:w="2880" w:type="dxa"/>
            <w:vMerge w:val="restart"/>
            <w:tcBorders>
              <w:top w:val="single" w:sz="4" w:space="0" w:color="auto"/>
              <w:left w:val="single" w:sz="4" w:space="0" w:color="auto"/>
              <w:right w:val="single" w:sz="4" w:space="0" w:color="auto"/>
            </w:tcBorders>
          </w:tcPr>
          <w:p w14:paraId="58CE7FA2" w14:textId="77777777" w:rsidR="006855DE" w:rsidRPr="001B4A02" w:rsidRDefault="00000000" w:rsidP="0012179D">
            <w:pPr>
              <w:pStyle w:val="EMEANormal"/>
              <w:tabs>
                <w:tab w:val="left" w:pos="0"/>
              </w:tabs>
              <w:rPr>
                <w:szCs w:val="22"/>
                <w:lang w:val="cs-CZ"/>
              </w:rPr>
            </w:pPr>
            <w:r w:rsidRPr="001B4A02">
              <w:rPr>
                <w:szCs w:val="22"/>
                <w:lang w:val="cs-CZ"/>
              </w:rPr>
              <w:t>Poruchy kůže</w:t>
            </w:r>
            <w:r>
              <w:rPr>
                <w:szCs w:val="22"/>
                <w:lang w:val="cs-CZ"/>
              </w:rPr>
              <w:t xml:space="preserve"> a </w:t>
            </w:r>
            <w:r w:rsidRPr="001B4A02">
              <w:rPr>
                <w:szCs w:val="22"/>
                <w:lang w:val="cs-CZ"/>
              </w:rPr>
              <w:t>podkožní tkáně</w:t>
            </w:r>
          </w:p>
        </w:tc>
        <w:tc>
          <w:tcPr>
            <w:tcW w:w="1440" w:type="dxa"/>
            <w:tcBorders>
              <w:top w:val="single" w:sz="4" w:space="0" w:color="auto"/>
              <w:left w:val="single" w:sz="4" w:space="0" w:color="auto"/>
              <w:bottom w:val="single" w:sz="4" w:space="0" w:color="auto"/>
              <w:right w:val="single" w:sz="4" w:space="0" w:color="auto"/>
            </w:tcBorders>
          </w:tcPr>
          <w:p w14:paraId="05035A66" w14:textId="77777777" w:rsidR="006855DE" w:rsidRPr="001B4A02" w:rsidRDefault="00000000" w:rsidP="0012179D">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6CAFA7C9" w14:textId="77777777" w:rsidR="006855DE" w:rsidRPr="001B4A02" w:rsidRDefault="00000000" w:rsidP="0012179D">
            <w:pPr>
              <w:pStyle w:val="EMEANormal"/>
              <w:rPr>
                <w:szCs w:val="22"/>
                <w:lang w:val="cs-CZ"/>
              </w:rPr>
            </w:pPr>
            <w:r w:rsidRPr="001B4A02">
              <w:rPr>
                <w:szCs w:val="22"/>
                <w:lang w:val="cs-CZ"/>
              </w:rPr>
              <w:t>Rash (včetně exfoliativního rashe)</w:t>
            </w:r>
          </w:p>
          <w:p w14:paraId="29C4B4B8" w14:textId="77777777" w:rsidR="006855DE" w:rsidRPr="001B4A02" w:rsidRDefault="006855DE" w:rsidP="0012179D">
            <w:pPr>
              <w:pStyle w:val="EMEANormal"/>
              <w:rPr>
                <w:szCs w:val="22"/>
                <w:lang w:val="cs-CZ"/>
              </w:rPr>
            </w:pPr>
          </w:p>
        </w:tc>
      </w:tr>
      <w:tr w:rsidR="00534A2D" w14:paraId="43BA64FD" w14:textId="77777777" w:rsidTr="00E501B6">
        <w:trPr>
          <w:cantSplit/>
          <w:trHeight w:val="127"/>
          <w:jc w:val="center"/>
        </w:trPr>
        <w:tc>
          <w:tcPr>
            <w:tcW w:w="0" w:type="auto"/>
            <w:vMerge/>
            <w:tcBorders>
              <w:left w:val="single" w:sz="4" w:space="0" w:color="auto"/>
              <w:right w:val="single" w:sz="4" w:space="0" w:color="auto"/>
            </w:tcBorders>
            <w:vAlign w:val="center"/>
          </w:tcPr>
          <w:p w14:paraId="4739B202" w14:textId="77777777" w:rsidR="006855DE" w:rsidRPr="001B4A02" w:rsidRDefault="006855DE"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B6ECCAC" w14:textId="77777777" w:rsidR="006855DE"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34AEA313" w14:textId="77777777" w:rsidR="006855DE" w:rsidRPr="001B4A02" w:rsidRDefault="00000000" w:rsidP="0012179D">
            <w:pPr>
              <w:pStyle w:val="EMEANormal"/>
              <w:rPr>
                <w:lang w:val="cs-CZ"/>
              </w:rPr>
            </w:pPr>
            <w:r w:rsidRPr="001B4A02">
              <w:rPr>
                <w:lang w:val="cs-CZ"/>
              </w:rPr>
              <w:t>Nový výskyt nebo zhoršení psoriázy (včetně palmoplantární pustulózní psoriázy)</w:t>
            </w:r>
            <w:r w:rsidRPr="001B4A02">
              <w:rPr>
                <w:szCs w:val="22"/>
                <w:vertAlign w:val="superscript"/>
                <w:lang w:val="cs-CZ"/>
              </w:rPr>
              <w:t>1)</w:t>
            </w:r>
            <w:r w:rsidRPr="001B4A02">
              <w:rPr>
                <w:lang w:val="cs-CZ"/>
              </w:rPr>
              <w:t>,</w:t>
            </w:r>
          </w:p>
          <w:p w14:paraId="2AB2D969" w14:textId="77777777" w:rsidR="006855DE" w:rsidRPr="001B4A02" w:rsidRDefault="00000000" w:rsidP="0012179D">
            <w:pPr>
              <w:pStyle w:val="EMEANormal"/>
              <w:rPr>
                <w:szCs w:val="22"/>
                <w:lang w:val="cs-CZ"/>
              </w:rPr>
            </w:pPr>
            <w:r w:rsidRPr="001B4A02">
              <w:rPr>
                <w:szCs w:val="22"/>
                <w:lang w:val="cs-CZ"/>
              </w:rPr>
              <w:t>urtikarie,</w:t>
            </w:r>
          </w:p>
          <w:p w14:paraId="2A4B4BE4" w14:textId="77777777" w:rsidR="006855DE" w:rsidRPr="001B4A02" w:rsidRDefault="00000000" w:rsidP="0012179D">
            <w:pPr>
              <w:pStyle w:val="EMEANormal"/>
              <w:rPr>
                <w:szCs w:val="22"/>
                <w:lang w:val="cs-CZ"/>
              </w:rPr>
            </w:pPr>
            <w:r w:rsidRPr="001B4A02">
              <w:rPr>
                <w:szCs w:val="22"/>
                <w:lang w:val="cs-CZ"/>
              </w:rPr>
              <w:t>tvorba modřin (včetně purpury),</w:t>
            </w:r>
          </w:p>
          <w:p w14:paraId="25AB2CE4" w14:textId="77777777" w:rsidR="006855DE" w:rsidRPr="001B4A02" w:rsidRDefault="00000000" w:rsidP="0012179D">
            <w:pPr>
              <w:pStyle w:val="EMEANormal"/>
              <w:rPr>
                <w:szCs w:val="22"/>
                <w:lang w:val="cs-CZ"/>
              </w:rPr>
            </w:pPr>
            <w:r w:rsidRPr="001B4A02">
              <w:rPr>
                <w:szCs w:val="22"/>
                <w:lang w:val="cs-CZ"/>
              </w:rPr>
              <w:t>dermatitida (včetně ekzému),</w:t>
            </w:r>
          </w:p>
          <w:p w14:paraId="32E5F01C" w14:textId="77777777" w:rsidR="006855DE" w:rsidRPr="001B4A02" w:rsidRDefault="00000000" w:rsidP="0012179D">
            <w:pPr>
              <w:pStyle w:val="EMEANormal"/>
              <w:rPr>
                <w:szCs w:val="22"/>
                <w:lang w:val="cs-CZ"/>
              </w:rPr>
            </w:pPr>
            <w:r w:rsidRPr="001B4A02">
              <w:rPr>
                <w:szCs w:val="22"/>
                <w:lang w:val="cs-CZ"/>
              </w:rPr>
              <w:t>onychoklázie,</w:t>
            </w:r>
          </w:p>
          <w:p w14:paraId="3A392E60" w14:textId="77777777" w:rsidR="006855DE" w:rsidRPr="001B4A02" w:rsidRDefault="00000000" w:rsidP="0012179D">
            <w:pPr>
              <w:pStyle w:val="EMEANormal"/>
              <w:rPr>
                <w:szCs w:val="22"/>
                <w:lang w:val="cs-CZ"/>
              </w:rPr>
            </w:pPr>
            <w:r w:rsidRPr="001B4A02">
              <w:rPr>
                <w:szCs w:val="22"/>
                <w:lang w:val="cs-CZ"/>
              </w:rPr>
              <w:t>hyperhidróza,</w:t>
            </w:r>
          </w:p>
          <w:p w14:paraId="3EB4E84D" w14:textId="77777777" w:rsidR="006855DE" w:rsidRPr="001B4A02" w:rsidRDefault="00000000" w:rsidP="0012179D">
            <w:pPr>
              <w:pStyle w:val="EMEANormal"/>
              <w:rPr>
                <w:szCs w:val="22"/>
                <w:lang w:val="cs-CZ"/>
              </w:rPr>
            </w:pPr>
            <w:r w:rsidRPr="001B4A02">
              <w:rPr>
                <w:szCs w:val="22"/>
                <w:lang w:val="cs-CZ"/>
              </w:rPr>
              <w:t>alopecie</w:t>
            </w:r>
            <w:r w:rsidRPr="001B4A02">
              <w:rPr>
                <w:szCs w:val="22"/>
                <w:vertAlign w:val="superscript"/>
                <w:lang w:val="cs-CZ"/>
              </w:rPr>
              <w:t>1)</w:t>
            </w:r>
            <w:r w:rsidRPr="001B4A02">
              <w:rPr>
                <w:szCs w:val="22"/>
                <w:lang w:val="cs-CZ"/>
              </w:rPr>
              <w:t>,</w:t>
            </w:r>
          </w:p>
          <w:p w14:paraId="3D409A21" w14:textId="77777777" w:rsidR="006855DE" w:rsidRPr="001B4A02" w:rsidRDefault="00000000" w:rsidP="0012179D">
            <w:pPr>
              <w:pStyle w:val="EMEANormal"/>
              <w:rPr>
                <w:szCs w:val="22"/>
                <w:lang w:val="cs-CZ"/>
              </w:rPr>
            </w:pPr>
            <w:r w:rsidRPr="001B4A02">
              <w:rPr>
                <w:szCs w:val="22"/>
                <w:lang w:val="cs-CZ"/>
              </w:rPr>
              <w:t>pruritus</w:t>
            </w:r>
          </w:p>
          <w:p w14:paraId="7265BAC1" w14:textId="77777777" w:rsidR="006855DE" w:rsidRPr="001B4A02" w:rsidRDefault="006855DE" w:rsidP="0012179D">
            <w:pPr>
              <w:pStyle w:val="EMEANormal"/>
              <w:rPr>
                <w:szCs w:val="22"/>
                <w:lang w:val="cs-CZ"/>
              </w:rPr>
            </w:pPr>
          </w:p>
        </w:tc>
      </w:tr>
      <w:tr w:rsidR="00534A2D" w14:paraId="310726BF" w14:textId="77777777" w:rsidTr="00E501B6">
        <w:trPr>
          <w:cantSplit/>
          <w:trHeight w:val="132"/>
          <w:jc w:val="center"/>
        </w:trPr>
        <w:tc>
          <w:tcPr>
            <w:tcW w:w="0" w:type="auto"/>
            <w:vMerge/>
            <w:tcBorders>
              <w:left w:val="single" w:sz="4" w:space="0" w:color="auto"/>
              <w:right w:val="single" w:sz="4" w:space="0" w:color="auto"/>
            </w:tcBorders>
            <w:vAlign w:val="center"/>
          </w:tcPr>
          <w:p w14:paraId="60C126E2" w14:textId="77777777" w:rsidR="006855DE" w:rsidRPr="001B4A02" w:rsidRDefault="006855DE"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6CFD984C" w14:textId="77777777" w:rsidR="006855DE" w:rsidRPr="001B4A02" w:rsidRDefault="00000000" w:rsidP="0012179D">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57C88089" w14:textId="77777777" w:rsidR="006855DE" w:rsidRPr="001B4A02" w:rsidRDefault="00000000" w:rsidP="0012179D">
            <w:pPr>
              <w:pStyle w:val="EMEANormal"/>
              <w:rPr>
                <w:szCs w:val="22"/>
                <w:lang w:val="cs-CZ"/>
              </w:rPr>
            </w:pPr>
            <w:r w:rsidRPr="001B4A02">
              <w:rPr>
                <w:szCs w:val="22"/>
                <w:lang w:val="cs-CZ"/>
              </w:rPr>
              <w:t>Noční pocení,</w:t>
            </w:r>
          </w:p>
          <w:p w14:paraId="41F7FB62" w14:textId="77777777" w:rsidR="006855DE" w:rsidRPr="001B4A02" w:rsidRDefault="00000000" w:rsidP="0012179D">
            <w:pPr>
              <w:pStyle w:val="EMEANormal"/>
              <w:rPr>
                <w:szCs w:val="22"/>
                <w:lang w:val="cs-CZ"/>
              </w:rPr>
            </w:pPr>
            <w:r w:rsidRPr="001B4A02">
              <w:rPr>
                <w:szCs w:val="22"/>
                <w:lang w:val="cs-CZ"/>
              </w:rPr>
              <w:t>zjizvení</w:t>
            </w:r>
          </w:p>
          <w:p w14:paraId="6173C2DB" w14:textId="77777777" w:rsidR="006855DE" w:rsidRPr="001B4A02" w:rsidRDefault="006855DE" w:rsidP="0012179D">
            <w:pPr>
              <w:pStyle w:val="EMEANormal"/>
              <w:rPr>
                <w:szCs w:val="22"/>
                <w:lang w:val="cs-CZ"/>
              </w:rPr>
            </w:pPr>
          </w:p>
        </w:tc>
      </w:tr>
      <w:tr w:rsidR="00534A2D" w14:paraId="3E879878" w14:textId="77777777" w:rsidTr="00E501B6">
        <w:trPr>
          <w:cantSplit/>
          <w:trHeight w:val="132"/>
          <w:jc w:val="center"/>
        </w:trPr>
        <w:tc>
          <w:tcPr>
            <w:tcW w:w="0" w:type="auto"/>
            <w:vMerge/>
            <w:tcBorders>
              <w:left w:val="single" w:sz="4" w:space="0" w:color="auto"/>
              <w:right w:val="single" w:sz="4" w:space="0" w:color="auto"/>
            </w:tcBorders>
            <w:vAlign w:val="center"/>
          </w:tcPr>
          <w:p w14:paraId="7A664965" w14:textId="77777777" w:rsidR="006855DE" w:rsidRPr="001B4A02" w:rsidRDefault="006855DE"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411AA9FE" w14:textId="77777777" w:rsidR="006855DE" w:rsidRPr="001B4A02" w:rsidRDefault="00000000" w:rsidP="006855DE">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36F84A51" w14:textId="77777777" w:rsidR="006855DE" w:rsidRPr="001B4A02" w:rsidRDefault="00000000" w:rsidP="0012179D">
            <w:pPr>
              <w:pStyle w:val="EMEANormal"/>
              <w:rPr>
                <w:lang w:val="cs-CZ"/>
              </w:rPr>
            </w:pPr>
            <w:r w:rsidRPr="001B4A02">
              <w:rPr>
                <w:lang w:val="cs-CZ"/>
              </w:rPr>
              <w:t>Erythema multiforme</w:t>
            </w:r>
            <w:r w:rsidRPr="001B4A02">
              <w:rPr>
                <w:szCs w:val="22"/>
                <w:vertAlign w:val="superscript"/>
                <w:lang w:val="cs-CZ"/>
              </w:rPr>
              <w:t>1)</w:t>
            </w:r>
            <w:r w:rsidRPr="001B4A02">
              <w:rPr>
                <w:lang w:val="cs-CZ"/>
              </w:rPr>
              <w:t>,</w:t>
            </w:r>
          </w:p>
          <w:p w14:paraId="6E47E57B" w14:textId="77777777" w:rsidR="006855DE" w:rsidRPr="001B4A02" w:rsidRDefault="00000000" w:rsidP="0012179D">
            <w:pPr>
              <w:pStyle w:val="EMEANormal"/>
              <w:rPr>
                <w:lang w:val="cs-CZ"/>
              </w:rPr>
            </w:pPr>
            <w:r w:rsidRPr="001B4A02">
              <w:rPr>
                <w:lang w:val="cs-CZ"/>
              </w:rPr>
              <w:t>Stevens</w:t>
            </w:r>
            <w:r>
              <w:rPr>
                <w:lang w:val="cs-CZ"/>
              </w:rPr>
              <w:t>ův</w:t>
            </w:r>
            <w:r w:rsidRPr="001B4A02">
              <w:rPr>
                <w:lang w:val="cs-CZ"/>
              </w:rPr>
              <w:t>-Johnsonův syndrom</w:t>
            </w:r>
            <w:r w:rsidRPr="001B4A02">
              <w:rPr>
                <w:szCs w:val="22"/>
                <w:vertAlign w:val="superscript"/>
                <w:lang w:val="cs-CZ"/>
              </w:rPr>
              <w:t>1)</w:t>
            </w:r>
            <w:r w:rsidRPr="001B4A02">
              <w:rPr>
                <w:lang w:val="cs-CZ"/>
              </w:rPr>
              <w:t>,</w:t>
            </w:r>
          </w:p>
          <w:p w14:paraId="573B9AA4" w14:textId="77777777" w:rsidR="006855DE" w:rsidRPr="001B4A02" w:rsidRDefault="00000000" w:rsidP="0012179D">
            <w:pPr>
              <w:pStyle w:val="EMEANormal"/>
              <w:rPr>
                <w:lang w:val="cs-CZ"/>
              </w:rPr>
            </w:pPr>
            <w:r w:rsidRPr="001B4A02">
              <w:rPr>
                <w:lang w:val="cs-CZ"/>
              </w:rPr>
              <w:t>angioedém</w:t>
            </w:r>
            <w:r w:rsidRPr="001B4A02">
              <w:rPr>
                <w:szCs w:val="22"/>
                <w:vertAlign w:val="superscript"/>
                <w:lang w:val="cs-CZ"/>
              </w:rPr>
              <w:t>1)</w:t>
            </w:r>
            <w:r w:rsidRPr="001B4A02">
              <w:rPr>
                <w:lang w:val="cs-CZ"/>
              </w:rPr>
              <w:t>,</w:t>
            </w:r>
          </w:p>
          <w:p w14:paraId="24A86244" w14:textId="77777777" w:rsidR="006855DE" w:rsidRPr="00AA3D24" w:rsidRDefault="00000000" w:rsidP="0012179D">
            <w:pPr>
              <w:pStyle w:val="EMEANormal"/>
              <w:rPr>
                <w:szCs w:val="22"/>
                <w:lang w:val="cs-CZ"/>
              </w:rPr>
            </w:pPr>
            <w:r w:rsidRPr="001B4A02">
              <w:rPr>
                <w:szCs w:val="22"/>
                <w:lang w:val="cs-CZ"/>
              </w:rPr>
              <w:t>kožní vaskulitida</w:t>
            </w:r>
            <w:r w:rsidRPr="001B4A02">
              <w:rPr>
                <w:szCs w:val="22"/>
                <w:vertAlign w:val="superscript"/>
                <w:lang w:val="cs-CZ"/>
              </w:rPr>
              <w:t>1)</w:t>
            </w:r>
            <w:r>
              <w:rPr>
                <w:szCs w:val="22"/>
                <w:lang w:val="cs-CZ"/>
              </w:rPr>
              <w:t>,</w:t>
            </w:r>
          </w:p>
          <w:p w14:paraId="6ACE98A0" w14:textId="77777777" w:rsidR="006855DE" w:rsidRPr="001B4A02" w:rsidRDefault="00000000" w:rsidP="0012179D">
            <w:pPr>
              <w:pStyle w:val="EMEANormal"/>
              <w:rPr>
                <w:szCs w:val="22"/>
                <w:lang w:val="cs-CZ"/>
              </w:rPr>
            </w:pPr>
            <w:r>
              <w:rPr>
                <w:szCs w:val="22"/>
                <w:lang w:val="cs-CZ"/>
              </w:rPr>
              <w:t>lichenoidní kožní reakce</w:t>
            </w:r>
            <w:r w:rsidRPr="001B4A02">
              <w:rPr>
                <w:szCs w:val="22"/>
                <w:vertAlign w:val="superscript"/>
                <w:lang w:val="cs-CZ"/>
              </w:rPr>
              <w:t>1</w:t>
            </w:r>
            <w:r>
              <w:rPr>
                <w:szCs w:val="22"/>
                <w:vertAlign w:val="superscript"/>
                <w:lang w:val="cs-CZ"/>
              </w:rPr>
              <w:t>)</w:t>
            </w:r>
          </w:p>
          <w:p w14:paraId="12C22EBC" w14:textId="77777777" w:rsidR="006855DE" w:rsidRPr="001B4A02" w:rsidRDefault="006855DE" w:rsidP="006855DE">
            <w:pPr>
              <w:pStyle w:val="EMEANormal"/>
              <w:rPr>
                <w:szCs w:val="22"/>
                <w:lang w:val="cs-CZ"/>
              </w:rPr>
            </w:pPr>
          </w:p>
        </w:tc>
      </w:tr>
      <w:tr w:rsidR="00534A2D" w14:paraId="021AD7D6" w14:textId="77777777" w:rsidTr="00336B48">
        <w:trPr>
          <w:cantSplit/>
          <w:trHeight w:val="132"/>
          <w:jc w:val="center"/>
        </w:trPr>
        <w:tc>
          <w:tcPr>
            <w:tcW w:w="0" w:type="auto"/>
            <w:vMerge/>
            <w:tcBorders>
              <w:left w:val="single" w:sz="4" w:space="0" w:color="auto"/>
              <w:bottom w:val="single" w:sz="4" w:space="0" w:color="auto"/>
              <w:right w:val="single" w:sz="4" w:space="0" w:color="auto"/>
            </w:tcBorders>
            <w:vAlign w:val="center"/>
          </w:tcPr>
          <w:p w14:paraId="72F119F1" w14:textId="77777777" w:rsidR="006855DE" w:rsidRPr="001B4A02" w:rsidRDefault="006855DE"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67D3767" w14:textId="77777777" w:rsidR="006855DE" w:rsidRPr="001B4A02" w:rsidRDefault="00000000" w:rsidP="00701677">
            <w:pPr>
              <w:pStyle w:val="EMEANormal"/>
              <w:rPr>
                <w:szCs w:val="22"/>
                <w:lang w:val="cs-CZ"/>
              </w:rPr>
            </w:pPr>
            <w:r w:rsidRPr="001B4A02">
              <w:rPr>
                <w:szCs w:val="22"/>
                <w:lang w:val="cs-CZ"/>
              </w:rPr>
              <w:t>Není známo</w:t>
            </w:r>
          </w:p>
        </w:tc>
        <w:tc>
          <w:tcPr>
            <w:tcW w:w="4689" w:type="dxa"/>
            <w:tcBorders>
              <w:top w:val="single" w:sz="4" w:space="0" w:color="auto"/>
              <w:left w:val="single" w:sz="4" w:space="0" w:color="auto"/>
              <w:bottom w:val="single" w:sz="4" w:space="0" w:color="auto"/>
              <w:right w:val="single" w:sz="4" w:space="0" w:color="auto"/>
            </w:tcBorders>
          </w:tcPr>
          <w:p w14:paraId="2CC31FD8" w14:textId="77777777" w:rsidR="006855DE" w:rsidRPr="001B4A02" w:rsidRDefault="00000000" w:rsidP="006855DE">
            <w:pPr>
              <w:pStyle w:val="EMEANormal"/>
              <w:rPr>
                <w:szCs w:val="22"/>
                <w:lang w:val="cs-CZ"/>
              </w:rPr>
            </w:pPr>
            <w:r w:rsidRPr="001B4A02">
              <w:rPr>
                <w:szCs w:val="22"/>
                <w:lang w:val="cs-CZ"/>
              </w:rPr>
              <w:t>Zhoršení příznaků dermatomyozitidy</w:t>
            </w:r>
            <w:r w:rsidRPr="001B4A02">
              <w:rPr>
                <w:szCs w:val="22"/>
                <w:vertAlign w:val="superscript"/>
                <w:lang w:val="cs-CZ"/>
              </w:rPr>
              <w:t>1)</w:t>
            </w:r>
          </w:p>
          <w:p w14:paraId="54A96880" w14:textId="77777777" w:rsidR="006855DE" w:rsidRPr="001B4A02" w:rsidRDefault="006855DE" w:rsidP="0012179D">
            <w:pPr>
              <w:pStyle w:val="EMEANormal"/>
              <w:rPr>
                <w:lang w:val="cs-CZ"/>
              </w:rPr>
            </w:pPr>
          </w:p>
        </w:tc>
      </w:tr>
      <w:tr w:rsidR="00534A2D" w14:paraId="39B3E703" w14:textId="77777777" w:rsidTr="00E501B6">
        <w:trPr>
          <w:cantSplit/>
          <w:trHeight w:val="86"/>
          <w:jc w:val="center"/>
        </w:trPr>
        <w:tc>
          <w:tcPr>
            <w:tcW w:w="2880" w:type="dxa"/>
            <w:vMerge w:val="restart"/>
            <w:tcBorders>
              <w:top w:val="single" w:sz="4" w:space="0" w:color="auto"/>
              <w:left w:val="single" w:sz="4" w:space="0" w:color="auto"/>
              <w:bottom w:val="single" w:sz="4" w:space="0" w:color="auto"/>
              <w:right w:val="single" w:sz="4" w:space="0" w:color="auto"/>
            </w:tcBorders>
          </w:tcPr>
          <w:p w14:paraId="5AD6DE58" w14:textId="77777777" w:rsidR="00F24C86" w:rsidRPr="001B4A02" w:rsidRDefault="00000000" w:rsidP="0012179D">
            <w:pPr>
              <w:tabs>
                <w:tab w:val="left" w:pos="0"/>
              </w:tabs>
              <w:ind w:left="0" w:firstLine="0"/>
              <w:rPr>
                <w:szCs w:val="22"/>
              </w:rPr>
            </w:pPr>
            <w:r w:rsidRPr="001B4A02">
              <w:rPr>
                <w:szCs w:val="22"/>
              </w:rPr>
              <w:t xml:space="preserve">Poruchy </w:t>
            </w:r>
            <w:r w:rsidR="006571D2" w:rsidRPr="001B4A02">
              <w:rPr>
                <w:szCs w:val="22"/>
              </w:rPr>
              <w:t>svalové</w:t>
            </w:r>
            <w:r w:rsidR="002378E0">
              <w:rPr>
                <w:szCs w:val="22"/>
              </w:rPr>
              <w:t xml:space="preserve"> a </w:t>
            </w:r>
            <w:r w:rsidR="006571D2" w:rsidRPr="001B4A02">
              <w:rPr>
                <w:szCs w:val="22"/>
              </w:rPr>
              <w:t>kosterní soustavy</w:t>
            </w:r>
            <w:r w:rsidR="002378E0">
              <w:rPr>
                <w:szCs w:val="22"/>
              </w:rPr>
              <w:t xml:space="preserve"> a </w:t>
            </w:r>
            <w:r w:rsidRPr="001B4A02">
              <w:rPr>
                <w:szCs w:val="22"/>
              </w:rPr>
              <w:t>pojivové tkáně</w:t>
            </w:r>
          </w:p>
        </w:tc>
        <w:tc>
          <w:tcPr>
            <w:tcW w:w="1440" w:type="dxa"/>
            <w:tcBorders>
              <w:top w:val="single" w:sz="4" w:space="0" w:color="auto"/>
              <w:left w:val="single" w:sz="4" w:space="0" w:color="auto"/>
              <w:bottom w:val="single" w:sz="4" w:space="0" w:color="auto"/>
              <w:right w:val="single" w:sz="4" w:space="0" w:color="auto"/>
            </w:tcBorders>
          </w:tcPr>
          <w:p w14:paraId="001CB941" w14:textId="77777777" w:rsidR="00F24C86" w:rsidRPr="001B4A02" w:rsidRDefault="00000000" w:rsidP="0012179D">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68FBB094" w14:textId="77777777" w:rsidR="00F24C86" w:rsidRPr="001B4A02" w:rsidRDefault="00000000" w:rsidP="0012179D">
            <w:pPr>
              <w:pStyle w:val="EMEANormal"/>
              <w:tabs>
                <w:tab w:val="clear" w:pos="562"/>
                <w:tab w:val="left" w:pos="708"/>
              </w:tabs>
              <w:suppressAutoHyphens w:val="0"/>
              <w:rPr>
                <w:lang w:val="cs-CZ"/>
              </w:rPr>
            </w:pPr>
            <w:r w:rsidRPr="001B4A02">
              <w:rPr>
                <w:lang w:val="cs-CZ"/>
              </w:rPr>
              <w:t>Muskuloskeletální bolest</w:t>
            </w:r>
          </w:p>
          <w:p w14:paraId="1AB1FFED" w14:textId="77777777" w:rsidR="00F24C86" w:rsidRPr="001B4A02" w:rsidRDefault="00F24C86" w:rsidP="0012179D">
            <w:pPr>
              <w:pStyle w:val="EMEANormal"/>
              <w:tabs>
                <w:tab w:val="clear" w:pos="562"/>
                <w:tab w:val="left" w:pos="708"/>
              </w:tabs>
              <w:suppressAutoHyphens w:val="0"/>
              <w:rPr>
                <w:lang w:val="cs-CZ"/>
              </w:rPr>
            </w:pPr>
          </w:p>
        </w:tc>
      </w:tr>
      <w:tr w:rsidR="00534A2D" w14:paraId="329AA591" w14:textId="77777777" w:rsidTr="00E501B6">
        <w:trPr>
          <w:cantSplit/>
          <w:trHeight w:val="8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5B2359B"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60BF5B24" w14:textId="77777777" w:rsidR="00F24C86"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28185A22" w14:textId="77777777" w:rsidR="00F24C86" w:rsidRPr="001B4A02" w:rsidRDefault="00000000" w:rsidP="0012179D">
            <w:pPr>
              <w:pStyle w:val="EMEANormal"/>
              <w:tabs>
                <w:tab w:val="clear" w:pos="562"/>
                <w:tab w:val="left" w:pos="708"/>
              </w:tabs>
              <w:suppressAutoHyphens w:val="0"/>
              <w:rPr>
                <w:lang w:val="cs-CZ"/>
              </w:rPr>
            </w:pPr>
            <w:r w:rsidRPr="001B4A02">
              <w:rPr>
                <w:lang w:val="cs-CZ"/>
              </w:rPr>
              <w:t>Svalové spasmy (včetně zvýšení kreatinfosfokinázy v krvi)</w:t>
            </w:r>
          </w:p>
          <w:p w14:paraId="49468CF6" w14:textId="77777777" w:rsidR="00F24C86" w:rsidRPr="001B4A02" w:rsidRDefault="00F24C86" w:rsidP="0012179D">
            <w:pPr>
              <w:pStyle w:val="EMEANormal"/>
              <w:tabs>
                <w:tab w:val="clear" w:pos="562"/>
                <w:tab w:val="left" w:pos="708"/>
              </w:tabs>
              <w:suppressAutoHyphens w:val="0"/>
              <w:rPr>
                <w:lang w:val="cs-CZ"/>
              </w:rPr>
            </w:pPr>
          </w:p>
        </w:tc>
      </w:tr>
      <w:tr w:rsidR="00534A2D" w14:paraId="3C83FEBF" w14:textId="77777777" w:rsidTr="00E501B6">
        <w:trPr>
          <w:cantSplit/>
          <w:trHeight w:val="8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1CE6A3D"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16CE99B4" w14:textId="77777777" w:rsidR="00F24C86" w:rsidRPr="001B4A02" w:rsidRDefault="00000000" w:rsidP="0012179D">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0EEB4577" w14:textId="77777777" w:rsidR="00F24C86" w:rsidRPr="001B4A02" w:rsidRDefault="00000000" w:rsidP="0012179D">
            <w:pPr>
              <w:pStyle w:val="EMEANormal"/>
              <w:tabs>
                <w:tab w:val="clear" w:pos="562"/>
                <w:tab w:val="left" w:pos="708"/>
              </w:tabs>
              <w:suppressAutoHyphens w:val="0"/>
              <w:rPr>
                <w:lang w:val="cs-CZ"/>
              </w:rPr>
            </w:pPr>
            <w:r w:rsidRPr="001B4A02">
              <w:rPr>
                <w:lang w:val="cs-CZ"/>
              </w:rPr>
              <w:t>Rhabdomyolýza,</w:t>
            </w:r>
          </w:p>
          <w:p w14:paraId="72D4AD1C" w14:textId="77777777" w:rsidR="00F24C86" w:rsidRPr="001B4A02" w:rsidRDefault="00000000" w:rsidP="0012179D">
            <w:pPr>
              <w:pStyle w:val="EMEANormal"/>
              <w:tabs>
                <w:tab w:val="clear" w:pos="562"/>
                <w:tab w:val="left" w:pos="708"/>
              </w:tabs>
              <w:suppressAutoHyphens w:val="0"/>
              <w:rPr>
                <w:lang w:val="cs-CZ"/>
              </w:rPr>
            </w:pPr>
            <w:r w:rsidRPr="001B4A02">
              <w:rPr>
                <w:lang w:val="cs-CZ"/>
              </w:rPr>
              <w:t>systémový lupus eryt</w:t>
            </w:r>
            <w:r w:rsidR="007D0D2B">
              <w:rPr>
                <w:lang w:val="cs-CZ"/>
              </w:rPr>
              <w:t>h</w:t>
            </w:r>
            <w:r w:rsidRPr="001B4A02">
              <w:rPr>
                <w:lang w:val="cs-CZ"/>
              </w:rPr>
              <w:t>emato</w:t>
            </w:r>
            <w:r w:rsidR="007D0D2B">
              <w:rPr>
                <w:lang w:val="cs-CZ"/>
              </w:rPr>
              <w:t>des</w:t>
            </w:r>
          </w:p>
          <w:p w14:paraId="640204EE" w14:textId="77777777" w:rsidR="00F24C86" w:rsidRPr="001B4A02" w:rsidRDefault="00F24C86" w:rsidP="0012179D">
            <w:pPr>
              <w:pStyle w:val="EMEANormal"/>
              <w:tabs>
                <w:tab w:val="clear" w:pos="562"/>
                <w:tab w:val="left" w:pos="708"/>
              </w:tabs>
              <w:suppressAutoHyphens w:val="0"/>
              <w:rPr>
                <w:lang w:val="cs-CZ"/>
              </w:rPr>
            </w:pPr>
          </w:p>
        </w:tc>
      </w:tr>
      <w:tr w:rsidR="00534A2D" w14:paraId="7191DA51" w14:textId="77777777" w:rsidTr="00E501B6">
        <w:trPr>
          <w:cantSplit/>
          <w:trHeight w:val="14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ED0A886"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15DDECEE" w14:textId="77777777" w:rsidR="00F24C86" w:rsidRPr="001B4A02" w:rsidRDefault="00000000" w:rsidP="0012179D">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7DD72E8A" w14:textId="77777777" w:rsidR="00F24C86" w:rsidRPr="001B4A02" w:rsidRDefault="00000000" w:rsidP="0012179D">
            <w:pPr>
              <w:pStyle w:val="EMEANormal"/>
              <w:tabs>
                <w:tab w:val="clear" w:pos="562"/>
                <w:tab w:val="left" w:pos="708"/>
              </w:tabs>
              <w:suppressAutoHyphens w:val="0"/>
              <w:rPr>
                <w:lang w:val="cs-CZ"/>
              </w:rPr>
            </w:pPr>
            <w:r w:rsidRPr="001B4A02">
              <w:rPr>
                <w:lang w:val="cs-CZ"/>
              </w:rPr>
              <w:t>Lupus-like syndrom</w:t>
            </w:r>
            <w:r w:rsidRPr="001B4A02">
              <w:rPr>
                <w:szCs w:val="22"/>
                <w:vertAlign w:val="superscript"/>
                <w:lang w:val="cs-CZ"/>
              </w:rPr>
              <w:t>1)</w:t>
            </w:r>
          </w:p>
          <w:p w14:paraId="43215A4B" w14:textId="77777777" w:rsidR="00F24C86" w:rsidRPr="001B4A02" w:rsidRDefault="00F24C86" w:rsidP="0012179D">
            <w:pPr>
              <w:pStyle w:val="EMEANormal"/>
              <w:tabs>
                <w:tab w:val="clear" w:pos="562"/>
                <w:tab w:val="left" w:pos="708"/>
              </w:tabs>
              <w:suppressAutoHyphens w:val="0"/>
              <w:rPr>
                <w:lang w:val="cs-CZ"/>
              </w:rPr>
            </w:pPr>
          </w:p>
        </w:tc>
      </w:tr>
      <w:tr w:rsidR="00534A2D" w14:paraId="4B842EEB" w14:textId="77777777" w:rsidTr="00E501B6">
        <w:trPr>
          <w:cantSplit/>
          <w:trHeight w:val="392"/>
          <w:jc w:val="center"/>
        </w:trPr>
        <w:tc>
          <w:tcPr>
            <w:tcW w:w="2880" w:type="dxa"/>
            <w:vMerge w:val="restart"/>
            <w:tcBorders>
              <w:top w:val="single" w:sz="4" w:space="0" w:color="auto"/>
              <w:left w:val="single" w:sz="4" w:space="0" w:color="auto"/>
              <w:bottom w:val="single" w:sz="4" w:space="0" w:color="auto"/>
              <w:right w:val="single" w:sz="4" w:space="0" w:color="auto"/>
            </w:tcBorders>
          </w:tcPr>
          <w:p w14:paraId="037144EC" w14:textId="77777777" w:rsidR="00F24C86" w:rsidRPr="001B4A02" w:rsidRDefault="00000000" w:rsidP="0012179D">
            <w:pPr>
              <w:pStyle w:val="EMEANormal"/>
              <w:tabs>
                <w:tab w:val="left" w:pos="0"/>
              </w:tabs>
              <w:rPr>
                <w:szCs w:val="22"/>
                <w:lang w:val="cs-CZ"/>
              </w:rPr>
            </w:pPr>
            <w:r w:rsidRPr="001B4A02">
              <w:rPr>
                <w:szCs w:val="22"/>
                <w:lang w:val="cs-CZ"/>
              </w:rPr>
              <w:t>Poruchy ledvin</w:t>
            </w:r>
            <w:r w:rsidR="002378E0">
              <w:rPr>
                <w:szCs w:val="22"/>
                <w:lang w:val="cs-CZ"/>
              </w:rPr>
              <w:t xml:space="preserve"> a </w:t>
            </w:r>
            <w:r w:rsidRPr="001B4A02">
              <w:rPr>
                <w:szCs w:val="22"/>
                <w:lang w:val="cs-CZ"/>
              </w:rPr>
              <w:t>močových cest</w:t>
            </w:r>
          </w:p>
        </w:tc>
        <w:tc>
          <w:tcPr>
            <w:tcW w:w="1440" w:type="dxa"/>
            <w:tcBorders>
              <w:top w:val="single" w:sz="4" w:space="0" w:color="auto"/>
              <w:left w:val="single" w:sz="4" w:space="0" w:color="auto"/>
              <w:bottom w:val="single" w:sz="4" w:space="0" w:color="auto"/>
              <w:right w:val="single" w:sz="4" w:space="0" w:color="auto"/>
            </w:tcBorders>
          </w:tcPr>
          <w:p w14:paraId="2B6DD000" w14:textId="77777777" w:rsidR="00F24C86"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2ED167AB" w14:textId="77777777" w:rsidR="00F24C86" w:rsidRPr="001B4A02" w:rsidRDefault="00000000" w:rsidP="0012179D">
            <w:pPr>
              <w:pStyle w:val="EMEANormal"/>
              <w:rPr>
                <w:szCs w:val="22"/>
                <w:lang w:val="cs-CZ"/>
              </w:rPr>
            </w:pPr>
            <w:r w:rsidRPr="001B4A02">
              <w:rPr>
                <w:szCs w:val="22"/>
                <w:lang w:val="cs-CZ"/>
              </w:rPr>
              <w:t>Poškození ledvin,</w:t>
            </w:r>
          </w:p>
          <w:p w14:paraId="3282D287" w14:textId="77777777" w:rsidR="00F24C86" w:rsidRPr="001B4A02" w:rsidRDefault="00000000" w:rsidP="0012179D">
            <w:pPr>
              <w:pStyle w:val="EMEANormal"/>
              <w:rPr>
                <w:szCs w:val="22"/>
                <w:lang w:val="cs-CZ"/>
              </w:rPr>
            </w:pPr>
            <w:r w:rsidRPr="001B4A02">
              <w:rPr>
                <w:szCs w:val="22"/>
                <w:lang w:val="cs-CZ"/>
              </w:rPr>
              <w:t>hematurie</w:t>
            </w:r>
          </w:p>
          <w:p w14:paraId="5FD362DA" w14:textId="77777777" w:rsidR="00F24C86" w:rsidRPr="001B4A02" w:rsidRDefault="00F24C86" w:rsidP="0012179D">
            <w:pPr>
              <w:pStyle w:val="EMEANormal"/>
              <w:rPr>
                <w:szCs w:val="22"/>
                <w:lang w:val="cs-CZ"/>
              </w:rPr>
            </w:pPr>
          </w:p>
        </w:tc>
      </w:tr>
      <w:tr w:rsidR="00534A2D" w14:paraId="2344B481" w14:textId="77777777" w:rsidTr="00E501B6">
        <w:trPr>
          <w:cantSplit/>
          <w:trHeight w:val="392"/>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908D287" w14:textId="77777777" w:rsidR="00F24C86" w:rsidRPr="001B4A02" w:rsidRDefault="00F24C86" w:rsidP="0012179D">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528140C3" w14:textId="77777777" w:rsidR="00F24C86" w:rsidRPr="001B4A02" w:rsidRDefault="00000000" w:rsidP="0012179D">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439E49C3" w14:textId="77777777" w:rsidR="00F24C86" w:rsidRPr="001B4A02" w:rsidRDefault="00000000" w:rsidP="0012179D">
            <w:pPr>
              <w:pStyle w:val="EMEANormal"/>
              <w:rPr>
                <w:szCs w:val="22"/>
                <w:lang w:val="cs-CZ"/>
              </w:rPr>
            </w:pPr>
            <w:r w:rsidRPr="001B4A02">
              <w:rPr>
                <w:szCs w:val="22"/>
                <w:lang w:val="cs-CZ"/>
              </w:rPr>
              <w:t>Nykturie</w:t>
            </w:r>
          </w:p>
          <w:p w14:paraId="2A809E46" w14:textId="77777777" w:rsidR="00F24C86" w:rsidRPr="001B4A02" w:rsidRDefault="00F24C86" w:rsidP="0012179D">
            <w:pPr>
              <w:pStyle w:val="EMEANormal"/>
              <w:rPr>
                <w:szCs w:val="22"/>
                <w:lang w:val="cs-CZ"/>
              </w:rPr>
            </w:pPr>
          </w:p>
        </w:tc>
      </w:tr>
      <w:tr w:rsidR="00534A2D" w14:paraId="122A25C7" w14:textId="77777777" w:rsidTr="0012179D">
        <w:trPr>
          <w:cantSplit/>
          <w:trHeight w:val="518"/>
          <w:jc w:val="center"/>
        </w:trPr>
        <w:tc>
          <w:tcPr>
            <w:tcW w:w="2880" w:type="dxa"/>
            <w:tcBorders>
              <w:top w:val="single" w:sz="4" w:space="0" w:color="auto"/>
              <w:left w:val="single" w:sz="4" w:space="0" w:color="auto"/>
              <w:bottom w:val="single" w:sz="4" w:space="0" w:color="auto"/>
              <w:right w:val="single" w:sz="4" w:space="0" w:color="auto"/>
            </w:tcBorders>
          </w:tcPr>
          <w:p w14:paraId="1DCD80DF" w14:textId="77777777" w:rsidR="00F24C86" w:rsidRPr="001B4A02" w:rsidRDefault="00000000" w:rsidP="0012179D">
            <w:pPr>
              <w:pStyle w:val="EMEANormal"/>
              <w:tabs>
                <w:tab w:val="left" w:pos="0"/>
              </w:tabs>
              <w:rPr>
                <w:szCs w:val="22"/>
                <w:lang w:val="cs-CZ"/>
              </w:rPr>
            </w:pPr>
            <w:r w:rsidRPr="001B4A02">
              <w:rPr>
                <w:szCs w:val="22"/>
                <w:lang w:val="cs-CZ"/>
              </w:rPr>
              <w:t>Poruchy reprodukčního systému</w:t>
            </w:r>
            <w:r w:rsidR="002378E0">
              <w:rPr>
                <w:szCs w:val="22"/>
                <w:lang w:val="cs-CZ"/>
              </w:rPr>
              <w:t xml:space="preserve"> a </w:t>
            </w:r>
            <w:r w:rsidRPr="001B4A02">
              <w:rPr>
                <w:szCs w:val="22"/>
                <w:lang w:val="cs-CZ"/>
              </w:rPr>
              <w:t xml:space="preserve">prsu </w:t>
            </w:r>
          </w:p>
          <w:p w14:paraId="6FD5B3D7" w14:textId="77777777" w:rsidR="00F24C86" w:rsidRPr="001B4A02" w:rsidRDefault="00F24C86" w:rsidP="0012179D">
            <w:pPr>
              <w:pStyle w:val="EMEANormal"/>
              <w:tabs>
                <w:tab w:val="left" w:pos="0"/>
              </w:tabs>
              <w:rPr>
                <w:szCs w:val="22"/>
                <w:lang w:val="cs-CZ"/>
              </w:rPr>
            </w:pPr>
          </w:p>
        </w:tc>
        <w:tc>
          <w:tcPr>
            <w:tcW w:w="1440" w:type="dxa"/>
            <w:tcBorders>
              <w:top w:val="single" w:sz="4" w:space="0" w:color="auto"/>
              <w:left w:val="single" w:sz="4" w:space="0" w:color="auto"/>
              <w:bottom w:val="single" w:sz="4" w:space="0" w:color="auto"/>
              <w:right w:val="single" w:sz="4" w:space="0" w:color="auto"/>
            </w:tcBorders>
          </w:tcPr>
          <w:p w14:paraId="74612E39" w14:textId="77777777" w:rsidR="00F24C86" w:rsidRPr="001B4A02" w:rsidRDefault="00000000" w:rsidP="0012179D">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4F3728EF" w14:textId="77777777" w:rsidR="00F24C86" w:rsidRPr="001B4A02" w:rsidRDefault="00000000" w:rsidP="0012179D">
            <w:pPr>
              <w:pStyle w:val="EMEANormal"/>
              <w:rPr>
                <w:szCs w:val="22"/>
                <w:lang w:val="cs-CZ"/>
              </w:rPr>
            </w:pPr>
            <w:r w:rsidRPr="001B4A02">
              <w:rPr>
                <w:szCs w:val="22"/>
                <w:lang w:val="cs-CZ"/>
              </w:rPr>
              <w:t>Erektilní dysfunkce</w:t>
            </w:r>
          </w:p>
        </w:tc>
      </w:tr>
      <w:tr w:rsidR="00534A2D" w14:paraId="0EBF2A60" w14:textId="77777777" w:rsidTr="00E501B6">
        <w:trPr>
          <w:cantSplit/>
          <w:trHeight w:val="127"/>
          <w:jc w:val="center"/>
        </w:trPr>
        <w:tc>
          <w:tcPr>
            <w:tcW w:w="2880" w:type="dxa"/>
            <w:vMerge w:val="restart"/>
            <w:tcBorders>
              <w:top w:val="single" w:sz="4" w:space="0" w:color="auto"/>
              <w:left w:val="single" w:sz="4" w:space="0" w:color="auto"/>
              <w:bottom w:val="single" w:sz="4" w:space="0" w:color="auto"/>
              <w:right w:val="single" w:sz="4" w:space="0" w:color="auto"/>
            </w:tcBorders>
          </w:tcPr>
          <w:p w14:paraId="75F80BAC" w14:textId="77777777" w:rsidR="00F24C86" w:rsidRPr="001B4A02" w:rsidRDefault="00000000" w:rsidP="0012179D">
            <w:pPr>
              <w:pStyle w:val="EMEANormal"/>
              <w:keepNext/>
              <w:tabs>
                <w:tab w:val="left" w:pos="0"/>
              </w:tabs>
              <w:rPr>
                <w:szCs w:val="22"/>
                <w:lang w:val="cs-CZ"/>
              </w:rPr>
            </w:pPr>
            <w:r w:rsidRPr="001B4A02">
              <w:rPr>
                <w:szCs w:val="22"/>
                <w:lang w:val="cs-CZ"/>
              </w:rPr>
              <w:t>Celkové poruchy</w:t>
            </w:r>
            <w:r w:rsidR="002378E0">
              <w:rPr>
                <w:szCs w:val="22"/>
                <w:lang w:val="cs-CZ"/>
              </w:rPr>
              <w:t xml:space="preserve"> a </w:t>
            </w:r>
            <w:r w:rsidRPr="001B4A02">
              <w:rPr>
                <w:szCs w:val="22"/>
                <w:lang w:val="cs-CZ"/>
              </w:rPr>
              <w:t>reakce v</w:t>
            </w:r>
            <w:r w:rsidR="003D5529" w:rsidRPr="001B4A02">
              <w:rPr>
                <w:szCs w:val="22"/>
                <w:lang w:val="cs-CZ"/>
              </w:rPr>
              <w:t> </w:t>
            </w:r>
            <w:r w:rsidRPr="001B4A02">
              <w:rPr>
                <w:szCs w:val="22"/>
                <w:lang w:val="cs-CZ"/>
              </w:rPr>
              <w:t>místě aplikace*</w:t>
            </w:r>
          </w:p>
        </w:tc>
        <w:tc>
          <w:tcPr>
            <w:tcW w:w="1440" w:type="dxa"/>
            <w:tcBorders>
              <w:top w:val="single" w:sz="4" w:space="0" w:color="auto"/>
              <w:left w:val="single" w:sz="4" w:space="0" w:color="auto"/>
              <w:bottom w:val="single" w:sz="4" w:space="0" w:color="auto"/>
              <w:right w:val="single" w:sz="4" w:space="0" w:color="auto"/>
            </w:tcBorders>
          </w:tcPr>
          <w:p w14:paraId="47E4B128" w14:textId="77777777" w:rsidR="00F24C86" w:rsidRPr="001B4A02" w:rsidRDefault="00000000" w:rsidP="0012179D">
            <w:pPr>
              <w:pStyle w:val="EMEANormal"/>
              <w:keepNext/>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2B6D261F" w14:textId="77777777" w:rsidR="00F24C86" w:rsidRPr="001B4A02" w:rsidRDefault="00000000" w:rsidP="0012179D">
            <w:pPr>
              <w:pStyle w:val="EMEANormal"/>
              <w:keepNext/>
              <w:rPr>
                <w:szCs w:val="22"/>
                <w:lang w:val="cs-CZ"/>
              </w:rPr>
            </w:pPr>
            <w:r w:rsidRPr="001B4A02">
              <w:rPr>
                <w:szCs w:val="22"/>
                <w:lang w:val="cs-CZ"/>
              </w:rPr>
              <w:t>Reakce v místě injekčního vpichu (včetně erytému v místě vpichu injekce)</w:t>
            </w:r>
          </w:p>
          <w:p w14:paraId="155C3DE5" w14:textId="77777777" w:rsidR="00F24C86" w:rsidRPr="001B4A02" w:rsidRDefault="00F24C86" w:rsidP="0012179D">
            <w:pPr>
              <w:pStyle w:val="EMEANormal"/>
              <w:keepNext/>
              <w:rPr>
                <w:szCs w:val="22"/>
                <w:lang w:val="cs-CZ"/>
              </w:rPr>
            </w:pPr>
          </w:p>
        </w:tc>
      </w:tr>
      <w:tr w:rsidR="00534A2D" w14:paraId="6084F8E4" w14:textId="77777777" w:rsidTr="00E501B6">
        <w:trPr>
          <w:cantSplit/>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6C9507B" w14:textId="77777777" w:rsidR="00F24C86" w:rsidRPr="001B4A02" w:rsidRDefault="00F24C86" w:rsidP="0012179D">
            <w:pPr>
              <w:keepNext/>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42173F3" w14:textId="77777777" w:rsidR="00F24C86" w:rsidRPr="001B4A02" w:rsidRDefault="00000000" w:rsidP="0012179D">
            <w:pPr>
              <w:pStyle w:val="EMEANormal"/>
              <w:keepNext/>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1269EF05" w14:textId="77777777" w:rsidR="00F24C86" w:rsidRPr="001B4A02" w:rsidRDefault="00000000" w:rsidP="0012179D">
            <w:pPr>
              <w:pStyle w:val="EMEANormal"/>
              <w:keepNext/>
              <w:rPr>
                <w:szCs w:val="22"/>
                <w:lang w:val="cs-CZ"/>
              </w:rPr>
            </w:pPr>
            <w:r w:rsidRPr="001B4A02">
              <w:rPr>
                <w:szCs w:val="22"/>
                <w:lang w:val="cs-CZ"/>
              </w:rPr>
              <w:t>Bolest na hrudi,</w:t>
            </w:r>
          </w:p>
          <w:p w14:paraId="05036012" w14:textId="77777777" w:rsidR="00F24C86" w:rsidRPr="001B4A02" w:rsidRDefault="00000000" w:rsidP="0012179D">
            <w:pPr>
              <w:pStyle w:val="EMEANormal"/>
              <w:keepNext/>
              <w:rPr>
                <w:szCs w:val="22"/>
                <w:lang w:val="cs-CZ"/>
              </w:rPr>
            </w:pPr>
            <w:r w:rsidRPr="001B4A02">
              <w:rPr>
                <w:szCs w:val="22"/>
                <w:lang w:val="cs-CZ"/>
              </w:rPr>
              <w:t>edém,</w:t>
            </w:r>
          </w:p>
          <w:p w14:paraId="6D89506D" w14:textId="77777777" w:rsidR="00F24C86" w:rsidRPr="001B4A02" w:rsidRDefault="00000000" w:rsidP="0012179D">
            <w:pPr>
              <w:pStyle w:val="EMEANormal"/>
              <w:keepNext/>
              <w:rPr>
                <w:szCs w:val="22"/>
                <w:lang w:val="cs-CZ"/>
              </w:rPr>
            </w:pPr>
            <w:r w:rsidRPr="001B4A02">
              <w:rPr>
                <w:szCs w:val="22"/>
                <w:lang w:val="cs-CZ"/>
              </w:rPr>
              <w:t>pyrexie</w:t>
            </w:r>
            <w:r w:rsidRPr="001B4A02">
              <w:rPr>
                <w:szCs w:val="22"/>
                <w:vertAlign w:val="superscript"/>
                <w:lang w:val="cs-CZ"/>
              </w:rPr>
              <w:t>1)</w:t>
            </w:r>
          </w:p>
          <w:p w14:paraId="47DF6726" w14:textId="77777777" w:rsidR="00F24C86" w:rsidRPr="001B4A02" w:rsidRDefault="00F24C86" w:rsidP="0012179D">
            <w:pPr>
              <w:pStyle w:val="EMEANormal"/>
              <w:keepNext/>
              <w:rPr>
                <w:szCs w:val="22"/>
                <w:lang w:val="cs-CZ"/>
              </w:rPr>
            </w:pPr>
          </w:p>
        </w:tc>
      </w:tr>
      <w:tr w:rsidR="00534A2D" w14:paraId="62BD0EB2" w14:textId="77777777" w:rsidTr="00E501B6">
        <w:trPr>
          <w:cantSplit/>
          <w:trHeight w:val="25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84D25BB" w14:textId="77777777" w:rsidR="00F24C86" w:rsidRPr="001B4A02" w:rsidRDefault="00F24C86" w:rsidP="0012179D">
            <w:pPr>
              <w:keepNext/>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72AD6E24" w14:textId="77777777" w:rsidR="00F24C86" w:rsidRPr="001B4A02" w:rsidRDefault="00000000" w:rsidP="0012179D">
            <w:pPr>
              <w:pStyle w:val="EMEANormal"/>
              <w:keepNext/>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02675AE9" w14:textId="77777777" w:rsidR="00F24C86" w:rsidRPr="001B4A02" w:rsidRDefault="00000000" w:rsidP="0012179D">
            <w:pPr>
              <w:pStyle w:val="EMEANormal"/>
              <w:keepNext/>
              <w:rPr>
                <w:szCs w:val="22"/>
                <w:lang w:val="cs-CZ"/>
              </w:rPr>
            </w:pPr>
            <w:r w:rsidRPr="001B4A02">
              <w:rPr>
                <w:szCs w:val="22"/>
                <w:lang w:val="cs-CZ"/>
              </w:rPr>
              <w:t>Záněty</w:t>
            </w:r>
          </w:p>
          <w:p w14:paraId="52174BA0" w14:textId="77777777" w:rsidR="00F24C86" w:rsidRPr="001B4A02" w:rsidRDefault="00F24C86" w:rsidP="0012179D">
            <w:pPr>
              <w:pStyle w:val="EMEANormal"/>
              <w:keepNext/>
              <w:rPr>
                <w:szCs w:val="22"/>
                <w:lang w:val="cs-CZ"/>
              </w:rPr>
            </w:pPr>
          </w:p>
        </w:tc>
      </w:tr>
      <w:tr w:rsidR="00534A2D" w14:paraId="3A31E378" w14:textId="77777777" w:rsidTr="00E501B6">
        <w:trPr>
          <w:trHeight w:val="296"/>
          <w:jc w:val="center"/>
        </w:trPr>
        <w:tc>
          <w:tcPr>
            <w:tcW w:w="2880" w:type="dxa"/>
            <w:vMerge w:val="restart"/>
            <w:tcBorders>
              <w:top w:val="single" w:sz="4" w:space="0" w:color="auto"/>
              <w:left w:val="single" w:sz="4" w:space="0" w:color="auto"/>
              <w:right w:val="single" w:sz="4" w:space="0" w:color="auto"/>
            </w:tcBorders>
          </w:tcPr>
          <w:p w14:paraId="09E99DC8" w14:textId="77777777" w:rsidR="0027760D" w:rsidRPr="001B4A02" w:rsidRDefault="00000000" w:rsidP="0012179D">
            <w:pPr>
              <w:pStyle w:val="EMEANormal"/>
              <w:tabs>
                <w:tab w:val="left" w:pos="0"/>
              </w:tabs>
              <w:rPr>
                <w:szCs w:val="22"/>
                <w:lang w:val="cs-CZ"/>
              </w:rPr>
            </w:pPr>
            <w:r w:rsidRPr="001B4A02">
              <w:rPr>
                <w:szCs w:val="22"/>
                <w:lang w:val="cs-CZ"/>
              </w:rPr>
              <w:t>Vyšetření*</w:t>
            </w:r>
          </w:p>
        </w:tc>
        <w:tc>
          <w:tcPr>
            <w:tcW w:w="1440" w:type="dxa"/>
            <w:tcBorders>
              <w:top w:val="single" w:sz="4" w:space="0" w:color="auto"/>
              <w:left w:val="single" w:sz="4" w:space="0" w:color="auto"/>
              <w:bottom w:val="nil"/>
              <w:right w:val="single" w:sz="4" w:space="0" w:color="auto"/>
            </w:tcBorders>
          </w:tcPr>
          <w:p w14:paraId="6256B056" w14:textId="77777777" w:rsidR="0027760D"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nil"/>
              <w:right w:val="single" w:sz="4" w:space="0" w:color="auto"/>
            </w:tcBorders>
          </w:tcPr>
          <w:p w14:paraId="32B7B34D" w14:textId="77777777" w:rsidR="0027760D" w:rsidRPr="001B4A02" w:rsidRDefault="00000000" w:rsidP="0012179D">
            <w:pPr>
              <w:pStyle w:val="EMEANormal"/>
              <w:rPr>
                <w:szCs w:val="22"/>
                <w:lang w:val="cs-CZ"/>
              </w:rPr>
            </w:pPr>
            <w:r w:rsidRPr="001B4A02">
              <w:rPr>
                <w:szCs w:val="22"/>
                <w:lang w:val="cs-CZ"/>
              </w:rPr>
              <w:t>Poruchy koagulace</w:t>
            </w:r>
            <w:r>
              <w:rPr>
                <w:szCs w:val="22"/>
                <w:lang w:val="cs-CZ"/>
              </w:rPr>
              <w:t xml:space="preserve"> a </w:t>
            </w:r>
            <w:r w:rsidRPr="001B4A02">
              <w:rPr>
                <w:szCs w:val="22"/>
                <w:lang w:val="cs-CZ"/>
              </w:rPr>
              <w:t>krvácení (včetně prodloužení aktivovaného parciálního tromboplastinového času),</w:t>
            </w:r>
          </w:p>
          <w:p w14:paraId="4C666591" w14:textId="77777777" w:rsidR="0027760D" w:rsidRPr="001B4A02" w:rsidRDefault="00000000" w:rsidP="0012179D">
            <w:pPr>
              <w:pStyle w:val="EMEANormal"/>
              <w:rPr>
                <w:szCs w:val="22"/>
                <w:lang w:val="cs-CZ"/>
              </w:rPr>
            </w:pPr>
            <w:r w:rsidRPr="001B4A02">
              <w:rPr>
                <w:szCs w:val="22"/>
                <w:lang w:val="cs-CZ"/>
              </w:rPr>
              <w:t>pozitivní test autoprotilátek (včetně protilátek proti dvoušroubovici DNA),</w:t>
            </w:r>
          </w:p>
          <w:p w14:paraId="0F53484A" w14:textId="77777777" w:rsidR="0027760D" w:rsidRPr="001B4A02" w:rsidRDefault="00000000" w:rsidP="0012179D">
            <w:pPr>
              <w:pStyle w:val="EMEANormal"/>
              <w:rPr>
                <w:szCs w:val="22"/>
                <w:lang w:val="cs-CZ"/>
              </w:rPr>
            </w:pPr>
            <w:r w:rsidRPr="001B4A02">
              <w:rPr>
                <w:szCs w:val="22"/>
                <w:lang w:val="cs-CZ"/>
              </w:rPr>
              <w:t>zvýšení laktátdehydrogenázy v krvi</w:t>
            </w:r>
          </w:p>
          <w:p w14:paraId="090905D8" w14:textId="77777777" w:rsidR="0027760D" w:rsidRPr="001B4A02" w:rsidRDefault="0027760D" w:rsidP="0012179D">
            <w:pPr>
              <w:pStyle w:val="EMEANormal"/>
              <w:rPr>
                <w:szCs w:val="22"/>
                <w:lang w:val="cs-CZ"/>
              </w:rPr>
            </w:pPr>
          </w:p>
        </w:tc>
      </w:tr>
      <w:tr w:rsidR="00534A2D" w14:paraId="0D7F7B56" w14:textId="77777777" w:rsidTr="0027760D">
        <w:trPr>
          <w:trHeight w:val="296"/>
          <w:jc w:val="center"/>
        </w:trPr>
        <w:tc>
          <w:tcPr>
            <w:tcW w:w="2880" w:type="dxa"/>
            <w:vMerge/>
            <w:tcBorders>
              <w:left w:val="single" w:sz="4" w:space="0" w:color="auto"/>
              <w:bottom w:val="nil"/>
              <w:right w:val="single" w:sz="4" w:space="0" w:color="auto"/>
            </w:tcBorders>
          </w:tcPr>
          <w:p w14:paraId="26F04EAF" w14:textId="77777777" w:rsidR="0027760D" w:rsidRPr="001B4A02" w:rsidRDefault="0027760D" w:rsidP="0012179D">
            <w:pPr>
              <w:pStyle w:val="EMEANormal"/>
              <w:tabs>
                <w:tab w:val="left" w:pos="0"/>
              </w:tabs>
              <w:rPr>
                <w:szCs w:val="22"/>
                <w:lang w:val="cs-CZ"/>
              </w:rPr>
            </w:pPr>
          </w:p>
        </w:tc>
        <w:tc>
          <w:tcPr>
            <w:tcW w:w="1440" w:type="dxa"/>
            <w:tcBorders>
              <w:top w:val="single" w:sz="4" w:space="0" w:color="auto"/>
              <w:left w:val="single" w:sz="4" w:space="0" w:color="auto"/>
              <w:bottom w:val="nil"/>
              <w:right w:val="single" w:sz="4" w:space="0" w:color="auto"/>
            </w:tcBorders>
          </w:tcPr>
          <w:p w14:paraId="6C074C1D" w14:textId="77777777" w:rsidR="0027760D" w:rsidRPr="001B4A02" w:rsidRDefault="00000000" w:rsidP="00390971">
            <w:pPr>
              <w:pStyle w:val="EMEANormal"/>
              <w:rPr>
                <w:szCs w:val="22"/>
                <w:lang w:val="cs-CZ"/>
              </w:rPr>
            </w:pPr>
            <w:r w:rsidRPr="001B4A02">
              <w:rPr>
                <w:szCs w:val="22"/>
                <w:lang w:val="cs-CZ"/>
              </w:rPr>
              <w:t>Není známo</w:t>
            </w:r>
          </w:p>
        </w:tc>
        <w:tc>
          <w:tcPr>
            <w:tcW w:w="4689" w:type="dxa"/>
            <w:tcBorders>
              <w:top w:val="single" w:sz="4" w:space="0" w:color="auto"/>
              <w:left w:val="single" w:sz="4" w:space="0" w:color="auto"/>
              <w:bottom w:val="nil"/>
              <w:right w:val="single" w:sz="4" w:space="0" w:color="auto"/>
            </w:tcBorders>
          </w:tcPr>
          <w:p w14:paraId="6EFFEBBE" w14:textId="77777777" w:rsidR="0027760D" w:rsidRDefault="00000000" w:rsidP="0027760D">
            <w:pPr>
              <w:pStyle w:val="EMEANormal"/>
              <w:rPr>
                <w:color w:val="000000"/>
                <w:szCs w:val="22"/>
                <w:lang w:val="cs-CZ" w:eastAsia="cs-CZ"/>
              </w:rPr>
            </w:pPr>
            <w:r w:rsidRPr="0027760D">
              <w:rPr>
                <w:color w:val="000000"/>
                <w:szCs w:val="22"/>
                <w:lang w:val="cs-CZ" w:eastAsia="cs-CZ"/>
              </w:rPr>
              <w:t>Zvýšení tělesné hmotnosti</w:t>
            </w:r>
            <w:r w:rsidRPr="0027760D">
              <w:rPr>
                <w:color w:val="000000"/>
                <w:szCs w:val="22"/>
                <w:vertAlign w:val="superscript"/>
                <w:lang w:val="cs-CZ" w:eastAsia="cs-CZ"/>
              </w:rPr>
              <w:t>2)</w:t>
            </w:r>
          </w:p>
          <w:p w14:paraId="6B03D7EC" w14:textId="77777777" w:rsidR="00390971" w:rsidRPr="00390971" w:rsidRDefault="00390971" w:rsidP="0027760D">
            <w:pPr>
              <w:pStyle w:val="EMEANormal"/>
              <w:rPr>
                <w:szCs w:val="22"/>
                <w:lang w:val="cs-CZ"/>
              </w:rPr>
            </w:pPr>
          </w:p>
        </w:tc>
      </w:tr>
      <w:tr w:rsidR="00534A2D" w14:paraId="0C453380" w14:textId="77777777" w:rsidTr="0012179D">
        <w:trPr>
          <w:jc w:val="center"/>
        </w:trPr>
        <w:tc>
          <w:tcPr>
            <w:tcW w:w="2880" w:type="dxa"/>
            <w:tcBorders>
              <w:top w:val="single" w:sz="4" w:space="0" w:color="auto"/>
              <w:left w:val="single" w:sz="4" w:space="0" w:color="auto"/>
              <w:bottom w:val="single" w:sz="4" w:space="0" w:color="auto"/>
              <w:right w:val="single" w:sz="4" w:space="0" w:color="auto"/>
            </w:tcBorders>
          </w:tcPr>
          <w:p w14:paraId="6EAB5CCB" w14:textId="77777777" w:rsidR="00F24C86" w:rsidRPr="001B4A02" w:rsidRDefault="00000000" w:rsidP="0012179D">
            <w:pPr>
              <w:pStyle w:val="EMEANormal"/>
              <w:tabs>
                <w:tab w:val="left" w:pos="0"/>
              </w:tabs>
              <w:rPr>
                <w:szCs w:val="22"/>
                <w:lang w:val="cs-CZ"/>
              </w:rPr>
            </w:pPr>
            <w:r w:rsidRPr="001B4A02">
              <w:rPr>
                <w:szCs w:val="22"/>
                <w:lang w:val="cs-CZ"/>
              </w:rPr>
              <w:t>Poranění, otravy</w:t>
            </w:r>
            <w:r w:rsidR="002378E0">
              <w:rPr>
                <w:szCs w:val="22"/>
                <w:lang w:val="cs-CZ"/>
              </w:rPr>
              <w:t xml:space="preserve"> a </w:t>
            </w:r>
            <w:r w:rsidRPr="001B4A02">
              <w:rPr>
                <w:szCs w:val="22"/>
                <w:lang w:val="cs-CZ"/>
              </w:rPr>
              <w:t>procedurální komplikace</w:t>
            </w:r>
          </w:p>
          <w:p w14:paraId="3F13CDAF" w14:textId="77777777" w:rsidR="00F24C86" w:rsidRPr="001B4A02" w:rsidRDefault="00F24C86" w:rsidP="0012179D">
            <w:pPr>
              <w:pStyle w:val="EMEANormal"/>
              <w:tabs>
                <w:tab w:val="left" w:pos="0"/>
              </w:tabs>
              <w:rPr>
                <w:szCs w:val="22"/>
                <w:lang w:val="cs-CZ"/>
              </w:rPr>
            </w:pPr>
          </w:p>
        </w:tc>
        <w:tc>
          <w:tcPr>
            <w:tcW w:w="1440" w:type="dxa"/>
            <w:tcBorders>
              <w:top w:val="single" w:sz="4" w:space="0" w:color="auto"/>
              <w:left w:val="single" w:sz="4" w:space="0" w:color="auto"/>
              <w:bottom w:val="single" w:sz="4" w:space="0" w:color="auto"/>
              <w:right w:val="single" w:sz="4" w:space="0" w:color="auto"/>
            </w:tcBorders>
          </w:tcPr>
          <w:p w14:paraId="75C688D0" w14:textId="77777777" w:rsidR="00F24C86" w:rsidRPr="001B4A02" w:rsidRDefault="00000000" w:rsidP="0012179D">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5C7B9663" w14:textId="77777777" w:rsidR="00F24C86" w:rsidRPr="001B4A02" w:rsidRDefault="00000000" w:rsidP="0012179D">
            <w:pPr>
              <w:pStyle w:val="EMEANormal"/>
              <w:rPr>
                <w:szCs w:val="22"/>
                <w:lang w:val="cs-CZ"/>
              </w:rPr>
            </w:pPr>
            <w:r w:rsidRPr="001B4A02">
              <w:rPr>
                <w:szCs w:val="22"/>
                <w:lang w:val="cs-CZ"/>
              </w:rPr>
              <w:t>Poruchy hojení</w:t>
            </w:r>
          </w:p>
        </w:tc>
      </w:tr>
    </w:tbl>
    <w:p w14:paraId="55D57FAE" w14:textId="77777777" w:rsidR="00C95A11" w:rsidRPr="001B4A02" w:rsidRDefault="00C95A11" w:rsidP="00F24C86">
      <w:pPr>
        <w:rPr>
          <w:szCs w:val="22"/>
        </w:rPr>
      </w:pPr>
    </w:p>
    <w:p w14:paraId="7A90094E" w14:textId="77777777" w:rsidR="00F24C86" w:rsidRPr="001B4A02" w:rsidRDefault="00000000" w:rsidP="00F24C86">
      <w:pPr>
        <w:rPr>
          <w:szCs w:val="22"/>
        </w:rPr>
      </w:pPr>
      <w:r w:rsidRPr="001B4A02">
        <w:rPr>
          <w:szCs w:val="22"/>
        </w:rPr>
        <w:t>* další informace lze nalézt na jiných místech textu, v bodech 4.3, 4.4</w:t>
      </w:r>
      <w:r w:rsidR="002378E0">
        <w:rPr>
          <w:szCs w:val="22"/>
        </w:rPr>
        <w:t xml:space="preserve"> a </w:t>
      </w:r>
      <w:r w:rsidRPr="001B4A02">
        <w:rPr>
          <w:szCs w:val="22"/>
        </w:rPr>
        <w:t>4.8</w:t>
      </w:r>
    </w:p>
    <w:p w14:paraId="02C1E00A" w14:textId="77777777" w:rsidR="00F24C86" w:rsidRPr="001B4A02" w:rsidRDefault="00000000" w:rsidP="00F24C86">
      <w:pPr>
        <w:rPr>
          <w:szCs w:val="22"/>
        </w:rPr>
      </w:pPr>
      <w:r w:rsidRPr="001B4A02">
        <w:rPr>
          <w:szCs w:val="22"/>
        </w:rPr>
        <w:t>** včetně otevřené fáze prodloužených studií</w:t>
      </w:r>
    </w:p>
    <w:p w14:paraId="62BC85EB" w14:textId="77777777" w:rsidR="00F24C86" w:rsidRPr="001B4A02" w:rsidRDefault="00000000" w:rsidP="00F24C86">
      <w:pPr>
        <w:rPr>
          <w:szCs w:val="22"/>
        </w:rPr>
      </w:pPr>
      <w:r w:rsidRPr="001B4A02">
        <w:rPr>
          <w:szCs w:val="22"/>
          <w:vertAlign w:val="superscript"/>
        </w:rPr>
        <w:t>1)</w:t>
      </w:r>
      <w:r w:rsidRPr="001B4A02">
        <w:rPr>
          <w:szCs w:val="22"/>
        </w:rPr>
        <w:t> </w:t>
      </w:r>
      <w:r w:rsidRPr="001B4A02">
        <w:rPr>
          <w:bCs/>
          <w:szCs w:val="22"/>
        </w:rPr>
        <w:t>včetně údajů ze spontánního hlášení</w:t>
      </w:r>
    </w:p>
    <w:p w14:paraId="756A819B" w14:textId="77777777" w:rsidR="00390971" w:rsidRPr="008D2E61" w:rsidRDefault="00000000" w:rsidP="00390971">
      <w:pPr>
        <w:pStyle w:val="Default"/>
        <w:rPr>
          <w:rFonts w:eastAsia="Times New Roman"/>
          <w:sz w:val="22"/>
          <w:szCs w:val="22"/>
          <w:lang w:val="cs-CZ" w:eastAsia="cs-CZ"/>
        </w:rPr>
      </w:pPr>
      <w:r w:rsidRPr="008D2E61">
        <w:rPr>
          <w:sz w:val="22"/>
          <w:szCs w:val="22"/>
          <w:vertAlign w:val="superscript"/>
          <w:lang w:val="cs-CZ"/>
        </w:rPr>
        <w:t>2)</w:t>
      </w:r>
      <w:r w:rsidRPr="008D2E61">
        <w:rPr>
          <w:sz w:val="22"/>
          <w:szCs w:val="22"/>
          <w:lang w:val="cs-CZ"/>
        </w:rPr>
        <w:t> </w:t>
      </w:r>
      <w:r w:rsidRPr="008D2E61">
        <w:rPr>
          <w:sz w:val="22"/>
          <w:szCs w:val="22"/>
          <w:lang w:val="cs-CZ" w:eastAsia="cs-CZ"/>
        </w:rPr>
        <w:t>Průměrná změna tělesné hmotnosti od výchozí hodnoty se v</w:t>
      </w:r>
      <w:r>
        <w:rPr>
          <w:sz w:val="22"/>
          <w:szCs w:val="22"/>
          <w:lang w:val="cs-CZ" w:eastAsia="cs-CZ"/>
        </w:rPr>
        <w:t> </w:t>
      </w:r>
      <w:r w:rsidRPr="008D2E61">
        <w:rPr>
          <w:sz w:val="22"/>
          <w:szCs w:val="22"/>
          <w:lang w:val="cs-CZ" w:eastAsia="cs-CZ"/>
        </w:rPr>
        <w:t>případě adalimumabu pohybovala od 0,3 do 1,0</w:t>
      </w:r>
      <w:r>
        <w:rPr>
          <w:sz w:val="22"/>
          <w:szCs w:val="22"/>
          <w:lang w:val="cs-CZ" w:eastAsia="cs-CZ"/>
        </w:rPr>
        <w:t> </w:t>
      </w:r>
      <w:r w:rsidRPr="008D2E61">
        <w:rPr>
          <w:sz w:val="22"/>
          <w:szCs w:val="22"/>
          <w:lang w:val="cs-CZ" w:eastAsia="cs-CZ"/>
        </w:rPr>
        <w:t>kg v</w:t>
      </w:r>
      <w:r>
        <w:rPr>
          <w:sz w:val="22"/>
          <w:szCs w:val="22"/>
          <w:lang w:val="cs-CZ" w:eastAsia="cs-CZ"/>
        </w:rPr>
        <w:t> </w:t>
      </w:r>
      <w:r w:rsidRPr="008D2E61">
        <w:rPr>
          <w:sz w:val="22"/>
          <w:szCs w:val="22"/>
          <w:lang w:val="cs-CZ" w:eastAsia="cs-CZ"/>
        </w:rPr>
        <w:t>indikacích pro dospělé v</w:t>
      </w:r>
      <w:r>
        <w:rPr>
          <w:sz w:val="22"/>
          <w:szCs w:val="22"/>
          <w:lang w:val="cs-CZ" w:eastAsia="cs-CZ"/>
        </w:rPr>
        <w:t> </w:t>
      </w:r>
      <w:r w:rsidRPr="008D2E61">
        <w:rPr>
          <w:sz w:val="22"/>
          <w:szCs w:val="22"/>
          <w:lang w:val="cs-CZ" w:eastAsia="cs-CZ"/>
        </w:rPr>
        <w:t>porovnání s</w:t>
      </w:r>
      <w:r>
        <w:rPr>
          <w:sz w:val="22"/>
          <w:szCs w:val="22"/>
          <w:lang w:val="cs-CZ" w:eastAsia="cs-CZ"/>
        </w:rPr>
        <w:t> </w:t>
      </w:r>
      <w:r w:rsidRPr="008D2E61">
        <w:rPr>
          <w:sz w:val="22"/>
          <w:szCs w:val="22"/>
          <w:lang w:val="cs-CZ" w:eastAsia="cs-CZ"/>
        </w:rPr>
        <w:t>(mínus) -0,4</w:t>
      </w:r>
      <w:r>
        <w:rPr>
          <w:sz w:val="22"/>
          <w:szCs w:val="22"/>
          <w:lang w:val="cs-CZ" w:eastAsia="cs-CZ"/>
        </w:rPr>
        <w:t> </w:t>
      </w:r>
      <w:r w:rsidRPr="008D2E61">
        <w:rPr>
          <w:sz w:val="22"/>
          <w:szCs w:val="22"/>
          <w:lang w:val="cs-CZ" w:eastAsia="cs-CZ"/>
        </w:rPr>
        <w:t>kg až 0,4</w:t>
      </w:r>
      <w:r>
        <w:rPr>
          <w:sz w:val="22"/>
          <w:szCs w:val="22"/>
          <w:lang w:val="cs-CZ" w:eastAsia="cs-CZ"/>
        </w:rPr>
        <w:t> </w:t>
      </w:r>
      <w:r w:rsidRPr="008D2E61">
        <w:rPr>
          <w:sz w:val="22"/>
          <w:szCs w:val="22"/>
          <w:lang w:val="cs-CZ" w:eastAsia="cs-CZ"/>
        </w:rPr>
        <w:t>kg v</w:t>
      </w:r>
      <w:r>
        <w:rPr>
          <w:sz w:val="22"/>
          <w:szCs w:val="22"/>
          <w:lang w:val="cs-CZ" w:eastAsia="cs-CZ"/>
        </w:rPr>
        <w:t> </w:t>
      </w:r>
      <w:r w:rsidRPr="008D2E61">
        <w:rPr>
          <w:sz w:val="22"/>
          <w:szCs w:val="22"/>
          <w:lang w:val="cs-CZ" w:eastAsia="cs-CZ"/>
        </w:rPr>
        <w:t>případě placeba během léčby po dobu 4–6 měsíců. Zvýšení tělesné hmotnosti o</w:t>
      </w:r>
      <w:r>
        <w:rPr>
          <w:sz w:val="22"/>
          <w:szCs w:val="22"/>
          <w:lang w:val="cs-CZ" w:eastAsia="cs-CZ"/>
        </w:rPr>
        <w:t> </w:t>
      </w:r>
      <w:r w:rsidRPr="008D2E61">
        <w:rPr>
          <w:sz w:val="22"/>
          <w:szCs w:val="22"/>
          <w:lang w:val="cs-CZ" w:eastAsia="cs-CZ"/>
        </w:rPr>
        <w:t>5–6</w:t>
      </w:r>
      <w:r>
        <w:rPr>
          <w:sz w:val="22"/>
          <w:szCs w:val="22"/>
          <w:lang w:val="cs-CZ" w:eastAsia="cs-CZ"/>
        </w:rPr>
        <w:t> </w:t>
      </w:r>
      <w:r w:rsidRPr="008D2E61">
        <w:rPr>
          <w:sz w:val="22"/>
          <w:szCs w:val="22"/>
          <w:lang w:val="cs-CZ" w:eastAsia="cs-CZ"/>
        </w:rPr>
        <w:t>kg bylo pozorováno rovněž v</w:t>
      </w:r>
      <w:r>
        <w:rPr>
          <w:sz w:val="22"/>
          <w:szCs w:val="22"/>
          <w:lang w:val="cs-CZ" w:eastAsia="cs-CZ"/>
        </w:rPr>
        <w:t> </w:t>
      </w:r>
      <w:r w:rsidRPr="008D2E61">
        <w:rPr>
          <w:sz w:val="22"/>
          <w:szCs w:val="22"/>
          <w:lang w:val="cs-CZ" w:eastAsia="cs-CZ"/>
        </w:rPr>
        <w:t>dlouhodobých prodloužených studiích, které nezahrnovaly kontrolní skupinu, s</w:t>
      </w:r>
      <w:r>
        <w:rPr>
          <w:sz w:val="22"/>
          <w:szCs w:val="22"/>
          <w:lang w:val="cs-CZ" w:eastAsia="cs-CZ"/>
        </w:rPr>
        <w:t> </w:t>
      </w:r>
      <w:r w:rsidRPr="008D2E61">
        <w:rPr>
          <w:sz w:val="22"/>
          <w:szCs w:val="22"/>
          <w:lang w:val="cs-CZ" w:eastAsia="cs-CZ"/>
        </w:rPr>
        <w:t>průměrnou expozicí přípravku přibližně 1–2 roky, zejména u</w:t>
      </w:r>
      <w:r>
        <w:rPr>
          <w:sz w:val="22"/>
          <w:szCs w:val="22"/>
          <w:lang w:val="cs-CZ" w:eastAsia="cs-CZ"/>
        </w:rPr>
        <w:t> </w:t>
      </w:r>
      <w:r w:rsidRPr="008D2E61">
        <w:rPr>
          <w:sz w:val="22"/>
          <w:szCs w:val="22"/>
          <w:lang w:val="cs-CZ" w:eastAsia="cs-CZ"/>
        </w:rPr>
        <w:t>pacientů s</w:t>
      </w:r>
      <w:r>
        <w:rPr>
          <w:sz w:val="22"/>
          <w:szCs w:val="22"/>
          <w:lang w:val="cs-CZ" w:eastAsia="cs-CZ"/>
        </w:rPr>
        <w:t> </w:t>
      </w:r>
      <w:r w:rsidRPr="008D2E61">
        <w:rPr>
          <w:sz w:val="22"/>
          <w:szCs w:val="22"/>
          <w:lang w:val="cs-CZ" w:eastAsia="cs-CZ"/>
        </w:rPr>
        <w:t>Crohnovou chorobou a</w:t>
      </w:r>
      <w:r>
        <w:rPr>
          <w:sz w:val="22"/>
          <w:szCs w:val="22"/>
          <w:lang w:val="cs-CZ" w:eastAsia="cs-CZ"/>
        </w:rPr>
        <w:t> </w:t>
      </w:r>
      <w:r w:rsidRPr="008D2E61">
        <w:rPr>
          <w:sz w:val="22"/>
          <w:szCs w:val="22"/>
          <w:lang w:val="cs-CZ" w:eastAsia="cs-CZ"/>
        </w:rPr>
        <w:t>ulcerózní kolitidou. Mechanismus tohoto účinku není jasný, mohl by však souviset s</w:t>
      </w:r>
      <w:r>
        <w:rPr>
          <w:sz w:val="22"/>
          <w:szCs w:val="22"/>
          <w:lang w:val="cs-CZ" w:eastAsia="cs-CZ"/>
        </w:rPr>
        <w:t> </w:t>
      </w:r>
      <w:r w:rsidRPr="008D2E61">
        <w:rPr>
          <w:sz w:val="22"/>
          <w:szCs w:val="22"/>
          <w:lang w:val="cs-CZ" w:eastAsia="cs-CZ"/>
        </w:rPr>
        <w:t>protizánětlivým účinkem adalimumabu.</w:t>
      </w:r>
    </w:p>
    <w:p w14:paraId="11FB041C" w14:textId="77777777" w:rsidR="00F24C86" w:rsidRPr="001B4A02" w:rsidRDefault="00F24C86" w:rsidP="00F24C86">
      <w:pPr>
        <w:ind w:left="0" w:firstLine="0"/>
      </w:pPr>
    </w:p>
    <w:p w14:paraId="65D94FC1" w14:textId="77777777" w:rsidR="00F24C86" w:rsidRPr="001B4A02" w:rsidRDefault="00000000" w:rsidP="00F24C86">
      <w:pPr>
        <w:keepNext/>
        <w:rPr>
          <w:szCs w:val="22"/>
          <w:u w:val="single"/>
        </w:rPr>
      </w:pPr>
      <w:r w:rsidRPr="001B4A02">
        <w:rPr>
          <w:szCs w:val="22"/>
          <w:u w:val="single"/>
        </w:rPr>
        <w:t>Uveitida</w:t>
      </w:r>
    </w:p>
    <w:p w14:paraId="5CD5980C" w14:textId="77777777" w:rsidR="00F24C86" w:rsidRPr="001B4A02" w:rsidRDefault="00F24C86" w:rsidP="00F24C86">
      <w:pPr>
        <w:keepNext/>
        <w:rPr>
          <w:szCs w:val="22"/>
          <w:u w:val="single"/>
        </w:rPr>
      </w:pPr>
    </w:p>
    <w:p w14:paraId="0936E4A5" w14:textId="77777777" w:rsidR="00F24C86" w:rsidRPr="001B4A02" w:rsidRDefault="00000000" w:rsidP="00F24C86">
      <w:pPr>
        <w:ind w:left="0" w:firstLine="0"/>
        <w:rPr>
          <w:szCs w:val="22"/>
        </w:rPr>
      </w:pPr>
      <w:r w:rsidRPr="001B4A02">
        <w:t>Bezpečnostní profil u</w:t>
      </w:r>
      <w:r w:rsidR="000D1F8F" w:rsidRPr="001B4A02">
        <w:t> </w:t>
      </w:r>
      <w:r w:rsidRPr="001B4A02">
        <w:t>pacientů s</w:t>
      </w:r>
      <w:r w:rsidR="00706381" w:rsidRPr="001B4A02">
        <w:t> </w:t>
      </w:r>
      <w:r w:rsidRPr="001B4A02">
        <w:t>uveitidou léčených přípravkem Humira jednou za dva týdny byl v souladu se známým bezpečnostním profilem přípravku Humira.</w:t>
      </w:r>
    </w:p>
    <w:p w14:paraId="19EE5114" w14:textId="77777777" w:rsidR="00F24C86" w:rsidRPr="001B4A02" w:rsidRDefault="00F24C86" w:rsidP="00F24C86">
      <w:pPr>
        <w:ind w:left="0" w:firstLine="0"/>
        <w:rPr>
          <w:u w:val="single"/>
        </w:rPr>
      </w:pPr>
    </w:p>
    <w:p w14:paraId="66A93C83" w14:textId="77777777" w:rsidR="00F24C86" w:rsidRPr="001B4A02" w:rsidRDefault="00000000" w:rsidP="0017164D">
      <w:pPr>
        <w:keepNext/>
        <w:ind w:left="0" w:firstLine="0"/>
        <w:rPr>
          <w:u w:val="single"/>
        </w:rPr>
      </w:pPr>
      <w:r w:rsidRPr="001B4A02">
        <w:rPr>
          <w:u w:val="single"/>
        </w:rPr>
        <w:t>Popis vybraných nežádoucích účinků</w:t>
      </w:r>
    </w:p>
    <w:p w14:paraId="05835C0A" w14:textId="77777777" w:rsidR="00F24C86" w:rsidRPr="001B4A02" w:rsidRDefault="00F24C86" w:rsidP="0017164D">
      <w:pPr>
        <w:keepNext/>
        <w:ind w:left="0" w:firstLine="0"/>
        <w:rPr>
          <w:u w:val="single"/>
        </w:rPr>
      </w:pPr>
    </w:p>
    <w:p w14:paraId="1B6E9512" w14:textId="77777777" w:rsidR="00F24C86" w:rsidRPr="001B4A02" w:rsidRDefault="00000000" w:rsidP="0017164D">
      <w:pPr>
        <w:keepNext/>
        <w:ind w:left="0" w:firstLine="0"/>
        <w:rPr>
          <w:i/>
        </w:rPr>
      </w:pPr>
      <w:r w:rsidRPr="001B4A02">
        <w:rPr>
          <w:i/>
        </w:rPr>
        <w:t>Reakce v místě injekčního vpichu</w:t>
      </w:r>
    </w:p>
    <w:p w14:paraId="7C59982C" w14:textId="77777777" w:rsidR="00F24C86" w:rsidRPr="001B4A02" w:rsidRDefault="00F24C86" w:rsidP="0017164D">
      <w:pPr>
        <w:keepNext/>
        <w:ind w:left="0" w:firstLine="0"/>
      </w:pPr>
    </w:p>
    <w:p w14:paraId="142FB883" w14:textId="77777777" w:rsidR="00F24C86" w:rsidRPr="001B4A02" w:rsidRDefault="00000000" w:rsidP="00F24C86">
      <w:pPr>
        <w:ind w:left="0" w:firstLine="0"/>
      </w:pPr>
      <w:r w:rsidRPr="001B4A02">
        <w:t>V klíčových kontrolovaných studiích se u 12,9</w:t>
      </w:r>
      <w:r w:rsidR="006008CB">
        <w:t> %</w:t>
      </w:r>
      <w:r w:rsidRPr="001B4A02">
        <w:t xml:space="preserve"> dětských</w:t>
      </w:r>
      <w:r w:rsidR="002378E0">
        <w:t xml:space="preserve"> a </w:t>
      </w:r>
      <w:r w:rsidRPr="001B4A02">
        <w:t>dospělých pacientů léčených přípravkem Humira vyvinuly reakce v místě vpichu (erytém a/nebo svědění, krvácení, bolest nebo otok) v porovnání se 7,2</w:t>
      </w:r>
      <w:r w:rsidR="006008CB">
        <w:t> %</w:t>
      </w:r>
      <w:r w:rsidRPr="001B4A02">
        <w:t xml:space="preserve"> pacientů léčených placebem nebo aktivní kontrolou. Reakce v místě injekčního vpichu nevyžadovaly přerušení podávání léčivého přípravku.</w:t>
      </w:r>
    </w:p>
    <w:p w14:paraId="05C63C0E" w14:textId="77777777" w:rsidR="00F24C86" w:rsidRPr="001B4A02" w:rsidRDefault="00F24C86" w:rsidP="00F24C86">
      <w:pPr>
        <w:ind w:left="0" w:firstLine="0"/>
      </w:pPr>
    </w:p>
    <w:p w14:paraId="20FA9CFC" w14:textId="77777777" w:rsidR="00F24C86" w:rsidRPr="001B4A02" w:rsidRDefault="00000000" w:rsidP="0017164D">
      <w:pPr>
        <w:keepNext/>
        <w:ind w:left="0" w:firstLine="0"/>
        <w:rPr>
          <w:i/>
        </w:rPr>
      </w:pPr>
      <w:r w:rsidRPr="001B4A02">
        <w:rPr>
          <w:i/>
        </w:rPr>
        <w:t>Infekce</w:t>
      </w:r>
    </w:p>
    <w:p w14:paraId="4965365B" w14:textId="77777777" w:rsidR="00F24C86" w:rsidRPr="001B4A02" w:rsidRDefault="00F24C86" w:rsidP="0017164D">
      <w:pPr>
        <w:keepNext/>
        <w:ind w:left="0" w:firstLine="0"/>
      </w:pPr>
    </w:p>
    <w:p w14:paraId="4AE30D7C" w14:textId="77777777" w:rsidR="00F24C86" w:rsidRPr="001B4A02" w:rsidRDefault="00000000" w:rsidP="00F24C86">
      <w:pPr>
        <w:ind w:left="0" w:firstLine="0"/>
        <w:rPr>
          <w:szCs w:val="22"/>
        </w:rPr>
      </w:pPr>
      <w:r w:rsidRPr="001B4A02">
        <w:t>V klíčových kontrolovaných studiích se u dětských</w:t>
      </w:r>
      <w:r w:rsidR="002378E0">
        <w:t xml:space="preserve"> a </w:t>
      </w:r>
      <w:r w:rsidRPr="001B4A02">
        <w:t>dospělých pacientů léčených přípravkem Humira vyskytla infekce ve frekvenci 1,51</w:t>
      </w:r>
      <w:r w:rsidR="002378E0">
        <w:t xml:space="preserve"> a </w:t>
      </w:r>
      <w:r w:rsidRPr="001B4A02">
        <w:t xml:space="preserve">u pacientů léčených placebem nebo aktivní kontrolou ve frekvenci 1,46 případů na pacienta léčeného po dobu jednoho roku (případ/pacient/rok). </w:t>
      </w:r>
      <w:r w:rsidRPr="001B4A02">
        <w:rPr>
          <w:szCs w:val="22"/>
        </w:rPr>
        <w:t>Jednalo se především o nazofaryngitidu, infekci horních cest dýchacích</w:t>
      </w:r>
      <w:r w:rsidR="002378E0">
        <w:rPr>
          <w:szCs w:val="22"/>
        </w:rPr>
        <w:t xml:space="preserve"> a </w:t>
      </w:r>
      <w:r w:rsidRPr="001B4A02">
        <w:rPr>
          <w:szCs w:val="22"/>
        </w:rPr>
        <w:t>sinusitidu. Většina pacientů pokračovala po vyléčení infekce v léčbě přípravkem Humira.</w:t>
      </w:r>
    </w:p>
    <w:p w14:paraId="03893261" w14:textId="77777777" w:rsidR="00F24C86" w:rsidRPr="001B4A02" w:rsidRDefault="00F24C86" w:rsidP="00F24C86">
      <w:pPr>
        <w:ind w:left="0" w:firstLine="0"/>
        <w:rPr>
          <w:szCs w:val="22"/>
        </w:rPr>
      </w:pPr>
    </w:p>
    <w:p w14:paraId="415E6F08" w14:textId="77777777" w:rsidR="00F24C86" w:rsidRPr="001B4A02" w:rsidRDefault="00000000" w:rsidP="00F24C86">
      <w:pPr>
        <w:ind w:left="0" w:firstLine="0"/>
      </w:pPr>
      <w:r w:rsidRPr="001B4A02">
        <w:t>Výskyt závažných infekcí u</w:t>
      </w:r>
      <w:r w:rsidR="000D1F8F" w:rsidRPr="001B4A02">
        <w:t> </w:t>
      </w:r>
      <w:r w:rsidRPr="001B4A02">
        <w:t>pacientů léčených přípravkem Humira činil 0,04 případů/pacient/rok</w:t>
      </w:r>
      <w:r w:rsidR="002378E0">
        <w:t xml:space="preserve"> a </w:t>
      </w:r>
      <w:r w:rsidRPr="001B4A02">
        <w:t>u pacientů léčených placebem nebo aktivní kontrolou 0,03 případů/pacient/rok.</w:t>
      </w:r>
    </w:p>
    <w:p w14:paraId="5ED65DCC" w14:textId="77777777" w:rsidR="00F24C86" w:rsidRPr="001B4A02" w:rsidRDefault="00F24C86" w:rsidP="00F24C86">
      <w:pPr>
        <w:ind w:left="0" w:firstLine="0"/>
      </w:pPr>
    </w:p>
    <w:p w14:paraId="60D9376B" w14:textId="77777777" w:rsidR="00F24C86" w:rsidRPr="001B4A02" w:rsidRDefault="00000000" w:rsidP="00F24C86">
      <w:pPr>
        <w:ind w:left="0" w:firstLine="0"/>
      </w:pPr>
      <w:r w:rsidRPr="001B4A02">
        <w:rPr>
          <w:szCs w:val="22"/>
        </w:rPr>
        <w:t>V kontrolovaných</w:t>
      </w:r>
      <w:r w:rsidR="002378E0">
        <w:rPr>
          <w:szCs w:val="22"/>
        </w:rPr>
        <w:t xml:space="preserve"> a </w:t>
      </w:r>
      <w:r w:rsidRPr="001B4A02">
        <w:rPr>
          <w:szCs w:val="22"/>
        </w:rPr>
        <w:t>otevřených studiích u</w:t>
      </w:r>
      <w:r w:rsidR="000D1F8F" w:rsidRPr="001B4A02">
        <w:rPr>
          <w:szCs w:val="22"/>
        </w:rPr>
        <w:t> </w:t>
      </w:r>
      <w:r w:rsidRPr="001B4A02">
        <w:rPr>
          <w:szCs w:val="22"/>
        </w:rPr>
        <w:t>dospělých i pediatrických pacientů s přípravkem Humira byly hlášeny závažné infekce (včetně fat</w:t>
      </w:r>
      <w:r w:rsidR="00E91D00" w:rsidRPr="001B4A02">
        <w:rPr>
          <w:szCs w:val="22"/>
        </w:rPr>
        <w:t>á</w:t>
      </w:r>
      <w:r w:rsidRPr="001B4A02">
        <w:rPr>
          <w:szCs w:val="22"/>
        </w:rPr>
        <w:t>lních infekcí, které se vyskytovaly vzácně), jako jsou tuberkulóza (včetně miliární</w:t>
      </w:r>
      <w:r w:rsidR="002378E0">
        <w:rPr>
          <w:szCs w:val="22"/>
        </w:rPr>
        <w:t xml:space="preserve"> a </w:t>
      </w:r>
      <w:r w:rsidRPr="001B4A02">
        <w:rPr>
          <w:szCs w:val="22"/>
        </w:rPr>
        <w:t>mimoplicní tuberkulózy)</w:t>
      </w:r>
      <w:r w:rsidR="002378E0">
        <w:rPr>
          <w:szCs w:val="22"/>
        </w:rPr>
        <w:t xml:space="preserve"> a </w:t>
      </w:r>
      <w:r w:rsidRPr="001B4A02">
        <w:rPr>
          <w:szCs w:val="22"/>
        </w:rPr>
        <w:t>invazivní oportunní infekce (např. diseminov</w:t>
      </w:r>
      <w:r w:rsidR="00E91D00" w:rsidRPr="001B4A02">
        <w:rPr>
          <w:szCs w:val="22"/>
        </w:rPr>
        <w:t>an</w:t>
      </w:r>
      <w:r w:rsidRPr="001B4A02">
        <w:rPr>
          <w:szCs w:val="22"/>
        </w:rPr>
        <w:t>á nebo mimoplicní histoplasmóza, blastocystóza, kokcidiomykóza, pneumocystóza, kandidóza, aspergilóza</w:t>
      </w:r>
      <w:r w:rsidR="002378E0">
        <w:rPr>
          <w:szCs w:val="22"/>
        </w:rPr>
        <w:t xml:space="preserve"> a </w:t>
      </w:r>
      <w:r w:rsidRPr="001B4A02">
        <w:rPr>
          <w:szCs w:val="22"/>
        </w:rPr>
        <w:t>listerióza). Většina případů tuberkulózy se vyskytla v prvních osmi měsících po zahájení léčby</w:t>
      </w:r>
      <w:r w:rsidR="002378E0">
        <w:rPr>
          <w:szCs w:val="22"/>
        </w:rPr>
        <w:t xml:space="preserve"> a </w:t>
      </w:r>
      <w:r w:rsidRPr="001B4A02">
        <w:rPr>
          <w:szCs w:val="22"/>
        </w:rPr>
        <w:t>mohlo se jednat o opětovné vzplanutí latentního onemocnění.</w:t>
      </w:r>
    </w:p>
    <w:p w14:paraId="082FFBAF" w14:textId="77777777" w:rsidR="00F24C86" w:rsidRPr="001B4A02" w:rsidRDefault="00F24C86" w:rsidP="00F24C86">
      <w:pPr>
        <w:ind w:left="0" w:firstLine="0"/>
      </w:pPr>
    </w:p>
    <w:p w14:paraId="33D72D0F" w14:textId="77777777" w:rsidR="00F24C86" w:rsidRPr="001B4A02" w:rsidRDefault="00000000" w:rsidP="00F24C86">
      <w:pPr>
        <w:pStyle w:val="EMEAHeadingUnderline"/>
        <w:keepNext/>
        <w:tabs>
          <w:tab w:val="clear" w:pos="562"/>
        </w:tabs>
        <w:suppressAutoHyphens w:val="0"/>
        <w:spacing w:beforeLines="0" w:before="0" w:afterLines="0" w:after="0"/>
        <w:rPr>
          <w:i/>
          <w:szCs w:val="24"/>
          <w:u w:val="none"/>
          <w:lang w:val="cs-CZ"/>
        </w:rPr>
      </w:pPr>
      <w:r w:rsidRPr="001B4A02">
        <w:rPr>
          <w:i/>
          <w:szCs w:val="24"/>
          <w:u w:val="none"/>
          <w:lang w:val="cs-CZ"/>
        </w:rPr>
        <w:t>Maligní onemocnění</w:t>
      </w:r>
      <w:r w:rsidR="002378E0">
        <w:rPr>
          <w:i/>
          <w:szCs w:val="24"/>
          <w:u w:val="none"/>
          <w:lang w:val="cs-CZ"/>
        </w:rPr>
        <w:t xml:space="preserve"> a </w:t>
      </w:r>
      <w:r w:rsidRPr="001B4A02">
        <w:rPr>
          <w:i/>
          <w:szCs w:val="24"/>
          <w:u w:val="none"/>
          <w:lang w:val="cs-CZ"/>
        </w:rPr>
        <w:t xml:space="preserve">lymfoproliferativní poruchy </w:t>
      </w:r>
    </w:p>
    <w:p w14:paraId="60E87309" w14:textId="77777777" w:rsidR="00F24C86" w:rsidRPr="001B4A02" w:rsidRDefault="00F24C86" w:rsidP="00F24C86">
      <w:pPr>
        <w:keepNext/>
      </w:pPr>
    </w:p>
    <w:p w14:paraId="50921143" w14:textId="77777777" w:rsidR="00F24C86" w:rsidRPr="001B4A02" w:rsidRDefault="00000000" w:rsidP="00F24C86">
      <w:pPr>
        <w:pStyle w:val="EMEANormal"/>
        <w:tabs>
          <w:tab w:val="clear" w:pos="562"/>
        </w:tabs>
        <w:suppressAutoHyphens w:val="0"/>
        <w:rPr>
          <w:lang w:val="cs-CZ"/>
        </w:rPr>
      </w:pPr>
      <w:r w:rsidRPr="001B4A02">
        <w:rPr>
          <w:lang w:val="cs-CZ"/>
        </w:rPr>
        <w:t>Ve studiích s přípravkem Humira nebyly u 249 pediatrických pacientů s juvenilní idiopatickou artritidou (polyartikulární juvenilní idiopatickou artritidou</w:t>
      </w:r>
      <w:r w:rsidR="002378E0">
        <w:rPr>
          <w:lang w:val="cs-CZ"/>
        </w:rPr>
        <w:t xml:space="preserve"> a </w:t>
      </w:r>
      <w:r w:rsidRPr="001B4A02">
        <w:rPr>
          <w:lang w:val="cs-CZ"/>
        </w:rPr>
        <w:t>entezopatickou artritidou) pozorovány žádné malignity při expozici odpovídající 655,6 pacientorokům léčby. Žádné malignity nebyly navíc pozorovány ani u</w:t>
      </w:r>
      <w:r w:rsidR="00CB0C63" w:rsidRPr="001B4A02">
        <w:rPr>
          <w:lang w:val="cs-CZ"/>
        </w:rPr>
        <w:t> </w:t>
      </w:r>
      <w:r w:rsidRPr="001B4A02">
        <w:rPr>
          <w:lang w:val="cs-CZ"/>
        </w:rPr>
        <w:t>192 pediatrických pacientů při expozici 498,1 pacientoroků léčby v průběhu studií s přípravkem Humira, zaměřených na pediatrické pacienty s Crohnovou chorobou. Žádné malignity nebyly pozorovány u</w:t>
      </w:r>
      <w:r w:rsidR="00CB0C63" w:rsidRPr="001B4A02">
        <w:rPr>
          <w:lang w:val="cs-CZ"/>
        </w:rPr>
        <w:t> </w:t>
      </w:r>
      <w:r w:rsidRPr="001B4A02">
        <w:rPr>
          <w:lang w:val="cs-CZ"/>
        </w:rPr>
        <w:t>77 pediatrických pacientů při expozici 80 pacientoroků léčby v průběhu studie s přípravkem Humira u</w:t>
      </w:r>
      <w:r w:rsidR="00CB0C63" w:rsidRPr="001B4A02">
        <w:rPr>
          <w:lang w:val="cs-CZ"/>
        </w:rPr>
        <w:t> </w:t>
      </w:r>
      <w:r w:rsidRPr="001B4A02">
        <w:rPr>
          <w:lang w:val="cs-CZ"/>
        </w:rPr>
        <w:t xml:space="preserve">pediatrických pacientů s chronickou ložiskovou psoriázou. </w:t>
      </w:r>
      <w:r w:rsidRPr="001B4A02">
        <w:rPr>
          <w:szCs w:val="22"/>
          <w:lang w:val="cs-CZ"/>
        </w:rPr>
        <w:t>U</w:t>
      </w:r>
      <w:r w:rsidR="00CB0C63" w:rsidRPr="001B4A02">
        <w:rPr>
          <w:szCs w:val="22"/>
          <w:lang w:val="cs-CZ"/>
        </w:rPr>
        <w:t> </w:t>
      </w:r>
      <w:r w:rsidRPr="001B4A02">
        <w:rPr>
          <w:szCs w:val="22"/>
          <w:lang w:val="cs-CZ"/>
        </w:rPr>
        <w:t>60</w:t>
      </w:r>
      <w:r w:rsidR="00CB0C63" w:rsidRPr="001B4A02">
        <w:rPr>
          <w:szCs w:val="22"/>
          <w:lang w:val="cs-CZ"/>
        </w:rPr>
        <w:t xml:space="preserve"> </w:t>
      </w:r>
      <w:r w:rsidRPr="001B4A02">
        <w:rPr>
          <w:szCs w:val="22"/>
          <w:lang w:val="cs-CZ"/>
        </w:rPr>
        <w:t>pediatrických pacientů s</w:t>
      </w:r>
      <w:r w:rsidR="00CB0C63" w:rsidRPr="001B4A02">
        <w:rPr>
          <w:szCs w:val="22"/>
          <w:lang w:val="cs-CZ"/>
        </w:rPr>
        <w:t> </w:t>
      </w:r>
      <w:r w:rsidRPr="001B4A02">
        <w:rPr>
          <w:szCs w:val="22"/>
          <w:lang w:val="cs-CZ"/>
        </w:rPr>
        <w:t>expozicí 58,4 pacientoroků nebyly pozorovány žádné malignity během klinického hodnocení s</w:t>
      </w:r>
      <w:r w:rsidR="00CB0C63" w:rsidRPr="001B4A02">
        <w:rPr>
          <w:szCs w:val="22"/>
          <w:lang w:val="cs-CZ"/>
        </w:rPr>
        <w:t> </w:t>
      </w:r>
      <w:r w:rsidRPr="001B4A02">
        <w:rPr>
          <w:szCs w:val="22"/>
          <w:lang w:val="cs-CZ"/>
        </w:rPr>
        <w:t>přípravkem Humira u</w:t>
      </w:r>
      <w:r w:rsidR="00CB0C63" w:rsidRPr="001B4A02">
        <w:rPr>
          <w:szCs w:val="22"/>
          <w:lang w:val="cs-CZ"/>
        </w:rPr>
        <w:t> </w:t>
      </w:r>
      <w:r w:rsidRPr="001B4A02">
        <w:rPr>
          <w:szCs w:val="22"/>
          <w:lang w:val="cs-CZ"/>
        </w:rPr>
        <w:t>pediatrických pacientů s</w:t>
      </w:r>
      <w:r w:rsidR="00CB0C63" w:rsidRPr="001B4A02">
        <w:rPr>
          <w:szCs w:val="22"/>
          <w:lang w:val="cs-CZ"/>
        </w:rPr>
        <w:t> </w:t>
      </w:r>
      <w:r w:rsidRPr="001B4A02">
        <w:rPr>
          <w:szCs w:val="22"/>
          <w:lang w:val="cs-CZ"/>
        </w:rPr>
        <w:t>uveitidou.</w:t>
      </w:r>
    </w:p>
    <w:p w14:paraId="0EAD0DE3" w14:textId="77777777" w:rsidR="00F24C86" w:rsidRPr="001B4A02" w:rsidRDefault="00F24C86" w:rsidP="00F24C86">
      <w:pPr>
        <w:pStyle w:val="EMEANormal"/>
        <w:tabs>
          <w:tab w:val="clear" w:pos="562"/>
          <w:tab w:val="left" w:pos="708"/>
        </w:tabs>
        <w:suppressAutoHyphens w:val="0"/>
        <w:rPr>
          <w:lang w:val="cs-CZ"/>
        </w:rPr>
      </w:pPr>
    </w:p>
    <w:p w14:paraId="1FFA6913" w14:textId="77777777" w:rsidR="00F24C86" w:rsidRPr="001B4A02" w:rsidRDefault="00000000" w:rsidP="00F24C86">
      <w:pPr>
        <w:pStyle w:val="EMEANormal"/>
        <w:tabs>
          <w:tab w:val="clear" w:pos="562"/>
        </w:tabs>
        <w:suppressAutoHyphens w:val="0"/>
        <w:rPr>
          <w:lang w:val="cs-CZ"/>
        </w:rPr>
      </w:pPr>
      <w:r w:rsidRPr="001B4A02">
        <w:rPr>
          <w:lang w:val="cs-CZ"/>
        </w:rPr>
        <w:t>V průběhu kontrolovaného období klíčových klinických studií u</w:t>
      </w:r>
      <w:r w:rsidR="00283310" w:rsidRPr="001B4A02">
        <w:rPr>
          <w:lang w:val="cs-CZ"/>
        </w:rPr>
        <w:t> </w:t>
      </w:r>
      <w:r w:rsidRPr="001B4A02">
        <w:rPr>
          <w:lang w:val="cs-CZ"/>
        </w:rPr>
        <w:t xml:space="preserve">dospělých pacientů s přípravkem Humira, v trvání nejméně 12 týdnů, byly u pacientů se středně těžkou až těžkou aktivní revmatoidní artritidou, ankylozující spondylitidou, </w:t>
      </w:r>
      <w:r w:rsidRPr="001B4A02">
        <w:rPr>
          <w:szCs w:val="22"/>
          <w:lang w:val="cs-CZ"/>
        </w:rPr>
        <w:t>axiální spondylartritidou bez radiologického průkazu AS,</w:t>
      </w:r>
      <w:r w:rsidRPr="001B4A02">
        <w:rPr>
          <w:lang w:val="cs-CZ"/>
        </w:rPr>
        <w:t xml:space="preserve"> psoriatickou artritidou, psoriázou, hidradenitis suppurativa, Crohnovou chorobou, ulcerózní kolitidou</w:t>
      </w:r>
      <w:r w:rsidR="002378E0">
        <w:rPr>
          <w:lang w:val="cs-CZ"/>
        </w:rPr>
        <w:t xml:space="preserve"> a </w:t>
      </w:r>
      <w:r w:rsidRPr="001B4A02">
        <w:rPr>
          <w:lang w:val="cs-CZ"/>
        </w:rPr>
        <w:t>uveitidou pozorovány případy malignit jiného druhu, než jsou lymfomy či nemelanomový karcinom kůže, s četností výskytu 6,8 (4,4</w:t>
      </w:r>
      <w:r w:rsidR="002378E0">
        <w:rPr>
          <w:lang w:val="cs-CZ"/>
        </w:rPr>
        <w:t xml:space="preserve"> a </w:t>
      </w:r>
      <w:r w:rsidRPr="001B4A02">
        <w:rPr>
          <w:lang w:val="cs-CZ"/>
        </w:rPr>
        <w:t xml:space="preserve">10,5) (na 1 000 pacientoroků při 95% intervalu spolehlivosti, </w:t>
      </w:r>
      <w:r w:rsidRPr="001B4A02">
        <w:rPr>
          <w:iCs/>
          <w:lang w:val="cs-CZ"/>
        </w:rPr>
        <w:t>v porovnání</w:t>
      </w:r>
      <w:r w:rsidRPr="001B4A02">
        <w:rPr>
          <w:lang w:val="cs-CZ"/>
        </w:rPr>
        <w:t xml:space="preserve"> s četností jejich výskytu 6,3 (3,4</w:t>
      </w:r>
      <w:r w:rsidR="002378E0">
        <w:rPr>
          <w:lang w:val="cs-CZ"/>
        </w:rPr>
        <w:t xml:space="preserve"> a </w:t>
      </w:r>
      <w:r w:rsidRPr="001B4A02">
        <w:rPr>
          <w:lang w:val="cs-CZ"/>
        </w:rPr>
        <w:t>11,8) na 1 000 pacientoroků u kontrolní skupiny. Skupina s přípravkem Humira zahrnovala 5 291 pacientů</w:t>
      </w:r>
      <w:r w:rsidR="002378E0">
        <w:rPr>
          <w:lang w:val="cs-CZ"/>
        </w:rPr>
        <w:t xml:space="preserve"> a </w:t>
      </w:r>
      <w:r w:rsidRPr="001B4A02">
        <w:rPr>
          <w:lang w:val="cs-CZ"/>
        </w:rPr>
        <w:t>3 444 pacientů bylo v kontrolní skupině (průměrná doba trvání léčby byla 4,0 měsíce u</w:t>
      </w:r>
      <w:r w:rsidR="000D1F8F" w:rsidRPr="001B4A02">
        <w:rPr>
          <w:lang w:val="cs-CZ"/>
        </w:rPr>
        <w:t> </w:t>
      </w:r>
      <w:r w:rsidRPr="001B4A02">
        <w:rPr>
          <w:lang w:val="cs-CZ"/>
        </w:rPr>
        <w:t>přípravku Humira</w:t>
      </w:r>
      <w:r w:rsidR="002378E0">
        <w:rPr>
          <w:lang w:val="cs-CZ"/>
        </w:rPr>
        <w:t xml:space="preserve"> a </w:t>
      </w:r>
      <w:r w:rsidRPr="001B4A02">
        <w:rPr>
          <w:lang w:val="cs-CZ"/>
        </w:rPr>
        <w:t>3,8 měsíce u pacientů léčených kontrolou). Četnost výskytu kožních karcinomů nemelanomového typu (95% interval spolehlivosti) byla 8,8 (6,0</w:t>
      </w:r>
      <w:r w:rsidR="002378E0">
        <w:rPr>
          <w:lang w:val="cs-CZ"/>
        </w:rPr>
        <w:t xml:space="preserve"> a </w:t>
      </w:r>
      <w:r w:rsidRPr="001B4A02">
        <w:rPr>
          <w:lang w:val="cs-CZ"/>
        </w:rPr>
        <w:t>13,0) na 1 000 pacientoroků u</w:t>
      </w:r>
      <w:r w:rsidR="00283310" w:rsidRPr="001B4A02">
        <w:rPr>
          <w:lang w:val="cs-CZ"/>
        </w:rPr>
        <w:t> </w:t>
      </w:r>
      <w:r w:rsidRPr="001B4A02">
        <w:rPr>
          <w:lang w:val="cs-CZ"/>
        </w:rPr>
        <w:t>pacientů léčených přípravkem Humira</w:t>
      </w:r>
      <w:r w:rsidR="002378E0">
        <w:rPr>
          <w:lang w:val="cs-CZ"/>
        </w:rPr>
        <w:t xml:space="preserve"> a </w:t>
      </w:r>
      <w:r w:rsidRPr="001B4A02">
        <w:rPr>
          <w:lang w:val="cs-CZ"/>
        </w:rPr>
        <w:t>3,2 (1,3</w:t>
      </w:r>
      <w:r w:rsidR="002378E0">
        <w:rPr>
          <w:lang w:val="cs-CZ"/>
        </w:rPr>
        <w:t xml:space="preserve"> a </w:t>
      </w:r>
      <w:r w:rsidRPr="001B4A02">
        <w:rPr>
          <w:lang w:val="cs-CZ"/>
        </w:rPr>
        <w:t>7,6) na 1 000 pacientoroků v kontrolní skupině. Z těchto kožních karcinomů se skvamózní buněčný karcinom vyskytoval s četností 2,7 (1,4</w:t>
      </w:r>
      <w:r w:rsidR="002378E0">
        <w:rPr>
          <w:lang w:val="cs-CZ"/>
        </w:rPr>
        <w:t xml:space="preserve"> a </w:t>
      </w:r>
      <w:r w:rsidRPr="001B4A02">
        <w:rPr>
          <w:lang w:val="cs-CZ"/>
        </w:rPr>
        <w:t>5,4) na 1 000 pacientoroků při 95% intervalu spolehlivosti u pacientů léčených přípravkem Humira</w:t>
      </w:r>
      <w:r w:rsidR="002378E0">
        <w:rPr>
          <w:lang w:val="cs-CZ"/>
        </w:rPr>
        <w:t xml:space="preserve"> a </w:t>
      </w:r>
      <w:r w:rsidRPr="001B4A02">
        <w:rPr>
          <w:lang w:val="cs-CZ"/>
        </w:rPr>
        <w:t>0,6 (0,1</w:t>
      </w:r>
      <w:r w:rsidR="002378E0">
        <w:rPr>
          <w:lang w:val="cs-CZ"/>
        </w:rPr>
        <w:t xml:space="preserve"> a </w:t>
      </w:r>
      <w:r w:rsidRPr="001B4A02">
        <w:rPr>
          <w:lang w:val="cs-CZ"/>
        </w:rPr>
        <w:t>4,5) na 1 000 pacientoroků u kontrolních pacientů. Četnost výskytu lymfomů (95% interval spolehlivosti) byla 0,7 (0,2</w:t>
      </w:r>
      <w:r w:rsidR="002378E0">
        <w:rPr>
          <w:lang w:val="cs-CZ"/>
        </w:rPr>
        <w:t xml:space="preserve"> a </w:t>
      </w:r>
      <w:r w:rsidRPr="001B4A02">
        <w:rPr>
          <w:lang w:val="cs-CZ"/>
        </w:rPr>
        <w:t>2,7) na 1 000 pacientoroků u</w:t>
      </w:r>
      <w:r w:rsidR="000D1F8F" w:rsidRPr="001B4A02">
        <w:rPr>
          <w:lang w:val="cs-CZ"/>
        </w:rPr>
        <w:t> </w:t>
      </w:r>
      <w:r w:rsidRPr="001B4A02">
        <w:rPr>
          <w:lang w:val="cs-CZ"/>
        </w:rPr>
        <w:t>pacientů léčených přípravkem Humira</w:t>
      </w:r>
      <w:r w:rsidR="002378E0">
        <w:rPr>
          <w:lang w:val="cs-CZ"/>
        </w:rPr>
        <w:t xml:space="preserve"> a </w:t>
      </w:r>
      <w:r w:rsidRPr="001B4A02">
        <w:rPr>
          <w:lang w:val="cs-CZ"/>
        </w:rPr>
        <w:t>0,6 (0,1</w:t>
      </w:r>
      <w:r w:rsidR="002378E0">
        <w:rPr>
          <w:lang w:val="cs-CZ"/>
        </w:rPr>
        <w:t xml:space="preserve"> a </w:t>
      </w:r>
      <w:r w:rsidRPr="001B4A02">
        <w:rPr>
          <w:lang w:val="cs-CZ"/>
        </w:rPr>
        <w:t>4,5) na 1 000 pacientoroků u kontrolních pacientů.</w:t>
      </w:r>
    </w:p>
    <w:p w14:paraId="649DCCCD" w14:textId="77777777" w:rsidR="00F24C86" w:rsidRPr="001B4A02" w:rsidRDefault="00F24C86" w:rsidP="00F24C86">
      <w:pPr>
        <w:pStyle w:val="EMEANormal"/>
        <w:tabs>
          <w:tab w:val="clear" w:pos="562"/>
        </w:tabs>
        <w:suppressAutoHyphens w:val="0"/>
        <w:rPr>
          <w:szCs w:val="22"/>
          <w:lang w:val="cs-CZ"/>
        </w:rPr>
      </w:pPr>
    </w:p>
    <w:p w14:paraId="14C6B894" w14:textId="77777777" w:rsidR="00F24C86" w:rsidRPr="001B4A02" w:rsidRDefault="00000000" w:rsidP="00F24C86">
      <w:pPr>
        <w:pStyle w:val="EMEANormal"/>
        <w:tabs>
          <w:tab w:val="clear" w:pos="562"/>
        </w:tabs>
        <w:suppressAutoHyphens w:val="0"/>
        <w:rPr>
          <w:szCs w:val="22"/>
          <w:lang w:val="cs-CZ"/>
        </w:rPr>
      </w:pPr>
      <w:r w:rsidRPr="001B4A02">
        <w:rPr>
          <w:szCs w:val="22"/>
          <w:lang w:val="cs-CZ"/>
        </w:rPr>
        <w:t>Když se zkombinují kontrolovaná období těchto studií</w:t>
      </w:r>
      <w:r w:rsidR="002378E0">
        <w:rPr>
          <w:szCs w:val="22"/>
          <w:lang w:val="cs-CZ"/>
        </w:rPr>
        <w:t xml:space="preserve"> a </w:t>
      </w:r>
      <w:r w:rsidRPr="001B4A02">
        <w:rPr>
          <w:szCs w:val="22"/>
          <w:lang w:val="cs-CZ"/>
        </w:rPr>
        <w:t>probíhající</w:t>
      </w:r>
      <w:r w:rsidR="002378E0">
        <w:rPr>
          <w:szCs w:val="22"/>
          <w:lang w:val="cs-CZ"/>
        </w:rPr>
        <w:t xml:space="preserve"> a </w:t>
      </w:r>
      <w:r w:rsidRPr="001B4A02">
        <w:rPr>
          <w:szCs w:val="22"/>
          <w:lang w:val="cs-CZ"/>
        </w:rPr>
        <w:t>ukončené otevřené rozšířené fáze studií s průměrnou délkou trvání přibližně 3,3 roku, zahrnující 6 427 pacientů</w:t>
      </w:r>
      <w:r w:rsidR="002378E0">
        <w:rPr>
          <w:szCs w:val="22"/>
          <w:lang w:val="cs-CZ"/>
        </w:rPr>
        <w:t xml:space="preserve"> a </w:t>
      </w:r>
      <w:r w:rsidRPr="001B4A02">
        <w:rPr>
          <w:szCs w:val="22"/>
          <w:lang w:val="cs-CZ"/>
        </w:rPr>
        <w:t>více než 26 439 pacient</w:t>
      </w:r>
      <w:r w:rsidRPr="001B4A02">
        <w:rPr>
          <w:lang w:val="cs-CZ"/>
        </w:rPr>
        <w:t>oroků</w:t>
      </w:r>
      <w:r w:rsidRPr="001B4A02">
        <w:rPr>
          <w:szCs w:val="22"/>
          <w:lang w:val="cs-CZ"/>
        </w:rPr>
        <w:t xml:space="preserve"> léčby, pak pozorovaná četnost výskytu malignit jiného typu, než jsou lymfomy</w:t>
      </w:r>
      <w:r w:rsidR="002378E0">
        <w:rPr>
          <w:szCs w:val="22"/>
          <w:lang w:val="cs-CZ"/>
        </w:rPr>
        <w:t xml:space="preserve"> a </w:t>
      </w:r>
      <w:r w:rsidRPr="001B4A02">
        <w:rPr>
          <w:szCs w:val="22"/>
          <w:lang w:val="cs-CZ"/>
        </w:rPr>
        <w:t>nemelanomové karcinomy kůže, činí přibližně 8,5</w:t>
      </w:r>
      <w:r w:rsidRPr="001B4A02">
        <w:rPr>
          <w:szCs w:val="22"/>
          <w:shd w:val="clear" w:color="auto" w:fill="FFFFFF"/>
          <w:lang w:val="cs-CZ"/>
        </w:rPr>
        <w:t xml:space="preserve"> na 1 000</w:t>
      </w:r>
      <w:r w:rsidRPr="001B4A02">
        <w:rPr>
          <w:szCs w:val="22"/>
          <w:lang w:val="cs-CZ"/>
        </w:rPr>
        <w:t> pacient</w:t>
      </w:r>
      <w:r w:rsidRPr="001B4A02">
        <w:rPr>
          <w:lang w:val="cs-CZ"/>
        </w:rPr>
        <w:t>oroků</w:t>
      </w:r>
      <w:r w:rsidRPr="001B4A02">
        <w:rPr>
          <w:szCs w:val="22"/>
          <w:lang w:val="cs-CZ"/>
        </w:rPr>
        <w:t>. Pozorovaná četnost výskytu nemelanomového typu kožního karcinomu činí přibližně 9,6</w:t>
      </w:r>
      <w:r w:rsidRPr="001B4A02">
        <w:rPr>
          <w:szCs w:val="22"/>
          <w:shd w:val="clear" w:color="auto" w:fill="FFFFFF"/>
          <w:lang w:val="cs-CZ"/>
        </w:rPr>
        <w:t xml:space="preserve"> na 1 000</w:t>
      </w:r>
      <w:r w:rsidRPr="001B4A02">
        <w:rPr>
          <w:szCs w:val="22"/>
          <w:lang w:val="cs-CZ"/>
        </w:rPr>
        <w:t> pacient</w:t>
      </w:r>
      <w:r w:rsidRPr="001B4A02">
        <w:rPr>
          <w:lang w:val="cs-CZ"/>
        </w:rPr>
        <w:t>oroků</w:t>
      </w:r>
      <w:r w:rsidR="002378E0">
        <w:rPr>
          <w:szCs w:val="22"/>
          <w:lang w:val="cs-CZ"/>
        </w:rPr>
        <w:t xml:space="preserve"> a </w:t>
      </w:r>
      <w:r w:rsidRPr="001B4A02">
        <w:rPr>
          <w:szCs w:val="22"/>
          <w:lang w:val="cs-CZ"/>
        </w:rPr>
        <w:t>pozorovaná četnost lymfomů je přibližně 1,3 na 1 000 pacient</w:t>
      </w:r>
      <w:r w:rsidRPr="001B4A02">
        <w:rPr>
          <w:lang w:val="cs-CZ"/>
        </w:rPr>
        <w:t>oroků</w:t>
      </w:r>
      <w:r w:rsidRPr="001B4A02">
        <w:rPr>
          <w:szCs w:val="22"/>
          <w:lang w:val="cs-CZ"/>
        </w:rPr>
        <w:t>.</w:t>
      </w:r>
    </w:p>
    <w:p w14:paraId="26A3D305" w14:textId="77777777" w:rsidR="00F24C86" w:rsidRPr="001B4A02" w:rsidRDefault="00F24C86" w:rsidP="00F24C86">
      <w:pPr>
        <w:ind w:left="0" w:firstLine="0"/>
      </w:pPr>
    </w:p>
    <w:p w14:paraId="75E324B4" w14:textId="77777777" w:rsidR="00F24C86" w:rsidRPr="001B4A02" w:rsidRDefault="00000000" w:rsidP="00F24C86">
      <w:pPr>
        <w:ind w:left="0" w:firstLine="0"/>
      </w:pPr>
      <w:r w:rsidRPr="001B4A02">
        <w:t>Ve sledování po uvedení přípravku na trh v období od ledna 2003 do prosince 2010,</w:t>
      </w:r>
      <w:r w:rsidR="002378E0">
        <w:t xml:space="preserve"> a </w:t>
      </w:r>
      <w:r w:rsidRPr="001B4A02">
        <w:t xml:space="preserve">to především u pacientů s revmatoidní artritidou, činil výskyt </w:t>
      </w:r>
      <w:r w:rsidRPr="001B4A02">
        <w:rPr>
          <w:szCs w:val="22"/>
          <w:shd w:val="clear" w:color="auto" w:fill="FFFFFF"/>
        </w:rPr>
        <w:t xml:space="preserve">všech </w:t>
      </w:r>
      <w:r w:rsidR="0064463C">
        <w:rPr>
          <w:szCs w:val="22"/>
          <w:shd w:val="clear" w:color="auto" w:fill="FFFFFF"/>
        </w:rPr>
        <w:t xml:space="preserve">spontánně </w:t>
      </w:r>
      <w:r w:rsidRPr="001B4A02">
        <w:rPr>
          <w:szCs w:val="22"/>
          <w:shd w:val="clear" w:color="auto" w:fill="FFFFFF"/>
        </w:rPr>
        <w:t>hlášených malignit přibližně 2,7 na 1 000 </w:t>
      </w:r>
      <w:r w:rsidRPr="001B4A02">
        <w:rPr>
          <w:szCs w:val="22"/>
        </w:rPr>
        <w:t xml:space="preserve">pacientoroků léčby. </w:t>
      </w:r>
      <w:r w:rsidR="0064463C">
        <w:rPr>
          <w:szCs w:val="22"/>
        </w:rPr>
        <w:t>Spontánně h</w:t>
      </w:r>
      <w:r w:rsidRPr="001B4A02">
        <w:rPr>
          <w:szCs w:val="22"/>
        </w:rPr>
        <w:t>lášená četnost výskytu u kožního karcinomu nemelanomového typu činila přibližně 0,2</w:t>
      </w:r>
      <w:r w:rsidR="002378E0">
        <w:rPr>
          <w:szCs w:val="22"/>
        </w:rPr>
        <w:t xml:space="preserve"> a </w:t>
      </w:r>
      <w:r w:rsidRPr="001B4A02">
        <w:rPr>
          <w:szCs w:val="22"/>
        </w:rPr>
        <w:t>u lymfomů přibližně 0,3 na 1 000 pacient</w:t>
      </w:r>
      <w:r w:rsidRPr="001B4A02">
        <w:t>oroků</w:t>
      </w:r>
      <w:r w:rsidRPr="001B4A02">
        <w:rPr>
          <w:szCs w:val="22"/>
        </w:rPr>
        <w:t xml:space="preserve"> léčby (viz bod 4.4).</w:t>
      </w:r>
    </w:p>
    <w:p w14:paraId="26040EF2" w14:textId="77777777" w:rsidR="00F24C86" w:rsidRPr="001B4A02" w:rsidRDefault="00F24C86" w:rsidP="00F24C86">
      <w:pPr>
        <w:ind w:left="0" w:firstLine="0"/>
        <w:rPr>
          <w:u w:val="single"/>
        </w:rPr>
      </w:pPr>
    </w:p>
    <w:p w14:paraId="04BE0FA4" w14:textId="77777777" w:rsidR="00F24C86" w:rsidRPr="001B4A02" w:rsidRDefault="00000000" w:rsidP="00F24C86">
      <w:pPr>
        <w:ind w:left="0" w:firstLine="0"/>
        <w:rPr>
          <w:u w:val="single"/>
        </w:rPr>
      </w:pPr>
      <w:r w:rsidRPr="001B4A02">
        <w:t>U pacientů léčených adalimumabem byly hlášeny vzácné postmarketingové případy hepatosplenického T-buněčného lymfomu (viz bod 4.4).</w:t>
      </w:r>
    </w:p>
    <w:p w14:paraId="0A6AC320" w14:textId="77777777" w:rsidR="00F24C86" w:rsidRPr="001B4A02" w:rsidRDefault="00F24C86" w:rsidP="00F24C86">
      <w:pPr>
        <w:ind w:left="0" w:firstLine="0"/>
        <w:rPr>
          <w:u w:val="single"/>
        </w:rPr>
      </w:pPr>
    </w:p>
    <w:p w14:paraId="3CCC4D1C" w14:textId="77777777" w:rsidR="00F24C86" w:rsidRPr="001B4A02" w:rsidRDefault="00000000" w:rsidP="0017164D">
      <w:pPr>
        <w:keepNext/>
        <w:ind w:left="0" w:firstLine="0"/>
        <w:rPr>
          <w:i/>
        </w:rPr>
      </w:pPr>
      <w:r w:rsidRPr="001B4A02">
        <w:rPr>
          <w:i/>
        </w:rPr>
        <w:t>Autoprotilátky</w:t>
      </w:r>
    </w:p>
    <w:p w14:paraId="04B704A4" w14:textId="77777777" w:rsidR="00F24C86" w:rsidRPr="001B4A02" w:rsidRDefault="00F24C86" w:rsidP="0017164D">
      <w:pPr>
        <w:keepNext/>
        <w:ind w:left="0" w:firstLine="0"/>
      </w:pPr>
    </w:p>
    <w:p w14:paraId="7C39B668" w14:textId="77777777" w:rsidR="00F24C86" w:rsidRPr="001B4A02" w:rsidRDefault="00000000" w:rsidP="00F24C86">
      <w:pPr>
        <w:ind w:left="0" w:firstLine="0"/>
      </w:pPr>
      <w:r w:rsidRPr="001B4A02">
        <w:t>U pacientů bylo prováděno vyšetření na autoprotilátky v různých časových intervalech studií I–V s revmatoidní artritidou. V těchto studiích byly u 11,9</w:t>
      </w:r>
      <w:r w:rsidR="006008CB">
        <w:t> %</w:t>
      </w:r>
      <w:r w:rsidRPr="001B4A02">
        <w:t xml:space="preserve"> pacientů léčených přípravkem Humira</w:t>
      </w:r>
      <w:r w:rsidR="002378E0">
        <w:t xml:space="preserve"> a </w:t>
      </w:r>
      <w:r w:rsidRPr="001B4A02">
        <w:t>u 8,1</w:t>
      </w:r>
      <w:r w:rsidR="006008CB">
        <w:t> %</w:t>
      </w:r>
      <w:r w:rsidRPr="001B4A02">
        <w:t xml:space="preserve"> pacientů léčených placebem</w:t>
      </w:r>
      <w:r w:rsidR="002378E0">
        <w:t xml:space="preserve"> a </w:t>
      </w:r>
      <w:r w:rsidRPr="001B4A02">
        <w:t xml:space="preserve">aktivní kontrolou, kteří měli negativní výchozí titry antinukleárních protilátek, zjištěny pozitivní titry </w:t>
      </w:r>
      <w:r w:rsidR="00D00F8F">
        <w:t>v</w:t>
      </w:r>
      <w:r w:rsidR="009A3A47">
        <w:rPr>
          <w:rStyle w:val="normaltextrun"/>
          <w:shd w:val="clear" w:color="auto" w:fill="FFFFFF"/>
        </w:rPr>
        <w:t> </w:t>
      </w:r>
      <w:r w:rsidR="00D00F8F">
        <w:t>týdnu 24</w:t>
      </w:r>
      <w:r w:rsidRPr="001B4A02">
        <w:t xml:space="preserve"> léčby. U dvou pacientů z 3 441 nemocných léčených přípravkem Humira ve všech studiích s revmatoidní</w:t>
      </w:r>
      <w:r w:rsidR="002378E0">
        <w:t xml:space="preserve"> a </w:t>
      </w:r>
      <w:r w:rsidRPr="001B4A02">
        <w:t>psoriatickou artritidou došlo k rozvoji klinických příznaků naznačujících možnost nového vzniku syndromu podobnému lupusu. Po vysazení léčby došlo u</w:t>
      </w:r>
      <w:r w:rsidR="000D1F8F" w:rsidRPr="001B4A02">
        <w:t> </w:t>
      </w:r>
      <w:r w:rsidRPr="001B4A02">
        <w:t>těchto pacientů ke zlepšení. U žádného pacienta nedošlo k rozvoji lupózní nefritidy či symptomů postižení centrálního nervového systému.</w:t>
      </w:r>
    </w:p>
    <w:p w14:paraId="4D17A1C7" w14:textId="77777777" w:rsidR="00F24C86" w:rsidRPr="001B4A02" w:rsidRDefault="00F24C86" w:rsidP="00F24C86">
      <w:pPr>
        <w:ind w:left="0" w:firstLine="0"/>
      </w:pPr>
    </w:p>
    <w:p w14:paraId="1EA61BA6" w14:textId="77777777" w:rsidR="00F24C86" w:rsidRPr="001B4A02" w:rsidRDefault="00000000" w:rsidP="00F24C86">
      <w:pPr>
        <w:keepNext/>
        <w:jc w:val="both"/>
        <w:rPr>
          <w:i/>
          <w:szCs w:val="22"/>
        </w:rPr>
      </w:pPr>
      <w:r w:rsidRPr="001B4A02">
        <w:rPr>
          <w:i/>
          <w:szCs w:val="22"/>
        </w:rPr>
        <w:t>Hepatobiliární poruchy</w:t>
      </w:r>
    </w:p>
    <w:p w14:paraId="657F664D" w14:textId="77777777" w:rsidR="00F24C86" w:rsidRPr="001B4A02" w:rsidRDefault="00F24C86" w:rsidP="00F24C86">
      <w:pPr>
        <w:keepNext/>
        <w:jc w:val="both"/>
        <w:rPr>
          <w:szCs w:val="22"/>
          <w:u w:val="single"/>
        </w:rPr>
      </w:pPr>
    </w:p>
    <w:p w14:paraId="63847E3F" w14:textId="77777777" w:rsidR="00F24C86" w:rsidRPr="001B4A02" w:rsidRDefault="00000000" w:rsidP="0017164D">
      <w:pPr>
        <w:pStyle w:val="EMEANormal"/>
        <w:tabs>
          <w:tab w:val="clear" w:pos="562"/>
          <w:tab w:val="left" w:pos="708"/>
        </w:tabs>
        <w:suppressAutoHyphens w:val="0"/>
        <w:rPr>
          <w:iCs/>
          <w:shd w:val="clear" w:color="auto" w:fill="FFFFFF"/>
          <w:lang w:val="cs-CZ"/>
        </w:rPr>
      </w:pPr>
      <w:r w:rsidRPr="001B4A02">
        <w:rPr>
          <w:szCs w:val="22"/>
          <w:lang w:val="cs-CZ"/>
        </w:rPr>
        <w:t xml:space="preserve">V kontrolovaných klinických studiích fáze 3 s přípravkem Humira, </w:t>
      </w:r>
      <w:r w:rsidRPr="001B4A02">
        <w:rPr>
          <w:szCs w:val="22"/>
          <w:shd w:val="clear" w:color="auto" w:fill="FFFFFF"/>
          <w:lang w:val="cs-CZ"/>
        </w:rPr>
        <w:t>zaměřených na revmatoidní artritidu</w:t>
      </w:r>
      <w:r w:rsidR="002378E0">
        <w:rPr>
          <w:szCs w:val="22"/>
          <w:shd w:val="clear" w:color="auto" w:fill="FFFFFF"/>
          <w:lang w:val="cs-CZ"/>
        </w:rPr>
        <w:t xml:space="preserve"> a </w:t>
      </w:r>
      <w:r w:rsidRPr="001B4A02">
        <w:rPr>
          <w:szCs w:val="22"/>
          <w:shd w:val="clear" w:color="auto" w:fill="FFFFFF"/>
          <w:lang w:val="cs-CZ"/>
        </w:rPr>
        <w:t xml:space="preserve">psoriatickou artritidu, se po sledovanou dobu trvání v rozmezí od 4 do 104 týdnů objevilo zvýšení ALT </w:t>
      </w:r>
      <w:r w:rsidRPr="001B4A02">
        <w:rPr>
          <w:lang w:val="cs-CZ"/>
        </w:rPr>
        <w:t>≥</w:t>
      </w:r>
      <w:r w:rsidR="000D1F8F" w:rsidRPr="001B4A02">
        <w:rPr>
          <w:lang w:val="cs-CZ"/>
        </w:rPr>
        <w:t> </w:t>
      </w:r>
      <w:r w:rsidRPr="001B4A02">
        <w:rPr>
          <w:lang w:val="cs-CZ"/>
        </w:rPr>
        <w:t>3 x ULN</w:t>
      </w:r>
      <w:r w:rsidRPr="001B4A02">
        <w:rPr>
          <w:szCs w:val="22"/>
          <w:shd w:val="clear" w:color="auto" w:fill="FFFFFF"/>
          <w:lang w:val="cs-CZ"/>
        </w:rPr>
        <w:t xml:space="preserve"> u</w:t>
      </w:r>
      <w:r w:rsidR="000D1F8F" w:rsidRPr="001B4A02">
        <w:rPr>
          <w:szCs w:val="22"/>
          <w:shd w:val="clear" w:color="auto" w:fill="FFFFFF"/>
          <w:lang w:val="cs-CZ"/>
        </w:rPr>
        <w:t> </w:t>
      </w:r>
      <w:r w:rsidRPr="001B4A02">
        <w:rPr>
          <w:szCs w:val="22"/>
          <w:shd w:val="clear" w:color="auto" w:fill="FFFFFF"/>
          <w:lang w:val="cs-CZ"/>
        </w:rPr>
        <w:t>3,7</w:t>
      </w:r>
      <w:r w:rsidR="006008CB">
        <w:rPr>
          <w:szCs w:val="22"/>
          <w:shd w:val="clear" w:color="auto" w:fill="FFFFFF"/>
          <w:lang w:val="cs-CZ"/>
        </w:rPr>
        <w:t> %</w:t>
      </w:r>
      <w:r w:rsidRPr="001B4A02">
        <w:rPr>
          <w:szCs w:val="22"/>
          <w:shd w:val="clear" w:color="auto" w:fill="FFFFFF"/>
          <w:lang w:val="cs-CZ"/>
        </w:rPr>
        <w:t xml:space="preserve"> pacientů léčených přípravkem Humira</w:t>
      </w:r>
      <w:r w:rsidR="002378E0">
        <w:rPr>
          <w:szCs w:val="22"/>
          <w:shd w:val="clear" w:color="auto" w:fill="FFFFFF"/>
          <w:lang w:val="cs-CZ"/>
        </w:rPr>
        <w:t xml:space="preserve"> a </w:t>
      </w:r>
      <w:r w:rsidRPr="001B4A02">
        <w:rPr>
          <w:szCs w:val="22"/>
          <w:shd w:val="clear" w:color="auto" w:fill="FFFFFF"/>
          <w:lang w:val="cs-CZ"/>
        </w:rPr>
        <w:t>u</w:t>
      </w:r>
      <w:r w:rsidR="000D1F8F" w:rsidRPr="001B4A02">
        <w:rPr>
          <w:szCs w:val="22"/>
          <w:shd w:val="clear" w:color="auto" w:fill="FFFFFF"/>
          <w:lang w:val="cs-CZ"/>
        </w:rPr>
        <w:t> </w:t>
      </w:r>
      <w:r w:rsidRPr="001B4A02">
        <w:rPr>
          <w:szCs w:val="22"/>
          <w:shd w:val="clear" w:color="auto" w:fill="FFFFFF"/>
          <w:lang w:val="cs-CZ"/>
        </w:rPr>
        <w:t>1,6</w:t>
      </w:r>
      <w:r w:rsidR="006008CB">
        <w:rPr>
          <w:szCs w:val="22"/>
          <w:shd w:val="clear" w:color="auto" w:fill="FFFFFF"/>
          <w:lang w:val="cs-CZ"/>
        </w:rPr>
        <w:t> %</w:t>
      </w:r>
      <w:r w:rsidRPr="001B4A02">
        <w:rPr>
          <w:szCs w:val="22"/>
          <w:shd w:val="clear" w:color="auto" w:fill="FFFFFF"/>
          <w:lang w:val="cs-CZ"/>
        </w:rPr>
        <w:t xml:space="preserve"> pacientů léčených kontrolním přípravkem.</w:t>
      </w:r>
    </w:p>
    <w:p w14:paraId="6CEC34C4" w14:textId="77777777" w:rsidR="00F24C86" w:rsidRPr="001B4A02" w:rsidRDefault="00F24C86" w:rsidP="00F24C86">
      <w:pPr>
        <w:pStyle w:val="EMEANormal"/>
        <w:shd w:val="clear" w:color="auto" w:fill="FFFFFF"/>
        <w:rPr>
          <w:szCs w:val="22"/>
          <w:shd w:val="clear" w:color="auto" w:fill="FFFFFF"/>
          <w:lang w:val="cs-CZ"/>
        </w:rPr>
      </w:pPr>
    </w:p>
    <w:p w14:paraId="3CB12309" w14:textId="77777777" w:rsidR="00F24C86" w:rsidRPr="001B4A02" w:rsidRDefault="00000000" w:rsidP="00F24C86">
      <w:pPr>
        <w:pStyle w:val="EMEANormal"/>
        <w:shd w:val="clear" w:color="auto" w:fill="FFFFFF"/>
        <w:rPr>
          <w:shd w:val="clear" w:color="auto" w:fill="FFFFFF"/>
          <w:lang w:val="cs-CZ"/>
        </w:rPr>
      </w:pPr>
      <w:r w:rsidRPr="001B4A02">
        <w:rPr>
          <w:shd w:val="clear" w:color="auto" w:fill="FFFFFF"/>
          <w:lang w:val="cs-CZ"/>
        </w:rPr>
        <w:t>V kontrolovaných klinických studiích fáze 3 s </w:t>
      </w:r>
      <w:r w:rsidRPr="001B4A02">
        <w:rPr>
          <w:szCs w:val="22"/>
          <w:lang w:val="cs-CZ"/>
        </w:rPr>
        <w:t xml:space="preserve">přípravkem </w:t>
      </w:r>
      <w:r w:rsidRPr="001B4A02">
        <w:rPr>
          <w:shd w:val="clear" w:color="auto" w:fill="FFFFFF"/>
          <w:lang w:val="cs-CZ"/>
        </w:rPr>
        <w:t>Humira u</w:t>
      </w:r>
      <w:r w:rsidR="000D1F8F" w:rsidRPr="001B4A02">
        <w:rPr>
          <w:shd w:val="clear" w:color="auto" w:fill="FFFFFF"/>
          <w:lang w:val="cs-CZ"/>
        </w:rPr>
        <w:t> </w:t>
      </w:r>
      <w:r w:rsidRPr="001B4A02">
        <w:rPr>
          <w:shd w:val="clear" w:color="auto" w:fill="FFFFFF"/>
          <w:lang w:val="cs-CZ"/>
        </w:rPr>
        <w:t>pacientů s polyartikulární juvenilní idiopatickou artritidou ve věku 4 až 17 let</w:t>
      </w:r>
      <w:r w:rsidR="002378E0">
        <w:rPr>
          <w:shd w:val="clear" w:color="auto" w:fill="FFFFFF"/>
          <w:lang w:val="cs-CZ"/>
        </w:rPr>
        <w:t xml:space="preserve"> a </w:t>
      </w:r>
      <w:r w:rsidRPr="001B4A02">
        <w:rPr>
          <w:shd w:val="clear" w:color="auto" w:fill="FFFFFF"/>
          <w:lang w:val="cs-CZ"/>
        </w:rPr>
        <w:t xml:space="preserve">entezopatickou artritidou ve věku 6 až 17 let se </w:t>
      </w:r>
      <w:r w:rsidRPr="001B4A02">
        <w:rPr>
          <w:szCs w:val="22"/>
          <w:shd w:val="clear" w:color="auto" w:fill="FFFFFF"/>
          <w:lang w:val="cs-CZ"/>
        </w:rPr>
        <w:t>objevilo zvýšení</w:t>
      </w:r>
      <w:r w:rsidRPr="001B4A02">
        <w:rPr>
          <w:shd w:val="clear" w:color="auto" w:fill="FFFFFF"/>
          <w:lang w:val="cs-CZ"/>
        </w:rPr>
        <w:t xml:space="preserve"> ALT </w:t>
      </w:r>
      <w:r w:rsidRPr="001B4A02">
        <w:rPr>
          <w:iCs/>
          <w:lang w:val="cs-CZ"/>
        </w:rPr>
        <w:t>≥</w:t>
      </w:r>
      <w:r w:rsidR="000D1F8F" w:rsidRPr="001B4A02">
        <w:rPr>
          <w:iCs/>
          <w:lang w:val="cs-CZ"/>
        </w:rPr>
        <w:t> </w:t>
      </w:r>
      <w:r w:rsidRPr="001B4A02">
        <w:rPr>
          <w:iCs/>
          <w:lang w:val="cs-CZ"/>
        </w:rPr>
        <w:t>3 x ULN u</w:t>
      </w:r>
      <w:r w:rsidR="000D1F8F" w:rsidRPr="001B4A02">
        <w:rPr>
          <w:iCs/>
          <w:lang w:val="cs-CZ"/>
        </w:rPr>
        <w:t> </w:t>
      </w:r>
      <w:r w:rsidRPr="001B4A02">
        <w:rPr>
          <w:iCs/>
          <w:lang w:val="cs-CZ"/>
        </w:rPr>
        <w:t>6,1</w:t>
      </w:r>
      <w:r w:rsidR="006008CB">
        <w:rPr>
          <w:iCs/>
          <w:lang w:val="cs-CZ"/>
        </w:rPr>
        <w:t> %</w:t>
      </w:r>
      <w:r w:rsidRPr="001B4A02">
        <w:rPr>
          <w:iCs/>
          <w:lang w:val="cs-CZ"/>
        </w:rPr>
        <w:t xml:space="preserve"> pacientů léčených </w:t>
      </w:r>
      <w:r w:rsidRPr="001B4A02">
        <w:rPr>
          <w:szCs w:val="22"/>
          <w:lang w:val="cs-CZ"/>
        </w:rPr>
        <w:t xml:space="preserve">přípravkem </w:t>
      </w:r>
      <w:r w:rsidRPr="001B4A02">
        <w:rPr>
          <w:iCs/>
          <w:lang w:val="cs-CZ"/>
        </w:rPr>
        <w:t>Humira</w:t>
      </w:r>
      <w:r w:rsidR="002378E0">
        <w:rPr>
          <w:iCs/>
          <w:lang w:val="cs-CZ"/>
        </w:rPr>
        <w:t xml:space="preserve"> a </w:t>
      </w:r>
      <w:r w:rsidRPr="001B4A02">
        <w:rPr>
          <w:iCs/>
          <w:lang w:val="cs-CZ"/>
        </w:rPr>
        <w:t>u</w:t>
      </w:r>
      <w:r w:rsidR="000D1F8F" w:rsidRPr="001B4A02">
        <w:rPr>
          <w:iCs/>
          <w:lang w:val="cs-CZ"/>
        </w:rPr>
        <w:t> </w:t>
      </w:r>
      <w:r w:rsidRPr="001B4A02">
        <w:rPr>
          <w:iCs/>
          <w:lang w:val="cs-CZ"/>
        </w:rPr>
        <w:t>1,3</w:t>
      </w:r>
      <w:r w:rsidR="006008CB">
        <w:rPr>
          <w:iCs/>
          <w:lang w:val="cs-CZ"/>
        </w:rPr>
        <w:t> %</w:t>
      </w:r>
      <w:r w:rsidRPr="001B4A02">
        <w:rPr>
          <w:iCs/>
          <w:lang w:val="cs-CZ"/>
        </w:rPr>
        <w:t xml:space="preserve"> pacientů léčených v</w:t>
      </w:r>
      <w:r w:rsidR="003D5529" w:rsidRPr="001B4A02">
        <w:rPr>
          <w:iCs/>
          <w:lang w:val="cs-CZ"/>
        </w:rPr>
        <w:t> </w:t>
      </w:r>
      <w:r w:rsidRPr="001B4A02">
        <w:rPr>
          <w:iCs/>
          <w:lang w:val="cs-CZ"/>
        </w:rPr>
        <w:t>kontrolní skupině. Ve většině případů se zvýšení ALT vyskytlo při současném podávání methotrexátu. Žádné zvýšení ALT ≥</w:t>
      </w:r>
      <w:r w:rsidR="000D1F8F" w:rsidRPr="001B4A02">
        <w:rPr>
          <w:iCs/>
          <w:lang w:val="cs-CZ"/>
        </w:rPr>
        <w:t> </w:t>
      </w:r>
      <w:r w:rsidRPr="001B4A02">
        <w:rPr>
          <w:iCs/>
          <w:lang w:val="cs-CZ"/>
        </w:rPr>
        <w:t>3 x ULN se nevyskytlo ve fázi 3 klinické studie s </w:t>
      </w:r>
      <w:r w:rsidRPr="001B4A02">
        <w:rPr>
          <w:szCs w:val="22"/>
          <w:lang w:val="cs-CZ"/>
        </w:rPr>
        <w:t xml:space="preserve">přípravkem </w:t>
      </w:r>
      <w:r w:rsidRPr="001B4A02">
        <w:rPr>
          <w:iCs/>
          <w:lang w:val="cs-CZ"/>
        </w:rPr>
        <w:t>Humira u</w:t>
      </w:r>
      <w:r w:rsidR="00CC37C0" w:rsidRPr="001B4A02">
        <w:rPr>
          <w:iCs/>
          <w:lang w:val="cs-CZ"/>
        </w:rPr>
        <w:t> </w:t>
      </w:r>
      <w:r w:rsidRPr="001B4A02">
        <w:rPr>
          <w:iCs/>
          <w:lang w:val="cs-CZ"/>
        </w:rPr>
        <w:t>pacientů s</w:t>
      </w:r>
      <w:r w:rsidR="00CC37C0" w:rsidRPr="001B4A02">
        <w:rPr>
          <w:iCs/>
          <w:lang w:val="cs-CZ"/>
        </w:rPr>
        <w:t> </w:t>
      </w:r>
      <w:r w:rsidRPr="001B4A02">
        <w:rPr>
          <w:iCs/>
          <w:lang w:val="cs-CZ"/>
        </w:rPr>
        <w:t xml:space="preserve">polyartikulární juvenilní idiopatickou artritidou ve věku 2 </w:t>
      </w:r>
      <w:r w:rsidRPr="001B4A02">
        <w:rPr>
          <w:shd w:val="clear" w:color="auto" w:fill="FFFFFF"/>
          <w:lang w:val="cs-CZ"/>
        </w:rPr>
        <w:t>až</w:t>
      </w:r>
      <w:r w:rsidRPr="001B4A02">
        <w:rPr>
          <w:iCs/>
          <w:lang w:val="cs-CZ"/>
        </w:rPr>
        <w:t xml:space="preserve"> </w:t>
      </w:r>
      <w:r w:rsidRPr="001B4A02">
        <w:rPr>
          <w:lang w:val="cs-CZ"/>
        </w:rPr>
        <w:t xml:space="preserve">&lt; </w:t>
      </w:r>
      <w:r w:rsidRPr="001B4A02">
        <w:rPr>
          <w:iCs/>
          <w:lang w:val="cs-CZ"/>
        </w:rPr>
        <w:t>4 let.</w:t>
      </w:r>
    </w:p>
    <w:p w14:paraId="7299F665" w14:textId="77777777" w:rsidR="00F24C86" w:rsidRPr="001B4A02" w:rsidRDefault="00F24C86" w:rsidP="00F24C86">
      <w:pPr>
        <w:pStyle w:val="EMEANormal"/>
        <w:shd w:val="clear" w:color="auto" w:fill="FFFFFF"/>
        <w:rPr>
          <w:shd w:val="clear" w:color="auto" w:fill="FFFFFF"/>
          <w:lang w:val="cs-CZ"/>
        </w:rPr>
      </w:pPr>
    </w:p>
    <w:p w14:paraId="178E70A3" w14:textId="77777777" w:rsidR="00F24C86" w:rsidRPr="001B4A02" w:rsidRDefault="00000000" w:rsidP="00F24C86">
      <w:pPr>
        <w:pStyle w:val="EMEANormal"/>
        <w:shd w:val="clear" w:color="auto" w:fill="FFFFFF"/>
        <w:rPr>
          <w:shd w:val="clear" w:color="auto" w:fill="FFFFFF"/>
          <w:lang w:val="cs-CZ"/>
        </w:rPr>
      </w:pPr>
      <w:r w:rsidRPr="001B4A02">
        <w:rPr>
          <w:shd w:val="clear" w:color="auto" w:fill="FFFFFF"/>
          <w:lang w:val="cs-CZ"/>
        </w:rPr>
        <w:t>V kontrolovaných klinických studiích fáze 3 s přípravkem Humira u</w:t>
      </w:r>
      <w:r w:rsidR="000D1F8F" w:rsidRPr="001B4A02">
        <w:rPr>
          <w:shd w:val="clear" w:color="auto" w:fill="FFFFFF"/>
          <w:lang w:val="cs-CZ"/>
        </w:rPr>
        <w:t> </w:t>
      </w:r>
      <w:r w:rsidRPr="001B4A02">
        <w:rPr>
          <w:shd w:val="clear" w:color="auto" w:fill="FFFFFF"/>
          <w:lang w:val="cs-CZ"/>
        </w:rPr>
        <w:t>pacientů s Crohnovou chorobou</w:t>
      </w:r>
      <w:r w:rsidR="002378E0">
        <w:rPr>
          <w:shd w:val="clear" w:color="auto" w:fill="FFFFFF"/>
          <w:lang w:val="cs-CZ"/>
        </w:rPr>
        <w:t xml:space="preserve"> a </w:t>
      </w:r>
      <w:r w:rsidRPr="001B4A02">
        <w:rPr>
          <w:shd w:val="clear" w:color="auto" w:fill="FFFFFF"/>
          <w:lang w:val="cs-CZ"/>
        </w:rPr>
        <w:t xml:space="preserve">ulcerózní kolitidou se po sledovanou dobu trvání v rozmezí od 4 do 52 týdnů objevilo zvýšení </w:t>
      </w:r>
      <w:r w:rsidRPr="001B4A02">
        <w:rPr>
          <w:szCs w:val="22"/>
          <w:shd w:val="clear" w:color="auto" w:fill="FFFFFF"/>
          <w:lang w:val="cs-CZ"/>
        </w:rPr>
        <w:t xml:space="preserve">ALT </w:t>
      </w:r>
      <w:r w:rsidRPr="001B4A02">
        <w:rPr>
          <w:lang w:val="cs-CZ"/>
        </w:rPr>
        <w:t>≥</w:t>
      </w:r>
      <w:r w:rsidR="00CC37C0" w:rsidRPr="001B4A02">
        <w:rPr>
          <w:lang w:val="cs-CZ"/>
        </w:rPr>
        <w:t> </w:t>
      </w:r>
      <w:r w:rsidRPr="001B4A02">
        <w:rPr>
          <w:lang w:val="cs-CZ"/>
        </w:rPr>
        <w:t>3 x ULN</w:t>
      </w:r>
      <w:r w:rsidRPr="001B4A02">
        <w:rPr>
          <w:szCs w:val="22"/>
          <w:shd w:val="clear" w:color="auto" w:fill="FFFFFF"/>
          <w:lang w:val="cs-CZ"/>
        </w:rPr>
        <w:t xml:space="preserve"> u</w:t>
      </w:r>
      <w:r w:rsidR="00CC37C0" w:rsidRPr="001B4A02">
        <w:rPr>
          <w:szCs w:val="22"/>
          <w:shd w:val="clear" w:color="auto" w:fill="FFFFFF"/>
          <w:lang w:val="cs-CZ"/>
        </w:rPr>
        <w:t> </w:t>
      </w:r>
      <w:r w:rsidRPr="001B4A02">
        <w:rPr>
          <w:szCs w:val="22"/>
          <w:shd w:val="clear" w:color="auto" w:fill="FFFFFF"/>
          <w:lang w:val="cs-CZ"/>
        </w:rPr>
        <w:t>0,9</w:t>
      </w:r>
      <w:r w:rsidR="006008CB">
        <w:rPr>
          <w:szCs w:val="22"/>
          <w:shd w:val="clear" w:color="auto" w:fill="FFFFFF"/>
          <w:lang w:val="cs-CZ"/>
        </w:rPr>
        <w:t> %</w:t>
      </w:r>
      <w:r w:rsidRPr="001B4A02">
        <w:rPr>
          <w:szCs w:val="22"/>
          <w:shd w:val="clear" w:color="auto" w:fill="FFFFFF"/>
          <w:lang w:val="cs-CZ"/>
        </w:rPr>
        <w:t xml:space="preserve"> pacientů léčených přípravkem Humira</w:t>
      </w:r>
      <w:r w:rsidR="002378E0">
        <w:rPr>
          <w:szCs w:val="22"/>
          <w:shd w:val="clear" w:color="auto" w:fill="FFFFFF"/>
          <w:lang w:val="cs-CZ"/>
        </w:rPr>
        <w:t xml:space="preserve"> a </w:t>
      </w:r>
      <w:r w:rsidRPr="001B4A02">
        <w:rPr>
          <w:szCs w:val="22"/>
          <w:shd w:val="clear" w:color="auto" w:fill="FFFFFF"/>
          <w:lang w:val="cs-CZ"/>
        </w:rPr>
        <w:t>u</w:t>
      </w:r>
      <w:r w:rsidR="00CC37C0" w:rsidRPr="001B4A02">
        <w:rPr>
          <w:szCs w:val="22"/>
          <w:shd w:val="clear" w:color="auto" w:fill="FFFFFF"/>
          <w:lang w:val="cs-CZ"/>
        </w:rPr>
        <w:t> </w:t>
      </w:r>
      <w:r w:rsidRPr="001B4A02">
        <w:rPr>
          <w:szCs w:val="22"/>
          <w:shd w:val="clear" w:color="auto" w:fill="FFFFFF"/>
          <w:lang w:val="cs-CZ"/>
        </w:rPr>
        <w:t>0,9</w:t>
      </w:r>
      <w:r w:rsidR="006008CB">
        <w:rPr>
          <w:szCs w:val="22"/>
          <w:shd w:val="clear" w:color="auto" w:fill="FFFFFF"/>
          <w:lang w:val="cs-CZ"/>
        </w:rPr>
        <w:t> %</w:t>
      </w:r>
      <w:r w:rsidRPr="001B4A02">
        <w:rPr>
          <w:szCs w:val="22"/>
          <w:shd w:val="clear" w:color="auto" w:fill="FFFFFF"/>
          <w:lang w:val="cs-CZ"/>
        </w:rPr>
        <w:t xml:space="preserve"> pacientů léčených kontrolním přípravkem</w:t>
      </w:r>
      <w:r w:rsidRPr="001B4A02">
        <w:rPr>
          <w:shd w:val="clear" w:color="auto" w:fill="FFFFFF"/>
          <w:lang w:val="cs-CZ"/>
        </w:rPr>
        <w:t>.</w:t>
      </w:r>
    </w:p>
    <w:p w14:paraId="4E83DF14" w14:textId="77777777" w:rsidR="00F24C86" w:rsidRPr="001B4A02" w:rsidRDefault="00F24C86" w:rsidP="00F24C86">
      <w:pPr>
        <w:pStyle w:val="EMEANormal"/>
        <w:shd w:val="clear" w:color="auto" w:fill="FFFFFF"/>
        <w:rPr>
          <w:shd w:val="clear" w:color="auto" w:fill="FFFFFF"/>
          <w:lang w:val="cs-CZ"/>
        </w:rPr>
      </w:pPr>
    </w:p>
    <w:p w14:paraId="3411CF25" w14:textId="77777777" w:rsidR="00F24C86" w:rsidRPr="001B4A02" w:rsidRDefault="00000000" w:rsidP="00F24C86">
      <w:pPr>
        <w:pStyle w:val="EMEANormal"/>
        <w:shd w:val="clear" w:color="auto" w:fill="FFFFFF"/>
        <w:rPr>
          <w:iCs/>
          <w:lang w:val="cs-CZ"/>
        </w:rPr>
      </w:pPr>
      <w:r w:rsidRPr="001B4A02">
        <w:rPr>
          <w:shd w:val="clear" w:color="auto" w:fill="FFFFFF"/>
          <w:lang w:val="cs-CZ"/>
        </w:rPr>
        <w:t>V klinické studii fáze 3 s přípravkem Humira u</w:t>
      </w:r>
      <w:r w:rsidR="000D1F8F" w:rsidRPr="001B4A02">
        <w:rPr>
          <w:shd w:val="clear" w:color="auto" w:fill="FFFFFF"/>
          <w:lang w:val="cs-CZ"/>
        </w:rPr>
        <w:t> </w:t>
      </w:r>
      <w:r w:rsidRPr="001B4A02">
        <w:rPr>
          <w:shd w:val="clear" w:color="auto" w:fill="FFFFFF"/>
          <w:lang w:val="cs-CZ"/>
        </w:rPr>
        <w:t>pediatrických pacientů s Crohnovou chorobou, která hodnotila účinnost</w:t>
      </w:r>
      <w:r w:rsidR="002378E0">
        <w:rPr>
          <w:shd w:val="clear" w:color="auto" w:fill="FFFFFF"/>
          <w:lang w:val="cs-CZ"/>
        </w:rPr>
        <w:t xml:space="preserve"> a </w:t>
      </w:r>
      <w:r w:rsidRPr="001B4A02">
        <w:rPr>
          <w:shd w:val="clear" w:color="auto" w:fill="FFFFFF"/>
          <w:lang w:val="cs-CZ"/>
        </w:rPr>
        <w:t xml:space="preserve">bezpečnost dvou udržovacích dávkovacích režimů upravených dle hmotnosti po hmotnostně upravené indukční léčbě do 52 týdnů léčby, se </w:t>
      </w:r>
      <w:r w:rsidRPr="001B4A02">
        <w:rPr>
          <w:szCs w:val="22"/>
          <w:shd w:val="clear" w:color="auto" w:fill="FFFFFF"/>
          <w:lang w:val="cs-CZ"/>
        </w:rPr>
        <w:t>objevilo zvýšení</w:t>
      </w:r>
      <w:r w:rsidRPr="001B4A02">
        <w:rPr>
          <w:shd w:val="clear" w:color="auto" w:fill="FFFFFF"/>
          <w:lang w:val="cs-CZ"/>
        </w:rPr>
        <w:t xml:space="preserve"> ALT </w:t>
      </w:r>
      <w:r w:rsidRPr="001B4A02">
        <w:rPr>
          <w:iCs/>
          <w:lang w:val="cs-CZ"/>
        </w:rPr>
        <w:t>≥</w:t>
      </w:r>
      <w:r w:rsidR="00CC37C0" w:rsidRPr="001B4A02">
        <w:rPr>
          <w:iCs/>
          <w:lang w:val="cs-CZ"/>
        </w:rPr>
        <w:t> </w:t>
      </w:r>
      <w:r w:rsidRPr="001B4A02">
        <w:rPr>
          <w:iCs/>
          <w:lang w:val="cs-CZ"/>
        </w:rPr>
        <w:t>3 x ULN u</w:t>
      </w:r>
      <w:r w:rsidR="00CC37C0" w:rsidRPr="001B4A02">
        <w:rPr>
          <w:iCs/>
          <w:lang w:val="cs-CZ"/>
        </w:rPr>
        <w:t> </w:t>
      </w:r>
      <w:r w:rsidRPr="001B4A02">
        <w:rPr>
          <w:iCs/>
          <w:lang w:val="cs-CZ"/>
        </w:rPr>
        <w:t>2,6</w:t>
      </w:r>
      <w:r w:rsidR="006008CB">
        <w:rPr>
          <w:iCs/>
          <w:lang w:val="cs-CZ"/>
        </w:rPr>
        <w:t> %</w:t>
      </w:r>
      <w:r w:rsidRPr="001B4A02">
        <w:rPr>
          <w:iCs/>
          <w:lang w:val="cs-CZ"/>
        </w:rPr>
        <w:t xml:space="preserve"> (5 ze 192) pacientů, z</w:t>
      </w:r>
      <w:r w:rsidR="00CC37C0" w:rsidRPr="001B4A02">
        <w:rPr>
          <w:iCs/>
          <w:lang w:val="cs-CZ"/>
        </w:rPr>
        <w:t> </w:t>
      </w:r>
      <w:r w:rsidRPr="001B4A02">
        <w:rPr>
          <w:iCs/>
          <w:lang w:val="cs-CZ"/>
        </w:rPr>
        <w:t>nichž 4 byli vystaveni současné léčbě imunosupresiv.</w:t>
      </w:r>
    </w:p>
    <w:p w14:paraId="2A447FDB" w14:textId="77777777" w:rsidR="00F24C86" w:rsidRPr="001B4A02" w:rsidRDefault="00F24C86" w:rsidP="00F24C86">
      <w:pPr>
        <w:pStyle w:val="EMEANormal"/>
        <w:shd w:val="clear" w:color="auto" w:fill="FFFFFF"/>
        <w:rPr>
          <w:shd w:val="clear" w:color="auto" w:fill="FFFFFF"/>
          <w:lang w:val="cs-CZ"/>
        </w:rPr>
      </w:pPr>
    </w:p>
    <w:p w14:paraId="20E9BDFE" w14:textId="77777777" w:rsidR="00F24C86" w:rsidRPr="001B4A02" w:rsidRDefault="00000000" w:rsidP="00F24C86">
      <w:pPr>
        <w:pStyle w:val="EMEANormal"/>
        <w:shd w:val="clear" w:color="auto" w:fill="FFFFFF"/>
        <w:rPr>
          <w:szCs w:val="22"/>
          <w:shd w:val="clear" w:color="auto" w:fill="FFFFFF"/>
          <w:lang w:val="cs-CZ"/>
        </w:rPr>
      </w:pPr>
      <w:r w:rsidRPr="001B4A02">
        <w:rPr>
          <w:iCs/>
          <w:shd w:val="clear" w:color="auto" w:fill="FFFFFF"/>
          <w:lang w:val="cs-CZ"/>
        </w:rPr>
        <w:t>V kontrolovaných klinických studiích fáze 3 s přípravkem Humira u</w:t>
      </w:r>
      <w:r w:rsidR="00CC37C0" w:rsidRPr="001B4A02">
        <w:rPr>
          <w:iCs/>
          <w:shd w:val="clear" w:color="auto" w:fill="FFFFFF"/>
          <w:lang w:val="cs-CZ"/>
        </w:rPr>
        <w:t> </w:t>
      </w:r>
      <w:r w:rsidRPr="001B4A02">
        <w:rPr>
          <w:iCs/>
          <w:shd w:val="clear" w:color="auto" w:fill="FFFFFF"/>
          <w:lang w:val="cs-CZ"/>
        </w:rPr>
        <w:t>pacientů s ložiskovou psoriázou se po sledovanou dobu trvání v rozmezí od 12 do 24 týdnů objevilo</w:t>
      </w:r>
      <w:r w:rsidRPr="001B4A02">
        <w:rPr>
          <w:szCs w:val="22"/>
          <w:shd w:val="clear" w:color="auto" w:fill="FFFFFF"/>
          <w:lang w:val="cs-CZ"/>
        </w:rPr>
        <w:t xml:space="preserve"> zvýšení ALT </w:t>
      </w:r>
      <w:r w:rsidRPr="001B4A02">
        <w:rPr>
          <w:lang w:val="cs-CZ"/>
        </w:rPr>
        <w:t>≥</w:t>
      </w:r>
      <w:r w:rsidR="00CC37C0" w:rsidRPr="001B4A02">
        <w:rPr>
          <w:lang w:val="cs-CZ"/>
        </w:rPr>
        <w:t> </w:t>
      </w:r>
      <w:r w:rsidRPr="001B4A02">
        <w:rPr>
          <w:lang w:val="cs-CZ"/>
        </w:rPr>
        <w:t>3 x ULN</w:t>
      </w:r>
      <w:r w:rsidRPr="001B4A02">
        <w:rPr>
          <w:szCs w:val="22"/>
          <w:shd w:val="clear" w:color="auto" w:fill="FFFFFF"/>
          <w:lang w:val="cs-CZ"/>
        </w:rPr>
        <w:t xml:space="preserve"> u</w:t>
      </w:r>
      <w:r w:rsidR="00CC37C0" w:rsidRPr="001B4A02">
        <w:rPr>
          <w:szCs w:val="22"/>
          <w:shd w:val="clear" w:color="auto" w:fill="FFFFFF"/>
          <w:lang w:val="cs-CZ"/>
        </w:rPr>
        <w:t> </w:t>
      </w:r>
      <w:r w:rsidRPr="001B4A02">
        <w:rPr>
          <w:szCs w:val="22"/>
          <w:shd w:val="clear" w:color="auto" w:fill="FFFFFF"/>
          <w:lang w:val="cs-CZ"/>
        </w:rPr>
        <w:t>1,8</w:t>
      </w:r>
      <w:r w:rsidR="006008CB">
        <w:rPr>
          <w:szCs w:val="22"/>
          <w:shd w:val="clear" w:color="auto" w:fill="FFFFFF"/>
          <w:lang w:val="cs-CZ"/>
        </w:rPr>
        <w:t> %</w:t>
      </w:r>
      <w:r w:rsidRPr="001B4A02">
        <w:rPr>
          <w:szCs w:val="22"/>
          <w:shd w:val="clear" w:color="auto" w:fill="FFFFFF"/>
          <w:lang w:val="cs-CZ"/>
        </w:rPr>
        <w:t xml:space="preserve"> pacientů léčených přípravkem Humira</w:t>
      </w:r>
      <w:r w:rsidR="002378E0">
        <w:rPr>
          <w:szCs w:val="22"/>
          <w:shd w:val="clear" w:color="auto" w:fill="FFFFFF"/>
          <w:lang w:val="cs-CZ"/>
        </w:rPr>
        <w:t xml:space="preserve"> a </w:t>
      </w:r>
      <w:r w:rsidRPr="001B4A02">
        <w:rPr>
          <w:szCs w:val="22"/>
          <w:shd w:val="clear" w:color="auto" w:fill="FFFFFF"/>
          <w:lang w:val="cs-CZ"/>
        </w:rPr>
        <w:t>u</w:t>
      </w:r>
      <w:r w:rsidR="00CC37C0" w:rsidRPr="001B4A02">
        <w:rPr>
          <w:szCs w:val="22"/>
          <w:shd w:val="clear" w:color="auto" w:fill="FFFFFF"/>
          <w:lang w:val="cs-CZ"/>
        </w:rPr>
        <w:t> </w:t>
      </w:r>
      <w:r w:rsidRPr="001B4A02">
        <w:rPr>
          <w:szCs w:val="22"/>
          <w:shd w:val="clear" w:color="auto" w:fill="FFFFFF"/>
          <w:lang w:val="cs-CZ"/>
        </w:rPr>
        <w:t>1,8</w:t>
      </w:r>
      <w:r w:rsidR="006008CB">
        <w:rPr>
          <w:szCs w:val="22"/>
          <w:shd w:val="clear" w:color="auto" w:fill="FFFFFF"/>
          <w:lang w:val="cs-CZ"/>
        </w:rPr>
        <w:t> %</w:t>
      </w:r>
      <w:r w:rsidRPr="001B4A02">
        <w:rPr>
          <w:szCs w:val="22"/>
          <w:shd w:val="clear" w:color="auto" w:fill="FFFFFF"/>
          <w:lang w:val="cs-CZ"/>
        </w:rPr>
        <w:t xml:space="preserve"> pacientů léčených kontrolním přípravkem.</w:t>
      </w:r>
    </w:p>
    <w:p w14:paraId="422A6D0D" w14:textId="77777777" w:rsidR="00F24C86" w:rsidRPr="001B4A02" w:rsidRDefault="00F24C86" w:rsidP="00F24C86">
      <w:pPr>
        <w:pStyle w:val="EMEANormal"/>
        <w:shd w:val="clear" w:color="auto" w:fill="FFFFFF"/>
        <w:rPr>
          <w:shd w:val="clear" w:color="auto" w:fill="FFFFFF"/>
          <w:lang w:val="cs-CZ"/>
        </w:rPr>
      </w:pPr>
    </w:p>
    <w:p w14:paraId="70A652E7" w14:textId="77777777" w:rsidR="00F24C86" w:rsidRPr="001B4A02" w:rsidRDefault="00000000" w:rsidP="00F24C86">
      <w:pPr>
        <w:pStyle w:val="EMEANormal"/>
        <w:shd w:val="clear" w:color="auto" w:fill="FFFFFF"/>
        <w:rPr>
          <w:lang w:val="cs-CZ"/>
        </w:rPr>
      </w:pPr>
      <w:r w:rsidRPr="001B4A02">
        <w:rPr>
          <w:shd w:val="clear" w:color="auto" w:fill="FFFFFF"/>
          <w:lang w:val="cs-CZ"/>
        </w:rPr>
        <w:t xml:space="preserve">Žádné zvýšení ALT </w:t>
      </w:r>
      <w:r w:rsidRPr="001B4A02">
        <w:rPr>
          <w:lang w:val="cs-CZ"/>
        </w:rPr>
        <w:t>≥</w:t>
      </w:r>
      <w:r w:rsidR="00CC37C0" w:rsidRPr="001B4A02">
        <w:rPr>
          <w:lang w:val="cs-CZ"/>
        </w:rPr>
        <w:t> </w:t>
      </w:r>
      <w:r w:rsidRPr="001B4A02">
        <w:rPr>
          <w:lang w:val="cs-CZ"/>
        </w:rPr>
        <w:t>3 x ULN se nevyskytlo v</w:t>
      </w:r>
      <w:r w:rsidR="00CC37C0" w:rsidRPr="001B4A02">
        <w:rPr>
          <w:lang w:val="cs-CZ"/>
        </w:rPr>
        <w:t> </w:t>
      </w:r>
      <w:r w:rsidRPr="001B4A02">
        <w:rPr>
          <w:lang w:val="cs-CZ"/>
        </w:rPr>
        <w:t>klinické studii fáze 3 s přípravkem Humira u pediatrických pacientů s ložiskovou psoriázou.</w:t>
      </w:r>
    </w:p>
    <w:p w14:paraId="37C75730" w14:textId="77777777" w:rsidR="00F24C86" w:rsidRPr="001B4A02" w:rsidRDefault="00F24C86" w:rsidP="00F24C86">
      <w:pPr>
        <w:pStyle w:val="EMEANormal"/>
        <w:shd w:val="clear" w:color="auto" w:fill="FFFFFF"/>
        <w:rPr>
          <w:shd w:val="clear" w:color="auto" w:fill="FFFFFF"/>
          <w:lang w:val="cs-CZ"/>
        </w:rPr>
      </w:pPr>
    </w:p>
    <w:p w14:paraId="75689C3C" w14:textId="77777777" w:rsidR="00F24C86" w:rsidRPr="001B4A02" w:rsidRDefault="00000000" w:rsidP="00F24C86">
      <w:pPr>
        <w:pStyle w:val="EMEANormal"/>
        <w:shd w:val="clear" w:color="auto" w:fill="FFFFFF"/>
        <w:rPr>
          <w:shd w:val="clear" w:color="auto" w:fill="FFFFFF"/>
          <w:lang w:val="cs-CZ"/>
        </w:rPr>
      </w:pPr>
      <w:r w:rsidRPr="001B4A02">
        <w:rPr>
          <w:shd w:val="clear" w:color="auto" w:fill="FFFFFF"/>
          <w:lang w:val="cs-CZ"/>
        </w:rPr>
        <w:t>V</w:t>
      </w:r>
      <w:r w:rsidR="00294902">
        <w:rPr>
          <w:shd w:val="clear" w:color="auto" w:fill="FFFFFF"/>
          <w:lang w:val="cs-CZ"/>
        </w:rPr>
        <w:t> </w:t>
      </w:r>
      <w:r w:rsidRPr="001B4A02">
        <w:rPr>
          <w:shd w:val="clear" w:color="auto" w:fill="FFFFFF"/>
          <w:lang w:val="cs-CZ"/>
        </w:rPr>
        <w:t>kontrolovaných klinických studiích s</w:t>
      </w:r>
      <w:r w:rsidR="00CC37C0" w:rsidRPr="001B4A02">
        <w:rPr>
          <w:shd w:val="clear" w:color="auto" w:fill="FFFFFF"/>
          <w:lang w:val="cs-CZ"/>
        </w:rPr>
        <w:t> </w:t>
      </w:r>
      <w:r w:rsidRPr="001B4A02">
        <w:rPr>
          <w:shd w:val="clear" w:color="auto" w:fill="FFFFFF"/>
          <w:lang w:val="cs-CZ"/>
        </w:rPr>
        <w:t>přípravkem Humira (úvodní dávky 160</w:t>
      </w:r>
      <w:r w:rsidR="00294902">
        <w:rPr>
          <w:shd w:val="clear" w:color="auto" w:fill="FFFFFF"/>
          <w:lang w:val="cs-CZ"/>
        </w:rPr>
        <w:t> mg</w:t>
      </w:r>
      <w:r w:rsidRPr="001B4A02">
        <w:rPr>
          <w:shd w:val="clear" w:color="auto" w:fill="FFFFFF"/>
          <w:lang w:val="cs-CZ"/>
        </w:rPr>
        <w:t xml:space="preserve"> v</w:t>
      </w:r>
      <w:r w:rsidR="00CC37C0" w:rsidRPr="001B4A02">
        <w:rPr>
          <w:shd w:val="clear" w:color="auto" w:fill="FFFFFF"/>
          <w:lang w:val="cs-CZ"/>
        </w:rPr>
        <w:t> </w:t>
      </w:r>
      <w:r w:rsidRPr="001B4A02">
        <w:rPr>
          <w:shd w:val="clear" w:color="auto" w:fill="FFFFFF"/>
          <w:lang w:val="cs-CZ"/>
        </w:rPr>
        <w:t>týdnu 0</w:t>
      </w:r>
      <w:r w:rsidR="002378E0">
        <w:rPr>
          <w:shd w:val="clear" w:color="auto" w:fill="FFFFFF"/>
          <w:lang w:val="cs-CZ"/>
        </w:rPr>
        <w:t xml:space="preserve"> a </w:t>
      </w:r>
      <w:r w:rsidRPr="001B4A02">
        <w:rPr>
          <w:shd w:val="clear" w:color="auto" w:fill="FFFFFF"/>
          <w:lang w:val="cs-CZ"/>
        </w:rPr>
        <w:t>80</w:t>
      </w:r>
      <w:r w:rsidR="00294902">
        <w:rPr>
          <w:shd w:val="clear" w:color="auto" w:fill="FFFFFF"/>
          <w:lang w:val="cs-CZ"/>
        </w:rPr>
        <w:t> mg</w:t>
      </w:r>
      <w:r w:rsidRPr="001B4A02">
        <w:rPr>
          <w:shd w:val="clear" w:color="auto" w:fill="FFFFFF"/>
          <w:lang w:val="cs-CZ"/>
        </w:rPr>
        <w:t xml:space="preserve"> v</w:t>
      </w:r>
      <w:r w:rsidR="00CC37C0" w:rsidRPr="001B4A02">
        <w:rPr>
          <w:shd w:val="clear" w:color="auto" w:fill="FFFFFF"/>
          <w:lang w:val="cs-CZ"/>
        </w:rPr>
        <w:t> </w:t>
      </w:r>
      <w:r w:rsidRPr="001B4A02">
        <w:rPr>
          <w:shd w:val="clear" w:color="auto" w:fill="FFFFFF"/>
          <w:lang w:val="cs-CZ"/>
        </w:rPr>
        <w:t>týdnu 2, následované 40</w:t>
      </w:r>
      <w:r w:rsidR="00294902">
        <w:rPr>
          <w:shd w:val="clear" w:color="auto" w:fill="FFFFFF"/>
          <w:lang w:val="cs-CZ"/>
        </w:rPr>
        <w:t> mg</w:t>
      </w:r>
      <w:r w:rsidRPr="001B4A02">
        <w:rPr>
          <w:shd w:val="clear" w:color="auto" w:fill="FFFFFF"/>
          <w:lang w:val="cs-CZ"/>
        </w:rPr>
        <w:t xml:space="preserve"> jednou týdně počínaje týdnem 4) u</w:t>
      </w:r>
      <w:r w:rsidR="00CC37C0" w:rsidRPr="001B4A02">
        <w:rPr>
          <w:shd w:val="clear" w:color="auto" w:fill="FFFFFF"/>
          <w:lang w:val="cs-CZ"/>
        </w:rPr>
        <w:t> </w:t>
      </w:r>
      <w:r w:rsidRPr="001B4A02">
        <w:rPr>
          <w:shd w:val="clear" w:color="auto" w:fill="FFFFFF"/>
          <w:lang w:val="cs-CZ"/>
        </w:rPr>
        <w:t>pacientů s</w:t>
      </w:r>
      <w:r w:rsidR="00CC37C0" w:rsidRPr="001B4A02">
        <w:rPr>
          <w:shd w:val="clear" w:color="auto" w:fill="FFFFFF"/>
          <w:lang w:val="cs-CZ"/>
        </w:rPr>
        <w:t> </w:t>
      </w:r>
      <w:r w:rsidRPr="001B4A02">
        <w:rPr>
          <w:shd w:val="clear" w:color="auto" w:fill="FFFFFF"/>
          <w:lang w:val="cs-CZ"/>
        </w:rPr>
        <w:t>hidradenitis suppurativa se sledovanou dobou trvání v</w:t>
      </w:r>
      <w:r w:rsidR="00CC37C0" w:rsidRPr="001B4A02">
        <w:rPr>
          <w:shd w:val="clear" w:color="auto" w:fill="FFFFFF"/>
          <w:lang w:val="cs-CZ"/>
        </w:rPr>
        <w:t> </w:t>
      </w:r>
      <w:r w:rsidRPr="001B4A02">
        <w:rPr>
          <w:shd w:val="clear" w:color="auto" w:fill="FFFFFF"/>
          <w:lang w:val="cs-CZ"/>
        </w:rPr>
        <w:t>rozmezí od 12 do 16 týdnů se objevilo zvýšení ALT ≥</w:t>
      </w:r>
      <w:r w:rsidR="00CC37C0" w:rsidRPr="001B4A02">
        <w:rPr>
          <w:shd w:val="clear" w:color="auto" w:fill="FFFFFF"/>
          <w:lang w:val="cs-CZ"/>
        </w:rPr>
        <w:t> </w:t>
      </w:r>
      <w:r w:rsidRPr="001B4A02">
        <w:rPr>
          <w:shd w:val="clear" w:color="auto" w:fill="FFFFFF"/>
          <w:lang w:val="cs-CZ"/>
        </w:rPr>
        <w:t>3 x ULN u</w:t>
      </w:r>
      <w:r w:rsidR="00CC37C0" w:rsidRPr="001B4A02">
        <w:rPr>
          <w:shd w:val="clear" w:color="auto" w:fill="FFFFFF"/>
          <w:lang w:val="cs-CZ"/>
        </w:rPr>
        <w:t> </w:t>
      </w:r>
      <w:r w:rsidRPr="001B4A02">
        <w:rPr>
          <w:shd w:val="clear" w:color="auto" w:fill="FFFFFF"/>
          <w:lang w:val="cs-CZ"/>
        </w:rPr>
        <w:t>0,3</w:t>
      </w:r>
      <w:r w:rsidR="006008CB">
        <w:rPr>
          <w:shd w:val="clear" w:color="auto" w:fill="FFFFFF"/>
          <w:lang w:val="cs-CZ"/>
        </w:rPr>
        <w:t> %</w:t>
      </w:r>
      <w:r w:rsidRPr="001B4A02">
        <w:rPr>
          <w:shd w:val="clear" w:color="auto" w:fill="FFFFFF"/>
          <w:lang w:val="cs-CZ"/>
        </w:rPr>
        <w:t xml:space="preserve"> pacientů léčených přípravkem Humira</w:t>
      </w:r>
      <w:r w:rsidR="002378E0">
        <w:rPr>
          <w:shd w:val="clear" w:color="auto" w:fill="FFFFFF"/>
          <w:lang w:val="cs-CZ"/>
        </w:rPr>
        <w:t xml:space="preserve"> a </w:t>
      </w:r>
      <w:r w:rsidRPr="001B4A02">
        <w:rPr>
          <w:shd w:val="clear" w:color="auto" w:fill="FFFFFF"/>
          <w:lang w:val="cs-CZ"/>
        </w:rPr>
        <w:t>u</w:t>
      </w:r>
      <w:r w:rsidR="00CC37C0" w:rsidRPr="001B4A02">
        <w:rPr>
          <w:shd w:val="clear" w:color="auto" w:fill="FFFFFF"/>
          <w:lang w:val="cs-CZ"/>
        </w:rPr>
        <w:t> </w:t>
      </w:r>
      <w:r w:rsidRPr="001B4A02">
        <w:rPr>
          <w:shd w:val="clear" w:color="auto" w:fill="FFFFFF"/>
          <w:lang w:val="cs-CZ"/>
        </w:rPr>
        <w:t>0,6</w:t>
      </w:r>
      <w:r w:rsidR="006008CB">
        <w:rPr>
          <w:shd w:val="clear" w:color="auto" w:fill="FFFFFF"/>
          <w:lang w:val="cs-CZ"/>
        </w:rPr>
        <w:t> %</w:t>
      </w:r>
      <w:r w:rsidRPr="001B4A02">
        <w:rPr>
          <w:shd w:val="clear" w:color="auto" w:fill="FFFFFF"/>
          <w:lang w:val="cs-CZ"/>
        </w:rPr>
        <w:t xml:space="preserve"> pacientů léčených kontrolním přípravkem.</w:t>
      </w:r>
    </w:p>
    <w:p w14:paraId="493E94CB" w14:textId="77777777" w:rsidR="00F24C86" w:rsidRPr="001B4A02" w:rsidRDefault="00F24C86" w:rsidP="00F24C86">
      <w:pPr>
        <w:pStyle w:val="EMEANormal"/>
        <w:shd w:val="clear" w:color="auto" w:fill="FFFFFF"/>
        <w:rPr>
          <w:shd w:val="clear" w:color="auto" w:fill="FFFFFF"/>
          <w:lang w:val="cs-CZ"/>
        </w:rPr>
      </w:pPr>
    </w:p>
    <w:p w14:paraId="00DF1846" w14:textId="77777777" w:rsidR="00F24C86" w:rsidRPr="001B4A02" w:rsidRDefault="00000000" w:rsidP="00F24C86">
      <w:pPr>
        <w:autoSpaceDE w:val="0"/>
        <w:autoSpaceDN w:val="0"/>
        <w:adjustRightInd w:val="0"/>
        <w:ind w:left="0" w:firstLine="0"/>
        <w:rPr>
          <w:iCs/>
        </w:rPr>
      </w:pPr>
      <w:r w:rsidRPr="001B4A02">
        <w:rPr>
          <w:shd w:val="clear" w:color="auto" w:fill="FFFFFF"/>
        </w:rPr>
        <w:t>V kontrolovaných klinických studiích s přípravkem Humira (úvodní dávky 80</w:t>
      </w:r>
      <w:r w:rsidR="00294902">
        <w:rPr>
          <w:shd w:val="clear" w:color="auto" w:fill="FFFFFF"/>
        </w:rPr>
        <w:t> mg</w:t>
      </w:r>
      <w:r w:rsidRPr="001B4A02">
        <w:rPr>
          <w:shd w:val="clear" w:color="auto" w:fill="FFFFFF"/>
        </w:rPr>
        <w:t xml:space="preserve"> v týdnu 0, následované 40</w:t>
      </w:r>
      <w:r w:rsidR="00294902">
        <w:rPr>
          <w:shd w:val="clear" w:color="auto" w:fill="FFFFFF"/>
        </w:rPr>
        <w:t> mg</w:t>
      </w:r>
      <w:r w:rsidRPr="001B4A02">
        <w:rPr>
          <w:shd w:val="clear" w:color="auto" w:fill="FFFFFF"/>
        </w:rPr>
        <w:t xml:space="preserve"> jednou za dva týdny počínaje týdnem 1) se u dospělých pacientů s uveitidou léčených až po dobu 80 týdnů se střední expozicí 166,5 dne v případě terapie přípravkem Humira</w:t>
      </w:r>
      <w:r w:rsidR="002378E0">
        <w:rPr>
          <w:shd w:val="clear" w:color="auto" w:fill="FFFFFF"/>
        </w:rPr>
        <w:t xml:space="preserve"> a </w:t>
      </w:r>
      <w:r w:rsidRPr="001B4A02">
        <w:rPr>
          <w:shd w:val="clear" w:color="auto" w:fill="FFFFFF"/>
        </w:rPr>
        <w:t>105,0 dne v případě terapie kontrolním přípravkem objevilo zvýšení ALT ≥ 3 x ULN u 2,4</w:t>
      </w:r>
      <w:r w:rsidR="006008CB">
        <w:rPr>
          <w:shd w:val="clear" w:color="auto" w:fill="FFFFFF"/>
        </w:rPr>
        <w:t> %</w:t>
      </w:r>
      <w:r w:rsidRPr="001B4A02">
        <w:rPr>
          <w:shd w:val="clear" w:color="auto" w:fill="FFFFFF"/>
        </w:rPr>
        <w:t xml:space="preserve"> pacientů léčených přípravkem Humira</w:t>
      </w:r>
      <w:r w:rsidR="002378E0">
        <w:rPr>
          <w:shd w:val="clear" w:color="auto" w:fill="FFFFFF"/>
        </w:rPr>
        <w:t xml:space="preserve"> a </w:t>
      </w:r>
      <w:r w:rsidRPr="001B4A02">
        <w:rPr>
          <w:shd w:val="clear" w:color="auto" w:fill="FFFFFF"/>
        </w:rPr>
        <w:t>u 2,4</w:t>
      </w:r>
      <w:r w:rsidR="006008CB">
        <w:rPr>
          <w:shd w:val="clear" w:color="auto" w:fill="FFFFFF"/>
        </w:rPr>
        <w:t> %</w:t>
      </w:r>
      <w:r w:rsidRPr="001B4A02">
        <w:rPr>
          <w:shd w:val="clear" w:color="auto" w:fill="FFFFFF"/>
        </w:rPr>
        <w:t xml:space="preserve"> pacientů léčených kontrolním přípravkem.</w:t>
      </w:r>
    </w:p>
    <w:p w14:paraId="09B2F7D2" w14:textId="77777777" w:rsidR="00F24C86" w:rsidRPr="001B4A02" w:rsidRDefault="00F24C86" w:rsidP="00F24C86">
      <w:pPr>
        <w:ind w:left="0" w:firstLine="0"/>
        <w:rPr>
          <w:shd w:val="clear" w:color="auto" w:fill="FFFFFF"/>
        </w:rPr>
      </w:pPr>
    </w:p>
    <w:p w14:paraId="31D9E438" w14:textId="77777777" w:rsidR="00F24C86" w:rsidRPr="001B4A02" w:rsidRDefault="00000000" w:rsidP="00F24C86">
      <w:pPr>
        <w:ind w:left="0" w:firstLine="0"/>
        <w:rPr>
          <w:shd w:val="clear" w:color="auto" w:fill="FFFFFF"/>
        </w:rPr>
      </w:pPr>
      <w:r w:rsidRPr="001B4A02">
        <w:rPr>
          <w:shd w:val="clear" w:color="auto" w:fill="FFFFFF"/>
        </w:rPr>
        <w:t>V klinických studiích napříč všemi indikacemi byli pacienti se zvýšeným ALT asymptomatičtí</w:t>
      </w:r>
      <w:r w:rsidR="002378E0">
        <w:rPr>
          <w:shd w:val="clear" w:color="auto" w:fill="FFFFFF"/>
        </w:rPr>
        <w:t xml:space="preserve"> a </w:t>
      </w:r>
      <w:r w:rsidRPr="001B4A02">
        <w:rPr>
          <w:shd w:val="clear" w:color="auto" w:fill="FFFFFF"/>
        </w:rPr>
        <w:t>ve většině případů bylo zvýšení ALT přechodné</w:t>
      </w:r>
      <w:r w:rsidR="002378E0">
        <w:rPr>
          <w:shd w:val="clear" w:color="auto" w:fill="FFFFFF"/>
        </w:rPr>
        <w:t xml:space="preserve"> a </w:t>
      </w:r>
      <w:r w:rsidRPr="001B4A02">
        <w:rPr>
          <w:shd w:val="clear" w:color="auto" w:fill="FFFFFF"/>
        </w:rPr>
        <w:t>vymizelo s pokračováním léčby. Nicméně po uvedení přípravku na trh byly u</w:t>
      </w:r>
      <w:r w:rsidR="00CC37C0" w:rsidRPr="001B4A02">
        <w:rPr>
          <w:shd w:val="clear" w:color="auto" w:fill="FFFFFF"/>
        </w:rPr>
        <w:t> </w:t>
      </w:r>
      <w:r w:rsidRPr="001B4A02">
        <w:rPr>
          <w:shd w:val="clear" w:color="auto" w:fill="FFFFFF"/>
        </w:rPr>
        <w:t>pacientů, jimž byl podáván adalimumab, hlášeny případy selhání jater, stejně jako případy méně závažných poruch jater, které mohou selhání jater předcházet, jako je hepatitida, včetně autoimunní hepatitidy.</w:t>
      </w:r>
    </w:p>
    <w:p w14:paraId="0F150EC7" w14:textId="77777777" w:rsidR="00F24C86" w:rsidRPr="001B4A02" w:rsidRDefault="00F24C86" w:rsidP="00F24C86">
      <w:pPr>
        <w:ind w:left="0" w:firstLine="0"/>
        <w:rPr>
          <w:u w:val="single"/>
        </w:rPr>
      </w:pPr>
    </w:p>
    <w:p w14:paraId="35E49CA2" w14:textId="77777777" w:rsidR="00F24C86" w:rsidRPr="001B4A02" w:rsidRDefault="00000000" w:rsidP="0017164D">
      <w:pPr>
        <w:pStyle w:val="EMEANormal"/>
        <w:keepNext/>
        <w:shd w:val="clear" w:color="auto" w:fill="FFFFFF"/>
        <w:rPr>
          <w:u w:val="single"/>
          <w:shd w:val="clear" w:color="auto" w:fill="FFFFFF"/>
          <w:lang w:val="cs-CZ"/>
        </w:rPr>
      </w:pPr>
      <w:r w:rsidRPr="001B4A02">
        <w:rPr>
          <w:u w:val="single"/>
          <w:shd w:val="clear" w:color="auto" w:fill="FFFFFF"/>
          <w:lang w:val="cs-CZ"/>
        </w:rPr>
        <w:t>Současná léčba azathioprinem/</w:t>
      </w:r>
      <w:r w:rsidR="006A3EE9" w:rsidRPr="001B4A02">
        <w:rPr>
          <w:u w:val="single"/>
          <w:shd w:val="clear" w:color="auto" w:fill="FFFFFF"/>
          <w:lang w:val="cs-CZ"/>
        </w:rPr>
        <w:t>6-</w:t>
      </w:r>
      <w:r w:rsidRPr="001B4A02">
        <w:rPr>
          <w:u w:val="single"/>
          <w:shd w:val="clear" w:color="auto" w:fill="FFFFFF"/>
          <w:lang w:val="cs-CZ"/>
        </w:rPr>
        <w:t>merkaptopurinem</w:t>
      </w:r>
    </w:p>
    <w:p w14:paraId="1E59B4C1" w14:textId="77777777" w:rsidR="00F24C86" w:rsidRPr="001B4A02" w:rsidRDefault="00F24C86" w:rsidP="0017164D">
      <w:pPr>
        <w:pStyle w:val="EMEANormal"/>
        <w:keepNext/>
        <w:tabs>
          <w:tab w:val="clear" w:pos="562"/>
        </w:tabs>
        <w:suppressAutoHyphens w:val="0"/>
        <w:rPr>
          <w:shd w:val="clear" w:color="auto" w:fill="FFFFFF"/>
          <w:lang w:val="cs-CZ"/>
        </w:rPr>
      </w:pPr>
    </w:p>
    <w:p w14:paraId="72780D41" w14:textId="77777777" w:rsidR="00F24C86" w:rsidRPr="001B4A02" w:rsidRDefault="00000000" w:rsidP="00F24C86">
      <w:pPr>
        <w:pStyle w:val="EMEANormal"/>
        <w:tabs>
          <w:tab w:val="clear" w:pos="562"/>
        </w:tabs>
        <w:suppressAutoHyphens w:val="0"/>
        <w:rPr>
          <w:shd w:val="clear" w:color="auto" w:fill="FFFFFF"/>
          <w:lang w:val="cs-CZ"/>
        </w:rPr>
      </w:pPr>
      <w:r w:rsidRPr="001B4A02">
        <w:rPr>
          <w:shd w:val="clear" w:color="auto" w:fill="FFFFFF"/>
          <w:lang w:val="cs-CZ"/>
        </w:rPr>
        <w:t>Ve studiích s Crohnovou chorobou byla u</w:t>
      </w:r>
      <w:r w:rsidR="00CC37C0" w:rsidRPr="001B4A02">
        <w:rPr>
          <w:shd w:val="clear" w:color="auto" w:fill="FFFFFF"/>
          <w:lang w:val="cs-CZ"/>
        </w:rPr>
        <w:t> </w:t>
      </w:r>
      <w:r w:rsidRPr="001B4A02">
        <w:rPr>
          <w:shd w:val="clear" w:color="auto" w:fill="FFFFFF"/>
          <w:lang w:val="cs-CZ"/>
        </w:rPr>
        <w:t>dospělých pacientů léčených kombinací přípravku Humira spolu s azathioprinem/</w:t>
      </w:r>
      <w:r w:rsidR="00C806C1" w:rsidRPr="001B4A02">
        <w:rPr>
          <w:shd w:val="clear" w:color="auto" w:fill="FFFFFF"/>
          <w:lang w:val="cs-CZ"/>
        </w:rPr>
        <w:t>6-</w:t>
      </w:r>
      <w:r w:rsidRPr="001B4A02">
        <w:rPr>
          <w:shd w:val="clear" w:color="auto" w:fill="FFFFFF"/>
          <w:lang w:val="cs-CZ"/>
        </w:rPr>
        <w:t>merkaptopurinem pozorována vyšší incidence malignit</w:t>
      </w:r>
      <w:r w:rsidR="002378E0">
        <w:rPr>
          <w:shd w:val="clear" w:color="auto" w:fill="FFFFFF"/>
          <w:lang w:val="cs-CZ"/>
        </w:rPr>
        <w:t xml:space="preserve"> a </w:t>
      </w:r>
      <w:r w:rsidRPr="001B4A02">
        <w:rPr>
          <w:shd w:val="clear" w:color="auto" w:fill="FFFFFF"/>
          <w:lang w:val="cs-CZ"/>
        </w:rPr>
        <w:t>závažných nežádoucích účinků souvisejících s infekcemi v porovnání s pacienty, kteří byli léčeni pouze přípravkem Humira.</w:t>
      </w:r>
    </w:p>
    <w:p w14:paraId="02A158D9" w14:textId="77777777" w:rsidR="00F24C86" w:rsidRPr="001B4A02" w:rsidRDefault="00F24C86" w:rsidP="00F24C86">
      <w:pPr>
        <w:pStyle w:val="EMEANormal"/>
        <w:tabs>
          <w:tab w:val="clear" w:pos="562"/>
        </w:tabs>
        <w:suppressAutoHyphens w:val="0"/>
        <w:rPr>
          <w:bCs/>
          <w:lang w:val="cs-CZ"/>
        </w:rPr>
      </w:pPr>
    </w:p>
    <w:p w14:paraId="02DA3568" w14:textId="77777777" w:rsidR="00F24C86" w:rsidRPr="001B4A02" w:rsidRDefault="00000000" w:rsidP="0017164D">
      <w:pPr>
        <w:pStyle w:val="EMEANormal"/>
        <w:keepNext/>
        <w:shd w:val="clear" w:color="auto" w:fill="FFFFFF"/>
        <w:rPr>
          <w:u w:val="single"/>
          <w:shd w:val="clear" w:color="auto" w:fill="FFFFFF"/>
          <w:lang w:val="cs-CZ"/>
        </w:rPr>
      </w:pPr>
      <w:r w:rsidRPr="001B4A02">
        <w:rPr>
          <w:u w:val="single"/>
          <w:shd w:val="clear" w:color="auto" w:fill="FFFFFF"/>
          <w:lang w:val="cs-CZ"/>
        </w:rPr>
        <w:t>Hlášení podezření na nežádoucí účinky</w:t>
      </w:r>
    </w:p>
    <w:p w14:paraId="083F8F95" w14:textId="77777777" w:rsidR="00F24C86" w:rsidRPr="001B4A02" w:rsidRDefault="00F24C86" w:rsidP="0017164D">
      <w:pPr>
        <w:pStyle w:val="EMEANormal"/>
        <w:keepNext/>
        <w:shd w:val="clear" w:color="auto" w:fill="FFFFFF"/>
        <w:rPr>
          <w:shd w:val="clear" w:color="auto" w:fill="FFFFFF"/>
          <w:lang w:val="cs-CZ"/>
        </w:rPr>
      </w:pPr>
    </w:p>
    <w:p w14:paraId="09740578" w14:textId="77777777" w:rsidR="00F24C86" w:rsidRPr="001B4A02" w:rsidRDefault="00000000" w:rsidP="00F24C86">
      <w:pPr>
        <w:pStyle w:val="EMEANormal"/>
        <w:shd w:val="clear" w:color="auto" w:fill="FFFFFF"/>
        <w:rPr>
          <w:lang w:val="cs-CZ"/>
        </w:rPr>
      </w:pPr>
      <w:r w:rsidRPr="001B4A02">
        <w:rPr>
          <w:shd w:val="clear" w:color="auto" w:fill="FFFFFF"/>
          <w:lang w:val="cs-CZ"/>
        </w:rPr>
        <w:t>Hlášení podezření na nežádoucí účinky po registraci léčivého přípravku je důležité. Umožňuje to pokračovat ve sledování poměru přínosů</w:t>
      </w:r>
      <w:r w:rsidR="002378E0">
        <w:rPr>
          <w:shd w:val="clear" w:color="auto" w:fill="FFFFFF"/>
          <w:lang w:val="cs-CZ"/>
        </w:rPr>
        <w:t xml:space="preserve"> a </w:t>
      </w:r>
      <w:r w:rsidRPr="001B4A02">
        <w:rPr>
          <w:shd w:val="clear" w:color="auto" w:fill="FFFFFF"/>
          <w:lang w:val="cs-CZ"/>
        </w:rPr>
        <w:t xml:space="preserve">rizik léčivého přípravku. Žádáme zdravotnické pracovníky, aby hlásili podezření na nežádoucí účinky prostřednictvím </w:t>
      </w:r>
      <w:r w:rsidRPr="001B4A02">
        <w:rPr>
          <w:shd w:val="clear" w:color="auto" w:fill="A6A6A6"/>
          <w:lang w:val="cs-CZ"/>
        </w:rPr>
        <w:t>národního systému hlášení nežádoucích účinků uvedeného v </w:t>
      </w:r>
      <w:hyperlink r:id="rId10" w:history="1">
        <w:r w:rsidR="00F24C86" w:rsidRPr="001B4A02">
          <w:rPr>
            <w:rStyle w:val="Hyperlink"/>
            <w:shd w:val="clear" w:color="auto" w:fill="A6A6A6"/>
            <w:lang w:val="cs-CZ"/>
          </w:rPr>
          <w:t>Dodatku V</w:t>
        </w:r>
      </w:hyperlink>
      <w:r w:rsidRPr="001B4A02">
        <w:rPr>
          <w:shd w:val="clear" w:color="auto" w:fill="FFFFFF"/>
          <w:lang w:val="cs-CZ"/>
        </w:rPr>
        <w:t>.</w:t>
      </w:r>
    </w:p>
    <w:p w14:paraId="43027D3E" w14:textId="77777777" w:rsidR="00F24C86" w:rsidRPr="001B4A02" w:rsidRDefault="00F24C86" w:rsidP="00F24C86">
      <w:pPr>
        <w:pStyle w:val="EMEANormal"/>
        <w:shd w:val="clear" w:color="auto" w:fill="FFFFFF"/>
        <w:rPr>
          <w:bCs/>
          <w:lang w:val="cs-CZ"/>
        </w:rPr>
      </w:pPr>
    </w:p>
    <w:p w14:paraId="518B8118" w14:textId="77777777" w:rsidR="00F24C86" w:rsidRPr="001B4A02" w:rsidRDefault="00000000" w:rsidP="000A5426">
      <w:pPr>
        <w:keepNext/>
        <w:outlineLvl w:val="1"/>
      </w:pPr>
      <w:r w:rsidRPr="001B4A02">
        <w:rPr>
          <w:b/>
        </w:rPr>
        <w:t>4.9</w:t>
      </w:r>
      <w:r w:rsidRPr="001B4A02">
        <w:rPr>
          <w:b/>
        </w:rPr>
        <w:tab/>
        <w:t>Předávkování</w:t>
      </w:r>
    </w:p>
    <w:p w14:paraId="6FE4479D" w14:textId="77777777" w:rsidR="00F24C86" w:rsidRPr="001B4A02" w:rsidRDefault="00F24C86" w:rsidP="0017164D">
      <w:pPr>
        <w:keepNext/>
        <w:ind w:left="0" w:firstLine="0"/>
      </w:pPr>
    </w:p>
    <w:p w14:paraId="239C4055" w14:textId="77777777" w:rsidR="00F24C86" w:rsidRPr="001B4A02" w:rsidRDefault="00000000" w:rsidP="00F24C86">
      <w:pPr>
        <w:ind w:left="0" w:firstLine="0"/>
      </w:pPr>
      <w:r w:rsidRPr="001B4A02">
        <w:t>V klinických studiích nebyla pozorována toxicita omezující dávku léku. Nejvyšší hodnocenou dávkou bylo opakované intravenózní podávání 10 mg/kg, což je přibližně 15násobek doporučené dávky.</w:t>
      </w:r>
    </w:p>
    <w:p w14:paraId="3C5CBEBE" w14:textId="77777777" w:rsidR="00F24C86" w:rsidRPr="001B4A02" w:rsidRDefault="00F24C86" w:rsidP="00F24C86">
      <w:pPr>
        <w:ind w:left="0" w:firstLine="0"/>
      </w:pPr>
    </w:p>
    <w:p w14:paraId="4D0E4BE6" w14:textId="77777777" w:rsidR="00F24C86" w:rsidRPr="001B4A02" w:rsidRDefault="00F24C86" w:rsidP="00F24C86">
      <w:pPr>
        <w:ind w:left="0" w:firstLine="0"/>
      </w:pPr>
    </w:p>
    <w:p w14:paraId="38829E55" w14:textId="77777777" w:rsidR="00F24C86" w:rsidRPr="001B4A02" w:rsidRDefault="00000000" w:rsidP="000A5426">
      <w:pPr>
        <w:keepNext/>
        <w:tabs>
          <w:tab w:val="left" w:pos="567"/>
        </w:tabs>
        <w:ind w:left="0" w:firstLine="0"/>
        <w:outlineLvl w:val="0"/>
        <w:rPr>
          <w:b/>
        </w:rPr>
      </w:pPr>
      <w:r w:rsidRPr="001B4A02">
        <w:rPr>
          <w:b/>
        </w:rPr>
        <w:t>5.</w:t>
      </w:r>
      <w:r w:rsidRPr="001B4A02">
        <w:rPr>
          <w:b/>
        </w:rPr>
        <w:tab/>
        <w:t>FARMAKOLOGICKÉ VLASTNOSTI</w:t>
      </w:r>
    </w:p>
    <w:p w14:paraId="0600EC50" w14:textId="77777777" w:rsidR="00F24C86" w:rsidRPr="001B4A02" w:rsidRDefault="00F24C86" w:rsidP="0017164D">
      <w:pPr>
        <w:keepNext/>
        <w:ind w:left="0" w:firstLine="0"/>
        <w:rPr>
          <w:b/>
        </w:rPr>
      </w:pPr>
    </w:p>
    <w:p w14:paraId="6C766CD6" w14:textId="77777777" w:rsidR="00F24C86" w:rsidRPr="001B4A02" w:rsidRDefault="00000000" w:rsidP="000A5426">
      <w:pPr>
        <w:keepNext/>
        <w:outlineLvl w:val="1"/>
      </w:pPr>
      <w:r w:rsidRPr="001B4A02">
        <w:rPr>
          <w:b/>
        </w:rPr>
        <w:t>5.1</w:t>
      </w:r>
      <w:r w:rsidRPr="001B4A02">
        <w:rPr>
          <w:b/>
        </w:rPr>
        <w:tab/>
        <w:t>Farmakodynamické vlastnosti</w:t>
      </w:r>
    </w:p>
    <w:p w14:paraId="163A3B4A" w14:textId="77777777" w:rsidR="00F24C86" w:rsidRPr="001B4A02" w:rsidRDefault="00F24C86" w:rsidP="0017164D">
      <w:pPr>
        <w:pStyle w:val="EndnoteText"/>
        <w:keepNext/>
        <w:ind w:left="0" w:firstLine="0"/>
        <w:rPr>
          <w:lang w:val="cs-CZ"/>
        </w:rPr>
      </w:pPr>
    </w:p>
    <w:p w14:paraId="53014EF0" w14:textId="77777777" w:rsidR="00F24C86" w:rsidRPr="001B4A02" w:rsidRDefault="00000000" w:rsidP="00F24C86">
      <w:pPr>
        <w:ind w:left="0" w:firstLine="0"/>
      </w:pPr>
      <w:r w:rsidRPr="001B4A02">
        <w:t>Farmakoterapeutická skupina: Imunosupresiva, Inhibitory tumor nekrotizujícího faktoru alfa (TNF-</w:t>
      </w:r>
      <w:r w:rsidR="004A3A99" w:rsidRPr="004A3A99">
        <w:t>α</w:t>
      </w:r>
      <w:r w:rsidRPr="001B4A02">
        <w:t>), ATC kód: L04AB04</w:t>
      </w:r>
    </w:p>
    <w:p w14:paraId="743E2AD8" w14:textId="77777777" w:rsidR="00F24C86" w:rsidRPr="001B4A02" w:rsidRDefault="00F24C86" w:rsidP="00F24C86">
      <w:pPr>
        <w:ind w:left="0" w:firstLine="0"/>
        <w:rPr>
          <w:u w:val="single"/>
        </w:rPr>
      </w:pPr>
    </w:p>
    <w:p w14:paraId="0FFEA29F" w14:textId="77777777" w:rsidR="00F24C86" w:rsidRPr="001B4A02" w:rsidRDefault="00000000" w:rsidP="00F24C86">
      <w:pPr>
        <w:keepNext/>
        <w:ind w:left="0" w:firstLine="0"/>
      </w:pPr>
      <w:r w:rsidRPr="001B4A02">
        <w:rPr>
          <w:u w:val="single"/>
        </w:rPr>
        <w:t>Mechanismus účinku</w:t>
      </w:r>
    </w:p>
    <w:p w14:paraId="36B174DF" w14:textId="77777777" w:rsidR="00F24C86" w:rsidRPr="001B4A02" w:rsidRDefault="00F24C86" w:rsidP="00F24C86">
      <w:pPr>
        <w:keepNext/>
        <w:ind w:left="0" w:firstLine="0"/>
      </w:pPr>
    </w:p>
    <w:p w14:paraId="50DD50F3" w14:textId="77777777" w:rsidR="00F24C86" w:rsidRPr="001B4A02" w:rsidRDefault="00000000" w:rsidP="0017164D">
      <w:pPr>
        <w:ind w:left="0" w:firstLine="0"/>
      </w:pPr>
      <w:r w:rsidRPr="001B4A02">
        <w:t>Adalimumab se specificky váže na TNF</w:t>
      </w:r>
      <w:r w:rsidR="002378E0">
        <w:t xml:space="preserve"> a </w:t>
      </w:r>
      <w:r w:rsidRPr="001B4A02">
        <w:t>neutralizuje biologickou funkci TNF blokováním jeho interakce s p55</w:t>
      </w:r>
      <w:r w:rsidR="002378E0">
        <w:t xml:space="preserve"> a </w:t>
      </w:r>
      <w:r w:rsidRPr="001B4A02">
        <w:t>p75 TNF receptorů na povrchu buněk.</w:t>
      </w:r>
    </w:p>
    <w:p w14:paraId="55774E1F" w14:textId="77777777" w:rsidR="00F24C86" w:rsidRPr="001B4A02" w:rsidRDefault="00F24C86" w:rsidP="00F24C86">
      <w:pPr>
        <w:ind w:left="0" w:firstLine="0"/>
      </w:pPr>
    </w:p>
    <w:p w14:paraId="5CFCDEEA" w14:textId="77777777" w:rsidR="00F24C86" w:rsidRPr="001B4A02" w:rsidRDefault="00000000" w:rsidP="00F24C86">
      <w:pPr>
        <w:ind w:left="0" w:firstLine="0"/>
      </w:pPr>
      <w:r w:rsidRPr="001B4A02">
        <w:t>Adalimumab rovněž moduluje biologickou odpověď, která je indukována nebo regulována TNF, včetně změn hladin adhezních molekul zodpovědných za migraci leukocytů (ELAM-1, VACM-1</w:t>
      </w:r>
      <w:r w:rsidR="002378E0">
        <w:t xml:space="preserve"> a </w:t>
      </w:r>
      <w:r w:rsidRPr="001B4A02">
        <w:t>ICAM-1 při IC</w:t>
      </w:r>
      <w:r w:rsidRPr="001B4A02">
        <w:rPr>
          <w:vertAlign w:val="subscript"/>
        </w:rPr>
        <w:t>50</w:t>
      </w:r>
      <w:r w:rsidRPr="001B4A02">
        <w:t xml:space="preserve"> 0,1–0,2 nM).</w:t>
      </w:r>
    </w:p>
    <w:p w14:paraId="6C00A72C" w14:textId="77777777" w:rsidR="00F24C86" w:rsidRPr="001B4A02" w:rsidRDefault="00F24C86" w:rsidP="00F24C86">
      <w:pPr>
        <w:ind w:left="0" w:firstLine="0"/>
      </w:pPr>
    </w:p>
    <w:p w14:paraId="701A3FF6" w14:textId="77777777" w:rsidR="00F24C86" w:rsidRPr="001B4A02" w:rsidRDefault="00000000" w:rsidP="00F24C86">
      <w:pPr>
        <w:keepNext/>
        <w:ind w:left="0" w:firstLine="0"/>
        <w:rPr>
          <w:u w:val="single"/>
        </w:rPr>
      </w:pPr>
      <w:r w:rsidRPr="001B4A02">
        <w:rPr>
          <w:u w:val="single"/>
        </w:rPr>
        <w:t>Farmakodynamické účinky</w:t>
      </w:r>
    </w:p>
    <w:p w14:paraId="3A14BFAC" w14:textId="77777777" w:rsidR="00F24C86" w:rsidRPr="001B4A02" w:rsidRDefault="00F24C86" w:rsidP="00F24C86">
      <w:pPr>
        <w:keepNext/>
        <w:ind w:left="0" w:firstLine="0"/>
      </w:pPr>
    </w:p>
    <w:p w14:paraId="4909F456" w14:textId="77777777" w:rsidR="00F24C86" w:rsidRPr="001B4A02" w:rsidRDefault="00000000" w:rsidP="0017164D">
      <w:pPr>
        <w:ind w:left="0" w:firstLine="0"/>
      </w:pPr>
      <w:r w:rsidRPr="001B4A02">
        <w:t>Po léčbě přípravkem Humira byl u pacientů s revmatoidní artritidou v porovnání s výchozím stavem pozorován rychlý pokles hladin ukazatelů akutní fáze zánětu (C-reaktivní protein (CRP)</w:t>
      </w:r>
      <w:r w:rsidR="002378E0">
        <w:t xml:space="preserve"> a </w:t>
      </w:r>
      <w:r w:rsidRPr="001B4A02">
        <w:t>sedimentace erytrocytů (FW))</w:t>
      </w:r>
      <w:r w:rsidR="002378E0">
        <w:t xml:space="preserve"> a </w:t>
      </w:r>
      <w:r w:rsidRPr="001B4A02">
        <w:t>sérových cytokinů (IL-6). Po podání přípravku Humira byly rovněž sníženy sérové koncentrace matrixových metaloproteináz (MMP-1</w:t>
      </w:r>
      <w:r w:rsidR="002378E0">
        <w:t xml:space="preserve"> a </w:t>
      </w:r>
      <w:r w:rsidRPr="001B4A02">
        <w:t>MMP-3), které vyvolávají přestavbu tkání způsobující destrukci chrupavek. U</w:t>
      </w:r>
      <w:r w:rsidR="000D1F8F" w:rsidRPr="001B4A02">
        <w:t> </w:t>
      </w:r>
      <w:r w:rsidRPr="001B4A02">
        <w:t>pacientů léčených přípravkem Humira obvykle došlo ke zlepšení hematologických známek chronického zánětu.</w:t>
      </w:r>
    </w:p>
    <w:p w14:paraId="1DEF72B1" w14:textId="77777777" w:rsidR="00F24C86" w:rsidRPr="001B4A02" w:rsidRDefault="00F24C86" w:rsidP="00F24C86">
      <w:pPr>
        <w:ind w:left="0" w:firstLine="0"/>
        <w:rPr>
          <w:u w:val="single"/>
        </w:rPr>
      </w:pPr>
    </w:p>
    <w:p w14:paraId="060FB5EA" w14:textId="77777777" w:rsidR="00F24C86" w:rsidRPr="001B4A02" w:rsidRDefault="00000000" w:rsidP="00F24C86">
      <w:pPr>
        <w:pStyle w:val="EMEANormal"/>
        <w:tabs>
          <w:tab w:val="clear" w:pos="562"/>
        </w:tabs>
        <w:suppressAutoHyphens w:val="0"/>
        <w:rPr>
          <w:lang w:val="cs-CZ"/>
        </w:rPr>
      </w:pPr>
      <w:r w:rsidRPr="001B4A02">
        <w:rPr>
          <w:lang w:val="cs-CZ"/>
        </w:rPr>
        <w:t>Rychlý pokles hladin CRP během léčby přípravkem Humira byl také pozorován u</w:t>
      </w:r>
      <w:r w:rsidR="000D1F8F" w:rsidRPr="001B4A02">
        <w:rPr>
          <w:lang w:val="cs-CZ"/>
        </w:rPr>
        <w:t> </w:t>
      </w:r>
      <w:r w:rsidRPr="001B4A02">
        <w:rPr>
          <w:lang w:val="cs-CZ"/>
        </w:rPr>
        <w:t>pacientů s polyartikulární juvenilní idiopatickou artritidou, Crohnovou chorobou, ulcerózní kolitidou</w:t>
      </w:r>
      <w:r w:rsidR="002378E0">
        <w:rPr>
          <w:lang w:val="cs-CZ"/>
        </w:rPr>
        <w:t xml:space="preserve"> a </w:t>
      </w:r>
      <w:r w:rsidRPr="001B4A02">
        <w:rPr>
          <w:lang w:val="cs-CZ"/>
        </w:rPr>
        <w:t>hidradenitis suppurativa. U</w:t>
      </w:r>
      <w:r w:rsidR="000D1F8F" w:rsidRPr="001B4A02">
        <w:rPr>
          <w:lang w:val="cs-CZ"/>
        </w:rPr>
        <w:t> </w:t>
      </w:r>
      <w:r w:rsidRPr="001B4A02">
        <w:rPr>
          <w:lang w:val="cs-CZ"/>
        </w:rPr>
        <w:t>pacientů s Crohnovou chorobou bylo také pozorováno snížení počtu buněk exprimujících markery zánětlivých faktorů v tlustém střevě, což zahrnovalo i významný pokles exprese TNFα. Endoskopické zkoumání střevní sliznice jednoznačně prokázalo slizniční hojení u pacientů léčených adalimumabem.</w:t>
      </w:r>
    </w:p>
    <w:p w14:paraId="23C27BAC" w14:textId="77777777" w:rsidR="00F24C86" w:rsidRPr="001B4A02" w:rsidRDefault="00F24C86" w:rsidP="00F24C86">
      <w:pPr>
        <w:ind w:left="0" w:firstLine="0"/>
      </w:pPr>
    </w:p>
    <w:p w14:paraId="770F28A8" w14:textId="77777777" w:rsidR="00F24C86" w:rsidRPr="001B4A02" w:rsidRDefault="00000000" w:rsidP="0017164D">
      <w:pPr>
        <w:keepNext/>
        <w:ind w:left="0" w:firstLine="0"/>
        <w:rPr>
          <w:u w:val="single"/>
        </w:rPr>
      </w:pPr>
      <w:r w:rsidRPr="001B4A02">
        <w:rPr>
          <w:u w:val="single"/>
        </w:rPr>
        <w:t>Klinická účinnost</w:t>
      </w:r>
      <w:r w:rsidR="002378E0">
        <w:rPr>
          <w:u w:val="single"/>
        </w:rPr>
        <w:t xml:space="preserve"> a </w:t>
      </w:r>
      <w:r w:rsidRPr="001B4A02">
        <w:rPr>
          <w:u w:val="single"/>
        </w:rPr>
        <w:t>bezpečnost</w:t>
      </w:r>
    </w:p>
    <w:p w14:paraId="1B97B78F" w14:textId="77777777" w:rsidR="00F24C86" w:rsidRPr="001B4A02" w:rsidRDefault="00F24C86" w:rsidP="0017164D">
      <w:pPr>
        <w:pStyle w:val="EMEAHeadingUnderline"/>
        <w:keepNext/>
        <w:tabs>
          <w:tab w:val="clear" w:pos="562"/>
        </w:tabs>
        <w:suppressAutoHyphens w:val="0"/>
        <w:spacing w:beforeLines="0" w:before="0" w:afterLines="0" w:after="0"/>
        <w:rPr>
          <w:i/>
          <w:u w:val="none"/>
          <w:lang w:val="cs-CZ"/>
        </w:rPr>
      </w:pPr>
    </w:p>
    <w:p w14:paraId="2669AC9D" w14:textId="77777777" w:rsidR="00381C4E" w:rsidRPr="001B4A02" w:rsidRDefault="00000000" w:rsidP="0017164D">
      <w:pPr>
        <w:keepNext/>
        <w:ind w:left="0" w:firstLine="0"/>
        <w:rPr>
          <w:i/>
        </w:rPr>
      </w:pPr>
      <w:r w:rsidRPr="001B4A02">
        <w:rPr>
          <w:i/>
        </w:rPr>
        <w:t>Dospělí s</w:t>
      </w:r>
      <w:r w:rsidR="0017164D" w:rsidRPr="001B4A02">
        <w:rPr>
          <w:i/>
        </w:rPr>
        <w:t> </w:t>
      </w:r>
      <w:r w:rsidRPr="001B4A02">
        <w:rPr>
          <w:i/>
        </w:rPr>
        <w:t>revmatoidní artritidou</w:t>
      </w:r>
    </w:p>
    <w:p w14:paraId="3F0FB756" w14:textId="77777777" w:rsidR="00381C4E" w:rsidRPr="001B4A02" w:rsidRDefault="00381C4E" w:rsidP="0017164D">
      <w:pPr>
        <w:keepNext/>
        <w:ind w:left="0" w:firstLine="0"/>
      </w:pPr>
    </w:p>
    <w:p w14:paraId="58F92FD7" w14:textId="77777777" w:rsidR="00381C4E" w:rsidRPr="001B4A02" w:rsidRDefault="00000000" w:rsidP="00381C4E">
      <w:pPr>
        <w:ind w:left="0" w:firstLine="0"/>
      </w:pPr>
      <w:r w:rsidRPr="001B4A02">
        <w:t>Přípravek Humira byl hodnocen u více než 3 000 pacientů ve všech klinických studiích s revmatoidní artritidou. Účinnost</w:t>
      </w:r>
      <w:r w:rsidR="002378E0">
        <w:t xml:space="preserve"> a </w:t>
      </w:r>
      <w:r w:rsidRPr="001B4A02">
        <w:t>bezpečnost přípravku Humira byly hodnoceny v 5 randomizovaných, dvojitě zaslepených</w:t>
      </w:r>
      <w:r w:rsidR="002378E0">
        <w:t xml:space="preserve"> a </w:t>
      </w:r>
      <w:r w:rsidRPr="001B4A02">
        <w:t xml:space="preserve">dobře kontrolovaných studiích. Někteří pacienti byli léčeni </w:t>
      </w:r>
      <w:r w:rsidRPr="001B4A02">
        <w:rPr>
          <w:szCs w:val="22"/>
        </w:rPr>
        <w:t>po dobu až 120</w:t>
      </w:r>
      <w:r w:rsidRPr="001B4A02">
        <w:t xml:space="preserve"> měsíců.</w:t>
      </w:r>
    </w:p>
    <w:p w14:paraId="6AAD1D86" w14:textId="77777777" w:rsidR="00381C4E" w:rsidRPr="001B4A02" w:rsidRDefault="00381C4E" w:rsidP="00381C4E">
      <w:pPr>
        <w:ind w:left="0" w:firstLine="0"/>
      </w:pPr>
    </w:p>
    <w:p w14:paraId="0E529664" w14:textId="77777777" w:rsidR="00381C4E" w:rsidRPr="001B4A02" w:rsidRDefault="00000000" w:rsidP="00381C4E">
      <w:pPr>
        <w:ind w:left="0" w:firstLine="0"/>
      </w:pPr>
      <w:r w:rsidRPr="001B4A02">
        <w:t>Ve studii RA I bylo hodnoceno 271 pacientů se středně těžkou až těžkou aktivní revmatoidní artritidou, kteří byli ve věku 18 let</w:t>
      </w:r>
      <w:r w:rsidR="002378E0">
        <w:t xml:space="preserve"> a </w:t>
      </w:r>
      <w:r w:rsidRPr="001B4A02">
        <w:t>starší</w:t>
      </w:r>
      <w:r w:rsidR="002378E0">
        <w:t xml:space="preserve"> a </w:t>
      </w:r>
      <w:r w:rsidRPr="001B4A02">
        <w:t>selhala u nich léčba nejméně jedním chorobu modifikujícím antirevmatickým lékem</w:t>
      </w:r>
      <w:r w:rsidR="002378E0">
        <w:t xml:space="preserve"> a </w:t>
      </w:r>
      <w:r w:rsidRPr="001B4A02">
        <w:t>léčba methotrexátem v dávkách 12,5–25 mg (10 mg v případě nesnášenlivosti methotrexátu) jednou týdně nebyla dostatečně účinná, při konstantní dávce 10–25 mg methotrexátu jednou týdně. Pacienti dostávali dávky 20, 40 nebo 80 mg přípravku Humira nebo placebo každý druhý týden po dobu 24 týdnů.</w:t>
      </w:r>
    </w:p>
    <w:p w14:paraId="116045B6" w14:textId="77777777" w:rsidR="00381C4E" w:rsidRPr="001B4A02" w:rsidRDefault="00381C4E" w:rsidP="00381C4E">
      <w:pPr>
        <w:ind w:left="0" w:firstLine="0"/>
      </w:pPr>
    </w:p>
    <w:p w14:paraId="355F0041" w14:textId="77777777" w:rsidR="00381C4E" w:rsidRPr="001B4A02" w:rsidRDefault="00000000" w:rsidP="00381C4E">
      <w:pPr>
        <w:ind w:left="0" w:firstLine="0"/>
      </w:pPr>
      <w:r w:rsidRPr="001B4A02">
        <w:t>Ve studii RA II bylo hodnoceno 544 pacientů se středně těžkou až těžkou aktivní revmatoidní artritidou, kteří byli ve věku 18 let</w:t>
      </w:r>
      <w:r w:rsidR="002378E0">
        <w:t xml:space="preserve"> a </w:t>
      </w:r>
      <w:r w:rsidRPr="001B4A02">
        <w:t>starší</w:t>
      </w:r>
      <w:r w:rsidR="002378E0">
        <w:t xml:space="preserve"> a </w:t>
      </w:r>
      <w:r w:rsidRPr="001B4A02">
        <w:t>selhala u nich léčba nejméně jedním chorobu modifikujícím antirevmatickým lékem. Pacientům byla po dobu 26 týdnů podávána subkutánně dávka 20 nebo 40 mg přípravku Humira každý druhý týden</w:t>
      </w:r>
      <w:r w:rsidR="002378E0">
        <w:t xml:space="preserve"> a </w:t>
      </w:r>
      <w:r w:rsidRPr="001B4A02">
        <w:t>placebo v týdnu bez podání aktivní léčby nebo placebo bylo podáváno jednou týdně po stejnou dobu. Ve studii nebyly povoleny žádné jiné chorobu modifikující antirevmatické léky.</w:t>
      </w:r>
    </w:p>
    <w:p w14:paraId="18998CBE" w14:textId="77777777" w:rsidR="00381C4E" w:rsidRPr="001B4A02" w:rsidRDefault="00381C4E" w:rsidP="00381C4E">
      <w:pPr>
        <w:ind w:left="0" w:firstLine="0"/>
      </w:pPr>
    </w:p>
    <w:p w14:paraId="55B9014E" w14:textId="77777777" w:rsidR="00381C4E" w:rsidRPr="001B4A02" w:rsidRDefault="00000000" w:rsidP="00381C4E">
      <w:pPr>
        <w:ind w:left="0" w:firstLine="0"/>
      </w:pPr>
      <w:r w:rsidRPr="001B4A02">
        <w:t>Ve studii RA III bylo hodnoceno 619 pacientů se středně těžkou až těžkou aktivní revmatoidní artritidou, kteří byli ve věku 18 let</w:t>
      </w:r>
      <w:r w:rsidR="002378E0">
        <w:t xml:space="preserve"> a </w:t>
      </w:r>
      <w:r w:rsidRPr="001B4A02">
        <w:t>starší</w:t>
      </w:r>
      <w:r w:rsidR="002378E0">
        <w:t xml:space="preserve"> a </w:t>
      </w:r>
      <w:r w:rsidRPr="001B4A02">
        <w:t>u kterých nebyla odpověď na léčbu methotrexátem v dávkách 12,5–25 mg dostatečná nebo v případě nesnášenlivosti methotrexátu v dávce 10</w:t>
      </w:r>
      <w:r w:rsidR="00294902">
        <w:t> mg</w:t>
      </w:r>
      <w:r w:rsidRPr="001B4A02">
        <w:t xml:space="preserve"> týdně. Ve studii byly tři skupiny. První skupina dostávala injekce placeba jednou týdně po dobu 52 týdnů. Druhá skupina dostávala přípravek Humira 20 mg jednou týdně po dobu 52 týdnů. Třetí skupina byla léčena přípravkem Humira 40 mg každý druhý týden, přičemž v týdnu bez podávání aktivní látky dostávali pacienti placebo. Po ukončení prvních 52 týdnů bylo 457 pacientů zařazeno do otevřené prodloužené fáze studie, kdy bylo podáváno 40</w:t>
      </w:r>
      <w:r w:rsidR="00294902">
        <w:t xml:space="preserve"> mg </w:t>
      </w:r>
      <w:r w:rsidRPr="001B4A02">
        <w:t xml:space="preserve">přípravku Humira/MTX každý druhý týden </w:t>
      </w:r>
      <w:r w:rsidRPr="001B4A02">
        <w:rPr>
          <w:szCs w:val="22"/>
        </w:rPr>
        <w:t>po dobu až 10 let</w:t>
      </w:r>
      <w:r w:rsidRPr="001B4A02">
        <w:t>.</w:t>
      </w:r>
    </w:p>
    <w:p w14:paraId="3573F497" w14:textId="77777777" w:rsidR="00381C4E" w:rsidRPr="001B4A02" w:rsidRDefault="00381C4E" w:rsidP="00381C4E">
      <w:pPr>
        <w:ind w:left="0" w:firstLine="0"/>
      </w:pPr>
    </w:p>
    <w:p w14:paraId="3C7B03DF" w14:textId="77777777" w:rsidR="00381C4E" w:rsidRPr="001B4A02" w:rsidRDefault="00000000" w:rsidP="00381C4E">
      <w:pPr>
        <w:ind w:left="0" w:firstLine="0"/>
      </w:pPr>
      <w:r w:rsidRPr="001B4A02">
        <w:t>Studie RA IV primárně hodnotila bezpečnost léčby u 636 pacientů se středně těžkou až těžkou aktivní revmatoidní artritidou, kteří byli ve věku 18 let</w:t>
      </w:r>
      <w:r w:rsidR="002378E0">
        <w:t xml:space="preserve"> a </w:t>
      </w:r>
      <w:r w:rsidRPr="001B4A02">
        <w:t>starší. Studie se mohli zúčastnit pacienti, kteří dosud neužívali chorobu modifikující antirevmatické léky, i pacienti, kteří byli i v průběhu studie léčeni revmatologickou léčbou za předpokladu, že tato terapie byla stabilní po dobu nejméně 28 dní. Jednalo se o léčbu methotrexátem, leflunomidem, hydroxychlorochinem, sulfasalazinem a/nebo solemi zlata. Pacienti byli randomizováni na léčbu 40 mg přípravku Humira nebo placeba každý druhý týden po dobu 24 týdnů.</w:t>
      </w:r>
    </w:p>
    <w:p w14:paraId="565052A2" w14:textId="77777777" w:rsidR="00381C4E" w:rsidRPr="001B4A02" w:rsidRDefault="00381C4E" w:rsidP="00381C4E">
      <w:pPr>
        <w:ind w:left="0" w:firstLine="0"/>
      </w:pPr>
    </w:p>
    <w:p w14:paraId="627EFBC6" w14:textId="77777777" w:rsidR="00381C4E" w:rsidRPr="001B4A02" w:rsidRDefault="00000000" w:rsidP="00381C4E">
      <w:pPr>
        <w:ind w:left="0" w:firstLine="0"/>
      </w:pPr>
      <w:r w:rsidRPr="001B4A02">
        <w:t>Studie RA V</w:t>
      </w:r>
      <w:r w:rsidR="003D5529" w:rsidRPr="001B4A02">
        <w:t xml:space="preserve"> </w:t>
      </w:r>
      <w:r w:rsidRPr="001B4A02">
        <w:t>hodnotila 799 dospělých pacientů se středně až výrazně aktivní časnou revmatoidní artritidou dosud neléčených methotrexátem (průměrné trvání nemoci méně než 9 měsíců). Tato studie hodnotila účinnost přípravku Humira 40 mg podávaného každý druhý týden/v kombin</w:t>
      </w:r>
      <w:r w:rsidR="009271A3">
        <w:t>ované</w:t>
      </w:r>
      <w:r w:rsidRPr="001B4A02">
        <w:t xml:space="preserve"> terapii s methotrexátem, přípravku Humira 40 mg každý druhý týden v monoterapii</w:t>
      </w:r>
      <w:r w:rsidR="002378E0">
        <w:t xml:space="preserve"> a </w:t>
      </w:r>
      <w:r w:rsidRPr="001B4A02">
        <w:t xml:space="preserve">methotrexátu v monoterapii na snížení </w:t>
      </w:r>
      <w:r w:rsidR="007D2CA3">
        <w:t>známek</w:t>
      </w:r>
      <w:r w:rsidR="002378E0">
        <w:t xml:space="preserve"> a </w:t>
      </w:r>
      <w:r w:rsidRPr="001B4A02">
        <w:t>příznaků</w:t>
      </w:r>
      <w:r w:rsidR="002378E0">
        <w:t xml:space="preserve"> a </w:t>
      </w:r>
      <w:r w:rsidRPr="001B4A02">
        <w:t>rychlost progrese poškození kloubů u revmatoidní artritidy po dobu 104 týdnů. Po ukončení prvních 104 týdnů bylo 497 pacientů zařazeno do otevřené prodloužené fáze, ve které bylo 40</w:t>
      </w:r>
      <w:r w:rsidR="00294902">
        <w:t> mg</w:t>
      </w:r>
      <w:r w:rsidRPr="001B4A02">
        <w:t xml:space="preserve"> přípravku Humira podáváno každý druhý týden po dobu až 10 let.</w:t>
      </w:r>
    </w:p>
    <w:p w14:paraId="3C8DBC7D" w14:textId="77777777" w:rsidR="00381C4E" w:rsidRPr="001B4A02" w:rsidRDefault="00381C4E" w:rsidP="00381C4E">
      <w:pPr>
        <w:ind w:left="0" w:firstLine="0"/>
      </w:pPr>
    </w:p>
    <w:p w14:paraId="2484CDEB" w14:textId="77777777" w:rsidR="00381C4E" w:rsidRPr="001B4A02" w:rsidRDefault="00000000" w:rsidP="00381C4E">
      <w:pPr>
        <w:ind w:left="0" w:firstLine="0"/>
      </w:pPr>
      <w:r w:rsidRPr="001B4A02">
        <w:t>Primárním výsledným ukazatelem ve studiích RA I, II</w:t>
      </w:r>
      <w:r w:rsidR="002378E0">
        <w:t xml:space="preserve"> a </w:t>
      </w:r>
      <w:r w:rsidRPr="001B4A02">
        <w:t>III</w:t>
      </w:r>
      <w:r w:rsidR="002378E0">
        <w:t xml:space="preserve"> a </w:t>
      </w:r>
      <w:r w:rsidRPr="001B4A02">
        <w:t xml:space="preserve">sekundárním výsledným ukazatelem ve studii RA IV bylo procento pacientů, kteří dosáhli odpověď ACR 20 </w:t>
      </w:r>
      <w:r w:rsidR="00D00F8F">
        <w:t>v</w:t>
      </w:r>
      <w:r w:rsidR="00BE6BDE">
        <w:t> </w:t>
      </w:r>
      <w:r w:rsidR="00D00F8F">
        <w:t>týdnu 24 nebo 26</w:t>
      </w:r>
      <w:r w:rsidRPr="001B4A02">
        <w:t>. Primárním výsledným ukazatelem ve studii RA V</w:t>
      </w:r>
      <w:r w:rsidR="003D5529" w:rsidRPr="001B4A02">
        <w:t xml:space="preserve"> </w:t>
      </w:r>
      <w:r w:rsidRPr="001B4A02">
        <w:t>bylo procento pacientů, kteří dosáhli odpověď ACR 50 v týdnu 52. Ve studiích RA III</w:t>
      </w:r>
      <w:r w:rsidR="002378E0">
        <w:t xml:space="preserve"> a </w:t>
      </w:r>
      <w:r w:rsidRPr="001B4A02">
        <w:t xml:space="preserve">V bylo dalším primárním výsledným ukazatelem </w:t>
      </w:r>
      <w:r w:rsidR="00D00F8F">
        <w:t>v</w:t>
      </w:r>
      <w:r w:rsidR="00BE6BDE">
        <w:t> </w:t>
      </w:r>
      <w:r w:rsidR="00D00F8F">
        <w:t>týdnu 52</w:t>
      </w:r>
      <w:r w:rsidRPr="001B4A02">
        <w:t xml:space="preserve"> zpomalení progrese onemocnění (stanovené pomocí RTG vyšetření). Studie RA III měla také primární výsledný ukazatel změnu kvality života.</w:t>
      </w:r>
    </w:p>
    <w:p w14:paraId="15DC874A" w14:textId="77777777" w:rsidR="00381C4E" w:rsidRPr="001B4A02" w:rsidRDefault="00381C4E" w:rsidP="00381C4E">
      <w:pPr>
        <w:pStyle w:val="EndnoteText"/>
        <w:ind w:left="0" w:firstLine="0"/>
        <w:rPr>
          <w:lang w:val="cs-CZ"/>
        </w:rPr>
      </w:pPr>
    </w:p>
    <w:p w14:paraId="483EF055" w14:textId="77777777" w:rsidR="00381C4E" w:rsidRPr="001B4A02" w:rsidRDefault="00000000" w:rsidP="0017164D">
      <w:pPr>
        <w:keepNext/>
        <w:ind w:left="0" w:firstLine="0"/>
        <w:rPr>
          <w:i/>
          <w:u w:val="single"/>
        </w:rPr>
      </w:pPr>
      <w:r w:rsidRPr="001B4A02">
        <w:rPr>
          <w:i/>
          <w:u w:val="single"/>
        </w:rPr>
        <w:t>ACR odpověď</w:t>
      </w:r>
    </w:p>
    <w:p w14:paraId="3196CD8A" w14:textId="77777777" w:rsidR="00381C4E" w:rsidRPr="001B4A02" w:rsidRDefault="00381C4E" w:rsidP="0017164D">
      <w:pPr>
        <w:keepNext/>
        <w:ind w:left="0" w:firstLine="0"/>
      </w:pPr>
    </w:p>
    <w:p w14:paraId="0157E6C0" w14:textId="77777777" w:rsidR="00381C4E" w:rsidRPr="001B4A02" w:rsidRDefault="00000000" w:rsidP="00381C4E">
      <w:pPr>
        <w:ind w:left="0" w:firstLine="0"/>
      </w:pPr>
      <w:r w:rsidRPr="001B4A02">
        <w:t>Procento pacientů léčených přípravkem Humira, kteří dosáhli odpověď ACR 20, 50</w:t>
      </w:r>
      <w:r w:rsidR="002378E0">
        <w:t xml:space="preserve"> a </w:t>
      </w:r>
      <w:r w:rsidRPr="001B4A02">
        <w:t>70</w:t>
      </w:r>
      <w:r w:rsidR="003E6E02" w:rsidRPr="001B4A02">
        <w:t>,</w:t>
      </w:r>
      <w:r w:rsidRPr="001B4A02">
        <w:t xml:space="preserve"> bylo ve studiích RA I, II</w:t>
      </w:r>
      <w:r w:rsidR="002378E0">
        <w:t xml:space="preserve"> a </w:t>
      </w:r>
      <w:r w:rsidRPr="001B4A02">
        <w:t xml:space="preserve">III shodné. Výsledky při podávání dávky 40 mg každý druhý týden jsou shrnuty v tabulce </w:t>
      </w:r>
      <w:r w:rsidR="002A5304">
        <w:t>7</w:t>
      </w:r>
      <w:r w:rsidRPr="001B4A02">
        <w:t>.</w:t>
      </w:r>
    </w:p>
    <w:p w14:paraId="243C0F65" w14:textId="77777777" w:rsidR="00381C4E" w:rsidRPr="001B4A02" w:rsidRDefault="00381C4E" w:rsidP="00381C4E">
      <w:pPr>
        <w:pStyle w:val="BodyText"/>
        <w:ind w:left="0" w:firstLine="0"/>
        <w:rPr>
          <w:b w:val="0"/>
          <w:i w:val="0"/>
          <w:lang w:val="cs-CZ"/>
        </w:rPr>
      </w:pPr>
    </w:p>
    <w:p w14:paraId="2F275FA6" w14:textId="77777777" w:rsidR="00381C4E" w:rsidRPr="001B4A02" w:rsidRDefault="00000000" w:rsidP="00381C4E">
      <w:pPr>
        <w:keepNext/>
        <w:ind w:left="0" w:firstLine="0"/>
        <w:jc w:val="center"/>
        <w:rPr>
          <w:b/>
          <w:szCs w:val="22"/>
        </w:rPr>
      </w:pPr>
      <w:r w:rsidRPr="001B4A02">
        <w:rPr>
          <w:b/>
          <w:szCs w:val="22"/>
        </w:rPr>
        <w:t xml:space="preserve">Tabulka </w:t>
      </w:r>
      <w:r w:rsidR="002A5304">
        <w:rPr>
          <w:b/>
          <w:szCs w:val="22"/>
        </w:rPr>
        <w:t>7</w:t>
      </w:r>
      <w:r w:rsidR="002A5304" w:rsidRPr="001B4A02">
        <w:rPr>
          <w:b/>
          <w:szCs w:val="22"/>
        </w:rPr>
        <w:t xml:space="preserve"> </w:t>
      </w:r>
    </w:p>
    <w:p w14:paraId="148D2D00" w14:textId="77777777" w:rsidR="00381C4E" w:rsidRPr="001B4A02" w:rsidRDefault="00000000" w:rsidP="00381C4E">
      <w:pPr>
        <w:keepNext/>
        <w:ind w:left="0" w:firstLine="0"/>
        <w:jc w:val="center"/>
        <w:rPr>
          <w:b/>
          <w:szCs w:val="22"/>
        </w:rPr>
      </w:pPr>
      <w:r w:rsidRPr="001B4A02">
        <w:rPr>
          <w:b/>
          <w:szCs w:val="22"/>
        </w:rPr>
        <w:t>ACR odpověď v placebem kontrolovaných studiích</w:t>
      </w:r>
    </w:p>
    <w:p w14:paraId="070411FD" w14:textId="77777777" w:rsidR="00381C4E" w:rsidRPr="001B4A02" w:rsidRDefault="00000000" w:rsidP="00381C4E">
      <w:pPr>
        <w:keepNext/>
        <w:ind w:left="0" w:firstLine="0"/>
        <w:jc w:val="center"/>
        <w:rPr>
          <w:b/>
          <w:szCs w:val="22"/>
        </w:rPr>
      </w:pPr>
      <w:r w:rsidRPr="001B4A02">
        <w:rPr>
          <w:b/>
          <w:szCs w:val="22"/>
        </w:rPr>
        <w:t>(Procento pacientů)</w:t>
      </w:r>
    </w:p>
    <w:tbl>
      <w:tblPr>
        <w:tblW w:w="9124" w:type="dxa"/>
        <w:tblInd w:w="16" w:type="dxa"/>
        <w:tblLayout w:type="fixed"/>
        <w:tblCellMar>
          <w:left w:w="0" w:type="dxa"/>
          <w:right w:w="0" w:type="dxa"/>
        </w:tblCellMar>
        <w:tblLook w:val="0000" w:firstRow="0" w:lastRow="0" w:firstColumn="0" w:lastColumn="0" w:noHBand="0" w:noVBand="0"/>
      </w:tblPr>
      <w:tblGrid>
        <w:gridCol w:w="1069"/>
        <w:gridCol w:w="1467"/>
        <w:gridCol w:w="1559"/>
        <w:gridCol w:w="1134"/>
        <w:gridCol w:w="1202"/>
        <w:gridCol w:w="1276"/>
        <w:gridCol w:w="1417"/>
      </w:tblGrid>
      <w:tr w:rsidR="00534A2D" w14:paraId="2F75D1A1" w14:textId="77777777" w:rsidTr="00A5191B">
        <w:tc>
          <w:tcPr>
            <w:tcW w:w="9124" w:type="dxa"/>
            <w:gridSpan w:val="7"/>
            <w:tcBorders>
              <w:bottom w:val="single" w:sz="4" w:space="0" w:color="auto"/>
            </w:tcBorders>
          </w:tcPr>
          <w:p w14:paraId="4232BC7D" w14:textId="77777777" w:rsidR="00381C4E" w:rsidRPr="001B4A02" w:rsidRDefault="00381C4E" w:rsidP="00A5191B">
            <w:pPr>
              <w:pStyle w:val="CommentText"/>
              <w:keepNext/>
              <w:ind w:left="0" w:firstLine="0"/>
              <w:rPr>
                <w:lang w:val="cs-CZ"/>
              </w:rPr>
            </w:pPr>
          </w:p>
        </w:tc>
      </w:tr>
      <w:tr w:rsidR="00534A2D" w14:paraId="0166A8C0" w14:textId="77777777" w:rsidTr="00A5191B">
        <w:trPr>
          <w:cantSplit/>
        </w:trPr>
        <w:tc>
          <w:tcPr>
            <w:tcW w:w="1069" w:type="dxa"/>
            <w:tcBorders>
              <w:top w:val="single" w:sz="4" w:space="0" w:color="auto"/>
              <w:left w:val="single" w:sz="4" w:space="0" w:color="auto"/>
              <w:right w:val="single" w:sz="6" w:space="0" w:color="auto"/>
            </w:tcBorders>
          </w:tcPr>
          <w:p w14:paraId="55F7D0EC" w14:textId="77777777" w:rsidR="00381C4E" w:rsidRPr="001B4A02" w:rsidRDefault="00000000" w:rsidP="00A5191B">
            <w:pPr>
              <w:keepNext/>
              <w:ind w:left="0" w:firstLine="0"/>
              <w:rPr>
                <w:sz w:val="20"/>
              </w:rPr>
            </w:pPr>
            <w:r w:rsidRPr="001B4A02">
              <w:rPr>
                <w:sz w:val="20"/>
              </w:rPr>
              <w:t>Odpověď</w:t>
            </w:r>
          </w:p>
        </w:tc>
        <w:tc>
          <w:tcPr>
            <w:tcW w:w="3026" w:type="dxa"/>
            <w:gridSpan w:val="2"/>
            <w:tcBorders>
              <w:top w:val="single" w:sz="4" w:space="0" w:color="auto"/>
              <w:left w:val="single" w:sz="6" w:space="0" w:color="auto"/>
              <w:bottom w:val="single" w:sz="4" w:space="0" w:color="auto"/>
              <w:right w:val="single" w:sz="6" w:space="0" w:color="auto"/>
            </w:tcBorders>
          </w:tcPr>
          <w:p w14:paraId="1F16D9DC" w14:textId="77777777" w:rsidR="00381C4E" w:rsidRPr="001B4A02" w:rsidRDefault="00000000" w:rsidP="00A5191B">
            <w:pPr>
              <w:keepNext/>
              <w:ind w:left="0" w:firstLine="0"/>
              <w:jc w:val="center"/>
              <w:rPr>
                <w:sz w:val="20"/>
              </w:rPr>
            </w:pPr>
            <w:r w:rsidRPr="001B4A02">
              <w:rPr>
                <w:sz w:val="20"/>
              </w:rPr>
              <w:t>Studie RA I</w:t>
            </w:r>
            <w:r w:rsidRPr="001B4A02">
              <w:rPr>
                <w:sz w:val="20"/>
                <w:vertAlign w:val="superscript"/>
              </w:rPr>
              <w:t>a</w:t>
            </w:r>
            <w:r w:rsidRPr="001B4A02">
              <w:rPr>
                <w:sz w:val="20"/>
              </w:rPr>
              <w:t>**</w:t>
            </w:r>
          </w:p>
        </w:tc>
        <w:tc>
          <w:tcPr>
            <w:tcW w:w="2336" w:type="dxa"/>
            <w:gridSpan w:val="2"/>
            <w:tcBorders>
              <w:top w:val="single" w:sz="4" w:space="0" w:color="auto"/>
              <w:left w:val="single" w:sz="6" w:space="0" w:color="auto"/>
              <w:bottom w:val="single" w:sz="4" w:space="0" w:color="auto"/>
              <w:right w:val="single" w:sz="6" w:space="0" w:color="auto"/>
            </w:tcBorders>
          </w:tcPr>
          <w:p w14:paraId="4AB08485" w14:textId="77777777" w:rsidR="00381C4E" w:rsidRPr="001B4A02" w:rsidRDefault="00000000" w:rsidP="00A5191B">
            <w:pPr>
              <w:keepNext/>
              <w:ind w:left="0" w:firstLine="0"/>
              <w:jc w:val="center"/>
              <w:rPr>
                <w:sz w:val="20"/>
              </w:rPr>
            </w:pPr>
            <w:r w:rsidRPr="001B4A02">
              <w:rPr>
                <w:sz w:val="20"/>
              </w:rPr>
              <w:t>Studie RA II</w:t>
            </w:r>
            <w:r w:rsidRPr="001B4A02">
              <w:rPr>
                <w:sz w:val="20"/>
                <w:vertAlign w:val="superscript"/>
              </w:rPr>
              <w:t>a</w:t>
            </w:r>
            <w:r w:rsidRPr="001B4A02">
              <w:rPr>
                <w:sz w:val="20"/>
              </w:rPr>
              <w:t>**</w:t>
            </w:r>
          </w:p>
        </w:tc>
        <w:tc>
          <w:tcPr>
            <w:tcW w:w="2693" w:type="dxa"/>
            <w:gridSpan w:val="2"/>
            <w:tcBorders>
              <w:top w:val="single" w:sz="4" w:space="0" w:color="auto"/>
              <w:left w:val="single" w:sz="6" w:space="0" w:color="auto"/>
              <w:bottom w:val="single" w:sz="4" w:space="0" w:color="auto"/>
              <w:right w:val="single" w:sz="4" w:space="0" w:color="auto"/>
            </w:tcBorders>
          </w:tcPr>
          <w:p w14:paraId="70D8B39C" w14:textId="77777777" w:rsidR="00381C4E" w:rsidRPr="001B4A02" w:rsidRDefault="00000000" w:rsidP="00A5191B">
            <w:pPr>
              <w:keepNext/>
              <w:ind w:left="0" w:firstLine="0"/>
              <w:jc w:val="center"/>
              <w:rPr>
                <w:sz w:val="20"/>
              </w:rPr>
            </w:pPr>
            <w:r w:rsidRPr="001B4A02">
              <w:rPr>
                <w:sz w:val="20"/>
              </w:rPr>
              <w:t>Studie RA III</w:t>
            </w:r>
            <w:r w:rsidRPr="001B4A02">
              <w:rPr>
                <w:sz w:val="20"/>
                <w:vertAlign w:val="superscript"/>
              </w:rPr>
              <w:t>a</w:t>
            </w:r>
            <w:r w:rsidRPr="001B4A02">
              <w:rPr>
                <w:sz w:val="20"/>
              </w:rPr>
              <w:t>**</w:t>
            </w:r>
          </w:p>
          <w:p w14:paraId="446F6AF2" w14:textId="77777777" w:rsidR="00381C4E" w:rsidRPr="001B4A02" w:rsidRDefault="00381C4E" w:rsidP="00A5191B">
            <w:pPr>
              <w:keepNext/>
              <w:ind w:left="0" w:firstLine="0"/>
              <w:jc w:val="center"/>
              <w:rPr>
                <w:sz w:val="20"/>
              </w:rPr>
            </w:pPr>
          </w:p>
        </w:tc>
      </w:tr>
      <w:tr w:rsidR="00534A2D" w14:paraId="75517030" w14:textId="77777777" w:rsidTr="00A5191B">
        <w:trPr>
          <w:cantSplit/>
        </w:trPr>
        <w:tc>
          <w:tcPr>
            <w:tcW w:w="1069" w:type="dxa"/>
            <w:tcBorders>
              <w:left w:val="single" w:sz="4" w:space="0" w:color="auto"/>
              <w:bottom w:val="single" w:sz="4" w:space="0" w:color="auto"/>
              <w:right w:val="single" w:sz="4" w:space="0" w:color="auto"/>
            </w:tcBorders>
          </w:tcPr>
          <w:p w14:paraId="5A647144" w14:textId="77777777" w:rsidR="00381C4E" w:rsidRPr="001B4A02" w:rsidRDefault="00381C4E" w:rsidP="00A5191B">
            <w:pPr>
              <w:keepNext/>
              <w:ind w:left="0" w:firstLine="0"/>
              <w:rPr>
                <w:sz w:val="20"/>
              </w:rPr>
            </w:pPr>
          </w:p>
        </w:tc>
        <w:tc>
          <w:tcPr>
            <w:tcW w:w="1467" w:type="dxa"/>
            <w:tcBorders>
              <w:top w:val="single" w:sz="4" w:space="0" w:color="auto"/>
              <w:left w:val="single" w:sz="4" w:space="0" w:color="auto"/>
              <w:bottom w:val="single" w:sz="4" w:space="0" w:color="auto"/>
              <w:right w:val="single" w:sz="4" w:space="0" w:color="auto"/>
            </w:tcBorders>
          </w:tcPr>
          <w:p w14:paraId="5A5A1B4A" w14:textId="77777777" w:rsidR="00381C4E" w:rsidRPr="001B4A02" w:rsidRDefault="00000000" w:rsidP="00A5191B">
            <w:pPr>
              <w:keepNext/>
              <w:ind w:left="0" w:firstLine="0"/>
              <w:jc w:val="center"/>
              <w:rPr>
                <w:sz w:val="20"/>
              </w:rPr>
            </w:pPr>
            <w:r w:rsidRPr="001B4A02">
              <w:rPr>
                <w:sz w:val="20"/>
              </w:rPr>
              <w:t>Placebo/ MTX</w:t>
            </w:r>
            <w:r w:rsidRPr="001B4A02">
              <w:rPr>
                <w:sz w:val="20"/>
                <w:vertAlign w:val="superscript"/>
              </w:rPr>
              <w:t>c</w:t>
            </w:r>
          </w:p>
          <w:p w14:paraId="4DD5C62A" w14:textId="77777777" w:rsidR="00381C4E" w:rsidRPr="001B4A02" w:rsidRDefault="00000000" w:rsidP="00A5191B">
            <w:pPr>
              <w:keepNext/>
              <w:ind w:left="0" w:firstLine="0"/>
              <w:jc w:val="center"/>
              <w:rPr>
                <w:sz w:val="20"/>
              </w:rPr>
            </w:pPr>
            <w:r w:rsidRPr="001B4A02">
              <w:rPr>
                <w:sz w:val="20"/>
              </w:rPr>
              <w:t>n=60</w:t>
            </w:r>
          </w:p>
        </w:tc>
        <w:tc>
          <w:tcPr>
            <w:tcW w:w="1559" w:type="dxa"/>
            <w:tcBorders>
              <w:top w:val="single" w:sz="4" w:space="0" w:color="auto"/>
              <w:left w:val="single" w:sz="4" w:space="0" w:color="auto"/>
              <w:bottom w:val="single" w:sz="4" w:space="0" w:color="auto"/>
              <w:right w:val="single" w:sz="4" w:space="0" w:color="auto"/>
            </w:tcBorders>
          </w:tcPr>
          <w:p w14:paraId="1D2022C2" w14:textId="77777777" w:rsidR="00381C4E" w:rsidRPr="001B4A02" w:rsidRDefault="00000000" w:rsidP="00A5191B">
            <w:pPr>
              <w:keepNext/>
              <w:ind w:left="0" w:firstLine="0"/>
              <w:jc w:val="center"/>
              <w:rPr>
                <w:sz w:val="20"/>
              </w:rPr>
            </w:pPr>
            <w:r w:rsidRPr="001B4A02">
              <w:rPr>
                <w:sz w:val="20"/>
              </w:rPr>
              <w:t>Humira</w:t>
            </w:r>
            <w:r w:rsidRPr="001B4A02">
              <w:rPr>
                <w:sz w:val="20"/>
                <w:vertAlign w:val="superscript"/>
              </w:rPr>
              <w:t>b</w:t>
            </w:r>
            <w:r w:rsidRPr="001B4A02">
              <w:rPr>
                <w:sz w:val="20"/>
              </w:rPr>
              <w:t>/ MTX</w:t>
            </w:r>
            <w:r w:rsidRPr="001B4A02">
              <w:rPr>
                <w:sz w:val="20"/>
                <w:vertAlign w:val="superscript"/>
              </w:rPr>
              <w:t>c</w:t>
            </w:r>
          </w:p>
          <w:p w14:paraId="74E23CB9" w14:textId="77777777" w:rsidR="00381C4E" w:rsidRPr="001B4A02" w:rsidRDefault="00000000" w:rsidP="00A5191B">
            <w:pPr>
              <w:keepNext/>
              <w:ind w:left="0" w:firstLine="0"/>
              <w:jc w:val="center"/>
              <w:rPr>
                <w:sz w:val="20"/>
              </w:rPr>
            </w:pPr>
            <w:r w:rsidRPr="001B4A02">
              <w:rPr>
                <w:sz w:val="20"/>
              </w:rPr>
              <w:t>n=63</w:t>
            </w:r>
          </w:p>
        </w:tc>
        <w:tc>
          <w:tcPr>
            <w:tcW w:w="1134" w:type="dxa"/>
            <w:tcBorders>
              <w:top w:val="single" w:sz="4" w:space="0" w:color="auto"/>
              <w:left w:val="single" w:sz="4" w:space="0" w:color="auto"/>
              <w:bottom w:val="single" w:sz="4" w:space="0" w:color="auto"/>
              <w:right w:val="single" w:sz="4" w:space="0" w:color="auto"/>
            </w:tcBorders>
          </w:tcPr>
          <w:p w14:paraId="264073A7" w14:textId="77777777" w:rsidR="00381C4E" w:rsidRPr="001B4A02" w:rsidRDefault="00000000" w:rsidP="00A5191B">
            <w:pPr>
              <w:pStyle w:val="CommentText"/>
              <w:keepNext/>
              <w:ind w:left="0" w:firstLine="0"/>
              <w:jc w:val="center"/>
              <w:rPr>
                <w:lang w:val="cs-CZ"/>
              </w:rPr>
            </w:pPr>
            <w:r w:rsidRPr="001B4A02">
              <w:rPr>
                <w:lang w:val="cs-CZ"/>
              </w:rPr>
              <w:t>Placebo</w:t>
            </w:r>
          </w:p>
          <w:p w14:paraId="11A19D9F" w14:textId="77777777" w:rsidR="00381C4E" w:rsidRPr="001B4A02" w:rsidRDefault="00000000" w:rsidP="00A5191B">
            <w:pPr>
              <w:keepNext/>
              <w:ind w:left="0" w:firstLine="0"/>
              <w:jc w:val="center"/>
              <w:rPr>
                <w:sz w:val="20"/>
              </w:rPr>
            </w:pPr>
            <w:r w:rsidRPr="001B4A02">
              <w:rPr>
                <w:sz w:val="20"/>
              </w:rPr>
              <w:t>n=110</w:t>
            </w:r>
          </w:p>
        </w:tc>
        <w:tc>
          <w:tcPr>
            <w:tcW w:w="1202" w:type="dxa"/>
            <w:tcBorders>
              <w:top w:val="single" w:sz="4" w:space="0" w:color="auto"/>
              <w:left w:val="single" w:sz="4" w:space="0" w:color="auto"/>
              <w:bottom w:val="single" w:sz="4" w:space="0" w:color="auto"/>
              <w:right w:val="single" w:sz="4" w:space="0" w:color="auto"/>
            </w:tcBorders>
          </w:tcPr>
          <w:p w14:paraId="002888F9" w14:textId="77777777" w:rsidR="00381C4E" w:rsidRPr="001B4A02" w:rsidRDefault="00000000" w:rsidP="00A5191B">
            <w:pPr>
              <w:keepNext/>
              <w:ind w:left="0" w:firstLine="0"/>
              <w:jc w:val="center"/>
              <w:rPr>
                <w:sz w:val="20"/>
              </w:rPr>
            </w:pPr>
            <w:r w:rsidRPr="001B4A02">
              <w:rPr>
                <w:sz w:val="20"/>
              </w:rPr>
              <w:t>Humira</w:t>
            </w:r>
            <w:r w:rsidRPr="001B4A02">
              <w:rPr>
                <w:sz w:val="20"/>
                <w:vertAlign w:val="superscript"/>
              </w:rPr>
              <w:t>b</w:t>
            </w:r>
          </w:p>
          <w:p w14:paraId="2E1B7261" w14:textId="77777777" w:rsidR="00381C4E" w:rsidRPr="001B4A02" w:rsidRDefault="00000000" w:rsidP="00A5191B">
            <w:pPr>
              <w:keepNext/>
              <w:ind w:left="0" w:firstLine="0"/>
              <w:jc w:val="center"/>
              <w:rPr>
                <w:sz w:val="20"/>
              </w:rPr>
            </w:pPr>
            <w:r w:rsidRPr="001B4A02">
              <w:rPr>
                <w:sz w:val="20"/>
              </w:rPr>
              <w:t>n=113</w:t>
            </w:r>
          </w:p>
        </w:tc>
        <w:tc>
          <w:tcPr>
            <w:tcW w:w="1276" w:type="dxa"/>
            <w:tcBorders>
              <w:top w:val="single" w:sz="4" w:space="0" w:color="auto"/>
              <w:left w:val="single" w:sz="4" w:space="0" w:color="auto"/>
              <w:bottom w:val="single" w:sz="4" w:space="0" w:color="auto"/>
              <w:right w:val="single" w:sz="4" w:space="0" w:color="auto"/>
            </w:tcBorders>
          </w:tcPr>
          <w:p w14:paraId="6DFFB65F" w14:textId="77777777" w:rsidR="00381C4E" w:rsidRPr="001B4A02" w:rsidRDefault="00000000" w:rsidP="00A5191B">
            <w:pPr>
              <w:keepNext/>
              <w:ind w:left="0" w:firstLine="0"/>
              <w:jc w:val="center"/>
              <w:rPr>
                <w:sz w:val="20"/>
              </w:rPr>
            </w:pPr>
            <w:r w:rsidRPr="001B4A02">
              <w:rPr>
                <w:sz w:val="20"/>
              </w:rPr>
              <w:t>Placebo/ MTX</w:t>
            </w:r>
            <w:r w:rsidRPr="001B4A02">
              <w:rPr>
                <w:sz w:val="20"/>
                <w:vertAlign w:val="superscript"/>
              </w:rPr>
              <w:t>c</w:t>
            </w:r>
          </w:p>
          <w:p w14:paraId="06045F83" w14:textId="77777777" w:rsidR="00381C4E" w:rsidRPr="001B4A02" w:rsidRDefault="00000000" w:rsidP="00A5191B">
            <w:pPr>
              <w:keepNext/>
              <w:ind w:left="0" w:firstLine="0"/>
              <w:jc w:val="center"/>
              <w:rPr>
                <w:sz w:val="20"/>
              </w:rPr>
            </w:pPr>
            <w:r w:rsidRPr="001B4A02">
              <w:rPr>
                <w:sz w:val="20"/>
              </w:rPr>
              <w:t>n=200</w:t>
            </w:r>
          </w:p>
        </w:tc>
        <w:tc>
          <w:tcPr>
            <w:tcW w:w="1417" w:type="dxa"/>
            <w:tcBorders>
              <w:top w:val="single" w:sz="4" w:space="0" w:color="auto"/>
              <w:left w:val="single" w:sz="4" w:space="0" w:color="auto"/>
              <w:bottom w:val="single" w:sz="4" w:space="0" w:color="auto"/>
              <w:right w:val="single" w:sz="4" w:space="0" w:color="auto"/>
            </w:tcBorders>
          </w:tcPr>
          <w:p w14:paraId="70D0E7F3" w14:textId="77777777" w:rsidR="00381C4E" w:rsidRPr="001B4A02" w:rsidRDefault="00000000" w:rsidP="00A5191B">
            <w:pPr>
              <w:keepNext/>
              <w:ind w:left="0" w:firstLine="0"/>
              <w:jc w:val="center"/>
              <w:rPr>
                <w:sz w:val="20"/>
              </w:rPr>
            </w:pPr>
            <w:r w:rsidRPr="001B4A02">
              <w:rPr>
                <w:sz w:val="20"/>
              </w:rPr>
              <w:t>Humira</w:t>
            </w:r>
            <w:r w:rsidRPr="001B4A02">
              <w:rPr>
                <w:sz w:val="20"/>
                <w:vertAlign w:val="superscript"/>
              </w:rPr>
              <w:t>b</w:t>
            </w:r>
            <w:r w:rsidRPr="001B4A02">
              <w:rPr>
                <w:sz w:val="20"/>
              </w:rPr>
              <w:t>/ MTX</w:t>
            </w:r>
            <w:r w:rsidRPr="001B4A02">
              <w:rPr>
                <w:sz w:val="20"/>
                <w:vertAlign w:val="superscript"/>
              </w:rPr>
              <w:t>c</w:t>
            </w:r>
          </w:p>
          <w:p w14:paraId="195F3A6F" w14:textId="77777777" w:rsidR="00381C4E" w:rsidRPr="001B4A02" w:rsidRDefault="00000000" w:rsidP="00A5191B">
            <w:pPr>
              <w:keepNext/>
              <w:ind w:left="0" w:firstLine="0"/>
              <w:jc w:val="center"/>
              <w:rPr>
                <w:sz w:val="20"/>
              </w:rPr>
            </w:pPr>
            <w:r w:rsidRPr="001B4A02">
              <w:rPr>
                <w:sz w:val="20"/>
              </w:rPr>
              <w:t>n=207</w:t>
            </w:r>
          </w:p>
        </w:tc>
      </w:tr>
      <w:tr w:rsidR="00534A2D" w14:paraId="6DE50E2A" w14:textId="77777777" w:rsidTr="00A5191B">
        <w:trPr>
          <w:cantSplit/>
        </w:trPr>
        <w:tc>
          <w:tcPr>
            <w:tcW w:w="1069" w:type="dxa"/>
            <w:tcBorders>
              <w:top w:val="single" w:sz="4" w:space="0" w:color="auto"/>
              <w:left w:val="single" w:sz="4" w:space="0" w:color="auto"/>
              <w:bottom w:val="single" w:sz="4" w:space="0" w:color="auto"/>
              <w:right w:val="single" w:sz="4" w:space="0" w:color="auto"/>
            </w:tcBorders>
          </w:tcPr>
          <w:p w14:paraId="5049E6A9" w14:textId="77777777" w:rsidR="00381C4E" w:rsidRPr="001B4A02" w:rsidRDefault="00000000" w:rsidP="00A5191B">
            <w:pPr>
              <w:keepNext/>
              <w:ind w:left="0" w:firstLine="0"/>
              <w:rPr>
                <w:sz w:val="20"/>
              </w:rPr>
            </w:pPr>
            <w:r w:rsidRPr="001B4A02">
              <w:rPr>
                <w:sz w:val="20"/>
              </w:rPr>
              <w:t>ACR 20</w:t>
            </w:r>
          </w:p>
        </w:tc>
        <w:tc>
          <w:tcPr>
            <w:tcW w:w="1467" w:type="dxa"/>
            <w:tcBorders>
              <w:top w:val="single" w:sz="4" w:space="0" w:color="auto"/>
              <w:left w:val="single" w:sz="4" w:space="0" w:color="auto"/>
              <w:bottom w:val="single" w:sz="4" w:space="0" w:color="auto"/>
              <w:right w:val="single" w:sz="4" w:space="0" w:color="auto"/>
            </w:tcBorders>
          </w:tcPr>
          <w:p w14:paraId="3E22B9BC" w14:textId="77777777" w:rsidR="00381C4E" w:rsidRPr="001B4A02" w:rsidRDefault="00381C4E" w:rsidP="00A5191B">
            <w:pPr>
              <w:keepNext/>
              <w:ind w:left="0" w:firstLine="0"/>
              <w:jc w:val="center"/>
              <w:rPr>
                <w:sz w:val="20"/>
              </w:rPr>
            </w:pPr>
          </w:p>
        </w:tc>
        <w:tc>
          <w:tcPr>
            <w:tcW w:w="1559" w:type="dxa"/>
            <w:tcBorders>
              <w:top w:val="single" w:sz="4" w:space="0" w:color="auto"/>
              <w:left w:val="single" w:sz="4" w:space="0" w:color="auto"/>
              <w:bottom w:val="single" w:sz="4" w:space="0" w:color="auto"/>
              <w:right w:val="single" w:sz="4" w:space="0" w:color="auto"/>
            </w:tcBorders>
          </w:tcPr>
          <w:p w14:paraId="553C410E" w14:textId="77777777" w:rsidR="00381C4E" w:rsidRPr="001B4A02" w:rsidRDefault="00381C4E" w:rsidP="00A5191B">
            <w:pPr>
              <w:keepNext/>
              <w:ind w:left="0" w:firstLine="0"/>
              <w:jc w:val="center"/>
              <w:rPr>
                <w:sz w:val="20"/>
              </w:rPr>
            </w:pPr>
          </w:p>
        </w:tc>
        <w:tc>
          <w:tcPr>
            <w:tcW w:w="1134" w:type="dxa"/>
            <w:tcBorders>
              <w:top w:val="single" w:sz="4" w:space="0" w:color="auto"/>
              <w:left w:val="single" w:sz="4" w:space="0" w:color="auto"/>
              <w:bottom w:val="single" w:sz="4" w:space="0" w:color="auto"/>
              <w:right w:val="single" w:sz="4" w:space="0" w:color="auto"/>
            </w:tcBorders>
          </w:tcPr>
          <w:p w14:paraId="0398952D" w14:textId="77777777" w:rsidR="00381C4E" w:rsidRPr="001B4A02" w:rsidRDefault="00381C4E" w:rsidP="00A5191B">
            <w:pPr>
              <w:keepNext/>
              <w:ind w:left="0" w:firstLine="0"/>
              <w:jc w:val="center"/>
              <w:rPr>
                <w:sz w:val="20"/>
              </w:rPr>
            </w:pPr>
          </w:p>
        </w:tc>
        <w:tc>
          <w:tcPr>
            <w:tcW w:w="1202" w:type="dxa"/>
            <w:tcBorders>
              <w:top w:val="single" w:sz="4" w:space="0" w:color="auto"/>
              <w:left w:val="single" w:sz="4" w:space="0" w:color="auto"/>
              <w:bottom w:val="single" w:sz="4" w:space="0" w:color="auto"/>
              <w:right w:val="single" w:sz="4" w:space="0" w:color="auto"/>
            </w:tcBorders>
          </w:tcPr>
          <w:p w14:paraId="0F9F7FB8" w14:textId="77777777" w:rsidR="00381C4E" w:rsidRPr="001B4A02" w:rsidRDefault="00381C4E" w:rsidP="00A5191B">
            <w:pPr>
              <w:keepNext/>
              <w:ind w:left="0" w:firstLine="0"/>
              <w:jc w:val="center"/>
              <w:rPr>
                <w:sz w:val="20"/>
              </w:rPr>
            </w:pPr>
          </w:p>
        </w:tc>
        <w:tc>
          <w:tcPr>
            <w:tcW w:w="1276" w:type="dxa"/>
            <w:tcBorders>
              <w:top w:val="single" w:sz="4" w:space="0" w:color="auto"/>
              <w:left w:val="single" w:sz="4" w:space="0" w:color="auto"/>
              <w:bottom w:val="single" w:sz="4" w:space="0" w:color="auto"/>
              <w:right w:val="single" w:sz="4" w:space="0" w:color="auto"/>
            </w:tcBorders>
          </w:tcPr>
          <w:p w14:paraId="74F37B4D" w14:textId="77777777" w:rsidR="00381C4E" w:rsidRPr="001B4A02" w:rsidRDefault="00381C4E" w:rsidP="00A5191B">
            <w:pPr>
              <w:keepNext/>
              <w:ind w:left="0" w:firstLine="0"/>
              <w:jc w:val="center"/>
              <w:rPr>
                <w:sz w:val="20"/>
              </w:rPr>
            </w:pPr>
          </w:p>
        </w:tc>
        <w:tc>
          <w:tcPr>
            <w:tcW w:w="1417" w:type="dxa"/>
            <w:tcBorders>
              <w:top w:val="single" w:sz="4" w:space="0" w:color="auto"/>
              <w:left w:val="single" w:sz="4" w:space="0" w:color="auto"/>
              <w:bottom w:val="single" w:sz="4" w:space="0" w:color="auto"/>
              <w:right w:val="single" w:sz="4" w:space="0" w:color="auto"/>
            </w:tcBorders>
          </w:tcPr>
          <w:p w14:paraId="3BCE216C" w14:textId="77777777" w:rsidR="00381C4E" w:rsidRPr="001B4A02" w:rsidRDefault="00381C4E" w:rsidP="00A5191B">
            <w:pPr>
              <w:keepNext/>
              <w:ind w:left="0" w:firstLine="0"/>
              <w:jc w:val="center"/>
              <w:rPr>
                <w:sz w:val="20"/>
              </w:rPr>
            </w:pPr>
          </w:p>
        </w:tc>
      </w:tr>
      <w:tr w:rsidR="00534A2D" w14:paraId="6F2910D8" w14:textId="77777777" w:rsidTr="00A5191B">
        <w:trPr>
          <w:cantSplit/>
        </w:trPr>
        <w:tc>
          <w:tcPr>
            <w:tcW w:w="1069" w:type="dxa"/>
            <w:tcBorders>
              <w:top w:val="single" w:sz="4" w:space="0" w:color="auto"/>
              <w:left w:val="single" w:sz="4" w:space="0" w:color="auto"/>
              <w:bottom w:val="single" w:sz="4" w:space="0" w:color="auto"/>
              <w:right w:val="single" w:sz="4" w:space="0" w:color="auto"/>
            </w:tcBorders>
          </w:tcPr>
          <w:p w14:paraId="075D4A9C" w14:textId="77777777" w:rsidR="00381C4E" w:rsidRPr="001B4A02" w:rsidRDefault="00000000" w:rsidP="00A5191B">
            <w:pPr>
              <w:keepNext/>
              <w:ind w:left="0" w:firstLine="0"/>
              <w:rPr>
                <w:sz w:val="20"/>
              </w:rPr>
            </w:pPr>
            <w:r w:rsidRPr="001B4A02">
              <w:rPr>
                <w:sz w:val="20"/>
              </w:rPr>
              <w:t xml:space="preserve">  6 měsíců</w:t>
            </w:r>
          </w:p>
        </w:tc>
        <w:tc>
          <w:tcPr>
            <w:tcW w:w="1467" w:type="dxa"/>
            <w:tcBorders>
              <w:top w:val="single" w:sz="4" w:space="0" w:color="auto"/>
              <w:left w:val="single" w:sz="4" w:space="0" w:color="auto"/>
              <w:bottom w:val="single" w:sz="4" w:space="0" w:color="auto"/>
              <w:right w:val="single" w:sz="4" w:space="0" w:color="auto"/>
            </w:tcBorders>
          </w:tcPr>
          <w:p w14:paraId="21040523" w14:textId="77777777" w:rsidR="00381C4E" w:rsidRPr="001B4A02" w:rsidRDefault="00000000" w:rsidP="00A5191B">
            <w:pPr>
              <w:keepNext/>
              <w:ind w:left="0" w:firstLine="0"/>
              <w:jc w:val="center"/>
              <w:rPr>
                <w:sz w:val="20"/>
              </w:rPr>
            </w:pPr>
            <w:r w:rsidRPr="001B4A02">
              <w:rPr>
                <w:sz w:val="20"/>
              </w:rPr>
              <w:t>13,3 %</w:t>
            </w:r>
          </w:p>
        </w:tc>
        <w:tc>
          <w:tcPr>
            <w:tcW w:w="1559" w:type="dxa"/>
            <w:tcBorders>
              <w:top w:val="single" w:sz="4" w:space="0" w:color="auto"/>
              <w:left w:val="single" w:sz="4" w:space="0" w:color="auto"/>
              <w:bottom w:val="single" w:sz="4" w:space="0" w:color="auto"/>
              <w:right w:val="single" w:sz="4" w:space="0" w:color="auto"/>
            </w:tcBorders>
          </w:tcPr>
          <w:p w14:paraId="3245C79D" w14:textId="77777777" w:rsidR="00381C4E" w:rsidRPr="001B4A02" w:rsidRDefault="00000000" w:rsidP="00A5191B">
            <w:pPr>
              <w:keepNext/>
              <w:ind w:left="0" w:firstLine="0"/>
              <w:jc w:val="center"/>
              <w:rPr>
                <w:sz w:val="20"/>
              </w:rPr>
            </w:pPr>
            <w:r w:rsidRPr="001B4A02">
              <w:rPr>
                <w:sz w:val="20"/>
              </w:rPr>
              <w:t>65,1 %</w:t>
            </w:r>
          </w:p>
        </w:tc>
        <w:tc>
          <w:tcPr>
            <w:tcW w:w="1134" w:type="dxa"/>
            <w:tcBorders>
              <w:top w:val="single" w:sz="4" w:space="0" w:color="auto"/>
              <w:left w:val="single" w:sz="4" w:space="0" w:color="auto"/>
              <w:bottom w:val="single" w:sz="4" w:space="0" w:color="auto"/>
              <w:right w:val="single" w:sz="4" w:space="0" w:color="auto"/>
            </w:tcBorders>
          </w:tcPr>
          <w:p w14:paraId="3A0798D8" w14:textId="77777777" w:rsidR="00381C4E" w:rsidRPr="001B4A02" w:rsidRDefault="00000000" w:rsidP="00A5191B">
            <w:pPr>
              <w:keepNext/>
              <w:ind w:left="0" w:firstLine="0"/>
              <w:jc w:val="center"/>
              <w:rPr>
                <w:sz w:val="20"/>
              </w:rPr>
            </w:pPr>
            <w:r w:rsidRPr="001B4A02">
              <w:rPr>
                <w:sz w:val="20"/>
              </w:rPr>
              <w:t>19,1 %</w:t>
            </w:r>
          </w:p>
        </w:tc>
        <w:tc>
          <w:tcPr>
            <w:tcW w:w="1202" w:type="dxa"/>
            <w:tcBorders>
              <w:top w:val="single" w:sz="4" w:space="0" w:color="auto"/>
              <w:left w:val="single" w:sz="4" w:space="0" w:color="auto"/>
              <w:bottom w:val="single" w:sz="4" w:space="0" w:color="auto"/>
              <w:right w:val="single" w:sz="4" w:space="0" w:color="auto"/>
            </w:tcBorders>
          </w:tcPr>
          <w:p w14:paraId="507F62E5" w14:textId="77777777" w:rsidR="00381C4E" w:rsidRPr="001B4A02" w:rsidRDefault="00000000" w:rsidP="00A5191B">
            <w:pPr>
              <w:keepNext/>
              <w:ind w:left="0" w:firstLine="0"/>
              <w:jc w:val="center"/>
              <w:rPr>
                <w:sz w:val="20"/>
              </w:rPr>
            </w:pPr>
            <w:r w:rsidRPr="001B4A02">
              <w:rPr>
                <w:sz w:val="20"/>
              </w:rPr>
              <w:t>46,0 %</w:t>
            </w:r>
          </w:p>
        </w:tc>
        <w:tc>
          <w:tcPr>
            <w:tcW w:w="1276" w:type="dxa"/>
            <w:tcBorders>
              <w:top w:val="single" w:sz="4" w:space="0" w:color="auto"/>
              <w:left w:val="single" w:sz="4" w:space="0" w:color="auto"/>
              <w:bottom w:val="single" w:sz="4" w:space="0" w:color="auto"/>
              <w:right w:val="single" w:sz="4" w:space="0" w:color="auto"/>
            </w:tcBorders>
          </w:tcPr>
          <w:p w14:paraId="4201CF85" w14:textId="77777777" w:rsidR="00381C4E" w:rsidRPr="001B4A02" w:rsidRDefault="00000000" w:rsidP="00A5191B">
            <w:pPr>
              <w:keepNext/>
              <w:ind w:left="0" w:firstLine="0"/>
              <w:jc w:val="center"/>
              <w:rPr>
                <w:sz w:val="20"/>
              </w:rPr>
            </w:pPr>
            <w:r w:rsidRPr="001B4A02">
              <w:rPr>
                <w:sz w:val="20"/>
              </w:rPr>
              <w:t>29,5 %</w:t>
            </w:r>
          </w:p>
        </w:tc>
        <w:tc>
          <w:tcPr>
            <w:tcW w:w="1417" w:type="dxa"/>
            <w:tcBorders>
              <w:top w:val="single" w:sz="4" w:space="0" w:color="auto"/>
              <w:left w:val="single" w:sz="4" w:space="0" w:color="auto"/>
              <w:bottom w:val="single" w:sz="4" w:space="0" w:color="auto"/>
              <w:right w:val="single" w:sz="4" w:space="0" w:color="auto"/>
            </w:tcBorders>
          </w:tcPr>
          <w:p w14:paraId="5A830379" w14:textId="77777777" w:rsidR="00381C4E" w:rsidRPr="001B4A02" w:rsidRDefault="00000000" w:rsidP="00A5191B">
            <w:pPr>
              <w:keepNext/>
              <w:ind w:left="0" w:firstLine="0"/>
              <w:jc w:val="center"/>
              <w:rPr>
                <w:sz w:val="20"/>
              </w:rPr>
            </w:pPr>
            <w:r w:rsidRPr="001B4A02">
              <w:rPr>
                <w:sz w:val="20"/>
              </w:rPr>
              <w:t>63,3 %</w:t>
            </w:r>
          </w:p>
        </w:tc>
      </w:tr>
      <w:tr w:rsidR="00534A2D" w14:paraId="42385FFA" w14:textId="77777777" w:rsidTr="00A5191B">
        <w:trPr>
          <w:cantSplit/>
        </w:trPr>
        <w:tc>
          <w:tcPr>
            <w:tcW w:w="1069" w:type="dxa"/>
            <w:tcBorders>
              <w:top w:val="single" w:sz="4" w:space="0" w:color="auto"/>
              <w:left w:val="single" w:sz="4" w:space="0" w:color="auto"/>
              <w:bottom w:val="single" w:sz="4" w:space="0" w:color="auto"/>
              <w:right w:val="single" w:sz="4" w:space="0" w:color="auto"/>
            </w:tcBorders>
          </w:tcPr>
          <w:p w14:paraId="15783126" w14:textId="77777777" w:rsidR="00381C4E" w:rsidRPr="001B4A02" w:rsidRDefault="00000000" w:rsidP="00A5191B">
            <w:pPr>
              <w:keepNext/>
              <w:ind w:left="0" w:firstLine="0"/>
              <w:rPr>
                <w:sz w:val="20"/>
              </w:rPr>
            </w:pPr>
            <w:r w:rsidRPr="001B4A02">
              <w:rPr>
                <w:sz w:val="20"/>
              </w:rPr>
              <w:t xml:space="preserve">  12 měsíců</w:t>
            </w:r>
          </w:p>
        </w:tc>
        <w:tc>
          <w:tcPr>
            <w:tcW w:w="1467" w:type="dxa"/>
            <w:tcBorders>
              <w:top w:val="single" w:sz="4" w:space="0" w:color="auto"/>
              <w:left w:val="single" w:sz="4" w:space="0" w:color="auto"/>
              <w:bottom w:val="single" w:sz="4" w:space="0" w:color="auto"/>
              <w:right w:val="single" w:sz="4" w:space="0" w:color="auto"/>
            </w:tcBorders>
          </w:tcPr>
          <w:p w14:paraId="3F0229E4" w14:textId="77777777" w:rsidR="00381C4E" w:rsidRPr="001B4A02" w:rsidRDefault="00000000" w:rsidP="00A5191B">
            <w:pPr>
              <w:keepNext/>
              <w:ind w:left="0" w:firstLine="0"/>
              <w:jc w:val="center"/>
              <w:rPr>
                <w:sz w:val="20"/>
              </w:rPr>
            </w:pPr>
            <w:r w:rsidRPr="001B4A02">
              <w:rPr>
                <w:sz w:val="20"/>
              </w:rPr>
              <w:t>NA</w:t>
            </w:r>
          </w:p>
        </w:tc>
        <w:tc>
          <w:tcPr>
            <w:tcW w:w="1559" w:type="dxa"/>
            <w:tcBorders>
              <w:top w:val="single" w:sz="4" w:space="0" w:color="auto"/>
              <w:left w:val="single" w:sz="4" w:space="0" w:color="auto"/>
              <w:bottom w:val="single" w:sz="4" w:space="0" w:color="auto"/>
              <w:right w:val="single" w:sz="4" w:space="0" w:color="auto"/>
            </w:tcBorders>
          </w:tcPr>
          <w:p w14:paraId="510DD450" w14:textId="77777777" w:rsidR="00381C4E" w:rsidRPr="001B4A02" w:rsidRDefault="00000000" w:rsidP="00A5191B">
            <w:pPr>
              <w:keepNext/>
              <w:ind w:left="0" w:firstLine="0"/>
              <w:jc w:val="center"/>
              <w:rPr>
                <w:sz w:val="20"/>
              </w:rPr>
            </w:pPr>
            <w:r w:rsidRPr="001B4A02">
              <w:rPr>
                <w:sz w:val="20"/>
              </w:rPr>
              <w:t>NA</w:t>
            </w:r>
          </w:p>
        </w:tc>
        <w:tc>
          <w:tcPr>
            <w:tcW w:w="1134" w:type="dxa"/>
            <w:tcBorders>
              <w:top w:val="single" w:sz="4" w:space="0" w:color="auto"/>
              <w:left w:val="single" w:sz="4" w:space="0" w:color="auto"/>
              <w:bottom w:val="single" w:sz="4" w:space="0" w:color="auto"/>
              <w:right w:val="single" w:sz="4" w:space="0" w:color="auto"/>
            </w:tcBorders>
          </w:tcPr>
          <w:p w14:paraId="1A96DBA7" w14:textId="77777777" w:rsidR="00381C4E" w:rsidRPr="001B4A02" w:rsidRDefault="00000000" w:rsidP="00A5191B">
            <w:pPr>
              <w:keepNext/>
              <w:ind w:left="0" w:firstLine="0"/>
              <w:jc w:val="center"/>
              <w:rPr>
                <w:sz w:val="20"/>
              </w:rPr>
            </w:pPr>
            <w:r w:rsidRPr="001B4A02">
              <w:rPr>
                <w:sz w:val="20"/>
              </w:rPr>
              <w:t>NA</w:t>
            </w:r>
          </w:p>
        </w:tc>
        <w:tc>
          <w:tcPr>
            <w:tcW w:w="1202" w:type="dxa"/>
            <w:tcBorders>
              <w:top w:val="single" w:sz="4" w:space="0" w:color="auto"/>
              <w:left w:val="single" w:sz="4" w:space="0" w:color="auto"/>
              <w:bottom w:val="single" w:sz="4" w:space="0" w:color="auto"/>
              <w:right w:val="single" w:sz="4" w:space="0" w:color="auto"/>
            </w:tcBorders>
          </w:tcPr>
          <w:p w14:paraId="2875604C" w14:textId="77777777" w:rsidR="00381C4E" w:rsidRPr="001B4A02" w:rsidRDefault="00000000" w:rsidP="00A5191B">
            <w:pPr>
              <w:keepNext/>
              <w:ind w:left="0" w:firstLine="0"/>
              <w:jc w:val="center"/>
              <w:rPr>
                <w:sz w:val="20"/>
              </w:rPr>
            </w:pPr>
            <w:r w:rsidRPr="001B4A02">
              <w:rPr>
                <w:sz w:val="20"/>
              </w:rPr>
              <w:t>NA</w:t>
            </w:r>
          </w:p>
        </w:tc>
        <w:tc>
          <w:tcPr>
            <w:tcW w:w="1276" w:type="dxa"/>
            <w:tcBorders>
              <w:top w:val="single" w:sz="4" w:space="0" w:color="auto"/>
              <w:left w:val="single" w:sz="4" w:space="0" w:color="auto"/>
              <w:bottom w:val="single" w:sz="4" w:space="0" w:color="auto"/>
              <w:right w:val="single" w:sz="4" w:space="0" w:color="auto"/>
            </w:tcBorders>
          </w:tcPr>
          <w:p w14:paraId="39FC1A27" w14:textId="77777777" w:rsidR="00381C4E" w:rsidRPr="001B4A02" w:rsidRDefault="00000000" w:rsidP="00A5191B">
            <w:pPr>
              <w:keepNext/>
              <w:ind w:left="0" w:firstLine="0"/>
              <w:jc w:val="center"/>
              <w:rPr>
                <w:sz w:val="20"/>
              </w:rPr>
            </w:pPr>
            <w:r w:rsidRPr="001B4A02">
              <w:rPr>
                <w:sz w:val="20"/>
              </w:rPr>
              <w:t>24,0 %</w:t>
            </w:r>
          </w:p>
        </w:tc>
        <w:tc>
          <w:tcPr>
            <w:tcW w:w="1417" w:type="dxa"/>
            <w:tcBorders>
              <w:top w:val="single" w:sz="4" w:space="0" w:color="auto"/>
              <w:left w:val="single" w:sz="4" w:space="0" w:color="auto"/>
              <w:bottom w:val="single" w:sz="4" w:space="0" w:color="auto"/>
              <w:right w:val="single" w:sz="4" w:space="0" w:color="auto"/>
            </w:tcBorders>
          </w:tcPr>
          <w:p w14:paraId="17841C24" w14:textId="77777777" w:rsidR="00381C4E" w:rsidRPr="001B4A02" w:rsidRDefault="00000000" w:rsidP="00A5191B">
            <w:pPr>
              <w:keepNext/>
              <w:ind w:left="0" w:firstLine="0"/>
              <w:jc w:val="center"/>
              <w:rPr>
                <w:sz w:val="20"/>
              </w:rPr>
            </w:pPr>
            <w:r w:rsidRPr="001B4A02">
              <w:rPr>
                <w:sz w:val="20"/>
              </w:rPr>
              <w:t>58,9 %</w:t>
            </w:r>
          </w:p>
        </w:tc>
      </w:tr>
      <w:tr w:rsidR="00534A2D" w14:paraId="6848A4B7" w14:textId="77777777" w:rsidTr="00A5191B">
        <w:trPr>
          <w:cantSplit/>
        </w:trPr>
        <w:tc>
          <w:tcPr>
            <w:tcW w:w="1069" w:type="dxa"/>
            <w:tcBorders>
              <w:top w:val="single" w:sz="4" w:space="0" w:color="auto"/>
              <w:left w:val="single" w:sz="4" w:space="0" w:color="auto"/>
              <w:bottom w:val="single" w:sz="4" w:space="0" w:color="auto"/>
              <w:right w:val="single" w:sz="4" w:space="0" w:color="auto"/>
            </w:tcBorders>
          </w:tcPr>
          <w:p w14:paraId="07C6DDEE" w14:textId="77777777" w:rsidR="00381C4E" w:rsidRPr="001B4A02" w:rsidRDefault="00000000" w:rsidP="00A5191B">
            <w:pPr>
              <w:keepNext/>
              <w:ind w:left="0" w:firstLine="0"/>
              <w:rPr>
                <w:sz w:val="20"/>
              </w:rPr>
            </w:pPr>
            <w:r w:rsidRPr="001B4A02">
              <w:rPr>
                <w:sz w:val="20"/>
              </w:rPr>
              <w:t>ACR 50</w:t>
            </w:r>
          </w:p>
        </w:tc>
        <w:tc>
          <w:tcPr>
            <w:tcW w:w="1467" w:type="dxa"/>
            <w:tcBorders>
              <w:top w:val="single" w:sz="4" w:space="0" w:color="auto"/>
              <w:left w:val="single" w:sz="4" w:space="0" w:color="auto"/>
              <w:bottom w:val="single" w:sz="4" w:space="0" w:color="auto"/>
              <w:right w:val="single" w:sz="4" w:space="0" w:color="auto"/>
            </w:tcBorders>
          </w:tcPr>
          <w:p w14:paraId="733C9A59" w14:textId="77777777" w:rsidR="00381C4E" w:rsidRPr="001B4A02" w:rsidRDefault="00381C4E" w:rsidP="00A5191B">
            <w:pPr>
              <w:keepNext/>
              <w:ind w:left="0" w:firstLine="0"/>
              <w:jc w:val="center"/>
              <w:rPr>
                <w:sz w:val="20"/>
              </w:rPr>
            </w:pPr>
          </w:p>
        </w:tc>
        <w:tc>
          <w:tcPr>
            <w:tcW w:w="1559" w:type="dxa"/>
            <w:tcBorders>
              <w:top w:val="single" w:sz="4" w:space="0" w:color="auto"/>
              <w:left w:val="single" w:sz="4" w:space="0" w:color="auto"/>
              <w:bottom w:val="single" w:sz="4" w:space="0" w:color="auto"/>
              <w:right w:val="single" w:sz="4" w:space="0" w:color="auto"/>
            </w:tcBorders>
          </w:tcPr>
          <w:p w14:paraId="76FA2C95" w14:textId="77777777" w:rsidR="00381C4E" w:rsidRPr="001B4A02" w:rsidRDefault="00381C4E" w:rsidP="00A5191B">
            <w:pPr>
              <w:keepNext/>
              <w:ind w:left="0" w:firstLine="0"/>
              <w:jc w:val="center"/>
              <w:rPr>
                <w:sz w:val="20"/>
              </w:rPr>
            </w:pPr>
          </w:p>
        </w:tc>
        <w:tc>
          <w:tcPr>
            <w:tcW w:w="1134" w:type="dxa"/>
            <w:tcBorders>
              <w:top w:val="single" w:sz="4" w:space="0" w:color="auto"/>
              <w:left w:val="single" w:sz="4" w:space="0" w:color="auto"/>
              <w:bottom w:val="single" w:sz="4" w:space="0" w:color="auto"/>
              <w:right w:val="single" w:sz="4" w:space="0" w:color="auto"/>
            </w:tcBorders>
          </w:tcPr>
          <w:p w14:paraId="768D51D4" w14:textId="77777777" w:rsidR="00381C4E" w:rsidRPr="001B4A02" w:rsidRDefault="00381C4E" w:rsidP="00A5191B">
            <w:pPr>
              <w:keepNext/>
              <w:ind w:left="0" w:firstLine="0"/>
              <w:jc w:val="center"/>
              <w:rPr>
                <w:sz w:val="20"/>
              </w:rPr>
            </w:pPr>
          </w:p>
        </w:tc>
        <w:tc>
          <w:tcPr>
            <w:tcW w:w="1202" w:type="dxa"/>
            <w:tcBorders>
              <w:top w:val="single" w:sz="4" w:space="0" w:color="auto"/>
              <w:left w:val="single" w:sz="4" w:space="0" w:color="auto"/>
              <w:bottom w:val="single" w:sz="4" w:space="0" w:color="auto"/>
              <w:right w:val="single" w:sz="4" w:space="0" w:color="auto"/>
            </w:tcBorders>
          </w:tcPr>
          <w:p w14:paraId="26891C0B" w14:textId="77777777" w:rsidR="00381C4E" w:rsidRPr="001B4A02" w:rsidRDefault="00381C4E" w:rsidP="00A5191B">
            <w:pPr>
              <w:keepNext/>
              <w:ind w:left="0" w:firstLine="0"/>
              <w:jc w:val="center"/>
              <w:rPr>
                <w:sz w:val="20"/>
              </w:rPr>
            </w:pPr>
          </w:p>
        </w:tc>
        <w:tc>
          <w:tcPr>
            <w:tcW w:w="1276" w:type="dxa"/>
            <w:tcBorders>
              <w:top w:val="single" w:sz="4" w:space="0" w:color="auto"/>
              <w:left w:val="single" w:sz="4" w:space="0" w:color="auto"/>
              <w:bottom w:val="single" w:sz="4" w:space="0" w:color="auto"/>
              <w:right w:val="single" w:sz="4" w:space="0" w:color="auto"/>
            </w:tcBorders>
          </w:tcPr>
          <w:p w14:paraId="7505865E" w14:textId="77777777" w:rsidR="00381C4E" w:rsidRPr="001B4A02" w:rsidRDefault="00381C4E" w:rsidP="00A5191B">
            <w:pPr>
              <w:keepNext/>
              <w:ind w:left="0" w:firstLine="0"/>
              <w:jc w:val="center"/>
              <w:rPr>
                <w:sz w:val="20"/>
              </w:rPr>
            </w:pPr>
          </w:p>
        </w:tc>
        <w:tc>
          <w:tcPr>
            <w:tcW w:w="1417" w:type="dxa"/>
            <w:tcBorders>
              <w:top w:val="single" w:sz="4" w:space="0" w:color="auto"/>
              <w:left w:val="single" w:sz="4" w:space="0" w:color="auto"/>
              <w:bottom w:val="single" w:sz="4" w:space="0" w:color="auto"/>
              <w:right w:val="single" w:sz="4" w:space="0" w:color="auto"/>
            </w:tcBorders>
          </w:tcPr>
          <w:p w14:paraId="7000C313" w14:textId="77777777" w:rsidR="00381C4E" w:rsidRPr="001B4A02" w:rsidRDefault="00381C4E" w:rsidP="00A5191B">
            <w:pPr>
              <w:keepNext/>
              <w:ind w:left="0" w:firstLine="0"/>
              <w:jc w:val="center"/>
              <w:rPr>
                <w:sz w:val="20"/>
              </w:rPr>
            </w:pPr>
          </w:p>
        </w:tc>
      </w:tr>
      <w:tr w:rsidR="00534A2D" w14:paraId="2AA2890F" w14:textId="77777777" w:rsidTr="00A5191B">
        <w:trPr>
          <w:cantSplit/>
        </w:trPr>
        <w:tc>
          <w:tcPr>
            <w:tcW w:w="1069" w:type="dxa"/>
            <w:tcBorders>
              <w:top w:val="single" w:sz="4" w:space="0" w:color="auto"/>
              <w:left w:val="single" w:sz="4" w:space="0" w:color="auto"/>
              <w:bottom w:val="single" w:sz="4" w:space="0" w:color="auto"/>
              <w:right w:val="single" w:sz="4" w:space="0" w:color="auto"/>
            </w:tcBorders>
          </w:tcPr>
          <w:p w14:paraId="45E3E136" w14:textId="77777777" w:rsidR="00381C4E" w:rsidRPr="001B4A02" w:rsidRDefault="00000000" w:rsidP="00A5191B">
            <w:pPr>
              <w:keepNext/>
              <w:ind w:left="0" w:firstLine="0"/>
              <w:rPr>
                <w:sz w:val="20"/>
              </w:rPr>
            </w:pPr>
            <w:r w:rsidRPr="001B4A02">
              <w:rPr>
                <w:sz w:val="20"/>
              </w:rPr>
              <w:t xml:space="preserve">  6 měsíců</w:t>
            </w:r>
          </w:p>
        </w:tc>
        <w:tc>
          <w:tcPr>
            <w:tcW w:w="1467" w:type="dxa"/>
            <w:tcBorders>
              <w:top w:val="single" w:sz="4" w:space="0" w:color="auto"/>
              <w:left w:val="single" w:sz="4" w:space="0" w:color="auto"/>
              <w:bottom w:val="single" w:sz="4" w:space="0" w:color="auto"/>
              <w:right w:val="single" w:sz="4" w:space="0" w:color="auto"/>
            </w:tcBorders>
          </w:tcPr>
          <w:p w14:paraId="5243C190" w14:textId="77777777" w:rsidR="00381C4E" w:rsidRPr="001B4A02" w:rsidRDefault="00000000" w:rsidP="00A5191B">
            <w:pPr>
              <w:keepNext/>
              <w:ind w:left="0" w:firstLine="0"/>
              <w:jc w:val="center"/>
              <w:rPr>
                <w:sz w:val="20"/>
              </w:rPr>
            </w:pPr>
            <w:r w:rsidRPr="001B4A02">
              <w:rPr>
                <w:sz w:val="20"/>
              </w:rPr>
              <w:t>6,7 %</w:t>
            </w:r>
          </w:p>
        </w:tc>
        <w:tc>
          <w:tcPr>
            <w:tcW w:w="1559" w:type="dxa"/>
            <w:tcBorders>
              <w:top w:val="single" w:sz="4" w:space="0" w:color="auto"/>
              <w:left w:val="single" w:sz="4" w:space="0" w:color="auto"/>
              <w:bottom w:val="single" w:sz="4" w:space="0" w:color="auto"/>
              <w:right w:val="single" w:sz="4" w:space="0" w:color="auto"/>
            </w:tcBorders>
          </w:tcPr>
          <w:p w14:paraId="0C658F33" w14:textId="77777777" w:rsidR="00381C4E" w:rsidRPr="001B4A02" w:rsidRDefault="00000000" w:rsidP="00A5191B">
            <w:pPr>
              <w:keepNext/>
              <w:ind w:left="0" w:firstLine="0"/>
              <w:jc w:val="center"/>
              <w:rPr>
                <w:sz w:val="20"/>
              </w:rPr>
            </w:pPr>
            <w:r w:rsidRPr="001B4A02">
              <w:rPr>
                <w:sz w:val="20"/>
              </w:rPr>
              <w:t>52,4 %</w:t>
            </w:r>
          </w:p>
        </w:tc>
        <w:tc>
          <w:tcPr>
            <w:tcW w:w="1134" w:type="dxa"/>
            <w:tcBorders>
              <w:top w:val="single" w:sz="4" w:space="0" w:color="auto"/>
              <w:left w:val="single" w:sz="4" w:space="0" w:color="auto"/>
              <w:bottom w:val="single" w:sz="4" w:space="0" w:color="auto"/>
              <w:right w:val="single" w:sz="4" w:space="0" w:color="auto"/>
            </w:tcBorders>
          </w:tcPr>
          <w:p w14:paraId="2F3361DC" w14:textId="77777777" w:rsidR="00381C4E" w:rsidRPr="001B4A02" w:rsidRDefault="00000000" w:rsidP="00A5191B">
            <w:pPr>
              <w:keepNext/>
              <w:ind w:left="0" w:firstLine="0"/>
              <w:jc w:val="center"/>
              <w:rPr>
                <w:sz w:val="20"/>
              </w:rPr>
            </w:pPr>
            <w:r w:rsidRPr="001B4A02">
              <w:rPr>
                <w:sz w:val="20"/>
              </w:rPr>
              <w:t>8,2 %</w:t>
            </w:r>
          </w:p>
        </w:tc>
        <w:tc>
          <w:tcPr>
            <w:tcW w:w="1202" w:type="dxa"/>
            <w:tcBorders>
              <w:top w:val="single" w:sz="4" w:space="0" w:color="auto"/>
              <w:left w:val="single" w:sz="4" w:space="0" w:color="auto"/>
              <w:bottom w:val="single" w:sz="4" w:space="0" w:color="auto"/>
              <w:right w:val="single" w:sz="4" w:space="0" w:color="auto"/>
            </w:tcBorders>
          </w:tcPr>
          <w:p w14:paraId="613DEF97" w14:textId="77777777" w:rsidR="00381C4E" w:rsidRPr="001B4A02" w:rsidRDefault="00000000" w:rsidP="00A5191B">
            <w:pPr>
              <w:keepNext/>
              <w:ind w:left="0" w:firstLine="0"/>
              <w:jc w:val="center"/>
              <w:rPr>
                <w:sz w:val="20"/>
              </w:rPr>
            </w:pPr>
            <w:r w:rsidRPr="001B4A02">
              <w:rPr>
                <w:sz w:val="20"/>
              </w:rPr>
              <w:t>22,1 %</w:t>
            </w:r>
          </w:p>
        </w:tc>
        <w:tc>
          <w:tcPr>
            <w:tcW w:w="1276" w:type="dxa"/>
            <w:tcBorders>
              <w:top w:val="single" w:sz="4" w:space="0" w:color="auto"/>
              <w:left w:val="single" w:sz="4" w:space="0" w:color="auto"/>
              <w:bottom w:val="single" w:sz="4" w:space="0" w:color="auto"/>
              <w:right w:val="single" w:sz="4" w:space="0" w:color="auto"/>
            </w:tcBorders>
          </w:tcPr>
          <w:p w14:paraId="201D5650" w14:textId="77777777" w:rsidR="00381C4E" w:rsidRPr="001B4A02" w:rsidRDefault="00000000" w:rsidP="00A5191B">
            <w:pPr>
              <w:keepNext/>
              <w:ind w:left="0" w:firstLine="0"/>
              <w:jc w:val="center"/>
              <w:rPr>
                <w:sz w:val="20"/>
              </w:rPr>
            </w:pPr>
            <w:r w:rsidRPr="001B4A02">
              <w:rPr>
                <w:sz w:val="20"/>
              </w:rPr>
              <w:t>9,5 %</w:t>
            </w:r>
          </w:p>
        </w:tc>
        <w:tc>
          <w:tcPr>
            <w:tcW w:w="1417" w:type="dxa"/>
            <w:tcBorders>
              <w:top w:val="single" w:sz="4" w:space="0" w:color="auto"/>
              <w:left w:val="single" w:sz="4" w:space="0" w:color="auto"/>
              <w:bottom w:val="single" w:sz="4" w:space="0" w:color="auto"/>
              <w:right w:val="single" w:sz="4" w:space="0" w:color="auto"/>
            </w:tcBorders>
          </w:tcPr>
          <w:p w14:paraId="20850877" w14:textId="77777777" w:rsidR="00381C4E" w:rsidRPr="001B4A02" w:rsidRDefault="00000000" w:rsidP="00A5191B">
            <w:pPr>
              <w:keepNext/>
              <w:ind w:left="0" w:firstLine="0"/>
              <w:jc w:val="center"/>
              <w:rPr>
                <w:sz w:val="20"/>
              </w:rPr>
            </w:pPr>
            <w:r w:rsidRPr="001B4A02">
              <w:rPr>
                <w:sz w:val="20"/>
              </w:rPr>
              <w:t>39,1 %</w:t>
            </w:r>
          </w:p>
        </w:tc>
      </w:tr>
      <w:tr w:rsidR="00534A2D" w14:paraId="55291A8D" w14:textId="77777777" w:rsidTr="00A5191B">
        <w:trPr>
          <w:cantSplit/>
        </w:trPr>
        <w:tc>
          <w:tcPr>
            <w:tcW w:w="1069" w:type="dxa"/>
            <w:tcBorders>
              <w:top w:val="single" w:sz="4" w:space="0" w:color="auto"/>
              <w:left w:val="single" w:sz="4" w:space="0" w:color="auto"/>
              <w:bottom w:val="single" w:sz="4" w:space="0" w:color="auto"/>
              <w:right w:val="single" w:sz="4" w:space="0" w:color="auto"/>
            </w:tcBorders>
          </w:tcPr>
          <w:p w14:paraId="3870D765" w14:textId="77777777" w:rsidR="00381C4E" w:rsidRPr="001B4A02" w:rsidRDefault="00000000" w:rsidP="00A5191B">
            <w:pPr>
              <w:keepNext/>
              <w:ind w:left="0" w:firstLine="0"/>
              <w:rPr>
                <w:sz w:val="20"/>
              </w:rPr>
            </w:pPr>
            <w:r w:rsidRPr="001B4A02">
              <w:rPr>
                <w:sz w:val="20"/>
              </w:rPr>
              <w:t xml:space="preserve">  12 měsíců</w:t>
            </w:r>
          </w:p>
        </w:tc>
        <w:tc>
          <w:tcPr>
            <w:tcW w:w="1467" w:type="dxa"/>
            <w:tcBorders>
              <w:top w:val="single" w:sz="4" w:space="0" w:color="auto"/>
              <w:left w:val="single" w:sz="4" w:space="0" w:color="auto"/>
              <w:bottom w:val="single" w:sz="4" w:space="0" w:color="auto"/>
              <w:right w:val="single" w:sz="4" w:space="0" w:color="auto"/>
            </w:tcBorders>
          </w:tcPr>
          <w:p w14:paraId="5C041A74" w14:textId="77777777" w:rsidR="00381C4E" w:rsidRPr="001B4A02" w:rsidRDefault="00000000" w:rsidP="00A5191B">
            <w:pPr>
              <w:keepNext/>
              <w:ind w:left="0" w:firstLine="0"/>
              <w:jc w:val="center"/>
              <w:rPr>
                <w:sz w:val="20"/>
              </w:rPr>
            </w:pPr>
            <w:r w:rsidRPr="001B4A02">
              <w:rPr>
                <w:sz w:val="20"/>
              </w:rPr>
              <w:t>NA</w:t>
            </w:r>
          </w:p>
        </w:tc>
        <w:tc>
          <w:tcPr>
            <w:tcW w:w="1559" w:type="dxa"/>
            <w:tcBorders>
              <w:top w:val="single" w:sz="4" w:space="0" w:color="auto"/>
              <w:left w:val="single" w:sz="4" w:space="0" w:color="auto"/>
              <w:bottom w:val="single" w:sz="4" w:space="0" w:color="auto"/>
              <w:right w:val="single" w:sz="4" w:space="0" w:color="auto"/>
            </w:tcBorders>
          </w:tcPr>
          <w:p w14:paraId="2477A909" w14:textId="77777777" w:rsidR="00381C4E" w:rsidRPr="001B4A02" w:rsidRDefault="00000000" w:rsidP="00A5191B">
            <w:pPr>
              <w:keepNext/>
              <w:ind w:left="0" w:firstLine="0"/>
              <w:jc w:val="center"/>
              <w:rPr>
                <w:sz w:val="20"/>
              </w:rPr>
            </w:pPr>
            <w:r w:rsidRPr="001B4A02">
              <w:rPr>
                <w:sz w:val="20"/>
              </w:rPr>
              <w:t>NA</w:t>
            </w:r>
          </w:p>
        </w:tc>
        <w:tc>
          <w:tcPr>
            <w:tcW w:w="1134" w:type="dxa"/>
            <w:tcBorders>
              <w:top w:val="single" w:sz="4" w:space="0" w:color="auto"/>
              <w:left w:val="single" w:sz="4" w:space="0" w:color="auto"/>
              <w:bottom w:val="single" w:sz="4" w:space="0" w:color="auto"/>
              <w:right w:val="single" w:sz="4" w:space="0" w:color="auto"/>
            </w:tcBorders>
          </w:tcPr>
          <w:p w14:paraId="1D9C9065" w14:textId="77777777" w:rsidR="00381C4E" w:rsidRPr="001B4A02" w:rsidRDefault="00000000" w:rsidP="00A5191B">
            <w:pPr>
              <w:keepNext/>
              <w:ind w:left="0" w:firstLine="0"/>
              <w:jc w:val="center"/>
              <w:rPr>
                <w:sz w:val="20"/>
              </w:rPr>
            </w:pPr>
            <w:r w:rsidRPr="001B4A02">
              <w:rPr>
                <w:sz w:val="20"/>
              </w:rPr>
              <w:t>NA</w:t>
            </w:r>
          </w:p>
        </w:tc>
        <w:tc>
          <w:tcPr>
            <w:tcW w:w="1202" w:type="dxa"/>
            <w:tcBorders>
              <w:top w:val="single" w:sz="4" w:space="0" w:color="auto"/>
              <w:left w:val="single" w:sz="4" w:space="0" w:color="auto"/>
              <w:bottom w:val="single" w:sz="4" w:space="0" w:color="auto"/>
              <w:right w:val="single" w:sz="4" w:space="0" w:color="auto"/>
            </w:tcBorders>
          </w:tcPr>
          <w:p w14:paraId="1A5C292B" w14:textId="77777777" w:rsidR="00381C4E" w:rsidRPr="001B4A02" w:rsidRDefault="00000000" w:rsidP="00A5191B">
            <w:pPr>
              <w:keepNext/>
              <w:ind w:left="0" w:firstLine="0"/>
              <w:jc w:val="center"/>
              <w:rPr>
                <w:sz w:val="20"/>
              </w:rPr>
            </w:pPr>
            <w:r w:rsidRPr="001B4A02">
              <w:rPr>
                <w:sz w:val="20"/>
              </w:rPr>
              <w:t>NA</w:t>
            </w:r>
          </w:p>
        </w:tc>
        <w:tc>
          <w:tcPr>
            <w:tcW w:w="1276" w:type="dxa"/>
            <w:tcBorders>
              <w:top w:val="single" w:sz="4" w:space="0" w:color="auto"/>
              <w:left w:val="single" w:sz="4" w:space="0" w:color="auto"/>
              <w:bottom w:val="single" w:sz="4" w:space="0" w:color="auto"/>
              <w:right w:val="single" w:sz="4" w:space="0" w:color="auto"/>
            </w:tcBorders>
          </w:tcPr>
          <w:p w14:paraId="5CA40C1E" w14:textId="77777777" w:rsidR="00381C4E" w:rsidRPr="001B4A02" w:rsidRDefault="00000000" w:rsidP="00A5191B">
            <w:pPr>
              <w:keepNext/>
              <w:ind w:left="0" w:firstLine="0"/>
              <w:jc w:val="center"/>
              <w:rPr>
                <w:sz w:val="20"/>
              </w:rPr>
            </w:pPr>
            <w:r w:rsidRPr="001B4A02">
              <w:rPr>
                <w:sz w:val="20"/>
              </w:rPr>
              <w:t>9,5 %</w:t>
            </w:r>
          </w:p>
        </w:tc>
        <w:tc>
          <w:tcPr>
            <w:tcW w:w="1417" w:type="dxa"/>
            <w:tcBorders>
              <w:top w:val="single" w:sz="4" w:space="0" w:color="auto"/>
              <w:left w:val="single" w:sz="4" w:space="0" w:color="auto"/>
              <w:bottom w:val="single" w:sz="4" w:space="0" w:color="auto"/>
              <w:right w:val="single" w:sz="4" w:space="0" w:color="auto"/>
            </w:tcBorders>
          </w:tcPr>
          <w:p w14:paraId="1C71CF44" w14:textId="77777777" w:rsidR="00381C4E" w:rsidRPr="001B4A02" w:rsidRDefault="00000000" w:rsidP="00A5191B">
            <w:pPr>
              <w:keepNext/>
              <w:ind w:left="0" w:firstLine="0"/>
              <w:jc w:val="center"/>
              <w:rPr>
                <w:sz w:val="20"/>
              </w:rPr>
            </w:pPr>
            <w:r w:rsidRPr="001B4A02">
              <w:rPr>
                <w:sz w:val="20"/>
              </w:rPr>
              <w:t>41,5 %</w:t>
            </w:r>
          </w:p>
        </w:tc>
      </w:tr>
      <w:tr w:rsidR="00534A2D" w14:paraId="11C38D42" w14:textId="77777777" w:rsidTr="00A5191B">
        <w:trPr>
          <w:cantSplit/>
        </w:trPr>
        <w:tc>
          <w:tcPr>
            <w:tcW w:w="1069" w:type="dxa"/>
            <w:tcBorders>
              <w:top w:val="single" w:sz="4" w:space="0" w:color="auto"/>
              <w:left w:val="single" w:sz="4" w:space="0" w:color="auto"/>
              <w:bottom w:val="single" w:sz="4" w:space="0" w:color="auto"/>
              <w:right w:val="single" w:sz="4" w:space="0" w:color="auto"/>
            </w:tcBorders>
          </w:tcPr>
          <w:p w14:paraId="24EC6B91" w14:textId="77777777" w:rsidR="00381C4E" w:rsidRPr="001B4A02" w:rsidRDefault="00000000" w:rsidP="00A5191B">
            <w:pPr>
              <w:keepNext/>
              <w:ind w:left="0" w:firstLine="0"/>
              <w:rPr>
                <w:sz w:val="20"/>
              </w:rPr>
            </w:pPr>
            <w:r w:rsidRPr="001B4A02">
              <w:rPr>
                <w:noProof/>
                <w:sz w:val="20"/>
                <w:lang w:val="en-US"/>
              </w:rPr>
              <mc:AlternateContent>
                <mc:Choice Requires="wps">
                  <w:drawing>
                    <wp:anchor distT="0" distB="0" distL="114300" distR="114300" simplePos="0" relativeHeight="251664384" behindDoc="0" locked="0" layoutInCell="0" allowOverlap="1" wp14:anchorId="5B6F373B" wp14:editId="54A6C5BF">
                      <wp:simplePos x="0" y="0"/>
                      <wp:positionH relativeFrom="column">
                        <wp:posOffset>-4972050</wp:posOffset>
                      </wp:positionH>
                      <wp:positionV relativeFrom="paragraph">
                        <wp:posOffset>38735</wp:posOffset>
                      </wp:positionV>
                      <wp:extent cx="3543300" cy="342900"/>
                      <wp:effectExtent l="0" t="0" r="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2A93D" w14:textId="77777777" w:rsidR="008F1B0E" w:rsidRDefault="008F1B0E" w:rsidP="00381C4E">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B6F373B" id="Text Box 16" o:spid="_x0000_s1027" type="#_x0000_t202" style="position:absolute;margin-left:-391.5pt;margin-top:3.05pt;width:279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" o:allowincell="f" stroked="f">
                      <v:textbox>
                        <w:txbxContent>
                          <w:p w14:paraId="3D12A93D" w14:textId="77777777" w:rsidR="008F1B0E" w:rsidRDefault="008F1B0E" w:rsidP="00381C4E">
                            <w:pPr>
                              <w:rPr>
                                <w:sz w:val="20"/>
                              </w:rPr>
                            </w:pPr>
                          </w:p>
                        </w:txbxContent>
                      </v:textbox>
                    </v:shape>
                  </w:pict>
                </mc:Fallback>
              </mc:AlternateContent>
            </w:r>
            <w:r w:rsidR="00381C4E" w:rsidRPr="001B4A02">
              <w:rPr>
                <w:sz w:val="20"/>
              </w:rPr>
              <w:t>ACR 70</w:t>
            </w:r>
          </w:p>
        </w:tc>
        <w:tc>
          <w:tcPr>
            <w:tcW w:w="1467" w:type="dxa"/>
            <w:tcBorders>
              <w:top w:val="single" w:sz="4" w:space="0" w:color="auto"/>
              <w:left w:val="single" w:sz="4" w:space="0" w:color="auto"/>
              <w:bottom w:val="single" w:sz="4" w:space="0" w:color="auto"/>
              <w:right w:val="single" w:sz="4" w:space="0" w:color="auto"/>
            </w:tcBorders>
          </w:tcPr>
          <w:p w14:paraId="1CE75313" w14:textId="77777777" w:rsidR="00381C4E" w:rsidRPr="001B4A02" w:rsidRDefault="00381C4E" w:rsidP="00A5191B">
            <w:pPr>
              <w:keepNext/>
              <w:ind w:left="0" w:firstLine="0"/>
              <w:jc w:val="center"/>
              <w:rPr>
                <w:sz w:val="20"/>
              </w:rPr>
            </w:pPr>
          </w:p>
        </w:tc>
        <w:tc>
          <w:tcPr>
            <w:tcW w:w="1559" w:type="dxa"/>
            <w:tcBorders>
              <w:top w:val="single" w:sz="4" w:space="0" w:color="auto"/>
              <w:left w:val="single" w:sz="4" w:space="0" w:color="auto"/>
              <w:bottom w:val="single" w:sz="4" w:space="0" w:color="auto"/>
              <w:right w:val="single" w:sz="4" w:space="0" w:color="auto"/>
            </w:tcBorders>
          </w:tcPr>
          <w:p w14:paraId="716AB89F" w14:textId="77777777" w:rsidR="00381C4E" w:rsidRPr="001B4A02" w:rsidRDefault="00381C4E" w:rsidP="00A5191B">
            <w:pPr>
              <w:keepNext/>
              <w:ind w:left="0" w:firstLine="0"/>
              <w:jc w:val="center"/>
              <w:rPr>
                <w:sz w:val="20"/>
              </w:rPr>
            </w:pPr>
          </w:p>
        </w:tc>
        <w:tc>
          <w:tcPr>
            <w:tcW w:w="1134" w:type="dxa"/>
            <w:tcBorders>
              <w:top w:val="single" w:sz="4" w:space="0" w:color="auto"/>
              <w:left w:val="single" w:sz="4" w:space="0" w:color="auto"/>
              <w:bottom w:val="single" w:sz="4" w:space="0" w:color="auto"/>
              <w:right w:val="single" w:sz="4" w:space="0" w:color="auto"/>
            </w:tcBorders>
          </w:tcPr>
          <w:p w14:paraId="263998DC" w14:textId="77777777" w:rsidR="00381C4E" w:rsidRPr="001B4A02" w:rsidRDefault="00381C4E" w:rsidP="00A5191B">
            <w:pPr>
              <w:keepNext/>
              <w:ind w:left="0" w:firstLine="0"/>
              <w:jc w:val="center"/>
              <w:rPr>
                <w:sz w:val="20"/>
              </w:rPr>
            </w:pPr>
          </w:p>
        </w:tc>
        <w:tc>
          <w:tcPr>
            <w:tcW w:w="1202" w:type="dxa"/>
            <w:tcBorders>
              <w:top w:val="single" w:sz="4" w:space="0" w:color="auto"/>
              <w:left w:val="single" w:sz="4" w:space="0" w:color="auto"/>
              <w:bottom w:val="single" w:sz="4" w:space="0" w:color="auto"/>
              <w:right w:val="single" w:sz="4" w:space="0" w:color="auto"/>
            </w:tcBorders>
          </w:tcPr>
          <w:p w14:paraId="0AA9F562" w14:textId="77777777" w:rsidR="00381C4E" w:rsidRPr="001B4A02" w:rsidRDefault="00381C4E" w:rsidP="00A5191B">
            <w:pPr>
              <w:keepNext/>
              <w:ind w:left="0" w:firstLine="0"/>
              <w:jc w:val="center"/>
              <w:rPr>
                <w:sz w:val="20"/>
              </w:rPr>
            </w:pPr>
          </w:p>
        </w:tc>
        <w:tc>
          <w:tcPr>
            <w:tcW w:w="1276" w:type="dxa"/>
            <w:tcBorders>
              <w:top w:val="single" w:sz="4" w:space="0" w:color="auto"/>
              <w:left w:val="single" w:sz="4" w:space="0" w:color="auto"/>
              <w:bottom w:val="single" w:sz="4" w:space="0" w:color="auto"/>
              <w:right w:val="single" w:sz="4" w:space="0" w:color="auto"/>
            </w:tcBorders>
          </w:tcPr>
          <w:p w14:paraId="353772B0" w14:textId="77777777" w:rsidR="00381C4E" w:rsidRPr="001B4A02" w:rsidRDefault="00381C4E" w:rsidP="00A5191B">
            <w:pPr>
              <w:keepNext/>
              <w:ind w:left="0" w:firstLine="0"/>
              <w:jc w:val="center"/>
              <w:rPr>
                <w:sz w:val="20"/>
              </w:rPr>
            </w:pPr>
          </w:p>
        </w:tc>
        <w:tc>
          <w:tcPr>
            <w:tcW w:w="1417" w:type="dxa"/>
            <w:tcBorders>
              <w:top w:val="single" w:sz="4" w:space="0" w:color="auto"/>
              <w:left w:val="single" w:sz="4" w:space="0" w:color="auto"/>
              <w:bottom w:val="single" w:sz="4" w:space="0" w:color="auto"/>
              <w:right w:val="single" w:sz="4" w:space="0" w:color="auto"/>
            </w:tcBorders>
          </w:tcPr>
          <w:p w14:paraId="2B37ABB8" w14:textId="77777777" w:rsidR="00381C4E" w:rsidRPr="001B4A02" w:rsidRDefault="00381C4E" w:rsidP="00A5191B">
            <w:pPr>
              <w:keepNext/>
              <w:ind w:left="0" w:firstLine="0"/>
              <w:jc w:val="center"/>
              <w:rPr>
                <w:sz w:val="20"/>
              </w:rPr>
            </w:pPr>
          </w:p>
        </w:tc>
      </w:tr>
      <w:tr w:rsidR="00534A2D" w14:paraId="58571F3C" w14:textId="77777777" w:rsidTr="00A5191B">
        <w:trPr>
          <w:cantSplit/>
        </w:trPr>
        <w:tc>
          <w:tcPr>
            <w:tcW w:w="1069" w:type="dxa"/>
            <w:tcBorders>
              <w:top w:val="single" w:sz="4" w:space="0" w:color="auto"/>
              <w:left w:val="single" w:sz="4" w:space="0" w:color="auto"/>
              <w:bottom w:val="single" w:sz="4" w:space="0" w:color="auto"/>
              <w:right w:val="single" w:sz="4" w:space="0" w:color="auto"/>
            </w:tcBorders>
          </w:tcPr>
          <w:p w14:paraId="160EE788" w14:textId="77777777" w:rsidR="00381C4E" w:rsidRPr="001B4A02" w:rsidRDefault="00000000" w:rsidP="00A5191B">
            <w:pPr>
              <w:keepNext/>
              <w:ind w:left="0" w:firstLine="0"/>
              <w:rPr>
                <w:sz w:val="20"/>
              </w:rPr>
            </w:pPr>
            <w:r w:rsidRPr="001B4A02">
              <w:rPr>
                <w:sz w:val="20"/>
              </w:rPr>
              <w:t xml:space="preserve">  6 měsíců</w:t>
            </w:r>
          </w:p>
        </w:tc>
        <w:tc>
          <w:tcPr>
            <w:tcW w:w="1467" w:type="dxa"/>
            <w:tcBorders>
              <w:top w:val="single" w:sz="4" w:space="0" w:color="auto"/>
              <w:left w:val="single" w:sz="4" w:space="0" w:color="auto"/>
              <w:bottom w:val="single" w:sz="4" w:space="0" w:color="auto"/>
              <w:right w:val="single" w:sz="4" w:space="0" w:color="auto"/>
            </w:tcBorders>
          </w:tcPr>
          <w:p w14:paraId="54D51BFB" w14:textId="77777777" w:rsidR="00381C4E" w:rsidRPr="001B4A02" w:rsidRDefault="00000000" w:rsidP="00A5191B">
            <w:pPr>
              <w:keepNext/>
              <w:ind w:left="0" w:firstLine="0"/>
              <w:jc w:val="center"/>
              <w:rPr>
                <w:sz w:val="20"/>
              </w:rPr>
            </w:pPr>
            <w:r w:rsidRPr="001B4A02">
              <w:rPr>
                <w:sz w:val="20"/>
              </w:rPr>
              <w:t>3,3 %</w:t>
            </w:r>
          </w:p>
        </w:tc>
        <w:tc>
          <w:tcPr>
            <w:tcW w:w="1559" w:type="dxa"/>
            <w:tcBorders>
              <w:top w:val="single" w:sz="4" w:space="0" w:color="auto"/>
              <w:left w:val="single" w:sz="4" w:space="0" w:color="auto"/>
              <w:bottom w:val="single" w:sz="4" w:space="0" w:color="auto"/>
              <w:right w:val="single" w:sz="4" w:space="0" w:color="auto"/>
            </w:tcBorders>
          </w:tcPr>
          <w:p w14:paraId="0E9F4248" w14:textId="77777777" w:rsidR="00381C4E" w:rsidRPr="001B4A02" w:rsidRDefault="00000000" w:rsidP="00A5191B">
            <w:pPr>
              <w:keepNext/>
              <w:ind w:left="0" w:firstLine="0"/>
              <w:jc w:val="center"/>
              <w:rPr>
                <w:sz w:val="20"/>
              </w:rPr>
            </w:pPr>
            <w:r w:rsidRPr="001B4A02">
              <w:rPr>
                <w:sz w:val="20"/>
              </w:rPr>
              <w:t>23,8 %</w:t>
            </w:r>
          </w:p>
        </w:tc>
        <w:tc>
          <w:tcPr>
            <w:tcW w:w="1134" w:type="dxa"/>
            <w:tcBorders>
              <w:top w:val="single" w:sz="4" w:space="0" w:color="auto"/>
              <w:left w:val="single" w:sz="4" w:space="0" w:color="auto"/>
              <w:bottom w:val="single" w:sz="4" w:space="0" w:color="auto"/>
              <w:right w:val="single" w:sz="4" w:space="0" w:color="auto"/>
            </w:tcBorders>
          </w:tcPr>
          <w:p w14:paraId="0EBE6C52" w14:textId="77777777" w:rsidR="00381C4E" w:rsidRPr="001B4A02" w:rsidRDefault="00000000" w:rsidP="00A5191B">
            <w:pPr>
              <w:keepNext/>
              <w:ind w:left="0" w:firstLine="0"/>
              <w:jc w:val="center"/>
              <w:rPr>
                <w:sz w:val="20"/>
              </w:rPr>
            </w:pPr>
            <w:r w:rsidRPr="001B4A02">
              <w:rPr>
                <w:sz w:val="20"/>
              </w:rPr>
              <w:t>1,8 %</w:t>
            </w:r>
          </w:p>
        </w:tc>
        <w:tc>
          <w:tcPr>
            <w:tcW w:w="1202" w:type="dxa"/>
            <w:tcBorders>
              <w:top w:val="single" w:sz="4" w:space="0" w:color="auto"/>
              <w:left w:val="single" w:sz="4" w:space="0" w:color="auto"/>
              <w:bottom w:val="single" w:sz="4" w:space="0" w:color="auto"/>
              <w:right w:val="single" w:sz="4" w:space="0" w:color="auto"/>
            </w:tcBorders>
          </w:tcPr>
          <w:p w14:paraId="3A4E470D" w14:textId="77777777" w:rsidR="00381C4E" w:rsidRPr="001B4A02" w:rsidRDefault="00000000" w:rsidP="00A5191B">
            <w:pPr>
              <w:keepNext/>
              <w:ind w:left="0" w:firstLine="0"/>
              <w:jc w:val="center"/>
              <w:rPr>
                <w:sz w:val="20"/>
              </w:rPr>
            </w:pPr>
            <w:r w:rsidRPr="001B4A02">
              <w:rPr>
                <w:sz w:val="20"/>
              </w:rPr>
              <w:t>12,4 %</w:t>
            </w:r>
          </w:p>
        </w:tc>
        <w:tc>
          <w:tcPr>
            <w:tcW w:w="1276" w:type="dxa"/>
            <w:tcBorders>
              <w:top w:val="single" w:sz="4" w:space="0" w:color="auto"/>
              <w:left w:val="single" w:sz="4" w:space="0" w:color="auto"/>
              <w:bottom w:val="single" w:sz="4" w:space="0" w:color="auto"/>
              <w:right w:val="single" w:sz="4" w:space="0" w:color="auto"/>
            </w:tcBorders>
          </w:tcPr>
          <w:p w14:paraId="68089F94" w14:textId="77777777" w:rsidR="00381C4E" w:rsidRPr="001B4A02" w:rsidRDefault="00000000" w:rsidP="00A5191B">
            <w:pPr>
              <w:keepNext/>
              <w:ind w:left="0" w:firstLine="0"/>
              <w:jc w:val="center"/>
              <w:rPr>
                <w:sz w:val="20"/>
              </w:rPr>
            </w:pPr>
            <w:r w:rsidRPr="001B4A02">
              <w:rPr>
                <w:sz w:val="20"/>
              </w:rPr>
              <w:t>2,5 %</w:t>
            </w:r>
          </w:p>
        </w:tc>
        <w:tc>
          <w:tcPr>
            <w:tcW w:w="1417" w:type="dxa"/>
            <w:tcBorders>
              <w:top w:val="single" w:sz="4" w:space="0" w:color="auto"/>
              <w:left w:val="single" w:sz="4" w:space="0" w:color="auto"/>
              <w:bottom w:val="single" w:sz="4" w:space="0" w:color="auto"/>
              <w:right w:val="single" w:sz="4" w:space="0" w:color="auto"/>
            </w:tcBorders>
          </w:tcPr>
          <w:p w14:paraId="2DDED326" w14:textId="77777777" w:rsidR="00381C4E" w:rsidRPr="001B4A02" w:rsidRDefault="00000000" w:rsidP="00A5191B">
            <w:pPr>
              <w:keepNext/>
              <w:ind w:left="0" w:firstLine="0"/>
              <w:jc w:val="center"/>
              <w:rPr>
                <w:sz w:val="20"/>
              </w:rPr>
            </w:pPr>
            <w:r w:rsidRPr="001B4A02">
              <w:rPr>
                <w:sz w:val="20"/>
              </w:rPr>
              <w:t>20,8 %</w:t>
            </w:r>
          </w:p>
        </w:tc>
      </w:tr>
      <w:tr w:rsidR="00534A2D" w14:paraId="7FFD58A1" w14:textId="77777777" w:rsidTr="00A5191B">
        <w:trPr>
          <w:cantSplit/>
        </w:trPr>
        <w:tc>
          <w:tcPr>
            <w:tcW w:w="1069" w:type="dxa"/>
            <w:tcBorders>
              <w:top w:val="single" w:sz="4" w:space="0" w:color="auto"/>
              <w:left w:val="single" w:sz="4" w:space="0" w:color="auto"/>
              <w:bottom w:val="single" w:sz="4" w:space="0" w:color="auto"/>
              <w:right w:val="single" w:sz="4" w:space="0" w:color="auto"/>
            </w:tcBorders>
          </w:tcPr>
          <w:p w14:paraId="2156371C" w14:textId="77777777" w:rsidR="00381C4E" w:rsidRPr="001B4A02" w:rsidRDefault="00000000" w:rsidP="00A5191B">
            <w:pPr>
              <w:keepNext/>
              <w:ind w:left="0" w:firstLine="0"/>
              <w:rPr>
                <w:sz w:val="20"/>
              </w:rPr>
            </w:pPr>
            <w:r w:rsidRPr="001B4A02">
              <w:rPr>
                <w:sz w:val="20"/>
              </w:rPr>
              <w:t xml:space="preserve">  12 měsíců</w:t>
            </w:r>
          </w:p>
        </w:tc>
        <w:tc>
          <w:tcPr>
            <w:tcW w:w="1467" w:type="dxa"/>
            <w:tcBorders>
              <w:top w:val="single" w:sz="4" w:space="0" w:color="auto"/>
              <w:left w:val="single" w:sz="4" w:space="0" w:color="auto"/>
              <w:bottom w:val="single" w:sz="4" w:space="0" w:color="auto"/>
              <w:right w:val="single" w:sz="4" w:space="0" w:color="auto"/>
            </w:tcBorders>
          </w:tcPr>
          <w:p w14:paraId="038CFFBF" w14:textId="77777777" w:rsidR="00381C4E" w:rsidRPr="001B4A02" w:rsidRDefault="00000000" w:rsidP="00A5191B">
            <w:pPr>
              <w:keepNext/>
              <w:ind w:left="0" w:firstLine="0"/>
              <w:jc w:val="center"/>
              <w:rPr>
                <w:sz w:val="20"/>
              </w:rPr>
            </w:pPr>
            <w:r w:rsidRPr="001B4A02">
              <w:rPr>
                <w:sz w:val="20"/>
              </w:rPr>
              <w:t>NA</w:t>
            </w:r>
          </w:p>
        </w:tc>
        <w:tc>
          <w:tcPr>
            <w:tcW w:w="1559" w:type="dxa"/>
            <w:tcBorders>
              <w:top w:val="single" w:sz="4" w:space="0" w:color="auto"/>
              <w:left w:val="single" w:sz="4" w:space="0" w:color="auto"/>
              <w:bottom w:val="single" w:sz="4" w:space="0" w:color="auto"/>
              <w:right w:val="single" w:sz="4" w:space="0" w:color="auto"/>
            </w:tcBorders>
          </w:tcPr>
          <w:p w14:paraId="533BFC4E" w14:textId="77777777" w:rsidR="00381C4E" w:rsidRPr="001B4A02" w:rsidRDefault="00000000" w:rsidP="00A5191B">
            <w:pPr>
              <w:keepNext/>
              <w:ind w:left="0" w:firstLine="0"/>
              <w:jc w:val="center"/>
              <w:rPr>
                <w:sz w:val="20"/>
              </w:rPr>
            </w:pPr>
            <w:r w:rsidRPr="001B4A02">
              <w:rPr>
                <w:sz w:val="20"/>
              </w:rPr>
              <w:t>NA</w:t>
            </w:r>
          </w:p>
        </w:tc>
        <w:tc>
          <w:tcPr>
            <w:tcW w:w="1134" w:type="dxa"/>
            <w:tcBorders>
              <w:top w:val="single" w:sz="4" w:space="0" w:color="auto"/>
              <w:left w:val="single" w:sz="4" w:space="0" w:color="auto"/>
              <w:bottom w:val="single" w:sz="4" w:space="0" w:color="auto"/>
              <w:right w:val="single" w:sz="4" w:space="0" w:color="auto"/>
            </w:tcBorders>
          </w:tcPr>
          <w:p w14:paraId="3F4B25D6" w14:textId="77777777" w:rsidR="00381C4E" w:rsidRPr="001B4A02" w:rsidRDefault="00000000" w:rsidP="00A5191B">
            <w:pPr>
              <w:keepNext/>
              <w:ind w:left="0" w:firstLine="0"/>
              <w:jc w:val="center"/>
              <w:rPr>
                <w:sz w:val="20"/>
              </w:rPr>
            </w:pPr>
            <w:r w:rsidRPr="001B4A02">
              <w:rPr>
                <w:sz w:val="20"/>
              </w:rPr>
              <w:t>NA</w:t>
            </w:r>
          </w:p>
        </w:tc>
        <w:tc>
          <w:tcPr>
            <w:tcW w:w="1202" w:type="dxa"/>
            <w:tcBorders>
              <w:top w:val="single" w:sz="4" w:space="0" w:color="auto"/>
              <w:left w:val="single" w:sz="4" w:space="0" w:color="auto"/>
              <w:bottom w:val="single" w:sz="4" w:space="0" w:color="auto"/>
              <w:right w:val="single" w:sz="4" w:space="0" w:color="auto"/>
            </w:tcBorders>
          </w:tcPr>
          <w:p w14:paraId="40F752FE" w14:textId="77777777" w:rsidR="00381C4E" w:rsidRPr="001B4A02" w:rsidRDefault="00000000" w:rsidP="00A5191B">
            <w:pPr>
              <w:keepNext/>
              <w:ind w:left="0" w:firstLine="0"/>
              <w:jc w:val="center"/>
              <w:rPr>
                <w:sz w:val="20"/>
              </w:rPr>
            </w:pPr>
            <w:r w:rsidRPr="001B4A02">
              <w:rPr>
                <w:sz w:val="20"/>
              </w:rPr>
              <w:t>NA</w:t>
            </w:r>
          </w:p>
        </w:tc>
        <w:tc>
          <w:tcPr>
            <w:tcW w:w="1276" w:type="dxa"/>
            <w:tcBorders>
              <w:top w:val="single" w:sz="4" w:space="0" w:color="auto"/>
              <w:left w:val="single" w:sz="4" w:space="0" w:color="auto"/>
              <w:bottom w:val="single" w:sz="4" w:space="0" w:color="auto"/>
              <w:right w:val="single" w:sz="4" w:space="0" w:color="auto"/>
            </w:tcBorders>
          </w:tcPr>
          <w:p w14:paraId="6B37A25A" w14:textId="77777777" w:rsidR="00381C4E" w:rsidRPr="001B4A02" w:rsidRDefault="00000000" w:rsidP="00A5191B">
            <w:pPr>
              <w:keepNext/>
              <w:ind w:left="0" w:firstLine="0"/>
              <w:jc w:val="center"/>
              <w:rPr>
                <w:sz w:val="20"/>
              </w:rPr>
            </w:pPr>
            <w:r w:rsidRPr="001B4A02">
              <w:rPr>
                <w:sz w:val="20"/>
              </w:rPr>
              <w:t>4,5 %</w:t>
            </w:r>
          </w:p>
        </w:tc>
        <w:tc>
          <w:tcPr>
            <w:tcW w:w="1417" w:type="dxa"/>
            <w:tcBorders>
              <w:top w:val="single" w:sz="4" w:space="0" w:color="auto"/>
              <w:left w:val="single" w:sz="4" w:space="0" w:color="auto"/>
              <w:bottom w:val="single" w:sz="4" w:space="0" w:color="auto"/>
              <w:right w:val="single" w:sz="4" w:space="0" w:color="auto"/>
            </w:tcBorders>
          </w:tcPr>
          <w:p w14:paraId="505C4CDB" w14:textId="77777777" w:rsidR="00381C4E" w:rsidRPr="001B4A02" w:rsidRDefault="00000000" w:rsidP="00A5191B">
            <w:pPr>
              <w:keepNext/>
              <w:ind w:left="0" w:firstLine="0"/>
              <w:jc w:val="center"/>
              <w:rPr>
                <w:sz w:val="20"/>
              </w:rPr>
            </w:pPr>
            <w:r w:rsidRPr="001B4A02">
              <w:rPr>
                <w:sz w:val="20"/>
              </w:rPr>
              <w:t>23,2 %</w:t>
            </w:r>
          </w:p>
        </w:tc>
      </w:tr>
      <w:tr w:rsidR="00534A2D" w14:paraId="547A12EA" w14:textId="77777777" w:rsidTr="00A5191B">
        <w:trPr>
          <w:cantSplit/>
        </w:trPr>
        <w:tc>
          <w:tcPr>
            <w:tcW w:w="9124" w:type="dxa"/>
            <w:gridSpan w:val="7"/>
            <w:tcBorders>
              <w:top w:val="single" w:sz="4" w:space="0" w:color="auto"/>
            </w:tcBorders>
          </w:tcPr>
          <w:p w14:paraId="353E07FC" w14:textId="77777777" w:rsidR="00381C4E" w:rsidRPr="001B4A02" w:rsidRDefault="00000000" w:rsidP="00A5191B">
            <w:pPr>
              <w:keepNext/>
              <w:ind w:left="0" w:firstLine="0"/>
              <w:rPr>
                <w:sz w:val="20"/>
              </w:rPr>
            </w:pPr>
            <w:r w:rsidRPr="001B4A02">
              <w:rPr>
                <w:sz w:val="20"/>
                <w:vertAlign w:val="superscript"/>
              </w:rPr>
              <w:t>a</w:t>
            </w:r>
            <w:r w:rsidRPr="001B4A02">
              <w:rPr>
                <w:sz w:val="20"/>
              </w:rPr>
              <w:t xml:space="preserve"> Studie RA I za 24 týdnů, Studie RA II za 26 týdnů</w:t>
            </w:r>
            <w:r w:rsidR="002378E0">
              <w:rPr>
                <w:sz w:val="20"/>
              </w:rPr>
              <w:t xml:space="preserve"> a </w:t>
            </w:r>
            <w:r w:rsidRPr="001B4A02">
              <w:rPr>
                <w:sz w:val="20"/>
              </w:rPr>
              <w:t>Studie RA III za 24</w:t>
            </w:r>
            <w:r w:rsidR="002378E0">
              <w:rPr>
                <w:sz w:val="20"/>
              </w:rPr>
              <w:t xml:space="preserve"> a </w:t>
            </w:r>
            <w:r w:rsidRPr="001B4A02">
              <w:rPr>
                <w:sz w:val="20"/>
              </w:rPr>
              <w:t>52 týdnů</w:t>
            </w:r>
          </w:p>
          <w:p w14:paraId="27C50CD0" w14:textId="77777777" w:rsidR="00381C4E" w:rsidRPr="001B4A02" w:rsidRDefault="00000000" w:rsidP="00A5191B">
            <w:pPr>
              <w:keepNext/>
              <w:ind w:left="0" w:firstLine="0"/>
              <w:rPr>
                <w:sz w:val="20"/>
              </w:rPr>
            </w:pPr>
            <w:r w:rsidRPr="001B4A02">
              <w:rPr>
                <w:sz w:val="20"/>
                <w:vertAlign w:val="superscript"/>
              </w:rPr>
              <w:t>b</w:t>
            </w:r>
            <w:r w:rsidRPr="001B4A02">
              <w:rPr>
                <w:sz w:val="20"/>
              </w:rPr>
              <w:t xml:space="preserve"> přípravek Humira 40 mg podávaný každý druhý týden</w:t>
            </w:r>
          </w:p>
          <w:p w14:paraId="4D895F3A" w14:textId="77777777" w:rsidR="00381C4E" w:rsidRPr="001B4A02" w:rsidRDefault="00000000" w:rsidP="00A5191B">
            <w:pPr>
              <w:keepNext/>
              <w:ind w:left="0" w:firstLine="0"/>
              <w:rPr>
                <w:sz w:val="20"/>
              </w:rPr>
            </w:pPr>
            <w:r w:rsidRPr="001B4A02">
              <w:rPr>
                <w:sz w:val="20"/>
                <w:vertAlign w:val="superscript"/>
              </w:rPr>
              <w:t>c</w:t>
            </w:r>
            <w:r w:rsidRPr="001B4A02">
              <w:rPr>
                <w:sz w:val="20"/>
              </w:rPr>
              <w:t xml:space="preserve"> MTX = methotrexát</w:t>
            </w:r>
          </w:p>
          <w:p w14:paraId="2A1721D8" w14:textId="77777777" w:rsidR="00381C4E" w:rsidRPr="001B4A02" w:rsidRDefault="00000000" w:rsidP="00A5191B">
            <w:pPr>
              <w:keepNext/>
              <w:ind w:left="0" w:firstLine="0"/>
              <w:rPr>
                <w:sz w:val="20"/>
              </w:rPr>
            </w:pPr>
            <w:r w:rsidRPr="001B4A02">
              <w:rPr>
                <w:sz w:val="20"/>
              </w:rPr>
              <w:t xml:space="preserve">**p&lt;0,01, </w:t>
            </w:r>
            <w:r w:rsidR="004C58C9" w:rsidRPr="001B4A02">
              <w:rPr>
                <w:sz w:val="20"/>
              </w:rPr>
              <w:t xml:space="preserve">přípravek </w:t>
            </w:r>
            <w:r w:rsidRPr="001B4A02">
              <w:rPr>
                <w:sz w:val="20"/>
              </w:rPr>
              <w:t>Humira versus placebo</w:t>
            </w:r>
          </w:p>
        </w:tc>
      </w:tr>
    </w:tbl>
    <w:p w14:paraId="6A3484BB" w14:textId="77777777" w:rsidR="00381C4E" w:rsidRPr="001B4A02" w:rsidRDefault="00381C4E" w:rsidP="00381C4E">
      <w:pPr>
        <w:ind w:left="0" w:firstLine="0"/>
      </w:pPr>
    </w:p>
    <w:p w14:paraId="7BD4DF15" w14:textId="77777777" w:rsidR="00381C4E" w:rsidRPr="001B4A02" w:rsidRDefault="00000000" w:rsidP="00381C4E">
      <w:pPr>
        <w:ind w:left="0" w:firstLine="0"/>
        <w:rPr>
          <w:szCs w:val="22"/>
        </w:rPr>
      </w:pPr>
      <w:r w:rsidRPr="001B4A02">
        <w:t>Ve studiích RA I–IV došlo po 24</w:t>
      </w:r>
      <w:r w:rsidR="002378E0">
        <w:t xml:space="preserve"> a </w:t>
      </w:r>
      <w:r w:rsidRPr="001B4A02">
        <w:t>26 týdnech léčby v porovnání s placebem ke zlepšení všech jednotlivých složek kritérií odpovědi ACR (počet bolestivých</w:t>
      </w:r>
      <w:r w:rsidR="002378E0">
        <w:t xml:space="preserve"> a </w:t>
      </w:r>
      <w:r w:rsidRPr="001B4A02">
        <w:t>oteklých kloubů, hodnocení aktivity onemocnění</w:t>
      </w:r>
      <w:r w:rsidR="002378E0">
        <w:t xml:space="preserve"> a </w:t>
      </w:r>
      <w:r w:rsidRPr="001B4A02">
        <w:t>bolesti lékařem</w:t>
      </w:r>
      <w:r w:rsidR="002378E0">
        <w:t xml:space="preserve"> a </w:t>
      </w:r>
      <w:r w:rsidRPr="001B4A02">
        <w:t>pacientem, skóre indexu disability (HAQ)</w:t>
      </w:r>
      <w:r w:rsidR="002378E0">
        <w:t xml:space="preserve"> a </w:t>
      </w:r>
      <w:r w:rsidRPr="001B4A02">
        <w:t>hodnoty CRP (mg/dl)). Ve studii RA III toto zlepšení přetrvávalo po dobu 52 týdnů.</w:t>
      </w:r>
    </w:p>
    <w:p w14:paraId="307F3113" w14:textId="77777777" w:rsidR="00381C4E" w:rsidRPr="001B4A02" w:rsidRDefault="00381C4E" w:rsidP="00381C4E">
      <w:pPr>
        <w:ind w:left="0" w:firstLine="0"/>
        <w:rPr>
          <w:szCs w:val="22"/>
        </w:rPr>
      </w:pPr>
    </w:p>
    <w:p w14:paraId="1A8A76E7" w14:textId="77777777" w:rsidR="00381C4E" w:rsidRPr="001B4A02" w:rsidRDefault="00000000" w:rsidP="00381C4E">
      <w:pPr>
        <w:ind w:left="0" w:firstLine="0"/>
      </w:pPr>
      <w:r w:rsidRPr="001B4A02">
        <w:rPr>
          <w:szCs w:val="22"/>
        </w:rPr>
        <w:t xml:space="preserve">V otevřené prodloužené studii </w:t>
      </w:r>
      <w:r w:rsidR="005E6DCE" w:rsidRPr="00FA0236">
        <w:rPr>
          <w:szCs w:val="22"/>
        </w:rPr>
        <w:t>RA III</w:t>
      </w:r>
      <w:r w:rsidRPr="00FA0236">
        <w:rPr>
          <w:szCs w:val="22"/>
        </w:rPr>
        <w:t xml:space="preserve"> si většina</w:t>
      </w:r>
      <w:r w:rsidRPr="001B4A02">
        <w:rPr>
          <w:szCs w:val="22"/>
        </w:rPr>
        <w:t xml:space="preserve"> pacientů, kteří dosáhli odpovědi dle ACR, udržela odpověď v trvání až 10 let. Z celkového počtu 207 pacientů, kteří byli randomizováni do skupiny s přípravkem Humira každý druhý týden, jich 114 pokračovalo v léčbě přípravkem Humira každý druhý týden po dobu 5 let. Z těchto pacientů 86 (75,4</w:t>
      </w:r>
      <w:r w:rsidR="006008CB">
        <w:rPr>
          <w:szCs w:val="22"/>
        </w:rPr>
        <w:t> %</w:t>
      </w:r>
      <w:r w:rsidRPr="001B4A02">
        <w:rPr>
          <w:szCs w:val="22"/>
        </w:rPr>
        <w:t>) dosáhlo odpovědi ACR 20; 72 pacientů (63,2</w:t>
      </w:r>
      <w:r w:rsidR="006008CB">
        <w:rPr>
          <w:szCs w:val="22"/>
        </w:rPr>
        <w:t> %</w:t>
      </w:r>
      <w:r w:rsidRPr="001B4A02">
        <w:rPr>
          <w:szCs w:val="22"/>
        </w:rPr>
        <w:t>) dosáhlo odpovědi ACR 50</w:t>
      </w:r>
      <w:r w:rsidR="002378E0">
        <w:rPr>
          <w:szCs w:val="22"/>
        </w:rPr>
        <w:t xml:space="preserve"> a </w:t>
      </w:r>
      <w:r w:rsidRPr="001B4A02">
        <w:rPr>
          <w:szCs w:val="22"/>
        </w:rPr>
        <w:t>41 pacientů (36</w:t>
      </w:r>
      <w:r w:rsidR="006008CB">
        <w:rPr>
          <w:szCs w:val="22"/>
        </w:rPr>
        <w:t> %</w:t>
      </w:r>
      <w:r w:rsidRPr="001B4A02">
        <w:rPr>
          <w:szCs w:val="22"/>
        </w:rPr>
        <w:t>) dosáhlo odpovědi ACR 70. Z celkového počtu 207 pacientů jich 81 pokračovalo v léčbě přípravkem Humira v dávce 40 mg každý druhý týden po dobu 10 let. Mezi těmito dosáhlo 64 pacientů (79</w:t>
      </w:r>
      <w:r w:rsidR="006008CB">
        <w:rPr>
          <w:szCs w:val="22"/>
        </w:rPr>
        <w:t> %</w:t>
      </w:r>
      <w:r w:rsidRPr="001B4A02">
        <w:rPr>
          <w:szCs w:val="22"/>
        </w:rPr>
        <w:t>) odpovědi ACR 20, 56 pacientů (69,1</w:t>
      </w:r>
      <w:r w:rsidR="006008CB">
        <w:rPr>
          <w:szCs w:val="22"/>
        </w:rPr>
        <w:t> %</w:t>
      </w:r>
      <w:r w:rsidRPr="001B4A02">
        <w:rPr>
          <w:szCs w:val="22"/>
        </w:rPr>
        <w:t>) dosáhlo odpovědi ACR 50</w:t>
      </w:r>
      <w:r w:rsidR="002378E0">
        <w:rPr>
          <w:szCs w:val="22"/>
        </w:rPr>
        <w:t xml:space="preserve"> a </w:t>
      </w:r>
      <w:r w:rsidRPr="001B4A02">
        <w:rPr>
          <w:szCs w:val="22"/>
        </w:rPr>
        <w:t>43 pacientů (53,1</w:t>
      </w:r>
      <w:r w:rsidR="006008CB">
        <w:rPr>
          <w:szCs w:val="22"/>
        </w:rPr>
        <w:t> %</w:t>
      </w:r>
      <w:r w:rsidRPr="001B4A02">
        <w:rPr>
          <w:szCs w:val="22"/>
        </w:rPr>
        <w:t>) dosáhlo odpovědi ACR 70.</w:t>
      </w:r>
    </w:p>
    <w:p w14:paraId="4D003CF5" w14:textId="77777777" w:rsidR="00381C4E" w:rsidRPr="001B4A02" w:rsidRDefault="00381C4E" w:rsidP="00381C4E">
      <w:pPr>
        <w:ind w:left="0" w:firstLine="0"/>
      </w:pPr>
    </w:p>
    <w:p w14:paraId="1D2F4FF5" w14:textId="77777777" w:rsidR="00381C4E" w:rsidRPr="001B4A02" w:rsidRDefault="00000000" w:rsidP="00381C4E">
      <w:pPr>
        <w:ind w:left="0" w:firstLine="0"/>
      </w:pPr>
      <w:r w:rsidRPr="001B4A02">
        <w:t>Ve studii RA IV byla ACR 20 odpověď u pacientů léčených přípravkem Humira</w:t>
      </w:r>
      <w:r w:rsidR="002378E0">
        <w:t xml:space="preserve"> a </w:t>
      </w:r>
      <w:r w:rsidRPr="001B4A02">
        <w:t>standardní léčbou statisticky významně lepší než u pacientů léčených placebem</w:t>
      </w:r>
      <w:r w:rsidR="002378E0">
        <w:t xml:space="preserve"> a </w:t>
      </w:r>
      <w:r w:rsidRPr="001B4A02">
        <w:t>standardní léčbou (p&lt;0,001).</w:t>
      </w:r>
    </w:p>
    <w:p w14:paraId="3B1B3263" w14:textId="77777777" w:rsidR="00381C4E" w:rsidRPr="001B4A02" w:rsidRDefault="00381C4E" w:rsidP="00381C4E">
      <w:pPr>
        <w:ind w:left="0" w:firstLine="0"/>
      </w:pPr>
    </w:p>
    <w:p w14:paraId="1D68C547" w14:textId="77777777" w:rsidR="00381C4E" w:rsidRPr="001B4A02" w:rsidRDefault="00000000" w:rsidP="00381C4E">
      <w:pPr>
        <w:ind w:left="0" w:firstLine="0"/>
        <w:rPr>
          <w:u w:val="single"/>
        </w:rPr>
      </w:pPr>
      <w:r w:rsidRPr="001B4A02">
        <w:t>Ve studiích RA I–</w:t>
      </w:r>
      <w:r w:rsidRPr="001B4A02">
        <w:rPr>
          <w:iCs/>
        </w:rPr>
        <w:t xml:space="preserve">IV </w:t>
      </w:r>
      <w:r w:rsidRPr="001B4A02">
        <w:t>dosáhli pacienti léčení přípravkem Humira statisticky významné odpovědi ACR 20</w:t>
      </w:r>
      <w:r w:rsidR="002378E0">
        <w:t xml:space="preserve"> a </w:t>
      </w:r>
      <w:r w:rsidRPr="001B4A02">
        <w:t>50 v porovnání s placebem již za jeden až dva týdny po zahájení léčby.</w:t>
      </w:r>
    </w:p>
    <w:p w14:paraId="5764E8F1" w14:textId="77777777" w:rsidR="00381C4E" w:rsidRPr="001B4A02" w:rsidRDefault="00381C4E" w:rsidP="00381C4E">
      <w:pPr>
        <w:ind w:left="0" w:firstLine="0"/>
        <w:rPr>
          <w:u w:val="single"/>
        </w:rPr>
      </w:pPr>
    </w:p>
    <w:p w14:paraId="55494F93" w14:textId="77777777" w:rsidR="00381C4E" w:rsidRPr="001B4A02" w:rsidRDefault="00000000" w:rsidP="00381C4E">
      <w:pPr>
        <w:pStyle w:val="EMEANormal"/>
        <w:tabs>
          <w:tab w:val="clear" w:pos="562"/>
        </w:tabs>
        <w:suppressAutoHyphens w:val="0"/>
        <w:rPr>
          <w:lang w:val="cs-CZ"/>
        </w:rPr>
      </w:pPr>
      <w:r w:rsidRPr="001B4A02">
        <w:rPr>
          <w:lang w:val="cs-CZ"/>
        </w:rPr>
        <w:t>Ve studii RA V</w:t>
      </w:r>
      <w:r w:rsidR="003D5529" w:rsidRPr="001B4A02">
        <w:rPr>
          <w:lang w:val="cs-CZ"/>
        </w:rPr>
        <w:t xml:space="preserve"> </w:t>
      </w:r>
      <w:r w:rsidRPr="001B4A02">
        <w:rPr>
          <w:lang w:val="cs-CZ"/>
        </w:rPr>
        <w:t>u pacientů s časnou revmatoidní artritidou, kteří dosud nebyli léčeni methotrexátem, vedla kombin</w:t>
      </w:r>
      <w:r w:rsidR="009271A3" w:rsidRPr="00F261A6">
        <w:rPr>
          <w:lang w:val="cs-CZ"/>
        </w:rPr>
        <w:t>ovaná</w:t>
      </w:r>
      <w:r w:rsidRPr="001B4A02">
        <w:rPr>
          <w:lang w:val="cs-CZ"/>
        </w:rPr>
        <w:t xml:space="preserve"> léčba přípravkem Humira</w:t>
      </w:r>
      <w:r w:rsidR="002378E0">
        <w:rPr>
          <w:lang w:val="cs-CZ"/>
        </w:rPr>
        <w:t xml:space="preserve"> a </w:t>
      </w:r>
      <w:r w:rsidRPr="001B4A02">
        <w:rPr>
          <w:lang w:val="cs-CZ"/>
        </w:rPr>
        <w:t>methotrexátem k rychlejší</w:t>
      </w:r>
      <w:r w:rsidR="002378E0">
        <w:rPr>
          <w:lang w:val="cs-CZ"/>
        </w:rPr>
        <w:t xml:space="preserve"> a </w:t>
      </w:r>
      <w:r w:rsidRPr="001B4A02">
        <w:rPr>
          <w:lang w:val="cs-CZ"/>
        </w:rPr>
        <w:t>významně větší odpovědi ACR než monoterapie methotrexátem</w:t>
      </w:r>
      <w:r w:rsidR="002378E0">
        <w:rPr>
          <w:lang w:val="cs-CZ"/>
        </w:rPr>
        <w:t xml:space="preserve"> a </w:t>
      </w:r>
      <w:r w:rsidRPr="001B4A02">
        <w:rPr>
          <w:lang w:val="cs-CZ"/>
        </w:rPr>
        <w:t xml:space="preserve">monoterapie přípravkem Humira </w:t>
      </w:r>
      <w:r w:rsidR="00D00F8F">
        <w:rPr>
          <w:lang w:val="cs-CZ"/>
        </w:rPr>
        <w:t>v</w:t>
      </w:r>
      <w:r w:rsidR="005D2EB7">
        <w:rPr>
          <w:lang w:val="cs-CZ"/>
        </w:rPr>
        <w:t> </w:t>
      </w:r>
      <w:r w:rsidR="00D00F8F">
        <w:rPr>
          <w:lang w:val="cs-CZ"/>
        </w:rPr>
        <w:t>týdnu 52</w:t>
      </w:r>
      <w:r w:rsidR="002378E0">
        <w:rPr>
          <w:lang w:val="cs-CZ"/>
        </w:rPr>
        <w:t xml:space="preserve"> a </w:t>
      </w:r>
      <w:r w:rsidRPr="001B4A02">
        <w:rPr>
          <w:lang w:val="cs-CZ"/>
        </w:rPr>
        <w:t xml:space="preserve">odpověď přetrvávala i </w:t>
      </w:r>
      <w:r w:rsidR="00D00F8F">
        <w:rPr>
          <w:lang w:val="cs-CZ"/>
        </w:rPr>
        <w:t>v</w:t>
      </w:r>
      <w:r w:rsidR="000F04DB">
        <w:rPr>
          <w:lang w:val="cs-CZ"/>
        </w:rPr>
        <w:t> </w:t>
      </w:r>
      <w:r w:rsidR="00D00F8F">
        <w:rPr>
          <w:lang w:val="cs-CZ"/>
        </w:rPr>
        <w:t>týdnu 104</w:t>
      </w:r>
      <w:r w:rsidRPr="001B4A02">
        <w:rPr>
          <w:lang w:val="cs-CZ"/>
        </w:rPr>
        <w:t xml:space="preserve"> (viz tabulka </w:t>
      </w:r>
      <w:r w:rsidR="002A5304">
        <w:rPr>
          <w:lang w:val="cs-CZ"/>
        </w:rPr>
        <w:t>8</w:t>
      </w:r>
      <w:r w:rsidRPr="001B4A02">
        <w:rPr>
          <w:lang w:val="cs-CZ"/>
        </w:rPr>
        <w:t>).</w:t>
      </w:r>
    </w:p>
    <w:p w14:paraId="787E9510" w14:textId="77777777" w:rsidR="00381C4E" w:rsidRPr="001B4A02" w:rsidRDefault="00381C4E" w:rsidP="0017164D">
      <w:pPr>
        <w:ind w:left="0"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1588"/>
        <w:gridCol w:w="992"/>
        <w:gridCol w:w="992"/>
        <w:gridCol w:w="1560"/>
        <w:gridCol w:w="1417"/>
        <w:gridCol w:w="1559"/>
        <w:gridCol w:w="1309"/>
        <w:gridCol w:w="12"/>
      </w:tblGrid>
      <w:tr w:rsidR="00534A2D" w14:paraId="7F3DEA93" w14:textId="77777777" w:rsidTr="00A5191B">
        <w:trPr>
          <w:gridBefore w:val="1"/>
          <w:wBefore w:w="6" w:type="dxa"/>
          <w:cantSplit/>
          <w:jc w:val="center"/>
        </w:trPr>
        <w:tc>
          <w:tcPr>
            <w:tcW w:w="9429" w:type="dxa"/>
            <w:gridSpan w:val="8"/>
            <w:tcBorders>
              <w:top w:val="nil"/>
              <w:left w:val="nil"/>
              <w:bottom w:val="nil"/>
              <w:right w:val="nil"/>
            </w:tcBorders>
            <w:vAlign w:val="center"/>
          </w:tcPr>
          <w:p w14:paraId="2B297EC6" w14:textId="77777777" w:rsidR="00381C4E" w:rsidRPr="001B4A02" w:rsidRDefault="00000000" w:rsidP="0017164D">
            <w:pPr>
              <w:keepNext/>
              <w:jc w:val="center"/>
              <w:rPr>
                <w:b/>
              </w:rPr>
            </w:pPr>
            <w:r w:rsidRPr="001B4A02">
              <w:rPr>
                <w:b/>
              </w:rPr>
              <w:t xml:space="preserve">Tabulka </w:t>
            </w:r>
            <w:r w:rsidR="002A5304">
              <w:rPr>
                <w:b/>
              </w:rPr>
              <w:t>8</w:t>
            </w:r>
          </w:p>
          <w:p w14:paraId="71F1446C" w14:textId="77777777" w:rsidR="00381C4E" w:rsidRPr="001B4A02" w:rsidRDefault="00000000" w:rsidP="0017164D">
            <w:pPr>
              <w:keepNext/>
              <w:jc w:val="center"/>
              <w:rPr>
                <w:b/>
              </w:rPr>
            </w:pPr>
            <w:r w:rsidRPr="001B4A02">
              <w:rPr>
                <w:b/>
              </w:rPr>
              <w:t>Odpověď ACR ve studii RA V</w:t>
            </w:r>
          </w:p>
          <w:p w14:paraId="4FDAE2E9" w14:textId="77777777" w:rsidR="00381C4E" w:rsidRPr="001B4A02" w:rsidRDefault="00000000" w:rsidP="0017164D">
            <w:pPr>
              <w:keepNext/>
              <w:jc w:val="center"/>
              <w:rPr>
                <w:b/>
                <w:caps/>
              </w:rPr>
            </w:pPr>
            <w:r w:rsidRPr="001B4A02">
              <w:rPr>
                <w:b/>
              </w:rPr>
              <w:t>(Procento pacientů)</w:t>
            </w:r>
          </w:p>
          <w:p w14:paraId="1B3FF244" w14:textId="77777777" w:rsidR="00381C4E" w:rsidRPr="001B4A02" w:rsidRDefault="00381C4E" w:rsidP="00A5191B">
            <w:pPr>
              <w:pStyle w:val="BodyText"/>
              <w:keepNext/>
              <w:tabs>
                <w:tab w:val="left" w:pos="3600"/>
                <w:tab w:val="center" w:pos="5760"/>
              </w:tabs>
              <w:jc w:val="center"/>
              <w:rPr>
                <w:bCs/>
                <w:i w:val="0"/>
                <w:lang w:val="cs-CZ"/>
              </w:rPr>
            </w:pPr>
          </w:p>
        </w:tc>
      </w:tr>
      <w:tr w:rsidR="00534A2D" w14:paraId="6CB219B8" w14:textId="77777777" w:rsidTr="00A5191B">
        <w:trPr>
          <w:gridAfter w:val="1"/>
          <w:wAfter w:w="12" w:type="dxa"/>
          <w:cantSplit/>
          <w:jc w:val="center"/>
        </w:trPr>
        <w:tc>
          <w:tcPr>
            <w:tcW w:w="1594" w:type="dxa"/>
            <w:gridSpan w:val="2"/>
            <w:vAlign w:val="center"/>
          </w:tcPr>
          <w:p w14:paraId="055CFB5F" w14:textId="77777777" w:rsidR="00381C4E" w:rsidRPr="001B4A02" w:rsidRDefault="00000000" w:rsidP="00A5191B">
            <w:pPr>
              <w:keepNext/>
              <w:rPr>
                <w:b/>
                <w:bCs/>
              </w:rPr>
            </w:pPr>
            <w:r w:rsidRPr="001B4A02">
              <w:rPr>
                <w:b/>
                <w:bCs/>
              </w:rPr>
              <w:t>Odpověď</w:t>
            </w:r>
          </w:p>
        </w:tc>
        <w:tc>
          <w:tcPr>
            <w:tcW w:w="992" w:type="dxa"/>
            <w:tcBorders>
              <w:bottom w:val="single" w:sz="4" w:space="0" w:color="auto"/>
            </w:tcBorders>
            <w:vAlign w:val="center"/>
          </w:tcPr>
          <w:p w14:paraId="5B2429A0" w14:textId="77777777" w:rsidR="00381C4E" w:rsidRPr="001B4A02" w:rsidRDefault="00000000" w:rsidP="00A5191B">
            <w:pPr>
              <w:keepNext/>
              <w:jc w:val="center"/>
              <w:rPr>
                <w:b/>
                <w:bCs/>
              </w:rPr>
            </w:pPr>
            <w:r w:rsidRPr="001B4A02">
              <w:rPr>
                <w:b/>
                <w:bCs/>
              </w:rPr>
              <w:t>MTX</w:t>
            </w:r>
          </w:p>
          <w:p w14:paraId="155DCF38" w14:textId="77777777" w:rsidR="00381C4E" w:rsidRPr="001B4A02" w:rsidRDefault="00000000" w:rsidP="00A5191B">
            <w:pPr>
              <w:pStyle w:val="EndnoteText"/>
              <w:keepNext/>
              <w:jc w:val="center"/>
              <w:rPr>
                <w:b/>
                <w:bCs/>
                <w:lang w:val="cs-CZ"/>
              </w:rPr>
            </w:pPr>
            <w:r w:rsidRPr="001B4A02">
              <w:rPr>
                <w:b/>
                <w:bCs/>
                <w:lang w:val="cs-CZ"/>
              </w:rPr>
              <w:t>n=257</w:t>
            </w:r>
          </w:p>
        </w:tc>
        <w:tc>
          <w:tcPr>
            <w:tcW w:w="992" w:type="dxa"/>
            <w:tcBorders>
              <w:bottom w:val="single" w:sz="4" w:space="0" w:color="auto"/>
            </w:tcBorders>
            <w:vAlign w:val="center"/>
          </w:tcPr>
          <w:p w14:paraId="4AE366FE" w14:textId="77777777" w:rsidR="00381C4E" w:rsidRPr="001B4A02" w:rsidRDefault="00000000" w:rsidP="00A5191B">
            <w:pPr>
              <w:keepNext/>
              <w:jc w:val="center"/>
              <w:rPr>
                <w:b/>
                <w:bCs/>
              </w:rPr>
            </w:pPr>
            <w:r w:rsidRPr="001B4A02">
              <w:rPr>
                <w:b/>
                <w:bCs/>
              </w:rPr>
              <w:t>Humira</w:t>
            </w:r>
          </w:p>
          <w:p w14:paraId="10F2FB56" w14:textId="77777777" w:rsidR="00381C4E" w:rsidRPr="001B4A02" w:rsidRDefault="00000000" w:rsidP="00A5191B">
            <w:pPr>
              <w:keepNext/>
              <w:jc w:val="center"/>
              <w:rPr>
                <w:b/>
                <w:bCs/>
              </w:rPr>
            </w:pPr>
            <w:r w:rsidRPr="001B4A02">
              <w:rPr>
                <w:b/>
                <w:bCs/>
              </w:rPr>
              <w:t>n=274</w:t>
            </w:r>
          </w:p>
        </w:tc>
        <w:tc>
          <w:tcPr>
            <w:tcW w:w="1560" w:type="dxa"/>
            <w:tcBorders>
              <w:bottom w:val="single" w:sz="4" w:space="0" w:color="auto"/>
            </w:tcBorders>
            <w:vAlign w:val="center"/>
          </w:tcPr>
          <w:p w14:paraId="54A0DCA5" w14:textId="77777777" w:rsidR="00381C4E" w:rsidRPr="001B4A02" w:rsidRDefault="00000000" w:rsidP="00A5191B">
            <w:pPr>
              <w:keepNext/>
              <w:jc w:val="center"/>
              <w:rPr>
                <w:b/>
                <w:bCs/>
              </w:rPr>
            </w:pPr>
            <w:r w:rsidRPr="001B4A02">
              <w:rPr>
                <w:b/>
                <w:bCs/>
              </w:rPr>
              <w:t>Humira/MTX</w:t>
            </w:r>
          </w:p>
          <w:p w14:paraId="3A3D8DF1" w14:textId="77777777" w:rsidR="00381C4E" w:rsidRPr="001B4A02" w:rsidRDefault="00000000" w:rsidP="00A5191B">
            <w:pPr>
              <w:keepNext/>
              <w:jc w:val="center"/>
              <w:rPr>
                <w:b/>
                <w:bCs/>
              </w:rPr>
            </w:pPr>
            <w:r w:rsidRPr="001B4A02">
              <w:rPr>
                <w:b/>
                <w:bCs/>
              </w:rPr>
              <w:t>n=268</w:t>
            </w:r>
          </w:p>
        </w:tc>
        <w:tc>
          <w:tcPr>
            <w:tcW w:w="1417" w:type="dxa"/>
            <w:tcBorders>
              <w:bottom w:val="single" w:sz="4" w:space="0" w:color="auto"/>
            </w:tcBorders>
            <w:vAlign w:val="center"/>
          </w:tcPr>
          <w:p w14:paraId="667B34E2" w14:textId="77777777" w:rsidR="00381C4E" w:rsidRPr="001B4A02" w:rsidRDefault="00000000" w:rsidP="00A5191B">
            <w:pPr>
              <w:pStyle w:val="EndnoteText"/>
              <w:keepNext/>
              <w:jc w:val="center"/>
              <w:rPr>
                <w:b/>
                <w:bCs/>
                <w:lang w:val="cs-CZ"/>
              </w:rPr>
            </w:pPr>
            <w:r w:rsidRPr="001B4A02">
              <w:rPr>
                <w:b/>
                <w:bCs/>
                <w:lang w:val="cs-CZ"/>
              </w:rPr>
              <w:t>Hodnota p</w:t>
            </w:r>
            <w:r w:rsidRPr="001B4A02">
              <w:rPr>
                <w:b/>
                <w:bCs/>
                <w:vertAlign w:val="superscript"/>
                <w:lang w:val="cs-CZ"/>
              </w:rPr>
              <w:t>a</w:t>
            </w:r>
          </w:p>
        </w:tc>
        <w:tc>
          <w:tcPr>
            <w:tcW w:w="1559" w:type="dxa"/>
            <w:tcBorders>
              <w:bottom w:val="single" w:sz="4" w:space="0" w:color="auto"/>
            </w:tcBorders>
            <w:vAlign w:val="center"/>
          </w:tcPr>
          <w:p w14:paraId="1FA8B63E" w14:textId="77777777" w:rsidR="00381C4E" w:rsidRPr="001B4A02" w:rsidRDefault="00000000" w:rsidP="00A5191B">
            <w:pPr>
              <w:keepNext/>
              <w:jc w:val="center"/>
              <w:rPr>
                <w:b/>
                <w:bCs/>
              </w:rPr>
            </w:pPr>
            <w:r w:rsidRPr="001B4A02">
              <w:rPr>
                <w:b/>
                <w:bCs/>
              </w:rPr>
              <w:t>Hodnota p</w:t>
            </w:r>
            <w:r w:rsidRPr="001B4A02">
              <w:rPr>
                <w:b/>
                <w:bCs/>
                <w:vertAlign w:val="superscript"/>
              </w:rPr>
              <w:t>b</w:t>
            </w:r>
          </w:p>
        </w:tc>
        <w:tc>
          <w:tcPr>
            <w:tcW w:w="1309" w:type="dxa"/>
            <w:vAlign w:val="center"/>
          </w:tcPr>
          <w:p w14:paraId="266430D5" w14:textId="77777777" w:rsidR="00381C4E" w:rsidRPr="001B4A02" w:rsidRDefault="00000000" w:rsidP="00A5191B">
            <w:pPr>
              <w:keepNext/>
              <w:jc w:val="center"/>
            </w:pPr>
            <w:r w:rsidRPr="001B4A02">
              <w:rPr>
                <w:b/>
                <w:bCs/>
              </w:rPr>
              <w:t>Hodnota p</w:t>
            </w:r>
            <w:r w:rsidRPr="001B4A02">
              <w:rPr>
                <w:b/>
                <w:bCs/>
                <w:vertAlign w:val="superscript"/>
              </w:rPr>
              <w:t>c</w:t>
            </w:r>
          </w:p>
        </w:tc>
      </w:tr>
      <w:tr w:rsidR="00534A2D" w14:paraId="1168241B" w14:textId="77777777" w:rsidTr="00A5191B">
        <w:trPr>
          <w:gridAfter w:val="1"/>
          <w:wAfter w:w="12" w:type="dxa"/>
          <w:cantSplit/>
          <w:jc w:val="center"/>
        </w:trPr>
        <w:tc>
          <w:tcPr>
            <w:tcW w:w="1594" w:type="dxa"/>
            <w:gridSpan w:val="2"/>
            <w:tcBorders>
              <w:right w:val="single" w:sz="4" w:space="0" w:color="auto"/>
            </w:tcBorders>
          </w:tcPr>
          <w:p w14:paraId="0791867B" w14:textId="77777777" w:rsidR="00381C4E" w:rsidRPr="001B4A02" w:rsidRDefault="00000000" w:rsidP="00A5191B">
            <w:pPr>
              <w:keepNext/>
            </w:pPr>
            <w:r w:rsidRPr="001B4A02">
              <w:t>ACR 20</w:t>
            </w:r>
          </w:p>
        </w:tc>
        <w:tc>
          <w:tcPr>
            <w:tcW w:w="992" w:type="dxa"/>
            <w:tcBorders>
              <w:left w:val="single" w:sz="4" w:space="0" w:color="auto"/>
              <w:right w:val="single" w:sz="4" w:space="0" w:color="auto"/>
            </w:tcBorders>
          </w:tcPr>
          <w:p w14:paraId="74E0E00B" w14:textId="77777777" w:rsidR="00381C4E" w:rsidRPr="001B4A02" w:rsidRDefault="00381C4E" w:rsidP="00A5191B">
            <w:pPr>
              <w:keepNext/>
              <w:jc w:val="center"/>
            </w:pPr>
          </w:p>
        </w:tc>
        <w:tc>
          <w:tcPr>
            <w:tcW w:w="992" w:type="dxa"/>
            <w:tcBorders>
              <w:left w:val="single" w:sz="4" w:space="0" w:color="auto"/>
              <w:right w:val="single" w:sz="4" w:space="0" w:color="auto"/>
            </w:tcBorders>
          </w:tcPr>
          <w:p w14:paraId="71FFEB26" w14:textId="77777777" w:rsidR="00381C4E" w:rsidRPr="001B4A02" w:rsidRDefault="00381C4E" w:rsidP="00A5191B">
            <w:pPr>
              <w:keepNext/>
              <w:jc w:val="center"/>
            </w:pPr>
          </w:p>
        </w:tc>
        <w:tc>
          <w:tcPr>
            <w:tcW w:w="1560" w:type="dxa"/>
            <w:tcBorders>
              <w:left w:val="single" w:sz="4" w:space="0" w:color="auto"/>
              <w:right w:val="single" w:sz="4" w:space="0" w:color="auto"/>
            </w:tcBorders>
          </w:tcPr>
          <w:p w14:paraId="01ECF30A" w14:textId="77777777" w:rsidR="00381C4E" w:rsidRPr="001B4A02" w:rsidRDefault="00381C4E" w:rsidP="00A5191B">
            <w:pPr>
              <w:keepNext/>
              <w:jc w:val="center"/>
            </w:pPr>
          </w:p>
        </w:tc>
        <w:tc>
          <w:tcPr>
            <w:tcW w:w="1417" w:type="dxa"/>
            <w:tcBorders>
              <w:left w:val="single" w:sz="4" w:space="0" w:color="auto"/>
              <w:right w:val="single" w:sz="4" w:space="0" w:color="auto"/>
            </w:tcBorders>
          </w:tcPr>
          <w:p w14:paraId="7A347F33" w14:textId="77777777" w:rsidR="00381C4E" w:rsidRPr="001B4A02" w:rsidRDefault="00381C4E" w:rsidP="00A5191B">
            <w:pPr>
              <w:keepNext/>
              <w:jc w:val="center"/>
            </w:pPr>
          </w:p>
        </w:tc>
        <w:tc>
          <w:tcPr>
            <w:tcW w:w="1559" w:type="dxa"/>
            <w:tcBorders>
              <w:left w:val="single" w:sz="4" w:space="0" w:color="auto"/>
              <w:right w:val="single" w:sz="4" w:space="0" w:color="auto"/>
            </w:tcBorders>
          </w:tcPr>
          <w:p w14:paraId="4B00CD0D" w14:textId="77777777" w:rsidR="00381C4E" w:rsidRPr="001B4A02" w:rsidRDefault="00381C4E" w:rsidP="00A5191B">
            <w:pPr>
              <w:keepNext/>
              <w:jc w:val="center"/>
            </w:pPr>
          </w:p>
        </w:tc>
        <w:tc>
          <w:tcPr>
            <w:tcW w:w="1309" w:type="dxa"/>
            <w:tcBorders>
              <w:left w:val="single" w:sz="4" w:space="0" w:color="auto"/>
            </w:tcBorders>
          </w:tcPr>
          <w:p w14:paraId="78C75080" w14:textId="77777777" w:rsidR="00381C4E" w:rsidRPr="001B4A02" w:rsidRDefault="00381C4E" w:rsidP="00A5191B">
            <w:pPr>
              <w:keepNext/>
              <w:jc w:val="center"/>
            </w:pPr>
          </w:p>
        </w:tc>
      </w:tr>
      <w:tr w:rsidR="00534A2D" w14:paraId="25492924" w14:textId="77777777" w:rsidTr="00A5191B">
        <w:trPr>
          <w:gridAfter w:val="1"/>
          <w:wAfter w:w="12" w:type="dxa"/>
          <w:cantSplit/>
          <w:jc w:val="center"/>
        </w:trPr>
        <w:tc>
          <w:tcPr>
            <w:tcW w:w="1594" w:type="dxa"/>
            <w:gridSpan w:val="2"/>
            <w:tcBorders>
              <w:right w:val="single" w:sz="4" w:space="0" w:color="auto"/>
            </w:tcBorders>
          </w:tcPr>
          <w:p w14:paraId="633DDEF9" w14:textId="77777777" w:rsidR="00381C4E" w:rsidRPr="001B4A02" w:rsidRDefault="00000000" w:rsidP="00A5191B">
            <w:pPr>
              <w:keepNext/>
              <w:ind w:left="352" w:hanging="352"/>
            </w:pPr>
            <w:r w:rsidRPr="001B4A02">
              <w:tab/>
              <w:t>Týden 52</w:t>
            </w:r>
          </w:p>
        </w:tc>
        <w:tc>
          <w:tcPr>
            <w:tcW w:w="992" w:type="dxa"/>
            <w:tcBorders>
              <w:left w:val="single" w:sz="4" w:space="0" w:color="auto"/>
              <w:right w:val="single" w:sz="4" w:space="0" w:color="auto"/>
            </w:tcBorders>
          </w:tcPr>
          <w:p w14:paraId="579FD504" w14:textId="77777777" w:rsidR="00381C4E" w:rsidRPr="001B4A02" w:rsidRDefault="00000000" w:rsidP="00A5191B">
            <w:pPr>
              <w:keepNext/>
              <w:jc w:val="center"/>
            </w:pPr>
            <w:r w:rsidRPr="001B4A02">
              <w:t>62,6 %</w:t>
            </w:r>
          </w:p>
        </w:tc>
        <w:tc>
          <w:tcPr>
            <w:tcW w:w="992" w:type="dxa"/>
            <w:tcBorders>
              <w:left w:val="single" w:sz="4" w:space="0" w:color="auto"/>
              <w:right w:val="single" w:sz="4" w:space="0" w:color="auto"/>
            </w:tcBorders>
          </w:tcPr>
          <w:p w14:paraId="29BBDD23" w14:textId="77777777" w:rsidR="00381C4E" w:rsidRPr="001B4A02" w:rsidRDefault="00000000" w:rsidP="00A5191B">
            <w:pPr>
              <w:keepNext/>
              <w:jc w:val="center"/>
            </w:pPr>
            <w:r w:rsidRPr="001B4A02">
              <w:t>54,4 %</w:t>
            </w:r>
          </w:p>
        </w:tc>
        <w:tc>
          <w:tcPr>
            <w:tcW w:w="1560" w:type="dxa"/>
            <w:tcBorders>
              <w:left w:val="single" w:sz="4" w:space="0" w:color="auto"/>
              <w:right w:val="single" w:sz="4" w:space="0" w:color="auto"/>
            </w:tcBorders>
          </w:tcPr>
          <w:p w14:paraId="271F43A9" w14:textId="77777777" w:rsidR="00381C4E" w:rsidRPr="001B4A02" w:rsidRDefault="00000000" w:rsidP="00A5191B">
            <w:pPr>
              <w:keepNext/>
              <w:jc w:val="center"/>
            </w:pPr>
            <w:r w:rsidRPr="001B4A02">
              <w:t>72,8 %</w:t>
            </w:r>
          </w:p>
        </w:tc>
        <w:tc>
          <w:tcPr>
            <w:tcW w:w="1417" w:type="dxa"/>
            <w:tcBorders>
              <w:left w:val="single" w:sz="4" w:space="0" w:color="auto"/>
              <w:right w:val="single" w:sz="4" w:space="0" w:color="auto"/>
            </w:tcBorders>
          </w:tcPr>
          <w:p w14:paraId="757369DB" w14:textId="77777777" w:rsidR="00381C4E" w:rsidRPr="001B4A02" w:rsidRDefault="00000000" w:rsidP="00A5191B">
            <w:pPr>
              <w:keepNext/>
              <w:jc w:val="center"/>
            </w:pPr>
            <w:r w:rsidRPr="001B4A02">
              <w:t>0,013</w:t>
            </w:r>
          </w:p>
        </w:tc>
        <w:tc>
          <w:tcPr>
            <w:tcW w:w="1559" w:type="dxa"/>
            <w:tcBorders>
              <w:left w:val="single" w:sz="4" w:space="0" w:color="auto"/>
              <w:right w:val="single" w:sz="4" w:space="0" w:color="auto"/>
            </w:tcBorders>
          </w:tcPr>
          <w:p w14:paraId="67B0F0FD" w14:textId="77777777" w:rsidR="00381C4E" w:rsidRPr="001B4A02" w:rsidRDefault="00000000" w:rsidP="00A5191B">
            <w:pPr>
              <w:keepNext/>
              <w:jc w:val="center"/>
            </w:pPr>
            <w:r w:rsidRPr="001B4A02">
              <w:t>&lt;0,001</w:t>
            </w:r>
          </w:p>
        </w:tc>
        <w:tc>
          <w:tcPr>
            <w:tcW w:w="1309" w:type="dxa"/>
            <w:tcBorders>
              <w:left w:val="single" w:sz="4" w:space="0" w:color="auto"/>
            </w:tcBorders>
          </w:tcPr>
          <w:p w14:paraId="0A1A12A0" w14:textId="77777777" w:rsidR="00381C4E" w:rsidRPr="001B4A02" w:rsidRDefault="00000000" w:rsidP="00A5191B">
            <w:pPr>
              <w:keepNext/>
              <w:jc w:val="center"/>
            </w:pPr>
            <w:r w:rsidRPr="001B4A02">
              <w:t>0,043</w:t>
            </w:r>
          </w:p>
        </w:tc>
      </w:tr>
      <w:tr w:rsidR="00534A2D" w14:paraId="6555DA73" w14:textId="77777777" w:rsidTr="00A5191B">
        <w:trPr>
          <w:gridAfter w:val="1"/>
          <w:wAfter w:w="12" w:type="dxa"/>
          <w:cantSplit/>
          <w:jc w:val="center"/>
        </w:trPr>
        <w:tc>
          <w:tcPr>
            <w:tcW w:w="1594" w:type="dxa"/>
            <w:gridSpan w:val="2"/>
            <w:tcBorders>
              <w:right w:val="single" w:sz="4" w:space="0" w:color="auto"/>
            </w:tcBorders>
          </w:tcPr>
          <w:p w14:paraId="02BC1995" w14:textId="77777777" w:rsidR="00381C4E" w:rsidRPr="001B4A02" w:rsidRDefault="00000000" w:rsidP="00A5191B">
            <w:pPr>
              <w:keepNext/>
              <w:ind w:left="352" w:hanging="352"/>
            </w:pPr>
            <w:r w:rsidRPr="001B4A02">
              <w:tab/>
              <w:t>Týden 104</w:t>
            </w:r>
          </w:p>
        </w:tc>
        <w:tc>
          <w:tcPr>
            <w:tcW w:w="992" w:type="dxa"/>
            <w:tcBorders>
              <w:left w:val="single" w:sz="4" w:space="0" w:color="auto"/>
              <w:right w:val="single" w:sz="4" w:space="0" w:color="auto"/>
            </w:tcBorders>
          </w:tcPr>
          <w:p w14:paraId="052E11E5" w14:textId="77777777" w:rsidR="00381C4E" w:rsidRPr="001B4A02" w:rsidRDefault="00000000" w:rsidP="00A5191B">
            <w:pPr>
              <w:keepNext/>
              <w:jc w:val="center"/>
            </w:pPr>
            <w:r w:rsidRPr="001B4A02">
              <w:t>56,0 %</w:t>
            </w:r>
          </w:p>
        </w:tc>
        <w:tc>
          <w:tcPr>
            <w:tcW w:w="992" w:type="dxa"/>
            <w:tcBorders>
              <w:left w:val="single" w:sz="4" w:space="0" w:color="auto"/>
              <w:right w:val="single" w:sz="4" w:space="0" w:color="auto"/>
            </w:tcBorders>
          </w:tcPr>
          <w:p w14:paraId="53712A7A" w14:textId="77777777" w:rsidR="00381C4E" w:rsidRPr="001B4A02" w:rsidRDefault="00000000" w:rsidP="00A5191B">
            <w:pPr>
              <w:keepNext/>
              <w:jc w:val="center"/>
            </w:pPr>
            <w:r w:rsidRPr="001B4A02">
              <w:t>49,3 %</w:t>
            </w:r>
          </w:p>
        </w:tc>
        <w:tc>
          <w:tcPr>
            <w:tcW w:w="1560" w:type="dxa"/>
            <w:tcBorders>
              <w:left w:val="single" w:sz="4" w:space="0" w:color="auto"/>
              <w:right w:val="single" w:sz="4" w:space="0" w:color="auto"/>
            </w:tcBorders>
          </w:tcPr>
          <w:p w14:paraId="37776234" w14:textId="77777777" w:rsidR="00381C4E" w:rsidRPr="001B4A02" w:rsidRDefault="00000000" w:rsidP="00A5191B">
            <w:pPr>
              <w:keepNext/>
              <w:jc w:val="center"/>
            </w:pPr>
            <w:r w:rsidRPr="001B4A02">
              <w:t>69,4 %</w:t>
            </w:r>
          </w:p>
        </w:tc>
        <w:tc>
          <w:tcPr>
            <w:tcW w:w="1417" w:type="dxa"/>
            <w:tcBorders>
              <w:left w:val="single" w:sz="4" w:space="0" w:color="auto"/>
              <w:right w:val="single" w:sz="4" w:space="0" w:color="auto"/>
            </w:tcBorders>
          </w:tcPr>
          <w:p w14:paraId="79FF31EA" w14:textId="77777777" w:rsidR="00381C4E" w:rsidRPr="001B4A02" w:rsidRDefault="00000000" w:rsidP="00A5191B">
            <w:pPr>
              <w:keepNext/>
              <w:jc w:val="center"/>
            </w:pPr>
            <w:r w:rsidRPr="001B4A02">
              <w:t>0,002</w:t>
            </w:r>
          </w:p>
        </w:tc>
        <w:tc>
          <w:tcPr>
            <w:tcW w:w="1559" w:type="dxa"/>
            <w:tcBorders>
              <w:left w:val="single" w:sz="4" w:space="0" w:color="auto"/>
              <w:right w:val="single" w:sz="4" w:space="0" w:color="auto"/>
            </w:tcBorders>
          </w:tcPr>
          <w:p w14:paraId="4E2AD3B8" w14:textId="77777777" w:rsidR="00381C4E" w:rsidRPr="001B4A02" w:rsidRDefault="00000000" w:rsidP="00A5191B">
            <w:pPr>
              <w:keepNext/>
              <w:jc w:val="center"/>
            </w:pPr>
            <w:r w:rsidRPr="001B4A02">
              <w:t>&lt;0,001</w:t>
            </w:r>
          </w:p>
        </w:tc>
        <w:tc>
          <w:tcPr>
            <w:tcW w:w="1309" w:type="dxa"/>
            <w:tcBorders>
              <w:left w:val="single" w:sz="4" w:space="0" w:color="auto"/>
            </w:tcBorders>
          </w:tcPr>
          <w:p w14:paraId="5C092178" w14:textId="77777777" w:rsidR="00381C4E" w:rsidRPr="001B4A02" w:rsidRDefault="00000000" w:rsidP="00A5191B">
            <w:pPr>
              <w:keepNext/>
              <w:jc w:val="center"/>
            </w:pPr>
            <w:r w:rsidRPr="001B4A02">
              <w:t>0,140</w:t>
            </w:r>
          </w:p>
        </w:tc>
      </w:tr>
      <w:tr w:rsidR="00534A2D" w14:paraId="5AFCD099" w14:textId="77777777" w:rsidTr="00A5191B">
        <w:trPr>
          <w:gridAfter w:val="1"/>
          <w:wAfter w:w="12" w:type="dxa"/>
          <w:cantSplit/>
          <w:jc w:val="center"/>
        </w:trPr>
        <w:tc>
          <w:tcPr>
            <w:tcW w:w="1594" w:type="dxa"/>
            <w:gridSpan w:val="2"/>
            <w:tcBorders>
              <w:right w:val="single" w:sz="4" w:space="0" w:color="auto"/>
            </w:tcBorders>
          </w:tcPr>
          <w:p w14:paraId="29AA5029" w14:textId="77777777" w:rsidR="00381C4E" w:rsidRPr="001B4A02" w:rsidRDefault="00000000" w:rsidP="00A5191B">
            <w:pPr>
              <w:keepNext/>
            </w:pPr>
            <w:r w:rsidRPr="001B4A02">
              <w:t>ACR 50</w:t>
            </w:r>
          </w:p>
        </w:tc>
        <w:tc>
          <w:tcPr>
            <w:tcW w:w="992" w:type="dxa"/>
            <w:tcBorders>
              <w:left w:val="single" w:sz="4" w:space="0" w:color="auto"/>
              <w:right w:val="single" w:sz="4" w:space="0" w:color="auto"/>
            </w:tcBorders>
          </w:tcPr>
          <w:p w14:paraId="05D1FB55" w14:textId="77777777" w:rsidR="00381C4E" w:rsidRPr="001B4A02" w:rsidRDefault="00381C4E" w:rsidP="00A5191B">
            <w:pPr>
              <w:keepNext/>
              <w:jc w:val="center"/>
            </w:pPr>
          </w:p>
        </w:tc>
        <w:tc>
          <w:tcPr>
            <w:tcW w:w="992" w:type="dxa"/>
            <w:tcBorders>
              <w:left w:val="single" w:sz="4" w:space="0" w:color="auto"/>
              <w:right w:val="single" w:sz="4" w:space="0" w:color="auto"/>
            </w:tcBorders>
          </w:tcPr>
          <w:p w14:paraId="63A39576" w14:textId="77777777" w:rsidR="0010061E" w:rsidRPr="001B4A02" w:rsidRDefault="0010061E" w:rsidP="00A5191B">
            <w:pPr>
              <w:keepNext/>
              <w:jc w:val="center"/>
            </w:pPr>
          </w:p>
        </w:tc>
        <w:tc>
          <w:tcPr>
            <w:tcW w:w="1560" w:type="dxa"/>
            <w:tcBorders>
              <w:left w:val="single" w:sz="4" w:space="0" w:color="auto"/>
              <w:right w:val="single" w:sz="4" w:space="0" w:color="auto"/>
            </w:tcBorders>
          </w:tcPr>
          <w:p w14:paraId="15A9C8CE" w14:textId="77777777" w:rsidR="00381C4E" w:rsidRPr="001B4A02" w:rsidRDefault="00381C4E" w:rsidP="00A5191B">
            <w:pPr>
              <w:keepNext/>
              <w:jc w:val="center"/>
            </w:pPr>
          </w:p>
        </w:tc>
        <w:tc>
          <w:tcPr>
            <w:tcW w:w="1417" w:type="dxa"/>
            <w:tcBorders>
              <w:left w:val="single" w:sz="4" w:space="0" w:color="auto"/>
              <w:right w:val="single" w:sz="4" w:space="0" w:color="auto"/>
            </w:tcBorders>
          </w:tcPr>
          <w:p w14:paraId="2D8940C2" w14:textId="77777777" w:rsidR="00381C4E" w:rsidRPr="001B4A02" w:rsidRDefault="00381C4E" w:rsidP="00A5191B">
            <w:pPr>
              <w:keepNext/>
              <w:jc w:val="center"/>
            </w:pPr>
          </w:p>
        </w:tc>
        <w:tc>
          <w:tcPr>
            <w:tcW w:w="1559" w:type="dxa"/>
            <w:tcBorders>
              <w:left w:val="single" w:sz="4" w:space="0" w:color="auto"/>
              <w:right w:val="single" w:sz="4" w:space="0" w:color="auto"/>
            </w:tcBorders>
          </w:tcPr>
          <w:p w14:paraId="0586159E" w14:textId="77777777" w:rsidR="00381C4E" w:rsidRPr="001B4A02" w:rsidRDefault="00381C4E" w:rsidP="00A5191B">
            <w:pPr>
              <w:keepNext/>
              <w:jc w:val="center"/>
            </w:pPr>
          </w:p>
        </w:tc>
        <w:tc>
          <w:tcPr>
            <w:tcW w:w="1309" w:type="dxa"/>
            <w:tcBorders>
              <w:left w:val="single" w:sz="4" w:space="0" w:color="auto"/>
            </w:tcBorders>
          </w:tcPr>
          <w:p w14:paraId="03F7F84A" w14:textId="77777777" w:rsidR="00381C4E" w:rsidRPr="001B4A02" w:rsidRDefault="00381C4E" w:rsidP="00A5191B">
            <w:pPr>
              <w:keepNext/>
              <w:jc w:val="center"/>
            </w:pPr>
          </w:p>
        </w:tc>
      </w:tr>
      <w:tr w:rsidR="00534A2D" w14:paraId="0C81DE95" w14:textId="77777777" w:rsidTr="00A5191B">
        <w:trPr>
          <w:gridAfter w:val="1"/>
          <w:wAfter w:w="12" w:type="dxa"/>
          <w:cantSplit/>
          <w:jc w:val="center"/>
        </w:trPr>
        <w:tc>
          <w:tcPr>
            <w:tcW w:w="1594" w:type="dxa"/>
            <w:gridSpan w:val="2"/>
          </w:tcPr>
          <w:p w14:paraId="2FDB73BF" w14:textId="77777777" w:rsidR="00381C4E" w:rsidRPr="001B4A02" w:rsidRDefault="00000000" w:rsidP="00A5191B">
            <w:pPr>
              <w:keepNext/>
              <w:ind w:left="352" w:hanging="352"/>
            </w:pPr>
            <w:r w:rsidRPr="001B4A02">
              <w:tab/>
              <w:t>Týden 52</w:t>
            </w:r>
          </w:p>
        </w:tc>
        <w:tc>
          <w:tcPr>
            <w:tcW w:w="992" w:type="dxa"/>
          </w:tcPr>
          <w:p w14:paraId="10F42B06" w14:textId="77777777" w:rsidR="00381C4E" w:rsidRPr="001B4A02" w:rsidRDefault="00000000" w:rsidP="00A5191B">
            <w:pPr>
              <w:keepNext/>
              <w:jc w:val="center"/>
            </w:pPr>
            <w:r w:rsidRPr="001B4A02">
              <w:t>45,9 %</w:t>
            </w:r>
          </w:p>
        </w:tc>
        <w:tc>
          <w:tcPr>
            <w:tcW w:w="992" w:type="dxa"/>
          </w:tcPr>
          <w:p w14:paraId="02234758" w14:textId="77777777" w:rsidR="00381C4E" w:rsidRPr="001B4A02" w:rsidRDefault="00000000" w:rsidP="00A5191B">
            <w:pPr>
              <w:keepNext/>
              <w:jc w:val="center"/>
            </w:pPr>
            <w:r w:rsidRPr="001B4A02">
              <w:t>41,2 %</w:t>
            </w:r>
          </w:p>
        </w:tc>
        <w:tc>
          <w:tcPr>
            <w:tcW w:w="1560" w:type="dxa"/>
          </w:tcPr>
          <w:p w14:paraId="1E74BD5C" w14:textId="77777777" w:rsidR="00381C4E" w:rsidRPr="001B4A02" w:rsidRDefault="00000000" w:rsidP="00A5191B">
            <w:pPr>
              <w:keepNext/>
              <w:jc w:val="center"/>
            </w:pPr>
            <w:r w:rsidRPr="001B4A02">
              <w:t>61,6 %</w:t>
            </w:r>
          </w:p>
        </w:tc>
        <w:tc>
          <w:tcPr>
            <w:tcW w:w="1417" w:type="dxa"/>
          </w:tcPr>
          <w:p w14:paraId="7F912359" w14:textId="77777777" w:rsidR="00381C4E" w:rsidRPr="001B4A02" w:rsidRDefault="00000000" w:rsidP="00A5191B">
            <w:pPr>
              <w:keepNext/>
              <w:jc w:val="center"/>
            </w:pPr>
            <w:r w:rsidRPr="001B4A02">
              <w:t>&lt;0,001</w:t>
            </w:r>
          </w:p>
        </w:tc>
        <w:tc>
          <w:tcPr>
            <w:tcW w:w="1559" w:type="dxa"/>
          </w:tcPr>
          <w:p w14:paraId="7E0615A0" w14:textId="77777777" w:rsidR="00381C4E" w:rsidRPr="001B4A02" w:rsidRDefault="00000000" w:rsidP="00A5191B">
            <w:pPr>
              <w:keepNext/>
              <w:jc w:val="center"/>
            </w:pPr>
            <w:r w:rsidRPr="001B4A02">
              <w:t>&lt;0,001</w:t>
            </w:r>
          </w:p>
        </w:tc>
        <w:tc>
          <w:tcPr>
            <w:tcW w:w="1309" w:type="dxa"/>
          </w:tcPr>
          <w:p w14:paraId="4A78848C" w14:textId="77777777" w:rsidR="00381C4E" w:rsidRPr="001B4A02" w:rsidRDefault="00000000" w:rsidP="00A5191B">
            <w:pPr>
              <w:keepNext/>
              <w:jc w:val="center"/>
            </w:pPr>
            <w:r w:rsidRPr="001B4A02">
              <w:t>0,317</w:t>
            </w:r>
          </w:p>
        </w:tc>
      </w:tr>
      <w:tr w:rsidR="00534A2D" w14:paraId="59393C3D" w14:textId="77777777" w:rsidTr="00A5191B">
        <w:trPr>
          <w:gridAfter w:val="1"/>
          <w:wAfter w:w="12" w:type="dxa"/>
          <w:cantSplit/>
          <w:jc w:val="center"/>
        </w:trPr>
        <w:tc>
          <w:tcPr>
            <w:tcW w:w="1594" w:type="dxa"/>
            <w:gridSpan w:val="2"/>
          </w:tcPr>
          <w:p w14:paraId="6D44A6EF" w14:textId="77777777" w:rsidR="00381C4E" w:rsidRPr="001B4A02" w:rsidRDefault="00000000" w:rsidP="00A5191B">
            <w:pPr>
              <w:keepNext/>
              <w:ind w:left="352" w:hanging="352"/>
            </w:pPr>
            <w:r w:rsidRPr="001B4A02">
              <w:tab/>
              <w:t>Týden 104</w:t>
            </w:r>
          </w:p>
        </w:tc>
        <w:tc>
          <w:tcPr>
            <w:tcW w:w="992" w:type="dxa"/>
            <w:tcBorders>
              <w:bottom w:val="single" w:sz="4" w:space="0" w:color="auto"/>
            </w:tcBorders>
          </w:tcPr>
          <w:p w14:paraId="7DC5107D" w14:textId="77777777" w:rsidR="00381C4E" w:rsidRPr="001B4A02" w:rsidRDefault="00000000" w:rsidP="00A5191B">
            <w:pPr>
              <w:keepNext/>
              <w:jc w:val="center"/>
            </w:pPr>
            <w:r w:rsidRPr="001B4A02">
              <w:t>42,8 %</w:t>
            </w:r>
          </w:p>
        </w:tc>
        <w:tc>
          <w:tcPr>
            <w:tcW w:w="992" w:type="dxa"/>
            <w:tcBorders>
              <w:bottom w:val="single" w:sz="4" w:space="0" w:color="auto"/>
            </w:tcBorders>
          </w:tcPr>
          <w:p w14:paraId="0C167A62" w14:textId="77777777" w:rsidR="00381C4E" w:rsidRPr="001B4A02" w:rsidRDefault="00000000" w:rsidP="00A5191B">
            <w:pPr>
              <w:keepNext/>
              <w:jc w:val="center"/>
            </w:pPr>
            <w:r w:rsidRPr="001B4A02">
              <w:t>36,9 %</w:t>
            </w:r>
          </w:p>
        </w:tc>
        <w:tc>
          <w:tcPr>
            <w:tcW w:w="1560" w:type="dxa"/>
            <w:tcBorders>
              <w:bottom w:val="single" w:sz="4" w:space="0" w:color="auto"/>
            </w:tcBorders>
          </w:tcPr>
          <w:p w14:paraId="5561B587" w14:textId="77777777" w:rsidR="00381C4E" w:rsidRPr="001B4A02" w:rsidRDefault="00000000" w:rsidP="00A5191B">
            <w:pPr>
              <w:keepNext/>
              <w:jc w:val="center"/>
            </w:pPr>
            <w:r w:rsidRPr="001B4A02">
              <w:t>59,0 %</w:t>
            </w:r>
          </w:p>
        </w:tc>
        <w:tc>
          <w:tcPr>
            <w:tcW w:w="1417" w:type="dxa"/>
            <w:tcBorders>
              <w:bottom w:val="single" w:sz="4" w:space="0" w:color="auto"/>
            </w:tcBorders>
          </w:tcPr>
          <w:p w14:paraId="207DD12A" w14:textId="77777777" w:rsidR="00381C4E" w:rsidRPr="001B4A02" w:rsidRDefault="00000000" w:rsidP="00A5191B">
            <w:pPr>
              <w:keepNext/>
              <w:jc w:val="center"/>
            </w:pPr>
            <w:r w:rsidRPr="001B4A02">
              <w:t>&lt;0,001</w:t>
            </w:r>
          </w:p>
        </w:tc>
        <w:tc>
          <w:tcPr>
            <w:tcW w:w="1559" w:type="dxa"/>
            <w:tcBorders>
              <w:bottom w:val="single" w:sz="4" w:space="0" w:color="auto"/>
            </w:tcBorders>
          </w:tcPr>
          <w:p w14:paraId="15CDF8ED" w14:textId="77777777" w:rsidR="00381C4E" w:rsidRPr="001B4A02" w:rsidRDefault="00000000" w:rsidP="00A5191B">
            <w:pPr>
              <w:keepNext/>
              <w:jc w:val="center"/>
            </w:pPr>
            <w:r w:rsidRPr="001B4A02">
              <w:t>&lt;0,001</w:t>
            </w:r>
          </w:p>
        </w:tc>
        <w:tc>
          <w:tcPr>
            <w:tcW w:w="1309" w:type="dxa"/>
          </w:tcPr>
          <w:p w14:paraId="19D34636" w14:textId="77777777" w:rsidR="00381C4E" w:rsidRPr="001B4A02" w:rsidRDefault="00000000" w:rsidP="00A5191B">
            <w:pPr>
              <w:keepNext/>
              <w:jc w:val="center"/>
            </w:pPr>
            <w:r w:rsidRPr="001B4A02">
              <w:t>0,162</w:t>
            </w:r>
          </w:p>
        </w:tc>
      </w:tr>
      <w:tr w:rsidR="00534A2D" w14:paraId="4470BB46" w14:textId="77777777" w:rsidTr="00A5191B">
        <w:trPr>
          <w:gridAfter w:val="1"/>
          <w:wAfter w:w="12" w:type="dxa"/>
          <w:cantSplit/>
          <w:jc w:val="center"/>
        </w:trPr>
        <w:tc>
          <w:tcPr>
            <w:tcW w:w="1594" w:type="dxa"/>
            <w:gridSpan w:val="2"/>
            <w:tcBorders>
              <w:right w:val="single" w:sz="4" w:space="0" w:color="auto"/>
            </w:tcBorders>
          </w:tcPr>
          <w:p w14:paraId="03C8D9F7" w14:textId="77777777" w:rsidR="00381C4E" w:rsidRPr="001B4A02" w:rsidRDefault="00000000" w:rsidP="00A5191B">
            <w:pPr>
              <w:keepNext/>
            </w:pPr>
            <w:r w:rsidRPr="001B4A02">
              <w:t>ACR 70</w:t>
            </w:r>
          </w:p>
        </w:tc>
        <w:tc>
          <w:tcPr>
            <w:tcW w:w="992" w:type="dxa"/>
            <w:tcBorders>
              <w:left w:val="single" w:sz="4" w:space="0" w:color="auto"/>
              <w:right w:val="single" w:sz="4" w:space="0" w:color="auto"/>
            </w:tcBorders>
          </w:tcPr>
          <w:p w14:paraId="4B5E7820" w14:textId="77777777" w:rsidR="00381C4E" w:rsidRPr="001B4A02" w:rsidRDefault="00381C4E" w:rsidP="00A5191B">
            <w:pPr>
              <w:keepNext/>
              <w:jc w:val="center"/>
            </w:pPr>
          </w:p>
        </w:tc>
        <w:tc>
          <w:tcPr>
            <w:tcW w:w="992" w:type="dxa"/>
            <w:tcBorders>
              <w:left w:val="single" w:sz="4" w:space="0" w:color="auto"/>
              <w:right w:val="single" w:sz="4" w:space="0" w:color="auto"/>
            </w:tcBorders>
          </w:tcPr>
          <w:p w14:paraId="02334197" w14:textId="77777777" w:rsidR="00381C4E" w:rsidRPr="001B4A02" w:rsidRDefault="00381C4E" w:rsidP="00A5191B">
            <w:pPr>
              <w:keepNext/>
              <w:jc w:val="center"/>
            </w:pPr>
          </w:p>
        </w:tc>
        <w:tc>
          <w:tcPr>
            <w:tcW w:w="1560" w:type="dxa"/>
            <w:tcBorders>
              <w:left w:val="single" w:sz="4" w:space="0" w:color="auto"/>
              <w:right w:val="single" w:sz="4" w:space="0" w:color="auto"/>
            </w:tcBorders>
          </w:tcPr>
          <w:p w14:paraId="0367E8CB" w14:textId="77777777" w:rsidR="00381C4E" w:rsidRPr="001B4A02" w:rsidRDefault="00381C4E" w:rsidP="00A5191B">
            <w:pPr>
              <w:keepNext/>
              <w:jc w:val="center"/>
            </w:pPr>
          </w:p>
        </w:tc>
        <w:tc>
          <w:tcPr>
            <w:tcW w:w="1417" w:type="dxa"/>
            <w:tcBorders>
              <w:left w:val="single" w:sz="4" w:space="0" w:color="auto"/>
              <w:right w:val="single" w:sz="4" w:space="0" w:color="auto"/>
            </w:tcBorders>
          </w:tcPr>
          <w:p w14:paraId="445A6A4C" w14:textId="77777777" w:rsidR="00381C4E" w:rsidRPr="001B4A02" w:rsidRDefault="00381C4E" w:rsidP="00A5191B">
            <w:pPr>
              <w:keepNext/>
              <w:jc w:val="center"/>
            </w:pPr>
          </w:p>
        </w:tc>
        <w:tc>
          <w:tcPr>
            <w:tcW w:w="1559" w:type="dxa"/>
            <w:tcBorders>
              <w:left w:val="single" w:sz="4" w:space="0" w:color="auto"/>
              <w:right w:val="single" w:sz="4" w:space="0" w:color="auto"/>
            </w:tcBorders>
          </w:tcPr>
          <w:p w14:paraId="5BACB912" w14:textId="77777777" w:rsidR="00381C4E" w:rsidRPr="001B4A02" w:rsidRDefault="00381C4E" w:rsidP="00A5191B">
            <w:pPr>
              <w:keepNext/>
              <w:jc w:val="center"/>
            </w:pPr>
          </w:p>
        </w:tc>
        <w:tc>
          <w:tcPr>
            <w:tcW w:w="1309" w:type="dxa"/>
            <w:tcBorders>
              <w:left w:val="single" w:sz="4" w:space="0" w:color="auto"/>
            </w:tcBorders>
          </w:tcPr>
          <w:p w14:paraId="0C44BF6F" w14:textId="77777777" w:rsidR="00381C4E" w:rsidRPr="001B4A02" w:rsidRDefault="00381C4E" w:rsidP="00A5191B">
            <w:pPr>
              <w:keepNext/>
              <w:jc w:val="center"/>
            </w:pPr>
          </w:p>
        </w:tc>
      </w:tr>
      <w:tr w:rsidR="00534A2D" w14:paraId="3963DE71" w14:textId="77777777" w:rsidTr="00A5191B">
        <w:trPr>
          <w:gridAfter w:val="1"/>
          <w:wAfter w:w="12" w:type="dxa"/>
          <w:cantSplit/>
          <w:trHeight w:val="70"/>
          <w:jc w:val="center"/>
        </w:trPr>
        <w:tc>
          <w:tcPr>
            <w:tcW w:w="1594" w:type="dxa"/>
            <w:gridSpan w:val="2"/>
          </w:tcPr>
          <w:p w14:paraId="33CD3DE1" w14:textId="77777777" w:rsidR="00381C4E" w:rsidRPr="001B4A02" w:rsidRDefault="00000000" w:rsidP="00A5191B">
            <w:pPr>
              <w:keepNext/>
              <w:ind w:left="352" w:hanging="352"/>
            </w:pPr>
            <w:r w:rsidRPr="001B4A02">
              <w:tab/>
              <w:t>Týden 52</w:t>
            </w:r>
          </w:p>
        </w:tc>
        <w:tc>
          <w:tcPr>
            <w:tcW w:w="992" w:type="dxa"/>
          </w:tcPr>
          <w:p w14:paraId="63CBA539" w14:textId="77777777" w:rsidR="00381C4E" w:rsidRPr="001B4A02" w:rsidRDefault="00000000" w:rsidP="00A5191B">
            <w:pPr>
              <w:keepNext/>
              <w:jc w:val="center"/>
            </w:pPr>
            <w:r w:rsidRPr="001B4A02">
              <w:t>27,2 %</w:t>
            </w:r>
          </w:p>
        </w:tc>
        <w:tc>
          <w:tcPr>
            <w:tcW w:w="992" w:type="dxa"/>
          </w:tcPr>
          <w:p w14:paraId="168E564C" w14:textId="77777777" w:rsidR="00381C4E" w:rsidRPr="001B4A02" w:rsidRDefault="00000000" w:rsidP="00A5191B">
            <w:pPr>
              <w:keepNext/>
              <w:jc w:val="center"/>
            </w:pPr>
            <w:r w:rsidRPr="001B4A02">
              <w:t>25,9 %</w:t>
            </w:r>
          </w:p>
        </w:tc>
        <w:tc>
          <w:tcPr>
            <w:tcW w:w="1560" w:type="dxa"/>
          </w:tcPr>
          <w:p w14:paraId="6D916C3C" w14:textId="77777777" w:rsidR="00381C4E" w:rsidRPr="001B4A02" w:rsidRDefault="00000000" w:rsidP="00A5191B">
            <w:pPr>
              <w:keepNext/>
              <w:jc w:val="center"/>
            </w:pPr>
            <w:r w:rsidRPr="001B4A02">
              <w:t>45,5 %</w:t>
            </w:r>
          </w:p>
        </w:tc>
        <w:tc>
          <w:tcPr>
            <w:tcW w:w="1417" w:type="dxa"/>
          </w:tcPr>
          <w:p w14:paraId="7EF236B3" w14:textId="77777777" w:rsidR="00381C4E" w:rsidRPr="001B4A02" w:rsidRDefault="00000000" w:rsidP="00A5191B">
            <w:pPr>
              <w:keepNext/>
              <w:jc w:val="center"/>
            </w:pPr>
            <w:r w:rsidRPr="001B4A02">
              <w:t>&lt;0,001</w:t>
            </w:r>
          </w:p>
        </w:tc>
        <w:tc>
          <w:tcPr>
            <w:tcW w:w="1559" w:type="dxa"/>
          </w:tcPr>
          <w:p w14:paraId="2D296970" w14:textId="77777777" w:rsidR="00381C4E" w:rsidRPr="001B4A02" w:rsidRDefault="00000000" w:rsidP="00A5191B">
            <w:pPr>
              <w:keepNext/>
              <w:jc w:val="center"/>
            </w:pPr>
            <w:r w:rsidRPr="001B4A02">
              <w:t>&lt;0,001</w:t>
            </w:r>
          </w:p>
        </w:tc>
        <w:tc>
          <w:tcPr>
            <w:tcW w:w="1309" w:type="dxa"/>
          </w:tcPr>
          <w:p w14:paraId="28BEC3A2" w14:textId="77777777" w:rsidR="00381C4E" w:rsidRPr="001B4A02" w:rsidRDefault="00000000" w:rsidP="00A5191B">
            <w:pPr>
              <w:keepNext/>
              <w:jc w:val="center"/>
            </w:pPr>
            <w:r w:rsidRPr="001B4A02">
              <w:t>0,656</w:t>
            </w:r>
          </w:p>
        </w:tc>
      </w:tr>
      <w:tr w:rsidR="00534A2D" w14:paraId="582560DF" w14:textId="77777777" w:rsidTr="00A5191B">
        <w:trPr>
          <w:gridAfter w:val="1"/>
          <w:wAfter w:w="12" w:type="dxa"/>
          <w:cantSplit/>
          <w:jc w:val="center"/>
        </w:trPr>
        <w:tc>
          <w:tcPr>
            <w:tcW w:w="1594" w:type="dxa"/>
            <w:gridSpan w:val="2"/>
          </w:tcPr>
          <w:p w14:paraId="47595E8E" w14:textId="77777777" w:rsidR="00381C4E" w:rsidRPr="001B4A02" w:rsidRDefault="00000000" w:rsidP="00A5191B">
            <w:pPr>
              <w:keepNext/>
              <w:ind w:left="352" w:hanging="352"/>
            </w:pPr>
            <w:r w:rsidRPr="001B4A02">
              <w:tab/>
              <w:t>Týden 104</w:t>
            </w:r>
          </w:p>
        </w:tc>
        <w:tc>
          <w:tcPr>
            <w:tcW w:w="992" w:type="dxa"/>
          </w:tcPr>
          <w:p w14:paraId="4A8D4EB1" w14:textId="77777777" w:rsidR="00381C4E" w:rsidRPr="001B4A02" w:rsidRDefault="00000000" w:rsidP="00A5191B">
            <w:pPr>
              <w:keepNext/>
              <w:jc w:val="center"/>
            </w:pPr>
            <w:r w:rsidRPr="001B4A02">
              <w:t>28,4 %</w:t>
            </w:r>
          </w:p>
        </w:tc>
        <w:tc>
          <w:tcPr>
            <w:tcW w:w="992" w:type="dxa"/>
          </w:tcPr>
          <w:p w14:paraId="2A10C5BA" w14:textId="77777777" w:rsidR="00381C4E" w:rsidRPr="001B4A02" w:rsidRDefault="00000000" w:rsidP="00A5191B">
            <w:pPr>
              <w:keepNext/>
              <w:jc w:val="center"/>
            </w:pPr>
            <w:r w:rsidRPr="001B4A02">
              <w:t>28,1 %</w:t>
            </w:r>
          </w:p>
        </w:tc>
        <w:tc>
          <w:tcPr>
            <w:tcW w:w="1560" w:type="dxa"/>
          </w:tcPr>
          <w:p w14:paraId="607E39D9" w14:textId="77777777" w:rsidR="00381C4E" w:rsidRPr="001B4A02" w:rsidRDefault="00000000" w:rsidP="00A5191B">
            <w:pPr>
              <w:keepNext/>
              <w:jc w:val="center"/>
            </w:pPr>
            <w:r w:rsidRPr="001B4A02">
              <w:t>46,6 %</w:t>
            </w:r>
          </w:p>
        </w:tc>
        <w:tc>
          <w:tcPr>
            <w:tcW w:w="1417" w:type="dxa"/>
          </w:tcPr>
          <w:p w14:paraId="657E2C65" w14:textId="77777777" w:rsidR="00381C4E" w:rsidRPr="001B4A02" w:rsidRDefault="00000000" w:rsidP="00A5191B">
            <w:pPr>
              <w:keepNext/>
              <w:jc w:val="center"/>
            </w:pPr>
            <w:r w:rsidRPr="001B4A02">
              <w:t>&lt;0,001</w:t>
            </w:r>
          </w:p>
        </w:tc>
        <w:tc>
          <w:tcPr>
            <w:tcW w:w="1559" w:type="dxa"/>
          </w:tcPr>
          <w:p w14:paraId="347A147B" w14:textId="77777777" w:rsidR="00381C4E" w:rsidRPr="001B4A02" w:rsidRDefault="00000000" w:rsidP="00A5191B">
            <w:pPr>
              <w:keepNext/>
              <w:jc w:val="center"/>
            </w:pPr>
            <w:r w:rsidRPr="001B4A02">
              <w:t>&lt;0,001</w:t>
            </w:r>
          </w:p>
        </w:tc>
        <w:tc>
          <w:tcPr>
            <w:tcW w:w="1309" w:type="dxa"/>
          </w:tcPr>
          <w:p w14:paraId="4A707AD7" w14:textId="77777777" w:rsidR="00381C4E" w:rsidRPr="001B4A02" w:rsidRDefault="00000000" w:rsidP="00A5191B">
            <w:pPr>
              <w:keepNext/>
              <w:jc w:val="center"/>
            </w:pPr>
            <w:r w:rsidRPr="001B4A02">
              <w:t>0,864</w:t>
            </w:r>
          </w:p>
        </w:tc>
      </w:tr>
      <w:tr w:rsidR="00534A2D" w14:paraId="398EC724" w14:textId="77777777" w:rsidTr="00A5191B">
        <w:trPr>
          <w:gridBefore w:val="1"/>
          <w:wBefore w:w="6" w:type="dxa"/>
          <w:cantSplit/>
          <w:jc w:val="center"/>
        </w:trPr>
        <w:tc>
          <w:tcPr>
            <w:tcW w:w="9429" w:type="dxa"/>
            <w:gridSpan w:val="8"/>
            <w:tcBorders>
              <w:top w:val="single" w:sz="4" w:space="0" w:color="auto"/>
              <w:left w:val="single" w:sz="4" w:space="0" w:color="auto"/>
              <w:bottom w:val="single" w:sz="4" w:space="0" w:color="auto"/>
              <w:right w:val="single" w:sz="4" w:space="0" w:color="auto"/>
            </w:tcBorders>
          </w:tcPr>
          <w:p w14:paraId="2D0231E4" w14:textId="77777777" w:rsidR="00381C4E" w:rsidRPr="00D0259F" w:rsidRDefault="00000000" w:rsidP="00A5191B">
            <w:pPr>
              <w:keepNext/>
              <w:tabs>
                <w:tab w:val="left" w:pos="330"/>
                <w:tab w:val="left" w:pos="10728"/>
              </w:tabs>
              <w:ind w:left="360" w:hanging="360"/>
              <w:rPr>
                <w:sz w:val="20"/>
              </w:rPr>
            </w:pPr>
            <w:r w:rsidRPr="001B4A02">
              <w:rPr>
                <w:sz w:val="20"/>
                <w:vertAlign w:val="superscript"/>
              </w:rPr>
              <w:t xml:space="preserve">a </w:t>
            </w:r>
            <w:r w:rsidRPr="001B4A02">
              <w:rPr>
                <w:sz w:val="20"/>
              </w:rPr>
              <w:t xml:space="preserve">Hodnota p pochází z párového srovnání monoterapie </w:t>
            </w:r>
            <w:r w:rsidRPr="009271A3">
              <w:rPr>
                <w:sz w:val="20"/>
              </w:rPr>
              <w:t>methotrexátem</w:t>
            </w:r>
            <w:r w:rsidR="002378E0">
              <w:rPr>
                <w:sz w:val="20"/>
              </w:rPr>
              <w:t xml:space="preserve"> a </w:t>
            </w:r>
            <w:r w:rsidRPr="009271A3">
              <w:rPr>
                <w:sz w:val="20"/>
              </w:rPr>
              <w:t>kombin</w:t>
            </w:r>
            <w:r w:rsidR="009271A3" w:rsidRPr="009271A3">
              <w:rPr>
                <w:sz w:val="20"/>
              </w:rPr>
              <w:t>ovan</w:t>
            </w:r>
            <w:r w:rsidR="00D0259F">
              <w:rPr>
                <w:sz w:val="20"/>
              </w:rPr>
              <w:t>é</w:t>
            </w:r>
            <w:r w:rsidRPr="009271A3">
              <w:rPr>
                <w:sz w:val="20"/>
              </w:rPr>
              <w:t xml:space="preserve"> terapie přípravkem Humira/methotrexát pomocí Mann</w:t>
            </w:r>
            <w:r w:rsidRPr="009271A3">
              <w:rPr>
                <w:sz w:val="20"/>
              </w:rPr>
              <w:noBreakHyphen/>
              <w:t>Whitneova U testu.</w:t>
            </w:r>
          </w:p>
          <w:p w14:paraId="4840BA5D" w14:textId="77777777" w:rsidR="00381C4E" w:rsidRPr="00D0259F" w:rsidRDefault="00000000" w:rsidP="00A5191B">
            <w:pPr>
              <w:pStyle w:val="BodyTextIndent"/>
              <w:keepNext/>
              <w:ind w:left="330" w:hanging="330"/>
              <w:rPr>
                <w:b w:val="0"/>
                <w:bCs/>
                <w:color w:val="auto"/>
                <w:sz w:val="20"/>
                <w:lang w:val="cs-CZ"/>
              </w:rPr>
            </w:pPr>
            <w:r w:rsidRPr="00D0259F">
              <w:rPr>
                <w:b w:val="0"/>
                <w:color w:val="auto"/>
                <w:sz w:val="20"/>
                <w:vertAlign w:val="superscript"/>
                <w:lang w:val="cs-CZ"/>
              </w:rPr>
              <w:t xml:space="preserve">b </w:t>
            </w:r>
            <w:r w:rsidRPr="00D0259F">
              <w:rPr>
                <w:b w:val="0"/>
                <w:color w:val="auto"/>
                <w:sz w:val="20"/>
                <w:lang w:val="cs-CZ"/>
              </w:rPr>
              <w:t>Hodnota p pochází z párového srovnání monoterapie přípravkem Humira</w:t>
            </w:r>
            <w:r w:rsidR="002378E0">
              <w:rPr>
                <w:b w:val="0"/>
                <w:color w:val="auto"/>
                <w:sz w:val="20"/>
                <w:lang w:val="cs-CZ"/>
              </w:rPr>
              <w:t xml:space="preserve"> a </w:t>
            </w:r>
            <w:r w:rsidRPr="0093374E">
              <w:rPr>
                <w:b w:val="0"/>
                <w:color w:val="auto"/>
                <w:sz w:val="20"/>
                <w:lang w:val="cs-CZ"/>
              </w:rPr>
              <w:t>kombin</w:t>
            </w:r>
            <w:r w:rsidR="009271A3" w:rsidRPr="000F1E90">
              <w:rPr>
                <w:b w:val="0"/>
                <w:color w:val="auto"/>
                <w:sz w:val="20"/>
              </w:rPr>
              <w:t>ovan</w:t>
            </w:r>
            <w:r w:rsidR="00D0259F" w:rsidRPr="000F1E90">
              <w:rPr>
                <w:b w:val="0"/>
                <w:color w:val="auto"/>
                <w:sz w:val="20"/>
                <w:lang w:val="cs-CZ"/>
              </w:rPr>
              <w:t>é</w:t>
            </w:r>
            <w:r w:rsidRPr="0093374E">
              <w:rPr>
                <w:b w:val="0"/>
                <w:color w:val="auto"/>
                <w:sz w:val="20"/>
                <w:lang w:val="cs-CZ"/>
              </w:rPr>
              <w:t xml:space="preserve"> </w:t>
            </w:r>
            <w:r w:rsidRPr="009271A3">
              <w:rPr>
                <w:b w:val="0"/>
                <w:color w:val="auto"/>
                <w:sz w:val="20"/>
                <w:lang w:val="cs-CZ"/>
              </w:rPr>
              <w:t>terapie přípravkem Humira/methotrexát pomocí Mann</w:t>
            </w:r>
            <w:r w:rsidRPr="009271A3">
              <w:rPr>
                <w:b w:val="0"/>
                <w:color w:val="auto"/>
                <w:sz w:val="20"/>
                <w:lang w:val="cs-CZ"/>
              </w:rPr>
              <w:noBreakHyphen/>
              <w:t>Whitneova U testu</w:t>
            </w:r>
            <w:r w:rsidRPr="00D0259F">
              <w:rPr>
                <w:b w:val="0"/>
                <w:bCs/>
                <w:color w:val="auto"/>
                <w:sz w:val="20"/>
                <w:lang w:val="cs-CZ"/>
              </w:rPr>
              <w:t>.</w:t>
            </w:r>
          </w:p>
          <w:p w14:paraId="763A6703" w14:textId="77777777" w:rsidR="00381C4E" w:rsidRPr="001B4A02" w:rsidRDefault="00000000" w:rsidP="00A5191B">
            <w:pPr>
              <w:pStyle w:val="BodyTextIndent"/>
              <w:keepNext/>
              <w:ind w:left="330" w:hanging="330"/>
              <w:rPr>
                <w:b w:val="0"/>
                <w:bCs/>
                <w:color w:val="auto"/>
                <w:lang w:val="cs-CZ"/>
              </w:rPr>
            </w:pPr>
            <w:r w:rsidRPr="001B4A02">
              <w:rPr>
                <w:b w:val="0"/>
                <w:bCs/>
                <w:color w:val="auto"/>
                <w:sz w:val="20"/>
                <w:vertAlign w:val="superscript"/>
                <w:lang w:val="cs-CZ"/>
              </w:rPr>
              <w:t xml:space="preserve">c </w:t>
            </w:r>
            <w:r w:rsidRPr="001B4A02">
              <w:rPr>
                <w:b w:val="0"/>
                <w:bCs/>
                <w:color w:val="auto"/>
                <w:sz w:val="20"/>
                <w:lang w:val="cs-CZ"/>
              </w:rPr>
              <w:t>Hodnota p pochází z párového srovnání monoterapie přípravkem Humira</w:t>
            </w:r>
            <w:r w:rsidR="002378E0">
              <w:rPr>
                <w:b w:val="0"/>
                <w:bCs/>
                <w:color w:val="auto"/>
                <w:sz w:val="20"/>
                <w:lang w:val="cs-CZ"/>
              </w:rPr>
              <w:t xml:space="preserve"> a </w:t>
            </w:r>
            <w:r w:rsidRPr="001B4A02">
              <w:rPr>
                <w:b w:val="0"/>
                <w:bCs/>
                <w:color w:val="auto"/>
                <w:sz w:val="20"/>
                <w:lang w:val="cs-CZ"/>
              </w:rPr>
              <w:t xml:space="preserve">monoterapie methotrexátem pomocí </w:t>
            </w:r>
            <w:r w:rsidRPr="001B4A02">
              <w:rPr>
                <w:b w:val="0"/>
                <w:color w:val="auto"/>
                <w:sz w:val="20"/>
                <w:lang w:val="cs-CZ"/>
              </w:rPr>
              <w:t>Mann</w:t>
            </w:r>
            <w:r w:rsidRPr="001B4A02">
              <w:rPr>
                <w:b w:val="0"/>
                <w:color w:val="auto"/>
                <w:sz w:val="20"/>
                <w:lang w:val="cs-CZ"/>
              </w:rPr>
              <w:noBreakHyphen/>
              <w:t>Whitneova U testu</w:t>
            </w:r>
            <w:r w:rsidRPr="001B4A02">
              <w:rPr>
                <w:b w:val="0"/>
                <w:bCs/>
                <w:color w:val="auto"/>
                <w:sz w:val="20"/>
                <w:lang w:val="cs-CZ"/>
              </w:rPr>
              <w:t>.</w:t>
            </w:r>
          </w:p>
        </w:tc>
      </w:tr>
    </w:tbl>
    <w:p w14:paraId="357A7D08" w14:textId="77777777" w:rsidR="00381C4E" w:rsidRPr="001B4A02" w:rsidRDefault="00381C4E" w:rsidP="00C465CA">
      <w:pPr>
        <w:pStyle w:val="EndnoteText"/>
        <w:rPr>
          <w:lang w:val="cs-CZ"/>
        </w:rPr>
      </w:pPr>
    </w:p>
    <w:p w14:paraId="371B644A" w14:textId="77777777" w:rsidR="00381C4E" w:rsidRPr="001B4A02" w:rsidRDefault="00000000" w:rsidP="00381C4E">
      <w:pPr>
        <w:pStyle w:val="EndnoteText"/>
        <w:ind w:left="0" w:firstLine="0"/>
        <w:rPr>
          <w:lang w:val="cs-CZ"/>
        </w:rPr>
      </w:pPr>
      <w:r w:rsidRPr="001B4A02">
        <w:rPr>
          <w:lang w:val="cs-CZ"/>
        </w:rPr>
        <w:t>V otevřené prodloužené fázi studie RA V</w:t>
      </w:r>
      <w:r w:rsidR="003D5529" w:rsidRPr="001B4A02">
        <w:rPr>
          <w:lang w:val="cs-CZ"/>
        </w:rPr>
        <w:t xml:space="preserve"> </w:t>
      </w:r>
      <w:r w:rsidRPr="001B4A02">
        <w:rPr>
          <w:lang w:val="cs-CZ"/>
        </w:rPr>
        <w:t>byly odpovědi ACR na léčbu zachovány po dobu až 10 let. Z 542 pacientů, kteří byli randomizováni na léčbu přípravkem Humira 40</w:t>
      </w:r>
      <w:r w:rsidR="00294902">
        <w:rPr>
          <w:lang w:val="cs-CZ"/>
        </w:rPr>
        <w:t> mg</w:t>
      </w:r>
      <w:r w:rsidRPr="001B4A02">
        <w:rPr>
          <w:lang w:val="cs-CZ"/>
        </w:rPr>
        <w:t xml:space="preserve"> každý druhý týden, pokračovalo 170 pacien</w:t>
      </w:r>
      <w:r w:rsidR="00965320">
        <w:rPr>
          <w:lang w:val="cs-CZ"/>
        </w:rPr>
        <w:t>tů v léčbě přípravkem Humira 40</w:t>
      </w:r>
      <w:r w:rsidR="00294902">
        <w:rPr>
          <w:lang w:val="cs-CZ"/>
        </w:rPr>
        <w:t> mg</w:t>
      </w:r>
      <w:r w:rsidRPr="001B4A02">
        <w:rPr>
          <w:lang w:val="cs-CZ"/>
        </w:rPr>
        <w:t xml:space="preserve"> každý druhý týden po dobu 10 let. Mezi těmi dosáhlo 154 pacientů (90,6 %) odpovědi ACR 20; 127 pacientů (74,7 %) dosáhlo odpovědi ACR 50</w:t>
      </w:r>
      <w:r w:rsidR="002378E0">
        <w:rPr>
          <w:lang w:val="cs-CZ"/>
        </w:rPr>
        <w:t xml:space="preserve"> a </w:t>
      </w:r>
      <w:r w:rsidRPr="001B4A02">
        <w:rPr>
          <w:lang w:val="cs-CZ"/>
        </w:rPr>
        <w:t>102 pacientů (60 %) dosáhlo odpovědi ACR 70.</w:t>
      </w:r>
    </w:p>
    <w:p w14:paraId="30E33031" w14:textId="77777777" w:rsidR="00381C4E" w:rsidRPr="001B4A02" w:rsidRDefault="00381C4E" w:rsidP="00381C4E"/>
    <w:p w14:paraId="16BCA251" w14:textId="77777777" w:rsidR="00381C4E" w:rsidRPr="001B4A02" w:rsidRDefault="00000000" w:rsidP="00381C4E">
      <w:pPr>
        <w:pStyle w:val="EndnoteText"/>
        <w:ind w:left="0" w:firstLine="0"/>
        <w:rPr>
          <w:lang w:val="cs-CZ"/>
        </w:rPr>
      </w:pPr>
      <w:r w:rsidRPr="001B4A02">
        <w:rPr>
          <w:lang w:val="cs-CZ"/>
        </w:rPr>
        <w:t>V týdnu 52 dosáhlo 42,9 % pacientů léčených kombinací přípravku Humira/methotrexát klinickou remisi (DAS28 (CRP) &lt; 2,6) v porovnání s 20,6 % pacientů léčených methotrexátem v monoterapii</w:t>
      </w:r>
      <w:r w:rsidR="002378E0">
        <w:rPr>
          <w:lang w:val="cs-CZ"/>
        </w:rPr>
        <w:t xml:space="preserve"> a </w:t>
      </w:r>
      <w:r w:rsidRPr="001B4A02">
        <w:rPr>
          <w:lang w:val="cs-CZ"/>
        </w:rPr>
        <w:t>23,4 % pacientů léčených přípravkem Humira v monoterapii. Kombin</w:t>
      </w:r>
      <w:r w:rsidR="009271A3">
        <w:t>ovan</w:t>
      </w:r>
      <w:r w:rsidR="009271A3">
        <w:rPr>
          <w:lang w:val="cs-CZ"/>
        </w:rPr>
        <w:t>á</w:t>
      </w:r>
      <w:r w:rsidRPr="001B4A02">
        <w:rPr>
          <w:lang w:val="cs-CZ"/>
        </w:rPr>
        <w:t xml:space="preserve"> terapie přípravkem Humira/methotrexátem byla klinicky</w:t>
      </w:r>
      <w:r w:rsidR="002378E0">
        <w:rPr>
          <w:lang w:val="cs-CZ"/>
        </w:rPr>
        <w:t xml:space="preserve"> a </w:t>
      </w:r>
      <w:r w:rsidRPr="001B4A02">
        <w:rPr>
          <w:lang w:val="cs-CZ"/>
        </w:rPr>
        <w:t>statisticky lepší než monoterapie methotrexátem (p</w:t>
      </w:r>
      <w:r w:rsidR="009B56B1" w:rsidRPr="001B4A02">
        <w:rPr>
          <w:rFonts w:ascii="Symbol" w:hAnsi="Symbol"/>
          <w:lang w:val="cs-CZ"/>
        </w:rPr>
        <w:sym w:font="Symbol" w:char="F03C"/>
      </w:r>
      <w:r w:rsidRPr="001B4A02">
        <w:rPr>
          <w:lang w:val="cs-CZ"/>
        </w:rPr>
        <w:t>0,001)</w:t>
      </w:r>
      <w:r w:rsidR="002378E0">
        <w:rPr>
          <w:lang w:val="cs-CZ"/>
        </w:rPr>
        <w:t xml:space="preserve"> a </w:t>
      </w:r>
      <w:r w:rsidRPr="001B4A02">
        <w:rPr>
          <w:lang w:val="cs-CZ"/>
        </w:rPr>
        <w:t>monoterapie přípravkem Humira (p</w:t>
      </w:r>
      <w:r w:rsidR="009B56B1" w:rsidRPr="001B4A02">
        <w:rPr>
          <w:rFonts w:ascii="Symbol" w:hAnsi="Symbol"/>
          <w:lang w:val="cs-CZ"/>
        </w:rPr>
        <w:sym w:font="Symbol" w:char="F03C"/>
      </w:r>
      <w:r w:rsidRPr="001B4A02">
        <w:rPr>
          <w:lang w:val="cs-CZ"/>
        </w:rPr>
        <w:t>0,001) z hlediska dosažení stavu nízké aktivity choroby u pacientů se střední až těžkou formou revmatoidní artritidy diagnostikovanou v nedávné době. Odpověď u obou větví studie s monoterapií byla podobná (p=0,447). Ze 342 subjektů, kte</w:t>
      </w:r>
      <w:r w:rsidR="00F9434B">
        <w:rPr>
          <w:lang w:val="cs-CZ"/>
        </w:rPr>
        <w:t>ré</w:t>
      </w:r>
      <w:r w:rsidRPr="001B4A02">
        <w:rPr>
          <w:lang w:val="cs-CZ"/>
        </w:rPr>
        <w:t xml:space="preserve"> se účastnil</w:t>
      </w:r>
      <w:r w:rsidR="00F9434B">
        <w:rPr>
          <w:lang w:val="cs-CZ"/>
        </w:rPr>
        <w:t>y</w:t>
      </w:r>
      <w:r w:rsidRPr="001B4A02">
        <w:rPr>
          <w:lang w:val="cs-CZ"/>
        </w:rPr>
        <w:t xml:space="preserve"> otevřené prodloužené fáze studie</w:t>
      </w:r>
      <w:r w:rsidR="002378E0">
        <w:rPr>
          <w:lang w:val="cs-CZ"/>
        </w:rPr>
        <w:t xml:space="preserve"> a </w:t>
      </w:r>
      <w:r w:rsidRPr="001B4A02">
        <w:rPr>
          <w:lang w:val="cs-CZ"/>
        </w:rPr>
        <w:t>byl</w:t>
      </w:r>
      <w:r w:rsidR="00F9434B">
        <w:rPr>
          <w:lang w:val="cs-CZ"/>
        </w:rPr>
        <w:t>y</w:t>
      </w:r>
      <w:r w:rsidRPr="001B4A02">
        <w:rPr>
          <w:lang w:val="cs-CZ"/>
        </w:rPr>
        <w:t xml:space="preserve"> randomizován</w:t>
      </w:r>
      <w:r w:rsidR="00F9434B">
        <w:rPr>
          <w:lang w:val="cs-CZ"/>
        </w:rPr>
        <w:t>y</w:t>
      </w:r>
      <w:r w:rsidRPr="001B4A02">
        <w:rPr>
          <w:lang w:val="cs-CZ"/>
        </w:rPr>
        <w:t xml:space="preserve"> na léčbu přípravkem Humira v monoterapii nebo </w:t>
      </w:r>
      <w:r w:rsidR="00B86D3A" w:rsidRPr="001B4A02">
        <w:rPr>
          <w:lang w:val="cs-CZ"/>
        </w:rPr>
        <w:t xml:space="preserve">přípravku </w:t>
      </w:r>
      <w:r w:rsidRPr="001B4A02">
        <w:rPr>
          <w:lang w:val="cs-CZ"/>
        </w:rPr>
        <w:t>Humira v kombinaci s</w:t>
      </w:r>
      <w:r w:rsidR="00910336" w:rsidRPr="001B4A02">
        <w:rPr>
          <w:lang w:val="cs-CZ"/>
        </w:rPr>
        <w:t> </w:t>
      </w:r>
      <w:r w:rsidRPr="001B4A02">
        <w:rPr>
          <w:lang w:val="cs-CZ"/>
        </w:rPr>
        <w:t>methotrexátem, 171 pacientů dokončilo 10 let léčby přípravkem Humira. Z těchto pacientů dosáhlo remise po 10 letech 109 subjektů (63,7 %).</w:t>
      </w:r>
    </w:p>
    <w:p w14:paraId="5DABC116" w14:textId="77777777" w:rsidR="00381C4E" w:rsidRPr="001B4A02" w:rsidRDefault="00381C4E" w:rsidP="00381C4E">
      <w:pPr>
        <w:ind w:left="0" w:firstLine="0"/>
        <w:rPr>
          <w:u w:val="single"/>
        </w:rPr>
      </w:pPr>
    </w:p>
    <w:p w14:paraId="211B43A8" w14:textId="77777777" w:rsidR="00381C4E" w:rsidRPr="001B4A02" w:rsidRDefault="00000000" w:rsidP="00C465CA">
      <w:pPr>
        <w:keepNext/>
        <w:ind w:left="0" w:firstLine="0"/>
        <w:rPr>
          <w:i/>
          <w:u w:val="single"/>
        </w:rPr>
      </w:pPr>
      <w:r w:rsidRPr="001B4A02">
        <w:rPr>
          <w:i/>
          <w:u w:val="single"/>
        </w:rPr>
        <w:t>RTG odpověď</w:t>
      </w:r>
    </w:p>
    <w:p w14:paraId="2DFF55A1" w14:textId="77777777" w:rsidR="00381C4E" w:rsidRPr="001B4A02" w:rsidRDefault="00381C4E" w:rsidP="00C465CA">
      <w:pPr>
        <w:keepNext/>
      </w:pPr>
    </w:p>
    <w:p w14:paraId="3784D3E9" w14:textId="77777777" w:rsidR="00381C4E" w:rsidRPr="001B4A02" w:rsidRDefault="00000000" w:rsidP="00381C4E">
      <w:pPr>
        <w:ind w:left="0" w:firstLine="0"/>
      </w:pPr>
      <w:r w:rsidRPr="001B4A02">
        <w:t>Ve studii RA III, kde průměrné trvání revmatoidní artritidy u pacientů léčených přípravkem Humira bylo přibližně 11 let, bylo strukturální poškození kloubů hodnoceno radiograficky</w:t>
      </w:r>
      <w:r w:rsidR="002378E0">
        <w:t xml:space="preserve"> a </w:t>
      </w:r>
      <w:r w:rsidRPr="001B4A02">
        <w:t>vyjádřeno jako změna modifikovaného celkového Sharpova skóre (Total Sharp Score, TSS)</w:t>
      </w:r>
      <w:r w:rsidR="002378E0">
        <w:t xml:space="preserve"> a </w:t>
      </w:r>
      <w:r w:rsidRPr="001B4A02">
        <w:t>jeho komponent, skóre erozí</w:t>
      </w:r>
      <w:r w:rsidR="002378E0">
        <w:t xml:space="preserve"> a </w:t>
      </w:r>
      <w:r w:rsidRPr="001B4A02">
        <w:t>skóre zúžení kloubní štěrbiny. U pacientů léčených přípravkem Humira/methotrexátem byla zjištěna významně menší RTG progrese v 6.</w:t>
      </w:r>
      <w:r w:rsidR="002378E0">
        <w:t xml:space="preserve"> a </w:t>
      </w:r>
      <w:r w:rsidRPr="001B4A02">
        <w:t xml:space="preserve">12. měsíci léčby než u pacientů léčených methotrexátem v monoterapii (viz tabulka </w:t>
      </w:r>
      <w:r w:rsidR="002A5304">
        <w:t>9</w:t>
      </w:r>
      <w:r w:rsidRPr="001B4A02">
        <w:t>).</w:t>
      </w:r>
    </w:p>
    <w:p w14:paraId="7DC263FD" w14:textId="77777777" w:rsidR="00381C4E" w:rsidRPr="001B4A02" w:rsidRDefault="00381C4E" w:rsidP="00381C4E">
      <w:pPr>
        <w:ind w:left="0" w:firstLine="0"/>
      </w:pPr>
    </w:p>
    <w:p w14:paraId="2582D2A7" w14:textId="77777777" w:rsidR="00381C4E" w:rsidRPr="001B4A02" w:rsidRDefault="00000000" w:rsidP="00381C4E">
      <w:pPr>
        <w:ind w:left="0" w:firstLine="0"/>
      </w:pPr>
      <w:r w:rsidRPr="001B4A02">
        <w:t>Snížení stupně progrese strukturálního poškození u části pacientů v</w:t>
      </w:r>
      <w:r w:rsidR="003D5529" w:rsidRPr="001B4A02">
        <w:t> </w:t>
      </w:r>
      <w:r w:rsidRPr="001B4A02">
        <w:t xml:space="preserve">otevřené prodloužené RA studii III přetrvává </w:t>
      </w:r>
      <w:r w:rsidRPr="001B4A02">
        <w:rPr>
          <w:szCs w:val="22"/>
        </w:rPr>
        <w:t>po dobu 8</w:t>
      </w:r>
      <w:r w:rsidR="002378E0">
        <w:rPr>
          <w:szCs w:val="22"/>
        </w:rPr>
        <w:t xml:space="preserve"> a </w:t>
      </w:r>
      <w:r w:rsidRPr="001B4A02">
        <w:rPr>
          <w:szCs w:val="22"/>
        </w:rPr>
        <w:t>10 let</w:t>
      </w:r>
      <w:r w:rsidRPr="001B4A02">
        <w:t>. Po 8 letech bylo 81 z 207 pacientů původně léčených přípravkem Humira v dávce 40 mg každý druhý týden radiograficky zhodnoceno. U 48 z těchto pacientů nedošlo k progresi strukturálního poškození, což bylo definováno jako 0,5 či nižší změna hodnoty mTSS v porovnání s výchozím stavem. Po 10 letech 79 z 207 pacientů původně léčených přípravkem Humira v dávce 40</w:t>
      </w:r>
      <w:r w:rsidR="00294902">
        <w:t> mg</w:t>
      </w:r>
      <w:r w:rsidRPr="001B4A02">
        <w:t xml:space="preserve"> každý druhý týden bylo radiograficky zhodnoceno. Mezi těmito se u 40 pacientů neprokázala progrese strukturálního poškození, definovaná jako změna mTSS o</w:t>
      </w:r>
      <w:r w:rsidR="00923691" w:rsidRPr="001B4A02">
        <w:t> </w:t>
      </w:r>
      <w:r w:rsidRPr="001B4A02">
        <w:t>0,5 nebo méně v porovnání s výchozím stavem.</w:t>
      </w:r>
    </w:p>
    <w:p w14:paraId="26D82052" w14:textId="77777777" w:rsidR="00381C4E" w:rsidRPr="001B4A02" w:rsidRDefault="00381C4E" w:rsidP="00381C4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1"/>
        <w:gridCol w:w="1642"/>
        <w:gridCol w:w="1824"/>
        <w:gridCol w:w="1824"/>
        <w:gridCol w:w="1300"/>
      </w:tblGrid>
      <w:tr w:rsidR="00534A2D" w14:paraId="0BB6E6A7" w14:textId="77777777" w:rsidTr="00A5191B">
        <w:tc>
          <w:tcPr>
            <w:tcW w:w="8951" w:type="dxa"/>
            <w:gridSpan w:val="5"/>
            <w:tcBorders>
              <w:top w:val="nil"/>
              <w:left w:val="nil"/>
              <w:bottom w:val="single" w:sz="4" w:space="0" w:color="auto"/>
              <w:right w:val="nil"/>
            </w:tcBorders>
          </w:tcPr>
          <w:p w14:paraId="4C5CA07C" w14:textId="77777777" w:rsidR="00381C4E" w:rsidRPr="001B4A02" w:rsidRDefault="00000000" w:rsidP="00C465CA">
            <w:pPr>
              <w:keepNext/>
              <w:jc w:val="center"/>
              <w:rPr>
                <w:b/>
                <w:bCs/>
              </w:rPr>
            </w:pPr>
            <w:r w:rsidRPr="001B4A02">
              <w:rPr>
                <w:b/>
                <w:bCs/>
              </w:rPr>
              <w:t xml:space="preserve">Tabulka </w:t>
            </w:r>
            <w:r w:rsidR="002A5304">
              <w:rPr>
                <w:b/>
                <w:bCs/>
              </w:rPr>
              <w:t>9</w:t>
            </w:r>
          </w:p>
          <w:p w14:paraId="1885A5D1" w14:textId="77777777" w:rsidR="00381C4E" w:rsidRPr="001B4A02" w:rsidRDefault="00000000" w:rsidP="00C465CA">
            <w:pPr>
              <w:keepNext/>
              <w:jc w:val="center"/>
              <w:rPr>
                <w:b/>
                <w:bCs/>
                <w:highlight w:val="cyan"/>
              </w:rPr>
            </w:pPr>
            <w:r w:rsidRPr="001B4A02">
              <w:rPr>
                <w:b/>
                <w:bCs/>
              </w:rPr>
              <w:t>Průměrné RTG změny po 12 měsících ve studii RA III</w:t>
            </w:r>
          </w:p>
          <w:p w14:paraId="5A370490" w14:textId="77777777" w:rsidR="00381C4E" w:rsidRPr="001B4A02" w:rsidRDefault="00381C4E" w:rsidP="00A5191B">
            <w:pPr>
              <w:rPr>
                <w:bCs/>
                <w:highlight w:val="red"/>
              </w:rPr>
            </w:pPr>
          </w:p>
        </w:tc>
      </w:tr>
      <w:tr w:rsidR="00534A2D" w14:paraId="12059380" w14:textId="77777777" w:rsidTr="00A5191B">
        <w:tc>
          <w:tcPr>
            <w:tcW w:w="2448" w:type="dxa"/>
            <w:tcBorders>
              <w:top w:val="single" w:sz="4" w:space="0" w:color="auto"/>
            </w:tcBorders>
          </w:tcPr>
          <w:p w14:paraId="02BB3C16" w14:textId="77777777" w:rsidR="00381C4E" w:rsidRPr="001B4A02" w:rsidRDefault="00381C4E" w:rsidP="00A5191B">
            <w:pPr>
              <w:ind w:left="0" w:firstLine="0"/>
            </w:pPr>
          </w:p>
        </w:tc>
        <w:tc>
          <w:tcPr>
            <w:tcW w:w="1620" w:type="dxa"/>
            <w:tcBorders>
              <w:top w:val="single" w:sz="4" w:space="0" w:color="auto"/>
            </w:tcBorders>
          </w:tcPr>
          <w:p w14:paraId="63FCB9EF" w14:textId="77777777" w:rsidR="00381C4E" w:rsidRPr="001B4A02" w:rsidRDefault="00000000" w:rsidP="00A5191B">
            <w:pPr>
              <w:ind w:left="0" w:firstLine="0"/>
              <w:jc w:val="center"/>
              <w:rPr>
                <w:vertAlign w:val="superscript"/>
              </w:rPr>
            </w:pPr>
            <w:r w:rsidRPr="001B4A02">
              <w:t>Placebo/MTX</w:t>
            </w:r>
            <w:r w:rsidRPr="001B4A02">
              <w:rPr>
                <w:vertAlign w:val="superscript"/>
              </w:rPr>
              <w:t>a</w:t>
            </w:r>
          </w:p>
        </w:tc>
        <w:tc>
          <w:tcPr>
            <w:tcW w:w="1800" w:type="dxa"/>
            <w:tcBorders>
              <w:top w:val="single" w:sz="4" w:space="0" w:color="auto"/>
            </w:tcBorders>
          </w:tcPr>
          <w:p w14:paraId="7175EA87" w14:textId="77777777" w:rsidR="00381C4E" w:rsidRPr="001B4A02" w:rsidRDefault="00000000" w:rsidP="00A5191B">
            <w:pPr>
              <w:ind w:left="0" w:firstLine="0"/>
              <w:jc w:val="center"/>
            </w:pPr>
            <w:r w:rsidRPr="001B4A02">
              <w:t>Humira/MTX 40 mg každý druhý týden</w:t>
            </w:r>
          </w:p>
        </w:tc>
        <w:tc>
          <w:tcPr>
            <w:tcW w:w="1800" w:type="dxa"/>
            <w:tcBorders>
              <w:top w:val="single" w:sz="4" w:space="0" w:color="auto"/>
            </w:tcBorders>
          </w:tcPr>
          <w:p w14:paraId="53B332AE" w14:textId="77777777" w:rsidR="00381C4E" w:rsidRPr="001B4A02" w:rsidRDefault="00000000" w:rsidP="00A5191B">
            <w:pPr>
              <w:ind w:left="0" w:firstLine="0"/>
              <w:jc w:val="center"/>
            </w:pPr>
            <w:r w:rsidRPr="001B4A02">
              <w:t>Placebo/MTX-Humira/MTX (95% interval spolehlivosti</w:t>
            </w:r>
            <w:r w:rsidRPr="001B4A02">
              <w:rPr>
                <w:vertAlign w:val="superscript"/>
              </w:rPr>
              <w:t>b</w:t>
            </w:r>
            <w:r w:rsidRPr="001B4A02">
              <w:t>)</w:t>
            </w:r>
          </w:p>
        </w:tc>
        <w:tc>
          <w:tcPr>
            <w:tcW w:w="1283" w:type="dxa"/>
            <w:tcBorders>
              <w:top w:val="single" w:sz="4" w:space="0" w:color="auto"/>
            </w:tcBorders>
          </w:tcPr>
          <w:p w14:paraId="1CAC1DF2" w14:textId="77777777" w:rsidR="00381C4E" w:rsidRPr="001B4A02" w:rsidRDefault="00000000" w:rsidP="00A5191B">
            <w:pPr>
              <w:ind w:left="0" w:firstLine="0"/>
              <w:jc w:val="center"/>
            </w:pPr>
            <w:r w:rsidRPr="001B4A02">
              <w:t>Hodnota p</w:t>
            </w:r>
          </w:p>
        </w:tc>
      </w:tr>
      <w:tr w:rsidR="00534A2D" w14:paraId="644D3965" w14:textId="77777777" w:rsidTr="00A5191B">
        <w:tc>
          <w:tcPr>
            <w:tcW w:w="2448" w:type="dxa"/>
          </w:tcPr>
          <w:p w14:paraId="7AF84D05" w14:textId="77777777" w:rsidR="00381C4E" w:rsidRPr="001B4A02" w:rsidRDefault="00000000" w:rsidP="00A5191B">
            <w:pPr>
              <w:ind w:left="0" w:firstLine="0"/>
            </w:pPr>
            <w:r w:rsidRPr="001B4A02">
              <w:t>Celkové Sharpovo skóre</w:t>
            </w:r>
          </w:p>
        </w:tc>
        <w:tc>
          <w:tcPr>
            <w:tcW w:w="1620" w:type="dxa"/>
          </w:tcPr>
          <w:p w14:paraId="22AFA983" w14:textId="77777777" w:rsidR="00381C4E" w:rsidRPr="001B4A02" w:rsidRDefault="00000000" w:rsidP="00A5191B">
            <w:pPr>
              <w:ind w:left="0" w:firstLine="0"/>
              <w:jc w:val="center"/>
            </w:pPr>
            <w:r w:rsidRPr="001B4A02">
              <w:t>2,7</w:t>
            </w:r>
          </w:p>
        </w:tc>
        <w:tc>
          <w:tcPr>
            <w:tcW w:w="1800" w:type="dxa"/>
          </w:tcPr>
          <w:p w14:paraId="4806C142" w14:textId="77777777" w:rsidR="00381C4E" w:rsidRPr="001B4A02" w:rsidRDefault="00000000" w:rsidP="00A5191B">
            <w:pPr>
              <w:ind w:left="0" w:firstLine="0"/>
              <w:jc w:val="center"/>
            </w:pPr>
            <w:r w:rsidRPr="001B4A02">
              <w:t>0,1</w:t>
            </w:r>
          </w:p>
        </w:tc>
        <w:tc>
          <w:tcPr>
            <w:tcW w:w="1800" w:type="dxa"/>
          </w:tcPr>
          <w:p w14:paraId="4630E36F" w14:textId="77777777" w:rsidR="00381C4E" w:rsidRPr="001B4A02" w:rsidRDefault="00000000" w:rsidP="00A5191B">
            <w:pPr>
              <w:ind w:left="0" w:firstLine="0"/>
              <w:jc w:val="center"/>
            </w:pPr>
            <w:r w:rsidRPr="001B4A02">
              <w:t>2,6 (1,4; 3,8)</w:t>
            </w:r>
          </w:p>
        </w:tc>
        <w:tc>
          <w:tcPr>
            <w:tcW w:w="1283" w:type="dxa"/>
          </w:tcPr>
          <w:p w14:paraId="5C91E6B9" w14:textId="77777777" w:rsidR="00381C4E" w:rsidRPr="001B4A02" w:rsidRDefault="00000000" w:rsidP="00A5191B">
            <w:pPr>
              <w:ind w:left="0" w:firstLine="0"/>
              <w:jc w:val="center"/>
              <w:rPr>
                <w:vertAlign w:val="superscript"/>
              </w:rPr>
            </w:pPr>
            <w:r w:rsidRPr="001B4A02">
              <w:t>&lt;0,001</w:t>
            </w:r>
            <w:r w:rsidRPr="001B4A02">
              <w:rPr>
                <w:vertAlign w:val="superscript"/>
              </w:rPr>
              <w:t>c</w:t>
            </w:r>
          </w:p>
        </w:tc>
      </w:tr>
      <w:tr w:rsidR="00534A2D" w14:paraId="636B11AB" w14:textId="77777777" w:rsidTr="00A5191B">
        <w:tc>
          <w:tcPr>
            <w:tcW w:w="2448" w:type="dxa"/>
          </w:tcPr>
          <w:p w14:paraId="019FD101" w14:textId="77777777" w:rsidR="00381C4E" w:rsidRPr="001B4A02" w:rsidRDefault="00000000" w:rsidP="00A5191B">
            <w:pPr>
              <w:ind w:left="0" w:firstLine="0"/>
            </w:pPr>
            <w:r w:rsidRPr="001B4A02">
              <w:t>Skóre erozí</w:t>
            </w:r>
          </w:p>
        </w:tc>
        <w:tc>
          <w:tcPr>
            <w:tcW w:w="1620" w:type="dxa"/>
          </w:tcPr>
          <w:p w14:paraId="6B21C9C2" w14:textId="77777777" w:rsidR="00381C4E" w:rsidRPr="001B4A02" w:rsidRDefault="00000000" w:rsidP="00A5191B">
            <w:pPr>
              <w:ind w:left="0" w:firstLine="0"/>
              <w:jc w:val="center"/>
            </w:pPr>
            <w:r w:rsidRPr="001B4A02">
              <w:t>1,6</w:t>
            </w:r>
          </w:p>
        </w:tc>
        <w:tc>
          <w:tcPr>
            <w:tcW w:w="1800" w:type="dxa"/>
          </w:tcPr>
          <w:p w14:paraId="0A4612BD" w14:textId="77777777" w:rsidR="00381C4E" w:rsidRPr="001B4A02" w:rsidRDefault="00000000" w:rsidP="00A5191B">
            <w:pPr>
              <w:ind w:left="0" w:firstLine="0"/>
              <w:jc w:val="center"/>
            </w:pPr>
            <w:r w:rsidRPr="001B4A02">
              <w:t>0,0</w:t>
            </w:r>
          </w:p>
        </w:tc>
        <w:tc>
          <w:tcPr>
            <w:tcW w:w="1800" w:type="dxa"/>
          </w:tcPr>
          <w:p w14:paraId="3D499408" w14:textId="77777777" w:rsidR="00381C4E" w:rsidRPr="001B4A02" w:rsidRDefault="00000000" w:rsidP="00A5191B">
            <w:pPr>
              <w:ind w:left="0" w:firstLine="0"/>
              <w:jc w:val="center"/>
            </w:pPr>
            <w:r w:rsidRPr="001B4A02">
              <w:t>1,6 (0,9; 2,2)</w:t>
            </w:r>
          </w:p>
        </w:tc>
        <w:tc>
          <w:tcPr>
            <w:tcW w:w="1283" w:type="dxa"/>
          </w:tcPr>
          <w:p w14:paraId="4AC0D9A9" w14:textId="77777777" w:rsidR="00381C4E" w:rsidRPr="001B4A02" w:rsidRDefault="00000000" w:rsidP="00A5191B">
            <w:pPr>
              <w:ind w:left="0" w:firstLine="0"/>
              <w:jc w:val="center"/>
            </w:pPr>
            <w:r w:rsidRPr="001B4A02">
              <w:t>&lt;0,001</w:t>
            </w:r>
          </w:p>
        </w:tc>
      </w:tr>
      <w:tr w:rsidR="00534A2D" w14:paraId="338273B5" w14:textId="77777777" w:rsidTr="00A5191B">
        <w:tc>
          <w:tcPr>
            <w:tcW w:w="2448" w:type="dxa"/>
          </w:tcPr>
          <w:p w14:paraId="1D91AED4" w14:textId="77777777" w:rsidR="00381C4E" w:rsidRPr="001B4A02" w:rsidRDefault="00000000" w:rsidP="00A5191B">
            <w:pPr>
              <w:ind w:left="0" w:firstLine="0"/>
            </w:pPr>
            <w:r w:rsidRPr="001B4A02">
              <w:t>Skóre JSN</w:t>
            </w:r>
            <w:r w:rsidRPr="001B4A02">
              <w:rPr>
                <w:vertAlign w:val="superscript"/>
              </w:rPr>
              <w:t>d</w:t>
            </w:r>
          </w:p>
        </w:tc>
        <w:tc>
          <w:tcPr>
            <w:tcW w:w="1620" w:type="dxa"/>
          </w:tcPr>
          <w:p w14:paraId="78ECCF75" w14:textId="77777777" w:rsidR="00381C4E" w:rsidRPr="001B4A02" w:rsidRDefault="00000000" w:rsidP="00A5191B">
            <w:pPr>
              <w:ind w:left="0" w:firstLine="0"/>
              <w:jc w:val="center"/>
            </w:pPr>
            <w:r w:rsidRPr="001B4A02">
              <w:t>1,0</w:t>
            </w:r>
          </w:p>
        </w:tc>
        <w:tc>
          <w:tcPr>
            <w:tcW w:w="1800" w:type="dxa"/>
          </w:tcPr>
          <w:p w14:paraId="2FDFB08B" w14:textId="77777777" w:rsidR="00381C4E" w:rsidRPr="001B4A02" w:rsidRDefault="00000000" w:rsidP="00A5191B">
            <w:pPr>
              <w:ind w:left="0" w:firstLine="0"/>
              <w:jc w:val="center"/>
            </w:pPr>
            <w:r w:rsidRPr="001B4A02">
              <w:t>0,1</w:t>
            </w:r>
          </w:p>
        </w:tc>
        <w:tc>
          <w:tcPr>
            <w:tcW w:w="1800" w:type="dxa"/>
          </w:tcPr>
          <w:p w14:paraId="338493D9" w14:textId="77777777" w:rsidR="00381C4E" w:rsidRPr="001B4A02" w:rsidRDefault="00000000" w:rsidP="00A5191B">
            <w:pPr>
              <w:ind w:left="0" w:firstLine="0"/>
              <w:jc w:val="center"/>
            </w:pPr>
            <w:r w:rsidRPr="001B4A02">
              <w:t>0,9 (0,3; 1,4)</w:t>
            </w:r>
          </w:p>
        </w:tc>
        <w:tc>
          <w:tcPr>
            <w:tcW w:w="1283" w:type="dxa"/>
          </w:tcPr>
          <w:p w14:paraId="0028AD06" w14:textId="77777777" w:rsidR="00381C4E" w:rsidRPr="001B4A02" w:rsidRDefault="00000000" w:rsidP="00A5191B">
            <w:pPr>
              <w:ind w:left="0" w:firstLine="0"/>
              <w:jc w:val="center"/>
            </w:pPr>
            <w:r w:rsidRPr="001B4A02">
              <w:t>0,002</w:t>
            </w:r>
          </w:p>
        </w:tc>
      </w:tr>
    </w:tbl>
    <w:p w14:paraId="2E9DA6E5" w14:textId="77777777" w:rsidR="00381C4E" w:rsidRPr="001B4A02" w:rsidRDefault="00000000" w:rsidP="00381C4E">
      <w:pPr>
        <w:rPr>
          <w:sz w:val="20"/>
        </w:rPr>
      </w:pPr>
      <w:r w:rsidRPr="001B4A02">
        <w:rPr>
          <w:bCs/>
          <w:sz w:val="20"/>
          <w:vertAlign w:val="superscript"/>
        </w:rPr>
        <w:t xml:space="preserve">a </w:t>
      </w:r>
      <w:r w:rsidRPr="001B4A02">
        <w:rPr>
          <w:bCs/>
          <w:sz w:val="20"/>
        </w:rPr>
        <w:t>methotrex</w:t>
      </w:r>
      <w:r w:rsidRPr="001B4A02">
        <w:rPr>
          <w:sz w:val="20"/>
        </w:rPr>
        <w:t>át</w:t>
      </w:r>
    </w:p>
    <w:p w14:paraId="711873A2" w14:textId="77777777" w:rsidR="00381C4E" w:rsidRPr="001B4A02" w:rsidRDefault="00000000" w:rsidP="00381C4E">
      <w:pPr>
        <w:rPr>
          <w:sz w:val="20"/>
        </w:rPr>
      </w:pPr>
      <w:r w:rsidRPr="001B4A02">
        <w:rPr>
          <w:sz w:val="20"/>
          <w:vertAlign w:val="superscript"/>
        </w:rPr>
        <w:t xml:space="preserve">b </w:t>
      </w:r>
      <w:r w:rsidRPr="001B4A02">
        <w:rPr>
          <w:sz w:val="20"/>
        </w:rPr>
        <w:t>95% intervaly spolehlivosti pro rozdíly změny skóre mezi methotrexátem</w:t>
      </w:r>
      <w:r w:rsidR="002378E0">
        <w:rPr>
          <w:sz w:val="20"/>
        </w:rPr>
        <w:t xml:space="preserve"> a </w:t>
      </w:r>
      <w:r w:rsidRPr="001B4A02">
        <w:rPr>
          <w:sz w:val="20"/>
        </w:rPr>
        <w:t xml:space="preserve">přípravkem Humira </w:t>
      </w:r>
    </w:p>
    <w:p w14:paraId="521902E4" w14:textId="77777777" w:rsidR="00381C4E" w:rsidRPr="001B4A02" w:rsidRDefault="00000000" w:rsidP="00381C4E">
      <w:pPr>
        <w:rPr>
          <w:sz w:val="20"/>
        </w:rPr>
      </w:pPr>
      <w:r w:rsidRPr="001B4A02">
        <w:rPr>
          <w:sz w:val="20"/>
          <w:vertAlign w:val="superscript"/>
        </w:rPr>
        <w:t xml:space="preserve">c </w:t>
      </w:r>
      <w:r w:rsidRPr="001B4A02">
        <w:rPr>
          <w:sz w:val="20"/>
        </w:rPr>
        <w:t xml:space="preserve">na základě analýzy pořadí </w:t>
      </w:r>
    </w:p>
    <w:p w14:paraId="2490B42E" w14:textId="77777777" w:rsidR="00381C4E" w:rsidRPr="001B4A02" w:rsidRDefault="00000000" w:rsidP="00381C4E">
      <w:pPr>
        <w:ind w:left="0" w:firstLine="0"/>
        <w:rPr>
          <w:sz w:val="20"/>
          <w:u w:val="single"/>
        </w:rPr>
      </w:pPr>
      <w:r w:rsidRPr="001B4A02">
        <w:rPr>
          <w:sz w:val="20"/>
          <w:vertAlign w:val="superscript"/>
        </w:rPr>
        <w:t xml:space="preserve">d </w:t>
      </w:r>
      <w:r w:rsidRPr="001B4A02">
        <w:rPr>
          <w:sz w:val="20"/>
        </w:rPr>
        <w:t>zúžení kloubní štěrbiny</w:t>
      </w:r>
    </w:p>
    <w:p w14:paraId="5E5D09E6" w14:textId="77777777" w:rsidR="00381C4E" w:rsidRPr="001B4A02" w:rsidRDefault="00381C4E" w:rsidP="00381C4E">
      <w:pPr>
        <w:ind w:left="0" w:firstLine="0"/>
        <w:rPr>
          <w:u w:val="single"/>
        </w:rPr>
      </w:pPr>
    </w:p>
    <w:p w14:paraId="32519772" w14:textId="77777777" w:rsidR="00381C4E" w:rsidRPr="001B4A02" w:rsidRDefault="00000000" w:rsidP="00381C4E">
      <w:pPr>
        <w:ind w:left="0" w:firstLine="0"/>
      </w:pPr>
      <w:r w:rsidRPr="001B4A02">
        <w:t>Ve studii RA V</w:t>
      </w:r>
      <w:r w:rsidR="003D5529" w:rsidRPr="001B4A02">
        <w:t xml:space="preserve"> </w:t>
      </w:r>
      <w:r w:rsidRPr="001B4A02">
        <w:t>bylo strukturální poškození kloubů hodnoceno radiograficky</w:t>
      </w:r>
      <w:r w:rsidR="002378E0">
        <w:t xml:space="preserve"> a </w:t>
      </w:r>
      <w:r w:rsidRPr="001B4A02">
        <w:t xml:space="preserve">vyjádřeno jako změna upraveného celkového Sharpova skóre (viz tabulka </w:t>
      </w:r>
      <w:r w:rsidR="002A5304">
        <w:t>10</w:t>
      </w:r>
      <w:r w:rsidRPr="001B4A02">
        <w:t>).</w:t>
      </w:r>
    </w:p>
    <w:p w14:paraId="7F2BB08D" w14:textId="77777777" w:rsidR="00381C4E" w:rsidRPr="001B4A02" w:rsidRDefault="00381C4E" w:rsidP="00527B4A">
      <w:pPr>
        <w:ind w:left="0" w:firstLine="0"/>
        <w:rPr>
          <w:u w:val="single"/>
        </w:rPr>
      </w:pPr>
    </w:p>
    <w:tbl>
      <w:tblPr>
        <w:tblW w:w="5000" w:type="pct"/>
        <w:tblInd w:w="108" w:type="dxa"/>
        <w:tblLayout w:type="fixed"/>
        <w:tblLook w:val="0000" w:firstRow="0" w:lastRow="0" w:firstColumn="0" w:lastColumn="0" w:noHBand="0" w:noVBand="0"/>
      </w:tblPr>
      <w:tblGrid>
        <w:gridCol w:w="1101"/>
        <w:gridCol w:w="1374"/>
        <w:gridCol w:w="1373"/>
        <w:gridCol w:w="1511"/>
        <w:gridCol w:w="1237"/>
        <w:gridCol w:w="1283"/>
        <w:gridCol w:w="1192"/>
      </w:tblGrid>
      <w:tr w:rsidR="00534A2D" w14:paraId="1EDA6F3E" w14:textId="77777777" w:rsidTr="001E322F">
        <w:tc>
          <w:tcPr>
            <w:tcW w:w="9356" w:type="dxa"/>
            <w:gridSpan w:val="7"/>
            <w:tcBorders>
              <w:bottom w:val="single" w:sz="4" w:space="0" w:color="auto"/>
            </w:tcBorders>
          </w:tcPr>
          <w:p w14:paraId="4A20FDA5" w14:textId="77777777" w:rsidR="00381C4E" w:rsidRPr="001B4A02" w:rsidRDefault="00000000" w:rsidP="00C465CA">
            <w:pPr>
              <w:pStyle w:val="Heading5"/>
              <w:jc w:val="center"/>
              <w:rPr>
                <w:b/>
                <w:bCs/>
                <w:noProof w:val="0"/>
                <w:lang w:val="cs-CZ"/>
              </w:rPr>
            </w:pPr>
            <w:r w:rsidRPr="001B4A02">
              <w:rPr>
                <w:b/>
                <w:bCs/>
                <w:noProof w:val="0"/>
                <w:lang w:val="cs-CZ"/>
              </w:rPr>
              <w:t xml:space="preserve">Tabulka </w:t>
            </w:r>
            <w:r w:rsidR="002A5304">
              <w:rPr>
                <w:b/>
                <w:bCs/>
                <w:noProof w:val="0"/>
                <w:lang w:val="cs-CZ"/>
              </w:rPr>
              <w:t>10</w:t>
            </w:r>
          </w:p>
          <w:p w14:paraId="6EAF767C" w14:textId="77777777" w:rsidR="00381C4E" w:rsidRPr="001B4A02" w:rsidRDefault="00000000" w:rsidP="00C465CA">
            <w:pPr>
              <w:pStyle w:val="Heading5"/>
              <w:jc w:val="center"/>
              <w:rPr>
                <w:b/>
                <w:bCs/>
                <w:noProof w:val="0"/>
                <w:lang w:val="cs-CZ"/>
              </w:rPr>
            </w:pPr>
            <w:r w:rsidRPr="001B4A02">
              <w:rPr>
                <w:b/>
                <w:bCs/>
                <w:noProof w:val="0"/>
                <w:lang w:val="cs-CZ"/>
              </w:rPr>
              <w:t>Radiografické průměrné změny v týdnu 52 ve studii RA V</w:t>
            </w:r>
          </w:p>
          <w:p w14:paraId="5C616131" w14:textId="77777777" w:rsidR="00381C4E" w:rsidRPr="001B4A02" w:rsidRDefault="00381C4E" w:rsidP="00527B4A"/>
        </w:tc>
      </w:tr>
      <w:tr w:rsidR="00534A2D" w14:paraId="15C151FA" w14:textId="77777777" w:rsidTr="001E322F">
        <w:tc>
          <w:tcPr>
            <w:tcW w:w="1134" w:type="dxa"/>
            <w:tcBorders>
              <w:top w:val="single" w:sz="4" w:space="0" w:color="auto"/>
              <w:left w:val="single" w:sz="4" w:space="0" w:color="auto"/>
              <w:bottom w:val="single" w:sz="4" w:space="0" w:color="auto"/>
              <w:right w:val="single" w:sz="4" w:space="0" w:color="auto"/>
            </w:tcBorders>
            <w:vAlign w:val="center"/>
          </w:tcPr>
          <w:p w14:paraId="3CEA5A37" w14:textId="77777777" w:rsidR="00381C4E" w:rsidRPr="001B4A02" w:rsidRDefault="00381C4E" w:rsidP="00527B4A">
            <w:pPr>
              <w:ind w:left="0" w:firstLine="0"/>
            </w:pPr>
          </w:p>
        </w:tc>
        <w:tc>
          <w:tcPr>
            <w:tcW w:w="1418" w:type="dxa"/>
            <w:tcBorders>
              <w:top w:val="single" w:sz="4" w:space="0" w:color="auto"/>
              <w:left w:val="single" w:sz="4" w:space="0" w:color="auto"/>
              <w:bottom w:val="single" w:sz="4" w:space="0" w:color="auto"/>
              <w:right w:val="single" w:sz="4" w:space="0" w:color="auto"/>
            </w:tcBorders>
            <w:vAlign w:val="center"/>
          </w:tcPr>
          <w:p w14:paraId="0593CEC5" w14:textId="77777777" w:rsidR="00381C4E" w:rsidRPr="001B4A02" w:rsidRDefault="00000000" w:rsidP="00527B4A">
            <w:pPr>
              <w:ind w:left="0" w:firstLine="0"/>
              <w:jc w:val="center"/>
            </w:pPr>
            <w:r w:rsidRPr="001B4A02">
              <w:t>MTX</w:t>
            </w:r>
          </w:p>
          <w:p w14:paraId="1270066E" w14:textId="77777777" w:rsidR="00381C4E" w:rsidRPr="001B4A02" w:rsidRDefault="00000000" w:rsidP="00527B4A">
            <w:pPr>
              <w:ind w:left="0" w:firstLine="0"/>
              <w:jc w:val="center"/>
            </w:pPr>
            <w:r w:rsidRPr="001B4A02">
              <w:t>n=257</w:t>
            </w:r>
          </w:p>
          <w:p w14:paraId="6EB3598A" w14:textId="77777777" w:rsidR="00381C4E" w:rsidRPr="001B4A02" w:rsidRDefault="00000000" w:rsidP="00527B4A">
            <w:pPr>
              <w:ind w:left="0" w:firstLine="0"/>
              <w:jc w:val="center"/>
              <w:rPr>
                <w:sz w:val="18"/>
              </w:rPr>
            </w:pPr>
            <w:r w:rsidRPr="001B4A02">
              <w:rPr>
                <w:sz w:val="18"/>
              </w:rPr>
              <w:t>(95% interval spolehlivosti)</w:t>
            </w:r>
          </w:p>
        </w:tc>
        <w:tc>
          <w:tcPr>
            <w:tcW w:w="1417" w:type="dxa"/>
            <w:tcBorders>
              <w:top w:val="single" w:sz="4" w:space="0" w:color="auto"/>
              <w:left w:val="single" w:sz="4" w:space="0" w:color="auto"/>
              <w:bottom w:val="single" w:sz="4" w:space="0" w:color="auto"/>
              <w:right w:val="single" w:sz="4" w:space="0" w:color="auto"/>
            </w:tcBorders>
            <w:vAlign w:val="center"/>
          </w:tcPr>
          <w:p w14:paraId="717EEA15" w14:textId="77777777" w:rsidR="00381C4E" w:rsidRPr="001B4A02" w:rsidRDefault="00000000" w:rsidP="00527B4A">
            <w:pPr>
              <w:ind w:left="0" w:firstLine="0"/>
              <w:jc w:val="center"/>
            </w:pPr>
            <w:r w:rsidRPr="001B4A02">
              <w:t>Humira</w:t>
            </w:r>
          </w:p>
          <w:p w14:paraId="2CE717A6" w14:textId="77777777" w:rsidR="00381C4E" w:rsidRPr="001B4A02" w:rsidRDefault="00000000" w:rsidP="00527B4A">
            <w:pPr>
              <w:pStyle w:val="EMEAFigureTitle"/>
              <w:jc w:val="center"/>
              <w:rPr>
                <w:lang w:val="cs-CZ"/>
              </w:rPr>
            </w:pPr>
            <w:r w:rsidRPr="001B4A02">
              <w:rPr>
                <w:lang w:val="cs-CZ"/>
              </w:rPr>
              <w:t>n=274</w:t>
            </w:r>
          </w:p>
          <w:p w14:paraId="38830410" w14:textId="77777777" w:rsidR="00381C4E" w:rsidRPr="001B4A02" w:rsidRDefault="00000000" w:rsidP="00527B4A">
            <w:pPr>
              <w:ind w:left="0" w:firstLine="0"/>
              <w:jc w:val="center"/>
              <w:rPr>
                <w:sz w:val="18"/>
              </w:rPr>
            </w:pPr>
            <w:r w:rsidRPr="001B4A02">
              <w:rPr>
                <w:sz w:val="18"/>
              </w:rPr>
              <w:t>(95% interval spolehlivosti)</w:t>
            </w:r>
          </w:p>
        </w:tc>
        <w:tc>
          <w:tcPr>
            <w:tcW w:w="1560" w:type="dxa"/>
            <w:tcBorders>
              <w:top w:val="single" w:sz="4" w:space="0" w:color="auto"/>
              <w:left w:val="single" w:sz="4" w:space="0" w:color="auto"/>
              <w:bottom w:val="single" w:sz="4" w:space="0" w:color="auto"/>
              <w:right w:val="single" w:sz="4" w:space="0" w:color="auto"/>
            </w:tcBorders>
            <w:vAlign w:val="center"/>
          </w:tcPr>
          <w:p w14:paraId="153F9B9A" w14:textId="77777777" w:rsidR="00381C4E" w:rsidRPr="001B4A02" w:rsidRDefault="00000000" w:rsidP="00527B4A">
            <w:pPr>
              <w:ind w:left="0" w:firstLine="0"/>
              <w:jc w:val="center"/>
            </w:pPr>
            <w:r w:rsidRPr="001B4A02">
              <w:t>Humira/MTX</w:t>
            </w:r>
          </w:p>
          <w:p w14:paraId="444128DA" w14:textId="77777777" w:rsidR="00381C4E" w:rsidRPr="001B4A02" w:rsidRDefault="00000000" w:rsidP="00527B4A">
            <w:pPr>
              <w:pStyle w:val="EMEAFigureTitle"/>
              <w:jc w:val="center"/>
              <w:rPr>
                <w:lang w:val="cs-CZ"/>
              </w:rPr>
            </w:pPr>
            <w:r w:rsidRPr="001B4A02">
              <w:rPr>
                <w:lang w:val="cs-CZ"/>
              </w:rPr>
              <w:t>n=268</w:t>
            </w:r>
          </w:p>
          <w:p w14:paraId="12C91F18" w14:textId="77777777" w:rsidR="00381C4E" w:rsidRPr="001B4A02" w:rsidRDefault="00000000" w:rsidP="00527B4A">
            <w:pPr>
              <w:pStyle w:val="EMEANormal"/>
              <w:jc w:val="center"/>
              <w:rPr>
                <w:sz w:val="18"/>
                <w:lang w:val="cs-CZ"/>
              </w:rPr>
            </w:pPr>
            <w:r w:rsidRPr="001B4A02">
              <w:rPr>
                <w:sz w:val="18"/>
                <w:lang w:val="cs-CZ"/>
              </w:rPr>
              <w:t>(95% interval spolehlivosti)</w:t>
            </w:r>
          </w:p>
        </w:tc>
        <w:tc>
          <w:tcPr>
            <w:tcW w:w="1275" w:type="dxa"/>
            <w:tcBorders>
              <w:top w:val="single" w:sz="4" w:space="0" w:color="auto"/>
              <w:left w:val="single" w:sz="4" w:space="0" w:color="auto"/>
              <w:bottom w:val="single" w:sz="4" w:space="0" w:color="auto"/>
              <w:right w:val="single" w:sz="4" w:space="0" w:color="auto"/>
            </w:tcBorders>
            <w:vAlign w:val="center"/>
          </w:tcPr>
          <w:p w14:paraId="48BAA4C6" w14:textId="77777777" w:rsidR="00381C4E" w:rsidRPr="001B4A02" w:rsidRDefault="00000000" w:rsidP="00527B4A">
            <w:pPr>
              <w:pStyle w:val="EMEANormal"/>
              <w:jc w:val="center"/>
              <w:rPr>
                <w:lang w:val="cs-CZ"/>
              </w:rPr>
            </w:pPr>
            <w:r w:rsidRPr="001B4A02">
              <w:rPr>
                <w:lang w:val="cs-CZ"/>
              </w:rPr>
              <w:t>Hodnota p</w:t>
            </w:r>
            <w:r w:rsidRPr="001B4A02">
              <w:rPr>
                <w:vertAlign w:val="superscript"/>
                <w:lang w:val="cs-CZ"/>
              </w:rPr>
              <w:t>a</w:t>
            </w:r>
          </w:p>
        </w:tc>
        <w:tc>
          <w:tcPr>
            <w:tcW w:w="1323" w:type="dxa"/>
            <w:tcBorders>
              <w:top w:val="single" w:sz="4" w:space="0" w:color="auto"/>
              <w:left w:val="single" w:sz="4" w:space="0" w:color="auto"/>
              <w:bottom w:val="single" w:sz="4" w:space="0" w:color="auto"/>
              <w:right w:val="single" w:sz="4" w:space="0" w:color="auto"/>
            </w:tcBorders>
            <w:vAlign w:val="center"/>
          </w:tcPr>
          <w:p w14:paraId="3B501D97" w14:textId="77777777" w:rsidR="00381C4E" w:rsidRPr="001B4A02" w:rsidRDefault="00000000" w:rsidP="00527B4A">
            <w:pPr>
              <w:ind w:left="0" w:firstLine="0"/>
              <w:jc w:val="center"/>
            </w:pPr>
            <w:r w:rsidRPr="001B4A02">
              <w:t>Hodnota p</w:t>
            </w:r>
            <w:r w:rsidRPr="001B4A02">
              <w:rPr>
                <w:vertAlign w:val="superscript"/>
              </w:rPr>
              <w:t>b</w:t>
            </w:r>
          </w:p>
        </w:tc>
        <w:tc>
          <w:tcPr>
            <w:tcW w:w="1229" w:type="dxa"/>
            <w:tcBorders>
              <w:top w:val="single" w:sz="4" w:space="0" w:color="auto"/>
              <w:left w:val="single" w:sz="4" w:space="0" w:color="auto"/>
              <w:bottom w:val="single" w:sz="4" w:space="0" w:color="auto"/>
              <w:right w:val="single" w:sz="4" w:space="0" w:color="auto"/>
            </w:tcBorders>
            <w:vAlign w:val="center"/>
          </w:tcPr>
          <w:p w14:paraId="0B8C05A5" w14:textId="77777777" w:rsidR="00381C4E" w:rsidRPr="001B4A02" w:rsidRDefault="00000000" w:rsidP="00527B4A">
            <w:pPr>
              <w:ind w:left="0" w:firstLine="0"/>
              <w:jc w:val="center"/>
            </w:pPr>
            <w:r w:rsidRPr="001B4A02">
              <w:t>Hodnota p</w:t>
            </w:r>
            <w:r w:rsidRPr="001B4A02">
              <w:rPr>
                <w:vertAlign w:val="superscript"/>
              </w:rPr>
              <w:t>c</w:t>
            </w:r>
          </w:p>
        </w:tc>
      </w:tr>
      <w:tr w:rsidR="00534A2D" w14:paraId="166D00FE" w14:textId="77777777" w:rsidTr="001E322F">
        <w:tc>
          <w:tcPr>
            <w:tcW w:w="1134" w:type="dxa"/>
            <w:tcBorders>
              <w:top w:val="single" w:sz="4" w:space="0" w:color="auto"/>
              <w:left w:val="single" w:sz="4" w:space="0" w:color="auto"/>
              <w:bottom w:val="single" w:sz="4" w:space="0" w:color="auto"/>
              <w:right w:val="single" w:sz="4" w:space="0" w:color="auto"/>
            </w:tcBorders>
          </w:tcPr>
          <w:p w14:paraId="34729ECA" w14:textId="77777777" w:rsidR="00381C4E" w:rsidRPr="001B4A02" w:rsidRDefault="00000000" w:rsidP="00527B4A">
            <w:pPr>
              <w:pStyle w:val="EMEAFigureTitle"/>
              <w:rPr>
                <w:szCs w:val="24"/>
                <w:lang w:val="cs-CZ"/>
              </w:rPr>
            </w:pPr>
            <w:r w:rsidRPr="001B4A02">
              <w:rPr>
                <w:szCs w:val="24"/>
                <w:lang w:val="cs-CZ"/>
              </w:rPr>
              <w:t>Celkové Sharpovo skóre</w:t>
            </w:r>
          </w:p>
        </w:tc>
        <w:tc>
          <w:tcPr>
            <w:tcW w:w="1418" w:type="dxa"/>
            <w:tcBorders>
              <w:top w:val="single" w:sz="4" w:space="0" w:color="auto"/>
              <w:left w:val="single" w:sz="4" w:space="0" w:color="auto"/>
              <w:bottom w:val="single" w:sz="4" w:space="0" w:color="auto"/>
              <w:right w:val="single" w:sz="4" w:space="0" w:color="auto"/>
            </w:tcBorders>
          </w:tcPr>
          <w:p w14:paraId="2C42835A" w14:textId="77777777" w:rsidR="00381C4E" w:rsidRPr="001B4A02" w:rsidRDefault="00000000" w:rsidP="00527B4A">
            <w:pPr>
              <w:ind w:left="0" w:firstLine="0"/>
              <w:jc w:val="center"/>
            </w:pPr>
            <w:r w:rsidRPr="001B4A02">
              <w:t>5,7 (4,2–7,3)</w:t>
            </w:r>
          </w:p>
        </w:tc>
        <w:tc>
          <w:tcPr>
            <w:tcW w:w="1417" w:type="dxa"/>
            <w:tcBorders>
              <w:top w:val="single" w:sz="4" w:space="0" w:color="auto"/>
              <w:left w:val="single" w:sz="4" w:space="0" w:color="auto"/>
              <w:bottom w:val="single" w:sz="4" w:space="0" w:color="auto"/>
              <w:right w:val="single" w:sz="4" w:space="0" w:color="auto"/>
            </w:tcBorders>
          </w:tcPr>
          <w:p w14:paraId="0EB5D09E" w14:textId="77777777" w:rsidR="00381C4E" w:rsidRPr="001B4A02" w:rsidRDefault="00000000" w:rsidP="00527B4A">
            <w:pPr>
              <w:pStyle w:val="EndnoteText"/>
              <w:ind w:left="0" w:firstLine="0"/>
              <w:jc w:val="center"/>
              <w:rPr>
                <w:lang w:val="cs-CZ"/>
              </w:rPr>
            </w:pPr>
            <w:r w:rsidRPr="001B4A02">
              <w:rPr>
                <w:lang w:val="cs-CZ"/>
              </w:rPr>
              <w:t>3,0 (1,7–4,3)</w:t>
            </w:r>
          </w:p>
        </w:tc>
        <w:tc>
          <w:tcPr>
            <w:tcW w:w="1560" w:type="dxa"/>
            <w:tcBorders>
              <w:top w:val="single" w:sz="4" w:space="0" w:color="auto"/>
              <w:left w:val="single" w:sz="4" w:space="0" w:color="auto"/>
              <w:bottom w:val="single" w:sz="4" w:space="0" w:color="auto"/>
              <w:right w:val="single" w:sz="4" w:space="0" w:color="auto"/>
            </w:tcBorders>
          </w:tcPr>
          <w:p w14:paraId="7010E45C" w14:textId="77777777" w:rsidR="00381C4E" w:rsidRPr="001B4A02" w:rsidRDefault="00000000" w:rsidP="00527B4A">
            <w:pPr>
              <w:pStyle w:val="EndnoteText"/>
              <w:ind w:left="0" w:firstLine="0"/>
              <w:jc w:val="center"/>
              <w:rPr>
                <w:lang w:val="cs-CZ"/>
              </w:rPr>
            </w:pPr>
            <w:r w:rsidRPr="001B4A02">
              <w:rPr>
                <w:lang w:val="cs-CZ"/>
              </w:rPr>
              <w:t>1,3 (0,5–2,1)</w:t>
            </w:r>
          </w:p>
        </w:tc>
        <w:tc>
          <w:tcPr>
            <w:tcW w:w="1275" w:type="dxa"/>
            <w:tcBorders>
              <w:top w:val="single" w:sz="4" w:space="0" w:color="auto"/>
              <w:left w:val="single" w:sz="4" w:space="0" w:color="auto"/>
              <w:bottom w:val="single" w:sz="4" w:space="0" w:color="auto"/>
              <w:right w:val="single" w:sz="4" w:space="0" w:color="auto"/>
            </w:tcBorders>
          </w:tcPr>
          <w:p w14:paraId="531588A5" w14:textId="77777777" w:rsidR="00381C4E" w:rsidRPr="001B4A02" w:rsidRDefault="00000000" w:rsidP="00527B4A">
            <w:pPr>
              <w:pStyle w:val="EndnoteText"/>
              <w:ind w:left="0" w:firstLine="0"/>
              <w:jc w:val="center"/>
              <w:rPr>
                <w:lang w:val="cs-CZ"/>
              </w:rPr>
            </w:pPr>
            <w:r w:rsidRPr="001B4A02">
              <w:rPr>
                <w:lang w:val="cs-CZ"/>
              </w:rPr>
              <w:t>&lt;0,001</w:t>
            </w:r>
          </w:p>
        </w:tc>
        <w:tc>
          <w:tcPr>
            <w:tcW w:w="1323" w:type="dxa"/>
            <w:tcBorders>
              <w:top w:val="single" w:sz="4" w:space="0" w:color="auto"/>
              <w:left w:val="single" w:sz="4" w:space="0" w:color="auto"/>
              <w:bottom w:val="single" w:sz="4" w:space="0" w:color="auto"/>
              <w:right w:val="single" w:sz="4" w:space="0" w:color="auto"/>
            </w:tcBorders>
          </w:tcPr>
          <w:p w14:paraId="7C27F914" w14:textId="77777777" w:rsidR="00381C4E" w:rsidRPr="001B4A02" w:rsidRDefault="00000000" w:rsidP="00527B4A">
            <w:pPr>
              <w:ind w:left="0" w:firstLine="0"/>
              <w:jc w:val="center"/>
            </w:pPr>
            <w:r w:rsidRPr="001B4A02">
              <w:t>0,0020</w:t>
            </w:r>
          </w:p>
        </w:tc>
        <w:tc>
          <w:tcPr>
            <w:tcW w:w="1229" w:type="dxa"/>
            <w:tcBorders>
              <w:top w:val="single" w:sz="4" w:space="0" w:color="auto"/>
              <w:left w:val="single" w:sz="4" w:space="0" w:color="auto"/>
              <w:bottom w:val="single" w:sz="4" w:space="0" w:color="auto"/>
              <w:right w:val="single" w:sz="4" w:space="0" w:color="auto"/>
            </w:tcBorders>
          </w:tcPr>
          <w:p w14:paraId="248B7DFC" w14:textId="77777777" w:rsidR="00381C4E" w:rsidRPr="001B4A02" w:rsidRDefault="00000000" w:rsidP="00527B4A">
            <w:pPr>
              <w:ind w:left="0" w:firstLine="0"/>
              <w:jc w:val="center"/>
            </w:pPr>
            <w:r w:rsidRPr="001B4A02">
              <w:t>&lt;0,001</w:t>
            </w:r>
          </w:p>
        </w:tc>
      </w:tr>
      <w:tr w:rsidR="00534A2D" w14:paraId="29AFF227" w14:textId="77777777" w:rsidTr="001E322F">
        <w:tc>
          <w:tcPr>
            <w:tcW w:w="1134" w:type="dxa"/>
            <w:tcBorders>
              <w:top w:val="single" w:sz="4" w:space="0" w:color="auto"/>
              <w:left w:val="single" w:sz="4" w:space="0" w:color="auto"/>
              <w:bottom w:val="single" w:sz="4" w:space="0" w:color="auto"/>
              <w:right w:val="single" w:sz="4" w:space="0" w:color="auto"/>
            </w:tcBorders>
          </w:tcPr>
          <w:p w14:paraId="6ECBDEF2" w14:textId="77777777" w:rsidR="00381C4E" w:rsidRPr="001B4A02" w:rsidRDefault="00000000" w:rsidP="00527B4A">
            <w:pPr>
              <w:ind w:left="0" w:firstLine="0"/>
            </w:pPr>
            <w:r w:rsidRPr="001B4A02">
              <w:t>Skóre eroze</w:t>
            </w:r>
          </w:p>
        </w:tc>
        <w:tc>
          <w:tcPr>
            <w:tcW w:w="1418" w:type="dxa"/>
            <w:tcBorders>
              <w:top w:val="single" w:sz="4" w:space="0" w:color="auto"/>
              <w:left w:val="single" w:sz="4" w:space="0" w:color="auto"/>
              <w:bottom w:val="single" w:sz="4" w:space="0" w:color="auto"/>
              <w:right w:val="single" w:sz="4" w:space="0" w:color="auto"/>
            </w:tcBorders>
          </w:tcPr>
          <w:p w14:paraId="1E34DF7B" w14:textId="77777777" w:rsidR="00381C4E" w:rsidRPr="001B4A02" w:rsidRDefault="00000000" w:rsidP="00527B4A">
            <w:pPr>
              <w:ind w:left="0" w:firstLine="0"/>
              <w:jc w:val="center"/>
            </w:pPr>
            <w:r w:rsidRPr="001B4A02">
              <w:t>3,7 (2,7–4,7)</w:t>
            </w:r>
          </w:p>
        </w:tc>
        <w:tc>
          <w:tcPr>
            <w:tcW w:w="1417" w:type="dxa"/>
            <w:tcBorders>
              <w:top w:val="single" w:sz="4" w:space="0" w:color="auto"/>
              <w:left w:val="single" w:sz="4" w:space="0" w:color="auto"/>
              <w:bottom w:val="single" w:sz="4" w:space="0" w:color="auto"/>
              <w:right w:val="single" w:sz="4" w:space="0" w:color="auto"/>
            </w:tcBorders>
          </w:tcPr>
          <w:p w14:paraId="6D6E2502" w14:textId="77777777" w:rsidR="00381C4E" w:rsidRPr="001B4A02" w:rsidRDefault="00000000" w:rsidP="00527B4A">
            <w:pPr>
              <w:ind w:left="0" w:firstLine="0"/>
              <w:jc w:val="center"/>
            </w:pPr>
            <w:r w:rsidRPr="001B4A02">
              <w:t>1,7 (1,0–2,4)</w:t>
            </w:r>
          </w:p>
        </w:tc>
        <w:tc>
          <w:tcPr>
            <w:tcW w:w="1560" w:type="dxa"/>
            <w:tcBorders>
              <w:top w:val="single" w:sz="4" w:space="0" w:color="auto"/>
              <w:left w:val="single" w:sz="4" w:space="0" w:color="auto"/>
              <w:bottom w:val="single" w:sz="4" w:space="0" w:color="auto"/>
              <w:right w:val="single" w:sz="4" w:space="0" w:color="auto"/>
            </w:tcBorders>
          </w:tcPr>
          <w:p w14:paraId="358EA7D3" w14:textId="77777777" w:rsidR="00381C4E" w:rsidRPr="001B4A02" w:rsidRDefault="00000000" w:rsidP="00527B4A">
            <w:pPr>
              <w:ind w:left="0" w:firstLine="0"/>
              <w:jc w:val="center"/>
            </w:pPr>
            <w:r w:rsidRPr="001B4A02">
              <w:t>0,8 (0,4–1,2)</w:t>
            </w:r>
          </w:p>
        </w:tc>
        <w:tc>
          <w:tcPr>
            <w:tcW w:w="1275" w:type="dxa"/>
            <w:tcBorders>
              <w:top w:val="single" w:sz="4" w:space="0" w:color="auto"/>
              <w:left w:val="single" w:sz="4" w:space="0" w:color="auto"/>
              <w:bottom w:val="single" w:sz="4" w:space="0" w:color="auto"/>
              <w:right w:val="single" w:sz="4" w:space="0" w:color="auto"/>
            </w:tcBorders>
          </w:tcPr>
          <w:p w14:paraId="3CC92B49" w14:textId="77777777" w:rsidR="00381C4E" w:rsidRPr="001B4A02" w:rsidRDefault="00000000" w:rsidP="00527B4A">
            <w:pPr>
              <w:ind w:left="0" w:firstLine="0"/>
              <w:jc w:val="center"/>
            </w:pPr>
            <w:r w:rsidRPr="001B4A02">
              <w:t>&lt;0,001</w:t>
            </w:r>
          </w:p>
        </w:tc>
        <w:tc>
          <w:tcPr>
            <w:tcW w:w="1323" w:type="dxa"/>
            <w:tcBorders>
              <w:top w:val="single" w:sz="4" w:space="0" w:color="auto"/>
              <w:left w:val="single" w:sz="4" w:space="0" w:color="auto"/>
              <w:bottom w:val="single" w:sz="4" w:space="0" w:color="auto"/>
              <w:right w:val="single" w:sz="4" w:space="0" w:color="auto"/>
            </w:tcBorders>
          </w:tcPr>
          <w:p w14:paraId="0C8E5D00" w14:textId="77777777" w:rsidR="00381C4E" w:rsidRPr="001B4A02" w:rsidRDefault="00000000" w:rsidP="00527B4A">
            <w:pPr>
              <w:ind w:left="0" w:firstLine="0"/>
              <w:jc w:val="center"/>
            </w:pPr>
            <w:r w:rsidRPr="001B4A02">
              <w:t>0,0082</w:t>
            </w:r>
          </w:p>
        </w:tc>
        <w:tc>
          <w:tcPr>
            <w:tcW w:w="1229" w:type="dxa"/>
            <w:tcBorders>
              <w:top w:val="single" w:sz="4" w:space="0" w:color="auto"/>
              <w:left w:val="single" w:sz="4" w:space="0" w:color="auto"/>
              <w:bottom w:val="single" w:sz="4" w:space="0" w:color="auto"/>
              <w:right w:val="single" w:sz="4" w:space="0" w:color="auto"/>
            </w:tcBorders>
          </w:tcPr>
          <w:p w14:paraId="4C92756F" w14:textId="77777777" w:rsidR="00381C4E" w:rsidRPr="001B4A02" w:rsidRDefault="00000000" w:rsidP="00527B4A">
            <w:pPr>
              <w:ind w:left="0" w:firstLine="0"/>
              <w:jc w:val="center"/>
            </w:pPr>
            <w:r w:rsidRPr="001B4A02">
              <w:t>&lt;0,001</w:t>
            </w:r>
          </w:p>
        </w:tc>
      </w:tr>
      <w:tr w:rsidR="00534A2D" w14:paraId="3F96778F" w14:textId="77777777" w:rsidTr="001E322F">
        <w:tc>
          <w:tcPr>
            <w:tcW w:w="1134" w:type="dxa"/>
            <w:tcBorders>
              <w:top w:val="single" w:sz="4" w:space="0" w:color="auto"/>
              <w:left w:val="single" w:sz="4" w:space="0" w:color="auto"/>
              <w:bottom w:val="single" w:sz="4" w:space="0" w:color="auto"/>
              <w:right w:val="single" w:sz="4" w:space="0" w:color="auto"/>
            </w:tcBorders>
          </w:tcPr>
          <w:p w14:paraId="5DE978F0" w14:textId="77777777" w:rsidR="00381C4E" w:rsidRPr="001B4A02" w:rsidRDefault="00000000" w:rsidP="00527B4A">
            <w:pPr>
              <w:ind w:left="0" w:firstLine="0"/>
            </w:pPr>
            <w:r w:rsidRPr="001B4A02">
              <w:t>JSN skóre</w:t>
            </w:r>
          </w:p>
        </w:tc>
        <w:tc>
          <w:tcPr>
            <w:tcW w:w="1418" w:type="dxa"/>
            <w:tcBorders>
              <w:top w:val="single" w:sz="4" w:space="0" w:color="auto"/>
              <w:left w:val="single" w:sz="4" w:space="0" w:color="auto"/>
              <w:bottom w:val="single" w:sz="4" w:space="0" w:color="auto"/>
              <w:right w:val="single" w:sz="4" w:space="0" w:color="auto"/>
            </w:tcBorders>
          </w:tcPr>
          <w:p w14:paraId="60D186EC" w14:textId="77777777" w:rsidR="00381C4E" w:rsidRPr="001B4A02" w:rsidRDefault="00000000" w:rsidP="00527B4A">
            <w:pPr>
              <w:ind w:left="0" w:firstLine="0"/>
              <w:jc w:val="center"/>
            </w:pPr>
            <w:r w:rsidRPr="001B4A02">
              <w:t>2,0 (1,2–2,8)</w:t>
            </w:r>
          </w:p>
        </w:tc>
        <w:tc>
          <w:tcPr>
            <w:tcW w:w="1417" w:type="dxa"/>
            <w:tcBorders>
              <w:top w:val="single" w:sz="4" w:space="0" w:color="auto"/>
              <w:left w:val="single" w:sz="4" w:space="0" w:color="auto"/>
              <w:bottom w:val="single" w:sz="4" w:space="0" w:color="auto"/>
              <w:right w:val="single" w:sz="4" w:space="0" w:color="auto"/>
            </w:tcBorders>
          </w:tcPr>
          <w:p w14:paraId="6131EF9D" w14:textId="77777777" w:rsidR="00381C4E" w:rsidRPr="001B4A02" w:rsidRDefault="00000000" w:rsidP="00527B4A">
            <w:pPr>
              <w:ind w:left="0" w:firstLine="0"/>
              <w:jc w:val="center"/>
            </w:pPr>
            <w:r w:rsidRPr="001B4A02">
              <w:t>1,3 (0,5–2,1)</w:t>
            </w:r>
          </w:p>
        </w:tc>
        <w:tc>
          <w:tcPr>
            <w:tcW w:w="1560" w:type="dxa"/>
            <w:tcBorders>
              <w:top w:val="single" w:sz="4" w:space="0" w:color="auto"/>
              <w:left w:val="single" w:sz="4" w:space="0" w:color="auto"/>
              <w:bottom w:val="single" w:sz="4" w:space="0" w:color="auto"/>
              <w:right w:val="single" w:sz="4" w:space="0" w:color="auto"/>
            </w:tcBorders>
          </w:tcPr>
          <w:p w14:paraId="53C238BE" w14:textId="77777777" w:rsidR="00381C4E" w:rsidRPr="001B4A02" w:rsidRDefault="00000000" w:rsidP="00527B4A">
            <w:pPr>
              <w:ind w:left="0" w:firstLine="0"/>
              <w:jc w:val="center"/>
            </w:pPr>
            <w:r w:rsidRPr="001B4A02">
              <w:t>0,5 (0–1,0)</w:t>
            </w:r>
          </w:p>
        </w:tc>
        <w:tc>
          <w:tcPr>
            <w:tcW w:w="1275" w:type="dxa"/>
            <w:tcBorders>
              <w:top w:val="single" w:sz="4" w:space="0" w:color="auto"/>
              <w:left w:val="single" w:sz="4" w:space="0" w:color="auto"/>
              <w:bottom w:val="single" w:sz="4" w:space="0" w:color="auto"/>
              <w:right w:val="single" w:sz="4" w:space="0" w:color="auto"/>
            </w:tcBorders>
          </w:tcPr>
          <w:p w14:paraId="5D07C1A4" w14:textId="77777777" w:rsidR="00381C4E" w:rsidRPr="001B4A02" w:rsidRDefault="00000000" w:rsidP="00527B4A">
            <w:pPr>
              <w:ind w:left="0" w:firstLine="0"/>
              <w:jc w:val="center"/>
            </w:pPr>
            <w:r w:rsidRPr="001B4A02">
              <w:t>&lt;0,001</w:t>
            </w:r>
          </w:p>
        </w:tc>
        <w:tc>
          <w:tcPr>
            <w:tcW w:w="1323" w:type="dxa"/>
            <w:tcBorders>
              <w:top w:val="single" w:sz="4" w:space="0" w:color="auto"/>
              <w:left w:val="single" w:sz="4" w:space="0" w:color="auto"/>
              <w:bottom w:val="single" w:sz="4" w:space="0" w:color="auto"/>
              <w:right w:val="single" w:sz="4" w:space="0" w:color="auto"/>
            </w:tcBorders>
          </w:tcPr>
          <w:p w14:paraId="0D9C8AA5" w14:textId="77777777" w:rsidR="00381C4E" w:rsidRPr="001B4A02" w:rsidRDefault="00000000" w:rsidP="00527B4A">
            <w:pPr>
              <w:ind w:left="0" w:firstLine="0"/>
              <w:jc w:val="center"/>
            </w:pPr>
            <w:r w:rsidRPr="001B4A02">
              <w:t>0,0037</w:t>
            </w:r>
          </w:p>
        </w:tc>
        <w:tc>
          <w:tcPr>
            <w:tcW w:w="1229" w:type="dxa"/>
            <w:tcBorders>
              <w:top w:val="single" w:sz="4" w:space="0" w:color="auto"/>
              <w:left w:val="single" w:sz="4" w:space="0" w:color="auto"/>
              <w:bottom w:val="single" w:sz="4" w:space="0" w:color="auto"/>
              <w:right w:val="single" w:sz="4" w:space="0" w:color="auto"/>
            </w:tcBorders>
          </w:tcPr>
          <w:p w14:paraId="497F9C28" w14:textId="77777777" w:rsidR="00381C4E" w:rsidRPr="001B4A02" w:rsidRDefault="00000000" w:rsidP="00527B4A">
            <w:pPr>
              <w:ind w:left="0" w:firstLine="0"/>
              <w:jc w:val="center"/>
            </w:pPr>
            <w:r w:rsidRPr="001B4A02">
              <w:t>0,151</w:t>
            </w:r>
          </w:p>
        </w:tc>
      </w:tr>
      <w:tr w:rsidR="00534A2D" w14:paraId="05DB76C9" w14:textId="77777777" w:rsidTr="001E322F">
        <w:tc>
          <w:tcPr>
            <w:tcW w:w="9356" w:type="dxa"/>
            <w:gridSpan w:val="7"/>
            <w:tcBorders>
              <w:top w:val="single" w:sz="4" w:space="0" w:color="auto"/>
              <w:left w:val="single" w:sz="4" w:space="0" w:color="auto"/>
              <w:bottom w:val="single" w:sz="4" w:space="0" w:color="auto"/>
              <w:right w:val="single" w:sz="4" w:space="0" w:color="auto"/>
            </w:tcBorders>
          </w:tcPr>
          <w:p w14:paraId="0A75784D" w14:textId="77777777" w:rsidR="00381C4E" w:rsidRPr="00D0259F" w:rsidRDefault="00000000" w:rsidP="00527B4A">
            <w:pPr>
              <w:tabs>
                <w:tab w:val="left" w:pos="330"/>
                <w:tab w:val="left" w:pos="10728"/>
              </w:tabs>
              <w:ind w:left="0" w:firstLine="0"/>
              <w:rPr>
                <w:sz w:val="20"/>
              </w:rPr>
            </w:pPr>
            <w:r w:rsidRPr="001B4A02">
              <w:rPr>
                <w:sz w:val="20"/>
                <w:vertAlign w:val="superscript"/>
              </w:rPr>
              <w:t>a</w:t>
            </w:r>
            <w:r w:rsidRPr="001B4A02">
              <w:rPr>
                <w:sz w:val="20"/>
              </w:rPr>
              <w:t xml:space="preserve"> Hodnota p pochází z párového srovnání monoterapie methotrexátem</w:t>
            </w:r>
            <w:r w:rsidR="002378E0">
              <w:rPr>
                <w:sz w:val="20"/>
              </w:rPr>
              <w:t xml:space="preserve"> a </w:t>
            </w:r>
            <w:r w:rsidRPr="009271A3">
              <w:rPr>
                <w:sz w:val="20"/>
              </w:rPr>
              <w:t>kombin</w:t>
            </w:r>
            <w:r w:rsidR="009271A3" w:rsidRPr="009271A3">
              <w:rPr>
                <w:sz w:val="20"/>
              </w:rPr>
              <w:t>ovan</w:t>
            </w:r>
            <w:r w:rsidR="00D0259F">
              <w:rPr>
                <w:sz w:val="20"/>
              </w:rPr>
              <w:t>é</w:t>
            </w:r>
            <w:r w:rsidRPr="009271A3">
              <w:rPr>
                <w:sz w:val="20"/>
              </w:rPr>
              <w:t xml:space="preserve"> terapie přípravkem Humira/methotrexát pomocí Mann</w:t>
            </w:r>
            <w:r w:rsidRPr="009271A3">
              <w:rPr>
                <w:sz w:val="20"/>
              </w:rPr>
              <w:noBreakHyphen/>
              <w:t>Whitneova U testu.</w:t>
            </w:r>
          </w:p>
          <w:p w14:paraId="5794E329" w14:textId="77777777" w:rsidR="00381C4E" w:rsidRPr="001B4A02" w:rsidRDefault="00000000" w:rsidP="00D0259F">
            <w:pPr>
              <w:tabs>
                <w:tab w:val="left" w:pos="330"/>
              </w:tabs>
              <w:ind w:left="0" w:firstLine="0"/>
              <w:rPr>
                <w:bCs/>
              </w:rPr>
            </w:pPr>
            <w:r w:rsidRPr="00D0259F">
              <w:rPr>
                <w:sz w:val="20"/>
                <w:vertAlign w:val="superscript"/>
              </w:rPr>
              <w:t>b</w:t>
            </w:r>
            <w:r w:rsidRPr="00D0259F">
              <w:rPr>
                <w:sz w:val="20"/>
              </w:rPr>
              <w:t xml:space="preserve"> Hodnota p pochází z párového srovnání monoterapie přípravkem Humira</w:t>
            </w:r>
            <w:r w:rsidR="002378E0">
              <w:rPr>
                <w:sz w:val="20"/>
              </w:rPr>
              <w:t xml:space="preserve"> a </w:t>
            </w:r>
            <w:r w:rsidRPr="00D0259F">
              <w:rPr>
                <w:sz w:val="20"/>
              </w:rPr>
              <w:t>kombin</w:t>
            </w:r>
            <w:r w:rsidR="009271A3" w:rsidRPr="009271A3">
              <w:rPr>
                <w:sz w:val="20"/>
              </w:rPr>
              <w:t>ovan</w:t>
            </w:r>
            <w:r w:rsidR="00D0259F">
              <w:rPr>
                <w:sz w:val="20"/>
              </w:rPr>
              <w:t>é</w:t>
            </w:r>
            <w:r w:rsidRPr="009271A3">
              <w:rPr>
                <w:sz w:val="20"/>
              </w:rPr>
              <w:t xml:space="preserve"> terapie</w:t>
            </w:r>
            <w:r w:rsidRPr="001B4A02">
              <w:rPr>
                <w:sz w:val="20"/>
              </w:rPr>
              <w:t xml:space="preserve"> přípravkem Humira/methotrexát pomocí Mann</w:t>
            </w:r>
            <w:r w:rsidRPr="001B4A02">
              <w:rPr>
                <w:sz w:val="20"/>
              </w:rPr>
              <w:noBreakHyphen/>
              <w:t>Whitneova U testu.</w:t>
            </w:r>
            <w:r w:rsidRPr="001B4A02">
              <w:rPr>
                <w:bCs/>
                <w:sz w:val="20"/>
                <w:vertAlign w:val="superscript"/>
              </w:rPr>
              <w:t>c</w:t>
            </w:r>
            <w:r w:rsidRPr="001B4A02">
              <w:rPr>
                <w:bCs/>
                <w:sz w:val="20"/>
              </w:rPr>
              <w:t xml:space="preserve"> </w:t>
            </w:r>
            <w:r w:rsidRPr="001B4A02">
              <w:rPr>
                <w:sz w:val="20"/>
              </w:rPr>
              <w:t>Hodnota p pochází z párového srovnání monoterapie přípravkem Humira</w:t>
            </w:r>
            <w:r w:rsidR="002378E0">
              <w:rPr>
                <w:sz w:val="20"/>
              </w:rPr>
              <w:t xml:space="preserve"> a </w:t>
            </w:r>
            <w:r w:rsidRPr="001B4A02">
              <w:rPr>
                <w:sz w:val="20"/>
              </w:rPr>
              <w:t>monoterapie methotrexátem pomocí Mann</w:t>
            </w:r>
            <w:r w:rsidRPr="001B4A02">
              <w:rPr>
                <w:sz w:val="20"/>
              </w:rPr>
              <w:noBreakHyphen/>
              <w:t>Whitneova U testu.</w:t>
            </w:r>
          </w:p>
        </w:tc>
      </w:tr>
    </w:tbl>
    <w:p w14:paraId="4F68BD28" w14:textId="77777777" w:rsidR="00381C4E" w:rsidRPr="001B4A02" w:rsidRDefault="00381C4E" w:rsidP="00381C4E">
      <w:pPr>
        <w:pStyle w:val="EMEAHeadingUnderline"/>
        <w:tabs>
          <w:tab w:val="clear" w:pos="562"/>
        </w:tabs>
        <w:suppressAutoHyphens w:val="0"/>
        <w:spacing w:beforeLines="0" w:before="0" w:afterLines="0" w:after="0"/>
        <w:rPr>
          <w:lang w:val="cs-CZ"/>
        </w:rPr>
      </w:pPr>
    </w:p>
    <w:p w14:paraId="002D93F5" w14:textId="77777777" w:rsidR="00381C4E" w:rsidRPr="001B4A02" w:rsidRDefault="00000000" w:rsidP="00381C4E">
      <w:pPr>
        <w:pStyle w:val="EMEANormal"/>
        <w:rPr>
          <w:lang w:val="cs-CZ"/>
        </w:rPr>
      </w:pPr>
      <w:r w:rsidRPr="001B4A02">
        <w:rPr>
          <w:lang w:val="cs-CZ"/>
        </w:rPr>
        <w:t>Po 52</w:t>
      </w:r>
      <w:r w:rsidR="002378E0">
        <w:rPr>
          <w:lang w:val="cs-CZ"/>
        </w:rPr>
        <w:t xml:space="preserve"> a </w:t>
      </w:r>
      <w:r w:rsidRPr="001B4A02">
        <w:rPr>
          <w:lang w:val="cs-CZ"/>
        </w:rPr>
        <w:t>104 týdnech terapie bylo procento pacientů bez progrese (změna modifikovaného Sharpova skóre oproti výchozímu stavu ≤ 0,5) významně vyšší při kombin</w:t>
      </w:r>
      <w:r w:rsidR="009271A3" w:rsidRPr="00F261A6">
        <w:rPr>
          <w:lang w:val="cs-CZ"/>
        </w:rPr>
        <w:t>ovan</w:t>
      </w:r>
      <w:r w:rsidR="009271A3">
        <w:rPr>
          <w:lang w:val="cs-CZ"/>
        </w:rPr>
        <w:t>é</w:t>
      </w:r>
      <w:r w:rsidRPr="001B4A02">
        <w:rPr>
          <w:lang w:val="cs-CZ"/>
        </w:rPr>
        <w:t xml:space="preserve"> terapii přípravkem Humira/methotrexát (63,8 %, resp. 61,2 %) v porovnání s monoterapií methotrexátem (37,4 %, resp. 33,5 %, p&lt;0,001)</w:t>
      </w:r>
      <w:r w:rsidR="002378E0">
        <w:rPr>
          <w:lang w:val="cs-CZ"/>
        </w:rPr>
        <w:t xml:space="preserve"> a </w:t>
      </w:r>
      <w:r w:rsidRPr="001B4A02">
        <w:rPr>
          <w:lang w:val="cs-CZ"/>
        </w:rPr>
        <w:t>monoterapií přípravkem Humira (50,7 %, p&lt;0,002, resp. 44,5 %, p&lt;0,001).</w:t>
      </w:r>
    </w:p>
    <w:p w14:paraId="6F91CB1C" w14:textId="77777777" w:rsidR="00381C4E" w:rsidRPr="001B4A02" w:rsidRDefault="00381C4E" w:rsidP="00381C4E">
      <w:pPr>
        <w:ind w:left="0" w:firstLine="0"/>
        <w:rPr>
          <w:u w:val="single"/>
        </w:rPr>
      </w:pPr>
    </w:p>
    <w:p w14:paraId="4729D859" w14:textId="77777777" w:rsidR="00381C4E" w:rsidRPr="001B4A02" w:rsidRDefault="00000000" w:rsidP="00381C4E">
      <w:pPr>
        <w:ind w:left="0" w:firstLine="0"/>
        <w:rPr>
          <w:u w:val="single"/>
        </w:rPr>
      </w:pPr>
      <w:r w:rsidRPr="001B4A02">
        <w:t>V otevřené prodloužené fázi studie RA V</w:t>
      </w:r>
      <w:r w:rsidR="003D5529" w:rsidRPr="001B4A02">
        <w:t xml:space="preserve"> </w:t>
      </w:r>
      <w:r w:rsidRPr="001B4A02">
        <w:t>byla v desátém roce průměrná změna modifikovaného Sharpova skóre oproti výchozímu stavu 10,8, 9,2</w:t>
      </w:r>
      <w:r w:rsidR="002378E0">
        <w:t xml:space="preserve"> a </w:t>
      </w:r>
      <w:r w:rsidRPr="001B4A02">
        <w:t>3,9 u pacientů původně randomizovaných na léčbu methotrexátem v monoterapii, přípravkem Humira v monoterapii</w:t>
      </w:r>
      <w:r w:rsidR="002378E0">
        <w:t xml:space="preserve"> a </w:t>
      </w:r>
      <w:r w:rsidRPr="001B4A02">
        <w:t>přípravkem Humira v kombinaci s methotrexátem. Odpovídající poměry pacientů bez radiografické progrese byly 31,3 %, 23,7 %</w:t>
      </w:r>
      <w:r w:rsidR="002378E0">
        <w:t xml:space="preserve"> a </w:t>
      </w:r>
      <w:r w:rsidRPr="001B4A02">
        <w:t>36,7 %.</w:t>
      </w:r>
    </w:p>
    <w:p w14:paraId="2B5DBB34" w14:textId="77777777" w:rsidR="00381C4E" w:rsidRPr="001B4A02" w:rsidRDefault="00381C4E" w:rsidP="00381C4E">
      <w:pPr>
        <w:ind w:left="0" w:firstLine="0"/>
        <w:rPr>
          <w:u w:val="single"/>
        </w:rPr>
      </w:pPr>
    </w:p>
    <w:p w14:paraId="45E390CF" w14:textId="77777777" w:rsidR="00381C4E" w:rsidRPr="001B4A02" w:rsidRDefault="00000000" w:rsidP="00381C4E">
      <w:pPr>
        <w:keepNext/>
        <w:ind w:left="0" w:firstLine="0"/>
        <w:rPr>
          <w:i/>
          <w:u w:val="single"/>
        </w:rPr>
      </w:pPr>
      <w:r w:rsidRPr="001B4A02">
        <w:rPr>
          <w:i/>
          <w:u w:val="single"/>
        </w:rPr>
        <w:t>Kvalita života</w:t>
      </w:r>
      <w:r w:rsidR="002378E0">
        <w:rPr>
          <w:i/>
          <w:u w:val="single"/>
        </w:rPr>
        <w:t xml:space="preserve"> a </w:t>
      </w:r>
      <w:r w:rsidRPr="001B4A02">
        <w:rPr>
          <w:i/>
          <w:u w:val="single"/>
        </w:rPr>
        <w:t>tělesné funkce</w:t>
      </w:r>
    </w:p>
    <w:p w14:paraId="463723A6" w14:textId="77777777" w:rsidR="00381C4E" w:rsidRPr="001B4A02" w:rsidRDefault="00381C4E" w:rsidP="00381C4E">
      <w:pPr>
        <w:keepNext/>
        <w:ind w:left="0" w:firstLine="0"/>
      </w:pPr>
    </w:p>
    <w:p w14:paraId="4C5F77F6" w14:textId="77777777" w:rsidR="00381C4E" w:rsidRPr="001B4A02" w:rsidRDefault="00000000" w:rsidP="00C465CA">
      <w:pPr>
        <w:ind w:left="0" w:firstLine="0"/>
      </w:pPr>
      <w:r w:rsidRPr="001B4A02">
        <w:t>Kvalita života odvozená od zdravotního stavu</w:t>
      </w:r>
      <w:r w:rsidR="002378E0">
        <w:t xml:space="preserve"> a </w:t>
      </w:r>
      <w:r w:rsidRPr="001B4A02">
        <w:t>tělesné funkce byly ve čtyřech původních kontrolovaných studiích hodnoceny indexem disability pomocí Dotazníku hodnocení zdraví (Health Assessment Ques</w:t>
      </w:r>
      <w:r w:rsidR="005079AD">
        <w:t>t</w:t>
      </w:r>
      <w:r w:rsidRPr="001B4A02">
        <w:t xml:space="preserve">ionnaire – HAQ). Tento parametr byl předem stanoveným primárním výsledným ukazatelem </w:t>
      </w:r>
      <w:r w:rsidR="00D00F8F">
        <w:t>v</w:t>
      </w:r>
      <w:r w:rsidR="005D2EB7">
        <w:t> </w:t>
      </w:r>
      <w:r w:rsidR="00D00F8F">
        <w:t>týdnu 52</w:t>
      </w:r>
      <w:r w:rsidRPr="001B4A02">
        <w:t xml:space="preserve"> ve studii RA III. U všech dávek/režimů podávání přípravku Humira ve všech čtyřech studiích bylo prokázáno statisticky významně větší zlepšení indexu disability HAQ mezi výchozí hodnotou</w:t>
      </w:r>
      <w:r w:rsidR="002378E0">
        <w:t xml:space="preserve"> a </w:t>
      </w:r>
      <w:r w:rsidRPr="001B4A02">
        <w:t>hodnotou v 6. měsíci v porovnání s placebem</w:t>
      </w:r>
      <w:r w:rsidR="002378E0">
        <w:t xml:space="preserve"> a </w:t>
      </w:r>
      <w:r w:rsidRPr="001B4A02">
        <w:t xml:space="preserve">ve studii RA III byly pozorovány stejné výsledky </w:t>
      </w:r>
      <w:r w:rsidR="00D00F8F">
        <w:t>v</w:t>
      </w:r>
      <w:r w:rsidR="005D2EB7">
        <w:t> </w:t>
      </w:r>
      <w:r w:rsidR="00D00F8F">
        <w:t>týdnu 52</w:t>
      </w:r>
      <w:r w:rsidRPr="001B4A02">
        <w:t>. Tyto nálezy podporují i výsledky Stručného formuláře průzkumu zdraví (SF 36) u všech dávek/režimů podávání přípravku Humira ve všech čtyřech studiích se statisticky významným zlepšením skóre souhrnu tělesných komponent (physical component summary – PCS)</w:t>
      </w:r>
      <w:r w:rsidR="002378E0">
        <w:t xml:space="preserve"> a </w:t>
      </w:r>
      <w:r w:rsidRPr="001B4A02">
        <w:t>statisticky významným zlepšením skóre příznaků bolesti</w:t>
      </w:r>
      <w:r w:rsidR="002378E0">
        <w:t xml:space="preserve"> a </w:t>
      </w:r>
      <w:r w:rsidRPr="001B4A02">
        <w:t>vitality při dávkování přípravku 40 mg každý druhý týden. Ve všech třech studiích, ve kterých byla hodnocena únav</w:t>
      </w:r>
      <w:r w:rsidR="00596B06">
        <w:t>a</w:t>
      </w:r>
      <w:r w:rsidRPr="001B4A02">
        <w:t xml:space="preserve"> (studie RA I, III, IV)</w:t>
      </w:r>
      <w:r w:rsidR="00596B06">
        <w:t>,</w:t>
      </w:r>
      <w:r w:rsidRPr="001B4A02">
        <w:t xml:space="preserve"> byl pozorován její statisticky významný pokles stanovením funkčního hodnocení léčby chronického onemocnění (FACIT).</w:t>
      </w:r>
    </w:p>
    <w:p w14:paraId="0589FE59" w14:textId="77777777" w:rsidR="00381C4E" w:rsidRPr="001B4A02" w:rsidRDefault="00381C4E" w:rsidP="00381C4E">
      <w:pPr>
        <w:ind w:left="0" w:firstLine="0"/>
      </w:pPr>
    </w:p>
    <w:p w14:paraId="19EF57FA" w14:textId="77777777" w:rsidR="00381C4E" w:rsidRPr="001B4A02" w:rsidRDefault="00000000" w:rsidP="00381C4E">
      <w:pPr>
        <w:ind w:left="0" w:firstLine="0"/>
      </w:pPr>
      <w:r w:rsidRPr="001B4A02">
        <w:t>Ve studii RA III se u většiny subjektů, kte</w:t>
      </w:r>
      <w:r w:rsidR="00CD039D">
        <w:t>ré</w:t>
      </w:r>
      <w:r w:rsidRPr="001B4A02">
        <w:t xml:space="preserve"> dosáhl</w:t>
      </w:r>
      <w:r w:rsidR="00CD039D">
        <w:t>y</w:t>
      </w:r>
      <w:r w:rsidRPr="001B4A02">
        <w:t xml:space="preserve"> zlepšení fyzických funkcí</w:t>
      </w:r>
      <w:r w:rsidR="002378E0">
        <w:t xml:space="preserve"> a </w:t>
      </w:r>
      <w:r w:rsidRPr="001B4A02">
        <w:t>pokračoval</w:t>
      </w:r>
      <w:r w:rsidR="00CD039D">
        <w:t>y</w:t>
      </w:r>
      <w:r w:rsidRPr="001B4A02">
        <w:t xml:space="preserve"> v</w:t>
      </w:r>
      <w:r w:rsidR="003D5529" w:rsidRPr="001B4A02">
        <w:t> </w:t>
      </w:r>
      <w:r w:rsidRPr="001B4A02">
        <w:t>léčbě, udrželo zlepšení až do týdne 520 (120 měsíců) nezaslepené fáze studie. Zlepšení kvality života bylo hodnoceno po dobu 156 týdnů (36 měsíců), toto zlepšení přetrvávalo v průběhu celého tohoto období.</w:t>
      </w:r>
    </w:p>
    <w:p w14:paraId="0E0EDBC7" w14:textId="77777777" w:rsidR="00381C4E" w:rsidRPr="001B4A02" w:rsidRDefault="00381C4E" w:rsidP="00381C4E">
      <w:pPr>
        <w:ind w:left="0" w:firstLine="0"/>
      </w:pPr>
    </w:p>
    <w:p w14:paraId="6B121F7B" w14:textId="77777777" w:rsidR="00381C4E" w:rsidRPr="001B4A02" w:rsidRDefault="00000000" w:rsidP="00381C4E">
      <w:pPr>
        <w:ind w:left="0" w:firstLine="0"/>
        <w:rPr>
          <w:u w:val="single"/>
        </w:rPr>
      </w:pPr>
      <w:r w:rsidRPr="001B4A02">
        <w:t>Ve studii RA V</w:t>
      </w:r>
      <w:r w:rsidR="003D5529" w:rsidRPr="001B4A02">
        <w:t xml:space="preserve"> </w:t>
      </w:r>
      <w:r w:rsidRPr="001B4A02">
        <w:t>se zlepšení indexu disability HAQ</w:t>
      </w:r>
      <w:r w:rsidR="002378E0">
        <w:t xml:space="preserve"> a </w:t>
      </w:r>
      <w:r w:rsidRPr="001B4A02">
        <w:t>tělesné komponenty v průzkumu SF 36 prokázalo jako větší (p&lt;0,001) při kombin</w:t>
      </w:r>
      <w:r w:rsidR="009271A3">
        <w:t>ované</w:t>
      </w:r>
      <w:r w:rsidRPr="001B4A02">
        <w:t xml:space="preserve"> léčbě přípravkem Humira/methotrexátem </w:t>
      </w:r>
      <w:r w:rsidRPr="001B4A02">
        <w:rPr>
          <w:iCs/>
        </w:rPr>
        <w:t>v porovnání s</w:t>
      </w:r>
      <w:r w:rsidRPr="001B4A02">
        <w:t xml:space="preserve"> monoterapií methotrexátem </w:t>
      </w:r>
      <w:r w:rsidR="00D00F8F">
        <w:t>v</w:t>
      </w:r>
      <w:r w:rsidR="005D2EB7">
        <w:t> </w:t>
      </w:r>
      <w:r w:rsidR="00D00F8F">
        <w:t>týdnu 52</w:t>
      </w:r>
      <w:r w:rsidR="002378E0">
        <w:t xml:space="preserve"> a </w:t>
      </w:r>
      <w:r w:rsidRPr="001B4A02">
        <w:t>zůstávalo větší až do týdne</w:t>
      </w:r>
      <w:r w:rsidR="00FD6C86">
        <w:t xml:space="preserve"> </w:t>
      </w:r>
      <w:r w:rsidR="00FD6C86" w:rsidRPr="001B4A02">
        <w:t>104</w:t>
      </w:r>
      <w:r w:rsidRPr="001B4A02">
        <w:t>. Mezi 250 subjekty, které dokončily otevřenou prodlouženou fázi studie RA V, bylo po dobu 10 let léčby zachováno zlepšení fyzických funkcí.</w:t>
      </w:r>
    </w:p>
    <w:p w14:paraId="314EA8BF" w14:textId="77777777" w:rsidR="00F24C86" w:rsidRPr="001B4A02" w:rsidRDefault="00F24C86" w:rsidP="00F24C86">
      <w:pPr>
        <w:pStyle w:val="EMEANormal"/>
        <w:tabs>
          <w:tab w:val="clear" w:pos="562"/>
        </w:tabs>
        <w:suppressAutoHyphens w:val="0"/>
        <w:rPr>
          <w:lang w:val="cs-CZ"/>
        </w:rPr>
      </w:pPr>
    </w:p>
    <w:p w14:paraId="31AC72FE" w14:textId="77777777" w:rsidR="00C33C7C" w:rsidRPr="001B4A02" w:rsidRDefault="00000000" w:rsidP="00C465CA">
      <w:pPr>
        <w:pStyle w:val="EMEANormal"/>
        <w:keepNext/>
        <w:tabs>
          <w:tab w:val="clear" w:pos="562"/>
        </w:tabs>
        <w:suppressAutoHyphens w:val="0"/>
        <w:rPr>
          <w:i/>
          <w:lang w:val="cs-CZ"/>
        </w:rPr>
      </w:pPr>
      <w:r w:rsidRPr="001B4A02">
        <w:rPr>
          <w:i/>
          <w:lang w:val="cs-CZ"/>
        </w:rPr>
        <w:t>Ložisková psoriáza u dospělých</w:t>
      </w:r>
    </w:p>
    <w:p w14:paraId="3FC43850" w14:textId="77777777" w:rsidR="00C33C7C" w:rsidRPr="001B4A02" w:rsidRDefault="00C33C7C" w:rsidP="00C465CA">
      <w:pPr>
        <w:pStyle w:val="EMEANormal"/>
        <w:keepNext/>
        <w:tabs>
          <w:tab w:val="clear" w:pos="562"/>
        </w:tabs>
        <w:suppressAutoHyphens w:val="0"/>
        <w:rPr>
          <w:lang w:val="cs-CZ"/>
        </w:rPr>
      </w:pPr>
    </w:p>
    <w:p w14:paraId="65B13E2F" w14:textId="77777777" w:rsidR="00C33C7C" w:rsidRPr="001B4A02" w:rsidRDefault="00000000" w:rsidP="00C33C7C">
      <w:pPr>
        <w:pStyle w:val="EMEANormal"/>
        <w:tabs>
          <w:tab w:val="clear" w:pos="562"/>
        </w:tabs>
        <w:suppressAutoHyphens w:val="0"/>
        <w:rPr>
          <w:lang w:val="cs-CZ"/>
        </w:rPr>
      </w:pPr>
      <w:r w:rsidRPr="001B4A02">
        <w:rPr>
          <w:lang w:val="cs-CZ"/>
        </w:rPr>
        <w:t>Bezpečnost</w:t>
      </w:r>
      <w:r w:rsidR="002378E0">
        <w:rPr>
          <w:lang w:val="cs-CZ"/>
        </w:rPr>
        <w:t xml:space="preserve"> a </w:t>
      </w:r>
      <w:r w:rsidRPr="001B4A02">
        <w:rPr>
          <w:lang w:val="cs-CZ"/>
        </w:rPr>
        <w:t>účinnost přípravku Humira byla studována u dospělých pacientů s chronickou ložiskovou psoriázou (</w:t>
      </w:r>
      <w:r w:rsidR="008E5C77" w:rsidRPr="001B4A02">
        <w:rPr>
          <w:rFonts w:ascii="Symbol" w:hAnsi="Symbol"/>
          <w:lang w:val="cs-CZ"/>
        </w:rPr>
        <w:sym w:font="Symbol" w:char="F0B3"/>
      </w:r>
      <w:r w:rsidRPr="001B4A02">
        <w:rPr>
          <w:lang w:val="cs-CZ"/>
        </w:rPr>
        <w:t xml:space="preserve"> 10 % BSA</w:t>
      </w:r>
      <w:r w:rsidR="002378E0">
        <w:rPr>
          <w:lang w:val="cs-CZ"/>
        </w:rPr>
        <w:t xml:space="preserve"> a </w:t>
      </w:r>
      <w:r w:rsidRPr="001B4A02">
        <w:rPr>
          <w:lang w:val="cs-CZ"/>
        </w:rPr>
        <w:t xml:space="preserve">PASI </w:t>
      </w:r>
      <w:r w:rsidR="008E5C77" w:rsidRPr="001B4A02">
        <w:rPr>
          <w:rFonts w:ascii="Symbol" w:hAnsi="Symbol"/>
          <w:lang w:val="cs-CZ"/>
        </w:rPr>
        <w:sym w:font="Symbol" w:char="F0B3"/>
      </w:r>
      <w:r w:rsidRPr="001B4A02">
        <w:rPr>
          <w:lang w:val="cs-CZ"/>
        </w:rPr>
        <w:t xml:space="preserve"> 12 nebo </w:t>
      </w:r>
      <w:r w:rsidR="008E5C77" w:rsidRPr="001B4A02">
        <w:rPr>
          <w:rFonts w:ascii="Symbol" w:hAnsi="Symbol"/>
          <w:lang w:val="cs-CZ"/>
        </w:rPr>
        <w:sym w:font="Symbol" w:char="F0B3"/>
      </w:r>
      <w:r w:rsidRPr="001B4A02">
        <w:rPr>
          <w:lang w:val="cs-CZ"/>
        </w:rPr>
        <w:t xml:space="preserve"> 10), kteří byli kandidáty pro systémovou léčbu nebo fototerapii v randomizovaných, dvojitě zaslepených studiích. 73</w:t>
      </w:r>
      <w:r w:rsidR="006008CB">
        <w:rPr>
          <w:lang w:val="cs-CZ"/>
        </w:rPr>
        <w:t> %</w:t>
      </w:r>
      <w:r w:rsidRPr="001B4A02">
        <w:rPr>
          <w:lang w:val="cs-CZ"/>
        </w:rPr>
        <w:t xml:space="preserve"> pacientů zahrnutých do psoriatických studií I</w:t>
      </w:r>
      <w:r w:rsidR="002378E0">
        <w:rPr>
          <w:lang w:val="cs-CZ"/>
        </w:rPr>
        <w:t xml:space="preserve"> a </w:t>
      </w:r>
      <w:r w:rsidRPr="001B4A02">
        <w:rPr>
          <w:lang w:val="cs-CZ"/>
        </w:rPr>
        <w:t>II podstoupilo předcházející systémovou léčbu nebo fototerapii. Bezpečnost</w:t>
      </w:r>
      <w:r w:rsidR="002378E0">
        <w:rPr>
          <w:lang w:val="cs-CZ"/>
        </w:rPr>
        <w:t xml:space="preserve"> a </w:t>
      </w:r>
      <w:r w:rsidRPr="001B4A02">
        <w:rPr>
          <w:lang w:val="cs-CZ"/>
        </w:rPr>
        <w:t>účinnost přípravku Humira byla rovněž hodnocena u dospělých pacientů se středně těžkou až těžkou chronickou ložiskovou psoriázou se současným psoriatickým postižením rukou a/nebo chodidel, kteří byli kandidáty pro systémovou terapii v randomizované dvojitě zaslepené studii (Psoriatická studie III).</w:t>
      </w:r>
    </w:p>
    <w:p w14:paraId="5BAB8B35" w14:textId="77777777" w:rsidR="00C33C7C" w:rsidRPr="001B4A02" w:rsidRDefault="00C33C7C" w:rsidP="00C33C7C">
      <w:pPr>
        <w:pStyle w:val="EMEANormal"/>
        <w:tabs>
          <w:tab w:val="clear" w:pos="562"/>
        </w:tabs>
        <w:suppressAutoHyphens w:val="0"/>
        <w:rPr>
          <w:lang w:val="cs-CZ"/>
        </w:rPr>
      </w:pPr>
    </w:p>
    <w:p w14:paraId="5F084CF0" w14:textId="77777777" w:rsidR="00C33C7C" w:rsidRPr="001B4A02" w:rsidRDefault="00000000" w:rsidP="00C33C7C">
      <w:pPr>
        <w:pStyle w:val="EMEANormal"/>
        <w:tabs>
          <w:tab w:val="clear" w:pos="562"/>
          <w:tab w:val="left" w:pos="708"/>
        </w:tabs>
        <w:suppressAutoHyphens w:val="0"/>
        <w:rPr>
          <w:lang w:val="cs-CZ"/>
        </w:rPr>
      </w:pPr>
      <w:r w:rsidRPr="001B4A02">
        <w:rPr>
          <w:lang w:val="cs-CZ"/>
        </w:rPr>
        <w:t>Psoriatická studie I (REVEAL) hodnotila 1 212 pacientů ve třech fázích léčby. Ve fázi A používali pacienti placebo nebo přípravek Humira v úvodní dávce 80</w:t>
      </w:r>
      <w:r w:rsidR="00294902">
        <w:rPr>
          <w:lang w:val="cs-CZ"/>
        </w:rPr>
        <w:t> mg</w:t>
      </w:r>
      <w:r w:rsidRPr="001B4A02">
        <w:rPr>
          <w:lang w:val="cs-CZ"/>
        </w:rPr>
        <w:t>, následované dávkou 40</w:t>
      </w:r>
      <w:r w:rsidR="00294902">
        <w:rPr>
          <w:lang w:val="cs-CZ"/>
        </w:rPr>
        <w:t> mg</w:t>
      </w:r>
      <w:r w:rsidRPr="001B4A02">
        <w:rPr>
          <w:lang w:val="cs-CZ"/>
        </w:rPr>
        <w:t xml:space="preserve"> každý druhý týden počínaje prvním týdnem po podání dávky úvodní. Po 16 týdnech léčby pacienti, kteří dosáhli odpovědi alespoň PASI 75 (PASI kritérium zlepšení alespoň 75</w:t>
      </w:r>
      <w:r w:rsidR="006008CB">
        <w:rPr>
          <w:lang w:val="cs-CZ"/>
        </w:rPr>
        <w:t> %</w:t>
      </w:r>
      <w:r w:rsidRPr="001B4A02">
        <w:rPr>
          <w:lang w:val="cs-CZ"/>
        </w:rPr>
        <w:t xml:space="preserve"> ve vztahu k výchozímu stavu), postoupili do fáze B</w:t>
      </w:r>
      <w:r w:rsidR="002378E0">
        <w:rPr>
          <w:lang w:val="cs-CZ"/>
        </w:rPr>
        <w:t xml:space="preserve"> a </w:t>
      </w:r>
      <w:r w:rsidRPr="001B4A02">
        <w:rPr>
          <w:lang w:val="cs-CZ"/>
        </w:rPr>
        <w:t>používali v otevřené fázi studie 40</w:t>
      </w:r>
      <w:r w:rsidR="00294902">
        <w:rPr>
          <w:lang w:val="cs-CZ"/>
        </w:rPr>
        <w:t> mg</w:t>
      </w:r>
      <w:r w:rsidRPr="001B4A02">
        <w:rPr>
          <w:lang w:val="cs-CZ"/>
        </w:rPr>
        <w:t xml:space="preserve"> přípravku Humira každý druhý týden. Pacienti, u kterých přetrvávala odpověď PASI ≥ 75 v týdnu 33</w:t>
      </w:r>
      <w:r w:rsidR="002378E0">
        <w:rPr>
          <w:lang w:val="cs-CZ"/>
        </w:rPr>
        <w:t xml:space="preserve"> a </w:t>
      </w:r>
      <w:r w:rsidRPr="001B4A02">
        <w:rPr>
          <w:lang w:val="cs-CZ"/>
        </w:rPr>
        <w:t>kteří byli původně randomizováni k aktivní terapii ve fázi A, byli re-randomizováni do fáze C</w:t>
      </w:r>
      <w:r w:rsidR="002378E0">
        <w:rPr>
          <w:lang w:val="cs-CZ"/>
        </w:rPr>
        <w:t xml:space="preserve"> a </w:t>
      </w:r>
      <w:r w:rsidRPr="001B4A02">
        <w:rPr>
          <w:lang w:val="cs-CZ"/>
        </w:rPr>
        <w:t>používali 40</w:t>
      </w:r>
      <w:r w:rsidR="00294902">
        <w:rPr>
          <w:lang w:val="cs-CZ"/>
        </w:rPr>
        <w:t> mg</w:t>
      </w:r>
      <w:r w:rsidRPr="001B4A02">
        <w:rPr>
          <w:lang w:val="cs-CZ"/>
        </w:rPr>
        <w:t xml:space="preserve"> přípravku Humira každý druhý týden nebo placebo po dobu dalších 19 týdnů. Napříč všemi léčenými skupinami bylo průměrné výchozí skóre PASI 18,9</w:t>
      </w:r>
      <w:r w:rsidR="002378E0">
        <w:rPr>
          <w:lang w:val="cs-CZ"/>
        </w:rPr>
        <w:t xml:space="preserve"> a </w:t>
      </w:r>
      <w:r w:rsidRPr="001B4A02">
        <w:rPr>
          <w:lang w:val="cs-CZ"/>
        </w:rPr>
        <w:t>výchozí skóre PGA se pohybovalo od „středně těžkého“ (53</w:t>
      </w:r>
      <w:r w:rsidR="006008CB">
        <w:rPr>
          <w:lang w:val="cs-CZ"/>
        </w:rPr>
        <w:t> %</w:t>
      </w:r>
      <w:r w:rsidRPr="001B4A02">
        <w:rPr>
          <w:lang w:val="cs-CZ"/>
        </w:rPr>
        <w:t xml:space="preserve"> sledovaných subjektů) po</w:t>
      </w:r>
      <w:r w:rsidR="007978AF">
        <w:rPr>
          <w:lang w:val="cs-CZ"/>
        </w:rPr>
        <w:t xml:space="preserve"> </w:t>
      </w:r>
      <w:r w:rsidRPr="001B4A02">
        <w:rPr>
          <w:lang w:val="cs-CZ"/>
        </w:rPr>
        <w:t>„těžké“ (41</w:t>
      </w:r>
      <w:r w:rsidR="006008CB">
        <w:rPr>
          <w:lang w:val="cs-CZ"/>
        </w:rPr>
        <w:t> %</w:t>
      </w:r>
      <w:r w:rsidRPr="001B4A02">
        <w:rPr>
          <w:lang w:val="cs-CZ"/>
        </w:rPr>
        <w:t>) až „velmi těžké“ (6</w:t>
      </w:r>
      <w:r w:rsidR="006008CB">
        <w:rPr>
          <w:lang w:val="cs-CZ"/>
        </w:rPr>
        <w:t> %</w:t>
      </w:r>
      <w:r w:rsidRPr="001B4A02">
        <w:rPr>
          <w:lang w:val="cs-CZ"/>
        </w:rPr>
        <w:t>).</w:t>
      </w:r>
    </w:p>
    <w:p w14:paraId="5C7C877A" w14:textId="77777777" w:rsidR="00C33C7C" w:rsidRPr="001B4A02" w:rsidRDefault="00C33C7C" w:rsidP="00C33C7C">
      <w:pPr>
        <w:pStyle w:val="EMEANormal"/>
        <w:tabs>
          <w:tab w:val="clear" w:pos="562"/>
        </w:tabs>
        <w:suppressAutoHyphens w:val="0"/>
        <w:rPr>
          <w:lang w:val="cs-CZ"/>
        </w:rPr>
      </w:pPr>
    </w:p>
    <w:p w14:paraId="30662990" w14:textId="77777777" w:rsidR="00C33C7C" w:rsidRPr="001B4A02" w:rsidRDefault="00000000" w:rsidP="00C33C7C">
      <w:pPr>
        <w:pStyle w:val="EMEANormal"/>
        <w:tabs>
          <w:tab w:val="clear" w:pos="562"/>
          <w:tab w:val="left" w:pos="708"/>
        </w:tabs>
        <w:suppressAutoHyphens w:val="0"/>
        <w:rPr>
          <w:lang w:val="cs-CZ"/>
        </w:rPr>
      </w:pPr>
      <w:r w:rsidRPr="001B4A02">
        <w:rPr>
          <w:lang w:val="cs-CZ"/>
        </w:rPr>
        <w:t>Psoriatická studie II (CHAMPION) porovnávala účinnost</w:t>
      </w:r>
      <w:r w:rsidR="002378E0">
        <w:rPr>
          <w:lang w:val="cs-CZ"/>
        </w:rPr>
        <w:t xml:space="preserve"> a </w:t>
      </w:r>
      <w:r w:rsidRPr="001B4A02">
        <w:rPr>
          <w:lang w:val="cs-CZ"/>
        </w:rPr>
        <w:t xml:space="preserve">bezpečnost přípravku Humira </w:t>
      </w:r>
      <w:r w:rsidRPr="001B4A02">
        <w:rPr>
          <w:iCs/>
          <w:lang w:val="cs-CZ"/>
        </w:rPr>
        <w:t>oproti</w:t>
      </w:r>
      <w:r w:rsidRPr="001B4A02">
        <w:rPr>
          <w:lang w:val="cs-CZ"/>
        </w:rPr>
        <w:t xml:space="preserve"> methotrexátu</w:t>
      </w:r>
      <w:r w:rsidR="002378E0">
        <w:rPr>
          <w:lang w:val="cs-CZ"/>
        </w:rPr>
        <w:t xml:space="preserve"> a </w:t>
      </w:r>
      <w:r w:rsidRPr="001B4A02">
        <w:rPr>
          <w:lang w:val="cs-CZ"/>
        </w:rPr>
        <w:t>placebu u 271 pacientů. Pacienti používali placebo</w:t>
      </w:r>
      <w:r w:rsidR="002378E0">
        <w:rPr>
          <w:lang w:val="cs-CZ"/>
        </w:rPr>
        <w:t xml:space="preserve"> a </w:t>
      </w:r>
      <w:r w:rsidRPr="001B4A02">
        <w:rPr>
          <w:lang w:val="cs-CZ"/>
        </w:rPr>
        <w:t>MTX v úvodní dávce 7,5</w:t>
      </w:r>
      <w:r w:rsidR="00294902">
        <w:rPr>
          <w:lang w:val="cs-CZ"/>
        </w:rPr>
        <w:t> mg</w:t>
      </w:r>
      <w:r w:rsidRPr="001B4A02">
        <w:rPr>
          <w:lang w:val="cs-CZ"/>
        </w:rPr>
        <w:t>, která se následně zvyšovala až do týdne 12 do maximální dávky 25</w:t>
      </w:r>
      <w:r w:rsidR="00294902">
        <w:rPr>
          <w:lang w:val="cs-CZ"/>
        </w:rPr>
        <w:t> mg</w:t>
      </w:r>
      <w:r w:rsidRPr="001B4A02">
        <w:rPr>
          <w:lang w:val="cs-CZ"/>
        </w:rPr>
        <w:t>, nebo používali úvodní dávku 80</w:t>
      </w:r>
      <w:r w:rsidR="00294902">
        <w:rPr>
          <w:lang w:val="cs-CZ"/>
        </w:rPr>
        <w:t> mg</w:t>
      </w:r>
      <w:r w:rsidRPr="001B4A02">
        <w:rPr>
          <w:lang w:val="cs-CZ"/>
        </w:rPr>
        <w:t xml:space="preserve"> přípravku Humira, následovanou dávkou 40</w:t>
      </w:r>
      <w:r w:rsidR="00294902">
        <w:rPr>
          <w:lang w:val="cs-CZ"/>
        </w:rPr>
        <w:t> mg</w:t>
      </w:r>
      <w:r w:rsidRPr="001B4A02">
        <w:rPr>
          <w:lang w:val="cs-CZ"/>
        </w:rPr>
        <w:t xml:space="preserve"> každý druhý týden (počínaje prvním týdnem po úvodní dávce) po dobu 16 týdnů. Nejsou dostupné žádné údaje o</w:t>
      </w:r>
      <w:r w:rsidR="00923691" w:rsidRPr="001B4A02">
        <w:rPr>
          <w:lang w:val="cs-CZ"/>
        </w:rPr>
        <w:t> </w:t>
      </w:r>
      <w:r w:rsidRPr="001B4A02">
        <w:rPr>
          <w:lang w:val="cs-CZ"/>
        </w:rPr>
        <w:t>porovnání přípravku Humira</w:t>
      </w:r>
      <w:r w:rsidR="002378E0">
        <w:rPr>
          <w:lang w:val="cs-CZ"/>
        </w:rPr>
        <w:t xml:space="preserve"> a </w:t>
      </w:r>
      <w:r w:rsidRPr="001B4A02">
        <w:rPr>
          <w:lang w:val="cs-CZ"/>
        </w:rPr>
        <w:t>MTX po této 16týdenní léčbě. Pacientům, kteří používali MTX</w:t>
      </w:r>
      <w:r w:rsidR="002378E0">
        <w:rPr>
          <w:lang w:val="cs-CZ"/>
        </w:rPr>
        <w:t xml:space="preserve"> a </w:t>
      </w:r>
      <w:r w:rsidRPr="001B4A02">
        <w:rPr>
          <w:lang w:val="cs-CZ"/>
        </w:rPr>
        <w:t>kteří dosáhli odpovědi PASI ≥ 50 v týdnu 8 a/nebo 12, nebyla dávka dále navyšována. Napříč všemi léčenými skupinami bylo průměrné PASI skóre 19,7</w:t>
      </w:r>
      <w:r w:rsidR="002378E0">
        <w:rPr>
          <w:lang w:val="cs-CZ"/>
        </w:rPr>
        <w:t xml:space="preserve"> a </w:t>
      </w:r>
      <w:r w:rsidRPr="001B4A02">
        <w:rPr>
          <w:lang w:val="cs-CZ"/>
        </w:rPr>
        <w:t>výchozí PGA skóre se pohybovalo od „mírného“ (&lt; 1</w:t>
      </w:r>
      <w:r w:rsidR="006008CB">
        <w:rPr>
          <w:lang w:val="cs-CZ"/>
        </w:rPr>
        <w:t> %</w:t>
      </w:r>
      <w:r w:rsidRPr="001B4A02">
        <w:rPr>
          <w:lang w:val="cs-CZ"/>
        </w:rPr>
        <w:t>) po „středně těžké“ (48</w:t>
      </w:r>
      <w:r w:rsidR="006008CB">
        <w:rPr>
          <w:lang w:val="cs-CZ"/>
        </w:rPr>
        <w:t> %</w:t>
      </w:r>
      <w:r w:rsidRPr="001B4A02">
        <w:rPr>
          <w:lang w:val="cs-CZ"/>
        </w:rPr>
        <w:t>), „těžké“ (46</w:t>
      </w:r>
      <w:r w:rsidR="006008CB">
        <w:rPr>
          <w:lang w:val="cs-CZ"/>
        </w:rPr>
        <w:t> %</w:t>
      </w:r>
      <w:r w:rsidRPr="001B4A02">
        <w:rPr>
          <w:lang w:val="cs-CZ"/>
        </w:rPr>
        <w:t>) až „velmi těžké“ (6</w:t>
      </w:r>
      <w:r w:rsidR="006008CB">
        <w:rPr>
          <w:lang w:val="cs-CZ"/>
        </w:rPr>
        <w:t> %</w:t>
      </w:r>
      <w:r w:rsidRPr="001B4A02">
        <w:rPr>
          <w:lang w:val="cs-CZ"/>
        </w:rPr>
        <w:t>).</w:t>
      </w:r>
    </w:p>
    <w:p w14:paraId="5A5555C6" w14:textId="77777777" w:rsidR="00C33C7C" w:rsidRPr="001B4A02" w:rsidRDefault="00C33C7C" w:rsidP="00C33C7C">
      <w:pPr>
        <w:pStyle w:val="EMEANormal"/>
        <w:tabs>
          <w:tab w:val="clear" w:pos="562"/>
        </w:tabs>
        <w:suppressAutoHyphens w:val="0"/>
        <w:rPr>
          <w:lang w:val="cs-CZ"/>
        </w:rPr>
      </w:pPr>
    </w:p>
    <w:p w14:paraId="16C86C51" w14:textId="77777777" w:rsidR="00C33C7C" w:rsidRPr="001B4A02" w:rsidRDefault="00000000" w:rsidP="00C33C7C">
      <w:pPr>
        <w:pStyle w:val="EMEANormal"/>
        <w:tabs>
          <w:tab w:val="clear" w:pos="562"/>
          <w:tab w:val="left" w:pos="708"/>
        </w:tabs>
        <w:suppressAutoHyphens w:val="0"/>
        <w:rPr>
          <w:lang w:val="cs-CZ"/>
        </w:rPr>
      </w:pPr>
      <w:r w:rsidRPr="001B4A02">
        <w:rPr>
          <w:lang w:val="cs-CZ"/>
        </w:rPr>
        <w:t>Pacienti, kteří se účastnili celé fáze 2</w:t>
      </w:r>
      <w:r w:rsidR="002378E0">
        <w:rPr>
          <w:lang w:val="cs-CZ"/>
        </w:rPr>
        <w:t xml:space="preserve"> a </w:t>
      </w:r>
      <w:r w:rsidRPr="001B4A02">
        <w:rPr>
          <w:lang w:val="cs-CZ"/>
        </w:rPr>
        <w:t>fáze 3 psoriatických studií, byli vhodní k tomu, aby byli zařazeni do otevřené fáze prodloužené studie, v níž byl přípravek Humira podáván minimálně po dobu dalších 108 týdnů.</w:t>
      </w:r>
    </w:p>
    <w:p w14:paraId="21F01BAC" w14:textId="77777777" w:rsidR="00C33C7C" w:rsidRPr="001B4A02" w:rsidRDefault="00C33C7C" w:rsidP="00C33C7C">
      <w:pPr>
        <w:pStyle w:val="EMEANormal"/>
        <w:tabs>
          <w:tab w:val="clear" w:pos="562"/>
          <w:tab w:val="left" w:pos="708"/>
        </w:tabs>
        <w:suppressAutoHyphens w:val="0"/>
        <w:rPr>
          <w:lang w:val="cs-CZ"/>
        </w:rPr>
      </w:pPr>
    </w:p>
    <w:p w14:paraId="13624A76" w14:textId="77777777" w:rsidR="00C33C7C" w:rsidRPr="001B4A02" w:rsidRDefault="00000000" w:rsidP="00C33C7C">
      <w:pPr>
        <w:pStyle w:val="EMEANormal"/>
        <w:tabs>
          <w:tab w:val="clear" w:pos="562"/>
          <w:tab w:val="left" w:pos="708"/>
        </w:tabs>
        <w:suppressAutoHyphens w:val="0"/>
        <w:rPr>
          <w:lang w:val="cs-CZ"/>
        </w:rPr>
      </w:pPr>
      <w:r w:rsidRPr="001B4A02">
        <w:rPr>
          <w:lang w:val="cs-CZ"/>
        </w:rPr>
        <w:t>V psoriatických studiích I</w:t>
      </w:r>
      <w:r w:rsidR="002378E0">
        <w:rPr>
          <w:lang w:val="cs-CZ"/>
        </w:rPr>
        <w:t xml:space="preserve"> a </w:t>
      </w:r>
      <w:r w:rsidRPr="001B4A02">
        <w:rPr>
          <w:lang w:val="cs-CZ"/>
        </w:rPr>
        <w:t xml:space="preserve">II byl primárním cílovým parametrem podíl pacientů, kteří dosáhli odpovědi PASI 75 v týdnu 16 od výchozího stavu (viz tabulky </w:t>
      </w:r>
      <w:r w:rsidR="00BF09F2">
        <w:rPr>
          <w:lang w:val="cs-CZ"/>
        </w:rPr>
        <w:t>11</w:t>
      </w:r>
      <w:r w:rsidR="002378E0">
        <w:rPr>
          <w:lang w:val="cs-CZ"/>
        </w:rPr>
        <w:t xml:space="preserve"> a </w:t>
      </w:r>
      <w:r w:rsidR="00BF09F2">
        <w:rPr>
          <w:lang w:val="cs-CZ"/>
        </w:rPr>
        <w:t>12</w:t>
      </w:r>
      <w:r w:rsidRPr="001B4A02">
        <w:rPr>
          <w:lang w:val="cs-CZ"/>
        </w:rPr>
        <w:t>).</w:t>
      </w:r>
    </w:p>
    <w:p w14:paraId="3CCF5474" w14:textId="77777777" w:rsidR="00C33C7C" w:rsidRPr="001B4A02" w:rsidRDefault="00C33C7C" w:rsidP="00C33C7C">
      <w:pPr>
        <w:pStyle w:val="EMEANormal"/>
        <w:tabs>
          <w:tab w:val="clear" w:pos="562"/>
        </w:tabs>
        <w:suppressAutoHyphens w:val="0"/>
        <w:rPr>
          <w:lang w:val="cs-CZ"/>
        </w:rPr>
      </w:pPr>
    </w:p>
    <w:p w14:paraId="78E7B9D5" w14:textId="77777777" w:rsidR="00C33C7C" w:rsidRPr="001B4A02" w:rsidRDefault="00000000" w:rsidP="00F9384F">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 xml:space="preserve">Tabulka </w:t>
      </w:r>
      <w:r w:rsidR="00BF09F2">
        <w:rPr>
          <w:rFonts w:ascii="Times New Roman" w:hAnsi="Times New Roman"/>
          <w:b/>
          <w:bCs w:val="0"/>
          <w:szCs w:val="22"/>
          <w:lang w:val="cs-CZ"/>
        </w:rPr>
        <w:t>11</w:t>
      </w:r>
    </w:p>
    <w:p w14:paraId="6CD11C75" w14:textId="77777777" w:rsidR="00C33C7C" w:rsidRPr="001B4A02" w:rsidRDefault="00000000" w:rsidP="00931737">
      <w:pPr>
        <w:pStyle w:val="EMEANormal"/>
        <w:tabs>
          <w:tab w:val="clear" w:pos="562"/>
        </w:tabs>
        <w:suppressAutoHyphens w:val="0"/>
        <w:jc w:val="center"/>
        <w:rPr>
          <w:b/>
          <w:szCs w:val="22"/>
          <w:lang w:val="cs-CZ"/>
        </w:rPr>
      </w:pPr>
      <w:r w:rsidRPr="001B4A02">
        <w:rPr>
          <w:b/>
          <w:szCs w:val="22"/>
          <w:lang w:val="cs-CZ"/>
        </w:rPr>
        <w:t>Studie Ps I (REVEAL) - Výsledky účinnosti za 16 týdnů</w:t>
      </w:r>
    </w:p>
    <w:tbl>
      <w:tblPr>
        <w:tblW w:w="856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98"/>
        <w:gridCol w:w="1984"/>
        <w:gridCol w:w="4280"/>
      </w:tblGrid>
      <w:tr w:rsidR="00534A2D" w14:paraId="608D157F" w14:textId="77777777" w:rsidTr="00A5191B">
        <w:trPr>
          <w:trHeight w:val="797"/>
          <w:jc w:val="center"/>
        </w:trPr>
        <w:tc>
          <w:tcPr>
            <w:tcW w:w="2298" w:type="dxa"/>
            <w:tcBorders>
              <w:top w:val="single" w:sz="4" w:space="0" w:color="auto"/>
              <w:left w:val="single" w:sz="4" w:space="0" w:color="auto"/>
              <w:bottom w:val="single" w:sz="4" w:space="0" w:color="auto"/>
              <w:right w:val="single" w:sz="4" w:space="0" w:color="auto"/>
            </w:tcBorders>
            <w:vAlign w:val="center"/>
          </w:tcPr>
          <w:p w14:paraId="2D3DACEA" w14:textId="77777777" w:rsidR="00C33C7C" w:rsidRPr="001B4A02" w:rsidRDefault="00C33C7C" w:rsidP="00931737">
            <w:pPr>
              <w:pStyle w:val="DefaultText"/>
              <w:rPr>
                <w:rFonts w:ascii="Times New Roman" w:hAnsi="Times New Roman"/>
                <w:b/>
                <w:bCs w:val="0"/>
                <w:szCs w:val="22"/>
                <w:lang w:val="cs-CZ"/>
              </w:rPr>
            </w:pPr>
          </w:p>
        </w:tc>
        <w:tc>
          <w:tcPr>
            <w:tcW w:w="1984" w:type="dxa"/>
            <w:tcBorders>
              <w:top w:val="single" w:sz="4" w:space="0" w:color="auto"/>
              <w:left w:val="single" w:sz="4" w:space="0" w:color="auto"/>
              <w:bottom w:val="single" w:sz="4" w:space="0" w:color="auto"/>
              <w:right w:val="single" w:sz="4" w:space="0" w:color="auto"/>
            </w:tcBorders>
            <w:vAlign w:val="center"/>
          </w:tcPr>
          <w:p w14:paraId="321F62F4" w14:textId="77777777" w:rsidR="00C33C7C" w:rsidRPr="001B4A02" w:rsidRDefault="00000000" w:rsidP="00931737">
            <w:pPr>
              <w:pStyle w:val="DefaultText"/>
              <w:jc w:val="center"/>
              <w:rPr>
                <w:rFonts w:ascii="Times New Roman" w:hAnsi="Times New Roman"/>
                <w:b/>
                <w:bCs w:val="0"/>
                <w:szCs w:val="22"/>
                <w:lang w:val="cs-CZ"/>
              </w:rPr>
            </w:pPr>
            <w:r w:rsidRPr="001B4A02">
              <w:rPr>
                <w:rFonts w:ascii="Times New Roman" w:hAnsi="Times New Roman"/>
                <w:b/>
                <w:bCs w:val="0"/>
                <w:szCs w:val="22"/>
                <w:lang w:val="cs-CZ"/>
              </w:rPr>
              <w:t>Placebo</w:t>
            </w:r>
          </w:p>
          <w:p w14:paraId="7923EB3A" w14:textId="77777777" w:rsidR="00C33C7C" w:rsidRPr="001B4A02" w:rsidRDefault="00000000" w:rsidP="00931737">
            <w:pPr>
              <w:pStyle w:val="DefaultText"/>
              <w:jc w:val="center"/>
              <w:rPr>
                <w:rFonts w:ascii="Times New Roman" w:hAnsi="Times New Roman"/>
                <w:b/>
                <w:bCs w:val="0"/>
                <w:szCs w:val="22"/>
                <w:lang w:val="cs-CZ"/>
              </w:rPr>
            </w:pPr>
            <w:r>
              <w:rPr>
                <w:rFonts w:ascii="Times New Roman" w:hAnsi="Times New Roman"/>
                <w:b/>
                <w:bCs w:val="0"/>
                <w:szCs w:val="22"/>
                <w:lang w:val="cs-CZ"/>
              </w:rPr>
              <w:t>n</w:t>
            </w:r>
            <w:r w:rsidRPr="001B4A02">
              <w:rPr>
                <w:rFonts w:ascii="Times New Roman" w:hAnsi="Times New Roman"/>
                <w:b/>
                <w:bCs w:val="0"/>
                <w:szCs w:val="22"/>
                <w:lang w:val="cs-CZ"/>
              </w:rPr>
              <w:t>=398</w:t>
            </w:r>
          </w:p>
          <w:p w14:paraId="7203FFEF" w14:textId="77777777" w:rsidR="00C33C7C" w:rsidRPr="001B4A02" w:rsidRDefault="00000000" w:rsidP="00931737">
            <w:pPr>
              <w:pStyle w:val="DefaultText"/>
              <w:jc w:val="center"/>
              <w:rPr>
                <w:rFonts w:ascii="Times New Roman" w:hAnsi="Times New Roman"/>
                <w:b/>
                <w:bCs w:val="0"/>
                <w:szCs w:val="22"/>
                <w:lang w:val="cs-CZ"/>
              </w:rPr>
            </w:pPr>
            <w:r w:rsidRPr="001B4A02">
              <w:rPr>
                <w:rFonts w:ascii="Times New Roman" w:hAnsi="Times New Roman"/>
                <w:b/>
                <w:bCs w:val="0"/>
                <w:szCs w:val="22"/>
                <w:lang w:val="cs-CZ"/>
              </w:rPr>
              <w:t>n (%)</w:t>
            </w:r>
          </w:p>
        </w:tc>
        <w:tc>
          <w:tcPr>
            <w:tcW w:w="4280" w:type="dxa"/>
            <w:tcBorders>
              <w:top w:val="single" w:sz="4" w:space="0" w:color="auto"/>
              <w:left w:val="single" w:sz="4" w:space="0" w:color="auto"/>
              <w:bottom w:val="single" w:sz="4" w:space="0" w:color="auto"/>
              <w:right w:val="single" w:sz="4" w:space="0" w:color="auto"/>
            </w:tcBorders>
            <w:vAlign w:val="center"/>
          </w:tcPr>
          <w:p w14:paraId="1E7E7B5F" w14:textId="77777777" w:rsidR="00C33C7C" w:rsidRPr="001B4A02" w:rsidRDefault="00000000" w:rsidP="00931737">
            <w:pPr>
              <w:pStyle w:val="DefaultText"/>
              <w:jc w:val="center"/>
              <w:rPr>
                <w:rFonts w:ascii="Times New Roman" w:hAnsi="Times New Roman"/>
                <w:b/>
                <w:bCs w:val="0"/>
                <w:szCs w:val="22"/>
                <w:lang w:val="cs-CZ"/>
              </w:rPr>
            </w:pPr>
            <w:r w:rsidRPr="001B4A02">
              <w:rPr>
                <w:rFonts w:ascii="Times New Roman" w:hAnsi="Times New Roman"/>
                <w:b/>
                <w:bCs w:val="0"/>
                <w:szCs w:val="22"/>
                <w:lang w:val="cs-CZ"/>
              </w:rPr>
              <w:t>Humira 40</w:t>
            </w:r>
            <w:r w:rsidR="00294902">
              <w:rPr>
                <w:rFonts w:ascii="Times New Roman" w:hAnsi="Times New Roman"/>
                <w:b/>
                <w:bCs w:val="0"/>
                <w:szCs w:val="22"/>
                <w:lang w:val="cs-CZ"/>
              </w:rPr>
              <w:t> mg</w:t>
            </w:r>
            <w:r w:rsidRPr="001B4A02">
              <w:rPr>
                <w:rFonts w:ascii="Times New Roman" w:hAnsi="Times New Roman"/>
                <w:b/>
                <w:bCs w:val="0"/>
                <w:szCs w:val="22"/>
                <w:lang w:val="cs-CZ"/>
              </w:rPr>
              <w:t xml:space="preserve"> každý druhý týden</w:t>
            </w:r>
          </w:p>
          <w:p w14:paraId="754FB59D" w14:textId="77777777" w:rsidR="00C33C7C" w:rsidRPr="001B4A02" w:rsidRDefault="00000000" w:rsidP="00931737">
            <w:pPr>
              <w:pStyle w:val="DefaultText"/>
              <w:jc w:val="center"/>
              <w:rPr>
                <w:rFonts w:ascii="Times New Roman" w:hAnsi="Times New Roman"/>
                <w:b/>
                <w:bCs w:val="0"/>
                <w:szCs w:val="22"/>
                <w:lang w:val="cs-CZ"/>
              </w:rPr>
            </w:pPr>
            <w:r>
              <w:rPr>
                <w:rFonts w:ascii="Times New Roman" w:hAnsi="Times New Roman"/>
                <w:b/>
                <w:bCs w:val="0"/>
                <w:szCs w:val="22"/>
                <w:lang w:val="cs-CZ"/>
              </w:rPr>
              <w:t>n</w:t>
            </w:r>
            <w:r w:rsidRPr="001B4A02">
              <w:rPr>
                <w:rFonts w:ascii="Times New Roman" w:hAnsi="Times New Roman"/>
                <w:b/>
                <w:bCs w:val="0"/>
                <w:szCs w:val="22"/>
                <w:lang w:val="cs-CZ"/>
              </w:rPr>
              <w:t>=814</w:t>
            </w:r>
          </w:p>
          <w:p w14:paraId="0DF73A87" w14:textId="77777777" w:rsidR="00C33C7C" w:rsidRPr="001B4A02" w:rsidRDefault="00000000" w:rsidP="00931737">
            <w:pPr>
              <w:pStyle w:val="DefaultText"/>
              <w:jc w:val="center"/>
              <w:rPr>
                <w:rFonts w:ascii="Times New Roman" w:hAnsi="Times New Roman"/>
                <w:b/>
                <w:bCs w:val="0"/>
                <w:szCs w:val="22"/>
                <w:lang w:val="cs-CZ"/>
              </w:rPr>
            </w:pPr>
            <w:r w:rsidRPr="001B4A02">
              <w:rPr>
                <w:rFonts w:ascii="Times New Roman" w:hAnsi="Times New Roman"/>
                <w:b/>
                <w:bCs w:val="0"/>
                <w:szCs w:val="22"/>
                <w:lang w:val="cs-CZ"/>
              </w:rPr>
              <w:t>n (%)</w:t>
            </w:r>
          </w:p>
        </w:tc>
      </w:tr>
      <w:tr w:rsidR="00534A2D" w14:paraId="39B2CD99" w14:textId="77777777" w:rsidTr="00A5191B">
        <w:trPr>
          <w:trHeight w:val="261"/>
          <w:jc w:val="center"/>
        </w:trPr>
        <w:tc>
          <w:tcPr>
            <w:tcW w:w="2298" w:type="dxa"/>
            <w:tcBorders>
              <w:top w:val="single" w:sz="4" w:space="0" w:color="auto"/>
              <w:left w:val="single" w:sz="4" w:space="0" w:color="auto"/>
              <w:bottom w:val="single" w:sz="4" w:space="0" w:color="auto"/>
              <w:right w:val="single" w:sz="4" w:space="0" w:color="auto"/>
            </w:tcBorders>
          </w:tcPr>
          <w:p w14:paraId="1F7E9BC8" w14:textId="77777777" w:rsidR="00C33C7C" w:rsidRPr="001B4A02" w:rsidRDefault="00000000" w:rsidP="00931737">
            <w:pPr>
              <w:pStyle w:val="DefaultText"/>
              <w:rPr>
                <w:rFonts w:ascii="Times New Roman" w:hAnsi="Times New Roman"/>
                <w:b/>
                <w:bCs w:val="0"/>
                <w:szCs w:val="22"/>
                <w:lang w:val="cs-CZ"/>
              </w:rPr>
            </w:pPr>
            <w:r w:rsidRPr="001B4A02">
              <w:rPr>
                <w:rFonts w:ascii="Symbol" w:hAnsi="Symbol"/>
                <w:b/>
                <w:lang w:val="cs-CZ"/>
              </w:rPr>
              <w:sym w:font="Symbol" w:char="F0B3"/>
            </w:r>
            <w:r w:rsidRPr="001B4A02">
              <w:rPr>
                <w:rFonts w:ascii="Times New Roman" w:hAnsi="Times New Roman"/>
                <w:b/>
                <w:lang w:val="cs-CZ"/>
              </w:rPr>
              <w:t xml:space="preserve"> </w:t>
            </w:r>
            <w:r w:rsidRPr="001B4A02">
              <w:rPr>
                <w:rFonts w:ascii="Times New Roman" w:hAnsi="Times New Roman"/>
                <w:b/>
                <w:bCs w:val="0"/>
                <w:szCs w:val="22"/>
                <w:lang w:val="cs-CZ"/>
              </w:rPr>
              <w:t>PASI 75</w:t>
            </w:r>
            <w:r w:rsidRPr="001B4A02">
              <w:rPr>
                <w:rFonts w:ascii="Times New Roman" w:hAnsi="Times New Roman"/>
                <w:b/>
                <w:bCs w:val="0"/>
                <w:szCs w:val="22"/>
                <w:vertAlign w:val="superscript"/>
                <w:lang w:val="cs-CZ"/>
              </w:rPr>
              <w:t>a</w:t>
            </w:r>
          </w:p>
        </w:tc>
        <w:tc>
          <w:tcPr>
            <w:tcW w:w="1984" w:type="dxa"/>
            <w:tcBorders>
              <w:top w:val="single" w:sz="4" w:space="0" w:color="auto"/>
              <w:left w:val="single" w:sz="4" w:space="0" w:color="auto"/>
              <w:bottom w:val="single" w:sz="4" w:space="0" w:color="auto"/>
              <w:right w:val="single" w:sz="4" w:space="0" w:color="auto"/>
            </w:tcBorders>
          </w:tcPr>
          <w:p w14:paraId="572AF7AF" w14:textId="77777777" w:rsidR="00C33C7C" w:rsidRPr="001B4A02" w:rsidRDefault="00000000" w:rsidP="00931737">
            <w:pPr>
              <w:pStyle w:val="DefaultText"/>
              <w:jc w:val="center"/>
              <w:rPr>
                <w:rFonts w:ascii="Times New Roman" w:hAnsi="Times New Roman"/>
                <w:szCs w:val="22"/>
                <w:lang w:val="cs-CZ"/>
              </w:rPr>
            </w:pPr>
            <w:r w:rsidRPr="001B4A02">
              <w:rPr>
                <w:rFonts w:ascii="Times New Roman" w:hAnsi="Times New Roman"/>
                <w:szCs w:val="22"/>
                <w:lang w:val="cs-CZ"/>
              </w:rPr>
              <w:t>26 (6,5)</w:t>
            </w:r>
          </w:p>
        </w:tc>
        <w:tc>
          <w:tcPr>
            <w:tcW w:w="4280" w:type="dxa"/>
            <w:tcBorders>
              <w:top w:val="single" w:sz="4" w:space="0" w:color="auto"/>
              <w:left w:val="single" w:sz="4" w:space="0" w:color="auto"/>
              <w:bottom w:val="single" w:sz="4" w:space="0" w:color="auto"/>
              <w:right w:val="single" w:sz="4" w:space="0" w:color="auto"/>
            </w:tcBorders>
          </w:tcPr>
          <w:p w14:paraId="266CDEF9" w14:textId="77777777" w:rsidR="00C33C7C" w:rsidRPr="001B4A02" w:rsidRDefault="00000000" w:rsidP="00931737">
            <w:pPr>
              <w:pStyle w:val="DefaultText"/>
              <w:jc w:val="center"/>
              <w:rPr>
                <w:rFonts w:ascii="Times New Roman" w:hAnsi="Times New Roman"/>
                <w:szCs w:val="22"/>
                <w:lang w:val="cs-CZ"/>
              </w:rPr>
            </w:pPr>
            <w:r w:rsidRPr="001B4A02">
              <w:rPr>
                <w:rFonts w:ascii="Times New Roman" w:hAnsi="Times New Roman"/>
                <w:szCs w:val="22"/>
                <w:lang w:val="cs-CZ"/>
              </w:rPr>
              <w:t>578 (70,9)</w:t>
            </w:r>
            <w:r w:rsidRPr="001B4A02">
              <w:rPr>
                <w:rFonts w:ascii="Times New Roman" w:hAnsi="Times New Roman"/>
                <w:szCs w:val="22"/>
                <w:vertAlign w:val="superscript"/>
                <w:lang w:val="cs-CZ"/>
              </w:rPr>
              <w:t>b</w:t>
            </w:r>
          </w:p>
        </w:tc>
      </w:tr>
      <w:tr w:rsidR="00534A2D" w14:paraId="0E00A777" w14:textId="77777777" w:rsidTr="00A5191B">
        <w:trPr>
          <w:trHeight w:val="72"/>
          <w:jc w:val="center"/>
        </w:trPr>
        <w:tc>
          <w:tcPr>
            <w:tcW w:w="2298" w:type="dxa"/>
            <w:tcBorders>
              <w:top w:val="single" w:sz="4" w:space="0" w:color="auto"/>
              <w:left w:val="single" w:sz="4" w:space="0" w:color="auto"/>
              <w:bottom w:val="single" w:sz="4" w:space="0" w:color="auto"/>
              <w:right w:val="single" w:sz="4" w:space="0" w:color="auto"/>
            </w:tcBorders>
          </w:tcPr>
          <w:p w14:paraId="1B8649F1" w14:textId="77777777" w:rsidR="00C33C7C" w:rsidRPr="001B4A02" w:rsidRDefault="00000000" w:rsidP="00931737">
            <w:pPr>
              <w:pStyle w:val="DefaultText"/>
              <w:rPr>
                <w:rFonts w:ascii="Times New Roman" w:hAnsi="Times New Roman"/>
                <w:b/>
                <w:bCs w:val="0"/>
                <w:szCs w:val="22"/>
                <w:lang w:val="cs-CZ"/>
              </w:rPr>
            </w:pPr>
            <w:r w:rsidRPr="001B4A02">
              <w:rPr>
                <w:rFonts w:ascii="Times New Roman" w:hAnsi="Times New Roman"/>
                <w:b/>
                <w:bCs w:val="0"/>
                <w:szCs w:val="22"/>
                <w:lang w:val="cs-CZ"/>
              </w:rPr>
              <w:t>PASI 100</w:t>
            </w:r>
          </w:p>
        </w:tc>
        <w:tc>
          <w:tcPr>
            <w:tcW w:w="1984" w:type="dxa"/>
            <w:tcBorders>
              <w:top w:val="single" w:sz="4" w:space="0" w:color="auto"/>
              <w:left w:val="single" w:sz="4" w:space="0" w:color="auto"/>
              <w:bottom w:val="single" w:sz="4" w:space="0" w:color="auto"/>
              <w:right w:val="single" w:sz="4" w:space="0" w:color="auto"/>
            </w:tcBorders>
          </w:tcPr>
          <w:p w14:paraId="09CF507C" w14:textId="77777777" w:rsidR="00C33C7C" w:rsidRPr="001B4A02" w:rsidRDefault="00000000" w:rsidP="00931737">
            <w:pPr>
              <w:pStyle w:val="DefaultText"/>
              <w:jc w:val="center"/>
              <w:rPr>
                <w:rFonts w:ascii="Times New Roman" w:hAnsi="Times New Roman"/>
                <w:szCs w:val="22"/>
                <w:lang w:val="cs-CZ"/>
              </w:rPr>
            </w:pPr>
            <w:r w:rsidRPr="001B4A02">
              <w:rPr>
                <w:rFonts w:ascii="Times New Roman" w:hAnsi="Times New Roman"/>
                <w:szCs w:val="22"/>
                <w:lang w:val="cs-CZ"/>
              </w:rPr>
              <w:t>3 (0,8)</w:t>
            </w:r>
          </w:p>
        </w:tc>
        <w:tc>
          <w:tcPr>
            <w:tcW w:w="4280" w:type="dxa"/>
            <w:tcBorders>
              <w:top w:val="single" w:sz="4" w:space="0" w:color="auto"/>
              <w:left w:val="single" w:sz="4" w:space="0" w:color="auto"/>
              <w:bottom w:val="single" w:sz="4" w:space="0" w:color="auto"/>
              <w:right w:val="single" w:sz="4" w:space="0" w:color="auto"/>
            </w:tcBorders>
          </w:tcPr>
          <w:p w14:paraId="714F65C8" w14:textId="77777777" w:rsidR="00C33C7C" w:rsidRPr="001B4A02" w:rsidRDefault="00000000" w:rsidP="00931737">
            <w:pPr>
              <w:pStyle w:val="DefaultText"/>
              <w:jc w:val="center"/>
              <w:rPr>
                <w:rFonts w:ascii="Times New Roman" w:hAnsi="Times New Roman"/>
                <w:szCs w:val="22"/>
                <w:lang w:val="cs-CZ"/>
              </w:rPr>
            </w:pPr>
            <w:r w:rsidRPr="001B4A02">
              <w:rPr>
                <w:rFonts w:ascii="Times New Roman" w:hAnsi="Times New Roman"/>
                <w:szCs w:val="22"/>
                <w:lang w:val="cs-CZ"/>
              </w:rPr>
              <w:t>163 (20,0)</w:t>
            </w:r>
            <w:r w:rsidRPr="001B4A02">
              <w:rPr>
                <w:rFonts w:ascii="Times New Roman" w:hAnsi="Times New Roman"/>
                <w:szCs w:val="22"/>
                <w:vertAlign w:val="superscript"/>
                <w:lang w:val="cs-CZ"/>
              </w:rPr>
              <w:t>b</w:t>
            </w:r>
          </w:p>
        </w:tc>
      </w:tr>
      <w:tr w:rsidR="00534A2D" w14:paraId="4BE7E3B4" w14:textId="77777777" w:rsidTr="00A5191B">
        <w:trPr>
          <w:trHeight w:val="261"/>
          <w:jc w:val="center"/>
        </w:trPr>
        <w:tc>
          <w:tcPr>
            <w:tcW w:w="2298" w:type="dxa"/>
            <w:tcBorders>
              <w:top w:val="single" w:sz="4" w:space="0" w:color="auto"/>
              <w:left w:val="single" w:sz="4" w:space="0" w:color="auto"/>
              <w:bottom w:val="single" w:sz="4" w:space="0" w:color="auto"/>
              <w:right w:val="single" w:sz="4" w:space="0" w:color="auto"/>
            </w:tcBorders>
          </w:tcPr>
          <w:p w14:paraId="4A2532CF" w14:textId="77777777" w:rsidR="00C33C7C" w:rsidRPr="001B4A02" w:rsidRDefault="00000000" w:rsidP="00931737">
            <w:pPr>
              <w:pStyle w:val="DefaultText"/>
              <w:rPr>
                <w:rFonts w:ascii="Times New Roman" w:hAnsi="Times New Roman"/>
                <w:b/>
                <w:bCs w:val="0"/>
                <w:szCs w:val="22"/>
                <w:lang w:val="cs-CZ"/>
              </w:rPr>
            </w:pPr>
            <w:r w:rsidRPr="001B4A02">
              <w:rPr>
                <w:rFonts w:ascii="Times New Roman" w:hAnsi="Times New Roman"/>
                <w:b/>
                <w:bCs w:val="0"/>
                <w:szCs w:val="22"/>
                <w:lang w:val="cs-CZ"/>
              </w:rPr>
              <w:t>PGA: čistý/minimální</w:t>
            </w:r>
          </w:p>
        </w:tc>
        <w:tc>
          <w:tcPr>
            <w:tcW w:w="1984" w:type="dxa"/>
            <w:tcBorders>
              <w:top w:val="single" w:sz="4" w:space="0" w:color="auto"/>
              <w:left w:val="single" w:sz="4" w:space="0" w:color="auto"/>
              <w:bottom w:val="single" w:sz="4" w:space="0" w:color="auto"/>
              <w:right w:val="single" w:sz="4" w:space="0" w:color="auto"/>
            </w:tcBorders>
          </w:tcPr>
          <w:p w14:paraId="101AF9FB" w14:textId="77777777" w:rsidR="00C33C7C" w:rsidRPr="001B4A02" w:rsidRDefault="00000000" w:rsidP="00931737">
            <w:pPr>
              <w:pStyle w:val="DefaultText"/>
              <w:jc w:val="center"/>
              <w:rPr>
                <w:rFonts w:ascii="Times New Roman" w:hAnsi="Times New Roman"/>
                <w:szCs w:val="22"/>
                <w:lang w:val="cs-CZ"/>
              </w:rPr>
            </w:pPr>
            <w:r w:rsidRPr="001B4A02">
              <w:rPr>
                <w:rFonts w:ascii="Times New Roman" w:hAnsi="Times New Roman"/>
                <w:szCs w:val="22"/>
                <w:lang w:val="cs-CZ"/>
              </w:rPr>
              <w:t>17 (4,3)</w:t>
            </w:r>
          </w:p>
        </w:tc>
        <w:tc>
          <w:tcPr>
            <w:tcW w:w="4280" w:type="dxa"/>
            <w:tcBorders>
              <w:top w:val="single" w:sz="4" w:space="0" w:color="auto"/>
              <w:left w:val="single" w:sz="4" w:space="0" w:color="auto"/>
              <w:bottom w:val="single" w:sz="4" w:space="0" w:color="auto"/>
              <w:right w:val="single" w:sz="4" w:space="0" w:color="auto"/>
            </w:tcBorders>
          </w:tcPr>
          <w:p w14:paraId="75F4D04C" w14:textId="77777777" w:rsidR="00C33C7C" w:rsidRPr="001B4A02" w:rsidRDefault="00000000" w:rsidP="00931737">
            <w:pPr>
              <w:pStyle w:val="DefaultText"/>
              <w:jc w:val="center"/>
              <w:rPr>
                <w:rFonts w:ascii="Times New Roman" w:hAnsi="Times New Roman"/>
                <w:szCs w:val="22"/>
                <w:lang w:val="cs-CZ"/>
              </w:rPr>
            </w:pPr>
            <w:r w:rsidRPr="001B4A02">
              <w:rPr>
                <w:rFonts w:ascii="Times New Roman" w:hAnsi="Times New Roman"/>
                <w:szCs w:val="22"/>
                <w:lang w:val="cs-CZ"/>
              </w:rPr>
              <w:t>506 (62,2)</w:t>
            </w:r>
            <w:r w:rsidRPr="001B4A02">
              <w:rPr>
                <w:rFonts w:ascii="Times New Roman" w:hAnsi="Times New Roman"/>
                <w:szCs w:val="22"/>
                <w:vertAlign w:val="superscript"/>
                <w:lang w:val="cs-CZ"/>
              </w:rPr>
              <w:t>b</w:t>
            </w:r>
          </w:p>
        </w:tc>
      </w:tr>
      <w:tr w:rsidR="00534A2D" w14:paraId="77882311" w14:textId="77777777" w:rsidTr="00A5191B">
        <w:trPr>
          <w:trHeight w:val="20"/>
          <w:jc w:val="center"/>
        </w:trPr>
        <w:tc>
          <w:tcPr>
            <w:tcW w:w="8562" w:type="dxa"/>
            <w:gridSpan w:val="3"/>
            <w:tcBorders>
              <w:top w:val="single" w:sz="4" w:space="0" w:color="auto"/>
              <w:left w:val="single" w:sz="4" w:space="0" w:color="auto"/>
              <w:bottom w:val="single" w:sz="4" w:space="0" w:color="auto"/>
              <w:right w:val="single" w:sz="4" w:space="0" w:color="auto"/>
            </w:tcBorders>
          </w:tcPr>
          <w:p w14:paraId="1A17400B" w14:textId="77777777" w:rsidR="00C33C7C" w:rsidRPr="001B4A02" w:rsidRDefault="00000000" w:rsidP="00931737">
            <w:pPr>
              <w:pStyle w:val="DefaultText"/>
              <w:rPr>
                <w:rFonts w:ascii="Times New Roman" w:hAnsi="Times New Roman"/>
                <w:sz w:val="20"/>
                <w:lang w:val="cs-CZ"/>
              </w:rPr>
            </w:pPr>
            <w:r w:rsidRPr="001B4A02">
              <w:rPr>
                <w:rFonts w:ascii="Times New Roman" w:hAnsi="Times New Roman"/>
                <w:sz w:val="20"/>
                <w:vertAlign w:val="superscript"/>
                <w:lang w:val="cs-CZ"/>
              </w:rPr>
              <w:t>a</w:t>
            </w:r>
            <w:r w:rsidRPr="001B4A02">
              <w:rPr>
                <w:rFonts w:ascii="Times New Roman" w:hAnsi="Times New Roman"/>
                <w:sz w:val="20"/>
                <w:lang w:val="cs-CZ"/>
              </w:rPr>
              <w:t xml:space="preserve"> Procento pacientů, kteří dosáhli PASI75, bylo vypočteno jako střední průměr hodnot</w:t>
            </w:r>
          </w:p>
          <w:p w14:paraId="09009CB3" w14:textId="77777777" w:rsidR="00C33C7C" w:rsidRPr="001B4A02" w:rsidRDefault="00000000" w:rsidP="00931737">
            <w:pPr>
              <w:pStyle w:val="DefaultText"/>
              <w:rPr>
                <w:rFonts w:ascii="Times New Roman" w:hAnsi="Times New Roman"/>
                <w:szCs w:val="22"/>
                <w:lang w:val="cs-CZ"/>
              </w:rPr>
            </w:pPr>
            <w:r w:rsidRPr="001B4A02">
              <w:rPr>
                <w:rFonts w:ascii="Times New Roman" w:hAnsi="Times New Roman"/>
                <w:sz w:val="20"/>
                <w:vertAlign w:val="superscript"/>
                <w:lang w:val="cs-CZ"/>
              </w:rPr>
              <w:t>b</w:t>
            </w:r>
            <w:r w:rsidRPr="001B4A02">
              <w:rPr>
                <w:rFonts w:ascii="Times New Roman" w:hAnsi="Times New Roman"/>
                <w:sz w:val="20"/>
                <w:lang w:val="cs-CZ"/>
              </w:rPr>
              <w:t xml:space="preserve"> p&lt;0,001, </w:t>
            </w:r>
            <w:r w:rsidR="004C58C9" w:rsidRPr="001B4A02">
              <w:rPr>
                <w:rFonts w:ascii="Times New Roman" w:hAnsi="Times New Roman"/>
                <w:sz w:val="20"/>
                <w:lang w:val="cs-CZ"/>
              </w:rPr>
              <w:t>p</w:t>
            </w:r>
            <w:r w:rsidRPr="001B4A02">
              <w:rPr>
                <w:rFonts w:ascii="Times New Roman" w:hAnsi="Times New Roman"/>
                <w:sz w:val="20"/>
                <w:lang w:val="cs-CZ"/>
              </w:rPr>
              <w:t xml:space="preserve">řípravek Humira vs. </w:t>
            </w:r>
            <w:r w:rsidR="004C58C9" w:rsidRPr="001B4A02">
              <w:rPr>
                <w:rFonts w:ascii="Times New Roman" w:hAnsi="Times New Roman"/>
                <w:sz w:val="20"/>
                <w:lang w:val="cs-CZ"/>
              </w:rPr>
              <w:t>p</w:t>
            </w:r>
            <w:r w:rsidRPr="001B4A02">
              <w:rPr>
                <w:rFonts w:ascii="Times New Roman" w:hAnsi="Times New Roman"/>
                <w:sz w:val="20"/>
                <w:lang w:val="cs-CZ"/>
              </w:rPr>
              <w:t>lacebo</w:t>
            </w:r>
          </w:p>
        </w:tc>
      </w:tr>
    </w:tbl>
    <w:p w14:paraId="3CB62B2D" w14:textId="77777777" w:rsidR="00C33C7C" w:rsidRPr="001B4A02" w:rsidRDefault="00C33C7C" w:rsidP="00931737">
      <w:pPr>
        <w:pStyle w:val="EMEANormal"/>
        <w:tabs>
          <w:tab w:val="clear" w:pos="562"/>
        </w:tabs>
        <w:suppressAutoHyphens w:val="0"/>
        <w:rPr>
          <w:lang w:val="cs-CZ"/>
        </w:rPr>
      </w:pPr>
    </w:p>
    <w:p w14:paraId="33A33BAF" w14:textId="77777777" w:rsidR="00C33C7C" w:rsidRPr="001B4A02" w:rsidRDefault="00000000" w:rsidP="00931737">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 xml:space="preserve">Tabulka </w:t>
      </w:r>
      <w:r w:rsidR="00BF09F2">
        <w:rPr>
          <w:rFonts w:ascii="Times New Roman" w:hAnsi="Times New Roman"/>
          <w:b/>
          <w:bCs w:val="0"/>
          <w:szCs w:val="22"/>
          <w:lang w:val="cs-CZ"/>
        </w:rPr>
        <w:t>12</w:t>
      </w:r>
    </w:p>
    <w:p w14:paraId="1835765A" w14:textId="77777777" w:rsidR="00C33C7C" w:rsidRPr="001B4A02" w:rsidRDefault="00000000" w:rsidP="00931737">
      <w:pPr>
        <w:pStyle w:val="EMEANormal"/>
        <w:keepNext/>
        <w:tabs>
          <w:tab w:val="clear" w:pos="562"/>
        </w:tabs>
        <w:suppressAutoHyphens w:val="0"/>
        <w:jc w:val="center"/>
        <w:rPr>
          <w:u w:val="single"/>
          <w:lang w:val="cs-CZ"/>
        </w:rPr>
      </w:pPr>
      <w:r w:rsidRPr="001B4A02">
        <w:rPr>
          <w:b/>
          <w:szCs w:val="22"/>
          <w:lang w:val="cs-CZ"/>
        </w:rPr>
        <w:t>Studie Ps II (CHAMPION) Výsledky účinnosti za 16 týdnů</w:t>
      </w:r>
    </w:p>
    <w:tbl>
      <w:tblPr>
        <w:tblW w:w="862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86"/>
        <w:gridCol w:w="1925"/>
        <w:gridCol w:w="1557"/>
        <w:gridCol w:w="2756"/>
      </w:tblGrid>
      <w:tr w:rsidR="00534A2D" w14:paraId="184306E7" w14:textId="77777777" w:rsidTr="00A5191B">
        <w:trPr>
          <w:trHeight w:val="20"/>
          <w:jc w:val="center"/>
        </w:trPr>
        <w:tc>
          <w:tcPr>
            <w:tcW w:w="2386" w:type="dxa"/>
            <w:tcBorders>
              <w:top w:val="single" w:sz="4" w:space="0" w:color="auto"/>
              <w:left w:val="single" w:sz="4" w:space="0" w:color="auto"/>
              <w:bottom w:val="single" w:sz="4" w:space="0" w:color="auto"/>
              <w:right w:val="single" w:sz="4" w:space="0" w:color="auto"/>
            </w:tcBorders>
          </w:tcPr>
          <w:p w14:paraId="560A2300" w14:textId="77777777" w:rsidR="00C33C7C" w:rsidRPr="001B4A02" w:rsidRDefault="00C33C7C" w:rsidP="00931737">
            <w:pPr>
              <w:pStyle w:val="DefaultText"/>
              <w:keepNext/>
              <w:jc w:val="center"/>
              <w:rPr>
                <w:rFonts w:ascii="Times New Roman" w:hAnsi="Times New Roman"/>
                <w:b/>
                <w:bCs w:val="0"/>
                <w:szCs w:val="22"/>
                <w:lang w:val="cs-CZ"/>
              </w:rPr>
            </w:pPr>
          </w:p>
        </w:tc>
        <w:tc>
          <w:tcPr>
            <w:tcW w:w="1925" w:type="dxa"/>
            <w:tcBorders>
              <w:top w:val="single" w:sz="4" w:space="0" w:color="auto"/>
              <w:left w:val="single" w:sz="4" w:space="0" w:color="auto"/>
              <w:bottom w:val="single" w:sz="4" w:space="0" w:color="auto"/>
              <w:right w:val="single" w:sz="4" w:space="0" w:color="auto"/>
            </w:tcBorders>
            <w:vAlign w:val="center"/>
          </w:tcPr>
          <w:p w14:paraId="5DED9BB4" w14:textId="77777777" w:rsidR="00C33C7C" w:rsidRPr="001B4A02" w:rsidRDefault="00000000" w:rsidP="00931737">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Placebo</w:t>
            </w:r>
          </w:p>
          <w:p w14:paraId="7F7B2706" w14:textId="77777777" w:rsidR="00C33C7C" w:rsidRPr="001B4A02" w:rsidRDefault="00000000" w:rsidP="00931737">
            <w:pPr>
              <w:pStyle w:val="DefaultText"/>
              <w:keepNext/>
              <w:jc w:val="center"/>
              <w:rPr>
                <w:rFonts w:ascii="Times New Roman" w:hAnsi="Times New Roman"/>
                <w:b/>
                <w:bCs w:val="0"/>
                <w:szCs w:val="22"/>
                <w:lang w:val="cs-CZ"/>
              </w:rPr>
            </w:pPr>
            <w:r>
              <w:rPr>
                <w:rFonts w:ascii="Times New Roman" w:hAnsi="Times New Roman"/>
                <w:b/>
                <w:bCs w:val="0"/>
                <w:szCs w:val="22"/>
                <w:lang w:val="cs-CZ"/>
              </w:rPr>
              <w:t>n</w:t>
            </w:r>
            <w:r w:rsidRPr="001B4A02">
              <w:rPr>
                <w:rFonts w:ascii="Times New Roman" w:hAnsi="Times New Roman"/>
                <w:b/>
                <w:bCs w:val="0"/>
                <w:szCs w:val="22"/>
                <w:lang w:val="cs-CZ"/>
              </w:rPr>
              <w:t>=53</w:t>
            </w:r>
          </w:p>
          <w:p w14:paraId="3294FAD4" w14:textId="77777777" w:rsidR="00C33C7C" w:rsidRPr="001B4A02" w:rsidRDefault="00000000" w:rsidP="00931737">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n (%)</w:t>
            </w:r>
          </w:p>
        </w:tc>
        <w:tc>
          <w:tcPr>
            <w:tcW w:w="1557" w:type="dxa"/>
            <w:tcBorders>
              <w:top w:val="single" w:sz="4" w:space="0" w:color="auto"/>
              <w:left w:val="single" w:sz="4" w:space="0" w:color="auto"/>
              <w:bottom w:val="single" w:sz="4" w:space="0" w:color="auto"/>
              <w:right w:val="single" w:sz="4" w:space="0" w:color="auto"/>
            </w:tcBorders>
            <w:vAlign w:val="center"/>
          </w:tcPr>
          <w:p w14:paraId="1867755A" w14:textId="77777777" w:rsidR="00C33C7C" w:rsidRPr="001B4A02" w:rsidRDefault="00000000" w:rsidP="00931737">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MTX</w:t>
            </w:r>
          </w:p>
          <w:p w14:paraId="540DCB78" w14:textId="77777777" w:rsidR="00C33C7C" w:rsidRPr="001B4A02" w:rsidRDefault="00000000" w:rsidP="00931737">
            <w:pPr>
              <w:pStyle w:val="DefaultText"/>
              <w:keepNext/>
              <w:jc w:val="center"/>
              <w:rPr>
                <w:rFonts w:ascii="Times New Roman" w:hAnsi="Times New Roman"/>
                <w:b/>
                <w:bCs w:val="0"/>
                <w:szCs w:val="22"/>
                <w:lang w:val="cs-CZ"/>
              </w:rPr>
            </w:pPr>
            <w:r>
              <w:rPr>
                <w:rFonts w:ascii="Times New Roman" w:hAnsi="Times New Roman"/>
                <w:b/>
                <w:bCs w:val="0"/>
                <w:szCs w:val="22"/>
                <w:lang w:val="cs-CZ"/>
              </w:rPr>
              <w:t>n</w:t>
            </w:r>
            <w:r w:rsidRPr="001B4A02">
              <w:rPr>
                <w:rFonts w:ascii="Times New Roman" w:hAnsi="Times New Roman"/>
                <w:b/>
                <w:bCs w:val="0"/>
                <w:szCs w:val="22"/>
                <w:lang w:val="cs-CZ"/>
              </w:rPr>
              <w:t>=110</w:t>
            </w:r>
          </w:p>
          <w:p w14:paraId="3043A944" w14:textId="77777777" w:rsidR="00C33C7C" w:rsidRPr="001B4A02" w:rsidRDefault="00000000" w:rsidP="00931737">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n (%)</w:t>
            </w:r>
          </w:p>
        </w:tc>
        <w:tc>
          <w:tcPr>
            <w:tcW w:w="2756" w:type="dxa"/>
            <w:tcBorders>
              <w:top w:val="single" w:sz="4" w:space="0" w:color="auto"/>
              <w:left w:val="single" w:sz="4" w:space="0" w:color="auto"/>
              <w:bottom w:val="single" w:sz="4" w:space="0" w:color="auto"/>
              <w:right w:val="single" w:sz="4" w:space="0" w:color="auto"/>
            </w:tcBorders>
            <w:vAlign w:val="center"/>
          </w:tcPr>
          <w:p w14:paraId="2EC1540B" w14:textId="77777777" w:rsidR="00C33C7C" w:rsidRPr="001B4A02" w:rsidRDefault="00000000" w:rsidP="00931737">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Humira 40</w:t>
            </w:r>
            <w:r w:rsidR="00294902">
              <w:rPr>
                <w:rFonts w:ascii="Times New Roman" w:hAnsi="Times New Roman"/>
                <w:b/>
                <w:bCs w:val="0"/>
                <w:szCs w:val="22"/>
                <w:lang w:val="cs-CZ"/>
              </w:rPr>
              <w:t> mg</w:t>
            </w:r>
            <w:r w:rsidRPr="001B4A02">
              <w:rPr>
                <w:rFonts w:ascii="Times New Roman" w:hAnsi="Times New Roman"/>
                <w:b/>
                <w:bCs w:val="0"/>
                <w:szCs w:val="22"/>
                <w:lang w:val="cs-CZ"/>
              </w:rPr>
              <w:t xml:space="preserve"> každý druhý týden</w:t>
            </w:r>
          </w:p>
          <w:p w14:paraId="49C208A1" w14:textId="77777777" w:rsidR="00C33C7C" w:rsidRPr="001B4A02" w:rsidRDefault="00000000" w:rsidP="00931737">
            <w:pPr>
              <w:pStyle w:val="DefaultText"/>
              <w:keepNext/>
              <w:jc w:val="center"/>
              <w:rPr>
                <w:rFonts w:ascii="Times New Roman" w:hAnsi="Times New Roman"/>
                <w:b/>
                <w:bCs w:val="0"/>
                <w:szCs w:val="22"/>
                <w:lang w:val="cs-CZ"/>
              </w:rPr>
            </w:pPr>
            <w:r>
              <w:rPr>
                <w:rFonts w:ascii="Times New Roman" w:hAnsi="Times New Roman"/>
                <w:b/>
                <w:bCs w:val="0"/>
                <w:szCs w:val="22"/>
                <w:lang w:val="cs-CZ"/>
              </w:rPr>
              <w:t>n</w:t>
            </w:r>
            <w:r w:rsidRPr="001B4A02">
              <w:rPr>
                <w:rFonts w:ascii="Times New Roman" w:hAnsi="Times New Roman"/>
                <w:b/>
                <w:bCs w:val="0"/>
                <w:szCs w:val="22"/>
                <w:lang w:val="cs-CZ"/>
              </w:rPr>
              <w:t>=108</w:t>
            </w:r>
          </w:p>
          <w:p w14:paraId="33D1F223" w14:textId="77777777" w:rsidR="00C33C7C" w:rsidRPr="001B4A02" w:rsidRDefault="00000000" w:rsidP="00931737">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n (%)</w:t>
            </w:r>
          </w:p>
        </w:tc>
      </w:tr>
      <w:tr w:rsidR="00534A2D" w14:paraId="3AF4C30A" w14:textId="77777777" w:rsidTr="00A5191B">
        <w:trPr>
          <w:trHeight w:val="20"/>
          <w:jc w:val="center"/>
        </w:trPr>
        <w:tc>
          <w:tcPr>
            <w:tcW w:w="2386" w:type="dxa"/>
            <w:tcBorders>
              <w:top w:val="single" w:sz="4" w:space="0" w:color="auto"/>
              <w:left w:val="single" w:sz="4" w:space="0" w:color="auto"/>
              <w:bottom w:val="single" w:sz="4" w:space="0" w:color="auto"/>
              <w:right w:val="single" w:sz="4" w:space="0" w:color="auto"/>
            </w:tcBorders>
          </w:tcPr>
          <w:p w14:paraId="5E6C8BC1" w14:textId="77777777" w:rsidR="00C33C7C" w:rsidRPr="001B4A02" w:rsidRDefault="00000000" w:rsidP="00931737">
            <w:pPr>
              <w:pStyle w:val="DefaultText"/>
              <w:keepNext/>
              <w:rPr>
                <w:rFonts w:ascii="Times New Roman" w:hAnsi="Times New Roman"/>
                <w:b/>
                <w:bCs w:val="0"/>
                <w:szCs w:val="22"/>
                <w:lang w:val="cs-CZ"/>
              </w:rPr>
            </w:pPr>
            <w:r w:rsidRPr="001B4A02">
              <w:rPr>
                <w:rFonts w:ascii="Symbol" w:hAnsi="Symbol"/>
                <w:b/>
                <w:lang w:val="cs-CZ"/>
              </w:rPr>
              <w:sym w:font="Symbol" w:char="F0B3"/>
            </w:r>
            <w:r w:rsidRPr="001B4A02">
              <w:rPr>
                <w:rFonts w:ascii="Times New Roman" w:hAnsi="Times New Roman"/>
                <w:b/>
                <w:lang w:val="cs-CZ"/>
              </w:rPr>
              <w:t xml:space="preserve"> </w:t>
            </w:r>
            <w:r w:rsidRPr="001B4A02">
              <w:rPr>
                <w:rFonts w:ascii="Times New Roman" w:hAnsi="Times New Roman"/>
                <w:b/>
                <w:bCs w:val="0"/>
                <w:szCs w:val="22"/>
                <w:lang w:val="cs-CZ"/>
              </w:rPr>
              <w:t>PASI 75</w:t>
            </w:r>
          </w:p>
        </w:tc>
        <w:tc>
          <w:tcPr>
            <w:tcW w:w="1925" w:type="dxa"/>
            <w:tcBorders>
              <w:top w:val="single" w:sz="4" w:space="0" w:color="auto"/>
              <w:left w:val="single" w:sz="4" w:space="0" w:color="auto"/>
              <w:bottom w:val="single" w:sz="4" w:space="0" w:color="auto"/>
              <w:right w:val="single" w:sz="4" w:space="0" w:color="auto"/>
            </w:tcBorders>
          </w:tcPr>
          <w:p w14:paraId="053A6207" w14:textId="77777777" w:rsidR="00C33C7C" w:rsidRPr="001B4A02" w:rsidRDefault="00000000" w:rsidP="00931737">
            <w:pPr>
              <w:pStyle w:val="DefaultText"/>
              <w:keepNext/>
              <w:jc w:val="center"/>
              <w:rPr>
                <w:rFonts w:ascii="Times New Roman" w:hAnsi="Times New Roman"/>
                <w:szCs w:val="22"/>
                <w:lang w:val="cs-CZ"/>
              </w:rPr>
            </w:pPr>
            <w:r w:rsidRPr="001B4A02">
              <w:rPr>
                <w:rFonts w:ascii="Times New Roman" w:hAnsi="Times New Roman"/>
                <w:szCs w:val="22"/>
                <w:lang w:val="cs-CZ"/>
              </w:rPr>
              <w:t>10 (18,9)</w:t>
            </w:r>
          </w:p>
        </w:tc>
        <w:tc>
          <w:tcPr>
            <w:tcW w:w="1557" w:type="dxa"/>
            <w:tcBorders>
              <w:top w:val="single" w:sz="4" w:space="0" w:color="auto"/>
              <w:left w:val="single" w:sz="4" w:space="0" w:color="auto"/>
              <w:bottom w:val="single" w:sz="4" w:space="0" w:color="auto"/>
              <w:right w:val="single" w:sz="4" w:space="0" w:color="auto"/>
            </w:tcBorders>
          </w:tcPr>
          <w:p w14:paraId="2BCF6423" w14:textId="77777777" w:rsidR="00C33C7C" w:rsidRPr="001B4A02" w:rsidRDefault="00000000" w:rsidP="00931737">
            <w:pPr>
              <w:pStyle w:val="DefaultText"/>
              <w:keepNext/>
              <w:jc w:val="center"/>
              <w:rPr>
                <w:rFonts w:ascii="Times New Roman" w:hAnsi="Times New Roman"/>
                <w:szCs w:val="22"/>
                <w:lang w:val="cs-CZ"/>
              </w:rPr>
            </w:pPr>
            <w:r w:rsidRPr="001B4A02">
              <w:rPr>
                <w:rFonts w:ascii="Times New Roman" w:hAnsi="Times New Roman"/>
                <w:szCs w:val="22"/>
                <w:lang w:val="cs-CZ"/>
              </w:rPr>
              <w:t>39 (35,5)</w:t>
            </w:r>
          </w:p>
        </w:tc>
        <w:tc>
          <w:tcPr>
            <w:tcW w:w="2756" w:type="dxa"/>
            <w:tcBorders>
              <w:top w:val="single" w:sz="4" w:space="0" w:color="auto"/>
              <w:left w:val="single" w:sz="4" w:space="0" w:color="auto"/>
              <w:bottom w:val="single" w:sz="4" w:space="0" w:color="auto"/>
              <w:right w:val="single" w:sz="4" w:space="0" w:color="auto"/>
            </w:tcBorders>
          </w:tcPr>
          <w:p w14:paraId="4E415207" w14:textId="77777777" w:rsidR="00C33C7C" w:rsidRPr="001B4A02" w:rsidRDefault="00000000" w:rsidP="00931737">
            <w:pPr>
              <w:pStyle w:val="DefaultText"/>
              <w:keepNext/>
              <w:jc w:val="center"/>
              <w:rPr>
                <w:rFonts w:ascii="Times New Roman" w:hAnsi="Times New Roman"/>
                <w:szCs w:val="22"/>
                <w:lang w:val="cs-CZ"/>
              </w:rPr>
            </w:pPr>
            <w:r w:rsidRPr="001B4A02">
              <w:rPr>
                <w:rFonts w:ascii="Times New Roman" w:hAnsi="Times New Roman"/>
                <w:szCs w:val="22"/>
                <w:lang w:val="cs-CZ"/>
              </w:rPr>
              <w:t>86 (79,6)</w:t>
            </w:r>
            <w:r w:rsidRPr="001B4A02">
              <w:rPr>
                <w:rFonts w:ascii="Times New Roman" w:hAnsi="Times New Roman"/>
                <w:szCs w:val="22"/>
                <w:vertAlign w:val="superscript"/>
                <w:lang w:val="cs-CZ"/>
              </w:rPr>
              <w:t xml:space="preserve"> a, b</w:t>
            </w:r>
          </w:p>
        </w:tc>
      </w:tr>
      <w:tr w:rsidR="00534A2D" w14:paraId="537E4B6F" w14:textId="77777777" w:rsidTr="00A5191B">
        <w:trPr>
          <w:trHeight w:val="20"/>
          <w:jc w:val="center"/>
        </w:trPr>
        <w:tc>
          <w:tcPr>
            <w:tcW w:w="2386" w:type="dxa"/>
            <w:tcBorders>
              <w:top w:val="single" w:sz="4" w:space="0" w:color="auto"/>
              <w:left w:val="single" w:sz="4" w:space="0" w:color="auto"/>
              <w:bottom w:val="single" w:sz="4" w:space="0" w:color="auto"/>
              <w:right w:val="single" w:sz="4" w:space="0" w:color="auto"/>
            </w:tcBorders>
          </w:tcPr>
          <w:p w14:paraId="5AEB3112" w14:textId="77777777" w:rsidR="00C33C7C" w:rsidRPr="001B4A02" w:rsidRDefault="00000000" w:rsidP="00931737">
            <w:pPr>
              <w:pStyle w:val="DefaultText"/>
              <w:keepNext/>
              <w:rPr>
                <w:rFonts w:ascii="Times New Roman" w:hAnsi="Times New Roman"/>
                <w:b/>
                <w:bCs w:val="0"/>
                <w:szCs w:val="22"/>
                <w:lang w:val="cs-CZ"/>
              </w:rPr>
            </w:pPr>
            <w:r w:rsidRPr="001B4A02">
              <w:rPr>
                <w:rFonts w:ascii="Times New Roman" w:hAnsi="Times New Roman"/>
                <w:b/>
                <w:bCs w:val="0"/>
                <w:szCs w:val="22"/>
                <w:lang w:val="cs-CZ"/>
              </w:rPr>
              <w:t>PASI 100</w:t>
            </w:r>
          </w:p>
        </w:tc>
        <w:tc>
          <w:tcPr>
            <w:tcW w:w="1925" w:type="dxa"/>
            <w:tcBorders>
              <w:top w:val="single" w:sz="4" w:space="0" w:color="auto"/>
              <w:left w:val="single" w:sz="4" w:space="0" w:color="auto"/>
              <w:bottom w:val="single" w:sz="4" w:space="0" w:color="auto"/>
              <w:right w:val="single" w:sz="4" w:space="0" w:color="auto"/>
            </w:tcBorders>
          </w:tcPr>
          <w:p w14:paraId="0BC66299" w14:textId="77777777" w:rsidR="00C33C7C" w:rsidRPr="001B4A02" w:rsidRDefault="00000000" w:rsidP="00931737">
            <w:pPr>
              <w:pStyle w:val="DefaultText"/>
              <w:keepNext/>
              <w:jc w:val="center"/>
              <w:rPr>
                <w:rFonts w:ascii="Times New Roman" w:hAnsi="Times New Roman"/>
                <w:szCs w:val="22"/>
                <w:lang w:val="cs-CZ"/>
              </w:rPr>
            </w:pPr>
            <w:r w:rsidRPr="001B4A02">
              <w:rPr>
                <w:rFonts w:ascii="Times New Roman" w:hAnsi="Times New Roman"/>
                <w:szCs w:val="22"/>
                <w:lang w:val="cs-CZ"/>
              </w:rPr>
              <w:t>1 (1,9)</w:t>
            </w:r>
          </w:p>
        </w:tc>
        <w:tc>
          <w:tcPr>
            <w:tcW w:w="1557" w:type="dxa"/>
            <w:tcBorders>
              <w:top w:val="single" w:sz="4" w:space="0" w:color="auto"/>
              <w:left w:val="single" w:sz="4" w:space="0" w:color="auto"/>
              <w:bottom w:val="single" w:sz="4" w:space="0" w:color="auto"/>
              <w:right w:val="single" w:sz="4" w:space="0" w:color="auto"/>
            </w:tcBorders>
          </w:tcPr>
          <w:p w14:paraId="54C14001" w14:textId="77777777" w:rsidR="00C33C7C" w:rsidRPr="001B4A02" w:rsidRDefault="00000000" w:rsidP="00931737">
            <w:pPr>
              <w:pStyle w:val="DefaultText"/>
              <w:keepNext/>
              <w:jc w:val="center"/>
              <w:rPr>
                <w:rFonts w:ascii="Times New Roman" w:hAnsi="Times New Roman"/>
                <w:szCs w:val="22"/>
                <w:lang w:val="cs-CZ"/>
              </w:rPr>
            </w:pPr>
            <w:r w:rsidRPr="001B4A02">
              <w:rPr>
                <w:rFonts w:ascii="Times New Roman" w:hAnsi="Times New Roman"/>
                <w:szCs w:val="22"/>
                <w:lang w:val="cs-CZ"/>
              </w:rPr>
              <w:t>8 (7,3)</w:t>
            </w:r>
          </w:p>
        </w:tc>
        <w:tc>
          <w:tcPr>
            <w:tcW w:w="2756" w:type="dxa"/>
            <w:tcBorders>
              <w:top w:val="single" w:sz="4" w:space="0" w:color="auto"/>
              <w:left w:val="single" w:sz="4" w:space="0" w:color="auto"/>
              <w:bottom w:val="single" w:sz="4" w:space="0" w:color="auto"/>
              <w:right w:val="single" w:sz="4" w:space="0" w:color="auto"/>
            </w:tcBorders>
          </w:tcPr>
          <w:p w14:paraId="14C13797" w14:textId="77777777" w:rsidR="00C33C7C" w:rsidRPr="001B4A02" w:rsidRDefault="00000000" w:rsidP="00931737">
            <w:pPr>
              <w:pStyle w:val="DefaultText"/>
              <w:keepNext/>
              <w:jc w:val="center"/>
              <w:rPr>
                <w:rFonts w:ascii="Times New Roman" w:hAnsi="Times New Roman"/>
                <w:szCs w:val="22"/>
                <w:lang w:val="cs-CZ"/>
              </w:rPr>
            </w:pPr>
            <w:r w:rsidRPr="001B4A02">
              <w:rPr>
                <w:rFonts w:ascii="Times New Roman" w:hAnsi="Times New Roman"/>
                <w:szCs w:val="22"/>
                <w:lang w:val="cs-CZ"/>
              </w:rPr>
              <w:t>18 (16,7)</w:t>
            </w:r>
            <w:r w:rsidRPr="001B4A02">
              <w:rPr>
                <w:rFonts w:ascii="Times New Roman" w:hAnsi="Times New Roman"/>
                <w:szCs w:val="22"/>
                <w:vertAlign w:val="superscript"/>
                <w:lang w:val="cs-CZ"/>
              </w:rPr>
              <w:t xml:space="preserve"> c, d</w:t>
            </w:r>
          </w:p>
        </w:tc>
      </w:tr>
      <w:tr w:rsidR="00534A2D" w14:paraId="378E3B90" w14:textId="77777777" w:rsidTr="00A5191B">
        <w:trPr>
          <w:trHeight w:val="20"/>
          <w:jc w:val="center"/>
        </w:trPr>
        <w:tc>
          <w:tcPr>
            <w:tcW w:w="2386" w:type="dxa"/>
            <w:tcBorders>
              <w:top w:val="single" w:sz="4" w:space="0" w:color="auto"/>
              <w:left w:val="single" w:sz="4" w:space="0" w:color="auto"/>
              <w:bottom w:val="single" w:sz="4" w:space="0" w:color="auto"/>
              <w:right w:val="single" w:sz="4" w:space="0" w:color="auto"/>
            </w:tcBorders>
          </w:tcPr>
          <w:p w14:paraId="2F20C847" w14:textId="77777777" w:rsidR="00C33C7C" w:rsidRPr="001B4A02" w:rsidRDefault="00000000" w:rsidP="00931737">
            <w:pPr>
              <w:pStyle w:val="DefaultText"/>
              <w:keepNext/>
              <w:rPr>
                <w:rFonts w:ascii="Times New Roman" w:hAnsi="Times New Roman"/>
                <w:b/>
                <w:bCs w:val="0"/>
                <w:szCs w:val="22"/>
                <w:lang w:val="cs-CZ"/>
              </w:rPr>
            </w:pPr>
            <w:r w:rsidRPr="001B4A02">
              <w:rPr>
                <w:rFonts w:ascii="Times New Roman" w:hAnsi="Times New Roman"/>
                <w:b/>
                <w:bCs w:val="0"/>
                <w:szCs w:val="22"/>
                <w:lang w:val="cs-CZ"/>
              </w:rPr>
              <w:t>PGA: čistý/minimální</w:t>
            </w:r>
          </w:p>
        </w:tc>
        <w:tc>
          <w:tcPr>
            <w:tcW w:w="1925" w:type="dxa"/>
            <w:tcBorders>
              <w:top w:val="single" w:sz="4" w:space="0" w:color="auto"/>
              <w:left w:val="single" w:sz="4" w:space="0" w:color="auto"/>
              <w:bottom w:val="single" w:sz="4" w:space="0" w:color="auto"/>
              <w:right w:val="single" w:sz="4" w:space="0" w:color="auto"/>
            </w:tcBorders>
          </w:tcPr>
          <w:p w14:paraId="17B0154D" w14:textId="77777777" w:rsidR="00C33C7C" w:rsidRPr="001B4A02" w:rsidRDefault="00000000" w:rsidP="00931737">
            <w:pPr>
              <w:pStyle w:val="DefaultText"/>
              <w:keepNext/>
              <w:jc w:val="center"/>
              <w:rPr>
                <w:rFonts w:ascii="Times New Roman" w:hAnsi="Times New Roman"/>
                <w:szCs w:val="22"/>
                <w:lang w:val="cs-CZ"/>
              </w:rPr>
            </w:pPr>
            <w:r w:rsidRPr="001B4A02">
              <w:rPr>
                <w:rFonts w:ascii="Times New Roman" w:hAnsi="Times New Roman"/>
                <w:szCs w:val="22"/>
                <w:lang w:val="cs-CZ"/>
              </w:rPr>
              <w:t>6 (11,3)</w:t>
            </w:r>
          </w:p>
        </w:tc>
        <w:tc>
          <w:tcPr>
            <w:tcW w:w="1557" w:type="dxa"/>
            <w:tcBorders>
              <w:top w:val="single" w:sz="4" w:space="0" w:color="auto"/>
              <w:left w:val="single" w:sz="4" w:space="0" w:color="auto"/>
              <w:bottom w:val="single" w:sz="4" w:space="0" w:color="auto"/>
              <w:right w:val="single" w:sz="4" w:space="0" w:color="auto"/>
            </w:tcBorders>
          </w:tcPr>
          <w:p w14:paraId="592DE5B7" w14:textId="77777777" w:rsidR="00C33C7C" w:rsidRPr="001B4A02" w:rsidRDefault="00000000" w:rsidP="00931737">
            <w:pPr>
              <w:pStyle w:val="DefaultText"/>
              <w:keepNext/>
              <w:jc w:val="center"/>
              <w:rPr>
                <w:rFonts w:ascii="Times New Roman" w:hAnsi="Times New Roman"/>
                <w:szCs w:val="22"/>
                <w:lang w:val="cs-CZ"/>
              </w:rPr>
            </w:pPr>
            <w:r w:rsidRPr="001B4A02">
              <w:rPr>
                <w:rFonts w:ascii="Times New Roman" w:hAnsi="Times New Roman"/>
                <w:szCs w:val="22"/>
                <w:lang w:val="cs-CZ"/>
              </w:rPr>
              <w:t>33 (30,0)</w:t>
            </w:r>
          </w:p>
        </w:tc>
        <w:tc>
          <w:tcPr>
            <w:tcW w:w="2756" w:type="dxa"/>
            <w:tcBorders>
              <w:top w:val="single" w:sz="4" w:space="0" w:color="auto"/>
              <w:left w:val="single" w:sz="4" w:space="0" w:color="auto"/>
              <w:bottom w:val="single" w:sz="4" w:space="0" w:color="auto"/>
              <w:right w:val="single" w:sz="4" w:space="0" w:color="auto"/>
            </w:tcBorders>
          </w:tcPr>
          <w:p w14:paraId="50D286E7" w14:textId="77777777" w:rsidR="00C33C7C" w:rsidRPr="001B4A02" w:rsidRDefault="00000000" w:rsidP="00931737">
            <w:pPr>
              <w:pStyle w:val="DefaultText"/>
              <w:keepNext/>
              <w:jc w:val="center"/>
              <w:rPr>
                <w:rFonts w:ascii="Times New Roman" w:hAnsi="Times New Roman"/>
                <w:szCs w:val="22"/>
                <w:lang w:val="cs-CZ"/>
              </w:rPr>
            </w:pPr>
            <w:r w:rsidRPr="001B4A02">
              <w:rPr>
                <w:rFonts w:ascii="Times New Roman" w:hAnsi="Times New Roman"/>
                <w:szCs w:val="22"/>
                <w:lang w:val="cs-CZ"/>
              </w:rPr>
              <w:t>79 (73,1)</w:t>
            </w:r>
            <w:r w:rsidRPr="001B4A02">
              <w:rPr>
                <w:rFonts w:ascii="Times New Roman" w:hAnsi="Times New Roman"/>
                <w:szCs w:val="22"/>
                <w:vertAlign w:val="superscript"/>
                <w:lang w:val="cs-CZ"/>
              </w:rPr>
              <w:t xml:space="preserve"> a, b</w:t>
            </w:r>
          </w:p>
        </w:tc>
      </w:tr>
      <w:tr w:rsidR="00534A2D" w14:paraId="67C96F87" w14:textId="77777777" w:rsidTr="00A5191B">
        <w:trPr>
          <w:trHeight w:val="20"/>
          <w:jc w:val="center"/>
        </w:trPr>
        <w:tc>
          <w:tcPr>
            <w:tcW w:w="8624" w:type="dxa"/>
            <w:gridSpan w:val="4"/>
            <w:tcBorders>
              <w:top w:val="single" w:sz="4" w:space="0" w:color="auto"/>
              <w:left w:val="single" w:sz="4" w:space="0" w:color="auto"/>
              <w:bottom w:val="single" w:sz="4" w:space="0" w:color="auto"/>
              <w:right w:val="single" w:sz="4" w:space="0" w:color="auto"/>
            </w:tcBorders>
          </w:tcPr>
          <w:p w14:paraId="668FCF83" w14:textId="77777777" w:rsidR="00C33C7C" w:rsidRPr="001B4A02" w:rsidRDefault="00000000" w:rsidP="00931737">
            <w:pPr>
              <w:pStyle w:val="DefaultText"/>
              <w:keepNext/>
              <w:rPr>
                <w:rFonts w:ascii="Times New Roman" w:hAnsi="Times New Roman"/>
                <w:sz w:val="20"/>
                <w:lang w:val="cs-CZ"/>
              </w:rPr>
            </w:pPr>
            <w:r w:rsidRPr="001B4A02">
              <w:rPr>
                <w:rFonts w:ascii="Times New Roman" w:hAnsi="Times New Roman"/>
                <w:sz w:val="20"/>
                <w:vertAlign w:val="superscript"/>
                <w:lang w:val="cs-CZ"/>
              </w:rPr>
              <w:t>a</w:t>
            </w:r>
            <w:r w:rsidRPr="001B4A02">
              <w:rPr>
                <w:rFonts w:ascii="Times New Roman" w:hAnsi="Times New Roman"/>
                <w:sz w:val="20"/>
                <w:lang w:val="cs-CZ"/>
              </w:rPr>
              <w:t xml:space="preserve"> p&lt;0,001</w:t>
            </w:r>
            <w:r w:rsidR="004C58C9" w:rsidRPr="001B4A02">
              <w:rPr>
                <w:rFonts w:ascii="Times New Roman" w:hAnsi="Times New Roman"/>
                <w:sz w:val="20"/>
                <w:lang w:val="cs-CZ"/>
              </w:rPr>
              <w:t>,</w:t>
            </w:r>
            <w:r w:rsidRPr="001B4A02">
              <w:rPr>
                <w:rFonts w:ascii="Times New Roman" w:hAnsi="Times New Roman"/>
                <w:sz w:val="20"/>
                <w:lang w:val="cs-CZ"/>
              </w:rPr>
              <w:t xml:space="preserve"> </w:t>
            </w:r>
            <w:r w:rsidR="004C58C9" w:rsidRPr="001B4A02">
              <w:rPr>
                <w:rFonts w:ascii="Times New Roman" w:hAnsi="Times New Roman"/>
                <w:sz w:val="20"/>
                <w:lang w:val="cs-CZ"/>
              </w:rPr>
              <w:t>p</w:t>
            </w:r>
            <w:r w:rsidRPr="001B4A02">
              <w:rPr>
                <w:rFonts w:ascii="Times New Roman" w:hAnsi="Times New Roman"/>
                <w:sz w:val="20"/>
                <w:lang w:val="cs-CZ"/>
              </w:rPr>
              <w:t>řípravek Humira vs. placebo</w:t>
            </w:r>
          </w:p>
          <w:p w14:paraId="3618CA61" w14:textId="77777777" w:rsidR="00C33C7C" w:rsidRPr="001B4A02" w:rsidRDefault="00000000" w:rsidP="00931737">
            <w:pPr>
              <w:pStyle w:val="DefaultText"/>
              <w:keepNext/>
              <w:rPr>
                <w:rFonts w:ascii="Times New Roman" w:hAnsi="Times New Roman"/>
                <w:sz w:val="20"/>
                <w:lang w:val="cs-CZ"/>
              </w:rPr>
            </w:pPr>
            <w:r w:rsidRPr="001B4A02">
              <w:rPr>
                <w:rFonts w:ascii="Times New Roman" w:hAnsi="Times New Roman"/>
                <w:sz w:val="20"/>
                <w:vertAlign w:val="superscript"/>
                <w:lang w:val="cs-CZ"/>
              </w:rPr>
              <w:t>b</w:t>
            </w:r>
            <w:r w:rsidRPr="001B4A02">
              <w:rPr>
                <w:rFonts w:ascii="Times New Roman" w:hAnsi="Times New Roman"/>
                <w:sz w:val="20"/>
                <w:lang w:val="cs-CZ"/>
              </w:rPr>
              <w:t xml:space="preserve"> p&lt;0,001</w:t>
            </w:r>
            <w:r w:rsidR="004C58C9" w:rsidRPr="001B4A02">
              <w:rPr>
                <w:rFonts w:ascii="Times New Roman" w:hAnsi="Times New Roman"/>
                <w:sz w:val="20"/>
                <w:lang w:val="cs-CZ"/>
              </w:rPr>
              <w:t>,</w:t>
            </w:r>
            <w:r w:rsidRPr="001B4A02">
              <w:rPr>
                <w:rFonts w:ascii="Times New Roman" w:hAnsi="Times New Roman"/>
                <w:sz w:val="20"/>
                <w:lang w:val="cs-CZ"/>
              </w:rPr>
              <w:t xml:space="preserve"> </w:t>
            </w:r>
            <w:r w:rsidR="004C58C9" w:rsidRPr="001B4A02">
              <w:rPr>
                <w:rFonts w:ascii="Times New Roman" w:hAnsi="Times New Roman"/>
                <w:sz w:val="20"/>
                <w:lang w:val="cs-CZ"/>
              </w:rPr>
              <w:t>p</w:t>
            </w:r>
            <w:r w:rsidRPr="001B4A02">
              <w:rPr>
                <w:rFonts w:ascii="Times New Roman" w:hAnsi="Times New Roman"/>
                <w:sz w:val="20"/>
                <w:lang w:val="cs-CZ"/>
              </w:rPr>
              <w:t>řípravek Humira vs. methotrexát</w:t>
            </w:r>
          </w:p>
          <w:p w14:paraId="7018B364" w14:textId="77777777" w:rsidR="00C33C7C" w:rsidRPr="001B4A02" w:rsidRDefault="00000000" w:rsidP="00931737">
            <w:pPr>
              <w:pStyle w:val="DefaultText"/>
              <w:keepNext/>
              <w:rPr>
                <w:rFonts w:ascii="Times New Roman" w:hAnsi="Times New Roman"/>
                <w:sz w:val="20"/>
                <w:lang w:val="cs-CZ"/>
              </w:rPr>
            </w:pPr>
            <w:r w:rsidRPr="001B4A02">
              <w:rPr>
                <w:rFonts w:ascii="Times New Roman" w:hAnsi="Times New Roman"/>
                <w:sz w:val="20"/>
                <w:vertAlign w:val="superscript"/>
                <w:lang w:val="cs-CZ"/>
              </w:rPr>
              <w:t>c</w:t>
            </w:r>
            <w:r w:rsidRPr="001B4A02">
              <w:rPr>
                <w:rFonts w:ascii="Times New Roman" w:hAnsi="Times New Roman"/>
                <w:sz w:val="20"/>
                <w:lang w:val="cs-CZ"/>
              </w:rPr>
              <w:t xml:space="preserve"> p&lt;0,01</w:t>
            </w:r>
            <w:r w:rsidR="004C58C9" w:rsidRPr="001B4A02">
              <w:rPr>
                <w:rFonts w:ascii="Times New Roman" w:hAnsi="Times New Roman"/>
                <w:sz w:val="20"/>
                <w:lang w:val="cs-CZ"/>
              </w:rPr>
              <w:t>,</w:t>
            </w:r>
            <w:r w:rsidRPr="001B4A02">
              <w:rPr>
                <w:rFonts w:ascii="Times New Roman" w:hAnsi="Times New Roman"/>
                <w:sz w:val="20"/>
                <w:lang w:val="cs-CZ"/>
              </w:rPr>
              <w:t xml:space="preserve"> </w:t>
            </w:r>
            <w:r w:rsidR="004C58C9" w:rsidRPr="001B4A02">
              <w:rPr>
                <w:rFonts w:ascii="Times New Roman" w:hAnsi="Times New Roman"/>
                <w:sz w:val="20"/>
                <w:lang w:val="cs-CZ"/>
              </w:rPr>
              <w:t>p</w:t>
            </w:r>
            <w:r w:rsidRPr="001B4A02">
              <w:rPr>
                <w:rFonts w:ascii="Times New Roman" w:hAnsi="Times New Roman"/>
                <w:sz w:val="20"/>
                <w:lang w:val="cs-CZ"/>
              </w:rPr>
              <w:t>řípravek Humira vs. placebo</w:t>
            </w:r>
          </w:p>
          <w:p w14:paraId="7EA70074" w14:textId="77777777" w:rsidR="00C33C7C" w:rsidRPr="001B4A02" w:rsidRDefault="00000000" w:rsidP="00931737">
            <w:pPr>
              <w:pStyle w:val="DefaultText"/>
              <w:keepNext/>
              <w:rPr>
                <w:rFonts w:ascii="Times New Roman" w:hAnsi="Times New Roman"/>
                <w:szCs w:val="22"/>
                <w:lang w:val="cs-CZ"/>
              </w:rPr>
            </w:pPr>
            <w:r w:rsidRPr="001B4A02">
              <w:rPr>
                <w:rFonts w:ascii="Times New Roman" w:hAnsi="Times New Roman"/>
                <w:sz w:val="20"/>
                <w:vertAlign w:val="superscript"/>
                <w:lang w:val="cs-CZ"/>
              </w:rPr>
              <w:t>d</w:t>
            </w:r>
            <w:r w:rsidRPr="001B4A02">
              <w:rPr>
                <w:rFonts w:ascii="Times New Roman" w:hAnsi="Times New Roman"/>
                <w:sz w:val="20"/>
                <w:lang w:val="cs-CZ"/>
              </w:rPr>
              <w:t xml:space="preserve"> p&lt;0,05</w:t>
            </w:r>
            <w:r w:rsidR="004C58C9" w:rsidRPr="001B4A02">
              <w:rPr>
                <w:rFonts w:ascii="Times New Roman" w:hAnsi="Times New Roman"/>
                <w:sz w:val="20"/>
                <w:lang w:val="cs-CZ"/>
              </w:rPr>
              <w:t>,</w:t>
            </w:r>
            <w:r w:rsidRPr="001B4A02">
              <w:rPr>
                <w:rFonts w:ascii="Times New Roman" w:hAnsi="Times New Roman"/>
                <w:sz w:val="20"/>
                <w:lang w:val="cs-CZ"/>
              </w:rPr>
              <w:t xml:space="preserve"> </w:t>
            </w:r>
            <w:r w:rsidR="004C58C9" w:rsidRPr="001B4A02">
              <w:rPr>
                <w:rFonts w:ascii="Times New Roman" w:hAnsi="Times New Roman"/>
                <w:sz w:val="20"/>
                <w:lang w:val="cs-CZ"/>
              </w:rPr>
              <w:t>p</w:t>
            </w:r>
            <w:r w:rsidRPr="001B4A02">
              <w:rPr>
                <w:rFonts w:ascii="Times New Roman" w:hAnsi="Times New Roman"/>
                <w:sz w:val="20"/>
                <w:lang w:val="cs-CZ"/>
              </w:rPr>
              <w:t xml:space="preserve">řípravek Humira vs. </w:t>
            </w:r>
            <w:r w:rsidR="004C58C9" w:rsidRPr="001B4A02">
              <w:rPr>
                <w:rFonts w:ascii="Times New Roman" w:hAnsi="Times New Roman"/>
                <w:sz w:val="20"/>
                <w:lang w:val="cs-CZ"/>
              </w:rPr>
              <w:t>m</w:t>
            </w:r>
            <w:r w:rsidRPr="001B4A02">
              <w:rPr>
                <w:rFonts w:ascii="Times New Roman" w:hAnsi="Times New Roman"/>
                <w:sz w:val="20"/>
                <w:lang w:val="cs-CZ"/>
              </w:rPr>
              <w:t>ethotrexát</w:t>
            </w:r>
          </w:p>
        </w:tc>
      </w:tr>
    </w:tbl>
    <w:p w14:paraId="35C884F5" w14:textId="77777777" w:rsidR="00C33C7C" w:rsidRPr="001B4A02" w:rsidRDefault="00C33C7C" w:rsidP="00C33C7C">
      <w:pPr>
        <w:pStyle w:val="EMEANormal"/>
        <w:tabs>
          <w:tab w:val="clear" w:pos="562"/>
        </w:tabs>
        <w:suppressAutoHyphens w:val="0"/>
        <w:rPr>
          <w:u w:val="single"/>
          <w:lang w:val="cs-CZ"/>
        </w:rPr>
      </w:pPr>
    </w:p>
    <w:p w14:paraId="68A16898" w14:textId="77777777" w:rsidR="00C33C7C" w:rsidRPr="001B4A02" w:rsidRDefault="00000000" w:rsidP="00C33C7C">
      <w:pPr>
        <w:pStyle w:val="EMEANormal"/>
        <w:tabs>
          <w:tab w:val="clear" w:pos="562"/>
          <w:tab w:val="left" w:pos="708"/>
        </w:tabs>
        <w:suppressAutoHyphens w:val="0"/>
        <w:rPr>
          <w:lang w:val="cs-CZ"/>
        </w:rPr>
      </w:pPr>
      <w:r w:rsidRPr="001B4A02">
        <w:rPr>
          <w:lang w:val="cs-CZ"/>
        </w:rPr>
        <w:t>V psoriatické studii I došlo u 28</w:t>
      </w:r>
      <w:r w:rsidR="006008CB">
        <w:rPr>
          <w:lang w:val="cs-CZ"/>
        </w:rPr>
        <w:t> %</w:t>
      </w:r>
      <w:r w:rsidRPr="001B4A02">
        <w:rPr>
          <w:lang w:val="cs-CZ"/>
        </w:rPr>
        <w:t xml:space="preserve"> pacientů, kteří dosáhli odpovědi PASI 75</w:t>
      </w:r>
      <w:r w:rsidR="002378E0">
        <w:rPr>
          <w:lang w:val="cs-CZ"/>
        </w:rPr>
        <w:t xml:space="preserve"> a </w:t>
      </w:r>
      <w:r w:rsidRPr="001B4A02">
        <w:rPr>
          <w:lang w:val="cs-CZ"/>
        </w:rPr>
        <w:t>byli re-randomizováni na placebo v týdnu 33, ke „ztrátě adekvátní odpovědi“ (PASI skóre po týdnu 33</w:t>
      </w:r>
      <w:r w:rsidR="002378E0">
        <w:rPr>
          <w:lang w:val="cs-CZ"/>
        </w:rPr>
        <w:t xml:space="preserve"> a </w:t>
      </w:r>
      <w:r w:rsidRPr="001B4A02">
        <w:rPr>
          <w:lang w:val="cs-CZ"/>
        </w:rPr>
        <w:t>v</w:t>
      </w:r>
      <w:r w:rsidR="003D5529" w:rsidRPr="001B4A02">
        <w:rPr>
          <w:lang w:val="cs-CZ"/>
        </w:rPr>
        <w:t> </w:t>
      </w:r>
      <w:r w:rsidRPr="001B4A02">
        <w:rPr>
          <w:lang w:val="cs-CZ"/>
        </w:rPr>
        <w:t>týdnu 52 nebo před ním, které vyústilo v</w:t>
      </w:r>
      <w:r w:rsidR="003D5529" w:rsidRPr="001B4A02">
        <w:rPr>
          <w:lang w:val="cs-CZ"/>
        </w:rPr>
        <w:t> </w:t>
      </w:r>
      <w:r w:rsidRPr="001B4A02">
        <w:rPr>
          <w:lang w:val="cs-CZ"/>
        </w:rPr>
        <w:t>odpověď PASI &lt; 50 vzhledem k výchozímu stavu s minimálně 6bodovým vzestupem PASI skóre vzhledem k týdnu 33), v porovnání s 5</w:t>
      </w:r>
      <w:r w:rsidR="006008CB">
        <w:rPr>
          <w:lang w:val="cs-CZ"/>
        </w:rPr>
        <w:t> %</w:t>
      </w:r>
      <w:r w:rsidRPr="001B4A02">
        <w:rPr>
          <w:lang w:val="cs-CZ"/>
        </w:rPr>
        <w:t xml:space="preserve"> těch, kteří pokračovali v léčbě přípravkem Humira, p&lt;0,001. Z pacientů, u kterých došlo ke „ztrátě adekvátní odpovědi“ po re-randomizaci na placebo</w:t>
      </w:r>
      <w:r w:rsidR="002378E0">
        <w:rPr>
          <w:lang w:val="cs-CZ"/>
        </w:rPr>
        <w:t xml:space="preserve"> a </w:t>
      </w:r>
      <w:r w:rsidRPr="001B4A02">
        <w:rPr>
          <w:lang w:val="cs-CZ"/>
        </w:rPr>
        <w:t>kteří byli zařazeni do otevřené prodloužené fáze studie, došlo u 38</w:t>
      </w:r>
      <w:r w:rsidR="006008CB">
        <w:rPr>
          <w:lang w:val="cs-CZ"/>
        </w:rPr>
        <w:t> %</w:t>
      </w:r>
      <w:r w:rsidRPr="001B4A02">
        <w:rPr>
          <w:lang w:val="cs-CZ"/>
        </w:rPr>
        <w:t xml:space="preserve"> pacientů (25 z</w:t>
      </w:r>
      <w:r w:rsidR="00CC37C0" w:rsidRPr="001B4A02">
        <w:rPr>
          <w:lang w:val="cs-CZ"/>
        </w:rPr>
        <w:t> </w:t>
      </w:r>
      <w:r w:rsidRPr="001B4A02">
        <w:rPr>
          <w:lang w:val="cs-CZ"/>
        </w:rPr>
        <w:t>66) k opětovnému návratu odpovědi PASI 75 po 12 týdnech léčby</w:t>
      </w:r>
      <w:r w:rsidR="002378E0">
        <w:rPr>
          <w:lang w:val="cs-CZ"/>
        </w:rPr>
        <w:t xml:space="preserve"> a </w:t>
      </w:r>
      <w:r w:rsidRPr="001B4A02">
        <w:rPr>
          <w:lang w:val="cs-CZ"/>
        </w:rPr>
        <w:t>u 55</w:t>
      </w:r>
      <w:r w:rsidR="006008CB">
        <w:rPr>
          <w:lang w:val="cs-CZ"/>
        </w:rPr>
        <w:t> %</w:t>
      </w:r>
      <w:r w:rsidRPr="001B4A02">
        <w:rPr>
          <w:lang w:val="cs-CZ"/>
        </w:rPr>
        <w:t xml:space="preserve"> pacientů (36 z</w:t>
      </w:r>
      <w:r w:rsidR="00CC37C0" w:rsidRPr="001B4A02">
        <w:rPr>
          <w:lang w:val="cs-CZ"/>
        </w:rPr>
        <w:t> </w:t>
      </w:r>
      <w:r w:rsidRPr="001B4A02">
        <w:rPr>
          <w:lang w:val="cs-CZ"/>
        </w:rPr>
        <w:t>66) po 24 týdnech léčby.</w:t>
      </w:r>
    </w:p>
    <w:p w14:paraId="133674E6" w14:textId="77777777" w:rsidR="00C33C7C" w:rsidRPr="001B4A02" w:rsidRDefault="00C33C7C" w:rsidP="00C33C7C">
      <w:pPr>
        <w:pStyle w:val="EMEANormal"/>
        <w:tabs>
          <w:tab w:val="clear" w:pos="562"/>
        </w:tabs>
        <w:suppressAutoHyphens w:val="0"/>
        <w:rPr>
          <w:u w:val="single"/>
          <w:lang w:val="cs-CZ"/>
        </w:rPr>
      </w:pPr>
    </w:p>
    <w:p w14:paraId="2B2F61B0" w14:textId="77777777" w:rsidR="00C33C7C" w:rsidRPr="001B4A02" w:rsidRDefault="00000000" w:rsidP="00C33C7C">
      <w:pPr>
        <w:pStyle w:val="EMEANormal"/>
        <w:tabs>
          <w:tab w:val="clear" w:pos="562"/>
          <w:tab w:val="left" w:pos="708"/>
        </w:tabs>
        <w:suppressAutoHyphens w:val="0"/>
        <w:rPr>
          <w:lang w:val="cs-CZ"/>
        </w:rPr>
      </w:pPr>
      <w:r w:rsidRPr="001B4A02">
        <w:rPr>
          <w:lang w:val="cs-CZ"/>
        </w:rPr>
        <w:t>Celkem 233 pacientů, kteří dosáhli odpovědi PASI 75 v týdnu 16</w:t>
      </w:r>
      <w:r w:rsidR="002378E0">
        <w:rPr>
          <w:lang w:val="cs-CZ"/>
        </w:rPr>
        <w:t xml:space="preserve"> a </w:t>
      </w:r>
      <w:r w:rsidRPr="001B4A02">
        <w:rPr>
          <w:lang w:val="cs-CZ"/>
        </w:rPr>
        <w:t>v týdnu 33, pokračovalo v léčbě přípravkem Humira po dobu 52 týdnů v psoriatické s</w:t>
      </w:r>
      <w:r w:rsidR="007978AF">
        <w:rPr>
          <w:lang w:val="cs-CZ"/>
        </w:rPr>
        <w:t>t</w:t>
      </w:r>
      <w:r w:rsidRPr="001B4A02">
        <w:rPr>
          <w:lang w:val="cs-CZ"/>
        </w:rPr>
        <w:t>udii I</w:t>
      </w:r>
      <w:r w:rsidR="002378E0">
        <w:rPr>
          <w:lang w:val="cs-CZ"/>
        </w:rPr>
        <w:t xml:space="preserve"> a </w:t>
      </w:r>
      <w:r w:rsidRPr="001B4A02">
        <w:rPr>
          <w:lang w:val="cs-CZ"/>
        </w:rPr>
        <w:t>postoupilo do otevřené prodloužené fáze studie. Po dalších 108 týdnech otevřené fáze léčby (celkem 160 týdnů) dosáhlo 74,7</w:t>
      </w:r>
      <w:r w:rsidR="006008CB">
        <w:rPr>
          <w:lang w:val="cs-CZ"/>
        </w:rPr>
        <w:t> %</w:t>
      </w:r>
      <w:r w:rsidRPr="001B4A02">
        <w:rPr>
          <w:lang w:val="cs-CZ"/>
        </w:rPr>
        <w:t xml:space="preserve"> z těchto pacientů odpovědi PASI 75</w:t>
      </w:r>
      <w:r w:rsidR="002378E0">
        <w:rPr>
          <w:lang w:val="cs-CZ"/>
        </w:rPr>
        <w:t xml:space="preserve"> a </w:t>
      </w:r>
      <w:r w:rsidRPr="001B4A02">
        <w:rPr>
          <w:lang w:val="cs-CZ"/>
        </w:rPr>
        <w:t>59</w:t>
      </w:r>
      <w:r w:rsidR="006008CB">
        <w:rPr>
          <w:lang w:val="cs-CZ"/>
        </w:rPr>
        <w:t> %</w:t>
      </w:r>
      <w:r w:rsidRPr="001B4A02">
        <w:rPr>
          <w:lang w:val="cs-CZ"/>
        </w:rPr>
        <w:t xml:space="preserve"> z nich dosáhlo PGA čisté nebo minimální. V analýzách, v nichž byli všichni pacienti, kteří ze studie odstoupili z důvodu nežádoucích účinků či nedostatečné účinnosti nebo kteří vyžadovali navyšování dávky, považováni za neodpovídající na léčbu, bylo u těchto pacientů po dalších 108 týdnech otevřené fáze léčby (celkem 160 týdnů) dosaženo PASI 75</w:t>
      </w:r>
      <w:r w:rsidR="002378E0">
        <w:rPr>
          <w:lang w:val="cs-CZ"/>
        </w:rPr>
        <w:t xml:space="preserve"> a </w:t>
      </w:r>
      <w:r w:rsidRPr="001B4A02">
        <w:rPr>
          <w:lang w:val="cs-CZ"/>
        </w:rPr>
        <w:t>PGA čisté nebo minimální celkem u 69,9</w:t>
      </w:r>
      <w:r w:rsidR="006008CB">
        <w:rPr>
          <w:lang w:val="cs-CZ"/>
        </w:rPr>
        <w:t> %</w:t>
      </w:r>
      <w:r w:rsidRPr="001B4A02">
        <w:rPr>
          <w:lang w:val="cs-CZ"/>
        </w:rPr>
        <w:t xml:space="preserve"> v případě PASI 75</w:t>
      </w:r>
      <w:r w:rsidR="002378E0">
        <w:rPr>
          <w:lang w:val="cs-CZ"/>
        </w:rPr>
        <w:t xml:space="preserve"> a </w:t>
      </w:r>
      <w:r w:rsidRPr="001B4A02">
        <w:rPr>
          <w:lang w:val="cs-CZ"/>
        </w:rPr>
        <w:t>55,7</w:t>
      </w:r>
      <w:r w:rsidR="006008CB">
        <w:rPr>
          <w:lang w:val="cs-CZ"/>
        </w:rPr>
        <w:t> %</w:t>
      </w:r>
      <w:r w:rsidRPr="001B4A02">
        <w:rPr>
          <w:lang w:val="cs-CZ"/>
        </w:rPr>
        <w:t xml:space="preserve"> u PGA.</w:t>
      </w:r>
    </w:p>
    <w:p w14:paraId="53C37760" w14:textId="77777777" w:rsidR="00C33C7C" w:rsidRPr="001B4A02" w:rsidRDefault="00C33C7C" w:rsidP="00C33C7C">
      <w:pPr>
        <w:pStyle w:val="EMEANormal"/>
        <w:tabs>
          <w:tab w:val="clear" w:pos="562"/>
        </w:tabs>
        <w:suppressAutoHyphens w:val="0"/>
        <w:rPr>
          <w:u w:val="single"/>
          <w:lang w:val="cs-CZ"/>
        </w:rPr>
      </w:pPr>
    </w:p>
    <w:p w14:paraId="0CC780EF" w14:textId="77777777" w:rsidR="00C33C7C" w:rsidRPr="001B4A02" w:rsidRDefault="00000000" w:rsidP="00C33C7C">
      <w:pPr>
        <w:pStyle w:val="EMEANormal"/>
        <w:tabs>
          <w:tab w:val="clear" w:pos="562"/>
          <w:tab w:val="left" w:pos="708"/>
        </w:tabs>
        <w:suppressAutoHyphens w:val="0"/>
        <w:rPr>
          <w:lang w:val="cs-CZ"/>
        </w:rPr>
      </w:pPr>
      <w:r w:rsidRPr="001B4A02">
        <w:rPr>
          <w:lang w:val="cs-CZ"/>
        </w:rPr>
        <w:t>Celkem 347 na léčbu stabilně odpovídajících pacientů se účastnilo otevřené fáze studie, ve které byl adalimumab vysazen</w:t>
      </w:r>
      <w:r w:rsidR="002378E0">
        <w:rPr>
          <w:lang w:val="cs-CZ"/>
        </w:rPr>
        <w:t xml:space="preserve"> a </w:t>
      </w:r>
      <w:r w:rsidRPr="001B4A02">
        <w:rPr>
          <w:lang w:val="cs-CZ"/>
        </w:rPr>
        <w:t>opětovně nasazen. V</w:t>
      </w:r>
      <w:r w:rsidR="00C735ED" w:rsidRPr="001B4A02">
        <w:rPr>
          <w:lang w:val="cs-CZ"/>
        </w:rPr>
        <w:t> </w:t>
      </w:r>
      <w:r w:rsidRPr="001B4A02">
        <w:rPr>
          <w:lang w:val="cs-CZ"/>
        </w:rPr>
        <w:t>průběhu období po vysazení se symptomy psoriázy vrátily po čase zpět s</w:t>
      </w:r>
      <w:r w:rsidR="00CC37C0" w:rsidRPr="001B4A02">
        <w:rPr>
          <w:lang w:val="cs-CZ"/>
        </w:rPr>
        <w:t> </w:t>
      </w:r>
      <w:r w:rsidRPr="001B4A02">
        <w:rPr>
          <w:lang w:val="cs-CZ"/>
        </w:rPr>
        <w:t>průměrnou dobou návratu (pokles v</w:t>
      </w:r>
      <w:r w:rsidR="003D5529" w:rsidRPr="001B4A02">
        <w:rPr>
          <w:lang w:val="cs-CZ"/>
        </w:rPr>
        <w:t> </w:t>
      </w:r>
      <w:r w:rsidRPr="001B4A02">
        <w:rPr>
          <w:lang w:val="cs-CZ"/>
        </w:rPr>
        <w:t>PGA na „středně těžké“ nebo horší) při</w:t>
      </w:r>
      <w:r w:rsidR="007978AF">
        <w:rPr>
          <w:lang w:val="cs-CZ"/>
        </w:rPr>
        <w:t>b</w:t>
      </w:r>
      <w:r w:rsidRPr="001B4A02">
        <w:rPr>
          <w:lang w:val="cs-CZ"/>
        </w:rPr>
        <w:t>ližně 5 měsíců. U</w:t>
      </w:r>
      <w:r w:rsidR="00CC37C0" w:rsidRPr="001B4A02">
        <w:rPr>
          <w:lang w:val="cs-CZ"/>
        </w:rPr>
        <w:t> </w:t>
      </w:r>
      <w:r w:rsidRPr="001B4A02">
        <w:rPr>
          <w:lang w:val="cs-CZ"/>
        </w:rPr>
        <w:t>žádného z</w:t>
      </w:r>
      <w:r w:rsidR="00CC37C0" w:rsidRPr="001B4A02">
        <w:rPr>
          <w:lang w:val="cs-CZ"/>
        </w:rPr>
        <w:t> </w:t>
      </w:r>
      <w:r w:rsidRPr="001B4A02">
        <w:rPr>
          <w:lang w:val="cs-CZ"/>
        </w:rPr>
        <w:t>těchto pacientů nedošlo k</w:t>
      </w:r>
      <w:r w:rsidR="00C735ED" w:rsidRPr="001B4A02">
        <w:rPr>
          <w:lang w:val="cs-CZ"/>
        </w:rPr>
        <w:t> </w:t>
      </w:r>
      <w:r w:rsidRPr="001B4A02">
        <w:rPr>
          <w:lang w:val="cs-CZ"/>
        </w:rPr>
        <w:t>rebound fenoménu po dobu vysazení léčby. Celkem 76,5</w:t>
      </w:r>
      <w:r w:rsidR="006008CB">
        <w:rPr>
          <w:lang w:val="cs-CZ"/>
        </w:rPr>
        <w:t> %</w:t>
      </w:r>
      <w:r w:rsidRPr="001B4A02">
        <w:rPr>
          <w:lang w:val="cs-CZ"/>
        </w:rPr>
        <w:t xml:space="preserve"> pacientů (218 z</w:t>
      </w:r>
      <w:r w:rsidR="00CC37C0" w:rsidRPr="001B4A02">
        <w:rPr>
          <w:lang w:val="cs-CZ"/>
        </w:rPr>
        <w:t> </w:t>
      </w:r>
      <w:r w:rsidRPr="001B4A02">
        <w:rPr>
          <w:lang w:val="cs-CZ"/>
        </w:rPr>
        <w:t>285), kteří přešli do fáze znovunasazení adalimumabu, mělo po 16 týdnech léčby PGA „čistý“ nebo „minimální“, bez ohledu na to, zda se u nich v</w:t>
      </w:r>
      <w:r w:rsidR="00CC37C0" w:rsidRPr="001B4A02">
        <w:rPr>
          <w:lang w:val="cs-CZ"/>
        </w:rPr>
        <w:t> </w:t>
      </w:r>
      <w:r w:rsidRPr="001B4A02">
        <w:rPr>
          <w:lang w:val="cs-CZ"/>
        </w:rPr>
        <w:t>průběhu období, kdy byl lék vysazen, objevil relaps (u</w:t>
      </w:r>
      <w:r w:rsidR="00CC37C0" w:rsidRPr="001B4A02">
        <w:rPr>
          <w:lang w:val="cs-CZ"/>
        </w:rPr>
        <w:t> </w:t>
      </w:r>
      <w:r w:rsidRPr="001B4A02">
        <w:rPr>
          <w:lang w:val="cs-CZ"/>
        </w:rPr>
        <w:t>69,1</w:t>
      </w:r>
      <w:r w:rsidR="006008CB">
        <w:rPr>
          <w:lang w:val="cs-CZ"/>
        </w:rPr>
        <w:t> %</w:t>
      </w:r>
      <w:r w:rsidRPr="001B4A02">
        <w:rPr>
          <w:lang w:val="cs-CZ"/>
        </w:rPr>
        <w:t xml:space="preserve"> [123 z</w:t>
      </w:r>
      <w:r w:rsidR="00CC37C0" w:rsidRPr="001B4A02">
        <w:rPr>
          <w:lang w:val="cs-CZ"/>
        </w:rPr>
        <w:t> </w:t>
      </w:r>
      <w:r w:rsidRPr="001B4A02">
        <w:rPr>
          <w:lang w:val="cs-CZ"/>
        </w:rPr>
        <w:t>178] se objevil relaps</w:t>
      </w:r>
      <w:r w:rsidR="002378E0">
        <w:rPr>
          <w:lang w:val="cs-CZ"/>
        </w:rPr>
        <w:t xml:space="preserve"> a </w:t>
      </w:r>
      <w:r w:rsidRPr="001B4A02">
        <w:rPr>
          <w:lang w:val="cs-CZ"/>
        </w:rPr>
        <w:t>88,8</w:t>
      </w:r>
      <w:r w:rsidR="006008CB">
        <w:rPr>
          <w:lang w:val="cs-CZ"/>
        </w:rPr>
        <w:t> %</w:t>
      </w:r>
      <w:r w:rsidRPr="001B4A02">
        <w:rPr>
          <w:lang w:val="cs-CZ"/>
        </w:rPr>
        <w:t xml:space="preserve"> [95 ze 107] bylo v</w:t>
      </w:r>
      <w:r w:rsidR="00C735ED" w:rsidRPr="001B4A02">
        <w:rPr>
          <w:lang w:val="cs-CZ"/>
        </w:rPr>
        <w:t> </w:t>
      </w:r>
      <w:r w:rsidRPr="001B4A02">
        <w:rPr>
          <w:lang w:val="cs-CZ"/>
        </w:rPr>
        <w:t>tomto období bez relapsu). V</w:t>
      </w:r>
      <w:r w:rsidR="00CC37C0" w:rsidRPr="001B4A02">
        <w:rPr>
          <w:lang w:val="cs-CZ"/>
        </w:rPr>
        <w:t> </w:t>
      </w:r>
      <w:r w:rsidRPr="001B4A02">
        <w:rPr>
          <w:lang w:val="cs-CZ"/>
        </w:rPr>
        <w:t>průběhu doby po znovunasazení léčby byl pozorován podobný bezpečnostní profil jako v</w:t>
      </w:r>
      <w:r w:rsidR="00CC37C0" w:rsidRPr="001B4A02">
        <w:rPr>
          <w:lang w:val="cs-CZ"/>
        </w:rPr>
        <w:t> </w:t>
      </w:r>
      <w:r w:rsidRPr="001B4A02">
        <w:rPr>
          <w:lang w:val="cs-CZ"/>
        </w:rPr>
        <w:t>období před vysazením léčby.</w:t>
      </w:r>
    </w:p>
    <w:p w14:paraId="5CAA093E" w14:textId="77777777" w:rsidR="00C33C7C" w:rsidRPr="001B4A02" w:rsidRDefault="00C33C7C" w:rsidP="00C33C7C">
      <w:pPr>
        <w:pStyle w:val="EMEANormal"/>
        <w:tabs>
          <w:tab w:val="clear" w:pos="562"/>
          <w:tab w:val="left" w:pos="708"/>
        </w:tabs>
        <w:suppressAutoHyphens w:val="0"/>
        <w:rPr>
          <w:u w:val="single"/>
          <w:lang w:val="cs-CZ"/>
        </w:rPr>
      </w:pPr>
    </w:p>
    <w:p w14:paraId="0231871D" w14:textId="77777777" w:rsidR="00C33C7C" w:rsidRPr="001B4A02" w:rsidRDefault="00000000" w:rsidP="00C33C7C">
      <w:pPr>
        <w:pStyle w:val="EMEANormal"/>
        <w:tabs>
          <w:tab w:val="clear" w:pos="562"/>
          <w:tab w:val="left" w:pos="708"/>
        </w:tabs>
        <w:suppressAutoHyphens w:val="0"/>
        <w:rPr>
          <w:lang w:val="cs-CZ"/>
        </w:rPr>
      </w:pPr>
      <w:r w:rsidRPr="001B4A02">
        <w:rPr>
          <w:lang w:val="cs-CZ"/>
        </w:rPr>
        <w:t>Významné zlepšení v týdnu 16 oproti výchozímu stavu v porovnání s léčbou placebem (studie I</w:t>
      </w:r>
      <w:r w:rsidR="002378E0">
        <w:rPr>
          <w:lang w:val="cs-CZ"/>
        </w:rPr>
        <w:t xml:space="preserve"> a </w:t>
      </w:r>
      <w:r w:rsidRPr="001B4A02">
        <w:rPr>
          <w:lang w:val="cs-CZ"/>
        </w:rPr>
        <w:t>II)</w:t>
      </w:r>
      <w:r w:rsidR="002378E0">
        <w:rPr>
          <w:lang w:val="cs-CZ"/>
        </w:rPr>
        <w:t xml:space="preserve"> a </w:t>
      </w:r>
      <w:r w:rsidRPr="001B4A02">
        <w:rPr>
          <w:lang w:val="cs-CZ"/>
        </w:rPr>
        <w:t>MTX (studie II) bylo prokázáno v DLQI (Dermatology Life Quality Index). Ve studii I došlo také k</w:t>
      </w:r>
      <w:r w:rsidR="00C735ED" w:rsidRPr="001B4A02">
        <w:rPr>
          <w:lang w:val="cs-CZ"/>
        </w:rPr>
        <w:t> </w:t>
      </w:r>
      <w:r w:rsidRPr="001B4A02">
        <w:rPr>
          <w:lang w:val="cs-CZ"/>
        </w:rPr>
        <w:t>významnému zlepšení fyzické</w:t>
      </w:r>
      <w:r w:rsidR="002378E0">
        <w:rPr>
          <w:lang w:val="cs-CZ"/>
        </w:rPr>
        <w:t xml:space="preserve"> a </w:t>
      </w:r>
      <w:r w:rsidRPr="001B4A02">
        <w:rPr>
          <w:lang w:val="cs-CZ"/>
        </w:rPr>
        <w:t>mentální části celkového skóre SF-36 v porovnání s placebem.</w:t>
      </w:r>
    </w:p>
    <w:p w14:paraId="4119131D" w14:textId="77777777" w:rsidR="00C33C7C" w:rsidRPr="001B4A02" w:rsidRDefault="00C33C7C" w:rsidP="00C33C7C">
      <w:pPr>
        <w:pStyle w:val="EMEANormal"/>
        <w:tabs>
          <w:tab w:val="clear" w:pos="562"/>
          <w:tab w:val="left" w:pos="708"/>
        </w:tabs>
        <w:suppressAutoHyphens w:val="0"/>
        <w:rPr>
          <w:lang w:val="cs-CZ"/>
        </w:rPr>
      </w:pPr>
    </w:p>
    <w:p w14:paraId="79FF267C" w14:textId="77777777" w:rsidR="00C33C7C" w:rsidRPr="001B4A02" w:rsidRDefault="00000000" w:rsidP="00C33C7C">
      <w:pPr>
        <w:pStyle w:val="EMEANormal"/>
        <w:tabs>
          <w:tab w:val="clear" w:pos="562"/>
          <w:tab w:val="left" w:pos="708"/>
        </w:tabs>
        <w:suppressAutoHyphens w:val="0"/>
        <w:rPr>
          <w:lang w:val="cs-CZ"/>
        </w:rPr>
      </w:pPr>
      <w:r w:rsidRPr="001B4A02">
        <w:rPr>
          <w:lang w:val="cs-CZ"/>
        </w:rPr>
        <w:t>V otevřené prodloužené studii u pacientů, u nichž byla z důvodu odpovědi PASI pod 50</w:t>
      </w:r>
      <w:r w:rsidR="006008CB">
        <w:rPr>
          <w:lang w:val="cs-CZ"/>
        </w:rPr>
        <w:t> %</w:t>
      </w:r>
      <w:r w:rsidRPr="001B4A02">
        <w:rPr>
          <w:lang w:val="cs-CZ"/>
        </w:rPr>
        <w:t xml:space="preserve"> dávka zvýšena ze 40</w:t>
      </w:r>
      <w:r w:rsidR="00294902">
        <w:rPr>
          <w:lang w:val="cs-CZ"/>
        </w:rPr>
        <w:t> mg</w:t>
      </w:r>
      <w:r w:rsidRPr="001B4A02">
        <w:rPr>
          <w:lang w:val="cs-CZ"/>
        </w:rPr>
        <w:t xml:space="preserve"> každý druhý týden na 40</w:t>
      </w:r>
      <w:r w:rsidR="00294902">
        <w:rPr>
          <w:lang w:val="cs-CZ"/>
        </w:rPr>
        <w:t> mg</w:t>
      </w:r>
      <w:r w:rsidRPr="001B4A02">
        <w:rPr>
          <w:lang w:val="cs-CZ"/>
        </w:rPr>
        <w:t xml:space="preserve"> týdně, dosáhlo opětovného návratu odpovědi PASI 75 celkem 26,4</w:t>
      </w:r>
      <w:r w:rsidR="006008CB">
        <w:rPr>
          <w:lang w:val="cs-CZ"/>
        </w:rPr>
        <w:t> %</w:t>
      </w:r>
      <w:r w:rsidRPr="001B4A02">
        <w:rPr>
          <w:lang w:val="cs-CZ"/>
        </w:rPr>
        <w:t xml:space="preserve"> pacientů (92 z 349) v týdnu 12</w:t>
      </w:r>
      <w:r w:rsidR="002378E0">
        <w:rPr>
          <w:lang w:val="cs-CZ"/>
        </w:rPr>
        <w:t xml:space="preserve"> a </w:t>
      </w:r>
      <w:r w:rsidRPr="001B4A02">
        <w:rPr>
          <w:lang w:val="cs-CZ"/>
        </w:rPr>
        <w:t>37,8</w:t>
      </w:r>
      <w:r w:rsidR="006008CB">
        <w:rPr>
          <w:lang w:val="cs-CZ"/>
        </w:rPr>
        <w:t> %</w:t>
      </w:r>
      <w:r w:rsidRPr="001B4A02">
        <w:rPr>
          <w:lang w:val="cs-CZ"/>
        </w:rPr>
        <w:t xml:space="preserve"> (132 z 349) v týdnu 24.</w:t>
      </w:r>
    </w:p>
    <w:p w14:paraId="4C7469EB" w14:textId="77777777" w:rsidR="00C33C7C" w:rsidRPr="001B4A02" w:rsidRDefault="00C33C7C" w:rsidP="00C33C7C">
      <w:pPr>
        <w:pStyle w:val="EMEANormal"/>
        <w:tabs>
          <w:tab w:val="clear" w:pos="562"/>
          <w:tab w:val="left" w:pos="708"/>
        </w:tabs>
        <w:suppressAutoHyphens w:val="0"/>
        <w:rPr>
          <w:lang w:val="cs-CZ"/>
        </w:rPr>
      </w:pPr>
    </w:p>
    <w:p w14:paraId="2910346A" w14:textId="77777777" w:rsidR="00C33C7C" w:rsidRPr="001B4A02" w:rsidRDefault="00000000" w:rsidP="00C33C7C">
      <w:pPr>
        <w:pStyle w:val="EMEANormal"/>
        <w:tabs>
          <w:tab w:val="clear" w:pos="562"/>
          <w:tab w:val="left" w:pos="708"/>
        </w:tabs>
        <w:suppressAutoHyphens w:val="0"/>
        <w:rPr>
          <w:lang w:val="cs-CZ"/>
        </w:rPr>
      </w:pPr>
      <w:r w:rsidRPr="001B4A02">
        <w:rPr>
          <w:lang w:val="cs-CZ"/>
        </w:rPr>
        <w:t>Psoriatická studie III (REACH) porovnávala účinnost</w:t>
      </w:r>
      <w:r w:rsidR="002378E0">
        <w:rPr>
          <w:lang w:val="cs-CZ"/>
        </w:rPr>
        <w:t xml:space="preserve"> a </w:t>
      </w:r>
      <w:r w:rsidRPr="001B4A02">
        <w:rPr>
          <w:lang w:val="cs-CZ"/>
        </w:rPr>
        <w:t>bezpečnost přípravku Humira oproti placebu u 72 pacientů se středně těžkou až těžkou chronickou ložiskovou psoriázou</w:t>
      </w:r>
      <w:r w:rsidR="002378E0">
        <w:rPr>
          <w:lang w:val="cs-CZ"/>
        </w:rPr>
        <w:t xml:space="preserve"> a </w:t>
      </w:r>
      <w:r w:rsidRPr="001B4A02">
        <w:rPr>
          <w:lang w:val="cs-CZ"/>
        </w:rPr>
        <w:t>psoriázou rukou a/nebo chodidel. Pacienti dostávali úvodní dávku 80</w:t>
      </w:r>
      <w:r w:rsidR="00294902">
        <w:rPr>
          <w:lang w:val="cs-CZ"/>
        </w:rPr>
        <w:t> mg</w:t>
      </w:r>
      <w:r w:rsidRPr="001B4A02">
        <w:rPr>
          <w:lang w:val="cs-CZ"/>
        </w:rPr>
        <w:t xml:space="preserve"> přípravku Humira, následovanou dávkou 40</w:t>
      </w:r>
      <w:r w:rsidR="00294902">
        <w:rPr>
          <w:lang w:val="cs-CZ"/>
        </w:rPr>
        <w:t> mg</w:t>
      </w:r>
      <w:r w:rsidRPr="001B4A02">
        <w:rPr>
          <w:lang w:val="cs-CZ"/>
        </w:rPr>
        <w:t xml:space="preserve"> každý druhý týden (počínaje prvním týdnem po úvodní dávce), nebo placebo po dobu 16 týdnů. V </w:t>
      </w:r>
      <w:r w:rsidR="00D00F8F">
        <w:rPr>
          <w:lang w:val="cs-CZ"/>
        </w:rPr>
        <w:t>týdnu 16</w:t>
      </w:r>
      <w:r w:rsidRPr="001B4A02">
        <w:rPr>
          <w:lang w:val="cs-CZ"/>
        </w:rPr>
        <w:t xml:space="preserve"> dosáhl statisticky významně větší podíl pacientů, kteří byli léčeni přípravkem Humira, PGA odpovědi „čisté“ nebo „téměř čisté“ na rukou a/nebo chodidlech v porovnání s pacienty léčenými placebem (30,6</w:t>
      </w:r>
      <w:r w:rsidR="006008CB">
        <w:rPr>
          <w:lang w:val="cs-CZ"/>
        </w:rPr>
        <w:t> %</w:t>
      </w:r>
      <w:r w:rsidRPr="001B4A02">
        <w:rPr>
          <w:lang w:val="cs-CZ"/>
        </w:rPr>
        <w:t xml:space="preserve"> resp. 4,3</w:t>
      </w:r>
      <w:r w:rsidR="006008CB">
        <w:rPr>
          <w:lang w:val="cs-CZ"/>
        </w:rPr>
        <w:t> %</w:t>
      </w:r>
      <w:r w:rsidRPr="001B4A02">
        <w:rPr>
          <w:lang w:val="cs-CZ"/>
        </w:rPr>
        <w:t xml:space="preserve"> [p=0,014]).</w:t>
      </w:r>
    </w:p>
    <w:p w14:paraId="6DB78A64" w14:textId="77777777" w:rsidR="00C33C7C" w:rsidRPr="001B4A02" w:rsidRDefault="00C33C7C" w:rsidP="00C33C7C">
      <w:pPr>
        <w:pStyle w:val="EMEANormal"/>
        <w:tabs>
          <w:tab w:val="clear" w:pos="562"/>
          <w:tab w:val="left" w:pos="708"/>
        </w:tabs>
        <w:suppressAutoHyphens w:val="0"/>
        <w:rPr>
          <w:lang w:val="cs-CZ"/>
        </w:rPr>
      </w:pPr>
    </w:p>
    <w:p w14:paraId="35450DE6" w14:textId="77777777" w:rsidR="00C33C7C" w:rsidRPr="001B4A02" w:rsidRDefault="00000000" w:rsidP="00C33C7C">
      <w:pPr>
        <w:pStyle w:val="EMEANormal"/>
        <w:tabs>
          <w:tab w:val="clear" w:pos="562"/>
          <w:tab w:val="left" w:pos="708"/>
        </w:tabs>
        <w:suppressAutoHyphens w:val="0"/>
        <w:rPr>
          <w:lang w:val="cs-CZ"/>
        </w:rPr>
      </w:pPr>
      <w:r w:rsidRPr="001B4A02">
        <w:rPr>
          <w:lang w:val="cs-CZ"/>
        </w:rPr>
        <w:t>Psoriatická studie IV porovnávala účinnost</w:t>
      </w:r>
      <w:r w:rsidR="002378E0">
        <w:rPr>
          <w:lang w:val="cs-CZ"/>
        </w:rPr>
        <w:t xml:space="preserve"> a </w:t>
      </w:r>
      <w:r w:rsidRPr="001B4A02">
        <w:rPr>
          <w:lang w:val="cs-CZ"/>
        </w:rPr>
        <w:t>bezpečnost přípravku Humira oproti</w:t>
      </w:r>
      <w:r w:rsidRPr="001B4A02">
        <w:rPr>
          <w:i/>
          <w:lang w:val="cs-CZ"/>
        </w:rPr>
        <w:t xml:space="preserve"> </w:t>
      </w:r>
      <w:r w:rsidRPr="001B4A02">
        <w:rPr>
          <w:lang w:val="cs-CZ"/>
        </w:rPr>
        <w:t>placebu u 217 dospělých pacientů se středně těžkou až těžkou psoriázou nehtů. Pacienti dostávali úvodní dávku 80 mg přípravku Humira následovanou dávkou 40</w:t>
      </w:r>
      <w:r w:rsidR="00294902">
        <w:rPr>
          <w:lang w:val="cs-CZ"/>
        </w:rPr>
        <w:t> mg</w:t>
      </w:r>
      <w:r w:rsidRPr="001B4A02">
        <w:rPr>
          <w:lang w:val="cs-CZ"/>
        </w:rPr>
        <w:t xml:space="preserve"> každý druhý týden (počínaje prvním týdnem po úvodní dávce), nebo placebo po dobu 26 týdnů, následované otevřenou fází léčby přípravkem Humira po následujících 26 týdnů. Hodnocení psoriázy nehtů zahrnovalo „Modified Nail Psoriasis Severity Index“ (mNAPSI), „Physician´s Global Assessment of Fingernail Psoriasis“ (PGA-F)</w:t>
      </w:r>
      <w:r w:rsidR="002378E0">
        <w:rPr>
          <w:lang w:val="cs-CZ"/>
        </w:rPr>
        <w:t xml:space="preserve"> a </w:t>
      </w:r>
      <w:r w:rsidRPr="001B4A02">
        <w:rPr>
          <w:lang w:val="cs-CZ"/>
        </w:rPr>
        <w:t xml:space="preserve">„Nail Psoriasis Severity Index“ (NAPSI) (viz tabulka </w:t>
      </w:r>
      <w:r w:rsidR="00BF09F2">
        <w:rPr>
          <w:lang w:val="cs-CZ"/>
        </w:rPr>
        <w:t>13</w:t>
      </w:r>
      <w:r w:rsidRPr="001B4A02">
        <w:rPr>
          <w:lang w:val="cs-CZ"/>
        </w:rPr>
        <w:t>). Léčba přípravkem Humira byla prospěšná u pacientů s psoriázou nehtů s různým rozsahem postižení kůže (</w:t>
      </w:r>
      <w:r w:rsidRPr="001B4A02">
        <w:rPr>
          <w:szCs w:val="22"/>
          <w:lang w:val="cs-CZ"/>
        </w:rPr>
        <w:t>BSA ≥ 10</w:t>
      </w:r>
      <w:r w:rsidR="006008CB">
        <w:rPr>
          <w:szCs w:val="22"/>
          <w:lang w:val="cs-CZ"/>
        </w:rPr>
        <w:t> %</w:t>
      </w:r>
      <w:r w:rsidRPr="001B4A02">
        <w:rPr>
          <w:szCs w:val="22"/>
          <w:lang w:val="cs-CZ"/>
        </w:rPr>
        <w:t xml:space="preserve"> (60</w:t>
      </w:r>
      <w:r w:rsidR="006008CB">
        <w:rPr>
          <w:szCs w:val="22"/>
          <w:lang w:val="cs-CZ"/>
        </w:rPr>
        <w:t> %</w:t>
      </w:r>
      <w:r w:rsidRPr="001B4A02">
        <w:rPr>
          <w:szCs w:val="22"/>
          <w:lang w:val="cs-CZ"/>
        </w:rPr>
        <w:t xml:space="preserve"> pacientů)</w:t>
      </w:r>
      <w:r w:rsidR="002378E0">
        <w:rPr>
          <w:szCs w:val="22"/>
          <w:lang w:val="cs-CZ"/>
        </w:rPr>
        <w:t xml:space="preserve"> a </w:t>
      </w:r>
      <w:r w:rsidRPr="001B4A02">
        <w:rPr>
          <w:szCs w:val="22"/>
          <w:lang w:val="cs-CZ"/>
        </w:rPr>
        <w:t>BSA &lt; 10</w:t>
      </w:r>
      <w:r w:rsidR="006008CB">
        <w:rPr>
          <w:szCs w:val="22"/>
          <w:lang w:val="cs-CZ"/>
        </w:rPr>
        <w:t> %</w:t>
      </w:r>
      <w:r w:rsidR="002378E0">
        <w:rPr>
          <w:szCs w:val="22"/>
          <w:lang w:val="cs-CZ"/>
        </w:rPr>
        <w:t xml:space="preserve"> a </w:t>
      </w:r>
      <w:r w:rsidRPr="001B4A02">
        <w:rPr>
          <w:szCs w:val="22"/>
          <w:lang w:val="cs-CZ"/>
        </w:rPr>
        <w:t>≥ 5</w:t>
      </w:r>
      <w:r w:rsidR="006008CB">
        <w:rPr>
          <w:szCs w:val="22"/>
          <w:lang w:val="cs-CZ"/>
        </w:rPr>
        <w:t> %</w:t>
      </w:r>
      <w:r w:rsidRPr="001B4A02">
        <w:rPr>
          <w:szCs w:val="22"/>
          <w:lang w:val="cs-CZ"/>
        </w:rPr>
        <w:t xml:space="preserve"> (40</w:t>
      </w:r>
      <w:r w:rsidR="006008CB">
        <w:rPr>
          <w:szCs w:val="22"/>
          <w:lang w:val="cs-CZ"/>
        </w:rPr>
        <w:t> %</w:t>
      </w:r>
      <w:r w:rsidRPr="001B4A02">
        <w:rPr>
          <w:szCs w:val="22"/>
          <w:lang w:val="cs-CZ"/>
        </w:rPr>
        <w:t xml:space="preserve"> pacientů)).</w:t>
      </w:r>
    </w:p>
    <w:p w14:paraId="3532F5DD" w14:textId="77777777" w:rsidR="00C33C7C" w:rsidRPr="001B4A02" w:rsidRDefault="00C33C7C" w:rsidP="00C33C7C">
      <w:pPr>
        <w:pStyle w:val="gtcbodytext"/>
        <w:spacing w:before="0" w:after="0" w:line="240" w:lineRule="auto"/>
        <w:rPr>
          <w:sz w:val="22"/>
          <w:szCs w:val="22"/>
          <w:lang w:val="cs-CZ"/>
        </w:rPr>
      </w:pPr>
    </w:p>
    <w:p w14:paraId="7F0EF9CC" w14:textId="77777777" w:rsidR="00C33C7C" w:rsidRPr="001B4A02" w:rsidRDefault="00000000" w:rsidP="00C33C7C">
      <w:pPr>
        <w:pStyle w:val="gtctabletitleotherwise"/>
        <w:keepNext/>
        <w:spacing w:before="0"/>
        <w:rPr>
          <w:bCs w:val="0"/>
          <w:sz w:val="22"/>
          <w:szCs w:val="22"/>
          <w:lang w:val="cs-CZ"/>
        </w:rPr>
      </w:pPr>
      <w:r w:rsidRPr="001B4A02">
        <w:rPr>
          <w:bCs w:val="0"/>
          <w:sz w:val="22"/>
          <w:szCs w:val="22"/>
          <w:lang w:val="cs-CZ"/>
        </w:rPr>
        <w:t xml:space="preserve">Tabulka </w:t>
      </w:r>
      <w:r w:rsidR="00BF09F2">
        <w:rPr>
          <w:bCs w:val="0"/>
          <w:sz w:val="22"/>
          <w:szCs w:val="22"/>
          <w:lang w:val="cs-CZ"/>
        </w:rPr>
        <w:t>13</w:t>
      </w:r>
    </w:p>
    <w:p w14:paraId="7C91F121" w14:textId="77777777" w:rsidR="00C33C7C" w:rsidRPr="001B4A02" w:rsidRDefault="00000000" w:rsidP="00C33C7C">
      <w:pPr>
        <w:pStyle w:val="gtctabletitleotherwise"/>
        <w:keepNext/>
        <w:spacing w:before="0"/>
        <w:rPr>
          <w:sz w:val="22"/>
          <w:szCs w:val="22"/>
          <w:lang w:val="cs-CZ"/>
        </w:rPr>
      </w:pPr>
      <w:r w:rsidRPr="001B4A02">
        <w:rPr>
          <w:bCs w:val="0"/>
          <w:sz w:val="22"/>
          <w:szCs w:val="22"/>
          <w:lang w:val="cs-CZ"/>
        </w:rPr>
        <w:t>Výsledky účinnosti v</w:t>
      </w:r>
      <w:r w:rsidR="003D5529" w:rsidRPr="001B4A02">
        <w:rPr>
          <w:bCs w:val="0"/>
          <w:sz w:val="22"/>
          <w:szCs w:val="22"/>
          <w:lang w:val="cs-CZ"/>
        </w:rPr>
        <w:t> </w:t>
      </w:r>
      <w:r w:rsidRPr="001B4A02">
        <w:rPr>
          <w:bCs w:val="0"/>
          <w:sz w:val="22"/>
          <w:szCs w:val="22"/>
          <w:lang w:val="cs-CZ"/>
        </w:rPr>
        <w:t>týdnech 16, 26</w:t>
      </w:r>
      <w:r w:rsidR="002378E0">
        <w:rPr>
          <w:bCs w:val="0"/>
          <w:sz w:val="22"/>
          <w:szCs w:val="22"/>
          <w:lang w:val="cs-CZ"/>
        </w:rPr>
        <w:t xml:space="preserve"> a </w:t>
      </w:r>
      <w:r w:rsidRPr="001B4A02">
        <w:rPr>
          <w:bCs w:val="0"/>
          <w:sz w:val="22"/>
          <w:szCs w:val="22"/>
          <w:lang w:val="cs-CZ"/>
        </w:rPr>
        <w:t>52 u psoriatické studie IV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993"/>
        <w:gridCol w:w="1417"/>
        <w:gridCol w:w="992"/>
        <w:gridCol w:w="1418"/>
        <w:gridCol w:w="1559"/>
      </w:tblGrid>
      <w:tr w:rsidR="00534A2D" w14:paraId="3B66192D" w14:textId="77777777" w:rsidTr="003D5529">
        <w:tc>
          <w:tcPr>
            <w:tcW w:w="2943" w:type="dxa"/>
            <w:vMerge w:val="restart"/>
            <w:shd w:val="clear" w:color="auto" w:fill="auto"/>
          </w:tcPr>
          <w:p w14:paraId="05DC8018" w14:textId="77777777" w:rsidR="00C33C7C" w:rsidRPr="001B4A02" w:rsidRDefault="00000000" w:rsidP="00A5191B">
            <w:pPr>
              <w:pStyle w:val="gtctablespaceafter"/>
              <w:spacing w:after="0"/>
              <w:rPr>
                <w:sz w:val="22"/>
                <w:szCs w:val="22"/>
                <w:lang w:val="cs-CZ"/>
              </w:rPr>
            </w:pPr>
            <w:r w:rsidRPr="001B4A02">
              <w:rPr>
                <w:sz w:val="22"/>
                <w:szCs w:val="22"/>
                <w:lang w:val="cs-CZ"/>
              </w:rPr>
              <w:t>Cílový parametr</w:t>
            </w:r>
          </w:p>
        </w:tc>
        <w:tc>
          <w:tcPr>
            <w:tcW w:w="2410" w:type="dxa"/>
            <w:gridSpan w:val="2"/>
            <w:shd w:val="clear" w:color="auto" w:fill="auto"/>
          </w:tcPr>
          <w:p w14:paraId="772ACAFE" w14:textId="77777777" w:rsidR="00C33C7C" w:rsidRPr="001B4A02" w:rsidRDefault="00000000" w:rsidP="00A5191B">
            <w:pPr>
              <w:pStyle w:val="gtctablespaceafter"/>
              <w:spacing w:after="0"/>
              <w:jc w:val="center"/>
              <w:rPr>
                <w:sz w:val="22"/>
                <w:szCs w:val="22"/>
                <w:lang w:val="cs-CZ"/>
              </w:rPr>
            </w:pPr>
            <w:r w:rsidRPr="001B4A02">
              <w:rPr>
                <w:sz w:val="22"/>
                <w:szCs w:val="22"/>
                <w:lang w:val="cs-CZ"/>
              </w:rPr>
              <w:t>Týden 16</w:t>
            </w:r>
          </w:p>
          <w:p w14:paraId="3FBA6DE8" w14:textId="77777777" w:rsidR="00C33C7C" w:rsidRPr="001B4A02" w:rsidRDefault="00000000" w:rsidP="00A5191B">
            <w:pPr>
              <w:pStyle w:val="gtctablespaceafter"/>
              <w:spacing w:after="0"/>
              <w:jc w:val="center"/>
              <w:rPr>
                <w:sz w:val="22"/>
                <w:szCs w:val="22"/>
                <w:lang w:val="cs-CZ"/>
              </w:rPr>
            </w:pPr>
            <w:r w:rsidRPr="001B4A02">
              <w:rPr>
                <w:sz w:val="22"/>
                <w:szCs w:val="22"/>
                <w:lang w:val="cs-CZ"/>
              </w:rPr>
              <w:t>Placebem kontrolovaná</w:t>
            </w:r>
          </w:p>
        </w:tc>
        <w:tc>
          <w:tcPr>
            <w:tcW w:w="2410" w:type="dxa"/>
            <w:gridSpan w:val="2"/>
            <w:shd w:val="clear" w:color="auto" w:fill="auto"/>
          </w:tcPr>
          <w:p w14:paraId="6E172C07" w14:textId="77777777" w:rsidR="00C33C7C" w:rsidRPr="001B4A02" w:rsidRDefault="00000000" w:rsidP="00A5191B">
            <w:pPr>
              <w:pStyle w:val="gtctablespaceafter"/>
              <w:spacing w:after="0"/>
              <w:jc w:val="center"/>
              <w:rPr>
                <w:sz w:val="22"/>
                <w:szCs w:val="22"/>
                <w:lang w:val="cs-CZ"/>
              </w:rPr>
            </w:pPr>
            <w:r w:rsidRPr="001B4A02">
              <w:rPr>
                <w:sz w:val="22"/>
                <w:szCs w:val="22"/>
                <w:lang w:val="cs-CZ"/>
              </w:rPr>
              <w:t>Týden 26</w:t>
            </w:r>
          </w:p>
          <w:p w14:paraId="0A010514" w14:textId="77777777" w:rsidR="00C33C7C" w:rsidRPr="001B4A02" w:rsidRDefault="00000000" w:rsidP="00A5191B">
            <w:pPr>
              <w:pStyle w:val="gtctablespaceafter"/>
              <w:spacing w:after="0"/>
              <w:jc w:val="center"/>
              <w:rPr>
                <w:sz w:val="22"/>
                <w:szCs w:val="22"/>
                <w:lang w:val="cs-CZ"/>
              </w:rPr>
            </w:pPr>
            <w:r w:rsidRPr="001B4A02">
              <w:rPr>
                <w:sz w:val="22"/>
                <w:szCs w:val="22"/>
                <w:lang w:val="cs-CZ"/>
              </w:rPr>
              <w:t>Placebem kontrolovaná</w:t>
            </w:r>
          </w:p>
        </w:tc>
        <w:tc>
          <w:tcPr>
            <w:tcW w:w="1559" w:type="dxa"/>
            <w:shd w:val="clear" w:color="auto" w:fill="auto"/>
          </w:tcPr>
          <w:p w14:paraId="642C7F8B" w14:textId="77777777" w:rsidR="00C33C7C" w:rsidRPr="001B4A02" w:rsidRDefault="00000000" w:rsidP="00A5191B">
            <w:pPr>
              <w:pStyle w:val="gtctablespaceafter"/>
              <w:spacing w:after="0"/>
              <w:jc w:val="center"/>
              <w:rPr>
                <w:sz w:val="22"/>
                <w:szCs w:val="22"/>
                <w:lang w:val="cs-CZ"/>
              </w:rPr>
            </w:pPr>
            <w:r w:rsidRPr="001B4A02">
              <w:rPr>
                <w:sz w:val="22"/>
                <w:szCs w:val="22"/>
                <w:lang w:val="cs-CZ"/>
              </w:rPr>
              <w:t>Týden 52</w:t>
            </w:r>
          </w:p>
          <w:p w14:paraId="1A25E8F1" w14:textId="77777777" w:rsidR="00C33C7C" w:rsidRPr="001B4A02" w:rsidRDefault="00000000" w:rsidP="00A5191B">
            <w:pPr>
              <w:pStyle w:val="gtctablespaceafter"/>
              <w:spacing w:after="0"/>
              <w:jc w:val="center"/>
              <w:rPr>
                <w:sz w:val="22"/>
                <w:szCs w:val="22"/>
                <w:lang w:val="cs-CZ"/>
              </w:rPr>
            </w:pPr>
            <w:r w:rsidRPr="001B4A02">
              <w:rPr>
                <w:sz w:val="22"/>
                <w:szCs w:val="22"/>
                <w:lang w:val="cs-CZ"/>
              </w:rPr>
              <w:t>Otevřená</w:t>
            </w:r>
          </w:p>
        </w:tc>
      </w:tr>
      <w:tr w:rsidR="00534A2D" w14:paraId="2B639960" w14:textId="77777777" w:rsidTr="003D5529">
        <w:tc>
          <w:tcPr>
            <w:tcW w:w="2943" w:type="dxa"/>
            <w:vMerge/>
            <w:shd w:val="clear" w:color="auto" w:fill="auto"/>
          </w:tcPr>
          <w:p w14:paraId="56E0B2F5" w14:textId="77777777" w:rsidR="00C33C7C" w:rsidRPr="001B4A02" w:rsidRDefault="00C33C7C" w:rsidP="00A5191B">
            <w:pPr>
              <w:pStyle w:val="gtctablespaceafter"/>
              <w:spacing w:after="0"/>
              <w:rPr>
                <w:sz w:val="22"/>
                <w:szCs w:val="22"/>
                <w:lang w:val="cs-CZ"/>
              </w:rPr>
            </w:pPr>
          </w:p>
        </w:tc>
        <w:tc>
          <w:tcPr>
            <w:tcW w:w="993" w:type="dxa"/>
            <w:shd w:val="clear" w:color="auto" w:fill="auto"/>
          </w:tcPr>
          <w:p w14:paraId="053E3228" w14:textId="77777777" w:rsidR="00C33C7C" w:rsidRPr="001B4A02" w:rsidRDefault="00000000" w:rsidP="006014DF">
            <w:pPr>
              <w:pStyle w:val="gtctablespaceafter"/>
              <w:spacing w:after="0"/>
              <w:jc w:val="center"/>
              <w:rPr>
                <w:sz w:val="22"/>
                <w:szCs w:val="22"/>
                <w:lang w:val="cs-CZ"/>
              </w:rPr>
            </w:pPr>
            <w:r w:rsidRPr="001B4A02">
              <w:rPr>
                <w:sz w:val="22"/>
                <w:lang w:val="cs-CZ"/>
              </w:rPr>
              <w:t>Placebo</w:t>
            </w:r>
            <w:r w:rsidRPr="001B4A02">
              <w:rPr>
                <w:sz w:val="22"/>
                <w:lang w:val="cs-CZ"/>
              </w:rPr>
              <w:br/>
            </w:r>
            <w:r w:rsidR="006014DF">
              <w:rPr>
                <w:sz w:val="22"/>
                <w:lang w:val="cs-CZ"/>
              </w:rPr>
              <w:t>n</w:t>
            </w:r>
            <w:r w:rsidRPr="001B4A02">
              <w:rPr>
                <w:sz w:val="22"/>
                <w:lang w:val="cs-CZ"/>
              </w:rPr>
              <w:t>=108</w:t>
            </w:r>
          </w:p>
        </w:tc>
        <w:tc>
          <w:tcPr>
            <w:tcW w:w="1417" w:type="dxa"/>
            <w:shd w:val="clear" w:color="auto" w:fill="auto"/>
          </w:tcPr>
          <w:p w14:paraId="3E16D125" w14:textId="77777777" w:rsidR="00C33C7C" w:rsidRPr="001B4A02" w:rsidRDefault="00000000" w:rsidP="00A5191B">
            <w:pPr>
              <w:pStyle w:val="In-texttable"/>
              <w:keepNext w:val="0"/>
              <w:spacing w:line="240" w:lineRule="auto"/>
              <w:jc w:val="center"/>
              <w:rPr>
                <w:rFonts w:ascii="Times New Roman" w:hAnsi="Times New Roman"/>
                <w:sz w:val="22"/>
                <w:lang w:val="cs-CZ"/>
              </w:rPr>
            </w:pPr>
            <w:r w:rsidRPr="001B4A02">
              <w:rPr>
                <w:rFonts w:ascii="Times New Roman" w:hAnsi="Times New Roman"/>
                <w:sz w:val="22"/>
                <w:lang w:val="cs-CZ"/>
              </w:rPr>
              <w:t>Humira</w:t>
            </w:r>
          </w:p>
          <w:p w14:paraId="0C623D27" w14:textId="77777777" w:rsidR="00C33C7C" w:rsidRPr="001B4A02" w:rsidRDefault="00000000" w:rsidP="006014DF">
            <w:pPr>
              <w:pStyle w:val="gtctablespaceafter"/>
              <w:spacing w:after="0"/>
              <w:jc w:val="center"/>
              <w:rPr>
                <w:sz w:val="22"/>
                <w:szCs w:val="22"/>
                <w:lang w:val="cs-CZ"/>
              </w:rPr>
            </w:pPr>
            <w:r w:rsidRPr="001B4A02">
              <w:rPr>
                <w:sz w:val="22"/>
                <w:lang w:val="cs-CZ"/>
              </w:rPr>
              <w:t xml:space="preserve">40 mg každý druhý týden </w:t>
            </w:r>
            <w:r w:rsidRPr="001B4A02">
              <w:rPr>
                <w:sz w:val="22"/>
                <w:lang w:val="cs-CZ"/>
              </w:rPr>
              <w:br/>
            </w:r>
            <w:r w:rsidR="006014DF">
              <w:rPr>
                <w:sz w:val="22"/>
                <w:lang w:val="cs-CZ"/>
              </w:rPr>
              <w:t>n</w:t>
            </w:r>
            <w:r w:rsidRPr="001B4A02">
              <w:rPr>
                <w:sz w:val="22"/>
                <w:lang w:val="cs-CZ"/>
              </w:rPr>
              <w:t>=109</w:t>
            </w:r>
          </w:p>
        </w:tc>
        <w:tc>
          <w:tcPr>
            <w:tcW w:w="992" w:type="dxa"/>
            <w:shd w:val="clear" w:color="auto" w:fill="auto"/>
          </w:tcPr>
          <w:p w14:paraId="2FD0CA4D" w14:textId="77777777" w:rsidR="00C33C7C" w:rsidRPr="001B4A02" w:rsidRDefault="00000000" w:rsidP="006014DF">
            <w:pPr>
              <w:pStyle w:val="gtctablespaceafter"/>
              <w:spacing w:after="0"/>
              <w:jc w:val="center"/>
              <w:rPr>
                <w:sz w:val="22"/>
                <w:szCs w:val="22"/>
                <w:lang w:val="cs-CZ"/>
              </w:rPr>
            </w:pPr>
            <w:r w:rsidRPr="001B4A02">
              <w:rPr>
                <w:sz w:val="22"/>
                <w:lang w:val="cs-CZ"/>
              </w:rPr>
              <w:t>Placebo</w:t>
            </w:r>
            <w:r w:rsidRPr="001B4A02">
              <w:rPr>
                <w:sz w:val="22"/>
                <w:lang w:val="cs-CZ"/>
              </w:rPr>
              <w:br/>
            </w:r>
            <w:r w:rsidR="006014DF">
              <w:rPr>
                <w:sz w:val="22"/>
                <w:lang w:val="cs-CZ"/>
              </w:rPr>
              <w:t>n</w:t>
            </w:r>
            <w:r w:rsidRPr="001B4A02">
              <w:rPr>
                <w:sz w:val="22"/>
                <w:lang w:val="cs-CZ"/>
              </w:rPr>
              <w:t>=108</w:t>
            </w:r>
          </w:p>
        </w:tc>
        <w:tc>
          <w:tcPr>
            <w:tcW w:w="1418" w:type="dxa"/>
            <w:shd w:val="clear" w:color="auto" w:fill="auto"/>
          </w:tcPr>
          <w:p w14:paraId="77EDAA3C" w14:textId="77777777" w:rsidR="00C33C7C" w:rsidRPr="001B4A02" w:rsidRDefault="00000000" w:rsidP="00A5191B">
            <w:pPr>
              <w:pStyle w:val="In-texttable"/>
              <w:keepNext w:val="0"/>
              <w:spacing w:line="240" w:lineRule="auto"/>
              <w:jc w:val="center"/>
              <w:rPr>
                <w:rFonts w:ascii="Times New Roman" w:hAnsi="Times New Roman"/>
                <w:sz w:val="22"/>
                <w:lang w:val="cs-CZ"/>
              </w:rPr>
            </w:pPr>
            <w:r w:rsidRPr="001B4A02">
              <w:rPr>
                <w:rFonts w:ascii="Times New Roman" w:hAnsi="Times New Roman"/>
                <w:sz w:val="22"/>
                <w:lang w:val="cs-CZ"/>
              </w:rPr>
              <w:t>Humira</w:t>
            </w:r>
          </w:p>
          <w:p w14:paraId="73A8BDD3" w14:textId="77777777" w:rsidR="00C33C7C" w:rsidRPr="001B4A02" w:rsidRDefault="00000000" w:rsidP="006014DF">
            <w:pPr>
              <w:pStyle w:val="gtctablespaceafter"/>
              <w:spacing w:after="0"/>
              <w:jc w:val="center"/>
              <w:rPr>
                <w:sz w:val="22"/>
                <w:szCs w:val="22"/>
                <w:lang w:val="cs-CZ"/>
              </w:rPr>
            </w:pPr>
            <w:r w:rsidRPr="001B4A02">
              <w:rPr>
                <w:sz w:val="22"/>
                <w:lang w:val="cs-CZ"/>
              </w:rPr>
              <w:t xml:space="preserve">40 mg každý druhý týden </w:t>
            </w:r>
            <w:r w:rsidRPr="001B4A02">
              <w:rPr>
                <w:sz w:val="22"/>
                <w:lang w:val="cs-CZ"/>
              </w:rPr>
              <w:br/>
            </w:r>
            <w:r w:rsidR="006014DF">
              <w:rPr>
                <w:sz w:val="22"/>
                <w:lang w:val="cs-CZ"/>
              </w:rPr>
              <w:t>n</w:t>
            </w:r>
            <w:r w:rsidRPr="001B4A02">
              <w:rPr>
                <w:sz w:val="22"/>
                <w:lang w:val="cs-CZ"/>
              </w:rPr>
              <w:t>=109</w:t>
            </w:r>
          </w:p>
        </w:tc>
        <w:tc>
          <w:tcPr>
            <w:tcW w:w="1559" w:type="dxa"/>
            <w:shd w:val="clear" w:color="auto" w:fill="auto"/>
          </w:tcPr>
          <w:p w14:paraId="2B873593" w14:textId="77777777" w:rsidR="00C33C7C" w:rsidRPr="001B4A02" w:rsidRDefault="00000000" w:rsidP="00A5191B">
            <w:pPr>
              <w:pStyle w:val="In-texttable"/>
              <w:keepNext w:val="0"/>
              <w:spacing w:line="240" w:lineRule="auto"/>
              <w:jc w:val="center"/>
              <w:rPr>
                <w:rFonts w:ascii="Times New Roman" w:hAnsi="Times New Roman"/>
                <w:sz w:val="22"/>
                <w:lang w:val="cs-CZ"/>
              </w:rPr>
            </w:pPr>
            <w:r w:rsidRPr="001B4A02">
              <w:rPr>
                <w:rFonts w:ascii="Times New Roman" w:hAnsi="Times New Roman"/>
                <w:sz w:val="22"/>
                <w:lang w:val="cs-CZ"/>
              </w:rPr>
              <w:t>Humira</w:t>
            </w:r>
          </w:p>
          <w:p w14:paraId="7D1F0DDC" w14:textId="77777777" w:rsidR="00C33C7C" w:rsidRPr="001B4A02" w:rsidRDefault="00000000" w:rsidP="006014DF">
            <w:pPr>
              <w:pStyle w:val="gtctablespaceafter"/>
              <w:spacing w:after="0"/>
              <w:jc w:val="center"/>
              <w:rPr>
                <w:sz w:val="22"/>
                <w:szCs w:val="22"/>
                <w:lang w:val="cs-CZ"/>
              </w:rPr>
            </w:pPr>
            <w:r w:rsidRPr="001B4A02">
              <w:rPr>
                <w:sz w:val="22"/>
                <w:lang w:val="cs-CZ"/>
              </w:rPr>
              <w:t xml:space="preserve">40 mg každý druhý týden </w:t>
            </w:r>
            <w:r w:rsidRPr="001B4A02">
              <w:rPr>
                <w:sz w:val="22"/>
                <w:lang w:val="cs-CZ"/>
              </w:rPr>
              <w:br/>
            </w:r>
            <w:r w:rsidR="006014DF">
              <w:rPr>
                <w:sz w:val="22"/>
                <w:lang w:val="cs-CZ"/>
              </w:rPr>
              <w:t>n</w:t>
            </w:r>
            <w:r w:rsidRPr="001B4A02">
              <w:rPr>
                <w:sz w:val="22"/>
                <w:lang w:val="cs-CZ"/>
              </w:rPr>
              <w:t>=80</w:t>
            </w:r>
          </w:p>
        </w:tc>
      </w:tr>
      <w:tr w:rsidR="00534A2D" w14:paraId="6086F4B7" w14:textId="77777777" w:rsidTr="003D5529">
        <w:tc>
          <w:tcPr>
            <w:tcW w:w="2943" w:type="dxa"/>
            <w:shd w:val="clear" w:color="auto" w:fill="auto"/>
          </w:tcPr>
          <w:p w14:paraId="26FFB372" w14:textId="77777777" w:rsidR="00C33C7C" w:rsidRPr="001B4A02" w:rsidRDefault="00000000" w:rsidP="00A5191B">
            <w:pPr>
              <w:pStyle w:val="gtctablespaceafter"/>
              <w:spacing w:after="0"/>
              <w:rPr>
                <w:sz w:val="22"/>
                <w:szCs w:val="22"/>
                <w:lang w:val="cs-CZ"/>
              </w:rPr>
            </w:pPr>
            <w:r w:rsidRPr="001B4A02">
              <w:rPr>
                <w:sz w:val="22"/>
                <w:lang w:val="cs-CZ"/>
              </w:rPr>
              <w:t>≥ mNAPSI 75 (%)</w:t>
            </w:r>
          </w:p>
        </w:tc>
        <w:tc>
          <w:tcPr>
            <w:tcW w:w="993" w:type="dxa"/>
            <w:shd w:val="clear" w:color="auto" w:fill="auto"/>
          </w:tcPr>
          <w:p w14:paraId="3A93DF67" w14:textId="77777777" w:rsidR="00C33C7C" w:rsidRPr="001B4A02" w:rsidRDefault="00000000" w:rsidP="00A5191B">
            <w:pPr>
              <w:pStyle w:val="gtctablespaceafter"/>
              <w:spacing w:after="0"/>
              <w:jc w:val="center"/>
              <w:rPr>
                <w:sz w:val="22"/>
                <w:szCs w:val="22"/>
                <w:lang w:val="cs-CZ"/>
              </w:rPr>
            </w:pPr>
            <w:r w:rsidRPr="001B4A02">
              <w:rPr>
                <w:sz w:val="22"/>
                <w:szCs w:val="22"/>
                <w:lang w:val="cs-CZ"/>
              </w:rPr>
              <w:t>2,9</w:t>
            </w:r>
          </w:p>
        </w:tc>
        <w:tc>
          <w:tcPr>
            <w:tcW w:w="1417" w:type="dxa"/>
            <w:shd w:val="clear" w:color="auto" w:fill="auto"/>
          </w:tcPr>
          <w:p w14:paraId="55EE34BA" w14:textId="77777777" w:rsidR="00C33C7C" w:rsidRPr="001B4A02" w:rsidRDefault="00000000" w:rsidP="00A5191B">
            <w:pPr>
              <w:pStyle w:val="gtctablespaceafter"/>
              <w:spacing w:after="0"/>
              <w:jc w:val="center"/>
              <w:rPr>
                <w:sz w:val="22"/>
                <w:szCs w:val="22"/>
                <w:lang w:val="cs-CZ"/>
              </w:rPr>
            </w:pPr>
            <w:r w:rsidRPr="001B4A02">
              <w:rPr>
                <w:sz w:val="22"/>
                <w:szCs w:val="22"/>
                <w:lang w:val="cs-CZ"/>
              </w:rPr>
              <w:t>26,0</w:t>
            </w:r>
            <w:r w:rsidRPr="001B4A02">
              <w:rPr>
                <w:sz w:val="22"/>
                <w:szCs w:val="22"/>
                <w:vertAlign w:val="superscript"/>
                <w:lang w:val="cs-CZ"/>
              </w:rPr>
              <w:t>a</w:t>
            </w:r>
          </w:p>
        </w:tc>
        <w:tc>
          <w:tcPr>
            <w:tcW w:w="992" w:type="dxa"/>
            <w:shd w:val="clear" w:color="auto" w:fill="auto"/>
          </w:tcPr>
          <w:p w14:paraId="2E69BA42" w14:textId="77777777" w:rsidR="00C33C7C" w:rsidRPr="001B4A02" w:rsidRDefault="00000000" w:rsidP="00A5191B">
            <w:pPr>
              <w:keepNext/>
              <w:jc w:val="center"/>
              <w:rPr>
                <w:szCs w:val="22"/>
              </w:rPr>
            </w:pPr>
            <w:r w:rsidRPr="001B4A02">
              <w:rPr>
                <w:szCs w:val="22"/>
              </w:rPr>
              <w:t>3,4</w:t>
            </w:r>
          </w:p>
        </w:tc>
        <w:tc>
          <w:tcPr>
            <w:tcW w:w="1418" w:type="dxa"/>
            <w:shd w:val="clear" w:color="auto" w:fill="auto"/>
          </w:tcPr>
          <w:p w14:paraId="291B4507" w14:textId="77777777" w:rsidR="00C33C7C" w:rsidRPr="001B4A02" w:rsidRDefault="00000000" w:rsidP="00A5191B">
            <w:pPr>
              <w:keepNext/>
              <w:jc w:val="center"/>
              <w:rPr>
                <w:szCs w:val="22"/>
              </w:rPr>
            </w:pPr>
            <w:r w:rsidRPr="001B4A02">
              <w:rPr>
                <w:szCs w:val="22"/>
              </w:rPr>
              <w:t>46,6</w:t>
            </w:r>
            <w:r w:rsidRPr="001B4A02">
              <w:rPr>
                <w:szCs w:val="22"/>
                <w:vertAlign w:val="superscript"/>
              </w:rPr>
              <w:t>a</w:t>
            </w:r>
          </w:p>
        </w:tc>
        <w:tc>
          <w:tcPr>
            <w:tcW w:w="1559" w:type="dxa"/>
            <w:shd w:val="clear" w:color="auto" w:fill="auto"/>
          </w:tcPr>
          <w:p w14:paraId="1633E939" w14:textId="77777777" w:rsidR="00C33C7C" w:rsidRPr="001B4A02" w:rsidRDefault="00000000" w:rsidP="00A5191B">
            <w:pPr>
              <w:pStyle w:val="gtctablespaceafter"/>
              <w:spacing w:after="0"/>
              <w:jc w:val="center"/>
              <w:rPr>
                <w:sz w:val="22"/>
                <w:szCs w:val="22"/>
                <w:lang w:val="cs-CZ"/>
              </w:rPr>
            </w:pPr>
            <w:r w:rsidRPr="001B4A02">
              <w:rPr>
                <w:sz w:val="22"/>
                <w:szCs w:val="22"/>
                <w:lang w:val="cs-CZ"/>
              </w:rPr>
              <w:t>65,0</w:t>
            </w:r>
          </w:p>
        </w:tc>
      </w:tr>
      <w:tr w:rsidR="00534A2D" w14:paraId="268901AD" w14:textId="77777777" w:rsidTr="003D5529">
        <w:tc>
          <w:tcPr>
            <w:tcW w:w="2943" w:type="dxa"/>
            <w:shd w:val="clear" w:color="auto" w:fill="auto"/>
          </w:tcPr>
          <w:p w14:paraId="3466F57C" w14:textId="77777777" w:rsidR="00C33C7C" w:rsidRPr="001B4A02" w:rsidRDefault="00000000" w:rsidP="00A5191B">
            <w:pPr>
              <w:pStyle w:val="gtctablespaceafter"/>
              <w:spacing w:after="0"/>
              <w:rPr>
                <w:sz w:val="22"/>
                <w:szCs w:val="22"/>
                <w:lang w:val="cs-CZ"/>
              </w:rPr>
            </w:pPr>
            <w:r w:rsidRPr="001B4A02">
              <w:rPr>
                <w:sz w:val="22"/>
                <w:szCs w:val="22"/>
                <w:lang w:val="cs-CZ"/>
              </w:rPr>
              <w:t>PGA-F čistý/minimální</w:t>
            </w:r>
            <w:r w:rsidR="002378E0">
              <w:rPr>
                <w:sz w:val="22"/>
                <w:szCs w:val="22"/>
                <w:lang w:val="cs-CZ"/>
              </w:rPr>
              <w:t xml:space="preserve"> a </w:t>
            </w:r>
            <w:r w:rsidRPr="001B4A02">
              <w:rPr>
                <w:sz w:val="22"/>
                <w:szCs w:val="22"/>
                <w:lang w:val="cs-CZ"/>
              </w:rPr>
              <w:t>≥</w:t>
            </w:r>
            <w:r w:rsidR="008816C0" w:rsidRPr="001B4A02">
              <w:rPr>
                <w:sz w:val="22"/>
                <w:szCs w:val="22"/>
                <w:lang w:val="cs-CZ"/>
              </w:rPr>
              <w:t> </w:t>
            </w:r>
            <w:r w:rsidRPr="001B4A02">
              <w:rPr>
                <w:sz w:val="22"/>
                <w:szCs w:val="22"/>
                <w:lang w:val="cs-CZ"/>
              </w:rPr>
              <w:t>2stupňové zlepšení (%)</w:t>
            </w:r>
          </w:p>
        </w:tc>
        <w:tc>
          <w:tcPr>
            <w:tcW w:w="993" w:type="dxa"/>
            <w:shd w:val="clear" w:color="auto" w:fill="auto"/>
          </w:tcPr>
          <w:p w14:paraId="6CE46A30" w14:textId="77777777" w:rsidR="00C33C7C" w:rsidRPr="001B4A02" w:rsidRDefault="00000000" w:rsidP="00A5191B">
            <w:pPr>
              <w:pStyle w:val="gtctablespaceafter"/>
              <w:spacing w:after="0"/>
              <w:jc w:val="center"/>
              <w:rPr>
                <w:sz w:val="22"/>
                <w:szCs w:val="22"/>
                <w:lang w:val="cs-CZ"/>
              </w:rPr>
            </w:pPr>
            <w:r w:rsidRPr="001B4A02">
              <w:rPr>
                <w:sz w:val="22"/>
                <w:szCs w:val="22"/>
                <w:lang w:val="cs-CZ"/>
              </w:rPr>
              <w:t>2,9</w:t>
            </w:r>
          </w:p>
        </w:tc>
        <w:tc>
          <w:tcPr>
            <w:tcW w:w="1417" w:type="dxa"/>
            <w:shd w:val="clear" w:color="auto" w:fill="auto"/>
          </w:tcPr>
          <w:p w14:paraId="11CAB2F8" w14:textId="77777777" w:rsidR="00C33C7C" w:rsidRPr="001B4A02" w:rsidRDefault="00000000" w:rsidP="00A5191B">
            <w:pPr>
              <w:pStyle w:val="gtctablespaceafter"/>
              <w:spacing w:after="0"/>
              <w:jc w:val="center"/>
              <w:rPr>
                <w:sz w:val="22"/>
                <w:szCs w:val="22"/>
                <w:lang w:val="cs-CZ"/>
              </w:rPr>
            </w:pPr>
            <w:r w:rsidRPr="001B4A02">
              <w:rPr>
                <w:sz w:val="22"/>
                <w:szCs w:val="22"/>
                <w:lang w:val="cs-CZ"/>
              </w:rPr>
              <w:t>29,7</w:t>
            </w:r>
            <w:r w:rsidRPr="001B4A02">
              <w:rPr>
                <w:sz w:val="22"/>
                <w:szCs w:val="22"/>
                <w:vertAlign w:val="superscript"/>
                <w:lang w:val="cs-CZ"/>
              </w:rPr>
              <w:t>a</w:t>
            </w:r>
          </w:p>
        </w:tc>
        <w:tc>
          <w:tcPr>
            <w:tcW w:w="992" w:type="dxa"/>
            <w:shd w:val="clear" w:color="auto" w:fill="auto"/>
          </w:tcPr>
          <w:p w14:paraId="28408D91" w14:textId="77777777" w:rsidR="00C33C7C" w:rsidRPr="001B4A02" w:rsidRDefault="00000000" w:rsidP="00A5191B">
            <w:pPr>
              <w:keepNext/>
              <w:jc w:val="center"/>
              <w:rPr>
                <w:szCs w:val="22"/>
              </w:rPr>
            </w:pPr>
            <w:r w:rsidRPr="001B4A02">
              <w:rPr>
                <w:szCs w:val="22"/>
              </w:rPr>
              <w:t>6,9</w:t>
            </w:r>
          </w:p>
        </w:tc>
        <w:tc>
          <w:tcPr>
            <w:tcW w:w="1418" w:type="dxa"/>
            <w:shd w:val="clear" w:color="auto" w:fill="auto"/>
          </w:tcPr>
          <w:p w14:paraId="4F83B35D" w14:textId="77777777" w:rsidR="00C33C7C" w:rsidRPr="001B4A02" w:rsidRDefault="00000000" w:rsidP="00A5191B">
            <w:pPr>
              <w:keepNext/>
              <w:jc w:val="center"/>
              <w:rPr>
                <w:szCs w:val="22"/>
              </w:rPr>
            </w:pPr>
            <w:r w:rsidRPr="001B4A02">
              <w:rPr>
                <w:szCs w:val="22"/>
              </w:rPr>
              <w:t>48,9</w:t>
            </w:r>
            <w:r w:rsidRPr="001B4A02">
              <w:rPr>
                <w:szCs w:val="22"/>
                <w:vertAlign w:val="superscript"/>
              </w:rPr>
              <w:t>a</w:t>
            </w:r>
          </w:p>
        </w:tc>
        <w:tc>
          <w:tcPr>
            <w:tcW w:w="1559" w:type="dxa"/>
            <w:shd w:val="clear" w:color="auto" w:fill="auto"/>
          </w:tcPr>
          <w:p w14:paraId="0A84DFC3" w14:textId="77777777" w:rsidR="00C33C7C" w:rsidRPr="001B4A02" w:rsidRDefault="00000000" w:rsidP="00A5191B">
            <w:pPr>
              <w:pStyle w:val="gtctablespaceafter"/>
              <w:spacing w:after="0"/>
              <w:jc w:val="center"/>
              <w:rPr>
                <w:sz w:val="22"/>
                <w:szCs w:val="22"/>
                <w:lang w:val="cs-CZ"/>
              </w:rPr>
            </w:pPr>
            <w:r w:rsidRPr="001B4A02">
              <w:rPr>
                <w:sz w:val="22"/>
                <w:szCs w:val="22"/>
                <w:lang w:val="cs-CZ"/>
              </w:rPr>
              <w:t>61,3</w:t>
            </w:r>
          </w:p>
        </w:tc>
      </w:tr>
      <w:tr w:rsidR="00534A2D" w14:paraId="49C7FAF3" w14:textId="77777777" w:rsidTr="003D5529">
        <w:tc>
          <w:tcPr>
            <w:tcW w:w="2943" w:type="dxa"/>
            <w:shd w:val="clear" w:color="auto" w:fill="auto"/>
          </w:tcPr>
          <w:p w14:paraId="71120869" w14:textId="77777777" w:rsidR="00C33C7C" w:rsidRPr="001B4A02" w:rsidRDefault="00000000" w:rsidP="00A5191B">
            <w:pPr>
              <w:pStyle w:val="gtctablespaceafter"/>
              <w:spacing w:after="0"/>
              <w:rPr>
                <w:sz w:val="22"/>
                <w:szCs w:val="22"/>
                <w:lang w:val="cs-CZ"/>
              </w:rPr>
            </w:pPr>
            <w:r w:rsidRPr="001B4A02">
              <w:rPr>
                <w:sz w:val="22"/>
                <w:szCs w:val="22"/>
                <w:lang w:val="cs-CZ"/>
              </w:rPr>
              <w:t>Procentuální změna v</w:t>
            </w:r>
            <w:r w:rsidR="003D5529" w:rsidRPr="001B4A02">
              <w:rPr>
                <w:sz w:val="22"/>
                <w:szCs w:val="22"/>
                <w:lang w:val="cs-CZ"/>
              </w:rPr>
              <w:t> </w:t>
            </w:r>
            <w:r w:rsidRPr="001B4A02">
              <w:rPr>
                <w:sz w:val="22"/>
                <w:szCs w:val="22"/>
                <w:lang w:val="cs-CZ"/>
              </w:rPr>
              <w:t>celkovém NAPSI nehtů (%)</w:t>
            </w:r>
          </w:p>
        </w:tc>
        <w:tc>
          <w:tcPr>
            <w:tcW w:w="993" w:type="dxa"/>
            <w:shd w:val="clear" w:color="auto" w:fill="auto"/>
          </w:tcPr>
          <w:p w14:paraId="5BD997AF" w14:textId="77777777" w:rsidR="00C33C7C" w:rsidRPr="001B4A02" w:rsidRDefault="00000000" w:rsidP="00A5191B">
            <w:pPr>
              <w:pStyle w:val="gtctablespaceafter"/>
              <w:spacing w:after="0"/>
              <w:jc w:val="center"/>
              <w:rPr>
                <w:sz w:val="22"/>
                <w:szCs w:val="22"/>
                <w:lang w:val="cs-CZ"/>
              </w:rPr>
            </w:pPr>
            <w:r w:rsidRPr="001B4A02">
              <w:rPr>
                <w:sz w:val="22"/>
                <w:szCs w:val="22"/>
                <w:lang w:val="cs-CZ"/>
              </w:rPr>
              <w:t>-7,8</w:t>
            </w:r>
          </w:p>
        </w:tc>
        <w:tc>
          <w:tcPr>
            <w:tcW w:w="1417" w:type="dxa"/>
            <w:shd w:val="clear" w:color="auto" w:fill="auto"/>
          </w:tcPr>
          <w:p w14:paraId="459CF203" w14:textId="77777777" w:rsidR="00C33C7C" w:rsidRPr="001B4A02" w:rsidRDefault="00000000" w:rsidP="00A5191B">
            <w:pPr>
              <w:pStyle w:val="gtctablespaceafter"/>
              <w:spacing w:after="0"/>
              <w:jc w:val="center"/>
              <w:rPr>
                <w:sz w:val="22"/>
                <w:szCs w:val="22"/>
                <w:lang w:val="cs-CZ"/>
              </w:rPr>
            </w:pPr>
            <w:r w:rsidRPr="001B4A02">
              <w:rPr>
                <w:sz w:val="22"/>
                <w:szCs w:val="22"/>
                <w:lang w:val="cs-CZ"/>
              </w:rPr>
              <w:t>-44,2</w:t>
            </w:r>
            <w:r w:rsidRPr="001B4A02">
              <w:rPr>
                <w:sz w:val="22"/>
                <w:szCs w:val="22"/>
                <w:vertAlign w:val="superscript"/>
                <w:lang w:val="cs-CZ"/>
              </w:rPr>
              <w:t xml:space="preserve"> a</w:t>
            </w:r>
          </w:p>
        </w:tc>
        <w:tc>
          <w:tcPr>
            <w:tcW w:w="992" w:type="dxa"/>
            <w:shd w:val="clear" w:color="auto" w:fill="auto"/>
          </w:tcPr>
          <w:p w14:paraId="30FD23F9" w14:textId="77777777" w:rsidR="00C33C7C" w:rsidRPr="001B4A02" w:rsidRDefault="00000000" w:rsidP="00A5191B">
            <w:pPr>
              <w:keepNext/>
              <w:jc w:val="center"/>
              <w:rPr>
                <w:szCs w:val="22"/>
              </w:rPr>
            </w:pPr>
            <w:r w:rsidRPr="001B4A02">
              <w:rPr>
                <w:szCs w:val="22"/>
              </w:rPr>
              <w:t>-11,5</w:t>
            </w:r>
          </w:p>
        </w:tc>
        <w:tc>
          <w:tcPr>
            <w:tcW w:w="1418" w:type="dxa"/>
            <w:shd w:val="clear" w:color="auto" w:fill="auto"/>
          </w:tcPr>
          <w:p w14:paraId="7A59DAD9" w14:textId="77777777" w:rsidR="00C33C7C" w:rsidRPr="001B4A02" w:rsidRDefault="00000000" w:rsidP="00A5191B">
            <w:pPr>
              <w:keepNext/>
              <w:jc w:val="center"/>
              <w:rPr>
                <w:szCs w:val="22"/>
              </w:rPr>
            </w:pPr>
            <w:r w:rsidRPr="001B4A02">
              <w:rPr>
                <w:szCs w:val="22"/>
              </w:rPr>
              <w:t>-56,2</w:t>
            </w:r>
            <w:r w:rsidRPr="001B4A02">
              <w:rPr>
                <w:szCs w:val="22"/>
                <w:vertAlign w:val="superscript"/>
              </w:rPr>
              <w:t>a</w:t>
            </w:r>
          </w:p>
        </w:tc>
        <w:tc>
          <w:tcPr>
            <w:tcW w:w="1559" w:type="dxa"/>
            <w:shd w:val="clear" w:color="auto" w:fill="auto"/>
          </w:tcPr>
          <w:p w14:paraId="642DBD67" w14:textId="77777777" w:rsidR="00C33C7C" w:rsidRPr="001B4A02" w:rsidRDefault="00000000" w:rsidP="00A5191B">
            <w:pPr>
              <w:pStyle w:val="gtctablespaceafter"/>
              <w:spacing w:after="0"/>
              <w:jc w:val="center"/>
              <w:rPr>
                <w:sz w:val="22"/>
                <w:szCs w:val="22"/>
                <w:lang w:val="cs-CZ"/>
              </w:rPr>
            </w:pPr>
            <w:r w:rsidRPr="001B4A02">
              <w:rPr>
                <w:sz w:val="22"/>
                <w:szCs w:val="22"/>
                <w:lang w:val="cs-CZ"/>
              </w:rPr>
              <w:t>-72,2</w:t>
            </w:r>
          </w:p>
        </w:tc>
      </w:tr>
      <w:tr w:rsidR="00534A2D" w14:paraId="62D27802" w14:textId="77777777" w:rsidTr="00A5191B">
        <w:tc>
          <w:tcPr>
            <w:tcW w:w="9322" w:type="dxa"/>
            <w:gridSpan w:val="6"/>
            <w:shd w:val="clear" w:color="auto" w:fill="auto"/>
          </w:tcPr>
          <w:p w14:paraId="17F310A6" w14:textId="77777777" w:rsidR="00C33C7C" w:rsidRPr="001B4A02" w:rsidRDefault="00000000" w:rsidP="00A5191B">
            <w:pPr>
              <w:pStyle w:val="gtctablespaceafter"/>
              <w:spacing w:after="0"/>
              <w:rPr>
                <w:sz w:val="22"/>
                <w:szCs w:val="22"/>
                <w:lang w:val="cs-CZ"/>
              </w:rPr>
            </w:pPr>
            <w:r w:rsidRPr="001B4A02">
              <w:rPr>
                <w:sz w:val="22"/>
                <w:szCs w:val="22"/>
                <w:vertAlign w:val="superscript"/>
                <w:lang w:val="cs-CZ"/>
              </w:rPr>
              <w:t>a</w:t>
            </w:r>
            <w:r w:rsidRPr="001B4A02">
              <w:rPr>
                <w:sz w:val="22"/>
                <w:szCs w:val="22"/>
                <w:lang w:val="cs-CZ"/>
              </w:rPr>
              <w:t xml:space="preserve"> p&lt;0,001, </w:t>
            </w:r>
            <w:r w:rsidR="004C58C9" w:rsidRPr="001B4A02">
              <w:rPr>
                <w:sz w:val="22"/>
                <w:szCs w:val="22"/>
                <w:lang w:val="cs-CZ"/>
              </w:rPr>
              <w:t>p</w:t>
            </w:r>
            <w:r w:rsidRPr="001B4A02">
              <w:rPr>
                <w:sz w:val="22"/>
                <w:szCs w:val="22"/>
                <w:lang w:val="cs-CZ"/>
              </w:rPr>
              <w:t>řípravek</w:t>
            </w:r>
            <w:r w:rsidRPr="001B4A02">
              <w:rPr>
                <w:sz w:val="20"/>
                <w:lang w:val="cs-CZ"/>
              </w:rPr>
              <w:t xml:space="preserve"> </w:t>
            </w:r>
            <w:r w:rsidRPr="001B4A02">
              <w:rPr>
                <w:sz w:val="22"/>
                <w:szCs w:val="22"/>
                <w:lang w:val="cs-CZ"/>
              </w:rPr>
              <w:t xml:space="preserve">Humira vs. placebo </w:t>
            </w:r>
          </w:p>
        </w:tc>
      </w:tr>
    </w:tbl>
    <w:p w14:paraId="3F52DE69" w14:textId="77777777" w:rsidR="00C33C7C" w:rsidRPr="001B4A02" w:rsidRDefault="00C33C7C" w:rsidP="00C33C7C"/>
    <w:p w14:paraId="692B3B62" w14:textId="77777777" w:rsidR="00C33C7C" w:rsidRPr="001B4A02" w:rsidRDefault="00000000" w:rsidP="00C33C7C">
      <w:pPr>
        <w:ind w:left="0" w:firstLine="0"/>
      </w:pPr>
      <w:r w:rsidRPr="001B4A02">
        <w:t>U pacientů léčených přípravkem Humira bylo prokázáno statisticky významné zlepšení v</w:t>
      </w:r>
      <w:r w:rsidR="00910336" w:rsidRPr="001B4A02">
        <w:t> </w:t>
      </w:r>
      <w:r w:rsidRPr="001B4A02">
        <w:t>týdnu 26 ve srovnání s</w:t>
      </w:r>
      <w:r w:rsidR="00910336" w:rsidRPr="001B4A02">
        <w:t> </w:t>
      </w:r>
      <w:r w:rsidRPr="001B4A02">
        <w:t>placebem v DLQI.</w:t>
      </w:r>
    </w:p>
    <w:p w14:paraId="3A920541" w14:textId="77777777" w:rsidR="00C33C7C" w:rsidRPr="001B4A02" w:rsidRDefault="00C33C7C" w:rsidP="00F24C86">
      <w:pPr>
        <w:pStyle w:val="EMEANormal"/>
        <w:tabs>
          <w:tab w:val="clear" w:pos="562"/>
        </w:tabs>
        <w:suppressAutoHyphens w:val="0"/>
        <w:rPr>
          <w:lang w:val="cs-CZ"/>
        </w:rPr>
      </w:pPr>
    </w:p>
    <w:p w14:paraId="0EE0629C" w14:textId="77777777" w:rsidR="00C33C7C" w:rsidRPr="001B4A02" w:rsidRDefault="00000000" w:rsidP="00C33C7C">
      <w:pPr>
        <w:keepNext/>
        <w:ind w:left="0" w:firstLine="0"/>
        <w:rPr>
          <w:i/>
        </w:rPr>
      </w:pPr>
      <w:r w:rsidRPr="001B4A02">
        <w:rPr>
          <w:i/>
        </w:rPr>
        <w:t>Crohnova choroba u dospělých pacientů</w:t>
      </w:r>
    </w:p>
    <w:p w14:paraId="5133C5E6" w14:textId="77777777" w:rsidR="00C33C7C" w:rsidRPr="001B4A02" w:rsidRDefault="00C33C7C" w:rsidP="00C33C7C">
      <w:pPr>
        <w:keepNext/>
        <w:ind w:left="0" w:firstLine="0"/>
      </w:pPr>
    </w:p>
    <w:p w14:paraId="4A3BF07B" w14:textId="77777777" w:rsidR="00C33C7C" w:rsidRPr="001B4A02" w:rsidRDefault="00000000" w:rsidP="00C465CA">
      <w:pPr>
        <w:pStyle w:val="EMEANormal"/>
        <w:tabs>
          <w:tab w:val="clear" w:pos="562"/>
        </w:tabs>
        <w:suppressAutoHyphens w:val="0"/>
        <w:rPr>
          <w:lang w:val="cs-CZ"/>
        </w:rPr>
      </w:pPr>
      <w:r w:rsidRPr="001B4A02">
        <w:rPr>
          <w:lang w:val="cs-CZ"/>
        </w:rPr>
        <w:t>Bezpečnost</w:t>
      </w:r>
      <w:r w:rsidR="002378E0">
        <w:rPr>
          <w:lang w:val="cs-CZ"/>
        </w:rPr>
        <w:t xml:space="preserve"> a </w:t>
      </w:r>
      <w:r w:rsidRPr="001B4A02">
        <w:rPr>
          <w:lang w:val="cs-CZ"/>
        </w:rPr>
        <w:t>účinnost přípravku Humira byla ověřena u více než 1</w:t>
      </w:r>
      <w:r w:rsidR="00272620" w:rsidRPr="001B4A02">
        <w:rPr>
          <w:lang w:val="cs-CZ"/>
        </w:rPr>
        <w:t> </w:t>
      </w:r>
      <w:r w:rsidRPr="001B4A02">
        <w:rPr>
          <w:lang w:val="cs-CZ"/>
        </w:rPr>
        <w:t xml:space="preserve">500 pacientů se středně těžkou až těžkou aktivní Crohnovou chorobou (index aktivity Crohnovy choroby (CDAI) </w:t>
      </w:r>
      <w:r w:rsidR="008E5C77" w:rsidRPr="001B4A02">
        <w:rPr>
          <w:rFonts w:ascii="Symbol" w:hAnsi="Symbol"/>
          <w:lang w:val="cs-CZ"/>
        </w:rPr>
        <w:sym w:font="Symbol" w:char="F0B3"/>
      </w:r>
      <w:r w:rsidRPr="001B4A02">
        <w:rPr>
          <w:lang w:val="cs-CZ"/>
        </w:rPr>
        <w:t> 220</w:t>
      </w:r>
      <w:r w:rsidR="002378E0">
        <w:rPr>
          <w:lang w:val="cs-CZ"/>
        </w:rPr>
        <w:t xml:space="preserve"> a </w:t>
      </w:r>
      <w:r w:rsidRPr="001B4A02">
        <w:rPr>
          <w:rFonts w:ascii="Symbol" w:hAnsi="Symbol"/>
          <w:lang w:val="cs-CZ"/>
        </w:rPr>
        <w:sym w:font="Symbol" w:char="F0A3"/>
      </w:r>
      <w:r w:rsidRPr="001B4A02">
        <w:rPr>
          <w:lang w:val="cs-CZ"/>
        </w:rPr>
        <w:t> 450) v randomizovaných, dvojitě zaslepených, placebem kontrolovaných studiích. Bylo povoleno současné podávání konstantních dávek aminosylicylátů, kortikosteroidů a/nebo imunomodulačních léků, přičemž 80</w:t>
      </w:r>
      <w:r w:rsidR="006008CB">
        <w:rPr>
          <w:lang w:val="cs-CZ"/>
        </w:rPr>
        <w:t> %</w:t>
      </w:r>
      <w:r w:rsidRPr="001B4A02">
        <w:rPr>
          <w:lang w:val="cs-CZ"/>
        </w:rPr>
        <w:t xml:space="preserve"> pacientů pokračovalo v užívání nejméně jednoho z těchto léků.</w:t>
      </w:r>
    </w:p>
    <w:p w14:paraId="7885760C" w14:textId="77777777" w:rsidR="00C33C7C" w:rsidRPr="001B4A02" w:rsidRDefault="00C33C7C" w:rsidP="00C33C7C">
      <w:pPr>
        <w:ind w:left="0" w:firstLine="0"/>
      </w:pPr>
    </w:p>
    <w:p w14:paraId="330EA29F" w14:textId="77777777" w:rsidR="00C33C7C" w:rsidRPr="001B4A02" w:rsidRDefault="00000000" w:rsidP="00C33C7C">
      <w:pPr>
        <w:ind w:left="0" w:firstLine="0"/>
      </w:pPr>
      <w:r w:rsidRPr="001B4A02">
        <w:t xml:space="preserve">Indukce klinické remise (definovaná jako CDAI </w:t>
      </w:r>
      <w:r w:rsidRPr="001B4A02">
        <w:rPr>
          <w:rFonts w:ascii="Symbol" w:hAnsi="Symbol"/>
        </w:rPr>
        <w:sym w:font="Symbol" w:char="F03C"/>
      </w:r>
      <w:r w:rsidRPr="001B4A02">
        <w:t> 150) byla hodnocena ve dvou studiích, studii CD I (CLASSIC I)</w:t>
      </w:r>
      <w:r w:rsidR="002378E0">
        <w:t xml:space="preserve"> a </w:t>
      </w:r>
      <w:r w:rsidRPr="001B4A02">
        <w:t>studii CD II (GAIN). Ve studii CD I bylo 299 pacientů dosud neléčených TNF-antagonisty randomizováno do jedné ze čtyř terapeutických s</w:t>
      </w:r>
      <w:r w:rsidR="007978AF">
        <w:t>k</w:t>
      </w:r>
      <w:r w:rsidRPr="001B4A02">
        <w:t>upin; pacienti užívající placebo v týdnech 0</w:t>
      </w:r>
      <w:r w:rsidR="002378E0">
        <w:t xml:space="preserve"> a </w:t>
      </w:r>
      <w:r w:rsidRPr="001B4A02">
        <w:t>2, používající přípravek Humira v dávce 160 mg v týdnu 0</w:t>
      </w:r>
      <w:r w:rsidR="002378E0">
        <w:t xml:space="preserve"> a </w:t>
      </w:r>
      <w:r w:rsidRPr="001B4A02">
        <w:t>80 mg v týdnu 2, nebo 80 mg v</w:t>
      </w:r>
      <w:r w:rsidR="003D5529" w:rsidRPr="001B4A02">
        <w:t> </w:t>
      </w:r>
      <w:r w:rsidRPr="001B4A02">
        <w:t>týdnu 0</w:t>
      </w:r>
      <w:r w:rsidR="002378E0">
        <w:t xml:space="preserve"> a </w:t>
      </w:r>
      <w:r w:rsidRPr="001B4A02">
        <w:t>40 mg v týdnu 2, případně 40 mg v týdnu 0</w:t>
      </w:r>
      <w:r w:rsidR="002378E0">
        <w:t xml:space="preserve"> a </w:t>
      </w:r>
      <w:r w:rsidRPr="001B4A02">
        <w:t>20 mg týdnu 2. Ve studii CD II bylo 325 pacientů, u kterých došlo ke ztrátě odpovědi či k rozvoji intolerance na infliximab, randomizováno do skupin, kdy používali buď přípravek Humira v dávce 160 mg v týdnu 0</w:t>
      </w:r>
      <w:r w:rsidR="002378E0">
        <w:t xml:space="preserve"> a </w:t>
      </w:r>
      <w:r w:rsidRPr="001B4A02">
        <w:t>80 mg v týdnu 2, nebo placebo v týdnech 0</w:t>
      </w:r>
      <w:r w:rsidR="002378E0">
        <w:t xml:space="preserve"> a </w:t>
      </w:r>
      <w:r w:rsidRPr="001B4A02">
        <w:t>2. Primárně na léčbu neodpovídající pacienti byli ze studií vyřazení,</w:t>
      </w:r>
      <w:r w:rsidR="002378E0">
        <w:t xml:space="preserve"> a </w:t>
      </w:r>
      <w:r w:rsidRPr="001B4A02">
        <w:t>proto nebyli dále hodnoceni.</w:t>
      </w:r>
    </w:p>
    <w:p w14:paraId="538175C4" w14:textId="77777777" w:rsidR="00C33C7C" w:rsidRPr="001B4A02" w:rsidRDefault="00C33C7C" w:rsidP="00C33C7C">
      <w:pPr>
        <w:ind w:left="0" w:firstLine="0"/>
      </w:pPr>
    </w:p>
    <w:p w14:paraId="288FCF66" w14:textId="77777777" w:rsidR="00C33C7C" w:rsidRPr="001B4A02" w:rsidRDefault="00000000" w:rsidP="00C33C7C">
      <w:pPr>
        <w:ind w:left="0" w:firstLine="0"/>
      </w:pPr>
      <w:r w:rsidRPr="001B4A02">
        <w:t>Přetrvávání klinické remise bylo hodnoceno ve studii CD III (CHARM). V nezaslepené fázi studie CD III používalo 854 pacientů dávku 80 mg v týdnu 0</w:t>
      </w:r>
      <w:r w:rsidR="002378E0">
        <w:t xml:space="preserve"> a </w:t>
      </w:r>
      <w:r w:rsidRPr="001B4A02">
        <w:t xml:space="preserve">40 mg v týdnu 2. V týdnu 4 byli pacienti randomizováni do skupin, kdy používali buď 40 mg každý druhý týden, 40 mg každý týden nebo placebo při celkové délce trvání studie 56 týdnů. Pacienti s klinickou odpovědí na léčbu v týdnu 4 (pokles CDAI </w:t>
      </w:r>
      <w:r w:rsidR="008E5C77" w:rsidRPr="001B4A02">
        <w:rPr>
          <w:rFonts w:ascii="Symbol" w:hAnsi="Symbol"/>
        </w:rPr>
        <w:sym w:font="Symbol" w:char="F0B3"/>
      </w:r>
      <w:r w:rsidRPr="001B4A02">
        <w:t> 70) byli stratifikováni</w:t>
      </w:r>
      <w:r w:rsidR="002378E0">
        <w:t xml:space="preserve"> a </w:t>
      </w:r>
      <w:r w:rsidRPr="001B4A02">
        <w:t>hodnoceni odděleně od těch, kteří v týdnu 4 klinické odpovědi nedosáhli. Snižování dávek kortikosteroidů bylo povoleno po týdnu 8.</w:t>
      </w:r>
    </w:p>
    <w:p w14:paraId="301444D0" w14:textId="77777777" w:rsidR="00C33C7C" w:rsidRPr="001B4A02" w:rsidRDefault="00C33C7C" w:rsidP="00C33C7C">
      <w:pPr>
        <w:ind w:left="0" w:firstLine="0"/>
      </w:pPr>
    </w:p>
    <w:p w14:paraId="14A0A15A" w14:textId="77777777" w:rsidR="00C33C7C" w:rsidRPr="001B4A02" w:rsidRDefault="00000000" w:rsidP="00C33C7C">
      <w:pPr>
        <w:ind w:left="0" w:firstLine="0"/>
      </w:pPr>
      <w:r w:rsidRPr="001B4A02">
        <w:t>Indukce remise</w:t>
      </w:r>
      <w:r w:rsidR="002378E0">
        <w:t xml:space="preserve"> a </w:t>
      </w:r>
      <w:r w:rsidRPr="001B4A02">
        <w:t>četnost odpovědí ve studiích CD I</w:t>
      </w:r>
      <w:r w:rsidR="002378E0">
        <w:t xml:space="preserve"> a </w:t>
      </w:r>
      <w:r w:rsidRPr="001B4A02">
        <w:t xml:space="preserve">CD II uvádí tabulka </w:t>
      </w:r>
      <w:r w:rsidR="00BF09F2">
        <w:t>14</w:t>
      </w:r>
      <w:r w:rsidRPr="001B4A02">
        <w:t>.</w:t>
      </w:r>
    </w:p>
    <w:p w14:paraId="715ABF9A" w14:textId="77777777" w:rsidR="00C33C7C" w:rsidRPr="001B4A02" w:rsidRDefault="00C33C7C" w:rsidP="00C33C7C">
      <w:pPr>
        <w:ind w:left="0" w:firstLine="0"/>
      </w:pPr>
    </w:p>
    <w:p w14:paraId="417562D8" w14:textId="77777777" w:rsidR="00C33C7C" w:rsidRPr="001B4A02" w:rsidRDefault="00000000" w:rsidP="00C465CA">
      <w:pPr>
        <w:keepNext/>
        <w:ind w:left="0" w:firstLine="0"/>
        <w:jc w:val="center"/>
        <w:rPr>
          <w:b/>
          <w:bCs/>
        </w:rPr>
      </w:pPr>
      <w:r w:rsidRPr="001B4A02">
        <w:rPr>
          <w:b/>
          <w:bCs/>
        </w:rPr>
        <w:t xml:space="preserve">Tabulka </w:t>
      </w:r>
      <w:r w:rsidR="00BF09F2">
        <w:rPr>
          <w:b/>
          <w:bCs/>
        </w:rPr>
        <w:t>14</w:t>
      </w:r>
    </w:p>
    <w:p w14:paraId="4F5DC186" w14:textId="77777777" w:rsidR="00C33C7C" w:rsidRPr="001B4A02" w:rsidRDefault="00000000" w:rsidP="00C465CA">
      <w:pPr>
        <w:keepNext/>
        <w:ind w:left="0" w:firstLine="0"/>
        <w:jc w:val="center"/>
        <w:rPr>
          <w:b/>
          <w:bCs/>
        </w:rPr>
      </w:pPr>
      <w:r w:rsidRPr="001B4A02">
        <w:rPr>
          <w:b/>
          <w:bCs/>
        </w:rPr>
        <w:t>Indukce klinické remise</w:t>
      </w:r>
      <w:r w:rsidR="002378E0">
        <w:rPr>
          <w:b/>
          <w:bCs/>
        </w:rPr>
        <w:t xml:space="preserve"> a </w:t>
      </w:r>
      <w:r w:rsidRPr="001B4A02">
        <w:rPr>
          <w:b/>
          <w:bCs/>
        </w:rPr>
        <w:t>odpověd</w:t>
      </w:r>
      <w:r w:rsidR="007C6213">
        <w:rPr>
          <w:b/>
          <w:bCs/>
        </w:rPr>
        <w:t>i</w:t>
      </w:r>
    </w:p>
    <w:p w14:paraId="5AD60F57" w14:textId="77777777" w:rsidR="00C33C7C" w:rsidRPr="001B4A02" w:rsidRDefault="00000000" w:rsidP="00C465CA">
      <w:pPr>
        <w:keepNext/>
        <w:ind w:left="0" w:firstLine="0"/>
        <w:jc w:val="center"/>
      </w:pPr>
      <w:r w:rsidRPr="001B4A02">
        <w:rPr>
          <w:b/>
          <w:bCs/>
        </w:rPr>
        <w:t>(Procento pacientů)</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71"/>
        <w:gridCol w:w="1299"/>
        <w:gridCol w:w="1535"/>
        <w:gridCol w:w="1535"/>
        <w:gridCol w:w="1535"/>
        <w:gridCol w:w="1536"/>
      </w:tblGrid>
      <w:tr w:rsidR="00534A2D" w14:paraId="64E12119" w14:textId="77777777" w:rsidTr="00A5191B">
        <w:tc>
          <w:tcPr>
            <w:tcW w:w="1771" w:type="dxa"/>
            <w:tcBorders>
              <w:top w:val="single" w:sz="4" w:space="0" w:color="auto"/>
              <w:left w:val="single" w:sz="4" w:space="0" w:color="auto"/>
              <w:bottom w:val="single" w:sz="4" w:space="0" w:color="auto"/>
              <w:right w:val="single" w:sz="4" w:space="0" w:color="auto"/>
            </w:tcBorders>
          </w:tcPr>
          <w:p w14:paraId="61175864" w14:textId="77777777" w:rsidR="00C33C7C" w:rsidRPr="001B4A02" w:rsidRDefault="00C33C7C" w:rsidP="00A5191B">
            <w:pPr>
              <w:ind w:left="0" w:firstLine="0"/>
              <w:jc w:val="center"/>
            </w:pPr>
          </w:p>
        </w:tc>
        <w:tc>
          <w:tcPr>
            <w:tcW w:w="4369" w:type="dxa"/>
            <w:gridSpan w:val="3"/>
            <w:tcBorders>
              <w:top w:val="single" w:sz="4" w:space="0" w:color="auto"/>
              <w:left w:val="single" w:sz="4" w:space="0" w:color="auto"/>
              <w:bottom w:val="single" w:sz="4" w:space="0" w:color="auto"/>
              <w:right w:val="single" w:sz="4" w:space="0" w:color="auto"/>
            </w:tcBorders>
          </w:tcPr>
          <w:p w14:paraId="57A6E1B9" w14:textId="77777777" w:rsidR="00C33C7C" w:rsidRPr="001B4A02" w:rsidRDefault="00000000" w:rsidP="00A5191B">
            <w:pPr>
              <w:pStyle w:val="EMEANormal"/>
              <w:tabs>
                <w:tab w:val="clear" w:pos="562"/>
                <w:tab w:val="left" w:pos="708"/>
              </w:tabs>
              <w:suppressAutoHyphens w:val="0"/>
              <w:jc w:val="center"/>
              <w:rPr>
                <w:b/>
                <w:bCs/>
                <w:lang w:val="cs-CZ"/>
              </w:rPr>
            </w:pPr>
            <w:r w:rsidRPr="001B4A02">
              <w:rPr>
                <w:b/>
                <w:bCs/>
                <w:lang w:val="cs-CZ"/>
              </w:rPr>
              <w:t>Studie CD I: Pacienti dosud neléčení infliximabem</w:t>
            </w:r>
          </w:p>
        </w:tc>
        <w:tc>
          <w:tcPr>
            <w:tcW w:w="3071" w:type="dxa"/>
            <w:gridSpan w:val="2"/>
            <w:tcBorders>
              <w:top w:val="single" w:sz="4" w:space="0" w:color="auto"/>
              <w:left w:val="single" w:sz="4" w:space="0" w:color="auto"/>
              <w:bottom w:val="single" w:sz="4" w:space="0" w:color="auto"/>
              <w:right w:val="single" w:sz="4" w:space="0" w:color="auto"/>
            </w:tcBorders>
          </w:tcPr>
          <w:p w14:paraId="382E578A" w14:textId="77777777" w:rsidR="00C33C7C" w:rsidRPr="001B4A02" w:rsidRDefault="00000000" w:rsidP="00A5191B">
            <w:pPr>
              <w:ind w:left="0" w:firstLine="0"/>
              <w:jc w:val="center"/>
              <w:rPr>
                <w:b/>
                <w:bCs/>
              </w:rPr>
            </w:pPr>
            <w:r w:rsidRPr="001B4A02">
              <w:rPr>
                <w:b/>
                <w:bCs/>
              </w:rPr>
              <w:t>Studie CD: Pacienti dříve léčení infliximabem</w:t>
            </w:r>
          </w:p>
        </w:tc>
      </w:tr>
      <w:tr w:rsidR="00534A2D" w14:paraId="246FAE3C" w14:textId="77777777" w:rsidTr="00A5191B">
        <w:tc>
          <w:tcPr>
            <w:tcW w:w="1771" w:type="dxa"/>
            <w:tcBorders>
              <w:top w:val="single" w:sz="4" w:space="0" w:color="auto"/>
              <w:left w:val="single" w:sz="4" w:space="0" w:color="auto"/>
              <w:bottom w:val="single" w:sz="4" w:space="0" w:color="auto"/>
              <w:right w:val="single" w:sz="4" w:space="0" w:color="auto"/>
            </w:tcBorders>
          </w:tcPr>
          <w:p w14:paraId="2BBF9F5D" w14:textId="77777777" w:rsidR="00C33C7C" w:rsidRPr="001B4A02" w:rsidRDefault="00C33C7C" w:rsidP="00A5191B">
            <w:pPr>
              <w:ind w:left="0" w:firstLine="0"/>
              <w:jc w:val="center"/>
            </w:pPr>
          </w:p>
        </w:tc>
        <w:tc>
          <w:tcPr>
            <w:tcW w:w="1299" w:type="dxa"/>
            <w:tcBorders>
              <w:top w:val="single" w:sz="4" w:space="0" w:color="auto"/>
              <w:left w:val="single" w:sz="4" w:space="0" w:color="auto"/>
              <w:bottom w:val="single" w:sz="4" w:space="0" w:color="auto"/>
              <w:right w:val="single" w:sz="4" w:space="0" w:color="auto"/>
            </w:tcBorders>
          </w:tcPr>
          <w:p w14:paraId="7151801C" w14:textId="77777777" w:rsidR="00C33C7C" w:rsidRPr="001B4A02" w:rsidRDefault="00000000" w:rsidP="00A5191B">
            <w:pPr>
              <w:ind w:left="0" w:firstLine="0"/>
              <w:jc w:val="center"/>
              <w:rPr>
                <w:b/>
                <w:bCs/>
              </w:rPr>
            </w:pPr>
            <w:r w:rsidRPr="001B4A02">
              <w:rPr>
                <w:b/>
                <w:bCs/>
              </w:rPr>
              <w:t>Placebo</w:t>
            </w:r>
          </w:p>
          <w:p w14:paraId="5EAC9D65" w14:textId="77777777" w:rsidR="00C33C7C" w:rsidRPr="001B4A02" w:rsidRDefault="00000000" w:rsidP="00F318D0">
            <w:pPr>
              <w:ind w:left="0" w:firstLine="0"/>
              <w:jc w:val="center"/>
              <w:rPr>
                <w:b/>
                <w:bCs/>
              </w:rPr>
            </w:pPr>
            <w:r>
              <w:rPr>
                <w:b/>
                <w:bCs/>
              </w:rPr>
              <w:t>n</w:t>
            </w:r>
            <w:r w:rsidRPr="001B4A02">
              <w:rPr>
                <w:b/>
                <w:bCs/>
              </w:rPr>
              <w:t>=74</w:t>
            </w:r>
          </w:p>
        </w:tc>
        <w:tc>
          <w:tcPr>
            <w:tcW w:w="1535" w:type="dxa"/>
            <w:tcBorders>
              <w:top w:val="single" w:sz="4" w:space="0" w:color="auto"/>
              <w:left w:val="single" w:sz="4" w:space="0" w:color="auto"/>
              <w:bottom w:val="single" w:sz="4" w:space="0" w:color="auto"/>
              <w:right w:val="single" w:sz="4" w:space="0" w:color="auto"/>
            </w:tcBorders>
          </w:tcPr>
          <w:p w14:paraId="1F1F02D6" w14:textId="77777777" w:rsidR="00C33C7C" w:rsidRPr="001B4A02" w:rsidRDefault="00000000" w:rsidP="00A5191B">
            <w:pPr>
              <w:ind w:left="0" w:firstLine="0"/>
              <w:jc w:val="center"/>
              <w:rPr>
                <w:b/>
                <w:bCs/>
              </w:rPr>
            </w:pPr>
            <w:r w:rsidRPr="001B4A02">
              <w:rPr>
                <w:b/>
                <w:bCs/>
              </w:rPr>
              <w:t>Humira 80/40 mg</w:t>
            </w:r>
          </w:p>
          <w:p w14:paraId="03BC88BD" w14:textId="77777777" w:rsidR="00C33C7C" w:rsidRPr="001B4A02" w:rsidRDefault="00000000" w:rsidP="00F318D0">
            <w:pPr>
              <w:ind w:left="0" w:firstLine="0"/>
              <w:jc w:val="center"/>
              <w:rPr>
                <w:b/>
                <w:bCs/>
              </w:rPr>
            </w:pPr>
            <w:r>
              <w:rPr>
                <w:b/>
                <w:bCs/>
              </w:rPr>
              <w:t>n</w:t>
            </w:r>
            <w:r w:rsidRPr="001B4A02">
              <w:rPr>
                <w:b/>
                <w:bCs/>
              </w:rPr>
              <w:t>=75</w:t>
            </w:r>
          </w:p>
        </w:tc>
        <w:tc>
          <w:tcPr>
            <w:tcW w:w="1535" w:type="dxa"/>
            <w:tcBorders>
              <w:top w:val="single" w:sz="4" w:space="0" w:color="auto"/>
              <w:left w:val="single" w:sz="4" w:space="0" w:color="auto"/>
              <w:bottom w:val="single" w:sz="4" w:space="0" w:color="auto"/>
              <w:right w:val="single" w:sz="4" w:space="0" w:color="auto"/>
            </w:tcBorders>
          </w:tcPr>
          <w:p w14:paraId="72D66897" w14:textId="77777777" w:rsidR="00C33C7C" w:rsidRPr="001B4A02" w:rsidRDefault="00000000" w:rsidP="00A5191B">
            <w:pPr>
              <w:ind w:left="0" w:firstLine="0"/>
              <w:jc w:val="center"/>
              <w:rPr>
                <w:b/>
                <w:bCs/>
              </w:rPr>
            </w:pPr>
            <w:r w:rsidRPr="001B4A02">
              <w:rPr>
                <w:b/>
                <w:bCs/>
              </w:rPr>
              <w:t>Humira 160/80 mg</w:t>
            </w:r>
          </w:p>
          <w:p w14:paraId="26774FF5" w14:textId="77777777" w:rsidR="00C33C7C" w:rsidRPr="001B4A02" w:rsidRDefault="00000000" w:rsidP="00F318D0">
            <w:pPr>
              <w:ind w:left="0" w:firstLine="0"/>
              <w:jc w:val="center"/>
              <w:rPr>
                <w:b/>
                <w:bCs/>
              </w:rPr>
            </w:pPr>
            <w:r>
              <w:rPr>
                <w:b/>
                <w:bCs/>
              </w:rPr>
              <w:t>n</w:t>
            </w:r>
            <w:r w:rsidRPr="001B4A02">
              <w:rPr>
                <w:b/>
                <w:bCs/>
              </w:rPr>
              <w:t>=76</w:t>
            </w:r>
          </w:p>
        </w:tc>
        <w:tc>
          <w:tcPr>
            <w:tcW w:w="1535" w:type="dxa"/>
            <w:tcBorders>
              <w:top w:val="single" w:sz="4" w:space="0" w:color="auto"/>
              <w:left w:val="single" w:sz="4" w:space="0" w:color="auto"/>
              <w:bottom w:val="single" w:sz="4" w:space="0" w:color="auto"/>
              <w:right w:val="single" w:sz="4" w:space="0" w:color="auto"/>
            </w:tcBorders>
          </w:tcPr>
          <w:p w14:paraId="4A434172" w14:textId="77777777" w:rsidR="00C33C7C" w:rsidRPr="001B4A02" w:rsidRDefault="00000000" w:rsidP="00A5191B">
            <w:pPr>
              <w:ind w:left="0" w:firstLine="0"/>
              <w:jc w:val="center"/>
              <w:rPr>
                <w:b/>
                <w:bCs/>
              </w:rPr>
            </w:pPr>
            <w:r w:rsidRPr="001B4A02">
              <w:rPr>
                <w:b/>
                <w:bCs/>
              </w:rPr>
              <w:t>Placebo</w:t>
            </w:r>
          </w:p>
          <w:p w14:paraId="11328B48" w14:textId="77777777" w:rsidR="00C33C7C" w:rsidRPr="001B4A02" w:rsidRDefault="00000000" w:rsidP="00F318D0">
            <w:pPr>
              <w:ind w:left="0" w:firstLine="0"/>
              <w:jc w:val="center"/>
              <w:rPr>
                <w:b/>
                <w:bCs/>
              </w:rPr>
            </w:pPr>
            <w:r>
              <w:rPr>
                <w:b/>
                <w:bCs/>
              </w:rPr>
              <w:t>n</w:t>
            </w:r>
            <w:r w:rsidRPr="001B4A02">
              <w:rPr>
                <w:b/>
                <w:bCs/>
              </w:rPr>
              <w:t>=166</w:t>
            </w:r>
          </w:p>
        </w:tc>
        <w:tc>
          <w:tcPr>
            <w:tcW w:w="1536" w:type="dxa"/>
            <w:tcBorders>
              <w:top w:val="single" w:sz="4" w:space="0" w:color="auto"/>
              <w:left w:val="single" w:sz="4" w:space="0" w:color="auto"/>
              <w:bottom w:val="single" w:sz="4" w:space="0" w:color="auto"/>
              <w:right w:val="single" w:sz="4" w:space="0" w:color="auto"/>
            </w:tcBorders>
          </w:tcPr>
          <w:p w14:paraId="5B160CF7" w14:textId="77777777" w:rsidR="00C33C7C" w:rsidRPr="001B4A02" w:rsidRDefault="00000000" w:rsidP="00A5191B">
            <w:pPr>
              <w:ind w:left="0" w:firstLine="0"/>
              <w:jc w:val="center"/>
              <w:rPr>
                <w:b/>
                <w:bCs/>
              </w:rPr>
            </w:pPr>
            <w:r w:rsidRPr="001B4A02">
              <w:rPr>
                <w:b/>
                <w:bCs/>
              </w:rPr>
              <w:t>Humira 160/80 mg</w:t>
            </w:r>
          </w:p>
          <w:p w14:paraId="77FC4854" w14:textId="77777777" w:rsidR="00C33C7C" w:rsidRPr="001B4A02" w:rsidRDefault="00000000" w:rsidP="00F318D0">
            <w:pPr>
              <w:ind w:left="0" w:firstLine="0"/>
              <w:jc w:val="center"/>
              <w:rPr>
                <w:b/>
                <w:bCs/>
              </w:rPr>
            </w:pPr>
            <w:r>
              <w:rPr>
                <w:b/>
                <w:bCs/>
              </w:rPr>
              <w:t>n</w:t>
            </w:r>
            <w:r w:rsidRPr="001B4A02">
              <w:rPr>
                <w:b/>
                <w:bCs/>
              </w:rPr>
              <w:t>=159</w:t>
            </w:r>
          </w:p>
        </w:tc>
      </w:tr>
      <w:tr w:rsidR="00534A2D" w14:paraId="2DD36E50" w14:textId="77777777" w:rsidTr="00A5191B">
        <w:tc>
          <w:tcPr>
            <w:tcW w:w="1771" w:type="dxa"/>
            <w:tcBorders>
              <w:top w:val="single" w:sz="4" w:space="0" w:color="auto"/>
              <w:left w:val="single" w:sz="4" w:space="0" w:color="auto"/>
              <w:bottom w:val="single" w:sz="4" w:space="0" w:color="auto"/>
              <w:right w:val="single" w:sz="4" w:space="0" w:color="auto"/>
            </w:tcBorders>
          </w:tcPr>
          <w:p w14:paraId="6B7C070A" w14:textId="77777777" w:rsidR="00C33C7C" w:rsidRPr="001B4A02" w:rsidRDefault="00000000" w:rsidP="00A5191B">
            <w:pPr>
              <w:pStyle w:val="EMEANormal"/>
              <w:tabs>
                <w:tab w:val="clear" w:pos="562"/>
              </w:tabs>
              <w:suppressAutoHyphens w:val="0"/>
              <w:rPr>
                <w:lang w:val="cs-CZ"/>
              </w:rPr>
            </w:pPr>
            <w:r w:rsidRPr="001B4A02">
              <w:rPr>
                <w:lang w:val="cs-CZ"/>
              </w:rPr>
              <w:t>Týden 4</w:t>
            </w:r>
          </w:p>
        </w:tc>
        <w:tc>
          <w:tcPr>
            <w:tcW w:w="1299" w:type="dxa"/>
            <w:tcBorders>
              <w:top w:val="single" w:sz="4" w:space="0" w:color="auto"/>
              <w:left w:val="single" w:sz="4" w:space="0" w:color="auto"/>
              <w:bottom w:val="single" w:sz="4" w:space="0" w:color="auto"/>
              <w:right w:val="single" w:sz="4" w:space="0" w:color="auto"/>
            </w:tcBorders>
          </w:tcPr>
          <w:p w14:paraId="10270345" w14:textId="77777777" w:rsidR="00C33C7C" w:rsidRPr="001B4A02" w:rsidRDefault="00C33C7C" w:rsidP="00A5191B">
            <w:pPr>
              <w:ind w:left="0" w:firstLine="0"/>
              <w:jc w:val="center"/>
            </w:pPr>
          </w:p>
        </w:tc>
        <w:tc>
          <w:tcPr>
            <w:tcW w:w="1535" w:type="dxa"/>
            <w:tcBorders>
              <w:top w:val="single" w:sz="4" w:space="0" w:color="auto"/>
              <w:left w:val="single" w:sz="4" w:space="0" w:color="auto"/>
              <w:bottom w:val="single" w:sz="4" w:space="0" w:color="auto"/>
              <w:right w:val="single" w:sz="4" w:space="0" w:color="auto"/>
            </w:tcBorders>
          </w:tcPr>
          <w:p w14:paraId="43B532A0" w14:textId="77777777" w:rsidR="00C33C7C" w:rsidRPr="001B4A02" w:rsidRDefault="00C33C7C" w:rsidP="00A5191B">
            <w:pPr>
              <w:ind w:left="0" w:firstLine="0"/>
              <w:jc w:val="center"/>
            </w:pPr>
          </w:p>
        </w:tc>
        <w:tc>
          <w:tcPr>
            <w:tcW w:w="1535" w:type="dxa"/>
            <w:tcBorders>
              <w:top w:val="single" w:sz="4" w:space="0" w:color="auto"/>
              <w:left w:val="single" w:sz="4" w:space="0" w:color="auto"/>
              <w:bottom w:val="single" w:sz="4" w:space="0" w:color="auto"/>
              <w:right w:val="single" w:sz="4" w:space="0" w:color="auto"/>
            </w:tcBorders>
          </w:tcPr>
          <w:p w14:paraId="196405AF" w14:textId="77777777" w:rsidR="00C33C7C" w:rsidRPr="001B4A02" w:rsidRDefault="00C33C7C" w:rsidP="00A5191B">
            <w:pPr>
              <w:ind w:left="0" w:firstLine="0"/>
              <w:jc w:val="center"/>
            </w:pPr>
          </w:p>
        </w:tc>
        <w:tc>
          <w:tcPr>
            <w:tcW w:w="1535" w:type="dxa"/>
            <w:tcBorders>
              <w:top w:val="single" w:sz="4" w:space="0" w:color="auto"/>
              <w:left w:val="single" w:sz="4" w:space="0" w:color="auto"/>
              <w:bottom w:val="single" w:sz="4" w:space="0" w:color="auto"/>
              <w:right w:val="single" w:sz="4" w:space="0" w:color="auto"/>
            </w:tcBorders>
          </w:tcPr>
          <w:p w14:paraId="2D3AD115" w14:textId="77777777" w:rsidR="00C33C7C" w:rsidRPr="001B4A02" w:rsidRDefault="00C33C7C" w:rsidP="00A5191B">
            <w:pPr>
              <w:ind w:left="0" w:firstLine="0"/>
              <w:jc w:val="center"/>
            </w:pPr>
          </w:p>
        </w:tc>
        <w:tc>
          <w:tcPr>
            <w:tcW w:w="1536" w:type="dxa"/>
            <w:tcBorders>
              <w:top w:val="single" w:sz="4" w:space="0" w:color="auto"/>
              <w:left w:val="single" w:sz="4" w:space="0" w:color="auto"/>
              <w:bottom w:val="single" w:sz="4" w:space="0" w:color="auto"/>
              <w:right w:val="single" w:sz="4" w:space="0" w:color="auto"/>
            </w:tcBorders>
          </w:tcPr>
          <w:p w14:paraId="4473E98C" w14:textId="77777777" w:rsidR="00C33C7C" w:rsidRPr="001B4A02" w:rsidRDefault="00C33C7C" w:rsidP="00A5191B">
            <w:pPr>
              <w:ind w:left="0" w:firstLine="0"/>
              <w:jc w:val="center"/>
            </w:pPr>
          </w:p>
        </w:tc>
      </w:tr>
      <w:tr w:rsidR="00534A2D" w14:paraId="5208B9C7" w14:textId="77777777" w:rsidTr="00A5191B">
        <w:tc>
          <w:tcPr>
            <w:tcW w:w="1771" w:type="dxa"/>
            <w:tcBorders>
              <w:top w:val="single" w:sz="4" w:space="0" w:color="auto"/>
              <w:left w:val="single" w:sz="4" w:space="0" w:color="auto"/>
              <w:bottom w:val="single" w:sz="4" w:space="0" w:color="auto"/>
              <w:right w:val="single" w:sz="4" w:space="0" w:color="auto"/>
            </w:tcBorders>
          </w:tcPr>
          <w:p w14:paraId="233BAD5C" w14:textId="77777777" w:rsidR="00C33C7C" w:rsidRPr="001B4A02" w:rsidRDefault="00000000" w:rsidP="00A5191B">
            <w:pPr>
              <w:ind w:left="0" w:firstLine="0"/>
            </w:pPr>
            <w:r w:rsidRPr="001B4A02">
              <w:t>Klinická remise</w:t>
            </w:r>
          </w:p>
        </w:tc>
        <w:tc>
          <w:tcPr>
            <w:tcW w:w="1299" w:type="dxa"/>
            <w:tcBorders>
              <w:top w:val="single" w:sz="4" w:space="0" w:color="auto"/>
              <w:left w:val="single" w:sz="4" w:space="0" w:color="auto"/>
              <w:bottom w:val="single" w:sz="4" w:space="0" w:color="auto"/>
              <w:right w:val="single" w:sz="4" w:space="0" w:color="auto"/>
            </w:tcBorders>
          </w:tcPr>
          <w:p w14:paraId="43766209" w14:textId="77777777" w:rsidR="00C33C7C" w:rsidRPr="001B4A02" w:rsidRDefault="00000000" w:rsidP="00A5191B">
            <w:pPr>
              <w:ind w:left="0" w:firstLine="0"/>
              <w:jc w:val="center"/>
            </w:pPr>
            <w:r w:rsidRPr="001B4A02">
              <w:t>12 %</w:t>
            </w:r>
          </w:p>
        </w:tc>
        <w:tc>
          <w:tcPr>
            <w:tcW w:w="1535" w:type="dxa"/>
            <w:tcBorders>
              <w:top w:val="single" w:sz="4" w:space="0" w:color="auto"/>
              <w:left w:val="single" w:sz="4" w:space="0" w:color="auto"/>
              <w:bottom w:val="single" w:sz="4" w:space="0" w:color="auto"/>
              <w:right w:val="single" w:sz="4" w:space="0" w:color="auto"/>
            </w:tcBorders>
          </w:tcPr>
          <w:p w14:paraId="2F9BD547" w14:textId="77777777" w:rsidR="00C33C7C" w:rsidRPr="001B4A02" w:rsidRDefault="00000000" w:rsidP="00A5191B">
            <w:pPr>
              <w:ind w:left="0" w:firstLine="0"/>
              <w:jc w:val="center"/>
            </w:pPr>
            <w:r w:rsidRPr="001B4A02">
              <w:t>24 %</w:t>
            </w:r>
          </w:p>
        </w:tc>
        <w:tc>
          <w:tcPr>
            <w:tcW w:w="1535" w:type="dxa"/>
            <w:tcBorders>
              <w:top w:val="single" w:sz="4" w:space="0" w:color="auto"/>
              <w:left w:val="single" w:sz="4" w:space="0" w:color="auto"/>
              <w:bottom w:val="single" w:sz="4" w:space="0" w:color="auto"/>
              <w:right w:val="single" w:sz="4" w:space="0" w:color="auto"/>
            </w:tcBorders>
          </w:tcPr>
          <w:p w14:paraId="0851CEC0" w14:textId="77777777" w:rsidR="00C33C7C" w:rsidRPr="001B4A02" w:rsidRDefault="00000000" w:rsidP="00A5191B">
            <w:pPr>
              <w:ind w:left="0" w:firstLine="0"/>
              <w:jc w:val="center"/>
            </w:pPr>
            <w:r w:rsidRPr="001B4A02">
              <w:t>36 %</w:t>
            </w:r>
            <w:r w:rsidRPr="001B4A02">
              <w:rPr>
                <w:rFonts w:ascii="Symbol" w:hAnsi="Symbol"/>
                <w:vertAlign w:val="superscript"/>
              </w:rPr>
              <w:sym w:font="Symbol" w:char="F02A"/>
            </w:r>
          </w:p>
        </w:tc>
        <w:tc>
          <w:tcPr>
            <w:tcW w:w="1535" w:type="dxa"/>
            <w:tcBorders>
              <w:top w:val="single" w:sz="4" w:space="0" w:color="auto"/>
              <w:left w:val="single" w:sz="4" w:space="0" w:color="auto"/>
              <w:bottom w:val="single" w:sz="4" w:space="0" w:color="auto"/>
              <w:right w:val="single" w:sz="4" w:space="0" w:color="auto"/>
            </w:tcBorders>
          </w:tcPr>
          <w:p w14:paraId="457559F1" w14:textId="77777777" w:rsidR="00C33C7C" w:rsidRPr="001B4A02" w:rsidRDefault="00000000" w:rsidP="00A5191B">
            <w:pPr>
              <w:ind w:left="0" w:firstLine="0"/>
              <w:jc w:val="center"/>
            </w:pPr>
            <w:r w:rsidRPr="001B4A02">
              <w:t>7 %</w:t>
            </w:r>
          </w:p>
        </w:tc>
        <w:tc>
          <w:tcPr>
            <w:tcW w:w="1536" w:type="dxa"/>
            <w:tcBorders>
              <w:top w:val="single" w:sz="4" w:space="0" w:color="auto"/>
              <w:left w:val="single" w:sz="4" w:space="0" w:color="auto"/>
              <w:bottom w:val="single" w:sz="4" w:space="0" w:color="auto"/>
              <w:right w:val="single" w:sz="4" w:space="0" w:color="auto"/>
            </w:tcBorders>
          </w:tcPr>
          <w:p w14:paraId="42084340" w14:textId="77777777" w:rsidR="00C33C7C" w:rsidRPr="001B4A02" w:rsidRDefault="00000000" w:rsidP="00A5191B">
            <w:pPr>
              <w:ind w:left="0" w:firstLine="0"/>
              <w:jc w:val="center"/>
            </w:pPr>
            <w:r w:rsidRPr="001B4A02">
              <w:t>21 %</w:t>
            </w:r>
            <w:r w:rsidRPr="001B4A02">
              <w:rPr>
                <w:rFonts w:ascii="Symbol" w:hAnsi="Symbol"/>
                <w:vertAlign w:val="superscript"/>
              </w:rPr>
              <w:sym w:font="Symbol" w:char="F02A"/>
            </w:r>
          </w:p>
        </w:tc>
      </w:tr>
      <w:tr w:rsidR="00534A2D" w14:paraId="0435ABFC" w14:textId="77777777" w:rsidTr="00A5191B">
        <w:tc>
          <w:tcPr>
            <w:tcW w:w="1771" w:type="dxa"/>
            <w:tcBorders>
              <w:top w:val="single" w:sz="4" w:space="0" w:color="auto"/>
              <w:left w:val="single" w:sz="4" w:space="0" w:color="auto"/>
              <w:bottom w:val="single" w:sz="4" w:space="0" w:color="auto"/>
              <w:right w:val="single" w:sz="4" w:space="0" w:color="auto"/>
            </w:tcBorders>
          </w:tcPr>
          <w:p w14:paraId="33CBE4BB" w14:textId="77777777" w:rsidR="00C33C7C" w:rsidRPr="001B4A02" w:rsidRDefault="00000000" w:rsidP="00A5191B">
            <w:pPr>
              <w:ind w:left="0" w:firstLine="0"/>
            </w:pPr>
            <w:r w:rsidRPr="001B4A02">
              <w:t>Klinická odpověď (CR-100)</w:t>
            </w:r>
          </w:p>
        </w:tc>
        <w:tc>
          <w:tcPr>
            <w:tcW w:w="1299" w:type="dxa"/>
            <w:tcBorders>
              <w:top w:val="single" w:sz="4" w:space="0" w:color="auto"/>
              <w:left w:val="single" w:sz="4" w:space="0" w:color="auto"/>
              <w:bottom w:val="single" w:sz="4" w:space="0" w:color="auto"/>
              <w:right w:val="single" w:sz="4" w:space="0" w:color="auto"/>
            </w:tcBorders>
          </w:tcPr>
          <w:p w14:paraId="3012A0D1" w14:textId="77777777" w:rsidR="00C33C7C" w:rsidRPr="001B4A02" w:rsidRDefault="00000000" w:rsidP="00A5191B">
            <w:pPr>
              <w:ind w:left="0" w:firstLine="0"/>
              <w:jc w:val="center"/>
            </w:pPr>
            <w:r w:rsidRPr="001B4A02">
              <w:t>24 %</w:t>
            </w:r>
          </w:p>
        </w:tc>
        <w:tc>
          <w:tcPr>
            <w:tcW w:w="1535" w:type="dxa"/>
            <w:tcBorders>
              <w:top w:val="single" w:sz="4" w:space="0" w:color="auto"/>
              <w:left w:val="single" w:sz="4" w:space="0" w:color="auto"/>
              <w:bottom w:val="single" w:sz="4" w:space="0" w:color="auto"/>
              <w:right w:val="single" w:sz="4" w:space="0" w:color="auto"/>
            </w:tcBorders>
          </w:tcPr>
          <w:p w14:paraId="55B04552" w14:textId="77777777" w:rsidR="00C33C7C" w:rsidRPr="001B4A02" w:rsidRDefault="00000000" w:rsidP="00A5191B">
            <w:pPr>
              <w:ind w:left="0" w:firstLine="0"/>
              <w:jc w:val="center"/>
            </w:pPr>
            <w:r w:rsidRPr="001B4A02">
              <w:t>37 %</w:t>
            </w:r>
          </w:p>
        </w:tc>
        <w:tc>
          <w:tcPr>
            <w:tcW w:w="1535" w:type="dxa"/>
            <w:tcBorders>
              <w:top w:val="single" w:sz="4" w:space="0" w:color="auto"/>
              <w:left w:val="single" w:sz="4" w:space="0" w:color="auto"/>
              <w:bottom w:val="single" w:sz="4" w:space="0" w:color="auto"/>
              <w:right w:val="single" w:sz="4" w:space="0" w:color="auto"/>
            </w:tcBorders>
          </w:tcPr>
          <w:p w14:paraId="66603AFF" w14:textId="77777777" w:rsidR="00C33C7C" w:rsidRPr="001B4A02" w:rsidRDefault="00000000" w:rsidP="00A5191B">
            <w:pPr>
              <w:ind w:left="0" w:firstLine="0"/>
              <w:jc w:val="center"/>
            </w:pPr>
            <w:r w:rsidRPr="001B4A02">
              <w:t>49 %</w:t>
            </w:r>
            <w:r w:rsidRPr="001B4A02">
              <w:rPr>
                <w:rFonts w:ascii="Symbol" w:hAnsi="Symbol"/>
                <w:vertAlign w:val="superscript"/>
              </w:rPr>
              <w:sym w:font="Symbol" w:char="F02A"/>
            </w:r>
            <w:r w:rsidRPr="001B4A02">
              <w:rPr>
                <w:rFonts w:ascii="Symbol" w:hAnsi="Symbol"/>
                <w:vertAlign w:val="superscript"/>
              </w:rPr>
              <w:sym w:font="Symbol" w:char="F02A"/>
            </w:r>
          </w:p>
        </w:tc>
        <w:tc>
          <w:tcPr>
            <w:tcW w:w="1535" w:type="dxa"/>
            <w:tcBorders>
              <w:top w:val="single" w:sz="4" w:space="0" w:color="auto"/>
              <w:left w:val="single" w:sz="4" w:space="0" w:color="auto"/>
              <w:bottom w:val="single" w:sz="4" w:space="0" w:color="auto"/>
              <w:right w:val="single" w:sz="4" w:space="0" w:color="auto"/>
            </w:tcBorders>
          </w:tcPr>
          <w:p w14:paraId="14C42B2C" w14:textId="77777777" w:rsidR="00C33C7C" w:rsidRPr="001B4A02" w:rsidRDefault="00000000" w:rsidP="00A5191B">
            <w:pPr>
              <w:ind w:left="0" w:firstLine="0"/>
              <w:jc w:val="center"/>
            </w:pPr>
            <w:r w:rsidRPr="001B4A02">
              <w:t>25 %</w:t>
            </w:r>
          </w:p>
        </w:tc>
        <w:tc>
          <w:tcPr>
            <w:tcW w:w="1536" w:type="dxa"/>
            <w:tcBorders>
              <w:top w:val="single" w:sz="4" w:space="0" w:color="auto"/>
              <w:left w:val="single" w:sz="4" w:space="0" w:color="auto"/>
              <w:bottom w:val="single" w:sz="4" w:space="0" w:color="auto"/>
              <w:right w:val="single" w:sz="4" w:space="0" w:color="auto"/>
            </w:tcBorders>
          </w:tcPr>
          <w:p w14:paraId="44B8E4FE" w14:textId="77777777" w:rsidR="00C33C7C" w:rsidRPr="001B4A02" w:rsidRDefault="00000000" w:rsidP="00A5191B">
            <w:pPr>
              <w:ind w:left="0" w:firstLine="0"/>
              <w:jc w:val="center"/>
            </w:pPr>
            <w:r w:rsidRPr="001B4A02">
              <w:t>38 %</w:t>
            </w:r>
            <w:r w:rsidRPr="001B4A02">
              <w:rPr>
                <w:rFonts w:ascii="Symbol" w:hAnsi="Symbol"/>
                <w:vertAlign w:val="superscript"/>
              </w:rPr>
              <w:sym w:font="Symbol" w:char="F02A"/>
            </w:r>
            <w:r w:rsidRPr="001B4A02">
              <w:rPr>
                <w:rFonts w:ascii="Symbol" w:hAnsi="Symbol"/>
                <w:vertAlign w:val="superscript"/>
              </w:rPr>
              <w:sym w:font="Symbol" w:char="F02A"/>
            </w:r>
          </w:p>
        </w:tc>
      </w:tr>
    </w:tbl>
    <w:p w14:paraId="1A138F82" w14:textId="77777777" w:rsidR="00C33C7C" w:rsidRPr="001B4A02" w:rsidRDefault="00000000" w:rsidP="00C33C7C">
      <w:pPr>
        <w:pStyle w:val="EMEANormal"/>
        <w:tabs>
          <w:tab w:val="clear" w:pos="562"/>
          <w:tab w:val="left" w:pos="708"/>
        </w:tabs>
        <w:suppressAutoHyphens w:val="0"/>
        <w:rPr>
          <w:sz w:val="20"/>
          <w:lang w:val="cs-CZ"/>
        </w:rPr>
      </w:pPr>
      <w:r w:rsidRPr="001B4A02">
        <w:rPr>
          <w:sz w:val="20"/>
          <w:lang w:val="cs-CZ"/>
        </w:rPr>
        <w:t>Všechny hodnoty p slouží k párovému srovnání hodnot pro přípravek Humira versus placebo</w:t>
      </w:r>
    </w:p>
    <w:p w14:paraId="7B752119" w14:textId="77777777" w:rsidR="00C33C7C" w:rsidRPr="001B4A02" w:rsidRDefault="00000000" w:rsidP="00C33C7C">
      <w:pPr>
        <w:pStyle w:val="EMEANormal"/>
        <w:tabs>
          <w:tab w:val="clear" w:pos="562"/>
          <w:tab w:val="left" w:pos="708"/>
        </w:tabs>
        <w:suppressAutoHyphens w:val="0"/>
        <w:rPr>
          <w:sz w:val="20"/>
          <w:lang w:val="cs-CZ"/>
        </w:rPr>
      </w:pPr>
      <w:r w:rsidRPr="001B4A02">
        <w:rPr>
          <w:rFonts w:ascii="Symbol" w:hAnsi="Symbol"/>
          <w:sz w:val="20"/>
          <w:vertAlign w:val="superscript"/>
          <w:lang w:val="cs-CZ"/>
        </w:rPr>
        <w:sym w:font="Symbol" w:char="F02A"/>
      </w:r>
      <w:r w:rsidRPr="001B4A02">
        <w:rPr>
          <w:sz w:val="20"/>
          <w:lang w:val="cs-CZ"/>
        </w:rPr>
        <w:t xml:space="preserve"> p </w:t>
      </w:r>
      <w:r w:rsidRPr="001B4A02">
        <w:rPr>
          <w:rFonts w:ascii="Symbol" w:hAnsi="Symbol"/>
          <w:sz w:val="20"/>
          <w:lang w:val="cs-CZ"/>
        </w:rPr>
        <w:sym w:font="Symbol" w:char="F03C"/>
      </w:r>
      <w:r w:rsidRPr="001B4A02">
        <w:rPr>
          <w:sz w:val="20"/>
          <w:lang w:val="cs-CZ"/>
        </w:rPr>
        <w:t xml:space="preserve"> 0,001</w:t>
      </w:r>
    </w:p>
    <w:p w14:paraId="5783C919" w14:textId="77777777" w:rsidR="00C33C7C" w:rsidRPr="001B4A02" w:rsidRDefault="00000000" w:rsidP="00C33C7C">
      <w:pPr>
        <w:ind w:left="0" w:firstLine="0"/>
        <w:rPr>
          <w:sz w:val="20"/>
        </w:rPr>
      </w:pPr>
      <w:r w:rsidRPr="001B4A02">
        <w:rPr>
          <w:rFonts w:ascii="Symbol" w:hAnsi="Symbol"/>
          <w:sz w:val="20"/>
          <w:vertAlign w:val="superscript"/>
        </w:rPr>
        <w:sym w:font="Symbol" w:char="F02A"/>
      </w:r>
      <w:r w:rsidRPr="001B4A02">
        <w:rPr>
          <w:rFonts w:ascii="Symbol" w:hAnsi="Symbol"/>
          <w:sz w:val="20"/>
          <w:vertAlign w:val="superscript"/>
        </w:rPr>
        <w:sym w:font="Symbol" w:char="F02A"/>
      </w:r>
      <w:r w:rsidRPr="001B4A02">
        <w:rPr>
          <w:sz w:val="20"/>
        </w:rPr>
        <w:t xml:space="preserve"> p </w:t>
      </w:r>
      <w:r w:rsidRPr="001B4A02">
        <w:rPr>
          <w:rFonts w:ascii="Symbol" w:hAnsi="Symbol"/>
          <w:sz w:val="20"/>
        </w:rPr>
        <w:sym w:font="Symbol" w:char="F03C"/>
      </w:r>
      <w:r w:rsidRPr="001B4A02">
        <w:rPr>
          <w:sz w:val="20"/>
        </w:rPr>
        <w:t xml:space="preserve"> 0,01</w:t>
      </w:r>
    </w:p>
    <w:p w14:paraId="75C69839" w14:textId="77777777" w:rsidR="00C33C7C" w:rsidRPr="001B4A02" w:rsidRDefault="00C33C7C" w:rsidP="00C33C7C">
      <w:pPr>
        <w:pStyle w:val="EMEANormal"/>
        <w:tabs>
          <w:tab w:val="clear" w:pos="562"/>
          <w:tab w:val="left" w:pos="708"/>
        </w:tabs>
        <w:suppressAutoHyphens w:val="0"/>
        <w:rPr>
          <w:u w:val="single"/>
          <w:lang w:val="cs-CZ"/>
        </w:rPr>
      </w:pPr>
    </w:p>
    <w:p w14:paraId="5ECAC23C" w14:textId="77777777" w:rsidR="00C33C7C" w:rsidRPr="001B4A02" w:rsidRDefault="00000000" w:rsidP="00C33C7C">
      <w:pPr>
        <w:pStyle w:val="EMEANormal"/>
        <w:tabs>
          <w:tab w:val="clear" w:pos="562"/>
          <w:tab w:val="left" w:pos="708"/>
        </w:tabs>
        <w:suppressAutoHyphens w:val="0"/>
        <w:rPr>
          <w:lang w:val="cs-CZ"/>
        </w:rPr>
      </w:pPr>
      <w:r w:rsidRPr="001B4A02">
        <w:rPr>
          <w:lang w:val="cs-CZ"/>
        </w:rPr>
        <w:t>U obou úvodních dávkovacích schémat, u 160/80 mg i u 80/40 mg, byly v období do týdne 8 pozorovány podobné počty remisí, nežádoucí účinky byly častěji pozorovány ve skupině se 160/80 mg.</w:t>
      </w:r>
    </w:p>
    <w:p w14:paraId="238A57A2" w14:textId="77777777" w:rsidR="00C33C7C" w:rsidRPr="001B4A02" w:rsidRDefault="00C33C7C" w:rsidP="00C33C7C">
      <w:pPr>
        <w:pStyle w:val="EMEANormal"/>
        <w:tabs>
          <w:tab w:val="clear" w:pos="562"/>
          <w:tab w:val="left" w:pos="708"/>
        </w:tabs>
        <w:suppressAutoHyphens w:val="0"/>
        <w:rPr>
          <w:lang w:val="cs-CZ"/>
        </w:rPr>
      </w:pPr>
    </w:p>
    <w:p w14:paraId="0D50A18B" w14:textId="77777777" w:rsidR="00C33C7C" w:rsidRPr="001B4A02" w:rsidRDefault="00000000" w:rsidP="00C33C7C">
      <w:pPr>
        <w:pStyle w:val="EMEANormal"/>
        <w:tabs>
          <w:tab w:val="clear" w:pos="562"/>
          <w:tab w:val="left" w:pos="708"/>
        </w:tabs>
        <w:suppressAutoHyphens w:val="0"/>
        <w:rPr>
          <w:lang w:val="cs-CZ"/>
        </w:rPr>
      </w:pPr>
      <w:r w:rsidRPr="001B4A02">
        <w:rPr>
          <w:lang w:val="cs-CZ"/>
        </w:rPr>
        <w:t>Ve studii CD III dosáhlo v týdnu 4 58 % pacientů (499 z 854) klinické odpovědi</w:t>
      </w:r>
      <w:r w:rsidR="002378E0">
        <w:rPr>
          <w:lang w:val="cs-CZ"/>
        </w:rPr>
        <w:t xml:space="preserve"> a </w:t>
      </w:r>
      <w:r w:rsidRPr="001B4A02">
        <w:rPr>
          <w:lang w:val="cs-CZ"/>
        </w:rPr>
        <w:t>byli zařazeni do primárního hodnocení. Z těchto pacientů, jež v týdnu 4 dosáhli klinické odpovědi na léčbu, bylo 48 % už dříve vystaveno antagonistům TNF. Doba trvání remise</w:t>
      </w:r>
      <w:r w:rsidR="002378E0">
        <w:rPr>
          <w:lang w:val="cs-CZ"/>
        </w:rPr>
        <w:t xml:space="preserve"> a </w:t>
      </w:r>
      <w:r w:rsidRPr="001B4A02">
        <w:rPr>
          <w:lang w:val="cs-CZ"/>
        </w:rPr>
        <w:t xml:space="preserve">počty odpovídajících pacientů jsou uvedeny v tabulce </w:t>
      </w:r>
      <w:r w:rsidR="00BF09F2">
        <w:rPr>
          <w:lang w:val="cs-CZ"/>
        </w:rPr>
        <w:t>15</w:t>
      </w:r>
      <w:r w:rsidRPr="001B4A02">
        <w:rPr>
          <w:lang w:val="cs-CZ"/>
        </w:rPr>
        <w:t>. Výsledky klinické odpovědi zůstávaly konstantní bez ohledu na předchozí expozici TNF antagonistům.</w:t>
      </w:r>
    </w:p>
    <w:p w14:paraId="6952141B" w14:textId="77777777" w:rsidR="00C33C7C" w:rsidRPr="001B4A02" w:rsidRDefault="00C33C7C" w:rsidP="00C33C7C">
      <w:pPr>
        <w:pStyle w:val="EMEANormal"/>
        <w:tabs>
          <w:tab w:val="clear" w:pos="562"/>
          <w:tab w:val="left" w:pos="708"/>
        </w:tabs>
        <w:suppressAutoHyphens w:val="0"/>
        <w:rPr>
          <w:u w:val="single"/>
          <w:lang w:val="cs-CZ"/>
        </w:rPr>
      </w:pPr>
    </w:p>
    <w:p w14:paraId="0CDA3C02" w14:textId="77777777" w:rsidR="00C33C7C" w:rsidRPr="001B4A02" w:rsidRDefault="00000000" w:rsidP="00C33C7C">
      <w:pPr>
        <w:pStyle w:val="EMEANormal"/>
        <w:tabs>
          <w:tab w:val="clear" w:pos="562"/>
          <w:tab w:val="left" w:pos="708"/>
        </w:tabs>
        <w:suppressAutoHyphens w:val="0"/>
        <w:rPr>
          <w:lang w:val="cs-CZ"/>
        </w:rPr>
      </w:pPr>
      <w:r w:rsidRPr="001B4A02">
        <w:rPr>
          <w:lang w:val="cs-CZ"/>
        </w:rPr>
        <w:t>Počet hospitalizací</w:t>
      </w:r>
      <w:r w:rsidR="002378E0">
        <w:rPr>
          <w:lang w:val="cs-CZ"/>
        </w:rPr>
        <w:t xml:space="preserve"> a </w:t>
      </w:r>
      <w:r w:rsidRPr="001B4A02">
        <w:rPr>
          <w:lang w:val="cs-CZ"/>
        </w:rPr>
        <w:t>chirurgických zákroků, spojených s tímto onemocněním, byl v týdnu 56 statisticky signifikantně snížen u pacientů používajících adalimumab v</w:t>
      </w:r>
      <w:r w:rsidR="003D5529" w:rsidRPr="001B4A02">
        <w:rPr>
          <w:lang w:val="cs-CZ"/>
        </w:rPr>
        <w:t> </w:t>
      </w:r>
      <w:r w:rsidRPr="001B4A02">
        <w:rPr>
          <w:lang w:val="cs-CZ"/>
        </w:rPr>
        <w:t>porovnání s placebem.</w:t>
      </w:r>
    </w:p>
    <w:p w14:paraId="2B3CD74B" w14:textId="77777777" w:rsidR="00C33C7C" w:rsidRPr="001B4A02" w:rsidRDefault="00C33C7C" w:rsidP="00C33C7C">
      <w:pPr>
        <w:pStyle w:val="EMEANormal"/>
        <w:tabs>
          <w:tab w:val="clear" w:pos="562"/>
          <w:tab w:val="left" w:pos="708"/>
        </w:tabs>
        <w:suppressAutoHyphens w:val="0"/>
        <w:rPr>
          <w:u w:val="single"/>
          <w:lang w:val="cs-CZ"/>
        </w:rPr>
      </w:pPr>
    </w:p>
    <w:p w14:paraId="581C256C" w14:textId="77777777" w:rsidR="00C33C7C" w:rsidRPr="001B4A02" w:rsidRDefault="00000000" w:rsidP="00C33C7C">
      <w:pPr>
        <w:pStyle w:val="EMEANormal"/>
        <w:keepNext/>
        <w:tabs>
          <w:tab w:val="clear" w:pos="562"/>
          <w:tab w:val="left" w:pos="708"/>
        </w:tabs>
        <w:suppressAutoHyphens w:val="0"/>
        <w:jc w:val="center"/>
        <w:rPr>
          <w:b/>
          <w:bCs/>
          <w:lang w:val="cs-CZ"/>
        </w:rPr>
      </w:pPr>
      <w:r w:rsidRPr="001B4A02">
        <w:rPr>
          <w:b/>
          <w:bCs/>
          <w:lang w:val="cs-CZ"/>
        </w:rPr>
        <w:t xml:space="preserve">Tabulka </w:t>
      </w:r>
      <w:r w:rsidR="00BF09F2">
        <w:rPr>
          <w:b/>
          <w:bCs/>
          <w:lang w:val="cs-CZ"/>
        </w:rPr>
        <w:t>15</w:t>
      </w:r>
    </w:p>
    <w:p w14:paraId="4AD47D85" w14:textId="77777777" w:rsidR="00C33C7C" w:rsidRPr="001B4A02" w:rsidRDefault="00000000" w:rsidP="00C33C7C">
      <w:pPr>
        <w:pStyle w:val="EMEANormal"/>
        <w:keepNext/>
        <w:tabs>
          <w:tab w:val="clear" w:pos="562"/>
          <w:tab w:val="left" w:pos="708"/>
        </w:tabs>
        <w:suppressAutoHyphens w:val="0"/>
        <w:jc w:val="center"/>
        <w:rPr>
          <w:b/>
          <w:bCs/>
          <w:lang w:val="cs-CZ"/>
        </w:rPr>
      </w:pPr>
      <w:r w:rsidRPr="001B4A02">
        <w:rPr>
          <w:b/>
          <w:bCs/>
          <w:lang w:val="cs-CZ"/>
        </w:rPr>
        <w:t>Přetrvávání klinické remise</w:t>
      </w:r>
      <w:r w:rsidR="002378E0">
        <w:rPr>
          <w:b/>
          <w:bCs/>
          <w:lang w:val="cs-CZ"/>
        </w:rPr>
        <w:t xml:space="preserve"> a </w:t>
      </w:r>
      <w:r w:rsidRPr="001B4A02">
        <w:rPr>
          <w:b/>
          <w:bCs/>
          <w:lang w:val="cs-CZ"/>
        </w:rPr>
        <w:t>odpovědi</w:t>
      </w:r>
    </w:p>
    <w:p w14:paraId="54E036A0" w14:textId="77777777" w:rsidR="00C33C7C" w:rsidRPr="001B4A02" w:rsidRDefault="00000000" w:rsidP="00C33C7C">
      <w:pPr>
        <w:pStyle w:val="EMEANormal"/>
        <w:keepNext/>
        <w:tabs>
          <w:tab w:val="clear" w:pos="562"/>
          <w:tab w:val="left" w:pos="708"/>
        </w:tabs>
        <w:suppressAutoHyphens w:val="0"/>
        <w:jc w:val="center"/>
        <w:rPr>
          <w:b/>
          <w:bCs/>
          <w:lang w:val="cs-CZ"/>
        </w:rPr>
      </w:pPr>
      <w:r w:rsidRPr="001B4A02">
        <w:rPr>
          <w:b/>
          <w:bCs/>
          <w:lang w:val="cs-CZ"/>
        </w:rPr>
        <w:t>(Procento pacientů)</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853"/>
        <w:gridCol w:w="1678"/>
        <w:gridCol w:w="2265"/>
        <w:gridCol w:w="2265"/>
      </w:tblGrid>
      <w:tr w:rsidR="00534A2D" w14:paraId="4B5BEB35" w14:textId="77777777" w:rsidTr="00A5191B">
        <w:tc>
          <w:tcPr>
            <w:tcW w:w="2905" w:type="dxa"/>
            <w:tcBorders>
              <w:top w:val="single" w:sz="4" w:space="0" w:color="auto"/>
              <w:left w:val="single" w:sz="4" w:space="0" w:color="auto"/>
              <w:bottom w:val="single" w:sz="4" w:space="0" w:color="auto"/>
              <w:right w:val="single" w:sz="4" w:space="0" w:color="auto"/>
            </w:tcBorders>
          </w:tcPr>
          <w:p w14:paraId="389C73C3" w14:textId="77777777" w:rsidR="00C33C7C" w:rsidRPr="001B4A02" w:rsidRDefault="00C33C7C" w:rsidP="00A5191B">
            <w:pPr>
              <w:pStyle w:val="EMEANormal"/>
              <w:keepNext/>
              <w:tabs>
                <w:tab w:val="clear" w:pos="562"/>
                <w:tab w:val="left" w:pos="708"/>
              </w:tabs>
              <w:suppressAutoHyphens w:val="0"/>
              <w:rPr>
                <w:u w:val="single"/>
                <w:lang w:val="cs-CZ"/>
              </w:rPr>
            </w:pPr>
          </w:p>
        </w:tc>
        <w:tc>
          <w:tcPr>
            <w:tcW w:w="1700" w:type="dxa"/>
            <w:tcBorders>
              <w:top w:val="single" w:sz="4" w:space="0" w:color="auto"/>
              <w:left w:val="single" w:sz="4" w:space="0" w:color="auto"/>
              <w:bottom w:val="single" w:sz="4" w:space="0" w:color="auto"/>
              <w:right w:val="single" w:sz="4" w:space="0" w:color="auto"/>
            </w:tcBorders>
          </w:tcPr>
          <w:p w14:paraId="6511DF4C" w14:textId="77777777" w:rsidR="00C33C7C" w:rsidRPr="001B4A02" w:rsidRDefault="00000000" w:rsidP="00A5191B">
            <w:pPr>
              <w:pStyle w:val="EMEANormal"/>
              <w:keepNext/>
              <w:tabs>
                <w:tab w:val="clear" w:pos="562"/>
                <w:tab w:val="left" w:pos="708"/>
              </w:tabs>
              <w:suppressAutoHyphens w:val="0"/>
              <w:jc w:val="center"/>
              <w:rPr>
                <w:b/>
                <w:bCs/>
                <w:lang w:val="cs-CZ"/>
              </w:rPr>
            </w:pPr>
            <w:r w:rsidRPr="001B4A02">
              <w:rPr>
                <w:b/>
                <w:bCs/>
                <w:lang w:val="cs-CZ"/>
              </w:rPr>
              <w:t>Placebo</w:t>
            </w:r>
          </w:p>
        </w:tc>
        <w:tc>
          <w:tcPr>
            <w:tcW w:w="2303" w:type="dxa"/>
            <w:tcBorders>
              <w:top w:val="single" w:sz="4" w:space="0" w:color="auto"/>
              <w:left w:val="single" w:sz="4" w:space="0" w:color="auto"/>
              <w:bottom w:val="single" w:sz="4" w:space="0" w:color="auto"/>
              <w:right w:val="single" w:sz="4" w:space="0" w:color="auto"/>
            </w:tcBorders>
          </w:tcPr>
          <w:p w14:paraId="79B0502E" w14:textId="77777777" w:rsidR="00C33C7C" w:rsidRPr="001B4A02" w:rsidRDefault="00000000" w:rsidP="00A5191B">
            <w:pPr>
              <w:pStyle w:val="EMEANormal"/>
              <w:keepNext/>
              <w:tabs>
                <w:tab w:val="clear" w:pos="562"/>
                <w:tab w:val="left" w:pos="708"/>
              </w:tabs>
              <w:suppressAutoHyphens w:val="0"/>
              <w:jc w:val="center"/>
              <w:rPr>
                <w:b/>
                <w:bCs/>
                <w:lang w:val="cs-CZ"/>
              </w:rPr>
            </w:pPr>
            <w:r w:rsidRPr="001B4A02">
              <w:rPr>
                <w:b/>
                <w:bCs/>
                <w:lang w:val="cs-CZ"/>
              </w:rPr>
              <w:t>Humira v dávce 40 mg každý druhý týden</w:t>
            </w:r>
          </w:p>
        </w:tc>
        <w:tc>
          <w:tcPr>
            <w:tcW w:w="2303" w:type="dxa"/>
            <w:tcBorders>
              <w:top w:val="single" w:sz="4" w:space="0" w:color="auto"/>
              <w:left w:val="single" w:sz="4" w:space="0" w:color="auto"/>
              <w:bottom w:val="single" w:sz="4" w:space="0" w:color="auto"/>
              <w:right w:val="single" w:sz="4" w:space="0" w:color="auto"/>
            </w:tcBorders>
          </w:tcPr>
          <w:p w14:paraId="7C00F24A" w14:textId="77777777" w:rsidR="00C33C7C" w:rsidRPr="001B4A02" w:rsidRDefault="00000000" w:rsidP="00A5191B">
            <w:pPr>
              <w:pStyle w:val="EMEANormal"/>
              <w:keepNext/>
              <w:tabs>
                <w:tab w:val="clear" w:pos="562"/>
                <w:tab w:val="left" w:pos="708"/>
              </w:tabs>
              <w:suppressAutoHyphens w:val="0"/>
              <w:jc w:val="center"/>
              <w:rPr>
                <w:b/>
                <w:bCs/>
                <w:lang w:val="cs-CZ"/>
              </w:rPr>
            </w:pPr>
            <w:r w:rsidRPr="001B4A02">
              <w:rPr>
                <w:b/>
                <w:bCs/>
                <w:lang w:val="cs-CZ"/>
              </w:rPr>
              <w:t>Humira v dávce 40 mg týdně</w:t>
            </w:r>
          </w:p>
        </w:tc>
      </w:tr>
      <w:tr w:rsidR="00534A2D" w14:paraId="7745A50F" w14:textId="77777777" w:rsidTr="00A5191B">
        <w:tc>
          <w:tcPr>
            <w:tcW w:w="2905" w:type="dxa"/>
            <w:tcBorders>
              <w:top w:val="single" w:sz="4" w:space="0" w:color="auto"/>
              <w:left w:val="single" w:sz="4" w:space="0" w:color="auto"/>
              <w:bottom w:val="single" w:sz="4" w:space="0" w:color="auto"/>
              <w:right w:val="single" w:sz="4" w:space="0" w:color="auto"/>
            </w:tcBorders>
          </w:tcPr>
          <w:p w14:paraId="205B2081" w14:textId="77777777" w:rsidR="00C33C7C" w:rsidRPr="001B4A02" w:rsidRDefault="00000000" w:rsidP="00A5191B">
            <w:pPr>
              <w:pStyle w:val="EMEANormal"/>
              <w:keepNext/>
              <w:tabs>
                <w:tab w:val="clear" w:pos="562"/>
                <w:tab w:val="left" w:pos="708"/>
              </w:tabs>
              <w:suppressAutoHyphens w:val="0"/>
              <w:rPr>
                <w:b/>
                <w:bCs/>
                <w:lang w:val="cs-CZ"/>
              </w:rPr>
            </w:pPr>
            <w:r w:rsidRPr="001B4A02">
              <w:rPr>
                <w:b/>
                <w:bCs/>
                <w:lang w:val="cs-CZ"/>
              </w:rPr>
              <w:t>Týden 26</w:t>
            </w:r>
          </w:p>
        </w:tc>
        <w:tc>
          <w:tcPr>
            <w:tcW w:w="1700" w:type="dxa"/>
            <w:tcBorders>
              <w:top w:val="single" w:sz="4" w:space="0" w:color="auto"/>
              <w:left w:val="single" w:sz="4" w:space="0" w:color="auto"/>
              <w:bottom w:val="single" w:sz="4" w:space="0" w:color="auto"/>
              <w:right w:val="single" w:sz="4" w:space="0" w:color="auto"/>
            </w:tcBorders>
          </w:tcPr>
          <w:p w14:paraId="62FABCF1" w14:textId="77777777" w:rsidR="00C33C7C" w:rsidRPr="001B4A02" w:rsidRDefault="00000000" w:rsidP="00F318D0">
            <w:pPr>
              <w:pStyle w:val="EMEANormal"/>
              <w:keepNext/>
              <w:tabs>
                <w:tab w:val="clear" w:pos="562"/>
                <w:tab w:val="left" w:pos="708"/>
              </w:tabs>
              <w:suppressAutoHyphens w:val="0"/>
              <w:jc w:val="center"/>
              <w:rPr>
                <w:b/>
                <w:bCs/>
                <w:lang w:val="cs-CZ"/>
              </w:rPr>
            </w:pPr>
            <w:r>
              <w:rPr>
                <w:b/>
                <w:bCs/>
                <w:lang w:val="cs-CZ"/>
              </w:rPr>
              <w:t>n</w:t>
            </w:r>
            <w:r w:rsidRPr="001B4A02">
              <w:rPr>
                <w:b/>
                <w:bCs/>
                <w:lang w:val="cs-CZ"/>
              </w:rPr>
              <w:t>=170</w:t>
            </w:r>
          </w:p>
        </w:tc>
        <w:tc>
          <w:tcPr>
            <w:tcW w:w="2303" w:type="dxa"/>
            <w:tcBorders>
              <w:top w:val="single" w:sz="4" w:space="0" w:color="auto"/>
              <w:left w:val="single" w:sz="4" w:space="0" w:color="auto"/>
              <w:bottom w:val="single" w:sz="4" w:space="0" w:color="auto"/>
              <w:right w:val="single" w:sz="4" w:space="0" w:color="auto"/>
            </w:tcBorders>
          </w:tcPr>
          <w:p w14:paraId="482F5FB6" w14:textId="77777777" w:rsidR="00C33C7C" w:rsidRPr="001B4A02" w:rsidRDefault="00000000" w:rsidP="00F318D0">
            <w:pPr>
              <w:pStyle w:val="EMEANormal"/>
              <w:keepNext/>
              <w:tabs>
                <w:tab w:val="clear" w:pos="562"/>
                <w:tab w:val="left" w:pos="708"/>
              </w:tabs>
              <w:suppressAutoHyphens w:val="0"/>
              <w:jc w:val="center"/>
              <w:rPr>
                <w:b/>
                <w:bCs/>
                <w:lang w:val="cs-CZ"/>
              </w:rPr>
            </w:pPr>
            <w:r>
              <w:rPr>
                <w:b/>
                <w:bCs/>
                <w:lang w:val="cs-CZ"/>
              </w:rPr>
              <w:t>n</w:t>
            </w:r>
            <w:r w:rsidRPr="001B4A02">
              <w:rPr>
                <w:b/>
                <w:bCs/>
                <w:lang w:val="cs-CZ"/>
              </w:rPr>
              <w:t>=172</w:t>
            </w:r>
          </w:p>
        </w:tc>
        <w:tc>
          <w:tcPr>
            <w:tcW w:w="2303" w:type="dxa"/>
            <w:tcBorders>
              <w:top w:val="single" w:sz="4" w:space="0" w:color="auto"/>
              <w:left w:val="single" w:sz="4" w:space="0" w:color="auto"/>
              <w:bottom w:val="single" w:sz="4" w:space="0" w:color="auto"/>
              <w:right w:val="single" w:sz="4" w:space="0" w:color="auto"/>
            </w:tcBorders>
          </w:tcPr>
          <w:p w14:paraId="5C77B41D" w14:textId="77777777" w:rsidR="00C33C7C" w:rsidRPr="001B4A02" w:rsidRDefault="00000000" w:rsidP="00F318D0">
            <w:pPr>
              <w:pStyle w:val="EMEANormal"/>
              <w:keepNext/>
              <w:tabs>
                <w:tab w:val="clear" w:pos="562"/>
                <w:tab w:val="left" w:pos="708"/>
              </w:tabs>
              <w:suppressAutoHyphens w:val="0"/>
              <w:jc w:val="center"/>
              <w:rPr>
                <w:b/>
                <w:bCs/>
                <w:lang w:val="cs-CZ"/>
              </w:rPr>
            </w:pPr>
            <w:r>
              <w:rPr>
                <w:b/>
                <w:bCs/>
                <w:lang w:val="cs-CZ"/>
              </w:rPr>
              <w:t>n</w:t>
            </w:r>
            <w:r w:rsidRPr="001B4A02">
              <w:rPr>
                <w:b/>
                <w:bCs/>
                <w:lang w:val="cs-CZ"/>
              </w:rPr>
              <w:t>=157</w:t>
            </w:r>
          </w:p>
        </w:tc>
      </w:tr>
      <w:tr w:rsidR="00534A2D" w14:paraId="6D5A8605" w14:textId="77777777" w:rsidTr="00A5191B">
        <w:tc>
          <w:tcPr>
            <w:tcW w:w="2905" w:type="dxa"/>
            <w:tcBorders>
              <w:top w:val="single" w:sz="4" w:space="0" w:color="auto"/>
              <w:left w:val="single" w:sz="4" w:space="0" w:color="auto"/>
              <w:bottom w:val="single" w:sz="4" w:space="0" w:color="auto"/>
              <w:right w:val="single" w:sz="4" w:space="0" w:color="auto"/>
            </w:tcBorders>
          </w:tcPr>
          <w:p w14:paraId="45DA1933" w14:textId="77777777" w:rsidR="00C33C7C" w:rsidRPr="001B4A02" w:rsidRDefault="00000000" w:rsidP="00A5191B">
            <w:pPr>
              <w:pStyle w:val="EMEANormal"/>
              <w:keepNext/>
              <w:tabs>
                <w:tab w:val="clear" w:pos="562"/>
                <w:tab w:val="left" w:pos="708"/>
              </w:tabs>
              <w:suppressAutoHyphens w:val="0"/>
              <w:rPr>
                <w:lang w:val="cs-CZ"/>
              </w:rPr>
            </w:pPr>
            <w:r w:rsidRPr="001B4A02">
              <w:rPr>
                <w:lang w:val="cs-CZ"/>
              </w:rPr>
              <w:t>Klinická remise</w:t>
            </w:r>
          </w:p>
        </w:tc>
        <w:tc>
          <w:tcPr>
            <w:tcW w:w="1700" w:type="dxa"/>
            <w:tcBorders>
              <w:top w:val="single" w:sz="4" w:space="0" w:color="auto"/>
              <w:left w:val="single" w:sz="4" w:space="0" w:color="auto"/>
              <w:bottom w:val="single" w:sz="4" w:space="0" w:color="auto"/>
              <w:right w:val="single" w:sz="4" w:space="0" w:color="auto"/>
            </w:tcBorders>
          </w:tcPr>
          <w:p w14:paraId="5B0590F8" w14:textId="77777777" w:rsidR="00C33C7C" w:rsidRPr="001B4A02" w:rsidRDefault="00000000" w:rsidP="00A5191B">
            <w:pPr>
              <w:pStyle w:val="EMEANormal"/>
              <w:keepNext/>
              <w:tabs>
                <w:tab w:val="clear" w:pos="562"/>
                <w:tab w:val="left" w:pos="708"/>
              </w:tabs>
              <w:suppressAutoHyphens w:val="0"/>
              <w:jc w:val="center"/>
              <w:rPr>
                <w:lang w:val="cs-CZ"/>
              </w:rPr>
            </w:pPr>
            <w:r w:rsidRPr="001B4A02">
              <w:rPr>
                <w:lang w:val="cs-CZ"/>
              </w:rPr>
              <w:t>17 %</w:t>
            </w:r>
          </w:p>
        </w:tc>
        <w:tc>
          <w:tcPr>
            <w:tcW w:w="2303" w:type="dxa"/>
            <w:tcBorders>
              <w:top w:val="single" w:sz="4" w:space="0" w:color="auto"/>
              <w:left w:val="single" w:sz="4" w:space="0" w:color="auto"/>
              <w:bottom w:val="single" w:sz="4" w:space="0" w:color="auto"/>
              <w:right w:val="single" w:sz="4" w:space="0" w:color="auto"/>
            </w:tcBorders>
          </w:tcPr>
          <w:p w14:paraId="7F9752F5" w14:textId="77777777" w:rsidR="00C33C7C" w:rsidRPr="001B4A02" w:rsidRDefault="00000000" w:rsidP="00A5191B">
            <w:pPr>
              <w:pStyle w:val="EMEANormal"/>
              <w:keepNext/>
              <w:tabs>
                <w:tab w:val="clear" w:pos="562"/>
                <w:tab w:val="left" w:pos="708"/>
              </w:tabs>
              <w:suppressAutoHyphens w:val="0"/>
              <w:jc w:val="center"/>
              <w:rPr>
                <w:lang w:val="cs-CZ"/>
              </w:rPr>
            </w:pPr>
            <w:r w:rsidRPr="001B4A02">
              <w:rPr>
                <w:lang w:val="cs-CZ"/>
              </w:rPr>
              <w:t>40 %</w:t>
            </w:r>
            <w:r w:rsidRPr="001B4A02">
              <w:rPr>
                <w:rFonts w:ascii="Symbol" w:hAnsi="Symbol"/>
                <w:vertAlign w:val="superscript"/>
                <w:lang w:val="cs-CZ"/>
              </w:rPr>
              <w:sym w:font="Symbol" w:char="F02A"/>
            </w:r>
          </w:p>
        </w:tc>
        <w:tc>
          <w:tcPr>
            <w:tcW w:w="2303" w:type="dxa"/>
            <w:tcBorders>
              <w:top w:val="single" w:sz="4" w:space="0" w:color="auto"/>
              <w:left w:val="single" w:sz="4" w:space="0" w:color="auto"/>
              <w:bottom w:val="single" w:sz="4" w:space="0" w:color="auto"/>
              <w:right w:val="single" w:sz="4" w:space="0" w:color="auto"/>
            </w:tcBorders>
          </w:tcPr>
          <w:p w14:paraId="6B566B2D" w14:textId="77777777" w:rsidR="00C33C7C" w:rsidRPr="001B4A02" w:rsidRDefault="00000000" w:rsidP="00A5191B">
            <w:pPr>
              <w:pStyle w:val="EMEANormal"/>
              <w:keepNext/>
              <w:tabs>
                <w:tab w:val="clear" w:pos="562"/>
                <w:tab w:val="left" w:pos="708"/>
              </w:tabs>
              <w:suppressAutoHyphens w:val="0"/>
              <w:jc w:val="center"/>
              <w:rPr>
                <w:lang w:val="cs-CZ"/>
              </w:rPr>
            </w:pPr>
            <w:r w:rsidRPr="001B4A02">
              <w:rPr>
                <w:lang w:val="cs-CZ"/>
              </w:rPr>
              <w:t>47 %</w:t>
            </w:r>
            <w:r w:rsidRPr="001B4A02">
              <w:rPr>
                <w:rFonts w:ascii="Symbol" w:hAnsi="Symbol"/>
                <w:vertAlign w:val="superscript"/>
                <w:lang w:val="cs-CZ"/>
              </w:rPr>
              <w:sym w:font="Symbol" w:char="F02A"/>
            </w:r>
          </w:p>
        </w:tc>
      </w:tr>
      <w:tr w:rsidR="00534A2D" w14:paraId="4548737D" w14:textId="77777777" w:rsidTr="00A5191B">
        <w:tc>
          <w:tcPr>
            <w:tcW w:w="2905" w:type="dxa"/>
            <w:tcBorders>
              <w:top w:val="single" w:sz="4" w:space="0" w:color="auto"/>
              <w:left w:val="single" w:sz="4" w:space="0" w:color="auto"/>
              <w:bottom w:val="single" w:sz="4" w:space="0" w:color="auto"/>
              <w:right w:val="single" w:sz="4" w:space="0" w:color="auto"/>
            </w:tcBorders>
          </w:tcPr>
          <w:p w14:paraId="44D46494" w14:textId="77777777" w:rsidR="00C33C7C" w:rsidRPr="001B4A02" w:rsidRDefault="00000000" w:rsidP="00A5191B">
            <w:pPr>
              <w:pStyle w:val="EMEANormal"/>
              <w:keepNext/>
              <w:tabs>
                <w:tab w:val="clear" w:pos="562"/>
                <w:tab w:val="left" w:pos="708"/>
              </w:tabs>
              <w:suppressAutoHyphens w:val="0"/>
              <w:rPr>
                <w:lang w:val="cs-CZ"/>
              </w:rPr>
            </w:pPr>
            <w:r w:rsidRPr="001B4A02">
              <w:rPr>
                <w:lang w:val="cs-CZ"/>
              </w:rPr>
              <w:t>Klinická odpověď (CR-100)</w:t>
            </w:r>
          </w:p>
        </w:tc>
        <w:tc>
          <w:tcPr>
            <w:tcW w:w="1700" w:type="dxa"/>
            <w:tcBorders>
              <w:top w:val="single" w:sz="4" w:space="0" w:color="auto"/>
              <w:left w:val="single" w:sz="4" w:space="0" w:color="auto"/>
              <w:bottom w:val="single" w:sz="4" w:space="0" w:color="auto"/>
              <w:right w:val="single" w:sz="4" w:space="0" w:color="auto"/>
            </w:tcBorders>
          </w:tcPr>
          <w:p w14:paraId="232357DC" w14:textId="77777777" w:rsidR="00C33C7C" w:rsidRPr="001B4A02" w:rsidRDefault="00000000" w:rsidP="00A5191B">
            <w:pPr>
              <w:pStyle w:val="EMEANormal"/>
              <w:keepNext/>
              <w:tabs>
                <w:tab w:val="clear" w:pos="562"/>
                <w:tab w:val="left" w:pos="708"/>
              </w:tabs>
              <w:suppressAutoHyphens w:val="0"/>
              <w:jc w:val="center"/>
              <w:rPr>
                <w:lang w:val="cs-CZ"/>
              </w:rPr>
            </w:pPr>
            <w:r w:rsidRPr="001B4A02">
              <w:rPr>
                <w:lang w:val="cs-CZ"/>
              </w:rPr>
              <w:t>27 %</w:t>
            </w:r>
          </w:p>
        </w:tc>
        <w:tc>
          <w:tcPr>
            <w:tcW w:w="2303" w:type="dxa"/>
            <w:tcBorders>
              <w:top w:val="single" w:sz="4" w:space="0" w:color="auto"/>
              <w:left w:val="single" w:sz="4" w:space="0" w:color="auto"/>
              <w:bottom w:val="single" w:sz="4" w:space="0" w:color="auto"/>
              <w:right w:val="single" w:sz="4" w:space="0" w:color="auto"/>
            </w:tcBorders>
          </w:tcPr>
          <w:p w14:paraId="1DEE6173" w14:textId="77777777" w:rsidR="00C33C7C" w:rsidRPr="001B4A02" w:rsidRDefault="00000000" w:rsidP="00A5191B">
            <w:pPr>
              <w:pStyle w:val="EMEANormal"/>
              <w:keepNext/>
              <w:tabs>
                <w:tab w:val="clear" w:pos="562"/>
                <w:tab w:val="left" w:pos="708"/>
              </w:tabs>
              <w:suppressAutoHyphens w:val="0"/>
              <w:jc w:val="center"/>
              <w:rPr>
                <w:lang w:val="cs-CZ"/>
              </w:rPr>
            </w:pPr>
            <w:r w:rsidRPr="001B4A02">
              <w:rPr>
                <w:lang w:val="cs-CZ"/>
              </w:rPr>
              <w:t>52 %</w:t>
            </w:r>
            <w:r w:rsidRPr="001B4A02">
              <w:rPr>
                <w:rFonts w:ascii="Symbol" w:hAnsi="Symbol"/>
                <w:vertAlign w:val="superscript"/>
                <w:lang w:val="cs-CZ"/>
              </w:rPr>
              <w:sym w:font="Symbol" w:char="F02A"/>
            </w:r>
          </w:p>
        </w:tc>
        <w:tc>
          <w:tcPr>
            <w:tcW w:w="2303" w:type="dxa"/>
            <w:tcBorders>
              <w:top w:val="single" w:sz="4" w:space="0" w:color="auto"/>
              <w:left w:val="single" w:sz="4" w:space="0" w:color="auto"/>
              <w:bottom w:val="single" w:sz="4" w:space="0" w:color="auto"/>
              <w:right w:val="single" w:sz="4" w:space="0" w:color="auto"/>
            </w:tcBorders>
          </w:tcPr>
          <w:p w14:paraId="5D1D3A0A" w14:textId="77777777" w:rsidR="00C33C7C" w:rsidRPr="001B4A02" w:rsidRDefault="00000000" w:rsidP="00A5191B">
            <w:pPr>
              <w:pStyle w:val="EMEANormal"/>
              <w:keepNext/>
              <w:tabs>
                <w:tab w:val="clear" w:pos="562"/>
                <w:tab w:val="left" w:pos="708"/>
              </w:tabs>
              <w:suppressAutoHyphens w:val="0"/>
              <w:jc w:val="center"/>
              <w:rPr>
                <w:lang w:val="cs-CZ"/>
              </w:rPr>
            </w:pPr>
            <w:r w:rsidRPr="001B4A02">
              <w:rPr>
                <w:lang w:val="cs-CZ"/>
              </w:rPr>
              <w:t>52 %</w:t>
            </w:r>
            <w:r w:rsidRPr="001B4A02">
              <w:rPr>
                <w:rFonts w:ascii="Symbol" w:hAnsi="Symbol"/>
                <w:vertAlign w:val="superscript"/>
                <w:lang w:val="cs-CZ"/>
              </w:rPr>
              <w:sym w:font="Symbol" w:char="F02A"/>
            </w:r>
          </w:p>
        </w:tc>
      </w:tr>
      <w:tr w:rsidR="00534A2D" w14:paraId="38504704" w14:textId="77777777" w:rsidTr="00A5191B">
        <w:tc>
          <w:tcPr>
            <w:tcW w:w="2905" w:type="dxa"/>
            <w:tcBorders>
              <w:top w:val="single" w:sz="4" w:space="0" w:color="auto"/>
              <w:left w:val="single" w:sz="4" w:space="0" w:color="auto"/>
              <w:bottom w:val="single" w:sz="4" w:space="0" w:color="auto"/>
              <w:right w:val="single" w:sz="4" w:space="0" w:color="auto"/>
            </w:tcBorders>
          </w:tcPr>
          <w:p w14:paraId="078364CB" w14:textId="77777777" w:rsidR="00C33C7C" w:rsidRPr="001B4A02" w:rsidRDefault="00000000" w:rsidP="00A5191B">
            <w:pPr>
              <w:pStyle w:val="EMEANormal"/>
              <w:tabs>
                <w:tab w:val="clear" w:pos="562"/>
                <w:tab w:val="left" w:pos="708"/>
              </w:tabs>
              <w:suppressAutoHyphens w:val="0"/>
              <w:ind w:left="142"/>
              <w:rPr>
                <w:lang w:val="cs-CZ"/>
              </w:rPr>
            </w:pPr>
            <w:r w:rsidRPr="001B4A02">
              <w:rPr>
                <w:lang w:val="cs-CZ"/>
              </w:rPr>
              <w:t xml:space="preserve">Pacienti v remisi bez užívání steroidů po dobu </w:t>
            </w:r>
            <w:r w:rsidR="008E5C77" w:rsidRPr="001B4A02">
              <w:rPr>
                <w:rFonts w:ascii="Symbol" w:hAnsi="Symbol"/>
                <w:lang w:val="cs-CZ"/>
              </w:rPr>
              <w:sym w:font="Symbol" w:char="F0B3"/>
            </w:r>
            <w:r w:rsidRPr="001B4A02">
              <w:rPr>
                <w:lang w:val="cs-CZ"/>
              </w:rPr>
              <w:t> 90 dní</w:t>
            </w:r>
            <w:r w:rsidRPr="001B4A02">
              <w:rPr>
                <w:vertAlign w:val="superscript"/>
                <w:lang w:val="cs-CZ"/>
              </w:rPr>
              <w:t>a</w:t>
            </w:r>
          </w:p>
        </w:tc>
        <w:tc>
          <w:tcPr>
            <w:tcW w:w="1700" w:type="dxa"/>
            <w:tcBorders>
              <w:top w:val="single" w:sz="4" w:space="0" w:color="auto"/>
              <w:left w:val="single" w:sz="4" w:space="0" w:color="auto"/>
              <w:bottom w:val="single" w:sz="4" w:space="0" w:color="auto"/>
              <w:right w:val="single" w:sz="4" w:space="0" w:color="auto"/>
            </w:tcBorders>
          </w:tcPr>
          <w:p w14:paraId="56BE862D" w14:textId="77777777" w:rsidR="00C33C7C" w:rsidRPr="001B4A02" w:rsidRDefault="00000000" w:rsidP="00A5191B">
            <w:pPr>
              <w:pStyle w:val="EMEANormal"/>
              <w:tabs>
                <w:tab w:val="clear" w:pos="562"/>
                <w:tab w:val="left" w:pos="708"/>
              </w:tabs>
              <w:suppressAutoHyphens w:val="0"/>
              <w:jc w:val="center"/>
              <w:rPr>
                <w:lang w:val="cs-CZ"/>
              </w:rPr>
            </w:pPr>
            <w:r w:rsidRPr="001B4A02">
              <w:rPr>
                <w:lang w:val="cs-CZ"/>
              </w:rPr>
              <w:t>3 % (2 z 66)</w:t>
            </w:r>
          </w:p>
        </w:tc>
        <w:tc>
          <w:tcPr>
            <w:tcW w:w="2303" w:type="dxa"/>
            <w:tcBorders>
              <w:top w:val="single" w:sz="4" w:space="0" w:color="auto"/>
              <w:left w:val="single" w:sz="4" w:space="0" w:color="auto"/>
              <w:bottom w:val="single" w:sz="4" w:space="0" w:color="auto"/>
              <w:right w:val="single" w:sz="4" w:space="0" w:color="auto"/>
            </w:tcBorders>
          </w:tcPr>
          <w:p w14:paraId="662E62A8" w14:textId="77777777" w:rsidR="00C33C7C" w:rsidRPr="001B4A02" w:rsidRDefault="00000000" w:rsidP="00A5191B">
            <w:pPr>
              <w:pStyle w:val="EMEANormal"/>
              <w:tabs>
                <w:tab w:val="clear" w:pos="562"/>
                <w:tab w:val="left" w:pos="708"/>
              </w:tabs>
              <w:suppressAutoHyphens w:val="0"/>
              <w:jc w:val="center"/>
              <w:rPr>
                <w:lang w:val="cs-CZ"/>
              </w:rPr>
            </w:pPr>
            <w:r w:rsidRPr="001B4A02">
              <w:rPr>
                <w:lang w:val="cs-CZ"/>
              </w:rPr>
              <w:t>19 % (11 z 58)</w:t>
            </w:r>
            <w:r w:rsidRPr="001B4A02">
              <w:rPr>
                <w:vertAlign w:val="superscript"/>
                <w:lang w:val="cs-CZ"/>
              </w:rPr>
              <w:t xml:space="preserve"> </w:t>
            </w:r>
            <w:r w:rsidRPr="001B4A02">
              <w:rPr>
                <w:rFonts w:ascii="Symbol" w:hAnsi="Symbol"/>
                <w:vertAlign w:val="superscript"/>
                <w:lang w:val="cs-CZ"/>
              </w:rPr>
              <w:sym w:font="Symbol" w:char="F02A"/>
            </w:r>
            <w:r w:rsidRPr="001B4A02">
              <w:rPr>
                <w:rFonts w:ascii="Symbol" w:hAnsi="Symbol"/>
                <w:vertAlign w:val="superscript"/>
                <w:lang w:val="cs-CZ"/>
              </w:rPr>
              <w:sym w:font="Symbol" w:char="F02A"/>
            </w:r>
          </w:p>
        </w:tc>
        <w:tc>
          <w:tcPr>
            <w:tcW w:w="2303" w:type="dxa"/>
            <w:tcBorders>
              <w:top w:val="single" w:sz="4" w:space="0" w:color="auto"/>
              <w:left w:val="single" w:sz="4" w:space="0" w:color="auto"/>
              <w:bottom w:val="single" w:sz="4" w:space="0" w:color="auto"/>
              <w:right w:val="single" w:sz="4" w:space="0" w:color="auto"/>
            </w:tcBorders>
          </w:tcPr>
          <w:p w14:paraId="1C8BBFF8" w14:textId="77777777" w:rsidR="00C33C7C" w:rsidRPr="001B4A02" w:rsidRDefault="00000000" w:rsidP="00A5191B">
            <w:pPr>
              <w:pStyle w:val="EMEANormal"/>
              <w:tabs>
                <w:tab w:val="clear" w:pos="562"/>
                <w:tab w:val="left" w:pos="708"/>
              </w:tabs>
              <w:suppressAutoHyphens w:val="0"/>
              <w:jc w:val="center"/>
              <w:rPr>
                <w:lang w:val="cs-CZ"/>
              </w:rPr>
            </w:pPr>
            <w:r w:rsidRPr="001B4A02">
              <w:rPr>
                <w:lang w:val="cs-CZ"/>
              </w:rPr>
              <w:t>15 % (11 ze 74)</w:t>
            </w:r>
            <w:r w:rsidRPr="001B4A02">
              <w:rPr>
                <w:vertAlign w:val="superscript"/>
                <w:lang w:val="cs-CZ"/>
              </w:rPr>
              <w:t xml:space="preserve"> </w:t>
            </w:r>
            <w:r w:rsidRPr="001B4A02">
              <w:rPr>
                <w:rFonts w:ascii="Symbol" w:hAnsi="Symbol"/>
                <w:vertAlign w:val="superscript"/>
                <w:lang w:val="cs-CZ"/>
              </w:rPr>
              <w:sym w:font="Symbol" w:char="F02A"/>
            </w:r>
            <w:r w:rsidRPr="001B4A02">
              <w:rPr>
                <w:rFonts w:ascii="Symbol" w:hAnsi="Symbol"/>
                <w:vertAlign w:val="superscript"/>
                <w:lang w:val="cs-CZ"/>
              </w:rPr>
              <w:sym w:font="Symbol" w:char="F02A"/>
            </w:r>
          </w:p>
        </w:tc>
      </w:tr>
      <w:tr w:rsidR="00534A2D" w14:paraId="24EFD804" w14:textId="77777777" w:rsidTr="00A5191B">
        <w:tc>
          <w:tcPr>
            <w:tcW w:w="2905" w:type="dxa"/>
            <w:tcBorders>
              <w:top w:val="single" w:sz="4" w:space="0" w:color="auto"/>
              <w:left w:val="single" w:sz="4" w:space="0" w:color="auto"/>
              <w:bottom w:val="single" w:sz="4" w:space="0" w:color="auto"/>
              <w:right w:val="single" w:sz="4" w:space="0" w:color="auto"/>
            </w:tcBorders>
          </w:tcPr>
          <w:p w14:paraId="7AC12796" w14:textId="77777777" w:rsidR="00C33C7C" w:rsidRPr="001B4A02" w:rsidRDefault="00000000" w:rsidP="00A5191B">
            <w:pPr>
              <w:pStyle w:val="EMEANormal"/>
              <w:tabs>
                <w:tab w:val="clear" w:pos="562"/>
                <w:tab w:val="left" w:pos="708"/>
              </w:tabs>
              <w:suppressAutoHyphens w:val="0"/>
              <w:rPr>
                <w:b/>
                <w:bCs/>
                <w:lang w:val="cs-CZ"/>
              </w:rPr>
            </w:pPr>
            <w:r w:rsidRPr="001B4A02">
              <w:rPr>
                <w:b/>
                <w:bCs/>
                <w:lang w:val="cs-CZ"/>
              </w:rPr>
              <w:t>Týden 56</w:t>
            </w:r>
          </w:p>
        </w:tc>
        <w:tc>
          <w:tcPr>
            <w:tcW w:w="1700" w:type="dxa"/>
            <w:tcBorders>
              <w:top w:val="single" w:sz="4" w:space="0" w:color="auto"/>
              <w:left w:val="single" w:sz="4" w:space="0" w:color="auto"/>
              <w:bottom w:val="single" w:sz="4" w:space="0" w:color="auto"/>
              <w:right w:val="single" w:sz="4" w:space="0" w:color="auto"/>
            </w:tcBorders>
          </w:tcPr>
          <w:p w14:paraId="5F189C1A" w14:textId="77777777" w:rsidR="00C33C7C" w:rsidRPr="001B4A02" w:rsidRDefault="00000000" w:rsidP="00F318D0">
            <w:pPr>
              <w:pStyle w:val="EMEANormal"/>
              <w:tabs>
                <w:tab w:val="clear" w:pos="562"/>
                <w:tab w:val="left" w:pos="708"/>
              </w:tabs>
              <w:suppressAutoHyphens w:val="0"/>
              <w:jc w:val="center"/>
              <w:rPr>
                <w:b/>
                <w:bCs/>
                <w:lang w:val="cs-CZ"/>
              </w:rPr>
            </w:pPr>
            <w:r>
              <w:rPr>
                <w:b/>
                <w:bCs/>
                <w:lang w:val="cs-CZ"/>
              </w:rPr>
              <w:t>n</w:t>
            </w:r>
            <w:r w:rsidRPr="001B4A02">
              <w:rPr>
                <w:b/>
                <w:bCs/>
                <w:lang w:val="cs-CZ"/>
              </w:rPr>
              <w:t>=170</w:t>
            </w:r>
          </w:p>
        </w:tc>
        <w:tc>
          <w:tcPr>
            <w:tcW w:w="2303" w:type="dxa"/>
            <w:tcBorders>
              <w:top w:val="single" w:sz="4" w:space="0" w:color="auto"/>
              <w:left w:val="single" w:sz="4" w:space="0" w:color="auto"/>
              <w:bottom w:val="single" w:sz="4" w:space="0" w:color="auto"/>
              <w:right w:val="single" w:sz="4" w:space="0" w:color="auto"/>
            </w:tcBorders>
          </w:tcPr>
          <w:p w14:paraId="4E297FF7" w14:textId="77777777" w:rsidR="00C33C7C" w:rsidRPr="001B4A02" w:rsidRDefault="00000000" w:rsidP="00F318D0">
            <w:pPr>
              <w:pStyle w:val="EMEANormal"/>
              <w:tabs>
                <w:tab w:val="clear" w:pos="562"/>
                <w:tab w:val="left" w:pos="708"/>
              </w:tabs>
              <w:suppressAutoHyphens w:val="0"/>
              <w:jc w:val="center"/>
              <w:rPr>
                <w:b/>
                <w:bCs/>
                <w:lang w:val="cs-CZ"/>
              </w:rPr>
            </w:pPr>
            <w:r>
              <w:rPr>
                <w:b/>
                <w:bCs/>
                <w:lang w:val="cs-CZ"/>
              </w:rPr>
              <w:t>n</w:t>
            </w:r>
            <w:r w:rsidRPr="001B4A02">
              <w:rPr>
                <w:b/>
                <w:bCs/>
                <w:lang w:val="cs-CZ"/>
              </w:rPr>
              <w:t>=172</w:t>
            </w:r>
          </w:p>
        </w:tc>
        <w:tc>
          <w:tcPr>
            <w:tcW w:w="2303" w:type="dxa"/>
            <w:tcBorders>
              <w:top w:val="single" w:sz="4" w:space="0" w:color="auto"/>
              <w:left w:val="single" w:sz="4" w:space="0" w:color="auto"/>
              <w:bottom w:val="single" w:sz="4" w:space="0" w:color="auto"/>
              <w:right w:val="single" w:sz="4" w:space="0" w:color="auto"/>
            </w:tcBorders>
          </w:tcPr>
          <w:p w14:paraId="291EFD80" w14:textId="77777777" w:rsidR="00C33C7C" w:rsidRPr="001B4A02" w:rsidRDefault="00000000" w:rsidP="00F318D0">
            <w:pPr>
              <w:pStyle w:val="EMEANormal"/>
              <w:tabs>
                <w:tab w:val="clear" w:pos="562"/>
                <w:tab w:val="left" w:pos="708"/>
              </w:tabs>
              <w:suppressAutoHyphens w:val="0"/>
              <w:jc w:val="center"/>
              <w:rPr>
                <w:b/>
                <w:bCs/>
                <w:lang w:val="cs-CZ"/>
              </w:rPr>
            </w:pPr>
            <w:r>
              <w:rPr>
                <w:b/>
                <w:bCs/>
                <w:lang w:val="cs-CZ"/>
              </w:rPr>
              <w:t>n</w:t>
            </w:r>
            <w:r w:rsidRPr="001B4A02">
              <w:rPr>
                <w:b/>
                <w:bCs/>
                <w:lang w:val="cs-CZ"/>
              </w:rPr>
              <w:t>=157</w:t>
            </w:r>
          </w:p>
        </w:tc>
      </w:tr>
      <w:tr w:rsidR="00534A2D" w14:paraId="4DD7F02C" w14:textId="77777777" w:rsidTr="00A5191B">
        <w:tc>
          <w:tcPr>
            <w:tcW w:w="2905" w:type="dxa"/>
            <w:tcBorders>
              <w:top w:val="single" w:sz="4" w:space="0" w:color="auto"/>
              <w:left w:val="single" w:sz="4" w:space="0" w:color="auto"/>
              <w:bottom w:val="single" w:sz="4" w:space="0" w:color="auto"/>
              <w:right w:val="single" w:sz="4" w:space="0" w:color="auto"/>
            </w:tcBorders>
          </w:tcPr>
          <w:p w14:paraId="203ED3FE" w14:textId="77777777" w:rsidR="00C33C7C" w:rsidRPr="001B4A02" w:rsidRDefault="00000000" w:rsidP="00A5191B">
            <w:pPr>
              <w:pStyle w:val="EMEANormal"/>
              <w:tabs>
                <w:tab w:val="clear" w:pos="562"/>
                <w:tab w:val="left" w:pos="708"/>
              </w:tabs>
              <w:suppressAutoHyphens w:val="0"/>
              <w:rPr>
                <w:lang w:val="cs-CZ"/>
              </w:rPr>
            </w:pPr>
            <w:r w:rsidRPr="001B4A02">
              <w:rPr>
                <w:lang w:val="cs-CZ"/>
              </w:rPr>
              <w:t>Klinická remise</w:t>
            </w:r>
          </w:p>
        </w:tc>
        <w:tc>
          <w:tcPr>
            <w:tcW w:w="1700" w:type="dxa"/>
            <w:tcBorders>
              <w:top w:val="single" w:sz="4" w:space="0" w:color="auto"/>
              <w:left w:val="single" w:sz="4" w:space="0" w:color="auto"/>
              <w:bottom w:val="single" w:sz="4" w:space="0" w:color="auto"/>
              <w:right w:val="single" w:sz="4" w:space="0" w:color="auto"/>
            </w:tcBorders>
          </w:tcPr>
          <w:p w14:paraId="25577624" w14:textId="77777777" w:rsidR="00C33C7C" w:rsidRPr="001B4A02" w:rsidRDefault="00000000" w:rsidP="00A5191B">
            <w:pPr>
              <w:pStyle w:val="EMEANormal"/>
              <w:tabs>
                <w:tab w:val="clear" w:pos="562"/>
                <w:tab w:val="left" w:pos="708"/>
              </w:tabs>
              <w:suppressAutoHyphens w:val="0"/>
              <w:jc w:val="center"/>
              <w:rPr>
                <w:lang w:val="cs-CZ"/>
              </w:rPr>
            </w:pPr>
            <w:r w:rsidRPr="001B4A02">
              <w:rPr>
                <w:lang w:val="cs-CZ"/>
              </w:rPr>
              <w:t>12 %</w:t>
            </w:r>
          </w:p>
        </w:tc>
        <w:tc>
          <w:tcPr>
            <w:tcW w:w="2303" w:type="dxa"/>
            <w:tcBorders>
              <w:top w:val="single" w:sz="4" w:space="0" w:color="auto"/>
              <w:left w:val="single" w:sz="4" w:space="0" w:color="auto"/>
              <w:bottom w:val="single" w:sz="4" w:space="0" w:color="auto"/>
              <w:right w:val="single" w:sz="4" w:space="0" w:color="auto"/>
            </w:tcBorders>
          </w:tcPr>
          <w:p w14:paraId="275C05C4" w14:textId="77777777" w:rsidR="00C33C7C" w:rsidRPr="001B4A02" w:rsidRDefault="00000000" w:rsidP="00A5191B">
            <w:pPr>
              <w:pStyle w:val="EMEANormal"/>
              <w:tabs>
                <w:tab w:val="clear" w:pos="562"/>
                <w:tab w:val="left" w:pos="708"/>
              </w:tabs>
              <w:suppressAutoHyphens w:val="0"/>
              <w:jc w:val="center"/>
              <w:rPr>
                <w:lang w:val="cs-CZ"/>
              </w:rPr>
            </w:pPr>
            <w:r w:rsidRPr="001B4A02">
              <w:rPr>
                <w:lang w:val="cs-CZ"/>
              </w:rPr>
              <w:t>36 %</w:t>
            </w:r>
            <w:r w:rsidRPr="001B4A02">
              <w:rPr>
                <w:rFonts w:ascii="Symbol" w:hAnsi="Symbol"/>
                <w:vertAlign w:val="superscript"/>
                <w:lang w:val="cs-CZ"/>
              </w:rPr>
              <w:sym w:font="Symbol" w:char="F02A"/>
            </w:r>
          </w:p>
        </w:tc>
        <w:tc>
          <w:tcPr>
            <w:tcW w:w="2303" w:type="dxa"/>
            <w:tcBorders>
              <w:top w:val="single" w:sz="4" w:space="0" w:color="auto"/>
              <w:left w:val="single" w:sz="4" w:space="0" w:color="auto"/>
              <w:bottom w:val="single" w:sz="4" w:space="0" w:color="auto"/>
              <w:right w:val="single" w:sz="4" w:space="0" w:color="auto"/>
            </w:tcBorders>
          </w:tcPr>
          <w:p w14:paraId="1055FD02" w14:textId="77777777" w:rsidR="00C33C7C" w:rsidRPr="001B4A02" w:rsidRDefault="00000000" w:rsidP="00A5191B">
            <w:pPr>
              <w:pStyle w:val="EMEANormal"/>
              <w:tabs>
                <w:tab w:val="clear" w:pos="562"/>
                <w:tab w:val="left" w:pos="708"/>
              </w:tabs>
              <w:suppressAutoHyphens w:val="0"/>
              <w:jc w:val="center"/>
              <w:rPr>
                <w:lang w:val="cs-CZ"/>
              </w:rPr>
            </w:pPr>
            <w:r w:rsidRPr="001B4A02">
              <w:rPr>
                <w:lang w:val="cs-CZ"/>
              </w:rPr>
              <w:t>41 %</w:t>
            </w:r>
            <w:r w:rsidRPr="001B4A02">
              <w:rPr>
                <w:rFonts w:ascii="Symbol" w:hAnsi="Symbol"/>
                <w:vertAlign w:val="superscript"/>
                <w:lang w:val="cs-CZ"/>
              </w:rPr>
              <w:sym w:font="Symbol" w:char="F02A"/>
            </w:r>
          </w:p>
        </w:tc>
      </w:tr>
      <w:tr w:rsidR="00534A2D" w14:paraId="5C8F0C18" w14:textId="77777777" w:rsidTr="00A5191B">
        <w:tc>
          <w:tcPr>
            <w:tcW w:w="2905" w:type="dxa"/>
            <w:tcBorders>
              <w:top w:val="single" w:sz="4" w:space="0" w:color="auto"/>
              <w:left w:val="single" w:sz="4" w:space="0" w:color="auto"/>
              <w:bottom w:val="single" w:sz="4" w:space="0" w:color="auto"/>
              <w:right w:val="single" w:sz="4" w:space="0" w:color="auto"/>
            </w:tcBorders>
          </w:tcPr>
          <w:p w14:paraId="70259588" w14:textId="77777777" w:rsidR="00C33C7C" w:rsidRPr="001B4A02" w:rsidRDefault="00000000" w:rsidP="00A5191B">
            <w:pPr>
              <w:pStyle w:val="EMEANormal"/>
              <w:tabs>
                <w:tab w:val="clear" w:pos="562"/>
                <w:tab w:val="left" w:pos="708"/>
              </w:tabs>
              <w:suppressAutoHyphens w:val="0"/>
              <w:rPr>
                <w:lang w:val="cs-CZ"/>
              </w:rPr>
            </w:pPr>
            <w:r w:rsidRPr="001B4A02">
              <w:rPr>
                <w:lang w:val="cs-CZ"/>
              </w:rPr>
              <w:t>Klinická odpověď (CR-100)</w:t>
            </w:r>
          </w:p>
        </w:tc>
        <w:tc>
          <w:tcPr>
            <w:tcW w:w="1700" w:type="dxa"/>
            <w:tcBorders>
              <w:top w:val="single" w:sz="4" w:space="0" w:color="auto"/>
              <w:left w:val="single" w:sz="4" w:space="0" w:color="auto"/>
              <w:bottom w:val="single" w:sz="4" w:space="0" w:color="auto"/>
              <w:right w:val="single" w:sz="4" w:space="0" w:color="auto"/>
            </w:tcBorders>
          </w:tcPr>
          <w:p w14:paraId="6CE68288" w14:textId="77777777" w:rsidR="00C33C7C" w:rsidRPr="001B4A02" w:rsidRDefault="00000000" w:rsidP="00A5191B">
            <w:pPr>
              <w:pStyle w:val="EMEANormal"/>
              <w:tabs>
                <w:tab w:val="clear" w:pos="562"/>
                <w:tab w:val="left" w:pos="708"/>
              </w:tabs>
              <w:suppressAutoHyphens w:val="0"/>
              <w:jc w:val="center"/>
              <w:rPr>
                <w:lang w:val="cs-CZ"/>
              </w:rPr>
            </w:pPr>
            <w:r w:rsidRPr="001B4A02">
              <w:rPr>
                <w:lang w:val="cs-CZ"/>
              </w:rPr>
              <w:t>17 %</w:t>
            </w:r>
          </w:p>
        </w:tc>
        <w:tc>
          <w:tcPr>
            <w:tcW w:w="2303" w:type="dxa"/>
            <w:tcBorders>
              <w:top w:val="single" w:sz="4" w:space="0" w:color="auto"/>
              <w:left w:val="single" w:sz="4" w:space="0" w:color="auto"/>
              <w:bottom w:val="single" w:sz="4" w:space="0" w:color="auto"/>
              <w:right w:val="single" w:sz="4" w:space="0" w:color="auto"/>
            </w:tcBorders>
          </w:tcPr>
          <w:p w14:paraId="622A8C9F" w14:textId="77777777" w:rsidR="00C33C7C" w:rsidRPr="001B4A02" w:rsidRDefault="00000000" w:rsidP="00A5191B">
            <w:pPr>
              <w:pStyle w:val="EMEANormal"/>
              <w:tabs>
                <w:tab w:val="clear" w:pos="562"/>
                <w:tab w:val="left" w:pos="708"/>
              </w:tabs>
              <w:suppressAutoHyphens w:val="0"/>
              <w:jc w:val="center"/>
              <w:rPr>
                <w:lang w:val="cs-CZ"/>
              </w:rPr>
            </w:pPr>
            <w:r w:rsidRPr="001B4A02">
              <w:rPr>
                <w:lang w:val="cs-CZ"/>
              </w:rPr>
              <w:t>41 %</w:t>
            </w:r>
            <w:r w:rsidRPr="001B4A02">
              <w:rPr>
                <w:rFonts w:ascii="Symbol" w:hAnsi="Symbol"/>
                <w:vertAlign w:val="superscript"/>
                <w:lang w:val="cs-CZ"/>
              </w:rPr>
              <w:sym w:font="Symbol" w:char="F02A"/>
            </w:r>
          </w:p>
        </w:tc>
        <w:tc>
          <w:tcPr>
            <w:tcW w:w="2303" w:type="dxa"/>
            <w:tcBorders>
              <w:top w:val="single" w:sz="4" w:space="0" w:color="auto"/>
              <w:left w:val="single" w:sz="4" w:space="0" w:color="auto"/>
              <w:bottom w:val="single" w:sz="4" w:space="0" w:color="auto"/>
              <w:right w:val="single" w:sz="4" w:space="0" w:color="auto"/>
            </w:tcBorders>
          </w:tcPr>
          <w:p w14:paraId="15619B49" w14:textId="77777777" w:rsidR="00C33C7C" w:rsidRPr="001B4A02" w:rsidRDefault="00000000" w:rsidP="00A5191B">
            <w:pPr>
              <w:pStyle w:val="EMEANormal"/>
              <w:tabs>
                <w:tab w:val="clear" w:pos="562"/>
                <w:tab w:val="left" w:pos="708"/>
              </w:tabs>
              <w:suppressAutoHyphens w:val="0"/>
              <w:jc w:val="center"/>
              <w:rPr>
                <w:lang w:val="cs-CZ"/>
              </w:rPr>
            </w:pPr>
            <w:r w:rsidRPr="001B4A02">
              <w:rPr>
                <w:lang w:val="cs-CZ"/>
              </w:rPr>
              <w:t>48 %</w:t>
            </w:r>
            <w:r w:rsidRPr="001B4A02">
              <w:rPr>
                <w:rFonts w:ascii="Symbol" w:hAnsi="Symbol"/>
                <w:vertAlign w:val="superscript"/>
                <w:lang w:val="cs-CZ"/>
              </w:rPr>
              <w:sym w:font="Symbol" w:char="F02A"/>
            </w:r>
          </w:p>
        </w:tc>
      </w:tr>
      <w:tr w:rsidR="00534A2D" w14:paraId="2E49BCBD" w14:textId="77777777" w:rsidTr="00A5191B">
        <w:tc>
          <w:tcPr>
            <w:tcW w:w="2905" w:type="dxa"/>
            <w:tcBorders>
              <w:top w:val="single" w:sz="4" w:space="0" w:color="auto"/>
              <w:left w:val="single" w:sz="4" w:space="0" w:color="auto"/>
              <w:bottom w:val="single" w:sz="4" w:space="0" w:color="auto"/>
              <w:right w:val="single" w:sz="4" w:space="0" w:color="auto"/>
            </w:tcBorders>
          </w:tcPr>
          <w:p w14:paraId="76CFE6FB" w14:textId="77777777" w:rsidR="00C33C7C" w:rsidRPr="001B4A02" w:rsidRDefault="00000000" w:rsidP="00A5191B">
            <w:pPr>
              <w:pStyle w:val="EMEANormal"/>
              <w:tabs>
                <w:tab w:val="clear" w:pos="562"/>
                <w:tab w:val="left" w:pos="708"/>
              </w:tabs>
              <w:suppressAutoHyphens w:val="0"/>
              <w:ind w:left="142"/>
              <w:rPr>
                <w:lang w:val="cs-CZ"/>
              </w:rPr>
            </w:pPr>
            <w:r w:rsidRPr="001B4A02">
              <w:rPr>
                <w:lang w:val="cs-CZ"/>
              </w:rPr>
              <w:t xml:space="preserve">Pacienti v remisi bez užívání steroidů po dobu </w:t>
            </w:r>
            <w:r w:rsidR="008E5C77" w:rsidRPr="001B4A02">
              <w:rPr>
                <w:rFonts w:ascii="Symbol" w:hAnsi="Symbol"/>
                <w:lang w:val="cs-CZ"/>
              </w:rPr>
              <w:sym w:font="Symbol" w:char="F0B3"/>
            </w:r>
            <w:r w:rsidRPr="001B4A02">
              <w:rPr>
                <w:lang w:val="cs-CZ"/>
              </w:rPr>
              <w:t> 90 dní</w:t>
            </w:r>
            <w:r w:rsidRPr="001B4A02">
              <w:rPr>
                <w:vertAlign w:val="superscript"/>
                <w:lang w:val="cs-CZ"/>
              </w:rPr>
              <w:t>a</w:t>
            </w:r>
          </w:p>
        </w:tc>
        <w:tc>
          <w:tcPr>
            <w:tcW w:w="1700" w:type="dxa"/>
            <w:tcBorders>
              <w:top w:val="single" w:sz="4" w:space="0" w:color="auto"/>
              <w:left w:val="single" w:sz="4" w:space="0" w:color="auto"/>
              <w:bottom w:val="single" w:sz="4" w:space="0" w:color="auto"/>
              <w:right w:val="single" w:sz="4" w:space="0" w:color="auto"/>
            </w:tcBorders>
          </w:tcPr>
          <w:p w14:paraId="20DD2B77" w14:textId="77777777" w:rsidR="00C33C7C" w:rsidRPr="001B4A02" w:rsidRDefault="00000000" w:rsidP="00A5191B">
            <w:pPr>
              <w:pStyle w:val="EMEANormal"/>
              <w:tabs>
                <w:tab w:val="clear" w:pos="562"/>
                <w:tab w:val="left" w:pos="708"/>
              </w:tabs>
              <w:suppressAutoHyphens w:val="0"/>
              <w:jc w:val="center"/>
              <w:rPr>
                <w:lang w:val="cs-CZ"/>
              </w:rPr>
            </w:pPr>
            <w:r w:rsidRPr="001B4A02">
              <w:rPr>
                <w:lang w:val="cs-CZ"/>
              </w:rPr>
              <w:t>5 % (3 z 66)</w:t>
            </w:r>
          </w:p>
        </w:tc>
        <w:tc>
          <w:tcPr>
            <w:tcW w:w="2303" w:type="dxa"/>
            <w:tcBorders>
              <w:top w:val="single" w:sz="4" w:space="0" w:color="auto"/>
              <w:left w:val="single" w:sz="4" w:space="0" w:color="auto"/>
              <w:bottom w:val="single" w:sz="4" w:space="0" w:color="auto"/>
              <w:right w:val="single" w:sz="4" w:space="0" w:color="auto"/>
            </w:tcBorders>
          </w:tcPr>
          <w:p w14:paraId="5FD92681" w14:textId="77777777" w:rsidR="00C33C7C" w:rsidRPr="001B4A02" w:rsidRDefault="00000000" w:rsidP="00A5191B">
            <w:pPr>
              <w:pStyle w:val="EMEANormal"/>
              <w:tabs>
                <w:tab w:val="clear" w:pos="562"/>
                <w:tab w:val="left" w:pos="708"/>
              </w:tabs>
              <w:suppressAutoHyphens w:val="0"/>
              <w:jc w:val="center"/>
              <w:rPr>
                <w:lang w:val="cs-CZ"/>
              </w:rPr>
            </w:pPr>
            <w:r w:rsidRPr="001B4A02">
              <w:rPr>
                <w:lang w:val="cs-CZ"/>
              </w:rPr>
              <w:t>29 % (17 z</w:t>
            </w:r>
            <w:r w:rsidR="00CC37C0" w:rsidRPr="001B4A02">
              <w:rPr>
                <w:lang w:val="cs-CZ"/>
              </w:rPr>
              <w:t> </w:t>
            </w:r>
            <w:r w:rsidRPr="001B4A02">
              <w:rPr>
                <w:lang w:val="cs-CZ"/>
              </w:rPr>
              <w:t>58)</w:t>
            </w:r>
            <w:r w:rsidRPr="001B4A02">
              <w:rPr>
                <w:vertAlign w:val="superscript"/>
                <w:lang w:val="cs-CZ"/>
              </w:rPr>
              <w:t xml:space="preserve"> </w:t>
            </w:r>
            <w:r w:rsidRPr="001B4A02">
              <w:rPr>
                <w:rFonts w:ascii="Symbol" w:hAnsi="Symbol"/>
                <w:vertAlign w:val="superscript"/>
                <w:lang w:val="cs-CZ"/>
              </w:rPr>
              <w:sym w:font="Symbol" w:char="F02A"/>
            </w:r>
          </w:p>
        </w:tc>
        <w:tc>
          <w:tcPr>
            <w:tcW w:w="2303" w:type="dxa"/>
            <w:tcBorders>
              <w:top w:val="single" w:sz="4" w:space="0" w:color="auto"/>
              <w:left w:val="single" w:sz="4" w:space="0" w:color="auto"/>
              <w:bottom w:val="single" w:sz="4" w:space="0" w:color="auto"/>
              <w:right w:val="single" w:sz="4" w:space="0" w:color="auto"/>
            </w:tcBorders>
          </w:tcPr>
          <w:p w14:paraId="28A71E7F" w14:textId="77777777" w:rsidR="00C33C7C" w:rsidRPr="001B4A02" w:rsidRDefault="00000000" w:rsidP="00A5191B">
            <w:pPr>
              <w:pStyle w:val="EMEANormal"/>
              <w:tabs>
                <w:tab w:val="clear" w:pos="562"/>
                <w:tab w:val="left" w:pos="708"/>
              </w:tabs>
              <w:suppressAutoHyphens w:val="0"/>
              <w:jc w:val="center"/>
              <w:rPr>
                <w:lang w:val="cs-CZ"/>
              </w:rPr>
            </w:pPr>
            <w:r w:rsidRPr="001B4A02">
              <w:rPr>
                <w:lang w:val="cs-CZ"/>
              </w:rPr>
              <w:t>20 % (15 ze 74)</w:t>
            </w:r>
            <w:r w:rsidRPr="001B4A02">
              <w:rPr>
                <w:vertAlign w:val="superscript"/>
                <w:lang w:val="cs-CZ"/>
              </w:rPr>
              <w:t xml:space="preserve"> </w:t>
            </w:r>
            <w:r w:rsidRPr="001B4A02">
              <w:rPr>
                <w:rFonts w:ascii="Symbol" w:hAnsi="Symbol"/>
                <w:vertAlign w:val="superscript"/>
                <w:lang w:val="cs-CZ"/>
              </w:rPr>
              <w:sym w:font="Symbol" w:char="F02A"/>
            </w:r>
            <w:r w:rsidRPr="001B4A02">
              <w:rPr>
                <w:rFonts w:ascii="Symbol" w:hAnsi="Symbol"/>
                <w:vertAlign w:val="superscript"/>
                <w:lang w:val="cs-CZ"/>
              </w:rPr>
              <w:sym w:font="Symbol" w:char="F02A"/>
            </w:r>
          </w:p>
        </w:tc>
      </w:tr>
    </w:tbl>
    <w:p w14:paraId="5DDA66E4" w14:textId="77777777" w:rsidR="00C33C7C" w:rsidRPr="001B4A02" w:rsidRDefault="00000000" w:rsidP="00C33C7C">
      <w:pPr>
        <w:pStyle w:val="EMEANormal"/>
        <w:tabs>
          <w:tab w:val="clear" w:pos="562"/>
          <w:tab w:val="left" w:pos="708"/>
        </w:tabs>
        <w:suppressAutoHyphens w:val="0"/>
        <w:rPr>
          <w:bCs/>
          <w:sz w:val="20"/>
          <w:lang w:val="cs-CZ"/>
        </w:rPr>
      </w:pPr>
      <w:r w:rsidRPr="001B4A02">
        <w:rPr>
          <w:rFonts w:ascii="Symbol" w:hAnsi="Symbol"/>
          <w:sz w:val="20"/>
          <w:vertAlign w:val="superscript"/>
          <w:lang w:val="cs-CZ"/>
        </w:rPr>
        <w:sym w:font="Symbol" w:char="F02A"/>
      </w:r>
      <w:r w:rsidRPr="001B4A02">
        <w:rPr>
          <w:sz w:val="20"/>
          <w:vertAlign w:val="superscript"/>
          <w:lang w:val="cs-CZ"/>
        </w:rPr>
        <w:t xml:space="preserve"> </w:t>
      </w:r>
      <w:r w:rsidRPr="001B4A02">
        <w:rPr>
          <w:sz w:val="20"/>
          <w:lang w:val="cs-CZ"/>
        </w:rPr>
        <w:t xml:space="preserve">p </w:t>
      </w:r>
      <w:r w:rsidRPr="001B4A02">
        <w:rPr>
          <w:rFonts w:ascii="Symbol" w:hAnsi="Symbol"/>
          <w:sz w:val="20"/>
          <w:lang w:val="cs-CZ"/>
        </w:rPr>
        <w:sym w:font="Symbol" w:char="F03C"/>
      </w:r>
      <w:r w:rsidRPr="001B4A02">
        <w:rPr>
          <w:sz w:val="20"/>
          <w:lang w:val="cs-CZ"/>
        </w:rPr>
        <w:t xml:space="preserve"> 0,001 </w:t>
      </w:r>
      <w:r w:rsidRPr="001B4A02">
        <w:rPr>
          <w:bCs/>
          <w:sz w:val="20"/>
          <w:lang w:val="cs-CZ"/>
        </w:rPr>
        <w:t>párové srovnání hodnot pro přípravek Humira versus placebo</w:t>
      </w:r>
    </w:p>
    <w:p w14:paraId="1EAA1691" w14:textId="77777777" w:rsidR="00C33C7C" w:rsidRPr="001B4A02" w:rsidRDefault="00000000" w:rsidP="00C33C7C">
      <w:pPr>
        <w:pStyle w:val="EMEANormal"/>
        <w:tabs>
          <w:tab w:val="clear" w:pos="562"/>
          <w:tab w:val="left" w:pos="708"/>
        </w:tabs>
        <w:suppressAutoHyphens w:val="0"/>
        <w:rPr>
          <w:bCs/>
          <w:sz w:val="20"/>
          <w:lang w:val="cs-CZ"/>
        </w:rPr>
      </w:pPr>
      <w:r w:rsidRPr="001B4A02">
        <w:rPr>
          <w:rFonts w:ascii="Symbol" w:hAnsi="Symbol"/>
          <w:bCs/>
          <w:sz w:val="20"/>
          <w:vertAlign w:val="superscript"/>
          <w:lang w:val="cs-CZ"/>
        </w:rPr>
        <w:sym w:font="Symbol" w:char="F02A"/>
      </w:r>
      <w:r w:rsidRPr="001B4A02">
        <w:rPr>
          <w:rFonts w:ascii="Symbol" w:hAnsi="Symbol"/>
          <w:bCs/>
          <w:sz w:val="20"/>
          <w:vertAlign w:val="superscript"/>
          <w:lang w:val="cs-CZ"/>
        </w:rPr>
        <w:sym w:font="Symbol" w:char="F02A"/>
      </w:r>
      <w:r w:rsidRPr="001B4A02">
        <w:rPr>
          <w:bCs/>
          <w:sz w:val="20"/>
          <w:lang w:val="cs-CZ"/>
        </w:rPr>
        <w:t xml:space="preserve"> p </w:t>
      </w:r>
      <w:r w:rsidRPr="001B4A02">
        <w:rPr>
          <w:rFonts w:ascii="Symbol" w:hAnsi="Symbol"/>
          <w:bCs/>
          <w:sz w:val="20"/>
          <w:lang w:val="cs-CZ"/>
        </w:rPr>
        <w:sym w:font="Symbol" w:char="F03C"/>
      </w:r>
      <w:r w:rsidRPr="001B4A02">
        <w:rPr>
          <w:bCs/>
          <w:sz w:val="20"/>
          <w:lang w:val="cs-CZ"/>
        </w:rPr>
        <w:t xml:space="preserve"> 0,02 párové srovnání hodnot pro přípravek Humira versus placebo</w:t>
      </w:r>
    </w:p>
    <w:p w14:paraId="7E307511" w14:textId="77777777" w:rsidR="00C33C7C" w:rsidRPr="001B4A02" w:rsidRDefault="00000000" w:rsidP="00C33C7C">
      <w:pPr>
        <w:pStyle w:val="EMEANormal"/>
        <w:tabs>
          <w:tab w:val="clear" w:pos="562"/>
          <w:tab w:val="left" w:pos="708"/>
        </w:tabs>
        <w:suppressAutoHyphens w:val="0"/>
        <w:rPr>
          <w:sz w:val="20"/>
          <w:lang w:val="cs-CZ"/>
        </w:rPr>
      </w:pPr>
      <w:r w:rsidRPr="001B4A02">
        <w:rPr>
          <w:sz w:val="20"/>
          <w:vertAlign w:val="superscript"/>
          <w:lang w:val="cs-CZ"/>
        </w:rPr>
        <w:t xml:space="preserve">a </w:t>
      </w:r>
      <w:r w:rsidRPr="001B4A02">
        <w:rPr>
          <w:sz w:val="20"/>
          <w:lang w:val="cs-CZ"/>
        </w:rPr>
        <w:t>u těch, kteří užívali kortikosteroidy ve výchozí situaci</w:t>
      </w:r>
    </w:p>
    <w:p w14:paraId="2407F674" w14:textId="77777777" w:rsidR="00C33C7C" w:rsidRPr="001B4A02" w:rsidRDefault="00C33C7C" w:rsidP="00C33C7C">
      <w:pPr>
        <w:pStyle w:val="EMEANormal"/>
        <w:tabs>
          <w:tab w:val="clear" w:pos="562"/>
          <w:tab w:val="left" w:pos="708"/>
        </w:tabs>
        <w:suppressAutoHyphens w:val="0"/>
        <w:rPr>
          <w:lang w:val="cs-CZ"/>
        </w:rPr>
      </w:pPr>
    </w:p>
    <w:p w14:paraId="60867B8F" w14:textId="77777777" w:rsidR="00C33C7C" w:rsidRPr="001B4A02" w:rsidRDefault="00000000" w:rsidP="00C33C7C">
      <w:pPr>
        <w:pStyle w:val="EMEANormal"/>
        <w:tabs>
          <w:tab w:val="clear" w:pos="562"/>
          <w:tab w:val="left" w:pos="708"/>
        </w:tabs>
        <w:suppressAutoHyphens w:val="0"/>
        <w:rPr>
          <w:lang w:val="cs-CZ"/>
        </w:rPr>
      </w:pPr>
      <w:r w:rsidRPr="001B4A02">
        <w:rPr>
          <w:lang w:val="cs-CZ"/>
        </w:rPr>
        <w:t>Z celkového množství pacientů, kteří byli v týdnu 4 bez odpovědi na léčbu, dosáhlo v týdnu 12 odpovědi 43 % pacientů léčených přípravkem Humira, ve srovnání s 30 % pacientů, jež dostávali placebo. Tyto výsledky naznačují, že někteří pacienti, kteří nedosáhli odpovědi v týdnu 4</w:t>
      </w:r>
      <w:r w:rsidR="007978AF">
        <w:rPr>
          <w:lang w:val="cs-CZ"/>
        </w:rPr>
        <w:t>,</w:t>
      </w:r>
      <w:r w:rsidRPr="001B4A02">
        <w:rPr>
          <w:lang w:val="cs-CZ"/>
        </w:rPr>
        <w:t xml:space="preserve"> profitují z pokračování udržovací léčby do týdne 12. Léčba pokračující po 12 týdnu nevedla k významně více odpovědím (viz bod 4.2).</w:t>
      </w:r>
    </w:p>
    <w:p w14:paraId="223EF85D" w14:textId="77777777" w:rsidR="00C33C7C" w:rsidRPr="001B4A02" w:rsidRDefault="00C33C7C" w:rsidP="00C33C7C">
      <w:pPr>
        <w:pStyle w:val="EMEANormal"/>
        <w:tabs>
          <w:tab w:val="clear" w:pos="562"/>
          <w:tab w:val="left" w:pos="708"/>
        </w:tabs>
        <w:suppressAutoHyphens w:val="0"/>
        <w:rPr>
          <w:u w:val="single"/>
          <w:lang w:val="cs-CZ"/>
        </w:rPr>
      </w:pPr>
    </w:p>
    <w:p w14:paraId="64CAD256" w14:textId="77777777" w:rsidR="00C33C7C" w:rsidRPr="001B4A02" w:rsidRDefault="00000000" w:rsidP="00C33C7C">
      <w:pPr>
        <w:pStyle w:val="EMEANormal"/>
        <w:tabs>
          <w:tab w:val="clear" w:pos="562"/>
          <w:tab w:val="left" w:pos="708"/>
        </w:tabs>
        <w:suppressAutoHyphens w:val="0"/>
        <w:rPr>
          <w:lang w:val="cs-CZ"/>
        </w:rPr>
      </w:pPr>
      <w:r w:rsidRPr="001B4A02">
        <w:rPr>
          <w:lang w:val="cs-CZ"/>
        </w:rPr>
        <w:t>117 z 276 pacientů účastnících se studie CD I</w:t>
      </w:r>
      <w:r w:rsidR="002378E0">
        <w:rPr>
          <w:lang w:val="cs-CZ"/>
        </w:rPr>
        <w:t xml:space="preserve"> a </w:t>
      </w:r>
      <w:r w:rsidRPr="001B4A02">
        <w:rPr>
          <w:lang w:val="cs-CZ"/>
        </w:rPr>
        <w:t>272 ze 777 pacientů účastnících se studie CD II</w:t>
      </w:r>
      <w:r w:rsidR="002378E0">
        <w:rPr>
          <w:lang w:val="cs-CZ"/>
        </w:rPr>
        <w:t xml:space="preserve"> a </w:t>
      </w:r>
      <w:r w:rsidRPr="001B4A02">
        <w:rPr>
          <w:lang w:val="cs-CZ"/>
        </w:rPr>
        <w:t>III pokračovalo v používání adalimumabu po dobu minimálně 3 let v otevřené fázi studie. 88 z těchto 117</w:t>
      </w:r>
      <w:r w:rsidR="002378E0">
        <w:rPr>
          <w:lang w:val="cs-CZ"/>
        </w:rPr>
        <w:t xml:space="preserve"> a </w:t>
      </w:r>
      <w:r w:rsidRPr="001B4A02">
        <w:rPr>
          <w:lang w:val="cs-CZ"/>
        </w:rPr>
        <w:t>189 z těchto 272 pacientů dospělo ke klinické remisi. Klinická odpověď (CR-100) přetrvávala u 102 pacientů z těchto 117</w:t>
      </w:r>
      <w:r w:rsidR="002378E0">
        <w:rPr>
          <w:lang w:val="cs-CZ"/>
        </w:rPr>
        <w:t xml:space="preserve"> a </w:t>
      </w:r>
      <w:r w:rsidRPr="001B4A02">
        <w:rPr>
          <w:lang w:val="cs-CZ"/>
        </w:rPr>
        <w:t>u 233 z těchto 272 pacientů.</w:t>
      </w:r>
    </w:p>
    <w:p w14:paraId="53F4232E" w14:textId="77777777" w:rsidR="00C33C7C" w:rsidRPr="001B4A02" w:rsidRDefault="00C33C7C" w:rsidP="00C33C7C">
      <w:pPr>
        <w:pStyle w:val="EMEANormal"/>
        <w:tabs>
          <w:tab w:val="clear" w:pos="562"/>
          <w:tab w:val="left" w:pos="708"/>
        </w:tabs>
        <w:suppressAutoHyphens w:val="0"/>
        <w:rPr>
          <w:u w:val="single"/>
          <w:lang w:val="cs-CZ"/>
        </w:rPr>
      </w:pPr>
    </w:p>
    <w:p w14:paraId="57F671CD" w14:textId="77777777" w:rsidR="00C33C7C" w:rsidRPr="001B4A02" w:rsidRDefault="00000000" w:rsidP="00C465CA">
      <w:pPr>
        <w:pStyle w:val="EMEANormal"/>
        <w:keepNext/>
        <w:tabs>
          <w:tab w:val="clear" w:pos="562"/>
          <w:tab w:val="left" w:pos="708"/>
        </w:tabs>
        <w:suppressAutoHyphens w:val="0"/>
        <w:rPr>
          <w:i/>
          <w:u w:val="single"/>
          <w:lang w:val="cs-CZ"/>
        </w:rPr>
      </w:pPr>
      <w:r w:rsidRPr="001B4A02">
        <w:rPr>
          <w:i/>
          <w:u w:val="single"/>
          <w:lang w:val="cs-CZ"/>
        </w:rPr>
        <w:t>Kvalita života</w:t>
      </w:r>
    </w:p>
    <w:p w14:paraId="2478BA5D" w14:textId="77777777" w:rsidR="00C33C7C" w:rsidRPr="001B4A02" w:rsidRDefault="00C33C7C" w:rsidP="00C465CA">
      <w:pPr>
        <w:pStyle w:val="EMEANormal"/>
        <w:keepNext/>
        <w:tabs>
          <w:tab w:val="clear" w:pos="562"/>
          <w:tab w:val="left" w:pos="708"/>
        </w:tabs>
        <w:suppressAutoHyphens w:val="0"/>
        <w:rPr>
          <w:lang w:val="cs-CZ"/>
        </w:rPr>
      </w:pPr>
    </w:p>
    <w:p w14:paraId="4692430C" w14:textId="77777777" w:rsidR="00C33C7C" w:rsidRPr="001B4A02" w:rsidRDefault="00000000" w:rsidP="00C33C7C">
      <w:pPr>
        <w:pStyle w:val="EMEANormal"/>
        <w:tabs>
          <w:tab w:val="clear" w:pos="562"/>
          <w:tab w:val="left" w:pos="708"/>
        </w:tabs>
        <w:suppressAutoHyphens w:val="0"/>
        <w:rPr>
          <w:lang w:val="cs-CZ"/>
        </w:rPr>
      </w:pPr>
      <w:r w:rsidRPr="001B4A02">
        <w:rPr>
          <w:lang w:val="cs-CZ"/>
        </w:rPr>
        <w:t>Ve studiích CD I</w:t>
      </w:r>
      <w:r w:rsidR="002378E0">
        <w:rPr>
          <w:lang w:val="cs-CZ"/>
        </w:rPr>
        <w:t xml:space="preserve"> a </w:t>
      </w:r>
      <w:r w:rsidRPr="001B4A02">
        <w:rPr>
          <w:lang w:val="cs-CZ"/>
        </w:rPr>
        <w:t>CD II bylo v týdnu 4 u pacientů, randomizovaných do skupin používajících přípravek Humira v dávce 80/40 mg</w:t>
      </w:r>
      <w:r w:rsidR="002378E0">
        <w:rPr>
          <w:lang w:val="cs-CZ"/>
        </w:rPr>
        <w:t xml:space="preserve"> a </w:t>
      </w:r>
      <w:r w:rsidRPr="001B4A02">
        <w:rPr>
          <w:lang w:val="cs-CZ"/>
        </w:rPr>
        <w:t>160/80 mg, dosaženo, ve srovnání s placebem, úplného skóre ve specifickém, na chorobu zaměřeném dotazníku IBDQ (inflammatory bowel disease questionnaire), u studie CD III v týdnech 26</w:t>
      </w:r>
      <w:r w:rsidR="002378E0">
        <w:rPr>
          <w:lang w:val="cs-CZ"/>
        </w:rPr>
        <w:t xml:space="preserve"> a </w:t>
      </w:r>
      <w:r w:rsidRPr="001B4A02">
        <w:rPr>
          <w:lang w:val="cs-CZ"/>
        </w:rPr>
        <w:t>56 byly tyto výsledky rovněž pozorovány ve skupině léčené adalimumabem, v porovnání se skupinou léčenou placebem.</w:t>
      </w:r>
    </w:p>
    <w:p w14:paraId="74230536" w14:textId="77777777" w:rsidR="00C33C7C" w:rsidRPr="001B4A02" w:rsidRDefault="00C33C7C" w:rsidP="00C33C7C">
      <w:pPr>
        <w:pStyle w:val="EMEANormal"/>
        <w:tabs>
          <w:tab w:val="clear" w:pos="562"/>
          <w:tab w:val="left" w:pos="708"/>
        </w:tabs>
        <w:suppressAutoHyphens w:val="0"/>
        <w:rPr>
          <w:lang w:val="cs-CZ"/>
        </w:rPr>
      </w:pPr>
    </w:p>
    <w:p w14:paraId="7E8BF15C" w14:textId="77777777" w:rsidR="00C33C7C" w:rsidRPr="001B4A02" w:rsidRDefault="00000000" w:rsidP="00C33C7C">
      <w:pPr>
        <w:pStyle w:val="EMEANormal"/>
        <w:keepNext/>
        <w:rPr>
          <w:bCs/>
          <w:i/>
          <w:szCs w:val="22"/>
          <w:lang w:val="cs-CZ"/>
        </w:rPr>
      </w:pPr>
      <w:r w:rsidRPr="001B4A02">
        <w:rPr>
          <w:bCs/>
          <w:i/>
          <w:iCs/>
          <w:szCs w:val="22"/>
          <w:lang w:val="cs-CZ"/>
        </w:rPr>
        <w:t>Uveitida u dospělých pacientů</w:t>
      </w:r>
    </w:p>
    <w:p w14:paraId="59B7434B" w14:textId="77777777" w:rsidR="00C33C7C" w:rsidRPr="001B4A02" w:rsidRDefault="00C33C7C" w:rsidP="00C33C7C">
      <w:pPr>
        <w:pStyle w:val="EMEANormal"/>
        <w:keepNext/>
        <w:rPr>
          <w:bCs/>
          <w:szCs w:val="22"/>
          <w:lang w:val="cs-CZ"/>
        </w:rPr>
      </w:pPr>
    </w:p>
    <w:p w14:paraId="669D6B3C" w14:textId="77777777" w:rsidR="00C33C7C" w:rsidRPr="001B4A02" w:rsidRDefault="00000000" w:rsidP="00C33C7C">
      <w:pPr>
        <w:pStyle w:val="EMEANormal"/>
        <w:rPr>
          <w:szCs w:val="22"/>
          <w:lang w:val="cs-CZ"/>
        </w:rPr>
      </w:pPr>
      <w:r w:rsidRPr="001B4A02">
        <w:rPr>
          <w:szCs w:val="22"/>
          <w:lang w:val="cs-CZ"/>
        </w:rPr>
        <w:t>Bezpečnost</w:t>
      </w:r>
      <w:r w:rsidR="002378E0">
        <w:rPr>
          <w:szCs w:val="22"/>
          <w:lang w:val="cs-CZ"/>
        </w:rPr>
        <w:t xml:space="preserve"> a </w:t>
      </w:r>
      <w:r w:rsidRPr="001B4A02">
        <w:rPr>
          <w:szCs w:val="22"/>
          <w:lang w:val="cs-CZ"/>
        </w:rPr>
        <w:t>účinnost přípravku Humira byla hodnocena u dospělých pacientů s neinfekční intermediální</w:t>
      </w:r>
      <w:r w:rsidR="002378E0">
        <w:rPr>
          <w:szCs w:val="22"/>
          <w:lang w:val="cs-CZ"/>
        </w:rPr>
        <w:t xml:space="preserve"> a </w:t>
      </w:r>
      <w:r w:rsidRPr="001B4A02">
        <w:rPr>
          <w:szCs w:val="22"/>
          <w:lang w:val="cs-CZ"/>
        </w:rPr>
        <w:t>zadní uveitidou</w:t>
      </w:r>
      <w:r w:rsidR="002378E0">
        <w:rPr>
          <w:szCs w:val="22"/>
          <w:lang w:val="cs-CZ"/>
        </w:rPr>
        <w:t xml:space="preserve"> a </w:t>
      </w:r>
      <w:r w:rsidRPr="001B4A02">
        <w:rPr>
          <w:szCs w:val="22"/>
          <w:lang w:val="cs-CZ"/>
        </w:rPr>
        <w:t>panuveitidou, s vyloučením pacientů s izolovanou přední uveitidou, ve dvou randomizovaných, dvojitě zaslepených, placebem kontrolovaných studiích (UV I</w:t>
      </w:r>
      <w:r w:rsidR="002378E0">
        <w:rPr>
          <w:szCs w:val="22"/>
          <w:lang w:val="cs-CZ"/>
        </w:rPr>
        <w:t xml:space="preserve"> a </w:t>
      </w:r>
      <w:r w:rsidRPr="001B4A02">
        <w:rPr>
          <w:szCs w:val="22"/>
          <w:lang w:val="cs-CZ"/>
        </w:rPr>
        <w:t>II). Pacienti dostávali placebo nebo přípravek Humira v úvodní dávce 80 mg, následované 40 mg podávanými jednou za dva týdny počínaje jeden týden po úvodní dávce. Současné podávání stálé dávky jednoho nebiologického imunosupresiva bylo povoleno.</w:t>
      </w:r>
    </w:p>
    <w:p w14:paraId="4027D894" w14:textId="77777777" w:rsidR="00C33C7C" w:rsidRPr="001B4A02" w:rsidRDefault="00C33C7C" w:rsidP="00C33C7C">
      <w:pPr>
        <w:pStyle w:val="EMEANormal"/>
        <w:rPr>
          <w:szCs w:val="22"/>
          <w:lang w:val="cs-CZ"/>
        </w:rPr>
      </w:pPr>
    </w:p>
    <w:p w14:paraId="53AC824D" w14:textId="77777777" w:rsidR="00C33C7C" w:rsidRPr="001B4A02" w:rsidRDefault="00000000" w:rsidP="00C33C7C">
      <w:pPr>
        <w:pStyle w:val="EMEANormal"/>
        <w:rPr>
          <w:szCs w:val="22"/>
          <w:lang w:val="cs-CZ"/>
        </w:rPr>
      </w:pPr>
      <w:r w:rsidRPr="001B4A02">
        <w:rPr>
          <w:szCs w:val="22"/>
          <w:lang w:val="cs-CZ"/>
        </w:rPr>
        <w:t>Studie UV I hodnotila 217 pacientů s aktivní uveitidou přetrvávající i přes léčbu kortikosteroidy (perorální prednison v</w:t>
      </w:r>
      <w:r w:rsidR="003D5529" w:rsidRPr="001B4A02">
        <w:rPr>
          <w:szCs w:val="22"/>
          <w:lang w:val="cs-CZ"/>
        </w:rPr>
        <w:t> </w:t>
      </w:r>
      <w:r w:rsidRPr="001B4A02">
        <w:rPr>
          <w:szCs w:val="22"/>
          <w:lang w:val="cs-CZ"/>
        </w:rPr>
        <w:t>dávce 10 až 60 mg/den). Všichni pacienti dostávali při vstupu do studie dvoutýdenní standardizovanou dávku prednisonu 60 mg/den. Tato dávka se pak podle závazného harmonogramu snižovala, přičemž do týdne 15 byly kortikosteroidy zcela vysazeny.</w:t>
      </w:r>
    </w:p>
    <w:p w14:paraId="1C0FAA54" w14:textId="77777777" w:rsidR="00C33C7C" w:rsidRPr="001B4A02" w:rsidRDefault="00C33C7C" w:rsidP="00C33C7C">
      <w:pPr>
        <w:pStyle w:val="EMEANormal"/>
        <w:rPr>
          <w:szCs w:val="22"/>
          <w:lang w:val="cs-CZ"/>
        </w:rPr>
      </w:pPr>
    </w:p>
    <w:p w14:paraId="200610A4" w14:textId="77777777" w:rsidR="00C33C7C" w:rsidRPr="001B4A02" w:rsidRDefault="00000000" w:rsidP="00C33C7C">
      <w:pPr>
        <w:pStyle w:val="EMEANormal"/>
        <w:rPr>
          <w:szCs w:val="22"/>
          <w:lang w:val="cs-CZ"/>
        </w:rPr>
      </w:pPr>
      <w:r w:rsidRPr="001B4A02">
        <w:rPr>
          <w:szCs w:val="22"/>
          <w:lang w:val="cs-CZ"/>
        </w:rPr>
        <w:t>Studie UV II hodnotila 226 pacientů s</w:t>
      </w:r>
      <w:r w:rsidR="00865367" w:rsidRPr="001B4A02">
        <w:rPr>
          <w:szCs w:val="22"/>
          <w:lang w:val="cs-CZ"/>
        </w:rPr>
        <w:t> </w:t>
      </w:r>
      <w:r w:rsidRPr="001B4A02">
        <w:rPr>
          <w:szCs w:val="22"/>
          <w:lang w:val="cs-CZ"/>
        </w:rPr>
        <w:t>neaktivní uveitidou vyžadující ke kontrole onemocnění výchozí chronickou terapii kortikosteroidy (perorální prednison v</w:t>
      </w:r>
      <w:r w:rsidR="00865367" w:rsidRPr="001B4A02">
        <w:rPr>
          <w:szCs w:val="22"/>
          <w:lang w:val="cs-CZ"/>
        </w:rPr>
        <w:t> </w:t>
      </w:r>
      <w:r w:rsidRPr="001B4A02">
        <w:rPr>
          <w:szCs w:val="22"/>
          <w:lang w:val="cs-CZ"/>
        </w:rPr>
        <w:t>dávce 10 až 35 mg/den). Tato dávka se pak podle závazného harmonogramu snižovala, přičemž do týdne 19 byly kortikosteroidy zcela vysazeny.</w:t>
      </w:r>
    </w:p>
    <w:p w14:paraId="23B918EE" w14:textId="77777777" w:rsidR="00C33C7C" w:rsidRPr="001B4A02" w:rsidRDefault="00C33C7C" w:rsidP="00C33C7C">
      <w:pPr>
        <w:pStyle w:val="EMEANormal"/>
        <w:rPr>
          <w:szCs w:val="22"/>
          <w:lang w:val="cs-CZ"/>
        </w:rPr>
      </w:pPr>
    </w:p>
    <w:p w14:paraId="0EFE2287" w14:textId="77777777" w:rsidR="00C33C7C" w:rsidRPr="001B4A02" w:rsidRDefault="00000000" w:rsidP="00C33C7C">
      <w:pPr>
        <w:pStyle w:val="EMEANormal"/>
        <w:rPr>
          <w:szCs w:val="22"/>
          <w:lang w:val="cs-CZ"/>
        </w:rPr>
      </w:pPr>
      <w:r w:rsidRPr="001B4A02">
        <w:rPr>
          <w:szCs w:val="22"/>
          <w:lang w:val="cs-CZ"/>
        </w:rPr>
        <w:t>Primárním cílovým parametrem účinnosti v obou studiích byla „doba do selhání léčby“. Selhání léčby bylo definováno vícesložkovým výstupem založeným na zánětlivých chorioretinálních a/nebo zánětlivých retinálních vaskulárních lézích, počtu buněk v přední komoře (AC), stupni zákalu ve sklivci (VH)</w:t>
      </w:r>
      <w:r w:rsidR="002378E0">
        <w:rPr>
          <w:szCs w:val="22"/>
          <w:lang w:val="cs-CZ"/>
        </w:rPr>
        <w:t xml:space="preserve"> a </w:t>
      </w:r>
      <w:r w:rsidRPr="001B4A02">
        <w:rPr>
          <w:szCs w:val="22"/>
          <w:lang w:val="cs-CZ"/>
        </w:rPr>
        <w:t>nejlepší korigované zrakové ostrosti (BCVA).</w:t>
      </w:r>
    </w:p>
    <w:p w14:paraId="467F5422" w14:textId="77777777" w:rsidR="00C33C7C" w:rsidRPr="001B4A02" w:rsidRDefault="00C33C7C" w:rsidP="00C33C7C">
      <w:pPr>
        <w:pStyle w:val="EMEANormal"/>
        <w:rPr>
          <w:szCs w:val="22"/>
          <w:lang w:val="cs-CZ"/>
        </w:rPr>
      </w:pPr>
    </w:p>
    <w:p w14:paraId="1DCB73F2" w14:textId="77777777" w:rsidR="00C33C7C" w:rsidRPr="001B4A02" w:rsidRDefault="00000000" w:rsidP="00C33C7C">
      <w:pPr>
        <w:pStyle w:val="EMEANormal"/>
        <w:keepNext/>
        <w:rPr>
          <w:i/>
          <w:szCs w:val="22"/>
          <w:u w:val="single"/>
          <w:lang w:val="cs-CZ"/>
        </w:rPr>
      </w:pPr>
      <w:r w:rsidRPr="001B4A02">
        <w:rPr>
          <w:i/>
          <w:iCs/>
          <w:szCs w:val="22"/>
          <w:u w:val="single"/>
          <w:lang w:val="cs-CZ"/>
        </w:rPr>
        <w:t>Klinická odpověď</w:t>
      </w:r>
    </w:p>
    <w:p w14:paraId="212BCB5B" w14:textId="77777777" w:rsidR="00C33C7C" w:rsidRPr="001B4A02" w:rsidRDefault="00C33C7C" w:rsidP="00C33C7C">
      <w:pPr>
        <w:pStyle w:val="EMEANormal"/>
        <w:keepNext/>
        <w:rPr>
          <w:i/>
          <w:szCs w:val="22"/>
          <w:u w:val="single"/>
          <w:lang w:val="cs-CZ"/>
        </w:rPr>
      </w:pPr>
    </w:p>
    <w:p w14:paraId="28251DA1" w14:textId="77777777" w:rsidR="00C33C7C" w:rsidRPr="001B4A02" w:rsidRDefault="00000000" w:rsidP="00C33C7C">
      <w:pPr>
        <w:pStyle w:val="EMEANormal"/>
        <w:rPr>
          <w:szCs w:val="22"/>
          <w:lang w:val="cs-CZ"/>
        </w:rPr>
      </w:pPr>
      <w:r w:rsidRPr="001B4A02">
        <w:rPr>
          <w:szCs w:val="22"/>
          <w:lang w:val="cs-CZ"/>
        </w:rPr>
        <w:t xml:space="preserve">Výsledky z obou studií prokázaly statisticky významné snížení rizika selhání léčby u pacientů léčených přípravkem Humira v porovnání s pacienty dostávajícími placebo (viz tabulka </w:t>
      </w:r>
      <w:r w:rsidR="00BF09F2">
        <w:rPr>
          <w:szCs w:val="22"/>
          <w:lang w:val="cs-CZ"/>
        </w:rPr>
        <w:t>16</w:t>
      </w:r>
      <w:r w:rsidRPr="001B4A02">
        <w:rPr>
          <w:szCs w:val="22"/>
          <w:lang w:val="cs-CZ"/>
        </w:rPr>
        <w:t>). Obě studie prokázaly časný</w:t>
      </w:r>
      <w:r w:rsidR="002378E0">
        <w:rPr>
          <w:szCs w:val="22"/>
          <w:lang w:val="cs-CZ"/>
        </w:rPr>
        <w:t xml:space="preserve"> a </w:t>
      </w:r>
      <w:r w:rsidRPr="001B4A02">
        <w:rPr>
          <w:szCs w:val="22"/>
          <w:lang w:val="cs-CZ"/>
        </w:rPr>
        <w:t xml:space="preserve">setrvalý účinek přípravku Humira na četnost selhání léčby v porovnání s placebem (viz obrázek </w:t>
      </w:r>
      <w:r w:rsidR="00BF09F2">
        <w:rPr>
          <w:szCs w:val="22"/>
          <w:lang w:val="cs-CZ"/>
        </w:rPr>
        <w:t>1</w:t>
      </w:r>
      <w:r w:rsidRPr="001B4A02">
        <w:rPr>
          <w:szCs w:val="22"/>
          <w:lang w:val="cs-CZ"/>
        </w:rPr>
        <w:t>).</w:t>
      </w:r>
    </w:p>
    <w:p w14:paraId="32EE6C7A" w14:textId="77777777" w:rsidR="00C33C7C" w:rsidRPr="001B4A02" w:rsidRDefault="00C33C7C" w:rsidP="00C33C7C">
      <w:pPr>
        <w:pStyle w:val="EMEANormal"/>
        <w:rPr>
          <w:szCs w:val="22"/>
          <w:lang w:val="cs-CZ"/>
        </w:rPr>
      </w:pPr>
    </w:p>
    <w:p w14:paraId="7FC446A1" w14:textId="77777777" w:rsidR="00C33C7C" w:rsidRPr="001B4A02" w:rsidRDefault="00000000" w:rsidP="00F9384F">
      <w:pPr>
        <w:pStyle w:val="EMEANormal"/>
        <w:keepNext/>
        <w:jc w:val="center"/>
        <w:rPr>
          <w:b/>
          <w:szCs w:val="22"/>
          <w:lang w:val="cs-CZ"/>
        </w:rPr>
      </w:pPr>
      <w:r w:rsidRPr="001B4A02">
        <w:rPr>
          <w:b/>
          <w:bCs/>
          <w:szCs w:val="22"/>
          <w:lang w:val="cs-CZ"/>
        </w:rPr>
        <w:t xml:space="preserve">Tabulka </w:t>
      </w:r>
      <w:r w:rsidR="00BF09F2">
        <w:rPr>
          <w:b/>
          <w:bCs/>
          <w:szCs w:val="22"/>
          <w:lang w:val="cs-CZ"/>
        </w:rPr>
        <w:t>16</w:t>
      </w:r>
    </w:p>
    <w:p w14:paraId="27D6852D" w14:textId="77777777" w:rsidR="00C33C7C" w:rsidRPr="001B4A02" w:rsidRDefault="00000000" w:rsidP="00F9384F">
      <w:pPr>
        <w:pStyle w:val="EMEANormal"/>
        <w:keepNext/>
        <w:jc w:val="center"/>
        <w:rPr>
          <w:b/>
          <w:szCs w:val="22"/>
          <w:lang w:val="cs-CZ"/>
        </w:rPr>
      </w:pPr>
      <w:r w:rsidRPr="001B4A02">
        <w:rPr>
          <w:b/>
          <w:szCs w:val="22"/>
          <w:lang w:val="cs-CZ"/>
        </w:rPr>
        <w:t>Doba do selhání léčby ve studiích UV I</w:t>
      </w:r>
      <w:r w:rsidR="002378E0">
        <w:rPr>
          <w:b/>
          <w:szCs w:val="22"/>
          <w:lang w:val="cs-CZ"/>
        </w:rPr>
        <w:t xml:space="preserve"> a </w:t>
      </w:r>
      <w:r w:rsidRPr="001B4A02">
        <w:rPr>
          <w:b/>
          <w:szCs w:val="22"/>
          <w:lang w:val="cs-CZ"/>
        </w:rPr>
        <w:t>UV II</w:t>
      </w:r>
    </w:p>
    <w:p w14:paraId="6BBFDE65" w14:textId="77777777" w:rsidR="00C33C7C" w:rsidRPr="001B4A02" w:rsidRDefault="00C33C7C" w:rsidP="00F9384F">
      <w:pPr>
        <w:pStyle w:val="EMEANormal"/>
        <w:keepNext/>
        <w:jc w:val="center"/>
        <w:rPr>
          <w:b/>
          <w:szCs w:val="22"/>
          <w:lang w:val="cs-CZ"/>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534A2D" w14:paraId="33B64CC8" w14:textId="77777777" w:rsidTr="00A5191B">
        <w:tc>
          <w:tcPr>
            <w:tcW w:w="2268" w:type="dxa"/>
            <w:tcBorders>
              <w:top w:val="single" w:sz="4" w:space="0" w:color="auto"/>
              <w:bottom w:val="single" w:sz="4" w:space="0" w:color="auto"/>
            </w:tcBorders>
            <w:shd w:val="clear" w:color="auto" w:fill="auto"/>
          </w:tcPr>
          <w:p w14:paraId="3AC3BABC" w14:textId="77777777" w:rsidR="00C33C7C" w:rsidRPr="001B4A02" w:rsidRDefault="00000000" w:rsidP="00F9384F">
            <w:pPr>
              <w:pStyle w:val="EMEANormal"/>
              <w:keepNext/>
              <w:rPr>
                <w:b/>
                <w:szCs w:val="22"/>
                <w:lang w:val="cs-CZ"/>
              </w:rPr>
            </w:pPr>
            <w:r w:rsidRPr="001B4A02">
              <w:rPr>
                <w:b/>
                <w:szCs w:val="22"/>
                <w:lang w:val="cs-CZ"/>
              </w:rPr>
              <w:t>Analýza</w:t>
            </w:r>
          </w:p>
          <w:p w14:paraId="01DF8376" w14:textId="77777777" w:rsidR="00C33C7C" w:rsidRPr="001B4A02" w:rsidRDefault="00000000" w:rsidP="00F9384F">
            <w:pPr>
              <w:pStyle w:val="EMEANormal"/>
              <w:keepNext/>
              <w:rPr>
                <w:b/>
                <w:szCs w:val="22"/>
                <w:lang w:val="cs-CZ"/>
              </w:rPr>
            </w:pPr>
            <w:r w:rsidRPr="001B4A02">
              <w:rPr>
                <w:b/>
                <w:szCs w:val="22"/>
                <w:lang w:val="cs-CZ"/>
              </w:rPr>
              <w:tab/>
              <w:t>Léčba</w:t>
            </w:r>
          </w:p>
        </w:tc>
        <w:tc>
          <w:tcPr>
            <w:tcW w:w="720" w:type="dxa"/>
            <w:tcBorders>
              <w:top w:val="single" w:sz="4" w:space="0" w:color="auto"/>
              <w:bottom w:val="single" w:sz="4" w:space="0" w:color="auto"/>
            </w:tcBorders>
            <w:shd w:val="clear" w:color="auto" w:fill="auto"/>
          </w:tcPr>
          <w:p w14:paraId="76C2EC14" w14:textId="77777777" w:rsidR="00C33C7C" w:rsidRPr="001B4A02" w:rsidRDefault="00000000" w:rsidP="00F9384F">
            <w:pPr>
              <w:pStyle w:val="EMEANormal"/>
              <w:keepNext/>
              <w:rPr>
                <w:b/>
                <w:szCs w:val="22"/>
                <w:lang w:val="cs-CZ"/>
              </w:rPr>
            </w:pPr>
            <w:r>
              <w:rPr>
                <w:b/>
                <w:szCs w:val="22"/>
                <w:lang w:val="cs-CZ"/>
              </w:rPr>
              <w:t>n</w:t>
            </w:r>
          </w:p>
        </w:tc>
        <w:tc>
          <w:tcPr>
            <w:tcW w:w="1170" w:type="dxa"/>
            <w:tcBorders>
              <w:top w:val="single" w:sz="4" w:space="0" w:color="auto"/>
              <w:bottom w:val="single" w:sz="4" w:space="0" w:color="auto"/>
            </w:tcBorders>
            <w:shd w:val="clear" w:color="auto" w:fill="auto"/>
          </w:tcPr>
          <w:p w14:paraId="2EE7AD89" w14:textId="77777777" w:rsidR="00C33C7C" w:rsidRPr="001B4A02" w:rsidRDefault="00000000" w:rsidP="00F9384F">
            <w:pPr>
              <w:pStyle w:val="EMEANormal"/>
              <w:keepNext/>
              <w:rPr>
                <w:b/>
                <w:szCs w:val="22"/>
                <w:lang w:val="cs-CZ"/>
              </w:rPr>
            </w:pPr>
            <w:r w:rsidRPr="001B4A02">
              <w:rPr>
                <w:b/>
                <w:szCs w:val="22"/>
                <w:lang w:val="cs-CZ"/>
              </w:rPr>
              <w:t>Selhání</w:t>
            </w:r>
            <w:r w:rsidRPr="001B4A02">
              <w:rPr>
                <w:b/>
                <w:szCs w:val="22"/>
                <w:lang w:val="cs-CZ"/>
              </w:rPr>
              <w:br/>
            </w:r>
            <w:r w:rsidR="00F318D0">
              <w:rPr>
                <w:b/>
                <w:szCs w:val="22"/>
                <w:lang w:val="cs-CZ"/>
              </w:rPr>
              <w:t>n</w:t>
            </w:r>
            <w:r w:rsidRPr="001B4A02">
              <w:rPr>
                <w:b/>
                <w:szCs w:val="22"/>
                <w:lang w:val="cs-CZ"/>
              </w:rPr>
              <w:t xml:space="preserve"> (%)</w:t>
            </w:r>
          </w:p>
        </w:tc>
        <w:tc>
          <w:tcPr>
            <w:tcW w:w="1890" w:type="dxa"/>
            <w:tcBorders>
              <w:top w:val="single" w:sz="4" w:space="0" w:color="auto"/>
              <w:bottom w:val="single" w:sz="4" w:space="0" w:color="auto"/>
            </w:tcBorders>
            <w:shd w:val="clear" w:color="auto" w:fill="auto"/>
          </w:tcPr>
          <w:p w14:paraId="08F92B54" w14:textId="77777777" w:rsidR="00C33C7C" w:rsidRPr="001B4A02" w:rsidRDefault="00000000" w:rsidP="00F9384F">
            <w:pPr>
              <w:pStyle w:val="EMEANormal"/>
              <w:keepNext/>
              <w:rPr>
                <w:b/>
                <w:szCs w:val="22"/>
                <w:lang w:val="cs-CZ"/>
              </w:rPr>
            </w:pPr>
            <w:r w:rsidRPr="001B4A02">
              <w:rPr>
                <w:b/>
                <w:szCs w:val="22"/>
                <w:lang w:val="cs-CZ"/>
              </w:rPr>
              <w:t>Střední doba do selhání (měsíce)</w:t>
            </w:r>
          </w:p>
        </w:tc>
        <w:tc>
          <w:tcPr>
            <w:tcW w:w="720" w:type="dxa"/>
            <w:tcBorders>
              <w:top w:val="single" w:sz="4" w:space="0" w:color="auto"/>
              <w:bottom w:val="single" w:sz="4" w:space="0" w:color="auto"/>
            </w:tcBorders>
            <w:shd w:val="clear" w:color="auto" w:fill="auto"/>
          </w:tcPr>
          <w:p w14:paraId="59FFDEBA" w14:textId="77777777" w:rsidR="00C33C7C" w:rsidRPr="001B4A02" w:rsidRDefault="00000000" w:rsidP="00F9384F">
            <w:pPr>
              <w:pStyle w:val="EMEANormal"/>
              <w:keepNext/>
              <w:rPr>
                <w:b/>
                <w:szCs w:val="22"/>
                <w:lang w:val="cs-CZ"/>
              </w:rPr>
            </w:pPr>
            <w:r w:rsidRPr="001B4A02">
              <w:rPr>
                <w:b/>
                <w:szCs w:val="22"/>
                <w:lang w:val="cs-CZ"/>
              </w:rPr>
              <w:t>HR</w:t>
            </w:r>
            <w:r w:rsidRPr="001B4A02">
              <w:rPr>
                <w:b/>
                <w:szCs w:val="22"/>
                <w:vertAlign w:val="superscript"/>
                <w:lang w:val="cs-CZ"/>
              </w:rPr>
              <w:t>a</w:t>
            </w:r>
          </w:p>
        </w:tc>
        <w:tc>
          <w:tcPr>
            <w:tcW w:w="1170" w:type="dxa"/>
            <w:tcBorders>
              <w:top w:val="single" w:sz="4" w:space="0" w:color="auto"/>
              <w:bottom w:val="single" w:sz="4" w:space="0" w:color="auto"/>
            </w:tcBorders>
            <w:shd w:val="clear" w:color="auto" w:fill="auto"/>
          </w:tcPr>
          <w:p w14:paraId="48105BAA" w14:textId="77777777" w:rsidR="00C33C7C" w:rsidRPr="001B4A02" w:rsidRDefault="00000000" w:rsidP="00F9384F">
            <w:pPr>
              <w:pStyle w:val="EMEANormal"/>
              <w:keepNext/>
              <w:rPr>
                <w:b/>
                <w:szCs w:val="22"/>
                <w:lang w:val="cs-CZ"/>
              </w:rPr>
            </w:pPr>
            <w:r w:rsidRPr="001B4A02">
              <w:rPr>
                <w:b/>
                <w:szCs w:val="22"/>
                <w:lang w:val="cs-CZ"/>
              </w:rPr>
              <w:t>CI 95% pro HR</w:t>
            </w:r>
            <w:r w:rsidRPr="001B4A02">
              <w:rPr>
                <w:b/>
                <w:szCs w:val="22"/>
                <w:vertAlign w:val="superscript"/>
                <w:lang w:val="cs-CZ"/>
              </w:rPr>
              <w:t>a</w:t>
            </w:r>
          </w:p>
        </w:tc>
        <w:tc>
          <w:tcPr>
            <w:tcW w:w="1080" w:type="dxa"/>
            <w:tcBorders>
              <w:top w:val="single" w:sz="4" w:space="0" w:color="auto"/>
              <w:bottom w:val="single" w:sz="4" w:space="0" w:color="auto"/>
            </w:tcBorders>
            <w:shd w:val="clear" w:color="auto" w:fill="auto"/>
          </w:tcPr>
          <w:p w14:paraId="36995749" w14:textId="77777777" w:rsidR="00C33C7C" w:rsidRPr="001B4A02" w:rsidRDefault="00000000" w:rsidP="00F9384F">
            <w:pPr>
              <w:pStyle w:val="EMEANormal"/>
              <w:keepNext/>
              <w:rPr>
                <w:b/>
                <w:szCs w:val="22"/>
                <w:lang w:val="cs-CZ"/>
              </w:rPr>
            </w:pPr>
            <w:r w:rsidRPr="001B4A02">
              <w:rPr>
                <w:b/>
                <w:i/>
                <w:szCs w:val="22"/>
                <w:lang w:val="cs-CZ"/>
              </w:rPr>
              <w:t>P</w:t>
            </w:r>
            <w:r w:rsidRPr="001B4A02">
              <w:rPr>
                <w:b/>
                <w:szCs w:val="22"/>
                <w:lang w:val="cs-CZ"/>
              </w:rPr>
              <w:t xml:space="preserve"> hodnota</w:t>
            </w:r>
            <w:r w:rsidRPr="001B4A02">
              <w:rPr>
                <w:szCs w:val="22"/>
                <w:vertAlign w:val="superscript"/>
                <w:lang w:val="cs-CZ"/>
              </w:rPr>
              <w:t>b</w:t>
            </w:r>
          </w:p>
        </w:tc>
      </w:tr>
      <w:tr w:rsidR="00534A2D" w14:paraId="3A4B61F9" w14:textId="77777777" w:rsidTr="00A5191B">
        <w:tc>
          <w:tcPr>
            <w:tcW w:w="9018" w:type="dxa"/>
            <w:gridSpan w:val="7"/>
            <w:tcBorders>
              <w:top w:val="single" w:sz="4" w:space="0" w:color="auto"/>
              <w:bottom w:val="nil"/>
            </w:tcBorders>
            <w:shd w:val="clear" w:color="auto" w:fill="auto"/>
          </w:tcPr>
          <w:p w14:paraId="73AC7683" w14:textId="77777777" w:rsidR="00C33C7C" w:rsidRPr="001B4A02" w:rsidRDefault="00000000" w:rsidP="00A5191B">
            <w:pPr>
              <w:pStyle w:val="EMEANormal"/>
              <w:rPr>
                <w:b/>
                <w:szCs w:val="22"/>
                <w:lang w:val="cs-CZ"/>
              </w:rPr>
            </w:pPr>
            <w:r w:rsidRPr="001B4A02">
              <w:rPr>
                <w:b/>
                <w:szCs w:val="22"/>
                <w:lang w:val="cs-CZ"/>
              </w:rPr>
              <w:t>Doba do selhání léčby v</w:t>
            </w:r>
            <w:r w:rsidR="003D5529" w:rsidRPr="001B4A02">
              <w:rPr>
                <w:b/>
                <w:szCs w:val="22"/>
                <w:lang w:val="cs-CZ"/>
              </w:rPr>
              <w:t> </w:t>
            </w:r>
            <w:r w:rsidRPr="001B4A02">
              <w:rPr>
                <w:b/>
                <w:szCs w:val="22"/>
                <w:lang w:val="cs-CZ"/>
              </w:rPr>
              <w:t>týdnu 6 nebo později ve studii UV I</w:t>
            </w:r>
          </w:p>
        </w:tc>
      </w:tr>
      <w:tr w:rsidR="00534A2D" w14:paraId="1FC736D2" w14:textId="77777777" w:rsidTr="00A5191B">
        <w:tc>
          <w:tcPr>
            <w:tcW w:w="2988" w:type="dxa"/>
            <w:gridSpan w:val="2"/>
            <w:tcBorders>
              <w:top w:val="nil"/>
              <w:bottom w:val="nil"/>
            </w:tcBorders>
            <w:shd w:val="clear" w:color="auto" w:fill="auto"/>
          </w:tcPr>
          <w:p w14:paraId="78FA53F6" w14:textId="77777777" w:rsidR="00C33C7C" w:rsidRPr="001B4A02" w:rsidRDefault="00000000" w:rsidP="00A5191B">
            <w:pPr>
              <w:pStyle w:val="EMEANormal"/>
              <w:rPr>
                <w:szCs w:val="22"/>
                <w:lang w:val="cs-CZ"/>
              </w:rPr>
            </w:pPr>
            <w:r w:rsidRPr="001B4A02">
              <w:rPr>
                <w:szCs w:val="22"/>
                <w:lang w:val="cs-CZ"/>
              </w:rPr>
              <w:t>Primární analýza (ITT)</w:t>
            </w:r>
          </w:p>
        </w:tc>
        <w:tc>
          <w:tcPr>
            <w:tcW w:w="1170" w:type="dxa"/>
            <w:tcBorders>
              <w:top w:val="nil"/>
              <w:bottom w:val="nil"/>
            </w:tcBorders>
            <w:shd w:val="clear" w:color="auto" w:fill="auto"/>
          </w:tcPr>
          <w:p w14:paraId="367401A6" w14:textId="77777777" w:rsidR="00C33C7C" w:rsidRPr="001B4A02" w:rsidRDefault="00C33C7C" w:rsidP="00A5191B">
            <w:pPr>
              <w:pStyle w:val="EMEANormal"/>
              <w:rPr>
                <w:szCs w:val="22"/>
                <w:lang w:val="cs-CZ"/>
              </w:rPr>
            </w:pPr>
          </w:p>
        </w:tc>
        <w:tc>
          <w:tcPr>
            <w:tcW w:w="1890" w:type="dxa"/>
            <w:tcBorders>
              <w:top w:val="nil"/>
              <w:bottom w:val="nil"/>
            </w:tcBorders>
            <w:shd w:val="clear" w:color="auto" w:fill="auto"/>
          </w:tcPr>
          <w:p w14:paraId="1B700BC2" w14:textId="77777777" w:rsidR="00C33C7C" w:rsidRPr="001B4A02" w:rsidRDefault="00C33C7C" w:rsidP="00A5191B">
            <w:pPr>
              <w:pStyle w:val="EMEANormal"/>
              <w:rPr>
                <w:szCs w:val="22"/>
                <w:lang w:val="cs-CZ"/>
              </w:rPr>
            </w:pPr>
          </w:p>
        </w:tc>
        <w:tc>
          <w:tcPr>
            <w:tcW w:w="720" w:type="dxa"/>
            <w:tcBorders>
              <w:top w:val="nil"/>
              <w:bottom w:val="nil"/>
            </w:tcBorders>
            <w:shd w:val="clear" w:color="auto" w:fill="auto"/>
          </w:tcPr>
          <w:p w14:paraId="347FCBC6" w14:textId="77777777" w:rsidR="00C33C7C" w:rsidRPr="001B4A02" w:rsidRDefault="00C33C7C" w:rsidP="00A5191B">
            <w:pPr>
              <w:pStyle w:val="EMEANormal"/>
              <w:rPr>
                <w:szCs w:val="22"/>
                <w:lang w:val="cs-CZ"/>
              </w:rPr>
            </w:pPr>
          </w:p>
        </w:tc>
        <w:tc>
          <w:tcPr>
            <w:tcW w:w="1170" w:type="dxa"/>
            <w:tcBorders>
              <w:top w:val="nil"/>
              <w:bottom w:val="nil"/>
            </w:tcBorders>
            <w:shd w:val="clear" w:color="auto" w:fill="auto"/>
          </w:tcPr>
          <w:p w14:paraId="25B92A8C" w14:textId="77777777" w:rsidR="00C33C7C" w:rsidRPr="001B4A02" w:rsidRDefault="00C33C7C" w:rsidP="00A5191B">
            <w:pPr>
              <w:pStyle w:val="EMEANormal"/>
              <w:rPr>
                <w:szCs w:val="22"/>
                <w:lang w:val="cs-CZ"/>
              </w:rPr>
            </w:pPr>
          </w:p>
        </w:tc>
        <w:tc>
          <w:tcPr>
            <w:tcW w:w="1080" w:type="dxa"/>
            <w:tcBorders>
              <w:top w:val="nil"/>
              <w:bottom w:val="nil"/>
            </w:tcBorders>
            <w:shd w:val="clear" w:color="auto" w:fill="auto"/>
          </w:tcPr>
          <w:p w14:paraId="4BA1F880" w14:textId="77777777" w:rsidR="00C33C7C" w:rsidRPr="001B4A02" w:rsidRDefault="00C33C7C" w:rsidP="00A5191B">
            <w:pPr>
              <w:pStyle w:val="EMEANormal"/>
              <w:rPr>
                <w:szCs w:val="22"/>
                <w:lang w:val="cs-CZ"/>
              </w:rPr>
            </w:pPr>
          </w:p>
        </w:tc>
      </w:tr>
      <w:tr w:rsidR="00534A2D" w14:paraId="41AEAE6F" w14:textId="77777777" w:rsidTr="00A5191B">
        <w:tc>
          <w:tcPr>
            <w:tcW w:w="2268" w:type="dxa"/>
            <w:tcBorders>
              <w:top w:val="nil"/>
              <w:bottom w:val="nil"/>
            </w:tcBorders>
            <w:shd w:val="clear" w:color="auto" w:fill="auto"/>
          </w:tcPr>
          <w:p w14:paraId="388ED47B" w14:textId="77777777" w:rsidR="00C33C7C" w:rsidRPr="001B4A02" w:rsidRDefault="00000000" w:rsidP="00A5191B">
            <w:pPr>
              <w:pStyle w:val="EMEANormal"/>
              <w:rPr>
                <w:szCs w:val="22"/>
                <w:lang w:val="cs-CZ"/>
              </w:rPr>
            </w:pPr>
            <w:r w:rsidRPr="001B4A02">
              <w:rPr>
                <w:szCs w:val="22"/>
                <w:lang w:val="cs-CZ"/>
              </w:rPr>
              <w:tab/>
              <w:t>Placebo</w:t>
            </w:r>
          </w:p>
        </w:tc>
        <w:tc>
          <w:tcPr>
            <w:tcW w:w="720" w:type="dxa"/>
            <w:tcBorders>
              <w:top w:val="nil"/>
              <w:bottom w:val="nil"/>
            </w:tcBorders>
            <w:shd w:val="clear" w:color="auto" w:fill="auto"/>
          </w:tcPr>
          <w:p w14:paraId="5A7A4361" w14:textId="77777777" w:rsidR="00C33C7C" w:rsidRPr="001B4A02" w:rsidRDefault="00000000" w:rsidP="00A5191B">
            <w:pPr>
              <w:pStyle w:val="EMEANormal"/>
              <w:rPr>
                <w:szCs w:val="22"/>
                <w:lang w:val="cs-CZ"/>
              </w:rPr>
            </w:pPr>
            <w:r w:rsidRPr="001B4A02">
              <w:rPr>
                <w:szCs w:val="22"/>
                <w:lang w:val="cs-CZ"/>
              </w:rPr>
              <w:t>107</w:t>
            </w:r>
          </w:p>
        </w:tc>
        <w:tc>
          <w:tcPr>
            <w:tcW w:w="1170" w:type="dxa"/>
            <w:tcBorders>
              <w:top w:val="nil"/>
              <w:bottom w:val="nil"/>
            </w:tcBorders>
            <w:shd w:val="clear" w:color="auto" w:fill="auto"/>
          </w:tcPr>
          <w:p w14:paraId="1F77D222" w14:textId="77777777" w:rsidR="00C33C7C" w:rsidRPr="001B4A02" w:rsidRDefault="00000000" w:rsidP="00A5191B">
            <w:pPr>
              <w:pStyle w:val="EMEANormal"/>
              <w:rPr>
                <w:szCs w:val="22"/>
                <w:lang w:val="cs-CZ"/>
              </w:rPr>
            </w:pPr>
            <w:r w:rsidRPr="001B4A02">
              <w:rPr>
                <w:szCs w:val="22"/>
                <w:lang w:val="cs-CZ"/>
              </w:rPr>
              <w:t>84 (78,5)</w:t>
            </w:r>
          </w:p>
        </w:tc>
        <w:tc>
          <w:tcPr>
            <w:tcW w:w="1890" w:type="dxa"/>
            <w:tcBorders>
              <w:top w:val="nil"/>
              <w:bottom w:val="nil"/>
            </w:tcBorders>
            <w:shd w:val="clear" w:color="auto" w:fill="auto"/>
          </w:tcPr>
          <w:p w14:paraId="52C5196C" w14:textId="77777777" w:rsidR="00C33C7C" w:rsidRPr="001B4A02" w:rsidRDefault="00000000" w:rsidP="00A5191B">
            <w:pPr>
              <w:pStyle w:val="EMEANormal"/>
              <w:rPr>
                <w:szCs w:val="22"/>
                <w:lang w:val="cs-CZ"/>
              </w:rPr>
            </w:pPr>
            <w:r w:rsidRPr="001B4A02">
              <w:rPr>
                <w:szCs w:val="22"/>
                <w:lang w:val="cs-CZ"/>
              </w:rPr>
              <w:t>3,0</w:t>
            </w:r>
          </w:p>
        </w:tc>
        <w:tc>
          <w:tcPr>
            <w:tcW w:w="720" w:type="dxa"/>
            <w:tcBorders>
              <w:top w:val="nil"/>
              <w:bottom w:val="nil"/>
            </w:tcBorders>
            <w:shd w:val="clear" w:color="auto" w:fill="auto"/>
          </w:tcPr>
          <w:p w14:paraId="6E6D317A" w14:textId="77777777" w:rsidR="00C33C7C" w:rsidRPr="001B4A02" w:rsidRDefault="00000000" w:rsidP="00A5191B">
            <w:pPr>
              <w:pStyle w:val="EMEANormal"/>
              <w:rPr>
                <w:szCs w:val="22"/>
                <w:lang w:val="cs-CZ"/>
              </w:rPr>
            </w:pPr>
            <w:r w:rsidRPr="001B4A02">
              <w:rPr>
                <w:szCs w:val="22"/>
                <w:lang w:val="cs-CZ"/>
              </w:rPr>
              <w:t>--</w:t>
            </w:r>
          </w:p>
        </w:tc>
        <w:tc>
          <w:tcPr>
            <w:tcW w:w="1170" w:type="dxa"/>
            <w:tcBorders>
              <w:top w:val="nil"/>
              <w:bottom w:val="nil"/>
            </w:tcBorders>
            <w:shd w:val="clear" w:color="auto" w:fill="auto"/>
          </w:tcPr>
          <w:p w14:paraId="6E100F14" w14:textId="77777777" w:rsidR="00C33C7C" w:rsidRPr="001B4A02" w:rsidRDefault="00000000" w:rsidP="00A5191B">
            <w:pPr>
              <w:pStyle w:val="EMEANormal"/>
              <w:rPr>
                <w:szCs w:val="22"/>
                <w:lang w:val="cs-CZ"/>
              </w:rPr>
            </w:pPr>
            <w:r w:rsidRPr="001B4A02">
              <w:rPr>
                <w:szCs w:val="22"/>
                <w:lang w:val="cs-CZ"/>
              </w:rPr>
              <w:t>--</w:t>
            </w:r>
          </w:p>
        </w:tc>
        <w:tc>
          <w:tcPr>
            <w:tcW w:w="1080" w:type="dxa"/>
            <w:tcBorders>
              <w:top w:val="nil"/>
              <w:bottom w:val="nil"/>
            </w:tcBorders>
            <w:shd w:val="clear" w:color="auto" w:fill="auto"/>
          </w:tcPr>
          <w:p w14:paraId="791F528C" w14:textId="77777777" w:rsidR="00C33C7C" w:rsidRPr="001B4A02" w:rsidRDefault="00000000" w:rsidP="00A5191B">
            <w:pPr>
              <w:pStyle w:val="EMEANormal"/>
              <w:rPr>
                <w:szCs w:val="22"/>
                <w:lang w:val="cs-CZ"/>
              </w:rPr>
            </w:pPr>
            <w:r w:rsidRPr="001B4A02">
              <w:rPr>
                <w:szCs w:val="22"/>
                <w:lang w:val="cs-CZ"/>
              </w:rPr>
              <w:t>--</w:t>
            </w:r>
          </w:p>
        </w:tc>
      </w:tr>
      <w:tr w:rsidR="00534A2D" w14:paraId="2189335C" w14:textId="77777777" w:rsidTr="00A5191B">
        <w:tc>
          <w:tcPr>
            <w:tcW w:w="2268" w:type="dxa"/>
            <w:tcBorders>
              <w:top w:val="nil"/>
              <w:bottom w:val="single" w:sz="4" w:space="0" w:color="auto"/>
            </w:tcBorders>
            <w:shd w:val="clear" w:color="auto" w:fill="auto"/>
          </w:tcPr>
          <w:p w14:paraId="6566AF9D" w14:textId="77777777" w:rsidR="00C33C7C" w:rsidRPr="001B4A02" w:rsidRDefault="00000000" w:rsidP="00A5191B">
            <w:pPr>
              <w:pStyle w:val="EMEANormal"/>
              <w:rPr>
                <w:szCs w:val="22"/>
                <w:lang w:val="cs-CZ"/>
              </w:rPr>
            </w:pPr>
            <w:r w:rsidRPr="001B4A02">
              <w:rPr>
                <w:szCs w:val="22"/>
                <w:lang w:val="cs-CZ"/>
              </w:rPr>
              <w:tab/>
              <w:t>Adalimumab</w:t>
            </w:r>
          </w:p>
        </w:tc>
        <w:tc>
          <w:tcPr>
            <w:tcW w:w="720" w:type="dxa"/>
            <w:tcBorders>
              <w:top w:val="nil"/>
              <w:bottom w:val="single" w:sz="4" w:space="0" w:color="auto"/>
            </w:tcBorders>
            <w:shd w:val="clear" w:color="auto" w:fill="auto"/>
          </w:tcPr>
          <w:p w14:paraId="2F6C0B54" w14:textId="77777777" w:rsidR="00C33C7C" w:rsidRPr="001B4A02" w:rsidRDefault="00000000" w:rsidP="00A5191B">
            <w:pPr>
              <w:pStyle w:val="EMEANormal"/>
              <w:rPr>
                <w:szCs w:val="22"/>
                <w:lang w:val="cs-CZ"/>
              </w:rPr>
            </w:pPr>
            <w:r w:rsidRPr="001B4A02">
              <w:rPr>
                <w:szCs w:val="22"/>
                <w:lang w:val="cs-CZ"/>
              </w:rPr>
              <w:t>110</w:t>
            </w:r>
          </w:p>
        </w:tc>
        <w:tc>
          <w:tcPr>
            <w:tcW w:w="1170" w:type="dxa"/>
            <w:tcBorders>
              <w:top w:val="nil"/>
              <w:bottom w:val="single" w:sz="4" w:space="0" w:color="auto"/>
            </w:tcBorders>
            <w:shd w:val="clear" w:color="auto" w:fill="auto"/>
          </w:tcPr>
          <w:p w14:paraId="5EFB6191" w14:textId="77777777" w:rsidR="00C33C7C" w:rsidRPr="001B4A02" w:rsidRDefault="00000000" w:rsidP="00A5191B">
            <w:pPr>
              <w:pStyle w:val="EMEANormal"/>
              <w:rPr>
                <w:szCs w:val="22"/>
                <w:lang w:val="cs-CZ"/>
              </w:rPr>
            </w:pPr>
            <w:r w:rsidRPr="001B4A02">
              <w:rPr>
                <w:szCs w:val="22"/>
                <w:lang w:val="cs-CZ"/>
              </w:rPr>
              <w:t>60 (54,5)</w:t>
            </w:r>
          </w:p>
        </w:tc>
        <w:tc>
          <w:tcPr>
            <w:tcW w:w="1890" w:type="dxa"/>
            <w:tcBorders>
              <w:top w:val="nil"/>
              <w:bottom w:val="single" w:sz="4" w:space="0" w:color="auto"/>
            </w:tcBorders>
            <w:shd w:val="clear" w:color="auto" w:fill="auto"/>
          </w:tcPr>
          <w:p w14:paraId="6CDADF86" w14:textId="77777777" w:rsidR="00C33C7C" w:rsidRPr="001B4A02" w:rsidRDefault="00000000" w:rsidP="00A5191B">
            <w:pPr>
              <w:pStyle w:val="EMEANormal"/>
              <w:rPr>
                <w:szCs w:val="22"/>
                <w:lang w:val="cs-CZ"/>
              </w:rPr>
            </w:pPr>
            <w:r w:rsidRPr="001B4A02">
              <w:rPr>
                <w:szCs w:val="22"/>
                <w:lang w:val="cs-CZ"/>
              </w:rPr>
              <w:t>5,6</w:t>
            </w:r>
          </w:p>
        </w:tc>
        <w:tc>
          <w:tcPr>
            <w:tcW w:w="720" w:type="dxa"/>
            <w:tcBorders>
              <w:top w:val="nil"/>
              <w:bottom w:val="single" w:sz="4" w:space="0" w:color="auto"/>
            </w:tcBorders>
            <w:shd w:val="clear" w:color="auto" w:fill="auto"/>
          </w:tcPr>
          <w:p w14:paraId="23BE0E71" w14:textId="77777777" w:rsidR="00C33C7C" w:rsidRPr="001B4A02" w:rsidRDefault="00000000" w:rsidP="00A5191B">
            <w:pPr>
              <w:pStyle w:val="EMEANormal"/>
              <w:rPr>
                <w:szCs w:val="22"/>
                <w:lang w:val="cs-CZ"/>
              </w:rPr>
            </w:pPr>
            <w:r w:rsidRPr="001B4A02">
              <w:rPr>
                <w:szCs w:val="22"/>
                <w:lang w:val="cs-CZ"/>
              </w:rPr>
              <w:t>0,50</w:t>
            </w:r>
          </w:p>
        </w:tc>
        <w:tc>
          <w:tcPr>
            <w:tcW w:w="1170" w:type="dxa"/>
            <w:tcBorders>
              <w:top w:val="nil"/>
              <w:bottom w:val="single" w:sz="4" w:space="0" w:color="auto"/>
            </w:tcBorders>
            <w:shd w:val="clear" w:color="auto" w:fill="auto"/>
          </w:tcPr>
          <w:p w14:paraId="4D3CDB25" w14:textId="77777777" w:rsidR="00C33C7C" w:rsidRPr="001B4A02" w:rsidRDefault="00000000" w:rsidP="00A5191B">
            <w:pPr>
              <w:pStyle w:val="EMEANormal"/>
              <w:rPr>
                <w:szCs w:val="22"/>
                <w:lang w:val="cs-CZ"/>
              </w:rPr>
            </w:pPr>
            <w:r w:rsidRPr="001B4A02">
              <w:rPr>
                <w:szCs w:val="22"/>
                <w:lang w:val="cs-CZ"/>
              </w:rPr>
              <w:t>0,36, 0,70</w:t>
            </w:r>
            <w:r w:rsidRPr="001B4A02">
              <w:rPr>
                <w:szCs w:val="22"/>
                <w:vertAlign w:val="superscript"/>
                <w:lang w:val="cs-CZ"/>
              </w:rPr>
              <w:t xml:space="preserve"> </w:t>
            </w:r>
          </w:p>
        </w:tc>
        <w:tc>
          <w:tcPr>
            <w:tcW w:w="1080" w:type="dxa"/>
            <w:tcBorders>
              <w:top w:val="nil"/>
              <w:bottom w:val="single" w:sz="4" w:space="0" w:color="auto"/>
            </w:tcBorders>
            <w:shd w:val="clear" w:color="auto" w:fill="auto"/>
          </w:tcPr>
          <w:p w14:paraId="32AFE8F8" w14:textId="77777777" w:rsidR="00C33C7C" w:rsidRPr="001B4A02" w:rsidRDefault="00000000" w:rsidP="00A5191B">
            <w:pPr>
              <w:pStyle w:val="EMEANormal"/>
              <w:rPr>
                <w:szCs w:val="22"/>
                <w:lang w:val="cs-CZ"/>
              </w:rPr>
            </w:pPr>
            <w:r w:rsidRPr="001B4A02">
              <w:rPr>
                <w:szCs w:val="22"/>
                <w:lang w:val="cs-CZ"/>
              </w:rPr>
              <w:t>&lt; 0,001</w:t>
            </w:r>
          </w:p>
        </w:tc>
      </w:tr>
      <w:tr w:rsidR="00534A2D" w14:paraId="0FC9F264" w14:textId="77777777" w:rsidTr="00A5191B">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shd w:val="clear" w:color="auto" w:fill="auto"/>
          </w:tcPr>
          <w:p w14:paraId="27840BEB" w14:textId="77777777" w:rsidR="00C33C7C" w:rsidRPr="001B4A02" w:rsidRDefault="00000000" w:rsidP="00A5191B">
            <w:pPr>
              <w:pStyle w:val="EMEANormal"/>
              <w:rPr>
                <w:b/>
                <w:szCs w:val="22"/>
                <w:lang w:val="cs-CZ"/>
              </w:rPr>
            </w:pPr>
            <w:r w:rsidRPr="001B4A02">
              <w:rPr>
                <w:b/>
                <w:szCs w:val="22"/>
                <w:lang w:val="cs-CZ"/>
              </w:rPr>
              <w:t>Doba do selhání léčby v</w:t>
            </w:r>
            <w:r w:rsidR="003D5529" w:rsidRPr="001B4A02">
              <w:rPr>
                <w:b/>
                <w:szCs w:val="22"/>
                <w:lang w:val="cs-CZ"/>
              </w:rPr>
              <w:t> </w:t>
            </w:r>
            <w:r w:rsidRPr="001B4A02">
              <w:rPr>
                <w:b/>
                <w:szCs w:val="22"/>
                <w:lang w:val="cs-CZ"/>
              </w:rPr>
              <w:t>týdnu 2 nebo později ve studii UV II</w:t>
            </w:r>
          </w:p>
        </w:tc>
      </w:tr>
      <w:tr w:rsidR="00534A2D" w14:paraId="0F255472" w14:textId="77777777" w:rsidTr="00A5191B">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shd w:val="clear" w:color="auto" w:fill="auto"/>
          </w:tcPr>
          <w:p w14:paraId="5164ACC3" w14:textId="77777777" w:rsidR="00C33C7C" w:rsidRPr="001B4A02" w:rsidRDefault="00000000" w:rsidP="00A5191B">
            <w:pPr>
              <w:pStyle w:val="EMEANormal"/>
              <w:rPr>
                <w:szCs w:val="22"/>
                <w:lang w:val="cs-CZ"/>
              </w:rPr>
            </w:pPr>
            <w:r w:rsidRPr="001B4A02">
              <w:rPr>
                <w:szCs w:val="22"/>
                <w:lang w:val="cs-CZ"/>
              </w:rPr>
              <w:t>Primární analýza (ITT)</w:t>
            </w:r>
          </w:p>
        </w:tc>
        <w:tc>
          <w:tcPr>
            <w:tcW w:w="1170" w:type="dxa"/>
            <w:tcBorders>
              <w:top w:val="nil"/>
              <w:left w:val="nil"/>
              <w:bottom w:val="nil"/>
              <w:right w:val="nil"/>
            </w:tcBorders>
            <w:shd w:val="clear" w:color="auto" w:fill="auto"/>
          </w:tcPr>
          <w:p w14:paraId="1E4484CA" w14:textId="77777777" w:rsidR="00C33C7C" w:rsidRPr="001B4A02" w:rsidRDefault="00C33C7C" w:rsidP="00A5191B">
            <w:pPr>
              <w:pStyle w:val="EMEANormal"/>
              <w:rPr>
                <w:szCs w:val="22"/>
                <w:lang w:val="cs-CZ"/>
              </w:rPr>
            </w:pPr>
          </w:p>
        </w:tc>
        <w:tc>
          <w:tcPr>
            <w:tcW w:w="1890" w:type="dxa"/>
            <w:tcBorders>
              <w:top w:val="nil"/>
              <w:left w:val="nil"/>
              <w:bottom w:val="nil"/>
              <w:right w:val="nil"/>
            </w:tcBorders>
            <w:shd w:val="clear" w:color="auto" w:fill="auto"/>
          </w:tcPr>
          <w:p w14:paraId="45A70BF4" w14:textId="77777777" w:rsidR="00C33C7C" w:rsidRPr="001B4A02" w:rsidRDefault="00C33C7C" w:rsidP="00A5191B">
            <w:pPr>
              <w:pStyle w:val="EMEANormal"/>
              <w:rPr>
                <w:szCs w:val="22"/>
                <w:lang w:val="cs-CZ"/>
              </w:rPr>
            </w:pPr>
          </w:p>
        </w:tc>
        <w:tc>
          <w:tcPr>
            <w:tcW w:w="720" w:type="dxa"/>
            <w:tcBorders>
              <w:top w:val="nil"/>
              <w:left w:val="nil"/>
              <w:bottom w:val="nil"/>
              <w:right w:val="nil"/>
            </w:tcBorders>
            <w:shd w:val="clear" w:color="auto" w:fill="auto"/>
          </w:tcPr>
          <w:p w14:paraId="34826FED" w14:textId="77777777" w:rsidR="00C33C7C" w:rsidRPr="001B4A02" w:rsidRDefault="00C33C7C" w:rsidP="00A5191B">
            <w:pPr>
              <w:pStyle w:val="EMEANormal"/>
              <w:rPr>
                <w:szCs w:val="22"/>
                <w:lang w:val="cs-CZ"/>
              </w:rPr>
            </w:pPr>
          </w:p>
        </w:tc>
        <w:tc>
          <w:tcPr>
            <w:tcW w:w="1170" w:type="dxa"/>
            <w:tcBorders>
              <w:top w:val="nil"/>
              <w:left w:val="nil"/>
              <w:bottom w:val="nil"/>
              <w:right w:val="nil"/>
            </w:tcBorders>
            <w:shd w:val="clear" w:color="auto" w:fill="auto"/>
          </w:tcPr>
          <w:p w14:paraId="0B0C9A3D" w14:textId="77777777" w:rsidR="00C33C7C" w:rsidRPr="001B4A02" w:rsidRDefault="00C33C7C" w:rsidP="00A5191B">
            <w:pPr>
              <w:pStyle w:val="EMEANormal"/>
              <w:rPr>
                <w:szCs w:val="22"/>
                <w:lang w:val="cs-CZ"/>
              </w:rPr>
            </w:pPr>
          </w:p>
        </w:tc>
        <w:tc>
          <w:tcPr>
            <w:tcW w:w="1080" w:type="dxa"/>
            <w:tcBorders>
              <w:top w:val="nil"/>
              <w:left w:val="nil"/>
              <w:bottom w:val="nil"/>
              <w:right w:val="nil"/>
            </w:tcBorders>
            <w:shd w:val="clear" w:color="auto" w:fill="auto"/>
          </w:tcPr>
          <w:p w14:paraId="7D85C00B" w14:textId="77777777" w:rsidR="00C33C7C" w:rsidRPr="001B4A02" w:rsidRDefault="00C33C7C" w:rsidP="00A5191B">
            <w:pPr>
              <w:pStyle w:val="EMEANormal"/>
              <w:rPr>
                <w:szCs w:val="22"/>
                <w:lang w:val="cs-CZ"/>
              </w:rPr>
            </w:pPr>
          </w:p>
        </w:tc>
      </w:tr>
      <w:tr w:rsidR="00534A2D" w14:paraId="464585A1" w14:textId="77777777" w:rsidTr="00A5191B">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shd w:val="clear" w:color="auto" w:fill="auto"/>
          </w:tcPr>
          <w:p w14:paraId="26254300" w14:textId="77777777" w:rsidR="00C33C7C" w:rsidRPr="001B4A02" w:rsidRDefault="00000000" w:rsidP="00A5191B">
            <w:pPr>
              <w:pStyle w:val="EMEANormal"/>
              <w:rPr>
                <w:szCs w:val="22"/>
                <w:lang w:val="cs-CZ"/>
              </w:rPr>
            </w:pPr>
            <w:r w:rsidRPr="001B4A02">
              <w:rPr>
                <w:szCs w:val="22"/>
                <w:lang w:val="cs-CZ"/>
              </w:rPr>
              <w:tab/>
              <w:t>Placebo</w:t>
            </w:r>
          </w:p>
        </w:tc>
        <w:tc>
          <w:tcPr>
            <w:tcW w:w="720" w:type="dxa"/>
            <w:tcBorders>
              <w:top w:val="nil"/>
              <w:left w:val="nil"/>
              <w:bottom w:val="nil"/>
              <w:right w:val="nil"/>
            </w:tcBorders>
            <w:shd w:val="clear" w:color="auto" w:fill="auto"/>
          </w:tcPr>
          <w:p w14:paraId="7E882991" w14:textId="77777777" w:rsidR="00C33C7C" w:rsidRPr="001B4A02" w:rsidRDefault="00000000" w:rsidP="00A5191B">
            <w:pPr>
              <w:pStyle w:val="EMEANormal"/>
              <w:rPr>
                <w:szCs w:val="22"/>
                <w:lang w:val="cs-CZ"/>
              </w:rPr>
            </w:pPr>
            <w:r w:rsidRPr="001B4A02">
              <w:rPr>
                <w:szCs w:val="22"/>
                <w:lang w:val="cs-CZ"/>
              </w:rPr>
              <w:t>111</w:t>
            </w:r>
          </w:p>
        </w:tc>
        <w:tc>
          <w:tcPr>
            <w:tcW w:w="1170" w:type="dxa"/>
            <w:tcBorders>
              <w:top w:val="nil"/>
              <w:left w:val="nil"/>
              <w:bottom w:val="nil"/>
              <w:right w:val="nil"/>
            </w:tcBorders>
            <w:shd w:val="clear" w:color="auto" w:fill="auto"/>
          </w:tcPr>
          <w:p w14:paraId="48AFA652" w14:textId="77777777" w:rsidR="00C33C7C" w:rsidRPr="001B4A02" w:rsidRDefault="00000000" w:rsidP="00A5191B">
            <w:pPr>
              <w:pStyle w:val="EMEANormal"/>
              <w:rPr>
                <w:szCs w:val="22"/>
                <w:lang w:val="cs-CZ"/>
              </w:rPr>
            </w:pPr>
            <w:r w:rsidRPr="001B4A02">
              <w:rPr>
                <w:szCs w:val="22"/>
                <w:lang w:val="cs-CZ"/>
              </w:rPr>
              <w:t>61 (55,0)</w:t>
            </w:r>
          </w:p>
        </w:tc>
        <w:tc>
          <w:tcPr>
            <w:tcW w:w="1890" w:type="dxa"/>
            <w:tcBorders>
              <w:top w:val="nil"/>
              <w:left w:val="nil"/>
              <w:bottom w:val="nil"/>
              <w:right w:val="nil"/>
            </w:tcBorders>
            <w:shd w:val="clear" w:color="auto" w:fill="auto"/>
          </w:tcPr>
          <w:p w14:paraId="158C815E" w14:textId="77777777" w:rsidR="00C33C7C" w:rsidRPr="001B4A02" w:rsidRDefault="00000000" w:rsidP="00A5191B">
            <w:pPr>
              <w:pStyle w:val="EMEANormal"/>
              <w:rPr>
                <w:szCs w:val="22"/>
                <w:lang w:val="cs-CZ"/>
              </w:rPr>
            </w:pPr>
            <w:r w:rsidRPr="001B4A02">
              <w:rPr>
                <w:szCs w:val="22"/>
                <w:lang w:val="cs-CZ"/>
              </w:rPr>
              <w:t>8,3</w:t>
            </w:r>
          </w:p>
        </w:tc>
        <w:tc>
          <w:tcPr>
            <w:tcW w:w="720" w:type="dxa"/>
            <w:tcBorders>
              <w:top w:val="nil"/>
              <w:left w:val="nil"/>
              <w:bottom w:val="nil"/>
              <w:right w:val="nil"/>
            </w:tcBorders>
            <w:shd w:val="clear" w:color="auto" w:fill="auto"/>
          </w:tcPr>
          <w:p w14:paraId="4A4BA400" w14:textId="77777777" w:rsidR="00C33C7C" w:rsidRPr="001B4A02" w:rsidRDefault="00000000" w:rsidP="00A5191B">
            <w:pPr>
              <w:pStyle w:val="EMEANormal"/>
              <w:rPr>
                <w:szCs w:val="22"/>
                <w:lang w:val="cs-CZ"/>
              </w:rPr>
            </w:pPr>
            <w:r w:rsidRPr="001B4A02">
              <w:rPr>
                <w:szCs w:val="22"/>
                <w:lang w:val="cs-CZ"/>
              </w:rPr>
              <w:t>--</w:t>
            </w:r>
          </w:p>
        </w:tc>
        <w:tc>
          <w:tcPr>
            <w:tcW w:w="1170" w:type="dxa"/>
            <w:tcBorders>
              <w:top w:val="nil"/>
              <w:left w:val="nil"/>
              <w:bottom w:val="nil"/>
              <w:right w:val="nil"/>
            </w:tcBorders>
            <w:shd w:val="clear" w:color="auto" w:fill="auto"/>
          </w:tcPr>
          <w:p w14:paraId="52DF7E53" w14:textId="77777777" w:rsidR="00C33C7C" w:rsidRPr="001B4A02" w:rsidRDefault="00000000" w:rsidP="00A5191B">
            <w:pPr>
              <w:pStyle w:val="EMEANormal"/>
              <w:rPr>
                <w:szCs w:val="22"/>
                <w:lang w:val="cs-CZ"/>
              </w:rPr>
            </w:pPr>
            <w:r w:rsidRPr="001B4A02">
              <w:rPr>
                <w:szCs w:val="22"/>
                <w:lang w:val="cs-CZ"/>
              </w:rPr>
              <w:t>--</w:t>
            </w:r>
          </w:p>
        </w:tc>
        <w:tc>
          <w:tcPr>
            <w:tcW w:w="1080" w:type="dxa"/>
            <w:tcBorders>
              <w:top w:val="nil"/>
              <w:left w:val="nil"/>
              <w:bottom w:val="nil"/>
              <w:right w:val="nil"/>
            </w:tcBorders>
            <w:shd w:val="clear" w:color="auto" w:fill="auto"/>
          </w:tcPr>
          <w:p w14:paraId="62FE0653" w14:textId="77777777" w:rsidR="00C33C7C" w:rsidRPr="001B4A02" w:rsidRDefault="00000000" w:rsidP="00A5191B">
            <w:pPr>
              <w:pStyle w:val="EMEANormal"/>
              <w:rPr>
                <w:szCs w:val="22"/>
                <w:lang w:val="cs-CZ"/>
              </w:rPr>
            </w:pPr>
            <w:r w:rsidRPr="001B4A02">
              <w:rPr>
                <w:szCs w:val="22"/>
                <w:lang w:val="cs-CZ"/>
              </w:rPr>
              <w:t>--</w:t>
            </w:r>
          </w:p>
        </w:tc>
      </w:tr>
      <w:tr w:rsidR="00534A2D" w14:paraId="3EFF972B" w14:textId="77777777" w:rsidTr="00A5191B">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shd w:val="clear" w:color="auto" w:fill="auto"/>
          </w:tcPr>
          <w:p w14:paraId="74244568" w14:textId="77777777" w:rsidR="00C33C7C" w:rsidRPr="001B4A02" w:rsidRDefault="00000000" w:rsidP="00A5191B">
            <w:pPr>
              <w:pStyle w:val="EMEANormal"/>
              <w:rPr>
                <w:szCs w:val="22"/>
                <w:lang w:val="cs-CZ"/>
              </w:rPr>
            </w:pPr>
            <w:r w:rsidRPr="001B4A02">
              <w:rPr>
                <w:szCs w:val="22"/>
                <w:lang w:val="cs-CZ"/>
              </w:rPr>
              <w:tab/>
              <w:t>Adalimumab</w:t>
            </w:r>
          </w:p>
        </w:tc>
        <w:tc>
          <w:tcPr>
            <w:tcW w:w="720" w:type="dxa"/>
            <w:tcBorders>
              <w:top w:val="nil"/>
              <w:left w:val="nil"/>
              <w:bottom w:val="single" w:sz="4" w:space="0" w:color="auto"/>
              <w:right w:val="nil"/>
            </w:tcBorders>
            <w:shd w:val="clear" w:color="auto" w:fill="auto"/>
          </w:tcPr>
          <w:p w14:paraId="2E879168" w14:textId="77777777" w:rsidR="00C33C7C" w:rsidRPr="001B4A02" w:rsidRDefault="00000000" w:rsidP="00A5191B">
            <w:pPr>
              <w:pStyle w:val="EMEANormal"/>
              <w:rPr>
                <w:szCs w:val="22"/>
                <w:lang w:val="cs-CZ"/>
              </w:rPr>
            </w:pPr>
            <w:r w:rsidRPr="001B4A02">
              <w:rPr>
                <w:szCs w:val="22"/>
                <w:lang w:val="cs-CZ"/>
              </w:rPr>
              <w:t>115</w:t>
            </w:r>
          </w:p>
        </w:tc>
        <w:tc>
          <w:tcPr>
            <w:tcW w:w="1170" w:type="dxa"/>
            <w:tcBorders>
              <w:top w:val="nil"/>
              <w:left w:val="nil"/>
              <w:bottom w:val="single" w:sz="4" w:space="0" w:color="auto"/>
              <w:right w:val="nil"/>
            </w:tcBorders>
            <w:shd w:val="clear" w:color="auto" w:fill="auto"/>
          </w:tcPr>
          <w:p w14:paraId="21E2088B" w14:textId="77777777" w:rsidR="00C33C7C" w:rsidRPr="001B4A02" w:rsidRDefault="00000000" w:rsidP="00A5191B">
            <w:pPr>
              <w:pStyle w:val="EMEANormal"/>
              <w:rPr>
                <w:szCs w:val="22"/>
                <w:lang w:val="cs-CZ"/>
              </w:rPr>
            </w:pPr>
            <w:r w:rsidRPr="001B4A02">
              <w:rPr>
                <w:szCs w:val="22"/>
                <w:lang w:val="cs-CZ"/>
              </w:rPr>
              <w:t>45 (39,1)</w:t>
            </w:r>
          </w:p>
        </w:tc>
        <w:tc>
          <w:tcPr>
            <w:tcW w:w="1890" w:type="dxa"/>
            <w:tcBorders>
              <w:top w:val="nil"/>
              <w:left w:val="nil"/>
              <w:bottom w:val="single" w:sz="4" w:space="0" w:color="auto"/>
              <w:right w:val="nil"/>
            </w:tcBorders>
            <w:shd w:val="clear" w:color="auto" w:fill="auto"/>
          </w:tcPr>
          <w:p w14:paraId="776E7417" w14:textId="77777777" w:rsidR="00C33C7C" w:rsidRPr="001B4A02" w:rsidRDefault="00000000" w:rsidP="00A5191B">
            <w:pPr>
              <w:pStyle w:val="EMEANormal"/>
              <w:rPr>
                <w:szCs w:val="22"/>
                <w:lang w:val="cs-CZ"/>
              </w:rPr>
            </w:pPr>
            <w:r w:rsidRPr="001B4A02">
              <w:rPr>
                <w:szCs w:val="22"/>
                <w:lang w:val="cs-CZ"/>
              </w:rPr>
              <w:t>NE</w:t>
            </w:r>
            <w:r w:rsidRPr="001B4A02">
              <w:rPr>
                <w:szCs w:val="22"/>
                <w:vertAlign w:val="superscript"/>
                <w:lang w:val="cs-CZ"/>
              </w:rPr>
              <w:t>c</w:t>
            </w:r>
          </w:p>
        </w:tc>
        <w:tc>
          <w:tcPr>
            <w:tcW w:w="720" w:type="dxa"/>
            <w:tcBorders>
              <w:top w:val="nil"/>
              <w:left w:val="nil"/>
              <w:bottom w:val="single" w:sz="4" w:space="0" w:color="auto"/>
              <w:right w:val="nil"/>
            </w:tcBorders>
            <w:shd w:val="clear" w:color="auto" w:fill="auto"/>
          </w:tcPr>
          <w:p w14:paraId="63688E04" w14:textId="77777777" w:rsidR="00C33C7C" w:rsidRPr="001B4A02" w:rsidRDefault="00000000" w:rsidP="00A5191B">
            <w:pPr>
              <w:pStyle w:val="EMEANormal"/>
              <w:rPr>
                <w:szCs w:val="22"/>
                <w:lang w:val="cs-CZ"/>
              </w:rPr>
            </w:pPr>
            <w:r w:rsidRPr="001B4A02">
              <w:rPr>
                <w:szCs w:val="22"/>
                <w:lang w:val="cs-CZ"/>
              </w:rPr>
              <w:t>0,57</w:t>
            </w:r>
          </w:p>
        </w:tc>
        <w:tc>
          <w:tcPr>
            <w:tcW w:w="1170" w:type="dxa"/>
            <w:tcBorders>
              <w:top w:val="nil"/>
              <w:left w:val="nil"/>
              <w:bottom w:val="single" w:sz="4" w:space="0" w:color="auto"/>
              <w:right w:val="nil"/>
            </w:tcBorders>
            <w:shd w:val="clear" w:color="auto" w:fill="auto"/>
          </w:tcPr>
          <w:p w14:paraId="3D1D0C71" w14:textId="77777777" w:rsidR="00C33C7C" w:rsidRPr="001B4A02" w:rsidRDefault="00000000" w:rsidP="00A5191B">
            <w:pPr>
              <w:pStyle w:val="EMEANormal"/>
              <w:rPr>
                <w:szCs w:val="22"/>
                <w:lang w:val="cs-CZ"/>
              </w:rPr>
            </w:pPr>
            <w:r w:rsidRPr="001B4A02">
              <w:rPr>
                <w:szCs w:val="22"/>
                <w:lang w:val="cs-CZ"/>
              </w:rPr>
              <w:t>0,39, 0,84</w:t>
            </w:r>
          </w:p>
        </w:tc>
        <w:tc>
          <w:tcPr>
            <w:tcW w:w="1080" w:type="dxa"/>
            <w:tcBorders>
              <w:top w:val="nil"/>
              <w:left w:val="nil"/>
              <w:bottom w:val="single" w:sz="4" w:space="0" w:color="auto"/>
              <w:right w:val="nil"/>
            </w:tcBorders>
            <w:shd w:val="clear" w:color="auto" w:fill="auto"/>
          </w:tcPr>
          <w:p w14:paraId="1E730E7D" w14:textId="77777777" w:rsidR="00C33C7C" w:rsidRPr="001B4A02" w:rsidRDefault="00000000" w:rsidP="00A5191B">
            <w:pPr>
              <w:pStyle w:val="EMEANormal"/>
              <w:rPr>
                <w:szCs w:val="22"/>
                <w:lang w:val="cs-CZ"/>
              </w:rPr>
            </w:pPr>
            <w:r w:rsidRPr="001B4A02">
              <w:rPr>
                <w:szCs w:val="22"/>
                <w:lang w:val="cs-CZ"/>
              </w:rPr>
              <w:t>0,004</w:t>
            </w:r>
          </w:p>
        </w:tc>
      </w:tr>
    </w:tbl>
    <w:p w14:paraId="6E572A94" w14:textId="77777777" w:rsidR="00C33C7C" w:rsidRPr="001B4A02" w:rsidRDefault="00000000" w:rsidP="00C33C7C">
      <w:pPr>
        <w:pStyle w:val="EMEANormal"/>
        <w:rPr>
          <w:szCs w:val="22"/>
          <w:lang w:val="cs-CZ"/>
        </w:rPr>
      </w:pPr>
      <w:r w:rsidRPr="001B4A02">
        <w:rPr>
          <w:szCs w:val="22"/>
          <w:lang w:val="cs-CZ"/>
        </w:rPr>
        <w:t xml:space="preserve">Poznámka: </w:t>
      </w:r>
      <w:r w:rsidR="004C58C9" w:rsidRPr="001B4A02">
        <w:rPr>
          <w:szCs w:val="22"/>
          <w:lang w:val="cs-CZ"/>
        </w:rPr>
        <w:t>s</w:t>
      </w:r>
      <w:r w:rsidRPr="001B4A02">
        <w:rPr>
          <w:szCs w:val="22"/>
          <w:lang w:val="cs-CZ"/>
        </w:rPr>
        <w:t>elhání léčby v</w:t>
      </w:r>
      <w:r w:rsidR="003D5529" w:rsidRPr="001B4A02">
        <w:rPr>
          <w:szCs w:val="22"/>
          <w:lang w:val="cs-CZ"/>
        </w:rPr>
        <w:t> </w:t>
      </w:r>
      <w:r w:rsidRPr="001B4A02">
        <w:rPr>
          <w:szCs w:val="22"/>
          <w:lang w:val="cs-CZ"/>
        </w:rPr>
        <w:t>týdnu 6 nebo později (studie UV I) nebo v</w:t>
      </w:r>
      <w:r w:rsidR="003D5529" w:rsidRPr="001B4A02">
        <w:rPr>
          <w:szCs w:val="22"/>
          <w:lang w:val="cs-CZ"/>
        </w:rPr>
        <w:t> </w:t>
      </w:r>
      <w:r w:rsidRPr="001B4A02">
        <w:rPr>
          <w:szCs w:val="22"/>
          <w:lang w:val="cs-CZ"/>
        </w:rPr>
        <w:t>týdnu 2 či později (studie UV II) bylo počítáno jako příhoda. Ukončení studie z</w:t>
      </w:r>
      <w:r w:rsidR="00CC37C0" w:rsidRPr="001B4A02">
        <w:rPr>
          <w:szCs w:val="22"/>
          <w:lang w:val="cs-CZ"/>
        </w:rPr>
        <w:t> </w:t>
      </w:r>
      <w:r w:rsidRPr="001B4A02">
        <w:rPr>
          <w:szCs w:val="22"/>
          <w:lang w:val="cs-CZ"/>
        </w:rPr>
        <w:t>důvodů jiných než kvůli selhání léčby bylo zaznamenáno v</w:t>
      </w:r>
      <w:r w:rsidR="003D5529" w:rsidRPr="001B4A02">
        <w:rPr>
          <w:szCs w:val="22"/>
          <w:lang w:val="cs-CZ"/>
        </w:rPr>
        <w:t> </w:t>
      </w:r>
      <w:r w:rsidRPr="001B4A02">
        <w:rPr>
          <w:szCs w:val="22"/>
          <w:lang w:val="cs-CZ"/>
        </w:rPr>
        <w:t>době ukončení.</w:t>
      </w:r>
    </w:p>
    <w:p w14:paraId="2109676E" w14:textId="77777777" w:rsidR="00C33C7C" w:rsidRPr="001B4A02" w:rsidRDefault="00000000" w:rsidP="00C33C7C">
      <w:pPr>
        <w:pStyle w:val="EMEANormal"/>
        <w:numPr>
          <w:ilvl w:val="0"/>
          <w:numId w:val="95"/>
        </w:numPr>
        <w:tabs>
          <w:tab w:val="clear" w:pos="562"/>
        </w:tabs>
        <w:ind w:left="284" w:hanging="284"/>
        <w:rPr>
          <w:szCs w:val="22"/>
          <w:lang w:val="cs-CZ"/>
        </w:rPr>
      </w:pPr>
      <w:r w:rsidRPr="001B4A02">
        <w:rPr>
          <w:szCs w:val="22"/>
          <w:lang w:val="cs-CZ"/>
        </w:rPr>
        <w:t>HR adalimumab vs. placebo z</w:t>
      </w:r>
      <w:r w:rsidR="00CC37C0" w:rsidRPr="001B4A02">
        <w:rPr>
          <w:szCs w:val="22"/>
          <w:lang w:val="cs-CZ"/>
        </w:rPr>
        <w:t> </w:t>
      </w:r>
      <w:r w:rsidRPr="001B4A02">
        <w:rPr>
          <w:szCs w:val="22"/>
          <w:lang w:val="cs-CZ"/>
        </w:rPr>
        <w:t>regrese poměrných rizik s</w:t>
      </w:r>
      <w:r w:rsidR="00CC37C0" w:rsidRPr="001B4A02">
        <w:rPr>
          <w:szCs w:val="22"/>
          <w:lang w:val="cs-CZ"/>
        </w:rPr>
        <w:t> </w:t>
      </w:r>
      <w:r w:rsidRPr="001B4A02">
        <w:rPr>
          <w:szCs w:val="22"/>
          <w:lang w:val="cs-CZ"/>
        </w:rPr>
        <w:t>faktorem, jako je léčba.</w:t>
      </w:r>
    </w:p>
    <w:p w14:paraId="00D19D96" w14:textId="77777777" w:rsidR="00C33C7C" w:rsidRPr="001B4A02" w:rsidRDefault="00000000" w:rsidP="00C33C7C">
      <w:pPr>
        <w:pStyle w:val="EMEANormal"/>
        <w:numPr>
          <w:ilvl w:val="0"/>
          <w:numId w:val="95"/>
        </w:numPr>
        <w:tabs>
          <w:tab w:val="clear" w:pos="562"/>
        </w:tabs>
        <w:ind w:left="284" w:hanging="284"/>
        <w:rPr>
          <w:szCs w:val="22"/>
          <w:lang w:val="cs-CZ"/>
        </w:rPr>
      </w:pPr>
      <w:r w:rsidRPr="001B4A02">
        <w:rPr>
          <w:szCs w:val="22"/>
          <w:lang w:val="cs-CZ"/>
        </w:rPr>
        <w:t xml:space="preserve">2stranná </w:t>
      </w:r>
      <w:r w:rsidRPr="001B4A02">
        <w:rPr>
          <w:i/>
          <w:iCs/>
          <w:szCs w:val="22"/>
          <w:lang w:val="cs-CZ"/>
        </w:rPr>
        <w:t>P</w:t>
      </w:r>
      <w:r w:rsidRPr="001B4A02">
        <w:rPr>
          <w:szCs w:val="22"/>
          <w:lang w:val="cs-CZ"/>
        </w:rPr>
        <w:t xml:space="preserve"> hodnota z log-rank testu.</w:t>
      </w:r>
    </w:p>
    <w:p w14:paraId="049746EE" w14:textId="77777777" w:rsidR="00C33C7C" w:rsidRPr="001B4A02" w:rsidRDefault="00000000" w:rsidP="00C33C7C">
      <w:pPr>
        <w:pStyle w:val="EMEANormal"/>
        <w:numPr>
          <w:ilvl w:val="0"/>
          <w:numId w:val="95"/>
        </w:numPr>
        <w:tabs>
          <w:tab w:val="clear" w:pos="562"/>
        </w:tabs>
        <w:ind w:left="284" w:hanging="284"/>
        <w:rPr>
          <w:szCs w:val="22"/>
          <w:lang w:val="cs-CZ"/>
        </w:rPr>
      </w:pPr>
      <w:r w:rsidRPr="001B4A02">
        <w:rPr>
          <w:szCs w:val="22"/>
          <w:lang w:val="cs-CZ"/>
        </w:rPr>
        <w:t>NE = nehodnotitelný. K příhodě došlo u</w:t>
      </w:r>
      <w:r w:rsidR="00CC37C0" w:rsidRPr="001B4A02">
        <w:rPr>
          <w:szCs w:val="22"/>
          <w:lang w:val="cs-CZ"/>
        </w:rPr>
        <w:t> </w:t>
      </w:r>
      <w:r w:rsidRPr="001B4A02">
        <w:rPr>
          <w:szCs w:val="22"/>
          <w:lang w:val="cs-CZ"/>
        </w:rPr>
        <w:t>méně než poloviny rizikových subjektů.</w:t>
      </w:r>
    </w:p>
    <w:p w14:paraId="3A88DE39" w14:textId="77777777" w:rsidR="00C33C7C" w:rsidRPr="001B4A02" w:rsidRDefault="00C33C7C" w:rsidP="00C33C7C">
      <w:pPr>
        <w:pStyle w:val="EMEANormal"/>
        <w:rPr>
          <w:szCs w:val="22"/>
          <w:lang w:val="cs-CZ"/>
        </w:rPr>
      </w:pPr>
    </w:p>
    <w:p w14:paraId="2FC1F3CD" w14:textId="77777777" w:rsidR="00C33C7C" w:rsidRPr="001B4A02" w:rsidRDefault="00000000" w:rsidP="00C33C7C">
      <w:pPr>
        <w:pStyle w:val="EMEANormal"/>
        <w:keepNext/>
        <w:jc w:val="center"/>
        <w:rPr>
          <w:b/>
          <w:szCs w:val="22"/>
          <w:lang w:val="cs-CZ"/>
        </w:rPr>
      </w:pPr>
      <w:r w:rsidRPr="001B4A02">
        <w:rPr>
          <w:b/>
          <w:bCs/>
          <w:szCs w:val="22"/>
          <w:lang w:val="cs-CZ"/>
        </w:rPr>
        <w:t xml:space="preserve">Obrázek </w:t>
      </w:r>
      <w:r w:rsidR="00BF09F2">
        <w:rPr>
          <w:b/>
          <w:bCs/>
          <w:szCs w:val="22"/>
          <w:lang w:val="cs-CZ"/>
        </w:rPr>
        <w:t>1</w:t>
      </w:r>
      <w:r w:rsidRPr="001B4A02">
        <w:rPr>
          <w:b/>
          <w:bCs/>
          <w:szCs w:val="22"/>
          <w:lang w:val="cs-CZ"/>
        </w:rPr>
        <w:t>: Kaplan-Meierovy křivky shrnující dobu do selhání léčby v</w:t>
      </w:r>
      <w:r w:rsidR="003D5529" w:rsidRPr="001B4A02">
        <w:rPr>
          <w:b/>
          <w:bCs/>
          <w:szCs w:val="22"/>
          <w:lang w:val="cs-CZ"/>
        </w:rPr>
        <w:t> </w:t>
      </w:r>
      <w:r w:rsidRPr="001B4A02">
        <w:rPr>
          <w:b/>
          <w:bCs/>
          <w:szCs w:val="22"/>
          <w:lang w:val="cs-CZ"/>
        </w:rPr>
        <w:t>týdnu 6 nebo později (studie UV I) nebo v</w:t>
      </w:r>
      <w:r w:rsidR="003D5529" w:rsidRPr="001B4A02">
        <w:rPr>
          <w:b/>
          <w:bCs/>
          <w:szCs w:val="22"/>
          <w:lang w:val="cs-CZ"/>
        </w:rPr>
        <w:t> </w:t>
      </w:r>
      <w:r w:rsidRPr="001B4A02">
        <w:rPr>
          <w:b/>
          <w:bCs/>
          <w:szCs w:val="22"/>
          <w:lang w:val="cs-CZ"/>
        </w:rPr>
        <w:t>týdnu 2 nebo později (studie UV II)</w:t>
      </w:r>
    </w:p>
    <w:p w14:paraId="3EB2D7D0" w14:textId="77777777" w:rsidR="00C33C7C" w:rsidRPr="001B4A02" w:rsidRDefault="00C33C7C" w:rsidP="00C33C7C">
      <w:pPr>
        <w:pStyle w:val="EMEANormal"/>
        <w:keepNext/>
        <w:jc w:val="center"/>
        <w:rPr>
          <w:b/>
          <w:szCs w:val="22"/>
          <w:highlight w:val="yellow"/>
          <w:lang w:val="cs-CZ"/>
        </w:rPr>
      </w:pPr>
    </w:p>
    <w:tbl>
      <w:tblPr>
        <w:tblW w:w="9288" w:type="dxa"/>
        <w:tblLayout w:type="fixed"/>
        <w:tblLook w:val="04A0" w:firstRow="1" w:lastRow="0" w:firstColumn="1" w:lastColumn="0" w:noHBand="0" w:noVBand="1"/>
      </w:tblPr>
      <w:tblGrid>
        <w:gridCol w:w="482"/>
        <w:gridCol w:w="3496"/>
        <w:gridCol w:w="1170"/>
        <w:gridCol w:w="1350"/>
        <w:gridCol w:w="900"/>
        <w:gridCol w:w="1890"/>
      </w:tblGrid>
      <w:tr w:rsidR="00534A2D" w14:paraId="646BB62E" w14:textId="77777777" w:rsidTr="00A5191B">
        <w:trPr>
          <w:cantSplit/>
          <w:trHeight w:val="3806"/>
        </w:trPr>
        <w:tc>
          <w:tcPr>
            <w:tcW w:w="482" w:type="dxa"/>
            <w:shd w:val="clear" w:color="auto" w:fill="auto"/>
            <w:textDirection w:val="btLr"/>
            <w:vAlign w:val="bottom"/>
          </w:tcPr>
          <w:p w14:paraId="6E0E2652" w14:textId="77777777" w:rsidR="00C33C7C" w:rsidRPr="001B4A02" w:rsidRDefault="00000000" w:rsidP="00A5191B">
            <w:pPr>
              <w:pStyle w:val="EMEANormal"/>
              <w:keepNext/>
              <w:ind w:left="113" w:right="113"/>
              <w:jc w:val="center"/>
              <w:rPr>
                <w:b/>
                <w:szCs w:val="22"/>
                <w:lang w:val="cs-CZ"/>
              </w:rPr>
            </w:pPr>
            <w:r w:rsidRPr="001B4A02">
              <w:rPr>
                <w:b/>
                <w:bCs/>
                <w:szCs w:val="22"/>
                <w:lang w:val="cs-CZ"/>
              </w:rPr>
              <w:t>ČETNOST SELHÁNÍ LÉČBY (%)</w:t>
            </w:r>
          </w:p>
        </w:tc>
        <w:tc>
          <w:tcPr>
            <w:tcW w:w="8806" w:type="dxa"/>
            <w:gridSpan w:val="5"/>
            <w:shd w:val="clear" w:color="auto" w:fill="auto"/>
            <w:vAlign w:val="bottom"/>
          </w:tcPr>
          <w:p w14:paraId="2FE0F6E0" w14:textId="77777777" w:rsidR="00C33C7C" w:rsidRPr="001B4A02" w:rsidRDefault="00000000" w:rsidP="00A5191B">
            <w:pPr>
              <w:pStyle w:val="EMEANormal"/>
              <w:keepNext/>
              <w:rPr>
                <w:b/>
                <w:szCs w:val="22"/>
                <w:lang w:val="cs-CZ"/>
              </w:rPr>
            </w:pPr>
            <w:r w:rsidRPr="001B4A02">
              <w:rPr>
                <w:b/>
                <w:noProof/>
                <w:szCs w:val="22"/>
              </w:rPr>
              <w:drawing>
                <wp:inline distT="0" distB="0" distL="0" distR="0" wp14:anchorId="1CFD1F22" wp14:editId="35A020A9">
                  <wp:extent cx="5486400" cy="2208530"/>
                  <wp:effectExtent l="0" t="0" r="0" b="1270"/>
                  <wp:docPr id="464" name="Obrázek 6"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Obrázek 6" descr="Humira Uveitis Figure 5_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2208530"/>
                          </a:xfrm>
                          <a:prstGeom prst="rect">
                            <a:avLst/>
                          </a:prstGeom>
                          <a:noFill/>
                          <a:ln>
                            <a:noFill/>
                          </a:ln>
                        </pic:spPr>
                      </pic:pic>
                    </a:graphicData>
                  </a:graphic>
                </wp:inline>
              </w:drawing>
            </w:r>
          </w:p>
        </w:tc>
      </w:tr>
      <w:tr w:rsidR="00534A2D" w14:paraId="28188E2C" w14:textId="77777777" w:rsidTr="00A5191B">
        <w:tc>
          <w:tcPr>
            <w:tcW w:w="482" w:type="dxa"/>
            <w:shd w:val="clear" w:color="auto" w:fill="auto"/>
          </w:tcPr>
          <w:p w14:paraId="1338F581" w14:textId="77777777" w:rsidR="00C33C7C" w:rsidRPr="001B4A02" w:rsidRDefault="00C33C7C" w:rsidP="00A5191B">
            <w:pPr>
              <w:pStyle w:val="EMEANormal"/>
              <w:rPr>
                <w:szCs w:val="22"/>
                <w:lang w:val="cs-CZ"/>
              </w:rPr>
            </w:pPr>
          </w:p>
        </w:tc>
        <w:tc>
          <w:tcPr>
            <w:tcW w:w="8806" w:type="dxa"/>
            <w:gridSpan w:val="5"/>
            <w:shd w:val="clear" w:color="auto" w:fill="auto"/>
          </w:tcPr>
          <w:p w14:paraId="0B2F13D5" w14:textId="77777777" w:rsidR="00C33C7C" w:rsidRPr="001B4A02" w:rsidRDefault="00000000" w:rsidP="00A5191B">
            <w:pPr>
              <w:pStyle w:val="EMEANormal"/>
              <w:jc w:val="center"/>
              <w:rPr>
                <w:szCs w:val="22"/>
                <w:lang w:val="cs-CZ"/>
              </w:rPr>
            </w:pPr>
            <w:r w:rsidRPr="001B4A02">
              <w:rPr>
                <w:szCs w:val="22"/>
                <w:lang w:val="cs-CZ"/>
              </w:rPr>
              <w:t>ČAS (MĚSÍCE)</w:t>
            </w:r>
          </w:p>
        </w:tc>
      </w:tr>
      <w:tr w:rsidR="00534A2D" w14:paraId="418DB7D6" w14:textId="77777777" w:rsidTr="00A5191B">
        <w:tc>
          <w:tcPr>
            <w:tcW w:w="482" w:type="dxa"/>
            <w:shd w:val="clear" w:color="auto" w:fill="auto"/>
          </w:tcPr>
          <w:p w14:paraId="511305E0" w14:textId="77777777" w:rsidR="00C33C7C" w:rsidRPr="001B4A02" w:rsidRDefault="00C33C7C" w:rsidP="00A5191B">
            <w:pPr>
              <w:pStyle w:val="EMEANormal"/>
              <w:rPr>
                <w:szCs w:val="22"/>
                <w:lang w:val="cs-CZ"/>
              </w:rPr>
            </w:pPr>
          </w:p>
        </w:tc>
        <w:tc>
          <w:tcPr>
            <w:tcW w:w="3496" w:type="dxa"/>
            <w:shd w:val="clear" w:color="auto" w:fill="auto"/>
          </w:tcPr>
          <w:p w14:paraId="61D53EAF" w14:textId="77777777" w:rsidR="00C33C7C" w:rsidRPr="001B4A02" w:rsidRDefault="00000000" w:rsidP="00A5191B">
            <w:pPr>
              <w:pStyle w:val="EMEANormal"/>
              <w:rPr>
                <w:szCs w:val="22"/>
                <w:lang w:val="cs-CZ"/>
              </w:rPr>
            </w:pPr>
            <w:r w:rsidRPr="001B4A02">
              <w:rPr>
                <w:szCs w:val="22"/>
                <w:lang w:val="cs-CZ"/>
              </w:rPr>
              <w:t>Studie UV I                        Léčba</w:t>
            </w:r>
          </w:p>
        </w:tc>
        <w:tc>
          <w:tcPr>
            <w:tcW w:w="1170" w:type="dxa"/>
            <w:shd w:val="clear" w:color="auto" w:fill="auto"/>
          </w:tcPr>
          <w:p w14:paraId="4CD2B762" w14:textId="77777777" w:rsidR="00C33C7C" w:rsidRPr="001B4A02" w:rsidRDefault="00000000" w:rsidP="00A5191B">
            <w:pPr>
              <w:pStyle w:val="EMEANormal"/>
              <w:jc w:val="right"/>
              <w:rPr>
                <w:szCs w:val="22"/>
                <w:lang w:val="cs-CZ"/>
              </w:rPr>
            </w:pPr>
            <w:r w:rsidRPr="001B4A02">
              <w:rPr>
                <w:noProof/>
                <w:szCs w:val="22"/>
              </w:rPr>
              <w:drawing>
                <wp:inline distT="0" distB="0" distL="0" distR="0" wp14:anchorId="5B11CDE8" wp14:editId="5515274E">
                  <wp:extent cx="405130" cy="180975"/>
                  <wp:effectExtent l="0" t="0" r="0" b="9525"/>
                  <wp:docPr id="465" name="Obrázek 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Obrázek 5"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5130" cy="180975"/>
                          </a:xfrm>
                          <a:prstGeom prst="rect">
                            <a:avLst/>
                          </a:prstGeom>
                          <a:noFill/>
                          <a:ln>
                            <a:noFill/>
                          </a:ln>
                        </pic:spPr>
                      </pic:pic>
                    </a:graphicData>
                  </a:graphic>
                </wp:inline>
              </w:drawing>
            </w:r>
          </w:p>
        </w:tc>
        <w:tc>
          <w:tcPr>
            <w:tcW w:w="1350" w:type="dxa"/>
            <w:shd w:val="clear" w:color="auto" w:fill="auto"/>
          </w:tcPr>
          <w:p w14:paraId="4AD21573" w14:textId="77777777" w:rsidR="00C33C7C" w:rsidRPr="001B4A02" w:rsidRDefault="00000000" w:rsidP="00A5191B">
            <w:pPr>
              <w:pStyle w:val="EMEANormal"/>
              <w:rPr>
                <w:szCs w:val="22"/>
                <w:lang w:val="cs-CZ"/>
              </w:rPr>
            </w:pPr>
            <w:r w:rsidRPr="001B4A02">
              <w:rPr>
                <w:szCs w:val="22"/>
                <w:lang w:val="cs-CZ"/>
              </w:rPr>
              <w:t>Placebo</w:t>
            </w:r>
          </w:p>
        </w:tc>
        <w:tc>
          <w:tcPr>
            <w:tcW w:w="900" w:type="dxa"/>
            <w:shd w:val="clear" w:color="auto" w:fill="auto"/>
          </w:tcPr>
          <w:p w14:paraId="788DB75D" w14:textId="77777777" w:rsidR="00C33C7C" w:rsidRPr="001B4A02" w:rsidRDefault="00000000" w:rsidP="00A5191B">
            <w:pPr>
              <w:pStyle w:val="EMEANormal"/>
              <w:jc w:val="right"/>
              <w:rPr>
                <w:szCs w:val="22"/>
                <w:lang w:val="cs-CZ"/>
              </w:rPr>
            </w:pPr>
            <w:r w:rsidRPr="001B4A02">
              <w:rPr>
                <w:noProof/>
                <w:szCs w:val="22"/>
              </w:rPr>
              <w:drawing>
                <wp:inline distT="0" distB="0" distL="0" distR="0" wp14:anchorId="2791B600" wp14:editId="1BFFEF99">
                  <wp:extent cx="569595" cy="180975"/>
                  <wp:effectExtent l="0" t="0" r="1905" b="9525"/>
                  <wp:docPr id="466" name="Obrázek 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Obrázek 4"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9595" cy="180975"/>
                          </a:xfrm>
                          <a:prstGeom prst="rect">
                            <a:avLst/>
                          </a:prstGeom>
                          <a:noFill/>
                          <a:ln>
                            <a:noFill/>
                          </a:ln>
                        </pic:spPr>
                      </pic:pic>
                    </a:graphicData>
                  </a:graphic>
                </wp:inline>
              </w:drawing>
            </w:r>
          </w:p>
        </w:tc>
        <w:tc>
          <w:tcPr>
            <w:tcW w:w="1890" w:type="dxa"/>
            <w:shd w:val="clear" w:color="auto" w:fill="auto"/>
          </w:tcPr>
          <w:p w14:paraId="6FC05BC6" w14:textId="77777777" w:rsidR="00C33C7C" w:rsidRPr="001B4A02" w:rsidRDefault="00000000" w:rsidP="00A5191B">
            <w:pPr>
              <w:pStyle w:val="EMEANormal"/>
              <w:rPr>
                <w:szCs w:val="22"/>
                <w:lang w:val="cs-CZ"/>
              </w:rPr>
            </w:pPr>
            <w:r w:rsidRPr="001B4A02">
              <w:rPr>
                <w:szCs w:val="22"/>
                <w:lang w:val="cs-CZ"/>
              </w:rPr>
              <w:t>Adalimumab</w:t>
            </w:r>
          </w:p>
        </w:tc>
      </w:tr>
      <w:tr w:rsidR="00534A2D" w14:paraId="0A531463" w14:textId="77777777" w:rsidTr="00A5191B">
        <w:trPr>
          <w:trHeight w:val="3869"/>
        </w:trPr>
        <w:tc>
          <w:tcPr>
            <w:tcW w:w="482" w:type="dxa"/>
            <w:shd w:val="clear" w:color="auto" w:fill="auto"/>
            <w:textDirection w:val="btLr"/>
            <w:vAlign w:val="bottom"/>
          </w:tcPr>
          <w:p w14:paraId="74D25EC9" w14:textId="77777777" w:rsidR="00C33C7C" w:rsidRPr="001B4A02" w:rsidRDefault="00000000" w:rsidP="00A5191B">
            <w:pPr>
              <w:pStyle w:val="EMEANormal"/>
              <w:jc w:val="center"/>
              <w:rPr>
                <w:b/>
                <w:szCs w:val="22"/>
                <w:lang w:val="cs-CZ"/>
              </w:rPr>
            </w:pPr>
            <w:r w:rsidRPr="001B4A02">
              <w:rPr>
                <w:b/>
                <w:bCs/>
                <w:szCs w:val="22"/>
                <w:lang w:val="cs-CZ"/>
              </w:rPr>
              <w:t>ČETNOST SELHÁNÍ LÉČBY (%)</w:t>
            </w:r>
          </w:p>
        </w:tc>
        <w:tc>
          <w:tcPr>
            <w:tcW w:w="8806" w:type="dxa"/>
            <w:gridSpan w:val="5"/>
            <w:shd w:val="clear" w:color="auto" w:fill="auto"/>
            <w:vAlign w:val="bottom"/>
          </w:tcPr>
          <w:p w14:paraId="458B4140" w14:textId="77777777" w:rsidR="00C33C7C" w:rsidRPr="001B4A02" w:rsidRDefault="00000000" w:rsidP="00A5191B">
            <w:pPr>
              <w:pStyle w:val="EMEANormal"/>
              <w:rPr>
                <w:b/>
                <w:szCs w:val="22"/>
                <w:lang w:val="cs-CZ"/>
              </w:rPr>
            </w:pPr>
            <w:r w:rsidRPr="001B4A02">
              <w:rPr>
                <w:b/>
                <w:noProof/>
                <w:szCs w:val="22"/>
              </w:rPr>
              <w:drawing>
                <wp:inline distT="0" distB="0" distL="0" distR="0" wp14:anchorId="44979301" wp14:editId="05EF5FB7">
                  <wp:extent cx="5486400" cy="2182495"/>
                  <wp:effectExtent l="0" t="0" r="0" b="8255"/>
                  <wp:docPr id="467" name="Obrázek 3"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Obrázek 3" descr="Humira Uveitis Figure 5_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6400" cy="2182495"/>
                          </a:xfrm>
                          <a:prstGeom prst="rect">
                            <a:avLst/>
                          </a:prstGeom>
                          <a:noFill/>
                          <a:ln>
                            <a:noFill/>
                          </a:ln>
                        </pic:spPr>
                      </pic:pic>
                    </a:graphicData>
                  </a:graphic>
                </wp:inline>
              </w:drawing>
            </w:r>
          </w:p>
        </w:tc>
      </w:tr>
      <w:tr w:rsidR="00534A2D" w14:paraId="32CDCB15" w14:textId="77777777" w:rsidTr="00A5191B">
        <w:tc>
          <w:tcPr>
            <w:tcW w:w="482" w:type="dxa"/>
            <w:shd w:val="clear" w:color="auto" w:fill="auto"/>
          </w:tcPr>
          <w:p w14:paraId="3041CF2A" w14:textId="77777777" w:rsidR="00C33C7C" w:rsidRPr="001B4A02" w:rsidRDefault="00C33C7C" w:rsidP="00A5191B">
            <w:pPr>
              <w:pStyle w:val="EMEANormal"/>
              <w:rPr>
                <w:szCs w:val="22"/>
                <w:lang w:val="cs-CZ"/>
              </w:rPr>
            </w:pPr>
          </w:p>
        </w:tc>
        <w:tc>
          <w:tcPr>
            <w:tcW w:w="8806" w:type="dxa"/>
            <w:gridSpan w:val="5"/>
            <w:shd w:val="clear" w:color="auto" w:fill="auto"/>
          </w:tcPr>
          <w:p w14:paraId="67B556BF" w14:textId="77777777" w:rsidR="00C33C7C" w:rsidRPr="001B4A02" w:rsidRDefault="00000000" w:rsidP="00A5191B">
            <w:pPr>
              <w:pStyle w:val="EMEANormal"/>
              <w:jc w:val="center"/>
              <w:rPr>
                <w:szCs w:val="22"/>
                <w:lang w:val="cs-CZ"/>
              </w:rPr>
            </w:pPr>
            <w:r w:rsidRPr="001B4A02">
              <w:rPr>
                <w:szCs w:val="22"/>
                <w:lang w:val="cs-CZ"/>
              </w:rPr>
              <w:t>ČAS (MĚSÍCE)</w:t>
            </w:r>
          </w:p>
        </w:tc>
      </w:tr>
      <w:tr w:rsidR="00534A2D" w14:paraId="1A951BCA" w14:textId="77777777" w:rsidTr="00A5191B">
        <w:trPr>
          <w:trHeight w:val="369"/>
        </w:trPr>
        <w:tc>
          <w:tcPr>
            <w:tcW w:w="482" w:type="dxa"/>
            <w:shd w:val="clear" w:color="auto" w:fill="auto"/>
          </w:tcPr>
          <w:p w14:paraId="1BF4BB79" w14:textId="77777777" w:rsidR="00C33C7C" w:rsidRPr="001B4A02" w:rsidRDefault="00C33C7C" w:rsidP="00A5191B">
            <w:pPr>
              <w:pStyle w:val="EMEANormal"/>
              <w:rPr>
                <w:szCs w:val="22"/>
                <w:lang w:val="cs-CZ"/>
              </w:rPr>
            </w:pPr>
          </w:p>
        </w:tc>
        <w:tc>
          <w:tcPr>
            <w:tcW w:w="3496" w:type="dxa"/>
            <w:shd w:val="clear" w:color="auto" w:fill="auto"/>
          </w:tcPr>
          <w:p w14:paraId="16C8D871" w14:textId="77777777" w:rsidR="00C33C7C" w:rsidRPr="001B4A02" w:rsidRDefault="00000000" w:rsidP="00A5191B">
            <w:pPr>
              <w:pStyle w:val="EMEANormal"/>
              <w:rPr>
                <w:szCs w:val="22"/>
                <w:lang w:val="cs-CZ"/>
              </w:rPr>
            </w:pPr>
            <w:r w:rsidRPr="001B4A02">
              <w:rPr>
                <w:szCs w:val="22"/>
                <w:lang w:val="cs-CZ"/>
              </w:rPr>
              <w:t>Studie UV II                        Léčba</w:t>
            </w:r>
          </w:p>
        </w:tc>
        <w:tc>
          <w:tcPr>
            <w:tcW w:w="1170" w:type="dxa"/>
            <w:shd w:val="clear" w:color="auto" w:fill="auto"/>
          </w:tcPr>
          <w:p w14:paraId="32242578" w14:textId="77777777" w:rsidR="00C33C7C" w:rsidRPr="001B4A02" w:rsidRDefault="00000000" w:rsidP="00A5191B">
            <w:pPr>
              <w:pStyle w:val="EMEANormal"/>
              <w:jc w:val="right"/>
              <w:rPr>
                <w:szCs w:val="22"/>
                <w:lang w:val="cs-CZ"/>
              </w:rPr>
            </w:pPr>
            <w:r w:rsidRPr="001B4A02">
              <w:rPr>
                <w:noProof/>
                <w:szCs w:val="22"/>
              </w:rPr>
              <w:drawing>
                <wp:inline distT="0" distB="0" distL="0" distR="0" wp14:anchorId="4B37947F" wp14:editId="2E489BA3">
                  <wp:extent cx="405130" cy="180975"/>
                  <wp:effectExtent l="0" t="0" r="0" b="9525"/>
                  <wp:docPr id="468" name="Obrázek 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Obrázek 2"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5130" cy="180975"/>
                          </a:xfrm>
                          <a:prstGeom prst="rect">
                            <a:avLst/>
                          </a:prstGeom>
                          <a:noFill/>
                          <a:ln>
                            <a:noFill/>
                          </a:ln>
                        </pic:spPr>
                      </pic:pic>
                    </a:graphicData>
                  </a:graphic>
                </wp:inline>
              </w:drawing>
            </w:r>
          </w:p>
        </w:tc>
        <w:tc>
          <w:tcPr>
            <w:tcW w:w="1350" w:type="dxa"/>
            <w:shd w:val="clear" w:color="auto" w:fill="auto"/>
          </w:tcPr>
          <w:p w14:paraId="2FBE2BD6" w14:textId="77777777" w:rsidR="00C33C7C" w:rsidRPr="001B4A02" w:rsidRDefault="00000000" w:rsidP="00A5191B">
            <w:pPr>
              <w:pStyle w:val="EMEANormal"/>
              <w:rPr>
                <w:szCs w:val="22"/>
                <w:lang w:val="cs-CZ"/>
              </w:rPr>
            </w:pPr>
            <w:r w:rsidRPr="001B4A02">
              <w:rPr>
                <w:szCs w:val="22"/>
                <w:lang w:val="cs-CZ"/>
              </w:rPr>
              <w:t>Placebo</w:t>
            </w:r>
          </w:p>
        </w:tc>
        <w:tc>
          <w:tcPr>
            <w:tcW w:w="900" w:type="dxa"/>
            <w:shd w:val="clear" w:color="auto" w:fill="auto"/>
          </w:tcPr>
          <w:p w14:paraId="2DA46FE8" w14:textId="77777777" w:rsidR="00C33C7C" w:rsidRPr="001B4A02" w:rsidRDefault="00000000" w:rsidP="00A5191B">
            <w:pPr>
              <w:pStyle w:val="EMEANormal"/>
              <w:jc w:val="right"/>
              <w:rPr>
                <w:szCs w:val="22"/>
                <w:lang w:val="cs-CZ"/>
              </w:rPr>
            </w:pPr>
            <w:r w:rsidRPr="001B4A02">
              <w:rPr>
                <w:noProof/>
                <w:szCs w:val="22"/>
              </w:rPr>
              <w:drawing>
                <wp:inline distT="0" distB="0" distL="0" distR="0" wp14:anchorId="32878B57" wp14:editId="14F95B41">
                  <wp:extent cx="569595" cy="180975"/>
                  <wp:effectExtent l="0" t="0" r="1905" b="9525"/>
                  <wp:docPr id="469" name="Obrázek 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Obrázek 1"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9595" cy="180975"/>
                          </a:xfrm>
                          <a:prstGeom prst="rect">
                            <a:avLst/>
                          </a:prstGeom>
                          <a:noFill/>
                          <a:ln>
                            <a:noFill/>
                          </a:ln>
                        </pic:spPr>
                      </pic:pic>
                    </a:graphicData>
                  </a:graphic>
                </wp:inline>
              </w:drawing>
            </w:r>
          </w:p>
        </w:tc>
        <w:tc>
          <w:tcPr>
            <w:tcW w:w="1890" w:type="dxa"/>
            <w:shd w:val="clear" w:color="auto" w:fill="auto"/>
          </w:tcPr>
          <w:p w14:paraId="1865F5D8" w14:textId="77777777" w:rsidR="00C33C7C" w:rsidRPr="001B4A02" w:rsidRDefault="00000000" w:rsidP="00A5191B">
            <w:pPr>
              <w:pStyle w:val="EMEANormal"/>
              <w:rPr>
                <w:szCs w:val="22"/>
                <w:lang w:val="cs-CZ"/>
              </w:rPr>
            </w:pPr>
            <w:r w:rsidRPr="001B4A02">
              <w:rPr>
                <w:szCs w:val="22"/>
                <w:lang w:val="cs-CZ"/>
              </w:rPr>
              <w:t>Adalimumab</w:t>
            </w:r>
          </w:p>
        </w:tc>
      </w:tr>
      <w:tr w:rsidR="00534A2D" w14:paraId="74DFE5FA" w14:textId="77777777" w:rsidTr="00A5191B">
        <w:trPr>
          <w:trHeight w:val="629"/>
        </w:trPr>
        <w:tc>
          <w:tcPr>
            <w:tcW w:w="9288" w:type="dxa"/>
            <w:gridSpan w:val="6"/>
            <w:shd w:val="clear" w:color="auto" w:fill="auto"/>
            <w:vAlign w:val="center"/>
          </w:tcPr>
          <w:p w14:paraId="6557D053" w14:textId="77777777" w:rsidR="00C33C7C" w:rsidRPr="001B4A02" w:rsidRDefault="00000000" w:rsidP="00A5191B">
            <w:pPr>
              <w:pStyle w:val="EMEANormal"/>
              <w:rPr>
                <w:szCs w:val="22"/>
                <w:lang w:val="cs-CZ"/>
              </w:rPr>
            </w:pPr>
            <w:r w:rsidRPr="001B4A02">
              <w:rPr>
                <w:szCs w:val="22"/>
                <w:lang w:val="cs-CZ"/>
              </w:rPr>
              <w:t>Poznámka: P# = Placebo (počet příhod/počet v</w:t>
            </w:r>
            <w:r w:rsidR="003D5529" w:rsidRPr="001B4A02">
              <w:rPr>
                <w:szCs w:val="22"/>
                <w:lang w:val="cs-CZ"/>
              </w:rPr>
              <w:t> </w:t>
            </w:r>
            <w:r w:rsidRPr="001B4A02">
              <w:rPr>
                <w:szCs w:val="22"/>
                <w:lang w:val="cs-CZ"/>
              </w:rPr>
              <w:t xml:space="preserve">riziku); A# = </w:t>
            </w:r>
            <w:r w:rsidR="00B85453" w:rsidRPr="001B4A02">
              <w:rPr>
                <w:szCs w:val="22"/>
                <w:lang w:val="cs-CZ"/>
              </w:rPr>
              <w:t xml:space="preserve">přípravek </w:t>
            </w:r>
            <w:r w:rsidRPr="001B4A02">
              <w:rPr>
                <w:szCs w:val="22"/>
                <w:lang w:val="cs-CZ"/>
              </w:rPr>
              <w:t>HUMIRA (počet příhod/počet v</w:t>
            </w:r>
            <w:r w:rsidR="003D5529" w:rsidRPr="001B4A02">
              <w:rPr>
                <w:szCs w:val="22"/>
                <w:lang w:val="cs-CZ"/>
              </w:rPr>
              <w:t> </w:t>
            </w:r>
            <w:r w:rsidRPr="001B4A02">
              <w:rPr>
                <w:szCs w:val="22"/>
                <w:lang w:val="cs-CZ"/>
              </w:rPr>
              <w:t>riziku).</w:t>
            </w:r>
          </w:p>
        </w:tc>
      </w:tr>
    </w:tbl>
    <w:p w14:paraId="4C86A241" w14:textId="77777777" w:rsidR="00C33C7C" w:rsidRPr="001B4A02" w:rsidRDefault="00C33C7C" w:rsidP="00C33C7C">
      <w:pPr>
        <w:pStyle w:val="EMEANormal"/>
        <w:rPr>
          <w:lang w:val="cs-CZ"/>
        </w:rPr>
      </w:pPr>
    </w:p>
    <w:p w14:paraId="640B69F5" w14:textId="77777777" w:rsidR="00C33C7C" w:rsidRPr="001B4A02" w:rsidRDefault="00000000" w:rsidP="00C33C7C">
      <w:pPr>
        <w:pStyle w:val="EMEANormal"/>
        <w:rPr>
          <w:lang w:val="cs-CZ"/>
        </w:rPr>
      </w:pPr>
      <w:r w:rsidRPr="001B4A02">
        <w:rPr>
          <w:lang w:val="cs-CZ"/>
        </w:rPr>
        <w:t>Ve studii UV I byly pozorovány statisticky významné rozdíly ve prospěch adalimumabu v porovnání s placebem u každého důvodu selhání léčby. Ve studii UV II byly pozorovány statisticky významné rozdíly jen u zrakové ostrosti, ale ostatní důvody byly početně ve prospěch adalimumabu.</w:t>
      </w:r>
    </w:p>
    <w:p w14:paraId="24ECCDBF" w14:textId="77777777" w:rsidR="00C33C7C" w:rsidRPr="001B4A02" w:rsidRDefault="00C33C7C" w:rsidP="00C33C7C">
      <w:pPr>
        <w:pStyle w:val="EMEANormal"/>
        <w:rPr>
          <w:lang w:val="cs-CZ"/>
        </w:rPr>
      </w:pPr>
    </w:p>
    <w:p w14:paraId="2B9DE7E3" w14:textId="77777777" w:rsidR="00C33C7C" w:rsidRPr="001B4A02" w:rsidRDefault="00000000" w:rsidP="00C33C7C">
      <w:pPr>
        <w:ind w:left="0" w:firstLine="0"/>
      </w:pPr>
      <w:r w:rsidRPr="001B4A02">
        <w:t>Ze 417</w:t>
      </w:r>
      <w:r w:rsidR="009663D1" w:rsidRPr="001B4A02">
        <w:t xml:space="preserve"> </w:t>
      </w:r>
      <w:r w:rsidR="00723D64" w:rsidRPr="001B4A02">
        <w:t>subjektů</w:t>
      </w:r>
      <w:r w:rsidRPr="001B4A02">
        <w:t xml:space="preserve"> zařazených do nekontrolovaných dlouhodobých prodloužení studií UV I</w:t>
      </w:r>
      <w:r w:rsidR="002378E0">
        <w:t xml:space="preserve"> a </w:t>
      </w:r>
      <w:r w:rsidRPr="001B4A02">
        <w:t>UV II bylo 46</w:t>
      </w:r>
      <w:r w:rsidR="009663D1" w:rsidRPr="001B4A02">
        <w:t xml:space="preserve"> </w:t>
      </w:r>
      <w:r w:rsidR="00723D64" w:rsidRPr="001B4A02">
        <w:t>subjektů</w:t>
      </w:r>
      <w:r w:rsidRPr="001B4A02">
        <w:t xml:space="preserve"> považováno za nezpůsobilé (např. vyvinuly se sekundární komplikace diabetické retinopatie v důsledku katarakty nebo vitrektomie)</w:t>
      </w:r>
      <w:r w:rsidR="002378E0">
        <w:t xml:space="preserve"> a </w:t>
      </w:r>
      <w:r w:rsidRPr="001B4A02">
        <w:t>byl</w:t>
      </w:r>
      <w:r w:rsidR="00723D64" w:rsidRPr="001B4A02">
        <w:t>o</w:t>
      </w:r>
      <w:r w:rsidRPr="001B4A02">
        <w:t xml:space="preserve"> vyřazen</w:t>
      </w:r>
      <w:r w:rsidR="00723D64" w:rsidRPr="001B4A02">
        <w:t>o</w:t>
      </w:r>
      <w:r w:rsidRPr="001B4A02">
        <w:t xml:space="preserve"> z primární analýzy </w:t>
      </w:r>
      <w:r w:rsidR="00FD6A84" w:rsidRPr="001B4A02">
        <w:t>účinnosti. Z</w:t>
      </w:r>
      <w:r w:rsidR="00CC37C0" w:rsidRPr="001B4A02">
        <w:t> </w:t>
      </w:r>
      <w:r w:rsidR="005C5359" w:rsidRPr="001B4A02">
        <w:t>371</w:t>
      </w:r>
      <w:r w:rsidR="009663D1" w:rsidRPr="001B4A02">
        <w:t xml:space="preserve"> </w:t>
      </w:r>
      <w:r w:rsidR="005C5359" w:rsidRPr="001B4A02">
        <w:t xml:space="preserve">zbývajících pacientů dosáhlo 276 hodnotitelných </w:t>
      </w:r>
      <w:r w:rsidR="009663D1" w:rsidRPr="001B4A02">
        <w:t xml:space="preserve">pacientů </w:t>
      </w:r>
      <w:r w:rsidR="005C5359" w:rsidRPr="001B4A02">
        <w:t>78 týdnů otevřené léčby adalimumabem. Na základě přístupu pozorovaných dat bylo 222 (80,4 %)</w:t>
      </w:r>
      <w:r w:rsidR="00523E4D" w:rsidRPr="001B4A02">
        <w:t xml:space="preserve"> </w:t>
      </w:r>
      <w:r w:rsidR="009663D1" w:rsidRPr="001B4A02">
        <w:t xml:space="preserve">pacientů </w:t>
      </w:r>
      <w:r w:rsidR="00523E4D" w:rsidRPr="001B4A02">
        <w:t>v klidu (bez aktivních zánětlivých lézí, stupeň AC buněk ≤</w:t>
      </w:r>
      <w:r w:rsidR="008E5C77" w:rsidRPr="001B4A02">
        <w:t> </w:t>
      </w:r>
      <w:r w:rsidR="00523E4D" w:rsidRPr="001B4A02">
        <w:t>0,5+, VH stupeň ≤</w:t>
      </w:r>
      <w:r w:rsidR="008E5C77" w:rsidRPr="001B4A02">
        <w:t> </w:t>
      </w:r>
      <w:r w:rsidR="00523E4D" w:rsidRPr="001B4A02">
        <w:t xml:space="preserve">0,5+) </w:t>
      </w:r>
      <w:r w:rsidR="009663D1" w:rsidRPr="001B4A02">
        <w:t>na současné dávce</w:t>
      </w:r>
      <w:r w:rsidR="00523E4D" w:rsidRPr="001B4A02">
        <w:t xml:space="preserve"> steroidů </w:t>
      </w:r>
      <w:r w:rsidRPr="001B4A02">
        <w:t>≤</w:t>
      </w:r>
      <w:r w:rsidR="008E5C77" w:rsidRPr="001B4A02">
        <w:t> </w:t>
      </w:r>
      <w:r w:rsidRPr="001B4A02">
        <w:t>7</w:t>
      </w:r>
      <w:r w:rsidR="00523E4D" w:rsidRPr="001B4A02">
        <w:t>,</w:t>
      </w:r>
      <w:r w:rsidRPr="001B4A02">
        <w:t>5</w:t>
      </w:r>
      <w:r w:rsidR="00523E4D" w:rsidRPr="001B4A02">
        <w:t> </w:t>
      </w:r>
      <w:r w:rsidRPr="001B4A02">
        <w:t xml:space="preserve">mg </w:t>
      </w:r>
      <w:r w:rsidR="00523E4D" w:rsidRPr="001B4A02">
        <w:t>denně</w:t>
      </w:r>
      <w:r w:rsidR="002378E0">
        <w:t xml:space="preserve"> a </w:t>
      </w:r>
      <w:r w:rsidR="00523E4D" w:rsidRPr="001B4A02">
        <w:t xml:space="preserve">184 (66,7 %) </w:t>
      </w:r>
      <w:r w:rsidR="009663D1" w:rsidRPr="001B4A02">
        <w:t xml:space="preserve">pacientů </w:t>
      </w:r>
      <w:r w:rsidR="00523E4D" w:rsidRPr="001B4A02">
        <w:t>bylo v klidu bez podávání steroidů. BCVA se buď zlepšila</w:t>
      </w:r>
      <w:r w:rsidR="00723D64" w:rsidRPr="001B4A02">
        <w:t>,</w:t>
      </w:r>
      <w:r w:rsidR="00523E4D" w:rsidRPr="001B4A02">
        <w:t xml:space="preserve"> nebo udržela </w:t>
      </w:r>
      <w:r w:rsidRPr="001B4A02">
        <w:t>(</w:t>
      </w:r>
      <w:r w:rsidR="00523E4D" w:rsidRPr="001B4A02">
        <w:t>zhoršení o</w:t>
      </w:r>
      <w:r w:rsidR="00923691" w:rsidRPr="001B4A02">
        <w:t> </w:t>
      </w:r>
      <w:r w:rsidRPr="001B4A02">
        <w:t>&lt;</w:t>
      </w:r>
      <w:r w:rsidR="00057A14" w:rsidRPr="001B4A02">
        <w:t> </w:t>
      </w:r>
      <w:r w:rsidRPr="001B4A02">
        <w:t>5</w:t>
      </w:r>
      <w:r w:rsidR="00523E4D" w:rsidRPr="001B4A02">
        <w:t> písmen</w:t>
      </w:r>
      <w:r w:rsidRPr="001B4A02">
        <w:t xml:space="preserve">) </w:t>
      </w:r>
      <w:r w:rsidR="00523E4D" w:rsidRPr="001B4A02">
        <w:t>u</w:t>
      </w:r>
      <w:r w:rsidR="00CC37C0" w:rsidRPr="001B4A02">
        <w:t> </w:t>
      </w:r>
      <w:r w:rsidRPr="001B4A02">
        <w:t>88</w:t>
      </w:r>
      <w:r w:rsidR="00523E4D" w:rsidRPr="001B4A02">
        <w:t>,</w:t>
      </w:r>
      <w:r w:rsidRPr="001B4A02">
        <w:t>4</w:t>
      </w:r>
      <w:r w:rsidR="00523E4D" w:rsidRPr="001B4A02">
        <w:t> </w:t>
      </w:r>
      <w:r w:rsidRPr="001B4A02">
        <w:t>%</w:t>
      </w:r>
      <w:r w:rsidR="00523E4D" w:rsidRPr="001B4A02">
        <w:t xml:space="preserve"> očí v týdnu 78. Z</w:t>
      </w:r>
      <w:r w:rsidR="00CC37C0" w:rsidRPr="001B4A02">
        <w:t> </w:t>
      </w:r>
      <w:r w:rsidR="00523E4D" w:rsidRPr="001B4A02">
        <w:t xml:space="preserve">pacientů, kteří ukončili studii před týdnem 78, 11 % ukončilo studii </w:t>
      </w:r>
      <w:r w:rsidR="00FD6A84" w:rsidRPr="001B4A02">
        <w:t>z</w:t>
      </w:r>
      <w:r w:rsidR="00CC37C0" w:rsidRPr="001B4A02">
        <w:t> </w:t>
      </w:r>
      <w:r w:rsidR="00FD6A84" w:rsidRPr="001B4A02">
        <w:t>důvodu</w:t>
      </w:r>
      <w:r w:rsidR="00523E4D" w:rsidRPr="001B4A02">
        <w:t xml:space="preserve"> nežádoucích příhod</w:t>
      </w:r>
      <w:r w:rsidR="002378E0">
        <w:t xml:space="preserve"> a </w:t>
      </w:r>
      <w:r w:rsidR="00523E4D" w:rsidRPr="001B4A02">
        <w:t>5 % v důsledku nedostatečné odpovědi na léčbu adalimumabem</w:t>
      </w:r>
      <w:r w:rsidRPr="001B4A02">
        <w:t>.</w:t>
      </w:r>
    </w:p>
    <w:p w14:paraId="63D5BE96" w14:textId="77777777" w:rsidR="00C33C7C" w:rsidRPr="001B4A02" w:rsidRDefault="00C33C7C" w:rsidP="00C33C7C">
      <w:pPr>
        <w:pStyle w:val="EMEANormal"/>
        <w:rPr>
          <w:lang w:val="cs-CZ"/>
        </w:rPr>
      </w:pPr>
    </w:p>
    <w:p w14:paraId="19FD7981" w14:textId="77777777" w:rsidR="00C33C7C" w:rsidRPr="001B4A02" w:rsidRDefault="00000000" w:rsidP="00C33C7C">
      <w:pPr>
        <w:pStyle w:val="EMEANormal"/>
        <w:keepNext/>
        <w:rPr>
          <w:i/>
          <w:szCs w:val="22"/>
          <w:u w:val="single"/>
          <w:lang w:val="cs-CZ"/>
        </w:rPr>
      </w:pPr>
      <w:r w:rsidRPr="001B4A02">
        <w:rPr>
          <w:i/>
          <w:iCs/>
          <w:szCs w:val="22"/>
          <w:u w:val="single"/>
          <w:lang w:val="cs-CZ"/>
        </w:rPr>
        <w:t>Kvalita života</w:t>
      </w:r>
    </w:p>
    <w:p w14:paraId="2C2B0AC1" w14:textId="77777777" w:rsidR="00C33C7C" w:rsidRPr="001B4A02" w:rsidRDefault="00C33C7C" w:rsidP="00C33C7C">
      <w:pPr>
        <w:pStyle w:val="EMEANormal"/>
        <w:keepNext/>
        <w:rPr>
          <w:i/>
          <w:szCs w:val="22"/>
          <w:u w:val="single"/>
          <w:lang w:val="cs-CZ"/>
        </w:rPr>
      </w:pPr>
    </w:p>
    <w:p w14:paraId="0A484D22" w14:textId="77777777" w:rsidR="00C33C7C" w:rsidRPr="001B4A02" w:rsidRDefault="00000000" w:rsidP="00C33C7C">
      <w:pPr>
        <w:pStyle w:val="EMEANormal"/>
        <w:rPr>
          <w:lang w:val="cs-CZ"/>
        </w:rPr>
      </w:pPr>
      <w:r w:rsidRPr="001B4A02">
        <w:rPr>
          <w:lang w:val="cs-CZ"/>
        </w:rPr>
        <w:t>Pacienty hlášené výsledky zahrnující zrakové funkce byly hodnoceny v obou klinických studiích za pomoci NEI VFQ-25. Přípravek Humira měl početně lepší výsledky ve většině podskóre, přičemž ve studii UV I byl statisticky významný střední rozdíl zaznamenán všeobecně u zraku, bolesti oka, vidění na blízko, duševního zdraví</w:t>
      </w:r>
      <w:r w:rsidR="002378E0">
        <w:rPr>
          <w:lang w:val="cs-CZ"/>
        </w:rPr>
        <w:t xml:space="preserve"> a </w:t>
      </w:r>
      <w:r w:rsidRPr="001B4A02">
        <w:rPr>
          <w:lang w:val="cs-CZ"/>
        </w:rPr>
        <w:t>celkového skóre,</w:t>
      </w:r>
      <w:r w:rsidR="002378E0">
        <w:rPr>
          <w:lang w:val="cs-CZ"/>
        </w:rPr>
        <w:t xml:space="preserve"> a </w:t>
      </w:r>
      <w:r w:rsidRPr="001B4A02">
        <w:rPr>
          <w:lang w:val="cs-CZ"/>
        </w:rPr>
        <w:t>ve studii UV II všeobecně u zraku</w:t>
      </w:r>
      <w:r w:rsidR="002378E0">
        <w:rPr>
          <w:lang w:val="cs-CZ"/>
        </w:rPr>
        <w:t xml:space="preserve"> a </w:t>
      </w:r>
      <w:r w:rsidRPr="001B4A02">
        <w:rPr>
          <w:lang w:val="cs-CZ"/>
        </w:rPr>
        <w:t>duševního zdraví. Početně nebylo zlepšení zraku vlivem přípravku Humira ve studii UV I pozorováno u barevného vidění</w:t>
      </w:r>
      <w:r w:rsidR="002378E0">
        <w:rPr>
          <w:lang w:val="cs-CZ"/>
        </w:rPr>
        <w:t xml:space="preserve"> a </w:t>
      </w:r>
      <w:r w:rsidRPr="001B4A02">
        <w:rPr>
          <w:lang w:val="cs-CZ"/>
        </w:rPr>
        <w:t>ve studii UV II u barevného vidění, periferního vidění</w:t>
      </w:r>
      <w:r w:rsidR="002378E0">
        <w:rPr>
          <w:lang w:val="cs-CZ"/>
        </w:rPr>
        <w:t xml:space="preserve"> a </w:t>
      </w:r>
      <w:r w:rsidRPr="001B4A02">
        <w:rPr>
          <w:lang w:val="cs-CZ"/>
        </w:rPr>
        <w:t>vidění na blízko.</w:t>
      </w:r>
    </w:p>
    <w:p w14:paraId="12C3BB9D" w14:textId="77777777" w:rsidR="00C33C7C" w:rsidRPr="001B4A02" w:rsidRDefault="00C33C7C" w:rsidP="00C33C7C">
      <w:pPr>
        <w:pStyle w:val="EMEANormal"/>
        <w:tabs>
          <w:tab w:val="clear" w:pos="562"/>
        </w:tabs>
        <w:suppressAutoHyphens w:val="0"/>
        <w:rPr>
          <w:u w:val="single"/>
          <w:lang w:val="cs-CZ"/>
        </w:rPr>
      </w:pPr>
    </w:p>
    <w:p w14:paraId="7A013A97" w14:textId="77777777" w:rsidR="00C33C7C" w:rsidRPr="001B4A02" w:rsidRDefault="00000000" w:rsidP="00C33C7C">
      <w:pPr>
        <w:pStyle w:val="EMEANormal"/>
        <w:keepNext/>
        <w:tabs>
          <w:tab w:val="clear" w:pos="562"/>
        </w:tabs>
        <w:suppressAutoHyphens w:val="0"/>
        <w:rPr>
          <w:i/>
          <w:u w:val="single"/>
          <w:lang w:val="cs-CZ"/>
        </w:rPr>
      </w:pPr>
      <w:r w:rsidRPr="001B4A02">
        <w:rPr>
          <w:i/>
          <w:u w:val="single"/>
          <w:lang w:val="cs-CZ"/>
        </w:rPr>
        <w:t>Imunogenita</w:t>
      </w:r>
    </w:p>
    <w:p w14:paraId="1C31BAC7" w14:textId="77777777" w:rsidR="00C33C7C" w:rsidRPr="001B4A02" w:rsidRDefault="00C33C7C" w:rsidP="00C33C7C">
      <w:pPr>
        <w:keepNext/>
        <w:ind w:left="0" w:firstLine="0"/>
      </w:pPr>
    </w:p>
    <w:p w14:paraId="3AD72AF3" w14:textId="77777777" w:rsidR="00C33C7C" w:rsidRPr="001B4A02" w:rsidRDefault="00000000" w:rsidP="00C465CA">
      <w:pPr>
        <w:ind w:left="0" w:firstLine="0"/>
      </w:pPr>
      <w:r w:rsidRPr="001B4A02">
        <w:t>Tvorba protilátek proti adalimumabu je spojena se zvýšenou clearance</w:t>
      </w:r>
      <w:r w:rsidR="002378E0">
        <w:t xml:space="preserve"> a </w:t>
      </w:r>
      <w:r w:rsidRPr="001B4A02">
        <w:t>sníženou účinností adalimumabu. Mezi přítomností protilátek proti adalimumabu</w:t>
      </w:r>
      <w:r w:rsidR="002378E0">
        <w:t xml:space="preserve"> a </w:t>
      </w:r>
      <w:r w:rsidRPr="001B4A02">
        <w:t>výskytem nežádoucích účinků neexistuje žádná zjevná korelace.</w:t>
      </w:r>
    </w:p>
    <w:p w14:paraId="6B979121" w14:textId="77777777" w:rsidR="00C33C7C" w:rsidRPr="001B4A02" w:rsidRDefault="00C33C7C" w:rsidP="00C33C7C">
      <w:pPr>
        <w:ind w:left="0" w:firstLine="0"/>
      </w:pPr>
    </w:p>
    <w:p w14:paraId="30A78B90" w14:textId="77777777" w:rsidR="00C33C7C" w:rsidRPr="001B4A02" w:rsidRDefault="00000000" w:rsidP="00C33C7C">
      <w:pPr>
        <w:ind w:left="0" w:firstLine="0"/>
      </w:pPr>
      <w:r w:rsidRPr="001B4A02">
        <w:t>U pacientů s polyartikulární juvenilní idiopatickou artritidou ve věku 4 až 17 let byly protilátky proti adalimumabu identifikovány u 15,8 % (27 ze 171) pacientů léčených adalimumabem. U</w:t>
      </w:r>
      <w:r w:rsidR="00865367" w:rsidRPr="001B4A02">
        <w:t> </w:t>
      </w:r>
      <w:r w:rsidRPr="001B4A02">
        <w:t>pacientů, kteří nedostávali současně methotrexát, byla incidence 25,6 % (22 z 86) ve srovnání s 5,9 % (5 z 85 v případě, kdy byl adalimumab používán jako doplňková léčba k</w:t>
      </w:r>
      <w:r w:rsidR="00865367" w:rsidRPr="001B4A02">
        <w:t> </w:t>
      </w:r>
      <w:r w:rsidRPr="001B4A02">
        <w:t>methotrexátu.</w:t>
      </w:r>
      <w:r w:rsidR="000D630C" w:rsidRPr="001B4A02">
        <w:t xml:space="preserve"> U</w:t>
      </w:r>
      <w:r w:rsidR="00865367" w:rsidRPr="001B4A02">
        <w:t> </w:t>
      </w:r>
      <w:r w:rsidR="000D630C" w:rsidRPr="001B4A02">
        <w:t xml:space="preserve">pacientů s polyartikulární juvenilní idiopatickou artritidou ve věku 2 </w:t>
      </w:r>
      <w:r w:rsidR="000D630C" w:rsidRPr="001B4A02">
        <w:rPr>
          <w:shd w:val="clear" w:color="auto" w:fill="FFFFFF"/>
        </w:rPr>
        <w:t>až</w:t>
      </w:r>
      <w:r w:rsidR="000D630C" w:rsidRPr="001B4A02">
        <w:t xml:space="preserve"> &lt;</w:t>
      </w:r>
      <w:r w:rsidR="00057A14" w:rsidRPr="001B4A02">
        <w:t> </w:t>
      </w:r>
      <w:r w:rsidR="000D630C" w:rsidRPr="001B4A02">
        <w:t>4 roky</w:t>
      </w:r>
      <w:r w:rsidR="002378E0">
        <w:t xml:space="preserve"> a </w:t>
      </w:r>
      <w:r w:rsidR="000D630C" w:rsidRPr="001B4A02">
        <w:t>ve věku 4 roky</w:t>
      </w:r>
      <w:r w:rsidR="002378E0">
        <w:t xml:space="preserve"> a </w:t>
      </w:r>
      <w:r w:rsidR="000D630C" w:rsidRPr="001B4A02">
        <w:t>starší s tělesnou hmotností &lt;</w:t>
      </w:r>
      <w:r w:rsidR="00057A14" w:rsidRPr="001B4A02">
        <w:t> </w:t>
      </w:r>
      <w:r w:rsidR="000D630C" w:rsidRPr="001B4A02">
        <w:t>15 kg byly protilátky proti adalimumabu identifikovány u</w:t>
      </w:r>
      <w:r w:rsidR="00865367" w:rsidRPr="001B4A02">
        <w:t> </w:t>
      </w:r>
      <w:r w:rsidR="000D630C" w:rsidRPr="001B4A02">
        <w:t>7 % (1 z</w:t>
      </w:r>
      <w:r w:rsidR="00CC37C0" w:rsidRPr="001B4A02">
        <w:t> </w:t>
      </w:r>
      <w:r w:rsidR="000D630C" w:rsidRPr="001B4A02">
        <w:t>15) pacientů</w:t>
      </w:r>
      <w:r w:rsidR="002378E0">
        <w:t xml:space="preserve"> a </w:t>
      </w:r>
      <w:r w:rsidR="000D630C" w:rsidRPr="001B4A02">
        <w:t>jeden pacient dostával současně methotrexát.</w:t>
      </w:r>
    </w:p>
    <w:p w14:paraId="26A1CE6F" w14:textId="77777777" w:rsidR="00C33C7C" w:rsidRPr="001B4A02" w:rsidRDefault="00C33C7C" w:rsidP="00C33C7C">
      <w:pPr>
        <w:ind w:left="0" w:firstLine="0"/>
      </w:pPr>
    </w:p>
    <w:p w14:paraId="287937DD" w14:textId="77777777" w:rsidR="00BF2361" w:rsidRPr="001B4A02" w:rsidRDefault="00000000" w:rsidP="00BF2361">
      <w:pPr>
        <w:ind w:left="0" w:firstLine="0"/>
      </w:pPr>
      <w:r w:rsidRPr="001B4A02">
        <w:t>U pacientů s entezopatickou</w:t>
      </w:r>
      <w:r w:rsidR="0006352B" w:rsidRPr="001B4A02">
        <w:t xml:space="preserve"> </w:t>
      </w:r>
      <w:r w:rsidRPr="001B4A02">
        <w:t>artritidou byly protilátky proti adalimumabu identifikovány u 10,9 % (5 ze 46) pacientů léčených adalimumabem. U</w:t>
      </w:r>
      <w:r w:rsidR="0006352B" w:rsidRPr="001B4A02">
        <w:t> </w:t>
      </w:r>
      <w:r w:rsidRPr="001B4A02">
        <w:t>pacientů, kteří nebyli současně léčeni methotrexátem, byla incidence 13,6 % (3 z 22), ve srovnání s 8,3 % (2 z 24), pokud byl adalimumab přidán k methotrexátu.</w:t>
      </w:r>
    </w:p>
    <w:p w14:paraId="4D60F453" w14:textId="77777777" w:rsidR="00BF2361" w:rsidRPr="001B4A02" w:rsidRDefault="00BF2361" w:rsidP="00BF2361">
      <w:pPr>
        <w:ind w:left="0" w:firstLine="0"/>
      </w:pPr>
    </w:p>
    <w:p w14:paraId="1B89E23B" w14:textId="77777777" w:rsidR="00BF2361" w:rsidRPr="001B4A02" w:rsidRDefault="00000000" w:rsidP="00BF2361">
      <w:pPr>
        <w:ind w:left="0" w:firstLine="0"/>
      </w:pPr>
      <w:r w:rsidRPr="001B4A02">
        <w:t>Pacientům ve studiích v indikaci revmatoidní artritida I, II</w:t>
      </w:r>
      <w:r w:rsidR="002378E0">
        <w:t xml:space="preserve"> a </w:t>
      </w:r>
      <w:r w:rsidRPr="001B4A02">
        <w:t>III byly v různých časových okamžicích prováděny testy na přítomnost proti</w:t>
      </w:r>
      <w:r w:rsidR="007978AF">
        <w:t>l</w:t>
      </w:r>
      <w:r w:rsidRPr="001B4A02">
        <w:t>átek proti adalimumabu,</w:t>
      </w:r>
      <w:r w:rsidR="002378E0">
        <w:t xml:space="preserve"> a </w:t>
      </w:r>
      <w:r w:rsidRPr="001B4A02">
        <w:t>to v průběhu 6 až 12měsíčního období léčby. V pivotních studiích byly protilátky proti adalimumabu identifikovány u 5,5 % (58 z 1 053) pacientů léčených adalimumabem, ve srovnání s</w:t>
      </w:r>
      <w:r w:rsidR="0006352B" w:rsidRPr="001B4A02">
        <w:t> </w:t>
      </w:r>
      <w:r w:rsidRPr="001B4A02">
        <w:t>0,5 %</w:t>
      </w:r>
      <w:r w:rsidR="003735C0" w:rsidRPr="001B4A02">
        <w:t xml:space="preserve"> </w:t>
      </w:r>
      <w:r w:rsidRPr="001B4A02">
        <w:t>(2 ze 370) pacientů léčených placebem. U</w:t>
      </w:r>
      <w:r w:rsidR="0006352B" w:rsidRPr="001B4A02">
        <w:t> </w:t>
      </w:r>
      <w:r w:rsidRPr="001B4A02">
        <w:t>pacientů, kteří současně neužívali methotrexát, byla incidence 12,4 % ve srovnání s 0,6 % pacientů, kterým byl adalimumab přidán k methotrexátu.</w:t>
      </w:r>
    </w:p>
    <w:p w14:paraId="13B8AF41" w14:textId="77777777" w:rsidR="000D630C" w:rsidRPr="001B4A02" w:rsidRDefault="000D630C" w:rsidP="00C33C7C">
      <w:pPr>
        <w:ind w:left="0" w:firstLine="0"/>
      </w:pPr>
    </w:p>
    <w:p w14:paraId="2F27FE79" w14:textId="77777777" w:rsidR="00C33C7C" w:rsidRPr="001B4A02" w:rsidRDefault="00000000" w:rsidP="00C33C7C">
      <w:pPr>
        <w:ind w:left="0" w:firstLine="0"/>
      </w:pPr>
      <w:r w:rsidRPr="001B4A02">
        <w:t>U pediatrických pacientů s psoriázou byly protilátky proti adalimumabu identifikovány u 5 ze 38 subjektů (13</w:t>
      </w:r>
      <w:r w:rsidR="006008CB">
        <w:t> %</w:t>
      </w:r>
      <w:r w:rsidRPr="001B4A02">
        <w:t>) léčených 0,8</w:t>
      </w:r>
      <w:r w:rsidR="00294902">
        <w:t> mg</w:t>
      </w:r>
      <w:r w:rsidRPr="001B4A02">
        <w:t>/kg adalimumabu v monoterapii.</w:t>
      </w:r>
    </w:p>
    <w:p w14:paraId="2C5A21BA" w14:textId="77777777" w:rsidR="00C33C7C" w:rsidRPr="001B4A02" w:rsidRDefault="00C33C7C" w:rsidP="00C33C7C">
      <w:pPr>
        <w:ind w:left="0" w:firstLine="0"/>
      </w:pPr>
    </w:p>
    <w:p w14:paraId="18CCB823" w14:textId="77777777" w:rsidR="00C33C7C" w:rsidRPr="001B4A02" w:rsidRDefault="00000000" w:rsidP="00C33C7C">
      <w:pPr>
        <w:ind w:left="0" w:firstLine="0"/>
      </w:pPr>
      <w:r w:rsidRPr="001B4A02">
        <w:t>U dospělých pacientů s psoriázou byly protilátky proti adalimumabu identifikovány u 77 z 920 subjektů (8,4</w:t>
      </w:r>
      <w:r w:rsidR="006008CB">
        <w:t> %</w:t>
      </w:r>
      <w:r w:rsidRPr="001B4A02">
        <w:t>) léčených adalimumabem v monoterapii.</w:t>
      </w:r>
    </w:p>
    <w:p w14:paraId="00C0C8D9" w14:textId="77777777" w:rsidR="00BF2361" w:rsidRPr="001B4A02" w:rsidRDefault="00BF2361" w:rsidP="00C33C7C">
      <w:pPr>
        <w:ind w:left="0" w:firstLine="0"/>
      </w:pPr>
    </w:p>
    <w:p w14:paraId="7EE5CDCC" w14:textId="77777777" w:rsidR="0074124A" w:rsidRPr="001B4A02" w:rsidRDefault="00000000" w:rsidP="0074124A">
      <w:pPr>
        <w:ind w:left="0" w:firstLine="0"/>
      </w:pPr>
      <w:r w:rsidRPr="001B4A02">
        <w:t>U dospělých pacientů s</w:t>
      </w:r>
      <w:r w:rsidR="00865367" w:rsidRPr="001B4A02">
        <w:t> </w:t>
      </w:r>
      <w:r w:rsidRPr="001B4A02">
        <w:t>ložiskovou psoriázou, léčených dlouhodobě adalimumabem v monoterapii, kteří se účastnili studie, ve které byl adalimumab vysazen</w:t>
      </w:r>
      <w:r w:rsidR="002378E0">
        <w:t xml:space="preserve"> a </w:t>
      </w:r>
      <w:r w:rsidRPr="001B4A02">
        <w:t>opětovně nasazen, byl počet protilátek proti adalimumabu po znovunasazení (</w:t>
      </w:r>
      <w:r w:rsidR="00743767" w:rsidRPr="001B4A02">
        <w:t>u</w:t>
      </w:r>
      <w:r w:rsidR="00CC37C0" w:rsidRPr="001B4A02">
        <w:t> </w:t>
      </w:r>
      <w:r w:rsidR="00743767" w:rsidRPr="001B4A02">
        <w:t>11 z</w:t>
      </w:r>
      <w:r w:rsidR="00CC37C0" w:rsidRPr="001B4A02">
        <w:t> </w:t>
      </w:r>
      <w:r w:rsidR="00743767" w:rsidRPr="001B4A02">
        <w:t>482 pacientů</w:t>
      </w:r>
      <w:r w:rsidR="006307E1" w:rsidRPr="001B4A02">
        <w:t xml:space="preserve">, </w:t>
      </w:r>
      <w:r w:rsidR="006307E1">
        <w:t>2,3</w:t>
      </w:r>
      <w:r w:rsidR="006307E1" w:rsidRPr="001B4A02">
        <w:t> %</w:t>
      </w:r>
      <w:r w:rsidRPr="001B4A02">
        <w:t>) podobný jako jejich počet pozorovaný před vysazením léčiva (</w:t>
      </w:r>
      <w:r w:rsidR="00AA419E" w:rsidRPr="001B4A02">
        <w:t>u</w:t>
      </w:r>
      <w:r w:rsidR="004970F6" w:rsidRPr="001B4A02">
        <w:t> </w:t>
      </w:r>
      <w:r w:rsidR="00AA419E" w:rsidRPr="001B4A02">
        <w:t>11 z</w:t>
      </w:r>
      <w:r w:rsidR="004970F6" w:rsidRPr="001B4A02">
        <w:t> </w:t>
      </w:r>
      <w:r w:rsidR="00AA419E" w:rsidRPr="001B4A02">
        <w:t>590 pacientů</w:t>
      </w:r>
      <w:r w:rsidRPr="001B4A02">
        <w:t>, 1,9 %).</w:t>
      </w:r>
    </w:p>
    <w:p w14:paraId="51150851" w14:textId="77777777" w:rsidR="00C33C7C" w:rsidRPr="001B4A02" w:rsidRDefault="00C33C7C" w:rsidP="00C33C7C">
      <w:pPr>
        <w:ind w:left="0" w:firstLine="0"/>
      </w:pPr>
    </w:p>
    <w:p w14:paraId="2EECDE86" w14:textId="77777777" w:rsidR="00C33C7C" w:rsidRPr="001B4A02" w:rsidRDefault="00000000" w:rsidP="00C33C7C">
      <w:pPr>
        <w:ind w:left="0" w:firstLine="0"/>
      </w:pPr>
      <w:r w:rsidRPr="001B4A02">
        <w:t>U pediatrických pacientů se středně těžkou až těžkou aktivní Crohnovou chorobou byl u pacientů, kteří dostávali adalimumab, počet protilátek proti adalimumabu 3,3 %.</w:t>
      </w:r>
    </w:p>
    <w:p w14:paraId="50217F03" w14:textId="77777777" w:rsidR="0074124A" w:rsidRPr="001B4A02" w:rsidRDefault="0074124A" w:rsidP="00C33C7C">
      <w:pPr>
        <w:ind w:left="0" w:firstLine="0"/>
      </w:pPr>
    </w:p>
    <w:p w14:paraId="3012891B" w14:textId="77777777" w:rsidR="0074124A" w:rsidRPr="001B4A02" w:rsidRDefault="00000000" w:rsidP="0074124A">
      <w:pPr>
        <w:ind w:left="0" w:firstLine="0"/>
      </w:pPr>
      <w:r w:rsidRPr="001B4A02">
        <w:t>U pacientů s Crohnovou chorobou byly protilátky proti adalimumabu identifikovány u</w:t>
      </w:r>
      <w:r w:rsidR="004970F6" w:rsidRPr="001B4A02">
        <w:t> </w:t>
      </w:r>
      <w:r w:rsidRPr="001B4A02">
        <w:t>7 z 269 subjektů (2,6 %).</w:t>
      </w:r>
    </w:p>
    <w:p w14:paraId="5222A3AE" w14:textId="77777777" w:rsidR="0074124A" w:rsidRPr="001B4A02" w:rsidRDefault="0074124A" w:rsidP="00C33C7C">
      <w:pPr>
        <w:ind w:left="0" w:firstLine="0"/>
      </w:pPr>
    </w:p>
    <w:p w14:paraId="15EE2002" w14:textId="77777777" w:rsidR="0074124A" w:rsidRPr="001B4A02" w:rsidRDefault="00000000" w:rsidP="0074124A">
      <w:pPr>
        <w:tabs>
          <w:tab w:val="left" w:pos="1294"/>
        </w:tabs>
        <w:autoSpaceDE w:val="0"/>
        <w:autoSpaceDN w:val="0"/>
        <w:adjustRightInd w:val="0"/>
        <w:ind w:left="0" w:firstLine="0"/>
        <w:rPr>
          <w:bCs/>
          <w:iCs/>
        </w:rPr>
      </w:pPr>
      <w:r w:rsidRPr="001B4A02">
        <w:rPr>
          <w:bCs/>
          <w:iCs/>
        </w:rPr>
        <w:t xml:space="preserve">U dospělých pacientů s neinfekční uveitidou </w:t>
      </w:r>
      <w:r w:rsidRPr="001B4A02">
        <w:t>byly protilátky proti adalimumabu identifikovány u </w:t>
      </w:r>
      <w:r w:rsidRPr="001B4A02">
        <w:rPr>
          <w:bCs/>
          <w:iCs/>
        </w:rPr>
        <w:t>4,8 % (12 z 249) pacientů léčených adalimumabem.</w:t>
      </w:r>
    </w:p>
    <w:p w14:paraId="6B4E9F60" w14:textId="77777777" w:rsidR="00C33C7C" w:rsidRPr="001B4A02" w:rsidRDefault="00C33C7C" w:rsidP="00C33C7C">
      <w:pPr>
        <w:ind w:left="0" w:firstLine="0"/>
      </w:pPr>
    </w:p>
    <w:p w14:paraId="42451DFC" w14:textId="77777777" w:rsidR="00C33C7C" w:rsidRPr="001B4A02" w:rsidRDefault="00000000" w:rsidP="00C33C7C">
      <w:pPr>
        <w:ind w:left="0" w:firstLine="0"/>
      </w:pPr>
      <w:r w:rsidRPr="001B4A02">
        <w:t>Protože imunogenní analýzy jsou specifické pro příslušný přípravek, není možné kvantitativní srovnání proti jiným přípravkům.</w:t>
      </w:r>
    </w:p>
    <w:p w14:paraId="709C2CFA" w14:textId="77777777" w:rsidR="00C33C7C" w:rsidRPr="001B4A02" w:rsidRDefault="00C33C7C" w:rsidP="00C33C7C">
      <w:pPr>
        <w:ind w:left="0" w:firstLine="0"/>
      </w:pPr>
    </w:p>
    <w:p w14:paraId="32766A42" w14:textId="77777777" w:rsidR="00C33C7C" w:rsidRPr="001B4A02" w:rsidRDefault="00000000" w:rsidP="00C33C7C">
      <w:pPr>
        <w:keepNext/>
        <w:ind w:left="0" w:firstLine="0"/>
        <w:rPr>
          <w:u w:val="single"/>
        </w:rPr>
      </w:pPr>
      <w:r w:rsidRPr="001B4A02">
        <w:rPr>
          <w:u w:val="single"/>
        </w:rPr>
        <w:t>Pediatrická populace</w:t>
      </w:r>
    </w:p>
    <w:p w14:paraId="03D72E23" w14:textId="77777777" w:rsidR="00C33C7C" w:rsidRPr="001B4A02" w:rsidRDefault="00C33C7C" w:rsidP="00C33C7C">
      <w:pPr>
        <w:keepNext/>
        <w:ind w:left="0" w:firstLine="0"/>
      </w:pPr>
    </w:p>
    <w:p w14:paraId="7111A51E" w14:textId="77777777" w:rsidR="002A5304" w:rsidRPr="001B4A02" w:rsidRDefault="00000000" w:rsidP="002A5304">
      <w:pPr>
        <w:keepNext/>
        <w:ind w:left="0" w:firstLine="0"/>
        <w:rPr>
          <w:i/>
        </w:rPr>
      </w:pPr>
      <w:r w:rsidRPr="001B4A02">
        <w:rPr>
          <w:i/>
        </w:rPr>
        <w:t>Juvenilní idiopatická artritida (JIA)</w:t>
      </w:r>
    </w:p>
    <w:p w14:paraId="4CF856C6" w14:textId="77777777" w:rsidR="002A5304" w:rsidRPr="001B4A02" w:rsidRDefault="002A5304" w:rsidP="002A5304">
      <w:pPr>
        <w:keepNext/>
        <w:ind w:left="0" w:firstLine="0"/>
      </w:pPr>
    </w:p>
    <w:p w14:paraId="6E25D2E7" w14:textId="77777777" w:rsidR="002A5304" w:rsidRPr="001B4A02" w:rsidRDefault="00000000" w:rsidP="002A5304">
      <w:pPr>
        <w:pStyle w:val="EMEAHeadingUnderline"/>
        <w:keepNext/>
        <w:tabs>
          <w:tab w:val="clear" w:pos="562"/>
          <w:tab w:val="left" w:pos="708"/>
        </w:tabs>
        <w:suppressAutoHyphens w:val="0"/>
        <w:spacing w:beforeLines="0" w:before="0" w:afterLines="0" w:after="0"/>
        <w:rPr>
          <w:i/>
          <w:lang w:val="cs-CZ"/>
        </w:rPr>
      </w:pPr>
      <w:r w:rsidRPr="001B4A02">
        <w:rPr>
          <w:i/>
          <w:lang w:val="cs-CZ"/>
        </w:rPr>
        <w:t>Polyartikulární juvenilní idiopatická artritida (pJIA)</w:t>
      </w:r>
    </w:p>
    <w:p w14:paraId="3C18D41D" w14:textId="77777777" w:rsidR="002A5304" w:rsidRPr="001B4A02" w:rsidRDefault="002A5304" w:rsidP="002A5304">
      <w:pPr>
        <w:keepNext/>
        <w:ind w:left="0" w:firstLine="0"/>
      </w:pPr>
    </w:p>
    <w:p w14:paraId="1F8E4177" w14:textId="77777777" w:rsidR="002A5304" w:rsidRPr="001B4A02" w:rsidRDefault="00000000" w:rsidP="002A5304">
      <w:pPr>
        <w:ind w:left="0" w:firstLine="0"/>
      </w:pPr>
      <w:r w:rsidRPr="001B4A02">
        <w:t>Bezpečnost</w:t>
      </w:r>
      <w:r w:rsidR="002378E0">
        <w:t xml:space="preserve"> a </w:t>
      </w:r>
      <w:r w:rsidRPr="001B4A02">
        <w:t>účinnost přípravku Humira byla hodnocena ve dvou studiích (pJIA I</w:t>
      </w:r>
      <w:r w:rsidR="002378E0">
        <w:t xml:space="preserve"> a </w:t>
      </w:r>
      <w:r w:rsidRPr="001B4A02">
        <w:t>pJIA II) u dětí s aktivní polyartikulární nebo polyartikulárním průběhem juvenilní idiopatické artritidy, které trpěly různými typy výskytu JIA (nejčastěji revmatoidní faktor negativní nebo pozitivní polyartritida</w:t>
      </w:r>
      <w:r w:rsidR="002378E0">
        <w:t xml:space="preserve"> a </w:t>
      </w:r>
      <w:r w:rsidRPr="001B4A02">
        <w:t>rozšířená oligartritida).</w:t>
      </w:r>
    </w:p>
    <w:p w14:paraId="2F723F68" w14:textId="77777777" w:rsidR="002A5304" w:rsidRPr="001B4A02" w:rsidRDefault="002A5304" w:rsidP="002A5304">
      <w:pPr>
        <w:ind w:left="0" w:firstLine="0"/>
      </w:pPr>
    </w:p>
    <w:p w14:paraId="4CF75611" w14:textId="77777777" w:rsidR="002A5304" w:rsidRPr="001B4A02" w:rsidRDefault="00000000" w:rsidP="002A5304">
      <w:pPr>
        <w:keepNext/>
        <w:ind w:left="0" w:firstLine="0"/>
      </w:pPr>
      <w:r w:rsidRPr="001B4A02">
        <w:t>pJIA I</w:t>
      </w:r>
    </w:p>
    <w:p w14:paraId="47ADA97C" w14:textId="77777777" w:rsidR="002A5304" w:rsidRPr="001B4A02" w:rsidRDefault="002A5304" w:rsidP="002A5304">
      <w:pPr>
        <w:keepNext/>
        <w:ind w:left="0" w:firstLine="0"/>
      </w:pPr>
    </w:p>
    <w:p w14:paraId="6C4BD5AF" w14:textId="77777777" w:rsidR="002A5304" w:rsidRPr="001B4A02" w:rsidRDefault="00000000" w:rsidP="002A5304">
      <w:pPr>
        <w:ind w:left="0" w:firstLine="0"/>
      </w:pPr>
      <w:r w:rsidRPr="001B4A02">
        <w:t>Bezpečnost</w:t>
      </w:r>
      <w:r w:rsidR="002378E0">
        <w:t xml:space="preserve"> a </w:t>
      </w:r>
      <w:r w:rsidRPr="001B4A02">
        <w:t>účinnost přípravku Humira byla hodnocena v multicentrické, randomizované, dvojitě zaslepené studii paralelních skupin u 171 dětí (ve věku 4 až 17 let) s polyartikulární JIA. V otevřené úvodní fázi (OL LI, open-label lead in phase) studie byli pacienti rozděleni do dvou skupin, na pacienty léčené MTX (methotrexátem)</w:t>
      </w:r>
      <w:r w:rsidR="002378E0">
        <w:t xml:space="preserve"> a </w:t>
      </w:r>
      <w:r w:rsidRPr="001B4A02">
        <w:t>pacienty neléčené MTX. Pacienti ve skupině neléčené MTX byli buď dosud neléčení, nebo jim byl MTX vysazen minimálně dva týdny před zahájením léčby sledovaným přípravkem. Pacienti, kteří zůstali na stabilních dávkách nesteroidní</w:t>
      </w:r>
      <w:r>
        <w:t>ch</w:t>
      </w:r>
      <w:r w:rsidRPr="001B4A02">
        <w:t xml:space="preserve"> protizánětliv</w:t>
      </w:r>
      <w:r>
        <w:t>ých</w:t>
      </w:r>
      <w:r w:rsidRPr="001B4A02">
        <w:t xml:space="preserve"> léčiv</w:t>
      </w:r>
      <w:r>
        <w:t>ých</w:t>
      </w:r>
      <w:r w:rsidRPr="001B4A02">
        <w:t xml:space="preserve"> přípravk</w:t>
      </w:r>
      <w:r>
        <w:t>ů</w:t>
      </w:r>
      <w:r w:rsidRPr="001B4A02">
        <w:t xml:space="preserve"> </w:t>
      </w:r>
      <w:r>
        <w:t>(</w:t>
      </w:r>
      <w:r w:rsidRPr="001B4A02">
        <w:t>NSAID</w:t>
      </w:r>
      <w:r>
        <w:t>)</w:t>
      </w:r>
      <w:r w:rsidR="002378E0">
        <w:t xml:space="preserve"> a </w:t>
      </w:r>
      <w:r w:rsidRPr="001B4A02">
        <w:t>prednisonu (</w:t>
      </w:r>
      <w:r w:rsidRPr="001B4A02">
        <w:rPr>
          <w:rFonts w:ascii="Symbol" w:hAnsi="Symbol"/>
        </w:rPr>
        <w:sym w:font="Symbol" w:char="F0A3"/>
      </w:r>
      <w:r>
        <w:t> </w:t>
      </w:r>
      <w:r w:rsidRPr="001B4A02">
        <w:t>0,2</w:t>
      </w:r>
      <w:r>
        <w:t> </w:t>
      </w:r>
      <w:r w:rsidRPr="001B4A02">
        <w:t>mg/kg/den nebo při maximu 10</w:t>
      </w:r>
      <w:r w:rsidR="00883A75">
        <w:t> mg</w:t>
      </w:r>
      <w:r w:rsidRPr="001B4A02">
        <w:t>/den). V OL LI fázi dostávali všichni pacienti dávku 24</w:t>
      </w:r>
      <w:r w:rsidR="00883A75">
        <w:t> mg</w:t>
      </w:r>
      <w:r w:rsidRPr="001B4A02">
        <w:t>/m</w:t>
      </w:r>
      <w:r w:rsidRPr="001B4A02">
        <w:rPr>
          <w:vertAlign w:val="superscript"/>
        </w:rPr>
        <w:t xml:space="preserve">2 </w:t>
      </w:r>
      <w:r w:rsidRPr="001B4A02">
        <w:t>až do maximální dávky 40</w:t>
      </w:r>
      <w:r w:rsidR="00883A75">
        <w:t> mg</w:t>
      </w:r>
      <w:r w:rsidRPr="001B4A02">
        <w:t xml:space="preserve"> přípravku Humira jednou za dva týdny po dobu 16 týdnů. Distribuce pacientů podle věku</w:t>
      </w:r>
      <w:r w:rsidR="002378E0">
        <w:t xml:space="preserve"> a </w:t>
      </w:r>
      <w:r w:rsidRPr="001B4A02">
        <w:t xml:space="preserve">dále dle toho, zda dostávali minimální, střední nebo maximální dávku v průběhu OL LI fáze studie je znázorněna v tabulce </w:t>
      </w:r>
      <w:r w:rsidR="00BF09F2">
        <w:t>1</w:t>
      </w:r>
      <w:r w:rsidRPr="001B4A02">
        <w:t>7.</w:t>
      </w:r>
    </w:p>
    <w:p w14:paraId="34517A09" w14:textId="77777777" w:rsidR="002A5304" w:rsidRPr="001B4A02" w:rsidRDefault="002A5304" w:rsidP="002A5304">
      <w:pPr>
        <w:ind w:left="0" w:firstLine="0"/>
      </w:pPr>
    </w:p>
    <w:p w14:paraId="34C36EA2" w14:textId="77777777" w:rsidR="002A5304" w:rsidRPr="001B4A02" w:rsidRDefault="00000000" w:rsidP="002A5304">
      <w:pPr>
        <w:pStyle w:val="BodyTextIndent"/>
        <w:keepNext/>
        <w:ind w:left="110" w:right="53" w:firstLine="0"/>
        <w:jc w:val="center"/>
        <w:rPr>
          <w:bCs/>
          <w:color w:val="auto"/>
          <w:lang w:val="cs-CZ"/>
        </w:rPr>
      </w:pPr>
      <w:r w:rsidRPr="001B4A02">
        <w:rPr>
          <w:bCs/>
          <w:color w:val="auto"/>
          <w:lang w:val="cs-CZ"/>
        </w:rPr>
        <w:t xml:space="preserve">Tabulka </w:t>
      </w:r>
      <w:r>
        <w:rPr>
          <w:bCs/>
          <w:color w:val="auto"/>
          <w:lang w:val="cs-CZ"/>
        </w:rPr>
        <w:t>1</w:t>
      </w:r>
      <w:r w:rsidRPr="001B4A02">
        <w:rPr>
          <w:bCs/>
          <w:color w:val="auto"/>
          <w:lang w:val="cs-CZ"/>
        </w:rPr>
        <w:t>7</w:t>
      </w:r>
    </w:p>
    <w:p w14:paraId="4877FBA4" w14:textId="77777777" w:rsidR="002A5304" w:rsidRPr="001B4A02" w:rsidRDefault="00000000" w:rsidP="002A5304">
      <w:pPr>
        <w:pStyle w:val="BodyTextIndent"/>
        <w:keepNext/>
        <w:ind w:left="110" w:right="53" w:firstLine="0"/>
        <w:jc w:val="center"/>
        <w:rPr>
          <w:bCs/>
          <w:color w:val="auto"/>
          <w:lang w:val="cs-CZ"/>
        </w:rPr>
      </w:pPr>
      <w:r w:rsidRPr="001B4A02">
        <w:rPr>
          <w:bCs/>
          <w:color w:val="auto"/>
          <w:lang w:val="cs-CZ"/>
        </w:rPr>
        <w:t>Distribuce pacientů podle věku</w:t>
      </w:r>
      <w:r w:rsidR="002378E0">
        <w:rPr>
          <w:bCs/>
          <w:color w:val="auto"/>
          <w:lang w:val="cs-CZ"/>
        </w:rPr>
        <w:t xml:space="preserve"> a </w:t>
      </w:r>
      <w:r w:rsidRPr="001B4A02">
        <w:rPr>
          <w:bCs/>
          <w:color w:val="auto"/>
          <w:lang w:val="cs-CZ"/>
        </w:rPr>
        <w:t>dávky adalimumabu podávané v průběhu OL LI fáze</w:t>
      </w:r>
    </w:p>
    <w:p w14:paraId="3DFDA4A9" w14:textId="77777777" w:rsidR="002A5304" w:rsidRPr="001B4A02" w:rsidRDefault="002A5304" w:rsidP="002A5304">
      <w:pPr>
        <w:pStyle w:val="BodyTextIndent"/>
        <w:keepNext/>
        <w:ind w:left="110" w:right="53" w:firstLine="0"/>
        <w:jc w:val="center"/>
        <w:rPr>
          <w:b w:val="0"/>
          <w:bCs/>
          <w:color w:val="auto"/>
          <w:lang w:val="cs-CZ"/>
        </w:rPr>
      </w:pPr>
    </w:p>
    <w:tbl>
      <w:tblPr>
        <w:tblW w:w="0" w:type="auto"/>
        <w:tblInd w:w="11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60"/>
        <w:gridCol w:w="2567"/>
        <w:gridCol w:w="2083"/>
        <w:gridCol w:w="2441"/>
      </w:tblGrid>
      <w:tr w:rsidR="00534A2D" w14:paraId="17B4D784" w14:textId="77777777" w:rsidTr="00151CAD">
        <w:trPr>
          <w:trHeight w:val="643"/>
        </w:trPr>
        <w:tc>
          <w:tcPr>
            <w:tcW w:w="1860" w:type="dxa"/>
            <w:tcBorders>
              <w:top w:val="single" w:sz="4" w:space="0" w:color="auto"/>
              <w:left w:val="single" w:sz="4" w:space="0" w:color="auto"/>
              <w:bottom w:val="single" w:sz="4" w:space="0" w:color="auto"/>
              <w:right w:val="single" w:sz="4" w:space="0" w:color="auto"/>
            </w:tcBorders>
          </w:tcPr>
          <w:p w14:paraId="46A2B851" w14:textId="77777777" w:rsidR="007C20B4" w:rsidRPr="001B4A02" w:rsidRDefault="00000000" w:rsidP="00E571F5">
            <w:pPr>
              <w:pStyle w:val="BodyTextIndent"/>
              <w:keepNext/>
              <w:ind w:left="0" w:right="53" w:firstLine="0"/>
              <w:rPr>
                <w:b w:val="0"/>
                <w:bCs/>
                <w:color w:val="auto"/>
                <w:lang w:val="cs-CZ"/>
              </w:rPr>
            </w:pPr>
            <w:r w:rsidRPr="001B4A02">
              <w:rPr>
                <w:b w:val="0"/>
                <w:bCs/>
                <w:color w:val="auto"/>
                <w:lang w:val="cs-CZ"/>
              </w:rPr>
              <w:t>Skupina dle věku</w:t>
            </w:r>
          </w:p>
        </w:tc>
        <w:tc>
          <w:tcPr>
            <w:tcW w:w="2567" w:type="dxa"/>
            <w:tcBorders>
              <w:top w:val="single" w:sz="4" w:space="0" w:color="auto"/>
              <w:left w:val="single" w:sz="4" w:space="0" w:color="auto"/>
              <w:bottom w:val="single" w:sz="4" w:space="0" w:color="auto"/>
              <w:right w:val="single" w:sz="4" w:space="0" w:color="auto"/>
            </w:tcBorders>
          </w:tcPr>
          <w:p w14:paraId="6B85DBDB" w14:textId="77777777" w:rsidR="007C20B4" w:rsidRPr="001B4A02" w:rsidRDefault="00000000" w:rsidP="00E571F5">
            <w:pPr>
              <w:pStyle w:val="BodyTextIndent"/>
              <w:keepNext/>
              <w:ind w:left="0" w:firstLine="0"/>
              <w:jc w:val="center"/>
              <w:rPr>
                <w:b w:val="0"/>
                <w:bCs/>
                <w:color w:val="auto"/>
                <w:lang w:val="cs-CZ"/>
              </w:rPr>
            </w:pPr>
            <w:r w:rsidRPr="001B4A02">
              <w:rPr>
                <w:b w:val="0"/>
                <w:bCs/>
                <w:color w:val="auto"/>
                <w:lang w:val="cs-CZ"/>
              </w:rPr>
              <w:t>Počet pacientů ve výchozím stavu n (%)</w:t>
            </w:r>
          </w:p>
        </w:tc>
        <w:tc>
          <w:tcPr>
            <w:tcW w:w="2083" w:type="dxa"/>
            <w:tcBorders>
              <w:top w:val="single" w:sz="4" w:space="0" w:color="auto"/>
              <w:left w:val="single" w:sz="4" w:space="0" w:color="auto"/>
              <w:bottom w:val="single" w:sz="4" w:space="0" w:color="auto"/>
              <w:right w:val="single" w:sz="4" w:space="0" w:color="auto"/>
            </w:tcBorders>
          </w:tcPr>
          <w:p w14:paraId="095057FF" w14:textId="77777777" w:rsidR="007C20B4" w:rsidRPr="001B4A02" w:rsidRDefault="007C20B4" w:rsidP="00E571F5">
            <w:pPr>
              <w:pStyle w:val="BodyTextIndent"/>
              <w:keepNext/>
              <w:ind w:left="0" w:firstLine="0"/>
              <w:jc w:val="center"/>
              <w:rPr>
                <w:b w:val="0"/>
                <w:bCs/>
                <w:color w:val="auto"/>
                <w:lang w:val="cs-CZ"/>
              </w:rPr>
            </w:pPr>
          </w:p>
        </w:tc>
        <w:tc>
          <w:tcPr>
            <w:tcW w:w="2441" w:type="dxa"/>
            <w:tcBorders>
              <w:top w:val="single" w:sz="4" w:space="0" w:color="auto"/>
              <w:left w:val="single" w:sz="4" w:space="0" w:color="auto"/>
              <w:bottom w:val="single" w:sz="4" w:space="0" w:color="auto"/>
              <w:right w:val="single" w:sz="4" w:space="0" w:color="auto"/>
            </w:tcBorders>
          </w:tcPr>
          <w:p w14:paraId="6A4C99CA" w14:textId="77777777" w:rsidR="007C20B4" w:rsidRPr="001B4A02" w:rsidRDefault="00000000" w:rsidP="00E571F5">
            <w:pPr>
              <w:pStyle w:val="BodyTextIndent"/>
              <w:keepNext/>
              <w:ind w:left="0" w:firstLine="0"/>
              <w:jc w:val="center"/>
              <w:rPr>
                <w:b w:val="0"/>
                <w:bCs/>
                <w:color w:val="auto"/>
                <w:lang w:val="cs-CZ"/>
              </w:rPr>
            </w:pPr>
            <w:r w:rsidRPr="001B4A02">
              <w:rPr>
                <w:b w:val="0"/>
                <w:bCs/>
                <w:color w:val="auto"/>
                <w:lang w:val="cs-CZ"/>
              </w:rPr>
              <w:t>Minimální, střední</w:t>
            </w:r>
            <w:r w:rsidR="002378E0">
              <w:rPr>
                <w:b w:val="0"/>
                <w:bCs/>
                <w:color w:val="auto"/>
                <w:lang w:val="cs-CZ"/>
              </w:rPr>
              <w:t xml:space="preserve"> a </w:t>
            </w:r>
            <w:r w:rsidRPr="001B4A02">
              <w:rPr>
                <w:b w:val="0"/>
                <w:bCs/>
                <w:color w:val="auto"/>
                <w:lang w:val="cs-CZ"/>
              </w:rPr>
              <w:t>maximální dávka</w:t>
            </w:r>
          </w:p>
        </w:tc>
      </w:tr>
      <w:tr w:rsidR="00534A2D" w14:paraId="2FE3C2B6" w14:textId="77777777" w:rsidTr="00151CAD">
        <w:tc>
          <w:tcPr>
            <w:tcW w:w="1860" w:type="dxa"/>
            <w:tcBorders>
              <w:top w:val="single" w:sz="4" w:space="0" w:color="auto"/>
              <w:left w:val="single" w:sz="4" w:space="0" w:color="auto"/>
              <w:bottom w:val="single" w:sz="4" w:space="0" w:color="auto"/>
              <w:right w:val="single" w:sz="4" w:space="0" w:color="auto"/>
            </w:tcBorders>
          </w:tcPr>
          <w:p w14:paraId="0FBCA378" w14:textId="77777777" w:rsidR="007C20B4" w:rsidRPr="001B4A02" w:rsidRDefault="00000000" w:rsidP="00E571F5">
            <w:pPr>
              <w:pStyle w:val="BodyTextIndent"/>
              <w:keepNext/>
              <w:ind w:left="0" w:right="53" w:firstLine="0"/>
              <w:rPr>
                <w:b w:val="0"/>
                <w:bCs/>
                <w:color w:val="auto"/>
                <w:lang w:val="cs-CZ"/>
              </w:rPr>
            </w:pPr>
            <w:r w:rsidRPr="001B4A02">
              <w:rPr>
                <w:b w:val="0"/>
                <w:bCs/>
                <w:color w:val="auto"/>
                <w:lang w:val="cs-CZ"/>
              </w:rPr>
              <w:t>4 až 7 let</w:t>
            </w:r>
          </w:p>
        </w:tc>
        <w:tc>
          <w:tcPr>
            <w:tcW w:w="2567" w:type="dxa"/>
            <w:tcBorders>
              <w:top w:val="single" w:sz="4" w:space="0" w:color="auto"/>
              <w:left w:val="single" w:sz="4" w:space="0" w:color="auto"/>
              <w:bottom w:val="single" w:sz="4" w:space="0" w:color="auto"/>
              <w:right w:val="single" w:sz="4" w:space="0" w:color="auto"/>
            </w:tcBorders>
          </w:tcPr>
          <w:p w14:paraId="52D7F521" w14:textId="77777777" w:rsidR="007C20B4" w:rsidRPr="001B4A02" w:rsidRDefault="00000000" w:rsidP="00E571F5">
            <w:pPr>
              <w:pStyle w:val="BodyTextIndent"/>
              <w:keepNext/>
              <w:ind w:left="0" w:firstLine="0"/>
              <w:jc w:val="center"/>
              <w:rPr>
                <w:b w:val="0"/>
                <w:bCs/>
                <w:color w:val="auto"/>
                <w:lang w:val="cs-CZ"/>
              </w:rPr>
            </w:pPr>
            <w:r w:rsidRPr="001B4A02">
              <w:rPr>
                <w:b w:val="0"/>
                <w:bCs/>
                <w:color w:val="auto"/>
                <w:lang w:val="cs-CZ"/>
              </w:rPr>
              <w:t>31 (18,1)</w:t>
            </w:r>
          </w:p>
        </w:tc>
        <w:tc>
          <w:tcPr>
            <w:tcW w:w="2083" w:type="dxa"/>
            <w:tcBorders>
              <w:top w:val="single" w:sz="4" w:space="0" w:color="auto"/>
              <w:left w:val="single" w:sz="4" w:space="0" w:color="auto"/>
              <w:bottom w:val="single" w:sz="4" w:space="0" w:color="auto"/>
              <w:right w:val="single" w:sz="4" w:space="0" w:color="auto"/>
            </w:tcBorders>
          </w:tcPr>
          <w:p w14:paraId="41E3D837" w14:textId="77777777" w:rsidR="007C20B4" w:rsidRPr="001B4A02" w:rsidRDefault="007C20B4" w:rsidP="00E571F5">
            <w:pPr>
              <w:pStyle w:val="BodyTextIndent"/>
              <w:keepNext/>
              <w:ind w:left="0" w:firstLine="0"/>
              <w:jc w:val="center"/>
              <w:rPr>
                <w:b w:val="0"/>
                <w:bCs/>
                <w:color w:val="auto"/>
                <w:lang w:val="cs-CZ"/>
              </w:rPr>
            </w:pPr>
          </w:p>
        </w:tc>
        <w:tc>
          <w:tcPr>
            <w:tcW w:w="2441" w:type="dxa"/>
            <w:tcBorders>
              <w:top w:val="single" w:sz="4" w:space="0" w:color="auto"/>
              <w:left w:val="single" w:sz="4" w:space="0" w:color="auto"/>
              <w:bottom w:val="single" w:sz="4" w:space="0" w:color="auto"/>
              <w:right w:val="single" w:sz="4" w:space="0" w:color="auto"/>
            </w:tcBorders>
          </w:tcPr>
          <w:p w14:paraId="5CEA9F07" w14:textId="77777777" w:rsidR="007C20B4" w:rsidRPr="001B4A02" w:rsidRDefault="00000000" w:rsidP="00E571F5">
            <w:pPr>
              <w:pStyle w:val="BodyTextIndent"/>
              <w:keepNext/>
              <w:ind w:left="0" w:firstLine="0"/>
              <w:jc w:val="center"/>
              <w:rPr>
                <w:b w:val="0"/>
                <w:bCs/>
                <w:color w:val="auto"/>
                <w:lang w:val="cs-CZ"/>
              </w:rPr>
            </w:pPr>
            <w:r w:rsidRPr="001B4A02">
              <w:rPr>
                <w:b w:val="0"/>
                <w:bCs/>
                <w:color w:val="auto"/>
                <w:lang w:val="cs-CZ"/>
              </w:rPr>
              <w:t>10, 20</w:t>
            </w:r>
            <w:r w:rsidR="002378E0">
              <w:rPr>
                <w:b w:val="0"/>
                <w:bCs/>
                <w:color w:val="auto"/>
                <w:lang w:val="cs-CZ"/>
              </w:rPr>
              <w:t xml:space="preserve"> a </w:t>
            </w:r>
            <w:r w:rsidRPr="001B4A02">
              <w:rPr>
                <w:b w:val="0"/>
                <w:bCs/>
                <w:color w:val="auto"/>
                <w:lang w:val="cs-CZ"/>
              </w:rPr>
              <w:t>25</w:t>
            </w:r>
            <w:r w:rsidR="00883A75">
              <w:rPr>
                <w:b w:val="0"/>
                <w:bCs/>
                <w:color w:val="auto"/>
                <w:lang w:val="cs-CZ"/>
              </w:rPr>
              <w:t> mg</w:t>
            </w:r>
          </w:p>
        </w:tc>
      </w:tr>
      <w:tr w:rsidR="00534A2D" w14:paraId="7D24131B" w14:textId="77777777" w:rsidTr="00151CAD">
        <w:tc>
          <w:tcPr>
            <w:tcW w:w="1860" w:type="dxa"/>
            <w:tcBorders>
              <w:top w:val="single" w:sz="4" w:space="0" w:color="auto"/>
              <w:left w:val="single" w:sz="4" w:space="0" w:color="auto"/>
              <w:bottom w:val="single" w:sz="4" w:space="0" w:color="auto"/>
              <w:right w:val="single" w:sz="4" w:space="0" w:color="auto"/>
            </w:tcBorders>
          </w:tcPr>
          <w:p w14:paraId="4FB17A90" w14:textId="77777777" w:rsidR="007C20B4" w:rsidRPr="001B4A02" w:rsidRDefault="00000000" w:rsidP="00E571F5">
            <w:pPr>
              <w:pStyle w:val="BodyTextIndent"/>
              <w:keepNext/>
              <w:ind w:left="0" w:right="53" w:firstLine="0"/>
              <w:rPr>
                <w:b w:val="0"/>
                <w:bCs/>
                <w:color w:val="auto"/>
                <w:lang w:val="cs-CZ"/>
              </w:rPr>
            </w:pPr>
            <w:r w:rsidRPr="001B4A02">
              <w:rPr>
                <w:b w:val="0"/>
                <w:bCs/>
                <w:color w:val="auto"/>
                <w:lang w:val="cs-CZ"/>
              </w:rPr>
              <w:t>8 až 12 let</w:t>
            </w:r>
          </w:p>
        </w:tc>
        <w:tc>
          <w:tcPr>
            <w:tcW w:w="2567" w:type="dxa"/>
            <w:tcBorders>
              <w:top w:val="single" w:sz="4" w:space="0" w:color="auto"/>
              <w:left w:val="single" w:sz="4" w:space="0" w:color="auto"/>
              <w:bottom w:val="single" w:sz="4" w:space="0" w:color="auto"/>
              <w:right w:val="single" w:sz="4" w:space="0" w:color="auto"/>
            </w:tcBorders>
          </w:tcPr>
          <w:p w14:paraId="66B7B3DC" w14:textId="77777777" w:rsidR="007C20B4" w:rsidRPr="001B4A02" w:rsidRDefault="00000000" w:rsidP="00E571F5">
            <w:pPr>
              <w:pStyle w:val="BodyTextIndent"/>
              <w:keepNext/>
              <w:ind w:left="0" w:firstLine="0"/>
              <w:jc w:val="center"/>
              <w:rPr>
                <w:b w:val="0"/>
                <w:bCs/>
                <w:color w:val="auto"/>
                <w:lang w:val="cs-CZ"/>
              </w:rPr>
            </w:pPr>
            <w:r w:rsidRPr="001B4A02">
              <w:rPr>
                <w:b w:val="0"/>
                <w:bCs/>
                <w:color w:val="auto"/>
                <w:lang w:val="cs-CZ"/>
              </w:rPr>
              <w:t>71 (41,5)</w:t>
            </w:r>
          </w:p>
        </w:tc>
        <w:tc>
          <w:tcPr>
            <w:tcW w:w="2083" w:type="dxa"/>
            <w:tcBorders>
              <w:top w:val="single" w:sz="4" w:space="0" w:color="auto"/>
              <w:left w:val="single" w:sz="4" w:space="0" w:color="auto"/>
              <w:bottom w:val="single" w:sz="4" w:space="0" w:color="auto"/>
              <w:right w:val="single" w:sz="4" w:space="0" w:color="auto"/>
            </w:tcBorders>
          </w:tcPr>
          <w:p w14:paraId="307BFF0D" w14:textId="77777777" w:rsidR="007C20B4" w:rsidRPr="001B4A02" w:rsidRDefault="007C20B4" w:rsidP="00E571F5">
            <w:pPr>
              <w:pStyle w:val="BodyTextIndent"/>
              <w:keepNext/>
              <w:ind w:left="0" w:firstLine="0"/>
              <w:jc w:val="center"/>
              <w:rPr>
                <w:b w:val="0"/>
                <w:bCs/>
                <w:color w:val="auto"/>
                <w:lang w:val="cs-CZ"/>
              </w:rPr>
            </w:pPr>
          </w:p>
        </w:tc>
        <w:tc>
          <w:tcPr>
            <w:tcW w:w="2441" w:type="dxa"/>
            <w:tcBorders>
              <w:top w:val="single" w:sz="4" w:space="0" w:color="auto"/>
              <w:left w:val="single" w:sz="4" w:space="0" w:color="auto"/>
              <w:bottom w:val="single" w:sz="4" w:space="0" w:color="auto"/>
              <w:right w:val="single" w:sz="4" w:space="0" w:color="auto"/>
            </w:tcBorders>
          </w:tcPr>
          <w:p w14:paraId="1FF4606E" w14:textId="77777777" w:rsidR="007C20B4" w:rsidRPr="001B4A02" w:rsidRDefault="00000000" w:rsidP="00E571F5">
            <w:pPr>
              <w:pStyle w:val="BodyTextIndent"/>
              <w:keepNext/>
              <w:ind w:left="0" w:firstLine="0"/>
              <w:jc w:val="center"/>
              <w:rPr>
                <w:b w:val="0"/>
                <w:bCs/>
                <w:color w:val="auto"/>
                <w:lang w:val="cs-CZ"/>
              </w:rPr>
            </w:pPr>
            <w:r w:rsidRPr="001B4A02">
              <w:rPr>
                <w:b w:val="0"/>
                <w:bCs/>
                <w:color w:val="auto"/>
                <w:lang w:val="cs-CZ"/>
              </w:rPr>
              <w:t>20, 25</w:t>
            </w:r>
            <w:r w:rsidR="002378E0">
              <w:rPr>
                <w:b w:val="0"/>
                <w:bCs/>
                <w:color w:val="auto"/>
                <w:lang w:val="cs-CZ"/>
              </w:rPr>
              <w:t xml:space="preserve"> a </w:t>
            </w:r>
            <w:r w:rsidRPr="001B4A02">
              <w:rPr>
                <w:b w:val="0"/>
                <w:bCs/>
                <w:color w:val="auto"/>
                <w:lang w:val="cs-CZ"/>
              </w:rPr>
              <w:t>40</w:t>
            </w:r>
            <w:r w:rsidR="00883A75">
              <w:rPr>
                <w:b w:val="0"/>
                <w:bCs/>
                <w:color w:val="auto"/>
                <w:lang w:val="cs-CZ"/>
              </w:rPr>
              <w:t> mg</w:t>
            </w:r>
          </w:p>
        </w:tc>
      </w:tr>
      <w:tr w:rsidR="00534A2D" w14:paraId="6E5A0833" w14:textId="77777777" w:rsidTr="00151CAD">
        <w:tc>
          <w:tcPr>
            <w:tcW w:w="1860" w:type="dxa"/>
            <w:tcBorders>
              <w:top w:val="single" w:sz="4" w:space="0" w:color="auto"/>
              <w:left w:val="single" w:sz="4" w:space="0" w:color="auto"/>
              <w:bottom w:val="single" w:sz="4" w:space="0" w:color="auto"/>
              <w:right w:val="single" w:sz="4" w:space="0" w:color="auto"/>
            </w:tcBorders>
          </w:tcPr>
          <w:p w14:paraId="6BFDE705" w14:textId="77777777" w:rsidR="007C20B4" w:rsidRPr="001B4A02" w:rsidRDefault="00000000" w:rsidP="00E571F5">
            <w:pPr>
              <w:pStyle w:val="BodyTextIndent"/>
              <w:keepNext/>
              <w:ind w:left="0" w:right="53" w:firstLine="0"/>
              <w:rPr>
                <w:b w:val="0"/>
                <w:bCs/>
                <w:color w:val="auto"/>
                <w:lang w:val="cs-CZ"/>
              </w:rPr>
            </w:pPr>
            <w:r w:rsidRPr="001B4A02">
              <w:rPr>
                <w:b w:val="0"/>
                <w:bCs/>
                <w:color w:val="auto"/>
                <w:lang w:val="cs-CZ"/>
              </w:rPr>
              <w:t>13 až 17 let</w:t>
            </w:r>
          </w:p>
        </w:tc>
        <w:tc>
          <w:tcPr>
            <w:tcW w:w="2567" w:type="dxa"/>
            <w:tcBorders>
              <w:top w:val="single" w:sz="4" w:space="0" w:color="auto"/>
              <w:left w:val="single" w:sz="4" w:space="0" w:color="auto"/>
              <w:bottom w:val="single" w:sz="4" w:space="0" w:color="auto"/>
              <w:right w:val="single" w:sz="4" w:space="0" w:color="auto"/>
            </w:tcBorders>
          </w:tcPr>
          <w:p w14:paraId="0694A088" w14:textId="77777777" w:rsidR="007C20B4" w:rsidRPr="001B4A02" w:rsidRDefault="00000000" w:rsidP="00E571F5">
            <w:pPr>
              <w:pStyle w:val="BodyTextIndent"/>
              <w:keepNext/>
              <w:ind w:left="0" w:firstLine="0"/>
              <w:jc w:val="center"/>
              <w:rPr>
                <w:b w:val="0"/>
                <w:bCs/>
                <w:color w:val="auto"/>
                <w:lang w:val="cs-CZ"/>
              </w:rPr>
            </w:pPr>
            <w:r w:rsidRPr="001B4A02">
              <w:rPr>
                <w:b w:val="0"/>
                <w:bCs/>
                <w:color w:val="auto"/>
                <w:lang w:val="cs-CZ"/>
              </w:rPr>
              <w:t>69 (40,4)</w:t>
            </w:r>
          </w:p>
        </w:tc>
        <w:tc>
          <w:tcPr>
            <w:tcW w:w="2083" w:type="dxa"/>
            <w:tcBorders>
              <w:top w:val="single" w:sz="4" w:space="0" w:color="auto"/>
              <w:left w:val="single" w:sz="4" w:space="0" w:color="auto"/>
              <w:bottom w:val="single" w:sz="4" w:space="0" w:color="auto"/>
              <w:right w:val="single" w:sz="4" w:space="0" w:color="auto"/>
            </w:tcBorders>
          </w:tcPr>
          <w:p w14:paraId="0EDF42AC" w14:textId="77777777" w:rsidR="007C20B4" w:rsidRPr="001B4A02" w:rsidRDefault="007C20B4" w:rsidP="00E571F5">
            <w:pPr>
              <w:pStyle w:val="BodyTextIndent"/>
              <w:keepNext/>
              <w:ind w:left="0" w:firstLine="0"/>
              <w:jc w:val="center"/>
              <w:rPr>
                <w:b w:val="0"/>
                <w:bCs/>
                <w:color w:val="auto"/>
                <w:lang w:val="cs-CZ"/>
              </w:rPr>
            </w:pPr>
          </w:p>
        </w:tc>
        <w:tc>
          <w:tcPr>
            <w:tcW w:w="2441" w:type="dxa"/>
            <w:tcBorders>
              <w:top w:val="single" w:sz="4" w:space="0" w:color="auto"/>
              <w:left w:val="single" w:sz="4" w:space="0" w:color="auto"/>
              <w:bottom w:val="single" w:sz="4" w:space="0" w:color="auto"/>
              <w:right w:val="single" w:sz="4" w:space="0" w:color="auto"/>
            </w:tcBorders>
          </w:tcPr>
          <w:p w14:paraId="260D7BFB" w14:textId="77777777" w:rsidR="007C20B4" w:rsidRPr="001B4A02" w:rsidRDefault="00000000" w:rsidP="00E571F5">
            <w:pPr>
              <w:pStyle w:val="BodyTextIndent"/>
              <w:keepNext/>
              <w:ind w:left="0" w:firstLine="0"/>
              <w:jc w:val="center"/>
              <w:rPr>
                <w:b w:val="0"/>
                <w:bCs/>
                <w:color w:val="auto"/>
                <w:lang w:val="cs-CZ"/>
              </w:rPr>
            </w:pPr>
            <w:r w:rsidRPr="001B4A02">
              <w:rPr>
                <w:b w:val="0"/>
                <w:bCs/>
                <w:color w:val="auto"/>
                <w:lang w:val="cs-CZ"/>
              </w:rPr>
              <w:t>25, 40</w:t>
            </w:r>
            <w:r w:rsidR="002378E0">
              <w:rPr>
                <w:b w:val="0"/>
                <w:bCs/>
                <w:color w:val="auto"/>
                <w:lang w:val="cs-CZ"/>
              </w:rPr>
              <w:t xml:space="preserve"> a </w:t>
            </w:r>
            <w:r w:rsidRPr="001B4A02">
              <w:rPr>
                <w:b w:val="0"/>
                <w:bCs/>
                <w:color w:val="auto"/>
                <w:lang w:val="cs-CZ"/>
              </w:rPr>
              <w:t>40</w:t>
            </w:r>
            <w:r w:rsidR="00883A75">
              <w:rPr>
                <w:b w:val="0"/>
                <w:bCs/>
                <w:color w:val="auto"/>
                <w:lang w:val="cs-CZ"/>
              </w:rPr>
              <w:t> mg</w:t>
            </w:r>
          </w:p>
        </w:tc>
      </w:tr>
    </w:tbl>
    <w:p w14:paraId="0EF97954" w14:textId="77777777" w:rsidR="002A5304" w:rsidRPr="001B4A02" w:rsidRDefault="002A5304" w:rsidP="002A5304">
      <w:pPr>
        <w:ind w:left="0" w:firstLine="0"/>
        <w:rPr>
          <w:bCs/>
        </w:rPr>
      </w:pPr>
    </w:p>
    <w:p w14:paraId="13B0351B" w14:textId="77777777" w:rsidR="002A5304" w:rsidRPr="001B4A02" w:rsidRDefault="00000000" w:rsidP="002A5304">
      <w:pPr>
        <w:tabs>
          <w:tab w:val="left" w:pos="0"/>
          <w:tab w:val="left" w:pos="6840"/>
        </w:tabs>
        <w:suppressAutoHyphens/>
        <w:autoSpaceDE w:val="0"/>
        <w:autoSpaceDN w:val="0"/>
        <w:adjustRightInd w:val="0"/>
        <w:ind w:left="0" w:right="51" w:firstLine="0"/>
      </w:pPr>
      <w:r w:rsidRPr="001B4A02">
        <w:t>Pacienti, kteří vykazovali v týdnu 16 odpověď v pediatrickém (Ped) ACR 30,byli vhodní k randomizaci do dvojitě zaslepené (DB) fáze, kdy dostávali buď přípravek Humira v dávce 24</w:t>
      </w:r>
      <w:r w:rsidR="00883A75">
        <w:t> mg</w:t>
      </w:r>
      <w:r w:rsidRPr="001B4A02">
        <w:t>/m</w:t>
      </w:r>
      <w:r w:rsidRPr="001B4A02">
        <w:rPr>
          <w:vertAlign w:val="superscript"/>
        </w:rPr>
        <w:t xml:space="preserve">2 </w:t>
      </w:r>
      <w:r w:rsidRPr="001B4A02">
        <w:t>až do maximální dávky 40</w:t>
      </w:r>
      <w:r w:rsidR="00883A75">
        <w:t> mg</w:t>
      </w:r>
      <w:r w:rsidRPr="001B4A02">
        <w:t>, či placebo každý druhý týden po dobu dalších 32 týdnů nebo do doby vzplanutí onemocnění. Kritéria vzplanutí byla definována jako zhoršení o </w:t>
      </w:r>
      <w:r w:rsidRPr="001B4A02">
        <w:rPr>
          <w:rFonts w:ascii="Symbol" w:hAnsi="Symbol"/>
        </w:rPr>
        <w:sym w:font="Symbol" w:char="F0B3"/>
      </w:r>
      <w:r w:rsidRPr="001B4A02">
        <w:t> 30</w:t>
      </w:r>
      <w:r>
        <w:t> %</w:t>
      </w:r>
      <w:r w:rsidRPr="001B4A02">
        <w:t xml:space="preserve"> v porovnání s výchozím stavem u </w:t>
      </w:r>
      <w:r w:rsidRPr="001B4A02">
        <w:rPr>
          <w:rFonts w:ascii="Symbol" w:hAnsi="Symbol"/>
        </w:rPr>
        <w:sym w:font="Symbol" w:char="F0B3"/>
      </w:r>
      <w:r w:rsidRPr="001B4A02">
        <w:t xml:space="preserve"> 3 ze 6 hlavních kritérií pediatrického ACR, přítomnost </w:t>
      </w:r>
      <w:r w:rsidRPr="001B4A02">
        <w:rPr>
          <w:rFonts w:ascii="Symbol" w:hAnsi="Symbol"/>
        </w:rPr>
        <w:sym w:font="Symbol" w:char="F0B3"/>
      </w:r>
      <w:r w:rsidRPr="001B4A02">
        <w:t> 2 aktivních kloubů</w:t>
      </w:r>
      <w:r w:rsidR="002378E0">
        <w:t xml:space="preserve"> a </w:t>
      </w:r>
      <w:r w:rsidRPr="001B4A02">
        <w:t>zlepšení o </w:t>
      </w:r>
      <w:r w:rsidRPr="001B4A02">
        <w:rPr>
          <w:rFonts w:ascii="Symbol" w:hAnsi="Symbol"/>
        </w:rPr>
        <w:sym w:font="Symbol" w:char="F03E"/>
      </w:r>
      <w:r w:rsidRPr="001B4A02">
        <w:t> 30</w:t>
      </w:r>
      <w:r>
        <w:t> %</w:t>
      </w:r>
      <w:r w:rsidRPr="001B4A02">
        <w:t xml:space="preserve"> u ne více než 1 ze 6 kritérií. Po 32 týdnech léčby nebo při vzplanutí onemocnění byli pacienti vhodní k zařazení do otevřené prodloužené fáze.</w:t>
      </w:r>
    </w:p>
    <w:p w14:paraId="69F1F904" w14:textId="77777777" w:rsidR="002A5304" w:rsidRPr="001B4A02" w:rsidRDefault="002A5304" w:rsidP="002A5304">
      <w:pPr>
        <w:ind w:left="0" w:firstLine="0"/>
        <w:rPr>
          <w:bCs/>
        </w:rPr>
      </w:pPr>
    </w:p>
    <w:p w14:paraId="02EAEEBD" w14:textId="77777777" w:rsidR="002A5304" w:rsidRPr="001B4A02" w:rsidRDefault="00000000" w:rsidP="002A5304">
      <w:pPr>
        <w:pStyle w:val="BodyTextIndent"/>
        <w:keepNext/>
        <w:ind w:left="110" w:right="53" w:firstLine="0"/>
        <w:jc w:val="center"/>
        <w:rPr>
          <w:bCs/>
          <w:color w:val="auto"/>
          <w:lang w:val="cs-CZ"/>
        </w:rPr>
      </w:pPr>
      <w:r w:rsidRPr="001B4A02">
        <w:rPr>
          <w:bCs/>
          <w:color w:val="auto"/>
          <w:lang w:val="cs-CZ"/>
        </w:rPr>
        <w:t xml:space="preserve">Tabulka </w:t>
      </w:r>
      <w:r>
        <w:rPr>
          <w:bCs/>
          <w:color w:val="auto"/>
          <w:lang w:val="cs-CZ"/>
        </w:rPr>
        <w:t>1</w:t>
      </w:r>
      <w:r w:rsidRPr="001B4A02">
        <w:rPr>
          <w:bCs/>
          <w:color w:val="auto"/>
          <w:lang w:val="cs-CZ"/>
        </w:rPr>
        <w:t>8</w:t>
      </w:r>
    </w:p>
    <w:p w14:paraId="09D58BCD" w14:textId="77777777" w:rsidR="002A5304" w:rsidRPr="001B4A02" w:rsidRDefault="00000000" w:rsidP="002A5304">
      <w:pPr>
        <w:pStyle w:val="BodyTextIndent"/>
        <w:keepNext/>
        <w:ind w:left="110" w:right="53" w:firstLine="0"/>
        <w:jc w:val="center"/>
        <w:rPr>
          <w:bCs/>
          <w:color w:val="auto"/>
          <w:lang w:val="cs-CZ"/>
        </w:rPr>
      </w:pPr>
      <w:r w:rsidRPr="001B4A02">
        <w:rPr>
          <w:bCs/>
          <w:color w:val="auto"/>
          <w:lang w:val="cs-CZ"/>
        </w:rPr>
        <w:t>Odpovědi v Ped ACR 30 ve studii s JIA</w:t>
      </w:r>
    </w:p>
    <w:p w14:paraId="6060E15C" w14:textId="77777777" w:rsidR="002A5304" w:rsidRPr="001B4A02" w:rsidRDefault="002A5304" w:rsidP="002A5304">
      <w:pPr>
        <w:pStyle w:val="BodyTextIndent"/>
        <w:keepNext/>
        <w:ind w:left="110" w:right="53" w:firstLine="0"/>
        <w:jc w:val="center"/>
        <w:rPr>
          <w:b w:val="0"/>
          <w:bCs/>
          <w:color w:val="auto"/>
          <w:lang w:val="cs-CZ"/>
        </w:rPr>
      </w:pPr>
    </w:p>
    <w:tbl>
      <w:tblPr>
        <w:tblW w:w="0" w:type="auto"/>
        <w:tblInd w:w="11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38"/>
        <w:gridCol w:w="1673"/>
        <w:gridCol w:w="1684"/>
        <w:gridCol w:w="1643"/>
        <w:gridCol w:w="1613"/>
      </w:tblGrid>
      <w:tr w:rsidR="00534A2D" w14:paraId="18307172" w14:textId="77777777" w:rsidTr="00E571F5">
        <w:tc>
          <w:tcPr>
            <w:tcW w:w="2418" w:type="dxa"/>
            <w:tcBorders>
              <w:top w:val="single" w:sz="4" w:space="0" w:color="auto"/>
              <w:left w:val="single" w:sz="4" w:space="0" w:color="auto"/>
              <w:bottom w:val="single" w:sz="4" w:space="0" w:color="auto"/>
              <w:right w:val="single" w:sz="4" w:space="0" w:color="auto"/>
            </w:tcBorders>
          </w:tcPr>
          <w:p w14:paraId="7FB2657E" w14:textId="77777777" w:rsidR="002A5304" w:rsidRPr="001B4A02" w:rsidRDefault="00000000" w:rsidP="00E571F5">
            <w:pPr>
              <w:pStyle w:val="BodyTextIndent"/>
              <w:keepNext/>
              <w:ind w:left="0" w:firstLine="0"/>
              <w:rPr>
                <w:b w:val="0"/>
                <w:bCs/>
                <w:color w:val="auto"/>
                <w:lang w:val="cs-CZ"/>
              </w:rPr>
            </w:pPr>
            <w:r w:rsidRPr="001B4A02">
              <w:rPr>
                <w:b w:val="0"/>
                <w:bCs/>
                <w:color w:val="auto"/>
                <w:lang w:val="cs-CZ"/>
              </w:rPr>
              <w:t>Skupina</w:t>
            </w:r>
          </w:p>
        </w:tc>
        <w:tc>
          <w:tcPr>
            <w:tcW w:w="3392" w:type="dxa"/>
            <w:gridSpan w:val="2"/>
            <w:tcBorders>
              <w:top w:val="single" w:sz="4" w:space="0" w:color="auto"/>
              <w:left w:val="single" w:sz="4" w:space="0" w:color="auto"/>
              <w:bottom w:val="single" w:sz="4" w:space="0" w:color="auto"/>
              <w:right w:val="single" w:sz="4" w:space="0" w:color="auto"/>
            </w:tcBorders>
          </w:tcPr>
          <w:p w14:paraId="79EC96F2"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MTX</w:t>
            </w:r>
          </w:p>
        </w:tc>
        <w:tc>
          <w:tcPr>
            <w:tcW w:w="3367" w:type="dxa"/>
            <w:gridSpan w:val="2"/>
            <w:tcBorders>
              <w:top w:val="single" w:sz="4" w:space="0" w:color="auto"/>
              <w:left w:val="single" w:sz="4" w:space="0" w:color="auto"/>
              <w:bottom w:val="single" w:sz="4" w:space="0" w:color="auto"/>
              <w:right w:val="single" w:sz="4" w:space="0" w:color="auto"/>
            </w:tcBorders>
          </w:tcPr>
          <w:p w14:paraId="0467ABA4"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Bez MTX</w:t>
            </w:r>
          </w:p>
        </w:tc>
      </w:tr>
      <w:tr w:rsidR="00534A2D" w14:paraId="61272237" w14:textId="77777777" w:rsidTr="00E571F5">
        <w:tc>
          <w:tcPr>
            <w:tcW w:w="2418" w:type="dxa"/>
            <w:tcBorders>
              <w:top w:val="single" w:sz="4" w:space="0" w:color="auto"/>
              <w:left w:val="single" w:sz="4" w:space="0" w:color="auto"/>
              <w:bottom w:val="single" w:sz="4" w:space="0" w:color="auto"/>
              <w:right w:val="single" w:sz="4" w:space="0" w:color="auto"/>
            </w:tcBorders>
          </w:tcPr>
          <w:p w14:paraId="157CE51A" w14:textId="77777777" w:rsidR="002A5304" w:rsidRPr="001B4A02" w:rsidRDefault="00000000" w:rsidP="00E571F5">
            <w:pPr>
              <w:pStyle w:val="BodyTextIndent"/>
              <w:keepNext/>
              <w:ind w:left="0" w:firstLine="0"/>
              <w:rPr>
                <w:b w:val="0"/>
                <w:bCs/>
                <w:color w:val="auto"/>
                <w:lang w:val="cs-CZ"/>
              </w:rPr>
            </w:pPr>
            <w:r w:rsidRPr="001B4A02">
              <w:rPr>
                <w:b w:val="0"/>
                <w:bCs/>
                <w:color w:val="auto"/>
                <w:lang w:val="cs-CZ"/>
              </w:rPr>
              <w:t>Fáze</w:t>
            </w:r>
          </w:p>
        </w:tc>
        <w:tc>
          <w:tcPr>
            <w:tcW w:w="3392" w:type="dxa"/>
            <w:gridSpan w:val="2"/>
            <w:tcBorders>
              <w:top w:val="single" w:sz="4" w:space="0" w:color="auto"/>
              <w:left w:val="single" w:sz="4" w:space="0" w:color="auto"/>
              <w:bottom w:val="single" w:sz="4" w:space="0" w:color="auto"/>
              <w:right w:val="single" w:sz="4" w:space="0" w:color="auto"/>
            </w:tcBorders>
          </w:tcPr>
          <w:p w14:paraId="736DE33E" w14:textId="77777777" w:rsidR="002A5304" w:rsidRPr="001B4A02" w:rsidRDefault="002A5304" w:rsidP="00E571F5">
            <w:pPr>
              <w:pStyle w:val="BodyTextIndent"/>
              <w:keepNext/>
              <w:ind w:left="0" w:firstLine="0"/>
              <w:jc w:val="center"/>
              <w:rPr>
                <w:b w:val="0"/>
                <w:bCs/>
                <w:color w:val="auto"/>
                <w:lang w:val="cs-CZ"/>
              </w:rPr>
            </w:pPr>
          </w:p>
        </w:tc>
        <w:tc>
          <w:tcPr>
            <w:tcW w:w="3367" w:type="dxa"/>
            <w:gridSpan w:val="2"/>
            <w:tcBorders>
              <w:top w:val="single" w:sz="4" w:space="0" w:color="auto"/>
              <w:left w:val="single" w:sz="4" w:space="0" w:color="auto"/>
              <w:bottom w:val="single" w:sz="4" w:space="0" w:color="auto"/>
              <w:right w:val="single" w:sz="4" w:space="0" w:color="auto"/>
            </w:tcBorders>
          </w:tcPr>
          <w:p w14:paraId="59B3C8B1" w14:textId="77777777" w:rsidR="002A5304" w:rsidRPr="001B4A02" w:rsidRDefault="002A5304" w:rsidP="00E571F5">
            <w:pPr>
              <w:pStyle w:val="BodyTextIndent"/>
              <w:keepNext/>
              <w:ind w:left="0" w:firstLine="0"/>
              <w:jc w:val="center"/>
              <w:rPr>
                <w:b w:val="0"/>
                <w:bCs/>
                <w:color w:val="auto"/>
                <w:lang w:val="cs-CZ"/>
              </w:rPr>
            </w:pPr>
          </w:p>
        </w:tc>
      </w:tr>
      <w:tr w:rsidR="00534A2D" w14:paraId="1E9D3480" w14:textId="77777777" w:rsidTr="00E571F5">
        <w:tc>
          <w:tcPr>
            <w:tcW w:w="2418" w:type="dxa"/>
            <w:tcBorders>
              <w:top w:val="single" w:sz="4" w:space="0" w:color="auto"/>
              <w:left w:val="single" w:sz="4" w:space="0" w:color="auto"/>
              <w:bottom w:val="single" w:sz="4" w:space="0" w:color="auto"/>
              <w:right w:val="single" w:sz="4" w:space="0" w:color="auto"/>
            </w:tcBorders>
          </w:tcPr>
          <w:p w14:paraId="355871BF" w14:textId="77777777" w:rsidR="002A5304" w:rsidRPr="001B4A02" w:rsidRDefault="00000000" w:rsidP="00E571F5">
            <w:pPr>
              <w:pStyle w:val="BodyTextIndent"/>
              <w:keepNext/>
              <w:ind w:left="0" w:firstLine="0"/>
              <w:rPr>
                <w:b w:val="0"/>
                <w:bCs/>
                <w:color w:val="auto"/>
                <w:lang w:val="cs-CZ"/>
              </w:rPr>
            </w:pPr>
            <w:r w:rsidRPr="001B4A02">
              <w:rPr>
                <w:b w:val="0"/>
                <w:bCs/>
                <w:color w:val="auto"/>
                <w:lang w:val="cs-CZ"/>
              </w:rPr>
              <w:t>OL-LI 16 týdnů</w:t>
            </w:r>
          </w:p>
        </w:tc>
        <w:tc>
          <w:tcPr>
            <w:tcW w:w="3392" w:type="dxa"/>
            <w:gridSpan w:val="2"/>
            <w:tcBorders>
              <w:top w:val="single" w:sz="4" w:space="0" w:color="auto"/>
              <w:left w:val="single" w:sz="4" w:space="0" w:color="auto"/>
              <w:bottom w:val="single" w:sz="4" w:space="0" w:color="auto"/>
              <w:right w:val="single" w:sz="4" w:space="0" w:color="auto"/>
            </w:tcBorders>
          </w:tcPr>
          <w:p w14:paraId="1D107718" w14:textId="77777777" w:rsidR="002A5304" w:rsidRPr="001B4A02" w:rsidRDefault="002A5304" w:rsidP="00E571F5">
            <w:pPr>
              <w:pStyle w:val="BodyTextIndent"/>
              <w:keepNext/>
              <w:ind w:left="0" w:firstLine="0"/>
              <w:jc w:val="center"/>
              <w:rPr>
                <w:b w:val="0"/>
                <w:bCs/>
                <w:color w:val="auto"/>
                <w:lang w:val="cs-CZ"/>
              </w:rPr>
            </w:pPr>
          </w:p>
        </w:tc>
        <w:tc>
          <w:tcPr>
            <w:tcW w:w="3367" w:type="dxa"/>
            <w:gridSpan w:val="2"/>
            <w:tcBorders>
              <w:top w:val="single" w:sz="4" w:space="0" w:color="auto"/>
              <w:left w:val="single" w:sz="4" w:space="0" w:color="auto"/>
              <w:bottom w:val="single" w:sz="4" w:space="0" w:color="auto"/>
              <w:right w:val="single" w:sz="4" w:space="0" w:color="auto"/>
            </w:tcBorders>
          </w:tcPr>
          <w:p w14:paraId="1BB58ADE" w14:textId="77777777" w:rsidR="002A5304" w:rsidRPr="001B4A02" w:rsidRDefault="002A5304" w:rsidP="00E571F5">
            <w:pPr>
              <w:pStyle w:val="BodyTextIndent"/>
              <w:keepNext/>
              <w:ind w:left="0" w:firstLine="0"/>
              <w:jc w:val="center"/>
              <w:rPr>
                <w:b w:val="0"/>
                <w:bCs/>
                <w:color w:val="auto"/>
                <w:lang w:val="cs-CZ"/>
              </w:rPr>
            </w:pPr>
          </w:p>
        </w:tc>
      </w:tr>
      <w:tr w:rsidR="00534A2D" w14:paraId="4541A4B6" w14:textId="77777777" w:rsidTr="00E571F5">
        <w:tc>
          <w:tcPr>
            <w:tcW w:w="2418" w:type="dxa"/>
            <w:tcBorders>
              <w:top w:val="single" w:sz="4" w:space="0" w:color="auto"/>
              <w:left w:val="single" w:sz="4" w:space="0" w:color="auto"/>
              <w:bottom w:val="single" w:sz="4" w:space="0" w:color="auto"/>
              <w:right w:val="single" w:sz="4" w:space="0" w:color="auto"/>
            </w:tcBorders>
          </w:tcPr>
          <w:p w14:paraId="0FF3E1C7" w14:textId="77777777" w:rsidR="002A5304" w:rsidRPr="001B4A02" w:rsidRDefault="00000000" w:rsidP="00E571F5">
            <w:pPr>
              <w:pStyle w:val="BodyTextIndent"/>
              <w:keepNext/>
              <w:ind w:left="0" w:firstLine="0"/>
              <w:rPr>
                <w:b w:val="0"/>
                <w:bCs/>
                <w:color w:val="auto"/>
                <w:lang w:val="cs-CZ"/>
              </w:rPr>
            </w:pPr>
            <w:r w:rsidRPr="001B4A02">
              <w:rPr>
                <w:b w:val="0"/>
                <w:bCs/>
                <w:color w:val="auto"/>
                <w:lang w:val="cs-CZ"/>
              </w:rPr>
              <w:t>Odpovědi Ped ACR 30 (n/N)</w:t>
            </w:r>
          </w:p>
        </w:tc>
        <w:tc>
          <w:tcPr>
            <w:tcW w:w="3392" w:type="dxa"/>
            <w:gridSpan w:val="2"/>
            <w:tcBorders>
              <w:top w:val="single" w:sz="4" w:space="0" w:color="auto"/>
              <w:left w:val="single" w:sz="4" w:space="0" w:color="auto"/>
              <w:bottom w:val="single" w:sz="4" w:space="0" w:color="auto"/>
              <w:right w:val="single" w:sz="4" w:space="0" w:color="auto"/>
            </w:tcBorders>
          </w:tcPr>
          <w:p w14:paraId="1A294984"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94,1</w:t>
            </w:r>
            <w:r>
              <w:rPr>
                <w:b w:val="0"/>
                <w:bCs/>
                <w:color w:val="auto"/>
                <w:lang w:val="cs-CZ"/>
              </w:rPr>
              <w:t> %</w:t>
            </w:r>
            <w:r w:rsidRPr="001B4A02">
              <w:rPr>
                <w:b w:val="0"/>
                <w:bCs/>
                <w:color w:val="auto"/>
                <w:lang w:val="cs-CZ"/>
              </w:rPr>
              <w:t xml:space="preserve"> (80/85)</w:t>
            </w:r>
          </w:p>
        </w:tc>
        <w:tc>
          <w:tcPr>
            <w:tcW w:w="3367" w:type="dxa"/>
            <w:gridSpan w:val="2"/>
            <w:tcBorders>
              <w:top w:val="single" w:sz="4" w:space="0" w:color="auto"/>
              <w:left w:val="single" w:sz="4" w:space="0" w:color="auto"/>
              <w:bottom w:val="single" w:sz="4" w:space="0" w:color="auto"/>
              <w:right w:val="single" w:sz="4" w:space="0" w:color="auto"/>
            </w:tcBorders>
          </w:tcPr>
          <w:p w14:paraId="3CF60599"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74,4 % (64/86)</w:t>
            </w:r>
          </w:p>
        </w:tc>
      </w:tr>
      <w:tr w:rsidR="00534A2D" w14:paraId="1D8CCBBE" w14:textId="77777777" w:rsidTr="00E571F5">
        <w:tc>
          <w:tcPr>
            <w:tcW w:w="9177" w:type="dxa"/>
            <w:gridSpan w:val="5"/>
            <w:tcBorders>
              <w:top w:val="single" w:sz="4" w:space="0" w:color="auto"/>
              <w:left w:val="single" w:sz="4" w:space="0" w:color="auto"/>
              <w:bottom w:val="single" w:sz="4" w:space="0" w:color="auto"/>
              <w:right w:val="single" w:sz="4" w:space="0" w:color="auto"/>
            </w:tcBorders>
          </w:tcPr>
          <w:p w14:paraId="0258A3B3"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Výsledky účinnosti</w:t>
            </w:r>
          </w:p>
        </w:tc>
      </w:tr>
      <w:tr w:rsidR="00534A2D" w14:paraId="0CA084BE" w14:textId="77777777" w:rsidTr="00E571F5">
        <w:tc>
          <w:tcPr>
            <w:tcW w:w="2418" w:type="dxa"/>
            <w:tcBorders>
              <w:top w:val="single" w:sz="4" w:space="0" w:color="auto"/>
              <w:left w:val="single" w:sz="4" w:space="0" w:color="auto"/>
              <w:bottom w:val="single" w:sz="4" w:space="0" w:color="auto"/>
              <w:right w:val="single" w:sz="4" w:space="0" w:color="auto"/>
            </w:tcBorders>
          </w:tcPr>
          <w:p w14:paraId="3D70F6F7" w14:textId="77777777" w:rsidR="002A5304" w:rsidRPr="001B4A02" w:rsidRDefault="00000000" w:rsidP="00E571F5">
            <w:pPr>
              <w:pStyle w:val="BodyTextIndent"/>
              <w:keepNext/>
              <w:ind w:left="0" w:firstLine="0"/>
              <w:rPr>
                <w:b w:val="0"/>
                <w:bCs/>
                <w:color w:val="auto"/>
                <w:lang w:val="cs-CZ"/>
              </w:rPr>
            </w:pPr>
            <w:r w:rsidRPr="001B4A02">
              <w:rPr>
                <w:b w:val="0"/>
                <w:bCs/>
                <w:color w:val="auto"/>
                <w:lang w:val="cs-CZ"/>
              </w:rPr>
              <w:t>Dvojitě zaslepených 32 týdnů</w:t>
            </w:r>
          </w:p>
        </w:tc>
        <w:tc>
          <w:tcPr>
            <w:tcW w:w="1691" w:type="dxa"/>
            <w:tcBorders>
              <w:top w:val="single" w:sz="4" w:space="0" w:color="auto"/>
              <w:left w:val="single" w:sz="4" w:space="0" w:color="auto"/>
              <w:bottom w:val="single" w:sz="4" w:space="0" w:color="auto"/>
              <w:right w:val="single" w:sz="4" w:space="0" w:color="auto"/>
            </w:tcBorders>
          </w:tcPr>
          <w:p w14:paraId="31BF4264"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Humira/MTX</w:t>
            </w:r>
          </w:p>
          <w:p w14:paraId="1162B5F2"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w:t>
            </w:r>
            <w:r>
              <w:rPr>
                <w:b w:val="0"/>
                <w:bCs/>
                <w:color w:val="auto"/>
                <w:lang w:val="cs-CZ"/>
              </w:rPr>
              <w:t>n</w:t>
            </w:r>
            <w:r w:rsidRPr="001B4A02">
              <w:rPr>
                <w:b w:val="0"/>
                <w:bCs/>
                <w:color w:val="auto"/>
                <w:lang w:val="cs-CZ"/>
              </w:rPr>
              <w:t>=38)</w:t>
            </w:r>
          </w:p>
        </w:tc>
        <w:tc>
          <w:tcPr>
            <w:tcW w:w="1701" w:type="dxa"/>
            <w:tcBorders>
              <w:top w:val="single" w:sz="4" w:space="0" w:color="auto"/>
              <w:left w:val="single" w:sz="4" w:space="0" w:color="auto"/>
              <w:bottom w:val="single" w:sz="4" w:space="0" w:color="auto"/>
              <w:right w:val="single" w:sz="4" w:space="0" w:color="auto"/>
            </w:tcBorders>
          </w:tcPr>
          <w:p w14:paraId="12EAC08F"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Placebo/MTX</w:t>
            </w:r>
          </w:p>
          <w:p w14:paraId="52E9F7E7"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w:t>
            </w:r>
            <w:r>
              <w:rPr>
                <w:b w:val="0"/>
                <w:bCs/>
                <w:color w:val="auto"/>
                <w:lang w:val="cs-CZ"/>
              </w:rPr>
              <w:t>n</w:t>
            </w:r>
            <w:r w:rsidRPr="001B4A02">
              <w:rPr>
                <w:b w:val="0"/>
                <w:bCs/>
                <w:color w:val="auto"/>
                <w:lang w:val="cs-CZ"/>
              </w:rPr>
              <w:t>=37)</w:t>
            </w:r>
          </w:p>
        </w:tc>
        <w:tc>
          <w:tcPr>
            <w:tcW w:w="1701" w:type="dxa"/>
            <w:tcBorders>
              <w:top w:val="single" w:sz="4" w:space="0" w:color="auto"/>
              <w:left w:val="single" w:sz="4" w:space="0" w:color="auto"/>
              <w:bottom w:val="single" w:sz="4" w:space="0" w:color="auto"/>
              <w:right w:val="single" w:sz="4" w:space="0" w:color="auto"/>
            </w:tcBorders>
          </w:tcPr>
          <w:p w14:paraId="74D83D78"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Humira</w:t>
            </w:r>
          </w:p>
          <w:p w14:paraId="26BB1BA8"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w:t>
            </w:r>
            <w:r>
              <w:rPr>
                <w:b w:val="0"/>
                <w:bCs/>
                <w:color w:val="auto"/>
                <w:lang w:val="cs-CZ"/>
              </w:rPr>
              <w:t>n</w:t>
            </w:r>
            <w:r w:rsidRPr="001B4A02">
              <w:rPr>
                <w:b w:val="0"/>
                <w:bCs/>
                <w:color w:val="auto"/>
                <w:lang w:val="cs-CZ"/>
              </w:rPr>
              <w:t>=30)</w:t>
            </w:r>
          </w:p>
        </w:tc>
        <w:tc>
          <w:tcPr>
            <w:tcW w:w="1666" w:type="dxa"/>
            <w:tcBorders>
              <w:top w:val="single" w:sz="4" w:space="0" w:color="auto"/>
              <w:left w:val="single" w:sz="4" w:space="0" w:color="auto"/>
              <w:bottom w:val="single" w:sz="4" w:space="0" w:color="auto"/>
              <w:right w:val="single" w:sz="4" w:space="0" w:color="auto"/>
            </w:tcBorders>
          </w:tcPr>
          <w:p w14:paraId="7320C7A2"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Placebo</w:t>
            </w:r>
          </w:p>
          <w:p w14:paraId="4B977641"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w:t>
            </w:r>
            <w:r>
              <w:rPr>
                <w:b w:val="0"/>
                <w:bCs/>
                <w:color w:val="auto"/>
                <w:lang w:val="cs-CZ"/>
              </w:rPr>
              <w:t>n</w:t>
            </w:r>
            <w:r w:rsidRPr="001B4A02">
              <w:rPr>
                <w:b w:val="0"/>
                <w:bCs/>
                <w:color w:val="auto"/>
                <w:lang w:val="cs-CZ"/>
              </w:rPr>
              <w:t>=28)</w:t>
            </w:r>
          </w:p>
        </w:tc>
      </w:tr>
      <w:tr w:rsidR="00534A2D" w14:paraId="50B9E015" w14:textId="77777777" w:rsidTr="00E571F5">
        <w:tc>
          <w:tcPr>
            <w:tcW w:w="2418" w:type="dxa"/>
            <w:tcBorders>
              <w:top w:val="single" w:sz="4" w:space="0" w:color="auto"/>
              <w:left w:val="single" w:sz="4" w:space="0" w:color="auto"/>
              <w:bottom w:val="single" w:sz="4" w:space="0" w:color="auto"/>
              <w:right w:val="single" w:sz="4" w:space="0" w:color="auto"/>
            </w:tcBorders>
          </w:tcPr>
          <w:p w14:paraId="05111A6F" w14:textId="77777777" w:rsidR="002A5304" w:rsidRPr="001B4A02" w:rsidRDefault="00000000" w:rsidP="00E571F5">
            <w:pPr>
              <w:pStyle w:val="BodyTextIndent"/>
              <w:keepNext/>
              <w:ind w:left="0" w:firstLine="0"/>
              <w:rPr>
                <w:b w:val="0"/>
                <w:bCs/>
                <w:color w:val="auto"/>
                <w:lang w:val="cs-CZ"/>
              </w:rPr>
            </w:pPr>
            <w:r w:rsidRPr="001B4A02">
              <w:rPr>
                <w:b w:val="0"/>
                <w:bCs/>
                <w:color w:val="auto"/>
                <w:lang w:val="cs-CZ"/>
              </w:rPr>
              <w:t>Vzplanutí onemocnění na konci 32 týdnů</w:t>
            </w:r>
            <w:r w:rsidRPr="001B4A02">
              <w:rPr>
                <w:b w:val="0"/>
                <w:bCs/>
                <w:color w:val="auto"/>
                <w:vertAlign w:val="superscript"/>
                <w:lang w:val="cs-CZ"/>
              </w:rPr>
              <w:t>a</w:t>
            </w:r>
            <w:r w:rsidRPr="001B4A02">
              <w:rPr>
                <w:b w:val="0"/>
                <w:bCs/>
                <w:color w:val="auto"/>
                <w:lang w:val="cs-CZ"/>
              </w:rPr>
              <w:t xml:space="preserve"> (n/N)</w:t>
            </w:r>
          </w:p>
        </w:tc>
        <w:tc>
          <w:tcPr>
            <w:tcW w:w="1691" w:type="dxa"/>
            <w:tcBorders>
              <w:top w:val="single" w:sz="4" w:space="0" w:color="auto"/>
              <w:left w:val="single" w:sz="4" w:space="0" w:color="auto"/>
              <w:bottom w:val="single" w:sz="4" w:space="0" w:color="auto"/>
              <w:right w:val="single" w:sz="4" w:space="0" w:color="auto"/>
            </w:tcBorders>
          </w:tcPr>
          <w:p w14:paraId="7C2FCAA5"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36,8 % (14/38)</w:t>
            </w:r>
          </w:p>
        </w:tc>
        <w:tc>
          <w:tcPr>
            <w:tcW w:w="1701" w:type="dxa"/>
            <w:tcBorders>
              <w:top w:val="single" w:sz="4" w:space="0" w:color="auto"/>
              <w:left w:val="single" w:sz="4" w:space="0" w:color="auto"/>
              <w:bottom w:val="single" w:sz="4" w:space="0" w:color="auto"/>
              <w:right w:val="single" w:sz="4" w:space="0" w:color="auto"/>
            </w:tcBorders>
          </w:tcPr>
          <w:p w14:paraId="507E103B"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64,9 % (24/37)</w:t>
            </w:r>
            <w:r w:rsidRPr="001B4A02">
              <w:rPr>
                <w:b w:val="0"/>
                <w:bCs/>
                <w:color w:val="auto"/>
                <w:vertAlign w:val="superscript"/>
                <w:lang w:val="cs-CZ"/>
              </w:rPr>
              <w:t>b</w:t>
            </w:r>
          </w:p>
        </w:tc>
        <w:tc>
          <w:tcPr>
            <w:tcW w:w="1701" w:type="dxa"/>
            <w:tcBorders>
              <w:top w:val="single" w:sz="4" w:space="0" w:color="auto"/>
              <w:left w:val="single" w:sz="4" w:space="0" w:color="auto"/>
              <w:bottom w:val="single" w:sz="4" w:space="0" w:color="auto"/>
              <w:right w:val="single" w:sz="4" w:space="0" w:color="auto"/>
            </w:tcBorders>
          </w:tcPr>
          <w:p w14:paraId="0F417DAE"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43,3 % (13/30)</w:t>
            </w:r>
          </w:p>
        </w:tc>
        <w:tc>
          <w:tcPr>
            <w:tcW w:w="1666" w:type="dxa"/>
            <w:tcBorders>
              <w:top w:val="single" w:sz="4" w:space="0" w:color="auto"/>
              <w:left w:val="single" w:sz="4" w:space="0" w:color="auto"/>
              <w:bottom w:val="single" w:sz="4" w:space="0" w:color="auto"/>
              <w:right w:val="single" w:sz="4" w:space="0" w:color="auto"/>
            </w:tcBorders>
          </w:tcPr>
          <w:p w14:paraId="5E7F324F"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71,4 % (20/28)</w:t>
            </w:r>
            <w:r w:rsidRPr="001B4A02">
              <w:rPr>
                <w:b w:val="0"/>
                <w:bCs/>
                <w:color w:val="auto"/>
                <w:vertAlign w:val="superscript"/>
                <w:lang w:val="cs-CZ"/>
              </w:rPr>
              <w:t>c</w:t>
            </w:r>
          </w:p>
        </w:tc>
      </w:tr>
      <w:tr w:rsidR="00534A2D" w14:paraId="253B0B27" w14:textId="77777777" w:rsidTr="00E571F5">
        <w:tc>
          <w:tcPr>
            <w:tcW w:w="2418" w:type="dxa"/>
            <w:tcBorders>
              <w:top w:val="single" w:sz="4" w:space="0" w:color="auto"/>
              <w:left w:val="single" w:sz="4" w:space="0" w:color="auto"/>
              <w:bottom w:val="single" w:sz="4" w:space="0" w:color="auto"/>
              <w:right w:val="single" w:sz="4" w:space="0" w:color="auto"/>
            </w:tcBorders>
          </w:tcPr>
          <w:p w14:paraId="05D6683D" w14:textId="77777777" w:rsidR="002A5304" w:rsidRPr="001B4A02" w:rsidRDefault="00000000" w:rsidP="00E571F5">
            <w:pPr>
              <w:pStyle w:val="BodyTextIndent"/>
              <w:keepNext/>
              <w:ind w:left="0" w:firstLine="0"/>
              <w:rPr>
                <w:b w:val="0"/>
                <w:bCs/>
                <w:color w:val="auto"/>
                <w:lang w:val="cs-CZ"/>
              </w:rPr>
            </w:pPr>
            <w:r w:rsidRPr="001B4A02">
              <w:rPr>
                <w:b w:val="0"/>
                <w:bCs/>
                <w:color w:val="auto"/>
                <w:lang w:val="cs-CZ"/>
              </w:rPr>
              <w:t>Medián doby do vzplanutí onemocnění</w:t>
            </w:r>
          </w:p>
        </w:tc>
        <w:tc>
          <w:tcPr>
            <w:tcW w:w="1691" w:type="dxa"/>
            <w:tcBorders>
              <w:top w:val="single" w:sz="4" w:space="0" w:color="auto"/>
              <w:left w:val="single" w:sz="4" w:space="0" w:color="auto"/>
              <w:bottom w:val="single" w:sz="4" w:space="0" w:color="auto"/>
              <w:right w:val="single" w:sz="4" w:space="0" w:color="auto"/>
            </w:tcBorders>
          </w:tcPr>
          <w:p w14:paraId="0D69A123"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&gt; 32 týdnů</w:t>
            </w:r>
          </w:p>
        </w:tc>
        <w:tc>
          <w:tcPr>
            <w:tcW w:w="1701" w:type="dxa"/>
            <w:tcBorders>
              <w:top w:val="single" w:sz="4" w:space="0" w:color="auto"/>
              <w:left w:val="single" w:sz="4" w:space="0" w:color="auto"/>
              <w:bottom w:val="single" w:sz="4" w:space="0" w:color="auto"/>
              <w:right w:val="single" w:sz="4" w:space="0" w:color="auto"/>
            </w:tcBorders>
          </w:tcPr>
          <w:p w14:paraId="28577F4D"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20 týdnů</w:t>
            </w:r>
          </w:p>
        </w:tc>
        <w:tc>
          <w:tcPr>
            <w:tcW w:w="1701" w:type="dxa"/>
            <w:tcBorders>
              <w:top w:val="single" w:sz="4" w:space="0" w:color="auto"/>
              <w:left w:val="single" w:sz="4" w:space="0" w:color="auto"/>
              <w:bottom w:val="single" w:sz="4" w:space="0" w:color="auto"/>
              <w:right w:val="single" w:sz="4" w:space="0" w:color="auto"/>
            </w:tcBorders>
          </w:tcPr>
          <w:p w14:paraId="3FBB80AB"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&gt; 32 týdnů</w:t>
            </w:r>
          </w:p>
        </w:tc>
        <w:tc>
          <w:tcPr>
            <w:tcW w:w="1666" w:type="dxa"/>
            <w:tcBorders>
              <w:top w:val="single" w:sz="4" w:space="0" w:color="auto"/>
              <w:left w:val="single" w:sz="4" w:space="0" w:color="auto"/>
              <w:bottom w:val="single" w:sz="4" w:space="0" w:color="auto"/>
              <w:right w:val="single" w:sz="4" w:space="0" w:color="auto"/>
            </w:tcBorders>
          </w:tcPr>
          <w:p w14:paraId="1743F5D8" w14:textId="77777777" w:rsidR="002A5304" w:rsidRPr="001B4A02" w:rsidRDefault="00000000" w:rsidP="00E571F5">
            <w:pPr>
              <w:pStyle w:val="BodyTextIndent"/>
              <w:keepNext/>
              <w:ind w:left="0" w:firstLine="0"/>
              <w:jc w:val="center"/>
              <w:rPr>
                <w:b w:val="0"/>
                <w:bCs/>
                <w:color w:val="auto"/>
                <w:lang w:val="cs-CZ"/>
              </w:rPr>
            </w:pPr>
            <w:r w:rsidRPr="001B4A02">
              <w:rPr>
                <w:b w:val="0"/>
                <w:bCs/>
                <w:color w:val="auto"/>
                <w:lang w:val="cs-CZ"/>
              </w:rPr>
              <w:t>14 týdnů</w:t>
            </w:r>
          </w:p>
        </w:tc>
      </w:tr>
    </w:tbl>
    <w:p w14:paraId="6527AD09" w14:textId="77777777" w:rsidR="002A5304" w:rsidRPr="001B4A02" w:rsidRDefault="00000000" w:rsidP="002A5304">
      <w:pPr>
        <w:pStyle w:val="BodyTextIndent"/>
        <w:keepNext/>
        <w:ind w:left="110" w:right="53" w:firstLine="0"/>
        <w:rPr>
          <w:b w:val="0"/>
          <w:bCs/>
          <w:i/>
          <w:iCs/>
          <w:color w:val="auto"/>
          <w:sz w:val="20"/>
          <w:lang w:val="cs-CZ"/>
        </w:rPr>
      </w:pPr>
      <w:r w:rsidRPr="001B4A02">
        <w:rPr>
          <w:b w:val="0"/>
          <w:bCs/>
          <w:color w:val="auto"/>
          <w:sz w:val="20"/>
          <w:vertAlign w:val="superscript"/>
          <w:lang w:val="cs-CZ"/>
        </w:rPr>
        <w:t xml:space="preserve">a </w:t>
      </w:r>
      <w:r w:rsidRPr="001B4A02">
        <w:rPr>
          <w:b w:val="0"/>
          <w:bCs/>
          <w:color w:val="auto"/>
          <w:sz w:val="20"/>
          <w:lang w:val="cs-CZ"/>
        </w:rPr>
        <w:t xml:space="preserve">Odpovědi Ped ACR 30/50/70 v týdnu 48 byly významně vyšší než ty u pacientů léčených placebem </w:t>
      </w:r>
    </w:p>
    <w:p w14:paraId="3E261241" w14:textId="77777777" w:rsidR="002A5304" w:rsidRPr="001B4A02" w:rsidRDefault="00000000" w:rsidP="002A5304">
      <w:pPr>
        <w:pStyle w:val="BodyTextIndent"/>
        <w:keepNext/>
        <w:ind w:left="110" w:right="53" w:firstLine="0"/>
        <w:rPr>
          <w:b w:val="0"/>
          <w:bCs/>
          <w:color w:val="auto"/>
          <w:sz w:val="20"/>
          <w:lang w:val="cs-CZ"/>
        </w:rPr>
      </w:pPr>
      <w:r w:rsidRPr="001B4A02">
        <w:rPr>
          <w:b w:val="0"/>
          <w:bCs/>
          <w:color w:val="auto"/>
          <w:sz w:val="20"/>
          <w:vertAlign w:val="superscript"/>
          <w:lang w:val="cs-CZ"/>
        </w:rPr>
        <w:t>b</w:t>
      </w:r>
      <w:r w:rsidRPr="001B4A02">
        <w:rPr>
          <w:b w:val="0"/>
          <w:bCs/>
          <w:color w:val="auto"/>
          <w:sz w:val="20"/>
          <w:lang w:val="cs-CZ"/>
        </w:rPr>
        <w:t xml:space="preserve"> p = 0,015</w:t>
      </w:r>
    </w:p>
    <w:p w14:paraId="5597153D" w14:textId="77777777" w:rsidR="002A5304" w:rsidRPr="001B4A02" w:rsidRDefault="00000000" w:rsidP="002A5304">
      <w:pPr>
        <w:pStyle w:val="BodyTextIndent"/>
        <w:ind w:left="110" w:right="53" w:firstLine="0"/>
        <w:rPr>
          <w:b w:val="0"/>
          <w:bCs/>
          <w:color w:val="auto"/>
          <w:sz w:val="20"/>
          <w:lang w:val="cs-CZ"/>
        </w:rPr>
      </w:pPr>
      <w:r w:rsidRPr="001B4A02">
        <w:rPr>
          <w:b w:val="0"/>
          <w:bCs/>
          <w:color w:val="auto"/>
          <w:sz w:val="20"/>
          <w:vertAlign w:val="superscript"/>
          <w:lang w:val="cs-CZ"/>
        </w:rPr>
        <w:t>c</w:t>
      </w:r>
      <w:r w:rsidRPr="001B4A02">
        <w:rPr>
          <w:b w:val="0"/>
          <w:bCs/>
          <w:color w:val="auto"/>
          <w:sz w:val="20"/>
          <w:lang w:val="cs-CZ"/>
        </w:rPr>
        <w:t xml:space="preserve"> p = 0,031</w:t>
      </w:r>
    </w:p>
    <w:p w14:paraId="2016A5E5" w14:textId="77777777" w:rsidR="002A5304" w:rsidRPr="001B4A02" w:rsidRDefault="002A5304" w:rsidP="002A5304">
      <w:pPr>
        <w:ind w:left="0" w:firstLine="0"/>
      </w:pPr>
    </w:p>
    <w:p w14:paraId="1FE708C7" w14:textId="77777777" w:rsidR="002A5304" w:rsidRPr="001B4A02" w:rsidRDefault="00000000" w:rsidP="002A5304">
      <w:pPr>
        <w:ind w:left="0" w:firstLine="0"/>
      </w:pPr>
      <w:r w:rsidRPr="001B4A02">
        <w:t>Mezi těmi, jež dosáhli odpovědi v týdnu 16 (n=144), byly odpovědi pediatrického ACR v OLE fázi udržovány na hodnotách 30/50/70/90 po dobu až šesti let u těch pacientů, jež byli léčeni přípravkem Humira po celou dobu studie. Krom toho všech 19 subjektů, z nichž 11 bylo při zahájení studie ve věku 4 až 12 let</w:t>
      </w:r>
      <w:r w:rsidR="002378E0">
        <w:t xml:space="preserve"> a </w:t>
      </w:r>
      <w:r w:rsidRPr="001B4A02">
        <w:t>8 ve věku 13 až 17 let, bylo léčeno 6 let nebo déle.</w:t>
      </w:r>
    </w:p>
    <w:p w14:paraId="7D4871D0" w14:textId="77777777" w:rsidR="002A5304" w:rsidRPr="001B4A02" w:rsidRDefault="002A5304" w:rsidP="002A5304">
      <w:pPr>
        <w:ind w:left="0" w:firstLine="0"/>
      </w:pPr>
    </w:p>
    <w:p w14:paraId="5F432941" w14:textId="77777777" w:rsidR="002A5304" w:rsidRPr="001B4A02" w:rsidRDefault="00000000" w:rsidP="002A5304">
      <w:pPr>
        <w:ind w:left="0" w:firstLine="0"/>
      </w:pPr>
      <w:r w:rsidRPr="001B4A02">
        <w:t>Celkově byly odpovědi obecně lepší</w:t>
      </w:r>
      <w:r w:rsidR="002378E0">
        <w:t xml:space="preserve"> a </w:t>
      </w:r>
      <w:r w:rsidRPr="001B4A02">
        <w:t>u menšího množství pacientů došlo k vývinu protilátek, pokud byli léčeni kombinací přípravku Humira</w:t>
      </w:r>
      <w:r w:rsidR="002378E0">
        <w:t xml:space="preserve"> a </w:t>
      </w:r>
      <w:r w:rsidRPr="001B4A02">
        <w:t xml:space="preserve">MTX ve srovnání s monoterapií </w:t>
      </w:r>
      <w:r w:rsidRPr="001B4A02">
        <w:rPr>
          <w:szCs w:val="22"/>
        </w:rPr>
        <w:t xml:space="preserve">přípravkem </w:t>
      </w:r>
      <w:r w:rsidRPr="001B4A02">
        <w:t>Humira. Uvážíme-li tyto výsledky, doporučuje se, aby byl přípravek Humira používán v kombinaci s MTX</w:t>
      </w:r>
      <w:r w:rsidR="002378E0">
        <w:t xml:space="preserve"> a </w:t>
      </w:r>
      <w:r w:rsidRPr="001B4A02">
        <w:t>v monoterapii jen u těch pacientů, u nichž není užití MTX vhodné (viz bod 4.2).</w:t>
      </w:r>
    </w:p>
    <w:p w14:paraId="2E9283A6" w14:textId="77777777" w:rsidR="002A5304" w:rsidRPr="001B4A02" w:rsidRDefault="002A5304" w:rsidP="002A5304">
      <w:pPr>
        <w:ind w:left="0" w:firstLine="0"/>
        <w:rPr>
          <w:u w:val="single"/>
        </w:rPr>
      </w:pPr>
    </w:p>
    <w:p w14:paraId="45D13366" w14:textId="77777777" w:rsidR="002A5304" w:rsidRPr="001B4A02" w:rsidRDefault="00000000" w:rsidP="002A5304">
      <w:pPr>
        <w:keepNext/>
        <w:ind w:left="0" w:firstLine="0"/>
      </w:pPr>
      <w:r w:rsidRPr="001B4A02">
        <w:t>pJIA II</w:t>
      </w:r>
    </w:p>
    <w:p w14:paraId="05AD9D76" w14:textId="77777777" w:rsidR="002A5304" w:rsidRPr="001B4A02" w:rsidRDefault="002A5304" w:rsidP="002A5304">
      <w:pPr>
        <w:keepNext/>
        <w:ind w:left="0" w:firstLine="0"/>
        <w:rPr>
          <w:u w:val="single"/>
        </w:rPr>
      </w:pPr>
    </w:p>
    <w:p w14:paraId="707E5D54" w14:textId="77777777" w:rsidR="002A5304" w:rsidRPr="001B4A02" w:rsidRDefault="00000000" w:rsidP="002A5304">
      <w:pPr>
        <w:ind w:left="0" w:firstLine="0"/>
      </w:pPr>
      <w:r w:rsidRPr="001B4A02">
        <w:t>Bezpečnost</w:t>
      </w:r>
      <w:r w:rsidR="002378E0">
        <w:t xml:space="preserve"> a </w:t>
      </w:r>
      <w:r w:rsidRPr="001B4A02">
        <w:t>účinnost přípravku Humira byla hodnocena v multicentrické otevřené studii se 32 dětmi (ve věku 2 až &lt; 4 roky nebo ve věku 4 roky</w:t>
      </w:r>
      <w:r w:rsidR="002378E0">
        <w:t xml:space="preserve"> a </w:t>
      </w:r>
      <w:r w:rsidRPr="001B4A02">
        <w:t>více s tělesnou hmotností &lt; 15</w:t>
      </w:r>
      <w:r w:rsidR="002767FC">
        <w:t> kg</w:t>
      </w:r>
      <w:r w:rsidRPr="001B4A02">
        <w:t>) se středně těžkou až těžkou polyartikulární JIA. Pacienti dostávali přípravek Humira v dávce 24</w:t>
      </w:r>
      <w:r w:rsidR="00883A75">
        <w:t> mg</w:t>
      </w:r>
      <w:r w:rsidRPr="001B4A02">
        <w:t>/m</w:t>
      </w:r>
      <w:r w:rsidRPr="001B4A02">
        <w:rPr>
          <w:vertAlign w:val="superscript"/>
        </w:rPr>
        <w:t>2</w:t>
      </w:r>
      <w:r w:rsidRPr="001B4A02">
        <w:t xml:space="preserve"> tělesného povrchu (BSA) až do maximální dávky 20</w:t>
      </w:r>
      <w:r w:rsidR="00883A75">
        <w:t> mg</w:t>
      </w:r>
      <w:r w:rsidRPr="001B4A02">
        <w:t xml:space="preserve"> každý druhý týden subkutánní injekcí po dobu 24 týdnů. V průběhu studie užívala většina su</w:t>
      </w:r>
      <w:r>
        <w:t>b</w:t>
      </w:r>
      <w:r w:rsidRPr="001B4A02">
        <w:t>jektů současně methotrexát</w:t>
      </w:r>
      <w:r w:rsidR="002378E0">
        <w:t xml:space="preserve"> a </w:t>
      </w:r>
      <w:r w:rsidRPr="001B4A02">
        <w:t>u menšího množství případů bylo hlášeno užívání kortikosteroidů nebo NSAID.</w:t>
      </w:r>
    </w:p>
    <w:p w14:paraId="3ACF58D3" w14:textId="77777777" w:rsidR="002A5304" w:rsidRPr="001B4A02" w:rsidRDefault="002A5304" w:rsidP="002A5304">
      <w:pPr>
        <w:ind w:left="0" w:firstLine="0"/>
      </w:pPr>
    </w:p>
    <w:p w14:paraId="3F8F737D" w14:textId="77777777" w:rsidR="002A5304" w:rsidRPr="001B4A02" w:rsidRDefault="00000000" w:rsidP="002A5304">
      <w:pPr>
        <w:ind w:left="0" w:firstLine="0"/>
      </w:pPr>
      <w:r w:rsidRPr="001B4A02">
        <w:t>Z pozorovaných údajů vyplývá, že v týdnu 12 bylo dosaženo odpovědi PedACR 30 u 93,5</w:t>
      </w:r>
      <w:r>
        <w:t> %</w:t>
      </w:r>
      <w:r w:rsidRPr="001B4A02">
        <w:t xml:space="preserve"> subjektů</w:t>
      </w:r>
      <w:r w:rsidR="002378E0">
        <w:t xml:space="preserve"> a </w:t>
      </w:r>
      <w:r w:rsidRPr="001B4A02">
        <w:t>v týdnu 24 bylo této odpovědi dosaženo u 90,0</w:t>
      </w:r>
      <w:r>
        <w:t> %</w:t>
      </w:r>
      <w:r w:rsidRPr="001B4A02">
        <w:t xml:space="preserve"> subjektů. Poměr subjektů s odpovědí PedACR 50/70/90 v týdnu 12 byl 90,3</w:t>
      </w:r>
      <w:r>
        <w:t> %</w:t>
      </w:r>
      <w:r w:rsidRPr="001B4A02">
        <w:t>/61,3</w:t>
      </w:r>
      <w:r>
        <w:t> %</w:t>
      </w:r>
      <w:r w:rsidRPr="001B4A02">
        <w:t>/38,7</w:t>
      </w:r>
      <w:r>
        <w:t> %</w:t>
      </w:r>
      <w:r w:rsidR="002378E0">
        <w:t xml:space="preserve"> a </w:t>
      </w:r>
      <w:r w:rsidRPr="001B4A02">
        <w:t>poměr subjektů s touto odpovědí v týdnu 24 byl 83,3</w:t>
      </w:r>
      <w:r>
        <w:t> %</w:t>
      </w:r>
      <w:r w:rsidRPr="001B4A02">
        <w:t>/73,3</w:t>
      </w:r>
      <w:r>
        <w:t> %</w:t>
      </w:r>
      <w:r w:rsidRPr="001B4A02">
        <w:t>/36,7</w:t>
      </w:r>
      <w:r>
        <w:t> %</w:t>
      </w:r>
      <w:r w:rsidRPr="001B4A02">
        <w:t>. Mezi pacienty, kteří dosáhli odpovědi PedACR 30 v týdnu 24 (n=27 ze 30 pacientů), přetrvávala v OLE fázi odpověď PedACR 30 u těch, kterým byl podáván přípravek Humira po celou dobu studie. Celkově bylo 20 subjektů léčeno po dobu 60 týdnů nebo déle.</w:t>
      </w:r>
    </w:p>
    <w:p w14:paraId="7D4E5E45" w14:textId="77777777" w:rsidR="002A5304" w:rsidRPr="001B4A02" w:rsidRDefault="002A5304" w:rsidP="002A5304">
      <w:pPr>
        <w:pStyle w:val="EMEANormal"/>
        <w:tabs>
          <w:tab w:val="clear" w:pos="562"/>
        </w:tabs>
        <w:suppressAutoHyphens w:val="0"/>
        <w:rPr>
          <w:lang w:val="cs-CZ"/>
        </w:rPr>
      </w:pPr>
    </w:p>
    <w:p w14:paraId="4283716E" w14:textId="77777777" w:rsidR="002A5304" w:rsidRPr="001B4A02" w:rsidRDefault="00000000" w:rsidP="002A5304">
      <w:pPr>
        <w:keepNext/>
        <w:ind w:left="0" w:firstLine="0"/>
        <w:rPr>
          <w:i/>
          <w:u w:val="single"/>
        </w:rPr>
      </w:pPr>
      <w:r w:rsidRPr="001B4A02">
        <w:rPr>
          <w:i/>
          <w:u w:val="single"/>
        </w:rPr>
        <w:t>Entezopatická artritida</w:t>
      </w:r>
    </w:p>
    <w:p w14:paraId="47A3663F" w14:textId="77777777" w:rsidR="002A5304" w:rsidRPr="001B4A02" w:rsidRDefault="002A5304" w:rsidP="002A5304">
      <w:pPr>
        <w:keepNext/>
        <w:ind w:left="0" w:firstLine="0"/>
        <w:rPr>
          <w:u w:val="single"/>
        </w:rPr>
      </w:pPr>
    </w:p>
    <w:p w14:paraId="62965E32" w14:textId="77777777" w:rsidR="002A5304" w:rsidRPr="001B4A02" w:rsidRDefault="00000000" w:rsidP="002A5304">
      <w:pPr>
        <w:ind w:left="0" w:firstLine="0"/>
      </w:pPr>
      <w:r w:rsidRPr="001B4A02">
        <w:t>Bezpečnost</w:t>
      </w:r>
      <w:r w:rsidR="002378E0">
        <w:t xml:space="preserve"> a </w:t>
      </w:r>
      <w:r w:rsidRPr="001B4A02">
        <w:t xml:space="preserve">účinnost přípravku Humira byla hodnocena v multicentrické, randomizované, dvojitě zaslepené studii u 46 pediatrických pacientů (ve věku 6 </w:t>
      </w:r>
      <w:r w:rsidRPr="001B4A02">
        <w:rPr>
          <w:shd w:val="clear" w:color="auto" w:fill="FFFFFF"/>
        </w:rPr>
        <w:t>až</w:t>
      </w:r>
      <w:r w:rsidRPr="001B4A02">
        <w:t xml:space="preserve"> 17 let) se středně těžkou entezopatickou artritidou. Pacienti byli randomizováni do skupiny dostávající buď 24</w:t>
      </w:r>
      <w:r w:rsidR="00883A75">
        <w:t> mg</w:t>
      </w:r>
      <w:r w:rsidRPr="001B4A02">
        <w:t>/m</w:t>
      </w:r>
      <w:r w:rsidRPr="001B4A02">
        <w:rPr>
          <w:vertAlign w:val="superscript"/>
        </w:rPr>
        <w:t>2</w:t>
      </w:r>
      <w:r w:rsidRPr="001B4A02">
        <w:t xml:space="preserve"> tělesného povrchu (BSA) přípravku Humira do maximální dávky 40</w:t>
      </w:r>
      <w:r w:rsidR="00883A75">
        <w:t> mg</w:t>
      </w:r>
      <w:r w:rsidRPr="001B4A02">
        <w:t>, nebo placebo každý druhý týden po dobu 12 týdnů. Po dvojitě zaslepeném období následovalo otevřené období (OL), během kterého pacienti dostávali 24</w:t>
      </w:r>
      <w:r w:rsidR="00883A75">
        <w:t> mg</w:t>
      </w:r>
      <w:r w:rsidRPr="001B4A02">
        <w:t>/m</w:t>
      </w:r>
      <w:r w:rsidRPr="001B4A02">
        <w:rPr>
          <w:vertAlign w:val="superscript"/>
        </w:rPr>
        <w:t>2</w:t>
      </w:r>
      <w:r w:rsidRPr="001B4A02">
        <w:t xml:space="preserve"> BSA přípravku Humira do maximální dávky 40</w:t>
      </w:r>
      <w:r w:rsidR="00883A75">
        <w:t> mg</w:t>
      </w:r>
      <w:r w:rsidRPr="001B4A02">
        <w:t xml:space="preserve"> každý druhý týden subkutánně až po dobu do maximálně 192 týdnů. Primárním cílovým parametrem byla procentuální změna v počtu aktivních kloubů s artritidou (otok nezpůsoben deformitou nebo klouby s úbytkem pohyblivosti plus bolest a/nebo citlivost) od počátku do týdne 12, které bylo dosaženo průměrným procentuálním snížením -62,6</w:t>
      </w:r>
      <w:r>
        <w:t> %</w:t>
      </w:r>
      <w:r w:rsidRPr="001B4A02">
        <w:t xml:space="preserve"> (střední procentuální změna -88,9</w:t>
      </w:r>
      <w:r>
        <w:t> %</w:t>
      </w:r>
      <w:r w:rsidRPr="001B4A02">
        <w:t>) u pacientů ve skupině s </w:t>
      </w:r>
      <w:r w:rsidRPr="001B4A02">
        <w:rPr>
          <w:szCs w:val="22"/>
        </w:rPr>
        <w:t xml:space="preserve">přípravkem </w:t>
      </w:r>
      <w:r w:rsidRPr="001B4A02">
        <w:t>Humira ve srovnání s -11,6</w:t>
      </w:r>
      <w:r>
        <w:t> %</w:t>
      </w:r>
      <w:r w:rsidRPr="001B4A02">
        <w:t xml:space="preserve"> (střední procentuální změna -50,0</w:t>
      </w:r>
      <w:r>
        <w:t> %</w:t>
      </w:r>
      <w:r w:rsidRPr="001B4A02">
        <w:t>) u pacientů ve skupině s placebem. Zlepšení v počtu aktivních kloubů s artritidou bylo během OL období do týdne 156 udrženo u 26 z 31 (84</w:t>
      </w:r>
      <w:r>
        <w:t> %</w:t>
      </w:r>
      <w:r w:rsidRPr="001B4A02">
        <w:t>) pacientů ve skupině s přípravkem Humira, kteří setrvávali ve studii. Ačkoli to nebylo statisticky významné, u většiny pacientů bylo prokázáno klinické zlepšení sekundárních cílových parametrů, jako počet míst s entesitidou, počet citlivých kloubů (TJC), počet oteklých kloubů (SJC), pediatrická ACR 50 odpověď</w:t>
      </w:r>
      <w:r w:rsidR="002378E0">
        <w:t xml:space="preserve"> a </w:t>
      </w:r>
      <w:r w:rsidRPr="001B4A02">
        <w:t>pediatrická ACR 70 odpověď.</w:t>
      </w:r>
    </w:p>
    <w:p w14:paraId="3DA87FCD" w14:textId="77777777" w:rsidR="002A5304" w:rsidRPr="001B4A02" w:rsidRDefault="002A5304" w:rsidP="002A5304">
      <w:pPr>
        <w:ind w:left="0" w:firstLine="0"/>
      </w:pPr>
    </w:p>
    <w:p w14:paraId="043BBAEF" w14:textId="77777777" w:rsidR="00BF09F2" w:rsidRPr="001B4A02" w:rsidRDefault="00000000" w:rsidP="00BF09F2">
      <w:pPr>
        <w:pStyle w:val="EMEANormal"/>
        <w:keepNext/>
        <w:tabs>
          <w:tab w:val="clear" w:pos="562"/>
        </w:tabs>
        <w:suppressAutoHyphens w:val="0"/>
        <w:rPr>
          <w:i/>
          <w:lang w:val="cs-CZ"/>
        </w:rPr>
      </w:pPr>
      <w:r w:rsidRPr="001B4A02">
        <w:rPr>
          <w:i/>
          <w:lang w:val="cs-CZ"/>
        </w:rPr>
        <w:t>Ložisková psoriáza u pediatrických pacientů</w:t>
      </w:r>
    </w:p>
    <w:p w14:paraId="027F260A" w14:textId="77777777" w:rsidR="00BF09F2" w:rsidRPr="001B4A02" w:rsidRDefault="00BF09F2" w:rsidP="00BF09F2">
      <w:pPr>
        <w:pStyle w:val="EMEANormal"/>
        <w:keepNext/>
        <w:tabs>
          <w:tab w:val="clear" w:pos="562"/>
        </w:tabs>
        <w:suppressAutoHyphens w:val="0"/>
        <w:rPr>
          <w:u w:val="single"/>
          <w:lang w:val="cs-CZ"/>
        </w:rPr>
      </w:pPr>
    </w:p>
    <w:p w14:paraId="62E2FE7C" w14:textId="77777777" w:rsidR="00BF09F2" w:rsidRPr="001B4A02" w:rsidRDefault="00000000" w:rsidP="00BF09F2">
      <w:pPr>
        <w:pStyle w:val="EMEANormal"/>
        <w:tabs>
          <w:tab w:val="clear" w:pos="562"/>
        </w:tabs>
        <w:suppressAutoHyphens w:val="0"/>
        <w:rPr>
          <w:szCs w:val="22"/>
          <w:lang w:val="cs-CZ"/>
        </w:rPr>
      </w:pPr>
      <w:r w:rsidRPr="001B4A02">
        <w:rPr>
          <w:lang w:val="cs-CZ"/>
        </w:rPr>
        <w:t>Účinnost přípravku Humira byla hodnocena v randomizované, dvojitě zaslepené, kontrolované studii u 114 pediatrických pacientů ve věku od 4 let s těžkou chronickou ložiskovou psoriázou (definovanou jako PGA</w:t>
      </w:r>
      <w:r w:rsidRPr="001B4A02">
        <w:rPr>
          <w:szCs w:val="22"/>
          <w:lang w:val="cs-CZ"/>
        </w:rPr>
        <w:t xml:space="preserve"> ≥ 4 nebo &gt; 20 % BSA nebo &gt; 10 % BSA s velmi tenkými lézemi nebo PASI ≥ 20 nebo ≥ 10 s klinicky relevantním postižením obličeje, genitálií nebo rukou/chodidel), kteří neadekvátně reagovali na lokální terapii</w:t>
      </w:r>
      <w:r w:rsidR="002378E0">
        <w:rPr>
          <w:szCs w:val="22"/>
          <w:lang w:val="cs-CZ"/>
        </w:rPr>
        <w:t xml:space="preserve"> a </w:t>
      </w:r>
      <w:r w:rsidRPr="001B4A02">
        <w:rPr>
          <w:szCs w:val="22"/>
          <w:lang w:val="cs-CZ"/>
        </w:rPr>
        <w:t>helioterapii nebo fototerapii.</w:t>
      </w:r>
    </w:p>
    <w:p w14:paraId="3949C560" w14:textId="77777777" w:rsidR="00BF09F2" w:rsidRPr="001B4A02" w:rsidRDefault="00BF09F2" w:rsidP="00BF09F2">
      <w:pPr>
        <w:pStyle w:val="EMEANormal"/>
        <w:tabs>
          <w:tab w:val="clear" w:pos="562"/>
        </w:tabs>
        <w:suppressAutoHyphens w:val="0"/>
        <w:rPr>
          <w:szCs w:val="22"/>
          <w:lang w:val="cs-CZ"/>
        </w:rPr>
      </w:pPr>
    </w:p>
    <w:p w14:paraId="5E25B4B0" w14:textId="77777777" w:rsidR="00BF09F2" w:rsidRPr="001B4A02" w:rsidRDefault="00000000" w:rsidP="00BF09F2">
      <w:pPr>
        <w:pStyle w:val="EMEANormal"/>
        <w:tabs>
          <w:tab w:val="clear" w:pos="562"/>
        </w:tabs>
        <w:suppressAutoHyphens w:val="0"/>
        <w:rPr>
          <w:szCs w:val="22"/>
          <w:lang w:val="cs-CZ"/>
        </w:rPr>
      </w:pPr>
      <w:r w:rsidRPr="001B4A02">
        <w:rPr>
          <w:szCs w:val="22"/>
          <w:lang w:val="cs-CZ"/>
        </w:rPr>
        <w:t>Pacienti dostávali přípravek Humira 0,8</w:t>
      </w:r>
      <w:r w:rsidR="00883A75">
        <w:rPr>
          <w:szCs w:val="22"/>
          <w:lang w:val="cs-CZ"/>
        </w:rPr>
        <w:t> mg</w:t>
      </w:r>
      <w:r w:rsidRPr="001B4A02">
        <w:rPr>
          <w:szCs w:val="22"/>
          <w:lang w:val="cs-CZ"/>
        </w:rPr>
        <w:t>/kg každý druhý týden (do maximální dávky 40</w:t>
      </w:r>
      <w:r w:rsidR="00883A75">
        <w:rPr>
          <w:szCs w:val="22"/>
          <w:lang w:val="cs-CZ"/>
        </w:rPr>
        <w:t> mg</w:t>
      </w:r>
      <w:r w:rsidRPr="001B4A02">
        <w:rPr>
          <w:szCs w:val="22"/>
          <w:lang w:val="cs-CZ"/>
        </w:rPr>
        <w:t>), 0,4</w:t>
      </w:r>
      <w:r w:rsidR="00883A75">
        <w:rPr>
          <w:szCs w:val="22"/>
          <w:lang w:val="cs-CZ"/>
        </w:rPr>
        <w:t> mg</w:t>
      </w:r>
      <w:r w:rsidRPr="001B4A02">
        <w:rPr>
          <w:szCs w:val="22"/>
          <w:lang w:val="cs-CZ"/>
        </w:rPr>
        <w:t>/kg každý druhý týden (do maximální dávky 20</w:t>
      </w:r>
      <w:r w:rsidR="00883A75">
        <w:rPr>
          <w:szCs w:val="22"/>
          <w:lang w:val="cs-CZ"/>
        </w:rPr>
        <w:t> mg</w:t>
      </w:r>
      <w:r w:rsidRPr="001B4A02">
        <w:rPr>
          <w:szCs w:val="22"/>
          <w:lang w:val="cs-CZ"/>
        </w:rPr>
        <w:t>) nebo methotrexát 0,1–0,4</w:t>
      </w:r>
      <w:r w:rsidR="00883A75">
        <w:rPr>
          <w:szCs w:val="22"/>
          <w:lang w:val="cs-CZ"/>
        </w:rPr>
        <w:t> mg</w:t>
      </w:r>
      <w:r w:rsidRPr="001B4A02">
        <w:rPr>
          <w:szCs w:val="22"/>
          <w:lang w:val="cs-CZ"/>
        </w:rPr>
        <w:t>/kg týdně (do maximální dávky 25</w:t>
      </w:r>
      <w:r w:rsidR="00883A75">
        <w:rPr>
          <w:szCs w:val="22"/>
          <w:lang w:val="cs-CZ"/>
        </w:rPr>
        <w:t> mg</w:t>
      </w:r>
      <w:r w:rsidRPr="001B4A02">
        <w:rPr>
          <w:szCs w:val="22"/>
          <w:lang w:val="cs-CZ"/>
        </w:rPr>
        <w:t>). V týdnu 16 dosáhlo pozitivní odpovědi týkající se účinnosti více pacientů randomizovaných do skupiny používající přípravek Humira v dávce 0,8</w:t>
      </w:r>
      <w:r w:rsidR="00883A75">
        <w:rPr>
          <w:szCs w:val="22"/>
          <w:lang w:val="cs-CZ"/>
        </w:rPr>
        <w:t> mg</w:t>
      </w:r>
      <w:r w:rsidRPr="001B4A02">
        <w:rPr>
          <w:szCs w:val="22"/>
          <w:lang w:val="cs-CZ"/>
        </w:rPr>
        <w:t>/kg (např. PASI 75) než pacienti, kteří byli randomizováni do skupiny používající 0,4</w:t>
      </w:r>
      <w:r w:rsidR="00883A75">
        <w:rPr>
          <w:szCs w:val="22"/>
          <w:lang w:val="cs-CZ"/>
        </w:rPr>
        <w:t> mg</w:t>
      </w:r>
      <w:r w:rsidRPr="001B4A02">
        <w:rPr>
          <w:szCs w:val="22"/>
          <w:lang w:val="cs-CZ"/>
        </w:rPr>
        <w:t>/kg každý druhý týden nebo methotrexát.</w:t>
      </w:r>
    </w:p>
    <w:p w14:paraId="6791A258" w14:textId="77777777" w:rsidR="00BF09F2" w:rsidRPr="001B4A02" w:rsidRDefault="00BF09F2" w:rsidP="00BF09F2">
      <w:pPr>
        <w:pStyle w:val="EMEANormal"/>
        <w:tabs>
          <w:tab w:val="clear" w:pos="562"/>
        </w:tabs>
        <w:suppressAutoHyphens w:val="0"/>
        <w:rPr>
          <w:szCs w:val="22"/>
          <w:lang w:val="cs-CZ"/>
        </w:rPr>
      </w:pPr>
    </w:p>
    <w:tbl>
      <w:tblPr>
        <w:tblW w:w="4721"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396"/>
        <w:gridCol w:w="1621"/>
        <w:gridCol w:w="3548"/>
      </w:tblGrid>
      <w:tr w:rsidR="00534A2D" w14:paraId="477CE4DB" w14:textId="77777777" w:rsidTr="00E571F5">
        <w:trPr>
          <w:jc w:val="center"/>
        </w:trPr>
        <w:tc>
          <w:tcPr>
            <w:tcW w:w="5000" w:type="pct"/>
            <w:gridSpan w:val="3"/>
            <w:tcBorders>
              <w:top w:val="nil"/>
              <w:left w:val="nil"/>
              <w:bottom w:val="nil"/>
              <w:right w:val="nil"/>
            </w:tcBorders>
            <w:vAlign w:val="center"/>
          </w:tcPr>
          <w:p w14:paraId="590E0513" w14:textId="77777777" w:rsidR="00BF09F2" w:rsidRPr="001B4A02" w:rsidRDefault="00000000" w:rsidP="00E571F5">
            <w:pPr>
              <w:keepNext/>
              <w:autoSpaceDE w:val="0"/>
              <w:autoSpaceDN w:val="0"/>
              <w:adjustRightInd w:val="0"/>
              <w:jc w:val="center"/>
              <w:rPr>
                <w:b/>
                <w:bCs/>
                <w:szCs w:val="22"/>
              </w:rPr>
            </w:pPr>
            <w:r w:rsidRPr="001B4A02">
              <w:rPr>
                <w:rStyle w:val="gtcbold9"/>
                <w:bCs w:val="0"/>
                <w:szCs w:val="22"/>
              </w:rPr>
              <w:t>Tabulka 1</w:t>
            </w:r>
            <w:r>
              <w:rPr>
                <w:rStyle w:val="gtcbold9"/>
                <w:bCs w:val="0"/>
                <w:szCs w:val="22"/>
              </w:rPr>
              <w:t>9</w:t>
            </w:r>
            <w:r w:rsidRPr="001B4A02">
              <w:rPr>
                <w:rStyle w:val="gtcbold9"/>
                <w:bCs w:val="0"/>
                <w:szCs w:val="22"/>
              </w:rPr>
              <w:t xml:space="preserve">: </w:t>
            </w:r>
            <w:r w:rsidRPr="001B4A02">
              <w:rPr>
                <w:b/>
                <w:bCs/>
                <w:szCs w:val="22"/>
              </w:rPr>
              <w:t>Výsledky účinnosti v týdnu 16 u ložiskové psoriázy u pediatrických pacientů</w:t>
            </w:r>
          </w:p>
          <w:p w14:paraId="09E59474" w14:textId="77777777" w:rsidR="00BF09F2" w:rsidRPr="001B4A02" w:rsidRDefault="00BF09F2" w:rsidP="00E571F5">
            <w:pPr>
              <w:keepNext/>
              <w:jc w:val="center"/>
              <w:rPr>
                <w:b/>
                <w:szCs w:val="22"/>
              </w:rPr>
            </w:pPr>
          </w:p>
        </w:tc>
      </w:tr>
      <w:tr w:rsidR="00534A2D" w14:paraId="2F10A852" w14:textId="77777777" w:rsidTr="00E571F5">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1D6480AD" w14:textId="77777777" w:rsidR="00BF09F2" w:rsidRPr="001B4A02" w:rsidRDefault="00BF09F2" w:rsidP="00E571F5">
            <w:pPr>
              <w:keepNext/>
              <w:rPr>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33A91B87" w14:textId="77777777" w:rsidR="00BF09F2" w:rsidRPr="001B4A02" w:rsidRDefault="00000000" w:rsidP="00E571F5">
            <w:pPr>
              <w:keepNext/>
              <w:ind w:left="0" w:firstLine="0"/>
              <w:jc w:val="center"/>
              <w:rPr>
                <w:szCs w:val="22"/>
              </w:rPr>
            </w:pPr>
            <w:r w:rsidRPr="001B4A02">
              <w:rPr>
                <w:szCs w:val="22"/>
              </w:rPr>
              <w:t>MTX</w:t>
            </w:r>
            <w:r w:rsidRPr="001B4A02">
              <w:rPr>
                <w:szCs w:val="22"/>
                <w:vertAlign w:val="superscript"/>
              </w:rPr>
              <w:t>a</w:t>
            </w:r>
          </w:p>
          <w:p w14:paraId="7991EA19" w14:textId="77777777" w:rsidR="00BF09F2" w:rsidRPr="001B4A02" w:rsidRDefault="00000000" w:rsidP="00E571F5">
            <w:pPr>
              <w:keepNext/>
              <w:ind w:left="0" w:firstLine="0"/>
              <w:jc w:val="center"/>
              <w:rPr>
                <w:szCs w:val="22"/>
              </w:rPr>
            </w:pPr>
            <w:r>
              <w:rPr>
                <w:szCs w:val="22"/>
              </w:rPr>
              <w:t>n</w:t>
            </w:r>
            <w:r w:rsidRPr="001B4A02">
              <w:rPr>
                <w:szCs w:val="22"/>
              </w:rPr>
              <w:t>=37</w:t>
            </w:r>
          </w:p>
        </w:tc>
        <w:tc>
          <w:tcPr>
            <w:tcW w:w="2071" w:type="pct"/>
            <w:tcBorders>
              <w:top w:val="single" w:sz="6" w:space="0" w:color="000000"/>
              <w:left w:val="single" w:sz="6" w:space="0" w:color="000000"/>
              <w:bottom w:val="outset" w:sz="6" w:space="0" w:color="auto"/>
              <w:right w:val="single" w:sz="6" w:space="0" w:color="000000"/>
            </w:tcBorders>
            <w:vAlign w:val="center"/>
          </w:tcPr>
          <w:p w14:paraId="6DCEBC09" w14:textId="77777777" w:rsidR="00BF09F2" w:rsidRPr="001B4A02" w:rsidRDefault="00000000" w:rsidP="00E571F5">
            <w:pPr>
              <w:keepNext/>
              <w:ind w:left="0" w:firstLine="0"/>
              <w:jc w:val="center"/>
              <w:rPr>
                <w:szCs w:val="22"/>
              </w:rPr>
            </w:pPr>
            <w:r w:rsidRPr="001B4A02">
              <w:rPr>
                <w:szCs w:val="22"/>
              </w:rPr>
              <w:t>Humira 0,8</w:t>
            </w:r>
            <w:r w:rsidR="00883A75">
              <w:rPr>
                <w:szCs w:val="22"/>
              </w:rPr>
              <w:t> mg</w:t>
            </w:r>
            <w:r w:rsidRPr="001B4A02">
              <w:rPr>
                <w:szCs w:val="22"/>
              </w:rPr>
              <w:t>/kg každý druhý týden</w:t>
            </w:r>
            <w:r w:rsidRPr="001B4A02">
              <w:rPr>
                <w:szCs w:val="22"/>
              </w:rPr>
              <w:br/>
            </w:r>
            <w:r>
              <w:rPr>
                <w:szCs w:val="22"/>
              </w:rPr>
              <w:t>n</w:t>
            </w:r>
            <w:r w:rsidRPr="001B4A02">
              <w:rPr>
                <w:szCs w:val="22"/>
              </w:rPr>
              <w:t xml:space="preserve">=38 </w:t>
            </w:r>
          </w:p>
        </w:tc>
      </w:tr>
      <w:tr w:rsidR="00534A2D" w14:paraId="024B5DB6" w14:textId="77777777" w:rsidTr="00E571F5">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2D161FCA" w14:textId="77777777" w:rsidR="00BF09F2" w:rsidRPr="001B4A02" w:rsidRDefault="00000000" w:rsidP="00E571F5">
            <w:pPr>
              <w:keepNext/>
              <w:rPr>
                <w:szCs w:val="22"/>
              </w:rPr>
            </w:pPr>
            <w:r w:rsidRPr="001B4A02">
              <w:rPr>
                <w:szCs w:val="22"/>
              </w:rPr>
              <w:t> </w:t>
            </w:r>
            <w:r w:rsidRPr="001B4A02">
              <w:rPr>
                <w:szCs w:val="22"/>
              </w:rPr>
              <w:t>PASI 75</w:t>
            </w:r>
            <w:r w:rsidRPr="001B4A02">
              <w:rPr>
                <w:szCs w:val="22"/>
                <w:vertAlign w:val="superscript"/>
              </w:rPr>
              <w:t>b</w:t>
            </w:r>
          </w:p>
        </w:tc>
        <w:tc>
          <w:tcPr>
            <w:tcW w:w="0" w:type="auto"/>
            <w:tcBorders>
              <w:top w:val="single" w:sz="6" w:space="0" w:color="000000"/>
              <w:left w:val="single" w:sz="6" w:space="0" w:color="000000"/>
              <w:bottom w:val="outset" w:sz="6" w:space="0" w:color="auto"/>
              <w:right w:val="outset" w:sz="6" w:space="0" w:color="auto"/>
            </w:tcBorders>
            <w:vAlign w:val="center"/>
          </w:tcPr>
          <w:p w14:paraId="44CE6598" w14:textId="77777777" w:rsidR="00BF09F2" w:rsidRPr="001B4A02" w:rsidRDefault="00000000" w:rsidP="00E571F5">
            <w:pPr>
              <w:keepNext/>
              <w:ind w:left="0" w:firstLine="0"/>
              <w:jc w:val="center"/>
              <w:rPr>
                <w:szCs w:val="22"/>
              </w:rPr>
            </w:pPr>
            <w:r w:rsidRPr="001B4A02">
              <w:rPr>
                <w:szCs w:val="22"/>
              </w:rPr>
              <w:t>12 (32,4 %)</w:t>
            </w:r>
          </w:p>
        </w:tc>
        <w:tc>
          <w:tcPr>
            <w:tcW w:w="2071" w:type="pct"/>
            <w:tcBorders>
              <w:top w:val="single" w:sz="6" w:space="0" w:color="000000"/>
              <w:left w:val="single" w:sz="6" w:space="0" w:color="000000"/>
              <w:bottom w:val="outset" w:sz="6" w:space="0" w:color="auto"/>
              <w:right w:val="single" w:sz="6" w:space="0" w:color="000000"/>
            </w:tcBorders>
            <w:vAlign w:val="center"/>
          </w:tcPr>
          <w:p w14:paraId="3D1C508F" w14:textId="77777777" w:rsidR="00BF09F2" w:rsidRPr="001B4A02" w:rsidRDefault="00000000" w:rsidP="00E571F5">
            <w:pPr>
              <w:keepNext/>
              <w:ind w:left="0" w:firstLine="0"/>
              <w:jc w:val="center"/>
              <w:rPr>
                <w:szCs w:val="22"/>
              </w:rPr>
            </w:pPr>
            <w:r w:rsidRPr="001B4A02">
              <w:rPr>
                <w:szCs w:val="22"/>
              </w:rPr>
              <w:t>22 (57,9 %)</w:t>
            </w:r>
          </w:p>
        </w:tc>
      </w:tr>
      <w:tr w:rsidR="00534A2D" w14:paraId="2D7E2F10" w14:textId="77777777" w:rsidTr="00E571F5">
        <w:trPr>
          <w:jc w:val="center"/>
        </w:trPr>
        <w:tc>
          <w:tcPr>
            <w:tcW w:w="0" w:type="auto"/>
            <w:tcBorders>
              <w:top w:val="single" w:sz="6" w:space="0" w:color="000000"/>
              <w:left w:val="single" w:sz="6" w:space="0" w:color="000000"/>
              <w:bottom w:val="single" w:sz="6" w:space="0" w:color="000000"/>
              <w:right w:val="outset" w:sz="6" w:space="0" w:color="auto"/>
            </w:tcBorders>
            <w:vAlign w:val="center"/>
          </w:tcPr>
          <w:p w14:paraId="2056C7D7" w14:textId="77777777" w:rsidR="00BF09F2" w:rsidRPr="001B4A02" w:rsidRDefault="00000000" w:rsidP="00E571F5">
            <w:pPr>
              <w:keepNext/>
              <w:rPr>
                <w:szCs w:val="22"/>
              </w:rPr>
            </w:pPr>
            <w:r w:rsidRPr="001B4A02">
              <w:rPr>
                <w:szCs w:val="22"/>
              </w:rPr>
              <w:t> </w:t>
            </w:r>
            <w:r w:rsidRPr="001B4A02">
              <w:rPr>
                <w:szCs w:val="22"/>
              </w:rPr>
              <w:t>PGA: čistý/minimální</w:t>
            </w:r>
            <w:r w:rsidRPr="001B4A02">
              <w:rPr>
                <w:szCs w:val="22"/>
                <w:vertAlign w:val="superscript"/>
              </w:rPr>
              <w:t>c</w:t>
            </w:r>
          </w:p>
        </w:tc>
        <w:tc>
          <w:tcPr>
            <w:tcW w:w="0" w:type="auto"/>
            <w:tcBorders>
              <w:top w:val="single" w:sz="6" w:space="0" w:color="000000"/>
              <w:left w:val="single" w:sz="6" w:space="0" w:color="000000"/>
              <w:bottom w:val="single" w:sz="6" w:space="0" w:color="000000"/>
              <w:right w:val="outset" w:sz="6" w:space="0" w:color="auto"/>
            </w:tcBorders>
            <w:vAlign w:val="center"/>
          </w:tcPr>
          <w:p w14:paraId="3C3D49D7" w14:textId="77777777" w:rsidR="00BF09F2" w:rsidRPr="001B4A02" w:rsidRDefault="00000000" w:rsidP="00E571F5">
            <w:pPr>
              <w:keepNext/>
              <w:ind w:left="0" w:firstLine="0"/>
              <w:jc w:val="center"/>
              <w:rPr>
                <w:szCs w:val="22"/>
              </w:rPr>
            </w:pPr>
            <w:r w:rsidRPr="001B4A02">
              <w:rPr>
                <w:szCs w:val="22"/>
              </w:rPr>
              <w:t>15 (40,5 %)</w:t>
            </w:r>
          </w:p>
        </w:tc>
        <w:tc>
          <w:tcPr>
            <w:tcW w:w="2071" w:type="pct"/>
            <w:tcBorders>
              <w:top w:val="single" w:sz="6" w:space="0" w:color="000000"/>
              <w:left w:val="single" w:sz="6" w:space="0" w:color="000000"/>
              <w:bottom w:val="single" w:sz="6" w:space="0" w:color="000000"/>
              <w:right w:val="single" w:sz="6" w:space="0" w:color="000000"/>
            </w:tcBorders>
            <w:vAlign w:val="center"/>
          </w:tcPr>
          <w:p w14:paraId="16469992" w14:textId="77777777" w:rsidR="00BF09F2" w:rsidRPr="001B4A02" w:rsidRDefault="00000000" w:rsidP="00E571F5">
            <w:pPr>
              <w:keepNext/>
              <w:ind w:left="0" w:firstLine="0"/>
              <w:jc w:val="center"/>
              <w:rPr>
                <w:szCs w:val="22"/>
              </w:rPr>
            </w:pPr>
            <w:r w:rsidRPr="001B4A02">
              <w:rPr>
                <w:szCs w:val="22"/>
              </w:rPr>
              <w:t>23 (60,5 %)</w:t>
            </w:r>
          </w:p>
        </w:tc>
      </w:tr>
      <w:tr w:rsidR="00534A2D" w14:paraId="440690C5" w14:textId="77777777" w:rsidTr="00E571F5">
        <w:trPr>
          <w:jc w:val="center"/>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5CE0350E" w14:textId="77777777" w:rsidR="00BF09F2" w:rsidRPr="001B4A02" w:rsidRDefault="00000000" w:rsidP="00E571F5">
            <w:pPr>
              <w:keepNext/>
              <w:rPr>
                <w:szCs w:val="22"/>
              </w:rPr>
            </w:pPr>
            <w:r w:rsidRPr="001B4A02">
              <w:rPr>
                <w:szCs w:val="22"/>
                <w:vertAlign w:val="superscript"/>
              </w:rPr>
              <w:t xml:space="preserve">a </w:t>
            </w:r>
            <w:r w:rsidRPr="001B4A02">
              <w:rPr>
                <w:szCs w:val="22"/>
              </w:rPr>
              <w:t>MTX = methotrexát</w:t>
            </w:r>
          </w:p>
          <w:p w14:paraId="2060356D" w14:textId="77777777" w:rsidR="00BF09F2" w:rsidRPr="001B4A02" w:rsidRDefault="00000000" w:rsidP="00E571F5">
            <w:pPr>
              <w:keepNext/>
              <w:rPr>
                <w:szCs w:val="22"/>
              </w:rPr>
            </w:pPr>
            <w:r w:rsidRPr="001B4A02">
              <w:rPr>
                <w:szCs w:val="22"/>
                <w:vertAlign w:val="superscript"/>
              </w:rPr>
              <w:t>b</w:t>
            </w:r>
            <w:r w:rsidRPr="001B4A02">
              <w:rPr>
                <w:szCs w:val="22"/>
              </w:rPr>
              <w:t xml:space="preserve"> P=0,027, přípravek</w:t>
            </w:r>
            <w:r w:rsidRPr="001B4A02">
              <w:rPr>
                <w:sz w:val="20"/>
              </w:rPr>
              <w:t xml:space="preserve"> </w:t>
            </w:r>
            <w:r w:rsidRPr="001B4A02">
              <w:rPr>
                <w:szCs w:val="22"/>
              </w:rPr>
              <w:t>Humira 0,8</w:t>
            </w:r>
            <w:r w:rsidR="00883A75">
              <w:rPr>
                <w:szCs w:val="22"/>
              </w:rPr>
              <w:t> mg</w:t>
            </w:r>
            <w:r w:rsidRPr="001B4A02">
              <w:rPr>
                <w:szCs w:val="22"/>
              </w:rPr>
              <w:t>/kg versus MTX</w:t>
            </w:r>
          </w:p>
          <w:p w14:paraId="25EE5A2F" w14:textId="77777777" w:rsidR="00BF09F2" w:rsidRPr="001B4A02" w:rsidRDefault="00000000" w:rsidP="00E571F5">
            <w:pPr>
              <w:keepNext/>
              <w:rPr>
                <w:szCs w:val="22"/>
              </w:rPr>
            </w:pPr>
            <w:r w:rsidRPr="001B4A02">
              <w:rPr>
                <w:szCs w:val="22"/>
                <w:vertAlign w:val="superscript"/>
              </w:rPr>
              <w:t>c</w:t>
            </w:r>
            <w:r w:rsidRPr="001B4A02">
              <w:rPr>
                <w:szCs w:val="22"/>
              </w:rPr>
              <w:t xml:space="preserve"> P=0,083, přípravek</w:t>
            </w:r>
            <w:r w:rsidRPr="001B4A02">
              <w:rPr>
                <w:sz w:val="20"/>
              </w:rPr>
              <w:t xml:space="preserve"> </w:t>
            </w:r>
            <w:r w:rsidRPr="001B4A02">
              <w:rPr>
                <w:szCs w:val="22"/>
              </w:rPr>
              <w:t>Humira 0,8</w:t>
            </w:r>
            <w:r w:rsidR="00883A75">
              <w:rPr>
                <w:szCs w:val="22"/>
              </w:rPr>
              <w:t> mg</w:t>
            </w:r>
            <w:r w:rsidRPr="001B4A02">
              <w:rPr>
                <w:szCs w:val="22"/>
              </w:rPr>
              <w:t>/kg versus MTX</w:t>
            </w:r>
          </w:p>
        </w:tc>
      </w:tr>
    </w:tbl>
    <w:p w14:paraId="4AECAB49" w14:textId="77777777" w:rsidR="00BF09F2" w:rsidRPr="001B4A02" w:rsidRDefault="00BF09F2" w:rsidP="00BF09F2">
      <w:pPr>
        <w:pStyle w:val="EMEANormal"/>
        <w:tabs>
          <w:tab w:val="clear" w:pos="562"/>
        </w:tabs>
        <w:suppressAutoHyphens w:val="0"/>
        <w:rPr>
          <w:lang w:val="cs-CZ"/>
        </w:rPr>
      </w:pPr>
    </w:p>
    <w:p w14:paraId="7473E190" w14:textId="77777777" w:rsidR="00BF09F2" w:rsidRPr="001B4A02" w:rsidRDefault="00000000" w:rsidP="00BF09F2">
      <w:pPr>
        <w:pStyle w:val="EMEANormal"/>
        <w:tabs>
          <w:tab w:val="clear" w:pos="562"/>
        </w:tabs>
        <w:suppressAutoHyphens w:val="0"/>
        <w:rPr>
          <w:lang w:val="cs-CZ"/>
        </w:rPr>
      </w:pPr>
      <w:r w:rsidRPr="001B4A02">
        <w:rPr>
          <w:lang w:val="cs-CZ"/>
        </w:rPr>
        <w:t>Pacienti, kteří dosáhli skóre PASI 75</w:t>
      </w:r>
      <w:r w:rsidR="002378E0">
        <w:rPr>
          <w:lang w:val="cs-CZ"/>
        </w:rPr>
        <w:t xml:space="preserve"> a </w:t>
      </w:r>
      <w:r w:rsidRPr="001B4A02">
        <w:rPr>
          <w:lang w:val="cs-CZ"/>
        </w:rPr>
        <w:t>PGA čisté nebo minimální, byli z léčby vyřazeni na dobu do 36 týdnů</w:t>
      </w:r>
      <w:r w:rsidR="002378E0">
        <w:rPr>
          <w:lang w:val="cs-CZ"/>
        </w:rPr>
        <w:t xml:space="preserve"> a </w:t>
      </w:r>
      <w:r w:rsidRPr="001B4A02">
        <w:rPr>
          <w:lang w:val="cs-CZ"/>
        </w:rPr>
        <w:t>monitorováni kvůli „ztrátě kontroly nad nemocí“ (tj. zhoršení PGA skóre nejméně o 2 stupně). Pacientům byl poté znovu nasazen adalimumab 0,8</w:t>
      </w:r>
      <w:r w:rsidR="00883A75">
        <w:rPr>
          <w:lang w:val="cs-CZ"/>
        </w:rPr>
        <w:t> mg</w:t>
      </w:r>
      <w:r w:rsidRPr="001B4A02">
        <w:rPr>
          <w:lang w:val="cs-CZ"/>
        </w:rPr>
        <w:t>/kg každý druhý týden po dobu dalších 16 týdnů</w:t>
      </w:r>
      <w:r w:rsidR="002378E0">
        <w:rPr>
          <w:lang w:val="cs-CZ"/>
        </w:rPr>
        <w:t xml:space="preserve"> a </w:t>
      </w:r>
      <w:r w:rsidRPr="001B4A02">
        <w:rPr>
          <w:lang w:val="cs-CZ"/>
        </w:rPr>
        <w:t>odpovědi na léčbu pozorované během opětovné léčby byly podobné jako v předchozí dvojitě zaslepené fázi: odpověď PASI 75 byla u 78,9 % (15 z 19 subjektů)</w:t>
      </w:r>
      <w:r w:rsidR="002378E0">
        <w:rPr>
          <w:lang w:val="cs-CZ"/>
        </w:rPr>
        <w:t xml:space="preserve"> a </w:t>
      </w:r>
      <w:r w:rsidRPr="001B4A02">
        <w:rPr>
          <w:lang w:val="cs-CZ"/>
        </w:rPr>
        <w:t>PGA čisté nebo minimální u 52,6 % (10 z 19 subjektů).</w:t>
      </w:r>
    </w:p>
    <w:p w14:paraId="1CA14D8C" w14:textId="77777777" w:rsidR="00BF09F2" w:rsidRPr="001B4A02" w:rsidRDefault="00BF09F2" w:rsidP="00BF09F2">
      <w:pPr>
        <w:pStyle w:val="EMEANormal"/>
        <w:tabs>
          <w:tab w:val="clear" w:pos="562"/>
        </w:tabs>
        <w:suppressAutoHyphens w:val="0"/>
        <w:rPr>
          <w:lang w:val="cs-CZ"/>
        </w:rPr>
      </w:pPr>
    </w:p>
    <w:p w14:paraId="7328ADA0" w14:textId="77777777" w:rsidR="00BF09F2" w:rsidRPr="001B4A02" w:rsidRDefault="00000000" w:rsidP="00BF09F2">
      <w:pPr>
        <w:pStyle w:val="EMEANormal"/>
        <w:tabs>
          <w:tab w:val="clear" w:pos="562"/>
        </w:tabs>
        <w:suppressAutoHyphens w:val="0"/>
        <w:rPr>
          <w:lang w:val="cs-CZ"/>
        </w:rPr>
      </w:pPr>
      <w:r w:rsidRPr="001B4A02">
        <w:rPr>
          <w:lang w:val="cs-CZ"/>
        </w:rPr>
        <w:t>V otevřené fázi studie byly odpovědi PASI 75</w:t>
      </w:r>
      <w:r w:rsidR="002378E0">
        <w:rPr>
          <w:lang w:val="cs-CZ"/>
        </w:rPr>
        <w:t xml:space="preserve"> a </w:t>
      </w:r>
      <w:r w:rsidRPr="001B4A02">
        <w:rPr>
          <w:lang w:val="cs-CZ"/>
        </w:rPr>
        <w:t>PGA čisté nebo minimální udrženy až po dobu dalších 52 týdnů s žádnými novými bezpečnostními nálezy.</w:t>
      </w:r>
    </w:p>
    <w:p w14:paraId="7A99D50C" w14:textId="77777777" w:rsidR="00BF09F2" w:rsidRPr="001B4A02" w:rsidRDefault="00BF09F2" w:rsidP="00BF09F2">
      <w:pPr>
        <w:pStyle w:val="EMEANormal"/>
        <w:tabs>
          <w:tab w:val="clear" w:pos="562"/>
        </w:tabs>
        <w:suppressAutoHyphens w:val="0"/>
        <w:rPr>
          <w:lang w:val="cs-CZ"/>
        </w:rPr>
      </w:pPr>
    </w:p>
    <w:p w14:paraId="7A8F2C5C" w14:textId="77777777" w:rsidR="00BF09F2" w:rsidRPr="001B4A02" w:rsidRDefault="00000000" w:rsidP="00BF09F2">
      <w:pPr>
        <w:keepNext/>
        <w:ind w:left="0" w:firstLine="0"/>
        <w:rPr>
          <w:i/>
        </w:rPr>
      </w:pPr>
      <w:r w:rsidRPr="001B4A02">
        <w:rPr>
          <w:i/>
        </w:rPr>
        <w:t>Crohnova choroba u pediatrických pacientů</w:t>
      </w:r>
    </w:p>
    <w:p w14:paraId="61A5C120" w14:textId="77777777" w:rsidR="00BF09F2" w:rsidRPr="001B4A02" w:rsidRDefault="00BF09F2" w:rsidP="00BF09F2">
      <w:pPr>
        <w:keepNext/>
        <w:ind w:left="0" w:firstLine="0"/>
      </w:pPr>
    </w:p>
    <w:p w14:paraId="2EEEE4A2" w14:textId="77777777" w:rsidR="00BF09F2" w:rsidRPr="001B4A02" w:rsidRDefault="00000000" w:rsidP="00BF09F2">
      <w:pPr>
        <w:ind w:left="0" w:firstLine="0"/>
      </w:pPr>
      <w:r w:rsidRPr="001B4A02">
        <w:t>Přípravek Humira byl hodnocen v multicentrické, randomizované, dvojitě zaslepené klinické studii, zaměřené na hodnocení účinnosti</w:t>
      </w:r>
      <w:r w:rsidR="002378E0">
        <w:t xml:space="preserve"> a </w:t>
      </w:r>
      <w:r w:rsidRPr="001B4A02">
        <w:t>bezpečnosti úvodní</w:t>
      </w:r>
      <w:r w:rsidR="002378E0">
        <w:t xml:space="preserve"> a </w:t>
      </w:r>
      <w:r w:rsidRPr="001B4A02">
        <w:t>udržovací léčby s dávkováním v závislosti na tělesné hmotnosti (&lt; 40</w:t>
      </w:r>
      <w:r w:rsidR="002767FC">
        <w:t> kg</w:t>
      </w:r>
      <w:r w:rsidRPr="001B4A02">
        <w:t xml:space="preserve"> nebo ≥ 40</w:t>
      </w:r>
      <w:r w:rsidR="002767FC">
        <w:t> kg</w:t>
      </w:r>
      <w:r w:rsidRPr="001B4A02">
        <w:t>) u 192 pediatrických subjektů ve věkovém roz</w:t>
      </w:r>
      <w:r>
        <w:t>m</w:t>
      </w:r>
      <w:r w:rsidRPr="001B4A02">
        <w:t>ezí 6 až 17 let (včetně) se středně těžkou až těžkou Crohnovou chorobou (</w:t>
      </w:r>
      <w:r w:rsidRPr="001B4A02">
        <w:rPr>
          <w:szCs w:val="22"/>
        </w:rPr>
        <w:t>Crohn's Disease</w:t>
      </w:r>
      <w:r w:rsidRPr="001B4A02">
        <w:t>, CD), definovanou pediatrickým indexem aktivity Crohnovy choroby (PCDAI) se skóre &gt; 3</w:t>
      </w:r>
      <w:r>
        <w:t>0</w:t>
      </w:r>
      <w:r w:rsidRPr="001B4A02">
        <w:t>. Subjekty musely splňovat tato kritéria: musela u nich selhat konvenční léčba Crohnovy choroby (včetně kortikosteroidů a/nebo imunomodulátorů). Dále u nich muselo dojít ke ztrátě odpovědi na léčbu, nebo netolerovaly infliximab.</w:t>
      </w:r>
    </w:p>
    <w:p w14:paraId="1DC5E5EF" w14:textId="77777777" w:rsidR="00BF09F2" w:rsidRPr="001B4A02" w:rsidRDefault="00BF09F2" w:rsidP="00BF09F2">
      <w:pPr>
        <w:ind w:left="0" w:firstLine="0"/>
      </w:pPr>
    </w:p>
    <w:p w14:paraId="4C12B573" w14:textId="77777777" w:rsidR="00BF09F2" w:rsidRPr="001B4A02" w:rsidRDefault="00000000" w:rsidP="00BF09F2">
      <w:pPr>
        <w:ind w:left="0" w:firstLine="0"/>
      </w:pPr>
      <w:r w:rsidRPr="001B4A02">
        <w:t>Všechny subjekty dostaly v otevřené fázi úvodní dávku v závislosti na jejich výchozí tělesné hmotnosti: 160</w:t>
      </w:r>
      <w:r w:rsidR="00883A75">
        <w:t> mg</w:t>
      </w:r>
      <w:r w:rsidRPr="001B4A02">
        <w:t xml:space="preserve"> v týdnu 0</w:t>
      </w:r>
      <w:r w:rsidR="002378E0">
        <w:t xml:space="preserve"> a </w:t>
      </w:r>
      <w:r w:rsidRPr="001B4A02">
        <w:t>80</w:t>
      </w:r>
      <w:r w:rsidR="002378E0">
        <w:t> </w:t>
      </w:r>
      <w:r w:rsidRPr="001B4A02">
        <w:t>mg v týdnu 2 u subjektů ≥</w:t>
      </w:r>
      <w:r w:rsidR="002378E0">
        <w:t> </w:t>
      </w:r>
      <w:r w:rsidRPr="001B4A02">
        <w:t>40</w:t>
      </w:r>
      <w:r w:rsidR="002767FC">
        <w:t> kg</w:t>
      </w:r>
      <w:r w:rsidR="002378E0">
        <w:t xml:space="preserve"> a </w:t>
      </w:r>
      <w:r w:rsidRPr="001B4A02">
        <w:t>80</w:t>
      </w:r>
      <w:r w:rsidR="002378E0">
        <w:t> </w:t>
      </w:r>
      <w:r w:rsidRPr="001B4A02">
        <w:t>mg v týdnu 0</w:t>
      </w:r>
      <w:r w:rsidR="002378E0">
        <w:t xml:space="preserve"> a </w:t>
      </w:r>
      <w:r w:rsidRPr="001B4A02">
        <w:t>40</w:t>
      </w:r>
      <w:r w:rsidR="002378E0">
        <w:t> </w:t>
      </w:r>
      <w:r w:rsidRPr="001B4A02">
        <w:t>mg v týdnu 2 u subjektů &lt;</w:t>
      </w:r>
      <w:r w:rsidR="002378E0">
        <w:t> </w:t>
      </w:r>
      <w:r w:rsidRPr="001B4A02">
        <w:t>40</w:t>
      </w:r>
      <w:r w:rsidR="002767FC">
        <w:t> kg</w:t>
      </w:r>
      <w:r w:rsidRPr="001B4A02">
        <w:t>.</w:t>
      </w:r>
    </w:p>
    <w:p w14:paraId="04C7DC64" w14:textId="77777777" w:rsidR="00BF09F2" w:rsidRPr="001B4A02" w:rsidRDefault="00BF09F2" w:rsidP="00BF09F2">
      <w:pPr>
        <w:ind w:left="0" w:firstLine="0"/>
      </w:pPr>
    </w:p>
    <w:p w14:paraId="025E931E" w14:textId="77777777" w:rsidR="00BF09F2" w:rsidRPr="001B4A02" w:rsidRDefault="00000000" w:rsidP="00BF09F2">
      <w:pPr>
        <w:ind w:left="0" w:firstLine="0"/>
      </w:pPr>
      <w:r w:rsidRPr="001B4A02">
        <w:t>V týdnu 4 byly subjekty randomizovány v poměru 1:1 v závislosti na jejich tělesné hmotnosti v daném čase</w:t>
      </w:r>
      <w:r w:rsidR="002378E0">
        <w:t xml:space="preserve"> a </w:t>
      </w:r>
      <w:r w:rsidRPr="001B4A02">
        <w:t xml:space="preserve">byla jim v režimu udržovací léčby podávána buď snížená dávka, nebo dávka standardní, jak je patrno v tabulce </w:t>
      </w:r>
      <w:r>
        <w:t>20</w:t>
      </w:r>
      <w:r w:rsidRPr="001B4A02">
        <w:t>.</w:t>
      </w:r>
    </w:p>
    <w:p w14:paraId="013E8E84" w14:textId="77777777" w:rsidR="00BF09F2" w:rsidRPr="001B4A02" w:rsidRDefault="00BF09F2" w:rsidP="00BF09F2">
      <w:pPr>
        <w:pStyle w:val="EMEANormal"/>
        <w:rPr>
          <w:lang w:val="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5"/>
        <w:gridCol w:w="2852"/>
        <w:gridCol w:w="2782"/>
      </w:tblGrid>
      <w:tr w:rsidR="00534A2D" w14:paraId="53920BE6" w14:textId="77777777" w:rsidTr="00E571F5">
        <w:trPr>
          <w:trHeight w:val="263"/>
          <w:jc w:val="center"/>
        </w:trPr>
        <w:tc>
          <w:tcPr>
            <w:tcW w:w="8739" w:type="dxa"/>
            <w:gridSpan w:val="3"/>
            <w:tcBorders>
              <w:top w:val="single" w:sz="4" w:space="0" w:color="auto"/>
              <w:left w:val="single" w:sz="4" w:space="0" w:color="auto"/>
              <w:bottom w:val="single" w:sz="4" w:space="0" w:color="auto"/>
              <w:right w:val="single" w:sz="4" w:space="0" w:color="auto"/>
            </w:tcBorders>
          </w:tcPr>
          <w:p w14:paraId="57EDFC4D" w14:textId="77777777" w:rsidR="00BF09F2" w:rsidRPr="001B4A02" w:rsidRDefault="00000000" w:rsidP="00E571F5">
            <w:pPr>
              <w:pStyle w:val="EMEANormal"/>
              <w:ind w:left="567" w:hanging="567"/>
              <w:jc w:val="center"/>
              <w:rPr>
                <w:b/>
                <w:szCs w:val="24"/>
                <w:lang w:val="cs-CZ"/>
              </w:rPr>
            </w:pPr>
            <w:r w:rsidRPr="001B4A02">
              <w:rPr>
                <w:b/>
                <w:szCs w:val="24"/>
                <w:lang w:val="cs-CZ"/>
              </w:rPr>
              <w:t xml:space="preserve">Tabulka </w:t>
            </w:r>
            <w:r>
              <w:rPr>
                <w:b/>
                <w:szCs w:val="24"/>
                <w:lang w:val="cs-CZ"/>
              </w:rPr>
              <w:t>20</w:t>
            </w:r>
          </w:p>
          <w:p w14:paraId="5FF4F619" w14:textId="77777777" w:rsidR="00BF09F2" w:rsidRPr="001B4A02" w:rsidRDefault="00000000" w:rsidP="00E571F5">
            <w:pPr>
              <w:pStyle w:val="EMEANormal"/>
              <w:ind w:left="567" w:hanging="567"/>
              <w:jc w:val="center"/>
              <w:rPr>
                <w:szCs w:val="24"/>
                <w:lang w:val="cs-CZ"/>
              </w:rPr>
            </w:pPr>
            <w:r w:rsidRPr="001B4A02">
              <w:rPr>
                <w:b/>
                <w:szCs w:val="24"/>
                <w:lang w:val="cs-CZ"/>
              </w:rPr>
              <w:t>Režim udržovací dávky</w:t>
            </w:r>
          </w:p>
        </w:tc>
      </w:tr>
      <w:tr w:rsidR="00534A2D" w14:paraId="484368B0" w14:textId="77777777" w:rsidTr="00E571F5">
        <w:trPr>
          <w:jc w:val="center"/>
        </w:trPr>
        <w:tc>
          <w:tcPr>
            <w:tcW w:w="3105" w:type="dxa"/>
            <w:tcBorders>
              <w:top w:val="single" w:sz="4" w:space="0" w:color="auto"/>
              <w:left w:val="single" w:sz="4" w:space="0" w:color="auto"/>
              <w:bottom w:val="single" w:sz="4" w:space="0" w:color="auto"/>
              <w:right w:val="single" w:sz="4" w:space="0" w:color="auto"/>
            </w:tcBorders>
          </w:tcPr>
          <w:p w14:paraId="24DF6932" w14:textId="77777777" w:rsidR="00BF09F2" w:rsidRPr="001B4A02" w:rsidRDefault="00000000" w:rsidP="00E571F5">
            <w:pPr>
              <w:pStyle w:val="EMEANormal"/>
              <w:rPr>
                <w:b/>
                <w:szCs w:val="24"/>
                <w:lang w:val="cs-CZ"/>
              </w:rPr>
            </w:pPr>
            <w:r w:rsidRPr="001B4A02">
              <w:rPr>
                <w:b/>
                <w:szCs w:val="24"/>
                <w:lang w:val="cs-CZ"/>
              </w:rPr>
              <w:t>Hmotnost pacienta</w:t>
            </w:r>
          </w:p>
        </w:tc>
        <w:tc>
          <w:tcPr>
            <w:tcW w:w="2852" w:type="dxa"/>
            <w:tcBorders>
              <w:top w:val="single" w:sz="4" w:space="0" w:color="auto"/>
              <w:left w:val="single" w:sz="4" w:space="0" w:color="auto"/>
              <w:bottom w:val="single" w:sz="4" w:space="0" w:color="auto"/>
              <w:right w:val="single" w:sz="4" w:space="0" w:color="auto"/>
            </w:tcBorders>
          </w:tcPr>
          <w:p w14:paraId="29D3798F" w14:textId="77777777" w:rsidR="00BF09F2" w:rsidRPr="001B4A02" w:rsidRDefault="00000000" w:rsidP="00E571F5">
            <w:pPr>
              <w:pStyle w:val="EMEANormal"/>
              <w:jc w:val="center"/>
              <w:rPr>
                <w:b/>
                <w:szCs w:val="24"/>
                <w:lang w:val="cs-CZ"/>
              </w:rPr>
            </w:pPr>
            <w:r w:rsidRPr="001B4A02">
              <w:rPr>
                <w:b/>
                <w:szCs w:val="24"/>
                <w:lang w:val="cs-CZ"/>
              </w:rPr>
              <w:t>Snížená dávka</w:t>
            </w:r>
          </w:p>
        </w:tc>
        <w:tc>
          <w:tcPr>
            <w:tcW w:w="2782" w:type="dxa"/>
            <w:tcBorders>
              <w:top w:val="single" w:sz="4" w:space="0" w:color="auto"/>
              <w:left w:val="single" w:sz="4" w:space="0" w:color="auto"/>
              <w:bottom w:val="single" w:sz="4" w:space="0" w:color="auto"/>
              <w:right w:val="single" w:sz="4" w:space="0" w:color="auto"/>
            </w:tcBorders>
          </w:tcPr>
          <w:p w14:paraId="30EB26FC" w14:textId="77777777" w:rsidR="00BF09F2" w:rsidRPr="001B4A02" w:rsidRDefault="00000000" w:rsidP="00E571F5">
            <w:pPr>
              <w:pStyle w:val="EMEANormal"/>
              <w:jc w:val="center"/>
              <w:rPr>
                <w:b/>
                <w:szCs w:val="24"/>
                <w:lang w:val="cs-CZ"/>
              </w:rPr>
            </w:pPr>
            <w:r w:rsidRPr="001B4A02">
              <w:rPr>
                <w:b/>
                <w:szCs w:val="24"/>
                <w:lang w:val="cs-CZ"/>
              </w:rPr>
              <w:t>Standardní dávka</w:t>
            </w:r>
          </w:p>
        </w:tc>
      </w:tr>
      <w:tr w:rsidR="00534A2D" w14:paraId="36D5863D" w14:textId="77777777" w:rsidTr="00E571F5">
        <w:trPr>
          <w:jc w:val="center"/>
        </w:trPr>
        <w:tc>
          <w:tcPr>
            <w:tcW w:w="3105" w:type="dxa"/>
            <w:tcBorders>
              <w:top w:val="single" w:sz="4" w:space="0" w:color="auto"/>
              <w:left w:val="single" w:sz="4" w:space="0" w:color="auto"/>
              <w:bottom w:val="single" w:sz="4" w:space="0" w:color="auto"/>
              <w:right w:val="single" w:sz="4" w:space="0" w:color="auto"/>
            </w:tcBorders>
          </w:tcPr>
          <w:p w14:paraId="5D140B4A" w14:textId="77777777" w:rsidR="00BF09F2" w:rsidRPr="001B4A02" w:rsidRDefault="00000000" w:rsidP="00E571F5">
            <w:pPr>
              <w:pStyle w:val="EMEANormal"/>
              <w:ind w:left="567" w:hanging="567"/>
              <w:jc w:val="center"/>
              <w:rPr>
                <w:szCs w:val="24"/>
                <w:lang w:val="cs-CZ"/>
              </w:rPr>
            </w:pPr>
            <w:r w:rsidRPr="001B4A02">
              <w:rPr>
                <w:szCs w:val="24"/>
                <w:lang w:val="cs-CZ"/>
              </w:rPr>
              <w:t>&lt; 40</w:t>
            </w:r>
            <w:r w:rsidR="002767FC">
              <w:rPr>
                <w:szCs w:val="24"/>
                <w:lang w:val="cs-CZ"/>
              </w:rPr>
              <w:t> kg</w:t>
            </w:r>
          </w:p>
        </w:tc>
        <w:tc>
          <w:tcPr>
            <w:tcW w:w="2852" w:type="dxa"/>
            <w:tcBorders>
              <w:top w:val="single" w:sz="4" w:space="0" w:color="auto"/>
              <w:left w:val="single" w:sz="4" w:space="0" w:color="auto"/>
              <w:bottom w:val="single" w:sz="4" w:space="0" w:color="auto"/>
              <w:right w:val="single" w:sz="4" w:space="0" w:color="auto"/>
            </w:tcBorders>
          </w:tcPr>
          <w:p w14:paraId="6502108A" w14:textId="77777777" w:rsidR="00BF09F2" w:rsidRPr="001B4A02" w:rsidRDefault="00000000" w:rsidP="00E571F5">
            <w:pPr>
              <w:pStyle w:val="EMEANormal"/>
              <w:jc w:val="center"/>
              <w:rPr>
                <w:szCs w:val="24"/>
                <w:lang w:val="cs-CZ"/>
              </w:rPr>
            </w:pPr>
            <w:r w:rsidRPr="001B4A02">
              <w:rPr>
                <w:szCs w:val="24"/>
                <w:lang w:val="cs-CZ"/>
              </w:rPr>
              <w:t>10</w:t>
            </w:r>
            <w:r w:rsidR="00883A75">
              <w:rPr>
                <w:szCs w:val="24"/>
                <w:lang w:val="cs-CZ"/>
              </w:rPr>
              <w:t> mg</w:t>
            </w:r>
            <w:r w:rsidRPr="001B4A02">
              <w:rPr>
                <w:szCs w:val="24"/>
                <w:lang w:val="cs-CZ"/>
              </w:rPr>
              <w:t xml:space="preserve"> každý druhý týden</w:t>
            </w:r>
          </w:p>
        </w:tc>
        <w:tc>
          <w:tcPr>
            <w:tcW w:w="2782" w:type="dxa"/>
            <w:tcBorders>
              <w:top w:val="single" w:sz="4" w:space="0" w:color="auto"/>
              <w:left w:val="single" w:sz="4" w:space="0" w:color="auto"/>
              <w:bottom w:val="single" w:sz="4" w:space="0" w:color="auto"/>
              <w:right w:val="single" w:sz="4" w:space="0" w:color="auto"/>
            </w:tcBorders>
          </w:tcPr>
          <w:p w14:paraId="1B41653D" w14:textId="77777777" w:rsidR="00BF09F2" w:rsidRPr="001B4A02" w:rsidRDefault="00000000" w:rsidP="00E571F5">
            <w:pPr>
              <w:pStyle w:val="EMEANormal"/>
              <w:ind w:left="567" w:hanging="567"/>
              <w:jc w:val="center"/>
              <w:rPr>
                <w:szCs w:val="24"/>
                <w:lang w:val="cs-CZ"/>
              </w:rPr>
            </w:pPr>
            <w:r w:rsidRPr="001B4A02">
              <w:rPr>
                <w:szCs w:val="24"/>
                <w:lang w:val="cs-CZ"/>
              </w:rPr>
              <w:t>20</w:t>
            </w:r>
            <w:r w:rsidR="00883A75">
              <w:rPr>
                <w:szCs w:val="24"/>
                <w:lang w:val="cs-CZ"/>
              </w:rPr>
              <w:t> mg</w:t>
            </w:r>
            <w:r w:rsidRPr="001B4A02">
              <w:rPr>
                <w:szCs w:val="24"/>
                <w:lang w:val="cs-CZ"/>
              </w:rPr>
              <w:t xml:space="preserve"> každý druhý týden</w:t>
            </w:r>
          </w:p>
        </w:tc>
      </w:tr>
      <w:tr w:rsidR="00534A2D" w14:paraId="286784F7" w14:textId="77777777" w:rsidTr="00E571F5">
        <w:trPr>
          <w:jc w:val="center"/>
        </w:trPr>
        <w:tc>
          <w:tcPr>
            <w:tcW w:w="3105" w:type="dxa"/>
            <w:tcBorders>
              <w:top w:val="single" w:sz="4" w:space="0" w:color="auto"/>
              <w:left w:val="single" w:sz="4" w:space="0" w:color="auto"/>
              <w:bottom w:val="single" w:sz="4" w:space="0" w:color="auto"/>
              <w:right w:val="single" w:sz="4" w:space="0" w:color="auto"/>
            </w:tcBorders>
          </w:tcPr>
          <w:p w14:paraId="388BAB07" w14:textId="77777777" w:rsidR="00BF09F2" w:rsidRPr="001B4A02" w:rsidRDefault="00000000" w:rsidP="00E571F5">
            <w:pPr>
              <w:pStyle w:val="EMEANormal"/>
              <w:ind w:left="567" w:hanging="567"/>
              <w:jc w:val="center"/>
              <w:rPr>
                <w:szCs w:val="24"/>
                <w:lang w:val="cs-CZ"/>
              </w:rPr>
            </w:pPr>
            <w:r w:rsidRPr="001B4A02">
              <w:rPr>
                <w:szCs w:val="24"/>
                <w:lang w:val="cs-CZ"/>
              </w:rPr>
              <w:t>≥ 40</w:t>
            </w:r>
            <w:r w:rsidR="002767FC">
              <w:rPr>
                <w:szCs w:val="24"/>
                <w:lang w:val="cs-CZ"/>
              </w:rPr>
              <w:t> kg</w:t>
            </w:r>
          </w:p>
        </w:tc>
        <w:tc>
          <w:tcPr>
            <w:tcW w:w="2852" w:type="dxa"/>
            <w:tcBorders>
              <w:top w:val="single" w:sz="4" w:space="0" w:color="auto"/>
              <w:left w:val="single" w:sz="4" w:space="0" w:color="auto"/>
              <w:bottom w:val="single" w:sz="4" w:space="0" w:color="auto"/>
              <w:right w:val="single" w:sz="4" w:space="0" w:color="auto"/>
            </w:tcBorders>
          </w:tcPr>
          <w:p w14:paraId="612CEF5A" w14:textId="77777777" w:rsidR="00BF09F2" w:rsidRPr="001B4A02" w:rsidRDefault="00000000" w:rsidP="00E571F5">
            <w:pPr>
              <w:pStyle w:val="EMEANormal"/>
              <w:jc w:val="center"/>
              <w:rPr>
                <w:szCs w:val="24"/>
                <w:lang w:val="cs-CZ"/>
              </w:rPr>
            </w:pPr>
            <w:r w:rsidRPr="001B4A02">
              <w:rPr>
                <w:szCs w:val="24"/>
                <w:lang w:val="cs-CZ"/>
              </w:rPr>
              <w:t>20</w:t>
            </w:r>
            <w:r w:rsidR="00883A75">
              <w:rPr>
                <w:szCs w:val="24"/>
                <w:lang w:val="cs-CZ"/>
              </w:rPr>
              <w:t> mg</w:t>
            </w:r>
            <w:r w:rsidRPr="001B4A02">
              <w:rPr>
                <w:szCs w:val="24"/>
                <w:lang w:val="cs-CZ"/>
              </w:rPr>
              <w:t xml:space="preserve"> každý druhý týden</w:t>
            </w:r>
          </w:p>
        </w:tc>
        <w:tc>
          <w:tcPr>
            <w:tcW w:w="2782" w:type="dxa"/>
            <w:tcBorders>
              <w:top w:val="single" w:sz="4" w:space="0" w:color="auto"/>
              <w:left w:val="single" w:sz="4" w:space="0" w:color="auto"/>
              <w:bottom w:val="single" w:sz="4" w:space="0" w:color="auto"/>
              <w:right w:val="single" w:sz="4" w:space="0" w:color="auto"/>
            </w:tcBorders>
          </w:tcPr>
          <w:p w14:paraId="13E7384C" w14:textId="77777777" w:rsidR="00BF09F2" w:rsidRPr="001B4A02" w:rsidRDefault="00000000" w:rsidP="00E571F5">
            <w:pPr>
              <w:pStyle w:val="EMEANormal"/>
              <w:ind w:left="567" w:hanging="567"/>
              <w:jc w:val="center"/>
              <w:rPr>
                <w:szCs w:val="24"/>
                <w:lang w:val="cs-CZ"/>
              </w:rPr>
            </w:pPr>
            <w:r w:rsidRPr="001B4A02">
              <w:rPr>
                <w:szCs w:val="24"/>
                <w:lang w:val="cs-CZ"/>
              </w:rPr>
              <w:t>40</w:t>
            </w:r>
            <w:r w:rsidR="00883A75">
              <w:rPr>
                <w:szCs w:val="24"/>
                <w:lang w:val="cs-CZ"/>
              </w:rPr>
              <w:t> mg</w:t>
            </w:r>
            <w:r w:rsidRPr="001B4A02">
              <w:rPr>
                <w:szCs w:val="24"/>
                <w:lang w:val="cs-CZ"/>
              </w:rPr>
              <w:t xml:space="preserve"> každý druhý týden</w:t>
            </w:r>
          </w:p>
        </w:tc>
      </w:tr>
    </w:tbl>
    <w:p w14:paraId="2664CAE7" w14:textId="77777777" w:rsidR="00BF09F2" w:rsidRPr="001B4A02" w:rsidRDefault="00BF09F2" w:rsidP="00BF09F2">
      <w:pPr>
        <w:pStyle w:val="EMEANormal"/>
        <w:rPr>
          <w:szCs w:val="24"/>
          <w:lang w:val="cs-CZ"/>
        </w:rPr>
      </w:pPr>
    </w:p>
    <w:p w14:paraId="03C8CB3A" w14:textId="77777777" w:rsidR="00BF09F2" w:rsidRPr="001B4A02" w:rsidRDefault="00000000" w:rsidP="00BF09F2">
      <w:pPr>
        <w:keepNext/>
        <w:ind w:left="0" w:firstLine="0"/>
        <w:rPr>
          <w:i/>
          <w:u w:val="single"/>
        </w:rPr>
      </w:pPr>
      <w:r w:rsidRPr="001B4A02">
        <w:rPr>
          <w:i/>
          <w:u w:val="single"/>
        </w:rPr>
        <w:t>Výsledky hodnocení účinnosti</w:t>
      </w:r>
    </w:p>
    <w:p w14:paraId="4929123D" w14:textId="77777777" w:rsidR="00BF09F2" w:rsidRPr="001B4A02" w:rsidRDefault="00BF09F2" w:rsidP="00BF09F2">
      <w:pPr>
        <w:keepNext/>
        <w:ind w:left="0" w:firstLine="0"/>
      </w:pPr>
    </w:p>
    <w:p w14:paraId="47AD8168" w14:textId="77777777" w:rsidR="00BF09F2" w:rsidRPr="001B4A02" w:rsidRDefault="00000000" w:rsidP="00BF09F2">
      <w:pPr>
        <w:ind w:left="0" w:firstLine="0"/>
      </w:pPr>
      <w:r w:rsidRPr="001B4A02">
        <w:t>Primárním cílem studie bylo dosažení klinické remise v týdnu 26, definované jako skóre PCDAI ≤ 10.</w:t>
      </w:r>
    </w:p>
    <w:p w14:paraId="664A450D" w14:textId="77777777" w:rsidR="00BF09F2" w:rsidRPr="001B4A02" w:rsidRDefault="00BF09F2" w:rsidP="00BF09F2">
      <w:pPr>
        <w:ind w:left="0" w:firstLine="0"/>
      </w:pPr>
    </w:p>
    <w:p w14:paraId="4A47EE7F" w14:textId="77777777" w:rsidR="00BF09F2" w:rsidRPr="001B4A02" w:rsidRDefault="00000000" w:rsidP="00BF09F2">
      <w:pPr>
        <w:ind w:left="0" w:firstLine="0"/>
      </w:pPr>
      <w:r w:rsidRPr="001B4A02">
        <w:t>Rozsah klinické remise</w:t>
      </w:r>
      <w:r w:rsidR="002378E0">
        <w:t xml:space="preserve"> a </w:t>
      </w:r>
      <w:r w:rsidRPr="001B4A02">
        <w:t xml:space="preserve">klinické odpovědi (definované jako snížení skóre PCDAI o minimálně 15 bodů v porovnání s výchozím stavem) je prezentován v tabulce </w:t>
      </w:r>
      <w:r>
        <w:t>21</w:t>
      </w:r>
      <w:r w:rsidRPr="001B4A02">
        <w:t xml:space="preserve">. Rozsah míry vysazení kortikosteroidů nebo imunomodulátorů je prezentován v tabulce </w:t>
      </w:r>
      <w:r>
        <w:t>22</w:t>
      </w:r>
      <w:r w:rsidRPr="001B4A02">
        <w:t>.</w:t>
      </w:r>
    </w:p>
    <w:p w14:paraId="449551C2" w14:textId="77777777" w:rsidR="00BF09F2" w:rsidRPr="001B4A02" w:rsidRDefault="00BF09F2" w:rsidP="00BF09F2">
      <w:pPr>
        <w:tabs>
          <w:tab w:val="left" w:pos="1294"/>
        </w:tabs>
        <w:autoSpaceDE w:val="0"/>
        <w:autoSpaceDN w:val="0"/>
        <w:adjustRightInd w:val="0"/>
        <w:rPr>
          <w:szCs w:val="22"/>
        </w:rPr>
      </w:pPr>
    </w:p>
    <w:tbl>
      <w:tblPr>
        <w:tblW w:w="0" w:type="auto"/>
        <w:jc w:val="center"/>
        <w:tblCellMar>
          <w:left w:w="0" w:type="dxa"/>
          <w:right w:w="0" w:type="dxa"/>
        </w:tblCellMar>
        <w:tblLook w:val="00A0" w:firstRow="1" w:lastRow="0" w:firstColumn="1" w:lastColumn="0" w:noHBand="0" w:noVBand="0"/>
      </w:tblPr>
      <w:tblGrid>
        <w:gridCol w:w="2654"/>
        <w:gridCol w:w="2450"/>
        <w:gridCol w:w="2409"/>
        <w:gridCol w:w="1420"/>
      </w:tblGrid>
      <w:tr w:rsidR="00534A2D" w14:paraId="7AC0E42B" w14:textId="77777777" w:rsidTr="00E571F5">
        <w:trPr>
          <w:jc w:val="center"/>
        </w:trPr>
        <w:tc>
          <w:tcPr>
            <w:tcW w:w="8933" w:type="dxa"/>
            <w:gridSpan w:val="4"/>
            <w:tcBorders>
              <w:top w:val="single" w:sz="6" w:space="0" w:color="000000"/>
              <w:left w:val="single" w:sz="6" w:space="0" w:color="000000"/>
              <w:bottom w:val="single" w:sz="6" w:space="0" w:color="000000"/>
              <w:right w:val="single" w:sz="6" w:space="0" w:color="000000"/>
            </w:tcBorders>
          </w:tcPr>
          <w:p w14:paraId="2F6E4E3A" w14:textId="77777777" w:rsidR="00BF09F2" w:rsidRPr="001B4A02" w:rsidRDefault="00000000" w:rsidP="00E571F5">
            <w:pPr>
              <w:tabs>
                <w:tab w:val="left" w:pos="-878"/>
              </w:tabs>
              <w:autoSpaceDE w:val="0"/>
              <w:autoSpaceDN w:val="0"/>
              <w:adjustRightInd w:val="0"/>
              <w:jc w:val="center"/>
              <w:rPr>
                <w:b/>
                <w:bCs/>
                <w:szCs w:val="22"/>
              </w:rPr>
            </w:pPr>
            <w:r w:rsidRPr="001B4A02">
              <w:rPr>
                <w:b/>
                <w:bCs/>
                <w:szCs w:val="22"/>
              </w:rPr>
              <w:t xml:space="preserve">Tabulka </w:t>
            </w:r>
            <w:r>
              <w:rPr>
                <w:b/>
                <w:bCs/>
                <w:szCs w:val="22"/>
              </w:rPr>
              <w:t>21</w:t>
            </w:r>
          </w:p>
          <w:p w14:paraId="35BBDD3D" w14:textId="77777777" w:rsidR="00BF09F2" w:rsidRPr="001B4A02" w:rsidRDefault="00000000" w:rsidP="00E571F5">
            <w:pPr>
              <w:tabs>
                <w:tab w:val="left" w:pos="-878"/>
              </w:tabs>
              <w:autoSpaceDE w:val="0"/>
              <w:autoSpaceDN w:val="0"/>
              <w:adjustRightInd w:val="0"/>
              <w:jc w:val="center"/>
              <w:rPr>
                <w:b/>
                <w:bCs/>
                <w:szCs w:val="22"/>
              </w:rPr>
            </w:pPr>
            <w:r w:rsidRPr="001B4A02">
              <w:rPr>
                <w:b/>
                <w:bCs/>
                <w:szCs w:val="22"/>
              </w:rPr>
              <w:t>Studie u pediatrických pacientů s Crohnovou chorobou</w:t>
            </w:r>
          </w:p>
          <w:p w14:paraId="032342A8" w14:textId="77777777" w:rsidR="00BF09F2" w:rsidRPr="001B4A02" w:rsidRDefault="00000000" w:rsidP="00E571F5">
            <w:pPr>
              <w:tabs>
                <w:tab w:val="left" w:pos="-878"/>
              </w:tabs>
              <w:autoSpaceDE w:val="0"/>
              <w:autoSpaceDN w:val="0"/>
              <w:adjustRightInd w:val="0"/>
              <w:jc w:val="center"/>
              <w:rPr>
                <w:b/>
                <w:bCs/>
                <w:szCs w:val="22"/>
              </w:rPr>
            </w:pPr>
            <w:r w:rsidRPr="001B4A02">
              <w:rPr>
                <w:b/>
                <w:bCs/>
                <w:szCs w:val="22"/>
              </w:rPr>
              <w:t>PCDAI klinická remise</w:t>
            </w:r>
            <w:r w:rsidR="002378E0">
              <w:rPr>
                <w:b/>
                <w:bCs/>
                <w:szCs w:val="22"/>
              </w:rPr>
              <w:t xml:space="preserve"> a </w:t>
            </w:r>
            <w:r w:rsidRPr="001B4A02">
              <w:rPr>
                <w:b/>
                <w:bCs/>
                <w:szCs w:val="22"/>
              </w:rPr>
              <w:t>odpověď</w:t>
            </w:r>
          </w:p>
        </w:tc>
      </w:tr>
      <w:tr w:rsidR="00534A2D" w14:paraId="06901DD7" w14:textId="77777777" w:rsidTr="00E571F5">
        <w:trPr>
          <w:jc w:val="center"/>
        </w:trPr>
        <w:tc>
          <w:tcPr>
            <w:tcW w:w="2654" w:type="dxa"/>
            <w:tcBorders>
              <w:top w:val="single" w:sz="6" w:space="0" w:color="000000"/>
              <w:left w:val="single" w:sz="6" w:space="0" w:color="000000"/>
              <w:bottom w:val="single" w:sz="6" w:space="0" w:color="000000"/>
              <w:right w:val="single" w:sz="6" w:space="0" w:color="000000"/>
            </w:tcBorders>
          </w:tcPr>
          <w:p w14:paraId="54FE4E37" w14:textId="77777777" w:rsidR="00BF09F2" w:rsidRPr="001B4A02" w:rsidRDefault="00BF09F2" w:rsidP="00E571F5">
            <w:pPr>
              <w:keepLines/>
              <w:tabs>
                <w:tab w:val="left" w:pos="-1080"/>
              </w:tabs>
              <w:autoSpaceDE w:val="0"/>
              <w:autoSpaceDN w:val="0"/>
              <w:adjustRightInd w:val="0"/>
              <w:jc w:val="center"/>
              <w:rPr>
                <w:b/>
                <w:bCs/>
                <w:szCs w:val="22"/>
              </w:rPr>
            </w:pPr>
          </w:p>
        </w:tc>
        <w:tc>
          <w:tcPr>
            <w:tcW w:w="2450" w:type="dxa"/>
            <w:tcBorders>
              <w:top w:val="single" w:sz="6" w:space="0" w:color="000000"/>
              <w:left w:val="single" w:sz="6" w:space="0" w:color="000000"/>
              <w:bottom w:val="single" w:sz="6" w:space="0" w:color="000000"/>
              <w:right w:val="single" w:sz="6" w:space="0" w:color="000000"/>
            </w:tcBorders>
          </w:tcPr>
          <w:p w14:paraId="3B0B89D8" w14:textId="77777777" w:rsidR="00BF09F2" w:rsidRPr="001B4A02" w:rsidRDefault="00000000" w:rsidP="00E571F5">
            <w:pPr>
              <w:keepLines/>
              <w:tabs>
                <w:tab w:val="left" w:pos="-1080"/>
              </w:tabs>
              <w:autoSpaceDE w:val="0"/>
              <w:autoSpaceDN w:val="0"/>
              <w:adjustRightInd w:val="0"/>
              <w:ind w:left="0" w:firstLine="0"/>
              <w:jc w:val="center"/>
              <w:rPr>
                <w:b/>
                <w:bCs/>
                <w:szCs w:val="22"/>
              </w:rPr>
            </w:pPr>
            <w:r w:rsidRPr="001B4A02">
              <w:rPr>
                <w:b/>
                <w:bCs/>
                <w:szCs w:val="22"/>
              </w:rPr>
              <w:t>Standardní dávka</w:t>
            </w:r>
          </w:p>
          <w:p w14:paraId="44B3F298" w14:textId="77777777" w:rsidR="00BF09F2" w:rsidRPr="001B4A02" w:rsidRDefault="00000000" w:rsidP="00E571F5">
            <w:pPr>
              <w:keepLines/>
              <w:tabs>
                <w:tab w:val="left" w:pos="-1080"/>
              </w:tabs>
              <w:autoSpaceDE w:val="0"/>
              <w:autoSpaceDN w:val="0"/>
              <w:adjustRightInd w:val="0"/>
              <w:ind w:left="0" w:firstLine="0"/>
              <w:jc w:val="center"/>
              <w:rPr>
                <w:b/>
                <w:bCs/>
                <w:szCs w:val="22"/>
              </w:rPr>
            </w:pPr>
            <w:r w:rsidRPr="001B4A02">
              <w:rPr>
                <w:b/>
                <w:bCs/>
                <w:szCs w:val="22"/>
              </w:rPr>
              <w:t>40/20</w:t>
            </w:r>
            <w:r w:rsidR="00883A75">
              <w:rPr>
                <w:b/>
                <w:bCs/>
                <w:szCs w:val="22"/>
              </w:rPr>
              <w:t> mg</w:t>
            </w:r>
          </w:p>
          <w:p w14:paraId="466E83DD" w14:textId="77777777" w:rsidR="00BF09F2" w:rsidRPr="001B4A02" w:rsidRDefault="00000000" w:rsidP="00E571F5">
            <w:pPr>
              <w:keepLines/>
              <w:tabs>
                <w:tab w:val="left" w:pos="-1080"/>
              </w:tabs>
              <w:autoSpaceDE w:val="0"/>
              <w:autoSpaceDN w:val="0"/>
              <w:adjustRightInd w:val="0"/>
              <w:ind w:left="0" w:firstLine="0"/>
              <w:jc w:val="center"/>
              <w:rPr>
                <w:b/>
                <w:bCs/>
                <w:szCs w:val="22"/>
              </w:rPr>
            </w:pPr>
            <w:r w:rsidRPr="001B4A02">
              <w:rPr>
                <w:b/>
                <w:bCs/>
                <w:szCs w:val="22"/>
              </w:rPr>
              <w:t>každý druhý týden</w:t>
            </w:r>
          </w:p>
          <w:p w14:paraId="18C59C8A" w14:textId="77777777" w:rsidR="00BF09F2" w:rsidRPr="001B4A02" w:rsidRDefault="00000000" w:rsidP="00E571F5">
            <w:pPr>
              <w:keepLines/>
              <w:tabs>
                <w:tab w:val="left" w:pos="-1080"/>
              </w:tabs>
              <w:autoSpaceDE w:val="0"/>
              <w:autoSpaceDN w:val="0"/>
              <w:adjustRightInd w:val="0"/>
              <w:ind w:left="0" w:firstLine="0"/>
              <w:jc w:val="center"/>
              <w:rPr>
                <w:b/>
                <w:bCs/>
                <w:szCs w:val="22"/>
              </w:rPr>
            </w:pPr>
            <w:r>
              <w:rPr>
                <w:b/>
                <w:bCs/>
                <w:szCs w:val="22"/>
              </w:rPr>
              <w:t>n</w:t>
            </w:r>
            <w:r w:rsidRPr="001B4A02">
              <w:rPr>
                <w:b/>
                <w:bCs/>
                <w:szCs w:val="22"/>
              </w:rPr>
              <w:t>=93</w:t>
            </w:r>
          </w:p>
        </w:tc>
        <w:tc>
          <w:tcPr>
            <w:tcW w:w="2409" w:type="dxa"/>
            <w:tcBorders>
              <w:top w:val="single" w:sz="6" w:space="0" w:color="000000"/>
              <w:left w:val="single" w:sz="6" w:space="0" w:color="000000"/>
              <w:bottom w:val="single" w:sz="6" w:space="0" w:color="000000"/>
              <w:right w:val="single" w:sz="6" w:space="0" w:color="000000"/>
            </w:tcBorders>
          </w:tcPr>
          <w:p w14:paraId="70131925" w14:textId="77777777" w:rsidR="00BF09F2" w:rsidRPr="001B4A02" w:rsidRDefault="00000000" w:rsidP="00E571F5">
            <w:pPr>
              <w:keepLines/>
              <w:tabs>
                <w:tab w:val="left" w:pos="-1080"/>
              </w:tabs>
              <w:autoSpaceDE w:val="0"/>
              <w:autoSpaceDN w:val="0"/>
              <w:adjustRightInd w:val="0"/>
              <w:ind w:left="0" w:firstLine="0"/>
              <w:jc w:val="center"/>
              <w:rPr>
                <w:b/>
                <w:bCs/>
                <w:szCs w:val="22"/>
              </w:rPr>
            </w:pPr>
            <w:r w:rsidRPr="001B4A02">
              <w:rPr>
                <w:b/>
                <w:bCs/>
                <w:szCs w:val="22"/>
              </w:rPr>
              <w:t>Snížená dávka</w:t>
            </w:r>
          </w:p>
          <w:p w14:paraId="27B8976E" w14:textId="77777777" w:rsidR="00BF09F2" w:rsidRPr="001B4A02" w:rsidRDefault="00000000" w:rsidP="00E571F5">
            <w:pPr>
              <w:keepLines/>
              <w:tabs>
                <w:tab w:val="left" w:pos="-1080"/>
              </w:tabs>
              <w:autoSpaceDE w:val="0"/>
              <w:autoSpaceDN w:val="0"/>
              <w:adjustRightInd w:val="0"/>
              <w:ind w:left="0" w:firstLine="0"/>
              <w:jc w:val="center"/>
              <w:rPr>
                <w:b/>
                <w:bCs/>
                <w:szCs w:val="22"/>
              </w:rPr>
            </w:pPr>
            <w:r w:rsidRPr="001B4A02">
              <w:rPr>
                <w:b/>
                <w:bCs/>
                <w:szCs w:val="22"/>
              </w:rPr>
              <w:t>20/10</w:t>
            </w:r>
            <w:r w:rsidR="00883A75">
              <w:rPr>
                <w:b/>
                <w:bCs/>
                <w:szCs w:val="22"/>
              </w:rPr>
              <w:t> mg</w:t>
            </w:r>
          </w:p>
          <w:p w14:paraId="6F961B85" w14:textId="77777777" w:rsidR="00BF09F2" w:rsidRPr="001B4A02" w:rsidRDefault="00000000" w:rsidP="00E571F5">
            <w:pPr>
              <w:keepLines/>
              <w:tabs>
                <w:tab w:val="left" w:pos="-1080"/>
              </w:tabs>
              <w:autoSpaceDE w:val="0"/>
              <w:autoSpaceDN w:val="0"/>
              <w:adjustRightInd w:val="0"/>
              <w:ind w:left="0" w:firstLine="0"/>
              <w:jc w:val="center"/>
              <w:rPr>
                <w:b/>
                <w:bCs/>
                <w:szCs w:val="22"/>
              </w:rPr>
            </w:pPr>
            <w:r w:rsidRPr="001B4A02">
              <w:rPr>
                <w:b/>
                <w:bCs/>
                <w:szCs w:val="22"/>
              </w:rPr>
              <w:t>každý druhý týden</w:t>
            </w:r>
          </w:p>
          <w:p w14:paraId="6CAA9EDF" w14:textId="77777777" w:rsidR="00BF09F2" w:rsidRPr="001B4A02" w:rsidRDefault="00000000" w:rsidP="00E571F5">
            <w:pPr>
              <w:keepLines/>
              <w:tabs>
                <w:tab w:val="left" w:pos="-1080"/>
              </w:tabs>
              <w:autoSpaceDE w:val="0"/>
              <w:autoSpaceDN w:val="0"/>
              <w:adjustRightInd w:val="0"/>
              <w:ind w:left="0" w:firstLine="0"/>
              <w:jc w:val="center"/>
              <w:rPr>
                <w:b/>
                <w:bCs/>
                <w:szCs w:val="22"/>
              </w:rPr>
            </w:pPr>
            <w:r>
              <w:rPr>
                <w:b/>
                <w:bCs/>
                <w:szCs w:val="22"/>
              </w:rPr>
              <w:t>n</w:t>
            </w:r>
            <w:r w:rsidRPr="001B4A02">
              <w:rPr>
                <w:b/>
                <w:bCs/>
                <w:szCs w:val="22"/>
              </w:rPr>
              <w:t>=9</w:t>
            </w:r>
            <w:r>
              <w:rPr>
                <w:b/>
                <w:bCs/>
                <w:szCs w:val="22"/>
              </w:rPr>
              <w:t>5</w:t>
            </w:r>
          </w:p>
        </w:tc>
        <w:tc>
          <w:tcPr>
            <w:tcW w:w="1420" w:type="dxa"/>
            <w:tcBorders>
              <w:top w:val="single" w:sz="6" w:space="0" w:color="000000"/>
              <w:left w:val="single" w:sz="6" w:space="0" w:color="000000"/>
              <w:bottom w:val="single" w:sz="6" w:space="0" w:color="000000"/>
              <w:right w:val="single" w:sz="6" w:space="0" w:color="000000"/>
            </w:tcBorders>
          </w:tcPr>
          <w:p w14:paraId="689DBE08" w14:textId="77777777" w:rsidR="00BF09F2" w:rsidRPr="001B4A02" w:rsidRDefault="00000000" w:rsidP="00E571F5">
            <w:pPr>
              <w:keepLines/>
              <w:tabs>
                <w:tab w:val="left" w:pos="-1080"/>
              </w:tabs>
              <w:autoSpaceDE w:val="0"/>
              <w:autoSpaceDN w:val="0"/>
              <w:adjustRightInd w:val="0"/>
              <w:ind w:left="0" w:firstLine="0"/>
              <w:jc w:val="center"/>
              <w:rPr>
                <w:b/>
                <w:bCs/>
                <w:szCs w:val="22"/>
              </w:rPr>
            </w:pPr>
            <w:r w:rsidRPr="001B4A02">
              <w:rPr>
                <w:b/>
                <w:bCs/>
                <w:szCs w:val="22"/>
              </w:rPr>
              <w:t>P hodnota*</w:t>
            </w:r>
          </w:p>
        </w:tc>
      </w:tr>
      <w:tr w:rsidR="00534A2D" w14:paraId="567241FB" w14:textId="77777777" w:rsidTr="00E571F5">
        <w:trPr>
          <w:jc w:val="center"/>
        </w:trPr>
        <w:tc>
          <w:tcPr>
            <w:tcW w:w="2654" w:type="dxa"/>
            <w:tcBorders>
              <w:top w:val="single" w:sz="6" w:space="0" w:color="000000"/>
              <w:left w:val="single" w:sz="6" w:space="0" w:color="000000"/>
              <w:bottom w:val="single" w:sz="6" w:space="0" w:color="000000"/>
              <w:right w:val="single" w:sz="6" w:space="0" w:color="000000"/>
            </w:tcBorders>
            <w:vAlign w:val="bottom"/>
          </w:tcPr>
          <w:p w14:paraId="61D567EB" w14:textId="77777777" w:rsidR="00BF09F2" w:rsidRPr="001B4A02" w:rsidRDefault="00000000" w:rsidP="00E571F5">
            <w:pPr>
              <w:keepLines/>
              <w:tabs>
                <w:tab w:val="left" w:pos="-1080"/>
              </w:tabs>
              <w:autoSpaceDE w:val="0"/>
              <w:autoSpaceDN w:val="0"/>
              <w:adjustRightInd w:val="0"/>
              <w:ind w:left="0" w:firstLine="0"/>
              <w:rPr>
                <w:b/>
                <w:szCs w:val="22"/>
              </w:rPr>
            </w:pPr>
            <w:r w:rsidRPr="001B4A02">
              <w:rPr>
                <w:b/>
                <w:szCs w:val="22"/>
              </w:rPr>
              <w:t>Týden 26</w:t>
            </w:r>
          </w:p>
        </w:tc>
        <w:tc>
          <w:tcPr>
            <w:tcW w:w="2450" w:type="dxa"/>
            <w:tcBorders>
              <w:top w:val="single" w:sz="6" w:space="0" w:color="000000"/>
              <w:left w:val="single" w:sz="6" w:space="0" w:color="000000"/>
              <w:bottom w:val="single" w:sz="6" w:space="0" w:color="000000"/>
              <w:right w:val="single" w:sz="6" w:space="0" w:color="000000"/>
            </w:tcBorders>
            <w:vAlign w:val="bottom"/>
          </w:tcPr>
          <w:p w14:paraId="53007FA8" w14:textId="77777777" w:rsidR="00BF09F2" w:rsidRPr="001B4A02" w:rsidRDefault="00BF09F2" w:rsidP="00E571F5">
            <w:pPr>
              <w:keepLines/>
              <w:tabs>
                <w:tab w:val="left" w:pos="-1080"/>
              </w:tabs>
              <w:autoSpaceDE w:val="0"/>
              <w:autoSpaceDN w:val="0"/>
              <w:adjustRightInd w:val="0"/>
              <w:ind w:left="0" w:firstLine="0"/>
              <w:jc w:val="center"/>
              <w:rPr>
                <w:b/>
                <w:szCs w:val="22"/>
              </w:rPr>
            </w:pPr>
          </w:p>
        </w:tc>
        <w:tc>
          <w:tcPr>
            <w:tcW w:w="2409" w:type="dxa"/>
            <w:tcBorders>
              <w:top w:val="single" w:sz="6" w:space="0" w:color="000000"/>
              <w:left w:val="single" w:sz="6" w:space="0" w:color="000000"/>
              <w:bottom w:val="single" w:sz="6" w:space="0" w:color="000000"/>
              <w:right w:val="single" w:sz="6" w:space="0" w:color="000000"/>
            </w:tcBorders>
            <w:vAlign w:val="bottom"/>
          </w:tcPr>
          <w:p w14:paraId="552E2F57" w14:textId="77777777" w:rsidR="00BF09F2" w:rsidRPr="001B4A02" w:rsidRDefault="00BF09F2" w:rsidP="00E571F5">
            <w:pPr>
              <w:keepLines/>
              <w:tabs>
                <w:tab w:val="left" w:pos="-1080"/>
              </w:tabs>
              <w:autoSpaceDE w:val="0"/>
              <w:autoSpaceDN w:val="0"/>
              <w:adjustRightInd w:val="0"/>
              <w:ind w:left="0" w:firstLine="0"/>
              <w:jc w:val="center"/>
              <w:rPr>
                <w:b/>
                <w:szCs w:val="22"/>
              </w:rPr>
            </w:pPr>
          </w:p>
        </w:tc>
        <w:tc>
          <w:tcPr>
            <w:tcW w:w="1420" w:type="dxa"/>
            <w:tcBorders>
              <w:top w:val="single" w:sz="6" w:space="0" w:color="000000"/>
              <w:left w:val="single" w:sz="6" w:space="0" w:color="000000"/>
              <w:bottom w:val="single" w:sz="6" w:space="0" w:color="000000"/>
              <w:right w:val="single" w:sz="6" w:space="0" w:color="000000"/>
            </w:tcBorders>
            <w:vAlign w:val="bottom"/>
          </w:tcPr>
          <w:p w14:paraId="67DAF83E" w14:textId="77777777" w:rsidR="00BF09F2" w:rsidRPr="001B4A02" w:rsidRDefault="00BF09F2" w:rsidP="00E571F5">
            <w:pPr>
              <w:autoSpaceDE w:val="0"/>
              <w:autoSpaceDN w:val="0"/>
              <w:adjustRightInd w:val="0"/>
              <w:ind w:left="0" w:firstLine="0"/>
              <w:jc w:val="center"/>
              <w:rPr>
                <w:szCs w:val="22"/>
              </w:rPr>
            </w:pPr>
          </w:p>
        </w:tc>
      </w:tr>
      <w:tr w:rsidR="00534A2D" w14:paraId="239DBD16" w14:textId="77777777" w:rsidTr="00E571F5">
        <w:trPr>
          <w:jc w:val="center"/>
        </w:trPr>
        <w:tc>
          <w:tcPr>
            <w:tcW w:w="2654" w:type="dxa"/>
            <w:tcBorders>
              <w:top w:val="single" w:sz="6" w:space="0" w:color="000000"/>
              <w:left w:val="single" w:sz="6" w:space="0" w:color="000000"/>
              <w:bottom w:val="single" w:sz="6" w:space="0" w:color="000000"/>
              <w:right w:val="single" w:sz="6" w:space="0" w:color="000000"/>
            </w:tcBorders>
            <w:vAlign w:val="bottom"/>
          </w:tcPr>
          <w:p w14:paraId="785A23C1" w14:textId="77777777" w:rsidR="00BF09F2" w:rsidRPr="001B4A02" w:rsidRDefault="00000000" w:rsidP="00E571F5">
            <w:pPr>
              <w:keepLines/>
              <w:tabs>
                <w:tab w:val="left" w:pos="-1080"/>
              </w:tabs>
              <w:autoSpaceDE w:val="0"/>
              <w:autoSpaceDN w:val="0"/>
              <w:adjustRightInd w:val="0"/>
              <w:ind w:left="0" w:firstLine="0"/>
              <w:rPr>
                <w:bCs/>
                <w:szCs w:val="22"/>
              </w:rPr>
            </w:pPr>
            <w:r w:rsidRPr="001B4A02">
              <w:rPr>
                <w:bCs/>
                <w:szCs w:val="22"/>
              </w:rPr>
              <w:t>Klinická remise</w:t>
            </w:r>
          </w:p>
        </w:tc>
        <w:tc>
          <w:tcPr>
            <w:tcW w:w="2450" w:type="dxa"/>
            <w:tcBorders>
              <w:top w:val="single" w:sz="6" w:space="0" w:color="000000"/>
              <w:left w:val="single" w:sz="6" w:space="0" w:color="000000"/>
              <w:bottom w:val="single" w:sz="6" w:space="0" w:color="000000"/>
              <w:right w:val="single" w:sz="6" w:space="0" w:color="000000"/>
            </w:tcBorders>
            <w:vAlign w:val="bottom"/>
          </w:tcPr>
          <w:p w14:paraId="351AA0B2"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38,7</w:t>
            </w:r>
            <w:r>
              <w:rPr>
                <w:szCs w:val="22"/>
              </w:rPr>
              <w:t> %</w:t>
            </w:r>
          </w:p>
        </w:tc>
        <w:tc>
          <w:tcPr>
            <w:tcW w:w="2409" w:type="dxa"/>
            <w:tcBorders>
              <w:top w:val="single" w:sz="6" w:space="0" w:color="000000"/>
              <w:left w:val="single" w:sz="6" w:space="0" w:color="000000"/>
              <w:bottom w:val="single" w:sz="6" w:space="0" w:color="000000"/>
              <w:right w:val="single" w:sz="6" w:space="0" w:color="000000"/>
            </w:tcBorders>
            <w:vAlign w:val="bottom"/>
          </w:tcPr>
          <w:p w14:paraId="5993909F"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28,4</w:t>
            </w:r>
            <w:r>
              <w:rPr>
                <w:szCs w:val="22"/>
              </w:rPr>
              <w:t> %</w:t>
            </w:r>
          </w:p>
        </w:tc>
        <w:tc>
          <w:tcPr>
            <w:tcW w:w="1420" w:type="dxa"/>
            <w:tcBorders>
              <w:top w:val="single" w:sz="6" w:space="0" w:color="000000"/>
              <w:left w:val="single" w:sz="6" w:space="0" w:color="000000"/>
              <w:bottom w:val="single" w:sz="6" w:space="0" w:color="000000"/>
              <w:right w:val="single" w:sz="6" w:space="0" w:color="000000"/>
            </w:tcBorders>
            <w:vAlign w:val="bottom"/>
          </w:tcPr>
          <w:p w14:paraId="0D201A4D"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0,075</w:t>
            </w:r>
          </w:p>
        </w:tc>
      </w:tr>
      <w:tr w:rsidR="00534A2D" w14:paraId="7D53D154" w14:textId="77777777" w:rsidTr="00E571F5">
        <w:trPr>
          <w:jc w:val="center"/>
        </w:trPr>
        <w:tc>
          <w:tcPr>
            <w:tcW w:w="2654" w:type="dxa"/>
            <w:tcBorders>
              <w:top w:val="single" w:sz="6" w:space="0" w:color="000000"/>
              <w:left w:val="single" w:sz="6" w:space="0" w:color="000000"/>
              <w:bottom w:val="single" w:sz="6" w:space="0" w:color="000000"/>
              <w:right w:val="single" w:sz="6" w:space="0" w:color="000000"/>
            </w:tcBorders>
            <w:vAlign w:val="bottom"/>
          </w:tcPr>
          <w:p w14:paraId="756BC8E9" w14:textId="77777777" w:rsidR="00BF09F2" w:rsidRPr="001B4A02" w:rsidRDefault="00000000" w:rsidP="00E571F5">
            <w:pPr>
              <w:keepLines/>
              <w:tabs>
                <w:tab w:val="left" w:pos="-1080"/>
              </w:tabs>
              <w:autoSpaceDE w:val="0"/>
              <w:autoSpaceDN w:val="0"/>
              <w:adjustRightInd w:val="0"/>
              <w:ind w:left="0" w:firstLine="0"/>
              <w:rPr>
                <w:bCs/>
                <w:szCs w:val="22"/>
              </w:rPr>
            </w:pPr>
            <w:r w:rsidRPr="001B4A02">
              <w:rPr>
                <w:bCs/>
                <w:szCs w:val="22"/>
              </w:rPr>
              <w:t>Klinická odpověď</w:t>
            </w:r>
          </w:p>
        </w:tc>
        <w:tc>
          <w:tcPr>
            <w:tcW w:w="2450" w:type="dxa"/>
            <w:tcBorders>
              <w:top w:val="single" w:sz="6" w:space="0" w:color="000000"/>
              <w:left w:val="single" w:sz="6" w:space="0" w:color="000000"/>
              <w:bottom w:val="single" w:sz="6" w:space="0" w:color="000000"/>
              <w:right w:val="single" w:sz="6" w:space="0" w:color="000000"/>
            </w:tcBorders>
          </w:tcPr>
          <w:p w14:paraId="43077D45"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59,1</w:t>
            </w:r>
            <w:r>
              <w:rPr>
                <w:szCs w:val="22"/>
              </w:rPr>
              <w:t> %</w:t>
            </w:r>
          </w:p>
        </w:tc>
        <w:tc>
          <w:tcPr>
            <w:tcW w:w="2409" w:type="dxa"/>
            <w:tcBorders>
              <w:top w:val="single" w:sz="6" w:space="0" w:color="000000"/>
              <w:left w:val="single" w:sz="6" w:space="0" w:color="000000"/>
              <w:bottom w:val="single" w:sz="6" w:space="0" w:color="000000"/>
              <w:right w:val="single" w:sz="6" w:space="0" w:color="000000"/>
            </w:tcBorders>
          </w:tcPr>
          <w:p w14:paraId="115D85D4"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48,4</w:t>
            </w:r>
            <w:r>
              <w:rPr>
                <w:szCs w:val="22"/>
              </w:rPr>
              <w:t> %</w:t>
            </w:r>
          </w:p>
        </w:tc>
        <w:tc>
          <w:tcPr>
            <w:tcW w:w="1420" w:type="dxa"/>
            <w:tcBorders>
              <w:top w:val="single" w:sz="6" w:space="0" w:color="000000"/>
              <w:left w:val="single" w:sz="6" w:space="0" w:color="000000"/>
              <w:bottom w:val="single" w:sz="6" w:space="0" w:color="000000"/>
              <w:right w:val="single" w:sz="6" w:space="0" w:color="000000"/>
            </w:tcBorders>
            <w:vAlign w:val="bottom"/>
          </w:tcPr>
          <w:p w14:paraId="4BE3CD9D"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0,073</w:t>
            </w:r>
          </w:p>
        </w:tc>
      </w:tr>
      <w:tr w:rsidR="00534A2D" w14:paraId="30B91DCA" w14:textId="77777777" w:rsidTr="00E571F5">
        <w:trPr>
          <w:jc w:val="center"/>
        </w:trPr>
        <w:tc>
          <w:tcPr>
            <w:tcW w:w="2654" w:type="dxa"/>
            <w:tcBorders>
              <w:top w:val="single" w:sz="6" w:space="0" w:color="000000"/>
              <w:left w:val="single" w:sz="6" w:space="0" w:color="000000"/>
              <w:bottom w:val="single" w:sz="6" w:space="0" w:color="000000"/>
              <w:right w:val="single" w:sz="6" w:space="0" w:color="000000"/>
            </w:tcBorders>
            <w:vAlign w:val="bottom"/>
          </w:tcPr>
          <w:p w14:paraId="139286CB" w14:textId="77777777" w:rsidR="00BF09F2" w:rsidRPr="001B4A02" w:rsidRDefault="00000000" w:rsidP="00E571F5">
            <w:pPr>
              <w:keepLines/>
              <w:tabs>
                <w:tab w:val="left" w:pos="-1080"/>
              </w:tabs>
              <w:autoSpaceDE w:val="0"/>
              <w:autoSpaceDN w:val="0"/>
              <w:adjustRightInd w:val="0"/>
              <w:ind w:left="0" w:firstLine="0"/>
              <w:rPr>
                <w:b/>
                <w:szCs w:val="22"/>
              </w:rPr>
            </w:pPr>
            <w:r w:rsidRPr="001B4A02">
              <w:rPr>
                <w:b/>
                <w:szCs w:val="22"/>
              </w:rPr>
              <w:t>Týden 52</w:t>
            </w:r>
          </w:p>
        </w:tc>
        <w:tc>
          <w:tcPr>
            <w:tcW w:w="2450" w:type="dxa"/>
            <w:tcBorders>
              <w:top w:val="single" w:sz="6" w:space="0" w:color="000000"/>
              <w:left w:val="single" w:sz="6" w:space="0" w:color="000000"/>
              <w:bottom w:val="single" w:sz="6" w:space="0" w:color="000000"/>
              <w:right w:val="single" w:sz="6" w:space="0" w:color="000000"/>
            </w:tcBorders>
            <w:vAlign w:val="bottom"/>
          </w:tcPr>
          <w:p w14:paraId="7749D636" w14:textId="77777777" w:rsidR="00BF09F2" w:rsidRPr="001B4A02" w:rsidRDefault="00BF09F2" w:rsidP="00E571F5">
            <w:pPr>
              <w:keepLines/>
              <w:tabs>
                <w:tab w:val="left" w:pos="-1080"/>
              </w:tabs>
              <w:autoSpaceDE w:val="0"/>
              <w:autoSpaceDN w:val="0"/>
              <w:adjustRightInd w:val="0"/>
              <w:ind w:left="0" w:firstLine="0"/>
              <w:jc w:val="center"/>
              <w:rPr>
                <w:b/>
                <w:szCs w:val="22"/>
              </w:rPr>
            </w:pPr>
          </w:p>
        </w:tc>
        <w:tc>
          <w:tcPr>
            <w:tcW w:w="2409" w:type="dxa"/>
            <w:tcBorders>
              <w:top w:val="single" w:sz="6" w:space="0" w:color="000000"/>
              <w:left w:val="single" w:sz="6" w:space="0" w:color="000000"/>
              <w:bottom w:val="single" w:sz="6" w:space="0" w:color="000000"/>
              <w:right w:val="single" w:sz="6" w:space="0" w:color="000000"/>
            </w:tcBorders>
            <w:vAlign w:val="bottom"/>
          </w:tcPr>
          <w:p w14:paraId="66ABC5DC" w14:textId="77777777" w:rsidR="00BF09F2" w:rsidRPr="001B4A02" w:rsidRDefault="00BF09F2" w:rsidP="00E571F5">
            <w:pPr>
              <w:keepLines/>
              <w:tabs>
                <w:tab w:val="left" w:pos="-1080"/>
              </w:tabs>
              <w:autoSpaceDE w:val="0"/>
              <w:autoSpaceDN w:val="0"/>
              <w:adjustRightInd w:val="0"/>
              <w:ind w:left="0" w:firstLine="0"/>
              <w:jc w:val="center"/>
              <w:rPr>
                <w:b/>
                <w:szCs w:val="22"/>
              </w:rPr>
            </w:pPr>
          </w:p>
        </w:tc>
        <w:tc>
          <w:tcPr>
            <w:tcW w:w="1420" w:type="dxa"/>
            <w:tcBorders>
              <w:top w:val="single" w:sz="6" w:space="0" w:color="000000"/>
              <w:left w:val="single" w:sz="6" w:space="0" w:color="000000"/>
              <w:bottom w:val="single" w:sz="6" w:space="0" w:color="000000"/>
              <w:right w:val="single" w:sz="6" w:space="0" w:color="000000"/>
            </w:tcBorders>
            <w:vAlign w:val="bottom"/>
          </w:tcPr>
          <w:p w14:paraId="66D266A8" w14:textId="77777777" w:rsidR="00BF09F2" w:rsidRPr="001B4A02" w:rsidRDefault="00BF09F2" w:rsidP="00E571F5">
            <w:pPr>
              <w:autoSpaceDE w:val="0"/>
              <w:autoSpaceDN w:val="0"/>
              <w:adjustRightInd w:val="0"/>
              <w:ind w:left="0" w:firstLine="0"/>
              <w:jc w:val="center"/>
              <w:rPr>
                <w:b/>
                <w:szCs w:val="22"/>
              </w:rPr>
            </w:pPr>
          </w:p>
        </w:tc>
      </w:tr>
      <w:tr w:rsidR="00534A2D" w14:paraId="5A260531" w14:textId="77777777" w:rsidTr="00E571F5">
        <w:trPr>
          <w:jc w:val="center"/>
        </w:trPr>
        <w:tc>
          <w:tcPr>
            <w:tcW w:w="2654" w:type="dxa"/>
            <w:tcBorders>
              <w:top w:val="single" w:sz="6" w:space="0" w:color="000000"/>
              <w:left w:val="single" w:sz="6" w:space="0" w:color="000000"/>
              <w:bottom w:val="single" w:sz="6" w:space="0" w:color="000000"/>
              <w:right w:val="single" w:sz="6" w:space="0" w:color="000000"/>
            </w:tcBorders>
            <w:vAlign w:val="bottom"/>
          </w:tcPr>
          <w:p w14:paraId="48B8914B" w14:textId="77777777" w:rsidR="00BF09F2" w:rsidRPr="001B4A02" w:rsidRDefault="00000000" w:rsidP="00E571F5">
            <w:pPr>
              <w:keepLines/>
              <w:tabs>
                <w:tab w:val="left" w:pos="-1080"/>
              </w:tabs>
              <w:autoSpaceDE w:val="0"/>
              <w:autoSpaceDN w:val="0"/>
              <w:adjustRightInd w:val="0"/>
              <w:ind w:left="0" w:firstLine="0"/>
              <w:rPr>
                <w:bCs/>
                <w:szCs w:val="22"/>
              </w:rPr>
            </w:pPr>
            <w:r w:rsidRPr="001B4A02">
              <w:rPr>
                <w:bCs/>
                <w:szCs w:val="22"/>
              </w:rPr>
              <w:t>Klinická remise</w:t>
            </w:r>
          </w:p>
        </w:tc>
        <w:tc>
          <w:tcPr>
            <w:tcW w:w="2450" w:type="dxa"/>
            <w:tcBorders>
              <w:top w:val="single" w:sz="6" w:space="0" w:color="000000"/>
              <w:left w:val="single" w:sz="6" w:space="0" w:color="000000"/>
              <w:bottom w:val="single" w:sz="6" w:space="0" w:color="000000"/>
              <w:right w:val="single" w:sz="6" w:space="0" w:color="000000"/>
            </w:tcBorders>
          </w:tcPr>
          <w:p w14:paraId="6BAACBF3"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33,3</w:t>
            </w:r>
            <w:r>
              <w:rPr>
                <w:szCs w:val="22"/>
              </w:rPr>
              <w:t> %</w:t>
            </w:r>
          </w:p>
        </w:tc>
        <w:tc>
          <w:tcPr>
            <w:tcW w:w="2409" w:type="dxa"/>
            <w:tcBorders>
              <w:top w:val="single" w:sz="6" w:space="0" w:color="000000"/>
              <w:left w:val="single" w:sz="6" w:space="0" w:color="000000"/>
              <w:bottom w:val="single" w:sz="6" w:space="0" w:color="000000"/>
              <w:right w:val="single" w:sz="6" w:space="0" w:color="000000"/>
            </w:tcBorders>
          </w:tcPr>
          <w:p w14:paraId="125F2417"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23,2</w:t>
            </w:r>
            <w:r>
              <w:rPr>
                <w:szCs w:val="22"/>
              </w:rPr>
              <w:t> %</w:t>
            </w:r>
          </w:p>
        </w:tc>
        <w:tc>
          <w:tcPr>
            <w:tcW w:w="1420" w:type="dxa"/>
            <w:tcBorders>
              <w:top w:val="single" w:sz="6" w:space="0" w:color="000000"/>
              <w:left w:val="single" w:sz="6" w:space="0" w:color="000000"/>
              <w:bottom w:val="single" w:sz="6" w:space="0" w:color="000000"/>
              <w:right w:val="single" w:sz="6" w:space="0" w:color="000000"/>
            </w:tcBorders>
          </w:tcPr>
          <w:p w14:paraId="66F82EBD"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0,100</w:t>
            </w:r>
          </w:p>
        </w:tc>
      </w:tr>
      <w:tr w:rsidR="00534A2D" w14:paraId="08B7A731" w14:textId="77777777" w:rsidTr="00E571F5">
        <w:trPr>
          <w:jc w:val="center"/>
        </w:trPr>
        <w:tc>
          <w:tcPr>
            <w:tcW w:w="2654" w:type="dxa"/>
            <w:tcBorders>
              <w:top w:val="single" w:sz="6" w:space="0" w:color="000000"/>
              <w:left w:val="single" w:sz="6" w:space="0" w:color="000000"/>
              <w:bottom w:val="single" w:sz="6" w:space="0" w:color="000000"/>
              <w:right w:val="single" w:sz="6" w:space="0" w:color="000000"/>
            </w:tcBorders>
            <w:vAlign w:val="bottom"/>
          </w:tcPr>
          <w:p w14:paraId="7FA1FE4A" w14:textId="77777777" w:rsidR="00BF09F2" w:rsidRPr="001B4A02" w:rsidRDefault="00000000" w:rsidP="00E571F5">
            <w:pPr>
              <w:keepLines/>
              <w:tabs>
                <w:tab w:val="left" w:pos="-1080"/>
              </w:tabs>
              <w:autoSpaceDE w:val="0"/>
              <w:autoSpaceDN w:val="0"/>
              <w:adjustRightInd w:val="0"/>
              <w:ind w:left="0" w:firstLine="0"/>
              <w:rPr>
                <w:b/>
                <w:bCs/>
                <w:szCs w:val="22"/>
              </w:rPr>
            </w:pPr>
            <w:r w:rsidRPr="001B4A02">
              <w:rPr>
                <w:bCs/>
                <w:szCs w:val="22"/>
              </w:rPr>
              <w:t>Klinická odpověď</w:t>
            </w:r>
          </w:p>
        </w:tc>
        <w:tc>
          <w:tcPr>
            <w:tcW w:w="2450" w:type="dxa"/>
            <w:tcBorders>
              <w:top w:val="single" w:sz="6" w:space="0" w:color="000000"/>
              <w:left w:val="single" w:sz="6" w:space="0" w:color="000000"/>
              <w:bottom w:val="single" w:sz="6" w:space="0" w:color="000000"/>
              <w:right w:val="single" w:sz="6" w:space="0" w:color="000000"/>
            </w:tcBorders>
          </w:tcPr>
          <w:p w14:paraId="04A566C1"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41,9</w:t>
            </w:r>
            <w:r>
              <w:rPr>
                <w:szCs w:val="22"/>
              </w:rPr>
              <w:t> %</w:t>
            </w:r>
          </w:p>
        </w:tc>
        <w:tc>
          <w:tcPr>
            <w:tcW w:w="2409" w:type="dxa"/>
            <w:tcBorders>
              <w:top w:val="single" w:sz="6" w:space="0" w:color="000000"/>
              <w:left w:val="single" w:sz="6" w:space="0" w:color="000000"/>
              <w:bottom w:val="single" w:sz="6" w:space="0" w:color="000000"/>
              <w:right w:val="single" w:sz="6" w:space="0" w:color="000000"/>
            </w:tcBorders>
          </w:tcPr>
          <w:p w14:paraId="5863B5FB"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28,4</w:t>
            </w:r>
            <w:r>
              <w:rPr>
                <w:szCs w:val="22"/>
              </w:rPr>
              <w:t> %</w:t>
            </w:r>
          </w:p>
        </w:tc>
        <w:tc>
          <w:tcPr>
            <w:tcW w:w="1420" w:type="dxa"/>
            <w:tcBorders>
              <w:top w:val="single" w:sz="6" w:space="0" w:color="000000"/>
              <w:left w:val="single" w:sz="6" w:space="0" w:color="000000"/>
              <w:bottom w:val="single" w:sz="6" w:space="0" w:color="000000"/>
              <w:right w:val="single" w:sz="6" w:space="0" w:color="000000"/>
            </w:tcBorders>
          </w:tcPr>
          <w:p w14:paraId="04493D0C"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0,038</w:t>
            </w:r>
          </w:p>
        </w:tc>
      </w:tr>
      <w:tr w:rsidR="00534A2D" w14:paraId="714B014D" w14:textId="77777777" w:rsidTr="00E571F5">
        <w:trPr>
          <w:jc w:val="center"/>
        </w:trPr>
        <w:tc>
          <w:tcPr>
            <w:tcW w:w="8933" w:type="dxa"/>
            <w:gridSpan w:val="4"/>
            <w:tcBorders>
              <w:top w:val="single" w:sz="6" w:space="0" w:color="000000"/>
              <w:left w:val="single" w:sz="6" w:space="0" w:color="000000"/>
              <w:bottom w:val="single" w:sz="6" w:space="0" w:color="000000"/>
              <w:right w:val="single" w:sz="6" w:space="0" w:color="000000"/>
            </w:tcBorders>
          </w:tcPr>
          <w:p w14:paraId="0895AE43" w14:textId="77777777" w:rsidR="00BF09F2" w:rsidRPr="001B4A02" w:rsidRDefault="00000000" w:rsidP="00E571F5">
            <w:pPr>
              <w:keepLines/>
              <w:tabs>
                <w:tab w:val="left" w:pos="-1080"/>
              </w:tabs>
              <w:autoSpaceDE w:val="0"/>
              <w:autoSpaceDN w:val="0"/>
              <w:adjustRightInd w:val="0"/>
              <w:ind w:left="0" w:firstLine="0"/>
              <w:rPr>
                <w:sz w:val="20"/>
              </w:rPr>
            </w:pPr>
            <w:r w:rsidRPr="001B4A02">
              <w:rPr>
                <w:sz w:val="20"/>
              </w:rPr>
              <w:t>* p hodnota pro standardní dávku v porovnání se sníženou dávkou</w:t>
            </w:r>
          </w:p>
        </w:tc>
      </w:tr>
    </w:tbl>
    <w:p w14:paraId="657DD351" w14:textId="77777777" w:rsidR="00BF09F2" w:rsidRPr="001B4A02" w:rsidRDefault="00BF09F2" w:rsidP="00BF09F2"/>
    <w:tbl>
      <w:tblPr>
        <w:tblW w:w="9300" w:type="dxa"/>
        <w:jc w:val="center"/>
        <w:tblCellMar>
          <w:left w:w="0" w:type="dxa"/>
          <w:right w:w="0" w:type="dxa"/>
        </w:tblCellMar>
        <w:tblLook w:val="00A0" w:firstRow="1" w:lastRow="0" w:firstColumn="1" w:lastColumn="0" w:noHBand="0" w:noVBand="0"/>
      </w:tblPr>
      <w:tblGrid>
        <w:gridCol w:w="3234"/>
        <w:gridCol w:w="2447"/>
        <w:gridCol w:w="2231"/>
        <w:gridCol w:w="1388"/>
      </w:tblGrid>
      <w:tr w:rsidR="00534A2D" w14:paraId="025AD510" w14:textId="77777777" w:rsidTr="00E571F5">
        <w:trPr>
          <w:jc w:val="center"/>
        </w:trPr>
        <w:tc>
          <w:tcPr>
            <w:tcW w:w="9300" w:type="dxa"/>
            <w:gridSpan w:val="4"/>
            <w:tcBorders>
              <w:top w:val="single" w:sz="6" w:space="0" w:color="000000"/>
              <w:left w:val="single" w:sz="6" w:space="0" w:color="000000"/>
              <w:bottom w:val="single" w:sz="6" w:space="0" w:color="000000"/>
              <w:right w:val="single" w:sz="6" w:space="0" w:color="000000"/>
            </w:tcBorders>
          </w:tcPr>
          <w:p w14:paraId="2720BD71" w14:textId="77777777" w:rsidR="00BF09F2" w:rsidRPr="001B4A02" w:rsidRDefault="00000000" w:rsidP="00E571F5">
            <w:pPr>
              <w:tabs>
                <w:tab w:val="left" w:pos="-878"/>
              </w:tabs>
              <w:autoSpaceDE w:val="0"/>
              <w:autoSpaceDN w:val="0"/>
              <w:adjustRightInd w:val="0"/>
              <w:jc w:val="center"/>
              <w:rPr>
                <w:b/>
                <w:bCs/>
                <w:szCs w:val="22"/>
              </w:rPr>
            </w:pPr>
            <w:r w:rsidRPr="001B4A02">
              <w:rPr>
                <w:b/>
                <w:bCs/>
                <w:szCs w:val="22"/>
              </w:rPr>
              <w:t xml:space="preserve">Tabulka </w:t>
            </w:r>
            <w:r>
              <w:rPr>
                <w:b/>
                <w:bCs/>
                <w:szCs w:val="22"/>
              </w:rPr>
              <w:t>22</w:t>
            </w:r>
          </w:p>
          <w:p w14:paraId="2E106AEC" w14:textId="77777777" w:rsidR="00BF09F2" w:rsidRPr="001B4A02" w:rsidRDefault="00000000" w:rsidP="00E571F5">
            <w:pPr>
              <w:tabs>
                <w:tab w:val="left" w:pos="-878"/>
              </w:tabs>
              <w:autoSpaceDE w:val="0"/>
              <w:autoSpaceDN w:val="0"/>
              <w:adjustRightInd w:val="0"/>
              <w:jc w:val="center"/>
              <w:rPr>
                <w:b/>
                <w:bCs/>
                <w:szCs w:val="22"/>
              </w:rPr>
            </w:pPr>
            <w:r w:rsidRPr="001B4A02">
              <w:rPr>
                <w:b/>
                <w:bCs/>
                <w:szCs w:val="22"/>
              </w:rPr>
              <w:t>Studie u pediatrických pacientů s Crohnovou chorobou</w:t>
            </w:r>
          </w:p>
          <w:p w14:paraId="46E2B587" w14:textId="77777777" w:rsidR="00BF09F2" w:rsidRPr="001B4A02" w:rsidRDefault="00000000" w:rsidP="00E571F5">
            <w:pPr>
              <w:tabs>
                <w:tab w:val="left" w:pos="-878"/>
              </w:tabs>
              <w:autoSpaceDE w:val="0"/>
              <w:autoSpaceDN w:val="0"/>
              <w:adjustRightInd w:val="0"/>
              <w:jc w:val="center"/>
              <w:rPr>
                <w:b/>
                <w:bCs/>
                <w:szCs w:val="22"/>
              </w:rPr>
            </w:pPr>
            <w:r w:rsidRPr="001B4A02">
              <w:rPr>
                <w:b/>
                <w:bCs/>
                <w:szCs w:val="22"/>
              </w:rPr>
              <w:t>Vysazení kortikosteroidů nebo imunomodulátorů</w:t>
            </w:r>
            <w:r w:rsidR="002378E0">
              <w:rPr>
                <w:b/>
                <w:bCs/>
                <w:szCs w:val="22"/>
              </w:rPr>
              <w:t xml:space="preserve"> a </w:t>
            </w:r>
            <w:r w:rsidRPr="001B4A02">
              <w:rPr>
                <w:b/>
                <w:bCs/>
                <w:szCs w:val="22"/>
              </w:rPr>
              <w:t>remise píštělí</w:t>
            </w:r>
          </w:p>
        </w:tc>
      </w:tr>
      <w:tr w:rsidR="00534A2D" w14:paraId="02989D5B"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tcPr>
          <w:p w14:paraId="71AC7231" w14:textId="77777777" w:rsidR="00BF09F2" w:rsidRPr="001B4A02" w:rsidRDefault="00BF09F2" w:rsidP="00E571F5">
            <w:pPr>
              <w:keepNext/>
              <w:keepLines/>
              <w:tabs>
                <w:tab w:val="left" w:pos="-1080"/>
              </w:tabs>
              <w:autoSpaceDE w:val="0"/>
              <w:autoSpaceDN w:val="0"/>
              <w:adjustRightInd w:val="0"/>
              <w:jc w:val="center"/>
              <w:rPr>
                <w:b/>
                <w:bCs/>
                <w:szCs w:val="22"/>
              </w:rPr>
            </w:pPr>
          </w:p>
        </w:tc>
        <w:tc>
          <w:tcPr>
            <w:tcW w:w="2447" w:type="dxa"/>
            <w:tcBorders>
              <w:top w:val="single" w:sz="6" w:space="0" w:color="000000"/>
              <w:left w:val="single" w:sz="6" w:space="0" w:color="000000"/>
              <w:bottom w:val="single" w:sz="6" w:space="0" w:color="000000"/>
              <w:right w:val="single" w:sz="6" w:space="0" w:color="000000"/>
            </w:tcBorders>
          </w:tcPr>
          <w:p w14:paraId="7FA5C885" w14:textId="77777777" w:rsidR="00BF09F2" w:rsidRPr="001B4A02" w:rsidRDefault="00000000" w:rsidP="00E571F5">
            <w:pPr>
              <w:keepLines/>
              <w:tabs>
                <w:tab w:val="left" w:pos="-1080"/>
              </w:tabs>
              <w:autoSpaceDE w:val="0"/>
              <w:autoSpaceDN w:val="0"/>
              <w:adjustRightInd w:val="0"/>
              <w:ind w:left="0" w:firstLine="0"/>
              <w:jc w:val="center"/>
              <w:rPr>
                <w:b/>
                <w:bCs/>
                <w:szCs w:val="22"/>
              </w:rPr>
            </w:pPr>
            <w:r w:rsidRPr="001B4A02">
              <w:rPr>
                <w:b/>
                <w:bCs/>
                <w:szCs w:val="22"/>
              </w:rPr>
              <w:t>Standardní dávka</w:t>
            </w:r>
          </w:p>
          <w:p w14:paraId="160A9DDD" w14:textId="77777777" w:rsidR="00BF09F2" w:rsidRPr="001B4A02" w:rsidRDefault="00000000" w:rsidP="00E571F5">
            <w:pPr>
              <w:keepLines/>
              <w:tabs>
                <w:tab w:val="left" w:pos="-1080"/>
              </w:tabs>
              <w:autoSpaceDE w:val="0"/>
              <w:autoSpaceDN w:val="0"/>
              <w:adjustRightInd w:val="0"/>
              <w:ind w:left="0" w:firstLine="0"/>
              <w:jc w:val="center"/>
              <w:rPr>
                <w:b/>
                <w:bCs/>
                <w:szCs w:val="22"/>
              </w:rPr>
            </w:pPr>
            <w:r w:rsidRPr="001B4A02">
              <w:rPr>
                <w:b/>
                <w:bCs/>
                <w:szCs w:val="22"/>
              </w:rPr>
              <w:t>40/20</w:t>
            </w:r>
            <w:r w:rsidR="00883A75">
              <w:rPr>
                <w:b/>
                <w:bCs/>
                <w:szCs w:val="22"/>
              </w:rPr>
              <w:t> mg</w:t>
            </w:r>
          </w:p>
          <w:p w14:paraId="3056F164" w14:textId="77777777" w:rsidR="00BF09F2" w:rsidRPr="001B4A02" w:rsidRDefault="00000000" w:rsidP="00E571F5">
            <w:pPr>
              <w:keepLines/>
              <w:tabs>
                <w:tab w:val="left" w:pos="-1080"/>
              </w:tabs>
              <w:autoSpaceDE w:val="0"/>
              <w:autoSpaceDN w:val="0"/>
              <w:adjustRightInd w:val="0"/>
              <w:ind w:left="0" w:firstLine="0"/>
              <w:jc w:val="center"/>
              <w:rPr>
                <w:b/>
                <w:bCs/>
                <w:szCs w:val="22"/>
              </w:rPr>
            </w:pPr>
            <w:r w:rsidRPr="001B4A02">
              <w:rPr>
                <w:b/>
                <w:bCs/>
                <w:szCs w:val="22"/>
              </w:rPr>
              <w:t>každý druhý týden</w:t>
            </w:r>
          </w:p>
        </w:tc>
        <w:tc>
          <w:tcPr>
            <w:tcW w:w="2231" w:type="dxa"/>
            <w:tcBorders>
              <w:top w:val="single" w:sz="6" w:space="0" w:color="000000"/>
              <w:left w:val="single" w:sz="6" w:space="0" w:color="000000"/>
              <w:bottom w:val="single" w:sz="6" w:space="0" w:color="000000"/>
              <w:right w:val="single" w:sz="6" w:space="0" w:color="000000"/>
            </w:tcBorders>
          </w:tcPr>
          <w:p w14:paraId="12775575" w14:textId="77777777" w:rsidR="00BF09F2" w:rsidRPr="001B4A02" w:rsidRDefault="00000000" w:rsidP="00E571F5">
            <w:pPr>
              <w:keepLines/>
              <w:tabs>
                <w:tab w:val="left" w:pos="-1080"/>
              </w:tabs>
              <w:autoSpaceDE w:val="0"/>
              <w:autoSpaceDN w:val="0"/>
              <w:adjustRightInd w:val="0"/>
              <w:ind w:left="0" w:firstLine="0"/>
              <w:jc w:val="center"/>
              <w:rPr>
                <w:b/>
                <w:bCs/>
                <w:szCs w:val="22"/>
              </w:rPr>
            </w:pPr>
            <w:r w:rsidRPr="001B4A02">
              <w:rPr>
                <w:b/>
                <w:bCs/>
                <w:szCs w:val="22"/>
              </w:rPr>
              <w:t>Snížená dávka</w:t>
            </w:r>
          </w:p>
          <w:p w14:paraId="071631F7" w14:textId="77777777" w:rsidR="00BF09F2" w:rsidRPr="001B4A02" w:rsidRDefault="00000000" w:rsidP="00E571F5">
            <w:pPr>
              <w:keepLines/>
              <w:tabs>
                <w:tab w:val="left" w:pos="-1080"/>
              </w:tabs>
              <w:autoSpaceDE w:val="0"/>
              <w:autoSpaceDN w:val="0"/>
              <w:adjustRightInd w:val="0"/>
              <w:ind w:left="0" w:firstLine="0"/>
              <w:jc w:val="center"/>
              <w:rPr>
                <w:b/>
                <w:bCs/>
                <w:szCs w:val="22"/>
              </w:rPr>
            </w:pPr>
            <w:r w:rsidRPr="001B4A02">
              <w:rPr>
                <w:b/>
                <w:bCs/>
                <w:szCs w:val="22"/>
              </w:rPr>
              <w:t>20/10</w:t>
            </w:r>
            <w:r w:rsidR="00883A75">
              <w:rPr>
                <w:b/>
                <w:bCs/>
                <w:szCs w:val="22"/>
              </w:rPr>
              <w:t> mg</w:t>
            </w:r>
          </w:p>
          <w:p w14:paraId="798776A4" w14:textId="77777777" w:rsidR="00BF09F2" w:rsidRPr="001B4A02" w:rsidRDefault="00000000" w:rsidP="00E571F5">
            <w:pPr>
              <w:keepLines/>
              <w:tabs>
                <w:tab w:val="left" w:pos="-1080"/>
              </w:tabs>
              <w:autoSpaceDE w:val="0"/>
              <w:autoSpaceDN w:val="0"/>
              <w:adjustRightInd w:val="0"/>
              <w:ind w:left="0" w:firstLine="0"/>
              <w:jc w:val="center"/>
              <w:rPr>
                <w:b/>
                <w:bCs/>
                <w:szCs w:val="22"/>
              </w:rPr>
            </w:pPr>
            <w:r w:rsidRPr="001B4A02">
              <w:rPr>
                <w:b/>
                <w:bCs/>
                <w:szCs w:val="22"/>
              </w:rPr>
              <w:t>každý druhý týden</w:t>
            </w:r>
          </w:p>
        </w:tc>
        <w:tc>
          <w:tcPr>
            <w:tcW w:w="1388" w:type="dxa"/>
            <w:tcBorders>
              <w:top w:val="single" w:sz="6" w:space="0" w:color="000000"/>
              <w:left w:val="single" w:sz="6" w:space="0" w:color="000000"/>
              <w:bottom w:val="single" w:sz="6" w:space="0" w:color="000000"/>
              <w:right w:val="single" w:sz="6" w:space="0" w:color="000000"/>
            </w:tcBorders>
          </w:tcPr>
          <w:p w14:paraId="5CDF6E55" w14:textId="77777777" w:rsidR="00BF09F2"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P hodnota</w:t>
            </w:r>
            <w:r w:rsidRPr="001B4A02">
              <w:rPr>
                <w:b/>
                <w:bCs/>
                <w:szCs w:val="22"/>
                <w:vertAlign w:val="superscript"/>
              </w:rPr>
              <w:t>1</w:t>
            </w:r>
          </w:p>
        </w:tc>
      </w:tr>
      <w:tr w:rsidR="00534A2D" w14:paraId="301C5D03"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vAlign w:val="bottom"/>
          </w:tcPr>
          <w:p w14:paraId="33D963CE" w14:textId="77777777" w:rsidR="00BF09F2" w:rsidRPr="001B4A02" w:rsidRDefault="00000000" w:rsidP="00E571F5">
            <w:pPr>
              <w:keepNext/>
              <w:keepLines/>
              <w:tabs>
                <w:tab w:val="left" w:pos="-1080"/>
              </w:tabs>
              <w:autoSpaceDE w:val="0"/>
              <w:autoSpaceDN w:val="0"/>
              <w:adjustRightInd w:val="0"/>
              <w:rPr>
                <w:b/>
                <w:szCs w:val="22"/>
              </w:rPr>
            </w:pPr>
            <w:r w:rsidRPr="001B4A02">
              <w:rPr>
                <w:b/>
                <w:szCs w:val="22"/>
              </w:rPr>
              <w:t>Vysazení kortikosteroidů</w:t>
            </w:r>
          </w:p>
        </w:tc>
        <w:tc>
          <w:tcPr>
            <w:tcW w:w="2447" w:type="dxa"/>
            <w:tcBorders>
              <w:top w:val="single" w:sz="6" w:space="0" w:color="000000"/>
              <w:left w:val="single" w:sz="6" w:space="0" w:color="000000"/>
              <w:bottom w:val="single" w:sz="6" w:space="0" w:color="000000"/>
              <w:right w:val="single" w:sz="6" w:space="0" w:color="000000"/>
            </w:tcBorders>
            <w:vAlign w:val="bottom"/>
          </w:tcPr>
          <w:p w14:paraId="35D6B513" w14:textId="77777777" w:rsidR="00BF09F2" w:rsidRPr="001B4A02" w:rsidRDefault="00000000" w:rsidP="00E571F5">
            <w:pPr>
              <w:keepLines/>
              <w:tabs>
                <w:tab w:val="left" w:pos="-1080"/>
              </w:tabs>
              <w:autoSpaceDE w:val="0"/>
              <w:autoSpaceDN w:val="0"/>
              <w:adjustRightInd w:val="0"/>
              <w:ind w:left="0" w:firstLine="0"/>
              <w:jc w:val="center"/>
              <w:rPr>
                <w:b/>
                <w:szCs w:val="22"/>
              </w:rPr>
            </w:pPr>
            <w:r>
              <w:rPr>
                <w:b/>
                <w:szCs w:val="22"/>
              </w:rPr>
              <w:t>n</w:t>
            </w:r>
            <w:r w:rsidRPr="001B4A02">
              <w:rPr>
                <w:b/>
                <w:szCs w:val="22"/>
              </w:rPr>
              <w:t>=33</w:t>
            </w:r>
          </w:p>
        </w:tc>
        <w:tc>
          <w:tcPr>
            <w:tcW w:w="2231" w:type="dxa"/>
            <w:tcBorders>
              <w:top w:val="single" w:sz="6" w:space="0" w:color="000000"/>
              <w:left w:val="single" w:sz="6" w:space="0" w:color="000000"/>
              <w:bottom w:val="single" w:sz="6" w:space="0" w:color="000000"/>
              <w:right w:val="single" w:sz="6" w:space="0" w:color="000000"/>
            </w:tcBorders>
            <w:vAlign w:val="bottom"/>
          </w:tcPr>
          <w:p w14:paraId="08ED5F37" w14:textId="77777777" w:rsidR="00BF09F2" w:rsidRPr="001B4A02" w:rsidRDefault="00000000" w:rsidP="00E571F5">
            <w:pPr>
              <w:keepLines/>
              <w:tabs>
                <w:tab w:val="left" w:pos="-1080"/>
              </w:tabs>
              <w:autoSpaceDE w:val="0"/>
              <w:autoSpaceDN w:val="0"/>
              <w:adjustRightInd w:val="0"/>
              <w:ind w:left="0" w:firstLine="0"/>
              <w:jc w:val="center"/>
              <w:rPr>
                <w:b/>
                <w:szCs w:val="22"/>
              </w:rPr>
            </w:pPr>
            <w:r>
              <w:rPr>
                <w:b/>
                <w:szCs w:val="22"/>
              </w:rPr>
              <w:t>n</w:t>
            </w:r>
            <w:r w:rsidRPr="001B4A02">
              <w:rPr>
                <w:b/>
                <w:szCs w:val="22"/>
              </w:rPr>
              <w:t>=38</w:t>
            </w:r>
          </w:p>
        </w:tc>
        <w:tc>
          <w:tcPr>
            <w:tcW w:w="1388" w:type="dxa"/>
            <w:tcBorders>
              <w:top w:val="single" w:sz="6" w:space="0" w:color="000000"/>
              <w:left w:val="single" w:sz="6" w:space="0" w:color="000000"/>
              <w:bottom w:val="single" w:sz="6" w:space="0" w:color="000000"/>
              <w:right w:val="single" w:sz="6" w:space="0" w:color="000000"/>
            </w:tcBorders>
            <w:vAlign w:val="bottom"/>
          </w:tcPr>
          <w:p w14:paraId="156A7522" w14:textId="77777777" w:rsidR="00BF09F2" w:rsidRPr="001B4A02" w:rsidRDefault="00BF09F2" w:rsidP="00E571F5">
            <w:pPr>
              <w:keepNext/>
              <w:autoSpaceDE w:val="0"/>
              <w:autoSpaceDN w:val="0"/>
              <w:adjustRightInd w:val="0"/>
              <w:ind w:left="0" w:firstLine="0"/>
              <w:jc w:val="center"/>
              <w:rPr>
                <w:b/>
                <w:szCs w:val="22"/>
              </w:rPr>
            </w:pPr>
          </w:p>
        </w:tc>
      </w:tr>
      <w:tr w:rsidR="00534A2D" w14:paraId="525B5010"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vAlign w:val="bottom"/>
          </w:tcPr>
          <w:p w14:paraId="4B2916C1" w14:textId="77777777" w:rsidR="00BF09F2" w:rsidRPr="001B4A02" w:rsidRDefault="00000000" w:rsidP="00E571F5">
            <w:pPr>
              <w:keepNext/>
              <w:keepLines/>
              <w:tabs>
                <w:tab w:val="left" w:pos="-1080"/>
              </w:tabs>
              <w:autoSpaceDE w:val="0"/>
              <w:autoSpaceDN w:val="0"/>
              <w:adjustRightInd w:val="0"/>
              <w:rPr>
                <w:bCs/>
                <w:szCs w:val="22"/>
              </w:rPr>
            </w:pPr>
            <w:r w:rsidRPr="001B4A02">
              <w:rPr>
                <w:bCs/>
                <w:szCs w:val="22"/>
              </w:rPr>
              <w:t>Týden 26</w:t>
            </w:r>
          </w:p>
        </w:tc>
        <w:tc>
          <w:tcPr>
            <w:tcW w:w="2447" w:type="dxa"/>
            <w:tcBorders>
              <w:top w:val="single" w:sz="6" w:space="0" w:color="000000"/>
              <w:left w:val="single" w:sz="6" w:space="0" w:color="000000"/>
              <w:bottom w:val="single" w:sz="6" w:space="0" w:color="000000"/>
              <w:right w:val="single" w:sz="6" w:space="0" w:color="000000"/>
            </w:tcBorders>
            <w:vAlign w:val="bottom"/>
          </w:tcPr>
          <w:p w14:paraId="025ABBB7"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84,8</w:t>
            </w:r>
            <w:r>
              <w:rPr>
                <w:szCs w:val="22"/>
              </w:rPr>
              <w:t> %</w:t>
            </w:r>
          </w:p>
        </w:tc>
        <w:tc>
          <w:tcPr>
            <w:tcW w:w="2231" w:type="dxa"/>
            <w:tcBorders>
              <w:top w:val="single" w:sz="6" w:space="0" w:color="000000"/>
              <w:left w:val="single" w:sz="6" w:space="0" w:color="000000"/>
              <w:bottom w:val="single" w:sz="6" w:space="0" w:color="000000"/>
              <w:right w:val="single" w:sz="6" w:space="0" w:color="000000"/>
            </w:tcBorders>
            <w:vAlign w:val="bottom"/>
          </w:tcPr>
          <w:p w14:paraId="6DE00789"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65,8</w:t>
            </w:r>
            <w:r>
              <w:rPr>
                <w:szCs w:val="22"/>
              </w:rPr>
              <w:t> %</w:t>
            </w:r>
          </w:p>
        </w:tc>
        <w:tc>
          <w:tcPr>
            <w:tcW w:w="1388" w:type="dxa"/>
            <w:tcBorders>
              <w:top w:val="single" w:sz="6" w:space="0" w:color="000000"/>
              <w:left w:val="single" w:sz="6" w:space="0" w:color="000000"/>
              <w:bottom w:val="single" w:sz="6" w:space="0" w:color="000000"/>
              <w:right w:val="single" w:sz="6" w:space="0" w:color="000000"/>
            </w:tcBorders>
            <w:vAlign w:val="bottom"/>
          </w:tcPr>
          <w:p w14:paraId="468E0B7B" w14:textId="77777777" w:rsidR="00BF09F2"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0,066</w:t>
            </w:r>
          </w:p>
        </w:tc>
      </w:tr>
      <w:tr w:rsidR="00534A2D" w14:paraId="05071F37"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vAlign w:val="bottom"/>
          </w:tcPr>
          <w:p w14:paraId="141B629D" w14:textId="77777777" w:rsidR="00BF09F2" w:rsidRPr="001B4A02" w:rsidRDefault="00000000" w:rsidP="00E571F5">
            <w:pPr>
              <w:keepNext/>
              <w:keepLines/>
              <w:tabs>
                <w:tab w:val="left" w:pos="-1080"/>
              </w:tabs>
              <w:autoSpaceDE w:val="0"/>
              <w:autoSpaceDN w:val="0"/>
              <w:adjustRightInd w:val="0"/>
              <w:rPr>
                <w:bCs/>
                <w:szCs w:val="22"/>
              </w:rPr>
            </w:pPr>
            <w:r w:rsidRPr="001B4A02">
              <w:rPr>
                <w:bCs/>
                <w:szCs w:val="22"/>
              </w:rPr>
              <w:t>Týden 52</w:t>
            </w:r>
          </w:p>
        </w:tc>
        <w:tc>
          <w:tcPr>
            <w:tcW w:w="2447" w:type="dxa"/>
            <w:tcBorders>
              <w:top w:val="single" w:sz="6" w:space="0" w:color="000000"/>
              <w:left w:val="single" w:sz="6" w:space="0" w:color="000000"/>
              <w:bottom w:val="single" w:sz="6" w:space="0" w:color="000000"/>
              <w:right w:val="single" w:sz="6" w:space="0" w:color="000000"/>
            </w:tcBorders>
          </w:tcPr>
          <w:p w14:paraId="79A2CA9E"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69,7</w:t>
            </w:r>
            <w:r>
              <w:rPr>
                <w:szCs w:val="22"/>
              </w:rPr>
              <w:t> %</w:t>
            </w:r>
          </w:p>
        </w:tc>
        <w:tc>
          <w:tcPr>
            <w:tcW w:w="2231" w:type="dxa"/>
            <w:tcBorders>
              <w:top w:val="single" w:sz="6" w:space="0" w:color="000000"/>
              <w:left w:val="single" w:sz="6" w:space="0" w:color="000000"/>
              <w:bottom w:val="single" w:sz="6" w:space="0" w:color="000000"/>
              <w:right w:val="single" w:sz="6" w:space="0" w:color="000000"/>
            </w:tcBorders>
          </w:tcPr>
          <w:p w14:paraId="75440854"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60,5</w:t>
            </w:r>
            <w:r>
              <w:rPr>
                <w:szCs w:val="22"/>
              </w:rPr>
              <w:t> %</w:t>
            </w:r>
          </w:p>
        </w:tc>
        <w:tc>
          <w:tcPr>
            <w:tcW w:w="1388" w:type="dxa"/>
            <w:tcBorders>
              <w:top w:val="single" w:sz="6" w:space="0" w:color="000000"/>
              <w:left w:val="single" w:sz="6" w:space="0" w:color="000000"/>
              <w:bottom w:val="single" w:sz="6" w:space="0" w:color="000000"/>
              <w:right w:val="single" w:sz="6" w:space="0" w:color="000000"/>
            </w:tcBorders>
            <w:vAlign w:val="bottom"/>
          </w:tcPr>
          <w:p w14:paraId="4E008550" w14:textId="77777777" w:rsidR="00BF09F2"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0,420</w:t>
            </w:r>
          </w:p>
        </w:tc>
      </w:tr>
      <w:tr w:rsidR="00534A2D" w14:paraId="2C3BA29B"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vAlign w:val="bottom"/>
          </w:tcPr>
          <w:p w14:paraId="7D452997" w14:textId="77777777" w:rsidR="00BF09F2" w:rsidRPr="001B4A02" w:rsidRDefault="00000000" w:rsidP="00E571F5">
            <w:pPr>
              <w:keepNext/>
              <w:keepLines/>
              <w:tabs>
                <w:tab w:val="left" w:pos="-1080"/>
              </w:tabs>
              <w:autoSpaceDE w:val="0"/>
              <w:autoSpaceDN w:val="0"/>
              <w:adjustRightInd w:val="0"/>
              <w:rPr>
                <w:b/>
                <w:szCs w:val="22"/>
              </w:rPr>
            </w:pPr>
            <w:r w:rsidRPr="001B4A02">
              <w:rPr>
                <w:b/>
                <w:szCs w:val="22"/>
              </w:rPr>
              <w:t>Vysazení imunomodulátorů</w:t>
            </w:r>
            <w:r w:rsidRPr="001B4A02">
              <w:rPr>
                <w:b/>
                <w:szCs w:val="22"/>
                <w:vertAlign w:val="superscript"/>
              </w:rPr>
              <w:t>2</w:t>
            </w:r>
          </w:p>
        </w:tc>
        <w:tc>
          <w:tcPr>
            <w:tcW w:w="2447" w:type="dxa"/>
            <w:tcBorders>
              <w:top w:val="single" w:sz="6" w:space="0" w:color="000000"/>
              <w:left w:val="single" w:sz="6" w:space="0" w:color="000000"/>
              <w:bottom w:val="single" w:sz="6" w:space="0" w:color="000000"/>
              <w:right w:val="single" w:sz="6" w:space="0" w:color="000000"/>
            </w:tcBorders>
            <w:vAlign w:val="bottom"/>
          </w:tcPr>
          <w:p w14:paraId="615970ED" w14:textId="77777777" w:rsidR="00BF09F2" w:rsidRPr="001B4A02" w:rsidRDefault="00000000" w:rsidP="00E571F5">
            <w:pPr>
              <w:keepLines/>
              <w:tabs>
                <w:tab w:val="left" w:pos="-1080"/>
              </w:tabs>
              <w:autoSpaceDE w:val="0"/>
              <w:autoSpaceDN w:val="0"/>
              <w:adjustRightInd w:val="0"/>
              <w:ind w:left="0" w:firstLine="0"/>
              <w:jc w:val="center"/>
              <w:rPr>
                <w:b/>
                <w:szCs w:val="22"/>
              </w:rPr>
            </w:pPr>
            <w:r>
              <w:rPr>
                <w:b/>
                <w:szCs w:val="22"/>
              </w:rPr>
              <w:t>n</w:t>
            </w:r>
            <w:r w:rsidRPr="001B4A02">
              <w:rPr>
                <w:b/>
                <w:szCs w:val="22"/>
              </w:rPr>
              <w:t>=60</w:t>
            </w:r>
          </w:p>
        </w:tc>
        <w:tc>
          <w:tcPr>
            <w:tcW w:w="2231" w:type="dxa"/>
            <w:tcBorders>
              <w:top w:val="single" w:sz="6" w:space="0" w:color="000000"/>
              <w:left w:val="single" w:sz="6" w:space="0" w:color="000000"/>
              <w:bottom w:val="single" w:sz="6" w:space="0" w:color="000000"/>
              <w:right w:val="single" w:sz="6" w:space="0" w:color="000000"/>
            </w:tcBorders>
            <w:vAlign w:val="bottom"/>
          </w:tcPr>
          <w:p w14:paraId="3F4E23AB" w14:textId="77777777" w:rsidR="00BF09F2" w:rsidRPr="001B4A02" w:rsidRDefault="00000000" w:rsidP="00E571F5">
            <w:pPr>
              <w:keepLines/>
              <w:tabs>
                <w:tab w:val="left" w:pos="-1080"/>
              </w:tabs>
              <w:autoSpaceDE w:val="0"/>
              <w:autoSpaceDN w:val="0"/>
              <w:adjustRightInd w:val="0"/>
              <w:ind w:left="0" w:firstLine="0"/>
              <w:jc w:val="center"/>
              <w:rPr>
                <w:b/>
                <w:szCs w:val="22"/>
              </w:rPr>
            </w:pPr>
            <w:r>
              <w:rPr>
                <w:b/>
                <w:szCs w:val="22"/>
              </w:rPr>
              <w:t>n</w:t>
            </w:r>
            <w:r w:rsidRPr="001B4A02">
              <w:rPr>
                <w:b/>
                <w:szCs w:val="22"/>
              </w:rPr>
              <w:t>=57</w:t>
            </w:r>
          </w:p>
        </w:tc>
        <w:tc>
          <w:tcPr>
            <w:tcW w:w="1388" w:type="dxa"/>
            <w:tcBorders>
              <w:top w:val="single" w:sz="6" w:space="0" w:color="000000"/>
              <w:left w:val="single" w:sz="6" w:space="0" w:color="000000"/>
              <w:bottom w:val="single" w:sz="6" w:space="0" w:color="000000"/>
              <w:right w:val="single" w:sz="6" w:space="0" w:color="000000"/>
            </w:tcBorders>
            <w:vAlign w:val="bottom"/>
          </w:tcPr>
          <w:p w14:paraId="33BB1C5B" w14:textId="77777777" w:rsidR="00BF09F2" w:rsidRPr="001B4A02" w:rsidRDefault="00BF09F2" w:rsidP="00E571F5">
            <w:pPr>
              <w:keepNext/>
              <w:autoSpaceDE w:val="0"/>
              <w:autoSpaceDN w:val="0"/>
              <w:adjustRightInd w:val="0"/>
              <w:ind w:left="0" w:firstLine="0"/>
              <w:jc w:val="center"/>
              <w:rPr>
                <w:b/>
                <w:szCs w:val="22"/>
              </w:rPr>
            </w:pPr>
          </w:p>
        </w:tc>
      </w:tr>
      <w:tr w:rsidR="00534A2D" w14:paraId="116645CC"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tcPr>
          <w:p w14:paraId="06D9DC18" w14:textId="77777777" w:rsidR="00BF09F2" w:rsidRPr="001B4A02" w:rsidRDefault="00000000" w:rsidP="00E571F5">
            <w:pPr>
              <w:keepNext/>
              <w:keepLines/>
              <w:tabs>
                <w:tab w:val="left" w:pos="-1080"/>
              </w:tabs>
              <w:autoSpaceDE w:val="0"/>
              <w:autoSpaceDN w:val="0"/>
              <w:adjustRightInd w:val="0"/>
              <w:rPr>
                <w:bCs/>
                <w:szCs w:val="22"/>
              </w:rPr>
            </w:pPr>
            <w:r w:rsidRPr="001B4A02">
              <w:rPr>
                <w:bCs/>
                <w:szCs w:val="22"/>
              </w:rPr>
              <w:t>Týden 52</w:t>
            </w:r>
          </w:p>
        </w:tc>
        <w:tc>
          <w:tcPr>
            <w:tcW w:w="2447" w:type="dxa"/>
            <w:tcBorders>
              <w:top w:val="single" w:sz="6" w:space="0" w:color="000000"/>
              <w:left w:val="single" w:sz="6" w:space="0" w:color="000000"/>
              <w:bottom w:val="single" w:sz="6" w:space="0" w:color="000000"/>
              <w:right w:val="single" w:sz="6" w:space="0" w:color="000000"/>
            </w:tcBorders>
          </w:tcPr>
          <w:p w14:paraId="6EDD38A4"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30,0</w:t>
            </w:r>
            <w:r>
              <w:rPr>
                <w:szCs w:val="22"/>
              </w:rPr>
              <w:t> %</w:t>
            </w:r>
          </w:p>
        </w:tc>
        <w:tc>
          <w:tcPr>
            <w:tcW w:w="2231" w:type="dxa"/>
            <w:tcBorders>
              <w:top w:val="single" w:sz="6" w:space="0" w:color="000000"/>
              <w:left w:val="single" w:sz="6" w:space="0" w:color="000000"/>
              <w:bottom w:val="single" w:sz="6" w:space="0" w:color="000000"/>
              <w:right w:val="single" w:sz="6" w:space="0" w:color="000000"/>
            </w:tcBorders>
          </w:tcPr>
          <w:p w14:paraId="37D2E710"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rPr>
                <w:szCs w:val="22"/>
              </w:rPr>
              <w:t>29,8</w:t>
            </w:r>
            <w:r>
              <w:rPr>
                <w:szCs w:val="22"/>
              </w:rPr>
              <w:t> %</w:t>
            </w:r>
          </w:p>
        </w:tc>
        <w:tc>
          <w:tcPr>
            <w:tcW w:w="1388" w:type="dxa"/>
            <w:tcBorders>
              <w:top w:val="single" w:sz="6" w:space="0" w:color="000000"/>
              <w:left w:val="single" w:sz="6" w:space="0" w:color="000000"/>
              <w:bottom w:val="single" w:sz="6" w:space="0" w:color="000000"/>
              <w:right w:val="single" w:sz="6" w:space="0" w:color="000000"/>
            </w:tcBorders>
          </w:tcPr>
          <w:p w14:paraId="30F7117A" w14:textId="77777777" w:rsidR="00BF09F2"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0,983</w:t>
            </w:r>
          </w:p>
        </w:tc>
      </w:tr>
      <w:tr w:rsidR="00534A2D" w14:paraId="7824AEA7"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tcPr>
          <w:p w14:paraId="1B9059BC" w14:textId="77777777" w:rsidR="00BF09F2" w:rsidRPr="001B4A02" w:rsidRDefault="00000000" w:rsidP="00E571F5">
            <w:pPr>
              <w:keepNext/>
              <w:keepLines/>
              <w:tabs>
                <w:tab w:val="left" w:pos="-1080"/>
              </w:tabs>
              <w:autoSpaceDE w:val="0"/>
              <w:autoSpaceDN w:val="0"/>
              <w:adjustRightInd w:val="0"/>
              <w:rPr>
                <w:b/>
                <w:bCs/>
                <w:szCs w:val="22"/>
              </w:rPr>
            </w:pPr>
            <w:r w:rsidRPr="001B4A02">
              <w:rPr>
                <w:b/>
              </w:rPr>
              <w:t>Remise píštělí</w:t>
            </w:r>
            <w:r w:rsidRPr="001B4A02">
              <w:rPr>
                <w:b/>
                <w:vertAlign w:val="superscript"/>
              </w:rPr>
              <w:t>3</w:t>
            </w:r>
          </w:p>
        </w:tc>
        <w:tc>
          <w:tcPr>
            <w:tcW w:w="2447" w:type="dxa"/>
            <w:tcBorders>
              <w:top w:val="single" w:sz="6" w:space="0" w:color="000000"/>
              <w:left w:val="single" w:sz="6" w:space="0" w:color="000000"/>
              <w:bottom w:val="single" w:sz="6" w:space="0" w:color="000000"/>
              <w:right w:val="single" w:sz="6" w:space="0" w:color="000000"/>
            </w:tcBorders>
          </w:tcPr>
          <w:p w14:paraId="0BCF44BC" w14:textId="77777777" w:rsidR="00BF09F2" w:rsidRPr="001B4A02" w:rsidRDefault="00000000" w:rsidP="00E571F5">
            <w:pPr>
              <w:keepLines/>
              <w:tabs>
                <w:tab w:val="left" w:pos="-1080"/>
              </w:tabs>
              <w:autoSpaceDE w:val="0"/>
              <w:autoSpaceDN w:val="0"/>
              <w:adjustRightInd w:val="0"/>
              <w:ind w:left="0" w:firstLine="0"/>
              <w:jc w:val="center"/>
              <w:rPr>
                <w:b/>
                <w:szCs w:val="22"/>
              </w:rPr>
            </w:pPr>
            <w:r>
              <w:rPr>
                <w:b/>
                <w:szCs w:val="22"/>
              </w:rPr>
              <w:t>n</w:t>
            </w:r>
            <w:r w:rsidRPr="001B4A02">
              <w:rPr>
                <w:b/>
                <w:szCs w:val="22"/>
              </w:rPr>
              <w:t>=15</w:t>
            </w:r>
          </w:p>
        </w:tc>
        <w:tc>
          <w:tcPr>
            <w:tcW w:w="2231" w:type="dxa"/>
            <w:tcBorders>
              <w:top w:val="single" w:sz="6" w:space="0" w:color="000000"/>
              <w:left w:val="single" w:sz="6" w:space="0" w:color="000000"/>
              <w:bottom w:val="single" w:sz="6" w:space="0" w:color="000000"/>
              <w:right w:val="single" w:sz="6" w:space="0" w:color="000000"/>
            </w:tcBorders>
          </w:tcPr>
          <w:p w14:paraId="298CA60F" w14:textId="77777777" w:rsidR="00BF09F2" w:rsidRPr="001B4A02" w:rsidRDefault="00000000" w:rsidP="00E571F5">
            <w:pPr>
              <w:keepLines/>
              <w:tabs>
                <w:tab w:val="left" w:pos="-1080"/>
              </w:tabs>
              <w:autoSpaceDE w:val="0"/>
              <w:autoSpaceDN w:val="0"/>
              <w:adjustRightInd w:val="0"/>
              <w:ind w:left="0" w:firstLine="0"/>
              <w:jc w:val="center"/>
              <w:rPr>
                <w:b/>
                <w:szCs w:val="22"/>
              </w:rPr>
            </w:pPr>
            <w:r>
              <w:rPr>
                <w:b/>
                <w:szCs w:val="22"/>
              </w:rPr>
              <w:t>n</w:t>
            </w:r>
            <w:r w:rsidRPr="001B4A02">
              <w:rPr>
                <w:b/>
                <w:szCs w:val="22"/>
              </w:rPr>
              <w:t>=21</w:t>
            </w:r>
          </w:p>
        </w:tc>
        <w:tc>
          <w:tcPr>
            <w:tcW w:w="1388" w:type="dxa"/>
            <w:tcBorders>
              <w:top w:val="single" w:sz="6" w:space="0" w:color="000000"/>
              <w:left w:val="single" w:sz="6" w:space="0" w:color="000000"/>
              <w:bottom w:val="single" w:sz="6" w:space="0" w:color="000000"/>
              <w:right w:val="single" w:sz="6" w:space="0" w:color="000000"/>
            </w:tcBorders>
          </w:tcPr>
          <w:p w14:paraId="13CB450D" w14:textId="77777777" w:rsidR="00BF09F2" w:rsidRPr="001B4A02" w:rsidRDefault="00BF09F2" w:rsidP="00E571F5">
            <w:pPr>
              <w:keepNext/>
              <w:keepLines/>
              <w:tabs>
                <w:tab w:val="left" w:pos="-1080"/>
              </w:tabs>
              <w:autoSpaceDE w:val="0"/>
              <w:autoSpaceDN w:val="0"/>
              <w:adjustRightInd w:val="0"/>
              <w:ind w:left="0" w:firstLine="0"/>
              <w:jc w:val="center"/>
              <w:rPr>
                <w:szCs w:val="22"/>
              </w:rPr>
            </w:pPr>
          </w:p>
        </w:tc>
      </w:tr>
      <w:tr w:rsidR="00534A2D" w14:paraId="480337E3"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tcPr>
          <w:p w14:paraId="324D3FF2" w14:textId="77777777" w:rsidR="00BF09F2" w:rsidRPr="001B4A02" w:rsidRDefault="00000000" w:rsidP="00E571F5">
            <w:pPr>
              <w:keepNext/>
              <w:keepLines/>
              <w:tabs>
                <w:tab w:val="left" w:pos="-1080"/>
              </w:tabs>
              <w:autoSpaceDE w:val="0"/>
              <w:autoSpaceDN w:val="0"/>
              <w:adjustRightInd w:val="0"/>
              <w:rPr>
                <w:bCs/>
                <w:szCs w:val="22"/>
              </w:rPr>
            </w:pPr>
            <w:r w:rsidRPr="001B4A02">
              <w:rPr>
                <w:bCs/>
                <w:szCs w:val="22"/>
              </w:rPr>
              <w:t>Týden 26</w:t>
            </w:r>
          </w:p>
        </w:tc>
        <w:tc>
          <w:tcPr>
            <w:tcW w:w="2447" w:type="dxa"/>
            <w:tcBorders>
              <w:top w:val="single" w:sz="6" w:space="0" w:color="000000"/>
              <w:left w:val="single" w:sz="6" w:space="0" w:color="000000"/>
              <w:bottom w:val="single" w:sz="6" w:space="0" w:color="000000"/>
              <w:right w:val="single" w:sz="6" w:space="0" w:color="000000"/>
            </w:tcBorders>
          </w:tcPr>
          <w:p w14:paraId="589AE361"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t>46,7</w:t>
            </w:r>
            <w:r>
              <w:t> %</w:t>
            </w:r>
          </w:p>
        </w:tc>
        <w:tc>
          <w:tcPr>
            <w:tcW w:w="2231" w:type="dxa"/>
            <w:tcBorders>
              <w:top w:val="single" w:sz="6" w:space="0" w:color="000000"/>
              <w:left w:val="single" w:sz="6" w:space="0" w:color="000000"/>
              <w:bottom w:val="single" w:sz="6" w:space="0" w:color="000000"/>
              <w:right w:val="single" w:sz="6" w:space="0" w:color="000000"/>
            </w:tcBorders>
          </w:tcPr>
          <w:p w14:paraId="4911F07B" w14:textId="77777777" w:rsidR="00BF09F2" w:rsidRPr="001B4A02" w:rsidRDefault="00000000" w:rsidP="00E571F5">
            <w:pPr>
              <w:keepLines/>
              <w:tabs>
                <w:tab w:val="left" w:pos="-1080"/>
              </w:tabs>
              <w:autoSpaceDE w:val="0"/>
              <w:autoSpaceDN w:val="0"/>
              <w:adjustRightInd w:val="0"/>
              <w:ind w:left="0" w:firstLine="0"/>
              <w:jc w:val="center"/>
              <w:rPr>
                <w:szCs w:val="22"/>
              </w:rPr>
            </w:pPr>
            <w:r w:rsidRPr="001B4A02">
              <w:t>38,1</w:t>
            </w:r>
            <w:r>
              <w:t> %</w:t>
            </w:r>
          </w:p>
        </w:tc>
        <w:tc>
          <w:tcPr>
            <w:tcW w:w="1388" w:type="dxa"/>
            <w:tcBorders>
              <w:top w:val="single" w:sz="6" w:space="0" w:color="000000"/>
              <w:left w:val="single" w:sz="6" w:space="0" w:color="000000"/>
              <w:bottom w:val="single" w:sz="6" w:space="0" w:color="000000"/>
              <w:right w:val="single" w:sz="6" w:space="0" w:color="000000"/>
            </w:tcBorders>
          </w:tcPr>
          <w:p w14:paraId="50437C45" w14:textId="77777777" w:rsidR="00BF09F2" w:rsidRPr="001B4A02" w:rsidRDefault="00000000" w:rsidP="00E571F5">
            <w:pPr>
              <w:keepNext/>
              <w:keepLines/>
              <w:tabs>
                <w:tab w:val="left" w:pos="-1080"/>
              </w:tabs>
              <w:autoSpaceDE w:val="0"/>
              <w:autoSpaceDN w:val="0"/>
              <w:adjustRightInd w:val="0"/>
              <w:ind w:left="0" w:firstLine="0"/>
              <w:jc w:val="center"/>
              <w:rPr>
                <w:szCs w:val="22"/>
              </w:rPr>
            </w:pPr>
            <w:r w:rsidRPr="001B4A02">
              <w:t>0,608</w:t>
            </w:r>
          </w:p>
        </w:tc>
      </w:tr>
      <w:tr w:rsidR="00534A2D" w14:paraId="4402350E" w14:textId="77777777" w:rsidTr="00E571F5">
        <w:trPr>
          <w:jc w:val="center"/>
        </w:trPr>
        <w:tc>
          <w:tcPr>
            <w:tcW w:w="3234" w:type="dxa"/>
            <w:tcBorders>
              <w:top w:val="single" w:sz="6" w:space="0" w:color="000000"/>
              <w:left w:val="single" w:sz="6" w:space="0" w:color="000000"/>
              <w:bottom w:val="single" w:sz="4" w:space="0" w:color="auto"/>
              <w:right w:val="single" w:sz="6" w:space="0" w:color="000000"/>
            </w:tcBorders>
          </w:tcPr>
          <w:p w14:paraId="3E83CA9E" w14:textId="77777777" w:rsidR="00BF09F2" w:rsidRPr="001B4A02" w:rsidRDefault="00000000" w:rsidP="00E571F5">
            <w:pPr>
              <w:keepNext/>
              <w:keepLines/>
              <w:tabs>
                <w:tab w:val="left" w:pos="-1080"/>
              </w:tabs>
              <w:autoSpaceDE w:val="0"/>
              <w:autoSpaceDN w:val="0"/>
              <w:adjustRightInd w:val="0"/>
              <w:rPr>
                <w:bCs/>
                <w:szCs w:val="22"/>
              </w:rPr>
            </w:pPr>
            <w:r w:rsidRPr="001B4A02">
              <w:t>Týden 52</w:t>
            </w:r>
          </w:p>
        </w:tc>
        <w:tc>
          <w:tcPr>
            <w:tcW w:w="2447" w:type="dxa"/>
            <w:tcBorders>
              <w:top w:val="single" w:sz="6" w:space="0" w:color="000000"/>
              <w:left w:val="single" w:sz="6" w:space="0" w:color="000000"/>
              <w:bottom w:val="single" w:sz="4" w:space="0" w:color="auto"/>
              <w:right w:val="single" w:sz="6" w:space="0" w:color="000000"/>
            </w:tcBorders>
          </w:tcPr>
          <w:p w14:paraId="6100F05B" w14:textId="77777777" w:rsidR="00BF09F2" w:rsidRPr="001B4A02" w:rsidRDefault="00000000" w:rsidP="00E571F5">
            <w:pPr>
              <w:keepLines/>
              <w:tabs>
                <w:tab w:val="left" w:pos="-1080"/>
              </w:tabs>
              <w:autoSpaceDE w:val="0"/>
              <w:autoSpaceDN w:val="0"/>
              <w:adjustRightInd w:val="0"/>
              <w:ind w:left="0" w:firstLine="0"/>
              <w:jc w:val="center"/>
            </w:pPr>
            <w:r w:rsidRPr="001B4A02">
              <w:t>40,0</w:t>
            </w:r>
            <w:r>
              <w:t> %</w:t>
            </w:r>
          </w:p>
        </w:tc>
        <w:tc>
          <w:tcPr>
            <w:tcW w:w="2231" w:type="dxa"/>
            <w:tcBorders>
              <w:top w:val="single" w:sz="6" w:space="0" w:color="000000"/>
              <w:left w:val="single" w:sz="6" w:space="0" w:color="000000"/>
              <w:bottom w:val="single" w:sz="4" w:space="0" w:color="auto"/>
              <w:right w:val="single" w:sz="6" w:space="0" w:color="000000"/>
            </w:tcBorders>
          </w:tcPr>
          <w:p w14:paraId="7C11AE8B" w14:textId="77777777" w:rsidR="00BF09F2" w:rsidRPr="001B4A02" w:rsidRDefault="00000000" w:rsidP="00E571F5">
            <w:pPr>
              <w:keepLines/>
              <w:tabs>
                <w:tab w:val="left" w:pos="-1080"/>
              </w:tabs>
              <w:autoSpaceDE w:val="0"/>
              <w:autoSpaceDN w:val="0"/>
              <w:adjustRightInd w:val="0"/>
              <w:ind w:left="0" w:firstLine="0"/>
              <w:jc w:val="center"/>
            </w:pPr>
            <w:r w:rsidRPr="001B4A02">
              <w:t>23,8</w:t>
            </w:r>
            <w:r>
              <w:t> %</w:t>
            </w:r>
          </w:p>
        </w:tc>
        <w:tc>
          <w:tcPr>
            <w:tcW w:w="1388" w:type="dxa"/>
            <w:tcBorders>
              <w:top w:val="single" w:sz="6" w:space="0" w:color="000000"/>
              <w:left w:val="single" w:sz="6" w:space="0" w:color="000000"/>
              <w:bottom w:val="single" w:sz="4" w:space="0" w:color="auto"/>
              <w:right w:val="single" w:sz="6" w:space="0" w:color="000000"/>
            </w:tcBorders>
          </w:tcPr>
          <w:p w14:paraId="4D620262" w14:textId="77777777" w:rsidR="00BF09F2" w:rsidRPr="001B4A02" w:rsidRDefault="00000000" w:rsidP="00E571F5">
            <w:pPr>
              <w:keepNext/>
              <w:keepLines/>
              <w:tabs>
                <w:tab w:val="left" w:pos="-1080"/>
              </w:tabs>
              <w:autoSpaceDE w:val="0"/>
              <w:autoSpaceDN w:val="0"/>
              <w:adjustRightInd w:val="0"/>
              <w:ind w:left="0" w:firstLine="0"/>
              <w:jc w:val="center"/>
            </w:pPr>
            <w:r w:rsidRPr="001B4A02">
              <w:t>0,303</w:t>
            </w:r>
          </w:p>
        </w:tc>
      </w:tr>
      <w:tr w:rsidR="00534A2D" w14:paraId="554E4E1B" w14:textId="77777777" w:rsidTr="00E571F5">
        <w:trPr>
          <w:trHeight w:val="177"/>
          <w:jc w:val="center"/>
        </w:trPr>
        <w:tc>
          <w:tcPr>
            <w:tcW w:w="9300" w:type="dxa"/>
            <w:gridSpan w:val="4"/>
            <w:tcBorders>
              <w:top w:val="single" w:sz="4" w:space="0" w:color="auto"/>
              <w:left w:val="nil"/>
              <w:bottom w:val="nil"/>
              <w:right w:val="nil"/>
            </w:tcBorders>
          </w:tcPr>
          <w:p w14:paraId="23BA308E" w14:textId="77777777" w:rsidR="00BF09F2" w:rsidRPr="001B4A02" w:rsidRDefault="00000000" w:rsidP="00E571F5">
            <w:pPr>
              <w:keepLines/>
              <w:tabs>
                <w:tab w:val="left" w:pos="-1080"/>
              </w:tabs>
              <w:autoSpaceDE w:val="0"/>
              <w:autoSpaceDN w:val="0"/>
              <w:adjustRightInd w:val="0"/>
              <w:ind w:left="0" w:firstLine="0"/>
              <w:rPr>
                <w:sz w:val="20"/>
              </w:rPr>
            </w:pPr>
            <w:r w:rsidRPr="001B4A02">
              <w:rPr>
                <w:sz w:val="20"/>
                <w:vertAlign w:val="superscript"/>
              </w:rPr>
              <w:t>1</w:t>
            </w:r>
            <w:r w:rsidRPr="001B4A02">
              <w:rPr>
                <w:sz w:val="20"/>
              </w:rPr>
              <w:t xml:space="preserve"> p hodnota pro standardní dávku v porovnání se sníženou dávkou</w:t>
            </w:r>
          </w:p>
          <w:p w14:paraId="38E58297" w14:textId="77777777" w:rsidR="00BF09F2" w:rsidRPr="001B4A02" w:rsidRDefault="00000000" w:rsidP="00E571F5">
            <w:pPr>
              <w:keepLines/>
              <w:tabs>
                <w:tab w:val="left" w:pos="-1080"/>
              </w:tabs>
              <w:autoSpaceDE w:val="0"/>
              <w:autoSpaceDN w:val="0"/>
              <w:adjustRightInd w:val="0"/>
              <w:ind w:left="257" w:hanging="257"/>
              <w:rPr>
                <w:sz w:val="20"/>
              </w:rPr>
            </w:pPr>
            <w:r w:rsidRPr="001B4A02">
              <w:rPr>
                <w:sz w:val="20"/>
                <w:vertAlign w:val="superscript"/>
              </w:rPr>
              <w:t>2</w:t>
            </w:r>
            <w:r w:rsidRPr="001B4A02">
              <w:rPr>
                <w:sz w:val="20"/>
              </w:rPr>
              <w:t xml:space="preserve"> Léčba imunosupresivy může být vysazena teprve až v týdnu 26 dle úsudku investigátora, pokud subjekt splňuje kritér</w:t>
            </w:r>
            <w:r>
              <w:rPr>
                <w:sz w:val="20"/>
              </w:rPr>
              <w:t>i</w:t>
            </w:r>
            <w:r w:rsidRPr="001B4A02">
              <w:rPr>
                <w:sz w:val="20"/>
              </w:rPr>
              <w:t>a považovaná za odpověď</w:t>
            </w:r>
          </w:p>
          <w:p w14:paraId="57CFADE0" w14:textId="77777777" w:rsidR="00BF09F2" w:rsidRPr="001B4A02" w:rsidRDefault="00000000" w:rsidP="00E571F5">
            <w:pPr>
              <w:keepLines/>
              <w:tabs>
                <w:tab w:val="left" w:pos="-1080"/>
              </w:tabs>
              <w:autoSpaceDE w:val="0"/>
              <w:autoSpaceDN w:val="0"/>
              <w:adjustRightInd w:val="0"/>
              <w:ind w:left="257" w:hanging="257"/>
              <w:rPr>
                <w:szCs w:val="22"/>
              </w:rPr>
            </w:pPr>
            <w:r w:rsidRPr="001B4A02">
              <w:rPr>
                <w:sz w:val="20"/>
                <w:vertAlign w:val="superscript"/>
              </w:rPr>
              <w:t>3</w:t>
            </w:r>
            <w:r w:rsidRPr="001B4A02">
              <w:rPr>
                <w:sz w:val="20"/>
              </w:rPr>
              <w:t xml:space="preserve"> Přetrvávání uzavření všech píštělí po dobu 2 po sobě jdoucích vizit, které byly ve výchozím stavu secernující</w:t>
            </w:r>
          </w:p>
        </w:tc>
      </w:tr>
    </w:tbl>
    <w:p w14:paraId="38173295" w14:textId="77777777" w:rsidR="00BF09F2" w:rsidRPr="001B4A02" w:rsidRDefault="00BF09F2" w:rsidP="00BF09F2">
      <w:pPr>
        <w:pStyle w:val="EMEANormal"/>
        <w:rPr>
          <w:lang w:val="cs-CZ"/>
        </w:rPr>
      </w:pPr>
    </w:p>
    <w:p w14:paraId="6CFC509F" w14:textId="77777777" w:rsidR="00BF09F2" w:rsidRPr="001B4A02" w:rsidRDefault="00000000" w:rsidP="00BF09F2">
      <w:pPr>
        <w:ind w:left="0" w:firstLine="0"/>
      </w:pPr>
      <w:r w:rsidRPr="001B4A02">
        <w:t>Bylo pozorováno statisticky významné zvýšení (zlepšení) Body Mass Indexu</w:t>
      </w:r>
      <w:r w:rsidR="002378E0">
        <w:t xml:space="preserve"> a </w:t>
      </w:r>
      <w:r w:rsidRPr="001B4A02">
        <w:t>rychlosti růstu v týdnu 26</w:t>
      </w:r>
      <w:r w:rsidR="002378E0">
        <w:t xml:space="preserve"> a </w:t>
      </w:r>
      <w:r w:rsidRPr="001B4A02">
        <w:t>52 v porovnání s výchozím stavem.</w:t>
      </w:r>
    </w:p>
    <w:p w14:paraId="26ADE371" w14:textId="77777777" w:rsidR="00BF09F2" w:rsidRPr="001B4A02" w:rsidRDefault="00BF09F2" w:rsidP="00BF09F2">
      <w:pPr>
        <w:ind w:left="0" w:firstLine="0"/>
      </w:pPr>
    </w:p>
    <w:p w14:paraId="77FB2D4E" w14:textId="77777777" w:rsidR="00BF09F2" w:rsidRPr="001B4A02" w:rsidRDefault="00000000" w:rsidP="00BF09F2">
      <w:pPr>
        <w:ind w:left="0" w:firstLine="0"/>
      </w:pPr>
      <w:r w:rsidRPr="001B4A02">
        <w:t>Statisticky</w:t>
      </w:r>
      <w:r w:rsidR="002378E0">
        <w:t xml:space="preserve"> a </w:t>
      </w:r>
      <w:r w:rsidRPr="001B4A02">
        <w:t>klinicky významné zlepšení v parametrech kvality života (včetně IMPACT III) v porovnání s výchozím stavem bylo také pozorováno v obou terapeutických skupinách.</w:t>
      </w:r>
    </w:p>
    <w:p w14:paraId="7A05FF92" w14:textId="77777777" w:rsidR="00BF09F2" w:rsidRPr="001B4A02" w:rsidRDefault="00BF09F2" w:rsidP="00BF09F2">
      <w:pPr>
        <w:ind w:left="0" w:firstLine="0"/>
      </w:pPr>
    </w:p>
    <w:p w14:paraId="532A7627" w14:textId="77777777" w:rsidR="00BF09F2" w:rsidRPr="001B4A02" w:rsidRDefault="00000000" w:rsidP="00BF09F2">
      <w:pPr>
        <w:ind w:left="0" w:firstLine="0"/>
      </w:pPr>
      <w:r w:rsidRPr="001B4A02">
        <w:t>Sto pacientů (n=100) ze studie s Crohnovou chorobou u pediatrických pacientů bylo zařazeno do otevřené dlouhodobé prodloužené fáze studie. Po 5 letech léčby adalimumabem přetrvávala klinická remise u 74</w:t>
      </w:r>
      <w:r>
        <w:t> %</w:t>
      </w:r>
      <w:r w:rsidRPr="001B4A02">
        <w:t xml:space="preserve"> (37 z 50) pacientů setrvávajících ve studii</w:t>
      </w:r>
      <w:r w:rsidR="002378E0">
        <w:t xml:space="preserve"> a </w:t>
      </w:r>
      <w:r w:rsidRPr="001B4A02">
        <w:t>u 92</w:t>
      </w:r>
      <w:r>
        <w:t> %</w:t>
      </w:r>
      <w:r w:rsidRPr="001B4A02">
        <w:t xml:space="preserve"> (46 z 50) pacientů přetrvávala klinická odpověď podle PCDAI.</w:t>
      </w:r>
    </w:p>
    <w:p w14:paraId="1F03A896" w14:textId="77777777" w:rsidR="00BF09F2" w:rsidRPr="001B4A02" w:rsidRDefault="00BF09F2" w:rsidP="00BF09F2">
      <w:pPr>
        <w:ind w:left="0" w:firstLine="0"/>
      </w:pPr>
    </w:p>
    <w:p w14:paraId="6A6743FA" w14:textId="77777777" w:rsidR="00BF09F2" w:rsidRDefault="00000000" w:rsidP="00BF09F2">
      <w:pPr>
        <w:pStyle w:val="gtcbodytext"/>
        <w:keepNext/>
        <w:spacing w:before="0" w:after="0" w:line="240" w:lineRule="auto"/>
        <w:rPr>
          <w:bCs/>
          <w:sz w:val="22"/>
          <w:szCs w:val="22"/>
          <w:bdr w:val="nil"/>
          <w:lang w:val="cs-CZ"/>
        </w:rPr>
      </w:pPr>
      <w:r w:rsidRPr="001B4A02">
        <w:rPr>
          <w:bCs/>
          <w:i/>
          <w:iCs/>
          <w:sz w:val="22"/>
          <w:szCs w:val="22"/>
          <w:lang w:val="cs-CZ"/>
        </w:rPr>
        <w:t>Uveitida u pediatrických pacientů</w:t>
      </w:r>
    </w:p>
    <w:p w14:paraId="16A7C496" w14:textId="77777777" w:rsidR="00BF09F2" w:rsidRDefault="00BF09F2" w:rsidP="00BF09F2">
      <w:pPr>
        <w:pStyle w:val="gtcbodytext"/>
        <w:keepNext/>
        <w:spacing w:before="0" w:after="0" w:line="240" w:lineRule="auto"/>
        <w:rPr>
          <w:bCs/>
          <w:sz w:val="22"/>
          <w:szCs w:val="22"/>
          <w:bdr w:val="nil"/>
          <w:lang w:val="cs-CZ"/>
        </w:rPr>
      </w:pPr>
    </w:p>
    <w:p w14:paraId="3D2D5E26" w14:textId="77777777" w:rsidR="00BF09F2" w:rsidRPr="001B4A02" w:rsidRDefault="00000000" w:rsidP="00BF09F2">
      <w:pPr>
        <w:pStyle w:val="gtcbodytext"/>
        <w:spacing w:before="0" w:after="0" w:line="240" w:lineRule="auto"/>
        <w:rPr>
          <w:bCs/>
          <w:sz w:val="22"/>
          <w:szCs w:val="20"/>
          <w:lang w:val="cs-CZ"/>
        </w:rPr>
      </w:pPr>
      <w:r w:rsidRPr="001B4A02">
        <w:rPr>
          <w:bCs/>
          <w:sz w:val="22"/>
          <w:szCs w:val="22"/>
          <w:lang w:val="cs-CZ"/>
        </w:rPr>
        <w:t>Bezpečnost</w:t>
      </w:r>
      <w:r w:rsidR="002378E0">
        <w:rPr>
          <w:bCs/>
          <w:sz w:val="22"/>
          <w:szCs w:val="22"/>
          <w:lang w:val="cs-CZ"/>
        </w:rPr>
        <w:t xml:space="preserve"> a </w:t>
      </w:r>
      <w:r w:rsidRPr="001B4A02">
        <w:rPr>
          <w:bCs/>
          <w:sz w:val="22"/>
          <w:szCs w:val="22"/>
          <w:lang w:val="cs-CZ"/>
        </w:rPr>
        <w:t>účinnost přípravku Humira byla hodnocena v randomizované, dvojitě zaslepené, kontrolované studii u 90 pediatrických pacientů ve věku od 2 do &lt; 18 let s neinfekční přední uveitidou související s JIA, kteří byli refrakterní na nejméně 12týdenní léčbu methotrexátem. Pacienti dostávali buď placebo nebo 20</w:t>
      </w:r>
      <w:r w:rsidR="00883A75">
        <w:rPr>
          <w:bCs/>
          <w:sz w:val="22"/>
          <w:szCs w:val="22"/>
          <w:lang w:val="cs-CZ"/>
        </w:rPr>
        <w:t> mg</w:t>
      </w:r>
      <w:r w:rsidRPr="001B4A02">
        <w:rPr>
          <w:bCs/>
          <w:sz w:val="22"/>
          <w:szCs w:val="22"/>
          <w:lang w:val="cs-CZ"/>
        </w:rPr>
        <w:t xml:space="preserve"> adalimumabu (pokud měli tělesnou hmotnost &lt; 30</w:t>
      </w:r>
      <w:r w:rsidR="002767FC">
        <w:rPr>
          <w:bCs/>
          <w:sz w:val="22"/>
          <w:szCs w:val="22"/>
          <w:lang w:val="cs-CZ"/>
        </w:rPr>
        <w:t> kg</w:t>
      </w:r>
      <w:r w:rsidRPr="001B4A02">
        <w:rPr>
          <w:bCs/>
          <w:sz w:val="22"/>
          <w:szCs w:val="22"/>
          <w:lang w:val="cs-CZ"/>
        </w:rPr>
        <w:t>) nebo 40</w:t>
      </w:r>
      <w:r w:rsidR="00883A75">
        <w:rPr>
          <w:bCs/>
          <w:sz w:val="22"/>
          <w:szCs w:val="22"/>
          <w:lang w:val="cs-CZ"/>
        </w:rPr>
        <w:t> mg</w:t>
      </w:r>
      <w:r w:rsidRPr="001B4A02">
        <w:rPr>
          <w:bCs/>
          <w:sz w:val="22"/>
          <w:szCs w:val="22"/>
          <w:lang w:val="cs-CZ"/>
        </w:rPr>
        <w:t xml:space="preserve"> adalimumabu (pokud měli tělesnou hmotnost ≥ 30</w:t>
      </w:r>
      <w:r w:rsidR="002767FC">
        <w:rPr>
          <w:bCs/>
          <w:sz w:val="22"/>
          <w:szCs w:val="22"/>
          <w:lang w:val="cs-CZ"/>
        </w:rPr>
        <w:t> kg</w:t>
      </w:r>
      <w:r w:rsidRPr="001B4A02">
        <w:rPr>
          <w:bCs/>
          <w:sz w:val="22"/>
          <w:szCs w:val="22"/>
          <w:lang w:val="cs-CZ"/>
        </w:rPr>
        <w:t xml:space="preserve">) každý druhý týden v kombinaci se svou úvodní dávkou methotrexátu. </w:t>
      </w:r>
    </w:p>
    <w:p w14:paraId="10819F5D" w14:textId="77777777" w:rsidR="00BF09F2" w:rsidRPr="001B4A02" w:rsidRDefault="00BF09F2" w:rsidP="00BF09F2">
      <w:pPr>
        <w:pStyle w:val="gtcbodytext"/>
        <w:spacing w:before="0" w:after="0" w:line="240" w:lineRule="auto"/>
        <w:rPr>
          <w:bCs/>
          <w:sz w:val="22"/>
          <w:szCs w:val="20"/>
          <w:lang w:val="cs-CZ"/>
        </w:rPr>
      </w:pPr>
    </w:p>
    <w:p w14:paraId="57CB782B" w14:textId="77777777" w:rsidR="00BF09F2" w:rsidRPr="001B4A02" w:rsidRDefault="00000000" w:rsidP="00BF09F2">
      <w:pPr>
        <w:pStyle w:val="gtcbodytext"/>
        <w:spacing w:before="0" w:after="0" w:line="240" w:lineRule="auto"/>
        <w:rPr>
          <w:bCs/>
          <w:sz w:val="22"/>
          <w:szCs w:val="20"/>
          <w:lang w:val="cs-CZ"/>
        </w:rPr>
      </w:pPr>
      <w:r w:rsidRPr="001B4A02">
        <w:rPr>
          <w:bCs/>
          <w:sz w:val="22"/>
          <w:szCs w:val="22"/>
          <w:lang w:val="cs-CZ"/>
        </w:rPr>
        <w:t>Primárním cílovým ukazatelem byla doba do selhání léčby. Kritériem pro stanovení selhání léčby bylo zhoršení nebo trvalé nezlepšení očního zánětu, částečné zlepšení s rozvojem trvalých očních komorbidit nebo zhoršení očních komorbidit, nepovolené použití souběžné léčby</w:t>
      </w:r>
      <w:r w:rsidR="002378E0">
        <w:rPr>
          <w:bCs/>
          <w:sz w:val="22"/>
          <w:szCs w:val="22"/>
          <w:lang w:val="cs-CZ"/>
        </w:rPr>
        <w:t xml:space="preserve"> a </w:t>
      </w:r>
      <w:r w:rsidRPr="001B4A02">
        <w:rPr>
          <w:bCs/>
          <w:sz w:val="22"/>
          <w:szCs w:val="22"/>
          <w:lang w:val="cs-CZ"/>
        </w:rPr>
        <w:t>přerušení léčby po delší časové období.</w:t>
      </w:r>
    </w:p>
    <w:p w14:paraId="33CDEB1B" w14:textId="77777777" w:rsidR="00BF09F2" w:rsidRPr="001B4A02" w:rsidRDefault="00BF09F2" w:rsidP="00BF09F2">
      <w:pPr>
        <w:pStyle w:val="gtcbodytext"/>
        <w:spacing w:before="0" w:after="0" w:line="240" w:lineRule="auto"/>
        <w:rPr>
          <w:bCs/>
          <w:sz w:val="22"/>
          <w:szCs w:val="20"/>
          <w:lang w:val="cs-CZ"/>
        </w:rPr>
      </w:pPr>
    </w:p>
    <w:p w14:paraId="7DC12A58" w14:textId="77777777" w:rsidR="00BF09F2" w:rsidRPr="001B4A02" w:rsidRDefault="00000000" w:rsidP="00BF09F2">
      <w:pPr>
        <w:pStyle w:val="EMEAHeadingUnderline"/>
        <w:keepNext/>
        <w:spacing w:beforeLines="0" w:before="0" w:afterLines="0" w:after="0"/>
        <w:rPr>
          <w:i/>
          <w:lang w:val="cs-CZ"/>
        </w:rPr>
      </w:pPr>
      <w:r w:rsidRPr="001B4A02">
        <w:rPr>
          <w:i/>
          <w:iCs/>
          <w:szCs w:val="22"/>
          <w:lang w:val="cs-CZ"/>
        </w:rPr>
        <w:t>Klinická odpověď</w:t>
      </w:r>
    </w:p>
    <w:p w14:paraId="7682735E" w14:textId="77777777" w:rsidR="00BF09F2" w:rsidRPr="007E416D" w:rsidRDefault="00BF09F2" w:rsidP="00BF09F2">
      <w:pPr>
        <w:pStyle w:val="gtcbodytext"/>
        <w:keepNext/>
        <w:spacing w:before="0" w:after="0" w:line="240" w:lineRule="auto"/>
        <w:rPr>
          <w:sz w:val="22"/>
          <w:szCs w:val="22"/>
          <w:lang w:val="cs-CZ"/>
        </w:rPr>
      </w:pPr>
    </w:p>
    <w:p w14:paraId="0590D1AA" w14:textId="77777777" w:rsidR="00BF09F2" w:rsidRPr="001B4A02" w:rsidRDefault="00000000" w:rsidP="00BF09F2">
      <w:pPr>
        <w:ind w:left="0" w:firstLine="0"/>
        <w:rPr>
          <w:bCs/>
        </w:rPr>
      </w:pPr>
      <w:r w:rsidRPr="001B4A02">
        <w:rPr>
          <w:bCs/>
          <w:szCs w:val="22"/>
        </w:rPr>
        <w:t xml:space="preserve">Adalimumab významně prodloužil dobu do selhání léčby v porovnání s placebem (viz obrázek </w:t>
      </w:r>
      <w:r w:rsidR="00DC6541">
        <w:rPr>
          <w:bCs/>
          <w:szCs w:val="22"/>
        </w:rPr>
        <w:t>2</w:t>
      </w:r>
      <w:r w:rsidRPr="001B4A02">
        <w:rPr>
          <w:bCs/>
          <w:szCs w:val="22"/>
        </w:rPr>
        <w:t>, P &lt; 0,0001 z logrank testu). Medián doby do selhání léčby byl 24,1 týdnů u pacientů s placebem, zatímco medián doby do selhání léčby nebylo možné odhadnout u pacientů léčených adalimumabem, protože léčba selhala u méně než poloviny těchto pacientů. Adalimumab významně snížil riziko selhání léčby o 75 % v porovnání s placebem, jak je uvedeno podle hodnoty poměru rizik (HR = 0,25 [95% CI: 0,12; 0,49]).</w:t>
      </w:r>
    </w:p>
    <w:p w14:paraId="1FC82B9F" w14:textId="77777777" w:rsidR="00BF09F2" w:rsidRPr="001B4A02" w:rsidRDefault="00BF09F2" w:rsidP="00BF09F2">
      <w:pPr>
        <w:rPr>
          <w:bCs/>
        </w:rPr>
      </w:pPr>
    </w:p>
    <w:p w14:paraId="5D3E2377" w14:textId="77777777" w:rsidR="00BF09F2" w:rsidRPr="001B4A02" w:rsidRDefault="00000000" w:rsidP="00BF09F2">
      <w:pPr>
        <w:pStyle w:val="gtcbodytext"/>
        <w:keepNext/>
        <w:spacing w:before="0" w:after="0" w:line="240" w:lineRule="auto"/>
        <w:jc w:val="center"/>
        <w:rPr>
          <w:b/>
          <w:bCs/>
          <w:sz w:val="22"/>
          <w:szCs w:val="22"/>
          <w:bdr w:val="nil"/>
          <w:lang w:val="cs-CZ"/>
        </w:rPr>
      </w:pPr>
      <w:r w:rsidRPr="001B4A02">
        <w:rPr>
          <w:b/>
          <w:bCs/>
          <w:sz w:val="22"/>
          <w:szCs w:val="22"/>
          <w:lang w:val="cs-CZ"/>
        </w:rPr>
        <w:t xml:space="preserve">Obrázek </w:t>
      </w:r>
      <w:r>
        <w:rPr>
          <w:b/>
          <w:bCs/>
          <w:sz w:val="22"/>
          <w:szCs w:val="22"/>
          <w:lang w:val="cs-CZ"/>
        </w:rPr>
        <w:t>2</w:t>
      </w:r>
      <w:r w:rsidRPr="001B4A02">
        <w:rPr>
          <w:b/>
          <w:bCs/>
          <w:sz w:val="22"/>
          <w:szCs w:val="22"/>
          <w:lang w:val="cs-CZ"/>
        </w:rPr>
        <w:t>: Kaplan-Meierovy křivky shrnující dobu do selhání léčby ve studii u pediatrických pacientů s uveitidou</w:t>
      </w:r>
    </w:p>
    <w:p w14:paraId="33E3689E" w14:textId="77777777" w:rsidR="00BF09F2" w:rsidRPr="001B4A02" w:rsidRDefault="00BF09F2" w:rsidP="00BF09F2">
      <w:pPr>
        <w:pStyle w:val="gtcbodytext"/>
        <w:keepNext/>
        <w:spacing w:before="0" w:after="0" w:line="240" w:lineRule="auto"/>
        <w:jc w:val="center"/>
        <w:rPr>
          <w:b/>
          <w:sz w:val="22"/>
          <w:szCs w:val="22"/>
          <w:lang w:val="cs-CZ"/>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534A2D" w14:paraId="6A54F0D8" w14:textId="77777777" w:rsidTr="00E571F5">
        <w:trPr>
          <w:cantSplit/>
          <w:trHeight w:val="3806"/>
        </w:trPr>
        <w:tc>
          <w:tcPr>
            <w:tcW w:w="468" w:type="dxa"/>
            <w:shd w:val="clear" w:color="auto" w:fill="auto"/>
            <w:textDirection w:val="btLr"/>
            <w:vAlign w:val="bottom"/>
          </w:tcPr>
          <w:p w14:paraId="36314DD1" w14:textId="77777777" w:rsidR="00BF09F2" w:rsidRPr="001B4A02" w:rsidRDefault="00000000" w:rsidP="00E571F5">
            <w:pPr>
              <w:pStyle w:val="EMEANormal"/>
              <w:keepNext/>
              <w:ind w:left="113" w:right="113"/>
              <w:jc w:val="center"/>
              <w:rPr>
                <w:b/>
                <w:szCs w:val="22"/>
                <w:lang w:val="cs-CZ"/>
              </w:rPr>
            </w:pPr>
            <w:r w:rsidRPr="001B4A02">
              <w:rPr>
                <w:b/>
                <w:bCs/>
                <w:szCs w:val="22"/>
                <w:lang w:val="cs-CZ"/>
              </w:rPr>
              <w:t>PRAVDĚPODOBOST SELHÁNÍ LÉČBY</w:t>
            </w:r>
          </w:p>
        </w:tc>
        <w:tc>
          <w:tcPr>
            <w:tcW w:w="8820" w:type="dxa"/>
            <w:gridSpan w:val="5"/>
            <w:shd w:val="clear" w:color="auto" w:fill="auto"/>
            <w:vAlign w:val="bottom"/>
          </w:tcPr>
          <w:p w14:paraId="1C830B4B" w14:textId="77777777" w:rsidR="00BF09F2" w:rsidRPr="001B4A02" w:rsidRDefault="00000000" w:rsidP="00E571F5">
            <w:pPr>
              <w:pStyle w:val="EMEANormal"/>
              <w:keepNext/>
              <w:rPr>
                <w:szCs w:val="22"/>
                <w:lang w:val="cs-CZ"/>
              </w:rPr>
            </w:pPr>
            <w:r w:rsidRPr="001B4A02">
              <w:rPr>
                <w:noProof/>
                <w:szCs w:val="22"/>
              </w:rPr>
              <w:drawing>
                <wp:inline distT="0" distB="0" distL="0" distR="0" wp14:anchorId="3D2E8D80" wp14:editId="3DF74CE1">
                  <wp:extent cx="5486400" cy="4545965"/>
                  <wp:effectExtent l="0" t="0" r="0" b="6985"/>
                  <wp:docPr id="18" name="Obrázek 9"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9" descr="Humira PED UV KM Curve REVISED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4545965"/>
                          </a:xfrm>
                          <a:prstGeom prst="rect">
                            <a:avLst/>
                          </a:prstGeom>
                          <a:noFill/>
                          <a:ln>
                            <a:noFill/>
                          </a:ln>
                        </pic:spPr>
                      </pic:pic>
                    </a:graphicData>
                  </a:graphic>
                </wp:inline>
              </w:drawing>
            </w:r>
          </w:p>
        </w:tc>
      </w:tr>
      <w:tr w:rsidR="00534A2D" w14:paraId="38122541" w14:textId="77777777" w:rsidTr="00E571F5">
        <w:tc>
          <w:tcPr>
            <w:tcW w:w="468" w:type="dxa"/>
            <w:shd w:val="clear" w:color="auto" w:fill="auto"/>
          </w:tcPr>
          <w:p w14:paraId="57A87BF0" w14:textId="77777777" w:rsidR="00BF09F2" w:rsidRPr="001B4A02" w:rsidRDefault="00BF09F2" w:rsidP="00E571F5">
            <w:pPr>
              <w:pStyle w:val="EMEANormal"/>
              <w:keepNext/>
              <w:rPr>
                <w:szCs w:val="22"/>
                <w:lang w:val="cs-CZ"/>
              </w:rPr>
            </w:pPr>
          </w:p>
        </w:tc>
        <w:tc>
          <w:tcPr>
            <w:tcW w:w="8820" w:type="dxa"/>
            <w:gridSpan w:val="5"/>
            <w:shd w:val="clear" w:color="auto" w:fill="auto"/>
          </w:tcPr>
          <w:p w14:paraId="75A78E7C" w14:textId="77777777" w:rsidR="00BF09F2" w:rsidRPr="001B4A02" w:rsidRDefault="00000000" w:rsidP="00E571F5">
            <w:pPr>
              <w:pStyle w:val="EMEANormal"/>
              <w:keepNext/>
              <w:jc w:val="center"/>
              <w:rPr>
                <w:b/>
                <w:szCs w:val="22"/>
                <w:lang w:val="cs-CZ"/>
              </w:rPr>
            </w:pPr>
            <w:r w:rsidRPr="001B4A02">
              <w:rPr>
                <w:b/>
                <w:bCs/>
                <w:szCs w:val="22"/>
                <w:lang w:val="cs-CZ"/>
              </w:rPr>
              <w:t>ČAS (TÝDNY)</w:t>
            </w:r>
          </w:p>
        </w:tc>
      </w:tr>
      <w:tr w:rsidR="00534A2D" w14:paraId="74F52FF6" w14:textId="77777777" w:rsidTr="00E571F5">
        <w:tc>
          <w:tcPr>
            <w:tcW w:w="468" w:type="dxa"/>
            <w:shd w:val="clear" w:color="auto" w:fill="auto"/>
          </w:tcPr>
          <w:p w14:paraId="2B2C1258" w14:textId="77777777" w:rsidR="00BF09F2" w:rsidRPr="001B4A02" w:rsidRDefault="00BF09F2" w:rsidP="00E571F5">
            <w:pPr>
              <w:pStyle w:val="EMEANormal"/>
              <w:keepNext/>
              <w:rPr>
                <w:szCs w:val="22"/>
                <w:lang w:val="cs-CZ"/>
              </w:rPr>
            </w:pPr>
          </w:p>
        </w:tc>
        <w:tc>
          <w:tcPr>
            <w:tcW w:w="3510" w:type="dxa"/>
            <w:shd w:val="clear" w:color="auto" w:fill="auto"/>
          </w:tcPr>
          <w:p w14:paraId="54C88ABE" w14:textId="77777777" w:rsidR="00BF09F2" w:rsidRPr="001B4A02" w:rsidRDefault="00000000" w:rsidP="00E571F5">
            <w:pPr>
              <w:pStyle w:val="EMEANormal"/>
              <w:keepNext/>
              <w:rPr>
                <w:szCs w:val="22"/>
                <w:lang w:val="cs-CZ"/>
              </w:rPr>
            </w:pPr>
            <w:r w:rsidRPr="001B4A02">
              <w:rPr>
                <w:szCs w:val="22"/>
                <w:lang w:val="cs-CZ"/>
              </w:rPr>
              <w:t>Léčba</w:t>
            </w:r>
          </w:p>
        </w:tc>
        <w:tc>
          <w:tcPr>
            <w:tcW w:w="1170" w:type="dxa"/>
            <w:shd w:val="clear" w:color="auto" w:fill="auto"/>
            <w:vAlign w:val="bottom"/>
          </w:tcPr>
          <w:p w14:paraId="2C7F6D85" w14:textId="77777777" w:rsidR="00BF09F2" w:rsidRPr="001B4A02" w:rsidRDefault="00000000" w:rsidP="00E571F5">
            <w:pPr>
              <w:pStyle w:val="EMEANormal"/>
              <w:keepNext/>
              <w:jc w:val="center"/>
              <w:rPr>
                <w:szCs w:val="22"/>
                <w:lang w:val="cs-CZ"/>
              </w:rPr>
            </w:pPr>
            <w:r w:rsidRPr="001B4A02">
              <w:rPr>
                <w:noProof/>
                <w:szCs w:val="22"/>
              </w:rPr>
              <w:drawing>
                <wp:inline distT="0" distB="0" distL="0" distR="0" wp14:anchorId="534D245C" wp14:editId="5178C858">
                  <wp:extent cx="457200" cy="112395"/>
                  <wp:effectExtent l="0" t="0" r="0" b="1905"/>
                  <wp:docPr id="19" name="Obrázek 8"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ek 8" descr="Humira PED UV KM Curve 1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57200" cy="112395"/>
                          </a:xfrm>
                          <a:prstGeom prst="rect">
                            <a:avLst/>
                          </a:prstGeom>
                          <a:noFill/>
                          <a:ln>
                            <a:noFill/>
                          </a:ln>
                        </pic:spPr>
                      </pic:pic>
                    </a:graphicData>
                  </a:graphic>
                </wp:inline>
              </w:drawing>
            </w:r>
          </w:p>
        </w:tc>
        <w:tc>
          <w:tcPr>
            <w:tcW w:w="1350" w:type="dxa"/>
            <w:shd w:val="clear" w:color="auto" w:fill="auto"/>
          </w:tcPr>
          <w:p w14:paraId="2F9960A2" w14:textId="77777777" w:rsidR="00BF09F2" w:rsidRPr="001B4A02" w:rsidRDefault="00000000" w:rsidP="00E571F5">
            <w:pPr>
              <w:pStyle w:val="EMEANormal"/>
              <w:keepNext/>
              <w:rPr>
                <w:szCs w:val="22"/>
                <w:lang w:val="cs-CZ"/>
              </w:rPr>
            </w:pPr>
            <w:r w:rsidRPr="001B4A02">
              <w:rPr>
                <w:szCs w:val="22"/>
                <w:lang w:val="cs-CZ"/>
              </w:rPr>
              <w:t>Placebo</w:t>
            </w:r>
          </w:p>
        </w:tc>
        <w:tc>
          <w:tcPr>
            <w:tcW w:w="900" w:type="dxa"/>
            <w:shd w:val="clear" w:color="auto" w:fill="auto"/>
            <w:vAlign w:val="center"/>
          </w:tcPr>
          <w:p w14:paraId="2A1CEE1C" w14:textId="77777777" w:rsidR="00BF09F2" w:rsidRPr="001B4A02" w:rsidRDefault="00000000" w:rsidP="00E571F5">
            <w:pPr>
              <w:pStyle w:val="EMEANormal"/>
              <w:keepNext/>
              <w:rPr>
                <w:szCs w:val="22"/>
                <w:lang w:val="cs-CZ"/>
              </w:rPr>
            </w:pPr>
            <w:r w:rsidRPr="001B4A02">
              <w:rPr>
                <w:noProof/>
                <w:szCs w:val="22"/>
              </w:rPr>
              <w:drawing>
                <wp:inline distT="0" distB="0" distL="0" distR="0" wp14:anchorId="21AAB987" wp14:editId="2D9C368D">
                  <wp:extent cx="448310" cy="86360"/>
                  <wp:effectExtent l="0" t="0" r="8890" b="8890"/>
                  <wp:docPr id="20" name="Obrázek 7"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ek 7"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48310" cy="86360"/>
                          </a:xfrm>
                          <a:prstGeom prst="rect">
                            <a:avLst/>
                          </a:prstGeom>
                          <a:noFill/>
                          <a:ln>
                            <a:noFill/>
                          </a:ln>
                        </pic:spPr>
                      </pic:pic>
                    </a:graphicData>
                  </a:graphic>
                </wp:inline>
              </w:drawing>
            </w:r>
          </w:p>
        </w:tc>
        <w:tc>
          <w:tcPr>
            <w:tcW w:w="1890" w:type="dxa"/>
            <w:shd w:val="clear" w:color="auto" w:fill="auto"/>
          </w:tcPr>
          <w:p w14:paraId="32E7780C" w14:textId="77777777" w:rsidR="00BF09F2" w:rsidRPr="001B4A02" w:rsidRDefault="00000000" w:rsidP="00E571F5">
            <w:pPr>
              <w:pStyle w:val="EMEANormal"/>
              <w:keepNext/>
              <w:rPr>
                <w:szCs w:val="22"/>
                <w:lang w:val="cs-CZ"/>
              </w:rPr>
            </w:pPr>
            <w:r w:rsidRPr="001B4A02">
              <w:rPr>
                <w:szCs w:val="22"/>
                <w:lang w:val="cs-CZ"/>
              </w:rPr>
              <w:t>Adalimumab</w:t>
            </w:r>
          </w:p>
        </w:tc>
      </w:tr>
      <w:tr w:rsidR="00534A2D" w14:paraId="6CF4C425" w14:textId="77777777" w:rsidTr="00E571F5">
        <w:tc>
          <w:tcPr>
            <w:tcW w:w="468" w:type="dxa"/>
            <w:shd w:val="clear" w:color="auto" w:fill="auto"/>
          </w:tcPr>
          <w:p w14:paraId="7D3DD4C5" w14:textId="77777777" w:rsidR="00BF09F2" w:rsidRPr="001B4A02" w:rsidRDefault="00BF09F2" w:rsidP="00E571F5">
            <w:pPr>
              <w:pStyle w:val="EMEANormal"/>
              <w:rPr>
                <w:szCs w:val="22"/>
                <w:lang w:val="cs-CZ"/>
              </w:rPr>
            </w:pPr>
          </w:p>
        </w:tc>
        <w:tc>
          <w:tcPr>
            <w:tcW w:w="8820" w:type="dxa"/>
            <w:gridSpan w:val="5"/>
            <w:shd w:val="clear" w:color="auto" w:fill="auto"/>
          </w:tcPr>
          <w:p w14:paraId="481872B1" w14:textId="77777777" w:rsidR="00BF09F2" w:rsidRPr="001B4A02" w:rsidRDefault="00000000" w:rsidP="00E571F5">
            <w:pPr>
              <w:pStyle w:val="EMEANormal"/>
              <w:rPr>
                <w:szCs w:val="22"/>
                <w:lang w:val="cs-CZ"/>
              </w:rPr>
            </w:pPr>
            <w:r w:rsidRPr="001B4A02">
              <w:rPr>
                <w:szCs w:val="22"/>
                <w:lang w:val="cs-CZ"/>
              </w:rPr>
              <w:t>Poznámka: P = Placebo (počet v riziku); H = přípravek HUMIRA (počet v riziku).</w:t>
            </w:r>
          </w:p>
        </w:tc>
      </w:tr>
    </w:tbl>
    <w:p w14:paraId="0515A31A" w14:textId="77777777" w:rsidR="00BF09F2" w:rsidRPr="001B4A02" w:rsidRDefault="00BF09F2" w:rsidP="00BF09F2">
      <w:pPr>
        <w:pStyle w:val="EMEANormal"/>
        <w:rPr>
          <w:bCs/>
          <w:szCs w:val="22"/>
          <w:lang w:val="cs-CZ"/>
        </w:rPr>
      </w:pPr>
    </w:p>
    <w:p w14:paraId="2A1EC00A" w14:textId="77777777" w:rsidR="00F24C86" w:rsidRPr="001B4A02" w:rsidRDefault="00000000" w:rsidP="000A5426">
      <w:pPr>
        <w:keepNext/>
        <w:tabs>
          <w:tab w:val="num" w:pos="567"/>
        </w:tabs>
        <w:outlineLvl w:val="1"/>
        <w:rPr>
          <w:b/>
        </w:rPr>
      </w:pPr>
      <w:r>
        <w:rPr>
          <w:b/>
        </w:rPr>
        <w:t>5.2</w:t>
      </w:r>
      <w:r>
        <w:rPr>
          <w:b/>
        </w:rPr>
        <w:tab/>
      </w:r>
      <w:r w:rsidRPr="001B4A02">
        <w:rPr>
          <w:b/>
        </w:rPr>
        <w:t>Farmakokinetické vlastnosti</w:t>
      </w:r>
    </w:p>
    <w:p w14:paraId="78B9FDD2" w14:textId="77777777" w:rsidR="00F24C86" w:rsidRPr="001B4A02" w:rsidRDefault="00F24C86" w:rsidP="00C465CA">
      <w:pPr>
        <w:keepNext/>
        <w:ind w:left="0" w:firstLine="0"/>
      </w:pPr>
    </w:p>
    <w:p w14:paraId="124B585A" w14:textId="77777777" w:rsidR="00F24C86" w:rsidRPr="001B4A02" w:rsidRDefault="00000000" w:rsidP="00C465CA">
      <w:pPr>
        <w:keepNext/>
        <w:ind w:left="0" w:firstLine="0"/>
        <w:rPr>
          <w:u w:val="single"/>
        </w:rPr>
      </w:pPr>
      <w:r w:rsidRPr="001B4A02">
        <w:rPr>
          <w:u w:val="single"/>
        </w:rPr>
        <w:t>Absorpce</w:t>
      </w:r>
      <w:r w:rsidR="002378E0">
        <w:rPr>
          <w:u w:val="single"/>
        </w:rPr>
        <w:t xml:space="preserve"> a </w:t>
      </w:r>
      <w:r w:rsidRPr="001B4A02">
        <w:rPr>
          <w:u w:val="single"/>
        </w:rPr>
        <w:t>distribuce</w:t>
      </w:r>
    </w:p>
    <w:p w14:paraId="6F89404C" w14:textId="77777777" w:rsidR="00F24C86" w:rsidRPr="001B4A02" w:rsidRDefault="00F24C86" w:rsidP="00C465CA">
      <w:pPr>
        <w:keepNext/>
        <w:ind w:left="0" w:firstLine="0"/>
      </w:pPr>
    </w:p>
    <w:p w14:paraId="7F748802" w14:textId="77777777" w:rsidR="00F24C86" w:rsidRPr="001B4A02" w:rsidRDefault="00000000" w:rsidP="00F24C86">
      <w:pPr>
        <w:ind w:left="0" w:firstLine="0"/>
      </w:pPr>
      <w:r w:rsidRPr="001B4A02">
        <w:t>Po podání dávky 24</w:t>
      </w:r>
      <w:r w:rsidR="00294902">
        <w:t> mg</w:t>
      </w:r>
      <w:r w:rsidRPr="001B4A02">
        <w:t>/m</w:t>
      </w:r>
      <w:r w:rsidRPr="001B4A02">
        <w:rPr>
          <w:vertAlign w:val="superscript"/>
        </w:rPr>
        <w:t xml:space="preserve">2 </w:t>
      </w:r>
      <w:r w:rsidRPr="001B4A02">
        <w:t xml:space="preserve">(maximální </w:t>
      </w:r>
      <w:r w:rsidR="002D2DC6" w:rsidRPr="001B4A02">
        <w:t>dávk</w:t>
      </w:r>
      <w:r w:rsidR="002D2DC6">
        <w:t>a</w:t>
      </w:r>
      <w:r w:rsidR="002D2DC6" w:rsidRPr="001B4A02">
        <w:t xml:space="preserve"> </w:t>
      </w:r>
      <w:r w:rsidRPr="001B4A02">
        <w:t>40</w:t>
      </w:r>
      <w:r w:rsidR="00294902">
        <w:t> mg</w:t>
      </w:r>
      <w:r w:rsidRPr="001B4A02">
        <w:t>) subkutánně každý druhý týden u</w:t>
      </w:r>
      <w:r w:rsidR="000D1F8F" w:rsidRPr="001B4A02">
        <w:t> </w:t>
      </w:r>
      <w:r w:rsidRPr="001B4A02">
        <w:t>pacientů s polyartikulární juvenilní idiopatickou artritidou (JIA) ve věku 4 až 17 let, byly průměrné nejnižší sérové koncentrace adalimumabu v ustáleném stavu (hodnoty naměřené v</w:t>
      </w:r>
      <w:r w:rsidR="003D5529" w:rsidRPr="001B4A02">
        <w:t> </w:t>
      </w:r>
      <w:r w:rsidRPr="001B4A02">
        <w:t>době od týdne 20 do týdne 48) 5,6 ± 5,6 µg/ml (102 % CV) při používání adalimumabu bez současného podávání methotrexátu</w:t>
      </w:r>
      <w:r w:rsidR="002378E0">
        <w:t xml:space="preserve"> a </w:t>
      </w:r>
      <w:r w:rsidRPr="001B4A02">
        <w:t>10,9 ± 5,2 µg/m</w:t>
      </w:r>
      <w:r w:rsidR="007978AF">
        <w:t>l</w:t>
      </w:r>
      <w:r w:rsidRPr="001B4A02">
        <w:t xml:space="preserve"> (47,7 % CV) při použití současně s methotrexátem.</w:t>
      </w:r>
    </w:p>
    <w:p w14:paraId="3492C437" w14:textId="77777777" w:rsidR="00F24C86" w:rsidRPr="001B4A02" w:rsidRDefault="00F24C86" w:rsidP="00F24C86">
      <w:pPr>
        <w:ind w:left="0" w:firstLine="0"/>
      </w:pPr>
    </w:p>
    <w:p w14:paraId="7D7E45D2" w14:textId="77777777" w:rsidR="00F24C86" w:rsidRPr="001B4A02" w:rsidRDefault="00000000" w:rsidP="00F24C86">
      <w:pPr>
        <w:ind w:left="0" w:firstLine="0"/>
      </w:pPr>
      <w:r w:rsidRPr="001B4A02">
        <w:t>U pacientů s polyartikulární JIA ve věku 2 až &lt; 4 roky nebo ve věku 4 roky</w:t>
      </w:r>
      <w:r w:rsidR="002378E0">
        <w:t xml:space="preserve"> a </w:t>
      </w:r>
      <w:r w:rsidRPr="001B4A02">
        <w:t>starší s tělesnou hmotností &lt; 15</w:t>
      </w:r>
      <w:r w:rsidR="002767FC">
        <w:t> kg</w:t>
      </w:r>
      <w:r w:rsidRPr="001B4A02">
        <w:t>, léčených adalimumabem v dávce 24</w:t>
      </w:r>
      <w:r w:rsidR="00294902">
        <w:t> mg</w:t>
      </w:r>
      <w:r w:rsidRPr="001B4A02">
        <w:t>/m</w:t>
      </w:r>
      <w:r w:rsidRPr="001B4A02">
        <w:rPr>
          <w:vertAlign w:val="superscript"/>
        </w:rPr>
        <w:t>2</w:t>
      </w:r>
      <w:r w:rsidRPr="001B4A02">
        <w:t>, byly průměrné nejnižší sérové koncentrace adalimumabu v ustáleném stavu 6,0 ± 6,1 µg/ml (101</w:t>
      </w:r>
      <w:r w:rsidR="006008CB">
        <w:t> %</w:t>
      </w:r>
      <w:r w:rsidRPr="001B4A02">
        <w:t xml:space="preserve"> CV) u</w:t>
      </w:r>
      <w:r w:rsidR="000D1F8F" w:rsidRPr="001B4A02">
        <w:t> </w:t>
      </w:r>
      <w:r w:rsidRPr="001B4A02">
        <w:t>těch pacientů, kteří používali adalimumab bez methotrexátu</w:t>
      </w:r>
      <w:r w:rsidR="002378E0">
        <w:t xml:space="preserve"> a </w:t>
      </w:r>
      <w:r w:rsidRPr="001B4A02">
        <w:t>7,9 ± 5,6 µg/ml (71,2</w:t>
      </w:r>
      <w:r w:rsidR="006008CB">
        <w:t> %</w:t>
      </w:r>
      <w:r w:rsidRPr="001B4A02">
        <w:t xml:space="preserve"> CV) u</w:t>
      </w:r>
      <w:r w:rsidR="000D1F8F" w:rsidRPr="001B4A02">
        <w:t> </w:t>
      </w:r>
      <w:r w:rsidRPr="001B4A02">
        <w:t>těch, kteří současně užívali methotrexát.</w:t>
      </w:r>
    </w:p>
    <w:p w14:paraId="7049934E" w14:textId="77777777" w:rsidR="00F24C86" w:rsidRPr="001B4A02" w:rsidRDefault="00F24C86" w:rsidP="00F24C86">
      <w:pPr>
        <w:ind w:left="0" w:firstLine="0"/>
      </w:pPr>
    </w:p>
    <w:p w14:paraId="51A507A7" w14:textId="77777777" w:rsidR="00F24C86" w:rsidRPr="001B4A02" w:rsidRDefault="00000000" w:rsidP="00F24C86">
      <w:pPr>
        <w:ind w:left="0" w:firstLine="0"/>
      </w:pPr>
      <w:r w:rsidRPr="001B4A02">
        <w:t>Po podání dávky 24</w:t>
      </w:r>
      <w:r w:rsidR="00294902">
        <w:t> mg</w:t>
      </w:r>
      <w:r w:rsidRPr="001B4A02">
        <w:t>/m</w:t>
      </w:r>
      <w:r w:rsidRPr="001B4A02">
        <w:rPr>
          <w:vertAlign w:val="superscript"/>
        </w:rPr>
        <w:t>2</w:t>
      </w:r>
      <w:r w:rsidRPr="001B4A02">
        <w:t xml:space="preserve"> (maximální </w:t>
      </w:r>
      <w:r w:rsidR="002D2DC6" w:rsidRPr="001B4A02">
        <w:t>dávk</w:t>
      </w:r>
      <w:r w:rsidR="002D2DC6">
        <w:t>a</w:t>
      </w:r>
      <w:r w:rsidR="002D2DC6" w:rsidRPr="001B4A02">
        <w:t xml:space="preserve"> </w:t>
      </w:r>
      <w:r w:rsidRPr="001B4A02">
        <w:t>40</w:t>
      </w:r>
      <w:r w:rsidR="00294902">
        <w:t> mg</w:t>
      </w:r>
      <w:r w:rsidRPr="001B4A02">
        <w:t>) subkutánně každý druhý týden pacientům s entezopatickou artritidou ve věku 6 až 17 let byly průměrné nejnižší sérové koncentrace (hodnoty naměřené v týdnu 24) adalimumabu v ustáleném stavu 8,8 ± 6,6</w:t>
      </w:r>
      <w:r w:rsidR="009A3A47">
        <w:rPr>
          <w:rStyle w:val="normaltextrun"/>
          <w:shd w:val="clear" w:color="auto" w:fill="FFFFFF"/>
        </w:rPr>
        <w:t> </w:t>
      </w:r>
      <w:r w:rsidRPr="001B4A02">
        <w:t>µg/ml při podávání adalimumabu bez současného podávání methotrexátu</w:t>
      </w:r>
      <w:r w:rsidR="002378E0">
        <w:t xml:space="preserve"> a </w:t>
      </w:r>
      <w:r w:rsidRPr="001B4A02">
        <w:t>11,8 ± 4,3</w:t>
      </w:r>
      <w:r w:rsidR="00C60C06">
        <w:rPr>
          <w:rStyle w:val="normaltextrun"/>
          <w:shd w:val="clear" w:color="auto" w:fill="FFFFFF"/>
        </w:rPr>
        <w:t> </w:t>
      </w:r>
      <w:r w:rsidRPr="001B4A02">
        <w:t>µg/ml při současném podávání methotrexátu.</w:t>
      </w:r>
    </w:p>
    <w:p w14:paraId="4323764C" w14:textId="77777777" w:rsidR="00F24C86" w:rsidRPr="001B4A02" w:rsidRDefault="00F24C86" w:rsidP="00F24C86">
      <w:pPr>
        <w:ind w:left="0" w:firstLine="0"/>
      </w:pPr>
    </w:p>
    <w:p w14:paraId="427E1947" w14:textId="77777777" w:rsidR="00F24C86" w:rsidRPr="001B4A02" w:rsidRDefault="00000000" w:rsidP="00F24C86">
      <w:pPr>
        <w:ind w:left="0" w:firstLine="0"/>
      </w:pPr>
      <w:r w:rsidRPr="001B4A02">
        <w:t>Po podání dávky 0,8</w:t>
      </w:r>
      <w:r w:rsidR="00C60C06">
        <w:rPr>
          <w:rStyle w:val="normaltextrun"/>
          <w:shd w:val="clear" w:color="auto" w:fill="FFFFFF"/>
        </w:rPr>
        <w:t> </w:t>
      </w:r>
      <w:r w:rsidRPr="001B4A02">
        <w:t xml:space="preserve">mg/kg (maximální </w:t>
      </w:r>
      <w:r w:rsidR="002D2DC6" w:rsidRPr="001B4A02">
        <w:t>dávk</w:t>
      </w:r>
      <w:r w:rsidR="002D2DC6">
        <w:t>a</w:t>
      </w:r>
      <w:r w:rsidR="002D2DC6" w:rsidRPr="001B4A02">
        <w:t xml:space="preserve"> </w:t>
      </w:r>
      <w:r w:rsidRPr="001B4A02">
        <w:t>40</w:t>
      </w:r>
      <w:r w:rsidR="00C60C06">
        <w:rPr>
          <w:rStyle w:val="normaltextrun"/>
          <w:shd w:val="clear" w:color="auto" w:fill="FFFFFF"/>
        </w:rPr>
        <w:t> </w:t>
      </w:r>
      <w:r w:rsidRPr="001B4A02">
        <w:t>mg) subkutánně každý druhý týden pediatrickým pacientům s chronickou ložiskovou psoriázou byla průměrná nejnižší ± SD koncentrace adalimumabu v ustáleném stavu přibližně 7,4 ± 5,8</w:t>
      </w:r>
      <w:r w:rsidR="00C60C06">
        <w:rPr>
          <w:rStyle w:val="normaltextrun"/>
          <w:shd w:val="clear" w:color="auto" w:fill="FFFFFF"/>
        </w:rPr>
        <w:t> </w:t>
      </w:r>
      <w:r w:rsidRPr="001B4A02">
        <w:t>µg/ml (79</w:t>
      </w:r>
      <w:r w:rsidR="006008CB">
        <w:t> %</w:t>
      </w:r>
      <w:r w:rsidRPr="001B4A02">
        <w:t xml:space="preserve"> CV).</w:t>
      </w:r>
    </w:p>
    <w:p w14:paraId="7A9C8032" w14:textId="77777777" w:rsidR="00F24C86" w:rsidRPr="001B4A02" w:rsidRDefault="00F24C86" w:rsidP="00F24C86">
      <w:pPr>
        <w:ind w:left="0" w:firstLine="0"/>
      </w:pPr>
    </w:p>
    <w:p w14:paraId="60EF0256" w14:textId="77777777" w:rsidR="00F24C86" w:rsidRPr="001B4A02" w:rsidRDefault="00000000" w:rsidP="00F24C86">
      <w:pPr>
        <w:ind w:left="0" w:firstLine="0"/>
      </w:pPr>
      <w:r w:rsidRPr="001B4A02">
        <w:t>U pediatrických pacientů se středně těžkou až těžkou Crohnovou chorobou v otevřené fázi studie byly úvodní dávky adalimumabu v týdnech 0</w:t>
      </w:r>
      <w:r w:rsidR="002378E0">
        <w:t xml:space="preserve"> a </w:t>
      </w:r>
      <w:r w:rsidRPr="001B4A02">
        <w:t>2 buď 160/80</w:t>
      </w:r>
      <w:r w:rsidR="00294902">
        <w:t> mg</w:t>
      </w:r>
      <w:r w:rsidRPr="001B4A02">
        <w:t>, nebo 80/40</w:t>
      </w:r>
      <w:r w:rsidR="00294902">
        <w:t> mg</w:t>
      </w:r>
      <w:r w:rsidRPr="001B4A02">
        <w:t>, v</w:t>
      </w:r>
      <w:r w:rsidR="00C60C06">
        <w:t> </w:t>
      </w:r>
      <w:r w:rsidRPr="001B4A02">
        <w:t>závislosti na tělesné hmotnosti, přičemž hranicí byla hmotnost 40</w:t>
      </w:r>
      <w:r w:rsidR="002767FC">
        <w:t> kg</w:t>
      </w:r>
      <w:r w:rsidRPr="001B4A02">
        <w:t>. V týdnu 4 byli pacienti randomizováni v poměru 1:1</w:t>
      </w:r>
      <w:r w:rsidR="002378E0">
        <w:t xml:space="preserve"> a </w:t>
      </w:r>
      <w:r w:rsidRPr="001B4A02">
        <w:t>dostávali v pokračovací léčbě buď standardní dávku (40/20</w:t>
      </w:r>
      <w:r w:rsidR="00294902">
        <w:t> mg</w:t>
      </w:r>
      <w:r w:rsidRPr="001B4A02">
        <w:t xml:space="preserve"> každý druhý týden), nebo sníženou dávku (20/10</w:t>
      </w:r>
      <w:r w:rsidR="00294902">
        <w:t> mg</w:t>
      </w:r>
      <w:r w:rsidRPr="001B4A02">
        <w:t xml:space="preserve"> každý druhý týden) v závislosti na jejich tělesné hmotnosti. Průměrné nejnižší </w:t>
      </w:r>
      <w:r w:rsidRPr="001B4A02">
        <w:rPr>
          <w:szCs w:val="22"/>
          <w:lang w:eastAsia="en-GB"/>
        </w:rPr>
        <w:t>(</w:t>
      </w:r>
      <w:r w:rsidRPr="001B4A02">
        <w:rPr>
          <w:rFonts w:eastAsia="Arial Unicode MS"/>
        </w:rPr>
        <w:t xml:space="preserve">±SD) sérové koncentrace adalimumabu, kterých dosáhli pacienti v týdnu 4, byly 15,7 ± 6,6 </w:t>
      </w:r>
      <w:r w:rsidRPr="001B4A02">
        <w:rPr>
          <w:rFonts w:ascii="Symbol" w:hAnsi="Symbol"/>
        </w:rPr>
        <w:sym w:font="Symbol" w:char="F06D"/>
      </w:r>
      <w:r w:rsidRPr="001B4A02">
        <w:t>g/ml u</w:t>
      </w:r>
      <w:r w:rsidR="000D1F8F" w:rsidRPr="001B4A02">
        <w:t> </w:t>
      </w:r>
      <w:r w:rsidRPr="001B4A02">
        <w:t>pacientů ≥ 40</w:t>
      </w:r>
      <w:r w:rsidR="002767FC">
        <w:t> kg</w:t>
      </w:r>
      <w:r w:rsidRPr="001B4A02">
        <w:t xml:space="preserve"> (160/80</w:t>
      </w:r>
      <w:r w:rsidR="00294902">
        <w:t> mg</w:t>
      </w:r>
      <w:r w:rsidRPr="001B4A02">
        <w:t>)</w:t>
      </w:r>
      <w:r w:rsidR="002378E0">
        <w:t xml:space="preserve"> a </w:t>
      </w:r>
      <w:r w:rsidRPr="001B4A02">
        <w:t xml:space="preserve">10,6 ± 6,1 </w:t>
      </w:r>
      <w:r w:rsidRPr="001B4A02">
        <w:rPr>
          <w:rFonts w:ascii="Symbol" w:hAnsi="Symbol"/>
        </w:rPr>
        <w:sym w:font="Symbol" w:char="F06D"/>
      </w:r>
      <w:r w:rsidRPr="001B4A02">
        <w:t>g/ml u</w:t>
      </w:r>
      <w:r w:rsidR="000D1F8F" w:rsidRPr="001B4A02">
        <w:t> </w:t>
      </w:r>
      <w:r w:rsidRPr="001B4A02">
        <w:t>pacientů &lt; 40</w:t>
      </w:r>
      <w:r w:rsidR="00294902">
        <w:t> mg</w:t>
      </w:r>
      <w:r w:rsidRPr="001B4A02">
        <w:t xml:space="preserve"> (80/40</w:t>
      </w:r>
      <w:r w:rsidR="00294902">
        <w:t> mg</w:t>
      </w:r>
      <w:r w:rsidRPr="001B4A02">
        <w:t>).</w:t>
      </w:r>
    </w:p>
    <w:p w14:paraId="4C3986F7" w14:textId="77777777" w:rsidR="00F24C86" w:rsidRPr="001B4A02" w:rsidRDefault="00F24C86" w:rsidP="00F24C86">
      <w:pPr>
        <w:ind w:left="0" w:firstLine="0"/>
      </w:pPr>
    </w:p>
    <w:p w14:paraId="55FB96E2" w14:textId="77777777" w:rsidR="00F24C86" w:rsidRPr="001B4A02" w:rsidRDefault="00000000" w:rsidP="00F24C86">
      <w:pPr>
        <w:ind w:left="0" w:firstLine="0"/>
      </w:pPr>
      <w:r w:rsidRPr="001B4A02">
        <w:t xml:space="preserve">U pacientů, kteří setrvávali na léčbě tak, jak byli randomizováni, byly průměrné nejnižší (±SD) koncentrace v týdnu 52 9,5 ± 5,6 </w:t>
      </w:r>
      <w:r w:rsidRPr="001B4A02">
        <w:rPr>
          <w:rFonts w:ascii="Symbol" w:hAnsi="Symbol"/>
        </w:rPr>
        <w:sym w:font="Symbol" w:char="F06D"/>
      </w:r>
      <w:r w:rsidRPr="001B4A02">
        <w:t>g/ml u</w:t>
      </w:r>
      <w:r w:rsidR="000D1F8F" w:rsidRPr="001B4A02">
        <w:t> </w:t>
      </w:r>
      <w:r w:rsidRPr="001B4A02">
        <w:t>skupiny, která používala standardní dávku,</w:t>
      </w:r>
      <w:r w:rsidR="002378E0">
        <w:t xml:space="preserve"> a </w:t>
      </w:r>
      <w:r w:rsidRPr="001B4A02">
        <w:t xml:space="preserve">3,5 ± 2,2 </w:t>
      </w:r>
      <w:r w:rsidRPr="001B4A02">
        <w:rPr>
          <w:rFonts w:ascii="Symbol" w:hAnsi="Symbol"/>
        </w:rPr>
        <w:sym w:font="Symbol" w:char="F06D"/>
      </w:r>
      <w:r w:rsidRPr="001B4A02">
        <w:t>g/ml u</w:t>
      </w:r>
      <w:r w:rsidR="00865367" w:rsidRPr="001B4A02">
        <w:t> </w:t>
      </w:r>
      <w:r w:rsidRPr="001B4A02">
        <w:t>skupiny, která používala sníženou dávku. Průměrné nejnižší koncentrace adalimumabu se udržely u</w:t>
      </w:r>
      <w:r w:rsidR="00865367" w:rsidRPr="001B4A02">
        <w:t> </w:t>
      </w:r>
      <w:r w:rsidRPr="001B4A02">
        <w:t>těch pacientů, u</w:t>
      </w:r>
      <w:r w:rsidR="00865367" w:rsidRPr="001B4A02">
        <w:t> </w:t>
      </w:r>
      <w:r w:rsidRPr="001B4A02">
        <w:t>nichž se s podáváním adalimumabu každý druhý týden pokračovalo 52 týdnů. U</w:t>
      </w:r>
      <w:r w:rsidR="00865367" w:rsidRPr="001B4A02">
        <w:t> </w:t>
      </w:r>
      <w:r w:rsidRPr="001B4A02">
        <w:t>pacientů, u</w:t>
      </w:r>
      <w:r w:rsidR="00865367" w:rsidRPr="001B4A02">
        <w:t> </w:t>
      </w:r>
      <w:r w:rsidRPr="001B4A02">
        <w:t xml:space="preserve">kterých byla dávka zvýšena z podávání každý druhý týden na jednou týdně, byly průměrné (±SD) sérové koncentrace adalimumabu v týdnu 52 15,3 ± 11,4 </w:t>
      </w:r>
      <w:r w:rsidRPr="001B4A02">
        <w:rPr>
          <w:rFonts w:ascii="Symbol" w:hAnsi="Symbol"/>
        </w:rPr>
        <w:sym w:font="Symbol" w:char="F06D"/>
      </w:r>
      <w:r w:rsidRPr="001B4A02">
        <w:t>g/ml (40/20</w:t>
      </w:r>
      <w:r w:rsidR="00294902">
        <w:t> mg</w:t>
      </w:r>
      <w:r w:rsidRPr="001B4A02">
        <w:t>, jednou týdně)</w:t>
      </w:r>
      <w:r w:rsidR="002378E0">
        <w:t xml:space="preserve"> a </w:t>
      </w:r>
      <w:r w:rsidRPr="001B4A02">
        <w:t xml:space="preserve">6,7 ± 3,5 </w:t>
      </w:r>
      <w:r w:rsidRPr="001B4A02">
        <w:rPr>
          <w:rFonts w:ascii="Symbol" w:hAnsi="Symbol"/>
        </w:rPr>
        <w:sym w:font="Symbol" w:char="F06D"/>
      </w:r>
      <w:r w:rsidRPr="001B4A02">
        <w:t>g/ml (20/10</w:t>
      </w:r>
      <w:r w:rsidR="00294902">
        <w:t> mg</w:t>
      </w:r>
      <w:r w:rsidRPr="001B4A02">
        <w:t>, jednou týdně).</w:t>
      </w:r>
    </w:p>
    <w:p w14:paraId="2FD83E2F" w14:textId="77777777" w:rsidR="00F24C86" w:rsidRPr="001B4A02" w:rsidRDefault="00F24C86" w:rsidP="00F24C86">
      <w:pPr>
        <w:ind w:left="0" w:firstLine="0"/>
      </w:pPr>
    </w:p>
    <w:p w14:paraId="15D66200" w14:textId="77777777" w:rsidR="00F24C86" w:rsidRPr="001B4A02" w:rsidRDefault="00000000" w:rsidP="00F24C86">
      <w:pPr>
        <w:autoSpaceDE w:val="0"/>
        <w:autoSpaceDN w:val="0"/>
        <w:adjustRightInd w:val="0"/>
        <w:ind w:left="0" w:firstLine="0"/>
        <w:rPr>
          <w:iCs/>
          <w:szCs w:val="22"/>
          <w:bdr w:val="nil"/>
        </w:rPr>
      </w:pPr>
      <w:r w:rsidRPr="001B4A02">
        <w:rPr>
          <w:iCs/>
          <w:szCs w:val="22"/>
        </w:rPr>
        <w:t>Expozice adalimumabu u</w:t>
      </w:r>
      <w:r w:rsidR="00865367" w:rsidRPr="001B4A02">
        <w:rPr>
          <w:iCs/>
          <w:szCs w:val="22"/>
        </w:rPr>
        <w:t> </w:t>
      </w:r>
      <w:r w:rsidRPr="001B4A02">
        <w:rPr>
          <w:iCs/>
          <w:szCs w:val="22"/>
        </w:rPr>
        <w:t>pediatrických pacientů s</w:t>
      </w:r>
      <w:r w:rsidR="00865367" w:rsidRPr="001B4A02">
        <w:rPr>
          <w:iCs/>
          <w:szCs w:val="22"/>
        </w:rPr>
        <w:t> </w:t>
      </w:r>
      <w:r w:rsidRPr="001B4A02">
        <w:rPr>
          <w:iCs/>
          <w:szCs w:val="22"/>
        </w:rPr>
        <w:t>uveitidou byla predikována pomocí populačního farmakokinetického modelování</w:t>
      </w:r>
      <w:r w:rsidR="002378E0">
        <w:rPr>
          <w:iCs/>
          <w:szCs w:val="22"/>
        </w:rPr>
        <w:t xml:space="preserve"> a </w:t>
      </w:r>
      <w:r w:rsidRPr="001B4A02">
        <w:rPr>
          <w:iCs/>
          <w:szCs w:val="22"/>
        </w:rPr>
        <w:t>simulace na základě farmakokinetiky se zkříženou indikací u</w:t>
      </w:r>
      <w:r w:rsidR="00865367" w:rsidRPr="001B4A02">
        <w:rPr>
          <w:iCs/>
          <w:szCs w:val="22"/>
        </w:rPr>
        <w:t> </w:t>
      </w:r>
      <w:r w:rsidRPr="001B4A02">
        <w:rPr>
          <w:iCs/>
          <w:szCs w:val="22"/>
        </w:rPr>
        <w:t>dalších pediatrických pacientů (psoriáza u</w:t>
      </w:r>
      <w:r w:rsidR="00865367" w:rsidRPr="001B4A02">
        <w:rPr>
          <w:iCs/>
          <w:szCs w:val="22"/>
        </w:rPr>
        <w:t> </w:t>
      </w:r>
      <w:r w:rsidRPr="001B4A02">
        <w:rPr>
          <w:iCs/>
          <w:szCs w:val="22"/>
        </w:rPr>
        <w:t>dětí, juvenilní idiopatická artritida, Crohnova nemoc u</w:t>
      </w:r>
      <w:r w:rsidR="00865367" w:rsidRPr="001B4A02">
        <w:rPr>
          <w:iCs/>
          <w:szCs w:val="22"/>
        </w:rPr>
        <w:t> </w:t>
      </w:r>
      <w:r w:rsidRPr="001B4A02">
        <w:rPr>
          <w:iCs/>
          <w:szCs w:val="22"/>
        </w:rPr>
        <w:t>dětí</w:t>
      </w:r>
      <w:r w:rsidR="002378E0">
        <w:rPr>
          <w:iCs/>
          <w:szCs w:val="22"/>
        </w:rPr>
        <w:t xml:space="preserve"> a </w:t>
      </w:r>
      <w:r w:rsidRPr="001B4A02">
        <w:rPr>
          <w:iCs/>
          <w:szCs w:val="22"/>
        </w:rPr>
        <w:t>entezopatická artritida). Nejsou k</w:t>
      </w:r>
      <w:r w:rsidR="00865367" w:rsidRPr="001B4A02">
        <w:rPr>
          <w:iCs/>
          <w:szCs w:val="22"/>
        </w:rPr>
        <w:t> </w:t>
      </w:r>
      <w:r w:rsidRPr="001B4A02">
        <w:rPr>
          <w:iCs/>
          <w:szCs w:val="22"/>
        </w:rPr>
        <w:t>dispozici žádné klinické údaje o</w:t>
      </w:r>
      <w:r w:rsidR="00865367" w:rsidRPr="001B4A02">
        <w:rPr>
          <w:iCs/>
          <w:szCs w:val="22"/>
        </w:rPr>
        <w:t> </w:t>
      </w:r>
      <w:r w:rsidRPr="001B4A02">
        <w:rPr>
          <w:iCs/>
          <w:szCs w:val="22"/>
        </w:rPr>
        <w:t>použití úvodní dávky u</w:t>
      </w:r>
      <w:r w:rsidR="00865367" w:rsidRPr="001B4A02">
        <w:rPr>
          <w:iCs/>
          <w:szCs w:val="22"/>
        </w:rPr>
        <w:t> </w:t>
      </w:r>
      <w:r w:rsidRPr="001B4A02">
        <w:rPr>
          <w:iCs/>
          <w:szCs w:val="22"/>
        </w:rPr>
        <w:t>dětí ve věku &lt; 6 let. Předpokládané expozice ukazují, že bez methotrexátu může úvodní dávka vést k</w:t>
      </w:r>
      <w:r w:rsidR="00865367" w:rsidRPr="001B4A02">
        <w:rPr>
          <w:iCs/>
          <w:szCs w:val="22"/>
        </w:rPr>
        <w:t> </w:t>
      </w:r>
      <w:r w:rsidRPr="001B4A02">
        <w:rPr>
          <w:iCs/>
          <w:szCs w:val="22"/>
        </w:rPr>
        <w:t>počátečnímu zvýšení systémové expozice.</w:t>
      </w:r>
    </w:p>
    <w:p w14:paraId="5C7A5411" w14:textId="77777777" w:rsidR="0074124A" w:rsidRPr="001B4A02" w:rsidRDefault="0074124A" w:rsidP="00F24C86">
      <w:pPr>
        <w:autoSpaceDE w:val="0"/>
        <w:autoSpaceDN w:val="0"/>
        <w:adjustRightInd w:val="0"/>
        <w:ind w:left="0" w:firstLine="0"/>
        <w:rPr>
          <w:iCs/>
          <w:szCs w:val="22"/>
          <w:bdr w:val="nil"/>
        </w:rPr>
      </w:pPr>
    </w:p>
    <w:p w14:paraId="5BF8079C" w14:textId="77777777" w:rsidR="0074124A" w:rsidRPr="007E416D" w:rsidRDefault="00000000" w:rsidP="00527B4A">
      <w:pPr>
        <w:keepNext/>
        <w:autoSpaceDE w:val="0"/>
        <w:autoSpaceDN w:val="0"/>
        <w:adjustRightInd w:val="0"/>
        <w:rPr>
          <w:u w:val="single"/>
        </w:rPr>
      </w:pPr>
      <w:r w:rsidRPr="007E416D">
        <w:rPr>
          <w:u w:val="single"/>
        </w:rPr>
        <w:t>Vztah expozice-odpověď u pediatrické populace</w:t>
      </w:r>
    </w:p>
    <w:p w14:paraId="5548DA0A" w14:textId="77777777" w:rsidR="0074124A" w:rsidRPr="001B4A02" w:rsidRDefault="00000000" w:rsidP="00C465CA">
      <w:pPr>
        <w:autoSpaceDE w:val="0"/>
        <w:autoSpaceDN w:val="0"/>
        <w:adjustRightInd w:val="0"/>
        <w:ind w:left="0" w:firstLine="0"/>
      </w:pPr>
      <w:r w:rsidRPr="001B4A02">
        <w:t>Na základě dat z</w:t>
      </w:r>
      <w:r w:rsidR="004970F6" w:rsidRPr="001B4A02">
        <w:t> </w:t>
      </w:r>
      <w:r w:rsidRPr="001B4A02">
        <w:t>klinické studie u</w:t>
      </w:r>
      <w:r w:rsidR="004970F6" w:rsidRPr="001B4A02">
        <w:t> </w:t>
      </w:r>
      <w:r w:rsidRPr="001B4A02">
        <w:t>pacientů s</w:t>
      </w:r>
      <w:r w:rsidR="004970F6" w:rsidRPr="001B4A02">
        <w:t> </w:t>
      </w:r>
      <w:r w:rsidRPr="001B4A02">
        <w:t>JIA (pJIA</w:t>
      </w:r>
      <w:r w:rsidR="002378E0">
        <w:t xml:space="preserve"> a </w:t>
      </w:r>
      <w:r w:rsidRPr="001B4A02">
        <w:t xml:space="preserve">ERA) byl stanoven </w:t>
      </w:r>
      <w:r w:rsidR="00AA419E" w:rsidRPr="001B4A02">
        <w:t>vztah expozice</w:t>
      </w:r>
      <w:r w:rsidRPr="001B4A02">
        <w:t>-odpověď mezi plazmatickými koncentracemi</w:t>
      </w:r>
      <w:r w:rsidR="002378E0">
        <w:t xml:space="preserve"> a </w:t>
      </w:r>
      <w:r w:rsidRPr="001B4A02">
        <w:t>PedACR 50 odpovědí. Zjevná plazmatická koncentrace adalimumabu, která vede k</w:t>
      </w:r>
      <w:r w:rsidR="004970F6" w:rsidRPr="001B4A02">
        <w:t> </w:t>
      </w:r>
      <w:r w:rsidRPr="001B4A02">
        <w:t xml:space="preserve">poloviční maximální pravděpodobnosti </w:t>
      </w:r>
      <w:r w:rsidR="000D6934" w:rsidRPr="001B4A02">
        <w:t>PedACR 50 odpovědi (EC50), byla</w:t>
      </w:r>
      <w:r w:rsidRPr="001B4A02">
        <w:t xml:space="preserve"> 3 μg/ml (95% CI: 1–</w:t>
      </w:r>
      <w:r w:rsidR="00C465CA" w:rsidRPr="001B4A02">
        <w:t>6 μg/ml).</w:t>
      </w:r>
    </w:p>
    <w:p w14:paraId="66E1A0D3" w14:textId="77777777" w:rsidR="0074124A" w:rsidRPr="001B4A02" w:rsidRDefault="0074124A" w:rsidP="0074124A">
      <w:pPr>
        <w:autoSpaceDE w:val="0"/>
        <w:autoSpaceDN w:val="0"/>
        <w:adjustRightInd w:val="0"/>
        <w:ind w:left="0" w:firstLine="0"/>
      </w:pPr>
    </w:p>
    <w:p w14:paraId="78E3ADC5" w14:textId="77777777" w:rsidR="0074124A" w:rsidRPr="001B4A02" w:rsidRDefault="00000000" w:rsidP="0074124A">
      <w:pPr>
        <w:autoSpaceDE w:val="0"/>
        <w:autoSpaceDN w:val="0"/>
        <w:adjustRightInd w:val="0"/>
        <w:ind w:left="0" w:firstLine="0"/>
      </w:pPr>
      <w:r w:rsidRPr="001B4A02">
        <w:t>Vztah expozice-odpověď mezi koncentrací adalimumabu</w:t>
      </w:r>
      <w:r w:rsidR="002378E0">
        <w:t xml:space="preserve"> a </w:t>
      </w:r>
      <w:r w:rsidRPr="001B4A02">
        <w:t>účinností u</w:t>
      </w:r>
      <w:r w:rsidR="00865367" w:rsidRPr="001B4A02">
        <w:t> </w:t>
      </w:r>
      <w:r w:rsidRPr="001B4A02">
        <w:t>pediatrických pacientů se závažnou chronickou ložiskovou psoriázou byl stanoven pro PASI 75</w:t>
      </w:r>
      <w:r w:rsidR="002378E0">
        <w:t xml:space="preserve"> a </w:t>
      </w:r>
      <w:r w:rsidRPr="001B4A02">
        <w:t>PGA</w:t>
      </w:r>
      <w:r w:rsidR="009C33E6" w:rsidRPr="001B4A02">
        <w:t xml:space="preserve"> jasný nebo minimální, v</w:t>
      </w:r>
      <w:r w:rsidR="00865367" w:rsidRPr="001B4A02">
        <w:t> </w:t>
      </w:r>
      <w:r w:rsidR="009C33E6" w:rsidRPr="001B4A02">
        <w:t>uvedeném pořadí. PASI 75</w:t>
      </w:r>
      <w:r w:rsidR="002378E0">
        <w:t xml:space="preserve"> a </w:t>
      </w:r>
      <w:r w:rsidR="009C33E6" w:rsidRPr="001B4A02">
        <w:t>PGA jasný nebo minimální se zvyšoval se zvyšujícími se koncentracemi adalimumabu s</w:t>
      </w:r>
      <w:r w:rsidR="00865367" w:rsidRPr="001B4A02">
        <w:t> </w:t>
      </w:r>
      <w:r w:rsidR="009C33E6" w:rsidRPr="001B4A02">
        <w:t xml:space="preserve">podobnou zjevnou EC50 přibližně </w:t>
      </w:r>
      <w:r w:rsidRPr="001B4A02">
        <w:t>4</w:t>
      </w:r>
      <w:r w:rsidR="009C33E6" w:rsidRPr="001B4A02">
        <w:t>,</w:t>
      </w:r>
      <w:r w:rsidRPr="001B4A02">
        <w:t>5</w:t>
      </w:r>
      <w:r w:rsidR="009C33E6" w:rsidRPr="001B4A02">
        <w:t xml:space="preserve"> μg/ml </w:t>
      </w:r>
      <w:r w:rsidRPr="001B4A02">
        <w:t>(95% CI 0</w:t>
      </w:r>
      <w:r w:rsidR="009C33E6" w:rsidRPr="001B4A02">
        <w:t>,</w:t>
      </w:r>
      <w:r w:rsidRPr="001B4A02">
        <w:t>4</w:t>
      </w:r>
      <w:r w:rsidR="009C33E6" w:rsidRPr="001B4A02">
        <w:t>–</w:t>
      </w:r>
      <w:r w:rsidRPr="001B4A02">
        <w:t>47</w:t>
      </w:r>
      <w:r w:rsidR="009C33E6" w:rsidRPr="001B4A02">
        <w:t>,</w:t>
      </w:r>
      <w:r w:rsidRPr="001B4A02">
        <w:t>6</w:t>
      </w:r>
      <w:r w:rsidR="002378E0">
        <w:t xml:space="preserve"> a </w:t>
      </w:r>
      <w:r w:rsidRPr="001B4A02">
        <w:t>1</w:t>
      </w:r>
      <w:r w:rsidR="009C33E6" w:rsidRPr="001B4A02">
        <w:t>,</w:t>
      </w:r>
      <w:r w:rsidRPr="001B4A02">
        <w:t>9</w:t>
      </w:r>
      <w:r w:rsidR="009C33E6" w:rsidRPr="001B4A02">
        <w:t>–</w:t>
      </w:r>
      <w:r w:rsidRPr="001B4A02">
        <w:t>10</w:t>
      </w:r>
      <w:r w:rsidR="009C33E6" w:rsidRPr="001B4A02">
        <w:t>,</w:t>
      </w:r>
      <w:r w:rsidRPr="001B4A02">
        <w:t xml:space="preserve">5, </w:t>
      </w:r>
      <w:r w:rsidR="009C33E6" w:rsidRPr="001B4A02">
        <w:t>v</w:t>
      </w:r>
      <w:r w:rsidR="003D5529" w:rsidRPr="001B4A02">
        <w:t> </w:t>
      </w:r>
      <w:r w:rsidR="009C33E6" w:rsidRPr="001B4A02">
        <w:t>uvedeném pořadí</w:t>
      </w:r>
      <w:r w:rsidRPr="001B4A02">
        <w:t>).</w:t>
      </w:r>
    </w:p>
    <w:p w14:paraId="518E46B7" w14:textId="77777777" w:rsidR="0074124A" w:rsidRPr="001B4A02" w:rsidRDefault="0074124A" w:rsidP="0074124A">
      <w:pPr>
        <w:tabs>
          <w:tab w:val="left" w:pos="638"/>
        </w:tabs>
        <w:autoSpaceDE w:val="0"/>
        <w:autoSpaceDN w:val="0"/>
        <w:adjustRightInd w:val="0"/>
        <w:ind w:left="0" w:firstLine="0"/>
        <w:rPr>
          <w:highlight w:val="yellow"/>
        </w:rPr>
      </w:pPr>
    </w:p>
    <w:p w14:paraId="5A3BC6E7" w14:textId="77777777" w:rsidR="0074124A" w:rsidRPr="001B4A02" w:rsidRDefault="00000000" w:rsidP="00C465CA">
      <w:pPr>
        <w:keepNext/>
        <w:tabs>
          <w:tab w:val="left" w:pos="638"/>
        </w:tabs>
        <w:autoSpaceDE w:val="0"/>
        <w:autoSpaceDN w:val="0"/>
        <w:adjustRightInd w:val="0"/>
        <w:ind w:left="0" w:firstLine="0"/>
        <w:rPr>
          <w:u w:val="single"/>
        </w:rPr>
      </w:pPr>
      <w:r w:rsidRPr="001B4A02">
        <w:rPr>
          <w:u w:val="single"/>
        </w:rPr>
        <w:t>Dospělí</w:t>
      </w:r>
    </w:p>
    <w:p w14:paraId="424A5F63" w14:textId="77777777" w:rsidR="0074124A" w:rsidRPr="001B4A02" w:rsidRDefault="0074124A" w:rsidP="00C465CA">
      <w:pPr>
        <w:keepNext/>
        <w:tabs>
          <w:tab w:val="left" w:pos="638"/>
        </w:tabs>
        <w:autoSpaceDE w:val="0"/>
        <w:autoSpaceDN w:val="0"/>
        <w:adjustRightInd w:val="0"/>
        <w:ind w:left="0" w:firstLine="0"/>
        <w:rPr>
          <w:u w:val="single"/>
        </w:rPr>
      </w:pPr>
    </w:p>
    <w:p w14:paraId="3A3A4024" w14:textId="77777777" w:rsidR="0074124A" w:rsidRPr="001B4A02" w:rsidRDefault="00000000" w:rsidP="0074124A">
      <w:pPr>
        <w:autoSpaceDE w:val="0"/>
        <w:autoSpaceDN w:val="0"/>
        <w:adjustRightInd w:val="0"/>
        <w:ind w:left="0" w:firstLine="0"/>
      </w:pPr>
      <w:r w:rsidRPr="001B4A02">
        <w:t>Po jednorázovém subkutánním podání dávky 40 mg byla absorpce</w:t>
      </w:r>
      <w:r w:rsidR="002378E0">
        <w:t xml:space="preserve"> a </w:t>
      </w:r>
      <w:r w:rsidRPr="001B4A02">
        <w:t>distribuce adalimumabu pomalá</w:t>
      </w:r>
      <w:r w:rsidR="002378E0">
        <w:t xml:space="preserve"> a </w:t>
      </w:r>
      <w:r w:rsidRPr="001B4A02">
        <w:t>vrcholové sérové koncentrace byly dosaženy zhruba za 5 dní po jeho podání. Průměrná biologická dostupnost adalimumabu se odhaduje na 64</w:t>
      </w:r>
      <w:r w:rsidR="006008CB">
        <w:t> %</w:t>
      </w:r>
      <w:r w:rsidRPr="001B4A02">
        <w:t>,</w:t>
      </w:r>
      <w:r w:rsidR="002378E0">
        <w:t xml:space="preserve"> a </w:t>
      </w:r>
      <w:r w:rsidRPr="001B4A02">
        <w:t>to na základě výsledků ze tří studií s podáním jednorázové dávky 40 mg subkutánně. Po jednorázových intravenózních dávkách v rozmezí 0,25–10 mg/kg byly koncentrace léku úměrné podané dávce. Po dávkách 0,5 mg/kg (cca 40 mg) se clearance pohybovala mezi 11–15 ml/hod, distribuční objem (V</w:t>
      </w:r>
      <w:r w:rsidRPr="001B4A02">
        <w:rPr>
          <w:vertAlign w:val="subscript"/>
        </w:rPr>
        <w:t>ss</w:t>
      </w:r>
      <w:r w:rsidRPr="001B4A02">
        <w:t>) se pohyboval mezi 5–6 l</w:t>
      </w:r>
      <w:r w:rsidR="002378E0">
        <w:t xml:space="preserve"> a </w:t>
      </w:r>
      <w:r w:rsidRPr="001B4A02">
        <w:t>průměrný terminální poločas byl přibližně 2 týdny. Koncentrace adalimumabu v synoviální tekutině u několika pacientů s revmatoidní artritidou představovala 31–96</w:t>
      </w:r>
      <w:r w:rsidR="006008CB">
        <w:t> %</w:t>
      </w:r>
      <w:r w:rsidRPr="001B4A02">
        <w:t xml:space="preserve"> sérové koncentrace léku.</w:t>
      </w:r>
    </w:p>
    <w:p w14:paraId="67BB837C" w14:textId="77777777" w:rsidR="0074124A" w:rsidRPr="001B4A02" w:rsidRDefault="0074124A" w:rsidP="0074124A">
      <w:pPr>
        <w:autoSpaceDE w:val="0"/>
        <w:autoSpaceDN w:val="0"/>
        <w:adjustRightInd w:val="0"/>
        <w:ind w:left="0" w:firstLine="0"/>
      </w:pPr>
    </w:p>
    <w:p w14:paraId="1FB02728" w14:textId="77777777" w:rsidR="0074124A" w:rsidRPr="001B4A02" w:rsidRDefault="00000000" w:rsidP="0074124A">
      <w:pPr>
        <w:autoSpaceDE w:val="0"/>
        <w:autoSpaceDN w:val="0"/>
        <w:adjustRightInd w:val="0"/>
        <w:ind w:left="0" w:firstLine="0"/>
      </w:pPr>
      <w:r w:rsidRPr="001B4A02">
        <w:t>Po subkutánním podání adalimumabu v</w:t>
      </w:r>
      <w:r w:rsidR="00865367" w:rsidRPr="001B4A02">
        <w:t> </w:t>
      </w:r>
      <w:r w:rsidRPr="001B4A02">
        <w:t xml:space="preserve">dávce 40 mg </w:t>
      </w:r>
      <w:r w:rsidR="00EA5E2D" w:rsidRPr="001B4A02">
        <w:t>jednou za dva týdny</w:t>
      </w:r>
      <w:r w:rsidRPr="001B4A02">
        <w:t xml:space="preserve"> u</w:t>
      </w:r>
      <w:r w:rsidR="00E07E66" w:rsidRPr="001B4A02">
        <w:t> </w:t>
      </w:r>
      <w:r w:rsidRPr="001B4A02">
        <w:t>dospělých pacientů s</w:t>
      </w:r>
      <w:r w:rsidR="00865367" w:rsidRPr="001B4A02">
        <w:t> </w:t>
      </w:r>
      <w:r w:rsidRPr="001B4A02">
        <w:t>revmatoidní artritidou (RA) byly průměrné ustálené minimální koncentrace přibližně 5 </w:t>
      </w:r>
      <w:r w:rsidRPr="001B4A02">
        <w:rPr>
          <w:rFonts w:ascii="Symbol" w:hAnsi="Symbol"/>
          <w:szCs w:val="22"/>
        </w:rPr>
        <w:sym w:font="Symbol" w:char="F06D"/>
      </w:r>
      <w:r w:rsidRPr="001B4A02">
        <w:t>g/ml (bez současného podávání methotrexátu)</w:t>
      </w:r>
      <w:r w:rsidR="002378E0">
        <w:t xml:space="preserve"> a </w:t>
      </w:r>
      <w:r w:rsidRPr="001B4A02">
        <w:t>8 až 9 </w:t>
      </w:r>
      <w:r w:rsidRPr="001B4A02">
        <w:rPr>
          <w:rFonts w:ascii="Symbol" w:hAnsi="Symbol"/>
          <w:szCs w:val="22"/>
        </w:rPr>
        <w:sym w:font="Symbol" w:char="F06D"/>
      </w:r>
      <w:r w:rsidRPr="001B4A02">
        <w:t>g/ml (se současně podávaným methotrexátem),</w:t>
      </w:r>
      <w:r w:rsidR="00865367" w:rsidRPr="001B4A02">
        <w:t xml:space="preserve"> </w:t>
      </w:r>
      <w:r w:rsidRPr="001B4A02">
        <w:t>v</w:t>
      </w:r>
      <w:r w:rsidR="00865367" w:rsidRPr="001B4A02">
        <w:t> </w:t>
      </w:r>
      <w:r w:rsidRPr="001B4A02">
        <w:t>uvedeném pořadí. Minimální sérové hladiny adalimumabu při ustáleném stavu se zvýšily zhruba úměrně dávce po podání subkutánní dávky 20, 40</w:t>
      </w:r>
      <w:r w:rsidR="002378E0">
        <w:t xml:space="preserve"> a </w:t>
      </w:r>
      <w:r w:rsidRPr="001B4A02">
        <w:t xml:space="preserve">80 mg </w:t>
      </w:r>
      <w:r w:rsidR="00EA5E2D" w:rsidRPr="001B4A02">
        <w:t>jednou za dva týdny</w:t>
      </w:r>
      <w:r w:rsidR="002378E0">
        <w:t xml:space="preserve"> a </w:t>
      </w:r>
      <w:r w:rsidRPr="001B4A02">
        <w:t>každý týden.</w:t>
      </w:r>
    </w:p>
    <w:p w14:paraId="43DAEDB7" w14:textId="77777777" w:rsidR="0074124A" w:rsidRPr="001B4A02" w:rsidRDefault="0074124A" w:rsidP="0074124A">
      <w:pPr>
        <w:tabs>
          <w:tab w:val="left" w:pos="638"/>
        </w:tabs>
        <w:autoSpaceDE w:val="0"/>
        <w:autoSpaceDN w:val="0"/>
        <w:adjustRightInd w:val="0"/>
        <w:ind w:left="0" w:firstLine="0"/>
      </w:pPr>
    </w:p>
    <w:p w14:paraId="40DE6A8F" w14:textId="77777777" w:rsidR="0074124A" w:rsidRPr="001B4A02" w:rsidRDefault="00000000" w:rsidP="0074124A">
      <w:pPr>
        <w:autoSpaceDE w:val="0"/>
        <w:autoSpaceDN w:val="0"/>
        <w:adjustRightInd w:val="0"/>
        <w:ind w:left="0" w:firstLine="0"/>
      </w:pPr>
      <w:r w:rsidRPr="001B4A02">
        <w:t xml:space="preserve">U dospělých </w:t>
      </w:r>
      <w:r w:rsidR="000C29B0" w:rsidRPr="001B4A02">
        <w:rPr>
          <w:iCs/>
          <w:szCs w:val="22"/>
        </w:rPr>
        <w:t xml:space="preserve">pacientů </w:t>
      </w:r>
      <w:r w:rsidRPr="001B4A02">
        <w:t>s psoriázou byla průměrná minimální koncentrace při ustáleném stavu 5 </w:t>
      </w:r>
      <w:r w:rsidRPr="001B4A02">
        <w:rPr>
          <w:rFonts w:ascii="Symbol" w:hAnsi="Symbol"/>
          <w:szCs w:val="22"/>
        </w:rPr>
        <w:sym w:font="Symbol" w:char="F06D"/>
      </w:r>
      <w:r w:rsidRPr="001B4A02">
        <w:t xml:space="preserve">g/ml během monoterapie adalimumabem v dávce 40 mg </w:t>
      </w:r>
      <w:r w:rsidR="00EA5E2D" w:rsidRPr="001B4A02">
        <w:t>jednou za dva týdny</w:t>
      </w:r>
      <w:r w:rsidRPr="001B4A02">
        <w:t>.</w:t>
      </w:r>
    </w:p>
    <w:p w14:paraId="2FAACB10" w14:textId="77777777" w:rsidR="0074124A" w:rsidRPr="001B4A02" w:rsidRDefault="0074124A" w:rsidP="0074124A">
      <w:pPr>
        <w:tabs>
          <w:tab w:val="left" w:pos="638"/>
        </w:tabs>
        <w:autoSpaceDE w:val="0"/>
        <w:autoSpaceDN w:val="0"/>
        <w:adjustRightInd w:val="0"/>
      </w:pPr>
    </w:p>
    <w:p w14:paraId="463CF9DB" w14:textId="77777777" w:rsidR="009C7AC1" w:rsidRPr="001B4A02" w:rsidRDefault="00000000" w:rsidP="009C7AC1">
      <w:pPr>
        <w:tabs>
          <w:tab w:val="left" w:pos="0"/>
        </w:tabs>
        <w:autoSpaceDE w:val="0"/>
        <w:autoSpaceDN w:val="0"/>
        <w:adjustRightInd w:val="0"/>
        <w:ind w:left="0" w:firstLine="0"/>
      </w:pPr>
      <w:r w:rsidRPr="001B4A02">
        <w:t>Populační farmakokinetické</w:t>
      </w:r>
      <w:r w:rsidR="002378E0">
        <w:t xml:space="preserve"> a </w:t>
      </w:r>
      <w:r w:rsidRPr="001B4A02">
        <w:t>farmakokineticko/farmakodynamické modelování</w:t>
      </w:r>
      <w:r w:rsidR="002378E0">
        <w:t xml:space="preserve"> a </w:t>
      </w:r>
      <w:r w:rsidRPr="001B4A02">
        <w:t>simulace předpověděly srovnatelné expozice</w:t>
      </w:r>
      <w:r w:rsidR="002378E0">
        <w:t xml:space="preserve"> a </w:t>
      </w:r>
      <w:r w:rsidRPr="001B4A02">
        <w:t>účinnost adalimumabu u</w:t>
      </w:r>
      <w:r w:rsidR="00C465CA" w:rsidRPr="001B4A02">
        <w:t> </w:t>
      </w:r>
      <w:r w:rsidRPr="001B4A02">
        <w:t>pacientů léčených dávkou 80</w:t>
      </w:r>
      <w:r w:rsidR="00C465CA" w:rsidRPr="001B4A02">
        <w:t> </w:t>
      </w:r>
      <w:r w:rsidRPr="001B4A02">
        <w:t>mg jednou za dva týdny při srovnání s dávkou 40</w:t>
      </w:r>
      <w:r w:rsidR="00C465CA" w:rsidRPr="001B4A02">
        <w:t> </w:t>
      </w:r>
      <w:r w:rsidRPr="001B4A02">
        <w:t>mg jednou týdně (včetně dospělých pacientů s RA, HS, UC, CD nebo psoriázou, dospívajících pacientů s HS</w:t>
      </w:r>
      <w:r w:rsidR="002378E0">
        <w:t xml:space="preserve"> a </w:t>
      </w:r>
      <w:r w:rsidRPr="001B4A02">
        <w:t>pediatrických pacientů ≥ 40</w:t>
      </w:r>
      <w:r w:rsidR="002767FC">
        <w:t> kg</w:t>
      </w:r>
      <w:r w:rsidRPr="001B4A02">
        <w:t xml:space="preserve"> s</w:t>
      </w:r>
      <w:r w:rsidR="00C465CA" w:rsidRPr="001B4A02">
        <w:t> </w:t>
      </w:r>
      <w:r w:rsidRPr="001B4A02">
        <w:t>CD).</w:t>
      </w:r>
    </w:p>
    <w:p w14:paraId="2C4A269E" w14:textId="77777777" w:rsidR="009C7AC1" w:rsidRPr="001B4A02" w:rsidRDefault="009C7AC1" w:rsidP="0074124A">
      <w:pPr>
        <w:tabs>
          <w:tab w:val="left" w:pos="638"/>
        </w:tabs>
        <w:autoSpaceDE w:val="0"/>
        <w:autoSpaceDN w:val="0"/>
        <w:adjustRightInd w:val="0"/>
      </w:pPr>
    </w:p>
    <w:p w14:paraId="33B84FFE" w14:textId="77777777" w:rsidR="00F24C86" w:rsidRPr="001B4A02" w:rsidRDefault="00000000" w:rsidP="00C465CA">
      <w:pPr>
        <w:keepNext/>
        <w:ind w:left="0" w:firstLine="0"/>
        <w:rPr>
          <w:u w:val="single"/>
        </w:rPr>
      </w:pPr>
      <w:r w:rsidRPr="001B4A02">
        <w:rPr>
          <w:u w:val="single"/>
        </w:rPr>
        <w:t>Eliminace</w:t>
      </w:r>
    </w:p>
    <w:p w14:paraId="40E19FE3" w14:textId="77777777" w:rsidR="00F24C86" w:rsidRPr="001B4A02" w:rsidRDefault="00F24C86" w:rsidP="00C465CA">
      <w:pPr>
        <w:keepNext/>
        <w:ind w:left="0" w:firstLine="0"/>
      </w:pPr>
    </w:p>
    <w:p w14:paraId="2ABF8E6C" w14:textId="77777777" w:rsidR="00F24C86" w:rsidRPr="001B4A02" w:rsidRDefault="00000000" w:rsidP="00F24C86">
      <w:pPr>
        <w:ind w:left="0" w:firstLine="0"/>
      </w:pPr>
      <w:r w:rsidRPr="001B4A02">
        <w:t>Populační farmakokinetické analýzy s údaji od více než 1 300 pacientů s RA zjistily trend směrem k vyšší zdánlivé clearance adalimumabu s rostoucí tělesnou váhou. Po úpravě váhových rozdílů, pohlaví</w:t>
      </w:r>
      <w:r w:rsidR="002378E0">
        <w:t xml:space="preserve"> a </w:t>
      </w:r>
      <w:r w:rsidRPr="001B4A02">
        <w:t>věku byl zřejmý minimální efekt na clearance adalimumabu. Koncentrace volného adalimumabu v séru (nevázaného na protilátky proti adalimumabu, AAA) byly nižší u</w:t>
      </w:r>
      <w:r w:rsidR="00865367" w:rsidRPr="001B4A02">
        <w:t> </w:t>
      </w:r>
      <w:r w:rsidRPr="001B4A02">
        <w:t xml:space="preserve">pacientů s detekovanými </w:t>
      </w:r>
      <w:r w:rsidR="00C465CA" w:rsidRPr="001B4A02">
        <w:t>protilátkami proti adalimumabu.</w:t>
      </w:r>
    </w:p>
    <w:p w14:paraId="11C79F9A" w14:textId="77777777" w:rsidR="00F24C86" w:rsidRPr="001B4A02" w:rsidRDefault="00F24C86" w:rsidP="00F24C86">
      <w:pPr>
        <w:ind w:left="0" w:firstLine="0"/>
      </w:pPr>
    </w:p>
    <w:p w14:paraId="32428CAC" w14:textId="77777777" w:rsidR="00F24C86" w:rsidRPr="001B4A02" w:rsidRDefault="00000000" w:rsidP="00C465CA">
      <w:pPr>
        <w:keepNext/>
        <w:ind w:left="0" w:firstLine="0"/>
        <w:rPr>
          <w:u w:val="single"/>
        </w:rPr>
      </w:pPr>
      <w:r w:rsidRPr="001B4A02">
        <w:rPr>
          <w:u w:val="single"/>
        </w:rPr>
        <w:t>Porucha funkce jater nebo ledvin</w:t>
      </w:r>
    </w:p>
    <w:p w14:paraId="3E1B5F07" w14:textId="77777777" w:rsidR="00F24C86" w:rsidRPr="001B4A02" w:rsidRDefault="00F24C86" w:rsidP="00C465CA">
      <w:pPr>
        <w:keepNext/>
        <w:ind w:left="0" w:firstLine="0"/>
      </w:pPr>
    </w:p>
    <w:p w14:paraId="3B196064" w14:textId="77777777" w:rsidR="00F24C86" w:rsidRPr="001B4A02" w:rsidRDefault="00000000" w:rsidP="00F24C86">
      <w:pPr>
        <w:ind w:left="0" w:firstLine="0"/>
      </w:pPr>
      <w:r>
        <w:t>Pou</w:t>
      </w:r>
      <w:r w:rsidRPr="001B4A02">
        <w:t>žití přípravku Humira nebylo studováno u</w:t>
      </w:r>
      <w:r w:rsidR="00865367" w:rsidRPr="001B4A02">
        <w:t> </w:t>
      </w:r>
      <w:r w:rsidRPr="001B4A02">
        <w:t>pacientů s poruchou funkce jater nebo ledvin.</w:t>
      </w:r>
    </w:p>
    <w:p w14:paraId="5793B5CB" w14:textId="77777777" w:rsidR="00F24C86" w:rsidRPr="001B4A02" w:rsidRDefault="00F24C86" w:rsidP="00F24C86">
      <w:pPr>
        <w:ind w:left="0" w:firstLine="0"/>
      </w:pPr>
    </w:p>
    <w:p w14:paraId="58B201F0" w14:textId="77777777" w:rsidR="00F24C86" w:rsidRPr="001B4A02" w:rsidRDefault="00000000" w:rsidP="000A5426">
      <w:pPr>
        <w:keepNext/>
        <w:outlineLvl w:val="1"/>
        <w:rPr>
          <w:b/>
        </w:rPr>
      </w:pPr>
      <w:r w:rsidRPr="001B4A02">
        <w:rPr>
          <w:b/>
        </w:rPr>
        <w:t>5.3</w:t>
      </w:r>
      <w:r w:rsidRPr="001B4A02">
        <w:rPr>
          <w:b/>
        </w:rPr>
        <w:tab/>
        <w:t>Předklinické údaje vztahující se k bezpečnosti</w:t>
      </w:r>
    </w:p>
    <w:p w14:paraId="4001422F" w14:textId="77777777" w:rsidR="00F24C86" w:rsidRPr="001B4A02" w:rsidRDefault="00F24C86" w:rsidP="00F24C86">
      <w:pPr>
        <w:keepNext/>
        <w:ind w:left="0" w:firstLine="0"/>
      </w:pPr>
    </w:p>
    <w:p w14:paraId="0B54D16E" w14:textId="77777777" w:rsidR="00F24C86" w:rsidRPr="001B4A02" w:rsidRDefault="00000000" w:rsidP="00F24C86">
      <w:pPr>
        <w:ind w:left="0" w:firstLine="0"/>
      </w:pPr>
      <w:r w:rsidRPr="001B4A02">
        <w:t>Neklinické údaje získané na základě studií toxicity po jednorázovém podání, toxicity po opakovaném podání</w:t>
      </w:r>
      <w:r w:rsidR="002378E0">
        <w:t xml:space="preserve"> a </w:t>
      </w:r>
      <w:r w:rsidRPr="001B4A02">
        <w:t xml:space="preserve">genotoxicity neodhalily žádné zvláštní riziko pro člověka. </w:t>
      </w:r>
    </w:p>
    <w:p w14:paraId="4FF31FF5" w14:textId="77777777" w:rsidR="00F24C86" w:rsidRPr="001B4A02" w:rsidRDefault="00F24C86" w:rsidP="00F24C86">
      <w:pPr>
        <w:pStyle w:val="EndnoteText"/>
        <w:ind w:left="0" w:firstLine="0"/>
        <w:rPr>
          <w:lang w:val="cs-CZ"/>
        </w:rPr>
      </w:pPr>
    </w:p>
    <w:p w14:paraId="3D1DE048" w14:textId="77777777" w:rsidR="00F24C86" w:rsidRPr="001B4A02" w:rsidRDefault="00000000" w:rsidP="00F24C86">
      <w:pPr>
        <w:ind w:left="0" w:firstLine="0"/>
      </w:pPr>
      <w:r w:rsidRPr="001B4A02">
        <w:t xml:space="preserve">Ve studii u opic makaka jávského </w:t>
      </w:r>
      <w:r w:rsidRPr="001B4A02">
        <w:rPr>
          <w:i/>
          <w:iCs/>
        </w:rPr>
        <w:t>(Macaca fascicularis)</w:t>
      </w:r>
      <w:r w:rsidRPr="001B4A02">
        <w:t>, kterým byly podávány dávky adalimumabu 0, 30</w:t>
      </w:r>
      <w:r w:rsidR="002378E0">
        <w:t xml:space="preserve"> a </w:t>
      </w:r>
      <w:r w:rsidRPr="001B4A02">
        <w:t>100 mg/kg (9–17 opic ve skupině) sledující embryofetální toxicitu</w:t>
      </w:r>
      <w:r w:rsidR="002378E0">
        <w:t xml:space="preserve"> a </w:t>
      </w:r>
      <w:r w:rsidRPr="001B4A02">
        <w:t>perinatální vývoj, nebyl zjištěn žádný faktor naznačující poškození plodů</w:t>
      </w:r>
      <w:r w:rsidR="00634C67">
        <w:t xml:space="preserve"> vlivem adalimumabu</w:t>
      </w:r>
      <w:r w:rsidRPr="001B4A02">
        <w:t>. Ani studie karcinogenity, ani standardní hodnocení toxického vlivu na fertilitu</w:t>
      </w:r>
      <w:r w:rsidR="002378E0">
        <w:t xml:space="preserve"> a </w:t>
      </w:r>
      <w:r w:rsidRPr="001B4A02">
        <w:t>studie postnatální toxicity s adalimumabem nebyly prováděny, protože neexistuje vhodný model pro protilátky s omezenou zkříženou reaktivitou na TNF hlodavců</w:t>
      </w:r>
      <w:r w:rsidR="002378E0">
        <w:t xml:space="preserve"> a </w:t>
      </w:r>
      <w:r w:rsidRPr="001B4A02">
        <w:t>na rozvoj neutralizačních protilátek u hlodavců.</w:t>
      </w:r>
    </w:p>
    <w:p w14:paraId="3E3201AC" w14:textId="77777777" w:rsidR="00F24C86" w:rsidRPr="001B4A02" w:rsidRDefault="00F24C86" w:rsidP="00F24C86">
      <w:pPr>
        <w:ind w:left="0" w:firstLine="0"/>
      </w:pPr>
    </w:p>
    <w:p w14:paraId="1F770352" w14:textId="77777777" w:rsidR="00F24C86" w:rsidRPr="001B4A02" w:rsidRDefault="00F24C86" w:rsidP="00F24C86">
      <w:pPr>
        <w:ind w:left="0" w:firstLine="0"/>
      </w:pPr>
    </w:p>
    <w:p w14:paraId="33C7207B" w14:textId="77777777" w:rsidR="00F24C86" w:rsidRPr="001B4A02" w:rsidRDefault="00000000" w:rsidP="000A5426">
      <w:pPr>
        <w:keepNext/>
        <w:outlineLvl w:val="0"/>
        <w:rPr>
          <w:b/>
        </w:rPr>
      </w:pPr>
      <w:r w:rsidRPr="001B4A02">
        <w:rPr>
          <w:b/>
        </w:rPr>
        <w:t>6.</w:t>
      </w:r>
      <w:r w:rsidRPr="001B4A02">
        <w:rPr>
          <w:b/>
        </w:rPr>
        <w:tab/>
        <w:t>FARMACEUTICKÉ ÚDAJE</w:t>
      </w:r>
    </w:p>
    <w:p w14:paraId="7935D14B" w14:textId="77777777" w:rsidR="00F24C86" w:rsidRPr="001B4A02" w:rsidRDefault="00F24C86" w:rsidP="00F24C86">
      <w:pPr>
        <w:keepNext/>
        <w:ind w:left="0" w:firstLine="0"/>
        <w:rPr>
          <w:b/>
        </w:rPr>
      </w:pPr>
    </w:p>
    <w:p w14:paraId="20AB1672" w14:textId="77777777" w:rsidR="00F24C86" w:rsidRPr="001B4A02" w:rsidRDefault="00000000" w:rsidP="000A5426">
      <w:pPr>
        <w:keepNext/>
        <w:tabs>
          <w:tab w:val="num" w:pos="567"/>
        </w:tabs>
        <w:ind w:left="0" w:firstLine="0"/>
        <w:outlineLvl w:val="1"/>
        <w:rPr>
          <w:b/>
        </w:rPr>
      </w:pPr>
      <w:r>
        <w:rPr>
          <w:b/>
        </w:rPr>
        <w:t>6.1</w:t>
      </w:r>
      <w:r>
        <w:rPr>
          <w:b/>
        </w:rPr>
        <w:tab/>
      </w:r>
      <w:r w:rsidRPr="001B4A02">
        <w:rPr>
          <w:b/>
        </w:rPr>
        <w:t>Seznam pomocných látek</w:t>
      </w:r>
    </w:p>
    <w:p w14:paraId="5E88D1FA" w14:textId="77777777" w:rsidR="00F24C86" w:rsidRPr="001B4A02" w:rsidRDefault="00F24C86" w:rsidP="00F24C86">
      <w:pPr>
        <w:keepNext/>
        <w:ind w:left="0" w:firstLine="0"/>
      </w:pPr>
    </w:p>
    <w:p w14:paraId="41EC575C" w14:textId="77777777" w:rsidR="00F24C86" w:rsidRPr="001B4A02" w:rsidRDefault="00000000" w:rsidP="00F24C86">
      <w:pPr>
        <w:pStyle w:val="EndnoteText"/>
        <w:keepNext/>
        <w:ind w:left="0" w:firstLine="0"/>
        <w:rPr>
          <w:lang w:val="cs-CZ"/>
        </w:rPr>
      </w:pPr>
      <w:r w:rsidRPr="001B4A02">
        <w:rPr>
          <w:lang w:val="cs-CZ"/>
        </w:rPr>
        <w:t>Mannitol</w:t>
      </w:r>
    </w:p>
    <w:p w14:paraId="22E041B6" w14:textId="77777777" w:rsidR="00F24C86" w:rsidRPr="001B4A02" w:rsidRDefault="00000000" w:rsidP="00F24C86">
      <w:pPr>
        <w:keepNext/>
        <w:ind w:left="0" w:firstLine="0"/>
      </w:pPr>
      <w:r w:rsidRPr="001B4A02">
        <w:t>Polysorbát 80</w:t>
      </w:r>
    </w:p>
    <w:p w14:paraId="10459C11" w14:textId="77777777" w:rsidR="00F24C86" w:rsidRPr="001B4A02" w:rsidRDefault="00000000" w:rsidP="00F24C86">
      <w:pPr>
        <w:pStyle w:val="EndnoteText"/>
        <w:ind w:left="0" w:firstLine="0"/>
        <w:rPr>
          <w:lang w:val="cs-CZ"/>
        </w:rPr>
      </w:pPr>
      <w:r w:rsidRPr="001B4A02">
        <w:rPr>
          <w:lang w:val="cs-CZ"/>
        </w:rPr>
        <w:t xml:space="preserve">Voda </w:t>
      </w:r>
      <w:r w:rsidR="00202301" w:rsidRPr="001B4A02">
        <w:rPr>
          <w:lang w:val="cs-CZ"/>
        </w:rPr>
        <w:t>pro</w:t>
      </w:r>
      <w:r w:rsidRPr="001B4A02">
        <w:rPr>
          <w:lang w:val="cs-CZ"/>
        </w:rPr>
        <w:t xml:space="preserve"> injekci</w:t>
      </w:r>
    </w:p>
    <w:p w14:paraId="5980ED73" w14:textId="77777777" w:rsidR="00F24C86" w:rsidRPr="001B4A02" w:rsidRDefault="00F24C86" w:rsidP="00F24C86"/>
    <w:p w14:paraId="4222343C" w14:textId="77777777" w:rsidR="00F24C86" w:rsidRPr="001B4A02" w:rsidRDefault="00000000" w:rsidP="000A5426">
      <w:pPr>
        <w:keepNext/>
        <w:outlineLvl w:val="1"/>
        <w:rPr>
          <w:b/>
        </w:rPr>
      </w:pPr>
      <w:r w:rsidRPr="001B4A02">
        <w:rPr>
          <w:b/>
        </w:rPr>
        <w:t>6.2</w:t>
      </w:r>
      <w:r w:rsidRPr="001B4A02">
        <w:rPr>
          <w:b/>
        </w:rPr>
        <w:tab/>
        <w:t>Inkompatibility</w:t>
      </w:r>
    </w:p>
    <w:p w14:paraId="353ACB5F" w14:textId="77777777" w:rsidR="00F24C86" w:rsidRPr="001B4A02" w:rsidRDefault="00F24C86" w:rsidP="00C465CA">
      <w:pPr>
        <w:keepNext/>
        <w:ind w:left="0" w:firstLine="0"/>
      </w:pPr>
    </w:p>
    <w:p w14:paraId="2B98D2BB" w14:textId="77777777" w:rsidR="00F24C86" w:rsidRPr="001B4A02" w:rsidRDefault="00000000" w:rsidP="00F24C86">
      <w:pPr>
        <w:ind w:left="0" w:firstLine="0"/>
      </w:pPr>
      <w:r w:rsidRPr="001B4A02">
        <w:t>Studie kompatibility nejsou k dispozici,</w:t>
      </w:r>
      <w:r w:rsidR="002378E0">
        <w:t xml:space="preserve"> a </w:t>
      </w:r>
      <w:r w:rsidRPr="001B4A02">
        <w:t>proto tento léčivý přípravek nesmí být mísen s </w:t>
      </w:r>
      <w:r w:rsidR="00F318D0">
        <w:t>jinými</w:t>
      </w:r>
      <w:r w:rsidRPr="001B4A02">
        <w:t xml:space="preserve"> léčivými přípravky.</w:t>
      </w:r>
    </w:p>
    <w:p w14:paraId="20D913E5" w14:textId="77777777" w:rsidR="00F24C86" w:rsidRPr="001B4A02" w:rsidRDefault="00F24C86" w:rsidP="00F24C86">
      <w:pPr>
        <w:ind w:left="0" w:firstLine="0"/>
        <w:rPr>
          <w:b/>
        </w:rPr>
      </w:pPr>
    </w:p>
    <w:p w14:paraId="42DD085D" w14:textId="77777777" w:rsidR="00F24C86" w:rsidRPr="001B4A02" w:rsidRDefault="00000000" w:rsidP="000A5426">
      <w:pPr>
        <w:keepNext/>
        <w:outlineLvl w:val="1"/>
        <w:rPr>
          <w:b/>
        </w:rPr>
      </w:pPr>
      <w:r w:rsidRPr="001B4A02">
        <w:rPr>
          <w:b/>
        </w:rPr>
        <w:t>6.3</w:t>
      </w:r>
      <w:r w:rsidRPr="001B4A02">
        <w:rPr>
          <w:b/>
        </w:rPr>
        <w:tab/>
        <w:t>Doba použitelnosti</w:t>
      </w:r>
    </w:p>
    <w:p w14:paraId="3496BF43" w14:textId="77777777" w:rsidR="00F24C86" w:rsidRPr="001B4A02" w:rsidRDefault="00F24C86" w:rsidP="00C465CA">
      <w:pPr>
        <w:keepNext/>
        <w:ind w:left="0" w:firstLine="0"/>
      </w:pPr>
    </w:p>
    <w:p w14:paraId="16344143" w14:textId="77777777" w:rsidR="00F24C86" w:rsidRPr="001B4A02" w:rsidRDefault="00000000" w:rsidP="00F24C86">
      <w:pPr>
        <w:ind w:left="0" w:firstLine="0"/>
      </w:pPr>
      <w:r w:rsidRPr="001B4A02">
        <w:t>2 roky</w:t>
      </w:r>
    </w:p>
    <w:p w14:paraId="6DB86B99" w14:textId="77777777" w:rsidR="00F24C86" w:rsidRPr="001B4A02" w:rsidRDefault="00F24C86" w:rsidP="00F24C86">
      <w:pPr>
        <w:ind w:left="0" w:firstLine="0"/>
      </w:pPr>
    </w:p>
    <w:p w14:paraId="5704B8A1" w14:textId="77777777" w:rsidR="00F24C86" w:rsidRPr="001B4A02" w:rsidRDefault="00000000" w:rsidP="000A5426">
      <w:pPr>
        <w:keepNext/>
        <w:outlineLvl w:val="1"/>
        <w:rPr>
          <w:b/>
        </w:rPr>
      </w:pPr>
      <w:r w:rsidRPr="001B4A02">
        <w:rPr>
          <w:b/>
        </w:rPr>
        <w:t>6.4</w:t>
      </w:r>
      <w:r w:rsidRPr="001B4A02">
        <w:rPr>
          <w:b/>
        </w:rPr>
        <w:tab/>
        <w:t>Zvláštní opatření pro uchovávání</w:t>
      </w:r>
    </w:p>
    <w:p w14:paraId="6B2BCFA1" w14:textId="77777777" w:rsidR="00F24C86" w:rsidRPr="001B4A02" w:rsidRDefault="00F24C86" w:rsidP="00C465CA">
      <w:pPr>
        <w:keepNext/>
        <w:ind w:left="0" w:firstLine="0"/>
      </w:pPr>
    </w:p>
    <w:p w14:paraId="0AC936D9" w14:textId="77777777" w:rsidR="00F24C86" w:rsidRPr="001B4A02" w:rsidRDefault="00000000" w:rsidP="00F24C86">
      <w:pPr>
        <w:ind w:left="0" w:firstLine="0"/>
      </w:pPr>
      <w:r w:rsidRPr="001B4A02">
        <w:t xml:space="preserve">Uchovávejte v chladničce (2 </w:t>
      </w:r>
      <w:r w:rsidRPr="001B4A02">
        <w:rPr>
          <w:rFonts w:ascii="Symbol" w:hAnsi="Symbol"/>
        </w:rPr>
        <w:sym w:font="Symbol" w:char="F0B0"/>
      </w:r>
      <w:r w:rsidRPr="001B4A02">
        <w:t>C</w:t>
      </w:r>
      <w:r w:rsidR="001E6390">
        <w:t xml:space="preserve"> </w:t>
      </w:r>
      <w:r w:rsidRPr="001B4A02">
        <w:t>–</w:t>
      </w:r>
      <w:r w:rsidR="001E6390">
        <w:t xml:space="preserve"> </w:t>
      </w:r>
      <w:r w:rsidRPr="001B4A02">
        <w:t>8 °C). Chraňte před mrazem. Uchovávejte předplněnou injekční stříkačku nebo předplněné pero v krabičce, aby byl přípravek chráněn před světlem.</w:t>
      </w:r>
    </w:p>
    <w:p w14:paraId="6449D0E9" w14:textId="77777777" w:rsidR="00F24C86" w:rsidRPr="001B4A02" w:rsidRDefault="00F24C86" w:rsidP="00F24C86">
      <w:pPr>
        <w:ind w:left="0" w:firstLine="0"/>
      </w:pPr>
    </w:p>
    <w:p w14:paraId="7EE06FAE" w14:textId="77777777" w:rsidR="00F24C86" w:rsidRPr="001B4A02" w:rsidRDefault="00000000" w:rsidP="00F24C86">
      <w:pPr>
        <w:ind w:left="0" w:firstLine="0"/>
      </w:pPr>
      <w:r w:rsidRPr="001B4A02">
        <w:t>Jednotlivé předplněné injekční stříkačky nebo předplněná pera přípravku Humira mají být uchovávány při teplotě do maximálně 25 °C po dobu až 14 dní. Injekční stříkačka musí být chráněn</w:t>
      </w:r>
      <w:r w:rsidR="0074124A" w:rsidRPr="001B4A02">
        <w:t>a</w:t>
      </w:r>
      <w:r w:rsidRPr="001B4A02">
        <w:t xml:space="preserve"> před světlem</w:t>
      </w:r>
      <w:r w:rsidR="002378E0">
        <w:t xml:space="preserve"> a </w:t>
      </w:r>
      <w:r w:rsidRPr="001B4A02">
        <w:t>znehodnocen</w:t>
      </w:r>
      <w:r w:rsidR="0074124A" w:rsidRPr="001B4A02">
        <w:t>a</w:t>
      </w:r>
      <w:r w:rsidRPr="001B4A02">
        <w:t xml:space="preserve"> pokud ne</w:t>
      </w:r>
      <w:r w:rsidR="0074124A" w:rsidRPr="001B4A02">
        <w:t>ní</w:t>
      </w:r>
      <w:r w:rsidRPr="001B4A02">
        <w:t xml:space="preserve"> použit</w:t>
      </w:r>
      <w:r w:rsidR="0074124A" w:rsidRPr="001B4A02">
        <w:t>a</w:t>
      </w:r>
      <w:r w:rsidRPr="001B4A02">
        <w:t xml:space="preserve"> v průběhu těchto 14 dní.</w:t>
      </w:r>
    </w:p>
    <w:p w14:paraId="03295BC7" w14:textId="77777777" w:rsidR="00F24C86" w:rsidRPr="001B4A02" w:rsidRDefault="00F24C86" w:rsidP="00F24C86">
      <w:pPr>
        <w:ind w:left="0" w:firstLine="0"/>
        <w:rPr>
          <w:b/>
        </w:rPr>
      </w:pPr>
    </w:p>
    <w:p w14:paraId="64B2949E" w14:textId="77777777" w:rsidR="00F24C86" w:rsidRPr="001B4A02" w:rsidRDefault="00000000" w:rsidP="000A5426">
      <w:pPr>
        <w:keepNext/>
        <w:outlineLvl w:val="1"/>
        <w:rPr>
          <w:b/>
        </w:rPr>
      </w:pPr>
      <w:r w:rsidRPr="001B4A02">
        <w:rPr>
          <w:b/>
        </w:rPr>
        <w:t>6.5</w:t>
      </w:r>
      <w:r w:rsidRPr="001B4A02">
        <w:rPr>
          <w:b/>
        </w:rPr>
        <w:tab/>
        <w:t>Druh obalu</w:t>
      </w:r>
      <w:r w:rsidR="002378E0">
        <w:rPr>
          <w:b/>
        </w:rPr>
        <w:t xml:space="preserve"> a </w:t>
      </w:r>
      <w:r w:rsidRPr="001B4A02">
        <w:rPr>
          <w:b/>
        </w:rPr>
        <w:t>obsah balení</w:t>
      </w:r>
    </w:p>
    <w:p w14:paraId="31FC5B80" w14:textId="77777777" w:rsidR="00F24C86" w:rsidRPr="001B4A02" w:rsidRDefault="00F24C86" w:rsidP="00C465CA">
      <w:pPr>
        <w:keepNext/>
        <w:ind w:left="0" w:firstLine="0"/>
      </w:pPr>
    </w:p>
    <w:p w14:paraId="394F0FC6" w14:textId="77777777" w:rsidR="00F24C86" w:rsidRPr="001B4A02" w:rsidRDefault="00000000" w:rsidP="00F24C86">
      <w:pPr>
        <w:ind w:left="0" w:firstLine="0"/>
      </w:pPr>
      <w:r w:rsidRPr="001B4A02">
        <w:t xml:space="preserve">Humira </w:t>
      </w:r>
      <w:r w:rsidR="00C33C7C" w:rsidRPr="001B4A02">
        <w:t>20</w:t>
      </w:r>
      <w:r w:rsidRPr="001B4A02">
        <w:t xml:space="preserve"> mg injekční roztok v předplněné injekční stříkačce na jedno použití (injekční stříkačka ze skla </w:t>
      </w:r>
      <w:r w:rsidR="007E3412">
        <w:t>třídy</w:t>
      </w:r>
      <w:r w:rsidRPr="001B4A02">
        <w:t xml:space="preserve"> I), která dále obsahuje píst (bromobutylová pryž), jehlu</w:t>
      </w:r>
      <w:r w:rsidR="002378E0">
        <w:t xml:space="preserve"> a </w:t>
      </w:r>
      <w:r w:rsidRPr="001B4A02">
        <w:t>kryt jehly (termoplastický elastomer).</w:t>
      </w:r>
    </w:p>
    <w:p w14:paraId="291CE357" w14:textId="77777777" w:rsidR="00F24C86" w:rsidRPr="001B4A02" w:rsidRDefault="00F24C86" w:rsidP="00F24C86">
      <w:pPr>
        <w:ind w:left="0" w:firstLine="0"/>
      </w:pPr>
    </w:p>
    <w:p w14:paraId="544A5439" w14:textId="77777777" w:rsidR="00F24C86" w:rsidRPr="001B4A02" w:rsidRDefault="00000000" w:rsidP="00F24C86">
      <w:pPr>
        <w:ind w:left="0" w:firstLine="0"/>
      </w:pPr>
      <w:r w:rsidRPr="001B4A02">
        <w:t>Balení:</w:t>
      </w:r>
    </w:p>
    <w:p w14:paraId="428E03D2" w14:textId="77777777" w:rsidR="00F24C86" w:rsidRPr="001B4A02" w:rsidRDefault="00000000" w:rsidP="00F24C86">
      <w:pPr>
        <w:pStyle w:val="EndnoteText"/>
        <w:numPr>
          <w:ilvl w:val="0"/>
          <w:numId w:val="28"/>
        </w:numPr>
        <w:tabs>
          <w:tab w:val="clear" w:pos="720"/>
          <w:tab w:val="num" w:pos="540"/>
        </w:tabs>
        <w:ind w:left="567" w:hanging="567"/>
        <w:rPr>
          <w:lang w:val="cs-CZ"/>
        </w:rPr>
      </w:pPr>
      <w:r w:rsidRPr="001B4A02">
        <w:rPr>
          <w:lang w:val="cs-CZ"/>
        </w:rPr>
        <w:t>2 předplněné injekční stříkačky (0,</w:t>
      </w:r>
      <w:r w:rsidR="00C33C7C" w:rsidRPr="001B4A02">
        <w:rPr>
          <w:lang w:val="cs-CZ"/>
        </w:rPr>
        <w:t>2</w:t>
      </w:r>
      <w:r w:rsidRPr="001B4A02">
        <w:rPr>
          <w:lang w:val="cs-CZ"/>
        </w:rPr>
        <w:t> ml sterilního roztoku), každá s 1 tamp</w:t>
      </w:r>
      <w:ins w:id="28" w:author="Abbvie02" w:date="2025-05-16T12:24:00Z">
        <w:r w:rsidR="00D95B4A">
          <w:rPr>
            <w:lang w:val="cs-CZ"/>
          </w:rPr>
          <w:t>o</w:t>
        </w:r>
      </w:ins>
      <w:del w:id="29" w:author="Abbvie02" w:date="2025-05-16T12:24:00Z">
        <w:r w:rsidRPr="001B4A02">
          <w:rPr>
            <w:lang w:val="cs-CZ"/>
          </w:rPr>
          <w:delText>ó</w:delText>
        </w:r>
      </w:del>
      <w:r w:rsidRPr="001B4A02">
        <w:rPr>
          <w:lang w:val="cs-CZ"/>
        </w:rPr>
        <w:t>nem napuštěným alkoholem v blistru.</w:t>
      </w:r>
    </w:p>
    <w:p w14:paraId="5D356575" w14:textId="77777777" w:rsidR="00F24C86" w:rsidRPr="001B4A02" w:rsidRDefault="00F24C86" w:rsidP="00F24C86">
      <w:pPr>
        <w:ind w:left="0" w:firstLine="0"/>
      </w:pPr>
    </w:p>
    <w:p w14:paraId="64820EFF" w14:textId="77777777" w:rsidR="00F24C86" w:rsidRPr="001B4A02" w:rsidRDefault="00000000" w:rsidP="000A5426">
      <w:pPr>
        <w:keepNext/>
        <w:ind w:left="0" w:firstLine="0"/>
        <w:outlineLvl w:val="1"/>
        <w:rPr>
          <w:b/>
        </w:rPr>
      </w:pPr>
      <w:r>
        <w:rPr>
          <w:b/>
        </w:rPr>
        <w:t>6.6</w:t>
      </w:r>
      <w:r>
        <w:rPr>
          <w:b/>
        </w:rPr>
        <w:tab/>
      </w:r>
      <w:r w:rsidRPr="001B4A02">
        <w:rPr>
          <w:b/>
        </w:rPr>
        <w:t>Zvláštní opatření pro likvidaci přípravku</w:t>
      </w:r>
    </w:p>
    <w:p w14:paraId="6C863024" w14:textId="77777777" w:rsidR="00F24C86" w:rsidRPr="001B4A02" w:rsidRDefault="00F24C86" w:rsidP="00F24C86">
      <w:pPr>
        <w:keepNext/>
        <w:ind w:left="0" w:firstLine="0"/>
      </w:pPr>
    </w:p>
    <w:p w14:paraId="72F1B74E" w14:textId="77777777" w:rsidR="00F24C86" w:rsidRPr="001B4A02" w:rsidRDefault="00000000" w:rsidP="00F24C86">
      <w:pPr>
        <w:ind w:left="0" w:firstLine="0"/>
      </w:pPr>
      <w:r w:rsidRPr="001B4A02">
        <w:t>Všechen nepoužitý přípravek nebo odpadní materiál musí být zlikvidován v souladu s místními požadavky.</w:t>
      </w:r>
    </w:p>
    <w:p w14:paraId="3E1230A2" w14:textId="77777777" w:rsidR="00F24C86" w:rsidRPr="001B4A02" w:rsidRDefault="00F24C86" w:rsidP="00F24C86">
      <w:pPr>
        <w:ind w:left="0" w:firstLine="0"/>
      </w:pPr>
    </w:p>
    <w:p w14:paraId="5AE09616" w14:textId="77777777" w:rsidR="00F24C86" w:rsidRPr="001B4A02" w:rsidRDefault="00F24C86" w:rsidP="00F24C86">
      <w:pPr>
        <w:ind w:left="0" w:firstLine="0"/>
      </w:pPr>
    </w:p>
    <w:p w14:paraId="74EA9EA9" w14:textId="77777777" w:rsidR="00F24C86" w:rsidRPr="001B4A02" w:rsidRDefault="00000000" w:rsidP="000A5426">
      <w:pPr>
        <w:keepNext/>
        <w:outlineLvl w:val="0"/>
        <w:rPr>
          <w:b/>
        </w:rPr>
      </w:pPr>
      <w:r w:rsidRPr="001B4A02">
        <w:rPr>
          <w:b/>
        </w:rPr>
        <w:t>7.</w:t>
      </w:r>
      <w:r w:rsidRPr="001B4A02">
        <w:rPr>
          <w:b/>
        </w:rPr>
        <w:tab/>
        <w:t>DRŽITEL ROZHODNUTÍ O REGISTRACI</w:t>
      </w:r>
    </w:p>
    <w:p w14:paraId="67D59CF9" w14:textId="77777777" w:rsidR="00F24C86" w:rsidRPr="001B4A02" w:rsidRDefault="00F24C86" w:rsidP="00F24C86">
      <w:pPr>
        <w:keepNext/>
        <w:ind w:left="0" w:firstLine="0"/>
      </w:pPr>
    </w:p>
    <w:p w14:paraId="08F3E5BC" w14:textId="77777777" w:rsidR="00556E01" w:rsidRPr="001B4A02" w:rsidRDefault="00000000" w:rsidP="00556E01">
      <w:pPr>
        <w:keepNext/>
        <w:autoSpaceDE w:val="0"/>
        <w:autoSpaceDN w:val="0"/>
        <w:adjustRightInd w:val="0"/>
        <w:spacing w:line="240" w:lineRule="atLeast"/>
        <w:rPr>
          <w:szCs w:val="22"/>
          <w:lang w:eastAsia="en-GB"/>
        </w:rPr>
      </w:pPr>
      <w:r w:rsidRPr="001B4A02">
        <w:rPr>
          <w:szCs w:val="22"/>
          <w:lang w:eastAsia="en-GB"/>
        </w:rPr>
        <w:t>AbbVie Deutschland GmbH &amp; Co. KG</w:t>
      </w:r>
    </w:p>
    <w:p w14:paraId="0FC118A5" w14:textId="77777777" w:rsidR="00556E01" w:rsidRPr="001B4A02" w:rsidRDefault="00000000" w:rsidP="00556E01">
      <w:pPr>
        <w:keepNext/>
        <w:autoSpaceDE w:val="0"/>
        <w:autoSpaceDN w:val="0"/>
        <w:adjustRightInd w:val="0"/>
        <w:spacing w:line="240" w:lineRule="atLeast"/>
        <w:rPr>
          <w:szCs w:val="22"/>
          <w:lang w:eastAsia="en-GB"/>
        </w:rPr>
      </w:pPr>
      <w:r w:rsidRPr="001B4A02">
        <w:rPr>
          <w:szCs w:val="22"/>
          <w:lang w:eastAsia="en-GB"/>
        </w:rPr>
        <w:t>Knollstrasse</w:t>
      </w:r>
    </w:p>
    <w:p w14:paraId="7DDB2005" w14:textId="77777777" w:rsidR="00556E01" w:rsidRPr="001B4A02" w:rsidRDefault="00000000" w:rsidP="00556E01">
      <w:pPr>
        <w:keepNext/>
        <w:autoSpaceDE w:val="0"/>
        <w:autoSpaceDN w:val="0"/>
        <w:adjustRightInd w:val="0"/>
        <w:spacing w:line="240" w:lineRule="atLeast"/>
        <w:rPr>
          <w:szCs w:val="22"/>
          <w:lang w:eastAsia="en-GB"/>
        </w:rPr>
      </w:pPr>
      <w:r w:rsidRPr="001B4A02">
        <w:rPr>
          <w:szCs w:val="22"/>
          <w:lang w:eastAsia="en-GB"/>
        </w:rPr>
        <w:t>67061 Ludwigshafen</w:t>
      </w:r>
    </w:p>
    <w:p w14:paraId="5A6854DA" w14:textId="77777777" w:rsidR="00F24C86" w:rsidRPr="001B4A02" w:rsidRDefault="00000000" w:rsidP="00F24C86">
      <w:pPr>
        <w:ind w:left="0" w:firstLine="0"/>
      </w:pPr>
      <w:r w:rsidRPr="001B4A02">
        <w:rPr>
          <w:szCs w:val="22"/>
          <w:lang w:eastAsia="en-GB"/>
        </w:rPr>
        <w:t>Německo</w:t>
      </w:r>
    </w:p>
    <w:p w14:paraId="6F8C24E8" w14:textId="77777777" w:rsidR="00F24C86" w:rsidRPr="001B4A02" w:rsidRDefault="00F24C86" w:rsidP="00F24C86">
      <w:pPr>
        <w:ind w:left="0" w:firstLine="0"/>
      </w:pPr>
    </w:p>
    <w:p w14:paraId="6E70BFD4" w14:textId="77777777" w:rsidR="00F24C86" w:rsidRPr="001B4A02" w:rsidRDefault="00F24C86" w:rsidP="00F24C86">
      <w:pPr>
        <w:ind w:left="0" w:firstLine="0"/>
      </w:pPr>
    </w:p>
    <w:p w14:paraId="767C296A" w14:textId="77777777" w:rsidR="00F24C86" w:rsidRPr="001B4A02" w:rsidRDefault="00000000" w:rsidP="000A5426">
      <w:pPr>
        <w:keepNext/>
        <w:outlineLvl w:val="0"/>
        <w:rPr>
          <w:b/>
        </w:rPr>
      </w:pPr>
      <w:r w:rsidRPr="001B4A02">
        <w:rPr>
          <w:b/>
        </w:rPr>
        <w:t>8.</w:t>
      </w:r>
      <w:r w:rsidRPr="001B4A02">
        <w:rPr>
          <w:b/>
        </w:rPr>
        <w:tab/>
        <w:t>REGISTRAČNÍ ČÍSLO</w:t>
      </w:r>
    </w:p>
    <w:p w14:paraId="144DBC06" w14:textId="77777777" w:rsidR="00F24C86" w:rsidRPr="001B4A02" w:rsidRDefault="00F24C86" w:rsidP="00C465CA">
      <w:pPr>
        <w:keepNext/>
        <w:ind w:left="0" w:firstLine="0"/>
      </w:pPr>
    </w:p>
    <w:p w14:paraId="0532F70B" w14:textId="77777777" w:rsidR="00C33C7C" w:rsidRPr="001B4A02" w:rsidRDefault="00000000" w:rsidP="00C33C7C">
      <w:r w:rsidRPr="001B4A02">
        <w:t>EU/1/03/256/022</w:t>
      </w:r>
    </w:p>
    <w:p w14:paraId="0F3C11B4" w14:textId="77777777" w:rsidR="00F24C86" w:rsidRPr="001B4A02" w:rsidRDefault="00F24C86" w:rsidP="00F24C86">
      <w:pPr>
        <w:ind w:left="0" w:firstLine="0"/>
      </w:pPr>
    </w:p>
    <w:p w14:paraId="0E7FDC6B" w14:textId="77777777" w:rsidR="00F24C86" w:rsidRPr="001B4A02" w:rsidRDefault="00F24C86" w:rsidP="00F24C86">
      <w:pPr>
        <w:ind w:left="0" w:firstLine="0"/>
      </w:pPr>
    </w:p>
    <w:p w14:paraId="5A37A6EC" w14:textId="77777777" w:rsidR="00F24C86" w:rsidRPr="001B4A02" w:rsidRDefault="00000000" w:rsidP="000A5426">
      <w:pPr>
        <w:keepNext/>
        <w:outlineLvl w:val="0"/>
        <w:rPr>
          <w:b/>
        </w:rPr>
      </w:pPr>
      <w:r w:rsidRPr="001B4A02">
        <w:rPr>
          <w:b/>
        </w:rPr>
        <w:t>9.</w:t>
      </w:r>
      <w:r w:rsidRPr="001B4A02">
        <w:rPr>
          <w:b/>
        </w:rPr>
        <w:tab/>
        <w:t>DATUM PRVNÍ REGISTRACE/PRODLOUŽENÍ REGISTRACE</w:t>
      </w:r>
    </w:p>
    <w:p w14:paraId="240B9277" w14:textId="77777777" w:rsidR="00F24C86" w:rsidRPr="001B4A02" w:rsidRDefault="00F24C86" w:rsidP="00C465CA">
      <w:pPr>
        <w:keepNext/>
        <w:ind w:left="0" w:firstLine="0"/>
      </w:pPr>
    </w:p>
    <w:p w14:paraId="6AFE93D4" w14:textId="77777777" w:rsidR="00F24C86" w:rsidRPr="001B4A02" w:rsidRDefault="00000000" w:rsidP="00F24C86">
      <w:pPr>
        <w:textAlignment w:val="top"/>
        <w:rPr>
          <w:szCs w:val="22"/>
        </w:rPr>
      </w:pPr>
      <w:r w:rsidRPr="001B4A02">
        <w:rPr>
          <w:szCs w:val="22"/>
        </w:rPr>
        <w:t>Datum první registrace: 8. z</w:t>
      </w:r>
      <w:r w:rsidRPr="001B4A02">
        <w:rPr>
          <w:rStyle w:val="hps"/>
          <w:color w:val="000000"/>
          <w:szCs w:val="22"/>
        </w:rPr>
        <w:t xml:space="preserve">áří </w:t>
      </w:r>
      <w:r w:rsidRPr="001B4A02">
        <w:rPr>
          <w:rStyle w:val="hps"/>
          <w:szCs w:val="22"/>
        </w:rPr>
        <w:t>2003</w:t>
      </w:r>
    </w:p>
    <w:p w14:paraId="437A197C" w14:textId="77777777" w:rsidR="00F24C86" w:rsidRPr="001B4A02" w:rsidRDefault="00000000" w:rsidP="00F24C86">
      <w:pPr>
        <w:textAlignment w:val="top"/>
        <w:rPr>
          <w:szCs w:val="22"/>
        </w:rPr>
      </w:pPr>
      <w:r w:rsidRPr="001B4A02">
        <w:rPr>
          <w:szCs w:val="22"/>
        </w:rPr>
        <w:t>Datum posledního prodloužení</w:t>
      </w:r>
      <w:r w:rsidR="00185EA8">
        <w:rPr>
          <w:szCs w:val="22"/>
        </w:rPr>
        <w:t xml:space="preserve"> </w:t>
      </w:r>
      <w:r w:rsidR="00185EA8" w:rsidRPr="0043226A">
        <w:rPr>
          <w:szCs w:val="22"/>
        </w:rPr>
        <w:t>registrace</w:t>
      </w:r>
      <w:r w:rsidRPr="001B4A02">
        <w:rPr>
          <w:szCs w:val="22"/>
        </w:rPr>
        <w:t xml:space="preserve">: 8. </w:t>
      </w:r>
      <w:r w:rsidRPr="001B4A02">
        <w:rPr>
          <w:rStyle w:val="hps"/>
          <w:szCs w:val="22"/>
        </w:rPr>
        <w:t>září 2008</w:t>
      </w:r>
    </w:p>
    <w:p w14:paraId="3E30926C" w14:textId="77777777" w:rsidR="00F24C86" w:rsidRPr="001B4A02" w:rsidRDefault="00F24C86" w:rsidP="00F24C86">
      <w:pPr>
        <w:ind w:left="0" w:firstLine="0"/>
      </w:pPr>
    </w:p>
    <w:p w14:paraId="686E140C" w14:textId="77777777" w:rsidR="00F24C86" w:rsidRPr="001B4A02" w:rsidRDefault="00F24C86" w:rsidP="00F24C86">
      <w:pPr>
        <w:ind w:left="0" w:firstLine="0"/>
      </w:pPr>
    </w:p>
    <w:p w14:paraId="6203EFE4" w14:textId="77777777" w:rsidR="00F24C86" w:rsidRPr="001B4A02" w:rsidRDefault="00000000" w:rsidP="000A5426">
      <w:pPr>
        <w:pStyle w:val="EndnoteText"/>
        <w:keepNext/>
        <w:outlineLvl w:val="0"/>
        <w:rPr>
          <w:b/>
          <w:lang w:val="cs-CZ"/>
        </w:rPr>
      </w:pPr>
      <w:r w:rsidRPr="001B4A02">
        <w:rPr>
          <w:b/>
          <w:lang w:val="cs-CZ"/>
        </w:rPr>
        <w:t>10.</w:t>
      </w:r>
      <w:r w:rsidRPr="001B4A02">
        <w:rPr>
          <w:b/>
          <w:lang w:val="cs-CZ"/>
        </w:rPr>
        <w:tab/>
        <w:t>DATUM REVIZE TEXTU</w:t>
      </w:r>
    </w:p>
    <w:p w14:paraId="4C16EE5F" w14:textId="77777777" w:rsidR="00F24C86" w:rsidRPr="001B4A02" w:rsidRDefault="00F24C86" w:rsidP="00F24C86">
      <w:pPr>
        <w:keepNext/>
        <w:ind w:left="0" w:firstLine="0"/>
      </w:pPr>
    </w:p>
    <w:p w14:paraId="26C3859C" w14:textId="77777777" w:rsidR="00F24C86" w:rsidRDefault="00000000" w:rsidP="00C465CA">
      <w:pPr>
        <w:ind w:left="0" w:firstLine="0"/>
        <w:rPr>
          <w:ins w:id="30" w:author="AbbVie1" w:date="2025-05-12T14:12:00Z"/>
        </w:rPr>
      </w:pPr>
      <w:r w:rsidRPr="001B4A02">
        <w:t>Podrobné informace o</w:t>
      </w:r>
      <w:r w:rsidR="00923691" w:rsidRPr="001B4A02">
        <w:t> </w:t>
      </w:r>
      <w:r w:rsidRPr="001B4A02">
        <w:t xml:space="preserve">tomto léčivém přípravku jsou k dispozici na webových stránkách Evropské agentury pro léčivé přípravky </w:t>
      </w:r>
      <w:ins w:id="31" w:author="AbbVie1" w:date="2025-05-12T14:12:00Z">
        <w:r w:rsidR="00964A97">
          <w:fldChar w:fldCharType="begin"/>
        </w:r>
        <w:r w:rsidR="00964A97">
          <w:instrText>HYPERLINK "</w:instrText>
        </w:r>
      </w:ins>
      <w:r w:rsidR="00964A97" w:rsidRPr="001B4A02">
        <w:instrText>http</w:instrText>
      </w:r>
      <w:ins w:id="32" w:author="AbbVie1" w:date="2025-05-12T14:02:00Z">
        <w:r w:rsidR="00964A97">
          <w:instrText>s</w:instrText>
        </w:r>
      </w:ins>
      <w:r w:rsidR="00964A97" w:rsidRPr="001B4A02">
        <w:instrText>://www.ema.europa.eu</w:instrText>
      </w:r>
      <w:ins w:id="33" w:author="AbbVie1" w:date="2025-05-12T14:12:00Z">
        <w:r w:rsidR="00964A97">
          <w:instrText>"</w:instrText>
        </w:r>
        <w:r w:rsidR="00964A97">
          <w:fldChar w:fldCharType="separate"/>
        </w:r>
      </w:ins>
      <w:r w:rsidR="00964A97" w:rsidRPr="009A5AE4">
        <w:rPr>
          <w:rStyle w:val="Hyperlink"/>
        </w:rPr>
        <w:t>http</w:t>
      </w:r>
      <w:ins w:id="34" w:author="AbbVie1" w:date="2025-05-12T14:02:00Z">
        <w:r w:rsidR="00964A97" w:rsidRPr="009A5AE4">
          <w:rPr>
            <w:rStyle w:val="Hyperlink"/>
          </w:rPr>
          <w:t>s</w:t>
        </w:r>
      </w:ins>
      <w:r w:rsidR="00964A97" w:rsidRPr="009A5AE4">
        <w:rPr>
          <w:rStyle w:val="Hyperlink"/>
        </w:rPr>
        <w:t>://www.ema.europa.eu</w:t>
      </w:r>
      <w:ins w:id="35" w:author="AbbVie1" w:date="2025-05-12T14:12:00Z">
        <w:r w:rsidR="00964A97">
          <w:fldChar w:fldCharType="end"/>
        </w:r>
      </w:ins>
    </w:p>
    <w:p w14:paraId="35E97602" w14:textId="77777777" w:rsidR="00964A97" w:rsidRPr="001B4A02" w:rsidRDefault="00964A97" w:rsidP="00C465CA">
      <w:pPr>
        <w:ind w:left="0" w:firstLine="0"/>
        <w:rPr>
          <w:del w:id="36" w:author="AbbVie1" w:date="2025-05-12T14:12:00Z"/>
        </w:rPr>
      </w:pPr>
    </w:p>
    <w:p w14:paraId="5860F761" w14:textId="77777777" w:rsidR="00F24C86" w:rsidRPr="001B4A02" w:rsidRDefault="00000000" w:rsidP="00F24C86">
      <w:pPr>
        <w:ind w:left="0" w:firstLine="0"/>
      </w:pPr>
      <w:del w:id="37" w:author="AbbVie1" w:date="2025-05-13T14:55:00Z">
        <w:r w:rsidRPr="001B4A02">
          <w:br w:type="page"/>
        </w:r>
      </w:del>
    </w:p>
    <w:p w14:paraId="1AFF171D" w14:textId="77777777" w:rsidR="00073F8F" w:rsidRPr="001B4A02" w:rsidRDefault="00000000" w:rsidP="000A5426">
      <w:pPr>
        <w:keepNext/>
        <w:outlineLvl w:val="0"/>
        <w:rPr>
          <w:del w:id="38" w:author="AbbVie1" w:date="2025-05-13T09:50:00Z"/>
          <w:b/>
        </w:rPr>
      </w:pPr>
      <w:del w:id="39" w:author="AbbVie1" w:date="2025-05-13T09:50:00Z">
        <w:r w:rsidRPr="001B4A02">
          <w:rPr>
            <w:b/>
          </w:rPr>
          <w:delText>1.</w:delText>
        </w:r>
        <w:r w:rsidRPr="001B4A02">
          <w:rPr>
            <w:b/>
          </w:rPr>
          <w:tab/>
          <w:delText>NÁZEV PŘÍPRAVKU</w:delText>
        </w:r>
      </w:del>
    </w:p>
    <w:p w14:paraId="472662F7" w14:textId="77777777" w:rsidR="00073F8F" w:rsidRPr="001B4A02" w:rsidRDefault="00073F8F" w:rsidP="00D84336">
      <w:pPr>
        <w:keepNext/>
        <w:ind w:left="0" w:firstLine="0"/>
        <w:rPr>
          <w:del w:id="40" w:author="AbbVie1" w:date="2025-05-13T09:50:00Z"/>
        </w:rPr>
      </w:pPr>
    </w:p>
    <w:p w14:paraId="26AF76BF" w14:textId="77777777" w:rsidR="00073F8F" w:rsidRPr="001B4A02" w:rsidRDefault="00000000" w:rsidP="00D427E8">
      <w:pPr>
        <w:ind w:left="0" w:firstLine="0"/>
        <w:rPr>
          <w:del w:id="41" w:author="AbbVie1" w:date="2025-05-13T09:50:00Z"/>
        </w:rPr>
      </w:pPr>
      <w:del w:id="42" w:author="AbbVie1" w:date="2025-05-13T09:50:00Z">
        <w:r w:rsidRPr="001B4A02">
          <w:delText>Humira 40 mg</w:delText>
        </w:r>
        <w:r w:rsidR="00E73ED9" w:rsidRPr="001B4A02">
          <w:delText>/0,8</w:delText>
        </w:r>
        <w:r w:rsidR="00294902" w:rsidRPr="00005EC2">
          <w:rPr>
            <w:szCs w:val="22"/>
          </w:rPr>
          <w:delText> </w:delText>
        </w:r>
        <w:r w:rsidR="00E73ED9" w:rsidRPr="001B4A02">
          <w:delText>ml</w:delText>
        </w:r>
        <w:r w:rsidRPr="001B4A02">
          <w:delText xml:space="preserve"> injekční roztok</w:delText>
        </w:r>
      </w:del>
    </w:p>
    <w:p w14:paraId="346B4F22" w14:textId="77777777" w:rsidR="00073F8F" w:rsidRPr="001B4A02" w:rsidRDefault="00073F8F" w:rsidP="00D427E8">
      <w:pPr>
        <w:pStyle w:val="EndnoteText"/>
        <w:ind w:left="0" w:firstLine="0"/>
        <w:rPr>
          <w:del w:id="43" w:author="AbbVie1" w:date="2025-05-13T09:50:00Z"/>
          <w:lang w:val="cs-CZ"/>
        </w:rPr>
      </w:pPr>
    </w:p>
    <w:p w14:paraId="13C7ABB6" w14:textId="77777777" w:rsidR="00073F8F" w:rsidRPr="001B4A02" w:rsidRDefault="00073F8F" w:rsidP="00D427E8">
      <w:pPr>
        <w:ind w:left="0" w:firstLine="0"/>
        <w:rPr>
          <w:del w:id="44" w:author="AbbVie1" w:date="2025-05-13T09:50:00Z"/>
        </w:rPr>
      </w:pPr>
    </w:p>
    <w:p w14:paraId="6E132F38" w14:textId="77777777" w:rsidR="00073F8F" w:rsidRPr="001B4A02" w:rsidRDefault="00000000" w:rsidP="000A5426">
      <w:pPr>
        <w:keepNext/>
        <w:outlineLvl w:val="0"/>
        <w:rPr>
          <w:del w:id="45" w:author="AbbVie1" w:date="2025-05-13T09:50:00Z"/>
          <w:b/>
        </w:rPr>
      </w:pPr>
      <w:del w:id="46" w:author="AbbVie1" w:date="2025-05-13T09:50:00Z">
        <w:r w:rsidRPr="001B4A02">
          <w:rPr>
            <w:b/>
          </w:rPr>
          <w:delText>2.</w:delText>
        </w:r>
        <w:r w:rsidRPr="001B4A02">
          <w:rPr>
            <w:b/>
          </w:rPr>
          <w:tab/>
          <w:delText>KVALITATIVNÍ A KVANTITATIVNÍ SLOŽENÍ</w:delText>
        </w:r>
      </w:del>
    </w:p>
    <w:p w14:paraId="710769D5" w14:textId="77777777" w:rsidR="00073F8F" w:rsidRPr="001B4A02" w:rsidRDefault="00073F8F" w:rsidP="00D84336">
      <w:pPr>
        <w:keepNext/>
        <w:ind w:left="0" w:firstLine="0"/>
        <w:rPr>
          <w:del w:id="47" w:author="AbbVie1" w:date="2025-05-13T09:50:00Z"/>
        </w:rPr>
      </w:pPr>
    </w:p>
    <w:p w14:paraId="4473FF33" w14:textId="77777777" w:rsidR="00073F8F" w:rsidRPr="001B4A02" w:rsidRDefault="00000000" w:rsidP="00ED48A3">
      <w:pPr>
        <w:ind w:left="0" w:firstLine="0"/>
        <w:rPr>
          <w:del w:id="48" w:author="AbbVie1" w:date="2025-05-13T09:50:00Z"/>
        </w:rPr>
      </w:pPr>
      <w:del w:id="49" w:author="AbbVie1" w:date="2025-05-13T09:50:00Z">
        <w:r w:rsidRPr="001B4A02">
          <w:delText>Jedna injekční lahvička na jedno použití o objemu 0,8 ml obsahuje adalimumabu</w:delText>
        </w:r>
        <w:r w:rsidR="003937A6" w:rsidRPr="001B4A02">
          <w:delText>m 40</w:delText>
        </w:r>
        <w:r w:rsidR="00294902">
          <w:delText> mg</w:delText>
        </w:r>
        <w:r w:rsidRPr="001B4A02">
          <w:delText>.</w:delText>
        </w:r>
      </w:del>
    </w:p>
    <w:p w14:paraId="311213E1" w14:textId="77777777" w:rsidR="00073F8F" w:rsidRPr="001B4A02" w:rsidRDefault="00073F8F" w:rsidP="00ED48A3">
      <w:pPr>
        <w:ind w:left="0" w:firstLine="0"/>
        <w:rPr>
          <w:del w:id="50" w:author="AbbVie1" w:date="2025-05-13T09:50:00Z"/>
        </w:rPr>
      </w:pPr>
    </w:p>
    <w:p w14:paraId="1D917C1A" w14:textId="77777777" w:rsidR="00073F8F" w:rsidRPr="001B4A02" w:rsidRDefault="00000000" w:rsidP="00ED48A3">
      <w:pPr>
        <w:ind w:left="0" w:firstLine="0"/>
        <w:rPr>
          <w:del w:id="51" w:author="AbbVie1" w:date="2025-05-13T09:50:00Z"/>
        </w:rPr>
      </w:pPr>
      <w:del w:id="52" w:author="AbbVie1" w:date="2025-05-13T09:50:00Z">
        <w:r w:rsidRPr="001B4A02">
          <w:delText>Adalimumabum je rekombinantní lidská monoklonální protilátka produkovaná ovariálními buňkami čínských křeč</w:delText>
        </w:r>
        <w:r w:rsidR="007C1ACC" w:rsidRPr="001B4A02">
          <w:delText>í</w:delText>
        </w:r>
        <w:r w:rsidRPr="001B4A02">
          <w:delText>ků.</w:delText>
        </w:r>
      </w:del>
    </w:p>
    <w:p w14:paraId="7152B15B" w14:textId="77777777" w:rsidR="00073F8F" w:rsidRPr="001B4A02" w:rsidRDefault="00073F8F" w:rsidP="00ED48A3">
      <w:pPr>
        <w:ind w:left="0" w:firstLine="0"/>
        <w:rPr>
          <w:del w:id="53" w:author="AbbVie1" w:date="2025-05-13T09:50:00Z"/>
        </w:rPr>
      </w:pPr>
    </w:p>
    <w:p w14:paraId="0C6AEDF1" w14:textId="77777777" w:rsidR="00073F8F" w:rsidRPr="001B4A02" w:rsidRDefault="00000000" w:rsidP="00ED48A3">
      <w:pPr>
        <w:ind w:left="0" w:firstLine="0"/>
        <w:rPr>
          <w:del w:id="54" w:author="AbbVie1" w:date="2025-05-13T09:50:00Z"/>
        </w:rPr>
      </w:pPr>
      <w:del w:id="55" w:author="AbbVie1" w:date="2025-05-13T09:50:00Z">
        <w:r w:rsidRPr="001B4A02">
          <w:delText>Úplný seznam pomocných látek viz bod 6.1</w:delText>
        </w:r>
        <w:r w:rsidR="006D1214" w:rsidRPr="001B4A02">
          <w:delText>.</w:delText>
        </w:r>
      </w:del>
    </w:p>
    <w:p w14:paraId="7D36F004" w14:textId="77777777" w:rsidR="00073F8F" w:rsidRPr="001B4A02" w:rsidRDefault="00073F8F" w:rsidP="00ED48A3">
      <w:pPr>
        <w:pStyle w:val="EndnoteText"/>
        <w:ind w:left="0" w:firstLine="0"/>
        <w:rPr>
          <w:del w:id="56" w:author="AbbVie1" w:date="2025-05-13T09:50:00Z"/>
          <w:lang w:val="cs-CZ"/>
        </w:rPr>
      </w:pPr>
    </w:p>
    <w:p w14:paraId="3FA2D5DE" w14:textId="77777777" w:rsidR="00073F8F" w:rsidRPr="001B4A02" w:rsidRDefault="00073F8F" w:rsidP="00ED48A3">
      <w:pPr>
        <w:ind w:left="0" w:firstLine="0"/>
        <w:rPr>
          <w:del w:id="57" w:author="AbbVie1" w:date="2025-05-13T09:50:00Z"/>
        </w:rPr>
      </w:pPr>
    </w:p>
    <w:p w14:paraId="64F38EC5" w14:textId="77777777" w:rsidR="00073F8F" w:rsidRPr="001B4A02" w:rsidRDefault="00000000" w:rsidP="000A5426">
      <w:pPr>
        <w:keepNext/>
        <w:outlineLvl w:val="0"/>
        <w:rPr>
          <w:del w:id="58" w:author="AbbVie1" w:date="2025-05-13T09:50:00Z"/>
          <w:b/>
          <w:caps/>
        </w:rPr>
      </w:pPr>
      <w:del w:id="59" w:author="AbbVie1" w:date="2025-05-13T09:50:00Z">
        <w:r w:rsidRPr="001B4A02">
          <w:rPr>
            <w:b/>
          </w:rPr>
          <w:delText>3.</w:delText>
        </w:r>
        <w:r w:rsidRPr="001B4A02">
          <w:rPr>
            <w:b/>
          </w:rPr>
          <w:tab/>
          <w:delText>LÉKOVÁ FORMA</w:delText>
        </w:r>
      </w:del>
    </w:p>
    <w:p w14:paraId="6EB915B2" w14:textId="77777777" w:rsidR="00073F8F" w:rsidRPr="001B4A02" w:rsidRDefault="00073F8F" w:rsidP="00D84336">
      <w:pPr>
        <w:keepNext/>
        <w:ind w:left="0" w:firstLine="0"/>
        <w:rPr>
          <w:del w:id="60" w:author="AbbVie1" w:date="2025-05-13T09:50:00Z"/>
        </w:rPr>
      </w:pPr>
    </w:p>
    <w:p w14:paraId="4D8250B7" w14:textId="77777777" w:rsidR="00D0073C" w:rsidRPr="001B4A02" w:rsidRDefault="00000000" w:rsidP="00ED48A3">
      <w:pPr>
        <w:pStyle w:val="EndnoteText"/>
        <w:ind w:left="0" w:firstLine="0"/>
        <w:rPr>
          <w:del w:id="61" w:author="AbbVie1" w:date="2025-05-13T09:50:00Z"/>
          <w:lang w:val="cs-CZ"/>
        </w:rPr>
      </w:pPr>
      <w:del w:id="62" w:author="AbbVie1" w:date="2025-05-13T09:50:00Z">
        <w:r w:rsidRPr="001B4A02">
          <w:rPr>
            <w:lang w:val="cs-CZ"/>
          </w:rPr>
          <w:delText>Injekční roztok</w:delText>
        </w:r>
        <w:r w:rsidR="00C33C7C" w:rsidRPr="001B4A02">
          <w:rPr>
            <w:lang w:val="cs-CZ"/>
          </w:rPr>
          <w:delText xml:space="preserve"> (injekce)</w:delText>
        </w:r>
      </w:del>
    </w:p>
    <w:p w14:paraId="1B5F4A7C" w14:textId="77777777" w:rsidR="00D0073C" w:rsidRPr="001B4A02" w:rsidRDefault="00D0073C" w:rsidP="00ED48A3">
      <w:pPr>
        <w:pStyle w:val="EndnoteText"/>
        <w:ind w:left="0" w:firstLine="0"/>
        <w:rPr>
          <w:del w:id="63" w:author="AbbVie1" w:date="2025-05-13T09:50:00Z"/>
          <w:lang w:val="cs-CZ"/>
        </w:rPr>
      </w:pPr>
    </w:p>
    <w:p w14:paraId="31B92DE5" w14:textId="77777777" w:rsidR="00073F8F" w:rsidRPr="001B4A02" w:rsidRDefault="00000000" w:rsidP="00ED48A3">
      <w:pPr>
        <w:pStyle w:val="EndnoteText"/>
        <w:ind w:left="0" w:firstLine="0"/>
        <w:rPr>
          <w:del w:id="64" w:author="AbbVie1" w:date="2025-05-13T09:50:00Z"/>
          <w:lang w:val="cs-CZ"/>
        </w:rPr>
      </w:pPr>
      <w:del w:id="65" w:author="AbbVie1" w:date="2025-05-13T09:50:00Z">
        <w:r w:rsidRPr="001B4A02">
          <w:rPr>
            <w:lang w:val="cs-CZ"/>
          </w:rPr>
          <w:delText>Čirý</w:delText>
        </w:r>
        <w:r w:rsidR="00D0073C" w:rsidRPr="001B4A02">
          <w:rPr>
            <w:lang w:val="cs-CZ"/>
          </w:rPr>
          <w:delText xml:space="preserve">, bezbarvý </w:delText>
        </w:r>
        <w:r w:rsidRPr="001B4A02">
          <w:rPr>
            <w:lang w:val="cs-CZ"/>
          </w:rPr>
          <w:delText>roztok</w:delText>
        </w:r>
        <w:r w:rsidR="00270D28" w:rsidRPr="001B4A02">
          <w:rPr>
            <w:lang w:val="cs-CZ"/>
          </w:rPr>
          <w:delText>.</w:delText>
        </w:r>
      </w:del>
    </w:p>
    <w:p w14:paraId="28228289" w14:textId="77777777" w:rsidR="00073F8F" w:rsidRPr="001B4A02" w:rsidRDefault="00073F8F" w:rsidP="00ED48A3">
      <w:pPr>
        <w:ind w:left="0" w:firstLine="0"/>
        <w:rPr>
          <w:del w:id="66" w:author="AbbVie1" w:date="2025-05-13T09:50:00Z"/>
        </w:rPr>
      </w:pPr>
    </w:p>
    <w:p w14:paraId="4EF67B2A" w14:textId="77777777" w:rsidR="00073F8F" w:rsidRPr="001B4A02" w:rsidRDefault="00073F8F" w:rsidP="00ED48A3">
      <w:pPr>
        <w:ind w:left="0" w:firstLine="0"/>
        <w:rPr>
          <w:del w:id="67" w:author="AbbVie1" w:date="2025-05-13T09:50:00Z"/>
        </w:rPr>
      </w:pPr>
    </w:p>
    <w:p w14:paraId="60DFD957" w14:textId="77777777" w:rsidR="00073F8F" w:rsidRPr="001B4A02" w:rsidRDefault="00000000" w:rsidP="000A5426">
      <w:pPr>
        <w:keepNext/>
        <w:outlineLvl w:val="0"/>
        <w:rPr>
          <w:del w:id="68" w:author="AbbVie1" w:date="2025-05-13T09:50:00Z"/>
          <w:b/>
          <w:caps/>
        </w:rPr>
      </w:pPr>
      <w:del w:id="69" w:author="AbbVie1" w:date="2025-05-13T09:50:00Z">
        <w:r w:rsidRPr="001B4A02">
          <w:rPr>
            <w:b/>
            <w:caps/>
          </w:rPr>
          <w:delText>4.</w:delText>
        </w:r>
        <w:r w:rsidRPr="001B4A02">
          <w:rPr>
            <w:b/>
            <w:caps/>
          </w:rPr>
          <w:tab/>
          <w:delText>KLINICKÉ ÚDAJE</w:delText>
        </w:r>
      </w:del>
    </w:p>
    <w:p w14:paraId="06A1CBB4" w14:textId="77777777" w:rsidR="00073F8F" w:rsidRPr="001B4A02" w:rsidRDefault="00073F8F" w:rsidP="00D84336">
      <w:pPr>
        <w:keepNext/>
        <w:ind w:left="0" w:firstLine="0"/>
        <w:rPr>
          <w:del w:id="70" w:author="AbbVie1" w:date="2025-05-13T09:50:00Z"/>
          <w:b/>
        </w:rPr>
      </w:pPr>
    </w:p>
    <w:p w14:paraId="08107DDA" w14:textId="77777777" w:rsidR="00073F8F" w:rsidRPr="001B4A02" w:rsidRDefault="00000000" w:rsidP="000A5426">
      <w:pPr>
        <w:keepNext/>
        <w:tabs>
          <w:tab w:val="left" w:pos="567"/>
        </w:tabs>
        <w:ind w:left="0" w:firstLine="0"/>
        <w:outlineLvl w:val="1"/>
        <w:rPr>
          <w:del w:id="71" w:author="AbbVie1" w:date="2025-05-13T09:50:00Z"/>
        </w:rPr>
      </w:pPr>
      <w:del w:id="72" w:author="AbbVie1" w:date="2025-05-13T09:50:00Z">
        <w:r w:rsidRPr="001B4A02">
          <w:rPr>
            <w:b/>
          </w:rPr>
          <w:delText>4.1</w:delText>
        </w:r>
        <w:r w:rsidRPr="001B4A02">
          <w:rPr>
            <w:b/>
          </w:rPr>
          <w:tab/>
          <w:delText>Terapeutické indikace</w:delText>
        </w:r>
      </w:del>
    </w:p>
    <w:p w14:paraId="7BB8D647" w14:textId="77777777" w:rsidR="00073F8F" w:rsidRPr="001B4A02" w:rsidRDefault="00073F8F" w:rsidP="00D84336">
      <w:pPr>
        <w:keepNext/>
        <w:ind w:left="0" w:firstLine="0"/>
        <w:rPr>
          <w:del w:id="73" w:author="AbbVie1" w:date="2025-05-13T09:50:00Z"/>
        </w:rPr>
      </w:pPr>
    </w:p>
    <w:p w14:paraId="7D0169EF" w14:textId="77777777" w:rsidR="00B33041" w:rsidRPr="001B4A02" w:rsidRDefault="00000000" w:rsidP="00D84336">
      <w:pPr>
        <w:pStyle w:val="EMEAHeadingUnderline"/>
        <w:keepNext/>
        <w:tabs>
          <w:tab w:val="clear" w:pos="562"/>
        </w:tabs>
        <w:suppressAutoHyphens w:val="0"/>
        <w:spacing w:beforeLines="0" w:before="0" w:afterLines="0" w:after="0"/>
        <w:rPr>
          <w:del w:id="74" w:author="AbbVie1" w:date="2025-05-13T09:50:00Z"/>
          <w:lang w:val="cs-CZ"/>
        </w:rPr>
      </w:pPr>
      <w:del w:id="75" w:author="AbbVie1" w:date="2025-05-13T09:50:00Z">
        <w:r w:rsidRPr="001B4A02">
          <w:rPr>
            <w:lang w:val="cs-CZ"/>
          </w:rPr>
          <w:delText>Juvenilní idiopatická artritida</w:delText>
        </w:r>
      </w:del>
    </w:p>
    <w:p w14:paraId="3A49F7AD" w14:textId="77777777" w:rsidR="00B33041" w:rsidRPr="001B4A02" w:rsidRDefault="00B33041" w:rsidP="00D84336">
      <w:pPr>
        <w:pStyle w:val="EMEAHeadingUnderline"/>
        <w:keepNext/>
        <w:tabs>
          <w:tab w:val="clear" w:pos="562"/>
        </w:tabs>
        <w:suppressAutoHyphens w:val="0"/>
        <w:spacing w:beforeLines="0" w:before="0" w:afterLines="0" w:after="0"/>
        <w:rPr>
          <w:del w:id="76" w:author="AbbVie1" w:date="2025-05-13T09:50:00Z"/>
          <w:lang w:val="cs-CZ"/>
        </w:rPr>
      </w:pPr>
    </w:p>
    <w:p w14:paraId="42AF7972" w14:textId="77777777" w:rsidR="00073F8F" w:rsidRPr="001B4A02" w:rsidRDefault="00000000" w:rsidP="00D84336">
      <w:pPr>
        <w:pStyle w:val="EMEAHeadingUnderline"/>
        <w:keepNext/>
        <w:tabs>
          <w:tab w:val="clear" w:pos="562"/>
        </w:tabs>
        <w:suppressAutoHyphens w:val="0"/>
        <w:spacing w:beforeLines="0" w:before="0" w:afterLines="0" w:after="0"/>
        <w:rPr>
          <w:del w:id="77" w:author="AbbVie1" w:date="2025-05-13T09:50:00Z"/>
          <w:i/>
          <w:u w:val="none"/>
          <w:lang w:val="cs-CZ"/>
        </w:rPr>
      </w:pPr>
      <w:del w:id="78" w:author="AbbVie1" w:date="2025-05-13T09:50:00Z">
        <w:r w:rsidRPr="001B4A02">
          <w:rPr>
            <w:i/>
            <w:u w:val="none"/>
            <w:lang w:val="cs-CZ"/>
          </w:rPr>
          <w:delText>Polyartikulární juvenilní idiopatická artritida</w:delText>
        </w:r>
      </w:del>
    </w:p>
    <w:p w14:paraId="60D2DCD5" w14:textId="77777777" w:rsidR="00073F8F" w:rsidRPr="001B4A02" w:rsidRDefault="00073F8F" w:rsidP="00D84336">
      <w:pPr>
        <w:keepNext/>
        <w:ind w:left="0" w:firstLine="0"/>
        <w:rPr>
          <w:del w:id="79" w:author="AbbVie1" w:date="2025-05-13T09:50:00Z"/>
        </w:rPr>
      </w:pPr>
    </w:p>
    <w:p w14:paraId="146ED017" w14:textId="77777777" w:rsidR="00FA2D69" w:rsidRPr="001B4A02" w:rsidRDefault="00000000" w:rsidP="00ED48A3">
      <w:pPr>
        <w:pStyle w:val="EMEANormal"/>
        <w:tabs>
          <w:tab w:val="clear" w:pos="562"/>
          <w:tab w:val="left" w:pos="708"/>
        </w:tabs>
        <w:suppressAutoHyphens w:val="0"/>
        <w:rPr>
          <w:del w:id="80" w:author="AbbVie1" w:date="2025-05-13T09:50:00Z"/>
          <w:lang w:val="cs-CZ"/>
        </w:rPr>
      </w:pPr>
      <w:del w:id="81" w:author="AbbVie1" w:date="2025-05-13T09:50:00Z">
        <w:r w:rsidRPr="001B4A02">
          <w:rPr>
            <w:lang w:val="cs-CZ"/>
          </w:rPr>
          <w:delText>Přípravek Humira je indikován, v kombinaci s methotrexátem, k léčbě aktivní polyartikulární juvenilní idiopatické artritidy u</w:delText>
        </w:r>
        <w:r w:rsidR="00BD4EAC" w:rsidRPr="001B4A02">
          <w:rPr>
            <w:lang w:val="cs-CZ"/>
          </w:rPr>
          <w:delText> </w:delText>
        </w:r>
        <w:r w:rsidR="00B33041" w:rsidRPr="001B4A02">
          <w:rPr>
            <w:lang w:val="cs-CZ"/>
          </w:rPr>
          <w:delText>pacientů</w:delText>
        </w:r>
        <w:r w:rsidRPr="001B4A02">
          <w:rPr>
            <w:lang w:val="cs-CZ"/>
          </w:rPr>
          <w:delText xml:space="preserve"> </w:delText>
        </w:r>
        <w:r w:rsidR="00B05A51" w:rsidRPr="001B4A02">
          <w:rPr>
            <w:lang w:val="cs-CZ"/>
          </w:rPr>
          <w:delText xml:space="preserve">od </w:delText>
        </w:r>
        <w:r w:rsidR="00153E60" w:rsidRPr="001B4A02">
          <w:rPr>
            <w:lang w:val="cs-CZ"/>
          </w:rPr>
          <w:delText>2</w:delText>
        </w:r>
        <w:r w:rsidRPr="001B4A02">
          <w:rPr>
            <w:lang w:val="cs-CZ"/>
          </w:rPr>
          <w:delText xml:space="preserve"> let, u</w:delText>
        </w:r>
        <w:r w:rsidR="00BD4EAC" w:rsidRPr="001B4A02">
          <w:rPr>
            <w:lang w:val="cs-CZ"/>
          </w:rPr>
          <w:delText> </w:delText>
        </w:r>
        <w:r w:rsidRPr="001B4A02">
          <w:rPr>
            <w:lang w:val="cs-CZ"/>
          </w:rPr>
          <w:delText>kterých odpověď na léčbu jedním nebo více chorobu modifikujícími antirevmatiky (DMARD) nebyla dostatečná. Při nesnášenlivosti methotrexátu nebo v případě, kdy pokračování v</w:delText>
        </w:r>
        <w:r w:rsidR="00BD4EAC" w:rsidRPr="001B4A02">
          <w:rPr>
            <w:lang w:val="cs-CZ"/>
          </w:rPr>
          <w:delText> </w:delText>
        </w:r>
        <w:r w:rsidRPr="001B4A02">
          <w:rPr>
            <w:lang w:val="cs-CZ"/>
          </w:rPr>
          <w:delText>léčbě methotrexátem není vhodné, může být přípravek Humira podáván samostatně (</w:delText>
        </w:r>
        <w:r w:rsidR="00A72314" w:rsidRPr="001B4A02">
          <w:rPr>
            <w:lang w:val="cs-CZ"/>
          </w:rPr>
          <w:delText>účinnost při</w:delText>
        </w:r>
        <w:r w:rsidR="00E73ED9" w:rsidRPr="001B4A02">
          <w:rPr>
            <w:lang w:val="cs-CZ"/>
          </w:rPr>
          <w:delText xml:space="preserve"> monoterapii </w:delText>
        </w:r>
        <w:r w:rsidRPr="001B4A02">
          <w:rPr>
            <w:lang w:val="cs-CZ"/>
          </w:rPr>
          <w:delText>viz bod 5.1).</w:delText>
        </w:r>
        <w:r w:rsidR="00E73ED9" w:rsidRPr="001B4A02">
          <w:rPr>
            <w:lang w:val="cs-CZ"/>
          </w:rPr>
          <w:delText xml:space="preserve"> Přípravek Humira nebyl studován u</w:delText>
        </w:r>
        <w:r w:rsidR="00BD4EAC" w:rsidRPr="001B4A02">
          <w:rPr>
            <w:lang w:val="cs-CZ"/>
          </w:rPr>
          <w:delText> </w:delText>
        </w:r>
        <w:r w:rsidR="00A06641" w:rsidRPr="001B4A02">
          <w:rPr>
            <w:lang w:val="cs-CZ"/>
          </w:rPr>
          <w:delText xml:space="preserve">pacientů </w:delText>
        </w:r>
        <w:r w:rsidR="00A72314" w:rsidRPr="001B4A02">
          <w:rPr>
            <w:lang w:val="cs-CZ"/>
          </w:rPr>
          <w:delText>mladších</w:delText>
        </w:r>
        <w:r w:rsidR="00E73ED9" w:rsidRPr="001B4A02">
          <w:rPr>
            <w:lang w:val="cs-CZ"/>
          </w:rPr>
          <w:delText xml:space="preserve"> </w:delText>
        </w:r>
        <w:r w:rsidR="00153E60" w:rsidRPr="001B4A02">
          <w:rPr>
            <w:lang w:val="cs-CZ"/>
          </w:rPr>
          <w:delText>2</w:delText>
        </w:r>
        <w:r w:rsidR="00E73ED9" w:rsidRPr="001B4A02">
          <w:rPr>
            <w:lang w:val="cs-CZ"/>
          </w:rPr>
          <w:delText xml:space="preserve"> let.</w:delText>
        </w:r>
      </w:del>
    </w:p>
    <w:p w14:paraId="7A31CDBB" w14:textId="77777777" w:rsidR="00A80744" w:rsidRPr="001B4A02" w:rsidRDefault="00A80744" w:rsidP="00ED48A3">
      <w:pPr>
        <w:pStyle w:val="EMEANormal"/>
        <w:tabs>
          <w:tab w:val="clear" w:pos="562"/>
          <w:tab w:val="left" w:pos="708"/>
        </w:tabs>
        <w:suppressAutoHyphens w:val="0"/>
        <w:rPr>
          <w:del w:id="82" w:author="AbbVie1" w:date="2025-05-13T09:50:00Z"/>
          <w:lang w:val="cs-CZ"/>
        </w:rPr>
      </w:pPr>
    </w:p>
    <w:p w14:paraId="63AE74CB" w14:textId="77777777" w:rsidR="00A06641" w:rsidRPr="001B4A02" w:rsidRDefault="00000000" w:rsidP="00D84336">
      <w:pPr>
        <w:keepNext/>
        <w:autoSpaceDE w:val="0"/>
        <w:autoSpaceDN w:val="0"/>
        <w:rPr>
          <w:del w:id="83" w:author="AbbVie1" w:date="2025-05-13T09:50:00Z"/>
          <w:i/>
        </w:rPr>
      </w:pPr>
      <w:del w:id="84" w:author="AbbVie1" w:date="2025-05-13T09:50:00Z">
        <w:r w:rsidRPr="001B4A02">
          <w:rPr>
            <w:i/>
          </w:rPr>
          <w:delText>Entezopatická artritida</w:delText>
        </w:r>
      </w:del>
    </w:p>
    <w:p w14:paraId="36C3854F" w14:textId="77777777" w:rsidR="00A06641" w:rsidRPr="001B4A02" w:rsidRDefault="00A06641" w:rsidP="00D84336">
      <w:pPr>
        <w:pStyle w:val="EMEANormal"/>
        <w:keepNext/>
        <w:tabs>
          <w:tab w:val="clear" w:pos="562"/>
          <w:tab w:val="left" w:pos="708"/>
        </w:tabs>
        <w:suppressAutoHyphens w:val="0"/>
        <w:rPr>
          <w:del w:id="85" w:author="AbbVie1" w:date="2025-05-13T09:50:00Z"/>
          <w:lang w:val="cs-CZ"/>
        </w:rPr>
      </w:pPr>
    </w:p>
    <w:p w14:paraId="05DE0151" w14:textId="77777777" w:rsidR="00A06641" w:rsidRPr="001B4A02" w:rsidRDefault="00000000" w:rsidP="00ED48A3">
      <w:pPr>
        <w:pStyle w:val="EMEANormal"/>
        <w:tabs>
          <w:tab w:val="clear" w:pos="562"/>
          <w:tab w:val="left" w:pos="708"/>
        </w:tabs>
        <w:suppressAutoHyphens w:val="0"/>
        <w:rPr>
          <w:del w:id="86" w:author="AbbVie1" w:date="2025-05-13T09:50:00Z"/>
          <w:lang w:val="cs-CZ"/>
        </w:rPr>
      </w:pPr>
      <w:del w:id="87" w:author="AbbVie1" w:date="2025-05-13T09:50:00Z">
        <w:r w:rsidRPr="007928B5">
          <w:rPr>
            <w:lang w:val="cs-CZ"/>
          </w:rPr>
          <w:delText xml:space="preserve">Přípravek </w:delText>
        </w:r>
        <w:r w:rsidRPr="001B4A02">
          <w:rPr>
            <w:lang w:val="cs-CZ"/>
          </w:rPr>
          <w:delText xml:space="preserve">Humira je indikován </w:delText>
        </w:r>
        <w:r w:rsidR="00A858EA" w:rsidRPr="001B4A02">
          <w:rPr>
            <w:lang w:val="cs-CZ"/>
          </w:rPr>
          <w:delText>k</w:delText>
        </w:r>
        <w:r w:rsidR="00BD4EAC" w:rsidRPr="001B4A02">
          <w:rPr>
            <w:lang w:val="cs-CZ"/>
          </w:rPr>
          <w:delText> </w:delText>
        </w:r>
        <w:r w:rsidRPr="001B4A02">
          <w:rPr>
            <w:lang w:val="cs-CZ"/>
          </w:rPr>
          <w:delText>léčb</w:delText>
        </w:r>
        <w:r w:rsidR="00A858EA" w:rsidRPr="001B4A02">
          <w:rPr>
            <w:lang w:val="cs-CZ"/>
          </w:rPr>
          <w:delText>ě</w:delText>
        </w:r>
        <w:r w:rsidRPr="001B4A02">
          <w:rPr>
            <w:lang w:val="cs-CZ"/>
          </w:rPr>
          <w:delText xml:space="preserve"> aktivní </w:delText>
        </w:r>
        <w:r w:rsidR="00A858EA" w:rsidRPr="001B4A02">
          <w:rPr>
            <w:lang w:val="cs-CZ"/>
          </w:rPr>
          <w:delText>entezopatické artritidy</w:delText>
        </w:r>
        <w:r w:rsidRPr="001B4A02">
          <w:rPr>
            <w:lang w:val="cs-CZ"/>
          </w:rPr>
          <w:delText xml:space="preserve"> u</w:delText>
        </w:r>
        <w:r w:rsidR="00BD4EAC" w:rsidRPr="001B4A02">
          <w:rPr>
            <w:lang w:val="cs-CZ"/>
          </w:rPr>
          <w:delText> </w:delText>
        </w:r>
        <w:r w:rsidRPr="001B4A02">
          <w:rPr>
            <w:lang w:val="cs-CZ"/>
          </w:rPr>
          <w:delText>pacientů ve věku od 6 let, u</w:delText>
        </w:r>
        <w:r w:rsidR="00BD4EAC" w:rsidRPr="001B4A02">
          <w:rPr>
            <w:lang w:val="cs-CZ"/>
          </w:rPr>
          <w:delText> </w:delText>
        </w:r>
        <w:r w:rsidRPr="001B4A02">
          <w:rPr>
            <w:lang w:val="cs-CZ"/>
          </w:rPr>
          <w:delText>nichž nebylo dosaženo adekvátní odpovědi na konvenční léčbu, nebo u</w:delText>
        </w:r>
        <w:r w:rsidR="00BD4EAC" w:rsidRPr="001B4A02">
          <w:rPr>
            <w:lang w:val="cs-CZ"/>
          </w:rPr>
          <w:delText> </w:delText>
        </w:r>
        <w:r w:rsidRPr="001B4A02">
          <w:rPr>
            <w:lang w:val="cs-CZ"/>
          </w:rPr>
          <w:delText>nichž léčba nebyla tolerována</w:delText>
        </w:r>
        <w:r w:rsidR="00E2410C" w:rsidRPr="001B4A02">
          <w:rPr>
            <w:lang w:val="cs-CZ"/>
          </w:rPr>
          <w:delText xml:space="preserve"> (viz bod 5.1)</w:delText>
        </w:r>
        <w:r w:rsidRPr="001B4A02">
          <w:rPr>
            <w:lang w:val="cs-CZ"/>
          </w:rPr>
          <w:delText>.</w:delText>
        </w:r>
      </w:del>
    </w:p>
    <w:p w14:paraId="30E53D32" w14:textId="77777777" w:rsidR="003E75AF" w:rsidRPr="001B4A02" w:rsidRDefault="003E75AF" w:rsidP="00ED48A3">
      <w:pPr>
        <w:pStyle w:val="EMEANormal"/>
        <w:tabs>
          <w:tab w:val="clear" w:pos="562"/>
          <w:tab w:val="left" w:pos="708"/>
        </w:tabs>
        <w:suppressAutoHyphens w:val="0"/>
        <w:rPr>
          <w:del w:id="88" w:author="AbbVie1" w:date="2025-05-13T09:50:00Z"/>
          <w:lang w:val="cs-CZ"/>
        </w:rPr>
      </w:pPr>
    </w:p>
    <w:p w14:paraId="6569668D" w14:textId="77777777" w:rsidR="003E75AF" w:rsidRPr="001B4A02" w:rsidRDefault="00000000" w:rsidP="00D84336">
      <w:pPr>
        <w:pStyle w:val="EMEANormal"/>
        <w:keepNext/>
        <w:tabs>
          <w:tab w:val="clear" w:pos="562"/>
          <w:tab w:val="left" w:pos="708"/>
        </w:tabs>
        <w:suppressAutoHyphens w:val="0"/>
        <w:rPr>
          <w:del w:id="89" w:author="AbbVie1" w:date="2025-05-13T09:50:00Z"/>
          <w:u w:val="single"/>
          <w:lang w:val="cs-CZ"/>
        </w:rPr>
      </w:pPr>
      <w:del w:id="90" w:author="AbbVie1" w:date="2025-05-13T09:50:00Z">
        <w:r w:rsidRPr="001B4A02">
          <w:rPr>
            <w:u w:val="single"/>
            <w:lang w:val="cs-CZ"/>
          </w:rPr>
          <w:delText>Ložisková psoriáza u pediatrických pacientů</w:delText>
        </w:r>
      </w:del>
    </w:p>
    <w:p w14:paraId="179022B1" w14:textId="77777777" w:rsidR="003E75AF" w:rsidRPr="001B4A02" w:rsidRDefault="003E75AF" w:rsidP="00D84336">
      <w:pPr>
        <w:pStyle w:val="EMEANormal"/>
        <w:keepNext/>
        <w:tabs>
          <w:tab w:val="clear" w:pos="562"/>
          <w:tab w:val="left" w:pos="708"/>
        </w:tabs>
        <w:suppressAutoHyphens w:val="0"/>
        <w:rPr>
          <w:del w:id="91" w:author="AbbVie1" w:date="2025-05-13T09:50:00Z"/>
          <w:u w:val="single"/>
          <w:lang w:val="cs-CZ"/>
        </w:rPr>
      </w:pPr>
    </w:p>
    <w:p w14:paraId="0F8F9042" w14:textId="77777777" w:rsidR="003E75AF" w:rsidRPr="001B4A02" w:rsidRDefault="00000000" w:rsidP="00ED48A3">
      <w:pPr>
        <w:pStyle w:val="EMEANormal"/>
        <w:tabs>
          <w:tab w:val="clear" w:pos="562"/>
          <w:tab w:val="left" w:pos="708"/>
        </w:tabs>
        <w:suppressAutoHyphens w:val="0"/>
        <w:rPr>
          <w:del w:id="92" w:author="AbbVie1" w:date="2025-05-13T09:50:00Z"/>
          <w:lang w:val="cs-CZ"/>
        </w:rPr>
      </w:pPr>
      <w:del w:id="93" w:author="AbbVie1" w:date="2025-05-13T09:50:00Z">
        <w:r w:rsidRPr="001B4A02">
          <w:rPr>
            <w:lang w:val="cs-CZ"/>
          </w:rPr>
          <w:delText>Přípravek Humira je indikován k léčbě těžk</w:delText>
        </w:r>
        <w:r w:rsidR="00BD4EAC" w:rsidRPr="001B4A02">
          <w:rPr>
            <w:lang w:val="cs-CZ"/>
          </w:rPr>
          <w:delText>é chronické ložiskové psoriázy u </w:delText>
        </w:r>
        <w:r w:rsidRPr="001B4A02">
          <w:rPr>
            <w:lang w:val="cs-CZ"/>
          </w:rPr>
          <w:delText>d</w:delText>
        </w:r>
        <w:r w:rsidR="00BD4EAC" w:rsidRPr="001B4A02">
          <w:rPr>
            <w:lang w:val="cs-CZ"/>
          </w:rPr>
          <w:delText>ětí</w:delText>
        </w:r>
        <w:r w:rsidR="002378E0">
          <w:rPr>
            <w:lang w:val="cs-CZ"/>
          </w:rPr>
          <w:delText xml:space="preserve"> a </w:delText>
        </w:r>
        <w:r w:rsidR="00BD4EAC" w:rsidRPr="001B4A02">
          <w:rPr>
            <w:lang w:val="cs-CZ"/>
          </w:rPr>
          <w:delText>dospívajících od 4 let, u </w:delText>
        </w:r>
        <w:r w:rsidRPr="001B4A02">
          <w:rPr>
            <w:lang w:val="cs-CZ"/>
          </w:rPr>
          <w:delText>kterých reakce na lokální terapii</w:delText>
        </w:r>
        <w:r w:rsidR="002378E0">
          <w:rPr>
            <w:lang w:val="cs-CZ"/>
          </w:rPr>
          <w:delText xml:space="preserve"> a </w:delText>
        </w:r>
        <w:r w:rsidRPr="001B4A02">
          <w:rPr>
            <w:lang w:val="cs-CZ"/>
          </w:rPr>
          <w:delText>fototerapie nebyla dostatečná nebo nejsou pro tuto léčbu vhodnými kandidáty.</w:delText>
        </w:r>
      </w:del>
    </w:p>
    <w:p w14:paraId="119DF10C" w14:textId="77777777" w:rsidR="00A06641" w:rsidRPr="001B4A02" w:rsidRDefault="00A06641" w:rsidP="00ED48A3">
      <w:pPr>
        <w:pStyle w:val="EMEANormal"/>
        <w:tabs>
          <w:tab w:val="clear" w:pos="562"/>
          <w:tab w:val="left" w:pos="708"/>
        </w:tabs>
        <w:suppressAutoHyphens w:val="0"/>
        <w:rPr>
          <w:del w:id="94" w:author="AbbVie1" w:date="2025-05-13T09:50:00Z"/>
          <w:lang w:val="cs-CZ"/>
        </w:rPr>
      </w:pPr>
    </w:p>
    <w:p w14:paraId="73350E42" w14:textId="77777777" w:rsidR="00D76799" w:rsidRPr="001B4A02" w:rsidRDefault="00000000" w:rsidP="00D76799">
      <w:pPr>
        <w:pStyle w:val="EMEANormal"/>
        <w:keepNext/>
        <w:tabs>
          <w:tab w:val="clear" w:pos="562"/>
          <w:tab w:val="left" w:pos="708"/>
        </w:tabs>
        <w:suppressAutoHyphens w:val="0"/>
        <w:rPr>
          <w:del w:id="95" w:author="AbbVie1" w:date="2025-05-13T09:50:00Z"/>
          <w:u w:val="single"/>
          <w:lang w:val="cs-CZ"/>
        </w:rPr>
      </w:pPr>
      <w:del w:id="96" w:author="AbbVie1" w:date="2025-05-13T09:50:00Z">
        <w:r w:rsidRPr="001B4A02">
          <w:rPr>
            <w:u w:val="single"/>
            <w:lang w:val="cs-CZ"/>
          </w:rPr>
          <w:delText>Hidradenitis suppurativa u dospívajících</w:delText>
        </w:r>
      </w:del>
    </w:p>
    <w:p w14:paraId="5570DCF5" w14:textId="77777777" w:rsidR="00D76799" w:rsidRPr="001B4A02" w:rsidRDefault="00D76799" w:rsidP="00D76799">
      <w:pPr>
        <w:pStyle w:val="EMEANormal"/>
        <w:keepNext/>
        <w:tabs>
          <w:tab w:val="clear" w:pos="562"/>
          <w:tab w:val="left" w:pos="708"/>
        </w:tabs>
        <w:suppressAutoHyphens w:val="0"/>
        <w:rPr>
          <w:del w:id="97" w:author="AbbVie1" w:date="2025-05-13T09:50:00Z"/>
          <w:u w:val="single"/>
          <w:lang w:val="cs-CZ"/>
        </w:rPr>
      </w:pPr>
    </w:p>
    <w:p w14:paraId="65D97AE5" w14:textId="77777777" w:rsidR="00D76799" w:rsidRPr="001B4A02" w:rsidRDefault="00000000" w:rsidP="00D76799">
      <w:pPr>
        <w:pStyle w:val="EMEANormal"/>
        <w:tabs>
          <w:tab w:val="clear" w:pos="562"/>
          <w:tab w:val="left" w:pos="708"/>
        </w:tabs>
        <w:suppressAutoHyphens w:val="0"/>
        <w:rPr>
          <w:del w:id="98" w:author="AbbVie1" w:date="2025-05-13T09:50:00Z"/>
          <w:lang w:val="cs-CZ"/>
        </w:rPr>
      </w:pPr>
      <w:del w:id="99" w:author="AbbVie1" w:date="2025-05-13T09:50:00Z">
        <w:r w:rsidRPr="001B4A02">
          <w:rPr>
            <w:lang w:val="cs-CZ"/>
          </w:rPr>
          <w:delText>Přípravek Humira je indikován k léčbě středně těžké až těžké aktivní hidradenitis suppurativa (acne inversa) u dospívajících od 12 let při nedostatečné odpovědi na jinou konvenční systémovou léčbu HS (viz body 5.1</w:delText>
        </w:r>
        <w:r w:rsidR="002378E0">
          <w:rPr>
            <w:lang w:val="cs-CZ"/>
          </w:rPr>
          <w:delText xml:space="preserve"> a </w:delText>
        </w:r>
        <w:r w:rsidRPr="001B4A02">
          <w:rPr>
            <w:lang w:val="cs-CZ"/>
          </w:rPr>
          <w:delText>5.2).</w:delText>
        </w:r>
      </w:del>
    </w:p>
    <w:p w14:paraId="634C7F80" w14:textId="77777777" w:rsidR="00D76799" w:rsidRPr="001B4A02" w:rsidRDefault="00D76799" w:rsidP="00D76799">
      <w:pPr>
        <w:pStyle w:val="EMEANormal"/>
        <w:tabs>
          <w:tab w:val="clear" w:pos="562"/>
          <w:tab w:val="left" w:pos="708"/>
        </w:tabs>
        <w:suppressAutoHyphens w:val="0"/>
        <w:rPr>
          <w:del w:id="100" w:author="AbbVie1" w:date="2025-05-13T09:50:00Z"/>
          <w:lang w:val="cs-CZ"/>
        </w:rPr>
      </w:pPr>
    </w:p>
    <w:p w14:paraId="08C44950" w14:textId="77777777" w:rsidR="00A80744" w:rsidRPr="001B4A02" w:rsidRDefault="00000000" w:rsidP="00D84336">
      <w:pPr>
        <w:pStyle w:val="EMEANormal"/>
        <w:keepNext/>
        <w:tabs>
          <w:tab w:val="clear" w:pos="562"/>
          <w:tab w:val="left" w:pos="708"/>
        </w:tabs>
        <w:suppressAutoHyphens w:val="0"/>
        <w:rPr>
          <w:del w:id="101" w:author="AbbVie1" w:date="2025-05-13T09:50:00Z"/>
          <w:u w:val="single"/>
          <w:lang w:val="cs-CZ"/>
        </w:rPr>
      </w:pPr>
      <w:del w:id="102" w:author="AbbVie1" w:date="2025-05-13T09:50:00Z">
        <w:r w:rsidRPr="001B4A02">
          <w:rPr>
            <w:u w:val="single"/>
            <w:lang w:val="cs-CZ"/>
          </w:rPr>
          <w:delText>Crohnova choroba</w:delText>
        </w:r>
        <w:r w:rsidR="00CF3384" w:rsidRPr="001B4A02">
          <w:rPr>
            <w:u w:val="single"/>
            <w:lang w:val="cs-CZ"/>
          </w:rPr>
          <w:delText xml:space="preserve"> u pediatrických pacientů</w:delText>
        </w:r>
      </w:del>
    </w:p>
    <w:p w14:paraId="6D3D468B" w14:textId="77777777" w:rsidR="00A80744" w:rsidRPr="001B4A02" w:rsidRDefault="00A80744" w:rsidP="00D84336">
      <w:pPr>
        <w:pStyle w:val="EMEANormal"/>
        <w:keepNext/>
        <w:tabs>
          <w:tab w:val="clear" w:pos="562"/>
          <w:tab w:val="left" w:pos="708"/>
        </w:tabs>
        <w:suppressAutoHyphens w:val="0"/>
        <w:rPr>
          <w:del w:id="103" w:author="AbbVie1" w:date="2025-05-13T09:50:00Z"/>
          <w:lang w:val="cs-CZ"/>
        </w:rPr>
      </w:pPr>
    </w:p>
    <w:p w14:paraId="62C84372" w14:textId="77777777" w:rsidR="00A80744" w:rsidRDefault="00000000" w:rsidP="00ED48A3">
      <w:pPr>
        <w:pStyle w:val="EMEANormal"/>
        <w:tabs>
          <w:tab w:val="clear" w:pos="562"/>
          <w:tab w:val="left" w:pos="708"/>
        </w:tabs>
        <w:suppressAutoHyphens w:val="0"/>
        <w:rPr>
          <w:del w:id="104" w:author="AbbVie1" w:date="2025-05-13T09:50:00Z"/>
          <w:lang w:val="cs-CZ"/>
        </w:rPr>
      </w:pPr>
      <w:del w:id="105" w:author="AbbVie1" w:date="2025-05-13T09:50:00Z">
        <w:r w:rsidRPr="001B4A02">
          <w:rPr>
            <w:lang w:val="cs-CZ"/>
          </w:rPr>
          <w:delText>Přípravek Humi</w:delText>
        </w:r>
        <w:r w:rsidR="001753CA" w:rsidRPr="001B4A02">
          <w:rPr>
            <w:lang w:val="cs-CZ"/>
          </w:rPr>
          <w:delText xml:space="preserve">ra je indikován k léčbě </w:delText>
        </w:r>
        <w:r w:rsidR="00286A54" w:rsidRPr="001B4A02">
          <w:rPr>
            <w:lang w:val="cs-CZ"/>
          </w:rPr>
          <w:delText xml:space="preserve">středně těžké až </w:delText>
        </w:r>
        <w:r w:rsidRPr="001B4A02">
          <w:rPr>
            <w:lang w:val="cs-CZ"/>
          </w:rPr>
          <w:delText>těžké aktivní Crohnovy choroby u</w:delText>
        </w:r>
        <w:r w:rsidR="00BD4EAC" w:rsidRPr="001B4A02">
          <w:rPr>
            <w:lang w:val="cs-CZ"/>
          </w:rPr>
          <w:delText> </w:delText>
        </w:r>
        <w:r w:rsidRPr="001B4A02">
          <w:rPr>
            <w:lang w:val="cs-CZ"/>
          </w:rPr>
          <w:delText>pediatrických pacientů (</w:delText>
        </w:r>
        <w:r w:rsidR="00B05A51" w:rsidRPr="001B4A02">
          <w:rPr>
            <w:lang w:val="cs-CZ"/>
          </w:rPr>
          <w:delText xml:space="preserve">od </w:delText>
        </w:r>
        <w:r w:rsidRPr="001B4A02">
          <w:rPr>
            <w:lang w:val="cs-CZ"/>
          </w:rPr>
          <w:delText>6 let), u</w:delText>
        </w:r>
        <w:r w:rsidR="00BD4EAC" w:rsidRPr="001B4A02">
          <w:rPr>
            <w:lang w:val="cs-CZ"/>
          </w:rPr>
          <w:delText> </w:delText>
        </w:r>
        <w:r w:rsidRPr="001B4A02">
          <w:rPr>
            <w:lang w:val="cs-CZ"/>
          </w:rPr>
          <w:delText xml:space="preserve">kterých </w:delText>
        </w:r>
        <w:r w:rsidR="001753CA" w:rsidRPr="001B4A02">
          <w:rPr>
            <w:lang w:val="cs-CZ"/>
          </w:rPr>
          <w:delText>reakce</w:delText>
        </w:r>
        <w:r w:rsidRPr="001B4A02">
          <w:rPr>
            <w:lang w:val="cs-CZ"/>
          </w:rPr>
          <w:delText xml:space="preserve"> na konvenční léčbu včetně primární nutriční léčby</w:delText>
        </w:r>
        <w:r w:rsidR="002378E0">
          <w:rPr>
            <w:lang w:val="cs-CZ"/>
          </w:rPr>
          <w:delText xml:space="preserve"> a </w:delText>
        </w:r>
        <w:r w:rsidRPr="001B4A02">
          <w:rPr>
            <w:lang w:val="cs-CZ"/>
          </w:rPr>
          <w:delText>kortikosteroidů a/nebo imunosupresiv</w:delText>
        </w:r>
        <w:r w:rsidR="001753CA" w:rsidRPr="001B4A02">
          <w:rPr>
            <w:lang w:val="cs-CZ"/>
          </w:rPr>
          <w:delText xml:space="preserve"> nebyla dostatečná</w:delText>
        </w:r>
        <w:r w:rsidR="00FC14B8" w:rsidRPr="001B4A02">
          <w:rPr>
            <w:lang w:val="cs-CZ"/>
          </w:rPr>
          <w:delText>,</w:delText>
        </w:r>
        <w:r w:rsidR="001753CA" w:rsidRPr="001B4A02">
          <w:rPr>
            <w:lang w:val="cs-CZ"/>
          </w:rPr>
          <w:delText xml:space="preserve"> nebo kteří ji</w:delText>
        </w:r>
        <w:r w:rsidRPr="001B4A02">
          <w:rPr>
            <w:lang w:val="cs-CZ"/>
          </w:rPr>
          <w:delText xml:space="preserve"> netolerují nebo je u</w:delText>
        </w:r>
        <w:r w:rsidR="00BD4EAC" w:rsidRPr="001B4A02">
          <w:rPr>
            <w:lang w:val="cs-CZ"/>
          </w:rPr>
          <w:delText> </w:delText>
        </w:r>
        <w:r w:rsidRPr="001B4A02">
          <w:rPr>
            <w:lang w:val="cs-CZ"/>
          </w:rPr>
          <w:delText>nich tato léčba kontrai</w:delText>
        </w:r>
        <w:r w:rsidR="00BC3547" w:rsidRPr="001B4A02">
          <w:rPr>
            <w:lang w:val="cs-CZ"/>
          </w:rPr>
          <w:delText>n</w:delText>
        </w:r>
        <w:r w:rsidRPr="001B4A02">
          <w:rPr>
            <w:lang w:val="cs-CZ"/>
          </w:rPr>
          <w:delText>dikována.</w:delText>
        </w:r>
      </w:del>
    </w:p>
    <w:p w14:paraId="37D05D7B" w14:textId="77777777" w:rsidR="0063113A" w:rsidRPr="001B4A02" w:rsidRDefault="0063113A" w:rsidP="00ED48A3">
      <w:pPr>
        <w:pStyle w:val="EMEANormal"/>
        <w:tabs>
          <w:tab w:val="clear" w:pos="562"/>
          <w:tab w:val="left" w:pos="708"/>
        </w:tabs>
        <w:suppressAutoHyphens w:val="0"/>
        <w:rPr>
          <w:del w:id="106" w:author="AbbVie1" w:date="2025-05-13T09:50:00Z"/>
          <w:lang w:val="cs-CZ"/>
        </w:rPr>
      </w:pPr>
    </w:p>
    <w:p w14:paraId="4F9F1532" w14:textId="77777777" w:rsidR="00BE47E0" w:rsidRPr="001B4A02" w:rsidRDefault="00000000" w:rsidP="00D84336">
      <w:pPr>
        <w:pStyle w:val="BodyText"/>
        <w:keepNext/>
        <w:rPr>
          <w:del w:id="107" w:author="AbbVie1" w:date="2025-05-13T09:50:00Z"/>
          <w:b w:val="0"/>
          <w:i w:val="0"/>
          <w:szCs w:val="22"/>
          <w:u w:val="single"/>
          <w:lang w:val="cs-CZ"/>
        </w:rPr>
      </w:pPr>
      <w:del w:id="108" w:author="AbbVie1" w:date="2025-05-13T09:50:00Z">
        <w:r w:rsidRPr="001B4A02">
          <w:rPr>
            <w:b w:val="0"/>
            <w:i w:val="0"/>
            <w:szCs w:val="22"/>
            <w:u w:val="single"/>
            <w:lang w:val="cs-CZ"/>
          </w:rPr>
          <w:delText>Uveitida</w:delText>
        </w:r>
        <w:r w:rsidR="00B12121" w:rsidRPr="001B4A02">
          <w:rPr>
            <w:b w:val="0"/>
            <w:i w:val="0"/>
            <w:szCs w:val="22"/>
            <w:u w:val="single"/>
            <w:lang w:val="cs-CZ"/>
          </w:rPr>
          <w:delText xml:space="preserve"> u </w:delText>
        </w:r>
        <w:r w:rsidRPr="001B4A02">
          <w:rPr>
            <w:b w:val="0"/>
            <w:i w:val="0"/>
            <w:szCs w:val="22"/>
            <w:u w:val="single"/>
            <w:lang w:val="cs-CZ"/>
          </w:rPr>
          <w:delText>pediatrických pacientů</w:delText>
        </w:r>
      </w:del>
    </w:p>
    <w:p w14:paraId="24FCED04" w14:textId="77777777" w:rsidR="00BE47E0" w:rsidRPr="001B4A02" w:rsidRDefault="00BE47E0" w:rsidP="00D84336">
      <w:pPr>
        <w:keepNext/>
        <w:rPr>
          <w:del w:id="109" w:author="AbbVie1" w:date="2025-05-13T09:50:00Z"/>
        </w:rPr>
      </w:pPr>
    </w:p>
    <w:p w14:paraId="161D81BB" w14:textId="77777777" w:rsidR="00BE47E0" w:rsidRPr="001B4A02" w:rsidRDefault="00000000" w:rsidP="00ED48A3">
      <w:pPr>
        <w:pStyle w:val="EMEANormal"/>
        <w:tabs>
          <w:tab w:val="clear" w:pos="562"/>
          <w:tab w:val="left" w:pos="708"/>
        </w:tabs>
        <w:suppressAutoHyphens w:val="0"/>
        <w:rPr>
          <w:del w:id="110" w:author="AbbVie1" w:date="2025-05-13T09:50:00Z"/>
          <w:lang w:val="cs-CZ"/>
        </w:rPr>
      </w:pPr>
      <w:del w:id="111" w:author="AbbVie1" w:date="2025-05-13T09:50:00Z">
        <w:r w:rsidRPr="001B4A02">
          <w:rPr>
            <w:szCs w:val="22"/>
            <w:lang w:val="cs-CZ"/>
          </w:rPr>
          <w:delText>Přípravek Humira je indikován k</w:delText>
        </w:r>
        <w:r w:rsidR="00057A14" w:rsidRPr="001B4A02">
          <w:rPr>
            <w:szCs w:val="22"/>
            <w:lang w:val="cs-CZ"/>
          </w:rPr>
          <w:delText> </w:delText>
        </w:r>
        <w:r w:rsidRPr="001B4A02">
          <w:rPr>
            <w:szCs w:val="22"/>
            <w:lang w:val="cs-CZ"/>
          </w:rPr>
          <w:delText>léčbě chronické neinfekční přední uveitidy</w:delText>
        </w:r>
        <w:r w:rsidR="00B12121" w:rsidRPr="001B4A02">
          <w:rPr>
            <w:szCs w:val="22"/>
            <w:lang w:val="cs-CZ"/>
          </w:rPr>
          <w:delText xml:space="preserve"> u </w:delText>
        </w:r>
        <w:r w:rsidR="00F13F07" w:rsidRPr="001B4A02">
          <w:rPr>
            <w:szCs w:val="22"/>
            <w:lang w:val="cs-CZ"/>
          </w:rPr>
          <w:delText xml:space="preserve">pediatrických </w:delText>
        </w:r>
        <w:r w:rsidRPr="001B4A02">
          <w:rPr>
            <w:szCs w:val="22"/>
            <w:lang w:val="cs-CZ"/>
          </w:rPr>
          <w:delText>pacientů ve věku od 2 let,</w:delText>
        </w:r>
        <w:r w:rsidR="00B12121" w:rsidRPr="001B4A02">
          <w:rPr>
            <w:szCs w:val="22"/>
            <w:lang w:val="cs-CZ"/>
          </w:rPr>
          <w:delText xml:space="preserve"> u </w:delText>
        </w:r>
        <w:r w:rsidR="00F13F07" w:rsidRPr="001B4A02">
          <w:rPr>
            <w:lang w:val="cs-CZ"/>
          </w:rPr>
          <w:delText>kterých reakce na konvenční léčbu nebyla dostatečná, nebo kteří ji netolerují nebo</w:delText>
        </w:r>
        <w:r w:rsidR="00B12121" w:rsidRPr="001B4A02">
          <w:rPr>
            <w:lang w:val="cs-CZ"/>
          </w:rPr>
          <w:delText xml:space="preserve"> u </w:delText>
        </w:r>
        <w:r w:rsidR="00F13F07" w:rsidRPr="001B4A02">
          <w:rPr>
            <w:lang w:val="cs-CZ"/>
          </w:rPr>
          <w:delText>nich</w:delText>
        </w:r>
        <w:r w:rsidR="00C057C9" w:rsidRPr="001B4A02">
          <w:rPr>
            <w:lang w:val="cs-CZ"/>
          </w:rPr>
          <w:delText>ž</w:delText>
        </w:r>
        <w:r w:rsidR="00F13F07" w:rsidRPr="001B4A02">
          <w:rPr>
            <w:lang w:val="cs-CZ"/>
          </w:rPr>
          <w:delText xml:space="preserve"> tato léčba není vhodná.</w:delText>
        </w:r>
      </w:del>
    </w:p>
    <w:p w14:paraId="05069D28" w14:textId="77777777" w:rsidR="00294685" w:rsidRPr="001B4A02" w:rsidRDefault="00294685" w:rsidP="00ED48A3">
      <w:pPr>
        <w:ind w:left="0" w:firstLine="0"/>
        <w:rPr>
          <w:del w:id="112" w:author="AbbVie1" w:date="2025-05-13T09:50:00Z"/>
        </w:rPr>
      </w:pPr>
    </w:p>
    <w:p w14:paraId="69C7C02D" w14:textId="77777777" w:rsidR="00073F8F" w:rsidRPr="001B4A02" w:rsidRDefault="00000000" w:rsidP="000A5426">
      <w:pPr>
        <w:keepNext/>
        <w:ind w:left="0" w:firstLine="0"/>
        <w:outlineLvl w:val="1"/>
        <w:rPr>
          <w:del w:id="113" w:author="AbbVie1" w:date="2025-05-13T09:50:00Z"/>
          <w:b/>
        </w:rPr>
      </w:pPr>
      <w:del w:id="114" w:author="AbbVie1" w:date="2025-05-13T09:50:00Z">
        <w:r w:rsidRPr="001B4A02">
          <w:rPr>
            <w:b/>
          </w:rPr>
          <w:delText>4.2</w:delText>
        </w:r>
        <w:r w:rsidRPr="001B4A02">
          <w:rPr>
            <w:b/>
          </w:rPr>
          <w:tab/>
          <w:delText>Dávkování</w:delText>
        </w:r>
        <w:r w:rsidR="002378E0">
          <w:rPr>
            <w:b/>
          </w:rPr>
          <w:delText xml:space="preserve"> a </w:delText>
        </w:r>
        <w:r w:rsidRPr="001B4A02">
          <w:rPr>
            <w:b/>
          </w:rPr>
          <w:delText>způsob podání</w:delText>
        </w:r>
      </w:del>
    </w:p>
    <w:p w14:paraId="2F24647A" w14:textId="77777777" w:rsidR="00073F8F" w:rsidRPr="001B4A02" w:rsidRDefault="00073F8F" w:rsidP="00D84336">
      <w:pPr>
        <w:keepNext/>
        <w:ind w:left="0" w:firstLine="0"/>
        <w:rPr>
          <w:del w:id="115" w:author="AbbVie1" w:date="2025-05-13T09:50:00Z"/>
        </w:rPr>
      </w:pPr>
    </w:p>
    <w:p w14:paraId="222F65E7" w14:textId="77777777" w:rsidR="00073F8F" w:rsidRPr="001B4A02" w:rsidRDefault="00000000" w:rsidP="00ED48A3">
      <w:pPr>
        <w:ind w:left="0" w:firstLine="0"/>
        <w:rPr>
          <w:del w:id="116" w:author="AbbVie1" w:date="2025-05-13T09:50:00Z"/>
        </w:rPr>
      </w:pPr>
      <w:del w:id="117" w:author="AbbVie1" w:date="2025-05-13T09:50:00Z">
        <w:r w:rsidRPr="001B4A02">
          <w:delText>Léčba přípravkem Humira má být zahájena</w:delText>
        </w:r>
        <w:r w:rsidR="002378E0">
          <w:delText xml:space="preserve"> a </w:delText>
        </w:r>
        <w:r w:rsidRPr="001B4A02">
          <w:delText>sledována odborným lékařem se zkušenostmi v diagnostice</w:delText>
        </w:r>
        <w:r w:rsidR="002378E0">
          <w:delText xml:space="preserve"> a </w:delText>
        </w:r>
        <w:r w:rsidRPr="001B4A02">
          <w:delText xml:space="preserve">léčbě </w:delText>
        </w:r>
        <w:r w:rsidR="004A00AF" w:rsidRPr="001B4A02">
          <w:delText>těch typů onemocnění, pro něž je přípravek Humira indikován</w:delText>
        </w:r>
        <w:r w:rsidRPr="001B4A02">
          <w:delText xml:space="preserve">. </w:delText>
        </w:r>
        <w:r w:rsidR="00F416D0" w:rsidRPr="001B4A02">
          <w:delText xml:space="preserve">Oftalmologům se doporučuje terapii přípravkem Humira před </w:delText>
        </w:r>
        <w:r w:rsidR="00211B70" w:rsidRPr="001B4A02">
          <w:delText xml:space="preserve">jejím </w:delText>
        </w:r>
        <w:r w:rsidR="00F416D0" w:rsidRPr="001B4A02">
          <w:delText>zahájením zkonzultovat s příslušným odborným lékařem</w:delText>
        </w:r>
        <w:r w:rsidR="00F416D0" w:rsidRPr="001B4A02">
          <w:rPr>
            <w:szCs w:val="22"/>
          </w:rPr>
          <w:delText xml:space="preserve"> </w:delText>
        </w:r>
        <w:r w:rsidR="00BE47E0" w:rsidRPr="001B4A02">
          <w:rPr>
            <w:szCs w:val="22"/>
          </w:rPr>
          <w:delText xml:space="preserve">(viz bod 4.4). </w:delText>
        </w:r>
        <w:r w:rsidRPr="001B4A02">
          <w:delText>Pacienti léčení přípravkem Humira musí být vybaveni speciální informační kartičkou.</w:delText>
        </w:r>
      </w:del>
    </w:p>
    <w:p w14:paraId="0F6510A2" w14:textId="77777777" w:rsidR="00073F8F" w:rsidRPr="001B4A02" w:rsidRDefault="00073F8F" w:rsidP="00ED48A3">
      <w:pPr>
        <w:ind w:left="0" w:firstLine="0"/>
        <w:rPr>
          <w:del w:id="118" w:author="AbbVie1" w:date="2025-05-13T09:50:00Z"/>
        </w:rPr>
      </w:pPr>
    </w:p>
    <w:p w14:paraId="333BD5CB" w14:textId="77777777" w:rsidR="00073F8F" w:rsidRPr="001B4A02" w:rsidRDefault="00000000" w:rsidP="00ED48A3">
      <w:pPr>
        <w:ind w:left="0" w:firstLine="0"/>
        <w:rPr>
          <w:del w:id="119" w:author="AbbVie1" w:date="2025-05-13T09:50:00Z"/>
        </w:rPr>
      </w:pPr>
      <w:del w:id="120" w:author="AbbVie1" w:date="2025-05-13T09:50:00Z">
        <w:r w:rsidRPr="001B4A02">
          <w:delText>Po řádném proškolení v podávání injekce si pacienti mohou přípravek Humira aplikovat sami, jestliže jejich lékař rozhodne, že je to vhodné,</w:delText>
        </w:r>
        <w:r w:rsidR="002378E0">
          <w:delText xml:space="preserve"> a </w:delText>
        </w:r>
        <w:r w:rsidRPr="001B4A02">
          <w:delText>je-li zajištěn podle potřeby lékařský dohled.</w:delText>
        </w:r>
      </w:del>
    </w:p>
    <w:p w14:paraId="19859667" w14:textId="77777777" w:rsidR="00C33C7C" w:rsidRPr="001B4A02" w:rsidRDefault="00C33C7C" w:rsidP="00ED48A3">
      <w:pPr>
        <w:ind w:left="0" w:firstLine="0"/>
        <w:rPr>
          <w:del w:id="121" w:author="AbbVie1" w:date="2025-05-13T09:50:00Z"/>
        </w:rPr>
      </w:pPr>
    </w:p>
    <w:p w14:paraId="34E7B619" w14:textId="77777777" w:rsidR="001E322F" w:rsidRPr="001B4A02" w:rsidRDefault="00000000" w:rsidP="001E322F">
      <w:pPr>
        <w:ind w:left="0" w:firstLine="0"/>
        <w:rPr>
          <w:del w:id="122" w:author="AbbVie1" w:date="2025-05-13T09:50:00Z"/>
        </w:rPr>
      </w:pPr>
      <w:del w:id="123" w:author="AbbVie1" w:date="2025-05-13T09:50:00Z">
        <w:r w:rsidRPr="001B4A02">
          <w:delText>Po dobu léčby přípravkem Humira je třeba upravit dávky ostatních současně užívaných léčiv (např. kortikosteroidů a/nebo imunomodulačních léků).</w:delText>
        </w:r>
      </w:del>
    </w:p>
    <w:p w14:paraId="3841BE44" w14:textId="77777777" w:rsidR="00D0073C" w:rsidRPr="001B4A02" w:rsidRDefault="00D0073C" w:rsidP="00ED48A3">
      <w:pPr>
        <w:ind w:left="0" w:firstLine="0"/>
        <w:rPr>
          <w:del w:id="124" w:author="AbbVie1" w:date="2025-05-13T09:50:00Z"/>
          <w:u w:val="single"/>
        </w:rPr>
      </w:pPr>
    </w:p>
    <w:p w14:paraId="4D2D00BB" w14:textId="77777777" w:rsidR="00D0073C" w:rsidRPr="001B4A02" w:rsidRDefault="00000000" w:rsidP="00D84336">
      <w:pPr>
        <w:keepNext/>
        <w:ind w:left="0" w:firstLine="0"/>
        <w:rPr>
          <w:del w:id="125" w:author="AbbVie1" w:date="2025-05-13T09:50:00Z"/>
          <w:u w:val="single"/>
        </w:rPr>
      </w:pPr>
      <w:del w:id="126" w:author="AbbVie1" w:date="2025-05-13T09:50:00Z">
        <w:r w:rsidRPr="001B4A02">
          <w:rPr>
            <w:u w:val="single"/>
          </w:rPr>
          <w:delText>Dávkování</w:delText>
        </w:r>
      </w:del>
    </w:p>
    <w:p w14:paraId="5281F174" w14:textId="77777777" w:rsidR="00E73ED9" w:rsidRPr="001B4A02" w:rsidRDefault="00E73ED9" w:rsidP="00D84336">
      <w:pPr>
        <w:pStyle w:val="EMEANormal"/>
        <w:keepNext/>
        <w:rPr>
          <w:del w:id="127" w:author="AbbVie1" w:date="2025-05-13T09:50:00Z"/>
          <w:lang w:val="cs-CZ"/>
        </w:rPr>
      </w:pPr>
    </w:p>
    <w:p w14:paraId="5E18E214" w14:textId="77777777" w:rsidR="00A322A3" w:rsidRPr="001B4A02" w:rsidRDefault="00000000" w:rsidP="00D84336">
      <w:pPr>
        <w:pStyle w:val="EMEANormal"/>
        <w:keepNext/>
        <w:rPr>
          <w:del w:id="128" w:author="AbbVie1" w:date="2025-05-13T09:50:00Z"/>
          <w:u w:val="single"/>
          <w:lang w:val="cs-CZ"/>
        </w:rPr>
      </w:pPr>
      <w:del w:id="129" w:author="AbbVie1" w:date="2025-05-13T09:50:00Z">
        <w:r w:rsidRPr="001B4A02">
          <w:rPr>
            <w:u w:val="single"/>
            <w:lang w:val="cs-CZ"/>
          </w:rPr>
          <w:delText>Pediatrická populace</w:delText>
        </w:r>
      </w:del>
    </w:p>
    <w:p w14:paraId="7BA60B87" w14:textId="77777777" w:rsidR="00A322A3" w:rsidRPr="001B4A02" w:rsidRDefault="00A322A3" w:rsidP="00D84336">
      <w:pPr>
        <w:pStyle w:val="EMEANormal"/>
        <w:keepNext/>
        <w:rPr>
          <w:del w:id="130" w:author="AbbVie1" w:date="2025-05-13T09:50:00Z"/>
          <w:u w:val="single"/>
          <w:lang w:val="cs-CZ"/>
        </w:rPr>
      </w:pPr>
    </w:p>
    <w:p w14:paraId="2C153A52" w14:textId="77777777" w:rsidR="00A322A3" w:rsidRPr="001B4A02" w:rsidRDefault="00000000" w:rsidP="00D84336">
      <w:pPr>
        <w:pStyle w:val="EMEANormal"/>
        <w:keepNext/>
        <w:rPr>
          <w:del w:id="131" w:author="AbbVie1" w:date="2025-05-13T09:50:00Z"/>
          <w:i/>
          <w:lang w:val="cs-CZ"/>
        </w:rPr>
      </w:pPr>
      <w:del w:id="132" w:author="AbbVie1" w:date="2025-05-13T09:50:00Z">
        <w:r w:rsidRPr="001B4A02">
          <w:rPr>
            <w:i/>
            <w:lang w:val="cs-CZ"/>
          </w:rPr>
          <w:delText>Juvenilní idiopatická artritida</w:delText>
        </w:r>
      </w:del>
    </w:p>
    <w:p w14:paraId="456B346E" w14:textId="77777777" w:rsidR="00A322A3" w:rsidRPr="001B4A02" w:rsidRDefault="00A322A3" w:rsidP="00D84336">
      <w:pPr>
        <w:pStyle w:val="EMEANormal"/>
        <w:keepNext/>
        <w:rPr>
          <w:del w:id="133" w:author="AbbVie1" w:date="2025-05-13T09:50:00Z"/>
          <w:u w:val="single"/>
          <w:lang w:val="cs-CZ"/>
        </w:rPr>
      </w:pPr>
    </w:p>
    <w:p w14:paraId="3CC7353B" w14:textId="77777777" w:rsidR="008F6FE1" w:rsidRPr="001B4A02" w:rsidRDefault="00000000" w:rsidP="00D84336">
      <w:pPr>
        <w:pStyle w:val="EMEANormal"/>
        <w:keepNext/>
        <w:rPr>
          <w:del w:id="134" w:author="AbbVie1" w:date="2025-05-13T09:50:00Z"/>
          <w:i/>
          <w:u w:val="single"/>
          <w:lang w:val="cs-CZ"/>
        </w:rPr>
      </w:pPr>
      <w:del w:id="135" w:author="AbbVie1" w:date="2025-05-13T09:50:00Z">
        <w:r w:rsidRPr="001B4A02">
          <w:rPr>
            <w:i/>
            <w:u w:val="single"/>
            <w:lang w:val="cs-CZ"/>
          </w:rPr>
          <w:delText xml:space="preserve">Polyartikulární juvenilní idiopatická artritida </w:delText>
        </w:r>
        <w:r w:rsidR="00B657DD" w:rsidRPr="001B4A02">
          <w:rPr>
            <w:i/>
            <w:u w:val="single"/>
            <w:lang w:val="cs-CZ"/>
          </w:rPr>
          <w:delText>od</w:delText>
        </w:r>
        <w:r w:rsidRPr="001B4A02">
          <w:rPr>
            <w:i/>
            <w:u w:val="single"/>
            <w:lang w:val="cs-CZ"/>
          </w:rPr>
          <w:delText xml:space="preserve"> </w:delText>
        </w:r>
        <w:r w:rsidR="00153E60" w:rsidRPr="001B4A02">
          <w:rPr>
            <w:i/>
            <w:u w:val="single"/>
            <w:lang w:val="cs-CZ"/>
          </w:rPr>
          <w:delText>2</w:delText>
        </w:r>
        <w:r w:rsidRPr="001B4A02">
          <w:rPr>
            <w:i/>
            <w:u w:val="single"/>
            <w:lang w:val="cs-CZ"/>
          </w:rPr>
          <w:delText xml:space="preserve"> let</w:delText>
        </w:r>
      </w:del>
    </w:p>
    <w:p w14:paraId="4151E709" w14:textId="77777777" w:rsidR="008F6FE1" w:rsidRPr="001B4A02" w:rsidRDefault="008F6FE1" w:rsidP="00D84336">
      <w:pPr>
        <w:pStyle w:val="EMEANormal"/>
        <w:keepNext/>
        <w:rPr>
          <w:del w:id="136" w:author="AbbVie1" w:date="2025-05-13T09:50:00Z"/>
          <w:lang w:val="cs-CZ"/>
        </w:rPr>
      </w:pPr>
    </w:p>
    <w:p w14:paraId="7E190C7F" w14:textId="77777777" w:rsidR="002A7C84" w:rsidRPr="001B4A02" w:rsidRDefault="00000000" w:rsidP="002A7C84">
      <w:pPr>
        <w:ind w:left="0" w:firstLine="0"/>
        <w:rPr>
          <w:del w:id="137" w:author="AbbVie1" w:date="2025-05-13T09:50:00Z"/>
        </w:rPr>
      </w:pPr>
      <w:del w:id="138" w:author="AbbVie1" w:date="2025-05-13T09:50:00Z">
        <w:r w:rsidRPr="001B4A02">
          <w:delText xml:space="preserve">Doporučená dávka přípravku Humira pro pacienty s polyartikulární juvenilní idiopatickou artritidou, ve věku od </w:delText>
        </w:r>
        <w:r w:rsidR="00153E60" w:rsidRPr="001B4A02">
          <w:delText>2</w:delText>
        </w:r>
        <w:r w:rsidR="008F6FE1" w:rsidRPr="001B4A02">
          <w:delText xml:space="preserve"> </w:delText>
        </w:r>
        <w:r w:rsidRPr="001B4A02">
          <w:delText>let</w:delText>
        </w:r>
        <w:r w:rsidR="001E322F" w:rsidRPr="001B4A02">
          <w:delText>,</w:delText>
        </w:r>
        <w:r w:rsidR="008F6FE1" w:rsidRPr="001B4A02">
          <w:delText xml:space="preserve"> </w:delText>
        </w:r>
        <w:r w:rsidRPr="001B4A02">
          <w:delText xml:space="preserve">vychází z tělesné hmotnosti (tabulka 1). </w:delText>
        </w:r>
        <w:r w:rsidR="005A3629" w:rsidRPr="001B4A02">
          <w:delText xml:space="preserve">Přípravek </w:delText>
        </w:r>
        <w:r w:rsidRPr="001B4A02">
          <w:delText xml:space="preserve">Humira se podává </w:delText>
        </w:r>
        <w:r w:rsidR="00EA5E2D" w:rsidRPr="001B4A02">
          <w:delText>jednou za dva týdny</w:delText>
        </w:r>
        <w:r w:rsidRPr="001B4A02">
          <w:delText xml:space="preserve"> subkutánní injekcí. </w:delText>
        </w:r>
      </w:del>
    </w:p>
    <w:p w14:paraId="2201683D" w14:textId="77777777" w:rsidR="002A7C84" w:rsidRPr="001B4A02" w:rsidRDefault="002A7C84" w:rsidP="002A7C84">
      <w:pPr>
        <w:ind w:left="0" w:firstLine="0"/>
        <w:rPr>
          <w:del w:id="139" w:author="AbbVie1" w:date="2025-05-13T09:50:00Z"/>
        </w:rPr>
      </w:pPr>
    </w:p>
    <w:p w14:paraId="2B08A8A1" w14:textId="77777777" w:rsidR="002A7C84" w:rsidRPr="001B4A02" w:rsidRDefault="00000000" w:rsidP="00D84336">
      <w:pPr>
        <w:keepNext/>
        <w:ind w:left="0" w:firstLine="0"/>
        <w:jc w:val="center"/>
        <w:rPr>
          <w:del w:id="140" w:author="AbbVie1" w:date="2025-05-13T09:50:00Z"/>
          <w:b/>
        </w:rPr>
      </w:pPr>
      <w:del w:id="141" w:author="AbbVie1" w:date="2025-05-13T09:50:00Z">
        <w:r w:rsidRPr="001B4A02">
          <w:rPr>
            <w:b/>
          </w:rPr>
          <w:delText>Tabulka 1. Dávka přípravku Humira u</w:delText>
        </w:r>
        <w:r w:rsidR="000D1F8F" w:rsidRPr="001B4A02">
          <w:rPr>
            <w:b/>
          </w:rPr>
          <w:delText> </w:delText>
        </w:r>
        <w:r w:rsidRPr="001B4A02">
          <w:rPr>
            <w:b/>
          </w:rPr>
          <w:delText>pacientů s polyartikulární juvenilní idiopatickou artritidou</w:delText>
        </w:r>
      </w:del>
    </w:p>
    <w:p w14:paraId="0639F25F" w14:textId="77777777" w:rsidR="002A7C84" w:rsidRPr="001B4A02" w:rsidRDefault="002A7C84" w:rsidP="00D84336">
      <w:pPr>
        <w:keepNext/>
        <w:ind w:left="0" w:firstLine="0"/>
        <w:jc w:val="center"/>
        <w:rPr>
          <w:del w:id="142" w:author="AbbVie1" w:date="2025-05-13T09:50:00Z"/>
          <w:b/>
        </w:rPr>
      </w:pPr>
    </w:p>
    <w:tbl>
      <w:tblPr>
        <w:tblW w:w="7509" w:type="dxa"/>
        <w:jc w:val="center"/>
        <w:tblLayout w:type="fixed"/>
        <w:tblLook w:val="0000" w:firstRow="0" w:lastRow="0" w:firstColumn="0" w:lastColumn="0" w:noHBand="0" w:noVBand="0"/>
      </w:tblPr>
      <w:tblGrid>
        <w:gridCol w:w="3401"/>
        <w:gridCol w:w="4108"/>
      </w:tblGrid>
      <w:tr w:rsidR="00534A2D" w14:paraId="63DE2C0D" w14:textId="77777777" w:rsidTr="001E322F">
        <w:trPr>
          <w:tblHeader/>
          <w:jc w:val="center"/>
          <w:del w:id="143" w:author="AbbVie1" w:date="2025-05-13T09:50:00Z"/>
        </w:trPr>
        <w:tc>
          <w:tcPr>
            <w:tcW w:w="3401" w:type="dxa"/>
            <w:tcBorders>
              <w:top w:val="single" w:sz="4" w:space="0" w:color="auto"/>
              <w:bottom w:val="single" w:sz="4" w:space="0" w:color="auto"/>
            </w:tcBorders>
            <w:shd w:val="clear" w:color="auto" w:fill="auto"/>
          </w:tcPr>
          <w:p w14:paraId="7813DDBB" w14:textId="77777777" w:rsidR="002A7C84" w:rsidRPr="001B4A02" w:rsidRDefault="00000000" w:rsidP="00A5191B">
            <w:pPr>
              <w:pStyle w:val="TableLeft"/>
              <w:jc w:val="center"/>
              <w:rPr>
                <w:del w:id="144" w:author="AbbVie1" w:date="2025-05-13T09:50:00Z"/>
                <w:b/>
                <w:sz w:val="22"/>
                <w:szCs w:val="22"/>
                <w:lang w:val="cs-CZ"/>
              </w:rPr>
            </w:pPr>
            <w:del w:id="145" w:author="AbbVie1" w:date="2025-05-13T09:50:00Z">
              <w:r w:rsidRPr="001B4A02">
                <w:rPr>
                  <w:b/>
                  <w:sz w:val="22"/>
                  <w:szCs w:val="22"/>
                  <w:lang w:val="cs-CZ"/>
                </w:rPr>
                <w:delText>Hmotnost pacienta</w:delText>
              </w:r>
            </w:del>
          </w:p>
        </w:tc>
        <w:tc>
          <w:tcPr>
            <w:tcW w:w="4108" w:type="dxa"/>
            <w:tcBorders>
              <w:top w:val="single" w:sz="4" w:space="0" w:color="auto"/>
              <w:bottom w:val="single" w:sz="4" w:space="0" w:color="auto"/>
            </w:tcBorders>
            <w:shd w:val="clear" w:color="auto" w:fill="auto"/>
          </w:tcPr>
          <w:p w14:paraId="2D2E4A1E" w14:textId="77777777" w:rsidR="002A7C84" w:rsidRPr="001B4A02" w:rsidRDefault="00000000" w:rsidP="00A5191B">
            <w:pPr>
              <w:pStyle w:val="TableLeft"/>
              <w:jc w:val="center"/>
              <w:rPr>
                <w:del w:id="146" w:author="AbbVie1" w:date="2025-05-13T09:50:00Z"/>
                <w:b/>
                <w:sz w:val="22"/>
                <w:szCs w:val="22"/>
                <w:lang w:val="cs-CZ"/>
              </w:rPr>
            </w:pPr>
            <w:del w:id="147" w:author="AbbVie1" w:date="2025-05-13T09:50:00Z">
              <w:r w:rsidRPr="001B4A02">
                <w:rPr>
                  <w:b/>
                  <w:sz w:val="22"/>
                  <w:szCs w:val="22"/>
                  <w:lang w:val="cs-CZ"/>
                </w:rPr>
                <w:delText>Režim dávkování</w:delText>
              </w:r>
            </w:del>
          </w:p>
        </w:tc>
      </w:tr>
      <w:tr w:rsidR="00534A2D" w14:paraId="26C1A18D" w14:textId="77777777" w:rsidTr="001E322F">
        <w:trPr>
          <w:tblHeader/>
          <w:jc w:val="center"/>
          <w:del w:id="148" w:author="AbbVie1" w:date="2025-05-13T09:50:00Z"/>
        </w:trPr>
        <w:tc>
          <w:tcPr>
            <w:tcW w:w="3401" w:type="dxa"/>
            <w:tcBorders>
              <w:top w:val="single" w:sz="4" w:space="0" w:color="auto"/>
              <w:bottom w:val="single" w:sz="4" w:space="0" w:color="auto"/>
            </w:tcBorders>
            <w:shd w:val="clear" w:color="auto" w:fill="auto"/>
          </w:tcPr>
          <w:p w14:paraId="5D4CCFAE" w14:textId="77777777" w:rsidR="002A7C84" w:rsidRPr="001B4A02" w:rsidRDefault="00000000" w:rsidP="00A5191B">
            <w:pPr>
              <w:pStyle w:val="TableLeft"/>
              <w:jc w:val="center"/>
              <w:rPr>
                <w:del w:id="149" w:author="AbbVie1" w:date="2025-05-13T09:50:00Z"/>
                <w:b/>
                <w:sz w:val="22"/>
                <w:szCs w:val="22"/>
                <w:lang w:val="cs-CZ"/>
              </w:rPr>
            </w:pPr>
            <w:del w:id="150" w:author="AbbVie1" w:date="2025-05-13T09:50:00Z">
              <w:r w:rsidRPr="001B4A02">
                <w:rPr>
                  <w:sz w:val="22"/>
                  <w:szCs w:val="22"/>
                  <w:lang w:val="cs-CZ"/>
                </w:rPr>
                <w:delText>10</w:delText>
              </w:r>
              <w:r w:rsidR="002767FC">
                <w:rPr>
                  <w:sz w:val="22"/>
                  <w:szCs w:val="22"/>
                  <w:lang w:val="cs-CZ"/>
                </w:rPr>
                <w:delText> kg</w:delText>
              </w:r>
              <w:r w:rsidRPr="001B4A02">
                <w:rPr>
                  <w:sz w:val="22"/>
                  <w:szCs w:val="22"/>
                  <w:lang w:val="cs-CZ"/>
                </w:rPr>
                <w:delText xml:space="preserve"> až &lt;</w:delText>
              </w:r>
              <w:r w:rsidR="00057A14"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4108" w:type="dxa"/>
            <w:tcBorders>
              <w:top w:val="single" w:sz="4" w:space="0" w:color="auto"/>
              <w:bottom w:val="single" w:sz="4" w:space="0" w:color="auto"/>
            </w:tcBorders>
            <w:shd w:val="clear" w:color="auto" w:fill="auto"/>
          </w:tcPr>
          <w:p w14:paraId="66C821B2" w14:textId="77777777" w:rsidR="002A7C84" w:rsidRPr="001B4A02" w:rsidRDefault="00000000" w:rsidP="00A5191B">
            <w:pPr>
              <w:pStyle w:val="TableLeft"/>
              <w:jc w:val="center"/>
              <w:rPr>
                <w:del w:id="151" w:author="AbbVie1" w:date="2025-05-13T09:50:00Z"/>
                <w:b/>
                <w:sz w:val="22"/>
                <w:szCs w:val="22"/>
                <w:lang w:val="cs-CZ"/>
              </w:rPr>
            </w:pPr>
            <w:del w:id="152" w:author="AbbVie1" w:date="2025-05-13T09:50:00Z">
              <w:r w:rsidRPr="001B4A02">
                <w:rPr>
                  <w:sz w:val="22"/>
                  <w:szCs w:val="22"/>
                  <w:lang w:val="cs-CZ"/>
                </w:rPr>
                <w:delText>20 mg jednou za dva týdny</w:delText>
              </w:r>
            </w:del>
          </w:p>
        </w:tc>
      </w:tr>
      <w:tr w:rsidR="00534A2D" w14:paraId="608E3694" w14:textId="77777777" w:rsidTr="001E322F">
        <w:trPr>
          <w:tblHeader/>
          <w:jc w:val="center"/>
          <w:del w:id="153" w:author="AbbVie1" w:date="2025-05-13T09:50:00Z"/>
        </w:trPr>
        <w:tc>
          <w:tcPr>
            <w:tcW w:w="3401" w:type="dxa"/>
            <w:tcBorders>
              <w:top w:val="single" w:sz="4" w:space="0" w:color="auto"/>
              <w:bottom w:val="single" w:sz="4" w:space="0" w:color="auto"/>
            </w:tcBorders>
            <w:shd w:val="clear" w:color="auto" w:fill="auto"/>
          </w:tcPr>
          <w:p w14:paraId="6D5F69AC" w14:textId="77777777" w:rsidR="002A7C84" w:rsidRPr="001B4A02" w:rsidRDefault="00000000" w:rsidP="00D84336">
            <w:pPr>
              <w:pStyle w:val="TableLeft"/>
              <w:keepNext w:val="0"/>
              <w:jc w:val="center"/>
              <w:rPr>
                <w:del w:id="154" w:author="AbbVie1" w:date="2025-05-13T09:50:00Z"/>
                <w:b/>
                <w:sz w:val="22"/>
                <w:szCs w:val="22"/>
                <w:lang w:val="cs-CZ"/>
              </w:rPr>
            </w:pPr>
            <w:del w:id="155" w:author="AbbVie1" w:date="2025-05-13T09:50:00Z">
              <w:r w:rsidRPr="001B4A02">
                <w:rPr>
                  <w:sz w:val="22"/>
                  <w:szCs w:val="22"/>
                  <w:lang w:val="cs-CZ"/>
                </w:rPr>
                <w:delText>≥</w:delText>
              </w:r>
              <w:r w:rsidR="00057A14"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4108" w:type="dxa"/>
            <w:tcBorders>
              <w:top w:val="single" w:sz="4" w:space="0" w:color="auto"/>
              <w:bottom w:val="single" w:sz="4" w:space="0" w:color="auto"/>
            </w:tcBorders>
            <w:shd w:val="clear" w:color="auto" w:fill="auto"/>
          </w:tcPr>
          <w:p w14:paraId="0065E852" w14:textId="77777777" w:rsidR="002A7C84" w:rsidRPr="001B4A02" w:rsidRDefault="00000000" w:rsidP="00D84336">
            <w:pPr>
              <w:pStyle w:val="TableLeft"/>
              <w:keepNext w:val="0"/>
              <w:jc w:val="center"/>
              <w:rPr>
                <w:del w:id="156" w:author="AbbVie1" w:date="2025-05-13T09:50:00Z"/>
                <w:b/>
                <w:sz w:val="22"/>
                <w:szCs w:val="22"/>
                <w:lang w:val="cs-CZ"/>
              </w:rPr>
            </w:pPr>
            <w:del w:id="157" w:author="AbbVie1" w:date="2025-05-13T09:50:00Z">
              <w:r w:rsidRPr="001B4A02">
                <w:rPr>
                  <w:sz w:val="22"/>
                  <w:szCs w:val="22"/>
                  <w:lang w:val="cs-CZ"/>
                </w:rPr>
                <w:delText>40</w:delText>
              </w:r>
              <w:r w:rsidR="00294902">
                <w:rPr>
                  <w:sz w:val="22"/>
                  <w:szCs w:val="22"/>
                  <w:lang w:val="cs-CZ"/>
                </w:rPr>
                <w:delText> mg</w:delText>
              </w:r>
              <w:r w:rsidRPr="001B4A02">
                <w:rPr>
                  <w:sz w:val="22"/>
                  <w:szCs w:val="22"/>
                  <w:lang w:val="cs-CZ"/>
                </w:rPr>
                <w:delText xml:space="preserve"> jednou za dva týdny</w:delText>
              </w:r>
            </w:del>
          </w:p>
        </w:tc>
      </w:tr>
    </w:tbl>
    <w:p w14:paraId="4AD0ACB9" w14:textId="77777777" w:rsidR="00A7791A" w:rsidRPr="001B4A02" w:rsidRDefault="00A7791A" w:rsidP="00D84336">
      <w:pPr>
        <w:ind w:left="0" w:firstLine="0"/>
        <w:rPr>
          <w:del w:id="158" w:author="AbbVie1" w:date="2025-05-13T09:50:00Z"/>
        </w:rPr>
      </w:pPr>
    </w:p>
    <w:p w14:paraId="427F1F15" w14:textId="77777777" w:rsidR="00073F8F" w:rsidRPr="001B4A02" w:rsidRDefault="00000000" w:rsidP="00ED48A3">
      <w:pPr>
        <w:ind w:left="0" w:firstLine="0"/>
        <w:rPr>
          <w:del w:id="159" w:author="AbbVie1" w:date="2025-05-13T09:50:00Z"/>
        </w:rPr>
      </w:pPr>
      <w:del w:id="160" w:author="AbbVie1" w:date="2025-05-13T09:50:00Z">
        <w:r w:rsidRPr="001B4A02">
          <w:delText>Dostupné údaje naznačují, že klinické odpovědi je obvykle dosaženo v průběhu 12 týdnů léčby. Pokračování v léčbě je nutno pečlivě zvážit</w:delText>
        </w:r>
        <w:r w:rsidR="00B12121" w:rsidRPr="001B4A02">
          <w:delText xml:space="preserve"> u </w:delText>
        </w:r>
        <w:r w:rsidRPr="001B4A02">
          <w:delText>těch pacientů,</w:delText>
        </w:r>
        <w:r w:rsidR="00B12121" w:rsidRPr="001B4A02">
          <w:delText xml:space="preserve"> u </w:delText>
        </w:r>
        <w:r w:rsidRPr="001B4A02">
          <w:delText>kterých nedo</w:delText>
        </w:r>
        <w:r w:rsidR="00BD4EAC" w:rsidRPr="001B4A02">
          <w:delText>šlo během této doby k odpovědi.</w:delText>
        </w:r>
      </w:del>
    </w:p>
    <w:p w14:paraId="21D8355C" w14:textId="77777777" w:rsidR="00153E60" w:rsidRPr="001B4A02" w:rsidRDefault="00153E60" w:rsidP="00ED48A3">
      <w:pPr>
        <w:ind w:left="0" w:firstLine="0"/>
        <w:rPr>
          <w:del w:id="161" w:author="AbbVie1" w:date="2025-05-13T09:50:00Z"/>
        </w:rPr>
      </w:pPr>
    </w:p>
    <w:p w14:paraId="7E83BDE5" w14:textId="77777777" w:rsidR="0069579C" w:rsidRPr="001B4A02" w:rsidRDefault="00000000" w:rsidP="00ED48A3">
      <w:pPr>
        <w:rPr>
          <w:del w:id="162" w:author="AbbVie1" w:date="2025-05-13T09:50:00Z"/>
          <w:color w:val="000000"/>
        </w:rPr>
      </w:pPr>
      <w:del w:id="163" w:author="AbbVie1" w:date="2025-05-13T09:50:00Z">
        <w:r w:rsidRPr="001B4A02">
          <w:rPr>
            <w:color w:val="000000"/>
          </w:rPr>
          <w:delText>Použití přípravku Humira</w:delText>
        </w:r>
        <w:r w:rsidR="00B12121" w:rsidRPr="001B4A02">
          <w:rPr>
            <w:color w:val="000000"/>
          </w:rPr>
          <w:delText xml:space="preserve"> u </w:delText>
        </w:r>
        <w:r w:rsidR="007D1E4A" w:rsidRPr="001B4A02">
          <w:rPr>
            <w:color w:val="000000"/>
          </w:rPr>
          <w:delText xml:space="preserve">pacientů </w:delText>
        </w:r>
        <w:r w:rsidRPr="001B4A02">
          <w:rPr>
            <w:color w:val="000000"/>
          </w:rPr>
          <w:delText>mladších než 2 roky není v této indikaci relevantní.</w:delText>
        </w:r>
      </w:del>
    </w:p>
    <w:p w14:paraId="1F18F23B" w14:textId="77777777" w:rsidR="006C1EAF" w:rsidRPr="001B4A02" w:rsidRDefault="006C1EAF" w:rsidP="00ED48A3">
      <w:pPr>
        <w:ind w:left="0" w:firstLine="0"/>
        <w:rPr>
          <w:del w:id="164" w:author="AbbVie1" w:date="2025-05-13T09:50:00Z"/>
        </w:rPr>
      </w:pPr>
    </w:p>
    <w:p w14:paraId="1B11749D" w14:textId="77777777" w:rsidR="009C7AC1" w:rsidRPr="001B4A02" w:rsidRDefault="00000000" w:rsidP="009C7AC1">
      <w:pPr>
        <w:ind w:left="0" w:firstLine="0"/>
        <w:rPr>
          <w:del w:id="165" w:author="AbbVie1" w:date="2025-05-13T09:50:00Z"/>
        </w:rPr>
      </w:pPr>
      <w:del w:id="166" w:author="AbbVie1" w:date="2025-05-13T09:50:00Z">
        <w:r w:rsidRPr="001B4A02">
          <w:delText xml:space="preserve">Přípravek Humira je k dispozici v dalších silách a/nebo </w:delText>
        </w:r>
        <w:r w:rsidR="00B952F4">
          <w:delText>typech balení</w:delText>
        </w:r>
        <w:r w:rsidRPr="001B4A02">
          <w:delText xml:space="preserve"> v závislosti na individuálních potřebách léčby.</w:delText>
        </w:r>
      </w:del>
    </w:p>
    <w:p w14:paraId="07B360D6" w14:textId="77777777" w:rsidR="009C7AC1" w:rsidRPr="001B4A02" w:rsidRDefault="009C7AC1" w:rsidP="00ED48A3">
      <w:pPr>
        <w:ind w:left="0" w:firstLine="0"/>
        <w:rPr>
          <w:del w:id="167" w:author="AbbVie1" w:date="2025-05-13T09:50:00Z"/>
        </w:rPr>
      </w:pPr>
    </w:p>
    <w:p w14:paraId="0796B542" w14:textId="77777777" w:rsidR="00A858EA" w:rsidRPr="001B4A02" w:rsidRDefault="00000000" w:rsidP="00ED48A3">
      <w:pPr>
        <w:keepNext/>
        <w:autoSpaceDE w:val="0"/>
        <w:autoSpaceDN w:val="0"/>
        <w:rPr>
          <w:del w:id="168" w:author="AbbVie1" w:date="2025-05-13T09:50:00Z"/>
          <w:i/>
          <w:u w:val="single"/>
        </w:rPr>
      </w:pPr>
      <w:del w:id="169" w:author="AbbVie1" w:date="2025-05-13T09:50:00Z">
        <w:r w:rsidRPr="001B4A02">
          <w:rPr>
            <w:i/>
            <w:u w:val="single"/>
          </w:rPr>
          <w:delText>Entezopatická artritida</w:delText>
        </w:r>
      </w:del>
    </w:p>
    <w:p w14:paraId="3BB44B57" w14:textId="77777777" w:rsidR="00A322A3" w:rsidRPr="001B4A02" w:rsidRDefault="00A322A3" w:rsidP="00ED48A3">
      <w:pPr>
        <w:keepNext/>
        <w:ind w:left="0" w:firstLine="0"/>
        <w:rPr>
          <w:del w:id="170" w:author="AbbVie1" w:date="2025-05-13T09:50:00Z"/>
        </w:rPr>
      </w:pPr>
    </w:p>
    <w:p w14:paraId="0EBB2273" w14:textId="77777777" w:rsidR="00596AAF" w:rsidRPr="001B4A02" w:rsidRDefault="00000000" w:rsidP="00596AAF">
      <w:pPr>
        <w:ind w:left="0" w:firstLine="0"/>
        <w:rPr>
          <w:del w:id="171" w:author="AbbVie1" w:date="2025-05-13T09:50:00Z"/>
        </w:rPr>
      </w:pPr>
      <w:del w:id="172" w:author="AbbVie1" w:date="2025-05-13T09:50:00Z">
        <w:r w:rsidRPr="001B4A02">
          <w:delText xml:space="preserve">Doporučená dávka </w:delText>
        </w:r>
        <w:r w:rsidR="00220665" w:rsidRPr="001B4A02">
          <w:delText xml:space="preserve">přípravku </w:delText>
        </w:r>
        <w:r w:rsidRPr="001B4A02">
          <w:delText>Humir</w:delText>
        </w:r>
        <w:r w:rsidR="00220665" w:rsidRPr="001B4A02">
          <w:delText>a</w:delText>
        </w:r>
        <w:r w:rsidR="00B12121" w:rsidRPr="001B4A02">
          <w:delText xml:space="preserve"> u </w:delText>
        </w:r>
        <w:r w:rsidRPr="001B4A02">
          <w:delText>pacientů s ente</w:delText>
        </w:r>
        <w:r w:rsidR="00A858EA" w:rsidRPr="001B4A02">
          <w:delText>zopatickou</w:delText>
        </w:r>
        <w:r w:rsidR="00F86ED9" w:rsidRPr="001B4A02">
          <w:delText xml:space="preserve"> </w:delText>
        </w:r>
        <w:r w:rsidRPr="001B4A02">
          <w:delText>artritidou ve věku od 6 let</w:delText>
        </w:r>
        <w:r w:rsidR="003E6CB5" w:rsidRPr="001B4A02">
          <w:delText xml:space="preserve"> </w:delText>
        </w:r>
        <w:r w:rsidRPr="001B4A02">
          <w:delText>vychází z tělesné hmotnosti (tabulka 2).</w:delText>
        </w:r>
        <w:r w:rsidR="003E6CB5" w:rsidRPr="001B4A02">
          <w:delText xml:space="preserve"> </w:delText>
        </w:r>
        <w:r w:rsidR="005A3629" w:rsidRPr="001B4A02">
          <w:delText xml:space="preserve">Přípravek </w:delText>
        </w:r>
        <w:r w:rsidRPr="001B4A02">
          <w:delText xml:space="preserve">Humira se podává </w:delText>
        </w:r>
        <w:r w:rsidR="00EA5E2D" w:rsidRPr="001B4A02">
          <w:delText>jednou za dva týdny</w:delText>
        </w:r>
        <w:r w:rsidR="00D84336" w:rsidRPr="001B4A02">
          <w:delText xml:space="preserve"> subkutánní injekcí.</w:delText>
        </w:r>
      </w:del>
    </w:p>
    <w:p w14:paraId="3C254116" w14:textId="77777777" w:rsidR="00596AAF" w:rsidRPr="001B4A02" w:rsidRDefault="00596AAF" w:rsidP="00596AAF">
      <w:pPr>
        <w:ind w:left="0" w:firstLine="0"/>
        <w:rPr>
          <w:del w:id="173" w:author="AbbVie1" w:date="2025-05-13T09:50:00Z"/>
        </w:rPr>
      </w:pPr>
    </w:p>
    <w:p w14:paraId="7C3EC261" w14:textId="77777777" w:rsidR="00596AAF" w:rsidRPr="001B4A02" w:rsidRDefault="00000000" w:rsidP="00D84336">
      <w:pPr>
        <w:keepNext/>
        <w:ind w:left="0" w:firstLine="0"/>
        <w:jc w:val="center"/>
        <w:rPr>
          <w:del w:id="174" w:author="AbbVie1" w:date="2025-05-13T09:50:00Z"/>
          <w:b/>
        </w:rPr>
      </w:pPr>
      <w:del w:id="175" w:author="AbbVie1" w:date="2025-05-13T09:50:00Z">
        <w:r w:rsidRPr="001B4A02">
          <w:rPr>
            <w:b/>
          </w:rPr>
          <w:delText>Tabulka 2. Dávka přípravku Humira u</w:delText>
        </w:r>
        <w:r w:rsidR="000D1F8F" w:rsidRPr="001B4A02">
          <w:rPr>
            <w:b/>
          </w:rPr>
          <w:delText> </w:delText>
        </w:r>
        <w:r w:rsidRPr="001B4A02">
          <w:rPr>
            <w:b/>
          </w:rPr>
          <w:delText>pacientů s entezopatickou artritidou</w:delText>
        </w:r>
      </w:del>
    </w:p>
    <w:p w14:paraId="0EB3F7D4" w14:textId="77777777" w:rsidR="00596AAF" w:rsidRPr="001B4A02" w:rsidRDefault="00596AAF" w:rsidP="00D84336">
      <w:pPr>
        <w:keepNext/>
        <w:ind w:left="0" w:firstLine="0"/>
        <w:jc w:val="center"/>
        <w:rPr>
          <w:del w:id="176" w:author="AbbVie1" w:date="2025-05-13T09:50:00Z"/>
          <w:b/>
        </w:rPr>
      </w:pPr>
    </w:p>
    <w:tbl>
      <w:tblPr>
        <w:tblW w:w="6795" w:type="dxa"/>
        <w:jc w:val="center"/>
        <w:tblLayout w:type="fixed"/>
        <w:tblLook w:val="0000" w:firstRow="0" w:lastRow="0" w:firstColumn="0" w:lastColumn="0" w:noHBand="0" w:noVBand="0"/>
      </w:tblPr>
      <w:tblGrid>
        <w:gridCol w:w="3401"/>
        <w:gridCol w:w="3394"/>
      </w:tblGrid>
      <w:tr w:rsidR="00534A2D" w14:paraId="65500560" w14:textId="77777777" w:rsidTr="00A5191B">
        <w:trPr>
          <w:tblHeader/>
          <w:jc w:val="center"/>
          <w:del w:id="177" w:author="AbbVie1" w:date="2025-05-13T09:50:00Z"/>
        </w:trPr>
        <w:tc>
          <w:tcPr>
            <w:tcW w:w="3401" w:type="dxa"/>
            <w:tcBorders>
              <w:top w:val="single" w:sz="4" w:space="0" w:color="auto"/>
              <w:bottom w:val="single" w:sz="4" w:space="0" w:color="auto"/>
            </w:tcBorders>
            <w:shd w:val="clear" w:color="auto" w:fill="auto"/>
          </w:tcPr>
          <w:p w14:paraId="29374BC5" w14:textId="77777777" w:rsidR="00596AAF" w:rsidRPr="001B4A02" w:rsidRDefault="00000000" w:rsidP="00A5191B">
            <w:pPr>
              <w:pStyle w:val="TableLeft"/>
              <w:jc w:val="center"/>
              <w:rPr>
                <w:del w:id="178" w:author="AbbVie1" w:date="2025-05-13T09:50:00Z"/>
                <w:b/>
                <w:sz w:val="22"/>
                <w:szCs w:val="22"/>
                <w:lang w:val="cs-CZ"/>
              </w:rPr>
            </w:pPr>
            <w:del w:id="179" w:author="AbbVie1" w:date="2025-05-13T09:50:00Z">
              <w:r w:rsidRPr="001B4A02">
                <w:rPr>
                  <w:b/>
                  <w:sz w:val="22"/>
                  <w:szCs w:val="22"/>
                  <w:lang w:val="cs-CZ"/>
                </w:rPr>
                <w:delText>Hmotnost pacienta</w:delText>
              </w:r>
            </w:del>
          </w:p>
        </w:tc>
        <w:tc>
          <w:tcPr>
            <w:tcW w:w="3394" w:type="dxa"/>
            <w:tcBorders>
              <w:top w:val="single" w:sz="4" w:space="0" w:color="auto"/>
              <w:bottom w:val="single" w:sz="4" w:space="0" w:color="auto"/>
            </w:tcBorders>
            <w:shd w:val="clear" w:color="auto" w:fill="auto"/>
          </w:tcPr>
          <w:p w14:paraId="4962908B" w14:textId="77777777" w:rsidR="00596AAF" w:rsidRPr="001B4A02" w:rsidRDefault="00000000" w:rsidP="00A5191B">
            <w:pPr>
              <w:pStyle w:val="TableLeft"/>
              <w:jc w:val="center"/>
              <w:rPr>
                <w:del w:id="180" w:author="AbbVie1" w:date="2025-05-13T09:50:00Z"/>
                <w:b/>
                <w:sz w:val="22"/>
                <w:szCs w:val="22"/>
                <w:lang w:val="cs-CZ"/>
              </w:rPr>
            </w:pPr>
            <w:del w:id="181" w:author="AbbVie1" w:date="2025-05-13T09:50:00Z">
              <w:r w:rsidRPr="001B4A02">
                <w:rPr>
                  <w:b/>
                  <w:sz w:val="22"/>
                  <w:szCs w:val="22"/>
                  <w:lang w:val="cs-CZ"/>
                </w:rPr>
                <w:delText>Režim dávkování</w:delText>
              </w:r>
            </w:del>
          </w:p>
        </w:tc>
      </w:tr>
      <w:tr w:rsidR="00534A2D" w14:paraId="2E57D657" w14:textId="77777777" w:rsidTr="00A5191B">
        <w:trPr>
          <w:tblHeader/>
          <w:jc w:val="center"/>
          <w:del w:id="182" w:author="AbbVie1" w:date="2025-05-13T09:50:00Z"/>
        </w:trPr>
        <w:tc>
          <w:tcPr>
            <w:tcW w:w="3401" w:type="dxa"/>
            <w:tcBorders>
              <w:top w:val="single" w:sz="4" w:space="0" w:color="auto"/>
              <w:bottom w:val="single" w:sz="4" w:space="0" w:color="auto"/>
            </w:tcBorders>
            <w:shd w:val="clear" w:color="auto" w:fill="auto"/>
          </w:tcPr>
          <w:p w14:paraId="49EB2EC2" w14:textId="77777777" w:rsidR="00596AAF" w:rsidRPr="001B4A02" w:rsidRDefault="00000000" w:rsidP="00A5191B">
            <w:pPr>
              <w:pStyle w:val="TableLeft"/>
              <w:jc w:val="center"/>
              <w:rPr>
                <w:del w:id="183" w:author="AbbVie1" w:date="2025-05-13T09:50:00Z"/>
                <w:b/>
                <w:sz w:val="22"/>
                <w:szCs w:val="22"/>
                <w:lang w:val="cs-CZ"/>
              </w:rPr>
            </w:pPr>
            <w:del w:id="184" w:author="AbbVie1" w:date="2025-05-13T09:50:00Z">
              <w:r w:rsidRPr="001B4A02">
                <w:rPr>
                  <w:sz w:val="22"/>
                  <w:szCs w:val="22"/>
                  <w:lang w:val="cs-CZ"/>
                </w:rPr>
                <w:delText>15</w:delText>
              </w:r>
              <w:r w:rsidR="002767FC">
                <w:rPr>
                  <w:sz w:val="22"/>
                  <w:szCs w:val="22"/>
                  <w:lang w:val="cs-CZ"/>
                </w:rPr>
                <w:delText> kg</w:delText>
              </w:r>
              <w:r w:rsidRPr="001B4A02">
                <w:rPr>
                  <w:sz w:val="22"/>
                  <w:szCs w:val="22"/>
                  <w:lang w:val="cs-CZ"/>
                </w:rPr>
                <w:delText xml:space="preserve"> až &lt;</w:delText>
              </w:r>
              <w:r w:rsidR="00057A14"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3394" w:type="dxa"/>
            <w:tcBorders>
              <w:top w:val="single" w:sz="4" w:space="0" w:color="auto"/>
              <w:bottom w:val="single" w:sz="4" w:space="0" w:color="auto"/>
            </w:tcBorders>
            <w:shd w:val="clear" w:color="auto" w:fill="auto"/>
          </w:tcPr>
          <w:p w14:paraId="5E6D9E1E" w14:textId="77777777" w:rsidR="00596AAF" w:rsidRPr="001B4A02" w:rsidRDefault="00000000" w:rsidP="00A5191B">
            <w:pPr>
              <w:pStyle w:val="TableLeft"/>
              <w:jc w:val="center"/>
              <w:rPr>
                <w:del w:id="185" w:author="AbbVie1" w:date="2025-05-13T09:50:00Z"/>
                <w:b/>
                <w:sz w:val="22"/>
                <w:szCs w:val="22"/>
                <w:lang w:val="cs-CZ"/>
              </w:rPr>
            </w:pPr>
            <w:del w:id="186" w:author="AbbVie1" w:date="2025-05-13T09:50:00Z">
              <w:r w:rsidRPr="001B4A02">
                <w:rPr>
                  <w:sz w:val="22"/>
                  <w:szCs w:val="22"/>
                  <w:lang w:val="cs-CZ"/>
                </w:rPr>
                <w:delText>20</w:delText>
              </w:r>
              <w:r w:rsidR="00294902">
                <w:rPr>
                  <w:sz w:val="22"/>
                  <w:szCs w:val="22"/>
                  <w:lang w:val="cs-CZ"/>
                </w:rPr>
                <w:delText> mg</w:delText>
              </w:r>
              <w:r w:rsidRPr="001B4A02">
                <w:rPr>
                  <w:sz w:val="22"/>
                  <w:szCs w:val="22"/>
                  <w:lang w:val="cs-CZ"/>
                </w:rPr>
                <w:delText xml:space="preserve"> jednou za dva týdny</w:delText>
              </w:r>
            </w:del>
          </w:p>
        </w:tc>
      </w:tr>
      <w:tr w:rsidR="00534A2D" w14:paraId="6B954D29" w14:textId="77777777" w:rsidTr="00A5191B">
        <w:trPr>
          <w:tblHeader/>
          <w:jc w:val="center"/>
          <w:del w:id="187" w:author="AbbVie1" w:date="2025-05-13T09:50:00Z"/>
        </w:trPr>
        <w:tc>
          <w:tcPr>
            <w:tcW w:w="3401" w:type="dxa"/>
            <w:tcBorders>
              <w:top w:val="single" w:sz="4" w:space="0" w:color="auto"/>
              <w:bottom w:val="single" w:sz="4" w:space="0" w:color="auto"/>
            </w:tcBorders>
            <w:shd w:val="clear" w:color="auto" w:fill="auto"/>
          </w:tcPr>
          <w:p w14:paraId="7AC6A197" w14:textId="77777777" w:rsidR="00596AAF" w:rsidRPr="001B4A02" w:rsidRDefault="00000000" w:rsidP="00A5191B">
            <w:pPr>
              <w:pStyle w:val="TableLeft"/>
              <w:jc w:val="center"/>
              <w:rPr>
                <w:del w:id="188" w:author="AbbVie1" w:date="2025-05-13T09:50:00Z"/>
                <w:b/>
                <w:sz w:val="22"/>
                <w:szCs w:val="22"/>
                <w:lang w:val="cs-CZ"/>
              </w:rPr>
            </w:pPr>
            <w:del w:id="189" w:author="AbbVie1" w:date="2025-05-13T09:50:00Z">
              <w:r w:rsidRPr="001B4A02">
                <w:rPr>
                  <w:sz w:val="22"/>
                  <w:szCs w:val="22"/>
                  <w:lang w:val="cs-CZ"/>
                </w:rPr>
                <w:delText>≥</w:delText>
              </w:r>
              <w:r w:rsidR="00057A14"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3394" w:type="dxa"/>
            <w:tcBorders>
              <w:top w:val="single" w:sz="4" w:space="0" w:color="auto"/>
              <w:bottom w:val="single" w:sz="4" w:space="0" w:color="auto"/>
            </w:tcBorders>
            <w:shd w:val="clear" w:color="auto" w:fill="auto"/>
          </w:tcPr>
          <w:p w14:paraId="313223D4" w14:textId="77777777" w:rsidR="00596AAF" w:rsidRPr="001B4A02" w:rsidRDefault="00000000" w:rsidP="00A5191B">
            <w:pPr>
              <w:pStyle w:val="TableLeft"/>
              <w:jc w:val="center"/>
              <w:rPr>
                <w:del w:id="190" w:author="AbbVie1" w:date="2025-05-13T09:50:00Z"/>
                <w:b/>
                <w:sz w:val="22"/>
                <w:szCs w:val="22"/>
                <w:lang w:val="cs-CZ"/>
              </w:rPr>
            </w:pPr>
            <w:del w:id="191" w:author="AbbVie1" w:date="2025-05-13T09:50:00Z">
              <w:r w:rsidRPr="001B4A02">
                <w:rPr>
                  <w:sz w:val="22"/>
                  <w:szCs w:val="22"/>
                  <w:lang w:val="cs-CZ"/>
                </w:rPr>
                <w:delText>40</w:delText>
              </w:r>
              <w:r w:rsidR="00294902">
                <w:rPr>
                  <w:sz w:val="22"/>
                  <w:szCs w:val="22"/>
                  <w:lang w:val="cs-CZ"/>
                </w:rPr>
                <w:delText> mg</w:delText>
              </w:r>
              <w:r w:rsidRPr="001B4A02">
                <w:rPr>
                  <w:sz w:val="22"/>
                  <w:szCs w:val="22"/>
                  <w:lang w:val="cs-CZ"/>
                </w:rPr>
                <w:delText xml:space="preserve"> jednou za dva týdny</w:delText>
              </w:r>
            </w:del>
          </w:p>
        </w:tc>
      </w:tr>
    </w:tbl>
    <w:p w14:paraId="59BE133B" w14:textId="77777777" w:rsidR="00A322A3" w:rsidRPr="001B4A02" w:rsidRDefault="00A322A3" w:rsidP="00ED48A3">
      <w:pPr>
        <w:ind w:left="0" w:firstLine="0"/>
        <w:rPr>
          <w:del w:id="192" w:author="AbbVie1" w:date="2025-05-13T09:50:00Z"/>
        </w:rPr>
      </w:pPr>
    </w:p>
    <w:p w14:paraId="6BF4A9A7" w14:textId="77777777" w:rsidR="003E6CB5" w:rsidRPr="001B4A02" w:rsidRDefault="00000000" w:rsidP="00ED48A3">
      <w:pPr>
        <w:ind w:left="0" w:firstLine="0"/>
        <w:rPr>
          <w:del w:id="193" w:author="AbbVie1" w:date="2025-05-13T09:50:00Z"/>
        </w:rPr>
      </w:pPr>
      <w:del w:id="194" w:author="AbbVie1" w:date="2025-05-13T09:50:00Z">
        <w:r w:rsidRPr="001B4A02">
          <w:delText>Přípravek Humira nebyl studován</w:delText>
        </w:r>
        <w:r w:rsidR="00B12121" w:rsidRPr="001B4A02">
          <w:delText xml:space="preserve"> u </w:delText>
        </w:r>
        <w:r w:rsidRPr="001B4A02">
          <w:delText>pacientů s ente</w:delText>
        </w:r>
        <w:r w:rsidR="00A858EA" w:rsidRPr="001B4A02">
          <w:delText>zopatickou</w:delText>
        </w:r>
        <w:r w:rsidRPr="001B4A02">
          <w:delText> artritidou mladších než 6 let.</w:delText>
        </w:r>
      </w:del>
    </w:p>
    <w:p w14:paraId="241D691A" w14:textId="77777777" w:rsidR="00A322A3" w:rsidRPr="001B4A02" w:rsidRDefault="00A322A3" w:rsidP="00ED48A3">
      <w:pPr>
        <w:ind w:left="0" w:firstLine="0"/>
        <w:rPr>
          <w:del w:id="195" w:author="AbbVie1" w:date="2025-05-13T09:50:00Z"/>
        </w:rPr>
      </w:pPr>
    </w:p>
    <w:p w14:paraId="1755C09F" w14:textId="77777777" w:rsidR="009C7AC1" w:rsidRPr="001B4A02" w:rsidRDefault="00000000" w:rsidP="009C7AC1">
      <w:pPr>
        <w:ind w:left="0" w:firstLine="0"/>
        <w:rPr>
          <w:del w:id="196" w:author="AbbVie1" w:date="2025-05-13T09:50:00Z"/>
        </w:rPr>
      </w:pPr>
      <w:del w:id="197" w:author="AbbVie1" w:date="2025-05-13T09:50:00Z">
        <w:r w:rsidRPr="001B4A02">
          <w:delText xml:space="preserve">Přípravek Humira je k dispozici v dalších silách a/nebo </w:delText>
        </w:r>
        <w:r w:rsidR="00B952F4">
          <w:delText>typech balení</w:delText>
        </w:r>
        <w:r w:rsidRPr="001B4A02">
          <w:delText xml:space="preserve"> v závislosti na individuálních potřebách léčby.</w:delText>
        </w:r>
      </w:del>
    </w:p>
    <w:p w14:paraId="4FCB53C0" w14:textId="77777777" w:rsidR="009C7AC1" w:rsidRPr="001B4A02" w:rsidRDefault="009C7AC1" w:rsidP="00ED48A3">
      <w:pPr>
        <w:ind w:left="0" w:firstLine="0"/>
        <w:rPr>
          <w:del w:id="198" w:author="AbbVie1" w:date="2025-05-13T09:50:00Z"/>
        </w:rPr>
      </w:pPr>
    </w:p>
    <w:p w14:paraId="4658CB3C" w14:textId="77777777" w:rsidR="006A7528" w:rsidRPr="001B4A02" w:rsidRDefault="00000000" w:rsidP="00ED48A3">
      <w:pPr>
        <w:ind w:left="0" w:firstLine="0"/>
        <w:rPr>
          <w:del w:id="199" w:author="AbbVie1" w:date="2025-05-13T09:50:00Z"/>
          <w:i/>
        </w:rPr>
      </w:pPr>
      <w:del w:id="200" w:author="AbbVie1" w:date="2025-05-13T09:50:00Z">
        <w:r w:rsidRPr="001B4A02">
          <w:rPr>
            <w:i/>
          </w:rPr>
          <w:delText>Ložisková psoriáza</w:delText>
        </w:r>
        <w:r w:rsidR="00B12121" w:rsidRPr="001B4A02">
          <w:rPr>
            <w:i/>
          </w:rPr>
          <w:delText xml:space="preserve"> u </w:delText>
        </w:r>
        <w:r w:rsidRPr="001B4A02">
          <w:rPr>
            <w:i/>
          </w:rPr>
          <w:delText>pediatrických pacientů</w:delText>
        </w:r>
      </w:del>
    </w:p>
    <w:p w14:paraId="57799882" w14:textId="77777777" w:rsidR="006A7528" w:rsidRPr="001B4A02" w:rsidRDefault="006A7528" w:rsidP="00ED48A3">
      <w:pPr>
        <w:ind w:left="0" w:firstLine="0"/>
        <w:rPr>
          <w:del w:id="201" w:author="AbbVie1" w:date="2025-05-13T09:50:00Z"/>
        </w:rPr>
      </w:pPr>
    </w:p>
    <w:p w14:paraId="6EDC99A7" w14:textId="77777777" w:rsidR="00596AAF" w:rsidRDefault="00000000" w:rsidP="00596AAF">
      <w:pPr>
        <w:ind w:left="0" w:firstLine="0"/>
        <w:rPr>
          <w:del w:id="202" w:author="AbbVie1" w:date="2025-05-13T09:50:00Z"/>
        </w:rPr>
      </w:pPr>
      <w:del w:id="203" w:author="AbbVie1" w:date="2025-05-13T09:50:00Z">
        <w:r w:rsidRPr="001B4A02">
          <w:delText xml:space="preserve">Doporučená dávka </w:delText>
        </w:r>
        <w:r w:rsidR="00220665" w:rsidRPr="001B4A02">
          <w:delText xml:space="preserve">přípravku </w:delText>
        </w:r>
        <w:r w:rsidRPr="001B4A02">
          <w:delText>Humir</w:delText>
        </w:r>
        <w:r w:rsidR="00220665" w:rsidRPr="001B4A02">
          <w:delText>a</w:delText>
        </w:r>
        <w:r w:rsidRPr="001B4A02">
          <w:delText xml:space="preserve"> u</w:delText>
        </w:r>
        <w:r w:rsidR="000D1F8F" w:rsidRPr="001B4A02">
          <w:delText> </w:delText>
        </w:r>
        <w:r w:rsidRPr="001B4A02">
          <w:delText>pacientů s ložiskovou psoriázou ve věku o</w:delText>
        </w:r>
        <w:r w:rsidR="00490910" w:rsidRPr="001B4A02">
          <w:delText>d</w:delText>
        </w:r>
        <w:r w:rsidRPr="001B4A02">
          <w:delText xml:space="preserve"> 4 do 17 let vychází z tělesné hmotnosti (tabulka 3). </w:delText>
        </w:r>
        <w:r w:rsidR="005A3629" w:rsidRPr="001B4A02">
          <w:delText xml:space="preserve">Přípravek </w:delText>
        </w:r>
        <w:r w:rsidRPr="001B4A02">
          <w:delText xml:space="preserve">Humira se podává subkutánní injekcí. </w:delText>
        </w:r>
      </w:del>
    </w:p>
    <w:p w14:paraId="1FFF8120" w14:textId="77777777" w:rsidR="00A43DB3" w:rsidRPr="001B4A02" w:rsidRDefault="00A43DB3" w:rsidP="00596AAF">
      <w:pPr>
        <w:ind w:left="0" w:firstLine="0"/>
        <w:rPr>
          <w:del w:id="204" w:author="AbbVie1" w:date="2025-05-13T09:50:00Z"/>
        </w:rPr>
      </w:pPr>
    </w:p>
    <w:p w14:paraId="28095A01" w14:textId="77777777" w:rsidR="00596AAF" w:rsidRPr="001B4A02" w:rsidRDefault="00000000" w:rsidP="00D84336">
      <w:pPr>
        <w:keepNext/>
        <w:jc w:val="center"/>
        <w:rPr>
          <w:del w:id="205" w:author="AbbVie1" w:date="2025-05-13T09:50:00Z"/>
          <w:b/>
          <w:szCs w:val="22"/>
        </w:rPr>
      </w:pPr>
      <w:del w:id="206" w:author="AbbVie1" w:date="2025-05-13T09:50:00Z">
        <w:r w:rsidRPr="001B4A02">
          <w:rPr>
            <w:b/>
            <w:szCs w:val="22"/>
          </w:rPr>
          <w:delText>Tabulka 3. Dávka přípravku Humira u</w:delText>
        </w:r>
        <w:r w:rsidR="000D1F8F" w:rsidRPr="001B4A02">
          <w:rPr>
            <w:b/>
            <w:szCs w:val="22"/>
          </w:rPr>
          <w:delText> </w:delText>
        </w:r>
        <w:r w:rsidRPr="001B4A02">
          <w:rPr>
            <w:b/>
            <w:szCs w:val="22"/>
          </w:rPr>
          <w:delText>pediatrických pacientů s ložiskovou psoriá</w:delText>
        </w:r>
        <w:r w:rsidR="00D84336" w:rsidRPr="001B4A02">
          <w:rPr>
            <w:b/>
            <w:szCs w:val="22"/>
          </w:rPr>
          <w:delText>zou</w:delText>
        </w:r>
      </w:del>
    </w:p>
    <w:p w14:paraId="09CEA6BE" w14:textId="77777777" w:rsidR="00596AAF" w:rsidRPr="001B4A02" w:rsidRDefault="00596AAF" w:rsidP="00D84336">
      <w:pPr>
        <w:keepNext/>
        <w:rPr>
          <w:del w:id="207" w:author="AbbVie1" w:date="2025-05-13T09:50:00Z"/>
          <w:szCs w:val="22"/>
        </w:rPr>
      </w:pPr>
    </w:p>
    <w:tbl>
      <w:tblPr>
        <w:tblW w:w="7509" w:type="dxa"/>
        <w:jc w:val="center"/>
        <w:tblLayout w:type="fixed"/>
        <w:tblLook w:val="0000" w:firstRow="0" w:lastRow="0" w:firstColumn="0" w:lastColumn="0" w:noHBand="0" w:noVBand="0"/>
      </w:tblPr>
      <w:tblGrid>
        <w:gridCol w:w="3401"/>
        <w:gridCol w:w="4108"/>
      </w:tblGrid>
      <w:tr w:rsidR="00534A2D" w14:paraId="5AAF6797" w14:textId="77777777" w:rsidTr="00490910">
        <w:trPr>
          <w:tblHeader/>
          <w:jc w:val="center"/>
          <w:del w:id="208" w:author="AbbVie1" w:date="2025-05-13T09:50:00Z"/>
        </w:trPr>
        <w:tc>
          <w:tcPr>
            <w:tcW w:w="3401" w:type="dxa"/>
            <w:tcBorders>
              <w:top w:val="single" w:sz="4" w:space="0" w:color="auto"/>
              <w:bottom w:val="single" w:sz="4" w:space="0" w:color="auto"/>
            </w:tcBorders>
            <w:shd w:val="clear" w:color="auto" w:fill="auto"/>
          </w:tcPr>
          <w:p w14:paraId="57DF7A59" w14:textId="77777777" w:rsidR="00596AAF" w:rsidRPr="001B4A02" w:rsidRDefault="00000000" w:rsidP="00A5191B">
            <w:pPr>
              <w:pStyle w:val="TableLeft"/>
              <w:jc w:val="center"/>
              <w:rPr>
                <w:del w:id="209" w:author="AbbVie1" w:date="2025-05-13T09:50:00Z"/>
                <w:b/>
                <w:sz w:val="22"/>
                <w:szCs w:val="22"/>
                <w:lang w:val="cs-CZ"/>
              </w:rPr>
            </w:pPr>
            <w:del w:id="210" w:author="AbbVie1" w:date="2025-05-13T09:50:00Z">
              <w:r w:rsidRPr="001B4A02">
                <w:rPr>
                  <w:b/>
                  <w:sz w:val="22"/>
                  <w:szCs w:val="22"/>
                  <w:lang w:val="cs-CZ"/>
                </w:rPr>
                <w:delText>Hmotnost pacienta</w:delText>
              </w:r>
            </w:del>
          </w:p>
        </w:tc>
        <w:tc>
          <w:tcPr>
            <w:tcW w:w="4108" w:type="dxa"/>
            <w:tcBorders>
              <w:top w:val="single" w:sz="4" w:space="0" w:color="auto"/>
              <w:bottom w:val="single" w:sz="4" w:space="0" w:color="auto"/>
            </w:tcBorders>
            <w:shd w:val="clear" w:color="auto" w:fill="auto"/>
          </w:tcPr>
          <w:p w14:paraId="3365926E" w14:textId="77777777" w:rsidR="00596AAF" w:rsidRPr="001B4A02" w:rsidRDefault="00000000" w:rsidP="00A5191B">
            <w:pPr>
              <w:pStyle w:val="TableLeft"/>
              <w:jc w:val="center"/>
              <w:rPr>
                <w:del w:id="211" w:author="AbbVie1" w:date="2025-05-13T09:50:00Z"/>
                <w:b/>
                <w:sz w:val="22"/>
                <w:szCs w:val="22"/>
                <w:lang w:val="cs-CZ"/>
              </w:rPr>
            </w:pPr>
            <w:del w:id="212" w:author="AbbVie1" w:date="2025-05-13T09:50:00Z">
              <w:r w:rsidRPr="001B4A02">
                <w:rPr>
                  <w:b/>
                  <w:sz w:val="22"/>
                  <w:szCs w:val="22"/>
                  <w:lang w:val="cs-CZ"/>
                </w:rPr>
                <w:delText>Režim dávkování</w:delText>
              </w:r>
            </w:del>
          </w:p>
        </w:tc>
      </w:tr>
      <w:tr w:rsidR="00534A2D" w14:paraId="0769D7B2" w14:textId="77777777" w:rsidTr="00490910">
        <w:trPr>
          <w:tblHeader/>
          <w:jc w:val="center"/>
          <w:del w:id="213" w:author="AbbVie1" w:date="2025-05-13T09:50:00Z"/>
        </w:trPr>
        <w:tc>
          <w:tcPr>
            <w:tcW w:w="3401" w:type="dxa"/>
            <w:tcBorders>
              <w:top w:val="single" w:sz="4" w:space="0" w:color="auto"/>
              <w:bottom w:val="single" w:sz="4" w:space="0" w:color="auto"/>
            </w:tcBorders>
            <w:shd w:val="clear" w:color="auto" w:fill="auto"/>
          </w:tcPr>
          <w:p w14:paraId="1625FFB3" w14:textId="77777777" w:rsidR="00596AAF" w:rsidRPr="001B4A02" w:rsidRDefault="00000000" w:rsidP="00A5191B">
            <w:pPr>
              <w:pStyle w:val="TableLeft"/>
              <w:jc w:val="center"/>
              <w:rPr>
                <w:del w:id="214" w:author="AbbVie1" w:date="2025-05-13T09:50:00Z"/>
                <w:b/>
                <w:sz w:val="22"/>
                <w:szCs w:val="22"/>
                <w:lang w:val="cs-CZ"/>
              </w:rPr>
            </w:pPr>
            <w:del w:id="215" w:author="AbbVie1" w:date="2025-05-13T09:50:00Z">
              <w:r w:rsidRPr="001B4A02">
                <w:rPr>
                  <w:sz w:val="22"/>
                  <w:szCs w:val="22"/>
                  <w:lang w:val="cs-CZ"/>
                </w:rPr>
                <w:delText>15</w:delText>
              </w:r>
              <w:r w:rsidR="002767FC">
                <w:rPr>
                  <w:sz w:val="22"/>
                  <w:szCs w:val="22"/>
                  <w:lang w:val="cs-CZ"/>
                </w:rPr>
                <w:delText> kg</w:delText>
              </w:r>
              <w:r w:rsidRPr="001B4A02">
                <w:rPr>
                  <w:sz w:val="22"/>
                  <w:szCs w:val="22"/>
                  <w:lang w:val="cs-CZ"/>
                </w:rPr>
                <w:delText xml:space="preserve"> až &lt;</w:delText>
              </w:r>
              <w:r w:rsidR="00057A14"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4108" w:type="dxa"/>
            <w:tcBorders>
              <w:top w:val="single" w:sz="4" w:space="0" w:color="auto"/>
              <w:bottom w:val="single" w:sz="4" w:space="0" w:color="auto"/>
            </w:tcBorders>
            <w:shd w:val="clear" w:color="auto" w:fill="auto"/>
          </w:tcPr>
          <w:p w14:paraId="4ACF2276" w14:textId="77777777" w:rsidR="00596AAF" w:rsidRPr="001B4A02" w:rsidRDefault="00000000" w:rsidP="00A5191B">
            <w:pPr>
              <w:pStyle w:val="TableLeft"/>
              <w:jc w:val="center"/>
              <w:rPr>
                <w:del w:id="216" w:author="AbbVie1" w:date="2025-05-13T09:50:00Z"/>
                <w:b/>
                <w:sz w:val="22"/>
                <w:szCs w:val="22"/>
                <w:lang w:val="cs-CZ"/>
              </w:rPr>
            </w:pPr>
            <w:del w:id="217" w:author="AbbVie1" w:date="2025-05-13T09:50:00Z">
              <w:r w:rsidRPr="001B4A02">
                <w:rPr>
                  <w:sz w:val="22"/>
                  <w:szCs w:val="22"/>
                  <w:lang w:val="cs-CZ"/>
                </w:rPr>
                <w:delText>Úvodní dávka 20 mg s</w:delText>
              </w:r>
              <w:r w:rsidR="000D080B" w:rsidRPr="001B4A02">
                <w:rPr>
                  <w:sz w:val="22"/>
                  <w:szCs w:val="22"/>
                  <w:lang w:val="cs-CZ"/>
                </w:rPr>
                <w:delText> </w:delText>
              </w:r>
              <w:r w:rsidRPr="001B4A02">
                <w:rPr>
                  <w:sz w:val="22"/>
                  <w:szCs w:val="22"/>
                  <w:lang w:val="cs-CZ"/>
                </w:rPr>
                <w:delText>následným podáváním 20 mg jednou za dva týdny od jednoho týdne po úvodní dávce</w:delText>
              </w:r>
            </w:del>
          </w:p>
        </w:tc>
      </w:tr>
      <w:tr w:rsidR="00534A2D" w14:paraId="26B90355" w14:textId="77777777" w:rsidTr="00490910">
        <w:trPr>
          <w:tblHeader/>
          <w:jc w:val="center"/>
          <w:del w:id="218" w:author="AbbVie1" w:date="2025-05-13T09:50:00Z"/>
        </w:trPr>
        <w:tc>
          <w:tcPr>
            <w:tcW w:w="3401" w:type="dxa"/>
            <w:tcBorders>
              <w:top w:val="single" w:sz="4" w:space="0" w:color="auto"/>
              <w:bottom w:val="single" w:sz="4" w:space="0" w:color="auto"/>
            </w:tcBorders>
            <w:shd w:val="clear" w:color="auto" w:fill="auto"/>
          </w:tcPr>
          <w:p w14:paraId="02847E71" w14:textId="77777777" w:rsidR="00596AAF" w:rsidRPr="001B4A02" w:rsidRDefault="00000000" w:rsidP="00A5191B">
            <w:pPr>
              <w:pStyle w:val="TableLeft"/>
              <w:jc w:val="center"/>
              <w:rPr>
                <w:del w:id="219" w:author="AbbVie1" w:date="2025-05-13T09:50:00Z"/>
                <w:b/>
                <w:sz w:val="22"/>
                <w:szCs w:val="22"/>
                <w:lang w:val="cs-CZ"/>
              </w:rPr>
            </w:pPr>
            <w:del w:id="220" w:author="AbbVie1" w:date="2025-05-13T09:50:00Z">
              <w:r w:rsidRPr="001B4A02">
                <w:rPr>
                  <w:sz w:val="22"/>
                  <w:szCs w:val="22"/>
                  <w:lang w:val="cs-CZ"/>
                </w:rPr>
                <w:delText>≥</w:delText>
              </w:r>
              <w:r w:rsidR="00057A14"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4108" w:type="dxa"/>
            <w:tcBorders>
              <w:top w:val="single" w:sz="4" w:space="0" w:color="auto"/>
              <w:bottom w:val="single" w:sz="4" w:space="0" w:color="auto"/>
            </w:tcBorders>
            <w:shd w:val="clear" w:color="auto" w:fill="auto"/>
          </w:tcPr>
          <w:p w14:paraId="2FF36010" w14:textId="77777777" w:rsidR="00596AAF" w:rsidRPr="001B4A02" w:rsidRDefault="00000000" w:rsidP="00A5191B">
            <w:pPr>
              <w:pStyle w:val="TableLeft"/>
              <w:jc w:val="center"/>
              <w:rPr>
                <w:del w:id="221" w:author="AbbVie1" w:date="2025-05-13T09:50:00Z"/>
                <w:b/>
                <w:sz w:val="22"/>
                <w:szCs w:val="22"/>
                <w:lang w:val="cs-CZ"/>
              </w:rPr>
            </w:pPr>
            <w:del w:id="222" w:author="AbbVie1" w:date="2025-05-13T09:50:00Z">
              <w:r w:rsidRPr="001B4A02">
                <w:rPr>
                  <w:sz w:val="22"/>
                  <w:szCs w:val="22"/>
                  <w:lang w:val="cs-CZ"/>
                </w:rPr>
                <w:delText>Úvodní dávka 40 mg s</w:delText>
              </w:r>
              <w:r w:rsidR="000D080B" w:rsidRPr="001B4A02">
                <w:rPr>
                  <w:sz w:val="22"/>
                  <w:szCs w:val="22"/>
                  <w:lang w:val="cs-CZ"/>
                </w:rPr>
                <w:delText> </w:delText>
              </w:r>
              <w:r w:rsidRPr="001B4A02">
                <w:rPr>
                  <w:sz w:val="22"/>
                  <w:szCs w:val="22"/>
                  <w:lang w:val="cs-CZ"/>
                </w:rPr>
                <w:delText>následným podáváním 40 mg jednou za dva týdny od jednoho týdne po úvodní dávce</w:delText>
              </w:r>
            </w:del>
          </w:p>
        </w:tc>
      </w:tr>
    </w:tbl>
    <w:p w14:paraId="22C1A33B" w14:textId="77777777" w:rsidR="009406D7" w:rsidRPr="001B4A02" w:rsidRDefault="009406D7" w:rsidP="00ED48A3">
      <w:pPr>
        <w:ind w:left="0" w:firstLine="0"/>
        <w:rPr>
          <w:del w:id="223" w:author="AbbVie1" w:date="2025-05-13T09:50:00Z"/>
        </w:rPr>
      </w:pPr>
    </w:p>
    <w:p w14:paraId="799FCF9E" w14:textId="77777777" w:rsidR="008E44CD" w:rsidRPr="001B4A02" w:rsidRDefault="00000000" w:rsidP="00ED48A3">
      <w:pPr>
        <w:ind w:left="0" w:firstLine="0"/>
        <w:rPr>
          <w:del w:id="224" w:author="AbbVie1" w:date="2025-05-13T09:50:00Z"/>
        </w:rPr>
      </w:pPr>
      <w:del w:id="225" w:author="AbbVie1" w:date="2025-05-13T09:50:00Z">
        <w:r w:rsidRPr="001B4A02">
          <w:delText>Pokračování terapie déle než 16 týdnů by mělo být pečlivě zváženo</w:delText>
        </w:r>
        <w:r w:rsidR="00B12121" w:rsidRPr="001B4A02">
          <w:delText xml:space="preserve"> u </w:delText>
        </w:r>
        <w:r w:rsidRPr="001B4A02">
          <w:delText>pacientů, kteří během této doby na léčbu neodpovídají.</w:delText>
        </w:r>
      </w:del>
    </w:p>
    <w:p w14:paraId="02ECE1A7" w14:textId="77777777" w:rsidR="008E44CD" w:rsidRPr="001B4A02" w:rsidRDefault="008E44CD" w:rsidP="00ED48A3">
      <w:pPr>
        <w:ind w:left="0" w:firstLine="0"/>
        <w:rPr>
          <w:del w:id="226" w:author="AbbVie1" w:date="2025-05-13T09:50:00Z"/>
        </w:rPr>
      </w:pPr>
    </w:p>
    <w:p w14:paraId="549983E1" w14:textId="77777777" w:rsidR="008E44CD" w:rsidRPr="001B4A02" w:rsidRDefault="00000000" w:rsidP="00ED48A3">
      <w:pPr>
        <w:ind w:left="0" w:firstLine="0"/>
        <w:rPr>
          <w:del w:id="227" w:author="AbbVie1" w:date="2025-05-13T09:50:00Z"/>
        </w:rPr>
      </w:pPr>
      <w:del w:id="228" w:author="AbbVie1" w:date="2025-05-13T09:50:00Z">
        <w:r w:rsidRPr="001B4A02">
          <w:delText>Je-li léčba přípravkem Humira indikována</w:delText>
        </w:r>
        <w:r w:rsidR="006A13EA" w:rsidRPr="001B4A02">
          <w:delText xml:space="preserve"> opětovně</w:delText>
        </w:r>
        <w:r w:rsidRPr="001B4A02">
          <w:delText>, měl by být dodržen výše uvedený postup dávkování</w:delText>
        </w:r>
        <w:r w:rsidR="002378E0">
          <w:delText xml:space="preserve"> a </w:delText>
        </w:r>
        <w:r w:rsidRPr="001B4A02">
          <w:delText>trvání léčby.</w:delText>
        </w:r>
      </w:del>
    </w:p>
    <w:p w14:paraId="20654222" w14:textId="77777777" w:rsidR="00014E92" w:rsidRPr="001B4A02" w:rsidRDefault="00014E92" w:rsidP="00ED48A3">
      <w:pPr>
        <w:ind w:left="0" w:firstLine="0"/>
        <w:rPr>
          <w:del w:id="229" w:author="AbbVie1" w:date="2025-05-13T09:50:00Z"/>
        </w:rPr>
      </w:pPr>
    </w:p>
    <w:p w14:paraId="67A6D257" w14:textId="77777777" w:rsidR="00014E92" w:rsidRPr="001B4A02" w:rsidRDefault="00000000" w:rsidP="00ED48A3">
      <w:pPr>
        <w:ind w:left="0" w:firstLine="0"/>
        <w:rPr>
          <w:del w:id="230" w:author="AbbVie1" w:date="2025-05-13T09:50:00Z"/>
        </w:rPr>
      </w:pPr>
      <w:del w:id="231" w:author="AbbVie1" w:date="2025-05-13T09:50:00Z">
        <w:r w:rsidRPr="001B4A02">
          <w:delText>Bezpečnost přípravku Humira</w:delText>
        </w:r>
        <w:r w:rsidR="00B12121" w:rsidRPr="001B4A02">
          <w:delText xml:space="preserve"> u </w:delText>
        </w:r>
        <w:r w:rsidRPr="001B4A02">
          <w:delText>pediatrických pacientů s ložiskovou psoriázou byla hodnocena průměrně 13 měsíců.</w:delText>
        </w:r>
      </w:del>
    </w:p>
    <w:p w14:paraId="05E03218" w14:textId="77777777" w:rsidR="00014E92" w:rsidRPr="001B4A02" w:rsidRDefault="00014E92" w:rsidP="00ED48A3">
      <w:pPr>
        <w:ind w:left="0" w:firstLine="0"/>
        <w:rPr>
          <w:del w:id="232" w:author="AbbVie1" w:date="2025-05-13T09:50:00Z"/>
        </w:rPr>
      </w:pPr>
    </w:p>
    <w:p w14:paraId="04EE7812" w14:textId="77777777" w:rsidR="00014E92" w:rsidRPr="001B4A02" w:rsidRDefault="00000000" w:rsidP="00ED48A3">
      <w:pPr>
        <w:ind w:left="0" w:firstLine="0"/>
        <w:rPr>
          <w:del w:id="233" w:author="AbbVie1" w:date="2025-05-13T09:50:00Z"/>
        </w:rPr>
      </w:pPr>
      <w:del w:id="234" w:author="AbbVie1" w:date="2025-05-13T09:50:00Z">
        <w:r w:rsidRPr="001B4A02">
          <w:delText>Použití přípravku Humira</w:delText>
        </w:r>
        <w:r w:rsidR="00B12121" w:rsidRPr="001B4A02">
          <w:delText xml:space="preserve"> u </w:delText>
        </w:r>
        <w:r w:rsidRPr="001B4A02">
          <w:delText>dětí mladších než 4 roky není v této indikaci relevantní.</w:delText>
        </w:r>
      </w:del>
    </w:p>
    <w:p w14:paraId="4B810A9A" w14:textId="77777777" w:rsidR="00BF34B1" w:rsidRPr="001B4A02" w:rsidRDefault="00BF34B1" w:rsidP="00ED48A3">
      <w:pPr>
        <w:ind w:left="0" w:firstLine="0"/>
        <w:rPr>
          <w:del w:id="235" w:author="AbbVie1" w:date="2025-05-13T09:50:00Z"/>
        </w:rPr>
      </w:pPr>
    </w:p>
    <w:p w14:paraId="30809B66" w14:textId="77777777" w:rsidR="009C7AC1" w:rsidRPr="001B4A02" w:rsidRDefault="00000000" w:rsidP="009C7AC1">
      <w:pPr>
        <w:ind w:left="0" w:firstLine="0"/>
        <w:rPr>
          <w:del w:id="236" w:author="AbbVie1" w:date="2025-05-13T09:50:00Z"/>
        </w:rPr>
      </w:pPr>
      <w:del w:id="237" w:author="AbbVie1" w:date="2025-05-13T09:50:00Z">
        <w:r w:rsidRPr="001B4A02">
          <w:delText xml:space="preserve">Přípravek Humira je k dispozici v dalších silách a/nebo </w:delText>
        </w:r>
        <w:r w:rsidR="00A43DB3">
          <w:delText>typech balení</w:delText>
        </w:r>
        <w:r w:rsidRPr="001B4A02">
          <w:delText xml:space="preserve"> v závislosti na individuálních potřebách léčby.</w:delText>
        </w:r>
      </w:del>
    </w:p>
    <w:p w14:paraId="50D66FA5" w14:textId="77777777" w:rsidR="009C7AC1" w:rsidRPr="001B4A02" w:rsidRDefault="009C7AC1" w:rsidP="00ED48A3">
      <w:pPr>
        <w:ind w:left="0" w:firstLine="0"/>
        <w:rPr>
          <w:del w:id="238" w:author="AbbVie1" w:date="2025-05-13T09:50:00Z"/>
        </w:rPr>
      </w:pPr>
    </w:p>
    <w:p w14:paraId="4D85F3BE" w14:textId="77777777" w:rsidR="00DE7DB9" w:rsidRPr="001B4A02" w:rsidRDefault="00000000" w:rsidP="00ED48A3">
      <w:pPr>
        <w:keepNext/>
        <w:rPr>
          <w:del w:id="239" w:author="AbbVie1" w:date="2025-05-13T09:50:00Z"/>
          <w:i/>
        </w:rPr>
      </w:pPr>
      <w:del w:id="240" w:author="AbbVie1" w:date="2025-05-13T09:50:00Z">
        <w:r w:rsidRPr="001B4A02">
          <w:rPr>
            <w:i/>
            <w:iCs/>
            <w:szCs w:val="22"/>
          </w:rPr>
          <w:delText>Hidradenitis suppurativa u</w:delText>
        </w:r>
        <w:r w:rsidR="00B12121" w:rsidRPr="001B4A02">
          <w:rPr>
            <w:i/>
            <w:iCs/>
            <w:szCs w:val="22"/>
          </w:rPr>
          <w:delText> </w:delText>
        </w:r>
        <w:r w:rsidRPr="001B4A02">
          <w:rPr>
            <w:i/>
            <w:iCs/>
            <w:szCs w:val="22"/>
          </w:rPr>
          <w:delText>dospívajících (od 12 let s</w:delText>
        </w:r>
        <w:r w:rsidR="00BD4EAC" w:rsidRPr="001B4A02">
          <w:rPr>
            <w:i/>
            <w:iCs/>
            <w:szCs w:val="22"/>
          </w:rPr>
          <w:delText> </w:delText>
        </w:r>
        <w:r w:rsidRPr="001B4A02">
          <w:rPr>
            <w:i/>
            <w:iCs/>
            <w:szCs w:val="22"/>
          </w:rPr>
          <w:delText>tělesnou hmotností nejméně 30</w:delText>
        </w:r>
        <w:r w:rsidR="002767FC">
          <w:rPr>
            <w:i/>
            <w:iCs/>
            <w:szCs w:val="22"/>
          </w:rPr>
          <w:delText> kg</w:delText>
        </w:r>
        <w:r w:rsidRPr="001B4A02">
          <w:rPr>
            <w:i/>
            <w:iCs/>
            <w:szCs w:val="22"/>
          </w:rPr>
          <w:delText>)</w:delText>
        </w:r>
      </w:del>
    </w:p>
    <w:p w14:paraId="26E4A1F5" w14:textId="77777777" w:rsidR="00DE7DB9" w:rsidRPr="001B4A02" w:rsidRDefault="00DE7DB9" w:rsidP="00ED48A3">
      <w:pPr>
        <w:keepNext/>
        <w:rPr>
          <w:del w:id="241" w:author="AbbVie1" w:date="2025-05-13T09:50:00Z"/>
          <w:i/>
        </w:rPr>
      </w:pPr>
    </w:p>
    <w:p w14:paraId="2C25F6FE" w14:textId="77777777" w:rsidR="00596AAF" w:rsidRPr="001B4A02" w:rsidRDefault="00000000" w:rsidP="00ED48A3">
      <w:pPr>
        <w:ind w:left="0" w:firstLine="0"/>
        <w:rPr>
          <w:del w:id="242" w:author="AbbVie1" w:date="2025-05-13T09:50:00Z"/>
          <w:szCs w:val="22"/>
          <w:bdr w:val="nil"/>
        </w:rPr>
      </w:pPr>
      <w:del w:id="243" w:author="AbbVie1" w:date="2025-05-13T09:50:00Z">
        <w:r w:rsidRPr="001B4A02">
          <w:rPr>
            <w:szCs w:val="22"/>
          </w:rPr>
          <w:delText>U dospívajících pacientů s</w:delText>
        </w:r>
        <w:r w:rsidR="00BD4EAC" w:rsidRPr="001B4A02">
          <w:rPr>
            <w:szCs w:val="22"/>
          </w:rPr>
          <w:delText> </w:delText>
        </w:r>
        <w:r w:rsidRPr="001B4A02">
          <w:rPr>
            <w:szCs w:val="22"/>
          </w:rPr>
          <w:delText>HS nejsou provedeny žádné klini</w:delText>
        </w:r>
        <w:r w:rsidR="00BD4EAC" w:rsidRPr="001B4A02">
          <w:rPr>
            <w:szCs w:val="22"/>
          </w:rPr>
          <w:delText>cké studie u </w:delText>
        </w:r>
        <w:r w:rsidR="00062315" w:rsidRPr="001B4A02">
          <w:rPr>
            <w:szCs w:val="22"/>
          </w:rPr>
          <w:delText xml:space="preserve">přípravku Humira. </w:delText>
        </w:r>
      </w:del>
    </w:p>
    <w:p w14:paraId="47813096" w14:textId="77777777" w:rsidR="00596AAF" w:rsidRPr="001B4A02" w:rsidRDefault="00596AAF" w:rsidP="00ED48A3">
      <w:pPr>
        <w:ind w:left="0" w:firstLine="0"/>
        <w:rPr>
          <w:del w:id="244" w:author="AbbVie1" w:date="2025-05-13T09:50:00Z"/>
          <w:szCs w:val="22"/>
          <w:bdr w:val="nil"/>
        </w:rPr>
      </w:pPr>
    </w:p>
    <w:p w14:paraId="4231BAD1" w14:textId="77777777" w:rsidR="00DE7DB9" w:rsidRPr="001B4A02" w:rsidRDefault="00000000" w:rsidP="00ED48A3">
      <w:pPr>
        <w:ind w:left="0" w:firstLine="0"/>
        <w:rPr>
          <w:del w:id="245" w:author="AbbVie1" w:date="2025-05-13T09:50:00Z"/>
          <w:shd w:val="clear" w:color="auto" w:fill="FFFFFF"/>
        </w:rPr>
      </w:pPr>
      <w:del w:id="246" w:author="AbbVie1" w:date="2025-05-13T09:50:00Z">
        <w:r w:rsidRPr="001B4A02">
          <w:rPr>
            <w:szCs w:val="22"/>
          </w:rPr>
          <w:delText>Dávkování přípravku Humira u</w:delText>
        </w:r>
        <w:r w:rsidR="00BD4EAC" w:rsidRPr="001B4A02">
          <w:rPr>
            <w:szCs w:val="22"/>
          </w:rPr>
          <w:delText> </w:delText>
        </w:r>
        <w:r w:rsidRPr="001B4A02">
          <w:rPr>
            <w:szCs w:val="22"/>
          </w:rPr>
          <w:delText>těchto pacientů bylo stanoveno na základě farmakokinetického modelování</w:delText>
        </w:r>
        <w:r w:rsidR="002378E0">
          <w:rPr>
            <w:szCs w:val="22"/>
          </w:rPr>
          <w:delText xml:space="preserve"> a </w:delText>
        </w:r>
        <w:r w:rsidRPr="001B4A02">
          <w:rPr>
            <w:szCs w:val="22"/>
          </w:rPr>
          <w:delText>simu</w:delText>
        </w:r>
        <w:r w:rsidR="00DC709C" w:rsidRPr="001B4A02">
          <w:rPr>
            <w:szCs w:val="22"/>
          </w:rPr>
          <w:delText>la</w:delText>
        </w:r>
        <w:r w:rsidRPr="001B4A02">
          <w:rPr>
            <w:szCs w:val="22"/>
          </w:rPr>
          <w:delText>ce (viz bod 5.2).</w:delText>
        </w:r>
      </w:del>
    </w:p>
    <w:p w14:paraId="08D8B2FB" w14:textId="77777777" w:rsidR="00DE7DB9" w:rsidRPr="001B4A02" w:rsidRDefault="00DE7DB9" w:rsidP="00ED48A3">
      <w:pPr>
        <w:pStyle w:val="EMEANormal"/>
        <w:rPr>
          <w:del w:id="247" w:author="AbbVie1" w:date="2025-05-13T09:50:00Z"/>
          <w:lang w:val="cs-CZ"/>
        </w:rPr>
      </w:pPr>
    </w:p>
    <w:p w14:paraId="7C56EC7F" w14:textId="77777777" w:rsidR="00DE7DB9" w:rsidRPr="001B4A02" w:rsidRDefault="00000000" w:rsidP="00ED48A3">
      <w:pPr>
        <w:pStyle w:val="EMEANormal"/>
        <w:rPr>
          <w:del w:id="248" w:author="AbbVie1" w:date="2025-05-13T09:50:00Z"/>
          <w:szCs w:val="22"/>
          <w:bdr w:val="nil"/>
          <w:lang w:val="cs-CZ"/>
        </w:rPr>
      </w:pPr>
      <w:del w:id="249" w:author="AbbVie1" w:date="2025-05-13T09:50:00Z">
        <w:r w:rsidRPr="001B4A02">
          <w:rPr>
            <w:szCs w:val="22"/>
            <w:lang w:val="cs-CZ"/>
          </w:rPr>
          <w:delText>Doporučená dávka přípravku Humira je 80</w:delText>
        </w:r>
        <w:r w:rsidR="00294902">
          <w:rPr>
            <w:szCs w:val="22"/>
            <w:lang w:val="cs-CZ"/>
          </w:rPr>
          <w:delText> mg</w:delText>
        </w:r>
        <w:r w:rsidRPr="001B4A02">
          <w:rPr>
            <w:szCs w:val="22"/>
            <w:lang w:val="cs-CZ"/>
          </w:rPr>
          <w:delText xml:space="preserve"> v</w:delText>
        </w:r>
        <w:r w:rsidR="00BD4EAC" w:rsidRPr="001B4A02">
          <w:rPr>
            <w:szCs w:val="22"/>
            <w:lang w:val="cs-CZ"/>
          </w:rPr>
          <w:delText> </w:delText>
        </w:r>
        <w:r w:rsidRPr="001B4A02">
          <w:rPr>
            <w:szCs w:val="22"/>
            <w:lang w:val="cs-CZ"/>
          </w:rPr>
          <w:delText>týdnu 0 následovaná dávkou 40</w:delText>
        </w:r>
        <w:r w:rsidR="00294902">
          <w:rPr>
            <w:szCs w:val="22"/>
            <w:lang w:val="cs-CZ"/>
          </w:rPr>
          <w:delText> mg</w:delText>
        </w:r>
        <w:r w:rsidRPr="001B4A02">
          <w:rPr>
            <w:szCs w:val="22"/>
            <w:lang w:val="cs-CZ"/>
          </w:rPr>
          <w:delText xml:space="preserve"> podávanou každý druhý týden od týdne 1 ve formě subkutánní injekce.</w:delText>
        </w:r>
      </w:del>
    </w:p>
    <w:p w14:paraId="2DBBAF83" w14:textId="77777777" w:rsidR="00DE7DB9" w:rsidRPr="001B4A02" w:rsidRDefault="00DE7DB9" w:rsidP="00ED48A3">
      <w:pPr>
        <w:pStyle w:val="EMEANormal"/>
        <w:rPr>
          <w:del w:id="250" w:author="AbbVie1" w:date="2025-05-13T09:50:00Z"/>
          <w:lang w:val="cs-CZ"/>
        </w:rPr>
      </w:pPr>
    </w:p>
    <w:p w14:paraId="1448F34F" w14:textId="77777777" w:rsidR="00DE7DB9" w:rsidRPr="001B4A02" w:rsidRDefault="00000000" w:rsidP="00ED48A3">
      <w:pPr>
        <w:ind w:left="0" w:firstLine="0"/>
        <w:rPr>
          <w:del w:id="251" w:author="AbbVie1" w:date="2025-05-13T09:50:00Z"/>
        </w:rPr>
      </w:pPr>
      <w:del w:id="252" w:author="AbbVie1" w:date="2025-05-13T09:50:00Z">
        <w:r w:rsidRPr="001B4A02">
          <w:rPr>
            <w:szCs w:val="22"/>
          </w:rPr>
          <w:delText>U dospívajících pacientů s</w:delText>
        </w:r>
        <w:r w:rsidR="00BD4EAC" w:rsidRPr="001B4A02">
          <w:rPr>
            <w:szCs w:val="22"/>
          </w:rPr>
          <w:delText> </w:delText>
        </w:r>
        <w:r w:rsidRPr="001B4A02">
          <w:rPr>
            <w:szCs w:val="22"/>
          </w:rPr>
          <w:delText>nedostatečnou odpovědí na dávku 40</w:delText>
        </w:r>
        <w:r w:rsidR="00294902">
          <w:rPr>
            <w:szCs w:val="22"/>
          </w:rPr>
          <w:delText> mg</w:delText>
        </w:r>
        <w:r w:rsidRPr="001B4A02">
          <w:rPr>
            <w:szCs w:val="22"/>
          </w:rPr>
          <w:delText xml:space="preserve"> přípravku Humira podávanou každé dva týdny může být zváženo zvýšení dávkování na 40</w:delText>
        </w:r>
        <w:r w:rsidR="00294902">
          <w:rPr>
            <w:szCs w:val="22"/>
          </w:rPr>
          <w:delText> mg</w:delText>
        </w:r>
        <w:r w:rsidRPr="001B4A02">
          <w:rPr>
            <w:szCs w:val="22"/>
          </w:rPr>
          <w:delText xml:space="preserve"> jednou týdně</w:delText>
        </w:r>
        <w:r w:rsidR="00F8749E" w:rsidRPr="001B4A02">
          <w:rPr>
            <w:szCs w:val="22"/>
          </w:rPr>
          <w:delText xml:space="preserve"> nebo 80</w:delText>
        </w:r>
        <w:r w:rsidR="00294902">
          <w:rPr>
            <w:szCs w:val="22"/>
          </w:rPr>
          <w:delText> mg</w:delText>
        </w:r>
        <w:r w:rsidR="00F8749E" w:rsidRPr="001B4A02">
          <w:rPr>
            <w:szCs w:val="22"/>
          </w:rPr>
          <w:delText xml:space="preserve"> jednou za dva týdny</w:delText>
        </w:r>
        <w:r w:rsidRPr="001B4A02">
          <w:rPr>
            <w:szCs w:val="22"/>
          </w:rPr>
          <w:delText>.</w:delText>
        </w:r>
      </w:del>
    </w:p>
    <w:p w14:paraId="4DAAD273" w14:textId="77777777" w:rsidR="00DE7DB9" w:rsidRPr="001B4A02" w:rsidRDefault="00DE7DB9" w:rsidP="00ED48A3">
      <w:pPr>
        <w:pStyle w:val="EMEANormal"/>
        <w:rPr>
          <w:del w:id="253" w:author="AbbVie1" w:date="2025-05-13T09:50:00Z"/>
          <w:lang w:val="cs-CZ"/>
        </w:rPr>
      </w:pPr>
    </w:p>
    <w:p w14:paraId="2D585AD3" w14:textId="77777777" w:rsidR="00DE7DB9" w:rsidRPr="001B4A02" w:rsidRDefault="00000000" w:rsidP="00ED48A3">
      <w:pPr>
        <w:pStyle w:val="EMEANormal"/>
        <w:rPr>
          <w:del w:id="254" w:author="AbbVie1" w:date="2025-05-13T09:50:00Z"/>
          <w:lang w:val="cs-CZ"/>
        </w:rPr>
      </w:pPr>
      <w:del w:id="255" w:author="AbbVie1" w:date="2025-05-13T09:50:00Z">
        <w:r w:rsidRPr="001B4A02">
          <w:rPr>
            <w:szCs w:val="22"/>
            <w:lang w:val="cs-CZ"/>
          </w:rPr>
          <w:delText>Je-li to nutné, léčba antibiotiky může během léčby přípravkem Humira pokračovat. Pacientům se během léčby přípravkem Humira doporučuje provádět denně lokální antiseptické ošetření na místech s</w:delText>
        </w:r>
        <w:r w:rsidR="00BD4EAC" w:rsidRPr="001B4A02">
          <w:rPr>
            <w:szCs w:val="22"/>
            <w:lang w:val="cs-CZ"/>
          </w:rPr>
          <w:delText> </w:delText>
        </w:r>
        <w:r w:rsidRPr="001B4A02">
          <w:rPr>
            <w:szCs w:val="22"/>
            <w:lang w:val="cs-CZ"/>
          </w:rPr>
          <w:delText>HS léz</w:delText>
        </w:r>
        <w:r w:rsidR="000D4B6E" w:rsidRPr="001B4A02">
          <w:rPr>
            <w:szCs w:val="22"/>
            <w:lang w:val="cs-CZ"/>
          </w:rPr>
          <w:delText>emi</w:delText>
        </w:r>
        <w:r w:rsidRPr="001B4A02">
          <w:rPr>
            <w:szCs w:val="22"/>
            <w:lang w:val="cs-CZ"/>
          </w:rPr>
          <w:delText>.</w:delText>
        </w:r>
      </w:del>
    </w:p>
    <w:p w14:paraId="31A10A59" w14:textId="77777777" w:rsidR="00DE7DB9" w:rsidRPr="001B4A02" w:rsidRDefault="00DE7DB9" w:rsidP="00ED48A3">
      <w:pPr>
        <w:pStyle w:val="EMEANormal"/>
        <w:rPr>
          <w:del w:id="256" w:author="AbbVie1" w:date="2025-05-13T09:50:00Z"/>
          <w:lang w:val="cs-CZ"/>
        </w:rPr>
      </w:pPr>
    </w:p>
    <w:p w14:paraId="0A16CCEE" w14:textId="77777777" w:rsidR="00DE7DB9" w:rsidRPr="001B4A02" w:rsidRDefault="00000000" w:rsidP="00ED48A3">
      <w:pPr>
        <w:pStyle w:val="EMEANormal"/>
        <w:rPr>
          <w:del w:id="257" w:author="AbbVie1" w:date="2025-05-13T09:50:00Z"/>
          <w:lang w:val="cs-CZ"/>
        </w:rPr>
      </w:pPr>
      <w:del w:id="258" w:author="AbbVie1" w:date="2025-05-13T09:50:00Z">
        <w:r w:rsidRPr="001B4A02">
          <w:rPr>
            <w:szCs w:val="22"/>
            <w:lang w:val="cs-CZ"/>
          </w:rPr>
          <w:delText>Pokračování léčby nad 12</w:delText>
        </w:r>
        <w:r w:rsidR="00B913E6" w:rsidRPr="001B4A02">
          <w:rPr>
            <w:szCs w:val="22"/>
            <w:lang w:val="cs-CZ"/>
          </w:rPr>
          <w:delText> </w:delText>
        </w:r>
        <w:r w:rsidRPr="001B4A02">
          <w:rPr>
            <w:szCs w:val="22"/>
            <w:lang w:val="cs-CZ"/>
          </w:rPr>
          <w:delText>týdnů by mělo být pečlivě zváženo u</w:delText>
        </w:r>
        <w:r w:rsidR="00BD4EAC" w:rsidRPr="001B4A02">
          <w:rPr>
            <w:szCs w:val="22"/>
            <w:lang w:val="cs-CZ"/>
          </w:rPr>
          <w:delText> </w:delText>
        </w:r>
        <w:r w:rsidRPr="001B4A02">
          <w:rPr>
            <w:szCs w:val="22"/>
            <w:lang w:val="cs-CZ"/>
          </w:rPr>
          <w:delText>pacientů, u</w:delText>
        </w:r>
        <w:r w:rsidR="00BD4EAC" w:rsidRPr="001B4A02">
          <w:rPr>
            <w:szCs w:val="22"/>
            <w:lang w:val="cs-CZ"/>
          </w:rPr>
          <w:delText> </w:delText>
        </w:r>
        <w:r w:rsidRPr="001B4A02">
          <w:rPr>
            <w:szCs w:val="22"/>
            <w:lang w:val="cs-CZ"/>
          </w:rPr>
          <w:delText>kterých během tohoto období nedošlo k</w:delText>
        </w:r>
        <w:r w:rsidR="00BD4EAC" w:rsidRPr="001B4A02">
          <w:rPr>
            <w:szCs w:val="22"/>
            <w:lang w:val="cs-CZ"/>
          </w:rPr>
          <w:delText> </w:delText>
        </w:r>
        <w:r w:rsidRPr="001B4A02">
          <w:rPr>
            <w:szCs w:val="22"/>
            <w:lang w:val="cs-CZ"/>
          </w:rPr>
          <w:delText>žádnému zlepšení.</w:delText>
        </w:r>
      </w:del>
    </w:p>
    <w:p w14:paraId="27C07CB6" w14:textId="77777777" w:rsidR="00DE7DB9" w:rsidRPr="001B4A02" w:rsidRDefault="00DE7DB9" w:rsidP="00ED48A3">
      <w:pPr>
        <w:rPr>
          <w:del w:id="259" w:author="AbbVie1" w:date="2025-05-13T09:50:00Z"/>
          <w:i/>
        </w:rPr>
      </w:pPr>
    </w:p>
    <w:p w14:paraId="1E7D1914" w14:textId="77777777" w:rsidR="00DE7DB9" w:rsidRPr="001B4A02" w:rsidRDefault="00000000" w:rsidP="00ED48A3">
      <w:pPr>
        <w:pStyle w:val="EMEANormal"/>
        <w:rPr>
          <w:del w:id="260" w:author="AbbVie1" w:date="2025-05-13T09:50:00Z"/>
          <w:lang w:val="cs-CZ"/>
        </w:rPr>
      </w:pPr>
      <w:del w:id="261" w:author="AbbVie1" w:date="2025-05-13T09:50:00Z">
        <w:r w:rsidRPr="001B4A02">
          <w:rPr>
            <w:szCs w:val="22"/>
            <w:lang w:val="cs-CZ"/>
          </w:rPr>
          <w:delText>Pokud je třeba léčbu přerušit, může být léčba přípravkem Humira podle potřeby znovu zahájena.</w:delText>
        </w:r>
      </w:del>
    </w:p>
    <w:p w14:paraId="4037C844" w14:textId="77777777" w:rsidR="00DE7DB9" w:rsidRPr="001B4A02" w:rsidRDefault="00DE7DB9" w:rsidP="00ED48A3">
      <w:pPr>
        <w:pStyle w:val="EMEANormal"/>
        <w:rPr>
          <w:del w:id="262" w:author="AbbVie1" w:date="2025-05-13T09:50:00Z"/>
          <w:lang w:val="cs-CZ"/>
        </w:rPr>
      </w:pPr>
    </w:p>
    <w:p w14:paraId="370AB4CA" w14:textId="77777777" w:rsidR="00DE7DB9" w:rsidRPr="001B4A02" w:rsidRDefault="00000000" w:rsidP="00ED48A3">
      <w:pPr>
        <w:pStyle w:val="EMEANormal"/>
        <w:rPr>
          <w:del w:id="263" w:author="AbbVie1" w:date="2025-05-13T09:50:00Z"/>
          <w:lang w:val="cs-CZ"/>
        </w:rPr>
      </w:pPr>
      <w:del w:id="264" w:author="AbbVie1" w:date="2025-05-13T09:50:00Z">
        <w:r w:rsidRPr="001B4A02">
          <w:rPr>
            <w:szCs w:val="22"/>
            <w:lang w:val="cs-CZ"/>
          </w:rPr>
          <w:delText>Přínos</w:delText>
        </w:r>
        <w:r w:rsidR="002378E0">
          <w:rPr>
            <w:szCs w:val="22"/>
            <w:lang w:val="cs-CZ"/>
          </w:rPr>
          <w:delText xml:space="preserve"> a </w:delText>
        </w:r>
        <w:r w:rsidRPr="001B4A02">
          <w:rPr>
            <w:szCs w:val="22"/>
            <w:lang w:val="cs-CZ"/>
          </w:rPr>
          <w:delText>rizika nepřetržité dlouhodobé léčby mají být pravidelně přehodnocovány (viz data u</w:delText>
        </w:r>
        <w:r w:rsidR="00BD4EAC" w:rsidRPr="001B4A02">
          <w:rPr>
            <w:szCs w:val="22"/>
            <w:lang w:val="cs-CZ"/>
          </w:rPr>
          <w:delText> </w:delText>
        </w:r>
        <w:r w:rsidRPr="001B4A02">
          <w:rPr>
            <w:szCs w:val="22"/>
            <w:lang w:val="cs-CZ"/>
          </w:rPr>
          <w:delText>dospělých v</w:delText>
        </w:r>
        <w:r w:rsidR="00BD4EAC" w:rsidRPr="001B4A02">
          <w:rPr>
            <w:szCs w:val="22"/>
            <w:lang w:val="cs-CZ"/>
          </w:rPr>
          <w:delText> </w:delText>
        </w:r>
        <w:r w:rsidRPr="001B4A02">
          <w:rPr>
            <w:szCs w:val="22"/>
            <w:lang w:val="cs-CZ"/>
          </w:rPr>
          <w:delText>bodě 5.1).</w:delText>
        </w:r>
      </w:del>
    </w:p>
    <w:p w14:paraId="30C68C4A" w14:textId="77777777" w:rsidR="00DE7DB9" w:rsidRPr="001B4A02" w:rsidRDefault="00DE7DB9" w:rsidP="00ED48A3">
      <w:pPr>
        <w:pStyle w:val="EMEANormal"/>
        <w:rPr>
          <w:del w:id="265" w:author="AbbVie1" w:date="2025-05-13T09:50:00Z"/>
          <w:lang w:val="cs-CZ"/>
        </w:rPr>
      </w:pPr>
    </w:p>
    <w:p w14:paraId="4C00C3BB" w14:textId="77777777" w:rsidR="00294685" w:rsidRPr="001B4A02" w:rsidRDefault="00000000" w:rsidP="00ED48A3">
      <w:pPr>
        <w:ind w:left="0" w:firstLine="0"/>
        <w:rPr>
          <w:del w:id="266" w:author="AbbVie1" w:date="2025-05-13T09:50:00Z"/>
          <w:i/>
        </w:rPr>
      </w:pPr>
      <w:del w:id="267" w:author="AbbVie1" w:date="2025-05-13T09:50:00Z">
        <w:r w:rsidRPr="001B4A02">
          <w:rPr>
            <w:szCs w:val="22"/>
          </w:rPr>
          <w:delText>Použití přípravku Humira u</w:delText>
        </w:r>
        <w:r w:rsidR="00BD4EAC" w:rsidRPr="001B4A02">
          <w:rPr>
            <w:szCs w:val="22"/>
          </w:rPr>
          <w:delText> </w:delText>
        </w:r>
        <w:r w:rsidRPr="001B4A02">
          <w:rPr>
            <w:szCs w:val="22"/>
          </w:rPr>
          <w:delText xml:space="preserve">dětí </w:delText>
        </w:r>
        <w:r w:rsidR="00BC482C" w:rsidRPr="001B4A02">
          <w:rPr>
            <w:szCs w:val="22"/>
          </w:rPr>
          <w:delText>mladších než</w:delText>
        </w:r>
        <w:r w:rsidRPr="001B4A02">
          <w:rPr>
            <w:szCs w:val="22"/>
          </w:rPr>
          <w:delText xml:space="preserve"> 12 let není </w:delText>
        </w:r>
        <w:r w:rsidR="00BC482C" w:rsidRPr="001B4A02">
          <w:rPr>
            <w:szCs w:val="22"/>
          </w:rPr>
          <w:delText xml:space="preserve">v této indikaci </w:delText>
        </w:r>
        <w:r w:rsidRPr="001B4A02">
          <w:rPr>
            <w:szCs w:val="22"/>
          </w:rPr>
          <w:delText>relevantní.</w:delText>
        </w:r>
      </w:del>
    </w:p>
    <w:p w14:paraId="5461B666" w14:textId="77777777" w:rsidR="00294685" w:rsidRPr="001B4A02" w:rsidRDefault="00294685" w:rsidP="00ED48A3">
      <w:pPr>
        <w:ind w:left="0" w:firstLine="0"/>
        <w:rPr>
          <w:del w:id="268" w:author="AbbVie1" w:date="2025-05-13T09:50:00Z"/>
          <w:i/>
        </w:rPr>
      </w:pPr>
    </w:p>
    <w:p w14:paraId="439F3C40" w14:textId="77777777" w:rsidR="00F8749E" w:rsidRPr="001B4A02" w:rsidRDefault="00000000" w:rsidP="00F8749E">
      <w:pPr>
        <w:pStyle w:val="EMEANormal"/>
        <w:rPr>
          <w:del w:id="269" w:author="AbbVie1" w:date="2025-05-13T09:50:00Z"/>
          <w:lang w:val="cs-CZ"/>
        </w:rPr>
      </w:pPr>
      <w:del w:id="270" w:author="AbbVie1" w:date="2025-05-13T09:50:00Z">
        <w:r w:rsidRPr="001B4A02">
          <w:rPr>
            <w:lang w:val="cs-CZ"/>
          </w:rPr>
          <w:delText xml:space="preserve">Přípravek Humira je k dispozici v dalších silách a/nebo </w:delText>
        </w:r>
        <w:r w:rsidR="00A43DB3" w:rsidRPr="00F261A6">
          <w:rPr>
            <w:lang w:val="cs-CZ"/>
          </w:rPr>
          <w:delText>typech balení</w:delText>
        </w:r>
        <w:r w:rsidRPr="001B4A02">
          <w:rPr>
            <w:lang w:val="cs-CZ"/>
          </w:rPr>
          <w:delText xml:space="preserve"> v závislosti na individuálních potřebách léčby.</w:delText>
        </w:r>
      </w:del>
    </w:p>
    <w:p w14:paraId="4ED72AE2" w14:textId="77777777" w:rsidR="00F8749E" w:rsidRPr="001B4A02" w:rsidRDefault="00F8749E" w:rsidP="00ED48A3">
      <w:pPr>
        <w:ind w:left="0" w:firstLine="0"/>
        <w:rPr>
          <w:del w:id="271" w:author="AbbVie1" w:date="2025-05-13T09:50:00Z"/>
          <w:i/>
        </w:rPr>
      </w:pPr>
    </w:p>
    <w:p w14:paraId="2F94EC74" w14:textId="77777777" w:rsidR="006C1EAF" w:rsidRPr="001B4A02" w:rsidRDefault="00000000" w:rsidP="00ED48A3">
      <w:pPr>
        <w:ind w:left="0" w:firstLine="0"/>
        <w:rPr>
          <w:del w:id="272" w:author="AbbVie1" w:date="2025-05-13T09:50:00Z"/>
          <w:i/>
        </w:rPr>
      </w:pPr>
      <w:del w:id="273" w:author="AbbVie1" w:date="2025-05-13T09:50:00Z">
        <w:r w:rsidRPr="001B4A02">
          <w:rPr>
            <w:i/>
          </w:rPr>
          <w:delText>Crohnova</w:delText>
        </w:r>
        <w:r w:rsidR="006E75F4" w:rsidRPr="001B4A02">
          <w:rPr>
            <w:i/>
          </w:rPr>
          <w:delText xml:space="preserve"> choroba</w:delText>
        </w:r>
        <w:r w:rsidR="00B12121" w:rsidRPr="001B4A02">
          <w:rPr>
            <w:i/>
          </w:rPr>
          <w:delText xml:space="preserve"> u </w:delText>
        </w:r>
        <w:r w:rsidR="006E75F4" w:rsidRPr="001B4A02">
          <w:rPr>
            <w:i/>
          </w:rPr>
          <w:delText>pediatrických pacien</w:delText>
        </w:r>
        <w:r w:rsidRPr="001B4A02">
          <w:rPr>
            <w:i/>
          </w:rPr>
          <w:delText>t</w:delText>
        </w:r>
        <w:r w:rsidR="006E75F4" w:rsidRPr="001B4A02">
          <w:rPr>
            <w:i/>
          </w:rPr>
          <w:delText>ů</w:delText>
        </w:r>
      </w:del>
    </w:p>
    <w:p w14:paraId="7F3FFB7F" w14:textId="77777777" w:rsidR="006C1EAF" w:rsidRPr="001B4A02" w:rsidRDefault="006C1EAF" w:rsidP="00ED48A3">
      <w:pPr>
        <w:ind w:left="0" w:firstLine="0"/>
        <w:rPr>
          <w:del w:id="274" w:author="AbbVie1" w:date="2025-05-13T09:50:00Z"/>
        </w:rPr>
      </w:pPr>
    </w:p>
    <w:p w14:paraId="54A043C7" w14:textId="77777777" w:rsidR="00596AAF" w:rsidRDefault="00000000" w:rsidP="00596AAF">
      <w:pPr>
        <w:ind w:left="0" w:firstLine="0"/>
        <w:rPr>
          <w:del w:id="275" w:author="AbbVie1" w:date="2025-05-13T09:50:00Z"/>
        </w:rPr>
      </w:pPr>
      <w:del w:id="276" w:author="AbbVie1" w:date="2025-05-13T09:50:00Z">
        <w:r w:rsidRPr="001B4A02">
          <w:delText>Doporučen</w:delText>
        </w:r>
        <w:r w:rsidR="003941F6" w:rsidRPr="001B4A02">
          <w:delText>á</w:delText>
        </w:r>
        <w:r w:rsidRPr="001B4A02">
          <w:delText xml:space="preserve"> dávk</w:delText>
        </w:r>
        <w:r w:rsidR="005A3629" w:rsidRPr="001B4A02">
          <w:delText>a</w:delText>
        </w:r>
        <w:r w:rsidRPr="001B4A02">
          <w:delText xml:space="preserve"> přípravku Humira u pacientů s</w:delText>
        </w:r>
        <w:r w:rsidR="00A9166E" w:rsidRPr="001B4A02">
          <w:delText> </w:delText>
        </w:r>
        <w:r w:rsidRPr="001B4A02">
          <w:delText xml:space="preserve">Crohnovou chorobou ve věku od 6 do 17 let vychází z tělesné hmotnosti (tabulka 4). </w:delText>
        </w:r>
        <w:r w:rsidR="005A3629" w:rsidRPr="001B4A02">
          <w:delText xml:space="preserve">Přípravek </w:delText>
        </w:r>
        <w:r w:rsidRPr="001B4A02">
          <w:delText xml:space="preserve">Humira se podává subkutánní injekcí. </w:delText>
        </w:r>
      </w:del>
    </w:p>
    <w:p w14:paraId="235500E3" w14:textId="77777777" w:rsidR="00A43DB3" w:rsidRPr="001B4A02" w:rsidRDefault="00A43DB3" w:rsidP="00596AAF">
      <w:pPr>
        <w:ind w:left="0" w:firstLine="0"/>
        <w:rPr>
          <w:del w:id="277" w:author="AbbVie1" w:date="2025-05-13T09:50:00Z"/>
        </w:rPr>
      </w:pPr>
    </w:p>
    <w:p w14:paraId="0F0FC4E8" w14:textId="77777777" w:rsidR="00596AAF" w:rsidRPr="001B4A02" w:rsidRDefault="00000000" w:rsidP="00596AAF">
      <w:pPr>
        <w:keepNext/>
        <w:jc w:val="center"/>
        <w:rPr>
          <w:del w:id="278" w:author="AbbVie1" w:date="2025-05-13T09:50:00Z"/>
          <w:b/>
          <w:szCs w:val="22"/>
        </w:rPr>
      </w:pPr>
      <w:del w:id="279" w:author="AbbVie1" w:date="2025-05-13T09:50:00Z">
        <w:r w:rsidRPr="001B4A02">
          <w:rPr>
            <w:b/>
            <w:szCs w:val="22"/>
          </w:rPr>
          <w:delText>Tabulka 4. Dávka přípravku Humira u</w:delText>
        </w:r>
        <w:r w:rsidR="000D1F8F" w:rsidRPr="001B4A02">
          <w:rPr>
            <w:b/>
            <w:szCs w:val="22"/>
          </w:rPr>
          <w:delText> </w:delText>
        </w:r>
        <w:r w:rsidRPr="001B4A02">
          <w:rPr>
            <w:b/>
            <w:szCs w:val="22"/>
          </w:rPr>
          <w:delText>pediatrických pacientů s Crohnovou chorobou</w:delText>
        </w:r>
      </w:del>
    </w:p>
    <w:p w14:paraId="6B01B3D9" w14:textId="77777777" w:rsidR="00596AAF" w:rsidRPr="001B4A02" w:rsidRDefault="00596AAF" w:rsidP="00596AAF">
      <w:pPr>
        <w:keepNext/>
        <w:rPr>
          <w:del w:id="280" w:author="AbbVie1" w:date="2025-05-13T09:50:00Z"/>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4"/>
        <w:gridCol w:w="5527"/>
        <w:gridCol w:w="1974"/>
      </w:tblGrid>
      <w:tr w:rsidR="00534A2D" w14:paraId="39A349E8" w14:textId="77777777" w:rsidTr="00CA4765">
        <w:trPr>
          <w:tblHeader/>
          <w:del w:id="281" w:author="AbbVie1" w:date="2025-05-13T09:50:00Z"/>
        </w:trPr>
        <w:tc>
          <w:tcPr>
            <w:tcW w:w="858" w:type="pct"/>
            <w:tcBorders>
              <w:top w:val="single" w:sz="6" w:space="0" w:color="000000"/>
              <w:left w:val="single" w:sz="6" w:space="0" w:color="000000"/>
              <w:bottom w:val="single" w:sz="6" w:space="0" w:color="000000"/>
              <w:right w:val="single" w:sz="6" w:space="0" w:color="000000"/>
            </w:tcBorders>
            <w:hideMark/>
          </w:tcPr>
          <w:p w14:paraId="3B5D752F" w14:textId="77777777" w:rsidR="00596AAF" w:rsidRPr="001B4A02" w:rsidRDefault="00000000" w:rsidP="00253ABE">
            <w:pPr>
              <w:keepNext/>
              <w:ind w:left="0" w:firstLine="0"/>
              <w:jc w:val="center"/>
              <w:rPr>
                <w:del w:id="282" w:author="AbbVie1" w:date="2025-05-13T09:50:00Z"/>
              </w:rPr>
            </w:pPr>
            <w:del w:id="283" w:author="AbbVie1" w:date="2025-05-13T09:50:00Z">
              <w:r w:rsidRPr="001B4A02">
                <w:rPr>
                  <w:b/>
                </w:rPr>
                <w:delText>Hmotnost pacienta</w:delText>
              </w:r>
            </w:del>
          </w:p>
        </w:tc>
        <w:tc>
          <w:tcPr>
            <w:tcW w:w="3052" w:type="pct"/>
            <w:tcBorders>
              <w:top w:val="single" w:sz="6" w:space="0" w:color="000000"/>
              <w:left w:val="single" w:sz="6" w:space="0" w:color="000000"/>
              <w:bottom w:val="single" w:sz="6" w:space="0" w:color="000000"/>
              <w:right w:val="single" w:sz="6" w:space="0" w:color="000000"/>
            </w:tcBorders>
            <w:hideMark/>
          </w:tcPr>
          <w:p w14:paraId="0B654E8A" w14:textId="77777777" w:rsidR="00596AAF" w:rsidRPr="001B4A02" w:rsidRDefault="00000000" w:rsidP="00253ABE">
            <w:pPr>
              <w:keepNext/>
              <w:ind w:left="0" w:firstLine="0"/>
              <w:jc w:val="center"/>
              <w:rPr>
                <w:del w:id="284" w:author="AbbVie1" w:date="2025-05-13T09:50:00Z"/>
              </w:rPr>
            </w:pPr>
            <w:del w:id="285" w:author="AbbVie1" w:date="2025-05-13T09:50:00Z">
              <w:r w:rsidRPr="001B4A02">
                <w:rPr>
                  <w:b/>
                </w:rPr>
                <w:delText>Indukční dávka</w:delText>
              </w:r>
            </w:del>
          </w:p>
        </w:tc>
        <w:tc>
          <w:tcPr>
            <w:tcW w:w="1091" w:type="pct"/>
            <w:tcBorders>
              <w:top w:val="single" w:sz="6" w:space="0" w:color="000000"/>
              <w:left w:val="single" w:sz="6" w:space="0" w:color="000000"/>
              <w:bottom w:val="single" w:sz="6" w:space="0" w:color="000000"/>
              <w:right w:val="single" w:sz="6" w:space="0" w:color="000000"/>
            </w:tcBorders>
            <w:hideMark/>
          </w:tcPr>
          <w:p w14:paraId="4882BC07" w14:textId="77777777" w:rsidR="00596AAF" w:rsidRPr="001B4A02" w:rsidRDefault="00000000" w:rsidP="00253ABE">
            <w:pPr>
              <w:keepNext/>
              <w:ind w:left="0" w:firstLine="0"/>
              <w:jc w:val="center"/>
              <w:rPr>
                <w:del w:id="286" w:author="AbbVie1" w:date="2025-05-13T09:50:00Z"/>
                <w:b/>
              </w:rPr>
            </w:pPr>
            <w:del w:id="287" w:author="AbbVie1" w:date="2025-05-13T09:50:00Z">
              <w:r w:rsidRPr="001B4A02">
                <w:rPr>
                  <w:b/>
                </w:rPr>
                <w:delText xml:space="preserve">Udržovací dávka </w:delText>
              </w:r>
            </w:del>
          </w:p>
          <w:p w14:paraId="5A7445B6" w14:textId="77777777" w:rsidR="00596AAF" w:rsidRPr="001B4A02" w:rsidRDefault="00000000" w:rsidP="00253ABE">
            <w:pPr>
              <w:keepNext/>
              <w:ind w:left="0" w:firstLine="0"/>
              <w:jc w:val="center"/>
              <w:rPr>
                <w:del w:id="288" w:author="AbbVie1" w:date="2025-05-13T09:50:00Z"/>
              </w:rPr>
            </w:pPr>
            <w:del w:id="289" w:author="AbbVie1" w:date="2025-05-13T09:50:00Z">
              <w:r w:rsidRPr="001B4A02">
                <w:rPr>
                  <w:b/>
                </w:rPr>
                <w:delText>od týdne 4</w:delText>
              </w:r>
            </w:del>
          </w:p>
        </w:tc>
      </w:tr>
      <w:tr w:rsidR="00534A2D" w14:paraId="3FFF312F" w14:textId="77777777" w:rsidTr="00CA4765">
        <w:trPr>
          <w:del w:id="290" w:author="AbbVie1" w:date="2025-05-13T09:50:00Z"/>
        </w:trPr>
        <w:tc>
          <w:tcPr>
            <w:tcW w:w="858" w:type="pct"/>
            <w:tcBorders>
              <w:top w:val="single" w:sz="6" w:space="0" w:color="000000"/>
              <w:left w:val="single" w:sz="6" w:space="0" w:color="000000"/>
              <w:bottom w:val="single" w:sz="6" w:space="0" w:color="000000"/>
              <w:right w:val="single" w:sz="6" w:space="0" w:color="000000"/>
            </w:tcBorders>
            <w:hideMark/>
          </w:tcPr>
          <w:p w14:paraId="48572D9C" w14:textId="77777777" w:rsidR="00596AAF" w:rsidRPr="001B4A02" w:rsidRDefault="00000000" w:rsidP="00253ABE">
            <w:pPr>
              <w:keepNext/>
              <w:ind w:left="0" w:firstLine="0"/>
              <w:jc w:val="center"/>
              <w:rPr>
                <w:del w:id="291" w:author="AbbVie1" w:date="2025-05-13T09:50:00Z"/>
              </w:rPr>
            </w:pPr>
            <w:del w:id="292" w:author="AbbVie1" w:date="2025-05-13T09:50:00Z">
              <w:r w:rsidRPr="001B4A02">
                <w:delText>&lt;</w:delText>
              </w:r>
              <w:r w:rsidR="00057A14" w:rsidRPr="001B4A02">
                <w:delText> </w:delText>
              </w:r>
              <w:r w:rsidRPr="001B4A02">
                <w:delText>40</w:delText>
              </w:r>
              <w:r w:rsidR="002767FC">
                <w:delText> kg</w:delText>
              </w:r>
            </w:del>
          </w:p>
        </w:tc>
        <w:tc>
          <w:tcPr>
            <w:tcW w:w="3052" w:type="pct"/>
            <w:tcBorders>
              <w:top w:val="single" w:sz="6" w:space="0" w:color="000000"/>
              <w:left w:val="single" w:sz="6" w:space="0" w:color="000000"/>
              <w:bottom w:val="single" w:sz="6" w:space="0" w:color="000000"/>
              <w:right w:val="single" w:sz="6" w:space="0" w:color="000000"/>
            </w:tcBorders>
            <w:hideMark/>
          </w:tcPr>
          <w:p w14:paraId="537D9BD4" w14:textId="77777777" w:rsidR="00596AAF" w:rsidRPr="001B4A02" w:rsidRDefault="00000000" w:rsidP="00A5191B">
            <w:pPr>
              <w:keepNext/>
              <w:numPr>
                <w:ilvl w:val="0"/>
                <w:numId w:val="242"/>
              </w:numPr>
              <w:ind w:left="203" w:hanging="14"/>
              <w:rPr>
                <w:del w:id="293" w:author="AbbVie1" w:date="2025-05-13T09:50:00Z"/>
                <w:szCs w:val="22"/>
              </w:rPr>
            </w:pPr>
            <w:del w:id="294" w:author="AbbVie1" w:date="2025-05-13T09:50:00Z">
              <w:r w:rsidRPr="001B4A02">
                <w:rPr>
                  <w:szCs w:val="22"/>
                </w:rPr>
                <w:delText>40 mg v týdnu 0</w:delText>
              </w:r>
              <w:r w:rsidR="002378E0">
                <w:rPr>
                  <w:szCs w:val="22"/>
                </w:rPr>
                <w:delText xml:space="preserve"> a </w:delText>
              </w:r>
              <w:r w:rsidRPr="001B4A02">
                <w:rPr>
                  <w:szCs w:val="22"/>
                </w:rPr>
                <w:delText>20 mg v týdnu 2</w:delText>
              </w:r>
            </w:del>
          </w:p>
          <w:p w14:paraId="14CFEBE9" w14:textId="77777777" w:rsidR="00596AAF" w:rsidRPr="001B4A02" w:rsidRDefault="00596AAF" w:rsidP="00A5191B">
            <w:pPr>
              <w:keepNext/>
              <w:ind w:left="203" w:hanging="14"/>
              <w:rPr>
                <w:del w:id="295" w:author="AbbVie1" w:date="2025-05-13T09:50:00Z"/>
                <w:szCs w:val="22"/>
              </w:rPr>
            </w:pPr>
          </w:p>
          <w:p w14:paraId="0799FF99" w14:textId="77777777" w:rsidR="00596AAF" w:rsidRPr="001B4A02" w:rsidRDefault="00000000" w:rsidP="00A5191B">
            <w:pPr>
              <w:keepNext/>
              <w:ind w:left="203" w:hanging="14"/>
              <w:rPr>
                <w:del w:id="296" w:author="AbbVie1" w:date="2025-05-13T09:50:00Z"/>
                <w:szCs w:val="22"/>
              </w:rPr>
            </w:pPr>
            <w:del w:id="297" w:author="AbbVie1" w:date="2025-05-13T09:50:00Z">
              <w:r w:rsidRPr="001B4A02">
                <w:rPr>
                  <w:szCs w:val="22"/>
                </w:rPr>
                <w:delText>V případě, že je nutná rychlejší odpověď s vědomím, že riziko nežádoucích účinků může být vyšší při použití vyšší indukční dávky, může být použita následující dávka:</w:delText>
              </w:r>
            </w:del>
          </w:p>
          <w:p w14:paraId="39EF3BAB" w14:textId="77777777" w:rsidR="00596AAF" w:rsidRPr="001B4A02" w:rsidRDefault="00000000" w:rsidP="00A5191B">
            <w:pPr>
              <w:keepNext/>
              <w:numPr>
                <w:ilvl w:val="0"/>
                <w:numId w:val="244"/>
              </w:numPr>
              <w:ind w:left="203" w:hanging="14"/>
              <w:rPr>
                <w:del w:id="298" w:author="AbbVie1" w:date="2025-05-13T09:50:00Z"/>
                <w:iCs/>
                <w:szCs w:val="22"/>
              </w:rPr>
            </w:pPr>
            <w:del w:id="299" w:author="AbbVie1" w:date="2025-05-13T09:50:00Z">
              <w:r w:rsidRPr="001B4A02">
                <w:rPr>
                  <w:szCs w:val="22"/>
                </w:rPr>
                <w:delText>80 mg v týdnu 0</w:delText>
              </w:r>
              <w:r w:rsidR="002378E0">
                <w:rPr>
                  <w:szCs w:val="22"/>
                </w:rPr>
                <w:delText xml:space="preserve"> a </w:delText>
              </w:r>
              <w:r w:rsidRPr="001B4A02">
                <w:rPr>
                  <w:szCs w:val="22"/>
                </w:rPr>
                <w:delText>40 mg v týdnu 2</w:delText>
              </w:r>
            </w:del>
          </w:p>
        </w:tc>
        <w:tc>
          <w:tcPr>
            <w:tcW w:w="1091" w:type="pct"/>
            <w:tcBorders>
              <w:top w:val="single" w:sz="6" w:space="0" w:color="000000"/>
              <w:left w:val="single" w:sz="6" w:space="0" w:color="000000"/>
              <w:bottom w:val="single" w:sz="6" w:space="0" w:color="000000"/>
              <w:right w:val="single" w:sz="6" w:space="0" w:color="000000"/>
            </w:tcBorders>
            <w:hideMark/>
          </w:tcPr>
          <w:p w14:paraId="29D0D39B" w14:textId="77777777" w:rsidR="00596AAF" w:rsidRPr="001B4A02" w:rsidRDefault="00000000" w:rsidP="00253ABE">
            <w:pPr>
              <w:keepNext/>
              <w:ind w:left="0" w:firstLine="0"/>
              <w:jc w:val="center"/>
              <w:rPr>
                <w:del w:id="300" w:author="AbbVie1" w:date="2025-05-13T09:50:00Z"/>
              </w:rPr>
            </w:pPr>
            <w:del w:id="301" w:author="AbbVie1" w:date="2025-05-13T09:50:00Z">
              <w:r w:rsidRPr="001B4A02">
                <w:delText xml:space="preserve">20 mg jednou </w:delText>
              </w:r>
            </w:del>
          </w:p>
          <w:p w14:paraId="4B52BBE6" w14:textId="77777777" w:rsidR="00596AAF" w:rsidRPr="001B4A02" w:rsidRDefault="00000000" w:rsidP="00253ABE">
            <w:pPr>
              <w:keepNext/>
              <w:ind w:left="0" w:firstLine="0"/>
              <w:jc w:val="center"/>
              <w:rPr>
                <w:del w:id="302" w:author="AbbVie1" w:date="2025-05-13T09:50:00Z"/>
              </w:rPr>
            </w:pPr>
            <w:del w:id="303" w:author="AbbVie1" w:date="2025-05-13T09:50:00Z">
              <w:r w:rsidRPr="001B4A02">
                <w:delText>za dva týdny</w:delText>
              </w:r>
            </w:del>
          </w:p>
        </w:tc>
      </w:tr>
      <w:tr w:rsidR="00534A2D" w14:paraId="585A42FC" w14:textId="77777777" w:rsidTr="00CA4765">
        <w:trPr>
          <w:del w:id="304" w:author="AbbVie1" w:date="2025-05-13T09:50:00Z"/>
        </w:trPr>
        <w:tc>
          <w:tcPr>
            <w:tcW w:w="858" w:type="pct"/>
            <w:tcBorders>
              <w:top w:val="single" w:sz="6" w:space="0" w:color="000000"/>
              <w:left w:val="single" w:sz="6" w:space="0" w:color="000000"/>
              <w:bottom w:val="single" w:sz="6" w:space="0" w:color="000000"/>
              <w:right w:val="single" w:sz="6" w:space="0" w:color="000000"/>
            </w:tcBorders>
            <w:hideMark/>
          </w:tcPr>
          <w:p w14:paraId="3C0EAE9E" w14:textId="77777777" w:rsidR="00596AAF" w:rsidRPr="001B4A02" w:rsidRDefault="00000000" w:rsidP="00253ABE">
            <w:pPr>
              <w:keepNext/>
              <w:ind w:left="0" w:firstLine="0"/>
              <w:jc w:val="center"/>
              <w:rPr>
                <w:del w:id="305" w:author="AbbVie1" w:date="2025-05-13T09:50:00Z"/>
              </w:rPr>
            </w:pPr>
            <w:del w:id="306" w:author="AbbVie1" w:date="2025-05-13T09:50:00Z">
              <w:r w:rsidRPr="001B4A02">
                <w:delText>≥</w:delText>
              </w:r>
              <w:r w:rsidR="00057A14" w:rsidRPr="001B4A02">
                <w:delText> </w:delText>
              </w:r>
              <w:r w:rsidRPr="001B4A02">
                <w:delText>40</w:delText>
              </w:r>
              <w:r w:rsidR="002767FC">
                <w:delText> kg</w:delText>
              </w:r>
            </w:del>
          </w:p>
        </w:tc>
        <w:tc>
          <w:tcPr>
            <w:tcW w:w="3052" w:type="pct"/>
            <w:tcBorders>
              <w:top w:val="single" w:sz="6" w:space="0" w:color="000000"/>
              <w:left w:val="single" w:sz="6" w:space="0" w:color="000000"/>
              <w:bottom w:val="single" w:sz="6" w:space="0" w:color="000000"/>
              <w:right w:val="single" w:sz="6" w:space="0" w:color="000000"/>
            </w:tcBorders>
            <w:hideMark/>
          </w:tcPr>
          <w:p w14:paraId="1A4DB55F" w14:textId="77777777" w:rsidR="00596AAF" w:rsidRPr="001B4A02" w:rsidRDefault="00000000" w:rsidP="00A5191B">
            <w:pPr>
              <w:keepNext/>
              <w:numPr>
                <w:ilvl w:val="0"/>
                <w:numId w:val="245"/>
              </w:numPr>
              <w:ind w:left="203" w:hanging="14"/>
              <w:rPr>
                <w:del w:id="307" w:author="AbbVie1" w:date="2025-05-13T09:50:00Z"/>
                <w:szCs w:val="22"/>
              </w:rPr>
            </w:pPr>
            <w:del w:id="308" w:author="AbbVie1" w:date="2025-05-13T09:50:00Z">
              <w:r w:rsidRPr="001B4A02">
                <w:rPr>
                  <w:szCs w:val="22"/>
                </w:rPr>
                <w:delText>80 mg v týdnu 0</w:delText>
              </w:r>
              <w:r w:rsidR="002378E0">
                <w:rPr>
                  <w:szCs w:val="22"/>
                </w:rPr>
                <w:delText xml:space="preserve"> a </w:delText>
              </w:r>
              <w:r w:rsidRPr="001B4A02">
                <w:rPr>
                  <w:szCs w:val="22"/>
                </w:rPr>
                <w:delText>40 mg v týdnu 2</w:delText>
              </w:r>
            </w:del>
          </w:p>
          <w:p w14:paraId="3233CC6A" w14:textId="77777777" w:rsidR="00596AAF" w:rsidRPr="001B4A02" w:rsidRDefault="00596AAF" w:rsidP="00A5191B">
            <w:pPr>
              <w:keepNext/>
              <w:ind w:left="203" w:hanging="14"/>
              <w:rPr>
                <w:del w:id="309" w:author="AbbVie1" w:date="2025-05-13T09:50:00Z"/>
                <w:szCs w:val="22"/>
              </w:rPr>
            </w:pPr>
          </w:p>
          <w:p w14:paraId="0835BC41" w14:textId="77777777" w:rsidR="00596AAF" w:rsidRPr="001B4A02" w:rsidRDefault="00000000" w:rsidP="00A5191B">
            <w:pPr>
              <w:keepNext/>
              <w:ind w:left="203" w:hanging="14"/>
              <w:rPr>
                <w:del w:id="310" w:author="AbbVie1" w:date="2025-05-13T09:50:00Z"/>
                <w:iCs/>
                <w:szCs w:val="22"/>
              </w:rPr>
            </w:pPr>
            <w:del w:id="311" w:author="AbbVie1" w:date="2025-05-13T09:50:00Z">
              <w:r w:rsidRPr="001B4A02">
                <w:rPr>
                  <w:szCs w:val="22"/>
                </w:rPr>
                <w:delText>V případě, že je nutná rychlejší odpověď s vědomím, že riziko nežádoucích účinků může být vyšší při použití vyšší indukční dávky, může být použita následující dávka:</w:delText>
              </w:r>
            </w:del>
          </w:p>
          <w:p w14:paraId="1083B081" w14:textId="77777777" w:rsidR="00596AAF" w:rsidRPr="001B4A02" w:rsidRDefault="00000000" w:rsidP="00A5191B">
            <w:pPr>
              <w:keepNext/>
              <w:numPr>
                <w:ilvl w:val="0"/>
                <w:numId w:val="243"/>
              </w:numPr>
              <w:ind w:left="203" w:hanging="14"/>
              <w:rPr>
                <w:del w:id="312" w:author="AbbVie1" w:date="2025-05-13T09:50:00Z"/>
                <w:szCs w:val="22"/>
              </w:rPr>
            </w:pPr>
            <w:del w:id="313" w:author="AbbVie1" w:date="2025-05-13T09:50:00Z">
              <w:r w:rsidRPr="001B4A02">
                <w:rPr>
                  <w:szCs w:val="22"/>
                </w:rPr>
                <w:delText>160 mg v týdnu 0</w:delText>
              </w:r>
              <w:r w:rsidR="002378E0">
                <w:rPr>
                  <w:szCs w:val="22"/>
                </w:rPr>
                <w:delText xml:space="preserve"> a </w:delText>
              </w:r>
              <w:r w:rsidRPr="001B4A02">
                <w:rPr>
                  <w:szCs w:val="22"/>
                </w:rPr>
                <w:delText>80 mg v týdnu 2</w:delText>
              </w:r>
            </w:del>
          </w:p>
        </w:tc>
        <w:tc>
          <w:tcPr>
            <w:tcW w:w="1091" w:type="pct"/>
            <w:tcBorders>
              <w:top w:val="single" w:sz="6" w:space="0" w:color="000000"/>
              <w:left w:val="single" w:sz="6" w:space="0" w:color="000000"/>
              <w:bottom w:val="single" w:sz="6" w:space="0" w:color="000000"/>
              <w:right w:val="single" w:sz="6" w:space="0" w:color="000000"/>
            </w:tcBorders>
            <w:hideMark/>
          </w:tcPr>
          <w:p w14:paraId="271702C2" w14:textId="77777777" w:rsidR="00596AAF" w:rsidRPr="001B4A02" w:rsidRDefault="00000000" w:rsidP="00253ABE">
            <w:pPr>
              <w:keepNext/>
              <w:ind w:left="0" w:firstLine="0"/>
              <w:jc w:val="center"/>
              <w:rPr>
                <w:del w:id="314" w:author="AbbVie1" w:date="2025-05-13T09:50:00Z"/>
              </w:rPr>
            </w:pPr>
            <w:del w:id="315" w:author="AbbVie1" w:date="2025-05-13T09:50:00Z">
              <w:r w:rsidRPr="001B4A02">
                <w:delText xml:space="preserve">40 mg jednou </w:delText>
              </w:r>
            </w:del>
          </w:p>
          <w:p w14:paraId="38D1814D" w14:textId="77777777" w:rsidR="00596AAF" w:rsidRPr="001B4A02" w:rsidRDefault="00000000" w:rsidP="00253ABE">
            <w:pPr>
              <w:keepNext/>
              <w:ind w:left="0" w:firstLine="0"/>
              <w:jc w:val="center"/>
              <w:rPr>
                <w:del w:id="316" w:author="AbbVie1" w:date="2025-05-13T09:50:00Z"/>
              </w:rPr>
            </w:pPr>
            <w:del w:id="317" w:author="AbbVie1" w:date="2025-05-13T09:50:00Z">
              <w:r w:rsidRPr="001B4A02">
                <w:delText>za dva týdny</w:delText>
              </w:r>
            </w:del>
          </w:p>
        </w:tc>
      </w:tr>
    </w:tbl>
    <w:p w14:paraId="19C8997D" w14:textId="77777777" w:rsidR="00596AAF" w:rsidRPr="001B4A02" w:rsidRDefault="00596AAF" w:rsidP="00596AAF">
      <w:pPr>
        <w:ind w:left="0" w:firstLine="0"/>
        <w:rPr>
          <w:del w:id="318" w:author="AbbVie1" w:date="2025-05-13T09:50:00Z"/>
        </w:rPr>
      </w:pPr>
    </w:p>
    <w:p w14:paraId="3FB4FF04" w14:textId="77777777" w:rsidR="00596AAF" w:rsidRPr="001B4A02" w:rsidRDefault="00000000" w:rsidP="00CA4765">
      <w:pPr>
        <w:pStyle w:val="EMEANormal"/>
        <w:keepNext/>
        <w:tabs>
          <w:tab w:val="clear" w:pos="562"/>
          <w:tab w:val="left" w:pos="708"/>
        </w:tabs>
        <w:suppressAutoHyphens w:val="0"/>
        <w:rPr>
          <w:del w:id="319" w:author="AbbVie1" w:date="2025-05-13T09:50:00Z"/>
          <w:lang w:val="cs-CZ"/>
        </w:rPr>
      </w:pPr>
      <w:del w:id="320" w:author="AbbVie1" w:date="2025-05-13T09:50:00Z">
        <w:r w:rsidRPr="001B4A02">
          <w:rPr>
            <w:lang w:val="cs-CZ"/>
          </w:rPr>
          <w:delText>Pacienti s nedostatečnou odpovědí mohou mít přínos ze zvýšení dávkování:</w:delText>
        </w:r>
      </w:del>
    </w:p>
    <w:p w14:paraId="1DA8158C" w14:textId="77777777" w:rsidR="00596AAF" w:rsidRPr="001B4A02" w:rsidRDefault="00000000" w:rsidP="00596AAF">
      <w:pPr>
        <w:keepNext/>
        <w:numPr>
          <w:ilvl w:val="0"/>
          <w:numId w:val="246"/>
        </w:numPr>
        <w:tabs>
          <w:tab w:val="left" w:pos="540"/>
        </w:tabs>
        <w:suppressAutoHyphens/>
        <w:rPr>
          <w:del w:id="321" w:author="AbbVie1" w:date="2025-05-13T09:50:00Z"/>
        </w:rPr>
      </w:pPr>
      <w:del w:id="322" w:author="AbbVie1" w:date="2025-05-13T09:50:00Z">
        <w:r w:rsidRPr="001B4A02">
          <w:delText>&lt; 40</w:delText>
        </w:r>
        <w:r w:rsidR="002767FC">
          <w:delText> kg</w:delText>
        </w:r>
        <w:r w:rsidRPr="001B4A02">
          <w:delText>: 20 mg týdně</w:delText>
        </w:r>
      </w:del>
    </w:p>
    <w:p w14:paraId="544F4E36" w14:textId="77777777" w:rsidR="00596AAF" w:rsidRPr="001B4A02" w:rsidRDefault="00000000" w:rsidP="00CA4765">
      <w:pPr>
        <w:numPr>
          <w:ilvl w:val="0"/>
          <w:numId w:val="246"/>
        </w:numPr>
        <w:tabs>
          <w:tab w:val="left" w:pos="540"/>
        </w:tabs>
        <w:suppressAutoHyphens/>
        <w:ind w:left="714" w:hanging="357"/>
        <w:rPr>
          <w:del w:id="323" w:author="AbbVie1" w:date="2025-05-13T09:50:00Z"/>
        </w:rPr>
      </w:pPr>
      <w:del w:id="324" w:author="AbbVie1" w:date="2025-05-13T09:50:00Z">
        <w:r w:rsidRPr="001B4A02">
          <w:delText>≥ 40</w:delText>
        </w:r>
        <w:r w:rsidR="002767FC">
          <w:delText> kg</w:delText>
        </w:r>
        <w:r w:rsidRPr="001B4A02">
          <w:delText>: 40 mg týdně</w:delText>
        </w:r>
        <w:r w:rsidR="00F8749E" w:rsidRPr="001B4A02">
          <w:delText xml:space="preserve"> nebo 80</w:delText>
        </w:r>
        <w:r w:rsidR="00294902">
          <w:delText> mg</w:delText>
        </w:r>
        <w:r w:rsidR="00F8749E" w:rsidRPr="001B4A02">
          <w:delText xml:space="preserve"> jednou za dva týdny</w:delText>
        </w:r>
      </w:del>
    </w:p>
    <w:p w14:paraId="017849DC" w14:textId="77777777" w:rsidR="00100BBC" w:rsidRPr="001B4A02" w:rsidRDefault="00100BBC" w:rsidP="00253ABE">
      <w:pPr>
        <w:pStyle w:val="EMEANormal"/>
        <w:tabs>
          <w:tab w:val="clear" w:pos="562"/>
          <w:tab w:val="left" w:pos="708"/>
        </w:tabs>
        <w:suppressAutoHyphens w:val="0"/>
        <w:rPr>
          <w:del w:id="325" w:author="AbbVie1" w:date="2025-05-13T09:50:00Z"/>
          <w:lang w:val="cs-CZ"/>
        </w:rPr>
      </w:pPr>
    </w:p>
    <w:p w14:paraId="7EB62109" w14:textId="77777777" w:rsidR="00100BBC" w:rsidRPr="001B4A02" w:rsidRDefault="00000000" w:rsidP="00ED48A3">
      <w:pPr>
        <w:pStyle w:val="EMEANormal"/>
        <w:tabs>
          <w:tab w:val="clear" w:pos="562"/>
          <w:tab w:val="left" w:pos="708"/>
        </w:tabs>
        <w:suppressAutoHyphens w:val="0"/>
        <w:rPr>
          <w:del w:id="326" w:author="AbbVie1" w:date="2025-05-13T09:50:00Z"/>
          <w:lang w:val="cs-CZ"/>
        </w:rPr>
      </w:pPr>
      <w:del w:id="327" w:author="AbbVie1" w:date="2025-05-13T09:50:00Z">
        <w:r w:rsidRPr="001B4A02">
          <w:rPr>
            <w:lang w:val="cs-CZ"/>
          </w:rPr>
          <w:delText>Pokračování v léčb</w:delText>
        </w:r>
        <w:r w:rsidR="00BB47FA" w:rsidRPr="001B4A02">
          <w:rPr>
            <w:lang w:val="cs-CZ"/>
          </w:rPr>
          <w:delText>ě je třeba pečlivě zváži</w:delText>
        </w:r>
        <w:r w:rsidR="005D563B" w:rsidRPr="001B4A02">
          <w:rPr>
            <w:lang w:val="cs-CZ"/>
          </w:rPr>
          <w:delText>t</w:delText>
        </w:r>
        <w:r w:rsidR="00B12121" w:rsidRPr="001B4A02">
          <w:rPr>
            <w:lang w:val="cs-CZ"/>
          </w:rPr>
          <w:delText xml:space="preserve"> u </w:delText>
        </w:r>
        <w:r w:rsidR="00BB47FA" w:rsidRPr="001B4A02">
          <w:rPr>
            <w:lang w:val="cs-CZ"/>
          </w:rPr>
          <w:delText>paci</w:delText>
        </w:r>
        <w:r w:rsidRPr="001B4A02">
          <w:rPr>
            <w:lang w:val="cs-CZ"/>
          </w:rPr>
          <w:delText>e</w:delText>
        </w:r>
        <w:r w:rsidR="00BB47FA" w:rsidRPr="001B4A02">
          <w:rPr>
            <w:lang w:val="cs-CZ"/>
          </w:rPr>
          <w:delText>ntů</w:delText>
        </w:r>
        <w:r w:rsidRPr="001B4A02">
          <w:rPr>
            <w:lang w:val="cs-CZ"/>
          </w:rPr>
          <w:delText>,</w:delText>
        </w:r>
        <w:r w:rsidR="00B12121" w:rsidRPr="001B4A02">
          <w:rPr>
            <w:lang w:val="cs-CZ"/>
          </w:rPr>
          <w:delText xml:space="preserve"> u </w:delText>
        </w:r>
        <w:r w:rsidRPr="001B4A02">
          <w:rPr>
            <w:lang w:val="cs-CZ"/>
          </w:rPr>
          <w:delText>nichž se nerozvine</w:delText>
        </w:r>
        <w:r w:rsidR="00BD4EAC" w:rsidRPr="001B4A02">
          <w:rPr>
            <w:lang w:val="cs-CZ"/>
          </w:rPr>
          <w:delText xml:space="preserve"> odpověď na léčbu do 12. týdne.</w:delText>
        </w:r>
      </w:del>
    </w:p>
    <w:p w14:paraId="2C1E453E" w14:textId="77777777" w:rsidR="006C1EAF" w:rsidRPr="001B4A02" w:rsidRDefault="006C1EAF" w:rsidP="00ED48A3">
      <w:pPr>
        <w:ind w:left="0" w:firstLine="0"/>
        <w:rPr>
          <w:del w:id="328" w:author="AbbVie1" w:date="2025-05-13T09:50:00Z"/>
        </w:rPr>
      </w:pPr>
    </w:p>
    <w:p w14:paraId="20531AFD" w14:textId="77777777" w:rsidR="0069579C" w:rsidRPr="001B4A02" w:rsidRDefault="00000000" w:rsidP="00ED48A3">
      <w:pPr>
        <w:rPr>
          <w:del w:id="329" w:author="AbbVie1" w:date="2025-05-13T09:50:00Z"/>
          <w:color w:val="000000"/>
        </w:rPr>
      </w:pPr>
      <w:del w:id="330" w:author="AbbVie1" w:date="2025-05-13T09:50:00Z">
        <w:r w:rsidRPr="001B4A02">
          <w:rPr>
            <w:color w:val="000000"/>
          </w:rPr>
          <w:delText>Použití přípravku Humira</w:delText>
        </w:r>
        <w:r w:rsidR="00B12121" w:rsidRPr="001B4A02">
          <w:rPr>
            <w:color w:val="000000"/>
          </w:rPr>
          <w:delText xml:space="preserve"> u </w:delText>
        </w:r>
        <w:r w:rsidRPr="001B4A02">
          <w:rPr>
            <w:color w:val="000000"/>
          </w:rPr>
          <w:delText>dětí mladších než 6 let není v této indikaci relevantní.</w:delText>
        </w:r>
      </w:del>
    </w:p>
    <w:p w14:paraId="2F3F2FFB" w14:textId="77777777" w:rsidR="00BE47E0" w:rsidRPr="001B4A02" w:rsidRDefault="00BE47E0" w:rsidP="00ED48A3">
      <w:pPr>
        <w:rPr>
          <w:del w:id="331" w:author="AbbVie1" w:date="2025-05-13T09:50:00Z"/>
          <w:color w:val="000000"/>
        </w:rPr>
      </w:pPr>
    </w:p>
    <w:p w14:paraId="26208262" w14:textId="77777777" w:rsidR="00F8749E" w:rsidRPr="001B4A02" w:rsidRDefault="00000000" w:rsidP="00F8749E">
      <w:pPr>
        <w:ind w:left="0" w:firstLine="0"/>
        <w:rPr>
          <w:del w:id="332" w:author="AbbVie1" w:date="2025-05-13T09:50:00Z"/>
        </w:rPr>
      </w:pPr>
      <w:del w:id="333" w:author="AbbVie1" w:date="2025-05-13T09:50:00Z">
        <w:r w:rsidRPr="001B4A02">
          <w:delText xml:space="preserve">Přípravek Humira je k dispozici v dalších silách a/nebo </w:delText>
        </w:r>
        <w:r w:rsidR="00A43DB3">
          <w:delText>typech balení</w:delText>
        </w:r>
        <w:r w:rsidRPr="001B4A02">
          <w:delText xml:space="preserve"> v závislosti na individuálních potřebách léčby.</w:delText>
        </w:r>
      </w:del>
    </w:p>
    <w:p w14:paraId="4836A70B" w14:textId="77777777" w:rsidR="00F8749E" w:rsidRPr="00025179" w:rsidRDefault="00F8749E" w:rsidP="00025179">
      <w:pPr>
        <w:ind w:left="0" w:firstLine="0"/>
        <w:rPr>
          <w:del w:id="334" w:author="AbbVie1" w:date="2025-05-13T09:50:00Z"/>
          <w:color w:val="000000"/>
          <w:szCs w:val="22"/>
        </w:rPr>
      </w:pPr>
    </w:p>
    <w:p w14:paraId="73B328BC" w14:textId="77777777" w:rsidR="00D76799" w:rsidRPr="004F218A" w:rsidRDefault="00000000" w:rsidP="004F218A">
      <w:pPr>
        <w:keepNext/>
        <w:ind w:left="0" w:firstLine="0"/>
        <w:rPr>
          <w:del w:id="335" w:author="AbbVie1" w:date="2025-05-13T09:50:00Z"/>
          <w:i/>
          <w:szCs w:val="22"/>
        </w:rPr>
      </w:pPr>
      <w:del w:id="336" w:author="AbbVie1" w:date="2025-05-13T09:50:00Z">
        <w:r w:rsidRPr="004F218A">
          <w:rPr>
            <w:i/>
            <w:szCs w:val="22"/>
          </w:rPr>
          <w:delText>Ulcerózní kolitida u </w:delText>
        </w:r>
        <w:r w:rsidR="000D509B" w:rsidRPr="004F218A">
          <w:rPr>
            <w:i/>
            <w:szCs w:val="22"/>
          </w:rPr>
          <w:delText>pediatrických pacientů</w:delText>
        </w:r>
      </w:del>
    </w:p>
    <w:p w14:paraId="3B2EA909" w14:textId="77777777" w:rsidR="00D76799" w:rsidRPr="00025179" w:rsidRDefault="00D76799" w:rsidP="004F218A">
      <w:pPr>
        <w:keepNext/>
        <w:ind w:left="0" w:firstLine="0"/>
        <w:rPr>
          <w:del w:id="337" w:author="AbbVie1" w:date="2025-05-13T09:50:00Z"/>
          <w:bCs/>
          <w:szCs w:val="22"/>
        </w:rPr>
      </w:pPr>
    </w:p>
    <w:p w14:paraId="0817981D" w14:textId="77777777" w:rsidR="00D76799" w:rsidRPr="00025179" w:rsidRDefault="00000000" w:rsidP="00025179">
      <w:pPr>
        <w:ind w:left="0" w:firstLine="0"/>
        <w:rPr>
          <w:del w:id="338" w:author="AbbVie1" w:date="2025-05-13T09:50:00Z"/>
          <w:szCs w:val="22"/>
        </w:rPr>
      </w:pPr>
      <w:del w:id="339" w:author="AbbVie1" w:date="2025-05-13T09:50:00Z">
        <w:r w:rsidRPr="00025179">
          <w:rPr>
            <w:szCs w:val="22"/>
          </w:rPr>
          <w:delText>Doporučená dávka přípravku Humira u pacientů ve věku 6 až 17 let s ulcerózní kolitidou vychází</w:delText>
        </w:r>
        <w:r w:rsidR="0010061E" w:rsidRPr="00025179">
          <w:rPr>
            <w:szCs w:val="22"/>
          </w:rPr>
          <w:delText xml:space="preserve"> </w:delText>
        </w:r>
        <w:r w:rsidRPr="00025179">
          <w:rPr>
            <w:szCs w:val="22"/>
          </w:rPr>
          <w:delText>z tělesné hmotnosti (tabulka 5). Přípravek Humira se podává subkutánní injekcí.</w:delText>
        </w:r>
      </w:del>
    </w:p>
    <w:p w14:paraId="0C333BD9" w14:textId="77777777" w:rsidR="00D76799" w:rsidRPr="00025179" w:rsidRDefault="00D76799" w:rsidP="00025179">
      <w:pPr>
        <w:ind w:left="0" w:firstLine="0"/>
        <w:rPr>
          <w:del w:id="340" w:author="AbbVie1" w:date="2025-05-13T09:50:00Z"/>
          <w:szCs w:val="22"/>
        </w:rPr>
      </w:pPr>
    </w:p>
    <w:p w14:paraId="248BA6DC" w14:textId="77777777" w:rsidR="00D76799" w:rsidRPr="00D01607" w:rsidRDefault="00000000" w:rsidP="00025179">
      <w:pPr>
        <w:keepNext/>
        <w:ind w:left="0" w:firstLine="0"/>
        <w:jc w:val="center"/>
        <w:rPr>
          <w:del w:id="341" w:author="AbbVie1" w:date="2025-05-13T09:50:00Z"/>
        </w:rPr>
      </w:pPr>
      <w:del w:id="342" w:author="AbbVie1" w:date="2025-05-13T09:50:00Z">
        <w:r w:rsidRPr="00025179">
          <w:rPr>
            <w:b/>
            <w:szCs w:val="22"/>
          </w:rPr>
          <w:delText>Tabulka</w:delText>
        </w:r>
        <w:r>
          <w:rPr>
            <w:b/>
          </w:rPr>
          <w:delText xml:space="preserve"> 5. Dávka přípravku Humira u pediatrických pacientů s ulcerózní kolitidou </w:delText>
        </w:r>
      </w:del>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4"/>
        <w:gridCol w:w="5525"/>
        <w:gridCol w:w="1976"/>
      </w:tblGrid>
      <w:tr w:rsidR="00534A2D" w14:paraId="7843A320" w14:textId="77777777" w:rsidTr="00CA4765">
        <w:trPr>
          <w:jc w:val="center"/>
          <w:del w:id="343" w:author="AbbVie1" w:date="2025-05-13T09:50:00Z"/>
        </w:trPr>
        <w:tc>
          <w:tcPr>
            <w:tcW w:w="858" w:type="pct"/>
            <w:tcBorders>
              <w:top w:val="single" w:sz="6" w:space="0" w:color="000000"/>
              <w:left w:val="single" w:sz="6" w:space="0" w:color="000000"/>
              <w:bottom w:val="single" w:sz="6" w:space="0" w:color="000000"/>
              <w:right w:val="single" w:sz="6" w:space="0" w:color="000000"/>
            </w:tcBorders>
            <w:vAlign w:val="center"/>
            <w:hideMark/>
          </w:tcPr>
          <w:p w14:paraId="1C8D1426" w14:textId="77777777" w:rsidR="00D76799" w:rsidRPr="00D01607" w:rsidRDefault="00000000" w:rsidP="00C60C06">
            <w:pPr>
              <w:ind w:left="0" w:firstLine="0"/>
              <w:jc w:val="center"/>
              <w:rPr>
                <w:del w:id="344" w:author="AbbVie1" w:date="2025-05-13T09:50:00Z"/>
                <w:b/>
              </w:rPr>
            </w:pPr>
            <w:del w:id="345" w:author="AbbVie1" w:date="2025-05-13T09:50:00Z">
              <w:r>
                <w:rPr>
                  <w:b/>
                </w:rPr>
                <w:delText>Hmotnost pacienta</w:delText>
              </w:r>
            </w:del>
          </w:p>
        </w:tc>
        <w:tc>
          <w:tcPr>
            <w:tcW w:w="3051" w:type="pct"/>
            <w:tcBorders>
              <w:top w:val="single" w:sz="6" w:space="0" w:color="000000"/>
              <w:left w:val="single" w:sz="6" w:space="0" w:color="000000"/>
              <w:bottom w:val="single" w:sz="6" w:space="0" w:color="000000"/>
              <w:right w:val="single" w:sz="6" w:space="0" w:color="000000"/>
            </w:tcBorders>
            <w:vAlign w:val="center"/>
            <w:hideMark/>
          </w:tcPr>
          <w:p w14:paraId="6B4AC18E" w14:textId="77777777" w:rsidR="00D76799" w:rsidRPr="00D01607" w:rsidRDefault="00000000" w:rsidP="00C60C06">
            <w:pPr>
              <w:ind w:left="0" w:firstLine="0"/>
              <w:jc w:val="center"/>
              <w:rPr>
                <w:del w:id="346" w:author="AbbVie1" w:date="2025-05-13T09:50:00Z"/>
                <w:b/>
              </w:rPr>
            </w:pPr>
            <w:del w:id="347" w:author="AbbVie1" w:date="2025-05-13T09:50:00Z">
              <w:r>
                <w:rPr>
                  <w:b/>
                </w:rPr>
                <w:delText>Indukční dávka</w:delText>
              </w:r>
            </w:del>
          </w:p>
        </w:tc>
        <w:tc>
          <w:tcPr>
            <w:tcW w:w="1091" w:type="pct"/>
            <w:tcBorders>
              <w:top w:val="single" w:sz="6" w:space="0" w:color="000000"/>
              <w:left w:val="single" w:sz="6" w:space="0" w:color="000000"/>
              <w:bottom w:val="single" w:sz="6" w:space="0" w:color="000000"/>
              <w:right w:val="single" w:sz="6" w:space="0" w:color="000000"/>
            </w:tcBorders>
            <w:hideMark/>
          </w:tcPr>
          <w:p w14:paraId="2DF056EE" w14:textId="77777777" w:rsidR="00D76799" w:rsidRPr="00D01607" w:rsidRDefault="00000000" w:rsidP="00C60C06">
            <w:pPr>
              <w:ind w:left="0" w:firstLine="0"/>
              <w:jc w:val="center"/>
              <w:rPr>
                <w:del w:id="348" w:author="AbbVie1" w:date="2025-05-13T09:50:00Z"/>
                <w:b/>
              </w:rPr>
            </w:pPr>
            <w:del w:id="349" w:author="AbbVie1" w:date="2025-05-13T09:50:00Z">
              <w:r>
                <w:rPr>
                  <w:b/>
                </w:rPr>
                <w:delText>Udržovací dávka</w:delText>
              </w:r>
              <w:r>
                <w:rPr>
                  <w:b/>
                </w:rPr>
                <w:br/>
              </w:r>
              <w:r w:rsidR="00A96BEC">
                <w:rPr>
                  <w:b/>
                </w:rPr>
                <w:delText>od týdne 4</w:delText>
              </w:r>
              <w:r>
                <w:rPr>
                  <w:b/>
                </w:rPr>
                <w:delText>*</w:delText>
              </w:r>
            </w:del>
          </w:p>
        </w:tc>
      </w:tr>
      <w:tr w:rsidR="00534A2D" w14:paraId="7489499D" w14:textId="77777777" w:rsidTr="00CA4765">
        <w:trPr>
          <w:jc w:val="center"/>
          <w:del w:id="350" w:author="AbbVie1" w:date="2025-05-13T09:50:00Z"/>
        </w:trPr>
        <w:tc>
          <w:tcPr>
            <w:tcW w:w="858" w:type="pct"/>
            <w:tcBorders>
              <w:top w:val="single" w:sz="6" w:space="0" w:color="000000"/>
              <w:left w:val="single" w:sz="6" w:space="0" w:color="000000"/>
              <w:bottom w:val="single" w:sz="6" w:space="0" w:color="000000"/>
              <w:right w:val="single" w:sz="6" w:space="0" w:color="000000"/>
            </w:tcBorders>
            <w:hideMark/>
          </w:tcPr>
          <w:p w14:paraId="55D60B71" w14:textId="77777777" w:rsidR="00D76799" w:rsidRPr="00D01607" w:rsidRDefault="00000000" w:rsidP="00E571F5">
            <w:pPr>
              <w:jc w:val="center"/>
              <w:rPr>
                <w:del w:id="351" w:author="AbbVie1" w:date="2025-05-13T09:50:00Z"/>
              </w:rPr>
            </w:pPr>
            <w:del w:id="352" w:author="AbbVie1" w:date="2025-05-13T09:50:00Z">
              <w:r>
                <w:delText>&lt; 40</w:delText>
              </w:r>
              <w:r w:rsidR="002767FC">
                <w:delText> kg</w:delText>
              </w:r>
            </w:del>
          </w:p>
        </w:tc>
        <w:tc>
          <w:tcPr>
            <w:tcW w:w="3051" w:type="pct"/>
            <w:tcBorders>
              <w:top w:val="single" w:sz="6" w:space="0" w:color="000000"/>
              <w:left w:val="single" w:sz="6" w:space="0" w:color="000000"/>
              <w:bottom w:val="single" w:sz="6" w:space="0" w:color="000000"/>
              <w:right w:val="single" w:sz="6" w:space="0" w:color="000000"/>
            </w:tcBorders>
            <w:hideMark/>
          </w:tcPr>
          <w:p w14:paraId="0F81E1F8" w14:textId="77777777" w:rsidR="00D76799" w:rsidRPr="00D01607" w:rsidRDefault="00000000" w:rsidP="00D76799">
            <w:pPr>
              <w:numPr>
                <w:ilvl w:val="0"/>
                <w:numId w:val="272"/>
              </w:numPr>
              <w:ind w:left="360" w:hanging="210"/>
              <w:rPr>
                <w:del w:id="353" w:author="AbbVie1" w:date="2025-05-13T09:50:00Z"/>
              </w:rPr>
            </w:pPr>
            <w:del w:id="354" w:author="AbbVie1" w:date="2025-05-13T09:50:00Z">
              <w:r>
                <w:delText>80</w:delText>
              </w:r>
              <w:r w:rsidR="00294902" w:rsidRPr="00005EC2">
                <w:rPr>
                  <w:szCs w:val="22"/>
                </w:rPr>
                <w:delText> </w:delText>
              </w:r>
              <w:r>
                <w:delText>mg v </w:delText>
              </w:r>
              <w:r w:rsidR="00BC5CBC">
                <w:delText>týdnu 0</w:delText>
              </w:r>
              <w:r>
                <w:delText xml:space="preserve"> (podáváno jako dvě injekce 40</w:delText>
              </w:r>
              <w:r w:rsidR="00294902" w:rsidRPr="00005EC2">
                <w:rPr>
                  <w:szCs w:val="22"/>
                </w:rPr>
                <w:delText> </w:delText>
              </w:r>
              <w:r>
                <w:delText>mg v jeden den) a</w:delText>
              </w:r>
            </w:del>
          </w:p>
          <w:p w14:paraId="04C69A80" w14:textId="77777777" w:rsidR="00D76799" w:rsidRPr="00D01607" w:rsidRDefault="00000000" w:rsidP="00D76799">
            <w:pPr>
              <w:numPr>
                <w:ilvl w:val="0"/>
                <w:numId w:val="272"/>
              </w:numPr>
              <w:ind w:left="360" w:hanging="210"/>
              <w:rPr>
                <w:del w:id="355" w:author="AbbVie1" w:date="2025-05-13T09:50:00Z"/>
              </w:rPr>
            </w:pPr>
            <w:del w:id="356" w:author="AbbVie1" w:date="2025-05-13T09:50:00Z">
              <w:r>
                <w:delText>40</w:delText>
              </w:r>
              <w:r w:rsidR="00294902" w:rsidRPr="00005EC2">
                <w:rPr>
                  <w:szCs w:val="22"/>
                </w:rPr>
                <w:delText> </w:delText>
              </w:r>
              <w:r>
                <w:delText>mg v</w:delText>
              </w:r>
              <w:r w:rsidR="00DC6AFE">
                <w:delText> </w:delText>
              </w:r>
              <w:r>
                <w:delText>týdnu</w:delText>
              </w:r>
              <w:r w:rsidR="00DB7E3B">
                <w:delText xml:space="preserve"> 2</w:delText>
              </w:r>
              <w:r>
                <w:delText xml:space="preserve"> (podáváno jako jedna injekce 40</w:delText>
              </w:r>
              <w:r w:rsidR="00294902" w:rsidRPr="00005EC2">
                <w:rPr>
                  <w:szCs w:val="22"/>
                </w:rPr>
                <w:delText> </w:delText>
              </w:r>
              <w:r>
                <w:delText>mg)</w:delText>
              </w:r>
            </w:del>
          </w:p>
        </w:tc>
        <w:tc>
          <w:tcPr>
            <w:tcW w:w="1091" w:type="pct"/>
            <w:tcBorders>
              <w:top w:val="single" w:sz="6" w:space="0" w:color="000000"/>
              <w:left w:val="single" w:sz="6" w:space="0" w:color="000000"/>
              <w:bottom w:val="single" w:sz="6" w:space="0" w:color="000000"/>
              <w:right w:val="single" w:sz="6" w:space="0" w:color="000000"/>
            </w:tcBorders>
            <w:hideMark/>
          </w:tcPr>
          <w:p w14:paraId="5221C4D7" w14:textId="77777777" w:rsidR="00D76799" w:rsidRPr="00D01607" w:rsidRDefault="00000000" w:rsidP="00D76799">
            <w:pPr>
              <w:numPr>
                <w:ilvl w:val="0"/>
                <w:numId w:val="272"/>
              </w:numPr>
              <w:ind w:left="360" w:hanging="210"/>
              <w:rPr>
                <w:del w:id="357" w:author="AbbVie1" w:date="2025-05-13T09:50:00Z"/>
              </w:rPr>
            </w:pPr>
            <w:del w:id="358" w:author="AbbVie1" w:date="2025-05-13T09:50:00Z">
              <w:r>
                <w:delText>40</w:delText>
              </w:r>
              <w:r w:rsidR="00294902" w:rsidRPr="00005EC2">
                <w:rPr>
                  <w:szCs w:val="22"/>
                </w:rPr>
                <w:delText> </w:delText>
              </w:r>
              <w:r>
                <w:delText>mg jednou za dva týdny</w:delText>
              </w:r>
            </w:del>
          </w:p>
        </w:tc>
      </w:tr>
      <w:tr w:rsidR="00534A2D" w14:paraId="6B2A8CBC" w14:textId="77777777" w:rsidTr="00CA4765">
        <w:trPr>
          <w:jc w:val="center"/>
          <w:del w:id="359" w:author="AbbVie1" w:date="2025-05-13T09:50:00Z"/>
        </w:trPr>
        <w:tc>
          <w:tcPr>
            <w:tcW w:w="858" w:type="pct"/>
            <w:tcBorders>
              <w:top w:val="single" w:sz="6" w:space="0" w:color="000000"/>
              <w:left w:val="single" w:sz="6" w:space="0" w:color="000000"/>
              <w:bottom w:val="single" w:sz="4" w:space="0" w:color="auto"/>
              <w:right w:val="single" w:sz="6" w:space="0" w:color="000000"/>
            </w:tcBorders>
            <w:hideMark/>
          </w:tcPr>
          <w:p w14:paraId="51DA0040" w14:textId="77777777" w:rsidR="00D76799" w:rsidRPr="00D01607" w:rsidRDefault="00000000" w:rsidP="00E571F5">
            <w:pPr>
              <w:jc w:val="center"/>
              <w:rPr>
                <w:del w:id="360" w:author="AbbVie1" w:date="2025-05-13T09:50:00Z"/>
              </w:rPr>
            </w:pPr>
            <w:del w:id="361" w:author="AbbVie1" w:date="2025-05-13T09:50:00Z">
              <w:r>
                <w:delText>≥ 40</w:delText>
              </w:r>
              <w:r w:rsidR="002767FC">
                <w:delText> kg</w:delText>
              </w:r>
            </w:del>
          </w:p>
        </w:tc>
        <w:tc>
          <w:tcPr>
            <w:tcW w:w="3051" w:type="pct"/>
            <w:tcBorders>
              <w:top w:val="single" w:sz="6" w:space="0" w:color="000000"/>
              <w:left w:val="single" w:sz="6" w:space="0" w:color="000000"/>
              <w:bottom w:val="single" w:sz="4" w:space="0" w:color="auto"/>
              <w:right w:val="single" w:sz="6" w:space="0" w:color="000000"/>
            </w:tcBorders>
            <w:hideMark/>
          </w:tcPr>
          <w:p w14:paraId="3348669A" w14:textId="77777777" w:rsidR="00D76799" w:rsidRPr="00D01607" w:rsidRDefault="00000000" w:rsidP="00D76799">
            <w:pPr>
              <w:numPr>
                <w:ilvl w:val="0"/>
                <w:numId w:val="273"/>
              </w:numPr>
              <w:ind w:left="360" w:hanging="210"/>
              <w:rPr>
                <w:del w:id="362" w:author="AbbVie1" w:date="2025-05-13T09:50:00Z"/>
              </w:rPr>
            </w:pPr>
            <w:del w:id="363" w:author="AbbVie1" w:date="2025-05-13T09:50:00Z">
              <w:r>
                <w:delText>160</w:delText>
              </w:r>
              <w:r w:rsidR="00294902" w:rsidRPr="00005EC2">
                <w:rPr>
                  <w:szCs w:val="22"/>
                </w:rPr>
                <w:delText> </w:delText>
              </w:r>
              <w:r>
                <w:delText>mg v </w:delText>
              </w:r>
              <w:r w:rsidR="00BC5CBC">
                <w:delText>týdnu 0</w:delText>
              </w:r>
              <w:r>
                <w:delText xml:space="preserve"> (podáváno jako čtyři injekce 40</w:delText>
              </w:r>
              <w:r w:rsidR="00294902" w:rsidRPr="00005EC2">
                <w:rPr>
                  <w:szCs w:val="22"/>
                </w:rPr>
                <w:delText> </w:delText>
              </w:r>
              <w:r>
                <w:delText>mg</w:delText>
              </w:r>
              <w:r w:rsidR="001C3C2E">
                <w:delText xml:space="preserve"> v</w:delText>
              </w:r>
              <w:r w:rsidR="00DC6AFE">
                <w:delText> </w:delText>
              </w:r>
              <w:r>
                <w:delText>jedn</w:delText>
              </w:r>
              <w:r w:rsidR="001C3C2E">
                <w:delText>om</w:delText>
              </w:r>
              <w:r>
                <w:delText xml:space="preserve"> dn</w:delText>
              </w:r>
              <w:r w:rsidR="001C3C2E">
                <w:delText>i</w:delText>
              </w:r>
              <w:r>
                <w:delText xml:space="preserve"> nebo dvě injekce 40</w:delText>
              </w:r>
              <w:r w:rsidR="00294902" w:rsidRPr="00005EC2">
                <w:rPr>
                  <w:szCs w:val="22"/>
                </w:rPr>
                <w:delText> </w:delText>
              </w:r>
              <w:r>
                <w:delText xml:space="preserve">mg denně </w:delText>
              </w:r>
              <w:r w:rsidR="00B70F64">
                <w:delText xml:space="preserve">ve dvou po sobě </w:delText>
              </w:r>
              <w:r w:rsidR="00FE5873">
                <w:delText>jdoucích</w:delText>
              </w:r>
              <w:r w:rsidR="00B70F64">
                <w:delText xml:space="preserve"> dnech</w:delText>
              </w:r>
              <w:r>
                <w:delText>) a</w:delText>
              </w:r>
            </w:del>
          </w:p>
          <w:p w14:paraId="7B94E321" w14:textId="77777777" w:rsidR="00D76799" w:rsidRPr="00D01607" w:rsidRDefault="00000000" w:rsidP="00D76799">
            <w:pPr>
              <w:numPr>
                <w:ilvl w:val="0"/>
                <w:numId w:val="273"/>
              </w:numPr>
              <w:ind w:left="360" w:hanging="210"/>
              <w:rPr>
                <w:del w:id="364" w:author="AbbVie1" w:date="2025-05-13T09:50:00Z"/>
              </w:rPr>
            </w:pPr>
            <w:del w:id="365" w:author="AbbVie1" w:date="2025-05-13T09:50:00Z">
              <w:r>
                <w:delText>80</w:delText>
              </w:r>
              <w:r w:rsidR="00294902" w:rsidRPr="00005EC2">
                <w:rPr>
                  <w:szCs w:val="22"/>
                </w:rPr>
                <w:delText> </w:delText>
              </w:r>
              <w:r>
                <w:delText>mg v</w:delText>
              </w:r>
              <w:r w:rsidR="00DC6AFE">
                <w:delText> </w:delText>
              </w:r>
              <w:r>
                <w:delText>týdnu</w:delText>
              </w:r>
              <w:r w:rsidR="00DB7E3B">
                <w:delText xml:space="preserve"> 2</w:delText>
              </w:r>
              <w:r>
                <w:delText xml:space="preserve"> (podáváno jako dvě injekce 40</w:delText>
              </w:r>
              <w:r w:rsidR="00294902" w:rsidRPr="00005EC2">
                <w:rPr>
                  <w:szCs w:val="22"/>
                </w:rPr>
                <w:delText> </w:delText>
              </w:r>
              <w:r>
                <w:delText>mg v jeden den)</w:delText>
              </w:r>
            </w:del>
          </w:p>
        </w:tc>
        <w:tc>
          <w:tcPr>
            <w:tcW w:w="1091" w:type="pct"/>
            <w:tcBorders>
              <w:top w:val="single" w:sz="6" w:space="0" w:color="000000"/>
              <w:left w:val="single" w:sz="6" w:space="0" w:color="000000"/>
              <w:bottom w:val="single" w:sz="4" w:space="0" w:color="auto"/>
              <w:right w:val="single" w:sz="6" w:space="0" w:color="000000"/>
            </w:tcBorders>
            <w:hideMark/>
          </w:tcPr>
          <w:p w14:paraId="19DA6A3E" w14:textId="77777777" w:rsidR="00D76799" w:rsidRPr="00D01607" w:rsidRDefault="00000000" w:rsidP="00D76799">
            <w:pPr>
              <w:numPr>
                <w:ilvl w:val="0"/>
                <w:numId w:val="272"/>
              </w:numPr>
              <w:ind w:left="360" w:hanging="210"/>
              <w:rPr>
                <w:del w:id="366" w:author="AbbVie1" w:date="2025-05-13T09:50:00Z"/>
              </w:rPr>
            </w:pPr>
            <w:del w:id="367" w:author="AbbVie1" w:date="2025-05-13T09:50:00Z">
              <w:r>
                <w:delText>80</w:delText>
              </w:r>
              <w:r w:rsidR="00294902" w:rsidRPr="00005EC2">
                <w:rPr>
                  <w:szCs w:val="22"/>
                </w:rPr>
                <w:delText> </w:delText>
              </w:r>
              <w:r>
                <w:delText>mg jednou za dva týdny</w:delText>
              </w:r>
            </w:del>
          </w:p>
        </w:tc>
      </w:tr>
      <w:tr w:rsidR="00534A2D" w14:paraId="15755E4A" w14:textId="77777777" w:rsidTr="00C60C06">
        <w:trPr>
          <w:jc w:val="center"/>
          <w:del w:id="368" w:author="AbbVie1" w:date="2025-05-13T09:50:00Z"/>
        </w:trPr>
        <w:tc>
          <w:tcPr>
            <w:tcW w:w="5000" w:type="pct"/>
            <w:gridSpan w:val="3"/>
            <w:tcBorders>
              <w:top w:val="single" w:sz="4" w:space="0" w:color="auto"/>
              <w:left w:val="nil"/>
              <w:bottom w:val="nil"/>
              <w:right w:val="nil"/>
            </w:tcBorders>
          </w:tcPr>
          <w:p w14:paraId="5A65FBAF" w14:textId="77777777" w:rsidR="00D76799" w:rsidRPr="00D01607" w:rsidRDefault="00000000" w:rsidP="00151CAD">
            <w:pPr>
              <w:ind w:left="-24" w:firstLine="24"/>
              <w:rPr>
                <w:del w:id="369" w:author="AbbVie1" w:date="2025-05-13T09:50:00Z"/>
              </w:rPr>
            </w:pPr>
            <w:del w:id="370" w:author="AbbVie1" w:date="2025-05-13T09:50:00Z">
              <w:r>
                <w:rPr>
                  <w:vertAlign w:val="superscript"/>
                </w:rPr>
                <w:delText>*</w:delText>
              </w:r>
              <w:r>
                <w:delText xml:space="preserve"> Pediatričtí pacienti, </w:delText>
              </w:r>
              <w:r w:rsidR="00F309A2">
                <w:delText>kteří dosáhnou</w:delText>
              </w:r>
              <w:r w:rsidR="00C86311">
                <w:delText xml:space="preserve"> během</w:delText>
              </w:r>
              <w:r>
                <w:delText xml:space="preserve"> léčby přípravkem Humira 18 let, by měli nadále </w:delText>
              </w:r>
              <w:r w:rsidR="006B77BF">
                <w:delText>po</w:delText>
              </w:r>
              <w:r>
                <w:delText>užívat předepsanou udržovací dávku.</w:delText>
              </w:r>
            </w:del>
          </w:p>
        </w:tc>
      </w:tr>
    </w:tbl>
    <w:p w14:paraId="52AEFE12" w14:textId="77777777" w:rsidR="00D76799" w:rsidRPr="00D01607" w:rsidRDefault="00D76799" w:rsidP="00D76799">
      <w:pPr>
        <w:rPr>
          <w:del w:id="371" w:author="AbbVie1" w:date="2025-05-13T09:50:00Z"/>
        </w:rPr>
      </w:pPr>
    </w:p>
    <w:p w14:paraId="1E55D36E" w14:textId="77777777" w:rsidR="00D76799" w:rsidRDefault="00000000" w:rsidP="00151CAD">
      <w:pPr>
        <w:ind w:left="0" w:firstLine="0"/>
        <w:rPr>
          <w:del w:id="372" w:author="AbbVie1" w:date="2025-05-13T09:50:00Z"/>
        </w:rPr>
      </w:pPr>
      <w:del w:id="373" w:author="AbbVie1" w:date="2025-05-13T09:50:00Z">
        <w:r>
          <w:delText>U pacientů, u kterých se během této doby neobjeví známky odpovědi, je třeba pečlivě zvážit pokračování léčby nad rámec 8 týdnů.</w:delText>
        </w:r>
      </w:del>
    </w:p>
    <w:p w14:paraId="5D9CE319" w14:textId="77777777" w:rsidR="00D76799" w:rsidRPr="00D01607" w:rsidRDefault="00D76799" w:rsidP="00151CAD">
      <w:pPr>
        <w:ind w:left="0" w:firstLine="0"/>
        <w:rPr>
          <w:del w:id="374" w:author="AbbVie1" w:date="2025-05-13T09:50:00Z"/>
        </w:rPr>
      </w:pPr>
    </w:p>
    <w:p w14:paraId="66C12280" w14:textId="77777777" w:rsidR="00D76799" w:rsidRDefault="00000000" w:rsidP="00151CAD">
      <w:pPr>
        <w:ind w:left="0" w:firstLine="0"/>
        <w:rPr>
          <w:del w:id="375" w:author="AbbVie1" w:date="2025-05-13T09:50:00Z"/>
        </w:rPr>
      </w:pPr>
      <w:del w:id="376" w:author="AbbVie1" w:date="2025-05-13T09:50:00Z">
        <w:r>
          <w:delText>Použití přípravku Humira u</w:delText>
        </w:r>
        <w:r w:rsidR="00DA1744">
          <w:delText> </w:delText>
        </w:r>
        <w:r>
          <w:delText>dětí mladších než 6 let není v</w:delText>
        </w:r>
        <w:r w:rsidR="00DA1744">
          <w:delText> </w:delText>
        </w:r>
        <w:r>
          <w:delText>této indikaci relevantní.</w:delText>
        </w:r>
      </w:del>
    </w:p>
    <w:p w14:paraId="1A558256" w14:textId="77777777" w:rsidR="00D76799" w:rsidRPr="00D01607" w:rsidRDefault="00D76799" w:rsidP="00151CAD">
      <w:pPr>
        <w:ind w:left="0" w:firstLine="0"/>
        <w:rPr>
          <w:del w:id="377" w:author="AbbVie1" w:date="2025-05-13T09:50:00Z"/>
        </w:rPr>
      </w:pPr>
    </w:p>
    <w:p w14:paraId="5D75DE0E" w14:textId="77777777" w:rsidR="00D76799" w:rsidRDefault="00000000" w:rsidP="00151CAD">
      <w:pPr>
        <w:ind w:left="0" w:firstLine="0"/>
        <w:rPr>
          <w:del w:id="378" w:author="AbbVie1" w:date="2025-05-13T09:50:00Z"/>
        </w:rPr>
      </w:pPr>
      <w:del w:id="379" w:author="AbbVie1" w:date="2025-05-13T09:50:00Z">
        <w:r>
          <w:delText>Přípravek Humira je k dispozici v dalších silách a/nebo typech balení v závislosti na individuálních potřebách léčby.</w:delText>
        </w:r>
      </w:del>
    </w:p>
    <w:p w14:paraId="0DD49D80" w14:textId="77777777" w:rsidR="00D76799" w:rsidRPr="001B4A02" w:rsidRDefault="00D76799" w:rsidP="00ED48A3">
      <w:pPr>
        <w:rPr>
          <w:del w:id="380" w:author="AbbVie1" w:date="2025-05-13T09:50:00Z"/>
          <w:color w:val="000000"/>
        </w:rPr>
      </w:pPr>
    </w:p>
    <w:p w14:paraId="30AAE5E2" w14:textId="77777777" w:rsidR="00D427E8" w:rsidRPr="001B4A02" w:rsidRDefault="00000000" w:rsidP="00D427E8">
      <w:pPr>
        <w:keepNext/>
        <w:rPr>
          <w:del w:id="381" w:author="AbbVie1" w:date="2025-05-13T09:50:00Z"/>
          <w:i/>
          <w:color w:val="000000"/>
        </w:rPr>
      </w:pPr>
      <w:del w:id="382" w:author="AbbVie1" w:date="2025-05-13T09:50:00Z">
        <w:r w:rsidRPr="001B4A02">
          <w:rPr>
            <w:i/>
            <w:color w:val="000000"/>
          </w:rPr>
          <w:delText>Uveitida</w:delText>
        </w:r>
        <w:r w:rsidR="00B12121" w:rsidRPr="001B4A02">
          <w:rPr>
            <w:i/>
            <w:color w:val="000000"/>
          </w:rPr>
          <w:delText xml:space="preserve"> u </w:delText>
        </w:r>
        <w:r w:rsidRPr="001B4A02">
          <w:rPr>
            <w:i/>
            <w:color w:val="000000"/>
          </w:rPr>
          <w:delText>pediatrických pacientů</w:delText>
        </w:r>
      </w:del>
    </w:p>
    <w:p w14:paraId="2741D34A" w14:textId="77777777" w:rsidR="00D427E8" w:rsidRPr="001B4A02" w:rsidRDefault="00D427E8" w:rsidP="00D427E8">
      <w:pPr>
        <w:keepNext/>
        <w:rPr>
          <w:del w:id="383" w:author="AbbVie1" w:date="2025-05-13T09:50:00Z"/>
          <w:color w:val="000000"/>
        </w:rPr>
      </w:pPr>
    </w:p>
    <w:p w14:paraId="23537C9A" w14:textId="77777777" w:rsidR="00494B64" w:rsidRPr="001B4A02" w:rsidRDefault="00000000" w:rsidP="00494B64">
      <w:pPr>
        <w:ind w:left="0" w:firstLine="0"/>
        <w:rPr>
          <w:del w:id="384" w:author="AbbVie1" w:date="2025-05-13T09:50:00Z"/>
        </w:rPr>
      </w:pPr>
      <w:del w:id="385" w:author="AbbVie1" w:date="2025-05-13T09:50:00Z">
        <w:r w:rsidRPr="001B4A02">
          <w:rPr>
            <w:szCs w:val="22"/>
          </w:rPr>
          <w:delText>Doporučená dávka přípravku Humira u</w:delText>
        </w:r>
        <w:r w:rsidR="000D080B" w:rsidRPr="001B4A02">
          <w:rPr>
            <w:szCs w:val="22"/>
          </w:rPr>
          <w:delText> </w:delText>
        </w:r>
        <w:r w:rsidRPr="001B4A02">
          <w:rPr>
            <w:szCs w:val="22"/>
          </w:rPr>
          <w:delText xml:space="preserve">pediatrických pacientů s uveitidou od 2 let vychází z tělesné hmotnosti (tabulka </w:delText>
        </w:r>
        <w:r w:rsidR="00D76799">
          <w:rPr>
            <w:szCs w:val="22"/>
          </w:rPr>
          <w:delText>6</w:delText>
        </w:r>
        <w:r w:rsidRPr="001B4A02">
          <w:rPr>
            <w:szCs w:val="22"/>
          </w:rPr>
          <w:delText xml:space="preserve">). </w:delText>
        </w:r>
        <w:r w:rsidR="0024278A" w:rsidRPr="001B4A02">
          <w:delText xml:space="preserve">Přípravek </w:delText>
        </w:r>
        <w:r w:rsidRPr="001B4A02">
          <w:delText xml:space="preserve">Humira se podává subkutánní injekcí. </w:delText>
        </w:r>
      </w:del>
    </w:p>
    <w:p w14:paraId="54DFD4B2" w14:textId="77777777" w:rsidR="00494B64" w:rsidRPr="001B4A02" w:rsidRDefault="00494B64" w:rsidP="00ED48A3">
      <w:pPr>
        <w:pStyle w:val="EMEANormal"/>
        <w:rPr>
          <w:del w:id="386" w:author="AbbVie1" w:date="2025-05-13T09:50:00Z"/>
          <w:szCs w:val="22"/>
          <w:bdr w:val="nil"/>
          <w:lang w:val="cs-CZ"/>
        </w:rPr>
      </w:pPr>
    </w:p>
    <w:p w14:paraId="29EF85B6" w14:textId="77777777" w:rsidR="00BE47E0" w:rsidRPr="001B4A02" w:rsidRDefault="00000000" w:rsidP="00ED48A3">
      <w:pPr>
        <w:pStyle w:val="EMEANormal"/>
        <w:rPr>
          <w:del w:id="387" w:author="AbbVie1" w:date="2025-05-13T09:50:00Z"/>
          <w:szCs w:val="22"/>
          <w:bdr w:val="nil"/>
          <w:lang w:val="cs-CZ"/>
        </w:rPr>
      </w:pPr>
      <w:del w:id="388" w:author="AbbVie1" w:date="2025-05-13T09:50:00Z">
        <w:r w:rsidRPr="001B4A02">
          <w:rPr>
            <w:szCs w:val="22"/>
            <w:lang w:val="cs-CZ"/>
          </w:rPr>
          <w:delText>U</w:delText>
        </w:r>
        <w:r w:rsidR="00A245F1" w:rsidRPr="001B4A02">
          <w:rPr>
            <w:szCs w:val="22"/>
            <w:lang w:val="cs-CZ"/>
          </w:rPr>
          <w:delText xml:space="preserve"> pediatrických pacientů</w:delText>
        </w:r>
        <w:r w:rsidRPr="001B4A02">
          <w:rPr>
            <w:szCs w:val="22"/>
            <w:lang w:val="cs-CZ"/>
          </w:rPr>
          <w:delText xml:space="preserve"> s</w:delText>
        </w:r>
        <w:r w:rsidR="000D080B" w:rsidRPr="001B4A02">
          <w:rPr>
            <w:szCs w:val="22"/>
            <w:lang w:val="cs-CZ"/>
          </w:rPr>
          <w:delText> </w:delText>
        </w:r>
        <w:r w:rsidRPr="001B4A02">
          <w:rPr>
            <w:szCs w:val="22"/>
            <w:lang w:val="cs-CZ"/>
          </w:rPr>
          <w:delText>uveitidou nejsou k</w:delText>
        </w:r>
        <w:r w:rsidR="000D080B" w:rsidRPr="001B4A02">
          <w:rPr>
            <w:szCs w:val="22"/>
            <w:lang w:val="cs-CZ"/>
          </w:rPr>
          <w:delText> </w:delText>
        </w:r>
        <w:r w:rsidRPr="001B4A02">
          <w:rPr>
            <w:szCs w:val="22"/>
            <w:lang w:val="cs-CZ"/>
          </w:rPr>
          <w:delText>dispozici žádné zkušenosti s</w:delText>
        </w:r>
        <w:r w:rsidR="000D080B" w:rsidRPr="001B4A02">
          <w:rPr>
            <w:szCs w:val="22"/>
            <w:lang w:val="cs-CZ"/>
          </w:rPr>
          <w:delText> </w:delText>
        </w:r>
        <w:r w:rsidRPr="001B4A02">
          <w:rPr>
            <w:szCs w:val="22"/>
            <w:lang w:val="cs-CZ"/>
          </w:rPr>
          <w:delText>léčbou přípravkem Humira bez současné léčby methotrexátem.</w:delText>
        </w:r>
      </w:del>
    </w:p>
    <w:p w14:paraId="64E950CF" w14:textId="77777777" w:rsidR="00494B64" w:rsidRPr="001B4A02" w:rsidRDefault="00494B64" w:rsidP="00ED48A3">
      <w:pPr>
        <w:pStyle w:val="EMEANormal"/>
        <w:rPr>
          <w:del w:id="389" w:author="AbbVie1" w:date="2025-05-13T09:50:00Z"/>
          <w:szCs w:val="22"/>
          <w:bdr w:val="nil"/>
          <w:lang w:val="cs-CZ"/>
        </w:rPr>
      </w:pPr>
    </w:p>
    <w:p w14:paraId="65CE1028" w14:textId="77777777" w:rsidR="00494B64" w:rsidRPr="001B4A02" w:rsidRDefault="00000000" w:rsidP="00494B64">
      <w:pPr>
        <w:jc w:val="center"/>
        <w:rPr>
          <w:del w:id="390" w:author="AbbVie1" w:date="2025-05-13T09:50:00Z"/>
          <w:b/>
          <w:szCs w:val="22"/>
        </w:rPr>
      </w:pPr>
      <w:del w:id="391" w:author="AbbVie1" w:date="2025-05-13T09:50:00Z">
        <w:r w:rsidRPr="001B4A02">
          <w:rPr>
            <w:b/>
            <w:szCs w:val="22"/>
          </w:rPr>
          <w:delText xml:space="preserve">Tabulka </w:delText>
        </w:r>
        <w:r w:rsidR="00D76799">
          <w:rPr>
            <w:b/>
            <w:szCs w:val="22"/>
          </w:rPr>
          <w:delText>6</w:delText>
        </w:r>
        <w:r w:rsidRPr="001B4A02">
          <w:rPr>
            <w:b/>
            <w:szCs w:val="22"/>
          </w:rPr>
          <w:delText>. Dávka přípravku Humira u</w:delText>
        </w:r>
        <w:r w:rsidR="00A9166E" w:rsidRPr="001B4A02">
          <w:rPr>
            <w:b/>
            <w:szCs w:val="22"/>
          </w:rPr>
          <w:delText> </w:delText>
        </w:r>
        <w:r w:rsidRPr="001B4A02">
          <w:rPr>
            <w:b/>
            <w:szCs w:val="22"/>
          </w:rPr>
          <w:delText>pediatrických pacientů s</w:delText>
        </w:r>
        <w:r w:rsidR="00A9166E" w:rsidRPr="001B4A02">
          <w:rPr>
            <w:b/>
            <w:szCs w:val="22"/>
          </w:rPr>
          <w:delText> </w:delText>
        </w:r>
        <w:r w:rsidRPr="001B4A02">
          <w:rPr>
            <w:b/>
            <w:szCs w:val="22"/>
          </w:rPr>
          <w:delText>uveitidou</w:delText>
        </w:r>
      </w:del>
    </w:p>
    <w:p w14:paraId="2D4EAB25" w14:textId="77777777" w:rsidR="00494B64" w:rsidRPr="001B4A02" w:rsidRDefault="00494B64" w:rsidP="00494B64">
      <w:pPr>
        <w:jc w:val="center"/>
        <w:rPr>
          <w:del w:id="392" w:author="AbbVie1" w:date="2025-05-13T09:50:00Z"/>
        </w:rPr>
      </w:pPr>
    </w:p>
    <w:tbl>
      <w:tblPr>
        <w:tblW w:w="6795" w:type="dxa"/>
        <w:jc w:val="center"/>
        <w:tblLayout w:type="fixed"/>
        <w:tblLook w:val="0000" w:firstRow="0" w:lastRow="0" w:firstColumn="0" w:lastColumn="0" w:noHBand="0" w:noVBand="0"/>
      </w:tblPr>
      <w:tblGrid>
        <w:gridCol w:w="3401"/>
        <w:gridCol w:w="3394"/>
      </w:tblGrid>
      <w:tr w:rsidR="00534A2D" w14:paraId="609554F5" w14:textId="77777777" w:rsidTr="00A5191B">
        <w:trPr>
          <w:tblHeader/>
          <w:jc w:val="center"/>
          <w:del w:id="393" w:author="AbbVie1" w:date="2025-05-13T09:50:00Z"/>
        </w:trPr>
        <w:tc>
          <w:tcPr>
            <w:tcW w:w="3401" w:type="dxa"/>
            <w:tcBorders>
              <w:top w:val="single" w:sz="4" w:space="0" w:color="auto"/>
              <w:bottom w:val="single" w:sz="4" w:space="0" w:color="auto"/>
            </w:tcBorders>
            <w:shd w:val="clear" w:color="auto" w:fill="auto"/>
          </w:tcPr>
          <w:p w14:paraId="3E087166" w14:textId="77777777" w:rsidR="00494B64" w:rsidRPr="001B4A02" w:rsidRDefault="00000000" w:rsidP="00A5191B">
            <w:pPr>
              <w:pStyle w:val="TableLeft"/>
              <w:jc w:val="center"/>
              <w:rPr>
                <w:del w:id="394" w:author="AbbVie1" w:date="2025-05-13T09:50:00Z"/>
                <w:b/>
                <w:sz w:val="22"/>
                <w:szCs w:val="22"/>
                <w:lang w:val="cs-CZ"/>
              </w:rPr>
            </w:pPr>
            <w:del w:id="395" w:author="AbbVie1" w:date="2025-05-13T09:50:00Z">
              <w:r w:rsidRPr="001B4A02">
                <w:rPr>
                  <w:b/>
                  <w:sz w:val="22"/>
                  <w:szCs w:val="22"/>
                  <w:lang w:val="cs-CZ"/>
                </w:rPr>
                <w:delText>Hmotnost pacienta</w:delText>
              </w:r>
            </w:del>
          </w:p>
        </w:tc>
        <w:tc>
          <w:tcPr>
            <w:tcW w:w="3394" w:type="dxa"/>
            <w:tcBorders>
              <w:top w:val="single" w:sz="4" w:space="0" w:color="auto"/>
              <w:bottom w:val="single" w:sz="4" w:space="0" w:color="auto"/>
            </w:tcBorders>
            <w:shd w:val="clear" w:color="auto" w:fill="auto"/>
          </w:tcPr>
          <w:p w14:paraId="64F3306B" w14:textId="77777777" w:rsidR="00494B64" w:rsidRPr="001B4A02" w:rsidRDefault="00000000" w:rsidP="00A5191B">
            <w:pPr>
              <w:pStyle w:val="TableLeft"/>
              <w:jc w:val="center"/>
              <w:rPr>
                <w:del w:id="396" w:author="AbbVie1" w:date="2025-05-13T09:50:00Z"/>
                <w:b/>
                <w:sz w:val="22"/>
                <w:szCs w:val="22"/>
                <w:lang w:val="cs-CZ"/>
              </w:rPr>
            </w:pPr>
            <w:del w:id="397" w:author="AbbVie1" w:date="2025-05-13T09:50:00Z">
              <w:r w:rsidRPr="001B4A02">
                <w:rPr>
                  <w:b/>
                  <w:sz w:val="22"/>
                  <w:szCs w:val="22"/>
                  <w:lang w:val="cs-CZ"/>
                </w:rPr>
                <w:delText>Režim dávkování</w:delText>
              </w:r>
            </w:del>
          </w:p>
        </w:tc>
      </w:tr>
      <w:tr w:rsidR="00534A2D" w14:paraId="78A96F3C" w14:textId="77777777" w:rsidTr="00A5191B">
        <w:trPr>
          <w:tblHeader/>
          <w:jc w:val="center"/>
          <w:del w:id="398" w:author="AbbVie1" w:date="2025-05-13T09:50:00Z"/>
        </w:trPr>
        <w:tc>
          <w:tcPr>
            <w:tcW w:w="3401" w:type="dxa"/>
            <w:tcBorders>
              <w:top w:val="single" w:sz="4" w:space="0" w:color="auto"/>
              <w:bottom w:val="single" w:sz="4" w:space="0" w:color="auto"/>
            </w:tcBorders>
            <w:shd w:val="clear" w:color="auto" w:fill="auto"/>
          </w:tcPr>
          <w:p w14:paraId="5BE91DE8" w14:textId="77777777" w:rsidR="00494B64" w:rsidRPr="001B4A02" w:rsidRDefault="00000000" w:rsidP="00A5191B">
            <w:pPr>
              <w:pStyle w:val="TableLeft"/>
              <w:jc w:val="center"/>
              <w:rPr>
                <w:del w:id="399" w:author="AbbVie1" w:date="2025-05-13T09:50:00Z"/>
                <w:b/>
                <w:sz w:val="22"/>
                <w:szCs w:val="22"/>
                <w:lang w:val="cs-CZ"/>
              </w:rPr>
            </w:pPr>
            <w:del w:id="400" w:author="AbbVie1" w:date="2025-05-13T09:50:00Z">
              <w:r w:rsidRPr="001B4A02">
                <w:rPr>
                  <w:sz w:val="22"/>
                  <w:szCs w:val="22"/>
                  <w:lang w:val="cs-CZ"/>
                </w:rPr>
                <w:delText>&lt;</w:delText>
              </w:r>
              <w:r w:rsidR="00057A14"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3394" w:type="dxa"/>
            <w:tcBorders>
              <w:top w:val="single" w:sz="4" w:space="0" w:color="auto"/>
              <w:bottom w:val="single" w:sz="4" w:space="0" w:color="auto"/>
            </w:tcBorders>
            <w:shd w:val="clear" w:color="auto" w:fill="auto"/>
          </w:tcPr>
          <w:p w14:paraId="192D447F" w14:textId="77777777" w:rsidR="00494B64" w:rsidRPr="001B4A02" w:rsidRDefault="00000000" w:rsidP="00A5191B">
            <w:pPr>
              <w:pStyle w:val="TableLeft"/>
              <w:jc w:val="center"/>
              <w:rPr>
                <w:del w:id="401" w:author="AbbVie1" w:date="2025-05-13T09:50:00Z"/>
                <w:b/>
                <w:sz w:val="22"/>
                <w:szCs w:val="22"/>
                <w:lang w:val="cs-CZ"/>
              </w:rPr>
            </w:pPr>
            <w:del w:id="402" w:author="AbbVie1" w:date="2025-05-13T09:50:00Z">
              <w:r w:rsidRPr="001B4A02">
                <w:rPr>
                  <w:sz w:val="22"/>
                  <w:szCs w:val="22"/>
                  <w:lang w:val="cs-CZ"/>
                </w:rPr>
                <w:delText>20 mg jednou za dva týdny v</w:delText>
              </w:r>
              <w:r w:rsidR="00A9166E" w:rsidRPr="001B4A02">
                <w:rPr>
                  <w:sz w:val="22"/>
                  <w:szCs w:val="22"/>
                  <w:lang w:val="cs-CZ"/>
                </w:rPr>
                <w:delText> </w:delText>
              </w:r>
              <w:r w:rsidRPr="001B4A02">
                <w:rPr>
                  <w:sz w:val="22"/>
                  <w:szCs w:val="22"/>
                  <w:lang w:val="cs-CZ"/>
                </w:rPr>
                <w:delText>kombinaci s</w:delText>
              </w:r>
              <w:r w:rsidR="00A9166E" w:rsidRPr="001B4A02">
                <w:rPr>
                  <w:sz w:val="22"/>
                  <w:szCs w:val="22"/>
                  <w:lang w:val="cs-CZ"/>
                </w:rPr>
                <w:delText> </w:delText>
              </w:r>
              <w:r w:rsidRPr="001B4A02">
                <w:rPr>
                  <w:sz w:val="22"/>
                  <w:szCs w:val="22"/>
                  <w:lang w:val="cs-CZ"/>
                </w:rPr>
                <w:delText>methotrexátem</w:delText>
              </w:r>
            </w:del>
          </w:p>
        </w:tc>
      </w:tr>
      <w:tr w:rsidR="00534A2D" w14:paraId="5A9B6086" w14:textId="77777777" w:rsidTr="00A5191B">
        <w:trPr>
          <w:tblHeader/>
          <w:jc w:val="center"/>
          <w:del w:id="403" w:author="AbbVie1" w:date="2025-05-13T09:50:00Z"/>
        </w:trPr>
        <w:tc>
          <w:tcPr>
            <w:tcW w:w="3401" w:type="dxa"/>
            <w:tcBorders>
              <w:top w:val="single" w:sz="4" w:space="0" w:color="auto"/>
              <w:bottom w:val="single" w:sz="4" w:space="0" w:color="auto"/>
            </w:tcBorders>
            <w:shd w:val="clear" w:color="auto" w:fill="auto"/>
          </w:tcPr>
          <w:p w14:paraId="171D4C5B" w14:textId="77777777" w:rsidR="00494B64" w:rsidRPr="001B4A02" w:rsidRDefault="00000000" w:rsidP="00A5191B">
            <w:pPr>
              <w:pStyle w:val="TableLeft"/>
              <w:jc w:val="center"/>
              <w:rPr>
                <w:del w:id="404" w:author="AbbVie1" w:date="2025-05-13T09:50:00Z"/>
                <w:b/>
                <w:sz w:val="22"/>
                <w:szCs w:val="22"/>
                <w:lang w:val="cs-CZ"/>
              </w:rPr>
            </w:pPr>
            <w:del w:id="405" w:author="AbbVie1" w:date="2025-05-13T09:50:00Z">
              <w:r w:rsidRPr="001B4A02">
                <w:rPr>
                  <w:sz w:val="22"/>
                  <w:szCs w:val="22"/>
                  <w:lang w:val="cs-CZ"/>
                </w:rPr>
                <w:delText>≥</w:delText>
              </w:r>
              <w:r w:rsidR="00057A14"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3394" w:type="dxa"/>
            <w:tcBorders>
              <w:top w:val="single" w:sz="4" w:space="0" w:color="auto"/>
              <w:bottom w:val="single" w:sz="4" w:space="0" w:color="auto"/>
            </w:tcBorders>
            <w:shd w:val="clear" w:color="auto" w:fill="auto"/>
          </w:tcPr>
          <w:p w14:paraId="5A0706C4" w14:textId="77777777" w:rsidR="00494B64" w:rsidRPr="001B4A02" w:rsidRDefault="00000000" w:rsidP="00A5191B">
            <w:pPr>
              <w:pStyle w:val="TableLeft"/>
              <w:jc w:val="center"/>
              <w:rPr>
                <w:del w:id="406" w:author="AbbVie1" w:date="2025-05-13T09:50:00Z"/>
                <w:b/>
                <w:sz w:val="22"/>
                <w:szCs w:val="22"/>
                <w:lang w:val="cs-CZ"/>
              </w:rPr>
            </w:pPr>
            <w:del w:id="407" w:author="AbbVie1" w:date="2025-05-13T09:50:00Z">
              <w:r w:rsidRPr="001B4A02">
                <w:rPr>
                  <w:sz w:val="22"/>
                  <w:szCs w:val="22"/>
                  <w:lang w:val="cs-CZ"/>
                </w:rPr>
                <w:delText>40 mg jednou za dva týdny v</w:delText>
              </w:r>
              <w:r w:rsidR="00A9166E" w:rsidRPr="001B4A02">
                <w:rPr>
                  <w:sz w:val="22"/>
                  <w:szCs w:val="22"/>
                  <w:lang w:val="cs-CZ"/>
                </w:rPr>
                <w:delText> </w:delText>
              </w:r>
              <w:r w:rsidRPr="001B4A02">
                <w:rPr>
                  <w:sz w:val="22"/>
                  <w:szCs w:val="22"/>
                  <w:lang w:val="cs-CZ"/>
                </w:rPr>
                <w:delText>kombinaci s</w:delText>
              </w:r>
              <w:r w:rsidR="00A9166E" w:rsidRPr="001B4A02">
                <w:rPr>
                  <w:sz w:val="22"/>
                  <w:szCs w:val="22"/>
                  <w:lang w:val="cs-CZ"/>
                </w:rPr>
                <w:delText> </w:delText>
              </w:r>
              <w:r w:rsidRPr="001B4A02">
                <w:rPr>
                  <w:sz w:val="22"/>
                  <w:szCs w:val="22"/>
                  <w:lang w:val="cs-CZ"/>
                </w:rPr>
                <w:delText>methotrexátem</w:delText>
              </w:r>
            </w:del>
          </w:p>
        </w:tc>
      </w:tr>
    </w:tbl>
    <w:p w14:paraId="15D2CDEC" w14:textId="77777777" w:rsidR="00BE47E0" w:rsidRPr="001B4A02" w:rsidRDefault="00BE47E0" w:rsidP="00ED48A3">
      <w:pPr>
        <w:rPr>
          <w:del w:id="408" w:author="AbbVie1" w:date="2025-05-13T09:50:00Z"/>
        </w:rPr>
      </w:pPr>
    </w:p>
    <w:p w14:paraId="53329706" w14:textId="77777777" w:rsidR="00BE47E0" w:rsidRPr="001B4A02" w:rsidRDefault="00000000" w:rsidP="00ED48A3">
      <w:pPr>
        <w:ind w:left="0" w:firstLine="0"/>
        <w:rPr>
          <w:del w:id="409" w:author="AbbVie1" w:date="2025-05-13T09:50:00Z"/>
        </w:rPr>
      </w:pPr>
      <w:del w:id="410" w:author="AbbVie1" w:date="2025-05-13T09:50:00Z">
        <w:r w:rsidRPr="001B4A02">
          <w:rPr>
            <w:szCs w:val="22"/>
          </w:rPr>
          <w:delText xml:space="preserve">Při zahájení léčby přípravkem Humira může být podána </w:delText>
        </w:r>
        <w:r w:rsidR="00A245F1" w:rsidRPr="001B4A02">
          <w:rPr>
            <w:szCs w:val="22"/>
          </w:rPr>
          <w:delText>úvodní</w:delText>
        </w:r>
        <w:r w:rsidRPr="001B4A02">
          <w:rPr>
            <w:szCs w:val="22"/>
          </w:rPr>
          <w:delText xml:space="preserve"> dávka 40 mg</w:delText>
        </w:r>
        <w:r w:rsidR="00494B64" w:rsidRPr="001B4A02">
          <w:rPr>
            <w:szCs w:val="22"/>
          </w:rPr>
          <w:delText xml:space="preserve"> pacientům s tělesnou hmotností </w:delText>
        </w:r>
        <w:r w:rsidR="00494B64" w:rsidRPr="001B4A02">
          <w:delText>&lt;</w:delText>
        </w:r>
        <w:r w:rsidR="00057A14" w:rsidRPr="001B4A02">
          <w:delText> </w:delText>
        </w:r>
        <w:r w:rsidR="00494B64" w:rsidRPr="001B4A02">
          <w:delText>30</w:delText>
        </w:r>
        <w:r w:rsidR="002767FC">
          <w:delText> kg</w:delText>
        </w:r>
        <w:r w:rsidR="00494B64" w:rsidRPr="001B4A02">
          <w:delText xml:space="preserve"> nebo 80 mg pacientům s tělesnou hmotností ≥</w:delText>
        </w:r>
        <w:r w:rsidR="008E5C77" w:rsidRPr="001B4A02">
          <w:delText> </w:delText>
        </w:r>
        <w:r w:rsidR="00494B64" w:rsidRPr="001B4A02">
          <w:delText>30</w:delText>
        </w:r>
        <w:r w:rsidR="002767FC">
          <w:delText> kg</w:delText>
        </w:r>
        <w:r w:rsidRPr="001B4A02">
          <w:rPr>
            <w:szCs w:val="22"/>
          </w:rPr>
          <w:delText xml:space="preserve"> jeden týden před zahájením udržovací léčby. Nejsou k</w:delText>
        </w:r>
        <w:r w:rsidR="00607D04" w:rsidRPr="001B4A02">
          <w:rPr>
            <w:szCs w:val="22"/>
          </w:rPr>
          <w:delText> </w:delText>
        </w:r>
        <w:r w:rsidRPr="001B4A02">
          <w:rPr>
            <w:szCs w:val="22"/>
          </w:rPr>
          <w:delText>dispozici žádné klinické údaje o</w:delText>
        </w:r>
        <w:r w:rsidR="00923691" w:rsidRPr="001B4A02">
          <w:rPr>
            <w:szCs w:val="22"/>
          </w:rPr>
          <w:delText> </w:delText>
        </w:r>
        <w:r w:rsidRPr="001B4A02">
          <w:rPr>
            <w:szCs w:val="22"/>
          </w:rPr>
          <w:delText xml:space="preserve">použití </w:delText>
        </w:r>
        <w:r w:rsidR="005F6783" w:rsidRPr="001B4A02">
          <w:rPr>
            <w:szCs w:val="22"/>
          </w:rPr>
          <w:delText>úvodní</w:delText>
        </w:r>
        <w:r w:rsidRPr="001B4A02">
          <w:rPr>
            <w:szCs w:val="22"/>
          </w:rPr>
          <w:delText xml:space="preserve"> dávky přípravku Humira</w:delText>
        </w:r>
        <w:r w:rsidR="00B12121" w:rsidRPr="001B4A02">
          <w:rPr>
            <w:szCs w:val="22"/>
          </w:rPr>
          <w:delText xml:space="preserve"> u </w:delText>
        </w:r>
        <w:r w:rsidRPr="001B4A02">
          <w:rPr>
            <w:szCs w:val="22"/>
          </w:rPr>
          <w:delText>dětí ve věku &lt;</w:delText>
        </w:r>
        <w:r w:rsidR="005C30BE" w:rsidRPr="001B4A02">
          <w:rPr>
            <w:szCs w:val="22"/>
          </w:rPr>
          <w:delText> </w:delText>
        </w:r>
        <w:r w:rsidRPr="001B4A02">
          <w:rPr>
            <w:szCs w:val="22"/>
          </w:rPr>
          <w:delText>6 let (viz bod 5.2).</w:delText>
        </w:r>
      </w:del>
    </w:p>
    <w:p w14:paraId="56D8952C" w14:textId="77777777" w:rsidR="00BE47E0" w:rsidRPr="001B4A02" w:rsidRDefault="00BE47E0" w:rsidP="00ED48A3">
      <w:pPr>
        <w:rPr>
          <w:del w:id="411" w:author="AbbVie1" w:date="2025-05-13T09:50:00Z"/>
        </w:rPr>
      </w:pPr>
    </w:p>
    <w:p w14:paraId="4DDFAA93" w14:textId="77777777" w:rsidR="00BE47E0" w:rsidRPr="001B4A02" w:rsidRDefault="00000000" w:rsidP="00ED48A3">
      <w:pPr>
        <w:pStyle w:val="EMEANormal"/>
        <w:rPr>
          <w:del w:id="412" w:author="AbbVie1" w:date="2025-05-13T09:50:00Z"/>
          <w:lang w:val="cs-CZ"/>
        </w:rPr>
      </w:pPr>
      <w:del w:id="413" w:author="AbbVie1" w:date="2025-05-13T09:50:00Z">
        <w:r w:rsidRPr="001B4A02">
          <w:rPr>
            <w:szCs w:val="22"/>
            <w:lang w:val="cs-CZ"/>
          </w:rPr>
          <w:delText>Použití přípravku Humira</w:delText>
        </w:r>
        <w:r w:rsidR="00B12121" w:rsidRPr="001B4A02">
          <w:rPr>
            <w:szCs w:val="22"/>
            <w:lang w:val="cs-CZ"/>
          </w:rPr>
          <w:delText xml:space="preserve"> u </w:delText>
        </w:r>
        <w:r w:rsidRPr="001B4A02">
          <w:rPr>
            <w:szCs w:val="22"/>
            <w:lang w:val="cs-CZ"/>
          </w:rPr>
          <w:delText>dětí mladších než 2 roky není v</w:delText>
        </w:r>
        <w:r w:rsidR="00B12121" w:rsidRPr="001B4A02">
          <w:rPr>
            <w:szCs w:val="22"/>
            <w:lang w:val="cs-CZ"/>
          </w:rPr>
          <w:delText> </w:delText>
        </w:r>
        <w:r w:rsidRPr="001B4A02">
          <w:rPr>
            <w:szCs w:val="22"/>
            <w:lang w:val="cs-CZ"/>
          </w:rPr>
          <w:delText>této indikaci relevantní.</w:delText>
        </w:r>
      </w:del>
    </w:p>
    <w:p w14:paraId="189FB155" w14:textId="77777777" w:rsidR="00BE47E0" w:rsidRPr="001B4A02" w:rsidRDefault="00BE47E0" w:rsidP="00ED48A3">
      <w:pPr>
        <w:pStyle w:val="EMEANormal"/>
        <w:rPr>
          <w:del w:id="414" w:author="AbbVie1" w:date="2025-05-13T09:50:00Z"/>
          <w:lang w:val="cs-CZ"/>
        </w:rPr>
      </w:pPr>
    </w:p>
    <w:p w14:paraId="4162BAE2" w14:textId="77777777" w:rsidR="00BE47E0" w:rsidRPr="001B4A02" w:rsidRDefault="00000000" w:rsidP="00AA1CF3">
      <w:pPr>
        <w:ind w:left="0" w:firstLine="0"/>
        <w:rPr>
          <w:del w:id="415" w:author="AbbVie1" w:date="2025-05-13T09:50:00Z"/>
          <w:color w:val="000000"/>
        </w:rPr>
      </w:pPr>
      <w:del w:id="416" w:author="AbbVie1" w:date="2025-05-13T09:50:00Z">
        <w:r w:rsidRPr="001B4A02">
          <w:rPr>
            <w:szCs w:val="22"/>
          </w:rPr>
          <w:delText xml:space="preserve">Je doporučeno, aby byl každý rok </w:delText>
        </w:r>
        <w:r w:rsidR="00C057C9" w:rsidRPr="001B4A02">
          <w:rPr>
            <w:szCs w:val="22"/>
          </w:rPr>
          <w:delText>vyhodnocen poměr přínosu a</w:delText>
        </w:r>
        <w:r w:rsidRPr="001B4A02">
          <w:rPr>
            <w:szCs w:val="22"/>
          </w:rPr>
          <w:delText>rizik</w:delText>
        </w:r>
        <w:r w:rsidR="00C057C9" w:rsidRPr="001B4A02">
          <w:rPr>
            <w:szCs w:val="22"/>
          </w:rPr>
          <w:delText>a</w:delText>
        </w:r>
        <w:r w:rsidRPr="001B4A02">
          <w:rPr>
            <w:szCs w:val="22"/>
          </w:rPr>
          <w:delText xml:space="preserve"> pokračování dlouhodobé léčby (viz bod 5.1).</w:delText>
        </w:r>
      </w:del>
    </w:p>
    <w:p w14:paraId="03A84201" w14:textId="77777777" w:rsidR="00BC1FE9" w:rsidRPr="001B4A02" w:rsidRDefault="00BC1FE9" w:rsidP="00ED48A3">
      <w:pPr>
        <w:ind w:left="0" w:firstLine="0"/>
        <w:rPr>
          <w:del w:id="417" w:author="AbbVie1" w:date="2025-05-13T09:50:00Z"/>
        </w:rPr>
      </w:pPr>
    </w:p>
    <w:p w14:paraId="68F8C1EE" w14:textId="77777777" w:rsidR="00F8749E" w:rsidRPr="001B4A02" w:rsidRDefault="00000000" w:rsidP="00ED48A3">
      <w:pPr>
        <w:ind w:left="0" w:firstLine="0"/>
        <w:rPr>
          <w:del w:id="418" w:author="AbbVie1" w:date="2025-05-13T09:50:00Z"/>
        </w:rPr>
      </w:pPr>
      <w:del w:id="419" w:author="AbbVie1" w:date="2025-05-13T09:50:00Z">
        <w:r w:rsidRPr="001B4A02">
          <w:delText xml:space="preserve">Přípravek Humira je k dispozici v dalších silách a/nebo </w:delText>
        </w:r>
        <w:r w:rsidR="00A43DB3">
          <w:delText>typech balení</w:delText>
        </w:r>
        <w:r w:rsidRPr="001B4A02">
          <w:delText xml:space="preserve"> v závislosti na individuálních potřebách léčby.</w:delText>
        </w:r>
      </w:del>
    </w:p>
    <w:p w14:paraId="2A34AFB0" w14:textId="77777777" w:rsidR="00F8749E" w:rsidRPr="001B4A02" w:rsidRDefault="00F8749E" w:rsidP="00ED48A3">
      <w:pPr>
        <w:ind w:left="0" w:firstLine="0"/>
        <w:rPr>
          <w:del w:id="420" w:author="AbbVie1" w:date="2025-05-13T09:50:00Z"/>
        </w:rPr>
      </w:pPr>
    </w:p>
    <w:p w14:paraId="4244BFD0" w14:textId="77777777" w:rsidR="00073F8F" w:rsidRPr="001B4A02" w:rsidRDefault="00000000" w:rsidP="00D84336">
      <w:pPr>
        <w:keepNext/>
        <w:rPr>
          <w:del w:id="421" w:author="AbbVie1" w:date="2025-05-13T09:50:00Z"/>
          <w:i/>
          <w:u w:val="single"/>
        </w:rPr>
      </w:pPr>
      <w:del w:id="422" w:author="AbbVie1" w:date="2025-05-13T09:50:00Z">
        <w:r w:rsidRPr="001B4A02">
          <w:rPr>
            <w:i/>
            <w:u w:val="single"/>
          </w:rPr>
          <w:delText>Poruch</w:delText>
        </w:r>
        <w:r w:rsidR="009F584E" w:rsidRPr="001B4A02">
          <w:rPr>
            <w:i/>
            <w:u w:val="single"/>
          </w:rPr>
          <w:delText>a</w:delText>
        </w:r>
        <w:r w:rsidRPr="001B4A02">
          <w:rPr>
            <w:i/>
            <w:u w:val="single"/>
          </w:rPr>
          <w:delText xml:space="preserve"> funkce ledvin a/nebo jater</w:delText>
        </w:r>
      </w:del>
    </w:p>
    <w:p w14:paraId="627F7656" w14:textId="77777777" w:rsidR="00073F8F" w:rsidRPr="001B4A02" w:rsidRDefault="00073F8F" w:rsidP="00D84336">
      <w:pPr>
        <w:keepNext/>
        <w:ind w:left="0" w:firstLine="0"/>
        <w:rPr>
          <w:del w:id="423" w:author="AbbVie1" w:date="2025-05-13T09:50:00Z"/>
        </w:rPr>
      </w:pPr>
    </w:p>
    <w:p w14:paraId="4EEBB109" w14:textId="77777777" w:rsidR="00073F8F" w:rsidRPr="001B4A02" w:rsidRDefault="00000000" w:rsidP="00ED48A3">
      <w:pPr>
        <w:ind w:left="0" w:firstLine="0"/>
        <w:rPr>
          <w:del w:id="424" w:author="AbbVie1" w:date="2025-05-13T09:50:00Z"/>
        </w:rPr>
      </w:pPr>
      <w:del w:id="425" w:author="AbbVie1" w:date="2025-05-13T09:50:00Z">
        <w:r w:rsidRPr="001B4A02">
          <w:delText>Přípravek Humira nebyl studován u této populace pacientů. Proto nelze uvést žádná doporučení ohledně dávky léku.</w:delText>
        </w:r>
      </w:del>
    </w:p>
    <w:p w14:paraId="42F38069" w14:textId="77777777" w:rsidR="00073F8F" w:rsidRPr="00390F17" w:rsidRDefault="00073F8F" w:rsidP="00ED48A3">
      <w:pPr>
        <w:ind w:left="0" w:firstLine="0"/>
        <w:rPr>
          <w:del w:id="426" w:author="AbbVie1" w:date="2025-05-13T09:50:00Z"/>
          <w:bCs/>
        </w:rPr>
      </w:pPr>
    </w:p>
    <w:p w14:paraId="12920354" w14:textId="77777777" w:rsidR="00BC1FE9" w:rsidRPr="001B4A02" w:rsidRDefault="00000000" w:rsidP="00D84336">
      <w:pPr>
        <w:keepNext/>
        <w:ind w:left="0" w:firstLine="0"/>
        <w:rPr>
          <w:del w:id="427" w:author="AbbVie1" w:date="2025-05-13T09:50:00Z"/>
          <w:i/>
          <w:u w:val="single"/>
        </w:rPr>
      </w:pPr>
      <w:del w:id="428" w:author="AbbVie1" w:date="2025-05-13T09:50:00Z">
        <w:r w:rsidRPr="001B4A02">
          <w:rPr>
            <w:i/>
            <w:u w:val="single"/>
          </w:rPr>
          <w:delText>Způsob podání</w:delText>
        </w:r>
      </w:del>
    </w:p>
    <w:p w14:paraId="0696766D" w14:textId="77777777" w:rsidR="00BC1FE9" w:rsidRPr="001B4A02" w:rsidRDefault="00BC1FE9" w:rsidP="00D84336">
      <w:pPr>
        <w:keepNext/>
        <w:ind w:left="0" w:firstLine="0"/>
        <w:rPr>
          <w:del w:id="429" w:author="AbbVie1" w:date="2025-05-13T09:50:00Z"/>
          <w:u w:val="single"/>
        </w:rPr>
      </w:pPr>
    </w:p>
    <w:p w14:paraId="5549DCF5" w14:textId="77777777" w:rsidR="00BC1FE9" w:rsidRPr="001B4A02" w:rsidRDefault="00000000" w:rsidP="00ED48A3">
      <w:pPr>
        <w:ind w:left="0" w:firstLine="0"/>
        <w:rPr>
          <w:del w:id="430" w:author="AbbVie1" w:date="2025-05-13T09:50:00Z"/>
        </w:rPr>
      </w:pPr>
      <w:del w:id="431" w:author="AbbVie1" w:date="2025-05-13T09:50:00Z">
        <w:r w:rsidRPr="001B4A02">
          <w:delText>Přípravek Humira se podává subk</w:delText>
        </w:r>
        <w:r w:rsidR="00AC7C58" w:rsidRPr="001B4A02">
          <w:delText>utánní injekcí. Podrobný návod k</w:delText>
        </w:r>
        <w:r w:rsidR="00BD4EAC" w:rsidRPr="001B4A02">
          <w:delText> </w:delText>
        </w:r>
        <w:r w:rsidR="00BE2F59" w:rsidRPr="001B4A02">
          <w:delText>po</w:delText>
        </w:r>
        <w:r w:rsidR="00AC7C58" w:rsidRPr="001B4A02">
          <w:delText>užití je uveden v</w:delText>
        </w:r>
        <w:r w:rsidR="00BD4EAC" w:rsidRPr="001B4A02">
          <w:delText> </w:delText>
        </w:r>
        <w:r w:rsidRPr="001B4A02">
          <w:delText>příbalové informaci.</w:delText>
        </w:r>
      </w:del>
    </w:p>
    <w:p w14:paraId="0DAE8709" w14:textId="77777777" w:rsidR="006A13EA" w:rsidRPr="001B4A02" w:rsidRDefault="006A13EA" w:rsidP="00ED48A3">
      <w:pPr>
        <w:ind w:left="0" w:firstLine="0"/>
        <w:rPr>
          <w:del w:id="432" w:author="AbbVie1" w:date="2025-05-13T09:50:00Z"/>
        </w:rPr>
      </w:pPr>
    </w:p>
    <w:p w14:paraId="7B7F2A8D" w14:textId="77777777" w:rsidR="00494B64" w:rsidRPr="001B4A02" w:rsidRDefault="00000000" w:rsidP="00494B64">
      <w:pPr>
        <w:ind w:left="0" w:firstLine="0"/>
        <w:rPr>
          <w:del w:id="433" w:author="AbbVie1" w:date="2025-05-13T09:50:00Z"/>
        </w:rPr>
      </w:pPr>
      <w:del w:id="434" w:author="AbbVie1" w:date="2025-05-13T09:50:00Z">
        <w:r w:rsidRPr="001B4A02">
          <w:delText>Přípravek Humira je k dispozici v dalších silách</w:delText>
        </w:r>
        <w:r w:rsidR="002378E0">
          <w:delText xml:space="preserve"> a </w:delText>
        </w:r>
        <w:r w:rsidR="00A43DB3">
          <w:delText>typech balení</w:delText>
        </w:r>
        <w:r w:rsidRPr="001B4A02">
          <w:delText>.</w:delText>
        </w:r>
      </w:del>
    </w:p>
    <w:p w14:paraId="58904B99" w14:textId="77777777" w:rsidR="00BC1FE9" w:rsidRPr="00390F17" w:rsidRDefault="00BC1FE9" w:rsidP="00ED48A3">
      <w:pPr>
        <w:ind w:left="0" w:firstLine="0"/>
        <w:rPr>
          <w:del w:id="435" w:author="AbbVie1" w:date="2025-05-13T09:50:00Z"/>
          <w:bCs/>
        </w:rPr>
      </w:pPr>
    </w:p>
    <w:p w14:paraId="32B10779" w14:textId="77777777" w:rsidR="00073F8F" w:rsidRPr="001B4A02" w:rsidRDefault="00000000" w:rsidP="000A5426">
      <w:pPr>
        <w:keepNext/>
        <w:ind w:left="0" w:firstLine="0"/>
        <w:outlineLvl w:val="1"/>
        <w:rPr>
          <w:del w:id="436" w:author="AbbVie1" w:date="2025-05-13T09:50:00Z"/>
        </w:rPr>
      </w:pPr>
      <w:del w:id="437" w:author="AbbVie1" w:date="2025-05-13T09:50:00Z">
        <w:r w:rsidRPr="001B4A02">
          <w:rPr>
            <w:b/>
          </w:rPr>
          <w:delText>4.3</w:delText>
        </w:r>
        <w:r w:rsidRPr="001B4A02">
          <w:rPr>
            <w:b/>
          </w:rPr>
          <w:tab/>
          <w:delText>Kontraindikace</w:delText>
        </w:r>
      </w:del>
    </w:p>
    <w:p w14:paraId="4C786D18" w14:textId="77777777" w:rsidR="00073F8F" w:rsidRPr="001B4A02" w:rsidRDefault="00073F8F" w:rsidP="00ED48A3">
      <w:pPr>
        <w:keepNext/>
        <w:ind w:left="0" w:firstLine="0"/>
        <w:rPr>
          <w:del w:id="438" w:author="AbbVie1" w:date="2025-05-13T09:50:00Z"/>
        </w:rPr>
      </w:pPr>
    </w:p>
    <w:p w14:paraId="42FE1E24" w14:textId="77777777" w:rsidR="00073F8F" w:rsidRPr="001B4A02" w:rsidRDefault="00000000" w:rsidP="00D84336">
      <w:pPr>
        <w:ind w:left="0" w:firstLine="0"/>
        <w:rPr>
          <w:del w:id="439" w:author="AbbVie1" w:date="2025-05-13T09:50:00Z"/>
        </w:rPr>
      </w:pPr>
      <w:del w:id="440" w:author="AbbVie1" w:date="2025-05-13T09:50:00Z">
        <w:r w:rsidRPr="001B4A02">
          <w:delText>Hypersen</w:delText>
        </w:r>
        <w:r w:rsidR="003937A6" w:rsidRPr="001B4A02">
          <w:delText>z</w:delText>
        </w:r>
        <w:r w:rsidRPr="001B4A02">
          <w:delText>itivita na léčivou látku nebo na kteroukoli pomocnou látku</w:delText>
        </w:r>
        <w:r w:rsidR="00F942BA" w:rsidRPr="001B4A02">
          <w:delText xml:space="preserve"> uvedenou v bodě 6.1</w:delText>
        </w:r>
        <w:r w:rsidRPr="001B4A02">
          <w:delText>.</w:delText>
        </w:r>
      </w:del>
    </w:p>
    <w:p w14:paraId="29D71E8D" w14:textId="77777777" w:rsidR="00073F8F" w:rsidRPr="001B4A02" w:rsidRDefault="00073F8F" w:rsidP="00ED48A3">
      <w:pPr>
        <w:ind w:left="0" w:firstLine="0"/>
        <w:rPr>
          <w:del w:id="441" w:author="AbbVie1" w:date="2025-05-13T09:50:00Z"/>
        </w:rPr>
      </w:pPr>
    </w:p>
    <w:p w14:paraId="3CBBC809" w14:textId="77777777" w:rsidR="00073F8F" w:rsidRPr="001B4A02" w:rsidRDefault="00000000" w:rsidP="00ED48A3">
      <w:pPr>
        <w:ind w:left="0" w:firstLine="0"/>
        <w:rPr>
          <w:del w:id="442" w:author="AbbVie1" w:date="2025-05-13T09:50:00Z"/>
        </w:rPr>
      </w:pPr>
      <w:del w:id="443" w:author="AbbVie1" w:date="2025-05-13T09:50:00Z">
        <w:r w:rsidRPr="001B4A02">
          <w:delText>Aktivní tuberkulóza nebo jiné závažné infekce, jako je sepse</w:delText>
        </w:r>
        <w:r w:rsidR="002378E0">
          <w:delText xml:space="preserve"> a </w:delText>
        </w:r>
        <w:r w:rsidRPr="001B4A02">
          <w:delText>oportunní infekce (viz bod 4.4).</w:delText>
        </w:r>
      </w:del>
    </w:p>
    <w:p w14:paraId="0AF5DFAF" w14:textId="77777777" w:rsidR="00073F8F" w:rsidRPr="001B4A02" w:rsidRDefault="00073F8F" w:rsidP="00ED48A3">
      <w:pPr>
        <w:ind w:left="0" w:firstLine="0"/>
        <w:rPr>
          <w:del w:id="444" w:author="AbbVie1" w:date="2025-05-13T09:50:00Z"/>
        </w:rPr>
      </w:pPr>
    </w:p>
    <w:p w14:paraId="1592EAF5" w14:textId="77777777" w:rsidR="00073F8F" w:rsidRPr="001B4A02" w:rsidRDefault="00000000" w:rsidP="00ED48A3">
      <w:pPr>
        <w:ind w:left="0" w:firstLine="0"/>
        <w:rPr>
          <w:del w:id="445" w:author="AbbVie1" w:date="2025-05-13T09:50:00Z"/>
        </w:rPr>
      </w:pPr>
      <w:del w:id="446" w:author="AbbVie1" w:date="2025-05-13T09:50:00Z">
        <w:r w:rsidRPr="001B4A02">
          <w:delText>Středně těžké až těžké srdeční selhání (NYHA třída III/IV) (viz bod 4.4).</w:delText>
        </w:r>
      </w:del>
    </w:p>
    <w:p w14:paraId="404C7D30" w14:textId="77777777" w:rsidR="00073F8F" w:rsidRPr="001B4A02" w:rsidRDefault="00073F8F" w:rsidP="00ED48A3">
      <w:pPr>
        <w:ind w:left="0" w:firstLine="0"/>
        <w:rPr>
          <w:del w:id="447" w:author="AbbVie1" w:date="2025-05-13T09:50:00Z"/>
        </w:rPr>
      </w:pPr>
    </w:p>
    <w:p w14:paraId="516B7F84" w14:textId="77777777" w:rsidR="00073F8F" w:rsidRPr="001B4A02" w:rsidRDefault="00000000" w:rsidP="000A5426">
      <w:pPr>
        <w:keepNext/>
        <w:ind w:left="0" w:firstLine="0"/>
        <w:outlineLvl w:val="1"/>
        <w:rPr>
          <w:del w:id="448" w:author="AbbVie1" w:date="2025-05-13T09:50:00Z"/>
          <w:b/>
        </w:rPr>
      </w:pPr>
      <w:del w:id="449" w:author="AbbVie1" w:date="2025-05-13T09:50:00Z">
        <w:r w:rsidRPr="001B4A02">
          <w:rPr>
            <w:b/>
          </w:rPr>
          <w:delText>4.4</w:delText>
        </w:r>
        <w:r w:rsidRPr="001B4A02">
          <w:rPr>
            <w:b/>
          </w:rPr>
          <w:tab/>
          <w:delText>Zvláštní upozornění</w:delText>
        </w:r>
        <w:r w:rsidR="002378E0">
          <w:rPr>
            <w:b/>
          </w:rPr>
          <w:delText xml:space="preserve"> a </w:delText>
        </w:r>
        <w:r w:rsidRPr="001B4A02">
          <w:rPr>
            <w:b/>
          </w:rPr>
          <w:delText>opatření pro použití</w:delText>
        </w:r>
      </w:del>
    </w:p>
    <w:p w14:paraId="2407C611" w14:textId="77777777" w:rsidR="00723C11" w:rsidRPr="001B4A02" w:rsidRDefault="00723C11" w:rsidP="00D84336">
      <w:pPr>
        <w:keepNext/>
        <w:ind w:left="0" w:firstLine="0"/>
        <w:rPr>
          <w:del w:id="450" w:author="AbbVie1" w:date="2025-05-13T09:50:00Z"/>
        </w:rPr>
      </w:pPr>
    </w:p>
    <w:p w14:paraId="59464F38" w14:textId="77777777" w:rsidR="00494B64" w:rsidRPr="001B4A02" w:rsidRDefault="00000000" w:rsidP="00D84336">
      <w:pPr>
        <w:keepNext/>
        <w:ind w:left="0" w:firstLine="0"/>
        <w:rPr>
          <w:del w:id="451" w:author="AbbVie1" w:date="2025-05-13T09:50:00Z"/>
          <w:u w:val="single"/>
        </w:rPr>
      </w:pPr>
      <w:del w:id="452" w:author="AbbVie1" w:date="2025-05-13T09:50:00Z">
        <w:r w:rsidRPr="001B4A02">
          <w:rPr>
            <w:u w:val="single"/>
          </w:rPr>
          <w:delText>Sledovatelnost</w:delText>
        </w:r>
      </w:del>
    </w:p>
    <w:p w14:paraId="7959F766" w14:textId="77777777" w:rsidR="00494B64" w:rsidRPr="001B4A02" w:rsidRDefault="00494B64" w:rsidP="00D84336">
      <w:pPr>
        <w:keepNext/>
        <w:ind w:left="0" w:firstLine="0"/>
        <w:rPr>
          <w:del w:id="453" w:author="AbbVie1" w:date="2025-05-13T09:50:00Z"/>
        </w:rPr>
      </w:pPr>
    </w:p>
    <w:p w14:paraId="0B74FF04" w14:textId="77777777" w:rsidR="00251CED" w:rsidRPr="001B4A02" w:rsidRDefault="00000000" w:rsidP="00ED48A3">
      <w:pPr>
        <w:ind w:left="0" w:firstLine="0"/>
        <w:rPr>
          <w:del w:id="454" w:author="AbbVie1" w:date="2025-05-13T09:50:00Z"/>
        </w:rPr>
      </w:pPr>
      <w:del w:id="455" w:author="AbbVie1" w:date="2025-05-13T09:50:00Z">
        <w:r w:rsidRPr="001B4A02">
          <w:delText>Z</w:delText>
        </w:r>
        <w:r w:rsidR="00BD4EAC" w:rsidRPr="001B4A02">
          <w:delText> </w:delText>
        </w:r>
        <w:r w:rsidRPr="001B4A02">
          <w:delText>důvodu zlepšení sledovatelnosti biologických léčivých přípravků musí být přesně zaznamenáván název</w:delText>
        </w:r>
        <w:r w:rsidR="002378E0">
          <w:delText xml:space="preserve"> a </w:delText>
        </w:r>
        <w:r w:rsidRPr="001B4A02">
          <w:delText>číslo šarže podaného přípravku.</w:delText>
        </w:r>
      </w:del>
    </w:p>
    <w:p w14:paraId="2267F2C7" w14:textId="77777777" w:rsidR="00251CED" w:rsidRPr="001B4A02" w:rsidRDefault="00251CED" w:rsidP="00ED48A3">
      <w:pPr>
        <w:rPr>
          <w:del w:id="456" w:author="AbbVie1" w:date="2025-05-13T09:50:00Z"/>
          <w:u w:val="single"/>
        </w:rPr>
      </w:pPr>
    </w:p>
    <w:p w14:paraId="08D98A39" w14:textId="77777777" w:rsidR="00073F8F" w:rsidRPr="001B4A02" w:rsidRDefault="00000000" w:rsidP="00D84336">
      <w:pPr>
        <w:keepNext/>
        <w:rPr>
          <w:del w:id="457" w:author="AbbVie1" w:date="2025-05-13T09:50:00Z"/>
          <w:u w:val="single"/>
        </w:rPr>
      </w:pPr>
      <w:del w:id="458" w:author="AbbVie1" w:date="2025-05-13T09:50:00Z">
        <w:r w:rsidRPr="001B4A02">
          <w:rPr>
            <w:u w:val="single"/>
          </w:rPr>
          <w:delText>Infekce</w:delText>
        </w:r>
      </w:del>
    </w:p>
    <w:p w14:paraId="1C985C97" w14:textId="77777777" w:rsidR="00251CED" w:rsidRPr="001B4A02" w:rsidRDefault="00251CED" w:rsidP="00D84336">
      <w:pPr>
        <w:keepNext/>
        <w:ind w:left="0" w:firstLine="0"/>
        <w:rPr>
          <w:del w:id="459" w:author="AbbVie1" w:date="2025-05-13T09:50:00Z"/>
        </w:rPr>
      </w:pPr>
    </w:p>
    <w:p w14:paraId="1C24C2F5" w14:textId="77777777" w:rsidR="00073F8F" w:rsidRPr="001B4A02" w:rsidRDefault="00000000" w:rsidP="00ED48A3">
      <w:pPr>
        <w:ind w:left="0" w:firstLine="0"/>
        <w:rPr>
          <w:del w:id="460" w:author="AbbVie1" w:date="2025-05-13T09:50:00Z"/>
        </w:rPr>
      </w:pPr>
      <w:del w:id="461" w:author="AbbVie1" w:date="2025-05-13T09:50:00Z">
        <w:r w:rsidRPr="001B4A02">
          <w:delText xml:space="preserve">Pacienti užívající TNF-antagonisty jsou více náchylní k závažným infekcím. </w:delText>
        </w:r>
        <w:r w:rsidR="00FE537F" w:rsidRPr="001B4A02">
          <w:delText>Riziko rozvoje infekcí</w:delText>
        </w:r>
        <w:r w:rsidR="00851518" w:rsidRPr="001B4A02">
          <w:delText xml:space="preserve"> může stoupa</w:delText>
        </w:r>
        <w:r w:rsidR="00FE537F" w:rsidRPr="001B4A02">
          <w:delText xml:space="preserve">t </w:delText>
        </w:r>
        <w:r w:rsidR="00851518" w:rsidRPr="001B4A02">
          <w:delText xml:space="preserve">při </w:delText>
        </w:r>
        <w:r w:rsidR="00FE537F" w:rsidRPr="001B4A02">
          <w:delText>po</w:delText>
        </w:r>
        <w:r w:rsidR="00851518" w:rsidRPr="001B4A02">
          <w:delText>rušené funkci</w:delText>
        </w:r>
        <w:r w:rsidR="00FE537F" w:rsidRPr="001B4A02">
          <w:delText xml:space="preserve"> plic. </w:delText>
        </w:r>
        <w:r w:rsidRPr="001B4A02">
          <w:delText>Pacienti musí být proto pečlivě sledováni z hlediska výskytu infekcí včetně tuberkulózy,</w:delText>
        </w:r>
        <w:r w:rsidR="002378E0">
          <w:delText xml:space="preserve"> a </w:delText>
        </w:r>
        <w:r w:rsidRPr="001B4A02">
          <w:delText xml:space="preserve">to před léčbou, během léčby i po ukončení léčby přípravkem Humira. Vzhledem k tomu, že eliminace adalimumabu z organismu může trvat až </w:delText>
        </w:r>
        <w:r w:rsidR="005C5343" w:rsidRPr="001B4A02">
          <w:delText>čtyři</w:delText>
        </w:r>
        <w:r w:rsidRPr="001B4A02">
          <w:delText xml:space="preserve"> měsíc</w:delText>
        </w:r>
        <w:r w:rsidR="005C5343" w:rsidRPr="001B4A02">
          <w:delText>e</w:delText>
        </w:r>
        <w:r w:rsidRPr="001B4A02">
          <w:delText>, sledování musí trvat po celou tuto dobu.</w:delText>
        </w:r>
      </w:del>
    </w:p>
    <w:p w14:paraId="4957EA06" w14:textId="77777777" w:rsidR="00073F8F" w:rsidRPr="001B4A02" w:rsidRDefault="00073F8F" w:rsidP="00ED48A3">
      <w:pPr>
        <w:ind w:left="0" w:firstLine="0"/>
        <w:rPr>
          <w:del w:id="462" w:author="AbbVie1" w:date="2025-05-13T09:50:00Z"/>
        </w:rPr>
      </w:pPr>
    </w:p>
    <w:p w14:paraId="4CB9CAC9" w14:textId="77777777" w:rsidR="00073F8F" w:rsidRPr="001B4A02" w:rsidRDefault="00000000" w:rsidP="00ED48A3">
      <w:pPr>
        <w:ind w:left="0" w:firstLine="0"/>
        <w:rPr>
          <w:del w:id="463" w:author="AbbVie1" w:date="2025-05-13T09:50:00Z"/>
        </w:rPr>
      </w:pPr>
      <w:del w:id="464" w:author="AbbVie1" w:date="2025-05-13T09:50:00Z">
        <w:r w:rsidRPr="001B4A02">
          <w:delText>Léčba přípravkem Humira nesmí být zahájena u pacientů s</w:delText>
        </w:r>
        <w:r w:rsidR="00BD4EAC" w:rsidRPr="001B4A02">
          <w:delText> </w:delText>
        </w:r>
        <w:r w:rsidRPr="001B4A02">
          <w:delText>aktivní infekcí včetně chronické nebo lokalizované infekce do té doby, než jsou tyto infekce terapeuticky zvládnuty. U</w:delText>
        </w:r>
        <w:r w:rsidR="00BD4EAC" w:rsidRPr="001B4A02">
          <w:delText> </w:delText>
        </w:r>
        <w:r w:rsidRPr="001B4A02">
          <w:delText>pacientů, kteří přišli do styku s</w:delText>
        </w:r>
        <w:r w:rsidR="00BD4EAC" w:rsidRPr="001B4A02">
          <w:delText> </w:delText>
        </w:r>
        <w:r w:rsidRPr="001B4A02">
          <w:delText>tuberkulózou</w:delText>
        </w:r>
        <w:r w:rsidR="00757CB8" w:rsidRPr="001B4A02">
          <w:delText>,</w:delText>
        </w:r>
        <w:r w:rsidR="002378E0">
          <w:delText xml:space="preserve"> a </w:delText>
        </w:r>
        <w:r w:rsidRPr="001B4A02">
          <w:delText>pacientů, kteří cestovali do oblastí s vysokým rizikem výskytu tuberkulózy nebo endemických mykóz, jako například histoplasmóza, kokcidiomykóza, nebo blastomykóza, by měl být zvážen poměr rizika</w:delText>
        </w:r>
        <w:r w:rsidR="002378E0">
          <w:delText xml:space="preserve"> a </w:delText>
        </w:r>
        <w:r w:rsidRPr="001B4A02">
          <w:delText xml:space="preserve">přínosu léčby přípravkem Humira ještě před zahájením léčby (viz </w:delText>
        </w:r>
        <w:r w:rsidR="00A7791A" w:rsidRPr="001B4A02">
          <w:rPr>
            <w:i/>
          </w:rPr>
          <w:delText>Jiné o</w:delText>
        </w:r>
        <w:r w:rsidRPr="001B4A02">
          <w:rPr>
            <w:i/>
          </w:rPr>
          <w:delText>portunní infekce</w:delText>
        </w:r>
        <w:r w:rsidRPr="001B4A02">
          <w:delText>).</w:delText>
        </w:r>
      </w:del>
    </w:p>
    <w:p w14:paraId="0EA55C5C" w14:textId="77777777" w:rsidR="00073F8F" w:rsidRPr="001B4A02" w:rsidRDefault="00073F8F" w:rsidP="00ED48A3">
      <w:pPr>
        <w:ind w:left="0" w:firstLine="0"/>
        <w:rPr>
          <w:del w:id="465" w:author="AbbVie1" w:date="2025-05-13T09:50:00Z"/>
        </w:rPr>
      </w:pPr>
    </w:p>
    <w:p w14:paraId="78D4F901" w14:textId="77777777" w:rsidR="00073F8F" w:rsidRPr="001B4A02" w:rsidRDefault="00000000" w:rsidP="00ED48A3">
      <w:pPr>
        <w:ind w:left="0" w:firstLine="0"/>
        <w:rPr>
          <w:del w:id="466" w:author="AbbVie1" w:date="2025-05-13T09:50:00Z"/>
        </w:rPr>
      </w:pPr>
      <w:del w:id="467" w:author="AbbVie1" w:date="2025-05-13T09:50:00Z">
        <w:r w:rsidRPr="001B4A02">
          <w:delText xml:space="preserve">Ti pacienti, u nichž dojde během léčby přípravkem Humira k rozvoji nové infekce, </w:delText>
        </w:r>
        <w:r w:rsidR="00072C2B">
          <w:delText xml:space="preserve">mají </w:delText>
        </w:r>
        <w:r w:rsidRPr="001B4A02">
          <w:delText>být pečlivě sledováni</w:delText>
        </w:r>
        <w:r w:rsidR="002378E0">
          <w:delText xml:space="preserve"> a </w:delText>
        </w:r>
        <w:r w:rsidR="00072C2B">
          <w:delText xml:space="preserve">mají </w:delText>
        </w:r>
        <w:r w:rsidRPr="001B4A02">
          <w:delText>podstoupit kompletní diagnostické vyšetření. Pokud u pacienta dojde k rozvoji nové závažné infekce nebo sepse, podávání přípravku Humira se přeruší</w:delText>
        </w:r>
        <w:r w:rsidR="002378E0">
          <w:delText xml:space="preserve"> a </w:delText>
        </w:r>
        <w:r w:rsidRPr="001B4A02">
          <w:delText>je nutno zahájit vhodnou antimikrobiální či antifungální léčbu do doby, než je infekce terapeuticky zvládnuta. Lékaři musí být opatrní při zvažování léčby přípravkem Humira u pacientů s anamnézou recidivující infekce nebo u pacientů, jejichž</w:delText>
        </w:r>
        <w:r w:rsidR="00757CB8" w:rsidRPr="001B4A02">
          <w:delText xml:space="preserve"> </w:delText>
        </w:r>
        <w:r w:rsidRPr="001B4A02">
          <w:delText>celkový zdravotní stav k infekcím predisponuje, včetně těch, kteří současně užívají imunosupres</w:delText>
        </w:r>
        <w:r w:rsidR="00F4170C" w:rsidRPr="001B4A02">
          <w:delText>i</w:delText>
        </w:r>
        <w:r w:rsidRPr="001B4A02">
          <w:delText>vní medikaci.</w:delText>
        </w:r>
      </w:del>
    </w:p>
    <w:p w14:paraId="1D61956D" w14:textId="77777777" w:rsidR="00073F8F" w:rsidRPr="001B4A02" w:rsidRDefault="00073F8F" w:rsidP="00ED48A3">
      <w:pPr>
        <w:ind w:left="0" w:firstLine="0"/>
        <w:rPr>
          <w:del w:id="468" w:author="AbbVie1" w:date="2025-05-13T09:50:00Z"/>
        </w:rPr>
      </w:pPr>
    </w:p>
    <w:p w14:paraId="43AE2607" w14:textId="77777777" w:rsidR="00073F8F" w:rsidRPr="001B4A02" w:rsidRDefault="00000000" w:rsidP="00D84336">
      <w:pPr>
        <w:keepNext/>
        <w:ind w:left="0" w:firstLine="0"/>
        <w:rPr>
          <w:del w:id="469" w:author="AbbVie1" w:date="2025-05-13T09:50:00Z"/>
          <w:i/>
          <w:iCs/>
        </w:rPr>
      </w:pPr>
      <w:del w:id="470" w:author="AbbVie1" w:date="2025-05-13T09:50:00Z">
        <w:r w:rsidRPr="001B4A02">
          <w:rPr>
            <w:i/>
            <w:iCs/>
          </w:rPr>
          <w:delText>Závažné infekce</w:delText>
        </w:r>
      </w:del>
    </w:p>
    <w:p w14:paraId="0AF5B390" w14:textId="77777777" w:rsidR="00073F8F" w:rsidRPr="001B4A02" w:rsidRDefault="00073F8F" w:rsidP="00D84336">
      <w:pPr>
        <w:keepNext/>
        <w:ind w:left="0" w:firstLine="0"/>
        <w:rPr>
          <w:del w:id="471" w:author="AbbVie1" w:date="2025-05-13T09:50:00Z"/>
        </w:rPr>
      </w:pPr>
    </w:p>
    <w:p w14:paraId="0EF646B3" w14:textId="77777777" w:rsidR="00073F8F" w:rsidRPr="001B4A02" w:rsidRDefault="00000000" w:rsidP="00ED48A3">
      <w:pPr>
        <w:ind w:left="0" w:firstLine="0"/>
        <w:rPr>
          <w:del w:id="472" w:author="AbbVie1" w:date="2025-05-13T09:50:00Z"/>
        </w:rPr>
      </w:pPr>
      <w:del w:id="473" w:author="AbbVie1" w:date="2025-05-13T09:50:00Z">
        <w:r w:rsidRPr="001B4A02">
          <w:delText xml:space="preserve">U pacientů </w:delText>
        </w:r>
        <w:r w:rsidR="00BC3547" w:rsidRPr="001B4A02">
          <w:delText>po</w:delText>
        </w:r>
        <w:r w:rsidRPr="001B4A02">
          <w:delText xml:space="preserve">užívajících přípravek Humira byly hlášeny závažné infekce, včetně sepse způsobené bakteriemi, mykobakteriemi, invazivními plísněmi, </w:delText>
        </w:r>
        <w:r w:rsidR="00ED7F1A" w:rsidRPr="001B4A02">
          <w:delText xml:space="preserve">parazity, </w:delText>
        </w:r>
        <w:r w:rsidRPr="001B4A02">
          <w:delText>viry či jiné oportunní infekce jako například listerióza</w:delText>
        </w:r>
        <w:r w:rsidR="00A02C29" w:rsidRPr="001B4A02">
          <w:delText>, legionelóza</w:delText>
        </w:r>
        <w:r w:rsidR="002378E0">
          <w:delText xml:space="preserve"> a </w:delText>
        </w:r>
        <w:r w:rsidRPr="001B4A02">
          <w:delText>pneumocystóza.</w:delText>
        </w:r>
      </w:del>
    </w:p>
    <w:p w14:paraId="1902FB06" w14:textId="77777777" w:rsidR="00073F8F" w:rsidRPr="001B4A02" w:rsidRDefault="00073F8F" w:rsidP="00ED48A3">
      <w:pPr>
        <w:ind w:left="0" w:firstLine="0"/>
        <w:rPr>
          <w:del w:id="474" w:author="AbbVie1" w:date="2025-05-13T09:50:00Z"/>
        </w:rPr>
      </w:pPr>
    </w:p>
    <w:p w14:paraId="2264DF49" w14:textId="77777777" w:rsidR="00073F8F" w:rsidRPr="001B4A02" w:rsidRDefault="00000000" w:rsidP="00ED48A3">
      <w:pPr>
        <w:ind w:left="0" w:firstLine="0"/>
        <w:rPr>
          <w:del w:id="475" w:author="AbbVie1" w:date="2025-05-13T09:50:00Z"/>
        </w:rPr>
      </w:pPr>
      <w:del w:id="476" w:author="AbbVie1" w:date="2025-05-13T09:50:00Z">
        <w:r w:rsidRPr="001B4A02">
          <w:delText>Jiné závažné infekce pozorované v klinických studiích zahrnují pneumonii, pyelonefriti</w:delText>
        </w:r>
        <w:r w:rsidR="008F2FAB">
          <w:delText>du</w:delText>
        </w:r>
        <w:r w:rsidRPr="001B4A02">
          <w:delText>, septickou artriti</w:delText>
        </w:r>
        <w:r w:rsidR="005A0A1B">
          <w:delText>du</w:delText>
        </w:r>
        <w:r w:rsidR="002378E0">
          <w:delText xml:space="preserve"> a </w:delText>
        </w:r>
        <w:r w:rsidRPr="001B4A02">
          <w:delText>septikémii. V souvislosti s těmito infekcemi byly hlášeny případy hospitalizace i fatálního zakončení.</w:delText>
        </w:r>
      </w:del>
    </w:p>
    <w:p w14:paraId="12D6BFA6" w14:textId="77777777" w:rsidR="00073F8F" w:rsidRPr="001B4A02" w:rsidRDefault="00073F8F" w:rsidP="00ED48A3">
      <w:pPr>
        <w:ind w:left="0" w:firstLine="0"/>
        <w:rPr>
          <w:del w:id="477" w:author="AbbVie1" w:date="2025-05-13T09:50:00Z"/>
          <w:i/>
          <w:iCs/>
        </w:rPr>
      </w:pPr>
    </w:p>
    <w:p w14:paraId="53830BC2" w14:textId="77777777" w:rsidR="00073F8F" w:rsidRPr="001B4A02" w:rsidRDefault="00000000" w:rsidP="00D84336">
      <w:pPr>
        <w:keepNext/>
        <w:ind w:left="0" w:firstLine="0"/>
        <w:rPr>
          <w:del w:id="478" w:author="AbbVie1" w:date="2025-05-13T09:50:00Z"/>
        </w:rPr>
      </w:pPr>
      <w:del w:id="479" w:author="AbbVie1" w:date="2025-05-13T09:50:00Z">
        <w:r w:rsidRPr="001B4A02">
          <w:rPr>
            <w:i/>
            <w:iCs/>
          </w:rPr>
          <w:delText>Tuberkulóza</w:delText>
        </w:r>
      </w:del>
    </w:p>
    <w:p w14:paraId="6567041D" w14:textId="77777777" w:rsidR="00073F8F" w:rsidRPr="001B4A02" w:rsidRDefault="00073F8F" w:rsidP="00D84336">
      <w:pPr>
        <w:keepNext/>
        <w:ind w:left="0" w:firstLine="0"/>
        <w:rPr>
          <w:del w:id="480" w:author="AbbVie1" w:date="2025-05-13T09:50:00Z"/>
        </w:rPr>
      </w:pPr>
    </w:p>
    <w:p w14:paraId="3C15C94B" w14:textId="77777777" w:rsidR="00073F8F" w:rsidRPr="001B4A02" w:rsidRDefault="00000000" w:rsidP="00ED48A3">
      <w:pPr>
        <w:ind w:left="0" w:firstLine="0"/>
        <w:rPr>
          <w:del w:id="481" w:author="AbbVie1" w:date="2025-05-13T09:50:00Z"/>
        </w:rPr>
      </w:pPr>
      <w:del w:id="482" w:author="AbbVie1" w:date="2025-05-13T09:50:00Z">
        <w:r w:rsidRPr="001B4A02">
          <w:delText>U pacientů, léčených přípravkem Humira, byly hlášeny případy tuberkulózy</w:delText>
        </w:r>
        <w:r w:rsidR="00EC2E5F" w:rsidRPr="001B4A02">
          <w:delText>, včetně reaktivace i nového vzniku infekce</w:delText>
        </w:r>
        <w:r w:rsidRPr="001B4A02">
          <w:delText xml:space="preserve">. </w:delText>
        </w:r>
        <w:r w:rsidR="00EC2E5F" w:rsidRPr="001B4A02">
          <w:delText>Hlášení zahrnovala jak pulmonální, tak i</w:delText>
        </w:r>
        <w:r w:rsidRPr="001B4A02">
          <w:delText xml:space="preserve"> extrapulmonální </w:delText>
        </w:r>
        <w:r w:rsidR="00EC2E5F" w:rsidRPr="001B4A02">
          <w:delText>(</w:delText>
        </w:r>
        <w:r w:rsidRPr="001B4A02">
          <w:delText>tj. diseminovanou</w:delText>
        </w:r>
        <w:r w:rsidR="00EC2E5F" w:rsidRPr="001B4A02">
          <w:delText>) tube</w:delText>
        </w:r>
        <w:r w:rsidR="007D1E4A" w:rsidRPr="001B4A02">
          <w:delText>r</w:delText>
        </w:r>
        <w:r w:rsidR="00EC2E5F" w:rsidRPr="001B4A02">
          <w:delText>kulózu</w:delText>
        </w:r>
        <w:r w:rsidR="00757CB8" w:rsidRPr="001B4A02">
          <w:delText>.</w:delText>
        </w:r>
      </w:del>
    </w:p>
    <w:p w14:paraId="2AD80648" w14:textId="77777777" w:rsidR="00073F8F" w:rsidRPr="001B4A02" w:rsidRDefault="00073F8F" w:rsidP="00ED48A3">
      <w:pPr>
        <w:ind w:left="0" w:firstLine="0"/>
        <w:rPr>
          <w:del w:id="483" w:author="AbbVie1" w:date="2025-05-13T09:50:00Z"/>
        </w:rPr>
      </w:pPr>
    </w:p>
    <w:p w14:paraId="3C75CF4C" w14:textId="77777777" w:rsidR="00073F8F" w:rsidRPr="001B4A02" w:rsidRDefault="00000000" w:rsidP="00ED48A3">
      <w:pPr>
        <w:ind w:left="0" w:firstLine="0"/>
        <w:rPr>
          <w:del w:id="484" w:author="AbbVie1" w:date="2025-05-13T09:50:00Z"/>
        </w:rPr>
      </w:pPr>
      <w:del w:id="485" w:author="AbbVie1" w:date="2025-05-13T09:50:00Z">
        <w:r w:rsidRPr="001B4A02">
          <w:delText>Před zahájením léčby přípravkem Humira musí být všichni pacienti vyšetřeni na přítomnost aktivní či inaktivní (</w:delText>
        </w:r>
        <w:r w:rsidR="00EC2E5F" w:rsidRPr="001B4A02">
          <w:delText>„</w:delText>
        </w:r>
        <w:r w:rsidRPr="001B4A02">
          <w:delText>latentní</w:delText>
        </w:r>
        <w:r w:rsidR="00EC2E5F" w:rsidRPr="001B4A02">
          <w:delText>“</w:delText>
        </w:r>
        <w:r w:rsidRPr="001B4A02">
          <w:delText>) tuberkulózy. Toto vyšetření má spočívat v</w:delText>
        </w:r>
        <w:r w:rsidR="00EC2E5F" w:rsidRPr="001B4A02">
          <w:delText> </w:delText>
        </w:r>
        <w:r w:rsidRPr="001B4A02">
          <w:delText>podrobné</w:delText>
        </w:r>
        <w:r w:rsidR="00EC2E5F" w:rsidRPr="001B4A02">
          <w:delText>m posouzení</w:delText>
        </w:r>
        <w:r w:rsidRPr="001B4A02">
          <w:delText xml:space="preserve"> osobní anamnéz</w:delText>
        </w:r>
        <w:r w:rsidR="00EC2E5F" w:rsidRPr="001B4A02">
          <w:delText>y</w:delText>
        </w:r>
        <w:r w:rsidRPr="001B4A02">
          <w:delText xml:space="preserve"> pacient</w:delText>
        </w:r>
        <w:r w:rsidR="00EC2E5F" w:rsidRPr="001B4A02">
          <w:delText>a</w:delText>
        </w:r>
        <w:r w:rsidRPr="001B4A02">
          <w:delText xml:space="preserve"> cílené na výskyt tuberkulózy v minulosti, či na možné dřívější kontakty s </w:delText>
        </w:r>
        <w:r w:rsidR="00EC2E5F" w:rsidRPr="001B4A02">
          <w:delText>osobami</w:delText>
        </w:r>
        <w:r w:rsidRPr="001B4A02">
          <w:delText xml:space="preserve"> s aktivní tuberkulózou</w:delText>
        </w:r>
        <w:r w:rsidR="002378E0">
          <w:delText xml:space="preserve"> a </w:delText>
        </w:r>
        <w:r w:rsidRPr="001B4A02">
          <w:delText xml:space="preserve">na dřívější a/nebo současnou imunosupresivní léčbu. U všech pacientů musí být provedena příslušná orientační vyšetření </w:delText>
        </w:r>
        <w:r w:rsidR="00EC2E5F" w:rsidRPr="001B4A02">
          <w:delText>(</w:delText>
        </w:r>
        <w:r w:rsidRPr="001B4A02">
          <w:delText>tj. kožní tuberkulinový test</w:delText>
        </w:r>
        <w:r w:rsidR="002378E0">
          <w:delText xml:space="preserve"> a </w:delText>
        </w:r>
        <w:r w:rsidRPr="001B4A02">
          <w:delText>RTG vyšetření hrudníku</w:delText>
        </w:r>
        <w:r w:rsidR="00EC2E5F" w:rsidRPr="001B4A02">
          <w:delText>), přičemž se lze řídit</w:delText>
        </w:r>
        <w:r w:rsidRPr="001B4A02">
          <w:delText xml:space="preserve"> místní</w:delText>
        </w:r>
        <w:r w:rsidR="00EC2E5F" w:rsidRPr="001B4A02">
          <w:delText>mi</w:delText>
        </w:r>
        <w:r w:rsidRPr="001B4A02">
          <w:delText xml:space="preserve"> doporučení</w:delText>
        </w:r>
        <w:r w:rsidR="00EC2E5F" w:rsidRPr="001B4A02">
          <w:delText>mi</w:delText>
        </w:r>
        <w:r w:rsidRPr="001B4A02">
          <w:delText>. Doporučuje se, aby provedení těchto testů</w:delText>
        </w:r>
        <w:r w:rsidR="002378E0">
          <w:delText xml:space="preserve"> a </w:delText>
        </w:r>
        <w:r w:rsidR="00472647" w:rsidRPr="001B4A02">
          <w:delText xml:space="preserve">jejich výsledky </w:delText>
        </w:r>
        <w:r w:rsidRPr="001B4A02">
          <w:delText>byl</w:delText>
        </w:r>
        <w:r w:rsidR="00472647" w:rsidRPr="001B4A02">
          <w:delText>y</w:delText>
        </w:r>
        <w:r w:rsidRPr="001B4A02">
          <w:delText xml:space="preserve"> zaznamenán</w:delText>
        </w:r>
        <w:r w:rsidR="00472647" w:rsidRPr="001B4A02">
          <w:delText>y</w:delText>
        </w:r>
        <w:r w:rsidRPr="001B4A02">
          <w:delText xml:space="preserve"> v informační kartičce pacienta. Předepisujícím lékařům připomínáme riziko falešně negativních výsledků kožního tuberkulinového testu,</w:delText>
        </w:r>
        <w:r w:rsidR="002378E0">
          <w:delText xml:space="preserve"> a </w:delText>
        </w:r>
        <w:r w:rsidRPr="001B4A02">
          <w:delText>to zejména u těžce nemocných nebo pacientů se sníženou imunitní odpovědí.</w:delText>
        </w:r>
      </w:del>
    </w:p>
    <w:p w14:paraId="0E9E79F8" w14:textId="77777777" w:rsidR="00073F8F" w:rsidRPr="001B4A02" w:rsidRDefault="00073F8F" w:rsidP="00ED48A3">
      <w:pPr>
        <w:ind w:left="0" w:firstLine="0"/>
        <w:rPr>
          <w:del w:id="486" w:author="AbbVie1" w:date="2025-05-13T09:50:00Z"/>
        </w:rPr>
      </w:pPr>
    </w:p>
    <w:p w14:paraId="70B9CD06" w14:textId="77777777" w:rsidR="00073F8F" w:rsidRPr="001B4A02" w:rsidRDefault="00000000" w:rsidP="00ED48A3">
      <w:pPr>
        <w:ind w:left="0" w:firstLine="0"/>
        <w:rPr>
          <w:del w:id="487" w:author="AbbVie1" w:date="2025-05-13T09:50:00Z"/>
        </w:rPr>
      </w:pPr>
      <w:del w:id="488" w:author="AbbVie1" w:date="2025-05-13T09:50:00Z">
        <w:r w:rsidRPr="001B4A02">
          <w:delText>Léčba přípravkem Humira nesmí být zahájena u pacientů s diagnostikovanou aktivní tuberkulózou (viz bod 4.3).</w:delText>
        </w:r>
      </w:del>
    </w:p>
    <w:p w14:paraId="22FB4648" w14:textId="77777777" w:rsidR="00472647" w:rsidRPr="001B4A02" w:rsidRDefault="00472647" w:rsidP="00ED48A3">
      <w:pPr>
        <w:ind w:left="0" w:firstLine="0"/>
        <w:rPr>
          <w:del w:id="489" w:author="AbbVie1" w:date="2025-05-13T09:50:00Z"/>
        </w:rPr>
      </w:pPr>
    </w:p>
    <w:p w14:paraId="1CC40F9A" w14:textId="77777777" w:rsidR="00472647" w:rsidRPr="001B4A02" w:rsidRDefault="00000000" w:rsidP="00ED48A3">
      <w:pPr>
        <w:ind w:left="0" w:firstLine="0"/>
        <w:rPr>
          <w:del w:id="490" w:author="AbbVie1" w:date="2025-05-13T09:50:00Z"/>
        </w:rPr>
      </w:pPr>
      <w:del w:id="491" w:author="AbbVie1" w:date="2025-05-13T09:50:00Z">
        <w:r w:rsidRPr="001B4A02">
          <w:delText>Ve všech níže popsaných situacích by měl být velmi pečlivě posouzen poměr přínosu</w:delText>
        </w:r>
        <w:r w:rsidR="002378E0">
          <w:delText xml:space="preserve"> a </w:delText>
        </w:r>
        <w:r w:rsidR="00CB040C" w:rsidRPr="001B4A02">
          <w:delText>rizika léčby</w:delText>
        </w:r>
        <w:r w:rsidRPr="001B4A02">
          <w:delText>.</w:delText>
        </w:r>
      </w:del>
    </w:p>
    <w:p w14:paraId="28973973" w14:textId="77777777" w:rsidR="00073F8F" w:rsidRPr="001B4A02" w:rsidRDefault="00073F8F" w:rsidP="00ED48A3">
      <w:pPr>
        <w:ind w:left="0" w:firstLine="0"/>
        <w:rPr>
          <w:del w:id="492" w:author="AbbVie1" w:date="2025-05-13T09:50:00Z"/>
        </w:rPr>
      </w:pPr>
    </w:p>
    <w:p w14:paraId="4C83B496" w14:textId="77777777" w:rsidR="00073F8F" w:rsidRPr="001B4A02" w:rsidRDefault="00000000" w:rsidP="00ED48A3">
      <w:pPr>
        <w:ind w:left="0" w:firstLine="0"/>
        <w:rPr>
          <w:del w:id="493" w:author="AbbVie1" w:date="2025-05-13T09:50:00Z"/>
        </w:rPr>
      </w:pPr>
      <w:del w:id="494" w:author="AbbVie1" w:date="2025-05-13T09:50:00Z">
        <w:r w:rsidRPr="001B4A02">
          <w:delText>Jestliže existuje podezření na latentní tuberkulózu, je třeba uvědomit lékaře, jež má zkušenosti s</w:delText>
        </w:r>
        <w:r w:rsidR="00757CB8" w:rsidRPr="001B4A02">
          <w:delText> </w:delText>
        </w:r>
        <w:r w:rsidRPr="001B4A02">
          <w:delText>léčbou tuberkulózy.</w:delText>
        </w:r>
      </w:del>
    </w:p>
    <w:p w14:paraId="73B3C717" w14:textId="77777777" w:rsidR="00073F8F" w:rsidRPr="001B4A02" w:rsidRDefault="00073F8F" w:rsidP="00ED48A3">
      <w:pPr>
        <w:ind w:left="0" w:firstLine="0"/>
        <w:rPr>
          <w:del w:id="495" w:author="AbbVie1" w:date="2025-05-13T09:50:00Z"/>
        </w:rPr>
      </w:pPr>
    </w:p>
    <w:p w14:paraId="52E9AD13" w14:textId="77777777" w:rsidR="00073F8F" w:rsidRPr="001B4A02" w:rsidRDefault="00000000" w:rsidP="00ED48A3">
      <w:pPr>
        <w:ind w:left="0" w:firstLine="0"/>
        <w:rPr>
          <w:del w:id="496" w:author="AbbVie1" w:date="2025-05-13T09:50:00Z"/>
        </w:rPr>
      </w:pPr>
      <w:del w:id="497" w:author="AbbVie1" w:date="2025-05-13T09:50:00Z">
        <w:r w:rsidRPr="001B4A02">
          <w:delText xml:space="preserve">V případě diagnózy latentní tuberkulózy musí být odpovídající </w:delText>
        </w:r>
        <w:r w:rsidR="003559BE" w:rsidRPr="001B4A02">
          <w:delText xml:space="preserve">profylaktická </w:delText>
        </w:r>
        <w:r w:rsidRPr="001B4A02">
          <w:delText>antituberkulózní léčba započata ještě před zahájením léčby přípravkem Humira</w:delText>
        </w:r>
        <w:r w:rsidR="002378E0">
          <w:delText xml:space="preserve"> a </w:delText>
        </w:r>
        <w:r w:rsidRPr="001B4A02">
          <w:delText>musí být v s</w:delText>
        </w:r>
        <w:r w:rsidR="00757CB8" w:rsidRPr="001B4A02">
          <w:delText>ouladu s místními doporučeními.</w:delText>
        </w:r>
      </w:del>
    </w:p>
    <w:p w14:paraId="69A18525" w14:textId="77777777" w:rsidR="00073F8F" w:rsidRPr="001B4A02" w:rsidRDefault="00073F8F" w:rsidP="00ED48A3">
      <w:pPr>
        <w:ind w:left="0" w:firstLine="0"/>
        <w:rPr>
          <w:del w:id="498" w:author="AbbVie1" w:date="2025-05-13T09:50:00Z"/>
        </w:rPr>
      </w:pPr>
    </w:p>
    <w:p w14:paraId="747DD513" w14:textId="77777777" w:rsidR="009F1BE2" w:rsidRPr="001B4A02" w:rsidRDefault="00000000" w:rsidP="00ED48A3">
      <w:pPr>
        <w:ind w:left="0" w:firstLine="0"/>
        <w:rPr>
          <w:del w:id="499" w:author="AbbVie1" w:date="2025-05-13T09:50:00Z"/>
        </w:rPr>
      </w:pPr>
      <w:del w:id="500" w:author="AbbVie1" w:date="2025-05-13T09:50:00Z">
        <w:r w:rsidRPr="001B4A02">
          <w:delText xml:space="preserve">Použití </w:delText>
        </w:r>
        <w:r w:rsidR="003559BE" w:rsidRPr="001B4A02">
          <w:delText xml:space="preserve">profylaktické </w:delText>
        </w:r>
        <w:r w:rsidRPr="001B4A02">
          <w:delText>antituberkulózní léčby je třeba zvážit před zahájením léčby přípravkem Humira také u</w:delText>
        </w:r>
        <w:r w:rsidR="00757CB8" w:rsidRPr="001B4A02">
          <w:delText> </w:delText>
        </w:r>
        <w:r w:rsidRPr="001B4A02">
          <w:delText>pacientů</w:delText>
        </w:r>
        <w:r w:rsidR="00957E75" w:rsidRPr="001B4A02">
          <w:delText>, u</w:delText>
        </w:r>
        <w:r w:rsidR="00757CB8" w:rsidRPr="001B4A02">
          <w:delText> </w:delText>
        </w:r>
        <w:r w:rsidR="00957E75" w:rsidRPr="001B4A02">
          <w:delText xml:space="preserve">kterých se, i přes negativní </w:delText>
        </w:r>
        <w:r w:rsidR="00757CB8" w:rsidRPr="001B4A02">
          <w:delText xml:space="preserve">testy na tuberkulózu, vyskytují </w:delText>
        </w:r>
        <w:r w:rsidR="00957E75" w:rsidRPr="001B4A02">
          <w:delText xml:space="preserve">závažné nebo významné rizikové faktory pro její rozvoj nebo mají </w:delText>
        </w:r>
        <w:r w:rsidRPr="001B4A02">
          <w:delText xml:space="preserve">dřívější anamnézu latentní </w:delText>
        </w:r>
        <w:r w:rsidR="00957E75" w:rsidRPr="001B4A02">
          <w:delText>či</w:delText>
        </w:r>
        <w:r w:rsidRPr="001B4A02">
          <w:delText xml:space="preserve"> aktivní tuberkulózy</w:delText>
        </w:r>
        <w:r w:rsidR="002378E0">
          <w:delText xml:space="preserve"> a </w:delText>
        </w:r>
        <w:r w:rsidRPr="001B4A02">
          <w:delText xml:space="preserve">nelze </w:delText>
        </w:r>
        <w:r w:rsidR="00957E75" w:rsidRPr="001B4A02">
          <w:delText>u</w:delText>
        </w:r>
        <w:r w:rsidR="00757CB8" w:rsidRPr="001B4A02">
          <w:delText> </w:delText>
        </w:r>
        <w:r w:rsidR="00957E75" w:rsidRPr="001B4A02">
          <w:delText xml:space="preserve">nich </w:delText>
        </w:r>
        <w:r w:rsidRPr="001B4A02">
          <w:delText xml:space="preserve">zaručit adekvátní postup léčby. </w:delText>
        </w:r>
      </w:del>
    </w:p>
    <w:p w14:paraId="1A6424AE" w14:textId="77777777" w:rsidR="009F1BE2" w:rsidRPr="001B4A02" w:rsidRDefault="009F1BE2" w:rsidP="00ED48A3">
      <w:pPr>
        <w:ind w:left="0" w:firstLine="0"/>
        <w:rPr>
          <w:del w:id="501" w:author="AbbVie1" w:date="2025-05-13T09:50:00Z"/>
        </w:rPr>
      </w:pPr>
    </w:p>
    <w:p w14:paraId="0EDFD48C" w14:textId="77777777" w:rsidR="00073F8F" w:rsidRPr="001B4A02" w:rsidRDefault="00000000" w:rsidP="00ED48A3">
      <w:pPr>
        <w:ind w:left="0" w:firstLine="0"/>
        <w:rPr>
          <w:del w:id="502" w:author="AbbVie1" w:date="2025-05-13T09:50:00Z"/>
        </w:rPr>
      </w:pPr>
      <w:del w:id="503" w:author="AbbVie1" w:date="2025-05-13T09:50:00Z">
        <w:r w:rsidRPr="001B4A02">
          <w:delText>U</w:delText>
        </w:r>
        <w:r w:rsidR="00757CB8" w:rsidRPr="001B4A02">
          <w:delText> </w:delText>
        </w:r>
        <w:r w:rsidRPr="001B4A02">
          <w:delText>pacientů léčených přípravkem Humira se i přes profylaktickou léčbu tuberkulózy objevily případy reaktivace tuberkulózy. U</w:delText>
        </w:r>
        <w:r w:rsidR="00757CB8" w:rsidRPr="001B4A02">
          <w:delText> </w:delText>
        </w:r>
        <w:r w:rsidRPr="001B4A02">
          <w:delText>některých pacientů, kteří byli v minulosti úspěšně léčeni na aktivní tuberkulózu, se během léčby přípravkem Humira znovu rozvinula tuberkulóza.</w:delText>
        </w:r>
      </w:del>
    </w:p>
    <w:p w14:paraId="3BE9AE37" w14:textId="77777777" w:rsidR="00073F8F" w:rsidRPr="001B4A02" w:rsidRDefault="00073F8F" w:rsidP="00ED48A3">
      <w:pPr>
        <w:ind w:left="0" w:firstLine="0"/>
        <w:rPr>
          <w:del w:id="504" w:author="AbbVie1" w:date="2025-05-13T09:50:00Z"/>
        </w:rPr>
      </w:pPr>
    </w:p>
    <w:p w14:paraId="0ECD4608" w14:textId="77777777" w:rsidR="00073F8F" w:rsidRPr="001B4A02" w:rsidRDefault="00000000" w:rsidP="00ED48A3">
      <w:pPr>
        <w:ind w:left="0" w:firstLine="0"/>
        <w:rPr>
          <w:del w:id="505" w:author="AbbVie1" w:date="2025-05-13T09:50:00Z"/>
        </w:rPr>
      </w:pPr>
      <w:del w:id="506" w:author="AbbVie1" w:date="2025-05-13T09:50:00Z">
        <w:r w:rsidRPr="001B4A02">
          <w:delText>Pacienty je třeba poučit, aby vyhledali lékaře, pokud se objeví během léčby přípravkem Humira nebo po jejím ukončení příznaky suspektní pro tuberkulózu (např. přetrvávající kašel, vyčerpání</w:delText>
        </w:r>
        <w:r w:rsidR="00BC69CD">
          <w:delText>/</w:delText>
        </w:r>
        <w:r w:rsidR="00892469">
          <w:delText>snížení tělesné hmotnosti</w:delText>
        </w:r>
        <w:r w:rsidRPr="001B4A02">
          <w:delText>, mírně zvýšená teplota</w:delText>
        </w:r>
        <w:r w:rsidR="00CB040C" w:rsidRPr="001B4A02">
          <w:delText>, malátnost</w:delText>
        </w:r>
        <w:r w:rsidRPr="001B4A02">
          <w:delText>).</w:delText>
        </w:r>
      </w:del>
    </w:p>
    <w:p w14:paraId="74045068" w14:textId="77777777" w:rsidR="00073F8F" w:rsidRPr="001B4A02" w:rsidRDefault="00073F8F" w:rsidP="00ED48A3">
      <w:pPr>
        <w:ind w:left="0" w:firstLine="0"/>
        <w:rPr>
          <w:del w:id="507" w:author="AbbVie1" w:date="2025-05-13T09:50:00Z"/>
        </w:rPr>
      </w:pPr>
    </w:p>
    <w:p w14:paraId="648DAC20" w14:textId="77777777" w:rsidR="00073F8F" w:rsidRPr="001B4A02" w:rsidRDefault="00000000" w:rsidP="00D84336">
      <w:pPr>
        <w:keepNext/>
        <w:rPr>
          <w:del w:id="508" w:author="AbbVie1" w:date="2025-05-13T09:50:00Z"/>
          <w:i/>
          <w:iCs/>
        </w:rPr>
      </w:pPr>
      <w:del w:id="509" w:author="AbbVie1" w:date="2025-05-13T09:50:00Z">
        <w:r w:rsidRPr="001B4A02">
          <w:rPr>
            <w:i/>
            <w:iCs/>
          </w:rPr>
          <w:delText>Jiné oportunní infekce</w:delText>
        </w:r>
      </w:del>
    </w:p>
    <w:p w14:paraId="2A113BB1" w14:textId="77777777" w:rsidR="00073F8F" w:rsidRPr="001B4A02" w:rsidRDefault="00073F8F" w:rsidP="00D84336">
      <w:pPr>
        <w:keepNext/>
        <w:rPr>
          <w:del w:id="510" w:author="AbbVie1" w:date="2025-05-13T09:50:00Z"/>
          <w:u w:val="single"/>
        </w:rPr>
      </w:pPr>
    </w:p>
    <w:p w14:paraId="722BB6A3" w14:textId="77777777" w:rsidR="00073F8F" w:rsidRPr="001B4A02" w:rsidRDefault="00000000" w:rsidP="00ED48A3">
      <w:pPr>
        <w:ind w:left="0" w:firstLine="0"/>
        <w:rPr>
          <w:del w:id="511" w:author="AbbVie1" w:date="2025-05-13T09:50:00Z"/>
        </w:rPr>
      </w:pPr>
      <w:del w:id="512" w:author="AbbVie1" w:date="2025-05-13T09:50:00Z">
        <w:r w:rsidRPr="001B4A02">
          <w:delText xml:space="preserve">U pacientů </w:delText>
        </w:r>
        <w:r w:rsidR="00BC3547" w:rsidRPr="001B4A02">
          <w:delText>po</w:delText>
        </w:r>
        <w:r w:rsidRPr="001B4A02">
          <w:delText>užívajících přípravek Humira byly hlášeny oportunní infekce, včetně invazivních fungálních infekcí. Tyto infekce nebyly</w:delText>
        </w:r>
        <w:r w:rsidR="00B12121" w:rsidRPr="001B4A02">
          <w:delText xml:space="preserve"> u </w:delText>
        </w:r>
        <w:r w:rsidRPr="001B4A02">
          <w:delText>pacientů užívajících TNF-antagonisty vždy rozpoznány, což mělo za následek opožděné nasazení vhodné léčby</w:delText>
        </w:r>
        <w:r w:rsidR="002378E0">
          <w:delText xml:space="preserve"> a </w:delText>
        </w:r>
        <w:r w:rsidRPr="001B4A02">
          <w:delText>v některých případech vedlo až k fatálnímu zakončení.</w:delText>
        </w:r>
      </w:del>
    </w:p>
    <w:p w14:paraId="120A740B" w14:textId="77777777" w:rsidR="00073F8F" w:rsidRPr="001B4A02" w:rsidRDefault="00073F8F" w:rsidP="00ED48A3">
      <w:pPr>
        <w:ind w:left="0" w:firstLine="0"/>
        <w:rPr>
          <w:del w:id="513" w:author="AbbVie1" w:date="2025-05-13T09:50:00Z"/>
        </w:rPr>
      </w:pPr>
    </w:p>
    <w:p w14:paraId="361281F8" w14:textId="77777777" w:rsidR="00073F8F" w:rsidRPr="001B4A02" w:rsidRDefault="00000000" w:rsidP="00ED48A3">
      <w:pPr>
        <w:ind w:left="0" w:firstLine="0"/>
        <w:rPr>
          <w:del w:id="514" w:author="AbbVie1" w:date="2025-05-13T09:50:00Z"/>
        </w:rPr>
      </w:pPr>
      <w:del w:id="515" w:author="AbbVie1" w:date="2025-05-13T09:50:00Z">
        <w:r w:rsidRPr="001B4A02">
          <w:delText>U pacientů,</w:delText>
        </w:r>
        <w:r w:rsidR="00B12121" w:rsidRPr="001B4A02">
          <w:delText xml:space="preserve"> u </w:delText>
        </w:r>
        <w:r w:rsidRPr="001B4A02">
          <w:delText>nichž se rozvinou známky</w:delText>
        </w:r>
        <w:r w:rsidR="002378E0">
          <w:delText xml:space="preserve"> a </w:delText>
        </w:r>
        <w:r w:rsidRPr="001B4A02">
          <w:delText>příznaky</w:delText>
        </w:r>
        <w:r w:rsidR="00E91CB6" w:rsidRPr="001B4A02">
          <w:delText>,</w:delText>
        </w:r>
        <w:r w:rsidRPr="001B4A02">
          <w:delText xml:space="preserve"> jako je horečka, malátnost, úbytek hmotnosti, pocení, kašel, dyspnoe a/nebo plicní infiltráty či jiné závažné systémové onemocnění s nebo bez doprovodného šoku, je třeba pomýšlet na možnost invazivní plísňové infekce; </w:delText>
        </w:r>
        <w:r w:rsidR="00BC3547" w:rsidRPr="001B4A02">
          <w:delText>po</w:delText>
        </w:r>
        <w:r w:rsidRPr="001B4A02">
          <w:delText>užívání přípravku Humira by mělo být ihned přerušeno.</w:delText>
        </w:r>
        <w:r w:rsidR="009B1373" w:rsidRPr="001B4A02">
          <w:delText xml:space="preserve"> </w:delText>
        </w:r>
        <w:r w:rsidR="00233C6D" w:rsidRPr="001B4A02">
          <w:delText>Diagnóza onemocnění</w:delText>
        </w:r>
        <w:r w:rsidR="002378E0">
          <w:delText xml:space="preserve"> a </w:delText>
        </w:r>
        <w:r w:rsidR="009B1373" w:rsidRPr="001B4A02">
          <w:delText>zahájení empirické antifungální terapie</w:delText>
        </w:r>
        <w:r w:rsidR="00B12121" w:rsidRPr="001B4A02">
          <w:delText xml:space="preserve"> u </w:delText>
        </w:r>
        <w:r w:rsidR="009B1373" w:rsidRPr="001B4A02">
          <w:delText>těchto pacientů</w:delText>
        </w:r>
        <w:r w:rsidR="00BE5DD9" w:rsidRPr="001B4A02">
          <w:delText xml:space="preserve"> by mělo být učiněno</w:delText>
        </w:r>
        <w:r w:rsidR="009E142E" w:rsidRPr="001B4A02">
          <w:delText xml:space="preserve"> </w:delText>
        </w:r>
        <w:r w:rsidR="006A1718" w:rsidRPr="001B4A02">
          <w:delText>po k</w:delText>
        </w:r>
        <w:r w:rsidR="009E142E" w:rsidRPr="001B4A02">
          <w:delText>onzulta</w:delText>
        </w:r>
        <w:r w:rsidR="006A1718" w:rsidRPr="001B4A02">
          <w:delText>ci s</w:delText>
        </w:r>
        <w:r w:rsidR="009B1373" w:rsidRPr="001B4A02">
          <w:delText> </w:delText>
        </w:r>
        <w:r w:rsidR="009E142E" w:rsidRPr="001B4A02">
          <w:delText>lékaře</w:delText>
        </w:r>
        <w:r w:rsidR="006A1718" w:rsidRPr="001B4A02">
          <w:delText>m</w:delText>
        </w:r>
        <w:r w:rsidR="009B1373" w:rsidRPr="001B4A02">
          <w:delText>, který má zkušenost s léčbou pacientů s invazivními plísňovými infekcemi.</w:delText>
        </w:r>
      </w:del>
    </w:p>
    <w:p w14:paraId="7F10D4DE" w14:textId="77777777" w:rsidR="00073F8F" w:rsidRPr="001B4A02" w:rsidRDefault="00073F8F" w:rsidP="00ED48A3">
      <w:pPr>
        <w:ind w:left="0" w:firstLine="0"/>
        <w:rPr>
          <w:del w:id="516" w:author="AbbVie1" w:date="2025-05-13T09:50:00Z"/>
        </w:rPr>
      </w:pPr>
    </w:p>
    <w:p w14:paraId="43C33751" w14:textId="77777777" w:rsidR="00073F8F" w:rsidRPr="001B4A02" w:rsidRDefault="00000000" w:rsidP="00D84336">
      <w:pPr>
        <w:pStyle w:val="EMEANormal"/>
        <w:keepNext/>
        <w:tabs>
          <w:tab w:val="clear" w:pos="562"/>
        </w:tabs>
        <w:suppressAutoHyphens w:val="0"/>
        <w:rPr>
          <w:del w:id="517" w:author="AbbVie1" w:date="2025-05-13T09:50:00Z"/>
          <w:u w:val="single"/>
          <w:lang w:val="cs-CZ"/>
        </w:rPr>
      </w:pPr>
      <w:del w:id="518" w:author="AbbVie1" w:date="2025-05-13T09:50:00Z">
        <w:r w:rsidRPr="001B4A02">
          <w:rPr>
            <w:u w:val="single"/>
            <w:lang w:val="cs-CZ"/>
          </w:rPr>
          <w:delText xml:space="preserve">Reaktivace </w:delText>
        </w:r>
        <w:r w:rsidR="005363C8" w:rsidRPr="001B4A02">
          <w:rPr>
            <w:u w:val="single"/>
            <w:lang w:val="cs-CZ"/>
          </w:rPr>
          <w:delText>hepatiti</w:delText>
        </w:r>
        <w:r w:rsidR="005363C8">
          <w:rPr>
            <w:u w:val="single"/>
            <w:lang w:val="cs-CZ"/>
          </w:rPr>
          <w:delText>dy </w:delText>
        </w:r>
        <w:r w:rsidRPr="001B4A02">
          <w:rPr>
            <w:u w:val="single"/>
            <w:lang w:val="cs-CZ"/>
          </w:rPr>
          <w:delText>B</w:delText>
        </w:r>
      </w:del>
    </w:p>
    <w:p w14:paraId="332E0335" w14:textId="77777777" w:rsidR="00073F8F" w:rsidRPr="00390F17" w:rsidRDefault="00073F8F" w:rsidP="00D84336">
      <w:pPr>
        <w:keepNext/>
        <w:ind w:left="0" w:firstLine="0"/>
        <w:rPr>
          <w:del w:id="519" w:author="AbbVie1" w:date="2025-05-13T09:50:00Z"/>
          <w:szCs w:val="22"/>
        </w:rPr>
      </w:pPr>
    </w:p>
    <w:p w14:paraId="073DC77F" w14:textId="77777777" w:rsidR="000A0781" w:rsidRPr="001B4A02" w:rsidRDefault="00000000" w:rsidP="00ED48A3">
      <w:pPr>
        <w:ind w:left="0" w:firstLine="0"/>
        <w:rPr>
          <w:del w:id="520" w:author="AbbVie1" w:date="2025-05-13T09:50:00Z"/>
          <w:szCs w:val="22"/>
          <w:lang w:eastAsia="de-DE"/>
        </w:rPr>
      </w:pPr>
      <w:del w:id="521" w:author="AbbVie1" w:date="2025-05-13T09:50:00Z">
        <w:r w:rsidRPr="001B4A02">
          <w:rPr>
            <w:szCs w:val="22"/>
            <w:lang w:eastAsia="de-DE"/>
          </w:rPr>
          <w:delText xml:space="preserve">Reaktivace </w:delText>
        </w:r>
        <w:r w:rsidR="005363C8" w:rsidRPr="001B4A02">
          <w:rPr>
            <w:szCs w:val="22"/>
            <w:lang w:eastAsia="de-DE"/>
          </w:rPr>
          <w:delText>hepatiti</w:delText>
        </w:r>
        <w:r w:rsidR="005363C8">
          <w:rPr>
            <w:szCs w:val="22"/>
            <w:lang w:eastAsia="de-DE"/>
          </w:rPr>
          <w:delText>dy </w:delText>
        </w:r>
        <w:r w:rsidRPr="001B4A02">
          <w:rPr>
            <w:szCs w:val="22"/>
            <w:lang w:eastAsia="de-DE"/>
          </w:rPr>
          <w:delText>B se objevila u těch pacientů, užívajících TNF</w:delText>
        </w:r>
        <w:r w:rsidRPr="001B4A02">
          <w:rPr>
            <w:szCs w:val="22"/>
            <w:lang w:eastAsia="de-DE"/>
          </w:rPr>
          <w:noBreakHyphen/>
          <w:delText xml:space="preserve">antagonisty včetně přípravku Humira, kteří jsou chronickými nositeli tohoto viru (tedy surface antigen pozitivní). Některé z případů byly fatální. Pacienti by měli být </w:delText>
        </w:r>
        <w:r w:rsidR="00F60F71" w:rsidRPr="001B4A02">
          <w:rPr>
            <w:szCs w:val="22"/>
            <w:lang w:eastAsia="de-DE"/>
          </w:rPr>
          <w:delText>testováni</w:delText>
        </w:r>
        <w:r w:rsidRPr="001B4A02">
          <w:rPr>
            <w:szCs w:val="22"/>
            <w:lang w:eastAsia="de-DE"/>
          </w:rPr>
          <w:delText xml:space="preserve"> na přítomnost možné nákazy HBV ještě před započetím léčby</w:delText>
        </w:r>
        <w:r w:rsidR="00757CB8" w:rsidRPr="001B4A02">
          <w:rPr>
            <w:szCs w:val="22"/>
            <w:lang w:eastAsia="de-DE"/>
          </w:rPr>
          <w:delText xml:space="preserve"> přípravkem Humira.</w:delText>
        </w:r>
        <w:r w:rsidR="009F1BE2" w:rsidRPr="001B4A02">
          <w:rPr>
            <w:szCs w:val="22"/>
            <w:lang w:eastAsia="de-DE"/>
          </w:rPr>
          <w:delText xml:space="preserve"> </w:delText>
        </w:r>
        <w:r w:rsidRPr="001B4A02">
          <w:rPr>
            <w:szCs w:val="22"/>
            <w:lang w:eastAsia="de-DE"/>
          </w:rPr>
          <w:delText>Pacientům, u</w:delText>
        </w:r>
        <w:r w:rsidR="00757CB8" w:rsidRPr="001B4A02">
          <w:rPr>
            <w:szCs w:val="22"/>
            <w:lang w:eastAsia="de-DE"/>
          </w:rPr>
          <w:delText> </w:delText>
        </w:r>
        <w:r w:rsidRPr="001B4A02">
          <w:rPr>
            <w:szCs w:val="22"/>
            <w:lang w:eastAsia="de-DE"/>
          </w:rPr>
          <w:delText xml:space="preserve">kterých byl test na infekci </w:delText>
        </w:r>
        <w:r w:rsidR="005363C8" w:rsidRPr="001B4A02">
          <w:rPr>
            <w:szCs w:val="22"/>
            <w:lang w:eastAsia="de-DE"/>
          </w:rPr>
          <w:delText>hepatiti</w:delText>
        </w:r>
        <w:r w:rsidR="005363C8">
          <w:rPr>
            <w:szCs w:val="22"/>
            <w:lang w:eastAsia="de-DE"/>
          </w:rPr>
          <w:delText>dy </w:delText>
        </w:r>
        <w:r w:rsidRPr="001B4A02">
          <w:rPr>
            <w:szCs w:val="22"/>
            <w:lang w:eastAsia="de-DE"/>
          </w:rPr>
          <w:delText>B pozitivní, je třeba doporučit</w:delText>
        </w:r>
        <w:r w:rsidR="001B7249" w:rsidRPr="001B4A02">
          <w:rPr>
            <w:szCs w:val="22"/>
            <w:lang w:eastAsia="de-DE"/>
          </w:rPr>
          <w:delText>, aby vyhledali</w:delText>
        </w:r>
        <w:r w:rsidRPr="001B4A02">
          <w:rPr>
            <w:szCs w:val="22"/>
            <w:lang w:eastAsia="de-DE"/>
          </w:rPr>
          <w:delText xml:space="preserve"> pomoc lékaře, který má zkušenosti s léčbou </w:delText>
        </w:r>
        <w:r w:rsidR="005363C8" w:rsidRPr="001B4A02">
          <w:rPr>
            <w:szCs w:val="22"/>
            <w:lang w:eastAsia="de-DE"/>
          </w:rPr>
          <w:delText>hepatiti</w:delText>
        </w:r>
        <w:r w:rsidR="005363C8">
          <w:rPr>
            <w:szCs w:val="22"/>
            <w:lang w:eastAsia="de-DE"/>
          </w:rPr>
          <w:delText>dy </w:delText>
        </w:r>
        <w:r w:rsidRPr="001B4A02">
          <w:rPr>
            <w:szCs w:val="22"/>
            <w:lang w:eastAsia="de-DE"/>
          </w:rPr>
          <w:delText>B.</w:delText>
        </w:r>
      </w:del>
    </w:p>
    <w:p w14:paraId="681B124D" w14:textId="77777777" w:rsidR="000A0781" w:rsidRPr="001B4A02" w:rsidRDefault="000A0781" w:rsidP="00ED48A3">
      <w:pPr>
        <w:ind w:left="0" w:firstLine="0"/>
        <w:rPr>
          <w:del w:id="522" w:author="AbbVie1" w:date="2025-05-13T09:50:00Z"/>
          <w:szCs w:val="22"/>
          <w:lang w:eastAsia="de-DE"/>
        </w:rPr>
      </w:pPr>
    </w:p>
    <w:p w14:paraId="7199F288" w14:textId="77777777" w:rsidR="00073F8F" w:rsidRPr="001B4A02" w:rsidRDefault="00000000" w:rsidP="00ED48A3">
      <w:pPr>
        <w:ind w:left="0" w:firstLine="0"/>
        <w:rPr>
          <w:del w:id="523" w:author="AbbVie1" w:date="2025-05-13T09:50:00Z"/>
        </w:rPr>
      </w:pPr>
      <w:del w:id="524" w:author="AbbVie1" w:date="2025-05-13T09:50:00Z">
        <w:r w:rsidRPr="001B4A02">
          <w:rPr>
            <w:szCs w:val="22"/>
            <w:lang w:eastAsia="de-DE"/>
          </w:rPr>
          <w:delText xml:space="preserve">Nositelé HBV, kteří vyžadují léčbu přípravkem Humira, </w:delText>
        </w:r>
        <w:r w:rsidR="005363C8">
          <w:rPr>
            <w:szCs w:val="22"/>
            <w:lang w:eastAsia="de-DE"/>
          </w:rPr>
          <w:delText>mají</w:delText>
        </w:r>
        <w:r w:rsidR="005363C8" w:rsidRPr="001B4A02">
          <w:rPr>
            <w:szCs w:val="22"/>
            <w:lang w:eastAsia="de-DE"/>
          </w:rPr>
          <w:delText xml:space="preserve"> </w:delText>
        </w:r>
        <w:r w:rsidRPr="001B4A02">
          <w:rPr>
            <w:szCs w:val="22"/>
            <w:lang w:eastAsia="de-DE"/>
          </w:rPr>
          <w:delText>být v průběhu léčby</w:delText>
        </w:r>
        <w:r w:rsidR="002378E0">
          <w:rPr>
            <w:szCs w:val="22"/>
            <w:lang w:eastAsia="de-DE"/>
          </w:rPr>
          <w:delText xml:space="preserve"> a </w:delText>
        </w:r>
        <w:r w:rsidRPr="001B4A02">
          <w:rPr>
            <w:szCs w:val="22"/>
            <w:lang w:eastAsia="de-DE"/>
          </w:rPr>
          <w:delText xml:space="preserve">několik dalších měsíců po jejím ukončení pečlivě sledováni z hlediska výskytu známek či projevů aktivní HBV infekce. </w:delText>
        </w:r>
        <w:r w:rsidRPr="001B4A02">
          <w:delText>Adekvátní údaje, vypovídající o léčbě pacientů, nositelů HBV, kombinací TNF</w:delText>
        </w:r>
        <w:r w:rsidRPr="001B4A02">
          <w:noBreakHyphen/>
          <w:delText>antagonisty</w:delText>
        </w:r>
        <w:r w:rsidR="002378E0">
          <w:delText xml:space="preserve"> a </w:delText>
        </w:r>
        <w:r w:rsidRPr="001B4A02">
          <w:delText xml:space="preserve">antivirotika z důvodu zabránění reaktivace HBV, nejsou k dispozici. </w:delText>
        </w:r>
        <w:r w:rsidRPr="001B4A02">
          <w:rPr>
            <w:szCs w:val="22"/>
            <w:lang w:eastAsia="de-DE"/>
          </w:rPr>
          <w:delText>U pacientů, u kterých dojde k rozvoji HBV reaktivace, musí být přípravek Humira vysazen</w:delText>
        </w:r>
        <w:r w:rsidR="002378E0">
          <w:rPr>
            <w:szCs w:val="22"/>
            <w:lang w:eastAsia="de-DE"/>
          </w:rPr>
          <w:delText xml:space="preserve"> a </w:delText>
        </w:r>
        <w:r w:rsidRPr="001B4A02">
          <w:rPr>
            <w:szCs w:val="22"/>
            <w:lang w:eastAsia="de-DE"/>
          </w:rPr>
          <w:delText>je třeba zahájit účinnou antivirovou terapii</w:delText>
        </w:r>
        <w:r w:rsidR="002378E0">
          <w:rPr>
            <w:szCs w:val="22"/>
            <w:lang w:eastAsia="de-DE"/>
          </w:rPr>
          <w:delText xml:space="preserve"> a </w:delText>
        </w:r>
        <w:r w:rsidRPr="001B4A02">
          <w:rPr>
            <w:szCs w:val="22"/>
            <w:lang w:eastAsia="de-DE"/>
          </w:rPr>
          <w:delText>další podpůrnou léčbu.</w:delText>
        </w:r>
      </w:del>
    </w:p>
    <w:p w14:paraId="39FA2E16" w14:textId="77777777" w:rsidR="00073F8F" w:rsidRPr="001B4A02" w:rsidRDefault="00073F8F" w:rsidP="00ED48A3">
      <w:pPr>
        <w:ind w:left="0" w:firstLine="0"/>
        <w:rPr>
          <w:del w:id="525" w:author="AbbVie1" w:date="2025-05-13T09:50:00Z"/>
        </w:rPr>
      </w:pPr>
    </w:p>
    <w:p w14:paraId="4DC6E45F" w14:textId="77777777" w:rsidR="00073F8F" w:rsidRPr="001B4A02" w:rsidRDefault="00000000" w:rsidP="00D84336">
      <w:pPr>
        <w:keepNext/>
        <w:rPr>
          <w:del w:id="526" w:author="AbbVie1" w:date="2025-05-13T09:50:00Z"/>
          <w:u w:val="single"/>
        </w:rPr>
      </w:pPr>
      <w:del w:id="527" w:author="AbbVie1" w:date="2025-05-13T09:50:00Z">
        <w:r w:rsidRPr="001B4A02">
          <w:rPr>
            <w:u w:val="single"/>
          </w:rPr>
          <w:delText>Neurologické příhody</w:delText>
        </w:r>
      </w:del>
    </w:p>
    <w:p w14:paraId="6233FD4E" w14:textId="77777777" w:rsidR="00073F8F" w:rsidRPr="001B4A02" w:rsidRDefault="00073F8F" w:rsidP="00D84336">
      <w:pPr>
        <w:pStyle w:val="EndnoteText"/>
        <w:keepNext/>
        <w:ind w:left="0" w:firstLine="0"/>
        <w:rPr>
          <w:del w:id="528" w:author="AbbVie1" w:date="2025-05-13T09:50:00Z"/>
          <w:lang w:val="cs-CZ"/>
        </w:rPr>
      </w:pPr>
    </w:p>
    <w:p w14:paraId="7F898FA5" w14:textId="77777777" w:rsidR="00073F8F" w:rsidRPr="001B4A02" w:rsidRDefault="00000000" w:rsidP="00ED48A3">
      <w:pPr>
        <w:ind w:left="0" w:firstLine="0"/>
        <w:rPr>
          <w:del w:id="529" w:author="AbbVie1" w:date="2025-05-13T09:50:00Z"/>
        </w:rPr>
      </w:pPr>
      <w:del w:id="530" w:author="AbbVie1" w:date="2025-05-13T09:50:00Z">
        <w:r w:rsidRPr="001B4A02">
          <w:delText xml:space="preserve">V souvislosti s podáváním antagonistů TNF včetně přípravku Humira se vzácně vyskytly případy nového vzniku nebo exacerbace klinických symptomů a/nebo radiografického průkazu demyelinizačního onemocnění </w:delText>
        </w:r>
        <w:r w:rsidR="00DD4705" w:rsidRPr="001B4A02">
          <w:delText>centrální</w:delText>
        </w:r>
        <w:r w:rsidR="00DE2C85" w:rsidRPr="001B4A02">
          <w:delText>ho</w:delText>
        </w:r>
        <w:r w:rsidR="00DD4705" w:rsidRPr="001B4A02">
          <w:delText xml:space="preserve"> nervové</w:delText>
        </w:r>
        <w:r w:rsidR="00DE2C85" w:rsidRPr="001B4A02">
          <w:delText>ho</w:delText>
        </w:r>
        <w:r w:rsidR="00DD4705" w:rsidRPr="001B4A02">
          <w:delText xml:space="preserve"> s</w:delText>
        </w:r>
        <w:r w:rsidR="00DE2C85" w:rsidRPr="001B4A02">
          <w:delText>ystému</w:delText>
        </w:r>
        <w:r w:rsidR="008076DE" w:rsidRPr="001B4A02">
          <w:delText>,</w:delText>
        </w:r>
        <w:r w:rsidR="00DD4705" w:rsidRPr="001B4A02">
          <w:delText xml:space="preserve"> </w:delText>
        </w:r>
        <w:r w:rsidRPr="001B4A02">
          <w:delText>včetně roztroušené sklerózy</w:delText>
        </w:r>
        <w:r w:rsidR="002378E0">
          <w:delText xml:space="preserve"> a </w:delText>
        </w:r>
        <w:r w:rsidR="003C132C" w:rsidRPr="001B4A02">
          <w:delText>optické neuritidy</w:delText>
        </w:r>
        <w:r w:rsidR="002378E0">
          <w:delText xml:space="preserve"> a </w:delText>
        </w:r>
        <w:r w:rsidR="00DE2C85" w:rsidRPr="001B4A02">
          <w:delText>periferního nervového systému, včetně Guillain-Barré syndromu</w:delText>
        </w:r>
        <w:r w:rsidRPr="001B4A02">
          <w:delText>. Předepisující lékaři by měli s opatrností zvážit použití přípravku Humira u pacientů s</w:delText>
        </w:r>
        <w:r w:rsidR="00757CB8" w:rsidRPr="001B4A02">
          <w:delText> </w:delText>
        </w:r>
        <w:r w:rsidRPr="001B4A02">
          <w:delText xml:space="preserve">preexistujícími nebo v nedávné době vzniklými demyelinizačními poruchami centrálního </w:delText>
        </w:r>
        <w:r w:rsidR="00DE2C85" w:rsidRPr="001B4A02">
          <w:delText xml:space="preserve">nebo periferního </w:delText>
        </w:r>
        <w:r w:rsidRPr="001B4A02">
          <w:delText>nervového systému</w:delText>
        </w:r>
        <w:r w:rsidR="00D61849" w:rsidRPr="001B4A02">
          <w:delText>; pokud se některá z uvedených poruch objeví, je třeba zvážit vysazení přípravku</w:delText>
        </w:r>
        <w:r w:rsidR="0085179A" w:rsidRPr="001B4A02">
          <w:delText xml:space="preserve"> Humira</w:delText>
        </w:r>
        <w:r w:rsidR="00D61849" w:rsidRPr="001B4A02">
          <w:rPr>
            <w:bCs/>
          </w:rPr>
          <w:delText>. Je známo, že existuje spojení mezi intermediální uveitidou</w:delText>
        </w:r>
        <w:r w:rsidR="002378E0">
          <w:rPr>
            <w:bCs/>
          </w:rPr>
          <w:delText xml:space="preserve"> a </w:delText>
        </w:r>
        <w:r w:rsidR="00D61849" w:rsidRPr="001B4A02">
          <w:delText>demyelinizačními poruchami centrálního nervového systému. U pacientů s neinfekční intermediální uveitidou je třeba před zahájením terapie přípravkem Humira</w:delText>
        </w:r>
        <w:r w:rsidR="002378E0">
          <w:delText xml:space="preserve"> a </w:delText>
        </w:r>
        <w:r w:rsidR="00D61849" w:rsidRPr="001B4A02">
          <w:delText>pravidelně během léčby provádět neurologické vyšetření k</w:delText>
        </w:r>
        <w:r w:rsidR="00607D04" w:rsidRPr="001B4A02">
          <w:delText> </w:delText>
        </w:r>
        <w:r w:rsidR="00D61849" w:rsidRPr="001B4A02">
          <w:delText>posouzení preexistujících nebo vyvíjejících se demyelinizačních poruch centrálního nervového systému.</w:delText>
        </w:r>
      </w:del>
    </w:p>
    <w:p w14:paraId="5B58A5E0" w14:textId="77777777" w:rsidR="00073F8F" w:rsidRPr="001B4A02" w:rsidRDefault="00073F8F" w:rsidP="00ED48A3">
      <w:pPr>
        <w:ind w:left="0" w:firstLine="0"/>
        <w:rPr>
          <w:del w:id="531" w:author="AbbVie1" w:date="2025-05-13T09:50:00Z"/>
        </w:rPr>
      </w:pPr>
    </w:p>
    <w:p w14:paraId="72E062CE" w14:textId="77777777" w:rsidR="00073F8F" w:rsidRPr="001B4A02" w:rsidRDefault="00000000" w:rsidP="00AC4985">
      <w:pPr>
        <w:keepNext/>
        <w:ind w:left="0" w:firstLine="0"/>
        <w:rPr>
          <w:del w:id="532" w:author="AbbVie1" w:date="2025-05-13T09:50:00Z"/>
          <w:u w:val="single"/>
        </w:rPr>
      </w:pPr>
      <w:del w:id="533" w:author="AbbVie1" w:date="2025-05-13T09:50:00Z">
        <w:r w:rsidRPr="001B4A02">
          <w:rPr>
            <w:u w:val="single"/>
          </w:rPr>
          <w:delText>Alergické reakce</w:delText>
        </w:r>
      </w:del>
    </w:p>
    <w:p w14:paraId="253B7046" w14:textId="77777777" w:rsidR="00073F8F" w:rsidRPr="001B4A02" w:rsidRDefault="00073F8F" w:rsidP="00AC4985">
      <w:pPr>
        <w:keepNext/>
        <w:ind w:left="0" w:firstLine="0"/>
        <w:rPr>
          <w:del w:id="534" w:author="AbbVie1" w:date="2025-05-13T09:50:00Z"/>
        </w:rPr>
      </w:pPr>
    </w:p>
    <w:p w14:paraId="744EF595" w14:textId="77777777" w:rsidR="00073F8F" w:rsidRPr="001B4A02" w:rsidRDefault="00000000" w:rsidP="00ED48A3">
      <w:pPr>
        <w:ind w:left="0" w:firstLine="0"/>
        <w:rPr>
          <w:del w:id="535" w:author="AbbVie1" w:date="2025-05-13T09:50:00Z"/>
        </w:rPr>
      </w:pPr>
      <w:del w:id="536" w:author="AbbVie1" w:date="2025-05-13T09:50:00Z">
        <w:r w:rsidRPr="001B4A02">
          <w:delText>Při podávání přípravku Humira v klinických studiích byly závažné alergické reakce</w:delText>
        </w:r>
        <w:r w:rsidR="00BC1FE9" w:rsidRPr="001B4A02">
          <w:delText>, spojené s jeho podáním, pozorovány pouze vzácně</w:delText>
        </w:r>
        <w:r w:rsidRPr="001B4A02">
          <w:delText xml:space="preserve">. V klinických studiích s přípravkem Humira se občas vyskytly nezávažné alergické reakce. </w:delText>
        </w:r>
        <w:r w:rsidR="00C53B70" w:rsidRPr="001B4A02">
          <w:delText>Hlášení z praxe uvádějí</w:delText>
        </w:r>
        <w:r w:rsidRPr="001B4A02">
          <w:delText xml:space="preserve"> </w:delText>
        </w:r>
        <w:r w:rsidR="00C53B70" w:rsidRPr="001B4A02">
          <w:delText xml:space="preserve">výskyt </w:delText>
        </w:r>
        <w:r w:rsidRPr="001B4A02">
          <w:delText>závažn</w:delText>
        </w:r>
        <w:r w:rsidR="00C53B70" w:rsidRPr="001B4A02">
          <w:delText>ých</w:delText>
        </w:r>
        <w:r w:rsidRPr="001B4A02">
          <w:delText xml:space="preserve"> alergick</w:delText>
        </w:r>
        <w:r w:rsidR="00C53B70" w:rsidRPr="001B4A02">
          <w:delText>ých</w:delText>
        </w:r>
        <w:r w:rsidRPr="001B4A02">
          <w:delText xml:space="preserve"> reakc</w:delText>
        </w:r>
        <w:r w:rsidR="00C53B70" w:rsidRPr="001B4A02">
          <w:delText>í</w:delText>
        </w:r>
        <w:r w:rsidR="009441F7" w:rsidRPr="001B4A02">
          <w:delText>,</w:delText>
        </w:r>
        <w:r w:rsidRPr="001B4A02">
          <w:delText xml:space="preserve"> včetně anafylaxe</w:delText>
        </w:r>
        <w:r w:rsidR="009441F7" w:rsidRPr="001B4A02">
          <w:delText>,</w:delText>
        </w:r>
        <w:r w:rsidR="00C53B70" w:rsidRPr="001B4A02">
          <w:delText xml:space="preserve"> po podání přípravku Humira</w:delText>
        </w:r>
        <w:r w:rsidRPr="001B4A02">
          <w:delText>. Pokud se objeví anafylaktická reakce nebo jiná závažná alergická reakce, musí být ihned ukončeno podávání přípravku Humira</w:delText>
        </w:r>
        <w:r w:rsidR="002378E0">
          <w:delText xml:space="preserve"> a </w:delText>
        </w:r>
        <w:r w:rsidRPr="001B4A02">
          <w:delText>zahájená příslušná léčba.</w:delText>
        </w:r>
      </w:del>
    </w:p>
    <w:p w14:paraId="14305243" w14:textId="77777777" w:rsidR="00073F8F" w:rsidRPr="001B4A02" w:rsidRDefault="00073F8F" w:rsidP="00ED48A3">
      <w:pPr>
        <w:ind w:left="0" w:firstLine="0"/>
        <w:rPr>
          <w:del w:id="537" w:author="AbbVie1" w:date="2025-05-13T09:50:00Z"/>
          <w:u w:val="single"/>
        </w:rPr>
      </w:pPr>
    </w:p>
    <w:p w14:paraId="1CD09501" w14:textId="77777777" w:rsidR="00073F8F" w:rsidRPr="001B4A02" w:rsidRDefault="00000000" w:rsidP="00ED48A3">
      <w:pPr>
        <w:keepNext/>
        <w:ind w:left="0" w:firstLine="0"/>
        <w:rPr>
          <w:del w:id="538" w:author="AbbVie1" w:date="2025-05-13T09:50:00Z"/>
        </w:rPr>
      </w:pPr>
      <w:del w:id="539" w:author="AbbVie1" w:date="2025-05-13T09:50:00Z">
        <w:r w:rsidRPr="001B4A02">
          <w:rPr>
            <w:u w:val="single"/>
          </w:rPr>
          <w:delText>Imunosuprese</w:delText>
        </w:r>
      </w:del>
    </w:p>
    <w:p w14:paraId="08F117D7" w14:textId="77777777" w:rsidR="00073F8F" w:rsidRPr="001B4A02" w:rsidRDefault="00073F8F" w:rsidP="00ED48A3">
      <w:pPr>
        <w:keepNext/>
        <w:ind w:left="0" w:firstLine="0"/>
        <w:rPr>
          <w:del w:id="540" w:author="AbbVie1" w:date="2025-05-13T09:50:00Z"/>
        </w:rPr>
      </w:pPr>
    </w:p>
    <w:p w14:paraId="242C49BB" w14:textId="77777777" w:rsidR="00073F8F" w:rsidRPr="001B4A02" w:rsidRDefault="00000000" w:rsidP="00757CB8">
      <w:pPr>
        <w:ind w:left="0" w:firstLine="0"/>
        <w:rPr>
          <w:del w:id="541" w:author="AbbVie1" w:date="2025-05-13T09:50:00Z"/>
        </w:rPr>
      </w:pPr>
      <w:del w:id="542" w:author="AbbVie1" w:date="2025-05-13T09:50:00Z">
        <w:r w:rsidRPr="001B4A02">
          <w:delText>Ve studii u 64 pacientů s revmatoidní artritidou, kteří byli léčeni přípravkem Humira, nebylo prokázáno snížení hypersen</w:delText>
        </w:r>
        <w:r w:rsidR="003937A6" w:rsidRPr="001B4A02">
          <w:delText>z</w:delText>
        </w:r>
        <w:r w:rsidRPr="001B4A02">
          <w:delText>itivity opožděného typu, snížení hladin imunoglobulinů nebo změna v počtu efektorových T, B</w:delText>
        </w:r>
        <w:r w:rsidR="002378E0">
          <w:delText xml:space="preserve"> a </w:delText>
        </w:r>
        <w:r w:rsidRPr="001B4A02">
          <w:delText>NK buněk, monocytů/makrofágů</w:delText>
        </w:r>
        <w:r w:rsidR="002378E0">
          <w:delText xml:space="preserve"> a </w:delText>
        </w:r>
        <w:r w:rsidRPr="001B4A02">
          <w:delText>neutrofilů.</w:delText>
        </w:r>
      </w:del>
    </w:p>
    <w:p w14:paraId="52154E5E" w14:textId="77777777" w:rsidR="00073F8F" w:rsidRPr="001B4A02" w:rsidRDefault="00073F8F" w:rsidP="00ED48A3">
      <w:pPr>
        <w:ind w:left="0" w:firstLine="0"/>
        <w:rPr>
          <w:del w:id="543" w:author="AbbVie1" w:date="2025-05-13T09:50:00Z"/>
        </w:rPr>
      </w:pPr>
    </w:p>
    <w:p w14:paraId="166C5846" w14:textId="77777777" w:rsidR="00073F8F" w:rsidRPr="001B4A02" w:rsidRDefault="00000000" w:rsidP="00D84336">
      <w:pPr>
        <w:pStyle w:val="EMEAHeadingUnderline"/>
        <w:keepNext/>
        <w:tabs>
          <w:tab w:val="clear" w:pos="562"/>
        </w:tabs>
        <w:suppressAutoHyphens w:val="0"/>
        <w:spacing w:beforeLines="0" w:before="0" w:afterLines="0" w:after="0"/>
        <w:rPr>
          <w:del w:id="544" w:author="AbbVie1" w:date="2025-05-13T09:50:00Z"/>
          <w:szCs w:val="24"/>
          <w:lang w:val="cs-CZ"/>
        </w:rPr>
      </w:pPr>
      <w:del w:id="545" w:author="AbbVie1" w:date="2025-05-13T09:50:00Z">
        <w:r w:rsidRPr="001B4A02">
          <w:rPr>
            <w:szCs w:val="24"/>
            <w:lang w:val="cs-CZ"/>
          </w:rPr>
          <w:delText>Maligní onemocněn</w:delText>
        </w:r>
        <w:r w:rsidR="00757CB8" w:rsidRPr="001B4A02">
          <w:rPr>
            <w:szCs w:val="24"/>
            <w:lang w:val="cs-CZ"/>
          </w:rPr>
          <w:delText>í</w:delText>
        </w:r>
        <w:r w:rsidR="002378E0">
          <w:rPr>
            <w:szCs w:val="24"/>
            <w:lang w:val="cs-CZ"/>
          </w:rPr>
          <w:delText xml:space="preserve"> a </w:delText>
        </w:r>
        <w:r w:rsidR="00757CB8" w:rsidRPr="001B4A02">
          <w:rPr>
            <w:szCs w:val="24"/>
            <w:lang w:val="cs-CZ"/>
          </w:rPr>
          <w:delText>lymfoproliferativní poruchy</w:delText>
        </w:r>
      </w:del>
    </w:p>
    <w:p w14:paraId="55832D07" w14:textId="77777777" w:rsidR="00073F8F" w:rsidRPr="001B4A02" w:rsidRDefault="00073F8F" w:rsidP="00D84336">
      <w:pPr>
        <w:pStyle w:val="EMEANormal"/>
        <w:keepNext/>
        <w:tabs>
          <w:tab w:val="clear" w:pos="562"/>
        </w:tabs>
        <w:suppressAutoHyphens w:val="0"/>
        <w:rPr>
          <w:del w:id="546" w:author="AbbVie1" w:date="2025-05-13T09:50:00Z"/>
          <w:szCs w:val="24"/>
          <w:lang w:val="cs-CZ"/>
        </w:rPr>
      </w:pPr>
    </w:p>
    <w:p w14:paraId="246336D8" w14:textId="77777777" w:rsidR="00073F8F" w:rsidRPr="001B4A02" w:rsidRDefault="00000000" w:rsidP="00ED48A3">
      <w:pPr>
        <w:pStyle w:val="EMEANormal"/>
        <w:tabs>
          <w:tab w:val="clear" w:pos="562"/>
        </w:tabs>
        <w:suppressAutoHyphens w:val="0"/>
        <w:rPr>
          <w:del w:id="547" w:author="AbbVie1" w:date="2025-05-13T09:50:00Z"/>
          <w:szCs w:val="24"/>
          <w:lang w:val="cs-CZ"/>
        </w:rPr>
      </w:pPr>
      <w:del w:id="548" w:author="AbbVie1" w:date="2025-05-13T09:50:00Z">
        <w:r w:rsidRPr="001B4A02">
          <w:rPr>
            <w:szCs w:val="24"/>
            <w:lang w:val="cs-CZ"/>
          </w:rPr>
          <w:delText>V kontrolovaných částech klinických studií s antagonisty TNF bylo u pacientů léčených antagonisty TNF pozorováno v</w:delText>
        </w:r>
        <w:r w:rsidR="00757CB8" w:rsidRPr="001B4A02">
          <w:rPr>
            <w:szCs w:val="24"/>
            <w:lang w:val="cs-CZ"/>
          </w:rPr>
          <w:delText> </w:delText>
        </w:r>
        <w:r w:rsidRPr="001B4A02">
          <w:rPr>
            <w:szCs w:val="24"/>
            <w:lang w:val="cs-CZ"/>
          </w:rPr>
          <w:delText xml:space="preserve">porovnání s kontrolní skupinou pacientů více případů malignit včetně lymfomů. Jejich výskyt byl však vzácný. </w:delText>
        </w:r>
        <w:r w:rsidR="00BE5DD9" w:rsidRPr="001B4A02">
          <w:rPr>
            <w:szCs w:val="24"/>
            <w:lang w:val="cs-CZ"/>
          </w:rPr>
          <w:delText>V </w:delText>
        </w:r>
        <w:r w:rsidR="00757CB8" w:rsidRPr="001B4A02">
          <w:rPr>
            <w:szCs w:val="24"/>
            <w:lang w:val="cs-CZ"/>
          </w:rPr>
          <w:delText>postmarketingovém období byly u </w:delText>
        </w:r>
        <w:r w:rsidR="00BE5DD9" w:rsidRPr="001B4A02">
          <w:rPr>
            <w:szCs w:val="24"/>
            <w:lang w:val="cs-CZ"/>
          </w:rPr>
          <w:delText>pacientů léčených TNF-antagonisty hlášeny případy leukémie. U</w:delText>
        </w:r>
        <w:r w:rsidRPr="001B4A02">
          <w:rPr>
            <w:szCs w:val="24"/>
            <w:lang w:val="cs-CZ"/>
          </w:rPr>
          <w:delText> pacientů s revmatoidní artritidou s dlouhodobým vysoce aktivním zánětlivým onemocněním existuje zvýšené riziko vzniku lymfomu</w:delText>
        </w:r>
        <w:r w:rsidR="002378E0">
          <w:rPr>
            <w:szCs w:val="24"/>
            <w:lang w:val="cs-CZ"/>
          </w:rPr>
          <w:delText xml:space="preserve"> a </w:delText>
        </w:r>
        <w:r w:rsidR="00BE5DD9" w:rsidRPr="001B4A02">
          <w:rPr>
            <w:szCs w:val="24"/>
            <w:lang w:val="cs-CZ"/>
          </w:rPr>
          <w:delText>leukémie</w:delText>
        </w:r>
        <w:r w:rsidRPr="001B4A02">
          <w:rPr>
            <w:szCs w:val="24"/>
            <w:lang w:val="cs-CZ"/>
          </w:rPr>
          <w:delText>, což komplikuje odhad rizika. Podle současného stavu znalostí nelze u pacientů léčených antagonisty TNF vyloučit možné riziko rozvoje lymfomů</w:delText>
        </w:r>
        <w:r w:rsidR="00BE5DD9" w:rsidRPr="001B4A02">
          <w:rPr>
            <w:szCs w:val="24"/>
            <w:lang w:val="cs-CZ"/>
          </w:rPr>
          <w:delText>, leukémie</w:delText>
        </w:r>
        <w:r w:rsidR="002378E0">
          <w:rPr>
            <w:szCs w:val="24"/>
            <w:lang w:val="cs-CZ"/>
          </w:rPr>
          <w:delText xml:space="preserve"> a </w:delText>
        </w:r>
        <w:r w:rsidRPr="001B4A02">
          <w:rPr>
            <w:szCs w:val="24"/>
            <w:lang w:val="cs-CZ"/>
          </w:rPr>
          <w:delText>jiných maligních onemocnění.</w:delText>
        </w:r>
      </w:del>
    </w:p>
    <w:p w14:paraId="0D3BB305" w14:textId="77777777" w:rsidR="00073F8F" w:rsidRPr="001B4A02" w:rsidRDefault="00073F8F" w:rsidP="00ED48A3">
      <w:pPr>
        <w:rPr>
          <w:del w:id="549" w:author="AbbVie1" w:date="2025-05-13T09:50:00Z"/>
        </w:rPr>
      </w:pPr>
    </w:p>
    <w:p w14:paraId="464F8349" w14:textId="77777777" w:rsidR="00BE5DD9" w:rsidRPr="001B4A02" w:rsidRDefault="00000000" w:rsidP="00ED48A3">
      <w:pPr>
        <w:ind w:left="0" w:firstLine="0"/>
        <w:rPr>
          <w:del w:id="550" w:author="AbbVie1" w:date="2025-05-13T09:50:00Z"/>
        </w:rPr>
      </w:pPr>
      <w:del w:id="551" w:author="AbbVie1" w:date="2025-05-13T09:50:00Z">
        <w:r w:rsidRPr="001B4A02">
          <w:delText>V postmarketingovém období byly u</w:delText>
        </w:r>
        <w:r w:rsidR="00757CB8" w:rsidRPr="001B4A02">
          <w:delText> </w:delText>
        </w:r>
        <w:r w:rsidRPr="001B4A02">
          <w:delText xml:space="preserve">dětí, </w:delText>
        </w:r>
        <w:r w:rsidR="007633DC">
          <w:delText>dospívajících</w:delText>
        </w:r>
        <w:r w:rsidR="002378E0">
          <w:delText xml:space="preserve"> a </w:delText>
        </w:r>
        <w:r w:rsidRPr="001B4A02">
          <w:delText>mladých dospělých (do 22 let) užívajících TNF-blokátory (zahájení léčby v</w:delText>
        </w:r>
        <w:r w:rsidR="00757CB8" w:rsidRPr="001B4A02">
          <w:delText> </w:delText>
        </w:r>
        <w:r w:rsidRPr="001B4A02">
          <w:delText>≤ 18 letech věku), včetně adalimumabu, hlášeny malignity, z nichž některé byly fatální. Přibližně polovina případů byly lymfomy. Jiné případy představovaly různé druhy malignit</w:delText>
        </w:r>
        <w:r w:rsidR="002378E0">
          <w:delText xml:space="preserve"> a </w:delText>
        </w:r>
        <w:r w:rsidRPr="001B4A02">
          <w:delText>zahrnovaly vzácné malignity, které jsou obvykle spojeny s imunosupresí. Riziko rozvoje malignit u</w:delText>
        </w:r>
        <w:r w:rsidR="00757CB8" w:rsidRPr="001B4A02">
          <w:delText> </w:delText>
        </w:r>
        <w:r w:rsidRPr="001B4A02">
          <w:delText>dětí</w:delText>
        </w:r>
        <w:r w:rsidR="002378E0">
          <w:delText xml:space="preserve"> a </w:delText>
        </w:r>
        <w:r w:rsidR="007633DC">
          <w:delText>dospívajících</w:delText>
        </w:r>
        <w:r w:rsidRPr="001B4A02">
          <w:delText xml:space="preserve"> léčených TNF-blokátory nelze vyloučit.</w:delText>
        </w:r>
      </w:del>
    </w:p>
    <w:p w14:paraId="736C5165" w14:textId="77777777" w:rsidR="00BE5DD9" w:rsidRPr="001B4A02" w:rsidRDefault="00BE5DD9" w:rsidP="00ED48A3">
      <w:pPr>
        <w:ind w:left="0" w:firstLine="0"/>
        <w:rPr>
          <w:del w:id="552" w:author="AbbVie1" w:date="2025-05-13T09:50:00Z"/>
        </w:rPr>
      </w:pPr>
    </w:p>
    <w:p w14:paraId="1D7B93A4" w14:textId="77777777" w:rsidR="00073F8F" w:rsidRPr="001B4A02" w:rsidRDefault="00000000" w:rsidP="00ED48A3">
      <w:pPr>
        <w:pStyle w:val="EMEANormal"/>
        <w:tabs>
          <w:tab w:val="clear" w:pos="562"/>
        </w:tabs>
        <w:suppressAutoHyphens w:val="0"/>
        <w:rPr>
          <w:del w:id="553" w:author="AbbVie1" w:date="2025-05-13T09:50:00Z"/>
          <w:lang w:val="cs-CZ"/>
        </w:rPr>
      </w:pPr>
      <w:del w:id="554" w:author="AbbVie1" w:date="2025-05-13T09:50:00Z">
        <w:r w:rsidRPr="001B4A02">
          <w:rPr>
            <w:lang w:val="cs-CZ"/>
          </w:rPr>
          <w:delText>Z postmarketingové praxe u</w:delText>
        </w:r>
        <w:r w:rsidR="00757CB8" w:rsidRPr="001B4A02">
          <w:rPr>
            <w:lang w:val="cs-CZ"/>
          </w:rPr>
          <w:delText> </w:delText>
        </w:r>
        <w:r w:rsidRPr="001B4A02">
          <w:rPr>
            <w:lang w:val="cs-CZ"/>
          </w:rPr>
          <w:delText>pacientů léčených adalimumabem byly hlášeny vzácné případy hepatosplenického T-buněčného lymfomu. Tento vzácný typ T-buněčného lymfomu se vyznačuje velmi agresívním průběhem onemocnění</w:delText>
        </w:r>
        <w:r w:rsidR="002378E0">
          <w:rPr>
            <w:lang w:val="cs-CZ"/>
          </w:rPr>
          <w:delText xml:space="preserve"> a </w:delText>
        </w:r>
        <w:r w:rsidRPr="001B4A02">
          <w:rPr>
            <w:lang w:val="cs-CZ"/>
          </w:rPr>
          <w:delText>je obvykle fatální. Některé z těchto T-buněčných lymfomů, spojované s</w:delText>
        </w:r>
        <w:r w:rsidR="00757CB8" w:rsidRPr="001B4A02">
          <w:rPr>
            <w:lang w:val="cs-CZ"/>
          </w:rPr>
          <w:delText> </w:delText>
        </w:r>
        <w:r w:rsidRPr="001B4A02">
          <w:rPr>
            <w:lang w:val="cs-CZ"/>
          </w:rPr>
          <w:delText>přípravkem Humira, se vyskytly u</w:delText>
        </w:r>
        <w:r w:rsidR="00757CB8" w:rsidRPr="001B4A02">
          <w:rPr>
            <w:lang w:val="cs-CZ"/>
          </w:rPr>
          <w:delText> </w:delText>
        </w:r>
        <w:r w:rsidRPr="001B4A02">
          <w:rPr>
            <w:lang w:val="cs-CZ"/>
          </w:rPr>
          <w:delText xml:space="preserve">mladých pacientů léčených současně azathioprinem nebo 6-merkaptopurinem pro </w:delText>
        </w:r>
        <w:r w:rsidR="00A02C29" w:rsidRPr="001B4A02">
          <w:rPr>
            <w:lang w:val="cs-CZ"/>
          </w:rPr>
          <w:delText>zánětlivé střevní onemocnění</w:delText>
        </w:r>
        <w:r w:rsidRPr="001B4A02">
          <w:rPr>
            <w:lang w:val="cs-CZ"/>
          </w:rPr>
          <w:delText xml:space="preserve">. </w:delText>
        </w:r>
        <w:r w:rsidR="000A0781" w:rsidRPr="001B4A02">
          <w:rPr>
            <w:lang w:val="cs-CZ"/>
          </w:rPr>
          <w:delText>Možné riziko kombin</w:delText>
        </w:r>
        <w:r w:rsidR="00B17997" w:rsidRPr="001B4A02">
          <w:rPr>
            <w:lang w:val="cs-CZ"/>
          </w:rPr>
          <w:delText xml:space="preserve">ace </w:delText>
        </w:r>
        <w:r w:rsidR="000A0781" w:rsidRPr="001B4A02">
          <w:rPr>
            <w:lang w:val="cs-CZ"/>
          </w:rPr>
          <w:delText>azathioprin</w:delText>
        </w:r>
        <w:r w:rsidR="00B17997" w:rsidRPr="001B4A02">
          <w:rPr>
            <w:lang w:val="cs-CZ"/>
          </w:rPr>
          <w:delText>u</w:delText>
        </w:r>
        <w:r w:rsidR="000A0781" w:rsidRPr="001B4A02">
          <w:rPr>
            <w:lang w:val="cs-CZ"/>
          </w:rPr>
          <w:delText xml:space="preserve"> nebo </w:delText>
        </w:r>
        <w:r w:rsidR="00B17997" w:rsidRPr="001B4A02">
          <w:rPr>
            <w:lang w:val="cs-CZ"/>
          </w:rPr>
          <w:delText>6-merkaptopurinu</w:delText>
        </w:r>
        <w:r w:rsidR="002378E0">
          <w:rPr>
            <w:lang w:val="cs-CZ"/>
          </w:rPr>
          <w:delText xml:space="preserve"> a </w:delText>
        </w:r>
        <w:r w:rsidR="00B17997" w:rsidRPr="001B4A02">
          <w:rPr>
            <w:lang w:val="cs-CZ"/>
          </w:rPr>
          <w:delText xml:space="preserve">přípravku Humira je třeba pečlivě zvážit. </w:delText>
        </w:r>
        <w:r w:rsidRPr="001B4A02">
          <w:rPr>
            <w:lang w:val="cs-CZ"/>
          </w:rPr>
          <w:delText>Riziko rozvoje hepatosplenického T-buněčného lymfomu nelze u</w:delText>
        </w:r>
        <w:r w:rsidR="00757CB8" w:rsidRPr="001B4A02">
          <w:rPr>
            <w:lang w:val="cs-CZ"/>
          </w:rPr>
          <w:delText> </w:delText>
        </w:r>
        <w:r w:rsidRPr="001B4A02">
          <w:rPr>
            <w:lang w:val="cs-CZ"/>
          </w:rPr>
          <w:delText>pacientů léčených přípravkem Humira vyloučit (viz bod 4.8).</w:delText>
        </w:r>
      </w:del>
    </w:p>
    <w:p w14:paraId="28DBCF79" w14:textId="77777777" w:rsidR="00073F8F" w:rsidRPr="001B4A02" w:rsidRDefault="00073F8F" w:rsidP="00ED48A3">
      <w:pPr>
        <w:rPr>
          <w:del w:id="555" w:author="AbbVie1" w:date="2025-05-13T09:50:00Z"/>
        </w:rPr>
      </w:pPr>
    </w:p>
    <w:p w14:paraId="13B32715" w14:textId="77777777" w:rsidR="00073F8F" w:rsidRPr="001B4A02" w:rsidRDefault="00000000" w:rsidP="00ED48A3">
      <w:pPr>
        <w:ind w:left="0" w:firstLine="0"/>
        <w:rPr>
          <w:del w:id="556" w:author="AbbVie1" w:date="2025-05-13T09:50:00Z"/>
        </w:rPr>
      </w:pPr>
      <w:del w:id="557" w:author="AbbVie1" w:date="2025-05-13T09:50:00Z">
        <w:r w:rsidRPr="001B4A02">
          <w:delText>Nebyly provedeny žádné studie u pacientů s anamnézou maligního onemocnění nebo v</w:delText>
        </w:r>
        <w:r w:rsidR="00757CB8" w:rsidRPr="001B4A02">
          <w:delText> </w:delText>
        </w:r>
        <w:r w:rsidRPr="001B4A02">
          <w:delText>případech, kde by léčba přípravkem Humira dále pokračovala i u pacientů, u kterých došlo k</w:delText>
        </w:r>
        <w:r w:rsidR="00757CB8" w:rsidRPr="001B4A02">
          <w:delText> </w:delText>
        </w:r>
        <w:r w:rsidRPr="001B4A02">
          <w:delText>rozvoji maligního onemocnění. Je proto zapotřebí ještě větší opatrnost při úvaze o léčbě přípravkem Humira u těchto pacientů (viz bod 4.8).</w:delText>
        </w:r>
      </w:del>
    </w:p>
    <w:p w14:paraId="5AEF071A" w14:textId="77777777" w:rsidR="00073F8F" w:rsidRPr="001B4A02" w:rsidRDefault="00073F8F" w:rsidP="00ED48A3">
      <w:pPr>
        <w:ind w:left="0" w:firstLine="0"/>
        <w:rPr>
          <w:del w:id="558" w:author="AbbVie1" w:date="2025-05-13T09:50:00Z"/>
        </w:rPr>
      </w:pPr>
    </w:p>
    <w:p w14:paraId="1EF04C4F" w14:textId="77777777" w:rsidR="00073F8F" w:rsidRPr="001B4A02" w:rsidRDefault="00000000" w:rsidP="00ED48A3">
      <w:pPr>
        <w:ind w:left="0" w:firstLine="0"/>
        <w:rPr>
          <w:del w:id="559" w:author="AbbVie1" w:date="2025-05-13T09:50:00Z"/>
        </w:rPr>
      </w:pPr>
      <w:del w:id="560" w:author="AbbVie1" w:date="2025-05-13T09:50:00Z">
        <w:r w:rsidRPr="001B4A02">
          <w:delText>Všechny pacienty, zvláště pacienty s anamnézou rozsáhlé imunosupres</w:delText>
        </w:r>
        <w:r w:rsidR="00B60555" w:rsidRPr="001B4A02">
          <w:delText>i</w:delText>
        </w:r>
        <w:r w:rsidRPr="001B4A02">
          <w:delText>vní léčby nebo pacienty s psoriázou, kteří byli v minulosti léčeni PUVA, je třeba vyšetřit na přítomnost nemelanomového kožního karcinomu ještě před</w:delText>
        </w:r>
        <w:r w:rsidR="002378E0">
          <w:delText xml:space="preserve"> a </w:delText>
        </w:r>
        <w:r w:rsidRPr="001B4A02">
          <w:delText>během léčby přípravkem Humira.</w:delText>
        </w:r>
        <w:r w:rsidR="00136DF3" w:rsidRPr="001B4A02">
          <w:delText xml:space="preserve"> U</w:delText>
        </w:r>
        <w:r w:rsidR="00757CB8" w:rsidRPr="001B4A02">
          <w:delText> </w:delText>
        </w:r>
        <w:r w:rsidR="00136DF3" w:rsidRPr="001B4A02">
          <w:delText>pacien</w:delText>
        </w:r>
        <w:r w:rsidR="00602025" w:rsidRPr="001B4A02">
          <w:delText>t</w:delText>
        </w:r>
        <w:r w:rsidR="00136DF3" w:rsidRPr="001B4A02">
          <w:delText>ů</w:delText>
        </w:r>
        <w:r w:rsidR="00602025" w:rsidRPr="001B4A02">
          <w:delText xml:space="preserve"> užívajících TNF-antagonisty, včetně přípravku Humira, byl také hlášen výskyt melanomu</w:delText>
        </w:r>
        <w:r w:rsidR="002378E0">
          <w:delText xml:space="preserve"> a </w:delText>
        </w:r>
        <w:r w:rsidR="00602025" w:rsidRPr="001B4A02">
          <w:delText>karcinomu z Merkelových buněk (viz bod 4.8).</w:delText>
        </w:r>
      </w:del>
    </w:p>
    <w:p w14:paraId="03AC40B4" w14:textId="77777777" w:rsidR="00073F8F" w:rsidRPr="001B4A02" w:rsidRDefault="00073F8F" w:rsidP="00ED48A3">
      <w:pPr>
        <w:ind w:left="0" w:firstLine="0"/>
        <w:rPr>
          <w:del w:id="561" w:author="AbbVie1" w:date="2025-05-13T09:50:00Z"/>
        </w:rPr>
      </w:pPr>
    </w:p>
    <w:p w14:paraId="023AF03E" w14:textId="77777777" w:rsidR="00073F8F" w:rsidRPr="001B4A02" w:rsidRDefault="00000000" w:rsidP="00ED48A3">
      <w:pPr>
        <w:pStyle w:val="EMEAHeadingUnderline"/>
        <w:tabs>
          <w:tab w:val="clear" w:pos="562"/>
          <w:tab w:val="left" w:pos="426"/>
        </w:tabs>
        <w:suppressAutoHyphens w:val="0"/>
        <w:spacing w:beforeLines="0" w:before="0" w:afterLines="0" w:after="0"/>
        <w:rPr>
          <w:del w:id="562" w:author="AbbVie1" w:date="2025-05-13T09:50:00Z"/>
          <w:bCs/>
          <w:szCs w:val="22"/>
          <w:u w:val="none"/>
          <w:lang w:val="cs-CZ"/>
        </w:rPr>
      </w:pPr>
      <w:del w:id="563" w:author="AbbVie1" w:date="2025-05-13T09:50:00Z">
        <w:r w:rsidRPr="001B4A02">
          <w:rPr>
            <w:bCs/>
            <w:szCs w:val="22"/>
            <w:u w:val="none"/>
            <w:lang w:val="cs-CZ"/>
          </w:rPr>
          <w:delText>V ověřovací klinické studii, zkoumající užívání jiné</w:delText>
        </w:r>
        <w:r w:rsidR="00456B73" w:rsidRPr="001B4A02">
          <w:rPr>
            <w:bCs/>
            <w:szCs w:val="22"/>
            <w:u w:val="none"/>
            <w:lang w:val="cs-CZ"/>
          </w:rPr>
          <w:delText>ho</w:delText>
        </w:r>
        <w:r w:rsidRPr="001B4A02">
          <w:rPr>
            <w:bCs/>
            <w:szCs w:val="22"/>
            <w:u w:val="none"/>
            <w:lang w:val="cs-CZ"/>
          </w:rPr>
          <w:delText xml:space="preserve"> </w:delText>
        </w:r>
        <w:r w:rsidR="00A02C29" w:rsidRPr="001B4A02">
          <w:rPr>
            <w:bCs/>
            <w:szCs w:val="22"/>
            <w:u w:val="none"/>
            <w:lang w:val="cs-CZ"/>
          </w:rPr>
          <w:delText xml:space="preserve">antagonisty </w:delText>
        </w:r>
        <w:r w:rsidRPr="001B4A02">
          <w:rPr>
            <w:bCs/>
            <w:szCs w:val="22"/>
            <w:u w:val="none"/>
            <w:lang w:val="cs-CZ"/>
          </w:rPr>
          <w:delText xml:space="preserve">TNF, infliximabu, u pacientů se středně </w:delText>
        </w:r>
        <w:r w:rsidR="00CC2F88" w:rsidRPr="001B4A02">
          <w:rPr>
            <w:bCs/>
            <w:szCs w:val="22"/>
            <w:u w:val="none"/>
            <w:lang w:val="cs-CZ"/>
          </w:rPr>
          <w:delText xml:space="preserve">těžkou </w:delText>
        </w:r>
        <w:r w:rsidRPr="001B4A02">
          <w:rPr>
            <w:bCs/>
            <w:szCs w:val="22"/>
            <w:u w:val="none"/>
            <w:lang w:val="cs-CZ"/>
          </w:rPr>
          <w:delText>až těžkou chronickou obstrukční chorobou plicní (CHOPN), bylo u pacientů léčených infliximabem pozorováno více malignit, převážně plic, hlavy</w:delText>
        </w:r>
        <w:r w:rsidR="002378E0">
          <w:rPr>
            <w:bCs/>
            <w:szCs w:val="22"/>
            <w:u w:val="none"/>
            <w:lang w:val="cs-CZ"/>
          </w:rPr>
          <w:delText xml:space="preserve"> a </w:delText>
        </w:r>
        <w:r w:rsidRPr="001B4A02">
          <w:rPr>
            <w:bCs/>
            <w:szCs w:val="22"/>
            <w:u w:val="none"/>
            <w:lang w:val="cs-CZ"/>
          </w:rPr>
          <w:delText>krku v porovnání s kontrolní skupinou pacientů. Všichni pacienti byli v minulosti těžcí kuřáci. Z tohoto důvodu je zapotřebí opatrnosti při užívání jakéhokoli TNF-antagonisty u pacientů s CHOPN, stejně jako u pacientů s vyšším rizikem vzniku malignit v dů</w:delText>
        </w:r>
        <w:r w:rsidR="00757CB8" w:rsidRPr="001B4A02">
          <w:rPr>
            <w:bCs/>
            <w:szCs w:val="22"/>
            <w:u w:val="none"/>
            <w:lang w:val="cs-CZ"/>
          </w:rPr>
          <w:delText>sledku jejich těžkého kuřáctví.</w:delText>
        </w:r>
      </w:del>
    </w:p>
    <w:p w14:paraId="2A1F2C81" w14:textId="77777777" w:rsidR="00A02C29" w:rsidRPr="001B4A02" w:rsidRDefault="00A02C29" w:rsidP="00ED48A3">
      <w:pPr>
        <w:pStyle w:val="EMEANormal"/>
        <w:rPr>
          <w:del w:id="564" w:author="AbbVie1" w:date="2025-05-13T09:50:00Z"/>
          <w:lang w:val="cs-CZ"/>
        </w:rPr>
      </w:pPr>
    </w:p>
    <w:p w14:paraId="08FB0A44" w14:textId="77777777" w:rsidR="00A02C29" w:rsidRPr="001B4A02" w:rsidRDefault="00000000" w:rsidP="00ED48A3">
      <w:pPr>
        <w:pStyle w:val="EMEANormal"/>
        <w:rPr>
          <w:del w:id="565" w:author="AbbVie1" w:date="2025-05-13T09:50:00Z"/>
          <w:lang w:val="cs-CZ"/>
        </w:rPr>
      </w:pPr>
      <w:del w:id="566" w:author="AbbVie1" w:date="2025-05-13T09:50:00Z">
        <w:r w:rsidRPr="001B4A02">
          <w:rPr>
            <w:lang w:val="cs-CZ"/>
          </w:rPr>
          <w:delText>Podle současných údajů není známo</w:delText>
        </w:r>
        <w:r w:rsidR="00DB5134" w:rsidRPr="001B4A02">
          <w:rPr>
            <w:lang w:val="cs-CZ"/>
          </w:rPr>
          <w:delText>,</w:delText>
        </w:r>
        <w:r w:rsidRPr="001B4A02">
          <w:rPr>
            <w:lang w:val="cs-CZ"/>
          </w:rPr>
          <w:delText xml:space="preserve"> zda léčba adalimumabem ovlivňuje riziko vzniku dyspl</w:delText>
        </w:r>
        <w:r w:rsidR="008C32DF">
          <w:rPr>
            <w:lang w:val="cs-CZ"/>
          </w:rPr>
          <w:delText>a</w:delText>
        </w:r>
        <w:r w:rsidRPr="001B4A02">
          <w:rPr>
            <w:lang w:val="cs-CZ"/>
          </w:rPr>
          <w:delText xml:space="preserve">zie nebo </w:delText>
        </w:r>
        <w:r w:rsidR="00DB5134" w:rsidRPr="001B4A02">
          <w:rPr>
            <w:lang w:val="cs-CZ"/>
          </w:rPr>
          <w:delText xml:space="preserve">kolorektálního </w:delText>
        </w:r>
        <w:r w:rsidRPr="001B4A02">
          <w:rPr>
            <w:lang w:val="cs-CZ"/>
          </w:rPr>
          <w:delText>karcinomu. Všichni pacienti s </w:delText>
        </w:r>
        <w:r w:rsidR="008177B2" w:rsidRPr="001B4A02">
          <w:rPr>
            <w:lang w:val="cs-CZ"/>
          </w:rPr>
          <w:delText>ulcerózní</w:delText>
        </w:r>
        <w:r w:rsidRPr="001B4A02">
          <w:rPr>
            <w:lang w:val="cs-CZ"/>
          </w:rPr>
          <w:delText xml:space="preserve"> koli</w:delText>
        </w:r>
        <w:r w:rsidR="003A2401" w:rsidRPr="001B4A02">
          <w:rPr>
            <w:lang w:val="cs-CZ"/>
          </w:rPr>
          <w:delText>ti</w:delText>
        </w:r>
        <w:r w:rsidRPr="001B4A02">
          <w:rPr>
            <w:lang w:val="cs-CZ"/>
          </w:rPr>
          <w:delText>dou, u</w:delText>
        </w:r>
        <w:r w:rsidR="00757CB8" w:rsidRPr="001B4A02">
          <w:rPr>
            <w:lang w:val="cs-CZ"/>
          </w:rPr>
          <w:delText> </w:delText>
        </w:r>
        <w:r w:rsidR="001D5E1C" w:rsidRPr="001B4A02">
          <w:rPr>
            <w:lang w:val="cs-CZ"/>
          </w:rPr>
          <w:delText>nichž existuje riziko pro vznik</w:delText>
        </w:r>
        <w:r w:rsidRPr="001B4A02">
          <w:rPr>
            <w:lang w:val="cs-CZ"/>
          </w:rPr>
          <w:delText xml:space="preserve"> dyspl</w:delText>
        </w:r>
        <w:r w:rsidR="008C32DF">
          <w:rPr>
            <w:lang w:val="cs-CZ"/>
          </w:rPr>
          <w:delText>a</w:delText>
        </w:r>
        <w:r w:rsidRPr="001B4A02">
          <w:rPr>
            <w:lang w:val="cs-CZ"/>
          </w:rPr>
          <w:delText xml:space="preserve">zie nebo </w:delText>
        </w:r>
        <w:r w:rsidR="00DB5134" w:rsidRPr="001B4A02">
          <w:rPr>
            <w:lang w:val="cs-CZ"/>
          </w:rPr>
          <w:delText xml:space="preserve">kolorektálního </w:delText>
        </w:r>
        <w:r w:rsidRPr="001B4A02">
          <w:rPr>
            <w:lang w:val="cs-CZ"/>
          </w:rPr>
          <w:delText xml:space="preserve">karcinomu (např. pacienti s dlouhotrvající </w:delText>
        </w:r>
        <w:r w:rsidR="008177B2" w:rsidRPr="001B4A02">
          <w:rPr>
            <w:lang w:val="cs-CZ"/>
          </w:rPr>
          <w:delText>ulcerózní</w:delText>
        </w:r>
        <w:r w:rsidRPr="001B4A02">
          <w:rPr>
            <w:lang w:val="cs-CZ"/>
          </w:rPr>
          <w:delText xml:space="preserve"> kolitidou nebo primární s</w:delText>
        </w:r>
        <w:r w:rsidR="00757CB8" w:rsidRPr="001B4A02">
          <w:rPr>
            <w:lang w:val="cs-CZ"/>
          </w:rPr>
          <w:delText>klerotizující cholangitidou), u </w:delText>
        </w:r>
        <w:r w:rsidRPr="001B4A02">
          <w:rPr>
            <w:lang w:val="cs-CZ"/>
          </w:rPr>
          <w:delText>kterých se v minulosti vyskytla dyspl</w:delText>
        </w:r>
        <w:r w:rsidR="008C32DF">
          <w:rPr>
            <w:lang w:val="cs-CZ"/>
          </w:rPr>
          <w:delText>a</w:delText>
        </w:r>
        <w:r w:rsidRPr="001B4A02">
          <w:rPr>
            <w:lang w:val="cs-CZ"/>
          </w:rPr>
          <w:delText xml:space="preserve">zie nebo </w:delText>
        </w:r>
        <w:r w:rsidR="00DB5134" w:rsidRPr="001B4A02">
          <w:rPr>
            <w:lang w:val="cs-CZ"/>
          </w:rPr>
          <w:delText xml:space="preserve">kolorektální </w:delText>
        </w:r>
        <w:r w:rsidRPr="001B4A02">
          <w:rPr>
            <w:lang w:val="cs-CZ"/>
          </w:rPr>
          <w:delText>karcinom</w:delText>
        </w:r>
        <w:r w:rsidR="00301A37" w:rsidRPr="001B4A02">
          <w:rPr>
            <w:lang w:val="cs-CZ"/>
          </w:rPr>
          <w:delText>,</w:delText>
        </w:r>
        <w:r w:rsidRPr="001B4A02">
          <w:rPr>
            <w:lang w:val="cs-CZ"/>
          </w:rPr>
          <w:delText xml:space="preserve"> </w:delText>
        </w:r>
        <w:r w:rsidR="0029088C" w:rsidRPr="00F261A6">
          <w:rPr>
            <w:lang w:val="cs-CZ"/>
          </w:rPr>
          <w:delText>mají</w:delText>
        </w:r>
        <w:r w:rsidRPr="001B4A02">
          <w:rPr>
            <w:lang w:val="cs-CZ"/>
          </w:rPr>
          <w:delText xml:space="preserve"> být </w:delText>
        </w:r>
        <w:r w:rsidR="001D5E1C" w:rsidRPr="001B4A02">
          <w:rPr>
            <w:lang w:val="cs-CZ"/>
          </w:rPr>
          <w:delText>vyšetřeni na možný rozvoj dyspl</w:delText>
        </w:r>
        <w:r w:rsidR="00D149F4">
          <w:rPr>
            <w:lang w:val="cs-CZ"/>
          </w:rPr>
          <w:delText>a</w:delText>
        </w:r>
        <w:r w:rsidR="001D5E1C" w:rsidRPr="001B4A02">
          <w:rPr>
            <w:lang w:val="cs-CZ"/>
          </w:rPr>
          <w:delText xml:space="preserve">zie nebo </w:delText>
        </w:r>
        <w:r w:rsidR="00DB5134" w:rsidRPr="001B4A02">
          <w:rPr>
            <w:lang w:val="cs-CZ"/>
          </w:rPr>
          <w:delText xml:space="preserve">kolorektálního </w:delText>
        </w:r>
        <w:r w:rsidR="001D5E1C" w:rsidRPr="001B4A02">
          <w:rPr>
            <w:lang w:val="cs-CZ"/>
          </w:rPr>
          <w:delText>karcino</w:delText>
        </w:r>
        <w:r w:rsidR="00DB5134" w:rsidRPr="001B4A02">
          <w:rPr>
            <w:lang w:val="cs-CZ"/>
          </w:rPr>
          <w:delText>mu</w:delText>
        </w:r>
        <w:r w:rsidR="001D5E1C" w:rsidRPr="001B4A02">
          <w:rPr>
            <w:lang w:val="cs-CZ"/>
          </w:rPr>
          <w:delText xml:space="preserve"> ještě před zahájením léčby</w:delText>
        </w:r>
        <w:r w:rsidR="002378E0">
          <w:rPr>
            <w:lang w:val="cs-CZ"/>
          </w:rPr>
          <w:delText xml:space="preserve"> a </w:delText>
        </w:r>
        <w:r w:rsidR="001D5E1C" w:rsidRPr="001B4A02">
          <w:rPr>
            <w:lang w:val="cs-CZ"/>
          </w:rPr>
          <w:delText>dále v pravidelných intervalech v jejím průběhu. Toto vyšetření má, v souladu s místními požadavky, zahrnovat kolonoskopii</w:delText>
        </w:r>
        <w:r w:rsidR="002378E0">
          <w:rPr>
            <w:lang w:val="cs-CZ"/>
          </w:rPr>
          <w:delText xml:space="preserve"> a </w:delText>
        </w:r>
        <w:r w:rsidR="001D5E1C" w:rsidRPr="001B4A02">
          <w:rPr>
            <w:lang w:val="cs-CZ"/>
          </w:rPr>
          <w:delText>biopsi</w:delText>
        </w:r>
        <w:r w:rsidR="00EA2A6C" w:rsidRPr="001B4A02">
          <w:rPr>
            <w:lang w:val="cs-CZ"/>
          </w:rPr>
          <w:delText>i</w:delText>
        </w:r>
        <w:r w:rsidR="001D5E1C" w:rsidRPr="001B4A02">
          <w:rPr>
            <w:lang w:val="cs-CZ"/>
          </w:rPr>
          <w:delText>.</w:delText>
        </w:r>
      </w:del>
    </w:p>
    <w:p w14:paraId="21C57C11" w14:textId="77777777" w:rsidR="00073F8F" w:rsidRPr="001B4A02" w:rsidRDefault="00073F8F" w:rsidP="00ED48A3">
      <w:pPr>
        <w:tabs>
          <w:tab w:val="left" w:pos="426"/>
        </w:tabs>
        <w:ind w:left="0" w:firstLine="0"/>
        <w:jc w:val="both"/>
        <w:rPr>
          <w:del w:id="567" w:author="AbbVie1" w:date="2025-05-13T09:50:00Z"/>
          <w:bCs/>
          <w:szCs w:val="22"/>
          <w:u w:val="single"/>
        </w:rPr>
      </w:pPr>
    </w:p>
    <w:p w14:paraId="303555D8" w14:textId="77777777" w:rsidR="00073F8F" w:rsidRPr="001B4A02" w:rsidRDefault="00000000" w:rsidP="00D84336">
      <w:pPr>
        <w:keepNext/>
        <w:tabs>
          <w:tab w:val="left" w:pos="426"/>
        </w:tabs>
        <w:jc w:val="both"/>
        <w:rPr>
          <w:del w:id="568" w:author="AbbVie1" w:date="2025-05-13T09:50:00Z"/>
          <w:bCs/>
          <w:szCs w:val="22"/>
          <w:u w:val="single"/>
        </w:rPr>
      </w:pPr>
      <w:del w:id="569" w:author="AbbVie1" w:date="2025-05-13T09:50:00Z">
        <w:r w:rsidRPr="001B4A02">
          <w:rPr>
            <w:bCs/>
            <w:szCs w:val="22"/>
            <w:u w:val="single"/>
          </w:rPr>
          <w:delText>Hematologické reakce</w:delText>
        </w:r>
      </w:del>
    </w:p>
    <w:p w14:paraId="092B05C1" w14:textId="77777777" w:rsidR="00073F8F" w:rsidRPr="001B4A02" w:rsidRDefault="00073F8F" w:rsidP="00D84336">
      <w:pPr>
        <w:keepNext/>
        <w:tabs>
          <w:tab w:val="left" w:pos="426"/>
        </w:tabs>
        <w:jc w:val="both"/>
        <w:rPr>
          <w:del w:id="570" w:author="AbbVie1" w:date="2025-05-13T09:50:00Z"/>
          <w:bCs/>
          <w:szCs w:val="22"/>
          <w:u w:val="single"/>
        </w:rPr>
      </w:pPr>
    </w:p>
    <w:p w14:paraId="52887F20" w14:textId="77777777" w:rsidR="00073F8F" w:rsidRPr="001B4A02" w:rsidRDefault="00000000" w:rsidP="00ED48A3">
      <w:pPr>
        <w:ind w:left="0" w:firstLine="0"/>
        <w:rPr>
          <w:del w:id="571" w:author="AbbVie1" w:date="2025-05-13T09:50:00Z"/>
          <w:u w:val="single"/>
        </w:rPr>
      </w:pPr>
      <w:del w:id="572" w:author="AbbVie1" w:date="2025-05-13T09:50:00Z">
        <w:r w:rsidRPr="001B4A02">
          <w:rPr>
            <w:bCs/>
            <w:szCs w:val="22"/>
          </w:rPr>
          <w:delText>Při užívání antagonistů TNF byly vzácně hlášeny případy pancytopenie včetně aplastické anémie. U přípravku Humira byly hlášeny nežádoucí příhody v oblasti hematologického systému, včetně medicínsky významné cytopenie (např. trombocytopenie, leukopenie). Všem pacientům je nutné doporučit, aby ihned vyhledali lékařskou pomoc, pokud se při léčbě přípravkem Humira vyvinou příznaky</w:delText>
        </w:r>
        <w:r w:rsidR="002378E0">
          <w:rPr>
            <w:bCs/>
            <w:szCs w:val="22"/>
          </w:rPr>
          <w:delText xml:space="preserve"> a </w:delText>
        </w:r>
        <w:r w:rsidRPr="001B4A02">
          <w:rPr>
            <w:bCs/>
            <w:szCs w:val="22"/>
          </w:rPr>
          <w:delText>projevy podezřelé z krevní dyskrasie (např. přetrvávající horečka, hematomy, krvácení, bledost). U pacientů s potvrzenými významnými hematologickými abnormalitami je nutné zvážit vysazení léčby.</w:delText>
        </w:r>
      </w:del>
    </w:p>
    <w:p w14:paraId="5981C970" w14:textId="77777777" w:rsidR="00073F8F" w:rsidRPr="001B4A02" w:rsidRDefault="00073F8F" w:rsidP="00ED48A3">
      <w:pPr>
        <w:ind w:left="0" w:firstLine="0"/>
        <w:rPr>
          <w:del w:id="573" w:author="AbbVie1" w:date="2025-05-13T09:50:00Z"/>
          <w:u w:val="single"/>
        </w:rPr>
      </w:pPr>
    </w:p>
    <w:p w14:paraId="6319AD38" w14:textId="77777777" w:rsidR="00073F8F" w:rsidRPr="001B4A02" w:rsidRDefault="00000000" w:rsidP="00D84336">
      <w:pPr>
        <w:keepNext/>
        <w:ind w:left="0" w:firstLine="0"/>
        <w:rPr>
          <w:del w:id="574" w:author="AbbVie1" w:date="2025-05-13T09:50:00Z"/>
        </w:rPr>
      </w:pPr>
      <w:del w:id="575" w:author="AbbVie1" w:date="2025-05-13T09:50:00Z">
        <w:r w:rsidRPr="001B4A02">
          <w:rPr>
            <w:u w:val="single"/>
          </w:rPr>
          <w:delText>Očkování</w:delText>
        </w:r>
      </w:del>
    </w:p>
    <w:p w14:paraId="6B172DE2" w14:textId="77777777" w:rsidR="00073F8F" w:rsidRPr="001B4A02" w:rsidRDefault="00073F8F" w:rsidP="00D84336">
      <w:pPr>
        <w:keepNext/>
        <w:ind w:left="0" w:firstLine="0"/>
        <w:rPr>
          <w:del w:id="576" w:author="AbbVie1" w:date="2025-05-13T09:50:00Z"/>
        </w:rPr>
      </w:pPr>
    </w:p>
    <w:p w14:paraId="7348308F" w14:textId="77777777" w:rsidR="00073F8F" w:rsidRPr="001B4A02" w:rsidRDefault="00000000" w:rsidP="00ED48A3">
      <w:pPr>
        <w:ind w:left="0" w:firstLine="0"/>
        <w:rPr>
          <w:del w:id="577" w:author="AbbVie1" w:date="2025-05-13T09:50:00Z"/>
        </w:rPr>
      </w:pPr>
      <w:del w:id="578" w:author="AbbVie1" w:date="2025-05-13T09:50:00Z">
        <w:r w:rsidRPr="001B4A02">
          <w:delText>Obdobná protilátková odpověď na standardní 23složkovou pneumokokovou vakcínu</w:delText>
        </w:r>
        <w:r w:rsidR="002378E0">
          <w:delText xml:space="preserve"> a </w:delText>
        </w:r>
        <w:r w:rsidRPr="001B4A02">
          <w:delText>třísložkovou virovou vakcínu proti chřipce byla pozorována ve studii s 226 dospělými subjekty s revmatoidní artritidou, kte</w:delText>
        </w:r>
        <w:r w:rsidR="002A321C">
          <w:delText>ré</w:delText>
        </w:r>
        <w:r w:rsidRPr="001B4A02">
          <w:delText xml:space="preserve"> byl</w:delText>
        </w:r>
        <w:r w:rsidR="002A321C">
          <w:delText>y</w:delText>
        </w:r>
        <w:r w:rsidRPr="001B4A02">
          <w:delText xml:space="preserve"> léčen</w:delText>
        </w:r>
        <w:r w:rsidR="002A321C">
          <w:delText>y</w:delText>
        </w:r>
        <w:r w:rsidRPr="001B4A02">
          <w:delText xml:space="preserve"> adalimumabem nebo placebem. Nejsou k dispozici žádné údaje, týkající se sekundárního přenosu infekce v důsledku živé vakcíny u pacientů léčených přípravkem Humira.</w:delText>
        </w:r>
      </w:del>
    </w:p>
    <w:p w14:paraId="337BC8B9" w14:textId="77777777" w:rsidR="00073F8F" w:rsidRPr="001B4A02" w:rsidRDefault="00073F8F" w:rsidP="00ED48A3">
      <w:pPr>
        <w:ind w:left="0" w:firstLine="0"/>
        <w:rPr>
          <w:del w:id="579" w:author="AbbVie1" w:date="2025-05-13T09:50:00Z"/>
          <w:u w:val="single"/>
        </w:rPr>
      </w:pPr>
    </w:p>
    <w:p w14:paraId="2ED034E7" w14:textId="77777777" w:rsidR="00073F8F" w:rsidRPr="001B4A02" w:rsidRDefault="00000000" w:rsidP="00ED48A3">
      <w:pPr>
        <w:pStyle w:val="EMEANormal"/>
        <w:tabs>
          <w:tab w:val="clear" w:pos="562"/>
        </w:tabs>
        <w:suppressAutoHyphens w:val="0"/>
        <w:rPr>
          <w:del w:id="580" w:author="AbbVie1" w:date="2025-05-13T09:50:00Z"/>
          <w:lang w:val="cs-CZ"/>
        </w:rPr>
      </w:pPr>
      <w:del w:id="581" w:author="AbbVie1" w:date="2025-05-13T09:50:00Z">
        <w:r w:rsidRPr="001B4A02">
          <w:rPr>
            <w:lang w:val="cs-CZ"/>
          </w:rPr>
          <w:delText xml:space="preserve">Doporučuje se, aby </w:delText>
        </w:r>
        <w:r w:rsidR="00602025" w:rsidRPr="001B4A02">
          <w:rPr>
            <w:lang w:val="cs-CZ"/>
          </w:rPr>
          <w:delText xml:space="preserve">pediatričtí </w:delText>
        </w:r>
        <w:r w:rsidRPr="001B4A02">
          <w:rPr>
            <w:lang w:val="cs-CZ"/>
          </w:rPr>
          <w:delText>pacienti absolvovali pokud možno všechna doporučená očkování v souladu se současnými vakcinačními směrnicemi ještě před zahájením léčby přípravkem Humira.</w:delText>
        </w:r>
      </w:del>
    </w:p>
    <w:p w14:paraId="048A57A4" w14:textId="77777777" w:rsidR="00073F8F" w:rsidRPr="001B4A02" w:rsidRDefault="00073F8F" w:rsidP="00ED48A3">
      <w:pPr>
        <w:ind w:left="0" w:firstLine="0"/>
        <w:rPr>
          <w:del w:id="582" w:author="AbbVie1" w:date="2025-05-13T09:50:00Z"/>
          <w:highlight w:val="yellow"/>
        </w:rPr>
      </w:pPr>
    </w:p>
    <w:p w14:paraId="4A50DA43" w14:textId="77777777" w:rsidR="00073F8F" w:rsidRPr="001B4A02" w:rsidRDefault="00000000" w:rsidP="00ED48A3">
      <w:pPr>
        <w:ind w:left="0" w:firstLine="0"/>
        <w:rPr>
          <w:del w:id="583" w:author="AbbVie1" w:date="2025-05-13T09:50:00Z"/>
        </w:rPr>
      </w:pPr>
      <w:del w:id="584" w:author="AbbVie1" w:date="2025-05-13T09:50:00Z">
        <w:r w:rsidRPr="001B4A02">
          <w:delText>Pacienti léčení přípravkem Humira mohou být souběžně očkováni, s výjimkou očkování živými vakcínami.</w:delText>
        </w:r>
        <w:r w:rsidR="003C132C" w:rsidRPr="001B4A02">
          <w:delText xml:space="preserve"> Podávání živých vakcín</w:delText>
        </w:r>
        <w:r w:rsidR="00BA3861">
          <w:delText xml:space="preserve"> (např. BCG vakcín) </w:delText>
        </w:r>
        <w:r w:rsidR="003C132C" w:rsidRPr="001B4A02">
          <w:delText>se nedoporučuje u</w:delText>
        </w:r>
        <w:r w:rsidR="00B35332" w:rsidRPr="001B4A02">
          <w:delText> </w:delText>
        </w:r>
        <w:r w:rsidR="003C132C" w:rsidRPr="001B4A02">
          <w:delText>dětí, které byly adalimumabu vystaveny in utero,</w:delText>
        </w:r>
        <w:r w:rsidR="002378E0">
          <w:delText xml:space="preserve"> a </w:delText>
        </w:r>
        <w:r w:rsidR="003C132C" w:rsidRPr="001B4A02">
          <w:delText>to po dobu 5 měsíců od poslední dávky adalimumabu, jež byla matce během těhotenství podána.</w:delText>
        </w:r>
      </w:del>
    </w:p>
    <w:p w14:paraId="1AD21236" w14:textId="77777777" w:rsidR="00073F8F" w:rsidRPr="001B4A02" w:rsidRDefault="00073F8F" w:rsidP="00ED48A3">
      <w:pPr>
        <w:ind w:left="0" w:firstLine="0"/>
        <w:rPr>
          <w:del w:id="585" w:author="AbbVie1" w:date="2025-05-13T09:50:00Z"/>
          <w:u w:val="single"/>
        </w:rPr>
      </w:pPr>
    </w:p>
    <w:p w14:paraId="08115B3E" w14:textId="77777777" w:rsidR="00073F8F" w:rsidRPr="001B4A02" w:rsidRDefault="00000000" w:rsidP="00D84336">
      <w:pPr>
        <w:keepNext/>
        <w:ind w:left="0" w:firstLine="0"/>
        <w:rPr>
          <w:del w:id="586" w:author="AbbVie1" w:date="2025-05-13T09:50:00Z"/>
        </w:rPr>
      </w:pPr>
      <w:del w:id="587" w:author="AbbVie1" w:date="2025-05-13T09:50:00Z">
        <w:r w:rsidRPr="001B4A02">
          <w:rPr>
            <w:u w:val="single"/>
          </w:rPr>
          <w:delText>Městnavé srdeční selhání</w:delText>
        </w:r>
      </w:del>
    </w:p>
    <w:p w14:paraId="1CE600CA" w14:textId="77777777" w:rsidR="00073F8F" w:rsidRPr="001B4A02" w:rsidRDefault="00073F8F" w:rsidP="00D84336">
      <w:pPr>
        <w:keepNext/>
        <w:ind w:left="0" w:firstLine="0"/>
        <w:rPr>
          <w:del w:id="588" w:author="AbbVie1" w:date="2025-05-13T09:50:00Z"/>
        </w:rPr>
      </w:pPr>
    </w:p>
    <w:p w14:paraId="3EB8FFC1" w14:textId="77777777" w:rsidR="00073F8F" w:rsidRPr="001B4A02" w:rsidRDefault="00000000" w:rsidP="00ED48A3">
      <w:pPr>
        <w:ind w:left="0" w:firstLine="0"/>
        <w:rPr>
          <w:del w:id="589" w:author="AbbVie1" w:date="2025-05-13T09:50:00Z"/>
        </w:rPr>
      </w:pPr>
      <w:del w:id="590" w:author="AbbVie1" w:date="2025-05-13T09:50:00Z">
        <w:r w:rsidRPr="001B4A02">
          <w:delText>V klinické studii s jiným antagonistou TNF bylo pozorováno zhoršení městnavého srdečního selhání</w:delText>
        </w:r>
        <w:r w:rsidR="002378E0">
          <w:delText xml:space="preserve"> a </w:delText>
        </w:r>
        <w:r w:rsidRPr="001B4A02">
          <w:delText xml:space="preserve">zvýšení mortality na městnavé srdeční selhání. Případy zhoršení </w:delText>
        </w:r>
        <w:r w:rsidRPr="001B4A02">
          <w:rPr>
            <w:szCs w:val="24"/>
          </w:rPr>
          <w:delText xml:space="preserve">městnavého srdečního selhání byly rovněž popsány u pacientů léčených přípravkem Humira. </w:delText>
        </w:r>
        <w:r w:rsidRPr="001B4A02">
          <w:delText>U pacientů s</w:delText>
        </w:r>
        <w:r w:rsidR="00B35332" w:rsidRPr="001B4A02">
          <w:delText> </w:delText>
        </w:r>
        <w:r w:rsidRPr="001B4A02">
          <w:delText>mírným srdečním selháním (třída I/II podle NYHA) se musí přípravek Humira podávat s opatrností. Přípravek Humira je kontraindikován u</w:delText>
        </w:r>
        <w:r w:rsidR="00B35332" w:rsidRPr="001B4A02">
          <w:delText> </w:delText>
        </w:r>
        <w:r w:rsidRPr="001B4A02">
          <w:delText>středně těžkého až těžkého srdečního selhání (viz bod 4.3). U pacientů, u kterých dojde k</w:delText>
        </w:r>
        <w:r w:rsidR="00B35332" w:rsidRPr="001B4A02">
          <w:delText> </w:delText>
        </w:r>
        <w:r w:rsidRPr="001B4A02">
          <w:delText>rozvoji nebo zhoršení příznaků městnavého srdečního selhání, musí být léčba přípravkem Humira ukončena.</w:delText>
        </w:r>
      </w:del>
    </w:p>
    <w:p w14:paraId="5A3855B2" w14:textId="77777777" w:rsidR="00073F8F" w:rsidRPr="001B4A02" w:rsidRDefault="00073F8F" w:rsidP="00ED48A3">
      <w:pPr>
        <w:ind w:left="0" w:firstLine="0"/>
        <w:rPr>
          <w:del w:id="591" w:author="AbbVie1" w:date="2025-05-13T09:50:00Z"/>
          <w:u w:val="single"/>
        </w:rPr>
      </w:pPr>
    </w:p>
    <w:p w14:paraId="3E3C6B8D" w14:textId="77777777" w:rsidR="00073F8F" w:rsidRPr="001B4A02" w:rsidRDefault="00000000" w:rsidP="00ED48A3">
      <w:pPr>
        <w:keepNext/>
        <w:ind w:left="0" w:firstLine="0"/>
        <w:rPr>
          <w:del w:id="592" w:author="AbbVie1" w:date="2025-05-13T09:50:00Z"/>
        </w:rPr>
      </w:pPr>
      <w:del w:id="593" w:author="AbbVie1" w:date="2025-05-13T09:50:00Z">
        <w:r w:rsidRPr="001B4A02">
          <w:rPr>
            <w:u w:val="single"/>
          </w:rPr>
          <w:delText>Autoimunitní procesy</w:delText>
        </w:r>
      </w:del>
    </w:p>
    <w:p w14:paraId="2EF6CA8E" w14:textId="77777777" w:rsidR="00073F8F" w:rsidRPr="001B4A02" w:rsidRDefault="00073F8F" w:rsidP="00ED48A3">
      <w:pPr>
        <w:keepNext/>
        <w:ind w:left="0" w:firstLine="0"/>
        <w:rPr>
          <w:del w:id="594" w:author="AbbVie1" w:date="2025-05-13T09:50:00Z"/>
        </w:rPr>
      </w:pPr>
    </w:p>
    <w:p w14:paraId="4CC56441" w14:textId="77777777" w:rsidR="00073F8F" w:rsidRPr="001B4A02" w:rsidRDefault="00000000" w:rsidP="00BD4EAC">
      <w:pPr>
        <w:ind w:left="0" w:firstLine="0"/>
        <w:rPr>
          <w:del w:id="595" w:author="AbbVie1" w:date="2025-05-13T09:50:00Z"/>
        </w:rPr>
      </w:pPr>
      <w:del w:id="596" w:author="AbbVie1" w:date="2025-05-13T09:50:00Z">
        <w:r w:rsidRPr="001B4A02">
          <w:delText>Léčba přípravkem Humira může vést ke tvorbě autoimunitních protilátek. Dopad dlouhodobé léčby přípravkem Humira na rozvoj autoimunitních onemocnění není znám. Jestliže se u pacienta v souvislosti s léčbou přípravkem Humira vyvinou symptomy, svědčící pro lupus-like syndrom</w:delText>
        </w:r>
        <w:r w:rsidR="002378E0">
          <w:delText xml:space="preserve"> a </w:delText>
        </w:r>
        <w:r w:rsidRPr="001B4A02">
          <w:delText>má-li pozitivní protilátky proti dvoušroubovici DNA, pak u něj léčba přípravkem Humira nesmí dále pokračovat (viz bod 4.8).</w:delText>
        </w:r>
      </w:del>
    </w:p>
    <w:p w14:paraId="4BA3F412" w14:textId="77777777" w:rsidR="00073F8F" w:rsidRPr="001B4A02" w:rsidRDefault="00073F8F" w:rsidP="00BD4EAC">
      <w:pPr>
        <w:ind w:left="0" w:firstLine="0"/>
        <w:rPr>
          <w:del w:id="597" w:author="AbbVie1" w:date="2025-05-13T09:50:00Z"/>
        </w:rPr>
      </w:pPr>
    </w:p>
    <w:p w14:paraId="6BD723F0" w14:textId="77777777" w:rsidR="00073F8F" w:rsidRPr="001B4A02" w:rsidRDefault="00000000" w:rsidP="00D84336">
      <w:pPr>
        <w:keepNext/>
        <w:ind w:left="0" w:firstLine="0"/>
        <w:rPr>
          <w:del w:id="598" w:author="AbbVie1" w:date="2025-05-13T09:50:00Z"/>
        </w:rPr>
      </w:pPr>
      <w:del w:id="599" w:author="AbbVie1" w:date="2025-05-13T09:50:00Z">
        <w:r w:rsidRPr="001B4A02">
          <w:rPr>
            <w:u w:val="single"/>
          </w:rPr>
          <w:delText xml:space="preserve">Současné podávání </w:delText>
        </w:r>
        <w:r w:rsidR="003C132C" w:rsidRPr="001B4A02">
          <w:rPr>
            <w:u w:val="single"/>
          </w:rPr>
          <w:delText xml:space="preserve">biologických DMARD nebo </w:delText>
        </w:r>
        <w:r w:rsidRPr="001B4A02">
          <w:rPr>
            <w:u w:val="single"/>
          </w:rPr>
          <w:delText>antagonistů TNF</w:delText>
        </w:r>
      </w:del>
    </w:p>
    <w:p w14:paraId="378AA061" w14:textId="77777777" w:rsidR="00073F8F" w:rsidRPr="001B4A02" w:rsidRDefault="00073F8F" w:rsidP="00D84336">
      <w:pPr>
        <w:pStyle w:val="EMEANormal"/>
        <w:keepNext/>
        <w:tabs>
          <w:tab w:val="clear" w:pos="562"/>
        </w:tabs>
        <w:suppressAutoHyphens w:val="0"/>
        <w:rPr>
          <w:del w:id="600" w:author="AbbVie1" w:date="2025-05-13T09:50:00Z"/>
          <w:lang w:val="cs-CZ"/>
        </w:rPr>
      </w:pPr>
    </w:p>
    <w:p w14:paraId="5C377C2F" w14:textId="77777777" w:rsidR="00073F8F" w:rsidRPr="001B4A02" w:rsidRDefault="00000000" w:rsidP="00ED48A3">
      <w:pPr>
        <w:ind w:left="0" w:firstLine="0"/>
        <w:rPr>
          <w:del w:id="601" w:author="AbbVie1" w:date="2025-05-13T09:50:00Z"/>
        </w:rPr>
      </w:pPr>
      <w:del w:id="602" w:author="AbbVie1" w:date="2025-05-13T09:50:00Z">
        <w:r w:rsidRPr="001B4A02">
          <w:rPr>
            <w:szCs w:val="24"/>
          </w:rPr>
          <w:delText>V klinických studiích sledujících současné podávání anakinry</w:delText>
        </w:r>
        <w:r w:rsidR="002378E0">
          <w:rPr>
            <w:szCs w:val="24"/>
          </w:rPr>
          <w:delText xml:space="preserve"> a </w:delText>
        </w:r>
        <w:r w:rsidRPr="001B4A02">
          <w:rPr>
            <w:szCs w:val="24"/>
          </w:rPr>
          <w:delText>dalšího antagonisty TNF – etanerceptu, byly pozorovány závažné infekce, přičemž nebyl zjištěn žádný další klinický přínos v porovnání s monoterapií etanerceptem. Vzhledem k původu nežádoucích účinků pozorovaných při kombinované léčbě etanerceptem</w:delText>
        </w:r>
        <w:r w:rsidR="002378E0">
          <w:rPr>
            <w:szCs w:val="24"/>
          </w:rPr>
          <w:delText xml:space="preserve"> a </w:delText>
        </w:r>
        <w:r w:rsidRPr="001B4A02">
          <w:rPr>
            <w:szCs w:val="24"/>
          </w:rPr>
          <w:delText>anakinrou se mohou vyskytnout obdobné toxické projevy při podávání kombinace anakinry</w:delText>
        </w:r>
        <w:r w:rsidR="002378E0">
          <w:rPr>
            <w:szCs w:val="24"/>
          </w:rPr>
          <w:delText xml:space="preserve"> a </w:delText>
        </w:r>
        <w:r w:rsidRPr="001B4A02">
          <w:rPr>
            <w:szCs w:val="24"/>
          </w:rPr>
          <w:delText>jiných antagonistů TNF. Proto se nedoporučuje používat kombinaci adalimumabu</w:delText>
        </w:r>
        <w:r w:rsidR="002378E0">
          <w:rPr>
            <w:szCs w:val="24"/>
          </w:rPr>
          <w:delText xml:space="preserve"> a </w:delText>
        </w:r>
        <w:r w:rsidRPr="001B4A02">
          <w:rPr>
            <w:szCs w:val="24"/>
          </w:rPr>
          <w:delText>anakinry (viz bod 4.5).</w:delText>
        </w:r>
      </w:del>
    </w:p>
    <w:p w14:paraId="57A3F3D6" w14:textId="77777777" w:rsidR="00073F8F" w:rsidRPr="001B4A02" w:rsidRDefault="00073F8F" w:rsidP="00ED48A3">
      <w:pPr>
        <w:ind w:left="0" w:firstLine="0"/>
        <w:rPr>
          <w:del w:id="603" w:author="AbbVie1" w:date="2025-05-13T09:50:00Z"/>
          <w:u w:val="single"/>
        </w:rPr>
      </w:pPr>
    </w:p>
    <w:p w14:paraId="47CE2DA3" w14:textId="77777777" w:rsidR="00073F8F" w:rsidRPr="001B4A02" w:rsidRDefault="00000000" w:rsidP="00ED48A3">
      <w:pPr>
        <w:pStyle w:val="EMEANormal"/>
        <w:tabs>
          <w:tab w:val="clear" w:pos="562"/>
        </w:tabs>
        <w:suppressAutoHyphens w:val="0"/>
        <w:rPr>
          <w:del w:id="604" w:author="AbbVie1" w:date="2025-05-13T09:50:00Z"/>
          <w:lang w:val="cs-CZ"/>
        </w:rPr>
      </w:pPr>
      <w:del w:id="605" w:author="AbbVie1" w:date="2025-05-13T09:50:00Z">
        <w:r w:rsidRPr="001B4A02">
          <w:rPr>
            <w:lang w:val="cs-CZ"/>
          </w:rPr>
          <w:delText xml:space="preserve">Současné </w:delText>
        </w:r>
        <w:r w:rsidR="00D74EDA" w:rsidRPr="001B4A02">
          <w:rPr>
            <w:lang w:val="cs-CZ"/>
          </w:rPr>
          <w:delText>po</w:delText>
        </w:r>
        <w:r w:rsidRPr="001B4A02">
          <w:rPr>
            <w:lang w:val="cs-CZ"/>
          </w:rPr>
          <w:delText xml:space="preserve">užívání </w:delText>
        </w:r>
        <w:r w:rsidR="003C132C" w:rsidRPr="001B4A02">
          <w:rPr>
            <w:lang w:val="cs-CZ"/>
          </w:rPr>
          <w:delText>adalimumabu spolu s jinými biologickými DMARD (</w:delText>
        </w:r>
        <w:r w:rsidR="00CB040C" w:rsidRPr="001B4A02">
          <w:rPr>
            <w:lang w:val="cs-CZ"/>
          </w:rPr>
          <w:delText xml:space="preserve">např. </w:delText>
        </w:r>
        <w:r w:rsidR="002C5113" w:rsidRPr="001B4A02">
          <w:rPr>
            <w:lang w:val="cs-CZ"/>
          </w:rPr>
          <w:delText>anakinra</w:delText>
        </w:r>
        <w:r w:rsidR="002378E0">
          <w:rPr>
            <w:lang w:val="cs-CZ"/>
          </w:rPr>
          <w:delText xml:space="preserve"> a </w:delText>
        </w:r>
        <w:r w:rsidR="003C132C" w:rsidRPr="001B4A02">
          <w:rPr>
            <w:lang w:val="cs-CZ"/>
          </w:rPr>
          <w:delText>abatacept) nebo jinými</w:delText>
        </w:r>
        <w:r w:rsidRPr="001B4A02">
          <w:rPr>
            <w:lang w:val="cs-CZ"/>
          </w:rPr>
          <w:delText xml:space="preserve"> antagonist</w:delText>
        </w:r>
        <w:r w:rsidR="003C132C" w:rsidRPr="001B4A02">
          <w:rPr>
            <w:lang w:val="cs-CZ"/>
          </w:rPr>
          <w:delText>y</w:delText>
        </w:r>
        <w:r w:rsidRPr="001B4A02">
          <w:rPr>
            <w:lang w:val="cs-CZ"/>
          </w:rPr>
          <w:delText xml:space="preserve"> TNF</w:delText>
        </w:r>
        <w:r w:rsidR="003C132C" w:rsidRPr="001B4A02">
          <w:rPr>
            <w:lang w:val="cs-CZ"/>
          </w:rPr>
          <w:delText xml:space="preserve"> se nedoporučuje na základě možného </w:delText>
        </w:r>
        <w:r w:rsidRPr="001B4A02">
          <w:rPr>
            <w:lang w:val="cs-CZ"/>
          </w:rPr>
          <w:delText>zvýšen</w:delText>
        </w:r>
        <w:r w:rsidR="003C132C" w:rsidRPr="001B4A02">
          <w:rPr>
            <w:lang w:val="cs-CZ"/>
          </w:rPr>
          <w:delText>í</w:delText>
        </w:r>
        <w:r w:rsidRPr="001B4A02">
          <w:rPr>
            <w:lang w:val="cs-CZ"/>
          </w:rPr>
          <w:delText xml:space="preserve"> rizik</w:delText>
        </w:r>
        <w:r w:rsidR="003C132C" w:rsidRPr="001B4A02">
          <w:rPr>
            <w:lang w:val="cs-CZ"/>
          </w:rPr>
          <w:delText>a</w:delText>
        </w:r>
        <w:r w:rsidRPr="001B4A02">
          <w:rPr>
            <w:lang w:val="cs-CZ"/>
          </w:rPr>
          <w:delText xml:space="preserve"> infekcí včetně závažných infekcí, </w:delText>
        </w:r>
        <w:r w:rsidR="003C132C" w:rsidRPr="001B4A02">
          <w:rPr>
            <w:lang w:val="cs-CZ"/>
          </w:rPr>
          <w:delText xml:space="preserve">ale i možných farmakologických interakcí </w:delText>
        </w:r>
        <w:r w:rsidRPr="001B4A02">
          <w:rPr>
            <w:lang w:val="cs-CZ"/>
          </w:rPr>
          <w:delText>(viz bod 4.5).</w:delText>
        </w:r>
      </w:del>
    </w:p>
    <w:p w14:paraId="4BB99856" w14:textId="77777777" w:rsidR="00073F8F" w:rsidRPr="001B4A02" w:rsidRDefault="00073F8F" w:rsidP="00ED48A3">
      <w:pPr>
        <w:ind w:left="0" w:firstLine="0"/>
        <w:rPr>
          <w:del w:id="606" w:author="AbbVie1" w:date="2025-05-13T09:50:00Z"/>
        </w:rPr>
      </w:pPr>
    </w:p>
    <w:p w14:paraId="2A15F814" w14:textId="77777777" w:rsidR="00073F8F" w:rsidRPr="001B4A02" w:rsidRDefault="00000000" w:rsidP="00D84336">
      <w:pPr>
        <w:keepNext/>
        <w:rPr>
          <w:del w:id="607" w:author="AbbVie1" w:date="2025-05-13T09:50:00Z"/>
          <w:u w:val="single"/>
        </w:rPr>
      </w:pPr>
      <w:del w:id="608" w:author="AbbVie1" w:date="2025-05-13T09:50:00Z">
        <w:r w:rsidRPr="001B4A02">
          <w:rPr>
            <w:u w:val="single"/>
          </w:rPr>
          <w:delText>Chirurgické výkony</w:delText>
        </w:r>
      </w:del>
    </w:p>
    <w:p w14:paraId="27DAF321" w14:textId="77777777" w:rsidR="00073F8F" w:rsidRPr="001B4A02" w:rsidRDefault="00073F8F" w:rsidP="00D84336">
      <w:pPr>
        <w:keepNext/>
        <w:rPr>
          <w:del w:id="609" w:author="AbbVie1" w:date="2025-05-13T09:50:00Z"/>
          <w:u w:val="single"/>
        </w:rPr>
      </w:pPr>
    </w:p>
    <w:p w14:paraId="15AE06FE" w14:textId="77777777" w:rsidR="00073F8F" w:rsidRPr="001B4A02" w:rsidRDefault="00000000" w:rsidP="00ED48A3">
      <w:pPr>
        <w:ind w:left="0" w:firstLine="0"/>
        <w:rPr>
          <w:del w:id="610" w:author="AbbVie1" w:date="2025-05-13T09:50:00Z"/>
        </w:rPr>
      </w:pPr>
      <w:del w:id="611" w:author="AbbVie1" w:date="2025-05-13T09:50:00Z">
        <w:r w:rsidRPr="001B4A02">
          <w:delText>U pacientů léčených přípravkem Humira existují jen omezené zkušenosti týkající se bezpečnosti přípravku v souvislosti s chirurgickými výkony. Při plánování chirurgického výkonu je třeba vzít v úvahu dlouhý poločas adalimumabu. Pacient, u kterého je nutná operace během léčby přípravkem Humira, musí být pečlivě sledován z hlediska vzniku infekcí</w:delText>
        </w:r>
        <w:r w:rsidR="002378E0">
          <w:delText xml:space="preserve"> a </w:delText>
        </w:r>
        <w:r w:rsidRPr="001B4A02">
          <w:delText>musí být provedena příslušná opatření. U pacientů léčených přípravkem Humira, u kterých byla provedena arthroplastika, existují jen omezené zkušenosti týkající se bezpečnosti přípravku.</w:delText>
        </w:r>
      </w:del>
    </w:p>
    <w:p w14:paraId="504EF51F" w14:textId="77777777" w:rsidR="00073F8F" w:rsidRPr="001B4A02" w:rsidRDefault="00073F8F" w:rsidP="00ED48A3">
      <w:pPr>
        <w:ind w:left="0" w:firstLine="0"/>
        <w:rPr>
          <w:del w:id="612" w:author="AbbVie1" w:date="2025-05-13T09:50:00Z"/>
        </w:rPr>
      </w:pPr>
    </w:p>
    <w:p w14:paraId="001E7E9B" w14:textId="77777777" w:rsidR="00073F8F" w:rsidRPr="001B4A02" w:rsidRDefault="00000000" w:rsidP="00D84336">
      <w:pPr>
        <w:keepNext/>
        <w:ind w:left="0" w:firstLine="0"/>
        <w:rPr>
          <w:del w:id="613" w:author="AbbVie1" w:date="2025-05-13T09:50:00Z"/>
          <w:u w:val="single"/>
        </w:rPr>
      </w:pPr>
      <w:del w:id="614" w:author="AbbVie1" w:date="2025-05-13T09:50:00Z">
        <w:r w:rsidRPr="001B4A02">
          <w:rPr>
            <w:u w:val="single"/>
          </w:rPr>
          <w:delText>Obstrukce tenkého střeva</w:delText>
        </w:r>
      </w:del>
    </w:p>
    <w:p w14:paraId="2CEBB9B5" w14:textId="77777777" w:rsidR="00073F8F" w:rsidRPr="001B4A02" w:rsidRDefault="00073F8F" w:rsidP="00D84336">
      <w:pPr>
        <w:keepNext/>
        <w:ind w:left="0" w:firstLine="0"/>
        <w:rPr>
          <w:del w:id="615" w:author="AbbVie1" w:date="2025-05-13T09:50:00Z"/>
        </w:rPr>
      </w:pPr>
    </w:p>
    <w:p w14:paraId="6A400D79" w14:textId="77777777" w:rsidR="00073F8F" w:rsidRPr="001B4A02" w:rsidRDefault="00000000" w:rsidP="00ED48A3">
      <w:pPr>
        <w:ind w:left="0" w:firstLine="0"/>
        <w:rPr>
          <w:del w:id="616" w:author="AbbVie1" w:date="2025-05-13T09:50:00Z"/>
        </w:rPr>
      </w:pPr>
      <w:del w:id="617" w:author="AbbVie1" w:date="2025-05-13T09:50:00Z">
        <w:r w:rsidRPr="001B4A02">
          <w:delText>Selhání odpovědi na léčbu u</w:delText>
        </w:r>
        <w:r w:rsidR="00B35332" w:rsidRPr="001B4A02">
          <w:delText> </w:delText>
        </w:r>
        <w:r w:rsidRPr="001B4A02">
          <w:delText>Crohnovy choroby může signalizovat výskyt fixované fibrotické striktury, která si může vyžádat chirurgickou léčbu. Dostupné údaje naznačují, že přípravek Humira nezhoršuje ani nezpůsobuje striktury.</w:delText>
        </w:r>
      </w:del>
    </w:p>
    <w:p w14:paraId="3651D671" w14:textId="77777777" w:rsidR="00FE537F" w:rsidRPr="001B4A02" w:rsidRDefault="00FE537F" w:rsidP="00ED48A3">
      <w:pPr>
        <w:ind w:left="0" w:firstLine="0"/>
        <w:rPr>
          <w:del w:id="618" w:author="AbbVie1" w:date="2025-05-13T09:50:00Z"/>
        </w:rPr>
      </w:pPr>
    </w:p>
    <w:p w14:paraId="7C9C6DB6" w14:textId="77777777" w:rsidR="00FE537F" w:rsidRPr="001B4A02" w:rsidRDefault="00000000" w:rsidP="00D84336">
      <w:pPr>
        <w:keepNext/>
        <w:ind w:left="0" w:firstLine="0"/>
        <w:rPr>
          <w:del w:id="619" w:author="AbbVie1" w:date="2025-05-13T09:50:00Z"/>
          <w:u w:val="single"/>
        </w:rPr>
      </w:pPr>
      <w:del w:id="620" w:author="AbbVie1" w:date="2025-05-13T09:50:00Z">
        <w:r w:rsidRPr="001B4A02">
          <w:rPr>
            <w:u w:val="single"/>
          </w:rPr>
          <w:delText>Star</w:delText>
        </w:r>
        <w:r w:rsidR="009F20F8" w:rsidRPr="001B4A02">
          <w:rPr>
            <w:u w:val="single"/>
          </w:rPr>
          <w:delText xml:space="preserve">ší </w:delText>
        </w:r>
        <w:r w:rsidR="00990D20" w:rsidRPr="001B4A02">
          <w:rPr>
            <w:u w:val="single"/>
          </w:rPr>
          <w:delText>pacienti</w:delText>
        </w:r>
      </w:del>
    </w:p>
    <w:p w14:paraId="1829D5F5" w14:textId="77777777" w:rsidR="00D0073C" w:rsidRPr="001B4A02" w:rsidRDefault="00D0073C" w:rsidP="00D84336">
      <w:pPr>
        <w:keepNext/>
        <w:ind w:left="0" w:firstLine="0"/>
        <w:rPr>
          <w:del w:id="621" w:author="AbbVie1" w:date="2025-05-13T09:50:00Z"/>
        </w:rPr>
      </w:pPr>
    </w:p>
    <w:p w14:paraId="1801CEC7" w14:textId="77777777" w:rsidR="00FE537F" w:rsidRPr="001B4A02" w:rsidRDefault="00000000" w:rsidP="00ED48A3">
      <w:pPr>
        <w:ind w:left="0" w:firstLine="0"/>
        <w:rPr>
          <w:del w:id="622" w:author="AbbVie1" w:date="2025-05-13T09:50:00Z"/>
        </w:rPr>
      </w:pPr>
      <w:del w:id="623" w:author="AbbVie1" w:date="2025-05-13T09:50:00Z">
        <w:r w:rsidRPr="001B4A02">
          <w:delText>Frekvence závažných infekcí u</w:delText>
        </w:r>
        <w:r w:rsidR="00B35332" w:rsidRPr="001B4A02">
          <w:delText> </w:delText>
        </w:r>
        <w:r w:rsidRPr="001B4A02">
          <w:delText>pacientů ve věku nad 65 let (</w:delText>
        </w:r>
        <w:r w:rsidR="00D61849" w:rsidRPr="001B4A02">
          <w:delText>3,7</w:delText>
        </w:r>
        <w:r w:rsidR="006008CB">
          <w:delText> %</w:delText>
        </w:r>
        <w:r w:rsidRPr="001B4A02">
          <w:delText>)</w:delText>
        </w:r>
        <w:r w:rsidR="00A96EE8" w:rsidRPr="001B4A02">
          <w:delText>,</w:delText>
        </w:r>
        <w:r w:rsidRPr="001B4A02">
          <w:delText xml:space="preserve"> léčených přípravkem Humira, byl</w:delText>
        </w:r>
        <w:r w:rsidR="00B91FF7" w:rsidRPr="001B4A02">
          <w:delText>a</w:delText>
        </w:r>
        <w:r w:rsidRPr="001B4A02">
          <w:delText xml:space="preserve"> vyšší než u</w:delText>
        </w:r>
        <w:r w:rsidR="00B35332" w:rsidRPr="001B4A02">
          <w:delText> </w:delText>
        </w:r>
        <w:r w:rsidRPr="001B4A02">
          <w:delText>pacientů ve věku do 65 let (</w:delText>
        </w:r>
        <w:r w:rsidR="00D61849" w:rsidRPr="001B4A02">
          <w:delText>1,5</w:delText>
        </w:r>
        <w:r w:rsidR="006008CB">
          <w:delText> %</w:delText>
        </w:r>
        <w:r w:rsidRPr="001B4A02">
          <w:delText>).</w:delText>
        </w:r>
        <w:r w:rsidR="00B91FF7" w:rsidRPr="001B4A02">
          <w:delText xml:space="preserve"> </w:delText>
        </w:r>
        <w:r w:rsidR="0089668C" w:rsidRPr="001B4A02">
          <w:delText>Některé z těchto infekcí měly fatální zakončení</w:delText>
        </w:r>
        <w:r w:rsidR="00B91FF7" w:rsidRPr="001B4A02">
          <w:delText>. Při léčbě starších pacientů je zapotřebí věnovat obzvláštní p</w:delText>
        </w:r>
        <w:r w:rsidR="00B35332" w:rsidRPr="001B4A02">
          <w:delText>ozornost riziku vzniku infekcí.</w:delText>
        </w:r>
      </w:del>
    </w:p>
    <w:p w14:paraId="186679AB" w14:textId="77777777" w:rsidR="007128A7" w:rsidRPr="001B4A02" w:rsidRDefault="007128A7" w:rsidP="00ED48A3">
      <w:pPr>
        <w:ind w:left="0" w:firstLine="0"/>
        <w:rPr>
          <w:del w:id="624" w:author="AbbVie1" w:date="2025-05-13T09:50:00Z"/>
        </w:rPr>
      </w:pPr>
    </w:p>
    <w:p w14:paraId="2E5652A3" w14:textId="77777777" w:rsidR="007128A7" w:rsidRPr="001B4A02" w:rsidRDefault="00000000" w:rsidP="00D84336">
      <w:pPr>
        <w:keepNext/>
        <w:ind w:left="0" w:firstLine="0"/>
        <w:rPr>
          <w:del w:id="625" w:author="AbbVie1" w:date="2025-05-13T09:50:00Z"/>
          <w:u w:val="single"/>
        </w:rPr>
      </w:pPr>
      <w:del w:id="626" w:author="AbbVie1" w:date="2025-05-13T09:50:00Z">
        <w:r w:rsidRPr="001B4A02">
          <w:rPr>
            <w:u w:val="single"/>
          </w:rPr>
          <w:delText>Pediatrická populace</w:delText>
        </w:r>
      </w:del>
    </w:p>
    <w:p w14:paraId="40AD15ED" w14:textId="77777777" w:rsidR="007128A7" w:rsidRPr="001B4A02" w:rsidRDefault="007128A7" w:rsidP="00D84336">
      <w:pPr>
        <w:keepNext/>
        <w:ind w:left="0" w:firstLine="0"/>
        <w:rPr>
          <w:del w:id="627" w:author="AbbVie1" w:date="2025-05-13T09:50:00Z"/>
        </w:rPr>
      </w:pPr>
    </w:p>
    <w:p w14:paraId="4B2EEF5A" w14:textId="77777777" w:rsidR="007128A7" w:rsidRPr="001B4A02" w:rsidRDefault="00000000" w:rsidP="00ED48A3">
      <w:pPr>
        <w:ind w:left="0" w:firstLine="0"/>
        <w:rPr>
          <w:del w:id="628" w:author="AbbVie1" w:date="2025-05-13T09:50:00Z"/>
        </w:rPr>
      </w:pPr>
      <w:del w:id="629" w:author="AbbVie1" w:date="2025-05-13T09:50:00Z">
        <w:r w:rsidRPr="001B4A02">
          <w:delText>Viz Očkování výše.</w:delText>
        </w:r>
      </w:del>
    </w:p>
    <w:p w14:paraId="62A129C2" w14:textId="77777777" w:rsidR="00494B64" w:rsidRPr="001B4A02" w:rsidRDefault="00494B64" w:rsidP="00ED48A3">
      <w:pPr>
        <w:ind w:left="0" w:firstLine="0"/>
        <w:rPr>
          <w:del w:id="630" w:author="AbbVie1" w:date="2025-05-13T09:50:00Z"/>
        </w:rPr>
      </w:pPr>
    </w:p>
    <w:p w14:paraId="5BCBDE0D" w14:textId="77777777" w:rsidR="00494B64" w:rsidRPr="001B4A02" w:rsidRDefault="00000000" w:rsidP="00D84336">
      <w:pPr>
        <w:keepNext/>
        <w:ind w:left="0" w:firstLine="0"/>
        <w:rPr>
          <w:del w:id="631" w:author="AbbVie1" w:date="2025-05-13T09:50:00Z"/>
          <w:u w:val="single"/>
        </w:rPr>
      </w:pPr>
      <w:del w:id="632" w:author="AbbVie1" w:date="2025-05-13T09:50:00Z">
        <w:r w:rsidRPr="001B4A02">
          <w:rPr>
            <w:u w:val="single"/>
          </w:rPr>
          <w:delText>Pomocné látky</w:delText>
        </w:r>
        <w:r w:rsidR="009F1BE2" w:rsidRPr="001B4A02">
          <w:rPr>
            <w:u w:val="single"/>
          </w:rPr>
          <w:delText xml:space="preserve"> se známým účinkem</w:delText>
        </w:r>
      </w:del>
    </w:p>
    <w:p w14:paraId="37128C1D" w14:textId="77777777" w:rsidR="00494B64" w:rsidRPr="001B4A02" w:rsidRDefault="00494B64" w:rsidP="00D84336">
      <w:pPr>
        <w:keepNext/>
        <w:ind w:left="0" w:firstLine="0"/>
        <w:rPr>
          <w:del w:id="633" w:author="AbbVie1" w:date="2025-05-13T09:50:00Z"/>
        </w:rPr>
      </w:pPr>
    </w:p>
    <w:p w14:paraId="5D9603E2" w14:textId="77777777" w:rsidR="00494B64" w:rsidRPr="001B4A02" w:rsidRDefault="00000000" w:rsidP="00ED48A3">
      <w:pPr>
        <w:ind w:left="0" w:firstLine="0"/>
        <w:rPr>
          <w:del w:id="634" w:author="AbbVie1" w:date="2025-05-13T09:50:00Z"/>
        </w:rPr>
      </w:pPr>
      <w:del w:id="635" w:author="AbbVie1" w:date="2025-05-13T09:50:00Z">
        <w:r w:rsidRPr="001B4A02">
          <w:delText xml:space="preserve">Tento léčivý přípravek obsahuje méně než 1 mmol sodíku (23 mg) na dávku 0,8 ml, </w:delText>
        </w:r>
        <w:r w:rsidR="00607A13" w:rsidRPr="001B4A02">
          <w:delText>tj. v</w:delText>
        </w:r>
        <w:r w:rsidR="00E07E66" w:rsidRPr="001B4A02">
          <w:delText> </w:delText>
        </w:r>
        <w:r w:rsidR="00607A13" w:rsidRPr="001B4A02">
          <w:delText>podstatě je</w:delText>
        </w:r>
        <w:r w:rsidRPr="001B4A02">
          <w:delText xml:space="preserve"> „bez sodíku“.</w:delText>
        </w:r>
      </w:del>
    </w:p>
    <w:p w14:paraId="5F1FDCA7" w14:textId="77777777" w:rsidR="00073F8F" w:rsidRPr="001B4A02" w:rsidRDefault="00073F8F" w:rsidP="00ED48A3">
      <w:pPr>
        <w:ind w:left="0" w:firstLine="0"/>
        <w:rPr>
          <w:del w:id="636" w:author="AbbVie1" w:date="2025-05-13T09:50:00Z"/>
        </w:rPr>
      </w:pPr>
    </w:p>
    <w:p w14:paraId="6460CD8E" w14:textId="77777777" w:rsidR="00073F8F" w:rsidRPr="001B4A02" w:rsidRDefault="00000000" w:rsidP="000A5426">
      <w:pPr>
        <w:keepNext/>
        <w:outlineLvl w:val="1"/>
        <w:rPr>
          <w:del w:id="637" w:author="AbbVie1" w:date="2025-05-13T09:50:00Z"/>
          <w:b/>
        </w:rPr>
      </w:pPr>
      <w:del w:id="638" w:author="AbbVie1" w:date="2025-05-13T09:50:00Z">
        <w:r>
          <w:rPr>
            <w:b/>
          </w:rPr>
          <w:delText>4.5</w:delText>
        </w:r>
        <w:r>
          <w:rPr>
            <w:b/>
          </w:rPr>
          <w:tab/>
        </w:r>
        <w:r w:rsidRPr="001B4A02">
          <w:rPr>
            <w:b/>
          </w:rPr>
          <w:delText>Interakce s jinými léčivými přípravky</w:delText>
        </w:r>
        <w:r w:rsidR="002378E0">
          <w:rPr>
            <w:b/>
          </w:rPr>
          <w:delText xml:space="preserve"> a </w:delText>
        </w:r>
        <w:r w:rsidRPr="001B4A02">
          <w:rPr>
            <w:b/>
          </w:rPr>
          <w:delText>jiné formy interakce</w:delText>
        </w:r>
      </w:del>
    </w:p>
    <w:p w14:paraId="70BAA716" w14:textId="77777777" w:rsidR="00073F8F" w:rsidRPr="001B4A02" w:rsidRDefault="00073F8F" w:rsidP="00D84336">
      <w:pPr>
        <w:keepNext/>
        <w:ind w:left="0" w:firstLine="0"/>
        <w:rPr>
          <w:del w:id="639" w:author="AbbVie1" w:date="2025-05-13T09:50:00Z"/>
        </w:rPr>
      </w:pPr>
    </w:p>
    <w:p w14:paraId="43A8E36A" w14:textId="77777777" w:rsidR="00073F8F" w:rsidRPr="001B4A02" w:rsidRDefault="00000000" w:rsidP="00ED48A3">
      <w:pPr>
        <w:ind w:left="0" w:firstLine="0"/>
        <w:rPr>
          <w:del w:id="640" w:author="AbbVie1" w:date="2025-05-13T09:50:00Z"/>
        </w:rPr>
      </w:pPr>
      <w:del w:id="641" w:author="AbbVie1" w:date="2025-05-13T09:50:00Z">
        <w:r w:rsidRPr="001B4A02">
          <w:delText>Přípravek Humira byl studován u pacientů s revmatoidní artritidou, polyartikulární juvenilní id</w:delText>
        </w:r>
        <w:r w:rsidR="009142FA" w:rsidRPr="001B4A02">
          <w:delText>i</w:delText>
        </w:r>
        <w:r w:rsidRPr="001B4A02">
          <w:delText>opatickou artritidou</w:delText>
        </w:r>
        <w:r w:rsidR="002378E0">
          <w:delText xml:space="preserve"> a </w:delText>
        </w:r>
        <w:r w:rsidRPr="001B4A02">
          <w:delText>psoriatickou artritidou, u kterých byl podáván v monoterapii nebo v kombinaci s methotrexátem. Při podávání přípravku Humira v kombinaci s methotrexátem byla v porovnání s monoterapií tvorba protilátek nižší. Podávání přípravku Humira bez methotrexátu vedlo ke zvýšené tvorbě protilátek, zvýšené clearance</w:delText>
        </w:r>
        <w:r w:rsidR="002378E0">
          <w:delText xml:space="preserve"> a </w:delText>
        </w:r>
        <w:r w:rsidRPr="001B4A02">
          <w:delText>snížené účinnosti adalimumabu (viz bod 5.1).</w:delText>
        </w:r>
      </w:del>
    </w:p>
    <w:p w14:paraId="41292D0E" w14:textId="77777777" w:rsidR="00073F8F" w:rsidRPr="001B4A02" w:rsidRDefault="00073F8F" w:rsidP="00ED48A3">
      <w:pPr>
        <w:ind w:left="0" w:firstLine="0"/>
        <w:rPr>
          <w:del w:id="642" w:author="AbbVie1" w:date="2025-05-13T09:50:00Z"/>
        </w:rPr>
      </w:pPr>
    </w:p>
    <w:p w14:paraId="63B239DE" w14:textId="77777777" w:rsidR="00073F8F" w:rsidRPr="001B4A02" w:rsidRDefault="00000000" w:rsidP="00ED48A3">
      <w:pPr>
        <w:ind w:left="0" w:firstLine="0"/>
        <w:rPr>
          <w:del w:id="643" w:author="AbbVie1" w:date="2025-05-13T09:50:00Z"/>
        </w:rPr>
      </w:pPr>
      <w:del w:id="644" w:author="AbbVie1" w:date="2025-05-13T09:50:00Z">
        <w:r w:rsidRPr="001B4A02">
          <w:delText>Kombinovat přípravek Humira s</w:delText>
        </w:r>
        <w:r w:rsidR="00B35332" w:rsidRPr="001B4A02">
          <w:delText> </w:delText>
        </w:r>
        <w:r w:rsidRPr="001B4A02">
          <w:delText xml:space="preserve">anakinrou se nedoporučuje (viz bod 4.4 „Současné podávání </w:delText>
        </w:r>
        <w:r w:rsidR="007128A7" w:rsidRPr="001B4A02">
          <w:delText xml:space="preserve">biologických </w:delText>
        </w:r>
        <w:r w:rsidR="00D74EDA" w:rsidRPr="001B4A02">
          <w:delText xml:space="preserve">DMARD </w:delText>
        </w:r>
        <w:r w:rsidR="007128A7" w:rsidRPr="001B4A02">
          <w:delText xml:space="preserve">nebo </w:delText>
        </w:r>
        <w:r w:rsidRPr="001B4A02">
          <w:delText>antagonistů TNF</w:delText>
        </w:r>
        <w:r w:rsidR="00251CED" w:rsidRPr="001B4A02">
          <w:delText>“</w:delText>
        </w:r>
        <w:r w:rsidRPr="001B4A02">
          <w:delText>).</w:delText>
        </w:r>
      </w:del>
    </w:p>
    <w:p w14:paraId="4762D3F0" w14:textId="77777777" w:rsidR="00073F8F" w:rsidRPr="001B4A02" w:rsidRDefault="00073F8F" w:rsidP="00ED48A3">
      <w:pPr>
        <w:ind w:left="0" w:firstLine="0"/>
        <w:rPr>
          <w:del w:id="645" w:author="AbbVie1" w:date="2025-05-13T09:50:00Z"/>
        </w:rPr>
      </w:pPr>
    </w:p>
    <w:p w14:paraId="3569734F" w14:textId="77777777" w:rsidR="00073F8F" w:rsidRPr="001B4A02" w:rsidRDefault="00000000" w:rsidP="00ED48A3">
      <w:pPr>
        <w:ind w:left="0" w:firstLine="0"/>
        <w:rPr>
          <w:del w:id="646" w:author="AbbVie1" w:date="2025-05-13T09:50:00Z"/>
        </w:rPr>
      </w:pPr>
      <w:del w:id="647" w:author="AbbVie1" w:date="2025-05-13T09:50:00Z">
        <w:r w:rsidRPr="001B4A02">
          <w:delText>Kombinovat přípravek Humira s</w:delText>
        </w:r>
        <w:r w:rsidR="00B35332" w:rsidRPr="001B4A02">
          <w:delText> </w:delText>
        </w:r>
        <w:r w:rsidRPr="001B4A02">
          <w:delText xml:space="preserve">abataceptem se nedoporučuje (viz bod 4.4 „Současné </w:delText>
        </w:r>
        <w:r w:rsidR="00E662F3" w:rsidRPr="001B4A02">
          <w:delText>podávání</w:delText>
        </w:r>
        <w:r w:rsidRPr="001B4A02">
          <w:delText xml:space="preserve"> </w:delText>
        </w:r>
        <w:r w:rsidR="007128A7" w:rsidRPr="001B4A02">
          <w:delText xml:space="preserve">biologických </w:delText>
        </w:r>
        <w:r w:rsidR="00D74EDA" w:rsidRPr="001B4A02">
          <w:delText xml:space="preserve">DMARD </w:delText>
        </w:r>
        <w:r w:rsidR="007128A7" w:rsidRPr="001B4A02">
          <w:delText xml:space="preserve">nebo </w:delText>
        </w:r>
        <w:r w:rsidRPr="001B4A02">
          <w:delText>antagonistů TNF</w:delText>
        </w:r>
        <w:r w:rsidR="00251CED" w:rsidRPr="001B4A02">
          <w:delText>“</w:delText>
        </w:r>
        <w:r w:rsidRPr="001B4A02">
          <w:delText>).</w:delText>
        </w:r>
      </w:del>
    </w:p>
    <w:p w14:paraId="29795E5D" w14:textId="77777777" w:rsidR="00073F8F" w:rsidRPr="001B4A02" w:rsidRDefault="00073F8F" w:rsidP="00ED48A3">
      <w:pPr>
        <w:ind w:left="0" w:firstLine="0"/>
        <w:rPr>
          <w:del w:id="648" w:author="AbbVie1" w:date="2025-05-13T09:50:00Z"/>
        </w:rPr>
      </w:pPr>
    </w:p>
    <w:p w14:paraId="3025E642" w14:textId="77777777" w:rsidR="00073F8F" w:rsidRPr="001B4A02" w:rsidRDefault="00000000" w:rsidP="000A5426">
      <w:pPr>
        <w:keepNext/>
        <w:outlineLvl w:val="1"/>
        <w:rPr>
          <w:del w:id="649" w:author="AbbVie1" w:date="2025-05-13T09:50:00Z"/>
          <w:b/>
        </w:rPr>
      </w:pPr>
      <w:del w:id="650" w:author="AbbVie1" w:date="2025-05-13T09:50:00Z">
        <w:r>
          <w:rPr>
            <w:b/>
          </w:rPr>
          <w:delText>4.6</w:delText>
        </w:r>
        <w:r>
          <w:rPr>
            <w:b/>
          </w:rPr>
          <w:tab/>
        </w:r>
        <w:r w:rsidR="007128A7" w:rsidRPr="001B4A02">
          <w:rPr>
            <w:b/>
          </w:rPr>
          <w:delText>Fertilita, t</w:delText>
        </w:r>
        <w:r w:rsidRPr="001B4A02">
          <w:rPr>
            <w:b/>
          </w:rPr>
          <w:delText>ěhotenství</w:delText>
        </w:r>
        <w:r w:rsidR="002378E0">
          <w:rPr>
            <w:b/>
          </w:rPr>
          <w:delText xml:space="preserve"> a </w:delText>
        </w:r>
        <w:r w:rsidRPr="001B4A02">
          <w:rPr>
            <w:b/>
          </w:rPr>
          <w:delText>kojení</w:delText>
        </w:r>
      </w:del>
    </w:p>
    <w:p w14:paraId="38FF4EF7" w14:textId="77777777" w:rsidR="00073F8F" w:rsidRPr="001B4A02" w:rsidRDefault="00073F8F" w:rsidP="00D84336">
      <w:pPr>
        <w:keepNext/>
        <w:ind w:left="0" w:firstLine="0"/>
        <w:rPr>
          <w:del w:id="651" w:author="AbbVie1" w:date="2025-05-13T09:50:00Z"/>
        </w:rPr>
      </w:pPr>
    </w:p>
    <w:p w14:paraId="35851D2B" w14:textId="77777777" w:rsidR="00DF7E75" w:rsidRPr="001B4A02" w:rsidRDefault="00000000" w:rsidP="00D84336">
      <w:pPr>
        <w:keepNext/>
        <w:ind w:left="0" w:firstLine="0"/>
        <w:rPr>
          <w:del w:id="652" w:author="AbbVie1" w:date="2025-05-13T09:50:00Z"/>
          <w:u w:val="single"/>
        </w:rPr>
      </w:pPr>
      <w:del w:id="653" w:author="AbbVie1" w:date="2025-05-13T09:50:00Z">
        <w:r w:rsidRPr="001B4A02">
          <w:rPr>
            <w:u w:val="single"/>
          </w:rPr>
          <w:delText>Ženy ve fertilním věku</w:delText>
        </w:r>
      </w:del>
    </w:p>
    <w:p w14:paraId="4EBCC061" w14:textId="77777777" w:rsidR="00DF7E75" w:rsidRPr="001B4A02" w:rsidRDefault="00DF7E75" w:rsidP="00D84336">
      <w:pPr>
        <w:keepNext/>
        <w:ind w:left="0" w:firstLine="0"/>
        <w:rPr>
          <w:del w:id="654" w:author="AbbVie1" w:date="2025-05-13T09:50:00Z"/>
        </w:rPr>
      </w:pPr>
    </w:p>
    <w:p w14:paraId="3A2D2733" w14:textId="77777777" w:rsidR="00DF7E75" w:rsidRPr="001B4A02" w:rsidRDefault="00000000" w:rsidP="00ED48A3">
      <w:pPr>
        <w:ind w:left="0" w:firstLine="0"/>
        <w:rPr>
          <w:del w:id="655" w:author="AbbVie1" w:date="2025-05-13T09:50:00Z"/>
        </w:rPr>
      </w:pPr>
      <w:del w:id="656" w:author="AbbVie1" w:date="2025-05-13T09:50:00Z">
        <w:r>
          <w:delText>Ženy</w:delText>
        </w:r>
        <w:r w:rsidRPr="001B4A02">
          <w:delText xml:space="preserve"> ve fertilním věku </w:delText>
        </w:r>
        <w:r>
          <w:delText>mají zvážit použití vhodné antikoncepce k prevenci těhotenství</w:delText>
        </w:r>
        <w:r w:rsidR="002378E0">
          <w:delText xml:space="preserve"> a </w:delText>
        </w:r>
        <w:r>
          <w:delText>pokračovat v jejím užívání</w:delText>
        </w:r>
        <w:r w:rsidRPr="001B4A02">
          <w:delText xml:space="preserve"> po dobu nejméně pěti měsíců po posledním podání přípravku Humira.</w:delText>
        </w:r>
      </w:del>
    </w:p>
    <w:p w14:paraId="7145A0D2" w14:textId="77777777" w:rsidR="00DF7E75" w:rsidRPr="001B4A02" w:rsidRDefault="00DF7E75" w:rsidP="00ED48A3">
      <w:pPr>
        <w:ind w:left="0" w:firstLine="0"/>
        <w:rPr>
          <w:del w:id="657" w:author="AbbVie1" w:date="2025-05-13T09:50:00Z"/>
        </w:rPr>
      </w:pPr>
    </w:p>
    <w:p w14:paraId="17379B91" w14:textId="77777777" w:rsidR="002844B6" w:rsidRPr="001B4A02" w:rsidRDefault="00000000" w:rsidP="00527B4A">
      <w:pPr>
        <w:keepNext/>
        <w:ind w:left="0" w:firstLine="0"/>
        <w:rPr>
          <w:del w:id="658" w:author="AbbVie1" w:date="2025-05-13T09:50:00Z"/>
          <w:u w:val="single"/>
        </w:rPr>
      </w:pPr>
      <w:del w:id="659" w:author="AbbVie1" w:date="2025-05-13T09:50:00Z">
        <w:r w:rsidRPr="001B4A02">
          <w:rPr>
            <w:u w:val="single"/>
          </w:rPr>
          <w:delText>Těhotenství</w:delText>
        </w:r>
      </w:del>
    </w:p>
    <w:p w14:paraId="4B57C624" w14:textId="77777777" w:rsidR="00607A13" w:rsidRPr="001B4A02" w:rsidRDefault="00607A13" w:rsidP="00527B4A">
      <w:pPr>
        <w:keepNext/>
        <w:ind w:left="0" w:firstLine="0"/>
        <w:rPr>
          <w:del w:id="660" w:author="AbbVie1" w:date="2025-05-13T09:50:00Z"/>
        </w:rPr>
      </w:pPr>
    </w:p>
    <w:p w14:paraId="01594353" w14:textId="77777777" w:rsidR="00CB04A0" w:rsidRDefault="00000000" w:rsidP="00CB04A0">
      <w:pPr>
        <w:ind w:left="0" w:firstLine="0"/>
        <w:rPr>
          <w:del w:id="661" w:author="AbbVie1" w:date="2025-05-13T09:50:00Z"/>
        </w:rPr>
      </w:pPr>
      <w:del w:id="662" w:author="AbbVie1" w:date="2025-05-13T09:50:00Z">
        <w:r w:rsidRPr="0051408F">
          <w:delText>Z</w:delText>
        </w:r>
        <w:r>
          <w:delText> </w:delText>
        </w:r>
        <w:r w:rsidRPr="0051408F">
          <w:delText>velkého počtu přibližně 2</w:delText>
        </w:r>
        <w:r>
          <w:delText> </w:delText>
        </w:r>
        <w:r w:rsidRPr="0051408F">
          <w:delText xml:space="preserve">100 do konce gravidity prospektivně sledovaných těhotenství </w:delText>
        </w:r>
        <w:r w:rsidR="00F76D5E" w:rsidRPr="0051408F">
          <w:delText>vedoucích k</w:delText>
        </w:r>
        <w:r w:rsidR="00F76D5E">
          <w:delText> </w:delText>
        </w:r>
        <w:r w:rsidR="00F76D5E" w:rsidRPr="0051408F">
          <w:delText xml:space="preserve">porodům </w:delText>
        </w:r>
        <w:r w:rsidR="00F76D5E">
          <w:delText xml:space="preserve">živých </w:delText>
        </w:r>
        <w:r w:rsidR="00F76D5E" w:rsidRPr="0051408F">
          <w:delText xml:space="preserve">dětí </w:delText>
        </w:r>
        <w:r w:rsidRPr="0051408F">
          <w:delText>u</w:delText>
        </w:r>
        <w:r>
          <w:delText> </w:delText>
        </w:r>
        <w:r w:rsidRPr="0051408F">
          <w:delText>žen léčených adalimumabem</w:delText>
        </w:r>
        <w:r w:rsidR="00F76D5E">
          <w:delText>,</w:delText>
        </w:r>
        <w:r w:rsidRPr="0051408F">
          <w:delText xml:space="preserve"> z</w:delText>
        </w:r>
        <w:r>
          <w:delText> </w:delText>
        </w:r>
        <w:r w:rsidRPr="0051408F">
          <w:delText>nichž více než 1</w:delText>
        </w:r>
        <w:r>
          <w:delText> </w:delText>
        </w:r>
        <w:r w:rsidRPr="0051408F">
          <w:delText>500</w:delText>
        </w:r>
        <w:r>
          <w:delText xml:space="preserve"> bylo</w:delText>
        </w:r>
        <w:r w:rsidRPr="0051408F">
          <w:delText xml:space="preserve"> léčen</w:delText>
        </w:r>
        <w:r>
          <w:delText>o</w:delText>
        </w:r>
        <w:r w:rsidRPr="0051408F">
          <w:delText xml:space="preserve"> adalimumabem v</w:delText>
        </w:r>
        <w:r>
          <w:delText> </w:delText>
        </w:r>
        <w:r w:rsidR="00F76D5E">
          <w:delText>1. trimestru</w:delText>
        </w:r>
        <w:r w:rsidRPr="0051408F">
          <w:delText>, nevyplývá zvýšené riziko vrozených malformací u</w:delText>
        </w:r>
        <w:r>
          <w:delText> </w:delText>
        </w:r>
        <w:r w:rsidRPr="0051408F">
          <w:delText>novorozence.</w:delText>
        </w:r>
      </w:del>
    </w:p>
    <w:p w14:paraId="58787E60" w14:textId="77777777" w:rsidR="00CB04A0" w:rsidRDefault="00CB04A0" w:rsidP="00CB04A0">
      <w:pPr>
        <w:ind w:left="0" w:firstLine="0"/>
        <w:rPr>
          <w:del w:id="663" w:author="AbbVie1" w:date="2025-05-13T09:50:00Z"/>
        </w:rPr>
      </w:pPr>
    </w:p>
    <w:p w14:paraId="2194FDB2" w14:textId="77777777" w:rsidR="00CB04A0" w:rsidRDefault="00000000" w:rsidP="00CB04A0">
      <w:pPr>
        <w:ind w:left="0" w:firstLine="0"/>
        <w:rPr>
          <w:del w:id="664" w:author="AbbVie1" w:date="2025-05-13T09:50:00Z"/>
        </w:rPr>
      </w:pPr>
      <w:del w:id="665" w:author="AbbVie1" w:date="2025-05-13T09:50:00Z">
        <w:r>
          <w:delText>Do</w:delText>
        </w:r>
        <w:r w:rsidRPr="004A21D8">
          <w:delText xml:space="preserve"> prospektivní</w:delText>
        </w:r>
        <w:r>
          <w:delText>ho</w:delText>
        </w:r>
        <w:r w:rsidRPr="004A21D8">
          <w:delText xml:space="preserve"> kohortové</w:delText>
        </w:r>
        <w:r>
          <w:delText>ho</w:delText>
        </w:r>
        <w:r w:rsidRPr="004A21D8">
          <w:delText xml:space="preserve"> registru bylo zařazeno 257 žen s</w:delText>
        </w:r>
        <w:r>
          <w:delText> </w:delText>
        </w:r>
        <w:r w:rsidRPr="004A21D8">
          <w:delText>revmatoidní artritidou (RA) nebo Crohnovou chorobou (CD) léčených adalimumabem alespoň během prvního trimestru</w:delText>
        </w:r>
        <w:r w:rsidR="002378E0">
          <w:delText xml:space="preserve"> a </w:delText>
        </w:r>
        <w:r w:rsidRPr="004A21D8">
          <w:delText>120 žen s</w:delText>
        </w:r>
        <w:r>
          <w:delText> </w:delText>
        </w:r>
        <w:r w:rsidRPr="004A21D8">
          <w:delText>RA nebo CD neléčený</w:delText>
        </w:r>
        <w:r>
          <w:delText>ch</w:delText>
        </w:r>
        <w:r w:rsidRPr="004A21D8">
          <w:delText xml:space="preserve"> adalimumabem. Primárním </w:delText>
        </w:r>
        <w:r w:rsidR="00F76D5E">
          <w:delText>cílovým parametrem</w:delText>
        </w:r>
        <w:r w:rsidRPr="004A21D8">
          <w:delText xml:space="preserve"> byl</w:delText>
        </w:r>
        <w:r>
          <w:delText>a prevalence vrozených</w:delText>
        </w:r>
        <w:r w:rsidRPr="004A21D8">
          <w:delText xml:space="preserve"> vad.</w:delText>
        </w:r>
        <w:r>
          <w:delText xml:space="preserve"> </w:delText>
        </w:r>
        <w:r w:rsidRPr="005F4842">
          <w:delText xml:space="preserve">Míra těhotenství ukončená alespoň jedním </w:delText>
        </w:r>
        <w:r>
          <w:delText>porodem živého dítěte</w:delText>
        </w:r>
        <w:r w:rsidRPr="005F4842">
          <w:delText xml:space="preserve"> s</w:delText>
        </w:r>
        <w:r>
          <w:delText> </w:delText>
        </w:r>
        <w:r w:rsidRPr="005F4842">
          <w:delText>významnou vrozenou vadou byla 6/69 (8,7</w:delText>
        </w:r>
        <w:r w:rsidR="006008CB">
          <w:delText> %</w:delText>
        </w:r>
        <w:r w:rsidRPr="005F4842">
          <w:delText>) u</w:delText>
        </w:r>
        <w:r>
          <w:delText> </w:delText>
        </w:r>
        <w:r w:rsidRPr="005F4842">
          <w:delText>žen léčených adalimumabem s</w:delText>
        </w:r>
        <w:r>
          <w:delText> </w:delText>
        </w:r>
        <w:r w:rsidRPr="005F4842">
          <w:delText>RA</w:delText>
        </w:r>
        <w:r w:rsidR="002378E0">
          <w:delText xml:space="preserve"> a </w:delText>
        </w:r>
        <w:r w:rsidRPr="005F4842">
          <w:delText>5/74 (6,8</w:delText>
        </w:r>
        <w:r w:rsidR="006008CB">
          <w:delText> %</w:delText>
        </w:r>
        <w:r w:rsidRPr="005F4842">
          <w:delText>) u</w:delText>
        </w:r>
        <w:r>
          <w:delText> </w:delText>
        </w:r>
        <w:r w:rsidRPr="005F4842">
          <w:delText>neléčených žen s</w:delText>
        </w:r>
        <w:r>
          <w:delText> </w:delText>
        </w:r>
        <w:r w:rsidRPr="005F4842">
          <w:delText>RA (neupravená OR 1,31, 95% CI 0,38</w:delText>
        </w:r>
        <w:r>
          <w:delText>–</w:delText>
        </w:r>
        <w:r w:rsidRPr="005F4842">
          <w:delText>4,52)</w:delText>
        </w:r>
        <w:r w:rsidR="002378E0">
          <w:delText xml:space="preserve"> a </w:delText>
        </w:r>
        <w:r w:rsidRPr="005F4842">
          <w:delText>16/152 (10,5</w:delText>
        </w:r>
        <w:r w:rsidR="006008CB">
          <w:delText> %</w:delText>
        </w:r>
        <w:r w:rsidRPr="005F4842">
          <w:delText>) u</w:delText>
        </w:r>
        <w:r>
          <w:delText> </w:delText>
        </w:r>
        <w:r w:rsidRPr="005F4842">
          <w:delText>žen léčených adalimumabem s</w:delText>
        </w:r>
        <w:r>
          <w:delText> </w:delText>
        </w:r>
        <w:r w:rsidRPr="005F4842">
          <w:delText>CD</w:delText>
        </w:r>
        <w:r w:rsidR="002378E0">
          <w:delText xml:space="preserve"> a </w:delText>
        </w:r>
        <w:r w:rsidRPr="005F4842">
          <w:delText>3/32 (9,4</w:delText>
        </w:r>
        <w:r w:rsidR="006008CB">
          <w:delText> %</w:delText>
        </w:r>
        <w:r w:rsidRPr="005F4842">
          <w:delText>) u</w:delText>
        </w:r>
        <w:r>
          <w:delText> </w:delText>
        </w:r>
        <w:r w:rsidRPr="005F4842">
          <w:delText>neléčených žen s</w:delText>
        </w:r>
        <w:r>
          <w:delText> </w:delText>
        </w:r>
        <w:r w:rsidRPr="005F4842">
          <w:delText>CD (neupraven</w:delText>
        </w:r>
        <w:r>
          <w:delText>á OR 1,14, 95% CI 0,31–4,16). U</w:delText>
        </w:r>
        <w:r w:rsidRPr="005F4842">
          <w:delText>praven</w:delText>
        </w:r>
        <w:r>
          <w:delText>á</w:delText>
        </w:r>
        <w:r w:rsidRPr="005F4842">
          <w:delText xml:space="preserve"> OR (vypočten</w:delText>
        </w:r>
        <w:r>
          <w:delText>á</w:delText>
        </w:r>
        <w:r w:rsidRPr="005F4842">
          <w:delText xml:space="preserve"> pro rozdíly při výchozím stavu) byl</w:delText>
        </w:r>
        <w:r>
          <w:delText>a</w:delText>
        </w:r>
        <w:r w:rsidRPr="005F4842">
          <w:delText xml:space="preserve"> 1,10 (95% CI 0,45</w:delText>
        </w:r>
        <w:r>
          <w:delText>–</w:delText>
        </w:r>
        <w:r w:rsidRPr="005F4842">
          <w:delText>2,73) s</w:delText>
        </w:r>
        <w:r>
          <w:delText> </w:delText>
        </w:r>
        <w:r w:rsidRPr="005F4842">
          <w:delText>kombinací RA</w:delText>
        </w:r>
        <w:r w:rsidR="002378E0">
          <w:delText xml:space="preserve"> a </w:delText>
        </w:r>
        <w:r w:rsidRPr="005F4842">
          <w:delText>CD. Mezi sekundárním</w:delText>
        </w:r>
        <w:r>
          <w:delText>i</w:delText>
        </w:r>
        <w:r w:rsidRPr="005F4842">
          <w:delText xml:space="preserve"> </w:delText>
        </w:r>
        <w:r w:rsidR="00F76D5E">
          <w:delText>cílovými parametry</w:delText>
        </w:r>
        <w:r>
          <w:delText xml:space="preserve"> (spontánní potraty, menší vrozené vady, předčasný porod, porod s vážnými nebo oportunními infekcemi)</w:delText>
        </w:r>
        <w:r w:rsidRPr="005F4842">
          <w:delText xml:space="preserve"> nebyly </w:delText>
        </w:r>
        <w:r>
          <w:delText xml:space="preserve">hlášeny </w:delText>
        </w:r>
        <w:r w:rsidRPr="005F4842">
          <w:delText xml:space="preserve">žádné </w:delText>
        </w:r>
        <w:r>
          <w:delText>výrazné</w:delText>
        </w:r>
        <w:r w:rsidRPr="005F4842">
          <w:delText xml:space="preserve"> rozdíly mezi ženami léčenými adalimumabem</w:delText>
        </w:r>
        <w:r w:rsidR="002378E0">
          <w:delText xml:space="preserve"> a </w:delText>
        </w:r>
        <w:r>
          <w:delText>neléčenými ženami,</w:delText>
        </w:r>
        <w:r w:rsidR="002378E0">
          <w:delText xml:space="preserve"> a </w:delText>
        </w:r>
        <w:r>
          <w:delText>zároveň</w:delText>
        </w:r>
        <w:r w:rsidRPr="005F4842">
          <w:delText xml:space="preserve"> nebyly hlášeny žádné porody mrtvého plodu nebo maligní stavy. Interpretace údajů může být ovlivněna metodologickými</w:delText>
        </w:r>
        <w:r>
          <w:delText xml:space="preserve"> limity </w:delText>
        </w:r>
        <w:r w:rsidRPr="005F4842">
          <w:delText xml:space="preserve">studie, včetně malé velikosti </w:delText>
        </w:r>
        <w:r>
          <w:delText>sledovaného soubor</w:delText>
        </w:r>
        <w:r w:rsidRPr="005F4842">
          <w:delText>u</w:delText>
        </w:r>
        <w:r>
          <w:delText xml:space="preserve"> pacientek</w:delText>
        </w:r>
        <w:r w:rsidR="002378E0">
          <w:delText xml:space="preserve"> a </w:delText>
        </w:r>
        <w:r w:rsidRPr="005F4842">
          <w:delText xml:space="preserve">nerandomizovaného </w:delText>
        </w:r>
        <w:r>
          <w:delText>designu studie</w:delText>
        </w:r>
        <w:r w:rsidRPr="005F4842">
          <w:delText>.</w:delText>
        </w:r>
      </w:del>
    </w:p>
    <w:p w14:paraId="6BD56C47" w14:textId="77777777" w:rsidR="00073F8F" w:rsidRPr="001B4A02" w:rsidRDefault="00073F8F" w:rsidP="00ED48A3">
      <w:pPr>
        <w:pStyle w:val="EndnoteText"/>
        <w:ind w:left="0" w:firstLine="0"/>
        <w:rPr>
          <w:del w:id="666" w:author="AbbVie1" w:date="2025-05-13T09:50:00Z"/>
          <w:lang w:val="cs-CZ"/>
        </w:rPr>
      </w:pPr>
    </w:p>
    <w:p w14:paraId="75A7DF18" w14:textId="77777777" w:rsidR="00073F8F" w:rsidRPr="001B4A02" w:rsidRDefault="00000000" w:rsidP="00ED48A3">
      <w:pPr>
        <w:ind w:left="0" w:firstLine="0"/>
        <w:rPr>
          <w:del w:id="667" w:author="AbbVie1" w:date="2025-05-13T09:50:00Z"/>
        </w:rPr>
      </w:pPr>
      <w:del w:id="668" w:author="AbbVie1" w:date="2025-05-13T09:50:00Z">
        <w:r w:rsidRPr="001B4A02">
          <w:delText>Ve vývojové toxikologické studii prováděné na opicích nebyly zjištěny známky toxicity u matek, embryotoxicity či teratogenity. Preklinická data o účinku adalimumabu na postnatální toxicitu nejsou k dispozici (viz bod 5.3).</w:delText>
        </w:r>
      </w:del>
    </w:p>
    <w:p w14:paraId="44268CEF" w14:textId="77777777" w:rsidR="00073F8F" w:rsidRPr="001B4A02" w:rsidRDefault="00073F8F" w:rsidP="00ED48A3">
      <w:pPr>
        <w:ind w:left="0" w:firstLine="0"/>
        <w:rPr>
          <w:del w:id="669" w:author="AbbVie1" w:date="2025-05-13T09:50:00Z"/>
        </w:rPr>
      </w:pPr>
    </w:p>
    <w:p w14:paraId="15F99859" w14:textId="77777777" w:rsidR="00BA3861" w:rsidRDefault="00000000" w:rsidP="00BA3861">
      <w:pPr>
        <w:ind w:left="0" w:firstLine="0"/>
        <w:rPr>
          <w:del w:id="670" w:author="AbbVie1" w:date="2025-05-13T09:50:00Z"/>
        </w:rPr>
      </w:pPr>
      <w:del w:id="671" w:author="AbbVie1" w:date="2025-05-13T09:50:00Z">
        <w:r w:rsidRPr="001B4A02">
          <w:delText>Adalimumab podávaný v těhotenství může vzhledem k</w:delText>
        </w:r>
        <w:r w:rsidR="00B35332" w:rsidRPr="001B4A02">
          <w:delText> </w:delText>
        </w:r>
        <w:r w:rsidRPr="001B4A02">
          <w:delText xml:space="preserve">inhibici TNFα ovlivnit normální imunologickou odpověď u novorozenců. </w:delText>
        </w:r>
      </w:del>
    </w:p>
    <w:p w14:paraId="23565AE9" w14:textId="77777777" w:rsidR="00BA3861" w:rsidRPr="001B4A02" w:rsidRDefault="00000000" w:rsidP="00BA3861">
      <w:pPr>
        <w:ind w:left="0" w:firstLine="0"/>
        <w:rPr>
          <w:del w:id="672" w:author="AbbVie1" w:date="2025-05-13T09:50:00Z"/>
        </w:rPr>
      </w:pPr>
      <w:del w:id="673" w:author="AbbVie1" w:date="2025-05-13T09:50:00Z">
        <w:r>
          <w:delText>Adalimumab má být užíván během těhotenství pouze tehdy, pokud je to nezbytně nutné.</w:delText>
        </w:r>
      </w:del>
    </w:p>
    <w:p w14:paraId="42EA688C" w14:textId="77777777" w:rsidR="00DF7E75" w:rsidRPr="001B4A02" w:rsidRDefault="00DF7E75" w:rsidP="00ED48A3">
      <w:pPr>
        <w:ind w:left="0" w:firstLine="0"/>
        <w:rPr>
          <w:del w:id="674" w:author="AbbVie1" w:date="2025-05-13T09:50:00Z"/>
        </w:rPr>
      </w:pPr>
    </w:p>
    <w:p w14:paraId="35B99CC6" w14:textId="77777777" w:rsidR="00184D2E" w:rsidRPr="001B4A02" w:rsidRDefault="00000000" w:rsidP="00ED48A3">
      <w:pPr>
        <w:ind w:left="0" w:firstLine="0"/>
        <w:rPr>
          <w:del w:id="675" w:author="AbbVie1" w:date="2025-05-13T09:50:00Z"/>
        </w:rPr>
      </w:pPr>
      <w:del w:id="676" w:author="AbbVie1" w:date="2025-05-13T09:50:00Z">
        <w:r w:rsidRPr="001B4A02">
          <w:delText>Adalimumab může přecházet přes placent</w:delText>
        </w:r>
        <w:r w:rsidR="001D6EE4" w:rsidRPr="001B4A02">
          <w:delText>u do séra dětí narozeným mat</w:delText>
        </w:r>
        <w:r w:rsidRPr="001B4A02">
          <w:delText xml:space="preserve">kám, které byly v těhotenství adalimumabem léčeny. </w:delText>
        </w:r>
        <w:r w:rsidR="001D6EE4" w:rsidRPr="001B4A02">
          <w:delText>V důsledku toho mohou být tyto děti náchylnější k infekcím. Podávání živých vakcín</w:delText>
        </w:r>
        <w:r w:rsidR="00BA3861">
          <w:delText xml:space="preserve"> (např. BCG vakcín)</w:delText>
        </w:r>
        <w:r w:rsidR="001D6EE4" w:rsidRPr="001B4A02">
          <w:delText xml:space="preserve"> dětem, které byly in utero adalimumabu vystaveny, se nedoporučuje po dobu 5 měsíců po poslední injekci adalimumabu, kterou matka</w:delText>
        </w:r>
        <w:r w:rsidR="00B35332" w:rsidRPr="001B4A02">
          <w:delText xml:space="preserve"> v průběhu těhotenství dostala.</w:delText>
        </w:r>
      </w:del>
    </w:p>
    <w:p w14:paraId="2CC03092" w14:textId="77777777" w:rsidR="00184D2E" w:rsidRPr="001B4A02" w:rsidRDefault="00184D2E" w:rsidP="00ED48A3">
      <w:pPr>
        <w:ind w:left="0" w:firstLine="0"/>
        <w:rPr>
          <w:del w:id="677" w:author="AbbVie1" w:date="2025-05-13T09:50:00Z"/>
        </w:rPr>
      </w:pPr>
    </w:p>
    <w:p w14:paraId="6414264E" w14:textId="77777777" w:rsidR="001D6EE4" w:rsidRPr="001B4A02" w:rsidRDefault="00000000" w:rsidP="00D84336">
      <w:pPr>
        <w:keepNext/>
        <w:ind w:left="0" w:firstLine="0"/>
        <w:rPr>
          <w:del w:id="678" w:author="AbbVie1" w:date="2025-05-13T09:50:00Z"/>
          <w:u w:val="single"/>
        </w:rPr>
      </w:pPr>
      <w:del w:id="679" w:author="AbbVie1" w:date="2025-05-13T09:50:00Z">
        <w:r w:rsidRPr="001B4A02">
          <w:rPr>
            <w:u w:val="single"/>
          </w:rPr>
          <w:delText>Kojení</w:delText>
        </w:r>
      </w:del>
    </w:p>
    <w:p w14:paraId="740E734C" w14:textId="77777777" w:rsidR="00607A13" w:rsidRPr="001B4A02" w:rsidRDefault="00607A13" w:rsidP="00D84336">
      <w:pPr>
        <w:keepNext/>
        <w:ind w:left="0" w:firstLine="0"/>
        <w:rPr>
          <w:del w:id="680" w:author="AbbVie1" w:date="2025-05-13T09:50:00Z"/>
          <w:u w:val="single"/>
        </w:rPr>
      </w:pPr>
    </w:p>
    <w:p w14:paraId="696A1934" w14:textId="77777777" w:rsidR="00BA3861" w:rsidRPr="001B4A02" w:rsidRDefault="00000000" w:rsidP="00BA3861">
      <w:pPr>
        <w:ind w:left="0" w:firstLine="0"/>
        <w:rPr>
          <w:del w:id="681" w:author="AbbVie1" w:date="2025-05-13T09:50:00Z"/>
        </w:rPr>
      </w:pPr>
      <w:del w:id="682" w:author="AbbVie1" w:date="2025-05-13T09:50:00Z">
        <w:r>
          <w:delText>Z omezených (limitovaných) informací v publikované literatuře vyplývá, že adalimumab je vylučován do mateřského mléka ve velmi nízkých koncentracích s přítomností adalimumabu v mateřském mléce v koncentracích od 0,1</w:delText>
        </w:r>
        <w:r w:rsidR="006008CB">
          <w:delText> %</w:delText>
        </w:r>
        <w:r>
          <w:delText xml:space="preserve"> do 1</w:delText>
        </w:r>
        <w:r w:rsidR="006008CB">
          <w:delText> %</w:delText>
        </w:r>
        <w:r>
          <w:delText xml:space="preserve"> sérové hladiny matky. Při perorálním podávání proteinů imunoglobulinu G probíhá jejich proteolýza ve střevech</w:delText>
        </w:r>
        <w:r w:rsidR="002378E0">
          <w:delText xml:space="preserve"> a </w:delText>
        </w:r>
        <w:r>
          <w:delText>jejich biologická dostupnost je nízká. Nepředpokládá se žádný vliv na kojené novorozence/</w:delText>
        </w:r>
        <w:r w:rsidR="00D43B94">
          <w:delText>kojence</w:delText>
        </w:r>
        <w:r>
          <w:delText>. Proto lze přípravek Humira podávat během kojení.</w:delText>
        </w:r>
      </w:del>
    </w:p>
    <w:p w14:paraId="2655BDA1" w14:textId="77777777" w:rsidR="007128A7" w:rsidRPr="001B4A02" w:rsidRDefault="007128A7" w:rsidP="00ED48A3">
      <w:pPr>
        <w:ind w:left="0" w:firstLine="0"/>
        <w:rPr>
          <w:del w:id="683" w:author="AbbVie1" w:date="2025-05-13T09:50:00Z"/>
        </w:rPr>
      </w:pPr>
    </w:p>
    <w:p w14:paraId="425885E1" w14:textId="77777777" w:rsidR="007128A7" w:rsidRPr="001B4A02" w:rsidRDefault="00000000" w:rsidP="00D84336">
      <w:pPr>
        <w:keepNext/>
        <w:ind w:left="0" w:firstLine="0"/>
        <w:rPr>
          <w:del w:id="684" w:author="AbbVie1" w:date="2025-05-13T09:50:00Z"/>
          <w:u w:val="single"/>
        </w:rPr>
      </w:pPr>
      <w:del w:id="685" w:author="AbbVie1" w:date="2025-05-13T09:50:00Z">
        <w:r w:rsidRPr="001B4A02">
          <w:rPr>
            <w:u w:val="single"/>
          </w:rPr>
          <w:delText>Fertilita</w:delText>
        </w:r>
      </w:del>
    </w:p>
    <w:p w14:paraId="5914F203" w14:textId="77777777" w:rsidR="00607A13" w:rsidRPr="001B4A02" w:rsidRDefault="00607A13" w:rsidP="00D84336">
      <w:pPr>
        <w:keepNext/>
        <w:ind w:left="0" w:firstLine="0"/>
        <w:rPr>
          <w:del w:id="686" w:author="AbbVie1" w:date="2025-05-13T09:50:00Z"/>
          <w:u w:val="single"/>
        </w:rPr>
      </w:pPr>
    </w:p>
    <w:p w14:paraId="13953ECD" w14:textId="77777777" w:rsidR="007128A7" w:rsidRPr="001B4A02" w:rsidRDefault="00000000" w:rsidP="00ED48A3">
      <w:pPr>
        <w:ind w:left="0" w:firstLine="0"/>
        <w:rPr>
          <w:del w:id="687" w:author="AbbVie1" w:date="2025-05-13T09:50:00Z"/>
        </w:rPr>
      </w:pPr>
      <w:del w:id="688" w:author="AbbVie1" w:date="2025-05-13T09:50:00Z">
        <w:r w:rsidRPr="001B4A02">
          <w:delText>Preklinické studie zaměřené na vliv adalimumabu na fertilitu nejsou k dispozici.</w:delText>
        </w:r>
      </w:del>
    </w:p>
    <w:p w14:paraId="5F96EC8D" w14:textId="77777777" w:rsidR="00073F8F" w:rsidRPr="001B4A02" w:rsidRDefault="00073F8F" w:rsidP="00ED48A3">
      <w:pPr>
        <w:ind w:left="0" w:firstLine="0"/>
        <w:rPr>
          <w:del w:id="689" w:author="AbbVie1" w:date="2025-05-13T09:50:00Z"/>
          <w:b/>
        </w:rPr>
      </w:pPr>
    </w:p>
    <w:p w14:paraId="3BFDD243" w14:textId="77777777" w:rsidR="00073F8F" w:rsidRPr="001B4A02" w:rsidRDefault="00000000" w:rsidP="000A5426">
      <w:pPr>
        <w:keepNext/>
        <w:outlineLvl w:val="1"/>
        <w:rPr>
          <w:del w:id="690" w:author="AbbVie1" w:date="2025-05-13T09:50:00Z"/>
          <w:b/>
        </w:rPr>
      </w:pPr>
      <w:del w:id="691" w:author="AbbVie1" w:date="2025-05-13T09:50:00Z">
        <w:r w:rsidRPr="001B4A02">
          <w:rPr>
            <w:b/>
          </w:rPr>
          <w:delText>4.7</w:delText>
        </w:r>
        <w:r w:rsidRPr="001B4A02">
          <w:rPr>
            <w:b/>
          </w:rPr>
          <w:tab/>
          <w:delText>Účinky na schopnost řídit</w:delText>
        </w:r>
        <w:r w:rsidR="002378E0">
          <w:rPr>
            <w:b/>
          </w:rPr>
          <w:delText xml:space="preserve"> a </w:delText>
        </w:r>
        <w:r w:rsidRPr="001B4A02">
          <w:rPr>
            <w:b/>
          </w:rPr>
          <w:delText>obsluhovat stroje</w:delText>
        </w:r>
      </w:del>
    </w:p>
    <w:p w14:paraId="1378238B" w14:textId="77777777" w:rsidR="00073F8F" w:rsidRPr="001B4A02" w:rsidRDefault="00073F8F" w:rsidP="00D84336">
      <w:pPr>
        <w:keepNext/>
        <w:ind w:left="0" w:firstLine="0"/>
        <w:rPr>
          <w:del w:id="692" w:author="AbbVie1" w:date="2025-05-13T09:50:00Z"/>
        </w:rPr>
      </w:pPr>
    </w:p>
    <w:p w14:paraId="02F83EC0" w14:textId="77777777" w:rsidR="00073F8F" w:rsidRPr="001B4A02" w:rsidRDefault="00000000" w:rsidP="00ED48A3">
      <w:pPr>
        <w:ind w:left="0" w:firstLine="0"/>
        <w:rPr>
          <w:del w:id="693" w:author="AbbVie1" w:date="2025-05-13T09:50:00Z"/>
        </w:rPr>
      </w:pPr>
      <w:del w:id="694" w:author="AbbVie1" w:date="2025-05-13T09:50:00Z">
        <w:r w:rsidRPr="001B4A02">
          <w:delText xml:space="preserve">Přípravek Humira </w:delText>
        </w:r>
        <w:r w:rsidR="00892469">
          <w:delText xml:space="preserve">má malý </w:delText>
        </w:r>
        <w:r w:rsidRPr="001B4A02">
          <w:delText>vliv na schopnost řídit</w:delText>
        </w:r>
        <w:r w:rsidR="002378E0">
          <w:delText xml:space="preserve"> a </w:delText>
        </w:r>
        <w:r w:rsidRPr="001B4A02">
          <w:delText xml:space="preserve">obsluhovat stroje. Po </w:delText>
        </w:r>
        <w:r w:rsidR="00BE2F59" w:rsidRPr="001B4A02">
          <w:delText>po</w:delText>
        </w:r>
        <w:r w:rsidRPr="001B4A02">
          <w:delText>užití přípravku Humira se m</w:delText>
        </w:r>
        <w:r w:rsidR="00CD3EF5" w:rsidRPr="001B4A02">
          <w:delText>ůže</w:delText>
        </w:r>
        <w:r w:rsidRPr="001B4A02">
          <w:delText xml:space="preserve"> objevit vertig</w:delText>
        </w:r>
        <w:r w:rsidR="00CD3EF5" w:rsidRPr="001B4A02">
          <w:delText>o</w:delText>
        </w:r>
        <w:r w:rsidR="002378E0">
          <w:delText xml:space="preserve"> a </w:delText>
        </w:r>
        <w:r w:rsidRPr="001B4A02">
          <w:delText>zrakov</w:delText>
        </w:r>
        <w:r w:rsidR="00CD3EF5" w:rsidRPr="001B4A02">
          <w:delText>é</w:delText>
        </w:r>
        <w:r w:rsidRPr="001B4A02">
          <w:delText xml:space="preserve"> poruch</w:delText>
        </w:r>
        <w:r w:rsidR="00CD3EF5" w:rsidRPr="001B4A02">
          <w:delText>y</w:delText>
        </w:r>
        <w:r w:rsidRPr="001B4A02">
          <w:delText xml:space="preserve"> </w:delText>
        </w:r>
        <w:r w:rsidR="002A6A9A" w:rsidRPr="001B4A02">
          <w:delText>(</w:delText>
        </w:r>
        <w:r w:rsidRPr="001B4A02">
          <w:delText>viz bod 4.8</w:delText>
        </w:r>
        <w:r w:rsidR="002A6A9A" w:rsidRPr="001B4A02">
          <w:delText>)</w:delText>
        </w:r>
        <w:r w:rsidRPr="001B4A02">
          <w:delText>.</w:delText>
        </w:r>
      </w:del>
    </w:p>
    <w:p w14:paraId="088C0885" w14:textId="77777777" w:rsidR="00073F8F" w:rsidRPr="001B4A02" w:rsidRDefault="00073F8F" w:rsidP="00ED48A3">
      <w:pPr>
        <w:ind w:left="0" w:firstLine="0"/>
        <w:rPr>
          <w:del w:id="695" w:author="AbbVie1" w:date="2025-05-13T09:50:00Z"/>
        </w:rPr>
      </w:pPr>
    </w:p>
    <w:p w14:paraId="7F2F95B4" w14:textId="77777777" w:rsidR="00073F8F" w:rsidRPr="001B4A02" w:rsidRDefault="00000000" w:rsidP="000A5426">
      <w:pPr>
        <w:keepNext/>
        <w:outlineLvl w:val="1"/>
        <w:rPr>
          <w:del w:id="696" w:author="AbbVie1" w:date="2025-05-13T09:50:00Z"/>
          <w:b/>
        </w:rPr>
      </w:pPr>
      <w:del w:id="697" w:author="AbbVie1" w:date="2025-05-13T09:50:00Z">
        <w:r w:rsidRPr="001B4A02">
          <w:rPr>
            <w:b/>
          </w:rPr>
          <w:delText>4.8</w:delText>
        </w:r>
        <w:r w:rsidRPr="001B4A02">
          <w:rPr>
            <w:b/>
          </w:rPr>
          <w:tab/>
          <w:delText>Nežádoucí účinky</w:delText>
        </w:r>
      </w:del>
    </w:p>
    <w:p w14:paraId="5F8F24D9" w14:textId="77777777" w:rsidR="00DF7E75" w:rsidRPr="001B4A02" w:rsidRDefault="00DF7E75" w:rsidP="00D84336">
      <w:pPr>
        <w:keepNext/>
        <w:ind w:left="0" w:firstLine="0"/>
        <w:rPr>
          <w:del w:id="698" w:author="AbbVie1" w:date="2025-05-13T09:50:00Z"/>
          <w:u w:val="single"/>
        </w:rPr>
      </w:pPr>
    </w:p>
    <w:p w14:paraId="11857D50" w14:textId="77777777" w:rsidR="00DF7E75" w:rsidRPr="001B4A02" w:rsidRDefault="00000000" w:rsidP="00D84336">
      <w:pPr>
        <w:keepNext/>
        <w:ind w:left="0" w:firstLine="0"/>
        <w:rPr>
          <w:del w:id="699" w:author="AbbVie1" w:date="2025-05-13T09:50:00Z"/>
          <w:u w:val="single"/>
        </w:rPr>
      </w:pPr>
      <w:del w:id="700" w:author="AbbVie1" w:date="2025-05-13T09:50:00Z">
        <w:r w:rsidRPr="001B4A02">
          <w:rPr>
            <w:u w:val="single"/>
          </w:rPr>
          <w:delText>Souhrnný bezpečnostní profil</w:delText>
        </w:r>
      </w:del>
    </w:p>
    <w:p w14:paraId="49252FCB" w14:textId="77777777" w:rsidR="00073F8F" w:rsidRPr="001B4A02" w:rsidRDefault="00073F8F" w:rsidP="00D84336">
      <w:pPr>
        <w:keepNext/>
        <w:ind w:left="0" w:firstLine="0"/>
        <w:rPr>
          <w:del w:id="701" w:author="AbbVie1" w:date="2025-05-13T09:50:00Z"/>
          <w:b/>
        </w:rPr>
      </w:pPr>
    </w:p>
    <w:p w14:paraId="32A74E65" w14:textId="77777777" w:rsidR="00073F8F" w:rsidRPr="001B4A02" w:rsidRDefault="00000000" w:rsidP="00ED48A3">
      <w:pPr>
        <w:ind w:left="0" w:firstLine="0"/>
        <w:rPr>
          <w:del w:id="702" w:author="AbbVie1" w:date="2025-05-13T09:50:00Z"/>
        </w:rPr>
      </w:pPr>
      <w:del w:id="703" w:author="AbbVie1" w:date="2025-05-13T09:50:00Z">
        <w:r w:rsidRPr="001B4A02">
          <w:rPr>
            <w:szCs w:val="22"/>
          </w:rPr>
          <w:delText>Přípravek Humira byl hodnocen u </w:delText>
        </w:r>
        <w:r w:rsidR="00D61849" w:rsidRPr="001B4A02">
          <w:rPr>
            <w:szCs w:val="22"/>
          </w:rPr>
          <w:delText>9 506</w:delText>
        </w:r>
        <w:r w:rsidR="008A261E" w:rsidRPr="001B4A02">
          <w:rPr>
            <w:szCs w:val="22"/>
          </w:rPr>
          <w:delText xml:space="preserve"> </w:delText>
        </w:r>
        <w:r w:rsidRPr="001B4A02">
          <w:rPr>
            <w:szCs w:val="22"/>
          </w:rPr>
          <w:delText>pacientů v kontrolovaných</w:delText>
        </w:r>
        <w:r w:rsidR="002378E0">
          <w:rPr>
            <w:szCs w:val="22"/>
          </w:rPr>
          <w:delText xml:space="preserve"> a </w:delText>
        </w:r>
        <w:r w:rsidRPr="001B4A02">
          <w:rPr>
            <w:szCs w:val="22"/>
          </w:rPr>
          <w:delText xml:space="preserve">otevřených </w:delText>
        </w:r>
        <w:r w:rsidR="000A158D" w:rsidRPr="001B4A02">
          <w:rPr>
            <w:szCs w:val="22"/>
          </w:rPr>
          <w:delText xml:space="preserve">pivotních </w:delText>
        </w:r>
        <w:r w:rsidRPr="001B4A02">
          <w:rPr>
            <w:szCs w:val="22"/>
          </w:rPr>
          <w:delText>studiích po dobu až 60 měsíců</w:delText>
        </w:r>
        <w:r w:rsidR="001D5E1C" w:rsidRPr="001B4A02">
          <w:rPr>
            <w:szCs w:val="22"/>
          </w:rPr>
          <w:delText xml:space="preserve"> nebo déle</w:delText>
        </w:r>
        <w:r w:rsidRPr="001B4A02">
          <w:rPr>
            <w:szCs w:val="22"/>
          </w:rPr>
          <w:delText>. Tyto studie zahrnovaly pacienty s revmatoidní artritidou s krátkým</w:delText>
        </w:r>
        <w:r w:rsidR="002378E0">
          <w:rPr>
            <w:szCs w:val="22"/>
          </w:rPr>
          <w:delText xml:space="preserve"> a </w:delText>
        </w:r>
        <w:r w:rsidRPr="001B4A02">
          <w:rPr>
            <w:szCs w:val="22"/>
          </w:rPr>
          <w:delText>dlouhým trváním, pacienty s</w:delText>
        </w:r>
        <w:r w:rsidR="00E2410C" w:rsidRPr="001B4A02">
          <w:rPr>
            <w:szCs w:val="22"/>
          </w:rPr>
          <w:delText> juvenilní</w:delText>
        </w:r>
        <w:r w:rsidRPr="001B4A02">
          <w:rPr>
            <w:szCs w:val="22"/>
          </w:rPr>
          <w:delText xml:space="preserve"> idiopatickou artritidou</w:delText>
        </w:r>
        <w:r w:rsidR="004C4D5B" w:rsidRPr="001B4A02">
          <w:rPr>
            <w:szCs w:val="22"/>
          </w:rPr>
          <w:delText xml:space="preserve"> (polyartikulární</w:delText>
        </w:r>
        <w:r w:rsidR="00E2410C" w:rsidRPr="001B4A02">
          <w:rPr>
            <w:szCs w:val="22"/>
          </w:rPr>
          <w:delText xml:space="preserve"> juvenilní</w:delText>
        </w:r>
        <w:r w:rsidR="004C4D5B" w:rsidRPr="001B4A02">
          <w:rPr>
            <w:szCs w:val="22"/>
          </w:rPr>
          <w:delText xml:space="preserve"> idiopatickou artritidou</w:delText>
        </w:r>
        <w:r w:rsidR="002378E0">
          <w:rPr>
            <w:szCs w:val="22"/>
          </w:rPr>
          <w:delText xml:space="preserve"> a </w:delText>
        </w:r>
        <w:r w:rsidR="004C4D5B" w:rsidRPr="001B4A02">
          <w:rPr>
            <w:szCs w:val="22"/>
          </w:rPr>
          <w:delText>ente</w:delText>
        </w:r>
        <w:r w:rsidR="00A858EA" w:rsidRPr="001B4A02">
          <w:rPr>
            <w:szCs w:val="22"/>
          </w:rPr>
          <w:delText>zopatickou</w:delText>
        </w:r>
        <w:r w:rsidR="004C4D5B" w:rsidRPr="001B4A02">
          <w:rPr>
            <w:szCs w:val="22"/>
          </w:rPr>
          <w:delText> artritidou)</w:delText>
        </w:r>
        <w:r w:rsidRPr="001B4A02">
          <w:rPr>
            <w:szCs w:val="22"/>
          </w:rPr>
          <w:delText xml:space="preserve">, </w:delText>
        </w:r>
        <w:r w:rsidR="004C4D5B" w:rsidRPr="001B4A02">
          <w:rPr>
            <w:szCs w:val="22"/>
          </w:rPr>
          <w:delText xml:space="preserve">stejně jako </w:delText>
        </w:r>
        <w:r w:rsidRPr="001B4A02">
          <w:rPr>
            <w:szCs w:val="22"/>
          </w:rPr>
          <w:delText>pacienty s</w:delText>
        </w:r>
        <w:r w:rsidR="004C4D5B" w:rsidRPr="001B4A02">
          <w:rPr>
            <w:szCs w:val="22"/>
          </w:rPr>
          <w:delText> axiální spondylartritidou (</w:delText>
        </w:r>
        <w:r w:rsidRPr="001B4A02">
          <w:rPr>
            <w:szCs w:val="22"/>
          </w:rPr>
          <w:delText>ankylozující spondylitidou</w:delText>
        </w:r>
        <w:r w:rsidR="002378E0">
          <w:rPr>
            <w:szCs w:val="22"/>
          </w:rPr>
          <w:delText xml:space="preserve"> a </w:delText>
        </w:r>
        <w:r w:rsidR="000C7B3D" w:rsidRPr="001B4A02">
          <w:rPr>
            <w:szCs w:val="22"/>
          </w:rPr>
          <w:delText>axiální spondylartritidou bez radiologického průkazu AS</w:delText>
        </w:r>
        <w:r w:rsidR="004C4D5B" w:rsidRPr="001B4A02">
          <w:rPr>
            <w:szCs w:val="22"/>
          </w:rPr>
          <w:delText>)</w:delText>
        </w:r>
        <w:r w:rsidR="000C7B3D" w:rsidRPr="001B4A02">
          <w:rPr>
            <w:szCs w:val="22"/>
          </w:rPr>
          <w:delText>, psori</w:delText>
        </w:r>
        <w:r w:rsidR="00096FA6" w:rsidRPr="001B4A02">
          <w:rPr>
            <w:szCs w:val="22"/>
          </w:rPr>
          <w:delText>a</w:delText>
        </w:r>
        <w:r w:rsidR="000C7B3D" w:rsidRPr="001B4A02">
          <w:rPr>
            <w:szCs w:val="22"/>
          </w:rPr>
          <w:delText xml:space="preserve">tickou artritidou, </w:delText>
        </w:r>
        <w:r w:rsidRPr="001B4A02">
          <w:rPr>
            <w:szCs w:val="22"/>
          </w:rPr>
          <w:delText>pacienty s Crohnovou chorobou</w:delText>
        </w:r>
        <w:r w:rsidR="00096FA6" w:rsidRPr="001B4A02">
          <w:rPr>
            <w:szCs w:val="22"/>
          </w:rPr>
          <w:delText>, ulcerózní</w:delText>
        </w:r>
        <w:r w:rsidR="000C7B3D" w:rsidRPr="001B4A02">
          <w:rPr>
            <w:szCs w:val="22"/>
          </w:rPr>
          <w:delText xml:space="preserve"> kolitidou</w:delText>
        </w:r>
        <w:r w:rsidR="008A261E" w:rsidRPr="001B4A02">
          <w:rPr>
            <w:szCs w:val="22"/>
          </w:rPr>
          <w:delText>, psoriázou</w:delText>
        </w:r>
        <w:r w:rsidR="00D61849" w:rsidRPr="001B4A02">
          <w:rPr>
            <w:szCs w:val="22"/>
          </w:rPr>
          <w:delText>,</w:delText>
        </w:r>
        <w:r w:rsidR="008A261E" w:rsidRPr="001B4A02">
          <w:rPr>
            <w:szCs w:val="22"/>
          </w:rPr>
          <w:delText xml:space="preserve"> </w:delText>
        </w:r>
        <w:r w:rsidRPr="001B4A02">
          <w:rPr>
            <w:szCs w:val="22"/>
          </w:rPr>
          <w:delText>pacienty s</w:delText>
        </w:r>
        <w:r w:rsidR="008A261E" w:rsidRPr="001B4A02">
          <w:rPr>
            <w:szCs w:val="22"/>
          </w:rPr>
          <w:delText> hidradenitis suppurativa</w:delText>
        </w:r>
        <w:r w:rsidR="002378E0">
          <w:rPr>
            <w:szCs w:val="22"/>
          </w:rPr>
          <w:delText xml:space="preserve"> a </w:delText>
        </w:r>
        <w:r w:rsidR="00D61849" w:rsidRPr="001B4A02">
          <w:rPr>
            <w:szCs w:val="22"/>
          </w:rPr>
          <w:delText>uveitidou</w:delText>
        </w:r>
        <w:r w:rsidRPr="001B4A02">
          <w:rPr>
            <w:szCs w:val="22"/>
          </w:rPr>
          <w:delText xml:space="preserve">. </w:delText>
        </w:r>
        <w:r w:rsidR="00490F69" w:rsidRPr="001B4A02">
          <w:rPr>
            <w:szCs w:val="22"/>
          </w:rPr>
          <w:delText>Pivotní</w:delText>
        </w:r>
        <w:r w:rsidRPr="001B4A02">
          <w:rPr>
            <w:szCs w:val="22"/>
          </w:rPr>
          <w:delText xml:space="preserve"> </w:delText>
        </w:r>
        <w:r w:rsidR="00490F69" w:rsidRPr="001B4A02">
          <w:rPr>
            <w:szCs w:val="22"/>
          </w:rPr>
          <w:delText xml:space="preserve">kontrolované studie zahrnovaly </w:delText>
        </w:r>
        <w:r w:rsidR="00D61849" w:rsidRPr="001B4A02">
          <w:rPr>
            <w:szCs w:val="22"/>
          </w:rPr>
          <w:delText>6 089</w:delText>
        </w:r>
        <w:r w:rsidR="00FD6531" w:rsidRPr="001B4A02">
          <w:rPr>
            <w:szCs w:val="22"/>
          </w:rPr>
          <w:delText xml:space="preserve"> </w:delText>
        </w:r>
        <w:r w:rsidR="00931D5C" w:rsidRPr="001B4A02">
          <w:rPr>
            <w:szCs w:val="22"/>
          </w:rPr>
          <w:delText>pacientů</w:delText>
        </w:r>
        <w:r w:rsidRPr="001B4A02">
          <w:rPr>
            <w:szCs w:val="22"/>
          </w:rPr>
          <w:delText xml:space="preserve"> léčených přípravkem Humira</w:delText>
        </w:r>
        <w:r w:rsidR="002378E0">
          <w:rPr>
            <w:szCs w:val="22"/>
          </w:rPr>
          <w:delText xml:space="preserve"> a </w:delText>
        </w:r>
        <w:r w:rsidR="00D61849" w:rsidRPr="001B4A02">
          <w:rPr>
            <w:szCs w:val="22"/>
          </w:rPr>
          <w:delText>3 801</w:delText>
        </w:r>
        <w:r w:rsidR="008A261E" w:rsidRPr="001B4A02">
          <w:rPr>
            <w:szCs w:val="22"/>
          </w:rPr>
          <w:delText> </w:delText>
        </w:r>
        <w:r w:rsidRPr="001B4A02">
          <w:rPr>
            <w:szCs w:val="22"/>
          </w:rPr>
          <w:delText>pacientů, kteří v kontrolovaném období studií dostávali placebo nebo aktivní srovnávací lék.</w:delText>
        </w:r>
      </w:del>
    </w:p>
    <w:p w14:paraId="577755C0" w14:textId="77777777" w:rsidR="00073F8F" w:rsidRPr="001B4A02" w:rsidRDefault="00073F8F" w:rsidP="00ED48A3">
      <w:pPr>
        <w:ind w:left="0" w:firstLine="0"/>
        <w:rPr>
          <w:del w:id="704" w:author="AbbVie1" w:date="2025-05-13T09:50:00Z"/>
        </w:rPr>
      </w:pPr>
    </w:p>
    <w:p w14:paraId="18219785" w14:textId="77777777" w:rsidR="00073F8F" w:rsidRPr="001B4A02" w:rsidRDefault="00000000" w:rsidP="00ED48A3">
      <w:pPr>
        <w:ind w:left="0" w:firstLine="0"/>
        <w:rPr>
          <w:del w:id="705" w:author="AbbVie1" w:date="2025-05-13T09:50:00Z"/>
        </w:rPr>
      </w:pPr>
      <w:del w:id="706" w:author="AbbVie1" w:date="2025-05-13T09:50:00Z">
        <w:r w:rsidRPr="001B4A02">
          <w:delText>Podíl pacientů, kteří předčasně ukončili léčbu pro nežádoucí účinky ve dvojitě zaslepené kontrolované části klíčových studií</w:delText>
        </w:r>
        <w:r w:rsidR="00013321" w:rsidRPr="001B4A02">
          <w:delText>,</w:delText>
        </w:r>
        <w:r w:rsidRPr="001B4A02">
          <w:delText xml:space="preserve"> byl </w:delText>
        </w:r>
        <w:r w:rsidR="00D61849" w:rsidRPr="001B4A02">
          <w:delText>5,9</w:delText>
        </w:r>
        <w:r w:rsidR="006008CB">
          <w:delText> %</w:delText>
        </w:r>
        <w:r w:rsidRPr="001B4A02">
          <w:delText xml:space="preserve"> pacientů léčených přípravkem Humira</w:delText>
        </w:r>
        <w:r w:rsidR="002378E0">
          <w:delText xml:space="preserve"> a </w:delText>
        </w:r>
        <w:r w:rsidR="001D5E1C" w:rsidRPr="001B4A02">
          <w:delText>5,</w:delText>
        </w:r>
        <w:r w:rsidR="008A261E" w:rsidRPr="001B4A02">
          <w:delText>4</w:delText>
        </w:r>
        <w:r w:rsidR="006008CB">
          <w:delText> %</w:delText>
        </w:r>
        <w:r w:rsidRPr="001B4A02">
          <w:delText xml:space="preserve"> u</w:delText>
        </w:r>
        <w:r w:rsidR="00B35332" w:rsidRPr="001B4A02">
          <w:delText> </w:delText>
        </w:r>
        <w:r w:rsidRPr="001B4A02">
          <w:delText>pacientů užívajících kontrolní léčbu.</w:delText>
        </w:r>
      </w:del>
    </w:p>
    <w:p w14:paraId="5BBE8AF4" w14:textId="77777777" w:rsidR="007128A7" w:rsidRPr="001B4A02" w:rsidRDefault="007128A7" w:rsidP="00ED48A3">
      <w:pPr>
        <w:ind w:left="0" w:firstLine="0"/>
        <w:rPr>
          <w:del w:id="707" w:author="AbbVie1" w:date="2025-05-13T09:50:00Z"/>
          <w:u w:val="single"/>
        </w:rPr>
      </w:pPr>
    </w:p>
    <w:p w14:paraId="37E590FA" w14:textId="77777777" w:rsidR="0019337B" w:rsidRPr="001B4A02" w:rsidRDefault="00000000" w:rsidP="00ED48A3">
      <w:pPr>
        <w:ind w:left="0" w:firstLine="0"/>
        <w:rPr>
          <w:del w:id="708" w:author="AbbVie1" w:date="2025-05-13T09:50:00Z"/>
        </w:rPr>
      </w:pPr>
      <w:del w:id="709" w:author="AbbVie1" w:date="2025-05-13T09:50:00Z">
        <w:r w:rsidRPr="001B4A02">
          <w:delText>Nejčastěji hlášenými nežádoucími účinky jsou infekce (jako je nasofaryngitida, infekce horních dýchacích cest</w:delText>
        </w:r>
        <w:r w:rsidR="002378E0">
          <w:delText xml:space="preserve"> a </w:delText>
        </w:r>
        <w:r w:rsidRPr="001B4A02">
          <w:delText>sinusitida), reakce v místě injekčního vpichu (erytém, svědění, krvácení, bolest nebo otoky), bolest hlavy</w:delText>
        </w:r>
        <w:r w:rsidR="002378E0">
          <w:delText xml:space="preserve"> a </w:delText>
        </w:r>
        <w:r w:rsidRPr="001B4A02">
          <w:delText>muskuloskeletální bolest.</w:delText>
        </w:r>
      </w:del>
    </w:p>
    <w:p w14:paraId="7CF79498" w14:textId="77777777" w:rsidR="0019337B" w:rsidRPr="001B4A02" w:rsidRDefault="0019337B" w:rsidP="00ED48A3">
      <w:pPr>
        <w:ind w:left="0" w:firstLine="0"/>
        <w:rPr>
          <w:del w:id="710" w:author="AbbVie1" w:date="2025-05-13T09:50:00Z"/>
        </w:rPr>
      </w:pPr>
    </w:p>
    <w:p w14:paraId="410C79E3" w14:textId="77777777" w:rsidR="0019337B" w:rsidRPr="001B4A02" w:rsidRDefault="00000000" w:rsidP="00ED48A3">
      <w:pPr>
        <w:ind w:left="0" w:firstLine="0"/>
        <w:rPr>
          <w:del w:id="711" w:author="AbbVie1" w:date="2025-05-13T09:50:00Z"/>
        </w:rPr>
      </w:pPr>
      <w:del w:id="712" w:author="AbbVie1" w:date="2025-05-13T09:50:00Z">
        <w:r w:rsidRPr="001B4A02">
          <w:delText xml:space="preserve">U přípravku Humira byly hlášeny závažné nežádoucí účinky. TNF antagonisté, jako například </w:delText>
        </w:r>
        <w:r w:rsidR="00E662F3" w:rsidRPr="001B4A02">
          <w:delText xml:space="preserve">přípravek </w:delText>
        </w:r>
        <w:r w:rsidRPr="001B4A02">
          <w:delText>Humira, ovlivňují imunitní systém</w:delText>
        </w:r>
        <w:r w:rsidR="002378E0">
          <w:delText xml:space="preserve"> a </w:delText>
        </w:r>
        <w:r w:rsidRPr="001B4A02">
          <w:delText>jejich užití může ovlivňovat</w:delText>
        </w:r>
        <w:r w:rsidR="00D27680" w:rsidRPr="001B4A02">
          <w:delText xml:space="preserve"> schopnost obrany</w:delText>
        </w:r>
        <w:r w:rsidRPr="001B4A02">
          <w:delText>schopnosti</w:delText>
        </w:r>
        <w:r w:rsidR="00D27680" w:rsidRPr="001B4A02">
          <w:delText xml:space="preserve"> o</w:delText>
        </w:r>
        <w:r w:rsidRPr="001B4A02">
          <w:delText>rganismu vůči infekci</w:delText>
        </w:r>
        <w:r w:rsidR="002378E0">
          <w:delText xml:space="preserve"> a </w:delText>
        </w:r>
        <w:r w:rsidRPr="001B4A02">
          <w:delText>rakovinnému bujení</w:delText>
        </w:r>
        <w:r w:rsidR="00B35332" w:rsidRPr="001B4A02">
          <w:delText>. U </w:delText>
        </w:r>
        <w:r w:rsidR="00D27680" w:rsidRPr="001B4A02">
          <w:delText>přípravku Humira byly také hlášeny fatální</w:delText>
        </w:r>
        <w:r w:rsidR="002378E0">
          <w:delText xml:space="preserve"> a </w:delText>
        </w:r>
        <w:r w:rsidR="00D27680" w:rsidRPr="001B4A02">
          <w:delText>život ohrožující infekce (včetně sepse, oportunních infekcí TBC), HBV reaktivace</w:delText>
        </w:r>
        <w:r w:rsidR="002378E0">
          <w:delText xml:space="preserve"> a </w:delText>
        </w:r>
        <w:r w:rsidR="00D27680" w:rsidRPr="001B4A02">
          <w:delText>různé malignity (včetně leukémie, lymfomů</w:delText>
        </w:r>
        <w:r w:rsidR="002378E0">
          <w:delText xml:space="preserve"> a </w:delText>
        </w:r>
        <w:r w:rsidR="00D27680" w:rsidRPr="001B4A02">
          <w:delText>HSTCL).</w:delText>
        </w:r>
      </w:del>
    </w:p>
    <w:p w14:paraId="16ACDE3F" w14:textId="77777777" w:rsidR="00D27680" w:rsidRPr="001B4A02" w:rsidRDefault="00D27680" w:rsidP="00ED48A3">
      <w:pPr>
        <w:ind w:left="0" w:firstLine="0"/>
        <w:rPr>
          <w:del w:id="713" w:author="AbbVie1" w:date="2025-05-13T09:50:00Z"/>
        </w:rPr>
      </w:pPr>
    </w:p>
    <w:p w14:paraId="00D6D621" w14:textId="77777777" w:rsidR="00D27680" w:rsidRPr="001B4A02" w:rsidRDefault="00000000" w:rsidP="00ED48A3">
      <w:pPr>
        <w:ind w:left="0" w:firstLine="0"/>
        <w:rPr>
          <w:del w:id="714" w:author="AbbVie1" w:date="2025-05-13T09:50:00Z"/>
          <w:u w:val="single"/>
        </w:rPr>
      </w:pPr>
      <w:del w:id="715" w:author="AbbVie1" w:date="2025-05-13T09:50:00Z">
        <w:r w:rsidRPr="001B4A02">
          <w:delText>Byly také hlášeny závažné hematologické, neurologické</w:delText>
        </w:r>
        <w:r w:rsidR="002378E0">
          <w:delText xml:space="preserve"> a </w:delText>
        </w:r>
        <w:r w:rsidRPr="001B4A02">
          <w:delText xml:space="preserve">autoimunní reakce. Tyto zahrnují vzácně se vyskytující případy pancytopenie, </w:delText>
        </w:r>
        <w:r w:rsidR="00B67724" w:rsidRPr="001B4A02">
          <w:delText>a</w:delText>
        </w:r>
        <w:r w:rsidRPr="001B4A02">
          <w:delText>plastické anémie, centrálních</w:delText>
        </w:r>
        <w:r w:rsidR="002378E0">
          <w:delText xml:space="preserve"> a </w:delText>
        </w:r>
        <w:r w:rsidRPr="001B4A02">
          <w:delText xml:space="preserve">periferních demyelinizačních chorob, případy lupus </w:delText>
        </w:r>
        <w:r w:rsidR="002D292A" w:rsidRPr="001B4A02">
          <w:delText>erythematodes</w:delText>
        </w:r>
        <w:r w:rsidR="002378E0">
          <w:delText xml:space="preserve"> a </w:delText>
        </w:r>
        <w:r w:rsidR="002D292A" w:rsidRPr="001B4A02">
          <w:delText>stavů podobných lupusu</w:delText>
        </w:r>
        <w:r w:rsidR="002378E0">
          <w:delText xml:space="preserve"> a </w:delText>
        </w:r>
        <w:r w:rsidR="002D292A" w:rsidRPr="001B4A02">
          <w:delText>Stevens</w:delText>
        </w:r>
        <w:r w:rsidR="00C43387">
          <w:delText>ův</w:delText>
        </w:r>
        <w:r w:rsidR="002D292A" w:rsidRPr="001B4A02">
          <w:delText>-Johnsonův syndrom.</w:delText>
        </w:r>
      </w:del>
    </w:p>
    <w:p w14:paraId="4CE16F27" w14:textId="77777777" w:rsidR="0019337B" w:rsidRPr="001B4A02" w:rsidRDefault="0019337B" w:rsidP="00ED48A3">
      <w:pPr>
        <w:ind w:left="0" w:firstLine="0"/>
        <w:rPr>
          <w:del w:id="716" w:author="AbbVie1" w:date="2025-05-13T09:50:00Z"/>
        </w:rPr>
      </w:pPr>
    </w:p>
    <w:p w14:paraId="7F7209BA" w14:textId="77777777" w:rsidR="007128A7" w:rsidRPr="001B4A02" w:rsidRDefault="00000000" w:rsidP="00ED48A3">
      <w:pPr>
        <w:pStyle w:val="EMEAHeadingUnderline"/>
        <w:keepNext/>
        <w:tabs>
          <w:tab w:val="clear" w:pos="562"/>
        </w:tabs>
        <w:suppressAutoHyphens w:val="0"/>
        <w:spacing w:beforeLines="0" w:before="0" w:afterLines="0" w:after="0"/>
        <w:rPr>
          <w:del w:id="717" w:author="AbbVie1" w:date="2025-05-13T09:50:00Z"/>
          <w:lang w:val="cs-CZ"/>
        </w:rPr>
      </w:pPr>
      <w:del w:id="718" w:author="AbbVie1" w:date="2025-05-13T09:50:00Z">
        <w:r w:rsidRPr="001B4A02">
          <w:rPr>
            <w:lang w:val="cs-CZ"/>
          </w:rPr>
          <w:delText>Pediatrická populace</w:delText>
        </w:r>
      </w:del>
    </w:p>
    <w:p w14:paraId="54EC12B7" w14:textId="77777777" w:rsidR="007128A7" w:rsidRPr="001B4A02" w:rsidRDefault="007128A7" w:rsidP="00ED48A3">
      <w:pPr>
        <w:pStyle w:val="EMEANormal"/>
        <w:keepNext/>
        <w:rPr>
          <w:del w:id="719" w:author="AbbVie1" w:date="2025-05-13T09:50:00Z"/>
          <w:lang w:val="cs-CZ"/>
        </w:rPr>
      </w:pPr>
    </w:p>
    <w:p w14:paraId="7F96D0EA" w14:textId="77777777" w:rsidR="00073F8F" w:rsidRPr="001B4A02" w:rsidRDefault="00000000" w:rsidP="00ED48A3">
      <w:pPr>
        <w:ind w:left="0" w:firstLine="0"/>
        <w:rPr>
          <w:del w:id="720" w:author="AbbVie1" w:date="2025-05-13T09:50:00Z"/>
        </w:rPr>
      </w:pPr>
      <w:del w:id="721" w:author="AbbVie1" w:date="2025-05-13T09:50:00Z">
        <w:r w:rsidRPr="001B4A02">
          <w:delText>Obecně byly nežádoucí účinky u pediatrických pacientů, pokud jde o typ</w:delText>
        </w:r>
        <w:r w:rsidR="002378E0">
          <w:delText xml:space="preserve"> a </w:delText>
        </w:r>
        <w:r w:rsidRPr="001B4A02">
          <w:delText>četnost výskytu, podobné těm, které byly pozorovány u dospělých pacientů.</w:delText>
        </w:r>
      </w:del>
    </w:p>
    <w:p w14:paraId="57D9AA6D" w14:textId="77777777" w:rsidR="007128A7" w:rsidRPr="001B4A02" w:rsidRDefault="007128A7" w:rsidP="00ED48A3">
      <w:pPr>
        <w:ind w:left="0" w:firstLine="0"/>
        <w:rPr>
          <w:del w:id="722" w:author="AbbVie1" w:date="2025-05-13T09:50:00Z"/>
        </w:rPr>
      </w:pPr>
    </w:p>
    <w:p w14:paraId="546BF688" w14:textId="77777777" w:rsidR="00073F8F" w:rsidRPr="001B4A02" w:rsidRDefault="00000000" w:rsidP="000A5426">
      <w:pPr>
        <w:keepNext/>
        <w:ind w:left="0" w:firstLine="0"/>
        <w:rPr>
          <w:del w:id="723" w:author="AbbVie1" w:date="2025-05-13T09:50:00Z"/>
          <w:u w:val="single"/>
        </w:rPr>
      </w:pPr>
      <w:del w:id="724" w:author="AbbVie1" w:date="2025-05-13T09:50:00Z">
        <w:r w:rsidRPr="001B4A02">
          <w:rPr>
            <w:u w:val="single"/>
          </w:rPr>
          <w:delText>Tabulkový seznam nežádoucích účinků</w:delText>
        </w:r>
      </w:del>
    </w:p>
    <w:p w14:paraId="4CDD9E91" w14:textId="77777777" w:rsidR="007128A7" w:rsidRPr="001B4A02" w:rsidRDefault="007128A7" w:rsidP="000A5426">
      <w:pPr>
        <w:keepNext/>
        <w:ind w:left="0" w:firstLine="0"/>
        <w:rPr>
          <w:del w:id="725" w:author="AbbVie1" w:date="2025-05-13T09:50:00Z"/>
        </w:rPr>
      </w:pPr>
    </w:p>
    <w:p w14:paraId="6D18EE60" w14:textId="77777777" w:rsidR="000B55EC" w:rsidRPr="001B4A02" w:rsidRDefault="00000000" w:rsidP="00ED48A3">
      <w:pPr>
        <w:ind w:left="0" w:firstLine="0"/>
        <w:rPr>
          <w:del w:id="726" w:author="AbbVie1" w:date="2025-05-13T09:50:00Z"/>
        </w:rPr>
      </w:pPr>
      <w:del w:id="727" w:author="AbbVie1" w:date="2025-05-13T09:50:00Z">
        <w:r w:rsidRPr="001B4A02">
          <w:delText>Následující výčet nežádoucích účinků je založen na zkušenosti z klinických studií</w:delText>
        </w:r>
        <w:r w:rsidR="002378E0">
          <w:delText xml:space="preserve"> a </w:delText>
        </w:r>
        <w:r w:rsidRPr="001B4A02">
          <w:delText>z období postmarketingu, účinky</w:delText>
        </w:r>
        <w:r w:rsidR="00A72314" w:rsidRPr="001B4A02">
          <w:delText xml:space="preserve"> </w:delText>
        </w:r>
        <w:r w:rsidR="009E6E5A" w:rsidRPr="001B4A02">
          <w:delText xml:space="preserve">jsou </w:delText>
        </w:r>
        <w:r w:rsidR="00073F8F" w:rsidRPr="001B4A02">
          <w:delText>seřazeny podle orgánových systémů</w:delText>
        </w:r>
        <w:r w:rsidR="002378E0">
          <w:delText xml:space="preserve"> a </w:delText>
        </w:r>
        <w:r w:rsidR="00073F8F" w:rsidRPr="001B4A02">
          <w:delText>frekvence</w:delText>
        </w:r>
        <w:r w:rsidR="00E04CE2" w:rsidRPr="001B4A02">
          <w:delText xml:space="preserve"> výskytu</w:delText>
        </w:r>
        <w:r w:rsidR="00073F8F" w:rsidRPr="001B4A02">
          <w:delText xml:space="preserve"> </w:delText>
        </w:r>
        <w:r w:rsidR="00DF7E75" w:rsidRPr="001B4A02">
          <w:delText xml:space="preserve">v Tabulce </w:delText>
        </w:r>
        <w:r w:rsidR="00910F04">
          <w:delText>7</w:delText>
        </w:r>
        <w:r w:rsidR="00D05DC7" w:rsidRPr="001B4A02">
          <w:delText xml:space="preserve"> </w:delText>
        </w:r>
        <w:r w:rsidR="00DF7E75" w:rsidRPr="001B4A02">
          <w:delText xml:space="preserve">níže: </w:delText>
        </w:r>
        <w:r w:rsidR="00073F8F" w:rsidRPr="001B4A02">
          <w:delText xml:space="preserve">velmi časté </w:delText>
        </w:r>
        <w:r w:rsidR="00DF7E75" w:rsidRPr="001B4A02">
          <w:delText>(</w:delText>
        </w:r>
        <w:r w:rsidR="00073F8F" w:rsidRPr="001B4A02">
          <w:rPr>
            <w:rFonts w:ascii="Symbol" w:hAnsi="Symbol"/>
          </w:rPr>
          <w:sym w:font="Symbol" w:char="F0B3"/>
        </w:r>
        <w:r w:rsidR="00073F8F" w:rsidRPr="001B4A02">
          <w:delText> 1/10</w:delText>
        </w:r>
        <w:r w:rsidR="00DF7E75" w:rsidRPr="001B4A02">
          <w:delText>)</w:delText>
        </w:r>
        <w:r w:rsidR="00073F8F" w:rsidRPr="001B4A02">
          <w:delText xml:space="preserve">; časté </w:delText>
        </w:r>
        <w:r w:rsidR="00DF7E75" w:rsidRPr="001B4A02">
          <w:delText>(</w:delText>
        </w:r>
        <w:r w:rsidR="00073F8F" w:rsidRPr="001B4A02">
          <w:rPr>
            <w:rFonts w:ascii="Symbol" w:hAnsi="Symbol"/>
          </w:rPr>
          <w:sym w:font="Symbol" w:char="F0B3"/>
        </w:r>
        <w:r w:rsidR="00073F8F" w:rsidRPr="001B4A02">
          <w:delText xml:space="preserve"> 1/100 do </w:delText>
        </w:r>
        <w:r w:rsidR="009B56B1" w:rsidRPr="001B4A02">
          <w:rPr>
            <w:rFonts w:ascii="Symbol" w:hAnsi="Symbol"/>
          </w:rPr>
          <w:sym w:font="Symbol" w:char="F03C"/>
        </w:r>
        <w:r w:rsidR="00073F8F" w:rsidRPr="001B4A02">
          <w:delText> 1/10</w:delText>
        </w:r>
        <w:r w:rsidR="00DF7E75" w:rsidRPr="001B4A02">
          <w:delText>)</w:delText>
        </w:r>
        <w:r w:rsidR="00073F8F" w:rsidRPr="001B4A02">
          <w:delText xml:space="preserve">; méně časté </w:delText>
        </w:r>
        <w:r w:rsidR="00DF7E75" w:rsidRPr="001B4A02">
          <w:delText>(</w:delText>
        </w:r>
        <w:r w:rsidR="00073F8F" w:rsidRPr="001B4A02">
          <w:rPr>
            <w:rFonts w:ascii="Symbol" w:hAnsi="Symbol"/>
          </w:rPr>
          <w:sym w:font="Symbol" w:char="F0B3"/>
        </w:r>
        <w:r w:rsidR="00073F8F" w:rsidRPr="001B4A02">
          <w:delText> 1/1</w:delText>
        </w:r>
        <w:r w:rsidR="009F584E" w:rsidRPr="001B4A02">
          <w:delText> </w:delText>
        </w:r>
        <w:r w:rsidR="00073F8F" w:rsidRPr="001B4A02">
          <w:delText xml:space="preserve">000 do </w:delText>
        </w:r>
        <w:r w:rsidR="009B56B1" w:rsidRPr="001B4A02">
          <w:rPr>
            <w:rFonts w:ascii="Symbol" w:hAnsi="Symbol"/>
          </w:rPr>
          <w:sym w:font="Symbol" w:char="F03C"/>
        </w:r>
        <w:r w:rsidR="00073F8F" w:rsidRPr="001B4A02">
          <w:delText> 1/100</w:delText>
        </w:r>
        <w:r w:rsidR="00DF7E75" w:rsidRPr="001B4A02">
          <w:delText>)</w:delText>
        </w:r>
        <w:r w:rsidRPr="001B4A02">
          <w:delText>;</w:delText>
        </w:r>
        <w:r w:rsidR="00073F8F" w:rsidRPr="001B4A02">
          <w:delText xml:space="preserve"> vzácné </w:delText>
        </w:r>
        <w:r w:rsidR="00DF7E75" w:rsidRPr="001B4A02">
          <w:delText>(</w:delText>
        </w:r>
        <w:r w:rsidR="00073F8F" w:rsidRPr="001B4A02">
          <w:rPr>
            <w:rFonts w:ascii="Symbol" w:hAnsi="Symbol"/>
          </w:rPr>
          <w:sym w:font="Symbol" w:char="F0B3"/>
        </w:r>
        <w:r w:rsidR="009F584E" w:rsidRPr="001B4A02">
          <w:delText> </w:delText>
        </w:r>
        <w:r w:rsidR="00073F8F" w:rsidRPr="001B4A02">
          <w:delText>1/10</w:delText>
        </w:r>
        <w:r w:rsidR="000A5426">
          <w:delText> </w:delText>
        </w:r>
        <w:r w:rsidR="00073F8F" w:rsidRPr="001B4A02">
          <w:delText xml:space="preserve">000 do </w:delText>
        </w:r>
        <w:r w:rsidR="009B56B1" w:rsidRPr="001B4A02">
          <w:rPr>
            <w:rFonts w:ascii="Symbol" w:hAnsi="Symbol"/>
          </w:rPr>
          <w:sym w:font="Symbol" w:char="F03C"/>
        </w:r>
        <w:r w:rsidR="00073F8F" w:rsidRPr="001B4A02">
          <w:delText> 1/1</w:delText>
        </w:r>
        <w:r w:rsidR="009F584E" w:rsidRPr="001B4A02">
          <w:delText> </w:delText>
        </w:r>
        <w:r w:rsidR="00073F8F" w:rsidRPr="001B4A02">
          <w:delText>000</w:delText>
        </w:r>
        <w:r w:rsidR="00DF7E75" w:rsidRPr="001B4A02">
          <w:delText>)</w:delText>
        </w:r>
        <w:r w:rsidR="002378E0">
          <w:delText xml:space="preserve"> a </w:delText>
        </w:r>
        <w:r w:rsidRPr="001B4A02">
          <w:delText xml:space="preserve">není známo </w:delText>
        </w:r>
        <w:r w:rsidR="00DF7E75" w:rsidRPr="001B4A02">
          <w:delText>(</w:delText>
        </w:r>
        <w:r w:rsidRPr="001B4A02">
          <w:delText>z dostupných údajů nelze určit</w:delText>
        </w:r>
        <w:r w:rsidR="00073F8F" w:rsidRPr="001B4A02">
          <w:delText>). V každé skupině četností jsou nežádoucí účinky řazeny podle klesající záva</w:delText>
        </w:r>
        <w:r w:rsidR="003937A6" w:rsidRPr="001B4A02">
          <w:delText>ž</w:delText>
        </w:r>
        <w:r w:rsidR="00073F8F" w:rsidRPr="001B4A02">
          <w:delText>nosti.</w:delText>
        </w:r>
        <w:r w:rsidRPr="001B4A02">
          <w:delText xml:space="preserve"> </w:delText>
        </w:r>
        <w:r w:rsidR="00016B96" w:rsidRPr="001B4A02">
          <w:delText>Jsou zde zahrnut</w:delText>
        </w:r>
        <w:r w:rsidRPr="001B4A02">
          <w:delText>y účinky, které se, napříč jednotlivými indikacemi, vyskytovaly s</w:delText>
        </w:r>
        <w:r w:rsidR="00B35332" w:rsidRPr="001B4A02">
          <w:delText> </w:delText>
        </w:r>
        <w:r w:rsidRPr="001B4A02">
          <w:delText>nejvyšší frekvencí. Hvězdička (*) se ve sloupci tříd orgánových systémů vyskytuje tehdy, pokud lze další informace nalézt na jiných místech textu, v bodech 4.3, 4.4</w:delText>
        </w:r>
        <w:r w:rsidR="002378E0">
          <w:delText xml:space="preserve"> a </w:delText>
        </w:r>
        <w:r w:rsidRPr="001B4A02">
          <w:delText>4.8.</w:delText>
        </w:r>
      </w:del>
    </w:p>
    <w:p w14:paraId="707DC093" w14:textId="77777777" w:rsidR="000B55EC" w:rsidRPr="001B4A02" w:rsidRDefault="000B55EC" w:rsidP="00ED48A3">
      <w:pPr>
        <w:ind w:left="0" w:firstLine="0"/>
        <w:rPr>
          <w:del w:id="728" w:author="AbbVie1" w:date="2025-05-13T09:50:00Z"/>
        </w:rPr>
      </w:pPr>
    </w:p>
    <w:p w14:paraId="2351B03B" w14:textId="77777777" w:rsidR="000B55EC" w:rsidRPr="001B4A02" w:rsidRDefault="00000000" w:rsidP="000A5426">
      <w:pPr>
        <w:keepNext/>
        <w:ind w:left="0" w:firstLine="0"/>
        <w:jc w:val="center"/>
        <w:rPr>
          <w:del w:id="729" w:author="AbbVie1" w:date="2025-05-13T09:50:00Z"/>
          <w:b/>
        </w:rPr>
      </w:pPr>
      <w:del w:id="730" w:author="AbbVie1" w:date="2025-05-13T09:50:00Z">
        <w:r w:rsidRPr="001B4A02">
          <w:rPr>
            <w:b/>
          </w:rPr>
          <w:delText xml:space="preserve">Tabulka </w:delText>
        </w:r>
        <w:r w:rsidR="00D76799">
          <w:rPr>
            <w:b/>
          </w:rPr>
          <w:delText>7</w:delText>
        </w:r>
      </w:del>
    </w:p>
    <w:p w14:paraId="0FE27F69" w14:textId="77777777" w:rsidR="000B55EC" w:rsidRPr="001B4A02" w:rsidRDefault="00000000" w:rsidP="000A5426">
      <w:pPr>
        <w:pStyle w:val="EndnoteText"/>
        <w:keepNext/>
        <w:ind w:left="0" w:firstLine="0"/>
        <w:jc w:val="center"/>
        <w:rPr>
          <w:del w:id="731" w:author="AbbVie1" w:date="2025-05-13T09:50:00Z"/>
          <w:b/>
          <w:lang w:val="cs-CZ"/>
        </w:rPr>
      </w:pPr>
      <w:del w:id="732" w:author="AbbVie1" w:date="2025-05-13T09:50:00Z">
        <w:r w:rsidRPr="001B4A02">
          <w:rPr>
            <w:b/>
            <w:lang w:val="cs-CZ"/>
          </w:rPr>
          <w:delText>Nežádoucí účinky</w:delText>
        </w:r>
      </w:del>
    </w:p>
    <w:p w14:paraId="7F3E868E" w14:textId="77777777" w:rsidR="000B55EC" w:rsidRPr="001B4A02" w:rsidRDefault="000B55EC" w:rsidP="000A5426">
      <w:pPr>
        <w:keepNext/>
        <w:ind w:left="0" w:firstLine="0"/>
        <w:rPr>
          <w:del w:id="733" w:author="AbbVie1" w:date="2025-05-13T09:50:00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1440"/>
        <w:gridCol w:w="4689"/>
      </w:tblGrid>
      <w:tr w:rsidR="00534A2D" w14:paraId="7DE6F2FC" w14:textId="77777777" w:rsidTr="00DF6C3B">
        <w:trPr>
          <w:jc w:val="center"/>
          <w:del w:id="734" w:author="AbbVie1" w:date="2025-05-13T09:50:00Z"/>
        </w:trPr>
        <w:tc>
          <w:tcPr>
            <w:tcW w:w="2880" w:type="dxa"/>
            <w:tcBorders>
              <w:top w:val="single" w:sz="4" w:space="0" w:color="auto"/>
              <w:left w:val="single" w:sz="4" w:space="0" w:color="auto"/>
              <w:bottom w:val="single" w:sz="4" w:space="0" w:color="auto"/>
              <w:right w:val="single" w:sz="4" w:space="0" w:color="auto"/>
            </w:tcBorders>
          </w:tcPr>
          <w:p w14:paraId="1CBCE442" w14:textId="77777777" w:rsidR="000B55EC" w:rsidRPr="001B4A02" w:rsidRDefault="00000000" w:rsidP="000A5426">
            <w:pPr>
              <w:pStyle w:val="EMEANormal"/>
              <w:keepNext/>
              <w:tabs>
                <w:tab w:val="left" w:pos="0"/>
              </w:tabs>
              <w:suppressAutoHyphens w:val="0"/>
              <w:rPr>
                <w:del w:id="735" w:author="AbbVie1" w:date="2025-05-13T09:50:00Z"/>
                <w:b/>
                <w:bCs/>
                <w:szCs w:val="22"/>
                <w:lang w:val="cs-CZ"/>
              </w:rPr>
            </w:pPr>
            <w:del w:id="736" w:author="AbbVie1" w:date="2025-05-13T09:50:00Z">
              <w:r w:rsidRPr="001B4A02">
                <w:rPr>
                  <w:b/>
                  <w:bCs/>
                  <w:szCs w:val="22"/>
                  <w:lang w:val="cs-CZ"/>
                </w:rPr>
                <w:delText>Třídy orgánových systémů</w:delText>
              </w:r>
            </w:del>
          </w:p>
        </w:tc>
        <w:tc>
          <w:tcPr>
            <w:tcW w:w="1440" w:type="dxa"/>
            <w:tcBorders>
              <w:top w:val="single" w:sz="4" w:space="0" w:color="auto"/>
              <w:left w:val="single" w:sz="4" w:space="0" w:color="auto"/>
              <w:bottom w:val="single" w:sz="4" w:space="0" w:color="auto"/>
              <w:right w:val="single" w:sz="4" w:space="0" w:color="auto"/>
            </w:tcBorders>
          </w:tcPr>
          <w:p w14:paraId="158D7665" w14:textId="77777777" w:rsidR="000B55EC" w:rsidRPr="001B4A02" w:rsidRDefault="00000000" w:rsidP="000A5426">
            <w:pPr>
              <w:pStyle w:val="EMEANormal"/>
              <w:keepNext/>
              <w:suppressAutoHyphens w:val="0"/>
              <w:ind w:left="112"/>
              <w:rPr>
                <w:del w:id="737" w:author="AbbVie1" w:date="2025-05-13T09:50:00Z"/>
                <w:b/>
                <w:bCs/>
                <w:szCs w:val="22"/>
                <w:lang w:val="cs-CZ"/>
              </w:rPr>
            </w:pPr>
            <w:del w:id="738" w:author="AbbVie1" w:date="2025-05-13T09:50:00Z">
              <w:r w:rsidRPr="001B4A02">
                <w:rPr>
                  <w:b/>
                  <w:bCs/>
                  <w:szCs w:val="22"/>
                  <w:lang w:val="cs-CZ"/>
                </w:rPr>
                <w:delText>Frekvence</w:delText>
              </w:r>
            </w:del>
          </w:p>
        </w:tc>
        <w:tc>
          <w:tcPr>
            <w:tcW w:w="4689" w:type="dxa"/>
            <w:tcBorders>
              <w:top w:val="single" w:sz="4" w:space="0" w:color="auto"/>
              <w:left w:val="single" w:sz="4" w:space="0" w:color="auto"/>
              <w:bottom w:val="single" w:sz="4" w:space="0" w:color="auto"/>
              <w:right w:val="single" w:sz="4" w:space="0" w:color="auto"/>
            </w:tcBorders>
          </w:tcPr>
          <w:p w14:paraId="6F03BFEE" w14:textId="77777777" w:rsidR="000B55EC" w:rsidRPr="001B4A02" w:rsidRDefault="00000000" w:rsidP="000A5426">
            <w:pPr>
              <w:pStyle w:val="EMEANormal"/>
              <w:keepNext/>
              <w:suppressAutoHyphens w:val="0"/>
              <w:rPr>
                <w:del w:id="739" w:author="AbbVie1" w:date="2025-05-13T09:50:00Z"/>
                <w:b/>
                <w:bCs/>
                <w:szCs w:val="22"/>
                <w:lang w:val="cs-CZ"/>
              </w:rPr>
            </w:pPr>
            <w:del w:id="740" w:author="AbbVie1" w:date="2025-05-13T09:50:00Z">
              <w:r w:rsidRPr="001B4A02">
                <w:rPr>
                  <w:b/>
                  <w:bCs/>
                  <w:szCs w:val="22"/>
                  <w:lang w:val="cs-CZ"/>
                </w:rPr>
                <w:delText>Nežádoucí účinek</w:delText>
              </w:r>
            </w:del>
          </w:p>
        </w:tc>
      </w:tr>
      <w:tr w:rsidR="00534A2D" w14:paraId="69965001" w14:textId="77777777" w:rsidTr="00961CF6">
        <w:trPr>
          <w:cantSplit/>
          <w:trHeight w:val="343"/>
          <w:jc w:val="center"/>
          <w:del w:id="741" w:author="AbbVie1" w:date="2025-05-13T09:50:00Z"/>
        </w:trPr>
        <w:tc>
          <w:tcPr>
            <w:tcW w:w="2880" w:type="dxa"/>
            <w:vMerge w:val="restart"/>
            <w:tcBorders>
              <w:top w:val="single" w:sz="4" w:space="0" w:color="auto"/>
              <w:left w:val="single" w:sz="4" w:space="0" w:color="auto"/>
              <w:right w:val="single" w:sz="4" w:space="0" w:color="auto"/>
            </w:tcBorders>
          </w:tcPr>
          <w:p w14:paraId="2004B28C" w14:textId="77777777" w:rsidR="000B55EC" w:rsidRPr="001B4A02" w:rsidRDefault="00000000" w:rsidP="00ED48A3">
            <w:pPr>
              <w:pStyle w:val="EMEANormal"/>
              <w:tabs>
                <w:tab w:val="left" w:pos="0"/>
              </w:tabs>
              <w:rPr>
                <w:del w:id="742" w:author="AbbVie1" w:date="2025-05-13T09:50:00Z"/>
                <w:szCs w:val="22"/>
                <w:lang w:val="cs-CZ"/>
              </w:rPr>
            </w:pPr>
            <w:del w:id="743" w:author="AbbVie1" w:date="2025-05-13T09:50:00Z">
              <w:r w:rsidRPr="001B4A02">
                <w:rPr>
                  <w:szCs w:val="22"/>
                  <w:lang w:val="cs-CZ"/>
                </w:rPr>
                <w:delText>Infekce</w:delText>
              </w:r>
              <w:r w:rsidR="002378E0">
                <w:rPr>
                  <w:szCs w:val="22"/>
                  <w:lang w:val="cs-CZ"/>
                </w:rPr>
                <w:delText xml:space="preserve"> a </w:delText>
              </w:r>
              <w:r w:rsidRPr="001B4A02">
                <w:rPr>
                  <w:szCs w:val="22"/>
                  <w:lang w:val="cs-CZ"/>
                </w:rPr>
                <w:delText>infestace*</w:delText>
              </w:r>
            </w:del>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F426838" w14:textId="77777777" w:rsidR="000B55EC" w:rsidRPr="001B4A02" w:rsidRDefault="00000000" w:rsidP="00ED48A3">
            <w:pPr>
              <w:pStyle w:val="EMEANormal"/>
              <w:rPr>
                <w:del w:id="744" w:author="AbbVie1" w:date="2025-05-13T09:50:00Z"/>
                <w:szCs w:val="22"/>
                <w:lang w:val="cs-CZ"/>
              </w:rPr>
            </w:pPr>
            <w:del w:id="745"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tcPr>
          <w:p w14:paraId="61A5117F" w14:textId="77777777" w:rsidR="000B55EC" w:rsidRPr="001B4A02" w:rsidRDefault="00000000" w:rsidP="00ED48A3">
            <w:pPr>
              <w:pStyle w:val="EMEANormal"/>
              <w:rPr>
                <w:del w:id="746" w:author="AbbVie1" w:date="2025-05-13T09:50:00Z"/>
                <w:szCs w:val="22"/>
                <w:lang w:val="cs-CZ"/>
              </w:rPr>
            </w:pPr>
            <w:del w:id="747" w:author="AbbVie1" w:date="2025-05-13T09:50:00Z">
              <w:r w:rsidRPr="001B4A02">
                <w:rPr>
                  <w:szCs w:val="22"/>
                  <w:lang w:val="cs-CZ"/>
                </w:rPr>
                <w:delText>Infekce dýchacích cest (včetně infekce dolních</w:delText>
              </w:r>
              <w:r w:rsidR="002378E0">
                <w:rPr>
                  <w:szCs w:val="22"/>
                  <w:lang w:val="cs-CZ"/>
                </w:rPr>
                <w:delText xml:space="preserve"> a </w:delText>
              </w:r>
              <w:r w:rsidRPr="001B4A02">
                <w:rPr>
                  <w:szCs w:val="22"/>
                  <w:lang w:val="cs-CZ"/>
                </w:rPr>
                <w:delText>horních cest dýchacích, pneumonie, sinusitidy, faryngitidy, nazofaryngitidy</w:delText>
              </w:r>
              <w:r w:rsidR="002378E0">
                <w:rPr>
                  <w:szCs w:val="22"/>
                  <w:lang w:val="cs-CZ"/>
                </w:rPr>
                <w:delText xml:space="preserve"> a </w:delText>
              </w:r>
              <w:r w:rsidRPr="001B4A02">
                <w:rPr>
                  <w:szCs w:val="22"/>
                  <w:lang w:val="cs-CZ"/>
                </w:rPr>
                <w:delText>pneumonie vyvolané herpetickými viry)</w:delText>
              </w:r>
            </w:del>
          </w:p>
          <w:p w14:paraId="149D175F" w14:textId="77777777" w:rsidR="000B55EC" w:rsidRPr="001B4A02" w:rsidRDefault="000B55EC" w:rsidP="00ED48A3">
            <w:pPr>
              <w:pStyle w:val="EMEANormal"/>
              <w:rPr>
                <w:del w:id="748" w:author="AbbVie1" w:date="2025-05-13T09:50:00Z"/>
                <w:szCs w:val="22"/>
                <w:lang w:val="cs-CZ"/>
              </w:rPr>
            </w:pPr>
          </w:p>
        </w:tc>
      </w:tr>
      <w:tr w:rsidR="00534A2D" w14:paraId="75BD3F71" w14:textId="77777777" w:rsidTr="00961CF6">
        <w:trPr>
          <w:cantSplit/>
          <w:trHeight w:val="342"/>
          <w:jc w:val="center"/>
          <w:del w:id="749" w:author="AbbVie1" w:date="2025-05-13T09:50:00Z"/>
        </w:trPr>
        <w:tc>
          <w:tcPr>
            <w:tcW w:w="2880" w:type="dxa"/>
            <w:vMerge/>
            <w:tcBorders>
              <w:left w:val="single" w:sz="4" w:space="0" w:color="auto"/>
              <w:right w:val="single" w:sz="4" w:space="0" w:color="auto"/>
            </w:tcBorders>
          </w:tcPr>
          <w:p w14:paraId="468834EB" w14:textId="77777777" w:rsidR="000B55EC" w:rsidRPr="001B4A02" w:rsidRDefault="000B55EC" w:rsidP="00ED48A3">
            <w:pPr>
              <w:pStyle w:val="EMEANormal"/>
              <w:tabs>
                <w:tab w:val="left" w:pos="0"/>
              </w:tabs>
              <w:rPr>
                <w:del w:id="750" w:author="AbbVie1" w:date="2025-05-13T09:50:00Z"/>
                <w:szCs w:val="22"/>
                <w:lang w:val="cs-CZ"/>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262ED31" w14:textId="77777777" w:rsidR="000B55EC" w:rsidRPr="001B4A02" w:rsidRDefault="00000000" w:rsidP="00ED48A3">
            <w:pPr>
              <w:pStyle w:val="EMEANormal"/>
              <w:rPr>
                <w:del w:id="751" w:author="AbbVie1" w:date="2025-05-13T09:50:00Z"/>
                <w:szCs w:val="22"/>
                <w:lang w:val="cs-CZ"/>
              </w:rPr>
            </w:pPr>
            <w:del w:id="752"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58325820" w14:textId="77777777" w:rsidR="000B55EC" w:rsidRPr="001B4A02" w:rsidRDefault="00000000" w:rsidP="00ED48A3">
            <w:pPr>
              <w:pStyle w:val="EMEANormal"/>
              <w:rPr>
                <w:del w:id="753" w:author="AbbVie1" w:date="2025-05-13T09:50:00Z"/>
                <w:szCs w:val="22"/>
                <w:lang w:val="cs-CZ"/>
              </w:rPr>
            </w:pPr>
            <w:del w:id="754" w:author="AbbVie1" w:date="2025-05-13T09:50:00Z">
              <w:r w:rsidRPr="001B4A02">
                <w:rPr>
                  <w:szCs w:val="22"/>
                  <w:lang w:val="cs-CZ"/>
                </w:rPr>
                <w:delText>Systémové infekce (včetně sepse, kandidózy</w:delText>
              </w:r>
              <w:r w:rsidR="002378E0">
                <w:rPr>
                  <w:szCs w:val="22"/>
                  <w:lang w:val="cs-CZ"/>
                </w:rPr>
                <w:delText xml:space="preserve"> a </w:delText>
              </w:r>
              <w:r w:rsidRPr="001B4A02">
                <w:rPr>
                  <w:szCs w:val="22"/>
                  <w:lang w:val="cs-CZ"/>
                </w:rPr>
                <w:delText>chřipky),</w:delText>
              </w:r>
            </w:del>
          </w:p>
          <w:p w14:paraId="1E6BB00C" w14:textId="77777777" w:rsidR="000B55EC" w:rsidRPr="001B4A02" w:rsidRDefault="00000000" w:rsidP="00ED48A3">
            <w:pPr>
              <w:pStyle w:val="EMEANormal"/>
              <w:rPr>
                <w:del w:id="755" w:author="AbbVie1" w:date="2025-05-13T09:50:00Z"/>
                <w:szCs w:val="22"/>
                <w:lang w:val="cs-CZ"/>
              </w:rPr>
            </w:pPr>
            <w:del w:id="756" w:author="AbbVie1" w:date="2025-05-13T09:50:00Z">
              <w:r w:rsidRPr="001B4A02">
                <w:rPr>
                  <w:szCs w:val="22"/>
                  <w:lang w:val="cs-CZ"/>
                </w:rPr>
                <w:delText>střevní infekce (včetně virové gastroenteritidy),</w:delText>
              </w:r>
            </w:del>
          </w:p>
          <w:p w14:paraId="244D8FD5" w14:textId="77777777" w:rsidR="000B55EC" w:rsidRPr="001B4A02" w:rsidRDefault="00000000" w:rsidP="00ED48A3">
            <w:pPr>
              <w:pStyle w:val="EMEANormal"/>
              <w:rPr>
                <w:del w:id="757" w:author="AbbVie1" w:date="2025-05-13T09:50:00Z"/>
                <w:szCs w:val="22"/>
                <w:lang w:val="cs-CZ"/>
              </w:rPr>
            </w:pPr>
            <w:del w:id="758" w:author="AbbVie1" w:date="2025-05-13T09:50:00Z">
              <w:r w:rsidRPr="001B4A02">
                <w:rPr>
                  <w:szCs w:val="22"/>
                  <w:lang w:val="cs-CZ"/>
                </w:rPr>
                <w:delText>infekce kůže</w:delText>
              </w:r>
              <w:r w:rsidR="002378E0">
                <w:rPr>
                  <w:szCs w:val="22"/>
                  <w:lang w:val="cs-CZ"/>
                </w:rPr>
                <w:delText xml:space="preserve"> a </w:delText>
              </w:r>
              <w:r w:rsidRPr="001B4A02">
                <w:rPr>
                  <w:szCs w:val="22"/>
                  <w:lang w:val="cs-CZ"/>
                </w:rPr>
                <w:delText>měkkých tkání (včetně paronychia, celulitidy, impetiga, nekrotizující fasciitidy</w:delText>
              </w:r>
              <w:r w:rsidR="002378E0">
                <w:rPr>
                  <w:szCs w:val="22"/>
                  <w:lang w:val="cs-CZ"/>
                </w:rPr>
                <w:delText xml:space="preserve"> a </w:delText>
              </w:r>
              <w:r w:rsidRPr="001B4A02">
                <w:rPr>
                  <w:szCs w:val="22"/>
                  <w:lang w:val="cs-CZ"/>
                </w:rPr>
                <w:delText>herpes zoster</w:delText>
              </w:r>
              <w:r w:rsidR="003937A6" w:rsidRPr="001B4A02">
                <w:rPr>
                  <w:szCs w:val="22"/>
                  <w:lang w:val="cs-CZ"/>
                </w:rPr>
                <w:delText>)</w:delText>
              </w:r>
              <w:r w:rsidRPr="001B4A02">
                <w:rPr>
                  <w:szCs w:val="22"/>
                  <w:lang w:val="cs-CZ"/>
                </w:rPr>
                <w:delText>,</w:delText>
              </w:r>
            </w:del>
          </w:p>
          <w:p w14:paraId="4E939F31" w14:textId="77777777" w:rsidR="000B55EC" w:rsidRPr="001B4A02" w:rsidRDefault="00000000" w:rsidP="00ED48A3">
            <w:pPr>
              <w:pStyle w:val="EMEANormal"/>
              <w:rPr>
                <w:del w:id="759" w:author="AbbVie1" w:date="2025-05-13T09:50:00Z"/>
                <w:szCs w:val="22"/>
                <w:lang w:val="cs-CZ"/>
              </w:rPr>
            </w:pPr>
            <w:del w:id="760" w:author="AbbVie1" w:date="2025-05-13T09:50:00Z">
              <w:r w:rsidRPr="001B4A02">
                <w:rPr>
                  <w:szCs w:val="22"/>
                  <w:lang w:val="cs-CZ"/>
                </w:rPr>
                <w:delText>ušní infekce,</w:delText>
              </w:r>
            </w:del>
          </w:p>
          <w:p w14:paraId="104EF937" w14:textId="77777777" w:rsidR="000B55EC" w:rsidRPr="001B4A02" w:rsidRDefault="00000000" w:rsidP="00ED48A3">
            <w:pPr>
              <w:pStyle w:val="EMEANormal"/>
              <w:rPr>
                <w:del w:id="761" w:author="AbbVie1" w:date="2025-05-13T09:50:00Z"/>
                <w:szCs w:val="22"/>
                <w:shd w:val="clear" w:color="auto" w:fill="FFFF00"/>
                <w:lang w:val="cs-CZ"/>
              </w:rPr>
            </w:pPr>
            <w:del w:id="762" w:author="AbbVie1" w:date="2025-05-13T09:50:00Z">
              <w:r w:rsidRPr="001B4A02">
                <w:rPr>
                  <w:szCs w:val="22"/>
                  <w:lang w:val="cs-CZ"/>
                </w:rPr>
                <w:delText>orální infekce (včetně herpes simplex, orální</w:delText>
              </w:r>
              <w:r w:rsidR="00936E7B">
                <w:rPr>
                  <w:szCs w:val="22"/>
                  <w:lang w:val="cs-CZ"/>
                </w:rPr>
                <w:delText>ho</w:delText>
              </w:r>
              <w:r w:rsidRPr="001B4A02">
                <w:rPr>
                  <w:szCs w:val="22"/>
                  <w:lang w:val="cs-CZ"/>
                </w:rPr>
                <w:delText xml:space="preserve"> herpes</w:delText>
              </w:r>
              <w:r w:rsidR="002378E0">
                <w:rPr>
                  <w:szCs w:val="22"/>
                  <w:lang w:val="cs-CZ"/>
                </w:rPr>
                <w:delText xml:space="preserve"> a </w:delText>
              </w:r>
              <w:r w:rsidRPr="001B4A02">
                <w:rPr>
                  <w:szCs w:val="22"/>
                  <w:lang w:val="cs-CZ"/>
                </w:rPr>
                <w:delText>zubní</w:delText>
              </w:r>
              <w:r w:rsidR="003937A6" w:rsidRPr="001B4A02">
                <w:rPr>
                  <w:szCs w:val="22"/>
                  <w:lang w:val="cs-CZ"/>
                </w:rPr>
                <w:delText>ch</w:delText>
              </w:r>
              <w:r w:rsidRPr="001B4A02">
                <w:rPr>
                  <w:szCs w:val="22"/>
                  <w:lang w:val="cs-CZ"/>
                </w:rPr>
                <w:delText xml:space="preserve"> infekc</w:delText>
              </w:r>
              <w:r w:rsidR="003937A6" w:rsidRPr="001B4A02">
                <w:rPr>
                  <w:szCs w:val="22"/>
                  <w:lang w:val="cs-CZ"/>
                </w:rPr>
                <w:delText>í</w:delText>
              </w:r>
              <w:r w:rsidRPr="001B4A02">
                <w:rPr>
                  <w:szCs w:val="22"/>
                  <w:lang w:val="cs-CZ"/>
                </w:rPr>
                <w:delText>),</w:delText>
              </w:r>
              <w:r w:rsidRPr="001B4A02">
                <w:rPr>
                  <w:szCs w:val="22"/>
                  <w:shd w:val="clear" w:color="auto" w:fill="FFFF00"/>
                  <w:lang w:val="cs-CZ"/>
                </w:rPr>
                <w:delText xml:space="preserve"> </w:delText>
              </w:r>
            </w:del>
          </w:p>
          <w:p w14:paraId="40BB615D" w14:textId="77777777" w:rsidR="000B55EC" w:rsidRPr="001B4A02" w:rsidRDefault="00000000" w:rsidP="00ED48A3">
            <w:pPr>
              <w:pStyle w:val="EMEANormal"/>
              <w:rPr>
                <w:del w:id="763" w:author="AbbVie1" w:date="2025-05-13T09:50:00Z"/>
                <w:szCs w:val="22"/>
                <w:lang w:val="cs-CZ"/>
              </w:rPr>
            </w:pPr>
            <w:del w:id="764" w:author="AbbVie1" w:date="2025-05-13T09:50:00Z">
              <w:r w:rsidRPr="001B4A02">
                <w:rPr>
                  <w:szCs w:val="22"/>
                  <w:lang w:val="cs-CZ"/>
                </w:rPr>
                <w:delText>infekce reprodukčního systému (včetně vulvovaginální myotické infekce),</w:delText>
              </w:r>
            </w:del>
          </w:p>
          <w:p w14:paraId="6F92F0F8" w14:textId="77777777" w:rsidR="000B55EC" w:rsidRPr="001B4A02" w:rsidRDefault="00000000" w:rsidP="00ED48A3">
            <w:pPr>
              <w:pStyle w:val="EMEANormal"/>
              <w:rPr>
                <w:del w:id="765" w:author="AbbVie1" w:date="2025-05-13T09:50:00Z"/>
                <w:szCs w:val="22"/>
                <w:lang w:val="cs-CZ"/>
              </w:rPr>
            </w:pPr>
            <w:del w:id="766" w:author="AbbVie1" w:date="2025-05-13T09:50:00Z">
              <w:r w:rsidRPr="001B4A02">
                <w:rPr>
                  <w:szCs w:val="22"/>
                  <w:lang w:val="cs-CZ"/>
                </w:rPr>
                <w:delText>infekce močových cest (včetně pyelonefritidy),</w:delText>
              </w:r>
            </w:del>
          </w:p>
          <w:p w14:paraId="73333F2B" w14:textId="77777777" w:rsidR="000C7B3D" w:rsidRPr="001B4A02" w:rsidRDefault="00000000" w:rsidP="00ED48A3">
            <w:pPr>
              <w:pStyle w:val="EMEANormal"/>
              <w:rPr>
                <w:del w:id="767" w:author="AbbVie1" w:date="2025-05-13T09:50:00Z"/>
                <w:szCs w:val="22"/>
                <w:lang w:val="cs-CZ"/>
              </w:rPr>
            </w:pPr>
            <w:del w:id="768" w:author="AbbVie1" w:date="2025-05-13T09:50:00Z">
              <w:r w:rsidRPr="001B4A02">
                <w:rPr>
                  <w:szCs w:val="22"/>
                  <w:lang w:val="cs-CZ"/>
                </w:rPr>
                <w:delText>plísňové infekce,</w:delText>
              </w:r>
            </w:del>
          </w:p>
          <w:p w14:paraId="100B562D" w14:textId="77777777" w:rsidR="000B55EC" w:rsidRPr="001B4A02" w:rsidRDefault="00000000" w:rsidP="00ED48A3">
            <w:pPr>
              <w:pStyle w:val="EMEANormal"/>
              <w:rPr>
                <w:del w:id="769" w:author="AbbVie1" w:date="2025-05-13T09:50:00Z"/>
                <w:szCs w:val="22"/>
                <w:lang w:val="cs-CZ"/>
              </w:rPr>
            </w:pPr>
            <w:del w:id="770" w:author="AbbVie1" w:date="2025-05-13T09:50:00Z">
              <w:r w:rsidRPr="001B4A02">
                <w:rPr>
                  <w:szCs w:val="22"/>
                  <w:lang w:val="cs-CZ"/>
                </w:rPr>
                <w:delText xml:space="preserve">kloubní infekce </w:delText>
              </w:r>
            </w:del>
          </w:p>
          <w:p w14:paraId="1DF5B213" w14:textId="77777777" w:rsidR="000B55EC" w:rsidRPr="001B4A02" w:rsidRDefault="000B55EC" w:rsidP="00ED48A3">
            <w:pPr>
              <w:pStyle w:val="EMEANormal"/>
              <w:rPr>
                <w:del w:id="771" w:author="AbbVie1" w:date="2025-05-13T09:50:00Z"/>
                <w:szCs w:val="22"/>
                <w:lang w:val="cs-CZ"/>
              </w:rPr>
            </w:pPr>
          </w:p>
        </w:tc>
      </w:tr>
      <w:tr w:rsidR="00534A2D" w14:paraId="0E087008" w14:textId="77777777" w:rsidTr="00961CF6">
        <w:trPr>
          <w:cantSplit/>
          <w:trHeight w:val="342"/>
          <w:jc w:val="center"/>
          <w:del w:id="772" w:author="AbbVie1" w:date="2025-05-13T09:50:00Z"/>
        </w:trPr>
        <w:tc>
          <w:tcPr>
            <w:tcW w:w="2880" w:type="dxa"/>
            <w:vMerge/>
            <w:tcBorders>
              <w:left w:val="single" w:sz="4" w:space="0" w:color="auto"/>
              <w:bottom w:val="single" w:sz="4" w:space="0" w:color="auto"/>
              <w:right w:val="single" w:sz="4" w:space="0" w:color="auto"/>
            </w:tcBorders>
          </w:tcPr>
          <w:p w14:paraId="7837C942" w14:textId="77777777" w:rsidR="000B55EC" w:rsidRPr="001B4A02" w:rsidRDefault="000B55EC" w:rsidP="00ED48A3">
            <w:pPr>
              <w:pStyle w:val="EMEANormal"/>
              <w:tabs>
                <w:tab w:val="left" w:pos="0"/>
              </w:tabs>
              <w:rPr>
                <w:del w:id="773" w:author="AbbVie1" w:date="2025-05-13T09:50:00Z"/>
                <w:szCs w:val="22"/>
                <w:lang w:val="cs-CZ"/>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F30E8E2" w14:textId="77777777" w:rsidR="000B55EC" w:rsidRPr="001B4A02" w:rsidRDefault="00000000" w:rsidP="00ED48A3">
            <w:pPr>
              <w:pStyle w:val="EMEANormal"/>
              <w:rPr>
                <w:del w:id="774" w:author="AbbVie1" w:date="2025-05-13T09:50:00Z"/>
                <w:szCs w:val="22"/>
                <w:lang w:val="cs-CZ"/>
              </w:rPr>
            </w:pPr>
            <w:del w:id="775"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6262DBF9" w14:textId="77777777" w:rsidR="000B55EC" w:rsidRPr="001B4A02" w:rsidRDefault="00000000" w:rsidP="00ED48A3">
            <w:pPr>
              <w:pStyle w:val="EMEANormal"/>
              <w:rPr>
                <w:del w:id="776" w:author="AbbVie1" w:date="2025-05-13T09:50:00Z"/>
                <w:szCs w:val="22"/>
                <w:lang w:val="cs-CZ"/>
              </w:rPr>
            </w:pPr>
            <w:del w:id="777" w:author="AbbVie1" w:date="2025-05-13T09:50:00Z">
              <w:r w:rsidRPr="001B4A02">
                <w:rPr>
                  <w:szCs w:val="22"/>
                  <w:lang w:val="cs-CZ"/>
                </w:rPr>
                <w:delText>N</w:delText>
              </w:r>
              <w:r w:rsidR="00130F24" w:rsidRPr="001B4A02">
                <w:rPr>
                  <w:szCs w:val="22"/>
                  <w:lang w:val="cs-CZ"/>
                </w:rPr>
                <w:delText xml:space="preserve">eurologické infekce (včetně virové meningitidy), </w:delText>
              </w:r>
              <w:r w:rsidRPr="001B4A02">
                <w:rPr>
                  <w:szCs w:val="22"/>
                  <w:lang w:val="cs-CZ"/>
                </w:rPr>
                <w:delText>oportunní infekce</w:delText>
              </w:r>
              <w:r w:rsidR="002378E0">
                <w:rPr>
                  <w:szCs w:val="22"/>
                  <w:lang w:val="cs-CZ"/>
                </w:rPr>
                <w:delText xml:space="preserve"> a </w:delText>
              </w:r>
              <w:r w:rsidRPr="001B4A02">
                <w:rPr>
                  <w:szCs w:val="22"/>
                  <w:lang w:val="cs-CZ"/>
                </w:rPr>
                <w:delText>tuberkulóza (včetně kokcidiomykózy, histoplasmózy</w:delText>
              </w:r>
              <w:r w:rsidR="002378E0">
                <w:rPr>
                  <w:szCs w:val="22"/>
                  <w:lang w:val="cs-CZ"/>
                </w:rPr>
                <w:delText xml:space="preserve"> a </w:delText>
              </w:r>
              <w:r w:rsidRPr="001B4A02">
                <w:rPr>
                  <w:szCs w:val="22"/>
                  <w:lang w:val="cs-CZ"/>
                </w:rPr>
                <w:delText xml:space="preserve">infekcí způsobených mycobacterium avium complex), </w:delText>
              </w:r>
            </w:del>
          </w:p>
          <w:p w14:paraId="059DD04E" w14:textId="77777777" w:rsidR="00130F24" w:rsidRPr="001B4A02" w:rsidRDefault="00000000" w:rsidP="00ED48A3">
            <w:pPr>
              <w:pStyle w:val="EMEANormal"/>
              <w:rPr>
                <w:del w:id="778" w:author="AbbVie1" w:date="2025-05-13T09:50:00Z"/>
                <w:szCs w:val="22"/>
                <w:lang w:val="cs-CZ"/>
              </w:rPr>
            </w:pPr>
            <w:del w:id="779" w:author="AbbVie1" w:date="2025-05-13T09:50:00Z">
              <w:r w:rsidRPr="001B4A02">
                <w:rPr>
                  <w:szCs w:val="22"/>
                  <w:lang w:val="cs-CZ"/>
                </w:rPr>
                <w:delText>bakteriální infekce,</w:delText>
              </w:r>
            </w:del>
          </w:p>
          <w:p w14:paraId="124CE295" w14:textId="77777777" w:rsidR="000B55EC" w:rsidRPr="001B4A02" w:rsidRDefault="00000000" w:rsidP="00ED48A3">
            <w:pPr>
              <w:pStyle w:val="EMEANormal"/>
              <w:rPr>
                <w:del w:id="780" w:author="AbbVie1" w:date="2025-05-13T09:50:00Z"/>
                <w:szCs w:val="22"/>
                <w:lang w:val="cs-CZ"/>
              </w:rPr>
            </w:pPr>
            <w:del w:id="781" w:author="AbbVie1" w:date="2025-05-13T09:50:00Z">
              <w:r w:rsidRPr="001B4A02">
                <w:rPr>
                  <w:szCs w:val="22"/>
                  <w:lang w:val="cs-CZ"/>
                </w:rPr>
                <w:delText>oční infekce,</w:delText>
              </w:r>
            </w:del>
          </w:p>
          <w:p w14:paraId="2A9D21FB" w14:textId="77777777" w:rsidR="00130F24" w:rsidRPr="001B4A02" w:rsidRDefault="00000000" w:rsidP="00ED48A3">
            <w:pPr>
              <w:pStyle w:val="EMEANormal"/>
              <w:rPr>
                <w:del w:id="782" w:author="AbbVie1" w:date="2025-05-13T09:50:00Z"/>
                <w:szCs w:val="22"/>
                <w:lang w:val="cs-CZ"/>
              </w:rPr>
            </w:pPr>
            <w:del w:id="783" w:author="AbbVie1" w:date="2025-05-13T09:50:00Z">
              <w:r w:rsidRPr="001B4A02">
                <w:rPr>
                  <w:szCs w:val="22"/>
                  <w:lang w:val="cs-CZ"/>
                </w:rPr>
                <w:delText>divertikulitida</w:delText>
              </w:r>
              <w:r w:rsidRPr="001B4A02">
                <w:rPr>
                  <w:szCs w:val="22"/>
                  <w:vertAlign w:val="superscript"/>
                  <w:lang w:val="cs-CZ"/>
                </w:rPr>
                <w:delText>1)</w:delText>
              </w:r>
            </w:del>
          </w:p>
          <w:p w14:paraId="692D6855" w14:textId="77777777" w:rsidR="000B55EC" w:rsidRPr="001B4A02" w:rsidRDefault="000B55EC" w:rsidP="00ED48A3">
            <w:pPr>
              <w:pStyle w:val="EMEANormal"/>
              <w:rPr>
                <w:del w:id="784" w:author="AbbVie1" w:date="2025-05-13T09:50:00Z"/>
                <w:szCs w:val="22"/>
                <w:lang w:val="cs-CZ"/>
              </w:rPr>
            </w:pPr>
          </w:p>
        </w:tc>
      </w:tr>
      <w:tr w:rsidR="00534A2D" w14:paraId="3CEB2BE5" w14:textId="77777777" w:rsidTr="00961CF6">
        <w:trPr>
          <w:cantSplit/>
          <w:trHeight w:val="274"/>
          <w:jc w:val="center"/>
          <w:del w:id="785" w:author="AbbVie1" w:date="2025-05-13T09:50:00Z"/>
        </w:trPr>
        <w:tc>
          <w:tcPr>
            <w:tcW w:w="2880" w:type="dxa"/>
            <w:vMerge w:val="restart"/>
            <w:tcBorders>
              <w:top w:val="single" w:sz="4" w:space="0" w:color="auto"/>
              <w:left w:val="single" w:sz="4" w:space="0" w:color="auto"/>
              <w:right w:val="single" w:sz="4" w:space="0" w:color="auto"/>
            </w:tcBorders>
          </w:tcPr>
          <w:p w14:paraId="74BE8CA3" w14:textId="77777777" w:rsidR="006A1440" w:rsidRPr="001B4A02" w:rsidRDefault="00000000" w:rsidP="00ED48A3">
            <w:pPr>
              <w:pStyle w:val="EMEANormal"/>
              <w:tabs>
                <w:tab w:val="left" w:pos="0"/>
              </w:tabs>
              <w:suppressAutoHyphens w:val="0"/>
              <w:rPr>
                <w:del w:id="786" w:author="AbbVie1" w:date="2025-05-13T09:50:00Z"/>
                <w:szCs w:val="22"/>
                <w:lang w:val="cs-CZ"/>
              </w:rPr>
            </w:pPr>
            <w:del w:id="787" w:author="AbbVie1" w:date="2025-05-13T09:50:00Z">
              <w:r w:rsidRPr="001B4A02">
                <w:rPr>
                  <w:szCs w:val="22"/>
                  <w:lang w:val="cs-CZ"/>
                </w:rPr>
                <w:delText>Novotvary benigní, maligní</w:delText>
              </w:r>
              <w:r w:rsidR="002378E0">
                <w:rPr>
                  <w:szCs w:val="22"/>
                  <w:lang w:val="cs-CZ"/>
                </w:rPr>
                <w:delText xml:space="preserve"> a </w:delText>
              </w:r>
              <w:r w:rsidRPr="001B4A02">
                <w:rPr>
                  <w:szCs w:val="22"/>
                  <w:lang w:val="cs-CZ"/>
                </w:rPr>
                <w:delText>blíže neurčené (zahrnující cysty</w:delText>
              </w:r>
              <w:r w:rsidR="002378E0">
                <w:rPr>
                  <w:szCs w:val="22"/>
                  <w:lang w:val="cs-CZ"/>
                </w:rPr>
                <w:delText xml:space="preserve"> a </w:delText>
              </w:r>
              <w:r w:rsidRPr="001B4A02">
                <w:rPr>
                  <w:szCs w:val="22"/>
                  <w:lang w:val="cs-CZ"/>
                </w:rPr>
                <w:delText>polypy)*</w:delText>
              </w:r>
            </w:del>
          </w:p>
        </w:tc>
        <w:tc>
          <w:tcPr>
            <w:tcW w:w="1440" w:type="dxa"/>
            <w:tcBorders>
              <w:top w:val="single" w:sz="4" w:space="0" w:color="auto"/>
              <w:left w:val="single" w:sz="4" w:space="0" w:color="auto"/>
              <w:bottom w:val="single" w:sz="4" w:space="0" w:color="auto"/>
              <w:right w:val="single" w:sz="4" w:space="0" w:color="auto"/>
            </w:tcBorders>
          </w:tcPr>
          <w:p w14:paraId="4D265016" w14:textId="77777777" w:rsidR="006A1440" w:rsidRPr="001B4A02" w:rsidRDefault="00000000" w:rsidP="00ED48A3">
            <w:pPr>
              <w:pStyle w:val="EMEANormal"/>
              <w:rPr>
                <w:del w:id="788" w:author="AbbVie1" w:date="2025-05-13T09:50:00Z"/>
                <w:szCs w:val="22"/>
                <w:lang w:val="cs-CZ"/>
              </w:rPr>
            </w:pPr>
            <w:del w:id="789"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51DB3408" w14:textId="77777777" w:rsidR="006A1440" w:rsidRPr="001B4A02" w:rsidRDefault="00000000" w:rsidP="00ED48A3">
            <w:pPr>
              <w:pStyle w:val="EMEANormal"/>
              <w:rPr>
                <w:del w:id="790" w:author="AbbVie1" w:date="2025-05-13T09:50:00Z"/>
                <w:szCs w:val="22"/>
                <w:lang w:val="cs-CZ"/>
              </w:rPr>
            </w:pPr>
            <w:del w:id="791" w:author="AbbVie1" w:date="2025-05-13T09:50:00Z">
              <w:r w:rsidRPr="001B4A02">
                <w:rPr>
                  <w:szCs w:val="22"/>
                  <w:lang w:val="cs-CZ"/>
                </w:rPr>
                <w:delText>Karcinom kůže vyjma melanomu (včetně karcinomu z bazálních buněk</w:delText>
              </w:r>
              <w:r w:rsidR="002378E0">
                <w:rPr>
                  <w:szCs w:val="22"/>
                  <w:lang w:val="cs-CZ"/>
                </w:rPr>
                <w:delText xml:space="preserve"> a </w:delText>
              </w:r>
              <w:r w:rsidRPr="001B4A02">
                <w:rPr>
                  <w:szCs w:val="22"/>
                  <w:lang w:val="cs-CZ"/>
                </w:rPr>
                <w:delText>skvamózního buněčného karcinomu),</w:delText>
              </w:r>
            </w:del>
          </w:p>
          <w:p w14:paraId="61680127" w14:textId="77777777" w:rsidR="006A1440" w:rsidRPr="001B4A02" w:rsidRDefault="00000000" w:rsidP="00ED48A3">
            <w:pPr>
              <w:pStyle w:val="EMEANormal"/>
              <w:rPr>
                <w:del w:id="792" w:author="AbbVie1" w:date="2025-05-13T09:50:00Z"/>
                <w:szCs w:val="22"/>
                <w:lang w:val="cs-CZ"/>
              </w:rPr>
            </w:pPr>
            <w:del w:id="793" w:author="AbbVie1" w:date="2025-05-13T09:50:00Z">
              <w:r w:rsidRPr="001B4A02">
                <w:rPr>
                  <w:szCs w:val="22"/>
                  <w:lang w:val="cs-CZ"/>
                </w:rPr>
                <w:delText>benigní neoplázie</w:delText>
              </w:r>
            </w:del>
          </w:p>
          <w:p w14:paraId="6E0124BC" w14:textId="77777777" w:rsidR="006A1440" w:rsidRPr="001B4A02" w:rsidRDefault="006A1440" w:rsidP="00ED48A3">
            <w:pPr>
              <w:pStyle w:val="EMEANormal"/>
              <w:rPr>
                <w:del w:id="794" w:author="AbbVie1" w:date="2025-05-13T09:50:00Z"/>
                <w:szCs w:val="22"/>
                <w:lang w:val="cs-CZ"/>
              </w:rPr>
            </w:pPr>
          </w:p>
        </w:tc>
      </w:tr>
      <w:tr w:rsidR="00534A2D" w14:paraId="3D049C61" w14:textId="77777777" w:rsidTr="00961CF6">
        <w:trPr>
          <w:cantSplit/>
          <w:trHeight w:val="432"/>
          <w:jc w:val="center"/>
          <w:del w:id="795" w:author="AbbVie1" w:date="2025-05-13T09:50:00Z"/>
        </w:trPr>
        <w:tc>
          <w:tcPr>
            <w:tcW w:w="0" w:type="auto"/>
            <w:vMerge/>
            <w:tcBorders>
              <w:left w:val="single" w:sz="4" w:space="0" w:color="auto"/>
              <w:right w:val="single" w:sz="4" w:space="0" w:color="auto"/>
            </w:tcBorders>
            <w:vAlign w:val="center"/>
          </w:tcPr>
          <w:p w14:paraId="24FFC3BD" w14:textId="77777777" w:rsidR="006A1440" w:rsidRPr="001B4A02" w:rsidRDefault="006A1440" w:rsidP="00ED48A3">
            <w:pPr>
              <w:ind w:left="0" w:firstLine="0"/>
              <w:rPr>
                <w:del w:id="796"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0304F172" w14:textId="77777777" w:rsidR="006A1440" w:rsidRPr="001B4A02" w:rsidRDefault="00000000" w:rsidP="00ED48A3">
            <w:pPr>
              <w:pStyle w:val="EMEANormal"/>
              <w:rPr>
                <w:del w:id="797" w:author="AbbVie1" w:date="2025-05-13T09:50:00Z"/>
                <w:szCs w:val="22"/>
                <w:lang w:val="cs-CZ"/>
              </w:rPr>
            </w:pPr>
            <w:del w:id="798"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6FAF5656" w14:textId="77777777" w:rsidR="006A1440" w:rsidRPr="001B4A02" w:rsidRDefault="00000000" w:rsidP="00ED48A3">
            <w:pPr>
              <w:pStyle w:val="EMEANormal"/>
              <w:rPr>
                <w:del w:id="799" w:author="AbbVie1" w:date="2025-05-13T09:50:00Z"/>
                <w:szCs w:val="22"/>
                <w:lang w:val="cs-CZ"/>
              </w:rPr>
            </w:pPr>
            <w:del w:id="800" w:author="AbbVie1" w:date="2025-05-13T09:50:00Z">
              <w:r w:rsidRPr="001B4A02">
                <w:rPr>
                  <w:szCs w:val="22"/>
                  <w:lang w:val="cs-CZ"/>
                </w:rPr>
                <w:delText>Lymfom**,</w:delText>
              </w:r>
            </w:del>
          </w:p>
          <w:p w14:paraId="34901CBA" w14:textId="77777777" w:rsidR="006A1440" w:rsidRPr="001B4A02" w:rsidRDefault="00000000" w:rsidP="00ED48A3">
            <w:pPr>
              <w:pStyle w:val="EMEANormal"/>
              <w:rPr>
                <w:del w:id="801" w:author="AbbVie1" w:date="2025-05-13T09:50:00Z"/>
                <w:szCs w:val="22"/>
                <w:lang w:val="cs-CZ"/>
              </w:rPr>
            </w:pPr>
            <w:del w:id="802" w:author="AbbVie1" w:date="2025-05-13T09:50:00Z">
              <w:r w:rsidRPr="001B4A02">
                <w:rPr>
                  <w:szCs w:val="22"/>
                  <w:lang w:val="cs-CZ"/>
                </w:rPr>
                <w:delText>novotvary solidních orgánů (včetně karcinomu prsu, plicní neoplázie</w:delText>
              </w:r>
              <w:r w:rsidR="002378E0">
                <w:rPr>
                  <w:szCs w:val="22"/>
                  <w:lang w:val="cs-CZ"/>
                </w:rPr>
                <w:delText xml:space="preserve"> a </w:delText>
              </w:r>
              <w:r w:rsidRPr="001B4A02">
                <w:rPr>
                  <w:szCs w:val="22"/>
                  <w:lang w:val="cs-CZ"/>
                </w:rPr>
                <w:delText>neoplázie štítné žlázy),</w:delText>
              </w:r>
            </w:del>
          </w:p>
          <w:p w14:paraId="17AAE350" w14:textId="77777777" w:rsidR="006A1440" w:rsidRPr="001B4A02" w:rsidRDefault="00000000" w:rsidP="00ED48A3">
            <w:pPr>
              <w:pStyle w:val="EMEANormal"/>
              <w:rPr>
                <w:del w:id="803" w:author="AbbVie1" w:date="2025-05-13T09:50:00Z"/>
                <w:szCs w:val="22"/>
                <w:lang w:val="cs-CZ"/>
              </w:rPr>
            </w:pPr>
            <w:del w:id="804" w:author="AbbVie1" w:date="2025-05-13T09:50:00Z">
              <w:r w:rsidRPr="001B4A02">
                <w:rPr>
                  <w:szCs w:val="22"/>
                  <w:lang w:val="cs-CZ"/>
                </w:rPr>
                <w:delText>melanom**</w:delText>
              </w:r>
            </w:del>
          </w:p>
          <w:p w14:paraId="11DF4271" w14:textId="77777777" w:rsidR="006A1440" w:rsidRPr="001B4A02" w:rsidRDefault="006A1440" w:rsidP="00ED48A3">
            <w:pPr>
              <w:pStyle w:val="EMEANormal"/>
              <w:rPr>
                <w:del w:id="805" w:author="AbbVie1" w:date="2025-05-13T09:50:00Z"/>
                <w:szCs w:val="22"/>
                <w:lang w:val="cs-CZ"/>
              </w:rPr>
            </w:pPr>
          </w:p>
        </w:tc>
      </w:tr>
      <w:tr w:rsidR="00534A2D" w14:paraId="45CFE636" w14:textId="77777777" w:rsidTr="00961CF6">
        <w:trPr>
          <w:cantSplit/>
          <w:trHeight w:val="432"/>
          <w:jc w:val="center"/>
          <w:del w:id="806" w:author="AbbVie1" w:date="2025-05-13T09:50:00Z"/>
        </w:trPr>
        <w:tc>
          <w:tcPr>
            <w:tcW w:w="0" w:type="auto"/>
            <w:vMerge/>
            <w:tcBorders>
              <w:left w:val="single" w:sz="4" w:space="0" w:color="auto"/>
              <w:right w:val="single" w:sz="4" w:space="0" w:color="auto"/>
            </w:tcBorders>
            <w:vAlign w:val="center"/>
          </w:tcPr>
          <w:p w14:paraId="74EFF8F8" w14:textId="77777777" w:rsidR="006A1440" w:rsidRPr="001B4A02" w:rsidRDefault="006A1440" w:rsidP="00ED48A3">
            <w:pPr>
              <w:ind w:left="0" w:firstLine="0"/>
              <w:rPr>
                <w:del w:id="807"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352F4A17" w14:textId="77777777" w:rsidR="006A1440" w:rsidRPr="001B4A02" w:rsidRDefault="00000000" w:rsidP="00ED48A3">
            <w:pPr>
              <w:pStyle w:val="EMEANormal"/>
              <w:rPr>
                <w:del w:id="808" w:author="AbbVie1" w:date="2025-05-13T09:50:00Z"/>
                <w:szCs w:val="22"/>
                <w:lang w:val="cs-CZ"/>
              </w:rPr>
            </w:pPr>
            <w:del w:id="809"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723A21E7" w14:textId="77777777" w:rsidR="006A1440" w:rsidRDefault="00000000" w:rsidP="00ED48A3">
            <w:pPr>
              <w:pStyle w:val="EMEANormal"/>
              <w:rPr>
                <w:del w:id="810" w:author="AbbVie1" w:date="2025-05-13T09:50:00Z"/>
                <w:szCs w:val="22"/>
                <w:lang w:val="cs-CZ"/>
              </w:rPr>
            </w:pPr>
            <w:del w:id="811" w:author="AbbVie1" w:date="2025-05-13T09:50:00Z">
              <w:r w:rsidRPr="001B4A02">
                <w:rPr>
                  <w:szCs w:val="22"/>
                  <w:lang w:val="cs-CZ"/>
                </w:rPr>
                <w:delText>L</w:delText>
              </w:r>
              <w:r w:rsidR="00E1057E" w:rsidRPr="001B4A02">
                <w:rPr>
                  <w:szCs w:val="22"/>
                  <w:lang w:val="cs-CZ"/>
                </w:rPr>
                <w:delText>eukémie</w:delText>
              </w:r>
              <w:r w:rsidR="00E1057E" w:rsidRPr="001B4A02">
                <w:rPr>
                  <w:szCs w:val="22"/>
                  <w:vertAlign w:val="superscript"/>
                  <w:lang w:val="cs-CZ"/>
                </w:rPr>
                <w:delText>1)</w:delText>
              </w:r>
            </w:del>
          </w:p>
          <w:p w14:paraId="3B339B0C" w14:textId="77777777" w:rsidR="001D76B9" w:rsidRPr="001D76B9" w:rsidRDefault="001D76B9" w:rsidP="00ED48A3">
            <w:pPr>
              <w:pStyle w:val="EMEANormal"/>
              <w:rPr>
                <w:del w:id="812" w:author="AbbVie1" w:date="2025-05-13T09:50:00Z"/>
                <w:szCs w:val="22"/>
                <w:lang w:val="cs-CZ"/>
              </w:rPr>
            </w:pPr>
          </w:p>
        </w:tc>
      </w:tr>
      <w:tr w:rsidR="00534A2D" w14:paraId="60EAEEF8" w14:textId="77777777" w:rsidTr="00961CF6">
        <w:trPr>
          <w:cantSplit/>
          <w:trHeight w:val="432"/>
          <w:jc w:val="center"/>
          <w:del w:id="813" w:author="AbbVie1" w:date="2025-05-13T09:50:00Z"/>
        </w:trPr>
        <w:tc>
          <w:tcPr>
            <w:tcW w:w="0" w:type="auto"/>
            <w:vMerge/>
            <w:tcBorders>
              <w:left w:val="single" w:sz="4" w:space="0" w:color="auto"/>
              <w:bottom w:val="single" w:sz="4" w:space="0" w:color="auto"/>
              <w:right w:val="single" w:sz="4" w:space="0" w:color="auto"/>
            </w:tcBorders>
            <w:vAlign w:val="center"/>
          </w:tcPr>
          <w:p w14:paraId="53BF9110" w14:textId="77777777" w:rsidR="006A1440" w:rsidRPr="001B4A02" w:rsidRDefault="006A1440" w:rsidP="00ED48A3">
            <w:pPr>
              <w:ind w:left="0" w:firstLine="0"/>
              <w:rPr>
                <w:del w:id="814"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772CFEC8" w14:textId="77777777" w:rsidR="006A1440" w:rsidRPr="001B4A02" w:rsidRDefault="00000000" w:rsidP="00ED48A3">
            <w:pPr>
              <w:pStyle w:val="EMEANormal"/>
              <w:rPr>
                <w:del w:id="815" w:author="AbbVie1" w:date="2025-05-13T09:50:00Z"/>
                <w:szCs w:val="22"/>
                <w:lang w:val="cs-CZ"/>
              </w:rPr>
            </w:pPr>
            <w:del w:id="816" w:author="AbbVie1" w:date="2025-05-13T09:50:00Z">
              <w:r w:rsidRPr="001B4A02">
                <w:rPr>
                  <w:szCs w:val="22"/>
                  <w:lang w:val="cs-CZ"/>
                </w:rPr>
                <w:delText>Není známo</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1437350C" w14:textId="77777777" w:rsidR="006A1440" w:rsidRPr="009A21A5" w:rsidRDefault="00000000" w:rsidP="00ED48A3">
            <w:pPr>
              <w:ind w:left="0" w:firstLine="0"/>
              <w:rPr>
                <w:del w:id="817" w:author="AbbVie1" w:date="2025-05-13T09:50:00Z"/>
              </w:rPr>
            </w:pPr>
            <w:del w:id="818" w:author="AbbVie1" w:date="2025-05-13T09:50:00Z">
              <w:r w:rsidRPr="001B4A02">
                <w:delText>H</w:delText>
              </w:r>
              <w:r w:rsidR="00E1057E" w:rsidRPr="001B4A02">
                <w:delText>epatosplenický T-buněčný lymfom</w:delText>
              </w:r>
              <w:r w:rsidR="00E1057E" w:rsidRPr="001B4A02">
                <w:rPr>
                  <w:vertAlign w:val="superscript"/>
                </w:rPr>
                <w:delText>1)</w:delText>
              </w:r>
              <w:r w:rsidR="009A21A5">
                <w:delText>,</w:delText>
              </w:r>
            </w:del>
          </w:p>
          <w:p w14:paraId="24FAC08A" w14:textId="77777777" w:rsidR="009A21A5" w:rsidRDefault="00000000" w:rsidP="009A21A5">
            <w:pPr>
              <w:pStyle w:val="EMEANormal"/>
              <w:rPr>
                <w:del w:id="819" w:author="AbbVie1" w:date="2025-05-13T09:50:00Z"/>
                <w:lang w:val="cs-CZ"/>
              </w:rPr>
            </w:pPr>
            <w:del w:id="820" w:author="AbbVie1" w:date="2025-05-13T09:50:00Z">
              <w:r w:rsidRPr="009A21A5">
                <w:rPr>
                  <w:lang w:val="cs-CZ"/>
                </w:rPr>
                <w:delText>karcinom z Merkelových buněk (neuroendokrinní karcinom kůže)</w:delText>
              </w:r>
              <w:r w:rsidRPr="009A21A5">
                <w:rPr>
                  <w:vertAlign w:val="superscript"/>
                  <w:lang w:val="cs-CZ"/>
                </w:rPr>
                <w:delText>1</w:delText>
              </w:r>
              <w:r>
                <w:rPr>
                  <w:lang w:val="cs-CZ"/>
                </w:rPr>
                <w:delText>,</w:delText>
              </w:r>
            </w:del>
          </w:p>
          <w:p w14:paraId="42B923EE" w14:textId="77777777" w:rsidR="000270E1" w:rsidRPr="009A21A5" w:rsidRDefault="00000000" w:rsidP="009A21A5">
            <w:pPr>
              <w:ind w:left="0" w:firstLine="0"/>
              <w:rPr>
                <w:del w:id="821" w:author="AbbVie1" w:date="2025-05-13T09:50:00Z"/>
              </w:rPr>
            </w:pPr>
            <w:del w:id="822" w:author="AbbVie1" w:date="2025-05-13T09:50:00Z">
              <w:r>
                <w:delText>Kaposiho sarkom</w:delText>
              </w:r>
            </w:del>
          </w:p>
          <w:p w14:paraId="53A44B55" w14:textId="77777777" w:rsidR="000270E1" w:rsidRPr="001B4A02" w:rsidRDefault="000270E1" w:rsidP="00ED48A3">
            <w:pPr>
              <w:ind w:left="0" w:firstLine="0"/>
              <w:rPr>
                <w:del w:id="823" w:author="AbbVie1" w:date="2025-05-13T09:50:00Z"/>
              </w:rPr>
            </w:pPr>
          </w:p>
        </w:tc>
      </w:tr>
      <w:tr w:rsidR="00534A2D" w14:paraId="1F505B45" w14:textId="77777777" w:rsidTr="00961CF6">
        <w:trPr>
          <w:cantSplit/>
          <w:trHeight w:val="127"/>
          <w:jc w:val="center"/>
          <w:del w:id="824" w:author="AbbVie1" w:date="2025-05-13T09:50:00Z"/>
        </w:trPr>
        <w:tc>
          <w:tcPr>
            <w:tcW w:w="2880" w:type="dxa"/>
            <w:vMerge w:val="restart"/>
            <w:tcBorders>
              <w:top w:val="single" w:sz="4" w:space="0" w:color="auto"/>
              <w:left w:val="single" w:sz="4" w:space="0" w:color="auto"/>
              <w:right w:val="single" w:sz="4" w:space="0" w:color="auto"/>
            </w:tcBorders>
          </w:tcPr>
          <w:p w14:paraId="2FDE79EF" w14:textId="77777777" w:rsidR="000B55EC" w:rsidRPr="001B4A02" w:rsidRDefault="00000000" w:rsidP="00ED48A3">
            <w:pPr>
              <w:pStyle w:val="EMEANormal"/>
              <w:tabs>
                <w:tab w:val="left" w:pos="0"/>
              </w:tabs>
              <w:rPr>
                <w:del w:id="825" w:author="AbbVie1" w:date="2025-05-13T09:50:00Z"/>
                <w:szCs w:val="22"/>
                <w:lang w:val="cs-CZ"/>
              </w:rPr>
            </w:pPr>
            <w:del w:id="826" w:author="AbbVie1" w:date="2025-05-13T09:50:00Z">
              <w:r w:rsidRPr="001B4A02">
                <w:rPr>
                  <w:szCs w:val="22"/>
                  <w:lang w:val="cs-CZ"/>
                </w:rPr>
                <w:delText>Poruchy krve</w:delText>
              </w:r>
              <w:r w:rsidR="002378E0">
                <w:rPr>
                  <w:szCs w:val="22"/>
                  <w:lang w:val="cs-CZ"/>
                </w:rPr>
                <w:delText xml:space="preserve"> a </w:delText>
              </w:r>
              <w:r w:rsidRPr="001B4A02">
                <w:rPr>
                  <w:szCs w:val="22"/>
                  <w:lang w:val="cs-CZ"/>
                </w:rPr>
                <w:delText>lymfatického systému*</w:delText>
              </w:r>
            </w:del>
          </w:p>
        </w:tc>
        <w:tc>
          <w:tcPr>
            <w:tcW w:w="1440" w:type="dxa"/>
            <w:tcBorders>
              <w:top w:val="single" w:sz="4" w:space="0" w:color="auto"/>
              <w:left w:val="single" w:sz="4" w:space="0" w:color="auto"/>
              <w:bottom w:val="single" w:sz="4" w:space="0" w:color="auto"/>
              <w:right w:val="single" w:sz="4" w:space="0" w:color="auto"/>
            </w:tcBorders>
          </w:tcPr>
          <w:p w14:paraId="04F89780" w14:textId="77777777" w:rsidR="000B55EC" w:rsidRPr="001B4A02" w:rsidRDefault="00000000" w:rsidP="00ED48A3">
            <w:pPr>
              <w:pStyle w:val="EMEANormal"/>
              <w:rPr>
                <w:del w:id="827" w:author="AbbVie1" w:date="2025-05-13T09:50:00Z"/>
                <w:szCs w:val="22"/>
                <w:lang w:val="cs-CZ"/>
              </w:rPr>
            </w:pPr>
            <w:del w:id="828"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4FD8BC87" w14:textId="77777777" w:rsidR="000B55EC" w:rsidRPr="001B4A02" w:rsidRDefault="00000000" w:rsidP="00ED48A3">
            <w:pPr>
              <w:pStyle w:val="EMEANormal"/>
              <w:rPr>
                <w:del w:id="829" w:author="AbbVie1" w:date="2025-05-13T09:50:00Z"/>
                <w:szCs w:val="22"/>
                <w:lang w:val="cs-CZ"/>
              </w:rPr>
            </w:pPr>
            <w:del w:id="830" w:author="AbbVie1" w:date="2025-05-13T09:50:00Z">
              <w:r w:rsidRPr="001B4A02">
                <w:rPr>
                  <w:szCs w:val="22"/>
                  <w:lang w:val="cs-CZ"/>
                </w:rPr>
                <w:delText>Leukopenie (včetně neutropenie</w:delText>
              </w:r>
              <w:r w:rsidR="002378E0">
                <w:rPr>
                  <w:szCs w:val="22"/>
                  <w:lang w:val="cs-CZ"/>
                </w:rPr>
                <w:delText xml:space="preserve"> a </w:delText>
              </w:r>
              <w:r w:rsidRPr="001B4A02">
                <w:rPr>
                  <w:szCs w:val="22"/>
                  <w:lang w:val="cs-CZ"/>
                </w:rPr>
                <w:delText>agranulocytózy),</w:delText>
              </w:r>
            </w:del>
          </w:p>
          <w:p w14:paraId="48C55545" w14:textId="77777777" w:rsidR="000B55EC" w:rsidRPr="001B4A02" w:rsidRDefault="00000000" w:rsidP="00ED48A3">
            <w:pPr>
              <w:pStyle w:val="EMEANormal"/>
              <w:rPr>
                <w:del w:id="831" w:author="AbbVie1" w:date="2025-05-13T09:50:00Z"/>
                <w:szCs w:val="22"/>
                <w:lang w:val="cs-CZ"/>
              </w:rPr>
            </w:pPr>
            <w:del w:id="832" w:author="AbbVie1" w:date="2025-05-13T09:50:00Z">
              <w:r w:rsidRPr="001B4A02">
                <w:rPr>
                  <w:szCs w:val="22"/>
                  <w:lang w:val="cs-CZ"/>
                </w:rPr>
                <w:delText>anémie</w:delText>
              </w:r>
            </w:del>
          </w:p>
          <w:p w14:paraId="556503D1" w14:textId="77777777" w:rsidR="000B55EC" w:rsidRPr="001B4A02" w:rsidRDefault="000B55EC" w:rsidP="00ED48A3">
            <w:pPr>
              <w:pStyle w:val="EMEANormal"/>
              <w:rPr>
                <w:del w:id="833" w:author="AbbVie1" w:date="2025-05-13T09:50:00Z"/>
                <w:szCs w:val="22"/>
                <w:lang w:val="cs-CZ"/>
              </w:rPr>
            </w:pPr>
          </w:p>
        </w:tc>
      </w:tr>
      <w:tr w:rsidR="00534A2D" w14:paraId="083E3FE6" w14:textId="77777777" w:rsidTr="00961CF6">
        <w:trPr>
          <w:cantSplit/>
          <w:trHeight w:val="127"/>
          <w:jc w:val="center"/>
          <w:del w:id="834" w:author="AbbVie1" w:date="2025-05-13T09:50:00Z"/>
        </w:trPr>
        <w:tc>
          <w:tcPr>
            <w:tcW w:w="2880" w:type="dxa"/>
            <w:vMerge/>
            <w:tcBorders>
              <w:left w:val="single" w:sz="4" w:space="0" w:color="auto"/>
              <w:right w:val="single" w:sz="4" w:space="0" w:color="auto"/>
            </w:tcBorders>
          </w:tcPr>
          <w:p w14:paraId="68CA2095" w14:textId="77777777" w:rsidR="000B55EC" w:rsidRPr="001B4A02" w:rsidRDefault="000B55EC" w:rsidP="00ED48A3">
            <w:pPr>
              <w:pStyle w:val="EMEANormal"/>
              <w:tabs>
                <w:tab w:val="left" w:pos="0"/>
              </w:tabs>
              <w:rPr>
                <w:del w:id="835" w:author="AbbVie1" w:date="2025-05-13T09:50:00Z"/>
                <w:szCs w:val="22"/>
                <w:lang w:val="cs-CZ"/>
              </w:rPr>
            </w:pPr>
          </w:p>
        </w:tc>
        <w:tc>
          <w:tcPr>
            <w:tcW w:w="1440" w:type="dxa"/>
            <w:tcBorders>
              <w:top w:val="single" w:sz="4" w:space="0" w:color="auto"/>
              <w:left w:val="single" w:sz="4" w:space="0" w:color="auto"/>
              <w:bottom w:val="single" w:sz="4" w:space="0" w:color="auto"/>
              <w:right w:val="single" w:sz="4" w:space="0" w:color="auto"/>
            </w:tcBorders>
          </w:tcPr>
          <w:p w14:paraId="2D50EF03" w14:textId="77777777" w:rsidR="000B55EC" w:rsidRPr="001B4A02" w:rsidRDefault="00000000" w:rsidP="00ED48A3">
            <w:pPr>
              <w:pStyle w:val="EMEANormal"/>
              <w:rPr>
                <w:del w:id="836" w:author="AbbVie1" w:date="2025-05-13T09:50:00Z"/>
                <w:szCs w:val="22"/>
                <w:lang w:val="cs-CZ"/>
              </w:rPr>
            </w:pPr>
            <w:del w:id="837"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14EE1BBC" w14:textId="77777777" w:rsidR="00B74923" w:rsidRPr="001B4A02" w:rsidRDefault="00000000" w:rsidP="00ED48A3">
            <w:pPr>
              <w:pStyle w:val="EMEANormal"/>
              <w:rPr>
                <w:del w:id="838" w:author="AbbVie1" w:date="2025-05-13T09:50:00Z"/>
                <w:szCs w:val="22"/>
                <w:lang w:val="cs-CZ"/>
              </w:rPr>
            </w:pPr>
            <w:del w:id="839" w:author="AbbVie1" w:date="2025-05-13T09:50:00Z">
              <w:r w:rsidRPr="001B4A02">
                <w:rPr>
                  <w:szCs w:val="22"/>
                  <w:lang w:val="cs-CZ"/>
                </w:rPr>
                <w:delText>Leukocytóza</w:delText>
              </w:r>
              <w:r w:rsidR="00AF5BDC" w:rsidRPr="001B4A02">
                <w:rPr>
                  <w:szCs w:val="22"/>
                  <w:lang w:val="cs-CZ"/>
                </w:rPr>
                <w:delText>,</w:delText>
              </w:r>
            </w:del>
          </w:p>
          <w:p w14:paraId="0DAAC661" w14:textId="77777777" w:rsidR="000B55EC" w:rsidRPr="001B4A02" w:rsidRDefault="00000000" w:rsidP="00ED48A3">
            <w:pPr>
              <w:pStyle w:val="EMEANormal"/>
              <w:rPr>
                <w:del w:id="840" w:author="AbbVie1" w:date="2025-05-13T09:50:00Z"/>
                <w:szCs w:val="22"/>
                <w:lang w:val="cs-CZ"/>
              </w:rPr>
            </w:pPr>
            <w:del w:id="841" w:author="AbbVie1" w:date="2025-05-13T09:50:00Z">
              <w:r w:rsidRPr="001B4A02">
                <w:rPr>
                  <w:szCs w:val="22"/>
                  <w:lang w:val="cs-CZ"/>
                </w:rPr>
                <w:delText>trombocytopenie</w:delText>
              </w:r>
            </w:del>
          </w:p>
          <w:p w14:paraId="6B892ADD" w14:textId="77777777" w:rsidR="000B55EC" w:rsidRPr="001B4A02" w:rsidRDefault="000B55EC" w:rsidP="00ED48A3">
            <w:pPr>
              <w:pStyle w:val="EMEANormal"/>
              <w:rPr>
                <w:del w:id="842" w:author="AbbVie1" w:date="2025-05-13T09:50:00Z"/>
                <w:szCs w:val="22"/>
                <w:lang w:val="cs-CZ"/>
              </w:rPr>
            </w:pPr>
          </w:p>
        </w:tc>
      </w:tr>
      <w:tr w:rsidR="00534A2D" w14:paraId="1A29646E" w14:textId="77777777" w:rsidTr="00961CF6">
        <w:trPr>
          <w:cantSplit/>
          <w:trHeight w:val="88"/>
          <w:jc w:val="center"/>
          <w:del w:id="843" w:author="AbbVie1" w:date="2025-05-13T09:50:00Z"/>
        </w:trPr>
        <w:tc>
          <w:tcPr>
            <w:tcW w:w="0" w:type="auto"/>
            <w:vMerge/>
            <w:tcBorders>
              <w:left w:val="single" w:sz="4" w:space="0" w:color="auto"/>
              <w:right w:val="single" w:sz="4" w:space="0" w:color="auto"/>
            </w:tcBorders>
            <w:vAlign w:val="center"/>
          </w:tcPr>
          <w:p w14:paraId="57260556" w14:textId="77777777" w:rsidR="000B55EC" w:rsidRPr="001B4A02" w:rsidRDefault="000B55EC" w:rsidP="00ED48A3">
            <w:pPr>
              <w:ind w:left="0" w:firstLine="0"/>
              <w:rPr>
                <w:del w:id="844"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68A7A994" w14:textId="77777777" w:rsidR="000B55EC" w:rsidRPr="001B4A02" w:rsidRDefault="00000000" w:rsidP="00ED48A3">
            <w:pPr>
              <w:pStyle w:val="EMEANormal"/>
              <w:rPr>
                <w:del w:id="845" w:author="AbbVie1" w:date="2025-05-13T09:50:00Z"/>
                <w:szCs w:val="22"/>
                <w:lang w:val="cs-CZ"/>
              </w:rPr>
            </w:pPr>
            <w:del w:id="846"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03217DD8" w14:textId="77777777" w:rsidR="000B55EC" w:rsidRPr="001B4A02" w:rsidRDefault="00000000" w:rsidP="00ED48A3">
            <w:pPr>
              <w:pStyle w:val="EMEANormal"/>
              <w:rPr>
                <w:del w:id="847" w:author="AbbVie1" w:date="2025-05-13T09:50:00Z"/>
                <w:szCs w:val="22"/>
                <w:lang w:val="cs-CZ"/>
              </w:rPr>
            </w:pPr>
            <w:del w:id="848" w:author="AbbVie1" w:date="2025-05-13T09:50:00Z">
              <w:r w:rsidRPr="001B4A02">
                <w:rPr>
                  <w:szCs w:val="22"/>
                  <w:lang w:val="cs-CZ"/>
                </w:rPr>
                <w:delText>Idiopatická trombocytopenická purpura</w:delText>
              </w:r>
            </w:del>
          </w:p>
          <w:p w14:paraId="36E56A3D" w14:textId="77777777" w:rsidR="000B55EC" w:rsidRPr="001B4A02" w:rsidRDefault="000B55EC" w:rsidP="00ED48A3">
            <w:pPr>
              <w:pStyle w:val="EMEANormal"/>
              <w:rPr>
                <w:del w:id="849" w:author="AbbVie1" w:date="2025-05-13T09:50:00Z"/>
                <w:szCs w:val="22"/>
                <w:lang w:val="cs-CZ"/>
              </w:rPr>
            </w:pPr>
          </w:p>
        </w:tc>
      </w:tr>
      <w:tr w:rsidR="00534A2D" w14:paraId="6FA9A4B7" w14:textId="77777777" w:rsidTr="00961CF6">
        <w:trPr>
          <w:cantSplit/>
          <w:trHeight w:val="88"/>
          <w:jc w:val="center"/>
          <w:del w:id="850" w:author="AbbVie1" w:date="2025-05-13T09:50:00Z"/>
        </w:trPr>
        <w:tc>
          <w:tcPr>
            <w:tcW w:w="0" w:type="auto"/>
            <w:vMerge/>
            <w:tcBorders>
              <w:left w:val="single" w:sz="4" w:space="0" w:color="auto"/>
              <w:bottom w:val="single" w:sz="4" w:space="0" w:color="auto"/>
              <w:right w:val="single" w:sz="4" w:space="0" w:color="auto"/>
            </w:tcBorders>
            <w:vAlign w:val="center"/>
          </w:tcPr>
          <w:p w14:paraId="40FE9844" w14:textId="77777777" w:rsidR="000B55EC" w:rsidRPr="001B4A02" w:rsidRDefault="000B55EC" w:rsidP="00ED48A3">
            <w:pPr>
              <w:ind w:left="0" w:firstLine="0"/>
              <w:rPr>
                <w:del w:id="851"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02244D69" w14:textId="77777777" w:rsidR="000B55EC" w:rsidRPr="001B4A02" w:rsidRDefault="00000000" w:rsidP="00ED48A3">
            <w:pPr>
              <w:pStyle w:val="EMEANormal"/>
              <w:rPr>
                <w:del w:id="852" w:author="AbbVie1" w:date="2025-05-13T09:50:00Z"/>
                <w:szCs w:val="22"/>
                <w:lang w:val="cs-CZ"/>
              </w:rPr>
            </w:pPr>
            <w:del w:id="853"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tcPr>
          <w:p w14:paraId="45BA6D6A" w14:textId="77777777" w:rsidR="000B55EC" w:rsidRPr="001B4A02" w:rsidRDefault="00000000" w:rsidP="00ED48A3">
            <w:pPr>
              <w:pStyle w:val="EMEANormal"/>
              <w:rPr>
                <w:del w:id="854" w:author="AbbVie1" w:date="2025-05-13T09:50:00Z"/>
                <w:szCs w:val="22"/>
                <w:lang w:val="cs-CZ"/>
              </w:rPr>
            </w:pPr>
            <w:del w:id="855" w:author="AbbVie1" w:date="2025-05-13T09:50:00Z">
              <w:r w:rsidRPr="001B4A02">
                <w:rPr>
                  <w:szCs w:val="22"/>
                  <w:lang w:val="cs-CZ"/>
                </w:rPr>
                <w:delText>Pancytopenie</w:delText>
              </w:r>
            </w:del>
          </w:p>
          <w:p w14:paraId="1C046529" w14:textId="77777777" w:rsidR="000B55EC" w:rsidRPr="001B4A02" w:rsidRDefault="000B55EC" w:rsidP="00ED48A3">
            <w:pPr>
              <w:pStyle w:val="EMEANormal"/>
              <w:rPr>
                <w:del w:id="856" w:author="AbbVie1" w:date="2025-05-13T09:50:00Z"/>
                <w:szCs w:val="22"/>
                <w:lang w:val="cs-CZ"/>
              </w:rPr>
            </w:pPr>
          </w:p>
        </w:tc>
      </w:tr>
      <w:tr w:rsidR="00534A2D" w14:paraId="68907244" w14:textId="77777777" w:rsidTr="00961CF6">
        <w:trPr>
          <w:cantSplit/>
          <w:trHeight w:val="260"/>
          <w:jc w:val="center"/>
          <w:del w:id="857" w:author="AbbVie1" w:date="2025-05-13T09:50:00Z"/>
        </w:trPr>
        <w:tc>
          <w:tcPr>
            <w:tcW w:w="2880" w:type="dxa"/>
            <w:vMerge w:val="restart"/>
            <w:tcBorders>
              <w:top w:val="single" w:sz="4" w:space="0" w:color="auto"/>
              <w:left w:val="single" w:sz="4" w:space="0" w:color="auto"/>
              <w:right w:val="single" w:sz="4" w:space="0" w:color="auto"/>
            </w:tcBorders>
          </w:tcPr>
          <w:p w14:paraId="5A2103FA" w14:textId="77777777" w:rsidR="00AF5BDC" w:rsidRPr="001B4A02" w:rsidRDefault="00000000" w:rsidP="00ED48A3">
            <w:pPr>
              <w:tabs>
                <w:tab w:val="left" w:pos="0"/>
              </w:tabs>
              <w:ind w:left="0" w:firstLine="0"/>
              <w:rPr>
                <w:del w:id="858" w:author="AbbVie1" w:date="2025-05-13T09:50:00Z"/>
                <w:szCs w:val="22"/>
              </w:rPr>
            </w:pPr>
            <w:del w:id="859" w:author="AbbVie1" w:date="2025-05-13T09:50:00Z">
              <w:r w:rsidRPr="001B4A02">
                <w:rPr>
                  <w:szCs w:val="22"/>
                </w:rPr>
                <w:delText>Poruchy imunitního systému*</w:delText>
              </w:r>
            </w:del>
          </w:p>
        </w:tc>
        <w:tc>
          <w:tcPr>
            <w:tcW w:w="1440" w:type="dxa"/>
            <w:tcBorders>
              <w:top w:val="single" w:sz="4" w:space="0" w:color="auto"/>
              <w:left w:val="single" w:sz="4" w:space="0" w:color="auto"/>
              <w:bottom w:val="single" w:sz="4" w:space="0" w:color="auto"/>
              <w:right w:val="single" w:sz="4" w:space="0" w:color="auto"/>
            </w:tcBorders>
          </w:tcPr>
          <w:p w14:paraId="3FA285A2" w14:textId="77777777" w:rsidR="00AF5BDC" w:rsidRPr="001B4A02" w:rsidRDefault="00000000" w:rsidP="00ED48A3">
            <w:pPr>
              <w:pStyle w:val="EMEANormal"/>
              <w:rPr>
                <w:del w:id="860" w:author="AbbVie1" w:date="2025-05-13T09:50:00Z"/>
                <w:szCs w:val="22"/>
                <w:lang w:val="cs-CZ"/>
              </w:rPr>
            </w:pPr>
            <w:del w:id="861"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58ED5C56" w14:textId="77777777" w:rsidR="00AF5BDC" w:rsidRPr="001B4A02" w:rsidRDefault="00000000" w:rsidP="00ED48A3">
            <w:pPr>
              <w:pStyle w:val="EMEANormal"/>
              <w:rPr>
                <w:del w:id="862" w:author="AbbVie1" w:date="2025-05-13T09:50:00Z"/>
                <w:szCs w:val="22"/>
                <w:lang w:val="cs-CZ"/>
              </w:rPr>
            </w:pPr>
            <w:del w:id="863" w:author="AbbVie1" w:date="2025-05-13T09:50:00Z">
              <w:r w:rsidRPr="001B4A02">
                <w:rPr>
                  <w:szCs w:val="22"/>
                  <w:lang w:val="cs-CZ"/>
                </w:rPr>
                <w:delText>Hypersenzitivita,</w:delText>
              </w:r>
            </w:del>
          </w:p>
          <w:p w14:paraId="24FC29D5" w14:textId="77777777" w:rsidR="00AF5BDC" w:rsidRPr="001B4A02" w:rsidRDefault="00000000" w:rsidP="00ED48A3">
            <w:pPr>
              <w:pStyle w:val="EMEANormal"/>
              <w:rPr>
                <w:del w:id="864" w:author="AbbVie1" w:date="2025-05-13T09:50:00Z"/>
                <w:szCs w:val="22"/>
                <w:lang w:val="cs-CZ"/>
              </w:rPr>
            </w:pPr>
            <w:del w:id="865" w:author="AbbVie1" w:date="2025-05-13T09:50:00Z">
              <w:r w:rsidRPr="001B4A02">
                <w:rPr>
                  <w:szCs w:val="22"/>
                  <w:lang w:val="cs-CZ"/>
                </w:rPr>
                <w:delText>alergie (včetně sezónní alergie)</w:delText>
              </w:r>
            </w:del>
          </w:p>
          <w:p w14:paraId="78DD9B01" w14:textId="77777777" w:rsidR="00AF5BDC" w:rsidRPr="001B4A02" w:rsidRDefault="00AF5BDC" w:rsidP="00ED48A3">
            <w:pPr>
              <w:pStyle w:val="EMEANormal"/>
              <w:rPr>
                <w:del w:id="866" w:author="AbbVie1" w:date="2025-05-13T09:50:00Z"/>
                <w:szCs w:val="22"/>
                <w:lang w:val="cs-CZ"/>
              </w:rPr>
            </w:pPr>
          </w:p>
        </w:tc>
      </w:tr>
      <w:tr w:rsidR="00534A2D" w14:paraId="100A9FBB" w14:textId="77777777" w:rsidTr="00961CF6">
        <w:trPr>
          <w:cantSplit/>
          <w:trHeight w:val="260"/>
          <w:jc w:val="center"/>
          <w:del w:id="867" w:author="AbbVie1" w:date="2025-05-13T09:50:00Z"/>
        </w:trPr>
        <w:tc>
          <w:tcPr>
            <w:tcW w:w="2880" w:type="dxa"/>
            <w:vMerge/>
            <w:tcBorders>
              <w:left w:val="single" w:sz="4" w:space="0" w:color="auto"/>
              <w:right w:val="single" w:sz="4" w:space="0" w:color="auto"/>
            </w:tcBorders>
          </w:tcPr>
          <w:p w14:paraId="087C931E" w14:textId="77777777" w:rsidR="00AF5BDC" w:rsidRPr="001B4A02" w:rsidRDefault="00AF5BDC" w:rsidP="00ED48A3">
            <w:pPr>
              <w:tabs>
                <w:tab w:val="left" w:pos="0"/>
              </w:tabs>
              <w:ind w:left="0" w:firstLine="0"/>
              <w:rPr>
                <w:del w:id="868"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2E249568" w14:textId="77777777" w:rsidR="00AF5BDC" w:rsidRPr="001B4A02" w:rsidRDefault="00000000" w:rsidP="00ED48A3">
            <w:pPr>
              <w:pStyle w:val="EMEANormal"/>
              <w:rPr>
                <w:del w:id="869" w:author="AbbVie1" w:date="2025-05-13T09:50:00Z"/>
                <w:szCs w:val="22"/>
                <w:lang w:val="cs-CZ"/>
              </w:rPr>
            </w:pPr>
            <w:del w:id="870"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4C847067" w14:textId="77777777" w:rsidR="00AF5BDC" w:rsidRDefault="00000000" w:rsidP="00ED48A3">
            <w:pPr>
              <w:pStyle w:val="EMEANormal"/>
              <w:rPr>
                <w:del w:id="871" w:author="AbbVie1" w:date="2025-05-13T09:50:00Z"/>
                <w:szCs w:val="22"/>
                <w:lang w:val="cs-CZ"/>
              </w:rPr>
            </w:pPr>
            <w:del w:id="872" w:author="AbbVie1" w:date="2025-05-13T09:50:00Z">
              <w:r w:rsidRPr="001B4A02">
                <w:rPr>
                  <w:szCs w:val="22"/>
                  <w:lang w:val="cs-CZ"/>
                </w:rPr>
                <w:delText>Sarkoidóza</w:delText>
              </w:r>
              <w:r w:rsidRPr="001B4A02">
                <w:rPr>
                  <w:szCs w:val="22"/>
                  <w:vertAlign w:val="superscript"/>
                  <w:lang w:val="cs-CZ"/>
                </w:rPr>
                <w:delText>1)</w:delText>
              </w:r>
              <w:r w:rsidR="00114CA2" w:rsidRPr="001B4A02">
                <w:rPr>
                  <w:szCs w:val="22"/>
                  <w:lang w:val="cs-CZ"/>
                </w:rPr>
                <w:delText>, vaskulitida</w:delText>
              </w:r>
            </w:del>
          </w:p>
          <w:p w14:paraId="0FD8ED0C" w14:textId="77777777" w:rsidR="00A20953" w:rsidRPr="001B4A02" w:rsidRDefault="00A20953" w:rsidP="00ED48A3">
            <w:pPr>
              <w:pStyle w:val="EMEANormal"/>
              <w:rPr>
                <w:del w:id="873" w:author="AbbVie1" w:date="2025-05-13T09:50:00Z"/>
                <w:szCs w:val="22"/>
                <w:lang w:val="cs-CZ"/>
              </w:rPr>
            </w:pPr>
          </w:p>
        </w:tc>
      </w:tr>
      <w:tr w:rsidR="00534A2D" w14:paraId="3F0F1ED0" w14:textId="77777777" w:rsidTr="00961CF6">
        <w:trPr>
          <w:cantSplit/>
          <w:trHeight w:val="260"/>
          <w:jc w:val="center"/>
          <w:del w:id="874" w:author="AbbVie1" w:date="2025-05-13T09:50:00Z"/>
        </w:trPr>
        <w:tc>
          <w:tcPr>
            <w:tcW w:w="2880" w:type="dxa"/>
            <w:vMerge/>
            <w:tcBorders>
              <w:left w:val="single" w:sz="4" w:space="0" w:color="auto"/>
              <w:bottom w:val="single" w:sz="4" w:space="0" w:color="auto"/>
              <w:right w:val="single" w:sz="4" w:space="0" w:color="auto"/>
            </w:tcBorders>
          </w:tcPr>
          <w:p w14:paraId="029E8F85" w14:textId="77777777" w:rsidR="00AF5BDC" w:rsidRPr="001B4A02" w:rsidRDefault="00AF5BDC" w:rsidP="00ED48A3">
            <w:pPr>
              <w:tabs>
                <w:tab w:val="left" w:pos="0"/>
              </w:tabs>
              <w:ind w:left="0" w:firstLine="0"/>
              <w:rPr>
                <w:del w:id="875"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17F498D7" w14:textId="77777777" w:rsidR="00AF5BDC" w:rsidRPr="001B4A02" w:rsidRDefault="00000000" w:rsidP="00ED48A3">
            <w:pPr>
              <w:pStyle w:val="EMEANormal"/>
              <w:rPr>
                <w:del w:id="876" w:author="AbbVie1" w:date="2025-05-13T09:50:00Z"/>
                <w:szCs w:val="22"/>
                <w:lang w:val="cs-CZ"/>
              </w:rPr>
            </w:pPr>
            <w:del w:id="877"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1D983A70" w14:textId="77777777" w:rsidR="00AF5BDC" w:rsidRDefault="00000000" w:rsidP="00ED48A3">
            <w:pPr>
              <w:pStyle w:val="EMEANormal"/>
              <w:rPr>
                <w:del w:id="878" w:author="AbbVie1" w:date="2025-05-13T09:50:00Z"/>
                <w:szCs w:val="22"/>
                <w:lang w:val="cs-CZ"/>
              </w:rPr>
            </w:pPr>
            <w:del w:id="879" w:author="AbbVie1" w:date="2025-05-13T09:50:00Z">
              <w:r w:rsidRPr="001B4A02">
                <w:rPr>
                  <w:szCs w:val="22"/>
                  <w:lang w:val="cs-CZ"/>
                </w:rPr>
                <w:delText>anafylaxe</w:delText>
              </w:r>
              <w:r w:rsidRPr="001B4A02">
                <w:rPr>
                  <w:szCs w:val="22"/>
                  <w:vertAlign w:val="superscript"/>
                  <w:lang w:val="cs-CZ"/>
                </w:rPr>
                <w:delText>1)</w:delText>
              </w:r>
            </w:del>
          </w:p>
          <w:p w14:paraId="7406AC5B" w14:textId="77777777" w:rsidR="00A20953" w:rsidRPr="00A20953" w:rsidRDefault="00A20953" w:rsidP="00ED48A3">
            <w:pPr>
              <w:pStyle w:val="EMEANormal"/>
              <w:rPr>
                <w:del w:id="880" w:author="AbbVie1" w:date="2025-05-13T09:50:00Z"/>
                <w:szCs w:val="22"/>
                <w:lang w:val="cs-CZ"/>
              </w:rPr>
            </w:pPr>
          </w:p>
        </w:tc>
      </w:tr>
      <w:tr w:rsidR="00534A2D" w14:paraId="70165FF6" w14:textId="77777777" w:rsidTr="00961CF6">
        <w:trPr>
          <w:cantSplit/>
          <w:trHeight w:val="127"/>
          <w:jc w:val="center"/>
          <w:del w:id="881" w:author="AbbVie1" w:date="2025-05-13T09:50:00Z"/>
        </w:trPr>
        <w:tc>
          <w:tcPr>
            <w:tcW w:w="2880" w:type="dxa"/>
            <w:vMerge w:val="restart"/>
            <w:tcBorders>
              <w:top w:val="single" w:sz="4" w:space="0" w:color="auto"/>
              <w:left w:val="single" w:sz="4" w:space="0" w:color="auto"/>
              <w:right w:val="single" w:sz="4" w:space="0" w:color="auto"/>
            </w:tcBorders>
          </w:tcPr>
          <w:p w14:paraId="421DDFDD" w14:textId="77777777" w:rsidR="000B55EC" w:rsidRPr="001B4A02" w:rsidRDefault="00000000" w:rsidP="00ED48A3">
            <w:pPr>
              <w:pStyle w:val="EMEANormal"/>
              <w:tabs>
                <w:tab w:val="left" w:pos="0"/>
              </w:tabs>
              <w:rPr>
                <w:del w:id="882" w:author="AbbVie1" w:date="2025-05-13T09:50:00Z"/>
                <w:szCs w:val="22"/>
                <w:lang w:val="cs-CZ"/>
              </w:rPr>
            </w:pPr>
            <w:del w:id="883" w:author="AbbVie1" w:date="2025-05-13T09:50:00Z">
              <w:r w:rsidRPr="001B4A02">
                <w:rPr>
                  <w:szCs w:val="22"/>
                  <w:lang w:val="cs-CZ"/>
                </w:rPr>
                <w:delText>Poruchy metabolismu</w:delText>
              </w:r>
              <w:r w:rsidR="002378E0">
                <w:rPr>
                  <w:szCs w:val="22"/>
                  <w:lang w:val="cs-CZ"/>
                </w:rPr>
                <w:delText xml:space="preserve"> a </w:delText>
              </w:r>
              <w:r w:rsidRPr="001B4A02">
                <w:rPr>
                  <w:szCs w:val="22"/>
                  <w:lang w:val="cs-CZ"/>
                </w:rPr>
                <w:delText>výživy</w:delText>
              </w:r>
            </w:del>
          </w:p>
        </w:tc>
        <w:tc>
          <w:tcPr>
            <w:tcW w:w="1440" w:type="dxa"/>
            <w:tcBorders>
              <w:top w:val="single" w:sz="4" w:space="0" w:color="auto"/>
              <w:left w:val="single" w:sz="4" w:space="0" w:color="auto"/>
              <w:bottom w:val="single" w:sz="4" w:space="0" w:color="auto"/>
              <w:right w:val="single" w:sz="4" w:space="0" w:color="auto"/>
            </w:tcBorders>
          </w:tcPr>
          <w:p w14:paraId="0F21F402" w14:textId="77777777" w:rsidR="000B55EC" w:rsidRPr="001B4A02" w:rsidRDefault="00000000" w:rsidP="00ED48A3">
            <w:pPr>
              <w:pStyle w:val="EMEANormal"/>
              <w:rPr>
                <w:del w:id="884" w:author="AbbVie1" w:date="2025-05-13T09:50:00Z"/>
                <w:szCs w:val="22"/>
                <w:lang w:val="cs-CZ"/>
              </w:rPr>
            </w:pPr>
            <w:del w:id="885"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249AB896" w14:textId="77777777" w:rsidR="000B55EC" w:rsidRPr="001B4A02" w:rsidRDefault="00000000" w:rsidP="00ED48A3">
            <w:pPr>
              <w:pStyle w:val="EMEANormal"/>
              <w:rPr>
                <w:del w:id="886" w:author="AbbVie1" w:date="2025-05-13T09:50:00Z"/>
                <w:szCs w:val="22"/>
                <w:lang w:val="cs-CZ"/>
              </w:rPr>
            </w:pPr>
            <w:del w:id="887" w:author="AbbVie1" w:date="2025-05-13T09:50:00Z">
              <w:r w:rsidRPr="001B4A02">
                <w:rPr>
                  <w:szCs w:val="22"/>
                  <w:lang w:val="cs-CZ"/>
                </w:rPr>
                <w:delText>Zvýšení lipidů</w:delText>
              </w:r>
            </w:del>
          </w:p>
          <w:p w14:paraId="5EA80D62" w14:textId="77777777" w:rsidR="000B55EC" w:rsidRPr="001B4A02" w:rsidRDefault="000B55EC" w:rsidP="00ED48A3">
            <w:pPr>
              <w:pStyle w:val="EMEANormal"/>
              <w:rPr>
                <w:del w:id="888" w:author="AbbVie1" w:date="2025-05-13T09:50:00Z"/>
                <w:szCs w:val="22"/>
                <w:lang w:val="cs-CZ"/>
              </w:rPr>
            </w:pPr>
          </w:p>
        </w:tc>
      </w:tr>
      <w:tr w:rsidR="00534A2D" w14:paraId="1B0D67B0" w14:textId="77777777" w:rsidTr="00961CF6">
        <w:trPr>
          <w:cantSplit/>
          <w:trHeight w:val="127"/>
          <w:jc w:val="center"/>
          <w:del w:id="889" w:author="AbbVie1" w:date="2025-05-13T09:50:00Z"/>
        </w:trPr>
        <w:tc>
          <w:tcPr>
            <w:tcW w:w="2880" w:type="dxa"/>
            <w:vMerge/>
            <w:tcBorders>
              <w:left w:val="single" w:sz="4" w:space="0" w:color="auto"/>
              <w:right w:val="single" w:sz="4" w:space="0" w:color="auto"/>
            </w:tcBorders>
          </w:tcPr>
          <w:p w14:paraId="256C47C5" w14:textId="77777777" w:rsidR="000B55EC" w:rsidRPr="001B4A02" w:rsidRDefault="000B55EC" w:rsidP="00ED48A3">
            <w:pPr>
              <w:pStyle w:val="EMEANormal"/>
              <w:tabs>
                <w:tab w:val="left" w:pos="0"/>
              </w:tabs>
              <w:rPr>
                <w:del w:id="890" w:author="AbbVie1" w:date="2025-05-13T09:50:00Z"/>
                <w:szCs w:val="22"/>
                <w:lang w:val="cs-CZ"/>
              </w:rPr>
            </w:pPr>
          </w:p>
        </w:tc>
        <w:tc>
          <w:tcPr>
            <w:tcW w:w="1440" w:type="dxa"/>
            <w:tcBorders>
              <w:top w:val="single" w:sz="4" w:space="0" w:color="auto"/>
              <w:left w:val="single" w:sz="4" w:space="0" w:color="auto"/>
              <w:bottom w:val="single" w:sz="4" w:space="0" w:color="auto"/>
              <w:right w:val="single" w:sz="4" w:space="0" w:color="auto"/>
            </w:tcBorders>
          </w:tcPr>
          <w:p w14:paraId="460A1D85" w14:textId="77777777" w:rsidR="000B55EC" w:rsidRPr="001B4A02" w:rsidRDefault="00000000" w:rsidP="00ED48A3">
            <w:pPr>
              <w:pStyle w:val="EMEANormal"/>
              <w:rPr>
                <w:del w:id="891" w:author="AbbVie1" w:date="2025-05-13T09:50:00Z"/>
                <w:szCs w:val="22"/>
                <w:lang w:val="cs-CZ"/>
              </w:rPr>
            </w:pPr>
            <w:del w:id="892"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0D1B3FB3" w14:textId="77777777" w:rsidR="000B55EC" w:rsidRPr="001B4A02" w:rsidRDefault="00000000" w:rsidP="00ED48A3">
            <w:pPr>
              <w:pStyle w:val="EMEANormal"/>
              <w:rPr>
                <w:del w:id="893" w:author="AbbVie1" w:date="2025-05-13T09:50:00Z"/>
                <w:szCs w:val="22"/>
                <w:lang w:val="cs-CZ"/>
              </w:rPr>
            </w:pPr>
            <w:del w:id="894" w:author="AbbVie1" w:date="2025-05-13T09:50:00Z">
              <w:r w:rsidRPr="001B4A02">
                <w:rPr>
                  <w:szCs w:val="22"/>
                  <w:lang w:val="cs-CZ"/>
                </w:rPr>
                <w:delText>Hypokal</w:delText>
              </w:r>
              <w:r w:rsidR="006E7ECF">
                <w:rPr>
                  <w:szCs w:val="22"/>
                  <w:lang w:val="cs-CZ"/>
                </w:rPr>
                <w:delText>e</w:delText>
              </w:r>
              <w:r w:rsidRPr="001B4A02">
                <w:rPr>
                  <w:szCs w:val="22"/>
                  <w:lang w:val="cs-CZ"/>
                </w:rPr>
                <w:delText>mie,</w:delText>
              </w:r>
            </w:del>
          </w:p>
          <w:p w14:paraId="69677B55" w14:textId="77777777" w:rsidR="000B55EC" w:rsidRPr="001B4A02" w:rsidRDefault="00000000" w:rsidP="00ED48A3">
            <w:pPr>
              <w:pStyle w:val="EMEANormal"/>
              <w:rPr>
                <w:del w:id="895" w:author="AbbVie1" w:date="2025-05-13T09:50:00Z"/>
                <w:szCs w:val="22"/>
                <w:lang w:val="cs-CZ"/>
              </w:rPr>
            </w:pPr>
            <w:del w:id="896" w:author="AbbVie1" w:date="2025-05-13T09:50:00Z">
              <w:r w:rsidRPr="001B4A02">
                <w:rPr>
                  <w:szCs w:val="22"/>
                  <w:lang w:val="cs-CZ"/>
                </w:rPr>
                <w:delText>zvýšení kyseliny močové,</w:delText>
              </w:r>
            </w:del>
          </w:p>
          <w:p w14:paraId="41F36CC1" w14:textId="77777777" w:rsidR="000B55EC" w:rsidRPr="001B4A02" w:rsidRDefault="00000000" w:rsidP="00ED48A3">
            <w:pPr>
              <w:pStyle w:val="EMEANormal"/>
              <w:rPr>
                <w:del w:id="897" w:author="AbbVie1" w:date="2025-05-13T09:50:00Z"/>
                <w:szCs w:val="22"/>
                <w:lang w:val="cs-CZ"/>
              </w:rPr>
            </w:pPr>
            <w:del w:id="898" w:author="AbbVie1" w:date="2025-05-13T09:50:00Z">
              <w:r w:rsidRPr="001B4A02">
                <w:rPr>
                  <w:szCs w:val="22"/>
                  <w:lang w:val="cs-CZ"/>
                </w:rPr>
                <w:delText>abnormální hladina sodíku v</w:delText>
              </w:r>
              <w:r w:rsidR="00E07E66" w:rsidRPr="001B4A02">
                <w:rPr>
                  <w:szCs w:val="22"/>
                  <w:lang w:val="cs-CZ"/>
                </w:rPr>
                <w:delText> </w:delText>
              </w:r>
              <w:r w:rsidRPr="001B4A02">
                <w:rPr>
                  <w:szCs w:val="22"/>
                  <w:lang w:val="cs-CZ"/>
                </w:rPr>
                <w:delText>krvi,</w:delText>
              </w:r>
            </w:del>
          </w:p>
          <w:p w14:paraId="32A01223" w14:textId="77777777" w:rsidR="000B55EC" w:rsidRPr="001B4A02" w:rsidRDefault="00000000" w:rsidP="00ED48A3">
            <w:pPr>
              <w:pStyle w:val="EMEANormal"/>
              <w:rPr>
                <w:del w:id="899" w:author="AbbVie1" w:date="2025-05-13T09:50:00Z"/>
                <w:szCs w:val="22"/>
                <w:lang w:val="cs-CZ"/>
              </w:rPr>
            </w:pPr>
            <w:del w:id="900" w:author="AbbVie1" w:date="2025-05-13T09:50:00Z">
              <w:r w:rsidRPr="001B4A02">
                <w:rPr>
                  <w:szCs w:val="22"/>
                  <w:lang w:val="cs-CZ"/>
                </w:rPr>
                <w:delText>hypokalc</w:delText>
              </w:r>
              <w:r w:rsidR="006E7ECF">
                <w:rPr>
                  <w:szCs w:val="22"/>
                  <w:lang w:val="cs-CZ"/>
                </w:rPr>
                <w:delText>e</w:delText>
              </w:r>
              <w:r w:rsidRPr="001B4A02">
                <w:rPr>
                  <w:szCs w:val="22"/>
                  <w:lang w:val="cs-CZ"/>
                </w:rPr>
                <w:delText>mie,</w:delText>
              </w:r>
            </w:del>
          </w:p>
          <w:p w14:paraId="41E4A361" w14:textId="77777777" w:rsidR="000B55EC" w:rsidRPr="001B4A02" w:rsidRDefault="00000000" w:rsidP="00ED48A3">
            <w:pPr>
              <w:pStyle w:val="EMEANormal"/>
              <w:rPr>
                <w:del w:id="901" w:author="AbbVie1" w:date="2025-05-13T09:50:00Z"/>
                <w:szCs w:val="22"/>
                <w:lang w:val="cs-CZ"/>
              </w:rPr>
            </w:pPr>
            <w:del w:id="902" w:author="AbbVie1" w:date="2025-05-13T09:50:00Z">
              <w:r w:rsidRPr="001B4A02">
                <w:rPr>
                  <w:szCs w:val="22"/>
                  <w:lang w:val="cs-CZ"/>
                </w:rPr>
                <w:delText>hyperglyk</w:delText>
              </w:r>
              <w:r w:rsidR="006E7ECF">
                <w:rPr>
                  <w:szCs w:val="22"/>
                  <w:lang w:val="cs-CZ"/>
                </w:rPr>
                <w:delText>e</w:delText>
              </w:r>
              <w:r w:rsidRPr="001B4A02">
                <w:rPr>
                  <w:szCs w:val="22"/>
                  <w:lang w:val="cs-CZ"/>
                </w:rPr>
                <w:delText>mie,</w:delText>
              </w:r>
            </w:del>
          </w:p>
          <w:p w14:paraId="7B5C91D5" w14:textId="77777777" w:rsidR="000B55EC" w:rsidRPr="001B4A02" w:rsidRDefault="00000000" w:rsidP="00ED48A3">
            <w:pPr>
              <w:pStyle w:val="EMEANormal"/>
              <w:rPr>
                <w:del w:id="903" w:author="AbbVie1" w:date="2025-05-13T09:50:00Z"/>
                <w:szCs w:val="22"/>
                <w:lang w:val="cs-CZ"/>
              </w:rPr>
            </w:pPr>
            <w:del w:id="904" w:author="AbbVie1" w:date="2025-05-13T09:50:00Z">
              <w:r w:rsidRPr="001B4A02">
                <w:rPr>
                  <w:szCs w:val="22"/>
                  <w:lang w:val="cs-CZ"/>
                </w:rPr>
                <w:delText>hypofosfat</w:delText>
              </w:r>
              <w:r w:rsidR="006E7ECF">
                <w:rPr>
                  <w:szCs w:val="22"/>
                  <w:lang w:val="cs-CZ"/>
                </w:rPr>
                <w:delText>e</w:delText>
              </w:r>
              <w:r w:rsidRPr="001B4A02">
                <w:rPr>
                  <w:szCs w:val="22"/>
                  <w:lang w:val="cs-CZ"/>
                </w:rPr>
                <w:delText>mie,</w:delText>
              </w:r>
            </w:del>
          </w:p>
          <w:p w14:paraId="2953912A" w14:textId="77777777" w:rsidR="000B55EC" w:rsidRDefault="00000000" w:rsidP="00ED48A3">
            <w:pPr>
              <w:pStyle w:val="EMEANormal"/>
              <w:rPr>
                <w:del w:id="905" w:author="AbbVie1" w:date="2025-05-13T09:50:00Z"/>
                <w:szCs w:val="22"/>
                <w:lang w:val="cs-CZ"/>
              </w:rPr>
            </w:pPr>
            <w:del w:id="906" w:author="AbbVie1" w:date="2025-05-13T09:50:00Z">
              <w:r w:rsidRPr="001B4A02">
                <w:rPr>
                  <w:szCs w:val="22"/>
                  <w:lang w:val="cs-CZ"/>
                </w:rPr>
                <w:delText>dehydratace</w:delText>
              </w:r>
            </w:del>
          </w:p>
          <w:p w14:paraId="05F4CA9C" w14:textId="77777777" w:rsidR="00701677" w:rsidRPr="001B4A02" w:rsidRDefault="00701677" w:rsidP="00ED48A3">
            <w:pPr>
              <w:pStyle w:val="EMEANormal"/>
              <w:rPr>
                <w:del w:id="907" w:author="AbbVie1" w:date="2025-05-13T09:50:00Z"/>
                <w:szCs w:val="22"/>
                <w:lang w:val="cs-CZ"/>
              </w:rPr>
            </w:pPr>
          </w:p>
        </w:tc>
      </w:tr>
      <w:tr w:rsidR="00534A2D" w14:paraId="1F3B9426" w14:textId="77777777" w:rsidTr="00DF6C3B">
        <w:trPr>
          <w:cantSplit/>
          <w:trHeight w:val="782"/>
          <w:jc w:val="center"/>
          <w:del w:id="908" w:author="AbbVie1" w:date="2025-05-13T09:50:00Z"/>
        </w:trPr>
        <w:tc>
          <w:tcPr>
            <w:tcW w:w="2880" w:type="dxa"/>
            <w:tcBorders>
              <w:top w:val="single" w:sz="4" w:space="0" w:color="auto"/>
              <w:left w:val="single" w:sz="4" w:space="0" w:color="auto"/>
              <w:bottom w:val="single" w:sz="4" w:space="0" w:color="auto"/>
              <w:right w:val="single" w:sz="4" w:space="0" w:color="auto"/>
            </w:tcBorders>
          </w:tcPr>
          <w:p w14:paraId="6C4F9A6F" w14:textId="77777777" w:rsidR="000B55EC" w:rsidRPr="001B4A02" w:rsidRDefault="00000000" w:rsidP="00ED48A3">
            <w:pPr>
              <w:pStyle w:val="EMEANormal"/>
              <w:tabs>
                <w:tab w:val="left" w:pos="0"/>
              </w:tabs>
              <w:rPr>
                <w:del w:id="909" w:author="AbbVie1" w:date="2025-05-13T09:50:00Z"/>
                <w:szCs w:val="22"/>
                <w:lang w:val="cs-CZ"/>
              </w:rPr>
            </w:pPr>
            <w:del w:id="910" w:author="AbbVie1" w:date="2025-05-13T09:50:00Z">
              <w:r w:rsidRPr="001B4A02">
                <w:rPr>
                  <w:szCs w:val="22"/>
                  <w:lang w:val="cs-CZ"/>
                </w:rPr>
                <w:delText>Psychiatrické poruchy</w:delText>
              </w:r>
            </w:del>
          </w:p>
        </w:tc>
        <w:tc>
          <w:tcPr>
            <w:tcW w:w="1440" w:type="dxa"/>
            <w:tcBorders>
              <w:top w:val="single" w:sz="4" w:space="0" w:color="auto"/>
              <w:left w:val="single" w:sz="4" w:space="0" w:color="auto"/>
              <w:right w:val="single" w:sz="4" w:space="0" w:color="auto"/>
            </w:tcBorders>
          </w:tcPr>
          <w:p w14:paraId="44E489D0" w14:textId="77777777" w:rsidR="000B55EC" w:rsidRPr="001B4A02" w:rsidRDefault="00000000" w:rsidP="00ED48A3">
            <w:pPr>
              <w:pStyle w:val="EMEANormal"/>
              <w:rPr>
                <w:del w:id="911" w:author="AbbVie1" w:date="2025-05-13T09:50:00Z"/>
                <w:szCs w:val="22"/>
                <w:lang w:val="cs-CZ"/>
              </w:rPr>
            </w:pPr>
            <w:del w:id="912" w:author="AbbVie1" w:date="2025-05-13T09:50:00Z">
              <w:r w:rsidRPr="001B4A02">
                <w:rPr>
                  <w:szCs w:val="22"/>
                  <w:lang w:val="cs-CZ"/>
                </w:rPr>
                <w:delText>Časté</w:delText>
              </w:r>
            </w:del>
          </w:p>
        </w:tc>
        <w:tc>
          <w:tcPr>
            <w:tcW w:w="4689" w:type="dxa"/>
            <w:tcBorders>
              <w:top w:val="single" w:sz="4" w:space="0" w:color="auto"/>
              <w:left w:val="single" w:sz="4" w:space="0" w:color="auto"/>
              <w:right w:val="single" w:sz="4" w:space="0" w:color="auto"/>
            </w:tcBorders>
          </w:tcPr>
          <w:p w14:paraId="0E87C336" w14:textId="77777777" w:rsidR="000B55EC" w:rsidRPr="001B4A02" w:rsidRDefault="00000000" w:rsidP="00ED48A3">
            <w:pPr>
              <w:pStyle w:val="EMEANormal"/>
              <w:rPr>
                <w:del w:id="913" w:author="AbbVie1" w:date="2025-05-13T09:50:00Z"/>
                <w:szCs w:val="22"/>
                <w:lang w:val="cs-CZ"/>
              </w:rPr>
            </w:pPr>
            <w:del w:id="914" w:author="AbbVie1" w:date="2025-05-13T09:50:00Z">
              <w:r w:rsidRPr="001B4A02">
                <w:rPr>
                  <w:szCs w:val="22"/>
                  <w:lang w:val="cs-CZ"/>
                </w:rPr>
                <w:delText>Alterace nálady (včetně deprese),</w:delText>
              </w:r>
            </w:del>
          </w:p>
          <w:p w14:paraId="0958AF82" w14:textId="77777777" w:rsidR="000B55EC" w:rsidRPr="001B4A02" w:rsidRDefault="00000000" w:rsidP="00ED48A3">
            <w:pPr>
              <w:pStyle w:val="EMEANormal"/>
              <w:rPr>
                <w:del w:id="915" w:author="AbbVie1" w:date="2025-05-13T09:50:00Z"/>
                <w:szCs w:val="22"/>
                <w:lang w:val="cs-CZ"/>
              </w:rPr>
            </w:pPr>
            <w:del w:id="916" w:author="AbbVie1" w:date="2025-05-13T09:50:00Z">
              <w:r w:rsidRPr="001B4A02">
                <w:rPr>
                  <w:szCs w:val="22"/>
                  <w:lang w:val="cs-CZ"/>
                </w:rPr>
                <w:delText>úzkost, nespavost</w:delText>
              </w:r>
            </w:del>
          </w:p>
          <w:p w14:paraId="2A51CD3E" w14:textId="77777777" w:rsidR="00D95B9A" w:rsidRPr="001B4A02" w:rsidRDefault="00D95B9A" w:rsidP="00ED48A3">
            <w:pPr>
              <w:pStyle w:val="EMEANormal"/>
              <w:rPr>
                <w:del w:id="917" w:author="AbbVie1" w:date="2025-05-13T09:50:00Z"/>
                <w:szCs w:val="22"/>
                <w:lang w:val="cs-CZ"/>
              </w:rPr>
            </w:pPr>
          </w:p>
        </w:tc>
      </w:tr>
      <w:tr w:rsidR="00534A2D" w14:paraId="5830CA9C" w14:textId="77777777" w:rsidTr="00E501B6">
        <w:trPr>
          <w:cantSplit/>
          <w:trHeight w:val="127"/>
          <w:jc w:val="center"/>
          <w:del w:id="918" w:author="AbbVie1" w:date="2025-05-13T09:50:00Z"/>
        </w:trPr>
        <w:tc>
          <w:tcPr>
            <w:tcW w:w="2880" w:type="dxa"/>
            <w:vMerge w:val="restart"/>
            <w:tcBorders>
              <w:top w:val="single" w:sz="4" w:space="0" w:color="auto"/>
              <w:left w:val="single" w:sz="4" w:space="0" w:color="auto"/>
              <w:right w:val="single" w:sz="4" w:space="0" w:color="auto"/>
            </w:tcBorders>
          </w:tcPr>
          <w:p w14:paraId="4BAF3A5D" w14:textId="77777777" w:rsidR="000B55EC" w:rsidRPr="001B4A02" w:rsidRDefault="00000000" w:rsidP="00ED48A3">
            <w:pPr>
              <w:pStyle w:val="EMEANormal"/>
              <w:tabs>
                <w:tab w:val="left" w:pos="0"/>
              </w:tabs>
              <w:rPr>
                <w:del w:id="919" w:author="AbbVie1" w:date="2025-05-13T09:50:00Z"/>
                <w:szCs w:val="22"/>
                <w:lang w:val="cs-CZ"/>
              </w:rPr>
            </w:pPr>
            <w:del w:id="920" w:author="AbbVie1" w:date="2025-05-13T09:50:00Z">
              <w:r w:rsidRPr="001B4A02">
                <w:rPr>
                  <w:szCs w:val="22"/>
                  <w:lang w:val="cs-CZ"/>
                </w:rPr>
                <w:delText>Poruchy nervového systému*</w:delText>
              </w:r>
            </w:del>
          </w:p>
        </w:tc>
        <w:tc>
          <w:tcPr>
            <w:tcW w:w="1440" w:type="dxa"/>
            <w:tcBorders>
              <w:top w:val="single" w:sz="4" w:space="0" w:color="auto"/>
              <w:left w:val="single" w:sz="4" w:space="0" w:color="auto"/>
              <w:bottom w:val="single" w:sz="4" w:space="0" w:color="auto"/>
              <w:right w:val="single" w:sz="4" w:space="0" w:color="auto"/>
            </w:tcBorders>
          </w:tcPr>
          <w:p w14:paraId="1C5EE358" w14:textId="77777777" w:rsidR="000B55EC" w:rsidRPr="001B4A02" w:rsidRDefault="00000000" w:rsidP="00ED48A3">
            <w:pPr>
              <w:pStyle w:val="EMEANormal"/>
              <w:ind w:left="112" w:hanging="112"/>
              <w:jc w:val="both"/>
              <w:rPr>
                <w:del w:id="921" w:author="AbbVie1" w:date="2025-05-13T09:50:00Z"/>
                <w:szCs w:val="22"/>
                <w:lang w:val="cs-CZ"/>
              </w:rPr>
            </w:pPr>
            <w:del w:id="922"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7F446D79" w14:textId="77777777" w:rsidR="000B55EC" w:rsidRPr="001B4A02" w:rsidRDefault="00000000" w:rsidP="00ED48A3">
            <w:pPr>
              <w:pStyle w:val="EMEANormal"/>
              <w:rPr>
                <w:del w:id="923" w:author="AbbVie1" w:date="2025-05-13T09:50:00Z"/>
                <w:szCs w:val="22"/>
                <w:lang w:val="cs-CZ"/>
              </w:rPr>
            </w:pPr>
            <w:del w:id="924" w:author="AbbVie1" w:date="2025-05-13T09:50:00Z">
              <w:r w:rsidRPr="001B4A02">
                <w:rPr>
                  <w:szCs w:val="22"/>
                  <w:lang w:val="cs-CZ"/>
                </w:rPr>
                <w:delText>Bolest hlavy</w:delText>
              </w:r>
            </w:del>
          </w:p>
          <w:p w14:paraId="7F28B83C" w14:textId="77777777" w:rsidR="000B55EC" w:rsidRPr="001B4A02" w:rsidRDefault="000B55EC" w:rsidP="00ED48A3">
            <w:pPr>
              <w:pStyle w:val="EMEANormal"/>
              <w:rPr>
                <w:del w:id="925" w:author="AbbVie1" w:date="2025-05-13T09:50:00Z"/>
                <w:szCs w:val="22"/>
                <w:lang w:val="cs-CZ"/>
              </w:rPr>
            </w:pPr>
          </w:p>
        </w:tc>
      </w:tr>
      <w:tr w:rsidR="00534A2D" w14:paraId="11C1CF40" w14:textId="77777777" w:rsidTr="00E501B6">
        <w:trPr>
          <w:cantSplit/>
          <w:trHeight w:val="127"/>
          <w:jc w:val="center"/>
          <w:del w:id="926" w:author="AbbVie1" w:date="2025-05-13T09:50:00Z"/>
        </w:trPr>
        <w:tc>
          <w:tcPr>
            <w:tcW w:w="2880" w:type="dxa"/>
            <w:vMerge/>
            <w:tcBorders>
              <w:left w:val="single" w:sz="4" w:space="0" w:color="auto"/>
              <w:right w:val="single" w:sz="4" w:space="0" w:color="auto"/>
            </w:tcBorders>
          </w:tcPr>
          <w:p w14:paraId="62D9A367" w14:textId="77777777" w:rsidR="000B55EC" w:rsidRPr="001B4A02" w:rsidRDefault="000B55EC" w:rsidP="00ED48A3">
            <w:pPr>
              <w:pStyle w:val="EMEANormal"/>
              <w:tabs>
                <w:tab w:val="left" w:pos="0"/>
              </w:tabs>
              <w:rPr>
                <w:del w:id="927" w:author="AbbVie1" w:date="2025-05-13T09:50:00Z"/>
                <w:szCs w:val="22"/>
                <w:lang w:val="cs-CZ"/>
              </w:rPr>
            </w:pPr>
          </w:p>
        </w:tc>
        <w:tc>
          <w:tcPr>
            <w:tcW w:w="1440" w:type="dxa"/>
            <w:tcBorders>
              <w:top w:val="single" w:sz="4" w:space="0" w:color="auto"/>
              <w:left w:val="single" w:sz="4" w:space="0" w:color="auto"/>
              <w:bottom w:val="single" w:sz="4" w:space="0" w:color="auto"/>
              <w:right w:val="single" w:sz="4" w:space="0" w:color="auto"/>
            </w:tcBorders>
          </w:tcPr>
          <w:p w14:paraId="525E935D" w14:textId="77777777" w:rsidR="000B55EC" w:rsidRPr="001B4A02" w:rsidRDefault="00000000" w:rsidP="00ED48A3">
            <w:pPr>
              <w:pStyle w:val="EMEANormal"/>
              <w:ind w:left="112" w:hanging="112"/>
              <w:jc w:val="both"/>
              <w:rPr>
                <w:del w:id="928" w:author="AbbVie1" w:date="2025-05-13T09:50:00Z"/>
                <w:szCs w:val="22"/>
                <w:lang w:val="cs-CZ"/>
              </w:rPr>
            </w:pPr>
            <w:del w:id="929"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114834AC" w14:textId="77777777" w:rsidR="000B55EC" w:rsidRPr="001B4A02" w:rsidRDefault="00000000" w:rsidP="00ED48A3">
            <w:pPr>
              <w:pStyle w:val="EMEANormal"/>
              <w:rPr>
                <w:del w:id="930" w:author="AbbVie1" w:date="2025-05-13T09:50:00Z"/>
                <w:szCs w:val="22"/>
                <w:lang w:val="cs-CZ"/>
              </w:rPr>
            </w:pPr>
            <w:del w:id="931" w:author="AbbVie1" w:date="2025-05-13T09:50:00Z">
              <w:r w:rsidRPr="001B4A02">
                <w:rPr>
                  <w:szCs w:val="22"/>
                  <w:lang w:val="cs-CZ"/>
                </w:rPr>
                <w:delText>Parestezie (včetně hypest</w:delText>
              </w:r>
              <w:r w:rsidR="006E7ECF">
                <w:rPr>
                  <w:szCs w:val="22"/>
                  <w:lang w:val="cs-CZ"/>
                </w:rPr>
                <w:delText>e</w:delText>
              </w:r>
              <w:r w:rsidRPr="001B4A02">
                <w:rPr>
                  <w:szCs w:val="22"/>
                  <w:lang w:val="cs-CZ"/>
                </w:rPr>
                <w:delText>zie),</w:delText>
              </w:r>
            </w:del>
          </w:p>
          <w:p w14:paraId="1A1974D1" w14:textId="77777777" w:rsidR="000B55EC" w:rsidRPr="001B4A02" w:rsidRDefault="00000000" w:rsidP="00ED48A3">
            <w:pPr>
              <w:pStyle w:val="EMEANormal"/>
              <w:rPr>
                <w:del w:id="932" w:author="AbbVie1" w:date="2025-05-13T09:50:00Z"/>
                <w:szCs w:val="22"/>
                <w:lang w:val="cs-CZ"/>
              </w:rPr>
            </w:pPr>
            <w:del w:id="933" w:author="AbbVie1" w:date="2025-05-13T09:50:00Z">
              <w:r w:rsidRPr="001B4A02">
                <w:rPr>
                  <w:szCs w:val="22"/>
                  <w:lang w:val="cs-CZ"/>
                </w:rPr>
                <w:delText>migréna,</w:delText>
              </w:r>
            </w:del>
          </w:p>
          <w:p w14:paraId="5DA33098" w14:textId="77777777" w:rsidR="000B55EC" w:rsidRPr="001B4A02" w:rsidRDefault="00000000" w:rsidP="00ED48A3">
            <w:pPr>
              <w:pStyle w:val="EMEANormal"/>
              <w:rPr>
                <w:del w:id="934" w:author="AbbVie1" w:date="2025-05-13T09:50:00Z"/>
                <w:szCs w:val="22"/>
                <w:lang w:val="cs-CZ"/>
              </w:rPr>
            </w:pPr>
            <w:del w:id="935" w:author="AbbVie1" w:date="2025-05-13T09:50:00Z">
              <w:r w:rsidRPr="001B4A02">
                <w:rPr>
                  <w:szCs w:val="22"/>
                  <w:lang w:val="cs-CZ"/>
                </w:rPr>
                <w:delText>útlak nervových kořenů</w:delText>
              </w:r>
            </w:del>
          </w:p>
          <w:p w14:paraId="588C19AC" w14:textId="77777777" w:rsidR="000B55EC" w:rsidRPr="001B4A02" w:rsidRDefault="000B55EC" w:rsidP="00ED48A3">
            <w:pPr>
              <w:pStyle w:val="EMEANormal"/>
              <w:rPr>
                <w:del w:id="936" w:author="AbbVie1" w:date="2025-05-13T09:50:00Z"/>
                <w:szCs w:val="22"/>
                <w:lang w:val="cs-CZ"/>
              </w:rPr>
            </w:pPr>
          </w:p>
        </w:tc>
      </w:tr>
      <w:tr w:rsidR="00534A2D" w14:paraId="7D78619B" w14:textId="77777777" w:rsidTr="00E501B6">
        <w:trPr>
          <w:cantSplit/>
          <w:trHeight w:val="91"/>
          <w:jc w:val="center"/>
          <w:del w:id="937" w:author="AbbVie1" w:date="2025-05-13T09:50:00Z"/>
        </w:trPr>
        <w:tc>
          <w:tcPr>
            <w:tcW w:w="0" w:type="auto"/>
            <w:vMerge/>
            <w:tcBorders>
              <w:left w:val="single" w:sz="4" w:space="0" w:color="auto"/>
              <w:right w:val="single" w:sz="4" w:space="0" w:color="auto"/>
            </w:tcBorders>
            <w:vAlign w:val="center"/>
          </w:tcPr>
          <w:p w14:paraId="53389614" w14:textId="77777777" w:rsidR="000B55EC" w:rsidRPr="001B4A02" w:rsidRDefault="000B55EC" w:rsidP="00ED48A3">
            <w:pPr>
              <w:ind w:left="0" w:firstLine="0"/>
              <w:rPr>
                <w:del w:id="938"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3CE25036" w14:textId="77777777" w:rsidR="000B55EC" w:rsidRPr="001B4A02" w:rsidRDefault="00000000" w:rsidP="00E501B6">
            <w:pPr>
              <w:pStyle w:val="EMEANormal"/>
              <w:ind w:left="113" w:hanging="113"/>
              <w:jc w:val="both"/>
              <w:rPr>
                <w:del w:id="939" w:author="AbbVie1" w:date="2025-05-13T09:50:00Z"/>
                <w:szCs w:val="22"/>
                <w:lang w:val="cs-CZ"/>
              </w:rPr>
            </w:pPr>
            <w:del w:id="940"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512C0461" w14:textId="77777777" w:rsidR="00335A38" w:rsidRPr="001B4A02" w:rsidRDefault="00000000" w:rsidP="00ED48A3">
            <w:pPr>
              <w:pStyle w:val="EMEANormal"/>
              <w:rPr>
                <w:del w:id="941" w:author="AbbVie1" w:date="2025-05-13T09:50:00Z"/>
                <w:szCs w:val="22"/>
                <w:lang w:val="cs-CZ"/>
              </w:rPr>
            </w:pPr>
            <w:del w:id="942" w:author="AbbVie1" w:date="2025-05-13T09:50:00Z">
              <w:r w:rsidRPr="001B4A02">
                <w:rPr>
                  <w:szCs w:val="22"/>
                  <w:lang w:val="cs-CZ"/>
                </w:rPr>
                <w:delText>C</w:delText>
              </w:r>
              <w:r w:rsidR="00AF5BDC" w:rsidRPr="001B4A02">
                <w:rPr>
                  <w:szCs w:val="22"/>
                  <w:lang w:val="cs-CZ"/>
                </w:rPr>
                <w:delText>évní mozková příhoda</w:delText>
              </w:r>
              <w:r w:rsidR="00AF5BDC" w:rsidRPr="001B4A02">
                <w:rPr>
                  <w:szCs w:val="22"/>
                  <w:vertAlign w:val="superscript"/>
                  <w:lang w:val="cs-CZ"/>
                </w:rPr>
                <w:delText>1)</w:delText>
              </w:r>
              <w:r w:rsidR="00AF5BDC" w:rsidRPr="001B4A02">
                <w:rPr>
                  <w:szCs w:val="22"/>
                  <w:lang w:val="cs-CZ"/>
                </w:rPr>
                <w:delText>,</w:delText>
              </w:r>
            </w:del>
          </w:p>
          <w:p w14:paraId="20B0D222" w14:textId="77777777" w:rsidR="000B55EC" w:rsidRPr="001B4A02" w:rsidRDefault="00000000" w:rsidP="00ED48A3">
            <w:pPr>
              <w:pStyle w:val="EMEANormal"/>
              <w:rPr>
                <w:del w:id="943" w:author="AbbVie1" w:date="2025-05-13T09:50:00Z"/>
                <w:szCs w:val="22"/>
                <w:lang w:val="cs-CZ"/>
              </w:rPr>
            </w:pPr>
            <w:del w:id="944" w:author="AbbVie1" w:date="2025-05-13T09:50:00Z">
              <w:r w:rsidRPr="001B4A02">
                <w:rPr>
                  <w:szCs w:val="22"/>
                  <w:lang w:val="cs-CZ"/>
                </w:rPr>
                <w:delText>třes</w:delText>
              </w:r>
              <w:r w:rsidR="007D2F3C" w:rsidRPr="001B4A02">
                <w:rPr>
                  <w:szCs w:val="22"/>
                  <w:lang w:val="cs-CZ"/>
                </w:rPr>
                <w:delText>,</w:delText>
              </w:r>
            </w:del>
          </w:p>
          <w:p w14:paraId="3A7A3479" w14:textId="77777777" w:rsidR="007D2F3C" w:rsidRPr="001B4A02" w:rsidRDefault="00000000" w:rsidP="00ED48A3">
            <w:pPr>
              <w:pStyle w:val="EMEANormal"/>
              <w:rPr>
                <w:del w:id="945" w:author="AbbVie1" w:date="2025-05-13T09:50:00Z"/>
                <w:szCs w:val="22"/>
                <w:lang w:val="cs-CZ"/>
              </w:rPr>
            </w:pPr>
            <w:del w:id="946" w:author="AbbVie1" w:date="2025-05-13T09:50:00Z">
              <w:r w:rsidRPr="001B4A02">
                <w:rPr>
                  <w:szCs w:val="22"/>
                  <w:lang w:val="cs-CZ"/>
                </w:rPr>
                <w:delText>neuropatie</w:delText>
              </w:r>
            </w:del>
          </w:p>
          <w:p w14:paraId="7D3BE2CA" w14:textId="77777777" w:rsidR="000B55EC" w:rsidRPr="001B4A02" w:rsidRDefault="000B55EC" w:rsidP="00ED48A3">
            <w:pPr>
              <w:pStyle w:val="EMEANormal"/>
              <w:rPr>
                <w:del w:id="947" w:author="AbbVie1" w:date="2025-05-13T09:50:00Z"/>
                <w:szCs w:val="22"/>
                <w:lang w:val="cs-CZ"/>
              </w:rPr>
            </w:pPr>
          </w:p>
        </w:tc>
      </w:tr>
      <w:tr w:rsidR="00534A2D" w14:paraId="7DC9DF3E" w14:textId="77777777" w:rsidTr="00E501B6">
        <w:trPr>
          <w:cantSplit/>
          <w:trHeight w:val="91"/>
          <w:jc w:val="center"/>
          <w:del w:id="948" w:author="AbbVie1" w:date="2025-05-13T09:50:00Z"/>
        </w:trPr>
        <w:tc>
          <w:tcPr>
            <w:tcW w:w="0" w:type="auto"/>
            <w:vMerge/>
            <w:tcBorders>
              <w:left w:val="single" w:sz="4" w:space="0" w:color="auto"/>
              <w:bottom w:val="single" w:sz="4" w:space="0" w:color="auto"/>
              <w:right w:val="single" w:sz="4" w:space="0" w:color="auto"/>
            </w:tcBorders>
            <w:vAlign w:val="center"/>
          </w:tcPr>
          <w:p w14:paraId="0E456BD3" w14:textId="77777777" w:rsidR="000B55EC" w:rsidRPr="001B4A02" w:rsidRDefault="000B55EC" w:rsidP="00ED48A3">
            <w:pPr>
              <w:ind w:left="0" w:firstLine="0"/>
              <w:rPr>
                <w:del w:id="949"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18464284" w14:textId="77777777" w:rsidR="000B55EC" w:rsidRPr="001B4A02" w:rsidRDefault="00000000" w:rsidP="00ED48A3">
            <w:pPr>
              <w:pStyle w:val="EMEANormal"/>
              <w:ind w:left="112" w:hanging="112"/>
              <w:jc w:val="both"/>
              <w:rPr>
                <w:del w:id="950" w:author="AbbVie1" w:date="2025-05-13T09:50:00Z"/>
                <w:szCs w:val="22"/>
                <w:lang w:val="cs-CZ"/>
              </w:rPr>
            </w:pPr>
            <w:del w:id="951"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tcPr>
          <w:p w14:paraId="5A7272A8" w14:textId="77777777" w:rsidR="000B55EC" w:rsidRPr="001B4A02" w:rsidRDefault="00000000" w:rsidP="00ED48A3">
            <w:pPr>
              <w:pStyle w:val="EMEANormal"/>
              <w:rPr>
                <w:del w:id="952" w:author="AbbVie1" w:date="2025-05-13T09:50:00Z"/>
                <w:szCs w:val="22"/>
                <w:lang w:val="cs-CZ"/>
              </w:rPr>
            </w:pPr>
            <w:del w:id="953" w:author="AbbVie1" w:date="2025-05-13T09:50:00Z">
              <w:r w:rsidRPr="001B4A02">
                <w:rPr>
                  <w:szCs w:val="22"/>
                  <w:lang w:val="cs-CZ"/>
                </w:rPr>
                <w:delText>Roztroušená skleróza</w:delText>
              </w:r>
            </w:del>
          </w:p>
          <w:p w14:paraId="73A5736A" w14:textId="77777777" w:rsidR="00AF5BDC" w:rsidRPr="001B4A02" w:rsidRDefault="00000000" w:rsidP="00ED48A3">
            <w:pPr>
              <w:pStyle w:val="EMEANormal"/>
              <w:rPr>
                <w:del w:id="954" w:author="AbbVie1" w:date="2025-05-13T09:50:00Z"/>
                <w:szCs w:val="22"/>
                <w:lang w:val="cs-CZ"/>
              </w:rPr>
            </w:pPr>
            <w:del w:id="955" w:author="AbbVie1" w:date="2025-05-13T09:50:00Z">
              <w:r w:rsidRPr="001B4A02">
                <w:rPr>
                  <w:szCs w:val="22"/>
                  <w:lang w:val="cs-CZ"/>
                </w:rPr>
                <w:delText>demyelinizační</w:delText>
              </w:r>
              <w:r w:rsidR="002D292A" w:rsidRPr="001B4A02">
                <w:rPr>
                  <w:szCs w:val="22"/>
                  <w:lang w:val="cs-CZ"/>
                </w:rPr>
                <w:delText xml:space="preserve"> poruchy (např. optická neuritida</w:delText>
              </w:r>
              <w:r w:rsidRPr="001B4A02">
                <w:rPr>
                  <w:szCs w:val="22"/>
                  <w:lang w:val="cs-CZ"/>
                </w:rPr>
                <w:delText>, Guillain-Barré syndrom)</w:delText>
              </w:r>
              <w:r w:rsidRPr="001B4A02">
                <w:rPr>
                  <w:szCs w:val="22"/>
                  <w:vertAlign w:val="superscript"/>
                  <w:lang w:val="cs-CZ"/>
                </w:rPr>
                <w:delText>1)</w:delText>
              </w:r>
            </w:del>
          </w:p>
          <w:p w14:paraId="2D49A84A" w14:textId="77777777" w:rsidR="000B55EC" w:rsidRPr="001B4A02" w:rsidRDefault="000B55EC" w:rsidP="00ED48A3">
            <w:pPr>
              <w:pStyle w:val="EMEANormal"/>
              <w:rPr>
                <w:del w:id="956" w:author="AbbVie1" w:date="2025-05-13T09:50:00Z"/>
                <w:szCs w:val="22"/>
                <w:lang w:val="cs-CZ"/>
              </w:rPr>
            </w:pPr>
          </w:p>
        </w:tc>
      </w:tr>
      <w:tr w:rsidR="00534A2D" w14:paraId="57D41856" w14:textId="77777777" w:rsidTr="00E501B6">
        <w:trPr>
          <w:cantSplit/>
          <w:trHeight w:val="259"/>
          <w:jc w:val="center"/>
          <w:del w:id="957" w:author="AbbVie1" w:date="2025-05-13T09:50:00Z"/>
        </w:trPr>
        <w:tc>
          <w:tcPr>
            <w:tcW w:w="2880" w:type="dxa"/>
            <w:vMerge w:val="restart"/>
            <w:tcBorders>
              <w:top w:val="single" w:sz="4" w:space="0" w:color="auto"/>
              <w:left w:val="single" w:sz="4" w:space="0" w:color="auto"/>
              <w:bottom w:val="single" w:sz="4" w:space="0" w:color="auto"/>
              <w:right w:val="single" w:sz="4" w:space="0" w:color="auto"/>
            </w:tcBorders>
          </w:tcPr>
          <w:p w14:paraId="44864EDA" w14:textId="77777777" w:rsidR="000B55EC" w:rsidRPr="001B4A02" w:rsidRDefault="00000000" w:rsidP="00ED48A3">
            <w:pPr>
              <w:pStyle w:val="EMEANormal"/>
              <w:tabs>
                <w:tab w:val="left" w:pos="0"/>
              </w:tabs>
              <w:rPr>
                <w:del w:id="958" w:author="AbbVie1" w:date="2025-05-13T09:50:00Z"/>
                <w:szCs w:val="22"/>
                <w:lang w:val="cs-CZ"/>
              </w:rPr>
            </w:pPr>
            <w:del w:id="959" w:author="AbbVie1" w:date="2025-05-13T09:50:00Z">
              <w:r w:rsidRPr="001B4A02">
                <w:rPr>
                  <w:szCs w:val="22"/>
                  <w:lang w:val="cs-CZ"/>
                </w:rPr>
                <w:delText>Poruchy oka</w:delText>
              </w:r>
            </w:del>
          </w:p>
        </w:tc>
        <w:tc>
          <w:tcPr>
            <w:tcW w:w="1440" w:type="dxa"/>
            <w:tcBorders>
              <w:top w:val="single" w:sz="4" w:space="0" w:color="auto"/>
              <w:left w:val="single" w:sz="4" w:space="0" w:color="auto"/>
              <w:bottom w:val="single" w:sz="4" w:space="0" w:color="auto"/>
              <w:right w:val="single" w:sz="4" w:space="0" w:color="auto"/>
            </w:tcBorders>
          </w:tcPr>
          <w:p w14:paraId="6F8BC873" w14:textId="77777777" w:rsidR="000B55EC" w:rsidRPr="001B4A02" w:rsidRDefault="00000000" w:rsidP="00ED48A3">
            <w:pPr>
              <w:pStyle w:val="EMEANormal"/>
              <w:rPr>
                <w:del w:id="960" w:author="AbbVie1" w:date="2025-05-13T09:50:00Z"/>
                <w:szCs w:val="22"/>
                <w:lang w:val="cs-CZ"/>
              </w:rPr>
            </w:pPr>
            <w:del w:id="961"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6095DA03" w14:textId="77777777" w:rsidR="000B55EC" w:rsidRPr="001B4A02" w:rsidRDefault="00000000" w:rsidP="00ED48A3">
            <w:pPr>
              <w:pStyle w:val="EMEANormal"/>
              <w:rPr>
                <w:del w:id="962" w:author="AbbVie1" w:date="2025-05-13T09:50:00Z"/>
                <w:szCs w:val="22"/>
                <w:lang w:val="cs-CZ"/>
              </w:rPr>
            </w:pPr>
            <w:del w:id="963" w:author="AbbVie1" w:date="2025-05-13T09:50:00Z">
              <w:r w:rsidRPr="001B4A02">
                <w:rPr>
                  <w:szCs w:val="22"/>
                  <w:lang w:val="cs-CZ"/>
                </w:rPr>
                <w:delText>Poruchy zraku,</w:delText>
              </w:r>
            </w:del>
          </w:p>
          <w:p w14:paraId="6FD99734" w14:textId="77777777" w:rsidR="000B55EC" w:rsidRPr="001B4A02" w:rsidRDefault="00000000" w:rsidP="00ED48A3">
            <w:pPr>
              <w:pStyle w:val="EMEANormal"/>
              <w:rPr>
                <w:del w:id="964" w:author="AbbVie1" w:date="2025-05-13T09:50:00Z"/>
                <w:szCs w:val="22"/>
                <w:lang w:val="cs-CZ"/>
              </w:rPr>
            </w:pPr>
            <w:del w:id="965" w:author="AbbVie1" w:date="2025-05-13T09:50:00Z">
              <w:r w:rsidRPr="001B4A02">
                <w:rPr>
                  <w:szCs w:val="22"/>
                  <w:lang w:val="cs-CZ"/>
                </w:rPr>
                <w:delText>konjunktivitida</w:delText>
              </w:r>
              <w:r w:rsidR="00D95B9A" w:rsidRPr="001B4A02">
                <w:rPr>
                  <w:szCs w:val="22"/>
                  <w:lang w:val="cs-CZ"/>
                </w:rPr>
                <w:delText>,</w:delText>
              </w:r>
            </w:del>
          </w:p>
          <w:p w14:paraId="098A983C" w14:textId="77777777" w:rsidR="000C7B3D" w:rsidRPr="001B4A02" w:rsidRDefault="00000000" w:rsidP="00ED48A3">
            <w:pPr>
              <w:pStyle w:val="EMEANormal"/>
              <w:rPr>
                <w:del w:id="966" w:author="AbbVie1" w:date="2025-05-13T09:50:00Z"/>
                <w:szCs w:val="22"/>
                <w:lang w:val="cs-CZ"/>
              </w:rPr>
            </w:pPr>
            <w:del w:id="967" w:author="AbbVie1" w:date="2025-05-13T09:50:00Z">
              <w:r w:rsidRPr="001B4A02">
                <w:rPr>
                  <w:szCs w:val="22"/>
                  <w:lang w:val="cs-CZ"/>
                </w:rPr>
                <w:delText>blefari</w:delText>
              </w:r>
              <w:r w:rsidR="00456B73" w:rsidRPr="001B4A02">
                <w:rPr>
                  <w:szCs w:val="22"/>
                  <w:lang w:val="cs-CZ"/>
                </w:rPr>
                <w:delText>ti</w:delText>
              </w:r>
              <w:r w:rsidRPr="001B4A02">
                <w:rPr>
                  <w:szCs w:val="22"/>
                  <w:lang w:val="cs-CZ"/>
                </w:rPr>
                <w:delText>da,</w:delText>
              </w:r>
            </w:del>
          </w:p>
          <w:p w14:paraId="24FEF078" w14:textId="77777777" w:rsidR="000C7B3D" w:rsidRPr="001B4A02" w:rsidRDefault="00000000" w:rsidP="00ED48A3">
            <w:pPr>
              <w:pStyle w:val="EMEANormal"/>
              <w:rPr>
                <w:del w:id="968" w:author="AbbVie1" w:date="2025-05-13T09:50:00Z"/>
                <w:szCs w:val="22"/>
                <w:lang w:val="cs-CZ"/>
              </w:rPr>
            </w:pPr>
            <w:del w:id="969" w:author="AbbVie1" w:date="2025-05-13T09:50:00Z">
              <w:r w:rsidRPr="001B4A02">
                <w:rPr>
                  <w:szCs w:val="22"/>
                  <w:lang w:val="cs-CZ"/>
                </w:rPr>
                <w:delText>otoky oka</w:delText>
              </w:r>
            </w:del>
          </w:p>
          <w:p w14:paraId="635BE7AF" w14:textId="77777777" w:rsidR="000B55EC" w:rsidRPr="001B4A02" w:rsidRDefault="000B55EC" w:rsidP="00ED48A3">
            <w:pPr>
              <w:pStyle w:val="EMEANormal"/>
              <w:rPr>
                <w:del w:id="970" w:author="AbbVie1" w:date="2025-05-13T09:50:00Z"/>
                <w:szCs w:val="22"/>
                <w:lang w:val="cs-CZ"/>
              </w:rPr>
            </w:pPr>
          </w:p>
        </w:tc>
      </w:tr>
      <w:tr w:rsidR="00534A2D" w14:paraId="79FD2CA7" w14:textId="77777777" w:rsidTr="00E501B6">
        <w:trPr>
          <w:cantSplit/>
          <w:trHeight w:val="258"/>
          <w:jc w:val="center"/>
          <w:del w:id="971"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7EB68D6E" w14:textId="77777777" w:rsidR="000B55EC" w:rsidRPr="001B4A02" w:rsidRDefault="000B55EC" w:rsidP="00ED48A3">
            <w:pPr>
              <w:ind w:left="0" w:firstLine="0"/>
              <w:rPr>
                <w:del w:id="972"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3C5CAE45" w14:textId="77777777" w:rsidR="000B55EC" w:rsidRPr="001B4A02" w:rsidRDefault="00000000" w:rsidP="00ED48A3">
            <w:pPr>
              <w:pStyle w:val="EMEANormal"/>
              <w:rPr>
                <w:del w:id="973" w:author="AbbVie1" w:date="2025-05-13T09:50:00Z"/>
                <w:szCs w:val="22"/>
                <w:lang w:val="cs-CZ"/>
              </w:rPr>
            </w:pPr>
            <w:del w:id="974"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4A9669E7" w14:textId="77777777" w:rsidR="000B55EC" w:rsidRPr="001B4A02" w:rsidRDefault="00000000" w:rsidP="00ED48A3">
            <w:pPr>
              <w:pStyle w:val="EMEANormal"/>
              <w:rPr>
                <w:del w:id="975" w:author="AbbVie1" w:date="2025-05-13T09:50:00Z"/>
                <w:szCs w:val="22"/>
                <w:lang w:val="cs-CZ"/>
              </w:rPr>
            </w:pPr>
            <w:del w:id="976" w:author="AbbVie1" w:date="2025-05-13T09:50:00Z">
              <w:r w:rsidRPr="001B4A02">
                <w:rPr>
                  <w:szCs w:val="22"/>
                  <w:lang w:val="cs-CZ"/>
                </w:rPr>
                <w:delText>Diplopie</w:delText>
              </w:r>
            </w:del>
          </w:p>
          <w:p w14:paraId="07699EC9" w14:textId="77777777" w:rsidR="000B55EC" w:rsidRPr="001B4A02" w:rsidRDefault="000B55EC" w:rsidP="00ED48A3">
            <w:pPr>
              <w:pStyle w:val="EMEANormal"/>
              <w:rPr>
                <w:del w:id="977" w:author="AbbVie1" w:date="2025-05-13T09:50:00Z"/>
                <w:szCs w:val="22"/>
                <w:lang w:val="cs-CZ"/>
              </w:rPr>
            </w:pPr>
          </w:p>
        </w:tc>
      </w:tr>
      <w:tr w:rsidR="00534A2D" w14:paraId="3A347783" w14:textId="77777777" w:rsidTr="00E501B6">
        <w:trPr>
          <w:cantSplit/>
          <w:trHeight w:val="96"/>
          <w:jc w:val="center"/>
          <w:del w:id="978" w:author="AbbVie1" w:date="2025-05-13T09:50:00Z"/>
        </w:trPr>
        <w:tc>
          <w:tcPr>
            <w:tcW w:w="2880" w:type="dxa"/>
            <w:vMerge w:val="restart"/>
            <w:tcBorders>
              <w:top w:val="single" w:sz="4" w:space="0" w:color="auto"/>
              <w:left w:val="single" w:sz="4" w:space="0" w:color="auto"/>
              <w:bottom w:val="single" w:sz="4" w:space="0" w:color="auto"/>
              <w:right w:val="single" w:sz="4" w:space="0" w:color="auto"/>
            </w:tcBorders>
            <w:shd w:val="clear" w:color="auto" w:fill="FFFFFF"/>
          </w:tcPr>
          <w:p w14:paraId="00A7063F" w14:textId="77777777" w:rsidR="000B55EC" w:rsidRPr="001B4A02" w:rsidRDefault="00000000" w:rsidP="00ED48A3">
            <w:pPr>
              <w:pStyle w:val="EMEANormal"/>
              <w:tabs>
                <w:tab w:val="left" w:pos="0"/>
              </w:tabs>
              <w:rPr>
                <w:del w:id="979" w:author="AbbVie1" w:date="2025-05-13T09:50:00Z"/>
                <w:szCs w:val="22"/>
                <w:lang w:val="cs-CZ"/>
              </w:rPr>
            </w:pPr>
            <w:del w:id="980" w:author="AbbVie1" w:date="2025-05-13T09:50:00Z">
              <w:r w:rsidRPr="001B4A02">
                <w:rPr>
                  <w:szCs w:val="22"/>
                  <w:lang w:val="cs-CZ"/>
                </w:rPr>
                <w:delText>Poruchy ucha</w:delText>
              </w:r>
              <w:r w:rsidR="002378E0">
                <w:rPr>
                  <w:szCs w:val="22"/>
                  <w:lang w:val="cs-CZ"/>
                </w:rPr>
                <w:delText xml:space="preserve"> a </w:delText>
              </w:r>
              <w:r w:rsidRPr="001B4A02">
                <w:rPr>
                  <w:szCs w:val="22"/>
                  <w:lang w:val="cs-CZ"/>
                </w:rPr>
                <w:delText>labyrintu</w:delText>
              </w:r>
            </w:del>
          </w:p>
        </w:tc>
        <w:tc>
          <w:tcPr>
            <w:tcW w:w="1440" w:type="dxa"/>
            <w:tcBorders>
              <w:top w:val="single" w:sz="4" w:space="0" w:color="auto"/>
              <w:left w:val="single" w:sz="4" w:space="0" w:color="auto"/>
              <w:bottom w:val="single" w:sz="4" w:space="0" w:color="auto"/>
              <w:right w:val="single" w:sz="4" w:space="0" w:color="auto"/>
            </w:tcBorders>
          </w:tcPr>
          <w:p w14:paraId="22A750DE" w14:textId="77777777" w:rsidR="000B55EC" w:rsidRPr="001B4A02" w:rsidRDefault="00000000" w:rsidP="00ED48A3">
            <w:pPr>
              <w:pStyle w:val="EMEANormal"/>
              <w:rPr>
                <w:del w:id="981" w:author="AbbVie1" w:date="2025-05-13T09:50:00Z"/>
                <w:szCs w:val="22"/>
                <w:lang w:val="cs-CZ"/>
              </w:rPr>
            </w:pPr>
            <w:del w:id="982"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07D60E0C" w14:textId="77777777" w:rsidR="000B55EC" w:rsidRPr="001B4A02" w:rsidRDefault="00000000" w:rsidP="00ED48A3">
            <w:pPr>
              <w:pStyle w:val="EMEANormal"/>
              <w:rPr>
                <w:del w:id="983" w:author="AbbVie1" w:date="2025-05-13T09:50:00Z"/>
                <w:szCs w:val="22"/>
                <w:lang w:val="cs-CZ"/>
              </w:rPr>
            </w:pPr>
            <w:del w:id="984" w:author="AbbVie1" w:date="2025-05-13T09:50:00Z">
              <w:r w:rsidRPr="001B4A02">
                <w:rPr>
                  <w:szCs w:val="22"/>
                  <w:lang w:val="cs-CZ"/>
                </w:rPr>
                <w:delText>Vertigo</w:delText>
              </w:r>
            </w:del>
          </w:p>
          <w:p w14:paraId="39E5A695" w14:textId="77777777" w:rsidR="000B55EC" w:rsidRPr="001B4A02" w:rsidRDefault="000B55EC" w:rsidP="00ED48A3">
            <w:pPr>
              <w:pStyle w:val="EMEANormal"/>
              <w:rPr>
                <w:del w:id="985" w:author="AbbVie1" w:date="2025-05-13T09:50:00Z"/>
                <w:szCs w:val="22"/>
                <w:lang w:val="cs-CZ"/>
              </w:rPr>
            </w:pPr>
          </w:p>
        </w:tc>
      </w:tr>
      <w:tr w:rsidR="00534A2D" w14:paraId="248BAC9B" w14:textId="77777777" w:rsidTr="00E501B6">
        <w:trPr>
          <w:cantSplit/>
          <w:trHeight w:val="408"/>
          <w:jc w:val="center"/>
          <w:del w:id="986"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09D9A26D" w14:textId="77777777" w:rsidR="000B55EC" w:rsidRPr="001B4A02" w:rsidRDefault="000B55EC" w:rsidP="00ED48A3">
            <w:pPr>
              <w:ind w:left="0" w:firstLine="0"/>
              <w:rPr>
                <w:del w:id="987" w:author="AbbVie1" w:date="2025-05-13T09:50:00Z"/>
                <w:szCs w:val="22"/>
              </w:rPr>
            </w:pPr>
          </w:p>
        </w:tc>
        <w:tc>
          <w:tcPr>
            <w:tcW w:w="1440" w:type="dxa"/>
            <w:tcBorders>
              <w:top w:val="single" w:sz="4" w:space="0" w:color="auto"/>
              <w:left w:val="single" w:sz="4" w:space="0" w:color="auto"/>
              <w:right w:val="single" w:sz="4" w:space="0" w:color="auto"/>
            </w:tcBorders>
          </w:tcPr>
          <w:p w14:paraId="7D38EE29" w14:textId="77777777" w:rsidR="000B55EC" w:rsidRPr="001B4A02" w:rsidRDefault="00000000" w:rsidP="00ED48A3">
            <w:pPr>
              <w:pStyle w:val="EMEANormal"/>
              <w:rPr>
                <w:del w:id="988" w:author="AbbVie1" w:date="2025-05-13T09:50:00Z"/>
                <w:szCs w:val="22"/>
                <w:lang w:val="cs-CZ"/>
              </w:rPr>
            </w:pPr>
            <w:del w:id="989" w:author="AbbVie1" w:date="2025-05-13T09:50:00Z">
              <w:r w:rsidRPr="001B4A02">
                <w:rPr>
                  <w:szCs w:val="22"/>
                  <w:lang w:val="cs-CZ"/>
                </w:rPr>
                <w:delText>Méně časté</w:delText>
              </w:r>
            </w:del>
          </w:p>
        </w:tc>
        <w:tc>
          <w:tcPr>
            <w:tcW w:w="4689" w:type="dxa"/>
            <w:tcBorders>
              <w:top w:val="single" w:sz="4" w:space="0" w:color="auto"/>
              <w:left w:val="single" w:sz="4" w:space="0" w:color="auto"/>
              <w:right w:val="single" w:sz="4" w:space="0" w:color="auto"/>
            </w:tcBorders>
          </w:tcPr>
          <w:p w14:paraId="0C158E70" w14:textId="77777777" w:rsidR="000B55EC" w:rsidRPr="001B4A02" w:rsidRDefault="00000000" w:rsidP="00ED48A3">
            <w:pPr>
              <w:pStyle w:val="EMEANormal"/>
              <w:rPr>
                <w:del w:id="990" w:author="AbbVie1" w:date="2025-05-13T09:50:00Z"/>
                <w:szCs w:val="22"/>
                <w:lang w:val="cs-CZ"/>
              </w:rPr>
            </w:pPr>
            <w:del w:id="991" w:author="AbbVie1" w:date="2025-05-13T09:50:00Z">
              <w:r w:rsidRPr="001B4A02">
                <w:rPr>
                  <w:szCs w:val="22"/>
                  <w:lang w:val="cs-CZ"/>
                </w:rPr>
                <w:delText>Ztráta sluchu,</w:delText>
              </w:r>
            </w:del>
          </w:p>
          <w:p w14:paraId="320615C3" w14:textId="77777777" w:rsidR="000B55EC" w:rsidRPr="001B4A02" w:rsidRDefault="00000000" w:rsidP="00ED48A3">
            <w:pPr>
              <w:pStyle w:val="EMEANormal"/>
              <w:rPr>
                <w:del w:id="992" w:author="AbbVie1" w:date="2025-05-13T09:50:00Z"/>
                <w:szCs w:val="22"/>
                <w:lang w:val="cs-CZ"/>
              </w:rPr>
            </w:pPr>
            <w:del w:id="993" w:author="AbbVie1" w:date="2025-05-13T09:50:00Z">
              <w:r w:rsidRPr="001B4A02">
                <w:rPr>
                  <w:szCs w:val="22"/>
                  <w:lang w:val="cs-CZ"/>
                </w:rPr>
                <w:delText>tinitus</w:delText>
              </w:r>
            </w:del>
          </w:p>
          <w:p w14:paraId="2E7DA0B9" w14:textId="77777777" w:rsidR="000B55EC" w:rsidRPr="001B4A02" w:rsidRDefault="000B55EC" w:rsidP="00ED48A3">
            <w:pPr>
              <w:pStyle w:val="EMEANormal"/>
              <w:rPr>
                <w:del w:id="994" w:author="AbbVie1" w:date="2025-05-13T09:50:00Z"/>
                <w:szCs w:val="22"/>
                <w:lang w:val="cs-CZ"/>
              </w:rPr>
            </w:pPr>
          </w:p>
        </w:tc>
      </w:tr>
      <w:tr w:rsidR="00534A2D" w14:paraId="3600CCE7" w14:textId="77777777" w:rsidTr="00E501B6">
        <w:trPr>
          <w:cantSplit/>
          <w:trHeight w:val="127"/>
          <w:jc w:val="center"/>
          <w:del w:id="995" w:author="AbbVie1" w:date="2025-05-13T09:50:00Z"/>
        </w:trPr>
        <w:tc>
          <w:tcPr>
            <w:tcW w:w="2880" w:type="dxa"/>
            <w:vMerge w:val="restart"/>
            <w:tcBorders>
              <w:top w:val="single" w:sz="4" w:space="0" w:color="auto"/>
              <w:left w:val="single" w:sz="4" w:space="0" w:color="auto"/>
              <w:right w:val="single" w:sz="4" w:space="0" w:color="auto"/>
            </w:tcBorders>
          </w:tcPr>
          <w:p w14:paraId="1D697028" w14:textId="77777777" w:rsidR="000B55EC" w:rsidRPr="001B4A02" w:rsidRDefault="00000000" w:rsidP="00ED48A3">
            <w:pPr>
              <w:pStyle w:val="EMEANormal"/>
              <w:tabs>
                <w:tab w:val="left" w:pos="0"/>
              </w:tabs>
              <w:rPr>
                <w:del w:id="996" w:author="AbbVie1" w:date="2025-05-13T09:50:00Z"/>
                <w:szCs w:val="22"/>
                <w:lang w:val="cs-CZ"/>
              </w:rPr>
            </w:pPr>
            <w:del w:id="997" w:author="AbbVie1" w:date="2025-05-13T09:50:00Z">
              <w:r w:rsidRPr="001B4A02">
                <w:rPr>
                  <w:szCs w:val="22"/>
                  <w:lang w:val="cs-CZ"/>
                </w:rPr>
                <w:delText>Srdeční poruchy*</w:delText>
              </w:r>
            </w:del>
          </w:p>
        </w:tc>
        <w:tc>
          <w:tcPr>
            <w:tcW w:w="1440" w:type="dxa"/>
            <w:tcBorders>
              <w:top w:val="single" w:sz="4" w:space="0" w:color="auto"/>
              <w:left w:val="single" w:sz="4" w:space="0" w:color="auto"/>
              <w:bottom w:val="single" w:sz="4" w:space="0" w:color="auto"/>
              <w:right w:val="single" w:sz="4" w:space="0" w:color="auto"/>
            </w:tcBorders>
          </w:tcPr>
          <w:p w14:paraId="71006AB2" w14:textId="77777777" w:rsidR="000B55EC" w:rsidRPr="001B4A02" w:rsidRDefault="00000000" w:rsidP="00ED48A3">
            <w:pPr>
              <w:pStyle w:val="EMEANormal"/>
              <w:rPr>
                <w:del w:id="998" w:author="AbbVie1" w:date="2025-05-13T09:50:00Z"/>
                <w:szCs w:val="22"/>
                <w:lang w:val="cs-CZ"/>
              </w:rPr>
            </w:pPr>
            <w:del w:id="999"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380A2966" w14:textId="77777777" w:rsidR="000B55EC" w:rsidRPr="001B4A02" w:rsidRDefault="00000000" w:rsidP="00ED48A3">
            <w:pPr>
              <w:pStyle w:val="EMEANormal"/>
              <w:rPr>
                <w:del w:id="1000" w:author="AbbVie1" w:date="2025-05-13T09:50:00Z"/>
                <w:szCs w:val="22"/>
                <w:lang w:val="cs-CZ"/>
              </w:rPr>
            </w:pPr>
            <w:del w:id="1001" w:author="AbbVie1" w:date="2025-05-13T09:50:00Z">
              <w:r w:rsidRPr="001B4A02">
                <w:rPr>
                  <w:szCs w:val="22"/>
                  <w:lang w:val="cs-CZ"/>
                </w:rPr>
                <w:delText>Tachykardie</w:delText>
              </w:r>
            </w:del>
          </w:p>
          <w:p w14:paraId="78E2F5E8" w14:textId="77777777" w:rsidR="000B55EC" w:rsidRPr="001B4A02" w:rsidRDefault="000B55EC" w:rsidP="00ED48A3">
            <w:pPr>
              <w:pStyle w:val="EMEANormal"/>
              <w:rPr>
                <w:del w:id="1002" w:author="AbbVie1" w:date="2025-05-13T09:50:00Z"/>
                <w:szCs w:val="22"/>
                <w:lang w:val="cs-CZ"/>
              </w:rPr>
            </w:pPr>
          </w:p>
        </w:tc>
      </w:tr>
      <w:tr w:rsidR="00534A2D" w14:paraId="1C2B0447" w14:textId="77777777" w:rsidTr="00E501B6">
        <w:trPr>
          <w:cantSplit/>
          <w:trHeight w:val="127"/>
          <w:jc w:val="center"/>
          <w:del w:id="1003" w:author="AbbVie1" w:date="2025-05-13T09:50:00Z"/>
        </w:trPr>
        <w:tc>
          <w:tcPr>
            <w:tcW w:w="2880" w:type="dxa"/>
            <w:vMerge/>
            <w:tcBorders>
              <w:left w:val="single" w:sz="4" w:space="0" w:color="auto"/>
              <w:right w:val="single" w:sz="4" w:space="0" w:color="auto"/>
            </w:tcBorders>
          </w:tcPr>
          <w:p w14:paraId="57C18B10" w14:textId="77777777" w:rsidR="000B55EC" w:rsidRPr="001B4A02" w:rsidRDefault="000B55EC" w:rsidP="00ED48A3">
            <w:pPr>
              <w:pStyle w:val="EMEANormal"/>
              <w:tabs>
                <w:tab w:val="left" w:pos="0"/>
              </w:tabs>
              <w:rPr>
                <w:del w:id="1004" w:author="AbbVie1" w:date="2025-05-13T09:50:00Z"/>
                <w:szCs w:val="22"/>
                <w:lang w:val="cs-CZ"/>
              </w:rPr>
            </w:pPr>
          </w:p>
        </w:tc>
        <w:tc>
          <w:tcPr>
            <w:tcW w:w="1440" w:type="dxa"/>
            <w:tcBorders>
              <w:top w:val="single" w:sz="4" w:space="0" w:color="auto"/>
              <w:left w:val="single" w:sz="4" w:space="0" w:color="auto"/>
              <w:bottom w:val="single" w:sz="4" w:space="0" w:color="auto"/>
              <w:right w:val="single" w:sz="4" w:space="0" w:color="auto"/>
            </w:tcBorders>
          </w:tcPr>
          <w:p w14:paraId="3700DA27" w14:textId="77777777" w:rsidR="000B55EC" w:rsidRPr="001B4A02" w:rsidRDefault="00000000" w:rsidP="00ED48A3">
            <w:pPr>
              <w:pStyle w:val="EMEANormal"/>
              <w:rPr>
                <w:del w:id="1005" w:author="AbbVie1" w:date="2025-05-13T09:50:00Z"/>
                <w:szCs w:val="22"/>
                <w:lang w:val="cs-CZ"/>
              </w:rPr>
            </w:pPr>
            <w:del w:id="1006"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36BDCEE1" w14:textId="77777777" w:rsidR="00AF5BDC" w:rsidRPr="001B4A02" w:rsidRDefault="00000000" w:rsidP="00ED48A3">
            <w:pPr>
              <w:pStyle w:val="EMEANormal"/>
              <w:rPr>
                <w:del w:id="1007" w:author="AbbVie1" w:date="2025-05-13T09:50:00Z"/>
                <w:szCs w:val="22"/>
                <w:lang w:val="cs-CZ"/>
              </w:rPr>
            </w:pPr>
            <w:del w:id="1008" w:author="AbbVie1" w:date="2025-05-13T09:50:00Z">
              <w:r w:rsidRPr="001B4A02">
                <w:rPr>
                  <w:szCs w:val="22"/>
                  <w:lang w:val="cs-CZ"/>
                </w:rPr>
                <w:delText>Infarkt myokardu</w:delText>
              </w:r>
              <w:r w:rsidR="00EA7A5F" w:rsidRPr="001B4A02">
                <w:rPr>
                  <w:szCs w:val="22"/>
                  <w:vertAlign w:val="superscript"/>
                  <w:lang w:val="cs-CZ"/>
                </w:rPr>
                <w:delText>1)</w:delText>
              </w:r>
              <w:r w:rsidRPr="001B4A02">
                <w:rPr>
                  <w:szCs w:val="22"/>
                  <w:lang w:val="cs-CZ"/>
                </w:rPr>
                <w:delText>,</w:delText>
              </w:r>
            </w:del>
          </w:p>
          <w:p w14:paraId="2AB656DF" w14:textId="77777777" w:rsidR="000B55EC" w:rsidRPr="001B4A02" w:rsidRDefault="00000000" w:rsidP="00ED48A3">
            <w:pPr>
              <w:pStyle w:val="EMEANormal"/>
              <w:rPr>
                <w:del w:id="1009" w:author="AbbVie1" w:date="2025-05-13T09:50:00Z"/>
                <w:szCs w:val="22"/>
                <w:lang w:val="cs-CZ"/>
              </w:rPr>
            </w:pPr>
            <w:del w:id="1010" w:author="AbbVie1" w:date="2025-05-13T09:50:00Z">
              <w:r w:rsidRPr="001B4A02">
                <w:rPr>
                  <w:szCs w:val="22"/>
                  <w:lang w:val="cs-CZ"/>
                </w:rPr>
                <w:delText>arytmie,</w:delText>
              </w:r>
            </w:del>
          </w:p>
          <w:p w14:paraId="302F6747" w14:textId="77777777" w:rsidR="000B55EC" w:rsidRPr="001B4A02" w:rsidRDefault="00000000" w:rsidP="00ED48A3">
            <w:pPr>
              <w:pStyle w:val="EMEANormal"/>
              <w:rPr>
                <w:del w:id="1011" w:author="AbbVie1" w:date="2025-05-13T09:50:00Z"/>
                <w:szCs w:val="22"/>
                <w:lang w:val="cs-CZ"/>
              </w:rPr>
            </w:pPr>
            <w:del w:id="1012" w:author="AbbVie1" w:date="2025-05-13T09:50:00Z">
              <w:r w:rsidRPr="001B4A02">
                <w:rPr>
                  <w:szCs w:val="22"/>
                  <w:lang w:val="cs-CZ"/>
                </w:rPr>
                <w:delText>městnavé srdeční selhání</w:delText>
              </w:r>
            </w:del>
          </w:p>
          <w:p w14:paraId="2599E676" w14:textId="77777777" w:rsidR="000B55EC" w:rsidRPr="001B4A02" w:rsidRDefault="000B55EC" w:rsidP="00ED48A3">
            <w:pPr>
              <w:pStyle w:val="EMEANormal"/>
              <w:rPr>
                <w:del w:id="1013" w:author="AbbVie1" w:date="2025-05-13T09:50:00Z"/>
                <w:szCs w:val="22"/>
                <w:lang w:val="cs-CZ"/>
              </w:rPr>
            </w:pPr>
          </w:p>
        </w:tc>
      </w:tr>
      <w:tr w:rsidR="00534A2D" w14:paraId="67AE9B96" w14:textId="77777777" w:rsidTr="00E501B6">
        <w:trPr>
          <w:cantSplit/>
          <w:trHeight w:val="258"/>
          <w:jc w:val="center"/>
          <w:del w:id="1014" w:author="AbbVie1" w:date="2025-05-13T09:50:00Z"/>
        </w:trPr>
        <w:tc>
          <w:tcPr>
            <w:tcW w:w="0" w:type="auto"/>
            <w:vMerge/>
            <w:tcBorders>
              <w:left w:val="single" w:sz="4" w:space="0" w:color="auto"/>
              <w:bottom w:val="single" w:sz="4" w:space="0" w:color="auto"/>
              <w:right w:val="single" w:sz="4" w:space="0" w:color="auto"/>
            </w:tcBorders>
            <w:vAlign w:val="center"/>
          </w:tcPr>
          <w:p w14:paraId="394FCF3E" w14:textId="77777777" w:rsidR="000B55EC" w:rsidRPr="001B4A02" w:rsidRDefault="000B55EC" w:rsidP="00ED48A3">
            <w:pPr>
              <w:ind w:left="0" w:firstLine="0"/>
              <w:rPr>
                <w:del w:id="1015"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45CE40E2" w14:textId="77777777" w:rsidR="000B55EC" w:rsidRPr="001B4A02" w:rsidRDefault="00000000" w:rsidP="00ED48A3">
            <w:pPr>
              <w:pStyle w:val="EMEANormal"/>
              <w:rPr>
                <w:del w:id="1016" w:author="AbbVie1" w:date="2025-05-13T09:50:00Z"/>
                <w:szCs w:val="22"/>
                <w:lang w:val="cs-CZ"/>
              </w:rPr>
            </w:pPr>
            <w:del w:id="1017"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tcPr>
          <w:p w14:paraId="149C0342" w14:textId="77777777" w:rsidR="000B55EC" w:rsidRPr="001B4A02" w:rsidRDefault="00000000" w:rsidP="00ED48A3">
            <w:pPr>
              <w:pStyle w:val="EMEANormal"/>
              <w:rPr>
                <w:del w:id="1018" w:author="AbbVie1" w:date="2025-05-13T09:50:00Z"/>
                <w:szCs w:val="22"/>
                <w:lang w:val="cs-CZ"/>
              </w:rPr>
            </w:pPr>
            <w:del w:id="1019" w:author="AbbVie1" w:date="2025-05-13T09:50:00Z">
              <w:r w:rsidRPr="001B4A02">
                <w:rPr>
                  <w:szCs w:val="22"/>
                  <w:lang w:val="cs-CZ"/>
                </w:rPr>
                <w:delText>Srdeční zástava</w:delText>
              </w:r>
            </w:del>
          </w:p>
          <w:p w14:paraId="4035B6B2" w14:textId="77777777" w:rsidR="000B55EC" w:rsidRPr="001B4A02" w:rsidRDefault="000B55EC" w:rsidP="00ED48A3">
            <w:pPr>
              <w:pStyle w:val="EMEANormal"/>
              <w:rPr>
                <w:del w:id="1020" w:author="AbbVie1" w:date="2025-05-13T09:50:00Z"/>
                <w:szCs w:val="22"/>
                <w:lang w:val="cs-CZ"/>
              </w:rPr>
            </w:pPr>
          </w:p>
        </w:tc>
      </w:tr>
      <w:tr w:rsidR="00534A2D" w14:paraId="453E1923" w14:textId="77777777" w:rsidTr="00E501B6">
        <w:trPr>
          <w:cantSplit/>
          <w:trHeight w:val="143"/>
          <w:jc w:val="center"/>
          <w:del w:id="1021" w:author="AbbVie1" w:date="2025-05-13T09:50:00Z"/>
        </w:trPr>
        <w:tc>
          <w:tcPr>
            <w:tcW w:w="2880" w:type="dxa"/>
            <w:vMerge w:val="restart"/>
            <w:tcBorders>
              <w:top w:val="single" w:sz="4" w:space="0" w:color="auto"/>
              <w:left w:val="single" w:sz="4" w:space="0" w:color="auto"/>
              <w:right w:val="single" w:sz="4" w:space="0" w:color="auto"/>
            </w:tcBorders>
          </w:tcPr>
          <w:p w14:paraId="3093A9ED" w14:textId="77777777" w:rsidR="000B55EC" w:rsidRPr="001B4A02" w:rsidRDefault="00000000" w:rsidP="00ED48A3">
            <w:pPr>
              <w:pStyle w:val="EMEANormal"/>
              <w:tabs>
                <w:tab w:val="left" w:pos="0"/>
              </w:tabs>
              <w:rPr>
                <w:del w:id="1022" w:author="AbbVie1" w:date="2025-05-13T09:50:00Z"/>
                <w:szCs w:val="22"/>
                <w:lang w:val="cs-CZ"/>
              </w:rPr>
            </w:pPr>
            <w:del w:id="1023" w:author="AbbVie1" w:date="2025-05-13T09:50:00Z">
              <w:r w:rsidRPr="001B4A02">
                <w:rPr>
                  <w:szCs w:val="22"/>
                  <w:lang w:val="cs-CZ"/>
                </w:rPr>
                <w:delText>Cévní poruchy</w:delText>
              </w:r>
            </w:del>
          </w:p>
        </w:tc>
        <w:tc>
          <w:tcPr>
            <w:tcW w:w="1440" w:type="dxa"/>
            <w:tcBorders>
              <w:top w:val="single" w:sz="4" w:space="0" w:color="auto"/>
              <w:left w:val="single" w:sz="4" w:space="0" w:color="auto"/>
              <w:bottom w:val="single" w:sz="4" w:space="0" w:color="auto"/>
              <w:right w:val="single" w:sz="4" w:space="0" w:color="auto"/>
            </w:tcBorders>
          </w:tcPr>
          <w:p w14:paraId="2BEABA2C" w14:textId="77777777" w:rsidR="000B55EC" w:rsidRPr="001B4A02" w:rsidRDefault="00000000" w:rsidP="00ED48A3">
            <w:pPr>
              <w:pStyle w:val="EMEANormal"/>
              <w:rPr>
                <w:del w:id="1024" w:author="AbbVie1" w:date="2025-05-13T09:50:00Z"/>
                <w:szCs w:val="22"/>
                <w:lang w:val="cs-CZ"/>
              </w:rPr>
            </w:pPr>
            <w:del w:id="1025"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66F4F1FD" w14:textId="77777777" w:rsidR="000B55EC" w:rsidRPr="001B4A02" w:rsidRDefault="00000000" w:rsidP="00ED48A3">
            <w:pPr>
              <w:pStyle w:val="EMEANormal"/>
              <w:rPr>
                <w:del w:id="1026" w:author="AbbVie1" w:date="2025-05-13T09:50:00Z"/>
                <w:szCs w:val="22"/>
                <w:lang w:val="cs-CZ"/>
              </w:rPr>
            </w:pPr>
            <w:del w:id="1027" w:author="AbbVie1" w:date="2025-05-13T09:50:00Z">
              <w:r w:rsidRPr="001B4A02">
                <w:rPr>
                  <w:szCs w:val="22"/>
                  <w:lang w:val="cs-CZ"/>
                </w:rPr>
                <w:delText>Hypertenze,</w:delText>
              </w:r>
            </w:del>
          </w:p>
          <w:p w14:paraId="5DF4661A" w14:textId="77777777" w:rsidR="000B55EC" w:rsidRPr="001B4A02" w:rsidRDefault="00000000" w:rsidP="00ED48A3">
            <w:pPr>
              <w:pStyle w:val="EMEANormal"/>
              <w:rPr>
                <w:del w:id="1028" w:author="AbbVie1" w:date="2025-05-13T09:50:00Z"/>
                <w:szCs w:val="22"/>
                <w:lang w:val="cs-CZ"/>
              </w:rPr>
            </w:pPr>
            <w:del w:id="1029" w:author="AbbVie1" w:date="2025-05-13T09:50:00Z">
              <w:r w:rsidRPr="001B4A02">
                <w:rPr>
                  <w:szCs w:val="22"/>
                  <w:lang w:val="cs-CZ"/>
                </w:rPr>
                <w:delText xml:space="preserve">záchvaty </w:delText>
              </w:r>
              <w:r w:rsidR="003937A6" w:rsidRPr="001B4A02">
                <w:rPr>
                  <w:szCs w:val="22"/>
                  <w:lang w:val="cs-CZ"/>
                </w:rPr>
                <w:delText>zrudnutí</w:delText>
              </w:r>
              <w:r w:rsidRPr="001B4A02">
                <w:rPr>
                  <w:szCs w:val="22"/>
                  <w:lang w:val="cs-CZ"/>
                </w:rPr>
                <w:delText>,</w:delText>
              </w:r>
            </w:del>
          </w:p>
          <w:p w14:paraId="03FDE291" w14:textId="77777777" w:rsidR="000B55EC" w:rsidRPr="001B4A02" w:rsidRDefault="00000000" w:rsidP="00ED48A3">
            <w:pPr>
              <w:pStyle w:val="EMEANormal"/>
              <w:rPr>
                <w:del w:id="1030" w:author="AbbVie1" w:date="2025-05-13T09:50:00Z"/>
                <w:szCs w:val="22"/>
                <w:lang w:val="cs-CZ"/>
              </w:rPr>
            </w:pPr>
            <w:del w:id="1031" w:author="AbbVie1" w:date="2025-05-13T09:50:00Z">
              <w:r w:rsidRPr="001B4A02">
                <w:rPr>
                  <w:szCs w:val="22"/>
                  <w:lang w:val="cs-CZ"/>
                </w:rPr>
                <w:delText>hematomy</w:delText>
              </w:r>
            </w:del>
          </w:p>
          <w:p w14:paraId="3DE99677" w14:textId="77777777" w:rsidR="000B55EC" w:rsidRPr="001B4A02" w:rsidRDefault="000B55EC" w:rsidP="00ED48A3">
            <w:pPr>
              <w:pStyle w:val="EMEANormal"/>
              <w:rPr>
                <w:del w:id="1032" w:author="AbbVie1" w:date="2025-05-13T09:50:00Z"/>
                <w:szCs w:val="22"/>
                <w:lang w:val="cs-CZ"/>
              </w:rPr>
            </w:pPr>
          </w:p>
        </w:tc>
      </w:tr>
      <w:tr w:rsidR="00534A2D" w14:paraId="601902B6" w14:textId="77777777" w:rsidTr="00E501B6">
        <w:trPr>
          <w:cantSplit/>
          <w:trHeight w:val="143"/>
          <w:jc w:val="center"/>
          <w:del w:id="1033" w:author="AbbVie1" w:date="2025-05-13T09:50:00Z"/>
        </w:trPr>
        <w:tc>
          <w:tcPr>
            <w:tcW w:w="2880" w:type="dxa"/>
            <w:vMerge/>
            <w:tcBorders>
              <w:left w:val="single" w:sz="4" w:space="0" w:color="auto"/>
              <w:bottom w:val="single" w:sz="4" w:space="0" w:color="auto"/>
              <w:right w:val="single" w:sz="4" w:space="0" w:color="auto"/>
            </w:tcBorders>
          </w:tcPr>
          <w:p w14:paraId="7A573F9C" w14:textId="77777777" w:rsidR="000B55EC" w:rsidRPr="001B4A02" w:rsidRDefault="000B55EC" w:rsidP="00ED48A3">
            <w:pPr>
              <w:pStyle w:val="EMEANormal"/>
              <w:tabs>
                <w:tab w:val="left" w:pos="0"/>
              </w:tabs>
              <w:rPr>
                <w:del w:id="1034" w:author="AbbVie1" w:date="2025-05-13T09:50:00Z"/>
                <w:szCs w:val="22"/>
                <w:lang w:val="cs-CZ"/>
              </w:rPr>
            </w:pPr>
          </w:p>
        </w:tc>
        <w:tc>
          <w:tcPr>
            <w:tcW w:w="1440" w:type="dxa"/>
            <w:tcBorders>
              <w:top w:val="single" w:sz="4" w:space="0" w:color="auto"/>
              <w:left w:val="single" w:sz="4" w:space="0" w:color="auto"/>
              <w:bottom w:val="single" w:sz="4" w:space="0" w:color="auto"/>
              <w:right w:val="single" w:sz="4" w:space="0" w:color="auto"/>
            </w:tcBorders>
          </w:tcPr>
          <w:p w14:paraId="00303318" w14:textId="77777777" w:rsidR="000B55EC" w:rsidRPr="001B4A02" w:rsidRDefault="00000000" w:rsidP="00ED48A3">
            <w:pPr>
              <w:pStyle w:val="EMEANormal"/>
              <w:rPr>
                <w:del w:id="1035" w:author="AbbVie1" w:date="2025-05-13T09:50:00Z"/>
                <w:szCs w:val="22"/>
                <w:lang w:val="cs-CZ"/>
              </w:rPr>
            </w:pPr>
            <w:del w:id="1036"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5424D717" w14:textId="77777777" w:rsidR="00AF5BDC" w:rsidRPr="001B4A02" w:rsidRDefault="00000000" w:rsidP="00ED48A3">
            <w:pPr>
              <w:pStyle w:val="EMEANormal"/>
              <w:rPr>
                <w:del w:id="1037" w:author="AbbVie1" w:date="2025-05-13T09:50:00Z"/>
                <w:szCs w:val="22"/>
                <w:lang w:val="cs-CZ"/>
              </w:rPr>
            </w:pPr>
            <w:del w:id="1038" w:author="AbbVie1" w:date="2025-05-13T09:50:00Z">
              <w:r w:rsidRPr="001B4A02">
                <w:rPr>
                  <w:szCs w:val="22"/>
                  <w:lang w:val="cs-CZ"/>
                </w:rPr>
                <w:delText>Aneurysma aorty,</w:delText>
              </w:r>
            </w:del>
          </w:p>
          <w:p w14:paraId="245C701D" w14:textId="77777777" w:rsidR="000B55EC" w:rsidRPr="001B4A02" w:rsidRDefault="00000000" w:rsidP="00ED48A3">
            <w:pPr>
              <w:pStyle w:val="EMEANormal"/>
              <w:rPr>
                <w:del w:id="1039" w:author="AbbVie1" w:date="2025-05-13T09:50:00Z"/>
                <w:szCs w:val="22"/>
                <w:lang w:val="cs-CZ"/>
              </w:rPr>
            </w:pPr>
            <w:del w:id="1040" w:author="AbbVie1" w:date="2025-05-13T09:50:00Z">
              <w:r w:rsidRPr="001B4A02">
                <w:rPr>
                  <w:szCs w:val="22"/>
                  <w:lang w:val="cs-CZ"/>
                </w:rPr>
                <w:delText>cévní arteriální okluze,</w:delText>
              </w:r>
            </w:del>
          </w:p>
          <w:p w14:paraId="0945D9D6" w14:textId="77777777" w:rsidR="000B55EC" w:rsidRPr="001B4A02" w:rsidRDefault="00000000" w:rsidP="00ED48A3">
            <w:pPr>
              <w:pStyle w:val="EMEANormal"/>
              <w:rPr>
                <w:del w:id="1041" w:author="AbbVie1" w:date="2025-05-13T09:50:00Z"/>
                <w:szCs w:val="22"/>
                <w:lang w:val="cs-CZ"/>
              </w:rPr>
            </w:pPr>
            <w:del w:id="1042" w:author="AbbVie1" w:date="2025-05-13T09:50:00Z">
              <w:r w:rsidRPr="001B4A02">
                <w:rPr>
                  <w:szCs w:val="22"/>
                  <w:lang w:val="cs-CZ"/>
                </w:rPr>
                <w:delText>tromoflebitida</w:delText>
              </w:r>
            </w:del>
          </w:p>
          <w:p w14:paraId="57C29D4A" w14:textId="77777777" w:rsidR="000B55EC" w:rsidRPr="001B4A02" w:rsidRDefault="000B55EC" w:rsidP="00ED48A3">
            <w:pPr>
              <w:pStyle w:val="EMEANormal"/>
              <w:rPr>
                <w:del w:id="1043" w:author="AbbVie1" w:date="2025-05-13T09:50:00Z"/>
                <w:szCs w:val="22"/>
                <w:lang w:val="cs-CZ"/>
              </w:rPr>
            </w:pPr>
          </w:p>
        </w:tc>
      </w:tr>
      <w:tr w:rsidR="00534A2D" w14:paraId="1DE5CF5B" w14:textId="77777777" w:rsidTr="00E501B6">
        <w:trPr>
          <w:cantSplit/>
          <w:trHeight w:val="391"/>
          <w:jc w:val="center"/>
          <w:del w:id="1044" w:author="AbbVie1" w:date="2025-05-13T09:50:00Z"/>
        </w:trPr>
        <w:tc>
          <w:tcPr>
            <w:tcW w:w="2880" w:type="dxa"/>
            <w:vMerge w:val="restart"/>
            <w:tcBorders>
              <w:top w:val="single" w:sz="4" w:space="0" w:color="auto"/>
              <w:left w:val="single" w:sz="4" w:space="0" w:color="auto"/>
              <w:right w:val="single" w:sz="4" w:space="0" w:color="auto"/>
            </w:tcBorders>
          </w:tcPr>
          <w:p w14:paraId="3A89F05C" w14:textId="77777777" w:rsidR="00AF5BDC" w:rsidRPr="001B4A02" w:rsidRDefault="00000000" w:rsidP="00ED48A3">
            <w:pPr>
              <w:pStyle w:val="EMEANormal"/>
              <w:tabs>
                <w:tab w:val="left" w:pos="0"/>
              </w:tabs>
              <w:rPr>
                <w:del w:id="1045" w:author="AbbVie1" w:date="2025-05-13T09:50:00Z"/>
                <w:szCs w:val="22"/>
                <w:lang w:val="cs-CZ"/>
              </w:rPr>
            </w:pPr>
            <w:del w:id="1046" w:author="AbbVie1" w:date="2025-05-13T09:50:00Z">
              <w:r w:rsidRPr="001B4A02">
                <w:rPr>
                  <w:szCs w:val="22"/>
                  <w:lang w:val="cs-CZ"/>
                </w:rPr>
                <w:delText>Respirační, hrudní</w:delText>
              </w:r>
              <w:r w:rsidR="002378E0">
                <w:rPr>
                  <w:szCs w:val="22"/>
                  <w:lang w:val="cs-CZ"/>
                </w:rPr>
                <w:delText xml:space="preserve"> a </w:delText>
              </w:r>
              <w:r w:rsidRPr="001B4A02">
                <w:rPr>
                  <w:szCs w:val="22"/>
                  <w:lang w:val="cs-CZ"/>
                </w:rPr>
                <w:delText>mediastinální poruchy*</w:delText>
              </w:r>
            </w:del>
          </w:p>
        </w:tc>
        <w:tc>
          <w:tcPr>
            <w:tcW w:w="1440" w:type="dxa"/>
            <w:tcBorders>
              <w:top w:val="single" w:sz="4" w:space="0" w:color="auto"/>
              <w:left w:val="single" w:sz="4" w:space="0" w:color="auto"/>
              <w:bottom w:val="single" w:sz="4" w:space="0" w:color="auto"/>
              <w:right w:val="single" w:sz="4" w:space="0" w:color="auto"/>
            </w:tcBorders>
          </w:tcPr>
          <w:p w14:paraId="58D6D702" w14:textId="77777777" w:rsidR="00AF5BDC" w:rsidRPr="001B4A02" w:rsidRDefault="00000000" w:rsidP="00ED48A3">
            <w:pPr>
              <w:pStyle w:val="EMEANormal"/>
              <w:rPr>
                <w:del w:id="1047" w:author="AbbVie1" w:date="2025-05-13T09:50:00Z"/>
                <w:szCs w:val="22"/>
                <w:lang w:val="cs-CZ"/>
              </w:rPr>
            </w:pPr>
            <w:del w:id="1048"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45033C8C" w14:textId="77777777" w:rsidR="00AF5BDC" w:rsidRPr="001B4A02" w:rsidRDefault="00000000" w:rsidP="00ED48A3">
            <w:pPr>
              <w:pStyle w:val="EMEANormal"/>
              <w:rPr>
                <w:del w:id="1049" w:author="AbbVie1" w:date="2025-05-13T09:50:00Z"/>
                <w:szCs w:val="22"/>
                <w:lang w:val="cs-CZ"/>
              </w:rPr>
            </w:pPr>
            <w:del w:id="1050" w:author="AbbVie1" w:date="2025-05-13T09:50:00Z">
              <w:r w:rsidRPr="001B4A02">
                <w:rPr>
                  <w:szCs w:val="22"/>
                  <w:lang w:val="cs-CZ"/>
                </w:rPr>
                <w:delText>Astma,</w:delText>
              </w:r>
            </w:del>
          </w:p>
          <w:p w14:paraId="28369204" w14:textId="77777777" w:rsidR="00AF5BDC" w:rsidRPr="001B4A02" w:rsidRDefault="00000000" w:rsidP="00ED48A3">
            <w:pPr>
              <w:pStyle w:val="EMEANormal"/>
              <w:rPr>
                <w:del w:id="1051" w:author="AbbVie1" w:date="2025-05-13T09:50:00Z"/>
                <w:szCs w:val="22"/>
                <w:lang w:val="cs-CZ"/>
              </w:rPr>
            </w:pPr>
            <w:del w:id="1052" w:author="AbbVie1" w:date="2025-05-13T09:50:00Z">
              <w:r w:rsidRPr="001B4A02">
                <w:rPr>
                  <w:szCs w:val="22"/>
                  <w:lang w:val="cs-CZ"/>
                </w:rPr>
                <w:delText>dyspnoe,</w:delText>
              </w:r>
            </w:del>
          </w:p>
          <w:p w14:paraId="508C5E0C" w14:textId="77777777" w:rsidR="00AF5BDC" w:rsidRPr="001B4A02" w:rsidRDefault="00000000" w:rsidP="00ED48A3">
            <w:pPr>
              <w:pStyle w:val="EMEANormal"/>
              <w:rPr>
                <w:del w:id="1053" w:author="AbbVie1" w:date="2025-05-13T09:50:00Z"/>
                <w:szCs w:val="22"/>
                <w:lang w:val="cs-CZ"/>
              </w:rPr>
            </w:pPr>
            <w:del w:id="1054" w:author="AbbVie1" w:date="2025-05-13T09:50:00Z">
              <w:r w:rsidRPr="001B4A02">
                <w:rPr>
                  <w:szCs w:val="22"/>
                  <w:lang w:val="cs-CZ"/>
                </w:rPr>
                <w:delText>kašel</w:delText>
              </w:r>
            </w:del>
          </w:p>
          <w:p w14:paraId="3400CDD9" w14:textId="77777777" w:rsidR="00AF5BDC" w:rsidRPr="001B4A02" w:rsidRDefault="00AF5BDC" w:rsidP="00ED48A3">
            <w:pPr>
              <w:pStyle w:val="EMEANormal"/>
              <w:rPr>
                <w:del w:id="1055" w:author="AbbVie1" w:date="2025-05-13T09:50:00Z"/>
                <w:szCs w:val="22"/>
                <w:lang w:val="cs-CZ"/>
              </w:rPr>
            </w:pPr>
          </w:p>
        </w:tc>
      </w:tr>
      <w:tr w:rsidR="00534A2D" w14:paraId="4CE374CC" w14:textId="77777777" w:rsidTr="00E501B6">
        <w:trPr>
          <w:cantSplit/>
          <w:trHeight w:val="234"/>
          <w:jc w:val="center"/>
          <w:del w:id="1056" w:author="AbbVie1" w:date="2025-05-13T09:50:00Z"/>
        </w:trPr>
        <w:tc>
          <w:tcPr>
            <w:tcW w:w="0" w:type="auto"/>
            <w:vMerge/>
            <w:tcBorders>
              <w:left w:val="single" w:sz="4" w:space="0" w:color="auto"/>
              <w:right w:val="single" w:sz="4" w:space="0" w:color="auto"/>
            </w:tcBorders>
            <w:vAlign w:val="center"/>
          </w:tcPr>
          <w:p w14:paraId="1450A184" w14:textId="77777777" w:rsidR="00AF5BDC" w:rsidRPr="001B4A02" w:rsidRDefault="00AF5BDC" w:rsidP="00ED48A3">
            <w:pPr>
              <w:ind w:left="0" w:firstLine="0"/>
              <w:rPr>
                <w:del w:id="1057"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7450F50E" w14:textId="77777777" w:rsidR="00AF5BDC" w:rsidRPr="001B4A02" w:rsidRDefault="00000000" w:rsidP="00ED48A3">
            <w:pPr>
              <w:pStyle w:val="EMEANormal"/>
              <w:rPr>
                <w:del w:id="1058" w:author="AbbVie1" w:date="2025-05-13T09:50:00Z"/>
                <w:szCs w:val="22"/>
                <w:lang w:val="cs-CZ"/>
              </w:rPr>
            </w:pPr>
            <w:del w:id="1059"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60D60B73" w14:textId="77777777" w:rsidR="00AF5BDC" w:rsidRPr="001B4A02" w:rsidRDefault="00000000" w:rsidP="00ED48A3">
            <w:pPr>
              <w:pStyle w:val="EMEANormal"/>
              <w:rPr>
                <w:del w:id="1060" w:author="AbbVie1" w:date="2025-05-13T09:50:00Z"/>
                <w:szCs w:val="22"/>
                <w:lang w:val="cs-CZ"/>
              </w:rPr>
            </w:pPr>
            <w:del w:id="1061" w:author="AbbVie1" w:date="2025-05-13T09:50:00Z">
              <w:r w:rsidRPr="001B4A02">
                <w:rPr>
                  <w:szCs w:val="22"/>
                  <w:lang w:val="cs-CZ"/>
                </w:rPr>
                <w:delText>Plicní embolie,</w:delText>
              </w:r>
              <w:r w:rsidRPr="001B4A02">
                <w:rPr>
                  <w:szCs w:val="22"/>
                  <w:vertAlign w:val="superscript"/>
                  <w:lang w:val="cs-CZ"/>
                </w:rPr>
                <w:delText>1)</w:delText>
              </w:r>
            </w:del>
          </w:p>
          <w:p w14:paraId="0E82343D" w14:textId="77777777" w:rsidR="00AF5BDC" w:rsidRPr="001B4A02" w:rsidRDefault="00000000" w:rsidP="00ED48A3">
            <w:pPr>
              <w:pStyle w:val="EMEANormal"/>
              <w:rPr>
                <w:del w:id="1062" w:author="AbbVie1" w:date="2025-05-13T09:50:00Z"/>
                <w:szCs w:val="22"/>
                <w:lang w:val="cs-CZ"/>
              </w:rPr>
            </w:pPr>
            <w:del w:id="1063" w:author="AbbVie1" w:date="2025-05-13T09:50:00Z">
              <w:r w:rsidRPr="001B4A02">
                <w:rPr>
                  <w:szCs w:val="22"/>
                  <w:lang w:val="cs-CZ"/>
                </w:rPr>
                <w:delText>intersticiální plicní choroba,</w:delText>
              </w:r>
            </w:del>
          </w:p>
          <w:p w14:paraId="341ACC7F" w14:textId="77777777" w:rsidR="00AF5BDC" w:rsidRPr="001B4A02" w:rsidRDefault="00000000" w:rsidP="00ED48A3">
            <w:pPr>
              <w:pStyle w:val="EMEANormal"/>
              <w:rPr>
                <w:del w:id="1064" w:author="AbbVie1" w:date="2025-05-13T09:50:00Z"/>
                <w:szCs w:val="22"/>
                <w:lang w:val="cs-CZ"/>
              </w:rPr>
            </w:pPr>
            <w:del w:id="1065" w:author="AbbVie1" w:date="2025-05-13T09:50:00Z">
              <w:r w:rsidRPr="001B4A02">
                <w:rPr>
                  <w:szCs w:val="22"/>
                  <w:lang w:val="cs-CZ"/>
                </w:rPr>
                <w:delText>chronická obstrukční plic</w:delText>
              </w:r>
              <w:r w:rsidR="002D292A" w:rsidRPr="001B4A02">
                <w:rPr>
                  <w:szCs w:val="22"/>
                  <w:lang w:val="cs-CZ"/>
                </w:rPr>
                <w:delText>ní nemoc</w:delText>
              </w:r>
              <w:r w:rsidRPr="001B4A02">
                <w:rPr>
                  <w:szCs w:val="22"/>
                  <w:lang w:val="cs-CZ"/>
                </w:rPr>
                <w:delText>,</w:delText>
              </w:r>
            </w:del>
          </w:p>
          <w:p w14:paraId="0323F0CB" w14:textId="77777777" w:rsidR="00AF5BDC" w:rsidRPr="001B4A02" w:rsidRDefault="00000000" w:rsidP="00ED48A3">
            <w:pPr>
              <w:pStyle w:val="EMEANormal"/>
              <w:rPr>
                <w:del w:id="1066" w:author="AbbVie1" w:date="2025-05-13T09:50:00Z"/>
                <w:szCs w:val="22"/>
                <w:lang w:val="cs-CZ"/>
              </w:rPr>
            </w:pPr>
            <w:del w:id="1067" w:author="AbbVie1" w:date="2025-05-13T09:50:00Z">
              <w:r w:rsidRPr="001B4A02">
                <w:rPr>
                  <w:szCs w:val="22"/>
                  <w:lang w:val="cs-CZ"/>
                </w:rPr>
                <w:delText>pneumonitida,</w:delText>
              </w:r>
            </w:del>
          </w:p>
          <w:p w14:paraId="14D94842" w14:textId="77777777" w:rsidR="00AF5BDC" w:rsidRPr="001B4A02" w:rsidRDefault="00000000" w:rsidP="00ED48A3">
            <w:pPr>
              <w:pStyle w:val="EMEANormal"/>
              <w:rPr>
                <w:del w:id="1068" w:author="AbbVie1" w:date="2025-05-13T09:50:00Z"/>
                <w:szCs w:val="22"/>
                <w:lang w:val="cs-CZ"/>
              </w:rPr>
            </w:pPr>
            <w:del w:id="1069" w:author="AbbVie1" w:date="2025-05-13T09:50:00Z">
              <w:r w:rsidRPr="001B4A02">
                <w:rPr>
                  <w:szCs w:val="22"/>
                  <w:lang w:val="cs-CZ"/>
                </w:rPr>
                <w:delText>pleurální výpotek</w:delText>
              </w:r>
              <w:r w:rsidRPr="001B4A02">
                <w:rPr>
                  <w:szCs w:val="22"/>
                  <w:vertAlign w:val="superscript"/>
                  <w:lang w:val="cs-CZ"/>
                </w:rPr>
                <w:delText>1)</w:delText>
              </w:r>
            </w:del>
          </w:p>
          <w:p w14:paraId="6EB5BB68" w14:textId="77777777" w:rsidR="00AF5BDC" w:rsidRPr="001B4A02" w:rsidRDefault="00AF5BDC" w:rsidP="00ED48A3">
            <w:pPr>
              <w:pStyle w:val="EMEANormal"/>
              <w:rPr>
                <w:del w:id="1070" w:author="AbbVie1" w:date="2025-05-13T09:50:00Z"/>
                <w:szCs w:val="22"/>
                <w:lang w:val="cs-CZ"/>
              </w:rPr>
            </w:pPr>
          </w:p>
        </w:tc>
      </w:tr>
      <w:tr w:rsidR="00534A2D" w14:paraId="714785E0" w14:textId="77777777" w:rsidTr="00E501B6">
        <w:trPr>
          <w:cantSplit/>
          <w:trHeight w:val="234"/>
          <w:jc w:val="center"/>
          <w:del w:id="1071" w:author="AbbVie1" w:date="2025-05-13T09:50:00Z"/>
        </w:trPr>
        <w:tc>
          <w:tcPr>
            <w:tcW w:w="0" w:type="auto"/>
            <w:vMerge/>
            <w:tcBorders>
              <w:left w:val="single" w:sz="4" w:space="0" w:color="auto"/>
              <w:bottom w:val="single" w:sz="4" w:space="0" w:color="auto"/>
              <w:right w:val="single" w:sz="4" w:space="0" w:color="auto"/>
            </w:tcBorders>
            <w:vAlign w:val="center"/>
          </w:tcPr>
          <w:p w14:paraId="4D04A53A" w14:textId="77777777" w:rsidR="00AF5BDC" w:rsidRPr="001B4A02" w:rsidRDefault="00AF5BDC" w:rsidP="00ED48A3">
            <w:pPr>
              <w:ind w:left="0" w:firstLine="0"/>
              <w:rPr>
                <w:del w:id="1072"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46438A38" w14:textId="77777777" w:rsidR="00D95B9A" w:rsidRPr="001B4A02" w:rsidRDefault="00000000" w:rsidP="00701677">
            <w:pPr>
              <w:pStyle w:val="EMEANormal"/>
              <w:rPr>
                <w:del w:id="1073" w:author="AbbVie1" w:date="2025-05-13T09:50:00Z"/>
                <w:szCs w:val="22"/>
                <w:lang w:val="cs-CZ"/>
              </w:rPr>
            </w:pPr>
            <w:del w:id="1074"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tcPr>
          <w:p w14:paraId="281A729E" w14:textId="77777777" w:rsidR="00AF5BDC" w:rsidRDefault="00000000" w:rsidP="00ED48A3">
            <w:pPr>
              <w:pStyle w:val="EMEANormal"/>
              <w:rPr>
                <w:del w:id="1075" w:author="AbbVie1" w:date="2025-05-13T09:50:00Z"/>
                <w:szCs w:val="22"/>
                <w:lang w:val="cs-CZ"/>
              </w:rPr>
            </w:pPr>
            <w:del w:id="1076" w:author="AbbVie1" w:date="2025-05-13T09:50:00Z">
              <w:r w:rsidRPr="001B4A02">
                <w:rPr>
                  <w:szCs w:val="22"/>
                  <w:lang w:val="cs-CZ"/>
                </w:rPr>
                <w:delText>Plicní fibróza</w:delText>
              </w:r>
              <w:r w:rsidRPr="001B4A02">
                <w:rPr>
                  <w:szCs w:val="22"/>
                  <w:vertAlign w:val="superscript"/>
                  <w:lang w:val="cs-CZ"/>
                </w:rPr>
                <w:delText>1)</w:delText>
              </w:r>
            </w:del>
          </w:p>
          <w:p w14:paraId="19ABDCEF" w14:textId="77777777" w:rsidR="00701677" w:rsidRPr="00701677" w:rsidRDefault="00701677" w:rsidP="00ED48A3">
            <w:pPr>
              <w:pStyle w:val="EMEANormal"/>
              <w:rPr>
                <w:del w:id="1077" w:author="AbbVie1" w:date="2025-05-13T09:50:00Z"/>
                <w:szCs w:val="22"/>
                <w:lang w:val="cs-CZ"/>
              </w:rPr>
            </w:pPr>
          </w:p>
        </w:tc>
      </w:tr>
      <w:tr w:rsidR="00534A2D" w14:paraId="7FA66AFC" w14:textId="77777777" w:rsidTr="00E501B6">
        <w:trPr>
          <w:cantSplit/>
          <w:trHeight w:val="261"/>
          <w:jc w:val="center"/>
          <w:del w:id="1078" w:author="AbbVie1" w:date="2025-05-13T09:50:00Z"/>
        </w:trPr>
        <w:tc>
          <w:tcPr>
            <w:tcW w:w="2880" w:type="dxa"/>
            <w:vMerge w:val="restart"/>
            <w:tcBorders>
              <w:top w:val="single" w:sz="4" w:space="0" w:color="auto"/>
              <w:left w:val="single" w:sz="4" w:space="0" w:color="auto"/>
              <w:right w:val="single" w:sz="4" w:space="0" w:color="auto"/>
            </w:tcBorders>
          </w:tcPr>
          <w:p w14:paraId="5FE7E666" w14:textId="77777777" w:rsidR="00AF5BDC" w:rsidRPr="001B4A02" w:rsidRDefault="00000000" w:rsidP="00ED48A3">
            <w:pPr>
              <w:pStyle w:val="EMEANormal"/>
              <w:tabs>
                <w:tab w:val="left" w:pos="0"/>
              </w:tabs>
              <w:rPr>
                <w:del w:id="1079" w:author="AbbVie1" w:date="2025-05-13T09:50:00Z"/>
                <w:szCs w:val="22"/>
                <w:lang w:val="cs-CZ"/>
              </w:rPr>
            </w:pPr>
            <w:del w:id="1080" w:author="AbbVie1" w:date="2025-05-13T09:50:00Z">
              <w:r w:rsidRPr="001B4A02">
                <w:rPr>
                  <w:szCs w:val="22"/>
                  <w:lang w:val="cs-CZ"/>
                </w:rPr>
                <w:delText>Gastrointestinální poruchy</w:delText>
              </w:r>
            </w:del>
          </w:p>
        </w:tc>
        <w:tc>
          <w:tcPr>
            <w:tcW w:w="1440" w:type="dxa"/>
            <w:tcBorders>
              <w:top w:val="single" w:sz="4" w:space="0" w:color="auto"/>
              <w:left w:val="single" w:sz="4" w:space="0" w:color="auto"/>
              <w:bottom w:val="single" w:sz="4" w:space="0" w:color="auto"/>
              <w:right w:val="single" w:sz="4" w:space="0" w:color="auto"/>
            </w:tcBorders>
          </w:tcPr>
          <w:p w14:paraId="5E7EB2FD" w14:textId="77777777" w:rsidR="00AF5BDC" w:rsidRPr="001B4A02" w:rsidRDefault="00000000" w:rsidP="00ED48A3">
            <w:pPr>
              <w:pStyle w:val="EMEANormal"/>
              <w:rPr>
                <w:del w:id="1081" w:author="AbbVie1" w:date="2025-05-13T09:50:00Z"/>
                <w:szCs w:val="22"/>
                <w:lang w:val="cs-CZ"/>
              </w:rPr>
            </w:pPr>
            <w:del w:id="1082"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tcPr>
          <w:p w14:paraId="3DA58F3E" w14:textId="77777777" w:rsidR="00AF5BDC" w:rsidRPr="001B4A02" w:rsidRDefault="00000000" w:rsidP="00ED48A3">
            <w:pPr>
              <w:pStyle w:val="EMEANormal"/>
              <w:rPr>
                <w:del w:id="1083" w:author="AbbVie1" w:date="2025-05-13T09:50:00Z"/>
                <w:szCs w:val="22"/>
                <w:lang w:val="cs-CZ"/>
              </w:rPr>
            </w:pPr>
            <w:del w:id="1084" w:author="AbbVie1" w:date="2025-05-13T09:50:00Z">
              <w:r w:rsidRPr="001B4A02">
                <w:rPr>
                  <w:szCs w:val="22"/>
                  <w:lang w:val="cs-CZ"/>
                </w:rPr>
                <w:delText>Bolest břicha,</w:delText>
              </w:r>
            </w:del>
          </w:p>
          <w:p w14:paraId="1375169E" w14:textId="77777777" w:rsidR="00AF5BDC" w:rsidRPr="001B4A02" w:rsidRDefault="00000000" w:rsidP="00ED48A3">
            <w:pPr>
              <w:pStyle w:val="EMEANormal"/>
              <w:rPr>
                <w:del w:id="1085" w:author="AbbVie1" w:date="2025-05-13T09:50:00Z"/>
                <w:szCs w:val="22"/>
                <w:lang w:val="cs-CZ"/>
              </w:rPr>
            </w:pPr>
            <w:del w:id="1086" w:author="AbbVie1" w:date="2025-05-13T09:50:00Z">
              <w:r w:rsidRPr="001B4A02">
                <w:rPr>
                  <w:szCs w:val="22"/>
                  <w:lang w:val="cs-CZ"/>
                </w:rPr>
                <w:delText>nau</w:delText>
              </w:r>
              <w:r w:rsidR="00664E8D">
                <w:rPr>
                  <w:szCs w:val="22"/>
                  <w:lang w:val="cs-CZ"/>
                </w:rPr>
                <w:delText>z</w:delText>
              </w:r>
              <w:r w:rsidRPr="001B4A02">
                <w:rPr>
                  <w:szCs w:val="22"/>
                  <w:lang w:val="cs-CZ"/>
                </w:rPr>
                <w:delText>ea</w:delText>
              </w:r>
              <w:r w:rsidR="002378E0">
                <w:rPr>
                  <w:szCs w:val="22"/>
                  <w:lang w:val="cs-CZ"/>
                </w:rPr>
                <w:delText xml:space="preserve"> a </w:delText>
              </w:r>
              <w:r w:rsidRPr="001B4A02">
                <w:rPr>
                  <w:szCs w:val="22"/>
                  <w:lang w:val="cs-CZ"/>
                </w:rPr>
                <w:delText>zvracení</w:delText>
              </w:r>
            </w:del>
          </w:p>
          <w:p w14:paraId="0DF15DC1" w14:textId="77777777" w:rsidR="00AF5BDC" w:rsidRPr="001B4A02" w:rsidRDefault="00AF5BDC" w:rsidP="00ED48A3">
            <w:pPr>
              <w:pStyle w:val="EMEANormal"/>
              <w:rPr>
                <w:del w:id="1087" w:author="AbbVie1" w:date="2025-05-13T09:50:00Z"/>
                <w:szCs w:val="22"/>
                <w:lang w:val="cs-CZ"/>
              </w:rPr>
            </w:pPr>
          </w:p>
        </w:tc>
      </w:tr>
      <w:tr w:rsidR="00534A2D" w14:paraId="48A9A59A" w14:textId="77777777" w:rsidTr="00E501B6">
        <w:trPr>
          <w:cantSplit/>
          <w:trHeight w:val="260"/>
          <w:jc w:val="center"/>
          <w:del w:id="1088" w:author="AbbVie1" w:date="2025-05-13T09:50:00Z"/>
        </w:trPr>
        <w:tc>
          <w:tcPr>
            <w:tcW w:w="0" w:type="auto"/>
            <w:vMerge/>
            <w:tcBorders>
              <w:left w:val="single" w:sz="4" w:space="0" w:color="auto"/>
              <w:right w:val="single" w:sz="4" w:space="0" w:color="auto"/>
            </w:tcBorders>
            <w:vAlign w:val="center"/>
          </w:tcPr>
          <w:p w14:paraId="2E633664" w14:textId="77777777" w:rsidR="00AF5BDC" w:rsidRPr="001B4A02" w:rsidRDefault="00AF5BDC" w:rsidP="00ED48A3">
            <w:pPr>
              <w:ind w:left="0" w:firstLine="0"/>
              <w:rPr>
                <w:del w:id="1089"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2F2A6316" w14:textId="77777777" w:rsidR="00AF5BDC" w:rsidRPr="001B4A02" w:rsidRDefault="00000000" w:rsidP="00ED48A3">
            <w:pPr>
              <w:pStyle w:val="EMEANormal"/>
              <w:tabs>
                <w:tab w:val="clear" w:pos="562"/>
                <w:tab w:val="left" w:pos="100"/>
              </w:tabs>
              <w:rPr>
                <w:del w:id="1090" w:author="AbbVie1" w:date="2025-05-13T09:50:00Z"/>
                <w:szCs w:val="22"/>
                <w:lang w:val="cs-CZ"/>
              </w:rPr>
            </w:pPr>
            <w:del w:id="1091"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082804C8" w14:textId="77777777" w:rsidR="00AF5BDC" w:rsidRPr="001B4A02" w:rsidRDefault="00000000" w:rsidP="00ED48A3">
            <w:pPr>
              <w:pStyle w:val="EMEANormal"/>
              <w:rPr>
                <w:del w:id="1092" w:author="AbbVie1" w:date="2025-05-13T09:50:00Z"/>
                <w:szCs w:val="22"/>
                <w:lang w:val="cs-CZ"/>
              </w:rPr>
            </w:pPr>
            <w:del w:id="1093" w:author="AbbVie1" w:date="2025-05-13T09:50:00Z">
              <w:r w:rsidRPr="001B4A02">
                <w:rPr>
                  <w:szCs w:val="22"/>
                  <w:lang w:val="cs-CZ"/>
                </w:rPr>
                <w:delText>Krvácení z GI traktu,</w:delText>
              </w:r>
            </w:del>
          </w:p>
          <w:p w14:paraId="024C3292" w14:textId="77777777" w:rsidR="00AF5BDC" w:rsidRPr="001B4A02" w:rsidRDefault="00000000" w:rsidP="00ED48A3">
            <w:pPr>
              <w:pStyle w:val="EMEANormal"/>
              <w:rPr>
                <w:del w:id="1094" w:author="AbbVie1" w:date="2025-05-13T09:50:00Z"/>
                <w:szCs w:val="22"/>
                <w:lang w:val="cs-CZ"/>
              </w:rPr>
            </w:pPr>
            <w:del w:id="1095" w:author="AbbVie1" w:date="2025-05-13T09:50:00Z">
              <w:r w:rsidRPr="001B4A02">
                <w:rPr>
                  <w:szCs w:val="22"/>
                  <w:lang w:val="cs-CZ"/>
                </w:rPr>
                <w:delText>dyspepsie,</w:delText>
              </w:r>
            </w:del>
          </w:p>
          <w:p w14:paraId="403CAA36" w14:textId="77777777" w:rsidR="00AF5BDC" w:rsidRPr="001B4A02" w:rsidRDefault="00000000" w:rsidP="00ED48A3">
            <w:pPr>
              <w:pStyle w:val="EMEANormal"/>
              <w:rPr>
                <w:del w:id="1096" w:author="AbbVie1" w:date="2025-05-13T09:50:00Z"/>
                <w:szCs w:val="22"/>
                <w:lang w:val="cs-CZ"/>
              </w:rPr>
            </w:pPr>
            <w:del w:id="1097" w:author="AbbVie1" w:date="2025-05-13T09:50:00Z">
              <w:r w:rsidRPr="001B4A02">
                <w:rPr>
                  <w:szCs w:val="22"/>
                  <w:lang w:val="cs-CZ"/>
                </w:rPr>
                <w:delText>gastroesofageální refl</w:delText>
              </w:r>
              <w:r w:rsidR="00936E7B">
                <w:rPr>
                  <w:szCs w:val="22"/>
                  <w:lang w:val="cs-CZ"/>
                </w:rPr>
                <w:delText>u</w:delText>
              </w:r>
              <w:r w:rsidRPr="001B4A02">
                <w:rPr>
                  <w:szCs w:val="22"/>
                  <w:lang w:val="cs-CZ"/>
                </w:rPr>
                <w:delText>xní choroba,</w:delText>
              </w:r>
            </w:del>
          </w:p>
          <w:p w14:paraId="725AA2AC" w14:textId="77777777" w:rsidR="00AF5BDC" w:rsidRPr="001B4A02" w:rsidRDefault="00000000" w:rsidP="00ED48A3">
            <w:pPr>
              <w:pStyle w:val="EMEANormal"/>
              <w:rPr>
                <w:del w:id="1098" w:author="AbbVie1" w:date="2025-05-13T09:50:00Z"/>
                <w:szCs w:val="22"/>
                <w:lang w:val="cs-CZ"/>
              </w:rPr>
            </w:pPr>
            <w:del w:id="1099" w:author="AbbVie1" w:date="2025-05-13T09:50:00Z">
              <w:r w:rsidRPr="001B4A02">
                <w:rPr>
                  <w:szCs w:val="22"/>
                  <w:lang w:val="cs-CZ"/>
                </w:rPr>
                <w:delText>sicca syndrom</w:delText>
              </w:r>
            </w:del>
          </w:p>
          <w:p w14:paraId="1A1F9526" w14:textId="77777777" w:rsidR="00AF5BDC" w:rsidRPr="001B4A02" w:rsidRDefault="00AF5BDC" w:rsidP="00ED48A3">
            <w:pPr>
              <w:pStyle w:val="EMEANormal"/>
              <w:rPr>
                <w:del w:id="1100" w:author="AbbVie1" w:date="2025-05-13T09:50:00Z"/>
                <w:szCs w:val="22"/>
                <w:lang w:val="cs-CZ"/>
              </w:rPr>
            </w:pPr>
          </w:p>
        </w:tc>
      </w:tr>
      <w:tr w:rsidR="00534A2D" w14:paraId="5BE0C32B" w14:textId="77777777" w:rsidTr="00E501B6">
        <w:trPr>
          <w:cantSplit/>
          <w:trHeight w:val="260"/>
          <w:jc w:val="center"/>
          <w:del w:id="1101" w:author="AbbVie1" w:date="2025-05-13T09:50:00Z"/>
        </w:trPr>
        <w:tc>
          <w:tcPr>
            <w:tcW w:w="0" w:type="auto"/>
            <w:vMerge/>
            <w:tcBorders>
              <w:left w:val="single" w:sz="4" w:space="0" w:color="auto"/>
              <w:right w:val="single" w:sz="4" w:space="0" w:color="auto"/>
            </w:tcBorders>
            <w:vAlign w:val="center"/>
          </w:tcPr>
          <w:p w14:paraId="2F42D3C5" w14:textId="77777777" w:rsidR="00AF5BDC" w:rsidRPr="001B4A02" w:rsidRDefault="00AF5BDC" w:rsidP="00ED48A3">
            <w:pPr>
              <w:ind w:left="0" w:firstLine="0"/>
              <w:rPr>
                <w:del w:id="1102"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31C309B4" w14:textId="77777777" w:rsidR="00AF5BDC" w:rsidRPr="001B4A02" w:rsidRDefault="00000000" w:rsidP="00ED48A3">
            <w:pPr>
              <w:pStyle w:val="EMEANormal"/>
              <w:rPr>
                <w:del w:id="1103" w:author="AbbVie1" w:date="2025-05-13T09:50:00Z"/>
                <w:szCs w:val="22"/>
                <w:lang w:val="cs-CZ"/>
              </w:rPr>
            </w:pPr>
            <w:del w:id="1104"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22580FC4" w14:textId="77777777" w:rsidR="00AF5BDC" w:rsidRPr="001B4A02" w:rsidRDefault="00000000" w:rsidP="00ED48A3">
            <w:pPr>
              <w:pStyle w:val="EMEANormal"/>
              <w:rPr>
                <w:del w:id="1105" w:author="AbbVie1" w:date="2025-05-13T09:50:00Z"/>
                <w:szCs w:val="22"/>
                <w:lang w:val="cs-CZ"/>
              </w:rPr>
            </w:pPr>
            <w:del w:id="1106" w:author="AbbVie1" w:date="2025-05-13T09:50:00Z">
              <w:r w:rsidRPr="001B4A02">
                <w:rPr>
                  <w:szCs w:val="22"/>
                  <w:lang w:val="cs-CZ"/>
                </w:rPr>
                <w:delText>Pankreatitida,</w:delText>
              </w:r>
            </w:del>
          </w:p>
          <w:p w14:paraId="27618FB9" w14:textId="77777777" w:rsidR="00AF5BDC" w:rsidRPr="001B4A02" w:rsidRDefault="00000000" w:rsidP="00ED48A3">
            <w:pPr>
              <w:pStyle w:val="EMEANormal"/>
              <w:rPr>
                <w:del w:id="1107" w:author="AbbVie1" w:date="2025-05-13T09:50:00Z"/>
                <w:szCs w:val="22"/>
                <w:lang w:val="cs-CZ"/>
              </w:rPr>
            </w:pPr>
            <w:del w:id="1108" w:author="AbbVie1" w:date="2025-05-13T09:50:00Z">
              <w:r w:rsidRPr="001B4A02">
                <w:rPr>
                  <w:szCs w:val="22"/>
                  <w:lang w:val="cs-CZ"/>
                </w:rPr>
                <w:delText>dysfagie,</w:delText>
              </w:r>
            </w:del>
          </w:p>
          <w:p w14:paraId="64D3648D" w14:textId="77777777" w:rsidR="00AF5BDC" w:rsidRPr="001B4A02" w:rsidRDefault="00000000" w:rsidP="00ED48A3">
            <w:pPr>
              <w:pStyle w:val="EMEANormal"/>
              <w:rPr>
                <w:del w:id="1109" w:author="AbbVie1" w:date="2025-05-13T09:50:00Z"/>
                <w:szCs w:val="22"/>
                <w:lang w:val="cs-CZ"/>
              </w:rPr>
            </w:pPr>
            <w:del w:id="1110" w:author="AbbVie1" w:date="2025-05-13T09:50:00Z">
              <w:r w:rsidRPr="001B4A02">
                <w:rPr>
                  <w:szCs w:val="22"/>
                  <w:lang w:val="cs-CZ"/>
                </w:rPr>
                <w:delText>edém obličeje</w:delText>
              </w:r>
            </w:del>
          </w:p>
          <w:p w14:paraId="1CC565D8" w14:textId="77777777" w:rsidR="00AF5BDC" w:rsidRPr="001B4A02" w:rsidRDefault="00AF5BDC" w:rsidP="00ED48A3">
            <w:pPr>
              <w:pStyle w:val="EMEANormal"/>
              <w:rPr>
                <w:del w:id="1111" w:author="AbbVie1" w:date="2025-05-13T09:50:00Z"/>
                <w:szCs w:val="22"/>
                <w:lang w:val="cs-CZ"/>
              </w:rPr>
            </w:pPr>
          </w:p>
        </w:tc>
      </w:tr>
      <w:tr w:rsidR="00534A2D" w14:paraId="4748EFC3" w14:textId="77777777" w:rsidTr="00E501B6">
        <w:trPr>
          <w:cantSplit/>
          <w:trHeight w:val="260"/>
          <w:jc w:val="center"/>
          <w:del w:id="1112" w:author="AbbVie1" w:date="2025-05-13T09:50:00Z"/>
        </w:trPr>
        <w:tc>
          <w:tcPr>
            <w:tcW w:w="0" w:type="auto"/>
            <w:vMerge/>
            <w:tcBorders>
              <w:left w:val="single" w:sz="4" w:space="0" w:color="auto"/>
              <w:bottom w:val="single" w:sz="4" w:space="0" w:color="auto"/>
              <w:right w:val="single" w:sz="4" w:space="0" w:color="auto"/>
            </w:tcBorders>
            <w:vAlign w:val="center"/>
          </w:tcPr>
          <w:p w14:paraId="58AC2F32" w14:textId="77777777" w:rsidR="00AF5BDC" w:rsidRPr="001B4A02" w:rsidRDefault="00AF5BDC" w:rsidP="00ED48A3">
            <w:pPr>
              <w:ind w:left="0" w:firstLine="0"/>
              <w:rPr>
                <w:del w:id="1113"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609B848D" w14:textId="77777777" w:rsidR="00AF5BDC" w:rsidRPr="001B4A02" w:rsidRDefault="00000000" w:rsidP="00ED48A3">
            <w:pPr>
              <w:pStyle w:val="EMEANormal"/>
              <w:rPr>
                <w:del w:id="1114" w:author="AbbVie1" w:date="2025-05-13T09:50:00Z"/>
                <w:szCs w:val="22"/>
                <w:lang w:val="cs-CZ"/>
              </w:rPr>
            </w:pPr>
            <w:del w:id="1115"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tcPr>
          <w:p w14:paraId="49390AEF" w14:textId="77777777" w:rsidR="00AF5BDC" w:rsidRPr="001B4A02" w:rsidRDefault="00000000" w:rsidP="00ED48A3">
            <w:pPr>
              <w:pStyle w:val="EMEANormal"/>
              <w:rPr>
                <w:del w:id="1116" w:author="AbbVie1" w:date="2025-05-13T09:50:00Z"/>
                <w:szCs w:val="22"/>
                <w:vertAlign w:val="superscript"/>
                <w:lang w:val="cs-CZ"/>
              </w:rPr>
            </w:pPr>
            <w:del w:id="1117" w:author="AbbVie1" w:date="2025-05-13T09:50:00Z">
              <w:r w:rsidRPr="001B4A02">
                <w:rPr>
                  <w:szCs w:val="22"/>
                  <w:lang w:val="cs-CZ"/>
                </w:rPr>
                <w:delText>Perforace střeva</w:delText>
              </w:r>
              <w:r w:rsidRPr="001B4A02">
                <w:rPr>
                  <w:szCs w:val="22"/>
                  <w:vertAlign w:val="superscript"/>
                  <w:lang w:val="cs-CZ"/>
                </w:rPr>
                <w:delText>1)</w:delText>
              </w:r>
            </w:del>
          </w:p>
          <w:p w14:paraId="2C655A60" w14:textId="77777777" w:rsidR="0068379B" w:rsidRPr="001B4A02" w:rsidRDefault="0068379B" w:rsidP="00ED48A3">
            <w:pPr>
              <w:pStyle w:val="EMEANormal"/>
              <w:rPr>
                <w:del w:id="1118" w:author="AbbVie1" w:date="2025-05-13T09:50:00Z"/>
                <w:szCs w:val="22"/>
                <w:lang w:val="cs-CZ"/>
              </w:rPr>
            </w:pPr>
          </w:p>
        </w:tc>
      </w:tr>
      <w:tr w:rsidR="00534A2D" w14:paraId="1829011E" w14:textId="77777777" w:rsidTr="00E501B6">
        <w:trPr>
          <w:trHeight w:val="138"/>
          <w:jc w:val="center"/>
          <w:del w:id="1119" w:author="AbbVie1" w:date="2025-05-13T09:50:00Z"/>
        </w:trPr>
        <w:tc>
          <w:tcPr>
            <w:tcW w:w="2880" w:type="dxa"/>
            <w:vMerge w:val="restart"/>
            <w:tcBorders>
              <w:top w:val="single" w:sz="4" w:space="0" w:color="auto"/>
              <w:left w:val="single" w:sz="4" w:space="0" w:color="auto"/>
              <w:right w:val="single" w:sz="4" w:space="0" w:color="auto"/>
            </w:tcBorders>
          </w:tcPr>
          <w:p w14:paraId="5422F257" w14:textId="77777777" w:rsidR="005C5FBA" w:rsidRPr="001B4A02" w:rsidRDefault="00000000" w:rsidP="00ED48A3">
            <w:pPr>
              <w:tabs>
                <w:tab w:val="left" w:pos="0"/>
              </w:tabs>
              <w:ind w:left="0" w:firstLine="0"/>
              <w:rPr>
                <w:del w:id="1120" w:author="AbbVie1" w:date="2025-05-13T09:50:00Z"/>
                <w:szCs w:val="22"/>
              </w:rPr>
            </w:pPr>
            <w:del w:id="1121" w:author="AbbVie1" w:date="2025-05-13T09:50:00Z">
              <w:r w:rsidRPr="001B4A02">
                <w:rPr>
                  <w:szCs w:val="22"/>
                </w:rPr>
                <w:delText>Poruchy jater</w:delText>
              </w:r>
              <w:r w:rsidR="002378E0">
                <w:rPr>
                  <w:szCs w:val="22"/>
                </w:rPr>
                <w:delText xml:space="preserve"> a </w:delText>
              </w:r>
              <w:r w:rsidRPr="001B4A02">
                <w:rPr>
                  <w:szCs w:val="22"/>
                </w:rPr>
                <w:delText>žlučových cest*</w:delText>
              </w:r>
            </w:del>
          </w:p>
        </w:tc>
        <w:tc>
          <w:tcPr>
            <w:tcW w:w="1440" w:type="dxa"/>
            <w:tcBorders>
              <w:top w:val="single" w:sz="4" w:space="0" w:color="auto"/>
              <w:left w:val="single" w:sz="4" w:space="0" w:color="auto"/>
              <w:bottom w:val="single" w:sz="4" w:space="0" w:color="auto"/>
              <w:right w:val="single" w:sz="4" w:space="0" w:color="auto"/>
            </w:tcBorders>
          </w:tcPr>
          <w:p w14:paraId="5BB7E006" w14:textId="77777777" w:rsidR="005C5FBA" w:rsidRPr="001B4A02" w:rsidRDefault="00000000" w:rsidP="00ED48A3">
            <w:pPr>
              <w:pStyle w:val="EMEANormal"/>
              <w:rPr>
                <w:del w:id="1122" w:author="AbbVie1" w:date="2025-05-13T09:50:00Z"/>
                <w:szCs w:val="22"/>
                <w:lang w:val="cs-CZ"/>
              </w:rPr>
            </w:pPr>
            <w:del w:id="1123"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381A4004" w14:textId="77777777" w:rsidR="005C5FBA" w:rsidRPr="001B4A02" w:rsidRDefault="00000000" w:rsidP="00ED48A3">
            <w:pPr>
              <w:pStyle w:val="EMEANormal"/>
              <w:rPr>
                <w:del w:id="1124" w:author="AbbVie1" w:date="2025-05-13T09:50:00Z"/>
                <w:szCs w:val="22"/>
                <w:lang w:val="cs-CZ"/>
              </w:rPr>
            </w:pPr>
            <w:del w:id="1125" w:author="AbbVie1" w:date="2025-05-13T09:50:00Z">
              <w:r w:rsidRPr="001B4A02">
                <w:rPr>
                  <w:szCs w:val="22"/>
                  <w:lang w:val="cs-CZ"/>
                </w:rPr>
                <w:delText>Zvýšení jaterních enzymů</w:delText>
              </w:r>
            </w:del>
          </w:p>
          <w:p w14:paraId="62169A44" w14:textId="77777777" w:rsidR="005C5FBA" w:rsidRPr="001B4A02" w:rsidRDefault="005C5FBA" w:rsidP="00ED48A3">
            <w:pPr>
              <w:pStyle w:val="EMEANormal"/>
              <w:rPr>
                <w:del w:id="1126" w:author="AbbVie1" w:date="2025-05-13T09:50:00Z"/>
                <w:szCs w:val="22"/>
                <w:lang w:val="cs-CZ"/>
              </w:rPr>
            </w:pPr>
          </w:p>
        </w:tc>
      </w:tr>
      <w:tr w:rsidR="00534A2D" w14:paraId="7705FD0E" w14:textId="77777777" w:rsidTr="00E501B6">
        <w:trPr>
          <w:trHeight w:val="137"/>
          <w:jc w:val="center"/>
          <w:del w:id="1127" w:author="AbbVie1" w:date="2025-05-13T09:50:00Z"/>
        </w:trPr>
        <w:tc>
          <w:tcPr>
            <w:tcW w:w="2880" w:type="dxa"/>
            <w:vMerge/>
            <w:tcBorders>
              <w:left w:val="single" w:sz="4" w:space="0" w:color="auto"/>
              <w:right w:val="single" w:sz="4" w:space="0" w:color="auto"/>
            </w:tcBorders>
          </w:tcPr>
          <w:p w14:paraId="781C8A47" w14:textId="77777777" w:rsidR="005C5FBA" w:rsidRPr="001B4A02" w:rsidRDefault="005C5FBA" w:rsidP="00ED48A3">
            <w:pPr>
              <w:tabs>
                <w:tab w:val="left" w:pos="0"/>
              </w:tabs>
              <w:ind w:left="0" w:firstLine="0"/>
              <w:rPr>
                <w:del w:id="1128"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79F1B056" w14:textId="77777777" w:rsidR="005C5FBA" w:rsidRPr="001B4A02" w:rsidRDefault="00000000" w:rsidP="00ED48A3">
            <w:pPr>
              <w:pStyle w:val="EMEANormal"/>
              <w:rPr>
                <w:del w:id="1129" w:author="AbbVie1" w:date="2025-05-13T09:50:00Z"/>
                <w:szCs w:val="22"/>
                <w:lang w:val="cs-CZ"/>
              </w:rPr>
            </w:pPr>
            <w:del w:id="1130"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4806DED5" w14:textId="77777777" w:rsidR="005C5FBA" w:rsidRPr="001B4A02" w:rsidRDefault="00000000" w:rsidP="00ED48A3">
            <w:pPr>
              <w:pStyle w:val="EMEANormal"/>
              <w:rPr>
                <w:del w:id="1131" w:author="AbbVie1" w:date="2025-05-13T09:50:00Z"/>
                <w:szCs w:val="22"/>
                <w:lang w:val="cs-CZ"/>
              </w:rPr>
            </w:pPr>
            <w:del w:id="1132" w:author="AbbVie1" w:date="2025-05-13T09:50:00Z">
              <w:r w:rsidRPr="001B4A02">
                <w:rPr>
                  <w:szCs w:val="22"/>
                  <w:lang w:val="cs-CZ"/>
                </w:rPr>
                <w:delText>Steatóza jater,</w:delText>
              </w:r>
            </w:del>
          </w:p>
          <w:p w14:paraId="4A9F7A81" w14:textId="77777777" w:rsidR="005C5FBA" w:rsidRPr="001B4A02" w:rsidRDefault="00000000" w:rsidP="00ED48A3">
            <w:pPr>
              <w:pStyle w:val="EMEANormal"/>
              <w:rPr>
                <w:del w:id="1133" w:author="AbbVie1" w:date="2025-05-13T09:50:00Z"/>
                <w:szCs w:val="22"/>
                <w:lang w:val="cs-CZ"/>
              </w:rPr>
            </w:pPr>
            <w:del w:id="1134" w:author="AbbVie1" w:date="2025-05-13T09:50:00Z">
              <w:r w:rsidRPr="001B4A02">
                <w:rPr>
                  <w:szCs w:val="22"/>
                  <w:lang w:val="cs-CZ"/>
                </w:rPr>
                <w:delText>cholecystitida</w:delText>
              </w:r>
              <w:r w:rsidR="002378E0">
                <w:rPr>
                  <w:szCs w:val="22"/>
                  <w:lang w:val="cs-CZ"/>
                </w:rPr>
                <w:delText xml:space="preserve"> a </w:delText>
              </w:r>
              <w:r w:rsidRPr="001B4A02">
                <w:rPr>
                  <w:szCs w:val="22"/>
                  <w:lang w:val="cs-CZ"/>
                </w:rPr>
                <w:delText>cholelithiáza,</w:delText>
              </w:r>
            </w:del>
          </w:p>
          <w:p w14:paraId="632B7AA2" w14:textId="77777777" w:rsidR="005C5FBA" w:rsidRPr="001B4A02" w:rsidRDefault="00000000" w:rsidP="00ED48A3">
            <w:pPr>
              <w:pStyle w:val="EMEANormal"/>
              <w:rPr>
                <w:del w:id="1135" w:author="AbbVie1" w:date="2025-05-13T09:50:00Z"/>
                <w:szCs w:val="22"/>
                <w:lang w:val="cs-CZ"/>
              </w:rPr>
            </w:pPr>
            <w:del w:id="1136" w:author="AbbVie1" w:date="2025-05-13T09:50:00Z">
              <w:r w:rsidRPr="001B4A02">
                <w:rPr>
                  <w:szCs w:val="22"/>
                  <w:lang w:val="cs-CZ"/>
                </w:rPr>
                <w:delText>zvýšení bilirubinu</w:delText>
              </w:r>
            </w:del>
          </w:p>
          <w:p w14:paraId="160C758A" w14:textId="77777777" w:rsidR="005C5FBA" w:rsidRPr="001B4A02" w:rsidRDefault="005C5FBA" w:rsidP="00ED48A3">
            <w:pPr>
              <w:pStyle w:val="EMEANormal"/>
              <w:rPr>
                <w:del w:id="1137" w:author="AbbVie1" w:date="2025-05-13T09:50:00Z"/>
                <w:szCs w:val="22"/>
                <w:lang w:val="cs-CZ"/>
              </w:rPr>
            </w:pPr>
          </w:p>
        </w:tc>
      </w:tr>
      <w:tr w:rsidR="00534A2D" w14:paraId="015D9CF8" w14:textId="77777777" w:rsidTr="00E501B6">
        <w:trPr>
          <w:trHeight w:val="390"/>
          <w:jc w:val="center"/>
          <w:del w:id="1138" w:author="AbbVie1" w:date="2025-05-13T09:50:00Z"/>
        </w:trPr>
        <w:tc>
          <w:tcPr>
            <w:tcW w:w="2880" w:type="dxa"/>
            <w:vMerge/>
            <w:tcBorders>
              <w:left w:val="single" w:sz="4" w:space="0" w:color="auto"/>
              <w:right w:val="single" w:sz="4" w:space="0" w:color="auto"/>
            </w:tcBorders>
          </w:tcPr>
          <w:p w14:paraId="3BC9FEB1" w14:textId="77777777" w:rsidR="005C5FBA" w:rsidRPr="001B4A02" w:rsidRDefault="005C5FBA" w:rsidP="00ED48A3">
            <w:pPr>
              <w:tabs>
                <w:tab w:val="left" w:pos="0"/>
              </w:tabs>
              <w:ind w:left="0" w:firstLine="0"/>
              <w:rPr>
                <w:del w:id="1139"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4F3CA8D6" w14:textId="77777777" w:rsidR="005C5FBA" w:rsidRPr="001B4A02" w:rsidRDefault="00000000" w:rsidP="00ED48A3">
            <w:pPr>
              <w:pStyle w:val="EMEANormal"/>
              <w:rPr>
                <w:del w:id="1140" w:author="AbbVie1" w:date="2025-05-13T09:50:00Z"/>
                <w:szCs w:val="22"/>
                <w:lang w:val="cs-CZ"/>
              </w:rPr>
            </w:pPr>
            <w:del w:id="1141"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65260018" w14:textId="77777777" w:rsidR="005C5FBA" w:rsidRPr="001B4A02" w:rsidRDefault="00000000" w:rsidP="00ED48A3">
            <w:pPr>
              <w:pStyle w:val="EMEANormal"/>
              <w:rPr>
                <w:del w:id="1142" w:author="AbbVie1" w:date="2025-05-13T09:50:00Z"/>
                <w:szCs w:val="22"/>
                <w:lang w:val="cs-CZ"/>
              </w:rPr>
            </w:pPr>
            <w:del w:id="1143" w:author="AbbVie1" w:date="2025-05-13T09:50:00Z">
              <w:r w:rsidRPr="001B4A02">
                <w:rPr>
                  <w:szCs w:val="22"/>
                  <w:lang w:val="cs-CZ"/>
                </w:rPr>
                <w:delText>Hepatitida</w:delText>
              </w:r>
              <w:r w:rsidR="00D95B9A" w:rsidRPr="001B4A02">
                <w:rPr>
                  <w:szCs w:val="22"/>
                  <w:lang w:val="cs-CZ"/>
                </w:rPr>
                <w:delText>,</w:delText>
              </w:r>
            </w:del>
          </w:p>
          <w:p w14:paraId="7DDE7733" w14:textId="77777777" w:rsidR="005C5FBA" w:rsidRPr="001B4A02" w:rsidRDefault="00000000" w:rsidP="00ED48A3">
            <w:pPr>
              <w:pStyle w:val="EMEANormal"/>
              <w:rPr>
                <w:del w:id="1144" w:author="AbbVie1" w:date="2025-05-13T09:50:00Z"/>
                <w:szCs w:val="22"/>
                <w:lang w:val="cs-CZ"/>
              </w:rPr>
            </w:pPr>
            <w:del w:id="1145" w:author="AbbVie1" w:date="2025-05-13T09:50:00Z">
              <w:r w:rsidRPr="001B4A02">
                <w:rPr>
                  <w:szCs w:val="22"/>
                  <w:lang w:val="cs-CZ"/>
                </w:rPr>
                <w:delText>reaktivace hepatitidy B</w:delText>
              </w:r>
              <w:r w:rsidRPr="001B4A02">
                <w:rPr>
                  <w:szCs w:val="22"/>
                  <w:vertAlign w:val="superscript"/>
                  <w:lang w:val="cs-CZ"/>
                </w:rPr>
                <w:delText>1)</w:delText>
              </w:r>
              <w:r w:rsidR="00D95B9A" w:rsidRPr="001B4A02">
                <w:rPr>
                  <w:szCs w:val="22"/>
                  <w:lang w:val="cs-CZ"/>
                </w:rPr>
                <w:delText>,</w:delText>
              </w:r>
            </w:del>
          </w:p>
          <w:p w14:paraId="5A8FE19A" w14:textId="77777777" w:rsidR="005C5FBA" w:rsidRPr="001B4A02" w:rsidRDefault="00000000" w:rsidP="00ED48A3">
            <w:pPr>
              <w:pStyle w:val="EMEANormal"/>
              <w:rPr>
                <w:del w:id="1146" w:author="AbbVie1" w:date="2025-05-13T09:50:00Z"/>
                <w:szCs w:val="22"/>
                <w:lang w:val="cs-CZ"/>
              </w:rPr>
            </w:pPr>
            <w:del w:id="1147" w:author="AbbVie1" w:date="2025-05-13T09:50:00Z">
              <w:r w:rsidRPr="001B4A02">
                <w:rPr>
                  <w:szCs w:val="22"/>
                  <w:lang w:val="cs-CZ"/>
                </w:rPr>
                <w:delText>autoimunní hepatitida</w:delText>
              </w:r>
              <w:r w:rsidRPr="001B4A02">
                <w:rPr>
                  <w:szCs w:val="22"/>
                  <w:vertAlign w:val="superscript"/>
                  <w:lang w:val="cs-CZ"/>
                </w:rPr>
                <w:delText>1)</w:delText>
              </w:r>
            </w:del>
          </w:p>
          <w:p w14:paraId="5CCEB75F" w14:textId="77777777" w:rsidR="005C5FBA" w:rsidRPr="001B4A02" w:rsidRDefault="005C5FBA" w:rsidP="00ED48A3">
            <w:pPr>
              <w:pStyle w:val="EMEANormal"/>
              <w:rPr>
                <w:del w:id="1148" w:author="AbbVie1" w:date="2025-05-13T09:50:00Z"/>
                <w:szCs w:val="22"/>
                <w:lang w:val="cs-CZ"/>
              </w:rPr>
            </w:pPr>
          </w:p>
        </w:tc>
      </w:tr>
      <w:tr w:rsidR="00534A2D" w14:paraId="292EB2EF" w14:textId="77777777" w:rsidTr="00E501B6">
        <w:trPr>
          <w:trHeight w:val="390"/>
          <w:jc w:val="center"/>
          <w:del w:id="1149" w:author="AbbVie1" w:date="2025-05-13T09:50:00Z"/>
        </w:trPr>
        <w:tc>
          <w:tcPr>
            <w:tcW w:w="2880" w:type="dxa"/>
            <w:vMerge/>
            <w:tcBorders>
              <w:left w:val="single" w:sz="4" w:space="0" w:color="auto"/>
              <w:bottom w:val="nil"/>
              <w:right w:val="single" w:sz="4" w:space="0" w:color="auto"/>
            </w:tcBorders>
          </w:tcPr>
          <w:p w14:paraId="7F5B8751" w14:textId="77777777" w:rsidR="005C5FBA" w:rsidRPr="001B4A02" w:rsidRDefault="005C5FBA" w:rsidP="00ED48A3">
            <w:pPr>
              <w:tabs>
                <w:tab w:val="left" w:pos="0"/>
              </w:tabs>
              <w:ind w:left="0" w:firstLine="0"/>
              <w:rPr>
                <w:del w:id="1150"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75633B97" w14:textId="77777777" w:rsidR="00D95B9A" w:rsidRPr="001B4A02" w:rsidRDefault="00000000" w:rsidP="00701677">
            <w:pPr>
              <w:pStyle w:val="EMEANormal"/>
              <w:rPr>
                <w:del w:id="1151" w:author="AbbVie1" w:date="2025-05-13T09:50:00Z"/>
                <w:szCs w:val="22"/>
                <w:lang w:val="cs-CZ"/>
              </w:rPr>
            </w:pPr>
            <w:del w:id="1152" w:author="AbbVie1" w:date="2025-05-13T09:50:00Z">
              <w:r w:rsidRPr="001B4A02">
                <w:rPr>
                  <w:szCs w:val="22"/>
                  <w:lang w:val="cs-CZ"/>
                </w:rPr>
                <w:delText>Není známo</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7AF1FD53" w14:textId="77777777" w:rsidR="005C5FBA" w:rsidRDefault="00000000" w:rsidP="00ED48A3">
            <w:pPr>
              <w:pStyle w:val="EMEANormal"/>
              <w:rPr>
                <w:del w:id="1153" w:author="AbbVie1" w:date="2025-05-13T09:50:00Z"/>
                <w:szCs w:val="22"/>
                <w:lang w:val="cs-CZ"/>
              </w:rPr>
            </w:pPr>
            <w:del w:id="1154" w:author="AbbVie1" w:date="2025-05-13T09:50:00Z">
              <w:r w:rsidRPr="001B4A02">
                <w:rPr>
                  <w:szCs w:val="22"/>
                  <w:lang w:val="cs-CZ"/>
                </w:rPr>
                <w:delText>Selhání jater</w:delText>
              </w:r>
              <w:r w:rsidRPr="001B4A02">
                <w:rPr>
                  <w:szCs w:val="22"/>
                  <w:vertAlign w:val="superscript"/>
                  <w:lang w:val="cs-CZ"/>
                </w:rPr>
                <w:delText>1)</w:delText>
              </w:r>
            </w:del>
          </w:p>
          <w:p w14:paraId="30904187" w14:textId="77777777" w:rsidR="00701677" w:rsidRPr="00701677" w:rsidRDefault="00701677" w:rsidP="00ED48A3">
            <w:pPr>
              <w:pStyle w:val="EMEANormal"/>
              <w:rPr>
                <w:del w:id="1155" w:author="AbbVie1" w:date="2025-05-13T09:50:00Z"/>
                <w:szCs w:val="22"/>
                <w:lang w:val="cs-CZ"/>
              </w:rPr>
            </w:pPr>
          </w:p>
        </w:tc>
      </w:tr>
      <w:tr w:rsidR="00534A2D" w14:paraId="75B2ADD0" w14:textId="77777777" w:rsidTr="00E501B6">
        <w:trPr>
          <w:cantSplit/>
          <w:trHeight w:val="127"/>
          <w:jc w:val="center"/>
          <w:del w:id="1156" w:author="AbbVie1" w:date="2025-05-13T09:50:00Z"/>
        </w:trPr>
        <w:tc>
          <w:tcPr>
            <w:tcW w:w="2880" w:type="dxa"/>
            <w:vMerge w:val="restart"/>
            <w:tcBorders>
              <w:top w:val="single" w:sz="4" w:space="0" w:color="auto"/>
              <w:left w:val="single" w:sz="4" w:space="0" w:color="auto"/>
              <w:right w:val="single" w:sz="4" w:space="0" w:color="auto"/>
            </w:tcBorders>
          </w:tcPr>
          <w:p w14:paraId="7F933AF6" w14:textId="77777777" w:rsidR="006855DE" w:rsidRPr="001B4A02" w:rsidRDefault="00000000" w:rsidP="00ED48A3">
            <w:pPr>
              <w:pStyle w:val="EMEANormal"/>
              <w:tabs>
                <w:tab w:val="left" w:pos="0"/>
              </w:tabs>
              <w:rPr>
                <w:del w:id="1157" w:author="AbbVie1" w:date="2025-05-13T09:50:00Z"/>
                <w:szCs w:val="22"/>
                <w:lang w:val="cs-CZ"/>
              </w:rPr>
            </w:pPr>
            <w:del w:id="1158" w:author="AbbVie1" w:date="2025-05-13T09:50:00Z">
              <w:r w:rsidRPr="001B4A02">
                <w:rPr>
                  <w:szCs w:val="22"/>
                  <w:lang w:val="cs-CZ"/>
                </w:rPr>
                <w:delText>Poruchy kůže</w:delText>
              </w:r>
              <w:r>
                <w:rPr>
                  <w:szCs w:val="22"/>
                  <w:lang w:val="cs-CZ"/>
                </w:rPr>
                <w:delText xml:space="preserve"> a </w:delText>
              </w:r>
              <w:r w:rsidRPr="001B4A02">
                <w:rPr>
                  <w:szCs w:val="22"/>
                  <w:lang w:val="cs-CZ"/>
                </w:rPr>
                <w:delText>podkožní tkáně</w:delText>
              </w:r>
            </w:del>
          </w:p>
        </w:tc>
        <w:tc>
          <w:tcPr>
            <w:tcW w:w="1440" w:type="dxa"/>
            <w:tcBorders>
              <w:top w:val="single" w:sz="4" w:space="0" w:color="auto"/>
              <w:left w:val="single" w:sz="4" w:space="0" w:color="auto"/>
              <w:bottom w:val="single" w:sz="4" w:space="0" w:color="auto"/>
              <w:right w:val="single" w:sz="4" w:space="0" w:color="auto"/>
            </w:tcBorders>
          </w:tcPr>
          <w:p w14:paraId="4E49DBCA" w14:textId="77777777" w:rsidR="006855DE" w:rsidRPr="001B4A02" w:rsidRDefault="00000000" w:rsidP="00ED48A3">
            <w:pPr>
              <w:pStyle w:val="EMEANormal"/>
              <w:rPr>
                <w:del w:id="1159" w:author="AbbVie1" w:date="2025-05-13T09:50:00Z"/>
                <w:szCs w:val="22"/>
                <w:lang w:val="cs-CZ"/>
              </w:rPr>
            </w:pPr>
            <w:del w:id="1160"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0281A7EF" w14:textId="77777777" w:rsidR="006855DE" w:rsidRPr="001B4A02" w:rsidRDefault="00000000" w:rsidP="00ED48A3">
            <w:pPr>
              <w:pStyle w:val="EMEANormal"/>
              <w:rPr>
                <w:del w:id="1161" w:author="AbbVie1" w:date="2025-05-13T09:50:00Z"/>
                <w:szCs w:val="22"/>
                <w:lang w:val="cs-CZ"/>
              </w:rPr>
            </w:pPr>
            <w:del w:id="1162" w:author="AbbVie1" w:date="2025-05-13T09:50:00Z">
              <w:r w:rsidRPr="001B4A02">
                <w:rPr>
                  <w:szCs w:val="22"/>
                  <w:lang w:val="cs-CZ"/>
                </w:rPr>
                <w:delText>Rash (včetně exfoliativního rashe)</w:delText>
              </w:r>
            </w:del>
          </w:p>
          <w:p w14:paraId="43141D3E" w14:textId="77777777" w:rsidR="006855DE" w:rsidRPr="001B4A02" w:rsidRDefault="006855DE" w:rsidP="00ED48A3">
            <w:pPr>
              <w:pStyle w:val="EMEANormal"/>
              <w:rPr>
                <w:del w:id="1163" w:author="AbbVie1" w:date="2025-05-13T09:50:00Z"/>
                <w:szCs w:val="22"/>
                <w:lang w:val="cs-CZ"/>
              </w:rPr>
            </w:pPr>
          </w:p>
        </w:tc>
      </w:tr>
      <w:tr w:rsidR="00534A2D" w14:paraId="16F9D341" w14:textId="77777777" w:rsidTr="00E501B6">
        <w:trPr>
          <w:cantSplit/>
          <w:trHeight w:val="127"/>
          <w:jc w:val="center"/>
          <w:del w:id="1164" w:author="AbbVie1" w:date="2025-05-13T09:50:00Z"/>
        </w:trPr>
        <w:tc>
          <w:tcPr>
            <w:tcW w:w="2880" w:type="dxa"/>
            <w:vMerge/>
            <w:tcBorders>
              <w:left w:val="single" w:sz="4" w:space="0" w:color="auto"/>
              <w:right w:val="single" w:sz="4" w:space="0" w:color="auto"/>
            </w:tcBorders>
          </w:tcPr>
          <w:p w14:paraId="62C2F0AF" w14:textId="77777777" w:rsidR="006855DE" w:rsidRPr="001B4A02" w:rsidRDefault="006855DE" w:rsidP="00ED48A3">
            <w:pPr>
              <w:pStyle w:val="EMEANormal"/>
              <w:tabs>
                <w:tab w:val="left" w:pos="0"/>
              </w:tabs>
              <w:rPr>
                <w:del w:id="1165" w:author="AbbVie1" w:date="2025-05-13T09:50:00Z"/>
                <w:szCs w:val="22"/>
                <w:lang w:val="cs-CZ"/>
              </w:rPr>
            </w:pPr>
          </w:p>
        </w:tc>
        <w:tc>
          <w:tcPr>
            <w:tcW w:w="1440" w:type="dxa"/>
            <w:tcBorders>
              <w:top w:val="single" w:sz="4" w:space="0" w:color="auto"/>
              <w:left w:val="single" w:sz="4" w:space="0" w:color="auto"/>
              <w:bottom w:val="single" w:sz="4" w:space="0" w:color="auto"/>
              <w:right w:val="single" w:sz="4" w:space="0" w:color="auto"/>
            </w:tcBorders>
          </w:tcPr>
          <w:p w14:paraId="6B98479B" w14:textId="77777777" w:rsidR="006855DE" w:rsidRPr="001B4A02" w:rsidRDefault="00000000" w:rsidP="00ED48A3">
            <w:pPr>
              <w:pStyle w:val="EMEANormal"/>
              <w:rPr>
                <w:del w:id="1166" w:author="AbbVie1" w:date="2025-05-13T09:50:00Z"/>
                <w:szCs w:val="22"/>
                <w:lang w:val="cs-CZ"/>
              </w:rPr>
            </w:pPr>
            <w:del w:id="1167"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4C0003F0" w14:textId="77777777" w:rsidR="006855DE" w:rsidRPr="001B4A02" w:rsidRDefault="00000000" w:rsidP="00ED48A3">
            <w:pPr>
              <w:pStyle w:val="EMEANormal"/>
              <w:rPr>
                <w:del w:id="1168" w:author="AbbVie1" w:date="2025-05-13T09:50:00Z"/>
                <w:szCs w:val="22"/>
                <w:lang w:val="cs-CZ"/>
              </w:rPr>
            </w:pPr>
            <w:del w:id="1169" w:author="AbbVie1" w:date="2025-05-13T09:50:00Z">
              <w:r w:rsidRPr="001B4A02">
                <w:rPr>
                  <w:lang w:val="cs-CZ"/>
                </w:rPr>
                <w:delText>Nový výskyt nebo zhoršení psoriázy (včetně palmoplantární pustulózní psoriázy)</w:delText>
              </w:r>
              <w:r w:rsidRPr="001B4A02">
                <w:rPr>
                  <w:szCs w:val="22"/>
                  <w:vertAlign w:val="superscript"/>
                  <w:lang w:val="cs-CZ"/>
                </w:rPr>
                <w:delText>1)</w:delText>
              </w:r>
              <w:r w:rsidRPr="001B4A02">
                <w:rPr>
                  <w:lang w:val="cs-CZ"/>
                </w:rPr>
                <w:delText>,</w:delText>
              </w:r>
            </w:del>
          </w:p>
          <w:p w14:paraId="37A3E721" w14:textId="77777777" w:rsidR="006855DE" w:rsidRPr="001B4A02" w:rsidRDefault="00000000" w:rsidP="00ED48A3">
            <w:pPr>
              <w:pStyle w:val="EMEANormal"/>
              <w:rPr>
                <w:del w:id="1170" w:author="AbbVie1" w:date="2025-05-13T09:50:00Z"/>
                <w:szCs w:val="22"/>
                <w:lang w:val="cs-CZ"/>
              </w:rPr>
            </w:pPr>
            <w:del w:id="1171" w:author="AbbVie1" w:date="2025-05-13T09:50:00Z">
              <w:r w:rsidRPr="001B4A02">
                <w:rPr>
                  <w:szCs w:val="22"/>
                  <w:lang w:val="cs-CZ"/>
                </w:rPr>
                <w:delText>urtikarie,</w:delText>
              </w:r>
            </w:del>
          </w:p>
          <w:p w14:paraId="25E6A7C5" w14:textId="77777777" w:rsidR="006855DE" w:rsidRPr="001B4A02" w:rsidRDefault="00000000" w:rsidP="00ED48A3">
            <w:pPr>
              <w:pStyle w:val="EMEANormal"/>
              <w:rPr>
                <w:del w:id="1172" w:author="AbbVie1" w:date="2025-05-13T09:50:00Z"/>
                <w:szCs w:val="22"/>
                <w:lang w:val="cs-CZ"/>
              </w:rPr>
            </w:pPr>
            <w:del w:id="1173" w:author="AbbVie1" w:date="2025-05-13T09:50:00Z">
              <w:r w:rsidRPr="001B4A02">
                <w:rPr>
                  <w:szCs w:val="22"/>
                  <w:lang w:val="cs-CZ"/>
                </w:rPr>
                <w:delText>tvorba modřin (včetně purpury),</w:delText>
              </w:r>
            </w:del>
          </w:p>
          <w:p w14:paraId="1CBEEEAF" w14:textId="77777777" w:rsidR="006855DE" w:rsidRPr="001B4A02" w:rsidRDefault="00000000" w:rsidP="00ED48A3">
            <w:pPr>
              <w:pStyle w:val="EMEANormal"/>
              <w:rPr>
                <w:del w:id="1174" w:author="AbbVie1" w:date="2025-05-13T09:50:00Z"/>
                <w:szCs w:val="22"/>
                <w:lang w:val="cs-CZ"/>
              </w:rPr>
            </w:pPr>
            <w:del w:id="1175" w:author="AbbVie1" w:date="2025-05-13T09:50:00Z">
              <w:r w:rsidRPr="001B4A02">
                <w:rPr>
                  <w:szCs w:val="22"/>
                  <w:lang w:val="cs-CZ"/>
                </w:rPr>
                <w:delText>dermatitida (včetně ekzému),</w:delText>
              </w:r>
            </w:del>
          </w:p>
          <w:p w14:paraId="63D7794D" w14:textId="77777777" w:rsidR="006855DE" w:rsidRPr="001B4A02" w:rsidRDefault="00000000" w:rsidP="00ED48A3">
            <w:pPr>
              <w:pStyle w:val="EMEANormal"/>
              <w:rPr>
                <w:del w:id="1176" w:author="AbbVie1" w:date="2025-05-13T09:50:00Z"/>
                <w:szCs w:val="22"/>
                <w:lang w:val="cs-CZ"/>
              </w:rPr>
            </w:pPr>
            <w:del w:id="1177" w:author="AbbVie1" w:date="2025-05-13T09:50:00Z">
              <w:r w:rsidRPr="001B4A02">
                <w:rPr>
                  <w:szCs w:val="22"/>
                  <w:lang w:val="cs-CZ"/>
                </w:rPr>
                <w:delText>onychoklázie,</w:delText>
              </w:r>
            </w:del>
          </w:p>
          <w:p w14:paraId="5C5574FC" w14:textId="77777777" w:rsidR="006855DE" w:rsidRPr="001B4A02" w:rsidRDefault="00000000" w:rsidP="00ED48A3">
            <w:pPr>
              <w:pStyle w:val="EMEANormal"/>
              <w:rPr>
                <w:del w:id="1178" w:author="AbbVie1" w:date="2025-05-13T09:50:00Z"/>
                <w:szCs w:val="22"/>
                <w:lang w:val="cs-CZ"/>
              </w:rPr>
            </w:pPr>
            <w:del w:id="1179" w:author="AbbVie1" w:date="2025-05-13T09:50:00Z">
              <w:r w:rsidRPr="001B4A02">
                <w:rPr>
                  <w:szCs w:val="22"/>
                  <w:lang w:val="cs-CZ"/>
                </w:rPr>
                <w:delText>hyperhidróza,</w:delText>
              </w:r>
            </w:del>
          </w:p>
          <w:p w14:paraId="5575C49B" w14:textId="77777777" w:rsidR="006855DE" w:rsidRPr="001B4A02" w:rsidRDefault="00000000" w:rsidP="00ED48A3">
            <w:pPr>
              <w:pStyle w:val="EMEANormal"/>
              <w:rPr>
                <w:del w:id="1180" w:author="AbbVie1" w:date="2025-05-13T09:50:00Z"/>
                <w:szCs w:val="22"/>
                <w:lang w:val="cs-CZ"/>
              </w:rPr>
            </w:pPr>
            <w:del w:id="1181" w:author="AbbVie1" w:date="2025-05-13T09:50:00Z">
              <w:r w:rsidRPr="001B4A02">
                <w:rPr>
                  <w:szCs w:val="22"/>
                  <w:lang w:val="cs-CZ"/>
                </w:rPr>
                <w:delText>alopecie</w:delText>
              </w:r>
              <w:r w:rsidRPr="001B4A02">
                <w:rPr>
                  <w:szCs w:val="22"/>
                  <w:vertAlign w:val="superscript"/>
                  <w:lang w:val="cs-CZ"/>
                </w:rPr>
                <w:delText>1)</w:delText>
              </w:r>
              <w:r w:rsidRPr="001B4A02">
                <w:rPr>
                  <w:szCs w:val="22"/>
                  <w:lang w:val="cs-CZ"/>
                </w:rPr>
                <w:delText>,</w:delText>
              </w:r>
            </w:del>
          </w:p>
          <w:p w14:paraId="22045F14" w14:textId="77777777" w:rsidR="006855DE" w:rsidRPr="001B4A02" w:rsidRDefault="00000000" w:rsidP="00ED48A3">
            <w:pPr>
              <w:pStyle w:val="EMEANormal"/>
              <w:rPr>
                <w:del w:id="1182" w:author="AbbVie1" w:date="2025-05-13T09:50:00Z"/>
                <w:szCs w:val="22"/>
                <w:lang w:val="cs-CZ"/>
              </w:rPr>
            </w:pPr>
            <w:del w:id="1183" w:author="AbbVie1" w:date="2025-05-13T09:50:00Z">
              <w:r w:rsidRPr="001B4A02">
                <w:rPr>
                  <w:szCs w:val="22"/>
                  <w:lang w:val="cs-CZ"/>
                </w:rPr>
                <w:delText>pruritus</w:delText>
              </w:r>
            </w:del>
          </w:p>
          <w:p w14:paraId="1CC043E8" w14:textId="77777777" w:rsidR="006855DE" w:rsidRPr="001B4A02" w:rsidRDefault="006855DE" w:rsidP="00ED48A3">
            <w:pPr>
              <w:pStyle w:val="EMEANormal"/>
              <w:rPr>
                <w:del w:id="1184" w:author="AbbVie1" w:date="2025-05-13T09:50:00Z"/>
                <w:szCs w:val="22"/>
                <w:lang w:val="cs-CZ"/>
              </w:rPr>
            </w:pPr>
          </w:p>
        </w:tc>
      </w:tr>
      <w:tr w:rsidR="00534A2D" w14:paraId="3DDCE275" w14:textId="77777777" w:rsidTr="00E501B6">
        <w:trPr>
          <w:cantSplit/>
          <w:trHeight w:val="132"/>
          <w:jc w:val="center"/>
          <w:del w:id="1185" w:author="AbbVie1" w:date="2025-05-13T09:50:00Z"/>
        </w:trPr>
        <w:tc>
          <w:tcPr>
            <w:tcW w:w="0" w:type="auto"/>
            <w:vMerge/>
            <w:tcBorders>
              <w:left w:val="single" w:sz="4" w:space="0" w:color="auto"/>
              <w:right w:val="single" w:sz="4" w:space="0" w:color="auto"/>
            </w:tcBorders>
            <w:vAlign w:val="center"/>
          </w:tcPr>
          <w:p w14:paraId="092A3264" w14:textId="77777777" w:rsidR="006855DE" w:rsidRPr="001B4A02" w:rsidRDefault="006855DE" w:rsidP="00ED48A3">
            <w:pPr>
              <w:ind w:left="0" w:firstLine="0"/>
              <w:rPr>
                <w:del w:id="1186"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32DBEEA3" w14:textId="77777777" w:rsidR="006855DE" w:rsidRPr="001B4A02" w:rsidRDefault="00000000" w:rsidP="00ED48A3">
            <w:pPr>
              <w:pStyle w:val="EMEANormal"/>
              <w:rPr>
                <w:del w:id="1187" w:author="AbbVie1" w:date="2025-05-13T09:50:00Z"/>
                <w:szCs w:val="22"/>
                <w:lang w:val="cs-CZ"/>
              </w:rPr>
            </w:pPr>
            <w:del w:id="1188"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3A5EA18E" w14:textId="77777777" w:rsidR="006855DE" w:rsidRPr="001B4A02" w:rsidRDefault="00000000" w:rsidP="00ED48A3">
            <w:pPr>
              <w:pStyle w:val="EMEANormal"/>
              <w:rPr>
                <w:del w:id="1189" w:author="AbbVie1" w:date="2025-05-13T09:50:00Z"/>
                <w:szCs w:val="22"/>
                <w:lang w:val="cs-CZ"/>
              </w:rPr>
            </w:pPr>
            <w:del w:id="1190" w:author="AbbVie1" w:date="2025-05-13T09:50:00Z">
              <w:r w:rsidRPr="001B4A02">
                <w:rPr>
                  <w:szCs w:val="22"/>
                  <w:lang w:val="cs-CZ"/>
                </w:rPr>
                <w:delText>Noční pocení,</w:delText>
              </w:r>
            </w:del>
          </w:p>
          <w:p w14:paraId="5B68A338" w14:textId="77777777" w:rsidR="006855DE" w:rsidRPr="001B4A02" w:rsidRDefault="00000000" w:rsidP="00ED48A3">
            <w:pPr>
              <w:pStyle w:val="EMEANormal"/>
              <w:rPr>
                <w:del w:id="1191" w:author="AbbVie1" w:date="2025-05-13T09:50:00Z"/>
                <w:szCs w:val="22"/>
                <w:lang w:val="cs-CZ"/>
              </w:rPr>
            </w:pPr>
            <w:del w:id="1192" w:author="AbbVie1" w:date="2025-05-13T09:50:00Z">
              <w:r w:rsidRPr="001B4A02">
                <w:rPr>
                  <w:szCs w:val="22"/>
                  <w:lang w:val="cs-CZ"/>
                </w:rPr>
                <w:delText>zjizvení</w:delText>
              </w:r>
            </w:del>
          </w:p>
          <w:p w14:paraId="584A84FE" w14:textId="77777777" w:rsidR="006855DE" w:rsidRPr="001B4A02" w:rsidRDefault="006855DE" w:rsidP="00ED48A3">
            <w:pPr>
              <w:pStyle w:val="EMEANormal"/>
              <w:rPr>
                <w:del w:id="1193" w:author="AbbVie1" w:date="2025-05-13T09:50:00Z"/>
                <w:szCs w:val="22"/>
                <w:lang w:val="cs-CZ"/>
              </w:rPr>
            </w:pPr>
          </w:p>
        </w:tc>
      </w:tr>
      <w:tr w:rsidR="00534A2D" w14:paraId="3CA35469" w14:textId="77777777" w:rsidTr="00E501B6">
        <w:trPr>
          <w:cantSplit/>
          <w:trHeight w:val="132"/>
          <w:jc w:val="center"/>
          <w:del w:id="1194" w:author="AbbVie1" w:date="2025-05-13T09:50:00Z"/>
        </w:trPr>
        <w:tc>
          <w:tcPr>
            <w:tcW w:w="0" w:type="auto"/>
            <w:vMerge/>
            <w:tcBorders>
              <w:left w:val="single" w:sz="4" w:space="0" w:color="auto"/>
              <w:right w:val="single" w:sz="4" w:space="0" w:color="auto"/>
            </w:tcBorders>
            <w:vAlign w:val="center"/>
          </w:tcPr>
          <w:p w14:paraId="5DE888B4" w14:textId="77777777" w:rsidR="006855DE" w:rsidRPr="001B4A02" w:rsidRDefault="006855DE" w:rsidP="00ED48A3">
            <w:pPr>
              <w:ind w:left="0" w:firstLine="0"/>
              <w:rPr>
                <w:del w:id="1195"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3CD1584D" w14:textId="77777777" w:rsidR="006855DE" w:rsidRPr="001B4A02" w:rsidRDefault="00000000" w:rsidP="006855DE">
            <w:pPr>
              <w:pStyle w:val="EMEANormal"/>
              <w:rPr>
                <w:del w:id="1196" w:author="AbbVie1" w:date="2025-05-13T09:50:00Z"/>
                <w:szCs w:val="22"/>
                <w:lang w:val="cs-CZ"/>
              </w:rPr>
            </w:pPr>
            <w:del w:id="1197"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tcPr>
          <w:p w14:paraId="463565ED" w14:textId="77777777" w:rsidR="006855DE" w:rsidRPr="001B4A02" w:rsidRDefault="00000000" w:rsidP="00ED48A3">
            <w:pPr>
              <w:pStyle w:val="EMEANormal"/>
              <w:rPr>
                <w:del w:id="1198" w:author="AbbVie1" w:date="2025-05-13T09:50:00Z"/>
                <w:lang w:val="cs-CZ"/>
              </w:rPr>
            </w:pPr>
            <w:del w:id="1199" w:author="AbbVie1" w:date="2025-05-13T09:50:00Z">
              <w:r w:rsidRPr="001B4A02">
                <w:rPr>
                  <w:lang w:val="cs-CZ"/>
                </w:rPr>
                <w:delText>Erythema multiforme</w:delText>
              </w:r>
              <w:r w:rsidRPr="001B4A02">
                <w:rPr>
                  <w:szCs w:val="22"/>
                  <w:vertAlign w:val="superscript"/>
                  <w:lang w:val="cs-CZ"/>
                </w:rPr>
                <w:delText>1)</w:delText>
              </w:r>
              <w:r w:rsidRPr="001B4A02">
                <w:rPr>
                  <w:lang w:val="cs-CZ"/>
                </w:rPr>
                <w:delText>,</w:delText>
              </w:r>
            </w:del>
          </w:p>
          <w:p w14:paraId="09941AC7" w14:textId="77777777" w:rsidR="006855DE" w:rsidRPr="001B4A02" w:rsidRDefault="00000000" w:rsidP="00ED48A3">
            <w:pPr>
              <w:pStyle w:val="EMEANormal"/>
              <w:rPr>
                <w:del w:id="1200" w:author="AbbVie1" w:date="2025-05-13T09:50:00Z"/>
                <w:lang w:val="cs-CZ"/>
              </w:rPr>
            </w:pPr>
            <w:del w:id="1201" w:author="AbbVie1" w:date="2025-05-13T09:50:00Z">
              <w:r w:rsidRPr="001B4A02">
                <w:rPr>
                  <w:lang w:val="cs-CZ"/>
                </w:rPr>
                <w:delText>Stevens</w:delText>
              </w:r>
              <w:r>
                <w:rPr>
                  <w:lang w:val="cs-CZ"/>
                </w:rPr>
                <w:delText>ův</w:delText>
              </w:r>
              <w:r w:rsidRPr="001B4A02">
                <w:rPr>
                  <w:lang w:val="cs-CZ"/>
                </w:rPr>
                <w:delText>-Johnsonův syndrom</w:delText>
              </w:r>
              <w:r w:rsidRPr="001B4A02">
                <w:rPr>
                  <w:szCs w:val="22"/>
                  <w:vertAlign w:val="superscript"/>
                  <w:lang w:val="cs-CZ"/>
                </w:rPr>
                <w:delText>1)</w:delText>
              </w:r>
              <w:r w:rsidRPr="001B4A02">
                <w:rPr>
                  <w:lang w:val="cs-CZ"/>
                </w:rPr>
                <w:delText>,</w:delText>
              </w:r>
            </w:del>
          </w:p>
          <w:p w14:paraId="11D40A6E" w14:textId="77777777" w:rsidR="006855DE" w:rsidRPr="001B4A02" w:rsidRDefault="00000000" w:rsidP="00ED48A3">
            <w:pPr>
              <w:pStyle w:val="EMEANormal"/>
              <w:rPr>
                <w:del w:id="1202" w:author="AbbVie1" w:date="2025-05-13T09:50:00Z"/>
                <w:lang w:val="cs-CZ"/>
              </w:rPr>
            </w:pPr>
            <w:del w:id="1203" w:author="AbbVie1" w:date="2025-05-13T09:50:00Z">
              <w:r w:rsidRPr="001B4A02">
                <w:rPr>
                  <w:lang w:val="cs-CZ"/>
                </w:rPr>
                <w:delText>angioedém</w:delText>
              </w:r>
              <w:r w:rsidRPr="001B4A02">
                <w:rPr>
                  <w:szCs w:val="22"/>
                  <w:vertAlign w:val="superscript"/>
                  <w:lang w:val="cs-CZ"/>
                </w:rPr>
                <w:delText>1)</w:delText>
              </w:r>
              <w:r w:rsidRPr="001B4A02">
                <w:rPr>
                  <w:lang w:val="cs-CZ"/>
                </w:rPr>
                <w:delText>,</w:delText>
              </w:r>
            </w:del>
          </w:p>
          <w:p w14:paraId="0EA0D20A" w14:textId="77777777" w:rsidR="006855DE" w:rsidRPr="00AA3D24" w:rsidRDefault="00000000" w:rsidP="00ED48A3">
            <w:pPr>
              <w:pStyle w:val="EMEANormal"/>
              <w:rPr>
                <w:del w:id="1204" w:author="AbbVie1" w:date="2025-05-13T09:50:00Z"/>
                <w:szCs w:val="22"/>
                <w:lang w:val="cs-CZ"/>
              </w:rPr>
            </w:pPr>
            <w:del w:id="1205" w:author="AbbVie1" w:date="2025-05-13T09:50:00Z">
              <w:r w:rsidRPr="001B4A02">
                <w:rPr>
                  <w:szCs w:val="22"/>
                  <w:lang w:val="cs-CZ"/>
                </w:rPr>
                <w:delText>kožní vaskulitida</w:delText>
              </w:r>
              <w:r w:rsidRPr="001B4A02">
                <w:rPr>
                  <w:szCs w:val="22"/>
                  <w:vertAlign w:val="superscript"/>
                  <w:lang w:val="cs-CZ"/>
                </w:rPr>
                <w:delText>1)</w:delText>
              </w:r>
              <w:r>
                <w:rPr>
                  <w:szCs w:val="22"/>
                  <w:lang w:val="cs-CZ"/>
                </w:rPr>
                <w:delText>,</w:delText>
              </w:r>
            </w:del>
          </w:p>
          <w:p w14:paraId="4AA68653" w14:textId="77777777" w:rsidR="006855DE" w:rsidRPr="001B4A02" w:rsidRDefault="00000000" w:rsidP="00ED48A3">
            <w:pPr>
              <w:pStyle w:val="EMEANormal"/>
              <w:rPr>
                <w:del w:id="1206" w:author="AbbVie1" w:date="2025-05-13T09:50:00Z"/>
                <w:szCs w:val="22"/>
                <w:lang w:val="cs-CZ"/>
              </w:rPr>
            </w:pPr>
            <w:del w:id="1207" w:author="AbbVie1" w:date="2025-05-13T09:50:00Z">
              <w:r>
                <w:rPr>
                  <w:szCs w:val="22"/>
                  <w:lang w:val="cs-CZ"/>
                </w:rPr>
                <w:delText>lichenoidní kožní reakce</w:delText>
              </w:r>
              <w:r w:rsidRPr="001B4A02">
                <w:rPr>
                  <w:szCs w:val="22"/>
                  <w:vertAlign w:val="superscript"/>
                  <w:lang w:val="cs-CZ"/>
                </w:rPr>
                <w:delText>1</w:delText>
              </w:r>
              <w:r>
                <w:rPr>
                  <w:szCs w:val="22"/>
                  <w:vertAlign w:val="superscript"/>
                  <w:lang w:val="cs-CZ"/>
                </w:rPr>
                <w:delText>)</w:delText>
              </w:r>
            </w:del>
          </w:p>
          <w:p w14:paraId="717BFCEF" w14:textId="77777777" w:rsidR="006855DE" w:rsidRPr="001B4A02" w:rsidRDefault="006855DE" w:rsidP="00ED48A3">
            <w:pPr>
              <w:pStyle w:val="EMEANormal"/>
              <w:rPr>
                <w:del w:id="1208" w:author="AbbVie1" w:date="2025-05-13T09:50:00Z"/>
                <w:szCs w:val="22"/>
                <w:lang w:val="cs-CZ"/>
              </w:rPr>
            </w:pPr>
          </w:p>
        </w:tc>
      </w:tr>
      <w:tr w:rsidR="00534A2D" w14:paraId="74BC2A3E" w14:textId="77777777" w:rsidTr="00336B48">
        <w:trPr>
          <w:cantSplit/>
          <w:trHeight w:val="132"/>
          <w:jc w:val="center"/>
          <w:del w:id="1209" w:author="AbbVie1" w:date="2025-05-13T09:50:00Z"/>
        </w:trPr>
        <w:tc>
          <w:tcPr>
            <w:tcW w:w="0" w:type="auto"/>
            <w:vMerge/>
            <w:tcBorders>
              <w:left w:val="single" w:sz="4" w:space="0" w:color="auto"/>
              <w:bottom w:val="single" w:sz="4" w:space="0" w:color="auto"/>
              <w:right w:val="single" w:sz="4" w:space="0" w:color="auto"/>
            </w:tcBorders>
            <w:vAlign w:val="center"/>
          </w:tcPr>
          <w:p w14:paraId="60EA1616" w14:textId="77777777" w:rsidR="006855DE" w:rsidRPr="001B4A02" w:rsidRDefault="006855DE" w:rsidP="00ED48A3">
            <w:pPr>
              <w:ind w:left="0" w:firstLine="0"/>
              <w:rPr>
                <w:del w:id="1210"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0F5E30F2" w14:textId="77777777" w:rsidR="006855DE" w:rsidRPr="001B4A02" w:rsidRDefault="00000000" w:rsidP="00ED48A3">
            <w:pPr>
              <w:pStyle w:val="EMEANormal"/>
              <w:rPr>
                <w:del w:id="1211" w:author="AbbVie1" w:date="2025-05-13T09:50:00Z"/>
                <w:szCs w:val="22"/>
                <w:lang w:val="cs-CZ"/>
              </w:rPr>
            </w:pPr>
            <w:del w:id="1212" w:author="AbbVie1" w:date="2025-05-13T09:50:00Z">
              <w:r w:rsidRPr="001B4A02">
                <w:rPr>
                  <w:szCs w:val="22"/>
                  <w:lang w:val="cs-CZ"/>
                </w:rPr>
                <w:delText>Není známo</w:delText>
              </w:r>
            </w:del>
          </w:p>
        </w:tc>
        <w:tc>
          <w:tcPr>
            <w:tcW w:w="4689" w:type="dxa"/>
            <w:tcBorders>
              <w:top w:val="single" w:sz="4" w:space="0" w:color="auto"/>
              <w:left w:val="single" w:sz="4" w:space="0" w:color="auto"/>
              <w:bottom w:val="single" w:sz="4" w:space="0" w:color="auto"/>
              <w:right w:val="single" w:sz="4" w:space="0" w:color="auto"/>
            </w:tcBorders>
          </w:tcPr>
          <w:p w14:paraId="2B887D6C" w14:textId="77777777" w:rsidR="006855DE" w:rsidRDefault="00000000" w:rsidP="00ED48A3">
            <w:pPr>
              <w:pStyle w:val="EMEANormal"/>
              <w:rPr>
                <w:del w:id="1213" w:author="AbbVie1" w:date="2025-05-13T09:50:00Z"/>
                <w:szCs w:val="22"/>
                <w:lang w:val="cs-CZ"/>
              </w:rPr>
            </w:pPr>
            <w:del w:id="1214" w:author="AbbVie1" w:date="2025-05-13T09:50:00Z">
              <w:r w:rsidRPr="001B4A02">
                <w:rPr>
                  <w:szCs w:val="22"/>
                  <w:lang w:val="cs-CZ"/>
                </w:rPr>
                <w:delText>Zhoršení příznaků dermatomyozitidy</w:delText>
              </w:r>
              <w:r w:rsidRPr="001B4A02">
                <w:rPr>
                  <w:szCs w:val="22"/>
                  <w:vertAlign w:val="superscript"/>
                  <w:lang w:val="cs-CZ"/>
                </w:rPr>
                <w:delText>1)</w:delText>
              </w:r>
            </w:del>
          </w:p>
          <w:p w14:paraId="2E4052FB" w14:textId="77777777" w:rsidR="006855DE" w:rsidRPr="006855DE" w:rsidRDefault="006855DE" w:rsidP="00ED48A3">
            <w:pPr>
              <w:pStyle w:val="EMEANormal"/>
              <w:rPr>
                <w:del w:id="1215" w:author="AbbVie1" w:date="2025-05-13T09:50:00Z"/>
                <w:lang w:val="cs-CZ"/>
              </w:rPr>
            </w:pPr>
          </w:p>
        </w:tc>
      </w:tr>
      <w:tr w:rsidR="00534A2D" w14:paraId="62E8264C" w14:textId="77777777" w:rsidTr="00E501B6">
        <w:trPr>
          <w:cantSplit/>
          <w:trHeight w:val="86"/>
          <w:jc w:val="center"/>
          <w:del w:id="1216" w:author="AbbVie1" w:date="2025-05-13T09:50:00Z"/>
        </w:trPr>
        <w:tc>
          <w:tcPr>
            <w:tcW w:w="2880" w:type="dxa"/>
            <w:vMerge w:val="restart"/>
            <w:tcBorders>
              <w:top w:val="single" w:sz="4" w:space="0" w:color="auto"/>
              <w:left w:val="single" w:sz="4" w:space="0" w:color="auto"/>
              <w:right w:val="single" w:sz="4" w:space="0" w:color="auto"/>
            </w:tcBorders>
          </w:tcPr>
          <w:p w14:paraId="71AD7C2A" w14:textId="77777777" w:rsidR="000B55EC" w:rsidRPr="001B4A02" w:rsidRDefault="00000000" w:rsidP="00ED48A3">
            <w:pPr>
              <w:tabs>
                <w:tab w:val="left" w:pos="0"/>
              </w:tabs>
              <w:ind w:left="0" w:firstLine="0"/>
              <w:rPr>
                <w:del w:id="1217" w:author="AbbVie1" w:date="2025-05-13T09:50:00Z"/>
                <w:szCs w:val="22"/>
              </w:rPr>
            </w:pPr>
            <w:del w:id="1218" w:author="AbbVie1" w:date="2025-05-13T09:50:00Z">
              <w:r w:rsidRPr="001B4A02">
                <w:rPr>
                  <w:szCs w:val="22"/>
                </w:rPr>
                <w:delText xml:space="preserve">Poruchy </w:delText>
              </w:r>
              <w:r w:rsidR="00456B73" w:rsidRPr="001B4A02">
                <w:rPr>
                  <w:szCs w:val="22"/>
                </w:rPr>
                <w:delText>svalové</w:delText>
              </w:r>
              <w:r w:rsidR="002378E0">
                <w:rPr>
                  <w:szCs w:val="22"/>
                </w:rPr>
                <w:delText xml:space="preserve"> a </w:delText>
              </w:r>
              <w:r w:rsidR="00456B73" w:rsidRPr="001B4A02">
                <w:rPr>
                  <w:szCs w:val="22"/>
                </w:rPr>
                <w:delText>kosterní soustavy</w:delText>
              </w:r>
              <w:r w:rsidR="002378E0">
                <w:rPr>
                  <w:szCs w:val="22"/>
                </w:rPr>
                <w:delText xml:space="preserve"> a </w:delText>
              </w:r>
              <w:r w:rsidRPr="001B4A02">
                <w:rPr>
                  <w:szCs w:val="22"/>
                </w:rPr>
                <w:delText>pojivové tkáně</w:delText>
              </w:r>
            </w:del>
          </w:p>
        </w:tc>
        <w:tc>
          <w:tcPr>
            <w:tcW w:w="1440" w:type="dxa"/>
            <w:tcBorders>
              <w:top w:val="single" w:sz="4" w:space="0" w:color="auto"/>
              <w:left w:val="single" w:sz="4" w:space="0" w:color="auto"/>
              <w:bottom w:val="single" w:sz="4" w:space="0" w:color="auto"/>
              <w:right w:val="single" w:sz="4" w:space="0" w:color="auto"/>
            </w:tcBorders>
          </w:tcPr>
          <w:p w14:paraId="278149FA" w14:textId="77777777" w:rsidR="000B55EC" w:rsidRPr="001B4A02" w:rsidRDefault="00000000" w:rsidP="00ED48A3">
            <w:pPr>
              <w:pStyle w:val="EMEANormal"/>
              <w:rPr>
                <w:del w:id="1219" w:author="AbbVie1" w:date="2025-05-13T09:50:00Z"/>
                <w:szCs w:val="22"/>
                <w:lang w:val="cs-CZ"/>
              </w:rPr>
            </w:pPr>
            <w:del w:id="1220"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25FFB2E5" w14:textId="77777777" w:rsidR="000B55EC" w:rsidRPr="001B4A02" w:rsidRDefault="00000000" w:rsidP="00ED48A3">
            <w:pPr>
              <w:pStyle w:val="EMEANormal"/>
              <w:tabs>
                <w:tab w:val="clear" w:pos="562"/>
                <w:tab w:val="left" w:pos="708"/>
              </w:tabs>
              <w:suppressAutoHyphens w:val="0"/>
              <w:rPr>
                <w:del w:id="1221" w:author="AbbVie1" w:date="2025-05-13T09:50:00Z"/>
                <w:lang w:val="cs-CZ"/>
              </w:rPr>
            </w:pPr>
            <w:del w:id="1222" w:author="AbbVie1" w:date="2025-05-13T09:50:00Z">
              <w:r w:rsidRPr="00DF4EAF">
                <w:rPr>
                  <w:lang w:val="cs-CZ"/>
                </w:rPr>
                <w:delText>M</w:delText>
              </w:r>
              <w:r w:rsidRPr="00F62725">
                <w:rPr>
                  <w:lang w:val="cs-CZ"/>
                </w:rPr>
                <w:delText>uskuloskeletá</w:delText>
              </w:r>
              <w:r w:rsidR="003937A6" w:rsidRPr="00DF4EAF">
                <w:rPr>
                  <w:lang w:val="cs-CZ"/>
                </w:rPr>
                <w:delText>l</w:delText>
              </w:r>
              <w:r w:rsidRPr="00DF4EAF">
                <w:rPr>
                  <w:lang w:val="cs-CZ"/>
                </w:rPr>
                <w:delText>ní</w:delText>
              </w:r>
              <w:r w:rsidRPr="001B4A02">
                <w:rPr>
                  <w:lang w:val="cs-CZ"/>
                </w:rPr>
                <w:delText xml:space="preserve"> bolest</w:delText>
              </w:r>
            </w:del>
          </w:p>
          <w:p w14:paraId="5D7EC212" w14:textId="77777777" w:rsidR="000B55EC" w:rsidRPr="001B4A02" w:rsidRDefault="000B55EC" w:rsidP="00ED48A3">
            <w:pPr>
              <w:pStyle w:val="EMEANormal"/>
              <w:tabs>
                <w:tab w:val="clear" w:pos="562"/>
                <w:tab w:val="left" w:pos="708"/>
              </w:tabs>
              <w:suppressAutoHyphens w:val="0"/>
              <w:rPr>
                <w:del w:id="1223" w:author="AbbVie1" w:date="2025-05-13T09:50:00Z"/>
                <w:lang w:val="cs-CZ"/>
              </w:rPr>
            </w:pPr>
          </w:p>
        </w:tc>
      </w:tr>
      <w:tr w:rsidR="00534A2D" w14:paraId="323BB8B6" w14:textId="77777777" w:rsidTr="00E501B6">
        <w:trPr>
          <w:cantSplit/>
          <w:trHeight w:val="84"/>
          <w:jc w:val="center"/>
          <w:del w:id="1224" w:author="AbbVie1" w:date="2025-05-13T09:50:00Z"/>
        </w:trPr>
        <w:tc>
          <w:tcPr>
            <w:tcW w:w="2880" w:type="dxa"/>
            <w:vMerge/>
            <w:tcBorders>
              <w:left w:val="single" w:sz="4" w:space="0" w:color="auto"/>
              <w:right w:val="single" w:sz="4" w:space="0" w:color="auto"/>
            </w:tcBorders>
          </w:tcPr>
          <w:p w14:paraId="7F1211D0" w14:textId="77777777" w:rsidR="000B55EC" w:rsidRPr="001B4A02" w:rsidRDefault="000B55EC" w:rsidP="00ED48A3">
            <w:pPr>
              <w:tabs>
                <w:tab w:val="left" w:pos="0"/>
              </w:tabs>
              <w:ind w:left="0" w:firstLine="0"/>
              <w:rPr>
                <w:del w:id="1225"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73426174" w14:textId="77777777" w:rsidR="000B55EC" w:rsidRPr="001B4A02" w:rsidRDefault="00000000" w:rsidP="00ED48A3">
            <w:pPr>
              <w:pStyle w:val="EMEANormal"/>
              <w:rPr>
                <w:del w:id="1226" w:author="AbbVie1" w:date="2025-05-13T09:50:00Z"/>
                <w:szCs w:val="22"/>
                <w:lang w:val="cs-CZ"/>
              </w:rPr>
            </w:pPr>
            <w:del w:id="1227"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54A199F2" w14:textId="77777777" w:rsidR="000B55EC" w:rsidRPr="001B4A02" w:rsidRDefault="00000000" w:rsidP="00ED48A3">
            <w:pPr>
              <w:pStyle w:val="EMEANormal"/>
              <w:tabs>
                <w:tab w:val="clear" w:pos="562"/>
                <w:tab w:val="left" w:pos="708"/>
              </w:tabs>
              <w:suppressAutoHyphens w:val="0"/>
              <w:rPr>
                <w:del w:id="1228" w:author="AbbVie1" w:date="2025-05-13T09:50:00Z"/>
                <w:lang w:val="cs-CZ"/>
              </w:rPr>
            </w:pPr>
            <w:del w:id="1229" w:author="AbbVie1" w:date="2025-05-13T09:50:00Z">
              <w:r w:rsidRPr="001B4A02">
                <w:rPr>
                  <w:lang w:val="cs-CZ"/>
                </w:rPr>
                <w:delText>Svalové spasmy (včetně zvýšení kreatinfosfokinázy v krvi)</w:delText>
              </w:r>
            </w:del>
          </w:p>
          <w:p w14:paraId="569BCE07" w14:textId="77777777" w:rsidR="000B55EC" w:rsidRPr="001B4A02" w:rsidRDefault="000B55EC" w:rsidP="00ED48A3">
            <w:pPr>
              <w:pStyle w:val="EMEANormal"/>
              <w:tabs>
                <w:tab w:val="clear" w:pos="562"/>
                <w:tab w:val="left" w:pos="708"/>
              </w:tabs>
              <w:suppressAutoHyphens w:val="0"/>
              <w:rPr>
                <w:del w:id="1230" w:author="AbbVie1" w:date="2025-05-13T09:50:00Z"/>
                <w:lang w:val="cs-CZ"/>
              </w:rPr>
            </w:pPr>
          </w:p>
        </w:tc>
      </w:tr>
      <w:tr w:rsidR="00534A2D" w14:paraId="04A94640" w14:textId="77777777" w:rsidTr="00E501B6">
        <w:trPr>
          <w:cantSplit/>
          <w:trHeight w:val="84"/>
          <w:jc w:val="center"/>
          <w:del w:id="1231" w:author="AbbVie1" w:date="2025-05-13T09:50:00Z"/>
        </w:trPr>
        <w:tc>
          <w:tcPr>
            <w:tcW w:w="2880" w:type="dxa"/>
            <w:vMerge/>
            <w:tcBorders>
              <w:left w:val="single" w:sz="4" w:space="0" w:color="auto"/>
              <w:right w:val="single" w:sz="4" w:space="0" w:color="auto"/>
            </w:tcBorders>
          </w:tcPr>
          <w:p w14:paraId="3829F39C" w14:textId="77777777" w:rsidR="000B55EC" w:rsidRPr="001B4A02" w:rsidRDefault="000B55EC" w:rsidP="00ED48A3">
            <w:pPr>
              <w:tabs>
                <w:tab w:val="left" w:pos="0"/>
              </w:tabs>
              <w:ind w:left="0" w:firstLine="0"/>
              <w:rPr>
                <w:del w:id="1232"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3C738B2D" w14:textId="77777777" w:rsidR="000B55EC" w:rsidRPr="001B4A02" w:rsidRDefault="00000000" w:rsidP="00ED48A3">
            <w:pPr>
              <w:pStyle w:val="EMEANormal"/>
              <w:rPr>
                <w:del w:id="1233" w:author="AbbVie1" w:date="2025-05-13T09:50:00Z"/>
                <w:szCs w:val="22"/>
                <w:lang w:val="cs-CZ"/>
              </w:rPr>
            </w:pPr>
            <w:del w:id="1234"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37AF1F94" w14:textId="77777777" w:rsidR="000B55EC" w:rsidRPr="001B4A02" w:rsidRDefault="00000000" w:rsidP="00ED48A3">
            <w:pPr>
              <w:pStyle w:val="EMEANormal"/>
              <w:tabs>
                <w:tab w:val="clear" w:pos="562"/>
                <w:tab w:val="left" w:pos="708"/>
              </w:tabs>
              <w:suppressAutoHyphens w:val="0"/>
              <w:rPr>
                <w:del w:id="1235" w:author="AbbVie1" w:date="2025-05-13T09:50:00Z"/>
                <w:lang w:val="cs-CZ"/>
              </w:rPr>
            </w:pPr>
            <w:del w:id="1236" w:author="AbbVie1" w:date="2025-05-13T09:50:00Z">
              <w:r w:rsidRPr="001B4A02">
                <w:rPr>
                  <w:lang w:val="cs-CZ"/>
                </w:rPr>
                <w:delText>Rhabdomyolýza</w:delText>
              </w:r>
              <w:r w:rsidR="007D2F3C" w:rsidRPr="001B4A02">
                <w:rPr>
                  <w:lang w:val="cs-CZ"/>
                </w:rPr>
                <w:delText>,</w:delText>
              </w:r>
            </w:del>
          </w:p>
          <w:p w14:paraId="545B4FA0" w14:textId="77777777" w:rsidR="007D2F3C" w:rsidRPr="001B4A02" w:rsidRDefault="00000000" w:rsidP="00ED48A3">
            <w:pPr>
              <w:pStyle w:val="EMEANormal"/>
              <w:tabs>
                <w:tab w:val="clear" w:pos="562"/>
                <w:tab w:val="left" w:pos="708"/>
              </w:tabs>
              <w:suppressAutoHyphens w:val="0"/>
              <w:rPr>
                <w:del w:id="1237" w:author="AbbVie1" w:date="2025-05-13T09:50:00Z"/>
                <w:lang w:val="cs-CZ"/>
              </w:rPr>
            </w:pPr>
            <w:del w:id="1238" w:author="AbbVie1" w:date="2025-05-13T09:50:00Z">
              <w:r w:rsidRPr="001B4A02">
                <w:rPr>
                  <w:lang w:val="cs-CZ"/>
                </w:rPr>
                <w:delText>systémový lupus eryt</w:delText>
              </w:r>
              <w:r w:rsidR="00936E7B">
                <w:rPr>
                  <w:lang w:val="cs-CZ"/>
                </w:rPr>
                <w:delText>h</w:delText>
              </w:r>
              <w:r w:rsidR="00936E7B" w:rsidRPr="001B4A02">
                <w:rPr>
                  <w:lang w:val="cs-CZ"/>
                </w:rPr>
                <w:delText>emato</w:delText>
              </w:r>
              <w:r w:rsidR="00936E7B">
                <w:rPr>
                  <w:lang w:val="cs-CZ"/>
                </w:rPr>
                <w:delText>des</w:delText>
              </w:r>
            </w:del>
          </w:p>
          <w:p w14:paraId="4E0A8551" w14:textId="77777777" w:rsidR="000B55EC" w:rsidRPr="001B4A02" w:rsidRDefault="000B55EC" w:rsidP="00ED48A3">
            <w:pPr>
              <w:pStyle w:val="EMEANormal"/>
              <w:tabs>
                <w:tab w:val="clear" w:pos="562"/>
                <w:tab w:val="left" w:pos="708"/>
              </w:tabs>
              <w:suppressAutoHyphens w:val="0"/>
              <w:rPr>
                <w:del w:id="1239" w:author="AbbVie1" w:date="2025-05-13T09:50:00Z"/>
                <w:lang w:val="cs-CZ"/>
              </w:rPr>
            </w:pPr>
          </w:p>
        </w:tc>
      </w:tr>
      <w:tr w:rsidR="00534A2D" w14:paraId="139A36C1" w14:textId="77777777" w:rsidTr="00E501B6">
        <w:trPr>
          <w:cantSplit/>
          <w:trHeight w:val="147"/>
          <w:jc w:val="center"/>
          <w:del w:id="1240" w:author="AbbVie1" w:date="2025-05-13T09:50:00Z"/>
        </w:trPr>
        <w:tc>
          <w:tcPr>
            <w:tcW w:w="0" w:type="auto"/>
            <w:vMerge/>
            <w:tcBorders>
              <w:left w:val="single" w:sz="4" w:space="0" w:color="auto"/>
              <w:bottom w:val="single" w:sz="4" w:space="0" w:color="auto"/>
              <w:right w:val="single" w:sz="4" w:space="0" w:color="auto"/>
            </w:tcBorders>
            <w:vAlign w:val="center"/>
          </w:tcPr>
          <w:p w14:paraId="6CF8C636" w14:textId="77777777" w:rsidR="000B55EC" w:rsidRPr="001B4A02" w:rsidRDefault="000B55EC" w:rsidP="00ED48A3">
            <w:pPr>
              <w:ind w:left="0" w:firstLine="0"/>
              <w:rPr>
                <w:del w:id="1241"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1ED8F1F7" w14:textId="77777777" w:rsidR="000B55EC" w:rsidRPr="001B4A02" w:rsidRDefault="00000000" w:rsidP="00ED48A3">
            <w:pPr>
              <w:pStyle w:val="EMEANormal"/>
              <w:rPr>
                <w:del w:id="1242" w:author="AbbVie1" w:date="2025-05-13T09:50:00Z"/>
                <w:szCs w:val="22"/>
                <w:lang w:val="cs-CZ"/>
              </w:rPr>
            </w:pPr>
            <w:del w:id="1243"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tcPr>
          <w:p w14:paraId="03C75D63" w14:textId="77777777" w:rsidR="00EA7A5F" w:rsidRPr="001B4A02" w:rsidRDefault="00000000" w:rsidP="00ED48A3">
            <w:pPr>
              <w:pStyle w:val="EMEANormal"/>
              <w:tabs>
                <w:tab w:val="clear" w:pos="562"/>
                <w:tab w:val="left" w:pos="708"/>
              </w:tabs>
              <w:suppressAutoHyphens w:val="0"/>
              <w:rPr>
                <w:del w:id="1244" w:author="AbbVie1" w:date="2025-05-13T09:50:00Z"/>
                <w:lang w:val="cs-CZ"/>
              </w:rPr>
            </w:pPr>
            <w:del w:id="1245" w:author="AbbVie1" w:date="2025-05-13T09:50:00Z">
              <w:r w:rsidRPr="001B4A02">
                <w:rPr>
                  <w:lang w:val="cs-CZ"/>
                </w:rPr>
                <w:delText>Lupus-like syndrom</w:delText>
              </w:r>
              <w:r w:rsidRPr="001B4A02">
                <w:rPr>
                  <w:szCs w:val="22"/>
                  <w:vertAlign w:val="superscript"/>
                  <w:lang w:val="cs-CZ"/>
                </w:rPr>
                <w:delText>1)</w:delText>
              </w:r>
            </w:del>
          </w:p>
          <w:p w14:paraId="12564B7A" w14:textId="77777777" w:rsidR="000B55EC" w:rsidRPr="001B4A02" w:rsidRDefault="000B55EC" w:rsidP="00ED48A3">
            <w:pPr>
              <w:pStyle w:val="EMEANormal"/>
              <w:tabs>
                <w:tab w:val="clear" w:pos="562"/>
                <w:tab w:val="left" w:pos="708"/>
              </w:tabs>
              <w:suppressAutoHyphens w:val="0"/>
              <w:rPr>
                <w:del w:id="1246" w:author="AbbVie1" w:date="2025-05-13T09:50:00Z"/>
                <w:lang w:val="cs-CZ"/>
              </w:rPr>
            </w:pPr>
          </w:p>
        </w:tc>
      </w:tr>
      <w:tr w:rsidR="00534A2D" w14:paraId="0B43FDD5" w14:textId="77777777" w:rsidTr="00E501B6">
        <w:trPr>
          <w:cantSplit/>
          <w:trHeight w:val="392"/>
          <w:jc w:val="center"/>
          <w:del w:id="1247" w:author="AbbVie1" w:date="2025-05-13T09:50:00Z"/>
        </w:trPr>
        <w:tc>
          <w:tcPr>
            <w:tcW w:w="2880" w:type="dxa"/>
            <w:vMerge w:val="restart"/>
            <w:tcBorders>
              <w:top w:val="single" w:sz="4" w:space="0" w:color="auto"/>
              <w:left w:val="single" w:sz="4" w:space="0" w:color="auto"/>
              <w:right w:val="single" w:sz="4" w:space="0" w:color="auto"/>
            </w:tcBorders>
          </w:tcPr>
          <w:p w14:paraId="1E333CC4" w14:textId="77777777" w:rsidR="000B55EC" w:rsidRPr="001B4A02" w:rsidRDefault="00000000" w:rsidP="00ED48A3">
            <w:pPr>
              <w:pStyle w:val="EMEANormal"/>
              <w:tabs>
                <w:tab w:val="left" w:pos="0"/>
              </w:tabs>
              <w:rPr>
                <w:del w:id="1248" w:author="AbbVie1" w:date="2025-05-13T09:50:00Z"/>
                <w:szCs w:val="22"/>
                <w:lang w:val="cs-CZ"/>
              </w:rPr>
            </w:pPr>
            <w:del w:id="1249" w:author="AbbVie1" w:date="2025-05-13T09:50:00Z">
              <w:r w:rsidRPr="001B4A02">
                <w:rPr>
                  <w:szCs w:val="22"/>
                  <w:lang w:val="cs-CZ"/>
                </w:rPr>
                <w:delText>Poruchy ledvin</w:delText>
              </w:r>
              <w:r w:rsidR="002378E0">
                <w:rPr>
                  <w:szCs w:val="22"/>
                  <w:lang w:val="cs-CZ"/>
                </w:rPr>
                <w:delText xml:space="preserve"> a </w:delText>
              </w:r>
              <w:r w:rsidRPr="001B4A02">
                <w:rPr>
                  <w:szCs w:val="22"/>
                  <w:lang w:val="cs-CZ"/>
                </w:rPr>
                <w:delText>močových cest</w:delText>
              </w:r>
            </w:del>
          </w:p>
        </w:tc>
        <w:tc>
          <w:tcPr>
            <w:tcW w:w="1440" w:type="dxa"/>
            <w:tcBorders>
              <w:top w:val="single" w:sz="4" w:space="0" w:color="auto"/>
              <w:left w:val="single" w:sz="4" w:space="0" w:color="auto"/>
              <w:bottom w:val="single" w:sz="4" w:space="0" w:color="auto"/>
              <w:right w:val="single" w:sz="4" w:space="0" w:color="auto"/>
            </w:tcBorders>
          </w:tcPr>
          <w:p w14:paraId="2EAEFCF4" w14:textId="77777777" w:rsidR="000B55EC" w:rsidRPr="001B4A02" w:rsidRDefault="00000000" w:rsidP="00ED48A3">
            <w:pPr>
              <w:pStyle w:val="EMEANormal"/>
              <w:rPr>
                <w:del w:id="1250" w:author="AbbVie1" w:date="2025-05-13T09:50:00Z"/>
                <w:szCs w:val="22"/>
                <w:lang w:val="cs-CZ"/>
              </w:rPr>
            </w:pPr>
            <w:del w:id="1251"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0A2AD6A4" w14:textId="77777777" w:rsidR="000B55EC" w:rsidRPr="001B4A02" w:rsidRDefault="00000000" w:rsidP="00ED48A3">
            <w:pPr>
              <w:pStyle w:val="EMEANormal"/>
              <w:rPr>
                <w:del w:id="1252" w:author="AbbVie1" w:date="2025-05-13T09:50:00Z"/>
                <w:szCs w:val="22"/>
                <w:lang w:val="cs-CZ"/>
              </w:rPr>
            </w:pPr>
            <w:del w:id="1253" w:author="AbbVie1" w:date="2025-05-13T09:50:00Z">
              <w:r w:rsidRPr="001B4A02">
                <w:rPr>
                  <w:szCs w:val="22"/>
                  <w:lang w:val="cs-CZ"/>
                </w:rPr>
                <w:delText>Poškození ledvin</w:delText>
              </w:r>
              <w:r w:rsidR="00EA7A5F" w:rsidRPr="001B4A02">
                <w:rPr>
                  <w:szCs w:val="22"/>
                  <w:lang w:val="cs-CZ"/>
                </w:rPr>
                <w:delText>,</w:delText>
              </w:r>
            </w:del>
          </w:p>
          <w:p w14:paraId="2878F552" w14:textId="77777777" w:rsidR="00EA7A5F" w:rsidRPr="001B4A02" w:rsidRDefault="00000000" w:rsidP="00ED48A3">
            <w:pPr>
              <w:pStyle w:val="EMEANormal"/>
              <w:rPr>
                <w:del w:id="1254" w:author="AbbVie1" w:date="2025-05-13T09:50:00Z"/>
                <w:szCs w:val="22"/>
                <w:lang w:val="cs-CZ"/>
              </w:rPr>
            </w:pPr>
            <w:del w:id="1255" w:author="AbbVie1" w:date="2025-05-13T09:50:00Z">
              <w:r w:rsidRPr="001B4A02">
                <w:rPr>
                  <w:szCs w:val="22"/>
                  <w:lang w:val="cs-CZ"/>
                </w:rPr>
                <w:delText>hematurie</w:delText>
              </w:r>
            </w:del>
          </w:p>
          <w:p w14:paraId="436816EB" w14:textId="77777777" w:rsidR="000B55EC" w:rsidRPr="001B4A02" w:rsidRDefault="000B55EC" w:rsidP="00ED48A3">
            <w:pPr>
              <w:pStyle w:val="EMEANormal"/>
              <w:rPr>
                <w:del w:id="1256" w:author="AbbVie1" w:date="2025-05-13T09:50:00Z"/>
                <w:szCs w:val="22"/>
                <w:lang w:val="cs-CZ"/>
              </w:rPr>
            </w:pPr>
          </w:p>
        </w:tc>
      </w:tr>
      <w:tr w:rsidR="00534A2D" w14:paraId="36910FB4" w14:textId="77777777" w:rsidTr="00E501B6">
        <w:trPr>
          <w:cantSplit/>
          <w:trHeight w:val="392"/>
          <w:jc w:val="center"/>
          <w:del w:id="1257" w:author="AbbVie1" w:date="2025-05-13T09:50:00Z"/>
        </w:trPr>
        <w:tc>
          <w:tcPr>
            <w:tcW w:w="2880" w:type="dxa"/>
            <w:vMerge/>
            <w:tcBorders>
              <w:left w:val="single" w:sz="4" w:space="0" w:color="auto"/>
              <w:bottom w:val="single" w:sz="4" w:space="0" w:color="auto"/>
              <w:right w:val="single" w:sz="4" w:space="0" w:color="auto"/>
            </w:tcBorders>
          </w:tcPr>
          <w:p w14:paraId="4A6D7A4B" w14:textId="77777777" w:rsidR="000B55EC" w:rsidRPr="001B4A02" w:rsidRDefault="000B55EC" w:rsidP="00ED48A3">
            <w:pPr>
              <w:pStyle w:val="EMEANormal"/>
              <w:tabs>
                <w:tab w:val="left" w:pos="0"/>
              </w:tabs>
              <w:rPr>
                <w:del w:id="1258" w:author="AbbVie1" w:date="2025-05-13T09:50:00Z"/>
                <w:szCs w:val="22"/>
                <w:lang w:val="cs-CZ"/>
              </w:rPr>
            </w:pPr>
          </w:p>
        </w:tc>
        <w:tc>
          <w:tcPr>
            <w:tcW w:w="1440" w:type="dxa"/>
            <w:tcBorders>
              <w:top w:val="single" w:sz="4" w:space="0" w:color="auto"/>
              <w:left w:val="single" w:sz="4" w:space="0" w:color="auto"/>
              <w:right w:val="single" w:sz="4" w:space="0" w:color="auto"/>
            </w:tcBorders>
          </w:tcPr>
          <w:p w14:paraId="64F965A3" w14:textId="77777777" w:rsidR="000B55EC" w:rsidRPr="001B4A02" w:rsidRDefault="00000000" w:rsidP="00ED48A3">
            <w:pPr>
              <w:pStyle w:val="EMEANormal"/>
              <w:rPr>
                <w:del w:id="1259" w:author="AbbVie1" w:date="2025-05-13T09:50:00Z"/>
                <w:szCs w:val="22"/>
                <w:lang w:val="cs-CZ"/>
              </w:rPr>
            </w:pPr>
            <w:del w:id="1260" w:author="AbbVie1" w:date="2025-05-13T09:50:00Z">
              <w:r w:rsidRPr="001B4A02">
                <w:rPr>
                  <w:szCs w:val="22"/>
                  <w:lang w:val="cs-CZ"/>
                </w:rPr>
                <w:delText>Méně časté</w:delText>
              </w:r>
            </w:del>
          </w:p>
        </w:tc>
        <w:tc>
          <w:tcPr>
            <w:tcW w:w="4689" w:type="dxa"/>
            <w:tcBorders>
              <w:top w:val="single" w:sz="4" w:space="0" w:color="auto"/>
              <w:left w:val="single" w:sz="4" w:space="0" w:color="auto"/>
              <w:right w:val="single" w:sz="4" w:space="0" w:color="auto"/>
            </w:tcBorders>
            <w:shd w:val="clear" w:color="auto" w:fill="auto"/>
          </w:tcPr>
          <w:p w14:paraId="4EBD089D" w14:textId="77777777" w:rsidR="000B55EC" w:rsidRPr="001B4A02" w:rsidRDefault="00000000" w:rsidP="00ED48A3">
            <w:pPr>
              <w:pStyle w:val="EMEANormal"/>
              <w:rPr>
                <w:del w:id="1261" w:author="AbbVie1" w:date="2025-05-13T09:50:00Z"/>
                <w:szCs w:val="22"/>
                <w:lang w:val="cs-CZ"/>
              </w:rPr>
            </w:pPr>
            <w:del w:id="1262" w:author="AbbVie1" w:date="2025-05-13T09:50:00Z">
              <w:r w:rsidRPr="001B4A02">
                <w:rPr>
                  <w:szCs w:val="22"/>
                  <w:lang w:val="cs-CZ"/>
                </w:rPr>
                <w:delText>Nykturie</w:delText>
              </w:r>
            </w:del>
          </w:p>
          <w:p w14:paraId="4500462D" w14:textId="77777777" w:rsidR="000B55EC" w:rsidRPr="001B4A02" w:rsidRDefault="000B55EC" w:rsidP="00ED48A3">
            <w:pPr>
              <w:pStyle w:val="EMEANormal"/>
              <w:rPr>
                <w:del w:id="1263" w:author="AbbVie1" w:date="2025-05-13T09:50:00Z"/>
                <w:szCs w:val="22"/>
                <w:lang w:val="cs-CZ"/>
              </w:rPr>
            </w:pPr>
          </w:p>
        </w:tc>
      </w:tr>
      <w:tr w:rsidR="00534A2D" w14:paraId="31853790" w14:textId="77777777" w:rsidTr="00DF6C3B">
        <w:trPr>
          <w:cantSplit/>
          <w:trHeight w:val="518"/>
          <w:jc w:val="center"/>
          <w:del w:id="1264" w:author="AbbVie1" w:date="2025-05-13T09:50:00Z"/>
        </w:trPr>
        <w:tc>
          <w:tcPr>
            <w:tcW w:w="2880" w:type="dxa"/>
            <w:tcBorders>
              <w:top w:val="single" w:sz="4" w:space="0" w:color="auto"/>
              <w:left w:val="single" w:sz="4" w:space="0" w:color="auto"/>
              <w:bottom w:val="single" w:sz="4" w:space="0" w:color="auto"/>
              <w:right w:val="single" w:sz="4" w:space="0" w:color="auto"/>
            </w:tcBorders>
          </w:tcPr>
          <w:p w14:paraId="761440AF" w14:textId="77777777" w:rsidR="000B55EC" w:rsidRPr="001B4A02" w:rsidRDefault="00000000" w:rsidP="00ED48A3">
            <w:pPr>
              <w:pStyle w:val="EMEANormal"/>
              <w:tabs>
                <w:tab w:val="left" w:pos="0"/>
              </w:tabs>
              <w:rPr>
                <w:del w:id="1265" w:author="AbbVie1" w:date="2025-05-13T09:50:00Z"/>
                <w:szCs w:val="22"/>
                <w:lang w:val="cs-CZ"/>
              </w:rPr>
            </w:pPr>
            <w:del w:id="1266" w:author="AbbVie1" w:date="2025-05-13T09:50:00Z">
              <w:r w:rsidRPr="001B4A02">
                <w:rPr>
                  <w:szCs w:val="22"/>
                  <w:lang w:val="cs-CZ"/>
                </w:rPr>
                <w:delText>Poruchy reprodukčního systému</w:delText>
              </w:r>
              <w:r w:rsidR="002378E0">
                <w:rPr>
                  <w:szCs w:val="22"/>
                  <w:lang w:val="cs-CZ"/>
                </w:rPr>
                <w:delText xml:space="preserve"> a </w:delText>
              </w:r>
              <w:r w:rsidRPr="001B4A02">
                <w:rPr>
                  <w:szCs w:val="22"/>
                  <w:lang w:val="cs-CZ"/>
                </w:rPr>
                <w:delText xml:space="preserve">prsu </w:delText>
              </w:r>
            </w:del>
          </w:p>
          <w:p w14:paraId="020260AE" w14:textId="77777777" w:rsidR="000B55EC" w:rsidRPr="001B4A02" w:rsidRDefault="000B55EC" w:rsidP="00ED48A3">
            <w:pPr>
              <w:pStyle w:val="EMEANormal"/>
              <w:tabs>
                <w:tab w:val="left" w:pos="0"/>
              </w:tabs>
              <w:rPr>
                <w:del w:id="1267" w:author="AbbVie1" w:date="2025-05-13T09:50:00Z"/>
                <w:szCs w:val="22"/>
                <w:lang w:val="cs-CZ"/>
              </w:rPr>
            </w:pPr>
          </w:p>
        </w:tc>
        <w:tc>
          <w:tcPr>
            <w:tcW w:w="1440" w:type="dxa"/>
            <w:tcBorders>
              <w:top w:val="single" w:sz="4" w:space="0" w:color="auto"/>
              <w:left w:val="single" w:sz="4" w:space="0" w:color="auto"/>
              <w:right w:val="single" w:sz="4" w:space="0" w:color="auto"/>
            </w:tcBorders>
          </w:tcPr>
          <w:p w14:paraId="3043A44A" w14:textId="77777777" w:rsidR="000B55EC" w:rsidRPr="001B4A02" w:rsidRDefault="00000000" w:rsidP="00ED48A3">
            <w:pPr>
              <w:pStyle w:val="EMEANormal"/>
              <w:rPr>
                <w:del w:id="1268" w:author="AbbVie1" w:date="2025-05-13T09:50:00Z"/>
                <w:szCs w:val="22"/>
                <w:lang w:val="cs-CZ"/>
              </w:rPr>
            </w:pPr>
            <w:del w:id="1269" w:author="AbbVie1" w:date="2025-05-13T09:50:00Z">
              <w:r w:rsidRPr="001B4A02">
                <w:rPr>
                  <w:szCs w:val="22"/>
                  <w:lang w:val="cs-CZ"/>
                </w:rPr>
                <w:delText>Méně časté</w:delText>
              </w:r>
            </w:del>
          </w:p>
        </w:tc>
        <w:tc>
          <w:tcPr>
            <w:tcW w:w="4689" w:type="dxa"/>
            <w:tcBorders>
              <w:top w:val="single" w:sz="4" w:space="0" w:color="auto"/>
              <w:left w:val="single" w:sz="4" w:space="0" w:color="auto"/>
              <w:right w:val="single" w:sz="4" w:space="0" w:color="auto"/>
            </w:tcBorders>
          </w:tcPr>
          <w:p w14:paraId="2E0283C0" w14:textId="77777777" w:rsidR="000B55EC" w:rsidRPr="001B4A02" w:rsidRDefault="00000000" w:rsidP="00ED48A3">
            <w:pPr>
              <w:pStyle w:val="EMEANormal"/>
              <w:rPr>
                <w:del w:id="1270" w:author="AbbVie1" w:date="2025-05-13T09:50:00Z"/>
                <w:szCs w:val="22"/>
                <w:lang w:val="cs-CZ"/>
              </w:rPr>
            </w:pPr>
            <w:del w:id="1271" w:author="AbbVie1" w:date="2025-05-13T09:50:00Z">
              <w:r w:rsidRPr="001B4A02">
                <w:rPr>
                  <w:szCs w:val="22"/>
                  <w:lang w:val="cs-CZ"/>
                </w:rPr>
                <w:delText>Erektilní dysfunkce</w:delText>
              </w:r>
            </w:del>
          </w:p>
        </w:tc>
      </w:tr>
      <w:tr w:rsidR="00534A2D" w14:paraId="2899C895" w14:textId="77777777" w:rsidTr="00E501B6">
        <w:trPr>
          <w:cantSplit/>
          <w:trHeight w:val="127"/>
          <w:jc w:val="center"/>
          <w:del w:id="1272" w:author="AbbVie1" w:date="2025-05-13T09:50:00Z"/>
        </w:trPr>
        <w:tc>
          <w:tcPr>
            <w:tcW w:w="2880" w:type="dxa"/>
            <w:vMerge w:val="restart"/>
            <w:tcBorders>
              <w:top w:val="single" w:sz="4" w:space="0" w:color="auto"/>
              <w:left w:val="single" w:sz="4" w:space="0" w:color="auto"/>
              <w:right w:val="single" w:sz="4" w:space="0" w:color="auto"/>
            </w:tcBorders>
          </w:tcPr>
          <w:p w14:paraId="5EB16ED8" w14:textId="77777777" w:rsidR="000B55EC" w:rsidRPr="001B4A02" w:rsidRDefault="00000000" w:rsidP="00ED48A3">
            <w:pPr>
              <w:pStyle w:val="EMEANormal"/>
              <w:tabs>
                <w:tab w:val="left" w:pos="0"/>
              </w:tabs>
              <w:rPr>
                <w:del w:id="1273" w:author="AbbVie1" w:date="2025-05-13T09:50:00Z"/>
                <w:szCs w:val="22"/>
                <w:lang w:val="cs-CZ"/>
              </w:rPr>
            </w:pPr>
            <w:del w:id="1274" w:author="AbbVie1" w:date="2025-05-13T09:50:00Z">
              <w:r w:rsidRPr="001B4A02">
                <w:rPr>
                  <w:szCs w:val="22"/>
                  <w:lang w:val="cs-CZ"/>
                </w:rPr>
                <w:delText>Celkové poruchy</w:delText>
              </w:r>
              <w:r w:rsidR="002378E0">
                <w:rPr>
                  <w:szCs w:val="22"/>
                  <w:lang w:val="cs-CZ"/>
                </w:rPr>
                <w:delText xml:space="preserve"> a </w:delText>
              </w:r>
              <w:r w:rsidRPr="001B4A02">
                <w:rPr>
                  <w:szCs w:val="22"/>
                  <w:lang w:val="cs-CZ"/>
                </w:rPr>
                <w:delText>reakce v</w:delText>
              </w:r>
              <w:r w:rsidR="00E07E66" w:rsidRPr="001B4A02">
                <w:rPr>
                  <w:szCs w:val="22"/>
                  <w:lang w:val="cs-CZ"/>
                </w:rPr>
                <w:delText> </w:delText>
              </w:r>
              <w:r w:rsidRPr="001B4A02">
                <w:rPr>
                  <w:szCs w:val="22"/>
                  <w:lang w:val="cs-CZ"/>
                </w:rPr>
                <w:delText>místě aplikace*</w:delText>
              </w:r>
            </w:del>
          </w:p>
        </w:tc>
        <w:tc>
          <w:tcPr>
            <w:tcW w:w="1440" w:type="dxa"/>
            <w:tcBorders>
              <w:top w:val="single" w:sz="4" w:space="0" w:color="auto"/>
              <w:left w:val="single" w:sz="4" w:space="0" w:color="auto"/>
              <w:bottom w:val="single" w:sz="4" w:space="0" w:color="auto"/>
              <w:right w:val="single" w:sz="4" w:space="0" w:color="auto"/>
            </w:tcBorders>
          </w:tcPr>
          <w:p w14:paraId="57F64503" w14:textId="77777777" w:rsidR="000B55EC" w:rsidRPr="001B4A02" w:rsidRDefault="00000000" w:rsidP="00ED48A3">
            <w:pPr>
              <w:pStyle w:val="EMEANormal"/>
              <w:rPr>
                <w:del w:id="1275" w:author="AbbVie1" w:date="2025-05-13T09:50:00Z"/>
                <w:szCs w:val="22"/>
                <w:lang w:val="cs-CZ"/>
              </w:rPr>
            </w:pPr>
            <w:del w:id="1276"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1DC25730" w14:textId="77777777" w:rsidR="000B55EC" w:rsidRPr="001B4A02" w:rsidRDefault="00000000" w:rsidP="00ED48A3">
            <w:pPr>
              <w:pStyle w:val="EMEANormal"/>
              <w:rPr>
                <w:del w:id="1277" w:author="AbbVie1" w:date="2025-05-13T09:50:00Z"/>
                <w:szCs w:val="22"/>
                <w:lang w:val="cs-CZ"/>
              </w:rPr>
            </w:pPr>
            <w:del w:id="1278" w:author="AbbVie1" w:date="2025-05-13T09:50:00Z">
              <w:r w:rsidRPr="001B4A02">
                <w:rPr>
                  <w:szCs w:val="22"/>
                  <w:lang w:val="cs-CZ"/>
                </w:rPr>
                <w:delText>Reakce v místě injekčního vpichu (včetně erytému v místě vpichu injekce)</w:delText>
              </w:r>
            </w:del>
          </w:p>
          <w:p w14:paraId="439790C6" w14:textId="77777777" w:rsidR="000B55EC" w:rsidRPr="001B4A02" w:rsidRDefault="000B55EC" w:rsidP="00ED48A3">
            <w:pPr>
              <w:pStyle w:val="EMEANormal"/>
              <w:rPr>
                <w:del w:id="1279" w:author="AbbVie1" w:date="2025-05-13T09:50:00Z"/>
                <w:szCs w:val="22"/>
                <w:lang w:val="cs-CZ"/>
              </w:rPr>
            </w:pPr>
          </w:p>
        </w:tc>
      </w:tr>
      <w:tr w:rsidR="00534A2D" w14:paraId="6A860923" w14:textId="77777777" w:rsidTr="00E501B6">
        <w:trPr>
          <w:cantSplit/>
          <w:trHeight w:val="127"/>
          <w:jc w:val="center"/>
          <w:del w:id="1280" w:author="AbbVie1" w:date="2025-05-13T09:50:00Z"/>
        </w:trPr>
        <w:tc>
          <w:tcPr>
            <w:tcW w:w="2880" w:type="dxa"/>
            <w:vMerge/>
            <w:tcBorders>
              <w:left w:val="single" w:sz="4" w:space="0" w:color="auto"/>
              <w:right w:val="single" w:sz="4" w:space="0" w:color="auto"/>
            </w:tcBorders>
          </w:tcPr>
          <w:p w14:paraId="2EB0CF00" w14:textId="77777777" w:rsidR="000B55EC" w:rsidRPr="001B4A02" w:rsidRDefault="000B55EC" w:rsidP="00ED48A3">
            <w:pPr>
              <w:pStyle w:val="EMEANormal"/>
              <w:tabs>
                <w:tab w:val="left" w:pos="0"/>
              </w:tabs>
              <w:rPr>
                <w:del w:id="1281" w:author="AbbVie1" w:date="2025-05-13T09:50:00Z"/>
                <w:szCs w:val="22"/>
                <w:lang w:val="cs-CZ"/>
              </w:rPr>
            </w:pPr>
          </w:p>
        </w:tc>
        <w:tc>
          <w:tcPr>
            <w:tcW w:w="1440" w:type="dxa"/>
            <w:tcBorders>
              <w:top w:val="single" w:sz="4" w:space="0" w:color="auto"/>
              <w:left w:val="single" w:sz="4" w:space="0" w:color="auto"/>
              <w:bottom w:val="single" w:sz="4" w:space="0" w:color="auto"/>
              <w:right w:val="single" w:sz="4" w:space="0" w:color="auto"/>
            </w:tcBorders>
          </w:tcPr>
          <w:p w14:paraId="500208CB" w14:textId="77777777" w:rsidR="000B55EC" w:rsidRPr="001B4A02" w:rsidRDefault="00000000" w:rsidP="00ED48A3">
            <w:pPr>
              <w:pStyle w:val="EMEANormal"/>
              <w:rPr>
                <w:del w:id="1282" w:author="AbbVie1" w:date="2025-05-13T09:50:00Z"/>
                <w:szCs w:val="22"/>
                <w:lang w:val="cs-CZ"/>
              </w:rPr>
            </w:pPr>
            <w:del w:id="1283"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79182CC2" w14:textId="77777777" w:rsidR="000B55EC" w:rsidRPr="001B4A02" w:rsidRDefault="00000000" w:rsidP="00ED48A3">
            <w:pPr>
              <w:pStyle w:val="EMEANormal"/>
              <w:rPr>
                <w:del w:id="1284" w:author="AbbVie1" w:date="2025-05-13T09:50:00Z"/>
                <w:szCs w:val="22"/>
                <w:lang w:val="cs-CZ"/>
              </w:rPr>
            </w:pPr>
            <w:del w:id="1285" w:author="AbbVie1" w:date="2025-05-13T09:50:00Z">
              <w:r w:rsidRPr="001B4A02">
                <w:rPr>
                  <w:szCs w:val="22"/>
                  <w:lang w:val="cs-CZ"/>
                </w:rPr>
                <w:delText>Bolest na hrudi,</w:delText>
              </w:r>
            </w:del>
          </w:p>
          <w:p w14:paraId="2F7A0697" w14:textId="77777777" w:rsidR="000B55EC" w:rsidRPr="001B4A02" w:rsidRDefault="00000000" w:rsidP="00ED48A3">
            <w:pPr>
              <w:pStyle w:val="EMEANormal"/>
              <w:rPr>
                <w:del w:id="1286" w:author="AbbVie1" w:date="2025-05-13T09:50:00Z"/>
                <w:szCs w:val="22"/>
                <w:lang w:val="cs-CZ"/>
              </w:rPr>
            </w:pPr>
            <w:del w:id="1287" w:author="AbbVie1" w:date="2025-05-13T09:50:00Z">
              <w:r w:rsidRPr="001B4A02">
                <w:rPr>
                  <w:szCs w:val="22"/>
                  <w:lang w:val="cs-CZ"/>
                </w:rPr>
                <w:delText>edém</w:delText>
              </w:r>
              <w:r w:rsidR="000C7B3D" w:rsidRPr="001B4A02">
                <w:rPr>
                  <w:szCs w:val="22"/>
                  <w:lang w:val="cs-CZ"/>
                </w:rPr>
                <w:delText>,</w:delText>
              </w:r>
            </w:del>
          </w:p>
          <w:p w14:paraId="775B88EC" w14:textId="77777777" w:rsidR="000C7B3D" w:rsidRPr="001B4A02" w:rsidRDefault="00000000" w:rsidP="00ED48A3">
            <w:pPr>
              <w:pStyle w:val="EMEANormal"/>
              <w:rPr>
                <w:del w:id="1288" w:author="AbbVie1" w:date="2025-05-13T09:50:00Z"/>
                <w:szCs w:val="22"/>
                <w:lang w:val="cs-CZ"/>
              </w:rPr>
            </w:pPr>
            <w:del w:id="1289" w:author="AbbVie1" w:date="2025-05-13T09:50:00Z">
              <w:r w:rsidRPr="001B4A02">
                <w:rPr>
                  <w:szCs w:val="22"/>
                  <w:lang w:val="cs-CZ"/>
                </w:rPr>
                <w:delText>pyrexie</w:delText>
              </w:r>
              <w:r w:rsidRPr="001B4A02">
                <w:rPr>
                  <w:szCs w:val="22"/>
                  <w:vertAlign w:val="superscript"/>
                  <w:lang w:val="cs-CZ"/>
                </w:rPr>
                <w:delText>1)</w:delText>
              </w:r>
            </w:del>
          </w:p>
          <w:p w14:paraId="0DA0BD2C" w14:textId="77777777" w:rsidR="000B55EC" w:rsidRPr="001B4A02" w:rsidRDefault="000B55EC" w:rsidP="00ED48A3">
            <w:pPr>
              <w:pStyle w:val="EMEANormal"/>
              <w:rPr>
                <w:del w:id="1290" w:author="AbbVie1" w:date="2025-05-13T09:50:00Z"/>
                <w:szCs w:val="22"/>
                <w:lang w:val="cs-CZ"/>
              </w:rPr>
            </w:pPr>
          </w:p>
        </w:tc>
      </w:tr>
      <w:tr w:rsidR="00534A2D" w14:paraId="075A106E" w14:textId="77777777" w:rsidTr="00E501B6">
        <w:trPr>
          <w:cantSplit/>
          <w:trHeight w:val="258"/>
          <w:jc w:val="center"/>
          <w:del w:id="1291" w:author="AbbVie1" w:date="2025-05-13T09:50:00Z"/>
        </w:trPr>
        <w:tc>
          <w:tcPr>
            <w:tcW w:w="0" w:type="auto"/>
            <w:vMerge/>
            <w:tcBorders>
              <w:left w:val="single" w:sz="4" w:space="0" w:color="auto"/>
              <w:bottom w:val="single" w:sz="4" w:space="0" w:color="auto"/>
              <w:right w:val="single" w:sz="4" w:space="0" w:color="auto"/>
            </w:tcBorders>
            <w:vAlign w:val="center"/>
          </w:tcPr>
          <w:p w14:paraId="331980D9" w14:textId="77777777" w:rsidR="000B55EC" w:rsidRPr="001B4A02" w:rsidRDefault="000B55EC" w:rsidP="00ED48A3">
            <w:pPr>
              <w:ind w:left="0" w:firstLine="0"/>
              <w:rPr>
                <w:del w:id="1292"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7470C558" w14:textId="77777777" w:rsidR="000B55EC" w:rsidRPr="001B4A02" w:rsidRDefault="00000000" w:rsidP="00ED48A3">
            <w:pPr>
              <w:pStyle w:val="EMEANormal"/>
              <w:rPr>
                <w:del w:id="1293" w:author="AbbVie1" w:date="2025-05-13T09:50:00Z"/>
                <w:szCs w:val="22"/>
                <w:lang w:val="cs-CZ"/>
              </w:rPr>
            </w:pPr>
            <w:del w:id="1294"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254FA9DF" w14:textId="77777777" w:rsidR="000B55EC" w:rsidRPr="001B4A02" w:rsidRDefault="00000000" w:rsidP="00ED48A3">
            <w:pPr>
              <w:pStyle w:val="EMEANormal"/>
              <w:rPr>
                <w:del w:id="1295" w:author="AbbVie1" w:date="2025-05-13T09:50:00Z"/>
                <w:szCs w:val="22"/>
                <w:lang w:val="cs-CZ"/>
              </w:rPr>
            </w:pPr>
            <w:del w:id="1296" w:author="AbbVie1" w:date="2025-05-13T09:50:00Z">
              <w:r w:rsidRPr="001B4A02">
                <w:rPr>
                  <w:szCs w:val="22"/>
                  <w:lang w:val="cs-CZ"/>
                </w:rPr>
                <w:delText>Záněty</w:delText>
              </w:r>
            </w:del>
          </w:p>
          <w:p w14:paraId="7C348EE0" w14:textId="77777777" w:rsidR="000B55EC" w:rsidRPr="001B4A02" w:rsidRDefault="000B55EC" w:rsidP="00ED48A3">
            <w:pPr>
              <w:pStyle w:val="EMEANormal"/>
              <w:rPr>
                <w:del w:id="1297" w:author="AbbVie1" w:date="2025-05-13T09:50:00Z"/>
                <w:szCs w:val="22"/>
                <w:lang w:val="cs-CZ"/>
              </w:rPr>
            </w:pPr>
          </w:p>
        </w:tc>
      </w:tr>
      <w:tr w:rsidR="00534A2D" w14:paraId="24162FD2" w14:textId="77777777" w:rsidTr="00E501B6">
        <w:trPr>
          <w:trHeight w:val="296"/>
          <w:jc w:val="center"/>
          <w:del w:id="1298" w:author="AbbVie1" w:date="2025-05-13T09:50:00Z"/>
        </w:trPr>
        <w:tc>
          <w:tcPr>
            <w:tcW w:w="2880" w:type="dxa"/>
            <w:vMerge w:val="restart"/>
            <w:tcBorders>
              <w:top w:val="single" w:sz="4" w:space="0" w:color="auto"/>
              <w:left w:val="single" w:sz="4" w:space="0" w:color="auto"/>
              <w:right w:val="single" w:sz="4" w:space="0" w:color="auto"/>
            </w:tcBorders>
          </w:tcPr>
          <w:p w14:paraId="2534F28D" w14:textId="77777777" w:rsidR="00390971" w:rsidRPr="001B4A02" w:rsidRDefault="00000000" w:rsidP="00ED48A3">
            <w:pPr>
              <w:pStyle w:val="EMEANormal"/>
              <w:tabs>
                <w:tab w:val="left" w:pos="0"/>
              </w:tabs>
              <w:rPr>
                <w:del w:id="1299" w:author="AbbVie1" w:date="2025-05-13T09:50:00Z"/>
                <w:szCs w:val="22"/>
                <w:lang w:val="cs-CZ"/>
              </w:rPr>
            </w:pPr>
            <w:del w:id="1300" w:author="AbbVie1" w:date="2025-05-13T09:50:00Z">
              <w:r w:rsidRPr="001B4A02">
                <w:rPr>
                  <w:szCs w:val="22"/>
                  <w:lang w:val="cs-CZ"/>
                </w:rPr>
                <w:delText>Vyšetření*</w:delText>
              </w:r>
            </w:del>
          </w:p>
        </w:tc>
        <w:tc>
          <w:tcPr>
            <w:tcW w:w="1440" w:type="dxa"/>
            <w:tcBorders>
              <w:top w:val="single" w:sz="4" w:space="0" w:color="auto"/>
              <w:left w:val="single" w:sz="4" w:space="0" w:color="auto"/>
              <w:bottom w:val="nil"/>
              <w:right w:val="single" w:sz="4" w:space="0" w:color="auto"/>
            </w:tcBorders>
          </w:tcPr>
          <w:p w14:paraId="7B49D39A" w14:textId="77777777" w:rsidR="00390971" w:rsidRPr="001B4A02" w:rsidRDefault="00000000" w:rsidP="00ED48A3">
            <w:pPr>
              <w:pStyle w:val="EMEANormal"/>
              <w:rPr>
                <w:del w:id="1301" w:author="AbbVie1" w:date="2025-05-13T09:50:00Z"/>
                <w:szCs w:val="22"/>
                <w:lang w:val="cs-CZ"/>
              </w:rPr>
            </w:pPr>
            <w:del w:id="1302" w:author="AbbVie1" w:date="2025-05-13T09:50:00Z">
              <w:r w:rsidRPr="001B4A02">
                <w:rPr>
                  <w:szCs w:val="22"/>
                  <w:lang w:val="cs-CZ"/>
                </w:rPr>
                <w:delText>Časté</w:delText>
              </w:r>
            </w:del>
          </w:p>
        </w:tc>
        <w:tc>
          <w:tcPr>
            <w:tcW w:w="4689" w:type="dxa"/>
            <w:tcBorders>
              <w:top w:val="single" w:sz="4" w:space="0" w:color="auto"/>
              <w:left w:val="single" w:sz="4" w:space="0" w:color="auto"/>
              <w:bottom w:val="nil"/>
              <w:right w:val="single" w:sz="4" w:space="0" w:color="auto"/>
            </w:tcBorders>
          </w:tcPr>
          <w:p w14:paraId="5A47A69E" w14:textId="77777777" w:rsidR="00390971" w:rsidRPr="001B4A02" w:rsidRDefault="00000000" w:rsidP="00ED48A3">
            <w:pPr>
              <w:pStyle w:val="EMEANormal"/>
              <w:rPr>
                <w:del w:id="1303" w:author="AbbVie1" w:date="2025-05-13T09:50:00Z"/>
                <w:szCs w:val="22"/>
                <w:lang w:val="cs-CZ"/>
              </w:rPr>
            </w:pPr>
            <w:del w:id="1304" w:author="AbbVie1" w:date="2025-05-13T09:50:00Z">
              <w:r w:rsidRPr="001B4A02">
                <w:rPr>
                  <w:szCs w:val="22"/>
                  <w:lang w:val="cs-CZ"/>
                </w:rPr>
                <w:delText>Poruchy koagulace</w:delText>
              </w:r>
              <w:r>
                <w:rPr>
                  <w:szCs w:val="22"/>
                  <w:lang w:val="cs-CZ"/>
                </w:rPr>
                <w:delText xml:space="preserve"> a </w:delText>
              </w:r>
              <w:r w:rsidRPr="001B4A02">
                <w:rPr>
                  <w:szCs w:val="22"/>
                  <w:lang w:val="cs-CZ"/>
                </w:rPr>
                <w:delText>krvácení (včetně prodloužení aktivovaného parciálního tromboplastinového času),</w:delText>
              </w:r>
            </w:del>
          </w:p>
          <w:p w14:paraId="09CFD5FE" w14:textId="77777777" w:rsidR="00390971" w:rsidRPr="001B4A02" w:rsidRDefault="00000000" w:rsidP="00ED48A3">
            <w:pPr>
              <w:pStyle w:val="EMEANormal"/>
              <w:rPr>
                <w:del w:id="1305" w:author="AbbVie1" w:date="2025-05-13T09:50:00Z"/>
                <w:szCs w:val="22"/>
                <w:lang w:val="cs-CZ"/>
              </w:rPr>
            </w:pPr>
            <w:del w:id="1306" w:author="AbbVie1" w:date="2025-05-13T09:50:00Z">
              <w:r w:rsidRPr="001B4A02">
                <w:rPr>
                  <w:szCs w:val="22"/>
                  <w:lang w:val="cs-CZ"/>
                </w:rPr>
                <w:delText>pozitivní test autoprotilátek (včetně protilátek proti dvoušroubovici DNA),</w:delText>
              </w:r>
            </w:del>
          </w:p>
          <w:p w14:paraId="0551158B" w14:textId="77777777" w:rsidR="00390971" w:rsidRPr="001B4A02" w:rsidRDefault="00000000" w:rsidP="00ED48A3">
            <w:pPr>
              <w:pStyle w:val="EMEANormal"/>
              <w:rPr>
                <w:del w:id="1307" w:author="AbbVie1" w:date="2025-05-13T09:50:00Z"/>
                <w:szCs w:val="22"/>
                <w:lang w:val="cs-CZ"/>
              </w:rPr>
            </w:pPr>
            <w:del w:id="1308" w:author="AbbVie1" w:date="2025-05-13T09:50:00Z">
              <w:r w:rsidRPr="001B4A02">
                <w:rPr>
                  <w:szCs w:val="22"/>
                  <w:lang w:val="cs-CZ"/>
                </w:rPr>
                <w:delText>zvýšení laktátdehydrogenázy v krvi</w:delText>
              </w:r>
            </w:del>
          </w:p>
          <w:p w14:paraId="12B425AE" w14:textId="77777777" w:rsidR="00390971" w:rsidRPr="001B4A02" w:rsidRDefault="00390971" w:rsidP="00ED48A3">
            <w:pPr>
              <w:pStyle w:val="EMEANormal"/>
              <w:rPr>
                <w:del w:id="1309" w:author="AbbVie1" w:date="2025-05-13T09:50:00Z"/>
                <w:szCs w:val="22"/>
                <w:lang w:val="cs-CZ"/>
              </w:rPr>
            </w:pPr>
          </w:p>
        </w:tc>
      </w:tr>
      <w:tr w:rsidR="00534A2D" w14:paraId="71F3CA0F" w14:textId="77777777" w:rsidTr="00390971">
        <w:trPr>
          <w:trHeight w:val="296"/>
          <w:jc w:val="center"/>
          <w:del w:id="1310" w:author="AbbVie1" w:date="2025-05-13T09:50:00Z"/>
        </w:trPr>
        <w:tc>
          <w:tcPr>
            <w:tcW w:w="2880" w:type="dxa"/>
            <w:vMerge/>
            <w:tcBorders>
              <w:left w:val="single" w:sz="4" w:space="0" w:color="auto"/>
              <w:bottom w:val="nil"/>
              <w:right w:val="single" w:sz="4" w:space="0" w:color="auto"/>
            </w:tcBorders>
          </w:tcPr>
          <w:p w14:paraId="02355A31" w14:textId="77777777" w:rsidR="00390971" w:rsidRPr="001B4A02" w:rsidRDefault="00390971" w:rsidP="00390971">
            <w:pPr>
              <w:pStyle w:val="EMEANormal"/>
              <w:tabs>
                <w:tab w:val="left" w:pos="0"/>
              </w:tabs>
              <w:rPr>
                <w:del w:id="1311" w:author="AbbVie1" w:date="2025-05-13T09:50:00Z"/>
                <w:szCs w:val="22"/>
                <w:lang w:val="cs-CZ"/>
              </w:rPr>
            </w:pPr>
          </w:p>
        </w:tc>
        <w:tc>
          <w:tcPr>
            <w:tcW w:w="1440" w:type="dxa"/>
            <w:tcBorders>
              <w:top w:val="single" w:sz="4" w:space="0" w:color="auto"/>
              <w:left w:val="single" w:sz="4" w:space="0" w:color="auto"/>
              <w:bottom w:val="nil"/>
              <w:right w:val="single" w:sz="4" w:space="0" w:color="auto"/>
            </w:tcBorders>
          </w:tcPr>
          <w:p w14:paraId="53D1C78A" w14:textId="77777777" w:rsidR="00390971" w:rsidRPr="001B4A02" w:rsidRDefault="00000000" w:rsidP="00390971">
            <w:pPr>
              <w:pStyle w:val="EMEANormal"/>
              <w:rPr>
                <w:del w:id="1312" w:author="AbbVie1" w:date="2025-05-13T09:50:00Z"/>
                <w:szCs w:val="22"/>
                <w:lang w:val="cs-CZ"/>
              </w:rPr>
            </w:pPr>
            <w:del w:id="1313" w:author="AbbVie1" w:date="2025-05-13T09:50:00Z">
              <w:r w:rsidRPr="001B4A02">
                <w:rPr>
                  <w:szCs w:val="22"/>
                  <w:lang w:val="cs-CZ"/>
                </w:rPr>
                <w:delText>Není známo</w:delText>
              </w:r>
            </w:del>
          </w:p>
        </w:tc>
        <w:tc>
          <w:tcPr>
            <w:tcW w:w="4689" w:type="dxa"/>
            <w:tcBorders>
              <w:top w:val="single" w:sz="4" w:space="0" w:color="auto"/>
              <w:left w:val="single" w:sz="4" w:space="0" w:color="auto"/>
              <w:bottom w:val="nil"/>
              <w:right w:val="single" w:sz="4" w:space="0" w:color="auto"/>
            </w:tcBorders>
          </w:tcPr>
          <w:p w14:paraId="31E0ECC0" w14:textId="77777777" w:rsidR="00390971" w:rsidRDefault="00000000" w:rsidP="00390971">
            <w:pPr>
              <w:pStyle w:val="EMEANormal"/>
              <w:rPr>
                <w:del w:id="1314" w:author="AbbVie1" w:date="2025-05-13T09:50:00Z"/>
                <w:color w:val="000000"/>
                <w:szCs w:val="22"/>
                <w:lang w:val="cs-CZ" w:eastAsia="cs-CZ"/>
              </w:rPr>
            </w:pPr>
            <w:del w:id="1315" w:author="AbbVie1" w:date="2025-05-13T09:50:00Z">
              <w:r w:rsidRPr="0027760D">
                <w:rPr>
                  <w:color w:val="000000"/>
                  <w:szCs w:val="22"/>
                  <w:lang w:val="cs-CZ" w:eastAsia="cs-CZ"/>
                </w:rPr>
                <w:delText>Zvýšení tělesné hmotnosti</w:delText>
              </w:r>
              <w:r w:rsidRPr="0027760D">
                <w:rPr>
                  <w:color w:val="000000"/>
                  <w:szCs w:val="22"/>
                  <w:vertAlign w:val="superscript"/>
                  <w:lang w:val="cs-CZ" w:eastAsia="cs-CZ"/>
                </w:rPr>
                <w:delText>2)</w:delText>
              </w:r>
            </w:del>
          </w:p>
          <w:p w14:paraId="1CE756A5" w14:textId="77777777" w:rsidR="00390971" w:rsidRPr="001B4A02" w:rsidRDefault="00390971" w:rsidP="00390971">
            <w:pPr>
              <w:pStyle w:val="EMEANormal"/>
              <w:rPr>
                <w:del w:id="1316" w:author="AbbVie1" w:date="2025-05-13T09:50:00Z"/>
                <w:szCs w:val="22"/>
                <w:lang w:val="cs-CZ"/>
              </w:rPr>
            </w:pPr>
          </w:p>
        </w:tc>
      </w:tr>
      <w:tr w:rsidR="00534A2D" w14:paraId="2A3B7014" w14:textId="77777777" w:rsidTr="00DF6C3B">
        <w:trPr>
          <w:jc w:val="center"/>
          <w:del w:id="1317" w:author="AbbVie1" w:date="2025-05-13T09:50:00Z"/>
        </w:trPr>
        <w:tc>
          <w:tcPr>
            <w:tcW w:w="2880" w:type="dxa"/>
            <w:tcBorders>
              <w:top w:val="single" w:sz="4" w:space="0" w:color="auto"/>
              <w:left w:val="single" w:sz="4" w:space="0" w:color="auto"/>
              <w:bottom w:val="single" w:sz="4" w:space="0" w:color="auto"/>
              <w:right w:val="single" w:sz="4" w:space="0" w:color="auto"/>
            </w:tcBorders>
          </w:tcPr>
          <w:p w14:paraId="309BA4A6" w14:textId="77777777" w:rsidR="000B55EC" w:rsidRPr="001B4A02" w:rsidRDefault="00000000" w:rsidP="00ED48A3">
            <w:pPr>
              <w:pStyle w:val="EMEANormal"/>
              <w:tabs>
                <w:tab w:val="left" w:pos="0"/>
              </w:tabs>
              <w:rPr>
                <w:del w:id="1318" w:author="AbbVie1" w:date="2025-05-13T09:50:00Z"/>
                <w:szCs w:val="22"/>
                <w:lang w:val="cs-CZ"/>
              </w:rPr>
            </w:pPr>
            <w:del w:id="1319" w:author="AbbVie1" w:date="2025-05-13T09:50:00Z">
              <w:r w:rsidRPr="001B4A02">
                <w:rPr>
                  <w:szCs w:val="22"/>
                  <w:lang w:val="cs-CZ"/>
                </w:rPr>
                <w:delText>Poranění, otravy</w:delText>
              </w:r>
              <w:r w:rsidR="002378E0">
                <w:rPr>
                  <w:szCs w:val="22"/>
                  <w:lang w:val="cs-CZ"/>
                </w:rPr>
                <w:delText xml:space="preserve"> a </w:delText>
              </w:r>
              <w:r w:rsidRPr="001B4A02">
                <w:rPr>
                  <w:szCs w:val="22"/>
                  <w:lang w:val="cs-CZ"/>
                </w:rPr>
                <w:delText>procedurální komplikace</w:delText>
              </w:r>
            </w:del>
          </w:p>
          <w:p w14:paraId="5E08503D" w14:textId="77777777" w:rsidR="00D95B9A" w:rsidRPr="001B4A02" w:rsidRDefault="00D95B9A" w:rsidP="00ED48A3">
            <w:pPr>
              <w:pStyle w:val="EMEANormal"/>
              <w:tabs>
                <w:tab w:val="left" w:pos="0"/>
              </w:tabs>
              <w:rPr>
                <w:del w:id="1320" w:author="AbbVie1" w:date="2025-05-13T09:50:00Z"/>
                <w:szCs w:val="22"/>
                <w:lang w:val="cs-CZ"/>
              </w:rPr>
            </w:pPr>
          </w:p>
        </w:tc>
        <w:tc>
          <w:tcPr>
            <w:tcW w:w="1440" w:type="dxa"/>
            <w:tcBorders>
              <w:top w:val="single" w:sz="4" w:space="0" w:color="auto"/>
              <w:left w:val="single" w:sz="4" w:space="0" w:color="auto"/>
              <w:bottom w:val="single" w:sz="4" w:space="0" w:color="auto"/>
              <w:right w:val="single" w:sz="4" w:space="0" w:color="auto"/>
            </w:tcBorders>
          </w:tcPr>
          <w:p w14:paraId="7FFB2F7D" w14:textId="77777777" w:rsidR="000B55EC" w:rsidRPr="001B4A02" w:rsidRDefault="00000000" w:rsidP="00ED48A3">
            <w:pPr>
              <w:pStyle w:val="EMEANormal"/>
              <w:rPr>
                <w:del w:id="1321" w:author="AbbVie1" w:date="2025-05-13T09:50:00Z"/>
                <w:szCs w:val="22"/>
                <w:lang w:val="cs-CZ"/>
              </w:rPr>
            </w:pPr>
            <w:del w:id="1322"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6259CDDD" w14:textId="77777777" w:rsidR="000B55EC" w:rsidRPr="001B4A02" w:rsidRDefault="00000000" w:rsidP="00ED48A3">
            <w:pPr>
              <w:pStyle w:val="EMEANormal"/>
              <w:rPr>
                <w:del w:id="1323" w:author="AbbVie1" w:date="2025-05-13T09:50:00Z"/>
                <w:szCs w:val="22"/>
                <w:lang w:val="cs-CZ"/>
              </w:rPr>
            </w:pPr>
            <w:del w:id="1324" w:author="AbbVie1" w:date="2025-05-13T09:50:00Z">
              <w:r w:rsidRPr="001B4A02">
                <w:rPr>
                  <w:szCs w:val="22"/>
                  <w:lang w:val="cs-CZ"/>
                </w:rPr>
                <w:delText>Poruchy hojení</w:delText>
              </w:r>
            </w:del>
          </w:p>
        </w:tc>
      </w:tr>
    </w:tbl>
    <w:p w14:paraId="45476C1B" w14:textId="77777777" w:rsidR="00710A15" w:rsidRPr="001B4A02" w:rsidRDefault="00710A15" w:rsidP="00ED48A3">
      <w:pPr>
        <w:rPr>
          <w:del w:id="1325" w:author="AbbVie1" w:date="2025-05-13T09:50:00Z"/>
          <w:szCs w:val="22"/>
        </w:rPr>
      </w:pPr>
    </w:p>
    <w:p w14:paraId="600B3487" w14:textId="77777777" w:rsidR="000B55EC" w:rsidRPr="001B4A02" w:rsidRDefault="00000000" w:rsidP="00ED48A3">
      <w:pPr>
        <w:rPr>
          <w:del w:id="1326" w:author="AbbVie1" w:date="2025-05-13T09:50:00Z"/>
          <w:bCs/>
          <w:szCs w:val="22"/>
        </w:rPr>
      </w:pPr>
      <w:del w:id="1327" w:author="AbbVie1" w:date="2025-05-13T09:50:00Z">
        <w:r w:rsidRPr="001B4A02">
          <w:rPr>
            <w:szCs w:val="22"/>
          </w:rPr>
          <w:delText>*</w:delText>
        </w:r>
        <w:r w:rsidR="00545FBD" w:rsidRPr="001B4A02">
          <w:rPr>
            <w:szCs w:val="22"/>
          </w:rPr>
          <w:delText> </w:delText>
        </w:r>
        <w:r w:rsidRPr="001B4A02">
          <w:rPr>
            <w:szCs w:val="22"/>
          </w:rPr>
          <w:delText>další informace lze nalézt na jiných místech textu, v bodech 4.3, 4.</w:delText>
        </w:r>
        <w:r w:rsidR="00545FBD" w:rsidRPr="001B4A02">
          <w:rPr>
            <w:szCs w:val="22"/>
          </w:rPr>
          <w:delText>4</w:delText>
        </w:r>
        <w:r w:rsidR="002378E0">
          <w:rPr>
            <w:szCs w:val="22"/>
          </w:rPr>
          <w:delText xml:space="preserve"> a </w:delText>
        </w:r>
        <w:r w:rsidRPr="001B4A02">
          <w:rPr>
            <w:szCs w:val="22"/>
          </w:rPr>
          <w:delText>4.8</w:delText>
        </w:r>
      </w:del>
    </w:p>
    <w:p w14:paraId="28EB0E63" w14:textId="77777777" w:rsidR="000B55EC" w:rsidRPr="001B4A02" w:rsidRDefault="00000000" w:rsidP="00ED48A3">
      <w:pPr>
        <w:rPr>
          <w:del w:id="1328" w:author="AbbVie1" w:date="2025-05-13T09:50:00Z"/>
          <w:szCs w:val="22"/>
        </w:rPr>
      </w:pPr>
      <w:del w:id="1329" w:author="AbbVie1" w:date="2025-05-13T09:50:00Z">
        <w:r w:rsidRPr="001B4A02">
          <w:rPr>
            <w:szCs w:val="22"/>
          </w:rPr>
          <w:delText>**</w:delText>
        </w:r>
        <w:r w:rsidR="00545FBD" w:rsidRPr="001B4A02">
          <w:rPr>
            <w:szCs w:val="22"/>
          </w:rPr>
          <w:delText> </w:delText>
        </w:r>
        <w:r w:rsidRPr="001B4A02">
          <w:rPr>
            <w:szCs w:val="22"/>
          </w:rPr>
          <w:delText>včetně otevřené fáze prodloužených studií</w:delText>
        </w:r>
      </w:del>
    </w:p>
    <w:p w14:paraId="5C93C2A8" w14:textId="77777777" w:rsidR="00EA7A5F" w:rsidRPr="001B4A02" w:rsidRDefault="00000000" w:rsidP="00ED48A3">
      <w:pPr>
        <w:rPr>
          <w:del w:id="1330" w:author="AbbVie1" w:date="2025-05-13T09:50:00Z"/>
          <w:bCs/>
          <w:szCs w:val="22"/>
        </w:rPr>
      </w:pPr>
      <w:del w:id="1331" w:author="AbbVie1" w:date="2025-05-13T09:50:00Z">
        <w:r w:rsidRPr="001B4A02">
          <w:rPr>
            <w:szCs w:val="22"/>
            <w:vertAlign w:val="superscript"/>
          </w:rPr>
          <w:delText>1)</w:delText>
        </w:r>
        <w:r w:rsidR="00545FBD" w:rsidRPr="001B4A02">
          <w:rPr>
            <w:szCs w:val="22"/>
          </w:rPr>
          <w:delText> </w:delText>
        </w:r>
        <w:r w:rsidRPr="001B4A02">
          <w:rPr>
            <w:bCs/>
            <w:szCs w:val="22"/>
          </w:rPr>
          <w:delText>včetně údajů ze spontánního hlášení</w:delText>
        </w:r>
      </w:del>
    </w:p>
    <w:p w14:paraId="2B9F86F1" w14:textId="77777777" w:rsidR="00390971" w:rsidRPr="008D2E61" w:rsidRDefault="00000000" w:rsidP="00390971">
      <w:pPr>
        <w:pStyle w:val="Default"/>
        <w:rPr>
          <w:del w:id="1332" w:author="AbbVie1" w:date="2025-05-13T09:50:00Z"/>
          <w:rFonts w:eastAsia="Times New Roman"/>
          <w:sz w:val="22"/>
          <w:szCs w:val="22"/>
          <w:lang w:val="cs-CZ" w:eastAsia="cs-CZ"/>
        </w:rPr>
      </w:pPr>
      <w:del w:id="1333" w:author="AbbVie1" w:date="2025-05-13T09:50:00Z">
        <w:r w:rsidRPr="008D2E61">
          <w:rPr>
            <w:sz w:val="22"/>
            <w:szCs w:val="22"/>
            <w:vertAlign w:val="superscript"/>
            <w:lang w:val="cs-CZ"/>
          </w:rPr>
          <w:delText>2)</w:delText>
        </w:r>
        <w:r w:rsidRPr="008D2E61">
          <w:rPr>
            <w:sz w:val="22"/>
            <w:szCs w:val="22"/>
            <w:lang w:val="cs-CZ"/>
          </w:rPr>
          <w:delText> </w:delText>
        </w:r>
        <w:r w:rsidRPr="008D2E61">
          <w:rPr>
            <w:sz w:val="22"/>
            <w:szCs w:val="22"/>
            <w:lang w:val="cs-CZ" w:eastAsia="cs-CZ"/>
          </w:rPr>
          <w:delText>Průměrná změna tělesné hmotnosti od výchozí hodnoty se v</w:delText>
        </w:r>
        <w:r>
          <w:rPr>
            <w:sz w:val="22"/>
            <w:szCs w:val="22"/>
            <w:lang w:val="cs-CZ" w:eastAsia="cs-CZ"/>
          </w:rPr>
          <w:delText> </w:delText>
        </w:r>
        <w:r w:rsidRPr="008D2E61">
          <w:rPr>
            <w:sz w:val="22"/>
            <w:szCs w:val="22"/>
            <w:lang w:val="cs-CZ" w:eastAsia="cs-CZ"/>
          </w:rPr>
          <w:delText>případě adalimumabu pohybovala od 0,3 do 1,0</w:delText>
        </w:r>
        <w:r>
          <w:rPr>
            <w:sz w:val="22"/>
            <w:szCs w:val="22"/>
            <w:lang w:val="cs-CZ" w:eastAsia="cs-CZ"/>
          </w:rPr>
          <w:delText> </w:delText>
        </w:r>
        <w:r w:rsidRPr="008D2E61">
          <w:rPr>
            <w:sz w:val="22"/>
            <w:szCs w:val="22"/>
            <w:lang w:val="cs-CZ" w:eastAsia="cs-CZ"/>
          </w:rPr>
          <w:delText>kg v</w:delText>
        </w:r>
        <w:r>
          <w:rPr>
            <w:sz w:val="22"/>
            <w:szCs w:val="22"/>
            <w:lang w:val="cs-CZ" w:eastAsia="cs-CZ"/>
          </w:rPr>
          <w:delText> </w:delText>
        </w:r>
        <w:r w:rsidRPr="008D2E61">
          <w:rPr>
            <w:sz w:val="22"/>
            <w:szCs w:val="22"/>
            <w:lang w:val="cs-CZ" w:eastAsia="cs-CZ"/>
          </w:rPr>
          <w:delText>indikacích pro dospělé v</w:delText>
        </w:r>
        <w:r>
          <w:rPr>
            <w:sz w:val="22"/>
            <w:szCs w:val="22"/>
            <w:lang w:val="cs-CZ" w:eastAsia="cs-CZ"/>
          </w:rPr>
          <w:delText> </w:delText>
        </w:r>
        <w:r w:rsidRPr="008D2E61">
          <w:rPr>
            <w:sz w:val="22"/>
            <w:szCs w:val="22"/>
            <w:lang w:val="cs-CZ" w:eastAsia="cs-CZ"/>
          </w:rPr>
          <w:delText>porovnání s</w:delText>
        </w:r>
        <w:r>
          <w:rPr>
            <w:sz w:val="22"/>
            <w:szCs w:val="22"/>
            <w:lang w:val="cs-CZ" w:eastAsia="cs-CZ"/>
          </w:rPr>
          <w:delText> </w:delText>
        </w:r>
        <w:r w:rsidRPr="008D2E61">
          <w:rPr>
            <w:sz w:val="22"/>
            <w:szCs w:val="22"/>
            <w:lang w:val="cs-CZ" w:eastAsia="cs-CZ"/>
          </w:rPr>
          <w:delText>(mínus) -0,4</w:delText>
        </w:r>
        <w:r>
          <w:rPr>
            <w:sz w:val="22"/>
            <w:szCs w:val="22"/>
            <w:lang w:val="cs-CZ" w:eastAsia="cs-CZ"/>
          </w:rPr>
          <w:delText> </w:delText>
        </w:r>
        <w:r w:rsidRPr="008D2E61">
          <w:rPr>
            <w:sz w:val="22"/>
            <w:szCs w:val="22"/>
            <w:lang w:val="cs-CZ" w:eastAsia="cs-CZ"/>
          </w:rPr>
          <w:delText>kg až 0,4</w:delText>
        </w:r>
        <w:r>
          <w:rPr>
            <w:sz w:val="22"/>
            <w:szCs w:val="22"/>
            <w:lang w:val="cs-CZ" w:eastAsia="cs-CZ"/>
          </w:rPr>
          <w:delText> </w:delText>
        </w:r>
        <w:r w:rsidRPr="008D2E61">
          <w:rPr>
            <w:sz w:val="22"/>
            <w:szCs w:val="22"/>
            <w:lang w:val="cs-CZ" w:eastAsia="cs-CZ"/>
          </w:rPr>
          <w:delText>kg v</w:delText>
        </w:r>
        <w:r>
          <w:rPr>
            <w:sz w:val="22"/>
            <w:szCs w:val="22"/>
            <w:lang w:val="cs-CZ" w:eastAsia="cs-CZ"/>
          </w:rPr>
          <w:delText> </w:delText>
        </w:r>
        <w:r w:rsidRPr="008D2E61">
          <w:rPr>
            <w:sz w:val="22"/>
            <w:szCs w:val="22"/>
            <w:lang w:val="cs-CZ" w:eastAsia="cs-CZ"/>
          </w:rPr>
          <w:delText>případě placeba během léčby po dobu 4–6 měsíců. Zvýšení tělesné hmotnosti o</w:delText>
        </w:r>
        <w:r>
          <w:rPr>
            <w:sz w:val="22"/>
            <w:szCs w:val="22"/>
            <w:lang w:val="cs-CZ" w:eastAsia="cs-CZ"/>
          </w:rPr>
          <w:delText> </w:delText>
        </w:r>
        <w:r w:rsidRPr="008D2E61">
          <w:rPr>
            <w:sz w:val="22"/>
            <w:szCs w:val="22"/>
            <w:lang w:val="cs-CZ" w:eastAsia="cs-CZ"/>
          </w:rPr>
          <w:delText>5–6</w:delText>
        </w:r>
        <w:r>
          <w:rPr>
            <w:sz w:val="22"/>
            <w:szCs w:val="22"/>
            <w:lang w:val="cs-CZ" w:eastAsia="cs-CZ"/>
          </w:rPr>
          <w:delText> </w:delText>
        </w:r>
        <w:r w:rsidRPr="008D2E61">
          <w:rPr>
            <w:sz w:val="22"/>
            <w:szCs w:val="22"/>
            <w:lang w:val="cs-CZ" w:eastAsia="cs-CZ"/>
          </w:rPr>
          <w:delText>kg bylo pozorováno rovněž v</w:delText>
        </w:r>
        <w:r>
          <w:rPr>
            <w:sz w:val="22"/>
            <w:szCs w:val="22"/>
            <w:lang w:val="cs-CZ" w:eastAsia="cs-CZ"/>
          </w:rPr>
          <w:delText> </w:delText>
        </w:r>
        <w:r w:rsidRPr="008D2E61">
          <w:rPr>
            <w:sz w:val="22"/>
            <w:szCs w:val="22"/>
            <w:lang w:val="cs-CZ" w:eastAsia="cs-CZ"/>
          </w:rPr>
          <w:delText>dlouhodobých prodloužených studiích, které nezahrnovaly kontrolní skupinu, s</w:delText>
        </w:r>
        <w:r>
          <w:rPr>
            <w:sz w:val="22"/>
            <w:szCs w:val="22"/>
            <w:lang w:val="cs-CZ" w:eastAsia="cs-CZ"/>
          </w:rPr>
          <w:delText> </w:delText>
        </w:r>
        <w:r w:rsidRPr="008D2E61">
          <w:rPr>
            <w:sz w:val="22"/>
            <w:szCs w:val="22"/>
            <w:lang w:val="cs-CZ" w:eastAsia="cs-CZ"/>
          </w:rPr>
          <w:delText>průměrnou expozicí přípravku přibližně 1–2 roky, zejména u</w:delText>
        </w:r>
        <w:r>
          <w:rPr>
            <w:sz w:val="22"/>
            <w:szCs w:val="22"/>
            <w:lang w:val="cs-CZ" w:eastAsia="cs-CZ"/>
          </w:rPr>
          <w:delText> </w:delText>
        </w:r>
        <w:r w:rsidRPr="008D2E61">
          <w:rPr>
            <w:sz w:val="22"/>
            <w:szCs w:val="22"/>
            <w:lang w:val="cs-CZ" w:eastAsia="cs-CZ"/>
          </w:rPr>
          <w:delText>pacientů s</w:delText>
        </w:r>
        <w:r>
          <w:rPr>
            <w:sz w:val="22"/>
            <w:szCs w:val="22"/>
            <w:lang w:val="cs-CZ" w:eastAsia="cs-CZ"/>
          </w:rPr>
          <w:delText> </w:delText>
        </w:r>
        <w:r w:rsidRPr="008D2E61">
          <w:rPr>
            <w:sz w:val="22"/>
            <w:szCs w:val="22"/>
            <w:lang w:val="cs-CZ" w:eastAsia="cs-CZ"/>
          </w:rPr>
          <w:delText>Crohnovou chorobou a</w:delText>
        </w:r>
        <w:r>
          <w:rPr>
            <w:sz w:val="22"/>
            <w:szCs w:val="22"/>
            <w:lang w:val="cs-CZ" w:eastAsia="cs-CZ"/>
          </w:rPr>
          <w:delText> </w:delText>
        </w:r>
        <w:r w:rsidRPr="008D2E61">
          <w:rPr>
            <w:sz w:val="22"/>
            <w:szCs w:val="22"/>
            <w:lang w:val="cs-CZ" w:eastAsia="cs-CZ"/>
          </w:rPr>
          <w:delText>ulcerózní kolitidou. Mechanismus tohoto účinku není jasný, mohl by však souviset s</w:delText>
        </w:r>
        <w:r>
          <w:rPr>
            <w:sz w:val="22"/>
            <w:szCs w:val="22"/>
            <w:lang w:val="cs-CZ" w:eastAsia="cs-CZ"/>
          </w:rPr>
          <w:delText> </w:delText>
        </w:r>
        <w:r w:rsidRPr="008D2E61">
          <w:rPr>
            <w:sz w:val="22"/>
            <w:szCs w:val="22"/>
            <w:lang w:val="cs-CZ" w:eastAsia="cs-CZ"/>
          </w:rPr>
          <w:delText>protizánětlivým účinkem adalimumabu.</w:delText>
        </w:r>
      </w:del>
    </w:p>
    <w:p w14:paraId="22089236" w14:textId="77777777" w:rsidR="00A5191B" w:rsidRPr="001B4A02" w:rsidRDefault="00A5191B" w:rsidP="00ED48A3">
      <w:pPr>
        <w:rPr>
          <w:del w:id="1334" w:author="AbbVie1" w:date="2025-05-13T09:50:00Z"/>
          <w:bCs/>
          <w:szCs w:val="22"/>
        </w:rPr>
      </w:pPr>
    </w:p>
    <w:p w14:paraId="3DDDE01C" w14:textId="77777777" w:rsidR="00A5191B" w:rsidRPr="001B4A02" w:rsidRDefault="00000000" w:rsidP="00D84336">
      <w:pPr>
        <w:keepNext/>
        <w:ind w:left="0" w:firstLine="0"/>
        <w:rPr>
          <w:del w:id="1335" w:author="AbbVie1" w:date="2025-05-13T09:50:00Z"/>
          <w:u w:val="single"/>
        </w:rPr>
      </w:pPr>
      <w:del w:id="1336" w:author="AbbVie1" w:date="2025-05-13T09:50:00Z">
        <w:r w:rsidRPr="001B4A02">
          <w:rPr>
            <w:u w:val="single"/>
          </w:rPr>
          <w:delText>Hidradenitis suppurativa</w:delText>
        </w:r>
      </w:del>
    </w:p>
    <w:p w14:paraId="03EB5862" w14:textId="77777777" w:rsidR="00A5191B" w:rsidRPr="001B4A02" w:rsidRDefault="00A5191B" w:rsidP="00D84336">
      <w:pPr>
        <w:keepNext/>
        <w:ind w:left="0" w:firstLine="0"/>
        <w:rPr>
          <w:del w:id="1337" w:author="AbbVie1" w:date="2025-05-13T09:50:00Z"/>
        </w:rPr>
      </w:pPr>
    </w:p>
    <w:p w14:paraId="76AA62A4" w14:textId="77777777" w:rsidR="00A5191B" w:rsidRPr="001B4A02" w:rsidRDefault="00000000" w:rsidP="00A5191B">
      <w:pPr>
        <w:ind w:left="0" w:firstLine="0"/>
        <w:rPr>
          <w:del w:id="1338" w:author="AbbVie1" w:date="2025-05-13T09:50:00Z"/>
        </w:rPr>
      </w:pPr>
      <w:del w:id="1339" w:author="AbbVie1" w:date="2025-05-13T09:50:00Z">
        <w:r w:rsidRPr="001B4A02">
          <w:delText>Bezpečnostní profil u</w:delText>
        </w:r>
        <w:r w:rsidR="00A9166E" w:rsidRPr="001B4A02">
          <w:delText> </w:delText>
        </w:r>
        <w:r w:rsidRPr="001B4A02">
          <w:delText>pacientů s</w:delText>
        </w:r>
        <w:r w:rsidR="00A9166E" w:rsidRPr="001B4A02">
          <w:delText> </w:delText>
        </w:r>
        <w:r w:rsidRPr="001B4A02">
          <w:delText>hidradenitis suppurativa léčených přípravkem Humira jednou týdně byl v</w:delText>
        </w:r>
        <w:r w:rsidR="00A9166E" w:rsidRPr="001B4A02">
          <w:delText> </w:delText>
        </w:r>
        <w:r w:rsidRPr="001B4A02">
          <w:delText>souladu se známým bezpečnostním profilem přípravku Humira.</w:delText>
        </w:r>
      </w:del>
    </w:p>
    <w:p w14:paraId="019732E1" w14:textId="77777777" w:rsidR="00A5191B" w:rsidRPr="001B4A02" w:rsidRDefault="00A5191B" w:rsidP="00A5191B">
      <w:pPr>
        <w:ind w:left="0" w:firstLine="0"/>
        <w:rPr>
          <w:del w:id="1340" w:author="AbbVie1" w:date="2025-05-13T09:50:00Z"/>
        </w:rPr>
      </w:pPr>
    </w:p>
    <w:p w14:paraId="20879A9C" w14:textId="77777777" w:rsidR="00A5191B" w:rsidRPr="001B4A02" w:rsidRDefault="00000000" w:rsidP="00D84336">
      <w:pPr>
        <w:keepNext/>
        <w:rPr>
          <w:del w:id="1341" w:author="AbbVie1" w:date="2025-05-13T09:50:00Z"/>
          <w:szCs w:val="22"/>
          <w:u w:val="single"/>
        </w:rPr>
      </w:pPr>
      <w:del w:id="1342" w:author="AbbVie1" w:date="2025-05-13T09:50:00Z">
        <w:r w:rsidRPr="001B4A02">
          <w:rPr>
            <w:szCs w:val="22"/>
            <w:u w:val="single"/>
          </w:rPr>
          <w:delText>Uveitida</w:delText>
        </w:r>
      </w:del>
    </w:p>
    <w:p w14:paraId="0D432758" w14:textId="77777777" w:rsidR="00A5191B" w:rsidRPr="001B4A02" w:rsidRDefault="00A5191B" w:rsidP="00D84336">
      <w:pPr>
        <w:keepNext/>
        <w:rPr>
          <w:del w:id="1343" w:author="AbbVie1" w:date="2025-05-13T09:50:00Z"/>
          <w:szCs w:val="22"/>
          <w:u w:val="single"/>
        </w:rPr>
      </w:pPr>
    </w:p>
    <w:p w14:paraId="644923AF" w14:textId="77777777" w:rsidR="00A5191B" w:rsidRPr="001B4A02" w:rsidRDefault="00000000" w:rsidP="00A5191B">
      <w:pPr>
        <w:ind w:left="0" w:firstLine="0"/>
        <w:rPr>
          <w:del w:id="1344" w:author="AbbVie1" w:date="2025-05-13T09:50:00Z"/>
          <w:bCs/>
          <w:szCs w:val="22"/>
        </w:rPr>
      </w:pPr>
      <w:del w:id="1345" w:author="AbbVie1" w:date="2025-05-13T09:50:00Z">
        <w:r w:rsidRPr="001B4A02">
          <w:delText>Bezpečnostní profil u</w:delText>
        </w:r>
        <w:r w:rsidR="00A9166E" w:rsidRPr="001B4A02">
          <w:delText> </w:delText>
        </w:r>
        <w:r w:rsidRPr="001B4A02">
          <w:delText>pacientů s</w:delText>
        </w:r>
        <w:r w:rsidR="00A9166E" w:rsidRPr="001B4A02">
          <w:delText> </w:delText>
        </w:r>
        <w:r w:rsidRPr="001B4A02">
          <w:delText>uveitidou léčených přípravkem Humira jednou za dva týdny byl v souladu se známým bezpečnostním profilem přípravku Humira.</w:delText>
        </w:r>
      </w:del>
    </w:p>
    <w:p w14:paraId="64EAE86C" w14:textId="77777777" w:rsidR="00073F8F" w:rsidRPr="001B4A02" w:rsidRDefault="00073F8F" w:rsidP="00ED48A3">
      <w:pPr>
        <w:ind w:left="0" w:firstLine="0"/>
        <w:rPr>
          <w:del w:id="1346" w:author="AbbVie1" w:date="2025-05-13T09:50:00Z"/>
        </w:rPr>
      </w:pPr>
    </w:p>
    <w:p w14:paraId="22E35259" w14:textId="77777777" w:rsidR="007128A7" w:rsidRPr="001B4A02" w:rsidRDefault="00000000" w:rsidP="00D84336">
      <w:pPr>
        <w:keepNext/>
        <w:ind w:left="0" w:firstLine="0"/>
        <w:rPr>
          <w:del w:id="1347" w:author="AbbVie1" w:date="2025-05-13T09:50:00Z"/>
          <w:u w:val="single"/>
        </w:rPr>
      </w:pPr>
      <w:del w:id="1348" w:author="AbbVie1" w:date="2025-05-13T09:50:00Z">
        <w:r w:rsidRPr="001B4A02">
          <w:rPr>
            <w:u w:val="single"/>
          </w:rPr>
          <w:delText>Popis vybraných nežádoucích účinků</w:delText>
        </w:r>
      </w:del>
    </w:p>
    <w:p w14:paraId="05DAF561" w14:textId="77777777" w:rsidR="007128A7" w:rsidRPr="001B4A02" w:rsidRDefault="007128A7" w:rsidP="00D84336">
      <w:pPr>
        <w:keepNext/>
        <w:ind w:left="0" w:firstLine="0"/>
        <w:rPr>
          <w:del w:id="1349" w:author="AbbVie1" w:date="2025-05-13T09:50:00Z"/>
        </w:rPr>
      </w:pPr>
    </w:p>
    <w:p w14:paraId="3C0443EF" w14:textId="77777777" w:rsidR="00073F8F" w:rsidRPr="001B4A02" w:rsidRDefault="00000000" w:rsidP="00D84336">
      <w:pPr>
        <w:keepNext/>
        <w:ind w:left="0" w:firstLine="0"/>
        <w:rPr>
          <w:del w:id="1350" w:author="AbbVie1" w:date="2025-05-13T09:50:00Z"/>
          <w:i/>
        </w:rPr>
      </w:pPr>
      <w:del w:id="1351" w:author="AbbVie1" w:date="2025-05-13T09:50:00Z">
        <w:r w:rsidRPr="001B4A02">
          <w:rPr>
            <w:i/>
          </w:rPr>
          <w:delText>Reakce v místě injekčního vpichu</w:delText>
        </w:r>
      </w:del>
    </w:p>
    <w:p w14:paraId="0AAEFC6C" w14:textId="77777777" w:rsidR="00073F8F" w:rsidRPr="001B4A02" w:rsidRDefault="00073F8F" w:rsidP="00D84336">
      <w:pPr>
        <w:keepNext/>
        <w:ind w:left="0" w:firstLine="0"/>
        <w:rPr>
          <w:del w:id="1352" w:author="AbbVie1" w:date="2025-05-13T09:50:00Z"/>
        </w:rPr>
      </w:pPr>
    </w:p>
    <w:p w14:paraId="7616717B" w14:textId="77777777" w:rsidR="00073F8F" w:rsidRPr="001B4A02" w:rsidRDefault="00000000" w:rsidP="00ED48A3">
      <w:pPr>
        <w:ind w:left="0" w:firstLine="0"/>
        <w:rPr>
          <w:del w:id="1353" w:author="AbbVie1" w:date="2025-05-13T09:50:00Z"/>
        </w:rPr>
      </w:pPr>
      <w:del w:id="1354" w:author="AbbVie1" w:date="2025-05-13T09:50:00Z">
        <w:r w:rsidRPr="001B4A02">
          <w:delText>V</w:delText>
        </w:r>
        <w:r w:rsidR="00B35332" w:rsidRPr="001B4A02">
          <w:delText> </w:delText>
        </w:r>
        <w:r w:rsidRPr="001B4A02">
          <w:delText>klíčových kontrolovaných studiích se u </w:delText>
        </w:r>
        <w:r w:rsidR="008A261E" w:rsidRPr="001B4A02">
          <w:delText>12,9</w:delText>
        </w:r>
        <w:r w:rsidR="006008CB">
          <w:delText> %</w:delText>
        </w:r>
        <w:r w:rsidRPr="001B4A02">
          <w:delText xml:space="preserve"> </w:delText>
        </w:r>
        <w:r w:rsidR="00473FBD" w:rsidRPr="001B4A02">
          <w:delText>dětských</w:delText>
        </w:r>
        <w:r w:rsidR="002378E0">
          <w:delText xml:space="preserve"> a </w:delText>
        </w:r>
        <w:r w:rsidR="000270E1" w:rsidRPr="001B4A02">
          <w:delText xml:space="preserve">dospělých </w:delText>
        </w:r>
        <w:r w:rsidRPr="001B4A02">
          <w:delText>pacientů léčených přípravkem Humira vyvinuly reakce v místě vpichu (erytém a/nebo svědění, krvácení, bolest nebo otok) v porovnání s</w:delText>
        </w:r>
        <w:r w:rsidR="00DD6A2B" w:rsidRPr="001B4A02">
          <w:delText>e</w:delText>
        </w:r>
        <w:r w:rsidR="00D61849" w:rsidRPr="001B4A02">
          <w:delText> 7,2</w:delText>
        </w:r>
        <w:r w:rsidR="006008CB">
          <w:delText> %</w:delText>
        </w:r>
        <w:r w:rsidRPr="001B4A02">
          <w:delText xml:space="preserve"> pacientů léčených placebem nebo aktivní kontrolou. Reakce v místě injekčního vpichu nevyžadovaly přerušení podávání léčivého přípravku.</w:delText>
        </w:r>
      </w:del>
    </w:p>
    <w:p w14:paraId="560C6901" w14:textId="77777777" w:rsidR="00073F8F" w:rsidRPr="001B4A02" w:rsidRDefault="00073F8F" w:rsidP="00ED48A3">
      <w:pPr>
        <w:pStyle w:val="BodyText"/>
        <w:ind w:left="0" w:firstLine="0"/>
        <w:rPr>
          <w:del w:id="1355" w:author="AbbVie1" w:date="2025-05-13T09:50:00Z"/>
          <w:b w:val="0"/>
          <w:i w:val="0"/>
          <w:lang w:val="cs-CZ"/>
        </w:rPr>
      </w:pPr>
    </w:p>
    <w:p w14:paraId="352525CD" w14:textId="77777777" w:rsidR="00073F8F" w:rsidRPr="001B4A02" w:rsidRDefault="00000000" w:rsidP="00D84336">
      <w:pPr>
        <w:keepNext/>
        <w:rPr>
          <w:del w:id="1356" w:author="AbbVie1" w:date="2025-05-13T09:50:00Z"/>
          <w:i/>
        </w:rPr>
      </w:pPr>
      <w:del w:id="1357" w:author="AbbVie1" w:date="2025-05-13T09:50:00Z">
        <w:r w:rsidRPr="001B4A02">
          <w:rPr>
            <w:i/>
          </w:rPr>
          <w:delText>Infekce</w:delText>
        </w:r>
      </w:del>
    </w:p>
    <w:p w14:paraId="6D280C87" w14:textId="77777777" w:rsidR="00073F8F" w:rsidRPr="001B4A02" w:rsidRDefault="00073F8F" w:rsidP="00D84336">
      <w:pPr>
        <w:keepNext/>
        <w:ind w:left="0" w:firstLine="0"/>
        <w:rPr>
          <w:del w:id="1358" w:author="AbbVie1" w:date="2025-05-13T09:50:00Z"/>
        </w:rPr>
      </w:pPr>
    </w:p>
    <w:p w14:paraId="347575D4" w14:textId="77777777" w:rsidR="00073F8F" w:rsidRPr="001B4A02" w:rsidRDefault="00000000" w:rsidP="00ED48A3">
      <w:pPr>
        <w:ind w:left="0" w:firstLine="0"/>
        <w:rPr>
          <w:del w:id="1359" w:author="AbbVie1" w:date="2025-05-13T09:50:00Z"/>
        </w:rPr>
      </w:pPr>
      <w:del w:id="1360" w:author="AbbVie1" w:date="2025-05-13T09:50:00Z">
        <w:r w:rsidRPr="001B4A02">
          <w:delText>V</w:delText>
        </w:r>
        <w:r w:rsidR="00B35332" w:rsidRPr="001B4A02">
          <w:delText> </w:delText>
        </w:r>
        <w:r w:rsidRPr="001B4A02">
          <w:delText>klíčových kontrolovaných studiích se u </w:delText>
        </w:r>
        <w:r w:rsidR="00473FBD" w:rsidRPr="001B4A02">
          <w:delText>dětských</w:delText>
        </w:r>
        <w:r w:rsidR="002378E0">
          <w:delText xml:space="preserve"> a </w:delText>
        </w:r>
        <w:r w:rsidR="00473FBD" w:rsidRPr="001B4A02">
          <w:delText xml:space="preserve">dospělých </w:delText>
        </w:r>
        <w:r w:rsidRPr="001B4A02">
          <w:delText>pacientů léčených přípravkem Humira vyskytla infekce ve frekvenci 1,</w:delText>
        </w:r>
        <w:r w:rsidR="006A13EA" w:rsidRPr="001B4A02">
          <w:delText>51</w:delText>
        </w:r>
        <w:r w:rsidR="002378E0">
          <w:delText xml:space="preserve"> a </w:delText>
        </w:r>
        <w:r w:rsidRPr="001B4A02">
          <w:delText>u pacientů léčených placebem nebo aktivní kontrolou ve frekvenci 1,</w:delText>
        </w:r>
        <w:r w:rsidR="008A261E" w:rsidRPr="001B4A02">
          <w:delText>46 </w:delText>
        </w:r>
        <w:r w:rsidRPr="001B4A02">
          <w:delText xml:space="preserve">případů na pacienta léčeného po dobu jednoho roku (případ/pacient/rok). </w:delText>
        </w:r>
        <w:r w:rsidRPr="001B4A02">
          <w:rPr>
            <w:szCs w:val="22"/>
          </w:rPr>
          <w:delText>Jednalo se především o nazofaryngitidu, infekci horních cest dýchacích</w:delText>
        </w:r>
        <w:r w:rsidR="002378E0">
          <w:rPr>
            <w:szCs w:val="22"/>
          </w:rPr>
          <w:delText xml:space="preserve"> a </w:delText>
        </w:r>
        <w:r w:rsidR="008A261E" w:rsidRPr="001B4A02">
          <w:rPr>
            <w:szCs w:val="22"/>
          </w:rPr>
          <w:delText>sinusitidu</w:delText>
        </w:r>
        <w:r w:rsidRPr="001B4A02">
          <w:rPr>
            <w:szCs w:val="22"/>
          </w:rPr>
          <w:delText>. Většina pacientů pokračovala po vyléčení infekce v léčbě přípravkem Humira.</w:delText>
        </w:r>
      </w:del>
    </w:p>
    <w:p w14:paraId="19361751" w14:textId="77777777" w:rsidR="00073F8F" w:rsidRPr="001B4A02" w:rsidRDefault="00073F8F" w:rsidP="00ED48A3">
      <w:pPr>
        <w:ind w:left="0" w:firstLine="0"/>
        <w:rPr>
          <w:del w:id="1361" w:author="AbbVie1" w:date="2025-05-13T09:50:00Z"/>
        </w:rPr>
      </w:pPr>
    </w:p>
    <w:p w14:paraId="4B2934F9" w14:textId="77777777" w:rsidR="00073F8F" w:rsidRPr="001B4A02" w:rsidRDefault="00000000" w:rsidP="00ED48A3">
      <w:pPr>
        <w:ind w:left="0" w:firstLine="0"/>
        <w:rPr>
          <w:del w:id="1362" w:author="AbbVie1" w:date="2025-05-13T09:50:00Z"/>
          <w:szCs w:val="22"/>
        </w:rPr>
      </w:pPr>
      <w:del w:id="1363" w:author="AbbVie1" w:date="2025-05-13T09:50:00Z">
        <w:r w:rsidRPr="001B4A02">
          <w:delText>Výskyt závažných infekcí u pacientů léčených přípravkem Humira činil 0,0</w:delText>
        </w:r>
        <w:r w:rsidR="00473FBD" w:rsidRPr="001B4A02">
          <w:delText>4</w:delText>
        </w:r>
        <w:r w:rsidRPr="001B4A02">
          <w:delText> případů/pacient/rok</w:delText>
        </w:r>
        <w:r w:rsidR="002378E0">
          <w:delText xml:space="preserve"> a </w:delText>
        </w:r>
        <w:r w:rsidRPr="001B4A02">
          <w:delText>u pacientů léčených placebem nebo aktivní kontrolou 0,03 případů/pacient/rok.</w:delText>
        </w:r>
      </w:del>
    </w:p>
    <w:p w14:paraId="06E2174B" w14:textId="77777777" w:rsidR="00073F8F" w:rsidRPr="001B4A02" w:rsidRDefault="00073F8F" w:rsidP="00ED48A3">
      <w:pPr>
        <w:ind w:left="0" w:firstLine="0"/>
        <w:rPr>
          <w:del w:id="1364" w:author="AbbVie1" w:date="2025-05-13T09:50:00Z"/>
          <w:szCs w:val="22"/>
        </w:rPr>
      </w:pPr>
    </w:p>
    <w:p w14:paraId="2AA43BC4" w14:textId="77777777" w:rsidR="00073F8F" w:rsidRPr="001B4A02" w:rsidRDefault="00000000" w:rsidP="00ED48A3">
      <w:pPr>
        <w:ind w:left="0" w:firstLine="0"/>
        <w:rPr>
          <w:del w:id="1365" w:author="AbbVie1" w:date="2025-05-13T09:50:00Z"/>
        </w:rPr>
      </w:pPr>
      <w:del w:id="1366" w:author="AbbVie1" w:date="2025-05-13T09:50:00Z">
        <w:r w:rsidRPr="001B4A02">
          <w:rPr>
            <w:szCs w:val="22"/>
          </w:rPr>
          <w:delText>V kontrolovaných</w:delText>
        </w:r>
        <w:r w:rsidR="002378E0">
          <w:rPr>
            <w:szCs w:val="22"/>
          </w:rPr>
          <w:delText xml:space="preserve"> a </w:delText>
        </w:r>
        <w:r w:rsidRPr="001B4A02">
          <w:rPr>
            <w:szCs w:val="22"/>
          </w:rPr>
          <w:delText xml:space="preserve">otevřených studiích </w:delText>
        </w:r>
        <w:r w:rsidR="00B12121" w:rsidRPr="001B4A02">
          <w:rPr>
            <w:szCs w:val="22"/>
          </w:rPr>
          <w:delText>u </w:delText>
        </w:r>
        <w:r w:rsidR="00473FBD" w:rsidRPr="001B4A02">
          <w:rPr>
            <w:szCs w:val="22"/>
          </w:rPr>
          <w:delText>dospělý</w:delText>
        </w:r>
        <w:r w:rsidR="00DB19A2" w:rsidRPr="001B4A02">
          <w:rPr>
            <w:szCs w:val="22"/>
          </w:rPr>
          <w:delText>ch</w:delText>
        </w:r>
        <w:r w:rsidR="00473FBD" w:rsidRPr="001B4A02">
          <w:rPr>
            <w:szCs w:val="22"/>
          </w:rPr>
          <w:delText xml:space="preserve"> i pediatrický</w:delText>
        </w:r>
        <w:r w:rsidR="00DB19A2" w:rsidRPr="001B4A02">
          <w:rPr>
            <w:szCs w:val="22"/>
          </w:rPr>
          <w:delText>ch</w:delText>
        </w:r>
        <w:r w:rsidR="00473FBD" w:rsidRPr="001B4A02">
          <w:rPr>
            <w:szCs w:val="22"/>
          </w:rPr>
          <w:delText xml:space="preserve"> pacient</w:delText>
        </w:r>
        <w:r w:rsidR="00DB19A2" w:rsidRPr="001B4A02">
          <w:rPr>
            <w:szCs w:val="22"/>
          </w:rPr>
          <w:delText>ů</w:delText>
        </w:r>
        <w:r w:rsidR="00473FBD" w:rsidRPr="001B4A02">
          <w:rPr>
            <w:szCs w:val="22"/>
          </w:rPr>
          <w:delText xml:space="preserve"> </w:delText>
        </w:r>
        <w:r w:rsidRPr="001B4A02">
          <w:rPr>
            <w:szCs w:val="22"/>
          </w:rPr>
          <w:delText>s přípravkem Humira byly hlášeny závažné infekce (včetně fatálních infekcí, které se vyskytovaly vzácně), jako jsou tuberkulóza (včetně miliární</w:delText>
        </w:r>
        <w:r w:rsidR="002378E0">
          <w:rPr>
            <w:szCs w:val="22"/>
          </w:rPr>
          <w:delText xml:space="preserve"> a </w:delText>
        </w:r>
        <w:r w:rsidRPr="001B4A02">
          <w:rPr>
            <w:szCs w:val="22"/>
          </w:rPr>
          <w:delText>mimoplicní tuberkulózy)</w:delText>
        </w:r>
        <w:r w:rsidR="002378E0">
          <w:rPr>
            <w:szCs w:val="22"/>
          </w:rPr>
          <w:delText xml:space="preserve"> a </w:delText>
        </w:r>
        <w:r w:rsidRPr="001B4A02">
          <w:rPr>
            <w:szCs w:val="22"/>
          </w:rPr>
          <w:delText>invazivní oportunní infekce (např. diseminovaná nebo mimoplicní histoplasmóza, blastocystóza, kokcidiomykóza, pneumocystóza, kandidóza, aspergilóza</w:delText>
        </w:r>
        <w:r w:rsidR="002378E0">
          <w:rPr>
            <w:szCs w:val="22"/>
          </w:rPr>
          <w:delText xml:space="preserve"> a </w:delText>
        </w:r>
        <w:r w:rsidRPr="001B4A02">
          <w:rPr>
            <w:szCs w:val="22"/>
          </w:rPr>
          <w:delText>listerióza). Většina případů tuberkulózy se vyskytla v prvních osmi měsících po zahájení léčby</w:delText>
        </w:r>
        <w:r w:rsidR="002378E0">
          <w:rPr>
            <w:szCs w:val="22"/>
          </w:rPr>
          <w:delText xml:space="preserve"> a </w:delText>
        </w:r>
        <w:r w:rsidRPr="001B4A02">
          <w:rPr>
            <w:szCs w:val="22"/>
          </w:rPr>
          <w:delText>mohlo se jednat o opětovné vzplanutí latentního onemocnění.</w:delText>
        </w:r>
      </w:del>
    </w:p>
    <w:p w14:paraId="7995856C" w14:textId="77777777" w:rsidR="00073F8F" w:rsidRPr="001B4A02" w:rsidRDefault="00073F8F" w:rsidP="00ED48A3">
      <w:pPr>
        <w:ind w:left="0" w:firstLine="0"/>
        <w:rPr>
          <w:del w:id="1367" w:author="AbbVie1" w:date="2025-05-13T09:50:00Z"/>
        </w:rPr>
      </w:pPr>
    </w:p>
    <w:p w14:paraId="782C7B6A" w14:textId="77777777" w:rsidR="00073F8F" w:rsidRPr="001B4A02" w:rsidRDefault="00000000" w:rsidP="00AC4985">
      <w:pPr>
        <w:pStyle w:val="EMEAHeadingUnderline"/>
        <w:keepNext/>
        <w:tabs>
          <w:tab w:val="clear" w:pos="562"/>
        </w:tabs>
        <w:suppressAutoHyphens w:val="0"/>
        <w:spacing w:beforeLines="0" w:before="0" w:afterLines="0" w:after="0"/>
        <w:rPr>
          <w:del w:id="1368" w:author="AbbVie1" w:date="2025-05-13T09:50:00Z"/>
          <w:i/>
          <w:szCs w:val="24"/>
          <w:u w:val="none"/>
          <w:lang w:val="cs-CZ"/>
        </w:rPr>
      </w:pPr>
      <w:del w:id="1369" w:author="AbbVie1" w:date="2025-05-13T09:50:00Z">
        <w:r w:rsidRPr="001B4A02">
          <w:rPr>
            <w:i/>
            <w:szCs w:val="24"/>
            <w:u w:val="none"/>
            <w:lang w:val="cs-CZ"/>
          </w:rPr>
          <w:delText>Maligní onemocnění</w:delText>
        </w:r>
        <w:r w:rsidR="002378E0">
          <w:rPr>
            <w:i/>
            <w:szCs w:val="24"/>
            <w:u w:val="none"/>
            <w:lang w:val="cs-CZ"/>
          </w:rPr>
          <w:delText xml:space="preserve"> a </w:delText>
        </w:r>
        <w:r w:rsidRPr="001B4A02">
          <w:rPr>
            <w:i/>
            <w:szCs w:val="24"/>
            <w:u w:val="none"/>
            <w:lang w:val="cs-CZ"/>
          </w:rPr>
          <w:delText>lymfoproliferativní po</w:delText>
        </w:r>
        <w:r w:rsidR="00BD4EAC" w:rsidRPr="001B4A02">
          <w:rPr>
            <w:i/>
            <w:szCs w:val="24"/>
            <w:u w:val="none"/>
            <w:lang w:val="cs-CZ"/>
          </w:rPr>
          <w:delText>ruchy</w:delText>
        </w:r>
      </w:del>
    </w:p>
    <w:p w14:paraId="5D878306" w14:textId="77777777" w:rsidR="00073F8F" w:rsidRPr="001B4A02" w:rsidRDefault="00073F8F" w:rsidP="00AC4985">
      <w:pPr>
        <w:keepNext/>
        <w:rPr>
          <w:del w:id="1370" w:author="AbbVie1" w:date="2025-05-13T09:50:00Z"/>
        </w:rPr>
      </w:pPr>
    </w:p>
    <w:p w14:paraId="32BA5E37" w14:textId="77777777" w:rsidR="000C7B3D" w:rsidRPr="001B4A02" w:rsidRDefault="00000000" w:rsidP="00ED48A3">
      <w:pPr>
        <w:pStyle w:val="EMEANormal"/>
        <w:tabs>
          <w:tab w:val="clear" w:pos="562"/>
        </w:tabs>
        <w:suppressAutoHyphens w:val="0"/>
        <w:rPr>
          <w:del w:id="1371" w:author="AbbVie1" w:date="2025-05-13T09:50:00Z"/>
          <w:lang w:val="cs-CZ"/>
        </w:rPr>
      </w:pPr>
      <w:del w:id="1372" w:author="AbbVie1" w:date="2025-05-13T09:50:00Z">
        <w:r w:rsidRPr="001B4A02">
          <w:rPr>
            <w:lang w:val="cs-CZ"/>
          </w:rPr>
          <w:delText>Ve studi</w:delText>
        </w:r>
        <w:r w:rsidR="00A624BD" w:rsidRPr="001B4A02">
          <w:rPr>
            <w:lang w:val="cs-CZ"/>
          </w:rPr>
          <w:delText>ích</w:delText>
        </w:r>
        <w:r w:rsidRPr="001B4A02">
          <w:rPr>
            <w:lang w:val="cs-CZ"/>
          </w:rPr>
          <w:delText xml:space="preserve"> s přípravkem Humira nebyly u</w:delText>
        </w:r>
        <w:r w:rsidR="00660711" w:rsidRPr="001B4A02">
          <w:rPr>
            <w:lang w:val="cs-CZ"/>
          </w:rPr>
          <w:delText xml:space="preserve"> 249 pediatrických </w:delText>
        </w:r>
        <w:r w:rsidRPr="001B4A02">
          <w:rPr>
            <w:lang w:val="cs-CZ"/>
          </w:rPr>
          <w:delText>pacientů s juvenilní idiopatickou artritidou</w:delText>
        </w:r>
        <w:r w:rsidR="00A21B90" w:rsidRPr="001B4A02">
          <w:rPr>
            <w:lang w:val="cs-CZ"/>
          </w:rPr>
          <w:delText xml:space="preserve"> (polyartikulární juvenilní idiopatickou artritidou</w:delText>
        </w:r>
        <w:r w:rsidR="002378E0">
          <w:rPr>
            <w:lang w:val="cs-CZ"/>
          </w:rPr>
          <w:delText xml:space="preserve"> a </w:delText>
        </w:r>
        <w:r w:rsidR="00A21B90" w:rsidRPr="001B4A02">
          <w:rPr>
            <w:lang w:val="cs-CZ"/>
          </w:rPr>
          <w:delText>ente</w:delText>
        </w:r>
        <w:r w:rsidR="00A858EA" w:rsidRPr="001B4A02">
          <w:rPr>
            <w:lang w:val="cs-CZ"/>
          </w:rPr>
          <w:delText>zopatickou</w:delText>
        </w:r>
        <w:r w:rsidR="00A21B90" w:rsidRPr="001B4A02">
          <w:rPr>
            <w:lang w:val="cs-CZ"/>
          </w:rPr>
          <w:delText> artritidou)</w:delText>
        </w:r>
        <w:r w:rsidRPr="001B4A02">
          <w:rPr>
            <w:lang w:val="cs-CZ"/>
          </w:rPr>
          <w:delText xml:space="preserve"> pozorovány žádné malignity při expozici odpovídající </w:delText>
        </w:r>
        <w:r w:rsidR="00A21B90" w:rsidRPr="001B4A02">
          <w:rPr>
            <w:lang w:val="cs-CZ"/>
          </w:rPr>
          <w:delText>655,6</w:delText>
        </w:r>
        <w:r w:rsidR="00581BC5" w:rsidRPr="001B4A02">
          <w:rPr>
            <w:lang w:val="cs-CZ"/>
          </w:rPr>
          <w:delText xml:space="preserve"> </w:delText>
        </w:r>
        <w:r w:rsidRPr="001B4A02">
          <w:rPr>
            <w:lang w:val="cs-CZ"/>
          </w:rPr>
          <w:delText>pacient</w:delText>
        </w:r>
        <w:r w:rsidR="00DB5134" w:rsidRPr="001B4A02">
          <w:rPr>
            <w:lang w:val="cs-CZ"/>
          </w:rPr>
          <w:delText>oroků</w:delText>
        </w:r>
        <w:r w:rsidR="00221860" w:rsidRPr="001B4A02">
          <w:rPr>
            <w:lang w:val="cs-CZ"/>
          </w:rPr>
          <w:delText>m</w:delText>
        </w:r>
        <w:r w:rsidRPr="001B4A02">
          <w:rPr>
            <w:lang w:val="cs-CZ"/>
          </w:rPr>
          <w:delText xml:space="preserve"> léčby.</w:delText>
        </w:r>
        <w:r w:rsidR="00062315" w:rsidRPr="001B4A02">
          <w:rPr>
            <w:lang w:val="cs-CZ"/>
          </w:rPr>
          <w:delText xml:space="preserve"> Žádné malignity nebyly navíc </w:delText>
        </w:r>
        <w:r w:rsidR="00DB19A2" w:rsidRPr="001B4A02">
          <w:rPr>
            <w:lang w:val="cs-CZ"/>
          </w:rPr>
          <w:delText>pozorovány ani u</w:delText>
        </w:r>
        <w:r w:rsidR="000F6D9E" w:rsidRPr="001B4A02">
          <w:rPr>
            <w:lang w:val="cs-CZ"/>
          </w:rPr>
          <w:delText> </w:delText>
        </w:r>
        <w:r w:rsidR="00DB19A2" w:rsidRPr="001B4A02">
          <w:rPr>
            <w:lang w:val="cs-CZ"/>
          </w:rPr>
          <w:delText xml:space="preserve">192 pediatrických pacientů při expozici </w:delText>
        </w:r>
        <w:r w:rsidR="00286A54" w:rsidRPr="001B4A02">
          <w:rPr>
            <w:lang w:val="cs-CZ"/>
          </w:rPr>
          <w:delText>498,1</w:delText>
        </w:r>
        <w:r w:rsidR="00DB19A2" w:rsidRPr="001B4A02">
          <w:rPr>
            <w:lang w:val="cs-CZ"/>
          </w:rPr>
          <w:delText xml:space="preserve"> pacientoroků léčby v průběhu studi</w:delText>
        </w:r>
        <w:r w:rsidR="00A845B1" w:rsidRPr="001B4A02">
          <w:rPr>
            <w:lang w:val="cs-CZ"/>
          </w:rPr>
          <w:delText>í</w:delText>
        </w:r>
        <w:r w:rsidR="00DB19A2" w:rsidRPr="001B4A02">
          <w:rPr>
            <w:lang w:val="cs-CZ"/>
          </w:rPr>
          <w:delText xml:space="preserve"> s přípravkem Humira, zaměřen</w:delText>
        </w:r>
        <w:r w:rsidR="00974DF6" w:rsidRPr="001B4A02">
          <w:rPr>
            <w:lang w:val="cs-CZ"/>
          </w:rPr>
          <w:delText>ých</w:delText>
        </w:r>
        <w:r w:rsidR="00DB19A2" w:rsidRPr="001B4A02">
          <w:rPr>
            <w:lang w:val="cs-CZ"/>
          </w:rPr>
          <w:delText xml:space="preserve"> na pediatrické pacienty s Crohnovou chorobou.</w:delText>
        </w:r>
        <w:r w:rsidR="006A13EA" w:rsidRPr="001B4A02">
          <w:rPr>
            <w:lang w:val="cs-CZ"/>
          </w:rPr>
          <w:delText xml:space="preserve"> Žádné malignity nebyly pozorovány u</w:delText>
        </w:r>
        <w:r w:rsidR="000F6D9E" w:rsidRPr="001B4A02">
          <w:rPr>
            <w:lang w:val="cs-CZ"/>
          </w:rPr>
          <w:delText> </w:delText>
        </w:r>
        <w:r w:rsidR="006A13EA" w:rsidRPr="001B4A02">
          <w:rPr>
            <w:lang w:val="cs-CZ"/>
          </w:rPr>
          <w:delText>77 pediatrických pacientů při expozici 80 pacientoroků léčby v průbě</w:delText>
        </w:r>
        <w:r w:rsidR="000F6D9E" w:rsidRPr="001B4A02">
          <w:rPr>
            <w:lang w:val="cs-CZ"/>
          </w:rPr>
          <w:delText>hu studie s přípravkem Humira u </w:delText>
        </w:r>
        <w:r w:rsidR="006A13EA" w:rsidRPr="001B4A02">
          <w:rPr>
            <w:lang w:val="cs-CZ"/>
          </w:rPr>
          <w:delText>pediatrických pacientů s chronickou ložiskovou psoriázou.</w:delText>
        </w:r>
        <w:r w:rsidR="00BE47E0" w:rsidRPr="001B4A02">
          <w:rPr>
            <w:lang w:val="cs-CZ"/>
          </w:rPr>
          <w:delText xml:space="preserve"> </w:delText>
        </w:r>
        <w:r w:rsidR="00FA04EC" w:rsidRPr="003901D8">
          <w:rPr>
            <w:lang w:val="cs-CZ"/>
          </w:rPr>
          <w:delText>Žádné malignity nebyly pozorovány u</w:delText>
        </w:r>
        <w:r w:rsidR="00390F17" w:rsidRPr="001B4A02">
          <w:rPr>
            <w:lang w:val="cs-CZ"/>
          </w:rPr>
          <w:delText> </w:delText>
        </w:r>
        <w:r w:rsidR="00FA04EC" w:rsidRPr="003901D8">
          <w:rPr>
            <w:lang w:val="cs-CZ"/>
          </w:rPr>
          <w:delText>93 pediatrických pacientů při expozici 65,3 pacientoroků léčby v</w:delText>
        </w:r>
        <w:r w:rsidR="00390F17">
          <w:rPr>
            <w:lang w:val="cs-CZ"/>
          </w:rPr>
          <w:delText> </w:delText>
        </w:r>
        <w:r w:rsidR="00FA04EC" w:rsidRPr="003901D8">
          <w:rPr>
            <w:lang w:val="cs-CZ"/>
          </w:rPr>
          <w:delText>průběhu studie s</w:delText>
        </w:r>
        <w:r w:rsidR="00390F17">
          <w:rPr>
            <w:lang w:val="cs-CZ"/>
          </w:rPr>
          <w:delText> </w:delText>
        </w:r>
        <w:r w:rsidR="00FA04EC" w:rsidRPr="003901D8">
          <w:rPr>
            <w:lang w:val="cs-CZ"/>
          </w:rPr>
          <w:delText>přípravkem Humira u</w:delText>
        </w:r>
        <w:r w:rsidR="00390F17" w:rsidRPr="001B4A02">
          <w:rPr>
            <w:lang w:val="cs-CZ"/>
          </w:rPr>
          <w:delText> </w:delText>
        </w:r>
        <w:r w:rsidR="00FA04EC" w:rsidRPr="003901D8">
          <w:rPr>
            <w:lang w:val="cs-CZ"/>
          </w:rPr>
          <w:delText>pediatrických pacientů s</w:delText>
        </w:r>
        <w:r w:rsidR="00390F17">
          <w:rPr>
            <w:lang w:val="cs-CZ"/>
          </w:rPr>
          <w:delText> </w:delText>
        </w:r>
        <w:r w:rsidR="00FA04EC" w:rsidRPr="003901D8">
          <w:rPr>
            <w:lang w:val="cs-CZ"/>
          </w:rPr>
          <w:delText>ulcerózní kolitidou</w:delText>
        </w:r>
        <w:r w:rsidR="00D76799" w:rsidRPr="00151CAD">
          <w:rPr>
            <w:rStyle w:val="normaltextrun"/>
            <w:shd w:val="clear" w:color="auto" w:fill="FFFFFF"/>
            <w:lang w:val="cs-CZ"/>
          </w:rPr>
          <w:delText>.</w:delText>
        </w:r>
        <w:r w:rsidR="00D76799" w:rsidRPr="001B4A02">
          <w:rPr>
            <w:szCs w:val="22"/>
            <w:lang w:val="cs-CZ"/>
          </w:rPr>
          <w:delText xml:space="preserve"> </w:delText>
        </w:r>
        <w:r w:rsidR="00BE47E0" w:rsidRPr="001B4A02">
          <w:rPr>
            <w:szCs w:val="22"/>
            <w:lang w:val="cs-CZ"/>
          </w:rPr>
          <w:delText>U</w:delText>
        </w:r>
        <w:r w:rsidR="00164B4F" w:rsidRPr="001B4A02">
          <w:rPr>
            <w:szCs w:val="22"/>
            <w:lang w:val="cs-CZ"/>
          </w:rPr>
          <w:delText> </w:delText>
        </w:r>
        <w:r w:rsidR="00BE47E0" w:rsidRPr="001B4A02">
          <w:rPr>
            <w:szCs w:val="22"/>
            <w:lang w:val="cs-CZ"/>
          </w:rPr>
          <w:delText>60</w:delText>
        </w:r>
        <w:r w:rsidR="00164B4F" w:rsidRPr="001B4A02">
          <w:rPr>
            <w:szCs w:val="22"/>
            <w:lang w:val="cs-CZ"/>
          </w:rPr>
          <w:delText xml:space="preserve"> </w:delText>
        </w:r>
        <w:r w:rsidR="00BE47E0" w:rsidRPr="001B4A02">
          <w:rPr>
            <w:szCs w:val="22"/>
            <w:lang w:val="cs-CZ"/>
          </w:rPr>
          <w:delText>pediatrických pacientů s</w:delText>
        </w:r>
        <w:r w:rsidR="00B86D3A" w:rsidRPr="001B4A02">
          <w:rPr>
            <w:szCs w:val="22"/>
            <w:lang w:val="cs-CZ"/>
          </w:rPr>
          <w:delText> </w:delText>
        </w:r>
        <w:r w:rsidR="00BE47E0" w:rsidRPr="001B4A02">
          <w:rPr>
            <w:szCs w:val="22"/>
            <w:lang w:val="cs-CZ"/>
          </w:rPr>
          <w:delText xml:space="preserve">expozicí 58,4 pacientoroků </w:delText>
        </w:r>
        <w:r w:rsidR="00132803" w:rsidRPr="001B4A02">
          <w:rPr>
            <w:szCs w:val="22"/>
            <w:lang w:val="cs-CZ"/>
          </w:rPr>
          <w:delText xml:space="preserve">nebyly pozorovány žádné malignity </w:delText>
        </w:r>
        <w:r w:rsidR="00BE47E0" w:rsidRPr="001B4A02">
          <w:rPr>
            <w:szCs w:val="22"/>
            <w:lang w:val="cs-CZ"/>
          </w:rPr>
          <w:delText>během klinického hodnocení s</w:delText>
        </w:r>
        <w:r w:rsidR="00B86D3A" w:rsidRPr="001B4A02">
          <w:rPr>
            <w:szCs w:val="22"/>
            <w:lang w:val="cs-CZ"/>
          </w:rPr>
          <w:delText> </w:delText>
        </w:r>
        <w:r w:rsidR="00BE47E0" w:rsidRPr="001B4A02">
          <w:rPr>
            <w:szCs w:val="22"/>
            <w:lang w:val="cs-CZ"/>
          </w:rPr>
          <w:delText>přípravkem Humira u</w:delText>
        </w:r>
        <w:r w:rsidR="00B86D3A" w:rsidRPr="001B4A02">
          <w:rPr>
            <w:szCs w:val="22"/>
            <w:lang w:val="cs-CZ"/>
          </w:rPr>
          <w:delText> </w:delText>
        </w:r>
        <w:r w:rsidR="00BE47E0" w:rsidRPr="001B4A02">
          <w:rPr>
            <w:szCs w:val="22"/>
            <w:lang w:val="cs-CZ"/>
          </w:rPr>
          <w:delText>pediatrických pacientů s</w:delText>
        </w:r>
        <w:r w:rsidR="00B86D3A" w:rsidRPr="001B4A02">
          <w:rPr>
            <w:szCs w:val="22"/>
            <w:lang w:val="cs-CZ"/>
          </w:rPr>
          <w:delText> </w:delText>
        </w:r>
        <w:r w:rsidR="00BE47E0" w:rsidRPr="001B4A02">
          <w:rPr>
            <w:szCs w:val="22"/>
            <w:lang w:val="cs-CZ"/>
          </w:rPr>
          <w:delText>uveitidou.</w:delText>
        </w:r>
      </w:del>
    </w:p>
    <w:p w14:paraId="32BD2013" w14:textId="77777777" w:rsidR="006A13EA" w:rsidRPr="001B4A02" w:rsidRDefault="006A13EA" w:rsidP="00ED48A3">
      <w:pPr>
        <w:pStyle w:val="EMEANormal"/>
        <w:tabs>
          <w:tab w:val="clear" w:pos="562"/>
        </w:tabs>
        <w:suppressAutoHyphens w:val="0"/>
        <w:rPr>
          <w:del w:id="1373" w:author="AbbVie1" w:date="2025-05-13T09:50:00Z"/>
          <w:lang w:val="cs-CZ"/>
        </w:rPr>
      </w:pPr>
    </w:p>
    <w:p w14:paraId="1C84464E" w14:textId="77777777" w:rsidR="00073F8F" w:rsidRPr="001B4A02" w:rsidRDefault="00000000" w:rsidP="00ED48A3">
      <w:pPr>
        <w:pStyle w:val="EMEANormal"/>
        <w:tabs>
          <w:tab w:val="clear" w:pos="562"/>
        </w:tabs>
        <w:suppressAutoHyphens w:val="0"/>
        <w:rPr>
          <w:del w:id="1374" w:author="AbbVie1" w:date="2025-05-13T09:50:00Z"/>
          <w:lang w:val="cs-CZ"/>
        </w:rPr>
      </w:pPr>
      <w:del w:id="1375" w:author="AbbVie1" w:date="2025-05-13T09:50:00Z">
        <w:r w:rsidRPr="001B4A02">
          <w:rPr>
            <w:lang w:val="cs-CZ"/>
          </w:rPr>
          <w:delText xml:space="preserve">V průběhu kontrolovaného období klíčových klinických studií </w:delText>
        </w:r>
        <w:r w:rsidR="00DB19A2" w:rsidRPr="001B4A02">
          <w:rPr>
            <w:lang w:val="cs-CZ"/>
          </w:rPr>
          <w:delText>u</w:delText>
        </w:r>
        <w:r w:rsidR="000F6D9E" w:rsidRPr="001B4A02">
          <w:rPr>
            <w:lang w:val="cs-CZ"/>
          </w:rPr>
          <w:delText> </w:delText>
        </w:r>
        <w:r w:rsidR="00DB19A2" w:rsidRPr="001B4A02">
          <w:rPr>
            <w:lang w:val="cs-CZ"/>
          </w:rPr>
          <w:delText xml:space="preserve">dospělých pacientů </w:delText>
        </w:r>
        <w:r w:rsidRPr="001B4A02">
          <w:rPr>
            <w:lang w:val="cs-CZ"/>
          </w:rPr>
          <w:delText xml:space="preserve">s přípravkem Humira, v trvání nejméně 12 týdnů, byly u pacientů se středně těžkou až těžkou aktivní revmatoidní artritidou, </w:delText>
        </w:r>
        <w:r w:rsidR="000A158D" w:rsidRPr="001B4A02">
          <w:rPr>
            <w:lang w:val="cs-CZ"/>
          </w:rPr>
          <w:delText xml:space="preserve">ankylozující spondylitidou, </w:delText>
        </w:r>
        <w:r w:rsidR="000C7B3D" w:rsidRPr="001B4A02">
          <w:rPr>
            <w:szCs w:val="22"/>
            <w:lang w:val="cs-CZ"/>
          </w:rPr>
          <w:delText>axiální spondylartritidou bez radiologického průkazu AS</w:delText>
        </w:r>
        <w:r w:rsidR="000C7B3D" w:rsidRPr="001B4A02">
          <w:rPr>
            <w:lang w:val="cs-CZ"/>
          </w:rPr>
          <w:delText xml:space="preserve">, </w:delText>
        </w:r>
        <w:r w:rsidRPr="001B4A02">
          <w:rPr>
            <w:lang w:val="cs-CZ"/>
          </w:rPr>
          <w:delText xml:space="preserve">psoriatickou artritidou, </w:delText>
        </w:r>
        <w:r w:rsidR="000A158D" w:rsidRPr="001B4A02">
          <w:rPr>
            <w:lang w:val="cs-CZ"/>
          </w:rPr>
          <w:delText xml:space="preserve">psoriázou, </w:delText>
        </w:r>
        <w:r w:rsidR="008A261E" w:rsidRPr="001B4A02">
          <w:rPr>
            <w:lang w:val="cs-CZ"/>
          </w:rPr>
          <w:delText xml:space="preserve">hidradenitis suppurativa, </w:delText>
        </w:r>
        <w:r w:rsidRPr="001B4A02">
          <w:rPr>
            <w:lang w:val="cs-CZ"/>
          </w:rPr>
          <w:delText>Crohnovou chorobou</w:delText>
        </w:r>
        <w:r w:rsidR="00D61849" w:rsidRPr="001B4A02">
          <w:rPr>
            <w:lang w:val="cs-CZ"/>
          </w:rPr>
          <w:delText>,</w:delText>
        </w:r>
        <w:r w:rsidRPr="001B4A02">
          <w:rPr>
            <w:lang w:val="cs-CZ"/>
          </w:rPr>
          <w:delText xml:space="preserve"> </w:delText>
        </w:r>
        <w:r w:rsidR="008177B2" w:rsidRPr="001B4A02">
          <w:rPr>
            <w:lang w:val="cs-CZ"/>
          </w:rPr>
          <w:delText>ulcerózní</w:delText>
        </w:r>
        <w:r w:rsidR="000A158D" w:rsidRPr="001B4A02">
          <w:rPr>
            <w:lang w:val="cs-CZ"/>
          </w:rPr>
          <w:delText xml:space="preserve"> kolitidou</w:delText>
        </w:r>
        <w:r w:rsidR="002378E0">
          <w:rPr>
            <w:lang w:val="cs-CZ"/>
          </w:rPr>
          <w:delText xml:space="preserve"> a </w:delText>
        </w:r>
        <w:r w:rsidR="00D61849" w:rsidRPr="001B4A02">
          <w:rPr>
            <w:lang w:val="cs-CZ"/>
          </w:rPr>
          <w:delText xml:space="preserve">uveitidou </w:delText>
        </w:r>
        <w:r w:rsidRPr="001B4A02">
          <w:rPr>
            <w:lang w:val="cs-CZ"/>
          </w:rPr>
          <w:delText xml:space="preserve">pozorovány případy malignit jiného druhu, než jsou lymfomy či nemelanomový karcinom kůže, s četností výskytu </w:delText>
        </w:r>
        <w:r w:rsidR="00D61849" w:rsidRPr="001B4A02">
          <w:rPr>
            <w:lang w:val="cs-CZ"/>
          </w:rPr>
          <w:delText>6,8 (4,4</w:delText>
        </w:r>
        <w:r w:rsidR="002378E0">
          <w:rPr>
            <w:lang w:val="cs-CZ"/>
          </w:rPr>
          <w:delText xml:space="preserve"> a </w:delText>
        </w:r>
        <w:r w:rsidR="00D61849" w:rsidRPr="001B4A02">
          <w:rPr>
            <w:lang w:val="cs-CZ"/>
          </w:rPr>
          <w:delText>10,5)</w:delText>
        </w:r>
        <w:r w:rsidRPr="001B4A02">
          <w:rPr>
            <w:lang w:val="cs-CZ"/>
          </w:rPr>
          <w:delText xml:space="preserve"> na 1</w:delText>
        </w:r>
        <w:r w:rsidR="009F584E" w:rsidRPr="001B4A02">
          <w:rPr>
            <w:lang w:val="cs-CZ"/>
          </w:rPr>
          <w:delText> </w:delText>
        </w:r>
        <w:r w:rsidRPr="001B4A02">
          <w:rPr>
            <w:lang w:val="cs-CZ"/>
          </w:rPr>
          <w:delText>000 pacient</w:delText>
        </w:r>
        <w:r w:rsidR="00DB5134" w:rsidRPr="001B4A02">
          <w:rPr>
            <w:lang w:val="cs-CZ"/>
          </w:rPr>
          <w:delText>oroků</w:delText>
        </w:r>
        <w:r w:rsidRPr="001B4A02">
          <w:rPr>
            <w:lang w:val="cs-CZ"/>
          </w:rPr>
          <w:delText xml:space="preserve"> při 95% intervalu spolehlivosti, </w:delText>
        </w:r>
        <w:r w:rsidRPr="001B4A02">
          <w:rPr>
            <w:iCs/>
            <w:lang w:val="cs-CZ"/>
          </w:rPr>
          <w:delText>v</w:delText>
        </w:r>
        <w:r w:rsidR="00A417AC" w:rsidRPr="001B4A02">
          <w:rPr>
            <w:iCs/>
            <w:lang w:val="cs-CZ"/>
          </w:rPr>
          <w:delText> </w:delText>
        </w:r>
        <w:r w:rsidRPr="001B4A02">
          <w:rPr>
            <w:iCs/>
            <w:lang w:val="cs-CZ"/>
          </w:rPr>
          <w:delText>porovnání</w:delText>
        </w:r>
        <w:r w:rsidRPr="001B4A02">
          <w:rPr>
            <w:lang w:val="cs-CZ"/>
          </w:rPr>
          <w:delText xml:space="preserve"> s četností jejich výskytu </w:delText>
        </w:r>
        <w:r w:rsidR="00D61849" w:rsidRPr="001B4A02">
          <w:rPr>
            <w:lang w:val="cs-CZ"/>
          </w:rPr>
          <w:delText>6,3 (3,4</w:delText>
        </w:r>
        <w:r w:rsidR="002378E0">
          <w:rPr>
            <w:lang w:val="cs-CZ"/>
          </w:rPr>
          <w:delText xml:space="preserve"> a </w:delText>
        </w:r>
        <w:r w:rsidR="00D61849" w:rsidRPr="001B4A02">
          <w:rPr>
            <w:lang w:val="cs-CZ"/>
          </w:rPr>
          <w:delText>11,8)</w:delText>
        </w:r>
        <w:r w:rsidRPr="001B4A02">
          <w:rPr>
            <w:lang w:val="cs-CZ"/>
          </w:rPr>
          <w:delText xml:space="preserve"> na 1</w:delText>
        </w:r>
        <w:r w:rsidR="009F584E" w:rsidRPr="001B4A02">
          <w:rPr>
            <w:lang w:val="cs-CZ"/>
          </w:rPr>
          <w:delText> </w:delText>
        </w:r>
        <w:r w:rsidRPr="001B4A02">
          <w:rPr>
            <w:lang w:val="cs-CZ"/>
          </w:rPr>
          <w:delText>000 pacient</w:delText>
        </w:r>
        <w:r w:rsidR="00DB5134" w:rsidRPr="001B4A02">
          <w:rPr>
            <w:lang w:val="cs-CZ"/>
          </w:rPr>
          <w:delText>oroků</w:delText>
        </w:r>
        <w:r w:rsidRPr="001B4A02">
          <w:rPr>
            <w:lang w:val="cs-CZ"/>
          </w:rPr>
          <w:delText xml:space="preserve"> u kontrolní skupiny. Skupina s přípravkem Humira zahrnovala </w:delText>
        </w:r>
        <w:r w:rsidR="00D61849" w:rsidRPr="001B4A02">
          <w:rPr>
            <w:lang w:val="cs-CZ"/>
          </w:rPr>
          <w:delText>5 291</w:delText>
        </w:r>
        <w:r w:rsidR="008A261E" w:rsidRPr="001B4A02">
          <w:rPr>
            <w:lang w:val="cs-CZ"/>
          </w:rPr>
          <w:delText xml:space="preserve"> </w:delText>
        </w:r>
        <w:r w:rsidRPr="001B4A02">
          <w:rPr>
            <w:lang w:val="cs-CZ"/>
          </w:rPr>
          <w:delText>pacientů</w:delText>
        </w:r>
        <w:r w:rsidR="002378E0">
          <w:rPr>
            <w:lang w:val="cs-CZ"/>
          </w:rPr>
          <w:delText xml:space="preserve"> a </w:delText>
        </w:r>
        <w:r w:rsidR="00D61849" w:rsidRPr="001B4A02">
          <w:rPr>
            <w:lang w:val="cs-CZ"/>
          </w:rPr>
          <w:delText>3 444</w:delText>
        </w:r>
        <w:r w:rsidR="008A261E" w:rsidRPr="001B4A02">
          <w:rPr>
            <w:lang w:val="cs-CZ"/>
          </w:rPr>
          <w:delText xml:space="preserve"> </w:delText>
        </w:r>
        <w:r w:rsidRPr="001B4A02">
          <w:rPr>
            <w:lang w:val="cs-CZ"/>
          </w:rPr>
          <w:delText xml:space="preserve">pacientů bylo v kontrolní skupině (průměrná doba trvání léčby byla </w:delText>
        </w:r>
        <w:r w:rsidR="008A261E" w:rsidRPr="001B4A02">
          <w:rPr>
            <w:lang w:val="cs-CZ"/>
          </w:rPr>
          <w:delText>4,0</w:delText>
        </w:r>
        <w:r w:rsidRPr="001B4A02">
          <w:rPr>
            <w:lang w:val="cs-CZ"/>
          </w:rPr>
          <w:delText xml:space="preserve"> měsíc</w:delText>
        </w:r>
        <w:r w:rsidR="00D61849" w:rsidRPr="001B4A02">
          <w:rPr>
            <w:lang w:val="cs-CZ"/>
          </w:rPr>
          <w:delText>e</w:delText>
        </w:r>
        <w:r w:rsidR="000F6D9E" w:rsidRPr="001B4A02">
          <w:rPr>
            <w:lang w:val="cs-CZ"/>
          </w:rPr>
          <w:delText xml:space="preserve"> u </w:delText>
        </w:r>
        <w:r w:rsidRPr="001B4A02">
          <w:rPr>
            <w:lang w:val="cs-CZ"/>
          </w:rPr>
          <w:delText>přípravku Humira</w:delText>
        </w:r>
        <w:r w:rsidR="002378E0">
          <w:rPr>
            <w:lang w:val="cs-CZ"/>
          </w:rPr>
          <w:delText xml:space="preserve"> a </w:delText>
        </w:r>
        <w:r w:rsidR="00D61849" w:rsidRPr="001B4A02">
          <w:rPr>
            <w:lang w:val="cs-CZ"/>
          </w:rPr>
          <w:delText>3,8</w:delText>
        </w:r>
        <w:r w:rsidRPr="001B4A02">
          <w:rPr>
            <w:lang w:val="cs-CZ"/>
          </w:rPr>
          <w:delText xml:space="preserve"> měsíc</w:delText>
        </w:r>
        <w:r w:rsidR="00D61849" w:rsidRPr="001B4A02">
          <w:rPr>
            <w:lang w:val="cs-CZ"/>
          </w:rPr>
          <w:delText>e</w:delText>
        </w:r>
        <w:r w:rsidRPr="001B4A02">
          <w:rPr>
            <w:lang w:val="cs-CZ"/>
          </w:rPr>
          <w:delText xml:space="preserve"> u pacientů léčených kontrolou). Četnost výskytu kožních karcinomů nemelanomového typu (95% interval spolehlivosti) byla </w:delText>
        </w:r>
        <w:r w:rsidR="00D61849" w:rsidRPr="001B4A02">
          <w:rPr>
            <w:lang w:val="cs-CZ"/>
          </w:rPr>
          <w:delText>8,8 (6,0</w:delText>
        </w:r>
        <w:r w:rsidR="002378E0">
          <w:rPr>
            <w:lang w:val="cs-CZ"/>
          </w:rPr>
          <w:delText xml:space="preserve"> a </w:delText>
        </w:r>
        <w:r w:rsidR="00D61849" w:rsidRPr="001B4A02">
          <w:rPr>
            <w:lang w:val="cs-CZ"/>
          </w:rPr>
          <w:delText>13,0)</w:delText>
        </w:r>
        <w:r w:rsidRPr="001B4A02">
          <w:rPr>
            <w:lang w:val="cs-CZ"/>
          </w:rPr>
          <w:delText xml:space="preserve"> na 1</w:delText>
        </w:r>
        <w:r w:rsidR="009F584E" w:rsidRPr="001B4A02">
          <w:rPr>
            <w:lang w:val="cs-CZ"/>
          </w:rPr>
          <w:delText> </w:delText>
        </w:r>
        <w:r w:rsidRPr="001B4A02">
          <w:rPr>
            <w:lang w:val="cs-CZ"/>
          </w:rPr>
          <w:delText>000 pacient</w:delText>
        </w:r>
        <w:r w:rsidR="00DB5134" w:rsidRPr="001B4A02">
          <w:rPr>
            <w:lang w:val="cs-CZ"/>
          </w:rPr>
          <w:delText>oroků</w:delText>
        </w:r>
        <w:r w:rsidRPr="001B4A02">
          <w:rPr>
            <w:lang w:val="cs-CZ"/>
          </w:rPr>
          <w:delText xml:space="preserve"> u</w:delText>
        </w:r>
        <w:r w:rsidR="000F6D9E" w:rsidRPr="001B4A02">
          <w:rPr>
            <w:lang w:val="cs-CZ"/>
          </w:rPr>
          <w:delText> </w:delText>
        </w:r>
        <w:r w:rsidRPr="001B4A02">
          <w:rPr>
            <w:lang w:val="cs-CZ"/>
          </w:rPr>
          <w:delText>pacientů léčených přípravkem Humira</w:delText>
        </w:r>
        <w:r w:rsidR="002378E0">
          <w:rPr>
            <w:lang w:val="cs-CZ"/>
          </w:rPr>
          <w:delText xml:space="preserve"> a </w:delText>
        </w:r>
        <w:r w:rsidR="00D61849" w:rsidRPr="001B4A02">
          <w:rPr>
            <w:lang w:val="cs-CZ"/>
          </w:rPr>
          <w:delText>3,2 (1,3</w:delText>
        </w:r>
        <w:r w:rsidR="002378E0">
          <w:rPr>
            <w:lang w:val="cs-CZ"/>
          </w:rPr>
          <w:delText xml:space="preserve"> a </w:delText>
        </w:r>
        <w:r w:rsidR="00D61849" w:rsidRPr="001B4A02">
          <w:rPr>
            <w:lang w:val="cs-CZ"/>
          </w:rPr>
          <w:delText>7,6)</w:delText>
        </w:r>
        <w:r w:rsidRPr="001B4A02">
          <w:rPr>
            <w:lang w:val="cs-CZ"/>
          </w:rPr>
          <w:delText xml:space="preserve"> na 1</w:delText>
        </w:r>
        <w:r w:rsidR="009F584E" w:rsidRPr="001B4A02">
          <w:rPr>
            <w:lang w:val="cs-CZ"/>
          </w:rPr>
          <w:delText> </w:delText>
        </w:r>
        <w:r w:rsidRPr="001B4A02">
          <w:rPr>
            <w:lang w:val="cs-CZ"/>
          </w:rPr>
          <w:delText>000 pacient</w:delText>
        </w:r>
        <w:r w:rsidR="00DB5134" w:rsidRPr="001B4A02">
          <w:rPr>
            <w:lang w:val="cs-CZ"/>
          </w:rPr>
          <w:delText>oroků</w:delText>
        </w:r>
        <w:r w:rsidRPr="001B4A02">
          <w:rPr>
            <w:lang w:val="cs-CZ"/>
          </w:rPr>
          <w:delText xml:space="preserve"> v kontrolní skupině. Z těchto kožních karcinomů se skvamózní buněčný karcinom vyskytoval s četností </w:delText>
        </w:r>
        <w:r w:rsidR="001A1135" w:rsidRPr="001B4A02">
          <w:rPr>
            <w:lang w:val="cs-CZ"/>
          </w:rPr>
          <w:delText>2,7 (1,4</w:delText>
        </w:r>
        <w:r w:rsidR="002378E0">
          <w:rPr>
            <w:lang w:val="cs-CZ"/>
          </w:rPr>
          <w:delText xml:space="preserve"> a </w:delText>
        </w:r>
        <w:r w:rsidR="001A1135" w:rsidRPr="001B4A02">
          <w:rPr>
            <w:lang w:val="cs-CZ"/>
          </w:rPr>
          <w:delText>5,4)</w:delText>
        </w:r>
        <w:r w:rsidRPr="001B4A02">
          <w:rPr>
            <w:lang w:val="cs-CZ"/>
          </w:rPr>
          <w:delText xml:space="preserve"> na 1</w:delText>
        </w:r>
        <w:r w:rsidR="009F584E" w:rsidRPr="001B4A02">
          <w:rPr>
            <w:lang w:val="cs-CZ"/>
          </w:rPr>
          <w:delText> </w:delText>
        </w:r>
        <w:r w:rsidRPr="001B4A02">
          <w:rPr>
            <w:lang w:val="cs-CZ"/>
          </w:rPr>
          <w:delText>000 pacient</w:delText>
        </w:r>
        <w:r w:rsidR="00545FBD" w:rsidRPr="001B4A02">
          <w:rPr>
            <w:lang w:val="cs-CZ"/>
          </w:rPr>
          <w:delText>oroků</w:delText>
        </w:r>
        <w:r w:rsidRPr="001B4A02">
          <w:rPr>
            <w:lang w:val="cs-CZ"/>
          </w:rPr>
          <w:delText xml:space="preserve"> při 95% intervalu spolehlivosti u</w:delText>
        </w:r>
        <w:r w:rsidR="000F6D9E" w:rsidRPr="001B4A02">
          <w:rPr>
            <w:lang w:val="cs-CZ"/>
          </w:rPr>
          <w:delText> </w:delText>
        </w:r>
        <w:r w:rsidRPr="001B4A02">
          <w:rPr>
            <w:lang w:val="cs-CZ"/>
          </w:rPr>
          <w:delText>pacientů léčených přípravkem Humira</w:delText>
        </w:r>
        <w:r w:rsidR="002378E0">
          <w:rPr>
            <w:lang w:val="cs-CZ"/>
          </w:rPr>
          <w:delText xml:space="preserve"> a </w:delText>
        </w:r>
        <w:r w:rsidR="001A1135" w:rsidRPr="001B4A02">
          <w:rPr>
            <w:lang w:val="cs-CZ"/>
          </w:rPr>
          <w:delText>0,6 (0,1</w:delText>
        </w:r>
        <w:r w:rsidR="002378E0">
          <w:rPr>
            <w:lang w:val="cs-CZ"/>
          </w:rPr>
          <w:delText xml:space="preserve"> a </w:delText>
        </w:r>
        <w:r w:rsidR="001A1135" w:rsidRPr="001B4A02">
          <w:rPr>
            <w:lang w:val="cs-CZ"/>
          </w:rPr>
          <w:delText>4,5)</w:delText>
        </w:r>
        <w:r w:rsidRPr="001B4A02">
          <w:rPr>
            <w:lang w:val="cs-CZ"/>
          </w:rPr>
          <w:delText xml:space="preserve"> na 1</w:delText>
        </w:r>
        <w:r w:rsidR="009F584E" w:rsidRPr="001B4A02">
          <w:rPr>
            <w:lang w:val="cs-CZ"/>
          </w:rPr>
          <w:delText> </w:delText>
        </w:r>
        <w:r w:rsidRPr="001B4A02">
          <w:rPr>
            <w:lang w:val="cs-CZ"/>
          </w:rPr>
          <w:delText>000 pacient</w:delText>
        </w:r>
        <w:r w:rsidR="00DB5134" w:rsidRPr="001B4A02">
          <w:rPr>
            <w:lang w:val="cs-CZ"/>
          </w:rPr>
          <w:delText>oroků</w:delText>
        </w:r>
        <w:r w:rsidRPr="001B4A02">
          <w:rPr>
            <w:lang w:val="cs-CZ"/>
          </w:rPr>
          <w:delText xml:space="preserve"> u kontrolních pacientů. Četnost výskytu lymfomů (95% interval spolehlivosti) byla 0,</w:delText>
        </w:r>
        <w:r w:rsidR="00990D20" w:rsidRPr="001B4A02">
          <w:rPr>
            <w:lang w:val="cs-CZ"/>
          </w:rPr>
          <w:delText xml:space="preserve">7 </w:delText>
        </w:r>
        <w:r w:rsidRPr="001B4A02">
          <w:rPr>
            <w:lang w:val="cs-CZ"/>
          </w:rPr>
          <w:delText>(</w:delText>
        </w:r>
        <w:r w:rsidR="001A1135" w:rsidRPr="001B4A02">
          <w:rPr>
            <w:lang w:val="cs-CZ"/>
          </w:rPr>
          <w:delText>0,2</w:delText>
        </w:r>
        <w:r w:rsidR="002378E0">
          <w:rPr>
            <w:lang w:val="cs-CZ"/>
          </w:rPr>
          <w:delText xml:space="preserve"> a </w:delText>
        </w:r>
        <w:r w:rsidR="001A1135" w:rsidRPr="001B4A02">
          <w:rPr>
            <w:lang w:val="cs-CZ"/>
          </w:rPr>
          <w:delText>2,7</w:delText>
        </w:r>
        <w:r w:rsidRPr="001B4A02">
          <w:rPr>
            <w:lang w:val="cs-CZ"/>
          </w:rPr>
          <w:delText>) na 1</w:delText>
        </w:r>
        <w:r w:rsidR="009F584E" w:rsidRPr="001B4A02">
          <w:rPr>
            <w:lang w:val="cs-CZ"/>
          </w:rPr>
          <w:delText> </w:delText>
        </w:r>
        <w:r w:rsidRPr="001B4A02">
          <w:rPr>
            <w:lang w:val="cs-CZ"/>
          </w:rPr>
          <w:delText>000 pacient</w:delText>
        </w:r>
        <w:r w:rsidR="00DB5134" w:rsidRPr="001B4A02">
          <w:rPr>
            <w:lang w:val="cs-CZ"/>
          </w:rPr>
          <w:delText>oroků</w:delText>
        </w:r>
        <w:r w:rsidR="000F6D9E" w:rsidRPr="001B4A02">
          <w:rPr>
            <w:lang w:val="cs-CZ"/>
          </w:rPr>
          <w:delText xml:space="preserve"> u </w:delText>
        </w:r>
        <w:r w:rsidRPr="001B4A02">
          <w:rPr>
            <w:lang w:val="cs-CZ"/>
          </w:rPr>
          <w:delText>pacientů léčených přípravkem Humira</w:delText>
        </w:r>
        <w:r w:rsidR="002378E0">
          <w:rPr>
            <w:lang w:val="cs-CZ"/>
          </w:rPr>
          <w:delText xml:space="preserve"> a </w:delText>
        </w:r>
        <w:r w:rsidR="001A1135" w:rsidRPr="001B4A02">
          <w:rPr>
            <w:lang w:val="cs-CZ"/>
          </w:rPr>
          <w:delText>0,6 (0,1</w:delText>
        </w:r>
        <w:r w:rsidR="002378E0">
          <w:rPr>
            <w:lang w:val="cs-CZ"/>
          </w:rPr>
          <w:delText xml:space="preserve"> a </w:delText>
        </w:r>
        <w:r w:rsidR="001A1135" w:rsidRPr="001B4A02">
          <w:rPr>
            <w:lang w:val="cs-CZ"/>
          </w:rPr>
          <w:delText>4,5)</w:delText>
        </w:r>
        <w:r w:rsidRPr="001B4A02">
          <w:rPr>
            <w:lang w:val="cs-CZ"/>
          </w:rPr>
          <w:delText xml:space="preserve"> na 1</w:delText>
        </w:r>
        <w:r w:rsidR="009F584E" w:rsidRPr="001B4A02">
          <w:rPr>
            <w:lang w:val="cs-CZ"/>
          </w:rPr>
          <w:delText> </w:delText>
        </w:r>
        <w:r w:rsidRPr="001B4A02">
          <w:rPr>
            <w:lang w:val="cs-CZ"/>
          </w:rPr>
          <w:delText>000 pacient</w:delText>
        </w:r>
        <w:r w:rsidR="00DB5134" w:rsidRPr="001B4A02">
          <w:rPr>
            <w:lang w:val="cs-CZ"/>
          </w:rPr>
          <w:delText>oroků</w:delText>
        </w:r>
        <w:r w:rsidR="00062315" w:rsidRPr="001B4A02">
          <w:rPr>
            <w:lang w:val="cs-CZ"/>
          </w:rPr>
          <w:delText xml:space="preserve"> u kontrolních pacientů.</w:delText>
        </w:r>
      </w:del>
    </w:p>
    <w:p w14:paraId="1989EA2B" w14:textId="77777777" w:rsidR="00073F8F" w:rsidRPr="001B4A02" w:rsidRDefault="00073F8F" w:rsidP="00ED48A3">
      <w:pPr>
        <w:pStyle w:val="EMEANormal"/>
        <w:tabs>
          <w:tab w:val="clear" w:pos="562"/>
        </w:tabs>
        <w:suppressAutoHyphens w:val="0"/>
        <w:rPr>
          <w:del w:id="1376" w:author="AbbVie1" w:date="2025-05-13T09:50:00Z"/>
          <w:szCs w:val="22"/>
          <w:lang w:val="cs-CZ"/>
        </w:rPr>
      </w:pPr>
    </w:p>
    <w:p w14:paraId="5AE92034" w14:textId="77777777" w:rsidR="00073F8F" w:rsidRPr="001B4A02" w:rsidRDefault="00000000" w:rsidP="00ED48A3">
      <w:pPr>
        <w:pStyle w:val="EMEANormal"/>
        <w:tabs>
          <w:tab w:val="clear" w:pos="562"/>
        </w:tabs>
        <w:suppressAutoHyphens w:val="0"/>
        <w:rPr>
          <w:del w:id="1377" w:author="AbbVie1" w:date="2025-05-13T09:50:00Z"/>
          <w:szCs w:val="22"/>
          <w:lang w:val="cs-CZ"/>
        </w:rPr>
      </w:pPr>
      <w:del w:id="1378" w:author="AbbVie1" w:date="2025-05-13T09:50:00Z">
        <w:r w:rsidRPr="001B4A02">
          <w:rPr>
            <w:szCs w:val="22"/>
            <w:lang w:val="cs-CZ"/>
          </w:rPr>
          <w:delText>Když se zkombinují ko</w:delText>
        </w:r>
        <w:r w:rsidR="000F6D9E" w:rsidRPr="001B4A02">
          <w:rPr>
            <w:szCs w:val="22"/>
            <w:lang w:val="cs-CZ"/>
          </w:rPr>
          <w:delText>ntrolovaná období těchto studií</w:delText>
        </w:r>
        <w:r w:rsidR="002378E0">
          <w:rPr>
            <w:szCs w:val="22"/>
            <w:lang w:val="cs-CZ"/>
          </w:rPr>
          <w:delText xml:space="preserve"> a </w:delText>
        </w:r>
        <w:r w:rsidRPr="001B4A02">
          <w:rPr>
            <w:szCs w:val="22"/>
            <w:lang w:val="cs-CZ"/>
          </w:rPr>
          <w:delText>probíhající</w:delText>
        </w:r>
        <w:r w:rsidR="002378E0">
          <w:rPr>
            <w:szCs w:val="22"/>
            <w:lang w:val="cs-CZ"/>
          </w:rPr>
          <w:delText xml:space="preserve"> a </w:delText>
        </w:r>
        <w:r w:rsidR="009A0FD0" w:rsidRPr="001B4A02">
          <w:rPr>
            <w:szCs w:val="22"/>
            <w:lang w:val="cs-CZ"/>
          </w:rPr>
          <w:delText xml:space="preserve">ukončené </w:delText>
        </w:r>
        <w:r w:rsidRPr="001B4A02">
          <w:rPr>
            <w:szCs w:val="22"/>
            <w:lang w:val="cs-CZ"/>
          </w:rPr>
          <w:delText xml:space="preserve">otevřené rozšířené fáze studií s průměrnou délkou trvání přibližně </w:delText>
        </w:r>
        <w:r w:rsidR="001A1135" w:rsidRPr="001B4A02">
          <w:rPr>
            <w:szCs w:val="22"/>
            <w:lang w:val="cs-CZ"/>
          </w:rPr>
          <w:delText>3,3</w:delText>
        </w:r>
        <w:r w:rsidR="00990D20" w:rsidRPr="001B4A02">
          <w:rPr>
            <w:szCs w:val="22"/>
            <w:lang w:val="cs-CZ"/>
          </w:rPr>
          <w:delText> </w:delText>
        </w:r>
        <w:r w:rsidR="001A1135" w:rsidRPr="001B4A02">
          <w:rPr>
            <w:szCs w:val="22"/>
            <w:lang w:val="cs-CZ"/>
          </w:rPr>
          <w:delText>roku</w:delText>
        </w:r>
        <w:r w:rsidRPr="001B4A02">
          <w:rPr>
            <w:szCs w:val="22"/>
            <w:lang w:val="cs-CZ"/>
          </w:rPr>
          <w:delText xml:space="preserve">, zahrnující </w:delText>
        </w:r>
        <w:r w:rsidR="001A1135" w:rsidRPr="001B4A02">
          <w:rPr>
            <w:szCs w:val="22"/>
            <w:lang w:val="cs-CZ"/>
          </w:rPr>
          <w:delText>6 427</w:delText>
        </w:r>
        <w:r w:rsidR="008A261E" w:rsidRPr="001B4A02">
          <w:rPr>
            <w:szCs w:val="22"/>
            <w:lang w:val="cs-CZ"/>
          </w:rPr>
          <w:delText> </w:delText>
        </w:r>
        <w:r w:rsidRPr="001B4A02">
          <w:rPr>
            <w:szCs w:val="22"/>
            <w:lang w:val="cs-CZ"/>
          </w:rPr>
          <w:delText>pacientů</w:delText>
        </w:r>
        <w:r w:rsidR="002378E0">
          <w:rPr>
            <w:szCs w:val="22"/>
            <w:lang w:val="cs-CZ"/>
          </w:rPr>
          <w:delText xml:space="preserve"> a </w:delText>
        </w:r>
        <w:r w:rsidRPr="001B4A02">
          <w:rPr>
            <w:szCs w:val="22"/>
            <w:lang w:val="cs-CZ"/>
          </w:rPr>
          <w:delText xml:space="preserve">více než </w:delText>
        </w:r>
        <w:r w:rsidR="001A1135" w:rsidRPr="001B4A02">
          <w:rPr>
            <w:szCs w:val="22"/>
            <w:lang w:val="cs-CZ"/>
          </w:rPr>
          <w:delText>26 439</w:delText>
        </w:r>
        <w:r w:rsidR="008A261E" w:rsidRPr="001B4A02">
          <w:rPr>
            <w:szCs w:val="22"/>
            <w:lang w:val="cs-CZ"/>
          </w:rPr>
          <w:delText> </w:delText>
        </w:r>
        <w:r w:rsidRPr="001B4A02">
          <w:rPr>
            <w:szCs w:val="22"/>
            <w:lang w:val="cs-CZ"/>
          </w:rPr>
          <w:delText>pacient</w:delText>
        </w:r>
        <w:r w:rsidR="002C1822" w:rsidRPr="001B4A02">
          <w:rPr>
            <w:lang w:val="cs-CZ"/>
          </w:rPr>
          <w:delText>oroků</w:delText>
        </w:r>
        <w:r w:rsidRPr="001B4A02">
          <w:rPr>
            <w:szCs w:val="22"/>
            <w:lang w:val="cs-CZ"/>
          </w:rPr>
          <w:delText xml:space="preserve"> léčby, pak pozorovaná četnost výskytu malignit jiného typu, než jsou lymfomy</w:delText>
        </w:r>
        <w:r w:rsidR="002378E0">
          <w:rPr>
            <w:szCs w:val="22"/>
            <w:lang w:val="cs-CZ"/>
          </w:rPr>
          <w:delText xml:space="preserve"> a </w:delText>
        </w:r>
        <w:r w:rsidR="003E2AAF" w:rsidRPr="001B4A02">
          <w:rPr>
            <w:szCs w:val="22"/>
            <w:lang w:val="cs-CZ"/>
          </w:rPr>
          <w:delText>nemelanomové karcinomy kůže</w:delText>
        </w:r>
        <w:r w:rsidRPr="001B4A02">
          <w:rPr>
            <w:szCs w:val="22"/>
            <w:lang w:val="cs-CZ"/>
          </w:rPr>
          <w:delText xml:space="preserve">, činí přibližně </w:delText>
        </w:r>
        <w:r w:rsidR="00DB19A2" w:rsidRPr="001B4A02">
          <w:rPr>
            <w:szCs w:val="22"/>
            <w:shd w:val="clear" w:color="auto" w:fill="FFFFFF"/>
            <w:lang w:val="cs-CZ"/>
          </w:rPr>
          <w:delText>8,</w:delText>
        </w:r>
        <w:r w:rsidR="008A261E" w:rsidRPr="001B4A02">
          <w:rPr>
            <w:szCs w:val="22"/>
            <w:shd w:val="clear" w:color="auto" w:fill="FFFFFF"/>
            <w:lang w:val="cs-CZ"/>
          </w:rPr>
          <w:delText xml:space="preserve">5 </w:delText>
        </w:r>
        <w:r w:rsidRPr="001B4A02">
          <w:rPr>
            <w:szCs w:val="22"/>
            <w:shd w:val="clear" w:color="auto" w:fill="FFFFFF"/>
            <w:lang w:val="cs-CZ"/>
          </w:rPr>
          <w:delText>na 1</w:delText>
        </w:r>
        <w:r w:rsidR="009F584E" w:rsidRPr="001B4A02">
          <w:rPr>
            <w:szCs w:val="22"/>
            <w:shd w:val="clear" w:color="auto" w:fill="FFFFFF"/>
            <w:lang w:val="cs-CZ"/>
          </w:rPr>
          <w:delText> </w:delText>
        </w:r>
        <w:r w:rsidRPr="001B4A02">
          <w:rPr>
            <w:szCs w:val="22"/>
            <w:shd w:val="clear" w:color="auto" w:fill="FFFFFF"/>
            <w:lang w:val="cs-CZ"/>
          </w:rPr>
          <w:delText>000</w:delText>
        </w:r>
        <w:r w:rsidRPr="001B4A02">
          <w:rPr>
            <w:szCs w:val="22"/>
            <w:lang w:val="cs-CZ"/>
          </w:rPr>
          <w:delText> pacient</w:delText>
        </w:r>
        <w:r w:rsidR="00DB5134" w:rsidRPr="001B4A02">
          <w:rPr>
            <w:lang w:val="cs-CZ"/>
          </w:rPr>
          <w:delText>oroků</w:delText>
        </w:r>
        <w:r w:rsidRPr="001B4A02">
          <w:rPr>
            <w:szCs w:val="22"/>
            <w:lang w:val="cs-CZ"/>
          </w:rPr>
          <w:delText xml:space="preserve">. Pozorovaná četnost výskytu nemelanomového typu kožního karcinomu činí přibližně </w:delText>
        </w:r>
        <w:r w:rsidR="001A1135" w:rsidRPr="001B4A02">
          <w:rPr>
            <w:szCs w:val="22"/>
            <w:lang w:val="cs-CZ"/>
          </w:rPr>
          <w:delText>9,6</w:delText>
        </w:r>
        <w:r w:rsidR="00990D20" w:rsidRPr="001B4A02">
          <w:rPr>
            <w:szCs w:val="22"/>
            <w:shd w:val="clear" w:color="auto" w:fill="FFFFFF"/>
            <w:lang w:val="cs-CZ"/>
          </w:rPr>
          <w:delText xml:space="preserve"> </w:delText>
        </w:r>
        <w:r w:rsidRPr="001B4A02">
          <w:rPr>
            <w:szCs w:val="22"/>
            <w:shd w:val="clear" w:color="auto" w:fill="FFFFFF"/>
            <w:lang w:val="cs-CZ"/>
          </w:rPr>
          <w:delText>na 1</w:delText>
        </w:r>
        <w:r w:rsidR="009A3A47">
          <w:rPr>
            <w:szCs w:val="22"/>
            <w:shd w:val="clear" w:color="auto" w:fill="FFFFFF"/>
            <w:lang w:val="cs-CZ"/>
          </w:rPr>
          <w:delText> </w:delText>
        </w:r>
        <w:r w:rsidRPr="001B4A02">
          <w:rPr>
            <w:szCs w:val="22"/>
            <w:shd w:val="clear" w:color="auto" w:fill="FFFFFF"/>
            <w:lang w:val="cs-CZ"/>
          </w:rPr>
          <w:delText>000</w:delText>
        </w:r>
        <w:r w:rsidR="009A3A47">
          <w:rPr>
            <w:szCs w:val="22"/>
            <w:lang w:val="cs-CZ"/>
          </w:rPr>
          <w:delText xml:space="preserve"> </w:delText>
        </w:r>
        <w:r w:rsidRPr="001B4A02">
          <w:rPr>
            <w:szCs w:val="22"/>
            <w:lang w:val="cs-CZ"/>
          </w:rPr>
          <w:delText>pacient</w:delText>
        </w:r>
        <w:r w:rsidR="00DB5134" w:rsidRPr="001B4A02">
          <w:rPr>
            <w:lang w:val="cs-CZ"/>
          </w:rPr>
          <w:delText>oroků</w:delText>
        </w:r>
        <w:r w:rsidR="002378E0">
          <w:rPr>
            <w:szCs w:val="22"/>
            <w:lang w:val="cs-CZ"/>
          </w:rPr>
          <w:delText xml:space="preserve"> a </w:delText>
        </w:r>
        <w:r w:rsidRPr="001B4A02">
          <w:rPr>
            <w:szCs w:val="22"/>
            <w:lang w:val="cs-CZ"/>
          </w:rPr>
          <w:delText>pozorovaná četnost lymfomů je přibližně 1,</w:delText>
        </w:r>
        <w:r w:rsidR="008A261E" w:rsidRPr="001B4A02">
          <w:rPr>
            <w:szCs w:val="22"/>
            <w:lang w:val="cs-CZ"/>
          </w:rPr>
          <w:delText xml:space="preserve">3 </w:delText>
        </w:r>
        <w:r w:rsidRPr="001B4A02">
          <w:rPr>
            <w:szCs w:val="22"/>
            <w:lang w:val="cs-CZ"/>
          </w:rPr>
          <w:delText>na 1</w:delText>
        </w:r>
        <w:r w:rsidR="009F584E" w:rsidRPr="001B4A02">
          <w:rPr>
            <w:szCs w:val="22"/>
            <w:lang w:val="cs-CZ"/>
          </w:rPr>
          <w:delText> </w:delText>
        </w:r>
        <w:r w:rsidRPr="001B4A02">
          <w:rPr>
            <w:szCs w:val="22"/>
            <w:lang w:val="cs-CZ"/>
          </w:rPr>
          <w:delText>000 pacient</w:delText>
        </w:r>
        <w:r w:rsidR="00221860" w:rsidRPr="001B4A02">
          <w:rPr>
            <w:lang w:val="cs-CZ"/>
          </w:rPr>
          <w:delText>oroků</w:delText>
        </w:r>
        <w:r w:rsidRPr="001B4A02">
          <w:rPr>
            <w:szCs w:val="22"/>
            <w:lang w:val="cs-CZ"/>
          </w:rPr>
          <w:delText>.</w:delText>
        </w:r>
      </w:del>
    </w:p>
    <w:p w14:paraId="3C8547A7" w14:textId="77777777" w:rsidR="00073F8F" w:rsidRPr="001B4A02" w:rsidRDefault="00073F8F" w:rsidP="00ED48A3">
      <w:pPr>
        <w:ind w:left="0" w:firstLine="0"/>
        <w:rPr>
          <w:del w:id="1379" w:author="AbbVie1" w:date="2025-05-13T09:50:00Z"/>
        </w:rPr>
      </w:pPr>
    </w:p>
    <w:p w14:paraId="601AA68F" w14:textId="77777777" w:rsidR="00073F8F" w:rsidRPr="001B4A02" w:rsidRDefault="00000000" w:rsidP="00ED48A3">
      <w:pPr>
        <w:ind w:left="0" w:firstLine="0"/>
        <w:rPr>
          <w:del w:id="1380" w:author="AbbVie1" w:date="2025-05-13T09:50:00Z"/>
        </w:rPr>
      </w:pPr>
      <w:del w:id="1381" w:author="AbbVie1" w:date="2025-05-13T09:50:00Z">
        <w:r w:rsidRPr="001B4A02">
          <w:delText>Ve sledování po uvedení přípravku na trh v období od ledna 2003</w:delText>
        </w:r>
        <w:r w:rsidR="000A158D" w:rsidRPr="001B4A02">
          <w:delText xml:space="preserve"> do prosince 20</w:delText>
        </w:r>
        <w:r w:rsidR="00DB19A2" w:rsidRPr="001B4A02">
          <w:delText>10</w:delText>
        </w:r>
        <w:r w:rsidRPr="001B4A02">
          <w:delText>,</w:delText>
        </w:r>
        <w:r w:rsidR="002378E0">
          <w:delText xml:space="preserve"> a </w:delText>
        </w:r>
        <w:r w:rsidRPr="001B4A02">
          <w:delText xml:space="preserve">to především u pacientů s revmatoidní artritidou, činil výskyt </w:delText>
        </w:r>
        <w:r w:rsidRPr="001B4A02">
          <w:rPr>
            <w:szCs w:val="22"/>
            <w:shd w:val="clear" w:color="auto" w:fill="FFFFFF"/>
          </w:rPr>
          <w:delText xml:space="preserve">všech </w:delText>
        </w:r>
        <w:r w:rsidR="005E7EB2">
          <w:rPr>
            <w:szCs w:val="22"/>
            <w:shd w:val="clear" w:color="auto" w:fill="FFFFFF"/>
          </w:rPr>
          <w:delText xml:space="preserve">spontánně </w:delText>
        </w:r>
        <w:r w:rsidRPr="001B4A02">
          <w:rPr>
            <w:szCs w:val="22"/>
            <w:shd w:val="clear" w:color="auto" w:fill="FFFFFF"/>
          </w:rPr>
          <w:delText xml:space="preserve">hlášených malignit přibližně </w:delText>
        </w:r>
        <w:r w:rsidR="000A158D" w:rsidRPr="001B4A02">
          <w:rPr>
            <w:szCs w:val="22"/>
            <w:shd w:val="clear" w:color="auto" w:fill="FFFFFF"/>
          </w:rPr>
          <w:delText>2,</w:delText>
        </w:r>
        <w:r w:rsidR="00DB19A2" w:rsidRPr="001B4A02">
          <w:rPr>
            <w:szCs w:val="22"/>
            <w:shd w:val="clear" w:color="auto" w:fill="FFFFFF"/>
          </w:rPr>
          <w:delText>7</w:delText>
        </w:r>
        <w:r w:rsidRPr="001B4A02">
          <w:rPr>
            <w:szCs w:val="22"/>
            <w:shd w:val="clear" w:color="auto" w:fill="FFFFFF"/>
          </w:rPr>
          <w:delText xml:space="preserve"> na 1</w:delText>
        </w:r>
        <w:r w:rsidR="009F584E" w:rsidRPr="001B4A02">
          <w:rPr>
            <w:szCs w:val="22"/>
            <w:shd w:val="clear" w:color="auto" w:fill="FFFFFF"/>
          </w:rPr>
          <w:delText> </w:delText>
        </w:r>
        <w:r w:rsidRPr="001B4A02">
          <w:rPr>
            <w:szCs w:val="22"/>
            <w:shd w:val="clear" w:color="auto" w:fill="FFFFFF"/>
          </w:rPr>
          <w:delText>000 </w:delText>
        </w:r>
        <w:r w:rsidRPr="001B4A02">
          <w:rPr>
            <w:szCs w:val="22"/>
          </w:rPr>
          <w:delText>pacient</w:delText>
        </w:r>
        <w:r w:rsidR="00221860" w:rsidRPr="001B4A02">
          <w:delText>oroků</w:delText>
        </w:r>
        <w:r w:rsidR="000A158D" w:rsidRPr="001B4A02">
          <w:rPr>
            <w:szCs w:val="22"/>
          </w:rPr>
          <w:delText xml:space="preserve"> léčby</w:delText>
        </w:r>
        <w:r w:rsidRPr="001B4A02">
          <w:rPr>
            <w:szCs w:val="22"/>
          </w:rPr>
          <w:delText xml:space="preserve">. </w:delText>
        </w:r>
        <w:r w:rsidR="005E7EB2">
          <w:rPr>
            <w:szCs w:val="22"/>
          </w:rPr>
          <w:delText>Spontánně h</w:delText>
        </w:r>
        <w:r w:rsidRPr="001B4A02">
          <w:rPr>
            <w:szCs w:val="22"/>
          </w:rPr>
          <w:delText>lášená četnost výskytu u kožního karcinomu nemelanomového typu činila přibližně 0,2</w:delText>
        </w:r>
        <w:r w:rsidR="002378E0">
          <w:rPr>
            <w:szCs w:val="22"/>
          </w:rPr>
          <w:delText xml:space="preserve"> a </w:delText>
        </w:r>
        <w:r w:rsidRPr="001B4A02">
          <w:rPr>
            <w:szCs w:val="22"/>
          </w:rPr>
          <w:delText>u lymfomů přibližně 0,</w:delText>
        </w:r>
        <w:r w:rsidR="000141C6" w:rsidRPr="001B4A02">
          <w:rPr>
            <w:szCs w:val="22"/>
          </w:rPr>
          <w:delText>3</w:delText>
        </w:r>
        <w:r w:rsidRPr="001B4A02">
          <w:rPr>
            <w:szCs w:val="22"/>
          </w:rPr>
          <w:delText xml:space="preserve"> na 1</w:delText>
        </w:r>
        <w:r w:rsidR="009F584E" w:rsidRPr="001B4A02">
          <w:rPr>
            <w:szCs w:val="22"/>
          </w:rPr>
          <w:delText> </w:delText>
        </w:r>
        <w:r w:rsidRPr="001B4A02">
          <w:rPr>
            <w:szCs w:val="22"/>
          </w:rPr>
          <w:delText>000 pacient</w:delText>
        </w:r>
        <w:r w:rsidR="00221860" w:rsidRPr="001B4A02">
          <w:delText>oroků</w:delText>
        </w:r>
        <w:r w:rsidRPr="001B4A02">
          <w:rPr>
            <w:szCs w:val="22"/>
          </w:rPr>
          <w:delText xml:space="preserve"> </w:delText>
        </w:r>
        <w:r w:rsidR="000141C6" w:rsidRPr="001B4A02">
          <w:rPr>
            <w:szCs w:val="22"/>
          </w:rPr>
          <w:delText xml:space="preserve">léčby </w:delText>
        </w:r>
        <w:r w:rsidRPr="001B4A02">
          <w:rPr>
            <w:szCs w:val="22"/>
          </w:rPr>
          <w:delText>(viz bod 4.4).</w:delText>
        </w:r>
      </w:del>
    </w:p>
    <w:p w14:paraId="7974B46E" w14:textId="77777777" w:rsidR="00073F8F" w:rsidRPr="001B4A02" w:rsidRDefault="00073F8F" w:rsidP="00ED48A3">
      <w:pPr>
        <w:ind w:left="0" w:firstLine="0"/>
        <w:rPr>
          <w:del w:id="1382" w:author="AbbVie1" w:date="2025-05-13T09:50:00Z"/>
        </w:rPr>
      </w:pPr>
    </w:p>
    <w:p w14:paraId="0D3AE32A" w14:textId="77777777" w:rsidR="00073F8F" w:rsidRPr="001B4A02" w:rsidRDefault="00000000" w:rsidP="00ED48A3">
      <w:pPr>
        <w:ind w:left="0" w:firstLine="0"/>
        <w:rPr>
          <w:del w:id="1383" w:author="AbbVie1" w:date="2025-05-13T09:50:00Z"/>
        </w:rPr>
      </w:pPr>
      <w:del w:id="1384" w:author="AbbVie1" w:date="2025-05-13T09:50:00Z">
        <w:r w:rsidRPr="001B4A02">
          <w:delText>U pacientů léčených adalimumabem byly hlášeny vzácné postmarketingové případy hepatosplenického T-buněčného lymfomu (viz bod 4.4).</w:delText>
        </w:r>
      </w:del>
    </w:p>
    <w:p w14:paraId="272977D5" w14:textId="77777777" w:rsidR="00073F8F" w:rsidRPr="001B4A02" w:rsidRDefault="00073F8F" w:rsidP="00ED48A3">
      <w:pPr>
        <w:ind w:left="0" w:firstLine="0"/>
        <w:rPr>
          <w:del w:id="1385" w:author="AbbVie1" w:date="2025-05-13T09:50:00Z"/>
        </w:rPr>
      </w:pPr>
    </w:p>
    <w:p w14:paraId="7CE6FB58" w14:textId="77777777" w:rsidR="00073F8F" w:rsidRPr="001B4A02" w:rsidRDefault="00000000" w:rsidP="00D84336">
      <w:pPr>
        <w:keepNext/>
        <w:rPr>
          <w:del w:id="1386" w:author="AbbVie1" w:date="2025-05-13T09:50:00Z"/>
          <w:i/>
        </w:rPr>
      </w:pPr>
      <w:del w:id="1387" w:author="AbbVie1" w:date="2025-05-13T09:50:00Z">
        <w:r w:rsidRPr="001B4A02">
          <w:rPr>
            <w:i/>
          </w:rPr>
          <w:delText>Autoprotilátky</w:delText>
        </w:r>
      </w:del>
    </w:p>
    <w:p w14:paraId="44455E6C" w14:textId="77777777" w:rsidR="00073F8F" w:rsidRPr="001B4A02" w:rsidRDefault="00073F8F" w:rsidP="00D84336">
      <w:pPr>
        <w:keepNext/>
        <w:ind w:left="0" w:firstLine="0"/>
        <w:rPr>
          <w:del w:id="1388" w:author="AbbVie1" w:date="2025-05-13T09:50:00Z"/>
        </w:rPr>
      </w:pPr>
    </w:p>
    <w:p w14:paraId="34442E07" w14:textId="77777777" w:rsidR="00073F8F" w:rsidRPr="001B4A02" w:rsidRDefault="00000000" w:rsidP="00ED48A3">
      <w:pPr>
        <w:ind w:left="0" w:firstLine="0"/>
        <w:rPr>
          <w:del w:id="1389" w:author="AbbVie1" w:date="2025-05-13T09:50:00Z"/>
        </w:rPr>
      </w:pPr>
      <w:del w:id="1390" w:author="AbbVie1" w:date="2025-05-13T09:50:00Z">
        <w:r w:rsidRPr="001B4A02">
          <w:delText>U pacientů bylo prováděno vyšetření na autoprotilátky v různých časových intervalech studií I–V s revmatoidní artri</w:delText>
        </w:r>
        <w:r w:rsidR="002009DF" w:rsidRPr="001B4A02">
          <w:delText>tidou. V těchto studiích byly u </w:delText>
        </w:r>
        <w:r w:rsidRPr="001B4A02">
          <w:delText>11,9</w:delText>
        </w:r>
        <w:r w:rsidR="006008CB">
          <w:delText> %</w:delText>
        </w:r>
        <w:r w:rsidRPr="001B4A02">
          <w:delText xml:space="preserve"> pacientů léčených přípravkem Humira</w:delText>
        </w:r>
        <w:r w:rsidR="002378E0">
          <w:delText xml:space="preserve"> a </w:delText>
        </w:r>
        <w:r w:rsidRPr="001B4A02">
          <w:delText>u 8,1</w:delText>
        </w:r>
        <w:r w:rsidR="006008CB">
          <w:delText> %</w:delText>
        </w:r>
        <w:r w:rsidRPr="001B4A02">
          <w:delText xml:space="preserve"> pacientů léčených placebem</w:delText>
        </w:r>
        <w:r w:rsidR="002378E0">
          <w:delText xml:space="preserve"> a </w:delText>
        </w:r>
        <w:r w:rsidRPr="001B4A02">
          <w:delText xml:space="preserve">aktivní kontrolou, kteří měli negativní výchozí titry antinukleárních protilátek, zjištěny pozitivní titry </w:delText>
        </w:r>
        <w:r w:rsidR="00D00F8F">
          <w:delText>v</w:delText>
        </w:r>
        <w:r w:rsidR="009A3A47">
          <w:rPr>
            <w:rStyle w:val="normaltextrun"/>
            <w:shd w:val="clear" w:color="auto" w:fill="FFFFFF"/>
          </w:rPr>
          <w:delText> </w:delText>
        </w:r>
        <w:r w:rsidR="00D00F8F">
          <w:delText>týdnu 24</w:delText>
        </w:r>
        <w:r w:rsidRPr="001B4A02">
          <w:delText xml:space="preserve"> léčby. U dvou pacientů z 3</w:delText>
        </w:r>
        <w:r w:rsidR="00A417AC" w:rsidRPr="001B4A02">
          <w:delText> </w:delText>
        </w:r>
        <w:r w:rsidRPr="001B4A02">
          <w:delText>441 nemocných léčených přípravkem Humira ve všech studiích s revmatoidní</w:delText>
        </w:r>
        <w:r w:rsidR="002378E0">
          <w:delText xml:space="preserve"> a </w:delText>
        </w:r>
        <w:r w:rsidRPr="001B4A02">
          <w:delText>psoriatickou artritidou došlo k rozvoji klinických příznaků naznačujících možnost nového vzniku syndromu podobnému lupusu. Po vysazení léčby došlo u těchto pacientů ke zlepšení. U žádného pacienta nedošlo k rozvoji lupózní nefritidy či symptomů postižení centrálního nervového systému.</w:delText>
        </w:r>
      </w:del>
    </w:p>
    <w:p w14:paraId="36A67F63" w14:textId="77777777" w:rsidR="00073F8F" w:rsidRPr="001B4A02" w:rsidRDefault="00073F8F" w:rsidP="00ED48A3">
      <w:pPr>
        <w:ind w:left="0" w:firstLine="0"/>
        <w:rPr>
          <w:del w:id="1391" w:author="AbbVie1" w:date="2025-05-13T09:50:00Z"/>
        </w:rPr>
      </w:pPr>
    </w:p>
    <w:p w14:paraId="2C71BF53" w14:textId="77777777" w:rsidR="00073F8F" w:rsidRPr="001B4A02" w:rsidRDefault="00000000" w:rsidP="00D84336">
      <w:pPr>
        <w:keepNext/>
        <w:jc w:val="both"/>
        <w:rPr>
          <w:del w:id="1392" w:author="AbbVie1" w:date="2025-05-13T09:50:00Z"/>
          <w:i/>
          <w:szCs w:val="22"/>
        </w:rPr>
      </w:pPr>
      <w:del w:id="1393" w:author="AbbVie1" w:date="2025-05-13T09:50:00Z">
        <w:r w:rsidRPr="001B4A02">
          <w:rPr>
            <w:i/>
            <w:szCs w:val="22"/>
          </w:rPr>
          <w:delText>Hepatobiliá</w:delText>
        </w:r>
        <w:r w:rsidR="00C114D7" w:rsidRPr="001B4A02">
          <w:rPr>
            <w:i/>
            <w:szCs w:val="22"/>
          </w:rPr>
          <w:delText>r</w:delText>
        </w:r>
        <w:r w:rsidRPr="001B4A02">
          <w:rPr>
            <w:i/>
            <w:szCs w:val="22"/>
          </w:rPr>
          <w:delText>ní poruchy</w:delText>
        </w:r>
      </w:del>
    </w:p>
    <w:p w14:paraId="22C59C22" w14:textId="77777777" w:rsidR="00073F8F" w:rsidRPr="001B4A02" w:rsidRDefault="00073F8F" w:rsidP="00D84336">
      <w:pPr>
        <w:keepNext/>
        <w:jc w:val="both"/>
        <w:rPr>
          <w:del w:id="1394" w:author="AbbVie1" w:date="2025-05-13T09:50:00Z"/>
          <w:szCs w:val="22"/>
          <w:u w:val="single"/>
        </w:rPr>
      </w:pPr>
    </w:p>
    <w:p w14:paraId="12039B0C" w14:textId="77777777" w:rsidR="00073F8F" w:rsidRPr="001B4A02" w:rsidRDefault="00000000" w:rsidP="00ED48A3">
      <w:pPr>
        <w:pStyle w:val="EMEANormal"/>
        <w:shd w:val="clear" w:color="auto" w:fill="FFFFFF"/>
        <w:rPr>
          <w:del w:id="1395" w:author="AbbVie1" w:date="2025-05-13T09:50:00Z"/>
          <w:shd w:val="clear" w:color="auto" w:fill="FFFFFF"/>
          <w:lang w:val="cs-CZ"/>
        </w:rPr>
      </w:pPr>
      <w:del w:id="1396" w:author="AbbVie1" w:date="2025-05-13T09:50:00Z">
        <w:r w:rsidRPr="001B4A02">
          <w:rPr>
            <w:szCs w:val="22"/>
            <w:lang w:val="cs-CZ"/>
          </w:rPr>
          <w:delText xml:space="preserve">V kontrolovaných klinických studiích fáze </w:delText>
        </w:r>
        <w:r w:rsidR="00C223B0" w:rsidRPr="001B4A02">
          <w:rPr>
            <w:szCs w:val="22"/>
            <w:lang w:val="cs-CZ"/>
          </w:rPr>
          <w:delText>3</w:delText>
        </w:r>
        <w:r w:rsidR="00F750B2" w:rsidRPr="001B4A02">
          <w:rPr>
            <w:szCs w:val="22"/>
            <w:lang w:val="cs-CZ"/>
          </w:rPr>
          <w:delText xml:space="preserve"> </w:delText>
        </w:r>
        <w:r w:rsidRPr="001B4A02">
          <w:rPr>
            <w:szCs w:val="22"/>
            <w:lang w:val="cs-CZ"/>
          </w:rPr>
          <w:delText xml:space="preserve">s přípravkem Humira, </w:delText>
        </w:r>
        <w:r w:rsidRPr="001B4A02">
          <w:rPr>
            <w:szCs w:val="22"/>
            <w:shd w:val="clear" w:color="auto" w:fill="FFFFFF"/>
            <w:lang w:val="cs-CZ"/>
          </w:rPr>
          <w:delText>zaměřených na revmatoidní artritidu</w:delText>
        </w:r>
        <w:r w:rsidR="002378E0">
          <w:rPr>
            <w:szCs w:val="22"/>
            <w:shd w:val="clear" w:color="auto" w:fill="FFFFFF"/>
            <w:lang w:val="cs-CZ"/>
          </w:rPr>
          <w:delText xml:space="preserve"> a </w:delText>
        </w:r>
        <w:r w:rsidRPr="001B4A02">
          <w:rPr>
            <w:szCs w:val="22"/>
            <w:shd w:val="clear" w:color="auto" w:fill="FFFFFF"/>
            <w:lang w:val="cs-CZ"/>
          </w:rPr>
          <w:delText>psori</w:delText>
        </w:r>
        <w:r w:rsidR="009303EB" w:rsidRPr="001B4A02">
          <w:rPr>
            <w:szCs w:val="22"/>
            <w:shd w:val="clear" w:color="auto" w:fill="FFFFFF"/>
            <w:lang w:val="cs-CZ"/>
          </w:rPr>
          <w:delText>a</w:delText>
        </w:r>
        <w:r w:rsidRPr="001B4A02">
          <w:rPr>
            <w:szCs w:val="22"/>
            <w:shd w:val="clear" w:color="auto" w:fill="FFFFFF"/>
            <w:lang w:val="cs-CZ"/>
          </w:rPr>
          <w:delText>tickou artritidu</w:delText>
        </w:r>
        <w:r w:rsidR="00FD74AE" w:rsidRPr="001B4A02">
          <w:rPr>
            <w:szCs w:val="22"/>
            <w:shd w:val="clear" w:color="auto" w:fill="FFFFFF"/>
            <w:lang w:val="cs-CZ"/>
          </w:rPr>
          <w:delText>,</w:delText>
        </w:r>
        <w:r w:rsidRPr="001B4A02">
          <w:rPr>
            <w:szCs w:val="22"/>
            <w:shd w:val="clear" w:color="auto" w:fill="FFFFFF"/>
            <w:lang w:val="cs-CZ"/>
          </w:rPr>
          <w:delText xml:space="preserve"> </w:delText>
        </w:r>
        <w:r w:rsidR="00234FDF" w:rsidRPr="001B4A02">
          <w:rPr>
            <w:szCs w:val="22"/>
            <w:shd w:val="clear" w:color="auto" w:fill="FFFFFF"/>
            <w:lang w:val="cs-CZ"/>
          </w:rPr>
          <w:delText xml:space="preserve">se </w:delText>
        </w:r>
        <w:r w:rsidRPr="001B4A02">
          <w:rPr>
            <w:szCs w:val="22"/>
            <w:shd w:val="clear" w:color="auto" w:fill="FFFFFF"/>
            <w:lang w:val="cs-CZ"/>
          </w:rPr>
          <w:delText xml:space="preserve">po </w:delText>
        </w:r>
        <w:r w:rsidR="00234FDF" w:rsidRPr="001B4A02">
          <w:rPr>
            <w:szCs w:val="22"/>
            <w:shd w:val="clear" w:color="auto" w:fill="FFFFFF"/>
            <w:lang w:val="cs-CZ"/>
          </w:rPr>
          <w:delText>sledov</w:delText>
        </w:r>
        <w:r w:rsidRPr="001B4A02">
          <w:rPr>
            <w:szCs w:val="22"/>
            <w:shd w:val="clear" w:color="auto" w:fill="FFFFFF"/>
            <w:lang w:val="cs-CZ"/>
          </w:rPr>
          <w:delText>anou dobu trvání v rozmezí od 4 do</w:delText>
        </w:r>
        <w:r w:rsidR="00234FDF" w:rsidRPr="001B4A02">
          <w:rPr>
            <w:szCs w:val="22"/>
            <w:shd w:val="clear" w:color="auto" w:fill="FFFFFF"/>
            <w:lang w:val="cs-CZ"/>
          </w:rPr>
          <w:delText xml:space="preserve"> 104 týdnů objevilo </w:delText>
        </w:r>
        <w:r w:rsidRPr="001B4A02">
          <w:rPr>
            <w:szCs w:val="22"/>
            <w:shd w:val="clear" w:color="auto" w:fill="FFFFFF"/>
            <w:lang w:val="cs-CZ"/>
          </w:rPr>
          <w:delText xml:space="preserve">zvýšení ALT </w:delText>
        </w:r>
        <w:r w:rsidRPr="001B4A02">
          <w:rPr>
            <w:lang w:val="cs-CZ"/>
          </w:rPr>
          <w:delText>≥ 3 x ULN</w:delText>
        </w:r>
        <w:r w:rsidRPr="001B4A02">
          <w:rPr>
            <w:szCs w:val="22"/>
            <w:shd w:val="clear" w:color="auto" w:fill="FFFFFF"/>
            <w:lang w:val="cs-CZ"/>
          </w:rPr>
          <w:delText xml:space="preserve"> </w:delText>
        </w:r>
        <w:r w:rsidR="000F6D9E" w:rsidRPr="001B4A02">
          <w:rPr>
            <w:szCs w:val="22"/>
            <w:shd w:val="clear" w:color="auto" w:fill="FFFFFF"/>
            <w:lang w:val="cs-CZ"/>
          </w:rPr>
          <w:delText>u </w:delText>
        </w:r>
        <w:r w:rsidRPr="001B4A02">
          <w:rPr>
            <w:szCs w:val="22"/>
            <w:shd w:val="clear" w:color="auto" w:fill="FFFFFF"/>
            <w:lang w:val="cs-CZ"/>
          </w:rPr>
          <w:delText>3,7</w:delText>
        </w:r>
        <w:r w:rsidR="006008CB">
          <w:rPr>
            <w:szCs w:val="22"/>
            <w:shd w:val="clear" w:color="auto" w:fill="FFFFFF"/>
            <w:lang w:val="cs-CZ"/>
          </w:rPr>
          <w:delText> %</w:delText>
        </w:r>
        <w:r w:rsidRPr="001B4A02">
          <w:rPr>
            <w:szCs w:val="22"/>
            <w:shd w:val="clear" w:color="auto" w:fill="FFFFFF"/>
            <w:lang w:val="cs-CZ"/>
          </w:rPr>
          <w:delText xml:space="preserve"> pacientů léčených přípravkem Humira</w:delText>
        </w:r>
        <w:r w:rsidR="002378E0">
          <w:rPr>
            <w:szCs w:val="22"/>
            <w:shd w:val="clear" w:color="auto" w:fill="FFFFFF"/>
            <w:lang w:val="cs-CZ"/>
          </w:rPr>
          <w:delText xml:space="preserve"> a </w:delText>
        </w:r>
        <w:r w:rsidR="00626C4C" w:rsidRPr="001B4A02">
          <w:rPr>
            <w:szCs w:val="22"/>
            <w:shd w:val="clear" w:color="auto" w:fill="FFFFFF"/>
            <w:lang w:val="cs-CZ"/>
          </w:rPr>
          <w:delText>u</w:delText>
        </w:r>
        <w:r w:rsidR="000F6D9E" w:rsidRPr="001B4A02">
          <w:rPr>
            <w:szCs w:val="22"/>
            <w:shd w:val="clear" w:color="auto" w:fill="FFFFFF"/>
            <w:lang w:val="cs-CZ"/>
          </w:rPr>
          <w:delText> </w:delText>
        </w:r>
        <w:r w:rsidRPr="001B4A02">
          <w:rPr>
            <w:szCs w:val="22"/>
            <w:shd w:val="clear" w:color="auto" w:fill="FFFFFF"/>
            <w:lang w:val="cs-CZ"/>
          </w:rPr>
          <w:delText>1,6</w:delText>
        </w:r>
        <w:r w:rsidR="006008CB">
          <w:rPr>
            <w:szCs w:val="22"/>
            <w:shd w:val="clear" w:color="auto" w:fill="FFFFFF"/>
            <w:lang w:val="cs-CZ"/>
          </w:rPr>
          <w:delText> %</w:delText>
        </w:r>
        <w:r w:rsidRPr="001B4A02">
          <w:rPr>
            <w:szCs w:val="22"/>
            <w:shd w:val="clear" w:color="auto" w:fill="FFFFFF"/>
            <w:lang w:val="cs-CZ"/>
          </w:rPr>
          <w:delText xml:space="preserve"> pacientů léčených kontrolním přípravkem.</w:delText>
        </w:r>
      </w:del>
    </w:p>
    <w:p w14:paraId="2F5FD4E8" w14:textId="77777777" w:rsidR="00990D20" w:rsidRPr="001B4A02" w:rsidRDefault="00990D20" w:rsidP="00ED48A3">
      <w:pPr>
        <w:pStyle w:val="EMEANormal"/>
        <w:shd w:val="clear" w:color="auto" w:fill="FFFFFF"/>
        <w:rPr>
          <w:del w:id="1397" w:author="AbbVie1" w:date="2025-05-13T09:50:00Z"/>
          <w:shd w:val="clear" w:color="auto" w:fill="FFFFFF"/>
          <w:lang w:val="cs-CZ"/>
        </w:rPr>
      </w:pPr>
    </w:p>
    <w:p w14:paraId="0A778EF1" w14:textId="77777777" w:rsidR="000A158D" w:rsidRPr="001B4A02" w:rsidRDefault="00000000" w:rsidP="00ED48A3">
      <w:pPr>
        <w:pStyle w:val="EMEANormal"/>
        <w:shd w:val="clear" w:color="auto" w:fill="FFFFFF"/>
        <w:rPr>
          <w:del w:id="1398" w:author="AbbVie1" w:date="2025-05-13T09:50:00Z"/>
          <w:shd w:val="clear" w:color="auto" w:fill="FFFFFF"/>
          <w:lang w:val="cs-CZ"/>
        </w:rPr>
      </w:pPr>
      <w:del w:id="1399" w:author="AbbVie1" w:date="2025-05-13T09:50:00Z">
        <w:r w:rsidRPr="001B4A02">
          <w:rPr>
            <w:shd w:val="clear" w:color="auto" w:fill="FFFFFF"/>
            <w:lang w:val="cs-CZ"/>
          </w:rPr>
          <w:delText xml:space="preserve">V kontrolovaných </w:delText>
        </w:r>
        <w:r w:rsidR="00C223B0" w:rsidRPr="001B4A02">
          <w:rPr>
            <w:szCs w:val="22"/>
            <w:lang w:val="cs-CZ"/>
          </w:rPr>
          <w:delText xml:space="preserve">klinických </w:delText>
        </w:r>
        <w:r w:rsidRPr="001B4A02">
          <w:rPr>
            <w:shd w:val="clear" w:color="auto" w:fill="FFFFFF"/>
            <w:lang w:val="cs-CZ"/>
          </w:rPr>
          <w:delText xml:space="preserve">studiích fáze </w:delText>
        </w:r>
        <w:r w:rsidR="00C223B0" w:rsidRPr="001B4A02">
          <w:rPr>
            <w:shd w:val="clear" w:color="auto" w:fill="FFFFFF"/>
            <w:lang w:val="cs-CZ"/>
          </w:rPr>
          <w:delText>3</w:delText>
        </w:r>
        <w:r w:rsidR="00F750B2" w:rsidRPr="001B4A02">
          <w:rPr>
            <w:shd w:val="clear" w:color="auto" w:fill="FFFFFF"/>
            <w:lang w:val="cs-CZ"/>
          </w:rPr>
          <w:delText xml:space="preserve"> </w:delText>
        </w:r>
        <w:r w:rsidRPr="001B4A02">
          <w:rPr>
            <w:shd w:val="clear" w:color="auto" w:fill="FFFFFF"/>
            <w:lang w:val="cs-CZ"/>
          </w:rPr>
          <w:delText>s </w:delText>
        </w:r>
        <w:r w:rsidR="00C223B0" w:rsidRPr="001B4A02">
          <w:rPr>
            <w:shd w:val="clear" w:color="auto" w:fill="FFFFFF"/>
            <w:lang w:val="cs-CZ"/>
          </w:rPr>
          <w:delText xml:space="preserve">přípravkem </w:delText>
        </w:r>
        <w:r w:rsidRPr="001B4A02">
          <w:rPr>
            <w:shd w:val="clear" w:color="auto" w:fill="FFFFFF"/>
            <w:lang w:val="cs-CZ"/>
          </w:rPr>
          <w:delText>Humir</w:delText>
        </w:r>
        <w:r w:rsidR="00C223B0" w:rsidRPr="001B4A02">
          <w:rPr>
            <w:shd w:val="clear" w:color="auto" w:fill="FFFFFF"/>
            <w:lang w:val="cs-CZ"/>
          </w:rPr>
          <w:delText>a</w:delText>
        </w:r>
        <w:r w:rsidR="000F6D9E" w:rsidRPr="001B4A02">
          <w:rPr>
            <w:shd w:val="clear" w:color="auto" w:fill="FFFFFF"/>
            <w:lang w:val="cs-CZ"/>
          </w:rPr>
          <w:delText xml:space="preserve"> u </w:delText>
        </w:r>
        <w:r w:rsidRPr="001B4A02">
          <w:rPr>
            <w:shd w:val="clear" w:color="auto" w:fill="FFFFFF"/>
            <w:lang w:val="cs-CZ"/>
          </w:rPr>
          <w:delText>pacientů s polyartikulární juvenilní idiopatickou artritidou ve věku od 4 do 17 let</w:delText>
        </w:r>
        <w:r w:rsidR="002378E0">
          <w:rPr>
            <w:shd w:val="clear" w:color="auto" w:fill="FFFFFF"/>
            <w:lang w:val="cs-CZ"/>
          </w:rPr>
          <w:delText xml:space="preserve"> a </w:delText>
        </w:r>
        <w:r w:rsidRPr="001B4A02">
          <w:rPr>
            <w:shd w:val="clear" w:color="auto" w:fill="FFFFFF"/>
            <w:lang w:val="cs-CZ"/>
          </w:rPr>
          <w:delText>ente</w:delText>
        </w:r>
        <w:r w:rsidR="00A858EA" w:rsidRPr="001B4A02">
          <w:rPr>
            <w:shd w:val="clear" w:color="auto" w:fill="FFFFFF"/>
            <w:lang w:val="cs-CZ"/>
          </w:rPr>
          <w:delText>zopatickou</w:delText>
        </w:r>
        <w:r w:rsidRPr="001B4A02">
          <w:rPr>
            <w:shd w:val="clear" w:color="auto" w:fill="FFFFFF"/>
            <w:lang w:val="cs-CZ"/>
          </w:rPr>
          <w:delText xml:space="preserve"> artritidou ve věku 6 </w:delText>
        </w:r>
        <w:r w:rsidR="00451F21" w:rsidRPr="001B4A02">
          <w:rPr>
            <w:shd w:val="clear" w:color="auto" w:fill="FFFFFF"/>
            <w:lang w:val="cs-CZ"/>
          </w:rPr>
          <w:delText>až</w:delText>
        </w:r>
        <w:r w:rsidRPr="001B4A02">
          <w:rPr>
            <w:shd w:val="clear" w:color="auto" w:fill="FFFFFF"/>
            <w:lang w:val="cs-CZ"/>
          </w:rPr>
          <w:delText xml:space="preserve"> 17 let se </w:delText>
        </w:r>
        <w:r w:rsidR="00C114D7" w:rsidRPr="001B4A02">
          <w:rPr>
            <w:szCs w:val="22"/>
            <w:shd w:val="clear" w:color="auto" w:fill="FFFFFF"/>
            <w:lang w:val="cs-CZ"/>
          </w:rPr>
          <w:delText>objevilo zvýšení</w:delText>
        </w:r>
        <w:r w:rsidRPr="001B4A02">
          <w:rPr>
            <w:shd w:val="clear" w:color="auto" w:fill="FFFFFF"/>
            <w:lang w:val="cs-CZ"/>
          </w:rPr>
          <w:delText xml:space="preserve"> ALT </w:delText>
        </w:r>
        <w:r w:rsidRPr="001B4A02">
          <w:rPr>
            <w:iCs/>
            <w:lang w:val="cs-CZ"/>
          </w:rPr>
          <w:delText>≥ 3 x ULN u</w:delText>
        </w:r>
        <w:r w:rsidR="000F6D9E" w:rsidRPr="001B4A02">
          <w:rPr>
            <w:iCs/>
            <w:lang w:val="cs-CZ"/>
          </w:rPr>
          <w:delText> </w:delText>
        </w:r>
        <w:r w:rsidRPr="001B4A02">
          <w:rPr>
            <w:iCs/>
            <w:lang w:val="cs-CZ"/>
          </w:rPr>
          <w:delText>6,1</w:delText>
        </w:r>
        <w:r w:rsidR="006008CB">
          <w:rPr>
            <w:iCs/>
            <w:lang w:val="cs-CZ"/>
          </w:rPr>
          <w:delText> %</w:delText>
        </w:r>
        <w:r w:rsidRPr="001B4A02">
          <w:rPr>
            <w:iCs/>
            <w:lang w:val="cs-CZ"/>
          </w:rPr>
          <w:delText xml:space="preserve"> pacientů léčených</w:delText>
        </w:r>
        <w:r w:rsidR="00C223B0" w:rsidRPr="001B4A02">
          <w:rPr>
            <w:shd w:val="clear" w:color="auto" w:fill="FFFFFF"/>
            <w:lang w:val="cs-CZ"/>
          </w:rPr>
          <w:delText xml:space="preserve"> přípravkem</w:delText>
        </w:r>
        <w:r w:rsidRPr="001B4A02">
          <w:rPr>
            <w:iCs/>
            <w:lang w:val="cs-CZ"/>
          </w:rPr>
          <w:delText xml:space="preserve"> Humir</w:delText>
        </w:r>
        <w:r w:rsidR="00C223B0" w:rsidRPr="001B4A02">
          <w:rPr>
            <w:iCs/>
            <w:lang w:val="cs-CZ"/>
          </w:rPr>
          <w:delText>a</w:delText>
        </w:r>
        <w:r w:rsidR="002378E0">
          <w:rPr>
            <w:iCs/>
            <w:lang w:val="cs-CZ"/>
          </w:rPr>
          <w:delText xml:space="preserve"> a </w:delText>
        </w:r>
        <w:r w:rsidRPr="001B4A02">
          <w:rPr>
            <w:iCs/>
            <w:lang w:val="cs-CZ"/>
          </w:rPr>
          <w:delText>u</w:delText>
        </w:r>
        <w:r w:rsidR="000F6D9E" w:rsidRPr="001B4A02">
          <w:rPr>
            <w:iCs/>
            <w:lang w:val="cs-CZ"/>
          </w:rPr>
          <w:delText> </w:delText>
        </w:r>
        <w:r w:rsidRPr="001B4A02">
          <w:rPr>
            <w:iCs/>
            <w:lang w:val="cs-CZ"/>
          </w:rPr>
          <w:delText>1,3</w:delText>
        </w:r>
        <w:r w:rsidR="006008CB">
          <w:rPr>
            <w:iCs/>
            <w:lang w:val="cs-CZ"/>
          </w:rPr>
          <w:delText> %</w:delText>
        </w:r>
        <w:r w:rsidRPr="001B4A02">
          <w:rPr>
            <w:iCs/>
            <w:lang w:val="cs-CZ"/>
          </w:rPr>
          <w:delText xml:space="preserve"> pacientů léčených </w:delText>
        </w:r>
        <w:r w:rsidR="00E2410C" w:rsidRPr="001B4A02">
          <w:rPr>
            <w:iCs/>
            <w:lang w:val="cs-CZ"/>
          </w:rPr>
          <w:delText>v</w:delText>
        </w:r>
        <w:r w:rsidR="000F6D9E" w:rsidRPr="001B4A02">
          <w:rPr>
            <w:iCs/>
            <w:lang w:val="cs-CZ"/>
          </w:rPr>
          <w:delText> </w:delText>
        </w:r>
        <w:r w:rsidR="00E2410C" w:rsidRPr="001B4A02">
          <w:rPr>
            <w:iCs/>
            <w:lang w:val="cs-CZ"/>
          </w:rPr>
          <w:delText>kontrolní skupině</w:delText>
        </w:r>
        <w:r w:rsidRPr="001B4A02">
          <w:rPr>
            <w:iCs/>
            <w:lang w:val="cs-CZ"/>
          </w:rPr>
          <w:delText xml:space="preserve">. Ve většině případů se zvýšení ALT vyskytlo při současném podávání methotrexátu. </w:delText>
        </w:r>
        <w:r w:rsidR="009F7767" w:rsidRPr="001B4A02">
          <w:rPr>
            <w:iCs/>
            <w:lang w:val="cs-CZ"/>
          </w:rPr>
          <w:delText xml:space="preserve">Žádné zvýšení ALT ≥ 3 x ULN se nevyskytlo ve fázi </w:delText>
        </w:r>
        <w:r w:rsidR="00C223B0" w:rsidRPr="001B4A02">
          <w:rPr>
            <w:iCs/>
            <w:lang w:val="cs-CZ"/>
          </w:rPr>
          <w:delText>3</w:delText>
        </w:r>
        <w:r w:rsidR="009F7767" w:rsidRPr="001B4A02">
          <w:rPr>
            <w:iCs/>
            <w:lang w:val="cs-CZ"/>
          </w:rPr>
          <w:delText xml:space="preserve"> klinické studie s</w:delText>
        </w:r>
        <w:r w:rsidR="00C223B0" w:rsidRPr="001B4A02">
          <w:rPr>
            <w:iCs/>
            <w:lang w:val="cs-CZ"/>
          </w:rPr>
          <w:delText> </w:delText>
        </w:r>
        <w:r w:rsidR="00C223B0" w:rsidRPr="001B4A02">
          <w:rPr>
            <w:szCs w:val="22"/>
            <w:lang w:val="cs-CZ"/>
          </w:rPr>
          <w:delText xml:space="preserve">přípravkem </w:delText>
        </w:r>
        <w:r w:rsidR="009F7767" w:rsidRPr="001B4A02">
          <w:rPr>
            <w:iCs/>
            <w:lang w:val="cs-CZ"/>
          </w:rPr>
          <w:delText>Humir</w:delText>
        </w:r>
        <w:r w:rsidR="00C223B0" w:rsidRPr="001B4A02">
          <w:rPr>
            <w:iCs/>
            <w:lang w:val="cs-CZ"/>
          </w:rPr>
          <w:delText>a</w:delText>
        </w:r>
        <w:r w:rsidR="009F7767" w:rsidRPr="001B4A02">
          <w:rPr>
            <w:iCs/>
            <w:lang w:val="cs-CZ"/>
          </w:rPr>
          <w:delText xml:space="preserve"> u</w:delText>
        </w:r>
        <w:r w:rsidR="000F6D9E" w:rsidRPr="001B4A02">
          <w:rPr>
            <w:iCs/>
            <w:lang w:val="cs-CZ"/>
          </w:rPr>
          <w:delText> </w:delText>
        </w:r>
        <w:r w:rsidRPr="001B4A02">
          <w:rPr>
            <w:iCs/>
            <w:lang w:val="cs-CZ"/>
          </w:rPr>
          <w:delText>pacientů s</w:delText>
        </w:r>
        <w:r w:rsidR="000F6D9E" w:rsidRPr="001B4A02">
          <w:rPr>
            <w:iCs/>
            <w:lang w:val="cs-CZ"/>
          </w:rPr>
          <w:delText> </w:delText>
        </w:r>
        <w:r w:rsidRPr="001B4A02">
          <w:rPr>
            <w:iCs/>
            <w:lang w:val="cs-CZ"/>
          </w:rPr>
          <w:delText>polyartikulární juvenilní idiopatickou a</w:delText>
        </w:r>
        <w:r w:rsidR="00062315" w:rsidRPr="001B4A02">
          <w:rPr>
            <w:iCs/>
            <w:lang w:val="cs-CZ"/>
          </w:rPr>
          <w:delText xml:space="preserve">rtritidou ve věku 2 </w:delText>
        </w:r>
        <w:r w:rsidR="00451F21" w:rsidRPr="001B4A02">
          <w:rPr>
            <w:shd w:val="clear" w:color="auto" w:fill="FFFFFF"/>
            <w:lang w:val="cs-CZ"/>
          </w:rPr>
          <w:delText>až</w:delText>
        </w:r>
        <w:r w:rsidR="00A06249" w:rsidRPr="001B4A02">
          <w:rPr>
            <w:iCs/>
            <w:lang w:val="cs-CZ"/>
          </w:rPr>
          <w:delText xml:space="preserve"> </w:delText>
        </w:r>
        <w:r w:rsidR="00A06249" w:rsidRPr="001B4A02">
          <w:rPr>
            <w:lang w:val="cs-CZ"/>
          </w:rPr>
          <w:delText xml:space="preserve">&lt; </w:delText>
        </w:r>
        <w:r w:rsidR="009F7767" w:rsidRPr="001B4A02">
          <w:rPr>
            <w:iCs/>
            <w:lang w:val="cs-CZ"/>
          </w:rPr>
          <w:delText>4 let.</w:delText>
        </w:r>
      </w:del>
    </w:p>
    <w:p w14:paraId="27B3720B" w14:textId="77777777" w:rsidR="00146D4E" w:rsidRPr="001B4A02" w:rsidRDefault="00146D4E" w:rsidP="00ED48A3">
      <w:pPr>
        <w:pStyle w:val="EMEANormal"/>
        <w:shd w:val="clear" w:color="auto" w:fill="FFFFFF"/>
        <w:rPr>
          <w:del w:id="1400" w:author="AbbVie1" w:date="2025-05-13T09:50:00Z"/>
          <w:shd w:val="clear" w:color="auto" w:fill="FFFFFF"/>
          <w:lang w:val="cs-CZ"/>
        </w:rPr>
      </w:pPr>
    </w:p>
    <w:p w14:paraId="2A2AD635" w14:textId="77777777" w:rsidR="00073F8F" w:rsidRPr="001B4A02" w:rsidRDefault="00000000" w:rsidP="00ED48A3">
      <w:pPr>
        <w:pStyle w:val="EMEANormal"/>
        <w:shd w:val="clear" w:color="auto" w:fill="FFFFFF"/>
        <w:rPr>
          <w:del w:id="1401" w:author="AbbVie1" w:date="2025-05-13T09:50:00Z"/>
          <w:shd w:val="clear" w:color="auto" w:fill="FFFFFF"/>
          <w:lang w:val="cs-CZ"/>
        </w:rPr>
      </w:pPr>
      <w:del w:id="1402" w:author="AbbVie1" w:date="2025-05-13T09:50:00Z">
        <w:r w:rsidRPr="001B4A02">
          <w:rPr>
            <w:shd w:val="clear" w:color="auto" w:fill="FFFFFF"/>
            <w:lang w:val="cs-CZ"/>
          </w:rPr>
          <w:delText xml:space="preserve">V kontrolovaných klinických studiích fáze </w:delText>
        </w:r>
        <w:r w:rsidR="00C223B0" w:rsidRPr="001B4A02">
          <w:rPr>
            <w:shd w:val="clear" w:color="auto" w:fill="FFFFFF"/>
            <w:lang w:val="cs-CZ"/>
          </w:rPr>
          <w:delText>3</w:delText>
        </w:r>
        <w:r w:rsidR="00F750B2" w:rsidRPr="001B4A02">
          <w:rPr>
            <w:shd w:val="clear" w:color="auto" w:fill="FFFFFF"/>
            <w:lang w:val="cs-CZ"/>
          </w:rPr>
          <w:delText xml:space="preserve"> </w:delText>
        </w:r>
        <w:r w:rsidRPr="001B4A02">
          <w:rPr>
            <w:shd w:val="clear" w:color="auto" w:fill="FFFFFF"/>
            <w:lang w:val="cs-CZ"/>
          </w:rPr>
          <w:delText>s přípravkem Humira u</w:delText>
        </w:r>
        <w:r w:rsidR="000F6D9E" w:rsidRPr="001B4A02">
          <w:rPr>
            <w:shd w:val="clear" w:color="auto" w:fill="FFFFFF"/>
            <w:lang w:val="cs-CZ"/>
          </w:rPr>
          <w:delText> </w:delText>
        </w:r>
        <w:r w:rsidRPr="001B4A02">
          <w:rPr>
            <w:shd w:val="clear" w:color="auto" w:fill="FFFFFF"/>
            <w:lang w:val="cs-CZ"/>
          </w:rPr>
          <w:delText>pacientů s Crohnovou chorobou</w:delText>
        </w:r>
        <w:r w:rsidR="002378E0">
          <w:rPr>
            <w:shd w:val="clear" w:color="auto" w:fill="FFFFFF"/>
            <w:lang w:val="cs-CZ"/>
          </w:rPr>
          <w:delText xml:space="preserve"> a </w:delText>
        </w:r>
        <w:r w:rsidRPr="001B4A02">
          <w:rPr>
            <w:shd w:val="clear" w:color="auto" w:fill="FFFFFF"/>
            <w:lang w:val="cs-CZ"/>
          </w:rPr>
          <w:delText xml:space="preserve">ulcerózní kolitidou se po sledovanou dobu trvání v rozmezí od 4 do 52 týdnů objevilo zvýšení </w:delText>
        </w:r>
        <w:r w:rsidRPr="001B4A02">
          <w:rPr>
            <w:szCs w:val="22"/>
            <w:shd w:val="clear" w:color="auto" w:fill="FFFFFF"/>
            <w:lang w:val="cs-CZ"/>
          </w:rPr>
          <w:delText xml:space="preserve">ALT </w:delText>
        </w:r>
        <w:r w:rsidRPr="001B4A02">
          <w:rPr>
            <w:lang w:val="cs-CZ"/>
          </w:rPr>
          <w:delText>≥</w:delText>
        </w:r>
        <w:r w:rsidR="000F6D9E" w:rsidRPr="001B4A02">
          <w:rPr>
            <w:lang w:val="cs-CZ"/>
          </w:rPr>
          <w:delText> </w:delText>
        </w:r>
        <w:r w:rsidRPr="001B4A02">
          <w:rPr>
            <w:lang w:val="cs-CZ"/>
          </w:rPr>
          <w:delText>3 x ULN</w:delText>
        </w:r>
        <w:r w:rsidRPr="001B4A02">
          <w:rPr>
            <w:szCs w:val="22"/>
            <w:shd w:val="clear" w:color="auto" w:fill="FFFFFF"/>
            <w:lang w:val="cs-CZ"/>
          </w:rPr>
          <w:delText xml:space="preserve"> u</w:delText>
        </w:r>
        <w:r w:rsidR="000F6D9E" w:rsidRPr="001B4A02">
          <w:rPr>
            <w:szCs w:val="22"/>
            <w:shd w:val="clear" w:color="auto" w:fill="FFFFFF"/>
            <w:lang w:val="cs-CZ"/>
          </w:rPr>
          <w:delText> </w:delText>
        </w:r>
        <w:r w:rsidRPr="001B4A02">
          <w:rPr>
            <w:szCs w:val="22"/>
            <w:shd w:val="clear" w:color="auto" w:fill="FFFFFF"/>
            <w:lang w:val="cs-CZ"/>
          </w:rPr>
          <w:delText>0,9</w:delText>
        </w:r>
        <w:r w:rsidR="006008CB">
          <w:rPr>
            <w:szCs w:val="22"/>
            <w:shd w:val="clear" w:color="auto" w:fill="FFFFFF"/>
            <w:lang w:val="cs-CZ"/>
          </w:rPr>
          <w:delText> %</w:delText>
        </w:r>
        <w:r w:rsidRPr="001B4A02">
          <w:rPr>
            <w:szCs w:val="22"/>
            <w:shd w:val="clear" w:color="auto" w:fill="FFFFFF"/>
            <w:lang w:val="cs-CZ"/>
          </w:rPr>
          <w:delText xml:space="preserve"> pacientů léčených přípravkem Humira</w:delText>
        </w:r>
        <w:r w:rsidR="002378E0">
          <w:rPr>
            <w:szCs w:val="22"/>
            <w:shd w:val="clear" w:color="auto" w:fill="FFFFFF"/>
            <w:lang w:val="cs-CZ"/>
          </w:rPr>
          <w:delText xml:space="preserve"> a </w:delText>
        </w:r>
        <w:r w:rsidRPr="001B4A02">
          <w:rPr>
            <w:szCs w:val="22"/>
            <w:shd w:val="clear" w:color="auto" w:fill="FFFFFF"/>
            <w:lang w:val="cs-CZ"/>
          </w:rPr>
          <w:delText>u</w:delText>
        </w:r>
        <w:r w:rsidR="000F6D9E" w:rsidRPr="001B4A02">
          <w:rPr>
            <w:szCs w:val="22"/>
            <w:shd w:val="clear" w:color="auto" w:fill="FFFFFF"/>
            <w:lang w:val="cs-CZ"/>
          </w:rPr>
          <w:delText> </w:delText>
        </w:r>
        <w:r w:rsidRPr="001B4A02">
          <w:rPr>
            <w:szCs w:val="22"/>
            <w:shd w:val="clear" w:color="auto" w:fill="FFFFFF"/>
            <w:lang w:val="cs-CZ"/>
          </w:rPr>
          <w:delText>0,9</w:delText>
        </w:r>
        <w:r w:rsidR="006008CB">
          <w:rPr>
            <w:szCs w:val="22"/>
            <w:shd w:val="clear" w:color="auto" w:fill="FFFFFF"/>
            <w:lang w:val="cs-CZ"/>
          </w:rPr>
          <w:delText> %</w:delText>
        </w:r>
        <w:r w:rsidRPr="001B4A02">
          <w:rPr>
            <w:szCs w:val="22"/>
            <w:shd w:val="clear" w:color="auto" w:fill="FFFFFF"/>
            <w:lang w:val="cs-CZ"/>
          </w:rPr>
          <w:delText xml:space="preserve"> pacientů léčených kontrolním přípravkem</w:delText>
        </w:r>
        <w:r w:rsidRPr="001B4A02">
          <w:rPr>
            <w:shd w:val="clear" w:color="auto" w:fill="FFFFFF"/>
            <w:lang w:val="cs-CZ"/>
          </w:rPr>
          <w:delText>.</w:delText>
        </w:r>
      </w:del>
    </w:p>
    <w:p w14:paraId="48686A4C" w14:textId="77777777" w:rsidR="00990D20" w:rsidRPr="001B4A02" w:rsidRDefault="00990D20" w:rsidP="00ED48A3">
      <w:pPr>
        <w:pStyle w:val="EMEANormal"/>
        <w:shd w:val="clear" w:color="auto" w:fill="FFFFFF"/>
        <w:rPr>
          <w:del w:id="1403" w:author="AbbVie1" w:date="2025-05-13T09:50:00Z"/>
          <w:shd w:val="clear" w:color="auto" w:fill="FFFFFF"/>
          <w:lang w:val="cs-CZ"/>
        </w:rPr>
      </w:pPr>
    </w:p>
    <w:p w14:paraId="68C2C48B" w14:textId="77777777" w:rsidR="00990D20" w:rsidRPr="001B4A02" w:rsidRDefault="00000000" w:rsidP="00ED48A3">
      <w:pPr>
        <w:pStyle w:val="EMEANormal"/>
        <w:shd w:val="clear" w:color="auto" w:fill="FFFFFF"/>
        <w:rPr>
          <w:del w:id="1404" w:author="AbbVie1" w:date="2025-05-13T09:50:00Z"/>
          <w:shd w:val="clear" w:color="auto" w:fill="FFFFFF"/>
          <w:lang w:val="cs-CZ"/>
        </w:rPr>
      </w:pPr>
      <w:del w:id="1405" w:author="AbbVie1" w:date="2025-05-13T09:50:00Z">
        <w:r w:rsidRPr="001B4A02">
          <w:rPr>
            <w:shd w:val="clear" w:color="auto" w:fill="FFFFFF"/>
            <w:lang w:val="cs-CZ"/>
          </w:rPr>
          <w:delText xml:space="preserve">V klinické studii fáze </w:delText>
        </w:r>
        <w:r w:rsidR="00C223B0" w:rsidRPr="001B4A02">
          <w:rPr>
            <w:shd w:val="clear" w:color="auto" w:fill="FFFFFF"/>
            <w:lang w:val="cs-CZ"/>
          </w:rPr>
          <w:delText>3</w:delText>
        </w:r>
        <w:r w:rsidR="00F750B2" w:rsidRPr="001B4A02">
          <w:rPr>
            <w:shd w:val="clear" w:color="auto" w:fill="FFFFFF"/>
            <w:lang w:val="cs-CZ"/>
          </w:rPr>
          <w:delText xml:space="preserve"> </w:delText>
        </w:r>
        <w:r w:rsidRPr="001B4A02">
          <w:rPr>
            <w:shd w:val="clear" w:color="auto" w:fill="FFFFFF"/>
            <w:lang w:val="cs-CZ"/>
          </w:rPr>
          <w:delText>s přípravkem Humira u</w:delText>
        </w:r>
        <w:r w:rsidR="000F6D9E" w:rsidRPr="001B4A02">
          <w:rPr>
            <w:shd w:val="clear" w:color="auto" w:fill="FFFFFF"/>
            <w:lang w:val="cs-CZ"/>
          </w:rPr>
          <w:delText> </w:delText>
        </w:r>
        <w:r w:rsidRPr="001B4A02">
          <w:rPr>
            <w:shd w:val="clear" w:color="auto" w:fill="FFFFFF"/>
            <w:lang w:val="cs-CZ"/>
          </w:rPr>
          <w:delText>pediatrických pacientů s Crohnovou chorobou, která hodnotila účinnost</w:delText>
        </w:r>
        <w:r w:rsidR="002378E0">
          <w:rPr>
            <w:shd w:val="clear" w:color="auto" w:fill="FFFFFF"/>
            <w:lang w:val="cs-CZ"/>
          </w:rPr>
          <w:delText xml:space="preserve"> a </w:delText>
        </w:r>
        <w:r w:rsidRPr="001B4A02">
          <w:rPr>
            <w:shd w:val="clear" w:color="auto" w:fill="FFFFFF"/>
            <w:lang w:val="cs-CZ"/>
          </w:rPr>
          <w:delText xml:space="preserve">bezpečnost dvou udržovacích dávkovacích režimů upravených dle hmotnosti po hmotnostně upravené indukční léčbě do 52 týdnů léčby, se </w:delText>
        </w:r>
        <w:r w:rsidR="00C114D7" w:rsidRPr="001B4A02">
          <w:rPr>
            <w:szCs w:val="22"/>
            <w:shd w:val="clear" w:color="auto" w:fill="FFFFFF"/>
            <w:lang w:val="cs-CZ"/>
          </w:rPr>
          <w:delText>objevilo zvýšení</w:delText>
        </w:r>
        <w:r w:rsidRPr="001B4A02">
          <w:rPr>
            <w:shd w:val="clear" w:color="auto" w:fill="FFFFFF"/>
            <w:lang w:val="cs-CZ"/>
          </w:rPr>
          <w:delText xml:space="preserve"> ALT </w:delText>
        </w:r>
        <w:r w:rsidRPr="001B4A02">
          <w:rPr>
            <w:iCs/>
            <w:lang w:val="cs-CZ"/>
          </w:rPr>
          <w:delText>≥ 3 x ULN u</w:delText>
        </w:r>
        <w:r w:rsidR="000F6D9E" w:rsidRPr="001B4A02">
          <w:rPr>
            <w:iCs/>
            <w:lang w:val="cs-CZ"/>
          </w:rPr>
          <w:delText> </w:delText>
        </w:r>
        <w:r w:rsidRPr="001B4A02">
          <w:rPr>
            <w:iCs/>
            <w:lang w:val="cs-CZ"/>
          </w:rPr>
          <w:delText>2,6</w:delText>
        </w:r>
        <w:r w:rsidR="006008CB">
          <w:rPr>
            <w:iCs/>
            <w:lang w:val="cs-CZ"/>
          </w:rPr>
          <w:delText> %</w:delText>
        </w:r>
        <w:r w:rsidRPr="001B4A02">
          <w:rPr>
            <w:iCs/>
            <w:lang w:val="cs-CZ"/>
          </w:rPr>
          <w:delText xml:space="preserve"> </w:delText>
        </w:r>
        <w:r w:rsidR="004A5BC9" w:rsidRPr="001B4A02">
          <w:rPr>
            <w:iCs/>
            <w:lang w:val="cs-CZ"/>
          </w:rPr>
          <w:delText>(5</w:delText>
        </w:r>
        <w:r w:rsidR="00FD6531" w:rsidRPr="001B4A02">
          <w:rPr>
            <w:iCs/>
            <w:lang w:val="cs-CZ"/>
          </w:rPr>
          <w:delText xml:space="preserve"> ze</w:delText>
        </w:r>
        <w:r w:rsidR="00C114D7" w:rsidRPr="001B4A02">
          <w:rPr>
            <w:iCs/>
            <w:lang w:val="cs-CZ"/>
          </w:rPr>
          <w:delText xml:space="preserve"> </w:delText>
        </w:r>
        <w:r w:rsidR="004A5BC9" w:rsidRPr="001B4A02">
          <w:rPr>
            <w:iCs/>
            <w:lang w:val="cs-CZ"/>
          </w:rPr>
          <w:delText xml:space="preserve">192) </w:delText>
        </w:r>
        <w:r w:rsidRPr="001B4A02">
          <w:rPr>
            <w:iCs/>
            <w:lang w:val="cs-CZ"/>
          </w:rPr>
          <w:delText xml:space="preserve">pacientů, </w:delText>
        </w:r>
        <w:r w:rsidR="004A5BC9" w:rsidRPr="001B4A02">
          <w:rPr>
            <w:iCs/>
            <w:lang w:val="cs-CZ"/>
          </w:rPr>
          <w:delText>z</w:delText>
        </w:r>
        <w:r w:rsidR="000F6D9E" w:rsidRPr="001B4A02">
          <w:rPr>
            <w:iCs/>
            <w:lang w:val="cs-CZ"/>
          </w:rPr>
          <w:delText> </w:delText>
        </w:r>
        <w:r w:rsidR="004A5BC9" w:rsidRPr="001B4A02">
          <w:rPr>
            <w:iCs/>
            <w:lang w:val="cs-CZ"/>
          </w:rPr>
          <w:delText>nichž 4 byli</w:delText>
        </w:r>
        <w:r w:rsidRPr="001B4A02">
          <w:rPr>
            <w:iCs/>
            <w:lang w:val="cs-CZ"/>
          </w:rPr>
          <w:delText xml:space="preserve"> vystaveni současné léčbě imunosupresiv.</w:delText>
        </w:r>
      </w:del>
    </w:p>
    <w:p w14:paraId="12FAE7A8" w14:textId="77777777" w:rsidR="00FB407F" w:rsidRPr="001B4A02" w:rsidRDefault="00FB407F" w:rsidP="00ED48A3">
      <w:pPr>
        <w:pStyle w:val="EMEANormal"/>
        <w:shd w:val="clear" w:color="auto" w:fill="FFFFFF"/>
        <w:rPr>
          <w:del w:id="1406" w:author="AbbVie1" w:date="2025-05-13T09:50:00Z"/>
          <w:shd w:val="clear" w:color="auto" w:fill="FFFFFF"/>
          <w:lang w:val="cs-CZ"/>
        </w:rPr>
      </w:pPr>
    </w:p>
    <w:p w14:paraId="3E95E5BB" w14:textId="77777777" w:rsidR="006A13EA" w:rsidRPr="001B4A02" w:rsidRDefault="00000000" w:rsidP="00ED48A3">
      <w:pPr>
        <w:pStyle w:val="EMEANormal"/>
        <w:shd w:val="clear" w:color="auto" w:fill="FFFFFF"/>
        <w:rPr>
          <w:del w:id="1407" w:author="AbbVie1" w:date="2025-05-13T09:50:00Z"/>
          <w:szCs w:val="22"/>
          <w:shd w:val="clear" w:color="auto" w:fill="FFFFFF"/>
          <w:lang w:val="cs-CZ"/>
        </w:rPr>
      </w:pPr>
      <w:del w:id="1408" w:author="AbbVie1" w:date="2025-05-13T09:50:00Z">
        <w:r w:rsidRPr="001B4A02">
          <w:rPr>
            <w:iCs/>
            <w:shd w:val="clear" w:color="auto" w:fill="FFFFFF"/>
            <w:lang w:val="cs-CZ"/>
          </w:rPr>
          <w:delText xml:space="preserve">V kontrolovaných klinických studiích fáze </w:delText>
        </w:r>
        <w:r w:rsidR="00C223B0" w:rsidRPr="001B4A02">
          <w:rPr>
            <w:iCs/>
            <w:shd w:val="clear" w:color="auto" w:fill="FFFFFF"/>
            <w:lang w:val="cs-CZ"/>
          </w:rPr>
          <w:delText>3</w:delText>
        </w:r>
        <w:r w:rsidRPr="001B4A02">
          <w:rPr>
            <w:iCs/>
            <w:shd w:val="clear" w:color="auto" w:fill="FFFFFF"/>
            <w:lang w:val="cs-CZ"/>
          </w:rPr>
          <w:delText xml:space="preserve"> s přípravkem Humira </w:delText>
        </w:r>
        <w:r w:rsidR="000F6D9E" w:rsidRPr="001B4A02">
          <w:rPr>
            <w:iCs/>
            <w:shd w:val="clear" w:color="auto" w:fill="FFFFFF"/>
            <w:lang w:val="cs-CZ"/>
          </w:rPr>
          <w:delText>u </w:delText>
        </w:r>
        <w:r w:rsidRPr="001B4A02">
          <w:rPr>
            <w:iCs/>
            <w:shd w:val="clear" w:color="auto" w:fill="FFFFFF"/>
            <w:lang w:val="cs-CZ"/>
          </w:rPr>
          <w:delText>pacientů s ložiskovou psoriázou se po sledovanou dobu trvání v rozmezí od 12 do 24 týdnů objevilo</w:delText>
        </w:r>
        <w:r w:rsidRPr="001B4A02">
          <w:rPr>
            <w:szCs w:val="22"/>
            <w:shd w:val="clear" w:color="auto" w:fill="FFFFFF"/>
            <w:lang w:val="cs-CZ"/>
          </w:rPr>
          <w:delText xml:space="preserve"> zvýšení ALT </w:delText>
        </w:r>
        <w:r w:rsidRPr="001B4A02">
          <w:rPr>
            <w:lang w:val="cs-CZ"/>
          </w:rPr>
          <w:delText>≥ 3 x ULN</w:delText>
        </w:r>
        <w:r w:rsidRPr="001B4A02">
          <w:rPr>
            <w:szCs w:val="22"/>
            <w:shd w:val="clear" w:color="auto" w:fill="FFFFFF"/>
            <w:lang w:val="cs-CZ"/>
          </w:rPr>
          <w:delText xml:space="preserve"> u</w:delText>
        </w:r>
        <w:r w:rsidR="000F6D9E" w:rsidRPr="001B4A02">
          <w:rPr>
            <w:szCs w:val="22"/>
            <w:shd w:val="clear" w:color="auto" w:fill="FFFFFF"/>
            <w:lang w:val="cs-CZ"/>
          </w:rPr>
          <w:delText> </w:delText>
        </w:r>
        <w:r w:rsidRPr="001B4A02">
          <w:rPr>
            <w:szCs w:val="22"/>
            <w:shd w:val="clear" w:color="auto" w:fill="FFFFFF"/>
            <w:lang w:val="cs-CZ"/>
          </w:rPr>
          <w:delText>1,8</w:delText>
        </w:r>
        <w:r w:rsidR="006008CB">
          <w:rPr>
            <w:szCs w:val="22"/>
            <w:shd w:val="clear" w:color="auto" w:fill="FFFFFF"/>
            <w:lang w:val="cs-CZ"/>
          </w:rPr>
          <w:delText> %</w:delText>
        </w:r>
        <w:r w:rsidRPr="001B4A02">
          <w:rPr>
            <w:szCs w:val="22"/>
            <w:shd w:val="clear" w:color="auto" w:fill="FFFFFF"/>
            <w:lang w:val="cs-CZ"/>
          </w:rPr>
          <w:delText xml:space="preserve"> pacientů léče</w:delText>
        </w:r>
        <w:r w:rsidR="00062315" w:rsidRPr="001B4A02">
          <w:rPr>
            <w:szCs w:val="22"/>
            <w:shd w:val="clear" w:color="auto" w:fill="FFFFFF"/>
            <w:lang w:val="cs-CZ"/>
          </w:rPr>
          <w:delText>ných přípravkem Humira</w:delText>
        </w:r>
        <w:r w:rsidR="002378E0">
          <w:rPr>
            <w:szCs w:val="22"/>
            <w:shd w:val="clear" w:color="auto" w:fill="FFFFFF"/>
            <w:lang w:val="cs-CZ"/>
          </w:rPr>
          <w:delText xml:space="preserve"> a </w:delText>
        </w:r>
        <w:r w:rsidR="00062315" w:rsidRPr="001B4A02">
          <w:rPr>
            <w:szCs w:val="22"/>
            <w:shd w:val="clear" w:color="auto" w:fill="FFFFFF"/>
            <w:lang w:val="cs-CZ"/>
          </w:rPr>
          <w:delText>u</w:delText>
        </w:r>
        <w:r w:rsidR="000F6D9E" w:rsidRPr="001B4A02">
          <w:rPr>
            <w:szCs w:val="22"/>
            <w:shd w:val="clear" w:color="auto" w:fill="FFFFFF"/>
            <w:lang w:val="cs-CZ"/>
          </w:rPr>
          <w:delText> </w:delText>
        </w:r>
        <w:r w:rsidR="00062315" w:rsidRPr="001B4A02">
          <w:rPr>
            <w:szCs w:val="22"/>
            <w:shd w:val="clear" w:color="auto" w:fill="FFFFFF"/>
            <w:lang w:val="cs-CZ"/>
          </w:rPr>
          <w:delText>1,8</w:delText>
        </w:r>
        <w:r w:rsidR="006008CB">
          <w:rPr>
            <w:szCs w:val="22"/>
            <w:shd w:val="clear" w:color="auto" w:fill="FFFFFF"/>
            <w:lang w:val="cs-CZ"/>
          </w:rPr>
          <w:delText> %</w:delText>
        </w:r>
        <w:r w:rsidRPr="001B4A02">
          <w:rPr>
            <w:szCs w:val="22"/>
            <w:shd w:val="clear" w:color="auto" w:fill="FFFFFF"/>
            <w:lang w:val="cs-CZ"/>
          </w:rPr>
          <w:delText xml:space="preserve"> pacientů léčených kontrolním přípravkem.</w:delText>
        </w:r>
      </w:del>
    </w:p>
    <w:p w14:paraId="179B1EA3" w14:textId="77777777" w:rsidR="006A13EA" w:rsidRPr="001B4A02" w:rsidRDefault="006A13EA" w:rsidP="00ED48A3">
      <w:pPr>
        <w:pStyle w:val="EMEANormal"/>
        <w:shd w:val="clear" w:color="auto" w:fill="FFFFFF"/>
        <w:rPr>
          <w:del w:id="1409" w:author="AbbVie1" w:date="2025-05-13T09:50:00Z"/>
          <w:shd w:val="clear" w:color="auto" w:fill="FFFFFF"/>
          <w:lang w:val="cs-CZ"/>
        </w:rPr>
      </w:pPr>
    </w:p>
    <w:p w14:paraId="34F315AD" w14:textId="77777777" w:rsidR="006A13EA" w:rsidRPr="001B4A02" w:rsidRDefault="00000000" w:rsidP="00ED48A3">
      <w:pPr>
        <w:pStyle w:val="EMEANormal"/>
        <w:shd w:val="clear" w:color="auto" w:fill="FFFFFF"/>
        <w:rPr>
          <w:del w:id="1410" w:author="AbbVie1" w:date="2025-05-13T09:50:00Z"/>
          <w:lang w:val="cs-CZ"/>
        </w:rPr>
      </w:pPr>
      <w:del w:id="1411" w:author="AbbVie1" w:date="2025-05-13T09:50:00Z">
        <w:r w:rsidRPr="001B4A02">
          <w:rPr>
            <w:shd w:val="clear" w:color="auto" w:fill="FFFFFF"/>
            <w:lang w:val="cs-CZ"/>
          </w:rPr>
          <w:delText xml:space="preserve">Žádné zvýšení ALT </w:delText>
        </w:r>
        <w:r w:rsidRPr="001B4A02">
          <w:rPr>
            <w:lang w:val="cs-CZ"/>
          </w:rPr>
          <w:delText>≥ 3 x ULN se nevyskytlo v</w:delText>
        </w:r>
        <w:r w:rsidR="00BD4EAC" w:rsidRPr="001B4A02">
          <w:rPr>
            <w:lang w:val="cs-CZ"/>
          </w:rPr>
          <w:delText> </w:delText>
        </w:r>
        <w:r w:rsidRPr="001B4A02">
          <w:rPr>
            <w:lang w:val="cs-CZ"/>
          </w:rPr>
          <w:delText xml:space="preserve">klinické studii fáze </w:delText>
        </w:r>
        <w:r w:rsidR="00C223B0" w:rsidRPr="001B4A02">
          <w:rPr>
            <w:lang w:val="cs-CZ"/>
          </w:rPr>
          <w:delText>3</w:delText>
        </w:r>
        <w:r w:rsidRPr="001B4A02">
          <w:rPr>
            <w:lang w:val="cs-CZ"/>
          </w:rPr>
          <w:delText xml:space="preserve"> s přípravkem Humira u</w:delText>
        </w:r>
        <w:r w:rsidR="00BD4EAC" w:rsidRPr="001B4A02">
          <w:rPr>
            <w:lang w:val="cs-CZ"/>
          </w:rPr>
          <w:delText> </w:delText>
        </w:r>
        <w:r w:rsidRPr="001B4A02">
          <w:rPr>
            <w:lang w:val="cs-CZ"/>
          </w:rPr>
          <w:delText>pediatrických pacientů s ložiskovou psoriázou.</w:delText>
        </w:r>
      </w:del>
    </w:p>
    <w:p w14:paraId="6C936C1B" w14:textId="77777777" w:rsidR="006A13EA" w:rsidRPr="001B4A02" w:rsidRDefault="006A13EA" w:rsidP="00ED48A3">
      <w:pPr>
        <w:pStyle w:val="EMEANormal"/>
        <w:shd w:val="clear" w:color="auto" w:fill="FFFFFF"/>
        <w:rPr>
          <w:del w:id="1412" w:author="AbbVie1" w:date="2025-05-13T09:50:00Z"/>
          <w:shd w:val="clear" w:color="auto" w:fill="FFFFFF"/>
          <w:lang w:val="cs-CZ"/>
        </w:rPr>
      </w:pPr>
    </w:p>
    <w:p w14:paraId="6EA734FA" w14:textId="77777777" w:rsidR="004A5BC9" w:rsidRPr="001B4A02" w:rsidRDefault="00000000" w:rsidP="00ED48A3">
      <w:pPr>
        <w:pStyle w:val="EMEANormal"/>
        <w:shd w:val="clear" w:color="auto" w:fill="FFFFFF"/>
        <w:rPr>
          <w:del w:id="1413" w:author="AbbVie1" w:date="2025-05-13T09:50:00Z"/>
          <w:shd w:val="clear" w:color="auto" w:fill="FFFFFF"/>
          <w:lang w:val="cs-CZ"/>
        </w:rPr>
      </w:pPr>
      <w:del w:id="1414" w:author="AbbVie1" w:date="2025-05-13T09:50:00Z">
        <w:r w:rsidRPr="001B4A02">
          <w:rPr>
            <w:shd w:val="clear" w:color="auto" w:fill="FFFFFF"/>
            <w:lang w:val="cs-CZ"/>
          </w:rPr>
          <w:delText>V</w:delText>
        </w:r>
        <w:r w:rsidR="000F6D9E" w:rsidRPr="001B4A02">
          <w:rPr>
            <w:shd w:val="clear" w:color="auto" w:fill="FFFFFF"/>
            <w:lang w:val="cs-CZ"/>
          </w:rPr>
          <w:delText> </w:delText>
        </w:r>
        <w:r w:rsidRPr="001B4A02">
          <w:rPr>
            <w:shd w:val="clear" w:color="auto" w:fill="FFFFFF"/>
            <w:lang w:val="cs-CZ"/>
          </w:rPr>
          <w:delText>kontrolovaných klinických studiích s</w:delText>
        </w:r>
        <w:r w:rsidR="000F6D9E" w:rsidRPr="001B4A02">
          <w:rPr>
            <w:shd w:val="clear" w:color="auto" w:fill="FFFFFF"/>
            <w:lang w:val="cs-CZ"/>
          </w:rPr>
          <w:delText> </w:delText>
        </w:r>
        <w:r w:rsidRPr="001B4A02">
          <w:rPr>
            <w:shd w:val="clear" w:color="auto" w:fill="FFFFFF"/>
            <w:lang w:val="cs-CZ"/>
          </w:rPr>
          <w:delText>přípravkem Humira (úvodní dávky 160</w:delText>
        </w:r>
        <w:r w:rsidR="00294902">
          <w:rPr>
            <w:shd w:val="clear" w:color="auto" w:fill="FFFFFF"/>
            <w:lang w:val="cs-CZ"/>
          </w:rPr>
          <w:delText> mg</w:delText>
        </w:r>
        <w:r w:rsidRPr="001B4A02">
          <w:rPr>
            <w:shd w:val="clear" w:color="auto" w:fill="FFFFFF"/>
            <w:lang w:val="cs-CZ"/>
          </w:rPr>
          <w:delText xml:space="preserve"> v</w:delText>
        </w:r>
        <w:r w:rsidR="000F6D9E" w:rsidRPr="001B4A02">
          <w:rPr>
            <w:shd w:val="clear" w:color="auto" w:fill="FFFFFF"/>
            <w:lang w:val="cs-CZ"/>
          </w:rPr>
          <w:delText> </w:delText>
        </w:r>
        <w:r w:rsidRPr="001B4A02">
          <w:rPr>
            <w:shd w:val="clear" w:color="auto" w:fill="FFFFFF"/>
            <w:lang w:val="cs-CZ"/>
          </w:rPr>
          <w:delText>týdnu 0</w:delText>
        </w:r>
        <w:r w:rsidR="002378E0">
          <w:rPr>
            <w:shd w:val="clear" w:color="auto" w:fill="FFFFFF"/>
            <w:lang w:val="cs-CZ"/>
          </w:rPr>
          <w:delText xml:space="preserve"> a </w:delText>
        </w:r>
        <w:r w:rsidRPr="001B4A02">
          <w:rPr>
            <w:shd w:val="clear" w:color="auto" w:fill="FFFFFF"/>
            <w:lang w:val="cs-CZ"/>
          </w:rPr>
          <w:delText>80</w:delText>
        </w:r>
        <w:r w:rsidR="00294902">
          <w:rPr>
            <w:shd w:val="clear" w:color="auto" w:fill="FFFFFF"/>
            <w:lang w:val="cs-CZ"/>
          </w:rPr>
          <w:delText> mg</w:delText>
        </w:r>
        <w:r w:rsidRPr="001B4A02">
          <w:rPr>
            <w:shd w:val="clear" w:color="auto" w:fill="FFFFFF"/>
            <w:lang w:val="cs-CZ"/>
          </w:rPr>
          <w:delText xml:space="preserve"> v</w:delText>
        </w:r>
        <w:r w:rsidR="000F6D9E" w:rsidRPr="001B4A02">
          <w:rPr>
            <w:shd w:val="clear" w:color="auto" w:fill="FFFFFF"/>
            <w:lang w:val="cs-CZ"/>
          </w:rPr>
          <w:delText> </w:delText>
        </w:r>
        <w:r w:rsidRPr="001B4A02">
          <w:rPr>
            <w:shd w:val="clear" w:color="auto" w:fill="FFFFFF"/>
            <w:lang w:val="cs-CZ"/>
          </w:rPr>
          <w:delText>týdnu 2, následované 40</w:delText>
        </w:r>
        <w:r w:rsidR="00294902">
          <w:rPr>
            <w:shd w:val="clear" w:color="auto" w:fill="FFFFFF"/>
            <w:lang w:val="cs-CZ"/>
          </w:rPr>
          <w:delText> mg</w:delText>
        </w:r>
        <w:r w:rsidRPr="001B4A02">
          <w:rPr>
            <w:shd w:val="clear" w:color="auto" w:fill="FFFFFF"/>
            <w:lang w:val="cs-CZ"/>
          </w:rPr>
          <w:delText xml:space="preserve"> týdně počínaje týdnem 4) u</w:delText>
        </w:r>
        <w:r w:rsidR="000F6D9E" w:rsidRPr="001B4A02">
          <w:rPr>
            <w:shd w:val="clear" w:color="auto" w:fill="FFFFFF"/>
            <w:lang w:val="cs-CZ"/>
          </w:rPr>
          <w:delText> </w:delText>
        </w:r>
        <w:r w:rsidRPr="001B4A02">
          <w:rPr>
            <w:shd w:val="clear" w:color="auto" w:fill="FFFFFF"/>
            <w:lang w:val="cs-CZ"/>
          </w:rPr>
          <w:delText>pacientů s</w:delText>
        </w:r>
        <w:r w:rsidR="000F6D9E" w:rsidRPr="001B4A02">
          <w:rPr>
            <w:shd w:val="clear" w:color="auto" w:fill="FFFFFF"/>
            <w:lang w:val="cs-CZ"/>
          </w:rPr>
          <w:delText> </w:delText>
        </w:r>
        <w:r w:rsidRPr="001B4A02">
          <w:rPr>
            <w:shd w:val="clear" w:color="auto" w:fill="FFFFFF"/>
            <w:lang w:val="cs-CZ"/>
          </w:rPr>
          <w:delText>hidradenitis suppurativa se sledovanou dobou trvání v</w:delText>
        </w:r>
        <w:r w:rsidR="000F6D9E" w:rsidRPr="001B4A02">
          <w:rPr>
            <w:shd w:val="clear" w:color="auto" w:fill="FFFFFF"/>
            <w:lang w:val="cs-CZ"/>
          </w:rPr>
          <w:delText> </w:delText>
        </w:r>
        <w:r w:rsidRPr="001B4A02">
          <w:rPr>
            <w:shd w:val="clear" w:color="auto" w:fill="FFFFFF"/>
            <w:lang w:val="cs-CZ"/>
          </w:rPr>
          <w:delText>rozmezí od 12 do 16 týdnů se objevilo zvýšení ALT ≥ 3 x ULN u</w:delText>
        </w:r>
        <w:r w:rsidR="000F6D9E" w:rsidRPr="001B4A02">
          <w:rPr>
            <w:shd w:val="clear" w:color="auto" w:fill="FFFFFF"/>
            <w:lang w:val="cs-CZ"/>
          </w:rPr>
          <w:delText> </w:delText>
        </w:r>
        <w:r w:rsidRPr="001B4A02">
          <w:rPr>
            <w:shd w:val="clear" w:color="auto" w:fill="FFFFFF"/>
            <w:lang w:val="cs-CZ"/>
          </w:rPr>
          <w:delText>0,3</w:delText>
        </w:r>
        <w:r w:rsidR="006008CB">
          <w:rPr>
            <w:shd w:val="clear" w:color="auto" w:fill="FFFFFF"/>
            <w:lang w:val="cs-CZ"/>
          </w:rPr>
          <w:delText> %</w:delText>
        </w:r>
        <w:r w:rsidRPr="001B4A02">
          <w:rPr>
            <w:shd w:val="clear" w:color="auto" w:fill="FFFFFF"/>
            <w:lang w:val="cs-CZ"/>
          </w:rPr>
          <w:delText xml:space="preserve"> pacientů léče</w:delText>
        </w:r>
        <w:r w:rsidR="00062315" w:rsidRPr="001B4A02">
          <w:rPr>
            <w:shd w:val="clear" w:color="auto" w:fill="FFFFFF"/>
            <w:lang w:val="cs-CZ"/>
          </w:rPr>
          <w:delText>ných přípravkem Humira</w:delText>
        </w:r>
        <w:r w:rsidR="002378E0">
          <w:rPr>
            <w:shd w:val="clear" w:color="auto" w:fill="FFFFFF"/>
            <w:lang w:val="cs-CZ"/>
          </w:rPr>
          <w:delText xml:space="preserve"> a </w:delText>
        </w:r>
        <w:r w:rsidR="00062315" w:rsidRPr="001B4A02">
          <w:rPr>
            <w:shd w:val="clear" w:color="auto" w:fill="FFFFFF"/>
            <w:lang w:val="cs-CZ"/>
          </w:rPr>
          <w:delText>u</w:delText>
        </w:r>
        <w:r w:rsidR="000F6D9E" w:rsidRPr="001B4A02">
          <w:rPr>
            <w:shd w:val="clear" w:color="auto" w:fill="FFFFFF"/>
            <w:lang w:val="cs-CZ"/>
          </w:rPr>
          <w:delText> </w:delText>
        </w:r>
        <w:r w:rsidR="00062315" w:rsidRPr="001B4A02">
          <w:rPr>
            <w:shd w:val="clear" w:color="auto" w:fill="FFFFFF"/>
            <w:lang w:val="cs-CZ"/>
          </w:rPr>
          <w:delText>0,6</w:delText>
        </w:r>
        <w:r w:rsidR="006008CB">
          <w:rPr>
            <w:shd w:val="clear" w:color="auto" w:fill="FFFFFF"/>
            <w:lang w:val="cs-CZ"/>
          </w:rPr>
          <w:delText> %</w:delText>
        </w:r>
        <w:r w:rsidRPr="001B4A02">
          <w:rPr>
            <w:shd w:val="clear" w:color="auto" w:fill="FFFFFF"/>
            <w:lang w:val="cs-CZ"/>
          </w:rPr>
          <w:delText xml:space="preserve"> pacientů léčených kontrolním přípravkem.</w:delText>
        </w:r>
      </w:del>
    </w:p>
    <w:p w14:paraId="1FA84DB0" w14:textId="77777777" w:rsidR="00A5191B" w:rsidRPr="001B4A02" w:rsidRDefault="00A5191B" w:rsidP="00ED48A3">
      <w:pPr>
        <w:pStyle w:val="EMEANormal"/>
        <w:shd w:val="clear" w:color="auto" w:fill="FFFFFF"/>
        <w:rPr>
          <w:del w:id="1415" w:author="AbbVie1" w:date="2025-05-13T09:50:00Z"/>
          <w:shd w:val="clear" w:color="auto" w:fill="FFFFFF"/>
          <w:lang w:val="cs-CZ"/>
        </w:rPr>
      </w:pPr>
    </w:p>
    <w:p w14:paraId="16B91DF3" w14:textId="77777777" w:rsidR="00A5191B" w:rsidRPr="001B4A02" w:rsidRDefault="00000000" w:rsidP="00A5191B">
      <w:pPr>
        <w:pStyle w:val="EMEANormal"/>
        <w:shd w:val="clear" w:color="auto" w:fill="FFFFFF"/>
        <w:rPr>
          <w:del w:id="1416" w:author="AbbVie1" w:date="2025-05-13T09:50:00Z"/>
          <w:shd w:val="clear" w:color="auto" w:fill="FFFFFF"/>
          <w:lang w:val="cs-CZ"/>
        </w:rPr>
      </w:pPr>
      <w:del w:id="1417" w:author="AbbVie1" w:date="2025-05-13T09:50:00Z">
        <w:r w:rsidRPr="001B4A02">
          <w:rPr>
            <w:shd w:val="clear" w:color="auto" w:fill="FFFFFF"/>
            <w:lang w:val="cs-CZ"/>
          </w:rPr>
          <w:delText>V kontrolovaných klinických studiích s přípravkem Humira (úvodní dávky 80</w:delText>
        </w:r>
        <w:r w:rsidR="00294902">
          <w:rPr>
            <w:shd w:val="clear" w:color="auto" w:fill="FFFFFF"/>
            <w:lang w:val="cs-CZ"/>
          </w:rPr>
          <w:delText> mg</w:delText>
        </w:r>
        <w:r w:rsidRPr="001B4A02">
          <w:rPr>
            <w:shd w:val="clear" w:color="auto" w:fill="FFFFFF"/>
            <w:lang w:val="cs-CZ"/>
          </w:rPr>
          <w:delText xml:space="preserve"> v týdnu 0, následované 40</w:delText>
        </w:r>
        <w:r w:rsidR="00294902">
          <w:rPr>
            <w:shd w:val="clear" w:color="auto" w:fill="FFFFFF"/>
            <w:lang w:val="cs-CZ"/>
          </w:rPr>
          <w:delText> mg</w:delText>
        </w:r>
        <w:r w:rsidRPr="001B4A02">
          <w:rPr>
            <w:shd w:val="clear" w:color="auto" w:fill="FFFFFF"/>
            <w:lang w:val="cs-CZ"/>
          </w:rPr>
          <w:delText xml:space="preserve"> jednou za dva týdny počínaje týdnem 1) se u dospělých pacientů s uveitidou léčených až po dobu 80 týdnů se střední expozicí 166,5 dne v případě terapie přípravkem Humira</w:delText>
        </w:r>
        <w:r w:rsidR="002378E0">
          <w:rPr>
            <w:shd w:val="clear" w:color="auto" w:fill="FFFFFF"/>
            <w:lang w:val="cs-CZ"/>
          </w:rPr>
          <w:delText xml:space="preserve"> a </w:delText>
        </w:r>
        <w:r w:rsidRPr="001B4A02">
          <w:rPr>
            <w:shd w:val="clear" w:color="auto" w:fill="FFFFFF"/>
            <w:lang w:val="cs-CZ"/>
          </w:rPr>
          <w:delText>105,0 dne v případě terapie kontrolním přípravkem objevilo zvýšení ALT ≥ 3 x ULN u 2,4</w:delText>
        </w:r>
        <w:r w:rsidR="006008CB">
          <w:rPr>
            <w:shd w:val="clear" w:color="auto" w:fill="FFFFFF"/>
            <w:lang w:val="cs-CZ"/>
          </w:rPr>
          <w:delText> %</w:delText>
        </w:r>
        <w:r w:rsidRPr="001B4A02">
          <w:rPr>
            <w:shd w:val="clear" w:color="auto" w:fill="FFFFFF"/>
            <w:lang w:val="cs-CZ"/>
          </w:rPr>
          <w:delText xml:space="preserve"> pacientů léčených přípravkem Humira</w:delText>
        </w:r>
        <w:r w:rsidR="002378E0">
          <w:rPr>
            <w:shd w:val="clear" w:color="auto" w:fill="FFFFFF"/>
            <w:lang w:val="cs-CZ"/>
          </w:rPr>
          <w:delText xml:space="preserve"> a </w:delText>
        </w:r>
        <w:r w:rsidRPr="001B4A02">
          <w:rPr>
            <w:shd w:val="clear" w:color="auto" w:fill="FFFFFF"/>
            <w:lang w:val="cs-CZ"/>
          </w:rPr>
          <w:delText>u 2,4</w:delText>
        </w:r>
        <w:r w:rsidR="006008CB">
          <w:rPr>
            <w:shd w:val="clear" w:color="auto" w:fill="FFFFFF"/>
            <w:lang w:val="cs-CZ"/>
          </w:rPr>
          <w:delText> %</w:delText>
        </w:r>
        <w:r w:rsidRPr="001B4A02">
          <w:rPr>
            <w:shd w:val="clear" w:color="auto" w:fill="FFFFFF"/>
            <w:lang w:val="cs-CZ"/>
          </w:rPr>
          <w:delText xml:space="preserve"> pacientů léčených kontrolním přípravkem.</w:delText>
        </w:r>
      </w:del>
    </w:p>
    <w:p w14:paraId="56BEB1EB" w14:textId="77777777" w:rsidR="00390F17" w:rsidRDefault="00390F17" w:rsidP="000C0120">
      <w:pPr>
        <w:ind w:left="0" w:firstLine="0"/>
        <w:rPr>
          <w:del w:id="1418" w:author="AbbVie1" w:date="2025-05-13T09:50:00Z"/>
          <w:rStyle w:val="normaltextrun"/>
          <w:shd w:val="clear" w:color="auto" w:fill="FFFFFF"/>
        </w:rPr>
      </w:pPr>
    </w:p>
    <w:p w14:paraId="6CBC5883" w14:textId="77777777" w:rsidR="000C0120" w:rsidRPr="001D2137" w:rsidRDefault="00000000" w:rsidP="000C0120">
      <w:pPr>
        <w:ind w:left="0" w:firstLine="0"/>
        <w:rPr>
          <w:del w:id="1419" w:author="AbbVie1" w:date="2025-05-13T09:50:00Z"/>
          <w:rStyle w:val="normaltextrun"/>
          <w:shd w:val="clear" w:color="auto" w:fill="FFFFFF"/>
        </w:rPr>
      </w:pPr>
      <w:del w:id="1420" w:author="AbbVie1" w:date="2025-05-13T09:50:00Z">
        <w:r>
          <w:rPr>
            <w:rStyle w:val="normaltextrun"/>
            <w:shd w:val="clear" w:color="auto" w:fill="FFFFFF"/>
          </w:rPr>
          <w:delText>V kontrolované klinické studii fáze 3 s</w:delText>
        </w:r>
        <w:r w:rsidR="00390F17">
          <w:rPr>
            <w:rStyle w:val="normaltextrun"/>
            <w:shd w:val="clear" w:color="auto" w:fill="FFFFFF"/>
          </w:rPr>
          <w:delText> </w:delText>
        </w:r>
        <w:r>
          <w:rPr>
            <w:rStyle w:val="normaltextrun"/>
            <w:shd w:val="clear" w:color="auto" w:fill="FFFFFF"/>
          </w:rPr>
          <w:delText>přípravkem Humira u pediatrických pacientů s ulcerózní kolitidou (n=93), která hodnotila účinnost</w:delText>
        </w:r>
        <w:r w:rsidR="002378E0">
          <w:rPr>
            <w:rStyle w:val="normaltextrun"/>
            <w:shd w:val="clear" w:color="auto" w:fill="FFFFFF"/>
          </w:rPr>
          <w:delText xml:space="preserve"> a </w:delText>
        </w:r>
        <w:r>
          <w:rPr>
            <w:rStyle w:val="normaltextrun"/>
            <w:shd w:val="clear" w:color="auto" w:fill="FFFFFF"/>
          </w:rPr>
          <w:delText>bezpečnost udržovací dávky 0,6 mg/kg (maximální dávka 40 mg) každý druhý týden (n=31)</w:delText>
        </w:r>
        <w:r w:rsidR="002378E0">
          <w:rPr>
            <w:rStyle w:val="normaltextrun"/>
            <w:shd w:val="clear" w:color="auto" w:fill="FFFFFF"/>
          </w:rPr>
          <w:delText xml:space="preserve"> a </w:delText>
        </w:r>
        <w:r>
          <w:rPr>
            <w:rStyle w:val="normaltextrun"/>
            <w:shd w:val="clear" w:color="auto" w:fill="FFFFFF"/>
          </w:rPr>
          <w:delText>udržovací dávky 0,6 mg/kg (maximální dávka 40 mg) každý týden (n=32) po indukční dávce upravené podle tělesné hmotnosti 2,4 mg/kg (maximální dávka 160 mg) v týdnech 0</w:delText>
        </w:r>
        <w:r w:rsidR="002378E0">
          <w:rPr>
            <w:rStyle w:val="normaltextrun"/>
            <w:shd w:val="clear" w:color="auto" w:fill="FFFFFF"/>
          </w:rPr>
          <w:delText xml:space="preserve"> a </w:delText>
        </w:r>
        <w:r>
          <w:rPr>
            <w:rStyle w:val="normaltextrun"/>
            <w:shd w:val="clear" w:color="auto" w:fill="FFFFFF"/>
          </w:rPr>
          <w:delText>1,</w:delText>
        </w:r>
        <w:r w:rsidR="002378E0">
          <w:rPr>
            <w:rStyle w:val="normaltextrun"/>
            <w:shd w:val="clear" w:color="auto" w:fill="FFFFFF"/>
          </w:rPr>
          <w:delText xml:space="preserve"> a </w:delText>
        </w:r>
        <w:r>
          <w:rPr>
            <w:rStyle w:val="normaltextrun"/>
            <w:shd w:val="clear" w:color="auto" w:fill="FFFFFF"/>
          </w:rPr>
          <w:delText>1,2 mg/kg (maximální dávka 80 mg) v</w:delText>
        </w:r>
        <w:r w:rsidR="00390F17">
          <w:rPr>
            <w:rStyle w:val="normaltextrun"/>
            <w:shd w:val="clear" w:color="auto" w:fill="FFFFFF"/>
          </w:rPr>
          <w:delText> </w:delText>
        </w:r>
        <w:r>
          <w:rPr>
            <w:rStyle w:val="normaltextrun"/>
            <w:shd w:val="clear" w:color="auto" w:fill="FFFFFF"/>
          </w:rPr>
          <w:delText xml:space="preserve">týdnu 2 (n=63) nebo </w:delText>
        </w:r>
        <w:r w:rsidRPr="0031470C">
          <w:rPr>
            <w:rStyle w:val="normaltextrun"/>
            <w:shd w:val="clear" w:color="auto" w:fill="FFFFFF"/>
          </w:rPr>
          <w:delText>indukční dávce 2,</w:delText>
        </w:r>
        <w:r>
          <w:rPr>
            <w:rStyle w:val="normaltextrun"/>
            <w:shd w:val="clear" w:color="auto" w:fill="FFFFFF"/>
          </w:rPr>
          <w:delText>4 mg/kg (maximální dávka 160 mg) v týdnu 0, placebo v týdnu 1</w:delText>
        </w:r>
        <w:r w:rsidR="002378E0">
          <w:rPr>
            <w:rStyle w:val="normaltextrun"/>
            <w:shd w:val="clear" w:color="auto" w:fill="FFFFFF"/>
          </w:rPr>
          <w:delText xml:space="preserve"> a </w:delText>
        </w:r>
        <w:r>
          <w:rPr>
            <w:rStyle w:val="normaltextrun"/>
            <w:shd w:val="clear" w:color="auto" w:fill="FFFFFF"/>
          </w:rPr>
          <w:delText>1,2 mg/kg (maximální dávka 80 mg) v</w:delText>
        </w:r>
        <w:r w:rsidR="009A3A47">
          <w:rPr>
            <w:rStyle w:val="normaltextrun"/>
            <w:shd w:val="clear" w:color="auto" w:fill="FFFFFF"/>
          </w:rPr>
          <w:delText> </w:delText>
        </w:r>
        <w:r>
          <w:rPr>
            <w:rStyle w:val="normaltextrun"/>
            <w:shd w:val="clear" w:color="auto" w:fill="FFFFFF"/>
          </w:rPr>
          <w:delText>týdnu 2 (n=30), se objevilo zvýšení ALT ≥ 3x ULN u 1,1</w:delText>
        </w:r>
        <w:r w:rsidR="009A3A47">
          <w:rPr>
            <w:rStyle w:val="normaltextrun"/>
            <w:shd w:val="clear" w:color="auto" w:fill="FFFFFF"/>
          </w:rPr>
          <w:delText> </w:delText>
        </w:r>
        <w:r>
          <w:rPr>
            <w:rStyle w:val="normaltextrun"/>
            <w:shd w:val="clear" w:color="auto" w:fill="FFFFFF"/>
          </w:rPr>
          <w:delText>% (1/93) pacientů.</w:delText>
        </w:r>
      </w:del>
    </w:p>
    <w:p w14:paraId="109C991F" w14:textId="77777777" w:rsidR="000C0120" w:rsidRDefault="000C0120" w:rsidP="00ED48A3">
      <w:pPr>
        <w:pStyle w:val="EMEANormal"/>
        <w:shd w:val="clear" w:color="auto" w:fill="FFFFFF"/>
        <w:rPr>
          <w:del w:id="1421" w:author="AbbVie1" w:date="2025-05-13T09:50:00Z"/>
          <w:shd w:val="clear" w:color="auto" w:fill="FFFFFF"/>
          <w:lang w:val="cs-CZ"/>
        </w:rPr>
      </w:pPr>
    </w:p>
    <w:p w14:paraId="62AAF3BB" w14:textId="77777777" w:rsidR="00FB407F" w:rsidRPr="001B4A02" w:rsidRDefault="00000000" w:rsidP="00ED48A3">
      <w:pPr>
        <w:pStyle w:val="EMEANormal"/>
        <w:shd w:val="clear" w:color="auto" w:fill="FFFFFF"/>
        <w:rPr>
          <w:del w:id="1422" w:author="AbbVie1" w:date="2025-05-13T09:50:00Z"/>
          <w:shd w:val="clear" w:color="auto" w:fill="FFFFFF"/>
          <w:lang w:val="cs-CZ"/>
        </w:rPr>
      </w:pPr>
      <w:del w:id="1423" w:author="AbbVie1" w:date="2025-05-13T09:50:00Z">
        <w:r w:rsidRPr="001B4A02">
          <w:rPr>
            <w:shd w:val="clear" w:color="auto" w:fill="FFFFFF"/>
            <w:lang w:val="cs-CZ"/>
          </w:rPr>
          <w:delText xml:space="preserve">V klinických studiích napříč všemi indikacemi byli pacienti se zvýšeným ALT </w:delText>
        </w:r>
        <w:r w:rsidR="009303EB" w:rsidRPr="001B4A02">
          <w:rPr>
            <w:shd w:val="clear" w:color="auto" w:fill="FFFFFF"/>
            <w:lang w:val="cs-CZ"/>
          </w:rPr>
          <w:delText>a</w:delText>
        </w:r>
        <w:r w:rsidR="00EF06C7" w:rsidRPr="001B4A02">
          <w:rPr>
            <w:shd w:val="clear" w:color="auto" w:fill="FFFFFF"/>
            <w:lang w:val="cs-CZ"/>
          </w:rPr>
          <w:delText>symptomatičtí</w:delText>
        </w:r>
        <w:r w:rsidR="002378E0">
          <w:rPr>
            <w:shd w:val="clear" w:color="auto" w:fill="FFFFFF"/>
            <w:lang w:val="cs-CZ"/>
          </w:rPr>
          <w:delText xml:space="preserve"> a </w:delText>
        </w:r>
        <w:r w:rsidR="00EF06C7" w:rsidRPr="001B4A02">
          <w:rPr>
            <w:shd w:val="clear" w:color="auto" w:fill="FFFFFF"/>
            <w:lang w:val="cs-CZ"/>
          </w:rPr>
          <w:delText xml:space="preserve">ve většině případů bylo </w:delText>
        </w:r>
        <w:r w:rsidR="009303EB" w:rsidRPr="001B4A02">
          <w:rPr>
            <w:shd w:val="clear" w:color="auto" w:fill="FFFFFF"/>
            <w:lang w:val="cs-CZ"/>
          </w:rPr>
          <w:delText xml:space="preserve">zvýšení ALT </w:delText>
        </w:r>
        <w:r w:rsidR="00EF06C7" w:rsidRPr="001B4A02">
          <w:rPr>
            <w:shd w:val="clear" w:color="auto" w:fill="FFFFFF"/>
            <w:lang w:val="cs-CZ"/>
          </w:rPr>
          <w:delText>přechodné</w:delText>
        </w:r>
        <w:r w:rsidR="002378E0">
          <w:rPr>
            <w:shd w:val="clear" w:color="auto" w:fill="FFFFFF"/>
            <w:lang w:val="cs-CZ"/>
          </w:rPr>
          <w:delText xml:space="preserve"> a </w:delText>
        </w:r>
        <w:r w:rsidR="00C669DB" w:rsidRPr="001B4A02">
          <w:rPr>
            <w:shd w:val="clear" w:color="auto" w:fill="FFFFFF"/>
            <w:lang w:val="cs-CZ"/>
          </w:rPr>
          <w:delText xml:space="preserve">vymizelo s pokračováním léčby. </w:delText>
        </w:r>
        <w:r w:rsidR="00B2774A" w:rsidRPr="001B4A02">
          <w:rPr>
            <w:shd w:val="clear" w:color="auto" w:fill="FFFFFF"/>
            <w:lang w:val="cs-CZ"/>
          </w:rPr>
          <w:delText>Nicméně p</w:delText>
        </w:r>
        <w:r w:rsidR="005A5BF3" w:rsidRPr="001B4A02">
          <w:rPr>
            <w:shd w:val="clear" w:color="auto" w:fill="FFFFFF"/>
            <w:lang w:val="cs-CZ"/>
          </w:rPr>
          <w:delText>o uvedení přípravku na trh</w:delText>
        </w:r>
        <w:r w:rsidRPr="001B4A02">
          <w:rPr>
            <w:shd w:val="clear" w:color="auto" w:fill="FFFFFF"/>
            <w:lang w:val="cs-CZ"/>
          </w:rPr>
          <w:delText xml:space="preserve"> byly </w:delText>
        </w:r>
        <w:r w:rsidR="000F6D9E" w:rsidRPr="001B4A02">
          <w:rPr>
            <w:shd w:val="clear" w:color="auto" w:fill="FFFFFF"/>
            <w:lang w:val="cs-CZ"/>
          </w:rPr>
          <w:delText>u </w:delText>
        </w:r>
        <w:r w:rsidR="00B2774A" w:rsidRPr="001B4A02">
          <w:rPr>
            <w:shd w:val="clear" w:color="auto" w:fill="FFFFFF"/>
            <w:lang w:val="cs-CZ"/>
          </w:rPr>
          <w:delText xml:space="preserve">pacientů, jimž byl podáván adalimumab, </w:delText>
        </w:r>
        <w:r w:rsidR="00C669DB" w:rsidRPr="001B4A02">
          <w:rPr>
            <w:shd w:val="clear" w:color="auto" w:fill="FFFFFF"/>
            <w:lang w:val="cs-CZ"/>
          </w:rPr>
          <w:delText>hlášeny případy selhání jater</w:delText>
        </w:r>
        <w:r w:rsidR="00B2774A" w:rsidRPr="001B4A02">
          <w:rPr>
            <w:shd w:val="clear" w:color="auto" w:fill="FFFFFF"/>
            <w:lang w:val="cs-CZ"/>
          </w:rPr>
          <w:delText xml:space="preserve">, stejně jako případy méně závažných poruch jater, které mohou selhání jater předcházet, jako je hepatitida, </w:delText>
        </w:r>
        <w:r w:rsidRPr="001B4A02">
          <w:rPr>
            <w:shd w:val="clear" w:color="auto" w:fill="FFFFFF"/>
            <w:lang w:val="cs-CZ"/>
          </w:rPr>
          <w:delText>včetně autoimunní hepatitidy.</w:delText>
        </w:r>
      </w:del>
    </w:p>
    <w:p w14:paraId="535532FC" w14:textId="77777777" w:rsidR="007050DE" w:rsidRPr="001B4A02" w:rsidRDefault="007050DE" w:rsidP="00ED48A3">
      <w:pPr>
        <w:pStyle w:val="EMEANormal"/>
        <w:shd w:val="clear" w:color="auto" w:fill="FFFFFF"/>
        <w:rPr>
          <w:del w:id="1424" w:author="AbbVie1" w:date="2025-05-13T09:50:00Z"/>
          <w:shd w:val="clear" w:color="auto" w:fill="FFFFFF"/>
          <w:lang w:val="cs-CZ"/>
        </w:rPr>
      </w:pPr>
    </w:p>
    <w:p w14:paraId="0691D686" w14:textId="77777777" w:rsidR="00D804E7" w:rsidRPr="001B4A02" w:rsidRDefault="00000000" w:rsidP="00527B4A">
      <w:pPr>
        <w:pStyle w:val="EMEANormal"/>
        <w:keepNext/>
        <w:shd w:val="clear" w:color="auto" w:fill="FFFFFF"/>
        <w:rPr>
          <w:del w:id="1425" w:author="AbbVie1" w:date="2025-05-13T09:50:00Z"/>
          <w:u w:val="single"/>
          <w:shd w:val="clear" w:color="auto" w:fill="FFFFFF"/>
          <w:lang w:val="cs-CZ"/>
        </w:rPr>
      </w:pPr>
      <w:del w:id="1426" w:author="AbbVie1" w:date="2025-05-13T09:50:00Z">
        <w:r w:rsidRPr="001B4A02">
          <w:rPr>
            <w:u w:val="single"/>
            <w:shd w:val="clear" w:color="auto" w:fill="FFFFFF"/>
            <w:lang w:val="cs-CZ"/>
          </w:rPr>
          <w:delText>S</w:delText>
        </w:r>
        <w:r w:rsidR="00C14B2F" w:rsidRPr="001B4A02">
          <w:rPr>
            <w:u w:val="single"/>
            <w:shd w:val="clear" w:color="auto" w:fill="FFFFFF"/>
            <w:lang w:val="cs-CZ"/>
          </w:rPr>
          <w:delText>oučasná léčba azathioprinem/</w:delText>
        </w:r>
        <w:r w:rsidR="00607A13" w:rsidRPr="001B4A02">
          <w:rPr>
            <w:u w:val="single"/>
            <w:shd w:val="clear" w:color="auto" w:fill="FFFFFF"/>
            <w:lang w:val="cs-CZ"/>
          </w:rPr>
          <w:delText>6-</w:delText>
        </w:r>
        <w:r w:rsidRPr="001B4A02">
          <w:rPr>
            <w:u w:val="single"/>
            <w:shd w:val="clear" w:color="auto" w:fill="FFFFFF"/>
            <w:lang w:val="cs-CZ"/>
          </w:rPr>
          <w:delText>merkaptopurinem</w:delText>
        </w:r>
      </w:del>
    </w:p>
    <w:p w14:paraId="23DF9884" w14:textId="77777777" w:rsidR="00251CED" w:rsidRPr="001B4A02" w:rsidRDefault="00251CED" w:rsidP="00527B4A">
      <w:pPr>
        <w:pStyle w:val="EMEANormal"/>
        <w:keepNext/>
        <w:shd w:val="clear" w:color="auto" w:fill="FFFFFF"/>
        <w:rPr>
          <w:del w:id="1427" w:author="AbbVie1" w:date="2025-05-13T09:50:00Z"/>
          <w:shd w:val="clear" w:color="auto" w:fill="FFFFFF"/>
          <w:lang w:val="cs-CZ"/>
        </w:rPr>
      </w:pPr>
    </w:p>
    <w:p w14:paraId="53EABE84" w14:textId="77777777" w:rsidR="00D804E7" w:rsidRPr="001B4A02" w:rsidRDefault="00000000" w:rsidP="00D84336">
      <w:pPr>
        <w:pStyle w:val="EMEANormal"/>
        <w:shd w:val="clear" w:color="auto" w:fill="FFFFFF"/>
        <w:rPr>
          <w:del w:id="1428" w:author="AbbVie1" w:date="2025-05-13T09:50:00Z"/>
          <w:shd w:val="clear" w:color="auto" w:fill="FFFFFF"/>
          <w:lang w:val="cs-CZ"/>
        </w:rPr>
      </w:pPr>
      <w:del w:id="1429" w:author="AbbVie1" w:date="2025-05-13T09:50:00Z">
        <w:r w:rsidRPr="001B4A02">
          <w:rPr>
            <w:shd w:val="clear" w:color="auto" w:fill="FFFFFF"/>
            <w:lang w:val="cs-CZ"/>
          </w:rPr>
          <w:delText>Ve studi</w:delText>
        </w:r>
        <w:r w:rsidR="000F6D9E" w:rsidRPr="001B4A02">
          <w:rPr>
            <w:shd w:val="clear" w:color="auto" w:fill="FFFFFF"/>
            <w:lang w:val="cs-CZ"/>
          </w:rPr>
          <w:delText>ích s Crohnovou chorobou byla u </w:delText>
        </w:r>
        <w:r w:rsidRPr="001B4A02">
          <w:rPr>
            <w:shd w:val="clear" w:color="auto" w:fill="FFFFFF"/>
            <w:lang w:val="cs-CZ"/>
          </w:rPr>
          <w:delText>dospělých pacientů léčených kombinací přípravku</w:delText>
        </w:r>
        <w:r w:rsidR="00C14B2F" w:rsidRPr="001B4A02">
          <w:rPr>
            <w:shd w:val="clear" w:color="auto" w:fill="FFFFFF"/>
            <w:lang w:val="cs-CZ"/>
          </w:rPr>
          <w:delText xml:space="preserve"> Humira spolu s azathioprinem/</w:delText>
        </w:r>
        <w:r w:rsidR="00C806C1" w:rsidRPr="001B4A02">
          <w:rPr>
            <w:shd w:val="clear" w:color="auto" w:fill="FFFFFF"/>
            <w:lang w:val="cs-CZ"/>
          </w:rPr>
          <w:delText>6-</w:delText>
        </w:r>
        <w:r w:rsidRPr="001B4A02">
          <w:rPr>
            <w:shd w:val="clear" w:color="auto" w:fill="FFFFFF"/>
            <w:lang w:val="cs-CZ"/>
          </w:rPr>
          <w:delText>merkaptopurinem pozorována vyšší incidence malignit</w:delText>
        </w:r>
        <w:r w:rsidR="002378E0">
          <w:rPr>
            <w:shd w:val="clear" w:color="auto" w:fill="FFFFFF"/>
            <w:lang w:val="cs-CZ"/>
          </w:rPr>
          <w:delText xml:space="preserve"> a </w:delText>
        </w:r>
        <w:r w:rsidRPr="001B4A02">
          <w:rPr>
            <w:shd w:val="clear" w:color="auto" w:fill="FFFFFF"/>
            <w:lang w:val="cs-CZ"/>
          </w:rPr>
          <w:delText>závažných nežádoucích účinků souvisejících s infekcemi v porovnání s pacienty, kteří byli léčeni pouze příp</w:delText>
        </w:r>
        <w:r w:rsidR="00D96FBC" w:rsidRPr="001B4A02">
          <w:rPr>
            <w:shd w:val="clear" w:color="auto" w:fill="FFFFFF"/>
            <w:lang w:val="cs-CZ"/>
          </w:rPr>
          <w:delText>r</w:delText>
        </w:r>
        <w:r w:rsidRPr="001B4A02">
          <w:rPr>
            <w:shd w:val="clear" w:color="auto" w:fill="FFFFFF"/>
            <w:lang w:val="cs-CZ"/>
          </w:rPr>
          <w:delText>avkem Humira.</w:delText>
        </w:r>
      </w:del>
    </w:p>
    <w:p w14:paraId="6F9BC17D" w14:textId="77777777" w:rsidR="00A67A78" w:rsidRPr="001B4A02" w:rsidRDefault="00A67A78" w:rsidP="00ED48A3">
      <w:pPr>
        <w:pStyle w:val="EMEANormal"/>
        <w:shd w:val="clear" w:color="auto" w:fill="FFFFFF"/>
        <w:rPr>
          <w:del w:id="1430" w:author="AbbVie1" w:date="2025-05-13T09:50:00Z"/>
          <w:shd w:val="clear" w:color="auto" w:fill="FFFFFF"/>
          <w:lang w:val="cs-CZ"/>
        </w:rPr>
      </w:pPr>
    </w:p>
    <w:p w14:paraId="455ADC0F" w14:textId="77777777" w:rsidR="00A67A78" w:rsidRPr="001B4A02" w:rsidRDefault="00000000" w:rsidP="00D84336">
      <w:pPr>
        <w:pStyle w:val="EMEANormal"/>
        <w:keepNext/>
        <w:shd w:val="clear" w:color="auto" w:fill="FFFFFF"/>
        <w:rPr>
          <w:del w:id="1431" w:author="AbbVie1" w:date="2025-05-13T09:50:00Z"/>
          <w:u w:val="single"/>
          <w:shd w:val="clear" w:color="auto" w:fill="FFFFFF"/>
          <w:lang w:val="cs-CZ"/>
        </w:rPr>
      </w:pPr>
      <w:del w:id="1432" w:author="AbbVie1" w:date="2025-05-13T09:50:00Z">
        <w:r w:rsidRPr="001B4A02">
          <w:rPr>
            <w:u w:val="single"/>
            <w:shd w:val="clear" w:color="auto" w:fill="FFFFFF"/>
            <w:lang w:val="cs-CZ"/>
          </w:rPr>
          <w:delText>Hlášení podezření na nežádoucí účinky</w:delText>
        </w:r>
      </w:del>
    </w:p>
    <w:p w14:paraId="49B90AD5" w14:textId="77777777" w:rsidR="00251CED" w:rsidRPr="001B4A02" w:rsidRDefault="00251CED" w:rsidP="00D84336">
      <w:pPr>
        <w:pStyle w:val="EMEANormal"/>
        <w:keepNext/>
        <w:shd w:val="clear" w:color="auto" w:fill="FFFFFF"/>
        <w:rPr>
          <w:del w:id="1433" w:author="AbbVie1" w:date="2025-05-13T09:50:00Z"/>
          <w:shd w:val="clear" w:color="auto" w:fill="FFFFFF"/>
          <w:lang w:val="cs-CZ"/>
        </w:rPr>
      </w:pPr>
    </w:p>
    <w:p w14:paraId="5AE16FFC" w14:textId="77777777" w:rsidR="00A67A78" w:rsidRPr="001B4A02" w:rsidRDefault="00000000" w:rsidP="00ED48A3">
      <w:pPr>
        <w:pStyle w:val="EMEANormal"/>
        <w:shd w:val="clear" w:color="auto" w:fill="FFFFFF"/>
        <w:rPr>
          <w:del w:id="1434" w:author="AbbVie1" w:date="2025-05-13T09:50:00Z"/>
          <w:lang w:val="cs-CZ"/>
        </w:rPr>
      </w:pPr>
      <w:del w:id="1435" w:author="AbbVie1" w:date="2025-05-13T09:50:00Z">
        <w:r w:rsidRPr="001B4A02">
          <w:rPr>
            <w:shd w:val="clear" w:color="auto" w:fill="FFFFFF"/>
            <w:lang w:val="cs-CZ"/>
          </w:rPr>
          <w:delText>Hlášení podezření na nežádoucí účinky po registraci léčivého přípravku je důležité. Umožňuje to pokračovat ve sledování poměru přínosů</w:delText>
        </w:r>
        <w:r w:rsidR="002378E0">
          <w:rPr>
            <w:shd w:val="clear" w:color="auto" w:fill="FFFFFF"/>
            <w:lang w:val="cs-CZ"/>
          </w:rPr>
          <w:delText xml:space="preserve"> a </w:delText>
        </w:r>
        <w:r w:rsidRPr="001B4A02">
          <w:rPr>
            <w:shd w:val="clear" w:color="auto" w:fill="FFFFFF"/>
            <w:lang w:val="cs-CZ"/>
          </w:rPr>
          <w:delText>rizik léčivého přípravku. Žádáme zdravotnické pracovníky, aby hlásili podezření na nežádoucí účinky</w:delText>
        </w:r>
        <w:r w:rsidR="00E94DB3" w:rsidRPr="001B4A02">
          <w:rPr>
            <w:shd w:val="clear" w:color="auto" w:fill="FFFFFF"/>
            <w:lang w:val="cs-CZ"/>
          </w:rPr>
          <w:delText xml:space="preserve"> prostřednictvím </w:delText>
        </w:r>
        <w:r w:rsidR="00E94DB3" w:rsidRPr="001B4A02">
          <w:rPr>
            <w:shd w:val="clear" w:color="auto" w:fill="A6A6A6"/>
            <w:lang w:val="cs-CZ"/>
          </w:rPr>
          <w:delText>národního systému hlášení nežádoucích účinků uvedeného v </w:delText>
        </w:r>
        <w:r w:rsidR="00E94DB3">
          <w:fldChar w:fldCharType="begin"/>
        </w:r>
        <w:r w:rsidR="00E94DB3" w:rsidRPr="00063CB5">
          <w:rPr>
            <w:lang w:val="cs-CZ"/>
            <w:rPrChange w:id="1436" w:author="Abbvie02" w:date="2025-05-16T11:13:00Z">
              <w:rPr/>
            </w:rPrChange>
          </w:rPr>
          <w:delInstrText>HYPERLINK "http://www.ema.europa.eu/docs/en_GB/document_library/Template_or_form/2013/03/WC500139752.doc"</w:delInstrText>
        </w:r>
        <w:r w:rsidR="00E94DB3">
          <w:fldChar w:fldCharType="separate"/>
        </w:r>
        <w:r w:rsidR="00E94DB3" w:rsidRPr="001B4A02">
          <w:rPr>
            <w:rStyle w:val="Hyperlink"/>
            <w:shd w:val="clear" w:color="auto" w:fill="A6A6A6"/>
            <w:lang w:val="cs-CZ"/>
          </w:rPr>
          <w:delText>Dodatku V</w:delText>
        </w:r>
        <w:r w:rsidR="00E94DB3">
          <w:fldChar w:fldCharType="end"/>
        </w:r>
        <w:r w:rsidR="00E94DB3" w:rsidRPr="001B4A02">
          <w:rPr>
            <w:shd w:val="clear" w:color="auto" w:fill="FFFFFF"/>
            <w:lang w:val="cs-CZ"/>
          </w:rPr>
          <w:delText>.</w:delText>
        </w:r>
      </w:del>
    </w:p>
    <w:p w14:paraId="1591F1E3" w14:textId="77777777" w:rsidR="00073F8F" w:rsidRPr="001B4A02" w:rsidRDefault="00073F8F" w:rsidP="00ED48A3">
      <w:pPr>
        <w:ind w:left="0" w:firstLine="0"/>
        <w:rPr>
          <w:del w:id="1437" w:author="AbbVie1" w:date="2025-05-13T09:50:00Z"/>
          <w:b/>
        </w:rPr>
      </w:pPr>
    </w:p>
    <w:p w14:paraId="1AF9550E" w14:textId="77777777" w:rsidR="00073F8F" w:rsidRPr="001B4A02" w:rsidRDefault="00000000" w:rsidP="000A5426">
      <w:pPr>
        <w:keepNext/>
        <w:outlineLvl w:val="1"/>
        <w:rPr>
          <w:del w:id="1438" w:author="AbbVie1" w:date="2025-05-13T09:50:00Z"/>
        </w:rPr>
      </w:pPr>
      <w:del w:id="1439" w:author="AbbVie1" w:date="2025-05-13T09:50:00Z">
        <w:r w:rsidRPr="001B4A02">
          <w:rPr>
            <w:b/>
          </w:rPr>
          <w:delText>4.9</w:delText>
        </w:r>
        <w:r w:rsidRPr="001B4A02">
          <w:rPr>
            <w:b/>
          </w:rPr>
          <w:tab/>
          <w:delText>Předávkování</w:delText>
        </w:r>
      </w:del>
    </w:p>
    <w:p w14:paraId="6A40A76A" w14:textId="77777777" w:rsidR="00073F8F" w:rsidRPr="001B4A02" w:rsidRDefault="00073F8F" w:rsidP="00D84336">
      <w:pPr>
        <w:keepNext/>
        <w:ind w:left="0" w:firstLine="0"/>
        <w:rPr>
          <w:del w:id="1440" w:author="AbbVie1" w:date="2025-05-13T09:50:00Z"/>
        </w:rPr>
      </w:pPr>
    </w:p>
    <w:p w14:paraId="4D638997" w14:textId="77777777" w:rsidR="00073F8F" w:rsidRPr="001B4A02" w:rsidRDefault="00000000" w:rsidP="00ED48A3">
      <w:pPr>
        <w:ind w:left="0" w:firstLine="0"/>
        <w:rPr>
          <w:del w:id="1441" w:author="AbbVie1" w:date="2025-05-13T09:50:00Z"/>
        </w:rPr>
      </w:pPr>
      <w:del w:id="1442" w:author="AbbVie1" w:date="2025-05-13T09:50:00Z">
        <w:r w:rsidRPr="001B4A02">
          <w:delText xml:space="preserve">V klinických studiích nebyla pozorována toxicita omezující dávku léku. </w:delText>
        </w:r>
        <w:r w:rsidRPr="001B4A02">
          <w:rPr>
            <w:shd w:val="clear" w:color="auto" w:fill="FFFFFF"/>
          </w:rPr>
          <w:delText>N</w:delText>
        </w:r>
        <w:r w:rsidRPr="001B4A02">
          <w:delText>ejvyšší hodnocen</w:delText>
        </w:r>
        <w:r w:rsidRPr="001B4A02">
          <w:rPr>
            <w:shd w:val="clear" w:color="auto" w:fill="FFFFFF"/>
          </w:rPr>
          <w:delText>ou</w:delText>
        </w:r>
        <w:r w:rsidRPr="001B4A02">
          <w:delText xml:space="preserve"> dávk</w:delText>
        </w:r>
        <w:r w:rsidRPr="001B4A02">
          <w:rPr>
            <w:shd w:val="clear" w:color="auto" w:fill="FFFFFF"/>
          </w:rPr>
          <w:delText>ou</w:delText>
        </w:r>
        <w:r w:rsidRPr="001B4A02">
          <w:delText xml:space="preserve"> bylo opakované intravenózní podávání 10 mg/kg, což je přibližně 15násobek doporučené dávky.</w:delText>
        </w:r>
      </w:del>
    </w:p>
    <w:p w14:paraId="7EA237E6" w14:textId="77777777" w:rsidR="00073F8F" w:rsidRPr="001B4A02" w:rsidRDefault="00073F8F" w:rsidP="00ED48A3">
      <w:pPr>
        <w:ind w:left="0" w:firstLine="0"/>
        <w:rPr>
          <w:del w:id="1443" w:author="AbbVie1" w:date="2025-05-13T09:50:00Z"/>
        </w:rPr>
      </w:pPr>
    </w:p>
    <w:p w14:paraId="30476EC9" w14:textId="77777777" w:rsidR="00073F8F" w:rsidRPr="001B4A02" w:rsidRDefault="00073F8F" w:rsidP="00ED48A3">
      <w:pPr>
        <w:pStyle w:val="EMEANormal"/>
        <w:tabs>
          <w:tab w:val="clear" w:pos="562"/>
        </w:tabs>
        <w:suppressAutoHyphens w:val="0"/>
        <w:rPr>
          <w:del w:id="1444" w:author="AbbVie1" w:date="2025-05-13T09:50:00Z"/>
          <w:lang w:val="cs-CZ"/>
        </w:rPr>
      </w:pPr>
    </w:p>
    <w:p w14:paraId="3F71F527" w14:textId="77777777" w:rsidR="00073F8F" w:rsidRPr="001B4A02" w:rsidRDefault="00000000" w:rsidP="000A5426">
      <w:pPr>
        <w:keepNext/>
        <w:ind w:left="0" w:firstLine="0"/>
        <w:outlineLvl w:val="0"/>
        <w:rPr>
          <w:del w:id="1445" w:author="AbbVie1" w:date="2025-05-13T09:50:00Z"/>
          <w:b/>
        </w:rPr>
      </w:pPr>
      <w:del w:id="1446" w:author="AbbVie1" w:date="2025-05-13T09:50:00Z">
        <w:r w:rsidRPr="001B4A02">
          <w:rPr>
            <w:b/>
          </w:rPr>
          <w:delText>5.</w:delText>
        </w:r>
        <w:r w:rsidRPr="001B4A02">
          <w:rPr>
            <w:b/>
          </w:rPr>
          <w:tab/>
          <w:delText>FARMAKOLOGICKÉ VLASTNOSTI</w:delText>
        </w:r>
      </w:del>
    </w:p>
    <w:p w14:paraId="11D6B4BC" w14:textId="77777777" w:rsidR="00073F8F" w:rsidRPr="001B4A02" w:rsidRDefault="00073F8F" w:rsidP="00ED48A3">
      <w:pPr>
        <w:keepNext/>
        <w:ind w:left="0" w:firstLine="0"/>
        <w:rPr>
          <w:del w:id="1447" w:author="AbbVie1" w:date="2025-05-13T09:50:00Z"/>
          <w:b/>
        </w:rPr>
      </w:pPr>
    </w:p>
    <w:p w14:paraId="74E0426C" w14:textId="77777777" w:rsidR="00073F8F" w:rsidRPr="001B4A02" w:rsidRDefault="00000000" w:rsidP="000A5426">
      <w:pPr>
        <w:keepNext/>
        <w:outlineLvl w:val="1"/>
        <w:rPr>
          <w:del w:id="1448" w:author="AbbVie1" w:date="2025-05-13T09:50:00Z"/>
        </w:rPr>
      </w:pPr>
      <w:del w:id="1449" w:author="AbbVie1" w:date="2025-05-13T09:50:00Z">
        <w:r w:rsidRPr="001B4A02">
          <w:rPr>
            <w:b/>
          </w:rPr>
          <w:delText>5.1</w:delText>
        </w:r>
        <w:r w:rsidRPr="001B4A02">
          <w:rPr>
            <w:b/>
          </w:rPr>
          <w:tab/>
          <w:delText>Farmakodynamické vlastnosti</w:delText>
        </w:r>
      </w:del>
    </w:p>
    <w:p w14:paraId="5A6116EE" w14:textId="77777777" w:rsidR="00073F8F" w:rsidRPr="001B4A02" w:rsidRDefault="00073F8F" w:rsidP="00ED48A3">
      <w:pPr>
        <w:pStyle w:val="EndnoteText"/>
        <w:keepNext/>
        <w:ind w:left="0" w:firstLine="0"/>
        <w:rPr>
          <w:del w:id="1450" w:author="AbbVie1" w:date="2025-05-13T09:50:00Z"/>
          <w:lang w:val="cs-CZ"/>
        </w:rPr>
      </w:pPr>
    </w:p>
    <w:p w14:paraId="59B97F4D" w14:textId="77777777" w:rsidR="00073F8F" w:rsidRPr="001B4A02" w:rsidRDefault="00000000" w:rsidP="00AC4985">
      <w:pPr>
        <w:ind w:left="0" w:firstLine="0"/>
        <w:rPr>
          <w:del w:id="1451" w:author="AbbVie1" w:date="2025-05-13T09:50:00Z"/>
        </w:rPr>
      </w:pPr>
      <w:del w:id="1452" w:author="AbbVie1" w:date="2025-05-13T09:50:00Z">
        <w:r w:rsidRPr="001B4A02">
          <w:delText xml:space="preserve">Farmakoterapeutická skupina: </w:delText>
        </w:r>
        <w:r w:rsidR="00062315" w:rsidRPr="001B4A02">
          <w:delText>Imunosupresiva, Inhibitory</w:delText>
        </w:r>
        <w:r w:rsidR="005D2B18" w:rsidRPr="001B4A02">
          <w:delText xml:space="preserve"> tumor nekrotizujícího faktoru alfa (TNF-</w:delText>
        </w:r>
        <w:r w:rsidR="004A3A99" w:rsidRPr="004A3A99">
          <w:delText>α</w:delText>
        </w:r>
        <w:r w:rsidR="005D2B18" w:rsidRPr="001B4A02">
          <w:delText>).</w:delText>
        </w:r>
        <w:r w:rsidRPr="001B4A02">
          <w:delText xml:space="preserve"> ATC kód: L04AB04</w:delText>
        </w:r>
      </w:del>
    </w:p>
    <w:p w14:paraId="3C559AD1" w14:textId="77777777" w:rsidR="00073F8F" w:rsidRPr="001B4A02" w:rsidRDefault="00073F8F" w:rsidP="00ED48A3">
      <w:pPr>
        <w:ind w:left="0" w:firstLine="0"/>
        <w:rPr>
          <w:del w:id="1453" w:author="AbbVie1" w:date="2025-05-13T09:50:00Z"/>
          <w:u w:val="single"/>
        </w:rPr>
      </w:pPr>
    </w:p>
    <w:p w14:paraId="3B2128B4" w14:textId="77777777" w:rsidR="00073F8F" w:rsidRPr="001B4A02" w:rsidRDefault="00000000" w:rsidP="00D84336">
      <w:pPr>
        <w:keepNext/>
        <w:ind w:left="0" w:firstLine="0"/>
        <w:rPr>
          <w:del w:id="1454" w:author="AbbVie1" w:date="2025-05-13T09:50:00Z"/>
        </w:rPr>
      </w:pPr>
      <w:del w:id="1455" w:author="AbbVie1" w:date="2025-05-13T09:50:00Z">
        <w:r w:rsidRPr="001B4A02">
          <w:rPr>
            <w:u w:val="single"/>
          </w:rPr>
          <w:delText>Mechanismus účinku</w:delText>
        </w:r>
      </w:del>
    </w:p>
    <w:p w14:paraId="022366FF" w14:textId="77777777" w:rsidR="00073F8F" w:rsidRPr="001B4A02" w:rsidRDefault="00073F8F" w:rsidP="00D84336">
      <w:pPr>
        <w:keepNext/>
        <w:ind w:left="0" w:firstLine="0"/>
        <w:rPr>
          <w:del w:id="1456" w:author="AbbVie1" w:date="2025-05-13T09:50:00Z"/>
        </w:rPr>
      </w:pPr>
    </w:p>
    <w:p w14:paraId="233303CE" w14:textId="77777777" w:rsidR="00073F8F" w:rsidRPr="001B4A02" w:rsidRDefault="00000000" w:rsidP="00ED48A3">
      <w:pPr>
        <w:ind w:left="0" w:firstLine="0"/>
        <w:rPr>
          <w:del w:id="1457" w:author="AbbVie1" w:date="2025-05-13T09:50:00Z"/>
        </w:rPr>
      </w:pPr>
      <w:del w:id="1458" w:author="AbbVie1" w:date="2025-05-13T09:50:00Z">
        <w:r w:rsidRPr="001B4A02">
          <w:delText>Adalimumab se specificky váže na TNF</w:delText>
        </w:r>
        <w:r w:rsidR="002378E0">
          <w:delText xml:space="preserve"> a </w:delText>
        </w:r>
        <w:r w:rsidRPr="001B4A02">
          <w:delText>neutralizuje biologickou funkci TNF blokováním jeho interakce s p55</w:delText>
        </w:r>
        <w:r w:rsidR="002378E0">
          <w:delText xml:space="preserve"> a </w:delText>
        </w:r>
        <w:r w:rsidRPr="001B4A02">
          <w:delText>p75 TNF receptorů na povrchu buněk.</w:delText>
        </w:r>
      </w:del>
    </w:p>
    <w:p w14:paraId="7725AE08" w14:textId="77777777" w:rsidR="00073F8F" w:rsidRPr="001B4A02" w:rsidRDefault="00073F8F" w:rsidP="00ED48A3">
      <w:pPr>
        <w:ind w:left="0" w:firstLine="0"/>
        <w:rPr>
          <w:del w:id="1459" w:author="AbbVie1" w:date="2025-05-13T09:50:00Z"/>
        </w:rPr>
      </w:pPr>
    </w:p>
    <w:p w14:paraId="7B926296" w14:textId="77777777" w:rsidR="00073F8F" w:rsidRPr="001B4A02" w:rsidRDefault="00000000" w:rsidP="00ED48A3">
      <w:pPr>
        <w:ind w:left="0" w:firstLine="0"/>
        <w:rPr>
          <w:del w:id="1460" w:author="AbbVie1" w:date="2025-05-13T09:50:00Z"/>
        </w:rPr>
      </w:pPr>
      <w:del w:id="1461" w:author="AbbVie1" w:date="2025-05-13T09:50:00Z">
        <w:r w:rsidRPr="001B4A02">
          <w:delText>Adalimumab rovněž moduluje biologickou odpověď, která je indukována nebo regulována TNF, včetně změn hladin adhezních molekul zodpovědných za migraci leukocytů (ELAM-1, VACM-1</w:delText>
        </w:r>
        <w:r w:rsidR="002378E0">
          <w:delText xml:space="preserve"> a </w:delText>
        </w:r>
        <w:r w:rsidRPr="001B4A02">
          <w:delText>ICAM-1 při IC</w:delText>
        </w:r>
        <w:r w:rsidRPr="001B4A02">
          <w:rPr>
            <w:vertAlign w:val="subscript"/>
          </w:rPr>
          <w:delText>50</w:delText>
        </w:r>
        <w:r w:rsidRPr="001B4A02">
          <w:delText xml:space="preserve"> 0,1</w:delText>
        </w:r>
        <w:r w:rsidR="00C3486C" w:rsidRPr="001B4A02">
          <w:delText>–</w:delText>
        </w:r>
        <w:r w:rsidRPr="001B4A02">
          <w:delText>0,2 nM).</w:delText>
        </w:r>
      </w:del>
    </w:p>
    <w:p w14:paraId="39DD1419" w14:textId="77777777" w:rsidR="00073F8F" w:rsidRPr="001B4A02" w:rsidRDefault="00073F8F" w:rsidP="00ED48A3">
      <w:pPr>
        <w:ind w:left="0" w:firstLine="0"/>
        <w:rPr>
          <w:del w:id="1462" w:author="AbbVie1" w:date="2025-05-13T09:50:00Z"/>
        </w:rPr>
      </w:pPr>
    </w:p>
    <w:p w14:paraId="7158C371" w14:textId="77777777" w:rsidR="00073F8F" w:rsidRPr="001B4A02" w:rsidRDefault="00000000" w:rsidP="00BF3683">
      <w:pPr>
        <w:keepNext/>
        <w:ind w:left="0" w:firstLine="0"/>
        <w:rPr>
          <w:del w:id="1463" w:author="AbbVie1" w:date="2025-05-13T09:50:00Z"/>
          <w:u w:val="single"/>
        </w:rPr>
      </w:pPr>
      <w:del w:id="1464" w:author="AbbVie1" w:date="2025-05-13T09:50:00Z">
        <w:r w:rsidRPr="001B4A02">
          <w:rPr>
            <w:u w:val="single"/>
          </w:rPr>
          <w:delText>Farmakodynamické účinky</w:delText>
        </w:r>
      </w:del>
    </w:p>
    <w:p w14:paraId="754EC760" w14:textId="77777777" w:rsidR="00073F8F" w:rsidRPr="001B4A02" w:rsidRDefault="00073F8F" w:rsidP="00BF3683">
      <w:pPr>
        <w:keepNext/>
        <w:ind w:left="0" w:firstLine="0"/>
        <w:rPr>
          <w:del w:id="1465" w:author="AbbVie1" w:date="2025-05-13T09:50:00Z"/>
        </w:rPr>
      </w:pPr>
    </w:p>
    <w:p w14:paraId="6A439B7E" w14:textId="77777777" w:rsidR="00073F8F" w:rsidRPr="001B4A02" w:rsidRDefault="00000000" w:rsidP="00ED48A3">
      <w:pPr>
        <w:ind w:left="0" w:firstLine="0"/>
        <w:rPr>
          <w:del w:id="1466" w:author="AbbVie1" w:date="2025-05-13T09:50:00Z"/>
        </w:rPr>
      </w:pPr>
      <w:del w:id="1467" w:author="AbbVie1" w:date="2025-05-13T09:50:00Z">
        <w:r w:rsidRPr="001B4A02">
          <w:delText>Po léčbě přípravkem Humira byl u pacientů s revmatoidní artritidou v porovnání s výchozím stavem pozorován rychlý pokles hladin ukazatelů akutní fáze zánětu (C-reaktivní protein (CR</w:delText>
        </w:r>
        <w:r w:rsidR="00E7478F" w:rsidRPr="001B4A02">
          <w:delText>P)</w:delText>
        </w:r>
        <w:r w:rsidR="002378E0">
          <w:delText xml:space="preserve"> a </w:delText>
        </w:r>
        <w:r w:rsidR="00E7478F" w:rsidRPr="001B4A02">
          <w:delText>sedimentace erytrocytů (FW</w:delText>
        </w:r>
        <w:r w:rsidRPr="001B4A02">
          <w:delText>)</w:delText>
        </w:r>
        <w:r w:rsidR="00CD6D96" w:rsidRPr="001B4A02">
          <w:delText>)</w:delText>
        </w:r>
        <w:r w:rsidR="002378E0">
          <w:delText xml:space="preserve"> a </w:delText>
        </w:r>
        <w:r w:rsidRPr="001B4A02">
          <w:delText>sérových cytokinů (IL-6). Po podání přípravku Humira byly rovněž sníženy sérové koncentrace matrixových metaloproteináz (MMP-1</w:delText>
        </w:r>
        <w:r w:rsidR="002378E0">
          <w:delText xml:space="preserve"> a </w:delText>
        </w:r>
        <w:r w:rsidRPr="001B4A02">
          <w:delText>MMP-3), které vyvolávají přestavbu tkání způsobující destrukci chrupavek. U pacientů léčených přípravkem Humira obvykle došlo ke zlepšení hematologických známek chronického zánětu.</w:delText>
        </w:r>
      </w:del>
    </w:p>
    <w:p w14:paraId="3EB12716" w14:textId="77777777" w:rsidR="00073F8F" w:rsidRPr="001B4A02" w:rsidRDefault="00073F8F" w:rsidP="00ED48A3">
      <w:pPr>
        <w:ind w:left="0" w:firstLine="0"/>
        <w:rPr>
          <w:del w:id="1468" w:author="AbbVie1" w:date="2025-05-13T09:50:00Z"/>
        </w:rPr>
      </w:pPr>
    </w:p>
    <w:p w14:paraId="2D354991" w14:textId="77777777" w:rsidR="00073F8F" w:rsidRPr="001B4A02" w:rsidRDefault="00000000" w:rsidP="00ED48A3">
      <w:pPr>
        <w:pStyle w:val="EMEANormal"/>
        <w:tabs>
          <w:tab w:val="clear" w:pos="562"/>
        </w:tabs>
        <w:suppressAutoHyphens w:val="0"/>
        <w:rPr>
          <w:del w:id="1469" w:author="AbbVie1" w:date="2025-05-13T09:50:00Z"/>
          <w:lang w:val="cs-CZ"/>
        </w:rPr>
      </w:pPr>
      <w:del w:id="1470" w:author="AbbVie1" w:date="2025-05-13T09:50:00Z">
        <w:r w:rsidRPr="001B4A02">
          <w:rPr>
            <w:lang w:val="cs-CZ"/>
          </w:rPr>
          <w:delText>Ry</w:delText>
        </w:r>
        <w:r w:rsidR="00011DDB" w:rsidRPr="001B4A02">
          <w:rPr>
            <w:lang w:val="cs-CZ"/>
          </w:rPr>
          <w:delText>chlý pokles hladin CRP během léčby přípravkem Humira byl také pozorován u</w:delText>
        </w:r>
        <w:r w:rsidR="000F6D9E" w:rsidRPr="001B4A02">
          <w:rPr>
            <w:lang w:val="cs-CZ"/>
          </w:rPr>
          <w:delText> </w:delText>
        </w:r>
        <w:r w:rsidR="00011DDB" w:rsidRPr="001B4A02">
          <w:rPr>
            <w:lang w:val="cs-CZ"/>
          </w:rPr>
          <w:delText>pacientů s polyartikulární juvenilní idiopatickou artritidou, Crohnovou chorobou</w:delText>
        </w:r>
        <w:r w:rsidR="00372B60" w:rsidRPr="001B4A02">
          <w:rPr>
            <w:lang w:val="cs-CZ"/>
          </w:rPr>
          <w:delText>,</w:delText>
        </w:r>
        <w:r w:rsidR="00011DDB" w:rsidRPr="001B4A02">
          <w:rPr>
            <w:lang w:val="cs-CZ"/>
          </w:rPr>
          <w:delText xml:space="preserve"> </w:delText>
        </w:r>
        <w:r w:rsidR="008177B2" w:rsidRPr="001B4A02">
          <w:rPr>
            <w:lang w:val="cs-CZ"/>
          </w:rPr>
          <w:delText>ulcerózní</w:delText>
        </w:r>
        <w:r w:rsidR="00011DDB" w:rsidRPr="001B4A02">
          <w:rPr>
            <w:lang w:val="cs-CZ"/>
          </w:rPr>
          <w:delText xml:space="preserve"> kolitidou</w:delText>
        </w:r>
        <w:r w:rsidR="002378E0">
          <w:rPr>
            <w:lang w:val="cs-CZ"/>
          </w:rPr>
          <w:delText xml:space="preserve"> a </w:delText>
        </w:r>
        <w:r w:rsidR="00372B60" w:rsidRPr="001B4A02">
          <w:rPr>
            <w:lang w:val="cs-CZ"/>
          </w:rPr>
          <w:delText>hidradenitis suppurativa</w:delText>
        </w:r>
        <w:r w:rsidR="00011DDB" w:rsidRPr="001B4A02">
          <w:rPr>
            <w:lang w:val="cs-CZ"/>
          </w:rPr>
          <w:delText xml:space="preserve">. </w:delText>
        </w:r>
        <w:r w:rsidR="000F6D9E" w:rsidRPr="001B4A02">
          <w:rPr>
            <w:lang w:val="cs-CZ"/>
          </w:rPr>
          <w:delText>U </w:delText>
        </w:r>
        <w:r w:rsidR="00F77906" w:rsidRPr="001B4A02">
          <w:rPr>
            <w:lang w:val="cs-CZ"/>
          </w:rPr>
          <w:delText>pacientů s Crohnovou chorobou byl</w:delText>
        </w:r>
        <w:r w:rsidR="00011DDB" w:rsidRPr="001B4A02">
          <w:rPr>
            <w:lang w:val="cs-CZ"/>
          </w:rPr>
          <w:delText>o</w:delText>
        </w:r>
        <w:r w:rsidR="00F77906" w:rsidRPr="001B4A02">
          <w:rPr>
            <w:lang w:val="cs-CZ"/>
          </w:rPr>
          <w:delText xml:space="preserve"> také pozorován</w:delText>
        </w:r>
        <w:r w:rsidR="00011DDB" w:rsidRPr="001B4A02">
          <w:rPr>
            <w:lang w:val="cs-CZ"/>
          </w:rPr>
          <w:delText>o</w:delText>
        </w:r>
        <w:r w:rsidR="00F77906" w:rsidRPr="001B4A02">
          <w:rPr>
            <w:lang w:val="cs-CZ"/>
          </w:rPr>
          <w:delText xml:space="preserve"> snížení počtu buněk exprimující</w:delText>
        </w:r>
        <w:r w:rsidR="007A7DFB" w:rsidRPr="001B4A02">
          <w:rPr>
            <w:lang w:val="cs-CZ"/>
          </w:rPr>
          <w:delText>ch</w:delText>
        </w:r>
        <w:r w:rsidR="00F77906" w:rsidRPr="001B4A02">
          <w:rPr>
            <w:lang w:val="cs-CZ"/>
          </w:rPr>
          <w:delText xml:space="preserve"> markery zánětlivých faktorů v</w:delText>
        </w:r>
        <w:r w:rsidR="00CD6DC2" w:rsidRPr="001B4A02">
          <w:rPr>
            <w:lang w:val="cs-CZ"/>
          </w:rPr>
          <w:delText> tlustém střevě</w:delText>
        </w:r>
        <w:r w:rsidR="007A7DFB" w:rsidRPr="001B4A02">
          <w:rPr>
            <w:lang w:val="cs-CZ"/>
          </w:rPr>
          <w:delText>, což zahrnovalo i významný pokles</w:delText>
        </w:r>
        <w:r w:rsidR="00CD6DC2" w:rsidRPr="001B4A02">
          <w:rPr>
            <w:lang w:val="cs-CZ"/>
          </w:rPr>
          <w:delText xml:space="preserve"> exprese TNFα. Endoskopické </w:delText>
        </w:r>
        <w:r w:rsidR="007A7DFB" w:rsidRPr="001B4A02">
          <w:rPr>
            <w:lang w:val="cs-CZ"/>
          </w:rPr>
          <w:delText xml:space="preserve">zkoumání </w:delText>
        </w:r>
        <w:r w:rsidR="00CD6DC2" w:rsidRPr="001B4A02">
          <w:rPr>
            <w:lang w:val="cs-CZ"/>
          </w:rPr>
          <w:delText>střevní sliznic</w:delText>
        </w:r>
        <w:r w:rsidR="007A7DFB" w:rsidRPr="001B4A02">
          <w:rPr>
            <w:lang w:val="cs-CZ"/>
          </w:rPr>
          <w:delText>e</w:delText>
        </w:r>
        <w:r w:rsidR="00CD6DC2" w:rsidRPr="001B4A02">
          <w:rPr>
            <w:lang w:val="cs-CZ"/>
          </w:rPr>
          <w:delText xml:space="preserve"> jednoznačně prokázal</w:delText>
        </w:r>
        <w:r w:rsidR="007A7DFB" w:rsidRPr="001B4A02">
          <w:rPr>
            <w:lang w:val="cs-CZ"/>
          </w:rPr>
          <w:delText>o</w:delText>
        </w:r>
        <w:r w:rsidRPr="001B4A02">
          <w:rPr>
            <w:lang w:val="cs-CZ"/>
          </w:rPr>
          <w:delText xml:space="preserve"> </w:delText>
        </w:r>
        <w:r w:rsidR="00455627" w:rsidRPr="001B4A02">
          <w:rPr>
            <w:lang w:val="cs-CZ"/>
          </w:rPr>
          <w:delText xml:space="preserve">slizniční </w:delText>
        </w:r>
        <w:r w:rsidR="00CD6DC2" w:rsidRPr="001B4A02">
          <w:rPr>
            <w:lang w:val="cs-CZ"/>
          </w:rPr>
          <w:delText xml:space="preserve">hojení </w:delText>
        </w:r>
        <w:r w:rsidR="007A7DFB" w:rsidRPr="001B4A02">
          <w:rPr>
            <w:lang w:val="cs-CZ"/>
          </w:rPr>
          <w:delText>u</w:delText>
        </w:r>
        <w:r w:rsidR="00CD6DC2" w:rsidRPr="001B4A02">
          <w:rPr>
            <w:lang w:val="cs-CZ"/>
          </w:rPr>
          <w:delText> pacientů léčených adalimumabem.</w:delText>
        </w:r>
      </w:del>
    </w:p>
    <w:p w14:paraId="7053F998" w14:textId="77777777" w:rsidR="00073F8F" w:rsidRPr="001B4A02" w:rsidRDefault="00073F8F" w:rsidP="00ED48A3">
      <w:pPr>
        <w:ind w:left="0" w:firstLine="0"/>
        <w:rPr>
          <w:del w:id="1471" w:author="AbbVie1" w:date="2025-05-13T09:50:00Z"/>
          <w:u w:val="single"/>
        </w:rPr>
      </w:pPr>
    </w:p>
    <w:p w14:paraId="609B25B7" w14:textId="77777777" w:rsidR="00073F8F" w:rsidRPr="001B4A02" w:rsidRDefault="00000000" w:rsidP="00BF3683">
      <w:pPr>
        <w:keepNext/>
        <w:ind w:left="0" w:firstLine="0"/>
        <w:rPr>
          <w:del w:id="1472" w:author="AbbVie1" w:date="2025-05-13T09:50:00Z"/>
          <w:u w:val="single"/>
        </w:rPr>
      </w:pPr>
      <w:del w:id="1473" w:author="AbbVie1" w:date="2025-05-13T09:50:00Z">
        <w:r w:rsidRPr="001B4A02">
          <w:rPr>
            <w:u w:val="single"/>
          </w:rPr>
          <w:delText>Klinick</w:delText>
        </w:r>
        <w:r w:rsidR="00003B7E" w:rsidRPr="001B4A02">
          <w:rPr>
            <w:u w:val="single"/>
          </w:rPr>
          <w:delText>á bezpečnost</w:delText>
        </w:r>
        <w:r w:rsidR="002378E0">
          <w:rPr>
            <w:u w:val="single"/>
          </w:rPr>
          <w:delText xml:space="preserve"> a </w:delText>
        </w:r>
        <w:r w:rsidR="00003B7E" w:rsidRPr="001B4A02">
          <w:rPr>
            <w:u w:val="single"/>
          </w:rPr>
          <w:delText>účinnost</w:delText>
        </w:r>
      </w:del>
    </w:p>
    <w:p w14:paraId="3B02D418" w14:textId="77777777" w:rsidR="00C5365D" w:rsidRPr="001B4A02" w:rsidRDefault="00C5365D" w:rsidP="00BF3683">
      <w:pPr>
        <w:keepNext/>
        <w:ind w:left="0" w:firstLine="0"/>
        <w:rPr>
          <w:del w:id="1474" w:author="AbbVie1" w:date="2025-05-13T09:50:00Z"/>
          <w:u w:val="single"/>
        </w:rPr>
      </w:pPr>
    </w:p>
    <w:p w14:paraId="768F64CC" w14:textId="77777777" w:rsidR="00073F8F" w:rsidRPr="001B4A02" w:rsidRDefault="00000000" w:rsidP="00BF3683">
      <w:pPr>
        <w:keepNext/>
        <w:ind w:left="0" w:firstLine="0"/>
        <w:rPr>
          <w:del w:id="1475" w:author="AbbVie1" w:date="2025-05-13T09:50:00Z"/>
          <w:i/>
        </w:rPr>
      </w:pPr>
      <w:del w:id="1476" w:author="AbbVie1" w:date="2025-05-13T09:50:00Z">
        <w:r w:rsidRPr="001B4A02">
          <w:rPr>
            <w:i/>
          </w:rPr>
          <w:delText>Dospělí s</w:delText>
        </w:r>
        <w:r w:rsidR="00294902">
          <w:rPr>
            <w:i/>
          </w:rPr>
          <w:delText> </w:delText>
        </w:r>
        <w:r w:rsidRPr="001B4A02">
          <w:rPr>
            <w:i/>
          </w:rPr>
          <w:delText>revmatoidní artritidou</w:delText>
        </w:r>
      </w:del>
    </w:p>
    <w:p w14:paraId="761ADC45" w14:textId="77777777" w:rsidR="00073F8F" w:rsidRPr="001B4A02" w:rsidRDefault="00073F8F" w:rsidP="00BF3683">
      <w:pPr>
        <w:keepNext/>
        <w:ind w:left="0" w:firstLine="0"/>
        <w:rPr>
          <w:del w:id="1477" w:author="AbbVie1" w:date="2025-05-13T09:50:00Z"/>
        </w:rPr>
      </w:pPr>
    </w:p>
    <w:p w14:paraId="7F812E23" w14:textId="77777777" w:rsidR="00073F8F" w:rsidRPr="001B4A02" w:rsidRDefault="00000000" w:rsidP="00ED48A3">
      <w:pPr>
        <w:ind w:left="0" w:firstLine="0"/>
        <w:rPr>
          <w:del w:id="1478" w:author="AbbVie1" w:date="2025-05-13T09:50:00Z"/>
        </w:rPr>
      </w:pPr>
      <w:del w:id="1479" w:author="AbbVie1" w:date="2025-05-13T09:50:00Z">
        <w:r w:rsidRPr="001B4A02">
          <w:delText>Přípravek Humira byl hodnocen</w:delText>
        </w:r>
        <w:r w:rsidR="002009DF" w:rsidRPr="001B4A02">
          <w:delText xml:space="preserve"> u </w:delText>
        </w:r>
        <w:r w:rsidRPr="001B4A02">
          <w:delText>více než 3</w:delText>
        </w:r>
        <w:r w:rsidR="009C5EAC" w:rsidRPr="001B4A02">
          <w:delText> </w:delText>
        </w:r>
        <w:r w:rsidRPr="001B4A02">
          <w:delText xml:space="preserve">000 pacientů ve všech klinických studiích s revmatoidní artritidou. </w:delText>
        </w:r>
        <w:r w:rsidR="00B657DD" w:rsidRPr="001B4A02">
          <w:delText>Účinnost</w:delText>
        </w:r>
        <w:r w:rsidR="002378E0">
          <w:delText xml:space="preserve"> a </w:delText>
        </w:r>
        <w:r w:rsidR="00B657DD" w:rsidRPr="001B4A02">
          <w:delText>bezpečnost přípravku Humira byly hodnoceny v 5 randomizovaných, dvojitě zaslepených</w:delText>
        </w:r>
        <w:r w:rsidR="002378E0">
          <w:delText xml:space="preserve"> a </w:delText>
        </w:r>
        <w:r w:rsidR="00B657DD" w:rsidRPr="001B4A02">
          <w:delText xml:space="preserve">dobře kontrolovaných studiích. </w:delText>
        </w:r>
        <w:r w:rsidRPr="001B4A02">
          <w:delText xml:space="preserve">Někteří pacienti byli léčeni </w:delText>
        </w:r>
        <w:r w:rsidRPr="001B4A02">
          <w:rPr>
            <w:szCs w:val="22"/>
          </w:rPr>
          <w:delText xml:space="preserve">po dobu až </w:delText>
        </w:r>
        <w:r w:rsidR="00B657DD" w:rsidRPr="001B4A02">
          <w:rPr>
            <w:szCs w:val="22"/>
          </w:rPr>
          <w:delText>120</w:delText>
        </w:r>
        <w:r w:rsidR="00B657DD" w:rsidRPr="001B4A02">
          <w:delText xml:space="preserve"> </w:delText>
        </w:r>
        <w:r w:rsidR="00E65B22" w:rsidRPr="001B4A02">
          <w:delText>měsíců.</w:delText>
        </w:r>
      </w:del>
    </w:p>
    <w:p w14:paraId="19D3E449" w14:textId="77777777" w:rsidR="00073F8F" w:rsidRPr="001B4A02" w:rsidRDefault="00073F8F" w:rsidP="00ED48A3">
      <w:pPr>
        <w:ind w:left="0" w:firstLine="0"/>
        <w:rPr>
          <w:del w:id="1480" w:author="AbbVie1" w:date="2025-05-13T09:50:00Z"/>
        </w:rPr>
      </w:pPr>
    </w:p>
    <w:p w14:paraId="70E989D3" w14:textId="77777777" w:rsidR="00073F8F" w:rsidRPr="001B4A02" w:rsidRDefault="00000000" w:rsidP="00ED48A3">
      <w:pPr>
        <w:ind w:left="0" w:firstLine="0"/>
        <w:rPr>
          <w:del w:id="1481" w:author="AbbVie1" w:date="2025-05-13T09:50:00Z"/>
        </w:rPr>
      </w:pPr>
      <w:del w:id="1482" w:author="AbbVie1" w:date="2025-05-13T09:50:00Z">
        <w:r w:rsidRPr="001B4A02">
          <w:delText>Ve studii RA I bylo hodnoceno 271 pacientů se středně těžkou až těžkou aktivní revmatoidní artritidou, kteří byli ve věku 18 let</w:delText>
        </w:r>
        <w:r w:rsidR="002378E0">
          <w:delText xml:space="preserve"> a </w:delText>
        </w:r>
        <w:r w:rsidRPr="001B4A02">
          <w:delText>starší</w:delText>
        </w:r>
        <w:r w:rsidR="002378E0">
          <w:delText xml:space="preserve"> a </w:delText>
        </w:r>
        <w:r w:rsidRPr="001B4A02">
          <w:delText>selhala u nich léčba nejméně jedním chorobu modifikujícím antirevmatickým lékem</w:delText>
        </w:r>
        <w:r w:rsidR="002378E0">
          <w:delText xml:space="preserve"> a </w:delText>
        </w:r>
        <w:r w:rsidRPr="001B4A02">
          <w:delText>léčba methotrexátem v dávkách 12,5</w:delText>
        </w:r>
        <w:r w:rsidR="0010616A" w:rsidRPr="001B4A02">
          <w:delText>–</w:delText>
        </w:r>
        <w:r w:rsidRPr="001B4A02">
          <w:delText>25 mg (10 mg v případě nesnášenlivosti methotrexátu) jednou týdně nebyla dostatečně účinná, při konstantní dávce 10</w:delText>
        </w:r>
        <w:r w:rsidR="0010616A" w:rsidRPr="001B4A02">
          <w:delText>–</w:delText>
        </w:r>
        <w:r w:rsidRPr="001B4A02">
          <w:delText>25 mg methotrexátu jednou týdně. Pacienti dostávali dávky 20, 40 nebo 80 mg přípravku Humira nebo placebo každý druhý týden po dobu 24 týdnů.</w:delText>
        </w:r>
      </w:del>
    </w:p>
    <w:p w14:paraId="4A596487" w14:textId="77777777" w:rsidR="00073F8F" w:rsidRPr="001B4A02" w:rsidRDefault="00073F8F" w:rsidP="00ED48A3">
      <w:pPr>
        <w:ind w:left="0" w:firstLine="0"/>
        <w:rPr>
          <w:del w:id="1483" w:author="AbbVie1" w:date="2025-05-13T09:50:00Z"/>
        </w:rPr>
      </w:pPr>
    </w:p>
    <w:p w14:paraId="62727911" w14:textId="77777777" w:rsidR="00073F8F" w:rsidRPr="001B4A02" w:rsidRDefault="00000000" w:rsidP="00ED48A3">
      <w:pPr>
        <w:ind w:left="0" w:firstLine="0"/>
        <w:rPr>
          <w:del w:id="1484" w:author="AbbVie1" w:date="2025-05-13T09:50:00Z"/>
        </w:rPr>
      </w:pPr>
      <w:del w:id="1485" w:author="AbbVie1" w:date="2025-05-13T09:50:00Z">
        <w:r w:rsidRPr="001B4A02">
          <w:delText>Ve studii RA II bylo hodnoceno 544 pacientů se středně těžkou až těžkou aktivní revmatoidní artritidou, kteří byli ve věku 18 let</w:delText>
        </w:r>
        <w:r w:rsidR="002378E0">
          <w:delText xml:space="preserve"> a </w:delText>
        </w:r>
        <w:r w:rsidRPr="001B4A02">
          <w:delText>starší</w:delText>
        </w:r>
        <w:r w:rsidR="002378E0">
          <w:delText xml:space="preserve"> a </w:delText>
        </w:r>
        <w:r w:rsidRPr="001B4A02">
          <w:delText>selhala u nich léčba nejméně jedním chorobu modifikujícím antirevmatickým lékem. Pacientům byla po dobu 26 týdnů podávána subkutánně dávka 20 nebo 40 mg přípravku Humira každý druhý týden</w:delText>
        </w:r>
        <w:r w:rsidR="002378E0">
          <w:delText xml:space="preserve"> a </w:delText>
        </w:r>
        <w:r w:rsidRPr="001B4A02">
          <w:delText>placebo v týdnu bez podání aktivní léčby nebo placebo bylo podáváno jednou týdně po stejnou dobu. Ve studii nebyly povoleny žádné jiné chorobu modifikující antirevmatické léky.</w:delText>
        </w:r>
      </w:del>
    </w:p>
    <w:p w14:paraId="5C9B5BD6" w14:textId="77777777" w:rsidR="00073F8F" w:rsidRPr="001B4A02" w:rsidRDefault="00073F8F" w:rsidP="00ED48A3">
      <w:pPr>
        <w:ind w:left="0" w:firstLine="0"/>
        <w:rPr>
          <w:del w:id="1486" w:author="AbbVie1" w:date="2025-05-13T09:50:00Z"/>
        </w:rPr>
      </w:pPr>
    </w:p>
    <w:p w14:paraId="4F1F18B4" w14:textId="77777777" w:rsidR="00073F8F" w:rsidRPr="001B4A02" w:rsidRDefault="00000000" w:rsidP="00ED48A3">
      <w:pPr>
        <w:ind w:left="0" w:firstLine="0"/>
        <w:rPr>
          <w:del w:id="1487" w:author="AbbVie1" w:date="2025-05-13T09:50:00Z"/>
        </w:rPr>
      </w:pPr>
      <w:del w:id="1488" w:author="AbbVie1" w:date="2025-05-13T09:50:00Z">
        <w:r w:rsidRPr="001B4A02">
          <w:delText>Ve studii RA III bylo hodnoceno 619 pacientů se středně těžkou až těžkou aktivní revmatoidní artritidou, kteří b</w:delText>
        </w:r>
        <w:r w:rsidR="002009DF" w:rsidRPr="001B4A02">
          <w:delText>yli ve věku 18 let</w:delText>
        </w:r>
        <w:r w:rsidR="002378E0">
          <w:delText xml:space="preserve"> a </w:delText>
        </w:r>
        <w:r w:rsidR="002009DF" w:rsidRPr="001B4A02">
          <w:delText>starší</w:delText>
        </w:r>
        <w:r w:rsidR="002378E0">
          <w:delText xml:space="preserve"> a </w:delText>
        </w:r>
        <w:r w:rsidR="002009DF" w:rsidRPr="001B4A02">
          <w:delText>u </w:delText>
        </w:r>
        <w:r w:rsidRPr="001B4A02">
          <w:delText>kterých nebyla odpověď na léčbu methotrexátem v dávkách 12,5</w:delText>
        </w:r>
        <w:r w:rsidR="0010616A" w:rsidRPr="001B4A02">
          <w:delText>–</w:delText>
        </w:r>
        <w:r w:rsidRPr="001B4A02">
          <w:delText>25 mg dostatečná nebo v případě nesnášenlivosti methotrexátu v dávce 10</w:delText>
        </w:r>
        <w:r w:rsidR="00294902">
          <w:delText> mg</w:delText>
        </w:r>
        <w:r w:rsidRPr="001B4A02">
          <w:delText xml:space="preserve"> týdně. Ve studii byly tři skupiny. První skupina dostávala injekce placeba jednou týdně po dobu 52 týdnů. Druhá skupina dostávala přípravek Humira 20 mg jednou týdně po dobu 52 týdnů. Třetí skupina byla léčena přípravkem Humira 40 mg každý druhý týden, přičemž v týdnu bez podávání aktivní látky dostávali pacienti placebo. </w:delText>
        </w:r>
        <w:r w:rsidR="00B657DD" w:rsidRPr="001B4A02">
          <w:delText>Po ukončení prvních 52 týdnů bylo 457</w:delText>
        </w:r>
        <w:r w:rsidRPr="001B4A02">
          <w:delText xml:space="preserve"> </w:delText>
        </w:r>
        <w:r w:rsidR="00B657DD" w:rsidRPr="001B4A02">
          <w:delText xml:space="preserve">pacientů zařazeno </w:delText>
        </w:r>
        <w:r w:rsidRPr="001B4A02">
          <w:delText>do otevřené prodloužené fáze studie, kdy bylo podáváno 40</w:delText>
        </w:r>
        <w:r w:rsidR="00294902">
          <w:delText> mg</w:delText>
        </w:r>
        <w:r w:rsidR="00B86D3A" w:rsidRPr="001B4A02">
          <w:delText xml:space="preserve"> </w:delText>
        </w:r>
        <w:r w:rsidRPr="001B4A02">
          <w:delText>přípravku Humira</w:delText>
        </w:r>
        <w:r w:rsidR="00B657DD" w:rsidRPr="001B4A02">
          <w:delText>/MTX</w:delText>
        </w:r>
        <w:r w:rsidRPr="001B4A02">
          <w:delText xml:space="preserve"> každý druhý týden </w:delText>
        </w:r>
        <w:r w:rsidRPr="001B4A02">
          <w:rPr>
            <w:szCs w:val="22"/>
          </w:rPr>
          <w:delText xml:space="preserve">po dobu až </w:delText>
        </w:r>
        <w:r w:rsidR="00DB19A2" w:rsidRPr="001B4A02">
          <w:rPr>
            <w:szCs w:val="22"/>
          </w:rPr>
          <w:delText>10 let</w:delText>
        </w:r>
        <w:r w:rsidRPr="001B4A02">
          <w:delText>.</w:delText>
        </w:r>
      </w:del>
    </w:p>
    <w:p w14:paraId="770383CF" w14:textId="77777777" w:rsidR="00073F8F" w:rsidRPr="001B4A02" w:rsidRDefault="00073F8F" w:rsidP="00ED48A3">
      <w:pPr>
        <w:ind w:left="0" w:firstLine="0"/>
        <w:rPr>
          <w:del w:id="1489" w:author="AbbVie1" w:date="2025-05-13T09:50:00Z"/>
        </w:rPr>
      </w:pPr>
    </w:p>
    <w:p w14:paraId="5CE494E8" w14:textId="77777777" w:rsidR="00073F8F" w:rsidRPr="001B4A02" w:rsidRDefault="00000000" w:rsidP="00ED48A3">
      <w:pPr>
        <w:ind w:left="0" w:firstLine="0"/>
        <w:rPr>
          <w:del w:id="1490" w:author="AbbVie1" w:date="2025-05-13T09:50:00Z"/>
        </w:rPr>
      </w:pPr>
      <w:del w:id="1491" w:author="AbbVie1" w:date="2025-05-13T09:50:00Z">
        <w:r w:rsidRPr="001B4A02">
          <w:delText>Studie RA IV primárně hodnotila bezpečnost léčby u 636 pacientů se středně těžkou až těžkou aktivní revmatoidní artritidou, kteří byli ve věku 18 let</w:delText>
        </w:r>
        <w:r w:rsidR="002378E0">
          <w:delText xml:space="preserve"> a </w:delText>
        </w:r>
        <w:r w:rsidRPr="001B4A02">
          <w:delText>starší. Studie se mohli zúčastnit pacienti, kteří dosud neužívali chorobu modifikující antirevmatické léky</w:delText>
        </w:r>
        <w:r w:rsidR="00461AAA" w:rsidRPr="001B4A02">
          <w:delText>,</w:delText>
        </w:r>
        <w:r w:rsidRPr="001B4A02">
          <w:delText xml:space="preserve"> i pacienti, kteří byli i v průběhu studie léčeni revmatologickou léčbou za předpokladu, že tato terapie byla stabilní po dobu nejméně 28 dní. Jednalo se o léčbu methotrexátem, leflunomidem, hydroxychlorochinem, sulfasalazinem a/nebo solemi zlata. Pacienti byli randomizováni na léčbu 40</w:delText>
        </w:r>
        <w:r w:rsidR="00294902">
          <w:delText> mg</w:delText>
        </w:r>
        <w:r w:rsidRPr="001B4A02">
          <w:delText xml:space="preserve"> přípravku Humira nebo placeba každ</w:delText>
        </w:r>
        <w:r w:rsidR="00E65B22" w:rsidRPr="001B4A02">
          <w:delText>ý druhý týden po dobu 24 týdnů.</w:delText>
        </w:r>
      </w:del>
    </w:p>
    <w:p w14:paraId="48317A19" w14:textId="77777777" w:rsidR="00073F8F" w:rsidRPr="001B4A02" w:rsidRDefault="00073F8F" w:rsidP="00ED48A3">
      <w:pPr>
        <w:ind w:left="0" w:firstLine="0"/>
        <w:rPr>
          <w:del w:id="1492" w:author="AbbVie1" w:date="2025-05-13T09:50:00Z"/>
        </w:rPr>
      </w:pPr>
    </w:p>
    <w:p w14:paraId="2D25E78D" w14:textId="77777777" w:rsidR="00073F8F" w:rsidRPr="001B4A02" w:rsidRDefault="00000000" w:rsidP="00ED48A3">
      <w:pPr>
        <w:ind w:left="0" w:firstLine="0"/>
        <w:rPr>
          <w:del w:id="1493" w:author="AbbVie1" w:date="2025-05-13T09:50:00Z"/>
        </w:rPr>
      </w:pPr>
      <w:del w:id="1494" w:author="AbbVie1" w:date="2025-05-13T09:50:00Z">
        <w:r w:rsidRPr="001B4A02">
          <w:delText>Studie RA V</w:delText>
        </w:r>
        <w:r w:rsidR="00E07E66" w:rsidRPr="001B4A02">
          <w:delText xml:space="preserve"> </w:delText>
        </w:r>
        <w:r w:rsidRPr="001B4A02">
          <w:delText>hodnotila 799 dospělých pacientů se středně až výrazně aktivní časnou revmatoidní artritidou dosud neléčených methotrexátem (průměrné trvání nemoci méně než 9 měsíců). Tato studie hodnotila účinnost přípravku Humira 40</w:delText>
        </w:r>
        <w:r w:rsidR="00294902">
          <w:delText> mg</w:delText>
        </w:r>
        <w:r w:rsidRPr="001B4A02">
          <w:delText xml:space="preserve"> podávaného každý druhý týden/v kombin</w:delText>
        </w:r>
        <w:r w:rsidR="009271A3">
          <w:delText>ované</w:delText>
        </w:r>
        <w:r w:rsidRPr="001B4A02">
          <w:delText xml:space="preserve"> terapii s methotrexátem, přípravku Humira 40 mg každý druhý týden v monoterapii</w:delText>
        </w:r>
        <w:r w:rsidR="002378E0">
          <w:delText xml:space="preserve"> a </w:delText>
        </w:r>
        <w:r w:rsidRPr="001B4A02">
          <w:delText xml:space="preserve">methotrexátu v monoterapii na snížení </w:delText>
        </w:r>
        <w:r w:rsidR="007D2CA3">
          <w:delText>známek</w:delText>
        </w:r>
        <w:r w:rsidR="002378E0">
          <w:delText xml:space="preserve"> a </w:delText>
        </w:r>
        <w:r w:rsidRPr="001B4A02">
          <w:delText>příznaků</w:delText>
        </w:r>
        <w:r w:rsidR="002378E0">
          <w:delText xml:space="preserve"> a </w:delText>
        </w:r>
        <w:r w:rsidRPr="001B4A02">
          <w:delText>rychlost progrese poškození kloubů u revmatoidní artritidy po dobu 104 týdnů.</w:delText>
        </w:r>
        <w:r w:rsidR="00075749" w:rsidRPr="001B4A02">
          <w:delText xml:space="preserve"> Po ukončení prvních 104 týdnů bylo 497 pacientů zařazeno do otevřené prodloužené fáze, ve které bylo 40</w:delText>
        </w:r>
        <w:r w:rsidR="00294902">
          <w:delText> mg</w:delText>
        </w:r>
        <w:r w:rsidR="00075749" w:rsidRPr="001B4A02">
          <w:delText xml:space="preserve"> přípravku Humira podáváno každý druhý týden po dobu</w:delText>
        </w:r>
        <w:r w:rsidR="00325854" w:rsidRPr="001B4A02">
          <w:delText xml:space="preserve"> až </w:delText>
        </w:r>
        <w:r w:rsidR="00E65B22" w:rsidRPr="001B4A02">
          <w:delText>10 let.</w:delText>
        </w:r>
      </w:del>
    </w:p>
    <w:p w14:paraId="2230D73A" w14:textId="77777777" w:rsidR="00073F8F" w:rsidRPr="001B4A02" w:rsidRDefault="00073F8F" w:rsidP="00ED48A3">
      <w:pPr>
        <w:ind w:left="0" w:firstLine="0"/>
        <w:rPr>
          <w:del w:id="1495" w:author="AbbVie1" w:date="2025-05-13T09:50:00Z"/>
        </w:rPr>
      </w:pPr>
    </w:p>
    <w:p w14:paraId="46BD9F17" w14:textId="77777777" w:rsidR="00073F8F" w:rsidRPr="001B4A02" w:rsidRDefault="00000000" w:rsidP="00ED48A3">
      <w:pPr>
        <w:ind w:left="0" w:firstLine="0"/>
        <w:rPr>
          <w:del w:id="1496" w:author="AbbVie1" w:date="2025-05-13T09:50:00Z"/>
        </w:rPr>
      </w:pPr>
      <w:del w:id="1497" w:author="AbbVie1" w:date="2025-05-13T09:50:00Z">
        <w:r w:rsidRPr="001B4A02">
          <w:delText>Primárním výsledným ukazatelem ve studiích RA I, II</w:delText>
        </w:r>
        <w:r w:rsidR="002378E0">
          <w:delText xml:space="preserve"> a </w:delText>
        </w:r>
        <w:r w:rsidRPr="001B4A02">
          <w:delText>III</w:delText>
        </w:r>
        <w:r w:rsidR="002378E0">
          <w:delText xml:space="preserve"> a </w:delText>
        </w:r>
        <w:r w:rsidRPr="001B4A02">
          <w:delText xml:space="preserve">sekundárním výsledným ukazatelem ve studii RA IV bylo procento pacientů, kteří dosáhli odpověď ACR 20 </w:delText>
        </w:r>
        <w:r w:rsidR="00D00F8F">
          <w:delText>v</w:delText>
        </w:r>
        <w:r w:rsidR="005D2EB7">
          <w:delText> </w:delText>
        </w:r>
        <w:r w:rsidR="00D00F8F">
          <w:delText>týdnu 24 nebo 26</w:delText>
        </w:r>
        <w:r w:rsidRPr="001B4A02">
          <w:delText>. Primárním výsledným ukazatelem ve studii RA V bylo procento pacientů, kteří dosáhli odpověď ACR 50 v týdnu 52. Ve studiích RA III</w:delText>
        </w:r>
        <w:r w:rsidR="002378E0">
          <w:delText xml:space="preserve"> a </w:delText>
        </w:r>
        <w:r w:rsidRPr="001B4A02">
          <w:delText xml:space="preserve">V bylo dalším primárním výsledným ukazatelem </w:delText>
        </w:r>
        <w:r w:rsidR="00D00F8F">
          <w:delText>v</w:delText>
        </w:r>
        <w:r w:rsidR="005D2EB7">
          <w:delText> </w:delText>
        </w:r>
        <w:r w:rsidR="00D00F8F">
          <w:delText>týdnu 52</w:delText>
        </w:r>
        <w:r w:rsidRPr="001B4A02">
          <w:delText xml:space="preserve"> zpomalení progrese onemocnění (stanovené pomocí RTG vyšetření). Studie RA III měla také primární výsledný ukazatel změnu kvality života.</w:delText>
        </w:r>
      </w:del>
    </w:p>
    <w:p w14:paraId="738D1915" w14:textId="77777777" w:rsidR="00073F8F" w:rsidRPr="001B4A02" w:rsidRDefault="00073F8F" w:rsidP="00ED48A3">
      <w:pPr>
        <w:pStyle w:val="EndnoteText"/>
        <w:ind w:left="0" w:firstLine="0"/>
        <w:rPr>
          <w:del w:id="1498" w:author="AbbVie1" w:date="2025-05-13T09:50:00Z"/>
          <w:lang w:val="cs-CZ"/>
        </w:rPr>
      </w:pPr>
    </w:p>
    <w:p w14:paraId="070831C5" w14:textId="77777777" w:rsidR="00073F8F" w:rsidRPr="001B4A02" w:rsidRDefault="00000000" w:rsidP="00BF3683">
      <w:pPr>
        <w:keepNext/>
        <w:ind w:left="0" w:firstLine="0"/>
        <w:rPr>
          <w:del w:id="1499" w:author="AbbVie1" w:date="2025-05-13T09:50:00Z"/>
          <w:i/>
          <w:u w:val="single"/>
        </w:rPr>
      </w:pPr>
      <w:del w:id="1500" w:author="AbbVie1" w:date="2025-05-13T09:50:00Z">
        <w:r w:rsidRPr="001B4A02">
          <w:rPr>
            <w:i/>
            <w:u w:val="single"/>
          </w:rPr>
          <w:delText>ACR odpověď</w:delText>
        </w:r>
      </w:del>
    </w:p>
    <w:p w14:paraId="6069FED9" w14:textId="77777777" w:rsidR="00073F8F" w:rsidRPr="001B4A02" w:rsidRDefault="00073F8F" w:rsidP="00BF3683">
      <w:pPr>
        <w:keepNext/>
        <w:ind w:left="0" w:firstLine="0"/>
        <w:rPr>
          <w:del w:id="1501" w:author="AbbVie1" w:date="2025-05-13T09:50:00Z"/>
        </w:rPr>
      </w:pPr>
    </w:p>
    <w:p w14:paraId="5D62B215" w14:textId="77777777" w:rsidR="00073F8F" w:rsidRPr="001B4A02" w:rsidRDefault="00000000" w:rsidP="00ED48A3">
      <w:pPr>
        <w:ind w:left="0" w:firstLine="0"/>
        <w:rPr>
          <w:del w:id="1502" w:author="AbbVie1" w:date="2025-05-13T09:50:00Z"/>
        </w:rPr>
      </w:pPr>
      <w:del w:id="1503" w:author="AbbVie1" w:date="2025-05-13T09:50:00Z">
        <w:r w:rsidRPr="001B4A02">
          <w:delText>Procento pacientů léčených přípravkem Humira, kteří dosáhli odpověď ACR 20, 50</w:delText>
        </w:r>
        <w:r w:rsidR="002378E0">
          <w:delText xml:space="preserve"> a </w:delText>
        </w:r>
        <w:r w:rsidRPr="001B4A02">
          <w:delText>70</w:delText>
        </w:r>
        <w:r w:rsidR="003E6E02" w:rsidRPr="001B4A02">
          <w:delText>,</w:delText>
        </w:r>
        <w:r w:rsidRPr="001B4A02">
          <w:delText xml:space="preserve"> bylo ve studiích RA I, II</w:delText>
        </w:r>
        <w:r w:rsidR="002378E0">
          <w:delText xml:space="preserve"> a </w:delText>
        </w:r>
        <w:r w:rsidRPr="001B4A02">
          <w:delText xml:space="preserve">III shodné. Výsledky při podávání dávky 40 mg každý druhý týden jsou shrnuty v tabulce </w:delText>
        </w:r>
        <w:r w:rsidR="00910F04">
          <w:delText>8</w:delText>
        </w:r>
        <w:r w:rsidRPr="001B4A02">
          <w:delText>.</w:delText>
        </w:r>
      </w:del>
    </w:p>
    <w:p w14:paraId="2E56B502" w14:textId="77777777" w:rsidR="00073F8F" w:rsidRPr="001B4A02" w:rsidRDefault="00073F8F" w:rsidP="00ED48A3">
      <w:pPr>
        <w:pStyle w:val="BodyText"/>
        <w:ind w:left="0" w:firstLine="0"/>
        <w:rPr>
          <w:del w:id="1504" w:author="AbbVie1" w:date="2025-05-13T09:50:00Z"/>
          <w:b w:val="0"/>
          <w:i w:val="0"/>
          <w:lang w:val="cs-CZ"/>
        </w:rPr>
      </w:pPr>
    </w:p>
    <w:p w14:paraId="4F6ADE59" w14:textId="77777777" w:rsidR="003F4B5B" w:rsidRPr="001B4A02" w:rsidRDefault="00000000" w:rsidP="00ED48A3">
      <w:pPr>
        <w:keepNext/>
        <w:ind w:left="0" w:firstLine="0"/>
        <w:jc w:val="center"/>
        <w:rPr>
          <w:del w:id="1505" w:author="AbbVie1" w:date="2025-05-13T09:50:00Z"/>
          <w:b/>
          <w:szCs w:val="22"/>
        </w:rPr>
      </w:pPr>
      <w:del w:id="1506" w:author="AbbVie1" w:date="2025-05-13T09:50:00Z">
        <w:r w:rsidRPr="001B4A02">
          <w:rPr>
            <w:b/>
            <w:szCs w:val="22"/>
          </w:rPr>
          <w:delText xml:space="preserve">Tabulka </w:delText>
        </w:r>
        <w:r w:rsidR="00D76799">
          <w:rPr>
            <w:b/>
            <w:szCs w:val="22"/>
          </w:rPr>
          <w:delText>8</w:delText>
        </w:r>
        <w:r w:rsidR="00D76799" w:rsidRPr="001B4A02">
          <w:rPr>
            <w:b/>
            <w:szCs w:val="22"/>
          </w:rPr>
          <w:delText xml:space="preserve"> </w:delText>
        </w:r>
      </w:del>
    </w:p>
    <w:p w14:paraId="51E0E741" w14:textId="77777777" w:rsidR="00073F8F" w:rsidRPr="001B4A02" w:rsidRDefault="00000000" w:rsidP="00ED48A3">
      <w:pPr>
        <w:keepNext/>
        <w:ind w:left="0" w:firstLine="0"/>
        <w:jc w:val="center"/>
        <w:rPr>
          <w:del w:id="1507" w:author="AbbVie1" w:date="2025-05-13T09:50:00Z"/>
          <w:b/>
          <w:szCs w:val="22"/>
        </w:rPr>
      </w:pPr>
      <w:del w:id="1508" w:author="AbbVie1" w:date="2025-05-13T09:50:00Z">
        <w:r w:rsidRPr="001B4A02">
          <w:rPr>
            <w:b/>
            <w:szCs w:val="22"/>
          </w:rPr>
          <w:delText>ACR odpověď v placebem kontrolovaných studiích</w:delText>
        </w:r>
      </w:del>
    </w:p>
    <w:p w14:paraId="3C148A2C" w14:textId="77777777" w:rsidR="00073F8F" w:rsidRPr="001B4A02" w:rsidRDefault="00000000" w:rsidP="00ED48A3">
      <w:pPr>
        <w:keepNext/>
        <w:ind w:left="0" w:firstLine="0"/>
        <w:jc w:val="center"/>
        <w:rPr>
          <w:del w:id="1509" w:author="AbbVie1" w:date="2025-05-13T09:50:00Z"/>
          <w:b/>
          <w:szCs w:val="22"/>
        </w:rPr>
      </w:pPr>
      <w:del w:id="1510" w:author="AbbVie1" w:date="2025-05-13T09:50:00Z">
        <w:r w:rsidRPr="001B4A02">
          <w:rPr>
            <w:b/>
            <w:szCs w:val="22"/>
          </w:rPr>
          <w:delText>(</w:delText>
        </w:r>
        <w:r w:rsidR="001E41BF" w:rsidRPr="001B4A02">
          <w:rPr>
            <w:b/>
            <w:szCs w:val="22"/>
          </w:rPr>
          <w:delText>P</w:delText>
        </w:r>
        <w:r w:rsidRPr="001B4A02">
          <w:rPr>
            <w:b/>
            <w:szCs w:val="22"/>
          </w:rPr>
          <w:delText>rocento pacientů)</w:delText>
        </w:r>
      </w:del>
    </w:p>
    <w:tbl>
      <w:tblPr>
        <w:tblW w:w="9124" w:type="dxa"/>
        <w:tblInd w:w="16" w:type="dxa"/>
        <w:tblLayout w:type="fixed"/>
        <w:tblCellMar>
          <w:left w:w="0" w:type="dxa"/>
          <w:right w:w="0" w:type="dxa"/>
        </w:tblCellMar>
        <w:tblLook w:val="0000" w:firstRow="0" w:lastRow="0" w:firstColumn="0" w:lastColumn="0" w:noHBand="0" w:noVBand="0"/>
      </w:tblPr>
      <w:tblGrid>
        <w:gridCol w:w="1069"/>
        <w:gridCol w:w="1467"/>
        <w:gridCol w:w="1559"/>
        <w:gridCol w:w="1134"/>
        <w:gridCol w:w="1202"/>
        <w:gridCol w:w="1276"/>
        <w:gridCol w:w="1417"/>
      </w:tblGrid>
      <w:tr w:rsidR="00534A2D" w14:paraId="1D1F38B1" w14:textId="77777777" w:rsidTr="008D783A">
        <w:trPr>
          <w:del w:id="1511" w:author="AbbVie1" w:date="2025-05-13T09:50:00Z"/>
        </w:trPr>
        <w:tc>
          <w:tcPr>
            <w:tcW w:w="9124" w:type="dxa"/>
            <w:gridSpan w:val="7"/>
            <w:tcBorders>
              <w:bottom w:val="single" w:sz="4" w:space="0" w:color="auto"/>
            </w:tcBorders>
          </w:tcPr>
          <w:p w14:paraId="7B05807D" w14:textId="77777777" w:rsidR="00073F8F" w:rsidRPr="001B4A02" w:rsidRDefault="00073F8F" w:rsidP="00ED48A3">
            <w:pPr>
              <w:pStyle w:val="CommentText"/>
              <w:keepNext/>
              <w:ind w:left="0" w:firstLine="0"/>
              <w:rPr>
                <w:del w:id="1512" w:author="AbbVie1" w:date="2025-05-13T09:50:00Z"/>
                <w:lang w:val="cs-CZ"/>
              </w:rPr>
            </w:pPr>
          </w:p>
        </w:tc>
      </w:tr>
      <w:tr w:rsidR="00534A2D" w14:paraId="3A6EF0C4" w14:textId="77777777" w:rsidTr="008D783A">
        <w:trPr>
          <w:cantSplit/>
          <w:del w:id="1513" w:author="AbbVie1" w:date="2025-05-13T09:50:00Z"/>
        </w:trPr>
        <w:tc>
          <w:tcPr>
            <w:tcW w:w="1069" w:type="dxa"/>
            <w:tcBorders>
              <w:top w:val="single" w:sz="4" w:space="0" w:color="auto"/>
              <w:left w:val="single" w:sz="4" w:space="0" w:color="auto"/>
              <w:right w:val="single" w:sz="6" w:space="0" w:color="auto"/>
            </w:tcBorders>
          </w:tcPr>
          <w:p w14:paraId="51CEACC0" w14:textId="77777777" w:rsidR="00073F8F" w:rsidRPr="001B4A02" w:rsidRDefault="00000000" w:rsidP="00ED48A3">
            <w:pPr>
              <w:keepNext/>
              <w:ind w:left="0" w:firstLine="0"/>
              <w:rPr>
                <w:del w:id="1514" w:author="AbbVie1" w:date="2025-05-13T09:50:00Z"/>
                <w:sz w:val="20"/>
              </w:rPr>
            </w:pPr>
            <w:del w:id="1515" w:author="AbbVie1" w:date="2025-05-13T09:50:00Z">
              <w:r w:rsidRPr="001B4A02">
                <w:rPr>
                  <w:sz w:val="20"/>
                </w:rPr>
                <w:delText>Odpověď</w:delText>
              </w:r>
            </w:del>
          </w:p>
        </w:tc>
        <w:tc>
          <w:tcPr>
            <w:tcW w:w="3026" w:type="dxa"/>
            <w:gridSpan w:val="2"/>
            <w:tcBorders>
              <w:top w:val="single" w:sz="4" w:space="0" w:color="auto"/>
              <w:left w:val="single" w:sz="6" w:space="0" w:color="auto"/>
              <w:bottom w:val="single" w:sz="4" w:space="0" w:color="auto"/>
              <w:right w:val="single" w:sz="6" w:space="0" w:color="auto"/>
            </w:tcBorders>
          </w:tcPr>
          <w:p w14:paraId="00C62269" w14:textId="77777777" w:rsidR="00073F8F" w:rsidRPr="001B4A02" w:rsidRDefault="00000000" w:rsidP="00ED48A3">
            <w:pPr>
              <w:keepNext/>
              <w:ind w:left="0" w:firstLine="0"/>
              <w:jc w:val="center"/>
              <w:rPr>
                <w:del w:id="1516" w:author="AbbVie1" w:date="2025-05-13T09:50:00Z"/>
                <w:sz w:val="20"/>
              </w:rPr>
            </w:pPr>
            <w:del w:id="1517" w:author="AbbVie1" w:date="2025-05-13T09:50:00Z">
              <w:r w:rsidRPr="001B4A02">
                <w:rPr>
                  <w:sz w:val="20"/>
                </w:rPr>
                <w:delText>Studie RA I</w:delText>
              </w:r>
              <w:r w:rsidRPr="001B4A02">
                <w:rPr>
                  <w:sz w:val="20"/>
                  <w:vertAlign w:val="superscript"/>
                </w:rPr>
                <w:delText>a</w:delText>
              </w:r>
              <w:r w:rsidRPr="001B4A02">
                <w:rPr>
                  <w:sz w:val="20"/>
                </w:rPr>
                <w:delText>**</w:delText>
              </w:r>
            </w:del>
          </w:p>
        </w:tc>
        <w:tc>
          <w:tcPr>
            <w:tcW w:w="2336" w:type="dxa"/>
            <w:gridSpan w:val="2"/>
            <w:tcBorders>
              <w:top w:val="single" w:sz="4" w:space="0" w:color="auto"/>
              <w:left w:val="single" w:sz="6" w:space="0" w:color="auto"/>
              <w:bottom w:val="single" w:sz="4" w:space="0" w:color="auto"/>
              <w:right w:val="single" w:sz="6" w:space="0" w:color="auto"/>
            </w:tcBorders>
          </w:tcPr>
          <w:p w14:paraId="4C22D5C2" w14:textId="77777777" w:rsidR="00073F8F" w:rsidRPr="001B4A02" w:rsidRDefault="00000000" w:rsidP="00ED48A3">
            <w:pPr>
              <w:keepNext/>
              <w:ind w:left="0" w:firstLine="0"/>
              <w:jc w:val="center"/>
              <w:rPr>
                <w:del w:id="1518" w:author="AbbVie1" w:date="2025-05-13T09:50:00Z"/>
                <w:sz w:val="20"/>
              </w:rPr>
            </w:pPr>
            <w:del w:id="1519" w:author="AbbVie1" w:date="2025-05-13T09:50:00Z">
              <w:r w:rsidRPr="001B4A02">
                <w:rPr>
                  <w:sz w:val="20"/>
                </w:rPr>
                <w:delText>Studie RA II</w:delText>
              </w:r>
              <w:r w:rsidRPr="001B4A02">
                <w:rPr>
                  <w:sz w:val="20"/>
                  <w:vertAlign w:val="superscript"/>
                </w:rPr>
                <w:delText>a</w:delText>
              </w:r>
              <w:r w:rsidRPr="001B4A02">
                <w:rPr>
                  <w:sz w:val="20"/>
                </w:rPr>
                <w:delText>**</w:delText>
              </w:r>
            </w:del>
          </w:p>
        </w:tc>
        <w:tc>
          <w:tcPr>
            <w:tcW w:w="2693" w:type="dxa"/>
            <w:gridSpan w:val="2"/>
            <w:tcBorders>
              <w:top w:val="single" w:sz="4" w:space="0" w:color="auto"/>
              <w:left w:val="single" w:sz="6" w:space="0" w:color="auto"/>
              <w:bottom w:val="single" w:sz="4" w:space="0" w:color="auto"/>
              <w:right w:val="single" w:sz="4" w:space="0" w:color="auto"/>
            </w:tcBorders>
          </w:tcPr>
          <w:p w14:paraId="6F6F557B" w14:textId="77777777" w:rsidR="00073F8F" w:rsidRPr="001B4A02" w:rsidRDefault="00000000" w:rsidP="00ED48A3">
            <w:pPr>
              <w:keepNext/>
              <w:ind w:left="0" w:firstLine="0"/>
              <w:jc w:val="center"/>
              <w:rPr>
                <w:del w:id="1520" w:author="AbbVie1" w:date="2025-05-13T09:50:00Z"/>
                <w:sz w:val="20"/>
              </w:rPr>
            </w:pPr>
            <w:del w:id="1521" w:author="AbbVie1" w:date="2025-05-13T09:50:00Z">
              <w:r w:rsidRPr="001B4A02">
                <w:rPr>
                  <w:sz w:val="20"/>
                </w:rPr>
                <w:delText>Studie RA III</w:delText>
              </w:r>
              <w:r w:rsidRPr="001B4A02">
                <w:rPr>
                  <w:sz w:val="20"/>
                  <w:vertAlign w:val="superscript"/>
                </w:rPr>
                <w:delText>a</w:delText>
              </w:r>
              <w:r w:rsidRPr="001B4A02">
                <w:rPr>
                  <w:sz w:val="20"/>
                </w:rPr>
                <w:delText>**</w:delText>
              </w:r>
            </w:del>
          </w:p>
          <w:p w14:paraId="1D2F4B78" w14:textId="77777777" w:rsidR="00073F8F" w:rsidRPr="001B4A02" w:rsidRDefault="00073F8F" w:rsidP="00ED48A3">
            <w:pPr>
              <w:keepNext/>
              <w:ind w:left="0" w:firstLine="0"/>
              <w:jc w:val="center"/>
              <w:rPr>
                <w:del w:id="1522" w:author="AbbVie1" w:date="2025-05-13T09:50:00Z"/>
                <w:sz w:val="20"/>
              </w:rPr>
            </w:pPr>
          </w:p>
        </w:tc>
      </w:tr>
      <w:tr w:rsidR="00534A2D" w14:paraId="11B0D53A" w14:textId="77777777" w:rsidTr="008D783A">
        <w:trPr>
          <w:cantSplit/>
          <w:del w:id="1523" w:author="AbbVie1" w:date="2025-05-13T09:50:00Z"/>
        </w:trPr>
        <w:tc>
          <w:tcPr>
            <w:tcW w:w="1069" w:type="dxa"/>
            <w:tcBorders>
              <w:left w:val="single" w:sz="4" w:space="0" w:color="auto"/>
              <w:bottom w:val="single" w:sz="4" w:space="0" w:color="auto"/>
              <w:right w:val="single" w:sz="4" w:space="0" w:color="auto"/>
            </w:tcBorders>
          </w:tcPr>
          <w:p w14:paraId="4D17758E" w14:textId="77777777" w:rsidR="00073F8F" w:rsidRPr="001B4A02" w:rsidRDefault="00073F8F" w:rsidP="00ED48A3">
            <w:pPr>
              <w:keepNext/>
              <w:ind w:left="0" w:firstLine="0"/>
              <w:rPr>
                <w:del w:id="1524" w:author="AbbVie1" w:date="2025-05-13T09:50:00Z"/>
                <w:sz w:val="20"/>
              </w:rPr>
            </w:pPr>
          </w:p>
        </w:tc>
        <w:tc>
          <w:tcPr>
            <w:tcW w:w="1467" w:type="dxa"/>
            <w:tcBorders>
              <w:top w:val="single" w:sz="4" w:space="0" w:color="auto"/>
              <w:left w:val="single" w:sz="4" w:space="0" w:color="auto"/>
              <w:bottom w:val="single" w:sz="4" w:space="0" w:color="auto"/>
              <w:right w:val="single" w:sz="4" w:space="0" w:color="auto"/>
            </w:tcBorders>
          </w:tcPr>
          <w:p w14:paraId="1805A713" w14:textId="77777777" w:rsidR="00073F8F" w:rsidRPr="001B4A02" w:rsidRDefault="00000000" w:rsidP="00ED48A3">
            <w:pPr>
              <w:keepNext/>
              <w:ind w:left="0" w:firstLine="0"/>
              <w:jc w:val="center"/>
              <w:rPr>
                <w:del w:id="1525" w:author="AbbVie1" w:date="2025-05-13T09:50:00Z"/>
                <w:sz w:val="20"/>
              </w:rPr>
            </w:pPr>
            <w:del w:id="1526" w:author="AbbVie1" w:date="2025-05-13T09:50:00Z">
              <w:r w:rsidRPr="001B4A02">
                <w:rPr>
                  <w:sz w:val="20"/>
                </w:rPr>
                <w:delText>Placebo/ MTX</w:delText>
              </w:r>
              <w:r w:rsidRPr="001B4A02">
                <w:rPr>
                  <w:sz w:val="20"/>
                  <w:vertAlign w:val="superscript"/>
                </w:rPr>
                <w:delText>c</w:delText>
              </w:r>
            </w:del>
          </w:p>
          <w:p w14:paraId="2BE73941" w14:textId="77777777" w:rsidR="00073F8F" w:rsidRPr="001B4A02" w:rsidRDefault="00000000" w:rsidP="00ED48A3">
            <w:pPr>
              <w:keepNext/>
              <w:ind w:left="0" w:firstLine="0"/>
              <w:jc w:val="center"/>
              <w:rPr>
                <w:del w:id="1527" w:author="AbbVie1" w:date="2025-05-13T09:50:00Z"/>
                <w:sz w:val="20"/>
              </w:rPr>
            </w:pPr>
            <w:del w:id="1528" w:author="AbbVie1" w:date="2025-05-13T09:50:00Z">
              <w:r w:rsidRPr="001B4A02">
                <w:rPr>
                  <w:sz w:val="20"/>
                </w:rPr>
                <w:delText>n=60</w:delText>
              </w:r>
            </w:del>
          </w:p>
        </w:tc>
        <w:tc>
          <w:tcPr>
            <w:tcW w:w="1559" w:type="dxa"/>
            <w:tcBorders>
              <w:top w:val="single" w:sz="4" w:space="0" w:color="auto"/>
              <w:left w:val="single" w:sz="4" w:space="0" w:color="auto"/>
              <w:bottom w:val="single" w:sz="4" w:space="0" w:color="auto"/>
              <w:right w:val="single" w:sz="4" w:space="0" w:color="auto"/>
            </w:tcBorders>
          </w:tcPr>
          <w:p w14:paraId="608C32AD" w14:textId="77777777" w:rsidR="00073F8F" w:rsidRPr="001B4A02" w:rsidRDefault="00000000" w:rsidP="00ED48A3">
            <w:pPr>
              <w:keepNext/>
              <w:ind w:left="0" w:firstLine="0"/>
              <w:jc w:val="center"/>
              <w:rPr>
                <w:del w:id="1529" w:author="AbbVie1" w:date="2025-05-13T09:50:00Z"/>
                <w:sz w:val="20"/>
              </w:rPr>
            </w:pPr>
            <w:del w:id="1530" w:author="AbbVie1" w:date="2025-05-13T09:50:00Z">
              <w:r w:rsidRPr="001B4A02">
                <w:rPr>
                  <w:sz w:val="20"/>
                </w:rPr>
                <w:delText>Humira</w:delText>
              </w:r>
              <w:r w:rsidRPr="001B4A02">
                <w:rPr>
                  <w:sz w:val="20"/>
                  <w:vertAlign w:val="superscript"/>
                </w:rPr>
                <w:delText>b</w:delText>
              </w:r>
              <w:r w:rsidRPr="001B4A02">
                <w:rPr>
                  <w:sz w:val="20"/>
                </w:rPr>
                <w:delText>/ MTX</w:delText>
              </w:r>
              <w:r w:rsidRPr="001B4A02">
                <w:rPr>
                  <w:sz w:val="20"/>
                  <w:vertAlign w:val="superscript"/>
                </w:rPr>
                <w:delText>c</w:delText>
              </w:r>
            </w:del>
          </w:p>
          <w:p w14:paraId="7D80FC4C" w14:textId="77777777" w:rsidR="00073F8F" w:rsidRPr="001B4A02" w:rsidRDefault="00000000" w:rsidP="00ED48A3">
            <w:pPr>
              <w:keepNext/>
              <w:ind w:left="0" w:firstLine="0"/>
              <w:jc w:val="center"/>
              <w:rPr>
                <w:del w:id="1531" w:author="AbbVie1" w:date="2025-05-13T09:50:00Z"/>
                <w:sz w:val="20"/>
              </w:rPr>
            </w:pPr>
            <w:del w:id="1532" w:author="AbbVie1" w:date="2025-05-13T09:50:00Z">
              <w:r w:rsidRPr="001B4A02">
                <w:rPr>
                  <w:sz w:val="20"/>
                </w:rPr>
                <w:delText>n=63</w:delText>
              </w:r>
            </w:del>
          </w:p>
        </w:tc>
        <w:tc>
          <w:tcPr>
            <w:tcW w:w="1134" w:type="dxa"/>
            <w:tcBorders>
              <w:top w:val="single" w:sz="4" w:space="0" w:color="auto"/>
              <w:left w:val="single" w:sz="4" w:space="0" w:color="auto"/>
              <w:bottom w:val="single" w:sz="4" w:space="0" w:color="auto"/>
              <w:right w:val="single" w:sz="4" w:space="0" w:color="auto"/>
            </w:tcBorders>
          </w:tcPr>
          <w:p w14:paraId="585BED90" w14:textId="77777777" w:rsidR="00073F8F" w:rsidRPr="001B4A02" w:rsidRDefault="00000000" w:rsidP="00ED48A3">
            <w:pPr>
              <w:pStyle w:val="CommentText"/>
              <w:keepNext/>
              <w:ind w:left="0" w:firstLine="0"/>
              <w:jc w:val="center"/>
              <w:rPr>
                <w:del w:id="1533" w:author="AbbVie1" w:date="2025-05-13T09:50:00Z"/>
                <w:lang w:val="cs-CZ"/>
              </w:rPr>
            </w:pPr>
            <w:del w:id="1534" w:author="AbbVie1" w:date="2025-05-13T09:50:00Z">
              <w:r w:rsidRPr="001B4A02">
                <w:rPr>
                  <w:lang w:val="cs-CZ"/>
                </w:rPr>
                <w:delText>Placebo</w:delText>
              </w:r>
            </w:del>
          </w:p>
          <w:p w14:paraId="59B59430" w14:textId="77777777" w:rsidR="00073F8F" w:rsidRPr="001B4A02" w:rsidRDefault="00000000" w:rsidP="00ED48A3">
            <w:pPr>
              <w:keepNext/>
              <w:ind w:left="0" w:firstLine="0"/>
              <w:jc w:val="center"/>
              <w:rPr>
                <w:del w:id="1535" w:author="AbbVie1" w:date="2025-05-13T09:50:00Z"/>
                <w:sz w:val="20"/>
              </w:rPr>
            </w:pPr>
            <w:del w:id="1536" w:author="AbbVie1" w:date="2025-05-13T09:50:00Z">
              <w:r w:rsidRPr="001B4A02">
                <w:rPr>
                  <w:sz w:val="20"/>
                </w:rPr>
                <w:delText>n=110</w:delText>
              </w:r>
            </w:del>
          </w:p>
        </w:tc>
        <w:tc>
          <w:tcPr>
            <w:tcW w:w="1202" w:type="dxa"/>
            <w:tcBorders>
              <w:top w:val="single" w:sz="4" w:space="0" w:color="auto"/>
              <w:left w:val="single" w:sz="4" w:space="0" w:color="auto"/>
              <w:bottom w:val="single" w:sz="4" w:space="0" w:color="auto"/>
              <w:right w:val="single" w:sz="4" w:space="0" w:color="auto"/>
            </w:tcBorders>
          </w:tcPr>
          <w:p w14:paraId="2602DE57" w14:textId="77777777" w:rsidR="00073F8F" w:rsidRPr="001B4A02" w:rsidRDefault="00000000" w:rsidP="00ED48A3">
            <w:pPr>
              <w:keepNext/>
              <w:ind w:left="0" w:firstLine="0"/>
              <w:jc w:val="center"/>
              <w:rPr>
                <w:del w:id="1537" w:author="AbbVie1" w:date="2025-05-13T09:50:00Z"/>
                <w:sz w:val="20"/>
              </w:rPr>
            </w:pPr>
            <w:del w:id="1538" w:author="AbbVie1" w:date="2025-05-13T09:50:00Z">
              <w:r w:rsidRPr="001B4A02">
                <w:rPr>
                  <w:sz w:val="20"/>
                </w:rPr>
                <w:delText>Humira</w:delText>
              </w:r>
              <w:r w:rsidRPr="001B4A02">
                <w:rPr>
                  <w:sz w:val="20"/>
                  <w:vertAlign w:val="superscript"/>
                </w:rPr>
                <w:delText>b</w:delText>
              </w:r>
            </w:del>
          </w:p>
          <w:p w14:paraId="57186E78" w14:textId="77777777" w:rsidR="00073F8F" w:rsidRPr="001B4A02" w:rsidRDefault="00000000" w:rsidP="00ED48A3">
            <w:pPr>
              <w:keepNext/>
              <w:ind w:left="0" w:firstLine="0"/>
              <w:jc w:val="center"/>
              <w:rPr>
                <w:del w:id="1539" w:author="AbbVie1" w:date="2025-05-13T09:50:00Z"/>
                <w:sz w:val="20"/>
              </w:rPr>
            </w:pPr>
            <w:del w:id="1540" w:author="AbbVie1" w:date="2025-05-13T09:50:00Z">
              <w:r w:rsidRPr="001B4A02">
                <w:rPr>
                  <w:sz w:val="20"/>
                </w:rPr>
                <w:delText>n=113</w:delText>
              </w:r>
            </w:del>
          </w:p>
        </w:tc>
        <w:tc>
          <w:tcPr>
            <w:tcW w:w="1276" w:type="dxa"/>
            <w:tcBorders>
              <w:top w:val="single" w:sz="4" w:space="0" w:color="auto"/>
              <w:left w:val="single" w:sz="4" w:space="0" w:color="auto"/>
              <w:bottom w:val="single" w:sz="4" w:space="0" w:color="auto"/>
              <w:right w:val="single" w:sz="4" w:space="0" w:color="auto"/>
            </w:tcBorders>
          </w:tcPr>
          <w:p w14:paraId="5F52DAA4" w14:textId="77777777" w:rsidR="00073F8F" w:rsidRPr="001B4A02" w:rsidRDefault="00000000" w:rsidP="00ED48A3">
            <w:pPr>
              <w:keepNext/>
              <w:ind w:left="0" w:firstLine="0"/>
              <w:jc w:val="center"/>
              <w:rPr>
                <w:del w:id="1541" w:author="AbbVie1" w:date="2025-05-13T09:50:00Z"/>
                <w:sz w:val="20"/>
              </w:rPr>
            </w:pPr>
            <w:del w:id="1542" w:author="AbbVie1" w:date="2025-05-13T09:50:00Z">
              <w:r w:rsidRPr="001B4A02">
                <w:rPr>
                  <w:sz w:val="20"/>
                </w:rPr>
                <w:delText>Placebo/ MTX</w:delText>
              </w:r>
              <w:r w:rsidRPr="001B4A02">
                <w:rPr>
                  <w:sz w:val="20"/>
                  <w:vertAlign w:val="superscript"/>
                </w:rPr>
                <w:delText>c</w:delText>
              </w:r>
            </w:del>
          </w:p>
          <w:p w14:paraId="089AB8BF" w14:textId="77777777" w:rsidR="00073F8F" w:rsidRPr="001B4A02" w:rsidRDefault="00000000" w:rsidP="00ED48A3">
            <w:pPr>
              <w:keepNext/>
              <w:ind w:left="0" w:firstLine="0"/>
              <w:jc w:val="center"/>
              <w:rPr>
                <w:del w:id="1543" w:author="AbbVie1" w:date="2025-05-13T09:50:00Z"/>
                <w:sz w:val="20"/>
              </w:rPr>
            </w:pPr>
            <w:del w:id="1544" w:author="AbbVie1" w:date="2025-05-13T09:50:00Z">
              <w:r w:rsidRPr="001B4A02">
                <w:rPr>
                  <w:sz w:val="20"/>
                </w:rPr>
                <w:delText>n=200</w:delText>
              </w:r>
            </w:del>
          </w:p>
        </w:tc>
        <w:tc>
          <w:tcPr>
            <w:tcW w:w="1417" w:type="dxa"/>
            <w:tcBorders>
              <w:top w:val="single" w:sz="4" w:space="0" w:color="auto"/>
              <w:left w:val="single" w:sz="4" w:space="0" w:color="auto"/>
              <w:bottom w:val="single" w:sz="4" w:space="0" w:color="auto"/>
              <w:right w:val="single" w:sz="4" w:space="0" w:color="auto"/>
            </w:tcBorders>
          </w:tcPr>
          <w:p w14:paraId="32AE31D5" w14:textId="77777777" w:rsidR="00073F8F" w:rsidRPr="001B4A02" w:rsidRDefault="00000000" w:rsidP="00ED48A3">
            <w:pPr>
              <w:keepNext/>
              <w:ind w:left="0" w:firstLine="0"/>
              <w:jc w:val="center"/>
              <w:rPr>
                <w:del w:id="1545" w:author="AbbVie1" w:date="2025-05-13T09:50:00Z"/>
                <w:sz w:val="20"/>
              </w:rPr>
            </w:pPr>
            <w:del w:id="1546" w:author="AbbVie1" w:date="2025-05-13T09:50:00Z">
              <w:r w:rsidRPr="001B4A02">
                <w:rPr>
                  <w:sz w:val="20"/>
                </w:rPr>
                <w:delText>Humira</w:delText>
              </w:r>
              <w:r w:rsidRPr="001B4A02">
                <w:rPr>
                  <w:sz w:val="20"/>
                  <w:vertAlign w:val="superscript"/>
                </w:rPr>
                <w:delText>b</w:delText>
              </w:r>
              <w:r w:rsidRPr="001B4A02">
                <w:rPr>
                  <w:sz w:val="20"/>
                </w:rPr>
                <w:delText>/ MTX</w:delText>
              </w:r>
              <w:r w:rsidRPr="001B4A02">
                <w:rPr>
                  <w:sz w:val="20"/>
                  <w:vertAlign w:val="superscript"/>
                </w:rPr>
                <w:delText>c</w:delText>
              </w:r>
            </w:del>
          </w:p>
          <w:p w14:paraId="5FBA85EE" w14:textId="77777777" w:rsidR="00073F8F" w:rsidRPr="001B4A02" w:rsidRDefault="00000000" w:rsidP="00ED48A3">
            <w:pPr>
              <w:keepNext/>
              <w:ind w:left="0" w:firstLine="0"/>
              <w:jc w:val="center"/>
              <w:rPr>
                <w:del w:id="1547" w:author="AbbVie1" w:date="2025-05-13T09:50:00Z"/>
                <w:sz w:val="20"/>
              </w:rPr>
            </w:pPr>
            <w:del w:id="1548" w:author="AbbVie1" w:date="2025-05-13T09:50:00Z">
              <w:r w:rsidRPr="001B4A02">
                <w:rPr>
                  <w:sz w:val="20"/>
                </w:rPr>
                <w:delText>n=207</w:delText>
              </w:r>
            </w:del>
          </w:p>
        </w:tc>
      </w:tr>
      <w:tr w:rsidR="00534A2D" w14:paraId="2B42D36C" w14:textId="77777777" w:rsidTr="008D783A">
        <w:trPr>
          <w:cantSplit/>
          <w:del w:id="1549" w:author="AbbVie1" w:date="2025-05-13T09:50:00Z"/>
        </w:trPr>
        <w:tc>
          <w:tcPr>
            <w:tcW w:w="1069" w:type="dxa"/>
            <w:tcBorders>
              <w:top w:val="single" w:sz="4" w:space="0" w:color="auto"/>
              <w:left w:val="single" w:sz="4" w:space="0" w:color="auto"/>
              <w:bottom w:val="single" w:sz="4" w:space="0" w:color="auto"/>
              <w:right w:val="single" w:sz="4" w:space="0" w:color="auto"/>
            </w:tcBorders>
          </w:tcPr>
          <w:p w14:paraId="47F0DCC6" w14:textId="77777777" w:rsidR="00073F8F" w:rsidRPr="001B4A02" w:rsidRDefault="00000000" w:rsidP="00ED48A3">
            <w:pPr>
              <w:keepNext/>
              <w:ind w:left="0" w:firstLine="0"/>
              <w:rPr>
                <w:del w:id="1550" w:author="AbbVie1" w:date="2025-05-13T09:50:00Z"/>
                <w:sz w:val="20"/>
              </w:rPr>
            </w:pPr>
            <w:del w:id="1551" w:author="AbbVie1" w:date="2025-05-13T09:50:00Z">
              <w:r w:rsidRPr="001B4A02">
                <w:rPr>
                  <w:sz w:val="20"/>
                </w:rPr>
                <w:delText>ACR 20</w:delText>
              </w:r>
            </w:del>
          </w:p>
        </w:tc>
        <w:tc>
          <w:tcPr>
            <w:tcW w:w="1467" w:type="dxa"/>
            <w:tcBorders>
              <w:top w:val="single" w:sz="4" w:space="0" w:color="auto"/>
              <w:left w:val="single" w:sz="4" w:space="0" w:color="auto"/>
              <w:bottom w:val="single" w:sz="4" w:space="0" w:color="auto"/>
              <w:right w:val="single" w:sz="4" w:space="0" w:color="auto"/>
            </w:tcBorders>
          </w:tcPr>
          <w:p w14:paraId="7E527570" w14:textId="77777777" w:rsidR="00073F8F" w:rsidRPr="001B4A02" w:rsidRDefault="00073F8F" w:rsidP="00ED48A3">
            <w:pPr>
              <w:keepNext/>
              <w:ind w:left="0" w:firstLine="0"/>
              <w:jc w:val="center"/>
              <w:rPr>
                <w:del w:id="1552" w:author="AbbVie1" w:date="2025-05-13T09:50:00Z"/>
                <w:sz w:val="20"/>
              </w:rPr>
            </w:pPr>
          </w:p>
        </w:tc>
        <w:tc>
          <w:tcPr>
            <w:tcW w:w="1559" w:type="dxa"/>
            <w:tcBorders>
              <w:top w:val="single" w:sz="4" w:space="0" w:color="auto"/>
              <w:left w:val="single" w:sz="4" w:space="0" w:color="auto"/>
              <w:bottom w:val="single" w:sz="4" w:space="0" w:color="auto"/>
              <w:right w:val="single" w:sz="4" w:space="0" w:color="auto"/>
            </w:tcBorders>
          </w:tcPr>
          <w:p w14:paraId="3C703DE7" w14:textId="77777777" w:rsidR="00073F8F" w:rsidRPr="001B4A02" w:rsidRDefault="00073F8F" w:rsidP="00ED48A3">
            <w:pPr>
              <w:keepNext/>
              <w:ind w:left="0" w:firstLine="0"/>
              <w:jc w:val="center"/>
              <w:rPr>
                <w:del w:id="1553" w:author="AbbVie1" w:date="2025-05-13T09:50:00Z"/>
                <w:sz w:val="20"/>
              </w:rPr>
            </w:pPr>
          </w:p>
        </w:tc>
        <w:tc>
          <w:tcPr>
            <w:tcW w:w="1134" w:type="dxa"/>
            <w:tcBorders>
              <w:top w:val="single" w:sz="4" w:space="0" w:color="auto"/>
              <w:left w:val="single" w:sz="4" w:space="0" w:color="auto"/>
              <w:bottom w:val="single" w:sz="4" w:space="0" w:color="auto"/>
              <w:right w:val="single" w:sz="4" w:space="0" w:color="auto"/>
            </w:tcBorders>
          </w:tcPr>
          <w:p w14:paraId="39039645" w14:textId="77777777" w:rsidR="00073F8F" w:rsidRPr="001B4A02" w:rsidRDefault="00073F8F" w:rsidP="00ED48A3">
            <w:pPr>
              <w:keepNext/>
              <w:ind w:left="0" w:firstLine="0"/>
              <w:jc w:val="center"/>
              <w:rPr>
                <w:del w:id="1554" w:author="AbbVie1" w:date="2025-05-13T09:50:00Z"/>
                <w:sz w:val="20"/>
              </w:rPr>
            </w:pPr>
          </w:p>
        </w:tc>
        <w:tc>
          <w:tcPr>
            <w:tcW w:w="1202" w:type="dxa"/>
            <w:tcBorders>
              <w:top w:val="single" w:sz="4" w:space="0" w:color="auto"/>
              <w:left w:val="single" w:sz="4" w:space="0" w:color="auto"/>
              <w:bottom w:val="single" w:sz="4" w:space="0" w:color="auto"/>
              <w:right w:val="single" w:sz="4" w:space="0" w:color="auto"/>
            </w:tcBorders>
          </w:tcPr>
          <w:p w14:paraId="59A89641" w14:textId="77777777" w:rsidR="00073F8F" w:rsidRPr="001B4A02" w:rsidRDefault="00073F8F" w:rsidP="00ED48A3">
            <w:pPr>
              <w:keepNext/>
              <w:ind w:left="0" w:firstLine="0"/>
              <w:jc w:val="center"/>
              <w:rPr>
                <w:del w:id="1555" w:author="AbbVie1" w:date="2025-05-13T09:50:00Z"/>
                <w:sz w:val="20"/>
              </w:rPr>
            </w:pPr>
          </w:p>
        </w:tc>
        <w:tc>
          <w:tcPr>
            <w:tcW w:w="1276" w:type="dxa"/>
            <w:tcBorders>
              <w:top w:val="single" w:sz="4" w:space="0" w:color="auto"/>
              <w:left w:val="single" w:sz="4" w:space="0" w:color="auto"/>
              <w:bottom w:val="single" w:sz="4" w:space="0" w:color="auto"/>
              <w:right w:val="single" w:sz="4" w:space="0" w:color="auto"/>
            </w:tcBorders>
          </w:tcPr>
          <w:p w14:paraId="33991681" w14:textId="77777777" w:rsidR="00073F8F" w:rsidRPr="001B4A02" w:rsidRDefault="00073F8F" w:rsidP="00ED48A3">
            <w:pPr>
              <w:keepNext/>
              <w:ind w:left="0" w:firstLine="0"/>
              <w:jc w:val="center"/>
              <w:rPr>
                <w:del w:id="1556" w:author="AbbVie1" w:date="2025-05-13T09:50:00Z"/>
                <w:sz w:val="20"/>
              </w:rPr>
            </w:pPr>
          </w:p>
        </w:tc>
        <w:tc>
          <w:tcPr>
            <w:tcW w:w="1417" w:type="dxa"/>
            <w:tcBorders>
              <w:top w:val="single" w:sz="4" w:space="0" w:color="auto"/>
              <w:left w:val="single" w:sz="4" w:space="0" w:color="auto"/>
              <w:bottom w:val="single" w:sz="4" w:space="0" w:color="auto"/>
              <w:right w:val="single" w:sz="4" w:space="0" w:color="auto"/>
            </w:tcBorders>
          </w:tcPr>
          <w:p w14:paraId="13011301" w14:textId="77777777" w:rsidR="00073F8F" w:rsidRPr="001B4A02" w:rsidRDefault="00073F8F" w:rsidP="00ED48A3">
            <w:pPr>
              <w:keepNext/>
              <w:ind w:left="0" w:firstLine="0"/>
              <w:jc w:val="center"/>
              <w:rPr>
                <w:del w:id="1557" w:author="AbbVie1" w:date="2025-05-13T09:50:00Z"/>
                <w:sz w:val="20"/>
              </w:rPr>
            </w:pPr>
          </w:p>
        </w:tc>
      </w:tr>
      <w:tr w:rsidR="00534A2D" w14:paraId="23791181" w14:textId="77777777" w:rsidTr="008D783A">
        <w:trPr>
          <w:cantSplit/>
          <w:del w:id="1558" w:author="AbbVie1" w:date="2025-05-13T09:50:00Z"/>
        </w:trPr>
        <w:tc>
          <w:tcPr>
            <w:tcW w:w="1069" w:type="dxa"/>
            <w:tcBorders>
              <w:top w:val="single" w:sz="4" w:space="0" w:color="auto"/>
              <w:left w:val="single" w:sz="4" w:space="0" w:color="auto"/>
              <w:bottom w:val="single" w:sz="4" w:space="0" w:color="auto"/>
              <w:right w:val="single" w:sz="4" w:space="0" w:color="auto"/>
            </w:tcBorders>
          </w:tcPr>
          <w:p w14:paraId="3DB5A9B4" w14:textId="77777777" w:rsidR="00073F8F" w:rsidRPr="001B4A02" w:rsidRDefault="00000000" w:rsidP="00ED48A3">
            <w:pPr>
              <w:keepNext/>
              <w:ind w:left="0" w:firstLine="0"/>
              <w:rPr>
                <w:del w:id="1559" w:author="AbbVie1" w:date="2025-05-13T09:50:00Z"/>
                <w:sz w:val="20"/>
              </w:rPr>
            </w:pPr>
            <w:del w:id="1560" w:author="AbbVie1" w:date="2025-05-13T09:50:00Z">
              <w:r w:rsidRPr="001B4A02">
                <w:rPr>
                  <w:sz w:val="20"/>
                </w:rPr>
                <w:delText xml:space="preserve">  6 měsíců</w:delText>
              </w:r>
            </w:del>
          </w:p>
        </w:tc>
        <w:tc>
          <w:tcPr>
            <w:tcW w:w="1467" w:type="dxa"/>
            <w:tcBorders>
              <w:top w:val="single" w:sz="4" w:space="0" w:color="auto"/>
              <w:left w:val="single" w:sz="4" w:space="0" w:color="auto"/>
              <w:bottom w:val="single" w:sz="4" w:space="0" w:color="auto"/>
              <w:right w:val="single" w:sz="4" w:space="0" w:color="auto"/>
            </w:tcBorders>
          </w:tcPr>
          <w:p w14:paraId="7D3C4590" w14:textId="77777777" w:rsidR="00073F8F" w:rsidRPr="001B4A02" w:rsidRDefault="00000000" w:rsidP="00ED48A3">
            <w:pPr>
              <w:keepNext/>
              <w:ind w:left="0" w:firstLine="0"/>
              <w:jc w:val="center"/>
              <w:rPr>
                <w:del w:id="1561" w:author="AbbVie1" w:date="2025-05-13T09:50:00Z"/>
                <w:sz w:val="20"/>
              </w:rPr>
            </w:pPr>
            <w:del w:id="1562" w:author="AbbVie1" w:date="2025-05-13T09:50:00Z">
              <w:r w:rsidRPr="001B4A02">
                <w:rPr>
                  <w:sz w:val="20"/>
                </w:rPr>
                <w:delText>13,3</w:delText>
              </w:r>
              <w:r w:rsidR="00A417AC" w:rsidRPr="001B4A02">
                <w:rPr>
                  <w:sz w:val="20"/>
                </w:rPr>
                <w:delText> </w:delText>
              </w:r>
              <w:r w:rsidRPr="001B4A02">
                <w:rPr>
                  <w:sz w:val="20"/>
                </w:rPr>
                <w:delText>%</w:delText>
              </w:r>
            </w:del>
          </w:p>
        </w:tc>
        <w:tc>
          <w:tcPr>
            <w:tcW w:w="1559" w:type="dxa"/>
            <w:tcBorders>
              <w:top w:val="single" w:sz="4" w:space="0" w:color="auto"/>
              <w:left w:val="single" w:sz="4" w:space="0" w:color="auto"/>
              <w:bottom w:val="single" w:sz="4" w:space="0" w:color="auto"/>
              <w:right w:val="single" w:sz="4" w:space="0" w:color="auto"/>
            </w:tcBorders>
          </w:tcPr>
          <w:p w14:paraId="0C45AA17" w14:textId="77777777" w:rsidR="00073F8F" w:rsidRPr="001B4A02" w:rsidRDefault="00000000" w:rsidP="00ED48A3">
            <w:pPr>
              <w:keepNext/>
              <w:ind w:left="0" w:firstLine="0"/>
              <w:jc w:val="center"/>
              <w:rPr>
                <w:del w:id="1563" w:author="AbbVie1" w:date="2025-05-13T09:50:00Z"/>
                <w:sz w:val="20"/>
              </w:rPr>
            </w:pPr>
            <w:del w:id="1564" w:author="AbbVie1" w:date="2025-05-13T09:50:00Z">
              <w:r w:rsidRPr="001B4A02">
                <w:rPr>
                  <w:sz w:val="20"/>
                </w:rPr>
                <w:delText>65,1</w:delText>
              </w:r>
              <w:r w:rsidR="00A417AC" w:rsidRPr="001B4A02">
                <w:rPr>
                  <w:sz w:val="20"/>
                </w:rPr>
                <w:delText> </w:delText>
              </w:r>
              <w:r w:rsidRPr="001B4A02">
                <w:rPr>
                  <w:sz w:val="20"/>
                </w:rPr>
                <w:delText>%</w:delText>
              </w:r>
            </w:del>
          </w:p>
        </w:tc>
        <w:tc>
          <w:tcPr>
            <w:tcW w:w="1134" w:type="dxa"/>
            <w:tcBorders>
              <w:top w:val="single" w:sz="4" w:space="0" w:color="auto"/>
              <w:left w:val="single" w:sz="4" w:space="0" w:color="auto"/>
              <w:bottom w:val="single" w:sz="4" w:space="0" w:color="auto"/>
              <w:right w:val="single" w:sz="4" w:space="0" w:color="auto"/>
            </w:tcBorders>
          </w:tcPr>
          <w:p w14:paraId="679AE2BC" w14:textId="77777777" w:rsidR="00073F8F" w:rsidRPr="001B4A02" w:rsidRDefault="00000000" w:rsidP="00ED48A3">
            <w:pPr>
              <w:keepNext/>
              <w:ind w:left="0" w:firstLine="0"/>
              <w:jc w:val="center"/>
              <w:rPr>
                <w:del w:id="1565" w:author="AbbVie1" w:date="2025-05-13T09:50:00Z"/>
                <w:sz w:val="20"/>
              </w:rPr>
            </w:pPr>
            <w:del w:id="1566" w:author="AbbVie1" w:date="2025-05-13T09:50:00Z">
              <w:r w:rsidRPr="001B4A02">
                <w:rPr>
                  <w:sz w:val="20"/>
                </w:rPr>
                <w:delText>19,1</w:delText>
              </w:r>
              <w:r w:rsidR="00A417AC" w:rsidRPr="001B4A02">
                <w:rPr>
                  <w:sz w:val="20"/>
                </w:rPr>
                <w:delText> </w:delText>
              </w:r>
              <w:r w:rsidRPr="001B4A02">
                <w:rPr>
                  <w:sz w:val="20"/>
                </w:rPr>
                <w:delText>%</w:delText>
              </w:r>
            </w:del>
          </w:p>
        </w:tc>
        <w:tc>
          <w:tcPr>
            <w:tcW w:w="1202" w:type="dxa"/>
            <w:tcBorders>
              <w:top w:val="single" w:sz="4" w:space="0" w:color="auto"/>
              <w:left w:val="single" w:sz="4" w:space="0" w:color="auto"/>
              <w:bottom w:val="single" w:sz="4" w:space="0" w:color="auto"/>
              <w:right w:val="single" w:sz="4" w:space="0" w:color="auto"/>
            </w:tcBorders>
          </w:tcPr>
          <w:p w14:paraId="3BF930D8" w14:textId="77777777" w:rsidR="00073F8F" w:rsidRPr="001B4A02" w:rsidRDefault="00000000" w:rsidP="00ED48A3">
            <w:pPr>
              <w:keepNext/>
              <w:ind w:left="0" w:firstLine="0"/>
              <w:jc w:val="center"/>
              <w:rPr>
                <w:del w:id="1567" w:author="AbbVie1" w:date="2025-05-13T09:50:00Z"/>
                <w:sz w:val="20"/>
              </w:rPr>
            </w:pPr>
            <w:del w:id="1568" w:author="AbbVie1" w:date="2025-05-13T09:50:00Z">
              <w:r w:rsidRPr="001B4A02">
                <w:rPr>
                  <w:sz w:val="20"/>
                </w:rPr>
                <w:delText>46,0</w:delText>
              </w:r>
              <w:r w:rsidR="00A417AC" w:rsidRPr="001B4A02">
                <w:rPr>
                  <w:sz w:val="20"/>
                </w:rPr>
                <w:delText> </w:delText>
              </w:r>
              <w:r w:rsidRPr="001B4A02">
                <w:rPr>
                  <w:sz w:val="20"/>
                </w:rPr>
                <w:delText>%</w:delText>
              </w:r>
            </w:del>
          </w:p>
        </w:tc>
        <w:tc>
          <w:tcPr>
            <w:tcW w:w="1276" w:type="dxa"/>
            <w:tcBorders>
              <w:top w:val="single" w:sz="4" w:space="0" w:color="auto"/>
              <w:left w:val="single" w:sz="4" w:space="0" w:color="auto"/>
              <w:bottom w:val="single" w:sz="4" w:space="0" w:color="auto"/>
              <w:right w:val="single" w:sz="4" w:space="0" w:color="auto"/>
            </w:tcBorders>
          </w:tcPr>
          <w:p w14:paraId="61D3B38C" w14:textId="77777777" w:rsidR="00073F8F" w:rsidRPr="001B4A02" w:rsidRDefault="00000000" w:rsidP="00ED48A3">
            <w:pPr>
              <w:keepNext/>
              <w:ind w:left="0" w:firstLine="0"/>
              <w:jc w:val="center"/>
              <w:rPr>
                <w:del w:id="1569" w:author="AbbVie1" w:date="2025-05-13T09:50:00Z"/>
                <w:sz w:val="20"/>
              </w:rPr>
            </w:pPr>
            <w:del w:id="1570" w:author="AbbVie1" w:date="2025-05-13T09:50:00Z">
              <w:r w:rsidRPr="001B4A02">
                <w:rPr>
                  <w:sz w:val="20"/>
                </w:rPr>
                <w:delText>29,5</w:delText>
              </w:r>
              <w:r w:rsidR="00A417AC" w:rsidRPr="001B4A02">
                <w:rPr>
                  <w:sz w:val="20"/>
                </w:rPr>
                <w:delText> </w:delText>
              </w:r>
              <w:r w:rsidRPr="001B4A02">
                <w:rPr>
                  <w:sz w:val="20"/>
                </w:rPr>
                <w:delText>%</w:delText>
              </w:r>
            </w:del>
          </w:p>
        </w:tc>
        <w:tc>
          <w:tcPr>
            <w:tcW w:w="1417" w:type="dxa"/>
            <w:tcBorders>
              <w:top w:val="single" w:sz="4" w:space="0" w:color="auto"/>
              <w:left w:val="single" w:sz="4" w:space="0" w:color="auto"/>
              <w:bottom w:val="single" w:sz="4" w:space="0" w:color="auto"/>
              <w:right w:val="single" w:sz="4" w:space="0" w:color="auto"/>
            </w:tcBorders>
          </w:tcPr>
          <w:p w14:paraId="119BDCFA" w14:textId="77777777" w:rsidR="00073F8F" w:rsidRPr="001B4A02" w:rsidRDefault="00000000" w:rsidP="00ED48A3">
            <w:pPr>
              <w:keepNext/>
              <w:ind w:left="0" w:firstLine="0"/>
              <w:jc w:val="center"/>
              <w:rPr>
                <w:del w:id="1571" w:author="AbbVie1" w:date="2025-05-13T09:50:00Z"/>
                <w:sz w:val="20"/>
              </w:rPr>
            </w:pPr>
            <w:del w:id="1572" w:author="AbbVie1" w:date="2025-05-13T09:50:00Z">
              <w:r w:rsidRPr="001B4A02">
                <w:rPr>
                  <w:sz w:val="20"/>
                </w:rPr>
                <w:delText>63,3</w:delText>
              </w:r>
              <w:r w:rsidR="00A417AC" w:rsidRPr="001B4A02">
                <w:rPr>
                  <w:sz w:val="20"/>
                </w:rPr>
                <w:delText> </w:delText>
              </w:r>
              <w:r w:rsidRPr="001B4A02">
                <w:rPr>
                  <w:sz w:val="20"/>
                </w:rPr>
                <w:delText>%</w:delText>
              </w:r>
            </w:del>
          </w:p>
        </w:tc>
      </w:tr>
      <w:tr w:rsidR="00534A2D" w14:paraId="0D9ABA12" w14:textId="77777777" w:rsidTr="008D783A">
        <w:trPr>
          <w:cantSplit/>
          <w:del w:id="1573" w:author="AbbVie1" w:date="2025-05-13T09:50:00Z"/>
        </w:trPr>
        <w:tc>
          <w:tcPr>
            <w:tcW w:w="1069" w:type="dxa"/>
            <w:tcBorders>
              <w:top w:val="single" w:sz="4" w:space="0" w:color="auto"/>
              <w:left w:val="single" w:sz="4" w:space="0" w:color="auto"/>
              <w:bottom w:val="single" w:sz="4" w:space="0" w:color="auto"/>
              <w:right w:val="single" w:sz="4" w:space="0" w:color="auto"/>
            </w:tcBorders>
          </w:tcPr>
          <w:p w14:paraId="76A13B8E" w14:textId="77777777" w:rsidR="00073F8F" w:rsidRPr="001B4A02" w:rsidRDefault="00000000" w:rsidP="00ED48A3">
            <w:pPr>
              <w:keepNext/>
              <w:ind w:left="0" w:firstLine="0"/>
              <w:rPr>
                <w:del w:id="1574" w:author="AbbVie1" w:date="2025-05-13T09:50:00Z"/>
                <w:sz w:val="20"/>
              </w:rPr>
            </w:pPr>
            <w:del w:id="1575" w:author="AbbVie1" w:date="2025-05-13T09:50:00Z">
              <w:r w:rsidRPr="001B4A02">
                <w:rPr>
                  <w:sz w:val="20"/>
                </w:rPr>
                <w:delText xml:space="preserve">  12 měsíců</w:delText>
              </w:r>
            </w:del>
          </w:p>
        </w:tc>
        <w:tc>
          <w:tcPr>
            <w:tcW w:w="1467" w:type="dxa"/>
            <w:tcBorders>
              <w:top w:val="single" w:sz="4" w:space="0" w:color="auto"/>
              <w:left w:val="single" w:sz="4" w:space="0" w:color="auto"/>
              <w:bottom w:val="single" w:sz="4" w:space="0" w:color="auto"/>
              <w:right w:val="single" w:sz="4" w:space="0" w:color="auto"/>
            </w:tcBorders>
          </w:tcPr>
          <w:p w14:paraId="2276B18C" w14:textId="77777777" w:rsidR="00073F8F" w:rsidRPr="001B4A02" w:rsidRDefault="00000000" w:rsidP="00ED48A3">
            <w:pPr>
              <w:keepNext/>
              <w:ind w:left="0" w:firstLine="0"/>
              <w:jc w:val="center"/>
              <w:rPr>
                <w:del w:id="1576" w:author="AbbVie1" w:date="2025-05-13T09:50:00Z"/>
                <w:sz w:val="20"/>
              </w:rPr>
            </w:pPr>
            <w:del w:id="1577" w:author="AbbVie1" w:date="2025-05-13T09:50:00Z">
              <w:r w:rsidRPr="001B4A02">
                <w:rPr>
                  <w:sz w:val="20"/>
                </w:rPr>
                <w:delText>NA</w:delText>
              </w:r>
            </w:del>
          </w:p>
        </w:tc>
        <w:tc>
          <w:tcPr>
            <w:tcW w:w="1559" w:type="dxa"/>
            <w:tcBorders>
              <w:top w:val="single" w:sz="4" w:space="0" w:color="auto"/>
              <w:left w:val="single" w:sz="4" w:space="0" w:color="auto"/>
              <w:bottom w:val="single" w:sz="4" w:space="0" w:color="auto"/>
              <w:right w:val="single" w:sz="4" w:space="0" w:color="auto"/>
            </w:tcBorders>
          </w:tcPr>
          <w:p w14:paraId="3E85FE2F" w14:textId="77777777" w:rsidR="00073F8F" w:rsidRPr="001B4A02" w:rsidRDefault="00000000" w:rsidP="00ED48A3">
            <w:pPr>
              <w:keepNext/>
              <w:ind w:left="0" w:firstLine="0"/>
              <w:jc w:val="center"/>
              <w:rPr>
                <w:del w:id="1578" w:author="AbbVie1" w:date="2025-05-13T09:50:00Z"/>
                <w:sz w:val="20"/>
              </w:rPr>
            </w:pPr>
            <w:del w:id="1579" w:author="AbbVie1" w:date="2025-05-13T09:50:00Z">
              <w:r w:rsidRPr="001B4A02">
                <w:rPr>
                  <w:sz w:val="20"/>
                </w:rPr>
                <w:delText>NA</w:delText>
              </w:r>
            </w:del>
          </w:p>
        </w:tc>
        <w:tc>
          <w:tcPr>
            <w:tcW w:w="1134" w:type="dxa"/>
            <w:tcBorders>
              <w:top w:val="single" w:sz="4" w:space="0" w:color="auto"/>
              <w:left w:val="single" w:sz="4" w:space="0" w:color="auto"/>
              <w:bottom w:val="single" w:sz="4" w:space="0" w:color="auto"/>
              <w:right w:val="single" w:sz="4" w:space="0" w:color="auto"/>
            </w:tcBorders>
          </w:tcPr>
          <w:p w14:paraId="35751F00" w14:textId="77777777" w:rsidR="00073F8F" w:rsidRPr="001B4A02" w:rsidRDefault="00000000" w:rsidP="00ED48A3">
            <w:pPr>
              <w:keepNext/>
              <w:ind w:left="0" w:firstLine="0"/>
              <w:jc w:val="center"/>
              <w:rPr>
                <w:del w:id="1580" w:author="AbbVie1" w:date="2025-05-13T09:50:00Z"/>
                <w:sz w:val="20"/>
              </w:rPr>
            </w:pPr>
            <w:del w:id="1581" w:author="AbbVie1" w:date="2025-05-13T09:50:00Z">
              <w:r w:rsidRPr="001B4A02">
                <w:rPr>
                  <w:sz w:val="20"/>
                </w:rPr>
                <w:delText>NA</w:delText>
              </w:r>
            </w:del>
          </w:p>
        </w:tc>
        <w:tc>
          <w:tcPr>
            <w:tcW w:w="1202" w:type="dxa"/>
            <w:tcBorders>
              <w:top w:val="single" w:sz="4" w:space="0" w:color="auto"/>
              <w:left w:val="single" w:sz="4" w:space="0" w:color="auto"/>
              <w:bottom w:val="single" w:sz="4" w:space="0" w:color="auto"/>
              <w:right w:val="single" w:sz="4" w:space="0" w:color="auto"/>
            </w:tcBorders>
          </w:tcPr>
          <w:p w14:paraId="6933193E" w14:textId="77777777" w:rsidR="00073F8F" w:rsidRPr="001B4A02" w:rsidRDefault="00000000" w:rsidP="00ED48A3">
            <w:pPr>
              <w:keepNext/>
              <w:ind w:left="0" w:firstLine="0"/>
              <w:jc w:val="center"/>
              <w:rPr>
                <w:del w:id="1582" w:author="AbbVie1" w:date="2025-05-13T09:50:00Z"/>
                <w:sz w:val="20"/>
              </w:rPr>
            </w:pPr>
            <w:del w:id="1583" w:author="AbbVie1" w:date="2025-05-13T09:50:00Z">
              <w:r w:rsidRPr="001B4A02">
                <w:rPr>
                  <w:sz w:val="20"/>
                </w:rPr>
                <w:delText>NA</w:delText>
              </w:r>
            </w:del>
          </w:p>
        </w:tc>
        <w:tc>
          <w:tcPr>
            <w:tcW w:w="1276" w:type="dxa"/>
            <w:tcBorders>
              <w:top w:val="single" w:sz="4" w:space="0" w:color="auto"/>
              <w:left w:val="single" w:sz="4" w:space="0" w:color="auto"/>
              <w:bottom w:val="single" w:sz="4" w:space="0" w:color="auto"/>
              <w:right w:val="single" w:sz="4" w:space="0" w:color="auto"/>
            </w:tcBorders>
          </w:tcPr>
          <w:p w14:paraId="685C3BFC" w14:textId="77777777" w:rsidR="00073F8F" w:rsidRPr="001B4A02" w:rsidRDefault="00000000" w:rsidP="00ED48A3">
            <w:pPr>
              <w:keepNext/>
              <w:ind w:left="0" w:firstLine="0"/>
              <w:jc w:val="center"/>
              <w:rPr>
                <w:del w:id="1584" w:author="AbbVie1" w:date="2025-05-13T09:50:00Z"/>
                <w:sz w:val="20"/>
              </w:rPr>
            </w:pPr>
            <w:del w:id="1585" w:author="AbbVie1" w:date="2025-05-13T09:50:00Z">
              <w:r w:rsidRPr="001B4A02">
                <w:rPr>
                  <w:sz w:val="20"/>
                </w:rPr>
                <w:delText>24,0</w:delText>
              </w:r>
              <w:r w:rsidR="00A417AC" w:rsidRPr="001B4A02">
                <w:rPr>
                  <w:sz w:val="20"/>
                </w:rPr>
                <w:delText> </w:delText>
              </w:r>
              <w:r w:rsidRPr="001B4A02">
                <w:rPr>
                  <w:sz w:val="20"/>
                </w:rPr>
                <w:delText>%</w:delText>
              </w:r>
            </w:del>
          </w:p>
        </w:tc>
        <w:tc>
          <w:tcPr>
            <w:tcW w:w="1417" w:type="dxa"/>
            <w:tcBorders>
              <w:top w:val="single" w:sz="4" w:space="0" w:color="auto"/>
              <w:left w:val="single" w:sz="4" w:space="0" w:color="auto"/>
              <w:bottom w:val="single" w:sz="4" w:space="0" w:color="auto"/>
              <w:right w:val="single" w:sz="4" w:space="0" w:color="auto"/>
            </w:tcBorders>
          </w:tcPr>
          <w:p w14:paraId="357611EE" w14:textId="77777777" w:rsidR="00073F8F" w:rsidRPr="001B4A02" w:rsidRDefault="00000000" w:rsidP="00ED48A3">
            <w:pPr>
              <w:keepNext/>
              <w:ind w:left="0" w:firstLine="0"/>
              <w:jc w:val="center"/>
              <w:rPr>
                <w:del w:id="1586" w:author="AbbVie1" w:date="2025-05-13T09:50:00Z"/>
                <w:sz w:val="20"/>
              </w:rPr>
            </w:pPr>
            <w:del w:id="1587" w:author="AbbVie1" w:date="2025-05-13T09:50:00Z">
              <w:r w:rsidRPr="001B4A02">
                <w:rPr>
                  <w:sz w:val="20"/>
                </w:rPr>
                <w:delText>58,9</w:delText>
              </w:r>
              <w:r w:rsidR="00A417AC" w:rsidRPr="001B4A02">
                <w:rPr>
                  <w:sz w:val="20"/>
                </w:rPr>
                <w:delText> </w:delText>
              </w:r>
              <w:r w:rsidRPr="001B4A02">
                <w:rPr>
                  <w:sz w:val="20"/>
                </w:rPr>
                <w:delText>%</w:delText>
              </w:r>
            </w:del>
          </w:p>
        </w:tc>
      </w:tr>
      <w:tr w:rsidR="00534A2D" w14:paraId="1B274433" w14:textId="77777777" w:rsidTr="008D783A">
        <w:trPr>
          <w:cantSplit/>
          <w:del w:id="1588" w:author="AbbVie1" w:date="2025-05-13T09:50:00Z"/>
        </w:trPr>
        <w:tc>
          <w:tcPr>
            <w:tcW w:w="1069" w:type="dxa"/>
            <w:tcBorders>
              <w:top w:val="single" w:sz="4" w:space="0" w:color="auto"/>
              <w:left w:val="single" w:sz="4" w:space="0" w:color="auto"/>
              <w:bottom w:val="single" w:sz="4" w:space="0" w:color="auto"/>
              <w:right w:val="single" w:sz="4" w:space="0" w:color="auto"/>
            </w:tcBorders>
          </w:tcPr>
          <w:p w14:paraId="03E0F984" w14:textId="77777777" w:rsidR="00073F8F" w:rsidRPr="001B4A02" w:rsidRDefault="00000000" w:rsidP="00ED48A3">
            <w:pPr>
              <w:keepNext/>
              <w:ind w:left="0" w:firstLine="0"/>
              <w:rPr>
                <w:del w:id="1589" w:author="AbbVie1" w:date="2025-05-13T09:50:00Z"/>
                <w:sz w:val="20"/>
              </w:rPr>
            </w:pPr>
            <w:del w:id="1590" w:author="AbbVie1" w:date="2025-05-13T09:50:00Z">
              <w:r w:rsidRPr="001B4A02">
                <w:rPr>
                  <w:sz w:val="20"/>
                </w:rPr>
                <w:delText>ACR 50</w:delText>
              </w:r>
            </w:del>
          </w:p>
        </w:tc>
        <w:tc>
          <w:tcPr>
            <w:tcW w:w="1467" w:type="dxa"/>
            <w:tcBorders>
              <w:top w:val="single" w:sz="4" w:space="0" w:color="auto"/>
              <w:left w:val="single" w:sz="4" w:space="0" w:color="auto"/>
              <w:bottom w:val="single" w:sz="4" w:space="0" w:color="auto"/>
              <w:right w:val="single" w:sz="4" w:space="0" w:color="auto"/>
            </w:tcBorders>
          </w:tcPr>
          <w:p w14:paraId="68D10089" w14:textId="77777777" w:rsidR="00073F8F" w:rsidRPr="001B4A02" w:rsidRDefault="00073F8F" w:rsidP="00ED48A3">
            <w:pPr>
              <w:keepNext/>
              <w:ind w:left="0" w:firstLine="0"/>
              <w:jc w:val="center"/>
              <w:rPr>
                <w:del w:id="1591" w:author="AbbVie1" w:date="2025-05-13T09:50:00Z"/>
                <w:sz w:val="20"/>
              </w:rPr>
            </w:pPr>
          </w:p>
        </w:tc>
        <w:tc>
          <w:tcPr>
            <w:tcW w:w="1559" w:type="dxa"/>
            <w:tcBorders>
              <w:top w:val="single" w:sz="4" w:space="0" w:color="auto"/>
              <w:left w:val="single" w:sz="4" w:space="0" w:color="auto"/>
              <w:bottom w:val="single" w:sz="4" w:space="0" w:color="auto"/>
              <w:right w:val="single" w:sz="4" w:space="0" w:color="auto"/>
            </w:tcBorders>
          </w:tcPr>
          <w:p w14:paraId="350E81D4" w14:textId="77777777" w:rsidR="00073F8F" w:rsidRPr="001B4A02" w:rsidRDefault="00073F8F" w:rsidP="00ED48A3">
            <w:pPr>
              <w:keepNext/>
              <w:ind w:left="0" w:firstLine="0"/>
              <w:jc w:val="center"/>
              <w:rPr>
                <w:del w:id="1592" w:author="AbbVie1" w:date="2025-05-13T09:50:00Z"/>
                <w:sz w:val="20"/>
              </w:rPr>
            </w:pPr>
          </w:p>
        </w:tc>
        <w:tc>
          <w:tcPr>
            <w:tcW w:w="1134" w:type="dxa"/>
            <w:tcBorders>
              <w:top w:val="single" w:sz="4" w:space="0" w:color="auto"/>
              <w:left w:val="single" w:sz="4" w:space="0" w:color="auto"/>
              <w:bottom w:val="single" w:sz="4" w:space="0" w:color="auto"/>
              <w:right w:val="single" w:sz="4" w:space="0" w:color="auto"/>
            </w:tcBorders>
          </w:tcPr>
          <w:p w14:paraId="089777BD" w14:textId="77777777" w:rsidR="00073F8F" w:rsidRPr="001B4A02" w:rsidRDefault="00073F8F" w:rsidP="00ED48A3">
            <w:pPr>
              <w:keepNext/>
              <w:ind w:left="0" w:firstLine="0"/>
              <w:jc w:val="center"/>
              <w:rPr>
                <w:del w:id="1593" w:author="AbbVie1" w:date="2025-05-13T09:50:00Z"/>
                <w:sz w:val="20"/>
              </w:rPr>
            </w:pPr>
          </w:p>
        </w:tc>
        <w:tc>
          <w:tcPr>
            <w:tcW w:w="1202" w:type="dxa"/>
            <w:tcBorders>
              <w:top w:val="single" w:sz="4" w:space="0" w:color="auto"/>
              <w:left w:val="single" w:sz="4" w:space="0" w:color="auto"/>
              <w:bottom w:val="single" w:sz="4" w:space="0" w:color="auto"/>
              <w:right w:val="single" w:sz="4" w:space="0" w:color="auto"/>
            </w:tcBorders>
          </w:tcPr>
          <w:p w14:paraId="35D93958" w14:textId="77777777" w:rsidR="00073F8F" w:rsidRPr="001B4A02" w:rsidRDefault="00073F8F" w:rsidP="00ED48A3">
            <w:pPr>
              <w:keepNext/>
              <w:ind w:left="0" w:firstLine="0"/>
              <w:jc w:val="center"/>
              <w:rPr>
                <w:del w:id="1594" w:author="AbbVie1" w:date="2025-05-13T09:50:00Z"/>
                <w:sz w:val="20"/>
              </w:rPr>
            </w:pPr>
          </w:p>
        </w:tc>
        <w:tc>
          <w:tcPr>
            <w:tcW w:w="1276" w:type="dxa"/>
            <w:tcBorders>
              <w:top w:val="single" w:sz="4" w:space="0" w:color="auto"/>
              <w:left w:val="single" w:sz="4" w:space="0" w:color="auto"/>
              <w:bottom w:val="single" w:sz="4" w:space="0" w:color="auto"/>
              <w:right w:val="single" w:sz="4" w:space="0" w:color="auto"/>
            </w:tcBorders>
          </w:tcPr>
          <w:p w14:paraId="6979BAD6" w14:textId="77777777" w:rsidR="00073F8F" w:rsidRPr="001B4A02" w:rsidRDefault="00073F8F" w:rsidP="00ED48A3">
            <w:pPr>
              <w:keepNext/>
              <w:ind w:left="0" w:firstLine="0"/>
              <w:jc w:val="center"/>
              <w:rPr>
                <w:del w:id="1595" w:author="AbbVie1" w:date="2025-05-13T09:50:00Z"/>
                <w:sz w:val="20"/>
              </w:rPr>
            </w:pPr>
          </w:p>
        </w:tc>
        <w:tc>
          <w:tcPr>
            <w:tcW w:w="1417" w:type="dxa"/>
            <w:tcBorders>
              <w:top w:val="single" w:sz="4" w:space="0" w:color="auto"/>
              <w:left w:val="single" w:sz="4" w:space="0" w:color="auto"/>
              <w:bottom w:val="single" w:sz="4" w:space="0" w:color="auto"/>
              <w:right w:val="single" w:sz="4" w:space="0" w:color="auto"/>
            </w:tcBorders>
          </w:tcPr>
          <w:p w14:paraId="7E0183B9" w14:textId="77777777" w:rsidR="00073F8F" w:rsidRPr="001B4A02" w:rsidRDefault="00073F8F" w:rsidP="00ED48A3">
            <w:pPr>
              <w:keepNext/>
              <w:ind w:left="0" w:firstLine="0"/>
              <w:jc w:val="center"/>
              <w:rPr>
                <w:del w:id="1596" w:author="AbbVie1" w:date="2025-05-13T09:50:00Z"/>
                <w:sz w:val="20"/>
              </w:rPr>
            </w:pPr>
          </w:p>
        </w:tc>
      </w:tr>
      <w:tr w:rsidR="00534A2D" w14:paraId="27089F72" w14:textId="77777777" w:rsidTr="008D783A">
        <w:trPr>
          <w:cantSplit/>
          <w:del w:id="1597" w:author="AbbVie1" w:date="2025-05-13T09:50:00Z"/>
        </w:trPr>
        <w:tc>
          <w:tcPr>
            <w:tcW w:w="1069" w:type="dxa"/>
            <w:tcBorders>
              <w:top w:val="single" w:sz="4" w:space="0" w:color="auto"/>
              <w:left w:val="single" w:sz="4" w:space="0" w:color="auto"/>
              <w:bottom w:val="single" w:sz="4" w:space="0" w:color="auto"/>
              <w:right w:val="single" w:sz="4" w:space="0" w:color="auto"/>
            </w:tcBorders>
          </w:tcPr>
          <w:p w14:paraId="4C7012E5" w14:textId="77777777" w:rsidR="00073F8F" w:rsidRPr="001B4A02" w:rsidRDefault="00000000" w:rsidP="00ED48A3">
            <w:pPr>
              <w:keepNext/>
              <w:ind w:left="0" w:firstLine="0"/>
              <w:rPr>
                <w:del w:id="1598" w:author="AbbVie1" w:date="2025-05-13T09:50:00Z"/>
                <w:sz w:val="20"/>
              </w:rPr>
            </w:pPr>
            <w:del w:id="1599" w:author="AbbVie1" w:date="2025-05-13T09:50:00Z">
              <w:r w:rsidRPr="001B4A02">
                <w:rPr>
                  <w:sz w:val="20"/>
                </w:rPr>
                <w:delText xml:space="preserve">  6 měsíců</w:delText>
              </w:r>
            </w:del>
          </w:p>
        </w:tc>
        <w:tc>
          <w:tcPr>
            <w:tcW w:w="1467" w:type="dxa"/>
            <w:tcBorders>
              <w:top w:val="single" w:sz="4" w:space="0" w:color="auto"/>
              <w:left w:val="single" w:sz="4" w:space="0" w:color="auto"/>
              <w:bottom w:val="single" w:sz="4" w:space="0" w:color="auto"/>
              <w:right w:val="single" w:sz="4" w:space="0" w:color="auto"/>
            </w:tcBorders>
          </w:tcPr>
          <w:p w14:paraId="0291C824" w14:textId="77777777" w:rsidR="00073F8F" w:rsidRPr="001B4A02" w:rsidRDefault="00000000" w:rsidP="00ED48A3">
            <w:pPr>
              <w:keepNext/>
              <w:ind w:left="0" w:firstLine="0"/>
              <w:jc w:val="center"/>
              <w:rPr>
                <w:del w:id="1600" w:author="AbbVie1" w:date="2025-05-13T09:50:00Z"/>
                <w:sz w:val="20"/>
              </w:rPr>
            </w:pPr>
            <w:del w:id="1601" w:author="AbbVie1" w:date="2025-05-13T09:50:00Z">
              <w:r w:rsidRPr="001B4A02">
                <w:rPr>
                  <w:sz w:val="20"/>
                </w:rPr>
                <w:delText>6,7</w:delText>
              </w:r>
              <w:r w:rsidR="00A417AC" w:rsidRPr="001B4A02">
                <w:rPr>
                  <w:sz w:val="20"/>
                </w:rPr>
                <w:delText> </w:delText>
              </w:r>
              <w:r w:rsidRPr="001B4A02">
                <w:rPr>
                  <w:sz w:val="20"/>
                </w:rPr>
                <w:delText>%</w:delText>
              </w:r>
            </w:del>
          </w:p>
        </w:tc>
        <w:tc>
          <w:tcPr>
            <w:tcW w:w="1559" w:type="dxa"/>
            <w:tcBorders>
              <w:top w:val="single" w:sz="4" w:space="0" w:color="auto"/>
              <w:left w:val="single" w:sz="4" w:space="0" w:color="auto"/>
              <w:bottom w:val="single" w:sz="4" w:space="0" w:color="auto"/>
              <w:right w:val="single" w:sz="4" w:space="0" w:color="auto"/>
            </w:tcBorders>
          </w:tcPr>
          <w:p w14:paraId="2DB7C49A" w14:textId="77777777" w:rsidR="00073F8F" w:rsidRPr="001B4A02" w:rsidRDefault="00000000" w:rsidP="00ED48A3">
            <w:pPr>
              <w:keepNext/>
              <w:ind w:left="0" w:firstLine="0"/>
              <w:jc w:val="center"/>
              <w:rPr>
                <w:del w:id="1602" w:author="AbbVie1" w:date="2025-05-13T09:50:00Z"/>
                <w:sz w:val="20"/>
              </w:rPr>
            </w:pPr>
            <w:del w:id="1603" w:author="AbbVie1" w:date="2025-05-13T09:50:00Z">
              <w:r w:rsidRPr="001B4A02">
                <w:rPr>
                  <w:sz w:val="20"/>
                </w:rPr>
                <w:delText>52,4</w:delText>
              </w:r>
              <w:r w:rsidR="00A417AC" w:rsidRPr="001B4A02">
                <w:rPr>
                  <w:sz w:val="20"/>
                </w:rPr>
                <w:delText> </w:delText>
              </w:r>
              <w:r w:rsidRPr="001B4A02">
                <w:rPr>
                  <w:sz w:val="20"/>
                </w:rPr>
                <w:delText>%</w:delText>
              </w:r>
            </w:del>
          </w:p>
        </w:tc>
        <w:tc>
          <w:tcPr>
            <w:tcW w:w="1134" w:type="dxa"/>
            <w:tcBorders>
              <w:top w:val="single" w:sz="4" w:space="0" w:color="auto"/>
              <w:left w:val="single" w:sz="4" w:space="0" w:color="auto"/>
              <w:bottom w:val="single" w:sz="4" w:space="0" w:color="auto"/>
              <w:right w:val="single" w:sz="4" w:space="0" w:color="auto"/>
            </w:tcBorders>
          </w:tcPr>
          <w:p w14:paraId="7DFE1246" w14:textId="77777777" w:rsidR="00073F8F" w:rsidRPr="001B4A02" w:rsidRDefault="00000000" w:rsidP="00ED48A3">
            <w:pPr>
              <w:keepNext/>
              <w:ind w:left="0" w:firstLine="0"/>
              <w:jc w:val="center"/>
              <w:rPr>
                <w:del w:id="1604" w:author="AbbVie1" w:date="2025-05-13T09:50:00Z"/>
                <w:sz w:val="20"/>
              </w:rPr>
            </w:pPr>
            <w:del w:id="1605" w:author="AbbVie1" w:date="2025-05-13T09:50:00Z">
              <w:r w:rsidRPr="001B4A02">
                <w:rPr>
                  <w:sz w:val="20"/>
                </w:rPr>
                <w:delText>8,2</w:delText>
              </w:r>
              <w:r w:rsidR="00A417AC" w:rsidRPr="001B4A02">
                <w:rPr>
                  <w:sz w:val="20"/>
                </w:rPr>
                <w:delText> </w:delText>
              </w:r>
              <w:r w:rsidRPr="001B4A02">
                <w:rPr>
                  <w:sz w:val="20"/>
                </w:rPr>
                <w:delText>%</w:delText>
              </w:r>
            </w:del>
          </w:p>
        </w:tc>
        <w:tc>
          <w:tcPr>
            <w:tcW w:w="1202" w:type="dxa"/>
            <w:tcBorders>
              <w:top w:val="single" w:sz="4" w:space="0" w:color="auto"/>
              <w:left w:val="single" w:sz="4" w:space="0" w:color="auto"/>
              <w:bottom w:val="single" w:sz="4" w:space="0" w:color="auto"/>
              <w:right w:val="single" w:sz="4" w:space="0" w:color="auto"/>
            </w:tcBorders>
          </w:tcPr>
          <w:p w14:paraId="170FFF78" w14:textId="77777777" w:rsidR="00073F8F" w:rsidRPr="001B4A02" w:rsidRDefault="00000000" w:rsidP="00ED48A3">
            <w:pPr>
              <w:keepNext/>
              <w:ind w:left="0" w:firstLine="0"/>
              <w:jc w:val="center"/>
              <w:rPr>
                <w:del w:id="1606" w:author="AbbVie1" w:date="2025-05-13T09:50:00Z"/>
                <w:sz w:val="20"/>
              </w:rPr>
            </w:pPr>
            <w:del w:id="1607" w:author="AbbVie1" w:date="2025-05-13T09:50:00Z">
              <w:r w:rsidRPr="001B4A02">
                <w:rPr>
                  <w:sz w:val="20"/>
                </w:rPr>
                <w:delText>22,1</w:delText>
              </w:r>
              <w:r w:rsidR="00A417AC" w:rsidRPr="001B4A02">
                <w:rPr>
                  <w:sz w:val="20"/>
                </w:rPr>
                <w:delText> </w:delText>
              </w:r>
              <w:r w:rsidRPr="001B4A02">
                <w:rPr>
                  <w:sz w:val="20"/>
                </w:rPr>
                <w:delText>%</w:delText>
              </w:r>
            </w:del>
          </w:p>
        </w:tc>
        <w:tc>
          <w:tcPr>
            <w:tcW w:w="1276" w:type="dxa"/>
            <w:tcBorders>
              <w:top w:val="single" w:sz="4" w:space="0" w:color="auto"/>
              <w:left w:val="single" w:sz="4" w:space="0" w:color="auto"/>
              <w:bottom w:val="single" w:sz="4" w:space="0" w:color="auto"/>
              <w:right w:val="single" w:sz="4" w:space="0" w:color="auto"/>
            </w:tcBorders>
          </w:tcPr>
          <w:p w14:paraId="5BC851C5" w14:textId="77777777" w:rsidR="00073F8F" w:rsidRPr="001B4A02" w:rsidRDefault="00000000" w:rsidP="00ED48A3">
            <w:pPr>
              <w:keepNext/>
              <w:ind w:left="0" w:firstLine="0"/>
              <w:jc w:val="center"/>
              <w:rPr>
                <w:del w:id="1608" w:author="AbbVie1" w:date="2025-05-13T09:50:00Z"/>
                <w:sz w:val="20"/>
              </w:rPr>
            </w:pPr>
            <w:del w:id="1609" w:author="AbbVie1" w:date="2025-05-13T09:50:00Z">
              <w:r w:rsidRPr="001B4A02">
                <w:rPr>
                  <w:sz w:val="20"/>
                </w:rPr>
                <w:delText>9,5</w:delText>
              </w:r>
              <w:r w:rsidR="00A417AC" w:rsidRPr="001B4A02">
                <w:rPr>
                  <w:sz w:val="20"/>
                </w:rPr>
                <w:delText> </w:delText>
              </w:r>
              <w:r w:rsidRPr="001B4A02">
                <w:rPr>
                  <w:sz w:val="20"/>
                </w:rPr>
                <w:delText>%</w:delText>
              </w:r>
            </w:del>
          </w:p>
        </w:tc>
        <w:tc>
          <w:tcPr>
            <w:tcW w:w="1417" w:type="dxa"/>
            <w:tcBorders>
              <w:top w:val="single" w:sz="4" w:space="0" w:color="auto"/>
              <w:left w:val="single" w:sz="4" w:space="0" w:color="auto"/>
              <w:bottom w:val="single" w:sz="4" w:space="0" w:color="auto"/>
              <w:right w:val="single" w:sz="4" w:space="0" w:color="auto"/>
            </w:tcBorders>
          </w:tcPr>
          <w:p w14:paraId="2EF5CEBB" w14:textId="77777777" w:rsidR="00073F8F" w:rsidRPr="001B4A02" w:rsidRDefault="00000000" w:rsidP="00ED48A3">
            <w:pPr>
              <w:keepNext/>
              <w:ind w:left="0" w:firstLine="0"/>
              <w:jc w:val="center"/>
              <w:rPr>
                <w:del w:id="1610" w:author="AbbVie1" w:date="2025-05-13T09:50:00Z"/>
                <w:sz w:val="20"/>
              </w:rPr>
            </w:pPr>
            <w:del w:id="1611" w:author="AbbVie1" w:date="2025-05-13T09:50:00Z">
              <w:r w:rsidRPr="001B4A02">
                <w:rPr>
                  <w:sz w:val="20"/>
                </w:rPr>
                <w:delText>39,1</w:delText>
              </w:r>
              <w:r w:rsidR="00A417AC" w:rsidRPr="001B4A02">
                <w:rPr>
                  <w:sz w:val="20"/>
                </w:rPr>
                <w:delText> </w:delText>
              </w:r>
              <w:r w:rsidRPr="001B4A02">
                <w:rPr>
                  <w:sz w:val="20"/>
                </w:rPr>
                <w:delText>%</w:delText>
              </w:r>
            </w:del>
          </w:p>
        </w:tc>
      </w:tr>
      <w:tr w:rsidR="00534A2D" w14:paraId="23998612" w14:textId="77777777" w:rsidTr="008D783A">
        <w:trPr>
          <w:cantSplit/>
          <w:del w:id="1612" w:author="AbbVie1" w:date="2025-05-13T09:50:00Z"/>
        </w:trPr>
        <w:tc>
          <w:tcPr>
            <w:tcW w:w="1069" w:type="dxa"/>
            <w:tcBorders>
              <w:top w:val="single" w:sz="4" w:space="0" w:color="auto"/>
              <w:left w:val="single" w:sz="4" w:space="0" w:color="auto"/>
              <w:bottom w:val="single" w:sz="4" w:space="0" w:color="auto"/>
              <w:right w:val="single" w:sz="4" w:space="0" w:color="auto"/>
            </w:tcBorders>
          </w:tcPr>
          <w:p w14:paraId="10D9A525" w14:textId="77777777" w:rsidR="00073F8F" w:rsidRPr="001B4A02" w:rsidRDefault="00000000" w:rsidP="00ED48A3">
            <w:pPr>
              <w:keepNext/>
              <w:ind w:left="0" w:firstLine="0"/>
              <w:rPr>
                <w:del w:id="1613" w:author="AbbVie1" w:date="2025-05-13T09:50:00Z"/>
                <w:sz w:val="20"/>
              </w:rPr>
            </w:pPr>
            <w:del w:id="1614" w:author="AbbVie1" w:date="2025-05-13T09:50:00Z">
              <w:r w:rsidRPr="001B4A02">
                <w:rPr>
                  <w:sz w:val="20"/>
                </w:rPr>
                <w:delText xml:space="preserve">  12 měsíců</w:delText>
              </w:r>
            </w:del>
          </w:p>
        </w:tc>
        <w:tc>
          <w:tcPr>
            <w:tcW w:w="1467" w:type="dxa"/>
            <w:tcBorders>
              <w:top w:val="single" w:sz="4" w:space="0" w:color="auto"/>
              <w:left w:val="single" w:sz="4" w:space="0" w:color="auto"/>
              <w:bottom w:val="single" w:sz="4" w:space="0" w:color="auto"/>
              <w:right w:val="single" w:sz="4" w:space="0" w:color="auto"/>
            </w:tcBorders>
          </w:tcPr>
          <w:p w14:paraId="08A12FEC" w14:textId="77777777" w:rsidR="00073F8F" w:rsidRPr="001B4A02" w:rsidRDefault="00000000" w:rsidP="00ED48A3">
            <w:pPr>
              <w:keepNext/>
              <w:ind w:left="0" w:firstLine="0"/>
              <w:jc w:val="center"/>
              <w:rPr>
                <w:del w:id="1615" w:author="AbbVie1" w:date="2025-05-13T09:50:00Z"/>
                <w:sz w:val="20"/>
              </w:rPr>
            </w:pPr>
            <w:del w:id="1616" w:author="AbbVie1" w:date="2025-05-13T09:50:00Z">
              <w:r w:rsidRPr="001B4A02">
                <w:rPr>
                  <w:sz w:val="20"/>
                </w:rPr>
                <w:delText>NA</w:delText>
              </w:r>
            </w:del>
          </w:p>
        </w:tc>
        <w:tc>
          <w:tcPr>
            <w:tcW w:w="1559" w:type="dxa"/>
            <w:tcBorders>
              <w:top w:val="single" w:sz="4" w:space="0" w:color="auto"/>
              <w:left w:val="single" w:sz="4" w:space="0" w:color="auto"/>
              <w:bottom w:val="single" w:sz="4" w:space="0" w:color="auto"/>
              <w:right w:val="single" w:sz="4" w:space="0" w:color="auto"/>
            </w:tcBorders>
          </w:tcPr>
          <w:p w14:paraId="2AB81C0B" w14:textId="77777777" w:rsidR="00073F8F" w:rsidRPr="001B4A02" w:rsidRDefault="00000000" w:rsidP="00ED48A3">
            <w:pPr>
              <w:keepNext/>
              <w:ind w:left="0" w:firstLine="0"/>
              <w:jc w:val="center"/>
              <w:rPr>
                <w:del w:id="1617" w:author="AbbVie1" w:date="2025-05-13T09:50:00Z"/>
                <w:sz w:val="20"/>
              </w:rPr>
            </w:pPr>
            <w:del w:id="1618" w:author="AbbVie1" w:date="2025-05-13T09:50:00Z">
              <w:r w:rsidRPr="001B4A02">
                <w:rPr>
                  <w:sz w:val="20"/>
                </w:rPr>
                <w:delText>NA</w:delText>
              </w:r>
            </w:del>
          </w:p>
        </w:tc>
        <w:tc>
          <w:tcPr>
            <w:tcW w:w="1134" w:type="dxa"/>
            <w:tcBorders>
              <w:top w:val="single" w:sz="4" w:space="0" w:color="auto"/>
              <w:left w:val="single" w:sz="4" w:space="0" w:color="auto"/>
              <w:bottom w:val="single" w:sz="4" w:space="0" w:color="auto"/>
              <w:right w:val="single" w:sz="4" w:space="0" w:color="auto"/>
            </w:tcBorders>
          </w:tcPr>
          <w:p w14:paraId="7418AB62" w14:textId="77777777" w:rsidR="00073F8F" w:rsidRPr="001B4A02" w:rsidRDefault="00000000" w:rsidP="00ED48A3">
            <w:pPr>
              <w:keepNext/>
              <w:ind w:left="0" w:firstLine="0"/>
              <w:jc w:val="center"/>
              <w:rPr>
                <w:del w:id="1619" w:author="AbbVie1" w:date="2025-05-13T09:50:00Z"/>
                <w:sz w:val="20"/>
              </w:rPr>
            </w:pPr>
            <w:del w:id="1620" w:author="AbbVie1" w:date="2025-05-13T09:50:00Z">
              <w:r w:rsidRPr="001B4A02">
                <w:rPr>
                  <w:sz w:val="20"/>
                </w:rPr>
                <w:delText>NA</w:delText>
              </w:r>
            </w:del>
          </w:p>
        </w:tc>
        <w:tc>
          <w:tcPr>
            <w:tcW w:w="1202" w:type="dxa"/>
            <w:tcBorders>
              <w:top w:val="single" w:sz="4" w:space="0" w:color="auto"/>
              <w:left w:val="single" w:sz="4" w:space="0" w:color="auto"/>
              <w:bottom w:val="single" w:sz="4" w:space="0" w:color="auto"/>
              <w:right w:val="single" w:sz="4" w:space="0" w:color="auto"/>
            </w:tcBorders>
          </w:tcPr>
          <w:p w14:paraId="7173C330" w14:textId="77777777" w:rsidR="00073F8F" w:rsidRPr="001B4A02" w:rsidRDefault="00000000" w:rsidP="00ED48A3">
            <w:pPr>
              <w:keepNext/>
              <w:ind w:left="0" w:firstLine="0"/>
              <w:jc w:val="center"/>
              <w:rPr>
                <w:del w:id="1621" w:author="AbbVie1" w:date="2025-05-13T09:50:00Z"/>
                <w:sz w:val="20"/>
              </w:rPr>
            </w:pPr>
            <w:del w:id="1622" w:author="AbbVie1" w:date="2025-05-13T09:50:00Z">
              <w:r w:rsidRPr="001B4A02">
                <w:rPr>
                  <w:sz w:val="20"/>
                </w:rPr>
                <w:delText>NA</w:delText>
              </w:r>
            </w:del>
          </w:p>
        </w:tc>
        <w:tc>
          <w:tcPr>
            <w:tcW w:w="1276" w:type="dxa"/>
            <w:tcBorders>
              <w:top w:val="single" w:sz="4" w:space="0" w:color="auto"/>
              <w:left w:val="single" w:sz="4" w:space="0" w:color="auto"/>
              <w:bottom w:val="single" w:sz="4" w:space="0" w:color="auto"/>
              <w:right w:val="single" w:sz="4" w:space="0" w:color="auto"/>
            </w:tcBorders>
          </w:tcPr>
          <w:p w14:paraId="0113FA8F" w14:textId="77777777" w:rsidR="00073F8F" w:rsidRPr="001B4A02" w:rsidRDefault="00000000" w:rsidP="00ED48A3">
            <w:pPr>
              <w:keepNext/>
              <w:ind w:left="0" w:firstLine="0"/>
              <w:jc w:val="center"/>
              <w:rPr>
                <w:del w:id="1623" w:author="AbbVie1" w:date="2025-05-13T09:50:00Z"/>
                <w:sz w:val="20"/>
              </w:rPr>
            </w:pPr>
            <w:del w:id="1624" w:author="AbbVie1" w:date="2025-05-13T09:50:00Z">
              <w:r w:rsidRPr="001B4A02">
                <w:rPr>
                  <w:sz w:val="20"/>
                </w:rPr>
                <w:delText>9,5</w:delText>
              </w:r>
              <w:r w:rsidR="00A417AC" w:rsidRPr="001B4A02">
                <w:rPr>
                  <w:sz w:val="20"/>
                </w:rPr>
                <w:delText> </w:delText>
              </w:r>
              <w:r w:rsidRPr="001B4A02">
                <w:rPr>
                  <w:sz w:val="20"/>
                </w:rPr>
                <w:delText>%</w:delText>
              </w:r>
            </w:del>
          </w:p>
        </w:tc>
        <w:tc>
          <w:tcPr>
            <w:tcW w:w="1417" w:type="dxa"/>
            <w:tcBorders>
              <w:top w:val="single" w:sz="4" w:space="0" w:color="auto"/>
              <w:left w:val="single" w:sz="4" w:space="0" w:color="auto"/>
              <w:bottom w:val="single" w:sz="4" w:space="0" w:color="auto"/>
              <w:right w:val="single" w:sz="4" w:space="0" w:color="auto"/>
            </w:tcBorders>
          </w:tcPr>
          <w:p w14:paraId="767FE5A3" w14:textId="77777777" w:rsidR="00073F8F" w:rsidRPr="001B4A02" w:rsidRDefault="00000000" w:rsidP="00ED48A3">
            <w:pPr>
              <w:keepNext/>
              <w:ind w:left="0" w:firstLine="0"/>
              <w:jc w:val="center"/>
              <w:rPr>
                <w:del w:id="1625" w:author="AbbVie1" w:date="2025-05-13T09:50:00Z"/>
                <w:sz w:val="20"/>
              </w:rPr>
            </w:pPr>
            <w:del w:id="1626" w:author="AbbVie1" w:date="2025-05-13T09:50:00Z">
              <w:r w:rsidRPr="001B4A02">
                <w:rPr>
                  <w:sz w:val="20"/>
                </w:rPr>
                <w:delText>41,5</w:delText>
              </w:r>
              <w:r w:rsidR="00A417AC" w:rsidRPr="001B4A02">
                <w:rPr>
                  <w:sz w:val="20"/>
                </w:rPr>
                <w:delText> </w:delText>
              </w:r>
              <w:r w:rsidRPr="001B4A02">
                <w:rPr>
                  <w:sz w:val="20"/>
                </w:rPr>
                <w:delText>%</w:delText>
              </w:r>
            </w:del>
          </w:p>
        </w:tc>
      </w:tr>
      <w:tr w:rsidR="00534A2D" w14:paraId="37A3CEF3" w14:textId="77777777" w:rsidTr="008D783A">
        <w:trPr>
          <w:cantSplit/>
          <w:del w:id="1627" w:author="AbbVie1" w:date="2025-05-13T09:50:00Z"/>
        </w:trPr>
        <w:tc>
          <w:tcPr>
            <w:tcW w:w="1069" w:type="dxa"/>
            <w:tcBorders>
              <w:top w:val="single" w:sz="4" w:space="0" w:color="auto"/>
              <w:left w:val="single" w:sz="4" w:space="0" w:color="auto"/>
              <w:bottom w:val="single" w:sz="4" w:space="0" w:color="auto"/>
              <w:right w:val="single" w:sz="4" w:space="0" w:color="auto"/>
            </w:tcBorders>
          </w:tcPr>
          <w:p w14:paraId="53B9161D" w14:textId="77777777" w:rsidR="00073F8F" w:rsidRPr="001B4A02" w:rsidRDefault="00000000" w:rsidP="00ED48A3">
            <w:pPr>
              <w:keepNext/>
              <w:ind w:left="0" w:firstLine="0"/>
              <w:rPr>
                <w:del w:id="1628" w:author="AbbVie1" w:date="2025-05-13T09:50:00Z"/>
                <w:sz w:val="20"/>
              </w:rPr>
            </w:pPr>
            <w:del w:id="1629" w:author="AbbVie1" w:date="2025-05-13T09:50:00Z">
              <w:r w:rsidRPr="001B4A02">
                <w:rPr>
                  <w:noProof/>
                  <w:sz w:val="20"/>
                  <w:lang w:val="en-US"/>
                </w:rPr>
                <mc:AlternateContent>
                  <mc:Choice Requires="wps">
                    <w:drawing>
                      <wp:anchor distT="0" distB="0" distL="114300" distR="114300" simplePos="0" relativeHeight="251658240" behindDoc="0" locked="0" layoutInCell="0" allowOverlap="1" wp14:anchorId="5CE59623" wp14:editId="6EBDB187">
                        <wp:simplePos x="0" y="0"/>
                        <wp:positionH relativeFrom="column">
                          <wp:posOffset>-4972050</wp:posOffset>
                        </wp:positionH>
                        <wp:positionV relativeFrom="paragraph">
                          <wp:posOffset>38735</wp:posOffset>
                        </wp:positionV>
                        <wp:extent cx="3543300" cy="3429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215493" w14:textId="77777777" w:rsidR="008F1B0E" w:rsidRDefault="008F1B0E">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CE59623" id="_x0000_s1028" type="#_x0000_t202" style="position:absolute;margin-left:-391.5pt;margin-top:3.05pt;width:27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EdvKA+oBAAC3AwAADgAAAAAAAAAAAAAAAAAuAgAAZHJzL2Uyb0RvYy54&#10;bWxQSwECLQAUAAYACAAAACEAFQe2a94AAAAKAQAADwAAAAAAAAAAAAAAAABEBAAAZHJzL2Rvd25y&#10;ZXYueG1sUEsFBgAAAAAEAAQA8wAAAE8FAAAAAA==&#10;" o:allowincell="f" stroked="f">
                        <v:textbox>
                          <w:txbxContent>
                            <w:p w14:paraId="06215493" w14:textId="77777777" w:rsidR="008F1B0E" w:rsidRDefault="008F1B0E">
                              <w:pPr>
                                <w:rPr>
                                  <w:sz w:val="20"/>
                                </w:rPr>
                              </w:pPr>
                            </w:p>
                          </w:txbxContent>
                        </v:textbox>
                      </v:shape>
                    </w:pict>
                  </mc:Fallback>
                </mc:AlternateContent>
              </w:r>
              <w:r w:rsidR="00073F8F" w:rsidRPr="001B4A02">
                <w:rPr>
                  <w:sz w:val="20"/>
                </w:rPr>
                <w:delText>ACR 70</w:delText>
              </w:r>
            </w:del>
          </w:p>
        </w:tc>
        <w:tc>
          <w:tcPr>
            <w:tcW w:w="1467" w:type="dxa"/>
            <w:tcBorders>
              <w:top w:val="single" w:sz="4" w:space="0" w:color="auto"/>
              <w:left w:val="single" w:sz="4" w:space="0" w:color="auto"/>
              <w:bottom w:val="single" w:sz="4" w:space="0" w:color="auto"/>
              <w:right w:val="single" w:sz="4" w:space="0" w:color="auto"/>
            </w:tcBorders>
          </w:tcPr>
          <w:p w14:paraId="7E922B80" w14:textId="77777777" w:rsidR="00073F8F" w:rsidRPr="001B4A02" w:rsidRDefault="00073F8F" w:rsidP="00ED48A3">
            <w:pPr>
              <w:keepNext/>
              <w:ind w:left="0" w:firstLine="0"/>
              <w:jc w:val="center"/>
              <w:rPr>
                <w:del w:id="1630" w:author="AbbVie1" w:date="2025-05-13T09:50:00Z"/>
                <w:sz w:val="20"/>
              </w:rPr>
            </w:pPr>
          </w:p>
        </w:tc>
        <w:tc>
          <w:tcPr>
            <w:tcW w:w="1559" w:type="dxa"/>
            <w:tcBorders>
              <w:top w:val="single" w:sz="4" w:space="0" w:color="auto"/>
              <w:left w:val="single" w:sz="4" w:space="0" w:color="auto"/>
              <w:bottom w:val="single" w:sz="4" w:space="0" w:color="auto"/>
              <w:right w:val="single" w:sz="4" w:space="0" w:color="auto"/>
            </w:tcBorders>
          </w:tcPr>
          <w:p w14:paraId="489BCCF4" w14:textId="77777777" w:rsidR="00073F8F" w:rsidRPr="001B4A02" w:rsidRDefault="00073F8F" w:rsidP="00ED48A3">
            <w:pPr>
              <w:keepNext/>
              <w:ind w:left="0" w:firstLine="0"/>
              <w:jc w:val="center"/>
              <w:rPr>
                <w:del w:id="1631" w:author="AbbVie1" w:date="2025-05-13T09:50:00Z"/>
                <w:sz w:val="20"/>
              </w:rPr>
            </w:pPr>
          </w:p>
        </w:tc>
        <w:tc>
          <w:tcPr>
            <w:tcW w:w="1134" w:type="dxa"/>
            <w:tcBorders>
              <w:top w:val="single" w:sz="4" w:space="0" w:color="auto"/>
              <w:left w:val="single" w:sz="4" w:space="0" w:color="auto"/>
              <w:bottom w:val="single" w:sz="4" w:space="0" w:color="auto"/>
              <w:right w:val="single" w:sz="4" w:space="0" w:color="auto"/>
            </w:tcBorders>
          </w:tcPr>
          <w:p w14:paraId="1C12856F" w14:textId="77777777" w:rsidR="00073F8F" w:rsidRPr="001B4A02" w:rsidRDefault="00073F8F" w:rsidP="00ED48A3">
            <w:pPr>
              <w:keepNext/>
              <w:ind w:left="0" w:firstLine="0"/>
              <w:jc w:val="center"/>
              <w:rPr>
                <w:del w:id="1632" w:author="AbbVie1" w:date="2025-05-13T09:50:00Z"/>
                <w:sz w:val="20"/>
              </w:rPr>
            </w:pPr>
          </w:p>
        </w:tc>
        <w:tc>
          <w:tcPr>
            <w:tcW w:w="1202" w:type="dxa"/>
            <w:tcBorders>
              <w:top w:val="single" w:sz="4" w:space="0" w:color="auto"/>
              <w:left w:val="single" w:sz="4" w:space="0" w:color="auto"/>
              <w:bottom w:val="single" w:sz="4" w:space="0" w:color="auto"/>
              <w:right w:val="single" w:sz="4" w:space="0" w:color="auto"/>
            </w:tcBorders>
          </w:tcPr>
          <w:p w14:paraId="0D95B02B" w14:textId="77777777" w:rsidR="00073F8F" w:rsidRPr="001B4A02" w:rsidRDefault="00073F8F" w:rsidP="00ED48A3">
            <w:pPr>
              <w:keepNext/>
              <w:ind w:left="0" w:firstLine="0"/>
              <w:jc w:val="center"/>
              <w:rPr>
                <w:del w:id="1633" w:author="AbbVie1" w:date="2025-05-13T09:50:00Z"/>
                <w:sz w:val="20"/>
              </w:rPr>
            </w:pPr>
          </w:p>
        </w:tc>
        <w:tc>
          <w:tcPr>
            <w:tcW w:w="1276" w:type="dxa"/>
            <w:tcBorders>
              <w:top w:val="single" w:sz="4" w:space="0" w:color="auto"/>
              <w:left w:val="single" w:sz="4" w:space="0" w:color="auto"/>
              <w:bottom w:val="single" w:sz="4" w:space="0" w:color="auto"/>
              <w:right w:val="single" w:sz="4" w:space="0" w:color="auto"/>
            </w:tcBorders>
          </w:tcPr>
          <w:p w14:paraId="429427FB" w14:textId="77777777" w:rsidR="00073F8F" w:rsidRPr="001B4A02" w:rsidRDefault="00073F8F" w:rsidP="00ED48A3">
            <w:pPr>
              <w:keepNext/>
              <w:ind w:left="0" w:firstLine="0"/>
              <w:jc w:val="center"/>
              <w:rPr>
                <w:del w:id="1634" w:author="AbbVie1" w:date="2025-05-13T09:50:00Z"/>
                <w:sz w:val="20"/>
              </w:rPr>
            </w:pPr>
          </w:p>
        </w:tc>
        <w:tc>
          <w:tcPr>
            <w:tcW w:w="1417" w:type="dxa"/>
            <w:tcBorders>
              <w:top w:val="single" w:sz="4" w:space="0" w:color="auto"/>
              <w:left w:val="single" w:sz="4" w:space="0" w:color="auto"/>
              <w:bottom w:val="single" w:sz="4" w:space="0" w:color="auto"/>
              <w:right w:val="single" w:sz="4" w:space="0" w:color="auto"/>
            </w:tcBorders>
          </w:tcPr>
          <w:p w14:paraId="48CE912A" w14:textId="77777777" w:rsidR="00073F8F" w:rsidRPr="001B4A02" w:rsidRDefault="00073F8F" w:rsidP="00ED48A3">
            <w:pPr>
              <w:keepNext/>
              <w:ind w:left="0" w:firstLine="0"/>
              <w:jc w:val="center"/>
              <w:rPr>
                <w:del w:id="1635" w:author="AbbVie1" w:date="2025-05-13T09:50:00Z"/>
                <w:sz w:val="20"/>
              </w:rPr>
            </w:pPr>
          </w:p>
        </w:tc>
      </w:tr>
      <w:tr w:rsidR="00534A2D" w14:paraId="37CD2A82" w14:textId="77777777" w:rsidTr="008D783A">
        <w:trPr>
          <w:cantSplit/>
          <w:del w:id="1636" w:author="AbbVie1" w:date="2025-05-13T09:50:00Z"/>
        </w:trPr>
        <w:tc>
          <w:tcPr>
            <w:tcW w:w="1069" w:type="dxa"/>
            <w:tcBorders>
              <w:top w:val="single" w:sz="4" w:space="0" w:color="auto"/>
              <w:left w:val="single" w:sz="4" w:space="0" w:color="auto"/>
              <w:bottom w:val="single" w:sz="4" w:space="0" w:color="auto"/>
              <w:right w:val="single" w:sz="4" w:space="0" w:color="auto"/>
            </w:tcBorders>
          </w:tcPr>
          <w:p w14:paraId="22472030" w14:textId="77777777" w:rsidR="00073F8F" w:rsidRPr="001B4A02" w:rsidRDefault="00000000" w:rsidP="00ED48A3">
            <w:pPr>
              <w:keepNext/>
              <w:ind w:left="0" w:firstLine="0"/>
              <w:rPr>
                <w:del w:id="1637" w:author="AbbVie1" w:date="2025-05-13T09:50:00Z"/>
                <w:sz w:val="20"/>
              </w:rPr>
            </w:pPr>
            <w:del w:id="1638" w:author="AbbVie1" w:date="2025-05-13T09:50:00Z">
              <w:r w:rsidRPr="001B4A02">
                <w:rPr>
                  <w:sz w:val="20"/>
                </w:rPr>
                <w:delText xml:space="preserve">  6 měsíců</w:delText>
              </w:r>
            </w:del>
          </w:p>
        </w:tc>
        <w:tc>
          <w:tcPr>
            <w:tcW w:w="1467" w:type="dxa"/>
            <w:tcBorders>
              <w:top w:val="single" w:sz="4" w:space="0" w:color="auto"/>
              <w:left w:val="single" w:sz="4" w:space="0" w:color="auto"/>
              <w:bottom w:val="single" w:sz="4" w:space="0" w:color="auto"/>
              <w:right w:val="single" w:sz="4" w:space="0" w:color="auto"/>
            </w:tcBorders>
          </w:tcPr>
          <w:p w14:paraId="1DAA9819" w14:textId="77777777" w:rsidR="00073F8F" w:rsidRPr="001B4A02" w:rsidRDefault="00000000" w:rsidP="00ED48A3">
            <w:pPr>
              <w:keepNext/>
              <w:ind w:left="0" w:firstLine="0"/>
              <w:jc w:val="center"/>
              <w:rPr>
                <w:del w:id="1639" w:author="AbbVie1" w:date="2025-05-13T09:50:00Z"/>
                <w:sz w:val="20"/>
              </w:rPr>
            </w:pPr>
            <w:del w:id="1640" w:author="AbbVie1" w:date="2025-05-13T09:50:00Z">
              <w:r w:rsidRPr="001B4A02">
                <w:rPr>
                  <w:sz w:val="20"/>
                </w:rPr>
                <w:delText>3,3</w:delText>
              </w:r>
              <w:r w:rsidR="00A417AC" w:rsidRPr="001B4A02">
                <w:rPr>
                  <w:sz w:val="20"/>
                </w:rPr>
                <w:delText> </w:delText>
              </w:r>
              <w:r w:rsidRPr="001B4A02">
                <w:rPr>
                  <w:sz w:val="20"/>
                </w:rPr>
                <w:delText>%</w:delText>
              </w:r>
            </w:del>
          </w:p>
        </w:tc>
        <w:tc>
          <w:tcPr>
            <w:tcW w:w="1559" w:type="dxa"/>
            <w:tcBorders>
              <w:top w:val="single" w:sz="4" w:space="0" w:color="auto"/>
              <w:left w:val="single" w:sz="4" w:space="0" w:color="auto"/>
              <w:bottom w:val="single" w:sz="4" w:space="0" w:color="auto"/>
              <w:right w:val="single" w:sz="4" w:space="0" w:color="auto"/>
            </w:tcBorders>
          </w:tcPr>
          <w:p w14:paraId="3499B593" w14:textId="77777777" w:rsidR="00073F8F" w:rsidRPr="001B4A02" w:rsidRDefault="00000000" w:rsidP="00ED48A3">
            <w:pPr>
              <w:keepNext/>
              <w:ind w:left="0" w:firstLine="0"/>
              <w:jc w:val="center"/>
              <w:rPr>
                <w:del w:id="1641" w:author="AbbVie1" w:date="2025-05-13T09:50:00Z"/>
                <w:sz w:val="20"/>
              </w:rPr>
            </w:pPr>
            <w:del w:id="1642" w:author="AbbVie1" w:date="2025-05-13T09:50:00Z">
              <w:r w:rsidRPr="001B4A02">
                <w:rPr>
                  <w:sz w:val="20"/>
                </w:rPr>
                <w:delText>23,8</w:delText>
              </w:r>
              <w:r w:rsidR="00A417AC" w:rsidRPr="001B4A02">
                <w:rPr>
                  <w:sz w:val="20"/>
                </w:rPr>
                <w:delText> </w:delText>
              </w:r>
              <w:r w:rsidRPr="001B4A02">
                <w:rPr>
                  <w:sz w:val="20"/>
                </w:rPr>
                <w:delText>%</w:delText>
              </w:r>
            </w:del>
          </w:p>
        </w:tc>
        <w:tc>
          <w:tcPr>
            <w:tcW w:w="1134" w:type="dxa"/>
            <w:tcBorders>
              <w:top w:val="single" w:sz="4" w:space="0" w:color="auto"/>
              <w:left w:val="single" w:sz="4" w:space="0" w:color="auto"/>
              <w:bottom w:val="single" w:sz="4" w:space="0" w:color="auto"/>
              <w:right w:val="single" w:sz="4" w:space="0" w:color="auto"/>
            </w:tcBorders>
          </w:tcPr>
          <w:p w14:paraId="07D78E9D" w14:textId="77777777" w:rsidR="00073F8F" w:rsidRPr="001B4A02" w:rsidRDefault="00000000" w:rsidP="00ED48A3">
            <w:pPr>
              <w:keepNext/>
              <w:ind w:left="0" w:firstLine="0"/>
              <w:jc w:val="center"/>
              <w:rPr>
                <w:del w:id="1643" w:author="AbbVie1" w:date="2025-05-13T09:50:00Z"/>
                <w:sz w:val="20"/>
              </w:rPr>
            </w:pPr>
            <w:del w:id="1644" w:author="AbbVie1" w:date="2025-05-13T09:50:00Z">
              <w:r w:rsidRPr="001B4A02">
                <w:rPr>
                  <w:sz w:val="20"/>
                </w:rPr>
                <w:delText>1,8</w:delText>
              </w:r>
              <w:r w:rsidR="00A417AC" w:rsidRPr="001B4A02">
                <w:rPr>
                  <w:sz w:val="20"/>
                </w:rPr>
                <w:delText> </w:delText>
              </w:r>
              <w:r w:rsidRPr="001B4A02">
                <w:rPr>
                  <w:sz w:val="20"/>
                </w:rPr>
                <w:delText>%</w:delText>
              </w:r>
            </w:del>
          </w:p>
        </w:tc>
        <w:tc>
          <w:tcPr>
            <w:tcW w:w="1202" w:type="dxa"/>
            <w:tcBorders>
              <w:top w:val="single" w:sz="4" w:space="0" w:color="auto"/>
              <w:left w:val="single" w:sz="4" w:space="0" w:color="auto"/>
              <w:bottom w:val="single" w:sz="4" w:space="0" w:color="auto"/>
              <w:right w:val="single" w:sz="4" w:space="0" w:color="auto"/>
            </w:tcBorders>
          </w:tcPr>
          <w:p w14:paraId="7386D813" w14:textId="77777777" w:rsidR="00073F8F" w:rsidRPr="001B4A02" w:rsidRDefault="00000000" w:rsidP="00ED48A3">
            <w:pPr>
              <w:keepNext/>
              <w:ind w:left="0" w:firstLine="0"/>
              <w:jc w:val="center"/>
              <w:rPr>
                <w:del w:id="1645" w:author="AbbVie1" w:date="2025-05-13T09:50:00Z"/>
                <w:sz w:val="20"/>
              </w:rPr>
            </w:pPr>
            <w:del w:id="1646" w:author="AbbVie1" w:date="2025-05-13T09:50:00Z">
              <w:r w:rsidRPr="001B4A02">
                <w:rPr>
                  <w:sz w:val="20"/>
                </w:rPr>
                <w:delText>12,4</w:delText>
              </w:r>
              <w:r w:rsidR="00A417AC" w:rsidRPr="001B4A02">
                <w:rPr>
                  <w:sz w:val="20"/>
                </w:rPr>
                <w:delText> </w:delText>
              </w:r>
              <w:r w:rsidRPr="001B4A02">
                <w:rPr>
                  <w:sz w:val="20"/>
                </w:rPr>
                <w:delText>%</w:delText>
              </w:r>
            </w:del>
          </w:p>
        </w:tc>
        <w:tc>
          <w:tcPr>
            <w:tcW w:w="1276" w:type="dxa"/>
            <w:tcBorders>
              <w:top w:val="single" w:sz="4" w:space="0" w:color="auto"/>
              <w:left w:val="single" w:sz="4" w:space="0" w:color="auto"/>
              <w:bottom w:val="single" w:sz="4" w:space="0" w:color="auto"/>
              <w:right w:val="single" w:sz="4" w:space="0" w:color="auto"/>
            </w:tcBorders>
          </w:tcPr>
          <w:p w14:paraId="171C5634" w14:textId="77777777" w:rsidR="00073F8F" w:rsidRPr="001B4A02" w:rsidRDefault="00000000" w:rsidP="00ED48A3">
            <w:pPr>
              <w:keepNext/>
              <w:ind w:left="0" w:firstLine="0"/>
              <w:jc w:val="center"/>
              <w:rPr>
                <w:del w:id="1647" w:author="AbbVie1" w:date="2025-05-13T09:50:00Z"/>
                <w:sz w:val="20"/>
              </w:rPr>
            </w:pPr>
            <w:del w:id="1648" w:author="AbbVie1" w:date="2025-05-13T09:50:00Z">
              <w:r w:rsidRPr="001B4A02">
                <w:rPr>
                  <w:sz w:val="20"/>
                </w:rPr>
                <w:delText>2,5</w:delText>
              </w:r>
              <w:r w:rsidR="00A417AC" w:rsidRPr="001B4A02">
                <w:rPr>
                  <w:sz w:val="20"/>
                </w:rPr>
                <w:delText> </w:delText>
              </w:r>
              <w:r w:rsidRPr="001B4A02">
                <w:rPr>
                  <w:sz w:val="20"/>
                </w:rPr>
                <w:delText>%</w:delText>
              </w:r>
            </w:del>
          </w:p>
        </w:tc>
        <w:tc>
          <w:tcPr>
            <w:tcW w:w="1417" w:type="dxa"/>
            <w:tcBorders>
              <w:top w:val="single" w:sz="4" w:space="0" w:color="auto"/>
              <w:left w:val="single" w:sz="4" w:space="0" w:color="auto"/>
              <w:bottom w:val="single" w:sz="4" w:space="0" w:color="auto"/>
              <w:right w:val="single" w:sz="4" w:space="0" w:color="auto"/>
            </w:tcBorders>
          </w:tcPr>
          <w:p w14:paraId="3523C1C3" w14:textId="77777777" w:rsidR="00073F8F" w:rsidRPr="001B4A02" w:rsidRDefault="00000000" w:rsidP="00ED48A3">
            <w:pPr>
              <w:keepNext/>
              <w:ind w:left="0" w:firstLine="0"/>
              <w:jc w:val="center"/>
              <w:rPr>
                <w:del w:id="1649" w:author="AbbVie1" w:date="2025-05-13T09:50:00Z"/>
                <w:sz w:val="20"/>
              </w:rPr>
            </w:pPr>
            <w:del w:id="1650" w:author="AbbVie1" w:date="2025-05-13T09:50:00Z">
              <w:r w:rsidRPr="001B4A02">
                <w:rPr>
                  <w:sz w:val="20"/>
                </w:rPr>
                <w:delText>20,8</w:delText>
              </w:r>
              <w:r w:rsidR="00A417AC" w:rsidRPr="001B4A02">
                <w:rPr>
                  <w:sz w:val="20"/>
                </w:rPr>
                <w:delText> </w:delText>
              </w:r>
              <w:r w:rsidRPr="001B4A02">
                <w:rPr>
                  <w:sz w:val="20"/>
                </w:rPr>
                <w:delText>%</w:delText>
              </w:r>
            </w:del>
          </w:p>
        </w:tc>
      </w:tr>
      <w:tr w:rsidR="00534A2D" w14:paraId="3AC4A0CE" w14:textId="77777777" w:rsidTr="008D783A">
        <w:trPr>
          <w:cantSplit/>
          <w:del w:id="1651" w:author="AbbVie1" w:date="2025-05-13T09:50:00Z"/>
        </w:trPr>
        <w:tc>
          <w:tcPr>
            <w:tcW w:w="1069" w:type="dxa"/>
            <w:tcBorders>
              <w:top w:val="single" w:sz="4" w:space="0" w:color="auto"/>
              <w:left w:val="single" w:sz="4" w:space="0" w:color="auto"/>
              <w:bottom w:val="single" w:sz="4" w:space="0" w:color="auto"/>
              <w:right w:val="single" w:sz="4" w:space="0" w:color="auto"/>
            </w:tcBorders>
          </w:tcPr>
          <w:p w14:paraId="54E4A0CE" w14:textId="77777777" w:rsidR="00073F8F" w:rsidRPr="001B4A02" w:rsidRDefault="00000000" w:rsidP="00ED48A3">
            <w:pPr>
              <w:keepNext/>
              <w:ind w:left="0" w:firstLine="0"/>
              <w:rPr>
                <w:del w:id="1652" w:author="AbbVie1" w:date="2025-05-13T09:50:00Z"/>
                <w:sz w:val="20"/>
              </w:rPr>
            </w:pPr>
            <w:del w:id="1653" w:author="AbbVie1" w:date="2025-05-13T09:50:00Z">
              <w:r w:rsidRPr="001B4A02">
                <w:rPr>
                  <w:sz w:val="20"/>
                </w:rPr>
                <w:delText xml:space="preserve">  12 měsíců</w:delText>
              </w:r>
            </w:del>
          </w:p>
        </w:tc>
        <w:tc>
          <w:tcPr>
            <w:tcW w:w="1467" w:type="dxa"/>
            <w:tcBorders>
              <w:top w:val="single" w:sz="4" w:space="0" w:color="auto"/>
              <w:left w:val="single" w:sz="4" w:space="0" w:color="auto"/>
              <w:bottom w:val="single" w:sz="4" w:space="0" w:color="auto"/>
              <w:right w:val="single" w:sz="4" w:space="0" w:color="auto"/>
            </w:tcBorders>
          </w:tcPr>
          <w:p w14:paraId="61F9E809" w14:textId="77777777" w:rsidR="00073F8F" w:rsidRPr="001B4A02" w:rsidRDefault="00000000" w:rsidP="00ED48A3">
            <w:pPr>
              <w:keepNext/>
              <w:ind w:left="0" w:firstLine="0"/>
              <w:jc w:val="center"/>
              <w:rPr>
                <w:del w:id="1654" w:author="AbbVie1" w:date="2025-05-13T09:50:00Z"/>
                <w:sz w:val="20"/>
              </w:rPr>
            </w:pPr>
            <w:del w:id="1655" w:author="AbbVie1" w:date="2025-05-13T09:50:00Z">
              <w:r w:rsidRPr="001B4A02">
                <w:rPr>
                  <w:sz w:val="20"/>
                </w:rPr>
                <w:delText>NA</w:delText>
              </w:r>
            </w:del>
          </w:p>
        </w:tc>
        <w:tc>
          <w:tcPr>
            <w:tcW w:w="1559" w:type="dxa"/>
            <w:tcBorders>
              <w:top w:val="single" w:sz="4" w:space="0" w:color="auto"/>
              <w:left w:val="single" w:sz="4" w:space="0" w:color="auto"/>
              <w:bottom w:val="single" w:sz="4" w:space="0" w:color="auto"/>
              <w:right w:val="single" w:sz="4" w:space="0" w:color="auto"/>
            </w:tcBorders>
          </w:tcPr>
          <w:p w14:paraId="4B477C02" w14:textId="77777777" w:rsidR="00073F8F" w:rsidRPr="001B4A02" w:rsidRDefault="00000000" w:rsidP="00ED48A3">
            <w:pPr>
              <w:keepNext/>
              <w:ind w:left="0" w:firstLine="0"/>
              <w:jc w:val="center"/>
              <w:rPr>
                <w:del w:id="1656" w:author="AbbVie1" w:date="2025-05-13T09:50:00Z"/>
                <w:sz w:val="20"/>
              </w:rPr>
            </w:pPr>
            <w:del w:id="1657" w:author="AbbVie1" w:date="2025-05-13T09:50:00Z">
              <w:r w:rsidRPr="001B4A02">
                <w:rPr>
                  <w:sz w:val="20"/>
                </w:rPr>
                <w:delText>NA</w:delText>
              </w:r>
            </w:del>
          </w:p>
        </w:tc>
        <w:tc>
          <w:tcPr>
            <w:tcW w:w="1134" w:type="dxa"/>
            <w:tcBorders>
              <w:top w:val="single" w:sz="4" w:space="0" w:color="auto"/>
              <w:left w:val="single" w:sz="4" w:space="0" w:color="auto"/>
              <w:bottom w:val="single" w:sz="4" w:space="0" w:color="auto"/>
              <w:right w:val="single" w:sz="4" w:space="0" w:color="auto"/>
            </w:tcBorders>
          </w:tcPr>
          <w:p w14:paraId="106D314C" w14:textId="77777777" w:rsidR="00073F8F" w:rsidRPr="001B4A02" w:rsidRDefault="00000000" w:rsidP="00ED48A3">
            <w:pPr>
              <w:keepNext/>
              <w:ind w:left="0" w:firstLine="0"/>
              <w:jc w:val="center"/>
              <w:rPr>
                <w:del w:id="1658" w:author="AbbVie1" w:date="2025-05-13T09:50:00Z"/>
                <w:sz w:val="20"/>
              </w:rPr>
            </w:pPr>
            <w:del w:id="1659" w:author="AbbVie1" w:date="2025-05-13T09:50:00Z">
              <w:r w:rsidRPr="001B4A02">
                <w:rPr>
                  <w:sz w:val="20"/>
                </w:rPr>
                <w:delText>NA</w:delText>
              </w:r>
            </w:del>
          </w:p>
        </w:tc>
        <w:tc>
          <w:tcPr>
            <w:tcW w:w="1202" w:type="dxa"/>
            <w:tcBorders>
              <w:top w:val="single" w:sz="4" w:space="0" w:color="auto"/>
              <w:left w:val="single" w:sz="4" w:space="0" w:color="auto"/>
              <w:bottom w:val="single" w:sz="4" w:space="0" w:color="auto"/>
              <w:right w:val="single" w:sz="4" w:space="0" w:color="auto"/>
            </w:tcBorders>
          </w:tcPr>
          <w:p w14:paraId="4808D88C" w14:textId="77777777" w:rsidR="00073F8F" w:rsidRPr="001B4A02" w:rsidRDefault="00000000" w:rsidP="00ED48A3">
            <w:pPr>
              <w:keepNext/>
              <w:ind w:left="0" w:firstLine="0"/>
              <w:jc w:val="center"/>
              <w:rPr>
                <w:del w:id="1660" w:author="AbbVie1" w:date="2025-05-13T09:50:00Z"/>
                <w:sz w:val="20"/>
              </w:rPr>
            </w:pPr>
            <w:del w:id="1661" w:author="AbbVie1" w:date="2025-05-13T09:50:00Z">
              <w:r w:rsidRPr="001B4A02">
                <w:rPr>
                  <w:sz w:val="20"/>
                </w:rPr>
                <w:delText>NA</w:delText>
              </w:r>
            </w:del>
          </w:p>
        </w:tc>
        <w:tc>
          <w:tcPr>
            <w:tcW w:w="1276" w:type="dxa"/>
            <w:tcBorders>
              <w:top w:val="single" w:sz="4" w:space="0" w:color="auto"/>
              <w:left w:val="single" w:sz="4" w:space="0" w:color="auto"/>
              <w:bottom w:val="single" w:sz="4" w:space="0" w:color="auto"/>
              <w:right w:val="single" w:sz="4" w:space="0" w:color="auto"/>
            </w:tcBorders>
          </w:tcPr>
          <w:p w14:paraId="16684595" w14:textId="77777777" w:rsidR="00073F8F" w:rsidRPr="001B4A02" w:rsidRDefault="00000000" w:rsidP="00ED48A3">
            <w:pPr>
              <w:keepNext/>
              <w:ind w:left="0" w:firstLine="0"/>
              <w:jc w:val="center"/>
              <w:rPr>
                <w:del w:id="1662" w:author="AbbVie1" w:date="2025-05-13T09:50:00Z"/>
                <w:sz w:val="20"/>
              </w:rPr>
            </w:pPr>
            <w:del w:id="1663" w:author="AbbVie1" w:date="2025-05-13T09:50:00Z">
              <w:r w:rsidRPr="001B4A02">
                <w:rPr>
                  <w:sz w:val="20"/>
                </w:rPr>
                <w:delText>4,5</w:delText>
              </w:r>
              <w:r w:rsidR="00A417AC" w:rsidRPr="001B4A02">
                <w:rPr>
                  <w:sz w:val="20"/>
                </w:rPr>
                <w:delText> </w:delText>
              </w:r>
              <w:r w:rsidRPr="001B4A02">
                <w:rPr>
                  <w:sz w:val="20"/>
                </w:rPr>
                <w:delText>%</w:delText>
              </w:r>
            </w:del>
          </w:p>
        </w:tc>
        <w:tc>
          <w:tcPr>
            <w:tcW w:w="1417" w:type="dxa"/>
            <w:tcBorders>
              <w:top w:val="single" w:sz="4" w:space="0" w:color="auto"/>
              <w:left w:val="single" w:sz="4" w:space="0" w:color="auto"/>
              <w:bottom w:val="single" w:sz="4" w:space="0" w:color="auto"/>
              <w:right w:val="single" w:sz="4" w:space="0" w:color="auto"/>
            </w:tcBorders>
          </w:tcPr>
          <w:p w14:paraId="39422CFC" w14:textId="77777777" w:rsidR="00073F8F" w:rsidRPr="001B4A02" w:rsidRDefault="00000000" w:rsidP="00ED48A3">
            <w:pPr>
              <w:keepNext/>
              <w:ind w:left="0" w:firstLine="0"/>
              <w:jc w:val="center"/>
              <w:rPr>
                <w:del w:id="1664" w:author="AbbVie1" w:date="2025-05-13T09:50:00Z"/>
                <w:sz w:val="20"/>
              </w:rPr>
            </w:pPr>
            <w:del w:id="1665" w:author="AbbVie1" w:date="2025-05-13T09:50:00Z">
              <w:r w:rsidRPr="001B4A02">
                <w:rPr>
                  <w:sz w:val="20"/>
                </w:rPr>
                <w:delText>23,2</w:delText>
              </w:r>
              <w:r w:rsidR="00A417AC" w:rsidRPr="001B4A02">
                <w:rPr>
                  <w:sz w:val="20"/>
                </w:rPr>
                <w:delText> </w:delText>
              </w:r>
              <w:r w:rsidRPr="001B4A02">
                <w:rPr>
                  <w:sz w:val="20"/>
                </w:rPr>
                <w:delText>%</w:delText>
              </w:r>
            </w:del>
          </w:p>
        </w:tc>
      </w:tr>
      <w:tr w:rsidR="00534A2D" w14:paraId="09D8898C" w14:textId="77777777" w:rsidTr="008D783A">
        <w:trPr>
          <w:cantSplit/>
          <w:del w:id="1666" w:author="AbbVie1" w:date="2025-05-13T09:50:00Z"/>
        </w:trPr>
        <w:tc>
          <w:tcPr>
            <w:tcW w:w="9124" w:type="dxa"/>
            <w:gridSpan w:val="7"/>
            <w:tcBorders>
              <w:top w:val="single" w:sz="4" w:space="0" w:color="auto"/>
            </w:tcBorders>
          </w:tcPr>
          <w:p w14:paraId="2459CFD6" w14:textId="77777777" w:rsidR="00073F8F" w:rsidRPr="001B4A02" w:rsidRDefault="00000000" w:rsidP="00ED48A3">
            <w:pPr>
              <w:keepNext/>
              <w:ind w:left="0" w:firstLine="0"/>
              <w:rPr>
                <w:del w:id="1667" w:author="AbbVie1" w:date="2025-05-13T09:50:00Z"/>
                <w:sz w:val="20"/>
              </w:rPr>
            </w:pPr>
            <w:del w:id="1668" w:author="AbbVie1" w:date="2025-05-13T09:50:00Z">
              <w:r w:rsidRPr="001B4A02">
                <w:rPr>
                  <w:sz w:val="20"/>
                  <w:vertAlign w:val="superscript"/>
                </w:rPr>
                <w:delText>a</w:delText>
              </w:r>
              <w:r w:rsidRPr="001B4A02">
                <w:rPr>
                  <w:sz w:val="20"/>
                </w:rPr>
                <w:delText xml:space="preserve"> Studie RA I za 24 týdnů, Studie RA II za 26 týdnů</w:delText>
              </w:r>
              <w:r w:rsidR="002378E0">
                <w:rPr>
                  <w:sz w:val="20"/>
                </w:rPr>
                <w:delText xml:space="preserve"> a </w:delText>
              </w:r>
              <w:r w:rsidRPr="001B4A02">
                <w:rPr>
                  <w:sz w:val="20"/>
                </w:rPr>
                <w:delText>Studie RA III za 24</w:delText>
              </w:r>
              <w:r w:rsidR="002378E0">
                <w:rPr>
                  <w:sz w:val="20"/>
                </w:rPr>
                <w:delText xml:space="preserve"> a </w:delText>
              </w:r>
              <w:r w:rsidRPr="001B4A02">
                <w:rPr>
                  <w:sz w:val="20"/>
                </w:rPr>
                <w:delText>52 týdnů</w:delText>
              </w:r>
            </w:del>
          </w:p>
          <w:p w14:paraId="248705C8" w14:textId="77777777" w:rsidR="00073F8F" w:rsidRPr="001B4A02" w:rsidRDefault="00000000" w:rsidP="00ED48A3">
            <w:pPr>
              <w:keepNext/>
              <w:ind w:left="0" w:firstLine="0"/>
              <w:rPr>
                <w:del w:id="1669" w:author="AbbVie1" w:date="2025-05-13T09:50:00Z"/>
                <w:sz w:val="20"/>
              </w:rPr>
            </w:pPr>
            <w:del w:id="1670" w:author="AbbVie1" w:date="2025-05-13T09:50:00Z">
              <w:r w:rsidRPr="001B4A02">
                <w:rPr>
                  <w:sz w:val="20"/>
                  <w:vertAlign w:val="superscript"/>
                </w:rPr>
                <w:delText>b</w:delText>
              </w:r>
              <w:r w:rsidRPr="001B4A02">
                <w:rPr>
                  <w:sz w:val="20"/>
                </w:rPr>
                <w:delText xml:space="preserve"> přípravek Humira 40 mg podávaný každý druhý týden</w:delText>
              </w:r>
            </w:del>
          </w:p>
          <w:p w14:paraId="6AF5969B" w14:textId="77777777" w:rsidR="00073F8F" w:rsidRPr="001B4A02" w:rsidRDefault="00000000" w:rsidP="00ED48A3">
            <w:pPr>
              <w:keepNext/>
              <w:ind w:left="0" w:firstLine="0"/>
              <w:rPr>
                <w:del w:id="1671" w:author="AbbVie1" w:date="2025-05-13T09:50:00Z"/>
                <w:sz w:val="20"/>
              </w:rPr>
            </w:pPr>
            <w:del w:id="1672" w:author="AbbVie1" w:date="2025-05-13T09:50:00Z">
              <w:r w:rsidRPr="001B4A02">
                <w:rPr>
                  <w:sz w:val="20"/>
                  <w:vertAlign w:val="superscript"/>
                </w:rPr>
                <w:delText>c</w:delText>
              </w:r>
              <w:r w:rsidRPr="001B4A02">
                <w:rPr>
                  <w:sz w:val="20"/>
                </w:rPr>
                <w:delText xml:space="preserve"> MTX = methotrexát</w:delText>
              </w:r>
            </w:del>
          </w:p>
          <w:p w14:paraId="6A9FA70D" w14:textId="77777777" w:rsidR="00073F8F" w:rsidRPr="001B4A02" w:rsidRDefault="00000000" w:rsidP="00ED48A3">
            <w:pPr>
              <w:keepNext/>
              <w:ind w:left="0" w:firstLine="0"/>
              <w:rPr>
                <w:del w:id="1673" w:author="AbbVie1" w:date="2025-05-13T09:50:00Z"/>
                <w:sz w:val="20"/>
              </w:rPr>
            </w:pPr>
            <w:del w:id="1674" w:author="AbbVie1" w:date="2025-05-13T09:50:00Z">
              <w:r w:rsidRPr="001B4A02">
                <w:rPr>
                  <w:sz w:val="20"/>
                </w:rPr>
                <w:delText xml:space="preserve">**p&lt;0,01, </w:delText>
              </w:r>
              <w:r w:rsidR="004C58C9" w:rsidRPr="001B4A02">
                <w:rPr>
                  <w:sz w:val="20"/>
                </w:rPr>
                <w:delText xml:space="preserve">přípravek </w:delText>
              </w:r>
              <w:r w:rsidRPr="001B4A02">
                <w:rPr>
                  <w:sz w:val="20"/>
                </w:rPr>
                <w:delText>Humira versus placebo</w:delText>
              </w:r>
            </w:del>
          </w:p>
        </w:tc>
      </w:tr>
    </w:tbl>
    <w:p w14:paraId="532181F2" w14:textId="77777777" w:rsidR="00073F8F" w:rsidRPr="001B4A02" w:rsidRDefault="00073F8F" w:rsidP="00ED48A3">
      <w:pPr>
        <w:ind w:left="0" w:firstLine="0"/>
        <w:rPr>
          <w:del w:id="1675" w:author="AbbVie1" w:date="2025-05-13T09:50:00Z"/>
        </w:rPr>
      </w:pPr>
    </w:p>
    <w:p w14:paraId="478302B2" w14:textId="77777777" w:rsidR="00073F8F" w:rsidRPr="001B4A02" w:rsidRDefault="00000000" w:rsidP="00ED48A3">
      <w:pPr>
        <w:ind w:left="0" w:firstLine="0"/>
        <w:rPr>
          <w:del w:id="1676" w:author="AbbVie1" w:date="2025-05-13T09:50:00Z"/>
          <w:szCs w:val="22"/>
        </w:rPr>
      </w:pPr>
      <w:del w:id="1677" w:author="AbbVie1" w:date="2025-05-13T09:50:00Z">
        <w:r w:rsidRPr="001B4A02">
          <w:delText>Ve studiích RA I</w:delText>
        </w:r>
        <w:r w:rsidR="000E3459" w:rsidRPr="001B4A02">
          <w:delText>–</w:delText>
        </w:r>
        <w:r w:rsidRPr="001B4A02">
          <w:delText>IV došlo po 24</w:delText>
        </w:r>
        <w:r w:rsidR="002378E0">
          <w:delText xml:space="preserve"> a </w:delText>
        </w:r>
        <w:r w:rsidRPr="001B4A02">
          <w:delText>26 týdnech léčby v porovnání s placebem ke zlepšení všech jednotlivých složek kritérií odpovědi ACR (počet bolestivých</w:delText>
        </w:r>
        <w:r w:rsidR="002378E0">
          <w:delText xml:space="preserve"> a </w:delText>
        </w:r>
        <w:r w:rsidRPr="001B4A02">
          <w:delText>oteklých kloubů, hodnocení aktivity onemocnění</w:delText>
        </w:r>
        <w:r w:rsidR="002378E0">
          <w:delText xml:space="preserve"> a </w:delText>
        </w:r>
        <w:r w:rsidRPr="001B4A02">
          <w:delText>bolesti lékařem</w:delText>
        </w:r>
        <w:r w:rsidR="002378E0">
          <w:delText xml:space="preserve"> a </w:delText>
        </w:r>
        <w:r w:rsidRPr="001B4A02">
          <w:delText>pacientem, skóre indexu disability (HAQ)</w:delText>
        </w:r>
        <w:r w:rsidR="002378E0">
          <w:delText xml:space="preserve"> a </w:delText>
        </w:r>
        <w:r w:rsidRPr="001B4A02">
          <w:delText>hodnoty CRP (mg/dl)). Ve studii RA III toto zlepšen</w:delText>
        </w:r>
        <w:r w:rsidR="00E65B22" w:rsidRPr="001B4A02">
          <w:delText>í přetrvávalo po dobu 52 týdnů.</w:delText>
        </w:r>
      </w:del>
    </w:p>
    <w:p w14:paraId="080B4215" w14:textId="77777777" w:rsidR="00DB19A2" w:rsidRPr="001B4A02" w:rsidRDefault="00DB19A2" w:rsidP="00ED48A3">
      <w:pPr>
        <w:ind w:left="0" w:firstLine="0"/>
        <w:rPr>
          <w:del w:id="1678" w:author="AbbVie1" w:date="2025-05-13T09:50:00Z"/>
          <w:szCs w:val="22"/>
        </w:rPr>
      </w:pPr>
    </w:p>
    <w:p w14:paraId="32F2C3D2" w14:textId="77777777" w:rsidR="00DB19A2" w:rsidRPr="001B4A02" w:rsidRDefault="00000000" w:rsidP="00ED48A3">
      <w:pPr>
        <w:ind w:left="0" w:firstLine="0"/>
        <w:rPr>
          <w:del w:id="1679" w:author="AbbVie1" w:date="2025-05-13T09:50:00Z"/>
        </w:rPr>
      </w:pPr>
      <w:del w:id="1680" w:author="AbbVie1" w:date="2025-05-13T09:50:00Z">
        <w:r w:rsidRPr="001B4A02">
          <w:rPr>
            <w:szCs w:val="22"/>
          </w:rPr>
          <w:delText xml:space="preserve">V otevřené prodloužené studii </w:delText>
        </w:r>
        <w:r w:rsidR="005E6DCE">
          <w:rPr>
            <w:szCs w:val="22"/>
          </w:rPr>
          <w:delText xml:space="preserve">RA </w:delText>
        </w:r>
        <w:r w:rsidR="005E6DCE" w:rsidRPr="00FA0236">
          <w:rPr>
            <w:szCs w:val="22"/>
          </w:rPr>
          <w:delText>III</w:delText>
        </w:r>
        <w:r w:rsidRPr="00FA0236">
          <w:rPr>
            <w:szCs w:val="22"/>
          </w:rPr>
          <w:delText xml:space="preserve"> </w:delText>
        </w:r>
        <w:r w:rsidR="006212C3" w:rsidRPr="00FA0236">
          <w:rPr>
            <w:szCs w:val="22"/>
          </w:rPr>
          <w:delText>si</w:delText>
        </w:r>
        <w:r w:rsidR="006212C3" w:rsidRPr="001B4A02">
          <w:rPr>
            <w:szCs w:val="22"/>
          </w:rPr>
          <w:delText xml:space="preserve"> většina pacientů, kteří dosáhli odpovědi dle ACR</w:delText>
        </w:r>
        <w:r w:rsidR="00F750B2" w:rsidRPr="001B4A02">
          <w:rPr>
            <w:szCs w:val="22"/>
          </w:rPr>
          <w:delText>,</w:delText>
        </w:r>
        <w:r w:rsidR="006212C3" w:rsidRPr="001B4A02">
          <w:rPr>
            <w:szCs w:val="22"/>
          </w:rPr>
          <w:delText xml:space="preserve"> udržela odpověď v trvání až 10 let. Z celkového </w:delText>
        </w:r>
        <w:r w:rsidR="008859AF" w:rsidRPr="001B4A02">
          <w:rPr>
            <w:szCs w:val="22"/>
          </w:rPr>
          <w:delText>počtu 2</w:delText>
        </w:r>
        <w:r w:rsidR="006212C3" w:rsidRPr="001B4A02">
          <w:rPr>
            <w:szCs w:val="22"/>
          </w:rPr>
          <w:delText>0</w:delText>
        </w:r>
        <w:r w:rsidR="008859AF" w:rsidRPr="001B4A02">
          <w:rPr>
            <w:szCs w:val="22"/>
          </w:rPr>
          <w:delText>7</w:delText>
        </w:r>
        <w:r w:rsidR="006212C3" w:rsidRPr="001B4A02">
          <w:rPr>
            <w:szCs w:val="22"/>
          </w:rPr>
          <w:delText xml:space="preserve"> pacientů</w:delText>
        </w:r>
        <w:r w:rsidR="00E71F34" w:rsidRPr="001B4A02">
          <w:rPr>
            <w:szCs w:val="22"/>
          </w:rPr>
          <w:delText>, kteří byli randomizováni do skupiny s přípravkem Humira každý druhý týden,</w:delText>
        </w:r>
        <w:r w:rsidR="006212C3" w:rsidRPr="001B4A02">
          <w:rPr>
            <w:szCs w:val="22"/>
          </w:rPr>
          <w:delText xml:space="preserve"> jich 114 pokračovalo v léčbě přípravkem Humira každý druhý týden po dobu 5 let. </w:delText>
        </w:r>
        <w:r w:rsidR="00587D90" w:rsidRPr="001B4A02">
          <w:rPr>
            <w:szCs w:val="22"/>
          </w:rPr>
          <w:delText>Z těchto pacientů 86 (75,4</w:delText>
        </w:r>
        <w:r w:rsidR="006008CB">
          <w:rPr>
            <w:szCs w:val="22"/>
          </w:rPr>
          <w:delText> %</w:delText>
        </w:r>
        <w:r w:rsidR="00587D90" w:rsidRPr="001B4A02">
          <w:rPr>
            <w:szCs w:val="22"/>
          </w:rPr>
          <w:delText>) dosáhlo odpovědi ACR</w:delText>
        </w:r>
        <w:r w:rsidR="00140D08" w:rsidRPr="001B4A02">
          <w:rPr>
            <w:szCs w:val="22"/>
          </w:rPr>
          <w:delText xml:space="preserve"> </w:delText>
        </w:r>
        <w:r w:rsidR="00587D90" w:rsidRPr="001B4A02">
          <w:rPr>
            <w:szCs w:val="22"/>
          </w:rPr>
          <w:delText>20; 72 pacientů (63,2</w:delText>
        </w:r>
        <w:r w:rsidR="006008CB">
          <w:rPr>
            <w:szCs w:val="22"/>
          </w:rPr>
          <w:delText> %</w:delText>
        </w:r>
        <w:r w:rsidR="00587D90" w:rsidRPr="001B4A02">
          <w:rPr>
            <w:szCs w:val="22"/>
          </w:rPr>
          <w:delText>) dosáhlo odpovědi ACR 50</w:delText>
        </w:r>
        <w:r w:rsidR="002378E0">
          <w:rPr>
            <w:szCs w:val="22"/>
          </w:rPr>
          <w:delText xml:space="preserve"> a </w:delText>
        </w:r>
        <w:r w:rsidR="00587D90" w:rsidRPr="001B4A02">
          <w:rPr>
            <w:szCs w:val="22"/>
          </w:rPr>
          <w:delText>41 pacientů (36</w:delText>
        </w:r>
        <w:r w:rsidR="006008CB">
          <w:rPr>
            <w:szCs w:val="22"/>
          </w:rPr>
          <w:delText> %</w:delText>
        </w:r>
        <w:r w:rsidR="00587D90" w:rsidRPr="001B4A02">
          <w:rPr>
            <w:szCs w:val="22"/>
          </w:rPr>
          <w:delText xml:space="preserve">) dosáhlo odpovědi ACR 70. </w:delText>
        </w:r>
        <w:r w:rsidR="008859AF" w:rsidRPr="001B4A02">
          <w:rPr>
            <w:szCs w:val="22"/>
          </w:rPr>
          <w:delText>Z celkového počtu 207 pacientů jich 81 pokračovalo v léčbě přípravkem Humira v dávce 40</w:delText>
        </w:r>
        <w:r w:rsidR="00DA73B0" w:rsidRPr="001B4A02">
          <w:rPr>
            <w:szCs w:val="22"/>
          </w:rPr>
          <w:delText> </w:delText>
        </w:r>
        <w:r w:rsidR="008859AF" w:rsidRPr="001B4A02">
          <w:rPr>
            <w:szCs w:val="22"/>
          </w:rPr>
          <w:delText>mg každý druhý týden po dobu 10 let. Mezi těmito dosáhlo 64 pacientů (79</w:delText>
        </w:r>
        <w:r w:rsidR="006008CB">
          <w:rPr>
            <w:szCs w:val="22"/>
          </w:rPr>
          <w:delText> %</w:delText>
        </w:r>
        <w:r w:rsidR="008859AF" w:rsidRPr="001B4A02">
          <w:rPr>
            <w:szCs w:val="22"/>
          </w:rPr>
          <w:delText>) odpovědi ACR 20, 56 pacientů (69,1</w:delText>
        </w:r>
        <w:r w:rsidR="006008CB">
          <w:rPr>
            <w:szCs w:val="22"/>
          </w:rPr>
          <w:delText> %</w:delText>
        </w:r>
        <w:r w:rsidR="008859AF" w:rsidRPr="001B4A02">
          <w:rPr>
            <w:szCs w:val="22"/>
          </w:rPr>
          <w:delText>) dosáhlo odpovědi ACR 50</w:delText>
        </w:r>
        <w:r w:rsidR="002378E0">
          <w:rPr>
            <w:szCs w:val="22"/>
          </w:rPr>
          <w:delText xml:space="preserve"> a </w:delText>
        </w:r>
        <w:r w:rsidR="008859AF" w:rsidRPr="001B4A02">
          <w:rPr>
            <w:szCs w:val="22"/>
          </w:rPr>
          <w:delText>43 pacientů (53,1</w:delText>
        </w:r>
        <w:r w:rsidR="006008CB">
          <w:rPr>
            <w:szCs w:val="22"/>
          </w:rPr>
          <w:delText> %</w:delText>
        </w:r>
        <w:r w:rsidR="008859AF" w:rsidRPr="001B4A02">
          <w:rPr>
            <w:szCs w:val="22"/>
          </w:rPr>
          <w:delText>) dosáhlo odpovědi ACR 70.</w:delText>
        </w:r>
      </w:del>
    </w:p>
    <w:p w14:paraId="264F1EDD" w14:textId="77777777" w:rsidR="00073F8F" w:rsidRPr="001B4A02" w:rsidRDefault="00073F8F" w:rsidP="00ED48A3">
      <w:pPr>
        <w:ind w:left="0" w:firstLine="0"/>
        <w:rPr>
          <w:del w:id="1681" w:author="AbbVie1" w:date="2025-05-13T09:50:00Z"/>
        </w:rPr>
      </w:pPr>
    </w:p>
    <w:p w14:paraId="445FDA61" w14:textId="77777777" w:rsidR="00073F8F" w:rsidRPr="001B4A02" w:rsidRDefault="00000000" w:rsidP="00ED48A3">
      <w:pPr>
        <w:ind w:left="0" w:firstLine="0"/>
        <w:rPr>
          <w:del w:id="1682" w:author="AbbVie1" w:date="2025-05-13T09:50:00Z"/>
        </w:rPr>
      </w:pPr>
      <w:del w:id="1683" w:author="AbbVie1" w:date="2025-05-13T09:50:00Z">
        <w:r w:rsidRPr="001B4A02">
          <w:delText>Ve studii RA IV byla ACR 20 odpověď u pacientů léčených přípravkem Humira</w:delText>
        </w:r>
        <w:r w:rsidR="002378E0">
          <w:delText xml:space="preserve"> a </w:delText>
        </w:r>
        <w:r w:rsidRPr="001B4A02">
          <w:delText>standardní léčbou statisticky významně lepší než u pacientů léčených placebem</w:delText>
        </w:r>
        <w:r w:rsidR="002378E0">
          <w:delText xml:space="preserve"> a </w:delText>
        </w:r>
        <w:r w:rsidRPr="001B4A02">
          <w:delText>standardní léčbou (p&lt;0,001).</w:delText>
        </w:r>
      </w:del>
    </w:p>
    <w:p w14:paraId="2C4989C4" w14:textId="77777777" w:rsidR="00073F8F" w:rsidRPr="001B4A02" w:rsidRDefault="00073F8F" w:rsidP="00ED48A3">
      <w:pPr>
        <w:ind w:left="0" w:firstLine="0"/>
        <w:rPr>
          <w:del w:id="1684" w:author="AbbVie1" w:date="2025-05-13T09:50:00Z"/>
        </w:rPr>
      </w:pPr>
    </w:p>
    <w:p w14:paraId="1C36E578" w14:textId="77777777" w:rsidR="00073F8F" w:rsidRPr="001B4A02" w:rsidRDefault="00000000" w:rsidP="00ED48A3">
      <w:pPr>
        <w:ind w:left="0" w:firstLine="0"/>
        <w:rPr>
          <w:del w:id="1685" w:author="AbbVie1" w:date="2025-05-13T09:50:00Z"/>
          <w:u w:val="single"/>
        </w:rPr>
      </w:pPr>
      <w:del w:id="1686" w:author="AbbVie1" w:date="2025-05-13T09:50:00Z">
        <w:r w:rsidRPr="001B4A02">
          <w:delText>Ve studiích RA I–</w:delText>
        </w:r>
        <w:r w:rsidRPr="001B4A02">
          <w:rPr>
            <w:iCs/>
          </w:rPr>
          <w:delText xml:space="preserve">IV </w:delText>
        </w:r>
        <w:r w:rsidRPr="001B4A02">
          <w:delText>dosáhli pacienti léčení přípravkem Humira statisticky významné odpovědi ACR 20</w:delText>
        </w:r>
        <w:r w:rsidR="002378E0">
          <w:delText xml:space="preserve"> a </w:delText>
        </w:r>
        <w:r w:rsidRPr="001B4A02">
          <w:delText>50 v porovnání s placebem již za jeden až dva týdny po zahájení léčby.</w:delText>
        </w:r>
      </w:del>
    </w:p>
    <w:p w14:paraId="010DE817" w14:textId="77777777" w:rsidR="00073F8F" w:rsidRPr="001B4A02" w:rsidRDefault="00073F8F" w:rsidP="00ED48A3">
      <w:pPr>
        <w:ind w:left="0" w:firstLine="0"/>
        <w:rPr>
          <w:del w:id="1687" w:author="AbbVie1" w:date="2025-05-13T09:50:00Z"/>
          <w:u w:val="single"/>
        </w:rPr>
      </w:pPr>
    </w:p>
    <w:p w14:paraId="0D8D7660" w14:textId="77777777" w:rsidR="00073F8F" w:rsidRPr="001B4A02" w:rsidRDefault="00000000" w:rsidP="00ED48A3">
      <w:pPr>
        <w:pStyle w:val="EMEANormal"/>
        <w:tabs>
          <w:tab w:val="clear" w:pos="562"/>
        </w:tabs>
        <w:suppressAutoHyphens w:val="0"/>
        <w:rPr>
          <w:del w:id="1688" w:author="AbbVie1" w:date="2025-05-13T09:50:00Z"/>
          <w:lang w:val="cs-CZ"/>
        </w:rPr>
      </w:pPr>
      <w:del w:id="1689" w:author="AbbVie1" w:date="2025-05-13T09:50:00Z">
        <w:r w:rsidRPr="001B4A02">
          <w:rPr>
            <w:lang w:val="cs-CZ"/>
          </w:rPr>
          <w:delText>Ve studii RA V</w:delText>
        </w:r>
        <w:r w:rsidR="004970F6" w:rsidRPr="001B4A02">
          <w:rPr>
            <w:lang w:val="cs-CZ"/>
          </w:rPr>
          <w:delText xml:space="preserve"> </w:delText>
        </w:r>
        <w:r w:rsidRPr="001B4A02">
          <w:rPr>
            <w:lang w:val="cs-CZ"/>
          </w:rPr>
          <w:delText>u pacientů s časnou revmatoidní artritidou, kteří dosud nebyli léčeni methotrexátem, vedla kombin</w:delText>
        </w:r>
        <w:r w:rsidR="009271A3" w:rsidRPr="00F261A6">
          <w:rPr>
            <w:lang w:val="cs-CZ"/>
          </w:rPr>
          <w:delText>ovan</w:delText>
        </w:r>
        <w:r w:rsidR="009271A3">
          <w:rPr>
            <w:lang w:val="cs-CZ"/>
          </w:rPr>
          <w:delText>á</w:delText>
        </w:r>
        <w:r w:rsidRPr="001B4A02">
          <w:rPr>
            <w:lang w:val="cs-CZ"/>
          </w:rPr>
          <w:delText xml:space="preserve"> léčba přípravkem Humira</w:delText>
        </w:r>
        <w:r w:rsidR="002378E0">
          <w:rPr>
            <w:lang w:val="cs-CZ"/>
          </w:rPr>
          <w:delText xml:space="preserve"> a </w:delText>
        </w:r>
        <w:r w:rsidRPr="001B4A02">
          <w:rPr>
            <w:lang w:val="cs-CZ"/>
          </w:rPr>
          <w:delText>methotrexátem k rychlejší</w:delText>
        </w:r>
        <w:r w:rsidR="002378E0">
          <w:rPr>
            <w:lang w:val="cs-CZ"/>
          </w:rPr>
          <w:delText xml:space="preserve"> a </w:delText>
        </w:r>
        <w:r w:rsidRPr="001B4A02">
          <w:rPr>
            <w:lang w:val="cs-CZ"/>
          </w:rPr>
          <w:delText>významně větší odpovědi ACR než monoterapie methotrexátem</w:delText>
        </w:r>
        <w:r w:rsidR="002378E0">
          <w:rPr>
            <w:lang w:val="cs-CZ"/>
          </w:rPr>
          <w:delText xml:space="preserve"> a </w:delText>
        </w:r>
        <w:r w:rsidRPr="001B4A02">
          <w:rPr>
            <w:lang w:val="cs-CZ"/>
          </w:rPr>
          <w:delText xml:space="preserve">monoterapie přípravkem Humira </w:delText>
        </w:r>
        <w:r w:rsidR="00D00F8F">
          <w:rPr>
            <w:lang w:val="cs-CZ"/>
          </w:rPr>
          <w:delText>v</w:delText>
        </w:r>
        <w:r w:rsidR="00FD6C86">
          <w:rPr>
            <w:lang w:val="cs-CZ"/>
          </w:rPr>
          <w:delText> </w:delText>
        </w:r>
        <w:r w:rsidR="00D00F8F">
          <w:rPr>
            <w:lang w:val="cs-CZ"/>
          </w:rPr>
          <w:delText>týdnu 52</w:delText>
        </w:r>
        <w:r w:rsidR="002378E0">
          <w:rPr>
            <w:lang w:val="cs-CZ"/>
          </w:rPr>
          <w:delText xml:space="preserve"> a </w:delText>
        </w:r>
        <w:r w:rsidRPr="001B4A02">
          <w:rPr>
            <w:lang w:val="cs-CZ"/>
          </w:rPr>
          <w:delText xml:space="preserve">odpověď přetrvávala i </w:delText>
        </w:r>
        <w:r w:rsidR="00D00F8F">
          <w:rPr>
            <w:lang w:val="cs-CZ"/>
          </w:rPr>
          <w:delText>v</w:delText>
        </w:r>
        <w:r w:rsidR="00FD6C86">
          <w:rPr>
            <w:lang w:val="cs-CZ"/>
          </w:rPr>
          <w:delText> </w:delText>
        </w:r>
        <w:r w:rsidR="00D00F8F">
          <w:rPr>
            <w:lang w:val="cs-CZ"/>
          </w:rPr>
          <w:delText>týdnu 104</w:delText>
        </w:r>
        <w:r w:rsidRPr="001B4A02">
          <w:rPr>
            <w:lang w:val="cs-CZ"/>
          </w:rPr>
          <w:delText xml:space="preserve"> (viz tabulka </w:delText>
        </w:r>
        <w:r w:rsidR="00D76799">
          <w:rPr>
            <w:lang w:val="cs-CZ"/>
          </w:rPr>
          <w:delText>9</w:delText>
        </w:r>
        <w:r w:rsidRPr="001B4A02">
          <w:rPr>
            <w:lang w:val="cs-CZ"/>
          </w:rPr>
          <w:delText>).</w:delText>
        </w:r>
      </w:del>
    </w:p>
    <w:p w14:paraId="07030750" w14:textId="77777777" w:rsidR="00073F8F" w:rsidRPr="001B4A02" w:rsidRDefault="00073F8F" w:rsidP="00BF3683">
      <w:pPr>
        <w:ind w:left="0" w:firstLine="0"/>
        <w:rPr>
          <w:del w:id="1690" w:author="AbbVie1" w:date="2025-05-13T09:50:00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1588"/>
        <w:gridCol w:w="992"/>
        <w:gridCol w:w="992"/>
        <w:gridCol w:w="1560"/>
        <w:gridCol w:w="1417"/>
        <w:gridCol w:w="1559"/>
        <w:gridCol w:w="1309"/>
        <w:gridCol w:w="12"/>
      </w:tblGrid>
      <w:tr w:rsidR="00534A2D" w14:paraId="7C3786C1" w14:textId="77777777">
        <w:trPr>
          <w:gridBefore w:val="1"/>
          <w:wBefore w:w="6" w:type="dxa"/>
          <w:cantSplit/>
          <w:jc w:val="center"/>
          <w:del w:id="1691" w:author="AbbVie1" w:date="2025-05-13T09:50:00Z"/>
        </w:trPr>
        <w:tc>
          <w:tcPr>
            <w:tcW w:w="9429" w:type="dxa"/>
            <w:gridSpan w:val="8"/>
            <w:tcBorders>
              <w:top w:val="nil"/>
              <w:left w:val="nil"/>
              <w:bottom w:val="nil"/>
              <w:right w:val="nil"/>
            </w:tcBorders>
            <w:vAlign w:val="center"/>
          </w:tcPr>
          <w:p w14:paraId="1A3C3D27" w14:textId="77777777" w:rsidR="003F4B5B" w:rsidRPr="001B4A02" w:rsidRDefault="00000000" w:rsidP="00BF3683">
            <w:pPr>
              <w:keepNext/>
              <w:jc w:val="center"/>
              <w:rPr>
                <w:del w:id="1692" w:author="AbbVie1" w:date="2025-05-13T09:50:00Z"/>
                <w:b/>
              </w:rPr>
            </w:pPr>
            <w:del w:id="1693" w:author="AbbVie1" w:date="2025-05-13T09:50:00Z">
              <w:r w:rsidRPr="001B4A02">
                <w:rPr>
                  <w:b/>
                </w:rPr>
                <w:delText xml:space="preserve">Tabulka </w:delText>
              </w:r>
              <w:r w:rsidR="00D76799">
                <w:rPr>
                  <w:b/>
                </w:rPr>
                <w:delText>9</w:delText>
              </w:r>
              <w:r w:rsidR="00D76799" w:rsidRPr="001B4A02">
                <w:rPr>
                  <w:b/>
                </w:rPr>
                <w:delText xml:space="preserve"> </w:delText>
              </w:r>
            </w:del>
          </w:p>
          <w:p w14:paraId="1402BC07" w14:textId="77777777" w:rsidR="00073F8F" w:rsidRPr="001B4A02" w:rsidRDefault="00000000" w:rsidP="00BF3683">
            <w:pPr>
              <w:keepNext/>
              <w:jc w:val="center"/>
              <w:rPr>
                <w:del w:id="1694" w:author="AbbVie1" w:date="2025-05-13T09:50:00Z"/>
                <w:b/>
              </w:rPr>
            </w:pPr>
            <w:del w:id="1695" w:author="AbbVie1" w:date="2025-05-13T09:50:00Z">
              <w:r w:rsidRPr="001B4A02">
                <w:rPr>
                  <w:b/>
                </w:rPr>
                <w:delText>Odpověď ACR ve studii RA V</w:delText>
              </w:r>
            </w:del>
          </w:p>
          <w:p w14:paraId="47F412E0" w14:textId="77777777" w:rsidR="00073F8F" w:rsidRPr="001B4A02" w:rsidRDefault="00000000" w:rsidP="00BF3683">
            <w:pPr>
              <w:keepNext/>
              <w:jc w:val="center"/>
              <w:rPr>
                <w:del w:id="1696" w:author="AbbVie1" w:date="2025-05-13T09:50:00Z"/>
                <w:b/>
                <w:caps/>
              </w:rPr>
            </w:pPr>
            <w:del w:id="1697" w:author="AbbVie1" w:date="2025-05-13T09:50:00Z">
              <w:r w:rsidRPr="001B4A02">
                <w:rPr>
                  <w:b/>
                </w:rPr>
                <w:delText>(</w:delText>
              </w:r>
              <w:r w:rsidR="001E41BF" w:rsidRPr="001B4A02">
                <w:rPr>
                  <w:b/>
                </w:rPr>
                <w:delText>P</w:delText>
              </w:r>
              <w:r w:rsidRPr="001B4A02">
                <w:rPr>
                  <w:b/>
                </w:rPr>
                <w:delText>rocento pacientů)</w:delText>
              </w:r>
            </w:del>
          </w:p>
          <w:p w14:paraId="7984F1A7" w14:textId="77777777" w:rsidR="00073F8F" w:rsidRPr="001B4A02" w:rsidRDefault="00073F8F" w:rsidP="00ED48A3">
            <w:pPr>
              <w:pStyle w:val="BodyText"/>
              <w:keepNext/>
              <w:tabs>
                <w:tab w:val="left" w:pos="3600"/>
                <w:tab w:val="center" w:pos="5760"/>
              </w:tabs>
              <w:jc w:val="center"/>
              <w:rPr>
                <w:del w:id="1698" w:author="AbbVie1" w:date="2025-05-13T09:50:00Z"/>
                <w:bCs/>
                <w:i w:val="0"/>
                <w:lang w:val="cs-CZ"/>
              </w:rPr>
            </w:pPr>
          </w:p>
        </w:tc>
      </w:tr>
      <w:tr w:rsidR="00534A2D" w14:paraId="06120B35" w14:textId="77777777" w:rsidTr="008D783A">
        <w:trPr>
          <w:gridAfter w:val="1"/>
          <w:wAfter w:w="12" w:type="dxa"/>
          <w:cantSplit/>
          <w:jc w:val="center"/>
          <w:del w:id="1699" w:author="AbbVie1" w:date="2025-05-13T09:50:00Z"/>
        </w:trPr>
        <w:tc>
          <w:tcPr>
            <w:tcW w:w="1594" w:type="dxa"/>
            <w:gridSpan w:val="2"/>
            <w:vAlign w:val="center"/>
          </w:tcPr>
          <w:p w14:paraId="79399A50" w14:textId="77777777" w:rsidR="00073F8F" w:rsidRPr="001B4A02" w:rsidRDefault="00000000" w:rsidP="00ED48A3">
            <w:pPr>
              <w:keepNext/>
              <w:rPr>
                <w:del w:id="1700" w:author="AbbVie1" w:date="2025-05-13T09:50:00Z"/>
                <w:b/>
                <w:bCs/>
              </w:rPr>
            </w:pPr>
            <w:del w:id="1701" w:author="AbbVie1" w:date="2025-05-13T09:50:00Z">
              <w:r w:rsidRPr="001B4A02">
                <w:rPr>
                  <w:b/>
                  <w:bCs/>
                </w:rPr>
                <w:delText>Odpověď</w:delText>
              </w:r>
            </w:del>
          </w:p>
        </w:tc>
        <w:tc>
          <w:tcPr>
            <w:tcW w:w="992" w:type="dxa"/>
            <w:tcBorders>
              <w:bottom w:val="single" w:sz="4" w:space="0" w:color="auto"/>
            </w:tcBorders>
            <w:vAlign w:val="center"/>
          </w:tcPr>
          <w:p w14:paraId="31E1E72C" w14:textId="77777777" w:rsidR="00073F8F" w:rsidRPr="001B4A02" w:rsidRDefault="00000000" w:rsidP="00ED48A3">
            <w:pPr>
              <w:keepNext/>
              <w:jc w:val="center"/>
              <w:rPr>
                <w:del w:id="1702" w:author="AbbVie1" w:date="2025-05-13T09:50:00Z"/>
                <w:b/>
                <w:bCs/>
              </w:rPr>
            </w:pPr>
            <w:del w:id="1703" w:author="AbbVie1" w:date="2025-05-13T09:50:00Z">
              <w:r w:rsidRPr="001B4A02">
                <w:rPr>
                  <w:b/>
                  <w:bCs/>
                </w:rPr>
                <w:delText>MTX</w:delText>
              </w:r>
            </w:del>
          </w:p>
          <w:p w14:paraId="426E636B" w14:textId="77777777" w:rsidR="00073F8F" w:rsidRPr="001B4A02" w:rsidRDefault="00000000" w:rsidP="00ED48A3">
            <w:pPr>
              <w:pStyle w:val="EndnoteText"/>
              <w:keepNext/>
              <w:jc w:val="center"/>
              <w:rPr>
                <w:del w:id="1704" w:author="AbbVie1" w:date="2025-05-13T09:50:00Z"/>
                <w:b/>
                <w:bCs/>
                <w:lang w:val="cs-CZ"/>
              </w:rPr>
            </w:pPr>
            <w:del w:id="1705" w:author="AbbVie1" w:date="2025-05-13T09:50:00Z">
              <w:r w:rsidRPr="001B4A02">
                <w:rPr>
                  <w:b/>
                  <w:bCs/>
                  <w:lang w:val="cs-CZ"/>
                </w:rPr>
                <w:delText>n=257</w:delText>
              </w:r>
            </w:del>
          </w:p>
        </w:tc>
        <w:tc>
          <w:tcPr>
            <w:tcW w:w="992" w:type="dxa"/>
            <w:tcBorders>
              <w:bottom w:val="single" w:sz="4" w:space="0" w:color="auto"/>
            </w:tcBorders>
            <w:vAlign w:val="center"/>
          </w:tcPr>
          <w:p w14:paraId="1FE8D0F2" w14:textId="77777777" w:rsidR="00073F8F" w:rsidRPr="001B4A02" w:rsidRDefault="00000000" w:rsidP="00ED48A3">
            <w:pPr>
              <w:keepNext/>
              <w:jc w:val="center"/>
              <w:rPr>
                <w:del w:id="1706" w:author="AbbVie1" w:date="2025-05-13T09:50:00Z"/>
                <w:b/>
                <w:bCs/>
              </w:rPr>
            </w:pPr>
            <w:del w:id="1707" w:author="AbbVie1" w:date="2025-05-13T09:50:00Z">
              <w:r w:rsidRPr="001B4A02">
                <w:rPr>
                  <w:b/>
                  <w:bCs/>
                </w:rPr>
                <w:delText>Humira</w:delText>
              </w:r>
            </w:del>
          </w:p>
          <w:p w14:paraId="41A49BEC" w14:textId="77777777" w:rsidR="00073F8F" w:rsidRPr="001B4A02" w:rsidRDefault="00000000" w:rsidP="00ED48A3">
            <w:pPr>
              <w:keepNext/>
              <w:jc w:val="center"/>
              <w:rPr>
                <w:del w:id="1708" w:author="AbbVie1" w:date="2025-05-13T09:50:00Z"/>
                <w:b/>
                <w:bCs/>
              </w:rPr>
            </w:pPr>
            <w:del w:id="1709" w:author="AbbVie1" w:date="2025-05-13T09:50:00Z">
              <w:r w:rsidRPr="001B4A02">
                <w:rPr>
                  <w:b/>
                  <w:bCs/>
                </w:rPr>
                <w:delText>n=274</w:delText>
              </w:r>
            </w:del>
          </w:p>
        </w:tc>
        <w:tc>
          <w:tcPr>
            <w:tcW w:w="1560" w:type="dxa"/>
            <w:tcBorders>
              <w:bottom w:val="single" w:sz="4" w:space="0" w:color="auto"/>
            </w:tcBorders>
            <w:vAlign w:val="center"/>
          </w:tcPr>
          <w:p w14:paraId="62FE7590" w14:textId="77777777" w:rsidR="00073F8F" w:rsidRPr="001B4A02" w:rsidRDefault="00000000" w:rsidP="00ED48A3">
            <w:pPr>
              <w:keepNext/>
              <w:jc w:val="center"/>
              <w:rPr>
                <w:del w:id="1710" w:author="AbbVie1" w:date="2025-05-13T09:50:00Z"/>
                <w:b/>
                <w:bCs/>
              </w:rPr>
            </w:pPr>
            <w:del w:id="1711" w:author="AbbVie1" w:date="2025-05-13T09:50:00Z">
              <w:r w:rsidRPr="001B4A02">
                <w:rPr>
                  <w:b/>
                  <w:bCs/>
                </w:rPr>
                <w:delText>Humira/MTX</w:delText>
              </w:r>
            </w:del>
          </w:p>
          <w:p w14:paraId="56F1046E" w14:textId="77777777" w:rsidR="00073F8F" w:rsidRPr="001B4A02" w:rsidRDefault="00000000" w:rsidP="00ED48A3">
            <w:pPr>
              <w:keepNext/>
              <w:jc w:val="center"/>
              <w:rPr>
                <w:del w:id="1712" w:author="AbbVie1" w:date="2025-05-13T09:50:00Z"/>
                <w:b/>
                <w:bCs/>
              </w:rPr>
            </w:pPr>
            <w:del w:id="1713" w:author="AbbVie1" w:date="2025-05-13T09:50:00Z">
              <w:r w:rsidRPr="001B4A02">
                <w:rPr>
                  <w:b/>
                  <w:bCs/>
                </w:rPr>
                <w:delText>n=268</w:delText>
              </w:r>
            </w:del>
          </w:p>
        </w:tc>
        <w:tc>
          <w:tcPr>
            <w:tcW w:w="1417" w:type="dxa"/>
            <w:tcBorders>
              <w:bottom w:val="single" w:sz="4" w:space="0" w:color="auto"/>
            </w:tcBorders>
            <w:vAlign w:val="center"/>
          </w:tcPr>
          <w:p w14:paraId="7743D81C" w14:textId="77777777" w:rsidR="00073F8F" w:rsidRPr="001B4A02" w:rsidRDefault="00000000" w:rsidP="00ED48A3">
            <w:pPr>
              <w:pStyle w:val="EndnoteText"/>
              <w:keepNext/>
              <w:jc w:val="center"/>
              <w:rPr>
                <w:del w:id="1714" w:author="AbbVie1" w:date="2025-05-13T09:50:00Z"/>
                <w:b/>
                <w:bCs/>
                <w:lang w:val="cs-CZ"/>
              </w:rPr>
            </w:pPr>
            <w:del w:id="1715" w:author="AbbVie1" w:date="2025-05-13T09:50:00Z">
              <w:r w:rsidRPr="001B4A02">
                <w:rPr>
                  <w:b/>
                  <w:bCs/>
                  <w:lang w:val="cs-CZ"/>
                </w:rPr>
                <w:delText>Hodnota p</w:delText>
              </w:r>
              <w:r w:rsidRPr="001B4A02">
                <w:rPr>
                  <w:b/>
                  <w:bCs/>
                  <w:vertAlign w:val="superscript"/>
                  <w:lang w:val="cs-CZ"/>
                </w:rPr>
                <w:delText>a</w:delText>
              </w:r>
            </w:del>
          </w:p>
        </w:tc>
        <w:tc>
          <w:tcPr>
            <w:tcW w:w="1559" w:type="dxa"/>
            <w:tcBorders>
              <w:bottom w:val="single" w:sz="4" w:space="0" w:color="auto"/>
            </w:tcBorders>
            <w:vAlign w:val="center"/>
          </w:tcPr>
          <w:p w14:paraId="00C69673" w14:textId="77777777" w:rsidR="00073F8F" w:rsidRPr="001B4A02" w:rsidRDefault="00000000" w:rsidP="00ED48A3">
            <w:pPr>
              <w:keepNext/>
              <w:jc w:val="center"/>
              <w:rPr>
                <w:del w:id="1716" w:author="AbbVie1" w:date="2025-05-13T09:50:00Z"/>
                <w:b/>
                <w:bCs/>
              </w:rPr>
            </w:pPr>
            <w:del w:id="1717" w:author="AbbVie1" w:date="2025-05-13T09:50:00Z">
              <w:r w:rsidRPr="001B4A02">
                <w:rPr>
                  <w:b/>
                  <w:bCs/>
                </w:rPr>
                <w:delText>Hodnota p</w:delText>
              </w:r>
              <w:r w:rsidRPr="001B4A02">
                <w:rPr>
                  <w:b/>
                  <w:bCs/>
                  <w:vertAlign w:val="superscript"/>
                </w:rPr>
                <w:delText>b</w:delText>
              </w:r>
            </w:del>
          </w:p>
        </w:tc>
        <w:tc>
          <w:tcPr>
            <w:tcW w:w="1309" w:type="dxa"/>
            <w:vAlign w:val="center"/>
          </w:tcPr>
          <w:p w14:paraId="5D865905" w14:textId="77777777" w:rsidR="00073F8F" w:rsidRPr="001B4A02" w:rsidRDefault="00000000" w:rsidP="00ED48A3">
            <w:pPr>
              <w:keepNext/>
              <w:jc w:val="center"/>
              <w:rPr>
                <w:del w:id="1718" w:author="AbbVie1" w:date="2025-05-13T09:50:00Z"/>
              </w:rPr>
            </w:pPr>
            <w:del w:id="1719" w:author="AbbVie1" w:date="2025-05-13T09:50:00Z">
              <w:r w:rsidRPr="001B4A02">
                <w:rPr>
                  <w:b/>
                  <w:bCs/>
                </w:rPr>
                <w:delText>Hodnota p</w:delText>
              </w:r>
              <w:r w:rsidRPr="001B4A02">
                <w:rPr>
                  <w:b/>
                  <w:bCs/>
                  <w:vertAlign w:val="superscript"/>
                </w:rPr>
                <w:delText>c</w:delText>
              </w:r>
            </w:del>
          </w:p>
        </w:tc>
      </w:tr>
      <w:tr w:rsidR="00534A2D" w14:paraId="181E3933" w14:textId="77777777" w:rsidTr="008D783A">
        <w:trPr>
          <w:gridAfter w:val="1"/>
          <w:wAfter w:w="12" w:type="dxa"/>
          <w:cantSplit/>
          <w:jc w:val="center"/>
          <w:del w:id="1720" w:author="AbbVie1" w:date="2025-05-13T09:50:00Z"/>
        </w:trPr>
        <w:tc>
          <w:tcPr>
            <w:tcW w:w="1594" w:type="dxa"/>
            <w:gridSpan w:val="2"/>
            <w:tcBorders>
              <w:right w:val="single" w:sz="4" w:space="0" w:color="auto"/>
            </w:tcBorders>
          </w:tcPr>
          <w:p w14:paraId="7D44AEE4" w14:textId="77777777" w:rsidR="00073F8F" w:rsidRPr="001B4A02" w:rsidRDefault="00000000" w:rsidP="00ED48A3">
            <w:pPr>
              <w:keepNext/>
              <w:rPr>
                <w:del w:id="1721" w:author="AbbVie1" w:date="2025-05-13T09:50:00Z"/>
              </w:rPr>
            </w:pPr>
            <w:del w:id="1722" w:author="AbbVie1" w:date="2025-05-13T09:50:00Z">
              <w:r w:rsidRPr="001B4A02">
                <w:delText>ACR 20</w:delText>
              </w:r>
            </w:del>
          </w:p>
        </w:tc>
        <w:tc>
          <w:tcPr>
            <w:tcW w:w="992" w:type="dxa"/>
            <w:tcBorders>
              <w:left w:val="single" w:sz="4" w:space="0" w:color="auto"/>
              <w:right w:val="single" w:sz="4" w:space="0" w:color="auto"/>
            </w:tcBorders>
          </w:tcPr>
          <w:p w14:paraId="4EF65B56" w14:textId="77777777" w:rsidR="00073F8F" w:rsidRPr="001B4A02" w:rsidRDefault="00073F8F" w:rsidP="00ED48A3">
            <w:pPr>
              <w:keepNext/>
              <w:jc w:val="center"/>
              <w:rPr>
                <w:del w:id="1723" w:author="AbbVie1" w:date="2025-05-13T09:50:00Z"/>
              </w:rPr>
            </w:pPr>
          </w:p>
        </w:tc>
        <w:tc>
          <w:tcPr>
            <w:tcW w:w="992" w:type="dxa"/>
            <w:tcBorders>
              <w:left w:val="single" w:sz="4" w:space="0" w:color="auto"/>
              <w:right w:val="single" w:sz="4" w:space="0" w:color="auto"/>
            </w:tcBorders>
          </w:tcPr>
          <w:p w14:paraId="5C1ACB7B" w14:textId="77777777" w:rsidR="00073F8F" w:rsidRPr="001B4A02" w:rsidRDefault="00073F8F" w:rsidP="00ED48A3">
            <w:pPr>
              <w:keepNext/>
              <w:jc w:val="center"/>
              <w:rPr>
                <w:del w:id="1724" w:author="AbbVie1" w:date="2025-05-13T09:50:00Z"/>
              </w:rPr>
            </w:pPr>
          </w:p>
        </w:tc>
        <w:tc>
          <w:tcPr>
            <w:tcW w:w="1560" w:type="dxa"/>
            <w:tcBorders>
              <w:left w:val="single" w:sz="4" w:space="0" w:color="auto"/>
              <w:right w:val="single" w:sz="4" w:space="0" w:color="auto"/>
            </w:tcBorders>
          </w:tcPr>
          <w:p w14:paraId="0AFD1457" w14:textId="77777777" w:rsidR="00073F8F" w:rsidRPr="001B4A02" w:rsidRDefault="00073F8F" w:rsidP="00ED48A3">
            <w:pPr>
              <w:keepNext/>
              <w:jc w:val="center"/>
              <w:rPr>
                <w:del w:id="1725" w:author="AbbVie1" w:date="2025-05-13T09:50:00Z"/>
              </w:rPr>
            </w:pPr>
          </w:p>
        </w:tc>
        <w:tc>
          <w:tcPr>
            <w:tcW w:w="1417" w:type="dxa"/>
            <w:tcBorders>
              <w:left w:val="single" w:sz="4" w:space="0" w:color="auto"/>
              <w:right w:val="single" w:sz="4" w:space="0" w:color="auto"/>
            </w:tcBorders>
          </w:tcPr>
          <w:p w14:paraId="2A01FB3D" w14:textId="77777777" w:rsidR="00073F8F" w:rsidRPr="001B4A02" w:rsidRDefault="00073F8F" w:rsidP="00ED48A3">
            <w:pPr>
              <w:keepNext/>
              <w:jc w:val="center"/>
              <w:rPr>
                <w:del w:id="1726" w:author="AbbVie1" w:date="2025-05-13T09:50:00Z"/>
              </w:rPr>
            </w:pPr>
          </w:p>
        </w:tc>
        <w:tc>
          <w:tcPr>
            <w:tcW w:w="1559" w:type="dxa"/>
            <w:tcBorders>
              <w:left w:val="single" w:sz="4" w:space="0" w:color="auto"/>
              <w:right w:val="single" w:sz="4" w:space="0" w:color="auto"/>
            </w:tcBorders>
          </w:tcPr>
          <w:p w14:paraId="29101E64" w14:textId="77777777" w:rsidR="00073F8F" w:rsidRPr="001B4A02" w:rsidRDefault="00073F8F" w:rsidP="00ED48A3">
            <w:pPr>
              <w:keepNext/>
              <w:jc w:val="center"/>
              <w:rPr>
                <w:del w:id="1727" w:author="AbbVie1" w:date="2025-05-13T09:50:00Z"/>
              </w:rPr>
            </w:pPr>
          </w:p>
        </w:tc>
        <w:tc>
          <w:tcPr>
            <w:tcW w:w="1309" w:type="dxa"/>
            <w:tcBorders>
              <w:left w:val="single" w:sz="4" w:space="0" w:color="auto"/>
            </w:tcBorders>
          </w:tcPr>
          <w:p w14:paraId="6A6AA3E3" w14:textId="77777777" w:rsidR="00073F8F" w:rsidRPr="001B4A02" w:rsidRDefault="00073F8F" w:rsidP="00ED48A3">
            <w:pPr>
              <w:keepNext/>
              <w:jc w:val="center"/>
              <w:rPr>
                <w:del w:id="1728" w:author="AbbVie1" w:date="2025-05-13T09:50:00Z"/>
              </w:rPr>
            </w:pPr>
          </w:p>
        </w:tc>
      </w:tr>
      <w:tr w:rsidR="00534A2D" w14:paraId="59265D87" w14:textId="77777777" w:rsidTr="008D783A">
        <w:trPr>
          <w:gridAfter w:val="1"/>
          <w:wAfter w:w="12" w:type="dxa"/>
          <w:cantSplit/>
          <w:jc w:val="center"/>
          <w:del w:id="1729" w:author="AbbVie1" w:date="2025-05-13T09:50:00Z"/>
        </w:trPr>
        <w:tc>
          <w:tcPr>
            <w:tcW w:w="1594" w:type="dxa"/>
            <w:gridSpan w:val="2"/>
            <w:tcBorders>
              <w:right w:val="single" w:sz="4" w:space="0" w:color="auto"/>
            </w:tcBorders>
          </w:tcPr>
          <w:p w14:paraId="5A85050F" w14:textId="77777777" w:rsidR="00073F8F" w:rsidRPr="001B4A02" w:rsidRDefault="00000000" w:rsidP="00ED48A3">
            <w:pPr>
              <w:keepNext/>
              <w:ind w:left="352" w:hanging="352"/>
              <w:rPr>
                <w:del w:id="1730" w:author="AbbVie1" w:date="2025-05-13T09:50:00Z"/>
              </w:rPr>
            </w:pPr>
            <w:del w:id="1731" w:author="AbbVie1" w:date="2025-05-13T09:50:00Z">
              <w:r w:rsidRPr="001B4A02">
                <w:tab/>
                <w:delText>Týden 52</w:delText>
              </w:r>
            </w:del>
          </w:p>
        </w:tc>
        <w:tc>
          <w:tcPr>
            <w:tcW w:w="992" w:type="dxa"/>
            <w:tcBorders>
              <w:left w:val="single" w:sz="4" w:space="0" w:color="auto"/>
              <w:right w:val="single" w:sz="4" w:space="0" w:color="auto"/>
            </w:tcBorders>
          </w:tcPr>
          <w:p w14:paraId="3C1FFEBF" w14:textId="77777777" w:rsidR="00073F8F" w:rsidRPr="001B4A02" w:rsidRDefault="00000000" w:rsidP="00ED48A3">
            <w:pPr>
              <w:keepNext/>
              <w:jc w:val="center"/>
              <w:rPr>
                <w:del w:id="1732" w:author="AbbVie1" w:date="2025-05-13T09:50:00Z"/>
              </w:rPr>
            </w:pPr>
            <w:del w:id="1733" w:author="AbbVie1" w:date="2025-05-13T09:50:00Z">
              <w:r w:rsidRPr="001B4A02">
                <w:delText>62,6</w:delText>
              </w:r>
              <w:r w:rsidR="00A417AC" w:rsidRPr="001B4A02">
                <w:delText> </w:delText>
              </w:r>
              <w:r w:rsidRPr="001B4A02">
                <w:delText>%</w:delText>
              </w:r>
            </w:del>
          </w:p>
        </w:tc>
        <w:tc>
          <w:tcPr>
            <w:tcW w:w="992" w:type="dxa"/>
            <w:tcBorders>
              <w:left w:val="single" w:sz="4" w:space="0" w:color="auto"/>
              <w:right w:val="single" w:sz="4" w:space="0" w:color="auto"/>
            </w:tcBorders>
          </w:tcPr>
          <w:p w14:paraId="327CA740" w14:textId="77777777" w:rsidR="00073F8F" w:rsidRPr="001B4A02" w:rsidRDefault="00000000" w:rsidP="00ED48A3">
            <w:pPr>
              <w:keepNext/>
              <w:jc w:val="center"/>
              <w:rPr>
                <w:del w:id="1734" w:author="AbbVie1" w:date="2025-05-13T09:50:00Z"/>
              </w:rPr>
            </w:pPr>
            <w:del w:id="1735" w:author="AbbVie1" w:date="2025-05-13T09:50:00Z">
              <w:r w:rsidRPr="001B4A02">
                <w:delText>54,4</w:delText>
              </w:r>
              <w:r w:rsidR="00A417AC" w:rsidRPr="001B4A02">
                <w:delText> </w:delText>
              </w:r>
              <w:r w:rsidRPr="001B4A02">
                <w:delText>%</w:delText>
              </w:r>
            </w:del>
          </w:p>
        </w:tc>
        <w:tc>
          <w:tcPr>
            <w:tcW w:w="1560" w:type="dxa"/>
            <w:tcBorders>
              <w:left w:val="single" w:sz="4" w:space="0" w:color="auto"/>
              <w:right w:val="single" w:sz="4" w:space="0" w:color="auto"/>
            </w:tcBorders>
          </w:tcPr>
          <w:p w14:paraId="73290F20" w14:textId="77777777" w:rsidR="00073F8F" w:rsidRPr="001B4A02" w:rsidRDefault="00000000" w:rsidP="00ED48A3">
            <w:pPr>
              <w:keepNext/>
              <w:jc w:val="center"/>
              <w:rPr>
                <w:del w:id="1736" w:author="AbbVie1" w:date="2025-05-13T09:50:00Z"/>
              </w:rPr>
            </w:pPr>
            <w:del w:id="1737" w:author="AbbVie1" w:date="2025-05-13T09:50:00Z">
              <w:r w:rsidRPr="001B4A02">
                <w:delText>72,8</w:delText>
              </w:r>
              <w:r w:rsidR="00A417AC" w:rsidRPr="001B4A02">
                <w:delText> </w:delText>
              </w:r>
              <w:r w:rsidRPr="001B4A02">
                <w:delText>%</w:delText>
              </w:r>
            </w:del>
          </w:p>
        </w:tc>
        <w:tc>
          <w:tcPr>
            <w:tcW w:w="1417" w:type="dxa"/>
            <w:tcBorders>
              <w:left w:val="single" w:sz="4" w:space="0" w:color="auto"/>
              <w:right w:val="single" w:sz="4" w:space="0" w:color="auto"/>
            </w:tcBorders>
          </w:tcPr>
          <w:p w14:paraId="09362668" w14:textId="77777777" w:rsidR="00073F8F" w:rsidRPr="001B4A02" w:rsidRDefault="00000000" w:rsidP="00ED48A3">
            <w:pPr>
              <w:keepNext/>
              <w:jc w:val="center"/>
              <w:rPr>
                <w:del w:id="1738" w:author="AbbVie1" w:date="2025-05-13T09:50:00Z"/>
              </w:rPr>
            </w:pPr>
            <w:del w:id="1739" w:author="AbbVie1" w:date="2025-05-13T09:50:00Z">
              <w:r w:rsidRPr="001B4A02">
                <w:delText>0,013</w:delText>
              </w:r>
            </w:del>
          </w:p>
        </w:tc>
        <w:tc>
          <w:tcPr>
            <w:tcW w:w="1559" w:type="dxa"/>
            <w:tcBorders>
              <w:left w:val="single" w:sz="4" w:space="0" w:color="auto"/>
              <w:right w:val="single" w:sz="4" w:space="0" w:color="auto"/>
            </w:tcBorders>
          </w:tcPr>
          <w:p w14:paraId="7D6C06EB" w14:textId="77777777" w:rsidR="00073F8F" w:rsidRPr="001B4A02" w:rsidRDefault="00000000" w:rsidP="00ED48A3">
            <w:pPr>
              <w:keepNext/>
              <w:jc w:val="center"/>
              <w:rPr>
                <w:del w:id="1740" w:author="AbbVie1" w:date="2025-05-13T09:50:00Z"/>
              </w:rPr>
            </w:pPr>
            <w:del w:id="1741" w:author="AbbVie1" w:date="2025-05-13T09:50:00Z">
              <w:r w:rsidRPr="001B4A02">
                <w:delText>&lt;0,001</w:delText>
              </w:r>
            </w:del>
          </w:p>
        </w:tc>
        <w:tc>
          <w:tcPr>
            <w:tcW w:w="1309" w:type="dxa"/>
            <w:tcBorders>
              <w:left w:val="single" w:sz="4" w:space="0" w:color="auto"/>
            </w:tcBorders>
          </w:tcPr>
          <w:p w14:paraId="34526CD8" w14:textId="77777777" w:rsidR="00073F8F" w:rsidRPr="001B4A02" w:rsidRDefault="00000000" w:rsidP="00ED48A3">
            <w:pPr>
              <w:keepNext/>
              <w:jc w:val="center"/>
              <w:rPr>
                <w:del w:id="1742" w:author="AbbVie1" w:date="2025-05-13T09:50:00Z"/>
              </w:rPr>
            </w:pPr>
            <w:del w:id="1743" w:author="AbbVie1" w:date="2025-05-13T09:50:00Z">
              <w:r w:rsidRPr="001B4A02">
                <w:delText>0,043</w:delText>
              </w:r>
            </w:del>
          </w:p>
        </w:tc>
      </w:tr>
      <w:tr w:rsidR="00534A2D" w14:paraId="0382AF92" w14:textId="77777777" w:rsidTr="008D783A">
        <w:trPr>
          <w:gridAfter w:val="1"/>
          <w:wAfter w:w="12" w:type="dxa"/>
          <w:cantSplit/>
          <w:jc w:val="center"/>
          <w:del w:id="1744" w:author="AbbVie1" w:date="2025-05-13T09:50:00Z"/>
        </w:trPr>
        <w:tc>
          <w:tcPr>
            <w:tcW w:w="1594" w:type="dxa"/>
            <w:gridSpan w:val="2"/>
            <w:tcBorders>
              <w:right w:val="single" w:sz="4" w:space="0" w:color="auto"/>
            </w:tcBorders>
          </w:tcPr>
          <w:p w14:paraId="2FDEF3B0" w14:textId="77777777" w:rsidR="00073F8F" w:rsidRPr="001B4A02" w:rsidRDefault="00000000" w:rsidP="00ED48A3">
            <w:pPr>
              <w:keepNext/>
              <w:ind w:left="352" w:hanging="352"/>
              <w:rPr>
                <w:del w:id="1745" w:author="AbbVie1" w:date="2025-05-13T09:50:00Z"/>
              </w:rPr>
            </w:pPr>
            <w:del w:id="1746" w:author="AbbVie1" w:date="2025-05-13T09:50:00Z">
              <w:r w:rsidRPr="001B4A02">
                <w:tab/>
                <w:delText>Týden 104</w:delText>
              </w:r>
            </w:del>
          </w:p>
        </w:tc>
        <w:tc>
          <w:tcPr>
            <w:tcW w:w="992" w:type="dxa"/>
            <w:tcBorders>
              <w:left w:val="single" w:sz="4" w:space="0" w:color="auto"/>
              <w:right w:val="single" w:sz="4" w:space="0" w:color="auto"/>
            </w:tcBorders>
          </w:tcPr>
          <w:p w14:paraId="17377324" w14:textId="77777777" w:rsidR="00073F8F" w:rsidRPr="001B4A02" w:rsidRDefault="00000000" w:rsidP="00ED48A3">
            <w:pPr>
              <w:keepNext/>
              <w:jc w:val="center"/>
              <w:rPr>
                <w:del w:id="1747" w:author="AbbVie1" w:date="2025-05-13T09:50:00Z"/>
              </w:rPr>
            </w:pPr>
            <w:del w:id="1748" w:author="AbbVie1" w:date="2025-05-13T09:50:00Z">
              <w:r w:rsidRPr="001B4A02">
                <w:delText>56,0</w:delText>
              </w:r>
              <w:r w:rsidR="00A417AC" w:rsidRPr="001B4A02">
                <w:delText> </w:delText>
              </w:r>
              <w:r w:rsidRPr="001B4A02">
                <w:delText>%</w:delText>
              </w:r>
            </w:del>
          </w:p>
        </w:tc>
        <w:tc>
          <w:tcPr>
            <w:tcW w:w="992" w:type="dxa"/>
            <w:tcBorders>
              <w:left w:val="single" w:sz="4" w:space="0" w:color="auto"/>
              <w:right w:val="single" w:sz="4" w:space="0" w:color="auto"/>
            </w:tcBorders>
          </w:tcPr>
          <w:p w14:paraId="4548FB81" w14:textId="77777777" w:rsidR="00073F8F" w:rsidRPr="001B4A02" w:rsidRDefault="00000000" w:rsidP="00ED48A3">
            <w:pPr>
              <w:keepNext/>
              <w:jc w:val="center"/>
              <w:rPr>
                <w:del w:id="1749" w:author="AbbVie1" w:date="2025-05-13T09:50:00Z"/>
              </w:rPr>
            </w:pPr>
            <w:del w:id="1750" w:author="AbbVie1" w:date="2025-05-13T09:50:00Z">
              <w:r w:rsidRPr="001B4A02">
                <w:delText>49,3</w:delText>
              </w:r>
              <w:r w:rsidR="00A417AC" w:rsidRPr="001B4A02">
                <w:delText> </w:delText>
              </w:r>
              <w:r w:rsidRPr="001B4A02">
                <w:delText>%</w:delText>
              </w:r>
            </w:del>
          </w:p>
        </w:tc>
        <w:tc>
          <w:tcPr>
            <w:tcW w:w="1560" w:type="dxa"/>
            <w:tcBorders>
              <w:left w:val="single" w:sz="4" w:space="0" w:color="auto"/>
              <w:right w:val="single" w:sz="4" w:space="0" w:color="auto"/>
            </w:tcBorders>
          </w:tcPr>
          <w:p w14:paraId="1BE54C06" w14:textId="77777777" w:rsidR="00073F8F" w:rsidRPr="001B4A02" w:rsidRDefault="00000000" w:rsidP="00ED48A3">
            <w:pPr>
              <w:keepNext/>
              <w:jc w:val="center"/>
              <w:rPr>
                <w:del w:id="1751" w:author="AbbVie1" w:date="2025-05-13T09:50:00Z"/>
              </w:rPr>
            </w:pPr>
            <w:del w:id="1752" w:author="AbbVie1" w:date="2025-05-13T09:50:00Z">
              <w:r w:rsidRPr="001B4A02">
                <w:delText>69,4</w:delText>
              </w:r>
              <w:r w:rsidR="00A417AC" w:rsidRPr="001B4A02">
                <w:delText> </w:delText>
              </w:r>
              <w:r w:rsidRPr="001B4A02">
                <w:delText>%</w:delText>
              </w:r>
            </w:del>
          </w:p>
        </w:tc>
        <w:tc>
          <w:tcPr>
            <w:tcW w:w="1417" w:type="dxa"/>
            <w:tcBorders>
              <w:left w:val="single" w:sz="4" w:space="0" w:color="auto"/>
              <w:right w:val="single" w:sz="4" w:space="0" w:color="auto"/>
            </w:tcBorders>
          </w:tcPr>
          <w:p w14:paraId="46A23295" w14:textId="77777777" w:rsidR="00073F8F" w:rsidRPr="001B4A02" w:rsidRDefault="00000000" w:rsidP="00ED48A3">
            <w:pPr>
              <w:keepNext/>
              <w:jc w:val="center"/>
              <w:rPr>
                <w:del w:id="1753" w:author="AbbVie1" w:date="2025-05-13T09:50:00Z"/>
              </w:rPr>
            </w:pPr>
            <w:del w:id="1754" w:author="AbbVie1" w:date="2025-05-13T09:50:00Z">
              <w:r w:rsidRPr="001B4A02">
                <w:delText>0,002</w:delText>
              </w:r>
            </w:del>
          </w:p>
        </w:tc>
        <w:tc>
          <w:tcPr>
            <w:tcW w:w="1559" w:type="dxa"/>
            <w:tcBorders>
              <w:left w:val="single" w:sz="4" w:space="0" w:color="auto"/>
              <w:right w:val="single" w:sz="4" w:space="0" w:color="auto"/>
            </w:tcBorders>
          </w:tcPr>
          <w:p w14:paraId="577B6501" w14:textId="77777777" w:rsidR="00073F8F" w:rsidRPr="001B4A02" w:rsidRDefault="00000000" w:rsidP="00ED48A3">
            <w:pPr>
              <w:keepNext/>
              <w:jc w:val="center"/>
              <w:rPr>
                <w:del w:id="1755" w:author="AbbVie1" w:date="2025-05-13T09:50:00Z"/>
              </w:rPr>
            </w:pPr>
            <w:del w:id="1756" w:author="AbbVie1" w:date="2025-05-13T09:50:00Z">
              <w:r w:rsidRPr="001B4A02">
                <w:delText>&lt;0,001</w:delText>
              </w:r>
            </w:del>
          </w:p>
        </w:tc>
        <w:tc>
          <w:tcPr>
            <w:tcW w:w="1309" w:type="dxa"/>
            <w:tcBorders>
              <w:left w:val="single" w:sz="4" w:space="0" w:color="auto"/>
            </w:tcBorders>
          </w:tcPr>
          <w:p w14:paraId="33DEC044" w14:textId="77777777" w:rsidR="00073F8F" w:rsidRPr="001B4A02" w:rsidRDefault="00000000" w:rsidP="00ED48A3">
            <w:pPr>
              <w:keepNext/>
              <w:jc w:val="center"/>
              <w:rPr>
                <w:del w:id="1757" w:author="AbbVie1" w:date="2025-05-13T09:50:00Z"/>
              </w:rPr>
            </w:pPr>
            <w:del w:id="1758" w:author="AbbVie1" w:date="2025-05-13T09:50:00Z">
              <w:r w:rsidRPr="001B4A02">
                <w:delText>0,140</w:delText>
              </w:r>
            </w:del>
          </w:p>
        </w:tc>
      </w:tr>
      <w:tr w:rsidR="00534A2D" w14:paraId="7AE1469F" w14:textId="77777777" w:rsidTr="008D783A">
        <w:trPr>
          <w:gridAfter w:val="1"/>
          <w:wAfter w:w="12" w:type="dxa"/>
          <w:cantSplit/>
          <w:jc w:val="center"/>
          <w:del w:id="1759" w:author="AbbVie1" w:date="2025-05-13T09:50:00Z"/>
        </w:trPr>
        <w:tc>
          <w:tcPr>
            <w:tcW w:w="1594" w:type="dxa"/>
            <w:gridSpan w:val="2"/>
            <w:tcBorders>
              <w:right w:val="single" w:sz="4" w:space="0" w:color="auto"/>
            </w:tcBorders>
          </w:tcPr>
          <w:p w14:paraId="479636BA" w14:textId="77777777" w:rsidR="00073F8F" w:rsidRPr="001B4A02" w:rsidRDefault="00000000" w:rsidP="00ED48A3">
            <w:pPr>
              <w:keepNext/>
              <w:rPr>
                <w:del w:id="1760" w:author="AbbVie1" w:date="2025-05-13T09:50:00Z"/>
              </w:rPr>
            </w:pPr>
            <w:del w:id="1761" w:author="AbbVie1" w:date="2025-05-13T09:50:00Z">
              <w:r w:rsidRPr="001B4A02">
                <w:delText>ACR 50</w:delText>
              </w:r>
            </w:del>
          </w:p>
        </w:tc>
        <w:tc>
          <w:tcPr>
            <w:tcW w:w="992" w:type="dxa"/>
            <w:tcBorders>
              <w:left w:val="single" w:sz="4" w:space="0" w:color="auto"/>
              <w:right w:val="single" w:sz="4" w:space="0" w:color="auto"/>
            </w:tcBorders>
          </w:tcPr>
          <w:p w14:paraId="68BE4A5F" w14:textId="77777777" w:rsidR="00073F8F" w:rsidRPr="001B4A02" w:rsidRDefault="00073F8F" w:rsidP="00ED48A3">
            <w:pPr>
              <w:keepNext/>
              <w:jc w:val="center"/>
              <w:rPr>
                <w:del w:id="1762" w:author="AbbVie1" w:date="2025-05-13T09:50:00Z"/>
              </w:rPr>
            </w:pPr>
          </w:p>
        </w:tc>
        <w:tc>
          <w:tcPr>
            <w:tcW w:w="992" w:type="dxa"/>
            <w:tcBorders>
              <w:left w:val="single" w:sz="4" w:space="0" w:color="auto"/>
              <w:right w:val="single" w:sz="4" w:space="0" w:color="auto"/>
            </w:tcBorders>
          </w:tcPr>
          <w:p w14:paraId="6737FF51" w14:textId="77777777" w:rsidR="00073F8F" w:rsidRPr="001B4A02" w:rsidRDefault="00073F8F" w:rsidP="00ED48A3">
            <w:pPr>
              <w:keepNext/>
              <w:jc w:val="center"/>
              <w:rPr>
                <w:del w:id="1763" w:author="AbbVie1" w:date="2025-05-13T09:50:00Z"/>
              </w:rPr>
            </w:pPr>
          </w:p>
        </w:tc>
        <w:tc>
          <w:tcPr>
            <w:tcW w:w="1560" w:type="dxa"/>
            <w:tcBorders>
              <w:left w:val="single" w:sz="4" w:space="0" w:color="auto"/>
              <w:right w:val="single" w:sz="4" w:space="0" w:color="auto"/>
            </w:tcBorders>
          </w:tcPr>
          <w:p w14:paraId="6A4ABA56" w14:textId="77777777" w:rsidR="00073F8F" w:rsidRPr="001B4A02" w:rsidRDefault="00073F8F" w:rsidP="00ED48A3">
            <w:pPr>
              <w:keepNext/>
              <w:jc w:val="center"/>
              <w:rPr>
                <w:del w:id="1764" w:author="AbbVie1" w:date="2025-05-13T09:50:00Z"/>
              </w:rPr>
            </w:pPr>
          </w:p>
        </w:tc>
        <w:tc>
          <w:tcPr>
            <w:tcW w:w="1417" w:type="dxa"/>
            <w:tcBorders>
              <w:left w:val="single" w:sz="4" w:space="0" w:color="auto"/>
              <w:right w:val="single" w:sz="4" w:space="0" w:color="auto"/>
            </w:tcBorders>
          </w:tcPr>
          <w:p w14:paraId="4FDB755E" w14:textId="77777777" w:rsidR="00073F8F" w:rsidRPr="001B4A02" w:rsidRDefault="00073F8F" w:rsidP="00ED48A3">
            <w:pPr>
              <w:keepNext/>
              <w:jc w:val="center"/>
              <w:rPr>
                <w:del w:id="1765" w:author="AbbVie1" w:date="2025-05-13T09:50:00Z"/>
              </w:rPr>
            </w:pPr>
          </w:p>
        </w:tc>
        <w:tc>
          <w:tcPr>
            <w:tcW w:w="1559" w:type="dxa"/>
            <w:tcBorders>
              <w:left w:val="single" w:sz="4" w:space="0" w:color="auto"/>
              <w:right w:val="single" w:sz="4" w:space="0" w:color="auto"/>
            </w:tcBorders>
          </w:tcPr>
          <w:p w14:paraId="31328837" w14:textId="77777777" w:rsidR="00073F8F" w:rsidRPr="001B4A02" w:rsidRDefault="00073F8F" w:rsidP="00ED48A3">
            <w:pPr>
              <w:keepNext/>
              <w:jc w:val="center"/>
              <w:rPr>
                <w:del w:id="1766" w:author="AbbVie1" w:date="2025-05-13T09:50:00Z"/>
              </w:rPr>
            </w:pPr>
          </w:p>
        </w:tc>
        <w:tc>
          <w:tcPr>
            <w:tcW w:w="1309" w:type="dxa"/>
            <w:tcBorders>
              <w:left w:val="single" w:sz="4" w:space="0" w:color="auto"/>
            </w:tcBorders>
          </w:tcPr>
          <w:p w14:paraId="7AA0837D" w14:textId="77777777" w:rsidR="00073F8F" w:rsidRPr="001B4A02" w:rsidRDefault="00073F8F" w:rsidP="00ED48A3">
            <w:pPr>
              <w:keepNext/>
              <w:jc w:val="center"/>
              <w:rPr>
                <w:del w:id="1767" w:author="AbbVie1" w:date="2025-05-13T09:50:00Z"/>
              </w:rPr>
            </w:pPr>
          </w:p>
        </w:tc>
      </w:tr>
      <w:tr w:rsidR="00534A2D" w14:paraId="285FAD54" w14:textId="77777777" w:rsidTr="008D783A">
        <w:trPr>
          <w:gridAfter w:val="1"/>
          <w:wAfter w:w="12" w:type="dxa"/>
          <w:cantSplit/>
          <w:jc w:val="center"/>
          <w:del w:id="1768" w:author="AbbVie1" w:date="2025-05-13T09:50:00Z"/>
        </w:trPr>
        <w:tc>
          <w:tcPr>
            <w:tcW w:w="1594" w:type="dxa"/>
            <w:gridSpan w:val="2"/>
          </w:tcPr>
          <w:p w14:paraId="2F5F377A" w14:textId="77777777" w:rsidR="00073F8F" w:rsidRPr="001B4A02" w:rsidRDefault="00000000" w:rsidP="00ED48A3">
            <w:pPr>
              <w:keepNext/>
              <w:ind w:left="352" w:hanging="352"/>
              <w:rPr>
                <w:del w:id="1769" w:author="AbbVie1" w:date="2025-05-13T09:50:00Z"/>
              </w:rPr>
            </w:pPr>
            <w:del w:id="1770" w:author="AbbVie1" w:date="2025-05-13T09:50:00Z">
              <w:r w:rsidRPr="001B4A02">
                <w:tab/>
                <w:delText>Týden 52</w:delText>
              </w:r>
            </w:del>
          </w:p>
        </w:tc>
        <w:tc>
          <w:tcPr>
            <w:tcW w:w="992" w:type="dxa"/>
          </w:tcPr>
          <w:p w14:paraId="72E00494" w14:textId="77777777" w:rsidR="00073F8F" w:rsidRPr="001B4A02" w:rsidRDefault="00000000" w:rsidP="00ED48A3">
            <w:pPr>
              <w:keepNext/>
              <w:jc w:val="center"/>
              <w:rPr>
                <w:del w:id="1771" w:author="AbbVie1" w:date="2025-05-13T09:50:00Z"/>
              </w:rPr>
            </w:pPr>
            <w:del w:id="1772" w:author="AbbVie1" w:date="2025-05-13T09:50:00Z">
              <w:r w:rsidRPr="001B4A02">
                <w:delText>45,9</w:delText>
              </w:r>
              <w:r w:rsidR="00A417AC" w:rsidRPr="001B4A02">
                <w:delText> </w:delText>
              </w:r>
              <w:r w:rsidRPr="001B4A02">
                <w:delText>%</w:delText>
              </w:r>
            </w:del>
          </w:p>
        </w:tc>
        <w:tc>
          <w:tcPr>
            <w:tcW w:w="992" w:type="dxa"/>
          </w:tcPr>
          <w:p w14:paraId="171CA9FD" w14:textId="77777777" w:rsidR="00073F8F" w:rsidRPr="001B4A02" w:rsidRDefault="00000000" w:rsidP="00ED48A3">
            <w:pPr>
              <w:keepNext/>
              <w:jc w:val="center"/>
              <w:rPr>
                <w:del w:id="1773" w:author="AbbVie1" w:date="2025-05-13T09:50:00Z"/>
              </w:rPr>
            </w:pPr>
            <w:del w:id="1774" w:author="AbbVie1" w:date="2025-05-13T09:50:00Z">
              <w:r w:rsidRPr="001B4A02">
                <w:delText>41,2</w:delText>
              </w:r>
              <w:r w:rsidR="00A417AC" w:rsidRPr="001B4A02">
                <w:delText> </w:delText>
              </w:r>
              <w:r w:rsidRPr="001B4A02">
                <w:delText>%</w:delText>
              </w:r>
            </w:del>
          </w:p>
        </w:tc>
        <w:tc>
          <w:tcPr>
            <w:tcW w:w="1560" w:type="dxa"/>
          </w:tcPr>
          <w:p w14:paraId="41B20B14" w14:textId="77777777" w:rsidR="00073F8F" w:rsidRPr="001B4A02" w:rsidRDefault="00000000" w:rsidP="00ED48A3">
            <w:pPr>
              <w:keepNext/>
              <w:jc w:val="center"/>
              <w:rPr>
                <w:del w:id="1775" w:author="AbbVie1" w:date="2025-05-13T09:50:00Z"/>
              </w:rPr>
            </w:pPr>
            <w:del w:id="1776" w:author="AbbVie1" w:date="2025-05-13T09:50:00Z">
              <w:r w:rsidRPr="001B4A02">
                <w:delText>61,6</w:delText>
              </w:r>
              <w:r w:rsidR="00A417AC" w:rsidRPr="001B4A02">
                <w:delText> </w:delText>
              </w:r>
              <w:r w:rsidRPr="001B4A02">
                <w:delText>%</w:delText>
              </w:r>
            </w:del>
          </w:p>
        </w:tc>
        <w:tc>
          <w:tcPr>
            <w:tcW w:w="1417" w:type="dxa"/>
          </w:tcPr>
          <w:p w14:paraId="665FD2A2" w14:textId="77777777" w:rsidR="00073F8F" w:rsidRPr="001B4A02" w:rsidRDefault="00000000" w:rsidP="00ED48A3">
            <w:pPr>
              <w:keepNext/>
              <w:jc w:val="center"/>
              <w:rPr>
                <w:del w:id="1777" w:author="AbbVie1" w:date="2025-05-13T09:50:00Z"/>
              </w:rPr>
            </w:pPr>
            <w:del w:id="1778" w:author="AbbVie1" w:date="2025-05-13T09:50:00Z">
              <w:r w:rsidRPr="001B4A02">
                <w:delText>&lt;0,001</w:delText>
              </w:r>
            </w:del>
          </w:p>
        </w:tc>
        <w:tc>
          <w:tcPr>
            <w:tcW w:w="1559" w:type="dxa"/>
          </w:tcPr>
          <w:p w14:paraId="05207EED" w14:textId="77777777" w:rsidR="00073F8F" w:rsidRPr="001B4A02" w:rsidRDefault="00000000" w:rsidP="00ED48A3">
            <w:pPr>
              <w:keepNext/>
              <w:jc w:val="center"/>
              <w:rPr>
                <w:del w:id="1779" w:author="AbbVie1" w:date="2025-05-13T09:50:00Z"/>
              </w:rPr>
            </w:pPr>
            <w:del w:id="1780" w:author="AbbVie1" w:date="2025-05-13T09:50:00Z">
              <w:r w:rsidRPr="001B4A02">
                <w:delText>&lt;0,001</w:delText>
              </w:r>
            </w:del>
          </w:p>
        </w:tc>
        <w:tc>
          <w:tcPr>
            <w:tcW w:w="1309" w:type="dxa"/>
          </w:tcPr>
          <w:p w14:paraId="4AB1F70E" w14:textId="77777777" w:rsidR="00073F8F" w:rsidRPr="001B4A02" w:rsidRDefault="00000000" w:rsidP="00ED48A3">
            <w:pPr>
              <w:keepNext/>
              <w:jc w:val="center"/>
              <w:rPr>
                <w:del w:id="1781" w:author="AbbVie1" w:date="2025-05-13T09:50:00Z"/>
              </w:rPr>
            </w:pPr>
            <w:del w:id="1782" w:author="AbbVie1" w:date="2025-05-13T09:50:00Z">
              <w:r w:rsidRPr="001B4A02">
                <w:delText>0,317</w:delText>
              </w:r>
            </w:del>
          </w:p>
        </w:tc>
      </w:tr>
      <w:tr w:rsidR="00534A2D" w14:paraId="3CDB3300" w14:textId="77777777" w:rsidTr="008D783A">
        <w:trPr>
          <w:gridAfter w:val="1"/>
          <w:wAfter w:w="12" w:type="dxa"/>
          <w:cantSplit/>
          <w:jc w:val="center"/>
          <w:del w:id="1783" w:author="AbbVie1" w:date="2025-05-13T09:50:00Z"/>
        </w:trPr>
        <w:tc>
          <w:tcPr>
            <w:tcW w:w="1594" w:type="dxa"/>
            <w:gridSpan w:val="2"/>
          </w:tcPr>
          <w:p w14:paraId="79892FCD" w14:textId="77777777" w:rsidR="00073F8F" w:rsidRPr="001B4A02" w:rsidRDefault="00000000" w:rsidP="00ED48A3">
            <w:pPr>
              <w:keepNext/>
              <w:ind w:left="352" w:hanging="352"/>
              <w:rPr>
                <w:del w:id="1784" w:author="AbbVie1" w:date="2025-05-13T09:50:00Z"/>
              </w:rPr>
            </w:pPr>
            <w:del w:id="1785" w:author="AbbVie1" w:date="2025-05-13T09:50:00Z">
              <w:r w:rsidRPr="001B4A02">
                <w:tab/>
                <w:delText>Týden 104</w:delText>
              </w:r>
            </w:del>
          </w:p>
        </w:tc>
        <w:tc>
          <w:tcPr>
            <w:tcW w:w="992" w:type="dxa"/>
            <w:tcBorders>
              <w:bottom w:val="single" w:sz="4" w:space="0" w:color="auto"/>
            </w:tcBorders>
          </w:tcPr>
          <w:p w14:paraId="1EFBC5D5" w14:textId="77777777" w:rsidR="00073F8F" w:rsidRPr="001B4A02" w:rsidRDefault="00000000" w:rsidP="00ED48A3">
            <w:pPr>
              <w:keepNext/>
              <w:jc w:val="center"/>
              <w:rPr>
                <w:del w:id="1786" w:author="AbbVie1" w:date="2025-05-13T09:50:00Z"/>
              </w:rPr>
            </w:pPr>
            <w:del w:id="1787" w:author="AbbVie1" w:date="2025-05-13T09:50:00Z">
              <w:r w:rsidRPr="001B4A02">
                <w:delText>42,8</w:delText>
              </w:r>
              <w:r w:rsidR="00A417AC" w:rsidRPr="001B4A02">
                <w:delText> </w:delText>
              </w:r>
              <w:r w:rsidRPr="001B4A02">
                <w:delText>%</w:delText>
              </w:r>
            </w:del>
          </w:p>
        </w:tc>
        <w:tc>
          <w:tcPr>
            <w:tcW w:w="992" w:type="dxa"/>
            <w:tcBorders>
              <w:bottom w:val="single" w:sz="4" w:space="0" w:color="auto"/>
            </w:tcBorders>
          </w:tcPr>
          <w:p w14:paraId="3BE147AF" w14:textId="77777777" w:rsidR="00073F8F" w:rsidRPr="001B4A02" w:rsidRDefault="00000000" w:rsidP="00ED48A3">
            <w:pPr>
              <w:keepNext/>
              <w:jc w:val="center"/>
              <w:rPr>
                <w:del w:id="1788" w:author="AbbVie1" w:date="2025-05-13T09:50:00Z"/>
              </w:rPr>
            </w:pPr>
            <w:del w:id="1789" w:author="AbbVie1" w:date="2025-05-13T09:50:00Z">
              <w:r w:rsidRPr="001B4A02">
                <w:delText>36,9</w:delText>
              </w:r>
              <w:r w:rsidR="00A417AC" w:rsidRPr="001B4A02">
                <w:delText> </w:delText>
              </w:r>
              <w:r w:rsidRPr="001B4A02">
                <w:delText>%</w:delText>
              </w:r>
            </w:del>
          </w:p>
        </w:tc>
        <w:tc>
          <w:tcPr>
            <w:tcW w:w="1560" w:type="dxa"/>
            <w:tcBorders>
              <w:bottom w:val="single" w:sz="4" w:space="0" w:color="auto"/>
            </w:tcBorders>
          </w:tcPr>
          <w:p w14:paraId="4C87CD1B" w14:textId="77777777" w:rsidR="00073F8F" w:rsidRPr="001B4A02" w:rsidRDefault="00000000" w:rsidP="00ED48A3">
            <w:pPr>
              <w:keepNext/>
              <w:jc w:val="center"/>
              <w:rPr>
                <w:del w:id="1790" w:author="AbbVie1" w:date="2025-05-13T09:50:00Z"/>
              </w:rPr>
            </w:pPr>
            <w:del w:id="1791" w:author="AbbVie1" w:date="2025-05-13T09:50:00Z">
              <w:r w:rsidRPr="001B4A02">
                <w:delText>59,0</w:delText>
              </w:r>
              <w:r w:rsidR="00A417AC" w:rsidRPr="001B4A02">
                <w:delText> </w:delText>
              </w:r>
              <w:r w:rsidRPr="001B4A02">
                <w:delText>%</w:delText>
              </w:r>
            </w:del>
          </w:p>
        </w:tc>
        <w:tc>
          <w:tcPr>
            <w:tcW w:w="1417" w:type="dxa"/>
            <w:tcBorders>
              <w:bottom w:val="single" w:sz="4" w:space="0" w:color="auto"/>
            </w:tcBorders>
          </w:tcPr>
          <w:p w14:paraId="10D4580F" w14:textId="77777777" w:rsidR="00073F8F" w:rsidRPr="001B4A02" w:rsidRDefault="00000000" w:rsidP="00ED48A3">
            <w:pPr>
              <w:keepNext/>
              <w:jc w:val="center"/>
              <w:rPr>
                <w:del w:id="1792" w:author="AbbVie1" w:date="2025-05-13T09:50:00Z"/>
              </w:rPr>
            </w:pPr>
            <w:del w:id="1793" w:author="AbbVie1" w:date="2025-05-13T09:50:00Z">
              <w:r w:rsidRPr="001B4A02">
                <w:delText>&lt;0,001</w:delText>
              </w:r>
            </w:del>
          </w:p>
        </w:tc>
        <w:tc>
          <w:tcPr>
            <w:tcW w:w="1559" w:type="dxa"/>
            <w:tcBorders>
              <w:bottom w:val="single" w:sz="4" w:space="0" w:color="auto"/>
            </w:tcBorders>
          </w:tcPr>
          <w:p w14:paraId="3D42E35C" w14:textId="77777777" w:rsidR="00073F8F" w:rsidRPr="001B4A02" w:rsidRDefault="00000000" w:rsidP="00ED48A3">
            <w:pPr>
              <w:keepNext/>
              <w:jc w:val="center"/>
              <w:rPr>
                <w:del w:id="1794" w:author="AbbVie1" w:date="2025-05-13T09:50:00Z"/>
              </w:rPr>
            </w:pPr>
            <w:del w:id="1795" w:author="AbbVie1" w:date="2025-05-13T09:50:00Z">
              <w:r w:rsidRPr="001B4A02">
                <w:delText>&lt;0,001</w:delText>
              </w:r>
            </w:del>
          </w:p>
        </w:tc>
        <w:tc>
          <w:tcPr>
            <w:tcW w:w="1309" w:type="dxa"/>
          </w:tcPr>
          <w:p w14:paraId="4A1904D5" w14:textId="77777777" w:rsidR="00073F8F" w:rsidRPr="001B4A02" w:rsidRDefault="00000000" w:rsidP="00ED48A3">
            <w:pPr>
              <w:keepNext/>
              <w:jc w:val="center"/>
              <w:rPr>
                <w:del w:id="1796" w:author="AbbVie1" w:date="2025-05-13T09:50:00Z"/>
              </w:rPr>
            </w:pPr>
            <w:del w:id="1797" w:author="AbbVie1" w:date="2025-05-13T09:50:00Z">
              <w:r w:rsidRPr="001B4A02">
                <w:delText>0,162</w:delText>
              </w:r>
            </w:del>
          </w:p>
        </w:tc>
      </w:tr>
      <w:tr w:rsidR="00534A2D" w14:paraId="379C533A" w14:textId="77777777" w:rsidTr="008D783A">
        <w:trPr>
          <w:gridAfter w:val="1"/>
          <w:wAfter w:w="12" w:type="dxa"/>
          <w:cantSplit/>
          <w:jc w:val="center"/>
          <w:del w:id="1798" w:author="AbbVie1" w:date="2025-05-13T09:50:00Z"/>
        </w:trPr>
        <w:tc>
          <w:tcPr>
            <w:tcW w:w="1594" w:type="dxa"/>
            <w:gridSpan w:val="2"/>
            <w:tcBorders>
              <w:right w:val="single" w:sz="4" w:space="0" w:color="auto"/>
            </w:tcBorders>
          </w:tcPr>
          <w:p w14:paraId="404055C0" w14:textId="77777777" w:rsidR="00073F8F" w:rsidRPr="001B4A02" w:rsidRDefault="00000000" w:rsidP="00ED48A3">
            <w:pPr>
              <w:keepNext/>
              <w:rPr>
                <w:del w:id="1799" w:author="AbbVie1" w:date="2025-05-13T09:50:00Z"/>
              </w:rPr>
            </w:pPr>
            <w:del w:id="1800" w:author="AbbVie1" w:date="2025-05-13T09:50:00Z">
              <w:r w:rsidRPr="001B4A02">
                <w:delText>ACR 70</w:delText>
              </w:r>
            </w:del>
          </w:p>
        </w:tc>
        <w:tc>
          <w:tcPr>
            <w:tcW w:w="992" w:type="dxa"/>
            <w:tcBorders>
              <w:left w:val="single" w:sz="4" w:space="0" w:color="auto"/>
              <w:right w:val="single" w:sz="4" w:space="0" w:color="auto"/>
            </w:tcBorders>
          </w:tcPr>
          <w:p w14:paraId="7F267CEA" w14:textId="77777777" w:rsidR="00073F8F" w:rsidRPr="001B4A02" w:rsidRDefault="00073F8F" w:rsidP="00ED48A3">
            <w:pPr>
              <w:keepNext/>
              <w:jc w:val="center"/>
              <w:rPr>
                <w:del w:id="1801" w:author="AbbVie1" w:date="2025-05-13T09:50:00Z"/>
              </w:rPr>
            </w:pPr>
          </w:p>
        </w:tc>
        <w:tc>
          <w:tcPr>
            <w:tcW w:w="992" w:type="dxa"/>
            <w:tcBorders>
              <w:left w:val="single" w:sz="4" w:space="0" w:color="auto"/>
              <w:right w:val="single" w:sz="4" w:space="0" w:color="auto"/>
            </w:tcBorders>
          </w:tcPr>
          <w:p w14:paraId="029318DE" w14:textId="77777777" w:rsidR="00073F8F" w:rsidRPr="001B4A02" w:rsidRDefault="00073F8F" w:rsidP="00ED48A3">
            <w:pPr>
              <w:keepNext/>
              <w:jc w:val="center"/>
              <w:rPr>
                <w:del w:id="1802" w:author="AbbVie1" w:date="2025-05-13T09:50:00Z"/>
              </w:rPr>
            </w:pPr>
          </w:p>
        </w:tc>
        <w:tc>
          <w:tcPr>
            <w:tcW w:w="1560" w:type="dxa"/>
            <w:tcBorders>
              <w:left w:val="single" w:sz="4" w:space="0" w:color="auto"/>
              <w:right w:val="single" w:sz="4" w:space="0" w:color="auto"/>
            </w:tcBorders>
          </w:tcPr>
          <w:p w14:paraId="602DB9DD" w14:textId="77777777" w:rsidR="00073F8F" w:rsidRPr="001B4A02" w:rsidRDefault="00073F8F" w:rsidP="00ED48A3">
            <w:pPr>
              <w:keepNext/>
              <w:jc w:val="center"/>
              <w:rPr>
                <w:del w:id="1803" w:author="AbbVie1" w:date="2025-05-13T09:50:00Z"/>
              </w:rPr>
            </w:pPr>
          </w:p>
        </w:tc>
        <w:tc>
          <w:tcPr>
            <w:tcW w:w="1417" w:type="dxa"/>
            <w:tcBorders>
              <w:left w:val="single" w:sz="4" w:space="0" w:color="auto"/>
              <w:right w:val="single" w:sz="4" w:space="0" w:color="auto"/>
            </w:tcBorders>
          </w:tcPr>
          <w:p w14:paraId="55403C7C" w14:textId="77777777" w:rsidR="00073F8F" w:rsidRPr="001B4A02" w:rsidRDefault="00073F8F" w:rsidP="00ED48A3">
            <w:pPr>
              <w:keepNext/>
              <w:jc w:val="center"/>
              <w:rPr>
                <w:del w:id="1804" w:author="AbbVie1" w:date="2025-05-13T09:50:00Z"/>
              </w:rPr>
            </w:pPr>
          </w:p>
        </w:tc>
        <w:tc>
          <w:tcPr>
            <w:tcW w:w="1559" w:type="dxa"/>
            <w:tcBorders>
              <w:left w:val="single" w:sz="4" w:space="0" w:color="auto"/>
              <w:right w:val="single" w:sz="4" w:space="0" w:color="auto"/>
            </w:tcBorders>
          </w:tcPr>
          <w:p w14:paraId="1C5D52CA" w14:textId="77777777" w:rsidR="00073F8F" w:rsidRPr="001B4A02" w:rsidRDefault="00073F8F" w:rsidP="00ED48A3">
            <w:pPr>
              <w:keepNext/>
              <w:jc w:val="center"/>
              <w:rPr>
                <w:del w:id="1805" w:author="AbbVie1" w:date="2025-05-13T09:50:00Z"/>
              </w:rPr>
            </w:pPr>
          </w:p>
        </w:tc>
        <w:tc>
          <w:tcPr>
            <w:tcW w:w="1309" w:type="dxa"/>
            <w:tcBorders>
              <w:left w:val="single" w:sz="4" w:space="0" w:color="auto"/>
            </w:tcBorders>
          </w:tcPr>
          <w:p w14:paraId="433DDEE2" w14:textId="77777777" w:rsidR="00073F8F" w:rsidRPr="001B4A02" w:rsidRDefault="00073F8F" w:rsidP="00ED48A3">
            <w:pPr>
              <w:keepNext/>
              <w:jc w:val="center"/>
              <w:rPr>
                <w:del w:id="1806" w:author="AbbVie1" w:date="2025-05-13T09:50:00Z"/>
              </w:rPr>
            </w:pPr>
          </w:p>
        </w:tc>
      </w:tr>
      <w:tr w:rsidR="00534A2D" w14:paraId="08B86A77" w14:textId="77777777" w:rsidTr="008D783A">
        <w:trPr>
          <w:gridAfter w:val="1"/>
          <w:wAfter w:w="12" w:type="dxa"/>
          <w:cantSplit/>
          <w:trHeight w:val="70"/>
          <w:jc w:val="center"/>
          <w:del w:id="1807" w:author="AbbVie1" w:date="2025-05-13T09:50:00Z"/>
        </w:trPr>
        <w:tc>
          <w:tcPr>
            <w:tcW w:w="1594" w:type="dxa"/>
            <w:gridSpan w:val="2"/>
          </w:tcPr>
          <w:p w14:paraId="0331AAB8" w14:textId="77777777" w:rsidR="00073F8F" w:rsidRPr="001B4A02" w:rsidRDefault="00000000" w:rsidP="00ED48A3">
            <w:pPr>
              <w:keepNext/>
              <w:ind w:left="352" w:hanging="352"/>
              <w:rPr>
                <w:del w:id="1808" w:author="AbbVie1" w:date="2025-05-13T09:50:00Z"/>
              </w:rPr>
            </w:pPr>
            <w:del w:id="1809" w:author="AbbVie1" w:date="2025-05-13T09:50:00Z">
              <w:r w:rsidRPr="001B4A02">
                <w:tab/>
                <w:delText>Týden 52</w:delText>
              </w:r>
            </w:del>
          </w:p>
        </w:tc>
        <w:tc>
          <w:tcPr>
            <w:tcW w:w="992" w:type="dxa"/>
          </w:tcPr>
          <w:p w14:paraId="236F15BC" w14:textId="77777777" w:rsidR="00073F8F" w:rsidRPr="001B4A02" w:rsidRDefault="00000000" w:rsidP="00ED48A3">
            <w:pPr>
              <w:keepNext/>
              <w:jc w:val="center"/>
              <w:rPr>
                <w:del w:id="1810" w:author="AbbVie1" w:date="2025-05-13T09:50:00Z"/>
              </w:rPr>
            </w:pPr>
            <w:del w:id="1811" w:author="AbbVie1" w:date="2025-05-13T09:50:00Z">
              <w:r w:rsidRPr="001B4A02">
                <w:delText>27,2</w:delText>
              </w:r>
              <w:r w:rsidR="00A417AC" w:rsidRPr="001B4A02">
                <w:delText> </w:delText>
              </w:r>
              <w:r w:rsidRPr="001B4A02">
                <w:delText>%</w:delText>
              </w:r>
            </w:del>
          </w:p>
        </w:tc>
        <w:tc>
          <w:tcPr>
            <w:tcW w:w="992" w:type="dxa"/>
          </w:tcPr>
          <w:p w14:paraId="77A18C50" w14:textId="77777777" w:rsidR="00073F8F" w:rsidRPr="001B4A02" w:rsidRDefault="00000000" w:rsidP="00ED48A3">
            <w:pPr>
              <w:keepNext/>
              <w:jc w:val="center"/>
              <w:rPr>
                <w:del w:id="1812" w:author="AbbVie1" w:date="2025-05-13T09:50:00Z"/>
              </w:rPr>
            </w:pPr>
            <w:del w:id="1813" w:author="AbbVie1" w:date="2025-05-13T09:50:00Z">
              <w:r w:rsidRPr="001B4A02">
                <w:delText>25,9</w:delText>
              </w:r>
              <w:r w:rsidR="00A417AC" w:rsidRPr="001B4A02">
                <w:delText> </w:delText>
              </w:r>
              <w:r w:rsidRPr="001B4A02">
                <w:delText>%</w:delText>
              </w:r>
            </w:del>
          </w:p>
        </w:tc>
        <w:tc>
          <w:tcPr>
            <w:tcW w:w="1560" w:type="dxa"/>
          </w:tcPr>
          <w:p w14:paraId="0B90C0B1" w14:textId="77777777" w:rsidR="00073F8F" w:rsidRPr="001B4A02" w:rsidRDefault="00000000" w:rsidP="00ED48A3">
            <w:pPr>
              <w:keepNext/>
              <w:jc w:val="center"/>
              <w:rPr>
                <w:del w:id="1814" w:author="AbbVie1" w:date="2025-05-13T09:50:00Z"/>
              </w:rPr>
            </w:pPr>
            <w:del w:id="1815" w:author="AbbVie1" w:date="2025-05-13T09:50:00Z">
              <w:r w:rsidRPr="001B4A02">
                <w:delText>45,5</w:delText>
              </w:r>
              <w:r w:rsidR="00A417AC" w:rsidRPr="001B4A02">
                <w:delText> </w:delText>
              </w:r>
              <w:r w:rsidRPr="001B4A02">
                <w:delText>%</w:delText>
              </w:r>
            </w:del>
          </w:p>
        </w:tc>
        <w:tc>
          <w:tcPr>
            <w:tcW w:w="1417" w:type="dxa"/>
          </w:tcPr>
          <w:p w14:paraId="4B3D01DE" w14:textId="77777777" w:rsidR="00073F8F" w:rsidRPr="001B4A02" w:rsidRDefault="00000000" w:rsidP="00ED48A3">
            <w:pPr>
              <w:keepNext/>
              <w:jc w:val="center"/>
              <w:rPr>
                <w:del w:id="1816" w:author="AbbVie1" w:date="2025-05-13T09:50:00Z"/>
              </w:rPr>
            </w:pPr>
            <w:del w:id="1817" w:author="AbbVie1" w:date="2025-05-13T09:50:00Z">
              <w:r w:rsidRPr="001B4A02">
                <w:delText>&lt;0,001</w:delText>
              </w:r>
            </w:del>
          </w:p>
        </w:tc>
        <w:tc>
          <w:tcPr>
            <w:tcW w:w="1559" w:type="dxa"/>
          </w:tcPr>
          <w:p w14:paraId="7E7D8AFE" w14:textId="77777777" w:rsidR="00073F8F" w:rsidRPr="001B4A02" w:rsidRDefault="00000000" w:rsidP="00ED48A3">
            <w:pPr>
              <w:keepNext/>
              <w:jc w:val="center"/>
              <w:rPr>
                <w:del w:id="1818" w:author="AbbVie1" w:date="2025-05-13T09:50:00Z"/>
              </w:rPr>
            </w:pPr>
            <w:del w:id="1819" w:author="AbbVie1" w:date="2025-05-13T09:50:00Z">
              <w:r w:rsidRPr="001B4A02">
                <w:delText>&lt;0,001</w:delText>
              </w:r>
            </w:del>
          </w:p>
        </w:tc>
        <w:tc>
          <w:tcPr>
            <w:tcW w:w="1309" w:type="dxa"/>
          </w:tcPr>
          <w:p w14:paraId="314A4150" w14:textId="77777777" w:rsidR="00073F8F" w:rsidRPr="001B4A02" w:rsidRDefault="00000000" w:rsidP="00ED48A3">
            <w:pPr>
              <w:keepNext/>
              <w:jc w:val="center"/>
              <w:rPr>
                <w:del w:id="1820" w:author="AbbVie1" w:date="2025-05-13T09:50:00Z"/>
              </w:rPr>
            </w:pPr>
            <w:del w:id="1821" w:author="AbbVie1" w:date="2025-05-13T09:50:00Z">
              <w:r w:rsidRPr="001B4A02">
                <w:delText>0,656</w:delText>
              </w:r>
            </w:del>
          </w:p>
        </w:tc>
      </w:tr>
      <w:tr w:rsidR="00534A2D" w14:paraId="526C762D" w14:textId="77777777" w:rsidTr="008D783A">
        <w:trPr>
          <w:gridAfter w:val="1"/>
          <w:wAfter w:w="12" w:type="dxa"/>
          <w:cantSplit/>
          <w:jc w:val="center"/>
          <w:del w:id="1822" w:author="AbbVie1" w:date="2025-05-13T09:50:00Z"/>
        </w:trPr>
        <w:tc>
          <w:tcPr>
            <w:tcW w:w="1594" w:type="dxa"/>
            <w:gridSpan w:val="2"/>
          </w:tcPr>
          <w:p w14:paraId="25D906E3" w14:textId="77777777" w:rsidR="00073F8F" w:rsidRPr="001B4A02" w:rsidRDefault="00000000" w:rsidP="00ED48A3">
            <w:pPr>
              <w:keepNext/>
              <w:ind w:left="352" w:hanging="352"/>
              <w:rPr>
                <w:del w:id="1823" w:author="AbbVie1" w:date="2025-05-13T09:50:00Z"/>
              </w:rPr>
            </w:pPr>
            <w:del w:id="1824" w:author="AbbVie1" w:date="2025-05-13T09:50:00Z">
              <w:r w:rsidRPr="001B4A02">
                <w:tab/>
                <w:delText>Týden 104</w:delText>
              </w:r>
            </w:del>
          </w:p>
        </w:tc>
        <w:tc>
          <w:tcPr>
            <w:tcW w:w="992" w:type="dxa"/>
          </w:tcPr>
          <w:p w14:paraId="11E9FA06" w14:textId="77777777" w:rsidR="00073F8F" w:rsidRPr="001B4A02" w:rsidRDefault="00000000" w:rsidP="00ED48A3">
            <w:pPr>
              <w:keepNext/>
              <w:jc w:val="center"/>
              <w:rPr>
                <w:del w:id="1825" w:author="AbbVie1" w:date="2025-05-13T09:50:00Z"/>
              </w:rPr>
            </w:pPr>
            <w:del w:id="1826" w:author="AbbVie1" w:date="2025-05-13T09:50:00Z">
              <w:r w:rsidRPr="001B4A02">
                <w:delText>28,4</w:delText>
              </w:r>
              <w:r w:rsidR="00A417AC" w:rsidRPr="001B4A02">
                <w:delText> </w:delText>
              </w:r>
              <w:r w:rsidRPr="001B4A02">
                <w:delText>%</w:delText>
              </w:r>
            </w:del>
          </w:p>
        </w:tc>
        <w:tc>
          <w:tcPr>
            <w:tcW w:w="992" w:type="dxa"/>
          </w:tcPr>
          <w:p w14:paraId="58297D90" w14:textId="77777777" w:rsidR="00073F8F" w:rsidRPr="001B4A02" w:rsidRDefault="00000000" w:rsidP="00ED48A3">
            <w:pPr>
              <w:keepNext/>
              <w:jc w:val="center"/>
              <w:rPr>
                <w:del w:id="1827" w:author="AbbVie1" w:date="2025-05-13T09:50:00Z"/>
              </w:rPr>
            </w:pPr>
            <w:del w:id="1828" w:author="AbbVie1" w:date="2025-05-13T09:50:00Z">
              <w:r w:rsidRPr="001B4A02">
                <w:delText>28,1</w:delText>
              </w:r>
              <w:r w:rsidR="00A417AC" w:rsidRPr="001B4A02">
                <w:delText> </w:delText>
              </w:r>
              <w:r w:rsidRPr="001B4A02">
                <w:delText>%</w:delText>
              </w:r>
            </w:del>
          </w:p>
        </w:tc>
        <w:tc>
          <w:tcPr>
            <w:tcW w:w="1560" w:type="dxa"/>
          </w:tcPr>
          <w:p w14:paraId="4AC2DECB" w14:textId="77777777" w:rsidR="00073F8F" w:rsidRPr="001B4A02" w:rsidRDefault="00000000" w:rsidP="00ED48A3">
            <w:pPr>
              <w:keepNext/>
              <w:jc w:val="center"/>
              <w:rPr>
                <w:del w:id="1829" w:author="AbbVie1" w:date="2025-05-13T09:50:00Z"/>
              </w:rPr>
            </w:pPr>
            <w:del w:id="1830" w:author="AbbVie1" w:date="2025-05-13T09:50:00Z">
              <w:r w:rsidRPr="001B4A02">
                <w:delText>46,6</w:delText>
              </w:r>
              <w:r w:rsidR="00A417AC" w:rsidRPr="001B4A02">
                <w:delText> </w:delText>
              </w:r>
              <w:r w:rsidRPr="001B4A02">
                <w:delText>%</w:delText>
              </w:r>
            </w:del>
          </w:p>
        </w:tc>
        <w:tc>
          <w:tcPr>
            <w:tcW w:w="1417" w:type="dxa"/>
          </w:tcPr>
          <w:p w14:paraId="30E9F7A6" w14:textId="77777777" w:rsidR="00073F8F" w:rsidRPr="001B4A02" w:rsidRDefault="00000000" w:rsidP="00ED48A3">
            <w:pPr>
              <w:keepNext/>
              <w:jc w:val="center"/>
              <w:rPr>
                <w:del w:id="1831" w:author="AbbVie1" w:date="2025-05-13T09:50:00Z"/>
              </w:rPr>
            </w:pPr>
            <w:del w:id="1832" w:author="AbbVie1" w:date="2025-05-13T09:50:00Z">
              <w:r w:rsidRPr="001B4A02">
                <w:delText>&lt;0,001</w:delText>
              </w:r>
            </w:del>
          </w:p>
        </w:tc>
        <w:tc>
          <w:tcPr>
            <w:tcW w:w="1559" w:type="dxa"/>
          </w:tcPr>
          <w:p w14:paraId="1ACE7658" w14:textId="77777777" w:rsidR="00073F8F" w:rsidRPr="001B4A02" w:rsidRDefault="00000000" w:rsidP="00ED48A3">
            <w:pPr>
              <w:keepNext/>
              <w:jc w:val="center"/>
              <w:rPr>
                <w:del w:id="1833" w:author="AbbVie1" w:date="2025-05-13T09:50:00Z"/>
              </w:rPr>
            </w:pPr>
            <w:del w:id="1834" w:author="AbbVie1" w:date="2025-05-13T09:50:00Z">
              <w:r w:rsidRPr="001B4A02">
                <w:delText>&lt;0,001</w:delText>
              </w:r>
            </w:del>
          </w:p>
        </w:tc>
        <w:tc>
          <w:tcPr>
            <w:tcW w:w="1309" w:type="dxa"/>
          </w:tcPr>
          <w:p w14:paraId="7D9EDC0A" w14:textId="77777777" w:rsidR="00073F8F" w:rsidRPr="001B4A02" w:rsidRDefault="00000000" w:rsidP="00ED48A3">
            <w:pPr>
              <w:keepNext/>
              <w:jc w:val="center"/>
              <w:rPr>
                <w:del w:id="1835" w:author="AbbVie1" w:date="2025-05-13T09:50:00Z"/>
              </w:rPr>
            </w:pPr>
            <w:del w:id="1836" w:author="AbbVie1" w:date="2025-05-13T09:50:00Z">
              <w:r w:rsidRPr="001B4A02">
                <w:delText>0,864</w:delText>
              </w:r>
            </w:del>
          </w:p>
        </w:tc>
      </w:tr>
      <w:tr w:rsidR="00534A2D" w14:paraId="15FBDB89" w14:textId="77777777">
        <w:trPr>
          <w:gridBefore w:val="1"/>
          <w:wBefore w:w="6" w:type="dxa"/>
          <w:cantSplit/>
          <w:jc w:val="center"/>
          <w:del w:id="1837" w:author="AbbVie1" w:date="2025-05-13T09:50:00Z"/>
        </w:trPr>
        <w:tc>
          <w:tcPr>
            <w:tcW w:w="9429" w:type="dxa"/>
            <w:gridSpan w:val="8"/>
            <w:tcBorders>
              <w:top w:val="single" w:sz="4" w:space="0" w:color="auto"/>
              <w:left w:val="single" w:sz="4" w:space="0" w:color="auto"/>
              <w:bottom w:val="single" w:sz="4" w:space="0" w:color="auto"/>
              <w:right w:val="single" w:sz="4" w:space="0" w:color="auto"/>
            </w:tcBorders>
          </w:tcPr>
          <w:p w14:paraId="25FE70A5" w14:textId="77777777" w:rsidR="00073F8F" w:rsidRPr="009271A3" w:rsidRDefault="00000000" w:rsidP="00ED48A3">
            <w:pPr>
              <w:keepNext/>
              <w:tabs>
                <w:tab w:val="left" w:pos="330"/>
                <w:tab w:val="left" w:pos="10728"/>
              </w:tabs>
              <w:ind w:left="360" w:hanging="360"/>
              <w:rPr>
                <w:del w:id="1838" w:author="AbbVie1" w:date="2025-05-13T09:50:00Z"/>
                <w:sz w:val="20"/>
              </w:rPr>
            </w:pPr>
            <w:del w:id="1839" w:author="AbbVie1" w:date="2025-05-13T09:50:00Z">
              <w:r w:rsidRPr="001B4A02">
                <w:rPr>
                  <w:sz w:val="20"/>
                  <w:vertAlign w:val="superscript"/>
                </w:rPr>
                <w:delText xml:space="preserve">a </w:delText>
              </w:r>
              <w:r w:rsidRPr="001B4A02">
                <w:rPr>
                  <w:sz w:val="20"/>
                </w:rPr>
                <w:delText xml:space="preserve">Hodnota p pochází z párového srovnání monoterapie </w:delText>
              </w:r>
              <w:r w:rsidRPr="009271A3">
                <w:rPr>
                  <w:sz w:val="20"/>
                </w:rPr>
                <w:delText>methotrexátem</w:delText>
              </w:r>
              <w:r w:rsidR="002378E0">
                <w:rPr>
                  <w:sz w:val="20"/>
                </w:rPr>
                <w:delText xml:space="preserve"> a </w:delText>
              </w:r>
              <w:r w:rsidRPr="009271A3">
                <w:rPr>
                  <w:sz w:val="20"/>
                </w:rPr>
                <w:delText>kombin</w:delText>
              </w:r>
              <w:r w:rsidR="009271A3" w:rsidRPr="009271A3">
                <w:rPr>
                  <w:sz w:val="20"/>
                </w:rPr>
                <w:delText>ovan</w:delText>
              </w:r>
              <w:r w:rsidR="009271A3">
                <w:rPr>
                  <w:sz w:val="20"/>
                </w:rPr>
                <w:delText>é</w:delText>
              </w:r>
              <w:r w:rsidRPr="009271A3">
                <w:rPr>
                  <w:sz w:val="20"/>
                </w:rPr>
                <w:delText xml:space="preserve"> terapie přípravkem Humira/methotrexát pomocí Mann</w:delText>
              </w:r>
              <w:r w:rsidRPr="009271A3">
                <w:rPr>
                  <w:sz w:val="20"/>
                </w:rPr>
                <w:noBreakHyphen/>
                <w:delText>Whitneova U testu.</w:delText>
              </w:r>
            </w:del>
          </w:p>
          <w:p w14:paraId="2D342AAE" w14:textId="77777777" w:rsidR="00073F8F" w:rsidRPr="009271A3" w:rsidRDefault="00000000" w:rsidP="00ED48A3">
            <w:pPr>
              <w:pStyle w:val="BodyTextIndent"/>
              <w:keepNext/>
              <w:ind w:left="330" w:hanging="330"/>
              <w:rPr>
                <w:del w:id="1840" w:author="AbbVie1" w:date="2025-05-13T09:50:00Z"/>
                <w:b w:val="0"/>
                <w:bCs/>
                <w:color w:val="auto"/>
                <w:sz w:val="20"/>
                <w:lang w:val="cs-CZ"/>
              </w:rPr>
            </w:pPr>
            <w:del w:id="1841" w:author="AbbVie1" w:date="2025-05-13T09:50:00Z">
              <w:r w:rsidRPr="009271A3">
                <w:rPr>
                  <w:b w:val="0"/>
                  <w:color w:val="auto"/>
                  <w:sz w:val="20"/>
                  <w:vertAlign w:val="superscript"/>
                  <w:lang w:val="cs-CZ"/>
                </w:rPr>
                <w:delText xml:space="preserve">b </w:delText>
              </w:r>
              <w:r w:rsidRPr="009271A3">
                <w:rPr>
                  <w:b w:val="0"/>
                  <w:color w:val="auto"/>
                  <w:sz w:val="20"/>
                  <w:lang w:val="cs-CZ"/>
                </w:rPr>
                <w:delText>Hodnota p pochází z párového srovnání monoterapie přípravkem Humira</w:delText>
              </w:r>
              <w:r w:rsidR="002378E0">
                <w:rPr>
                  <w:b w:val="0"/>
                  <w:color w:val="auto"/>
                  <w:sz w:val="20"/>
                  <w:lang w:val="cs-CZ"/>
                </w:rPr>
                <w:delText xml:space="preserve"> a </w:delText>
              </w:r>
              <w:r w:rsidRPr="0093374E">
                <w:rPr>
                  <w:b w:val="0"/>
                  <w:color w:val="auto"/>
                  <w:sz w:val="20"/>
                  <w:lang w:val="cs-CZ"/>
                </w:rPr>
                <w:delText>kombin</w:delText>
              </w:r>
              <w:r w:rsidR="009271A3" w:rsidRPr="000F1E90">
                <w:rPr>
                  <w:b w:val="0"/>
                  <w:color w:val="auto"/>
                  <w:sz w:val="20"/>
                </w:rPr>
                <w:delText>ovan</w:delText>
              </w:r>
              <w:r w:rsidR="009271A3" w:rsidRPr="000F1E90">
                <w:rPr>
                  <w:b w:val="0"/>
                  <w:color w:val="auto"/>
                  <w:sz w:val="20"/>
                  <w:lang w:val="cs-CZ"/>
                </w:rPr>
                <w:delText>é</w:delText>
              </w:r>
              <w:r w:rsidRPr="0093374E">
                <w:rPr>
                  <w:b w:val="0"/>
                  <w:color w:val="auto"/>
                  <w:sz w:val="20"/>
                  <w:lang w:val="cs-CZ"/>
                </w:rPr>
                <w:delText xml:space="preserve"> </w:delText>
              </w:r>
              <w:r w:rsidRPr="009271A3">
                <w:rPr>
                  <w:b w:val="0"/>
                  <w:color w:val="auto"/>
                  <w:sz w:val="20"/>
                  <w:lang w:val="cs-CZ"/>
                </w:rPr>
                <w:delText>terapie přípravkem Humira/methotrexát pomocí Mann</w:delText>
              </w:r>
              <w:r w:rsidRPr="009271A3">
                <w:rPr>
                  <w:b w:val="0"/>
                  <w:color w:val="auto"/>
                  <w:sz w:val="20"/>
                  <w:lang w:val="cs-CZ"/>
                </w:rPr>
                <w:noBreakHyphen/>
                <w:delText>Whitneova U testu</w:delText>
              </w:r>
              <w:r w:rsidRPr="009271A3">
                <w:rPr>
                  <w:b w:val="0"/>
                  <w:bCs/>
                  <w:color w:val="auto"/>
                  <w:sz w:val="20"/>
                  <w:lang w:val="cs-CZ"/>
                </w:rPr>
                <w:delText>.</w:delText>
              </w:r>
            </w:del>
          </w:p>
          <w:p w14:paraId="45562CA7" w14:textId="77777777" w:rsidR="00073F8F" w:rsidRPr="001B4A02" w:rsidRDefault="00000000" w:rsidP="00ED48A3">
            <w:pPr>
              <w:pStyle w:val="BodyTextIndent"/>
              <w:keepNext/>
              <w:ind w:left="330" w:hanging="330"/>
              <w:rPr>
                <w:del w:id="1842" w:author="AbbVie1" w:date="2025-05-13T09:50:00Z"/>
                <w:b w:val="0"/>
                <w:bCs/>
                <w:color w:val="auto"/>
                <w:lang w:val="cs-CZ"/>
              </w:rPr>
            </w:pPr>
            <w:del w:id="1843" w:author="AbbVie1" w:date="2025-05-13T09:50:00Z">
              <w:r w:rsidRPr="009271A3">
                <w:rPr>
                  <w:b w:val="0"/>
                  <w:bCs/>
                  <w:color w:val="auto"/>
                  <w:sz w:val="20"/>
                  <w:vertAlign w:val="superscript"/>
                  <w:lang w:val="cs-CZ"/>
                </w:rPr>
                <w:delText xml:space="preserve">c </w:delText>
              </w:r>
              <w:r w:rsidRPr="009271A3">
                <w:rPr>
                  <w:b w:val="0"/>
                  <w:bCs/>
                  <w:color w:val="auto"/>
                  <w:sz w:val="20"/>
                  <w:lang w:val="cs-CZ"/>
                </w:rPr>
                <w:delText>Hodnota p pochází z párového srovnání monoterapie přípravkem Humira</w:delText>
              </w:r>
              <w:r w:rsidR="002378E0">
                <w:rPr>
                  <w:b w:val="0"/>
                  <w:bCs/>
                  <w:color w:val="auto"/>
                  <w:sz w:val="20"/>
                  <w:lang w:val="cs-CZ"/>
                </w:rPr>
                <w:delText xml:space="preserve"> a </w:delText>
              </w:r>
              <w:r w:rsidRPr="001B4A02">
                <w:rPr>
                  <w:b w:val="0"/>
                  <w:bCs/>
                  <w:color w:val="auto"/>
                  <w:sz w:val="20"/>
                  <w:lang w:val="cs-CZ"/>
                </w:rPr>
                <w:delText xml:space="preserve">monoterapie methotrexátem pomocí </w:delText>
              </w:r>
              <w:r w:rsidRPr="001B4A02">
                <w:rPr>
                  <w:b w:val="0"/>
                  <w:color w:val="auto"/>
                  <w:sz w:val="20"/>
                  <w:lang w:val="cs-CZ"/>
                </w:rPr>
                <w:delText>Mann</w:delText>
              </w:r>
              <w:r w:rsidRPr="001B4A02">
                <w:rPr>
                  <w:b w:val="0"/>
                  <w:color w:val="auto"/>
                  <w:sz w:val="20"/>
                  <w:lang w:val="cs-CZ"/>
                </w:rPr>
                <w:noBreakHyphen/>
                <w:delText>Whitneova U testu</w:delText>
              </w:r>
              <w:r w:rsidRPr="001B4A02">
                <w:rPr>
                  <w:b w:val="0"/>
                  <w:bCs/>
                  <w:color w:val="auto"/>
                  <w:sz w:val="20"/>
                  <w:lang w:val="cs-CZ"/>
                </w:rPr>
                <w:delText>.</w:delText>
              </w:r>
            </w:del>
          </w:p>
        </w:tc>
      </w:tr>
    </w:tbl>
    <w:p w14:paraId="7A21DA94" w14:textId="77777777" w:rsidR="00073F8F" w:rsidRPr="001B4A02" w:rsidRDefault="00073F8F" w:rsidP="00BF3683">
      <w:pPr>
        <w:pStyle w:val="EndnoteText"/>
        <w:rPr>
          <w:del w:id="1844" w:author="AbbVie1" w:date="2025-05-13T09:50:00Z"/>
          <w:lang w:val="cs-CZ"/>
        </w:rPr>
      </w:pPr>
    </w:p>
    <w:p w14:paraId="7FCB485D" w14:textId="77777777" w:rsidR="00075749" w:rsidRPr="001B4A02" w:rsidRDefault="00000000" w:rsidP="00ED48A3">
      <w:pPr>
        <w:pStyle w:val="EndnoteText"/>
        <w:ind w:left="0" w:firstLine="0"/>
        <w:rPr>
          <w:del w:id="1845" w:author="AbbVie1" w:date="2025-05-13T09:50:00Z"/>
          <w:lang w:val="cs-CZ"/>
        </w:rPr>
      </w:pPr>
      <w:del w:id="1846" w:author="AbbVie1" w:date="2025-05-13T09:50:00Z">
        <w:r w:rsidRPr="001B4A02">
          <w:rPr>
            <w:lang w:val="cs-CZ"/>
          </w:rPr>
          <w:delText>V otevřené prodloužené fázi studie RA V</w:delText>
        </w:r>
        <w:r w:rsidR="00E07E66" w:rsidRPr="001B4A02">
          <w:rPr>
            <w:lang w:val="cs-CZ"/>
          </w:rPr>
          <w:delText xml:space="preserve"> </w:delText>
        </w:r>
        <w:r w:rsidRPr="001B4A02">
          <w:rPr>
            <w:lang w:val="cs-CZ"/>
          </w:rPr>
          <w:delText>byl</w:delText>
        </w:r>
        <w:r w:rsidR="00325854" w:rsidRPr="001B4A02">
          <w:rPr>
            <w:lang w:val="cs-CZ"/>
          </w:rPr>
          <w:delText>y</w:delText>
        </w:r>
        <w:r w:rsidR="00854F48" w:rsidRPr="001B4A02">
          <w:rPr>
            <w:lang w:val="cs-CZ"/>
          </w:rPr>
          <w:delText xml:space="preserve"> odpovědi ACR na léčbu zachovány </w:delText>
        </w:r>
        <w:r w:rsidR="00325854" w:rsidRPr="001B4A02">
          <w:rPr>
            <w:lang w:val="cs-CZ"/>
          </w:rPr>
          <w:delText>po dobu až 10 let. Z 542 pacientů, kteří byli randomizováni na léčbu přípravkem Humira 40</w:delText>
        </w:r>
        <w:r w:rsidR="00294902">
          <w:rPr>
            <w:lang w:val="cs-CZ"/>
          </w:rPr>
          <w:delText> mg</w:delText>
        </w:r>
        <w:r w:rsidR="00325854" w:rsidRPr="001B4A02">
          <w:rPr>
            <w:lang w:val="cs-CZ"/>
          </w:rPr>
          <w:delText xml:space="preserve"> každý druhý týden, pokračovalo 170 pacientů v léčbě přípravkem Humira 40</w:delText>
        </w:r>
        <w:r w:rsidR="00B86D3A" w:rsidRPr="001B4A02">
          <w:rPr>
            <w:lang w:val="cs-CZ"/>
          </w:rPr>
          <w:delText> </w:delText>
        </w:r>
        <w:r w:rsidR="00325854" w:rsidRPr="001B4A02">
          <w:rPr>
            <w:lang w:val="cs-CZ"/>
          </w:rPr>
          <w:delText>mg každý druhý týden po dobu 10 let. Mezi těmi dosá</w:delText>
        </w:r>
        <w:r w:rsidR="002E6E7A" w:rsidRPr="001B4A02">
          <w:rPr>
            <w:lang w:val="cs-CZ"/>
          </w:rPr>
          <w:delText>hlo 154 pacientů (90,6</w:delText>
        </w:r>
        <w:r w:rsidR="00A417AC" w:rsidRPr="001B4A02">
          <w:rPr>
            <w:lang w:val="cs-CZ"/>
          </w:rPr>
          <w:delText> </w:delText>
        </w:r>
        <w:r w:rsidR="002E6E7A" w:rsidRPr="001B4A02">
          <w:rPr>
            <w:lang w:val="cs-CZ"/>
          </w:rPr>
          <w:delText>%) odpovědi</w:delText>
        </w:r>
        <w:r w:rsidR="00325854" w:rsidRPr="001B4A02">
          <w:rPr>
            <w:lang w:val="cs-CZ"/>
          </w:rPr>
          <w:delText xml:space="preserve"> ACR 20</w:delText>
        </w:r>
        <w:r w:rsidR="002E6E7A" w:rsidRPr="001B4A02">
          <w:rPr>
            <w:lang w:val="cs-CZ"/>
          </w:rPr>
          <w:delText>; 127 pacientů (74,7</w:delText>
        </w:r>
        <w:r w:rsidR="00A417AC" w:rsidRPr="001B4A02">
          <w:rPr>
            <w:lang w:val="cs-CZ"/>
          </w:rPr>
          <w:delText> </w:delText>
        </w:r>
        <w:r w:rsidR="002E6E7A" w:rsidRPr="001B4A02">
          <w:rPr>
            <w:lang w:val="cs-CZ"/>
          </w:rPr>
          <w:delText>%) dosáhlo odpovědi ACR 50</w:delText>
        </w:r>
        <w:r w:rsidR="002378E0">
          <w:rPr>
            <w:lang w:val="cs-CZ"/>
          </w:rPr>
          <w:delText xml:space="preserve"> a </w:delText>
        </w:r>
        <w:r w:rsidR="003B22C6" w:rsidRPr="001B4A02">
          <w:rPr>
            <w:lang w:val="cs-CZ"/>
          </w:rPr>
          <w:delText>102 pacientů (60</w:delText>
        </w:r>
        <w:r w:rsidR="00A417AC" w:rsidRPr="001B4A02">
          <w:rPr>
            <w:lang w:val="cs-CZ"/>
          </w:rPr>
          <w:delText> </w:delText>
        </w:r>
        <w:r w:rsidR="003B22C6" w:rsidRPr="001B4A02">
          <w:rPr>
            <w:lang w:val="cs-CZ"/>
          </w:rPr>
          <w:delText>%) dosáhlo odpovědi ACR 70.</w:delText>
        </w:r>
      </w:del>
    </w:p>
    <w:p w14:paraId="34A40781" w14:textId="77777777" w:rsidR="00325854" w:rsidRPr="001B4A02" w:rsidRDefault="00325854" w:rsidP="00ED48A3">
      <w:pPr>
        <w:rPr>
          <w:del w:id="1847" w:author="AbbVie1" w:date="2025-05-13T09:50:00Z"/>
        </w:rPr>
      </w:pPr>
    </w:p>
    <w:p w14:paraId="13C0B31D" w14:textId="77777777" w:rsidR="00073F8F" w:rsidRPr="001B4A02" w:rsidRDefault="00000000" w:rsidP="00ED48A3">
      <w:pPr>
        <w:pStyle w:val="EndnoteText"/>
        <w:ind w:left="0" w:firstLine="0"/>
        <w:rPr>
          <w:del w:id="1848" w:author="AbbVie1" w:date="2025-05-13T09:50:00Z"/>
          <w:lang w:val="cs-CZ"/>
        </w:rPr>
      </w:pPr>
      <w:del w:id="1849" w:author="AbbVie1" w:date="2025-05-13T09:50:00Z">
        <w:r w:rsidRPr="001B4A02">
          <w:rPr>
            <w:lang w:val="cs-CZ"/>
          </w:rPr>
          <w:delText>V týdnu 52 dosáhlo 42,9</w:delText>
        </w:r>
        <w:r w:rsidR="00A417AC" w:rsidRPr="001B4A02">
          <w:rPr>
            <w:lang w:val="cs-CZ"/>
          </w:rPr>
          <w:delText> </w:delText>
        </w:r>
        <w:r w:rsidRPr="001B4A02">
          <w:rPr>
            <w:lang w:val="cs-CZ"/>
          </w:rPr>
          <w:delText>% pacientů léčených kombinací přípravku Humira/methotrexát klinickou remisi (</w:delText>
        </w:r>
        <w:r w:rsidR="003B22C6" w:rsidRPr="001B4A02">
          <w:rPr>
            <w:lang w:val="cs-CZ"/>
          </w:rPr>
          <w:delText xml:space="preserve">DAS28 (CRP) </w:delText>
        </w:r>
        <w:r w:rsidRPr="001B4A02">
          <w:rPr>
            <w:lang w:val="cs-CZ"/>
          </w:rPr>
          <w:delText>&lt; 2,6) v porovnání s 20,6</w:delText>
        </w:r>
        <w:r w:rsidR="00A417AC" w:rsidRPr="001B4A02">
          <w:rPr>
            <w:lang w:val="cs-CZ"/>
          </w:rPr>
          <w:delText> </w:delText>
        </w:r>
        <w:r w:rsidRPr="001B4A02">
          <w:rPr>
            <w:lang w:val="cs-CZ"/>
          </w:rPr>
          <w:delText>% pacientů léčených methotrexátem v monoterapii</w:delText>
        </w:r>
        <w:r w:rsidR="002378E0">
          <w:rPr>
            <w:lang w:val="cs-CZ"/>
          </w:rPr>
          <w:delText xml:space="preserve"> a </w:delText>
        </w:r>
        <w:r w:rsidRPr="001B4A02">
          <w:rPr>
            <w:lang w:val="cs-CZ"/>
          </w:rPr>
          <w:delText>23,4</w:delText>
        </w:r>
        <w:r w:rsidR="00A417AC" w:rsidRPr="001B4A02">
          <w:rPr>
            <w:lang w:val="cs-CZ"/>
          </w:rPr>
          <w:delText> </w:delText>
        </w:r>
        <w:r w:rsidRPr="001B4A02">
          <w:rPr>
            <w:lang w:val="cs-CZ"/>
          </w:rPr>
          <w:delText>% pacientů léčených přípravkem Humira v monoterapii. Kombin</w:delText>
        </w:r>
        <w:r w:rsidR="009271A3">
          <w:delText>ovan</w:delText>
        </w:r>
        <w:r w:rsidR="009271A3">
          <w:rPr>
            <w:lang w:val="cs-CZ"/>
          </w:rPr>
          <w:delText>á</w:delText>
        </w:r>
        <w:r w:rsidRPr="001B4A02">
          <w:rPr>
            <w:lang w:val="cs-CZ"/>
          </w:rPr>
          <w:delText xml:space="preserve"> terapie přípravkem Humira/methotrexátem byla klinicky</w:delText>
        </w:r>
        <w:r w:rsidR="002378E0">
          <w:rPr>
            <w:lang w:val="cs-CZ"/>
          </w:rPr>
          <w:delText xml:space="preserve"> a </w:delText>
        </w:r>
        <w:r w:rsidRPr="001B4A02">
          <w:rPr>
            <w:lang w:val="cs-CZ"/>
          </w:rPr>
          <w:delText>statisticky lepší než monoterapie methotrexátem (p</w:delText>
        </w:r>
        <w:r w:rsidR="009B56B1" w:rsidRPr="001B4A02">
          <w:rPr>
            <w:rFonts w:ascii="Symbol" w:hAnsi="Symbol"/>
            <w:lang w:val="cs-CZ"/>
          </w:rPr>
          <w:sym w:font="Symbol" w:char="F03C"/>
        </w:r>
        <w:r w:rsidRPr="001B4A02">
          <w:rPr>
            <w:lang w:val="cs-CZ"/>
          </w:rPr>
          <w:delText>0,001)</w:delText>
        </w:r>
        <w:r w:rsidR="002378E0">
          <w:rPr>
            <w:lang w:val="cs-CZ"/>
          </w:rPr>
          <w:delText xml:space="preserve"> a </w:delText>
        </w:r>
        <w:r w:rsidRPr="001B4A02">
          <w:rPr>
            <w:lang w:val="cs-CZ"/>
          </w:rPr>
          <w:delText>monoterapie přípravkem Humira (p</w:delText>
        </w:r>
        <w:r w:rsidR="009B56B1" w:rsidRPr="001B4A02">
          <w:rPr>
            <w:rFonts w:ascii="Symbol" w:hAnsi="Symbol"/>
            <w:lang w:val="cs-CZ"/>
          </w:rPr>
          <w:sym w:font="Symbol" w:char="F03C"/>
        </w:r>
        <w:r w:rsidRPr="001B4A02">
          <w:rPr>
            <w:lang w:val="cs-CZ"/>
          </w:rPr>
          <w:delText>0,001) z hlediska dosažení stavu nízké aktivity choroby u pacientů se střední až těžkou formou revmatoidní artritidy diagnostikovanou v nedávné době. Odpověď u obou větví studie s monoterapií byla podobná (p=0,447).</w:delText>
        </w:r>
        <w:r w:rsidR="003B22C6" w:rsidRPr="001B4A02">
          <w:rPr>
            <w:lang w:val="cs-CZ"/>
          </w:rPr>
          <w:delText xml:space="preserve"> Ze 342 subjektů, kte</w:delText>
        </w:r>
        <w:r w:rsidR="00F9434B">
          <w:rPr>
            <w:lang w:val="cs-CZ"/>
          </w:rPr>
          <w:delText>ré</w:delText>
        </w:r>
        <w:r w:rsidR="003B22C6" w:rsidRPr="001B4A02">
          <w:rPr>
            <w:lang w:val="cs-CZ"/>
          </w:rPr>
          <w:delText xml:space="preserve"> </w:delText>
        </w:r>
        <w:r w:rsidR="00854F48" w:rsidRPr="001B4A02">
          <w:rPr>
            <w:lang w:val="cs-CZ"/>
          </w:rPr>
          <w:delText>se účastnil</w:delText>
        </w:r>
        <w:r w:rsidR="00F9434B">
          <w:rPr>
            <w:lang w:val="cs-CZ"/>
          </w:rPr>
          <w:delText>y</w:delText>
        </w:r>
        <w:r w:rsidR="003B22C6" w:rsidRPr="001B4A02">
          <w:rPr>
            <w:lang w:val="cs-CZ"/>
          </w:rPr>
          <w:delText xml:space="preserve"> </w:delText>
        </w:r>
        <w:r w:rsidR="00854F48" w:rsidRPr="001B4A02">
          <w:rPr>
            <w:lang w:val="cs-CZ"/>
          </w:rPr>
          <w:delText>otevřené prodloužené fáze studie</w:delText>
        </w:r>
        <w:r w:rsidR="002378E0">
          <w:rPr>
            <w:lang w:val="cs-CZ"/>
          </w:rPr>
          <w:delText xml:space="preserve"> a </w:delText>
        </w:r>
        <w:r w:rsidR="00854F48" w:rsidRPr="001B4A02">
          <w:rPr>
            <w:lang w:val="cs-CZ"/>
          </w:rPr>
          <w:delText>byl</w:delText>
        </w:r>
        <w:r w:rsidR="00F9434B">
          <w:rPr>
            <w:lang w:val="cs-CZ"/>
          </w:rPr>
          <w:delText>y</w:delText>
        </w:r>
        <w:r w:rsidR="00854F48" w:rsidRPr="001B4A02">
          <w:rPr>
            <w:lang w:val="cs-CZ"/>
          </w:rPr>
          <w:delText xml:space="preserve"> randomizován</w:delText>
        </w:r>
        <w:r w:rsidR="00F9434B">
          <w:rPr>
            <w:lang w:val="cs-CZ"/>
          </w:rPr>
          <w:delText>y</w:delText>
        </w:r>
        <w:r w:rsidR="00854F48" w:rsidRPr="001B4A02">
          <w:rPr>
            <w:lang w:val="cs-CZ"/>
          </w:rPr>
          <w:delText xml:space="preserve"> na léčbu </w:delText>
        </w:r>
        <w:r w:rsidR="003B22C6" w:rsidRPr="001B4A02">
          <w:rPr>
            <w:lang w:val="cs-CZ"/>
          </w:rPr>
          <w:delText xml:space="preserve">přípravkem Humira v monoterapii nebo </w:delText>
        </w:r>
        <w:r w:rsidR="00B86D3A" w:rsidRPr="001B4A02">
          <w:rPr>
            <w:lang w:val="cs-CZ"/>
          </w:rPr>
          <w:delText xml:space="preserve">přípravkem </w:delText>
        </w:r>
        <w:r w:rsidR="003B22C6" w:rsidRPr="001B4A02">
          <w:rPr>
            <w:lang w:val="cs-CZ"/>
          </w:rPr>
          <w:delText>Humira v kombinaci s</w:delText>
        </w:r>
        <w:r w:rsidR="00B86D3A" w:rsidRPr="001B4A02">
          <w:rPr>
            <w:lang w:val="cs-CZ"/>
          </w:rPr>
          <w:delText> </w:delText>
        </w:r>
        <w:r w:rsidR="003B22C6" w:rsidRPr="001B4A02">
          <w:rPr>
            <w:lang w:val="cs-CZ"/>
          </w:rPr>
          <w:delText xml:space="preserve">methotrexátem, 171 </w:delText>
        </w:r>
        <w:r w:rsidR="00854F48" w:rsidRPr="001B4A02">
          <w:rPr>
            <w:lang w:val="cs-CZ"/>
          </w:rPr>
          <w:delText>pacientů</w:delText>
        </w:r>
        <w:r w:rsidR="003B22C6" w:rsidRPr="001B4A02">
          <w:rPr>
            <w:lang w:val="cs-CZ"/>
          </w:rPr>
          <w:delText xml:space="preserve"> dokončilo 10 let léčby přípravkem Humira. </w:delText>
        </w:r>
        <w:r w:rsidR="00854F48" w:rsidRPr="001B4A02">
          <w:rPr>
            <w:lang w:val="cs-CZ"/>
          </w:rPr>
          <w:delText xml:space="preserve">Z těchto pacientů dosáhlo remise po </w:delText>
        </w:r>
        <w:r w:rsidR="003B22C6" w:rsidRPr="001B4A02">
          <w:rPr>
            <w:lang w:val="cs-CZ"/>
          </w:rPr>
          <w:delText xml:space="preserve">10 letech </w:delText>
        </w:r>
        <w:r w:rsidR="00854F48" w:rsidRPr="001B4A02">
          <w:rPr>
            <w:lang w:val="cs-CZ"/>
          </w:rPr>
          <w:delText>1</w:delText>
        </w:r>
        <w:r w:rsidR="003B22C6" w:rsidRPr="001B4A02">
          <w:rPr>
            <w:lang w:val="cs-CZ"/>
          </w:rPr>
          <w:delText>09</w:delText>
        </w:r>
        <w:r w:rsidR="00854F48" w:rsidRPr="001B4A02">
          <w:rPr>
            <w:lang w:val="cs-CZ"/>
          </w:rPr>
          <w:delText xml:space="preserve"> subjektů (63,7</w:delText>
        </w:r>
        <w:r w:rsidR="00A417AC" w:rsidRPr="001B4A02">
          <w:rPr>
            <w:lang w:val="cs-CZ"/>
          </w:rPr>
          <w:delText> </w:delText>
        </w:r>
        <w:r w:rsidR="00854F48" w:rsidRPr="001B4A02">
          <w:rPr>
            <w:lang w:val="cs-CZ"/>
          </w:rPr>
          <w:delText>%)</w:delText>
        </w:r>
        <w:r w:rsidR="003B22C6" w:rsidRPr="001B4A02">
          <w:rPr>
            <w:lang w:val="cs-CZ"/>
          </w:rPr>
          <w:delText>.</w:delText>
        </w:r>
      </w:del>
    </w:p>
    <w:p w14:paraId="62A40B71" w14:textId="77777777" w:rsidR="00073F8F" w:rsidRPr="001B4A02" w:rsidRDefault="00073F8F" w:rsidP="00ED48A3">
      <w:pPr>
        <w:ind w:left="0" w:firstLine="0"/>
        <w:rPr>
          <w:del w:id="1850" w:author="AbbVie1" w:date="2025-05-13T09:50:00Z"/>
          <w:u w:val="single"/>
        </w:rPr>
      </w:pPr>
    </w:p>
    <w:p w14:paraId="4A57D8D3" w14:textId="77777777" w:rsidR="00073F8F" w:rsidRPr="001B4A02" w:rsidRDefault="00000000" w:rsidP="00BF3683">
      <w:pPr>
        <w:keepNext/>
        <w:ind w:left="0" w:firstLine="0"/>
        <w:rPr>
          <w:del w:id="1851" w:author="AbbVie1" w:date="2025-05-13T09:50:00Z"/>
          <w:i/>
          <w:u w:val="single"/>
        </w:rPr>
      </w:pPr>
      <w:del w:id="1852" w:author="AbbVie1" w:date="2025-05-13T09:50:00Z">
        <w:r w:rsidRPr="001B4A02">
          <w:rPr>
            <w:i/>
            <w:u w:val="single"/>
          </w:rPr>
          <w:delText>RTG odpověď</w:delText>
        </w:r>
      </w:del>
    </w:p>
    <w:p w14:paraId="2725EA46" w14:textId="77777777" w:rsidR="00073F8F" w:rsidRPr="001B4A02" w:rsidRDefault="00073F8F" w:rsidP="00BF3683">
      <w:pPr>
        <w:keepNext/>
        <w:rPr>
          <w:del w:id="1853" w:author="AbbVie1" w:date="2025-05-13T09:50:00Z"/>
        </w:rPr>
      </w:pPr>
    </w:p>
    <w:p w14:paraId="74994E2D" w14:textId="77777777" w:rsidR="00A70760" w:rsidRPr="001B4A02" w:rsidRDefault="00000000" w:rsidP="00ED48A3">
      <w:pPr>
        <w:ind w:left="0" w:firstLine="0"/>
        <w:rPr>
          <w:del w:id="1854" w:author="AbbVie1" w:date="2025-05-13T09:50:00Z"/>
        </w:rPr>
      </w:pPr>
      <w:del w:id="1855" w:author="AbbVie1" w:date="2025-05-13T09:50:00Z">
        <w:r w:rsidRPr="001B4A02">
          <w:delText>Ve studii RA III, kde průměrné trvání revmatoidní artritidy u pacientů léčených přípravkem Humira bylo přibližně 11 let, bylo strukturální poškození kloubů hodnoceno radiograficky</w:delText>
        </w:r>
        <w:r w:rsidR="002378E0">
          <w:delText xml:space="preserve"> a </w:delText>
        </w:r>
        <w:r w:rsidRPr="001B4A02">
          <w:delText>vyjádřeno jako změna modifikovaného celkového Sharpova skóre (Total Sharp Score, TSS)</w:delText>
        </w:r>
        <w:r w:rsidR="002378E0">
          <w:delText xml:space="preserve"> a </w:delText>
        </w:r>
        <w:r w:rsidRPr="001B4A02">
          <w:delText>jeho komponent, skóre erozí</w:delText>
        </w:r>
        <w:r w:rsidR="002378E0">
          <w:delText xml:space="preserve"> a </w:delText>
        </w:r>
        <w:r w:rsidRPr="001B4A02">
          <w:delText>skóre zúžení kloubní štěrbiny. U pacientů léčených přípravkem Humira/methotrexátem byla zjištěna významně menší RTG progrese v 6.</w:delText>
        </w:r>
        <w:r w:rsidR="002378E0">
          <w:delText xml:space="preserve"> a </w:delText>
        </w:r>
        <w:r w:rsidRPr="001B4A02">
          <w:delText xml:space="preserve">12. měsíci léčby než u pacientů léčených methotrexátem v monoterapii (viz tabulka </w:delText>
        </w:r>
        <w:r w:rsidR="00D76799">
          <w:delText>10</w:delText>
        </w:r>
        <w:r w:rsidRPr="001B4A02">
          <w:delText>).</w:delText>
        </w:r>
      </w:del>
    </w:p>
    <w:p w14:paraId="385910E1" w14:textId="77777777" w:rsidR="0014577B" w:rsidRPr="001B4A02" w:rsidRDefault="0014577B" w:rsidP="00ED48A3">
      <w:pPr>
        <w:ind w:left="0" w:firstLine="0"/>
        <w:rPr>
          <w:del w:id="1856" w:author="AbbVie1" w:date="2025-05-13T09:50:00Z"/>
        </w:rPr>
      </w:pPr>
    </w:p>
    <w:p w14:paraId="4BE95D62" w14:textId="77777777" w:rsidR="00073F8F" w:rsidRPr="001B4A02" w:rsidRDefault="00000000" w:rsidP="00ED48A3">
      <w:pPr>
        <w:ind w:left="0" w:firstLine="0"/>
        <w:rPr>
          <w:del w:id="1857" w:author="AbbVie1" w:date="2025-05-13T09:50:00Z"/>
        </w:rPr>
      </w:pPr>
      <w:del w:id="1858" w:author="AbbVie1" w:date="2025-05-13T09:50:00Z">
        <w:r w:rsidRPr="001B4A02">
          <w:delText>Snížení stupně progrese strukturálního poškození u části pacientů v</w:delText>
        </w:r>
        <w:r w:rsidR="00E07E66" w:rsidRPr="001B4A02">
          <w:delText> </w:delText>
        </w:r>
        <w:r w:rsidRPr="001B4A02">
          <w:delText xml:space="preserve">otevřené prodloužené RA studii III přetrvává </w:delText>
        </w:r>
        <w:r w:rsidRPr="001B4A02">
          <w:rPr>
            <w:szCs w:val="22"/>
          </w:rPr>
          <w:delText xml:space="preserve">po dobu </w:delText>
        </w:r>
        <w:r w:rsidR="00A70760" w:rsidRPr="001B4A02">
          <w:rPr>
            <w:szCs w:val="22"/>
          </w:rPr>
          <w:delText>8</w:delText>
        </w:r>
        <w:r w:rsidR="002378E0">
          <w:rPr>
            <w:szCs w:val="22"/>
          </w:rPr>
          <w:delText xml:space="preserve"> a </w:delText>
        </w:r>
        <w:r w:rsidR="00A70760" w:rsidRPr="001B4A02">
          <w:rPr>
            <w:szCs w:val="22"/>
          </w:rPr>
          <w:delText>10 let</w:delText>
        </w:r>
        <w:r w:rsidRPr="001B4A02">
          <w:delText xml:space="preserve">. </w:delText>
        </w:r>
        <w:r w:rsidR="00A70760" w:rsidRPr="001B4A02">
          <w:delText>Po 8 letech bylo 81</w:delText>
        </w:r>
        <w:r w:rsidRPr="001B4A02">
          <w:delText xml:space="preserve"> z 207 pacientů původně léčených přípravkem Humira v dávce 40 mg každý druhý týden radiograficky zhodnoceno. U </w:delText>
        </w:r>
        <w:r w:rsidR="00A70760" w:rsidRPr="001B4A02">
          <w:delText>48</w:delText>
        </w:r>
        <w:r w:rsidRPr="001B4A02">
          <w:delText xml:space="preserve"> z těchto pacientů nedošlo k progresi strukturální</w:delText>
        </w:r>
        <w:r w:rsidR="00516FE4" w:rsidRPr="001B4A02">
          <w:delText>ho</w:delText>
        </w:r>
        <w:r w:rsidRPr="001B4A02">
          <w:delText xml:space="preserve"> poškození, což bylo definováno jako </w:delText>
        </w:r>
        <w:r w:rsidR="001E63CB" w:rsidRPr="001B4A02">
          <w:delText>0,5</w:delText>
        </w:r>
        <w:r w:rsidRPr="001B4A02">
          <w:delText xml:space="preserve"> či nižší změna hodnoty </w:delText>
        </w:r>
        <w:r w:rsidR="001E63CB" w:rsidRPr="001B4A02">
          <w:delText>m</w:delText>
        </w:r>
        <w:r w:rsidRPr="001B4A02">
          <w:delText>TSS</w:delText>
        </w:r>
        <w:r w:rsidR="00516FE4" w:rsidRPr="001B4A02">
          <w:delText xml:space="preserve"> v porovnání s výchozím stavem</w:delText>
        </w:r>
        <w:r w:rsidRPr="001B4A02">
          <w:delText>.</w:delText>
        </w:r>
        <w:r w:rsidR="00E9294A" w:rsidRPr="001B4A02">
          <w:delText xml:space="preserve"> Po 10 letech 79 z 207 pacientů původně léčených přípravkem Humira v dávce 40</w:delText>
        </w:r>
        <w:r w:rsidR="00294902">
          <w:delText> mg</w:delText>
        </w:r>
        <w:r w:rsidR="00E9294A" w:rsidRPr="001B4A02">
          <w:delText xml:space="preserve"> každý druhý týden</w:delText>
        </w:r>
        <w:r w:rsidR="00516FE4" w:rsidRPr="001B4A02">
          <w:delText xml:space="preserve"> bylo radiograficky zhodnoceno. Mezi těmito se u</w:delText>
        </w:r>
        <w:r w:rsidR="002009DF" w:rsidRPr="001B4A02">
          <w:delText> </w:delText>
        </w:r>
        <w:r w:rsidR="00516FE4" w:rsidRPr="001B4A02">
          <w:delText>40 pacientů neprokázala progrese strukturálního poškození, definovaná jako změna mTSS o</w:delText>
        </w:r>
        <w:r w:rsidR="00923691" w:rsidRPr="001B4A02">
          <w:delText> </w:delText>
        </w:r>
        <w:r w:rsidR="00516FE4" w:rsidRPr="001B4A02">
          <w:delText>0,5 nebo méně v porovnání s výchozím stavem.</w:delText>
        </w:r>
      </w:del>
    </w:p>
    <w:p w14:paraId="52B043AE" w14:textId="77777777" w:rsidR="00D530FE" w:rsidRPr="001B4A02" w:rsidRDefault="00D530FE" w:rsidP="00ED48A3">
      <w:pPr>
        <w:rPr>
          <w:del w:id="1859" w:author="AbbVie1" w:date="2025-05-13T09:50:00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1"/>
        <w:gridCol w:w="1642"/>
        <w:gridCol w:w="1824"/>
        <w:gridCol w:w="1824"/>
        <w:gridCol w:w="1300"/>
      </w:tblGrid>
      <w:tr w:rsidR="00534A2D" w14:paraId="184D5843" w14:textId="77777777" w:rsidTr="008D783A">
        <w:trPr>
          <w:del w:id="1860" w:author="AbbVie1" w:date="2025-05-13T09:50:00Z"/>
        </w:trPr>
        <w:tc>
          <w:tcPr>
            <w:tcW w:w="8951" w:type="dxa"/>
            <w:gridSpan w:val="5"/>
            <w:tcBorders>
              <w:top w:val="nil"/>
              <w:left w:val="nil"/>
              <w:bottom w:val="single" w:sz="4" w:space="0" w:color="auto"/>
              <w:right w:val="nil"/>
            </w:tcBorders>
          </w:tcPr>
          <w:p w14:paraId="4F214433" w14:textId="77777777" w:rsidR="003F4B5B" w:rsidRPr="001B4A02" w:rsidRDefault="00000000" w:rsidP="00BF3683">
            <w:pPr>
              <w:keepNext/>
              <w:jc w:val="center"/>
              <w:rPr>
                <w:del w:id="1861" w:author="AbbVie1" w:date="2025-05-13T09:50:00Z"/>
                <w:b/>
                <w:bCs/>
              </w:rPr>
            </w:pPr>
            <w:del w:id="1862" w:author="AbbVie1" w:date="2025-05-13T09:50:00Z">
              <w:r w:rsidRPr="001B4A02">
                <w:rPr>
                  <w:b/>
                  <w:bCs/>
                </w:rPr>
                <w:delText xml:space="preserve">Tabulka </w:delText>
              </w:r>
              <w:r w:rsidR="00D76799">
                <w:rPr>
                  <w:b/>
                  <w:bCs/>
                </w:rPr>
                <w:delText>10</w:delText>
              </w:r>
            </w:del>
          </w:p>
          <w:p w14:paraId="4A423823" w14:textId="77777777" w:rsidR="00073F8F" w:rsidRPr="001B4A02" w:rsidRDefault="00000000" w:rsidP="00BF3683">
            <w:pPr>
              <w:keepNext/>
              <w:jc w:val="center"/>
              <w:rPr>
                <w:del w:id="1863" w:author="AbbVie1" w:date="2025-05-13T09:50:00Z"/>
                <w:b/>
                <w:bCs/>
                <w:highlight w:val="cyan"/>
              </w:rPr>
            </w:pPr>
            <w:del w:id="1864" w:author="AbbVie1" w:date="2025-05-13T09:50:00Z">
              <w:r w:rsidRPr="001B4A02">
                <w:rPr>
                  <w:b/>
                  <w:bCs/>
                </w:rPr>
                <w:delText>Průměrné RT</w:delText>
              </w:r>
              <w:r w:rsidR="000E65F4" w:rsidRPr="001B4A02">
                <w:rPr>
                  <w:b/>
                  <w:bCs/>
                </w:rPr>
                <w:delText>G</w:delText>
              </w:r>
              <w:r w:rsidRPr="001B4A02">
                <w:rPr>
                  <w:b/>
                  <w:bCs/>
                </w:rPr>
                <w:delText xml:space="preserve"> změny po 12 měsících ve studii RA III</w:delText>
              </w:r>
            </w:del>
          </w:p>
          <w:p w14:paraId="697067DC" w14:textId="77777777" w:rsidR="00073F8F" w:rsidRPr="001B4A02" w:rsidRDefault="00073F8F" w:rsidP="00ED48A3">
            <w:pPr>
              <w:rPr>
                <w:del w:id="1865" w:author="AbbVie1" w:date="2025-05-13T09:50:00Z"/>
                <w:bCs/>
                <w:highlight w:val="red"/>
              </w:rPr>
            </w:pPr>
          </w:p>
        </w:tc>
      </w:tr>
      <w:tr w:rsidR="00534A2D" w14:paraId="34CADFFA" w14:textId="77777777" w:rsidTr="008D783A">
        <w:trPr>
          <w:del w:id="1866" w:author="AbbVie1" w:date="2025-05-13T09:50:00Z"/>
        </w:trPr>
        <w:tc>
          <w:tcPr>
            <w:tcW w:w="2448" w:type="dxa"/>
            <w:tcBorders>
              <w:top w:val="single" w:sz="4" w:space="0" w:color="auto"/>
            </w:tcBorders>
          </w:tcPr>
          <w:p w14:paraId="6A3FC70C" w14:textId="77777777" w:rsidR="00073F8F" w:rsidRPr="001B4A02" w:rsidRDefault="00073F8F" w:rsidP="00ED48A3">
            <w:pPr>
              <w:ind w:left="0" w:firstLine="0"/>
              <w:rPr>
                <w:del w:id="1867" w:author="AbbVie1" w:date="2025-05-13T09:50:00Z"/>
              </w:rPr>
            </w:pPr>
          </w:p>
        </w:tc>
        <w:tc>
          <w:tcPr>
            <w:tcW w:w="1620" w:type="dxa"/>
            <w:tcBorders>
              <w:top w:val="single" w:sz="4" w:space="0" w:color="auto"/>
            </w:tcBorders>
          </w:tcPr>
          <w:p w14:paraId="2BC406DB" w14:textId="77777777" w:rsidR="00073F8F" w:rsidRPr="001B4A02" w:rsidRDefault="00000000" w:rsidP="00ED48A3">
            <w:pPr>
              <w:ind w:left="0" w:firstLine="0"/>
              <w:jc w:val="center"/>
              <w:rPr>
                <w:del w:id="1868" w:author="AbbVie1" w:date="2025-05-13T09:50:00Z"/>
                <w:vertAlign w:val="superscript"/>
              </w:rPr>
            </w:pPr>
            <w:del w:id="1869" w:author="AbbVie1" w:date="2025-05-13T09:50:00Z">
              <w:r w:rsidRPr="001B4A02">
                <w:delText>Placebo/MTX</w:delText>
              </w:r>
              <w:r w:rsidRPr="001B4A02">
                <w:rPr>
                  <w:vertAlign w:val="superscript"/>
                </w:rPr>
                <w:delText>a</w:delText>
              </w:r>
            </w:del>
          </w:p>
        </w:tc>
        <w:tc>
          <w:tcPr>
            <w:tcW w:w="1800" w:type="dxa"/>
            <w:tcBorders>
              <w:top w:val="single" w:sz="4" w:space="0" w:color="auto"/>
            </w:tcBorders>
          </w:tcPr>
          <w:p w14:paraId="1A47BDD4" w14:textId="77777777" w:rsidR="00073F8F" w:rsidRPr="001B4A02" w:rsidRDefault="00000000" w:rsidP="00ED48A3">
            <w:pPr>
              <w:ind w:left="0" w:firstLine="0"/>
              <w:jc w:val="center"/>
              <w:rPr>
                <w:del w:id="1870" w:author="AbbVie1" w:date="2025-05-13T09:50:00Z"/>
              </w:rPr>
            </w:pPr>
            <w:del w:id="1871" w:author="AbbVie1" w:date="2025-05-13T09:50:00Z">
              <w:r w:rsidRPr="001B4A02">
                <w:delText>H</w:delText>
              </w:r>
              <w:r w:rsidR="00D01AB4" w:rsidRPr="001B4A02">
                <w:delText>umira</w:delText>
              </w:r>
              <w:r w:rsidRPr="001B4A02">
                <w:delText>/MTX 40 mg každý druhý týden</w:delText>
              </w:r>
            </w:del>
          </w:p>
        </w:tc>
        <w:tc>
          <w:tcPr>
            <w:tcW w:w="1800" w:type="dxa"/>
            <w:tcBorders>
              <w:top w:val="single" w:sz="4" w:space="0" w:color="auto"/>
            </w:tcBorders>
          </w:tcPr>
          <w:p w14:paraId="4D4A1F51" w14:textId="77777777" w:rsidR="00073F8F" w:rsidRPr="001B4A02" w:rsidRDefault="00000000" w:rsidP="00ED48A3">
            <w:pPr>
              <w:ind w:left="0" w:firstLine="0"/>
              <w:jc w:val="center"/>
              <w:rPr>
                <w:del w:id="1872" w:author="AbbVie1" w:date="2025-05-13T09:50:00Z"/>
              </w:rPr>
            </w:pPr>
            <w:del w:id="1873" w:author="AbbVie1" w:date="2025-05-13T09:50:00Z">
              <w:r w:rsidRPr="001B4A02">
                <w:delText>Placebo/MTX-H</w:delText>
              </w:r>
              <w:r w:rsidR="00D01AB4" w:rsidRPr="001B4A02">
                <w:delText>umira</w:delText>
              </w:r>
              <w:r w:rsidRPr="001B4A02">
                <w:delText>/MTX (95% interval spolehlivosti</w:delText>
              </w:r>
              <w:r w:rsidRPr="001B4A02">
                <w:rPr>
                  <w:vertAlign w:val="superscript"/>
                </w:rPr>
                <w:delText>b</w:delText>
              </w:r>
              <w:r w:rsidRPr="001B4A02">
                <w:delText>)</w:delText>
              </w:r>
            </w:del>
          </w:p>
        </w:tc>
        <w:tc>
          <w:tcPr>
            <w:tcW w:w="1283" w:type="dxa"/>
            <w:tcBorders>
              <w:top w:val="single" w:sz="4" w:space="0" w:color="auto"/>
            </w:tcBorders>
          </w:tcPr>
          <w:p w14:paraId="2FA05432" w14:textId="77777777" w:rsidR="00073F8F" w:rsidRPr="001B4A02" w:rsidRDefault="00000000" w:rsidP="00ED48A3">
            <w:pPr>
              <w:ind w:left="0" w:firstLine="0"/>
              <w:jc w:val="center"/>
              <w:rPr>
                <w:del w:id="1874" w:author="AbbVie1" w:date="2025-05-13T09:50:00Z"/>
              </w:rPr>
            </w:pPr>
            <w:del w:id="1875" w:author="AbbVie1" w:date="2025-05-13T09:50:00Z">
              <w:r w:rsidRPr="001B4A02">
                <w:delText>Hodnota p</w:delText>
              </w:r>
            </w:del>
          </w:p>
        </w:tc>
      </w:tr>
      <w:tr w:rsidR="00534A2D" w14:paraId="3A341C88" w14:textId="77777777" w:rsidTr="008D783A">
        <w:trPr>
          <w:del w:id="1876" w:author="AbbVie1" w:date="2025-05-13T09:50:00Z"/>
        </w:trPr>
        <w:tc>
          <w:tcPr>
            <w:tcW w:w="2448" w:type="dxa"/>
          </w:tcPr>
          <w:p w14:paraId="65FF3D2E" w14:textId="77777777" w:rsidR="00073F8F" w:rsidRPr="001B4A02" w:rsidRDefault="00000000" w:rsidP="00ED48A3">
            <w:pPr>
              <w:ind w:left="0" w:firstLine="0"/>
              <w:rPr>
                <w:del w:id="1877" w:author="AbbVie1" w:date="2025-05-13T09:50:00Z"/>
              </w:rPr>
            </w:pPr>
            <w:del w:id="1878" w:author="AbbVie1" w:date="2025-05-13T09:50:00Z">
              <w:r w:rsidRPr="001B4A02">
                <w:delText>Celkové Sharpovo skóre</w:delText>
              </w:r>
            </w:del>
          </w:p>
        </w:tc>
        <w:tc>
          <w:tcPr>
            <w:tcW w:w="1620" w:type="dxa"/>
          </w:tcPr>
          <w:p w14:paraId="0BDAF2DE" w14:textId="77777777" w:rsidR="00073F8F" w:rsidRPr="001B4A02" w:rsidRDefault="00000000" w:rsidP="00ED48A3">
            <w:pPr>
              <w:ind w:left="0" w:firstLine="0"/>
              <w:jc w:val="center"/>
              <w:rPr>
                <w:del w:id="1879" w:author="AbbVie1" w:date="2025-05-13T09:50:00Z"/>
              </w:rPr>
            </w:pPr>
            <w:del w:id="1880" w:author="AbbVie1" w:date="2025-05-13T09:50:00Z">
              <w:r w:rsidRPr="001B4A02">
                <w:delText>2,7</w:delText>
              </w:r>
            </w:del>
          </w:p>
        </w:tc>
        <w:tc>
          <w:tcPr>
            <w:tcW w:w="1800" w:type="dxa"/>
          </w:tcPr>
          <w:p w14:paraId="69A3EA5D" w14:textId="77777777" w:rsidR="00073F8F" w:rsidRPr="001B4A02" w:rsidRDefault="00000000" w:rsidP="00ED48A3">
            <w:pPr>
              <w:ind w:left="0" w:firstLine="0"/>
              <w:jc w:val="center"/>
              <w:rPr>
                <w:del w:id="1881" w:author="AbbVie1" w:date="2025-05-13T09:50:00Z"/>
              </w:rPr>
            </w:pPr>
            <w:del w:id="1882" w:author="AbbVie1" w:date="2025-05-13T09:50:00Z">
              <w:r w:rsidRPr="001B4A02">
                <w:delText>0,1</w:delText>
              </w:r>
            </w:del>
          </w:p>
        </w:tc>
        <w:tc>
          <w:tcPr>
            <w:tcW w:w="1800" w:type="dxa"/>
          </w:tcPr>
          <w:p w14:paraId="5062E912" w14:textId="77777777" w:rsidR="00073F8F" w:rsidRPr="001B4A02" w:rsidRDefault="00000000" w:rsidP="00ED48A3">
            <w:pPr>
              <w:ind w:left="0" w:firstLine="0"/>
              <w:jc w:val="center"/>
              <w:rPr>
                <w:del w:id="1883" w:author="AbbVie1" w:date="2025-05-13T09:50:00Z"/>
              </w:rPr>
            </w:pPr>
            <w:del w:id="1884" w:author="AbbVie1" w:date="2025-05-13T09:50:00Z">
              <w:r w:rsidRPr="001B4A02">
                <w:delText>2,6 (1,4; 3,8)</w:delText>
              </w:r>
            </w:del>
          </w:p>
        </w:tc>
        <w:tc>
          <w:tcPr>
            <w:tcW w:w="1283" w:type="dxa"/>
          </w:tcPr>
          <w:p w14:paraId="7D9437F8" w14:textId="77777777" w:rsidR="00073F8F" w:rsidRPr="001B4A02" w:rsidRDefault="00000000" w:rsidP="00ED48A3">
            <w:pPr>
              <w:ind w:left="0" w:firstLine="0"/>
              <w:jc w:val="center"/>
              <w:rPr>
                <w:del w:id="1885" w:author="AbbVie1" w:date="2025-05-13T09:50:00Z"/>
                <w:vertAlign w:val="superscript"/>
              </w:rPr>
            </w:pPr>
            <w:del w:id="1886" w:author="AbbVie1" w:date="2025-05-13T09:50:00Z">
              <w:r w:rsidRPr="001B4A02">
                <w:delText>&lt;0,001</w:delText>
              </w:r>
              <w:r w:rsidRPr="001B4A02">
                <w:rPr>
                  <w:vertAlign w:val="superscript"/>
                </w:rPr>
                <w:delText>c</w:delText>
              </w:r>
            </w:del>
          </w:p>
        </w:tc>
      </w:tr>
      <w:tr w:rsidR="00534A2D" w14:paraId="6EE42AB4" w14:textId="77777777" w:rsidTr="008D783A">
        <w:trPr>
          <w:del w:id="1887" w:author="AbbVie1" w:date="2025-05-13T09:50:00Z"/>
        </w:trPr>
        <w:tc>
          <w:tcPr>
            <w:tcW w:w="2448" w:type="dxa"/>
          </w:tcPr>
          <w:p w14:paraId="7C37558F" w14:textId="77777777" w:rsidR="00073F8F" w:rsidRPr="001B4A02" w:rsidRDefault="00000000" w:rsidP="00ED48A3">
            <w:pPr>
              <w:ind w:left="0" w:firstLine="0"/>
              <w:rPr>
                <w:del w:id="1888" w:author="AbbVie1" w:date="2025-05-13T09:50:00Z"/>
              </w:rPr>
            </w:pPr>
            <w:del w:id="1889" w:author="AbbVie1" w:date="2025-05-13T09:50:00Z">
              <w:r w:rsidRPr="001B4A02">
                <w:delText>Skóre erozí</w:delText>
              </w:r>
            </w:del>
          </w:p>
        </w:tc>
        <w:tc>
          <w:tcPr>
            <w:tcW w:w="1620" w:type="dxa"/>
          </w:tcPr>
          <w:p w14:paraId="71DA4C14" w14:textId="77777777" w:rsidR="00073F8F" w:rsidRPr="001B4A02" w:rsidRDefault="00000000" w:rsidP="00ED48A3">
            <w:pPr>
              <w:ind w:left="0" w:firstLine="0"/>
              <w:jc w:val="center"/>
              <w:rPr>
                <w:del w:id="1890" w:author="AbbVie1" w:date="2025-05-13T09:50:00Z"/>
              </w:rPr>
            </w:pPr>
            <w:del w:id="1891" w:author="AbbVie1" w:date="2025-05-13T09:50:00Z">
              <w:r w:rsidRPr="001B4A02">
                <w:delText>1,6</w:delText>
              </w:r>
            </w:del>
          </w:p>
        </w:tc>
        <w:tc>
          <w:tcPr>
            <w:tcW w:w="1800" w:type="dxa"/>
          </w:tcPr>
          <w:p w14:paraId="5EA5824A" w14:textId="77777777" w:rsidR="00073F8F" w:rsidRPr="001B4A02" w:rsidRDefault="00000000" w:rsidP="00ED48A3">
            <w:pPr>
              <w:ind w:left="0" w:firstLine="0"/>
              <w:jc w:val="center"/>
              <w:rPr>
                <w:del w:id="1892" w:author="AbbVie1" w:date="2025-05-13T09:50:00Z"/>
              </w:rPr>
            </w:pPr>
            <w:del w:id="1893" w:author="AbbVie1" w:date="2025-05-13T09:50:00Z">
              <w:r w:rsidRPr="001B4A02">
                <w:delText>0,0</w:delText>
              </w:r>
            </w:del>
          </w:p>
        </w:tc>
        <w:tc>
          <w:tcPr>
            <w:tcW w:w="1800" w:type="dxa"/>
          </w:tcPr>
          <w:p w14:paraId="0E8447CC" w14:textId="77777777" w:rsidR="00073F8F" w:rsidRPr="001B4A02" w:rsidRDefault="00000000" w:rsidP="00ED48A3">
            <w:pPr>
              <w:ind w:left="0" w:firstLine="0"/>
              <w:jc w:val="center"/>
              <w:rPr>
                <w:del w:id="1894" w:author="AbbVie1" w:date="2025-05-13T09:50:00Z"/>
              </w:rPr>
            </w:pPr>
            <w:del w:id="1895" w:author="AbbVie1" w:date="2025-05-13T09:50:00Z">
              <w:r w:rsidRPr="001B4A02">
                <w:delText>1,6 (0,9; 2,2)</w:delText>
              </w:r>
            </w:del>
          </w:p>
        </w:tc>
        <w:tc>
          <w:tcPr>
            <w:tcW w:w="1283" w:type="dxa"/>
          </w:tcPr>
          <w:p w14:paraId="03C31AB4" w14:textId="77777777" w:rsidR="00073F8F" w:rsidRPr="001B4A02" w:rsidRDefault="00000000" w:rsidP="00ED48A3">
            <w:pPr>
              <w:ind w:left="0" w:firstLine="0"/>
              <w:jc w:val="center"/>
              <w:rPr>
                <w:del w:id="1896" w:author="AbbVie1" w:date="2025-05-13T09:50:00Z"/>
              </w:rPr>
            </w:pPr>
            <w:del w:id="1897" w:author="AbbVie1" w:date="2025-05-13T09:50:00Z">
              <w:r w:rsidRPr="001B4A02">
                <w:delText>&lt;0,001</w:delText>
              </w:r>
            </w:del>
          </w:p>
        </w:tc>
      </w:tr>
      <w:tr w:rsidR="00534A2D" w14:paraId="41530454" w14:textId="77777777" w:rsidTr="008D783A">
        <w:trPr>
          <w:del w:id="1898" w:author="AbbVie1" w:date="2025-05-13T09:50:00Z"/>
        </w:trPr>
        <w:tc>
          <w:tcPr>
            <w:tcW w:w="2448" w:type="dxa"/>
          </w:tcPr>
          <w:p w14:paraId="424727E3" w14:textId="77777777" w:rsidR="00073F8F" w:rsidRPr="001B4A02" w:rsidRDefault="00000000" w:rsidP="00ED48A3">
            <w:pPr>
              <w:ind w:left="0" w:firstLine="0"/>
              <w:rPr>
                <w:del w:id="1899" w:author="AbbVie1" w:date="2025-05-13T09:50:00Z"/>
              </w:rPr>
            </w:pPr>
            <w:del w:id="1900" w:author="AbbVie1" w:date="2025-05-13T09:50:00Z">
              <w:r w:rsidRPr="001B4A02">
                <w:delText>Skóre JSN</w:delText>
              </w:r>
              <w:r w:rsidRPr="001B4A02">
                <w:rPr>
                  <w:vertAlign w:val="superscript"/>
                </w:rPr>
                <w:delText>d</w:delText>
              </w:r>
            </w:del>
          </w:p>
        </w:tc>
        <w:tc>
          <w:tcPr>
            <w:tcW w:w="1620" w:type="dxa"/>
          </w:tcPr>
          <w:p w14:paraId="3ED209E7" w14:textId="77777777" w:rsidR="00073F8F" w:rsidRPr="001B4A02" w:rsidRDefault="00000000" w:rsidP="00ED48A3">
            <w:pPr>
              <w:ind w:left="0" w:firstLine="0"/>
              <w:jc w:val="center"/>
              <w:rPr>
                <w:del w:id="1901" w:author="AbbVie1" w:date="2025-05-13T09:50:00Z"/>
              </w:rPr>
            </w:pPr>
            <w:del w:id="1902" w:author="AbbVie1" w:date="2025-05-13T09:50:00Z">
              <w:r w:rsidRPr="001B4A02">
                <w:delText>1,0</w:delText>
              </w:r>
            </w:del>
          </w:p>
        </w:tc>
        <w:tc>
          <w:tcPr>
            <w:tcW w:w="1800" w:type="dxa"/>
          </w:tcPr>
          <w:p w14:paraId="1AD2C5FA" w14:textId="77777777" w:rsidR="00073F8F" w:rsidRPr="001B4A02" w:rsidRDefault="00000000" w:rsidP="00ED48A3">
            <w:pPr>
              <w:ind w:left="0" w:firstLine="0"/>
              <w:jc w:val="center"/>
              <w:rPr>
                <w:del w:id="1903" w:author="AbbVie1" w:date="2025-05-13T09:50:00Z"/>
              </w:rPr>
            </w:pPr>
            <w:del w:id="1904" w:author="AbbVie1" w:date="2025-05-13T09:50:00Z">
              <w:r w:rsidRPr="001B4A02">
                <w:delText>0,1</w:delText>
              </w:r>
            </w:del>
          </w:p>
        </w:tc>
        <w:tc>
          <w:tcPr>
            <w:tcW w:w="1800" w:type="dxa"/>
          </w:tcPr>
          <w:p w14:paraId="2301C03E" w14:textId="77777777" w:rsidR="00073F8F" w:rsidRPr="001B4A02" w:rsidRDefault="00000000" w:rsidP="00ED48A3">
            <w:pPr>
              <w:ind w:left="0" w:firstLine="0"/>
              <w:jc w:val="center"/>
              <w:rPr>
                <w:del w:id="1905" w:author="AbbVie1" w:date="2025-05-13T09:50:00Z"/>
              </w:rPr>
            </w:pPr>
            <w:del w:id="1906" w:author="AbbVie1" w:date="2025-05-13T09:50:00Z">
              <w:r w:rsidRPr="001B4A02">
                <w:delText>0,9 (0,3; 1,4)</w:delText>
              </w:r>
            </w:del>
          </w:p>
        </w:tc>
        <w:tc>
          <w:tcPr>
            <w:tcW w:w="1283" w:type="dxa"/>
          </w:tcPr>
          <w:p w14:paraId="1538DBC0" w14:textId="77777777" w:rsidR="00073F8F" w:rsidRPr="001B4A02" w:rsidRDefault="00000000" w:rsidP="00ED48A3">
            <w:pPr>
              <w:ind w:left="0" w:firstLine="0"/>
              <w:jc w:val="center"/>
              <w:rPr>
                <w:del w:id="1907" w:author="AbbVie1" w:date="2025-05-13T09:50:00Z"/>
              </w:rPr>
            </w:pPr>
            <w:del w:id="1908" w:author="AbbVie1" w:date="2025-05-13T09:50:00Z">
              <w:r w:rsidRPr="001B4A02">
                <w:delText>0,002</w:delText>
              </w:r>
            </w:del>
          </w:p>
        </w:tc>
      </w:tr>
    </w:tbl>
    <w:p w14:paraId="28D9F178" w14:textId="77777777" w:rsidR="00073F8F" w:rsidRPr="001B4A02" w:rsidRDefault="00000000" w:rsidP="00ED48A3">
      <w:pPr>
        <w:rPr>
          <w:del w:id="1909" w:author="AbbVie1" w:date="2025-05-13T09:50:00Z"/>
          <w:sz w:val="20"/>
        </w:rPr>
      </w:pPr>
      <w:del w:id="1910" w:author="AbbVie1" w:date="2025-05-13T09:50:00Z">
        <w:r w:rsidRPr="001B4A02">
          <w:rPr>
            <w:bCs/>
            <w:sz w:val="20"/>
            <w:vertAlign w:val="superscript"/>
          </w:rPr>
          <w:delText xml:space="preserve">a </w:delText>
        </w:r>
        <w:r w:rsidRPr="001B4A02">
          <w:rPr>
            <w:bCs/>
            <w:sz w:val="20"/>
          </w:rPr>
          <w:delText>methotrex</w:delText>
        </w:r>
        <w:r w:rsidRPr="001B4A02">
          <w:rPr>
            <w:sz w:val="20"/>
          </w:rPr>
          <w:delText>át</w:delText>
        </w:r>
      </w:del>
    </w:p>
    <w:p w14:paraId="4C115219" w14:textId="77777777" w:rsidR="00073F8F" w:rsidRPr="001B4A02" w:rsidRDefault="00000000" w:rsidP="00ED48A3">
      <w:pPr>
        <w:rPr>
          <w:del w:id="1911" w:author="AbbVie1" w:date="2025-05-13T09:50:00Z"/>
          <w:sz w:val="20"/>
        </w:rPr>
      </w:pPr>
      <w:del w:id="1912" w:author="AbbVie1" w:date="2025-05-13T09:50:00Z">
        <w:r w:rsidRPr="001B4A02">
          <w:rPr>
            <w:sz w:val="20"/>
            <w:vertAlign w:val="superscript"/>
          </w:rPr>
          <w:delText xml:space="preserve">b </w:delText>
        </w:r>
        <w:r w:rsidRPr="001B4A02">
          <w:rPr>
            <w:sz w:val="20"/>
          </w:rPr>
          <w:delText>95% intervaly spolehlivosti pro rozdíly změny skóre mezi methotrexátem</w:delText>
        </w:r>
        <w:r w:rsidR="002378E0">
          <w:rPr>
            <w:sz w:val="20"/>
          </w:rPr>
          <w:delText xml:space="preserve"> a </w:delText>
        </w:r>
        <w:r w:rsidRPr="001B4A02">
          <w:rPr>
            <w:sz w:val="20"/>
          </w:rPr>
          <w:delText>přípravkem Humira</w:delText>
        </w:r>
      </w:del>
    </w:p>
    <w:p w14:paraId="4F876A30" w14:textId="77777777" w:rsidR="00073F8F" w:rsidRPr="001B4A02" w:rsidRDefault="00000000" w:rsidP="00ED48A3">
      <w:pPr>
        <w:rPr>
          <w:del w:id="1913" w:author="AbbVie1" w:date="2025-05-13T09:50:00Z"/>
          <w:sz w:val="20"/>
        </w:rPr>
      </w:pPr>
      <w:del w:id="1914" w:author="AbbVie1" w:date="2025-05-13T09:50:00Z">
        <w:r w:rsidRPr="001B4A02">
          <w:rPr>
            <w:sz w:val="20"/>
            <w:vertAlign w:val="superscript"/>
          </w:rPr>
          <w:delText xml:space="preserve">c </w:delText>
        </w:r>
        <w:r w:rsidRPr="001B4A02">
          <w:rPr>
            <w:sz w:val="20"/>
          </w:rPr>
          <w:delText>na základě analýzy pořadí</w:delText>
        </w:r>
      </w:del>
    </w:p>
    <w:p w14:paraId="19019CDD" w14:textId="77777777" w:rsidR="00073F8F" w:rsidRPr="001B4A02" w:rsidRDefault="00000000" w:rsidP="00ED48A3">
      <w:pPr>
        <w:ind w:left="0" w:firstLine="0"/>
        <w:rPr>
          <w:del w:id="1915" w:author="AbbVie1" w:date="2025-05-13T09:50:00Z"/>
          <w:sz w:val="20"/>
          <w:u w:val="single"/>
        </w:rPr>
      </w:pPr>
      <w:del w:id="1916" w:author="AbbVie1" w:date="2025-05-13T09:50:00Z">
        <w:r w:rsidRPr="001B4A02">
          <w:rPr>
            <w:sz w:val="20"/>
            <w:vertAlign w:val="superscript"/>
          </w:rPr>
          <w:delText xml:space="preserve">d </w:delText>
        </w:r>
        <w:r w:rsidRPr="001B4A02">
          <w:rPr>
            <w:sz w:val="20"/>
          </w:rPr>
          <w:delText>zúžení kloubní štěrbiny</w:delText>
        </w:r>
      </w:del>
    </w:p>
    <w:p w14:paraId="6DEB9390" w14:textId="77777777" w:rsidR="00073F8F" w:rsidRPr="000F04DB" w:rsidRDefault="00073F8F" w:rsidP="00ED48A3">
      <w:pPr>
        <w:ind w:left="0" w:firstLine="0"/>
        <w:rPr>
          <w:del w:id="1917" w:author="AbbVie1" w:date="2025-05-13T09:50:00Z"/>
        </w:rPr>
      </w:pPr>
    </w:p>
    <w:p w14:paraId="0188EDE2" w14:textId="77777777" w:rsidR="00073F8F" w:rsidRPr="001B4A02" w:rsidRDefault="00000000" w:rsidP="00ED48A3">
      <w:pPr>
        <w:ind w:left="0" w:firstLine="0"/>
        <w:rPr>
          <w:del w:id="1918" w:author="AbbVie1" w:date="2025-05-13T09:50:00Z"/>
        </w:rPr>
      </w:pPr>
      <w:del w:id="1919" w:author="AbbVie1" w:date="2025-05-13T09:50:00Z">
        <w:r w:rsidRPr="001B4A02">
          <w:delText>Ve studii RA V</w:delText>
        </w:r>
        <w:r w:rsidR="00E07E66" w:rsidRPr="001B4A02">
          <w:delText xml:space="preserve"> </w:delText>
        </w:r>
        <w:r w:rsidRPr="001B4A02">
          <w:delText>bylo strukturální poškození kloubů hodnoceno radiograficky</w:delText>
        </w:r>
        <w:r w:rsidR="002378E0">
          <w:delText xml:space="preserve"> a </w:delText>
        </w:r>
        <w:r w:rsidRPr="001B4A02">
          <w:delText xml:space="preserve">vyjádřeno jako změna upraveného celkového Sharpova skóre (viz tabulka </w:delText>
        </w:r>
        <w:r w:rsidR="00D76799">
          <w:delText>11</w:delText>
        </w:r>
        <w:r w:rsidRPr="001B4A02">
          <w:delText>).</w:delText>
        </w:r>
      </w:del>
    </w:p>
    <w:p w14:paraId="7D1AA03C" w14:textId="77777777" w:rsidR="00073F8F" w:rsidRPr="001B4A02" w:rsidRDefault="00073F8F" w:rsidP="00BF3683">
      <w:pPr>
        <w:ind w:left="0" w:firstLine="0"/>
        <w:rPr>
          <w:del w:id="1920" w:author="AbbVie1" w:date="2025-05-13T09:50:00Z"/>
        </w:rPr>
      </w:pPr>
    </w:p>
    <w:tbl>
      <w:tblPr>
        <w:tblW w:w="5037" w:type="pct"/>
        <w:tblInd w:w="108" w:type="dxa"/>
        <w:tblLayout w:type="fixed"/>
        <w:tblLook w:val="0000" w:firstRow="0" w:lastRow="0" w:firstColumn="0" w:lastColumn="0" w:noHBand="0" w:noVBand="0"/>
      </w:tblPr>
      <w:tblGrid>
        <w:gridCol w:w="1108"/>
        <w:gridCol w:w="1384"/>
        <w:gridCol w:w="1384"/>
        <w:gridCol w:w="1523"/>
        <w:gridCol w:w="1246"/>
        <w:gridCol w:w="1292"/>
        <w:gridCol w:w="1201"/>
      </w:tblGrid>
      <w:tr w:rsidR="00534A2D" w14:paraId="3DE2C34E" w14:textId="77777777" w:rsidTr="008D783A">
        <w:trPr>
          <w:del w:id="1921" w:author="AbbVie1" w:date="2025-05-13T09:50:00Z"/>
        </w:trPr>
        <w:tc>
          <w:tcPr>
            <w:tcW w:w="9356" w:type="dxa"/>
            <w:gridSpan w:val="7"/>
            <w:tcBorders>
              <w:bottom w:val="single" w:sz="4" w:space="0" w:color="auto"/>
            </w:tcBorders>
          </w:tcPr>
          <w:p w14:paraId="0182134A" w14:textId="77777777" w:rsidR="003F4B5B" w:rsidRPr="001B4A02" w:rsidRDefault="00000000" w:rsidP="00BF3683">
            <w:pPr>
              <w:pStyle w:val="Heading5"/>
              <w:jc w:val="center"/>
              <w:rPr>
                <w:del w:id="1922" w:author="AbbVie1" w:date="2025-05-13T09:50:00Z"/>
                <w:b/>
                <w:bCs/>
                <w:noProof w:val="0"/>
                <w:lang w:val="cs-CZ"/>
              </w:rPr>
            </w:pPr>
            <w:del w:id="1923" w:author="AbbVie1" w:date="2025-05-13T09:50:00Z">
              <w:r w:rsidRPr="001B4A02">
                <w:rPr>
                  <w:b/>
                  <w:bCs/>
                  <w:noProof w:val="0"/>
                  <w:lang w:val="cs-CZ"/>
                </w:rPr>
                <w:delText xml:space="preserve">Tabulka </w:delText>
              </w:r>
              <w:r w:rsidR="00D76799">
                <w:rPr>
                  <w:b/>
                  <w:bCs/>
                  <w:noProof w:val="0"/>
                  <w:lang w:val="cs-CZ"/>
                </w:rPr>
                <w:delText>11</w:delText>
              </w:r>
            </w:del>
          </w:p>
          <w:p w14:paraId="762AB5B4" w14:textId="77777777" w:rsidR="00073F8F" w:rsidRPr="001B4A02" w:rsidRDefault="00000000" w:rsidP="00BF3683">
            <w:pPr>
              <w:pStyle w:val="Heading5"/>
              <w:jc w:val="center"/>
              <w:rPr>
                <w:del w:id="1924" w:author="AbbVie1" w:date="2025-05-13T09:50:00Z"/>
                <w:b/>
                <w:bCs/>
                <w:noProof w:val="0"/>
                <w:lang w:val="cs-CZ"/>
              </w:rPr>
            </w:pPr>
            <w:del w:id="1925" w:author="AbbVie1" w:date="2025-05-13T09:50:00Z">
              <w:r w:rsidRPr="001B4A02">
                <w:rPr>
                  <w:b/>
                  <w:bCs/>
                  <w:noProof w:val="0"/>
                  <w:lang w:val="cs-CZ"/>
                </w:rPr>
                <w:delText>Radiografické průměrné změny v týdnu 52 ve studii RA V</w:delText>
              </w:r>
            </w:del>
          </w:p>
          <w:p w14:paraId="5F89A098" w14:textId="77777777" w:rsidR="00073F8F" w:rsidRPr="001B4A02" w:rsidRDefault="00073F8F" w:rsidP="00ED48A3">
            <w:pPr>
              <w:keepNext/>
              <w:rPr>
                <w:del w:id="1926" w:author="AbbVie1" w:date="2025-05-13T09:50:00Z"/>
              </w:rPr>
            </w:pPr>
          </w:p>
        </w:tc>
      </w:tr>
      <w:tr w:rsidR="00534A2D" w14:paraId="0EFB668F" w14:textId="77777777" w:rsidTr="008D783A">
        <w:trPr>
          <w:del w:id="1927" w:author="AbbVie1" w:date="2025-05-13T09:50:00Z"/>
        </w:trPr>
        <w:tc>
          <w:tcPr>
            <w:tcW w:w="1134" w:type="dxa"/>
            <w:tcBorders>
              <w:top w:val="single" w:sz="4" w:space="0" w:color="auto"/>
              <w:left w:val="single" w:sz="4" w:space="0" w:color="auto"/>
              <w:bottom w:val="single" w:sz="4" w:space="0" w:color="auto"/>
              <w:right w:val="single" w:sz="4" w:space="0" w:color="auto"/>
            </w:tcBorders>
            <w:vAlign w:val="center"/>
          </w:tcPr>
          <w:p w14:paraId="3F6B6A3E" w14:textId="77777777" w:rsidR="00073F8F" w:rsidRPr="001B4A02" w:rsidRDefault="00073F8F" w:rsidP="00ED48A3">
            <w:pPr>
              <w:keepNext/>
              <w:ind w:left="0" w:firstLine="0"/>
              <w:rPr>
                <w:del w:id="1928" w:author="AbbVie1" w:date="2025-05-13T09:50:00Z"/>
              </w:rPr>
            </w:pPr>
          </w:p>
        </w:tc>
        <w:tc>
          <w:tcPr>
            <w:tcW w:w="1418" w:type="dxa"/>
            <w:tcBorders>
              <w:top w:val="single" w:sz="4" w:space="0" w:color="auto"/>
              <w:left w:val="single" w:sz="4" w:space="0" w:color="auto"/>
              <w:bottom w:val="single" w:sz="4" w:space="0" w:color="auto"/>
              <w:right w:val="single" w:sz="4" w:space="0" w:color="auto"/>
            </w:tcBorders>
            <w:vAlign w:val="center"/>
          </w:tcPr>
          <w:p w14:paraId="16D79D60" w14:textId="77777777" w:rsidR="00073F8F" w:rsidRPr="001B4A02" w:rsidRDefault="00000000" w:rsidP="00ED48A3">
            <w:pPr>
              <w:keepNext/>
              <w:ind w:left="0" w:firstLine="0"/>
              <w:jc w:val="center"/>
              <w:rPr>
                <w:del w:id="1929" w:author="AbbVie1" w:date="2025-05-13T09:50:00Z"/>
              </w:rPr>
            </w:pPr>
            <w:del w:id="1930" w:author="AbbVie1" w:date="2025-05-13T09:50:00Z">
              <w:r w:rsidRPr="001B4A02">
                <w:delText>MTX</w:delText>
              </w:r>
            </w:del>
          </w:p>
          <w:p w14:paraId="68BD1EF9" w14:textId="77777777" w:rsidR="00073F8F" w:rsidRPr="001B4A02" w:rsidRDefault="00000000" w:rsidP="00ED48A3">
            <w:pPr>
              <w:keepNext/>
              <w:ind w:left="0" w:firstLine="0"/>
              <w:jc w:val="center"/>
              <w:rPr>
                <w:del w:id="1931" w:author="AbbVie1" w:date="2025-05-13T09:50:00Z"/>
              </w:rPr>
            </w:pPr>
            <w:del w:id="1932" w:author="AbbVie1" w:date="2025-05-13T09:50:00Z">
              <w:r w:rsidRPr="001B4A02">
                <w:delText>n=257</w:delText>
              </w:r>
            </w:del>
          </w:p>
          <w:p w14:paraId="3A5A3204" w14:textId="77777777" w:rsidR="00073F8F" w:rsidRPr="001B4A02" w:rsidRDefault="00000000" w:rsidP="00ED48A3">
            <w:pPr>
              <w:keepNext/>
              <w:ind w:left="0" w:firstLine="0"/>
              <w:jc w:val="center"/>
              <w:rPr>
                <w:del w:id="1933" w:author="AbbVie1" w:date="2025-05-13T09:50:00Z"/>
                <w:sz w:val="18"/>
              </w:rPr>
            </w:pPr>
            <w:del w:id="1934" w:author="AbbVie1" w:date="2025-05-13T09:50:00Z">
              <w:r w:rsidRPr="001B4A02">
                <w:rPr>
                  <w:sz w:val="18"/>
                </w:rPr>
                <w:delText>(95% interval spolehlivosti)</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313D8B16" w14:textId="77777777" w:rsidR="00073F8F" w:rsidRPr="001B4A02" w:rsidRDefault="00000000" w:rsidP="00ED48A3">
            <w:pPr>
              <w:keepNext/>
              <w:ind w:left="0" w:firstLine="0"/>
              <w:jc w:val="center"/>
              <w:rPr>
                <w:del w:id="1935" w:author="AbbVie1" w:date="2025-05-13T09:50:00Z"/>
              </w:rPr>
            </w:pPr>
            <w:del w:id="1936" w:author="AbbVie1" w:date="2025-05-13T09:50:00Z">
              <w:r w:rsidRPr="001B4A02">
                <w:delText>Humira</w:delText>
              </w:r>
            </w:del>
          </w:p>
          <w:p w14:paraId="210D9759" w14:textId="77777777" w:rsidR="00073F8F" w:rsidRPr="001B4A02" w:rsidRDefault="00000000" w:rsidP="00ED48A3">
            <w:pPr>
              <w:pStyle w:val="EMEAFigureTitle"/>
              <w:keepNext/>
              <w:jc w:val="center"/>
              <w:rPr>
                <w:del w:id="1937" w:author="AbbVie1" w:date="2025-05-13T09:50:00Z"/>
                <w:lang w:val="cs-CZ"/>
              </w:rPr>
            </w:pPr>
            <w:del w:id="1938" w:author="AbbVie1" w:date="2025-05-13T09:50:00Z">
              <w:r w:rsidRPr="001B4A02">
                <w:rPr>
                  <w:lang w:val="cs-CZ"/>
                </w:rPr>
                <w:delText>n=274</w:delText>
              </w:r>
            </w:del>
          </w:p>
          <w:p w14:paraId="2173E855" w14:textId="77777777" w:rsidR="00073F8F" w:rsidRPr="001B4A02" w:rsidRDefault="00000000" w:rsidP="00ED48A3">
            <w:pPr>
              <w:keepNext/>
              <w:ind w:left="0" w:firstLine="0"/>
              <w:jc w:val="center"/>
              <w:rPr>
                <w:del w:id="1939" w:author="AbbVie1" w:date="2025-05-13T09:50:00Z"/>
                <w:sz w:val="18"/>
              </w:rPr>
            </w:pPr>
            <w:del w:id="1940" w:author="AbbVie1" w:date="2025-05-13T09:50:00Z">
              <w:r w:rsidRPr="001B4A02">
                <w:rPr>
                  <w:sz w:val="18"/>
                </w:rPr>
                <w:delText>(95% interval spolehlivosti)</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76A4C4CA" w14:textId="77777777" w:rsidR="00073F8F" w:rsidRPr="001B4A02" w:rsidRDefault="00000000" w:rsidP="00ED48A3">
            <w:pPr>
              <w:keepNext/>
              <w:ind w:left="0" w:firstLine="0"/>
              <w:jc w:val="center"/>
              <w:rPr>
                <w:del w:id="1941" w:author="AbbVie1" w:date="2025-05-13T09:50:00Z"/>
              </w:rPr>
            </w:pPr>
            <w:del w:id="1942" w:author="AbbVie1" w:date="2025-05-13T09:50:00Z">
              <w:r w:rsidRPr="001B4A02">
                <w:delText>Humira/MTX</w:delText>
              </w:r>
            </w:del>
          </w:p>
          <w:p w14:paraId="2A1E7744" w14:textId="77777777" w:rsidR="00073F8F" w:rsidRPr="001B4A02" w:rsidRDefault="00000000" w:rsidP="00ED48A3">
            <w:pPr>
              <w:pStyle w:val="EMEAFigureTitle"/>
              <w:keepNext/>
              <w:jc w:val="center"/>
              <w:rPr>
                <w:del w:id="1943" w:author="AbbVie1" w:date="2025-05-13T09:50:00Z"/>
                <w:lang w:val="cs-CZ"/>
              </w:rPr>
            </w:pPr>
            <w:del w:id="1944" w:author="AbbVie1" w:date="2025-05-13T09:50:00Z">
              <w:r w:rsidRPr="001B4A02">
                <w:rPr>
                  <w:lang w:val="cs-CZ"/>
                </w:rPr>
                <w:delText>n=268</w:delText>
              </w:r>
            </w:del>
          </w:p>
          <w:p w14:paraId="6DD2252C" w14:textId="77777777" w:rsidR="00073F8F" w:rsidRPr="001B4A02" w:rsidRDefault="00000000" w:rsidP="00ED48A3">
            <w:pPr>
              <w:pStyle w:val="EMEANormal"/>
              <w:keepNext/>
              <w:jc w:val="center"/>
              <w:rPr>
                <w:del w:id="1945" w:author="AbbVie1" w:date="2025-05-13T09:50:00Z"/>
                <w:sz w:val="18"/>
                <w:lang w:val="cs-CZ"/>
              </w:rPr>
            </w:pPr>
            <w:del w:id="1946" w:author="AbbVie1" w:date="2025-05-13T09:50:00Z">
              <w:r w:rsidRPr="001B4A02">
                <w:rPr>
                  <w:sz w:val="18"/>
                  <w:lang w:val="cs-CZ"/>
                </w:rPr>
                <w:delText>(95% interval spolehlivosti)</w:delText>
              </w:r>
            </w:del>
          </w:p>
        </w:tc>
        <w:tc>
          <w:tcPr>
            <w:tcW w:w="1275" w:type="dxa"/>
            <w:tcBorders>
              <w:top w:val="single" w:sz="4" w:space="0" w:color="auto"/>
              <w:left w:val="single" w:sz="4" w:space="0" w:color="auto"/>
              <w:bottom w:val="single" w:sz="4" w:space="0" w:color="auto"/>
              <w:right w:val="single" w:sz="4" w:space="0" w:color="auto"/>
            </w:tcBorders>
            <w:vAlign w:val="center"/>
          </w:tcPr>
          <w:p w14:paraId="31E8EF0A" w14:textId="77777777" w:rsidR="00073F8F" w:rsidRPr="001B4A02" w:rsidRDefault="00000000" w:rsidP="00ED48A3">
            <w:pPr>
              <w:pStyle w:val="EMEANormal"/>
              <w:keepNext/>
              <w:jc w:val="center"/>
              <w:rPr>
                <w:del w:id="1947" w:author="AbbVie1" w:date="2025-05-13T09:50:00Z"/>
                <w:lang w:val="cs-CZ"/>
              </w:rPr>
            </w:pPr>
            <w:del w:id="1948" w:author="AbbVie1" w:date="2025-05-13T09:50:00Z">
              <w:r w:rsidRPr="001B4A02">
                <w:rPr>
                  <w:lang w:val="cs-CZ"/>
                </w:rPr>
                <w:delText>Hodnota p</w:delText>
              </w:r>
              <w:r w:rsidRPr="001B4A02">
                <w:rPr>
                  <w:vertAlign w:val="superscript"/>
                  <w:lang w:val="cs-CZ"/>
                </w:rPr>
                <w:delText>a</w:delText>
              </w:r>
            </w:del>
          </w:p>
        </w:tc>
        <w:tc>
          <w:tcPr>
            <w:tcW w:w="1323" w:type="dxa"/>
            <w:tcBorders>
              <w:top w:val="single" w:sz="4" w:space="0" w:color="auto"/>
              <w:left w:val="single" w:sz="4" w:space="0" w:color="auto"/>
              <w:bottom w:val="single" w:sz="4" w:space="0" w:color="auto"/>
              <w:right w:val="single" w:sz="4" w:space="0" w:color="auto"/>
            </w:tcBorders>
            <w:vAlign w:val="center"/>
          </w:tcPr>
          <w:p w14:paraId="50271565" w14:textId="77777777" w:rsidR="00073F8F" w:rsidRPr="001B4A02" w:rsidRDefault="00000000" w:rsidP="00ED48A3">
            <w:pPr>
              <w:keepNext/>
              <w:ind w:left="0" w:firstLine="0"/>
              <w:jc w:val="center"/>
              <w:rPr>
                <w:del w:id="1949" w:author="AbbVie1" w:date="2025-05-13T09:50:00Z"/>
              </w:rPr>
            </w:pPr>
            <w:del w:id="1950" w:author="AbbVie1" w:date="2025-05-13T09:50:00Z">
              <w:r w:rsidRPr="001B4A02">
                <w:delText>Hodnota</w:delText>
              </w:r>
              <w:r w:rsidR="00B15A56" w:rsidRPr="001B4A02">
                <w:delText xml:space="preserve"> </w:delText>
              </w:r>
              <w:r w:rsidRPr="001B4A02">
                <w:delText>p</w:delText>
              </w:r>
              <w:r w:rsidRPr="001B4A02">
                <w:rPr>
                  <w:vertAlign w:val="superscript"/>
                </w:rPr>
                <w:delText>b</w:delText>
              </w:r>
            </w:del>
          </w:p>
        </w:tc>
        <w:tc>
          <w:tcPr>
            <w:tcW w:w="1229" w:type="dxa"/>
            <w:tcBorders>
              <w:top w:val="single" w:sz="4" w:space="0" w:color="auto"/>
              <w:left w:val="single" w:sz="4" w:space="0" w:color="auto"/>
              <w:bottom w:val="single" w:sz="4" w:space="0" w:color="auto"/>
              <w:right w:val="single" w:sz="4" w:space="0" w:color="auto"/>
            </w:tcBorders>
            <w:vAlign w:val="center"/>
          </w:tcPr>
          <w:p w14:paraId="066C9777" w14:textId="77777777" w:rsidR="00073F8F" w:rsidRPr="001B4A02" w:rsidRDefault="00000000" w:rsidP="00ED48A3">
            <w:pPr>
              <w:keepNext/>
              <w:ind w:left="0" w:firstLine="0"/>
              <w:jc w:val="center"/>
              <w:rPr>
                <w:del w:id="1951" w:author="AbbVie1" w:date="2025-05-13T09:50:00Z"/>
              </w:rPr>
            </w:pPr>
            <w:del w:id="1952" w:author="AbbVie1" w:date="2025-05-13T09:50:00Z">
              <w:r w:rsidRPr="001B4A02">
                <w:delText>Hodnota</w:delText>
              </w:r>
              <w:r w:rsidR="00B15A56" w:rsidRPr="001B4A02">
                <w:delText xml:space="preserve"> </w:delText>
              </w:r>
              <w:r w:rsidRPr="001B4A02">
                <w:delText>p</w:delText>
              </w:r>
              <w:r w:rsidRPr="001B4A02">
                <w:rPr>
                  <w:vertAlign w:val="superscript"/>
                </w:rPr>
                <w:delText>c</w:delText>
              </w:r>
            </w:del>
          </w:p>
        </w:tc>
      </w:tr>
      <w:tr w:rsidR="00534A2D" w14:paraId="363DFC50" w14:textId="77777777" w:rsidTr="008D783A">
        <w:trPr>
          <w:del w:id="1953" w:author="AbbVie1" w:date="2025-05-13T09:50:00Z"/>
        </w:trPr>
        <w:tc>
          <w:tcPr>
            <w:tcW w:w="1134" w:type="dxa"/>
            <w:tcBorders>
              <w:top w:val="single" w:sz="4" w:space="0" w:color="auto"/>
              <w:left w:val="single" w:sz="4" w:space="0" w:color="auto"/>
              <w:bottom w:val="single" w:sz="4" w:space="0" w:color="auto"/>
              <w:right w:val="single" w:sz="4" w:space="0" w:color="auto"/>
            </w:tcBorders>
          </w:tcPr>
          <w:p w14:paraId="5D9A2383" w14:textId="77777777" w:rsidR="00073F8F" w:rsidRPr="001B4A02" w:rsidRDefault="00000000" w:rsidP="00ED48A3">
            <w:pPr>
              <w:pStyle w:val="EMEAFigureTitle"/>
              <w:keepNext/>
              <w:rPr>
                <w:del w:id="1954" w:author="AbbVie1" w:date="2025-05-13T09:50:00Z"/>
                <w:szCs w:val="24"/>
                <w:lang w:val="cs-CZ"/>
              </w:rPr>
            </w:pPr>
            <w:del w:id="1955" w:author="AbbVie1" w:date="2025-05-13T09:50:00Z">
              <w:r w:rsidRPr="001B4A02">
                <w:rPr>
                  <w:szCs w:val="24"/>
                  <w:lang w:val="cs-CZ"/>
                </w:rPr>
                <w:delText>Celkové Sharpovo skóre</w:delText>
              </w:r>
            </w:del>
          </w:p>
        </w:tc>
        <w:tc>
          <w:tcPr>
            <w:tcW w:w="1418" w:type="dxa"/>
            <w:tcBorders>
              <w:top w:val="single" w:sz="4" w:space="0" w:color="auto"/>
              <w:left w:val="single" w:sz="4" w:space="0" w:color="auto"/>
              <w:bottom w:val="single" w:sz="4" w:space="0" w:color="auto"/>
              <w:right w:val="single" w:sz="4" w:space="0" w:color="auto"/>
            </w:tcBorders>
          </w:tcPr>
          <w:p w14:paraId="7D512ED4" w14:textId="77777777" w:rsidR="00073F8F" w:rsidRPr="001B4A02" w:rsidRDefault="00000000" w:rsidP="00ED48A3">
            <w:pPr>
              <w:keepNext/>
              <w:ind w:left="0" w:firstLine="0"/>
              <w:jc w:val="center"/>
              <w:rPr>
                <w:del w:id="1956" w:author="AbbVie1" w:date="2025-05-13T09:50:00Z"/>
              </w:rPr>
            </w:pPr>
            <w:del w:id="1957" w:author="AbbVie1" w:date="2025-05-13T09:50:00Z">
              <w:r w:rsidRPr="001B4A02">
                <w:delText>5,7 (4,2</w:delText>
              </w:r>
              <w:r w:rsidR="0010616A" w:rsidRPr="001B4A02">
                <w:delText>–</w:delText>
              </w:r>
              <w:r w:rsidRPr="001B4A02">
                <w:delText>7,3)</w:delText>
              </w:r>
            </w:del>
          </w:p>
        </w:tc>
        <w:tc>
          <w:tcPr>
            <w:tcW w:w="1417" w:type="dxa"/>
            <w:tcBorders>
              <w:top w:val="single" w:sz="4" w:space="0" w:color="auto"/>
              <w:left w:val="single" w:sz="4" w:space="0" w:color="auto"/>
              <w:bottom w:val="single" w:sz="4" w:space="0" w:color="auto"/>
              <w:right w:val="single" w:sz="4" w:space="0" w:color="auto"/>
            </w:tcBorders>
          </w:tcPr>
          <w:p w14:paraId="2E7E7DD8" w14:textId="77777777" w:rsidR="00073F8F" w:rsidRPr="001B4A02" w:rsidRDefault="00000000" w:rsidP="00ED48A3">
            <w:pPr>
              <w:pStyle w:val="EndnoteText"/>
              <w:keepNext/>
              <w:ind w:left="0" w:firstLine="0"/>
              <w:jc w:val="center"/>
              <w:rPr>
                <w:del w:id="1958" w:author="AbbVie1" w:date="2025-05-13T09:50:00Z"/>
                <w:lang w:val="cs-CZ"/>
              </w:rPr>
            </w:pPr>
            <w:del w:id="1959" w:author="AbbVie1" w:date="2025-05-13T09:50:00Z">
              <w:r w:rsidRPr="001B4A02">
                <w:rPr>
                  <w:lang w:val="cs-CZ"/>
                </w:rPr>
                <w:delText>3,0 (1,7</w:delText>
              </w:r>
              <w:r w:rsidR="0010616A" w:rsidRPr="001B4A02">
                <w:rPr>
                  <w:lang w:val="cs-CZ"/>
                </w:rPr>
                <w:delText>–</w:delText>
              </w:r>
              <w:r w:rsidRPr="001B4A02">
                <w:rPr>
                  <w:lang w:val="cs-CZ"/>
                </w:rPr>
                <w:delText>4,3)</w:delText>
              </w:r>
            </w:del>
          </w:p>
        </w:tc>
        <w:tc>
          <w:tcPr>
            <w:tcW w:w="1560" w:type="dxa"/>
            <w:tcBorders>
              <w:top w:val="single" w:sz="4" w:space="0" w:color="auto"/>
              <w:left w:val="single" w:sz="4" w:space="0" w:color="auto"/>
              <w:bottom w:val="single" w:sz="4" w:space="0" w:color="auto"/>
              <w:right w:val="single" w:sz="4" w:space="0" w:color="auto"/>
            </w:tcBorders>
          </w:tcPr>
          <w:p w14:paraId="45AE80A4" w14:textId="77777777" w:rsidR="00073F8F" w:rsidRPr="001B4A02" w:rsidRDefault="00000000" w:rsidP="00ED48A3">
            <w:pPr>
              <w:pStyle w:val="EndnoteText"/>
              <w:keepNext/>
              <w:ind w:left="0" w:firstLine="0"/>
              <w:jc w:val="center"/>
              <w:rPr>
                <w:del w:id="1960" w:author="AbbVie1" w:date="2025-05-13T09:50:00Z"/>
                <w:lang w:val="cs-CZ"/>
              </w:rPr>
            </w:pPr>
            <w:del w:id="1961" w:author="AbbVie1" w:date="2025-05-13T09:50:00Z">
              <w:r w:rsidRPr="001B4A02">
                <w:rPr>
                  <w:lang w:val="cs-CZ"/>
                </w:rPr>
                <w:delText>1,3 (0,5</w:delText>
              </w:r>
              <w:r w:rsidR="0010616A" w:rsidRPr="001B4A02">
                <w:rPr>
                  <w:lang w:val="cs-CZ"/>
                </w:rPr>
                <w:delText>–</w:delText>
              </w:r>
              <w:r w:rsidRPr="001B4A02">
                <w:rPr>
                  <w:lang w:val="cs-CZ"/>
                </w:rPr>
                <w:delText>2,1)</w:delText>
              </w:r>
            </w:del>
          </w:p>
        </w:tc>
        <w:tc>
          <w:tcPr>
            <w:tcW w:w="1275" w:type="dxa"/>
            <w:tcBorders>
              <w:top w:val="single" w:sz="4" w:space="0" w:color="auto"/>
              <w:left w:val="single" w:sz="4" w:space="0" w:color="auto"/>
              <w:bottom w:val="single" w:sz="4" w:space="0" w:color="auto"/>
              <w:right w:val="single" w:sz="4" w:space="0" w:color="auto"/>
            </w:tcBorders>
          </w:tcPr>
          <w:p w14:paraId="5289DDC2" w14:textId="77777777" w:rsidR="00073F8F" w:rsidRPr="001B4A02" w:rsidRDefault="00000000" w:rsidP="00ED48A3">
            <w:pPr>
              <w:pStyle w:val="EndnoteText"/>
              <w:keepNext/>
              <w:ind w:left="0" w:firstLine="0"/>
              <w:jc w:val="center"/>
              <w:rPr>
                <w:del w:id="1962" w:author="AbbVie1" w:date="2025-05-13T09:50:00Z"/>
                <w:lang w:val="cs-CZ"/>
              </w:rPr>
            </w:pPr>
            <w:del w:id="1963" w:author="AbbVie1" w:date="2025-05-13T09:50:00Z">
              <w:r w:rsidRPr="001B4A02">
                <w:rPr>
                  <w:lang w:val="cs-CZ"/>
                </w:rPr>
                <w:delText>&lt;0,001</w:delText>
              </w:r>
            </w:del>
          </w:p>
        </w:tc>
        <w:tc>
          <w:tcPr>
            <w:tcW w:w="1323" w:type="dxa"/>
            <w:tcBorders>
              <w:top w:val="single" w:sz="4" w:space="0" w:color="auto"/>
              <w:left w:val="single" w:sz="4" w:space="0" w:color="auto"/>
              <w:bottom w:val="single" w:sz="4" w:space="0" w:color="auto"/>
              <w:right w:val="single" w:sz="4" w:space="0" w:color="auto"/>
            </w:tcBorders>
          </w:tcPr>
          <w:p w14:paraId="0E0D2E93" w14:textId="77777777" w:rsidR="00073F8F" w:rsidRPr="001B4A02" w:rsidRDefault="00000000" w:rsidP="00ED48A3">
            <w:pPr>
              <w:keepNext/>
              <w:ind w:left="0" w:firstLine="0"/>
              <w:jc w:val="center"/>
              <w:rPr>
                <w:del w:id="1964" w:author="AbbVie1" w:date="2025-05-13T09:50:00Z"/>
              </w:rPr>
            </w:pPr>
            <w:del w:id="1965" w:author="AbbVie1" w:date="2025-05-13T09:50:00Z">
              <w:r w:rsidRPr="001B4A02">
                <w:delText>0,0020</w:delText>
              </w:r>
            </w:del>
          </w:p>
        </w:tc>
        <w:tc>
          <w:tcPr>
            <w:tcW w:w="1229" w:type="dxa"/>
            <w:tcBorders>
              <w:top w:val="single" w:sz="4" w:space="0" w:color="auto"/>
              <w:left w:val="single" w:sz="4" w:space="0" w:color="auto"/>
              <w:bottom w:val="single" w:sz="4" w:space="0" w:color="auto"/>
              <w:right w:val="single" w:sz="4" w:space="0" w:color="auto"/>
            </w:tcBorders>
          </w:tcPr>
          <w:p w14:paraId="2AC081BD" w14:textId="77777777" w:rsidR="00073F8F" w:rsidRPr="001B4A02" w:rsidRDefault="00000000" w:rsidP="00ED48A3">
            <w:pPr>
              <w:keepNext/>
              <w:ind w:left="0" w:firstLine="0"/>
              <w:jc w:val="center"/>
              <w:rPr>
                <w:del w:id="1966" w:author="AbbVie1" w:date="2025-05-13T09:50:00Z"/>
              </w:rPr>
            </w:pPr>
            <w:del w:id="1967" w:author="AbbVie1" w:date="2025-05-13T09:50:00Z">
              <w:r w:rsidRPr="001B4A02">
                <w:delText>&lt;0,001</w:delText>
              </w:r>
            </w:del>
          </w:p>
        </w:tc>
      </w:tr>
      <w:tr w:rsidR="00534A2D" w14:paraId="6D842F5B" w14:textId="77777777" w:rsidTr="008D783A">
        <w:trPr>
          <w:del w:id="1968" w:author="AbbVie1" w:date="2025-05-13T09:50:00Z"/>
        </w:trPr>
        <w:tc>
          <w:tcPr>
            <w:tcW w:w="1134" w:type="dxa"/>
            <w:tcBorders>
              <w:top w:val="single" w:sz="4" w:space="0" w:color="auto"/>
              <w:left w:val="single" w:sz="4" w:space="0" w:color="auto"/>
              <w:bottom w:val="single" w:sz="4" w:space="0" w:color="auto"/>
              <w:right w:val="single" w:sz="4" w:space="0" w:color="auto"/>
            </w:tcBorders>
          </w:tcPr>
          <w:p w14:paraId="03055BF0" w14:textId="77777777" w:rsidR="00073F8F" w:rsidRPr="001B4A02" w:rsidRDefault="00000000" w:rsidP="00ED48A3">
            <w:pPr>
              <w:keepNext/>
              <w:ind w:left="0" w:firstLine="0"/>
              <w:rPr>
                <w:del w:id="1969" w:author="AbbVie1" w:date="2025-05-13T09:50:00Z"/>
              </w:rPr>
            </w:pPr>
            <w:del w:id="1970" w:author="AbbVie1" w:date="2025-05-13T09:50:00Z">
              <w:r w:rsidRPr="001B4A02">
                <w:delText>Skóre eroze</w:delText>
              </w:r>
            </w:del>
          </w:p>
        </w:tc>
        <w:tc>
          <w:tcPr>
            <w:tcW w:w="1418" w:type="dxa"/>
            <w:tcBorders>
              <w:top w:val="single" w:sz="4" w:space="0" w:color="auto"/>
              <w:left w:val="single" w:sz="4" w:space="0" w:color="auto"/>
              <w:bottom w:val="single" w:sz="4" w:space="0" w:color="auto"/>
              <w:right w:val="single" w:sz="4" w:space="0" w:color="auto"/>
            </w:tcBorders>
          </w:tcPr>
          <w:p w14:paraId="7FA4B59D" w14:textId="77777777" w:rsidR="00073F8F" w:rsidRPr="001B4A02" w:rsidRDefault="00000000" w:rsidP="00ED48A3">
            <w:pPr>
              <w:keepNext/>
              <w:ind w:left="0" w:firstLine="0"/>
              <w:jc w:val="center"/>
              <w:rPr>
                <w:del w:id="1971" w:author="AbbVie1" w:date="2025-05-13T09:50:00Z"/>
              </w:rPr>
            </w:pPr>
            <w:del w:id="1972" w:author="AbbVie1" w:date="2025-05-13T09:50:00Z">
              <w:r w:rsidRPr="001B4A02">
                <w:delText>3,7 (2,7</w:delText>
              </w:r>
              <w:r w:rsidR="000E3459" w:rsidRPr="001B4A02">
                <w:delText>–</w:delText>
              </w:r>
              <w:r w:rsidRPr="001B4A02">
                <w:delText>4,7)</w:delText>
              </w:r>
            </w:del>
          </w:p>
        </w:tc>
        <w:tc>
          <w:tcPr>
            <w:tcW w:w="1417" w:type="dxa"/>
            <w:tcBorders>
              <w:top w:val="single" w:sz="4" w:space="0" w:color="auto"/>
              <w:left w:val="single" w:sz="4" w:space="0" w:color="auto"/>
              <w:bottom w:val="single" w:sz="4" w:space="0" w:color="auto"/>
              <w:right w:val="single" w:sz="4" w:space="0" w:color="auto"/>
            </w:tcBorders>
          </w:tcPr>
          <w:p w14:paraId="6CD8476A" w14:textId="77777777" w:rsidR="00073F8F" w:rsidRPr="001B4A02" w:rsidRDefault="00000000" w:rsidP="00ED48A3">
            <w:pPr>
              <w:keepNext/>
              <w:ind w:left="0" w:firstLine="0"/>
              <w:jc w:val="center"/>
              <w:rPr>
                <w:del w:id="1973" w:author="AbbVie1" w:date="2025-05-13T09:50:00Z"/>
              </w:rPr>
            </w:pPr>
            <w:del w:id="1974" w:author="AbbVie1" w:date="2025-05-13T09:50:00Z">
              <w:r w:rsidRPr="001B4A02">
                <w:delText>1,7 (1,0</w:delText>
              </w:r>
              <w:r w:rsidR="000E3459" w:rsidRPr="001B4A02">
                <w:delText>–</w:delText>
              </w:r>
              <w:r w:rsidRPr="001B4A02">
                <w:delText>2,4)</w:delText>
              </w:r>
            </w:del>
          </w:p>
        </w:tc>
        <w:tc>
          <w:tcPr>
            <w:tcW w:w="1560" w:type="dxa"/>
            <w:tcBorders>
              <w:top w:val="single" w:sz="4" w:space="0" w:color="auto"/>
              <w:left w:val="single" w:sz="4" w:space="0" w:color="auto"/>
              <w:bottom w:val="single" w:sz="4" w:space="0" w:color="auto"/>
              <w:right w:val="single" w:sz="4" w:space="0" w:color="auto"/>
            </w:tcBorders>
          </w:tcPr>
          <w:p w14:paraId="40389655" w14:textId="77777777" w:rsidR="00073F8F" w:rsidRPr="001B4A02" w:rsidRDefault="00000000" w:rsidP="00ED48A3">
            <w:pPr>
              <w:keepNext/>
              <w:ind w:left="0" w:firstLine="0"/>
              <w:jc w:val="center"/>
              <w:rPr>
                <w:del w:id="1975" w:author="AbbVie1" w:date="2025-05-13T09:50:00Z"/>
              </w:rPr>
            </w:pPr>
            <w:del w:id="1976" w:author="AbbVie1" w:date="2025-05-13T09:50:00Z">
              <w:r w:rsidRPr="001B4A02">
                <w:delText>0,8 (0,4</w:delText>
              </w:r>
              <w:r w:rsidR="000E3459" w:rsidRPr="001B4A02">
                <w:delText>–</w:delText>
              </w:r>
              <w:r w:rsidRPr="001B4A02">
                <w:delText>1,2)</w:delText>
              </w:r>
            </w:del>
          </w:p>
        </w:tc>
        <w:tc>
          <w:tcPr>
            <w:tcW w:w="1275" w:type="dxa"/>
            <w:tcBorders>
              <w:top w:val="single" w:sz="4" w:space="0" w:color="auto"/>
              <w:left w:val="single" w:sz="4" w:space="0" w:color="auto"/>
              <w:bottom w:val="single" w:sz="4" w:space="0" w:color="auto"/>
              <w:right w:val="single" w:sz="4" w:space="0" w:color="auto"/>
            </w:tcBorders>
          </w:tcPr>
          <w:p w14:paraId="55EC1936" w14:textId="77777777" w:rsidR="00073F8F" w:rsidRPr="001B4A02" w:rsidRDefault="00000000" w:rsidP="00ED48A3">
            <w:pPr>
              <w:keepNext/>
              <w:ind w:left="0" w:firstLine="0"/>
              <w:jc w:val="center"/>
              <w:rPr>
                <w:del w:id="1977" w:author="AbbVie1" w:date="2025-05-13T09:50:00Z"/>
              </w:rPr>
            </w:pPr>
            <w:del w:id="1978" w:author="AbbVie1" w:date="2025-05-13T09:50:00Z">
              <w:r w:rsidRPr="001B4A02">
                <w:delText>&lt;0,001</w:delText>
              </w:r>
            </w:del>
          </w:p>
        </w:tc>
        <w:tc>
          <w:tcPr>
            <w:tcW w:w="1323" w:type="dxa"/>
            <w:tcBorders>
              <w:top w:val="single" w:sz="4" w:space="0" w:color="auto"/>
              <w:left w:val="single" w:sz="4" w:space="0" w:color="auto"/>
              <w:bottom w:val="single" w:sz="4" w:space="0" w:color="auto"/>
              <w:right w:val="single" w:sz="4" w:space="0" w:color="auto"/>
            </w:tcBorders>
          </w:tcPr>
          <w:p w14:paraId="5D9020C1" w14:textId="77777777" w:rsidR="00073F8F" w:rsidRPr="001B4A02" w:rsidRDefault="00000000" w:rsidP="00ED48A3">
            <w:pPr>
              <w:keepNext/>
              <w:ind w:left="0" w:firstLine="0"/>
              <w:jc w:val="center"/>
              <w:rPr>
                <w:del w:id="1979" w:author="AbbVie1" w:date="2025-05-13T09:50:00Z"/>
              </w:rPr>
            </w:pPr>
            <w:del w:id="1980" w:author="AbbVie1" w:date="2025-05-13T09:50:00Z">
              <w:r w:rsidRPr="001B4A02">
                <w:delText>0,0082</w:delText>
              </w:r>
            </w:del>
          </w:p>
        </w:tc>
        <w:tc>
          <w:tcPr>
            <w:tcW w:w="1229" w:type="dxa"/>
            <w:tcBorders>
              <w:top w:val="single" w:sz="4" w:space="0" w:color="auto"/>
              <w:left w:val="single" w:sz="4" w:space="0" w:color="auto"/>
              <w:bottom w:val="single" w:sz="4" w:space="0" w:color="auto"/>
              <w:right w:val="single" w:sz="4" w:space="0" w:color="auto"/>
            </w:tcBorders>
          </w:tcPr>
          <w:p w14:paraId="7D457AC7" w14:textId="77777777" w:rsidR="00073F8F" w:rsidRPr="001B4A02" w:rsidRDefault="00000000" w:rsidP="00ED48A3">
            <w:pPr>
              <w:keepNext/>
              <w:ind w:left="0" w:firstLine="0"/>
              <w:jc w:val="center"/>
              <w:rPr>
                <w:del w:id="1981" w:author="AbbVie1" w:date="2025-05-13T09:50:00Z"/>
              </w:rPr>
            </w:pPr>
            <w:del w:id="1982" w:author="AbbVie1" w:date="2025-05-13T09:50:00Z">
              <w:r w:rsidRPr="001B4A02">
                <w:delText>&lt;0,001</w:delText>
              </w:r>
            </w:del>
          </w:p>
        </w:tc>
      </w:tr>
      <w:tr w:rsidR="00534A2D" w14:paraId="0843EE76" w14:textId="77777777" w:rsidTr="008D783A">
        <w:trPr>
          <w:del w:id="1983" w:author="AbbVie1" w:date="2025-05-13T09:50:00Z"/>
        </w:trPr>
        <w:tc>
          <w:tcPr>
            <w:tcW w:w="1134" w:type="dxa"/>
            <w:tcBorders>
              <w:top w:val="single" w:sz="4" w:space="0" w:color="auto"/>
              <w:left w:val="single" w:sz="4" w:space="0" w:color="auto"/>
              <w:bottom w:val="single" w:sz="4" w:space="0" w:color="auto"/>
              <w:right w:val="single" w:sz="4" w:space="0" w:color="auto"/>
            </w:tcBorders>
          </w:tcPr>
          <w:p w14:paraId="0319BB0F" w14:textId="77777777" w:rsidR="00073F8F" w:rsidRPr="001B4A02" w:rsidRDefault="00000000" w:rsidP="00ED48A3">
            <w:pPr>
              <w:keepNext/>
              <w:ind w:left="0" w:firstLine="0"/>
              <w:rPr>
                <w:del w:id="1984" w:author="AbbVie1" w:date="2025-05-13T09:50:00Z"/>
              </w:rPr>
            </w:pPr>
            <w:del w:id="1985" w:author="AbbVie1" w:date="2025-05-13T09:50:00Z">
              <w:r w:rsidRPr="001B4A02">
                <w:delText>JSN skóre</w:delText>
              </w:r>
            </w:del>
          </w:p>
        </w:tc>
        <w:tc>
          <w:tcPr>
            <w:tcW w:w="1418" w:type="dxa"/>
            <w:tcBorders>
              <w:top w:val="single" w:sz="4" w:space="0" w:color="auto"/>
              <w:left w:val="single" w:sz="4" w:space="0" w:color="auto"/>
              <w:bottom w:val="single" w:sz="4" w:space="0" w:color="auto"/>
              <w:right w:val="single" w:sz="4" w:space="0" w:color="auto"/>
            </w:tcBorders>
          </w:tcPr>
          <w:p w14:paraId="0D29F1D0" w14:textId="77777777" w:rsidR="00073F8F" w:rsidRPr="001B4A02" w:rsidRDefault="00000000" w:rsidP="00ED48A3">
            <w:pPr>
              <w:keepNext/>
              <w:ind w:left="0" w:firstLine="0"/>
              <w:jc w:val="center"/>
              <w:rPr>
                <w:del w:id="1986" w:author="AbbVie1" w:date="2025-05-13T09:50:00Z"/>
              </w:rPr>
            </w:pPr>
            <w:del w:id="1987" w:author="AbbVie1" w:date="2025-05-13T09:50:00Z">
              <w:r w:rsidRPr="001B4A02">
                <w:delText>2,0 (1,2</w:delText>
              </w:r>
              <w:r w:rsidR="000E3459" w:rsidRPr="001B4A02">
                <w:delText>–</w:delText>
              </w:r>
              <w:r w:rsidRPr="001B4A02">
                <w:delText>2,8)</w:delText>
              </w:r>
            </w:del>
          </w:p>
        </w:tc>
        <w:tc>
          <w:tcPr>
            <w:tcW w:w="1417" w:type="dxa"/>
            <w:tcBorders>
              <w:top w:val="single" w:sz="4" w:space="0" w:color="auto"/>
              <w:left w:val="single" w:sz="4" w:space="0" w:color="auto"/>
              <w:bottom w:val="single" w:sz="4" w:space="0" w:color="auto"/>
              <w:right w:val="single" w:sz="4" w:space="0" w:color="auto"/>
            </w:tcBorders>
          </w:tcPr>
          <w:p w14:paraId="1D2E775B" w14:textId="77777777" w:rsidR="00073F8F" w:rsidRPr="001B4A02" w:rsidRDefault="00000000" w:rsidP="00ED48A3">
            <w:pPr>
              <w:keepNext/>
              <w:ind w:left="0" w:firstLine="0"/>
              <w:jc w:val="center"/>
              <w:rPr>
                <w:del w:id="1988" w:author="AbbVie1" w:date="2025-05-13T09:50:00Z"/>
              </w:rPr>
            </w:pPr>
            <w:del w:id="1989" w:author="AbbVie1" w:date="2025-05-13T09:50:00Z">
              <w:r w:rsidRPr="001B4A02">
                <w:delText>1,3 (0,5</w:delText>
              </w:r>
              <w:r w:rsidR="000E3459" w:rsidRPr="001B4A02">
                <w:delText>–</w:delText>
              </w:r>
              <w:r w:rsidRPr="001B4A02">
                <w:delText>2,1)</w:delText>
              </w:r>
            </w:del>
          </w:p>
        </w:tc>
        <w:tc>
          <w:tcPr>
            <w:tcW w:w="1560" w:type="dxa"/>
            <w:tcBorders>
              <w:top w:val="single" w:sz="4" w:space="0" w:color="auto"/>
              <w:left w:val="single" w:sz="4" w:space="0" w:color="auto"/>
              <w:bottom w:val="single" w:sz="4" w:space="0" w:color="auto"/>
              <w:right w:val="single" w:sz="4" w:space="0" w:color="auto"/>
            </w:tcBorders>
          </w:tcPr>
          <w:p w14:paraId="1AA5B0C6" w14:textId="77777777" w:rsidR="00073F8F" w:rsidRPr="001B4A02" w:rsidRDefault="00000000" w:rsidP="00ED48A3">
            <w:pPr>
              <w:keepNext/>
              <w:ind w:left="0" w:firstLine="0"/>
              <w:jc w:val="center"/>
              <w:rPr>
                <w:del w:id="1990" w:author="AbbVie1" w:date="2025-05-13T09:50:00Z"/>
              </w:rPr>
            </w:pPr>
            <w:del w:id="1991" w:author="AbbVie1" w:date="2025-05-13T09:50:00Z">
              <w:r w:rsidRPr="001B4A02">
                <w:delText>0,5 (0</w:delText>
              </w:r>
              <w:r w:rsidR="000E3459" w:rsidRPr="001B4A02">
                <w:delText>–</w:delText>
              </w:r>
              <w:r w:rsidRPr="001B4A02">
                <w:delText>1,0)</w:delText>
              </w:r>
            </w:del>
          </w:p>
        </w:tc>
        <w:tc>
          <w:tcPr>
            <w:tcW w:w="1275" w:type="dxa"/>
            <w:tcBorders>
              <w:top w:val="single" w:sz="4" w:space="0" w:color="auto"/>
              <w:left w:val="single" w:sz="4" w:space="0" w:color="auto"/>
              <w:bottom w:val="single" w:sz="4" w:space="0" w:color="auto"/>
              <w:right w:val="single" w:sz="4" w:space="0" w:color="auto"/>
            </w:tcBorders>
          </w:tcPr>
          <w:p w14:paraId="617B5489" w14:textId="77777777" w:rsidR="00073F8F" w:rsidRPr="001B4A02" w:rsidRDefault="00000000" w:rsidP="00ED48A3">
            <w:pPr>
              <w:keepNext/>
              <w:ind w:left="0" w:firstLine="0"/>
              <w:jc w:val="center"/>
              <w:rPr>
                <w:del w:id="1992" w:author="AbbVie1" w:date="2025-05-13T09:50:00Z"/>
              </w:rPr>
            </w:pPr>
            <w:del w:id="1993" w:author="AbbVie1" w:date="2025-05-13T09:50:00Z">
              <w:r w:rsidRPr="001B4A02">
                <w:delText>&lt;0,001</w:delText>
              </w:r>
            </w:del>
          </w:p>
        </w:tc>
        <w:tc>
          <w:tcPr>
            <w:tcW w:w="1323" w:type="dxa"/>
            <w:tcBorders>
              <w:top w:val="single" w:sz="4" w:space="0" w:color="auto"/>
              <w:left w:val="single" w:sz="4" w:space="0" w:color="auto"/>
              <w:bottom w:val="single" w:sz="4" w:space="0" w:color="auto"/>
              <w:right w:val="single" w:sz="4" w:space="0" w:color="auto"/>
            </w:tcBorders>
          </w:tcPr>
          <w:p w14:paraId="53670198" w14:textId="77777777" w:rsidR="00073F8F" w:rsidRPr="001B4A02" w:rsidRDefault="00000000" w:rsidP="00ED48A3">
            <w:pPr>
              <w:keepNext/>
              <w:ind w:left="0" w:firstLine="0"/>
              <w:jc w:val="center"/>
              <w:rPr>
                <w:del w:id="1994" w:author="AbbVie1" w:date="2025-05-13T09:50:00Z"/>
              </w:rPr>
            </w:pPr>
            <w:del w:id="1995" w:author="AbbVie1" w:date="2025-05-13T09:50:00Z">
              <w:r w:rsidRPr="001B4A02">
                <w:delText>0,0037</w:delText>
              </w:r>
            </w:del>
          </w:p>
        </w:tc>
        <w:tc>
          <w:tcPr>
            <w:tcW w:w="1229" w:type="dxa"/>
            <w:tcBorders>
              <w:top w:val="single" w:sz="4" w:space="0" w:color="auto"/>
              <w:left w:val="single" w:sz="4" w:space="0" w:color="auto"/>
              <w:bottom w:val="single" w:sz="4" w:space="0" w:color="auto"/>
              <w:right w:val="single" w:sz="4" w:space="0" w:color="auto"/>
            </w:tcBorders>
          </w:tcPr>
          <w:p w14:paraId="31B50314" w14:textId="77777777" w:rsidR="00073F8F" w:rsidRPr="001B4A02" w:rsidRDefault="00000000" w:rsidP="00ED48A3">
            <w:pPr>
              <w:keepNext/>
              <w:ind w:left="0" w:firstLine="0"/>
              <w:jc w:val="center"/>
              <w:rPr>
                <w:del w:id="1996" w:author="AbbVie1" w:date="2025-05-13T09:50:00Z"/>
              </w:rPr>
            </w:pPr>
            <w:del w:id="1997" w:author="AbbVie1" w:date="2025-05-13T09:50:00Z">
              <w:r w:rsidRPr="001B4A02">
                <w:delText>0,151</w:delText>
              </w:r>
            </w:del>
          </w:p>
        </w:tc>
      </w:tr>
      <w:tr w:rsidR="00534A2D" w14:paraId="74C81FAA" w14:textId="77777777" w:rsidTr="008D783A">
        <w:trPr>
          <w:del w:id="1998" w:author="AbbVie1" w:date="2025-05-13T09:50:00Z"/>
        </w:trPr>
        <w:tc>
          <w:tcPr>
            <w:tcW w:w="9356" w:type="dxa"/>
            <w:gridSpan w:val="7"/>
            <w:tcBorders>
              <w:top w:val="single" w:sz="4" w:space="0" w:color="auto"/>
              <w:left w:val="single" w:sz="4" w:space="0" w:color="auto"/>
              <w:bottom w:val="single" w:sz="4" w:space="0" w:color="auto"/>
              <w:right w:val="single" w:sz="4" w:space="0" w:color="auto"/>
            </w:tcBorders>
          </w:tcPr>
          <w:p w14:paraId="311FD054" w14:textId="77777777" w:rsidR="00073F8F" w:rsidRPr="00D0259F" w:rsidRDefault="00000000" w:rsidP="007C5EA6">
            <w:pPr>
              <w:keepNext/>
              <w:tabs>
                <w:tab w:val="left" w:pos="330"/>
                <w:tab w:val="left" w:pos="10728"/>
              </w:tabs>
              <w:ind w:left="357" w:hanging="357"/>
              <w:rPr>
                <w:del w:id="1999" w:author="AbbVie1" w:date="2025-05-13T09:50:00Z"/>
                <w:sz w:val="20"/>
              </w:rPr>
            </w:pPr>
            <w:del w:id="2000" w:author="AbbVie1" w:date="2025-05-13T09:50:00Z">
              <w:r w:rsidRPr="001B4A02">
                <w:rPr>
                  <w:sz w:val="20"/>
                  <w:vertAlign w:val="superscript"/>
                </w:rPr>
                <w:delText>a</w:delText>
              </w:r>
              <w:r w:rsidRPr="001B4A02">
                <w:rPr>
                  <w:sz w:val="20"/>
                </w:rPr>
                <w:delText xml:space="preserve"> Hodnota p pochází z párového srovnání monoterapie methotrexátem</w:delText>
              </w:r>
              <w:r w:rsidR="002378E0">
                <w:rPr>
                  <w:sz w:val="20"/>
                </w:rPr>
                <w:delText xml:space="preserve"> a </w:delText>
              </w:r>
              <w:r w:rsidRPr="009271A3">
                <w:rPr>
                  <w:sz w:val="20"/>
                </w:rPr>
                <w:delText>kombin</w:delText>
              </w:r>
              <w:r w:rsidR="009271A3" w:rsidRPr="009271A3">
                <w:rPr>
                  <w:sz w:val="20"/>
                </w:rPr>
                <w:delText>ované</w:delText>
              </w:r>
              <w:r w:rsidRPr="009271A3">
                <w:rPr>
                  <w:sz w:val="20"/>
                </w:rPr>
                <w:delText xml:space="preserve"> terapie přípravkem Humira/methotrexát pomocí Mann</w:delText>
              </w:r>
              <w:r w:rsidRPr="009271A3">
                <w:rPr>
                  <w:sz w:val="20"/>
                </w:rPr>
                <w:noBreakHyphen/>
                <w:delText>Whitneova U testu.</w:delText>
              </w:r>
            </w:del>
          </w:p>
          <w:p w14:paraId="2C87E77B" w14:textId="77777777" w:rsidR="00073F8F" w:rsidRPr="001B4A02" w:rsidRDefault="00000000" w:rsidP="007C5EA6">
            <w:pPr>
              <w:keepNext/>
              <w:tabs>
                <w:tab w:val="left" w:pos="330"/>
              </w:tabs>
              <w:ind w:left="357" w:hanging="357"/>
              <w:rPr>
                <w:del w:id="2001" w:author="AbbVie1" w:date="2025-05-13T09:50:00Z"/>
                <w:bCs/>
              </w:rPr>
            </w:pPr>
            <w:del w:id="2002" w:author="AbbVie1" w:date="2025-05-13T09:50:00Z">
              <w:r w:rsidRPr="00DE3467">
                <w:rPr>
                  <w:sz w:val="20"/>
                  <w:vertAlign w:val="superscript"/>
                </w:rPr>
                <w:delText>b</w:delText>
              </w:r>
              <w:r w:rsidRPr="009271A3">
                <w:rPr>
                  <w:sz w:val="20"/>
                </w:rPr>
                <w:delText xml:space="preserve"> Hodnota p pochází z párového srovnání monoterapie přípravkem Humira</w:delText>
              </w:r>
              <w:r w:rsidR="002378E0">
                <w:rPr>
                  <w:sz w:val="20"/>
                </w:rPr>
                <w:delText xml:space="preserve"> a </w:delText>
              </w:r>
              <w:r w:rsidRPr="009271A3">
                <w:rPr>
                  <w:sz w:val="20"/>
                </w:rPr>
                <w:delText>kombin</w:delText>
              </w:r>
              <w:r w:rsidR="009271A3" w:rsidRPr="009271A3">
                <w:rPr>
                  <w:sz w:val="20"/>
                </w:rPr>
                <w:delText>ované</w:delText>
              </w:r>
              <w:r w:rsidRPr="009271A3">
                <w:rPr>
                  <w:sz w:val="20"/>
                </w:rPr>
                <w:delText xml:space="preserve"> terapie</w:delText>
              </w:r>
              <w:r w:rsidRPr="001B4A02">
                <w:rPr>
                  <w:sz w:val="20"/>
                </w:rPr>
                <w:delText xml:space="preserve"> přípravkem Humira/methotrexát pomocí Mann</w:delText>
              </w:r>
              <w:r w:rsidRPr="001B4A02">
                <w:rPr>
                  <w:sz w:val="20"/>
                </w:rPr>
                <w:noBreakHyphen/>
                <w:delText>Whitneova U testu.</w:delText>
              </w:r>
              <w:r w:rsidRPr="001B4A02">
                <w:rPr>
                  <w:bCs/>
                  <w:sz w:val="20"/>
                  <w:vertAlign w:val="superscript"/>
                </w:rPr>
                <w:delText>c</w:delText>
              </w:r>
              <w:r w:rsidRPr="001B4A02">
                <w:rPr>
                  <w:bCs/>
                  <w:sz w:val="20"/>
                </w:rPr>
                <w:delText xml:space="preserve"> </w:delText>
              </w:r>
              <w:r w:rsidRPr="001B4A02">
                <w:rPr>
                  <w:sz w:val="20"/>
                </w:rPr>
                <w:delText>Hodnota p pochází z párového srovnání monoterapie přípravkem Humira</w:delText>
              </w:r>
              <w:r w:rsidR="002378E0">
                <w:rPr>
                  <w:sz w:val="20"/>
                </w:rPr>
                <w:delText xml:space="preserve"> a </w:delText>
              </w:r>
              <w:r w:rsidRPr="001B4A02">
                <w:rPr>
                  <w:sz w:val="20"/>
                </w:rPr>
                <w:delText>monoterapie methotrexátem pomocí Mann</w:delText>
              </w:r>
              <w:r w:rsidRPr="001B4A02">
                <w:rPr>
                  <w:sz w:val="20"/>
                </w:rPr>
                <w:noBreakHyphen/>
                <w:delText>Whitneova U testu.</w:delText>
              </w:r>
            </w:del>
          </w:p>
        </w:tc>
      </w:tr>
    </w:tbl>
    <w:p w14:paraId="3C73AFA0" w14:textId="77777777" w:rsidR="00073F8F" w:rsidRPr="000F04DB" w:rsidRDefault="00073F8F" w:rsidP="00ED48A3">
      <w:pPr>
        <w:pStyle w:val="EMEAHeadingUnderline"/>
        <w:tabs>
          <w:tab w:val="clear" w:pos="562"/>
        </w:tabs>
        <w:suppressAutoHyphens w:val="0"/>
        <w:spacing w:beforeLines="0" w:before="0" w:afterLines="0" w:after="0"/>
        <w:rPr>
          <w:del w:id="2003" w:author="AbbVie1" w:date="2025-05-13T09:50:00Z"/>
          <w:u w:val="none"/>
          <w:lang w:val="cs-CZ"/>
        </w:rPr>
      </w:pPr>
    </w:p>
    <w:p w14:paraId="3D255222" w14:textId="77777777" w:rsidR="00073F8F" w:rsidRPr="001B4A02" w:rsidRDefault="00000000" w:rsidP="00ED48A3">
      <w:pPr>
        <w:pStyle w:val="EMEANormal"/>
        <w:rPr>
          <w:del w:id="2004" w:author="AbbVie1" w:date="2025-05-13T09:50:00Z"/>
          <w:lang w:val="cs-CZ"/>
        </w:rPr>
      </w:pPr>
      <w:del w:id="2005" w:author="AbbVie1" w:date="2025-05-13T09:50:00Z">
        <w:r w:rsidRPr="001B4A02">
          <w:rPr>
            <w:lang w:val="cs-CZ"/>
          </w:rPr>
          <w:delText>Po 52</w:delText>
        </w:r>
        <w:r w:rsidR="002378E0">
          <w:rPr>
            <w:lang w:val="cs-CZ"/>
          </w:rPr>
          <w:delText xml:space="preserve"> a </w:delText>
        </w:r>
        <w:r w:rsidRPr="001B4A02">
          <w:rPr>
            <w:lang w:val="cs-CZ"/>
          </w:rPr>
          <w:delText>104 týdnech terapie bylo procento pacientů bez progrese (změna modifikovaného Sharpova skóre oproti výchozímu stavu ≤ 0,5) významně vyšší při kombin</w:delText>
        </w:r>
        <w:r w:rsidR="009271A3" w:rsidRPr="00F261A6">
          <w:rPr>
            <w:lang w:val="cs-CZ"/>
          </w:rPr>
          <w:delText>ované</w:delText>
        </w:r>
        <w:r w:rsidRPr="001B4A02">
          <w:rPr>
            <w:lang w:val="cs-CZ"/>
          </w:rPr>
          <w:delText xml:space="preserve"> terapii přípravkem Humira/methotrexát (63,8</w:delText>
        </w:r>
        <w:r w:rsidR="00A417AC" w:rsidRPr="001B4A02">
          <w:rPr>
            <w:lang w:val="cs-CZ"/>
          </w:rPr>
          <w:delText> </w:delText>
        </w:r>
        <w:r w:rsidRPr="001B4A02">
          <w:rPr>
            <w:lang w:val="cs-CZ"/>
          </w:rPr>
          <w:delText>%, resp. 61,2</w:delText>
        </w:r>
        <w:r w:rsidR="00A417AC" w:rsidRPr="001B4A02">
          <w:rPr>
            <w:lang w:val="cs-CZ"/>
          </w:rPr>
          <w:delText> </w:delText>
        </w:r>
        <w:r w:rsidRPr="001B4A02">
          <w:rPr>
            <w:lang w:val="cs-CZ"/>
          </w:rPr>
          <w:delText>%) v porovnání s monoterapií methotrexátem (37,4</w:delText>
        </w:r>
        <w:r w:rsidR="00A417AC" w:rsidRPr="001B4A02">
          <w:rPr>
            <w:lang w:val="cs-CZ"/>
          </w:rPr>
          <w:delText> </w:delText>
        </w:r>
        <w:r w:rsidRPr="001B4A02">
          <w:rPr>
            <w:lang w:val="cs-CZ"/>
          </w:rPr>
          <w:delText>%, resp. 33,5</w:delText>
        </w:r>
        <w:r w:rsidR="00A417AC" w:rsidRPr="001B4A02">
          <w:rPr>
            <w:lang w:val="cs-CZ"/>
          </w:rPr>
          <w:delText> </w:delText>
        </w:r>
        <w:r w:rsidRPr="001B4A02">
          <w:rPr>
            <w:lang w:val="cs-CZ"/>
          </w:rPr>
          <w:delText>%, p&lt;0,001)</w:delText>
        </w:r>
        <w:r w:rsidR="002378E0">
          <w:rPr>
            <w:lang w:val="cs-CZ"/>
          </w:rPr>
          <w:delText xml:space="preserve"> a </w:delText>
        </w:r>
        <w:r w:rsidRPr="001B4A02">
          <w:rPr>
            <w:lang w:val="cs-CZ"/>
          </w:rPr>
          <w:delText>monoterapií přípravkem Humira (50,7</w:delText>
        </w:r>
        <w:r w:rsidR="00A417AC" w:rsidRPr="001B4A02">
          <w:rPr>
            <w:lang w:val="cs-CZ"/>
          </w:rPr>
          <w:delText> </w:delText>
        </w:r>
        <w:r w:rsidRPr="001B4A02">
          <w:rPr>
            <w:lang w:val="cs-CZ"/>
          </w:rPr>
          <w:delText>%, p&lt;0,002, resp. 44,5</w:delText>
        </w:r>
        <w:r w:rsidR="00A417AC" w:rsidRPr="001B4A02">
          <w:rPr>
            <w:lang w:val="cs-CZ"/>
          </w:rPr>
          <w:delText> </w:delText>
        </w:r>
        <w:r w:rsidRPr="001B4A02">
          <w:rPr>
            <w:lang w:val="cs-CZ"/>
          </w:rPr>
          <w:delText>%, p&lt;0,001).</w:delText>
        </w:r>
      </w:del>
    </w:p>
    <w:p w14:paraId="5BCCC75B" w14:textId="77777777" w:rsidR="00073F8F" w:rsidRPr="001B4A02" w:rsidRDefault="00073F8F" w:rsidP="00ED48A3">
      <w:pPr>
        <w:ind w:left="0" w:firstLine="0"/>
        <w:rPr>
          <w:del w:id="2006" w:author="AbbVie1" w:date="2025-05-13T09:50:00Z"/>
          <w:u w:val="single"/>
        </w:rPr>
      </w:pPr>
    </w:p>
    <w:p w14:paraId="5A08C234" w14:textId="77777777" w:rsidR="001F094B" w:rsidRPr="001B4A02" w:rsidRDefault="00000000" w:rsidP="00ED48A3">
      <w:pPr>
        <w:ind w:left="0" w:firstLine="0"/>
        <w:rPr>
          <w:del w:id="2007" w:author="AbbVie1" w:date="2025-05-13T09:50:00Z"/>
          <w:u w:val="single"/>
        </w:rPr>
      </w:pPr>
      <w:del w:id="2008" w:author="AbbVie1" w:date="2025-05-13T09:50:00Z">
        <w:r w:rsidRPr="001B4A02">
          <w:delText>V otevřené prodloužené fázi studie RA V</w:delText>
        </w:r>
        <w:r w:rsidR="00E07E66" w:rsidRPr="001B4A02">
          <w:delText xml:space="preserve"> </w:delText>
        </w:r>
        <w:r w:rsidRPr="001B4A02">
          <w:delText>byla v</w:delText>
        </w:r>
        <w:r w:rsidR="00AA4399" w:rsidRPr="001B4A02">
          <w:delText xml:space="preserve"> desátém </w:delText>
        </w:r>
        <w:r w:rsidR="00062315" w:rsidRPr="001B4A02">
          <w:delText>roce</w:delText>
        </w:r>
        <w:r w:rsidRPr="001B4A02">
          <w:delText xml:space="preserve"> průměrná změna modifikovaného Sharpova skóre oproti výchozímu stavu 10,8, 9,2</w:delText>
        </w:r>
        <w:r w:rsidR="002378E0">
          <w:delText xml:space="preserve"> a </w:delText>
        </w:r>
        <w:r w:rsidRPr="001B4A02">
          <w:delText>3,9</w:delText>
        </w:r>
        <w:r w:rsidR="002009DF" w:rsidRPr="001B4A02">
          <w:delText xml:space="preserve"> u </w:delText>
        </w:r>
        <w:r w:rsidRPr="001B4A02">
          <w:delText>pacientů původně randomizovaných na léčbu methotrexátem v monoterapii, přípravkem Humira v monoterapii</w:delText>
        </w:r>
        <w:r w:rsidR="002378E0">
          <w:delText xml:space="preserve"> a </w:delText>
        </w:r>
        <w:r w:rsidRPr="001B4A02">
          <w:delText>přípravkem Humira v kombinaci s methotrexátem.</w:delText>
        </w:r>
        <w:r w:rsidR="00923E9D" w:rsidRPr="001B4A02">
          <w:delText xml:space="preserve"> Odpovídající poměry pacientů bez radiografické progrese byly 31,3</w:delText>
        </w:r>
        <w:r w:rsidR="00A417AC" w:rsidRPr="001B4A02">
          <w:delText> </w:delText>
        </w:r>
        <w:r w:rsidR="00923E9D" w:rsidRPr="001B4A02">
          <w:delText>%, 23,7</w:delText>
        </w:r>
        <w:r w:rsidR="00A417AC" w:rsidRPr="001B4A02">
          <w:delText> </w:delText>
        </w:r>
        <w:r w:rsidR="00923E9D" w:rsidRPr="001B4A02">
          <w:delText>%</w:delText>
        </w:r>
        <w:r w:rsidR="002378E0">
          <w:delText xml:space="preserve"> a </w:delText>
        </w:r>
        <w:r w:rsidR="00923E9D" w:rsidRPr="001B4A02">
          <w:delText>36,7</w:delText>
        </w:r>
        <w:r w:rsidR="00A417AC" w:rsidRPr="001B4A02">
          <w:delText> </w:delText>
        </w:r>
        <w:r w:rsidR="00923E9D" w:rsidRPr="001B4A02">
          <w:delText>%.</w:delText>
        </w:r>
      </w:del>
    </w:p>
    <w:p w14:paraId="1D0F1E0F" w14:textId="77777777" w:rsidR="001F094B" w:rsidRPr="001B4A02" w:rsidRDefault="001F094B" w:rsidP="00ED48A3">
      <w:pPr>
        <w:ind w:left="0" w:firstLine="0"/>
        <w:rPr>
          <w:del w:id="2009" w:author="AbbVie1" w:date="2025-05-13T09:50:00Z"/>
          <w:u w:val="single"/>
        </w:rPr>
      </w:pPr>
    </w:p>
    <w:p w14:paraId="6800DEC4" w14:textId="77777777" w:rsidR="00073F8F" w:rsidRPr="001B4A02" w:rsidRDefault="00000000" w:rsidP="00ED48A3">
      <w:pPr>
        <w:keepNext/>
        <w:ind w:left="0" w:firstLine="0"/>
        <w:rPr>
          <w:del w:id="2010" w:author="AbbVie1" w:date="2025-05-13T09:50:00Z"/>
          <w:i/>
          <w:u w:val="single"/>
        </w:rPr>
      </w:pPr>
      <w:del w:id="2011" w:author="AbbVie1" w:date="2025-05-13T09:50:00Z">
        <w:r w:rsidRPr="001B4A02">
          <w:rPr>
            <w:i/>
            <w:u w:val="single"/>
          </w:rPr>
          <w:delText>Kvalita života</w:delText>
        </w:r>
        <w:r w:rsidR="002378E0">
          <w:rPr>
            <w:i/>
            <w:u w:val="single"/>
          </w:rPr>
          <w:delText xml:space="preserve"> a </w:delText>
        </w:r>
        <w:r w:rsidRPr="001B4A02">
          <w:rPr>
            <w:i/>
            <w:u w:val="single"/>
          </w:rPr>
          <w:delText>tělesné funkce</w:delText>
        </w:r>
      </w:del>
    </w:p>
    <w:p w14:paraId="046F03B0" w14:textId="77777777" w:rsidR="00073F8F" w:rsidRPr="001B4A02" w:rsidRDefault="00073F8F" w:rsidP="00ED48A3">
      <w:pPr>
        <w:keepNext/>
        <w:ind w:left="0" w:firstLine="0"/>
        <w:rPr>
          <w:del w:id="2012" w:author="AbbVie1" w:date="2025-05-13T09:50:00Z"/>
        </w:rPr>
      </w:pPr>
    </w:p>
    <w:p w14:paraId="31ED1B6E" w14:textId="77777777" w:rsidR="00073F8F" w:rsidRPr="001B4A02" w:rsidRDefault="00000000" w:rsidP="00BF3683">
      <w:pPr>
        <w:ind w:left="0" w:firstLine="0"/>
        <w:rPr>
          <w:del w:id="2013" w:author="AbbVie1" w:date="2025-05-13T09:50:00Z"/>
        </w:rPr>
      </w:pPr>
      <w:del w:id="2014" w:author="AbbVie1" w:date="2025-05-13T09:50:00Z">
        <w:r w:rsidRPr="001B4A02">
          <w:delText>Kvalita života odvozená od zdravotního stavu</w:delText>
        </w:r>
        <w:r w:rsidR="002378E0">
          <w:delText xml:space="preserve"> a </w:delText>
        </w:r>
        <w:r w:rsidRPr="001B4A02">
          <w:delText>tělesné funkce byly ve čtyřech původních kontrolovaných studiích hodnoceny indexem disability pomocí Dotazníku hodnocení zdraví (Health Assessment Ques</w:delText>
        </w:r>
        <w:r w:rsidR="005079AD">
          <w:delText>t</w:delText>
        </w:r>
        <w:r w:rsidRPr="001B4A02">
          <w:delText xml:space="preserve">ionnaire – HAQ). Tento parametr byl předem stanoveným primárním výsledným ukazatelem </w:delText>
        </w:r>
        <w:r w:rsidR="00D00F8F">
          <w:delText>v</w:delText>
        </w:r>
        <w:r w:rsidR="000F04DB">
          <w:delText> </w:delText>
        </w:r>
        <w:r w:rsidR="00D00F8F">
          <w:delText>týdnu 52</w:delText>
        </w:r>
        <w:r w:rsidRPr="001B4A02">
          <w:delText xml:space="preserve"> ve studii RA III. U všech dávek/režimů podávání přípravku Humira ve všech čtyřech studiích bylo prokázáno statisticky významně větší zlepšení indexu disability HAQ mezi výchozí hodnotou</w:delText>
        </w:r>
        <w:r w:rsidR="002378E0">
          <w:delText xml:space="preserve"> a </w:delText>
        </w:r>
        <w:r w:rsidRPr="001B4A02">
          <w:delText>hodnotou v 6. měsíci v porovnání s placebem</w:delText>
        </w:r>
        <w:r w:rsidR="002378E0">
          <w:delText xml:space="preserve"> a </w:delText>
        </w:r>
        <w:r w:rsidRPr="001B4A02">
          <w:delText xml:space="preserve">ve studii RA III byly pozorovány stejné výsledky </w:delText>
        </w:r>
        <w:r w:rsidR="00D00F8F">
          <w:delText>v</w:delText>
        </w:r>
        <w:r w:rsidR="000F04DB">
          <w:delText> </w:delText>
        </w:r>
        <w:r w:rsidR="00D00F8F">
          <w:delText>týdnu 52</w:delText>
        </w:r>
        <w:r w:rsidRPr="001B4A02">
          <w:delText>. Tyto nálezy podporují i výsledky Stručného formuláře průzkumu zdraví (SF 36)</w:delText>
        </w:r>
        <w:r w:rsidR="002009DF" w:rsidRPr="001B4A02">
          <w:delText xml:space="preserve"> u </w:delText>
        </w:r>
        <w:r w:rsidRPr="001B4A02">
          <w:delText>všech dávek/režimů podávání přípravku Humira ve všech čtyřech studiích se statisticky významným zlepšením skóre souhrnu tělesných komponent (physical component summary – PCS)</w:delText>
        </w:r>
        <w:r w:rsidR="002378E0">
          <w:delText xml:space="preserve"> a </w:delText>
        </w:r>
        <w:r w:rsidRPr="001B4A02">
          <w:delText>statisticky významným zlepšením skóre příznaků bolesti</w:delText>
        </w:r>
        <w:r w:rsidR="002378E0">
          <w:delText xml:space="preserve"> a </w:delText>
        </w:r>
        <w:r w:rsidRPr="001B4A02">
          <w:delText>vitality při dávkování přípravku 40 mg každý druhý týden. Ve všech třech studiích, ve kterých byla hodnocena únav</w:delText>
        </w:r>
        <w:r w:rsidR="00596B06">
          <w:delText>a</w:delText>
        </w:r>
        <w:r w:rsidRPr="001B4A02">
          <w:delText xml:space="preserve"> (studie RA I, III, IV)</w:delText>
        </w:r>
        <w:r w:rsidR="00596B06">
          <w:delText>,</w:delText>
        </w:r>
        <w:r w:rsidRPr="001B4A02">
          <w:delText xml:space="preserve"> byl pozorován její statisticky významný pokles stanovením funkčního hodnocení léčby chronického onemocnění (FACIT).</w:delText>
        </w:r>
      </w:del>
    </w:p>
    <w:p w14:paraId="7042100B" w14:textId="77777777" w:rsidR="00073F8F" w:rsidRPr="001B4A02" w:rsidRDefault="00073F8F" w:rsidP="00ED48A3">
      <w:pPr>
        <w:ind w:left="0" w:firstLine="0"/>
        <w:rPr>
          <w:del w:id="2015" w:author="AbbVie1" w:date="2025-05-13T09:50:00Z"/>
        </w:rPr>
      </w:pPr>
    </w:p>
    <w:p w14:paraId="316E61F8" w14:textId="77777777" w:rsidR="00073F8F" w:rsidRPr="001B4A02" w:rsidRDefault="00000000" w:rsidP="00ED48A3">
      <w:pPr>
        <w:ind w:left="0" w:firstLine="0"/>
        <w:rPr>
          <w:del w:id="2016" w:author="AbbVie1" w:date="2025-05-13T09:50:00Z"/>
        </w:rPr>
      </w:pPr>
      <w:del w:id="2017" w:author="AbbVie1" w:date="2025-05-13T09:50:00Z">
        <w:r w:rsidRPr="001B4A02">
          <w:delText xml:space="preserve">Ve studii RA III </w:delText>
        </w:r>
        <w:r w:rsidR="002D7B20" w:rsidRPr="001B4A02">
          <w:delText>se</w:delText>
        </w:r>
        <w:r w:rsidR="002009DF" w:rsidRPr="001B4A02">
          <w:delText xml:space="preserve"> u </w:delText>
        </w:r>
        <w:r w:rsidR="009C0822" w:rsidRPr="001B4A02">
          <w:delText>většiny subjektů</w:delText>
        </w:r>
        <w:r w:rsidR="00057C7A" w:rsidRPr="001B4A02">
          <w:delText>, kte</w:delText>
        </w:r>
        <w:r w:rsidR="00CD039D">
          <w:delText>ré</w:delText>
        </w:r>
        <w:r w:rsidR="00057C7A" w:rsidRPr="001B4A02">
          <w:delText xml:space="preserve"> dosáhl</w:delText>
        </w:r>
        <w:r w:rsidR="00CD039D">
          <w:delText>y</w:delText>
        </w:r>
        <w:r w:rsidR="009C0822" w:rsidRPr="001B4A02">
          <w:delText xml:space="preserve"> </w:delText>
        </w:r>
        <w:r w:rsidRPr="001B4A02">
          <w:delText>zlepšení fyzických funkcí</w:delText>
        </w:r>
        <w:r w:rsidR="002378E0">
          <w:delText xml:space="preserve"> a </w:delText>
        </w:r>
        <w:r w:rsidR="00516FE4" w:rsidRPr="001B4A02">
          <w:delText>pokračoval</w:delText>
        </w:r>
        <w:r w:rsidR="00CD039D">
          <w:delText>y</w:delText>
        </w:r>
        <w:r w:rsidR="00516FE4" w:rsidRPr="001B4A02">
          <w:delText xml:space="preserve"> </w:delText>
        </w:r>
        <w:r w:rsidR="00057C7A" w:rsidRPr="001B4A02">
          <w:delText>v</w:delText>
        </w:r>
        <w:r w:rsidR="00E07E66" w:rsidRPr="001B4A02">
          <w:delText> </w:delText>
        </w:r>
        <w:r w:rsidRPr="001B4A02">
          <w:delText>léčbě</w:delText>
        </w:r>
        <w:r w:rsidR="002D7B20" w:rsidRPr="001B4A02">
          <w:delText xml:space="preserve">, </w:delText>
        </w:r>
        <w:r w:rsidR="00057C7A" w:rsidRPr="001B4A02">
          <w:delText>udrž</w:delText>
        </w:r>
        <w:r w:rsidR="002D7B20" w:rsidRPr="001B4A02">
          <w:delText>elo</w:delText>
        </w:r>
        <w:r w:rsidR="00057C7A" w:rsidRPr="001B4A02">
          <w:delText xml:space="preserve"> zlepšení</w:delText>
        </w:r>
        <w:r w:rsidRPr="001B4A02">
          <w:delText xml:space="preserve"> až do týdne </w:delText>
        </w:r>
        <w:r w:rsidR="00516FE4" w:rsidRPr="001B4A02">
          <w:delText>520</w:delText>
        </w:r>
        <w:r w:rsidRPr="001B4A02">
          <w:delText xml:space="preserve"> (</w:delText>
        </w:r>
        <w:r w:rsidR="00516FE4" w:rsidRPr="001B4A02">
          <w:delText>12</w:delText>
        </w:r>
        <w:r w:rsidRPr="001B4A02">
          <w:delText>0 měsíců)</w:delText>
        </w:r>
        <w:r w:rsidR="00057C7A" w:rsidRPr="001B4A02">
          <w:delText xml:space="preserve"> nezaslepené fáze</w:delText>
        </w:r>
        <w:r w:rsidR="002D7B20" w:rsidRPr="001B4A02">
          <w:delText xml:space="preserve"> studie</w:delText>
        </w:r>
        <w:r w:rsidRPr="001B4A02">
          <w:delText>. Zlepšení kvality života bylo hodnoceno po dobu 156 týdnů (36 měsíců), toto zlepšení přetrvávalo v průběhu celého tohoto období.</w:delText>
        </w:r>
      </w:del>
    </w:p>
    <w:p w14:paraId="72B13730" w14:textId="77777777" w:rsidR="00073F8F" w:rsidRPr="001B4A02" w:rsidRDefault="00073F8F" w:rsidP="00ED48A3">
      <w:pPr>
        <w:ind w:left="0" w:firstLine="0"/>
        <w:rPr>
          <w:del w:id="2018" w:author="AbbVie1" w:date="2025-05-13T09:50:00Z"/>
        </w:rPr>
      </w:pPr>
    </w:p>
    <w:p w14:paraId="139F3350" w14:textId="77777777" w:rsidR="00073F8F" w:rsidRPr="001B4A02" w:rsidRDefault="00000000" w:rsidP="00ED48A3">
      <w:pPr>
        <w:ind w:left="0" w:firstLine="0"/>
        <w:rPr>
          <w:del w:id="2019" w:author="AbbVie1" w:date="2025-05-13T09:50:00Z"/>
        </w:rPr>
      </w:pPr>
      <w:del w:id="2020" w:author="AbbVie1" w:date="2025-05-13T09:50:00Z">
        <w:r w:rsidRPr="001B4A02">
          <w:delText>Ve studii RA V</w:delText>
        </w:r>
        <w:r w:rsidR="00E07E66" w:rsidRPr="001B4A02">
          <w:delText xml:space="preserve"> </w:delText>
        </w:r>
        <w:r w:rsidRPr="001B4A02">
          <w:delText>se zlepšení indexu disability HAQ</w:delText>
        </w:r>
        <w:r w:rsidR="002378E0">
          <w:delText xml:space="preserve"> a </w:delText>
        </w:r>
        <w:r w:rsidRPr="001B4A02">
          <w:delText>tělesné komponenty v průzkumu SF 36 prokázalo jako větší (p&lt;0,001) při kombin</w:delText>
        </w:r>
        <w:r w:rsidR="009271A3">
          <w:delText>ované</w:delText>
        </w:r>
        <w:r w:rsidRPr="001B4A02">
          <w:delText xml:space="preserve"> léčbě přípravkem Humira/methotrexátem </w:delText>
        </w:r>
        <w:r w:rsidRPr="001B4A02">
          <w:rPr>
            <w:iCs/>
          </w:rPr>
          <w:delText>v porovnání s</w:delText>
        </w:r>
        <w:r w:rsidR="00AB657C" w:rsidRPr="001B4A02">
          <w:delText> </w:delText>
        </w:r>
        <w:r w:rsidRPr="001B4A02">
          <w:delText xml:space="preserve">monoterapií methotrexátem </w:delText>
        </w:r>
        <w:r w:rsidR="00D00F8F">
          <w:delText>v</w:delText>
        </w:r>
        <w:r w:rsidR="00FD6C86">
          <w:delText> </w:delText>
        </w:r>
        <w:r w:rsidR="00D00F8F">
          <w:delText>týdnu 52</w:delText>
        </w:r>
        <w:r w:rsidR="002378E0">
          <w:delText xml:space="preserve"> a </w:delText>
        </w:r>
        <w:r w:rsidRPr="001B4A02">
          <w:delText>zůstávalo větší až do týdne</w:delText>
        </w:r>
        <w:r w:rsidR="00FD6C86" w:rsidRPr="001B4A02">
          <w:delText xml:space="preserve"> 104</w:delText>
        </w:r>
        <w:r w:rsidRPr="001B4A02">
          <w:delText>.</w:delText>
        </w:r>
        <w:r w:rsidR="00923E9D" w:rsidRPr="001B4A02">
          <w:delText xml:space="preserve"> Mezi 250 subjekty, které dokončily otevřenou prodlouženou fázi studie RA V, bylo</w:delText>
        </w:r>
        <w:r w:rsidR="004252CD" w:rsidRPr="001B4A02">
          <w:delText xml:space="preserve"> po dobu 10 let léčby</w:delText>
        </w:r>
        <w:r w:rsidR="00923E9D" w:rsidRPr="001B4A02">
          <w:delText xml:space="preserve"> </w:delText>
        </w:r>
        <w:r w:rsidR="00854F48" w:rsidRPr="001B4A02">
          <w:delText>zachováno</w:delText>
        </w:r>
        <w:r w:rsidR="00923E9D" w:rsidRPr="001B4A02">
          <w:delText xml:space="preserve"> zlepšení fyzických funkcí</w:delText>
        </w:r>
        <w:r w:rsidR="004252CD" w:rsidRPr="001B4A02">
          <w:delText>.</w:delText>
        </w:r>
      </w:del>
    </w:p>
    <w:p w14:paraId="5D8035BD" w14:textId="77777777" w:rsidR="00830A1F" w:rsidRPr="001B4A02" w:rsidRDefault="00830A1F" w:rsidP="00ED48A3">
      <w:pPr>
        <w:ind w:left="0" w:firstLine="0"/>
        <w:rPr>
          <w:del w:id="2021" w:author="AbbVie1" w:date="2025-05-13T09:50:00Z"/>
        </w:rPr>
      </w:pPr>
    </w:p>
    <w:p w14:paraId="1A9A7DE9" w14:textId="77777777" w:rsidR="007D6483" w:rsidRPr="001B4A02" w:rsidRDefault="00000000" w:rsidP="00527B4A">
      <w:pPr>
        <w:pStyle w:val="EMEANormal"/>
        <w:keepNext/>
        <w:tabs>
          <w:tab w:val="clear" w:pos="562"/>
        </w:tabs>
        <w:suppressAutoHyphens w:val="0"/>
        <w:rPr>
          <w:del w:id="2022" w:author="AbbVie1" w:date="2025-05-13T09:50:00Z"/>
          <w:i/>
          <w:lang w:val="cs-CZ"/>
        </w:rPr>
      </w:pPr>
      <w:del w:id="2023" w:author="AbbVie1" w:date="2025-05-13T09:50:00Z">
        <w:r w:rsidRPr="001B4A02">
          <w:rPr>
            <w:i/>
            <w:lang w:val="cs-CZ"/>
          </w:rPr>
          <w:delText>Ložisková psoriáza</w:delText>
        </w:r>
        <w:r w:rsidR="002009DF" w:rsidRPr="001B4A02">
          <w:rPr>
            <w:i/>
            <w:lang w:val="cs-CZ"/>
          </w:rPr>
          <w:delText xml:space="preserve"> u </w:delText>
        </w:r>
        <w:r w:rsidRPr="001B4A02">
          <w:rPr>
            <w:i/>
            <w:lang w:val="cs-CZ"/>
          </w:rPr>
          <w:delText>dospělých</w:delText>
        </w:r>
      </w:del>
    </w:p>
    <w:p w14:paraId="33DD1CDA" w14:textId="77777777" w:rsidR="007D6483" w:rsidRPr="001B4A02" w:rsidRDefault="007D6483" w:rsidP="00527B4A">
      <w:pPr>
        <w:pStyle w:val="EMEANormal"/>
        <w:keepNext/>
        <w:tabs>
          <w:tab w:val="clear" w:pos="562"/>
        </w:tabs>
        <w:suppressAutoHyphens w:val="0"/>
        <w:rPr>
          <w:del w:id="2024" w:author="AbbVie1" w:date="2025-05-13T09:50:00Z"/>
          <w:lang w:val="cs-CZ"/>
        </w:rPr>
      </w:pPr>
    </w:p>
    <w:p w14:paraId="44A89C6E" w14:textId="77777777" w:rsidR="007D6483" w:rsidRPr="001B4A02" w:rsidRDefault="00000000" w:rsidP="00BF3683">
      <w:pPr>
        <w:pStyle w:val="EMEANormal"/>
        <w:tabs>
          <w:tab w:val="clear" w:pos="562"/>
        </w:tabs>
        <w:suppressAutoHyphens w:val="0"/>
        <w:rPr>
          <w:del w:id="2025" w:author="AbbVie1" w:date="2025-05-13T09:50:00Z"/>
          <w:lang w:val="cs-CZ"/>
        </w:rPr>
      </w:pPr>
      <w:del w:id="2026" w:author="AbbVie1" w:date="2025-05-13T09:50:00Z">
        <w:r w:rsidRPr="001B4A02">
          <w:rPr>
            <w:lang w:val="cs-CZ"/>
          </w:rPr>
          <w:delText>Bezpečnost</w:delText>
        </w:r>
        <w:r w:rsidR="002378E0">
          <w:rPr>
            <w:lang w:val="cs-CZ"/>
          </w:rPr>
          <w:delText xml:space="preserve"> a </w:delText>
        </w:r>
        <w:r w:rsidRPr="001B4A02">
          <w:rPr>
            <w:lang w:val="cs-CZ"/>
          </w:rPr>
          <w:delText>účinnost přípravku Humira byla studována</w:delText>
        </w:r>
        <w:r w:rsidR="002009DF" w:rsidRPr="001B4A02">
          <w:rPr>
            <w:lang w:val="cs-CZ"/>
          </w:rPr>
          <w:delText xml:space="preserve"> u </w:delText>
        </w:r>
        <w:r w:rsidRPr="001B4A02">
          <w:rPr>
            <w:lang w:val="cs-CZ"/>
          </w:rPr>
          <w:delText>dospělých pacientů s chronickou ložiskovou psoriázou (</w:delText>
        </w:r>
        <w:r w:rsidR="009D2A3C" w:rsidRPr="001B4A02">
          <w:rPr>
            <w:rFonts w:ascii="Symbol" w:hAnsi="Symbol"/>
            <w:lang w:val="cs-CZ"/>
          </w:rPr>
          <w:sym w:font="Symbol" w:char="F0B3"/>
        </w:r>
        <w:r w:rsidRPr="001B4A02">
          <w:rPr>
            <w:lang w:val="cs-CZ"/>
          </w:rPr>
          <w:delText xml:space="preserve"> 10</w:delText>
        </w:r>
        <w:r w:rsidR="006008CB">
          <w:rPr>
            <w:lang w:val="cs-CZ"/>
          </w:rPr>
          <w:delText> %</w:delText>
        </w:r>
        <w:r w:rsidRPr="001B4A02">
          <w:rPr>
            <w:lang w:val="cs-CZ"/>
          </w:rPr>
          <w:delText xml:space="preserve"> BSA</w:delText>
        </w:r>
        <w:r w:rsidR="002378E0">
          <w:rPr>
            <w:lang w:val="cs-CZ"/>
          </w:rPr>
          <w:delText xml:space="preserve"> a </w:delText>
        </w:r>
        <w:r w:rsidRPr="001B4A02">
          <w:rPr>
            <w:lang w:val="cs-CZ"/>
          </w:rPr>
          <w:delText xml:space="preserve">PASI </w:delText>
        </w:r>
        <w:r w:rsidR="009D2A3C" w:rsidRPr="001B4A02">
          <w:rPr>
            <w:rFonts w:ascii="Symbol" w:hAnsi="Symbol"/>
            <w:lang w:val="cs-CZ"/>
          </w:rPr>
          <w:sym w:font="Symbol" w:char="F0B3"/>
        </w:r>
        <w:r w:rsidRPr="001B4A02">
          <w:rPr>
            <w:lang w:val="cs-CZ"/>
          </w:rPr>
          <w:delText xml:space="preserve"> 12 nebo </w:delText>
        </w:r>
        <w:r w:rsidR="009D2A3C" w:rsidRPr="001B4A02">
          <w:rPr>
            <w:rFonts w:ascii="Symbol" w:hAnsi="Symbol"/>
            <w:lang w:val="cs-CZ"/>
          </w:rPr>
          <w:sym w:font="Symbol" w:char="F0B3"/>
        </w:r>
        <w:r w:rsidRPr="001B4A02">
          <w:rPr>
            <w:lang w:val="cs-CZ"/>
          </w:rPr>
          <w:delText xml:space="preserve"> 10), kteří byli kandidáty pro systémovou léčbu nebo fototerapii v randomizovaných, dvojitě zaslepených studiích. 73</w:delText>
        </w:r>
        <w:r w:rsidR="006008CB">
          <w:rPr>
            <w:lang w:val="cs-CZ"/>
          </w:rPr>
          <w:delText> %</w:delText>
        </w:r>
        <w:r w:rsidRPr="001B4A02">
          <w:rPr>
            <w:lang w:val="cs-CZ"/>
          </w:rPr>
          <w:delText xml:space="preserve"> pacientů zahrnutých do psoriatických studií I</w:delText>
        </w:r>
        <w:r w:rsidR="002378E0">
          <w:rPr>
            <w:lang w:val="cs-CZ"/>
          </w:rPr>
          <w:delText xml:space="preserve"> a </w:delText>
        </w:r>
        <w:r w:rsidRPr="001B4A02">
          <w:rPr>
            <w:lang w:val="cs-CZ"/>
          </w:rPr>
          <w:delText>II podstoupilo předcházející systémovou léčbu nebo fototerapii.</w:delText>
        </w:r>
        <w:r w:rsidR="006F206B" w:rsidRPr="001B4A02">
          <w:rPr>
            <w:lang w:val="cs-CZ"/>
          </w:rPr>
          <w:delText xml:space="preserve"> Bezpečnost</w:delText>
        </w:r>
        <w:r w:rsidR="002378E0">
          <w:rPr>
            <w:lang w:val="cs-CZ"/>
          </w:rPr>
          <w:delText xml:space="preserve"> a </w:delText>
        </w:r>
        <w:r w:rsidR="006F206B" w:rsidRPr="001B4A02">
          <w:rPr>
            <w:lang w:val="cs-CZ"/>
          </w:rPr>
          <w:delText>účinnost přípravku Humira byla rovněž hodnocena</w:delText>
        </w:r>
        <w:r w:rsidR="002009DF" w:rsidRPr="001B4A02">
          <w:rPr>
            <w:lang w:val="cs-CZ"/>
          </w:rPr>
          <w:delText xml:space="preserve"> u </w:delText>
        </w:r>
        <w:r w:rsidR="006F206B" w:rsidRPr="001B4A02">
          <w:rPr>
            <w:lang w:val="cs-CZ"/>
          </w:rPr>
          <w:delText xml:space="preserve">dospělých pacientů se středně těžkou až těžkou chronickou ložiskovou psoriázou se současným psoriatickým postižením rukou a/nebo </w:delText>
        </w:r>
        <w:r w:rsidR="00A623D0" w:rsidRPr="001B4A02">
          <w:rPr>
            <w:lang w:val="cs-CZ"/>
          </w:rPr>
          <w:delText>chodidel</w:delText>
        </w:r>
        <w:r w:rsidR="006F206B" w:rsidRPr="001B4A02">
          <w:rPr>
            <w:lang w:val="cs-CZ"/>
          </w:rPr>
          <w:delText>, kteř</w:delText>
        </w:r>
        <w:r w:rsidR="00622136" w:rsidRPr="001B4A02">
          <w:rPr>
            <w:lang w:val="cs-CZ"/>
          </w:rPr>
          <w:delText>í</w:delText>
        </w:r>
        <w:r w:rsidR="006F206B" w:rsidRPr="001B4A02">
          <w:rPr>
            <w:lang w:val="cs-CZ"/>
          </w:rPr>
          <w:delText xml:space="preserve"> byli kandidáty pro systémovou terapii v randomizované dvojitě zaslepené studii (Psoriatická studie III).</w:delText>
        </w:r>
      </w:del>
    </w:p>
    <w:p w14:paraId="1385FB82" w14:textId="77777777" w:rsidR="007D6483" w:rsidRPr="001B4A02" w:rsidRDefault="007D6483" w:rsidP="00ED48A3">
      <w:pPr>
        <w:pStyle w:val="EMEANormal"/>
        <w:tabs>
          <w:tab w:val="clear" w:pos="562"/>
        </w:tabs>
        <w:suppressAutoHyphens w:val="0"/>
        <w:rPr>
          <w:del w:id="2027" w:author="AbbVie1" w:date="2025-05-13T09:50:00Z"/>
          <w:lang w:val="cs-CZ"/>
        </w:rPr>
      </w:pPr>
    </w:p>
    <w:p w14:paraId="160E7203" w14:textId="77777777" w:rsidR="007D6483" w:rsidRPr="001B4A02" w:rsidRDefault="00000000" w:rsidP="00ED48A3">
      <w:pPr>
        <w:pStyle w:val="EMEANormal"/>
        <w:tabs>
          <w:tab w:val="clear" w:pos="562"/>
          <w:tab w:val="left" w:pos="708"/>
        </w:tabs>
        <w:suppressAutoHyphens w:val="0"/>
        <w:rPr>
          <w:del w:id="2028" w:author="AbbVie1" w:date="2025-05-13T09:50:00Z"/>
          <w:lang w:val="cs-CZ"/>
        </w:rPr>
      </w:pPr>
      <w:del w:id="2029" w:author="AbbVie1" w:date="2025-05-13T09:50:00Z">
        <w:r w:rsidRPr="001B4A02">
          <w:rPr>
            <w:lang w:val="cs-CZ"/>
          </w:rPr>
          <w:delText>Psoriatická studie I (REVEAL) hodnotila 1</w:delText>
        </w:r>
        <w:r w:rsidR="00CD6D96" w:rsidRPr="001B4A02">
          <w:rPr>
            <w:lang w:val="cs-CZ"/>
          </w:rPr>
          <w:delText> </w:delText>
        </w:r>
        <w:r w:rsidRPr="001B4A02">
          <w:rPr>
            <w:lang w:val="cs-CZ"/>
          </w:rPr>
          <w:delText xml:space="preserve">212 pacientů ve třech fázích léčby. Ve fázi A </w:delText>
        </w:r>
        <w:r w:rsidR="00A17DC6" w:rsidRPr="001B4A02">
          <w:rPr>
            <w:lang w:val="cs-CZ"/>
          </w:rPr>
          <w:delText>po</w:delText>
        </w:r>
        <w:r w:rsidRPr="001B4A02">
          <w:rPr>
            <w:lang w:val="cs-CZ"/>
          </w:rPr>
          <w:delText>užívali pacienti placebo nebo přípravek Humira v úvodní dávce 80</w:delText>
        </w:r>
        <w:r w:rsidR="00294902">
          <w:rPr>
            <w:lang w:val="cs-CZ"/>
          </w:rPr>
          <w:delText> mg</w:delText>
        </w:r>
        <w:r w:rsidRPr="001B4A02">
          <w:rPr>
            <w:lang w:val="cs-CZ"/>
          </w:rPr>
          <w:delText>, následované dávkou 40</w:delText>
        </w:r>
        <w:r w:rsidR="00294902">
          <w:rPr>
            <w:lang w:val="cs-CZ"/>
          </w:rPr>
          <w:delText> mg</w:delText>
        </w:r>
        <w:r w:rsidRPr="001B4A02">
          <w:rPr>
            <w:lang w:val="cs-CZ"/>
          </w:rPr>
          <w:delText xml:space="preserve"> každý druhý týden počínaje prvním týdnem po podání dávky úvodní. Po 16 týdnech léčby pacienti, kteří dosáhli odpovědi alespoň PASI 75 (PASI kritérium zlepšení alespoň 75</w:delText>
        </w:r>
        <w:r w:rsidR="006008CB">
          <w:rPr>
            <w:lang w:val="cs-CZ"/>
          </w:rPr>
          <w:delText> %</w:delText>
        </w:r>
        <w:r w:rsidRPr="001B4A02">
          <w:rPr>
            <w:lang w:val="cs-CZ"/>
          </w:rPr>
          <w:delText xml:space="preserve"> ve vztahu k výchozímu stavu)</w:delText>
        </w:r>
        <w:r w:rsidR="002030EC" w:rsidRPr="001B4A02">
          <w:rPr>
            <w:lang w:val="cs-CZ"/>
          </w:rPr>
          <w:delText>,</w:delText>
        </w:r>
        <w:r w:rsidRPr="001B4A02">
          <w:rPr>
            <w:lang w:val="cs-CZ"/>
          </w:rPr>
          <w:delText xml:space="preserve"> postoupili do fáze B</w:delText>
        </w:r>
        <w:r w:rsidR="002378E0">
          <w:rPr>
            <w:lang w:val="cs-CZ"/>
          </w:rPr>
          <w:delText xml:space="preserve"> a </w:delText>
        </w:r>
        <w:r w:rsidR="00A17DC6" w:rsidRPr="001B4A02">
          <w:rPr>
            <w:lang w:val="cs-CZ"/>
          </w:rPr>
          <w:delText>po</w:delText>
        </w:r>
        <w:r w:rsidRPr="001B4A02">
          <w:rPr>
            <w:lang w:val="cs-CZ"/>
          </w:rPr>
          <w:delText xml:space="preserve">užívali </w:delText>
        </w:r>
        <w:r w:rsidR="002030EC" w:rsidRPr="001B4A02">
          <w:rPr>
            <w:lang w:val="cs-CZ"/>
          </w:rPr>
          <w:delText xml:space="preserve">v otevřené fázi studie </w:delText>
        </w:r>
        <w:r w:rsidRPr="001B4A02">
          <w:rPr>
            <w:lang w:val="cs-CZ"/>
          </w:rPr>
          <w:delText>40</w:delText>
        </w:r>
        <w:r w:rsidR="00294902">
          <w:rPr>
            <w:lang w:val="cs-CZ"/>
          </w:rPr>
          <w:delText> mg</w:delText>
        </w:r>
        <w:r w:rsidRPr="001B4A02">
          <w:rPr>
            <w:lang w:val="cs-CZ"/>
          </w:rPr>
          <w:delText xml:space="preserve"> přípravku Humira každý druhý týden. Pacienti,</w:delText>
        </w:r>
        <w:r w:rsidR="002009DF" w:rsidRPr="001B4A02">
          <w:rPr>
            <w:lang w:val="cs-CZ"/>
          </w:rPr>
          <w:delText xml:space="preserve"> u </w:delText>
        </w:r>
        <w:r w:rsidRPr="001B4A02">
          <w:rPr>
            <w:lang w:val="cs-CZ"/>
          </w:rPr>
          <w:delText>kterých přetrvávala odpověď PASI ≥ 75 v týdnu 33</w:delText>
        </w:r>
        <w:r w:rsidR="002378E0">
          <w:rPr>
            <w:lang w:val="cs-CZ"/>
          </w:rPr>
          <w:delText xml:space="preserve"> a </w:delText>
        </w:r>
        <w:r w:rsidR="002030EC" w:rsidRPr="001B4A02">
          <w:rPr>
            <w:lang w:val="cs-CZ"/>
          </w:rPr>
          <w:delText xml:space="preserve">kteří </w:delText>
        </w:r>
        <w:r w:rsidRPr="001B4A02">
          <w:rPr>
            <w:lang w:val="cs-CZ"/>
          </w:rPr>
          <w:delText>byli původně randomizováni k aktivní terapii ve fázi A, byli re-randomizováni do fáze C</w:delText>
        </w:r>
        <w:r w:rsidR="002378E0">
          <w:rPr>
            <w:lang w:val="cs-CZ"/>
          </w:rPr>
          <w:delText xml:space="preserve"> a </w:delText>
        </w:r>
        <w:r w:rsidR="00A17DC6" w:rsidRPr="001B4A02">
          <w:rPr>
            <w:lang w:val="cs-CZ"/>
          </w:rPr>
          <w:delText>po</w:delText>
        </w:r>
        <w:r w:rsidRPr="001B4A02">
          <w:rPr>
            <w:lang w:val="cs-CZ"/>
          </w:rPr>
          <w:delText>užívali 40</w:delText>
        </w:r>
        <w:r w:rsidR="00294902">
          <w:rPr>
            <w:lang w:val="cs-CZ"/>
          </w:rPr>
          <w:delText> mg</w:delText>
        </w:r>
        <w:r w:rsidRPr="001B4A02">
          <w:rPr>
            <w:lang w:val="cs-CZ"/>
          </w:rPr>
          <w:delText xml:space="preserve"> přípravku Humira každý druhý týden nebo placebo po dobu dalších 19 týdnů. Napříč všemi léčenými skupinami bylo průměrné výchozí skóre PASI 18,9</w:delText>
        </w:r>
        <w:r w:rsidR="002378E0">
          <w:rPr>
            <w:lang w:val="cs-CZ"/>
          </w:rPr>
          <w:delText xml:space="preserve"> a </w:delText>
        </w:r>
        <w:r w:rsidRPr="001B4A02">
          <w:rPr>
            <w:lang w:val="cs-CZ"/>
          </w:rPr>
          <w:delText>výchozí skóre PGA se pohybovalo od „středně těžkého“ (53</w:delText>
        </w:r>
        <w:r w:rsidR="006008CB">
          <w:rPr>
            <w:lang w:val="cs-CZ"/>
          </w:rPr>
          <w:delText> %</w:delText>
        </w:r>
        <w:r w:rsidRPr="001B4A02">
          <w:rPr>
            <w:lang w:val="cs-CZ"/>
          </w:rPr>
          <w:delText xml:space="preserve"> sledovaných subjektů) po</w:delText>
        </w:r>
        <w:r w:rsidR="007978AF">
          <w:rPr>
            <w:lang w:val="cs-CZ"/>
          </w:rPr>
          <w:delText xml:space="preserve"> </w:delText>
        </w:r>
        <w:r w:rsidRPr="001B4A02">
          <w:rPr>
            <w:lang w:val="cs-CZ"/>
          </w:rPr>
          <w:delText>„těžké“ (41</w:delText>
        </w:r>
        <w:r w:rsidR="006008CB">
          <w:rPr>
            <w:lang w:val="cs-CZ"/>
          </w:rPr>
          <w:delText> %</w:delText>
        </w:r>
        <w:r w:rsidRPr="001B4A02">
          <w:rPr>
            <w:lang w:val="cs-CZ"/>
          </w:rPr>
          <w:delText>) až „velmi těžké“ (6</w:delText>
        </w:r>
        <w:r w:rsidR="006008CB">
          <w:rPr>
            <w:lang w:val="cs-CZ"/>
          </w:rPr>
          <w:delText> %</w:delText>
        </w:r>
        <w:r w:rsidRPr="001B4A02">
          <w:rPr>
            <w:lang w:val="cs-CZ"/>
          </w:rPr>
          <w:delText>).</w:delText>
        </w:r>
      </w:del>
    </w:p>
    <w:p w14:paraId="43389104" w14:textId="77777777" w:rsidR="007D6483" w:rsidRPr="001B4A02" w:rsidRDefault="007D6483" w:rsidP="00ED48A3">
      <w:pPr>
        <w:pStyle w:val="EMEANormal"/>
        <w:tabs>
          <w:tab w:val="clear" w:pos="562"/>
        </w:tabs>
        <w:suppressAutoHyphens w:val="0"/>
        <w:rPr>
          <w:del w:id="2030" w:author="AbbVie1" w:date="2025-05-13T09:50:00Z"/>
          <w:lang w:val="cs-CZ"/>
        </w:rPr>
      </w:pPr>
    </w:p>
    <w:p w14:paraId="6C201B92" w14:textId="77777777" w:rsidR="007D6483" w:rsidRPr="001B4A02" w:rsidRDefault="00000000" w:rsidP="00ED48A3">
      <w:pPr>
        <w:pStyle w:val="EMEANormal"/>
        <w:tabs>
          <w:tab w:val="clear" w:pos="562"/>
          <w:tab w:val="left" w:pos="708"/>
        </w:tabs>
        <w:suppressAutoHyphens w:val="0"/>
        <w:rPr>
          <w:del w:id="2031" w:author="AbbVie1" w:date="2025-05-13T09:50:00Z"/>
          <w:lang w:val="cs-CZ"/>
        </w:rPr>
      </w:pPr>
      <w:del w:id="2032" w:author="AbbVie1" w:date="2025-05-13T09:50:00Z">
        <w:r w:rsidRPr="001B4A02">
          <w:rPr>
            <w:lang w:val="cs-CZ"/>
          </w:rPr>
          <w:delText>Psoriatická studie II (CHAMPION) porovnávala účinnost</w:delText>
        </w:r>
        <w:r w:rsidR="002378E0">
          <w:rPr>
            <w:lang w:val="cs-CZ"/>
          </w:rPr>
          <w:delText xml:space="preserve"> a </w:delText>
        </w:r>
        <w:r w:rsidRPr="001B4A02">
          <w:rPr>
            <w:lang w:val="cs-CZ"/>
          </w:rPr>
          <w:delText xml:space="preserve">bezpečnost přípravku Humira </w:delText>
        </w:r>
        <w:r w:rsidRPr="001B4A02">
          <w:rPr>
            <w:iCs/>
            <w:lang w:val="cs-CZ"/>
          </w:rPr>
          <w:delText>oproti</w:delText>
        </w:r>
        <w:r w:rsidRPr="001B4A02">
          <w:rPr>
            <w:lang w:val="cs-CZ"/>
          </w:rPr>
          <w:delText xml:space="preserve"> methotrexátu</w:delText>
        </w:r>
        <w:r w:rsidR="002378E0">
          <w:rPr>
            <w:lang w:val="cs-CZ"/>
          </w:rPr>
          <w:delText xml:space="preserve"> a </w:delText>
        </w:r>
        <w:r w:rsidRPr="001B4A02">
          <w:rPr>
            <w:lang w:val="cs-CZ"/>
          </w:rPr>
          <w:delText>placebu</w:delText>
        </w:r>
        <w:r w:rsidR="002009DF" w:rsidRPr="001B4A02">
          <w:rPr>
            <w:lang w:val="cs-CZ"/>
          </w:rPr>
          <w:delText xml:space="preserve"> u </w:delText>
        </w:r>
        <w:r w:rsidRPr="001B4A02">
          <w:rPr>
            <w:lang w:val="cs-CZ"/>
          </w:rPr>
          <w:delText xml:space="preserve">271 pacientů. Pacienti </w:delText>
        </w:r>
        <w:r w:rsidR="00A17DC6" w:rsidRPr="001B4A02">
          <w:rPr>
            <w:lang w:val="cs-CZ"/>
          </w:rPr>
          <w:delText>po</w:delText>
        </w:r>
        <w:r w:rsidRPr="001B4A02">
          <w:rPr>
            <w:lang w:val="cs-CZ"/>
          </w:rPr>
          <w:delText>užívali placebo</w:delText>
        </w:r>
        <w:r w:rsidR="002378E0">
          <w:rPr>
            <w:lang w:val="cs-CZ"/>
          </w:rPr>
          <w:delText xml:space="preserve"> a </w:delText>
        </w:r>
        <w:r w:rsidRPr="001B4A02">
          <w:rPr>
            <w:lang w:val="cs-CZ"/>
          </w:rPr>
          <w:delText>MTX v úvodní dávce 7,5</w:delText>
        </w:r>
        <w:r w:rsidR="00294902">
          <w:rPr>
            <w:lang w:val="cs-CZ"/>
          </w:rPr>
          <w:delText> mg</w:delText>
        </w:r>
        <w:r w:rsidRPr="001B4A02">
          <w:rPr>
            <w:lang w:val="cs-CZ"/>
          </w:rPr>
          <w:delText>, která se následně zvyšovala až do týdne 12 do maximální dávky 25</w:delText>
        </w:r>
        <w:r w:rsidR="00294902">
          <w:rPr>
            <w:lang w:val="cs-CZ"/>
          </w:rPr>
          <w:delText> mg</w:delText>
        </w:r>
        <w:r w:rsidRPr="001B4A02">
          <w:rPr>
            <w:lang w:val="cs-CZ"/>
          </w:rPr>
          <w:delText xml:space="preserve">, nebo </w:delText>
        </w:r>
        <w:r w:rsidR="00A17DC6" w:rsidRPr="001B4A02">
          <w:rPr>
            <w:lang w:val="cs-CZ"/>
          </w:rPr>
          <w:delText>po</w:delText>
        </w:r>
        <w:r w:rsidRPr="001B4A02">
          <w:rPr>
            <w:lang w:val="cs-CZ"/>
          </w:rPr>
          <w:delText xml:space="preserve">užívali </w:delText>
        </w:r>
        <w:r w:rsidR="00CF3348" w:rsidRPr="001B4A02">
          <w:rPr>
            <w:lang w:val="cs-CZ"/>
          </w:rPr>
          <w:delText>úvodní</w:delText>
        </w:r>
        <w:r w:rsidRPr="001B4A02">
          <w:rPr>
            <w:lang w:val="cs-CZ"/>
          </w:rPr>
          <w:delText xml:space="preserve"> dávku 80</w:delText>
        </w:r>
        <w:r w:rsidR="00294902">
          <w:rPr>
            <w:lang w:val="cs-CZ"/>
          </w:rPr>
          <w:delText> mg</w:delText>
        </w:r>
        <w:r w:rsidRPr="001B4A02">
          <w:rPr>
            <w:lang w:val="cs-CZ"/>
          </w:rPr>
          <w:delText xml:space="preserve"> přípravku Humira, následovan</w:delText>
        </w:r>
        <w:r w:rsidR="002030EC" w:rsidRPr="001B4A02">
          <w:rPr>
            <w:lang w:val="cs-CZ"/>
          </w:rPr>
          <w:delText>ou</w:delText>
        </w:r>
        <w:r w:rsidRPr="001B4A02">
          <w:rPr>
            <w:lang w:val="cs-CZ"/>
          </w:rPr>
          <w:delText xml:space="preserve"> dávkou 40</w:delText>
        </w:r>
        <w:r w:rsidR="00294902">
          <w:rPr>
            <w:lang w:val="cs-CZ"/>
          </w:rPr>
          <w:delText> mg</w:delText>
        </w:r>
        <w:r w:rsidRPr="001B4A02">
          <w:rPr>
            <w:lang w:val="cs-CZ"/>
          </w:rPr>
          <w:delText xml:space="preserve"> každý druhý týden (počínaje prvním týdnem po </w:delText>
        </w:r>
        <w:r w:rsidR="00CF3348" w:rsidRPr="001B4A02">
          <w:rPr>
            <w:lang w:val="cs-CZ"/>
          </w:rPr>
          <w:delText>úvodní</w:delText>
        </w:r>
        <w:r w:rsidRPr="001B4A02">
          <w:rPr>
            <w:lang w:val="cs-CZ"/>
          </w:rPr>
          <w:delText xml:space="preserve"> dávce) po dobu 16 týdnů. Nejsou dostupné žádné údaje o</w:delText>
        </w:r>
        <w:r w:rsidR="00923691" w:rsidRPr="001B4A02">
          <w:rPr>
            <w:lang w:val="cs-CZ"/>
          </w:rPr>
          <w:delText> </w:delText>
        </w:r>
        <w:r w:rsidRPr="001B4A02">
          <w:rPr>
            <w:lang w:val="cs-CZ"/>
          </w:rPr>
          <w:delText>porovnání přípravku Humira</w:delText>
        </w:r>
        <w:r w:rsidR="002378E0">
          <w:rPr>
            <w:lang w:val="cs-CZ"/>
          </w:rPr>
          <w:delText xml:space="preserve"> a </w:delText>
        </w:r>
        <w:r w:rsidRPr="001B4A02">
          <w:rPr>
            <w:lang w:val="cs-CZ"/>
          </w:rPr>
          <w:delText xml:space="preserve">MTX po této 16týdenní léčbě. Pacientům, kteří </w:delText>
        </w:r>
        <w:r w:rsidR="00A17DC6" w:rsidRPr="001B4A02">
          <w:rPr>
            <w:lang w:val="cs-CZ"/>
          </w:rPr>
          <w:delText>po</w:delText>
        </w:r>
        <w:r w:rsidRPr="001B4A02">
          <w:rPr>
            <w:lang w:val="cs-CZ"/>
          </w:rPr>
          <w:delText>užívali MTX</w:delText>
        </w:r>
        <w:r w:rsidR="002378E0">
          <w:rPr>
            <w:lang w:val="cs-CZ"/>
          </w:rPr>
          <w:delText xml:space="preserve"> a </w:delText>
        </w:r>
        <w:r w:rsidRPr="001B4A02">
          <w:rPr>
            <w:lang w:val="cs-CZ"/>
          </w:rPr>
          <w:delText>kteří dosáhli odpovědi PASI ≥ 50 v týdnu 8 a/nebo 12, nebyla dávka dále navyšována. Napříč všemi léčenými skupinami bylo průměrné PASI skóre 19,7</w:delText>
        </w:r>
        <w:r w:rsidR="002378E0">
          <w:rPr>
            <w:lang w:val="cs-CZ"/>
          </w:rPr>
          <w:delText xml:space="preserve"> a </w:delText>
        </w:r>
        <w:r w:rsidRPr="001B4A02">
          <w:rPr>
            <w:lang w:val="cs-CZ"/>
          </w:rPr>
          <w:delText>výchozí PGA skóre se pohybovalo od „mírného“ (&lt; 1</w:delText>
        </w:r>
        <w:r w:rsidR="006008CB">
          <w:rPr>
            <w:lang w:val="cs-CZ"/>
          </w:rPr>
          <w:delText> %</w:delText>
        </w:r>
        <w:r w:rsidRPr="001B4A02">
          <w:rPr>
            <w:lang w:val="cs-CZ"/>
          </w:rPr>
          <w:delText>) po „středně těžké“ (48</w:delText>
        </w:r>
        <w:r w:rsidR="006008CB">
          <w:rPr>
            <w:lang w:val="cs-CZ"/>
          </w:rPr>
          <w:delText> %</w:delText>
        </w:r>
        <w:r w:rsidRPr="001B4A02">
          <w:rPr>
            <w:lang w:val="cs-CZ"/>
          </w:rPr>
          <w:delText>), „těžké“ (46</w:delText>
        </w:r>
        <w:r w:rsidR="006008CB">
          <w:rPr>
            <w:lang w:val="cs-CZ"/>
          </w:rPr>
          <w:delText> %</w:delText>
        </w:r>
        <w:r w:rsidRPr="001B4A02">
          <w:rPr>
            <w:lang w:val="cs-CZ"/>
          </w:rPr>
          <w:delText>) až „velmi těžké“ (6</w:delText>
        </w:r>
        <w:r w:rsidR="006008CB">
          <w:rPr>
            <w:lang w:val="cs-CZ"/>
          </w:rPr>
          <w:delText> %</w:delText>
        </w:r>
        <w:r w:rsidRPr="001B4A02">
          <w:rPr>
            <w:lang w:val="cs-CZ"/>
          </w:rPr>
          <w:delText>).</w:delText>
        </w:r>
      </w:del>
    </w:p>
    <w:p w14:paraId="26CE9711" w14:textId="77777777" w:rsidR="007D6483" w:rsidRPr="001B4A02" w:rsidRDefault="007D6483" w:rsidP="00ED48A3">
      <w:pPr>
        <w:pStyle w:val="EMEANormal"/>
        <w:tabs>
          <w:tab w:val="clear" w:pos="562"/>
        </w:tabs>
        <w:suppressAutoHyphens w:val="0"/>
        <w:rPr>
          <w:del w:id="2033" w:author="AbbVie1" w:date="2025-05-13T09:50:00Z"/>
          <w:lang w:val="cs-CZ"/>
        </w:rPr>
      </w:pPr>
    </w:p>
    <w:p w14:paraId="5E8637B9" w14:textId="77777777" w:rsidR="007D6483" w:rsidRPr="001B4A02" w:rsidRDefault="00000000" w:rsidP="00ED48A3">
      <w:pPr>
        <w:pStyle w:val="EMEANormal"/>
        <w:tabs>
          <w:tab w:val="clear" w:pos="562"/>
          <w:tab w:val="left" w:pos="708"/>
        </w:tabs>
        <w:suppressAutoHyphens w:val="0"/>
        <w:rPr>
          <w:del w:id="2034" w:author="AbbVie1" w:date="2025-05-13T09:50:00Z"/>
          <w:lang w:val="cs-CZ"/>
        </w:rPr>
      </w:pPr>
      <w:del w:id="2035" w:author="AbbVie1" w:date="2025-05-13T09:50:00Z">
        <w:r w:rsidRPr="001B4A02">
          <w:rPr>
            <w:lang w:val="cs-CZ"/>
          </w:rPr>
          <w:delText xml:space="preserve">Pacienti, kteří se účastnili celé fáze </w:delText>
        </w:r>
        <w:r w:rsidR="00C114D7" w:rsidRPr="001B4A02">
          <w:rPr>
            <w:lang w:val="cs-CZ"/>
          </w:rPr>
          <w:delText>2</w:delText>
        </w:r>
        <w:r w:rsidR="002378E0">
          <w:rPr>
            <w:lang w:val="cs-CZ"/>
          </w:rPr>
          <w:delText xml:space="preserve"> a </w:delText>
        </w:r>
        <w:r w:rsidRPr="001B4A02">
          <w:rPr>
            <w:lang w:val="cs-CZ"/>
          </w:rPr>
          <w:delText xml:space="preserve">fáze </w:delText>
        </w:r>
        <w:r w:rsidR="00C114D7" w:rsidRPr="001B4A02">
          <w:rPr>
            <w:lang w:val="cs-CZ"/>
          </w:rPr>
          <w:delText>3</w:delText>
        </w:r>
        <w:r w:rsidRPr="001B4A02">
          <w:rPr>
            <w:lang w:val="cs-CZ"/>
          </w:rPr>
          <w:delText xml:space="preserve"> psoriatických studií, byli vhodní k tomu, aby byli zařazeni do otevřené fáze prodloužené studie, v níž byl přípravek Humira podáván minimálně po dobu dalších 108 týdnů.</w:delText>
        </w:r>
      </w:del>
    </w:p>
    <w:p w14:paraId="5E149829" w14:textId="77777777" w:rsidR="007D6483" w:rsidRPr="001B4A02" w:rsidRDefault="007D6483" w:rsidP="00ED48A3">
      <w:pPr>
        <w:pStyle w:val="EMEANormal"/>
        <w:tabs>
          <w:tab w:val="clear" w:pos="562"/>
          <w:tab w:val="left" w:pos="708"/>
        </w:tabs>
        <w:suppressAutoHyphens w:val="0"/>
        <w:rPr>
          <w:del w:id="2036" w:author="AbbVie1" w:date="2025-05-13T09:50:00Z"/>
          <w:lang w:val="cs-CZ"/>
        </w:rPr>
      </w:pPr>
    </w:p>
    <w:p w14:paraId="571E4292" w14:textId="77777777" w:rsidR="007D6483" w:rsidRPr="001B4A02" w:rsidRDefault="00000000" w:rsidP="00ED48A3">
      <w:pPr>
        <w:pStyle w:val="EMEANormal"/>
        <w:tabs>
          <w:tab w:val="clear" w:pos="562"/>
          <w:tab w:val="left" w:pos="708"/>
        </w:tabs>
        <w:suppressAutoHyphens w:val="0"/>
        <w:rPr>
          <w:del w:id="2037" w:author="AbbVie1" w:date="2025-05-13T09:50:00Z"/>
          <w:lang w:val="cs-CZ"/>
        </w:rPr>
      </w:pPr>
      <w:del w:id="2038" w:author="AbbVie1" w:date="2025-05-13T09:50:00Z">
        <w:r w:rsidRPr="001B4A02">
          <w:rPr>
            <w:lang w:val="cs-CZ"/>
          </w:rPr>
          <w:delText>V psoriatických studiích I</w:delText>
        </w:r>
        <w:r w:rsidR="002378E0">
          <w:rPr>
            <w:lang w:val="cs-CZ"/>
          </w:rPr>
          <w:delText xml:space="preserve"> a </w:delText>
        </w:r>
        <w:r w:rsidRPr="001B4A02">
          <w:rPr>
            <w:lang w:val="cs-CZ"/>
          </w:rPr>
          <w:delText xml:space="preserve">II byl primárním cílovým parametrem podíl pacientů, kteří dosáhli odpovědi PASI 75 v týdnu 16 od výchozího stavu (viz tabulky </w:delText>
        </w:r>
        <w:r w:rsidR="00D76799">
          <w:rPr>
            <w:lang w:val="cs-CZ"/>
          </w:rPr>
          <w:delText>12</w:delText>
        </w:r>
        <w:r w:rsidR="002378E0">
          <w:rPr>
            <w:lang w:val="cs-CZ"/>
          </w:rPr>
          <w:delText xml:space="preserve"> a </w:delText>
        </w:r>
        <w:r w:rsidR="00D76799">
          <w:rPr>
            <w:lang w:val="cs-CZ"/>
          </w:rPr>
          <w:delText>13</w:delText>
        </w:r>
        <w:r w:rsidRPr="001B4A02">
          <w:rPr>
            <w:lang w:val="cs-CZ"/>
          </w:rPr>
          <w:delText>).</w:delText>
        </w:r>
      </w:del>
    </w:p>
    <w:p w14:paraId="3EECC789" w14:textId="77777777" w:rsidR="007D6483" w:rsidRPr="001B4A02" w:rsidRDefault="007D6483" w:rsidP="00ED48A3">
      <w:pPr>
        <w:pStyle w:val="EMEANormal"/>
        <w:tabs>
          <w:tab w:val="clear" w:pos="562"/>
        </w:tabs>
        <w:suppressAutoHyphens w:val="0"/>
        <w:rPr>
          <w:del w:id="2039" w:author="AbbVie1" w:date="2025-05-13T09:50:00Z"/>
          <w:lang w:val="cs-CZ"/>
        </w:rPr>
      </w:pPr>
    </w:p>
    <w:p w14:paraId="1CAFAD36" w14:textId="77777777" w:rsidR="007D6483" w:rsidRPr="001B4A02" w:rsidRDefault="00000000" w:rsidP="00931737">
      <w:pPr>
        <w:pStyle w:val="DefaultText"/>
        <w:keepNext/>
        <w:jc w:val="center"/>
        <w:rPr>
          <w:del w:id="2040" w:author="AbbVie1" w:date="2025-05-13T09:50:00Z"/>
          <w:rFonts w:ascii="Times New Roman" w:hAnsi="Times New Roman"/>
          <w:b/>
          <w:bCs w:val="0"/>
          <w:szCs w:val="22"/>
          <w:lang w:val="cs-CZ"/>
        </w:rPr>
      </w:pPr>
      <w:del w:id="2041" w:author="AbbVie1" w:date="2025-05-13T09:50:00Z">
        <w:r w:rsidRPr="001B4A02">
          <w:rPr>
            <w:rFonts w:ascii="Times New Roman" w:hAnsi="Times New Roman"/>
            <w:b/>
            <w:bCs w:val="0"/>
            <w:szCs w:val="22"/>
            <w:lang w:val="cs-CZ"/>
          </w:rPr>
          <w:delText xml:space="preserve">Tabulka </w:delText>
        </w:r>
        <w:r w:rsidR="00D76799">
          <w:rPr>
            <w:rFonts w:ascii="Times New Roman" w:hAnsi="Times New Roman"/>
            <w:b/>
            <w:bCs w:val="0"/>
            <w:szCs w:val="22"/>
            <w:lang w:val="cs-CZ"/>
          </w:rPr>
          <w:delText>12</w:delText>
        </w:r>
      </w:del>
    </w:p>
    <w:p w14:paraId="1A94AD50" w14:textId="77777777" w:rsidR="007D6483" w:rsidRPr="001B4A02" w:rsidRDefault="00000000" w:rsidP="00931737">
      <w:pPr>
        <w:pStyle w:val="DefaultText"/>
        <w:keepNext/>
        <w:jc w:val="center"/>
        <w:rPr>
          <w:del w:id="2042" w:author="AbbVie1" w:date="2025-05-13T09:50:00Z"/>
          <w:rFonts w:ascii="Times New Roman" w:hAnsi="Times New Roman"/>
          <w:b/>
          <w:bCs w:val="0"/>
          <w:szCs w:val="22"/>
          <w:lang w:val="cs-CZ"/>
        </w:rPr>
      </w:pPr>
      <w:del w:id="2043" w:author="AbbVie1" w:date="2025-05-13T09:50:00Z">
        <w:r w:rsidRPr="001B4A02">
          <w:rPr>
            <w:rFonts w:ascii="Times New Roman" w:hAnsi="Times New Roman"/>
            <w:b/>
            <w:bCs w:val="0"/>
            <w:szCs w:val="22"/>
            <w:lang w:val="cs-CZ"/>
          </w:rPr>
          <w:delText>Studie Ps I (REVEAL)</w:delText>
        </w:r>
      </w:del>
    </w:p>
    <w:p w14:paraId="54C98E7C" w14:textId="77777777" w:rsidR="007D6483" w:rsidRPr="001B4A02" w:rsidRDefault="00000000" w:rsidP="00931737">
      <w:pPr>
        <w:pStyle w:val="EMEANormal"/>
        <w:keepNext/>
        <w:tabs>
          <w:tab w:val="clear" w:pos="562"/>
        </w:tabs>
        <w:suppressAutoHyphens w:val="0"/>
        <w:jc w:val="center"/>
        <w:rPr>
          <w:del w:id="2044" w:author="AbbVie1" w:date="2025-05-13T09:50:00Z"/>
          <w:b/>
          <w:bCs/>
          <w:szCs w:val="22"/>
          <w:lang w:val="cs-CZ"/>
        </w:rPr>
      </w:pPr>
      <w:del w:id="2045" w:author="AbbVie1" w:date="2025-05-13T09:50:00Z">
        <w:r w:rsidRPr="001B4A02">
          <w:rPr>
            <w:b/>
            <w:bCs/>
            <w:szCs w:val="22"/>
            <w:lang w:val="cs-CZ"/>
          </w:rPr>
          <w:delText>Výsledky účinnosti za 16 týdnů</w:delText>
        </w:r>
      </w:del>
    </w:p>
    <w:p w14:paraId="536BFC45" w14:textId="77777777" w:rsidR="007D6483" w:rsidRPr="001B4A02" w:rsidRDefault="007D6483" w:rsidP="00931737">
      <w:pPr>
        <w:pStyle w:val="EMEANormal"/>
        <w:keepNext/>
        <w:tabs>
          <w:tab w:val="clear" w:pos="562"/>
        </w:tabs>
        <w:suppressAutoHyphens w:val="0"/>
        <w:rPr>
          <w:del w:id="2046" w:author="AbbVie1" w:date="2025-05-13T09:50:00Z"/>
          <w:lang w:val="cs-CZ"/>
        </w:rPr>
      </w:pPr>
    </w:p>
    <w:tbl>
      <w:tblPr>
        <w:tblW w:w="856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98"/>
        <w:gridCol w:w="1984"/>
        <w:gridCol w:w="4280"/>
      </w:tblGrid>
      <w:tr w:rsidR="00534A2D" w14:paraId="5815AA3F" w14:textId="77777777" w:rsidTr="008D783A">
        <w:trPr>
          <w:trHeight w:val="797"/>
          <w:jc w:val="center"/>
          <w:del w:id="2047" w:author="AbbVie1" w:date="2025-05-13T09:50:00Z"/>
        </w:trPr>
        <w:tc>
          <w:tcPr>
            <w:tcW w:w="2298" w:type="dxa"/>
            <w:tcBorders>
              <w:top w:val="single" w:sz="4" w:space="0" w:color="auto"/>
              <w:left w:val="single" w:sz="4" w:space="0" w:color="auto"/>
              <w:bottom w:val="single" w:sz="4" w:space="0" w:color="auto"/>
              <w:right w:val="single" w:sz="4" w:space="0" w:color="auto"/>
            </w:tcBorders>
            <w:vAlign w:val="center"/>
          </w:tcPr>
          <w:p w14:paraId="70B9B902" w14:textId="77777777" w:rsidR="007D6483" w:rsidRPr="001B4A02" w:rsidRDefault="007D6483" w:rsidP="00931737">
            <w:pPr>
              <w:pStyle w:val="DefaultText"/>
              <w:keepNext/>
              <w:rPr>
                <w:del w:id="2048" w:author="AbbVie1" w:date="2025-05-13T09:50:00Z"/>
                <w:rFonts w:ascii="Times New Roman" w:hAnsi="Times New Roman"/>
                <w:b/>
                <w:bCs w:val="0"/>
                <w:szCs w:val="22"/>
                <w:lang w:val="cs-CZ"/>
              </w:rPr>
            </w:pPr>
          </w:p>
        </w:tc>
        <w:tc>
          <w:tcPr>
            <w:tcW w:w="1984" w:type="dxa"/>
            <w:tcBorders>
              <w:top w:val="single" w:sz="4" w:space="0" w:color="auto"/>
              <w:left w:val="single" w:sz="4" w:space="0" w:color="auto"/>
              <w:bottom w:val="single" w:sz="4" w:space="0" w:color="auto"/>
              <w:right w:val="single" w:sz="4" w:space="0" w:color="auto"/>
            </w:tcBorders>
            <w:vAlign w:val="center"/>
          </w:tcPr>
          <w:p w14:paraId="1FFB68AE" w14:textId="77777777" w:rsidR="007D6483" w:rsidRPr="001B4A02" w:rsidRDefault="00000000" w:rsidP="00931737">
            <w:pPr>
              <w:pStyle w:val="DefaultText"/>
              <w:keepNext/>
              <w:jc w:val="center"/>
              <w:rPr>
                <w:del w:id="2049" w:author="AbbVie1" w:date="2025-05-13T09:50:00Z"/>
                <w:rFonts w:ascii="Times New Roman" w:hAnsi="Times New Roman"/>
                <w:b/>
                <w:bCs w:val="0"/>
                <w:szCs w:val="22"/>
                <w:lang w:val="cs-CZ"/>
              </w:rPr>
            </w:pPr>
            <w:del w:id="2050" w:author="AbbVie1" w:date="2025-05-13T09:50:00Z">
              <w:r w:rsidRPr="001B4A02">
                <w:rPr>
                  <w:rFonts w:ascii="Times New Roman" w:hAnsi="Times New Roman"/>
                  <w:b/>
                  <w:bCs w:val="0"/>
                  <w:szCs w:val="22"/>
                  <w:lang w:val="cs-CZ"/>
                </w:rPr>
                <w:delText>Placebo</w:delText>
              </w:r>
            </w:del>
          </w:p>
          <w:p w14:paraId="0AEBA4DE" w14:textId="77777777" w:rsidR="007D6483" w:rsidRPr="001B4A02" w:rsidRDefault="00000000" w:rsidP="00931737">
            <w:pPr>
              <w:pStyle w:val="DefaultText"/>
              <w:keepNext/>
              <w:jc w:val="center"/>
              <w:rPr>
                <w:del w:id="2051" w:author="AbbVie1" w:date="2025-05-13T09:50:00Z"/>
                <w:rFonts w:ascii="Times New Roman" w:hAnsi="Times New Roman"/>
                <w:b/>
                <w:bCs w:val="0"/>
                <w:szCs w:val="22"/>
                <w:lang w:val="cs-CZ"/>
              </w:rPr>
            </w:pPr>
            <w:del w:id="2052" w:author="AbbVie1" w:date="2025-05-13T09:50:00Z">
              <w:r>
                <w:rPr>
                  <w:rFonts w:ascii="Times New Roman" w:hAnsi="Times New Roman"/>
                  <w:b/>
                  <w:bCs w:val="0"/>
                  <w:szCs w:val="22"/>
                  <w:lang w:val="cs-CZ"/>
                </w:rPr>
                <w:delText>n</w:delText>
              </w:r>
              <w:r w:rsidRPr="001B4A02">
                <w:rPr>
                  <w:rFonts w:ascii="Times New Roman" w:hAnsi="Times New Roman"/>
                  <w:b/>
                  <w:bCs w:val="0"/>
                  <w:szCs w:val="22"/>
                  <w:lang w:val="cs-CZ"/>
                </w:rPr>
                <w:delText>=398</w:delText>
              </w:r>
            </w:del>
          </w:p>
          <w:p w14:paraId="0D20A155" w14:textId="77777777" w:rsidR="007D6483" w:rsidRPr="001B4A02" w:rsidRDefault="00000000" w:rsidP="00931737">
            <w:pPr>
              <w:pStyle w:val="DefaultText"/>
              <w:keepNext/>
              <w:jc w:val="center"/>
              <w:rPr>
                <w:del w:id="2053" w:author="AbbVie1" w:date="2025-05-13T09:50:00Z"/>
                <w:rFonts w:ascii="Times New Roman" w:hAnsi="Times New Roman"/>
                <w:b/>
                <w:bCs w:val="0"/>
                <w:szCs w:val="22"/>
                <w:lang w:val="cs-CZ"/>
              </w:rPr>
            </w:pPr>
            <w:del w:id="2054" w:author="AbbVie1" w:date="2025-05-13T09:50:00Z">
              <w:r w:rsidRPr="001B4A02">
                <w:rPr>
                  <w:rFonts w:ascii="Times New Roman" w:hAnsi="Times New Roman"/>
                  <w:b/>
                  <w:bCs w:val="0"/>
                  <w:szCs w:val="22"/>
                  <w:lang w:val="cs-CZ"/>
                </w:rPr>
                <w:delText>n (%)</w:delText>
              </w:r>
            </w:del>
          </w:p>
        </w:tc>
        <w:tc>
          <w:tcPr>
            <w:tcW w:w="4280" w:type="dxa"/>
            <w:tcBorders>
              <w:top w:val="single" w:sz="4" w:space="0" w:color="auto"/>
              <w:left w:val="single" w:sz="4" w:space="0" w:color="auto"/>
              <w:bottom w:val="single" w:sz="4" w:space="0" w:color="auto"/>
              <w:right w:val="single" w:sz="4" w:space="0" w:color="auto"/>
            </w:tcBorders>
            <w:vAlign w:val="center"/>
          </w:tcPr>
          <w:p w14:paraId="37D9F4B3" w14:textId="77777777" w:rsidR="007D6483" w:rsidRPr="001B4A02" w:rsidRDefault="00000000" w:rsidP="00931737">
            <w:pPr>
              <w:pStyle w:val="DefaultText"/>
              <w:keepNext/>
              <w:jc w:val="center"/>
              <w:rPr>
                <w:del w:id="2055" w:author="AbbVie1" w:date="2025-05-13T09:50:00Z"/>
                <w:rFonts w:ascii="Times New Roman" w:hAnsi="Times New Roman"/>
                <w:b/>
                <w:bCs w:val="0"/>
                <w:szCs w:val="22"/>
                <w:lang w:val="cs-CZ"/>
              </w:rPr>
            </w:pPr>
            <w:del w:id="2056" w:author="AbbVie1" w:date="2025-05-13T09:50:00Z">
              <w:r w:rsidRPr="001B4A02">
                <w:rPr>
                  <w:rFonts w:ascii="Times New Roman" w:hAnsi="Times New Roman"/>
                  <w:b/>
                  <w:bCs w:val="0"/>
                  <w:szCs w:val="22"/>
                  <w:lang w:val="cs-CZ"/>
                </w:rPr>
                <w:delText>Humira 40</w:delText>
              </w:r>
              <w:r w:rsidR="00294902">
                <w:rPr>
                  <w:rFonts w:ascii="Times New Roman" w:hAnsi="Times New Roman"/>
                  <w:b/>
                  <w:bCs w:val="0"/>
                  <w:szCs w:val="22"/>
                  <w:lang w:val="cs-CZ"/>
                </w:rPr>
                <w:delText> mg</w:delText>
              </w:r>
              <w:r w:rsidRPr="001B4A02">
                <w:rPr>
                  <w:rFonts w:ascii="Times New Roman" w:hAnsi="Times New Roman"/>
                  <w:b/>
                  <w:bCs w:val="0"/>
                  <w:szCs w:val="22"/>
                  <w:lang w:val="cs-CZ"/>
                </w:rPr>
                <w:delText xml:space="preserve"> každý druhý týden</w:delText>
              </w:r>
            </w:del>
          </w:p>
          <w:p w14:paraId="3F8D410F" w14:textId="77777777" w:rsidR="007D6483" w:rsidRPr="001B4A02" w:rsidRDefault="00000000" w:rsidP="00931737">
            <w:pPr>
              <w:pStyle w:val="DefaultText"/>
              <w:keepNext/>
              <w:jc w:val="center"/>
              <w:rPr>
                <w:del w:id="2057" w:author="AbbVie1" w:date="2025-05-13T09:50:00Z"/>
                <w:rFonts w:ascii="Times New Roman" w:hAnsi="Times New Roman"/>
                <w:b/>
                <w:bCs w:val="0"/>
                <w:szCs w:val="22"/>
                <w:lang w:val="cs-CZ"/>
              </w:rPr>
            </w:pPr>
            <w:del w:id="2058" w:author="AbbVie1" w:date="2025-05-13T09:50:00Z">
              <w:r>
                <w:rPr>
                  <w:rFonts w:ascii="Times New Roman" w:hAnsi="Times New Roman"/>
                  <w:b/>
                  <w:bCs w:val="0"/>
                  <w:szCs w:val="22"/>
                  <w:lang w:val="cs-CZ"/>
                </w:rPr>
                <w:delText>n</w:delText>
              </w:r>
              <w:r w:rsidRPr="001B4A02">
                <w:rPr>
                  <w:rFonts w:ascii="Times New Roman" w:hAnsi="Times New Roman"/>
                  <w:b/>
                  <w:bCs w:val="0"/>
                  <w:szCs w:val="22"/>
                  <w:lang w:val="cs-CZ"/>
                </w:rPr>
                <w:delText>=814</w:delText>
              </w:r>
            </w:del>
          </w:p>
          <w:p w14:paraId="2905A19C" w14:textId="77777777" w:rsidR="007D6483" w:rsidRPr="001B4A02" w:rsidRDefault="00000000" w:rsidP="00931737">
            <w:pPr>
              <w:pStyle w:val="DefaultText"/>
              <w:keepNext/>
              <w:jc w:val="center"/>
              <w:rPr>
                <w:del w:id="2059" w:author="AbbVie1" w:date="2025-05-13T09:50:00Z"/>
                <w:rFonts w:ascii="Times New Roman" w:hAnsi="Times New Roman"/>
                <w:b/>
                <w:bCs w:val="0"/>
                <w:szCs w:val="22"/>
                <w:lang w:val="cs-CZ"/>
              </w:rPr>
            </w:pPr>
            <w:del w:id="2060" w:author="AbbVie1" w:date="2025-05-13T09:50:00Z">
              <w:r w:rsidRPr="001B4A02">
                <w:rPr>
                  <w:rFonts w:ascii="Times New Roman" w:hAnsi="Times New Roman"/>
                  <w:b/>
                  <w:bCs w:val="0"/>
                  <w:szCs w:val="22"/>
                  <w:lang w:val="cs-CZ"/>
                </w:rPr>
                <w:delText>n (%)</w:delText>
              </w:r>
            </w:del>
          </w:p>
        </w:tc>
      </w:tr>
      <w:tr w:rsidR="00534A2D" w14:paraId="2B8FED56" w14:textId="77777777" w:rsidTr="008D783A">
        <w:trPr>
          <w:trHeight w:val="261"/>
          <w:jc w:val="center"/>
          <w:del w:id="2061" w:author="AbbVie1" w:date="2025-05-13T09:50:00Z"/>
        </w:trPr>
        <w:tc>
          <w:tcPr>
            <w:tcW w:w="2298" w:type="dxa"/>
            <w:tcBorders>
              <w:top w:val="single" w:sz="4" w:space="0" w:color="auto"/>
              <w:left w:val="single" w:sz="4" w:space="0" w:color="auto"/>
              <w:bottom w:val="single" w:sz="4" w:space="0" w:color="auto"/>
              <w:right w:val="single" w:sz="4" w:space="0" w:color="auto"/>
            </w:tcBorders>
          </w:tcPr>
          <w:p w14:paraId="52312527" w14:textId="77777777" w:rsidR="007D6483" w:rsidRPr="001B4A02" w:rsidRDefault="00000000" w:rsidP="00931737">
            <w:pPr>
              <w:pStyle w:val="DefaultText"/>
              <w:keepNext/>
              <w:rPr>
                <w:del w:id="2062" w:author="AbbVie1" w:date="2025-05-13T09:50:00Z"/>
                <w:rFonts w:ascii="Times New Roman" w:hAnsi="Times New Roman"/>
                <w:b/>
                <w:bCs w:val="0"/>
                <w:szCs w:val="22"/>
                <w:lang w:val="cs-CZ"/>
              </w:rPr>
            </w:pPr>
            <w:del w:id="2063" w:author="AbbVie1" w:date="2025-05-13T09:50:00Z">
              <w:r w:rsidRPr="001B4A02">
                <w:rPr>
                  <w:rFonts w:ascii="Symbol" w:hAnsi="Symbol"/>
                  <w:b/>
                  <w:lang w:val="cs-CZ"/>
                </w:rPr>
                <w:sym w:font="Symbol" w:char="F0B3"/>
              </w:r>
              <w:r w:rsidRPr="001B4A02">
                <w:rPr>
                  <w:rFonts w:ascii="Times New Roman" w:hAnsi="Times New Roman"/>
                  <w:b/>
                  <w:lang w:val="cs-CZ"/>
                </w:rPr>
                <w:delText xml:space="preserve"> </w:delText>
              </w:r>
              <w:r w:rsidRPr="001B4A02">
                <w:rPr>
                  <w:rFonts w:ascii="Times New Roman" w:hAnsi="Times New Roman"/>
                  <w:b/>
                  <w:bCs w:val="0"/>
                  <w:szCs w:val="22"/>
                  <w:lang w:val="cs-CZ"/>
                </w:rPr>
                <w:delText>PASI 75</w:delText>
              </w:r>
              <w:r w:rsidRPr="001B4A02">
                <w:rPr>
                  <w:rFonts w:ascii="Times New Roman" w:hAnsi="Times New Roman"/>
                  <w:b/>
                  <w:bCs w:val="0"/>
                  <w:szCs w:val="22"/>
                  <w:vertAlign w:val="superscript"/>
                  <w:lang w:val="cs-CZ"/>
                </w:rPr>
                <w:delText>a</w:delText>
              </w:r>
            </w:del>
          </w:p>
        </w:tc>
        <w:tc>
          <w:tcPr>
            <w:tcW w:w="1984" w:type="dxa"/>
            <w:tcBorders>
              <w:top w:val="single" w:sz="4" w:space="0" w:color="auto"/>
              <w:left w:val="single" w:sz="4" w:space="0" w:color="auto"/>
              <w:bottom w:val="single" w:sz="4" w:space="0" w:color="auto"/>
              <w:right w:val="single" w:sz="4" w:space="0" w:color="auto"/>
            </w:tcBorders>
          </w:tcPr>
          <w:p w14:paraId="426B2315" w14:textId="77777777" w:rsidR="007D6483" w:rsidRPr="001B4A02" w:rsidRDefault="00000000" w:rsidP="00931737">
            <w:pPr>
              <w:pStyle w:val="DefaultText"/>
              <w:keepNext/>
              <w:jc w:val="center"/>
              <w:rPr>
                <w:del w:id="2064" w:author="AbbVie1" w:date="2025-05-13T09:50:00Z"/>
                <w:rFonts w:ascii="Times New Roman" w:hAnsi="Times New Roman"/>
                <w:szCs w:val="22"/>
                <w:lang w:val="cs-CZ"/>
              </w:rPr>
            </w:pPr>
            <w:del w:id="2065" w:author="AbbVie1" w:date="2025-05-13T09:50:00Z">
              <w:r w:rsidRPr="001B4A02">
                <w:rPr>
                  <w:rFonts w:ascii="Times New Roman" w:hAnsi="Times New Roman"/>
                  <w:szCs w:val="22"/>
                  <w:lang w:val="cs-CZ"/>
                </w:rPr>
                <w:delText>26 (6,5)</w:delText>
              </w:r>
            </w:del>
          </w:p>
        </w:tc>
        <w:tc>
          <w:tcPr>
            <w:tcW w:w="4280" w:type="dxa"/>
            <w:tcBorders>
              <w:top w:val="single" w:sz="4" w:space="0" w:color="auto"/>
              <w:left w:val="single" w:sz="4" w:space="0" w:color="auto"/>
              <w:bottom w:val="single" w:sz="4" w:space="0" w:color="auto"/>
              <w:right w:val="single" w:sz="4" w:space="0" w:color="auto"/>
            </w:tcBorders>
          </w:tcPr>
          <w:p w14:paraId="232DB545" w14:textId="77777777" w:rsidR="007D6483" w:rsidRPr="001B4A02" w:rsidRDefault="00000000" w:rsidP="00931737">
            <w:pPr>
              <w:pStyle w:val="DefaultText"/>
              <w:keepNext/>
              <w:jc w:val="center"/>
              <w:rPr>
                <w:del w:id="2066" w:author="AbbVie1" w:date="2025-05-13T09:50:00Z"/>
                <w:rFonts w:ascii="Times New Roman" w:hAnsi="Times New Roman"/>
                <w:szCs w:val="22"/>
                <w:lang w:val="cs-CZ"/>
              </w:rPr>
            </w:pPr>
            <w:del w:id="2067" w:author="AbbVie1" w:date="2025-05-13T09:50:00Z">
              <w:r w:rsidRPr="001B4A02">
                <w:rPr>
                  <w:rFonts w:ascii="Times New Roman" w:hAnsi="Times New Roman"/>
                  <w:szCs w:val="22"/>
                  <w:lang w:val="cs-CZ"/>
                </w:rPr>
                <w:delText>578 (70,9)</w:delText>
              </w:r>
              <w:r w:rsidRPr="001B4A02">
                <w:rPr>
                  <w:rFonts w:ascii="Times New Roman" w:hAnsi="Times New Roman"/>
                  <w:szCs w:val="22"/>
                  <w:vertAlign w:val="superscript"/>
                  <w:lang w:val="cs-CZ"/>
                </w:rPr>
                <w:delText>b</w:delText>
              </w:r>
            </w:del>
          </w:p>
        </w:tc>
      </w:tr>
      <w:tr w:rsidR="00534A2D" w14:paraId="77D9D398" w14:textId="77777777" w:rsidTr="008D783A">
        <w:trPr>
          <w:trHeight w:val="72"/>
          <w:jc w:val="center"/>
          <w:del w:id="2068" w:author="AbbVie1" w:date="2025-05-13T09:50:00Z"/>
        </w:trPr>
        <w:tc>
          <w:tcPr>
            <w:tcW w:w="2298" w:type="dxa"/>
            <w:tcBorders>
              <w:top w:val="single" w:sz="4" w:space="0" w:color="auto"/>
              <w:left w:val="single" w:sz="4" w:space="0" w:color="auto"/>
              <w:bottom w:val="single" w:sz="4" w:space="0" w:color="auto"/>
              <w:right w:val="single" w:sz="4" w:space="0" w:color="auto"/>
            </w:tcBorders>
          </w:tcPr>
          <w:p w14:paraId="4B90CAD7" w14:textId="77777777" w:rsidR="007D6483" w:rsidRPr="001B4A02" w:rsidRDefault="00000000" w:rsidP="00931737">
            <w:pPr>
              <w:pStyle w:val="DefaultText"/>
              <w:keepNext/>
              <w:rPr>
                <w:del w:id="2069" w:author="AbbVie1" w:date="2025-05-13T09:50:00Z"/>
                <w:rFonts w:ascii="Times New Roman" w:hAnsi="Times New Roman"/>
                <w:b/>
                <w:bCs w:val="0"/>
                <w:szCs w:val="22"/>
                <w:lang w:val="cs-CZ"/>
              </w:rPr>
            </w:pPr>
            <w:del w:id="2070" w:author="AbbVie1" w:date="2025-05-13T09:50:00Z">
              <w:r w:rsidRPr="001B4A02">
                <w:rPr>
                  <w:rFonts w:ascii="Times New Roman" w:hAnsi="Times New Roman"/>
                  <w:b/>
                  <w:bCs w:val="0"/>
                  <w:szCs w:val="22"/>
                  <w:lang w:val="cs-CZ"/>
                </w:rPr>
                <w:delText>PASI 100</w:delText>
              </w:r>
            </w:del>
          </w:p>
        </w:tc>
        <w:tc>
          <w:tcPr>
            <w:tcW w:w="1984" w:type="dxa"/>
            <w:tcBorders>
              <w:top w:val="single" w:sz="4" w:space="0" w:color="auto"/>
              <w:left w:val="single" w:sz="4" w:space="0" w:color="auto"/>
              <w:bottom w:val="single" w:sz="4" w:space="0" w:color="auto"/>
              <w:right w:val="single" w:sz="4" w:space="0" w:color="auto"/>
            </w:tcBorders>
          </w:tcPr>
          <w:p w14:paraId="0CC288B4" w14:textId="77777777" w:rsidR="007D6483" w:rsidRPr="001B4A02" w:rsidRDefault="00000000" w:rsidP="00931737">
            <w:pPr>
              <w:pStyle w:val="DefaultText"/>
              <w:keepNext/>
              <w:jc w:val="center"/>
              <w:rPr>
                <w:del w:id="2071" w:author="AbbVie1" w:date="2025-05-13T09:50:00Z"/>
                <w:rFonts w:ascii="Times New Roman" w:hAnsi="Times New Roman"/>
                <w:szCs w:val="22"/>
                <w:lang w:val="cs-CZ"/>
              </w:rPr>
            </w:pPr>
            <w:del w:id="2072" w:author="AbbVie1" w:date="2025-05-13T09:50:00Z">
              <w:r w:rsidRPr="001B4A02">
                <w:rPr>
                  <w:rFonts w:ascii="Times New Roman" w:hAnsi="Times New Roman"/>
                  <w:szCs w:val="22"/>
                  <w:lang w:val="cs-CZ"/>
                </w:rPr>
                <w:delText>3 (0,8)</w:delText>
              </w:r>
            </w:del>
          </w:p>
        </w:tc>
        <w:tc>
          <w:tcPr>
            <w:tcW w:w="4280" w:type="dxa"/>
            <w:tcBorders>
              <w:top w:val="single" w:sz="4" w:space="0" w:color="auto"/>
              <w:left w:val="single" w:sz="4" w:space="0" w:color="auto"/>
              <w:bottom w:val="single" w:sz="4" w:space="0" w:color="auto"/>
              <w:right w:val="single" w:sz="4" w:space="0" w:color="auto"/>
            </w:tcBorders>
          </w:tcPr>
          <w:p w14:paraId="1E0318C4" w14:textId="77777777" w:rsidR="007D6483" w:rsidRPr="001B4A02" w:rsidRDefault="00000000" w:rsidP="00931737">
            <w:pPr>
              <w:pStyle w:val="DefaultText"/>
              <w:keepNext/>
              <w:jc w:val="center"/>
              <w:rPr>
                <w:del w:id="2073" w:author="AbbVie1" w:date="2025-05-13T09:50:00Z"/>
                <w:rFonts w:ascii="Times New Roman" w:hAnsi="Times New Roman"/>
                <w:szCs w:val="22"/>
                <w:lang w:val="cs-CZ"/>
              </w:rPr>
            </w:pPr>
            <w:del w:id="2074" w:author="AbbVie1" w:date="2025-05-13T09:50:00Z">
              <w:r w:rsidRPr="001B4A02">
                <w:rPr>
                  <w:rFonts w:ascii="Times New Roman" w:hAnsi="Times New Roman"/>
                  <w:szCs w:val="22"/>
                  <w:lang w:val="cs-CZ"/>
                </w:rPr>
                <w:delText>163 (20,0)</w:delText>
              </w:r>
              <w:r w:rsidRPr="001B4A02">
                <w:rPr>
                  <w:rFonts w:ascii="Times New Roman" w:hAnsi="Times New Roman"/>
                  <w:szCs w:val="22"/>
                  <w:vertAlign w:val="superscript"/>
                  <w:lang w:val="cs-CZ"/>
                </w:rPr>
                <w:delText>b</w:delText>
              </w:r>
            </w:del>
          </w:p>
        </w:tc>
      </w:tr>
      <w:tr w:rsidR="00534A2D" w14:paraId="197C2F6D" w14:textId="77777777" w:rsidTr="008D783A">
        <w:trPr>
          <w:trHeight w:val="261"/>
          <w:jc w:val="center"/>
          <w:del w:id="2075" w:author="AbbVie1" w:date="2025-05-13T09:50:00Z"/>
        </w:trPr>
        <w:tc>
          <w:tcPr>
            <w:tcW w:w="2298" w:type="dxa"/>
            <w:tcBorders>
              <w:top w:val="single" w:sz="4" w:space="0" w:color="auto"/>
              <w:left w:val="single" w:sz="4" w:space="0" w:color="auto"/>
              <w:bottom w:val="single" w:sz="4" w:space="0" w:color="auto"/>
              <w:right w:val="single" w:sz="4" w:space="0" w:color="auto"/>
            </w:tcBorders>
          </w:tcPr>
          <w:p w14:paraId="7A97577D" w14:textId="77777777" w:rsidR="007D6483" w:rsidRPr="001B4A02" w:rsidRDefault="00000000" w:rsidP="00931737">
            <w:pPr>
              <w:pStyle w:val="DefaultText"/>
              <w:keepNext/>
              <w:rPr>
                <w:del w:id="2076" w:author="AbbVie1" w:date="2025-05-13T09:50:00Z"/>
                <w:rFonts w:ascii="Times New Roman" w:hAnsi="Times New Roman"/>
                <w:b/>
                <w:bCs w:val="0"/>
                <w:szCs w:val="22"/>
                <w:lang w:val="cs-CZ"/>
              </w:rPr>
            </w:pPr>
            <w:del w:id="2077" w:author="AbbVie1" w:date="2025-05-13T09:50:00Z">
              <w:r w:rsidRPr="001B4A02">
                <w:rPr>
                  <w:rFonts w:ascii="Times New Roman" w:hAnsi="Times New Roman"/>
                  <w:b/>
                  <w:bCs w:val="0"/>
                  <w:szCs w:val="22"/>
                  <w:lang w:val="cs-CZ"/>
                </w:rPr>
                <w:delText>PGA: čistý/minimální</w:delText>
              </w:r>
            </w:del>
          </w:p>
        </w:tc>
        <w:tc>
          <w:tcPr>
            <w:tcW w:w="1984" w:type="dxa"/>
            <w:tcBorders>
              <w:top w:val="single" w:sz="4" w:space="0" w:color="auto"/>
              <w:left w:val="single" w:sz="4" w:space="0" w:color="auto"/>
              <w:bottom w:val="single" w:sz="4" w:space="0" w:color="auto"/>
              <w:right w:val="single" w:sz="4" w:space="0" w:color="auto"/>
            </w:tcBorders>
          </w:tcPr>
          <w:p w14:paraId="1B045E8F" w14:textId="77777777" w:rsidR="007D6483" w:rsidRPr="001B4A02" w:rsidRDefault="00000000" w:rsidP="00931737">
            <w:pPr>
              <w:pStyle w:val="DefaultText"/>
              <w:keepNext/>
              <w:jc w:val="center"/>
              <w:rPr>
                <w:del w:id="2078" w:author="AbbVie1" w:date="2025-05-13T09:50:00Z"/>
                <w:rFonts w:ascii="Times New Roman" w:hAnsi="Times New Roman"/>
                <w:szCs w:val="22"/>
                <w:lang w:val="cs-CZ"/>
              </w:rPr>
            </w:pPr>
            <w:del w:id="2079" w:author="AbbVie1" w:date="2025-05-13T09:50:00Z">
              <w:r w:rsidRPr="001B4A02">
                <w:rPr>
                  <w:rFonts w:ascii="Times New Roman" w:hAnsi="Times New Roman"/>
                  <w:szCs w:val="22"/>
                  <w:lang w:val="cs-CZ"/>
                </w:rPr>
                <w:delText>17 (4,3)</w:delText>
              </w:r>
            </w:del>
          </w:p>
        </w:tc>
        <w:tc>
          <w:tcPr>
            <w:tcW w:w="4280" w:type="dxa"/>
            <w:tcBorders>
              <w:top w:val="single" w:sz="4" w:space="0" w:color="auto"/>
              <w:left w:val="single" w:sz="4" w:space="0" w:color="auto"/>
              <w:bottom w:val="single" w:sz="4" w:space="0" w:color="auto"/>
              <w:right w:val="single" w:sz="4" w:space="0" w:color="auto"/>
            </w:tcBorders>
          </w:tcPr>
          <w:p w14:paraId="11AC4914" w14:textId="77777777" w:rsidR="007D6483" w:rsidRPr="001B4A02" w:rsidRDefault="00000000" w:rsidP="00931737">
            <w:pPr>
              <w:pStyle w:val="DefaultText"/>
              <w:keepNext/>
              <w:jc w:val="center"/>
              <w:rPr>
                <w:del w:id="2080" w:author="AbbVie1" w:date="2025-05-13T09:50:00Z"/>
                <w:rFonts w:ascii="Times New Roman" w:hAnsi="Times New Roman"/>
                <w:szCs w:val="22"/>
                <w:lang w:val="cs-CZ"/>
              </w:rPr>
            </w:pPr>
            <w:del w:id="2081" w:author="AbbVie1" w:date="2025-05-13T09:50:00Z">
              <w:r w:rsidRPr="001B4A02">
                <w:rPr>
                  <w:rFonts w:ascii="Times New Roman" w:hAnsi="Times New Roman"/>
                  <w:szCs w:val="22"/>
                  <w:lang w:val="cs-CZ"/>
                </w:rPr>
                <w:delText>506 (62,2)</w:delText>
              </w:r>
              <w:r w:rsidRPr="001B4A02">
                <w:rPr>
                  <w:rFonts w:ascii="Times New Roman" w:hAnsi="Times New Roman"/>
                  <w:szCs w:val="22"/>
                  <w:vertAlign w:val="superscript"/>
                  <w:lang w:val="cs-CZ"/>
                </w:rPr>
                <w:delText>b</w:delText>
              </w:r>
            </w:del>
          </w:p>
        </w:tc>
      </w:tr>
      <w:tr w:rsidR="00534A2D" w14:paraId="4CA9FBCE" w14:textId="77777777" w:rsidTr="008D783A">
        <w:trPr>
          <w:trHeight w:val="20"/>
          <w:jc w:val="center"/>
          <w:del w:id="2082" w:author="AbbVie1" w:date="2025-05-13T09:50:00Z"/>
        </w:trPr>
        <w:tc>
          <w:tcPr>
            <w:tcW w:w="8562" w:type="dxa"/>
            <w:gridSpan w:val="3"/>
            <w:tcBorders>
              <w:top w:val="single" w:sz="4" w:space="0" w:color="auto"/>
              <w:left w:val="single" w:sz="4" w:space="0" w:color="auto"/>
              <w:bottom w:val="single" w:sz="4" w:space="0" w:color="auto"/>
              <w:right w:val="single" w:sz="4" w:space="0" w:color="auto"/>
            </w:tcBorders>
          </w:tcPr>
          <w:p w14:paraId="4C34340D" w14:textId="77777777" w:rsidR="007D6483" w:rsidRPr="001B4A02" w:rsidRDefault="00000000" w:rsidP="00931737">
            <w:pPr>
              <w:pStyle w:val="DefaultText"/>
              <w:keepNext/>
              <w:rPr>
                <w:del w:id="2083" w:author="AbbVie1" w:date="2025-05-13T09:50:00Z"/>
                <w:rFonts w:ascii="Times New Roman" w:hAnsi="Times New Roman"/>
                <w:sz w:val="20"/>
                <w:lang w:val="cs-CZ"/>
              </w:rPr>
            </w:pPr>
            <w:del w:id="2084" w:author="AbbVie1" w:date="2025-05-13T09:50:00Z">
              <w:r w:rsidRPr="001B4A02">
                <w:rPr>
                  <w:rFonts w:ascii="Times New Roman" w:hAnsi="Times New Roman"/>
                  <w:sz w:val="20"/>
                  <w:vertAlign w:val="superscript"/>
                  <w:lang w:val="cs-CZ"/>
                </w:rPr>
                <w:delText>a</w:delText>
              </w:r>
              <w:r w:rsidRPr="001B4A02">
                <w:rPr>
                  <w:rFonts w:ascii="Times New Roman" w:hAnsi="Times New Roman"/>
                  <w:sz w:val="20"/>
                  <w:lang w:val="cs-CZ"/>
                </w:rPr>
                <w:delText xml:space="preserve"> Procento pacientů, kteří dosáhli PASI75, bylo vypočteno jako střední průměr hodnot</w:delText>
              </w:r>
            </w:del>
          </w:p>
          <w:p w14:paraId="09BDAD32" w14:textId="77777777" w:rsidR="007D6483" w:rsidRPr="001B4A02" w:rsidRDefault="00000000" w:rsidP="00931737">
            <w:pPr>
              <w:pStyle w:val="DefaultText"/>
              <w:keepNext/>
              <w:rPr>
                <w:del w:id="2085" w:author="AbbVie1" w:date="2025-05-13T09:50:00Z"/>
                <w:rFonts w:ascii="Times New Roman" w:hAnsi="Times New Roman"/>
                <w:szCs w:val="22"/>
                <w:lang w:val="cs-CZ"/>
              </w:rPr>
            </w:pPr>
            <w:del w:id="2086" w:author="AbbVie1" w:date="2025-05-13T09:50:00Z">
              <w:r w:rsidRPr="001B4A02">
                <w:rPr>
                  <w:rFonts w:ascii="Times New Roman" w:hAnsi="Times New Roman"/>
                  <w:sz w:val="20"/>
                  <w:vertAlign w:val="superscript"/>
                  <w:lang w:val="cs-CZ"/>
                </w:rPr>
                <w:delText>b</w:delText>
              </w:r>
              <w:r w:rsidRPr="001B4A02">
                <w:rPr>
                  <w:rFonts w:ascii="Times New Roman" w:hAnsi="Times New Roman"/>
                  <w:sz w:val="20"/>
                  <w:lang w:val="cs-CZ"/>
                </w:rPr>
                <w:delText xml:space="preserve"> p&lt;0</w:delText>
              </w:r>
              <w:r w:rsidR="00721A81" w:rsidRPr="001B4A02">
                <w:rPr>
                  <w:rFonts w:ascii="Times New Roman" w:hAnsi="Times New Roman"/>
                  <w:sz w:val="20"/>
                  <w:lang w:val="cs-CZ"/>
                </w:rPr>
                <w:delText>,</w:delText>
              </w:r>
              <w:r w:rsidRPr="001B4A02">
                <w:rPr>
                  <w:rFonts w:ascii="Times New Roman" w:hAnsi="Times New Roman"/>
                  <w:sz w:val="20"/>
                  <w:lang w:val="cs-CZ"/>
                </w:rPr>
                <w:delText xml:space="preserve">001, </w:delText>
              </w:r>
              <w:r w:rsidR="004C58C9" w:rsidRPr="001B4A02">
                <w:rPr>
                  <w:rFonts w:ascii="Times New Roman" w:hAnsi="Times New Roman"/>
                  <w:sz w:val="20"/>
                  <w:lang w:val="cs-CZ"/>
                </w:rPr>
                <w:delText>p</w:delText>
              </w:r>
              <w:r w:rsidR="00F67928" w:rsidRPr="001B4A02">
                <w:rPr>
                  <w:rFonts w:ascii="Times New Roman" w:hAnsi="Times New Roman"/>
                  <w:sz w:val="20"/>
                  <w:lang w:val="cs-CZ"/>
                </w:rPr>
                <w:delText xml:space="preserve">řípravek </w:delText>
              </w:r>
              <w:r w:rsidRPr="001B4A02">
                <w:rPr>
                  <w:rFonts w:ascii="Times New Roman" w:hAnsi="Times New Roman"/>
                  <w:sz w:val="20"/>
                  <w:lang w:val="cs-CZ"/>
                </w:rPr>
                <w:delText xml:space="preserve">Humira vs. </w:delText>
              </w:r>
              <w:r w:rsidR="004C58C9" w:rsidRPr="001B4A02">
                <w:rPr>
                  <w:rFonts w:ascii="Times New Roman" w:hAnsi="Times New Roman"/>
                  <w:sz w:val="20"/>
                  <w:lang w:val="cs-CZ"/>
                </w:rPr>
                <w:delText>p</w:delText>
              </w:r>
              <w:r w:rsidRPr="001B4A02">
                <w:rPr>
                  <w:rFonts w:ascii="Times New Roman" w:hAnsi="Times New Roman"/>
                  <w:sz w:val="20"/>
                  <w:lang w:val="cs-CZ"/>
                </w:rPr>
                <w:delText>lacebo</w:delText>
              </w:r>
            </w:del>
          </w:p>
        </w:tc>
      </w:tr>
    </w:tbl>
    <w:p w14:paraId="302DE0DC" w14:textId="77777777" w:rsidR="007D6483" w:rsidRPr="001B4A02" w:rsidRDefault="007D6483" w:rsidP="00527B4A">
      <w:pPr>
        <w:pStyle w:val="EMEANormal"/>
        <w:tabs>
          <w:tab w:val="clear" w:pos="562"/>
        </w:tabs>
        <w:suppressAutoHyphens w:val="0"/>
        <w:rPr>
          <w:del w:id="2087" w:author="AbbVie1" w:date="2025-05-13T09:50:00Z"/>
          <w:lang w:val="cs-CZ"/>
        </w:rPr>
      </w:pPr>
    </w:p>
    <w:p w14:paraId="6B181549" w14:textId="77777777" w:rsidR="007D6483" w:rsidRPr="001B4A02" w:rsidRDefault="00000000" w:rsidP="00931737">
      <w:pPr>
        <w:pStyle w:val="DefaultText"/>
        <w:jc w:val="center"/>
        <w:rPr>
          <w:del w:id="2088" w:author="AbbVie1" w:date="2025-05-13T09:50:00Z"/>
          <w:rFonts w:ascii="Times New Roman" w:hAnsi="Times New Roman"/>
          <w:b/>
          <w:bCs w:val="0"/>
          <w:szCs w:val="22"/>
          <w:lang w:val="cs-CZ"/>
        </w:rPr>
      </w:pPr>
      <w:del w:id="2089" w:author="AbbVie1" w:date="2025-05-13T09:50:00Z">
        <w:r w:rsidRPr="001B4A02">
          <w:rPr>
            <w:rFonts w:ascii="Times New Roman" w:hAnsi="Times New Roman"/>
            <w:b/>
            <w:bCs w:val="0"/>
            <w:szCs w:val="22"/>
            <w:lang w:val="cs-CZ"/>
          </w:rPr>
          <w:delText xml:space="preserve">Tabulka </w:delText>
        </w:r>
        <w:r w:rsidR="00D76799">
          <w:rPr>
            <w:rFonts w:ascii="Times New Roman" w:hAnsi="Times New Roman"/>
            <w:b/>
            <w:bCs w:val="0"/>
            <w:szCs w:val="22"/>
            <w:lang w:val="cs-CZ"/>
          </w:rPr>
          <w:delText>13</w:delText>
        </w:r>
      </w:del>
    </w:p>
    <w:p w14:paraId="15F588A9" w14:textId="77777777" w:rsidR="007D6483" w:rsidRPr="001B4A02" w:rsidRDefault="00000000" w:rsidP="00931737">
      <w:pPr>
        <w:pStyle w:val="DefaultText"/>
        <w:jc w:val="center"/>
        <w:rPr>
          <w:del w:id="2090" w:author="AbbVie1" w:date="2025-05-13T09:50:00Z"/>
          <w:rFonts w:ascii="Times New Roman" w:hAnsi="Times New Roman"/>
          <w:b/>
          <w:bCs w:val="0"/>
          <w:szCs w:val="22"/>
          <w:lang w:val="cs-CZ"/>
        </w:rPr>
      </w:pPr>
      <w:del w:id="2091" w:author="AbbVie1" w:date="2025-05-13T09:50:00Z">
        <w:r w:rsidRPr="001B4A02">
          <w:rPr>
            <w:rFonts w:ascii="Times New Roman" w:hAnsi="Times New Roman"/>
            <w:b/>
            <w:bCs w:val="0"/>
            <w:szCs w:val="22"/>
            <w:lang w:val="cs-CZ"/>
          </w:rPr>
          <w:delText>Studie Ps II (CHAMPION)</w:delText>
        </w:r>
      </w:del>
    </w:p>
    <w:p w14:paraId="078867AE" w14:textId="77777777" w:rsidR="007D6483" w:rsidRPr="001B4A02" w:rsidRDefault="00000000" w:rsidP="00931737">
      <w:pPr>
        <w:pStyle w:val="EMEANormal"/>
        <w:tabs>
          <w:tab w:val="clear" w:pos="562"/>
        </w:tabs>
        <w:suppressAutoHyphens w:val="0"/>
        <w:jc w:val="center"/>
        <w:rPr>
          <w:del w:id="2092" w:author="AbbVie1" w:date="2025-05-13T09:50:00Z"/>
          <w:u w:val="single"/>
          <w:lang w:val="cs-CZ"/>
        </w:rPr>
      </w:pPr>
      <w:del w:id="2093" w:author="AbbVie1" w:date="2025-05-13T09:50:00Z">
        <w:r w:rsidRPr="001B4A02">
          <w:rPr>
            <w:b/>
            <w:bCs/>
            <w:szCs w:val="22"/>
            <w:lang w:val="cs-CZ"/>
          </w:rPr>
          <w:delText>Výsledky účinnosti za 16 týdnů</w:delText>
        </w:r>
      </w:del>
    </w:p>
    <w:p w14:paraId="16FE3F1A" w14:textId="77777777" w:rsidR="007D6483" w:rsidRPr="001B4A02" w:rsidRDefault="007D6483" w:rsidP="00931737">
      <w:pPr>
        <w:pStyle w:val="EMEANormal"/>
        <w:tabs>
          <w:tab w:val="clear" w:pos="562"/>
        </w:tabs>
        <w:suppressAutoHyphens w:val="0"/>
        <w:rPr>
          <w:del w:id="2094" w:author="AbbVie1" w:date="2025-05-13T09:50:00Z"/>
          <w:u w:val="single"/>
          <w:lang w:val="cs-CZ"/>
        </w:rPr>
      </w:pPr>
    </w:p>
    <w:tbl>
      <w:tblPr>
        <w:tblW w:w="862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86"/>
        <w:gridCol w:w="1925"/>
        <w:gridCol w:w="1557"/>
        <w:gridCol w:w="2756"/>
      </w:tblGrid>
      <w:tr w:rsidR="00534A2D" w14:paraId="681C8D86" w14:textId="77777777" w:rsidTr="008D783A">
        <w:trPr>
          <w:trHeight w:val="20"/>
          <w:jc w:val="center"/>
          <w:del w:id="2095" w:author="AbbVie1" w:date="2025-05-13T09:50:00Z"/>
        </w:trPr>
        <w:tc>
          <w:tcPr>
            <w:tcW w:w="2386" w:type="dxa"/>
            <w:tcBorders>
              <w:top w:val="single" w:sz="4" w:space="0" w:color="auto"/>
              <w:left w:val="single" w:sz="4" w:space="0" w:color="auto"/>
              <w:bottom w:val="single" w:sz="4" w:space="0" w:color="auto"/>
              <w:right w:val="single" w:sz="4" w:space="0" w:color="auto"/>
            </w:tcBorders>
          </w:tcPr>
          <w:p w14:paraId="32C78776" w14:textId="77777777" w:rsidR="007D6483" w:rsidRPr="001B4A02" w:rsidRDefault="007D6483" w:rsidP="00931737">
            <w:pPr>
              <w:pStyle w:val="DefaultText"/>
              <w:jc w:val="center"/>
              <w:rPr>
                <w:del w:id="2096" w:author="AbbVie1" w:date="2025-05-13T09:50:00Z"/>
                <w:rFonts w:ascii="Times New Roman" w:hAnsi="Times New Roman"/>
                <w:b/>
                <w:bCs w:val="0"/>
                <w:szCs w:val="22"/>
                <w:lang w:val="cs-CZ"/>
              </w:rPr>
            </w:pPr>
          </w:p>
        </w:tc>
        <w:tc>
          <w:tcPr>
            <w:tcW w:w="1925" w:type="dxa"/>
            <w:tcBorders>
              <w:top w:val="single" w:sz="4" w:space="0" w:color="auto"/>
              <w:left w:val="single" w:sz="4" w:space="0" w:color="auto"/>
              <w:bottom w:val="single" w:sz="4" w:space="0" w:color="auto"/>
              <w:right w:val="single" w:sz="4" w:space="0" w:color="auto"/>
            </w:tcBorders>
            <w:vAlign w:val="center"/>
          </w:tcPr>
          <w:p w14:paraId="2BA48A7E" w14:textId="77777777" w:rsidR="007D6483" w:rsidRPr="001B4A02" w:rsidRDefault="00000000" w:rsidP="00931737">
            <w:pPr>
              <w:pStyle w:val="DefaultText"/>
              <w:jc w:val="center"/>
              <w:rPr>
                <w:del w:id="2097" w:author="AbbVie1" w:date="2025-05-13T09:50:00Z"/>
                <w:rFonts w:ascii="Times New Roman" w:hAnsi="Times New Roman"/>
                <w:b/>
                <w:bCs w:val="0"/>
                <w:szCs w:val="22"/>
                <w:lang w:val="cs-CZ"/>
              </w:rPr>
            </w:pPr>
            <w:del w:id="2098" w:author="AbbVie1" w:date="2025-05-13T09:50:00Z">
              <w:r w:rsidRPr="001B4A02">
                <w:rPr>
                  <w:rFonts w:ascii="Times New Roman" w:hAnsi="Times New Roman"/>
                  <w:b/>
                  <w:bCs w:val="0"/>
                  <w:szCs w:val="22"/>
                  <w:lang w:val="cs-CZ"/>
                </w:rPr>
                <w:delText>Placebo</w:delText>
              </w:r>
            </w:del>
          </w:p>
          <w:p w14:paraId="6261C855" w14:textId="77777777" w:rsidR="007D6483" w:rsidRPr="001B4A02" w:rsidRDefault="00000000" w:rsidP="00931737">
            <w:pPr>
              <w:pStyle w:val="DefaultText"/>
              <w:jc w:val="center"/>
              <w:rPr>
                <w:del w:id="2099" w:author="AbbVie1" w:date="2025-05-13T09:50:00Z"/>
                <w:rFonts w:ascii="Times New Roman" w:hAnsi="Times New Roman"/>
                <w:b/>
                <w:bCs w:val="0"/>
                <w:szCs w:val="22"/>
                <w:lang w:val="cs-CZ"/>
              </w:rPr>
            </w:pPr>
            <w:del w:id="2100" w:author="AbbVie1" w:date="2025-05-13T09:50:00Z">
              <w:r>
                <w:rPr>
                  <w:rFonts w:ascii="Times New Roman" w:hAnsi="Times New Roman"/>
                  <w:b/>
                  <w:bCs w:val="0"/>
                  <w:szCs w:val="22"/>
                  <w:lang w:val="cs-CZ"/>
                </w:rPr>
                <w:delText>n</w:delText>
              </w:r>
              <w:r w:rsidRPr="001B4A02">
                <w:rPr>
                  <w:rFonts w:ascii="Times New Roman" w:hAnsi="Times New Roman"/>
                  <w:b/>
                  <w:bCs w:val="0"/>
                  <w:szCs w:val="22"/>
                  <w:lang w:val="cs-CZ"/>
                </w:rPr>
                <w:delText>=53</w:delText>
              </w:r>
            </w:del>
          </w:p>
          <w:p w14:paraId="5C4F466F" w14:textId="77777777" w:rsidR="007D6483" w:rsidRPr="001B4A02" w:rsidRDefault="00000000" w:rsidP="00931737">
            <w:pPr>
              <w:pStyle w:val="DefaultText"/>
              <w:jc w:val="center"/>
              <w:rPr>
                <w:del w:id="2101" w:author="AbbVie1" w:date="2025-05-13T09:50:00Z"/>
                <w:rFonts w:ascii="Times New Roman" w:hAnsi="Times New Roman"/>
                <w:b/>
                <w:bCs w:val="0"/>
                <w:szCs w:val="22"/>
                <w:lang w:val="cs-CZ"/>
              </w:rPr>
            </w:pPr>
            <w:del w:id="2102" w:author="AbbVie1" w:date="2025-05-13T09:50:00Z">
              <w:r w:rsidRPr="001B4A02">
                <w:rPr>
                  <w:rFonts w:ascii="Times New Roman" w:hAnsi="Times New Roman"/>
                  <w:b/>
                  <w:bCs w:val="0"/>
                  <w:szCs w:val="22"/>
                  <w:lang w:val="cs-CZ"/>
                </w:rPr>
                <w:delText>n (%)</w:delText>
              </w:r>
            </w:del>
          </w:p>
        </w:tc>
        <w:tc>
          <w:tcPr>
            <w:tcW w:w="1557" w:type="dxa"/>
            <w:tcBorders>
              <w:top w:val="single" w:sz="4" w:space="0" w:color="auto"/>
              <w:left w:val="single" w:sz="4" w:space="0" w:color="auto"/>
              <w:bottom w:val="single" w:sz="4" w:space="0" w:color="auto"/>
              <w:right w:val="single" w:sz="4" w:space="0" w:color="auto"/>
            </w:tcBorders>
            <w:vAlign w:val="center"/>
          </w:tcPr>
          <w:p w14:paraId="684DFD31" w14:textId="77777777" w:rsidR="007D6483" w:rsidRPr="001B4A02" w:rsidRDefault="00000000" w:rsidP="00931737">
            <w:pPr>
              <w:pStyle w:val="DefaultText"/>
              <w:jc w:val="center"/>
              <w:rPr>
                <w:del w:id="2103" w:author="AbbVie1" w:date="2025-05-13T09:50:00Z"/>
                <w:rFonts w:ascii="Times New Roman" w:hAnsi="Times New Roman"/>
                <w:b/>
                <w:bCs w:val="0"/>
                <w:szCs w:val="22"/>
                <w:lang w:val="cs-CZ"/>
              </w:rPr>
            </w:pPr>
            <w:del w:id="2104" w:author="AbbVie1" w:date="2025-05-13T09:50:00Z">
              <w:r w:rsidRPr="001B4A02">
                <w:rPr>
                  <w:rFonts w:ascii="Times New Roman" w:hAnsi="Times New Roman"/>
                  <w:b/>
                  <w:bCs w:val="0"/>
                  <w:szCs w:val="22"/>
                  <w:lang w:val="cs-CZ"/>
                </w:rPr>
                <w:delText>MTX</w:delText>
              </w:r>
            </w:del>
          </w:p>
          <w:p w14:paraId="12F73E15" w14:textId="77777777" w:rsidR="007D6483" w:rsidRPr="001B4A02" w:rsidRDefault="00000000" w:rsidP="00931737">
            <w:pPr>
              <w:pStyle w:val="DefaultText"/>
              <w:jc w:val="center"/>
              <w:rPr>
                <w:del w:id="2105" w:author="AbbVie1" w:date="2025-05-13T09:50:00Z"/>
                <w:rFonts w:ascii="Times New Roman" w:hAnsi="Times New Roman"/>
                <w:b/>
                <w:bCs w:val="0"/>
                <w:szCs w:val="22"/>
                <w:lang w:val="cs-CZ"/>
              </w:rPr>
            </w:pPr>
            <w:del w:id="2106" w:author="AbbVie1" w:date="2025-05-13T09:50:00Z">
              <w:r>
                <w:rPr>
                  <w:rFonts w:ascii="Times New Roman" w:hAnsi="Times New Roman"/>
                  <w:b/>
                  <w:bCs w:val="0"/>
                  <w:szCs w:val="22"/>
                  <w:lang w:val="cs-CZ"/>
                </w:rPr>
                <w:delText>n</w:delText>
              </w:r>
              <w:r w:rsidRPr="001B4A02">
                <w:rPr>
                  <w:rFonts w:ascii="Times New Roman" w:hAnsi="Times New Roman"/>
                  <w:b/>
                  <w:bCs w:val="0"/>
                  <w:szCs w:val="22"/>
                  <w:lang w:val="cs-CZ"/>
                </w:rPr>
                <w:delText>=110</w:delText>
              </w:r>
            </w:del>
          </w:p>
          <w:p w14:paraId="32157A14" w14:textId="77777777" w:rsidR="007D6483" w:rsidRPr="001B4A02" w:rsidRDefault="00000000" w:rsidP="00931737">
            <w:pPr>
              <w:pStyle w:val="DefaultText"/>
              <w:jc w:val="center"/>
              <w:rPr>
                <w:del w:id="2107" w:author="AbbVie1" w:date="2025-05-13T09:50:00Z"/>
                <w:rFonts w:ascii="Times New Roman" w:hAnsi="Times New Roman"/>
                <w:b/>
                <w:bCs w:val="0"/>
                <w:szCs w:val="22"/>
                <w:lang w:val="cs-CZ"/>
              </w:rPr>
            </w:pPr>
            <w:del w:id="2108" w:author="AbbVie1" w:date="2025-05-13T09:50:00Z">
              <w:r w:rsidRPr="001B4A02">
                <w:rPr>
                  <w:rFonts w:ascii="Times New Roman" w:hAnsi="Times New Roman"/>
                  <w:b/>
                  <w:bCs w:val="0"/>
                  <w:szCs w:val="22"/>
                  <w:lang w:val="cs-CZ"/>
                </w:rPr>
                <w:delText>n (%)</w:delText>
              </w:r>
            </w:del>
          </w:p>
        </w:tc>
        <w:tc>
          <w:tcPr>
            <w:tcW w:w="2756" w:type="dxa"/>
            <w:tcBorders>
              <w:top w:val="single" w:sz="4" w:space="0" w:color="auto"/>
              <w:left w:val="single" w:sz="4" w:space="0" w:color="auto"/>
              <w:bottom w:val="single" w:sz="4" w:space="0" w:color="auto"/>
              <w:right w:val="single" w:sz="4" w:space="0" w:color="auto"/>
            </w:tcBorders>
            <w:vAlign w:val="center"/>
          </w:tcPr>
          <w:p w14:paraId="7CF931EB" w14:textId="77777777" w:rsidR="007D6483" w:rsidRPr="001B4A02" w:rsidRDefault="00000000" w:rsidP="00931737">
            <w:pPr>
              <w:pStyle w:val="DefaultText"/>
              <w:jc w:val="center"/>
              <w:rPr>
                <w:del w:id="2109" w:author="AbbVie1" w:date="2025-05-13T09:50:00Z"/>
                <w:rFonts w:ascii="Times New Roman" w:hAnsi="Times New Roman"/>
                <w:b/>
                <w:bCs w:val="0"/>
                <w:szCs w:val="22"/>
                <w:lang w:val="cs-CZ"/>
              </w:rPr>
            </w:pPr>
            <w:del w:id="2110" w:author="AbbVie1" w:date="2025-05-13T09:50:00Z">
              <w:r w:rsidRPr="001B4A02">
                <w:rPr>
                  <w:rFonts w:ascii="Times New Roman" w:hAnsi="Times New Roman"/>
                  <w:b/>
                  <w:bCs w:val="0"/>
                  <w:szCs w:val="22"/>
                  <w:lang w:val="cs-CZ"/>
                </w:rPr>
                <w:delText>Humira 40</w:delText>
              </w:r>
              <w:r w:rsidR="00294902">
                <w:rPr>
                  <w:rFonts w:ascii="Times New Roman" w:hAnsi="Times New Roman"/>
                  <w:b/>
                  <w:bCs w:val="0"/>
                  <w:szCs w:val="22"/>
                  <w:lang w:val="cs-CZ"/>
                </w:rPr>
                <w:delText> mg</w:delText>
              </w:r>
              <w:r w:rsidRPr="001B4A02">
                <w:rPr>
                  <w:rFonts w:ascii="Times New Roman" w:hAnsi="Times New Roman"/>
                  <w:b/>
                  <w:bCs w:val="0"/>
                  <w:szCs w:val="22"/>
                  <w:lang w:val="cs-CZ"/>
                </w:rPr>
                <w:delText xml:space="preserve"> každý druhý týden</w:delText>
              </w:r>
            </w:del>
          </w:p>
          <w:p w14:paraId="7EFD10B5" w14:textId="77777777" w:rsidR="007D6483" w:rsidRPr="001B4A02" w:rsidRDefault="00000000" w:rsidP="00931737">
            <w:pPr>
              <w:pStyle w:val="DefaultText"/>
              <w:jc w:val="center"/>
              <w:rPr>
                <w:del w:id="2111" w:author="AbbVie1" w:date="2025-05-13T09:50:00Z"/>
                <w:rFonts w:ascii="Times New Roman" w:hAnsi="Times New Roman"/>
                <w:b/>
                <w:bCs w:val="0"/>
                <w:szCs w:val="22"/>
                <w:lang w:val="cs-CZ"/>
              </w:rPr>
            </w:pPr>
            <w:del w:id="2112" w:author="AbbVie1" w:date="2025-05-13T09:50:00Z">
              <w:r>
                <w:rPr>
                  <w:rFonts w:ascii="Times New Roman" w:hAnsi="Times New Roman"/>
                  <w:b/>
                  <w:bCs w:val="0"/>
                  <w:szCs w:val="22"/>
                  <w:lang w:val="cs-CZ"/>
                </w:rPr>
                <w:delText>n</w:delText>
              </w:r>
              <w:r w:rsidRPr="001B4A02">
                <w:rPr>
                  <w:rFonts w:ascii="Times New Roman" w:hAnsi="Times New Roman"/>
                  <w:b/>
                  <w:bCs w:val="0"/>
                  <w:szCs w:val="22"/>
                  <w:lang w:val="cs-CZ"/>
                </w:rPr>
                <w:delText>=108</w:delText>
              </w:r>
            </w:del>
          </w:p>
          <w:p w14:paraId="4D76F833" w14:textId="77777777" w:rsidR="007D6483" w:rsidRPr="001B4A02" w:rsidRDefault="00000000" w:rsidP="00931737">
            <w:pPr>
              <w:pStyle w:val="DefaultText"/>
              <w:jc w:val="center"/>
              <w:rPr>
                <w:del w:id="2113" w:author="AbbVie1" w:date="2025-05-13T09:50:00Z"/>
                <w:rFonts w:ascii="Times New Roman" w:hAnsi="Times New Roman"/>
                <w:b/>
                <w:bCs w:val="0"/>
                <w:szCs w:val="22"/>
                <w:lang w:val="cs-CZ"/>
              </w:rPr>
            </w:pPr>
            <w:del w:id="2114" w:author="AbbVie1" w:date="2025-05-13T09:50:00Z">
              <w:r w:rsidRPr="001B4A02">
                <w:rPr>
                  <w:rFonts w:ascii="Times New Roman" w:hAnsi="Times New Roman"/>
                  <w:b/>
                  <w:bCs w:val="0"/>
                  <w:szCs w:val="22"/>
                  <w:lang w:val="cs-CZ"/>
                </w:rPr>
                <w:delText>n (%)</w:delText>
              </w:r>
            </w:del>
          </w:p>
        </w:tc>
      </w:tr>
      <w:tr w:rsidR="00534A2D" w14:paraId="71015B11" w14:textId="77777777" w:rsidTr="008D783A">
        <w:trPr>
          <w:trHeight w:val="20"/>
          <w:jc w:val="center"/>
          <w:del w:id="2115" w:author="AbbVie1" w:date="2025-05-13T09:50:00Z"/>
        </w:trPr>
        <w:tc>
          <w:tcPr>
            <w:tcW w:w="2386" w:type="dxa"/>
            <w:tcBorders>
              <w:top w:val="single" w:sz="4" w:space="0" w:color="auto"/>
              <w:left w:val="single" w:sz="4" w:space="0" w:color="auto"/>
              <w:bottom w:val="single" w:sz="4" w:space="0" w:color="auto"/>
              <w:right w:val="single" w:sz="4" w:space="0" w:color="auto"/>
            </w:tcBorders>
          </w:tcPr>
          <w:p w14:paraId="2A6E3515" w14:textId="77777777" w:rsidR="007D6483" w:rsidRPr="001B4A02" w:rsidRDefault="00000000" w:rsidP="00931737">
            <w:pPr>
              <w:pStyle w:val="DefaultText"/>
              <w:rPr>
                <w:del w:id="2116" w:author="AbbVie1" w:date="2025-05-13T09:50:00Z"/>
                <w:rFonts w:ascii="Times New Roman" w:hAnsi="Times New Roman"/>
                <w:b/>
                <w:bCs w:val="0"/>
                <w:szCs w:val="22"/>
                <w:lang w:val="cs-CZ"/>
              </w:rPr>
            </w:pPr>
            <w:del w:id="2117" w:author="AbbVie1" w:date="2025-05-13T09:50:00Z">
              <w:r w:rsidRPr="001B4A02">
                <w:rPr>
                  <w:rFonts w:ascii="Symbol" w:hAnsi="Symbol"/>
                  <w:b/>
                  <w:lang w:val="cs-CZ"/>
                </w:rPr>
                <w:sym w:font="Symbol" w:char="F0B3"/>
              </w:r>
              <w:r w:rsidRPr="001B4A02">
                <w:rPr>
                  <w:rFonts w:ascii="Times New Roman" w:hAnsi="Times New Roman"/>
                  <w:b/>
                  <w:lang w:val="cs-CZ"/>
                </w:rPr>
                <w:delText xml:space="preserve"> </w:delText>
              </w:r>
              <w:r w:rsidRPr="001B4A02">
                <w:rPr>
                  <w:rFonts w:ascii="Times New Roman" w:hAnsi="Times New Roman"/>
                  <w:b/>
                  <w:bCs w:val="0"/>
                  <w:szCs w:val="22"/>
                  <w:lang w:val="cs-CZ"/>
                </w:rPr>
                <w:delText>PASI 75</w:delText>
              </w:r>
            </w:del>
          </w:p>
        </w:tc>
        <w:tc>
          <w:tcPr>
            <w:tcW w:w="1925" w:type="dxa"/>
            <w:tcBorders>
              <w:top w:val="single" w:sz="4" w:space="0" w:color="auto"/>
              <w:left w:val="single" w:sz="4" w:space="0" w:color="auto"/>
              <w:bottom w:val="single" w:sz="4" w:space="0" w:color="auto"/>
              <w:right w:val="single" w:sz="4" w:space="0" w:color="auto"/>
            </w:tcBorders>
          </w:tcPr>
          <w:p w14:paraId="60F73394" w14:textId="77777777" w:rsidR="007D6483" w:rsidRPr="001B4A02" w:rsidRDefault="00000000" w:rsidP="00931737">
            <w:pPr>
              <w:pStyle w:val="DefaultText"/>
              <w:jc w:val="center"/>
              <w:rPr>
                <w:del w:id="2118" w:author="AbbVie1" w:date="2025-05-13T09:50:00Z"/>
                <w:rFonts w:ascii="Times New Roman" w:hAnsi="Times New Roman"/>
                <w:szCs w:val="22"/>
                <w:lang w:val="cs-CZ"/>
              </w:rPr>
            </w:pPr>
            <w:del w:id="2119" w:author="AbbVie1" w:date="2025-05-13T09:50:00Z">
              <w:r w:rsidRPr="001B4A02">
                <w:rPr>
                  <w:rFonts w:ascii="Times New Roman" w:hAnsi="Times New Roman"/>
                  <w:szCs w:val="22"/>
                  <w:lang w:val="cs-CZ"/>
                </w:rPr>
                <w:delText>10 (18,9)</w:delText>
              </w:r>
            </w:del>
          </w:p>
        </w:tc>
        <w:tc>
          <w:tcPr>
            <w:tcW w:w="1557" w:type="dxa"/>
            <w:tcBorders>
              <w:top w:val="single" w:sz="4" w:space="0" w:color="auto"/>
              <w:left w:val="single" w:sz="4" w:space="0" w:color="auto"/>
              <w:bottom w:val="single" w:sz="4" w:space="0" w:color="auto"/>
              <w:right w:val="single" w:sz="4" w:space="0" w:color="auto"/>
            </w:tcBorders>
          </w:tcPr>
          <w:p w14:paraId="0682A383" w14:textId="77777777" w:rsidR="007D6483" w:rsidRPr="001B4A02" w:rsidRDefault="00000000" w:rsidP="00931737">
            <w:pPr>
              <w:pStyle w:val="DefaultText"/>
              <w:jc w:val="center"/>
              <w:rPr>
                <w:del w:id="2120" w:author="AbbVie1" w:date="2025-05-13T09:50:00Z"/>
                <w:rFonts w:ascii="Times New Roman" w:hAnsi="Times New Roman"/>
                <w:szCs w:val="22"/>
                <w:lang w:val="cs-CZ"/>
              </w:rPr>
            </w:pPr>
            <w:del w:id="2121" w:author="AbbVie1" w:date="2025-05-13T09:50:00Z">
              <w:r w:rsidRPr="001B4A02">
                <w:rPr>
                  <w:rFonts w:ascii="Times New Roman" w:hAnsi="Times New Roman"/>
                  <w:szCs w:val="22"/>
                  <w:lang w:val="cs-CZ"/>
                </w:rPr>
                <w:delText>39 (35,5)</w:delText>
              </w:r>
            </w:del>
          </w:p>
        </w:tc>
        <w:tc>
          <w:tcPr>
            <w:tcW w:w="2756" w:type="dxa"/>
            <w:tcBorders>
              <w:top w:val="single" w:sz="4" w:space="0" w:color="auto"/>
              <w:left w:val="single" w:sz="4" w:space="0" w:color="auto"/>
              <w:bottom w:val="single" w:sz="4" w:space="0" w:color="auto"/>
              <w:right w:val="single" w:sz="4" w:space="0" w:color="auto"/>
            </w:tcBorders>
          </w:tcPr>
          <w:p w14:paraId="5CC79DE6" w14:textId="77777777" w:rsidR="007D6483" w:rsidRPr="001B4A02" w:rsidRDefault="00000000" w:rsidP="00931737">
            <w:pPr>
              <w:pStyle w:val="DefaultText"/>
              <w:jc w:val="center"/>
              <w:rPr>
                <w:del w:id="2122" w:author="AbbVie1" w:date="2025-05-13T09:50:00Z"/>
                <w:rFonts w:ascii="Times New Roman" w:hAnsi="Times New Roman"/>
                <w:szCs w:val="22"/>
                <w:lang w:val="cs-CZ"/>
              </w:rPr>
            </w:pPr>
            <w:del w:id="2123" w:author="AbbVie1" w:date="2025-05-13T09:50:00Z">
              <w:r w:rsidRPr="001B4A02">
                <w:rPr>
                  <w:rFonts w:ascii="Times New Roman" w:hAnsi="Times New Roman"/>
                  <w:szCs w:val="22"/>
                  <w:lang w:val="cs-CZ"/>
                </w:rPr>
                <w:delText>86 (79,6)</w:delText>
              </w:r>
              <w:r w:rsidRPr="001B4A02">
                <w:rPr>
                  <w:rFonts w:ascii="Times New Roman" w:hAnsi="Times New Roman"/>
                  <w:szCs w:val="22"/>
                  <w:vertAlign w:val="superscript"/>
                  <w:lang w:val="cs-CZ"/>
                </w:rPr>
                <w:delText xml:space="preserve"> a, b</w:delText>
              </w:r>
            </w:del>
          </w:p>
        </w:tc>
      </w:tr>
      <w:tr w:rsidR="00534A2D" w14:paraId="1E897AF2" w14:textId="77777777" w:rsidTr="008D783A">
        <w:trPr>
          <w:trHeight w:val="20"/>
          <w:jc w:val="center"/>
          <w:del w:id="2124" w:author="AbbVie1" w:date="2025-05-13T09:50:00Z"/>
        </w:trPr>
        <w:tc>
          <w:tcPr>
            <w:tcW w:w="2386" w:type="dxa"/>
            <w:tcBorders>
              <w:top w:val="single" w:sz="4" w:space="0" w:color="auto"/>
              <w:left w:val="single" w:sz="4" w:space="0" w:color="auto"/>
              <w:bottom w:val="single" w:sz="4" w:space="0" w:color="auto"/>
              <w:right w:val="single" w:sz="4" w:space="0" w:color="auto"/>
            </w:tcBorders>
          </w:tcPr>
          <w:p w14:paraId="5C0F8533" w14:textId="77777777" w:rsidR="007D6483" w:rsidRPr="001B4A02" w:rsidRDefault="00000000" w:rsidP="00931737">
            <w:pPr>
              <w:pStyle w:val="DefaultText"/>
              <w:rPr>
                <w:del w:id="2125" w:author="AbbVie1" w:date="2025-05-13T09:50:00Z"/>
                <w:rFonts w:ascii="Times New Roman" w:hAnsi="Times New Roman"/>
                <w:b/>
                <w:bCs w:val="0"/>
                <w:szCs w:val="22"/>
                <w:lang w:val="cs-CZ"/>
              </w:rPr>
            </w:pPr>
            <w:del w:id="2126" w:author="AbbVie1" w:date="2025-05-13T09:50:00Z">
              <w:r w:rsidRPr="001B4A02">
                <w:rPr>
                  <w:rFonts w:ascii="Times New Roman" w:hAnsi="Times New Roman"/>
                  <w:b/>
                  <w:bCs w:val="0"/>
                  <w:szCs w:val="22"/>
                  <w:lang w:val="cs-CZ"/>
                </w:rPr>
                <w:delText>PASI 100</w:delText>
              </w:r>
            </w:del>
          </w:p>
        </w:tc>
        <w:tc>
          <w:tcPr>
            <w:tcW w:w="1925" w:type="dxa"/>
            <w:tcBorders>
              <w:top w:val="single" w:sz="4" w:space="0" w:color="auto"/>
              <w:left w:val="single" w:sz="4" w:space="0" w:color="auto"/>
              <w:bottom w:val="single" w:sz="4" w:space="0" w:color="auto"/>
              <w:right w:val="single" w:sz="4" w:space="0" w:color="auto"/>
            </w:tcBorders>
          </w:tcPr>
          <w:p w14:paraId="5A75D044" w14:textId="77777777" w:rsidR="007D6483" w:rsidRPr="001B4A02" w:rsidRDefault="00000000" w:rsidP="00931737">
            <w:pPr>
              <w:pStyle w:val="DefaultText"/>
              <w:jc w:val="center"/>
              <w:rPr>
                <w:del w:id="2127" w:author="AbbVie1" w:date="2025-05-13T09:50:00Z"/>
                <w:rFonts w:ascii="Times New Roman" w:hAnsi="Times New Roman"/>
                <w:szCs w:val="22"/>
                <w:lang w:val="cs-CZ"/>
              </w:rPr>
            </w:pPr>
            <w:del w:id="2128" w:author="AbbVie1" w:date="2025-05-13T09:50:00Z">
              <w:r w:rsidRPr="001B4A02">
                <w:rPr>
                  <w:rFonts w:ascii="Times New Roman" w:hAnsi="Times New Roman"/>
                  <w:szCs w:val="22"/>
                  <w:lang w:val="cs-CZ"/>
                </w:rPr>
                <w:delText>1 (1,9)</w:delText>
              </w:r>
            </w:del>
          </w:p>
        </w:tc>
        <w:tc>
          <w:tcPr>
            <w:tcW w:w="1557" w:type="dxa"/>
            <w:tcBorders>
              <w:top w:val="single" w:sz="4" w:space="0" w:color="auto"/>
              <w:left w:val="single" w:sz="4" w:space="0" w:color="auto"/>
              <w:bottom w:val="single" w:sz="4" w:space="0" w:color="auto"/>
              <w:right w:val="single" w:sz="4" w:space="0" w:color="auto"/>
            </w:tcBorders>
          </w:tcPr>
          <w:p w14:paraId="74C39944" w14:textId="77777777" w:rsidR="007D6483" w:rsidRPr="001B4A02" w:rsidRDefault="00000000" w:rsidP="00931737">
            <w:pPr>
              <w:pStyle w:val="DefaultText"/>
              <w:jc w:val="center"/>
              <w:rPr>
                <w:del w:id="2129" w:author="AbbVie1" w:date="2025-05-13T09:50:00Z"/>
                <w:rFonts w:ascii="Times New Roman" w:hAnsi="Times New Roman"/>
                <w:szCs w:val="22"/>
                <w:lang w:val="cs-CZ"/>
              </w:rPr>
            </w:pPr>
            <w:del w:id="2130" w:author="AbbVie1" w:date="2025-05-13T09:50:00Z">
              <w:r w:rsidRPr="001B4A02">
                <w:rPr>
                  <w:rFonts w:ascii="Times New Roman" w:hAnsi="Times New Roman"/>
                  <w:szCs w:val="22"/>
                  <w:lang w:val="cs-CZ"/>
                </w:rPr>
                <w:delText>8 (7,3)</w:delText>
              </w:r>
            </w:del>
          </w:p>
        </w:tc>
        <w:tc>
          <w:tcPr>
            <w:tcW w:w="2756" w:type="dxa"/>
            <w:tcBorders>
              <w:top w:val="single" w:sz="4" w:space="0" w:color="auto"/>
              <w:left w:val="single" w:sz="4" w:space="0" w:color="auto"/>
              <w:bottom w:val="single" w:sz="4" w:space="0" w:color="auto"/>
              <w:right w:val="single" w:sz="4" w:space="0" w:color="auto"/>
            </w:tcBorders>
          </w:tcPr>
          <w:p w14:paraId="0EDBBA5F" w14:textId="77777777" w:rsidR="007D6483" w:rsidRPr="001B4A02" w:rsidRDefault="00000000" w:rsidP="00931737">
            <w:pPr>
              <w:pStyle w:val="DefaultText"/>
              <w:jc w:val="center"/>
              <w:rPr>
                <w:del w:id="2131" w:author="AbbVie1" w:date="2025-05-13T09:50:00Z"/>
                <w:rFonts w:ascii="Times New Roman" w:hAnsi="Times New Roman"/>
                <w:szCs w:val="22"/>
                <w:lang w:val="cs-CZ"/>
              </w:rPr>
            </w:pPr>
            <w:del w:id="2132" w:author="AbbVie1" w:date="2025-05-13T09:50:00Z">
              <w:r w:rsidRPr="001B4A02">
                <w:rPr>
                  <w:rFonts w:ascii="Times New Roman" w:hAnsi="Times New Roman"/>
                  <w:szCs w:val="22"/>
                  <w:lang w:val="cs-CZ"/>
                </w:rPr>
                <w:delText>18 (16,7)</w:delText>
              </w:r>
              <w:r w:rsidRPr="001B4A02">
                <w:rPr>
                  <w:rFonts w:ascii="Times New Roman" w:hAnsi="Times New Roman"/>
                  <w:szCs w:val="22"/>
                  <w:vertAlign w:val="superscript"/>
                  <w:lang w:val="cs-CZ"/>
                </w:rPr>
                <w:delText xml:space="preserve"> c, d</w:delText>
              </w:r>
            </w:del>
          </w:p>
        </w:tc>
      </w:tr>
      <w:tr w:rsidR="00534A2D" w14:paraId="1F888706" w14:textId="77777777" w:rsidTr="008D783A">
        <w:trPr>
          <w:trHeight w:val="20"/>
          <w:jc w:val="center"/>
          <w:del w:id="2133" w:author="AbbVie1" w:date="2025-05-13T09:50:00Z"/>
        </w:trPr>
        <w:tc>
          <w:tcPr>
            <w:tcW w:w="2386" w:type="dxa"/>
            <w:tcBorders>
              <w:top w:val="single" w:sz="4" w:space="0" w:color="auto"/>
              <w:left w:val="single" w:sz="4" w:space="0" w:color="auto"/>
              <w:bottom w:val="single" w:sz="4" w:space="0" w:color="auto"/>
              <w:right w:val="single" w:sz="4" w:space="0" w:color="auto"/>
            </w:tcBorders>
          </w:tcPr>
          <w:p w14:paraId="1B3E64BE" w14:textId="77777777" w:rsidR="007D6483" w:rsidRPr="001B4A02" w:rsidRDefault="00000000" w:rsidP="00931737">
            <w:pPr>
              <w:pStyle w:val="DefaultText"/>
              <w:rPr>
                <w:del w:id="2134" w:author="AbbVie1" w:date="2025-05-13T09:50:00Z"/>
                <w:rFonts w:ascii="Times New Roman" w:hAnsi="Times New Roman"/>
                <w:b/>
                <w:bCs w:val="0"/>
                <w:szCs w:val="22"/>
                <w:lang w:val="cs-CZ"/>
              </w:rPr>
            </w:pPr>
            <w:del w:id="2135" w:author="AbbVie1" w:date="2025-05-13T09:50:00Z">
              <w:r w:rsidRPr="001B4A02">
                <w:rPr>
                  <w:rFonts w:ascii="Times New Roman" w:hAnsi="Times New Roman"/>
                  <w:b/>
                  <w:bCs w:val="0"/>
                  <w:szCs w:val="22"/>
                  <w:lang w:val="cs-CZ"/>
                </w:rPr>
                <w:delText>PGA: čistý/minimální</w:delText>
              </w:r>
            </w:del>
          </w:p>
        </w:tc>
        <w:tc>
          <w:tcPr>
            <w:tcW w:w="1925" w:type="dxa"/>
            <w:tcBorders>
              <w:top w:val="single" w:sz="4" w:space="0" w:color="auto"/>
              <w:left w:val="single" w:sz="4" w:space="0" w:color="auto"/>
              <w:bottom w:val="single" w:sz="4" w:space="0" w:color="auto"/>
              <w:right w:val="single" w:sz="4" w:space="0" w:color="auto"/>
            </w:tcBorders>
          </w:tcPr>
          <w:p w14:paraId="43AB83CC" w14:textId="77777777" w:rsidR="007D6483" w:rsidRPr="001B4A02" w:rsidRDefault="00000000" w:rsidP="00931737">
            <w:pPr>
              <w:pStyle w:val="DefaultText"/>
              <w:jc w:val="center"/>
              <w:rPr>
                <w:del w:id="2136" w:author="AbbVie1" w:date="2025-05-13T09:50:00Z"/>
                <w:rFonts w:ascii="Times New Roman" w:hAnsi="Times New Roman"/>
                <w:szCs w:val="22"/>
                <w:lang w:val="cs-CZ"/>
              </w:rPr>
            </w:pPr>
            <w:del w:id="2137" w:author="AbbVie1" w:date="2025-05-13T09:50:00Z">
              <w:r w:rsidRPr="001B4A02">
                <w:rPr>
                  <w:rFonts w:ascii="Times New Roman" w:hAnsi="Times New Roman"/>
                  <w:szCs w:val="22"/>
                  <w:lang w:val="cs-CZ"/>
                </w:rPr>
                <w:delText>6 (11,3)</w:delText>
              </w:r>
            </w:del>
          </w:p>
        </w:tc>
        <w:tc>
          <w:tcPr>
            <w:tcW w:w="1557" w:type="dxa"/>
            <w:tcBorders>
              <w:top w:val="single" w:sz="4" w:space="0" w:color="auto"/>
              <w:left w:val="single" w:sz="4" w:space="0" w:color="auto"/>
              <w:bottom w:val="single" w:sz="4" w:space="0" w:color="auto"/>
              <w:right w:val="single" w:sz="4" w:space="0" w:color="auto"/>
            </w:tcBorders>
          </w:tcPr>
          <w:p w14:paraId="25EBFA7C" w14:textId="77777777" w:rsidR="007D6483" w:rsidRPr="001B4A02" w:rsidRDefault="00000000" w:rsidP="00931737">
            <w:pPr>
              <w:pStyle w:val="DefaultText"/>
              <w:jc w:val="center"/>
              <w:rPr>
                <w:del w:id="2138" w:author="AbbVie1" w:date="2025-05-13T09:50:00Z"/>
                <w:rFonts w:ascii="Times New Roman" w:hAnsi="Times New Roman"/>
                <w:szCs w:val="22"/>
                <w:lang w:val="cs-CZ"/>
              </w:rPr>
            </w:pPr>
            <w:del w:id="2139" w:author="AbbVie1" w:date="2025-05-13T09:50:00Z">
              <w:r w:rsidRPr="001B4A02">
                <w:rPr>
                  <w:rFonts w:ascii="Times New Roman" w:hAnsi="Times New Roman"/>
                  <w:szCs w:val="22"/>
                  <w:lang w:val="cs-CZ"/>
                </w:rPr>
                <w:delText>33 (30,0)</w:delText>
              </w:r>
            </w:del>
          </w:p>
        </w:tc>
        <w:tc>
          <w:tcPr>
            <w:tcW w:w="2756" w:type="dxa"/>
            <w:tcBorders>
              <w:top w:val="single" w:sz="4" w:space="0" w:color="auto"/>
              <w:left w:val="single" w:sz="4" w:space="0" w:color="auto"/>
              <w:bottom w:val="single" w:sz="4" w:space="0" w:color="auto"/>
              <w:right w:val="single" w:sz="4" w:space="0" w:color="auto"/>
            </w:tcBorders>
          </w:tcPr>
          <w:p w14:paraId="68F52490" w14:textId="77777777" w:rsidR="007D6483" w:rsidRPr="001B4A02" w:rsidRDefault="00000000" w:rsidP="00931737">
            <w:pPr>
              <w:pStyle w:val="DefaultText"/>
              <w:jc w:val="center"/>
              <w:rPr>
                <w:del w:id="2140" w:author="AbbVie1" w:date="2025-05-13T09:50:00Z"/>
                <w:rFonts w:ascii="Times New Roman" w:hAnsi="Times New Roman"/>
                <w:szCs w:val="22"/>
                <w:lang w:val="cs-CZ"/>
              </w:rPr>
            </w:pPr>
            <w:del w:id="2141" w:author="AbbVie1" w:date="2025-05-13T09:50:00Z">
              <w:r w:rsidRPr="001B4A02">
                <w:rPr>
                  <w:rFonts w:ascii="Times New Roman" w:hAnsi="Times New Roman"/>
                  <w:szCs w:val="22"/>
                  <w:lang w:val="cs-CZ"/>
                </w:rPr>
                <w:delText>79 (73,1)</w:delText>
              </w:r>
              <w:r w:rsidRPr="001B4A02">
                <w:rPr>
                  <w:rFonts w:ascii="Times New Roman" w:hAnsi="Times New Roman"/>
                  <w:szCs w:val="22"/>
                  <w:vertAlign w:val="superscript"/>
                  <w:lang w:val="cs-CZ"/>
                </w:rPr>
                <w:delText xml:space="preserve"> a, b</w:delText>
              </w:r>
            </w:del>
          </w:p>
        </w:tc>
      </w:tr>
      <w:tr w:rsidR="00534A2D" w14:paraId="0DCA1408" w14:textId="77777777" w:rsidTr="008D783A">
        <w:trPr>
          <w:trHeight w:val="20"/>
          <w:jc w:val="center"/>
          <w:del w:id="2142" w:author="AbbVie1" w:date="2025-05-13T09:50:00Z"/>
        </w:trPr>
        <w:tc>
          <w:tcPr>
            <w:tcW w:w="8624" w:type="dxa"/>
            <w:gridSpan w:val="4"/>
            <w:tcBorders>
              <w:top w:val="single" w:sz="4" w:space="0" w:color="auto"/>
              <w:left w:val="single" w:sz="4" w:space="0" w:color="auto"/>
              <w:bottom w:val="single" w:sz="4" w:space="0" w:color="auto"/>
              <w:right w:val="single" w:sz="4" w:space="0" w:color="auto"/>
            </w:tcBorders>
          </w:tcPr>
          <w:p w14:paraId="53B0BB6F" w14:textId="77777777" w:rsidR="007D6483" w:rsidRPr="001B4A02" w:rsidRDefault="00000000" w:rsidP="00931737">
            <w:pPr>
              <w:pStyle w:val="DefaultText"/>
              <w:rPr>
                <w:del w:id="2143" w:author="AbbVie1" w:date="2025-05-13T09:50:00Z"/>
                <w:rFonts w:ascii="Times New Roman" w:hAnsi="Times New Roman"/>
                <w:sz w:val="20"/>
                <w:lang w:val="cs-CZ"/>
              </w:rPr>
            </w:pPr>
            <w:del w:id="2144" w:author="AbbVie1" w:date="2025-05-13T09:50:00Z">
              <w:r w:rsidRPr="001B4A02">
                <w:rPr>
                  <w:rFonts w:ascii="Times New Roman" w:hAnsi="Times New Roman"/>
                  <w:sz w:val="20"/>
                  <w:vertAlign w:val="superscript"/>
                  <w:lang w:val="cs-CZ"/>
                </w:rPr>
                <w:delText>a</w:delText>
              </w:r>
              <w:r w:rsidRPr="001B4A02">
                <w:rPr>
                  <w:rFonts w:ascii="Times New Roman" w:hAnsi="Times New Roman"/>
                  <w:sz w:val="20"/>
                  <w:lang w:val="cs-CZ"/>
                </w:rPr>
                <w:delText xml:space="preserve"> p&lt;0</w:delText>
              </w:r>
              <w:r w:rsidR="00721A81" w:rsidRPr="001B4A02">
                <w:rPr>
                  <w:rFonts w:ascii="Times New Roman" w:hAnsi="Times New Roman"/>
                  <w:sz w:val="20"/>
                  <w:lang w:val="cs-CZ"/>
                </w:rPr>
                <w:delText>,</w:delText>
              </w:r>
              <w:r w:rsidRPr="001B4A02">
                <w:rPr>
                  <w:rFonts w:ascii="Times New Roman" w:hAnsi="Times New Roman"/>
                  <w:sz w:val="20"/>
                  <w:lang w:val="cs-CZ"/>
                </w:rPr>
                <w:delText>001</w:delText>
              </w:r>
              <w:r w:rsidR="004C58C9" w:rsidRPr="001B4A02">
                <w:rPr>
                  <w:rFonts w:ascii="Times New Roman" w:hAnsi="Times New Roman"/>
                  <w:sz w:val="20"/>
                  <w:lang w:val="cs-CZ"/>
                </w:rPr>
                <w:delText>,</w:delText>
              </w:r>
              <w:r w:rsidRPr="001B4A02">
                <w:rPr>
                  <w:rFonts w:ascii="Times New Roman" w:hAnsi="Times New Roman"/>
                  <w:sz w:val="20"/>
                  <w:lang w:val="cs-CZ"/>
                </w:rPr>
                <w:delText xml:space="preserve"> </w:delText>
              </w:r>
              <w:r w:rsidR="004C58C9" w:rsidRPr="001B4A02">
                <w:rPr>
                  <w:rFonts w:ascii="Times New Roman" w:hAnsi="Times New Roman"/>
                  <w:sz w:val="20"/>
                  <w:lang w:val="cs-CZ"/>
                </w:rPr>
                <w:delText>p</w:delText>
              </w:r>
              <w:r w:rsidR="00F67928" w:rsidRPr="001B4A02">
                <w:rPr>
                  <w:rFonts w:ascii="Times New Roman" w:hAnsi="Times New Roman"/>
                  <w:sz w:val="20"/>
                  <w:lang w:val="cs-CZ"/>
                </w:rPr>
                <w:delText xml:space="preserve">řípravek </w:delText>
              </w:r>
              <w:r w:rsidRPr="001B4A02">
                <w:rPr>
                  <w:rFonts w:ascii="Times New Roman" w:hAnsi="Times New Roman"/>
                  <w:sz w:val="20"/>
                  <w:lang w:val="cs-CZ"/>
                </w:rPr>
                <w:delText xml:space="preserve">Humira vs. </w:delText>
              </w:r>
              <w:r w:rsidR="00C769FB" w:rsidRPr="001B4A02">
                <w:rPr>
                  <w:rFonts w:ascii="Times New Roman" w:hAnsi="Times New Roman"/>
                  <w:sz w:val="20"/>
                  <w:lang w:val="cs-CZ"/>
                </w:rPr>
                <w:delText>p</w:delText>
              </w:r>
              <w:r w:rsidRPr="001B4A02">
                <w:rPr>
                  <w:rFonts w:ascii="Times New Roman" w:hAnsi="Times New Roman"/>
                  <w:sz w:val="20"/>
                  <w:lang w:val="cs-CZ"/>
                </w:rPr>
                <w:delText>lacebo</w:delText>
              </w:r>
            </w:del>
          </w:p>
          <w:p w14:paraId="3E136B63" w14:textId="77777777" w:rsidR="007D6483" w:rsidRPr="001B4A02" w:rsidRDefault="00000000" w:rsidP="00931737">
            <w:pPr>
              <w:pStyle w:val="DefaultText"/>
              <w:rPr>
                <w:del w:id="2145" w:author="AbbVie1" w:date="2025-05-13T09:50:00Z"/>
                <w:rFonts w:ascii="Times New Roman" w:hAnsi="Times New Roman"/>
                <w:sz w:val="20"/>
                <w:lang w:val="cs-CZ"/>
              </w:rPr>
            </w:pPr>
            <w:del w:id="2146" w:author="AbbVie1" w:date="2025-05-13T09:50:00Z">
              <w:r w:rsidRPr="001B4A02">
                <w:rPr>
                  <w:rFonts w:ascii="Times New Roman" w:hAnsi="Times New Roman"/>
                  <w:sz w:val="20"/>
                  <w:vertAlign w:val="superscript"/>
                  <w:lang w:val="cs-CZ"/>
                </w:rPr>
                <w:delText>b</w:delText>
              </w:r>
              <w:r w:rsidRPr="001B4A02">
                <w:rPr>
                  <w:rFonts w:ascii="Times New Roman" w:hAnsi="Times New Roman"/>
                  <w:sz w:val="20"/>
                  <w:lang w:val="cs-CZ"/>
                </w:rPr>
                <w:delText xml:space="preserve"> p&lt;0</w:delText>
              </w:r>
              <w:r w:rsidR="00721A81" w:rsidRPr="001B4A02">
                <w:rPr>
                  <w:rFonts w:ascii="Times New Roman" w:hAnsi="Times New Roman"/>
                  <w:sz w:val="20"/>
                  <w:lang w:val="cs-CZ"/>
                </w:rPr>
                <w:delText>,</w:delText>
              </w:r>
              <w:r w:rsidRPr="001B4A02">
                <w:rPr>
                  <w:rFonts w:ascii="Times New Roman" w:hAnsi="Times New Roman"/>
                  <w:sz w:val="20"/>
                  <w:lang w:val="cs-CZ"/>
                </w:rPr>
                <w:delText>001</w:delText>
              </w:r>
              <w:r w:rsidR="004C58C9" w:rsidRPr="001B4A02">
                <w:rPr>
                  <w:rFonts w:ascii="Times New Roman" w:hAnsi="Times New Roman"/>
                  <w:sz w:val="20"/>
                  <w:lang w:val="cs-CZ"/>
                </w:rPr>
                <w:delText>,</w:delText>
              </w:r>
              <w:r w:rsidRPr="001B4A02">
                <w:rPr>
                  <w:rFonts w:ascii="Times New Roman" w:hAnsi="Times New Roman"/>
                  <w:sz w:val="20"/>
                  <w:lang w:val="cs-CZ"/>
                </w:rPr>
                <w:delText xml:space="preserve"> </w:delText>
              </w:r>
              <w:r w:rsidR="004C58C9" w:rsidRPr="001B4A02">
                <w:rPr>
                  <w:rFonts w:ascii="Times New Roman" w:hAnsi="Times New Roman"/>
                  <w:sz w:val="20"/>
                  <w:lang w:val="cs-CZ"/>
                </w:rPr>
                <w:delText>p</w:delText>
              </w:r>
              <w:r w:rsidR="00F67928" w:rsidRPr="001B4A02">
                <w:rPr>
                  <w:rFonts w:ascii="Times New Roman" w:hAnsi="Times New Roman"/>
                  <w:sz w:val="20"/>
                  <w:lang w:val="cs-CZ"/>
                </w:rPr>
                <w:delText xml:space="preserve">řípravek </w:delText>
              </w:r>
              <w:r w:rsidRPr="001B4A02">
                <w:rPr>
                  <w:rFonts w:ascii="Times New Roman" w:hAnsi="Times New Roman"/>
                  <w:sz w:val="20"/>
                  <w:lang w:val="cs-CZ"/>
                </w:rPr>
                <w:delText>Humira vs. methotrexát</w:delText>
              </w:r>
            </w:del>
          </w:p>
          <w:p w14:paraId="0A0B9B8C" w14:textId="77777777" w:rsidR="007D6483" w:rsidRPr="001B4A02" w:rsidRDefault="00000000" w:rsidP="00931737">
            <w:pPr>
              <w:pStyle w:val="DefaultText"/>
              <w:rPr>
                <w:del w:id="2147" w:author="AbbVie1" w:date="2025-05-13T09:50:00Z"/>
                <w:rFonts w:ascii="Times New Roman" w:hAnsi="Times New Roman"/>
                <w:sz w:val="20"/>
                <w:lang w:val="cs-CZ"/>
              </w:rPr>
            </w:pPr>
            <w:del w:id="2148" w:author="AbbVie1" w:date="2025-05-13T09:50:00Z">
              <w:r w:rsidRPr="001B4A02">
                <w:rPr>
                  <w:rFonts w:ascii="Times New Roman" w:hAnsi="Times New Roman"/>
                  <w:sz w:val="20"/>
                  <w:vertAlign w:val="superscript"/>
                  <w:lang w:val="cs-CZ"/>
                </w:rPr>
                <w:delText>c</w:delText>
              </w:r>
              <w:r w:rsidRPr="001B4A02">
                <w:rPr>
                  <w:rFonts w:ascii="Times New Roman" w:hAnsi="Times New Roman"/>
                  <w:sz w:val="20"/>
                  <w:lang w:val="cs-CZ"/>
                </w:rPr>
                <w:delText xml:space="preserve"> p&lt;0</w:delText>
              </w:r>
              <w:r w:rsidR="00721A81" w:rsidRPr="001B4A02">
                <w:rPr>
                  <w:rFonts w:ascii="Times New Roman" w:hAnsi="Times New Roman"/>
                  <w:sz w:val="20"/>
                  <w:lang w:val="cs-CZ"/>
                </w:rPr>
                <w:delText>,</w:delText>
              </w:r>
              <w:r w:rsidRPr="001B4A02">
                <w:rPr>
                  <w:rFonts w:ascii="Times New Roman" w:hAnsi="Times New Roman"/>
                  <w:sz w:val="20"/>
                  <w:lang w:val="cs-CZ"/>
                </w:rPr>
                <w:delText>01</w:delText>
              </w:r>
              <w:r w:rsidR="004C58C9" w:rsidRPr="001B4A02">
                <w:rPr>
                  <w:rFonts w:ascii="Times New Roman" w:hAnsi="Times New Roman"/>
                  <w:sz w:val="20"/>
                  <w:lang w:val="cs-CZ"/>
                </w:rPr>
                <w:delText>,</w:delText>
              </w:r>
              <w:r w:rsidRPr="001B4A02">
                <w:rPr>
                  <w:rFonts w:ascii="Times New Roman" w:hAnsi="Times New Roman"/>
                  <w:sz w:val="20"/>
                  <w:lang w:val="cs-CZ"/>
                </w:rPr>
                <w:delText xml:space="preserve"> </w:delText>
              </w:r>
              <w:r w:rsidR="004C58C9" w:rsidRPr="001B4A02">
                <w:rPr>
                  <w:rFonts w:ascii="Times New Roman" w:hAnsi="Times New Roman"/>
                  <w:sz w:val="20"/>
                  <w:lang w:val="cs-CZ"/>
                </w:rPr>
                <w:delText>p</w:delText>
              </w:r>
              <w:r w:rsidR="00F67928" w:rsidRPr="001B4A02">
                <w:rPr>
                  <w:rFonts w:ascii="Times New Roman" w:hAnsi="Times New Roman"/>
                  <w:sz w:val="20"/>
                  <w:lang w:val="cs-CZ"/>
                </w:rPr>
                <w:delText xml:space="preserve">řípravek </w:delText>
              </w:r>
              <w:r w:rsidRPr="001B4A02">
                <w:rPr>
                  <w:rFonts w:ascii="Times New Roman" w:hAnsi="Times New Roman"/>
                  <w:sz w:val="20"/>
                  <w:lang w:val="cs-CZ"/>
                </w:rPr>
                <w:delText>Humira vs. placebo</w:delText>
              </w:r>
            </w:del>
          </w:p>
          <w:p w14:paraId="7A5AF085" w14:textId="77777777" w:rsidR="007D6483" w:rsidRPr="001B4A02" w:rsidRDefault="00000000" w:rsidP="00931737">
            <w:pPr>
              <w:pStyle w:val="DefaultText"/>
              <w:rPr>
                <w:del w:id="2149" w:author="AbbVie1" w:date="2025-05-13T09:50:00Z"/>
                <w:rFonts w:ascii="Times New Roman" w:hAnsi="Times New Roman"/>
                <w:szCs w:val="22"/>
                <w:lang w:val="cs-CZ"/>
              </w:rPr>
            </w:pPr>
            <w:del w:id="2150" w:author="AbbVie1" w:date="2025-05-13T09:50:00Z">
              <w:r w:rsidRPr="001B4A02">
                <w:rPr>
                  <w:rFonts w:ascii="Times New Roman" w:hAnsi="Times New Roman"/>
                  <w:sz w:val="20"/>
                  <w:vertAlign w:val="superscript"/>
                  <w:lang w:val="cs-CZ"/>
                </w:rPr>
                <w:delText>d</w:delText>
              </w:r>
              <w:r w:rsidRPr="001B4A02">
                <w:rPr>
                  <w:rFonts w:ascii="Times New Roman" w:hAnsi="Times New Roman"/>
                  <w:sz w:val="20"/>
                  <w:lang w:val="cs-CZ"/>
                </w:rPr>
                <w:delText xml:space="preserve"> p&lt;0</w:delText>
              </w:r>
              <w:r w:rsidR="00721A81" w:rsidRPr="001B4A02">
                <w:rPr>
                  <w:rFonts w:ascii="Times New Roman" w:hAnsi="Times New Roman"/>
                  <w:sz w:val="20"/>
                  <w:lang w:val="cs-CZ"/>
                </w:rPr>
                <w:delText>,</w:delText>
              </w:r>
              <w:r w:rsidRPr="001B4A02">
                <w:rPr>
                  <w:rFonts w:ascii="Times New Roman" w:hAnsi="Times New Roman"/>
                  <w:sz w:val="20"/>
                  <w:lang w:val="cs-CZ"/>
                </w:rPr>
                <w:delText>05</w:delText>
              </w:r>
              <w:r w:rsidR="004C58C9" w:rsidRPr="001B4A02">
                <w:rPr>
                  <w:rFonts w:ascii="Times New Roman" w:hAnsi="Times New Roman"/>
                  <w:sz w:val="20"/>
                  <w:lang w:val="cs-CZ"/>
                </w:rPr>
                <w:delText>,</w:delText>
              </w:r>
              <w:r w:rsidRPr="001B4A02">
                <w:rPr>
                  <w:rFonts w:ascii="Times New Roman" w:hAnsi="Times New Roman"/>
                  <w:sz w:val="20"/>
                  <w:lang w:val="cs-CZ"/>
                </w:rPr>
                <w:delText xml:space="preserve"> </w:delText>
              </w:r>
              <w:r w:rsidR="004C58C9" w:rsidRPr="001B4A02">
                <w:rPr>
                  <w:rFonts w:ascii="Times New Roman" w:hAnsi="Times New Roman"/>
                  <w:sz w:val="20"/>
                  <w:lang w:val="cs-CZ"/>
                </w:rPr>
                <w:delText>p</w:delText>
              </w:r>
              <w:r w:rsidR="00F67928" w:rsidRPr="001B4A02">
                <w:rPr>
                  <w:rFonts w:ascii="Times New Roman" w:hAnsi="Times New Roman"/>
                  <w:sz w:val="20"/>
                  <w:lang w:val="cs-CZ"/>
                </w:rPr>
                <w:delText xml:space="preserve">řípravek </w:delText>
              </w:r>
              <w:r w:rsidRPr="001B4A02">
                <w:rPr>
                  <w:rFonts w:ascii="Times New Roman" w:hAnsi="Times New Roman"/>
                  <w:sz w:val="20"/>
                  <w:lang w:val="cs-CZ"/>
                </w:rPr>
                <w:delText xml:space="preserve">Humira vs. </w:delText>
              </w:r>
              <w:r w:rsidR="004C58C9" w:rsidRPr="001B4A02">
                <w:rPr>
                  <w:rFonts w:ascii="Times New Roman" w:hAnsi="Times New Roman"/>
                  <w:sz w:val="20"/>
                  <w:lang w:val="cs-CZ"/>
                </w:rPr>
                <w:delText>m</w:delText>
              </w:r>
              <w:r w:rsidRPr="001B4A02">
                <w:rPr>
                  <w:rFonts w:ascii="Times New Roman" w:hAnsi="Times New Roman"/>
                  <w:sz w:val="20"/>
                  <w:lang w:val="cs-CZ"/>
                </w:rPr>
                <w:delText>ethotrexát</w:delText>
              </w:r>
            </w:del>
          </w:p>
        </w:tc>
      </w:tr>
    </w:tbl>
    <w:p w14:paraId="1C6F382C" w14:textId="77777777" w:rsidR="007D6483" w:rsidRPr="001B4A02" w:rsidRDefault="007D6483" w:rsidP="00ED48A3">
      <w:pPr>
        <w:pStyle w:val="EMEANormal"/>
        <w:tabs>
          <w:tab w:val="clear" w:pos="562"/>
        </w:tabs>
        <w:suppressAutoHyphens w:val="0"/>
        <w:rPr>
          <w:del w:id="2151" w:author="AbbVie1" w:date="2025-05-13T09:50:00Z"/>
          <w:u w:val="single"/>
          <w:lang w:val="cs-CZ"/>
        </w:rPr>
      </w:pPr>
    </w:p>
    <w:p w14:paraId="71CAAB7A" w14:textId="77777777" w:rsidR="007D6483" w:rsidRPr="001B4A02" w:rsidRDefault="00000000" w:rsidP="00ED48A3">
      <w:pPr>
        <w:pStyle w:val="EMEANormal"/>
        <w:tabs>
          <w:tab w:val="clear" w:pos="562"/>
          <w:tab w:val="left" w:pos="708"/>
        </w:tabs>
        <w:suppressAutoHyphens w:val="0"/>
        <w:rPr>
          <w:del w:id="2152" w:author="AbbVie1" w:date="2025-05-13T09:50:00Z"/>
          <w:lang w:val="cs-CZ"/>
        </w:rPr>
      </w:pPr>
      <w:del w:id="2153" w:author="AbbVie1" w:date="2025-05-13T09:50:00Z">
        <w:r w:rsidRPr="001B4A02">
          <w:rPr>
            <w:lang w:val="cs-CZ"/>
          </w:rPr>
          <w:delText>V psoriatické studii I došlo</w:delText>
        </w:r>
        <w:r w:rsidR="002009DF" w:rsidRPr="001B4A02">
          <w:rPr>
            <w:lang w:val="cs-CZ"/>
          </w:rPr>
          <w:delText xml:space="preserve"> u </w:delText>
        </w:r>
        <w:r w:rsidRPr="001B4A02">
          <w:rPr>
            <w:lang w:val="cs-CZ"/>
          </w:rPr>
          <w:delText>28</w:delText>
        </w:r>
        <w:r w:rsidR="006008CB">
          <w:rPr>
            <w:lang w:val="cs-CZ"/>
          </w:rPr>
          <w:delText> %</w:delText>
        </w:r>
        <w:r w:rsidRPr="001B4A02">
          <w:rPr>
            <w:lang w:val="cs-CZ"/>
          </w:rPr>
          <w:delText xml:space="preserve"> pacientů, kteří dosáhli odpovědi PASI 75</w:delText>
        </w:r>
        <w:r w:rsidR="002378E0">
          <w:rPr>
            <w:lang w:val="cs-CZ"/>
          </w:rPr>
          <w:delText xml:space="preserve"> a </w:delText>
        </w:r>
        <w:r w:rsidRPr="001B4A02">
          <w:rPr>
            <w:lang w:val="cs-CZ"/>
          </w:rPr>
          <w:delText>byli re-randomizováni na placebo v týdnu 33, ke „ztrátě adekvátní odpovědi“ (PASI skóre po týdnu 33</w:delText>
        </w:r>
        <w:r w:rsidR="002378E0">
          <w:rPr>
            <w:lang w:val="cs-CZ"/>
          </w:rPr>
          <w:delText xml:space="preserve"> a </w:delText>
        </w:r>
        <w:r w:rsidRPr="001B4A02">
          <w:rPr>
            <w:lang w:val="cs-CZ"/>
          </w:rPr>
          <w:delText>v</w:delText>
        </w:r>
        <w:r w:rsidR="00E07E66" w:rsidRPr="001B4A02">
          <w:rPr>
            <w:lang w:val="cs-CZ"/>
          </w:rPr>
          <w:delText> </w:delText>
        </w:r>
        <w:r w:rsidRPr="001B4A02">
          <w:rPr>
            <w:lang w:val="cs-CZ"/>
          </w:rPr>
          <w:delText>týdnu 52 nebo před ním, které vyústilo v</w:delText>
        </w:r>
        <w:r w:rsidR="00E07E66" w:rsidRPr="001B4A02">
          <w:rPr>
            <w:lang w:val="cs-CZ"/>
          </w:rPr>
          <w:delText> </w:delText>
        </w:r>
        <w:r w:rsidRPr="001B4A02">
          <w:rPr>
            <w:lang w:val="cs-CZ"/>
          </w:rPr>
          <w:delText>odpověď PASI &lt; 50 vzhledem k výchozímu stavu s minimálně 6bodovým vzestupem PASI skóre vzhledem k týdnu 33), v porovnání s 5</w:delText>
        </w:r>
        <w:r w:rsidR="006008CB">
          <w:rPr>
            <w:lang w:val="cs-CZ"/>
          </w:rPr>
          <w:delText> %</w:delText>
        </w:r>
        <w:r w:rsidRPr="001B4A02">
          <w:rPr>
            <w:lang w:val="cs-CZ"/>
          </w:rPr>
          <w:delText xml:space="preserve"> těch, kteří pokračovali v léčbě přípravkem Humira, p&lt;0,001. Z pacientů,</w:delText>
        </w:r>
        <w:r w:rsidR="002009DF" w:rsidRPr="001B4A02">
          <w:rPr>
            <w:lang w:val="cs-CZ"/>
          </w:rPr>
          <w:delText xml:space="preserve"> u </w:delText>
        </w:r>
        <w:r w:rsidRPr="001B4A02">
          <w:rPr>
            <w:lang w:val="cs-CZ"/>
          </w:rPr>
          <w:delText>kte</w:delText>
        </w:r>
        <w:r w:rsidR="00CD6D96" w:rsidRPr="001B4A02">
          <w:rPr>
            <w:lang w:val="cs-CZ"/>
          </w:rPr>
          <w:delText>r</w:delText>
        </w:r>
        <w:r w:rsidRPr="001B4A02">
          <w:rPr>
            <w:lang w:val="cs-CZ"/>
          </w:rPr>
          <w:delText>ých došlo ke „ztrátě adekvátní odpovědi“ po re-randomizaci na placebo</w:delText>
        </w:r>
        <w:r w:rsidR="002378E0">
          <w:rPr>
            <w:lang w:val="cs-CZ"/>
          </w:rPr>
          <w:delText xml:space="preserve"> a </w:delText>
        </w:r>
        <w:r w:rsidRPr="001B4A02">
          <w:rPr>
            <w:lang w:val="cs-CZ"/>
          </w:rPr>
          <w:delText>kteří byli zařazeni do otevřené prodloužené fáze studie, došlo</w:delText>
        </w:r>
        <w:r w:rsidR="002009DF" w:rsidRPr="001B4A02">
          <w:rPr>
            <w:lang w:val="cs-CZ"/>
          </w:rPr>
          <w:delText xml:space="preserve"> u </w:delText>
        </w:r>
        <w:r w:rsidRPr="001B4A02">
          <w:rPr>
            <w:lang w:val="cs-CZ"/>
          </w:rPr>
          <w:delText>38</w:delText>
        </w:r>
        <w:r w:rsidR="006008CB">
          <w:rPr>
            <w:lang w:val="cs-CZ"/>
          </w:rPr>
          <w:delText> %</w:delText>
        </w:r>
        <w:r w:rsidRPr="001B4A02">
          <w:rPr>
            <w:lang w:val="cs-CZ"/>
          </w:rPr>
          <w:delText xml:space="preserve"> pacientů (25 z</w:delText>
        </w:r>
        <w:r w:rsidR="004970F6" w:rsidRPr="001B4A02">
          <w:rPr>
            <w:lang w:val="cs-CZ"/>
          </w:rPr>
          <w:delText> </w:delText>
        </w:r>
        <w:r w:rsidRPr="001B4A02">
          <w:rPr>
            <w:lang w:val="cs-CZ"/>
          </w:rPr>
          <w:delText>66) k opětovnému návratu odpovědi PASI 75 po 12 týdnech léčby</w:delText>
        </w:r>
        <w:r w:rsidR="002378E0">
          <w:rPr>
            <w:lang w:val="cs-CZ"/>
          </w:rPr>
          <w:delText xml:space="preserve"> a </w:delText>
        </w:r>
        <w:r w:rsidR="002009DF" w:rsidRPr="001B4A02">
          <w:rPr>
            <w:lang w:val="cs-CZ"/>
          </w:rPr>
          <w:delText>u </w:delText>
        </w:r>
        <w:r w:rsidRPr="001B4A02">
          <w:rPr>
            <w:lang w:val="cs-CZ"/>
          </w:rPr>
          <w:delText>55</w:delText>
        </w:r>
        <w:r w:rsidR="006008CB">
          <w:rPr>
            <w:lang w:val="cs-CZ"/>
          </w:rPr>
          <w:delText> %</w:delText>
        </w:r>
        <w:r w:rsidRPr="001B4A02">
          <w:rPr>
            <w:lang w:val="cs-CZ"/>
          </w:rPr>
          <w:delText xml:space="preserve"> pacientů (36 z</w:delText>
        </w:r>
        <w:r w:rsidR="004970F6" w:rsidRPr="001B4A02">
          <w:rPr>
            <w:lang w:val="cs-CZ"/>
          </w:rPr>
          <w:delText> </w:delText>
        </w:r>
        <w:r w:rsidRPr="001B4A02">
          <w:rPr>
            <w:lang w:val="cs-CZ"/>
          </w:rPr>
          <w:delText>66) po 24 týdnech léčby.</w:delText>
        </w:r>
      </w:del>
    </w:p>
    <w:p w14:paraId="072149B4" w14:textId="77777777" w:rsidR="007D6483" w:rsidRPr="001B4A02" w:rsidRDefault="007D6483" w:rsidP="00ED48A3">
      <w:pPr>
        <w:pStyle w:val="EMEANormal"/>
        <w:tabs>
          <w:tab w:val="clear" w:pos="562"/>
        </w:tabs>
        <w:suppressAutoHyphens w:val="0"/>
        <w:rPr>
          <w:del w:id="2154" w:author="AbbVie1" w:date="2025-05-13T09:50:00Z"/>
          <w:u w:val="single"/>
          <w:lang w:val="cs-CZ"/>
        </w:rPr>
      </w:pPr>
    </w:p>
    <w:p w14:paraId="231544E6" w14:textId="77777777" w:rsidR="007D6483" w:rsidRPr="001B4A02" w:rsidRDefault="00000000" w:rsidP="00ED48A3">
      <w:pPr>
        <w:pStyle w:val="EMEANormal"/>
        <w:tabs>
          <w:tab w:val="clear" w:pos="562"/>
          <w:tab w:val="left" w:pos="708"/>
        </w:tabs>
        <w:suppressAutoHyphens w:val="0"/>
        <w:rPr>
          <w:del w:id="2155" w:author="AbbVie1" w:date="2025-05-13T09:50:00Z"/>
          <w:lang w:val="cs-CZ"/>
        </w:rPr>
      </w:pPr>
      <w:del w:id="2156" w:author="AbbVie1" w:date="2025-05-13T09:50:00Z">
        <w:r w:rsidRPr="001B4A02">
          <w:rPr>
            <w:lang w:val="cs-CZ"/>
          </w:rPr>
          <w:delText>Celkem 233 pacientů, kteří dosáhli odpovědi PASI 75 v týdnu 16</w:delText>
        </w:r>
        <w:r w:rsidR="002378E0">
          <w:rPr>
            <w:lang w:val="cs-CZ"/>
          </w:rPr>
          <w:delText xml:space="preserve"> a </w:delText>
        </w:r>
        <w:r w:rsidRPr="001B4A02">
          <w:rPr>
            <w:lang w:val="cs-CZ"/>
          </w:rPr>
          <w:delText>v týdnu 33, pokračovalo v léčbě přípravkem Humira po dobu 52 týdnů v psoriatické s</w:delText>
        </w:r>
        <w:r w:rsidR="007978AF">
          <w:rPr>
            <w:lang w:val="cs-CZ"/>
          </w:rPr>
          <w:delText>t</w:delText>
        </w:r>
        <w:r w:rsidRPr="001B4A02">
          <w:rPr>
            <w:lang w:val="cs-CZ"/>
          </w:rPr>
          <w:delText>udii I</w:delText>
        </w:r>
        <w:r w:rsidR="002378E0">
          <w:rPr>
            <w:lang w:val="cs-CZ"/>
          </w:rPr>
          <w:delText xml:space="preserve"> a </w:delText>
        </w:r>
        <w:r w:rsidRPr="001B4A02">
          <w:rPr>
            <w:lang w:val="cs-CZ"/>
          </w:rPr>
          <w:delText>postoupilo do otevřené prodloužené fáze studie. Po dalších 108 týdnech otevřené fáze léčby (celkem 160 týdnů) dosáhlo 74,7</w:delText>
        </w:r>
        <w:r w:rsidR="006008CB">
          <w:rPr>
            <w:lang w:val="cs-CZ"/>
          </w:rPr>
          <w:delText> %</w:delText>
        </w:r>
        <w:r w:rsidRPr="001B4A02">
          <w:rPr>
            <w:lang w:val="cs-CZ"/>
          </w:rPr>
          <w:delText xml:space="preserve"> z těchto pacientů odpovědi PASI 75</w:delText>
        </w:r>
        <w:r w:rsidR="002378E0">
          <w:rPr>
            <w:lang w:val="cs-CZ"/>
          </w:rPr>
          <w:delText xml:space="preserve"> a </w:delText>
        </w:r>
        <w:r w:rsidRPr="001B4A02">
          <w:rPr>
            <w:lang w:val="cs-CZ"/>
          </w:rPr>
          <w:delText>59</w:delText>
        </w:r>
        <w:r w:rsidR="006008CB">
          <w:rPr>
            <w:lang w:val="cs-CZ"/>
          </w:rPr>
          <w:delText> %</w:delText>
        </w:r>
        <w:r w:rsidRPr="001B4A02">
          <w:rPr>
            <w:lang w:val="cs-CZ"/>
          </w:rPr>
          <w:delText xml:space="preserve"> z nich dosáhlo PGA</w:delText>
        </w:r>
        <w:r w:rsidR="00581A3A" w:rsidRPr="001B4A02">
          <w:rPr>
            <w:lang w:val="cs-CZ"/>
          </w:rPr>
          <w:delText xml:space="preserve"> čisté nebo minimální</w:delText>
        </w:r>
        <w:r w:rsidRPr="001B4A02">
          <w:rPr>
            <w:lang w:val="cs-CZ"/>
          </w:rPr>
          <w:delText>. V analýzách, v nichž byli všichni pacienti, kteří ze studie odstoupili z důvodu nežádoucích účinků či nedostatečné účinnosti nebo kteří vyžadovali navyšování dávky, považováni za neodpovídající na léčbu, bylo</w:delText>
        </w:r>
        <w:r w:rsidR="002009DF" w:rsidRPr="001B4A02">
          <w:rPr>
            <w:lang w:val="cs-CZ"/>
          </w:rPr>
          <w:delText xml:space="preserve"> u </w:delText>
        </w:r>
        <w:r w:rsidRPr="001B4A02">
          <w:rPr>
            <w:lang w:val="cs-CZ"/>
          </w:rPr>
          <w:delText>těchto pacientů po dalších 108 týdnech otevřené fáze léčby (celkem 160 týdnů) dosaženo PASI 75</w:delText>
        </w:r>
        <w:r w:rsidR="002378E0">
          <w:rPr>
            <w:lang w:val="cs-CZ"/>
          </w:rPr>
          <w:delText xml:space="preserve"> a </w:delText>
        </w:r>
        <w:r w:rsidRPr="001B4A02">
          <w:rPr>
            <w:lang w:val="cs-CZ"/>
          </w:rPr>
          <w:delText xml:space="preserve">PGA </w:delText>
        </w:r>
        <w:r w:rsidR="001E61B8" w:rsidRPr="001B4A02">
          <w:rPr>
            <w:lang w:val="cs-CZ"/>
          </w:rPr>
          <w:delText xml:space="preserve">čisté nebo minimální </w:delText>
        </w:r>
        <w:r w:rsidRPr="001B4A02">
          <w:rPr>
            <w:lang w:val="cs-CZ"/>
          </w:rPr>
          <w:delText>celkem</w:delText>
        </w:r>
        <w:r w:rsidR="002009DF" w:rsidRPr="001B4A02">
          <w:rPr>
            <w:lang w:val="cs-CZ"/>
          </w:rPr>
          <w:delText xml:space="preserve"> u </w:delText>
        </w:r>
        <w:r w:rsidRPr="001B4A02">
          <w:rPr>
            <w:lang w:val="cs-CZ"/>
          </w:rPr>
          <w:delText>69,9</w:delText>
        </w:r>
        <w:r w:rsidR="006008CB">
          <w:rPr>
            <w:lang w:val="cs-CZ"/>
          </w:rPr>
          <w:delText> %</w:delText>
        </w:r>
        <w:r w:rsidRPr="001B4A02">
          <w:rPr>
            <w:lang w:val="cs-CZ"/>
          </w:rPr>
          <w:delText xml:space="preserve"> v případě PASI 75</w:delText>
        </w:r>
        <w:r w:rsidR="002378E0">
          <w:rPr>
            <w:lang w:val="cs-CZ"/>
          </w:rPr>
          <w:delText xml:space="preserve"> a </w:delText>
        </w:r>
        <w:r w:rsidRPr="001B4A02">
          <w:rPr>
            <w:lang w:val="cs-CZ"/>
          </w:rPr>
          <w:delText>55,7</w:delText>
        </w:r>
        <w:r w:rsidR="006008CB">
          <w:rPr>
            <w:lang w:val="cs-CZ"/>
          </w:rPr>
          <w:delText> %</w:delText>
        </w:r>
        <w:r w:rsidR="002009DF" w:rsidRPr="001B4A02">
          <w:rPr>
            <w:lang w:val="cs-CZ"/>
          </w:rPr>
          <w:delText xml:space="preserve"> u </w:delText>
        </w:r>
        <w:r w:rsidRPr="001B4A02">
          <w:rPr>
            <w:lang w:val="cs-CZ"/>
          </w:rPr>
          <w:delText>PGA.</w:delText>
        </w:r>
      </w:del>
    </w:p>
    <w:p w14:paraId="0201027A" w14:textId="77777777" w:rsidR="007D6483" w:rsidRPr="001B4A02" w:rsidRDefault="007D6483" w:rsidP="00ED48A3">
      <w:pPr>
        <w:pStyle w:val="EMEANormal"/>
        <w:tabs>
          <w:tab w:val="clear" w:pos="562"/>
        </w:tabs>
        <w:suppressAutoHyphens w:val="0"/>
        <w:rPr>
          <w:del w:id="2157" w:author="AbbVie1" w:date="2025-05-13T09:50:00Z"/>
          <w:u w:val="single"/>
          <w:lang w:val="cs-CZ"/>
        </w:rPr>
      </w:pPr>
    </w:p>
    <w:p w14:paraId="7BC8AA67" w14:textId="77777777" w:rsidR="007D6483" w:rsidRPr="001B4A02" w:rsidRDefault="00000000" w:rsidP="00ED48A3">
      <w:pPr>
        <w:pStyle w:val="EMEANormal"/>
        <w:tabs>
          <w:tab w:val="clear" w:pos="562"/>
          <w:tab w:val="left" w:pos="708"/>
        </w:tabs>
        <w:suppressAutoHyphens w:val="0"/>
        <w:rPr>
          <w:del w:id="2158" w:author="AbbVie1" w:date="2025-05-13T09:50:00Z"/>
          <w:lang w:val="cs-CZ"/>
        </w:rPr>
      </w:pPr>
      <w:del w:id="2159" w:author="AbbVie1" w:date="2025-05-13T09:50:00Z">
        <w:r w:rsidRPr="001B4A02">
          <w:rPr>
            <w:lang w:val="cs-CZ"/>
          </w:rPr>
          <w:delText>Celkem 347 na léčbu stabilně odpovídajících pacientů se účastnilo otevřené fáze studie, ve které byl adalimumab vysazen</w:delText>
        </w:r>
        <w:r w:rsidR="002378E0">
          <w:rPr>
            <w:lang w:val="cs-CZ"/>
          </w:rPr>
          <w:delText xml:space="preserve"> a </w:delText>
        </w:r>
        <w:r w:rsidRPr="001B4A02">
          <w:rPr>
            <w:lang w:val="cs-CZ"/>
          </w:rPr>
          <w:delText>opětovně nasazen. V</w:delText>
        </w:r>
        <w:r w:rsidR="004970F6" w:rsidRPr="001B4A02">
          <w:rPr>
            <w:lang w:val="cs-CZ"/>
          </w:rPr>
          <w:delText> </w:delText>
        </w:r>
        <w:r w:rsidRPr="001B4A02">
          <w:rPr>
            <w:lang w:val="cs-CZ"/>
          </w:rPr>
          <w:delText>průběhu období po vysazení se symptomy psoriázy vrátily po čase zpět s</w:delText>
        </w:r>
        <w:r w:rsidR="004970F6" w:rsidRPr="001B4A02">
          <w:rPr>
            <w:lang w:val="cs-CZ"/>
          </w:rPr>
          <w:delText> </w:delText>
        </w:r>
        <w:r w:rsidRPr="001B4A02">
          <w:rPr>
            <w:lang w:val="cs-CZ"/>
          </w:rPr>
          <w:delText>průměrnou dobou návratu (pokles v</w:delText>
        </w:r>
        <w:r w:rsidR="00E07E66" w:rsidRPr="001B4A02">
          <w:rPr>
            <w:lang w:val="cs-CZ"/>
          </w:rPr>
          <w:delText> </w:delText>
        </w:r>
        <w:r w:rsidRPr="001B4A02">
          <w:rPr>
            <w:lang w:val="cs-CZ"/>
          </w:rPr>
          <w:delText xml:space="preserve">PGA na </w:delText>
        </w:r>
        <w:r w:rsidR="00DD65FF" w:rsidRPr="001B4A02">
          <w:rPr>
            <w:lang w:val="cs-CZ"/>
          </w:rPr>
          <w:delText>„středně těžké“</w:delText>
        </w:r>
        <w:r w:rsidRPr="001B4A02">
          <w:rPr>
            <w:lang w:val="cs-CZ"/>
          </w:rPr>
          <w:delText xml:space="preserve"> nebo horší) při</w:delText>
        </w:r>
        <w:r w:rsidR="007978AF">
          <w:rPr>
            <w:lang w:val="cs-CZ"/>
          </w:rPr>
          <w:delText>b</w:delText>
        </w:r>
        <w:r w:rsidRPr="001B4A02">
          <w:rPr>
            <w:lang w:val="cs-CZ"/>
          </w:rPr>
          <w:delText>ližně 5 měsíců. U</w:delText>
        </w:r>
        <w:r w:rsidR="004970F6" w:rsidRPr="001B4A02">
          <w:rPr>
            <w:lang w:val="cs-CZ"/>
          </w:rPr>
          <w:delText> </w:delText>
        </w:r>
        <w:r w:rsidRPr="001B4A02">
          <w:rPr>
            <w:lang w:val="cs-CZ"/>
          </w:rPr>
          <w:delText>žádného z</w:delText>
        </w:r>
        <w:r w:rsidR="004970F6" w:rsidRPr="001B4A02">
          <w:rPr>
            <w:lang w:val="cs-CZ"/>
          </w:rPr>
          <w:delText> </w:delText>
        </w:r>
        <w:r w:rsidRPr="001B4A02">
          <w:rPr>
            <w:lang w:val="cs-CZ"/>
          </w:rPr>
          <w:delText>těchto pacientů nedošlo k</w:delText>
        </w:r>
        <w:r w:rsidR="004970F6" w:rsidRPr="001B4A02">
          <w:rPr>
            <w:lang w:val="cs-CZ"/>
          </w:rPr>
          <w:delText> </w:delText>
        </w:r>
        <w:r w:rsidRPr="001B4A02">
          <w:rPr>
            <w:lang w:val="cs-CZ"/>
          </w:rPr>
          <w:delText>rebound fenoménu po dobu vysazení léčby. Celkem 76,5</w:delText>
        </w:r>
        <w:r w:rsidR="006008CB">
          <w:rPr>
            <w:lang w:val="cs-CZ"/>
          </w:rPr>
          <w:delText> %</w:delText>
        </w:r>
        <w:r w:rsidRPr="001B4A02">
          <w:rPr>
            <w:lang w:val="cs-CZ"/>
          </w:rPr>
          <w:delText xml:space="preserve"> pacientů (218 z</w:delText>
        </w:r>
        <w:r w:rsidR="004970F6" w:rsidRPr="001B4A02">
          <w:rPr>
            <w:lang w:val="cs-CZ"/>
          </w:rPr>
          <w:delText> </w:delText>
        </w:r>
        <w:r w:rsidRPr="001B4A02">
          <w:rPr>
            <w:lang w:val="cs-CZ"/>
          </w:rPr>
          <w:delText>285), kteří přešli do fáze znovunasazení adalimumabu, mělo po 16 týdnech léčby PGA</w:delText>
        </w:r>
        <w:r w:rsidR="001E61B8" w:rsidRPr="001B4A02">
          <w:rPr>
            <w:lang w:val="cs-CZ"/>
          </w:rPr>
          <w:delText xml:space="preserve"> „čistý“ nebo „minimální“</w:delText>
        </w:r>
        <w:r w:rsidRPr="001B4A02">
          <w:rPr>
            <w:lang w:val="cs-CZ"/>
          </w:rPr>
          <w:delText>, bez ohledu na to, zda se</w:delText>
        </w:r>
        <w:r w:rsidR="002009DF" w:rsidRPr="001B4A02">
          <w:rPr>
            <w:lang w:val="cs-CZ"/>
          </w:rPr>
          <w:delText xml:space="preserve"> u </w:delText>
        </w:r>
        <w:r w:rsidRPr="001B4A02">
          <w:rPr>
            <w:lang w:val="cs-CZ"/>
          </w:rPr>
          <w:delText>nich v</w:delText>
        </w:r>
        <w:r w:rsidR="00E07E66" w:rsidRPr="001B4A02">
          <w:rPr>
            <w:lang w:val="cs-CZ"/>
          </w:rPr>
          <w:delText> </w:delText>
        </w:r>
        <w:r w:rsidRPr="001B4A02">
          <w:rPr>
            <w:lang w:val="cs-CZ"/>
          </w:rPr>
          <w:delText>průběhu období, kdy byl lék vysazen, objevil relaps (u</w:delText>
        </w:r>
        <w:r w:rsidR="004970F6" w:rsidRPr="001B4A02">
          <w:rPr>
            <w:lang w:val="cs-CZ"/>
          </w:rPr>
          <w:delText> </w:delText>
        </w:r>
        <w:r w:rsidRPr="001B4A02">
          <w:rPr>
            <w:lang w:val="cs-CZ"/>
          </w:rPr>
          <w:delText>69,1</w:delText>
        </w:r>
        <w:r w:rsidR="006008CB">
          <w:rPr>
            <w:lang w:val="cs-CZ"/>
          </w:rPr>
          <w:delText> %</w:delText>
        </w:r>
        <w:r w:rsidRPr="001B4A02">
          <w:rPr>
            <w:lang w:val="cs-CZ"/>
          </w:rPr>
          <w:delText xml:space="preserve"> [123 z</w:delText>
        </w:r>
        <w:r w:rsidR="004970F6" w:rsidRPr="001B4A02">
          <w:rPr>
            <w:lang w:val="cs-CZ"/>
          </w:rPr>
          <w:delText> </w:delText>
        </w:r>
        <w:r w:rsidRPr="001B4A02">
          <w:rPr>
            <w:lang w:val="cs-CZ"/>
          </w:rPr>
          <w:delText>178] se objevil relaps</w:delText>
        </w:r>
        <w:r w:rsidR="002378E0">
          <w:rPr>
            <w:lang w:val="cs-CZ"/>
          </w:rPr>
          <w:delText xml:space="preserve"> a </w:delText>
        </w:r>
        <w:r w:rsidRPr="001B4A02">
          <w:rPr>
            <w:lang w:val="cs-CZ"/>
          </w:rPr>
          <w:delText>88,8</w:delText>
        </w:r>
        <w:r w:rsidR="006008CB">
          <w:rPr>
            <w:lang w:val="cs-CZ"/>
          </w:rPr>
          <w:delText> %</w:delText>
        </w:r>
        <w:r w:rsidRPr="001B4A02">
          <w:rPr>
            <w:lang w:val="cs-CZ"/>
          </w:rPr>
          <w:delText xml:space="preserve"> [95 ze 107] bylo v</w:delText>
        </w:r>
        <w:r w:rsidR="004970F6" w:rsidRPr="001B4A02">
          <w:rPr>
            <w:lang w:val="cs-CZ"/>
          </w:rPr>
          <w:delText> </w:delText>
        </w:r>
        <w:r w:rsidRPr="001B4A02">
          <w:rPr>
            <w:lang w:val="cs-CZ"/>
          </w:rPr>
          <w:delText>tomto období bez relapsu). V</w:delText>
        </w:r>
        <w:r w:rsidR="004970F6" w:rsidRPr="001B4A02">
          <w:rPr>
            <w:lang w:val="cs-CZ"/>
          </w:rPr>
          <w:delText> </w:delText>
        </w:r>
        <w:r w:rsidRPr="001B4A02">
          <w:rPr>
            <w:lang w:val="cs-CZ"/>
          </w:rPr>
          <w:delText>průběhu doby po znovunasazení léčby byl pozorován podobný bezpečnostní profil jako v</w:delText>
        </w:r>
        <w:r w:rsidR="004970F6" w:rsidRPr="001B4A02">
          <w:rPr>
            <w:lang w:val="cs-CZ"/>
          </w:rPr>
          <w:delText> </w:delText>
        </w:r>
        <w:r w:rsidRPr="001B4A02">
          <w:rPr>
            <w:lang w:val="cs-CZ"/>
          </w:rPr>
          <w:delText>období před vysazením léčby.</w:delText>
        </w:r>
      </w:del>
    </w:p>
    <w:p w14:paraId="5C3E3871" w14:textId="77777777" w:rsidR="007D6483" w:rsidRPr="001B4A02" w:rsidRDefault="007D6483" w:rsidP="00ED48A3">
      <w:pPr>
        <w:pStyle w:val="EMEANormal"/>
        <w:tabs>
          <w:tab w:val="clear" w:pos="562"/>
          <w:tab w:val="left" w:pos="708"/>
        </w:tabs>
        <w:suppressAutoHyphens w:val="0"/>
        <w:rPr>
          <w:del w:id="2160" w:author="AbbVie1" w:date="2025-05-13T09:50:00Z"/>
          <w:u w:val="single"/>
          <w:lang w:val="cs-CZ"/>
        </w:rPr>
      </w:pPr>
    </w:p>
    <w:p w14:paraId="5A081DBE" w14:textId="77777777" w:rsidR="007D6483" w:rsidRPr="001B4A02" w:rsidRDefault="00000000" w:rsidP="00ED48A3">
      <w:pPr>
        <w:pStyle w:val="EMEANormal"/>
        <w:tabs>
          <w:tab w:val="clear" w:pos="562"/>
          <w:tab w:val="left" w:pos="708"/>
        </w:tabs>
        <w:suppressAutoHyphens w:val="0"/>
        <w:rPr>
          <w:del w:id="2161" w:author="AbbVie1" w:date="2025-05-13T09:50:00Z"/>
          <w:lang w:val="cs-CZ"/>
        </w:rPr>
      </w:pPr>
      <w:del w:id="2162" w:author="AbbVie1" w:date="2025-05-13T09:50:00Z">
        <w:r w:rsidRPr="001B4A02">
          <w:rPr>
            <w:lang w:val="cs-CZ"/>
          </w:rPr>
          <w:delText>Významné zlepšení v týdnu 16 oproti výchozímu stavu v porovnání s léčbou placebem (studie I</w:delText>
        </w:r>
        <w:r w:rsidR="002378E0">
          <w:rPr>
            <w:lang w:val="cs-CZ"/>
          </w:rPr>
          <w:delText xml:space="preserve"> a </w:delText>
        </w:r>
        <w:r w:rsidRPr="001B4A02">
          <w:rPr>
            <w:lang w:val="cs-CZ"/>
          </w:rPr>
          <w:delText>II)</w:delText>
        </w:r>
        <w:r w:rsidR="002378E0">
          <w:rPr>
            <w:lang w:val="cs-CZ"/>
          </w:rPr>
          <w:delText xml:space="preserve"> a </w:delText>
        </w:r>
        <w:r w:rsidRPr="001B4A02">
          <w:rPr>
            <w:lang w:val="cs-CZ"/>
          </w:rPr>
          <w:delText>MTX (studie II) bylo prokázáno v DLQI (Dermatology Life Quality Index). Ve studii I došlo také k</w:delText>
        </w:r>
        <w:r w:rsidR="00607D04" w:rsidRPr="001B4A02">
          <w:rPr>
            <w:lang w:val="cs-CZ"/>
          </w:rPr>
          <w:delText> </w:delText>
        </w:r>
        <w:r w:rsidRPr="001B4A02">
          <w:rPr>
            <w:lang w:val="cs-CZ"/>
          </w:rPr>
          <w:delText>významnému zlepšení fyzické</w:delText>
        </w:r>
        <w:r w:rsidR="002378E0">
          <w:rPr>
            <w:lang w:val="cs-CZ"/>
          </w:rPr>
          <w:delText xml:space="preserve"> a </w:delText>
        </w:r>
        <w:r w:rsidRPr="001B4A02">
          <w:rPr>
            <w:lang w:val="cs-CZ"/>
          </w:rPr>
          <w:delText>mentální části celkového skóre SF-36 v porovnání s placebem.</w:delText>
        </w:r>
      </w:del>
    </w:p>
    <w:p w14:paraId="0469E1F0" w14:textId="77777777" w:rsidR="007D6483" w:rsidRPr="001B4A02" w:rsidRDefault="007D6483" w:rsidP="00ED48A3">
      <w:pPr>
        <w:pStyle w:val="EMEANormal"/>
        <w:tabs>
          <w:tab w:val="clear" w:pos="562"/>
          <w:tab w:val="left" w:pos="708"/>
        </w:tabs>
        <w:suppressAutoHyphens w:val="0"/>
        <w:rPr>
          <w:del w:id="2163" w:author="AbbVie1" w:date="2025-05-13T09:50:00Z"/>
          <w:lang w:val="cs-CZ"/>
        </w:rPr>
      </w:pPr>
    </w:p>
    <w:p w14:paraId="6D0D547B" w14:textId="77777777" w:rsidR="007D6483" w:rsidRPr="001B4A02" w:rsidRDefault="00000000" w:rsidP="00ED48A3">
      <w:pPr>
        <w:pStyle w:val="EMEANormal"/>
        <w:tabs>
          <w:tab w:val="clear" w:pos="562"/>
          <w:tab w:val="left" w:pos="708"/>
        </w:tabs>
        <w:suppressAutoHyphens w:val="0"/>
        <w:rPr>
          <w:del w:id="2164" w:author="AbbVie1" w:date="2025-05-13T09:50:00Z"/>
          <w:lang w:val="cs-CZ"/>
        </w:rPr>
      </w:pPr>
      <w:del w:id="2165" w:author="AbbVie1" w:date="2025-05-13T09:50:00Z">
        <w:r w:rsidRPr="001B4A02">
          <w:rPr>
            <w:lang w:val="cs-CZ"/>
          </w:rPr>
          <w:delText>V otevřené prodloužené studii</w:delText>
        </w:r>
        <w:r w:rsidR="002009DF" w:rsidRPr="001B4A02">
          <w:rPr>
            <w:lang w:val="cs-CZ"/>
          </w:rPr>
          <w:delText xml:space="preserve"> u </w:delText>
        </w:r>
        <w:r w:rsidR="00AF4859" w:rsidRPr="001B4A02">
          <w:rPr>
            <w:lang w:val="cs-CZ"/>
          </w:rPr>
          <w:delText>pacientů,</w:delText>
        </w:r>
        <w:r w:rsidR="002009DF" w:rsidRPr="001B4A02">
          <w:rPr>
            <w:lang w:val="cs-CZ"/>
          </w:rPr>
          <w:delText xml:space="preserve"> u </w:delText>
        </w:r>
        <w:r w:rsidR="00AF4859" w:rsidRPr="001B4A02">
          <w:rPr>
            <w:lang w:val="cs-CZ"/>
          </w:rPr>
          <w:delText>nichž byla z důvodu odpovědi PASI pod 50</w:delText>
        </w:r>
        <w:r w:rsidR="006008CB">
          <w:rPr>
            <w:lang w:val="cs-CZ"/>
          </w:rPr>
          <w:delText> %</w:delText>
        </w:r>
        <w:r w:rsidR="00AF4859" w:rsidRPr="001B4A02">
          <w:rPr>
            <w:lang w:val="cs-CZ"/>
          </w:rPr>
          <w:delText xml:space="preserve"> dávka zvýšena ze 40</w:delText>
        </w:r>
        <w:r w:rsidR="00294902">
          <w:rPr>
            <w:lang w:val="cs-CZ"/>
          </w:rPr>
          <w:delText> mg</w:delText>
        </w:r>
        <w:r w:rsidR="00AF4859" w:rsidRPr="001B4A02">
          <w:rPr>
            <w:lang w:val="cs-CZ"/>
          </w:rPr>
          <w:delText xml:space="preserve"> každý druhý týden na 40</w:delText>
        </w:r>
        <w:r w:rsidR="00294902">
          <w:rPr>
            <w:lang w:val="cs-CZ"/>
          </w:rPr>
          <w:delText> mg</w:delText>
        </w:r>
        <w:r w:rsidR="00AF4859" w:rsidRPr="001B4A02">
          <w:rPr>
            <w:lang w:val="cs-CZ"/>
          </w:rPr>
          <w:delText xml:space="preserve"> týdně, dosáhlo opětovného návratu odpovědi PASI 75 celkem 26,4</w:delText>
        </w:r>
        <w:r w:rsidR="006008CB">
          <w:rPr>
            <w:lang w:val="cs-CZ"/>
          </w:rPr>
          <w:delText> %</w:delText>
        </w:r>
        <w:r w:rsidR="00AF4859" w:rsidRPr="001B4A02">
          <w:rPr>
            <w:lang w:val="cs-CZ"/>
          </w:rPr>
          <w:delText xml:space="preserve"> pacientů (92</w:delText>
        </w:r>
        <w:r w:rsidR="00220665" w:rsidRPr="001B4A02">
          <w:rPr>
            <w:lang w:val="cs-CZ"/>
          </w:rPr>
          <w:delText xml:space="preserve"> z </w:delText>
        </w:r>
        <w:r w:rsidR="00AF4859" w:rsidRPr="001B4A02">
          <w:rPr>
            <w:lang w:val="cs-CZ"/>
          </w:rPr>
          <w:delText>349) v týdnu 12</w:delText>
        </w:r>
        <w:r w:rsidR="002378E0">
          <w:rPr>
            <w:lang w:val="cs-CZ"/>
          </w:rPr>
          <w:delText xml:space="preserve"> a </w:delText>
        </w:r>
        <w:r w:rsidR="00AF4859" w:rsidRPr="001B4A02">
          <w:rPr>
            <w:lang w:val="cs-CZ"/>
          </w:rPr>
          <w:delText>37,8</w:delText>
        </w:r>
        <w:r w:rsidR="006008CB">
          <w:rPr>
            <w:lang w:val="cs-CZ"/>
          </w:rPr>
          <w:delText> %</w:delText>
        </w:r>
        <w:r w:rsidR="00AF4859" w:rsidRPr="001B4A02">
          <w:rPr>
            <w:lang w:val="cs-CZ"/>
          </w:rPr>
          <w:delText xml:space="preserve"> (132</w:delText>
        </w:r>
        <w:r w:rsidR="00220665" w:rsidRPr="001B4A02">
          <w:rPr>
            <w:lang w:val="cs-CZ"/>
          </w:rPr>
          <w:delText xml:space="preserve"> z </w:delText>
        </w:r>
        <w:r w:rsidR="00AF4859" w:rsidRPr="001B4A02">
          <w:rPr>
            <w:lang w:val="cs-CZ"/>
          </w:rPr>
          <w:delText>349) v týdnu 24.</w:delText>
        </w:r>
      </w:del>
    </w:p>
    <w:p w14:paraId="336ED78A" w14:textId="77777777" w:rsidR="00B62AE6" w:rsidRPr="001B4A02" w:rsidRDefault="00B62AE6" w:rsidP="00ED48A3">
      <w:pPr>
        <w:pStyle w:val="EMEANormal"/>
        <w:tabs>
          <w:tab w:val="clear" w:pos="562"/>
          <w:tab w:val="left" w:pos="708"/>
        </w:tabs>
        <w:suppressAutoHyphens w:val="0"/>
        <w:rPr>
          <w:del w:id="2166" w:author="AbbVie1" w:date="2025-05-13T09:50:00Z"/>
          <w:lang w:val="cs-CZ"/>
        </w:rPr>
      </w:pPr>
    </w:p>
    <w:p w14:paraId="3E4F8F7E" w14:textId="77777777" w:rsidR="00B62AE6" w:rsidRPr="001B4A02" w:rsidRDefault="00000000" w:rsidP="00ED48A3">
      <w:pPr>
        <w:pStyle w:val="EMEANormal"/>
        <w:tabs>
          <w:tab w:val="clear" w:pos="562"/>
          <w:tab w:val="left" w:pos="708"/>
        </w:tabs>
        <w:suppressAutoHyphens w:val="0"/>
        <w:rPr>
          <w:del w:id="2167" w:author="AbbVie1" w:date="2025-05-13T09:50:00Z"/>
          <w:lang w:val="cs-CZ"/>
        </w:rPr>
      </w:pPr>
      <w:del w:id="2168" w:author="AbbVie1" w:date="2025-05-13T09:50:00Z">
        <w:r w:rsidRPr="001B4A02">
          <w:rPr>
            <w:lang w:val="cs-CZ"/>
          </w:rPr>
          <w:delText>Psoriatická studie III (REACH) porovnávala účinnost</w:delText>
        </w:r>
        <w:r w:rsidR="002378E0">
          <w:rPr>
            <w:lang w:val="cs-CZ"/>
          </w:rPr>
          <w:delText xml:space="preserve"> a </w:delText>
        </w:r>
        <w:r w:rsidRPr="001B4A02">
          <w:rPr>
            <w:lang w:val="cs-CZ"/>
          </w:rPr>
          <w:delText xml:space="preserve">bezpečnost přípravku Humira </w:delText>
        </w:r>
        <w:r w:rsidR="001E61B8" w:rsidRPr="001B4A02">
          <w:rPr>
            <w:lang w:val="cs-CZ"/>
          </w:rPr>
          <w:delText>oproti</w:delText>
        </w:r>
        <w:r w:rsidRPr="001B4A02">
          <w:rPr>
            <w:lang w:val="cs-CZ"/>
          </w:rPr>
          <w:delText xml:space="preserve"> placeb</w:delText>
        </w:r>
        <w:r w:rsidR="001E61B8" w:rsidRPr="001B4A02">
          <w:rPr>
            <w:lang w:val="cs-CZ"/>
          </w:rPr>
          <w:delText>u</w:delText>
        </w:r>
        <w:r w:rsidR="002009DF" w:rsidRPr="001B4A02">
          <w:rPr>
            <w:lang w:val="cs-CZ"/>
          </w:rPr>
          <w:delText xml:space="preserve"> u </w:delText>
        </w:r>
        <w:r w:rsidR="00286A54" w:rsidRPr="001B4A02">
          <w:rPr>
            <w:lang w:val="cs-CZ"/>
          </w:rPr>
          <w:delText xml:space="preserve">72 </w:delText>
        </w:r>
        <w:r w:rsidRPr="001B4A02">
          <w:rPr>
            <w:lang w:val="cs-CZ"/>
          </w:rPr>
          <w:delText>pacientů se středně těžkou až těžkou chronickou ložiskovou p</w:delText>
        </w:r>
        <w:r w:rsidR="00721A81" w:rsidRPr="001B4A02">
          <w:rPr>
            <w:lang w:val="cs-CZ"/>
          </w:rPr>
          <w:delText>soriázou</w:delText>
        </w:r>
        <w:r w:rsidR="002378E0">
          <w:rPr>
            <w:lang w:val="cs-CZ"/>
          </w:rPr>
          <w:delText xml:space="preserve"> a </w:delText>
        </w:r>
        <w:r w:rsidRPr="001B4A02">
          <w:rPr>
            <w:lang w:val="cs-CZ"/>
          </w:rPr>
          <w:delText>psoriázou rukou a/nebo chodidel. Pacienti dostávali úvodní dávku 80</w:delText>
        </w:r>
        <w:r w:rsidR="00294902">
          <w:rPr>
            <w:lang w:val="cs-CZ"/>
          </w:rPr>
          <w:delText> mg</w:delText>
        </w:r>
        <w:r w:rsidRPr="001B4A02">
          <w:rPr>
            <w:lang w:val="cs-CZ"/>
          </w:rPr>
          <w:delText xml:space="preserve"> přípravku Humira</w:delText>
        </w:r>
        <w:r w:rsidR="00220665" w:rsidRPr="001B4A02">
          <w:rPr>
            <w:lang w:val="cs-CZ"/>
          </w:rPr>
          <w:delText>,</w:delText>
        </w:r>
        <w:r w:rsidRPr="001B4A02">
          <w:rPr>
            <w:lang w:val="cs-CZ"/>
          </w:rPr>
          <w:delText xml:space="preserve"> následovanou dávkou 40</w:delText>
        </w:r>
        <w:r w:rsidR="00294902">
          <w:rPr>
            <w:lang w:val="cs-CZ"/>
          </w:rPr>
          <w:delText> mg</w:delText>
        </w:r>
        <w:r w:rsidRPr="001B4A02">
          <w:rPr>
            <w:lang w:val="cs-CZ"/>
          </w:rPr>
          <w:delText xml:space="preserve"> každý druhý týden (počínaje prvním týdnem po </w:delText>
        </w:r>
        <w:r w:rsidR="00CF3348" w:rsidRPr="001B4A02">
          <w:rPr>
            <w:lang w:val="cs-CZ"/>
          </w:rPr>
          <w:delText>úvodní</w:delText>
        </w:r>
        <w:r w:rsidRPr="001B4A02">
          <w:rPr>
            <w:lang w:val="cs-CZ"/>
          </w:rPr>
          <w:delText xml:space="preserve"> dávce)</w:delText>
        </w:r>
        <w:r w:rsidR="00A4785B" w:rsidRPr="001B4A02">
          <w:rPr>
            <w:lang w:val="cs-CZ"/>
          </w:rPr>
          <w:delText>,</w:delText>
        </w:r>
        <w:r w:rsidR="001E61B8" w:rsidRPr="001B4A02">
          <w:rPr>
            <w:lang w:val="cs-CZ"/>
          </w:rPr>
          <w:delText xml:space="preserve"> nebo placeb</w:delText>
        </w:r>
        <w:r w:rsidR="00A4785B" w:rsidRPr="001B4A02">
          <w:rPr>
            <w:lang w:val="cs-CZ"/>
          </w:rPr>
          <w:delText>o</w:delText>
        </w:r>
        <w:r w:rsidR="001E61B8" w:rsidRPr="001B4A02">
          <w:rPr>
            <w:lang w:val="cs-CZ"/>
          </w:rPr>
          <w:delText xml:space="preserve"> po dobu 16 týdnů</w:delText>
        </w:r>
        <w:r w:rsidRPr="001B4A02">
          <w:rPr>
            <w:lang w:val="cs-CZ"/>
          </w:rPr>
          <w:delText>. V </w:delText>
        </w:r>
        <w:r w:rsidR="00D00F8F">
          <w:rPr>
            <w:lang w:val="cs-CZ"/>
          </w:rPr>
          <w:delText>týdnu 16</w:delText>
        </w:r>
        <w:r w:rsidRPr="001B4A02">
          <w:rPr>
            <w:lang w:val="cs-CZ"/>
          </w:rPr>
          <w:delText xml:space="preserve"> dosáhl statisticky významně větší podíl pacientů, kteří byli léčeni přípravkem Humira</w:delText>
        </w:r>
        <w:r w:rsidR="00721A81" w:rsidRPr="001B4A02">
          <w:rPr>
            <w:lang w:val="cs-CZ"/>
          </w:rPr>
          <w:delText>,</w:delText>
        </w:r>
        <w:r w:rsidRPr="001B4A02">
          <w:rPr>
            <w:lang w:val="cs-CZ"/>
          </w:rPr>
          <w:delText xml:space="preserve"> PGA odpovědi „čisté“ nebo „téměř čisté“ na rukou a/nebo chodidlech v porovnání s pacienty léčenými placebem (30,6</w:delText>
        </w:r>
        <w:r w:rsidR="006008CB">
          <w:rPr>
            <w:lang w:val="cs-CZ"/>
          </w:rPr>
          <w:delText> %</w:delText>
        </w:r>
        <w:r w:rsidRPr="001B4A02">
          <w:rPr>
            <w:lang w:val="cs-CZ"/>
          </w:rPr>
          <w:delText xml:space="preserve"> resp. 4,3</w:delText>
        </w:r>
        <w:r w:rsidR="006008CB">
          <w:rPr>
            <w:lang w:val="cs-CZ"/>
          </w:rPr>
          <w:delText> %</w:delText>
        </w:r>
        <w:r w:rsidRPr="001B4A02">
          <w:rPr>
            <w:lang w:val="cs-CZ"/>
          </w:rPr>
          <w:delText xml:space="preserve"> [p=</w:delText>
        </w:r>
        <w:r w:rsidR="00220665" w:rsidRPr="001B4A02">
          <w:rPr>
            <w:lang w:val="cs-CZ"/>
          </w:rPr>
          <w:delText>0</w:delText>
        </w:r>
        <w:r w:rsidRPr="001B4A02">
          <w:rPr>
            <w:lang w:val="cs-CZ"/>
          </w:rPr>
          <w:delText>,014])</w:delText>
        </w:r>
        <w:r w:rsidR="00220665" w:rsidRPr="001B4A02">
          <w:rPr>
            <w:lang w:val="cs-CZ"/>
          </w:rPr>
          <w:delText>.</w:delText>
        </w:r>
      </w:del>
    </w:p>
    <w:p w14:paraId="0D409DC2" w14:textId="77777777" w:rsidR="00294685" w:rsidRPr="001B4A02" w:rsidRDefault="00294685" w:rsidP="00ED48A3">
      <w:pPr>
        <w:pStyle w:val="EMEANormal"/>
        <w:tabs>
          <w:tab w:val="clear" w:pos="562"/>
          <w:tab w:val="left" w:pos="708"/>
        </w:tabs>
        <w:suppressAutoHyphens w:val="0"/>
        <w:rPr>
          <w:del w:id="2169" w:author="AbbVie1" w:date="2025-05-13T09:50:00Z"/>
          <w:lang w:val="cs-CZ"/>
        </w:rPr>
      </w:pPr>
    </w:p>
    <w:p w14:paraId="02F0CBCF" w14:textId="77777777" w:rsidR="00181ED8" w:rsidRPr="001B4A02" w:rsidRDefault="00000000" w:rsidP="00ED48A3">
      <w:pPr>
        <w:pStyle w:val="EMEANormal"/>
        <w:tabs>
          <w:tab w:val="clear" w:pos="562"/>
          <w:tab w:val="left" w:pos="708"/>
        </w:tabs>
        <w:suppressAutoHyphens w:val="0"/>
        <w:rPr>
          <w:del w:id="2170" w:author="AbbVie1" w:date="2025-05-13T09:50:00Z"/>
          <w:lang w:val="cs-CZ"/>
        </w:rPr>
      </w:pPr>
      <w:del w:id="2171" w:author="AbbVie1" w:date="2025-05-13T09:50:00Z">
        <w:r w:rsidRPr="001B4A02">
          <w:rPr>
            <w:lang w:val="cs-CZ"/>
          </w:rPr>
          <w:delText>Psoriatická studie IV porovnávala účinnost</w:delText>
        </w:r>
        <w:r w:rsidR="002378E0">
          <w:rPr>
            <w:lang w:val="cs-CZ"/>
          </w:rPr>
          <w:delText xml:space="preserve"> a </w:delText>
        </w:r>
        <w:r w:rsidRPr="001B4A02">
          <w:rPr>
            <w:lang w:val="cs-CZ"/>
          </w:rPr>
          <w:delText>bezpečnost přípravku Humira oproti</w:delText>
        </w:r>
        <w:r w:rsidRPr="001B4A02">
          <w:rPr>
            <w:i/>
            <w:lang w:val="cs-CZ"/>
          </w:rPr>
          <w:delText xml:space="preserve"> </w:delText>
        </w:r>
        <w:r w:rsidRPr="001B4A02">
          <w:rPr>
            <w:lang w:val="cs-CZ"/>
          </w:rPr>
          <w:delText>placebu</w:delText>
        </w:r>
        <w:r w:rsidR="002009DF" w:rsidRPr="001B4A02">
          <w:rPr>
            <w:lang w:val="cs-CZ"/>
          </w:rPr>
          <w:delText xml:space="preserve"> u </w:delText>
        </w:r>
        <w:r w:rsidRPr="001B4A02">
          <w:rPr>
            <w:lang w:val="cs-CZ"/>
          </w:rPr>
          <w:delText>217 dospělých pacientů se středně těžkou až těžkou psoriázou nehtů. Pac</w:delText>
        </w:r>
        <w:r w:rsidR="00DA73B0" w:rsidRPr="001B4A02">
          <w:rPr>
            <w:lang w:val="cs-CZ"/>
          </w:rPr>
          <w:delText>ienti dostávali úvodní dávku 80 </w:delText>
        </w:r>
        <w:r w:rsidRPr="001B4A02">
          <w:rPr>
            <w:lang w:val="cs-CZ"/>
          </w:rPr>
          <w:delText>mg přípravku Humira následovanou dávkou 40</w:delText>
        </w:r>
        <w:r w:rsidR="00294902">
          <w:rPr>
            <w:lang w:val="cs-CZ"/>
          </w:rPr>
          <w:delText> mg</w:delText>
        </w:r>
        <w:r w:rsidRPr="001B4A02">
          <w:rPr>
            <w:lang w:val="cs-CZ"/>
          </w:rPr>
          <w:delText xml:space="preserve"> každý druhý týden (počínaje prvním týdnem po </w:delText>
        </w:r>
        <w:r w:rsidR="00CF3348" w:rsidRPr="001B4A02">
          <w:rPr>
            <w:lang w:val="cs-CZ"/>
          </w:rPr>
          <w:delText>úvodní</w:delText>
        </w:r>
        <w:r w:rsidRPr="001B4A02">
          <w:rPr>
            <w:lang w:val="cs-CZ"/>
          </w:rPr>
          <w:delText xml:space="preserve"> dávce)</w:delText>
        </w:r>
        <w:r w:rsidR="00EC661C" w:rsidRPr="001B4A02">
          <w:rPr>
            <w:lang w:val="cs-CZ"/>
          </w:rPr>
          <w:delText>,</w:delText>
        </w:r>
        <w:r w:rsidRPr="001B4A02">
          <w:rPr>
            <w:lang w:val="cs-CZ"/>
          </w:rPr>
          <w:delText xml:space="preserve"> nebo placebo po dobu 26 týdnů</w:delText>
        </w:r>
        <w:r w:rsidR="007E2F50" w:rsidRPr="001B4A02">
          <w:rPr>
            <w:lang w:val="cs-CZ"/>
          </w:rPr>
          <w:delText>,</w:delText>
        </w:r>
        <w:r w:rsidRPr="001B4A02">
          <w:rPr>
            <w:lang w:val="cs-CZ"/>
          </w:rPr>
          <w:delText xml:space="preserve"> následované otevřenou fází léčby přípravkem Humira po následujících 26 týdnů. Hodnocení psoriázy nehtů zahrnovalo „Modified Nail Psoriasis Severity Index“ (mNAPSI), „Physician´s Global Assessment of Fingernail Psoriasis“ (PGA-F)</w:delText>
        </w:r>
        <w:r w:rsidR="002378E0">
          <w:rPr>
            <w:lang w:val="cs-CZ"/>
          </w:rPr>
          <w:delText xml:space="preserve"> a </w:delText>
        </w:r>
        <w:r w:rsidRPr="001B4A02">
          <w:rPr>
            <w:lang w:val="cs-CZ"/>
          </w:rPr>
          <w:delText xml:space="preserve">„Nail Psoriasis Severity Index“ (NAPSI) (viz tabulka </w:delText>
        </w:r>
        <w:r w:rsidR="00D76799">
          <w:rPr>
            <w:lang w:val="cs-CZ"/>
          </w:rPr>
          <w:delText>14</w:delText>
        </w:r>
        <w:r w:rsidRPr="001B4A02">
          <w:rPr>
            <w:lang w:val="cs-CZ"/>
          </w:rPr>
          <w:delText>). Léčba přípravkem Humira byla prospěšná u</w:delText>
        </w:r>
        <w:r w:rsidR="00DA73B0" w:rsidRPr="001B4A02">
          <w:rPr>
            <w:lang w:val="cs-CZ"/>
          </w:rPr>
          <w:delText> </w:delText>
        </w:r>
        <w:r w:rsidRPr="001B4A02">
          <w:rPr>
            <w:lang w:val="cs-CZ"/>
          </w:rPr>
          <w:delText>pacientů s psoriázou nehtů s různým rozsahem postižení kůže (</w:delText>
        </w:r>
        <w:r w:rsidRPr="001B4A02">
          <w:rPr>
            <w:szCs w:val="22"/>
            <w:lang w:val="cs-CZ"/>
          </w:rPr>
          <w:delText>BSA</w:delText>
        </w:r>
        <w:r w:rsidR="009C5EAC" w:rsidRPr="001B4A02">
          <w:rPr>
            <w:szCs w:val="22"/>
            <w:lang w:val="cs-CZ"/>
          </w:rPr>
          <w:delText xml:space="preserve"> </w:delText>
        </w:r>
        <w:r w:rsidRPr="001B4A02">
          <w:rPr>
            <w:szCs w:val="22"/>
            <w:lang w:val="cs-CZ"/>
          </w:rPr>
          <w:delText>≥</w:delText>
        </w:r>
        <w:r w:rsidR="009C5EAC" w:rsidRPr="001B4A02">
          <w:rPr>
            <w:szCs w:val="22"/>
            <w:lang w:val="cs-CZ"/>
          </w:rPr>
          <w:delText> </w:delText>
        </w:r>
        <w:r w:rsidRPr="001B4A02">
          <w:rPr>
            <w:szCs w:val="22"/>
            <w:lang w:val="cs-CZ"/>
          </w:rPr>
          <w:delText>10</w:delText>
        </w:r>
        <w:r w:rsidR="006008CB">
          <w:rPr>
            <w:szCs w:val="22"/>
            <w:lang w:val="cs-CZ"/>
          </w:rPr>
          <w:delText> %</w:delText>
        </w:r>
        <w:r w:rsidRPr="001B4A02">
          <w:rPr>
            <w:szCs w:val="22"/>
            <w:lang w:val="cs-CZ"/>
          </w:rPr>
          <w:delText xml:space="preserve"> (60</w:delText>
        </w:r>
        <w:r w:rsidR="006008CB">
          <w:rPr>
            <w:szCs w:val="22"/>
            <w:lang w:val="cs-CZ"/>
          </w:rPr>
          <w:delText> %</w:delText>
        </w:r>
        <w:r w:rsidRPr="001B4A02">
          <w:rPr>
            <w:szCs w:val="22"/>
            <w:lang w:val="cs-CZ"/>
          </w:rPr>
          <w:delText xml:space="preserve"> pacientů)</w:delText>
        </w:r>
        <w:r w:rsidR="002378E0">
          <w:rPr>
            <w:szCs w:val="22"/>
            <w:lang w:val="cs-CZ"/>
          </w:rPr>
          <w:delText xml:space="preserve"> a </w:delText>
        </w:r>
        <w:r w:rsidRPr="001B4A02">
          <w:rPr>
            <w:szCs w:val="22"/>
            <w:lang w:val="cs-CZ"/>
          </w:rPr>
          <w:delText>BSA</w:delText>
        </w:r>
        <w:r w:rsidR="009C5EAC" w:rsidRPr="001B4A02">
          <w:rPr>
            <w:szCs w:val="22"/>
            <w:lang w:val="cs-CZ"/>
          </w:rPr>
          <w:delText xml:space="preserve"> </w:delText>
        </w:r>
        <w:r w:rsidRPr="001B4A02">
          <w:rPr>
            <w:szCs w:val="22"/>
            <w:lang w:val="cs-CZ"/>
          </w:rPr>
          <w:delText>&lt;</w:delText>
        </w:r>
        <w:r w:rsidR="009C5EAC" w:rsidRPr="001B4A02">
          <w:rPr>
            <w:szCs w:val="22"/>
            <w:lang w:val="cs-CZ"/>
          </w:rPr>
          <w:delText> </w:delText>
        </w:r>
        <w:r w:rsidRPr="001B4A02">
          <w:rPr>
            <w:szCs w:val="22"/>
            <w:lang w:val="cs-CZ"/>
          </w:rPr>
          <w:delText>10</w:delText>
        </w:r>
        <w:r w:rsidR="006008CB">
          <w:rPr>
            <w:szCs w:val="22"/>
            <w:lang w:val="cs-CZ"/>
          </w:rPr>
          <w:delText> %</w:delText>
        </w:r>
        <w:r w:rsidR="002378E0">
          <w:rPr>
            <w:szCs w:val="22"/>
            <w:lang w:val="cs-CZ"/>
          </w:rPr>
          <w:delText xml:space="preserve"> a </w:delText>
        </w:r>
        <w:r w:rsidRPr="001B4A02">
          <w:rPr>
            <w:szCs w:val="22"/>
            <w:lang w:val="cs-CZ"/>
          </w:rPr>
          <w:delText>≥</w:delText>
        </w:r>
        <w:r w:rsidR="009C5EAC" w:rsidRPr="001B4A02">
          <w:rPr>
            <w:szCs w:val="22"/>
            <w:lang w:val="cs-CZ"/>
          </w:rPr>
          <w:delText> </w:delText>
        </w:r>
        <w:r w:rsidRPr="001B4A02">
          <w:rPr>
            <w:szCs w:val="22"/>
            <w:lang w:val="cs-CZ"/>
          </w:rPr>
          <w:delText>5</w:delText>
        </w:r>
        <w:r w:rsidR="006008CB">
          <w:rPr>
            <w:szCs w:val="22"/>
            <w:lang w:val="cs-CZ"/>
          </w:rPr>
          <w:delText> %</w:delText>
        </w:r>
        <w:r w:rsidRPr="001B4A02">
          <w:rPr>
            <w:szCs w:val="22"/>
            <w:lang w:val="cs-CZ"/>
          </w:rPr>
          <w:delText xml:space="preserve"> (40</w:delText>
        </w:r>
        <w:r w:rsidR="006008CB">
          <w:rPr>
            <w:szCs w:val="22"/>
            <w:lang w:val="cs-CZ"/>
          </w:rPr>
          <w:delText> %</w:delText>
        </w:r>
        <w:r w:rsidRPr="001B4A02">
          <w:rPr>
            <w:szCs w:val="22"/>
            <w:lang w:val="cs-CZ"/>
          </w:rPr>
          <w:delText xml:space="preserve"> pacientů)).</w:delText>
        </w:r>
      </w:del>
    </w:p>
    <w:p w14:paraId="6AC77DBE" w14:textId="77777777" w:rsidR="00181ED8" w:rsidRPr="001B4A02" w:rsidRDefault="00181ED8" w:rsidP="00ED48A3">
      <w:pPr>
        <w:pStyle w:val="gtcbodytext"/>
        <w:spacing w:before="0" w:after="0" w:line="240" w:lineRule="auto"/>
        <w:rPr>
          <w:del w:id="2172" w:author="AbbVie1" w:date="2025-05-13T09:50:00Z"/>
          <w:sz w:val="22"/>
          <w:szCs w:val="22"/>
          <w:lang w:val="cs-CZ"/>
        </w:rPr>
      </w:pPr>
    </w:p>
    <w:p w14:paraId="022FCF0D" w14:textId="77777777" w:rsidR="00181ED8" w:rsidRPr="001B4A02" w:rsidRDefault="00000000" w:rsidP="00ED48A3">
      <w:pPr>
        <w:pStyle w:val="gtctabletitleotherwise"/>
        <w:keepNext/>
        <w:spacing w:before="0"/>
        <w:rPr>
          <w:del w:id="2173" w:author="AbbVie1" w:date="2025-05-13T09:50:00Z"/>
          <w:bCs w:val="0"/>
          <w:sz w:val="22"/>
          <w:szCs w:val="22"/>
          <w:lang w:val="cs-CZ"/>
        </w:rPr>
      </w:pPr>
      <w:del w:id="2174" w:author="AbbVie1" w:date="2025-05-13T09:50:00Z">
        <w:r w:rsidRPr="001B4A02">
          <w:rPr>
            <w:bCs w:val="0"/>
            <w:sz w:val="22"/>
            <w:szCs w:val="22"/>
            <w:lang w:val="cs-CZ"/>
          </w:rPr>
          <w:delText xml:space="preserve">Tabulka </w:delText>
        </w:r>
        <w:r w:rsidR="00D76799">
          <w:rPr>
            <w:bCs w:val="0"/>
            <w:sz w:val="22"/>
            <w:szCs w:val="22"/>
            <w:lang w:val="cs-CZ"/>
          </w:rPr>
          <w:delText>14</w:delText>
        </w:r>
      </w:del>
    </w:p>
    <w:p w14:paraId="7F26D4D9" w14:textId="77777777" w:rsidR="00181ED8" w:rsidRPr="001B4A02" w:rsidRDefault="00000000" w:rsidP="00ED48A3">
      <w:pPr>
        <w:pStyle w:val="gtctabletitleotherwise"/>
        <w:keepNext/>
        <w:spacing w:before="0"/>
        <w:rPr>
          <w:del w:id="2175" w:author="AbbVie1" w:date="2025-05-13T09:50:00Z"/>
          <w:sz w:val="22"/>
          <w:szCs w:val="22"/>
          <w:lang w:val="cs-CZ"/>
        </w:rPr>
      </w:pPr>
      <w:del w:id="2176" w:author="AbbVie1" w:date="2025-05-13T09:50:00Z">
        <w:r w:rsidRPr="001B4A02">
          <w:rPr>
            <w:bCs w:val="0"/>
            <w:sz w:val="22"/>
            <w:szCs w:val="22"/>
            <w:lang w:val="cs-CZ"/>
          </w:rPr>
          <w:delText>Výsledky účinnosti v</w:delText>
        </w:r>
        <w:r w:rsidR="00E07E66" w:rsidRPr="001B4A02">
          <w:rPr>
            <w:bCs w:val="0"/>
            <w:sz w:val="22"/>
            <w:szCs w:val="22"/>
            <w:lang w:val="cs-CZ"/>
          </w:rPr>
          <w:delText> </w:delText>
        </w:r>
        <w:r w:rsidRPr="001B4A02">
          <w:rPr>
            <w:bCs w:val="0"/>
            <w:sz w:val="22"/>
            <w:szCs w:val="22"/>
            <w:lang w:val="cs-CZ"/>
          </w:rPr>
          <w:delText>týdnech 16, 26</w:delText>
        </w:r>
        <w:r w:rsidR="002378E0">
          <w:rPr>
            <w:bCs w:val="0"/>
            <w:sz w:val="22"/>
            <w:szCs w:val="22"/>
            <w:lang w:val="cs-CZ"/>
          </w:rPr>
          <w:delText xml:space="preserve"> a </w:delText>
        </w:r>
        <w:r w:rsidRPr="001B4A02">
          <w:rPr>
            <w:bCs w:val="0"/>
            <w:sz w:val="22"/>
            <w:szCs w:val="22"/>
            <w:lang w:val="cs-CZ"/>
          </w:rPr>
          <w:delText>52</w:delText>
        </w:r>
        <w:r w:rsidR="002009DF" w:rsidRPr="001B4A02">
          <w:rPr>
            <w:bCs w:val="0"/>
            <w:sz w:val="22"/>
            <w:szCs w:val="22"/>
            <w:lang w:val="cs-CZ"/>
          </w:rPr>
          <w:delText xml:space="preserve"> </w:delText>
        </w:r>
        <w:r w:rsidRPr="001B4A02">
          <w:rPr>
            <w:bCs w:val="0"/>
            <w:sz w:val="22"/>
            <w:szCs w:val="22"/>
            <w:lang w:val="cs-CZ"/>
          </w:rPr>
          <w:delText>u</w:delText>
        </w:r>
        <w:r w:rsidR="002009DF" w:rsidRPr="001B4A02">
          <w:rPr>
            <w:bCs w:val="0"/>
            <w:sz w:val="22"/>
            <w:szCs w:val="22"/>
            <w:lang w:val="cs-CZ"/>
          </w:rPr>
          <w:delText> </w:delText>
        </w:r>
        <w:r w:rsidRPr="001B4A02">
          <w:rPr>
            <w:bCs w:val="0"/>
            <w:sz w:val="22"/>
            <w:szCs w:val="22"/>
            <w:lang w:val="cs-CZ"/>
          </w:rPr>
          <w:delText>psoriatické studie IV</w:delText>
        </w:r>
      </w:del>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993"/>
        <w:gridCol w:w="1417"/>
        <w:gridCol w:w="992"/>
        <w:gridCol w:w="1418"/>
        <w:gridCol w:w="1559"/>
      </w:tblGrid>
      <w:tr w:rsidR="00534A2D" w14:paraId="6C6284CB" w14:textId="77777777" w:rsidTr="00E07E66">
        <w:trPr>
          <w:del w:id="2177" w:author="AbbVie1" w:date="2025-05-13T09:50:00Z"/>
        </w:trPr>
        <w:tc>
          <w:tcPr>
            <w:tcW w:w="2943" w:type="dxa"/>
            <w:vMerge w:val="restart"/>
            <w:shd w:val="clear" w:color="auto" w:fill="auto"/>
          </w:tcPr>
          <w:p w14:paraId="0FC092B5" w14:textId="77777777" w:rsidR="00181ED8" w:rsidRPr="001B4A02" w:rsidRDefault="00000000" w:rsidP="00ED48A3">
            <w:pPr>
              <w:pStyle w:val="gtctablespaceafter"/>
              <w:spacing w:after="0"/>
              <w:rPr>
                <w:del w:id="2178" w:author="AbbVie1" w:date="2025-05-13T09:50:00Z"/>
                <w:sz w:val="22"/>
                <w:szCs w:val="22"/>
                <w:lang w:val="cs-CZ"/>
              </w:rPr>
            </w:pPr>
            <w:del w:id="2179" w:author="AbbVie1" w:date="2025-05-13T09:50:00Z">
              <w:r w:rsidRPr="001B4A02">
                <w:rPr>
                  <w:sz w:val="22"/>
                  <w:szCs w:val="22"/>
                  <w:lang w:val="cs-CZ"/>
                </w:rPr>
                <w:delText>Primární cílový parametr</w:delText>
              </w:r>
            </w:del>
          </w:p>
        </w:tc>
        <w:tc>
          <w:tcPr>
            <w:tcW w:w="2410" w:type="dxa"/>
            <w:gridSpan w:val="2"/>
            <w:shd w:val="clear" w:color="auto" w:fill="auto"/>
          </w:tcPr>
          <w:p w14:paraId="69C8D656" w14:textId="77777777" w:rsidR="00181ED8" w:rsidRPr="001B4A02" w:rsidRDefault="00000000" w:rsidP="00ED48A3">
            <w:pPr>
              <w:pStyle w:val="gtctablespaceafter"/>
              <w:spacing w:after="0"/>
              <w:jc w:val="center"/>
              <w:rPr>
                <w:del w:id="2180" w:author="AbbVie1" w:date="2025-05-13T09:50:00Z"/>
                <w:sz w:val="22"/>
                <w:szCs w:val="22"/>
                <w:lang w:val="cs-CZ"/>
              </w:rPr>
            </w:pPr>
            <w:del w:id="2181" w:author="AbbVie1" w:date="2025-05-13T09:50:00Z">
              <w:r w:rsidRPr="001B4A02">
                <w:rPr>
                  <w:sz w:val="22"/>
                  <w:szCs w:val="22"/>
                  <w:lang w:val="cs-CZ"/>
                </w:rPr>
                <w:delText>Týden 16</w:delText>
              </w:r>
            </w:del>
          </w:p>
          <w:p w14:paraId="58D37E01" w14:textId="77777777" w:rsidR="00181ED8" w:rsidRPr="001B4A02" w:rsidRDefault="00000000" w:rsidP="00ED48A3">
            <w:pPr>
              <w:pStyle w:val="gtctablespaceafter"/>
              <w:spacing w:after="0"/>
              <w:jc w:val="center"/>
              <w:rPr>
                <w:del w:id="2182" w:author="AbbVie1" w:date="2025-05-13T09:50:00Z"/>
                <w:sz w:val="22"/>
                <w:szCs w:val="22"/>
                <w:lang w:val="cs-CZ"/>
              </w:rPr>
            </w:pPr>
            <w:del w:id="2183" w:author="AbbVie1" w:date="2025-05-13T09:50:00Z">
              <w:r w:rsidRPr="001B4A02">
                <w:rPr>
                  <w:sz w:val="22"/>
                  <w:szCs w:val="22"/>
                  <w:lang w:val="cs-CZ"/>
                </w:rPr>
                <w:delText>Placebem kontrolovaná</w:delText>
              </w:r>
            </w:del>
          </w:p>
        </w:tc>
        <w:tc>
          <w:tcPr>
            <w:tcW w:w="2410" w:type="dxa"/>
            <w:gridSpan w:val="2"/>
            <w:shd w:val="clear" w:color="auto" w:fill="auto"/>
          </w:tcPr>
          <w:p w14:paraId="4495C142" w14:textId="77777777" w:rsidR="00181ED8" w:rsidRPr="001B4A02" w:rsidRDefault="00000000" w:rsidP="00ED48A3">
            <w:pPr>
              <w:pStyle w:val="gtctablespaceafter"/>
              <w:spacing w:after="0"/>
              <w:jc w:val="center"/>
              <w:rPr>
                <w:del w:id="2184" w:author="AbbVie1" w:date="2025-05-13T09:50:00Z"/>
                <w:sz w:val="22"/>
                <w:szCs w:val="22"/>
                <w:lang w:val="cs-CZ"/>
              </w:rPr>
            </w:pPr>
            <w:del w:id="2185" w:author="AbbVie1" w:date="2025-05-13T09:50:00Z">
              <w:r w:rsidRPr="001B4A02">
                <w:rPr>
                  <w:sz w:val="22"/>
                  <w:szCs w:val="22"/>
                  <w:lang w:val="cs-CZ"/>
                </w:rPr>
                <w:delText>Týden 26</w:delText>
              </w:r>
            </w:del>
          </w:p>
          <w:p w14:paraId="4023D319" w14:textId="77777777" w:rsidR="00181ED8" w:rsidRPr="001B4A02" w:rsidRDefault="00000000" w:rsidP="00ED48A3">
            <w:pPr>
              <w:pStyle w:val="gtctablespaceafter"/>
              <w:spacing w:after="0"/>
              <w:jc w:val="center"/>
              <w:rPr>
                <w:del w:id="2186" w:author="AbbVie1" w:date="2025-05-13T09:50:00Z"/>
                <w:sz w:val="22"/>
                <w:szCs w:val="22"/>
                <w:lang w:val="cs-CZ"/>
              </w:rPr>
            </w:pPr>
            <w:del w:id="2187" w:author="AbbVie1" w:date="2025-05-13T09:50:00Z">
              <w:r w:rsidRPr="001B4A02">
                <w:rPr>
                  <w:sz w:val="22"/>
                  <w:szCs w:val="22"/>
                  <w:lang w:val="cs-CZ"/>
                </w:rPr>
                <w:delText>Placebem kontrolovaná</w:delText>
              </w:r>
            </w:del>
          </w:p>
        </w:tc>
        <w:tc>
          <w:tcPr>
            <w:tcW w:w="1559" w:type="dxa"/>
            <w:shd w:val="clear" w:color="auto" w:fill="auto"/>
          </w:tcPr>
          <w:p w14:paraId="396642EB" w14:textId="77777777" w:rsidR="00181ED8" w:rsidRPr="001B4A02" w:rsidRDefault="00000000" w:rsidP="00ED48A3">
            <w:pPr>
              <w:pStyle w:val="gtctablespaceafter"/>
              <w:spacing w:after="0"/>
              <w:jc w:val="center"/>
              <w:rPr>
                <w:del w:id="2188" w:author="AbbVie1" w:date="2025-05-13T09:50:00Z"/>
                <w:sz w:val="22"/>
                <w:szCs w:val="22"/>
                <w:lang w:val="cs-CZ"/>
              </w:rPr>
            </w:pPr>
            <w:del w:id="2189" w:author="AbbVie1" w:date="2025-05-13T09:50:00Z">
              <w:r w:rsidRPr="001B4A02">
                <w:rPr>
                  <w:sz w:val="22"/>
                  <w:szCs w:val="22"/>
                  <w:lang w:val="cs-CZ"/>
                </w:rPr>
                <w:delText>Týden 52</w:delText>
              </w:r>
            </w:del>
          </w:p>
          <w:p w14:paraId="23220D3C" w14:textId="77777777" w:rsidR="00181ED8" w:rsidRPr="001B4A02" w:rsidRDefault="00000000" w:rsidP="00ED48A3">
            <w:pPr>
              <w:pStyle w:val="gtctablespaceafter"/>
              <w:spacing w:after="0"/>
              <w:jc w:val="center"/>
              <w:rPr>
                <w:del w:id="2190" w:author="AbbVie1" w:date="2025-05-13T09:50:00Z"/>
                <w:sz w:val="22"/>
                <w:szCs w:val="22"/>
                <w:lang w:val="cs-CZ"/>
              </w:rPr>
            </w:pPr>
            <w:del w:id="2191" w:author="AbbVie1" w:date="2025-05-13T09:50:00Z">
              <w:r w:rsidRPr="001B4A02">
                <w:rPr>
                  <w:sz w:val="22"/>
                  <w:szCs w:val="22"/>
                  <w:lang w:val="cs-CZ"/>
                </w:rPr>
                <w:delText>Otevřená</w:delText>
              </w:r>
            </w:del>
          </w:p>
        </w:tc>
      </w:tr>
      <w:tr w:rsidR="00534A2D" w14:paraId="147267BA" w14:textId="77777777" w:rsidTr="00E07E66">
        <w:trPr>
          <w:del w:id="2192" w:author="AbbVie1" w:date="2025-05-13T09:50:00Z"/>
        </w:trPr>
        <w:tc>
          <w:tcPr>
            <w:tcW w:w="2943" w:type="dxa"/>
            <w:vMerge/>
            <w:shd w:val="clear" w:color="auto" w:fill="auto"/>
          </w:tcPr>
          <w:p w14:paraId="1A8D6353" w14:textId="77777777" w:rsidR="00181ED8" w:rsidRPr="001B4A02" w:rsidRDefault="00181ED8" w:rsidP="00ED48A3">
            <w:pPr>
              <w:pStyle w:val="gtctablespaceafter"/>
              <w:spacing w:after="0"/>
              <w:rPr>
                <w:del w:id="2193" w:author="AbbVie1" w:date="2025-05-13T09:50:00Z"/>
                <w:sz w:val="22"/>
                <w:szCs w:val="22"/>
                <w:lang w:val="cs-CZ"/>
              </w:rPr>
            </w:pPr>
          </w:p>
        </w:tc>
        <w:tc>
          <w:tcPr>
            <w:tcW w:w="993" w:type="dxa"/>
            <w:shd w:val="clear" w:color="auto" w:fill="auto"/>
          </w:tcPr>
          <w:p w14:paraId="3D281921" w14:textId="77777777" w:rsidR="00181ED8" w:rsidRPr="001B4A02" w:rsidRDefault="00000000" w:rsidP="00892469">
            <w:pPr>
              <w:pStyle w:val="gtctablespaceafter"/>
              <w:spacing w:after="0"/>
              <w:jc w:val="center"/>
              <w:rPr>
                <w:del w:id="2194" w:author="AbbVie1" w:date="2025-05-13T09:50:00Z"/>
                <w:sz w:val="22"/>
                <w:szCs w:val="22"/>
                <w:lang w:val="cs-CZ"/>
              </w:rPr>
            </w:pPr>
            <w:del w:id="2195" w:author="AbbVie1" w:date="2025-05-13T09:50:00Z">
              <w:r w:rsidRPr="001B4A02">
                <w:rPr>
                  <w:sz w:val="22"/>
                  <w:lang w:val="cs-CZ"/>
                </w:rPr>
                <w:delText>Placebo</w:delText>
              </w:r>
              <w:r w:rsidRPr="001B4A02">
                <w:rPr>
                  <w:sz w:val="22"/>
                  <w:lang w:val="cs-CZ"/>
                </w:rPr>
                <w:br/>
              </w:r>
              <w:r w:rsidR="00892469">
                <w:rPr>
                  <w:sz w:val="22"/>
                  <w:lang w:val="cs-CZ"/>
                </w:rPr>
                <w:delText>n</w:delText>
              </w:r>
              <w:r w:rsidRPr="001B4A02">
                <w:rPr>
                  <w:sz w:val="22"/>
                  <w:lang w:val="cs-CZ"/>
                </w:rPr>
                <w:delText>=108</w:delText>
              </w:r>
            </w:del>
          </w:p>
        </w:tc>
        <w:tc>
          <w:tcPr>
            <w:tcW w:w="1417" w:type="dxa"/>
            <w:shd w:val="clear" w:color="auto" w:fill="auto"/>
          </w:tcPr>
          <w:p w14:paraId="4658E6BF" w14:textId="77777777" w:rsidR="00181ED8" w:rsidRPr="001B4A02" w:rsidRDefault="00000000" w:rsidP="00ED48A3">
            <w:pPr>
              <w:pStyle w:val="In-texttable"/>
              <w:keepNext w:val="0"/>
              <w:spacing w:line="240" w:lineRule="auto"/>
              <w:jc w:val="center"/>
              <w:rPr>
                <w:del w:id="2196" w:author="AbbVie1" w:date="2025-05-13T09:50:00Z"/>
                <w:rFonts w:ascii="Times New Roman" w:hAnsi="Times New Roman"/>
                <w:sz w:val="22"/>
                <w:lang w:val="cs-CZ"/>
              </w:rPr>
            </w:pPr>
            <w:del w:id="2197" w:author="AbbVie1" w:date="2025-05-13T09:50:00Z">
              <w:r w:rsidRPr="001B4A02">
                <w:rPr>
                  <w:rFonts w:ascii="Times New Roman" w:hAnsi="Times New Roman"/>
                  <w:sz w:val="22"/>
                  <w:lang w:val="cs-CZ"/>
                </w:rPr>
                <w:delText>Humira</w:delText>
              </w:r>
            </w:del>
          </w:p>
          <w:p w14:paraId="5B990C78" w14:textId="77777777" w:rsidR="00181ED8" w:rsidRPr="001B4A02" w:rsidRDefault="00000000" w:rsidP="00892469">
            <w:pPr>
              <w:pStyle w:val="gtctablespaceafter"/>
              <w:spacing w:after="0"/>
              <w:jc w:val="center"/>
              <w:rPr>
                <w:del w:id="2198" w:author="AbbVie1" w:date="2025-05-13T09:50:00Z"/>
                <w:sz w:val="22"/>
                <w:szCs w:val="22"/>
                <w:lang w:val="cs-CZ"/>
              </w:rPr>
            </w:pPr>
            <w:del w:id="2199" w:author="AbbVie1" w:date="2025-05-13T09:50:00Z">
              <w:r w:rsidRPr="001B4A02">
                <w:rPr>
                  <w:sz w:val="22"/>
                  <w:lang w:val="cs-CZ"/>
                </w:rPr>
                <w:delText xml:space="preserve">40 mg každý druhý týden </w:delText>
              </w:r>
              <w:r w:rsidRPr="001B4A02">
                <w:rPr>
                  <w:sz w:val="22"/>
                  <w:lang w:val="cs-CZ"/>
                </w:rPr>
                <w:br/>
              </w:r>
              <w:r w:rsidR="00892469">
                <w:rPr>
                  <w:sz w:val="22"/>
                  <w:lang w:val="cs-CZ"/>
                </w:rPr>
                <w:delText>n</w:delText>
              </w:r>
              <w:r w:rsidRPr="001B4A02">
                <w:rPr>
                  <w:sz w:val="22"/>
                  <w:lang w:val="cs-CZ"/>
                </w:rPr>
                <w:delText>=109</w:delText>
              </w:r>
            </w:del>
          </w:p>
        </w:tc>
        <w:tc>
          <w:tcPr>
            <w:tcW w:w="992" w:type="dxa"/>
            <w:shd w:val="clear" w:color="auto" w:fill="auto"/>
          </w:tcPr>
          <w:p w14:paraId="198044B1" w14:textId="77777777" w:rsidR="00181ED8" w:rsidRPr="001B4A02" w:rsidRDefault="00000000" w:rsidP="00892469">
            <w:pPr>
              <w:pStyle w:val="gtctablespaceafter"/>
              <w:spacing w:after="0"/>
              <w:jc w:val="center"/>
              <w:rPr>
                <w:del w:id="2200" w:author="AbbVie1" w:date="2025-05-13T09:50:00Z"/>
                <w:sz w:val="22"/>
                <w:szCs w:val="22"/>
                <w:lang w:val="cs-CZ"/>
              </w:rPr>
            </w:pPr>
            <w:del w:id="2201" w:author="AbbVie1" w:date="2025-05-13T09:50:00Z">
              <w:r w:rsidRPr="001B4A02">
                <w:rPr>
                  <w:sz w:val="22"/>
                  <w:lang w:val="cs-CZ"/>
                </w:rPr>
                <w:delText>Placebo</w:delText>
              </w:r>
              <w:r w:rsidRPr="001B4A02">
                <w:rPr>
                  <w:sz w:val="22"/>
                  <w:lang w:val="cs-CZ"/>
                </w:rPr>
                <w:br/>
              </w:r>
              <w:r w:rsidR="00892469">
                <w:rPr>
                  <w:sz w:val="22"/>
                  <w:lang w:val="cs-CZ"/>
                </w:rPr>
                <w:delText>n</w:delText>
              </w:r>
              <w:r w:rsidRPr="001B4A02">
                <w:rPr>
                  <w:sz w:val="22"/>
                  <w:lang w:val="cs-CZ"/>
                </w:rPr>
                <w:delText>=108</w:delText>
              </w:r>
            </w:del>
          </w:p>
        </w:tc>
        <w:tc>
          <w:tcPr>
            <w:tcW w:w="1418" w:type="dxa"/>
            <w:shd w:val="clear" w:color="auto" w:fill="auto"/>
          </w:tcPr>
          <w:p w14:paraId="68D7FFC2" w14:textId="77777777" w:rsidR="00181ED8" w:rsidRPr="001B4A02" w:rsidRDefault="00000000" w:rsidP="00ED48A3">
            <w:pPr>
              <w:pStyle w:val="In-texttable"/>
              <w:keepNext w:val="0"/>
              <w:spacing w:line="240" w:lineRule="auto"/>
              <w:jc w:val="center"/>
              <w:rPr>
                <w:del w:id="2202" w:author="AbbVie1" w:date="2025-05-13T09:50:00Z"/>
                <w:rFonts w:ascii="Times New Roman" w:hAnsi="Times New Roman"/>
                <w:sz w:val="22"/>
                <w:lang w:val="cs-CZ"/>
              </w:rPr>
            </w:pPr>
            <w:del w:id="2203" w:author="AbbVie1" w:date="2025-05-13T09:50:00Z">
              <w:r w:rsidRPr="001B4A02">
                <w:rPr>
                  <w:rFonts w:ascii="Times New Roman" w:hAnsi="Times New Roman"/>
                  <w:sz w:val="22"/>
                  <w:lang w:val="cs-CZ"/>
                </w:rPr>
                <w:delText>Humira</w:delText>
              </w:r>
            </w:del>
          </w:p>
          <w:p w14:paraId="417B9DED" w14:textId="77777777" w:rsidR="00181ED8" w:rsidRPr="001B4A02" w:rsidRDefault="00000000" w:rsidP="00892469">
            <w:pPr>
              <w:pStyle w:val="gtctablespaceafter"/>
              <w:spacing w:after="0"/>
              <w:jc w:val="center"/>
              <w:rPr>
                <w:del w:id="2204" w:author="AbbVie1" w:date="2025-05-13T09:50:00Z"/>
                <w:sz w:val="22"/>
                <w:szCs w:val="22"/>
                <w:lang w:val="cs-CZ"/>
              </w:rPr>
            </w:pPr>
            <w:del w:id="2205" w:author="AbbVie1" w:date="2025-05-13T09:50:00Z">
              <w:r w:rsidRPr="001B4A02">
                <w:rPr>
                  <w:sz w:val="22"/>
                  <w:lang w:val="cs-CZ"/>
                </w:rPr>
                <w:delText xml:space="preserve">40 mg každý druhý týden </w:delText>
              </w:r>
              <w:r w:rsidRPr="001B4A02">
                <w:rPr>
                  <w:sz w:val="22"/>
                  <w:lang w:val="cs-CZ"/>
                </w:rPr>
                <w:br/>
              </w:r>
              <w:r w:rsidR="00892469">
                <w:rPr>
                  <w:sz w:val="22"/>
                  <w:lang w:val="cs-CZ"/>
                </w:rPr>
                <w:delText>n</w:delText>
              </w:r>
              <w:r w:rsidRPr="001B4A02">
                <w:rPr>
                  <w:sz w:val="22"/>
                  <w:lang w:val="cs-CZ"/>
                </w:rPr>
                <w:delText>=109</w:delText>
              </w:r>
            </w:del>
          </w:p>
        </w:tc>
        <w:tc>
          <w:tcPr>
            <w:tcW w:w="1559" w:type="dxa"/>
            <w:shd w:val="clear" w:color="auto" w:fill="auto"/>
          </w:tcPr>
          <w:p w14:paraId="3E666EE1" w14:textId="77777777" w:rsidR="00181ED8" w:rsidRPr="001B4A02" w:rsidRDefault="00000000" w:rsidP="00ED48A3">
            <w:pPr>
              <w:pStyle w:val="In-texttable"/>
              <w:keepNext w:val="0"/>
              <w:spacing w:line="240" w:lineRule="auto"/>
              <w:jc w:val="center"/>
              <w:rPr>
                <w:del w:id="2206" w:author="AbbVie1" w:date="2025-05-13T09:50:00Z"/>
                <w:rFonts w:ascii="Times New Roman" w:hAnsi="Times New Roman"/>
                <w:sz w:val="22"/>
                <w:lang w:val="cs-CZ"/>
              </w:rPr>
            </w:pPr>
            <w:del w:id="2207" w:author="AbbVie1" w:date="2025-05-13T09:50:00Z">
              <w:r w:rsidRPr="001B4A02">
                <w:rPr>
                  <w:rFonts w:ascii="Times New Roman" w:hAnsi="Times New Roman"/>
                  <w:sz w:val="22"/>
                  <w:lang w:val="cs-CZ"/>
                </w:rPr>
                <w:delText>Humira</w:delText>
              </w:r>
            </w:del>
          </w:p>
          <w:p w14:paraId="7AB88926" w14:textId="77777777" w:rsidR="00181ED8" w:rsidRPr="001B4A02" w:rsidRDefault="00000000" w:rsidP="00892469">
            <w:pPr>
              <w:pStyle w:val="gtctablespaceafter"/>
              <w:spacing w:after="0"/>
              <w:jc w:val="center"/>
              <w:rPr>
                <w:del w:id="2208" w:author="AbbVie1" w:date="2025-05-13T09:50:00Z"/>
                <w:sz w:val="22"/>
                <w:szCs w:val="22"/>
                <w:lang w:val="cs-CZ"/>
              </w:rPr>
            </w:pPr>
            <w:del w:id="2209" w:author="AbbVie1" w:date="2025-05-13T09:50:00Z">
              <w:r w:rsidRPr="001B4A02">
                <w:rPr>
                  <w:sz w:val="22"/>
                  <w:lang w:val="cs-CZ"/>
                </w:rPr>
                <w:delText xml:space="preserve">40 mg každý druhý týden </w:delText>
              </w:r>
              <w:r w:rsidRPr="001B4A02">
                <w:rPr>
                  <w:sz w:val="22"/>
                  <w:lang w:val="cs-CZ"/>
                </w:rPr>
                <w:br/>
              </w:r>
              <w:r w:rsidR="00892469">
                <w:rPr>
                  <w:sz w:val="22"/>
                  <w:lang w:val="cs-CZ"/>
                </w:rPr>
                <w:delText>n</w:delText>
              </w:r>
              <w:r w:rsidRPr="001B4A02">
                <w:rPr>
                  <w:sz w:val="22"/>
                  <w:lang w:val="cs-CZ"/>
                </w:rPr>
                <w:delText>=80</w:delText>
              </w:r>
            </w:del>
          </w:p>
        </w:tc>
      </w:tr>
      <w:tr w:rsidR="00534A2D" w14:paraId="57A48269" w14:textId="77777777" w:rsidTr="00E07E66">
        <w:trPr>
          <w:del w:id="2210" w:author="AbbVie1" w:date="2025-05-13T09:50:00Z"/>
        </w:trPr>
        <w:tc>
          <w:tcPr>
            <w:tcW w:w="2943" w:type="dxa"/>
            <w:shd w:val="clear" w:color="auto" w:fill="auto"/>
          </w:tcPr>
          <w:p w14:paraId="0401F3DC" w14:textId="77777777" w:rsidR="00181ED8" w:rsidRPr="001B4A02" w:rsidRDefault="00000000" w:rsidP="00ED48A3">
            <w:pPr>
              <w:pStyle w:val="gtctablespaceafter"/>
              <w:spacing w:after="0"/>
              <w:rPr>
                <w:del w:id="2211" w:author="AbbVie1" w:date="2025-05-13T09:50:00Z"/>
                <w:sz w:val="22"/>
                <w:szCs w:val="22"/>
                <w:lang w:val="cs-CZ"/>
              </w:rPr>
            </w:pPr>
            <w:del w:id="2212" w:author="AbbVie1" w:date="2025-05-13T09:50:00Z">
              <w:r w:rsidRPr="001B4A02">
                <w:rPr>
                  <w:sz w:val="22"/>
                  <w:lang w:val="cs-CZ"/>
                </w:rPr>
                <w:delText>≥ mNAPSI 75 (%)</w:delText>
              </w:r>
            </w:del>
          </w:p>
        </w:tc>
        <w:tc>
          <w:tcPr>
            <w:tcW w:w="993" w:type="dxa"/>
            <w:shd w:val="clear" w:color="auto" w:fill="auto"/>
          </w:tcPr>
          <w:p w14:paraId="59F4F59E" w14:textId="77777777" w:rsidR="00181ED8" w:rsidRPr="001B4A02" w:rsidRDefault="00000000" w:rsidP="00ED48A3">
            <w:pPr>
              <w:pStyle w:val="gtctablespaceafter"/>
              <w:spacing w:after="0"/>
              <w:jc w:val="center"/>
              <w:rPr>
                <w:del w:id="2213" w:author="AbbVie1" w:date="2025-05-13T09:50:00Z"/>
                <w:sz w:val="22"/>
                <w:szCs w:val="22"/>
                <w:lang w:val="cs-CZ"/>
              </w:rPr>
            </w:pPr>
            <w:del w:id="2214" w:author="AbbVie1" w:date="2025-05-13T09:50:00Z">
              <w:r w:rsidRPr="001B4A02">
                <w:rPr>
                  <w:sz w:val="22"/>
                  <w:szCs w:val="22"/>
                  <w:lang w:val="cs-CZ"/>
                </w:rPr>
                <w:delText>2,9</w:delText>
              </w:r>
            </w:del>
          </w:p>
        </w:tc>
        <w:tc>
          <w:tcPr>
            <w:tcW w:w="1417" w:type="dxa"/>
            <w:shd w:val="clear" w:color="auto" w:fill="auto"/>
          </w:tcPr>
          <w:p w14:paraId="257F9F2B" w14:textId="77777777" w:rsidR="00181ED8" w:rsidRPr="001B4A02" w:rsidRDefault="00000000" w:rsidP="00ED48A3">
            <w:pPr>
              <w:pStyle w:val="gtctablespaceafter"/>
              <w:spacing w:after="0"/>
              <w:jc w:val="center"/>
              <w:rPr>
                <w:del w:id="2215" w:author="AbbVie1" w:date="2025-05-13T09:50:00Z"/>
                <w:sz w:val="22"/>
                <w:szCs w:val="22"/>
                <w:lang w:val="cs-CZ"/>
              </w:rPr>
            </w:pPr>
            <w:del w:id="2216" w:author="AbbVie1" w:date="2025-05-13T09:50:00Z">
              <w:r w:rsidRPr="001B4A02">
                <w:rPr>
                  <w:sz w:val="22"/>
                  <w:szCs w:val="22"/>
                  <w:lang w:val="cs-CZ"/>
                </w:rPr>
                <w:delText>26,0</w:delText>
              </w:r>
              <w:r w:rsidRPr="001B4A02">
                <w:rPr>
                  <w:sz w:val="22"/>
                  <w:szCs w:val="22"/>
                  <w:vertAlign w:val="superscript"/>
                  <w:lang w:val="cs-CZ"/>
                </w:rPr>
                <w:delText>a</w:delText>
              </w:r>
            </w:del>
          </w:p>
        </w:tc>
        <w:tc>
          <w:tcPr>
            <w:tcW w:w="992" w:type="dxa"/>
            <w:shd w:val="clear" w:color="auto" w:fill="auto"/>
          </w:tcPr>
          <w:p w14:paraId="2C09F643" w14:textId="77777777" w:rsidR="00181ED8" w:rsidRPr="001B4A02" w:rsidRDefault="00000000" w:rsidP="00ED48A3">
            <w:pPr>
              <w:keepNext/>
              <w:jc w:val="center"/>
              <w:rPr>
                <w:del w:id="2217" w:author="AbbVie1" w:date="2025-05-13T09:50:00Z"/>
                <w:szCs w:val="22"/>
              </w:rPr>
            </w:pPr>
            <w:del w:id="2218" w:author="AbbVie1" w:date="2025-05-13T09:50:00Z">
              <w:r w:rsidRPr="001B4A02">
                <w:rPr>
                  <w:szCs w:val="22"/>
                </w:rPr>
                <w:delText>3,4</w:delText>
              </w:r>
            </w:del>
          </w:p>
        </w:tc>
        <w:tc>
          <w:tcPr>
            <w:tcW w:w="1418" w:type="dxa"/>
            <w:shd w:val="clear" w:color="auto" w:fill="auto"/>
          </w:tcPr>
          <w:p w14:paraId="15392050" w14:textId="77777777" w:rsidR="00181ED8" w:rsidRPr="001B4A02" w:rsidRDefault="00000000" w:rsidP="00ED48A3">
            <w:pPr>
              <w:keepNext/>
              <w:jc w:val="center"/>
              <w:rPr>
                <w:del w:id="2219" w:author="AbbVie1" w:date="2025-05-13T09:50:00Z"/>
                <w:szCs w:val="22"/>
              </w:rPr>
            </w:pPr>
            <w:del w:id="2220" w:author="AbbVie1" w:date="2025-05-13T09:50:00Z">
              <w:r w:rsidRPr="001B4A02">
                <w:rPr>
                  <w:szCs w:val="22"/>
                </w:rPr>
                <w:delText>46,6</w:delText>
              </w:r>
              <w:r w:rsidRPr="001B4A02">
                <w:rPr>
                  <w:szCs w:val="22"/>
                  <w:vertAlign w:val="superscript"/>
                </w:rPr>
                <w:delText>a</w:delText>
              </w:r>
            </w:del>
          </w:p>
        </w:tc>
        <w:tc>
          <w:tcPr>
            <w:tcW w:w="1559" w:type="dxa"/>
            <w:shd w:val="clear" w:color="auto" w:fill="auto"/>
          </w:tcPr>
          <w:p w14:paraId="4B996AD6" w14:textId="77777777" w:rsidR="00181ED8" w:rsidRPr="001B4A02" w:rsidRDefault="00000000" w:rsidP="00ED48A3">
            <w:pPr>
              <w:pStyle w:val="gtctablespaceafter"/>
              <w:spacing w:after="0"/>
              <w:jc w:val="center"/>
              <w:rPr>
                <w:del w:id="2221" w:author="AbbVie1" w:date="2025-05-13T09:50:00Z"/>
                <w:sz w:val="22"/>
                <w:szCs w:val="22"/>
                <w:lang w:val="cs-CZ"/>
              </w:rPr>
            </w:pPr>
            <w:del w:id="2222" w:author="AbbVie1" w:date="2025-05-13T09:50:00Z">
              <w:r w:rsidRPr="001B4A02">
                <w:rPr>
                  <w:sz w:val="22"/>
                  <w:szCs w:val="22"/>
                  <w:lang w:val="cs-CZ"/>
                </w:rPr>
                <w:delText>65,0</w:delText>
              </w:r>
            </w:del>
          </w:p>
        </w:tc>
      </w:tr>
      <w:tr w:rsidR="00534A2D" w14:paraId="79624E65" w14:textId="77777777" w:rsidTr="00E07E66">
        <w:trPr>
          <w:del w:id="2223" w:author="AbbVie1" w:date="2025-05-13T09:50:00Z"/>
        </w:trPr>
        <w:tc>
          <w:tcPr>
            <w:tcW w:w="2943" w:type="dxa"/>
            <w:shd w:val="clear" w:color="auto" w:fill="auto"/>
          </w:tcPr>
          <w:p w14:paraId="5D2BDAD9" w14:textId="77777777" w:rsidR="00181ED8" w:rsidRPr="001B4A02" w:rsidRDefault="00000000" w:rsidP="00ED48A3">
            <w:pPr>
              <w:pStyle w:val="gtctablespaceafter"/>
              <w:spacing w:after="0"/>
              <w:rPr>
                <w:del w:id="2224" w:author="AbbVie1" w:date="2025-05-13T09:50:00Z"/>
                <w:sz w:val="22"/>
                <w:szCs w:val="22"/>
                <w:lang w:val="cs-CZ"/>
              </w:rPr>
            </w:pPr>
            <w:del w:id="2225" w:author="AbbVie1" w:date="2025-05-13T09:50:00Z">
              <w:r w:rsidRPr="001B4A02">
                <w:rPr>
                  <w:sz w:val="22"/>
                  <w:szCs w:val="22"/>
                  <w:lang w:val="cs-CZ"/>
                </w:rPr>
                <w:delText>PGA-F čistý/minimální</w:delText>
              </w:r>
              <w:r w:rsidR="002378E0">
                <w:rPr>
                  <w:sz w:val="22"/>
                  <w:szCs w:val="22"/>
                  <w:lang w:val="cs-CZ"/>
                </w:rPr>
                <w:delText xml:space="preserve"> a </w:delText>
              </w:r>
              <w:r w:rsidRPr="001B4A02">
                <w:rPr>
                  <w:sz w:val="22"/>
                  <w:szCs w:val="22"/>
                  <w:lang w:val="cs-CZ"/>
                </w:rPr>
                <w:delText>≥</w:delText>
              </w:r>
              <w:r w:rsidR="008E5C77" w:rsidRPr="001B4A02">
                <w:rPr>
                  <w:sz w:val="22"/>
                  <w:szCs w:val="22"/>
                  <w:lang w:val="cs-CZ"/>
                </w:rPr>
                <w:delText> </w:delText>
              </w:r>
              <w:r w:rsidRPr="001B4A02">
                <w:rPr>
                  <w:sz w:val="22"/>
                  <w:szCs w:val="22"/>
                  <w:lang w:val="cs-CZ"/>
                </w:rPr>
                <w:delText>2stupňové zlepšení (%)</w:delText>
              </w:r>
            </w:del>
          </w:p>
        </w:tc>
        <w:tc>
          <w:tcPr>
            <w:tcW w:w="993" w:type="dxa"/>
            <w:shd w:val="clear" w:color="auto" w:fill="auto"/>
          </w:tcPr>
          <w:p w14:paraId="76779577" w14:textId="77777777" w:rsidR="00181ED8" w:rsidRPr="001B4A02" w:rsidRDefault="00000000" w:rsidP="00ED48A3">
            <w:pPr>
              <w:pStyle w:val="gtctablespaceafter"/>
              <w:spacing w:after="0"/>
              <w:jc w:val="center"/>
              <w:rPr>
                <w:del w:id="2226" w:author="AbbVie1" w:date="2025-05-13T09:50:00Z"/>
                <w:sz w:val="22"/>
                <w:szCs w:val="22"/>
                <w:lang w:val="cs-CZ"/>
              </w:rPr>
            </w:pPr>
            <w:del w:id="2227" w:author="AbbVie1" w:date="2025-05-13T09:50:00Z">
              <w:r w:rsidRPr="001B4A02">
                <w:rPr>
                  <w:sz w:val="22"/>
                  <w:szCs w:val="22"/>
                  <w:lang w:val="cs-CZ"/>
                </w:rPr>
                <w:delText>2,9</w:delText>
              </w:r>
            </w:del>
          </w:p>
        </w:tc>
        <w:tc>
          <w:tcPr>
            <w:tcW w:w="1417" w:type="dxa"/>
            <w:shd w:val="clear" w:color="auto" w:fill="auto"/>
          </w:tcPr>
          <w:p w14:paraId="64ADDFE1" w14:textId="77777777" w:rsidR="00181ED8" w:rsidRPr="001B4A02" w:rsidRDefault="00000000" w:rsidP="00ED48A3">
            <w:pPr>
              <w:pStyle w:val="gtctablespaceafter"/>
              <w:spacing w:after="0"/>
              <w:jc w:val="center"/>
              <w:rPr>
                <w:del w:id="2228" w:author="AbbVie1" w:date="2025-05-13T09:50:00Z"/>
                <w:sz w:val="22"/>
                <w:szCs w:val="22"/>
                <w:lang w:val="cs-CZ"/>
              </w:rPr>
            </w:pPr>
            <w:del w:id="2229" w:author="AbbVie1" w:date="2025-05-13T09:50:00Z">
              <w:r w:rsidRPr="001B4A02">
                <w:rPr>
                  <w:sz w:val="22"/>
                  <w:szCs w:val="22"/>
                  <w:lang w:val="cs-CZ"/>
                </w:rPr>
                <w:delText>29,7</w:delText>
              </w:r>
              <w:r w:rsidRPr="001B4A02">
                <w:rPr>
                  <w:sz w:val="22"/>
                  <w:szCs w:val="22"/>
                  <w:vertAlign w:val="superscript"/>
                  <w:lang w:val="cs-CZ"/>
                </w:rPr>
                <w:delText>a</w:delText>
              </w:r>
            </w:del>
          </w:p>
        </w:tc>
        <w:tc>
          <w:tcPr>
            <w:tcW w:w="992" w:type="dxa"/>
            <w:shd w:val="clear" w:color="auto" w:fill="auto"/>
          </w:tcPr>
          <w:p w14:paraId="7D729912" w14:textId="77777777" w:rsidR="00181ED8" w:rsidRPr="001B4A02" w:rsidRDefault="00000000" w:rsidP="00ED48A3">
            <w:pPr>
              <w:keepNext/>
              <w:jc w:val="center"/>
              <w:rPr>
                <w:del w:id="2230" w:author="AbbVie1" w:date="2025-05-13T09:50:00Z"/>
                <w:szCs w:val="22"/>
              </w:rPr>
            </w:pPr>
            <w:del w:id="2231" w:author="AbbVie1" w:date="2025-05-13T09:50:00Z">
              <w:r w:rsidRPr="001B4A02">
                <w:rPr>
                  <w:szCs w:val="22"/>
                </w:rPr>
                <w:delText>6,9</w:delText>
              </w:r>
            </w:del>
          </w:p>
        </w:tc>
        <w:tc>
          <w:tcPr>
            <w:tcW w:w="1418" w:type="dxa"/>
            <w:shd w:val="clear" w:color="auto" w:fill="auto"/>
          </w:tcPr>
          <w:p w14:paraId="30673BAE" w14:textId="77777777" w:rsidR="00181ED8" w:rsidRPr="001B4A02" w:rsidRDefault="00000000" w:rsidP="00ED48A3">
            <w:pPr>
              <w:keepNext/>
              <w:jc w:val="center"/>
              <w:rPr>
                <w:del w:id="2232" w:author="AbbVie1" w:date="2025-05-13T09:50:00Z"/>
                <w:szCs w:val="22"/>
              </w:rPr>
            </w:pPr>
            <w:del w:id="2233" w:author="AbbVie1" w:date="2025-05-13T09:50:00Z">
              <w:r w:rsidRPr="001B4A02">
                <w:rPr>
                  <w:szCs w:val="22"/>
                </w:rPr>
                <w:delText>48,9</w:delText>
              </w:r>
              <w:r w:rsidRPr="001B4A02">
                <w:rPr>
                  <w:szCs w:val="22"/>
                  <w:vertAlign w:val="superscript"/>
                </w:rPr>
                <w:delText>a</w:delText>
              </w:r>
            </w:del>
          </w:p>
        </w:tc>
        <w:tc>
          <w:tcPr>
            <w:tcW w:w="1559" w:type="dxa"/>
            <w:shd w:val="clear" w:color="auto" w:fill="auto"/>
          </w:tcPr>
          <w:p w14:paraId="03694AAC" w14:textId="77777777" w:rsidR="00181ED8" w:rsidRPr="001B4A02" w:rsidRDefault="00000000" w:rsidP="00ED48A3">
            <w:pPr>
              <w:pStyle w:val="gtctablespaceafter"/>
              <w:spacing w:after="0"/>
              <w:jc w:val="center"/>
              <w:rPr>
                <w:del w:id="2234" w:author="AbbVie1" w:date="2025-05-13T09:50:00Z"/>
                <w:sz w:val="22"/>
                <w:szCs w:val="22"/>
                <w:lang w:val="cs-CZ"/>
              </w:rPr>
            </w:pPr>
            <w:del w:id="2235" w:author="AbbVie1" w:date="2025-05-13T09:50:00Z">
              <w:r w:rsidRPr="001B4A02">
                <w:rPr>
                  <w:sz w:val="22"/>
                  <w:szCs w:val="22"/>
                  <w:lang w:val="cs-CZ"/>
                </w:rPr>
                <w:delText>61,3</w:delText>
              </w:r>
            </w:del>
          </w:p>
        </w:tc>
      </w:tr>
      <w:tr w:rsidR="00534A2D" w14:paraId="40B3A269" w14:textId="77777777" w:rsidTr="00E07E66">
        <w:trPr>
          <w:del w:id="2236" w:author="AbbVie1" w:date="2025-05-13T09:50:00Z"/>
        </w:trPr>
        <w:tc>
          <w:tcPr>
            <w:tcW w:w="2943" w:type="dxa"/>
            <w:shd w:val="clear" w:color="auto" w:fill="auto"/>
          </w:tcPr>
          <w:p w14:paraId="4B667572" w14:textId="77777777" w:rsidR="00181ED8" w:rsidRPr="001B4A02" w:rsidRDefault="00000000" w:rsidP="00ED48A3">
            <w:pPr>
              <w:pStyle w:val="gtctablespaceafter"/>
              <w:spacing w:after="0"/>
              <w:rPr>
                <w:del w:id="2237" w:author="AbbVie1" w:date="2025-05-13T09:50:00Z"/>
                <w:sz w:val="22"/>
                <w:szCs w:val="22"/>
                <w:lang w:val="cs-CZ"/>
              </w:rPr>
            </w:pPr>
            <w:del w:id="2238" w:author="AbbVie1" w:date="2025-05-13T09:50:00Z">
              <w:r w:rsidRPr="001B4A02">
                <w:rPr>
                  <w:sz w:val="22"/>
                  <w:szCs w:val="22"/>
                  <w:lang w:val="cs-CZ"/>
                </w:rPr>
                <w:delText>Procentuální změna v</w:delText>
              </w:r>
              <w:r w:rsidR="00E07E66" w:rsidRPr="001B4A02">
                <w:rPr>
                  <w:sz w:val="22"/>
                  <w:szCs w:val="22"/>
                  <w:lang w:val="cs-CZ"/>
                </w:rPr>
                <w:delText> </w:delText>
              </w:r>
              <w:r w:rsidRPr="001B4A02">
                <w:rPr>
                  <w:sz w:val="22"/>
                  <w:szCs w:val="22"/>
                  <w:lang w:val="cs-CZ"/>
                </w:rPr>
                <w:delText>celkovém NAPSI nehtů (%)</w:delText>
              </w:r>
            </w:del>
          </w:p>
        </w:tc>
        <w:tc>
          <w:tcPr>
            <w:tcW w:w="993" w:type="dxa"/>
            <w:shd w:val="clear" w:color="auto" w:fill="auto"/>
          </w:tcPr>
          <w:p w14:paraId="34B480E3" w14:textId="77777777" w:rsidR="00181ED8" w:rsidRPr="001B4A02" w:rsidRDefault="00000000" w:rsidP="00ED48A3">
            <w:pPr>
              <w:pStyle w:val="gtctablespaceafter"/>
              <w:spacing w:after="0"/>
              <w:jc w:val="center"/>
              <w:rPr>
                <w:del w:id="2239" w:author="AbbVie1" w:date="2025-05-13T09:50:00Z"/>
                <w:sz w:val="22"/>
                <w:szCs w:val="22"/>
                <w:lang w:val="cs-CZ"/>
              </w:rPr>
            </w:pPr>
            <w:del w:id="2240" w:author="AbbVie1" w:date="2025-05-13T09:50:00Z">
              <w:r w:rsidRPr="001B4A02">
                <w:rPr>
                  <w:sz w:val="22"/>
                  <w:szCs w:val="22"/>
                  <w:lang w:val="cs-CZ"/>
                </w:rPr>
                <w:delText>-7,8</w:delText>
              </w:r>
            </w:del>
          </w:p>
        </w:tc>
        <w:tc>
          <w:tcPr>
            <w:tcW w:w="1417" w:type="dxa"/>
            <w:shd w:val="clear" w:color="auto" w:fill="auto"/>
          </w:tcPr>
          <w:p w14:paraId="0BC16294" w14:textId="77777777" w:rsidR="00181ED8" w:rsidRPr="001B4A02" w:rsidRDefault="00000000" w:rsidP="00ED48A3">
            <w:pPr>
              <w:pStyle w:val="gtctablespaceafter"/>
              <w:spacing w:after="0"/>
              <w:jc w:val="center"/>
              <w:rPr>
                <w:del w:id="2241" w:author="AbbVie1" w:date="2025-05-13T09:50:00Z"/>
                <w:sz w:val="22"/>
                <w:szCs w:val="22"/>
                <w:lang w:val="cs-CZ"/>
              </w:rPr>
            </w:pPr>
            <w:del w:id="2242" w:author="AbbVie1" w:date="2025-05-13T09:50:00Z">
              <w:r w:rsidRPr="001B4A02">
                <w:rPr>
                  <w:sz w:val="22"/>
                  <w:szCs w:val="22"/>
                  <w:lang w:val="cs-CZ"/>
                </w:rPr>
                <w:delText>-44,2</w:delText>
              </w:r>
              <w:r w:rsidRPr="001B4A02">
                <w:rPr>
                  <w:sz w:val="22"/>
                  <w:szCs w:val="22"/>
                  <w:vertAlign w:val="superscript"/>
                  <w:lang w:val="cs-CZ"/>
                </w:rPr>
                <w:delText xml:space="preserve"> a</w:delText>
              </w:r>
            </w:del>
          </w:p>
        </w:tc>
        <w:tc>
          <w:tcPr>
            <w:tcW w:w="992" w:type="dxa"/>
            <w:shd w:val="clear" w:color="auto" w:fill="auto"/>
          </w:tcPr>
          <w:p w14:paraId="14EF80A4" w14:textId="77777777" w:rsidR="00181ED8" w:rsidRPr="001B4A02" w:rsidRDefault="00000000" w:rsidP="00ED48A3">
            <w:pPr>
              <w:keepNext/>
              <w:jc w:val="center"/>
              <w:rPr>
                <w:del w:id="2243" w:author="AbbVie1" w:date="2025-05-13T09:50:00Z"/>
                <w:szCs w:val="22"/>
              </w:rPr>
            </w:pPr>
            <w:del w:id="2244" w:author="AbbVie1" w:date="2025-05-13T09:50:00Z">
              <w:r w:rsidRPr="001B4A02">
                <w:rPr>
                  <w:szCs w:val="22"/>
                </w:rPr>
                <w:delText>-11,5</w:delText>
              </w:r>
            </w:del>
          </w:p>
        </w:tc>
        <w:tc>
          <w:tcPr>
            <w:tcW w:w="1418" w:type="dxa"/>
            <w:shd w:val="clear" w:color="auto" w:fill="auto"/>
          </w:tcPr>
          <w:p w14:paraId="4326C1E2" w14:textId="77777777" w:rsidR="00181ED8" w:rsidRPr="001B4A02" w:rsidRDefault="00000000" w:rsidP="00ED48A3">
            <w:pPr>
              <w:keepNext/>
              <w:jc w:val="center"/>
              <w:rPr>
                <w:del w:id="2245" w:author="AbbVie1" w:date="2025-05-13T09:50:00Z"/>
                <w:szCs w:val="22"/>
              </w:rPr>
            </w:pPr>
            <w:del w:id="2246" w:author="AbbVie1" w:date="2025-05-13T09:50:00Z">
              <w:r w:rsidRPr="001B4A02">
                <w:rPr>
                  <w:szCs w:val="22"/>
                </w:rPr>
                <w:delText>-56,2</w:delText>
              </w:r>
              <w:r w:rsidRPr="001B4A02">
                <w:rPr>
                  <w:szCs w:val="22"/>
                  <w:vertAlign w:val="superscript"/>
                </w:rPr>
                <w:delText>a</w:delText>
              </w:r>
            </w:del>
          </w:p>
        </w:tc>
        <w:tc>
          <w:tcPr>
            <w:tcW w:w="1559" w:type="dxa"/>
            <w:shd w:val="clear" w:color="auto" w:fill="auto"/>
          </w:tcPr>
          <w:p w14:paraId="40E8DEAE" w14:textId="77777777" w:rsidR="00181ED8" w:rsidRPr="001B4A02" w:rsidRDefault="00000000" w:rsidP="00ED48A3">
            <w:pPr>
              <w:pStyle w:val="gtctablespaceafter"/>
              <w:spacing w:after="0"/>
              <w:jc w:val="center"/>
              <w:rPr>
                <w:del w:id="2247" w:author="AbbVie1" w:date="2025-05-13T09:50:00Z"/>
                <w:sz w:val="22"/>
                <w:szCs w:val="22"/>
                <w:lang w:val="cs-CZ"/>
              </w:rPr>
            </w:pPr>
            <w:del w:id="2248" w:author="AbbVie1" w:date="2025-05-13T09:50:00Z">
              <w:r w:rsidRPr="001B4A02">
                <w:rPr>
                  <w:sz w:val="22"/>
                  <w:szCs w:val="22"/>
                  <w:lang w:val="cs-CZ"/>
                </w:rPr>
                <w:delText>-72,2</w:delText>
              </w:r>
            </w:del>
          </w:p>
        </w:tc>
      </w:tr>
      <w:tr w:rsidR="00534A2D" w14:paraId="7C7966AA" w14:textId="77777777" w:rsidTr="008D783A">
        <w:trPr>
          <w:del w:id="2249" w:author="AbbVie1" w:date="2025-05-13T09:50:00Z"/>
        </w:trPr>
        <w:tc>
          <w:tcPr>
            <w:tcW w:w="9322" w:type="dxa"/>
            <w:gridSpan w:val="6"/>
            <w:shd w:val="clear" w:color="auto" w:fill="auto"/>
          </w:tcPr>
          <w:p w14:paraId="466A70E2" w14:textId="77777777" w:rsidR="00181ED8" w:rsidRPr="001B4A02" w:rsidRDefault="00000000" w:rsidP="00ED48A3">
            <w:pPr>
              <w:pStyle w:val="gtctablespaceafter"/>
              <w:spacing w:after="0"/>
              <w:rPr>
                <w:del w:id="2250" w:author="AbbVie1" w:date="2025-05-13T09:50:00Z"/>
                <w:sz w:val="22"/>
                <w:szCs w:val="22"/>
                <w:lang w:val="cs-CZ"/>
              </w:rPr>
            </w:pPr>
            <w:del w:id="2251" w:author="AbbVie1" w:date="2025-05-13T09:50:00Z">
              <w:r w:rsidRPr="001B4A02">
                <w:rPr>
                  <w:sz w:val="22"/>
                  <w:szCs w:val="22"/>
                  <w:vertAlign w:val="superscript"/>
                  <w:lang w:val="cs-CZ"/>
                </w:rPr>
                <w:delText>a</w:delText>
              </w:r>
              <w:r w:rsidRPr="001B4A02">
                <w:rPr>
                  <w:sz w:val="22"/>
                  <w:szCs w:val="22"/>
                  <w:lang w:val="cs-CZ"/>
                </w:rPr>
                <w:delText xml:space="preserve"> p&lt;0,001, </w:delText>
              </w:r>
              <w:r w:rsidR="004C58C9" w:rsidRPr="001B4A02">
                <w:rPr>
                  <w:sz w:val="22"/>
                  <w:szCs w:val="22"/>
                  <w:lang w:val="cs-CZ"/>
                </w:rPr>
                <w:delText>p</w:delText>
              </w:r>
              <w:r w:rsidR="00F67928" w:rsidRPr="001B4A02">
                <w:rPr>
                  <w:sz w:val="22"/>
                  <w:szCs w:val="22"/>
                  <w:lang w:val="cs-CZ"/>
                </w:rPr>
                <w:delText>řípravek</w:delText>
              </w:r>
              <w:r w:rsidR="00F67928" w:rsidRPr="001B4A02">
                <w:rPr>
                  <w:sz w:val="20"/>
                  <w:lang w:val="cs-CZ"/>
                </w:rPr>
                <w:delText xml:space="preserve"> </w:delText>
              </w:r>
              <w:r w:rsidRPr="001B4A02">
                <w:rPr>
                  <w:sz w:val="22"/>
                  <w:szCs w:val="22"/>
                  <w:lang w:val="cs-CZ"/>
                </w:rPr>
                <w:delText xml:space="preserve">Humira vs. placebo </w:delText>
              </w:r>
            </w:del>
          </w:p>
        </w:tc>
      </w:tr>
    </w:tbl>
    <w:p w14:paraId="58647C6C" w14:textId="77777777" w:rsidR="00181ED8" w:rsidRPr="001B4A02" w:rsidRDefault="00181ED8" w:rsidP="00ED48A3">
      <w:pPr>
        <w:rPr>
          <w:del w:id="2252" w:author="AbbVie1" w:date="2025-05-13T09:50:00Z"/>
        </w:rPr>
      </w:pPr>
    </w:p>
    <w:p w14:paraId="22060E08" w14:textId="77777777" w:rsidR="00181ED8" w:rsidRPr="001B4A02" w:rsidRDefault="00000000" w:rsidP="00ED48A3">
      <w:pPr>
        <w:ind w:left="0" w:firstLine="0"/>
        <w:rPr>
          <w:del w:id="2253" w:author="AbbVie1" w:date="2025-05-13T09:50:00Z"/>
        </w:rPr>
      </w:pPr>
      <w:del w:id="2254" w:author="AbbVie1" w:date="2025-05-13T09:50:00Z">
        <w:r w:rsidRPr="001B4A02">
          <w:delText>U pacientů léčených přípravkem Humira bylo prokázáno statisticky významné zlepšení v</w:delText>
        </w:r>
        <w:r w:rsidR="00A9166E" w:rsidRPr="001B4A02">
          <w:delText> </w:delText>
        </w:r>
        <w:r w:rsidRPr="001B4A02">
          <w:delText>týdnu 26 ve srovnání s</w:delText>
        </w:r>
        <w:r w:rsidR="00A9166E" w:rsidRPr="001B4A02">
          <w:delText> </w:delText>
        </w:r>
        <w:r w:rsidRPr="001B4A02">
          <w:delText>placebem v</w:delText>
        </w:r>
        <w:r w:rsidR="00DE1901" w:rsidRPr="001B4A02">
          <w:delText> </w:delText>
        </w:r>
        <w:r w:rsidRPr="001B4A02">
          <w:delText>DLQI.</w:delText>
        </w:r>
      </w:del>
    </w:p>
    <w:p w14:paraId="5D5517BB" w14:textId="77777777" w:rsidR="00181ED8" w:rsidRPr="001B4A02" w:rsidRDefault="00181ED8" w:rsidP="00ED48A3">
      <w:pPr>
        <w:pStyle w:val="EMEANormal"/>
        <w:tabs>
          <w:tab w:val="clear" w:pos="562"/>
          <w:tab w:val="left" w:pos="708"/>
        </w:tabs>
        <w:suppressAutoHyphens w:val="0"/>
        <w:rPr>
          <w:del w:id="2255" w:author="AbbVie1" w:date="2025-05-13T09:50:00Z"/>
          <w:lang w:val="cs-CZ"/>
        </w:rPr>
      </w:pPr>
    </w:p>
    <w:p w14:paraId="247C3E12" w14:textId="77777777" w:rsidR="00DE7DB9" w:rsidRPr="001B4A02" w:rsidRDefault="00000000" w:rsidP="00BF3683">
      <w:pPr>
        <w:pStyle w:val="EMEANormal"/>
        <w:keepNext/>
        <w:rPr>
          <w:del w:id="2256" w:author="AbbVie1" w:date="2025-05-13T09:50:00Z"/>
          <w:i/>
          <w:szCs w:val="22"/>
          <w:lang w:val="cs-CZ"/>
        </w:rPr>
      </w:pPr>
      <w:del w:id="2257" w:author="AbbVie1" w:date="2025-05-13T09:50:00Z">
        <w:r w:rsidRPr="001B4A02">
          <w:rPr>
            <w:i/>
            <w:iCs/>
            <w:szCs w:val="22"/>
            <w:lang w:val="cs-CZ"/>
          </w:rPr>
          <w:delText>Hidradenitis suppurativa</w:delText>
        </w:r>
        <w:r w:rsidR="002009DF" w:rsidRPr="001B4A02">
          <w:rPr>
            <w:i/>
            <w:iCs/>
            <w:szCs w:val="22"/>
            <w:lang w:val="cs-CZ"/>
          </w:rPr>
          <w:delText xml:space="preserve"> u </w:delText>
        </w:r>
        <w:r w:rsidRPr="001B4A02">
          <w:rPr>
            <w:i/>
            <w:iCs/>
            <w:szCs w:val="22"/>
            <w:lang w:val="cs-CZ"/>
          </w:rPr>
          <w:delText>dospělých</w:delText>
        </w:r>
      </w:del>
    </w:p>
    <w:p w14:paraId="4D6609E9" w14:textId="77777777" w:rsidR="00DE7DB9" w:rsidRPr="001B4A02" w:rsidRDefault="00DE7DB9" w:rsidP="00BF3683">
      <w:pPr>
        <w:pStyle w:val="EMEANormal"/>
        <w:keepNext/>
        <w:rPr>
          <w:del w:id="2258" w:author="AbbVie1" w:date="2025-05-13T09:50:00Z"/>
          <w:szCs w:val="22"/>
          <w:u w:val="single"/>
          <w:lang w:val="cs-CZ"/>
        </w:rPr>
      </w:pPr>
    </w:p>
    <w:p w14:paraId="5E971386" w14:textId="77777777" w:rsidR="00DE7DB9" w:rsidRPr="001B4A02" w:rsidRDefault="00000000" w:rsidP="00ED48A3">
      <w:pPr>
        <w:ind w:left="0" w:firstLine="0"/>
        <w:rPr>
          <w:del w:id="2259" w:author="AbbVie1" w:date="2025-05-13T09:50:00Z"/>
          <w:rFonts w:eastAsia="MS Mincho"/>
          <w:szCs w:val="22"/>
          <w:lang w:eastAsia="ja-JP"/>
        </w:rPr>
      </w:pPr>
      <w:del w:id="2260" w:author="AbbVie1" w:date="2025-05-13T09:50:00Z">
        <w:r w:rsidRPr="001B4A02">
          <w:rPr>
            <w:szCs w:val="22"/>
            <w:lang w:eastAsia="ja-JP"/>
          </w:rPr>
          <w:delText>Bezpečnost</w:delText>
        </w:r>
        <w:r w:rsidR="002378E0">
          <w:rPr>
            <w:szCs w:val="22"/>
            <w:lang w:eastAsia="ja-JP"/>
          </w:rPr>
          <w:delText xml:space="preserve"> a </w:delText>
        </w:r>
        <w:r w:rsidRPr="001B4A02">
          <w:rPr>
            <w:szCs w:val="22"/>
            <w:lang w:eastAsia="ja-JP"/>
          </w:rPr>
          <w:delText>účinnost přípravku Humira byla hodnocena v</w:delText>
        </w:r>
        <w:r w:rsidR="00E07E66" w:rsidRPr="001B4A02">
          <w:rPr>
            <w:szCs w:val="22"/>
            <w:lang w:eastAsia="ja-JP"/>
          </w:rPr>
          <w:delText> </w:delText>
        </w:r>
        <w:r w:rsidRPr="001B4A02">
          <w:rPr>
            <w:szCs w:val="22"/>
            <w:lang w:eastAsia="ja-JP"/>
          </w:rPr>
          <w:delText>randomizovaných, dvojitě zaslepených, placebem kontrolovaných studiích</w:delText>
        </w:r>
        <w:r w:rsidR="002378E0">
          <w:rPr>
            <w:szCs w:val="22"/>
            <w:lang w:eastAsia="ja-JP"/>
          </w:rPr>
          <w:delText xml:space="preserve"> a </w:delText>
        </w:r>
        <w:r w:rsidRPr="001B4A02">
          <w:rPr>
            <w:szCs w:val="22"/>
            <w:lang w:eastAsia="ja-JP"/>
          </w:rPr>
          <w:delText>v</w:delText>
        </w:r>
        <w:r w:rsidR="00E07E66" w:rsidRPr="001B4A02">
          <w:rPr>
            <w:szCs w:val="22"/>
            <w:lang w:eastAsia="ja-JP"/>
          </w:rPr>
          <w:delText> </w:delText>
        </w:r>
        <w:r w:rsidRPr="001B4A02">
          <w:rPr>
            <w:szCs w:val="22"/>
            <w:lang w:eastAsia="ja-JP"/>
          </w:rPr>
          <w:delText>otevřené prodloužené studii</w:delText>
        </w:r>
        <w:r w:rsidR="002009DF" w:rsidRPr="001B4A02">
          <w:rPr>
            <w:szCs w:val="22"/>
            <w:lang w:eastAsia="ja-JP"/>
          </w:rPr>
          <w:delText xml:space="preserve"> u </w:delText>
        </w:r>
        <w:r w:rsidRPr="001B4A02">
          <w:rPr>
            <w:szCs w:val="22"/>
            <w:lang w:eastAsia="ja-JP"/>
          </w:rPr>
          <w:delText>dospělých pacientů se středně těžkou až těžkou hidradenitis suppurativa (HS), kteří netolerovali, měli kontraindikace nebo nedostatečnou odpověď na nejméně 3 měsíce trvající systémovou léčbu antibiotiky. Pacienti ve studii HS-I</w:delText>
        </w:r>
        <w:r w:rsidR="002378E0">
          <w:rPr>
            <w:szCs w:val="22"/>
            <w:lang w:eastAsia="ja-JP"/>
          </w:rPr>
          <w:delText xml:space="preserve"> a </w:delText>
        </w:r>
        <w:r w:rsidRPr="001B4A02">
          <w:rPr>
            <w:szCs w:val="22"/>
            <w:lang w:eastAsia="ja-JP"/>
          </w:rPr>
          <w:delText>HS-II měli stupeň onemocnění II nebo III podle klasifikace Hurley s</w:delText>
        </w:r>
        <w:r w:rsidR="002009DF" w:rsidRPr="001B4A02">
          <w:rPr>
            <w:szCs w:val="22"/>
            <w:lang w:eastAsia="ja-JP"/>
          </w:rPr>
          <w:delText> </w:delText>
        </w:r>
        <w:r w:rsidRPr="001B4A02">
          <w:rPr>
            <w:szCs w:val="22"/>
            <w:lang w:eastAsia="ja-JP"/>
          </w:rPr>
          <w:delText>nejméně 3 abscesy nebo zánětlivými ložisky.</w:delText>
        </w:r>
      </w:del>
    </w:p>
    <w:p w14:paraId="64D4DA63" w14:textId="77777777" w:rsidR="00DE7DB9" w:rsidRPr="001B4A02" w:rsidRDefault="00DE7DB9" w:rsidP="00ED48A3">
      <w:pPr>
        <w:ind w:left="0" w:firstLine="0"/>
        <w:rPr>
          <w:del w:id="2261" w:author="AbbVie1" w:date="2025-05-13T09:50:00Z"/>
          <w:rFonts w:eastAsia="MS Mincho"/>
          <w:szCs w:val="22"/>
          <w:lang w:eastAsia="ja-JP"/>
        </w:rPr>
      </w:pPr>
    </w:p>
    <w:p w14:paraId="54CAF895" w14:textId="77777777" w:rsidR="00DE7DB9" w:rsidRPr="001B4A02" w:rsidRDefault="00000000" w:rsidP="00ED48A3">
      <w:pPr>
        <w:ind w:left="0" w:firstLine="0"/>
        <w:rPr>
          <w:del w:id="2262" w:author="AbbVie1" w:date="2025-05-13T09:50:00Z"/>
          <w:rFonts w:eastAsia="MS Mincho"/>
          <w:szCs w:val="22"/>
          <w:lang w:eastAsia="ja-JP"/>
        </w:rPr>
      </w:pPr>
      <w:del w:id="2263" w:author="AbbVie1" w:date="2025-05-13T09:50:00Z">
        <w:r w:rsidRPr="001B4A02">
          <w:rPr>
            <w:szCs w:val="22"/>
            <w:lang w:eastAsia="ja-JP"/>
          </w:rPr>
          <w:delText>Studie HS-I (PIONEER I) hodnotila 307 pacientů se dvěma léčebnými fázemi. Během fáze A dostávali pacienti placebo nebo přípravek Humira v</w:delText>
        </w:r>
        <w:r w:rsidR="00CF3348" w:rsidRPr="001B4A02">
          <w:rPr>
            <w:szCs w:val="22"/>
            <w:lang w:eastAsia="ja-JP"/>
          </w:rPr>
          <w:delText> </w:delText>
        </w:r>
        <w:r w:rsidR="00CF3348" w:rsidRPr="001B4A02">
          <w:delText>úvodní</w:delText>
        </w:r>
        <w:r w:rsidRPr="001B4A02">
          <w:rPr>
            <w:szCs w:val="22"/>
            <w:lang w:eastAsia="ja-JP"/>
          </w:rPr>
          <w:delText xml:space="preserve"> dávce 160</w:delText>
        </w:r>
        <w:r w:rsidR="00294902">
          <w:rPr>
            <w:szCs w:val="22"/>
            <w:lang w:eastAsia="ja-JP"/>
          </w:rPr>
          <w:delText> mg</w:delText>
        </w:r>
        <w:r w:rsidRPr="001B4A02">
          <w:rPr>
            <w:szCs w:val="22"/>
            <w:lang w:eastAsia="ja-JP"/>
          </w:rPr>
          <w:delText xml:space="preserve"> v</w:delText>
        </w:r>
        <w:r w:rsidR="00E07E66" w:rsidRPr="001B4A02">
          <w:rPr>
            <w:szCs w:val="22"/>
            <w:lang w:eastAsia="ja-JP"/>
          </w:rPr>
          <w:delText> </w:delText>
        </w:r>
        <w:r w:rsidRPr="001B4A02">
          <w:rPr>
            <w:szCs w:val="22"/>
            <w:lang w:eastAsia="ja-JP"/>
          </w:rPr>
          <w:delText>týdnu 0, 80</w:delText>
        </w:r>
        <w:r w:rsidR="00294902">
          <w:rPr>
            <w:szCs w:val="22"/>
            <w:lang w:eastAsia="ja-JP"/>
          </w:rPr>
          <w:delText> mg</w:delText>
        </w:r>
        <w:r w:rsidRPr="001B4A02">
          <w:rPr>
            <w:szCs w:val="22"/>
            <w:lang w:eastAsia="ja-JP"/>
          </w:rPr>
          <w:delText xml:space="preserve"> v</w:delText>
        </w:r>
        <w:r w:rsidR="00E07E66" w:rsidRPr="001B4A02">
          <w:rPr>
            <w:szCs w:val="22"/>
            <w:lang w:eastAsia="ja-JP"/>
          </w:rPr>
          <w:delText> </w:delText>
        </w:r>
        <w:r w:rsidRPr="001B4A02">
          <w:rPr>
            <w:szCs w:val="22"/>
            <w:lang w:eastAsia="ja-JP"/>
          </w:rPr>
          <w:delText>týdnu 2</w:delText>
        </w:r>
        <w:r w:rsidR="002378E0">
          <w:rPr>
            <w:szCs w:val="22"/>
            <w:lang w:eastAsia="ja-JP"/>
          </w:rPr>
          <w:delText xml:space="preserve"> a </w:delText>
        </w:r>
        <w:r w:rsidRPr="001B4A02">
          <w:rPr>
            <w:szCs w:val="22"/>
            <w:lang w:eastAsia="ja-JP"/>
          </w:rPr>
          <w:delText>40</w:delText>
        </w:r>
        <w:r w:rsidR="00294902">
          <w:rPr>
            <w:szCs w:val="22"/>
            <w:lang w:eastAsia="ja-JP"/>
          </w:rPr>
          <w:delText> mg</w:delText>
        </w:r>
        <w:r w:rsidRPr="001B4A02">
          <w:rPr>
            <w:szCs w:val="22"/>
            <w:lang w:eastAsia="ja-JP"/>
          </w:rPr>
          <w:delText xml:space="preserve"> každý týden počínaje týdnem 4 do týdne 11. Během studie nebyla dovolena současná léčba antibiotiky. Po 12 týdnech léčby byli pacienti, kteří dostávali ve fázi A přípravek Humira, opětovně randomizováni ve fázi B do 1 ze 3 léčebných skupin (</w:delText>
        </w:r>
        <w:r w:rsidR="00B86D3A" w:rsidRPr="001B4A02">
          <w:rPr>
            <w:szCs w:val="22"/>
            <w:lang w:eastAsia="ja-JP"/>
          </w:rPr>
          <w:delText xml:space="preserve">přípravek </w:delText>
        </w:r>
        <w:r w:rsidRPr="001B4A02">
          <w:rPr>
            <w:szCs w:val="22"/>
            <w:lang w:eastAsia="ja-JP"/>
          </w:rPr>
          <w:delText>Humira 40</w:delText>
        </w:r>
        <w:r w:rsidR="00294902">
          <w:rPr>
            <w:szCs w:val="22"/>
            <w:lang w:eastAsia="ja-JP"/>
          </w:rPr>
          <w:delText> mg</w:delText>
        </w:r>
        <w:r w:rsidRPr="001B4A02">
          <w:rPr>
            <w:szCs w:val="22"/>
            <w:lang w:eastAsia="ja-JP"/>
          </w:rPr>
          <w:delText xml:space="preserve"> jednou týdně, </w:delText>
        </w:r>
        <w:r w:rsidR="00B86D3A" w:rsidRPr="001B4A02">
          <w:rPr>
            <w:szCs w:val="22"/>
            <w:lang w:eastAsia="ja-JP"/>
          </w:rPr>
          <w:delText xml:space="preserve">přípravek </w:delText>
        </w:r>
        <w:r w:rsidRPr="001B4A02">
          <w:rPr>
            <w:szCs w:val="22"/>
            <w:lang w:eastAsia="ja-JP"/>
          </w:rPr>
          <w:delText>Humira 40</w:delText>
        </w:r>
        <w:r w:rsidR="00294902">
          <w:rPr>
            <w:szCs w:val="22"/>
            <w:lang w:eastAsia="ja-JP"/>
          </w:rPr>
          <w:delText> mg</w:delText>
        </w:r>
        <w:r w:rsidRPr="001B4A02">
          <w:rPr>
            <w:szCs w:val="22"/>
            <w:lang w:eastAsia="ja-JP"/>
          </w:rPr>
          <w:delText xml:space="preserve"> každý druhý týden nebo placebo od týdne 12 do týdne 35). </w:delText>
        </w:r>
        <w:r w:rsidR="00B77BC4" w:rsidRPr="001B4A02">
          <w:rPr>
            <w:szCs w:val="22"/>
            <w:lang w:eastAsia="ja-JP"/>
          </w:rPr>
          <w:delText>Pacienti, kteří byli ve fázi A randomizováni do skupiny placeba, byli ve fázi B převedeni na přípravek Humira 40</w:delText>
        </w:r>
        <w:r w:rsidR="00294902">
          <w:rPr>
            <w:szCs w:val="22"/>
            <w:lang w:eastAsia="ja-JP"/>
          </w:rPr>
          <w:delText> mg</w:delText>
        </w:r>
        <w:r w:rsidR="00B77BC4" w:rsidRPr="001B4A02">
          <w:rPr>
            <w:szCs w:val="22"/>
            <w:lang w:eastAsia="ja-JP"/>
          </w:rPr>
          <w:delText xml:space="preserve"> jednou týdně.</w:delText>
        </w:r>
      </w:del>
    </w:p>
    <w:p w14:paraId="09AF4632" w14:textId="77777777" w:rsidR="00DE7DB9" w:rsidRPr="001B4A02" w:rsidRDefault="00DE7DB9" w:rsidP="00ED48A3">
      <w:pPr>
        <w:ind w:left="0" w:firstLine="0"/>
        <w:rPr>
          <w:del w:id="2264" w:author="AbbVie1" w:date="2025-05-13T09:50:00Z"/>
          <w:rFonts w:eastAsia="MS Mincho"/>
          <w:szCs w:val="22"/>
          <w:lang w:eastAsia="ja-JP"/>
        </w:rPr>
      </w:pPr>
    </w:p>
    <w:p w14:paraId="2424AC61" w14:textId="77777777" w:rsidR="00DE7DB9" w:rsidRPr="001B4A02" w:rsidRDefault="00000000" w:rsidP="00ED48A3">
      <w:pPr>
        <w:ind w:left="0" w:firstLine="0"/>
        <w:rPr>
          <w:del w:id="2265" w:author="AbbVie1" w:date="2025-05-13T09:50:00Z"/>
          <w:rFonts w:eastAsia="MS Mincho"/>
          <w:szCs w:val="22"/>
          <w:lang w:eastAsia="ja-JP"/>
        </w:rPr>
      </w:pPr>
      <w:del w:id="2266" w:author="AbbVie1" w:date="2025-05-13T09:50:00Z">
        <w:r w:rsidRPr="001B4A02">
          <w:rPr>
            <w:szCs w:val="22"/>
            <w:lang w:eastAsia="ja-JP"/>
          </w:rPr>
          <w:delText>Studie HS-II (PIONEER II) hodnotila 326 pacientů se dvěma léčebnými fázemi. Během fáze A dostávali pacienti placebo nebo přípravek Humira v</w:delText>
        </w:r>
        <w:r w:rsidR="00CF3348" w:rsidRPr="001B4A02">
          <w:rPr>
            <w:szCs w:val="22"/>
            <w:lang w:eastAsia="ja-JP"/>
          </w:rPr>
          <w:delText> </w:delText>
        </w:r>
        <w:r w:rsidR="00CF3348" w:rsidRPr="001B4A02">
          <w:delText>úvodní</w:delText>
        </w:r>
        <w:r w:rsidRPr="001B4A02">
          <w:rPr>
            <w:szCs w:val="22"/>
            <w:lang w:eastAsia="ja-JP"/>
          </w:rPr>
          <w:delText xml:space="preserve"> dávce 160</w:delText>
        </w:r>
        <w:r w:rsidR="00294902">
          <w:rPr>
            <w:szCs w:val="22"/>
            <w:lang w:eastAsia="ja-JP"/>
          </w:rPr>
          <w:delText> mg</w:delText>
        </w:r>
        <w:r w:rsidRPr="001B4A02">
          <w:rPr>
            <w:szCs w:val="22"/>
            <w:lang w:eastAsia="ja-JP"/>
          </w:rPr>
          <w:delText xml:space="preserve"> v</w:delText>
        </w:r>
        <w:r w:rsidR="002009DF" w:rsidRPr="001B4A02">
          <w:rPr>
            <w:szCs w:val="22"/>
            <w:lang w:eastAsia="ja-JP"/>
          </w:rPr>
          <w:delText> </w:delText>
        </w:r>
        <w:r w:rsidRPr="001B4A02">
          <w:rPr>
            <w:szCs w:val="22"/>
            <w:lang w:eastAsia="ja-JP"/>
          </w:rPr>
          <w:delText>týdnu 0</w:delText>
        </w:r>
        <w:r w:rsidR="002378E0">
          <w:rPr>
            <w:szCs w:val="22"/>
            <w:lang w:eastAsia="ja-JP"/>
          </w:rPr>
          <w:delText xml:space="preserve"> a </w:delText>
        </w:r>
        <w:r w:rsidRPr="001B4A02">
          <w:rPr>
            <w:szCs w:val="22"/>
            <w:lang w:eastAsia="ja-JP"/>
          </w:rPr>
          <w:delText>80</w:delText>
        </w:r>
        <w:r w:rsidR="00294902">
          <w:rPr>
            <w:szCs w:val="22"/>
            <w:lang w:eastAsia="ja-JP"/>
          </w:rPr>
          <w:delText> mg</w:delText>
        </w:r>
        <w:r w:rsidRPr="001B4A02">
          <w:rPr>
            <w:szCs w:val="22"/>
            <w:lang w:eastAsia="ja-JP"/>
          </w:rPr>
          <w:delText xml:space="preserve"> v</w:delText>
        </w:r>
        <w:r w:rsidR="002009DF" w:rsidRPr="001B4A02">
          <w:rPr>
            <w:szCs w:val="22"/>
            <w:lang w:eastAsia="ja-JP"/>
          </w:rPr>
          <w:delText> </w:delText>
        </w:r>
        <w:r w:rsidRPr="001B4A02">
          <w:rPr>
            <w:szCs w:val="22"/>
            <w:lang w:eastAsia="ja-JP"/>
          </w:rPr>
          <w:delText>týdnu 2</w:delText>
        </w:r>
        <w:r w:rsidR="002378E0">
          <w:rPr>
            <w:szCs w:val="22"/>
            <w:lang w:eastAsia="ja-JP"/>
          </w:rPr>
          <w:delText xml:space="preserve"> a </w:delText>
        </w:r>
        <w:r w:rsidRPr="001B4A02">
          <w:rPr>
            <w:szCs w:val="22"/>
            <w:lang w:eastAsia="ja-JP"/>
          </w:rPr>
          <w:delText>40</w:delText>
        </w:r>
        <w:r w:rsidR="00294902">
          <w:rPr>
            <w:szCs w:val="22"/>
            <w:lang w:eastAsia="ja-JP"/>
          </w:rPr>
          <w:delText> mg</w:delText>
        </w:r>
        <w:r w:rsidRPr="001B4A02">
          <w:rPr>
            <w:szCs w:val="22"/>
            <w:lang w:eastAsia="ja-JP"/>
          </w:rPr>
          <w:delText xml:space="preserve"> každý týden počínaje týdnem 4 do týdne 11. 19,3</w:delText>
        </w:r>
        <w:r w:rsidR="006008CB">
          <w:rPr>
            <w:szCs w:val="22"/>
            <w:lang w:eastAsia="ja-JP"/>
          </w:rPr>
          <w:delText> %</w:delText>
        </w:r>
        <w:r w:rsidRPr="001B4A02">
          <w:rPr>
            <w:szCs w:val="22"/>
            <w:lang w:eastAsia="ja-JP"/>
          </w:rPr>
          <w:delText xml:space="preserve"> pacientů kontinuálně pokračovalo během studie v</w:delText>
        </w:r>
        <w:r w:rsidR="00E07E66" w:rsidRPr="001B4A02">
          <w:rPr>
            <w:szCs w:val="22"/>
            <w:lang w:eastAsia="ja-JP"/>
          </w:rPr>
          <w:delText> </w:delText>
        </w:r>
        <w:r w:rsidRPr="001B4A02">
          <w:rPr>
            <w:szCs w:val="22"/>
            <w:lang w:eastAsia="ja-JP"/>
          </w:rPr>
          <w:delText>perorální antibiotické léčbě. Po 12 týdnech léčby byli pacienti, kteří dostávali ve fázi A přípravek Humira, opětovně randomizováni ve fázi B do 1 ze 3 léčebných skupin (</w:delText>
        </w:r>
        <w:r w:rsidR="00B86D3A" w:rsidRPr="001B4A02">
          <w:rPr>
            <w:szCs w:val="22"/>
            <w:lang w:eastAsia="ja-JP"/>
          </w:rPr>
          <w:delText xml:space="preserve">přípravek </w:delText>
        </w:r>
        <w:r w:rsidRPr="001B4A02">
          <w:rPr>
            <w:szCs w:val="22"/>
            <w:lang w:eastAsia="ja-JP"/>
          </w:rPr>
          <w:delText>Humira 40</w:delText>
        </w:r>
        <w:r w:rsidR="00294902">
          <w:rPr>
            <w:szCs w:val="22"/>
            <w:lang w:eastAsia="ja-JP"/>
          </w:rPr>
          <w:delText> mg</w:delText>
        </w:r>
        <w:r w:rsidRPr="001B4A02">
          <w:rPr>
            <w:szCs w:val="22"/>
            <w:lang w:eastAsia="ja-JP"/>
          </w:rPr>
          <w:delText xml:space="preserve"> jednou týdně, </w:delText>
        </w:r>
        <w:r w:rsidR="00B86D3A" w:rsidRPr="001B4A02">
          <w:rPr>
            <w:szCs w:val="22"/>
            <w:lang w:eastAsia="ja-JP"/>
          </w:rPr>
          <w:delText xml:space="preserve">přípravek </w:delText>
        </w:r>
        <w:r w:rsidRPr="001B4A02">
          <w:rPr>
            <w:szCs w:val="22"/>
            <w:lang w:eastAsia="ja-JP"/>
          </w:rPr>
          <w:delText>Humira 40</w:delText>
        </w:r>
        <w:r w:rsidR="00294902">
          <w:rPr>
            <w:szCs w:val="22"/>
            <w:lang w:eastAsia="ja-JP"/>
          </w:rPr>
          <w:delText> mg</w:delText>
        </w:r>
        <w:r w:rsidRPr="001B4A02">
          <w:rPr>
            <w:szCs w:val="22"/>
            <w:lang w:eastAsia="ja-JP"/>
          </w:rPr>
          <w:delText xml:space="preserve"> každý druhý týden nebo placebo od týdne 12 do týdne 35). Pacienti, kteří byli ve fázi A randomizováni do skupiny placeba, dostávali placebo i ve fázi B.</w:delText>
        </w:r>
      </w:del>
    </w:p>
    <w:p w14:paraId="2DF5D244" w14:textId="77777777" w:rsidR="00DE7DB9" w:rsidRPr="001B4A02" w:rsidRDefault="00DE7DB9" w:rsidP="00ED48A3">
      <w:pPr>
        <w:ind w:left="0" w:firstLine="0"/>
        <w:rPr>
          <w:del w:id="2267" w:author="AbbVie1" w:date="2025-05-13T09:50:00Z"/>
          <w:rFonts w:eastAsia="MS Mincho"/>
          <w:szCs w:val="22"/>
          <w:lang w:eastAsia="ja-JP"/>
        </w:rPr>
      </w:pPr>
    </w:p>
    <w:p w14:paraId="4A904A0D" w14:textId="77777777" w:rsidR="00DE7DB9" w:rsidRPr="001B4A02" w:rsidRDefault="00000000" w:rsidP="00ED48A3">
      <w:pPr>
        <w:ind w:left="0" w:firstLine="0"/>
        <w:rPr>
          <w:del w:id="2268" w:author="AbbVie1" w:date="2025-05-13T09:50:00Z"/>
          <w:rFonts w:eastAsia="MS Mincho"/>
          <w:szCs w:val="22"/>
          <w:lang w:eastAsia="ja-JP"/>
        </w:rPr>
      </w:pPr>
      <w:del w:id="2269" w:author="AbbVie1" w:date="2025-05-13T09:50:00Z">
        <w:r w:rsidRPr="001B4A02">
          <w:rPr>
            <w:szCs w:val="22"/>
            <w:lang w:eastAsia="ja-JP"/>
          </w:rPr>
          <w:delText>Pacienti, kteří se účastnili studií HS-I</w:delText>
        </w:r>
        <w:r w:rsidR="002378E0">
          <w:rPr>
            <w:szCs w:val="22"/>
            <w:lang w:eastAsia="ja-JP"/>
          </w:rPr>
          <w:delText xml:space="preserve"> a </w:delText>
        </w:r>
        <w:r w:rsidRPr="001B4A02">
          <w:rPr>
            <w:szCs w:val="22"/>
            <w:lang w:eastAsia="ja-JP"/>
          </w:rPr>
          <w:delText>HS-II, byli vhodní k</w:delText>
        </w:r>
        <w:r w:rsidR="002009DF" w:rsidRPr="001B4A02">
          <w:rPr>
            <w:szCs w:val="22"/>
            <w:lang w:eastAsia="ja-JP"/>
          </w:rPr>
          <w:delText> </w:delText>
        </w:r>
        <w:r w:rsidRPr="001B4A02">
          <w:rPr>
            <w:szCs w:val="22"/>
            <w:lang w:eastAsia="ja-JP"/>
          </w:rPr>
          <w:delText>tomu, aby byli zařazeni do otevřené fáze prodloužené studie, ve které byl přípravek Humira 40</w:delText>
        </w:r>
        <w:r w:rsidR="00294902">
          <w:rPr>
            <w:szCs w:val="22"/>
            <w:lang w:eastAsia="ja-JP"/>
          </w:rPr>
          <w:delText> mg</w:delText>
        </w:r>
        <w:r w:rsidRPr="001B4A02">
          <w:rPr>
            <w:szCs w:val="22"/>
            <w:lang w:eastAsia="ja-JP"/>
          </w:rPr>
          <w:delText xml:space="preserve"> podáván jednou týdně. </w:delText>
        </w:r>
        <w:r w:rsidR="00BE47E0" w:rsidRPr="001B4A02">
          <w:rPr>
            <w:szCs w:val="22"/>
            <w:lang w:eastAsia="ja-JP"/>
          </w:rPr>
          <w:delText xml:space="preserve">Průměrná expozice </w:delText>
        </w:r>
        <w:r w:rsidR="00DB2A0C" w:rsidRPr="001B4A02">
          <w:rPr>
            <w:szCs w:val="22"/>
            <w:lang w:eastAsia="ja-JP"/>
          </w:rPr>
          <w:delText>v</w:delText>
        </w:r>
        <w:r w:rsidR="00B86D3A" w:rsidRPr="001B4A02">
          <w:rPr>
            <w:szCs w:val="22"/>
            <w:lang w:eastAsia="ja-JP"/>
          </w:rPr>
          <w:delText> </w:delText>
        </w:r>
        <w:r w:rsidR="00DB2A0C" w:rsidRPr="001B4A02">
          <w:rPr>
            <w:szCs w:val="22"/>
            <w:lang w:eastAsia="ja-JP"/>
          </w:rPr>
          <w:delText>celé</w:delText>
        </w:r>
        <w:r w:rsidR="00BE47E0" w:rsidRPr="001B4A02">
          <w:rPr>
            <w:szCs w:val="22"/>
            <w:lang w:eastAsia="ja-JP"/>
          </w:rPr>
          <w:delText xml:space="preserve"> populac</w:delText>
        </w:r>
        <w:r w:rsidR="00DB2A0C" w:rsidRPr="001B4A02">
          <w:rPr>
            <w:szCs w:val="22"/>
            <w:lang w:eastAsia="ja-JP"/>
          </w:rPr>
          <w:delText>i</w:delText>
        </w:r>
        <w:r w:rsidR="00BE47E0" w:rsidRPr="001B4A02">
          <w:rPr>
            <w:szCs w:val="22"/>
            <w:lang w:eastAsia="ja-JP"/>
          </w:rPr>
          <w:delText xml:space="preserve"> </w:delText>
        </w:r>
        <w:r w:rsidR="005F6783" w:rsidRPr="001B4A02">
          <w:rPr>
            <w:szCs w:val="22"/>
            <w:lang w:eastAsia="ja-JP"/>
          </w:rPr>
          <w:delText>užívající</w:delText>
        </w:r>
        <w:r w:rsidR="00BE47E0" w:rsidRPr="001B4A02">
          <w:rPr>
            <w:szCs w:val="22"/>
            <w:lang w:eastAsia="ja-JP"/>
          </w:rPr>
          <w:delText xml:space="preserve"> adalimumab byla 762 dnů. </w:delText>
        </w:r>
        <w:r w:rsidRPr="001B4A02">
          <w:rPr>
            <w:szCs w:val="22"/>
            <w:lang w:eastAsia="ja-JP"/>
          </w:rPr>
          <w:delText>Ve všech 3 studiích pacienti denně prováděli lokální antiseptické ošetření.</w:delText>
        </w:r>
      </w:del>
    </w:p>
    <w:p w14:paraId="1C75BC47" w14:textId="77777777" w:rsidR="00DE7DB9" w:rsidRPr="001B4A02" w:rsidRDefault="00DE7DB9" w:rsidP="00ED48A3">
      <w:pPr>
        <w:rPr>
          <w:del w:id="2270" w:author="AbbVie1" w:date="2025-05-13T09:50:00Z"/>
          <w:rFonts w:eastAsia="MS Mincho"/>
          <w:szCs w:val="22"/>
          <w:lang w:eastAsia="ja-JP"/>
        </w:rPr>
      </w:pPr>
    </w:p>
    <w:p w14:paraId="6BC4A451" w14:textId="77777777" w:rsidR="00DE7DB9" w:rsidRPr="001B4A02" w:rsidRDefault="00000000" w:rsidP="00ED48A3">
      <w:pPr>
        <w:keepNext/>
        <w:keepLines/>
        <w:rPr>
          <w:del w:id="2271" w:author="AbbVie1" w:date="2025-05-13T09:50:00Z"/>
          <w:rFonts w:eastAsia="MS Mincho"/>
          <w:bCs/>
          <w:i/>
          <w:szCs w:val="22"/>
          <w:u w:val="single"/>
          <w:lang w:eastAsia="ja-JP"/>
        </w:rPr>
      </w:pPr>
      <w:del w:id="2272" w:author="AbbVie1" w:date="2025-05-13T09:50:00Z">
        <w:r w:rsidRPr="001B4A02">
          <w:rPr>
            <w:bCs/>
            <w:i/>
            <w:iCs/>
            <w:szCs w:val="22"/>
            <w:u w:val="single"/>
            <w:lang w:eastAsia="ja-JP"/>
          </w:rPr>
          <w:delText>Klinická odpověď</w:delText>
        </w:r>
      </w:del>
    </w:p>
    <w:p w14:paraId="71E09DED" w14:textId="77777777" w:rsidR="00DE7DB9" w:rsidRPr="001B4A02" w:rsidRDefault="00DE7DB9" w:rsidP="00BF3683">
      <w:pPr>
        <w:keepNext/>
        <w:rPr>
          <w:del w:id="2273" w:author="AbbVie1" w:date="2025-05-13T09:50:00Z"/>
          <w:rFonts w:eastAsia="MS Mincho"/>
          <w:szCs w:val="22"/>
          <w:lang w:eastAsia="ja-JP"/>
        </w:rPr>
      </w:pPr>
    </w:p>
    <w:p w14:paraId="51177985" w14:textId="77777777" w:rsidR="00DE7DB9" w:rsidRPr="001B4A02" w:rsidRDefault="00000000" w:rsidP="00ED48A3">
      <w:pPr>
        <w:ind w:left="0" w:firstLine="0"/>
        <w:rPr>
          <w:del w:id="2274" w:author="AbbVie1" w:date="2025-05-13T09:50:00Z"/>
          <w:rFonts w:eastAsia="MS Mincho"/>
          <w:szCs w:val="22"/>
          <w:lang w:eastAsia="ja-JP"/>
        </w:rPr>
      </w:pPr>
      <w:del w:id="2275" w:author="AbbVie1" w:date="2025-05-13T09:50:00Z">
        <w:r w:rsidRPr="001B4A02">
          <w:rPr>
            <w:szCs w:val="22"/>
            <w:lang w:eastAsia="ja-JP"/>
          </w:rPr>
          <w:delText>Redukce zánětlivých lézí</w:delText>
        </w:r>
        <w:r w:rsidR="002378E0">
          <w:rPr>
            <w:szCs w:val="22"/>
            <w:lang w:eastAsia="ja-JP"/>
          </w:rPr>
          <w:delText xml:space="preserve"> a </w:delText>
        </w:r>
        <w:r w:rsidRPr="001B4A02">
          <w:rPr>
            <w:szCs w:val="22"/>
            <w:lang w:eastAsia="ja-JP"/>
          </w:rPr>
          <w:delText>prevence zhoršení abscesů</w:delText>
        </w:r>
        <w:r w:rsidR="002378E0">
          <w:rPr>
            <w:szCs w:val="22"/>
            <w:lang w:eastAsia="ja-JP"/>
          </w:rPr>
          <w:delText xml:space="preserve"> a </w:delText>
        </w:r>
        <w:r w:rsidRPr="001B4A02">
          <w:rPr>
            <w:szCs w:val="22"/>
            <w:lang w:eastAsia="ja-JP"/>
          </w:rPr>
          <w:delText>píštělí s</w:delText>
        </w:r>
        <w:r w:rsidR="002009DF" w:rsidRPr="001B4A02">
          <w:rPr>
            <w:szCs w:val="22"/>
            <w:lang w:eastAsia="ja-JP"/>
          </w:rPr>
          <w:delText> </w:delText>
        </w:r>
        <w:r w:rsidRPr="001B4A02">
          <w:rPr>
            <w:szCs w:val="22"/>
            <w:lang w:eastAsia="ja-JP"/>
          </w:rPr>
          <w:delText>výtokem byl</w:delText>
        </w:r>
        <w:r w:rsidR="00F67928" w:rsidRPr="001B4A02">
          <w:rPr>
            <w:szCs w:val="22"/>
            <w:lang w:eastAsia="ja-JP"/>
          </w:rPr>
          <w:delText>y</w:delText>
        </w:r>
        <w:r w:rsidRPr="001B4A02">
          <w:rPr>
            <w:szCs w:val="22"/>
            <w:lang w:eastAsia="ja-JP"/>
          </w:rPr>
          <w:delText xml:space="preserve"> posuzován</w:delText>
        </w:r>
        <w:r w:rsidR="00F67928" w:rsidRPr="001B4A02">
          <w:rPr>
            <w:szCs w:val="22"/>
            <w:lang w:eastAsia="ja-JP"/>
          </w:rPr>
          <w:delText>y</w:delText>
        </w:r>
        <w:r w:rsidRPr="001B4A02">
          <w:rPr>
            <w:szCs w:val="22"/>
            <w:lang w:eastAsia="ja-JP"/>
          </w:rPr>
          <w:delText xml:space="preserve"> za použití klinické odpovědi „Hidradenitis Suppurativa Clinical Response“ (HiSCR; 50% snížení v</w:delText>
        </w:r>
        <w:r w:rsidR="00A9166E" w:rsidRPr="001B4A02">
          <w:rPr>
            <w:szCs w:val="22"/>
            <w:lang w:eastAsia="ja-JP"/>
          </w:rPr>
          <w:delText> </w:delText>
        </w:r>
        <w:r w:rsidRPr="001B4A02">
          <w:rPr>
            <w:szCs w:val="22"/>
            <w:lang w:eastAsia="ja-JP"/>
          </w:rPr>
          <w:delText>celkovém počtu abscesů</w:delText>
        </w:r>
        <w:r w:rsidR="002378E0">
          <w:rPr>
            <w:szCs w:val="22"/>
            <w:lang w:eastAsia="ja-JP"/>
          </w:rPr>
          <w:delText xml:space="preserve"> a </w:delText>
        </w:r>
        <w:r w:rsidRPr="001B4A02">
          <w:rPr>
            <w:szCs w:val="22"/>
            <w:lang w:eastAsia="ja-JP"/>
          </w:rPr>
          <w:delText>zánětlivých nodulů s</w:delText>
        </w:r>
        <w:r w:rsidR="00A9166E" w:rsidRPr="001B4A02">
          <w:rPr>
            <w:szCs w:val="22"/>
            <w:lang w:eastAsia="ja-JP"/>
          </w:rPr>
          <w:delText> </w:delText>
        </w:r>
        <w:r w:rsidRPr="001B4A02">
          <w:rPr>
            <w:szCs w:val="22"/>
            <w:lang w:eastAsia="ja-JP"/>
          </w:rPr>
          <w:delText>nezvýšením počtu abscesů</w:delText>
        </w:r>
        <w:r w:rsidR="002378E0">
          <w:rPr>
            <w:szCs w:val="22"/>
            <w:lang w:eastAsia="ja-JP"/>
          </w:rPr>
          <w:delText xml:space="preserve"> a </w:delText>
        </w:r>
        <w:r w:rsidRPr="001B4A02">
          <w:rPr>
            <w:szCs w:val="22"/>
            <w:lang w:eastAsia="ja-JP"/>
          </w:rPr>
          <w:delText>nezvýšením počtu píštělí s</w:delText>
        </w:r>
        <w:r w:rsidR="00A9166E" w:rsidRPr="001B4A02">
          <w:rPr>
            <w:szCs w:val="22"/>
            <w:lang w:eastAsia="ja-JP"/>
          </w:rPr>
          <w:delText> </w:delText>
        </w:r>
        <w:r w:rsidRPr="001B4A02">
          <w:rPr>
            <w:szCs w:val="22"/>
            <w:lang w:eastAsia="ja-JP"/>
          </w:rPr>
          <w:delText>výtokem proti výchozím hodnotám). Snížení bolesti kůže spojené s</w:delText>
        </w:r>
        <w:r w:rsidR="00A9166E" w:rsidRPr="001B4A02">
          <w:rPr>
            <w:szCs w:val="22"/>
            <w:lang w:eastAsia="ja-JP"/>
          </w:rPr>
          <w:delText> </w:delText>
        </w:r>
        <w:r w:rsidRPr="001B4A02">
          <w:rPr>
            <w:szCs w:val="22"/>
            <w:lang w:eastAsia="ja-JP"/>
          </w:rPr>
          <w:delText>HS bylo posuzováno za použití číselné škály (Numeric Rating Scale) u</w:delText>
        </w:r>
        <w:r w:rsidR="002009DF" w:rsidRPr="001B4A02">
          <w:rPr>
            <w:szCs w:val="22"/>
            <w:lang w:eastAsia="ja-JP"/>
          </w:rPr>
          <w:delText> </w:delText>
        </w:r>
        <w:r w:rsidRPr="001B4A02">
          <w:rPr>
            <w:szCs w:val="22"/>
            <w:lang w:eastAsia="ja-JP"/>
          </w:rPr>
          <w:delText>pacientů, kteří vstoupili do studie s</w:delText>
        </w:r>
        <w:r w:rsidR="002009DF" w:rsidRPr="001B4A02">
          <w:rPr>
            <w:szCs w:val="22"/>
            <w:lang w:eastAsia="ja-JP"/>
          </w:rPr>
          <w:delText> </w:delText>
        </w:r>
        <w:r w:rsidRPr="001B4A02">
          <w:rPr>
            <w:szCs w:val="22"/>
            <w:lang w:eastAsia="ja-JP"/>
          </w:rPr>
          <w:delText>počáteční bodovou hodnotou 3 nebo větší na 11bodové škále.</w:delText>
        </w:r>
      </w:del>
    </w:p>
    <w:p w14:paraId="0C9DB6DD" w14:textId="77777777" w:rsidR="00DE7DB9" w:rsidRPr="001B4A02" w:rsidRDefault="00DE7DB9" w:rsidP="00ED48A3">
      <w:pPr>
        <w:ind w:left="0" w:firstLine="0"/>
        <w:rPr>
          <w:del w:id="2276" w:author="AbbVie1" w:date="2025-05-13T09:50:00Z"/>
          <w:rFonts w:eastAsia="MS Mincho"/>
          <w:szCs w:val="22"/>
          <w:lang w:eastAsia="ja-JP"/>
        </w:rPr>
      </w:pPr>
    </w:p>
    <w:p w14:paraId="197D0412" w14:textId="77777777" w:rsidR="00DE7DB9" w:rsidRPr="001B4A02" w:rsidRDefault="00000000" w:rsidP="00ED48A3">
      <w:pPr>
        <w:ind w:left="0" w:firstLine="0"/>
        <w:rPr>
          <w:del w:id="2277" w:author="AbbVie1" w:date="2025-05-13T09:50:00Z"/>
          <w:szCs w:val="22"/>
        </w:rPr>
      </w:pPr>
      <w:del w:id="2278" w:author="AbbVie1" w:date="2025-05-13T09:50:00Z">
        <w:r w:rsidRPr="001B4A02">
          <w:rPr>
            <w:szCs w:val="22"/>
          </w:rPr>
          <w:delText>V týdnu 12 dosáhla odpovědi podle HiSCR významně větší část pacientů léčených přípravkem Humira versus placebo. V</w:delText>
        </w:r>
        <w:r w:rsidR="00A9166E" w:rsidRPr="001B4A02">
          <w:rPr>
            <w:szCs w:val="22"/>
          </w:rPr>
          <w:delText> </w:delText>
        </w:r>
        <w:r w:rsidRPr="001B4A02">
          <w:rPr>
            <w:szCs w:val="22"/>
          </w:rPr>
          <w:delText>týdnu 12 pocítila významně větší část pacientů ve studii HS-II klinicky relevantní snížení bolesti kůže spojené s</w:delText>
        </w:r>
        <w:r w:rsidR="00A9166E" w:rsidRPr="001B4A02">
          <w:rPr>
            <w:szCs w:val="22"/>
          </w:rPr>
          <w:delText> </w:delText>
        </w:r>
        <w:r w:rsidRPr="001B4A02">
          <w:rPr>
            <w:szCs w:val="22"/>
          </w:rPr>
          <w:delText xml:space="preserve">HS (viz tabulka </w:delText>
        </w:r>
        <w:r w:rsidR="00D76799">
          <w:rPr>
            <w:szCs w:val="22"/>
          </w:rPr>
          <w:delText>1</w:delText>
        </w:r>
        <w:r w:rsidR="00E571F5">
          <w:rPr>
            <w:szCs w:val="22"/>
          </w:rPr>
          <w:delText>5</w:delText>
        </w:r>
        <w:r w:rsidRPr="001B4A02">
          <w:rPr>
            <w:szCs w:val="22"/>
          </w:rPr>
          <w:delText>). U</w:delText>
        </w:r>
        <w:r w:rsidR="00A9166E" w:rsidRPr="001B4A02">
          <w:rPr>
            <w:szCs w:val="22"/>
          </w:rPr>
          <w:delText> </w:delText>
        </w:r>
        <w:r w:rsidRPr="001B4A02">
          <w:rPr>
            <w:szCs w:val="22"/>
          </w:rPr>
          <w:delText>pacientů léčených přípravkem Humira došlo během počátečních 12 týdnů léčby k</w:delText>
        </w:r>
        <w:r w:rsidR="00A9166E" w:rsidRPr="001B4A02">
          <w:rPr>
            <w:szCs w:val="22"/>
          </w:rPr>
          <w:delText> </w:delText>
        </w:r>
        <w:r w:rsidRPr="001B4A02">
          <w:rPr>
            <w:szCs w:val="22"/>
          </w:rPr>
          <w:delText>významnému snížení rizika vzplanutí onemocnění.</w:delText>
        </w:r>
      </w:del>
    </w:p>
    <w:p w14:paraId="6C11DA76" w14:textId="77777777" w:rsidR="00DE7DB9" w:rsidRPr="001B4A02" w:rsidRDefault="00DE7DB9" w:rsidP="00ED48A3">
      <w:pPr>
        <w:rPr>
          <w:del w:id="2279" w:author="AbbVie1" w:date="2025-05-13T09:50:00Z"/>
          <w:szCs w:val="22"/>
        </w:rPr>
      </w:pPr>
    </w:p>
    <w:p w14:paraId="03F6DC5A" w14:textId="77777777" w:rsidR="00DE7DB9" w:rsidRPr="001B4A02" w:rsidRDefault="00000000" w:rsidP="00ED48A3">
      <w:pPr>
        <w:keepNext/>
        <w:keepLines/>
        <w:widowControl w:val="0"/>
        <w:ind w:left="360"/>
        <w:jc w:val="center"/>
        <w:rPr>
          <w:del w:id="2280" w:author="AbbVie1" w:date="2025-05-13T09:50:00Z"/>
          <w:rFonts w:eastAsia="MS Mincho"/>
          <w:b/>
          <w:bCs/>
          <w:iCs/>
          <w:szCs w:val="22"/>
          <w:lang w:eastAsia="ja-JP"/>
        </w:rPr>
      </w:pPr>
      <w:del w:id="2281" w:author="AbbVie1" w:date="2025-05-13T09:50:00Z">
        <w:r w:rsidRPr="001B4A02">
          <w:rPr>
            <w:b/>
            <w:bCs/>
            <w:szCs w:val="22"/>
            <w:lang w:eastAsia="ja-JP"/>
          </w:rPr>
          <w:delText xml:space="preserve">Tabulka </w:delText>
        </w:r>
        <w:r w:rsidR="00D76799">
          <w:rPr>
            <w:b/>
            <w:bCs/>
            <w:szCs w:val="22"/>
            <w:lang w:eastAsia="ja-JP"/>
          </w:rPr>
          <w:delText>15</w:delText>
        </w:r>
        <w:r w:rsidR="00062315" w:rsidRPr="001B4A02">
          <w:rPr>
            <w:b/>
            <w:bCs/>
            <w:szCs w:val="22"/>
            <w:lang w:eastAsia="ja-JP"/>
          </w:rPr>
          <w:delText xml:space="preserve">: </w:delText>
        </w:r>
        <w:r w:rsidRPr="001B4A02">
          <w:rPr>
            <w:b/>
            <w:bCs/>
            <w:szCs w:val="22"/>
            <w:lang w:eastAsia="ja-JP"/>
          </w:rPr>
          <w:delText>Výsledky účinnosti v</w:delText>
        </w:r>
        <w:r w:rsidR="00E07E66" w:rsidRPr="001B4A02">
          <w:rPr>
            <w:b/>
            <w:bCs/>
            <w:szCs w:val="22"/>
            <w:lang w:eastAsia="ja-JP"/>
          </w:rPr>
          <w:delText> </w:delText>
        </w:r>
        <w:r w:rsidRPr="001B4A02">
          <w:rPr>
            <w:b/>
            <w:bCs/>
            <w:szCs w:val="22"/>
            <w:lang w:eastAsia="ja-JP"/>
          </w:rPr>
          <w:delText>týdnu 12, Studie HS I</w:delText>
        </w:r>
        <w:r w:rsidR="002378E0">
          <w:rPr>
            <w:b/>
            <w:bCs/>
            <w:szCs w:val="22"/>
            <w:lang w:eastAsia="ja-JP"/>
          </w:rPr>
          <w:delText xml:space="preserve"> a </w:delText>
        </w:r>
        <w:r w:rsidRPr="001B4A02">
          <w:rPr>
            <w:b/>
            <w:bCs/>
            <w:szCs w:val="22"/>
            <w:lang w:eastAsia="ja-JP"/>
          </w:rPr>
          <w:delText>II</w:delText>
        </w:r>
      </w:del>
    </w:p>
    <w:p w14:paraId="3070295C" w14:textId="77777777" w:rsidR="00DE7DB9" w:rsidRPr="001B4A02" w:rsidRDefault="00DE7DB9" w:rsidP="00ED48A3">
      <w:pPr>
        <w:keepNext/>
        <w:keepLines/>
        <w:widowControl w:val="0"/>
        <w:ind w:left="360"/>
        <w:jc w:val="center"/>
        <w:rPr>
          <w:del w:id="2282" w:author="AbbVie1" w:date="2025-05-13T09:50:00Z"/>
          <w:rFonts w:eastAsia="MS Mincho"/>
          <w:b/>
          <w:szCs w:val="22"/>
          <w:lang w:eastAsia="ja-JP"/>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53"/>
        <w:gridCol w:w="1525"/>
        <w:gridCol w:w="1661"/>
        <w:gridCol w:w="1391"/>
        <w:gridCol w:w="1631"/>
      </w:tblGrid>
      <w:tr w:rsidR="00534A2D" w14:paraId="11451391" w14:textId="77777777" w:rsidTr="007C5EA6">
        <w:trPr>
          <w:trHeight w:val="20"/>
          <w:jc w:val="center"/>
          <w:del w:id="2283" w:author="AbbVie1" w:date="2025-05-13T09:50:00Z"/>
        </w:trPr>
        <w:tc>
          <w:tcPr>
            <w:tcW w:w="2950" w:type="dxa"/>
            <w:vMerge w:val="restart"/>
            <w:tcMar>
              <w:top w:w="0" w:type="dxa"/>
              <w:left w:w="115" w:type="dxa"/>
              <w:bottom w:w="0" w:type="dxa"/>
              <w:right w:w="115" w:type="dxa"/>
            </w:tcMar>
            <w:vAlign w:val="bottom"/>
          </w:tcPr>
          <w:p w14:paraId="59EF7EE5" w14:textId="77777777" w:rsidR="00E07E66" w:rsidRPr="001B4A02" w:rsidRDefault="00E07E66" w:rsidP="00ED48A3">
            <w:pPr>
              <w:widowControl w:val="0"/>
              <w:rPr>
                <w:del w:id="2284" w:author="AbbVie1" w:date="2025-05-13T09:50:00Z"/>
                <w:b/>
              </w:rPr>
            </w:pPr>
          </w:p>
        </w:tc>
        <w:tc>
          <w:tcPr>
            <w:tcW w:w="3261" w:type="dxa"/>
            <w:gridSpan w:val="2"/>
            <w:tcMar>
              <w:top w:w="0" w:type="dxa"/>
              <w:left w:w="115" w:type="dxa"/>
              <w:bottom w:w="0" w:type="dxa"/>
              <w:right w:w="115" w:type="dxa"/>
            </w:tcMar>
            <w:vAlign w:val="bottom"/>
          </w:tcPr>
          <w:p w14:paraId="53E3F42D" w14:textId="77777777" w:rsidR="00E07E66" w:rsidRPr="001B4A02" w:rsidRDefault="00000000" w:rsidP="00ED48A3">
            <w:pPr>
              <w:widowControl w:val="0"/>
              <w:jc w:val="center"/>
              <w:rPr>
                <w:del w:id="2285" w:author="AbbVie1" w:date="2025-05-13T09:50:00Z"/>
                <w:b/>
                <w:bCs/>
              </w:rPr>
            </w:pPr>
            <w:del w:id="2286" w:author="AbbVie1" w:date="2025-05-13T09:50:00Z">
              <w:r w:rsidRPr="001B4A02">
                <w:rPr>
                  <w:b/>
                  <w:bCs/>
                  <w:szCs w:val="22"/>
                </w:rPr>
                <w:delText>HS Studie I</w:delText>
              </w:r>
            </w:del>
          </w:p>
        </w:tc>
        <w:tc>
          <w:tcPr>
            <w:tcW w:w="3090" w:type="dxa"/>
            <w:gridSpan w:val="2"/>
            <w:tcMar>
              <w:top w:w="0" w:type="dxa"/>
              <w:left w:w="115" w:type="dxa"/>
              <w:bottom w:w="0" w:type="dxa"/>
              <w:right w:w="115" w:type="dxa"/>
            </w:tcMar>
            <w:vAlign w:val="bottom"/>
          </w:tcPr>
          <w:p w14:paraId="6B1B4C25" w14:textId="77777777" w:rsidR="00E07E66" w:rsidRPr="001B4A02" w:rsidRDefault="00000000" w:rsidP="00ED48A3">
            <w:pPr>
              <w:widowControl w:val="0"/>
              <w:jc w:val="center"/>
              <w:rPr>
                <w:del w:id="2287" w:author="AbbVie1" w:date="2025-05-13T09:50:00Z"/>
                <w:b/>
                <w:bCs/>
              </w:rPr>
            </w:pPr>
            <w:del w:id="2288" w:author="AbbVie1" w:date="2025-05-13T09:50:00Z">
              <w:r w:rsidRPr="001B4A02">
                <w:rPr>
                  <w:b/>
                  <w:bCs/>
                  <w:szCs w:val="22"/>
                </w:rPr>
                <w:delText>HS Studie II</w:delText>
              </w:r>
            </w:del>
          </w:p>
        </w:tc>
      </w:tr>
      <w:tr w:rsidR="00534A2D" w14:paraId="0F3010E0" w14:textId="77777777" w:rsidTr="007C5EA6">
        <w:trPr>
          <w:trHeight w:val="20"/>
          <w:jc w:val="center"/>
          <w:del w:id="2289" w:author="AbbVie1" w:date="2025-05-13T09:50:00Z"/>
        </w:trPr>
        <w:tc>
          <w:tcPr>
            <w:tcW w:w="2950" w:type="dxa"/>
            <w:vMerge/>
            <w:tcMar>
              <w:top w:w="0" w:type="dxa"/>
              <w:left w:w="115" w:type="dxa"/>
              <w:bottom w:w="0" w:type="dxa"/>
              <w:right w:w="115" w:type="dxa"/>
            </w:tcMar>
            <w:vAlign w:val="center"/>
            <w:hideMark/>
          </w:tcPr>
          <w:p w14:paraId="220C595A" w14:textId="77777777" w:rsidR="00E07E66" w:rsidRPr="001B4A02" w:rsidRDefault="00E07E66" w:rsidP="00ED48A3">
            <w:pPr>
              <w:widowControl w:val="0"/>
              <w:rPr>
                <w:del w:id="2290" w:author="AbbVie1" w:date="2025-05-13T09:50:00Z"/>
              </w:rPr>
            </w:pPr>
          </w:p>
        </w:tc>
        <w:tc>
          <w:tcPr>
            <w:tcW w:w="1560" w:type="dxa"/>
            <w:tcMar>
              <w:top w:w="0" w:type="dxa"/>
              <w:left w:w="115" w:type="dxa"/>
              <w:bottom w:w="0" w:type="dxa"/>
              <w:right w:w="115" w:type="dxa"/>
            </w:tcMar>
            <w:vAlign w:val="center"/>
            <w:hideMark/>
          </w:tcPr>
          <w:p w14:paraId="4ECC8399" w14:textId="77777777" w:rsidR="00E07E66" w:rsidRPr="001B4A02" w:rsidRDefault="00000000" w:rsidP="00ED48A3">
            <w:pPr>
              <w:widowControl w:val="0"/>
              <w:jc w:val="center"/>
              <w:rPr>
                <w:del w:id="2291" w:author="AbbVie1" w:date="2025-05-13T09:50:00Z"/>
              </w:rPr>
            </w:pPr>
            <w:del w:id="2292" w:author="AbbVie1" w:date="2025-05-13T09:50:00Z">
              <w:r w:rsidRPr="001B4A02">
                <w:rPr>
                  <w:b/>
                  <w:bCs/>
                  <w:szCs w:val="22"/>
                </w:rPr>
                <w:delText>Placebo</w:delText>
              </w:r>
            </w:del>
          </w:p>
        </w:tc>
        <w:tc>
          <w:tcPr>
            <w:tcW w:w="1701" w:type="dxa"/>
            <w:tcMar>
              <w:top w:w="0" w:type="dxa"/>
              <w:left w:w="115" w:type="dxa"/>
              <w:bottom w:w="0" w:type="dxa"/>
              <w:right w:w="115" w:type="dxa"/>
            </w:tcMar>
            <w:vAlign w:val="center"/>
            <w:hideMark/>
          </w:tcPr>
          <w:p w14:paraId="16E15D60" w14:textId="77777777" w:rsidR="00E07E66" w:rsidRPr="001B4A02" w:rsidRDefault="00000000" w:rsidP="00ED48A3">
            <w:pPr>
              <w:widowControl w:val="0"/>
              <w:ind w:left="0" w:firstLine="0"/>
              <w:jc w:val="center"/>
              <w:rPr>
                <w:del w:id="2293" w:author="AbbVie1" w:date="2025-05-13T09:50:00Z"/>
                <w:b/>
                <w:bCs/>
              </w:rPr>
            </w:pPr>
            <w:del w:id="2294" w:author="AbbVie1" w:date="2025-05-13T09:50:00Z">
              <w:r w:rsidRPr="001B4A02">
                <w:rPr>
                  <w:b/>
                  <w:bCs/>
                  <w:szCs w:val="22"/>
                </w:rPr>
                <w:delText>Humira 40</w:delText>
              </w:r>
              <w:r w:rsidR="00294902">
                <w:rPr>
                  <w:b/>
                  <w:bCs/>
                  <w:szCs w:val="22"/>
                </w:rPr>
                <w:delText> mg</w:delText>
              </w:r>
              <w:r w:rsidRPr="001B4A02">
                <w:rPr>
                  <w:b/>
                  <w:bCs/>
                  <w:szCs w:val="22"/>
                </w:rPr>
                <w:delText xml:space="preserve"> jednou týdně</w:delText>
              </w:r>
            </w:del>
          </w:p>
        </w:tc>
        <w:tc>
          <w:tcPr>
            <w:tcW w:w="1417" w:type="dxa"/>
            <w:tcMar>
              <w:top w:w="0" w:type="dxa"/>
              <w:left w:w="115" w:type="dxa"/>
              <w:bottom w:w="0" w:type="dxa"/>
              <w:right w:w="115" w:type="dxa"/>
            </w:tcMar>
            <w:vAlign w:val="center"/>
            <w:hideMark/>
          </w:tcPr>
          <w:p w14:paraId="5EC7E8B7" w14:textId="77777777" w:rsidR="00E07E66" w:rsidRPr="001B4A02" w:rsidRDefault="00000000" w:rsidP="00ED48A3">
            <w:pPr>
              <w:widowControl w:val="0"/>
              <w:ind w:left="0" w:firstLine="0"/>
              <w:jc w:val="center"/>
              <w:rPr>
                <w:del w:id="2295" w:author="AbbVie1" w:date="2025-05-13T09:50:00Z"/>
                <w:b/>
                <w:bCs/>
              </w:rPr>
            </w:pPr>
            <w:del w:id="2296" w:author="AbbVie1" w:date="2025-05-13T09:50:00Z">
              <w:r w:rsidRPr="001B4A02">
                <w:rPr>
                  <w:b/>
                  <w:bCs/>
                  <w:szCs w:val="22"/>
                </w:rPr>
                <w:delText>Placebo</w:delText>
              </w:r>
            </w:del>
          </w:p>
        </w:tc>
        <w:tc>
          <w:tcPr>
            <w:tcW w:w="1673" w:type="dxa"/>
            <w:tcMar>
              <w:top w:w="0" w:type="dxa"/>
              <w:left w:w="115" w:type="dxa"/>
              <w:bottom w:w="0" w:type="dxa"/>
              <w:right w:w="115" w:type="dxa"/>
            </w:tcMar>
            <w:vAlign w:val="center"/>
            <w:hideMark/>
          </w:tcPr>
          <w:p w14:paraId="3637A134" w14:textId="77777777" w:rsidR="00E07E66" w:rsidRPr="001B4A02" w:rsidRDefault="00000000" w:rsidP="00ED48A3">
            <w:pPr>
              <w:widowControl w:val="0"/>
              <w:ind w:left="0" w:firstLine="0"/>
              <w:jc w:val="center"/>
              <w:rPr>
                <w:del w:id="2297" w:author="AbbVie1" w:date="2025-05-13T09:50:00Z"/>
                <w:b/>
                <w:bCs/>
              </w:rPr>
            </w:pPr>
            <w:del w:id="2298" w:author="AbbVie1" w:date="2025-05-13T09:50:00Z">
              <w:r w:rsidRPr="001B4A02">
                <w:rPr>
                  <w:b/>
                  <w:bCs/>
                  <w:szCs w:val="22"/>
                </w:rPr>
                <w:delText>Humira 40</w:delText>
              </w:r>
              <w:r w:rsidR="00294902">
                <w:rPr>
                  <w:b/>
                  <w:bCs/>
                  <w:szCs w:val="22"/>
                </w:rPr>
                <w:delText> mg</w:delText>
              </w:r>
              <w:r w:rsidRPr="001B4A02">
                <w:rPr>
                  <w:b/>
                  <w:bCs/>
                  <w:szCs w:val="22"/>
                </w:rPr>
                <w:delText xml:space="preserve"> jednou týdně</w:delText>
              </w:r>
            </w:del>
          </w:p>
        </w:tc>
      </w:tr>
      <w:tr w:rsidR="00534A2D" w14:paraId="0D22CA86" w14:textId="77777777" w:rsidTr="007C5EA6">
        <w:trPr>
          <w:trHeight w:val="20"/>
          <w:jc w:val="center"/>
          <w:del w:id="2299" w:author="AbbVie1" w:date="2025-05-13T09:50:00Z"/>
        </w:trPr>
        <w:tc>
          <w:tcPr>
            <w:tcW w:w="2950" w:type="dxa"/>
            <w:tcMar>
              <w:top w:w="0" w:type="dxa"/>
              <w:left w:w="115" w:type="dxa"/>
              <w:bottom w:w="0" w:type="dxa"/>
              <w:right w:w="115" w:type="dxa"/>
            </w:tcMar>
            <w:vAlign w:val="center"/>
            <w:hideMark/>
          </w:tcPr>
          <w:p w14:paraId="420411B4" w14:textId="77777777" w:rsidR="00E07E66" w:rsidRPr="001B4A02" w:rsidRDefault="00000000" w:rsidP="007C5EA6">
            <w:pPr>
              <w:widowControl w:val="0"/>
              <w:ind w:left="0" w:firstLine="0"/>
              <w:rPr>
                <w:del w:id="2300" w:author="AbbVie1" w:date="2025-05-13T09:50:00Z"/>
              </w:rPr>
            </w:pPr>
            <w:del w:id="2301" w:author="AbbVie1" w:date="2025-05-13T09:50:00Z">
              <w:r w:rsidRPr="001B4A02">
                <w:rPr>
                  <w:szCs w:val="22"/>
                </w:rPr>
                <w:delText xml:space="preserve">Klinická odpověď </w:delText>
              </w:r>
              <w:r w:rsidR="00EF0AF7" w:rsidRPr="001B4A02">
                <w:rPr>
                  <w:szCs w:val="22"/>
                </w:rPr>
                <w:delText>„</w:delText>
              </w:r>
              <w:r w:rsidRPr="001B4A02">
                <w:rPr>
                  <w:szCs w:val="22"/>
                </w:rPr>
                <w:delText>Hidradenitis Suppurativa Clinical Response</w:delText>
              </w:r>
              <w:r w:rsidR="00EF0AF7" w:rsidRPr="001B4A02">
                <w:rPr>
                  <w:szCs w:val="22"/>
                </w:rPr>
                <w:delText>“</w:delText>
              </w:r>
              <w:r w:rsidRPr="001B4A02">
                <w:rPr>
                  <w:szCs w:val="22"/>
                </w:rPr>
                <w:delText xml:space="preserve"> (HiSCR)</w:delText>
              </w:r>
              <w:r w:rsidRPr="001B4A02">
                <w:rPr>
                  <w:szCs w:val="22"/>
                  <w:vertAlign w:val="superscript"/>
                </w:rPr>
                <w:delText>a</w:delText>
              </w:r>
              <w:r w:rsidRPr="001B4A02">
                <w:rPr>
                  <w:szCs w:val="22"/>
                </w:rPr>
                <w:delText xml:space="preserve"> </w:delText>
              </w:r>
            </w:del>
          </w:p>
        </w:tc>
        <w:tc>
          <w:tcPr>
            <w:tcW w:w="1560" w:type="dxa"/>
            <w:tcMar>
              <w:top w:w="0" w:type="dxa"/>
              <w:left w:w="115" w:type="dxa"/>
              <w:bottom w:w="0" w:type="dxa"/>
              <w:right w:w="115" w:type="dxa"/>
            </w:tcMar>
            <w:hideMark/>
          </w:tcPr>
          <w:p w14:paraId="3128064D" w14:textId="77777777" w:rsidR="00E07E66" w:rsidRPr="001B4A02" w:rsidRDefault="00000000" w:rsidP="00892469">
            <w:pPr>
              <w:widowControl w:val="0"/>
              <w:ind w:left="0" w:firstLine="0"/>
              <w:jc w:val="center"/>
              <w:rPr>
                <w:del w:id="2302" w:author="AbbVie1" w:date="2025-05-13T09:50:00Z"/>
              </w:rPr>
            </w:pPr>
            <w:del w:id="2303" w:author="AbbVie1" w:date="2025-05-13T09:50:00Z">
              <w:r>
                <w:rPr>
                  <w:szCs w:val="22"/>
                </w:rPr>
                <w:delText>n</w:delText>
              </w:r>
              <w:r w:rsidRPr="001B4A02">
                <w:rPr>
                  <w:szCs w:val="22"/>
                </w:rPr>
                <w:delText>=154</w:delText>
              </w:r>
              <w:r w:rsidRPr="001B4A02">
                <w:rPr>
                  <w:szCs w:val="22"/>
                </w:rPr>
                <w:br/>
                <w:delText>40 (26,0 %)</w:delText>
              </w:r>
            </w:del>
          </w:p>
        </w:tc>
        <w:tc>
          <w:tcPr>
            <w:tcW w:w="1701" w:type="dxa"/>
            <w:tcMar>
              <w:top w:w="0" w:type="dxa"/>
              <w:left w:w="115" w:type="dxa"/>
              <w:bottom w:w="0" w:type="dxa"/>
              <w:right w:w="115" w:type="dxa"/>
            </w:tcMar>
            <w:hideMark/>
          </w:tcPr>
          <w:p w14:paraId="67867EA1" w14:textId="77777777" w:rsidR="00E07E66" w:rsidRPr="001B4A02" w:rsidRDefault="00000000" w:rsidP="00892469">
            <w:pPr>
              <w:widowControl w:val="0"/>
              <w:ind w:left="0" w:firstLine="0"/>
              <w:jc w:val="center"/>
              <w:rPr>
                <w:del w:id="2304" w:author="AbbVie1" w:date="2025-05-13T09:50:00Z"/>
              </w:rPr>
            </w:pPr>
            <w:del w:id="2305" w:author="AbbVie1" w:date="2025-05-13T09:50:00Z">
              <w:r>
                <w:rPr>
                  <w:szCs w:val="22"/>
                </w:rPr>
                <w:delText>n</w:delText>
              </w:r>
              <w:r w:rsidRPr="001B4A02">
                <w:rPr>
                  <w:szCs w:val="22"/>
                </w:rPr>
                <w:delText>=153</w:delText>
              </w:r>
              <w:r w:rsidRPr="001B4A02">
                <w:rPr>
                  <w:szCs w:val="22"/>
                </w:rPr>
                <w:br/>
                <w:delText>64 (41,8 %)</w:delText>
              </w:r>
              <w:r w:rsidRPr="001B4A02">
                <w:rPr>
                  <w:szCs w:val="22"/>
                  <w:vertAlign w:val="superscript"/>
                </w:rPr>
                <w:delText>*</w:delText>
              </w:r>
            </w:del>
          </w:p>
        </w:tc>
        <w:tc>
          <w:tcPr>
            <w:tcW w:w="1417" w:type="dxa"/>
            <w:tcMar>
              <w:top w:w="0" w:type="dxa"/>
              <w:left w:w="115" w:type="dxa"/>
              <w:bottom w:w="0" w:type="dxa"/>
              <w:right w:w="115" w:type="dxa"/>
            </w:tcMar>
          </w:tcPr>
          <w:p w14:paraId="2DB4CB58" w14:textId="77777777" w:rsidR="00E07E66" w:rsidRPr="001B4A02" w:rsidRDefault="00000000" w:rsidP="007C5EA6">
            <w:pPr>
              <w:widowControl w:val="0"/>
              <w:ind w:left="0" w:firstLine="0"/>
              <w:jc w:val="center"/>
              <w:rPr>
                <w:del w:id="2306" w:author="AbbVie1" w:date="2025-05-13T09:50:00Z"/>
              </w:rPr>
            </w:pPr>
            <w:del w:id="2307" w:author="AbbVie1" w:date="2025-05-13T09:50:00Z">
              <w:r>
                <w:rPr>
                  <w:szCs w:val="22"/>
                </w:rPr>
                <w:delText>n</w:delText>
              </w:r>
              <w:r w:rsidRPr="001B4A02">
                <w:rPr>
                  <w:szCs w:val="22"/>
                </w:rPr>
                <w:delText>=163</w:delText>
              </w:r>
            </w:del>
          </w:p>
          <w:p w14:paraId="0BE9B52E" w14:textId="77777777" w:rsidR="00E07E66" w:rsidRPr="001B4A02" w:rsidRDefault="00000000" w:rsidP="007C5EA6">
            <w:pPr>
              <w:widowControl w:val="0"/>
              <w:ind w:left="0" w:firstLine="0"/>
              <w:jc w:val="center"/>
              <w:rPr>
                <w:del w:id="2308" w:author="AbbVie1" w:date="2025-05-13T09:50:00Z"/>
              </w:rPr>
            </w:pPr>
            <w:del w:id="2309" w:author="AbbVie1" w:date="2025-05-13T09:50:00Z">
              <w:r w:rsidRPr="001B4A02">
                <w:rPr>
                  <w:szCs w:val="22"/>
                </w:rPr>
                <w:delText>45 (27,6 %)</w:delText>
              </w:r>
            </w:del>
          </w:p>
        </w:tc>
        <w:tc>
          <w:tcPr>
            <w:tcW w:w="1673" w:type="dxa"/>
            <w:tcMar>
              <w:top w:w="0" w:type="dxa"/>
              <w:left w:w="115" w:type="dxa"/>
              <w:bottom w:w="0" w:type="dxa"/>
              <w:right w:w="115" w:type="dxa"/>
            </w:tcMar>
          </w:tcPr>
          <w:p w14:paraId="1FD860C2" w14:textId="77777777" w:rsidR="00E07E66" w:rsidRPr="001B4A02" w:rsidRDefault="00000000" w:rsidP="007C5EA6">
            <w:pPr>
              <w:widowControl w:val="0"/>
              <w:ind w:left="0" w:firstLine="0"/>
              <w:jc w:val="center"/>
              <w:rPr>
                <w:del w:id="2310" w:author="AbbVie1" w:date="2025-05-13T09:50:00Z"/>
              </w:rPr>
            </w:pPr>
            <w:del w:id="2311" w:author="AbbVie1" w:date="2025-05-13T09:50:00Z">
              <w:r>
                <w:rPr>
                  <w:szCs w:val="22"/>
                </w:rPr>
                <w:delText>n</w:delText>
              </w:r>
              <w:r w:rsidRPr="001B4A02">
                <w:rPr>
                  <w:szCs w:val="22"/>
                </w:rPr>
                <w:delText>=163</w:delText>
              </w:r>
            </w:del>
          </w:p>
          <w:p w14:paraId="4B04AB0C" w14:textId="77777777" w:rsidR="00E07E66" w:rsidRPr="001B4A02" w:rsidRDefault="00000000" w:rsidP="007C5EA6">
            <w:pPr>
              <w:widowControl w:val="0"/>
              <w:ind w:left="0" w:firstLine="0"/>
              <w:jc w:val="center"/>
              <w:rPr>
                <w:del w:id="2312" w:author="AbbVie1" w:date="2025-05-13T09:50:00Z"/>
              </w:rPr>
            </w:pPr>
            <w:del w:id="2313" w:author="AbbVie1" w:date="2025-05-13T09:50:00Z">
              <w:r w:rsidRPr="001B4A02">
                <w:rPr>
                  <w:szCs w:val="22"/>
                </w:rPr>
                <w:delText xml:space="preserve">96 (58,9 %) </w:delText>
              </w:r>
              <w:r w:rsidRPr="001B4A02">
                <w:rPr>
                  <w:szCs w:val="22"/>
                  <w:vertAlign w:val="superscript"/>
                </w:rPr>
                <w:delText>***</w:delText>
              </w:r>
            </w:del>
          </w:p>
        </w:tc>
      </w:tr>
      <w:tr w:rsidR="00534A2D" w14:paraId="04CA8D39" w14:textId="77777777" w:rsidTr="007C5EA6">
        <w:trPr>
          <w:trHeight w:val="20"/>
          <w:jc w:val="center"/>
          <w:del w:id="2314" w:author="AbbVie1" w:date="2025-05-13T09:50:00Z"/>
        </w:trPr>
        <w:tc>
          <w:tcPr>
            <w:tcW w:w="2950" w:type="dxa"/>
            <w:tcMar>
              <w:top w:w="0" w:type="dxa"/>
              <w:left w:w="115" w:type="dxa"/>
              <w:bottom w:w="0" w:type="dxa"/>
              <w:right w:w="115" w:type="dxa"/>
            </w:tcMar>
            <w:vAlign w:val="center"/>
            <w:hideMark/>
          </w:tcPr>
          <w:p w14:paraId="0AC01E05" w14:textId="77777777" w:rsidR="00E07E66" w:rsidRPr="001B4A02" w:rsidRDefault="00000000" w:rsidP="007C5EA6">
            <w:pPr>
              <w:widowControl w:val="0"/>
              <w:ind w:left="0" w:firstLine="0"/>
              <w:rPr>
                <w:del w:id="2315" w:author="AbbVie1" w:date="2025-05-13T09:50:00Z"/>
              </w:rPr>
            </w:pPr>
            <w:del w:id="2316" w:author="AbbVie1" w:date="2025-05-13T09:50:00Z">
              <w:r w:rsidRPr="001B4A02">
                <w:rPr>
                  <w:szCs w:val="22"/>
                </w:rPr>
                <w:delText>≥ 30% snížení bolesti kůže</w:delText>
              </w:r>
              <w:r w:rsidRPr="001B4A02">
                <w:rPr>
                  <w:szCs w:val="22"/>
                  <w:vertAlign w:val="superscript"/>
                </w:rPr>
                <w:delText>b</w:delText>
              </w:r>
            </w:del>
          </w:p>
        </w:tc>
        <w:tc>
          <w:tcPr>
            <w:tcW w:w="1560" w:type="dxa"/>
            <w:tcMar>
              <w:top w:w="0" w:type="dxa"/>
              <w:left w:w="115" w:type="dxa"/>
              <w:bottom w:w="0" w:type="dxa"/>
              <w:right w:w="115" w:type="dxa"/>
            </w:tcMar>
            <w:hideMark/>
          </w:tcPr>
          <w:p w14:paraId="074C6728" w14:textId="77777777" w:rsidR="00E07E66" w:rsidRPr="001B4A02" w:rsidRDefault="00000000" w:rsidP="00892469">
            <w:pPr>
              <w:widowControl w:val="0"/>
              <w:ind w:left="0" w:firstLine="0"/>
              <w:jc w:val="center"/>
              <w:rPr>
                <w:del w:id="2317" w:author="AbbVie1" w:date="2025-05-13T09:50:00Z"/>
              </w:rPr>
            </w:pPr>
            <w:del w:id="2318" w:author="AbbVie1" w:date="2025-05-13T09:50:00Z">
              <w:r>
                <w:rPr>
                  <w:szCs w:val="22"/>
                </w:rPr>
                <w:delText>n</w:delText>
              </w:r>
              <w:r w:rsidRPr="001B4A02">
                <w:rPr>
                  <w:szCs w:val="22"/>
                </w:rPr>
                <w:delText>=109</w:delText>
              </w:r>
              <w:r w:rsidRPr="001B4A02">
                <w:rPr>
                  <w:szCs w:val="22"/>
                </w:rPr>
                <w:br/>
                <w:delText>27 (24,8 %)</w:delText>
              </w:r>
            </w:del>
          </w:p>
        </w:tc>
        <w:tc>
          <w:tcPr>
            <w:tcW w:w="1701" w:type="dxa"/>
            <w:tcMar>
              <w:top w:w="0" w:type="dxa"/>
              <w:left w:w="115" w:type="dxa"/>
              <w:bottom w:w="0" w:type="dxa"/>
              <w:right w:w="115" w:type="dxa"/>
            </w:tcMar>
            <w:hideMark/>
          </w:tcPr>
          <w:p w14:paraId="191E2BFF" w14:textId="77777777" w:rsidR="00E07E66" w:rsidRPr="001B4A02" w:rsidRDefault="00000000" w:rsidP="00892469">
            <w:pPr>
              <w:widowControl w:val="0"/>
              <w:ind w:left="0" w:firstLine="0"/>
              <w:jc w:val="center"/>
              <w:rPr>
                <w:del w:id="2319" w:author="AbbVie1" w:date="2025-05-13T09:50:00Z"/>
              </w:rPr>
            </w:pPr>
            <w:del w:id="2320" w:author="AbbVie1" w:date="2025-05-13T09:50:00Z">
              <w:r>
                <w:rPr>
                  <w:szCs w:val="22"/>
                </w:rPr>
                <w:delText>n</w:delText>
              </w:r>
              <w:r w:rsidRPr="001B4A02">
                <w:rPr>
                  <w:szCs w:val="22"/>
                </w:rPr>
                <w:delText>=109</w:delText>
              </w:r>
              <w:r w:rsidRPr="001B4A02">
                <w:rPr>
                  <w:szCs w:val="22"/>
                </w:rPr>
                <w:br/>
                <w:delText>27 (24,8 %)</w:delText>
              </w:r>
            </w:del>
          </w:p>
        </w:tc>
        <w:tc>
          <w:tcPr>
            <w:tcW w:w="1417" w:type="dxa"/>
            <w:tcMar>
              <w:top w:w="0" w:type="dxa"/>
              <w:left w:w="115" w:type="dxa"/>
              <w:bottom w:w="0" w:type="dxa"/>
              <w:right w:w="115" w:type="dxa"/>
            </w:tcMar>
          </w:tcPr>
          <w:p w14:paraId="358A8D89" w14:textId="77777777" w:rsidR="00E07E66" w:rsidRPr="001B4A02" w:rsidRDefault="00000000" w:rsidP="007C5EA6">
            <w:pPr>
              <w:widowControl w:val="0"/>
              <w:ind w:left="0" w:firstLine="0"/>
              <w:jc w:val="center"/>
              <w:rPr>
                <w:del w:id="2321" w:author="AbbVie1" w:date="2025-05-13T09:50:00Z"/>
              </w:rPr>
            </w:pPr>
            <w:del w:id="2322" w:author="AbbVie1" w:date="2025-05-13T09:50:00Z">
              <w:r>
                <w:rPr>
                  <w:szCs w:val="22"/>
                </w:rPr>
                <w:delText>n</w:delText>
              </w:r>
              <w:r w:rsidRPr="001B4A02">
                <w:rPr>
                  <w:szCs w:val="22"/>
                </w:rPr>
                <w:delText>=111</w:delText>
              </w:r>
            </w:del>
          </w:p>
          <w:p w14:paraId="1F648794" w14:textId="77777777" w:rsidR="00E07E66" w:rsidRPr="001B4A02" w:rsidRDefault="00000000" w:rsidP="007C5EA6">
            <w:pPr>
              <w:widowControl w:val="0"/>
              <w:ind w:left="0" w:firstLine="0"/>
              <w:jc w:val="center"/>
              <w:rPr>
                <w:del w:id="2323" w:author="AbbVie1" w:date="2025-05-13T09:50:00Z"/>
              </w:rPr>
            </w:pPr>
            <w:del w:id="2324" w:author="AbbVie1" w:date="2025-05-13T09:50:00Z">
              <w:r w:rsidRPr="001B4A02">
                <w:rPr>
                  <w:szCs w:val="22"/>
                </w:rPr>
                <w:delText>23 (20,7 %)</w:delText>
              </w:r>
            </w:del>
          </w:p>
        </w:tc>
        <w:tc>
          <w:tcPr>
            <w:tcW w:w="1673" w:type="dxa"/>
            <w:tcMar>
              <w:top w:w="0" w:type="dxa"/>
              <w:left w:w="115" w:type="dxa"/>
              <w:bottom w:w="0" w:type="dxa"/>
              <w:right w:w="115" w:type="dxa"/>
            </w:tcMar>
          </w:tcPr>
          <w:p w14:paraId="6EB20531" w14:textId="77777777" w:rsidR="00E07E66" w:rsidRPr="001B4A02" w:rsidRDefault="00000000" w:rsidP="007C5EA6">
            <w:pPr>
              <w:widowControl w:val="0"/>
              <w:ind w:left="0" w:firstLine="0"/>
              <w:jc w:val="center"/>
              <w:rPr>
                <w:del w:id="2325" w:author="AbbVie1" w:date="2025-05-13T09:50:00Z"/>
              </w:rPr>
            </w:pPr>
            <w:del w:id="2326" w:author="AbbVie1" w:date="2025-05-13T09:50:00Z">
              <w:r>
                <w:rPr>
                  <w:szCs w:val="22"/>
                </w:rPr>
                <w:delText>n</w:delText>
              </w:r>
              <w:r w:rsidRPr="001B4A02">
                <w:rPr>
                  <w:szCs w:val="22"/>
                </w:rPr>
                <w:delText>=105</w:delText>
              </w:r>
            </w:del>
          </w:p>
          <w:p w14:paraId="3E7E0D21" w14:textId="77777777" w:rsidR="00E07E66" w:rsidRPr="001B4A02" w:rsidRDefault="00000000" w:rsidP="007C5EA6">
            <w:pPr>
              <w:widowControl w:val="0"/>
              <w:ind w:left="0" w:firstLine="0"/>
              <w:jc w:val="center"/>
              <w:rPr>
                <w:del w:id="2327" w:author="AbbVie1" w:date="2025-05-13T09:50:00Z"/>
              </w:rPr>
            </w:pPr>
            <w:del w:id="2328" w:author="AbbVie1" w:date="2025-05-13T09:50:00Z">
              <w:r w:rsidRPr="001B4A02">
                <w:rPr>
                  <w:szCs w:val="22"/>
                </w:rPr>
                <w:delText xml:space="preserve">48 (45,7 %) </w:delText>
              </w:r>
              <w:r w:rsidRPr="001B4A02">
                <w:rPr>
                  <w:szCs w:val="22"/>
                  <w:vertAlign w:val="superscript"/>
                </w:rPr>
                <w:delText>***</w:delText>
              </w:r>
            </w:del>
          </w:p>
        </w:tc>
      </w:tr>
      <w:tr w:rsidR="00534A2D" w14:paraId="4FFA451A" w14:textId="77777777" w:rsidTr="00255A0A">
        <w:trPr>
          <w:trHeight w:val="20"/>
          <w:jc w:val="center"/>
          <w:del w:id="2329" w:author="AbbVie1" w:date="2025-05-13T09:50:00Z"/>
        </w:trPr>
        <w:tc>
          <w:tcPr>
            <w:tcW w:w="9301" w:type="dxa"/>
            <w:gridSpan w:val="5"/>
            <w:tcMar>
              <w:top w:w="0" w:type="dxa"/>
              <w:left w:w="115" w:type="dxa"/>
              <w:bottom w:w="0" w:type="dxa"/>
              <w:right w:w="115" w:type="dxa"/>
            </w:tcMar>
            <w:vAlign w:val="center"/>
          </w:tcPr>
          <w:p w14:paraId="69987C33" w14:textId="77777777" w:rsidR="00E07E66" w:rsidRPr="001B4A02" w:rsidRDefault="00000000" w:rsidP="00EF0AF7">
            <w:pPr>
              <w:keepNext/>
              <w:widowControl w:val="0"/>
              <w:ind w:left="0" w:firstLine="0"/>
              <w:rPr>
                <w:del w:id="2330" w:author="AbbVie1" w:date="2025-05-13T09:50:00Z"/>
                <w:szCs w:val="22"/>
                <w:bdr w:val="nil"/>
              </w:rPr>
            </w:pPr>
            <w:del w:id="2331" w:author="AbbVie1" w:date="2025-05-13T09:50:00Z">
              <w:r w:rsidRPr="001B4A02">
                <w:rPr>
                  <w:szCs w:val="22"/>
                </w:rPr>
                <w:delText xml:space="preserve">* </w:delText>
              </w:r>
              <w:r w:rsidRPr="001B4A02">
                <w:rPr>
                  <w:i/>
                  <w:iCs/>
                  <w:szCs w:val="22"/>
                </w:rPr>
                <w:delText>P</w:delText>
              </w:r>
              <w:r w:rsidRPr="001B4A02">
                <w:rPr>
                  <w:szCs w:val="22"/>
                </w:rPr>
                <w:delText xml:space="preserve"> &lt; 0,05, ***</w:delText>
              </w:r>
              <w:r w:rsidRPr="001B4A02">
                <w:rPr>
                  <w:i/>
                  <w:iCs/>
                  <w:szCs w:val="22"/>
                </w:rPr>
                <w:delText xml:space="preserve">P </w:delText>
              </w:r>
              <w:r w:rsidRPr="001B4A02">
                <w:rPr>
                  <w:szCs w:val="22"/>
                </w:rPr>
                <w:delText xml:space="preserve">&lt; 0,001, přípravek Humira versus placebo </w:delText>
              </w:r>
            </w:del>
          </w:p>
          <w:p w14:paraId="19E1AF15" w14:textId="77777777" w:rsidR="00E07E66" w:rsidRPr="001B4A02" w:rsidRDefault="00000000" w:rsidP="00EF0AF7">
            <w:pPr>
              <w:keepNext/>
              <w:widowControl w:val="0"/>
              <w:ind w:left="0" w:firstLine="0"/>
              <w:rPr>
                <w:del w:id="2332" w:author="AbbVie1" w:date="2025-05-13T09:50:00Z"/>
              </w:rPr>
            </w:pPr>
            <w:del w:id="2333" w:author="AbbVie1" w:date="2025-05-13T09:50:00Z">
              <w:r w:rsidRPr="001B4A02">
                <w:rPr>
                  <w:szCs w:val="22"/>
                  <w:vertAlign w:val="superscript"/>
                </w:rPr>
                <w:delText xml:space="preserve">a </w:delText>
              </w:r>
              <w:r w:rsidRPr="001B4A02">
                <w:rPr>
                  <w:szCs w:val="22"/>
                </w:rPr>
                <w:delText>U všech randomizovaných pacientů.</w:delText>
              </w:r>
            </w:del>
          </w:p>
          <w:p w14:paraId="02068A74" w14:textId="77777777" w:rsidR="00E07E66" w:rsidRPr="001B4A02" w:rsidRDefault="00000000" w:rsidP="00EF0AF7">
            <w:pPr>
              <w:widowControl w:val="0"/>
              <w:ind w:left="0" w:firstLine="0"/>
              <w:rPr>
                <w:del w:id="2334" w:author="AbbVie1" w:date="2025-05-13T09:50:00Z"/>
                <w:szCs w:val="22"/>
                <w:bdr w:val="nil"/>
              </w:rPr>
            </w:pPr>
            <w:del w:id="2335" w:author="AbbVie1" w:date="2025-05-13T09:50:00Z">
              <w:r w:rsidRPr="001B4A02">
                <w:rPr>
                  <w:szCs w:val="22"/>
                  <w:vertAlign w:val="superscript"/>
                </w:rPr>
                <w:delText xml:space="preserve">b </w:delText>
              </w:r>
              <w:r w:rsidRPr="001B4A02">
                <w:rPr>
                  <w:szCs w:val="22"/>
                </w:rPr>
                <w:delText>U pacientů s výchozí hodnotou bolesti kůže spojené s HS ≥ 3, na podkladě číselné škály 0–10; 0 = žádná bolest kůže, 10 = bolest kůže tak velká, jak si jen lze představit.</w:delText>
              </w:r>
            </w:del>
          </w:p>
        </w:tc>
      </w:tr>
    </w:tbl>
    <w:p w14:paraId="4F39E2CB" w14:textId="77777777" w:rsidR="00DE7DB9" w:rsidRPr="001B4A02" w:rsidRDefault="00DE7DB9" w:rsidP="00E07E66">
      <w:pPr>
        <w:rPr>
          <w:del w:id="2336" w:author="AbbVie1" w:date="2025-05-13T09:50:00Z"/>
          <w:szCs w:val="22"/>
        </w:rPr>
      </w:pPr>
    </w:p>
    <w:p w14:paraId="7ABE693F" w14:textId="77777777" w:rsidR="00DE7DB9" w:rsidRPr="001B4A02" w:rsidRDefault="00000000" w:rsidP="00ED48A3">
      <w:pPr>
        <w:ind w:left="0" w:firstLine="0"/>
        <w:rPr>
          <w:del w:id="2337" w:author="AbbVie1" w:date="2025-05-13T09:50:00Z"/>
          <w:szCs w:val="22"/>
        </w:rPr>
      </w:pPr>
      <w:del w:id="2338" w:author="AbbVie1" w:date="2025-05-13T09:50:00Z">
        <w:r w:rsidRPr="001B4A02">
          <w:rPr>
            <w:szCs w:val="22"/>
          </w:rPr>
          <w:delText>Léčba přípravkem Humira 40 mg jednou týdně významně snížila riziko zhoršení abscesů</w:delText>
        </w:r>
        <w:r w:rsidR="002378E0">
          <w:rPr>
            <w:szCs w:val="22"/>
          </w:rPr>
          <w:delText xml:space="preserve"> a </w:delText>
        </w:r>
        <w:r w:rsidRPr="001B4A02">
          <w:rPr>
            <w:szCs w:val="22"/>
          </w:rPr>
          <w:delText>píštělí s</w:delText>
        </w:r>
        <w:r w:rsidR="00DA73B0" w:rsidRPr="001B4A02">
          <w:rPr>
            <w:szCs w:val="22"/>
          </w:rPr>
          <w:delText> </w:delText>
        </w:r>
        <w:r w:rsidRPr="001B4A02">
          <w:rPr>
            <w:szCs w:val="22"/>
          </w:rPr>
          <w:delText>výtokem. Přibližně dvakrát větší část pacientů ve skupině placeba během prvních 12 týdnů trvání studie HS-I</w:delText>
        </w:r>
        <w:r w:rsidR="002378E0">
          <w:rPr>
            <w:szCs w:val="22"/>
          </w:rPr>
          <w:delText xml:space="preserve"> a </w:delText>
        </w:r>
        <w:r w:rsidRPr="001B4A02">
          <w:rPr>
            <w:szCs w:val="22"/>
          </w:rPr>
          <w:delText>HS-II, ve srovnání s</w:delText>
        </w:r>
        <w:r w:rsidR="00A9166E" w:rsidRPr="001B4A02">
          <w:rPr>
            <w:szCs w:val="22"/>
          </w:rPr>
          <w:delText> </w:delText>
        </w:r>
        <w:r w:rsidRPr="001B4A02">
          <w:rPr>
            <w:szCs w:val="22"/>
          </w:rPr>
          <w:delText>pacienty ve skupině s</w:delText>
        </w:r>
        <w:r w:rsidR="00A9166E" w:rsidRPr="001B4A02">
          <w:rPr>
            <w:szCs w:val="22"/>
          </w:rPr>
          <w:delText> </w:delText>
        </w:r>
        <w:r w:rsidRPr="001B4A02">
          <w:rPr>
            <w:szCs w:val="22"/>
          </w:rPr>
          <w:delText>přípravkem Humira, pocítila zhoršení abscesů (23,0 % vs. 11,4 %, resp.)</w:delText>
        </w:r>
        <w:r w:rsidR="002378E0">
          <w:rPr>
            <w:szCs w:val="22"/>
          </w:rPr>
          <w:delText xml:space="preserve"> a </w:delText>
        </w:r>
        <w:r w:rsidRPr="001B4A02">
          <w:rPr>
            <w:szCs w:val="22"/>
          </w:rPr>
          <w:delText>píštělí s</w:delText>
        </w:r>
        <w:r w:rsidR="00A9166E" w:rsidRPr="001B4A02">
          <w:rPr>
            <w:szCs w:val="22"/>
          </w:rPr>
          <w:delText> </w:delText>
        </w:r>
        <w:r w:rsidRPr="001B4A02">
          <w:rPr>
            <w:szCs w:val="22"/>
          </w:rPr>
          <w:delText>výtokem (30,0 % vs. 13,9 %, resp.).</w:delText>
        </w:r>
      </w:del>
    </w:p>
    <w:p w14:paraId="75D89E7A" w14:textId="77777777" w:rsidR="00DE7DB9" w:rsidRPr="001B4A02" w:rsidRDefault="00DE7DB9" w:rsidP="00ED48A3">
      <w:pPr>
        <w:ind w:left="0" w:firstLine="0"/>
        <w:rPr>
          <w:del w:id="2339" w:author="AbbVie1" w:date="2025-05-13T09:50:00Z"/>
          <w:szCs w:val="22"/>
          <w:lang w:eastAsia="ja-JP"/>
        </w:rPr>
      </w:pPr>
    </w:p>
    <w:p w14:paraId="1244B39F" w14:textId="77777777" w:rsidR="00DE7DB9" w:rsidRPr="001B4A02" w:rsidRDefault="00000000" w:rsidP="00ED48A3">
      <w:pPr>
        <w:ind w:left="0" w:firstLine="0"/>
        <w:rPr>
          <w:del w:id="2340" w:author="AbbVie1" w:date="2025-05-13T09:50:00Z"/>
          <w:szCs w:val="22"/>
          <w:lang w:eastAsia="ja-JP"/>
        </w:rPr>
      </w:pPr>
      <w:del w:id="2341" w:author="AbbVie1" w:date="2025-05-13T09:50:00Z">
        <w:r w:rsidRPr="001B4A02">
          <w:rPr>
            <w:szCs w:val="22"/>
            <w:lang w:eastAsia="ja-JP"/>
          </w:rPr>
          <w:delText>Větší zlepšení v</w:delText>
        </w:r>
        <w:r w:rsidR="00A9166E" w:rsidRPr="001B4A02">
          <w:rPr>
            <w:szCs w:val="22"/>
            <w:lang w:eastAsia="ja-JP"/>
          </w:rPr>
          <w:delText> </w:delText>
        </w:r>
        <w:r w:rsidRPr="001B4A02">
          <w:rPr>
            <w:szCs w:val="22"/>
            <w:lang w:eastAsia="ja-JP"/>
          </w:rPr>
          <w:delText>týdnu 12 oproti výchozím hodnotám ve srovnání s</w:delText>
        </w:r>
        <w:r w:rsidR="00A9166E" w:rsidRPr="001B4A02">
          <w:rPr>
            <w:szCs w:val="22"/>
            <w:lang w:eastAsia="ja-JP"/>
          </w:rPr>
          <w:delText> </w:delText>
        </w:r>
        <w:r w:rsidRPr="001B4A02">
          <w:rPr>
            <w:szCs w:val="22"/>
            <w:lang w:eastAsia="ja-JP"/>
          </w:rPr>
          <w:delText>placebem bylo demonstrováno v</w:delText>
        </w:r>
        <w:r w:rsidR="00DA73B0" w:rsidRPr="001B4A02">
          <w:rPr>
            <w:szCs w:val="22"/>
            <w:lang w:eastAsia="ja-JP"/>
          </w:rPr>
          <w:delText> </w:delText>
        </w:r>
        <w:r w:rsidRPr="001B4A02">
          <w:rPr>
            <w:szCs w:val="22"/>
            <w:lang w:eastAsia="ja-JP"/>
          </w:rPr>
          <w:delText>kvalitě života týkající se zdraví</w:delText>
        </w:r>
        <w:r w:rsidR="002378E0">
          <w:rPr>
            <w:szCs w:val="22"/>
            <w:lang w:eastAsia="ja-JP"/>
          </w:rPr>
          <w:delText xml:space="preserve"> a </w:delText>
        </w:r>
        <w:r w:rsidRPr="001B4A02">
          <w:rPr>
            <w:szCs w:val="22"/>
            <w:lang w:eastAsia="ja-JP"/>
          </w:rPr>
          <w:delText>specificky kůže, dle měření Dermatologického indexu kvality života (Dermatology Life Quality Index DLQI; Studie HS-I</w:delText>
        </w:r>
        <w:r w:rsidR="002378E0">
          <w:rPr>
            <w:szCs w:val="22"/>
            <w:lang w:eastAsia="ja-JP"/>
          </w:rPr>
          <w:delText xml:space="preserve"> a </w:delText>
        </w:r>
        <w:r w:rsidRPr="001B4A02">
          <w:rPr>
            <w:szCs w:val="22"/>
            <w:lang w:eastAsia="ja-JP"/>
          </w:rPr>
          <w:delText>HS-II), celkovou spokojeností pacienta s</w:delText>
        </w:r>
        <w:r w:rsidR="00DA73B0" w:rsidRPr="001B4A02">
          <w:rPr>
            <w:szCs w:val="22"/>
            <w:lang w:eastAsia="ja-JP"/>
          </w:rPr>
          <w:delText> </w:delText>
        </w:r>
        <w:r w:rsidRPr="001B4A02">
          <w:rPr>
            <w:szCs w:val="22"/>
            <w:lang w:eastAsia="ja-JP"/>
          </w:rPr>
          <w:delText>léčbou, dle měření Dotazníku spokojenosti s</w:delText>
        </w:r>
        <w:r w:rsidR="00A9166E" w:rsidRPr="001B4A02">
          <w:rPr>
            <w:szCs w:val="22"/>
            <w:lang w:eastAsia="ja-JP"/>
          </w:rPr>
          <w:delText> </w:delText>
        </w:r>
        <w:r w:rsidRPr="001B4A02">
          <w:rPr>
            <w:szCs w:val="22"/>
            <w:lang w:eastAsia="ja-JP"/>
          </w:rPr>
          <w:delText>léčbou (Treatment Satisfaction Questionnaire – medication, TSQM; Studie HS-I</w:delText>
        </w:r>
        <w:r w:rsidR="002378E0">
          <w:rPr>
            <w:szCs w:val="22"/>
            <w:lang w:eastAsia="ja-JP"/>
          </w:rPr>
          <w:delText xml:space="preserve"> a </w:delText>
        </w:r>
        <w:r w:rsidRPr="001B4A02">
          <w:rPr>
            <w:szCs w:val="22"/>
            <w:lang w:eastAsia="ja-JP"/>
          </w:rPr>
          <w:delText>HS-II)</w:delText>
        </w:r>
        <w:r w:rsidR="002378E0">
          <w:rPr>
            <w:szCs w:val="22"/>
            <w:lang w:eastAsia="ja-JP"/>
          </w:rPr>
          <w:delText xml:space="preserve"> a </w:delText>
        </w:r>
        <w:r w:rsidRPr="001B4A02">
          <w:rPr>
            <w:szCs w:val="22"/>
            <w:lang w:eastAsia="ja-JP"/>
          </w:rPr>
          <w:delText>fyzickým zdravím dle měření skóre souhrnu tělesných komponent (physical component summary) SF-36 (Studie HS-I).</w:delText>
        </w:r>
      </w:del>
    </w:p>
    <w:p w14:paraId="70AB93A1" w14:textId="77777777" w:rsidR="00DE7DB9" w:rsidRPr="001B4A02" w:rsidRDefault="00DE7DB9" w:rsidP="00ED48A3">
      <w:pPr>
        <w:ind w:left="0" w:firstLine="0"/>
        <w:rPr>
          <w:del w:id="2342" w:author="AbbVie1" w:date="2025-05-13T09:50:00Z"/>
          <w:szCs w:val="22"/>
          <w:lang w:eastAsia="ja-JP"/>
        </w:rPr>
      </w:pPr>
    </w:p>
    <w:p w14:paraId="014B8286" w14:textId="77777777" w:rsidR="00DE7DB9" w:rsidRPr="001B4A02" w:rsidRDefault="00000000" w:rsidP="00ED48A3">
      <w:pPr>
        <w:ind w:left="0" w:firstLine="0"/>
        <w:rPr>
          <w:del w:id="2343" w:author="AbbVie1" w:date="2025-05-13T09:50:00Z"/>
          <w:szCs w:val="22"/>
          <w:bdr w:val="nil"/>
        </w:rPr>
      </w:pPr>
      <w:del w:id="2344" w:author="AbbVie1" w:date="2025-05-13T09:50:00Z">
        <w:r w:rsidRPr="001B4A02">
          <w:rPr>
            <w:szCs w:val="22"/>
          </w:rPr>
          <w:delText>U pacientů s</w:delText>
        </w:r>
        <w:r w:rsidR="00A9166E" w:rsidRPr="001B4A02">
          <w:rPr>
            <w:szCs w:val="22"/>
          </w:rPr>
          <w:delText> </w:delText>
        </w:r>
        <w:r w:rsidRPr="001B4A02">
          <w:rPr>
            <w:szCs w:val="22"/>
          </w:rPr>
          <w:delText>alespoň částečnou odpovědí na léčbu přípravkem Humira 40 mg jednou týdně v</w:delText>
        </w:r>
        <w:r w:rsidR="00A9166E" w:rsidRPr="001B4A02">
          <w:rPr>
            <w:szCs w:val="22"/>
          </w:rPr>
          <w:delText> </w:delText>
        </w:r>
        <w:r w:rsidRPr="001B4A02">
          <w:rPr>
            <w:szCs w:val="22"/>
          </w:rPr>
          <w:delText>týdnu 12 byla hodnota HiSCR v</w:delText>
        </w:r>
        <w:r w:rsidR="00A9166E" w:rsidRPr="001B4A02">
          <w:rPr>
            <w:szCs w:val="22"/>
          </w:rPr>
          <w:delText> </w:delText>
        </w:r>
        <w:r w:rsidRPr="001B4A02">
          <w:rPr>
            <w:szCs w:val="22"/>
          </w:rPr>
          <w:delText>týdnu 36 větší</w:delText>
        </w:r>
        <w:r w:rsidR="002009DF" w:rsidRPr="001B4A02">
          <w:rPr>
            <w:szCs w:val="22"/>
          </w:rPr>
          <w:delText xml:space="preserve"> u </w:delText>
        </w:r>
        <w:r w:rsidRPr="001B4A02">
          <w:rPr>
            <w:szCs w:val="22"/>
          </w:rPr>
          <w:delText>pacientů, kteří pokračovali v</w:delText>
        </w:r>
        <w:r w:rsidR="00A9166E" w:rsidRPr="001B4A02">
          <w:rPr>
            <w:szCs w:val="22"/>
          </w:rPr>
          <w:delText> </w:delText>
        </w:r>
        <w:r w:rsidRPr="001B4A02">
          <w:rPr>
            <w:szCs w:val="22"/>
          </w:rPr>
          <w:delText>léčbě přípravkem Humira jednou týdně, než</w:delText>
        </w:r>
        <w:r w:rsidR="002009DF" w:rsidRPr="001B4A02">
          <w:rPr>
            <w:szCs w:val="22"/>
          </w:rPr>
          <w:delText xml:space="preserve"> u </w:delText>
        </w:r>
        <w:r w:rsidRPr="001B4A02">
          <w:rPr>
            <w:szCs w:val="22"/>
          </w:rPr>
          <w:delText>pacientů,</w:delText>
        </w:r>
        <w:r w:rsidR="002009DF" w:rsidRPr="001B4A02">
          <w:rPr>
            <w:szCs w:val="22"/>
          </w:rPr>
          <w:delText xml:space="preserve"> u </w:delText>
        </w:r>
        <w:r w:rsidRPr="001B4A02">
          <w:rPr>
            <w:szCs w:val="22"/>
          </w:rPr>
          <w:delText>kterých byla frekvence dávkování snížen</w:delText>
        </w:r>
        <w:r w:rsidR="00DA73B0" w:rsidRPr="001B4A02">
          <w:rPr>
            <w:szCs w:val="22"/>
          </w:rPr>
          <w:delText>a na jednou za dva týdny nebo</w:delText>
        </w:r>
        <w:r w:rsidR="002009DF" w:rsidRPr="001B4A02">
          <w:rPr>
            <w:szCs w:val="22"/>
          </w:rPr>
          <w:delText xml:space="preserve"> u </w:delText>
        </w:r>
        <w:r w:rsidRPr="001B4A02">
          <w:rPr>
            <w:szCs w:val="22"/>
          </w:rPr>
          <w:delText xml:space="preserve">kterých byla léčba přerušena (viz tabulka </w:delText>
        </w:r>
        <w:r w:rsidR="00D76799">
          <w:rPr>
            <w:szCs w:val="22"/>
          </w:rPr>
          <w:delText>16</w:delText>
        </w:r>
        <w:r w:rsidR="00062315" w:rsidRPr="001B4A02">
          <w:rPr>
            <w:szCs w:val="22"/>
          </w:rPr>
          <w:delText>).</w:delText>
        </w:r>
      </w:del>
    </w:p>
    <w:p w14:paraId="48DB0C0C" w14:textId="77777777" w:rsidR="00DE7DB9" w:rsidRPr="001B4A02" w:rsidRDefault="00DE7DB9" w:rsidP="00ED48A3">
      <w:pPr>
        <w:pStyle w:val="EMEANormal"/>
        <w:rPr>
          <w:del w:id="2345" w:author="AbbVie1" w:date="2025-05-13T09:50:00Z"/>
          <w:lang w:val="cs-CZ"/>
        </w:rPr>
      </w:pPr>
    </w:p>
    <w:p w14:paraId="1669F923" w14:textId="77777777" w:rsidR="00DE7DB9" w:rsidRPr="001B4A02" w:rsidRDefault="00000000" w:rsidP="006F04BD">
      <w:pPr>
        <w:pStyle w:val="Paragraph"/>
        <w:keepNext/>
        <w:spacing w:after="0" w:line="240" w:lineRule="auto"/>
        <w:jc w:val="center"/>
        <w:rPr>
          <w:del w:id="2346" w:author="AbbVie1" w:date="2025-05-13T09:50:00Z"/>
          <w:b/>
          <w:sz w:val="22"/>
          <w:szCs w:val="22"/>
          <w:lang w:val="cs-CZ"/>
        </w:rPr>
      </w:pPr>
      <w:del w:id="2347" w:author="AbbVie1" w:date="2025-05-13T09:50:00Z">
        <w:r w:rsidRPr="001B4A02">
          <w:rPr>
            <w:rFonts w:eastAsia="Times New Roman"/>
            <w:b/>
            <w:bCs/>
            <w:sz w:val="22"/>
            <w:szCs w:val="22"/>
            <w:lang w:val="cs-CZ"/>
          </w:rPr>
          <w:delText>Tabulka </w:delText>
        </w:r>
        <w:r w:rsidR="00D76799">
          <w:rPr>
            <w:rFonts w:eastAsia="Times New Roman"/>
            <w:b/>
            <w:bCs/>
            <w:sz w:val="22"/>
            <w:szCs w:val="22"/>
            <w:lang w:val="cs-CZ"/>
          </w:rPr>
          <w:delText>16</w:delText>
        </w:r>
        <w:r w:rsidRPr="001B4A02">
          <w:rPr>
            <w:rFonts w:eastAsia="Times New Roman"/>
            <w:b/>
            <w:bCs/>
            <w:sz w:val="22"/>
            <w:szCs w:val="22"/>
            <w:lang w:val="cs-CZ"/>
          </w:rPr>
          <w:delText>: Poměr pacientů</w:delText>
        </w:r>
        <w:r w:rsidRPr="001B4A02">
          <w:rPr>
            <w:rFonts w:eastAsia="Times New Roman"/>
            <w:b/>
            <w:bCs/>
            <w:sz w:val="22"/>
            <w:szCs w:val="22"/>
            <w:vertAlign w:val="superscript"/>
            <w:lang w:val="cs-CZ"/>
          </w:rPr>
          <w:delText>a</w:delText>
        </w:r>
        <w:r w:rsidRPr="001B4A02">
          <w:rPr>
            <w:rFonts w:eastAsia="Times New Roman"/>
            <w:b/>
            <w:bCs/>
            <w:sz w:val="22"/>
            <w:szCs w:val="22"/>
            <w:lang w:val="cs-CZ"/>
          </w:rPr>
          <w:delText>, kteří dosáhli HiSCR</w:delText>
        </w:r>
        <w:r w:rsidRPr="001B4A02">
          <w:rPr>
            <w:rFonts w:eastAsia="Times New Roman"/>
            <w:b/>
            <w:bCs/>
            <w:sz w:val="22"/>
            <w:szCs w:val="22"/>
            <w:vertAlign w:val="superscript"/>
            <w:lang w:val="cs-CZ"/>
          </w:rPr>
          <w:delText>b</w:delText>
        </w:r>
        <w:r w:rsidRPr="001B4A02">
          <w:rPr>
            <w:rFonts w:eastAsia="Times New Roman"/>
            <w:b/>
            <w:bCs/>
            <w:sz w:val="22"/>
            <w:szCs w:val="22"/>
            <w:lang w:val="cs-CZ"/>
          </w:rPr>
          <w:delText>v týdnech 24</w:delText>
        </w:r>
        <w:r w:rsidR="002378E0">
          <w:rPr>
            <w:rFonts w:eastAsia="Times New Roman"/>
            <w:b/>
            <w:bCs/>
            <w:sz w:val="22"/>
            <w:szCs w:val="22"/>
            <w:lang w:val="cs-CZ"/>
          </w:rPr>
          <w:delText xml:space="preserve"> a </w:delText>
        </w:r>
        <w:r w:rsidRPr="001B4A02">
          <w:rPr>
            <w:rFonts w:eastAsia="Times New Roman"/>
            <w:b/>
            <w:bCs/>
            <w:sz w:val="22"/>
            <w:szCs w:val="22"/>
            <w:lang w:val="cs-CZ"/>
          </w:rPr>
          <w:delText>36 po opětovném přeřazení léčby přípravkem Humira týdně v</w:delText>
        </w:r>
        <w:r w:rsidR="00EF0AF7" w:rsidRPr="001B4A02">
          <w:rPr>
            <w:rFonts w:eastAsia="Times New Roman"/>
            <w:b/>
            <w:bCs/>
            <w:sz w:val="22"/>
            <w:szCs w:val="22"/>
            <w:lang w:val="cs-CZ"/>
          </w:rPr>
          <w:delText> </w:delText>
        </w:r>
        <w:r w:rsidRPr="001B4A02">
          <w:rPr>
            <w:rFonts w:eastAsia="Times New Roman"/>
            <w:b/>
            <w:bCs/>
            <w:sz w:val="22"/>
            <w:szCs w:val="22"/>
            <w:lang w:val="cs-CZ"/>
          </w:rPr>
          <w:delText>týdnu 12</w:delText>
        </w:r>
      </w:del>
    </w:p>
    <w:p w14:paraId="7A876B4F" w14:textId="77777777" w:rsidR="00DE7DB9" w:rsidRPr="001B4A02" w:rsidRDefault="00DE7DB9" w:rsidP="00ED48A3">
      <w:pPr>
        <w:pStyle w:val="Paragraph"/>
        <w:keepNext/>
        <w:spacing w:after="0" w:line="240" w:lineRule="auto"/>
        <w:ind w:left="567"/>
        <w:jc w:val="center"/>
        <w:rPr>
          <w:del w:id="2348" w:author="AbbVie1" w:date="2025-05-13T09:50:00Z"/>
          <w:b/>
          <w:sz w:val="22"/>
          <w:szCs w:val="22"/>
          <w:lang w:val="cs-CZ"/>
        </w:rPr>
      </w:pPr>
    </w:p>
    <w:tbl>
      <w:tblPr>
        <w:tblW w:w="7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2084"/>
        <w:gridCol w:w="2379"/>
      </w:tblGrid>
      <w:tr w:rsidR="00534A2D" w14:paraId="6211296C" w14:textId="77777777" w:rsidTr="008D783A">
        <w:trPr>
          <w:tblHeader/>
          <w:jc w:val="center"/>
          <w:del w:id="2349" w:author="AbbVie1" w:date="2025-05-13T09:50:00Z"/>
        </w:trPr>
        <w:tc>
          <w:tcPr>
            <w:tcW w:w="1437" w:type="dxa"/>
            <w:shd w:val="clear" w:color="auto" w:fill="auto"/>
            <w:vAlign w:val="bottom"/>
          </w:tcPr>
          <w:p w14:paraId="382CAD5C" w14:textId="77777777" w:rsidR="00DE7DB9" w:rsidRPr="001B4A02" w:rsidRDefault="00DE7DB9" w:rsidP="00ED48A3">
            <w:pPr>
              <w:pStyle w:val="TableLeft"/>
              <w:spacing w:before="0" w:after="0" w:line="240" w:lineRule="auto"/>
              <w:rPr>
                <w:del w:id="2350" w:author="AbbVie1" w:date="2025-05-13T09:50:00Z"/>
                <w:b/>
                <w:sz w:val="22"/>
                <w:szCs w:val="22"/>
                <w:lang w:val="cs-CZ"/>
              </w:rPr>
            </w:pPr>
          </w:p>
        </w:tc>
        <w:tc>
          <w:tcPr>
            <w:tcW w:w="1980" w:type="dxa"/>
            <w:shd w:val="clear" w:color="auto" w:fill="auto"/>
            <w:vAlign w:val="bottom"/>
          </w:tcPr>
          <w:p w14:paraId="25037F69" w14:textId="77777777" w:rsidR="00DE7DB9" w:rsidRPr="001B4A02" w:rsidRDefault="00000000" w:rsidP="00892469">
            <w:pPr>
              <w:pStyle w:val="TableLeft"/>
              <w:spacing w:before="0" w:after="0" w:line="240" w:lineRule="auto"/>
              <w:jc w:val="center"/>
              <w:rPr>
                <w:del w:id="2351" w:author="AbbVie1" w:date="2025-05-13T09:50:00Z"/>
                <w:b/>
                <w:sz w:val="22"/>
                <w:szCs w:val="22"/>
                <w:lang w:val="cs-CZ"/>
              </w:rPr>
            </w:pPr>
            <w:del w:id="2352" w:author="AbbVie1" w:date="2025-05-13T09:50:00Z">
              <w:r w:rsidRPr="001B4A02">
                <w:rPr>
                  <w:rFonts w:eastAsia="Times New Roman"/>
                  <w:b/>
                  <w:bCs/>
                  <w:sz w:val="22"/>
                  <w:szCs w:val="22"/>
                  <w:lang w:val="cs-CZ"/>
                </w:rPr>
                <w:delText>Placebo</w:delText>
              </w:r>
              <w:r w:rsidRPr="001B4A02">
                <w:rPr>
                  <w:rFonts w:eastAsia="Times New Roman"/>
                  <w:b/>
                  <w:bCs/>
                  <w:sz w:val="22"/>
                  <w:szCs w:val="22"/>
                  <w:lang w:val="cs-CZ"/>
                </w:rPr>
                <w:br/>
                <w:delText>(ukončení léčby)</w:delText>
              </w:r>
              <w:r w:rsidRPr="001B4A02">
                <w:rPr>
                  <w:rFonts w:eastAsia="Times New Roman"/>
                  <w:b/>
                  <w:bCs/>
                  <w:sz w:val="22"/>
                  <w:szCs w:val="22"/>
                  <w:lang w:val="cs-CZ"/>
                </w:rPr>
                <w:br/>
              </w:r>
              <w:r w:rsidR="00892469">
                <w:rPr>
                  <w:rFonts w:eastAsia="Times New Roman"/>
                  <w:b/>
                  <w:bCs/>
                  <w:sz w:val="22"/>
                  <w:szCs w:val="22"/>
                  <w:lang w:val="cs-CZ"/>
                </w:rPr>
                <w:delText>n</w:delText>
              </w:r>
              <w:r w:rsidRPr="001B4A02">
                <w:rPr>
                  <w:rFonts w:eastAsia="Times New Roman"/>
                  <w:b/>
                  <w:bCs/>
                  <w:sz w:val="22"/>
                  <w:szCs w:val="22"/>
                  <w:lang w:val="cs-CZ"/>
                </w:rPr>
                <w:delText>=73</w:delText>
              </w:r>
            </w:del>
          </w:p>
        </w:tc>
        <w:tc>
          <w:tcPr>
            <w:tcW w:w="2084" w:type="dxa"/>
            <w:shd w:val="clear" w:color="auto" w:fill="auto"/>
            <w:vAlign w:val="bottom"/>
          </w:tcPr>
          <w:p w14:paraId="123BA295" w14:textId="77777777" w:rsidR="00DE7DB9" w:rsidRPr="001B4A02" w:rsidRDefault="00000000" w:rsidP="00892469">
            <w:pPr>
              <w:pStyle w:val="TableLeft"/>
              <w:spacing w:before="0" w:after="0" w:line="240" w:lineRule="auto"/>
              <w:jc w:val="center"/>
              <w:rPr>
                <w:del w:id="2353" w:author="AbbVie1" w:date="2025-05-13T09:50:00Z"/>
                <w:b/>
                <w:sz w:val="22"/>
                <w:szCs w:val="22"/>
                <w:lang w:val="cs-CZ"/>
              </w:rPr>
            </w:pPr>
            <w:del w:id="2354" w:author="AbbVie1" w:date="2025-05-13T09:50:00Z">
              <w:r w:rsidRPr="001B4A02">
                <w:rPr>
                  <w:rFonts w:eastAsia="Times New Roman"/>
                  <w:b/>
                  <w:bCs/>
                  <w:sz w:val="22"/>
                  <w:szCs w:val="22"/>
                  <w:lang w:val="cs-CZ"/>
                </w:rPr>
                <w:delText>Humira 40</w:delText>
              </w:r>
              <w:r w:rsidR="00294902">
                <w:rPr>
                  <w:rFonts w:eastAsia="Times New Roman"/>
                  <w:b/>
                  <w:bCs/>
                  <w:sz w:val="22"/>
                  <w:szCs w:val="22"/>
                  <w:lang w:val="cs-CZ"/>
                </w:rPr>
                <w:delText> mg</w:delText>
              </w:r>
              <w:r w:rsidRPr="001B4A02">
                <w:rPr>
                  <w:rFonts w:eastAsia="Times New Roman"/>
                  <w:b/>
                  <w:bCs/>
                  <w:sz w:val="22"/>
                  <w:szCs w:val="22"/>
                  <w:lang w:val="cs-CZ"/>
                </w:rPr>
                <w:br/>
                <w:delText>každý druhý týden</w:delText>
              </w:r>
              <w:r w:rsidRPr="001B4A02">
                <w:rPr>
                  <w:rFonts w:eastAsia="Times New Roman"/>
                  <w:b/>
                  <w:bCs/>
                  <w:sz w:val="22"/>
                  <w:szCs w:val="22"/>
                  <w:lang w:val="cs-CZ"/>
                </w:rPr>
                <w:br/>
              </w:r>
              <w:r w:rsidR="00892469">
                <w:rPr>
                  <w:rFonts w:eastAsia="Times New Roman"/>
                  <w:b/>
                  <w:bCs/>
                  <w:sz w:val="22"/>
                  <w:szCs w:val="22"/>
                  <w:lang w:val="cs-CZ"/>
                </w:rPr>
                <w:delText>n</w:delText>
              </w:r>
              <w:r w:rsidRPr="001B4A02">
                <w:rPr>
                  <w:rFonts w:eastAsia="Times New Roman"/>
                  <w:b/>
                  <w:bCs/>
                  <w:sz w:val="22"/>
                  <w:szCs w:val="22"/>
                  <w:lang w:val="cs-CZ"/>
                </w:rPr>
                <w:delText>=70</w:delText>
              </w:r>
            </w:del>
          </w:p>
        </w:tc>
        <w:tc>
          <w:tcPr>
            <w:tcW w:w="2379" w:type="dxa"/>
            <w:shd w:val="clear" w:color="auto" w:fill="auto"/>
            <w:vAlign w:val="bottom"/>
          </w:tcPr>
          <w:p w14:paraId="14D8F3E4" w14:textId="77777777" w:rsidR="00DE7DB9" w:rsidRPr="001B4A02" w:rsidRDefault="00000000" w:rsidP="00892469">
            <w:pPr>
              <w:pStyle w:val="TableLeft"/>
              <w:spacing w:before="0" w:after="0" w:line="240" w:lineRule="auto"/>
              <w:jc w:val="center"/>
              <w:rPr>
                <w:del w:id="2355" w:author="AbbVie1" w:date="2025-05-13T09:50:00Z"/>
                <w:b/>
                <w:sz w:val="22"/>
                <w:szCs w:val="22"/>
                <w:lang w:val="cs-CZ"/>
              </w:rPr>
            </w:pPr>
            <w:del w:id="2356" w:author="AbbVie1" w:date="2025-05-13T09:50:00Z">
              <w:r w:rsidRPr="001B4A02">
                <w:rPr>
                  <w:rFonts w:eastAsia="Times New Roman"/>
                  <w:b/>
                  <w:bCs/>
                  <w:sz w:val="22"/>
                  <w:szCs w:val="22"/>
                  <w:lang w:val="cs-CZ"/>
                </w:rPr>
                <w:delText>Humira 40</w:delText>
              </w:r>
              <w:r w:rsidR="00294902">
                <w:rPr>
                  <w:rFonts w:eastAsia="Times New Roman"/>
                  <w:b/>
                  <w:bCs/>
                  <w:sz w:val="22"/>
                  <w:szCs w:val="22"/>
                  <w:lang w:val="cs-CZ"/>
                </w:rPr>
                <w:delText> mg</w:delText>
              </w:r>
              <w:r w:rsidRPr="001B4A02">
                <w:rPr>
                  <w:rFonts w:eastAsia="Times New Roman"/>
                  <w:b/>
                  <w:bCs/>
                  <w:sz w:val="22"/>
                  <w:szCs w:val="22"/>
                  <w:lang w:val="cs-CZ"/>
                </w:rPr>
                <w:br/>
                <w:delText>jednou týdně</w:delText>
              </w:r>
              <w:r w:rsidRPr="001B4A02">
                <w:rPr>
                  <w:rFonts w:eastAsia="Times New Roman"/>
                  <w:b/>
                  <w:bCs/>
                  <w:sz w:val="22"/>
                  <w:szCs w:val="22"/>
                  <w:lang w:val="cs-CZ"/>
                </w:rPr>
                <w:br/>
              </w:r>
              <w:r w:rsidR="00892469">
                <w:rPr>
                  <w:rFonts w:eastAsia="Times New Roman"/>
                  <w:b/>
                  <w:bCs/>
                  <w:sz w:val="22"/>
                  <w:szCs w:val="22"/>
                  <w:lang w:val="cs-CZ"/>
                </w:rPr>
                <w:delText>n</w:delText>
              </w:r>
              <w:r w:rsidRPr="001B4A02">
                <w:rPr>
                  <w:rFonts w:eastAsia="Times New Roman"/>
                  <w:b/>
                  <w:bCs/>
                  <w:sz w:val="22"/>
                  <w:szCs w:val="22"/>
                  <w:lang w:val="cs-CZ"/>
                </w:rPr>
                <w:delText>=70</w:delText>
              </w:r>
            </w:del>
          </w:p>
        </w:tc>
      </w:tr>
      <w:tr w:rsidR="00534A2D" w14:paraId="759D2611" w14:textId="77777777" w:rsidTr="008D783A">
        <w:trPr>
          <w:jc w:val="center"/>
          <w:del w:id="2357" w:author="AbbVie1" w:date="2025-05-13T09:50:00Z"/>
        </w:trPr>
        <w:tc>
          <w:tcPr>
            <w:tcW w:w="1437" w:type="dxa"/>
            <w:shd w:val="clear" w:color="auto" w:fill="auto"/>
          </w:tcPr>
          <w:p w14:paraId="476F0BE5" w14:textId="77777777" w:rsidR="00DE7DB9" w:rsidRPr="001B4A02" w:rsidRDefault="00000000" w:rsidP="00ED48A3">
            <w:pPr>
              <w:pStyle w:val="TableLeft"/>
              <w:spacing w:before="0" w:after="0" w:line="240" w:lineRule="auto"/>
              <w:rPr>
                <w:del w:id="2358" w:author="AbbVie1" w:date="2025-05-13T09:50:00Z"/>
                <w:sz w:val="22"/>
                <w:szCs w:val="22"/>
                <w:lang w:val="cs-CZ"/>
              </w:rPr>
            </w:pPr>
            <w:del w:id="2359" w:author="AbbVie1" w:date="2025-05-13T09:50:00Z">
              <w:r w:rsidRPr="001B4A02">
                <w:rPr>
                  <w:rFonts w:eastAsia="Times New Roman"/>
                  <w:sz w:val="22"/>
                  <w:szCs w:val="22"/>
                  <w:lang w:val="cs-CZ"/>
                </w:rPr>
                <w:delText>Týden 24</w:delText>
              </w:r>
            </w:del>
          </w:p>
        </w:tc>
        <w:tc>
          <w:tcPr>
            <w:tcW w:w="1980" w:type="dxa"/>
            <w:shd w:val="clear" w:color="auto" w:fill="auto"/>
          </w:tcPr>
          <w:p w14:paraId="0A282D1B" w14:textId="77777777" w:rsidR="00DE7DB9" w:rsidRPr="001B4A02" w:rsidRDefault="00000000" w:rsidP="00ED48A3">
            <w:pPr>
              <w:pStyle w:val="TableLeft"/>
              <w:spacing w:before="0" w:after="0" w:line="240" w:lineRule="auto"/>
              <w:jc w:val="center"/>
              <w:rPr>
                <w:del w:id="2360" w:author="AbbVie1" w:date="2025-05-13T09:50:00Z"/>
                <w:sz w:val="22"/>
                <w:szCs w:val="22"/>
                <w:lang w:val="cs-CZ"/>
              </w:rPr>
            </w:pPr>
            <w:del w:id="2361" w:author="AbbVie1" w:date="2025-05-13T09:50:00Z">
              <w:r w:rsidRPr="001B4A02">
                <w:rPr>
                  <w:rFonts w:eastAsia="Times New Roman"/>
                  <w:sz w:val="22"/>
                  <w:szCs w:val="22"/>
                  <w:lang w:val="cs-CZ"/>
                </w:rPr>
                <w:delText>24 (32,9 %)</w:delText>
              </w:r>
            </w:del>
          </w:p>
        </w:tc>
        <w:tc>
          <w:tcPr>
            <w:tcW w:w="2084" w:type="dxa"/>
            <w:shd w:val="clear" w:color="auto" w:fill="auto"/>
          </w:tcPr>
          <w:p w14:paraId="42572147" w14:textId="77777777" w:rsidR="00DE7DB9" w:rsidRPr="001B4A02" w:rsidRDefault="00000000" w:rsidP="00ED48A3">
            <w:pPr>
              <w:pStyle w:val="TableLeft"/>
              <w:spacing w:before="0" w:after="0" w:line="240" w:lineRule="auto"/>
              <w:jc w:val="center"/>
              <w:rPr>
                <w:del w:id="2362" w:author="AbbVie1" w:date="2025-05-13T09:50:00Z"/>
                <w:sz w:val="22"/>
                <w:szCs w:val="22"/>
                <w:lang w:val="cs-CZ"/>
              </w:rPr>
            </w:pPr>
            <w:del w:id="2363" w:author="AbbVie1" w:date="2025-05-13T09:50:00Z">
              <w:r w:rsidRPr="001B4A02">
                <w:rPr>
                  <w:rFonts w:eastAsia="Times New Roman"/>
                  <w:sz w:val="22"/>
                  <w:szCs w:val="22"/>
                  <w:lang w:val="cs-CZ"/>
                </w:rPr>
                <w:delText>36 (51,4 %)</w:delText>
              </w:r>
            </w:del>
          </w:p>
        </w:tc>
        <w:tc>
          <w:tcPr>
            <w:tcW w:w="2379" w:type="dxa"/>
            <w:shd w:val="clear" w:color="auto" w:fill="auto"/>
          </w:tcPr>
          <w:p w14:paraId="23A46AAD" w14:textId="77777777" w:rsidR="00DE7DB9" w:rsidRPr="001B4A02" w:rsidRDefault="00000000" w:rsidP="00ED48A3">
            <w:pPr>
              <w:pStyle w:val="TableLeft"/>
              <w:spacing w:before="0" w:after="0" w:line="240" w:lineRule="auto"/>
              <w:jc w:val="center"/>
              <w:rPr>
                <w:del w:id="2364" w:author="AbbVie1" w:date="2025-05-13T09:50:00Z"/>
                <w:sz w:val="22"/>
                <w:szCs w:val="22"/>
                <w:lang w:val="cs-CZ"/>
              </w:rPr>
            </w:pPr>
            <w:del w:id="2365" w:author="AbbVie1" w:date="2025-05-13T09:50:00Z">
              <w:r w:rsidRPr="001B4A02">
                <w:rPr>
                  <w:rFonts w:eastAsia="Times New Roman"/>
                  <w:sz w:val="22"/>
                  <w:szCs w:val="22"/>
                  <w:lang w:val="cs-CZ"/>
                </w:rPr>
                <w:delText>40 (57,1 %)</w:delText>
              </w:r>
            </w:del>
          </w:p>
        </w:tc>
      </w:tr>
      <w:tr w:rsidR="00534A2D" w14:paraId="307280E9" w14:textId="77777777" w:rsidTr="008D783A">
        <w:trPr>
          <w:jc w:val="center"/>
          <w:del w:id="2366" w:author="AbbVie1" w:date="2025-05-13T09:50:00Z"/>
        </w:trPr>
        <w:tc>
          <w:tcPr>
            <w:tcW w:w="1437" w:type="dxa"/>
            <w:shd w:val="clear" w:color="auto" w:fill="auto"/>
          </w:tcPr>
          <w:p w14:paraId="28CA555C" w14:textId="77777777" w:rsidR="00DE7DB9" w:rsidRPr="001B4A02" w:rsidRDefault="00000000" w:rsidP="00ED48A3">
            <w:pPr>
              <w:pStyle w:val="TableLeft"/>
              <w:spacing w:before="0" w:after="0" w:line="240" w:lineRule="auto"/>
              <w:rPr>
                <w:del w:id="2367" w:author="AbbVie1" w:date="2025-05-13T09:50:00Z"/>
                <w:sz w:val="22"/>
                <w:szCs w:val="22"/>
                <w:lang w:val="cs-CZ"/>
              </w:rPr>
            </w:pPr>
            <w:del w:id="2368" w:author="AbbVie1" w:date="2025-05-13T09:50:00Z">
              <w:r w:rsidRPr="001B4A02">
                <w:rPr>
                  <w:rFonts w:eastAsia="Times New Roman"/>
                  <w:sz w:val="22"/>
                  <w:szCs w:val="22"/>
                  <w:lang w:val="cs-CZ"/>
                </w:rPr>
                <w:delText>Týden 36</w:delText>
              </w:r>
            </w:del>
          </w:p>
        </w:tc>
        <w:tc>
          <w:tcPr>
            <w:tcW w:w="1980" w:type="dxa"/>
            <w:shd w:val="clear" w:color="auto" w:fill="auto"/>
          </w:tcPr>
          <w:p w14:paraId="75397592" w14:textId="77777777" w:rsidR="00DE7DB9" w:rsidRPr="001B4A02" w:rsidRDefault="00000000" w:rsidP="00ED48A3">
            <w:pPr>
              <w:pStyle w:val="TableLeft"/>
              <w:spacing w:before="0" w:after="0" w:line="240" w:lineRule="auto"/>
              <w:jc w:val="center"/>
              <w:rPr>
                <w:del w:id="2369" w:author="AbbVie1" w:date="2025-05-13T09:50:00Z"/>
                <w:sz w:val="22"/>
                <w:szCs w:val="22"/>
                <w:lang w:val="cs-CZ"/>
              </w:rPr>
            </w:pPr>
            <w:del w:id="2370" w:author="AbbVie1" w:date="2025-05-13T09:50:00Z">
              <w:r w:rsidRPr="001B4A02">
                <w:rPr>
                  <w:rFonts w:eastAsia="Times New Roman"/>
                  <w:sz w:val="22"/>
                  <w:szCs w:val="22"/>
                  <w:lang w:val="cs-CZ"/>
                </w:rPr>
                <w:delText>22 (30,1 %)</w:delText>
              </w:r>
            </w:del>
          </w:p>
        </w:tc>
        <w:tc>
          <w:tcPr>
            <w:tcW w:w="2084" w:type="dxa"/>
            <w:shd w:val="clear" w:color="auto" w:fill="auto"/>
          </w:tcPr>
          <w:p w14:paraId="3860695C" w14:textId="77777777" w:rsidR="00DE7DB9" w:rsidRPr="001B4A02" w:rsidRDefault="00000000" w:rsidP="00ED48A3">
            <w:pPr>
              <w:pStyle w:val="TableLeft"/>
              <w:spacing w:before="0" w:after="0" w:line="240" w:lineRule="auto"/>
              <w:jc w:val="center"/>
              <w:rPr>
                <w:del w:id="2371" w:author="AbbVie1" w:date="2025-05-13T09:50:00Z"/>
                <w:sz w:val="22"/>
                <w:szCs w:val="22"/>
                <w:lang w:val="cs-CZ"/>
              </w:rPr>
            </w:pPr>
            <w:del w:id="2372" w:author="AbbVie1" w:date="2025-05-13T09:50:00Z">
              <w:r w:rsidRPr="001B4A02">
                <w:rPr>
                  <w:rFonts w:eastAsia="Times New Roman"/>
                  <w:sz w:val="22"/>
                  <w:szCs w:val="22"/>
                  <w:lang w:val="cs-CZ"/>
                </w:rPr>
                <w:delText>28 (40,0 %)</w:delText>
              </w:r>
            </w:del>
          </w:p>
        </w:tc>
        <w:tc>
          <w:tcPr>
            <w:tcW w:w="2379" w:type="dxa"/>
            <w:shd w:val="clear" w:color="auto" w:fill="auto"/>
          </w:tcPr>
          <w:p w14:paraId="65B6CA0F" w14:textId="77777777" w:rsidR="00DE7DB9" w:rsidRPr="001B4A02" w:rsidRDefault="00000000" w:rsidP="00ED48A3">
            <w:pPr>
              <w:pStyle w:val="TableLeft"/>
              <w:spacing w:before="0" w:after="0" w:line="240" w:lineRule="auto"/>
              <w:jc w:val="center"/>
              <w:rPr>
                <w:del w:id="2373" w:author="AbbVie1" w:date="2025-05-13T09:50:00Z"/>
                <w:sz w:val="22"/>
                <w:szCs w:val="22"/>
                <w:lang w:val="cs-CZ"/>
              </w:rPr>
            </w:pPr>
            <w:del w:id="2374" w:author="AbbVie1" w:date="2025-05-13T09:50:00Z">
              <w:r w:rsidRPr="001B4A02">
                <w:rPr>
                  <w:rFonts w:eastAsia="Times New Roman"/>
                  <w:sz w:val="22"/>
                  <w:szCs w:val="22"/>
                  <w:lang w:val="cs-CZ"/>
                </w:rPr>
                <w:delText>39 (55,7 %)</w:delText>
              </w:r>
            </w:del>
          </w:p>
        </w:tc>
      </w:tr>
      <w:tr w:rsidR="00534A2D" w14:paraId="4614F341" w14:textId="77777777" w:rsidTr="008D783A">
        <w:trPr>
          <w:jc w:val="center"/>
          <w:del w:id="2375" w:author="AbbVie1" w:date="2025-05-13T09:50:00Z"/>
        </w:trPr>
        <w:tc>
          <w:tcPr>
            <w:tcW w:w="7880" w:type="dxa"/>
            <w:gridSpan w:val="4"/>
            <w:shd w:val="clear" w:color="auto" w:fill="auto"/>
          </w:tcPr>
          <w:p w14:paraId="33C82DDB" w14:textId="77777777" w:rsidR="00DE7DB9" w:rsidRPr="001B4A02" w:rsidRDefault="00000000" w:rsidP="00ED48A3">
            <w:pPr>
              <w:pStyle w:val="TableFootnoteLetter"/>
              <w:keepNext/>
              <w:numPr>
                <w:ilvl w:val="0"/>
                <w:numId w:val="79"/>
              </w:numPr>
              <w:spacing w:before="0" w:line="240" w:lineRule="auto"/>
              <w:ind w:left="333" w:hanging="270"/>
              <w:rPr>
                <w:del w:id="2376" w:author="AbbVie1" w:date="2025-05-13T09:50:00Z"/>
                <w:rFonts w:ascii="Times New Roman" w:hAnsi="Times New Roman"/>
                <w:sz w:val="22"/>
                <w:szCs w:val="22"/>
                <w:lang w:val="cs-CZ"/>
              </w:rPr>
            </w:pPr>
            <w:del w:id="2377" w:author="AbbVie1" w:date="2025-05-13T09:50:00Z">
              <w:r w:rsidRPr="001B4A02">
                <w:rPr>
                  <w:rFonts w:ascii="Times New Roman" w:eastAsia="Times New Roman" w:hAnsi="Times New Roman"/>
                  <w:sz w:val="22"/>
                  <w:szCs w:val="22"/>
                  <w:lang w:val="cs-CZ"/>
                </w:rPr>
                <w:delText>Pacienti s</w:delText>
              </w:r>
              <w:r w:rsidR="00A9166E" w:rsidRPr="001B4A02">
                <w:rPr>
                  <w:rFonts w:ascii="Times New Roman" w:eastAsia="Times New Roman" w:hAnsi="Times New Roman"/>
                  <w:sz w:val="22"/>
                  <w:szCs w:val="22"/>
                  <w:lang w:val="cs-CZ"/>
                </w:rPr>
                <w:delText> </w:delText>
              </w:r>
              <w:r w:rsidRPr="001B4A02">
                <w:rPr>
                  <w:rFonts w:ascii="Times New Roman" w:eastAsia="Times New Roman" w:hAnsi="Times New Roman"/>
                  <w:sz w:val="22"/>
                  <w:szCs w:val="22"/>
                  <w:lang w:val="cs-CZ"/>
                </w:rPr>
                <w:delText>alespoň částečnou odpovědí na léčbu přípravkem Humira 40 mg jednou týdně po 12 týdnech léčby.</w:delText>
              </w:r>
            </w:del>
          </w:p>
          <w:p w14:paraId="219401C7" w14:textId="77777777" w:rsidR="00DE7DB9" w:rsidRPr="001B4A02" w:rsidRDefault="00000000" w:rsidP="00ED48A3">
            <w:pPr>
              <w:pStyle w:val="TableFootnoteLetter"/>
              <w:keepNext/>
              <w:numPr>
                <w:ilvl w:val="0"/>
                <w:numId w:val="79"/>
              </w:numPr>
              <w:spacing w:before="0" w:line="240" w:lineRule="auto"/>
              <w:ind w:left="333" w:hanging="270"/>
              <w:rPr>
                <w:del w:id="2378" w:author="AbbVie1" w:date="2025-05-13T09:50:00Z"/>
                <w:rFonts w:ascii="Times New Roman" w:hAnsi="Times New Roman"/>
                <w:sz w:val="22"/>
                <w:szCs w:val="22"/>
                <w:lang w:val="cs-CZ"/>
              </w:rPr>
            </w:pPr>
            <w:del w:id="2379" w:author="AbbVie1" w:date="2025-05-13T09:50:00Z">
              <w:r w:rsidRPr="001B4A02">
                <w:rPr>
                  <w:rFonts w:ascii="Times New Roman" w:eastAsia="Times New Roman" w:hAnsi="Times New Roman"/>
                  <w:sz w:val="22"/>
                  <w:szCs w:val="22"/>
                  <w:lang w:val="cs-CZ"/>
                </w:rPr>
                <w:delText>U pacientů vyhovujícím kritériím stanoveným v</w:delText>
              </w:r>
              <w:r w:rsidR="00EF0AF7" w:rsidRPr="001B4A02">
                <w:rPr>
                  <w:rFonts w:ascii="Times New Roman" w:eastAsia="Times New Roman" w:hAnsi="Times New Roman"/>
                  <w:sz w:val="22"/>
                  <w:szCs w:val="22"/>
                  <w:lang w:val="cs-CZ"/>
                </w:rPr>
                <w:delText> </w:delText>
              </w:r>
              <w:r w:rsidRPr="001B4A02">
                <w:rPr>
                  <w:rFonts w:ascii="Times New Roman" w:eastAsia="Times New Roman" w:hAnsi="Times New Roman"/>
                  <w:sz w:val="22"/>
                  <w:szCs w:val="22"/>
                  <w:lang w:val="cs-CZ"/>
                </w:rPr>
                <w:delText>protokolu pro ztrátu odpovědi nebo žádné zlepšení bylo požadováno vyřazení ze studie</w:delText>
              </w:r>
              <w:r w:rsidR="002378E0">
                <w:rPr>
                  <w:rFonts w:ascii="Times New Roman" w:eastAsia="Times New Roman" w:hAnsi="Times New Roman"/>
                  <w:sz w:val="22"/>
                  <w:szCs w:val="22"/>
                  <w:lang w:val="cs-CZ"/>
                </w:rPr>
                <w:delText xml:space="preserve"> a </w:delText>
              </w:r>
              <w:r w:rsidRPr="001B4A02">
                <w:rPr>
                  <w:rFonts w:ascii="Times New Roman" w:eastAsia="Times New Roman" w:hAnsi="Times New Roman"/>
                  <w:sz w:val="22"/>
                  <w:szCs w:val="22"/>
                  <w:lang w:val="cs-CZ"/>
                </w:rPr>
                <w:delText>byli započteni jako pacienti, kteří neodpovídali na léčbu</w:delText>
              </w:r>
              <w:r w:rsidR="005F6783" w:rsidRPr="001B4A02">
                <w:rPr>
                  <w:rFonts w:ascii="Times New Roman" w:eastAsia="Times New Roman" w:hAnsi="Times New Roman"/>
                  <w:sz w:val="22"/>
                  <w:szCs w:val="22"/>
                  <w:lang w:val="cs-CZ"/>
                </w:rPr>
                <w:delText>.</w:delText>
              </w:r>
            </w:del>
          </w:p>
        </w:tc>
      </w:tr>
    </w:tbl>
    <w:p w14:paraId="2CC4D4CA" w14:textId="77777777" w:rsidR="00DE7DB9" w:rsidRPr="001B4A02" w:rsidRDefault="00DE7DB9" w:rsidP="00BF3683">
      <w:pPr>
        <w:pStyle w:val="TableFootnoteLetter"/>
        <w:keepLines w:val="0"/>
        <w:numPr>
          <w:ilvl w:val="0"/>
          <w:numId w:val="0"/>
        </w:numPr>
        <w:tabs>
          <w:tab w:val="num" w:pos="720"/>
        </w:tabs>
        <w:spacing w:before="0" w:line="240" w:lineRule="auto"/>
        <w:rPr>
          <w:del w:id="2380" w:author="AbbVie1" w:date="2025-05-13T09:50:00Z"/>
          <w:rFonts w:ascii="Times New Roman" w:hAnsi="Times New Roman"/>
          <w:sz w:val="22"/>
          <w:szCs w:val="22"/>
          <w:lang w:val="cs-CZ"/>
        </w:rPr>
      </w:pPr>
    </w:p>
    <w:p w14:paraId="16240A80" w14:textId="77777777" w:rsidR="00DE7DB9" w:rsidRPr="001B4A02" w:rsidRDefault="00000000" w:rsidP="00ED48A3">
      <w:pPr>
        <w:ind w:left="0" w:firstLine="0"/>
        <w:rPr>
          <w:del w:id="2381" w:author="AbbVie1" w:date="2025-05-13T09:50:00Z"/>
          <w:szCs w:val="22"/>
        </w:rPr>
      </w:pPr>
      <w:del w:id="2382" w:author="AbbVie1" w:date="2025-05-13T09:50:00Z">
        <w:r w:rsidRPr="001B4A02">
          <w:rPr>
            <w:szCs w:val="22"/>
          </w:rPr>
          <w:delText>U pacientů, kteří měli alespoň částečnou odpověď na léčbu v</w:delText>
        </w:r>
        <w:r w:rsidR="00A9166E" w:rsidRPr="001B4A02">
          <w:rPr>
            <w:szCs w:val="22"/>
          </w:rPr>
          <w:delText> </w:delText>
        </w:r>
        <w:r w:rsidRPr="001B4A02">
          <w:rPr>
            <w:szCs w:val="22"/>
          </w:rPr>
          <w:delText>týdnu 12</w:delText>
        </w:r>
        <w:r w:rsidR="002378E0">
          <w:rPr>
            <w:szCs w:val="22"/>
          </w:rPr>
          <w:delText xml:space="preserve"> a </w:delText>
        </w:r>
        <w:r w:rsidRPr="001B4A02">
          <w:rPr>
            <w:szCs w:val="22"/>
          </w:rPr>
          <w:delText>kteří dostávali kontinuálně léčbu přípravkem Humira jednou týdně, byla v</w:delText>
        </w:r>
        <w:r w:rsidR="00A9166E" w:rsidRPr="001B4A02">
          <w:rPr>
            <w:szCs w:val="22"/>
          </w:rPr>
          <w:delText> </w:delText>
        </w:r>
        <w:r w:rsidRPr="001B4A02">
          <w:rPr>
            <w:szCs w:val="22"/>
          </w:rPr>
          <w:delText xml:space="preserve">týdnu 48 hodnota HiSCR </w:delText>
        </w:r>
        <w:r w:rsidR="00BE47E0" w:rsidRPr="001B4A02">
          <w:rPr>
            <w:szCs w:val="22"/>
          </w:rPr>
          <w:delText>68,3 %</w:delText>
        </w:r>
        <w:r w:rsidR="002378E0">
          <w:rPr>
            <w:szCs w:val="22"/>
          </w:rPr>
          <w:delText xml:space="preserve"> a </w:delText>
        </w:r>
        <w:r w:rsidR="00BE47E0" w:rsidRPr="001B4A02">
          <w:rPr>
            <w:szCs w:val="22"/>
          </w:rPr>
          <w:delText>v</w:delText>
        </w:r>
        <w:r w:rsidR="00A9166E" w:rsidRPr="001B4A02">
          <w:rPr>
            <w:szCs w:val="22"/>
          </w:rPr>
          <w:delText> </w:delText>
        </w:r>
        <w:r w:rsidR="00BE47E0" w:rsidRPr="001B4A02">
          <w:rPr>
            <w:szCs w:val="22"/>
          </w:rPr>
          <w:delText>týdnu 96 byla 65,1 %. Při dlouhodobější léčbě přípravkem Humira</w:delText>
        </w:r>
        <w:r w:rsidR="005F6783" w:rsidRPr="001B4A02">
          <w:rPr>
            <w:szCs w:val="22"/>
          </w:rPr>
          <w:delText xml:space="preserve"> </w:delText>
        </w:r>
        <w:r w:rsidR="002433F4" w:rsidRPr="001B4A02">
          <w:rPr>
            <w:szCs w:val="22"/>
          </w:rPr>
          <w:delText xml:space="preserve">v dávce </w:delText>
        </w:r>
        <w:r w:rsidR="005C30BE" w:rsidRPr="001B4A02">
          <w:rPr>
            <w:szCs w:val="22"/>
          </w:rPr>
          <w:delText>40 mg</w:delText>
        </w:r>
        <w:r w:rsidR="005F6783" w:rsidRPr="001B4A02">
          <w:rPr>
            <w:szCs w:val="22"/>
          </w:rPr>
          <w:delText xml:space="preserve"> jednou</w:delText>
        </w:r>
        <w:r w:rsidR="00BE47E0" w:rsidRPr="001B4A02">
          <w:rPr>
            <w:szCs w:val="22"/>
          </w:rPr>
          <w:delText xml:space="preserve"> týdně po dobu 96 týdnů nebyly identifikovány žádné nové </w:delText>
        </w:r>
        <w:r w:rsidR="000E342D" w:rsidRPr="001B4A02">
          <w:rPr>
            <w:szCs w:val="22"/>
          </w:rPr>
          <w:delText xml:space="preserve">bezpečnostní </w:delText>
        </w:r>
        <w:r w:rsidR="00BE47E0" w:rsidRPr="001B4A02">
          <w:rPr>
            <w:szCs w:val="22"/>
          </w:rPr>
          <w:delText>nálezy</w:delText>
        </w:r>
        <w:r w:rsidRPr="001B4A02">
          <w:rPr>
            <w:szCs w:val="22"/>
          </w:rPr>
          <w:delText>.</w:delText>
        </w:r>
      </w:del>
    </w:p>
    <w:p w14:paraId="7FB37E0E" w14:textId="77777777" w:rsidR="00B77BC4" w:rsidRPr="001B4A02" w:rsidRDefault="00B77BC4" w:rsidP="00ED48A3">
      <w:pPr>
        <w:pStyle w:val="EMEANormal"/>
        <w:tabs>
          <w:tab w:val="clear" w:pos="562"/>
          <w:tab w:val="left" w:pos="708"/>
        </w:tabs>
        <w:suppressAutoHyphens w:val="0"/>
        <w:rPr>
          <w:del w:id="2383" w:author="AbbVie1" w:date="2025-05-13T09:50:00Z"/>
          <w:szCs w:val="22"/>
          <w:bdr w:val="nil"/>
          <w:lang w:val="cs-CZ"/>
        </w:rPr>
      </w:pPr>
    </w:p>
    <w:p w14:paraId="23F7C9B6" w14:textId="77777777" w:rsidR="00294685" w:rsidRPr="001B4A02" w:rsidRDefault="00000000" w:rsidP="00ED48A3">
      <w:pPr>
        <w:pStyle w:val="EMEANormal"/>
        <w:tabs>
          <w:tab w:val="clear" w:pos="562"/>
          <w:tab w:val="left" w:pos="708"/>
        </w:tabs>
        <w:suppressAutoHyphens w:val="0"/>
        <w:rPr>
          <w:del w:id="2384" w:author="AbbVie1" w:date="2025-05-13T09:50:00Z"/>
          <w:lang w:val="cs-CZ"/>
        </w:rPr>
      </w:pPr>
      <w:del w:id="2385" w:author="AbbVie1" w:date="2025-05-13T09:50:00Z">
        <w:r w:rsidRPr="001B4A02">
          <w:rPr>
            <w:szCs w:val="22"/>
            <w:lang w:val="cs-CZ"/>
          </w:rPr>
          <w:delText>U pacientů,</w:delText>
        </w:r>
        <w:r w:rsidR="002009DF" w:rsidRPr="001B4A02">
          <w:rPr>
            <w:szCs w:val="22"/>
            <w:lang w:val="cs-CZ"/>
          </w:rPr>
          <w:delText xml:space="preserve"> u </w:delText>
        </w:r>
        <w:r w:rsidRPr="001B4A02">
          <w:rPr>
            <w:szCs w:val="22"/>
            <w:lang w:val="cs-CZ"/>
          </w:rPr>
          <w:delText>kterých byla léčba přípravkem Humira přerušena v</w:delText>
        </w:r>
        <w:r w:rsidR="00A9166E" w:rsidRPr="001B4A02">
          <w:rPr>
            <w:szCs w:val="22"/>
            <w:lang w:val="cs-CZ"/>
          </w:rPr>
          <w:delText> </w:delText>
        </w:r>
        <w:r w:rsidRPr="001B4A02">
          <w:rPr>
            <w:szCs w:val="22"/>
            <w:lang w:val="cs-CZ"/>
          </w:rPr>
          <w:delText>týdnu 12 ve studiích HS-I</w:delText>
        </w:r>
        <w:r w:rsidR="002378E0">
          <w:rPr>
            <w:szCs w:val="22"/>
            <w:lang w:val="cs-CZ"/>
          </w:rPr>
          <w:delText xml:space="preserve"> a </w:delText>
        </w:r>
        <w:r w:rsidRPr="001B4A02">
          <w:rPr>
            <w:szCs w:val="22"/>
            <w:lang w:val="cs-CZ"/>
          </w:rPr>
          <w:delText>HS-II, se hodnoty HiSCR 12 týdnů po opětovném nasazení přípravku Humira 40</w:delText>
        </w:r>
        <w:r w:rsidR="006F04BD" w:rsidRPr="001B4A02">
          <w:rPr>
            <w:szCs w:val="22"/>
            <w:lang w:val="cs-CZ"/>
          </w:rPr>
          <w:delText> </w:delText>
        </w:r>
        <w:r w:rsidRPr="001B4A02">
          <w:rPr>
            <w:szCs w:val="22"/>
            <w:lang w:val="cs-CZ"/>
          </w:rPr>
          <w:delText>mg jednou týdně vrátily na úroveň podobnou té, která byla pozorována před vysazením (56,0 %).</w:delText>
        </w:r>
      </w:del>
    </w:p>
    <w:p w14:paraId="740210DF" w14:textId="77777777" w:rsidR="002536CB" w:rsidRPr="001B4A02" w:rsidRDefault="00000000" w:rsidP="00ED48A3">
      <w:pPr>
        <w:keepNext/>
        <w:ind w:left="0" w:firstLine="0"/>
        <w:rPr>
          <w:del w:id="2386" w:author="AbbVie1" w:date="2025-05-13T09:50:00Z"/>
          <w:i/>
        </w:rPr>
      </w:pPr>
      <w:del w:id="2387" w:author="AbbVie1" w:date="2025-05-13T09:50:00Z">
        <w:r w:rsidRPr="001B4A02">
          <w:rPr>
            <w:i/>
          </w:rPr>
          <w:delText>Crohnova choroba</w:delText>
        </w:r>
        <w:r w:rsidR="002009DF" w:rsidRPr="001B4A02">
          <w:rPr>
            <w:i/>
          </w:rPr>
          <w:delText xml:space="preserve"> u </w:delText>
        </w:r>
        <w:r w:rsidRPr="001B4A02">
          <w:rPr>
            <w:i/>
          </w:rPr>
          <w:delText>dospělých pacientů</w:delText>
        </w:r>
      </w:del>
    </w:p>
    <w:p w14:paraId="0E4E3F57" w14:textId="77777777" w:rsidR="002536CB" w:rsidRPr="001B4A02" w:rsidRDefault="002536CB" w:rsidP="00ED48A3">
      <w:pPr>
        <w:keepNext/>
        <w:ind w:left="0" w:firstLine="0"/>
        <w:rPr>
          <w:del w:id="2388" w:author="AbbVie1" w:date="2025-05-13T09:50:00Z"/>
        </w:rPr>
      </w:pPr>
    </w:p>
    <w:p w14:paraId="6AE097B0" w14:textId="77777777" w:rsidR="002536CB" w:rsidRPr="001B4A02" w:rsidRDefault="00000000" w:rsidP="00BF3683">
      <w:pPr>
        <w:pStyle w:val="EMEANormal"/>
        <w:tabs>
          <w:tab w:val="clear" w:pos="562"/>
        </w:tabs>
        <w:suppressAutoHyphens w:val="0"/>
        <w:rPr>
          <w:del w:id="2389" w:author="AbbVie1" w:date="2025-05-13T09:50:00Z"/>
          <w:lang w:val="cs-CZ"/>
        </w:rPr>
      </w:pPr>
      <w:del w:id="2390" w:author="AbbVie1" w:date="2025-05-13T09:50:00Z">
        <w:r w:rsidRPr="001B4A02">
          <w:rPr>
            <w:lang w:val="cs-CZ"/>
          </w:rPr>
          <w:delText>Bezpečnost</w:delText>
        </w:r>
        <w:r w:rsidR="002378E0">
          <w:rPr>
            <w:lang w:val="cs-CZ"/>
          </w:rPr>
          <w:delText xml:space="preserve"> a </w:delText>
        </w:r>
        <w:r w:rsidRPr="001B4A02">
          <w:rPr>
            <w:lang w:val="cs-CZ"/>
          </w:rPr>
          <w:delText>účinnost přípravku Humira byla ověřena</w:delText>
        </w:r>
        <w:r w:rsidR="002009DF" w:rsidRPr="001B4A02">
          <w:rPr>
            <w:lang w:val="cs-CZ"/>
          </w:rPr>
          <w:delText xml:space="preserve"> u </w:delText>
        </w:r>
        <w:r w:rsidRPr="001B4A02">
          <w:rPr>
            <w:lang w:val="cs-CZ"/>
          </w:rPr>
          <w:delText>více než 1</w:delText>
        </w:r>
        <w:r w:rsidR="00272620" w:rsidRPr="001B4A02">
          <w:rPr>
            <w:lang w:val="cs-CZ"/>
          </w:rPr>
          <w:delText> </w:delText>
        </w:r>
        <w:r w:rsidRPr="001B4A02">
          <w:rPr>
            <w:lang w:val="cs-CZ"/>
          </w:rPr>
          <w:delText xml:space="preserve">500 pacientů se středně těžkou až těžkou aktivní Crohnovou chorobou (index aktivity Crohnovy choroby (CDAI) </w:delText>
        </w:r>
        <w:r w:rsidR="009D2A3C" w:rsidRPr="001B4A02">
          <w:rPr>
            <w:rFonts w:ascii="Symbol" w:hAnsi="Symbol"/>
            <w:lang w:val="cs-CZ"/>
          </w:rPr>
          <w:sym w:font="Symbol" w:char="F0B3"/>
        </w:r>
        <w:r w:rsidRPr="001B4A02">
          <w:rPr>
            <w:lang w:val="cs-CZ"/>
          </w:rPr>
          <w:delText> 220</w:delText>
        </w:r>
        <w:r w:rsidR="002378E0">
          <w:rPr>
            <w:lang w:val="cs-CZ"/>
          </w:rPr>
          <w:delText xml:space="preserve"> a </w:delText>
        </w:r>
        <w:r w:rsidRPr="001B4A02">
          <w:rPr>
            <w:rFonts w:ascii="Symbol" w:hAnsi="Symbol"/>
            <w:lang w:val="cs-CZ"/>
          </w:rPr>
          <w:sym w:font="Symbol" w:char="F0A3"/>
        </w:r>
        <w:r w:rsidRPr="001B4A02">
          <w:rPr>
            <w:lang w:val="cs-CZ"/>
          </w:rPr>
          <w:delText> 450) v randomizovaných, dvojitě zaslepených, placebem kontrolovaných studiích. Bylo povoleno současné podávání konstantních dávek aminosylicylátů, kortikosteroidů a/nebo imunomodulačních léků, přičemž 80</w:delText>
        </w:r>
        <w:r w:rsidR="006008CB">
          <w:rPr>
            <w:lang w:val="cs-CZ"/>
          </w:rPr>
          <w:delText> %</w:delText>
        </w:r>
        <w:r w:rsidRPr="001B4A02">
          <w:rPr>
            <w:lang w:val="cs-CZ"/>
          </w:rPr>
          <w:delText xml:space="preserve"> pacientů pokračovalo v užívání nejméně jednoho z těchto léků.</w:delText>
        </w:r>
      </w:del>
    </w:p>
    <w:p w14:paraId="452825C9" w14:textId="77777777" w:rsidR="002536CB" w:rsidRPr="001B4A02" w:rsidRDefault="002536CB" w:rsidP="00ED48A3">
      <w:pPr>
        <w:ind w:left="0" w:firstLine="0"/>
        <w:rPr>
          <w:del w:id="2391" w:author="AbbVie1" w:date="2025-05-13T09:50:00Z"/>
        </w:rPr>
      </w:pPr>
    </w:p>
    <w:p w14:paraId="303E6AC2" w14:textId="77777777" w:rsidR="002536CB" w:rsidRPr="001B4A02" w:rsidRDefault="00000000" w:rsidP="00ED48A3">
      <w:pPr>
        <w:ind w:left="0" w:firstLine="0"/>
        <w:rPr>
          <w:del w:id="2392" w:author="AbbVie1" w:date="2025-05-13T09:50:00Z"/>
        </w:rPr>
      </w:pPr>
      <w:del w:id="2393" w:author="AbbVie1" w:date="2025-05-13T09:50:00Z">
        <w:r w:rsidRPr="001B4A02">
          <w:delText xml:space="preserve">Indukce klinické remise (definovaná jako CDAI </w:delText>
        </w:r>
        <w:r w:rsidRPr="001B4A02">
          <w:rPr>
            <w:rFonts w:ascii="Symbol" w:hAnsi="Symbol"/>
          </w:rPr>
          <w:sym w:font="Symbol" w:char="F03C"/>
        </w:r>
        <w:r w:rsidRPr="001B4A02">
          <w:delText> 150) byla hodnocena ve dvou studiích, studii CD I (CLASSIC I)</w:delText>
        </w:r>
        <w:r w:rsidR="002378E0">
          <w:delText xml:space="preserve"> a </w:delText>
        </w:r>
        <w:r w:rsidRPr="001B4A02">
          <w:delText>studii CD II (GAIN). Ve studii CD I bylo 299 pacientů dosud neléčených TNF-antagonisty randomizováno do jedné ze čtyř terapeutických s</w:delText>
        </w:r>
        <w:r w:rsidR="007978AF">
          <w:delText>k</w:delText>
        </w:r>
        <w:r w:rsidRPr="001B4A02">
          <w:delText>upin; pacienti užívající placebo v týdnech 0</w:delText>
        </w:r>
        <w:r w:rsidR="002378E0">
          <w:delText xml:space="preserve"> a </w:delText>
        </w:r>
        <w:r w:rsidRPr="001B4A02">
          <w:delText xml:space="preserve">2, </w:delText>
        </w:r>
        <w:r w:rsidR="00BE7000" w:rsidRPr="001B4A02">
          <w:delText>po</w:delText>
        </w:r>
        <w:r w:rsidRPr="001B4A02">
          <w:delText>užívající přípravek Humira v dávce 160 mg v týdnu 0</w:delText>
        </w:r>
        <w:r w:rsidR="002378E0">
          <w:delText xml:space="preserve"> a </w:delText>
        </w:r>
        <w:r w:rsidRPr="001B4A02">
          <w:delText>80 mg v týdnu 2, nebo 80 mg v</w:delText>
        </w:r>
        <w:r w:rsidR="00EF0AF7" w:rsidRPr="001B4A02">
          <w:delText> </w:delText>
        </w:r>
        <w:r w:rsidRPr="001B4A02">
          <w:delText>týdnu 0</w:delText>
        </w:r>
        <w:r w:rsidR="002378E0">
          <w:delText xml:space="preserve"> a </w:delText>
        </w:r>
        <w:r w:rsidRPr="001B4A02">
          <w:delText>40 mg v týdnu 2, případně 40 mg v týdnu 0</w:delText>
        </w:r>
        <w:r w:rsidR="002378E0">
          <w:delText xml:space="preserve"> a </w:delText>
        </w:r>
        <w:r w:rsidRPr="001B4A02">
          <w:delText>20 mg týdnu 2. Ve studii CD II bylo 325 pacientů,</w:delText>
        </w:r>
        <w:r w:rsidR="002009DF" w:rsidRPr="001B4A02">
          <w:delText xml:space="preserve"> u </w:delText>
        </w:r>
        <w:r w:rsidRPr="001B4A02">
          <w:delText xml:space="preserve">kterých došlo ke ztrátě odpovědi či k rozvoji intolerance na infliximab, randomizováno do skupin, kdy </w:delText>
        </w:r>
        <w:r w:rsidR="00BE7000" w:rsidRPr="001B4A02">
          <w:delText>po</w:delText>
        </w:r>
        <w:r w:rsidRPr="001B4A02">
          <w:delText>užívali buď přípravek Humira v dávce 160 mg v týdnu 0</w:delText>
        </w:r>
        <w:r w:rsidR="002378E0">
          <w:delText xml:space="preserve"> a </w:delText>
        </w:r>
        <w:r w:rsidRPr="001B4A02">
          <w:delText>80 mg v týdnu 2</w:delText>
        </w:r>
        <w:r w:rsidR="00CA6ADE" w:rsidRPr="001B4A02">
          <w:delText>,</w:delText>
        </w:r>
        <w:r w:rsidRPr="001B4A02">
          <w:delText xml:space="preserve"> nebo placebo v týdnech 0</w:delText>
        </w:r>
        <w:r w:rsidR="002378E0">
          <w:delText xml:space="preserve"> a </w:delText>
        </w:r>
        <w:r w:rsidRPr="001B4A02">
          <w:delText>2. Primárně na léčbu neodpovídající pacienti byli ze studií vyřazení,</w:delText>
        </w:r>
        <w:r w:rsidR="002378E0">
          <w:delText xml:space="preserve"> a </w:delText>
        </w:r>
        <w:r w:rsidRPr="001B4A02">
          <w:delText>proto nebyli dále hodnoceni.</w:delText>
        </w:r>
      </w:del>
    </w:p>
    <w:p w14:paraId="65926D0A" w14:textId="77777777" w:rsidR="002536CB" w:rsidRPr="001B4A02" w:rsidRDefault="002536CB" w:rsidP="00ED48A3">
      <w:pPr>
        <w:ind w:left="0" w:firstLine="0"/>
        <w:rPr>
          <w:del w:id="2394" w:author="AbbVie1" w:date="2025-05-13T09:50:00Z"/>
        </w:rPr>
      </w:pPr>
    </w:p>
    <w:p w14:paraId="3D6E0D4C" w14:textId="77777777" w:rsidR="002536CB" w:rsidRPr="001B4A02" w:rsidRDefault="00000000" w:rsidP="00ED48A3">
      <w:pPr>
        <w:ind w:left="0" w:firstLine="0"/>
        <w:rPr>
          <w:del w:id="2395" w:author="AbbVie1" w:date="2025-05-13T09:50:00Z"/>
        </w:rPr>
      </w:pPr>
      <w:del w:id="2396" w:author="AbbVie1" w:date="2025-05-13T09:50:00Z">
        <w:r w:rsidRPr="001B4A02">
          <w:delText xml:space="preserve">Přetrvávání klinické remise bylo hodnoceno ve studii CD III (CHARM). V nezaslepené fázi studie CD III </w:delText>
        </w:r>
        <w:r w:rsidR="00BE7000" w:rsidRPr="001B4A02">
          <w:delText>po</w:delText>
        </w:r>
        <w:r w:rsidRPr="001B4A02">
          <w:delText>užívalo 854 pacientů dávku 80 mg v týdnu 0</w:delText>
        </w:r>
        <w:r w:rsidR="002378E0">
          <w:delText xml:space="preserve"> a </w:delText>
        </w:r>
        <w:r w:rsidRPr="001B4A02">
          <w:delText xml:space="preserve">40 mg v týdnu 2. V týdnu 4 byli pacienti randomizováni do skupin, kdy </w:delText>
        </w:r>
        <w:r w:rsidR="00BE7000" w:rsidRPr="001B4A02">
          <w:delText>po</w:delText>
        </w:r>
        <w:r w:rsidRPr="001B4A02">
          <w:delText xml:space="preserve">užívali buď 40 mg každý druhý týden, 40 mg každý týden nebo placebo při celkové délce trvání studie 56 týdnů. Pacienti s klinickou odpovědí na léčbu v týdnu 4 (pokles CDAI </w:delText>
        </w:r>
        <w:r w:rsidR="009D2A3C" w:rsidRPr="001B4A02">
          <w:rPr>
            <w:rFonts w:ascii="Symbol" w:hAnsi="Symbol"/>
          </w:rPr>
          <w:sym w:font="Symbol" w:char="F0B3"/>
        </w:r>
        <w:r w:rsidRPr="001B4A02">
          <w:delText> 70) byli stratifikováni</w:delText>
        </w:r>
        <w:r w:rsidR="002378E0">
          <w:delText xml:space="preserve"> a </w:delText>
        </w:r>
        <w:r w:rsidRPr="001B4A02">
          <w:delText>hodnoceni odděleně od těch, kteří v týdnu 4 klinické odpovědi nedosáhli. Snižování dávek kortikosteroidů bylo povoleno po týdnu 8.</w:delText>
        </w:r>
      </w:del>
    </w:p>
    <w:p w14:paraId="4200EF55" w14:textId="77777777" w:rsidR="002536CB" w:rsidRPr="001B4A02" w:rsidRDefault="002536CB" w:rsidP="00ED48A3">
      <w:pPr>
        <w:ind w:left="0" w:firstLine="0"/>
        <w:rPr>
          <w:del w:id="2397" w:author="AbbVie1" w:date="2025-05-13T09:50:00Z"/>
        </w:rPr>
      </w:pPr>
    </w:p>
    <w:p w14:paraId="38EA57BC" w14:textId="77777777" w:rsidR="002536CB" w:rsidRPr="001B4A02" w:rsidRDefault="00000000" w:rsidP="00ED48A3">
      <w:pPr>
        <w:ind w:left="0" w:firstLine="0"/>
        <w:rPr>
          <w:del w:id="2398" w:author="AbbVie1" w:date="2025-05-13T09:50:00Z"/>
        </w:rPr>
      </w:pPr>
      <w:del w:id="2399" w:author="AbbVie1" w:date="2025-05-13T09:50:00Z">
        <w:r w:rsidRPr="001B4A02">
          <w:delText>Indukce remise</w:delText>
        </w:r>
        <w:r w:rsidR="002378E0">
          <w:delText xml:space="preserve"> a </w:delText>
        </w:r>
        <w:r w:rsidRPr="001B4A02">
          <w:delText>četnost odpovědí ve studiích CD I</w:delText>
        </w:r>
        <w:r w:rsidR="002378E0">
          <w:delText xml:space="preserve"> a </w:delText>
        </w:r>
        <w:r w:rsidRPr="001B4A02">
          <w:delText xml:space="preserve">CD II uvádí tabulka </w:delText>
        </w:r>
        <w:r w:rsidR="00D76799">
          <w:delText>17</w:delText>
        </w:r>
        <w:r w:rsidRPr="001B4A02">
          <w:delText>.</w:delText>
        </w:r>
      </w:del>
    </w:p>
    <w:p w14:paraId="1134A88F" w14:textId="77777777" w:rsidR="002536CB" w:rsidRPr="001B4A02" w:rsidRDefault="002536CB" w:rsidP="00ED48A3">
      <w:pPr>
        <w:ind w:left="0" w:firstLine="0"/>
        <w:rPr>
          <w:del w:id="2400" w:author="AbbVie1" w:date="2025-05-13T09:50:00Z"/>
        </w:rPr>
      </w:pPr>
    </w:p>
    <w:p w14:paraId="2C332096" w14:textId="77777777" w:rsidR="003F4B5B" w:rsidRPr="001B4A02" w:rsidRDefault="00000000" w:rsidP="00BF3683">
      <w:pPr>
        <w:keepNext/>
        <w:ind w:left="0" w:firstLine="0"/>
        <w:jc w:val="center"/>
        <w:rPr>
          <w:del w:id="2401" w:author="AbbVie1" w:date="2025-05-13T09:50:00Z"/>
          <w:b/>
          <w:bCs/>
        </w:rPr>
      </w:pPr>
      <w:del w:id="2402" w:author="AbbVie1" w:date="2025-05-13T09:50:00Z">
        <w:r w:rsidRPr="001B4A02">
          <w:rPr>
            <w:b/>
            <w:bCs/>
          </w:rPr>
          <w:delText xml:space="preserve">Tabulka </w:delText>
        </w:r>
        <w:r w:rsidR="00D76799">
          <w:rPr>
            <w:b/>
            <w:bCs/>
          </w:rPr>
          <w:delText>17</w:delText>
        </w:r>
      </w:del>
    </w:p>
    <w:p w14:paraId="4075DB88" w14:textId="77777777" w:rsidR="002536CB" w:rsidRPr="001B4A02" w:rsidRDefault="00000000" w:rsidP="00BF3683">
      <w:pPr>
        <w:keepNext/>
        <w:ind w:left="0" w:firstLine="0"/>
        <w:jc w:val="center"/>
        <w:rPr>
          <w:del w:id="2403" w:author="AbbVie1" w:date="2025-05-13T09:50:00Z"/>
          <w:b/>
          <w:bCs/>
        </w:rPr>
      </w:pPr>
      <w:del w:id="2404" w:author="AbbVie1" w:date="2025-05-13T09:50:00Z">
        <w:r w:rsidRPr="001B4A02">
          <w:rPr>
            <w:b/>
            <w:bCs/>
          </w:rPr>
          <w:delText>Indukce klinické remise</w:delText>
        </w:r>
        <w:r w:rsidR="002378E0">
          <w:rPr>
            <w:b/>
            <w:bCs/>
          </w:rPr>
          <w:delText xml:space="preserve"> a </w:delText>
        </w:r>
        <w:r w:rsidR="00BF6529" w:rsidRPr="001B4A02">
          <w:rPr>
            <w:b/>
            <w:bCs/>
          </w:rPr>
          <w:delText>odpověd</w:delText>
        </w:r>
        <w:r w:rsidR="00BF6529">
          <w:rPr>
            <w:b/>
            <w:bCs/>
          </w:rPr>
          <w:delText>i</w:delText>
        </w:r>
      </w:del>
    </w:p>
    <w:p w14:paraId="0473BD5D" w14:textId="77777777" w:rsidR="002536CB" w:rsidRPr="001B4A02" w:rsidRDefault="00000000" w:rsidP="00BF3683">
      <w:pPr>
        <w:keepNext/>
        <w:ind w:left="0" w:firstLine="0"/>
        <w:jc w:val="center"/>
        <w:rPr>
          <w:del w:id="2405" w:author="AbbVie1" w:date="2025-05-13T09:50:00Z"/>
        </w:rPr>
      </w:pPr>
      <w:del w:id="2406" w:author="AbbVie1" w:date="2025-05-13T09:50:00Z">
        <w:r w:rsidRPr="001B4A02">
          <w:rPr>
            <w:b/>
            <w:bCs/>
          </w:rPr>
          <w:delText>(Procento pacientů)</w:delText>
        </w:r>
      </w:del>
    </w:p>
    <w:p w14:paraId="67343ACD" w14:textId="77777777" w:rsidR="002536CB" w:rsidRPr="001B4A02" w:rsidRDefault="002536CB" w:rsidP="00BF3683">
      <w:pPr>
        <w:keepNext/>
        <w:ind w:left="0" w:firstLine="0"/>
        <w:rPr>
          <w:del w:id="2407" w:author="AbbVie1" w:date="2025-05-13T09:50:00Z"/>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71"/>
        <w:gridCol w:w="1299"/>
        <w:gridCol w:w="1535"/>
        <w:gridCol w:w="1535"/>
        <w:gridCol w:w="1535"/>
        <w:gridCol w:w="1536"/>
      </w:tblGrid>
      <w:tr w:rsidR="00534A2D" w14:paraId="5631816C" w14:textId="77777777" w:rsidTr="008D783A">
        <w:trPr>
          <w:del w:id="2408" w:author="AbbVie1" w:date="2025-05-13T09:50:00Z"/>
        </w:trPr>
        <w:tc>
          <w:tcPr>
            <w:tcW w:w="1771" w:type="dxa"/>
            <w:tcBorders>
              <w:top w:val="single" w:sz="4" w:space="0" w:color="auto"/>
              <w:left w:val="single" w:sz="4" w:space="0" w:color="auto"/>
              <w:bottom w:val="single" w:sz="4" w:space="0" w:color="auto"/>
              <w:right w:val="single" w:sz="4" w:space="0" w:color="auto"/>
            </w:tcBorders>
          </w:tcPr>
          <w:p w14:paraId="59C0B625" w14:textId="77777777" w:rsidR="002536CB" w:rsidRPr="001B4A02" w:rsidRDefault="002536CB" w:rsidP="00ED48A3">
            <w:pPr>
              <w:ind w:left="0" w:firstLine="0"/>
              <w:jc w:val="center"/>
              <w:rPr>
                <w:del w:id="2409" w:author="AbbVie1" w:date="2025-05-13T09:50:00Z"/>
              </w:rPr>
            </w:pPr>
          </w:p>
        </w:tc>
        <w:tc>
          <w:tcPr>
            <w:tcW w:w="4369" w:type="dxa"/>
            <w:gridSpan w:val="3"/>
            <w:tcBorders>
              <w:top w:val="single" w:sz="4" w:space="0" w:color="auto"/>
              <w:left w:val="single" w:sz="4" w:space="0" w:color="auto"/>
              <w:bottom w:val="single" w:sz="4" w:space="0" w:color="auto"/>
              <w:right w:val="single" w:sz="4" w:space="0" w:color="auto"/>
            </w:tcBorders>
          </w:tcPr>
          <w:p w14:paraId="511883F4" w14:textId="77777777" w:rsidR="002536CB" w:rsidRPr="001B4A02" w:rsidRDefault="00000000" w:rsidP="00ED48A3">
            <w:pPr>
              <w:pStyle w:val="EMEANormal"/>
              <w:tabs>
                <w:tab w:val="clear" w:pos="562"/>
                <w:tab w:val="left" w:pos="708"/>
              </w:tabs>
              <w:suppressAutoHyphens w:val="0"/>
              <w:jc w:val="center"/>
              <w:rPr>
                <w:del w:id="2410" w:author="AbbVie1" w:date="2025-05-13T09:50:00Z"/>
                <w:b/>
                <w:bCs/>
                <w:lang w:val="cs-CZ"/>
              </w:rPr>
            </w:pPr>
            <w:del w:id="2411" w:author="AbbVie1" w:date="2025-05-13T09:50:00Z">
              <w:r w:rsidRPr="001B4A02">
                <w:rPr>
                  <w:b/>
                  <w:bCs/>
                  <w:lang w:val="cs-CZ"/>
                </w:rPr>
                <w:delText>Studie CD I: Pacienti dosud neléčení infliximabem</w:delText>
              </w:r>
            </w:del>
          </w:p>
        </w:tc>
        <w:tc>
          <w:tcPr>
            <w:tcW w:w="3071" w:type="dxa"/>
            <w:gridSpan w:val="2"/>
            <w:tcBorders>
              <w:top w:val="single" w:sz="4" w:space="0" w:color="auto"/>
              <w:left w:val="single" w:sz="4" w:space="0" w:color="auto"/>
              <w:bottom w:val="single" w:sz="4" w:space="0" w:color="auto"/>
              <w:right w:val="single" w:sz="4" w:space="0" w:color="auto"/>
            </w:tcBorders>
          </w:tcPr>
          <w:p w14:paraId="348B11AA" w14:textId="77777777" w:rsidR="002536CB" w:rsidRPr="001B4A02" w:rsidRDefault="00000000" w:rsidP="00ED48A3">
            <w:pPr>
              <w:ind w:left="0" w:firstLine="0"/>
              <w:jc w:val="center"/>
              <w:rPr>
                <w:del w:id="2412" w:author="AbbVie1" w:date="2025-05-13T09:50:00Z"/>
                <w:b/>
                <w:bCs/>
              </w:rPr>
            </w:pPr>
            <w:del w:id="2413" w:author="AbbVie1" w:date="2025-05-13T09:50:00Z">
              <w:r w:rsidRPr="001B4A02">
                <w:rPr>
                  <w:b/>
                  <w:bCs/>
                </w:rPr>
                <w:delText>Studie CD: Pacienti dříve léčení infliximabem</w:delText>
              </w:r>
            </w:del>
          </w:p>
        </w:tc>
      </w:tr>
      <w:tr w:rsidR="00534A2D" w14:paraId="5365360B" w14:textId="77777777" w:rsidTr="008D783A">
        <w:trPr>
          <w:del w:id="2414" w:author="AbbVie1" w:date="2025-05-13T09:50:00Z"/>
        </w:trPr>
        <w:tc>
          <w:tcPr>
            <w:tcW w:w="1771" w:type="dxa"/>
            <w:tcBorders>
              <w:top w:val="single" w:sz="4" w:space="0" w:color="auto"/>
              <w:left w:val="single" w:sz="4" w:space="0" w:color="auto"/>
              <w:bottom w:val="single" w:sz="4" w:space="0" w:color="auto"/>
              <w:right w:val="single" w:sz="4" w:space="0" w:color="auto"/>
            </w:tcBorders>
          </w:tcPr>
          <w:p w14:paraId="443EDDD5" w14:textId="77777777" w:rsidR="002536CB" w:rsidRPr="001B4A02" w:rsidRDefault="002536CB" w:rsidP="00ED48A3">
            <w:pPr>
              <w:ind w:left="0" w:firstLine="0"/>
              <w:jc w:val="center"/>
              <w:rPr>
                <w:del w:id="2415" w:author="AbbVie1" w:date="2025-05-13T09:50:00Z"/>
              </w:rPr>
            </w:pPr>
          </w:p>
        </w:tc>
        <w:tc>
          <w:tcPr>
            <w:tcW w:w="1299" w:type="dxa"/>
            <w:tcBorders>
              <w:top w:val="single" w:sz="4" w:space="0" w:color="auto"/>
              <w:left w:val="single" w:sz="4" w:space="0" w:color="auto"/>
              <w:bottom w:val="single" w:sz="4" w:space="0" w:color="auto"/>
              <w:right w:val="single" w:sz="4" w:space="0" w:color="auto"/>
            </w:tcBorders>
          </w:tcPr>
          <w:p w14:paraId="3AD106CD" w14:textId="77777777" w:rsidR="002536CB" w:rsidRPr="001B4A02" w:rsidRDefault="00000000" w:rsidP="00ED48A3">
            <w:pPr>
              <w:ind w:left="0" w:firstLine="0"/>
              <w:jc w:val="center"/>
              <w:rPr>
                <w:del w:id="2416" w:author="AbbVie1" w:date="2025-05-13T09:50:00Z"/>
                <w:b/>
                <w:bCs/>
              </w:rPr>
            </w:pPr>
            <w:del w:id="2417" w:author="AbbVie1" w:date="2025-05-13T09:50:00Z">
              <w:r w:rsidRPr="001B4A02">
                <w:rPr>
                  <w:b/>
                  <w:bCs/>
                </w:rPr>
                <w:delText>Placebo</w:delText>
              </w:r>
            </w:del>
          </w:p>
          <w:p w14:paraId="7FFEB8D1" w14:textId="77777777" w:rsidR="002536CB" w:rsidRPr="001B4A02" w:rsidRDefault="00000000" w:rsidP="00ED48A3">
            <w:pPr>
              <w:ind w:left="0" w:firstLine="0"/>
              <w:jc w:val="center"/>
              <w:rPr>
                <w:del w:id="2418" w:author="AbbVie1" w:date="2025-05-13T09:50:00Z"/>
                <w:b/>
                <w:bCs/>
              </w:rPr>
            </w:pPr>
            <w:del w:id="2419" w:author="AbbVie1" w:date="2025-05-13T09:50:00Z">
              <w:r>
                <w:rPr>
                  <w:b/>
                  <w:bCs/>
                </w:rPr>
                <w:delText>n</w:delText>
              </w:r>
              <w:r w:rsidRPr="001B4A02">
                <w:rPr>
                  <w:b/>
                  <w:bCs/>
                </w:rPr>
                <w:delText>=74</w:delText>
              </w:r>
            </w:del>
          </w:p>
        </w:tc>
        <w:tc>
          <w:tcPr>
            <w:tcW w:w="1535" w:type="dxa"/>
            <w:tcBorders>
              <w:top w:val="single" w:sz="4" w:space="0" w:color="auto"/>
              <w:left w:val="single" w:sz="4" w:space="0" w:color="auto"/>
              <w:bottom w:val="single" w:sz="4" w:space="0" w:color="auto"/>
              <w:right w:val="single" w:sz="4" w:space="0" w:color="auto"/>
            </w:tcBorders>
          </w:tcPr>
          <w:p w14:paraId="6A051BAA" w14:textId="77777777" w:rsidR="002536CB" w:rsidRPr="001B4A02" w:rsidRDefault="00000000" w:rsidP="00ED48A3">
            <w:pPr>
              <w:ind w:left="0" w:firstLine="0"/>
              <w:jc w:val="center"/>
              <w:rPr>
                <w:del w:id="2420" w:author="AbbVie1" w:date="2025-05-13T09:50:00Z"/>
                <w:b/>
                <w:bCs/>
              </w:rPr>
            </w:pPr>
            <w:del w:id="2421" w:author="AbbVie1" w:date="2025-05-13T09:50:00Z">
              <w:r w:rsidRPr="001B4A02">
                <w:rPr>
                  <w:b/>
                  <w:bCs/>
                </w:rPr>
                <w:delText>Humira 80/40 mg</w:delText>
              </w:r>
            </w:del>
          </w:p>
          <w:p w14:paraId="61033EC5" w14:textId="77777777" w:rsidR="002536CB" w:rsidRPr="001B4A02" w:rsidRDefault="00000000" w:rsidP="00ED48A3">
            <w:pPr>
              <w:ind w:left="0" w:firstLine="0"/>
              <w:jc w:val="center"/>
              <w:rPr>
                <w:del w:id="2422" w:author="AbbVie1" w:date="2025-05-13T09:50:00Z"/>
                <w:b/>
                <w:bCs/>
              </w:rPr>
            </w:pPr>
            <w:del w:id="2423" w:author="AbbVie1" w:date="2025-05-13T09:50:00Z">
              <w:r>
                <w:rPr>
                  <w:b/>
                  <w:bCs/>
                </w:rPr>
                <w:delText>n</w:delText>
              </w:r>
              <w:r w:rsidRPr="001B4A02">
                <w:rPr>
                  <w:b/>
                  <w:bCs/>
                </w:rPr>
                <w:delText>=75</w:delText>
              </w:r>
            </w:del>
          </w:p>
        </w:tc>
        <w:tc>
          <w:tcPr>
            <w:tcW w:w="1535" w:type="dxa"/>
            <w:tcBorders>
              <w:top w:val="single" w:sz="4" w:space="0" w:color="auto"/>
              <w:left w:val="single" w:sz="4" w:space="0" w:color="auto"/>
              <w:bottom w:val="single" w:sz="4" w:space="0" w:color="auto"/>
              <w:right w:val="single" w:sz="4" w:space="0" w:color="auto"/>
            </w:tcBorders>
          </w:tcPr>
          <w:p w14:paraId="548BE8A0" w14:textId="77777777" w:rsidR="002536CB" w:rsidRPr="001B4A02" w:rsidRDefault="00000000" w:rsidP="00ED48A3">
            <w:pPr>
              <w:ind w:left="0" w:firstLine="0"/>
              <w:jc w:val="center"/>
              <w:rPr>
                <w:del w:id="2424" w:author="AbbVie1" w:date="2025-05-13T09:50:00Z"/>
                <w:b/>
                <w:bCs/>
              </w:rPr>
            </w:pPr>
            <w:del w:id="2425" w:author="AbbVie1" w:date="2025-05-13T09:50:00Z">
              <w:r w:rsidRPr="001B4A02">
                <w:rPr>
                  <w:b/>
                  <w:bCs/>
                </w:rPr>
                <w:delText>Humira 160/80 mg</w:delText>
              </w:r>
            </w:del>
          </w:p>
          <w:p w14:paraId="166832E5" w14:textId="77777777" w:rsidR="002536CB" w:rsidRPr="001B4A02" w:rsidRDefault="00000000" w:rsidP="00ED48A3">
            <w:pPr>
              <w:ind w:left="0" w:firstLine="0"/>
              <w:jc w:val="center"/>
              <w:rPr>
                <w:del w:id="2426" w:author="AbbVie1" w:date="2025-05-13T09:50:00Z"/>
                <w:b/>
                <w:bCs/>
              </w:rPr>
            </w:pPr>
            <w:del w:id="2427" w:author="AbbVie1" w:date="2025-05-13T09:50:00Z">
              <w:r>
                <w:rPr>
                  <w:b/>
                  <w:bCs/>
                </w:rPr>
                <w:delText>n</w:delText>
              </w:r>
              <w:r w:rsidRPr="001B4A02">
                <w:rPr>
                  <w:b/>
                  <w:bCs/>
                </w:rPr>
                <w:delText>=76</w:delText>
              </w:r>
            </w:del>
          </w:p>
        </w:tc>
        <w:tc>
          <w:tcPr>
            <w:tcW w:w="1535" w:type="dxa"/>
            <w:tcBorders>
              <w:top w:val="single" w:sz="4" w:space="0" w:color="auto"/>
              <w:left w:val="single" w:sz="4" w:space="0" w:color="auto"/>
              <w:bottom w:val="single" w:sz="4" w:space="0" w:color="auto"/>
              <w:right w:val="single" w:sz="4" w:space="0" w:color="auto"/>
            </w:tcBorders>
          </w:tcPr>
          <w:p w14:paraId="36753CD4" w14:textId="77777777" w:rsidR="002536CB" w:rsidRPr="001B4A02" w:rsidRDefault="00000000" w:rsidP="00ED48A3">
            <w:pPr>
              <w:ind w:left="0" w:firstLine="0"/>
              <w:jc w:val="center"/>
              <w:rPr>
                <w:del w:id="2428" w:author="AbbVie1" w:date="2025-05-13T09:50:00Z"/>
                <w:b/>
                <w:bCs/>
              </w:rPr>
            </w:pPr>
            <w:del w:id="2429" w:author="AbbVie1" w:date="2025-05-13T09:50:00Z">
              <w:r w:rsidRPr="001B4A02">
                <w:rPr>
                  <w:b/>
                  <w:bCs/>
                </w:rPr>
                <w:delText>Placebo</w:delText>
              </w:r>
            </w:del>
          </w:p>
          <w:p w14:paraId="4AAB6F5A" w14:textId="77777777" w:rsidR="002536CB" w:rsidRPr="001B4A02" w:rsidRDefault="00000000" w:rsidP="00ED48A3">
            <w:pPr>
              <w:ind w:left="0" w:firstLine="0"/>
              <w:jc w:val="center"/>
              <w:rPr>
                <w:del w:id="2430" w:author="AbbVie1" w:date="2025-05-13T09:50:00Z"/>
                <w:b/>
                <w:bCs/>
              </w:rPr>
            </w:pPr>
            <w:del w:id="2431" w:author="AbbVie1" w:date="2025-05-13T09:50:00Z">
              <w:r>
                <w:rPr>
                  <w:b/>
                  <w:bCs/>
                </w:rPr>
                <w:delText>n</w:delText>
              </w:r>
              <w:r w:rsidRPr="001B4A02">
                <w:rPr>
                  <w:b/>
                  <w:bCs/>
                </w:rPr>
                <w:delText>=166</w:delText>
              </w:r>
            </w:del>
          </w:p>
        </w:tc>
        <w:tc>
          <w:tcPr>
            <w:tcW w:w="1536" w:type="dxa"/>
            <w:tcBorders>
              <w:top w:val="single" w:sz="4" w:space="0" w:color="auto"/>
              <w:left w:val="single" w:sz="4" w:space="0" w:color="auto"/>
              <w:bottom w:val="single" w:sz="4" w:space="0" w:color="auto"/>
              <w:right w:val="single" w:sz="4" w:space="0" w:color="auto"/>
            </w:tcBorders>
          </w:tcPr>
          <w:p w14:paraId="2DDB9D79" w14:textId="77777777" w:rsidR="002536CB" w:rsidRPr="001B4A02" w:rsidRDefault="00000000" w:rsidP="00ED48A3">
            <w:pPr>
              <w:ind w:left="0" w:firstLine="0"/>
              <w:jc w:val="center"/>
              <w:rPr>
                <w:del w:id="2432" w:author="AbbVie1" w:date="2025-05-13T09:50:00Z"/>
                <w:b/>
                <w:bCs/>
              </w:rPr>
            </w:pPr>
            <w:del w:id="2433" w:author="AbbVie1" w:date="2025-05-13T09:50:00Z">
              <w:r w:rsidRPr="001B4A02">
                <w:rPr>
                  <w:b/>
                  <w:bCs/>
                </w:rPr>
                <w:delText>Humira 160/80 mg</w:delText>
              </w:r>
            </w:del>
          </w:p>
          <w:p w14:paraId="5D34F343" w14:textId="77777777" w:rsidR="002536CB" w:rsidRPr="001B4A02" w:rsidRDefault="00000000" w:rsidP="00ED48A3">
            <w:pPr>
              <w:ind w:left="0" w:firstLine="0"/>
              <w:jc w:val="center"/>
              <w:rPr>
                <w:del w:id="2434" w:author="AbbVie1" w:date="2025-05-13T09:50:00Z"/>
                <w:b/>
                <w:bCs/>
              </w:rPr>
            </w:pPr>
            <w:del w:id="2435" w:author="AbbVie1" w:date="2025-05-13T09:50:00Z">
              <w:r>
                <w:rPr>
                  <w:b/>
                  <w:bCs/>
                </w:rPr>
                <w:delText>n</w:delText>
              </w:r>
              <w:r w:rsidRPr="001B4A02">
                <w:rPr>
                  <w:b/>
                  <w:bCs/>
                </w:rPr>
                <w:delText>=159</w:delText>
              </w:r>
            </w:del>
          </w:p>
        </w:tc>
      </w:tr>
      <w:tr w:rsidR="00534A2D" w14:paraId="6FB56AA3" w14:textId="77777777" w:rsidTr="008D783A">
        <w:trPr>
          <w:del w:id="2436" w:author="AbbVie1" w:date="2025-05-13T09:50:00Z"/>
        </w:trPr>
        <w:tc>
          <w:tcPr>
            <w:tcW w:w="1771" w:type="dxa"/>
            <w:tcBorders>
              <w:top w:val="single" w:sz="4" w:space="0" w:color="auto"/>
              <w:left w:val="single" w:sz="4" w:space="0" w:color="auto"/>
              <w:bottom w:val="single" w:sz="4" w:space="0" w:color="auto"/>
              <w:right w:val="single" w:sz="4" w:space="0" w:color="auto"/>
            </w:tcBorders>
          </w:tcPr>
          <w:p w14:paraId="6CD722A1" w14:textId="77777777" w:rsidR="002536CB" w:rsidRPr="001B4A02" w:rsidRDefault="00000000" w:rsidP="00ED48A3">
            <w:pPr>
              <w:pStyle w:val="EMEANormal"/>
              <w:tabs>
                <w:tab w:val="clear" w:pos="562"/>
              </w:tabs>
              <w:suppressAutoHyphens w:val="0"/>
              <w:rPr>
                <w:del w:id="2437" w:author="AbbVie1" w:date="2025-05-13T09:50:00Z"/>
                <w:lang w:val="cs-CZ"/>
              </w:rPr>
            </w:pPr>
            <w:del w:id="2438" w:author="AbbVie1" w:date="2025-05-13T09:50:00Z">
              <w:r w:rsidRPr="001B4A02">
                <w:rPr>
                  <w:lang w:val="cs-CZ"/>
                </w:rPr>
                <w:delText>Týden 4</w:delText>
              </w:r>
            </w:del>
          </w:p>
        </w:tc>
        <w:tc>
          <w:tcPr>
            <w:tcW w:w="1299" w:type="dxa"/>
            <w:tcBorders>
              <w:top w:val="single" w:sz="4" w:space="0" w:color="auto"/>
              <w:left w:val="single" w:sz="4" w:space="0" w:color="auto"/>
              <w:bottom w:val="single" w:sz="4" w:space="0" w:color="auto"/>
              <w:right w:val="single" w:sz="4" w:space="0" w:color="auto"/>
            </w:tcBorders>
          </w:tcPr>
          <w:p w14:paraId="14586424" w14:textId="77777777" w:rsidR="002536CB" w:rsidRPr="001B4A02" w:rsidRDefault="002536CB" w:rsidP="00ED48A3">
            <w:pPr>
              <w:ind w:left="0" w:firstLine="0"/>
              <w:jc w:val="center"/>
              <w:rPr>
                <w:del w:id="2439" w:author="AbbVie1" w:date="2025-05-13T09:50:00Z"/>
              </w:rPr>
            </w:pPr>
          </w:p>
        </w:tc>
        <w:tc>
          <w:tcPr>
            <w:tcW w:w="1535" w:type="dxa"/>
            <w:tcBorders>
              <w:top w:val="single" w:sz="4" w:space="0" w:color="auto"/>
              <w:left w:val="single" w:sz="4" w:space="0" w:color="auto"/>
              <w:bottom w:val="single" w:sz="4" w:space="0" w:color="auto"/>
              <w:right w:val="single" w:sz="4" w:space="0" w:color="auto"/>
            </w:tcBorders>
          </w:tcPr>
          <w:p w14:paraId="1E06710D" w14:textId="77777777" w:rsidR="002536CB" w:rsidRPr="001B4A02" w:rsidRDefault="002536CB" w:rsidP="00ED48A3">
            <w:pPr>
              <w:ind w:left="0" w:firstLine="0"/>
              <w:jc w:val="center"/>
              <w:rPr>
                <w:del w:id="2440" w:author="AbbVie1" w:date="2025-05-13T09:50:00Z"/>
              </w:rPr>
            </w:pPr>
          </w:p>
        </w:tc>
        <w:tc>
          <w:tcPr>
            <w:tcW w:w="1535" w:type="dxa"/>
            <w:tcBorders>
              <w:top w:val="single" w:sz="4" w:space="0" w:color="auto"/>
              <w:left w:val="single" w:sz="4" w:space="0" w:color="auto"/>
              <w:bottom w:val="single" w:sz="4" w:space="0" w:color="auto"/>
              <w:right w:val="single" w:sz="4" w:space="0" w:color="auto"/>
            </w:tcBorders>
          </w:tcPr>
          <w:p w14:paraId="782BCD7F" w14:textId="77777777" w:rsidR="002536CB" w:rsidRPr="001B4A02" w:rsidRDefault="002536CB" w:rsidP="00ED48A3">
            <w:pPr>
              <w:ind w:left="0" w:firstLine="0"/>
              <w:jc w:val="center"/>
              <w:rPr>
                <w:del w:id="2441" w:author="AbbVie1" w:date="2025-05-13T09:50:00Z"/>
              </w:rPr>
            </w:pPr>
          </w:p>
        </w:tc>
        <w:tc>
          <w:tcPr>
            <w:tcW w:w="1535" w:type="dxa"/>
            <w:tcBorders>
              <w:top w:val="single" w:sz="4" w:space="0" w:color="auto"/>
              <w:left w:val="single" w:sz="4" w:space="0" w:color="auto"/>
              <w:bottom w:val="single" w:sz="4" w:space="0" w:color="auto"/>
              <w:right w:val="single" w:sz="4" w:space="0" w:color="auto"/>
            </w:tcBorders>
          </w:tcPr>
          <w:p w14:paraId="43776FCE" w14:textId="77777777" w:rsidR="002536CB" w:rsidRPr="001B4A02" w:rsidRDefault="002536CB" w:rsidP="00ED48A3">
            <w:pPr>
              <w:ind w:left="0" w:firstLine="0"/>
              <w:jc w:val="center"/>
              <w:rPr>
                <w:del w:id="2442" w:author="AbbVie1" w:date="2025-05-13T09:50:00Z"/>
              </w:rPr>
            </w:pPr>
          </w:p>
        </w:tc>
        <w:tc>
          <w:tcPr>
            <w:tcW w:w="1536" w:type="dxa"/>
            <w:tcBorders>
              <w:top w:val="single" w:sz="4" w:space="0" w:color="auto"/>
              <w:left w:val="single" w:sz="4" w:space="0" w:color="auto"/>
              <w:bottom w:val="single" w:sz="4" w:space="0" w:color="auto"/>
              <w:right w:val="single" w:sz="4" w:space="0" w:color="auto"/>
            </w:tcBorders>
          </w:tcPr>
          <w:p w14:paraId="5809169D" w14:textId="77777777" w:rsidR="002536CB" w:rsidRPr="001B4A02" w:rsidRDefault="002536CB" w:rsidP="00ED48A3">
            <w:pPr>
              <w:ind w:left="0" w:firstLine="0"/>
              <w:jc w:val="center"/>
              <w:rPr>
                <w:del w:id="2443" w:author="AbbVie1" w:date="2025-05-13T09:50:00Z"/>
              </w:rPr>
            </w:pPr>
          </w:p>
        </w:tc>
      </w:tr>
      <w:tr w:rsidR="00534A2D" w14:paraId="0B61CF82" w14:textId="77777777" w:rsidTr="008D783A">
        <w:trPr>
          <w:del w:id="2444" w:author="AbbVie1" w:date="2025-05-13T09:50:00Z"/>
        </w:trPr>
        <w:tc>
          <w:tcPr>
            <w:tcW w:w="1771" w:type="dxa"/>
            <w:tcBorders>
              <w:top w:val="single" w:sz="4" w:space="0" w:color="auto"/>
              <w:left w:val="single" w:sz="4" w:space="0" w:color="auto"/>
              <w:bottom w:val="single" w:sz="4" w:space="0" w:color="auto"/>
              <w:right w:val="single" w:sz="4" w:space="0" w:color="auto"/>
            </w:tcBorders>
          </w:tcPr>
          <w:p w14:paraId="1DC8D4BF" w14:textId="77777777" w:rsidR="002536CB" w:rsidRPr="001B4A02" w:rsidRDefault="00000000" w:rsidP="00ED48A3">
            <w:pPr>
              <w:ind w:left="0" w:firstLine="0"/>
              <w:rPr>
                <w:del w:id="2445" w:author="AbbVie1" w:date="2025-05-13T09:50:00Z"/>
              </w:rPr>
            </w:pPr>
            <w:del w:id="2446" w:author="AbbVie1" w:date="2025-05-13T09:50:00Z">
              <w:r w:rsidRPr="001B4A02">
                <w:delText>Klinická remise</w:delText>
              </w:r>
            </w:del>
          </w:p>
        </w:tc>
        <w:tc>
          <w:tcPr>
            <w:tcW w:w="1299" w:type="dxa"/>
            <w:tcBorders>
              <w:top w:val="single" w:sz="4" w:space="0" w:color="auto"/>
              <w:left w:val="single" w:sz="4" w:space="0" w:color="auto"/>
              <w:bottom w:val="single" w:sz="4" w:space="0" w:color="auto"/>
              <w:right w:val="single" w:sz="4" w:space="0" w:color="auto"/>
            </w:tcBorders>
          </w:tcPr>
          <w:p w14:paraId="3C965BA9" w14:textId="77777777" w:rsidR="002536CB" w:rsidRPr="001B4A02" w:rsidRDefault="00000000" w:rsidP="00ED48A3">
            <w:pPr>
              <w:ind w:left="0" w:firstLine="0"/>
              <w:jc w:val="center"/>
              <w:rPr>
                <w:del w:id="2447" w:author="AbbVie1" w:date="2025-05-13T09:50:00Z"/>
              </w:rPr>
            </w:pPr>
            <w:del w:id="2448" w:author="AbbVie1" w:date="2025-05-13T09:50:00Z">
              <w:r w:rsidRPr="001B4A02">
                <w:delText>12</w:delText>
              </w:r>
              <w:r w:rsidR="006008CB">
                <w:delText> %</w:delText>
              </w:r>
            </w:del>
          </w:p>
        </w:tc>
        <w:tc>
          <w:tcPr>
            <w:tcW w:w="1535" w:type="dxa"/>
            <w:tcBorders>
              <w:top w:val="single" w:sz="4" w:space="0" w:color="auto"/>
              <w:left w:val="single" w:sz="4" w:space="0" w:color="auto"/>
              <w:bottom w:val="single" w:sz="4" w:space="0" w:color="auto"/>
              <w:right w:val="single" w:sz="4" w:space="0" w:color="auto"/>
            </w:tcBorders>
          </w:tcPr>
          <w:p w14:paraId="6F4725AD" w14:textId="77777777" w:rsidR="002536CB" w:rsidRPr="001B4A02" w:rsidRDefault="00000000" w:rsidP="00ED48A3">
            <w:pPr>
              <w:ind w:left="0" w:firstLine="0"/>
              <w:jc w:val="center"/>
              <w:rPr>
                <w:del w:id="2449" w:author="AbbVie1" w:date="2025-05-13T09:50:00Z"/>
              </w:rPr>
            </w:pPr>
            <w:del w:id="2450" w:author="AbbVie1" w:date="2025-05-13T09:50:00Z">
              <w:r w:rsidRPr="001B4A02">
                <w:delText>24</w:delText>
              </w:r>
              <w:r w:rsidR="009C5EAC" w:rsidRPr="001B4A02">
                <w:delText> </w:delText>
              </w:r>
              <w:r w:rsidRPr="001B4A02">
                <w:delText>%</w:delText>
              </w:r>
            </w:del>
          </w:p>
        </w:tc>
        <w:tc>
          <w:tcPr>
            <w:tcW w:w="1535" w:type="dxa"/>
            <w:tcBorders>
              <w:top w:val="single" w:sz="4" w:space="0" w:color="auto"/>
              <w:left w:val="single" w:sz="4" w:space="0" w:color="auto"/>
              <w:bottom w:val="single" w:sz="4" w:space="0" w:color="auto"/>
              <w:right w:val="single" w:sz="4" w:space="0" w:color="auto"/>
            </w:tcBorders>
          </w:tcPr>
          <w:p w14:paraId="177D6266" w14:textId="77777777" w:rsidR="002536CB" w:rsidRPr="001B4A02" w:rsidRDefault="00000000" w:rsidP="00ED48A3">
            <w:pPr>
              <w:ind w:left="0" w:firstLine="0"/>
              <w:jc w:val="center"/>
              <w:rPr>
                <w:del w:id="2451" w:author="AbbVie1" w:date="2025-05-13T09:50:00Z"/>
              </w:rPr>
            </w:pPr>
            <w:del w:id="2452" w:author="AbbVie1" w:date="2025-05-13T09:50:00Z">
              <w:r w:rsidRPr="001B4A02">
                <w:delText>36</w:delText>
              </w:r>
              <w:r w:rsidR="009C5EAC" w:rsidRPr="001B4A02">
                <w:delText> </w:delText>
              </w:r>
              <w:r w:rsidRPr="001B4A02">
                <w:delText>%</w:delText>
              </w:r>
              <w:r w:rsidRPr="001B4A02">
                <w:rPr>
                  <w:rFonts w:ascii="Symbol" w:hAnsi="Symbol"/>
                  <w:vertAlign w:val="superscript"/>
                </w:rPr>
                <w:sym w:font="Symbol" w:char="F02A"/>
              </w:r>
            </w:del>
          </w:p>
        </w:tc>
        <w:tc>
          <w:tcPr>
            <w:tcW w:w="1535" w:type="dxa"/>
            <w:tcBorders>
              <w:top w:val="single" w:sz="4" w:space="0" w:color="auto"/>
              <w:left w:val="single" w:sz="4" w:space="0" w:color="auto"/>
              <w:bottom w:val="single" w:sz="4" w:space="0" w:color="auto"/>
              <w:right w:val="single" w:sz="4" w:space="0" w:color="auto"/>
            </w:tcBorders>
          </w:tcPr>
          <w:p w14:paraId="4034A2F8" w14:textId="77777777" w:rsidR="002536CB" w:rsidRPr="001B4A02" w:rsidRDefault="00000000" w:rsidP="00ED48A3">
            <w:pPr>
              <w:ind w:left="0" w:firstLine="0"/>
              <w:jc w:val="center"/>
              <w:rPr>
                <w:del w:id="2453" w:author="AbbVie1" w:date="2025-05-13T09:50:00Z"/>
              </w:rPr>
            </w:pPr>
            <w:del w:id="2454" w:author="AbbVie1" w:date="2025-05-13T09:50:00Z">
              <w:r w:rsidRPr="001B4A02">
                <w:delText>7</w:delText>
              </w:r>
              <w:r w:rsidR="009C5EAC" w:rsidRPr="001B4A02">
                <w:delText> </w:delText>
              </w:r>
              <w:r w:rsidRPr="001B4A02">
                <w:delText>%</w:delText>
              </w:r>
            </w:del>
          </w:p>
        </w:tc>
        <w:tc>
          <w:tcPr>
            <w:tcW w:w="1536" w:type="dxa"/>
            <w:tcBorders>
              <w:top w:val="single" w:sz="4" w:space="0" w:color="auto"/>
              <w:left w:val="single" w:sz="4" w:space="0" w:color="auto"/>
              <w:bottom w:val="single" w:sz="4" w:space="0" w:color="auto"/>
              <w:right w:val="single" w:sz="4" w:space="0" w:color="auto"/>
            </w:tcBorders>
          </w:tcPr>
          <w:p w14:paraId="3E5CDB9C" w14:textId="77777777" w:rsidR="002536CB" w:rsidRPr="001B4A02" w:rsidRDefault="00000000" w:rsidP="00ED48A3">
            <w:pPr>
              <w:ind w:left="0" w:firstLine="0"/>
              <w:jc w:val="center"/>
              <w:rPr>
                <w:del w:id="2455" w:author="AbbVie1" w:date="2025-05-13T09:50:00Z"/>
              </w:rPr>
            </w:pPr>
            <w:del w:id="2456" w:author="AbbVie1" w:date="2025-05-13T09:50:00Z">
              <w:r w:rsidRPr="001B4A02">
                <w:delText>21</w:delText>
              </w:r>
              <w:r w:rsidR="009C5EAC" w:rsidRPr="001B4A02">
                <w:delText> </w:delText>
              </w:r>
              <w:r w:rsidRPr="001B4A02">
                <w:delText>%</w:delText>
              </w:r>
              <w:r w:rsidRPr="001B4A02">
                <w:rPr>
                  <w:rFonts w:ascii="Symbol" w:hAnsi="Symbol"/>
                  <w:vertAlign w:val="superscript"/>
                </w:rPr>
                <w:sym w:font="Symbol" w:char="F02A"/>
              </w:r>
            </w:del>
          </w:p>
        </w:tc>
      </w:tr>
      <w:tr w:rsidR="00534A2D" w14:paraId="278B2C01" w14:textId="77777777" w:rsidTr="008D783A">
        <w:trPr>
          <w:del w:id="2457" w:author="AbbVie1" w:date="2025-05-13T09:50:00Z"/>
        </w:trPr>
        <w:tc>
          <w:tcPr>
            <w:tcW w:w="1771" w:type="dxa"/>
            <w:tcBorders>
              <w:top w:val="single" w:sz="4" w:space="0" w:color="auto"/>
              <w:left w:val="single" w:sz="4" w:space="0" w:color="auto"/>
              <w:bottom w:val="single" w:sz="4" w:space="0" w:color="auto"/>
              <w:right w:val="single" w:sz="4" w:space="0" w:color="auto"/>
            </w:tcBorders>
          </w:tcPr>
          <w:p w14:paraId="42626DEA" w14:textId="77777777" w:rsidR="002536CB" w:rsidRPr="001B4A02" w:rsidRDefault="00000000" w:rsidP="00ED48A3">
            <w:pPr>
              <w:ind w:left="0" w:firstLine="0"/>
              <w:rPr>
                <w:del w:id="2458" w:author="AbbVie1" w:date="2025-05-13T09:50:00Z"/>
              </w:rPr>
            </w:pPr>
            <w:del w:id="2459" w:author="AbbVie1" w:date="2025-05-13T09:50:00Z">
              <w:r w:rsidRPr="001B4A02">
                <w:delText>Klinická odpověď (CR-100)</w:delText>
              </w:r>
            </w:del>
          </w:p>
        </w:tc>
        <w:tc>
          <w:tcPr>
            <w:tcW w:w="1299" w:type="dxa"/>
            <w:tcBorders>
              <w:top w:val="single" w:sz="4" w:space="0" w:color="auto"/>
              <w:left w:val="single" w:sz="4" w:space="0" w:color="auto"/>
              <w:bottom w:val="single" w:sz="4" w:space="0" w:color="auto"/>
              <w:right w:val="single" w:sz="4" w:space="0" w:color="auto"/>
            </w:tcBorders>
          </w:tcPr>
          <w:p w14:paraId="551F92FB" w14:textId="77777777" w:rsidR="002536CB" w:rsidRPr="001B4A02" w:rsidRDefault="00000000" w:rsidP="00ED48A3">
            <w:pPr>
              <w:ind w:left="0" w:firstLine="0"/>
              <w:jc w:val="center"/>
              <w:rPr>
                <w:del w:id="2460" w:author="AbbVie1" w:date="2025-05-13T09:50:00Z"/>
              </w:rPr>
            </w:pPr>
            <w:del w:id="2461" w:author="AbbVie1" w:date="2025-05-13T09:50:00Z">
              <w:r w:rsidRPr="001B4A02">
                <w:delText>24</w:delText>
              </w:r>
              <w:r w:rsidR="009C5EAC" w:rsidRPr="001B4A02">
                <w:delText> </w:delText>
              </w:r>
              <w:r w:rsidRPr="001B4A02">
                <w:delText>%</w:delText>
              </w:r>
            </w:del>
          </w:p>
        </w:tc>
        <w:tc>
          <w:tcPr>
            <w:tcW w:w="1535" w:type="dxa"/>
            <w:tcBorders>
              <w:top w:val="single" w:sz="4" w:space="0" w:color="auto"/>
              <w:left w:val="single" w:sz="4" w:space="0" w:color="auto"/>
              <w:bottom w:val="single" w:sz="4" w:space="0" w:color="auto"/>
              <w:right w:val="single" w:sz="4" w:space="0" w:color="auto"/>
            </w:tcBorders>
          </w:tcPr>
          <w:p w14:paraId="37569362" w14:textId="77777777" w:rsidR="002536CB" w:rsidRPr="001B4A02" w:rsidRDefault="00000000" w:rsidP="00ED48A3">
            <w:pPr>
              <w:ind w:left="0" w:firstLine="0"/>
              <w:jc w:val="center"/>
              <w:rPr>
                <w:del w:id="2462" w:author="AbbVie1" w:date="2025-05-13T09:50:00Z"/>
              </w:rPr>
            </w:pPr>
            <w:del w:id="2463" w:author="AbbVie1" w:date="2025-05-13T09:50:00Z">
              <w:r w:rsidRPr="001B4A02">
                <w:delText>37</w:delText>
              </w:r>
              <w:r w:rsidR="009C5EAC" w:rsidRPr="001B4A02">
                <w:delText> </w:delText>
              </w:r>
              <w:r w:rsidRPr="001B4A02">
                <w:delText>%</w:delText>
              </w:r>
            </w:del>
          </w:p>
        </w:tc>
        <w:tc>
          <w:tcPr>
            <w:tcW w:w="1535" w:type="dxa"/>
            <w:tcBorders>
              <w:top w:val="single" w:sz="4" w:space="0" w:color="auto"/>
              <w:left w:val="single" w:sz="4" w:space="0" w:color="auto"/>
              <w:bottom w:val="single" w:sz="4" w:space="0" w:color="auto"/>
              <w:right w:val="single" w:sz="4" w:space="0" w:color="auto"/>
            </w:tcBorders>
          </w:tcPr>
          <w:p w14:paraId="0F60D52C" w14:textId="77777777" w:rsidR="002536CB" w:rsidRPr="001B4A02" w:rsidRDefault="00000000" w:rsidP="00ED48A3">
            <w:pPr>
              <w:ind w:left="0" w:firstLine="0"/>
              <w:jc w:val="center"/>
              <w:rPr>
                <w:del w:id="2464" w:author="AbbVie1" w:date="2025-05-13T09:50:00Z"/>
              </w:rPr>
            </w:pPr>
            <w:del w:id="2465" w:author="AbbVie1" w:date="2025-05-13T09:50:00Z">
              <w:r w:rsidRPr="001B4A02">
                <w:delText>49</w:delText>
              </w:r>
              <w:r w:rsidR="009C5EAC" w:rsidRPr="001B4A02">
                <w:delText> </w:delText>
              </w:r>
              <w:r w:rsidRPr="001B4A02">
                <w:delText>%</w:delText>
              </w:r>
              <w:r w:rsidRPr="001B4A02">
                <w:rPr>
                  <w:rFonts w:ascii="Symbol" w:hAnsi="Symbol"/>
                  <w:vertAlign w:val="superscript"/>
                </w:rPr>
                <w:sym w:font="Symbol" w:char="F02A"/>
              </w:r>
              <w:r w:rsidRPr="001B4A02">
                <w:rPr>
                  <w:rFonts w:ascii="Symbol" w:hAnsi="Symbol"/>
                  <w:vertAlign w:val="superscript"/>
                </w:rPr>
                <w:sym w:font="Symbol" w:char="F02A"/>
              </w:r>
            </w:del>
          </w:p>
        </w:tc>
        <w:tc>
          <w:tcPr>
            <w:tcW w:w="1535" w:type="dxa"/>
            <w:tcBorders>
              <w:top w:val="single" w:sz="4" w:space="0" w:color="auto"/>
              <w:left w:val="single" w:sz="4" w:space="0" w:color="auto"/>
              <w:bottom w:val="single" w:sz="4" w:space="0" w:color="auto"/>
              <w:right w:val="single" w:sz="4" w:space="0" w:color="auto"/>
            </w:tcBorders>
          </w:tcPr>
          <w:p w14:paraId="10DE9FCD" w14:textId="77777777" w:rsidR="002536CB" w:rsidRPr="001B4A02" w:rsidRDefault="00000000" w:rsidP="00ED48A3">
            <w:pPr>
              <w:ind w:left="0" w:firstLine="0"/>
              <w:jc w:val="center"/>
              <w:rPr>
                <w:del w:id="2466" w:author="AbbVie1" w:date="2025-05-13T09:50:00Z"/>
              </w:rPr>
            </w:pPr>
            <w:del w:id="2467" w:author="AbbVie1" w:date="2025-05-13T09:50:00Z">
              <w:r w:rsidRPr="001B4A02">
                <w:delText>25</w:delText>
              </w:r>
              <w:r w:rsidR="009C5EAC" w:rsidRPr="001B4A02">
                <w:delText> </w:delText>
              </w:r>
              <w:r w:rsidRPr="001B4A02">
                <w:delText>%</w:delText>
              </w:r>
            </w:del>
          </w:p>
        </w:tc>
        <w:tc>
          <w:tcPr>
            <w:tcW w:w="1536" w:type="dxa"/>
            <w:tcBorders>
              <w:top w:val="single" w:sz="4" w:space="0" w:color="auto"/>
              <w:left w:val="single" w:sz="4" w:space="0" w:color="auto"/>
              <w:bottom w:val="single" w:sz="4" w:space="0" w:color="auto"/>
              <w:right w:val="single" w:sz="4" w:space="0" w:color="auto"/>
            </w:tcBorders>
          </w:tcPr>
          <w:p w14:paraId="47A53265" w14:textId="77777777" w:rsidR="002536CB" w:rsidRPr="001B4A02" w:rsidRDefault="00000000" w:rsidP="00ED48A3">
            <w:pPr>
              <w:ind w:left="0" w:firstLine="0"/>
              <w:jc w:val="center"/>
              <w:rPr>
                <w:del w:id="2468" w:author="AbbVie1" w:date="2025-05-13T09:50:00Z"/>
              </w:rPr>
            </w:pPr>
            <w:del w:id="2469" w:author="AbbVie1" w:date="2025-05-13T09:50:00Z">
              <w:r w:rsidRPr="001B4A02">
                <w:delText>38</w:delText>
              </w:r>
              <w:r w:rsidR="009C5EAC" w:rsidRPr="001B4A02">
                <w:delText> </w:delText>
              </w:r>
              <w:r w:rsidRPr="001B4A02">
                <w:delText>%</w:delText>
              </w:r>
              <w:r w:rsidRPr="001B4A02">
                <w:rPr>
                  <w:rFonts w:ascii="Symbol" w:hAnsi="Symbol"/>
                  <w:vertAlign w:val="superscript"/>
                </w:rPr>
                <w:sym w:font="Symbol" w:char="F02A"/>
              </w:r>
              <w:r w:rsidRPr="001B4A02">
                <w:rPr>
                  <w:rFonts w:ascii="Symbol" w:hAnsi="Symbol"/>
                  <w:vertAlign w:val="superscript"/>
                </w:rPr>
                <w:sym w:font="Symbol" w:char="F02A"/>
              </w:r>
            </w:del>
          </w:p>
        </w:tc>
      </w:tr>
    </w:tbl>
    <w:p w14:paraId="2123D7A4" w14:textId="77777777" w:rsidR="002536CB" w:rsidRPr="001B4A02" w:rsidRDefault="00000000" w:rsidP="00ED48A3">
      <w:pPr>
        <w:pStyle w:val="EMEANormal"/>
        <w:tabs>
          <w:tab w:val="clear" w:pos="562"/>
          <w:tab w:val="left" w:pos="708"/>
        </w:tabs>
        <w:suppressAutoHyphens w:val="0"/>
        <w:rPr>
          <w:del w:id="2470" w:author="AbbVie1" w:date="2025-05-13T09:50:00Z"/>
          <w:sz w:val="20"/>
          <w:lang w:val="cs-CZ"/>
        </w:rPr>
      </w:pPr>
      <w:del w:id="2471" w:author="AbbVie1" w:date="2025-05-13T09:50:00Z">
        <w:r w:rsidRPr="001B4A02">
          <w:rPr>
            <w:sz w:val="20"/>
            <w:lang w:val="cs-CZ"/>
          </w:rPr>
          <w:delText>Všechny hodnoty p slouží k párovému srovnání hodnot pro přípravek Humira versus placebo</w:delText>
        </w:r>
      </w:del>
    </w:p>
    <w:p w14:paraId="771467AC" w14:textId="77777777" w:rsidR="002536CB" w:rsidRPr="001B4A02" w:rsidRDefault="00000000" w:rsidP="00ED48A3">
      <w:pPr>
        <w:pStyle w:val="EMEANormal"/>
        <w:tabs>
          <w:tab w:val="clear" w:pos="562"/>
          <w:tab w:val="left" w:pos="708"/>
        </w:tabs>
        <w:suppressAutoHyphens w:val="0"/>
        <w:rPr>
          <w:del w:id="2472" w:author="AbbVie1" w:date="2025-05-13T09:50:00Z"/>
          <w:sz w:val="20"/>
          <w:lang w:val="cs-CZ"/>
        </w:rPr>
      </w:pPr>
      <w:del w:id="2473" w:author="AbbVie1" w:date="2025-05-13T09:50:00Z">
        <w:r w:rsidRPr="001B4A02">
          <w:rPr>
            <w:rFonts w:ascii="Symbol" w:hAnsi="Symbol"/>
            <w:sz w:val="20"/>
            <w:vertAlign w:val="superscript"/>
            <w:lang w:val="cs-CZ"/>
          </w:rPr>
          <w:sym w:font="Symbol" w:char="F02A"/>
        </w:r>
        <w:r w:rsidRPr="001B4A02">
          <w:rPr>
            <w:sz w:val="20"/>
            <w:lang w:val="cs-CZ"/>
          </w:rPr>
          <w:delText xml:space="preserve"> p </w:delText>
        </w:r>
        <w:r w:rsidRPr="001B4A02">
          <w:rPr>
            <w:rFonts w:ascii="Symbol" w:hAnsi="Symbol"/>
            <w:sz w:val="20"/>
            <w:lang w:val="cs-CZ"/>
          </w:rPr>
          <w:sym w:font="Symbol" w:char="F03C"/>
        </w:r>
        <w:r w:rsidRPr="001B4A02">
          <w:rPr>
            <w:sz w:val="20"/>
            <w:lang w:val="cs-CZ"/>
          </w:rPr>
          <w:delText xml:space="preserve"> 0,001</w:delText>
        </w:r>
      </w:del>
    </w:p>
    <w:p w14:paraId="64DA1B0E" w14:textId="77777777" w:rsidR="002536CB" w:rsidRPr="001B4A02" w:rsidRDefault="00000000" w:rsidP="00ED48A3">
      <w:pPr>
        <w:ind w:left="0" w:firstLine="0"/>
        <w:rPr>
          <w:del w:id="2474" w:author="AbbVie1" w:date="2025-05-13T09:50:00Z"/>
          <w:sz w:val="20"/>
        </w:rPr>
      </w:pPr>
      <w:del w:id="2475" w:author="AbbVie1" w:date="2025-05-13T09:50:00Z">
        <w:r w:rsidRPr="001B4A02">
          <w:rPr>
            <w:rFonts w:ascii="Symbol" w:hAnsi="Symbol"/>
            <w:sz w:val="20"/>
            <w:vertAlign w:val="superscript"/>
          </w:rPr>
          <w:sym w:font="Symbol" w:char="F02A"/>
        </w:r>
        <w:r w:rsidRPr="001B4A02">
          <w:rPr>
            <w:rFonts w:ascii="Symbol" w:hAnsi="Symbol"/>
            <w:sz w:val="20"/>
            <w:vertAlign w:val="superscript"/>
          </w:rPr>
          <w:sym w:font="Symbol" w:char="F02A"/>
        </w:r>
        <w:r w:rsidRPr="001B4A02">
          <w:rPr>
            <w:sz w:val="20"/>
          </w:rPr>
          <w:delText xml:space="preserve"> p </w:delText>
        </w:r>
        <w:r w:rsidRPr="001B4A02">
          <w:rPr>
            <w:rFonts w:ascii="Symbol" w:hAnsi="Symbol"/>
            <w:sz w:val="20"/>
          </w:rPr>
          <w:sym w:font="Symbol" w:char="F03C"/>
        </w:r>
        <w:r w:rsidRPr="001B4A02">
          <w:rPr>
            <w:sz w:val="20"/>
          </w:rPr>
          <w:delText xml:space="preserve"> 0,01</w:delText>
        </w:r>
      </w:del>
    </w:p>
    <w:p w14:paraId="1E4CE5BE" w14:textId="77777777" w:rsidR="002536CB" w:rsidRPr="001B4A02" w:rsidRDefault="002536CB" w:rsidP="00ED48A3">
      <w:pPr>
        <w:pStyle w:val="EMEANormal"/>
        <w:tabs>
          <w:tab w:val="clear" w:pos="562"/>
          <w:tab w:val="left" w:pos="708"/>
        </w:tabs>
        <w:suppressAutoHyphens w:val="0"/>
        <w:rPr>
          <w:del w:id="2476" w:author="AbbVie1" w:date="2025-05-13T09:50:00Z"/>
          <w:u w:val="single"/>
          <w:lang w:val="cs-CZ"/>
        </w:rPr>
      </w:pPr>
    </w:p>
    <w:p w14:paraId="071674F5" w14:textId="77777777" w:rsidR="002536CB" w:rsidRPr="001B4A02" w:rsidRDefault="00000000" w:rsidP="00ED48A3">
      <w:pPr>
        <w:pStyle w:val="EMEANormal"/>
        <w:tabs>
          <w:tab w:val="clear" w:pos="562"/>
          <w:tab w:val="left" w:pos="708"/>
        </w:tabs>
        <w:suppressAutoHyphens w:val="0"/>
        <w:rPr>
          <w:del w:id="2477" w:author="AbbVie1" w:date="2025-05-13T09:50:00Z"/>
          <w:lang w:val="cs-CZ"/>
        </w:rPr>
      </w:pPr>
      <w:del w:id="2478" w:author="AbbVie1" w:date="2025-05-13T09:50:00Z">
        <w:r w:rsidRPr="001B4A02">
          <w:rPr>
            <w:lang w:val="cs-CZ"/>
          </w:rPr>
          <w:delText>U obou úvodních dávkovacích schémat,</w:delText>
        </w:r>
        <w:r w:rsidR="002009DF" w:rsidRPr="001B4A02">
          <w:rPr>
            <w:lang w:val="cs-CZ"/>
          </w:rPr>
          <w:delText xml:space="preserve"> u </w:delText>
        </w:r>
        <w:r w:rsidRPr="001B4A02">
          <w:rPr>
            <w:lang w:val="cs-CZ"/>
          </w:rPr>
          <w:delText>160/80 mg i</w:delText>
        </w:r>
        <w:r w:rsidR="002009DF" w:rsidRPr="001B4A02">
          <w:rPr>
            <w:lang w:val="cs-CZ"/>
          </w:rPr>
          <w:delText xml:space="preserve"> u </w:delText>
        </w:r>
        <w:r w:rsidRPr="001B4A02">
          <w:rPr>
            <w:lang w:val="cs-CZ"/>
          </w:rPr>
          <w:delText>80/40 mg, byly v období do týdne 8 pozorovány podobné počty remisí, nežádoucí účinky byly častěji pozo</w:delText>
        </w:r>
        <w:r w:rsidR="00DA73B0" w:rsidRPr="001B4A02">
          <w:rPr>
            <w:lang w:val="cs-CZ"/>
          </w:rPr>
          <w:delText>rovány ve skupině se 160/80 mg.</w:delText>
        </w:r>
      </w:del>
    </w:p>
    <w:p w14:paraId="039180B2" w14:textId="77777777" w:rsidR="002536CB" w:rsidRPr="001B4A02" w:rsidRDefault="002536CB" w:rsidP="00ED48A3">
      <w:pPr>
        <w:pStyle w:val="EMEANormal"/>
        <w:tabs>
          <w:tab w:val="clear" w:pos="562"/>
          <w:tab w:val="left" w:pos="708"/>
        </w:tabs>
        <w:suppressAutoHyphens w:val="0"/>
        <w:rPr>
          <w:del w:id="2479" w:author="AbbVie1" w:date="2025-05-13T09:50:00Z"/>
          <w:lang w:val="cs-CZ"/>
        </w:rPr>
      </w:pPr>
    </w:p>
    <w:p w14:paraId="0002EE28" w14:textId="77777777" w:rsidR="002536CB" w:rsidRPr="001B4A02" w:rsidRDefault="00000000" w:rsidP="00ED48A3">
      <w:pPr>
        <w:pStyle w:val="EMEANormal"/>
        <w:tabs>
          <w:tab w:val="clear" w:pos="562"/>
          <w:tab w:val="left" w:pos="708"/>
        </w:tabs>
        <w:suppressAutoHyphens w:val="0"/>
        <w:rPr>
          <w:del w:id="2480" w:author="AbbVie1" w:date="2025-05-13T09:50:00Z"/>
          <w:lang w:val="cs-CZ"/>
        </w:rPr>
      </w:pPr>
      <w:del w:id="2481" w:author="AbbVie1" w:date="2025-05-13T09:50:00Z">
        <w:r w:rsidRPr="001B4A02">
          <w:rPr>
            <w:lang w:val="cs-CZ"/>
          </w:rPr>
          <w:delText>Ve studii CD III dosáhlo v týdnu 4 58</w:delText>
        </w:r>
        <w:r w:rsidR="009C5EAC" w:rsidRPr="001B4A02">
          <w:rPr>
            <w:lang w:val="cs-CZ"/>
          </w:rPr>
          <w:delText> </w:delText>
        </w:r>
        <w:r w:rsidRPr="001B4A02">
          <w:rPr>
            <w:lang w:val="cs-CZ"/>
          </w:rPr>
          <w:delText>% pacientů (499 z 854) klinické odpovědi</w:delText>
        </w:r>
        <w:r w:rsidR="002378E0">
          <w:rPr>
            <w:lang w:val="cs-CZ"/>
          </w:rPr>
          <w:delText xml:space="preserve"> a </w:delText>
        </w:r>
        <w:r w:rsidRPr="001B4A02">
          <w:rPr>
            <w:lang w:val="cs-CZ"/>
          </w:rPr>
          <w:delText>byli zařazeni do primárního hodnocení. Z těchto pacientů, jež v týdnu 4 dosáhli klinické odpovědi na léčbu, bylo 48</w:delText>
        </w:r>
        <w:r w:rsidR="009C5EAC" w:rsidRPr="001B4A02">
          <w:rPr>
            <w:lang w:val="cs-CZ"/>
          </w:rPr>
          <w:delText> </w:delText>
        </w:r>
        <w:r w:rsidRPr="001B4A02">
          <w:rPr>
            <w:lang w:val="cs-CZ"/>
          </w:rPr>
          <w:delText>% už dříve vystaveno antagonistům TNF. Doba trvání remise</w:delText>
        </w:r>
        <w:r w:rsidR="002378E0">
          <w:rPr>
            <w:lang w:val="cs-CZ"/>
          </w:rPr>
          <w:delText xml:space="preserve"> a </w:delText>
        </w:r>
        <w:r w:rsidRPr="001B4A02">
          <w:rPr>
            <w:lang w:val="cs-CZ"/>
          </w:rPr>
          <w:delText xml:space="preserve">počty odpovídajících pacientů jsou </w:delText>
        </w:r>
        <w:r w:rsidR="00FE0D7F" w:rsidRPr="001B4A02">
          <w:rPr>
            <w:lang w:val="cs-CZ"/>
          </w:rPr>
          <w:delText xml:space="preserve">uvedeny v tabulce </w:delText>
        </w:r>
        <w:r w:rsidR="00D76799">
          <w:rPr>
            <w:lang w:val="cs-CZ"/>
          </w:rPr>
          <w:delText>18</w:delText>
        </w:r>
        <w:r w:rsidRPr="001B4A02">
          <w:rPr>
            <w:lang w:val="cs-CZ"/>
          </w:rPr>
          <w:delText>. Výsledky klinické odpovědi zůst</w:delText>
        </w:r>
        <w:r w:rsidR="00FE0D7F" w:rsidRPr="001B4A02">
          <w:rPr>
            <w:lang w:val="cs-CZ"/>
          </w:rPr>
          <w:delText>á</w:delText>
        </w:r>
        <w:r w:rsidRPr="001B4A02">
          <w:rPr>
            <w:lang w:val="cs-CZ"/>
          </w:rPr>
          <w:delText>valy konstantní bez ohledu na předchozí expozici TNF antagonistům.</w:delText>
        </w:r>
      </w:del>
    </w:p>
    <w:p w14:paraId="0B771E92" w14:textId="77777777" w:rsidR="002536CB" w:rsidRPr="001B4A02" w:rsidRDefault="002536CB" w:rsidP="00ED48A3">
      <w:pPr>
        <w:pStyle w:val="EMEANormal"/>
        <w:tabs>
          <w:tab w:val="clear" w:pos="562"/>
          <w:tab w:val="left" w:pos="708"/>
        </w:tabs>
        <w:suppressAutoHyphens w:val="0"/>
        <w:rPr>
          <w:del w:id="2482" w:author="AbbVie1" w:date="2025-05-13T09:50:00Z"/>
          <w:u w:val="single"/>
          <w:lang w:val="cs-CZ"/>
        </w:rPr>
      </w:pPr>
    </w:p>
    <w:p w14:paraId="73DC76B1" w14:textId="77777777" w:rsidR="002536CB" w:rsidRPr="001B4A02" w:rsidRDefault="00000000" w:rsidP="00ED48A3">
      <w:pPr>
        <w:pStyle w:val="EMEANormal"/>
        <w:tabs>
          <w:tab w:val="clear" w:pos="562"/>
          <w:tab w:val="left" w:pos="708"/>
        </w:tabs>
        <w:suppressAutoHyphens w:val="0"/>
        <w:rPr>
          <w:del w:id="2483" w:author="AbbVie1" w:date="2025-05-13T09:50:00Z"/>
          <w:lang w:val="cs-CZ"/>
        </w:rPr>
      </w:pPr>
      <w:del w:id="2484" w:author="AbbVie1" w:date="2025-05-13T09:50:00Z">
        <w:r w:rsidRPr="001B4A02">
          <w:rPr>
            <w:lang w:val="cs-CZ"/>
          </w:rPr>
          <w:delText>Počet hospitalizací</w:delText>
        </w:r>
        <w:r w:rsidR="002378E0">
          <w:rPr>
            <w:lang w:val="cs-CZ"/>
          </w:rPr>
          <w:delText xml:space="preserve"> a </w:delText>
        </w:r>
        <w:r w:rsidRPr="001B4A02">
          <w:rPr>
            <w:lang w:val="cs-CZ"/>
          </w:rPr>
          <w:delText>chirurgických zákroků, spojených s tímto onemocněním, byl v týdnu 56 statisticky signifikantně snížen</w:delText>
        </w:r>
        <w:r w:rsidR="002009DF" w:rsidRPr="001B4A02">
          <w:rPr>
            <w:lang w:val="cs-CZ"/>
          </w:rPr>
          <w:delText xml:space="preserve"> u </w:delText>
        </w:r>
        <w:r w:rsidRPr="001B4A02">
          <w:rPr>
            <w:lang w:val="cs-CZ"/>
          </w:rPr>
          <w:delText xml:space="preserve">pacientů </w:delText>
        </w:r>
        <w:r w:rsidR="00F31D59" w:rsidRPr="001B4A02">
          <w:rPr>
            <w:lang w:val="cs-CZ"/>
          </w:rPr>
          <w:delText>po</w:delText>
        </w:r>
        <w:r w:rsidRPr="001B4A02">
          <w:rPr>
            <w:lang w:val="cs-CZ"/>
          </w:rPr>
          <w:delText>užívajících adalimumab v</w:delText>
        </w:r>
        <w:r w:rsidR="00EF0AF7" w:rsidRPr="001B4A02">
          <w:rPr>
            <w:lang w:val="cs-CZ"/>
          </w:rPr>
          <w:delText> </w:delText>
        </w:r>
        <w:r w:rsidRPr="001B4A02">
          <w:rPr>
            <w:lang w:val="cs-CZ"/>
          </w:rPr>
          <w:delText>porovnání s placebem.</w:delText>
        </w:r>
      </w:del>
    </w:p>
    <w:p w14:paraId="6BC2600D" w14:textId="77777777" w:rsidR="002536CB" w:rsidRPr="001B4A02" w:rsidRDefault="002536CB" w:rsidP="00ED48A3">
      <w:pPr>
        <w:pStyle w:val="EMEANormal"/>
        <w:tabs>
          <w:tab w:val="clear" w:pos="562"/>
          <w:tab w:val="left" w:pos="708"/>
        </w:tabs>
        <w:suppressAutoHyphens w:val="0"/>
        <w:rPr>
          <w:del w:id="2485" w:author="AbbVie1" w:date="2025-05-13T09:50:00Z"/>
          <w:u w:val="single"/>
          <w:lang w:val="cs-CZ"/>
        </w:rPr>
      </w:pPr>
    </w:p>
    <w:p w14:paraId="1AEBCE48" w14:textId="77777777" w:rsidR="003F4B5B" w:rsidRPr="001B4A02" w:rsidRDefault="00000000" w:rsidP="00ED48A3">
      <w:pPr>
        <w:pStyle w:val="EMEANormal"/>
        <w:keepNext/>
        <w:tabs>
          <w:tab w:val="clear" w:pos="562"/>
          <w:tab w:val="left" w:pos="708"/>
        </w:tabs>
        <w:suppressAutoHyphens w:val="0"/>
        <w:jc w:val="center"/>
        <w:rPr>
          <w:del w:id="2486" w:author="AbbVie1" w:date="2025-05-13T09:50:00Z"/>
          <w:b/>
          <w:bCs/>
          <w:lang w:val="cs-CZ"/>
        </w:rPr>
      </w:pPr>
      <w:del w:id="2487" w:author="AbbVie1" w:date="2025-05-13T09:50:00Z">
        <w:r w:rsidRPr="001B4A02">
          <w:rPr>
            <w:b/>
            <w:bCs/>
            <w:lang w:val="cs-CZ"/>
          </w:rPr>
          <w:delText xml:space="preserve">Tabulka </w:delText>
        </w:r>
        <w:r w:rsidR="00D76799">
          <w:rPr>
            <w:b/>
            <w:bCs/>
            <w:lang w:val="cs-CZ"/>
          </w:rPr>
          <w:delText>18</w:delText>
        </w:r>
      </w:del>
    </w:p>
    <w:p w14:paraId="635567DC" w14:textId="77777777" w:rsidR="002536CB" w:rsidRPr="001B4A02" w:rsidRDefault="00000000" w:rsidP="00ED48A3">
      <w:pPr>
        <w:pStyle w:val="EMEANormal"/>
        <w:keepNext/>
        <w:tabs>
          <w:tab w:val="clear" w:pos="562"/>
          <w:tab w:val="left" w:pos="708"/>
        </w:tabs>
        <w:suppressAutoHyphens w:val="0"/>
        <w:jc w:val="center"/>
        <w:rPr>
          <w:del w:id="2488" w:author="AbbVie1" w:date="2025-05-13T09:50:00Z"/>
          <w:b/>
          <w:bCs/>
          <w:lang w:val="cs-CZ"/>
        </w:rPr>
      </w:pPr>
      <w:del w:id="2489" w:author="AbbVie1" w:date="2025-05-13T09:50:00Z">
        <w:r w:rsidRPr="001B4A02">
          <w:rPr>
            <w:b/>
            <w:bCs/>
            <w:lang w:val="cs-CZ"/>
          </w:rPr>
          <w:delText>Přetrvávání klinické remise</w:delText>
        </w:r>
        <w:r w:rsidR="002378E0">
          <w:rPr>
            <w:b/>
            <w:bCs/>
            <w:lang w:val="cs-CZ"/>
          </w:rPr>
          <w:delText xml:space="preserve"> a </w:delText>
        </w:r>
        <w:r w:rsidRPr="001B4A02">
          <w:rPr>
            <w:b/>
            <w:bCs/>
            <w:lang w:val="cs-CZ"/>
          </w:rPr>
          <w:delText>odpovědi</w:delText>
        </w:r>
      </w:del>
    </w:p>
    <w:p w14:paraId="5E7E5C9B" w14:textId="77777777" w:rsidR="002536CB" w:rsidRPr="001B4A02" w:rsidRDefault="00000000" w:rsidP="00ED48A3">
      <w:pPr>
        <w:pStyle w:val="EMEANormal"/>
        <w:keepNext/>
        <w:tabs>
          <w:tab w:val="clear" w:pos="562"/>
          <w:tab w:val="left" w:pos="708"/>
        </w:tabs>
        <w:suppressAutoHyphens w:val="0"/>
        <w:jc w:val="center"/>
        <w:rPr>
          <w:del w:id="2490" w:author="AbbVie1" w:date="2025-05-13T09:50:00Z"/>
          <w:b/>
          <w:bCs/>
          <w:lang w:val="cs-CZ"/>
        </w:rPr>
      </w:pPr>
      <w:del w:id="2491" w:author="AbbVie1" w:date="2025-05-13T09:50:00Z">
        <w:r w:rsidRPr="001B4A02">
          <w:rPr>
            <w:b/>
            <w:bCs/>
            <w:lang w:val="cs-CZ"/>
          </w:rPr>
          <w:delText>(Procento pacientů)</w:delText>
        </w:r>
      </w:del>
    </w:p>
    <w:p w14:paraId="30B37F8D" w14:textId="77777777" w:rsidR="002536CB" w:rsidRPr="001B4A02" w:rsidRDefault="002536CB" w:rsidP="00ED48A3">
      <w:pPr>
        <w:pStyle w:val="EMEANormal"/>
        <w:keepNext/>
        <w:tabs>
          <w:tab w:val="clear" w:pos="562"/>
          <w:tab w:val="left" w:pos="708"/>
        </w:tabs>
        <w:suppressAutoHyphens w:val="0"/>
        <w:rPr>
          <w:del w:id="2492" w:author="AbbVie1" w:date="2025-05-13T09:50:00Z"/>
          <w:lang w:val="cs-CZ"/>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853"/>
        <w:gridCol w:w="1678"/>
        <w:gridCol w:w="2265"/>
        <w:gridCol w:w="2265"/>
      </w:tblGrid>
      <w:tr w:rsidR="00534A2D" w14:paraId="308DDE4A" w14:textId="77777777" w:rsidTr="008D783A">
        <w:trPr>
          <w:del w:id="2493" w:author="AbbVie1" w:date="2025-05-13T09:50:00Z"/>
        </w:trPr>
        <w:tc>
          <w:tcPr>
            <w:tcW w:w="2905" w:type="dxa"/>
            <w:tcBorders>
              <w:top w:val="single" w:sz="4" w:space="0" w:color="auto"/>
              <w:left w:val="single" w:sz="4" w:space="0" w:color="auto"/>
              <w:bottom w:val="single" w:sz="4" w:space="0" w:color="auto"/>
              <w:right w:val="single" w:sz="4" w:space="0" w:color="auto"/>
            </w:tcBorders>
          </w:tcPr>
          <w:p w14:paraId="71310482" w14:textId="77777777" w:rsidR="002536CB" w:rsidRPr="001B4A02" w:rsidRDefault="002536CB" w:rsidP="00ED48A3">
            <w:pPr>
              <w:pStyle w:val="EMEANormal"/>
              <w:keepNext/>
              <w:tabs>
                <w:tab w:val="clear" w:pos="562"/>
                <w:tab w:val="left" w:pos="708"/>
              </w:tabs>
              <w:suppressAutoHyphens w:val="0"/>
              <w:rPr>
                <w:del w:id="2494" w:author="AbbVie1" w:date="2025-05-13T09:50:00Z"/>
                <w:u w:val="single"/>
                <w:lang w:val="cs-CZ"/>
              </w:rPr>
            </w:pPr>
          </w:p>
        </w:tc>
        <w:tc>
          <w:tcPr>
            <w:tcW w:w="1700" w:type="dxa"/>
            <w:tcBorders>
              <w:top w:val="single" w:sz="4" w:space="0" w:color="auto"/>
              <w:left w:val="single" w:sz="4" w:space="0" w:color="auto"/>
              <w:bottom w:val="single" w:sz="4" w:space="0" w:color="auto"/>
              <w:right w:val="single" w:sz="4" w:space="0" w:color="auto"/>
            </w:tcBorders>
          </w:tcPr>
          <w:p w14:paraId="0086E997" w14:textId="77777777" w:rsidR="002536CB" w:rsidRPr="001B4A02" w:rsidRDefault="00000000" w:rsidP="00ED48A3">
            <w:pPr>
              <w:pStyle w:val="EMEANormal"/>
              <w:keepNext/>
              <w:tabs>
                <w:tab w:val="clear" w:pos="562"/>
                <w:tab w:val="left" w:pos="708"/>
              </w:tabs>
              <w:suppressAutoHyphens w:val="0"/>
              <w:jc w:val="center"/>
              <w:rPr>
                <w:del w:id="2495" w:author="AbbVie1" w:date="2025-05-13T09:50:00Z"/>
                <w:b/>
                <w:bCs/>
                <w:lang w:val="cs-CZ"/>
              </w:rPr>
            </w:pPr>
            <w:del w:id="2496" w:author="AbbVie1" w:date="2025-05-13T09:50:00Z">
              <w:r w:rsidRPr="001B4A02">
                <w:rPr>
                  <w:b/>
                  <w:bCs/>
                  <w:lang w:val="cs-CZ"/>
                </w:rPr>
                <w:delText>Placebo</w:delText>
              </w:r>
            </w:del>
          </w:p>
        </w:tc>
        <w:tc>
          <w:tcPr>
            <w:tcW w:w="2303" w:type="dxa"/>
            <w:tcBorders>
              <w:top w:val="single" w:sz="4" w:space="0" w:color="auto"/>
              <w:left w:val="single" w:sz="4" w:space="0" w:color="auto"/>
              <w:bottom w:val="single" w:sz="4" w:space="0" w:color="auto"/>
              <w:right w:val="single" w:sz="4" w:space="0" w:color="auto"/>
            </w:tcBorders>
          </w:tcPr>
          <w:p w14:paraId="52BBEACB" w14:textId="77777777" w:rsidR="002536CB" w:rsidRPr="001B4A02" w:rsidRDefault="00000000" w:rsidP="00ED48A3">
            <w:pPr>
              <w:pStyle w:val="EMEANormal"/>
              <w:keepNext/>
              <w:tabs>
                <w:tab w:val="clear" w:pos="562"/>
                <w:tab w:val="left" w:pos="708"/>
              </w:tabs>
              <w:suppressAutoHyphens w:val="0"/>
              <w:jc w:val="center"/>
              <w:rPr>
                <w:del w:id="2497" w:author="AbbVie1" w:date="2025-05-13T09:50:00Z"/>
                <w:b/>
                <w:bCs/>
                <w:lang w:val="cs-CZ"/>
              </w:rPr>
            </w:pPr>
            <w:del w:id="2498" w:author="AbbVie1" w:date="2025-05-13T09:50:00Z">
              <w:r w:rsidRPr="001B4A02">
                <w:rPr>
                  <w:b/>
                  <w:bCs/>
                  <w:lang w:val="cs-CZ"/>
                </w:rPr>
                <w:delText>Humira v dávce 40 mg každý druhý týden</w:delText>
              </w:r>
            </w:del>
          </w:p>
        </w:tc>
        <w:tc>
          <w:tcPr>
            <w:tcW w:w="2303" w:type="dxa"/>
            <w:tcBorders>
              <w:top w:val="single" w:sz="4" w:space="0" w:color="auto"/>
              <w:left w:val="single" w:sz="4" w:space="0" w:color="auto"/>
              <w:bottom w:val="single" w:sz="4" w:space="0" w:color="auto"/>
              <w:right w:val="single" w:sz="4" w:space="0" w:color="auto"/>
            </w:tcBorders>
          </w:tcPr>
          <w:p w14:paraId="0E2B5CA5" w14:textId="77777777" w:rsidR="002536CB" w:rsidRPr="001B4A02" w:rsidRDefault="00000000" w:rsidP="00ED48A3">
            <w:pPr>
              <w:pStyle w:val="EMEANormal"/>
              <w:keepNext/>
              <w:tabs>
                <w:tab w:val="clear" w:pos="562"/>
                <w:tab w:val="left" w:pos="708"/>
              </w:tabs>
              <w:suppressAutoHyphens w:val="0"/>
              <w:jc w:val="center"/>
              <w:rPr>
                <w:del w:id="2499" w:author="AbbVie1" w:date="2025-05-13T09:50:00Z"/>
                <w:b/>
                <w:bCs/>
                <w:lang w:val="cs-CZ"/>
              </w:rPr>
            </w:pPr>
            <w:del w:id="2500" w:author="AbbVie1" w:date="2025-05-13T09:50:00Z">
              <w:r w:rsidRPr="001B4A02">
                <w:rPr>
                  <w:b/>
                  <w:bCs/>
                  <w:lang w:val="cs-CZ"/>
                </w:rPr>
                <w:delText>Humira v dávce 40 mg týdně</w:delText>
              </w:r>
            </w:del>
          </w:p>
        </w:tc>
      </w:tr>
      <w:tr w:rsidR="00534A2D" w14:paraId="500CADDA" w14:textId="77777777" w:rsidTr="008D783A">
        <w:trPr>
          <w:del w:id="2501" w:author="AbbVie1" w:date="2025-05-13T09:50:00Z"/>
        </w:trPr>
        <w:tc>
          <w:tcPr>
            <w:tcW w:w="2905" w:type="dxa"/>
            <w:tcBorders>
              <w:top w:val="single" w:sz="4" w:space="0" w:color="auto"/>
              <w:left w:val="single" w:sz="4" w:space="0" w:color="auto"/>
              <w:bottom w:val="single" w:sz="4" w:space="0" w:color="auto"/>
              <w:right w:val="single" w:sz="4" w:space="0" w:color="auto"/>
            </w:tcBorders>
          </w:tcPr>
          <w:p w14:paraId="4D958723" w14:textId="77777777" w:rsidR="002536CB" w:rsidRPr="001B4A02" w:rsidRDefault="00000000" w:rsidP="00ED48A3">
            <w:pPr>
              <w:pStyle w:val="EMEANormal"/>
              <w:keepNext/>
              <w:tabs>
                <w:tab w:val="clear" w:pos="562"/>
                <w:tab w:val="left" w:pos="708"/>
              </w:tabs>
              <w:suppressAutoHyphens w:val="0"/>
              <w:rPr>
                <w:del w:id="2502" w:author="AbbVie1" w:date="2025-05-13T09:50:00Z"/>
                <w:b/>
                <w:bCs/>
                <w:lang w:val="cs-CZ"/>
              </w:rPr>
            </w:pPr>
            <w:del w:id="2503" w:author="AbbVie1" w:date="2025-05-13T09:50:00Z">
              <w:r w:rsidRPr="001B4A02">
                <w:rPr>
                  <w:b/>
                  <w:bCs/>
                  <w:lang w:val="cs-CZ"/>
                </w:rPr>
                <w:delText>Týden 26</w:delText>
              </w:r>
            </w:del>
          </w:p>
        </w:tc>
        <w:tc>
          <w:tcPr>
            <w:tcW w:w="1700" w:type="dxa"/>
            <w:tcBorders>
              <w:top w:val="single" w:sz="4" w:space="0" w:color="auto"/>
              <w:left w:val="single" w:sz="4" w:space="0" w:color="auto"/>
              <w:bottom w:val="single" w:sz="4" w:space="0" w:color="auto"/>
              <w:right w:val="single" w:sz="4" w:space="0" w:color="auto"/>
            </w:tcBorders>
          </w:tcPr>
          <w:p w14:paraId="7C6E23C6" w14:textId="77777777" w:rsidR="002536CB" w:rsidRPr="001B4A02" w:rsidRDefault="00000000" w:rsidP="00ED48A3">
            <w:pPr>
              <w:pStyle w:val="EMEANormal"/>
              <w:keepNext/>
              <w:tabs>
                <w:tab w:val="clear" w:pos="562"/>
                <w:tab w:val="left" w:pos="708"/>
              </w:tabs>
              <w:suppressAutoHyphens w:val="0"/>
              <w:jc w:val="center"/>
              <w:rPr>
                <w:del w:id="2504" w:author="AbbVie1" w:date="2025-05-13T09:50:00Z"/>
                <w:b/>
                <w:bCs/>
                <w:lang w:val="cs-CZ"/>
              </w:rPr>
            </w:pPr>
            <w:del w:id="2505" w:author="AbbVie1" w:date="2025-05-13T09:50:00Z">
              <w:r>
                <w:rPr>
                  <w:b/>
                  <w:bCs/>
                  <w:lang w:val="cs-CZ"/>
                </w:rPr>
                <w:delText>n</w:delText>
              </w:r>
              <w:r w:rsidRPr="001B4A02">
                <w:rPr>
                  <w:b/>
                  <w:bCs/>
                  <w:lang w:val="cs-CZ"/>
                </w:rPr>
                <w:delText>=170</w:delText>
              </w:r>
            </w:del>
          </w:p>
        </w:tc>
        <w:tc>
          <w:tcPr>
            <w:tcW w:w="2303" w:type="dxa"/>
            <w:tcBorders>
              <w:top w:val="single" w:sz="4" w:space="0" w:color="auto"/>
              <w:left w:val="single" w:sz="4" w:space="0" w:color="auto"/>
              <w:bottom w:val="single" w:sz="4" w:space="0" w:color="auto"/>
              <w:right w:val="single" w:sz="4" w:space="0" w:color="auto"/>
            </w:tcBorders>
          </w:tcPr>
          <w:p w14:paraId="285F6FDF" w14:textId="77777777" w:rsidR="002536CB" w:rsidRPr="001B4A02" w:rsidRDefault="00000000" w:rsidP="00ED48A3">
            <w:pPr>
              <w:pStyle w:val="EMEANormal"/>
              <w:keepNext/>
              <w:tabs>
                <w:tab w:val="clear" w:pos="562"/>
                <w:tab w:val="left" w:pos="708"/>
              </w:tabs>
              <w:suppressAutoHyphens w:val="0"/>
              <w:jc w:val="center"/>
              <w:rPr>
                <w:del w:id="2506" w:author="AbbVie1" w:date="2025-05-13T09:50:00Z"/>
                <w:b/>
                <w:bCs/>
                <w:lang w:val="cs-CZ"/>
              </w:rPr>
            </w:pPr>
            <w:del w:id="2507" w:author="AbbVie1" w:date="2025-05-13T09:50:00Z">
              <w:r>
                <w:rPr>
                  <w:b/>
                  <w:bCs/>
                  <w:lang w:val="cs-CZ"/>
                </w:rPr>
                <w:delText>n</w:delText>
              </w:r>
              <w:r w:rsidRPr="001B4A02">
                <w:rPr>
                  <w:b/>
                  <w:bCs/>
                  <w:lang w:val="cs-CZ"/>
                </w:rPr>
                <w:delText>=172</w:delText>
              </w:r>
            </w:del>
          </w:p>
        </w:tc>
        <w:tc>
          <w:tcPr>
            <w:tcW w:w="2303" w:type="dxa"/>
            <w:tcBorders>
              <w:top w:val="single" w:sz="4" w:space="0" w:color="auto"/>
              <w:left w:val="single" w:sz="4" w:space="0" w:color="auto"/>
              <w:bottom w:val="single" w:sz="4" w:space="0" w:color="auto"/>
              <w:right w:val="single" w:sz="4" w:space="0" w:color="auto"/>
            </w:tcBorders>
          </w:tcPr>
          <w:p w14:paraId="70538B1C" w14:textId="77777777" w:rsidR="002536CB" w:rsidRPr="001B4A02" w:rsidRDefault="00000000" w:rsidP="00ED48A3">
            <w:pPr>
              <w:pStyle w:val="EMEANormal"/>
              <w:keepNext/>
              <w:tabs>
                <w:tab w:val="clear" w:pos="562"/>
                <w:tab w:val="left" w:pos="708"/>
              </w:tabs>
              <w:suppressAutoHyphens w:val="0"/>
              <w:jc w:val="center"/>
              <w:rPr>
                <w:del w:id="2508" w:author="AbbVie1" w:date="2025-05-13T09:50:00Z"/>
                <w:b/>
                <w:bCs/>
                <w:lang w:val="cs-CZ"/>
              </w:rPr>
            </w:pPr>
            <w:del w:id="2509" w:author="AbbVie1" w:date="2025-05-13T09:50:00Z">
              <w:r>
                <w:rPr>
                  <w:b/>
                  <w:bCs/>
                  <w:lang w:val="cs-CZ"/>
                </w:rPr>
                <w:delText>n</w:delText>
              </w:r>
              <w:r w:rsidRPr="001B4A02">
                <w:rPr>
                  <w:b/>
                  <w:bCs/>
                  <w:lang w:val="cs-CZ"/>
                </w:rPr>
                <w:delText>=157</w:delText>
              </w:r>
            </w:del>
          </w:p>
        </w:tc>
      </w:tr>
      <w:tr w:rsidR="00534A2D" w14:paraId="6FD86246" w14:textId="77777777" w:rsidTr="008D783A">
        <w:trPr>
          <w:del w:id="2510" w:author="AbbVie1" w:date="2025-05-13T09:50:00Z"/>
        </w:trPr>
        <w:tc>
          <w:tcPr>
            <w:tcW w:w="2905" w:type="dxa"/>
            <w:tcBorders>
              <w:top w:val="single" w:sz="4" w:space="0" w:color="auto"/>
              <w:left w:val="single" w:sz="4" w:space="0" w:color="auto"/>
              <w:bottom w:val="single" w:sz="4" w:space="0" w:color="auto"/>
              <w:right w:val="single" w:sz="4" w:space="0" w:color="auto"/>
            </w:tcBorders>
          </w:tcPr>
          <w:p w14:paraId="117667A1" w14:textId="77777777" w:rsidR="002536CB" w:rsidRPr="001B4A02" w:rsidRDefault="00000000" w:rsidP="00ED48A3">
            <w:pPr>
              <w:pStyle w:val="EMEANormal"/>
              <w:keepNext/>
              <w:tabs>
                <w:tab w:val="clear" w:pos="562"/>
                <w:tab w:val="left" w:pos="708"/>
              </w:tabs>
              <w:suppressAutoHyphens w:val="0"/>
              <w:rPr>
                <w:del w:id="2511" w:author="AbbVie1" w:date="2025-05-13T09:50:00Z"/>
                <w:lang w:val="cs-CZ"/>
              </w:rPr>
            </w:pPr>
            <w:del w:id="2512" w:author="AbbVie1" w:date="2025-05-13T09:50:00Z">
              <w:r w:rsidRPr="001B4A02">
                <w:rPr>
                  <w:lang w:val="cs-CZ"/>
                </w:rPr>
                <w:delText>Klinická remise</w:delText>
              </w:r>
            </w:del>
          </w:p>
        </w:tc>
        <w:tc>
          <w:tcPr>
            <w:tcW w:w="1700" w:type="dxa"/>
            <w:tcBorders>
              <w:top w:val="single" w:sz="4" w:space="0" w:color="auto"/>
              <w:left w:val="single" w:sz="4" w:space="0" w:color="auto"/>
              <w:bottom w:val="single" w:sz="4" w:space="0" w:color="auto"/>
              <w:right w:val="single" w:sz="4" w:space="0" w:color="auto"/>
            </w:tcBorders>
          </w:tcPr>
          <w:p w14:paraId="06724064" w14:textId="77777777" w:rsidR="002536CB" w:rsidRPr="001B4A02" w:rsidRDefault="00000000" w:rsidP="00ED48A3">
            <w:pPr>
              <w:pStyle w:val="EMEANormal"/>
              <w:keepNext/>
              <w:tabs>
                <w:tab w:val="clear" w:pos="562"/>
                <w:tab w:val="left" w:pos="708"/>
              </w:tabs>
              <w:suppressAutoHyphens w:val="0"/>
              <w:jc w:val="center"/>
              <w:rPr>
                <w:del w:id="2513" w:author="AbbVie1" w:date="2025-05-13T09:50:00Z"/>
                <w:lang w:val="cs-CZ"/>
              </w:rPr>
            </w:pPr>
            <w:del w:id="2514" w:author="AbbVie1" w:date="2025-05-13T09:50:00Z">
              <w:r w:rsidRPr="001B4A02">
                <w:rPr>
                  <w:lang w:val="cs-CZ"/>
                </w:rPr>
                <w:delText>17</w:delText>
              </w:r>
              <w:r w:rsidR="009C5EAC" w:rsidRPr="001B4A02">
                <w:rPr>
                  <w:lang w:val="cs-CZ"/>
                </w:rPr>
                <w:delText> </w:delText>
              </w:r>
              <w:r w:rsidRPr="001B4A02">
                <w:rPr>
                  <w:lang w:val="cs-CZ"/>
                </w:rPr>
                <w:delText>%</w:delText>
              </w:r>
            </w:del>
          </w:p>
        </w:tc>
        <w:tc>
          <w:tcPr>
            <w:tcW w:w="2303" w:type="dxa"/>
            <w:tcBorders>
              <w:top w:val="single" w:sz="4" w:space="0" w:color="auto"/>
              <w:left w:val="single" w:sz="4" w:space="0" w:color="auto"/>
              <w:bottom w:val="single" w:sz="4" w:space="0" w:color="auto"/>
              <w:right w:val="single" w:sz="4" w:space="0" w:color="auto"/>
            </w:tcBorders>
          </w:tcPr>
          <w:p w14:paraId="681CF8F1" w14:textId="77777777" w:rsidR="002536CB" w:rsidRPr="001B4A02" w:rsidRDefault="00000000" w:rsidP="00ED48A3">
            <w:pPr>
              <w:pStyle w:val="EMEANormal"/>
              <w:keepNext/>
              <w:tabs>
                <w:tab w:val="clear" w:pos="562"/>
                <w:tab w:val="left" w:pos="708"/>
              </w:tabs>
              <w:suppressAutoHyphens w:val="0"/>
              <w:jc w:val="center"/>
              <w:rPr>
                <w:del w:id="2515" w:author="AbbVie1" w:date="2025-05-13T09:50:00Z"/>
                <w:lang w:val="cs-CZ"/>
              </w:rPr>
            </w:pPr>
            <w:del w:id="2516" w:author="AbbVie1" w:date="2025-05-13T09:50:00Z">
              <w:r w:rsidRPr="001B4A02">
                <w:rPr>
                  <w:lang w:val="cs-CZ"/>
                </w:rPr>
                <w:delText>40</w:delText>
              </w:r>
              <w:r w:rsidR="009C5EAC" w:rsidRPr="001B4A02">
                <w:rPr>
                  <w:lang w:val="cs-CZ"/>
                </w:rPr>
                <w:delText> </w:delText>
              </w:r>
              <w:r w:rsidRPr="001B4A02">
                <w:rPr>
                  <w:lang w:val="cs-CZ"/>
                </w:rPr>
                <w:delText>%</w:delText>
              </w:r>
              <w:r w:rsidRPr="001B4A02">
                <w:rPr>
                  <w:rFonts w:ascii="Symbol" w:hAnsi="Symbol"/>
                  <w:vertAlign w:val="superscript"/>
                  <w:lang w:val="cs-CZ"/>
                </w:rPr>
                <w:sym w:font="Symbol" w:char="F02A"/>
              </w:r>
            </w:del>
          </w:p>
        </w:tc>
        <w:tc>
          <w:tcPr>
            <w:tcW w:w="2303" w:type="dxa"/>
            <w:tcBorders>
              <w:top w:val="single" w:sz="4" w:space="0" w:color="auto"/>
              <w:left w:val="single" w:sz="4" w:space="0" w:color="auto"/>
              <w:bottom w:val="single" w:sz="4" w:space="0" w:color="auto"/>
              <w:right w:val="single" w:sz="4" w:space="0" w:color="auto"/>
            </w:tcBorders>
          </w:tcPr>
          <w:p w14:paraId="3A8733BB" w14:textId="77777777" w:rsidR="002536CB" w:rsidRPr="001B4A02" w:rsidRDefault="00000000" w:rsidP="00ED48A3">
            <w:pPr>
              <w:pStyle w:val="EMEANormal"/>
              <w:keepNext/>
              <w:tabs>
                <w:tab w:val="clear" w:pos="562"/>
                <w:tab w:val="left" w:pos="708"/>
              </w:tabs>
              <w:suppressAutoHyphens w:val="0"/>
              <w:jc w:val="center"/>
              <w:rPr>
                <w:del w:id="2517" w:author="AbbVie1" w:date="2025-05-13T09:50:00Z"/>
                <w:lang w:val="cs-CZ"/>
              </w:rPr>
            </w:pPr>
            <w:del w:id="2518" w:author="AbbVie1" w:date="2025-05-13T09:50:00Z">
              <w:r w:rsidRPr="001B4A02">
                <w:rPr>
                  <w:lang w:val="cs-CZ"/>
                </w:rPr>
                <w:delText>47</w:delText>
              </w:r>
              <w:r w:rsidR="009C5EAC" w:rsidRPr="001B4A02">
                <w:rPr>
                  <w:lang w:val="cs-CZ"/>
                </w:rPr>
                <w:delText> </w:delText>
              </w:r>
              <w:r w:rsidRPr="001B4A02">
                <w:rPr>
                  <w:lang w:val="cs-CZ"/>
                </w:rPr>
                <w:delText>%</w:delText>
              </w:r>
              <w:r w:rsidRPr="001B4A02">
                <w:rPr>
                  <w:rFonts w:ascii="Symbol" w:hAnsi="Symbol"/>
                  <w:vertAlign w:val="superscript"/>
                  <w:lang w:val="cs-CZ"/>
                </w:rPr>
                <w:sym w:font="Symbol" w:char="F02A"/>
              </w:r>
            </w:del>
          </w:p>
        </w:tc>
      </w:tr>
      <w:tr w:rsidR="00534A2D" w14:paraId="03617455" w14:textId="77777777" w:rsidTr="008D783A">
        <w:trPr>
          <w:del w:id="2519" w:author="AbbVie1" w:date="2025-05-13T09:50:00Z"/>
        </w:trPr>
        <w:tc>
          <w:tcPr>
            <w:tcW w:w="2905" w:type="dxa"/>
            <w:tcBorders>
              <w:top w:val="single" w:sz="4" w:space="0" w:color="auto"/>
              <w:left w:val="single" w:sz="4" w:space="0" w:color="auto"/>
              <w:bottom w:val="single" w:sz="4" w:space="0" w:color="auto"/>
              <w:right w:val="single" w:sz="4" w:space="0" w:color="auto"/>
            </w:tcBorders>
          </w:tcPr>
          <w:p w14:paraId="5B3F135C" w14:textId="77777777" w:rsidR="002536CB" w:rsidRPr="001B4A02" w:rsidRDefault="00000000" w:rsidP="00ED48A3">
            <w:pPr>
              <w:pStyle w:val="EMEANormal"/>
              <w:keepNext/>
              <w:tabs>
                <w:tab w:val="clear" w:pos="562"/>
                <w:tab w:val="left" w:pos="708"/>
              </w:tabs>
              <w:suppressAutoHyphens w:val="0"/>
              <w:rPr>
                <w:del w:id="2520" w:author="AbbVie1" w:date="2025-05-13T09:50:00Z"/>
                <w:lang w:val="cs-CZ"/>
              </w:rPr>
            </w:pPr>
            <w:del w:id="2521" w:author="AbbVie1" w:date="2025-05-13T09:50:00Z">
              <w:r w:rsidRPr="001B4A02">
                <w:rPr>
                  <w:lang w:val="cs-CZ"/>
                </w:rPr>
                <w:delText>Klinická odpověď (CR-100)</w:delText>
              </w:r>
            </w:del>
          </w:p>
        </w:tc>
        <w:tc>
          <w:tcPr>
            <w:tcW w:w="1700" w:type="dxa"/>
            <w:tcBorders>
              <w:top w:val="single" w:sz="4" w:space="0" w:color="auto"/>
              <w:left w:val="single" w:sz="4" w:space="0" w:color="auto"/>
              <w:bottom w:val="single" w:sz="4" w:space="0" w:color="auto"/>
              <w:right w:val="single" w:sz="4" w:space="0" w:color="auto"/>
            </w:tcBorders>
          </w:tcPr>
          <w:p w14:paraId="1DD69B0C" w14:textId="77777777" w:rsidR="002536CB" w:rsidRPr="001B4A02" w:rsidRDefault="00000000" w:rsidP="00ED48A3">
            <w:pPr>
              <w:pStyle w:val="EMEANormal"/>
              <w:keepNext/>
              <w:tabs>
                <w:tab w:val="clear" w:pos="562"/>
                <w:tab w:val="left" w:pos="708"/>
              </w:tabs>
              <w:suppressAutoHyphens w:val="0"/>
              <w:jc w:val="center"/>
              <w:rPr>
                <w:del w:id="2522" w:author="AbbVie1" w:date="2025-05-13T09:50:00Z"/>
                <w:lang w:val="cs-CZ"/>
              </w:rPr>
            </w:pPr>
            <w:del w:id="2523" w:author="AbbVie1" w:date="2025-05-13T09:50:00Z">
              <w:r w:rsidRPr="001B4A02">
                <w:rPr>
                  <w:lang w:val="cs-CZ"/>
                </w:rPr>
                <w:delText>27</w:delText>
              </w:r>
              <w:r w:rsidR="009C5EAC" w:rsidRPr="001B4A02">
                <w:rPr>
                  <w:lang w:val="cs-CZ"/>
                </w:rPr>
                <w:delText> </w:delText>
              </w:r>
              <w:r w:rsidRPr="001B4A02">
                <w:rPr>
                  <w:lang w:val="cs-CZ"/>
                </w:rPr>
                <w:delText>%</w:delText>
              </w:r>
            </w:del>
          </w:p>
        </w:tc>
        <w:tc>
          <w:tcPr>
            <w:tcW w:w="2303" w:type="dxa"/>
            <w:tcBorders>
              <w:top w:val="single" w:sz="4" w:space="0" w:color="auto"/>
              <w:left w:val="single" w:sz="4" w:space="0" w:color="auto"/>
              <w:bottom w:val="single" w:sz="4" w:space="0" w:color="auto"/>
              <w:right w:val="single" w:sz="4" w:space="0" w:color="auto"/>
            </w:tcBorders>
          </w:tcPr>
          <w:p w14:paraId="4D06E10B" w14:textId="77777777" w:rsidR="002536CB" w:rsidRPr="001B4A02" w:rsidRDefault="00000000" w:rsidP="00ED48A3">
            <w:pPr>
              <w:pStyle w:val="EMEANormal"/>
              <w:keepNext/>
              <w:tabs>
                <w:tab w:val="clear" w:pos="562"/>
                <w:tab w:val="left" w:pos="708"/>
              </w:tabs>
              <w:suppressAutoHyphens w:val="0"/>
              <w:jc w:val="center"/>
              <w:rPr>
                <w:del w:id="2524" w:author="AbbVie1" w:date="2025-05-13T09:50:00Z"/>
                <w:lang w:val="cs-CZ"/>
              </w:rPr>
            </w:pPr>
            <w:del w:id="2525" w:author="AbbVie1" w:date="2025-05-13T09:50:00Z">
              <w:r w:rsidRPr="001B4A02">
                <w:rPr>
                  <w:lang w:val="cs-CZ"/>
                </w:rPr>
                <w:delText>52</w:delText>
              </w:r>
              <w:r w:rsidR="009C5EAC" w:rsidRPr="001B4A02">
                <w:rPr>
                  <w:lang w:val="cs-CZ"/>
                </w:rPr>
                <w:delText> </w:delText>
              </w:r>
              <w:r w:rsidRPr="001B4A02">
                <w:rPr>
                  <w:lang w:val="cs-CZ"/>
                </w:rPr>
                <w:delText>%</w:delText>
              </w:r>
              <w:r w:rsidRPr="001B4A02">
                <w:rPr>
                  <w:rFonts w:ascii="Symbol" w:hAnsi="Symbol"/>
                  <w:vertAlign w:val="superscript"/>
                  <w:lang w:val="cs-CZ"/>
                </w:rPr>
                <w:sym w:font="Symbol" w:char="F02A"/>
              </w:r>
            </w:del>
          </w:p>
        </w:tc>
        <w:tc>
          <w:tcPr>
            <w:tcW w:w="2303" w:type="dxa"/>
            <w:tcBorders>
              <w:top w:val="single" w:sz="4" w:space="0" w:color="auto"/>
              <w:left w:val="single" w:sz="4" w:space="0" w:color="auto"/>
              <w:bottom w:val="single" w:sz="4" w:space="0" w:color="auto"/>
              <w:right w:val="single" w:sz="4" w:space="0" w:color="auto"/>
            </w:tcBorders>
          </w:tcPr>
          <w:p w14:paraId="1BF439FE" w14:textId="77777777" w:rsidR="002536CB" w:rsidRPr="001B4A02" w:rsidRDefault="00000000" w:rsidP="00ED48A3">
            <w:pPr>
              <w:pStyle w:val="EMEANormal"/>
              <w:keepNext/>
              <w:tabs>
                <w:tab w:val="clear" w:pos="562"/>
                <w:tab w:val="left" w:pos="708"/>
              </w:tabs>
              <w:suppressAutoHyphens w:val="0"/>
              <w:jc w:val="center"/>
              <w:rPr>
                <w:del w:id="2526" w:author="AbbVie1" w:date="2025-05-13T09:50:00Z"/>
                <w:lang w:val="cs-CZ"/>
              </w:rPr>
            </w:pPr>
            <w:del w:id="2527" w:author="AbbVie1" w:date="2025-05-13T09:50:00Z">
              <w:r w:rsidRPr="001B4A02">
                <w:rPr>
                  <w:lang w:val="cs-CZ"/>
                </w:rPr>
                <w:delText>52</w:delText>
              </w:r>
              <w:r w:rsidR="009C5EAC" w:rsidRPr="001B4A02">
                <w:rPr>
                  <w:lang w:val="cs-CZ"/>
                </w:rPr>
                <w:delText> </w:delText>
              </w:r>
              <w:r w:rsidRPr="001B4A02">
                <w:rPr>
                  <w:lang w:val="cs-CZ"/>
                </w:rPr>
                <w:delText>%</w:delText>
              </w:r>
              <w:r w:rsidRPr="001B4A02">
                <w:rPr>
                  <w:rFonts w:ascii="Symbol" w:hAnsi="Symbol"/>
                  <w:vertAlign w:val="superscript"/>
                  <w:lang w:val="cs-CZ"/>
                </w:rPr>
                <w:sym w:font="Symbol" w:char="F02A"/>
              </w:r>
            </w:del>
          </w:p>
        </w:tc>
      </w:tr>
      <w:tr w:rsidR="00534A2D" w14:paraId="36345347" w14:textId="77777777" w:rsidTr="008D783A">
        <w:trPr>
          <w:del w:id="2528" w:author="AbbVie1" w:date="2025-05-13T09:50:00Z"/>
        </w:trPr>
        <w:tc>
          <w:tcPr>
            <w:tcW w:w="2905" w:type="dxa"/>
            <w:tcBorders>
              <w:top w:val="single" w:sz="4" w:space="0" w:color="auto"/>
              <w:left w:val="single" w:sz="4" w:space="0" w:color="auto"/>
              <w:bottom w:val="single" w:sz="4" w:space="0" w:color="auto"/>
              <w:right w:val="single" w:sz="4" w:space="0" w:color="auto"/>
            </w:tcBorders>
          </w:tcPr>
          <w:p w14:paraId="4CB8970D" w14:textId="77777777" w:rsidR="002536CB" w:rsidRPr="001B4A02" w:rsidRDefault="00000000" w:rsidP="00ED48A3">
            <w:pPr>
              <w:pStyle w:val="EMEANormal"/>
              <w:tabs>
                <w:tab w:val="clear" w:pos="562"/>
                <w:tab w:val="left" w:pos="708"/>
              </w:tabs>
              <w:suppressAutoHyphens w:val="0"/>
              <w:ind w:left="142"/>
              <w:rPr>
                <w:del w:id="2529" w:author="AbbVie1" w:date="2025-05-13T09:50:00Z"/>
                <w:lang w:val="cs-CZ"/>
              </w:rPr>
            </w:pPr>
            <w:del w:id="2530" w:author="AbbVie1" w:date="2025-05-13T09:50:00Z">
              <w:r w:rsidRPr="001B4A02">
                <w:rPr>
                  <w:lang w:val="cs-CZ"/>
                </w:rPr>
                <w:delText xml:space="preserve">Pacienti v remisi bez užívání steroidů po dobu </w:delText>
              </w:r>
              <w:r w:rsidR="009D2A3C" w:rsidRPr="001B4A02">
                <w:rPr>
                  <w:rFonts w:ascii="Symbol" w:hAnsi="Symbol"/>
                  <w:lang w:val="cs-CZ"/>
                </w:rPr>
                <w:sym w:font="Symbol" w:char="F0B3"/>
              </w:r>
              <w:r w:rsidRPr="001B4A02">
                <w:rPr>
                  <w:lang w:val="cs-CZ"/>
                </w:rPr>
                <w:delText> 90 dní</w:delText>
              </w:r>
              <w:r w:rsidRPr="001B4A02">
                <w:rPr>
                  <w:vertAlign w:val="superscript"/>
                  <w:lang w:val="cs-CZ"/>
                </w:rPr>
                <w:delText>a</w:delText>
              </w:r>
            </w:del>
          </w:p>
        </w:tc>
        <w:tc>
          <w:tcPr>
            <w:tcW w:w="1700" w:type="dxa"/>
            <w:tcBorders>
              <w:top w:val="single" w:sz="4" w:space="0" w:color="auto"/>
              <w:left w:val="single" w:sz="4" w:space="0" w:color="auto"/>
              <w:bottom w:val="single" w:sz="4" w:space="0" w:color="auto"/>
              <w:right w:val="single" w:sz="4" w:space="0" w:color="auto"/>
            </w:tcBorders>
          </w:tcPr>
          <w:p w14:paraId="6087B413" w14:textId="77777777" w:rsidR="002536CB" w:rsidRPr="001B4A02" w:rsidRDefault="00000000" w:rsidP="00ED48A3">
            <w:pPr>
              <w:pStyle w:val="EMEANormal"/>
              <w:tabs>
                <w:tab w:val="clear" w:pos="562"/>
                <w:tab w:val="left" w:pos="708"/>
              </w:tabs>
              <w:suppressAutoHyphens w:val="0"/>
              <w:jc w:val="center"/>
              <w:rPr>
                <w:del w:id="2531" w:author="AbbVie1" w:date="2025-05-13T09:50:00Z"/>
                <w:lang w:val="cs-CZ"/>
              </w:rPr>
            </w:pPr>
            <w:del w:id="2532" w:author="AbbVie1" w:date="2025-05-13T09:50:00Z">
              <w:r w:rsidRPr="001B4A02">
                <w:rPr>
                  <w:lang w:val="cs-CZ"/>
                </w:rPr>
                <w:delText>3</w:delText>
              </w:r>
              <w:r w:rsidR="009C5EAC" w:rsidRPr="001B4A02">
                <w:rPr>
                  <w:lang w:val="cs-CZ"/>
                </w:rPr>
                <w:delText> </w:delText>
              </w:r>
              <w:r w:rsidRPr="001B4A02">
                <w:rPr>
                  <w:lang w:val="cs-CZ"/>
                </w:rPr>
                <w:delText>% (2 z 66)</w:delText>
              </w:r>
            </w:del>
          </w:p>
        </w:tc>
        <w:tc>
          <w:tcPr>
            <w:tcW w:w="2303" w:type="dxa"/>
            <w:tcBorders>
              <w:top w:val="single" w:sz="4" w:space="0" w:color="auto"/>
              <w:left w:val="single" w:sz="4" w:space="0" w:color="auto"/>
              <w:bottom w:val="single" w:sz="4" w:space="0" w:color="auto"/>
              <w:right w:val="single" w:sz="4" w:space="0" w:color="auto"/>
            </w:tcBorders>
          </w:tcPr>
          <w:p w14:paraId="51141B63" w14:textId="77777777" w:rsidR="002536CB" w:rsidRPr="001B4A02" w:rsidRDefault="00000000" w:rsidP="00ED48A3">
            <w:pPr>
              <w:pStyle w:val="EMEANormal"/>
              <w:tabs>
                <w:tab w:val="clear" w:pos="562"/>
                <w:tab w:val="left" w:pos="708"/>
              </w:tabs>
              <w:suppressAutoHyphens w:val="0"/>
              <w:jc w:val="center"/>
              <w:rPr>
                <w:del w:id="2533" w:author="AbbVie1" w:date="2025-05-13T09:50:00Z"/>
                <w:lang w:val="cs-CZ"/>
              </w:rPr>
            </w:pPr>
            <w:del w:id="2534" w:author="AbbVie1" w:date="2025-05-13T09:50:00Z">
              <w:r w:rsidRPr="001B4A02">
                <w:rPr>
                  <w:lang w:val="cs-CZ"/>
                </w:rPr>
                <w:delText>19</w:delText>
              </w:r>
              <w:r w:rsidR="009C5EAC" w:rsidRPr="001B4A02">
                <w:rPr>
                  <w:lang w:val="cs-CZ"/>
                </w:rPr>
                <w:delText> </w:delText>
              </w:r>
              <w:r w:rsidRPr="001B4A02">
                <w:rPr>
                  <w:lang w:val="cs-CZ"/>
                </w:rPr>
                <w:delText>% (11 z 58)</w:delText>
              </w:r>
              <w:r w:rsidRPr="001B4A02">
                <w:rPr>
                  <w:vertAlign w:val="superscript"/>
                  <w:lang w:val="cs-CZ"/>
                </w:rPr>
                <w:delText xml:space="preserve"> </w:delText>
              </w:r>
              <w:r w:rsidRPr="001B4A02">
                <w:rPr>
                  <w:rFonts w:ascii="Symbol" w:hAnsi="Symbol"/>
                  <w:vertAlign w:val="superscript"/>
                  <w:lang w:val="cs-CZ"/>
                </w:rPr>
                <w:sym w:font="Symbol" w:char="F02A"/>
              </w:r>
              <w:r w:rsidRPr="001B4A02">
                <w:rPr>
                  <w:rFonts w:ascii="Symbol" w:hAnsi="Symbol"/>
                  <w:vertAlign w:val="superscript"/>
                  <w:lang w:val="cs-CZ"/>
                </w:rPr>
                <w:sym w:font="Symbol" w:char="F02A"/>
              </w:r>
            </w:del>
          </w:p>
        </w:tc>
        <w:tc>
          <w:tcPr>
            <w:tcW w:w="2303" w:type="dxa"/>
            <w:tcBorders>
              <w:top w:val="single" w:sz="4" w:space="0" w:color="auto"/>
              <w:left w:val="single" w:sz="4" w:space="0" w:color="auto"/>
              <w:bottom w:val="single" w:sz="4" w:space="0" w:color="auto"/>
              <w:right w:val="single" w:sz="4" w:space="0" w:color="auto"/>
            </w:tcBorders>
          </w:tcPr>
          <w:p w14:paraId="0B6B80AE" w14:textId="77777777" w:rsidR="002536CB" w:rsidRPr="001B4A02" w:rsidRDefault="00000000" w:rsidP="00ED48A3">
            <w:pPr>
              <w:pStyle w:val="EMEANormal"/>
              <w:tabs>
                <w:tab w:val="clear" w:pos="562"/>
                <w:tab w:val="left" w:pos="708"/>
              </w:tabs>
              <w:suppressAutoHyphens w:val="0"/>
              <w:jc w:val="center"/>
              <w:rPr>
                <w:del w:id="2535" w:author="AbbVie1" w:date="2025-05-13T09:50:00Z"/>
                <w:lang w:val="cs-CZ"/>
              </w:rPr>
            </w:pPr>
            <w:del w:id="2536" w:author="AbbVie1" w:date="2025-05-13T09:50:00Z">
              <w:r w:rsidRPr="001B4A02">
                <w:rPr>
                  <w:lang w:val="cs-CZ"/>
                </w:rPr>
                <w:delText>15</w:delText>
              </w:r>
              <w:r w:rsidR="009C5EAC" w:rsidRPr="001B4A02">
                <w:rPr>
                  <w:lang w:val="cs-CZ"/>
                </w:rPr>
                <w:delText> </w:delText>
              </w:r>
              <w:r w:rsidRPr="001B4A02">
                <w:rPr>
                  <w:lang w:val="cs-CZ"/>
                </w:rPr>
                <w:delText>% (11 ze 74)</w:delText>
              </w:r>
              <w:r w:rsidRPr="001B4A02">
                <w:rPr>
                  <w:vertAlign w:val="superscript"/>
                  <w:lang w:val="cs-CZ"/>
                </w:rPr>
                <w:delText xml:space="preserve"> </w:delText>
              </w:r>
              <w:r w:rsidRPr="001B4A02">
                <w:rPr>
                  <w:rFonts w:ascii="Symbol" w:hAnsi="Symbol"/>
                  <w:vertAlign w:val="superscript"/>
                  <w:lang w:val="cs-CZ"/>
                </w:rPr>
                <w:sym w:font="Symbol" w:char="F02A"/>
              </w:r>
              <w:r w:rsidRPr="001B4A02">
                <w:rPr>
                  <w:rFonts w:ascii="Symbol" w:hAnsi="Symbol"/>
                  <w:vertAlign w:val="superscript"/>
                  <w:lang w:val="cs-CZ"/>
                </w:rPr>
                <w:sym w:font="Symbol" w:char="F02A"/>
              </w:r>
            </w:del>
          </w:p>
        </w:tc>
      </w:tr>
      <w:tr w:rsidR="00534A2D" w14:paraId="2E668E3A" w14:textId="77777777" w:rsidTr="008D783A">
        <w:trPr>
          <w:del w:id="2537" w:author="AbbVie1" w:date="2025-05-13T09:50:00Z"/>
        </w:trPr>
        <w:tc>
          <w:tcPr>
            <w:tcW w:w="2905" w:type="dxa"/>
            <w:tcBorders>
              <w:top w:val="single" w:sz="4" w:space="0" w:color="auto"/>
              <w:left w:val="single" w:sz="4" w:space="0" w:color="auto"/>
              <w:bottom w:val="single" w:sz="4" w:space="0" w:color="auto"/>
              <w:right w:val="single" w:sz="4" w:space="0" w:color="auto"/>
            </w:tcBorders>
          </w:tcPr>
          <w:p w14:paraId="106B89E3" w14:textId="77777777" w:rsidR="002536CB" w:rsidRPr="001B4A02" w:rsidRDefault="00000000" w:rsidP="00ED48A3">
            <w:pPr>
              <w:pStyle w:val="EMEANormal"/>
              <w:tabs>
                <w:tab w:val="clear" w:pos="562"/>
                <w:tab w:val="left" w:pos="708"/>
              </w:tabs>
              <w:suppressAutoHyphens w:val="0"/>
              <w:rPr>
                <w:del w:id="2538" w:author="AbbVie1" w:date="2025-05-13T09:50:00Z"/>
                <w:b/>
                <w:bCs/>
                <w:lang w:val="cs-CZ"/>
              </w:rPr>
            </w:pPr>
            <w:del w:id="2539" w:author="AbbVie1" w:date="2025-05-13T09:50:00Z">
              <w:r w:rsidRPr="001B4A02">
                <w:rPr>
                  <w:b/>
                  <w:bCs/>
                  <w:lang w:val="cs-CZ"/>
                </w:rPr>
                <w:delText>Týden 56</w:delText>
              </w:r>
            </w:del>
          </w:p>
        </w:tc>
        <w:tc>
          <w:tcPr>
            <w:tcW w:w="1700" w:type="dxa"/>
            <w:tcBorders>
              <w:top w:val="single" w:sz="4" w:space="0" w:color="auto"/>
              <w:left w:val="single" w:sz="4" w:space="0" w:color="auto"/>
              <w:bottom w:val="single" w:sz="4" w:space="0" w:color="auto"/>
              <w:right w:val="single" w:sz="4" w:space="0" w:color="auto"/>
            </w:tcBorders>
          </w:tcPr>
          <w:p w14:paraId="08957AB2" w14:textId="77777777" w:rsidR="002536CB" w:rsidRPr="001B4A02" w:rsidRDefault="00000000" w:rsidP="00ED48A3">
            <w:pPr>
              <w:pStyle w:val="EMEANormal"/>
              <w:tabs>
                <w:tab w:val="clear" w:pos="562"/>
                <w:tab w:val="left" w:pos="708"/>
              </w:tabs>
              <w:suppressAutoHyphens w:val="0"/>
              <w:jc w:val="center"/>
              <w:rPr>
                <w:del w:id="2540" w:author="AbbVie1" w:date="2025-05-13T09:50:00Z"/>
                <w:b/>
                <w:bCs/>
                <w:lang w:val="cs-CZ"/>
              </w:rPr>
            </w:pPr>
            <w:del w:id="2541" w:author="AbbVie1" w:date="2025-05-13T09:50:00Z">
              <w:r>
                <w:rPr>
                  <w:b/>
                  <w:bCs/>
                  <w:lang w:val="cs-CZ"/>
                </w:rPr>
                <w:delText>n</w:delText>
              </w:r>
              <w:r w:rsidRPr="001B4A02">
                <w:rPr>
                  <w:b/>
                  <w:bCs/>
                  <w:lang w:val="cs-CZ"/>
                </w:rPr>
                <w:delText>=170</w:delText>
              </w:r>
            </w:del>
          </w:p>
        </w:tc>
        <w:tc>
          <w:tcPr>
            <w:tcW w:w="2303" w:type="dxa"/>
            <w:tcBorders>
              <w:top w:val="single" w:sz="4" w:space="0" w:color="auto"/>
              <w:left w:val="single" w:sz="4" w:space="0" w:color="auto"/>
              <w:bottom w:val="single" w:sz="4" w:space="0" w:color="auto"/>
              <w:right w:val="single" w:sz="4" w:space="0" w:color="auto"/>
            </w:tcBorders>
          </w:tcPr>
          <w:p w14:paraId="6990BF1A" w14:textId="77777777" w:rsidR="002536CB" w:rsidRPr="001B4A02" w:rsidRDefault="00000000" w:rsidP="00ED48A3">
            <w:pPr>
              <w:pStyle w:val="EMEANormal"/>
              <w:tabs>
                <w:tab w:val="clear" w:pos="562"/>
                <w:tab w:val="left" w:pos="708"/>
              </w:tabs>
              <w:suppressAutoHyphens w:val="0"/>
              <w:jc w:val="center"/>
              <w:rPr>
                <w:del w:id="2542" w:author="AbbVie1" w:date="2025-05-13T09:50:00Z"/>
                <w:b/>
                <w:bCs/>
                <w:lang w:val="cs-CZ"/>
              </w:rPr>
            </w:pPr>
            <w:del w:id="2543" w:author="AbbVie1" w:date="2025-05-13T09:50:00Z">
              <w:r>
                <w:rPr>
                  <w:b/>
                  <w:bCs/>
                  <w:lang w:val="cs-CZ"/>
                </w:rPr>
                <w:delText>n</w:delText>
              </w:r>
              <w:r w:rsidRPr="001B4A02">
                <w:rPr>
                  <w:b/>
                  <w:bCs/>
                  <w:lang w:val="cs-CZ"/>
                </w:rPr>
                <w:delText>=172</w:delText>
              </w:r>
            </w:del>
          </w:p>
        </w:tc>
        <w:tc>
          <w:tcPr>
            <w:tcW w:w="2303" w:type="dxa"/>
            <w:tcBorders>
              <w:top w:val="single" w:sz="4" w:space="0" w:color="auto"/>
              <w:left w:val="single" w:sz="4" w:space="0" w:color="auto"/>
              <w:bottom w:val="single" w:sz="4" w:space="0" w:color="auto"/>
              <w:right w:val="single" w:sz="4" w:space="0" w:color="auto"/>
            </w:tcBorders>
          </w:tcPr>
          <w:p w14:paraId="71002A60" w14:textId="77777777" w:rsidR="002536CB" w:rsidRPr="001B4A02" w:rsidRDefault="00000000" w:rsidP="00ED48A3">
            <w:pPr>
              <w:pStyle w:val="EMEANormal"/>
              <w:tabs>
                <w:tab w:val="clear" w:pos="562"/>
                <w:tab w:val="left" w:pos="708"/>
              </w:tabs>
              <w:suppressAutoHyphens w:val="0"/>
              <w:jc w:val="center"/>
              <w:rPr>
                <w:del w:id="2544" w:author="AbbVie1" w:date="2025-05-13T09:50:00Z"/>
                <w:b/>
                <w:bCs/>
                <w:lang w:val="cs-CZ"/>
              </w:rPr>
            </w:pPr>
            <w:del w:id="2545" w:author="AbbVie1" w:date="2025-05-13T09:50:00Z">
              <w:r>
                <w:rPr>
                  <w:b/>
                  <w:bCs/>
                  <w:lang w:val="cs-CZ"/>
                </w:rPr>
                <w:delText>n</w:delText>
              </w:r>
              <w:r w:rsidRPr="001B4A02">
                <w:rPr>
                  <w:b/>
                  <w:bCs/>
                  <w:lang w:val="cs-CZ"/>
                </w:rPr>
                <w:delText>=157</w:delText>
              </w:r>
            </w:del>
          </w:p>
        </w:tc>
      </w:tr>
      <w:tr w:rsidR="00534A2D" w14:paraId="46A170CB" w14:textId="77777777" w:rsidTr="008D783A">
        <w:trPr>
          <w:del w:id="2546" w:author="AbbVie1" w:date="2025-05-13T09:50:00Z"/>
        </w:trPr>
        <w:tc>
          <w:tcPr>
            <w:tcW w:w="2905" w:type="dxa"/>
            <w:tcBorders>
              <w:top w:val="single" w:sz="4" w:space="0" w:color="auto"/>
              <w:left w:val="single" w:sz="4" w:space="0" w:color="auto"/>
              <w:bottom w:val="single" w:sz="4" w:space="0" w:color="auto"/>
              <w:right w:val="single" w:sz="4" w:space="0" w:color="auto"/>
            </w:tcBorders>
          </w:tcPr>
          <w:p w14:paraId="2F6B0988" w14:textId="77777777" w:rsidR="002536CB" w:rsidRPr="001B4A02" w:rsidRDefault="00000000" w:rsidP="00ED48A3">
            <w:pPr>
              <w:pStyle w:val="EMEANormal"/>
              <w:tabs>
                <w:tab w:val="clear" w:pos="562"/>
                <w:tab w:val="left" w:pos="708"/>
              </w:tabs>
              <w:suppressAutoHyphens w:val="0"/>
              <w:rPr>
                <w:del w:id="2547" w:author="AbbVie1" w:date="2025-05-13T09:50:00Z"/>
                <w:lang w:val="cs-CZ"/>
              </w:rPr>
            </w:pPr>
            <w:del w:id="2548" w:author="AbbVie1" w:date="2025-05-13T09:50:00Z">
              <w:r w:rsidRPr="001B4A02">
                <w:rPr>
                  <w:lang w:val="cs-CZ"/>
                </w:rPr>
                <w:delText>Klinická remise</w:delText>
              </w:r>
            </w:del>
          </w:p>
        </w:tc>
        <w:tc>
          <w:tcPr>
            <w:tcW w:w="1700" w:type="dxa"/>
            <w:tcBorders>
              <w:top w:val="single" w:sz="4" w:space="0" w:color="auto"/>
              <w:left w:val="single" w:sz="4" w:space="0" w:color="auto"/>
              <w:bottom w:val="single" w:sz="4" w:space="0" w:color="auto"/>
              <w:right w:val="single" w:sz="4" w:space="0" w:color="auto"/>
            </w:tcBorders>
          </w:tcPr>
          <w:p w14:paraId="385984AB" w14:textId="77777777" w:rsidR="002536CB" w:rsidRPr="001B4A02" w:rsidRDefault="00000000" w:rsidP="00ED48A3">
            <w:pPr>
              <w:pStyle w:val="EMEANormal"/>
              <w:tabs>
                <w:tab w:val="clear" w:pos="562"/>
                <w:tab w:val="left" w:pos="708"/>
              </w:tabs>
              <w:suppressAutoHyphens w:val="0"/>
              <w:jc w:val="center"/>
              <w:rPr>
                <w:del w:id="2549" w:author="AbbVie1" w:date="2025-05-13T09:50:00Z"/>
                <w:lang w:val="cs-CZ"/>
              </w:rPr>
            </w:pPr>
            <w:del w:id="2550" w:author="AbbVie1" w:date="2025-05-13T09:50:00Z">
              <w:r w:rsidRPr="001B4A02">
                <w:rPr>
                  <w:lang w:val="cs-CZ"/>
                </w:rPr>
                <w:delText>12</w:delText>
              </w:r>
              <w:r w:rsidR="009C5EAC" w:rsidRPr="001B4A02">
                <w:rPr>
                  <w:lang w:val="cs-CZ"/>
                </w:rPr>
                <w:delText> </w:delText>
              </w:r>
              <w:r w:rsidRPr="001B4A02">
                <w:rPr>
                  <w:lang w:val="cs-CZ"/>
                </w:rPr>
                <w:delText>%</w:delText>
              </w:r>
            </w:del>
          </w:p>
        </w:tc>
        <w:tc>
          <w:tcPr>
            <w:tcW w:w="2303" w:type="dxa"/>
            <w:tcBorders>
              <w:top w:val="single" w:sz="4" w:space="0" w:color="auto"/>
              <w:left w:val="single" w:sz="4" w:space="0" w:color="auto"/>
              <w:bottom w:val="single" w:sz="4" w:space="0" w:color="auto"/>
              <w:right w:val="single" w:sz="4" w:space="0" w:color="auto"/>
            </w:tcBorders>
          </w:tcPr>
          <w:p w14:paraId="5D435AED" w14:textId="77777777" w:rsidR="002536CB" w:rsidRPr="001B4A02" w:rsidRDefault="00000000" w:rsidP="00ED48A3">
            <w:pPr>
              <w:pStyle w:val="EMEANormal"/>
              <w:tabs>
                <w:tab w:val="clear" w:pos="562"/>
                <w:tab w:val="left" w:pos="708"/>
              </w:tabs>
              <w:suppressAutoHyphens w:val="0"/>
              <w:jc w:val="center"/>
              <w:rPr>
                <w:del w:id="2551" w:author="AbbVie1" w:date="2025-05-13T09:50:00Z"/>
                <w:lang w:val="cs-CZ"/>
              </w:rPr>
            </w:pPr>
            <w:del w:id="2552" w:author="AbbVie1" w:date="2025-05-13T09:50:00Z">
              <w:r w:rsidRPr="001B4A02">
                <w:rPr>
                  <w:lang w:val="cs-CZ"/>
                </w:rPr>
                <w:delText>36</w:delText>
              </w:r>
              <w:r w:rsidR="009C5EAC" w:rsidRPr="001B4A02">
                <w:rPr>
                  <w:lang w:val="cs-CZ"/>
                </w:rPr>
                <w:delText> </w:delText>
              </w:r>
              <w:r w:rsidRPr="001B4A02">
                <w:rPr>
                  <w:lang w:val="cs-CZ"/>
                </w:rPr>
                <w:delText>%</w:delText>
              </w:r>
              <w:r w:rsidRPr="001B4A02">
                <w:rPr>
                  <w:rFonts w:ascii="Symbol" w:hAnsi="Symbol"/>
                  <w:vertAlign w:val="superscript"/>
                  <w:lang w:val="cs-CZ"/>
                </w:rPr>
                <w:sym w:font="Symbol" w:char="F02A"/>
              </w:r>
            </w:del>
          </w:p>
        </w:tc>
        <w:tc>
          <w:tcPr>
            <w:tcW w:w="2303" w:type="dxa"/>
            <w:tcBorders>
              <w:top w:val="single" w:sz="4" w:space="0" w:color="auto"/>
              <w:left w:val="single" w:sz="4" w:space="0" w:color="auto"/>
              <w:bottom w:val="single" w:sz="4" w:space="0" w:color="auto"/>
              <w:right w:val="single" w:sz="4" w:space="0" w:color="auto"/>
            </w:tcBorders>
          </w:tcPr>
          <w:p w14:paraId="7C0428E2" w14:textId="77777777" w:rsidR="002536CB" w:rsidRPr="001B4A02" w:rsidRDefault="00000000" w:rsidP="00ED48A3">
            <w:pPr>
              <w:pStyle w:val="EMEANormal"/>
              <w:tabs>
                <w:tab w:val="clear" w:pos="562"/>
                <w:tab w:val="left" w:pos="708"/>
              </w:tabs>
              <w:suppressAutoHyphens w:val="0"/>
              <w:jc w:val="center"/>
              <w:rPr>
                <w:del w:id="2553" w:author="AbbVie1" w:date="2025-05-13T09:50:00Z"/>
                <w:lang w:val="cs-CZ"/>
              </w:rPr>
            </w:pPr>
            <w:del w:id="2554" w:author="AbbVie1" w:date="2025-05-13T09:50:00Z">
              <w:r w:rsidRPr="001B4A02">
                <w:rPr>
                  <w:lang w:val="cs-CZ"/>
                </w:rPr>
                <w:delText>41</w:delText>
              </w:r>
              <w:r w:rsidR="009C5EAC" w:rsidRPr="001B4A02">
                <w:rPr>
                  <w:lang w:val="cs-CZ"/>
                </w:rPr>
                <w:delText> </w:delText>
              </w:r>
              <w:r w:rsidRPr="001B4A02">
                <w:rPr>
                  <w:lang w:val="cs-CZ"/>
                </w:rPr>
                <w:delText>%</w:delText>
              </w:r>
              <w:r w:rsidRPr="001B4A02">
                <w:rPr>
                  <w:rFonts w:ascii="Symbol" w:hAnsi="Symbol"/>
                  <w:vertAlign w:val="superscript"/>
                  <w:lang w:val="cs-CZ"/>
                </w:rPr>
                <w:sym w:font="Symbol" w:char="F02A"/>
              </w:r>
            </w:del>
          </w:p>
        </w:tc>
      </w:tr>
      <w:tr w:rsidR="00534A2D" w14:paraId="3D7A617D" w14:textId="77777777" w:rsidTr="008D783A">
        <w:trPr>
          <w:del w:id="2555" w:author="AbbVie1" w:date="2025-05-13T09:50:00Z"/>
        </w:trPr>
        <w:tc>
          <w:tcPr>
            <w:tcW w:w="2905" w:type="dxa"/>
            <w:tcBorders>
              <w:top w:val="single" w:sz="4" w:space="0" w:color="auto"/>
              <w:left w:val="single" w:sz="4" w:space="0" w:color="auto"/>
              <w:bottom w:val="single" w:sz="4" w:space="0" w:color="auto"/>
              <w:right w:val="single" w:sz="4" w:space="0" w:color="auto"/>
            </w:tcBorders>
          </w:tcPr>
          <w:p w14:paraId="3A70FDFA" w14:textId="77777777" w:rsidR="002536CB" w:rsidRPr="001B4A02" w:rsidRDefault="00000000" w:rsidP="00ED48A3">
            <w:pPr>
              <w:pStyle w:val="EMEANormal"/>
              <w:tabs>
                <w:tab w:val="clear" w:pos="562"/>
                <w:tab w:val="left" w:pos="708"/>
              </w:tabs>
              <w:suppressAutoHyphens w:val="0"/>
              <w:rPr>
                <w:del w:id="2556" w:author="AbbVie1" w:date="2025-05-13T09:50:00Z"/>
                <w:lang w:val="cs-CZ"/>
              </w:rPr>
            </w:pPr>
            <w:del w:id="2557" w:author="AbbVie1" w:date="2025-05-13T09:50:00Z">
              <w:r w:rsidRPr="001B4A02">
                <w:rPr>
                  <w:lang w:val="cs-CZ"/>
                </w:rPr>
                <w:delText>Klinická odpověď (CR-100)</w:delText>
              </w:r>
            </w:del>
          </w:p>
        </w:tc>
        <w:tc>
          <w:tcPr>
            <w:tcW w:w="1700" w:type="dxa"/>
            <w:tcBorders>
              <w:top w:val="single" w:sz="4" w:space="0" w:color="auto"/>
              <w:left w:val="single" w:sz="4" w:space="0" w:color="auto"/>
              <w:bottom w:val="single" w:sz="4" w:space="0" w:color="auto"/>
              <w:right w:val="single" w:sz="4" w:space="0" w:color="auto"/>
            </w:tcBorders>
          </w:tcPr>
          <w:p w14:paraId="1BCC3EAF" w14:textId="77777777" w:rsidR="002536CB" w:rsidRPr="001B4A02" w:rsidRDefault="00000000" w:rsidP="00ED48A3">
            <w:pPr>
              <w:pStyle w:val="EMEANormal"/>
              <w:tabs>
                <w:tab w:val="clear" w:pos="562"/>
                <w:tab w:val="left" w:pos="708"/>
              </w:tabs>
              <w:suppressAutoHyphens w:val="0"/>
              <w:jc w:val="center"/>
              <w:rPr>
                <w:del w:id="2558" w:author="AbbVie1" w:date="2025-05-13T09:50:00Z"/>
                <w:lang w:val="cs-CZ"/>
              </w:rPr>
            </w:pPr>
            <w:del w:id="2559" w:author="AbbVie1" w:date="2025-05-13T09:50:00Z">
              <w:r w:rsidRPr="001B4A02">
                <w:rPr>
                  <w:lang w:val="cs-CZ"/>
                </w:rPr>
                <w:delText>17</w:delText>
              </w:r>
              <w:r w:rsidR="009C5EAC" w:rsidRPr="001B4A02">
                <w:rPr>
                  <w:lang w:val="cs-CZ"/>
                </w:rPr>
                <w:delText> </w:delText>
              </w:r>
              <w:r w:rsidRPr="001B4A02">
                <w:rPr>
                  <w:lang w:val="cs-CZ"/>
                </w:rPr>
                <w:delText>%</w:delText>
              </w:r>
            </w:del>
          </w:p>
        </w:tc>
        <w:tc>
          <w:tcPr>
            <w:tcW w:w="2303" w:type="dxa"/>
            <w:tcBorders>
              <w:top w:val="single" w:sz="4" w:space="0" w:color="auto"/>
              <w:left w:val="single" w:sz="4" w:space="0" w:color="auto"/>
              <w:bottom w:val="single" w:sz="4" w:space="0" w:color="auto"/>
              <w:right w:val="single" w:sz="4" w:space="0" w:color="auto"/>
            </w:tcBorders>
          </w:tcPr>
          <w:p w14:paraId="058D7168" w14:textId="77777777" w:rsidR="002536CB" w:rsidRPr="001B4A02" w:rsidRDefault="00000000" w:rsidP="00ED48A3">
            <w:pPr>
              <w:pStyle w:val="EMEANormal"/>
              <w:tabs>
                <w:tab w:val="clear" w:pos="562"/>
                <w:tab w:val="left" w:pos="708"/>
              </w:tabs>
              <w:suppressAutoHyphens w:val="0"/>
              <w:jc w:val="center"/>
              <w:rPr>
                <w:del w:id="2560" w:author="AbbVie1" w:date="2025-05-13T09:50:00Z"/>
                <w:lang w:val="cs-CZ"/>
              </w:rPr>
            </w:pPr>
            <w:del w:id="2561" w:author="AbbVie1" w:date="2025-05-13T09:50:00Z">
              <w:r w:rsidRPr="001B4A02">
                <w:rPr>
                  <w:lang w:val="cs-CZ"/>
                </w:rPr>
                <w:delText>41</w:delText>
              </w:r>
              <w:r w:rsidR="009C5EAC" w:rsidRPr="001B4A02">
                <w:rPr>
                  <w:lang w:val="cs-CZ"/>
                </w:rPr>
                <w:delText> </w:delText>
              </w:r>
              <w:r w:rsidRPr="001B4A02">
                <w:rPr>
                  <w:lang w:val="cs-CZ"/>
                </w:rPr>
                <w:delText>%</w:delText>
              </w:r>
              <w:r w:rsidRPr="001B4A02">
                <w:rPr>
                  <w:rFonts w:ascii="Symbol" w:hAnsi="Symbol"/>
                  <w:vertAlign w:val="superscript"/>
                  <w:lang w:val="cs-CZ"/>
                </w:rPr>
                <w:sym w:font="Symbol" w:char="F02A"/>
              </w:r>
            </w:del>
          </w:p>
        </w:tc>
        <w:tc>
          <w:tcPr>
            <w:tcW w:w="2303" w:type="dxa"/>
            <w:tcBorders>
              <w:top w:val="single" w:sz="4" w:space="0" w:color="auto"/>
              <w:left w:val="single" w:sz="4" w:space="0" w:color="auto"/>
              <w:bottom w:val="single" w:sz="4" w:space="0" w:color="auto"/>
              <w:right w:val="single" w:sz="4" w:space="0" w:color="auto"/>
            </w:tcBorders>
          </w:tcPr>
          <w:p w14:paraId="1E444E3E" w14:textId="77777777" w:rsidR="002536CB" w:rsidRPr="001B4A02" w:rsidRDefault="00000000" w:rsidP="00ED48A3">
            <w:pPr>
              <w:pStyle w:val="EMEANormal"/>
              <w:tabs>
                <w:tab w:val="clear" w:pos="562"/>
                <w:tab w:val="left" w:pos="708"/>
              </w:tabs>
              <w:suppressAutoHyphens w:val="0"/>
              <w:jc w:val="center"/>
              <w:rPr>
                <w:del w:id="2562" w:author="AbbVie1" w:date="2025-05-13T09:50:00Z"/>
                <w:lang w:val="cs-CZ"/>
              </w:rPr>
            </w:pPr>
            <w:del w:id="2563" w:author="AbbVie1" w:date="2025-05-13T09:50:00Z">
              <w:r w:rsidRPr="001B4A02">
                <w:rPr>
                  <w:lang w:val="cs-CZ"/>
                </w:rPr>
                <w:delText>48</w:delText>
              </w:r>
              <w:r w:rsidR="009C5EAC" w:rsidRPr="001B4A02">
                <w:rPr>
                  <w:lang w:val="cs-CZ"/>
                </w:rPr>
                <w:delText> </w:delText>
              </w:r>
              <w:r w:rsidRPr="001B4A02">
                <w:rPr>
                  <w:lang w:val="cs-CZ"/>
                </w:rPr>
                <w:delText>%</w:delText>
              </w:r>
              <w:r w:rsidRPr="001B4A02">
                <w:rPr>
                  <w:rFonts w:ascii="Symbol" w:hAnsi="Symbol"/>
                  <w:vertAlign w:val="superscript"/>
                  <w:lang w:val="cs-CZ"/>
                </w:rPr>
                <w:sym w:font="Symbol" w:char="F02A"/>
              </w:r>
            </w:del>
          </w:p>
        </w:tc>
      </w:tr>
      <w:tr w:rsidR="00534A2D" w14:paraId="1D32C42B" w14:textId="77777777" w:rsidTr="008D783A">
        <w:trPr>
          <w:del w:id="2564" w:author="AbbVie1" w:date="2025-05-13T09:50:00Z"/>
        </w:trPr>
        <w:tc>
          <w:tcPr>
            <w:tcW w:w="2905" w:type="dxa"/>
            <w:tcBorders>
              <w:top w:val="single" w:sz="4" w:space="0" w:color="auto"/>
              <w:left w:val="single" w:sz="4" w:space="0" w:color="auto"/>
              <w:bottom w:val="single" w:sz="4" w:space="0" w:color="auto"/>
              <w:right w:val="single" w:sz="4" w:space="0" w:color="auto"/>
            </w:tcBorders>
          </w:tcPr>
          <w:p w14:paraId="1AFABE65" w14:textId="77777777" w:rsidR="002536CB" w:rsidRPr="001B4A02" w:rsidRDefault="00000000" w:rsidP="00ED48A3">
            <w:pPr>
              <w:pStyle w:val="EMEANormal"/>
              <w:tabs>
                <w:tab w:val="clear" w:pos="562"/>
                <w:tab w:val="left" w:pos="708"/>
              </w:tabs>
              <w:suppressAutoHyphens w:val="0"/>
              <w:ind w:left="142"/>
              <w:rPr>
                <w:del w:id="2565" w:author="AbbVie1" w:date="2025-05-13T09:50:00Z"/>
                <w:lang w:val="cs-CZ"/>
              </w:rPr>
            </w:pPr>
            <w:del w:id="2566" w:author="AbbVie1" w:date="2025-05-13T09:50:00Z">
              <w:r w:rsidRPr="001B4A02">
                <w:rPr>
                  <w:lang w:val="cs-CZ"/>
                </w:rPr>
                <w:delText xml:space="preserve">Pacienti v remisi bez užívání steroidů po dobu </w:delText>
              </w:r>
              <w:r w:rsidR="009D2A3C" w:rsidRPr="001B4A02">
                <w:rPr>
                  <w:rFonts w:ascii="Symbol" w:hAnsi="Symbol"/>
                  <w:lang w:val="cs-CZ"/>
                </w:rPr>
                <w:sym w:font="Symbol" w:char="F0B3"/>
              </w:r>
              <w:r w:rsidRPr="001B4A02">
                <w:rPr>
                  <w:lang w:val="cs-CZ"/>
                </w:rPr>
                <w:delText> 90 dní</w:delText>
              </w:r>
              <w:r w:rsidRPr="001B4A02">
                <w:rPr>
                  <w:vertAlign w:val="superscript"/>
                  <w:lang w:val="cs-CZ"/>
                </w:rPr>
                <w:delText>a</w:delText>
              </w:r>
            </w:del>
          </w:p>
        </w:tc>
        <w:tc>
          <w:tcPr>
            <w:tcW w:w="1700" w:type="dxa"/>
            <w:tcBorders>
              <w:top w:val="single" w:sz="4" w:space="0" w:color="auto"/>
              <w:left w:val="single" w:sz="4" w:space="0" w:color="auto"/>
              <w:bottom w:val="single" w:sz="4" w:space="0" w:color="auto"/>
              <w:right w:val="single" w:sz="4" w:space="0" w:color="auto"/>
            </w:tcBorders>
          </w:tcPr>
          <w:p w14:paraId="2066F532" w14:textId="77777777" w:rsidR="002536CB" w:rsidRPr="001B4A02" w:rsidRDefault="00000000" w:rsidP="00ED48A3">
            <w:pPr>
              <w:pStyle w:val="EMEANormal"/>
              <w:tabs>
                <w:tab w:val="clear" w:pos="562"/>
                <w:tab w:val="left" w:pos="708"/>
              </w:tabs>
              <w:suppressAutoHyphens w:val="0"/>
              <w:jc w:val="center"/>
              <w:rPr>
                <w:del w:id="2567" w:author="AbbVie1" w:date="2025-05-13T09:50:00Z"/>
                <w:lang w:val="cs-CZ"/>
              </w:rPr>
            </w:pPr>
            <w:del w:id="2568" w:author="AbbVie1" w:date="2025-05-13T09:50:00Z">
              <w:r w:rsidRPr="001B4A02">
                <w:rPr>
                  <w:lang w:val="cs-CZ"/>
                </w:rPr>
                <w:delText>5</w:delText>
              </w:r>
              <w:r w:rsidR="009C5EAC" w:rsidRPr="001B4A02">
                <w:rPr>
                  <w:lang w:val="cs-CZ"/>
                </w:rPr>
                <w:delText> </w:delText>
              </w:r>
              <w:r w:rsidRPr="001B4A02">
                <w:rPr>
                  <w:lang w:val="cs-CZ"/>
                </w:rPr>
                <w:delText>% (3 z 66)</w:delText>
              </w:r>
            </w:del>
          </w:p>
        </w:tc>
        <w:tc>
          <w:tcPr>
            <w:tcW w:w="2303" w:type="dxa"/>
            <w:tcBorders>
              <w:top w:val="single" w:sz="4" w:space="0" w:color="auto"/>
              <w:left w:val="single" w:sz="4" w:space="0" w:color="auto"/>
              <w:bottom w:val="single" w:sz="4" w:space="0" w:color="auto"/>
              <w:right w:val="single" w:sz="4" w:space="0" w:color="auto"/>
            </w:tcBorders>
          </w:tcPr>
          <w:p w14:paraId="28D9441A" w14:textId="77777777" w:rsidR="002536CB" w:rsidRPr="001B4A02" w:rsidRDefault="00000000" w:rsidP="00ED48A3">
            <w:pPr>
              <w:pStyle w:val="EMEANormal"/>
              <w:tabs>
                <w:tab w:val="clear" w:pos="562"/>
                <w:tab w:val="left" w:pos="708"/>
              </w:tabs>
              <w:suppressAutoHyphens w:val="0"/>
              <w:jc w:val="center"/>
              <w:rPr>
                <w:del w:id="2569" w:author="AbbVie1" w:date="2025-05-13T09:50:00Z"/>
                <w:lang w:val="cs-CZ"/>
              </w:rPr>
            </w:pPr>
            <w:del w:id="2570" w:author="AbbVie1" w:date="2025-05-13T09:50:00Z">
              <w:r w:rsidRPr="001B4A02">
                <w:rPr>
                  <w:lang w:val="cs-CZ"/>
                </w:rPr>
                <w:delText>29</w:delText>
              </w:r>
              <w:r w:rsidR="009C5EAC" w:rsidRPr="001B4A02">
                <w:rPr>
                  <w:lang w:val="cs-CZ"/>
                </w:rPr>
                <w:delText> </w:delText>
              </w:r>
              <w:r w:rsidRPr="001B4A02">
                <w:rPr>
                  <w:lang w:val="cs-CZ"/>
                </w:rPr>
                <w:delText>% (17 z</w:delText>
              </w:r>
              <w:r w:rsidR="004970F6" w:rsidRPr="001B4A02">
                <w:rPr>
                  <w:lang w:val="cs-CZ"/>
                </w:rPr>
                <w:delText> </w:delText>
              </w:r>
              <w:r w:rsidRPr="001B4A02">
                <w:rPr>
                  <w:lang w:val="cs-CZ"/>
                </w:rPr>
                <w:delText>58)</w:delText>
              </w:r>
              <w:r w:rsidRPr="001B4A02">
                <w:rPr>
                  <w:vertAlign w:val="superscript"/>
                  <w:lang w:val="cs-CZ"/>
                </w:rPr>
                <w:delText xml:space="preserve"> </w:delText>
              </w:r>
              <w:r w:rsidRPr="001B4A02">
                <w:rPr>
                  <w:rFonts w:ascii="Symbol" w:hAnsi="Symbol"/>
                  <w:vertAlign w:val="superscript"/>
                  <w:lang w:val="cs-CZ"/>
                </w:rPr>
                <w:sym w:font="Symbol" w:char="F02A"/>
              </w:r>
            </w:del>
          </w:p>
        </w:tc>
        <w:tc>
          <w:tcPr>
            <w:tcW w:w="2303" w:type="dxa"/>
            <w:tcBorders>
              <w:top w:val="single" w:sz="4" w:space="0" w:color="auto"/>
              <w:left w:val="single" w:sz="4" w:space="0" w:color="auto"/>
              <w:bottom w:val="single" w:sz="4" w:space="0" w:color="auto"/>
              <w:right w:val="single" w:sz="4" w:space="0" w:color="auto"/>
            </w:tcBorders>
          </w:tcPr>
          <w:p w14:paraId="3216511E" w14:textId="77777777" w:rsidR="002536CB" w:rsidRPr="001B4A02" w:rsidRDefault="00000000" w:rsidP="00ED48A3">
            <w:pPr>
              <w:pStyle w:val="EMEANormal"/>
              <w:tabs>
                <w:tab w:val="clear" w:pos="562"/>
                <w:tab w:val="left" w:pos="708"/>
              </w:tabs>
              <w:suppressAutoHyphens w:val="0"/>
              <w:jc w:val="center"/>
              <w:rPr>
                <w:del w:id="2571" w:author="AbbVie1" w:date="2025-05-13T09:50:00Z"/>
                <w:lang w:val="cs-CZ"/>
              </w:rPr>
            </w:pPr>
            <w:del w:id="2572" w:author="AbbVie1" w:date="2025-05-13T09:50:00Z">
              <w:r w:rsidRPr="001B4A02">
                <w:rPr>
                  <w:lang w:val="cs-CZ"/>
                </w:rPr>
                <w:delText>20</w:delText>
              </w:r>
              <w:r w:rsidR="009C5EAC" w:rsidRPr="001B4A02">
                <w:rPr>
                  <w:lang w:val="cs-CZ"/>
                </w:rPr>
                <w:delText> </w:delText>
              </w:r>
              <w:r w:rsidRPr="001B4A02">
                <w:rPr>
                  <w:lang w:val="cs-CZ"/>
                </w:rPr>
                <w:delText>% (15 ze 74)</w:delText>
              </w:r>
              <w:r w:rsidRPr="001B4A02">
                <w:rPr>
                  <w:vertAlign w:val="superscript"/>
                  <w:lang w:val="cs-CZ"/>
                </w:rPr>
                <w:delText xml:space="preserve"> </w:delText>
              </w:r>
              <w:r w:rsidRPr="001B4A02">
                <w:rPr>
                  <w:rFonts w:ascii="Symbol" w:hAnsi="Symbol"/>
                  <w:vertAlign w:val="superscript"/>
                  <w:lang w:val="cs-CZ"/>
                </w:rPr>
                <w:sym w:font="Symbol" w:char="F02A"/>
              </w:r>
              <w:r w:rsidRPr="001B4A02">
                <w:rPr>
                  <w:rFonts w:ascii="Symbol" w:hAnsi="Symbol"/>
                  <w:vertAlign w:val="superscript"/>
                  <w:lang w:val="cs-CZ"/>
                </w:rPr>
                <w:sym w:font="Symbol" w:char="F02A"/>
              </w:r>
            </w:del>
          </w:p>
        </w:tc>
      </w:tr>
    </w:tbl>
    <w:p w14:paraId="3F9C580C" w14:textId="77777777" w:rsidR="002536CB" w:rsidRPr="001B4A02" w:rsidRDefault="00000000" w:rsidP="00ED48A3">
      <w:pPr>
        <w:pStyle w:val="EMEANormal"/>
        <w:tabs>
          <w:tab w:val="clear" w:pos="562"/>
          <w:tab w:val="left" w:pos="708"/>
        </w:tabs>
        <w:suppressAutoHyphens w:val="0"/>
        <w:rPr>
          <w:del w:id="2573" w:author="AbbVie1" w:date="2025-05-13T09:50:00Z"/>
          <w:bCs/>
          <w:sz w:val="20"/>
          <w:lang w:val="cs-CZ"/>
        </w:rPr>
      </w:pPr>
      <w:del w:id="2574" w:author="AbbVie1" w:date="2025-05-13T09:50:00Z">
        <w:r w:rsidRPr="001B4A02">
          <w:rPr>
            <w:rFonts w:ascii="Symbol" w:hAnsi="Symbol"/>
            <w:sz w:val="20"/>
            <w:vertAlign w:val="superscript"/>
            <w:lang w:val="cs-CZ"/>
          </w:rPr>
          <w:sym w:font="Symbol" w:char="F02A"/>
        </w:r>
        <w:r w:rsidRPr="001B4A02">
          <w:rPr>
            <w:sz w:val="20"/>
            <w:vertAlign w:val="superscript"/>
            <w:lang w:val="cs-CZ"/>
          </w:rPr>
          <w:delText xml:space="preserve"> </w:delText>
        </w:r>
        <w:r w:rsidRPr="001B4A02">
          <w:rPr>
            <w:sz w:val="20"/>
            <w:lang w:val="cs-CZ"/>
          </w:rPr>
          <w:delText xml:space="preserve">p </w:delText>
        </w:r>
        <w:r w:rsidRPr="001B4A02">
          <w:rPr>
            <w:rFonts w:ascii="Symbol" w:hAnsi="Symbol"/>
            <w:sz w:val="20"/>
            <w:lang w:val="cs-CZ"/>
          </w:rPr>
          <w:sym w:font="Symbol" w:char="F03C"/>
        </w:r>
        <w:r w:rsidRPr="001B4A02">
          <w:rPr>
            <w:sz w:val="20"/>
            <w:lang w:val="cs-CZ"/>
          </w:rPr>
          <w:delText xml:space="preserve"> 0,001 </w:delText>
        </w:r>
        <w:r w:rsidRPr="001B4A02">
          <w:rPr>
            <w:bCs/>
            <w:sz w:val="20"/>
            <w:lang w:val="cs-CZ"/>
          </w:rPr>
          <w:delText>párové srovnání hodnot pro přípravek Humira versus placebo</w:delText>
        </w:r>
      </w:del>
    </w:p>
    <w:p w14:paraId="6BEAA790" w14:textId="77777777" w:rsidR="002536CB" w:rsidRPr="001B4A02" w:rsidRDefault="00000000" w:rsidP="00ED48A3">
      <w:pPr>
        <w:pStyle w:val="EMEANormal"/>
        <w:tabs>
          <w:tab w:val="clear" w:pos="562"/>
          <w:tab w:val="left" w:pos="708"/>
        </w:tabs>
        <w:suppressAutoHyphens w:val="0"/>
        <w:rPr>
          <w:del w:id="2575" w:author="AbbVie1" w:date="2025-05-13T09:50:00Z"/>
          <w:bCs/>
          <w:sz w:val="20"/>
          <w:lang w:val="cs-CZ"/>
        </w:rPr>
      </w:pPr>
      <w:del w:id="2576" w:author="AbbVie1" w:date="2025-05-13T09:50:00Z">
        <w:r w:rsidRPr="001B4A02">
          <w:rPr>
            <w:rFonts w:ascii="Symbol" w:hAnsi="Symbol"/>
            <w:bCs/>
            <w:sz w:val="20"/>
            <w:vertAlign w:val="superscript"/>
            <w:lang w:val="cs-CZ"/>
          </w:rPr>
          <w:sym w:font="Symbol" w:char="F02A"/>
        </w:r>
        <w:r w:rsidRPr="001B4A02">
          <w:rPr>
            <w:rFonts w:ascii="Symbol" w:hAnsi="Symbol"/>
            <w:bCs/>
            <w:sz w:val="20"/>
            <w:vertAlign w:val="superscript"/>
            <w:lang w:val="cs-CZ"/>
          </w:rPr>
          <w:sym w:font="Symbol" w:char="F02A"/>
        </w:r>
        <w:r w:rsidRPr="001B4A02">
          <w:rPr>
            <w:bCs/>
            <w:sz w:val="20"/>
            <w:lang w:val="cs-CZ"/>
          </w:rPr>
          <w:delText xml:space="preserve"> p </w:delText>
        </w:r>
        <w:r w:rsidRPr="001B4A02">
          <w:rPr>
            <w:rFonts w:ascii="Symbol" w:hAnsi="Symbol"/>
            <w:bCs/>
            <w:sz w:val="20"/>
            <w:lang w:val="cs-CZ"/>
          </w:rPr>
          <w:sym w:font="Symbol" w:char="F03C"/>
        </w:r>
        <w:r w:rsidRPr="001B4A02">
          <w:rPr>
            <w:bCs/>
            <w:sz w:val="20"/>
            <w:lang w:val="cs-CZ"/>
          </w:rPr>
          <w:delText xml:space="preserve"> 0,02 párové srovnání hodnot pro přípravek Humira versus placebo</w:delText>
        </w:r>
      </w:del>
    </w:p>
    <w:p w14:paraId="242B2C09" w14:textId="77777777" w:rsidR="002536CB" w:rsidRPr="001B4A02" w:rsidRDefault="00000000" w:rsidP="00ED48A3">
      <w:pPr>
        <w:pStyle w:val="EMEANormal"/>
        <w:tabs>
          <w:tab w:val="clear" w:pos="562"/>
          <w:tab w:val="left" w:pos="708"/>
        </w:tabs>
        <w:suppressAutoHyphens w:val="0"/>
        <w:rPr>
          <w:del w:id="2577" w:author="AbbVie1" w:date="2025-05-13T09:50:00Z"/>
          <w:sz w:val="20"/>
          <w:lang w:val="cs-CZ"/>
        </w:rPr>
      </w:pPr>
      <w:del w:id="2578" w:author="AbbVie1" w:date="2025-05-13T09:50:00Z">
        <w:r w:rsidRPr="001B4A02">
          <w:rPr>
            <w:sz w:val="20"/>
            <w:vertAlign w:val="superscript"/>
            <w:lang w:val="cs-CZ"/>
          </w:rPr>
          <w:delText xml:space="preserve">a </w:delText>
        </w:r>
        <w:r w:rsidRPr="001B4A02">
          <w:rPr>
            <w:sz w:val="20"/>
            <w:lang w:val="cs-CZ"/>
          </w:rPr>
          <w:delText>u těch, kteří užívali kortikosteroidy ve výchozí situaci</w:delText>
        </w:r>
      </w:del>
    </w:p>
    <w:p w14:paraId="27451E54" w14:textId="77777777" w:rsidR="002536CB" w:rsidRPr="001B4A02" w:rsidRDefault="002536CB" w:rsidP="00ED48A3">
      <w:pPr>
        <w:pStyle w:val="EMEANormal"/>
        <w:tabs>
          <w:tab w:val="clear" w:pos="562"/>
          <w:tab w:val="left" w:pos="708"/>
        </w:tabs>
        <w:suppressAutoHyphens w:val="0"/>
        <w:rPr>
          <w:del w:id="2579" w:author="AbbVie1" w:date="2025-05-13T09:50:00Z"/>
          <w:lang w:val="cs-CZ"/>
        </w:rPr>
      </w:pPr>
    </w:p>
    <w:p w14:paraId="21A933D1" w14:textId="77777777" w:rsidR="002536CB" w:rsidRPr="001B4A02" w:rsidRDefault="00000000" w:rsidP="00ED48A3">
      <w:pPr>
        <w:pStyle w:val="EMEANormal"/>
        <w:tabs>
          <w:tab w:val="clear" w:pos="562"/>
          <w:tab w:val="left" w:pos="708"/>
        </w:tabs>
        <w:suppressAutoHyphens w:val="0"/>
        <w:rPr>
          <w:del w:id="2580" w:author="AbbVie1" w:date="2025-05-13T09:50:00Z"/>
          <w:lang w:val="cs-CZ"/>
        </w:rPr>
      </w:pPr>
      <w:del w:id="2581" w:author="AbbVie1" w:date="2025-05-13T09:50:00Z">
        <w:r w:rsidRPr="001B4A02">
          <w:rPr>
            <w:lang w:val="cs-CZ"/>
          </w:rPr>
          <w:delText xml:space="preserve">Z celkového množství pacientů, kteří </w:delText>
        </w:r>
        <w:r w:rsidR="00CA6ADE" w:rsidRPr="001B4A02">
          <w:rPr>
            <w:lang w:val="cs-CZ"/>
          </w:rPr>
          <w:delText xml:space="preserve">byli </w:delText>
        </w:r>
        <w:r w:rsidRPr="001B4A02">
          <w:rPr>
            <w:lang w:val="cs-CZ"/>
          </w:rPr>
          <w:delText>v týdnu 4 bez odpovědi na léčbu, dosáhlo v týdnu 12 odpovědi 43</w:delText>
        </w:r>
        <w:r w:rsidR="009C5EAC" w:rsidRPr="001B4A02">
          <w:rPr>
            <w:lang w:val="cs-CZ"/>
          </w:rPr>
          <w:delText> </w:delText>
        </w:r>
        <w:r w:rsidRPr="001B4A02">
          <w:rPr>
            <w:lang w:val="cs-CZ"/>
          </w:rPr>
          <w:delText>% pacientů léčených přípravkem Humira, ve srovnání s</w:delText>
        </w:r>
        <w:r w:rsidR="009C5EAC" w:rsidRPr="001B4A02">
          <w:rPr>
            <w:lang w:val="cs-CZ"/>
          </w:rPr>
          <w:delText> </w:delText>
        </w:r>
        <w:r w:rsidRPr="001B4A02">
          <w:rPr>
            <w:lang w:val="cs-CZ"/>
          </w:rPr>
          <w:delText>30</w:delText>
        </w:r>
        <w:r w:rsidR="009C5EAC" w:rsidRPr="001B4A02">
          <w:rPr>
            <w:lang w:val="cs-CZ"/>
          </w:rPr>
          <w:delText> </w:delText>
        </w:r>
        <w:r w:rsidRPr="001B4A02">
          <w:rPr>
            <w:lang w:val="cs-CZ"/>
          </w:rPr>
          <w:delText>% pacientů, jež dostávali placebo. Tyto výsledky naznačují, že někteří pacienti, kteří nedosáhli odpovědi v týdnu 4</w:delText>
        </w:r>
        <w:r w:rsidR="007978AF">
          <w:rPr>
            <w:lang w:val="cs-CZ"/>
          </w:rPr>
          <w:delText>,</w:delText>
        </w:r>
        <w:r w:rsidRPr="001B4A02">
          <w:rPr>
            <w:lang w:val="cs-CZ"/>
          </w:rPr>
          <w:delText xml:space="preserve"> profitují z pokračování udržovací léčby do týdne 12. Léčba pokračující po 12 týdnu nevedla k významně více odpovědím (viz bod 4.2).</w:delText>
        </w:r>
      </w:del>
    </w:p>
    <w:p w14:paraId="73358E59" w14:textId="77777777" w:rsidR="002536CB" w:rsidRPr="001B4A02" w:rsidRDefault="002536CB" w:rsidP="00ED48A3">
      <w:pPr>
        <w:pStyle w:val="EMEANormal"/>
        <w:tabs>
          <w:tab w:val="clear" w:pos="562"/>
          <w:tab w:val="left" w:pos="708"/>
        </w:tabs>
        <w:suppressAutoHyphens w:val="0"/>
        <w:rPr>
          <w:del w:id="2582" w:author="AbbVie1" w:date="2025-05-13T09:50:00Z"/>
          <w:u w:val="single"/>
          <w:lang w:val="cs-CZ"/>
        </w:rPr>
      </w:pPr>
    </w:p>
    <w:p w14:paraId="68A2D9BA" w14:textId="77777777" w:rsidR="002536CB" w:rsidRPr="001B4A02" w:rsidRDefault="00000000" w:rsidP="00ED48A3">
      <w:pPr>
        <w:pStyle w:val="EMEANormal"/>
        <w:tabs>
          <w:tab w:val="clear" w:pos="562"/>
          <w:tab w:val="left" w:pos="708"/>
        </w:tabs>
        <w:suppressAutoHyphens w:val="0"/>
        <w:rPr>
          <w:del w:id="2583" w:author="AbbVie1" w:date="2025-05-13T09:50:00Z"/>
          <w:lang w:val="cs-CZ"/>
        </w:rPr>
      </w:pPr>
      <w:del w:id="2584" w:author="AbbVie1" w:date="2025-05-13T09:50:00Z">
        <w:r w:rsidRPr="001B4A02">
          <w:rPr>
            <w:lang w:val="cs-CZ"/>
          </w:rPr>
          <w:delText>117 z 276 pacientů účastnících se studie CD I</w:delText>
        </w:r>
        <w:r w:rsidR="002378E0">
          <w:rPr>
            <w:lang w:val="cs-CZ"/>
          </w:rPr>
          <w:delText xml:space="preserve"> a </w:delText>
        </w:r>
        <w:r w:rsidRPr="001B4A02">
          <w:rPr>
            <w:lang w:val="cs-CZ"/>
          </w:rPr>
          <w:delText>272 ze 777 pacientů účastnících se studie CD II</w:delText>
        </w:r>
        <w:r w:rsidR="002378E0">
          <w:rPr>
            <w:lang w:val="cs-CZ"/>
          </w:rPr>
          <w:delText xml:space="preserve"> a </w:delText>
        </w:r>
        <w:r w:rsidRPr="001B4A02">
          <w:rPr>
            <w:lang w:val="cs-CZ"/>
          </w:rPr>
          <w:delText>III pokračovalo v </w:delText>
        </w:r>
        <w:r w:rsidR="009E5E10" w:rsidRPr="001B4A02">
          <w:rPr>
            <w:lang w:val="cs-CZ"/>
          </w:rPr>
          <w:delText>po</w:delText>
        </w:r>
        <w:r w:rsidRPr="001B4A02">
          <w:rPr>
            <w:lang w:val="cs-CZ"/>
          </w:rPr>
          <w:delText>užívání adalimumabu po dobu minimálně 3 let v otevřené fázi studie. 88 z těchto 117</w:delText>
        </w:r>
        <w:r w:rsidR="002378E0">
          <w:rPr>
            <w:lang w:val="cs-CZ"/>
          </w:rPr>
          <w:delText xml:space="preserve"> a </w:delText>
        </w:r>
        <w:r w:rsidRPr="001B4A02">
          <w:rPr>
            <w:lang w:val="cs-CZ"/>
          </w:rPr>
          <w:delText>189 z těchto 272 pacientů dospělo ke klinické remisi. Klinická odpověď (CR-100) přetrvávala</w:delText>
        </w:r>
        <w:r w:rsidR="002009DF" w:rsidRPr="001B4A02">
          <w:rPr>
            <w:lang w:val="cs-CZ"/>
          </w:rPr>
          <w:delText xml:space="preserve"> u </w:delText>
        </w:r>
        <w:r w:rsidRPr="001B4A02">
          <w:rPr>
            <w:lang w:val="cs-CZ"/>
          </w:rPr>
          <w:delText>102 pacientů z těchto 117</w:delText>
        </w:r>
        <w:r w:rsidR="002378E0">
          <w:rPr>
            <w:lang w:val="cs-CZ"/>
          </w:rPr>
          <w:delText xml:space="preserve"> a </w:delText>
        </w:r>
        <w:r w:rsidR="002009DF" w:rsidRPr="001B4A02">
          <w:rPr>
            <w:lang w:val="cs-CZ"/>
          </w:rPr>
          <w:delText>u </w:delText>
        </w:r>
        <w:r w:rsidRPr="001B4A02">
          <w:rPr>
            <w:lang w:val="cs-CZ"/>
          </w:rPr>
          <w:delText>233 z těchto 272 pacientů.</w:delText>
        </w:r>
      </w:del>
    </w:p>
    <w:p w14:paraId="4A8795E7" w14:textId="77777777" w:rsidR="002536CB" w:rsidRPr="001B4A02" w:rsidRDefault="002536CB" w:rsidP="00ED48A3">
      <w:pPr>
        <w:pStyle w:val="EMEANormal"/>
        <w:tabs>
          <w:tab w:val="clear" w:pos="562"/>
          <w:tab w:val="left" w:pos="708"/>
        </w:tabs>
        <w:suppressAutoHyphens w:val="0"/>
        <w:rPr>
          <w:del w:id="2585" w:author="AbbVie1" w:date="2025-05-13T09:50:00Z"/>
          <w:u w:val="single"/>
          <w:lang w:val="cs-CZ"/>
        </w:rPr>
      </w:pPr>
    </w:p>
    <w:p w14:paraId="4E8E96E2" w14:textId="77777777" w:rsidR="002536CB" w:rsidRPr="001B4A02" w:rsidRDefault="00000000" w:rsidP="00BF3683">
      <w:pPr>
        <w:pStyle w:val="EMEANormal"/>
        <w:keepNext/>
        <w:tabs>
          <w:tab w:val="clear" w:pos="562"/>
          <w:tab w:val="left" w:pos="708"/>
        </w:tabs>
        <w:suppressAutoHyphens w:val="0"/>
        <w:rPr>
          <w:del w:id="2586" w:author="AbbVie1" w:date="2025-05-13T09:50:00Z"/>
          <w:i/>
          <w:u w:val="single"/>
          <w:lang w:val="cs-CZ"/>
        </w:rPr>
      </w:pPr>
      <w:del w:id="2587" w:author="AbbVie1" w:date="2025-05-13T09:50:00Z">
        <w:r w:rsidRPr="001B4A02">
          <w:rPr>
            <w:i/>
            <w:u w:val="single"/>
            <w:lang w:val="cs-CZ"/>
          </w:rPr>
          <w:delText>Kvalita života</w:delText>
        </w:r>
      </w:del>
    </w:p>
    <w:p w14:paraId="4F3F3F62" w14:textId="77777777" w:rsidR="002536CB" w:rsidRPr="001B4A02" w:rsidRDefault="002536CB" w:rsidP="00BF3683">
      <w:pPr>
        <w:pStyle w:val="EMEANormal"/>
        <w:keepNext/>
        <w:tabs>
          <w:tab w:val="clear" w:pos="562"/>
          <w:tab w:val="left" w:pos="708"/>
        </w:tabs>
        <w:suppressAutoHyphens w:val="0"/>
        <w:rPr>
          <w:del w:id="2588" w:author="AbbVie1" w:date="2025-05-13T09:50:00Z"/>
          <w:lang w:val="cs-CZ"/>
        </w:rPr>
      </w:pPr>
    </w:p>
    <w:p w14:paraId="486F5FED" w14:textId="77777777" w:rsidR="002536CB" w:rsidRPr="001B4A02" w:rsidRDefault="00000000" w:rsidP="00ED48A3">
      <w:pPr>
        <w:pStyle w:val="EMEANormal"/>
        <w:tabs>
          <w:tab w:val="clear" w:pos="562"/>
          <w:tab w:val="left" w:pos="708"/>
        </w:tabs>
        <w:suppressAutoHyphens w:val="0"/>
        <w:rPr>
          <w:del w:id="2589" w:author="AbbVie1" w:date="2025-05-13T09:50:00Z"/>
          <w:lang w:val="cs-CZ"/>
        </w:rPr>
      </w:pPr>
      <w:del w:id="2590" w:author="AbbVie1" w:date="2025-05-13T09:50:00Z">
        <w:r w:rsidRPr="001B4A02">
          <w:rPr>
            <w:lang w:val="cs-CZ"/>
          </w:rPr>
          <w:delText>Ve studiích CD I</w:delText>
        </w:r>
        <w:r w:rsidR="002378E0">
          <w:rPr>
            <w:lang w:val="cs-CZ"/>
          </w:rPr>
          <w:delText xml:space="preserve"> a </w:delText>
        </w:r>
        <w:r w:rsidRPr="001B4A02">
          <w:rPr>
            <w:lang w:val="cs-CZ"/>
          </w:rPr>
          <w:delText>CD II bylo v týdnu 4</w:delText>
        </w:r>
        <w:r w:rsidR="002009DF" w:rsidRPr="001B4A02">
          <w:rPr>
            <w:lang w:val="cs-CZ"/>
          </w:rPr>
          <w:delText xml:space="preserve"> u </w:delText>
        </w:r>
        <w:r w:rsidRPr="001B4A02">
          <w:rPr>
            <w:lang w:val="cs-CZ"/>
          </w:rPr>
          <w:delText xml:space="preserve">pacientů, randomizovaných do skupin </w:delText>
        </w:r>
        <w:r w:rsidR="0051758E" w:rsidRPr="001B4A02">
          <w:rPr>
            <w:lang w:val="cs-CZ"/>
          </w:rPr>
          <w:delText>po</w:delText>
        </w:r>
        <w:r w:rsidRPr="001B4A02">
          <w:rPr>
            <w:lang w:val="cs-CZ"/>
          </w:rPr>
          <w:delText>užívajících přípravek Humira v dávce 80/40 mg</w:delText>
        </w:r>
        <w:r w:rsidR="002378E0">
          <w:rPr>
            <w:lang w:val="cs-CZ"/>
          </w:rPr>
          <w:delText xml:space="preserve"> a </w:delText>
        </w:r>
        <w:r w:rsidRPr="001B4A02">
          <w:rPr>
            <w:lang w:val="cs-CZ"/>
          </w:rPr>
          <w:delText>160/80 mg, dosaženo, ve srovnání s placebem, úplného skóre ve specifickém, na chorobu zaměřeném dotazníku IBDQ (inflammatory bowel disease questionnaire),</w:delText>
        </w:r>
        <w:r w:rsidR="002009DF" w:rsidRPr="001B4A02">
          <w:rPr>
            <w:lang w:val="cs-CZ"/>
          </w:rPr>
          <w:delText xml:space="preserve"> u </w:delText>
        </w:r>
        <w:r w:rsidRPr="001B4A02">
          <w:rPr>
            <w:lang w:val="cs-CZ"/>
          </w:rPr>
          <w:delText>studie CD III v týdnech 26</w:delText>
        </w:r>
        <w:r w:rsidR="002378E0">
          <w:rPr>
            <w:lang w:val="cs-CZ"/>
          </w:rPr>
          <w:delText xml:space="preserve"> a </w:delText>
        </w:r>
        <w:r w:rsidRPr="001B4A02">
          <w:rPr>
            <w:lang w:val="cs-CZ"/>
          </w:rPr>
          <w:delText>56 byly tyto výsledky rovněž pozorovány ve skupině léčené adalimumabem, v porovnání se skupinou léčenou placebem.</w:delText>
        </w:r>
      </w:del>
    </w:p>
    <w:p w14:paraId="73BFF251" w14:textId="77777777" w:rsidR="00733CAA" w:rsidRPr="001B4A02" w:rsidRDefault="00733CAA" w:rsidP="00ED48A3">
      <w:pPr>
        <w:pStyle w:val="EMEANormal"/>
        <w:tabs>
          <w:tab w:val="clear" w:pos="562"/>
          <w:tab w:val="left" w:pos="708"/>
        </w:tabs>
        <w:suppressAutoHyphens w:val="0"/>
        <w:rPr>
          <w:del w:id="2591" w:author="AbbVie1" w:date="2025-05-13T09:50:00Z"/>
          <w:lang w:val="cs-CZ"/>
        </w:rPr>
      </w:pPr>
    </w:p>
    <w:p w14:paraId="25C00ADC" w14:textId="77777777" w:rsidR="00733CAA" w:rsidRPr="001B4A02" w:rsidRDefault="00000000" w:rsidP="00ED48A3">
      <w:pPr>
        <w:pStyle w:val="EMEANormal"/>
        <w:keepNext/>
        <w:rPr>
          <w:del w:id="2592" w:author="AbbVie1" w:date="2025-05-13T09:50:00Z"/>
          <w:bCs/>
          <w:i/>
          <w:szCs w:val="22"/>
          <w:lang w:val="cs-CZ"/>
        </w:rPr>
      </w:pPr>
      <w:del w:id="2593" w:author="AbbVie1" w:date="2025-05-13T09:50:00Z">
        <w:r w:rsidRPr="001B4A02">
          <w:rPr>
            <w:bCs/>
            <w:i/>
            <w:iCs/>
            <w:szCs w:val="22"/>
            <w:lang w:val="cs-CZ"/>
          </w:rPr>
          <w:delText>Uveitida</w:delText>
        </w:r>
        <w:r w:rsidR="002009DF" w:rsidRPr="001B4A02">
          <w:rPr>
            <w:bCs/>
            <w:i/>
            <w:iCs/>
            <w:szCs w:val="22"/>
            <w:lang w:val="cs-CZ"/>
          </w:rPr>
          <w:delText xml:space="preserve"> u </w:delText>
        </w:r>
        <w:r w:rsidRPr="001B4A02">
          <w:rPr>
            <w:bCs/>
            <w:i/>
            <w:iCs/>
            <w:szCs w:val="22"/>
            <w:lang w:val="cs-CZ"/>
          </w:rPr>
          <w:delText>dospělých</w:delText>
        </w:r>
        <w:r w:rsidR="00CE4384" w:rsidRPr="001B4A02">
          <w:rPr>
            <w:bCs/>
            <w:i/>
            <w:iCs/>
            <w:szCs w:val="22"/>
            <w:lang w:val="cs-CZ"/>
          </w:rPr>
          <w:delText xml:space="preserve"> pacientů</w:delText>
        </w:r>
      </w:del>
    </w:p>
    <w:p w14:paraId="536D5018" w14:textId="77777777" w:rsidR="00733CAA" w:rsidRPr="001B4A02" w:rsidRDefault="00733CAA" w:rsidP="00ED48A3">
      <w:pPr>
        <w:pStyle w:val="EMEANormal"/>
        <w:keepNext/>
        <w:rPr>
          <w:del w:id="2594" w:author="AbbVie1" w:date="2025-05-13T09:50:00Z"/>
          <w:bCs/>
          <w:szCs w:val="22"/>
          <w:lang w:val="cs-CZ"/>
        </w:rPr>
      </w:pPr>
    </w:p>
    <w:p w14:paraId="23A68F13" w14:textId="77777777" w:rsidR="00D26920" w:rsidRPr="001B4A02" w:rsidRDefault="00000000" w:rsidP="00ED48A3">
      <w:pPr>
        <w:pStyle w:val="EMEANormal"/>
        <w:rPr>
          <w:del w:id="2595" w:author="AbbVie1" w:date="2025-05-13T09:50:00Z"/>
          <w:szCs w:val="22"/>
          <w:lang w:val="cs-CZ"/>
        </w:rPr>
      </w:pPr>
      <w:del w:id="2596" w:author="AbbVie1" w:date="2025-05-13T09:50:00Z">
        <w:r w:rsidRPr="001B4A02">
          <w:rPr>
            <w:szCs w:val="22"/>
            <w:lang w:val="cs-CZ"/>
          </w:rPr>
          <w:delText>Bezpečnost</w:delText>
        </w:r>
        <w:r w:rsidR="002378E0">
          <w:rPr>
            <w:szCs w:val="22"/>
            <w:lang w:val="cs-CZ"/>
          </w:rPr>
          <w:delText xml:space="preserve"> a </w:delText>
        </w:r>
        <w:r w:rsidRPr="001B4A02">
          <w:rPr>
            <w:szCs w:val="22"/>
            <w:lang w:val="cs-CZ"/>
          </w:rPr>
          <w:delText>účinnost přípravku Humira byla hodnocena</w:delText>
        </w:r>
        <w:r w:rsidR="002009DF" w:rsidRPr="001B4A02">
          <w:rPr>
            <w:szCs w:val="22"/>
            <w:lang w:val="cs-CZ"/>
          </w:rPr>
          <w:delText xml:space="preserve"> u </w:delText>
        </w:r>
        <w:r w:rsidRPr="001B4A02">
          <w:rPr>
            <w:szCs w:val="22"/>
            <w:lang w:val="cs-CZ"/>
          </w:rPr>
          <w:delText>dospělých pacientů s</w:delText>
        </w:r>
        <w:r w:rsidR="002009DF" w:rsidRPr="001B4A02">
          <w:rPr>
            <w:szCs w:val="22"/>
            <w:lang w:val="cs-CZ"/>
          </w:rPr>
          <w:delText> </w:delText>
        </w:r>
        <w:r w:rsidRPr="001B4A02">
          <w:rPr>
            <w:szCs w:val="22"/>
            <w:lang w:val="cs-CZ"/>
          </w:rPr>
          <w:delText>neinfekční intermediální</w:delText>
        </w:r>
        <w:r w:rsidR="002378E0">
          <w:rPr>
            <w:szCs w:val="22"/>
            <w:lang w:val="cs-CZ"/>
          </w:rPr>
          <w:delText xml:space="preserve"> a </w:delText>
        </w:r>
        <w:r w:rsidRPr="001B4A02">
          <w:rPr>
            <w:szCs w:val="22"/>
            <w:lang w:val="cs-CZ"/>
          </w:rPr>
          <w:delText>zadní uveitidou</w:delText>
        </w:r>
        <w:r w:rsidR="002378E0">
          <w:rPr>
            <w:szCs w:val="22"/>
            <w:lang w:val="cs-CZ"/>
          </w:rPr>
          <w:delText xml:space="preserve"> a </w:delText>
        </w:r>
        <w:r w:rsidRPr="001B4A02">
          <w:rPr>
            <w:szCs w:val="22"/>
            <w:lang w:val="cs-CZ"/>
          </w:rPr>
          <w:delText>panuveitidou, s</w:delText>
        </w:r>
        <w:r w:rsidR="002009DF" w:rsidRPr="001B4A02">
          <w:rPr>
            <w:szCs w:val="22"/>
            <w:lang w:val="cs-CZ"/>
          </w:rPr>
          <w:delText> </w:delText>
        </w:r>
        <w:r w:rsidR="00AA3490" w:rsidRPr="001B4A02">
          <w:rPr>
            <w:szCs w:val="22"/>
            <w:lang w:val="cs-CZ"/>
          </w:rPr>
          <w:delText>vyloučením</w:delText>
        </w:r>
        <w:r w:rsidRPr="001B4A02">
          <w:rPr>
            <w:szCs w:val="22"/>
            <w:lang w:val="cs-CZ"/>
          </w:rPr>
          <w:delText xml:space="preserve"> pacientů s</w:delText>
        </w:r>
        <w:r w:rsidR="002009DF" w:rsidRPr="001B4A02">
          <w:rPr>
            <w:szCs w:val="22"/>
            <w:lang w:val="cs-CZ"/>
          </w:rPr>
          <w:delText> </w:delText>
        </w:r>
        <w:r w:rsidRPr="001B4A02">
          <w:rPr>
            <w:szCs w:val="22"/>
            <w:lang w:val="cs-CZ"/>
          </w:rPr>
          <w:delText xml:space="preserve">izolovanou přední uveitidou, ve dvou randomizovaných, dvojitě </w:delText>
        </w:r>
        <w:r w:rsidR="00FF1CB8" w:rsidRPr="001B4A02">
          <w:rPr>
            <w:szCs w:val="22"/>
            <w:lang w:val="cs-CZ"/>
          </w:rPr>
          <w:delText>za</w:delText>
        </w:r>
        <w:r w:rsidRPr="001B4A02">
          <w:rPr>
            <w:szCs w:val="22"/>
            <w:lang w:val="cs-CZ"/>
          </w:rPr>
          <w:delText>slep</w:delText>
        </w:r>
        <w:r w:rsidR="00FF1CB8" w:rsidRPr="001B4A02">
          <w:rPr>
            <w:szCs w:val="22"/>
            <w:lang w:val="cs-CZ"/>
          </w:rPr>
          <w:delText>en</w:delText>
        </w:r>
        <w:r w:rsidRPr="001B4A02">
          <w:rPr>
            <w:szCs w:val="22"/>
            <w:lang w:val="cs-CZ"/>
          </w:rPr>
          <w:delText>ých, placebem kontrolovaných studiích (UV I</w:delText>
        </w:r>
        <w:r w:rsidR="002378E0">
          <w:rPr>
            <w:szCs w:val="22"/>
            <w:lang w:val="cs-CZ"/>
          </w:rPr>
          <w:delText xml:space="preserve"> a </w:delText>
        </w:r>
        <w:r w:rsidRPr="001B4A02">
          <w:rPr>
            <w:szCs w:val="22"/>
            <w:lang w:val="cs-CZ"/>
          </w:rPr>
          <w:delText>II). Pacienti dostávali placebo nebo přípravek Humira v</w:delText>
        </w:r>
        <w:r w:rsidR="002009DF" w:rsidRPr="001B4A02">
          <w:rPr>
            <w:szCs w:val="22"/>
            <w:lang w:val="cs-CZ"/>
          </w:rPr>
          <w:delText> </w:delText>
        </w:r>
        <w:r w:rsidRPr="001B4A02">
          <w:rPr>
            <w:szCs w:val="22"/>
            <w:lang w:val="cs-CZ"/>
          </w:rPr>
          <w:delText>úvodní dávce 80 mg, následované 40 mg podávanými jednou za dva týdny počínaje jed</w:delText>
        </w:r>
        <w:r w:rsidR="00AA3490" w:rsidRPr="001B4A02">
          <w:rPr>
            <w:szCs w:val="22"/>
            <w:lang w:val="cs-CZ"/>
          </w:rPr>
          <w:delText>e</w:delText>
        </w:r>
        <w:r w:rsidRPr="001B4A02">
          <w:rPr>
            <w:szCs w:val="22"/>
            <w:lang w:val="cs-CZ"/>
          </w:rPr>
          <w:delText>n týd</w:delText>
        </w:r>
        <w:r w:rsidR="00AA3490" w:rsidRPr="001B4A02">
          <w:rPr>
            <w:szCs w:val="22"/>
            <w:lang w:val="cs-CZ"/>
          </w:rPr>
          <w:delText>e</w:delText>
        </w:r>
        <w:r w:rsidRPr="001B4A02">
          <w:rPr>
            <w:szCs w:val="22"/>
            <w:lang w:val="cs-CZ"/>
          </w:rPr>
          <w:delText>n po úvodní dávce. Současn</w:delText>
        </w:r>
        <w:r w:rsidR="00AA3490" w:rsidRPr="001B4A02">
          <w:rPr>
            <w:szCs w:val="22"/>
            <w:lang w:val="cs-CZ"/>
          </w:rPr>
          <w:delText>é</w:delText>
        </w:r>
        <w:r w:rsidRPr="001B4A02">
          <w:rPr>
            <w:szCs w:val="22"/>
            <w:lang w:val="cs-CZ"/>
          </w:rPr>
          <w:delText xml:space="preserve"> podáv</w:delText>
        </w:r>
        <w:r w:rsidR="00AA3490" w:rsidRPr="001B4A02">
          <w:rPr>
            <w:szCs w:val="22"/>
            <w:lang w:val="cs-CZ"/>
          </w:rPr>
          <w:delText>ání</w:delText>
        </w:r>
        <w:r w:rsidRPr="001B4A02">
          <w:rPr>
            <w:szCs w:val="22"/>
            <w:lang w:val="cs-CZ"/>
          </w:rPr>
          <w:delText xml:space="preserve"> stálé dávky jednoho nebiologického imunosupresiva byl</w:delText>
        </w:r>
        <w:r w:rsidR="00AA3490" w:rsidRPr="001B4A02">
          <w:rPr>
            <w:szCs w:val="22"/>
            <w:lang w:val="cs-CZ"/>
          </w:rPr>
          <w:delText>o</w:delText>
        </w:r>
        <w:r w:rsidRPr="001B4A02">
          <w:rPr>
            <w:szCs w:val="22"/>
            <w:lang w:val="cs-CZ"/>
          </w:rPr>
          <w:delText xml:space="preserve"> povolen</w:delText>
        </w:r>
        <w:r w:rsidR="00AA3490" w:rsidRPr="001B4A02">
          <w:rPr>
            <w:szCs w:val="22"/>
            <w:lang w:val="cs-CZ"/>
          </w:rPr>
          <w:delText>o</w:delText>
        </w:r>
        <w:r w:rsidR="002009DF" w:rsidRPr="001B4A02">
          <w:rPr>
            <w:szCs w:val="22"/>
            <w:lang w:val="cs-CZ"/>
          </w:rPr>
          <w:delText>.</w:delText>
        </w:r>
      </w:del>
    </w:p>
    <w:p w14:paraId="47CB8406" w14:textId="77777777" w:rsidR="00D26920" w:rsidRPr="001B4A02" w:rsidRDefault="00D26920" w:rsidP="00ED48A3">
      <w:pPr>
        <w:pStyle w:val="EMEANormal"/>
        <w:rPr>
          <w:del w:id="2597" w:author="AbbVie1" w:date="2025-05-13T09:50:00Z"/>
          <w:szCs w:val="22"/>
          <w:lang w:val="cs-CZ"/>
        </w:rPr>
      </w:pPr>
    </w:p>
    <w:p w14:paraId="6594B5E4" w14:textId="77777777" w:rsidR="00D26920" w:rsidRPr="001B4A02" w:rsidRDefault="00000000" w:rsidP="00ED48A3">
      <w:pPr>
        <w:pStyle w:val="EMEANormal"/>
        <w:rPr>
          <w:del w:id="2598" w:author="AbbVie1" w:date="2025-05-13T09:50:00Z"/>
          <w:szCs w:val="22"/>
          <w:lang w:val="cs-CZ"/>
        </w:rPr>
      </w:pPr>
      <w:del w:id="2599" w:author="AbbVie1" w:date="2025-05-13T09:50:00Z">
        <w:r w:rsidRPr="001B4A02">
          <w:rPr>
            <w:szCs w:val="22"/>
            <w:lang w:val="cs-CZ"/>
          </w:rPr>
          <w:delText>Studie UV I hodnotila 217 pacientů s</w:delText>
        </w:r>
        <w:r w:rsidR="002009DF" w:rsidRPr="001B4A02">
          <w:rPr>
            <w:szCs w:val="22"/>
            <w:lang w:val="cs-CZ"/>
          </w:rPr>
          <w:delText> </w:delText>
        </w:r>
        <w:r w:rsidRPr="001B4A02">
          <w:rPr>
            <w:szCs w:val="22"/>
            <w:lang w:val="cs-CZ"/>
          </w:rPr>
          <w:delText>aktivní uveitidou přetrvávající i přes léčbu kortikosteroidy (perorální prednison v</w:delText>
        </w:r>
        <w:r w:rsidR="00A9166E" w:rsidRPr="001B4A02">
          <w:rPr>
            <w:szCs w:val="22"/>
            <w:lang w:val="cs-CZ"/>
          </w:rPr>
          <w:delText> </w:delText>
        </w:r>
        <w:r w:rsidRPr="001B4A02">
          <w:rPr>
            <w:szCs w:val="22"/>
            <w:lang w:val="cs-CZ"/>
          </w:rPr>
          <w:delText xml:space="preserve">dávce 10 až 60 mg/den). Všichni pacienti dostávali při vstupu do studie dvoutýdenní standardizovanou dávku prednisonu 60 mg/den. Tato dávka se pak podle závazného harmonogramu snižovala, přičemž do týdne 15 byly </w:delText>
        </w:r>
        <w:r w:rsidR="002009DF" w:rsidRPr="001B4A02">
          <w:rPr>
            <w:szCs w:val="22"/>
            <w:lang w:val="cs-CZ"/>
          </w:rPr>
          <w:delText>kortikosteroidy zcela vysazeny.</w:delText>
        </w:r>
      </w:del>
    </w:p>
    <w:p w14:paraId="1512D242" w14:textId="77777777" w:rsidR="00D26920" w:rsidRPr="001B4A02" w:rsidRDefault="00D26920" w:rsidP="00ED48A3">
      <w:pPr>
        <w:pStyle w:val="EMEANormal"/>
        <w:rPr>
          <w:del w:id="2600" w:author="AbbVie1" w:date="2025-05-13T09:50:00Z"/>
          <w:szCs w:val="22"/>
          <w:lang w:val="cs-CZ"/>
        </w:rPr>
      </w:pPr>
    </w:p>
    <w:p w14:paraId="0E18ED12" w14:textId="77777777" w:rsidR="00D26920" w:rsidRPr="001B4A02" w:rsidRDefault="00000000" w:rsidP="00ED48A3">
      <w:pPr>
        <w:pStyle w:val="EMEANormal"/>
        <w:rPr>
          <w:del w:id="2601" w:author="AbbVie1" w:date="2025-05-13T09:50:00Z"/>
          <w:szCs w:val="22"/>
          <w:lang w:val="cs-CZ"/>
        </w:rPr>
      </w:pPr>
      <w:del w:id="2602" w:author="AbbVie1" w:date="2025-05-13T09:50:00Z">
        <w:r w:rsidRPr="001B4A02">
          <w:rPr>
            <w:szCs w:val="22"/>
            <w:lang w:val="cs-CZ"/>
          </w:rPr>
          <w:delText>Studie UV II hodnotila 226 pacientů s</w:delText>
        </w:r>
        <w:r w:rsidR="00A9166E" w:rsidRPr="001B4A02">
          <w:rPr>
            <w:szCs w:val="22"/>
            <w:lang w:val="cs-CZ"/>
          </w:rPr>
          <w:delText> </w:delText>
        </w:r>
        <w:r w:rsidRPr="001B4A02">
          <w:rPr>
            <w:szCs w:val="22"/>
            <w:lang w:val="cs-CZ"/>
          </w:rPr>
          <w:delText>neaktivní uveitidou vyžadující ke kontrole onemocnění výchozí chronickou terapii kortikosteroidy (perorální prednison v</w:delText>
        </w:r>
        <w:r w:rsidR="00A9166E" w:rsidRPr="001B4A02">
          <w:rPr>
            <w:szCs w:val="22"/>
            <w:lang w:val="cs-CZ"/>
          </w:rPr>
          <w:delText> </w:delText>
        </w:r>
        <w:r w:rsidRPr="001B4A02">
          <w:rPr>
            <w:szCs w:val="22"/>
            <w:lang w:val="cs-CZ"/>
          </w:rPr>
          <w:delText xml:space="preserve">dávce 10 až 35 mg/den). Tato dávka se pak podle závazného harmonogramu snižovala, přičemž do týdne 19 byly </w:delText>
        </w:r>
        <w:r w:rsidR="002009DF" w:rsidRPr="001B4A02">
          <w:rPr>
            <w:szCs w:val="22"/>
            <w:lang w:val="cs-CZ"/>
          </w:rPr>
          <w:delText>kortikosteroidy zcela vysazeny.</w:delText>
        </w:r>
      </w:del>
    </w:p>
    <w:p w14:paraId="6D4B7CC4" w14:textId="77777777" w:rsidR="00D26920" w:rsidRPr="001B4A02" w:rsidRDefault="00D26920" w:rsidP="00ED48A3">
      <w:pPr>
        <w:pStyle w:val="EMEANormal"/>
        <w:rPr>
          <w:del w:id="2603" w:author="AbbVie1" w:date="2025-05-13T09:50:00Z"/>
          <w:szCs w:val="22"/>
          <w:lang w:val="cs-CZ"/>
        </w:rPr>
      </w:pPr>
    </w:p>
    <w:p w14:paraId="03FE5202" w14:textId="77777777" w:rsidR="00D26920" w:rsidRPr="001B4A02" w:rsidRDefault="00000000" w:rsidP="00ED48A3">
      <w:pPr>
        <w:pStyle w:val="EMEANormal"/>
        <w:rPr>
          <w:del w:id="2604" w:author="AbbVie1" w:date="2025-05-13T09:50:00Z"/>
          <w:szCs w:val="22"/>
          <w:lang w:val="cs-CZ"/>
        </w:rPr>
      </w:pPr>
      <w:del w:id="2605" w:author="AbbVie1" w:date="2025-05-13T09:50:00Z">
        <w:r w:rsidRPr="001B4A02">
          <w:rPr>
            <w:szCs w:val="22"/>
            <w:lang w:val="cs-CZ"/>
          </w:rPr>
          <w:delText>Primárním cílovým parametrem účinnosti v</w:delText>
        </w:r>
        <w:r w:rsidR="002009DF" w:rsidRPr="001B4A02">
          <w:rPr>
            <w:szCs w:val="22"/>
            <w:lang w:val="cs-CZ"/>
          </w:rPr>
          <w:delText> </w:delText>
        </w:r>
        <w:r w:rsidRPr="001B4A02">
          <w:rPr>
            <w:szCs w:val="22"/>
            <w:lang w:val="cs-CZ"/>
          </w:rPr>
          <w:delText xml:space="preserve">obou studiích byla „doba do selhání </w:delText>
        </w:r>
        <w:r w:rsidR="006F3AAD" w:rsidRPr="001B4A02">
          <w:rPr>
            <w:szCs w:val="22"/>
            <w:lang w:val="cs-CZ"/>
          </w:rPr>
          <w:delText>léčby</w:delText>
        </w:r>
        <w:r w:rsidRPr="001B4A02">
          <w:rPr>
            <w:szCs w:val="22"/>
            <w:lang w:val="cs-CZ"/>
          </w:rPr>
          <w:delText>“. Selhání léčby bylo definováno vícesložkovým výstupem založeným na zánětlivých chorioretinálních a/nebo zánětlivých retinálních vaskulárních lézích, počtu buněk v</w:delText>
        </w:r>
        <w:r w:rsidR="002009DF" w:rsidRPr="001B4A02">
          <w:rPr>
            <w:szCs w:val="22"/>
            <w:lang w:val="cs-CZ"/>
          </w:rPr>
          <w:delText> </w:delText>
        </w:r>
        <w:r w:rsidRPr="001B4A02">
          <w:rPr>
            <w:szCs w:val="22"/>
            <w:lang w:val="cs-CZ"/>
          </w:rPr>
          <w:delText>přední komoře (AC), stupni zákalu ve sklivci (VH)</w:delText>
        </w:r>
        <w:r w:rsidR="002378E0">
          <w:rPr>
            <w:szCs w:val="22"/>
            <w:lang w:val="cs-CZ"/>
          </w:rPr>
          <w:delText xml:space="preserve"> a </w:delText>
        </w:r>
        <w:r w:rsidRPr="001B4A02">
          <w:rPr>
            <w:szCs w:val="22"/>
            <w:lang w:val="cs-CZ"/>
          </w:rPr>
          <w:delText xml:space="preserve">nejlepší korigované zrakové ostrosti </w:delText>
        </w:r>
        <w:r w:rsidR="002009DF" w:rsidRPr="001B4A02">
          <w:rPr>
            <w:szCs w:val="22"/>
            <w:lang w:val="cs-CZ"/>
          </w:rPr>
          <w:delText>(BCVA).</w:delText>
        </w:r>
      </w:del>
    </w:p>
    <w:p w14:paraId="4E9CD24B" w14:textId="77777777" w:rsidR="00733CAA" w:rsidRPr="001B4A02" w:rsidRDefault="00733CAA" w:rsidP="00ED48A3">
      <w:pPr>
        <w:pStyle w:val="EMEANormal"/>
        <w:rPr>
          <w:del w:id="2606" w:author="AbbVie1" w:date="2025-05-13T09:50:00Z"/>
          <w:szCs w:val="22"/>
          <w:lang w:val="cs-CZ"/>
        </w:rPr>
      </w:pPr>
    </w:p>
    <w:p w14:paraId="713C7098" w14:textId="77777777" w:rsidR="00733CAA" w:rsidRPr="001B4A02" w:rsidRDefault="00000000" w:rsidP="00ED48A3">
      <w:pPr>
        <w:pStyle w:val="EMEANormal"/>
        <w:keepNext/>
        <w:rPr>
          <w:del w:id="2607" w:author="AbbVie1" w:date="2025-05-13T09:50:00Z"/>
          <w:i/>
          <w:szCs w:val="22"/>
          <w:u w:val="single"/>
          <w:lang w:val="cs-CZ"/>
        </w:rPr>
      </w:pPr>
      <w:del w:id="2608" w:author="AbbVie1" w:date="2025-05-13T09:50:00Z">
        <w:r w:rsidRPr="001B4A02">
          <w:rPr>
            <w:i/>
            <w:iCs/>
            <w:szCs w:val="22"/>
            <w:u w:val="single"/>
            <w:lang w:val="cs-CZ"/>
          </w:rPr>
          <w:delText>Klinická odpověď</w:delText>
        </w:r>
      </w:del>
    </w:p>
    <w:p w14:paraId="36B85FE5" w14:textId="77777777" w:rsidR="00733CAA" w:rsidRPr="001B4A02" w:rsidRDefault="00733CAA" w:rsidP="00ED48A3">
      <w:pPr>
        <w:pStyle w:val="EMEANormal"/>
        <w:keepNext/>
        <w:rPr>
          <w:del w:id="2609" w:author="AbbVie1" w:date="2025-05-13T09:50:00Z"/>
          <w:i/>
          <w:szCs w:val="22"/>
          <w:u w:val="single"/>
          <w:lang w:val="cs-CZ"/>
        </w:rPr>
      </w:pPr>
    </w:p>
    <w:p w14:paraId="5A43A497" w14:textId="77777777" w:rsidR="00D26920" w:rsidRPr="001B4A02" w:rsidRDefault="00000000" w:rsidP="00ED48A3">
      <w:pPr>
        <w:pStyle w:val="EMEANormal"/>
        <w:rPr>
          <w:del w:id="2610" w:author="AbbVie1" w:date="2025-05-13T09:50:00Z"/>
          <w:szCs w:val="22"/>
          <w:lang w:val="cs-CZ"/>
        </w:rPr>
      </w:pPr>
      <w:del w:id="2611" w:author="AbbVie1" w:date="2025-05-13T09:50:00Z">
        <w:r w:rsidRPr="001B4A02">
          <w:rPr>
            <w:szCs w:val="22"/>
            <w:lang w:val="cs-CZ"/>
          </w:rPr>
          <w:delText>Výsledky z</w:delText>
        </w:r>
        <w:r w:rsidR="002009DF" w:rsidRPr="001B4A02">
          <w:rPr>
            <w:szCs w:val="22"/>
            <w:lang w:val="cs-CZ"/>
          </w:rPr>
          <w:delText> </w:delText>
        </w:r>
        <w:r w:rsidRPr="001B4A02">
          <w:rPr>
            <w:szCs w:val="22"/>
            <w:lang w:val="cs-CZ"/>
          </w:rPr>
          <w:delText>obou studií prokázaly statisticky významné snížení rizika selhání léčby</w:delText>
        </w:r>
        <w:r w:rsidR="002009DF" w:rsidRPr="001B4A02">
          <w:rPr>
            <w:szCs w:val="22"/>
            <w:lang w:val="cs-CZ"/>
          </w:rPr>
          <w:delText xml:space="preserve"> u </w:delText>
        </w:r>
        <w:r w:rsidRPr="001B4A02">
          <w:rPr>
            <w:szCs w:val="22"/>
            <w:lang w:val="cs-CZ"/>
          </w:rPr>
          <w:delText>pacientů léčených přípravkem Humira v</w:delText>
        </w:r>
        <w:r w:rsidR="002009DF" w:rsidRPr="001B4A02">
          <w:rPr>
            <w:szCs w:val="22"/>
            <w:lang w:val="cs-CZ"/>
          </w:rPr>
          <w:delText> </w:delText>
        </w:r>
        <w:r w:rsidRPr="001B4A02">
          <w:rPr>
            <w:szCs w:val="22"/>
            <w:lang w:val="cs-CZ"/>
          </w:rPr>
          <w:delText>porovnání s</w:delText>
        </w:r>
        <w:r w:rsidR="002009DF" w:rsidRPr="001B4A02">
          <w:rPr>
            <w:szCs w:val="22"/>
            <w:lang w:val="cs-CZ"/>
          </w:rPr>
          <w:delText> </w:delText>
        </w:r>
        <w:r w:rsidRPr="001B4A02">
          <w:rPr>
            <w:szCs w:val="22"/>
            <w:lang w:val="cs-CZ"/>
          </w:rPr>
          <w:delText>pacienty dostávajícími placebo (</w:delText>
        </w:r>
        <w:r w:rsidR="00501696" w:rsidRPr="001B4A02">
          <w:rPr>
            <w:szCs w:val="22"/>
            <w:lang w:val="cs-CZ"/>
          </w:rPr>
          <w:delText xml:space="preserve">viz </w:delText>
        </w:r>
        <w:r w:rsidRPr="001B4A02">
          <w:rPr>
            <w:szCs w:val="22"/>
            <w:lang w:val="cs-CZ"/>
          </w:rPr>
          <w:delText xml:space="preserve">tabulka </w:delText>
        </w:r>
        <w:r w:rsidR="00D76799">
          <w:rPr>
            <w:szCs w:val="22"/>
            <w:lang w:val="cs-CZ"/>
          </w:rPr>
          <w:delText>19</w:delText>
        </w:r>
        <w:r w:rsidRPr="001B4A02">
          <w:rPr>
            <w:szCs w:val="22"/>
            <w:lang w:val="cs-CZ"/>
          </w:rPr>
          <w:delText>). Obě studie prokázaly časný</w:delText>
        </w:r>
        <w:r w:rsidR="002378E0">
          <w:rPr>
            <w:szCs w:val="22"/>
            <w:lang w:val="cs-CZ"/>
          </w:rPr>
          <w:delText xml:space="preserve"> a </w:delText>
        </w:r>
        <w:r w:rsidRPr="001B4A02">
          <w:rPr>
            <w:szCs w:val="22"/>
            <w:lang w:val="cs-CZ"/>
          </w:rPr>
          <w:delText>setrvalý účinek přípravku Humira na četnost selhání léčby v</w:delText>
        </w:r>
        <w:r w:rsidR="002009DF" w:rsidRPr="001B4A02">
          <w:rPr>
            <w:szCs w:val="22"/>
            <w:lang w:val="cs-CZ"/>
          </w:rPr>
          <w:delText> </w:delText>
        </w:r>
        <w:r w:rsidRPr="001B4A02">
          <w:rPr>
            <w:szCs w:val="22"/>
            <w:lang w:val="cs-CZ"/>
          </w:rPr>
          <w:delText>porovnání s</w:delText>
        </w:r>
        <w:r w:rsidR="002009DF" w:rsidRPr="001B4A02">
          <w:rPr>
            <w:szCs w:val="22"/>
            <w:lang w:val="cs-CZ"/>
          </w:rPr>
          <w:delText> </w:delText>
        </w:r>
        <w:r w:rsidRPr="001B4A02">
          <w:rPr>
            <w:szCs w:val="22"/>
            <w:lang w:val="cs-CZ"/>
          </w:rPr>
          <w:delText>placebem (</w:delText>
        </w:r>
        <w:r w:rsidR="00501696" w:rsidRPr="001B4A02">
          <w:rPr>
            <w:szCs w:val="22"/>
            <w:lang w:val="cs-CZ"/>
          </w:rPr>
          <w:delText xml:space="preserve">viz </w:delText>
        </w:r>
        <w:r w:rsidR="002009DF" w:rsidRPr="001B4A02">
          <w:rPr>
            <w:szCs w:val="22"/>
            <w:lang w:val="cs-CZ"/>
          </w:rPr>
          <w:delText xml:space="preserve">obrázek </w:delText>
        </w:r>
        <w:r w:rsidR="002A4012">
          <w:rPr>
            <w:szCs w:val="22"/>
            <w:lang w:val="cs-CZ"/>
          </w:rPr>
          <w:delText>1</w:delText>
        </w:r>
        <w:r w:rsidR="002009DF" w:rsidRPr="001B4A02">
          <w:rPr>
            <w:szCs w:val="22"/>
            <w:lang w:val="cs-CZ"/>
          </w:rPr>
          <w:delText>).</w:delText>
        </w:r>
      </w:del>
    </w:p>
    <w:p w14:paraId="700E0ADF" w14:textId="77777777" w:rsidR="00733CAA" w:rsidRPr="001B4A02" w:rsidRDefault="00733CAA" w:rsidP="00ED48A3">
      <w:pPr>
        <w:pStyle w:val="EMEANormal"/>
        <w:rPr>
          <w:del w:id="2612" w:author="AbbVie1" w:date="2025-05-13T09:50:00Z"/>
          <w:szCs w:val="22"/>
          <w:lang w:val="cs-CZ"/>
        </w:rPr>
      </w:pPr>
    </w:p>
    <w:p w14:paraId="65C3FAEE" w14:textId="77777777" w:rsidR="00733CAA" w:rsidRPr="001B4A02" w:rsidRDefault="00000000" w:rsidP="00ED48A3">
      <w:pPr>
        <w:pStyle w:val="EMEANormal"/>
        <w:keepNext/>
        <w:jc w:val="center"/>
        <w:rPr>
          <w:del w:id="2613" w:author="AbbVie1" w:date="2025-05-13T09:50:00Z"/>
          <w:b/>
          <w:szCs w:val="22"/>
          <w:lang w:val="cs-CZ"/>
        </w:rPr>
      </w:pPr>
      <w:del w:id="2614" w:author="AbbVie1" w:date="2025-05-13T09:50:00Z">
        <w:r w:rsidRPr="001B4A02">
          <w:rPr>
            <w:b/>
            <w:bCs/>
            <w:szCs w:val="22"/>
            <w:lang w:val="cs-CZ"/>
          </w:rPr>
          <w:delText xml:space="preserve">Tabulka </w:delText>
        </w:r>
        <w:r w:rsidR="00D76799">
          <w:rPr>
            <w:b/>
            <w:bCs/>
            <w:szCs w:val="22"/>
            <w:lang w:val="cs-CZ"/>
          </w:rPr>
          <w:delText>19</w:delText>
        </w:r>
      </w:del>
    </w:p>
    <w:p w14:paraId="2A7E6849" w14:textId="77777777" w:rsidR="00D91AF1" w:rsidRPr="001B4A02" w:rsidRDefault="00000000" w:rsidP="00ED48A3">
      <w:pPr>
        <w:pStyle w:val="EMEANormal"/>
        <w:keepNext/>
        <w:jc w:val="center"/>
        <w:rPr>
          <w:del w:id="2615" w:author="AbbVie1" w:date="2025-05-13T09:50:00Z"/>
          <w:b/>
          <w:szCs w:val="22"/>
          <w:lang w:val="cs-CZ"/>
        </w:rPr>
      </w:pPr>
      <w:del w:id="2616" w:author="AbbVie1" w:date="2025-05-13T09:50:00Z">
        <w:r w:rsidRPr="001B4A02">
          <w:rPr>
            <w:b/>
            <w:szCs w:val="22"/>
            <w:lang w:val="cs-CZ"/>
          </w:rPr>
          <w:delText xml:space="preserve">Doba do selhání </w:delText>
        </w:r>
        <w:r w:rsidR="006F3AAD" w:rsidRPr="001B4A02">
          <w:rPr>
            <w:b/>
            <w:szCs w:val="22"/>
            <w:lang w:val="cs-CZ"/>
          </w:rPr>
          <w:delText>léčby</w:delText>
        </w:r>
        <w:r w:rsidRPr="001B4A02">
          <w:rPr>
            <w:b/>
            <w:szCs w:val="22"/>
            <w:lang w:val="cs-CZ"/>
          </w:rPr>
          <w:delText xml:space="preserve"> ve studiích UV I</w:delText>
        </w:r>
        <w:r w:rsidR="002378E0">
          <w:rPr>
            <w:b/>
            <w:szCs w:val="22"/>
            <w:lang w:val="cs-CZ"/>
          </w:rPr>
          <w:delText xml:space="preserve"> a </w:delText>
        </w:r>
        <w:r w:rsidRPr="001B4A02">
          <w:rPr>
            <w:b/>
            <w:szCs w:val="22"/>
            <w:lang w:val="cs-CZ"/>
          </w:rPr>
          <w:delText>UV II</w:delText>
        </w:r>
      </w:del>
    </w:p>
    <w:p w14:paraId="4E737A9B" w14:textId="77777777" w:rsidR="00D91AF1" w:rsidRPr="001B4A02" w:rsidRDefault="00D91AF1" w:rsidP="00ED48A3">
      <w:pPr>
        <w:pStyle w:val="EMEANormal"/>
        <w:keepNext/>
        <w:jc w:val="center"/>
        <w:rPr>
          <w:del w:id="2617" w:author="AbbVie1" w:date="2025-05-13T09:50:00Z"/>
          <w:b/>
          <w:szCs w:val="22"/>
          <w:lang w:val="cs-CZ"/>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534A2D" w14:paraId="3F3B390B" w14:textId="77777777" w:rsidTr="00FE5DA9">
        <w:trPr>
          <w:del w:id="2618" w:author="AbbVie1" w:date="2025-05-13T09:50:00Z"/>
        </w:trPr>
        <w:tc>
          <w:tcPr>
            <w:tcW w:w="2268" w:type="dxa"/>
            <w:tcBorders>
              <w:top w:val="single" w:sz="4" w:space="0" w:color="auto"/>
              <w:bottom w:val="single" w:sz="4" w:space="0" w:color="auto"/>
            </w:tcBorders>
            <w:shd w:val="clear" w:color="auto" w:fill="auto"/>
          </w:tcPr>
          <w:p w14:paraId="3F336E17" w14:textId="77777777" w:rsidR="00D91AF1" w:rsidRPr="001B4A02" w:rsidRDefault="00000000" w:rsidP="00ED48A3">
            <w:pPr>
              <w:pStyle w:val="EMEANormal"/>
              <w:rPr>
                <w:del w:id="2619" w:author="AbbVie1" w:date="2025-05-13T09:50:00Z"/>
                <w:b/>
                <w:szCs w:val="22"/>
                <w:lang w:val="cs-CZ"/>
              </w:rPr>
            </w:pPr>
            <w:del w:id="2620" w:author="AbbVie1" w:date="2025-05-13T09:50:00Z">
              <w:r w:rsidRPr="001B4A02">
                <w:rPr>
                  <w:b/>
                  <w:szCs w:val="22"/>
                  <w:lang w:val="cs-CZ"/>
                </w:rPr>
                <w:delText>Analýza</w:delText>
              </w:r>
            </w:del>
          </w:p>
          <w:p w14:paraId="331343C5" w14:textId="77777777" w:rsidR="00D91AF1" w:rsidRPr="001B4A02" w:rsidRDefault="00000000" w:rsidP="00ED48A3">
            <w:pPr>
              <w:pStyle w:val="EMEANormal"/>
              <w:rPr>
                <w:del w:id="2621" w:author="AbbVie1" w:date="2025-05-13T09:50:00Z"/>
                <w:b/>
                <w:szCs w:val="22"/>
                <w:lang w:val="cs-CZ"/>
              </w:rPr>
            </w:pPr>
            <w:del w:id="2622" w:author="AbbVie1" w:date="2025-05-13T09:50:00Z">
              <w:r w:rsidRPr="001B4A02">
                <w:rPr>
                  <w:b/>
                  <w:szCs w:val="22"/>
                  <w:lang w:val="cs-CZ"/>
                </w:rPr>
                <w:tab/>
                <w:delText>Léčba</w:delText>
              </w:r>
            </w:del>
          </w:p>
        </w:tc>
        <w:tc>
          <w:tcPr>
            <w:tcW w:w="720" w:type="dxa"/>
            <w:tcBorders>
              <w:top w:val="single" w:sz="4" w:space="0" w:color="auto"/>
              <w:bottom w:val="single" w:sz="4" w:space="0" w:color="auto"/>
            </w:tcBorders>
            <w:shd w:val="clear" w:color="auto" w:fill="auto"/>
          </w:tcPr>
          <w:p w14:paraId="051BA720" w14:textId="77777777" w:rsidR="00D91AF1" w:rsidRPr="001B4A02" w:rsidRDefault="00000000" w:rsidP="00ED48A3">
            <w:pPr>
              <w:pStyle w:val="EMEANormal"/>
              <w:rPr>
                <w:del w:id="2623" w:author="AbbVie1" w:date="2025-05-13T09:50:00Z"/>
                <w:b/>
                <w:szCs w:val="22"/>
                <w:lang w:val="cs-CZ"/>
              </w:rPr>
            </w:pPr>
            <w:del w:id="2624" w:author="AbbVie1" w:date="2025-05-13T09:50:00Z">
              <w:r>
                <w:rPr>
                  <w:b/>
                  <w:szCs w:val="22"/>
                  <w:lang w:val="cs-CZ"/>
                </w:rPr>
                <w:delText>n</w:delText>
              </w:r>
            </w:del>
          </w:p>
        </w:tc>
        <w:tc>
          <w:tcPr>
            <w:tcW w:w="1170" w:type="dxa"/>
            <w:tcBorders>
              <w:top w:val="single" w:sz="4" w:space="0" w:color="auto"/>
              <w:bottom w:val="single" w:sz="4" w:space="0" w:color="auto"/>
            </w:tcBorders>
            <w:shd w:val="clear" w:color="auto" w:fill="auto"/>
          </w:tcPr>
          <w:p w14:paraId="10E71FD7" w14:textId="77777777" w:rsidR="00D91AF1" w:rsidRPr="001B4A02" w:rsidRDefault="00000000" w:rsidP="00ED48A3">
            <w:pPr>
              <w:pStyle w:val="EMEANormal"/>
              <w:rPr>
                <w:del w:id="2625" w:author="AbbVie1" w:date="2025-05-13T09:50:00Z"/>
                <w:b/>
                <w:szCs w:val="22"/>
                <w:lang w:val="cs-CZ"/>
              </w:rPr>
            </w:pPr>
            <w:del w:id="2626" w:author="AbbVie1" w:date="2025-05-13T09:50:00Z">
              <w:r w:rsidRPr="001B4A02">
                <w:rPr>
                  <w:b/>
                  <w:szCs w:val="22"/>
                  <w:lang w:val="cs-CZ"/>
                </w:rPr>
                <w:delText>Selhání</w:delText>
              </w:r>
              <w:r w:rsidRPr="001B4A02">
                <w:rPr>
                  <w:b/>
                  <w:szCs w:val="22"/>
                  <w:lang w:val="cs-CZ"/>
                </w:rPr>
                <w:br/>
              </w:r>
              <w:r w:rsidR="0093374E">
                <w:rPr>
                  <w:b/>
                  <w:szCs w:val="22"/>
                  <w:lang w:val="cs-CZ"/>
                </w:rPr>
                <w:delText>n</w:delText>
              </w:r>
              <w:r w:rsidRPr="001B4A02">
                <w:rPr>
                  <w:b/>
                  <w:szCs w:val="22"/>
                  <w:lang w:val="cs-CZ"/>
                </w:rPr>
                <w:delText xml:space="preserve"> (%)</w:delText>
              </w:r>
            </w:del>
          </w:p>
        </w:tc>
        <w:tc>
          <w:tcPr>
            <w:tcW w:w="1890" w:type="dxa"/>
            <w:tcBorders>
              <w:top w:val="single" w:sz="4" w:space="0" w:color="auto"/>
              <w:bottom w:val="single" w:sz="4" w:space="0" w:color="auto"/>
            </w:tcBorders>
            <w:shd w:val="clear" w:color="auto" w:fill="auto"/>
          </w:tcPr>
          <w:p w14:paraId="0DBD2AD7" w14:textId="77777777" w:rsidR="00D91AF1" w:rsidRPr="001B4A02" w:rsidRDefault="00000000" w:rsidP="00ED48A3">
            <w:pPr>
              <w:pStyle w:val="EMEANormal"/>
              <w:rPr>
                <w:del w:id="2627" w:author="AbbVie1" w:date="2025-05-13T09:50:00Z"/>
                <w:b/>
                <w:szCs w:val="22"/>
                <w:lang w:val="cs-CZ"/>
              </w:rPr>
            </w:pPr>
            <w:del w:id="2628" w:author="AbbVie1" w:date="2025-05-13T09:50:00Z">
              <w:r w:rsidRPr="001B4A02">
                <w:rPr>
                  <w:b/>
                  <w:szCs w:val="22"/>
                  <w:lang w:val="cs-CZ"/>
                </w:rPr>
                <w:delText>Střední doba do selhání (měsíce)</w:delText>
              </w:r>
            </w:del>
          </w:p>
        </w:tc>
        <w:tc>
          <w:tcPr>
            <w:tcW w:w="720" w:type="dxa"/>
            <w:tcBorders>
              <w:top w:val="single" w:sz="4" w:space="0" w:color="auto"/>
              <w:bottom w:val="single" w:sz="4" w:space="0" w:color="auto"/>
            </w:tcBorders>
            <w:shd w:val="clear" w:color="auto" w:fill="auto"/>
          </w:tcPr>
          <w:p w14:paraId="2D212245" w14:textId="77777777" w:rsidR="00D91AF1" w:rsidRPr="001B4A02" w:rsidRDefault="00000000" w:rsidP="00ED48A3">
            <w:pPr>
              <w:pStyle w:val="EMEANormal"/>
              <w:rPr>
                <w:del w:id="2629" w:author="AbbVie1" w:date="2025-05-13T09:50:00Z"/>
                <w:b/>
                <w:szCs w:val="22"/>
                <w:lang w:val="cs-CZ"/>
              </w:rPr>
            </w:pPr>
            <w:del w:id="2630" w:author="AbbVie1" w:date="2025-05-13T09:50:00Z">
              <w:r w:rsidRPr="001B4A02">
                <w:rPr>
                  <w:b/>
                  <w:szCs w:val="22"/>
                  <w:lang w:val="cs-CZ"/>
                </w:rPr>
                <w:delText>HR</w:delText>
              </w:r>
              <w:r w:rsidRPr="001B4A02">
                <w:rPr>
                  <w:b/>
                  <w:szCs w:val="22"/>
                  <w:vertAlign w:val="superscript"/>
                  <w:lang w:val="cs-CZ"/>
                </w:rPr>
                <w:delText>a</w:delText>
              </w:r>
            </w:del>
          </w:p>
        </w:tc>
        <w:tc>
          <w:tcPr>
            <w:tcW w:w="1170" w:type="dxa"/>
            <w:tcBorders>
              <w:top w:val="single" w:sz="4" w:space="0" w:color="auto"/>
              <w:bottom w:val="single" w:sz="4" w:space="0" w:color="auto"/>
            </w:tcBorders>
            <w:shd w:val="clear" w:color="auto" w:fill="auto"/>
          </w:tcPr>
          <w:p w14:paraId="6B2C7254" w14:textId="77777777" w:rsidR="00D91AF1" w:rsidRPr="001B4A02" w:rsidRDefault="00000000" w:rsidP="00ED48A3">
            <w:pPr>
              <w:pStyle w:val="EMEANormal"/>
              <w:rPr>
                <w:del w:id="2631" w:author="AbbVie1" w:date="2025-05-13T09:50:00Z"/>
                <w:b/>
                <w:szCs w:val="22"/>
                <w:lang w:val="cs-CZ"/>
              </w:rPr>
            </w:pPr>
            <w:del w:id="2632" w:author="AbbVie1" w:date="2025-05-13T09:50:00Z">
              <w:r w:rsidRPr="001B4A02">
                <w:rPr>
                  <w:b/>
                  <w:szCs w:val="22"/>
                  <w:lang w:val="cs-CZ"/>
                </w:rPr>
                <w:delText>CI 95% pro HR</w:delText>
              </w:r>
              <w:r w:rsidRPr="001B4A02">
                <w:rPr>
                  <w:b/>
                  <w:szCs w:val="22"/>
                  <w:vertAlign w:val="superscript"/>
                  <w:lang w:val="cs-CZ"/>
                </w:rPr>
                <w:delText>a</w:delText>
              </w:r>
            </w:del>
          </w:p>
        </w:tc>
        <w:tc>
          <w:tcPr>
            <w:tcW w:w="1080" w:type="dxa"/>
            <w:tcBorders>
              <w:top w:val="single" w:sz="4" w:space="0" w:color="auto"/>
              <w:bottom w:val="single" w:sz="4" w:space="0" w:color="auto"/>
            </w:tcBorders>
            <w:shd w:val="clear" w:color="auto" w:fill="auto"/>
          </w:tcPr>
          <w:p w14:paraId="232AE260" w14:textId="77777777" w:rsidR="00D91AF1" w:rsidRPr="001B4A02" w:rsidRDefault="00000000" w:rsidP="00ED48A3">
            <w:pPr>
              <w:pStyle w:val="EMEANormal"/>
              <w:rPr>
                <w:del w:id="2633" w:author="AbbVie1" w:date="2025-05-13T09:50:00Z"/>
                <w:b/>
                <w:szCs w:val="22"/>
                <w:lang w:val="cs-CZ"/>
              </w:rPr>
            </w:pPr>
            <w:del w:id="2634" w:author="AbbVie1" w:date="2025-05-13T09:50:00Z">
              <w:r w:rsidRPr="001B4A02">
                <w:rPr>
                  <w:b/>
                  <w:i/>
                  <w:szCs w:val="22"/>
                  <w:lang w:val="cs-CZ"/>
                </w:rPr>
                <w:delText>P</w:delText>
              </w:r>
              <w:r w:rsidRPr="001B4A02">
                <w:rPr>
                  <w:b/>
                  <w:szCs w:val="22"/>
                  <w:lang w:val="cs-CZ"/>
                </w:rPr>
                <w:delText xml:space="preserve"> hodnota</w:delText>
              </w:r>
              <w:r w:rsidRPr="001B4A02">
                <w:rPr>
                  <w:szCs w:val="22"/>
                  <w:vertAlign w:val="superscript"/>
                  <w:lang w:val="cs-CZ"/>
                </w:rPr>
                <w:delText>b</w:delText>
              </w:r>
            </w:del>
          </w:p>
        </w:tc>
      </w:tr>
      <w:tr w:rsidR="00534A2D" w14:paraId="7B0DF0DA" w14:textId="77777777" w:rsidTr="00FE5DA9">
        <w:trPr>
          <w:del w:id="2635" w:author="AbbVie1" w:date="2025-05-13T09:50:00Z"/>
        </w:trPr>
        <w:tc>
          <w:tcPr>
            <w:tcW w:w="9018" w:type="dxa"/>
            <w:gridSpan w:val="7"/>
            <w:tcBorders>
              <w:top w:val="single" w:sz="4" w:space="0" w:color="auto"/>
              <w:bottom w:val="nil"/>
            </w:tcBorders>
            <w:shd w:val="clear" w:color="auto" w:fill="auto"/>
          </w:tcPr>
          <w:p w14:paraId="5E082F5D" w14:textId="77777777" w:rsidR="00D91AF1" w:rsidRPr="001B4A02" w:rsidRDefault="00000000" w:rsidP="00ED48A3">
            <w:pPr>
              <w:pStyle w:val="EMEANormal"/>
              <w:rPr>
                <w:del w:id="2636" w:author="AbbVie1" w:date="2025-05-13T09:50:00Z"/>
                <w:b/>
                <w:szCs w:val="22"/>
                <w:lang w:val="cs-CZ"/>
              </w:rPr>
            </w:pPr>
            <w:del w:id="2637" w:author="AbbVie1" w:date="2025-05-13T09:50:00Z">
              <w:r w:rsidRPr="001B4A02">
                <w:rPr>
                  <w:b/>
                  <w:szCs w:val="22"/>
                  <w:lang w:val="cs-CZ"/>
                </w:rPr>
                <w:delText xml:space="preserve">Doba do selhání </w:delText>
              </w:r>
              <w:r w:rsidR="006F3AAD" w:rsidRPr="001B4A02">
                <w:rPr>
                  <w:b/>
                  <w:szCs w:val="22"/>
                  <w:lang w:val="cs-CZ"/>
                </w:rPr>
                <w:delText>léčby</w:delText>
              </w:r>
              <w:r w:rsidRPr="001B4A02">
                <w:rPr>
                  <w:b/>
                  <w:szCs w:val="22"/>
                  <w:lang w:val="cs-CZ"/>
                </w:rPr>
                <w:delText xml:space="preserve"> v</w:delText>
              </w:r>
              <w:r w:rsidR="00EF0AF7" w:rsidRPr="001B4A02">
                <w:rPr>
                  <w:b/>
                  <w:szCs w:val="22"/>
                  <w:lang w:val="cs-CZ"/>
                </w:rPr>
                <w:delText> </w:delText>
              </w:r>
              <w:r w:rsidRPr="001B4A02">
                <w:rPr>
                  <w:b/>
                  <w:szCs w:val="22"/>
                  <w:lang w:val="cs-CZ"/>
                </w:rPr>
                <w:delText>týdnu 6 nebo později ve studii UV I</w:delText>
              </w:r>
            </w:del>
          </w:p>
        </w:tc>
      </w:tr>
      <w:tr w:rsidR="00534A2D" w14:paraId="53B107C5" w14:textId="77777777" w:rsidTr="00FE5DA9">
        <w:trPr>
          <w:del w:id="2638" w:author="AbbVie1" w:date="2025-05-13T09:50:00Z"/>
        </w:trPr>
        <w:tc>
          <w:tcPr>
            <w:tcW w:w="2988" w:type="dxa"/>
            <w:gridSpan w:val="2"/>
            <w:tcBorders>
              <w:top w:val="nil"/>
              <w:bottom w:val="nil"/>
            </w:tcBorders>
            <w:shd w:val="clear" w:color="auto" w:fill="auto"/>
          </w:tcPr>
          <w:p w14:paraId="60DDD4E1" w14:textId="77777777" w:rsidR="00D91AF1" w:rsidRPr="001B4A02" w:rsidRDefault="00000000" w:rsidP="00ED48A3">
            <w:pPr>
              <w:pStyle w:val="EMEANormal"/>
              <w:rPr>
                <w:del w:id="2639" w:author="AbbVie1" w:date="2025-05-13T09:50:00Z"/>
                <w:szCs w:val="22"/>
                <w:lang w:val="cs-CZ"/>
              </w:rPr>
            </w:pPr>
            <w:del w:id="2640" w:author="AbbVie1" w:date="2025-05-13T09:50:00Z">
              <w:r w:rsidRPr="001B4A02">
                <w:rPr>
                  <w:szCs w:val="22"/>
                  <w:lang w:val="cs-CZ"/>
                </w:rPr>
                <w:delText>Primární analýza (ITT)</w:delText>
              </w:r>
            </w:del>
          </w:p>
        </w:tc>
        <w:tc>
          <w:tcPr>
            <w:tcW w:w="1170" w:type="dxa"/>
            <w:tcBorders>
              <w:top w:val="nil"/>
              <w:bottom w:val="nil"/>
            </w:tcBorders>
            <w:shd w:val="clear" w:color="auto" w:fill="auto"/>
          </w:tcPr>
          <w:p w14:paraId="393C94FB" w14:textId="77777777" w:rsidR="00D91AF1" w:rsidRPr="001B4A02" w:rsidRDefault="00D91AF1" w:rsidP="00ED48A3">
            <w:pPr>
              <w:pStyle w:val="EMEANormal"/>
              <w:rPr>
                <w:del w:id="2641" w:author="AbbVie1" w:date="2025-05-13T09:50:00Z"/>
                <w:szCs w:val="22"/>
                <w:lang w:val="cs-CZ"/>
              </w:rPr>
            </w:pPr>
          </w:p>
        </w:tc>
        <w:tc>
          <w:tcPr>
            <w:tcW w:w="1890" w:type="dxa"/>
            <w:tcBorders>
              <w:top w:val="nil"/>
              <w:bottom w:val="nil"/>
            </w:tcBorders>
            <w:shd w:val="clear" w:color="auto" w:fill="auto"/>
          </w:tcPr>
          <w:p w14:paraId="642C2178" w14:textId="77777777" w:rsidR="00D91AF1" w:rsidRPr="001B4A02" w:rsidRDefault="00D91AF1" w:rsidP="00ED48A3">
            <w:pPr>
              <w:pStyle w:val="EMEANormal"/>
              <w:rPr>
                <w:del w:id="2642" w:author="AbbVie1" w:date="2025-05-13T09:50:00Z"/>
                <w:szCs w:val="22"/>
                <w:lang w:val="cs-CZ"/>
              </w:rPr>
            </w:pPr>
          </w:p>
        </w:tc>
        <w:tc>
          <w:tcPr>
            <w:tcW w:w="720" w:type="dxa"/>
            <w:tcBorders>
              <w:top w:val="nil"/>
              <w:bottom w:val="nil"/>
            </w:tcBorders>
            <w:shd w:val="clear" w:color="auto" w:fill="auto"/>
          </w:tcPr>
          <w:p w14:paraId="0C0CF2F5" w14:textId="77777777" w:rsidR="00D91AF1" w:rsidRPr="001B4A02" w:rsidRDefault="00D91AF1" w:rsidP="00ED48A3">
            <w:pPr>
              <w:pStyle w:val="EMEANormal"/>
              <w:rPr>
                <w:del w:id="2643" w:author="AbbVie1" w:date="2025-05-13T09:50:00Z"/>
                <w:szCs w:val="22"/>
                <w:lang w:val="cs-CZ"/>
              </w:rPr>
            </w:pPr>
          </w:p>
        </w:tc>
        <w:tc>
          <w:tcPr>
            <w:tcW w:w="1170" w:type="dxa"/>
            <w:tcBorders>
              <w:top w:val="nil"/>
              <w:bottom w:val="nil"/>
            </w:tcBorders>
            <w:shd w:val="clear" w:color="auto" w:fill="auto"/>
          </w:tcPr>
          <w:p w14:paraId="67D145DE" w14:textId="77777777" w:rsidR="00D91AF1" w:rsidRPr="001B4A02" w:rsidRDefault="00D91AF1" w:rsidP="00ED48A3">
            <w:pPr>
              <w:pStyle w:val="EMEANormal"/>
              <w:rPr>
                <w:del w:id="2644" w:author="AbbVie1" w:date="2025-05-13T09:50:00Z"/>
                <w:szCs w:val="22"/>
                <w:lang w:val="cs-CZ"/>
              </w:rPr>
            </w:pPr>
          </w:p>
        </w:tc>
        <w:tc>
          <w:tcPr>
            <w:tcW w:w="1080" w:type="dxa"/>
            <w:tcBorders>
              <w:top w:val="nil"/>
              <w:bottom w:val="nil"/>
            </w:tcBorders>
            <w:shd w:val="clear" w:color="auto" w:fill="auto"/>
          </w:tcPr>
          <w:p w14:paraId="62723D92" w14:textId="77777777" w:rsidR="00D91AF1" w:rsidRPr="001B4A02" w:rsidRDefault="00D91AF1" w:rsidP="00ED48A3">
            <w:pPr>
              <w:pStyle w:val="EMEANormal"/>
              <w:rPr>
                <w:del w:id="2645" w:author="AbbVie1" w:date="2025-05-13T09:50:00Z"/>
                <w:szCs w:val="22"/>
                <w:lang w:val="cs-CZ"/>
              </w:rPr>
            </w:pPr>
          </w:p>
        </w:tc>
      </w:tr>
      <w:tr w:rsidR="00534A2D" w14:paraId="5E9AE616" w14:textId="77777777" w:rsidTr="00FE5DA9">
        <w:trPr>
          <w:del w:id="2646" w:author="AbbVie1" w:date="2025-05-13T09:50:00Z"/>
        </w:trPr>
        <w:tc>
          <w:tcPr>
            <w:tcW w:w="2268" w:type="dxa"/>
            <w:tcBorders>
              <w:top w:val="nil"/>
              <w:bottom w:val="nil"/>
            </w:tcBorders>
            <w:shd w:val="clear" w:color="auto" w:fill="auto"/>
          </w:tcPr>
          <w:p w14:paraId="4983E276" w14:textId="77777777" w:rsidR="00D91AF1" w:rsidRPr="001B4A02" w:rsidRDefault="00000000" w:rsidP="00ED48A3">
            <w:pPr>
              <w:pStyle w:val="EMEANormal"/>
              <w:rPr>
                <w:del w:id="2647" w:author="AbbVie1" w:date="2025-05-13T09:50:00Z"/>
                <w:szCs w:val="22"/>
                <w:lang w:val="cs-CZ"/>
              </w:rPr>
            </w:pPr>
            <w:del w:id="2648" w:author="AbbVie1" w:date="2025-05-13T09:50:00Z">
              <w:r w:rsidRPr="001B4A02">
                <w:rPr>
                  <w:szCs w:val="22"/>
                  <w:lang w:val="cs-CZ"/>
                </w:rPr>
                <w:tab/>
                <w:delText>Placebo</w:delText>
              </w:r>
            </w:del>
          </w:p>
        </w:tc>
        <w:tc>
          <w:tcPr>
            <w:tcW w:w="720" w:type="dxa"/>
            <w:tcBorders>
              <w:top w:val="nil"/>
              <w:bottom w:val="nil"/>
            </w:tcBorders>
            <w:shd w:val="clear" w:color="auto" w:fill="auto"/>
          </w:tcPr>
          <w:p w14:paraId="6393B729" w14:textId="77777777" w:rsidR="00D91AF1" w:rsidRPr="001B4A02" w:rsidRDefault="00000000" w:rsidP="00ED48A3">
            <w:pPr>
              <w:pStyle w:val="EMEANormal"/>
              <w:rPr>
                <w:del w:id="2649" w:author="AbbVie1" w:date="2025-05-13T09:50:00Z"/>
                <w:szCs w:val="22"/>
                <w:lang w:val="cs-CZ"/>
              </w:rPr>
            </w:pPr>
            <w:del w:id="2650" w:author="AbbVie1" w:date="2025-05-13T09:50:00Z">
              <w:r w:rsidRPr="001B4A02">
                <w:rPr>
                  <w:szCs w:val="22"/>
                  <w:lang w:val="cs-CZ"/>
                </w:rPr>
                <w:delText>107</w:delText>
              </w:r>
            </w:del>
          </w:p>
        </w:tc>
        <w:tc>
          <w:tcPr>
            <w:tcW w:w="1170" w:type="dxa"/>
            <w:tcBorders>
              <w:top w:val="nil"/>
              <w:bottom w:val="nil"/>
            </w:tcBorders>
            <w:shd w:val="clear" w:color="auto" w:fill="auto"/>
          </w:tcPr>
          <w:p w14:paraId="34E6881F" w14:textId="77777777" w:rsidR="00D91AF1" w:rsidRPr="001B4A02" w:rsidRDefault="00000000" w:rsidP="00ED48A3">
            <w:pPr>
              <w:pStyle w:val="EMEANormal"/>
              <w:rPr>
                <w:del w:id="2651" w:author="AbbVie1" w:date="2025-05-13T09:50:00Z"/>
                <w:szCs w:val="22"/>
                <w:lang w:val="cs-CZ"/>
              </w:rPr>
            </w:pPr>
            <w:del w:id="2652" w:author="AbbVie1" w:date="2025-05-13T09:50:00Z">
              <w:r w:rsidRPr="001B4A02">
                <w:rPr>
                  <w:szCs w:val="22"/>
                  <w:lang w:val="cs-CZ"/>
                </w:rPr>
                <w:delText>84 (78,5)</w:delText>
              </w:r>
            </w:del>
          </w:p>
        </w:tc>
        <w:tc>
          <w:tcPr>
            <w:tcW w:w="1890" w:type="dxa"/>
            <w:tcBorders>
              <w:top w:val="nil"/>
              <w:bottom w:val="nil"/>
            </w:tcBorders>
            <w:shd w:val="clear" w:color="auto" w:fill="auto"/>
          </w:tcPr>
          <w:p w14:paraId="0B00DA24" w14:textId="77777777" w:rsidR="00D91AF1" w:rsidRPr="001B4A02" w:rsidRDefault="00000000" w:rsidP="00ED48A3">
            <w:pPr>
              <w:pStyle w:val="EMEANormal"/>
              <w:rPr>
                <w:del w:id="2653" w:author="AbbVie1" w:date="2025-05-13T09:50:00Z"/>
                <w:szCs w:val="22"/>
                <w:lang w:val="cs-CZ"/>
              </w:rPr>
            </w:pPr>
            <w:del w:id="2654" w:author="AbbVie1" w:date="2025-05-13T09:50:00Z">
              <w:r w:rsidRPr="001B4A02">
                <w:rPr>
                  <w:szCs w:val="22"/>
                  <w:lang w:val="cs-CZ"/>
                </w:rPr>
                <w:delText>3,0</w:delText>
              </w:r>
            </w:del>
          </w:p>
        </w:tc>
        <w:tc>
          <w:tcPr>
            <w:tcW w:w="720" w:type="dxa"/>
            <w:tcBorders>
              <w:top w:val="nil"/>
              <w:bottom w:val="nil"/>
            </w:tcBorders>
            <w:shd w:val="clear" w:color="auto" w:fill="auto"/>
          </w:tcPr>
          <w:p w14:paraId="3ABD587E" w14:textId="77777777" w:rsidR="00D91AF1" w:rsidRPr="001B4A02" w:rsidRDefault="00000000" w:rsidP="00ED48A3">
            <w:pPr>
              <w:pStyle w:val="EMEANormal"/>
              <w:rPr>
                <w:del w:id="2655" w:author="AbbVie1" w:date="2025-05-13T09:50:00Z"/>
                <w:szCs w:val="22"/>
                <w:lang w:val="cs-CZ"/>
              </w:rPr>
            </w:pPr>
            <w:del w:id="2656" w:author="AbbVie1" w:date="2025-05-13T09:50:00Z">
              <w:r w:rsidRPr="001B4A02">
                <w:rPr>
                  <w:szCs w:val="22"/>
                  <w:lang w:val="cs-CZ"/>
                </w:rPr>
                <w:delText>--</w:delText>
              </w:r>
            </w:del>
          </w:p>
        </w:tc>
        <w:tc>
          <w:tcPr>
            <w:tcW w:w="1170" w:type="dxa"/>
            <w:tcBorders>
              <w:top w:val="nil"/>
              <w:bottom w:val="nil"/>
            </w:tcBorders>
            <w:shd w:val="clear" w:color="auto" w:fill="auto"/>
          </w:tcPr>
          <w:p w14:paraId="0CF8A335" w14:textId="77777777" w:rsidR="00D91AF1" w:rsidRPr="001B4A02" w:rsidRDefault="00000000" w:rsidP="00ED48A3">
            <w:pPr>
              <w:pStyle w:val="EMEANormal"/>
              <w:rPr>
                <w:del w:id="2657" w:author="AbbVie1" w:date="2025-05-13T09:50:00Z"/>
                <w:szCs w:val="22"/>
                <w:lang w:val="cs-CZ"/>
              </w:rPr>
            </w:pPr>
            <w:del w:id="2658" w:author="AbbVie1" w:date="2025-05-13T09:50:00Z">
              <w:r w:rsidRPr="001B4A02">
                <w:rPr>
                  <w:szCs w:val="22"/>
                  <w:lang w:val="cs-CZ"/>
                </w:rPr>
                <w:delText>--</w:delText>
              </w:r>
            </w:del>
          </w:p>
        </w:tc>
        <w:tc>
          <w:tcPr>
            <w:tcW w:w="1080" w:type="dxa"/>
            <w:tcBorders>
              <w:top w:val="nil"/>
              <w:bottom w:val="nil"/>
            </w:tcBorders>
            <w:shd w:val="clear" w:color="auto" w:fill="auto"/>
          </w:tcPr>
          <w:p w14:paraId="3999DC08" w14:textId="77777777" w:rsidR="00D91AF1" w:rsidRPr="001B4A02" w:rsidRDefault="00000000" w:rsidP="00ED48A3">
            <w:pPr>
              <w:pStyle w:val="EMEANormal"/>
              <w:rPr>
                <w:del w:id="2659" w:author="AbbVie1" w:date="2025-05-13T09:50:00Z"/>
                <w:szCs w:val="22"/>
                <w:lang w:val="cs-CZ"/>
              </w:rPr>
            </w:pPr>
            <w:del w:id="2660" w:author="AbbVie1" w:date="2025-05-13T09:50:00Z">
              <w:r w:rsidRPr="001B4A02">
                <w:rPr>
                  <w:szCs w:val="22"/>
                  <w:lang w:val="cs-CZ"/>
                </w:rPr>
                <w:delText>--</w:delText>
              </w:r>
            </w:del>
          </w:p>
        </w:tc>
      </w:tr>
      <w:tr w:rsidR="00534A2D" w14:paraId="186DD8E4" w14:textId="77777777" w:rsidTr="00FE5DA9">
        <w:trPr>
          <w:del w:id="2661" w:author="AbbVie1" w:date="2025-05-13T09:50:00Z"/>
        </w:trPr>
        <w:tc>
          <w:tcPr>
            <w:tcW w:w="2268" w:type="dxa"/>
            <w:tcBorders>
              <w:top w:val="nil"/>
              <w:bottom w:val="single" w:sz="4" w:space="0" w:color="auto"/>
            </w:tcBorders>
            <w:shd w:val="clear" w:color="auto" w:fill="auto"/>
          </w:tcPr>
          <w:p w14:paraId="7779C942" w14:textId="77777777" w:rsidR="00D91AF1" w:rsidRPr="001B4A02" w:rsidRDefault="00000000" w:rsidP="00ED48A3">
            <w:pPr>
              <w:pStyle w:val="EMEANormal"/>
              <w:rPr>
                <w:del w:id="2662" w:author="AbbVie1" w:date="2025-05-13T09:50:00Z"/>
                <w:szCs w:val="22"/>
                <w:lang w:val="cs-CZ"/>
              </w:rPr>
            </w:pPr>
            <w:del w:id="2663" w:author="AbbVie1" w:date="2025-05-13T09:50:00Z">
              <w:r w:rsidRPr="001B4A02">
                <w:rPr>
                  <w:szCs w:val="22"/>
                  <w:lang w:val="cs-CZ"/>
                </w:rPr>
                <w:tab/>
                <w:delText>Adalimumab</w:delText>
              </w:r>
            </w:del>
          </w:p>
        </w:tc>
        <w:tc>
          <w:tcPr>
            <w:tcW w:w="720" w:type="dxa"/>
            <w:tcBorders>
              <w:top w:val="nil"/>
              <w:bottom w:val="single" w:sz="4" w:space="0" w:color="auto"/>
            </w:tcBorders>
            <w:shd w:val="clear" w:color="auto" w:fill="auto"/>
          </w:tcPr>
          <w:p w14:paraId="162ADF11" w14:textId="77777777" w:rsidR="00D91AF1" w:rsidRPr="001B4A02" w:rsidRDefault="00000000" w:rsidP="00ED48A3">
            <w:pPr>
              <w:pStyle w:val="EMEANormal"/>
              <w:rPr>
                <w:del w:id="2664" w:author="AbbVie1" w:date="2025-05-13T09:50:00Z"/>
                <w:szCs w:val="22"/>
                <w:lang w:val="cs-CZ"/>
              </w:rPr>
            </w:pPr>
            <w:del w:id="2665" w:author="AbbVie1" w:date="2025-05-13T09:50:00Z">
              <w:r w:rsidRPr="001B4A02">
                <w:rPr>
                  <w:szCs w:val="22"/>
                  <w:lang w:val="cs-CZ"/>
                </w:rPr>
                <w:delText>110</w:delText>
              </w:r>
            </w:del>
          </w:p>
        </w:tc>
        <w:tc>
          <w:tcPr>
            <w:tcW w:w="1170" w:type="dxa"/>
            <w:tcBorders>
              <w:top w:val="nil"/>
              <w:bottom w:val="single" w:sz="4" w:space="0" w:color="auto"/>
            </w:tcBorders>
            <w:shd w:val="clear" w:color="auto" w:fill="auto"/>
          </w:tcPr>
          <w:p w14:paraId="05BC4CD8" w14:textId="77777777" w:rsidR="00D91AF1" w:rsidRPr="001B4A02" w:rsidRDefault="00000000" w:rsidP="00ED48A3">
            <w:pPr>
              <w:pStyle w:val="EMEANormal"/>
              <w:rPr>
                <w:del w:id="2666" w:author="AbbVie1" w:date="2025-05-13T09:50:00Z"/>
                <w:szCs w:val="22"/>
                <w:lang w:val="cs-CZ"/>
              </w:rPr>
            </w:pPr>
            <w:del w:id="2667" w:author="AbbVie1" w:date="2025-05-13T09:50:00Z">
              <w:r w:rsidRPr="001B4A02">
                <w:rPr>
                  <w:szCs w:val="22"/>
                  <w:lang w:val="cs-CZ"/>
                </w:rPr>
                <w:delText>60 (54,5)</w:delText>
              </w:r>
            </w:del>
          </w:p>
        </w:tc>
        <w:tc>
          <w:tcPr>
            <w:tcW w:w="1890" w:type="dxa"/>
            <w:tcBorders>
              <w:top w:val="nil"/>
              <w:bottom w:val="single" w:sz="4" w:space="0" w:color="auto"/>
            </w:tcBorders>
            <w:shd w:val="clear" w:color="auto" w:fill="auto"/>
          </w:tcPr>
          <w:p w14:paraId="23DCC0C1" w14:textId="77777777" w:rsidR="00D91AF1" w:rsidRPr="001B4A02" w:rsidRDefault="00000000" w:rsidP="00ED48A3">
            <w:pPr>
              <w:pStyle w:val="EMEANormal"/>
              <w:rPr>
                <w:del w:id="2668" w:author="AbbVie1" w:date="2025-05-13T09:50:00Z"/>
                <w:szCs w:val="22"/>
                <w:lang w:val="cs-CZ"/>
              </w:rPr>
            </w:pPr>
            <w:del w:id="2669" w:author="AbbVie1" w:date="2025-05-13T09:50:00Z">
              <w:r w:rsidRPr="001B4A02">
                <w:rPr>
                  <w:szCs w:val="22"/>
                  <w:lang w:val="cs-CZ"/>
                </w:rPr>
                <w:delText>5,6</w:delText>
              </w:r>
            </w:del>
          </w:p>
        </w:tc>
        <w:tc>
          <w:tcPr>
            <w:tcW w:w="720" w:type="dxa"/>
            <w:tcBorders>
              <w:top w:val="nil"/>
              <w:bottom w:val="single" w:sz="4" w:space="0" w:color="auto"/>
            </w:tcBorders>
            <w:shd w:val="clear" w:color="auto" w:fill="auto"/>
          </w:tcPr>
          <w:p w14:paraId="66DB6E20" w14:textId="77777777" w:rsidR="00D91AF1" w:rsidRPr="001B4A02" w:rsidRDefault="00000000" w:rsidP="00ED48A3">
            <w:pPr>
              <w:pStyle w:val="EMEANormal"/>
              <w:rPr>
                <w:del w:id="2670" w:author="AbbVie1" w:date="2025-05-13T09:50:00Z"/>
                <w:szCs w:val="22"/>
                <w:lang w:val="cs-CZ"/>
              </w:rPr>
            </w:pPr>
            <w:del w:id="2671" w:author="AbbVie1" w:date="2025-05-13T09:50:00Z">
              <w:r w:rsidRPr="001B4A02">
                <w:rPr>
                  <w:szCs w:val="22"/>
                  <w:lang w:val="cs-CZ"/>
                </w:rPr>
                <w:delText>0,50</w:delText>
              </w:r>
            </w:del>
          </w:p>
        </w:tc>
        <w:tc>
          <w:tcPr>
            <w:tcW w:w="1170" w:type="dxa"/>
            <w:tcBorders>
              <w:top w:val="nil"/>
              <w:bottom w:val="single" w:sz="4" w:space="0" w:color="auto"/>
            </w:tcBorders>
            <w:shd w:val="clear" w:color="auto" w:fill="auto"/>
          </w:tcPr>
          <w:p w14:paraId="0B1C9C71" w14:textId="77777777" w:rsidR="00D91AF1" w:rsidRPr="001B4A02" w:rsidRDefault="00000000" w:rsidP="00ED48A3">
            <w:pPr>
              <w:pStyle w:val="EMEANormal"/>
              <w:rPr>
                <w:del w:id="2672" w:author="AbbVie1" w:date="2025-05-13T09:50:00Z"/>
                <w:szCs w:val="22"/>
                <w:lang w:val="cs-CZ"/>
              </w:rPr>
            </w:pPr>
            <w:del w:id="2673" w:author="AbbVie1" w:date="2025-05-13T09:50:00Z">
              <w:r w:rsidRPr="001B4A02">
                <w:rPr>
                  <w:szCs w:val="22"/>
                  <w:lang w:val="cs-CZ"/>
                </w:rPr>
                <w:delText>0,36, 0,70</w:delText>
              </w:r>
              <w:r w:rsidRPr="001B4A02">
                <w:rPr>
                  <w:szCs w:val="22"/>
                  <w:vertAlign w:val="superscript"/>
                  <w:lang w:val="cs-CZ"/>
                </w:rPr>
                <w:delText xml:space="preserve"> </w:delText>
              </w:r>
            </w:del>
          </w:p>
        </w:tc>
        <w:tc>
          <w:tcPr>
            <w:tcW w:w="1080" w:type="dxa"/>
            <w:tcBorders>
              <w:top w:val="nil"/>
              <w:bottom w:val="single" w:sz="4" w:space="0" w:color="auto"/>
            </w:tcBorders>
            <w:shd w:val="clear" w:color="auto" w:fill="auto"/>
          </w:tcPr>
          <w:p w14:paraId="63AA5438" w14:textId="77777777" w:rsidR="00D91AF1" w:rsidRPr="001B4A02" w:rsidRDefault="00000000" w:rsidP="00ED48A3">
            <w:pPr>
              <w:pStyle w:val="EMEANormal"/>
              <w:rPr>
                <w:del w:id="2674" w:author="AbbVie1" w:date="2025-05-13T09:50:00Z"/>
                <w:szCs w:val="22"/>
                <w:lang w:val="cs-CZ"/>
              </w:rPr>
            </w:pPr>
            <w:del w:id="2675" w:author="AbbVie1" w:date="2025-05-13T09:50:00Z">
              <w:r w:rsidRPr="001B4A02">
                <w:rPr>
                  <w:szCs w:val="22"/>
                  <w:lang w:val="cs-CZ"/>
                </w:rPr>
                <w:delText>&lt; 0,001</w:delText>
              </w:r>
            </w:del>
          </w:p>
        </w:tc>
      </w:tr>
      <w:tr w:rsidR="00534A2D" w14:paraId="5DC70BA5" w14:textId="77777777" w:rsidTr="00FE5DA9">
        <w:tblPrEx>
          <w:tblBorders>
            <w:left w:val="single" w:sz="4" w:space="0" w:color="auto"/>
            <w:right w:val="single" w:sz="4" w:space="0" w:color="auto"/>
            <w:insideH w:val="single" w:sz="4" w:space="0" w:color="auto"/>
            <w:insideV w:val="single" w:sz="4" w:space="0" w:color="auto"/>
          </w:tblBorders>
        </w:tblPrEx>
        <w:trPr>
          <w:del w:id="2676" w:author="AbbVie1" w:date="2025-05-13T09:50:00Z"/>
        </w:trPr>
        <w:tc>
          <w:tcPr>
            <w:tcW w:w="9018" w:type="dxa"/>
            <w:gridSpan w:val="7"/>
            <w:tcBorders>
              <w:left w:val="nil"/>
              <w:bottom w:val="nil"/>
              <w:right w:val="nil"/>
            </w:tcBorders>
            <w:shd w:val="clear" w:color="auto" w:fill="auto"/>
          </w:tcPr>
          <w:p w14:paraId="49264F8F" w14:textId="77777777" w:rsidR="00D91AF1" w:rsidRPr="001B4A02" w:rsidRDefault="00000000" w:rsidP="009C64B2">
            <w:pPr>
              <w:pStyle w:val="EMEANormal"/>
              <w:rPr>
                <w:del w:id="2677" w:author="AbbVie1" w:date="2025-05-13T09:50:00Z"/>
                <w:b/>
                <w:szCs w:val="22"/>
                <w:lang w:val="cs-CZ"/>
              </w:rPr>
            </w:pPr>
            <w:del w:id="2678" w:author="AbbVie1" w:date="2025-05-13T09:50:00Z">
              <w:r w:rsidRPr="001B4A02">
                <w:rPr>
                  <w:b/>
                  <w:szCs w:val="22"/>
                  <w:lang w:val="cs-CZ"/>
                </w:rPr>
                <w:delText xml:space="preserve">Doba do selhání </w:delText>
              </w:r>
              <w:r w:rsidR="009C64B2" w:rsidRPr="001B4A02">
                <w:rPr>
                  <w:b/>
                  <w:szCs w:val="22"/>
                  <w:lang w:val="cs-CZ"/>
                </w:rPr>
                <w:delText>léčby</w:delText>
              </w:r>
              <w:r w:rsidRPr="001B4A02">
                <w:rPr>
                  <w:b/>
                  <w:szCs w:val="22"/>
                  <w:lang w:val="cs-CZ"/>
                </w:rPr>
                <w:delText xml:space="preserve"> v</w:delText>
              </w:r>
              <w:r w:rsidR="00EF0AF7" w:rsidRPr="001B4A02">
                <w:rPr>
                  <w:b/>
                  <w:szCs w:val="22"/>
                  <w:lang w:val="cs-CZ"/>
                </w:rPr>
                <w:delText> </w:delText>
              </w:r>
              <w:r w:rsidRPr="001B4A02">
                <w:rPr>
                  <w:b/>
                  <w:szCs w:val="22"/>
                  <w:lang w:val="cs-CZ"/>
                </w:rPr>
                <w:delText>týdnu 2 nebo později ve studii UV II</w:delText>
              </w:r>
            </w:del>
          </w:p>
        </w:tc>
      </w:tr>
      <w:tr w:rsidR="00534A2D" w14:paraId="2A6E11AD" w14:textId="77777777" w:rsidTr="00FE5DA9">
        <w:tblPrEx>
          <w:tblBorders>
            <w:left w:val="single" w:sz="4" w:space="0" w:color="auto"/>
            <w:right w:val="single" w:sz="4" w:space="0" w:color="auto"/>
            <w:insideH w:val="single" w:sz="4" w:space="0" w:color="auto"/>
            <w:insideV w:val="single" w:sz="4" w:space="0" w:color="auto"/>
          </w:tblBorders>
        </w:tblPrEx>
        <w:trPr>
          <w:del w:id="2679" w:author="AbbVie1" w:date="2025-05-13T09:50:00Z"/>
        </w:trPr>
        <w:tc>
          <w:tcPr>
            <w:tcW w:w="2988" w:type="dxa"/>
            <w:gridSpan w:val="2"/>
            <w:tcBorders>
              <w:top w:val="nil"/>
              <w:left w:val="nil"/>
              <w:bottom w:val="nil"/>
              <w:right w:val="nil"/>
            </w:tcBorders>
            <w:shd w:val="clear" w:color="auto" w:fill="auto"/>
          </w:tcPr>
          <w:p w14:paraId="3816ABF5" w14:textId="77777777" w:rsidR="00D91AF1" w:rsidRPr="001B4A02" w:rsidRDefault="00000000" w:rsidP="00ED48A3">
            <w:pPr>
              <w:pStyle w:val="EMEANormal"/>
              <w:rPr>
                <w:del w:id="2680" w:author="AbbVie1" w:date="2025-05-13T09:50:00Z"/>
                <w:szCs w:val="22"/>
                <w:lang w:val="cs-CZ"/>
              </w:rPr>
            </w:pPr>
            <w:del w:id="2681" w:author="AbbVie1" w:date="2025-05-13T09:50:00Z">
              <w:r w:rsidRPr="001B4A02">
                <w:rPr>
                  <w:szCs w:val="22"/>
                  <w:lang w:val="cs-CZ"/>
                </w:rPr>
                <w:delText>Primární analýza (ITT)</w:delText>
              </w:r>
            </w:del>
          </w:p>
        </w:tc>
        <w:tc>
          <w:tcPr>
            <w:tcW w:w="1170" w:type="dxa"/>
            <w:tcBorders>
              <w:top w:val="nil"/>
              <w:left w:val="nil"/>
              <w:bottom w:val="nil"/>
              <w:right w:val="nil"/>
            </w:tcBorders>
            <w:shd w:val="clear" w:color="auto" w:fill="auto"/>
          </w:tcPr>
          <w:p w14:paraId="58CFA8E0" w14:textId="77777777" w:rsidR="00D91AF1" w:rsidRPr="001B4A02" w:rsidRDefault="00D91AF1" w:rsidP="00ED48A3">
            <w:pPr>
              <w:pStyle w:val="EMEANormal"/>
              <w:rPr>
                <w:del w:id="2682" w:author="AbbVie1" w:date="2025-05-13T09:50:00Z"/>
                <w:szCs w:val="22"/>
                <w:lang w:val="cs-CZ"/>
              </w:rPr>
            </w:pPr>
          </w:p>
        </w:tc>
        <w:tc>
          <w:tcPr>
            <w:tcW w:w="1890" w:type="dxa"/>
            <w:tcBorders>
              <w:top w:val="nil"/>
              <w:left w:val="nil"/>
              <w:bottom w:val="nil"/>
              <w:right w:val="nil"/>
            </w:tcBorders>
            <w:shd w:val="clear" w:color="auto" w:fill="auto"/>
          </w:tcPr>
          <w:p w14:paraId="318E6F2B" w14:textId="77777777" w:rsidR="00D91AF1" w:rsidRPr="001B4A02" w:rsidRDefault="00D91AF1" w:rsidP="00ED48A3">
            <w:pPr>
              <w:pStyle w:val="EMEANormal"/>
              <w:rPr>
                <w:del w:id="2683" w:author="AbbVie1" w:date="2025-05-13T09:50:00Z"/>
                <w:szCs w:val="22"/>
                <w:lang w:val="cs-CZ"/>
              </w:rPr>
            </w:pPr>
          </w:p>
        </w:tc>
        <w:tc>
          <w:tcPr>
            <w:tcW w:w="720" w:type="dxa"/>
            <w:tcBorders>
              <w:top w:val="nil"/>
              <w:left w:val="nil"/>
              <w:bottom w:val="nil"/>
              <w:right w:val="nil"/>
            </w:tcBorders>
            <w:shd w:val="clear" w:color="auto" w:fill="auto"/>
          </w:tcPr>
          <w:p w14:paraId="404B9DA3" w14:textId="77777777" w:rsidR="00D91AF1" w:rsidRPr="001B4A02" w:rsidRDefault="00D91AF1" w:rsidP="00ED48A3">
            <w:pPr>
              <w:pStyle w:val="EMEANormal"/>
              <w:rPr>
                <w:del w:id="2684" w:author="AbbVie1" w:date="2025-05-13T09:50:00Z"/>
                <w:szCs w:val="22"/>
                <w:lang w:val="cs-CZ"/>
              </w:rPr>
            </w:pPr>
          </w:p>
        </w:tc>
        <w:tc>
          <w:tcPr>
            <w:tcW w:w="1170" w:type="dxa"/>
            <w:tcBorders>
              <w:top w:val="nil"/>
              <w:left w:val="nil"/>
              <w:bottom w:val="nil"/>
              <w:right w:val="nil"/>
            </w:tcBorders>
            <w:shd w:val="clear" w:color="auto" w:fill="auto"/>
          </w:tcPr>
          <w:p w14:paraId="2FEB47F7" w14:textId="77777777" w:rsidR="00D91AF1" w:rsidRPr="001B4A02" w:rsidRDefault="00D91AF1" w:rsidP="00ED48A3">
            <w:pPr>
              <w:pStyle w:val="EMEANormal"/>
              <w:rPr>
                <w:del w:id="2685" w:author="AbbVie1" w:date="2025-05-13T09:50:00Z"/>
                <w:szCs w:val="22"/>
                <w:lang w:val="cs-CZ"/>
              </w:rPr>
            </w:pPr>
          </w:p>
        </w:tc>
        <w:tc>
          <w:tcPr>
            <w:tcW w:w="1080" w:type="dxa"/>
            <w:tcBorders>
              <w:top w:val="nil"/>
              <w:left w:val="nil"/>
              <w:bottom w:val="nil"/>
              <w:right w:val="nil"/>
            </w:tcBorders>
            <w:shd w:val="clear" w:color="auto" w:fill="auto"/>
          </w:tcPr>
          <w:p w14:paraId="703488B9" w14:textId="77777777" w:rsidR="00D91AF1" w:rsidRPr="001B4A02" w:rsidRDefault="00D91AF1" w:rsidP="00ED48A3">
            <w:pPr>
              <w:pStyle w:val="EMEANormal"/>
              <w:rPr>
                <w:del w:id="2686" w:author="AbbVie1" w:date="2025-05-13T09:50:00Z"/>
                <w:szCs w:val="22"/>
                <w:lang w:val="cs-CZ"/>
              </w:rPr>
            </w:pPr>
          </w:p>
        </w:tc>
      </w:tr>
      <w:tr w:rsidR="00534A2D" w14:paraId="337B6235" w14:textId="77777777" w:rsidTr="00FE5DA9">
        <w:tblPrEx>
          <w:tblBorders>
            <w:left w:val="single" w:sz="4" w:space="0" w:color="auto"/>
            <w:right w:val="single" w:sz="4" w:space="0" w:color="auto"/>
            <w:insideH w:val="single" w:sz="4" w:space="0" w:color="auto"/>
            <w:insideV w:val="single" w:sz="4" w:space="0" w:color="auto"/>
          </w:tblBorders>
        </w:tblPrEx>
        <w:trPr>
          <w:del w:id="2687" w:author="AbbVie1" w:date="2025-05-13T09:50:00Z"/>
        </w:trPr>
        <w:tc>
          <w:tcPr>
            <w:tcW w:w="2268" w:type="dxa"/>
            <w:tcBorders>
              <w:top w:val="nil"/>
              <w:left w:val="nil"/>
              <w:bottom w:val="nil"/>
              <w:right w:val="nil"/>
            </w:tcBorders>
            <w:shd w:val="clear" w:color="auto" w:fill="auto"/>
          </w:tcPr>
          <w:p w14:paraId="5BA8E60C" w14:textId="77777777" w:rsidR="00D91AF1" w:rsidRPr="001B4A02" w:rsidRDefault="00000000" w:rsidP="00ED48A3">
            <w:pPr>
              <w:pStyle w:val="EMEANormal"/>
              <w:rPr>
                <w:del w:id="2688" w:author="AbbVie1" w:date="2025-05-13T09:50:00Z"/>
                <w:szCs w:val="22"/>
                <w:lang w:val="cs-CZ"/>
              </w:rPr>
            </w:pPr>
            <w:del w:id="2689" w:author="AbbVie1" w:date="2025-05-13T09:50:00Z">
              <w:r w:rsidRPr="001B4A02">
                <w:rPr>
                  <w:szCs w:val="22"/>
                  <w:lang w:val="cs-CZ"/>
                </w:rPr>
                <w:tab/>
                <w:delText>Placebo</w:delText>
              </w:r>
            </w:del>
          </w:p>
        </w:tc>
        <w:tc>
          <w:tcPr>
            <w:tcW w:w="720" w:type="dxa"/>
            <w:tcBorders>
              <w:top w:val="nil"/>
              <w:left w:val="nil"/>
              <w:bottom w:val="nil"/>
              <w:right w:val="nil"/>
            </w:tcBorders>
            <w:shd w:val="clear" w:color="auto" w:fill="auto"/>
          </w:tcPr>
          <w:p w14:paraId="798E5025" w14:textId="77777777" w:rsidR="00D91AF1" w:rsidRPr="001B4A02" w:rsidRDefault="00000000" w:rsidP="00ED48A3">
            <w:pPr>
              <w:pStyle w:val="EMEANormal"/>
              <w:rPr>
                <w:del w:id="2690" w:author="AbbVie1" w:date="2025-05-13T09:50:00Z"/>
                <w:szCs w:val="22"/>
                <w:lang w:val="cs-CZ"/>
              </w:rPr>
            </w:pPr>
            <w:del w:id="2691" w:author="AbbVie1" w:date="2025-05-13T09:50:00Z">
              <w:r w:rsidRPr="001B4A02">
                <w:rPr>
                  <w:szCs w:val="22"/>
                  <w:lang w:val="cs-CZ"/>
                </w:rPr>
                <w:delText>111</w:delText>
              </w:r>
            </w:del>
          </w:p>
        </w:tc>
        <w:tc>
          <w:tcPr>
            <w:tcW w:w="1170" w:type="dxa"/>
            <w:tcBorders>
              <w:top w:val="nil"/>
              <w:left w:val="nil"/>
              <w:bottom w:val="nil"/>
              <w:right w:val="nil"/>
            </w:tcBorders>
            <w:shd w:val="clear" w:color="auto" w:fill="auto"/>
          </w:tcPr>
          <w:p w14:paraId="63A589F5" w14:textId="77777777" w:rsidR="00D91AF1" w:rsidRPr="001B4A02" w:rsidRDefault="00000000" w:rsidP="00ED48A3">
            <w:pPr>
              <w:pStyle w:val="EMEANormal"/>
              <w:rPr>
                <w:del w:id="2692" w:author="AbbVie1" w:date="2025-05-13T09:50:00Z"/>
                <w:szCs w:val="22"/>
                <w:lang w:val="cs-CZ"/>
              </w:rPr>
            </w:pPr>
            <w:del w:id="2693" w:author="AbbVie1" w:date="2025-05-13T09:50:00Z">
              <w:r w:rsidRPr="001B4A02">
                <w:rPr>
                  <w:szCs w:val="22"/>
                  <w:lang w:val="cs-CZ"/>
                </w:rPr>
                <w:delText>61 (55,0)</w:delText>
              </w:r>
            </w:del>
          </w:p>
        </w:tc>
        <w:tc>
          <w:tcPr>
            <w:tcW w:w="1890" w:type="dxa"/>
            <w:tcBorders>
              <w:top w:val="nil"/>
              <w:left w:val="nil"/>
              <w:bottom w:val="nil"/>
              <w:right w:val="nil"/>
            </w:tcBorders>
            <w:shd w:val="clear" w:color="auto" w:fill="auto"/>
          </w:tcPr>
          <w:p w14:paraId="60AA7935" w14:textId="77777777" w:rsidR="00D91AF1" w:rsidRPr="001B4A02" w:rsidRDefault="00000000" w:rsidP="00ED48A3">
            <w:pPr>
              <w:pStyle w:val="EMEANormal"/>
              <w:rPr>
                <w:del w:id="2694" w:author="AbbVie1" w:date="2025-05-13T09:50:00Z"/>
                <w:szCs w:val="22"/>
                <w:lang w:val="cs-CZ"/>
              </w:rPr>
            </w:pPr>
            <w:del w:id="2695" w:author="AbbVie1" w:date="2025-05-13T09:50:00Z">
              <w:r w:rsidRPr="001B4A02">
                <w:rPr>
                  <w:szCs w:val="22"/>
                  <w:lang w:val="cs-CZ"/>
                </w:rPr>
                <w:delText>8,3</w:delText>
              </w:r>
            </w:del>
          </w:p>
        </w:tc>
        <w:tc>
          <w:tcPr>
            <w:tcW w:w="720" w:type="dxa"/>
            <w:tcBorders>
              <w:top w:val="nil"/>
              <w:left w:val="nil"/>
              <w:bottom w:val="nil"/>
              <w:right w:val="nil"/>
            </w:tcBorders>
            <w:shd w:val="clear" w:color="auto" w:fill="auto"/>
          </w:tcPr>
          <w:p w14:paraId="06F8D41A" w14:textId="77777777" w:rsidR="00D91AF1" w:rsidRPr="001B4A02" w:rsidRDefault="00000000" w:rsidP="00ED48A3">
            <w:pPr>
              <w:pStyle w:val="EMEANormal"/>
              <w:rPr>
                <w:del w:id="2696" w:author="AbbVie1" w:date="2025-05-13T09:50:00Z"/>
                <w:szCs w:val="22"/>
                <w:lang w:val="cs-CZ"/>
              </w:rPr>
            </w:pPr>
            <w:del w:id="2697" w:author="AbbVie1" w:date="2025-05-13T09:50:00Z">
              <w:r w:rsidRPr="001B4A02">
                <w:rPr>
                  <w:szCs w:val="22"/>
                  <w:lang w:val="cs-CZ"/>
                </w:rPr>
                <w:delText>--</w:delText>
              </w:r>
            </w:del>
          </w:p>
        </w:tc>
        <w:tc>
          <w:tcPr>
            <w:tcW w:w="1170" w:type="dxa"/>
            <w:tcBorders>
              <w:top w:val="nil"/>
              <w:left w:val="nil"/>
              <w:bottom w:val="nil"/>
              <w:right w:val="nil"/>
            </w:tcBorders>
            <w:shd w:val="clear" w:color="auto" w:fill="auto"/>
          </w:tcPr>
          <w:p w14:paraId="12EDA7DD" w14:textId="77777777" w:rsidR="00D91AF1" w:rsidRPr="001B4A02" w:rsidRDefault="00000000" w:rsidP="00ED48A3">
            <w:pPr>
              <w:pStyle w:val="EMEANormal"/>
              <w:rPr>
                <w:del w:id="2698" w:author="AbbVie1" w:date="2025-05-13T09:50:00Z"/>
                <w:szCs w:val="22"/>
                <w:lang w:val="cs-CZ"/>
              </w:rPr>
            </w:pPr>
            <w:del w:id="2699" w:author="AbbVie1" w:date="2025-05-13T09:50:00Z">
              <w:r w:rsidRPr="001B4A02">
                <w:rPr>
                  <w:szCs w:val="22"/>
                  <w:lang w:val="cs-CZ"/>
                </w:rPr>
                <w:delText>--</w:delText>
              </w:r>
            </w:del>
          </w:p>
        </w:tc>
        <w:tc>
          <w:tcPr>
            <w:tcW w:w="1080" w:type="dxa"/>
            <w:tcBorders>
              <w:top w:val="nil"/>
              <w:left w:val="nil"/>
              <w:bottom w:val="nil"/>
              <w:right w:val="nil"/>
            </w:tcBorders>
            <w:shd w:val="clear" w:color="auto" w:fill="auto"/>
          </w:tcPr>
          <w:p w14:paraId="424D8886" w14:textId="77777777" w:rsidR="00D91AF1" w:rsidRPr="001B4A02" w:rsidRDefault="00000000" w:rsidP="00ED48A3">
            <w:pPr>
              <w:pStyle w:val="EMEANormal"/>
              <w:rPr>
                <w:del w:id="2700" w:author="AbbVie1" w:date="2025-05-13T09:50:00Z"/>
                <w:szCs w:val="22"/>
                <w:lang w:val="cs-CZ"/>
              </w:rPr>
            </w:pPr>
            <w:del w:id="2701" w:author="AbbVie1" w:date="2025-05-13T09:50:00Z">
              <w:r w:rsidRPr="001B4A02">
                <w:rPr>
                  <w:szCs w:val="22"/>
                  <w:lang w:val="cs-CZ"/>
                </w:rPr>
                <w:delText>--</w:delText>
              </w:r>
            </w:del>
          </w:p>
        </w:tc>
      </w:tr>
      <w:tr w:rsidR="00534A2D" w14:paraId="67756E87" w14:textId="77777777" w:rsidTr="00FE5DA9">
        <w:tblPrEx>
          <w:tblBorders>
            <w:left w:val="single" w:sz="4" w:space="0" w:color="auto"/>
            <w:right w:val="single" w:sz="4" w:space="0" w:color="auto"/>
            <w:insideH w:val="single" w:sz="4" w:space="0" w:color="auto"/>
            <w:insideV w:val="single" w:sz="4" w:space="0" w:color="auto"/>
          </w:tblBorders>
        </w:tblPrEx>
        <w:trPr>
          <w:del w:id="2702" w:author="AbbVie1" w:date="2025-05-13T09:50:00Z"/>
        </w:trPr>
        <w:tc>
          <w:tcPr>
            <w:tcW w:w="2268" w:type="dxa"/>
            <w:tcBorders>
              <w:top w:val="nil"/>
              <w:left w:val="nil"/>
              <w:bottom w:val="single" w:sz="4" w:space="0" w:color="auto"/>
              <w:right w:val="nil"/>
            </w:tcBorders>
            <w:shd w:val="clear" w:color="auto" w:fill="auto"/>
          </w:tcPr>
          <w:p w14:paraId="1F7369D1" w14:textId="77777777" w:rsidR="00D91AF1" w:rsidRPr="001B4A02" w:rsidRDefault="00000000" w:rsidP="00ED48A3">
            <w:pPr>
              <w:pStyle w:val="EMEANormal"/>
              <w:rPr>
                <w:del w:id="2703" w:author="AbbVie1" w:date="2025-05-13T09:50:00Z"/>
                <w:szCs w:val="22"/>
                <w:lang w:val="cs-CZ"/>
              </w:rPr>
            </w:pPr>
            <w:del w:id="2704" w:author="AbbVie1" w:date="2025-05-13T09:50:00Z">
              <w:r w:rsidRPr="001B4A02">
                <w:rPr>
                  <w:szCs w:val="22"/>
                  <w:lang w:val="cs-CZ"/>
                </w:rPr>
                <w:tab/>
                <w:delText>Adalimumab</w:delText>
              </w:r>
            </w:del>
          </w:p>
        </w:tc>
        <w:tc>
          <w:tcPr>
            <w:tcW w:w="720" w:type="dxa"/>
            <w:tcBorders>
              <w:top w:val="nil"/>
              <w:left w:val="nil"/>
              <w:bottom w:val="single" w:sz="4" w:space="0" w:color="auto"/>
              <w:right w:val="nil"/>
            </w:tcBorders>
            <w:shd w:val="clear" w:color="auto" w:fill="auto"/>
          </w:tcPr>
          <w:p w14:paraId="29AF333F" w14:textId="77777777" w:rsidR="00D91AF1" w:rsidRPr="001B4A02" w:rsidRDefault="00000000" w:rsidP="00ED48A3">
            <w:pPr>
              <w:pStyle w:val="EMEANormal"/>
              <w:rPr>
                <w:del w:id="2705" w:author="AbbVie1" w:date="2025-05-13T09:50:00Z"/>
                <w:szCs w:val="22"/>
                <w:lang w:val="cs-CZ"/>
              </w:rPr>
            </w:pPr>
            <w:del w:id="2706" w:author="AbbVie1" w:date="2025-05-13T09:50:00Z">
              <w:r w:rsidRPr="001B4A02">
                <w:rPr>
                  <w:szCs w:val="22"/>
                  <w:lang w:val="cs-CZ"/>
                </w:rPr>
                <w:delText>115</w:delText>
              </w:r>
            </w:del>
          </w:p>
        </w:tc>
        <w:tc>
          <w:tcPr>
            <w:tcW w:w="1170" w:type="dxa"/>
            <w:tcBorders>
              <w:top w:val="nil"/>
              <w:left w:val="nil"/>
              <w:bottom w:val="single" w:sz="4" w:space="0" w:color="auto"/>
              <w:right w:val="nil"/>
            </w:tcBorders>
            <w:shd w:val="clear" w:color="auto" w:fill="auto"/>
          </w:tcPr>
          <w:p w14:paraId="414DB3D4" w14:textId="77777777" w:rsidR="00D91AF1" w:rsidRPr="001B4A02" w:rsidRDefault="00000000" w:rsidP="00ED48A3">
            <w:pPr>
              <w:pStyle w:val="EMEANormal"/>
              <w:rPr>
                <w:del w:id="2707" w:author="AbbVie1" w:date="2025-05-13T09:50:00Z"/>
                <w:szCs w:val="22"/>
                <w:lang w:val="cs-CZ"/>
              </w:rPr>
            </w:pPr>
            <w:del w:id="2708" w:author="AbbVie1" w:date="2025-05-13T09:50:00Z">
              <w:r w:rsidRPr="001B4A02">
                <w:rPr>
                  <w:szCs w:val="22"/>
                  <w:lang w:val="cs-CZ"/>
                </w:rPr>
                <w:delText>45 (39,1)</w:delText>
              </w:r>
            </w:del>
          </w:p>
        </w:tc>
        <w:tc>
          <w:tcPr>
            <w:tcW w:w="1890" w:type="dxa"/>
            <w:tcBorders>
              <w:top w:val="nil"/>
              <w:left w:val="nil"/>
              <w:bottom w:val="single" w:sz="4" w:space="0" w:color="auto"/>
              <w:right w:val="nil"/>
            </w:tcBorders>
            <w:shd w:val="clear" w:color="auto" w:fill="auto"/>
          </w:tcPr>
          <w:p w14:paraId="5CF8B1D7" w14:textId="77777777" w:rsidR="00D91AF1" w:rsidRPr="001B4A02" w:rsidRDefault="00000000" w:rsidP="00ED48A3">
            <w:pPr>
              <w:pStyle w:val="EMEANormal"/>
              <w:rPr>
                <w:del w:id="2709" w:author="AbbVie1" w:date="2025-05-13T09:50:00Z"/>
                <w:szCs w:val="22"/>
                <w:lang w:val="cs-CZ"/>
              </w:rPr>
            </w:pPr>
            <w:del w:id="2710" w:author="AbbVie1" w:date="2025-05-13T09:50:00Z">
              <w:r w:rsidRPr="001B4A02">
                <w:rPr>
                  <w:szCs w:val="22"/>
                  <w:lang w:val="cs-CZ"/>
                </w:rPr>
                <w:delText>NE</w:delText>
              </w:r>
              <w:r w:rsidRPr="001B4A02">
                <w:rPr>
                  <w:szCs w:val="22"/>
                  <w:vertAlign w:val="superscript"/>
                  <w:lang w:val="cs-CZ"/>
                </w:rPr>
                <w:delText>c</w:delText>
              </w:r>
            </w:del>
          </w:p>
        </w:tc>
        <w:tc>
          <w:tcPr>
            <w:tcW w:w="720" w:type="dxa"/>
            <w:tcBorders>
              <w:top w:val="nil"/>
              <w:left w:val="nil"/>
              <w:bottom w:val="single" w:sz="4" w:space="0" w:color="auto"/>
              <w:right w:val="nil"/>
            </w:tcBorders>
            <w:shd w:val="clear" w:color="auto" w:fill="auto"/>
          </w:tcPr>
          <w:p w14:paraId="4BCB7F8A" w14:textId="77777777" w:rsidR="00D91AF1" w:rsidRPr="001B4A02" w:rsidRDefault="00000000" w:rsidP="00ED48A3">
            <w:pPr>
              <w:pStyle w:val="EMEANormal"/>
              <w:rPr>
                <w:del w:id="2711" w:author="AbbVie1" w:date="2025-05-13T09:50:00Z"/>
                <w:szCs w:val="22"/>
                <w:lang w:val="cs-CZ"/>
              </w:rPr>
            </w:pPr>
            <w:del w:id="2712" w:author="AbbVie1" w:date="2025-05-13T09:50:00Z">
              <w:r w:rsidRPr="001B4A02">
                <w:rPr>
                  <w:szCs w:val="22"/>
                  <w:lang w:val="cs-CZ"/>
                </w:rPr>
                <w:delText>0,57</w:delText>
              </w:r>
            </w:del>
          </w:p>
        </w:tc>
        <w:tc>
          <w:tcPr>
            <w:tcW w:w="1170" w:type="dxa"/>
            <w:tcBorders>
              <w:top w:val="nil"/>
              <w:left w:val="nil"/>
              <w:bottom w:val="single" w:sz="4" w:space="0" w:color="auto"/>
              <w:right w:val="nil"/>
            </w:tcBorders>
            <w:shd w:val="clear" w:color="auto" w:fill="auto"/>
          </w:tcPr>
          <w:p w14:paraId="58E8A354" w14:textId="77777777" w:rsidR="00D91AF1" w:rsidRPr="001B4A02" w:rsidRDefault="00000000" w:rsidP="00ED48A3">
            <w:pPr>
              <w:pStyle w:val="EMEANormal"/>
              <w:rPr>
                <w:del w:id="2713" w:author="AbbVie1" w:date="2025-05-13T09:50:00Z"/>
                <w:szCs w:val="22"/>
                <w:lang w:val="cs-CZ"/>
              </w:rPr>
            </w:pPr>
            <w:del w:id="2714" w:author="AbbVie1" w:date="2025-05-13T09:50:00Z">
              <w:r w:rsidRPr="001B4A02">
                <w:rPr>
                  <w:szCs w:val="22"/>
                  <w:lang w:val="cs-CZ"/>
                </w:rPr>
                <w:delText>0,39, 0,84</w:delText>
              </w:r>
            </w:del>
          </w:p>
        </w:tc>
        <w:tc>
          <w:tcPr>
            <w:tcW w:w="1080" w:type="dxa"/>
            <w:tcBorders>
              <w:top w:val="nil"/>
              <w:left w:val="nil"/>
              <w:bottom w:val="single" w:sz="4" w:space="0" w:color="auto"/>
              <w:right w:val="nil"/>
            </w:tcBorders>
            <w:shd w:val="clear" w:color="auto" w:fill="auto"/>
          </w:tcPr>
          <w:p w14:paraId="6FCEB151" w14:textId="77777777" w:rsidR="00D91AF1" w:rsidRPr="001B4A02" w:rsidRDefault="00000000" w:rsidP="00ED48A3">
            <w:pPr>
              <w:pStyle w:val="EMEANormal"/>
              <w:rPr>
                <w:del w:id="2715" w:author="AbbVie1" w:date="2025-05-13T09:50:00Z"/>
                <w:szCs w:val="22"/>
                <w:lang w:val="cs-CZ"/>
              </w:rPr>
            </w:pPr>
            <w:del w:id="2716" w:author="AbbVie1" w:date="2025-05-13T09:50:00Z">
              <w:r w:rsidRPr="001B4A02">
                <w:rPr>
                  <w:szCs w:val="22"/>
                  <w:lang w:val="cs-CZ"/>
                </w:rPr>
                <w:delText>0,004</w:delText>
              </w:r>
            </w:del>
          </w:p>
        </w:tc>
      </w:tr>
    </w:tbl>
    <w:p w14:paraId="1F1E25DC" w14:textId="77777777" w:rsidR="00D91AF1" w:rsidRPr="001B4A02" w:rsidRDefault="00000000" w:rsidP="00ED48A3">
      <w:pPr>
        <w:pStyle w:val="EMEANormal"/>
        <w:rPr>
          <w:del w:id="2717" w:author="AbbVie1" w:date="2025-05-13T09:50:00Z"/>
          <w:szCs w:val="22"/>
          <w:lang w:val="cs-CZ"/>
        </w:rPr>
      </w:pPr>
      <w:del w:id="2718" w:author="AbbVie1" w:date="2025-05-13T09:50:00Z">
        <w:r w:rsidRPr="001B4A02">
          <w:rPr>
            <w:szCs w:val="22"/>
            <w:lang w:val="cs-CZ"/>
          </w:rPr>
          <w:delText xml:space="preserve">Poznámka: </w:delText>
        </w:r>
        <w:r w:rsidR="00C735ED" w:rsidRPr="001B4A02">
          <w:rPr>
            <w:szCs w:val="22"/>
            <w:lang w:val="cs-CZ"/>
          </w:rPr>
          <w:delText>s</w:delText>
        </w:r>
        <w:r w:rsidRPr="001B4A02">
          <w:rPr>
            <w:szCs w:val="22"/>
            <w:lang w:val="cs-CZ"/>
          </w:rPr>
          <w:delText xml:space="preserve">elhání </w:delText>
        </w:r>
        <w:r w:rsidR="006F3AAD" w:rsidRPr="001B4A02">
          <w:rPr>
            <w:szCs w:val="22"/>
            <w:lang w:val="cs-CZ"/>
          </w:rPr>
          <w:delText>léčby</w:delText>
        </w:r>
        <w:r w:rsidRPr="001B4A02">
          <w:rPr>
            <w:szCs w:val="22"/>
            <w:lang w:val="cs-CZ"/>
          </w:rPr>
          <w:delText xml:space="preserve"> v</w:delText>
        </w:r>
        <w:r w:rsidR="004970F6" w:rsidRPr="001B4A02">
          <w:rPr>
            <w:szCs w:val="22"/>
            <w:lang w:val="cs-CZ"/>
          </w:rPr>
          <w:delText> </w:delText>
        </w:r>
        <w:r w:rsidRPr="001B4A02">
          <w:rPr>
            <w:szCs w:val="22"/>
            <w:lang w:val="cs-CZ"/>
          </w:rPr>
          <w:delText>týdnu 6 nebo později (studie UV I) nebo v</w:delText>
        </w:r>
        <w:r w:rsidR="004970F6" w:rsidRPr="001B4A02">
          <w:rPr>
            <w:szCs w:val="22"/>
            <w:lang w:val="cs-CZ"/>
          </w:rPr>
          <w:delText> </w:delText>
        </w:r>
        <w:r w:rsidRPr="001B4A02">
          <w:rPr>
            <w:szCs w:val="22"/>
            <w:lang w:val="cs-CZ"/>
          </w:rPr>
          <w:delText>týdnu 2 či později (studie UV II) bylo počítáno jako příhoda. Ukončení studie z</w:delText>
        </w:r>
        <w:r w:rsidR="004970F6" w:rsidRPr="001B4A02">
          <w:rPr>
            <w:szCs w:val="22"/>
            <w:lang w:val="cs-CZ"/>
          </w:rPr>
          <w:delText> </w:delText>
        </w:r>
        <w:r w:rsidRPr="001B4A02">
          <w:rPr>
            <w:szCs w:val="22"/>
            <w:lang w:val="cs-CZ"/>
          </w:rPr>
          <w:delText xml:space="preserve">důvodů jiných než kvůli selhání </w:delText>
        </w:r>
        <w:r w:rsidR="006F3AAD" w:rsidRPr="001B4A02">
          <w:rPr>
            <w:szCs w:val="22"/>
            <w:lang w:val="cs-CZ"/>
          </w:rPr>
          <w:delText>léčby</w:delText>
        </w:r>
        <w:r w:rsidRPr="001B4A02">
          <w:rPr>
            <w:szCs w:val="22"/>
            <w:lang w:val="cs-CZ"/>
          </w:rPr>
          <w:delText xml:space="preserve"> bylo </w:delText>
        </w:r>
        <w:r w:rsidR="006F3AAD" w:rsidRPr="001B4A02">
          <w:rPr>
            <w:szCs w:val="22"/>
            <w:lang w:val="cs-CZ"/>
          </w:rPr>
          <w:delText>zaznamenáno</w:delText>
        </w:r>
        <w:r w:rsidRPr="001B4A02">
          <w:rPr>
            <w:szCs w:val="22"/>
            <w:lang w:val="cs-CZ"/>
          </w:rPr>
          <w:delText xml:space="preserve"> v</w:delText>
        </w:r>
        <w:r w:rsidR="004970F6" w:rsidRPr="001B4A02">
          <w:rPr>
            <w:szCs w:val="22"/>
            <w:lang w:val="cs-CZ"/>
          </w:rPr>
          <w:delText> </w:delText>
        </w:r>
        <w:r w:rsidRPr="001B4A02">
          <w:rPr>
            <w:szCs w:val="22"/>
            <w:lang w:val="cs-CZ"/>
          </w:rPr>
          <w:delText>době ukončení.</w:delText>
        </w:r>
      </w:del>
    </w:p>
    <w:p w14:paraId="629F2337" w14:textId="77777777" w:rsidR="00D91AF1" w:rsidRPr="001B4A02" w:rsidRDefault="00000000" w:rsidP="007C5EA6">
      <w:pPr>
        <w:pStyle w:val="EMEANormal"/>
        <w:numPr>
          <w:ilvl w:val="0"/>
          <w:numId w:val="258"/>
        </w:numPr>
        <w:tabs>
          <w:tab w:val="clear" w:pos="562"/>
        </w:tabs>
        <w:rPr>
          <w:del w:id="2719" w:author="AbbVie1" w:date="2025-05-13T09:50:00Z"/>
          <w:szCs w:val="22"/>
          <w:lang w:val="cs-CZ"/>
        </w:rPr>
      </w:pPr>
      <w:del w:id="2720" w:author="AbbVie1" w:date="2025-05-13T09:50:00Z">
        <w:r w:rsidRPr="001B4A02">
          <w:rPr>
            <w:szCs w:val="22"/>
            <w:lang w:val="cs-CZ"/>
          </w:rPr>
          <w:delText>HR adalimumab vs. placebo z</w:delText>
        </w:r>
        <w:r w:rsidR="004970F6" w:rsidRPr="001B4A02">
          <w:rPr>
            <w:szCs w:val="22"/>
            <w:lang w:val="cs-CZ"/>
          </w:rPr>
          <w:delText> </w:delText>
        </w:r>
        <w:r w:rsidRPr="001B4A02">
          <w:rPr>
            <w:szCs w:val="22"/>
            <w:lang w:val="cs-CZ"/>
          </w:rPr>
          <w:delText>regrese poměrných rizik s</w:delText>
        </w:r>
        <w:r w:rsidR="004970F6" w:rsidRPr="001B4A02">
          <w:rPr>
            <w:szCs w:val="22"/>
            <w:lang w:val="cs-CZ"/>
          </w:rPr>
          <w:delText> </w:delText>
        </w:r>
        <w:r w:rsidRPr="001B4A02">
          <w:rPr>
            <w:szCs w:val="22"/>
            <w:lang w:val="cs-CZ"/>
          </w:rPr>
          <w:delText>faktorem</w:delText>
        </w:r>
        <w:r w:rsidR="008E65C9" w:rsidRPr="001B4A02">
          <w:rPr>
            <w:szCs w:val="22"/>
            <w:lang w:val="cs-CZ"/>
          </w:rPr>
          <w:delText>,</w:delText>
        </w:r>
        <w:r w:rsidR="006F3AAD" w:rsidRPr="001B4A02">
          <w:rPr>
            <w:szCs w:val="22"/>
            <w:lang w:val="cs-CZ"/>
          </w:rPr>
          <w:delText xml:space="preserve"> jako je léčba</w:delText>
        </w:r>
        <w:r w:rsidRPr="001B4A02">
          <w:rPr>
            <w:szCs w:val="22"/>
            <w:lang w:val="cs-CZ"/>
          </w:rPr>
          <w:delText>.</w:delText>
        </w:r>
      </w:del>
    </w:p>
    <w:p w14:paraId="0E16DAF6" w14:textId="77777777" w:rsidR="00733CAA" w:rsidRPr="001B4A02" w:rsidRDefault="00000000" w:rsidP="007C5EA6">
      <w:pPr>
        <w:pStyle w:val="EMEANormal"/>
        <w:numPr>
          <w:ilvl w:val="0"/>
          <w:numId w:val="258"/>
        </w:numPr>
        <w:tabs>
          <w:tab w:val="clear" w:pos="562"/>
        </w:tabs>
        <w:ind w:left="284" w:hanging="284"/>
        <w:rPr>
          <w:del w:id="2721" w:author="AbbVie1" w:date="2025-05-13T09:50:00Z"/>
          <w:szCs w:val="22"/>
          <w:lang w:val="cs-CZ"/>
        </w:rPr>
      </w:pPr>
      <w:del w:id="2722" w:author="AbbVie1" w:date="2025-05-13T09:50:00Z">
        <w:r w:rsidRPr="001B4A02">
          <w:rPr>
            <w:szCs w:val="22"/>
            <w:lang w:val="cs-CZ"/>
          </w:rPr>
          <w:delText xml:space="preserve">2stranná </w:delText>
        </w:r>
        <w:r w:rsidRPr="001B4A02">
          <w:rPr>
            <w:i/>
            <w:iCs/>
            <w:szCs w:val="22"/>
            <w:lang w:val="cs-CZ"/>
          </w:rPr>
          <w:delText>P</w:delText>
        </w:r>
        <w:r w:rsidRPr="001B4A02">
          <w:rPr>
            <w:szCs w:val="22"/>
            <w:lang w:val="cs-CZ"/>
          </w:rPr>
          <w:delText xml:space="preserve"> hodnota z</w:delText>
        </w:r>
        <w:r w:rsidR="006F3AAD" w:rsidRPr="001B4A02">
          <w:rPr>
            <w:szCs w:val="22"/>
            <w:lang w:val="cs-CZ"/>
          </w:rPr>
          <w:delText> </w:delText>
        </w:r>
        <w:r w:rsidRPr="001B4A02">
          <w:rPr>
            <w:szCs w:val="22"/>
            <w:lang w:val="cs-CZ"/>
          </w:rPr>
          <w:delText>log</w:delText>
        </w:r>
        <w:r w:rsidR="006F3AAD" w:rsidRPr="001B4A02">
          <w:rPr>
            <w:szCs w:val="22"/>
            <w:lang w:val="cs-CZ"/>
          </w:rPr>
          <w:delText>-</w:delText>
        </w:r>
        <w:r w:rsidRPr="001B4A02">
          <w:rPr>
            <w:szCs w:val="22"/>
            <w:lang w:val="cs-CZ"/>
          </w:rPr>
          <w:delText>rank testu.</w:delText>
        </w:r>
      </w:del>
    </w:p>
    <w:p w14:paraId="1DDACB03" w14:textId="77777777" w:rsidR="00733CAA" w:rsidRPr="001B4A02" w:rsidRDefault="00000000" w:rsidP="007C5EA6">
      <w:pPr>
        <w:pStyle w:val="EMEANormal"/>
        <w:numPr>
          <w:ilvl w:val="0"/>
          <w:numId w:val="258"/>
        </w:numPr>
        <w:tabs>
          <w:tab w:val="clear" w:pos="562"/>
        </w:tabs>
        <w:ind w:left="284" w:hanging="284"/>
        <w:rPr>
          <w:del w:id="2723" w:author="AbbVie1" w:date="2025-05-13T09:50:00Z"/>
          <w:szCs w:val="22"/>
          <w:lang w:val="cs-CZ"/>
        </w:rPr>
      </w:pPr>
      <w:del w:id="2724" w:author="AbbVie1" w:date="2025-05-13T09:50:00Z">
        <w:r w:rsidRPr="001B4A02">
          <w:rPr>
            <w:szCs w:val="22"/>
            <w:lang w:val="cs-CZ"/>
          </w:rPr>
          <w:delText xml:space="preserve">NE = </w:delText>
        </w:r>
        <w:r w:rsidR="00D91AF1" w:rsidRPr="001B4A02">
          <w:rPr>
            <w:szCs w:val="22"/>
            <w:lang w:val="cs-CZ"/>
          </w:rPr>
          <w:delText>nehodnotitelný</w:delText>
        </w:r>
        <w:r w:rsidRPr="001B4A02">
          <w:rPr>
            <w:szCs w:val="22"/>
            <w:lang w:val="cs-CZ"/>
          </w:rPr>
          <w:delText xml:space="preserve">. </w:delText>
        </w:r>
        <w:r w:rsidR="00D91AF1" w:rsidRPr="001B4A02">
          <w:rPr>
            <w:szCs w:val="22"/>
            <w:lang w:val="cs-CZ"/>
          </w:rPr>
          <w:delText>K příhodě došlo u</w:delText>
        </w:r>
        <w:r w:rsidR="004970F6" w:rsidRPr="001B4A02">
          <w:rPr>
            <w:szCs w:val="22"/>
            <w:lang w:val="cs-CZ"/>
          </w:rPr>
          <w:delText> </w:delText>
        </w:r>
        <w:r w:rsidR="00D91AF1" w:rsidRPr="001B4A02">
          <w:rPr>
            <w:szCs w:val="22"/>
            <w:lang w:val="cs-CZ"/>
          </w:rPr>
          <w:delText>méně než poloviny rizikových subjektů.</w:delText>
        </w:r>
      </w:del>
    </w:p>
    <w:p w14:paraId="6DAAFC0B" w14:textId="77777777" w:rsidR="00733CAA" w:rsidRPr="001B4A02" w:rsidRDefault="00733CAA" w:rsidP="00ED48A3">
      <w:pPr>
        <w:pStyle w:val="EMEANormal"/>
        <w:rPr>
          <w:del w:id="2725" w:author="AbbVie1" w:date="2025-05-13T09:50:00Z"/>
          <w:szCs w:val="22"/>
          <w:lang w:val="cs-CZ"/>
        </w:rPr>
      </w:pPr>
    </w:p>
    <w:p w14:paraId="5394168D" w14:textId="77777777" w:rsidR="00733CAA" w:rsidRPr="001B4A02" w:rsidRDefault="00000000" w:rsidP="00ED48A3">
      <w:pPr>
        <w:pStyle w:val="EMEANormal"/>
        <w:keepNext/>
        <w:jc w:val="center"/>
        <w:rPr>
          <w:del w:id="2726" w:author="AbbVie1" w:date="2025-05-13T09:50:00Z"/>
          <w:b/>
          <w:szCs w:val="22"/>
          <w:lang w:val="cs-CZ"/>
        </w:rPr>
      </w:pPr>
      <w:del w:id="2727" w:author="AbbVie1" w:date="2025-05-13T09:50:00Z">
        <w:r w:rsidRPr="001B4A02">
          <w:rPr>
            <w:b/>
            <w:bCs/>
            <w:szCs w:val="22"/>
            <w:lang w:val="cs-CZ"/>
          </w:rPr>
          <w:delText xml:space="preserve">Obrázek </w:delText>
        </w:r>
        <w:r w:rsidR="00D76799">
          <w:rPr>
            <w:b/>
            <w:bCs/>
            <w:szCs w:val="22"/>
            <w:lang w:val="cs-CZ"/>
          </w:rPr>
          <w:delText>1</w:delText>
        </w:r>
        <w:r w:rsidRPr="001B4A02">
          <w:rPr>
            <w:b/>
            <w:bCs/>
            <w:szCs w:val="22"/>
            <w:lang w:val="cs-CZ"/>
          </w:rPr>
          <w:delText xml:space="preserve">: Kaplan-Meierovy křivky shrnující dobu do selhání </w:delText>
        </w:r>
        <w:r w:rsidR="006F3AAD" w:rsidRPr="001B4A02">
          <w:rPr>
            <w:b/>
            <w:bCs/>
            <w:szCs w:val="22"/>
            <w:lang w:val="cs-CZ"/>
          </w:rPr>
          <w:delText>léčby</w:delText>
        </w:r>
        <w:r w:rsidRPr="001B4A02">
          <w:rPr>
            <w:b/>
            <w:bCs/>
            <w:szCs w:val="22"/>
            <w:lang w:val="cs-CZ"/>
          </w:rPr>
          <w:delText xml:space="preserve"> v</w:delText>
        </w:r>
        <w:r w:rsidR="00EF0AF7" w:rsidRPr="001B4A02">
          <w:rPr>
            <w:b/>
            <w:bCs/>
            <w:szCs w:val="22"/>
            <w:lang w:val="cs-CZ"/>
          </w:rPr>
          <w:delText> </w:delText>
        </w:r>
        <w:r w:rsidRPr="001B4A02">
          <w:rPr>
            <w:b/>
            <w:bCs/>
            <w:szCs w:val="22"/>
            <w:lang w:val="cs-CZ"/>
          </w:rPr>
          <w:delText xml:space="preserve">týdnu 6 nebo </w:delText>
        </w:r>
        <w:r w:rsidR="000C196B" w:rsidRPr="001B4A02">
          <w:rPr>
            <w:b/>
            <w:bCs/>
            <w:szCs w:val="22"/>
            <w:lang w:val="cs-CZ"/>
          </w:rPr>
          <w:delText>později</w:delText>
        </w:r>
        <w:r w:rsidRPr="001B4A02">
          <w:rPr>
            <w:b/>
            <w:bCs/>
            <w:szCs w:val="22"/>
            <w:lang w:val="cs-CZ"/>
          </w:rPr>
          <w:delText xml:space="preserve"> (studie UV I) nebo </w:delText>
        </w:r>
        <w:r w:rsidR="001B78B4" w:rsidRPr="001B4A02">
          <w:rPr>
            <w:b/>
            <w:bCs/>
            <w:szCs w:val="22"/>
            <w:lang w:val="cs-CZ"/>
          </w:rPr>
          <w:delText>v</w:delText>
        </w:r>
        <w:r w:rsidR="00EF0AF7" w:rsidRPr="001B4A02">
          <w:rPr>
            <w:b/>
            <w:bCs/>
            <w:szCs w:val="22"/>
            <w:lang w:val="cs-CZ"/>
          </w:rPr>
          <w:delText> </w:delText>
        </w:r>
        <w:r w:rsidRPr="001B4A02">
          <w:rPr>
            <w:b/>
            <w:bCs/>
            <w:szCs w:val="22"/>
            <w:lang w:val="cs-CZ"/>
          </w:rPr>
          <w:delText>týdn</w:delText>
        </w:r>
        <w:r w:rsidR="001B78B4" w:rsidRPr="001B4A02">
          <w:rPr>
            <w:b/>
            <w:bCs/>
            <w:szCs w:val="22"/>
            <w:lang w:val="cs-CZ"/>
          </w:rPr>
          <w:delText>u</w:delText>
        </w:r>
        <w:r w:rsidRPr="001B4A02">
          <w:rPr>
            <w:b/>
            <w:bCs/>
            <w:szCs w:val="22"/>
            <w:lang w:val="cs-CZ"/>
          </w:rPr>
          <w:delText xml:space="preserve"> 2 </w:delText>
        </w:r>
        <w:r w:rsidR="000C196B" w:rsidRPr="001B4A02">
          <w:rPr>
            <w:b/>
            <w:bCs/>
            <w:szCs w:val="22"/>
            <w:lang w:val="cs-CZ"/>
          </w:rPr>
          <w:delText xml:space="preserve">nebo později </w:delText>
        </w:r>
        <w:r w:rsidRPr="001B4A02">
          <w:rPr>
            <w:b/>
            <w:bCs/>
            <w:szCs w:val="22"/>
            <w:lang w:val="cs-CZ"/>
          </w:rPr>
          <w:delText xml:space="preserve">(studie UV II) </w:delText>
        </w:r>
      </w:del>
    </w:p>
    <w:p w14:paraId="7331F011" w14:textId="77777777" w:rsidR="00733CAA" w:rsidRPr="001B4A02" w:rsidRDefault="00733CAA" w:rsidP="00ED48A3">
      <w:pPr>
        <w:pStyle w:val="EMEANormal"/>
        <w:keepNext/>
        <w:jc w:val="center"/>
        <w:rPr>
          <w:del w:id="2728" w:author="AbbVie1" w:date="2025-05-13T09:50:00Z"/>
          <w:b/>
          <w:szCs w:val="22"/>
          <w:highlight w:val="yellow"/>
          <w:lang w:val="cs-CZ"/>
        </w:rPr>
      </w:pPr>
    </w:p>
    <w:tbl>
      <w:tblPr>
        <w:tblW w:w="9288" w:type="dxa"/>
        <w:tblLayout w:type="fixed"/>
        <w:tblLook w:val="04A0" w:firstRow="1" w:lastRow="0" w:firstColumn="1" w:lastColumn="0" w:noHBand="0" w:noVBand="1"/>
      </w:tblPr>
      <w:tblGrid>
        <w:gridCol w:w="482"/>
        <w:gridCol w:w="3496"/>
        <w:gridCol w:w="1170"/>
        <w:gridCol w:w="1350"/>
        <w:gridCol w:w="900"/>
        <w:gridCol w:w="1890"/>
      </w:tblGrid>
      <w:tr w:rsidR="00534A2D" w14:paraId="1D2BC053" w14:textId="77777777" w:rsidTr="00824742">
        <w:trPr>
          <w:cantSplit/>
          <w:trHeight w:val="3806"/>
          <w:del w:id="2729" w:author="AbbVie1" w:date="2025-05-13T09:50:00Z"/>
        </w:trPr>
        <w:tc>
          <w:tcPr>
            <w:tcW w:w="482" w:type="dxa"/>
            <w:shd w:val="clear" w:color="auto" w:fill="auto"/>
            <w:textDirection w:val="btLr"/>
            <w:vAlign w:val="bottom"/>
          </w:tcPr>
          <w:p w14:paraId="5DD3BC01" w14:textId="77777777" w:rsidR="00733CAA" w:rsidRPr="001B4A02" w:rsidRDefault="00000000" w:rsidP="00ED48A3">
            <w:pPr>
              <w:pStyle w:val="EMEANormal"/>
              <w:keepNext/>
              <w:ind w:left="113" w:right="113"/>
              <w:jc w:val="center"/>
              <w:rPr>
                <w:del w:id="2730" w:author="AbbVie1" w:date="2025-05-13T09:50:00Z"/>
                <w:b/>
                <w:szCs w:val="22"/>
                <w:lang w:val="cs-CZ"/>
              </w:rPr>
            </w:pPr>
            <w:del w:id="2731" w:author="AbbVie1" w:date="2025-05-13T09:50:00Z">
              <w:r w:rsidRPr="001B4A02">
                <w:rPr>
                  <w:b/>
                  <w:bCs/>
                  <w:szCs w:val="22"/>
                  <w:lang w:val="cs-CZ"/>
                </w:rPr>
                <w:delText>ČETNOST SELHÁNÍ LÉČBY (%)</w:delText>
              </w:r>
            </w:del>
          </w:p>
        </w:tc>
        <w:tc>
          <w:tcPr>
            <w:tcW w:w="8806" w:type="dxa"/>
            <w:gridSpan w:val="5"/>
            <w:shd w:val="clear" w:color="auto" w:fill="auto"/>
            <w:vAlign w:val="bottom"/>
          </w:tcPr>
          <w:p w14:paraId="1EE047B5" w14:textId="77777777" w:rsidR="00733CAA" w:rsidRPr="001B4A02" w:rsidRDefault="00000000" w:rsidP="00ED48A3">
            <w:pPr>
              <w:pStyle w:val="EMEANormal"/>
              <w:keepNext/>
              <w:rPr>
                <w:del w:id="2732" w:author="AbbVie1" w:date="2025-05-13T09:50:00Z"/>
                <w:b/>
                <w:szCs w:val="22"/>
                <w:lang w:val="cs-CZ"/>
              </w:rPr>
            </w:pPr>
            <w:del w:id="2733" w:author="AbbVie1" w:date="2025-05-13T09:50:00Z">
              <w:r w:rsidRPr="001B4A02">
                <w:rPr>
                  <w:b/>
                  <w:noProof/>
                  <w:szCs w:val="22"/>
                </w:rPr>
                <w:drawing>
                  <wp:inline distT="0" distB="0" distL="0" distR="0" wp14:anchorId="7E5068B2" wp14:editId="6DCD8127">
                    <wp:extent cx="5486400" cy="2208530"/>
                    <wp:effectExtent l="0" t="0" r="0" b="1270"/>
                    <wp:docPr id="473" name="obrázek 473"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Picture 473" descr="Humira Uveitis Figure 5_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2208530"/>
                            </a:xfrm>
                            <a:prstGeom prst="rect">
                              <a:avLst/>
                            </a:prstGeom>
                            <a:noFill/>
                            <a:ln>
                              <a:noFill/>
                            </a:ln>
                          </pic:spPr>
                        </pic:pic>
                      </a:graphicData>
                    </a:graphic>
                  </wp:inline>
                </w:drawing>
              </w:r>
            </w:del>
          </w:p>
        </w:tc>
      </w:tr>
      <w:tr w:rsidR="00534A2D" w14:paraId="06E8F704" w14:textId="77777777" w:rsidTr="00824742">
        <w:trPr>
          <w:del w:id="2734" w:author="AbbVie1" w:date="2025-05-13T09:50:00Z"/>
        </w:trPr>
        <w:tc>
          <w:tcPr>
            <w:tcW w:w="482" w:type="dxa"/>
            <w:shd w:val="clear" w:color="auto" w:fill="auto"/>
          </w:tcPr>
          <w:p w14:paraId="327DF443" w14:textId="77777777" w:rsidR="00733CAA" w:rsidRPr="001B4A02" w:rsidRDefault="00733CAA" w:rsidP="00ED48A3">
            <w:pPr>
              <w:pStyle w:val="EMEANormal"/>
              <w:rPr>
                <w:del w:id="2735" w:author="AbbVie1" w:date="2025-05-13T09:50:00Z"/>
                <w:szCs w:val="22"/>
                <w:lang w:val="cs-CZ"/>
              </w:rPr>
            </w:pPr>
          </w:p>
        </w:tc>
        <w:tc>
          <w:tcPr>
            <w:tcW w:w="8806" w:type="dxa"/>
            <w:gridSpan w:val="5"/>
            <w:shd w:val="clear" w:color="auto" w:fill="auto"/>
          </w:tcPr>
          <w:p w14:paraId="25108C74" w14:textId="77777777" w:rsidR="00733CAA" w:rsidRPr="001B4A02" w:rsidRDefault="00000000" w:rsidP="00ED48A3">
            <w:pPr>
              <w:pStyle w:val="EMEANormal"/>
              <w:jc w:val="center"/>
              <w:rPr>
                <w:del w:id="2736" w:author="AbbVie1" w:date="2025-05-13T09:50:00Z"/>
                <w:szCs w:val="22"/>
                <w:lang w:val="cs-CZ"/>
              </w:rPr>
            </w:pPr>
            <w:del w:id="2737" w:author="AbbVie1" w:date="2025-05-13T09:50:00Z">
              <w:r w:rsidRPr="001B4A02">
                <w:rPr>
                  <w:szCs w:val="22"/>
                  <w:lang w:val="cs-CZ"/>
                </w:rPr>
                <w:delText>ČAS (MĚSÍCE)</w:delText>
              </w:r>
            </w:del>
          </w:p>
        </w:tc>
      </w:tr>
      <w:tr w:rsidR="00534A2D" w14:paraId="754ACDB8" w14:textId="77777777" w:rsidTr="00824742">
        <w:trPr>
          <w:del w:id="2738" w:author="AbbVie1" w:date="2025-05-13T09:50:00Z"/>
        </w:trPr>
        <w:tc>
          <w:tcPr>
            <w:tcW w:w="482" w:type="dxa"/>
            <w:shd w:val="clear" w:color="auto" w:fill="auto"/>
          </w:tcPr>
          <w:p w14:paraId="325902C3" w14:textId="77777777" w:rsidR="00733CAA" w:rsidRPr="001B4A02" w:rsidRDefault="00733CAA" w:rsidP="00ED48A3">
            <w:pPr>
              <w:pStyle w:val="EMEANormal"/>
              <w:rPr>
                <w:del w:id="2739" w:author="AbbVie1" w:date="2025-05-13T09:50:00Z"/>
                <w:szCs w:val="22"/>
                <w:lang w:val="cs-CZ"/>
              </w:rPr>
            </w:pPr>
          </w:p>
        </w:tc>
        <w:tc>
          <w:tcPr>
            <w:tcW w:w="3496" w:type="dxa"/>
            <w:shd w:val="clear" w:color="auto" w:fill="auto"/>
          </w:tcPr>
          <w:p w14:paraId="1BCBB00F" w14:textId="77777777" w:rsidR="00733CAA" w:rsidRPr="001B4A02" w:rsidRDefault="00000000" w:rsidP="00ED48A3">
            <w:pPr>
              <w:pStyle w:val="EMEANormal"/>
              <w:rPr>
                <w:del w:id="2740" w:author="AbbVie1" w:date="2025-05-13T09:50:00Z"/>
                <w:szCs w:val="22"/>
                <w:lang w:val="cs-CZ"/>
              </w:rPr>
            </w:pPr>
            <w:del w:id="2741" w:author="AbbVie1" w:date="2025-05-13T09:50:00Z">
              <w:r w:rsidRPr="001B4A02">
                <w:rPr>
                  <w:szCs w:val="22"/>
                  <w:lang w:val="cs-CZ"/>
                </w:rPr>
                <w:delText>Studie UV I                        Léčba</w:delText>
              </w:r>
            </w:del>
          </w:p>
        </w:tc>
        <w:tc>
          <w:tcPr>
            <w:tcW w:w="1170" w:type="dxa"/>
            <w:shd w:val="clear" w:color="auto" w:fill="auto"/>
          </w:tcPr>
          <w:p w14:paraId="702DF248" w14:textId="77777777" w:rsidR="00733CAA" w:rsidRPr="001B4A02" w:rsidRDefault="00000000" w:rsidP="00ED48A3">
            <w:pPr>
              <w:pStyle w:val="EMEANormal"/>
              <w:jc w:val="right"/>
              <w:rPr>
                <w:del w:id="2742" w:author="AbbVie1" w:date="2025-05-13T09:50:00Z"/>
                <w:szCs w:val="22"/>
                <w:lang w:val="cs-CZ"/>
              </w:rPr>
            </w:pPr>
            <w:del w:id="2743" w:author="AbbVie1" w:date="2025-05-13T09:50:00Z">
              <w:r w:rsidRPr="001B4A02">
                <w:rPr>
                  <w:noProof/>
                  <w:szCs w:val="22"/>
                </w:rPr>
                <w:drawing>
                  <wp:inline distT="0" distB="0" distL="0" distR="0" wp14:anchorId="7FE0A52F" wp14:editId="682DEB31">
                    <wp:extent cx="405130" cy="180975"/>
                    <wp:effectExtent l="0" t="0" r="0" b="9525"/>
                    <wp:docPr id="474" name="obrázek 47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474"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5130" cy="180975"/>
                            </a:xfrm>
                            <a:prstGeom prst="rect">
                              <a:avLst/>
                            </a:prstGeom>
                            <a:noFill/>
                            <a:ln>
                              <a:noFill/>
                            </a:ln>
                          </pic:spPr>
                        </pic:pic>
                      </a:graphicData>
                    </a:graphic>
                  </wp:inline>
                </w:drawing>
              </w:r>
            </w:del>
          </w:p>
        </w:tc>
        <w:tc>
          <w:tcPr>
            <w:tcW w:w="1350" w:type="dxa"/>
            <w:shd w:val="clear" w:color="auto" w:fill="auto"/>
          </w:tcPr>
          <w:p w14:paraId="2DB4B542" w14:textId="77777777" w:rsidR="00733CAA" w:rsidRPr="001B4A02" w:rsidRDefault="00000000" w:rsidP="00ED48A3">
            <w:pPr>
              <w:pStyle w:val="EMEANormal"/>
              <w:rPr>
                <w:del w:id="2744" w:author="AbbVie1" w:date="2025-05-13T09:50:00Z"/>
                <w:szCs w:val="22"/>
                <w:lang w:val="cs-CZ"/>
              </w:rPr>
            </w:pPr>
            <w:del w:id="2745" w:author="AbbVie1" w:date="2025-05-13T09:50:00Z">
              <w:r w:rsidRPr="001B4A02">
                <w:rPr>
                  <w:szCs w:val="22"/>
                  <w:lang w:val="cs-CZ"/>
                </w:rPr>
                <w:delText>Placebo</w:delText>
              </w:r>
            </w:del>
          </w:p>
        </w:tc>
        <w:tc>
          <w:tcPr>
            <w:tcW w:w="900" w:type="dxa"/>
            <w:shd w:val="clear" w:color="auto" w:fill="auto"/>
          </w:tcPr>
          <w:p w14:paraId="089A7D9F" w14:textId="77777777" w:rsidR="00733CAA" w:rsidRPr="001B4A02" w:rsidRDefault="00000000" w:rsidP="00ED48A3">
            <w:pPr>
              <w:pStyle w:val="EMEANormal"/>
              <w:jc w:val="right"/>
              <w:rPr>
                <w:del w:id="2746" w:author="AbbVie1" w:date="2025-05-13T09:50:00Z"/>
                <w:szCs w:val="22"/>
                <w:lang w:val="cs-CZ"/>
              </w:rPr>
            </w:pPr>
            <w:del w:id="2747" w:author="AbbVie1" w:date="2025-05-13T09:50:00Z">
              <w:r w:rsidRPr="001B4A02">
                <w:rPr>
                  <w:noProof/>
                  <w:szCs w:val="22"/>
                </w:rPr>
                <w:drawing>
                  <wp:inline distT="0" distB="0" distL="0" distR="0" wp14:anchorId="44A49F07" wp14:editId="7A759C6B">
                    <wp:extent cx="569595" cy="180975"/>
                    <wp:effectExtent l="0" t="0" r="1905" b="9525"/>
                    <wp:docPr id="475" name="obrázek 47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9595" cy="180975"/>
                            </a:xfrm>
                            <a:prstGeom prst="rect">
                              <a:avLst/>
                            </a:prstGeom>
                            <a:noFill/>
                            <a:ln>
                              <a:noFill/>
                            </a:ln>
                          </pic:spPr>
                        </pic:pic>
                      </a:graphicData>
                    </a:graphic>
                  </wp:inline>
                </w:drawing>
              </w:r>
            </w:del>
          </w:p>
        </w:tc>
        <w:tc>
          <w:tcPr>
            <w:tcW w:w="1890" w:type="dxa"/>
            <w:shd w:val="clear" w:color="auto" w:fill="auto"/>
          </w:tcPr>
          <w:p w14:paraId="29D1EBAB" w14:textId="77777777" w:rsidR="00733CAA" w:rsidRPr="001B4A02" w:rsidRDefault="00000000" w:rsidP="00ED48A3">
            <w:pPr>
              <w:pStyle w:val="EMEANormal"/>
              <w:rPr>
                <w:del w:id="2748" w:author="AbbVie1" w:date="2025-05-13T09:50:00Z"/>
                <w:szCs w:val="22"/>
                <w:lang w:val="cs-CZ"/>
              </w:rPr>
            </w:pPr>
            <w:del w:id="2749" w:author="AbbVie1" w:date="2025-05-13T09:50:00Z">
              <w:r w:rsidRPr="001B4A02">
                <w:rPr>
                  <w:szCs w:val="22"/>
                  <w:lang w:val="cs-CZ"/>
                </w:rPr>
                <w:delText>Adalimumab</w:delText>
              </w:r>
            </w:del>
          </w:p>
        </w:tc>
      </w:tr>
      <w:tr w:rsidR="00534A2D" w14:paraId="062EA9FE" w14:textId="77777777" w:rsidTr="00824742">
        <w:trPr>
          <w:trHeight w:val="3869"/>
          <w:del w:id="2750" w:author="AbbVie1" w:date="2025-05-13T09:50:00Z"/>
        </w:trPr>
        <w:tc>
          <w:tcPr>
            <w:tcW w:w="482" w:type="dxa"/>
            <w:shd w:val="clear" w:color="auto" w:fill="auto"/>
            <w:textDirection w:val="btLr"/>
            <w:vAlign w:val="bottom"/>
          </w:tcPr>
          <w:p w14:paraId="51C2FA70" w14:textId="77777777" w:rsidR="00733CAA" w:rsidRPr="001B4A02" w:rsidRDefault="00000000" w:rsidP="00ED48A3">
            <w:pPr>
              <w:pStyle w:val="EMEANormal"/>
              <w:jc w:val="center"/>
              <w:rPr>
                <w:del w:id="2751" w:author="AbbVie1" w:date="2025-05-13T09:50:00Z"/>
                <w:b/>
                <w:szCs w:val="22"/>
                <w:lang w:val="cs-CZ"/>
              </w:rPr>
            </w:pPr>
            <w:del w:id="2752" w:author="AbbVie1" w:date="2025-05-13T09:50:00Z">
              <w:r w:rsidRPr="001B4A02">
                <w:rPr>
                  <w:b/>
                  <w:bCs/>
                  <w:szCs w:val="22"/>
                  <w:lang w:val="cs-CZ"/>
                </w:rPr>
                <w:delText>ČETNOST SELHÁNÍ LÉČBY (%)</w:delText>
              </w:r>
            </w:del>
          </w:p>
        </w:tc>
        <w:tc>
          <w:tcPr>
            <w:tcW w:w="8806" w:type="dxa"/>
            <w:gridSpan w:val="5"/>
            <w:shd w:val="clear" w:color="auto" w:fill="auto"/>
            <w:vAlign w:val="bottom"/>
          </w:tcPr>
          <w:p w14:paraId="400E786C" w14:textId="77777777" w:rsidR="00733CAA" w:rsidRPr="001B4A02" w:rsidRDefault="00000000" w:rsidP="00ED48A3">
            <w:pPr>
              <w:pStyle w:val="EMEANormal"/>
              <w:rPr>
                <w:del w:id="2753" w:author="AbbVie1" w:date="2025-05-13T09:50:00Z"/>
                <w:b/>
                <w:szCs w:val="22"/>
                <w:lang w:val="cs-CZ"/>
              </w:rPr>
            </w:pPr>
            <w:del w:id="2754" w:author="AbbVie1" w:date="2025-05-13T09:50:00Z">
              <w:r w:rsidRPr="001B4A02">
                <w:rPr>
                  <w:b/>
                  <w:noProof/>
                  <w:szCs w:val="22"/>
                </w:rPr>
                <w:drawing>
                  <wp:inline distT="0" distB="0" distL="0" distR="0" wp14:anchorId="0CFE9CA6" wp14:editId="1ECC55D0">
                    <wp:extent cx="5486400" cy="2182495"/>
                    <wp:effectExtent l="0" t="0" r="0" b="8255"/>
                    <wp:docPr id="476" name="obrázek 476"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Humira Uveitis Figure 5_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6400" cy="2182495"/>
                            </a:xfrm>
                            <a:prstGeom prst="rect">
                              <a:avLst/>
                            </a:prstGeom>
                            <a:noFill/>
                            <a:ln>
                              <a:noFill/>
                            </a:ln>
                          </pic:spPr>
                        </pic:pic>
                      </a:graphicData>
                    </a:graphic>
                  </wp:inline>
                </w:drawing>
              </w:r>
            </w:del>
          </w:p>
        </w:tc>
      </w:tr>
      <w:tr w:rsidR="00534A2D" w14:paraId="120F811B" w14:textId="77777777" w:rsidTr="00824742">
        <w:trPr>
          <w:del w:id="2755" w:author="AbbVie1" w:date="2025-05-13T09:50:00Z"/>
        </w:trPr>
        <w:tc>
          <w:tcPr>
            <w:tcW w:w="482" w:type="dxa"/>
            <w:shd w:val="clear" w:color="auto" w:fill="auto"/>
          </w:tcPr>
          <w:p w14:paraId="473C382F" w14:textId="77777777" w:rsidR="00733CAA" w:rsidRPr="001B4A02" w:rsidRDefault="00733CAA" w:rsidP="00ED48A3">
            <w:pPr>
              <w:pStyle w:val="EMEANormal"/>
              <w:rPr>
                <w:del w:id="2756" w:author="AbbVie1" w:date="2025-05-13T09:50:00Z"/>
                <w:szCs w:val="22"/>
                <w:lang w:val="cs-CZ"/>
              </w:rPr>
            </w:pPr>
          </w:p>
        </w:tc>
        <w:tc>
          <w:tcPr>
            <w:tcW w:w="8806" w:type="dxa"/>
            <w:gridSpan w:val="5"/>
            <w:shd w:val="clear" w:color="auto" w:fill="auto"/>
          </w:tcPr>
          <w:p w14:paraId="6C4444C7" w14:textId="77777777" w:rsidR="00733CAA" w:rsidRPr="001B4A02" w:rsidRDefault="00000000" w:rsidP="00ED48A3">
            <w:pPr>
              <w:pStyle w:val="EMEANormal"/>
              <w:jc w:val="center"/>
              <w:rPr>
                <w:del w:id="2757" w:author="AbbVie1" w:date="2025-05-13T09:50:00Z"/>
                <w:szCs w:val="22"/>
                <w:lang w:val="cs-CZ"/>
              </w:rPr>
            </w:pPr>
            <w:del w:id="2758" w:author="AbbVie1" w:date="2025-05-13T09:50:00Z">
              <w:r w:rsidRPr="001B4A02">
                <w:rPr>
                  <w:szCs w:val="22"/>
                  <w:lang w:val="cs-CZ"/>
                </w:rPr>
                <w:delText>ČAS (MĚSÍCE)</w:delText>
              </w:r>
            </w:del>
          </w:p>
        </w:tc>
      </w:tr>
      <w:tr w:rsidR="00534A2D" w14:paraId="22253341" w14:textId="77777777" w:rsidTr="00824742">
        <w:trPr>
          <w:trHeight w:val="369"/>
          <w:del w:id="2759" w:author="AbbVie1" w:date="2025-05-13T09:50:00Z"/>
        </w:trPr>
        <w:tc>
          <w:tcPr>
            <w:tcW w:w="482" w:type="dxa"/>
            <w:shd w:val="clear" w:color="auto" w:fill="auto"/>
          </w:tcPr>
          <w:p w14:paraId="77D89131" w14:textId="77777777" w:rsidR="00733CAA" w:rsidRPr="001B4A02" w:rsidRDefault="00733CAA" w:rsidP="00ED48A3">
            <w:pPr>
              <w:pStyle w:val="EMEANormal"/>
              <w:rPr>
                <w:del w:id="2760" w:author="AbbVie1" w:date="2025-05-13T09:50:00Z"/>
                <w:szCs w:val="22"/>
                <w:lang w:val="cs-CZ"/>
              </w:rPr>
            </w:pPr>
          </w:p>
        </w:tc>
        <w:tc>
          <w:tcPr>
            <w:tcW w:w="3496" w:type="dxa"/>
            <w:shd w:val="clear" w:color="auto" w:fill="auto"/>
          </w:tcPr>
          <w:p w14:paraId="4A470155" w14:textId="77777777" w:rsidR="00733CAA" w:rsidRPr="001B4A02" w:rsidRDefault="00000000" w:rsidP="00ED48A3">
            <w:pPr>
              <w:pStyle w:val="EMEANormal"/>
              <w:rPr>
                <w:del w:id="2761" w:author="AbbVie1" w:date="2025-05-13T09:50:00Z"/>
                <w:szCs w:val="22"/>
                <w:lang w:val="cs-CZ"/>
              </w:rPr>
            </w:pPr>
            <w:del w:id="2762" w:author="AbbVie1" w:date="2025-05-13T09:50:00Z">
              <w:r w:rsidRPr="001B4A02">
                <w:rPr>
                  <w:szCs w:val="22"/>
                  <w:lang w:val="cs-CZ"/>
                </w:rPr>
                <w:delText>Studie UV II                        Léčba</w:delText>
              </w:r>
            </w:del>
          </w:p>
        </w:tc>
        <w:tc>
          <w:tcPr>
            <w:tcW w:w="1170" w:type="dxa"/>
            <w:shd w:val="clear" w:color="auto" w:fill="auto"/>
          </w:tcPr>
          <w:p w14:paraId="210AEF86" w14:textId="77777777" w:rsidR="00733CAA" w:rsidRPr="001B4A02" w:rsidRDefault="00000000" w:rsidP="00ED48A3">
            <w:pPr>
              <w:pStyle w:val="EMEANormal"/>
              <w:jc w:val="right"/>
              <w:rPr>
                <w:del w:id="2763" w:author="AbbVie1" w:date="2025-05-13T09:50:00Z"/>
                <w:szCs w:val="22"/>
                <w:lang w:val="cs-CZ"/>
              </w:rPr>
            </w:pPr>
            <w:del w:id="2764" w:author="AbbVie1" w:date="2025-05-13T09:50:00Z">
              <w:r w:rsidRPr="001B4A02">
                <w:rPr>
                  <w:noProof/>
                  <w:szCs w:val="22"/>
                </w:rPr>
                <w:drawing>
                  <wp:inline distT="0" distB="0" distL="0" distR="0" wp14:anchorId="2004C74F" wp14:editId="725EE4C2">
                    <wp:extent cx="405130" cy="180975"/>
                    <wp:effectExtent l="0" t="0" r="0" b="9525"/>
                    <wp:docPr id="477" name="obrázek 47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77"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5130" cy="180975"/>
                            </a:xfrm>
                            <a:prstGeom prst="rect">
                              <a:avLst/>
                            </a:prstGeom>
                            <a:noFill/>
                            <a:ln>
                              <a:noFill/>
                            </a:ln>
                          </pic:spPr>
                        </pic:pic>
                      </a:graphicData>
                    </a:graphic>
                  </wp:inline>
                </w:drawing>
              </w:r>
            </w:del>
          </w:p>
        </w:tc>
        <w:tc>
          <w:tcPr>
            <w:tcW w:w="1350" w:type="dxa"/>
            <w:shd w:val="clear" w:color="auto" w:fill="auto"/>
          </w:tcPr>
          <w:p w14:paraId="3B93B2C2" w14:textId="77777777" w:rsidR="00733CAA" w:rsidRPr="001B4A02" w:rsidRDefault="00000000" w:rsidP="00ED48A3">
            <w:pPr>
              <w:pStyle w:val="EMEANormal"/>
              <w:rPr>
                <w:del w:id="2765" w:author="AbbVie1" w:date="2025-05-13T09:50:00Z"/>
                <w:szCs w:val="22"/>
                <w:lang w:val="cs-CZ"/>
              </w:rPr>
            </w:pPr>
            <w:del w:id="2766" w:author="AbbVie1" w:date="2025-05-13T09:50:00Z">
              <w:r w:rsidRPr="001B4A02">
                <w:rPr>
                  <w:szCs w:val="22"/>
                  <w:lang w:val="cs-CZ"/>
                </w:rPr>
                <w:delText>Placebo</w:delText>
              </w:r>
            </w:del>
          </w:p>
        </w:tc>
        <w:tc>
          <w:tcPr>
            <w:tcW w:w="900" w:type="dxa"/>
            <w:shd w:val="clear" w:color="auto" w:fill="auto"/>
          </w:tcPr>
          <w:p w14:paraId="2C3D9678" w14:textId="77777777" w:rsidR="00733CAA" w:rsidRPr="001B4A02" w:rsidRDefault="00000000" w:rsidP="00ED48A3">
            <w:pPr>
              <w:pStyle w:val="EMEANormal"/>
              <w:jc w:val="right"/>
              <w:rPr>
                <w:del w:id="2767" w:author="AbbVie1" w:date="2025-05-13T09:50:00Z"/>
                <w:szCs w:val="22"/>
                <w:lang w:val="cs-CZ"/>
              </w:rPr>
            </w:pPr>
            <w:del w:id="2768" w:author="AbbVie1" w:date="2025-05-13T09:50:00Z">
              <w:r w:rsidRPr="001B4A02">
                <w:rPr>
                  <w:noProof/>
                  <w:szCs w:val="22"/>
                </w:rPr>
                <w:drawing>
                  <wp:inline distT="0" distB="0" distL="0" distR="0" wp14:anchorId="3D7AD61F" wp14:editId="2C752F9D">
                    <wp:extent cx="569595" cy="180975"/>
                    <wp:effectExtent l="0" t="0" r="1905" b="9525"/>
                    <wp:docPr id="478" name="obrázek 47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Picture 478"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9595" cy="180975"/>
                            </a:xfrm>
                            <a:prstGeom prst="rect">
                              <a:avLst/>
                            </a:prstGeom>
                            <a:noFill/>
                            <a:ln>
                              <a:noFill/>
                            </a:ln>
                          </pic:spPr>
                        </pic:pic>
                      </a:graphicData>
                    </a:graphic>
                  </wp:inline>
                </w:drawing>
              </w:r>
            </w:del>
          </w:p>
        </w:tc>
        <w:tc>
          <w:tcPr>
            <w:tcW w:w="1890" w:type="dxa"/>
            <w:shd w:val="clear" w:color="auto" w:fill="auto"/>
          </w:tcPr>
          <w:p w14:paraId="51C232D7" w14:textId="77777777" w:rsidR="00733CAA" w:rsidRPr="001B4A02" w:rsidRDefault="00000000" w:rsidP="00ED48A3">
            <w:pPr>
              <w:pStyle w:val="EMEANormal"/>
              <w:rPr>
                <w:del w:id="2769" w:author="AbbVie1" w:date="2025-05-13T09:50:00Z"/>
                <w:szCs w:val="22"/>
                <w:lang w:val="cs-CZ"/>
              </w:rPr>
            </w:pPr>
            <w:del w:id="2770" w:author="AbbVie1" w:date="2025-05-13T09:50:00Z">
              <w:r w:rsidRPr="001B4A02">
                <w:rPr>
                  <w:szCs w:val="22"/>
                  <w:lang w:val="cs-CZ"/>
                </w:rPr>
                <w:delText>Adalimumab</w:delText>
              </w:r>
            </w:del>
          </w:p>
        </w:tc>
      </w:tr>
      <w:tr w:rsidR="00534A2D" w14:paraId="1DF84C91" w14:textId="77777777" w:rsidTr="00824742">
        <w:trPr>
          <w:trHeight w:val="629"/>
          <w:del w:id="2771" w:author="AbbVie1" w:date="2025-05-13T09:50:00Z"/>
        </w:trPr>
        <w:tc>
          <w:tcPr>
            <w:tcW w:w="9288" w:type="dxa"/>
            <w:gridSpan w:val="6"/>
            <w:shd w:val="clear" w:color="auto" w:fill="auto"/>
            <w:vAlign w:val="center"/>
          </w:tcPr>
          <w:p w14:paraId="082C1397" w14:textId="77777777" w:rsidR="00733CAA" w:rsidRPr="001B4A02" w:rsidRDefault="00000000" w:rsidP="00ED48A3">
            <w:pPr>
              <w:pStyle w:val="EMEANormal"/>
              <w:rPr>
                <w:del w:id="2772" w:author="AbbVie1" w:date="2025-05-13T09:50:00Z"/>
                <w:szCs w:val="22"/>
                <w:lang w:val="cs-CZ"/>
              </w:rPr>
            </w:pPr>
            <w:del w:id="2773" w:author="AbbVie1" w:date="2025-05-13T09:50:00Z">
              <w:r w:rsidRPr="001B4A02">
                <w:rPr>
                  <w:szCs w:val="22"/>
                  <w:lang w:val="cs-CZ"/>
                </w:rPr>
                <w:delText xml:space="preserve">Poznámka: P# = Placebo (počet příhod/počet </w:delText>
              </w:r>
              <w:r w:rsidR="00CC4311" w:rsidRPr="001B4A02">
                <w:rPr>
                  <w:szCs w:val="22"/>
                  <w:lang w:val="cs-CZ"/>
                </w:rPr>
                <w:delText>v</w:delText>
              </w:r>
              <w:r w:rsidR="00EF0AF7" w:rsidRPr="001B4A02">
                <w:rPr>
                  <w:szCs w:val="22"/>
                  <w:lang w:val="cs-CZ"/>
                </w:rPr>
                <w:delText> </w:delText>
              </w:r>
              <w:r w:rsidR="00D91AF1" w:rsidRPr="001B4A02">
                <w:rPr>
                  <w:szCs w:val="22"/>
                  <w:lang w:val="cs-CZ"/>
                </w:rPr>
                <w:delText>rizik</w:delText>
              </w:r>
              <w:r w:rsidR="00CC4311" w:rsidRPr="001B4A02">
                <w:rPr>
                  <w:szCs w:val="22"/>
                  <w:lang w:val="cs-CZ"/>
                </w:rPr>
                <w:delText>u</w:delText>
              </w:r>
              <w:r w:rsidRPr="001B4A02">
                <w:rPr>
                  <w:szCs w:val="22"/>
                  <w:lang w:val="cs-CZ"/>
                </w:rPr>
                <w:delText xml:space="preserve">); A# = </w:delText>
              </w:r>
              <w:r w:rsidR="00B85453" w:rsidRPr="001B4A02">
                <w:rPr>
                  <w:szCs w:val="22"/>
                  <w:lang w:val="cs-CZ"/>
                </w:rPr>
                <w:delText xml:space="preserve">přípravek </w:delText>
              </w:r>
              <w:r w:rsidRPr="001B4A02">
                <w:rPr>
                  <w:szCs w:val="22"/>
                  <w:lang w:val="cs-CZ"/>
                </w:rPr>
                <w:delText>HUMIRA (počet</w:delText>
              </w:r>
              <w:r w:rsidR="00FF1CB8" w:rsidRPr="001B4A02">
                <w:rPr>
                  <w:szCs w:val="22"/>
                  <w:lang w:val="cs-CZ"/>
                </w:rPr>
                <w:delText xml:space="preserve"> </w:delText>
              </w:r>
              <w:r w:rsidRPr="001B4A02">
                <w:rPr>
                  <w:szCs w:val="22"/>
                  <w:lang w:val="cs-CZ"/>
                </w:rPr>
                <w:delText xml:space="preserve">příhod/počet </w:delText>
              </w:r>
              <w:r w:rsidR="00CC4311" w:rsidRPr="001B4A02">
                <w:rPr>
                  <w:szCs w:val="22"/>
                  <w:lang w:val="cs-CZ"/>
                </w:rPr>
                <w:delText>v</w:delText>
              </w:r>
              <w:r w:rsidR="00EF0AF7" w:rsidRPr="001B4A02">
                <w:rPr>
                  <w:szCs w:val="22"/>
                  <w:lang w:val="cs-CZ"/>
                </w:rPr>
                <w:delText> </w:delText>
              </w:r>
              <w:r w:rsidR="00D91AF1" w:rsidRPr="001B4A02">
                <w:rPr>
                  <w:szCs w:val="22"/>
                  <w:lang w:val="cs-CZ"/>
                </w:rPr>
                <w:delText>rizik</w:delText>
              </w:r>
              <w:r w:rsidR="00CC4311" w:rsidRPr="001B4A02">
                <w:rPr>
                  <w:szCs w:val="22"/>
                  <w:lang w:val="cs-CZ"/>
                </w:rPr>
                <w:delText>u</w:delText>
              </w:r>
              <w:r w:rsidRPr="001B4A02">
                <w:rPr>
                  <w:szCs w:val="22"/>
                  <w:lang w:val="cs-CZ"/>
                </w:rPr>
                <w:delText>).</w:delText>
              </w:r>
            </w:del>
          </w:p>
        </w:tc>
      </w:tr>
    </w:tbl>
    <w:p w14:paraId="599E1FCE" w14:textId="77777777" w:rsidR="00733CAA" w:rsidRPr="001B4A02" w:rsidRDefault="00733CAA" w:rsidP="00ED48A3">
      <w:pPr>
        <w:pStyle w:val="EMEANormal"/>
        <w:rPr>
          <w:del w:id="2774" w:author="AbbVie1" w:date="2025-05-13T09:50:00Z"/>
          <w:lang w:val="cs-CZ"/>
        </w:rPr>
      </w:pPr>
    </w:p>
    <w:p w14:paraId="22370677" w14:textId="77777777" w:rsidR="00D91AF1" w:rsidRPr="001B4A02" w:rsidRDefault="00000000" w:rsidP="00ED48A3">
      <w:pPr>
        <w:pStyle w:val="EMEANormal"/>
        <w:rPr>
          <w:del w:id="2775" w:author="AbbVie1" w:date="2025-05-13T09:50:00Z"/>
          <w:lang w:val="cs-CZ"/>
        </w:rPr>
      </w:pPr>
      <w:del w:id="2776" w:author="AbbVie1" w:date="2025-05-13T09:50:00Z">
        <w:r w:rsidRPr="001B4A02">
          <w:rPr>
            <w:lang w:val="cs-CZ"/>
          </w:rPr>
          <w:delText>Ve studii UV I byly pozorovány statisticky významné rozdíly ve prospěch adalimumabu v</w:delText>
        </w:r>
        <w:r w:rsidR="002009DF" w:rsidRPr="001B4A02">
          <w:rPr>
            <w:lang w:val="cs-CZ"/>
          </w:rPr>
          <w:delText> </w:delText>
        </w:r>
        <w:r w:rsidRPr="001B4A02">
          <w:rPr>
            <w:lang w:val="cs-CZ"/>
          </w:rPr>
          <w:delText>porovnání s</w:delText>
        </w:r>
        <w:r w:rsidR="002009DF" w:rsidRPr="001B4A02">
          <w:rPr>
            <w:lang w:val="cs-CZ"/>
          </w:rPr>
          <w:delText> </w:delText>
        </w:r>
        <w:r w:rsidRPr="001B4A02">
          <w:rPr>
            <w:lang w:val="cs-CZ"/>
          </w:rPr>
          <w:delText>placebem</w:delText>
        </w:r>
        <w:r w:rsidR="002009DF" w:rsidRPr="001B4A02">
          <w:rPr>
            <w:lang w:val="cs-CZ"/>
          </w:rPr>
          <w:delText xml:space="preserve"> u </w:delText>
        </w:r>
        <w:r w:rsidRPr="001B4A02">
          <w:rPr>
            <w:lang w:val="cs-CZ"/>
          </w:rPr>
          <w:delText>každé</w:delText>
        </w:r>
        <w:r w:rsidR="00CC4311" w:rsidRPr="001B4A02">
          <w:rPr>
            <w:lang w:val="cs-CZ"/>
          </w:rPr>
          <w:delText>ho důvodu</w:delText>
        </w:r>
        <w:r w:rsidRPr="001B4A02">
          <w:rPr>
            <w:lang w:val="cs-CZ"/>
          </w:rPr>
          <w:delText xml:space="preserve"> selhání </w:delText>
        </w:r>
        <w:r w:rsidR="00DD18C5" w:rsidRPr="001B4A02">
          <w:rPr>
            <w:lang w:val="cs-CZ"/>
          </w:rPr>
          <w:delText>léčby</w:delText>
        </w:r>
        <w:r w:rsidRPr="001B4A02">
          <w:rPr>
            <w:lang w:val="cs-CZ"/>
          </w:rPr>
          <w:delText>. Ve studii UV II byly pozorovány statisticky významné rozdíly jen</w:delText>
        </w:r>
        <w:r w:rsidR="002009DF" w:rsidRPr="001B4A02">
          <w:rPr>
            <w:lang w:val="cs-CZ"/>
          </w:rPr>
          <w:delText xml:space="preserve"> u </w:delText>
        </w:r>
        <w:r w:rsidRPr="001B4A02">
          <w:rPr>
            <w:lang w:val="cs-CZ"/>
          </w:rPr>
          <w:delText xml:space="preserve">zrakové ostrosti, ale ostatní </w:delText>
        </w:r>
        <w:r w:rsidR="00CC4311" w:rsidRPr="001B4A02">
          <w:rPr>
            <w:lang w:val="cs-CZ"/>
          </w:rPr>
          <w:delText>důvody</w:delText>
        </w:r>
        <w:r w:rsidRPr="001B4A02">
          <w:rPr>
            <w:lang w:val="cs-CZ"/>
          </w:rPr>
          <w:delText xml:space="preserve"> </w:delText>
        </w:r>
        <w:r w:rsidR="00CC4311" w:rsidRPr="001B4A02">
          <w:rPr>
            <w:lang w:val="cs-CZ"/>
          </w:rPr>
          <w:delText>byly početně</w:delText>
        </w:r>
        <w:r w:rsidRPr="001B4A02">
          <w:rPr>
            <w:lang w:val="cs-CZ"/>
          </w:rPr>
          <w:delText xml:space="preserve"> ve prospěch adalimumabu.</w:delText>
        </w:r>
      </w:del>
    </w:p>
    <w:p w14:paraId="33FFDAE6" w14:textId="77777777" w:rsidR="001E5F86" w:rsidRPr="001B4A02" w:rsidRDefault="001E5F86" w:rsidP="00ED48A3">
      <w:pPr>
        <w:pStyle w:val="EMEANormal"/>
        <w:rPr>
          <w:del w:id="2777" w:author="AbbVie1" w:date="2025-05-13T09:50:00Z"/>
          <w:lang w:val="cs-CZ"/>
        </w:rPr>
      </w:pPr>
    </w:p>
    <w:p w14:paraId="797D70F5" w14:textId="77777777" w:rsidR="00262FFF" w:rsidRPr="001B4A02" w:rsidRDefault="00000000" w:rsidP="00262FFF">
      <w:pPr>
        <w:ind w:left="0" w:firstLine="0"/>
        <w:rPr>
          <w:del w:id="2778" w:author="AbbVie1" w:date="2025-05-13T09:50:00Z"/>
        </w:rPr>
      </w:pPr>
      <w:del w:id="2779" w:author="AbbVie1" w:date="2025-05-13T09:50:00Z">
        <w:r w:rsidRPr="001B4A02">
          <w:delText>Ze 417</w:delText>
        </w:r>
        <w:r w:rsidR="009663D1" w:rsidRPr="001B4A02">
          <w:delText xml:space="preserve"> </w:delText>
        </w:r>
        <w:r w:rsidR="00723D64" w:rsidRPr="001B4A02">
          <w:delText>subjektů</w:delText>
        </w:r>
        <w:r w:rsidRPr="001B4A02">
          <w:delText xml:space="preserve"> zařazených do nekontrolovaných dlouhodobých prodloužení studií UV I</w:delText>
        </w:r>
        <w:r w:rsidR="002378E0">
          <w:delText xml:space="preserve"> a </w:delText>
        </w:r>
        <w:r w:rsidRPr="001B4A02">
          <w:delText>UV II bylo 46</w:delText>
        </w:r>
        <w:r w:rsidR="009663D1" w:rsidRPr="001B4A02">
          <w:delText xml:space="preserve"> </w:delText>
        </w:r>
        <w:r w:rsidR="00723D64" w:rsidRPr="001B4A02">
          <w:delText>subjektů</w:delText>
        </w:r>
        <w:r w:rsidRPr="001B4A02">
          <w:delText xml:space="preserve"> považováno za nezpůsobilé (např. vyvinuly se sekundární komplikace diabetické retinopatie v důsledku katarakty nebo vitrektomie)</w:delText>
        </w:r>
        <w:r w:rsidR="002378E0">
          <w:delText xml:space="preserve"> a </w:delText>
        </w:r>
        <w:r w:rsidRPr="001B4A02">
          <w:delText>byl</w:delText>
        </w:r>
        <w:r w:rsidR="00723D64" w:rsidRPr="001B4A02">
          <w:delText>o</w:delText>
        </w:r>
        <w:r w:rsidRPr="001B4A02">
          <w:delText xml:space="preserve"> vyřazen</w:delText>
        </w:r>
        <w:r w:rsidR="00723D64" w:rsidRPr="001B4A02">
          <w:delText>o</w:delText>
        </w:r>
        <w:r w:rsidRPr="001B4A02">
          <w:delText xml:space="preserve"> z primární analýzy </w:delText>
        </w:r>
        <w:r w:rsidR="00FD6A84" w:rsidRPr="001B4A02">
          <w:delText>účinnosti. Z</w:delText>
        </w:r>
        <w:r w:rsidR="004970F6" w:rsidRPr="001B4A02">
          <w:delText> </w:delText>
        </w:r>
        <w:r w:rsidRPr="001B4A02">
          <w:delText>371</w:delText>
        </w:r>
        <w:r w:rsidR="004970F6" w:rsidRPr="001B4A02">
          <w:delText xml:space="preserve"> </w:delText>
        </w:r>
        <w:r w:rsidRPr="001B4A02">
          <w:delText xml:space="preserve">zbývajících pacientů dosáhlo 276 hodnotitelných </w:delText>
        </w:r>
        <w:r w:rsidR="00B05F61" w:rsidRPr="001B4A02">
          <w:delText xml:space="preserve">pacientů </w:delText>
        </w:r>
        <w:r w:rsidRPr="001B4A02">
          <w:delText xml:space="preserve">78 týdnů otevřené léčby adalimumabem. Na základě přístupu pozorovaných dat bylo 222 (80,4 %) </w:delText>
        </w:r>
        <w:r w:rsidR="00B05F61" w:rsidRPr="001B4A02">
          <w:delText xml:space="preserve">pacientů </w:delText>
        </w:r>
        <w:r w:rsidRPr="001B4A02">
          <w:delText>v klidu (bez aktivních zánětlivých lézí, stupeň AC buněk ≤</w:delText>
        </w:r>
        <w:r w:rsidR="008E5C77" w:rsidRPr="001B4A02">
          <w:delText> </w:delText>
        </w:r>
        <w:r w:rsidRPr="001B4A02">
          <w:delText>0,5+, VH stupeň ≤</w:delText>
        </w:r>
        <w:r w:rsidR="008E5C77" w:rsidRPr="001B4A02">
          <w:delText> </w:delText>
        </w:r>
        <w:r w:rsidRPr="001B4A02">
          <w:delText xml:space="preserve">0,5+) </w:delText>
        </w:r>
        <w:r w:rsidR="00B05F61" w:rsidRPr="001B4A02">
          <w:delText>na</w:delText>
        </w:r>
        <w:r w:rsidRPr="001B4A02">
          <w:delText xml:space="preserve"> současn</w:delText>
        </w:r>
        <w:r w:rsidR="00B05F61" w:rsidRPr="001B4A02">
          <w:delText>é</w:delText>
        </w:r>
        <w:r w:rsidRPr="001B4A02">
          <w:delText xml:space="preserve"> dáv</w:delText>
        </w:r>
        <w:r w:rsidR="00B05F61" w:rsidRPr="001B4A02">
          <w:delText>ce</w:delText>
        </w:r>
        <w:r w:rsidRPr="001B4A02">
          <w:delText xml:space="preserve"> steroidů ≤</w:delText>
        </w:r>
        <w:r w:rsidR="008E5C77" w:rsidRPr="001B4A02">
          <w:delText> </w:delText>
        </w:r>
        <w:r w:rsidRPr="001B4A02">
          <w:delText>7,5 mg denně</w:delText>
        </w:r>
        <w:r w:rsidR="002378E0">
          <w:delText xml:space="preserve"> a </w:delText>
        </w:r>
        <w:r w:rsidRPr="001B4A02">
          <w:delText xml:space="preserve">184 (66,7 %) </w:delText>
        </w:r>
        <w:r w:rsidR="00B05F61" w:rsidRPr="001B4A02">
          <w:delText xml:space="preserve">pacientů </w:delText>
        </w:r>
        <w:r w:rsidRPr="001B4A02">
          <w:delText>bylo v klidu bez podávání steroidů. BCVA se buď zlepšila</w:delText>
        </w:r>
        <w:r w:rsidR="00723D64" w:rsidRPr="001B4A02">
          <w:delText>,</w:delText>
        </w:r>
        <w:r w:rsidRPr="001B4A02">
          <w:delText xml:space="preserve"> nebo udržela (zhoršení o</w:delText>
        </w:r>
        <w:r w:rsidR="00923691" w:rsidRPr="001B4A02">
          <w:delText> </w:delText>
        </w:r>
        <w:r w:rsidRPr="001B4A02">
          <w:delText>&lt;</w:delText>
        </w:r>
        <w:r w:rsidR="00057A14" w:rsidRPr="001B4A02">
          <w:delText> </w:delText>
        </w:r>
        <w:r w:rsidRPr="001B4A02">
          <w:delText>5 písmen) u</w:delText>
        </w:r>
        <w:r w:rsidR="00164B4F" w:rsidRPr="001B4A02">
          <w:delText> </w:delText>
        </w:r>
        <w:r w:rsidRPr="001B4A02">
          <w:delText>88,4 % očí v týdnu 78. Z</w:delText>
        </w:r>
        <w:r w:rsidR="004970F6" w:rsidRPr="001B4A02">
          <w:delText> </w:delText>
        </w:r>
        <w:r w:rsidRPr="001B4A02">
          <w:delText xml:space="preserve">pacientů, kteří ukončili studii před týdnem 78, 11 % ukončilo studii </w:delText>
        </w:r>
        <w:r w:rsidR="00FD6A84" w:rsidRPr="001B4A02">
          <w:delText>z</w:delText>
        </w:r>
        <w:r w:rsidR="004970F6" w:rsidRPr="001B4A02">
          <w:delText> </w:delText>
        </w:r>
        <w:r w:rsidR="00FD6A84" w:rsidRPr="001B4A02">
          <w:delText>důvodu</w:delText>
        </w:r>
        <w:r w:rsidRPr="001B4A02">
          <w:delText xml:space="preserve"> nežádoucích příhod</w:delText>
        </w:r>
        <w:r w:rsidR="002378E0">
          <w:delText xml:space="preserve"> a </w:delText>
        </w:r>
        <w:r w:rsidRPr="001B4A02">
          <w:delText>5 % v důsledku nedostatečné odpovědi na léčbu adalimumabem.</w:delText>
        </w:r>
      </w:del>
    </w:p>
    <w:p w14:paraId="5C636B2D" w14:textId="77777777" w:rsidR="00733CAA" w:rsidRPr="001B4A02" w:rsidRDefault="00733CAA" w:rsidP="00ED48A3">
      <w:pPr>
        <w:pStyle w:val="EMEANormal"/>
        <w:rPr>
          <w:del w:id="2780" w:author="AbbVie1" w:date="2025-05-13T09:50:00Z"/>
          <w:lang w:val="cs-CZ"/>
        </w:rPr>
      </w:pPr>
    </w:p>
    <w:p w14:paraId="6D138712" w14:textId="77777777" w:rsidR="00733CAA" w:rsidRPr="001B4A02" w:rsidRDefault="00000000" w:rsidP="00ED48A3">
      <w:pPr>
        <w:pStyle w:val="EMEANormal"/>
        <w:keepNext/>
        <w:rPr>
          <w:del w:id="2781" w:author="AbbVie1" w:date="2025-05-13T09:50:00Z"/>
          <w:i/>
          <w:szCs w:val="22"/>
          <w:u w:val="single"/>
          <w:lang w:val="cs-CZ"/>
        </w:rPr>
      </w:pPr>
      <w:del w:id="2782" w:author="AbbVie1" w:date="2025-05-13T09:50:00Z">
        <w:r w:rsidRPr="001B4A02">
          <w:rPr>
            <w:i/>
            <w:iCs/>
            <w:szCs w:val="22"/>
            <w:u w:val="single"/>
            <w:lang w:val="cs-CZ"/>
          </w:rPr>
          <w:delText>Kvalita života</w:delText>
        </w:r>
      </w:del>
    </w:p>
    <w:p w14:paraId="2131A2B2" w14:textId="77777777" w:rsidR="00733CAA" w:rsidRPr="001B4A02" w:rsidRDefault="00733CAA" w:rsidP="00ED48A3">
      <w:pPr>
        <w:pStyle w:val="EMEANormal"/>
        <w:keepNext/>
        <w:rPr>
          <w:del w:id="2783" w:author="AbbVie1" w:date="2025-05-13T09:50:00Z"/>
          <w:i/>
          <w:szCs w:val="22"/>
          <w:u w:val="single"/>
          <w:lang w:val="cs-CZ"/>
        </w:rPr>
      </w:pPr>
    </w:p>
    <w:p w14:paraId="083B4289" w14:textId="77777777" w:rsidR="00D91AF1" w:rsidRPr="001B4A02" w:rsidRDefault="00000000" w:rsidP="00ED48A3">
      <w:pPr>
        <w:pStyle w:val="EMEANormal"/>
        <w:rPr>
          <w:del w:id="2784" w:author="AbbVie1" w:date="2025-05-13T09:50:00Z"/>
          <w:lang w:val="cs-CZ"/>
        </w:rPr>
      </w:pPr>
      <w:del w:id="2785" w:author="AbbVie1" w:date="2025-05-13T09:50:00Z">
        <w:r w:rsidRPr="001B4A02">
          <w:rPr>
            <w:lang w:val="cs-CZ"/>
          </w:rPr>
          <w:delText xml:space="preserve">Pacienty hlášené </w:delText>
        </w:r>
        <w:r w:rsidR="00CC4311" w:rsidRPr="001B4A02">
          <w:rPr>
            <w:lang w:val="cs-CZ"/>
          </w:rPr>
          <w:delText xml:space="preserve">výsledky zahrnující </w:delText>
        </w:r>
        <w:r w:rsidRPr="001B4A02">
          <w:rPr>
            <w:lang w:val="cs-CZ"/>
          </w:rPr>
          <w:delText>zrakové funkce byly hodnoceny v</w:delText>
        </w:r>
        <w:r w:rsidR="002009DF" w:rsidRPr="001B4A02">
          <w:rPr>
            <w:lang w:val="cs-CZ"/>
          </w:rPr>
          <w:delText> </w:delText>
        </w:r>
        <w:r w:rsidRPr="001B4A02">
          <w:rPr>
            <w:lang w:val="cs-CZ"/>
          </w:rPr>
          <w:delText xml:space="preserve">obou klinických studiích za pomoci NEI VFQ-25. Přípravek Humira měl </w:delText>
        </w:r>
        <w:r w:rsidR="00CC4311" w:rsidRPr="001B4A02">
          <w:rPr>
            <w:lang w:val="cs-CZ"/>
          </w:rPr>
          <w:delText>početně</w:delText>
        </w:r>
        <w:r w:rsidRPr="001B4A02">
          <w:rPr>
            <w:lang w:val="cs-CZ"/>
          </w:rPr>
          <w:delText xml:space="preserve"> lepší výsledky ve většině podskóre, přičemž ve studii UV I byl statisticky významný střední rozdíl zaznamenán </w:delText>
        </w:r>
        <w:r w:rsidR="00CC4311" w:rsidRPr="001B4A02">
          <w:rPr>
            <w:lang w:val="cs-CZ"/>
          </w:rPr>
          <w:delText>všeobecně</w:delText>
        </w:r>
        <w:r w:rsidR="002009DF" w:rsidRPr="001B4A02">
          <w:rPr>
            <w:lang w:val="cs-CZ"/>
          </w:rPr>
          <w:delText xml:space="preserve"> u </w:delText>
        </w:r>
        <w:r w:rsidR="00CC4311" w:rsidRPr="001B4A02">
          <w:rPr>
            <w:lang w:val="cs-CZ"/>
          </w:rPr>
          <w:delText>zraku</w:delText>
        </w:r>
        <w:r w:rsidRPr="001B4A02">
          <w:rPr>
            <w:lang w:val="cs-CZ"/>
          </w:rPr>
          <w:delText>, bolesti oka, vidění na blízko, duševního zdraví</w:delText>
        </w:r>
        <w:r w:rsidR="002378E0">
          <w:rPr>
            <w:lang w:val="cs-CZ"/>
          </w:rPr>
          <w:delText xml:space="preserve"> a </w:delText>
        </w:r>
        <w:r w:rsidRPr="001B4A02">
          <w:rPr>
            <w:lang w:val="cs-CZ"/>
          </w:rPr>
          <w:delText>celkového skóre,</w:delText>
        </w:r>
        <w:r w:rsidR="002378E0">
          <w:rPr>
            <w:lang w:val="cs-CZ"/>
          </w:rPr>
          <w:delText xml:space="preserve"> a </w:delText>
        </w:r>
        <w:r w:rsidRPr="001B4A02">
          <w:rPr>
            <w:lang w:val="cs-CZ"/>
          </w:rPr>
          <w:delText>ve studii UV II všeobecn</w:delText>
        </w:r>
        <w:r w:rsidR="00CC4311" w:rsidRPr="001B4A02">
          <w:rPr>
            <w:lang w:val="cs-CZ"/>
          </w:rPr>
          <w:delText>ě</w:delText>
        </w:r>
        <w:r w:rsidR="002009DF" w:rsidRPr="001B4A02">
          <w:rPr>
            <w:lang w:val="cs-CZ"/>
          </w:rPr>
          <w:delText xml:space="preserve"> u </w:delText>
        </w:r>
        <w:r w:rsidR="00CC4311" w:rsidRPr="001B4A02">
          <w:rPr>
            <w:lang w:val="cs-CZ"/>
          </w:rPr>
          <w:delText>zraku</w:delText>
        </w:r>
        <w:r w:rsidR="002378E0">
          <w:rPr>
            <w:lang w:val="cs-CZ"/>
          </w:rPr>
          <w:delText xml:space="preserve"> a </w:delText>
        </w:r>
        <w:r w:rsidRPr="001B4A02">
          <w:rPr>
            <w:lang w:val="cs-CZ"/>
          </w:rPr>
          <w:delText xml:space="preserve">duševního zdraví. </w:delText>
        </w:r>
        <w:r w:rsidR="00CC4311" w:rsidRPr="001B4A02">
          <w:rPr>
            <w:lang w:val="cs-CZ"/>
          </w:rPr>
          <w:delText>Početně</w:delText>
        </w:r>
        <w:r w:rsidRPr="001B4A02">
          <w:rPr>
            <w:lang w:val="cs-CZ"/>
          </w:rPr>
          <w:delText xml:space="preserve"> </w:delText>
        </w:r>
        <w:r w:rsidR="00CC4311" w:rsidRPr="001B4A02">
          <w:rPr>
            <w:lang w:val="cs-CZ"/>
          </w:rPr>
          <w:delText xml:space="preserve">nebylo </w:delText>
        </w:r>
        <w:r w:rsidRPr="001B4A02">
          <w:rPr>
            <w:lang w:val="cs-CZ"/>
          </w:rPr>
          <w:delText>zlepšení zraku vlivem přípravku Humira ve studii UV I pozorováno</w:delText>
        </w:r>
        <w:r w:rsidR="002009DF" w:rsidRPr="001B4A02">
          <w:rPr>
            <w:lang w:val="cs-CZ"/>
          </w:rPr>
          <w:delText xml:space="preserve"> u </w:delText>
        </w:r>
        <w:r w:rsidRPr="001B4A02">
          <w:rPr>
            <w:lang w:val="cs-CZ"/>
          </w:rPr>
          <w:delText>barevného vidění</w:delText>
        </w:r>
        <w:r w:rsidR="002378E0">
          <w:rPr>
            <w:lang w:val="cs-CZ"/>
          </w:rPr>
          <w:delText xml:space="preserve"> a </w:delText>
        </w:r>
        <w:r w:rsidRPr="001B4A02">
          <w:rPr>
            <w:lang w:val="cs-CZ"/>
          </w:rPr>
          <w:delText>ve studii UV II</w:delText>
        </w:r>
        <w:r w:rsidR="002009DF" w:rsidRPr="001B4A02">
          <w:rPr>
            <w:lang w:val="cs-CZ"/>
          </w:rPr>
          <w:delText xml:space="preserve"> u </w:delText>
        </w:r>
        <w:r w:rsidRPr="001B4A02">
          <w:rPr>
            <w:lang w:val="cs-CZ"/>
          </w:rPr>
          <w:delText>barevného vidění, periferního vidění</w:delText>
        </w:r>
        <w:r w:rsidR="002378E0">
          <w:rPr>
            <w:lang w:val="cs-CZ"/>
          </w:rPr>
          <w:delText xml:space="preserve"> a </w:delText>
        </w:r>
        <w:r w:rsidRPr="001B4A02">
          <w:rPr>
            <w:lang w:val="cs-CZ"/>
          </w:rPr>
          <w:delText>vidění na blízko.</w:delText>
        </w:r>
      </w:del>
    </w:p>
    <w:p w14:paraId="64743A43" w14:textId="77777777" w:rsidR="00FD7A46" w:rsidRPr="001B4A02" w:rsidRDefault="00FD7A46" w:rsidP="00ED48A3">
      <w:pPr>
        <w:pStyle w:val="EMEANormal"/>
        <w:tabs>
          <w:tab w:val="clear" w:pos="562"/>
        </w:tabs>
        <w:suppressAutoHyphens w:val="0"/>
        <w:rPr>
          <w:del w:id="2786" w:author="AbbVie1" w:date="2025-05-13T09:50:00Z"/>
          <w:u w:val="single"/>
          <w:lang w:val="cs-CZ"/>
        </w:rPr>
      </w:pPr>
    </w:p>
    <w:p w14:paraId="59EC1AE4" w14:textId="77777777" w:rsidR="00073F8F" w:rsidRPr="001B4A02" w:rsidRDefault="00000000" w:rsidP="00ED48A3">
      <w:pPr>
        <w:pStyle w:val="EMEANormal"/>
        <w:keepNext/>
        <w:tabs>
          <w:tab w:val="clear" w:pos="562"/>
        </w:tabs>
        <w:suppressAutoHyphens w:val="0"/>
        <w:rPr>
          <w:del w:id="2787" w:author="AbbVie1" w:date="2025-05-13T09:50:00Z"/>
          <w:i/>
          <w:u w:val="single"/>
          <w:lang w:val="cs-CZ"/>
        </w:rPr>
      </w:pPr>
      <w:del w:id="2788" w:author="AbbVie1" w:date="2025-05-13T09:50:00Z">
        <w:r w:rsidRPr="001B4A02">
          <w:rPr>
            <w:i/>
            <w:u w:val="single"/>
            <w:lang w:val="cs-CZ"/>
          </w:rPr>
          <w:delText>Imunogenita</w:delText>
        </w:r>
      </w:del>
    </w:p>
    <w:p w14:paraId="51D09503" w14:textId="77777777" w:rsidR="00073F8F" w:rsidRPr="001B4A02" w:rsidRDefault="00073F8F" w:rsidP="00ED48A3">
      <w:pPr>
        <w:keepNext/>
        <w:ind w:left="0" w:firstLine="0"/>
        <w:rPr>
          <w:del w:id="2789" w:author="AbbVie1" w:date="2025-05-13T09:50:00Z"/>
        </w:rPr>
      </w:pPr>
    </w:p>
    <w:p w14:paraId="49F17B6A" w14:textId="77777777" w:rsidR="00073F8F" w:rsidRPr="001B4A02" w:rsidRDefault="00000000" w:rsidP="00BF3683">
      <w:pPr>
        <w:ind w:left="0" w:firstLine="0"/>
        <w:rPr>
          <w:del w:id="2790" w:author="AbbVie1" w:date="2025-05-13T09:50:00Z"/>
        </w:rPr>
      </w:pPr>
      <w:del w:id="2791" w:author="AbbVie1" w:date="2025-05-13T09:50:00Z">
        <w:r w:rsidRPr="001B4A02">
          <w:delText>Tvorba protilátek proti adalimumabu je spojena se zvýšenou clearance</w:delText>
        </w:r>
        <w:r w:rsidR="002378E0">
          <w:delText xml:space="preserve"> a </w:delText>
        </w:r>
        <w:r w:rsidRPr="001B4A02">
          <w:delText>sníženou účinností adalimumabu. Mezi přítomností protilátek proti adalimumabu</w:delText>
        </w:r>
        <w:r w:rsidR="002378E0">
          <w:delText xml:space="preserve"> a </w:delText>
        </w:r>
        <w:r w:rsidRPr="001B4A02">
          <w:delText>výskytem nežádoucích účinků neexistuje žádná zjevná korelace.</w:delText>
        </w:r>
      </w:del>
    </w:p>
    <w:p w14:paraId="50187DDA" w14:textId="77777777" w:rsidR="00073F8F" w:rsidRPr="001B4A02" w:rsidRDefault="00073F8F" w:rsidP="00ED48A3">
      <w:pPr>
        <w:ind w:left="0" w:firstLine="0"/>
        <w:rPr>
          <w:del w:id="2792" w:author="AbbVie1" w:date="2025-05-13T09:50:00Z"/>
        </w:rPr>
      </w:pPr>
    </w:p>
    <w:p w14:paraId="56A1070F" w14:textId="77777777" w:rsidR="001E5F86" w:rsidRPr="001B4A02" w:rsidRDefault="00000000" w:rsidP="001E5F86">
      <w:pPr>
        <w:ind w:left="0" w:firstLine="0"/>
        <w:rPr>
          <w:del w:id="2793" w:author="AbbVie1" w:date="2025-05-13T09:50:00Z"/>
        </w:rPr>
      </w:pPr>
      <w:del w:id="2794" w:author="AbbVie1" w:date="2025-05-13T09:50:00Z">
        <w:r w:rsidRPr="001B4A02">
          <w:delText>U pacientů s polyartikulární juvenilní idiopatickou artritidou</w:delText>
        </w:r>
        <w:r w:rsidR="00F456DA" w:rsidRPr="001B4A02">
          <w:delText xml:space="preserve"> ve věku 4 </w:delText>
        </w:r>
        <w:r w:rsidR="00451F21" w:rsidRPr="001B4A02">
          <w:rPr>
            <w:shd w:val="clear" w:color="auto" w:fill="FFFFFF"/>
          </w:rPr>
          <w:delText>až</w:delText>
        </w:r>
        <w:r w:rsidR="00F456DA" w:rsidRPr="001B4A02">
          <w:delText xml:space="preserve"> 17 let </w:delText>
        </w:r>
        <w:r w:rsidRPr="001B4A02">
          <w:delText>byly protilátky</w:delText>
        </w:r>
        <w:r w:rsidR="00F456DA" w:rsidRPr="001B4A02">
          <w:delText xml:space="preserve"> </w:delText>
        </w:r>
        <w:r w:rsidR="00AC4FC8" w:rsidRPr="001B4A02">
          <w:delText xml:space="preserve">proti </w:delText>
        </w:r>
        <w:r w:rsidR="00F456DA" w:rsidRPr="001B4A02">
          <w:delText>adalimumabu</w:delText>
        </w:r>
        <w:r w:rsidRPr="001B4A02">
          <w:delText xml:space="preserve"> identifikovány</w:delText>
        </w:r>
        <w:r w:rsidR="002009DF" w:rsidRPr="001B4A02">
          <w:delText xml:space="preserve"> u </w:delText>
        </w:r>
        <w:r w:rsidR="00F456DA" w:rsidRPr="001B4A02">
          <w:delText>15,8</w:delText>
        </w:r>
        <w:r w:rsidR="009C5EAC" w:rsidRPr="001B4A02">
          <w:delText> </w:delText>
        </w:r>
        <w:r w:rsidR="00F456DA" w:rsidRPr="001B4A02">
          <w:delText>%</w:delText>
        </w:r>
        <w:r w:rsidRPr="001B4A02">
          <w:delText xml:space="preserve"> </w:delText>
        </w:r>
        <w:r w:rsidR="00F456DA" w:rsidRPr="001B4A02">
          <w:delText>(</w:delText>
        </w:r>
        <w:r w:rsidRPr="001B4A02">
          <w:delText>27 z</w:delText>
        </w:r>
        <w:r w:rsidR="00F456DA" w:rsidRPr="001B4A02">
          <w:delText>e</w:delText>
        </w:r>
        <w:r w:rsidRPr="001B4A02">
          <w:delText> 171</w:delText>
        </w:r>
        <w:r w:rsidR="005C2685" w:rsidRPr="001B4A02">
          <w:delText>)</w:delText>
        </w:r>
        <w:r w:rsidRPr="001B4A02">
          <w:delText xml:space="preserve"> </w:delText>
        </w:r>
        <w:r w:rsidR="005C2685" w:rsidRPr="001B4A02">
          <w:delText xml:space="preserve">pacientů </w:delText>
        </w:r>
        <w:r w:rsidRPr="001B4A02">
          <w:delText>léčených adalimumabem. U</w:delText>
        </w:r>
        <w:r w:rsidR="00164B4F" w:rsidRPr="001B4A02">
          <w:delText> </w:delText>
        </w:r>
        <w:r w:rsidRPr="001B4A02">
          <w:delText>pacientů, kteří nedostávali současně methotrexát, byla incidence</w:delText>
        </w:r>
        <w:r w:rsidR="00F456DA" w:rsidRPr="001B4A02">
          <w:delText xml:space="preserve"> 25,6</w:delText>
        </w:r>
        <w:r w:rsidR="009C5EAC" w:rsidRPr="001B4A02">
          <w:delText> </w:delText>
        </w:r>
        <w:r w:rsidR="00F456DA" w:rsidRPr="001B4A02">
          <w:delText>% (</w:delText>
        </w:r>
        <w:r w:rsidRPr="001B4A02">
          <w:delText>22 z</w:delText>
        </w:r>
        <w:r w:rsidR="00F456DA" w:rsidRPr="001B4A02">
          <w:delText> </w:delText>
        </w:r>
        <w:r w:rsidRPr="001B4A02">
          <w:delText>86</w:delText>
        </w:r>
        <w:r w:rsidR="00F456DA" w:rsidRPr="001B4A02">
          <w:delText>)</w:delText>
        </w:r>
        <w:r w:rsidRPr="001B4A02">
          <w:delText xml:space="preserve"> ve srovnání s</w:delText>
        </w:r>
        <w:r w:rsidR="00F456DA" w:rsidRPr="001B4A02">
          <w:delText> 5,9</w:delText>
        </w:r>
        <w:r w:rsidR="009C5EAC" w:rsidRPr="001B4A02">
          <w:delText> </w:delText>
        </w:r>
        <w:r w:rsidR="00F456DA" w:rsidRPr="001B4A02">
          <w:delText>% (</w:delText>
        </w:r>
        <w:r w:rsidRPr="001B4A02">
          <w:delText xml:space="preserve">5 z 85 v případě, kdy byl adalimumab </w:delText>
        </w:r>
        <w:r w:rsidR="009E5E10" w:rsidRPr="001B4A02">
          <w:delText>po</w:delText>
        </w:r>
        <w:r w:rsidRPr="001B4A02">
          <w:delText>užíván jako doplňková léčba k</w:delText>
        </w:r>
        <w:r w:rsidR="00607D04" w:rsidRPr="001B4A02">
          <w:delText> </w:delText>
        </w:r>
        <w:r w:rsidRPr="001B4A02">
          <w:delText xml:space="preserve">methotrexátu. </w:delText>
        </w:r>
        <w:r w:rsidR="00512EBE" w:rsidRPr="001B4A02">
          <w:delText>U</w:delText>
        </w:r>
        <w:r w:rsidR="004970F6" w:rsidRPr="001B4A02">
          <w:delText> </w:delText>
        </w:r>
        <w:r w:rsidR="00512EBE" w:rsidRPr="001B4A02">
          <w:delText xml:space="preserve">pacientů s polyartikulární juvenilní idiopatickou artritidou ve věku 2 </w:delText>
        </w:r>
        <w:r w:rsidR="00512EBE" w:rsidRPr="001B4A02">
          <w:rPr>
            <w:shd w:val="clear" w:color="auto" w:fill="FFFFFF"/>
          </w:rPr>
          <w:delText>až</w:delText>
        </w:r>
        <w:r w:rsidR="00512EBE" w:rsidRPr="001B4A02">
          <w:delText xml:space="preserve"> &lt;</w:delText>
        </w:r>
        <w:r w:rsidR="00057A14" w:rsidRPr="001B4A02">
          <w:delText> </w:delText>
        </w:r>
        <w:r w:rsidR="00512EBE" w:rsidRPr="001B4A02">
          <w:delText>4 roky</w:delText>
        </w:r>
        <w:r w:rsidR="002378E0">
          <w:delText xml:space="preserve"> a </w:delText>
        </w:r>
        <w:r w:rsidR="00512EBE" w:rsidRPr="001B4A02">
          <w:delText>ve věku 4 roky</w:delText>
        </w:r>
        <w:r w:rsidR="002378E0">
          <w:delText xml:space="preserve"> a </w:delText>
        </w:r>
        <w:r w:rsidR="00512EBE" w:rsidRPr="001B4A02">
          <w:delText>starší s tělesnou hmotností &lt;</w:delText>
        </w:r>
        <w:r w:rsidR="00057A14" w:rsidRPr="001B4A02">
          <w:delText> </w:delText>
        </w:r>
        <w:r w:rsidR="00512EBE" w:rsidRPr="001B4A02">
          <w:delText>15</w:delText>
        </w:r>
        <w:r w:rsidR="002767FC">
          <w:delText> kg</w:delText>
        </w:r>
        <w:r w:rsidR="00512EBE" w:rsidRPr="001B4A02">
          <w:delText xml:space="preserve"> byly protilátky proti adalimumabu identifikovány u</w:delText>
        </w:r>
        <w:r w:rsidR="004970F6" w:rsidRPr="001B4A02">
          <w:delText> </w:delText>
        </w:r>
        <w:r w:rsidR="00512EBE" w:rsidRPr="001B4A02">
          <w:delText>7 % (1 z</w:delText>
        </w:r>
        <w:r w:rsidR="004970F6" w:rsidRPr="001B4A02">
          <w:delText> </w:delText>
        </w:r>
        <w:r w:rsidR="00512EBE" w:rsidRPr="001B4A02">
          <w:delText>15) pacientů</w:delText>
        </w:r>
        <w:r w:rsidR="002378E0">
          <w:delText xml:space="preserve"> a </w:delText>
        </w:r>
        <w:r w:rsidR="00512EBE" w:rsidRPr="001B4A02">
          <w:delText>jeden pacient dostával současně methotrexát.</w:delText>
        </w:r>
      </w:del>
    </w:p>
    <w:p w14:paraId="7A98B5BE" w14:textId="77777777" w:rsidR="00D01AB4" w:rsidRPr="001B4A02" w:rsidRDefault="00D01AB4" w:rsidP="00ED48A3">
      <w:pPr>
        <w:ind w:left="0" w:firstLine="0"/>
        <w:rPr>
          <w:del w:id="2795" w:author="AbbVie1" w:date="2025-05-13T09:50:00Z"/>
        </w:rPr>
      </w:pPr>
    </w:p>
    <w:p w14:paraId="4F813E6C" w14:textId="77777777" w:rsidR="00C90203" w:rsidRPr="001B4A02" w:rsidRDefault="00000000" w:rsidP="00ED48A3">
      <w:pPr>
        <w:ind w:left="0" w:firstLine="0"/>
        <w:rPr>
          <w:del w:id="2796" w:author="AbbVie1" w:date="2025-05-13T09:50:00Z"/>
        </w:rPr>
      </w:pPr>
      <w:del w:id="2797" w:author="AbbVie1" w:date="2025-05-13T09:50:00Z">
        <w:r w:rsidRPr="001B4A02">
          <w:delText>U pacientů s ente</w:delText>
        </w:r>
        <w:r w:rsidR="00A858EA" w:rsidRPr="001B4A02">
          <w:delText>zopatickou</w:delText>
        </w:r>
        <w:r w:rsidR="0006352B" w:rsidRPr="001B4A02">
          <w:delText xml:space="preserve"> </w:delText>
        </w:r>
        <w:r w:rsidRPr="001B4A02">
          <w:delText xml:space="preserve">artritidou byly protilátky </w:delText>
        </w:r>
        <w:r w:rsidR="00AC4FC8" w:rsidRPr="001B4A02">
          <w:delText xml:space="preserve">proti </w:delText>
        </w:r>
        <w:r w:rsidRPr="001B4A02">
          <w:delText>adalimumabu identifikovány</w:delText>
        </w:r>
        <w:r w:rsidR="002009DF" w:rsidRPr="001B4A02">
          <w:delText xml:space="preserve"> u </w:delText>
        </w:r>
        <w:r w:rsidRPr="001B4A02">
          <w:delText>10,9</w:delText>
        </w:r>
        <w:r w:rsidR="009C5EAC" w:rsidRPr="001B4A02">
          <w:delText> </w:delText>
        </w:r>
        <w:r w:rsidRPr="001B4A02">
          <w:delText>% (5 ze 46) pacientů léčených adalimumabem. U</w:delText>
        </w:r>
        <w:r w:rsidR="0006352B" w:rsidRPr="001B4A02">
          <w:delText> </w:delText>
        </w:r>
        <w:r w:rsidRPr="001B4A02">
          <w:delText xml:space="preserve">pacientů, kteří nebyli současně léčeni </w:delText>
        </w:r>
        <w:r w:rsidR="00B104CE" w:rsidRPr="001B4A02">
          <w:delText>methotrexát</w:delText>
        </w:r>
        <w:r w:rsidRPr="001B4A02">
          <w:delText>em, byla incidence 13,6</w:delText>
        </w:r>
        <w:r w:rsidR="009C5EAC" w:rsidRPr="001B4A02">
          <w:delText> </w:delText>
        </w:r>
        <w:r w:rsidRPr="001B4A02">
          <w:delText>% (3 z 22), ve srovnání s 8,3</w:delText>
        </w:r>
        <w:r w:rsidR="009C5EAC" w:rsidRPr="001B4A02">
          <w:delText> </w:delText>
        </w:r>
        <w:r w:rsidRPr="001B4A02">
          <w:delText>% (2 z 24), pokud byl adalimumab přidán k </w:delText>
        </w:r>
        <w:r w:rsidR="00B104CE" w:rsidRPr="001B4A02">
          <w:delText>methotrexát</w:delText>
        </w:r>
        <w:r w:rsidRPr="001B4A02">
          <w:delText>u.</w:delText>
        </w:r>
        <w:r w:rsidR="008762B8" w:rsidRPr="001B4A02">
          <w:delText xml:space="preserve"> </w:delText>
        </w:r>
      </w:del>
    </w:p>
    <w:p w14:paraId="2C448D94" w14:textId="77777777" w:rsidR="00C90203" w:rsidRPr="001B4A02" w:rsidRDefault="00C90203" w:rsidP="00ED48A3">
      <w:pPr>
        <w:ind w:left="0" w:firstLine="0"/>
        <w:rPr>
          <w:del w:id="2798" w:author="AbbVie1" w:date="2025-05-13T09:50:00Z"/>
        </w:rPr>
      </w:pPr>
    </w:p>
    <w:p w14:paraId="5CF82029" w14:textId="77777777" w:rsidR="00073F8F" w:rsidRPr="001B4A02" w:rsidRDefault="00000000" w:rsidP="00ED48A3">
      <w:pPr>
        <w:ind w:left="0" w:firstLine="0"/>
        <w:rPr>
          <w:del w:id="2799" w:author="AbbVie1" w:date="2025-05-13T09:50:00Z"/>
        </w:rPr>
      </w:pPr>
      <w:del w:id="2800" w:author="AbbVie1" w:date="2025-05-13T09:50:00Z">
        <w:r w:rsidRPr="001B4A02">
          <w:delText>Pacient</w:delText>
        </w:r>
        <w:r w:rsidR="009D397F" w:rsidRPr="001B4A02">
          <w:delText>ům</w:delText>
        </w:r>
        <w:r w:rsidRPr="001B4A02">
          <w:delText xml:space="preserve"> v</w:delText>
        </w:r>
        <w:r w:rsidR="00C90203" w:rsidRPr="001B4A02">
          <w:delText>e</w:delText>
        </w:r>
        <w:r w:rsidRPr="001B4A02">
          <w:delText xml:space="preserve"> studiích</w:delText>
        </w:r>
        <w:r w:rsidR="00C90203" w:rsidRPr="001B4A02">
          <w:delText xml:space="preserve"> v indikaci revmatoidní artritida</w:delText>
        </w:r>
        <w:r w:rsidRPr="001B4A02">
          <w:delText xml:space="preserve"> </w:delText>
        </w:r>
        <w:r w:rsidR="0069573E" w:rsidRPr="001B4A02">
          <w:delText>I, II</w:delText>
        </w:r>
        <w:r w:rsidR="002378E0">
          <w:delText xml:space="preserve"> a </w:delText>
        </w:r>
        <w:r w:rsidR="0069573E" w:rsidRPr="001B4A02">
          <w:delText>III byl</w:delText>
        </w:r>
        <w:r w:rsidR="009D397F" w:rsidRPr="001B4A02">
          <w:delText>y</w:delText>
        </w:r>
        <w:r w:rsidR="0069573E" w:rsidRPr="001B4A02">
          <w:delText xml:space="preserve"> v různých časových okamžicích </w:delText>
        </w:r>
        <w:r w:rsidR="009D397F" w:rsidRPr="001B4A02">
          <w:delText>prováděny testy na přítomnost</w:delText>
        </w:r>
        <w:r w:rsidR="0069573E" w:rsidRPr="001B4A02">
          <w:delText xml:space="preserve"> proti</w:delText>
        </w:r>
        <w:r w:rsidR="007978AF">
          <w:delText>l</w:delText>
        </w:r>
        <w:r w:rsidR="0069573E" w:rsidRPr="001B4A02">
          <w:delText>átek proti adalimumabu</w:delText>
        </w:r>
        <w:r w:rsidR="009D397F" w:rsidRPr="001B4A02">
          <w:delText>,</w:delText>
        </w:r>
        <w:r w:rsidR="002378E0">
          <w:delText xml:space="preserve"> a </w:delText>
        </w:r>
        <w:r w:rsidR="009D397F" w:rsidRPr="001B4A02">
          <w:delText>to</w:delText>
        </w:r>
        <w:r w:rsidR="0069573E" w:rsidRPr="001B4A02">
          <w:delText xml:space="preserve"> v průběhu </w:delText>
        </w:r>
        <w:r w:rsidR="00CB76B1" w:rsidRPr="001B4A02">
          <w:delText>6 až 12měsíčního období léčby</w:delText>
        </w:r>
        <w:r w:rsidR="006B3BEF" w:rsidRPr="001B4A02">
          <w:delText>. V </w:delText>
        </w:r>
        <w:r w:rsidR="00CB76B1" w:rsidRPr="001B4A02">
          <w:delText>pivot</w:delText>
        </w:r>
        <w:r w:rsidR="006B3BEF" w:rsidRPr="001B4A02">
          <w:delText>ních studiích byly protilátky proti adalimumabu identifikovány</w:delText>
        </w:r>
        <w:r w:rsidR="002009DF" w:rsidRPr="001B4A02">
          <w:delText xml:space="preserve"> u </w:delText>
        </w:r>
        <w:r w:rsidR="00C90203" w:rsidRPr="001B4A02">
          <w:delText>5,5</w:delText>
        </w:r>
        <w:r w:rsidR="009C5EAC" w:rsidRPr="001B4A02">
          <w:delText> </w:delText>
        </w:r>
        <w:r w:rsidR="00C90203" w:rsidRPr="001B4A02">
          <w:delText>% (</w:delText>
        </w:r>
        <w:r w:rsidR="006B3BEF" w:rsidRPr="001B4A02">
          <w:delText>58 z</w:delText>
        </w:r>
        <w:r w:rsidR="00C90203" w:rsidRPr="001B4A02">
          <w:delText> </w:delText>
        </w:r>
        <w:r w:rsidR="006B3BEF" w:rsidRPr="001B4A02">
          <w:delText>1</w:delText>
        </w:r>
        <w:r w:rsidR="00F67928" w:rsidRPr="001B4A02">
          <w:delText> </w:delText>
        </w:r>
        <w:r w:rsidR="006B3BEF" w:rsidRPr="001B4A02">
          <w:delText>053</w:delText>
        </w:r>
        <w:r w:rsidR="00C90203" w:rsidRPr="001B4A02">
          <w:delText>)</w:delText>
        </w:r>
        <w:r w:rsidR="006B3BEF" w:rsidRPr="001B4A02">
          <w:delText xml:space="preserve"> pacientů léčených adalimumabem, ve srovnání s</w:delText>
        </w:r>
        <w:r w:rsidR="00A9166E" w:rsidRPr="001B4A02">
          <w:delText> </w:delText>
        </w:r>
        <w:r w:rsidR="00C90203" w:rsidRPr="001B4A02">
          <w:delText>0,5</w:delText>
        </w:r>
        <w:r w:rsidR="009C5EAC" w:rsidRPr="001B4A02">
          <w:delText> </w:delText>
        </w:r>
        <w:r w:rsidR="00C90203" w:rsidRPr="001B4A02">
          <w:delText>%</w:delText>
        </w:r>
        <w:r w:rsidR="006B3BEF" w:rsidRPr="001B4A02">
          <w:delText> </w:delText>
        </w:r>
        <w:r w:rsidR="00C90203" w:rsidRPr="001B4A02">
          <w:delText>(</w:delText>
        </w:r>
        <w:r w:rsidR="006B3BEF" w:rsidRPr="001B4A02">
          <w:delText xml:space="preserve">2 </w:delText>
        </w:r>
        <w:r w:rsidR="00CB76B1" w:rsidRPr="001B4A02">
          <w:delText>z</w:delText>
        </w:r>
        <w:r w:rsidR="005C2685" w:rsidRPr="001B4A02">
          <w:delText>e</w:delText>
        </w:r>
        <w:r w:rsidR="00C90203" w:rsidRPr="001B4A02">
          <w:delText> </w:delText>
        </w:r>
        <w:r w:rsidR="00CB76B1" w:rsidRPr="001B4A02">
          <w:delText>370</w:delText>
        </w:r>
        <w:r w:rsidR="00C90203" w:rsidRPr="001B4A02">
          <w:delText>)</w:delText>
        </w:r>
        <w:r w:rsidR="006B3BEF" w:rsidRPr="001B4A02">
          <w:delText xml:space="preserve"> pacientů léčených placebem. U</w:delText>
        </w:r>
        <w:r w:rsidR="00164B4F" w:rsidRPr="001B4A02">
          <w:delText> </w:delText>
        </w:r>
        <w:r w:rsidR="006B3BEF" w:rsidRPr="001B4A02">
          <w:delText>pacientů, kteří současně neužívali methotrexát, byla incidence 12,4</w:delText>
        </w:r>
        <w:r w:rsidR="009C5EAC" w:rsidRPr="001B4A02">
          <w:delText> </w:delText>
        </w:r>
        <w:r w:rsidR="006B3BEF" w:rsidRPr="001B4A02">
          <w:delText>% ve srovnání s 0,6</w:delText>
        </w:r>
        <w:r w:rsidR="009C5EAC" w:rsidRPr="001B4A02">
          <w:delText> </w:delText>
        </w:r>
        <w:r w:rsidR="006B3BEF" w:rsidRPr="001B4A02">
          <w:delText xml:space="preserve">% pacientů, kterým byl </w:delText>
        </w:r>
        <w:r w:rsidR="00CB76B1" w:rsidRPr="001B4A02">
          <w:delText>adalimumab při</w:delText>
        </w:r>
        <w:r w:rsidR="006B3BEF" w:rsidRPr="001B4A02">
          <w:delText>dán k methotrexátu.</w:delText>
        </w:r>
      </w:del>
    </w:p>
    <w:p w14:paraId="35F6A3FB" w14:textId="77777777" w:rsidR="008E7C99" w:rsidRPr="001B4A02" w:rsidRDefault="008E7C99" w:rsidP="00ED48A3">
      <w:pPr>
        <w:ind w:left="0" w:firstLine="0"/>
        <w:rPr>
          <w:del w:id="2801" w:author="AbbVie1" w:date="2025-05-13T09:50:00Z"/>
        </w:rPr>
      </w:pPr>
    </w:p>
    <w:p w14:paraId="51FD9AEA" w14:textId="77777777" w:rsidR="00E6117F" w:rsidRPr="001B4A02" w:rsidRDefault="00000000" w:rsidP="00ED48A3">
      <w:pPr>
        <w:ind w:left="0" w:firstLine="0"/>
        <w:rPr>
          <w:del w:id="2802" w:author="AbbVie1" w:date="2025-05-13T09:50:00Z"/>
        </w:rPr>
      </w:pPr>
      <w:del w:id="2803" w:author="AbbVie1" w:date="2025-05-13T09:50:00Z">
        <w:r w:rsidRPr="001B4A02">
          <w:delText>U pediatrických pacientů s psoriázou byly protilátky proti adalimumabu identifikovány</w:delText>
        </w:r>
        <w:r w:rsidR="002009DF" w:rsidRPr="001B4A02">
          <w:delText xml:space="preserve"> u </w:delText>
        </w:r>
        <w:r w:rsidRPr="001B4A02">
          <w:delText>5 ze 38 subjektů (13</w:delText>
        </w:r>
        <w:r w:rsidR="006008CB">
          <w:delText> %</w:delText>
        </w:r>
        <w:r w:rsidRPr="001B4A02">
          <w:delText>) léčených 0,8</w:delText>
        </w:r>
        <w:r w:rsidR="00294902">
          <w:delText> mg</w:delText>
        </w:r>
        <w:r w:rsidRPr="001B4A02">
          <w:delText>/kg adalimumabu v monoterapii.</w:delText>
        </w:r>
      </w:del>
    </w:p>
    <w:p w14:paraId="092CEED5" w14:textId="77777777" w:rsidR="00E61DFD" w:rsidRPr="001B4A02" w:rsidRDefault="00E61DFD" w:rsidP="00ED48A3">
      <w:pPr>
        <w:ind w:left="0" w:firstLine="0"/>
        <w:rPr>
          <w:del w:id="2804" w:author="AbbVie1" w:date="2025-05-13T09:50:00Z"/>
        </w:rPr>
      </w:pPr>
    </w:p>
    <w:p w14:paraId="1BD32378" w14:textId="77777777" w:rsidR="00E61DFD" w:rsidRPr="001B4A02" w:rsidRDefault="00000000" w:rsidP="00ED48A3">
      <w:pPr>
        <w:ind w:left="0" w:firstLine="0"/>
        <w:rPr>
          <w:del w:id="2805" w:author="AbbVie1" w:date="2025-05-13T09:50:00Z"/>
        </w:rPr>
      </w:pPr>
      <w:del w:id="2806" w:author="AbbVie1" w:date="2025-05-13T09:50:00Z">
        <w:r w:rsidRPr="001B4A02">
          <w:delText>U dospělých pacientů s psoriázou byly protilátky proti adalimumabu identifikovány</w:delText>
        </w:r>
        <w:r w:rsidR="002009DF" w:rsidRPr="001B4A02">
          <w:delText xml:space="preserve"> u </w:delText>
        </w:r>
        <w:r w:rsidRPr="001B4A02">
          <w:delText>77 z 920 subjektů (8,4</w:delText>
        </w:r>
        <w:r w:rsidR="006008CB">
          <w:delText> %</w:delText>
        </w:r>
        <w:r w:rsidRPr="001B4A02">
          <w:delText>) léčených adalimumabem v monoterapii.</w:delText>
        </w:r>
      </w:del>
    </w:p>
    <w:p w14:paraId="0E046E04" w14:textId="77777777" w:rsidR="001E5F86" w:rsidRPr="001B4A02" w:rsidRDefault="001E5F86" w:rsidP="00ED48A3">
      <w:pPr>
        <w:ind w:left="0" w:firstLine="0"/>
        <w:rPr>
          <w:del w:id="2807" w:author="AbbVie1" w:date="2025-05-13T09:50:00Z"/>
        </w:rPr>
      </w:pPr>
    </w:p>
    <w:p w14:paraId="5AFD4480" w14:textId="77777777" w:rsidR="0023438F" w:rsidRPr="001B4A02" w:rsidRDefault="00000000" w:rsidP="00ED48A3">
      <w:pPr>
        <w:ind w:left="0" w:firstLine="0"/>
        <w:rPr>
          <w:del w:id="2808" w:author="AbbVie1" w:date="2025-05-13T09:50:00Z"/>
        </w:rPr>
      </w:pPr>
      <w:del w:id="2809" w:author="AbbVie1" w:date="2025-05-13T09:50:00Z">
        <w:r w:rsidRPr="001B4A02">
          <w:delText>U dospělých pacientů s</w:delText>
        </w:r>
        <w:r w:rsidR="004970F6" w:rsidRPr="001B4A02">
          <w:delText> </w:delText>
        </w:r>
        <w:r w:rsidRPr="001B4A02">
          <w:delText>ložiskovou psoriázou, léčených dlouhodobě adalimumabem v monoterapii, kteří se účastnili studie, ve které byl adalimumab vysazen</w:delText>
        </w:r>
        <w:r w:rsidR="002378E0">
          <w:delText xml:space="preserve"> a </w:delText>
        </w:r>
        <w:r w:rsidRPr="001B4A02">
          <w:delText>opětovně nasazen, byl počet protilátek proti adalimumabu po znovunasazení (</w:delText>
        </w:r>
        <w:r w:rsidR="00743767" w:rsidRPr="001B4A02">
          <w:delText>u</w:delText>
        </w:r>
        <w:r w:rsidR="004970F6" w:rsidRPr="001B4A02">
          <w:delText> </w:delText>
        </w:r>
        <w:r w:rsidR="00743767" w:rsidRPr="001B4A02">
          <w:delText>11 z</w:delText>
        </w:r>
        <w:r w:rsidR="004970F6" w:rsidRPr="001B4A02">
          <w:delText> </w:delText>
        </w:r>
        <w:r w:rsidR="00743767" w:rsidRPr="001B4A02">
          <w:delText>482 pacientů</w:delText>
        </w:r>
        <w:r w:rsidR="00970F19">
          <w:delText>, 2,3</w:delText>
        </w:r>
        <w:r w:rsidR="006307E1">
          <w:delText> </w:delText>
        </w:r>
        <w:r w:rsidR="00970F19">
          <w:delText>%</w:delText>
        </w:r>
        <w:r w:rsidRPr="001B4A02">
          <w:delText>) podobný jako jejich počet pozorovaný před vysazením léčiva (</w:delText>
        </w:r>
        <w:r w:rsidR="00AA419E" w:rsidRPr="001B4A02">
          <w:delText>u</w:delText>
        </w:r>
        <w:r w:rsidR="004970F6" w:rsidRPr="001B4A02">
          <w:delText> </w:delText>
        </w:r>
        <w:r w:rsidR="00AA419E" w:rsidRPr="001B4A02">
          <w:delText>11 z</w:delText>
        </w:r>
        <w:r w:rsidR="004970F6" w:rsidRPr="001B4A02">
          <w:delText> </w:delText>
        </w:r>
        <w:r w:rsidR="00AA419E" w:rsidRPr="001B4A02">
          <w:delText>590 pacientů</w:delText>
        </w:r>
        <w:r w:rsidRPr="001B4A02">
          <w:delText>, 1,9 %).</w:delText>
        </w:r>
      </w:del>
    </w:p>
    <w:p w14:paraId="4139D36B" w14:textId="77777777" w:rsidR="00E6117F" w:rsidRPr="001B4A02" w:rsidRDefault="00E6117F" w:rsidP="00ED48A3">
      <w:pPr>
        <w:ind w:left="0" w:firstLine="0"/>
        <w:rPr>
          <w:del w:id="2810" w:author="AbbVie1" w:date="2025-05-13T09:50:00Z"/>
        </w:rPr>
      </w:pPr>
    </w:p>
    <w:p w14:paraId="62707F71" w14:textId="77777777" w:rsidR="001823EB" w:rsidRPr="001B4A02" w:rsidRDefault="00000000" w:rsidP="00ED48A3">
      <w:pPr>
        <w:ind w:left="0" w:firstLine="0"/>
        <w:rPr>
          <w:del w:id="2811" w:author="AbbVie1" w:date="2025-05-13T09:50:00Z"/>
        </w:rPr>
      </w:pPr>
      <w:del w:id="2812" w:author="AbbVie1" w:date="2025-05-13T09:50:00Z">
        <w:r w:rsidRPr="001B4A02">
          <w:delText>U</w:delText>
        </w:r>
        <w:r w:rsidR="00612E9B" w:rsidRPr="001B4A02">
          <w:delText xml:space="preserve"> pediatrických</w:delText>
        </w:r>
        <w:r w:rsidRPr="001B4A02">
          <w:delText xml:space="preserve"> pacientů se středně těžkou až těžkou aktivní Crohnovou chorobou</w:delText>
        </w:r>
        <w:r w:rsidR="00612E9B" w:rsidRPr="001B4A02">
          <w:delText xml:space="preserve"> </w:delText>
        </w:r>
        <w:r w:rsidRPr="001B4A02">
          <w:delText>byl</w:delText>
        </w:r>
        <w:r w:rsidR="002009DF" w:rsidRPr="001B4A02">
          <w:delText xml:space="preserve"> u </w:delText>
        </w:r>
        <w:r w:rsidRPr="001B4A02">
          <w:delText xml:space="preserve">pacientů, kteří dostávali adalimumab, </w:delText>
        </w:r>
        <w:r w:rsidR="00314C17" w:rsidRPr="001B4A02">
          <w:delText xml:space="preserve">počet </w:delText>
        </w:r>
        <w:r w:rsidRPr="001B4A02">
          <w:delText>protilátek proti adalimumabu 3,3</w:delText>
        </w:r>
        <w:r w:rsidR="009C5EAC" w:rsidRPr="001B4A02">
          <w:delText> </w:delText>
        </w:r>
        <w:r w:rsidRPr="001B4A02">
          <w:delText>%.</w:delText>
        </w:r>
      </w:del>
    </w:p>
    <w:p w14:paraId="10D60E83" w14:textId="77777777" w:rsidR="0023438F" w:rsidRPr="001B4A02" w:rsidRDefault="0023438F" w:rsidP="00ED48A3">
      <w:pPr>
        <w:ind w:left="0" w:firstLine="0"/>
        <w:rPr>
          <w:del w:id="2813" w:author="AbbVie1" w:date="2025-05-13T09:50:00Z"/>
        </w:rPr>
      </w:pPr>
    </w:p>
    <w:p w14:paraId="7EF75FBF" w14:textId="77777777" w:rsidR="0023438F" w:rsidRPr="001B4A02" w:rsidRDefault="00000000" w:rsidP="00253ABE">
      <w:pPr>
        <w:tabs>
          <w:tab w:val="left" w:pos="1294"/>
        </w:tabs>
        <w:autoSpaceDE w:val="0"/>
        <w:autoSpaceDN w:val="0"/>
        <w:adjustRightInd w:val="0"/>
        <w:ind w:left="0" w:firstLine="0"/>
        <w:rPr>
          <w:del w:id="2814" w:author="AbbVie1" w:date="2025-05-13T09:50:00Z"/>
        </w:rPr>
      </w:pPr>
      <w:del w:id="2815" w:author="AbbVie1" w:date="2025-05-13T09:50:00Z">
        <w:r w:rsidRPr="001B4A02">
          <w:rPr>
            <w:bCs/>
            <w:iCs/>
          </w:rPr>
          <w:delText>U dospělých pacientů s Crohnovou chorobou byly protilátky proti adalimumabu identifikovány u</w:delText>
        </w:r>
        <w:r w:rsidR="004970F6" w:rsidRPr="001B4A02">
          <w:rPr>
            <w:bCs/>
            <w:iCs/>
          </w:rPr>
          <w:delText> </w:delText>
        </w:r>
        <w:r w:rsidRPr="001B4A02">
          <w:rPr>
            <w:bCs/>
            <w:iCs/>
          </w:rPr>
          <w:delText>7 z 269</w:delText>
        </w:r>
        <w:r w:rsidR="004970F6" w:rsidRPr="001B4A02">
          <w:rPr>
            <w:bCs/>
            <w:iCs/>
          </w:rPr>
          <w:delText xml:space="preserve"> </w:delText>
        </w:r>
        <w:r w:rsidRPr="001B4A02">
          <w:rPr>
            <w:bCs/>
            <w:iCs/>
          </w:rPr>
          <w:delText>pacientů (2,6 %).</w:delText>
        </w:r>
      </w:del>
    </w:p>
    <w:p w14:paraId="7321305F" w14:textId="77777777" w:rsidR="0023438F" w:rsidRPr="001B4A02" w:rsidRDefault="0023438F" w:rsidP="00ED48A3">
      <w:pPr>
        <w:ind w:left="0" w:firstLine="0"/>
        <w:rPr>
          <w:del w:id="2816" w:author="AbbVie1" w:date="2025-05-13T09:50:00Z"/>
        </w:rPr>
      </w:pPr>
    </w:p>
    <w:p w14:paraId="5B49B4CE" w14:textId="77777777" w:rsidR="0023438F" w:rsidRPr="001B4A02" w:rsidRDefault="00000000" w:rsidP="0023438F">
      <w:pPr>
        <w:tabs>
          <w:tab w:val="left" w:pos="1294"/>
        </w:tabs>
        <w:autoSpaceDE w:val="0"/>
        <w:autoSpaceDN w:val="0"/>
        <w:adjustRightInd w:val="0"/>
        <w:ind w:left="0" w:firstLine="0"/>
        <w:rPr>
          <w:del w:id="2817" w:author="AbbVie1" w:date="2025-05-13T09:50:00Z"/>
          <w:bCs/>
          <w:iCs/>
        </w:rPr>
      </w:pPr>
      <w:del w:id="2818" w:author="AbbVie1" w:date="2025-05-13T09:50:00Z">
        <w:r w:rsidRPr="001B4A02">
          <w:rPr>
            <w:bCs/>
            <w:iCs/>
          </w:rPr>
          <w:delText xml:space="preserve">U </w:delText>
        </w:r>
        <w:r w:rsidR="0028776E" w:rsidRPr="001B4A02">
          <w:rPr>
            <w:bCs/>
            <w:iCs/>
          </w:rPr>
          <w:delText xml:space="preserve">dospělých </w:delText>
        </w:r>
        <w:r w:rsidRPr="001B4A02">
          <w:rPr>
            <w:bCs/>
            <w:iCs/>
          </w:rPr>
          <w:delText xml:space="preserve">pacientů s neinfekční uveitidou </w:delText>
        </w:r>
        <w:r w:rsidRPr="001B4A02">
          <w:delText>byly protilátky proti adalimumabu identifikovány u </w:delText>
        </w:r>
        <w:r w:rsidRPr="001B4A02">
          <w:rPr>
            <w:bCs/>
            <w:iCs/>
          </w:rPr>
          <w:delText>4,8 % (12 z 249) pacientů léčených adalimumabem.</w:delText>
        </w:r>
      </w:del>
    </w:p>
    <w:p w14:paraId="35AA2C43" w14:textId="77777777" w:rsidR="001823EB" w:rsidRDefault="001823EB" w:rsidP="00ED48A3">
      <w:pPr>
        <w:ind w:left="0" w:firstLine="0"/>
        <w:rPr>
          <w:del w:id="2819" w:author="AbbVie1" w:date="2025-05-13T09:50:00Z"/>
        </w:rPr>
      </w:pPr>
    </w:p>
    <w:p w14:paraId="5C70CF9E" w14:textId="77777777" w:rsidR="00106EFE" w:rsidRDefault="00000000" w:rsidP="00106EFE">
      <w:pPr>
        <w:ind w:left="0" w:firstLine="0"/>
        <w:rPr>
          <w:del w:id="2820" w:author="AbbVie1" w:date="2025-05-13T09:50:00Z"/>
        </w:rPr>
      </w:pPr>
      <w:del w:id="2821" w:author="AbbVie1" w:date="2025-05-13T09:50:00Z">
        <w:r>
          <w:delText>U </w:delText>
        </w:r>
        <w:r w:rsidR="00457856" w:rsidRPr="001B4A02">
          <w:delText xml:space="preserve"> </w:delText>
        </w:r>
        <w:r w:rsidR="00D93D18" w:rsidRPr="001B4A02">
          <w:delText>pediatrických</w:delText>
        </w:r>
        <w:r w:rsidR="00D93D18">
          <w:delText xml:space="preserve"> </w:delText>
        </w:r>
        <w:r>
          <w:delText>pacientů se středně těžkou až těžkou aktivní ulcerózní kolitidou byl u</w:delText>
        </w:r>
        <w:r w:rsidR="006F04BD" w:rsidRPr="001B4A02">
          <w:rPr>
            <w:szCs w:val="22"/>
          </w:rPr>
          <w:delText> </w:delText>
        </w:r>
        <w:r>
          <w:delText>pacientů, kteří dostávali adalimumab, počet protilátek proti adalimumabu 3 %.</w:delText>
        </w:r>
      </w:del>
    </w:p>
    <w:p w14:paraId="6ED9D2F6" w14:textId="77777777" w:rsidR="00D76799" w:rsidRPr="001B4A02" w:rsidRDefault="00D76799" w:rsidP="00ED48A3">
      <w:pPr>
        <w:ind w:left="0" w:firstLine="0"/>
        <w:rPr>
          <w:del w:id="2822" w:author="AbbVie1" w:date="2025-05-13T09:50:00Z"/>
        </w:rPr>
      </w:pPr>
    </w:p>
    <w:p w14:paraId="357F1D28" w14:textId="77777777" w:rsidR="00D42E99" w:rsidRPr="001B4A02" w:rsidRDefault="00000000" w:rsidP="00ED48A3">
      <w:pPr>
        <w:ind w:left="0" w:firstLine="0"/>
        <w:rPr>
          <w:del w:id="2823" w:author="AbbVie1" w:date="2025-05-13T09:50:00Z"/>
        </w:rPr>
      </w:pPr>
      <w:del w:id="2824" w:author="AbbVie1" w:date="2025-05-13T09:50:00Z">
        <w:r w:rsidRPr="001B4A02">
          <w:delText>Protože imunogenní analýzy jsou specifické pro příslušný přípravek, není možné kvantitativní srovnání proti jiným přípravkům.</w:delText>
        </w:r>
      </w:del>
    </w:p>
    <w:p w14:paraId="688E4FAF" w14:textId="77777777" w:rsidR="00D42E99" w:rsidRPr="001B4A02" w:rsidRDefault="00D42E99" w:rsidP="00ED48A3">
      <w:pPr>
        <w:ind w:left="0" w:firstLine="0"/>
        <w:rPr>
          <w:del w:id="2825" w:author="AbbVie1" w:date="2025-05-13T09:50:00Z"/>
        </w:rPr>
      </w:pPr>
    </w:p>
    <w:p w14:paraId="3693E9B5" w14:textId="77777777" w:rsidR="005C3967" w:rsidRPr="001B4A02" w:rsidRDefault="00000000" w:rsidP="00ED48A3">
      <w:pPr>
        <w:keepNext/>
        <w:ind w:left="0" w:firstLine="0"/>
        <w:rPr>
          <w:del w:id="2826" w:author="AbbVie1" w:date="2025-05-13T09:50:00Z"/>
          <w:u w:val="single"/>
        </w:rPr>
      </w:pPr>
      <w:del w:id="2827" w:author="AbbVie1" w:date="2025-05-13T09:50:00Z">
        <w:r w:rsidRPr="001B4A02">
          <w:rPr>
            <w:u w:val="single"/>
          </w:rPr>
          <w:delText>Pediatrická populace</w:delText>
        </w:r>
      </w:del>
    </w:p>
    <w:p w14:paraId="63798544" w14:textId="77777777" w:rsidR="005C3967" w:rsidRPr="001B4A02" w:rsidRDefault="005C3967" w:rsidP="00ED48A3">
      <w:pPr>
        <w:keepNext/>
        <w:ind w:left="0" w:firstLine="0"/>
        <w:rPr>
          <w:del w:id="2828" w:author="AbbVie1" w:date="2025-05-13T09:50:00Z"/>
        </w:rPr>
      </w:pPr>
    </w:p>
    <w:p w14:paraId="47FA6A9A" w14:textId="77777777" w:rsidR="00151CAD" w:rsidRPr="001B4A02" w:rsidRDefault="00000000" w:rsidP="00151CAD">
      <w:pPr>
        <w:keepNext/>
        <w:ind w:left="0" w:firstLine="0"/>
        <w:rPr>
          <w:del w:id="2829" w:author="AbbVie1" w:date="2025-05-13T09:50:00Z"/>
          <w:i/>
        </w:rPr>
      </w:pPr>
      <w:del w:id="2830" w:author="AbbVie1" w:date="2025-05-13T09:50:00Z">
        <w:r w:rsidRPr="001B4A02">
          <w:rPr>
            <w:i/>
          </w:rPr>
          <w:delText>Juvenilní idiopatická artritida (JIA)</w:delText>
        </w:r>
      </w:del>
    </w:p>
    <w:p w14:paraId="6CD87B2C" w14:textId="77777777" w:rsidR="00151CAD" w:rsidRPr="001B4A02" w:rsidRDefault="00151CAD" w:rsidP="00151CAD">
      <w:pPr>
        <w:keepNext/>
        <w:ind w:left="0" w:firstLine="0"/>
        <w:rPr>
          <w:del w:id="2831" w:author="AbbVie1" w:date="2025-05-13T09:50:00Z"/>
          <w:i/>
        </w:rPr>
      </w:pPr>
    </w:p>
    <w:p w14:paraId="47FA3009" w14:textId="77777777" w:rsidR="00151CAD" w:rsidRPr="00CC12ED" w:rsidRDefault="00000000" w:rsidP="00151CAD">
      <w:pPr>
        <w:keepNext/>
        <w:ind w:left="0" w:firstLine="0"/>
        <w:rPr>
          <w:del w:id="2832" w:author="AbbVie1" w:date="2025-05-13T09:50:00Z"/>
          <w:i/>
          <w:u w:val="single"/>
        </w:rPr>
      </w:pPr>
      <w:del w:id="2833" w:author="AbbVie1" w:date="2025-05-13T09:50:00Z">
        <w:r w:rsidRPr="00CC12ED">
          <w:rPr>
            <w:i/>
            <w:u w:val="single"/>
          </w:rPr>
          <w:delText>Polyartikulární juvenilní idiopatická artritida (pJIA)</w:delText>
        </w:r>
      </w:del>
    </w:p>
    <w:p w14:paraId="64119638" w14:textId="77777777" w:rsidR="00151CAD" w:rsidRPr="001B4A02" w:rsidRDefault="00151CAD" w:rsidP="00151CAD">
      <w:pPr>
        <w:keepNext/>
        <w:ind w:left="0" w:firstLine="0"/>
        <w:rPr>
          <w:del w:id="2834" w:author="AbbVie1" w:date="2025-05-13T09:50:00Z"/>
          <w:u w:val="single"/>
        </w:rPr>
      </w:pPr>
    </w:p>
    <w:p w14:paraId="11BCD117" w14:textId="77777777" w:rsidR="00151CAD" w:rsidRPr="001B4A02" w:rsidRDefault="00000000" w:rsidP="00151CAD">
      <w:pPr>
        <w:ind w:left="0" w:firstLine="0"/>
        <w:rPr>
          <w:del w:id="2835" w:author="AbbVie1" w:date="2025-05-13T09:50:00Z"/>
        </w:rPr>
      </w:pPr>
      <w:del w:id="2836" w:author="AbbVie1" w:date="2025-05-13T09:50:00Z">
        <w:r w:rsidRPr="001B4A02">
          <w:delText>Bezpečnost</w:delText>
        </w:r>
        <w:r w:rsidR="002378E0">
          <w:delText xml:space="preserve"> a </w:delText>
        </w:r>
        <w:r w:rsidRPr="001B4A02">
          <w:delText>účinnost přípravku Humira byla hodnocena ve dvou studiích (pJIA I</w:delText>
        </w:r>
        <w:r w:rsidR="002378E0">
          <w:delText xml:space="preserve"> a </w:delText>
        </w:r>
        <w:r w:rsidRPr="001B4A02">
          <w:delText>pJIA II) u dětí s aktivní polyartikulární nebo polyartikulárním průběhem juvenilní idiopatické artritidy, které trpěly různými typy výskytu JIA (nejčastěji revmatoidní faktor negativní nebo pozitivní polyartritida</w:delText>
        </w:r>
        <w:r w:rsidR="002378E0">
          <w:delText xml:space="preserve"> a </w:delText>
        </w:r>
        <w:r w:rsidRPr="001B4A02">
          <w:delText>rozšířená oligartritida).</w:delText>
        </w:r>
      </w:del>
    </w:p>
    <w:p w14:paraId="13AE24AB" w14:textId="77777777" w:rsidR="00151CAD" w:rsidRPr="001B4A02" w:rsidRDefault="00151CAD" w:rsidP="00151CAD">
      <w:pPr>
        <w:ind w:left="0" w:firstLine="0"/>
        <w:rPr>
          <w:del w:id="2837" w:author="AbbVie1" w:date="2025-05-13T09:50:00Z"/>
        </w:rPr>
      </w:pPr>
    </w:p>
    <w:p w14:paraId="1AC16846" w14:textId="77777777" w:rsidR="00151CAD" w:rsidRPr="001B4A02" w:rsidRDefault="00000000" w:rsidP="00151CAD">
      <w:pPr>
        <w:keepNext/>
        <w:ind w:left="0" w:firstLine="0"/>
        <w:rPr>
          <w:del w:id="2838" w:author="AbbVie1" w:date="2025-05-13T09:50:00Z"/>
        </w:rPr>
      </w:pPr>
      <w:del w:id="2839" w:author="AbbVie1" w:date="2025-05-13T09:50:00Z">
        <w:r w:rsidRPr="001B4A02">
          <w:delText>pJIA I</w:delText>
        </w:r>
      </w:del>
    </w:p>
    <w:p w14:paraId="08CA0918" w14:textId="77777777" w:rsidR="00151CAD" w:rsidRPr="001B4A02" w:rsidRDefault="00151CAD" w:rsidP="00151CAD">
      <w:pPr>
        <w:keepNext/>
        <w:ind w:left="0" w:firstLine="0"/>
        <w:rPr>
          <w:del w:id="2840" w:author="AbbVie1" w:date="2025-05-13T09:50:00Z"/>
        </w:rPr>
      </w:pPr>
    </w:p>
    <w:p w14:paraId="49CB9205" w14:textId="77777777" w:rsidR="00151CAD" w:rsidRPr="001B4A02" w:rsidRDefault="00000000" w:rsidP="00151CAD">
      <w:pPr>
        <w:ind w:left="0" w:firstLine="0"/>
        <w:rPr>
          <w:del w:id="2841" w:author="AbbVie1" w:date="2025-05-13T09:50:00Z"/>
        </w:rPr>
      </w:pPr>
      <w:del w:id="2842" w:author="AbbVie1" w:date="2025-05-13T09:50:00Z">
        <w:r w:rsidRPr="001B4A02">
          <w:delText>Bezpečnost</w:delText>
        </w:r>
        <w:r w:rsidR="002378E0">
          <w:delText xml:space="preserve"> a </w:delText>
        </w:r>
        <w:r w:rsidRPr="001B4A02">
          <w:delText>účinnost přípravku Humira byla hodnocena v multicentrické, randomizované, dvojitě zaslepené studii paralelních skupin u 171 dětí (ve věku 4 až 17 let) s polyartikulární JIA. V otevřené úvodní fázi (OL LI, open-label lead in phase) studie byli pacienti rozděleni do dvou skupin, na léčené MTX (methotrexát)</w:delText>
        </w:r>
        <w:r w:rsidR="002378E0">
          <w:delText xml:space="preserve"> a </w:delText>
        </w:r>
        <w:r w:rsidRPr="001B4A02">
          <w:delText>neléčené MTX. Pacienti, kteří byli ve skupině neléčené MTX, byli buď dosud neléčení, nebo jim byl MTX vysazen alespoň dva týdny před zahájením léčby studijní medikací. Pacienti zůstávali na stabilních dávkách nesteroidní</w:delText>
        </w:r>
        <w:r>
          <w:delText>ch</w:delText>
        </w:r>
        <w:r w:rsidRPr="001B4A02">
          <w:delText xml:space="preserve"> protizánětliv</w:delText>
        </w:r>
        <w:r>
          <w:delText>ých</w:delText>
        </w:r>
        <w:r w:rsidRPr="001B4A02">
          <w:delText xml:space="preserve"> léčiv</w:delText>
        </w:r>
        <w:r>
          <w:delText>ých</w:delText>
        </w:r>
        <w:r w:rsidRPr="001B4A02">
          <w:delText xml:space="preserve"> přípravk</w:delText>
        </w:r>
        <w:r>
          <w:delText>ů (</w:delText>
        </w:r>
        <w:r w:rsidRPr="001B4A02">
          <w:delText>NSAID</w:delText>
        </w:r>
        <w:r>
          <w:delText>)</w:delText>
        </w:r>
        <w:r w:rsidR="002378E0">
          <w:delText xml:space="preserve"> a </w:delText>
        </w:r>
        <w:r w:rsidRPr="001B4A02">
          <w:delText>nebo prednisonu (</w:delText>
        </w:r>
        <w:r w:rsidRPr="001B4A02">
          <w:rPr>
            <w:rFonts w:ascii="Symbol" w:hAnsi="Symbol"/>
          </w:rPr>
          <w:sym w:font="Symbol" w:char="F0A3"/>
        </w:r>
        <w:r w:rsidR="00294902" w:rsidRPr="00005EC2">
          <w:rPr>
            <w:szCs w:val="22"/>
          </w:rPr>
          <w:delText> </w:delText>
        </w:r>
        <w:r w:rsidRPr="001B4A02">
          <w:delText>0,2</w:delText>
        </w:r>
        <w:r w:rsidR="00294902" w:rsidRPr="00005EC2">
          <w:rPr>
            <w:szCs w:val="22"/>
          </w:rPr>
          <w:delText> </w:delText>
        </w:r>
        <w:r w:rsidRPr="001B4A02">
          <w:delText>mg/kg/den nebo maximum 10</w:delText>
        </w:r>
        <w:r w:rsidR="00294902" w:rsidRPr="00005EC2">
          <w:rPr>
            <w:szCs w:val="22"/>
          </w:rPr>
          <w:delText> </w:delText>
        </w:r>
        <w:r w:rsidRPr="001B4A02">
          <w:delText>mg/den). V OL LI fázi dostávali všichni pacienti 24</w:delText>
        </w:r>
        <w:r w:rsidR="00294902" w:rsidRPr="00005EC2">
          <w:rPr>
            <w:szCs w:val="22"/>
          </w:rPr>
          <w:delText> </w:delText>
        </w:r>
        <w:r w:rsidRPr="001B4A02">
          <w:delText>mg/m</w:delText>
        </w:r>
        <w:r w:rsidRPr="001B4A02">
          <w:rPr>
            <w:vertAlign w:val="superscript"/>
          </w:rPr>
          <w:delText>2</w:delText>
        </w:r>
        <w:r w:rsidRPr="001B4A02">
          <w:delText xml:space="preserve"> až do maximální dávky 40</w:delText>
        </w:r>
        <w:r w:rsidR="00294902" w:rsidRPr="00005EC2">
          <w:rPr>
            <w:szCs w:val="22"/>
          </w:rPr>
          <w:delText> </w:delText>
        </w:r>
        <w:r w:rsidRPr="001B4A02">
          <w:delText>mg přípravku Humira každý druhý týden po dobu 16 týdnů. Rozložení pacientů dle věku</w:delText>
        </w:r>
        <w:r w:rsidR="002378E0">
          <w:delText xml:space="preserve"> a </w:delText>
        </w:r>
        <w:r w:rsidRPr="001B4A02">
          <w:delText>minimální, střední</w:delText>
        </w:r>
        <w:r w:rsidR="002378E0">
          <w:delText xml:space="preserve"> a </w:delText>
        </w:r>
        <w:r w:rsidRPr="001B4A02">
          <w:delText xml:space="preserve">maximální dávky, kterou používali v průběhu OL LI fáze, je uvedeno v tabulce </w:delText>
        </w:r>
        <w:r>
          <w:delText>20</w:delText>
        </w:r>
        <w:r w:rsidRPr="001B4A02">
          <w:delText>.</w:delText>
        </w:r>
      </w:del>
    </w:p>
    <w:p w14:paraId="21AD9B6A" w14:textId="77777777" w:rsidR="00151CAD" w:rsidRPr="001B4A02" w:rsidRDefault="00151CAD" w:rsidP="00151CAD">
      <w:pPr>
        <w:ind w:left="0" w:firstLine="0"/>
        <w:rPr>
          <w:del w:id="2843" w:author="AbbVie1" w:date="2025-05-13T09:50:00Z"/>
          <w:u w:val="single"/>
        </w:rPr>
      </w:pPr>
    </w:p>
    <w:p w14:paraId="1C3003EE" w14:textId="77777777" w:rsidR="00151CAD" w:rsidRPr="001B4A02" w:rsidRDefault="00000000" w:rsidP="00151CAD">
      <w:pPr>
        <w:pStyle w:val="BodyTextIndent"/>
        <w:keepNext/>
        <w:ind w:left="110" w:right="51" w:firstLine="0"/>
        <w:jc w:val="center"/>
        <w:rPr>
          <w:del w:id="2844" w:author="AbbVie1" w:date="2025-05-13T09:50:00Z"/>
          <w:color w:val="auto"/>
          <w:lang w:val="cs-CZ"/>
        </w:rPr>
      </w:pPr>
      <w:del w:id="2845" w:author="AbbVie1" w:date="2025-05-13T09:50:00Z">
        <w:r w:rsidRPr="001B4A02">
          <w:rPr>
            <w:color w:val="auto"/>
            <w:lang w:val="cs-CZ"/>
          </w:rPr>
          <w:delText xml:space="preserve">Tabulka </w:delText>
        </w:r>
        <w:r>
          <w:rPr>
            <w:color w:val="auto"/>
            <w:lang w:val="cs-CZ"/>
          </w:rPr>
          <w:delText>20</w:delText>
        </w:r>
      </w:del>
    </w:p>
    <w:p w14:paraId="791393CE" w14:textId="77777777" w:rsidR="00151CAD" w:rsidRPr="001B4A02" w:rsidRDefault="00000000" w:rsidP="00151CAD">
      <w:pPr>
        <w:pStyle w:val="BodyTextIndent"/>
        <w:keepNext/>
        <w:ind w:left="110" w:right="51" w:firstLine="0"/>
        <w:jc w:val="center"/>
        <w:rPr>
          <w:del w:id="2846" w:author="AbbVie1" w:date="2025-05-13T09:50:00Z"/>
          <w:color w:val="auto"/>
          <w:lang w:val="cs-CZ"/>
        </w:rPr>
      </w:pPr>
      <w:del w:id="2847" w:author="AbbVie1" w:date="2025-05-13T09:50:00Z">
        <w:r w:rsidRPr="001B4A02">
          <w:rPr>
            <w:color w:val="auto"/>
            <w:lang w:val="cs-CZ"/>
          </w:rPr>
          <w:delText>Rozložení pacientů podle věku</w:delText>
        </w:r>
        <w:r w:rsidR="002378E0">
          <w:rPr>
            <w:color w:val="auto"/>
            <w:lang w:val="cs-CZ"/>
          </w:rPr>
          <w:delText xml:space="preserve"> a </w:delText>
        </w:r>
        <w:r w:rsidRPr="001B4A02">
          <w:rPr>
            <w:color w:val="auto"/>
            <w:lang w:val="cs-CZ"/>
          </w:rPr>
          <w:delText>dávky adalimumabu, podávané v průběhu OL LI fáze</w:delText>
        </w:r>
      </w:del>
    </w:p>
    <w:p w14:paraId="7F1A3793" w14:textId="77777777" w:rsidR="00151CAD" w:rsidRPr="001B4A02" w:rsidRDefault="00151CAD" w:rsidP="00151CAD">
      <w:pPr>
        <w:pStyle w:val="BodyTextIndent"/>
        <w:keepNext/>
        <w:ind w:left="110" w:right="51" w:firstLine="0"/>
        <w:jc w:val="center"/>
        <w:rPr>
          <w:del w:id="2848" w:author="AbbVie1" w:date="2025-05-13T09:50:00Z"/>
          <w:b w:val="0"/>
          <w:bCs/>
          <w:color w:val="auto"/>
          <w:lang w:val="cs-CZ"/>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2"/>
        <w:gridCol w:w="3422"/>
        <w:gridCol w:w="3167"/>
      </w:tblGrid>
      <w:tr w:rsidR="00534A2D" w14:paraId="22D22EF2" w14:textId="77777777" w:rsidTr="00151CAD">
        <w:trPr>
          <w:cantSplit/>
          <w:del w:id="2849" w:author="AbbVie1" w:date="2025-05-13T09:50:00Z"/>
        </w:trPr>
        <w:tc>
          <w:tcPr>
            <w:tcW w:w="2418" w:type="dxa"/>
            <w:tcBorders>
              <w:top w:val="single" w:sz="4" w:space="0" w:color="auto"/>
              <w:left w:val="single" w:sz="4" w:space="0" w:color="auto"/>
              <w:bottom w:val="single" w:sz="4" w:space="0" w:color="auto"/>
              <w:right w:val="single" w:sz="4" w:space="0" w:color="auto"/>
            </w:tcBorders>
          </w:tcPr>
          <w:p w14:paraId="2BD2F86A" w14:textId="77777777" w:rsidR="00151CAD" w:rsidRPr="001B4A02" w:rsidRDefault="00000000" w:rsidP="00151CAD">
            <w:pPr>
              <w:pStyle w:val="BodyTextIndent"/>
              <w:keepNext/>
              <w:ind w:left="0" w:right="51" w:firstLine="0"/>
              <w:rPr>
                <w:del w:id="2850" w:author="AbbVie1" w:date="2025-05-13T09:50:00Z"/>
                <w:bCs/>
                <w:color w:val="auto"/>
                <w:lang w:val="cs-CZ"/>
              </w:rPr>
            </w:pPr>
            <w:del w:id="2851" w:author="AbbVie1" w:date="2025-05-13T09:50:00Z">
              <w:r w:rsidRPr="001B4A02">
                <w:rPr>
                  <w:bCs/>
                  <w:color w:val="auto"/>
                  <w:lang w:val="cs-CZ"/>
                </w:rPr>
                <w:delText>Věková skupina</w:delText>
              </w:r>
            </w:del>
          </w:p>
        </w:tc>
        <w:tc>
          <w:tcPr>
            <w:tcW w:w="3520" w:type="dxa"/>
            <w:tcBorders>
              <w:top w:val="single" w:sz="4" w:space="0" w:color="auto"/>
              <w:left w:val="single" w:sz="4" w:space="0" w:color="auto"/>
              <w:bottom w:val="single" w:sz="4" w:space="0" w:color="auto"/>
              <w:right w:val="single" w:sz="4" w:space="0" w:color="auto"/>
            </w:tcBorders>
          </w:tcPr>
          <w:p w14:paraId="5790D7A4" w14:textId="77777777" w:rsidR="00151CAD" w:rsidRPr="001B4A02" w:rsidRDefault="00000000" w:rsidP="00151CAD">
            <w:pPr>
              <w:pStyle w:val="BodyTextIndent"/>
              <w:keepNext/>
              <w:ind w:left="0" w:right="51" w:firstLine="0"/>
              <w:jc w:val="center"/>
              <w:rPr>
                <w:del w:id="2852" w:author="AbbVie1" w:date="2025-05-13T09:50:00Z"/>
                <w:bCs/>
                <w:color w:val="auto"/>
                <w:lang w:val="cs-CZ"/>
              </w:rPr>
            </w:pPr>
            <w:del w:id="2853" w:author="AbbVie1" w:date="2025-05-13T09:50:00Z">
              <w:r w:rsidRPr="001B4A02">
                <w:rPr>
                  <w:bCs/>
                  <w:color w:val="auto"/>
                  <w:lang w:val="cs-CZ"/>
                </w:rPr>
                <w:delText>Výchozí počet pacientů n (%)</w:delText>
              </w:r>
            </w:del>
          </w:p>
        </w:tc>
        <w:tc>
          <w:tcPr>
            <w:tcW w:w="3239" w:type="dxa"/>
            <w:tcBorders>
              <w:top w:val="single" w:sz="4" w:space="0" w:color="auto"/>
              <w:left w:val="single" w:sz="4" w:space="0" w:color="auto"/>
              <w:bottom w:val="single" w:sz="4" w:space="0" w:color="auto"/>
              <w:right w:val="single" w:sz="4" w:space="0" w:color="auto"/>
            </w:tcBorders>
          </w:tcPr>
          <w:p w14:paraId="6AADA650" w14:textId="77777777" w:rsidR="00151CAD" w:rsidRPr="001B4A02" w:rsidRDefault="00000000" w:rsidP="00151CAD">
            <w:pPr>
              <w:pStyle w:val="BodyTextIndent"/>
              <w:keepNext/>
              <w:ind w:left="0" w:right="51" w:firstLine="0"/>
              <w:jc w:val="center"/>
              <w:rPr>
                <w:del w:id="2854" w:author="AbbVie1" w:date="2025-05-13T09:50:00Z"/>
                <w:bCs/>
                <w:color w:val="auto"/>
                <w:lang w:val="cs-CZ"/>
              </w:rPr>
            </w:pPr>
            <w:del w:id="2855" w:author="AbbVie1" w:date="2025-05-13T09:50:00Z">
              <w:r w:rsidRPr="001B4A02">
                <w:rPr>
                  <w:bCs/>
                  <w:color w:val="auto"/>
                  <w:lang w:val="cs-CZ"/>
                </w:rPr>
                <w:delText>Minimální, střední</w:delText>
              </w:r>
              <w:r w:rsidR="002378E0">
                <w:rPr>
                  <w:bCs/>
                  <w:color w:val="auto"/>
                  <w:lang w:val="cs-CZ"/>
                </w:rPr>
                <w:delText xml:space="preserve"> a </w:delText>
              </w:r>
              <w:r w:rsidRPr="001B4A02">
                <w:rPr>
                  <w:bCs/>
                  <w:color w:val="auto"/>
                  <w:lang w:val="cs-CZ"/>
                </w:rPr>
                <w:delText>maximální dávka</w:delText>
              </w:r>
            </w:del>
          </w:p>
        </w:tc>
      </w:tr>
      <w:tr w:rsidR="00534A2D" w14:paraId="4B50FB9A" w14:textId="77777777" w:rsidTr="00151CAD">
        <w:trPr>
          <w:cantSplit/>
          <w:del w:id="2856" w:author="AbbVie1" w:date="2025-05-13T09:50:00Z"/>
        </w:trPr>
        <w:tc>
          <w:tcPr>
            <w:tcW w:w="2418" w:type="dxa"/>
            <w:tcBorders>
              <w:top w:val="single" w:sz="4" w:space="0" w:color="auto"/>
              <w:left w:val="single" w:sz="4" w:space="0" w:color="auto"/>
              <w:bottom w:val="single" w:sz="4" w:space="0" w:color="auto"/>
              <w:right w:val="single" w:sz="4" w:space="0" w:color="auto"/>
            </w:tcBorders>
          </w:tcPr>
          <w:p w14:paraId="745FB242" w14:textId="77777777" w:rsidR="00151CAD" w:rsidRPr="001B4A02" w:rsidRDefault="00000000" w:rsidP="00151CAD">
            <w:pPr>
              <w:pStyle w:val="BodyTextIndent"/>
              <w:keepNext/>
              <w:ind w:left="0" w:right="51" w:firstLine="0"/>
              <w:rPr>
                <w:del w:id="2857" w:author="AbbVie1" w:date="2025-05-13T09:50:00Z"/>
                <w:b w:val="0"/>
                <w:bCs/>
                <w:color w:val="auto"/>
                <w:lang w:val="cs-CZ"/>
              </w:rPr>
            </w:pPr>
            <w:del w:id="2858" w:author="AbbVie1" w:date="2025-05-13T09:50:00Z">
              <w:r w:rsidRPr="001B4A02">
                <w:rPr>
                  <w:b w:val="0"/>
                  <w:bCs/>
                  <w:color w:val="auto"/>
                  <w:lang w:val="cs-CZ"/>
                </w:rPr>
                <w:delText>4 až 7 let</w:delText>
              </w:r>
            </w:del>
          </w:p>
        </w:tc>
        <w:tc>
          <w:tcPr>
            <w:tcW w:w="3520" w:type="dxa"/>
            <w:tcBorders>
              <w:top w:val="single" w:sz="4" w:space="0" w:color="auto"/>
              <w:left w:val="single" w:sz="4" w:space="0" w:color="auto"/>
              <w:bottom w:val="single" w:sz="4" w:space="0" w:color="auto"/>
              <w:right w:val="single" w:sz="4" w:space="0" w:color="auto"/>
            </w:tcBorders>
          </w:tcPr>
          <w:p w14:paraId="16467E99" w14:textId="77777777" w:rsidR="00151CAD" w:rsidRPr="001B4A02" w:rsidRDefault="00000000" w:rsidP="00151CAD">
            <w:pPr>
              <w:pStyle w:val="BodyTextIndent"/>
              <w:keepNext/>
              <w:ind w:left="0" w:right="51" w:firstLine="0"/>
              <w:jc w:val="center"/>
              <w:rPr>
                <w:del w:id="2859" w:author="AbbVie1" w:date="2025-05-13T09:50:00Z"/>
                <w:b w:val="0"/>
                <w:bCs/>
                <w:color w:val="auto"/>
                <w:lang w:val="cs-CZ"/>
              </w:rPr>
            </w:pPr>
            <w:del w:id="2860" w:author="AbbVie1" w:date="2025-05-13T09:50:00Z">
              <w:r w:rsidRPr="001B4A02">
                <w:rPr>
                  <w:b w:val="0"/>
                  <w:bCs/>
                  <w:color w:val="auto"/>
                  <w:lang w:val="cs-CZ"/>
                </w:rPr>
                <w:delText>31 (18,1)</w:delText>
              </w:r>
            </w:del>
          </w:p>
        </w:tc>
        <w:tc>
          <w:tcPr>
            <w:tcW w:w="3239" w:type="dxa"/>
            <w:tcBorders>
              <w:top w:val="single" w:sz="4" w:space="0" w:color="auto"/>
              <w:left w:val="single" w:sz="4" w:space="0" w:color="auto"/>
              <w:bottom w:val="single" w:sz="4" w:space="0" w:color="auto"/>
              <w:right w:val="single" w:sz="4" w:space="0" w:color="auto"/>
            </w:tcBorders>
          </w:tcPr>
          <w:p w14:paraId="2973675C" w14:textId="77777777" w:rsidR="00151CAD" w:rsidRPr="001B4A02" w:rsidRDefault="00000000" w:rsidP="00151CAD">
            <w:pPr>
              <w:pStyle w:val="BodyTextIndent"/>
              <w:keepNext/>
              <w:ind w:left="0" w:right="51" w:firstLine="0"/>
              <w:jc w:val="center"/>
              <w:rPr>
                <w:del w:id="2861" w:author="AbbVie1" w:date="2025-05-13T09:50:00Z"/>
                <w:b w:val="0"/>
                <w:bCs/>
                <w:color w:val="auto"/>
                <w:lang w:val="cs-CZ"/>
              </w:rPr>
            </w:pPr>
            <w:del w:id="2862" w:author="AbbVie1" w:date="2025-05-13T09:50:00Z">
              <w:r w:rsidRPr="001B4A02">
                <w:rPr>
                  <w:b w:val="0"/>
                  <w:bCs/>
                  <w:color w:val="auto"/>
                  <w:lang w:val="cs-CZ"/>
                </w:rPr>
                <w:delText>10, 20</w:delText>
              </w:r>
              <w:r w:rsidR="002378E0">
                <w:rPr>
                  <w:b w:val="0"/>
                  <w:bCs/>
                  <w:color w:val="auto"/>
                  <w:lang w:val="cs-CZ"/>
                </w:rPr>
                <w:delText xml:space="preserve"> a </w:delText>
              </w:r>
              <w:r w:rsidRPr="001B4A02">
                <w:rPr>
                  <w:b w:val="0"/>
                  <w:bCs/>
                  <w:color w:val="auto"/>
                  <w:lang w:val="cs-CZ"/>
                </w:rPr>
                <w:delText>25</w:delText>
              </w:r>
              <w:r w:rsidR="00294902" w:rsidRPr="00005EC2">
                <w:rPr>
                  <w:szCs w:val="22"/>
                </w:rPr>
                <w:delText> </w:delText>
              </w:r>
              <w:r w:rsidRPr="001B4A02">
                <w:rPr>
                  <w:b w:val="0"/>
                  <w:bCs/>
                  <w:color w:val="auto"/>
                  <w:lang w:val="cs-CZ"/>
                </w:rPr>
                <w:delText>mg</w:delText>
              </w:r>
            </w:del>
          </w:p>
        </w:tc>
      </w:tr>
      <w:tr w:rsidR="00534A2D" w14:paraId="79AC6D84" w14:textId="77777777" w:rsidTr="00151CAD">
        <w:trPr>
          <w:cantSplit/>
          <w:del w:id="2863" w:author="AbbVie1" w:date="2025-05-13T09:50:00Z"/>
        </w:trPr>
        <w:tc>
          <w:tcPr>
            <w:tcW w:w="2418" w:type="dxa"/>
            <w:tcBorders>
              <w:top w:val="single" w:sz="4" w:space="0" w:color="auto"/>
              <w:left w:val="single" w:sz="4" w:space="0" w:color="auto"/>
              <w:bottom w:val="single" w:sz="4" w:space="0" w:color="auto"/>
              <w:right w:val="single" w:sz="4" w:space="0" w:color="auto"/>
            </w:tcBorders>
          </w:tcPr>
          <w:p w14:paraId="7CD13236" w14:textId="77777777" w:rsidR="00151CAD" w:rsidRPr="001B4A02" w:rsidRDefault="00000000" w:rsidP="00151CAD">
            <w:pPr>
              <w:pStyle w:val="BodyTextIndent"/>
              <w:keepNext/>
              <w:ind w:left="0" w:right="51" w:firstLine="0"/>
              <w:rPr>
                <w:del w:id="2864" w:author="AbbVie1" w:date="2025-05-13T09:50:00Z"/>
                <w:b w:val="0"/>
                <w:bCs/>
                <w:color w:val="auto"/>
                <w:lang w:val="cs-CZ"/>
              </w:rPr>
            </w:pPr>
            <w:del w:id="2865" w:author="AbbVie1" w:date="2025-05-13T09:50:00Z">
              <w:r w:rsidRPr="001B4A02">
                <w:rPr>
                  <w:b w:val="0"/>
                  <w:bCs/>
                  <w:color w:val="auto"/>
                  <w:lang w:val="cs-CZ"/>
                </w:rPr>
                <w:delText>8 až 12 let</w:delText>
              </w:r>
            </w:del>
          </w:p>
        </w:tc>
        <w:tc>
          <w:tcPr>
            <w:tcW w:w="3520" w:type="dxa"/>
            <w:tcBorders>
              <w:top w:val="single" w:sz="4" w:space="0" w:color="auto"/>
              <w:left w:val="single" w:sz="4" w:space="0" w:color="auto"/>
              <w:bottom w:val="single" w:sz="4" w:space="0" w:color="auto"/>
              <w:right w:val="single" w:sz="4" w:space="0" w:color="auto"/>
            </w:tcBorders>
          </w:tcPr>
          <w:p w14:paraId="008037B5" w14:textId="77777777" w:rsidR="00151CAD" w:rsidRPr="001B4A02" w:rsidRDefault="00000000" w:rsidP="00151CAD">
            <w:pPr>
              <w:pStyle w:val="BodyTextIndent"/>
              <w:keepNext/>
              <w:ind w:left="0" w:right="51" w:firstLine="0"/>
              <w:jc w:val="center"/>
              <w:rPr>
                <w:del w:id="2866" w:author="AbbVie1" w:date="2025-05-13T09:50:00Z"/>
                <w:b w:val="0"/>
                <w:bCs/>
                <w:color w:val="auto"/>
                <w:lang w:val="cs-CZ"/>
              </w:rPr>
            </w:pPr>
            <w:del w:id="2867" w:author="AbbVie1" w:date="2025-05-13T09:50:00Z">
              <w:r w:rsidRPr="001B4A02">
                <w:rPr>
                  <w:b w:val="0"/>
                  <w:bCs/>
                  <w:color w:val="auto"/>
                  <w:lang w:val="cs-CZ"/>
                </w:rPr>
                <w:delText>71 (41,5)</w:delText>
              </w:r>
            </w:del>
          </w:p>
        </w:tc>
        <w:tc>
          <w:tcPr>
            <w:tcW w:w="3239" w:type="dxa"/>
            <w:tcBorders>
              <w:top w:val="single" w:sz="4" w:space="0" w:color="auto"/>
              <w:left w:val="single" w:sz="4" w:space="0" w:color="auto"/>
              <w:bottom w:val="single" w:sz="4" w:space="0" w:color="auto"/>
              <w:right w:val="single" w:sz="4" w:space="0" w:color="auto"/>
            </w:tcBorders>
          </w:tcPr>
          <w:p w14:paraId="51E5D86B" w14:textId="77777777" w:rsidR="00151CAD" w:rsidRPr="001B4A02" w:rsidRDefault="00000000" w:rsidP="00151CAD">
            <w:pPr>
              <w:pStyle w:val="BodyTextIndent"/>
              <w:keepNext/>
              <w:ind w:left="0" w:right="51" w:firstLine="0"/>
              <w:jc w:val="center"/>
              <w:rPr>
                <w:del w:id="2868" w:author="AbbVie1" w:date="2025-05-13T09:50:00Z"/>
                <w:b w:val="0"/>
                <w:bCs/>
                <w:color w:val="auto"/>
                <w:lang w:val="cs-CZ"/>
              </w:rPr>
            </w:pPr>
            <w:del w:id="2869" w:author="AbbVie1" w:date="2025-05-13T09:50:00Z">
              <w:r w:rsidRPr="001B4A02">
                <w:rPr>
                  <w:b w:val="0"/>
                  <w:bCs/>
                  <w:color w:val="auto"/>
                  <w:lang w:val="cs-CZ"/>
                </w:rPr>
                <w:delText>20, 25</w:delText>
              </w:r>
              <w:r w:rsidR="002378E0">
                <w:rPr>
                  <w:b w:val="0"/>
                  <w:bCs/>
                  <w:color w:val="auto"/>
                  <w:lang w:val="cs-CZ"/>
                </w:rPr>
                <w:delText xml:space="preserve"> a </w:delText>
              </w:r>
              <w:r w:rsidRPr="001B4A02">
                <w:rPr>
                  <w:b w:val="0"/>
                  <w:bCs/>
                  <w:color w:val="auto"/>
                  <w:lang w:val="cs-CZ"/>
                </w:rPr>
                <w:delText>40</w:delText>
              </w:r>
              <w:r w:rsidR="00294902" w:rsidRPr="00005EC2">
                <w:rPr>
                  <w:szCs w:val="22"/>
                </w:rPr>
                <w:delText> </w:delText>
              </w:r>
              <w:r w:rsidRPr="001B4A02">
                <w:rPr>
                  <w:b w:val="0"/>
                  <w:bCs/>
                  <w:color w:val="auto"/>
                  <w:lang w:val="cs-CZ"/>
                </w:rPr>
                <w:delText>mg</w:delText>
              </w:r>
            </w:del>
          </w:p>
        </w:tc>
      </w:tr>
      <w:tr w:rsidR="00534A2D" w14:paraId="652583DB" w14:textId="77777777" w:rsidTr="00151CAD">
        <w:trPr>
          <w:cantSplit/>
          <w:del w:id="2870" w:author="AbbVie1" w:date="2025-05-13T09:50:00Z"/>
        </w:trPr>
        <w:tc>
          <w:tcPr>
            <w:tcW w:w="2418" w:type="dxa"/>
            <w:tcBorders>
              <w:top w:val="single" w:sz="4" w:space="0" w:color="auto"/>
              <w:left w:val="single" w:sz="4" w:space="0" w:color="auto"/>
              <w:bottom w:val="single" w:sz="4" w:space="0" w:color="auto"/>
              <w:right w:val="single" w:sz="4" w:space="0" w:color="auto"/>
            </w:tcBorders>
          </w:tcPr>
          <w:p w14:paraId="66F254CA" w14:textId="77777777" w:rsidR="00151CAD" w:rsidRPr="001B4A02" w:rsidRDefault="00000000" w:rsidP="00151CAD">
            <w:pPr>
              <w:pStyle w:val="BodyTextIndent"/>
              <w:ind w:left="0" w:right="51" w:firstLine="0"/>
              <w:rPr>
                <w:del w:id="2871" w:author="AbbVie1" w:date="2025-05-13T09:50:00Z"/>
                <w:b w:val="0"/>
                <w:bCs/>
                <w:color w:val="auto"/>
                <w:lang w:val="cs-CZ"/>
              </w:rPr>
            </w:pPr>
            <w:del w:id="2872" w:author="AbbVie1" w:date="2025-05-13T09:50:00Z">
              <w:r w:rsidRPr="001B4A02">
                <w:rPr>
                  <w:b w:val="0"/>
                  <w:bCs/>
                  <w:color w:val="auto"/>
                  <w:lang w:val="cs-CZ"/>
                </w:rPr>
                <w:delText>13 až 17 let</w:delText>
              </w:r>
            </w:del>
          </w:p>
        </w:tc>
        <w:tc>
          <w:tcPr>
            <w:tcW w:w="3520" w:type="dxa"/>
            <w:tcBorders>
              <w:top w:val="single" w:sz="4" w:space="0" w:color="auto"/>
              <w:left w:val="single" w:sz="4" w:space="0" w:color="auto"/>
              <w:bottom w:val="single" w:sz="4" w:space="0" w:color="auto"/>
              <w:right w:val="single" w:sz="4" w:space="0" w:color="auto"/>
            </w:tcBorders>
          </w:tcPr>
          <w:p w14:paraId="79ABC2B0" w14:textId="77777777" w:rsidR="00151CAD" w:rsidRPr="001B4A02" w:rsidRDefault="00000000" w:rsidP="00151CAD">
            <w:pPr>
              <w:pStyle w:val="BodyTextIndent"/>
              <w:keepNext/>
              <w:ind w:left="0" w:right="51" w:firstLine="0"/>
              <w:jc w:val="center"/>
              <w:rPr>
                <w:del w:id="2873" w:author="AbbVie1" w:date="2025-05-13T09:50:00Z"/>
                <w:b w:val="0"/>
                <w:bCs/>
                <w:color w:val="auto"/>
                <w:lang w:val="cs-CZ"/>
              </w:rPr>
            </w:pPr>
            <w:del w:id="2874" w:author="AbbVie1" w:date="2025-05-13T09:50:00Z">
              <w:r w:rsidRPr="001B4A02">
                <w:rPr>
                  <w:b w:val="0"/>
                  <w:bCs/>
                  <w:color w:val="auto"/>
                  <w:lang w:val="cs-CZ"/>
                </w:rPr>
                <w:delText>69 (40,4)</w:delText>
              </w:r>
            </w:del>
          </w:p>
        </w:tc>
        <w:tc>
          <w:tcPr>
            <w:tcW w:w="3239" w:type="dxa"/>
            <w:tcBorders>
              <w:top w:val="single" w:sz="4" w:space="0" w:color="auto"/>
              <w:left w:val="single" w:sz="4" w:space="0" w:color="auto"/>
              <w:bottom w:val="single" w:sz="4" w:space="0" w:color="auto"/>
              <w:right w:val="single" w:sz="4" w:space="0" w:color="auto"/>
            </w:tcBorders>
          </w:tcPr>
          <w:p w14:paraId="4D58DD10" w14:textId="77777777" w:rsidR="00151CAD" w:rsidRPr="001B4A02" w:rsidRDefault="00000000" w:rsidP="00151CAD">
            <w:pPr>
              <w:pStyle w:val="BodyTextIndent"/>
              <w:keepNext/>
              <w:ind w:left="0" w:right="51" w:firstLine="0"/>
              <w:jc w:val="center"/>
              <w:rPr>
                <w:del w:id="2875" w:author="AbbVie1" w:date="2025-05-13T09:50:00Z"/>
                <w:b w:val="0"/>
                <w:bCs/>
                <w:color w:val="auto"/>
                <w:lang w:val="cs-CZ"/>
              </w:rPr>
            </w:pPr>
            <w:del w:id="2876" w:author="AbbVie1" w:date="2025-05-13T09:50:00Z">
              <w:r w:rsidRPr="001B4A02">
                <w:rPr>
                  <w:b w:val="0"/>
                  <w:bCs/>
                  <w:color w:val="auto"/>
                  <w:lang w:val="cs-CZ"/>
                </w:rPr>
                <w:delText>25, 40</w:delText>
              </w:r>
              <w:r w:rsidR="002378E0">
                <w:rPr>
                  <w:b w:val="0"/>
                  <w:bCs/>
                  <w:color w:val="auto"/>
                  <w:lang w:val="cs-CZ"/>
                </w:rPr>
                <w:delText xml:space="preserve"> a </w:delText>
              </w:r>
              <w:r w:rsidRPr="001B4A02">
                <w:rPr>
                  <w:b w:val="0"/>
                  <w:bCs/>
                  <w:color w:val="auto"/>
                  <w:lang w:val="cs-CZ"/>
                </w:rPr>
                <w:delText>40</w:delText>
              </w:r>
              <w:r w:rsidR="00294902" w:rsidRPr="00005EC2">
                <w:rPr>
                  <w:szCs w:val="22"/>
                </w:rPr>
                <w:delText> </w:delText>
              </w:r>
              <w:r w:rsidRPr="001B4A02">
                <w:rPr>
                  <w:b w:val="0"/>
                  <w:bCs/>
                  <w:color w:val="auto"/>
                  <w:lang w:val="cs-CZ"/>
                </w:rPr>
                <w:delText>mg</w:delText>
              </w:r>
            </w:del>
          </w:p>
        </w:tc>
      </w:tr>
    </w:tbl>
    <w:p w14:paraId="6B40489D" w14:textId="77777777" w:rsidR="00151CAD" w:rsidRPr="001B4A02" w:rsidRDefault="00151CAD" w:rsidP="00151CAD">
      <w:pPr>
        <w:tabs>
          <w:tab w:val="left" w:pos="6840"/>
        </w:tabs>
        <w:autoSpaceDE w:val="0"/>
        <w:autoSpaceDN w:val="0"/>
        <w:adjustRightInd w:val="0"/>
        <w:ind w:right="53"/>
        <w:rPr>
          <w:del w:id="2877" w:author="AbbVie1" w:date="2025-05-13T09:50:00Z"/>
        </w:rPr>
      </w:pPr>
    </w:p>
    <w:p w14:paraId="1C2EA9FF" w14:textId="77777777" w:rsidR="00151CAD" w:rsidRPr="001B4A02" w:rsidRDefault="00000000" w:rsidP="00151CAD">
      <w:pPr>
        <w:tabs>
          <w:tab w:val="left" w:pos="6840"/>
        </w:tabs>
        <w:autoSpaceDE w:val="0"/>
        <w:autoSpaceDN w:val="0"/>
        <w:adjustRightInd w:val="0"/>
        <w:ind w:left="0" w:right="53" w:firstLine="0"/>
        <w:rPr>
          <w:del w:id="2878" w:author="AbbVie1" w:date="2025-05-13T09:50:00Z"/>
        </w:rPr>
      </w:pPr>
      <w:del w:id="2879" w:author="AbbVie1" w:date="2025-05-13T09:50:00Z">
        <w:r w:rsidRPr="001B4A02">
          <w:delText>Pacienti, kteří vykazovali v týdnu 16 odpověď v pediatrickém (Ped) ACR 30, byli vhodní k randomizaci do dvojitě zaslepené (DB) fáze, kdy dostávali buď přípravek Humira v dávce 24 mg/m</w:delText>
        </w:r>
        <w:r w:rsidRPr="001B4A02">
          <w:rPr>
            <w:vertAlign w:val="superscript"/>
          </w:rPr>
          <w:delText xml:space="preserve">2 </w:delText>
        </w:r>
        <w:r w:rsidRPr="001B4A02">
          <w:delText>až do maximální dávky 40</w:delText>
        </w:r>
        <w:r w:rsidR="00294902" w:rsidRPr="00005EC2">
          <w:rPr>
            <w:szCs w:val="22"/>
          </w:rPr>
          <w:delText> </w:delText>
        </w:r>
        <w:r w:rsidRPr="001B4A02">
          <w:delText>mg, nebo placebo každý druhý týden po dobu dalších 32 týdnů nebo do vzplanutí onemocnění. Kritéria vzplanutí onemocnění byla definována jako zhoršení o </w:delText>
        </w:r>
        <w:r w:rsidRPr="001B4A02">
          <w:rPr>
            <w:rFonts w:ascii="Symbol" w:hAnsi="Symbol"/>
          </w:rPr>
          <w:sym w:font="Symbol" w:char="F0B3"/>
        </w:r>
        <w:r w:rsidRPr="001B4A02">
          <w:delText> 30</w:delText>
        </w:r>
        <w:r>
          <w:delText> %</w:delText>
        </w:r>
        <w:r w:rsidRPr="001B4A02">
          <w:delText xml:space="preserve"> oproti výchozím hodnotám u </w:delText>
        </w:r>
        <w:r w:rsidRPr="001B4A02">
          <w:rPr>
            <w:rFonts w:ascii="Symbol" w:hAnsi="Symbol"/>
          </w:rPr>
          <w:sym w:font="Symbol" w:char="F0B3"/>
        </w:r>
        <w:r w:rsidRPr="001B4A02">
          <w:delText xml:space="preserve"> 3 ze 6 kritérií pediatrického ACR, </w:delText>
        </w:r>
        <w:r w:rsidRPr="001B4A02">
          <w:rPr>
            <w:rFonts w:ascii="Symbol" w:hAnsi="Symbol"/>
          </w:rPr>
          <w:sym w:font="Symbol" w:char="F0B3"/>
        </w:r>
        <w:r w:rsidRPr="001B4A02">
          <w:delText xml:space="preserve"> 2 aktivní klouby</w:delText>
        </w:r>
        <w:r w:rsidR="002378E0">
          <w:delText xml:space="preserve"> a </w:delText>
        </w:r>
        <w:r w:rsidRPr="001B4A02">
          <w:delText>zlepšení o &gt; 30</w:delText>
        </w:r>
        <w:r>
          <w:delText> %</w:delText>
        </w:r>
        <w:r w:rsidRPr="001B4A02">
          <w:delText xml:space="preserve"> u ne více, než 1 z 6 kritérií. Po 32 týdnech nebo při vzplanutí onemocnění byli pacienti vhodní k zařazení do otevřené prodloužené fáze.</w:delText>
        </w:r>
      </w:del>
    </w:p>
    <w:p w14:paraId="453C51F6" w14:textId="77777777" w:rsidR="00151CAD" w:rsidRPr="001B4A02" w:rsidRDefault="00151CAD" w:rsidP="00151CAD">
      <w:pPr>
        <w:pStyle w:val="BodyTextIndent"/>
        <w:ind w:left="110" w:right="53" w:firstLine="0"/>
        <w:jc w:val="center"/>
        <w:rPr>
          <w:del w:id="2880" w:author="AbbVie1" w:date="2025-05-13T09:50:00Z"/>
          <w:color w:val="auto"/>
          <w:lang w:val="cs-CZ"/>
        </w:rPr>
      </w:pPr>
    </w:p>
    <w:p w14:paraId="3621184B" w14:textId="77777777" w:rsidR="00151CAD" w:rsidRPr="001B4A02" w:rsidRDefault="00000000" w:rsidP="00F9384F">
      <w:pPr>
        <w:pStyle w:val="BodyTextIndent"/>
        <w:keepNext/>
        <w:ind w:left="110" w:right="53" w:firstLine="0"/>
        <w:jc w:val="center"/>
        <w:rPr>
          <w:del w:id="2881" w:author="AbbVie1" w:date="2025-05-13T09:50:00Z"/>
          <w:color w:val="auto"/>
          <w:lang w:val="cs-CZ"/>
        </w:rPr>
      </w:pPr>
      <w:del w:id="2882" w:author="AbbVie1" w:date="2025-05-13T09:50:00Z">
        <w:r w:rsidRPr="001B4A02">
          <w:rPr>
            <w:color w:val="auto"/>
            <w:lang w:val="cs-CZ"/>
          </w:rPr>
          <w:delText xml:space="preserve">Tabulka </w:delText>
        </w:r>
        <w:r>
          <w:rPr>
            <w:color w:val="auto"/>
            <w:lang w:val="cs-CZ"/>
          </w:rPr>
          <w:delText>21</w:delText>
        </w:r>
      </w:del>
    </w:p>
    <w:p w14:paraId="2EADCB7D" w14:textId="77777777" w:rsidR="00151CAD" w:rsidRPr="001B4A02" w:rsidRDefault="00000000" w:rsidP="00F9384F">
      <w:pPr>
        <w:pStyle w:val="BodyTextIndent"/>
        <w:keepNext/>
        <w:ind w:left="110" w:right="53" w:firstLine="0"/>
        <w:jc w:val="center"/>
        <w:rPr>
          <w:del w:id="2883" w:author="AbbVie1" w:date="2025-05-13T09:50:00Z"/>
          <w:color w:val="auto"/>
          <w:lang w:val="cs-CZ"/>
        </w:rPr>
      </w:pPr>
      <w:del w:id="2884" w:author="AbbVie1" w:date="2025-05-13T09:50:00Z">
        <w:r w:rsidRPr="001B4A02">
          <w:rPr>
            <w:color w:val="auto"/>
            <w:lang w:val="cs-CZ"/>
          </w:rPr>
          <w:delText>Odpovědi v Ped ACR 30 ve studii s JIA</w:delText>
        </w:r>
      </w:del>
    </w:p>
    <w:p w14:paraId="5C6456DF" w14:textId="77777777" w:rsidR="00151CAD" w:rsidRPr="001B4A02" w:rsidRDefault="00151CAD" w:rsidP="00F9384F">
      <w:pPr>
        <w:pStyle w:val="BodyTextIndent"/>
        <w:keepNext/>
        <w:ind w:left="110" w:right="53" w:firstLine="0"/>
        <w:jc w:val="center"/>
        <w:rPr>
          <w:del w:id="2885" w:author="AbbVie1" w:date="2025-05-13T09:50:00Z"/>
          <w:b w:val="0"/>
          <w:bCs/>
          <w:color w:val="auto"/>
          <w:lang w:val="cs-CZ"/>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1"/>
        <w:gridCol w:w="1645"/>
        <w:gridCol w:w="1657"/>
        <w:gridCol w:w="1654"/>
        <w:gridCol w:w="1624"/>
      </w:tblGrid>
      <w:tr w:rsidR="00534A2D" w14:paraId="7C2048DC" w14:textId="77777777" w:rsidTr="00151CAD">
        <w:trPr>
          <w:cantSplit/>
          <w:del w:id="2886" w:author="AbbVie1" w:date="2025-05-13T09:50:00Z"/>
        </w:trPr>
        <w:tc>
          <w:tcPr>
            <w:tcW w:w="2418" w:type="dxa"/>
            <w:tcBorders>
              <w:top w:val="single" w:sz="4" w:space="0" w:color="auto"/>
              <w:left w:val="single" w:sz="4" w:space="0" w:color="auto"/>
              <w:bottom w:val="single" w:sz="4" w:space="0" w:color="auto"/>
              <w:right w:val="single" w:sz="4" w:space="0" w:color="auto"/>
            </w:tcBorders>
          </w:tcPr>
          <w:p w14:paraId="10658866" w14:textId="77777777" w:rsidR="00151CAD" w:rsidRPr="001B4A02" w:rsidRDefault="00000000" w:rsidP="00F9384F">
            <w:pPr>
              <w:pStyle w:val="BodyTextIndent"/>
              <w:keepNext/>
              <w:ind w:left="0" w:right="53" w:firstLine="0"/>
              <w:rPr>
                <w:del w:id="2887" w:author="AbbVie1" w:date="2025-05-13T09:50:00Z"/>
                <w:bCs/>
                <w:color w:val="auto"/>
                <w:lang w:val="cs-CZ"/>
              </w:rPr>
            </w:pPr>
            <w:del w:id="2888" w:author="AbbVie1" w:date="2025-05-13T09:50:00Z">
              <w:r w:rsidRPr="001B4A02">
                <w:rPr>
                  <w:bCs/>
                  <w:color w:val="auto"/>
                  <w:lang w:val="cs-CZ"/>
                </w:rPr>
                <w:delText>Rozvrstvení</w:delText>
              </w:r>
            </w:del>
          </w:p>
        </w:tc>
        <w:tc>
          <w:tcPr>
            <w:tcW w:w="3392" w:type="dxa"/>
            <w:gridSpan w:val="2"/>
            <w:tcBorders>
              <w:top w:val="single" w:sz="4" w:space="0" w:color="auto"/>
              <w:left w:val="single" w:sz="4" w:space="0" w:color="auto"/>
              <w:bottom w:val="single" w:sz="4" w:space="0" w:color="auto"/>
              <w:right w:val="single" w:sz="4" w:space="0" w:color="auto"/>
            </w:tcBorders>
          </w:tcPr>
          <w:p w14:paraId="222E6D4D" w14:textId="77777777" w:rsidR="00151CAD" w:rsidRPr="001B4A02" w:rsidRDefault="00000000" w:rsidP="00F9384F">
            <w:pPr>
              <w:pStyle w:val="BodyTextIndent"/>
              <w:keepNext/>
              <w:ind w:left="0" w:right="53" w:firstLine="0"/>
              <w:jc w:val="center"/>
              <w:rPr>
                <w:del w:id="2889" w:author="AbbVie1" w:date="2025-05-13T09:50:00Z"/>
                <w:bCs/>
                <w:color w:val="auto"/>
                <w:lang w:val="cs-CZ"/>
              </w:rPr>
            </w:pPr>
            <w:del w:id="2890" w:author="AbbVie1" w:date="2025-05-13T09:50:00Z">
              <w:r w:rsidRPr="001B4A02">
                <w:rPr>
                  <w:bCs/>
                  <w:color w:val="auto"/>
                  <w:lang w:val="cs-CZ"/>
                </w:rPr>
                <w:delText>MTX</w:delText>
              </w:r>
            </w:del>
          </w:p>
        </w:tc>
        <w:tc>
          <w:tcPr>
            <w:tcW w:w="3367" w:type="dxa"/>
            <w:gridSpan w:val="2"/>
            <w:tcBorders>
              <w:top w:val="single" w:sz="4" w:space="0" w:color="auto"/>
              <w:left w:val="single" w:sz="4" w:space="0" w:color="auto"/>
              <w:bottom w:val="single" w:sz="4" w:space="0" w:color="auto"/>
              <w:right w:val="single" w:sz="4" w:space="0" w:color="auto"/>
            </w:tcBorders>
          </w:tcPr>
          <w:p w14:paraId="6A23D7F2" w14:textId="77777777" w:rsidR="00151CAD" w:rsidRPr="001B4A02" w:rsidRDefault="00000000" w:rsidP="00F9384F">
            <w:pPr>
              <w:pStyle w:val="BodyTextIndent"/>
              <w:keepNext/>
              <w:ind w:left="0" w:right="53" w:firstLine="0"/>
              <w:jc w:val="center"/>
              <w:rPr>
                <w:del w:id="2891" w:author="AbbVie1" w:date="2025-05-13T09:50:00Z"/>
                <w:bCs/>
                <w:color w:val="auto"/>
                <w:lang w:val="cs-CZ"/>
              </w:rPr>
            </w:pPr>
            <w:del w:id="2892" w:author="AbbVie1" w:date="2025-05-13T09:50:00Z">
              <w:r w:rsidRPr="001B4A02">
                <w:rPr>
                  <w:bCs/>
                  <w:color w:val="auto"/>
                  <w:lang w:val="cs-CZ"/>
                </w:rPr>
                <w:delText>Bez MTX</w:delText>
              </w:r>
            </w:del>
          </w:p>
        </w:tc>
      </w:tr>
      <w:tr w:rsidR="00534A2D" w14:paraId="7D76755B" w14:textId="77777777" w:rsidTr="00151CAD">
        <w:trPr>
          <w:cantSplit/>
          <w:del w:id="2893" w:author="AbbVie1" w:date="2025-05-13T09:50:00Z"/>
        </w:trPr>
        <w:tc>
          <w:tcPr>
            <w:tcW w:w="2418" w:type="dxa"/>
            <w:tcBorders>
              <w:top w:val="single" w:sz="4" w:space="0" w:color="auto"/>
              <w:left w:val="single" w:sz="4" w:space="0" w:color="auto"/>
              <w:bottom w:val="single" w:sz="4" w:space="0" w:color="auto"/>
              <w:right w:val="single" w:sz="4" w:space="0" w:color="auto"/>
            </w:tcBorders>
          </w:tcPr>
          <w:p w14:paraId="7D9819FA" w14:textId="77777777" w:rsidR="00151CAD" w:rsidRPr="001B4A02" w:rsidRDefault="00000000" w:rsidP="00F9384F">
            <w:pPr>
              <w:pStyle w:val="BodyTextIndent"/>
              <w:keepNext/>
              <w:ind w:left="0" w:right="53" w:firstLine="0"/>
              <w:rPr>
                <w:del w:id="2894" w:author="AbbVie1" w:date="2025-05-13T09:50:00Z"/>
                <w:bCs/>
                <w:color w:val="auto"/>
                <w:lang w:val="cs-CZ"/>
              </w:rPr>
            </w:pPr>
            <w:del w:id="2895" w:author="AbbVie1" w:date="2025-05-13T09:50:00Z">
              <w:r w:rsidRPr="001B4A02">
                <w:rPr>
                  <w:bCs/>
                  <w:color w:val="auto"/>
                  <w:lang w:val="cs-CZ"/>
                </w:rPr>
                <w:delText>Fáze</w:delText>
              </w:r>
            </w:del>
          </w:p>
        </w:tc>
        <w:tc>
          <w:tcPr>
            <w:tcW w:w="3392" w:type="dxa"/>
            <w:gridSpan w:val="2"/>
            <w:tcBorders>
              <w:top w:val="single" w:sz="4" w:space="0" w:color="auto"/>
              <w:left w:val="single" w:sz="4" w:space="0" w:color="auto"/>
              <w:bottom w:val="single" w:sz="4" w:space="0" w:color="auto"/>
              <w:right w:val="single" w:sz="4" w:space="0" w:color="auto"/>
            </w:tcBorders>
          </w:tcPr>
          <w:p w14:paraId="4F2987FA" w14:textId="77777777" w:rsidR="00151CAD" w:rsidRPr="001B4A02" w:rsidRDefault="00151CAD" w:rsidP="00F9384F">
            <w:pPr>
              <w:pStyle w:val="BodyTextIndent"/>
              <w:keepNext/>
              <w:ind w:left="0" w:right="53" w:firstLine="0"/>
              <w:jc w:val="center"/>
              <w:rPr>
                <w:del w:id="2896" w:author="AbbVie1" w:date="2025-05-13T09:50:00Z"/>
                <w:b w:val="0"/>
                <w:bCs/>
                <w:color w:val="auto"/>
                <w:lang w:val="cs-CZ"/>
              </w:rPr>
            </w:pPr>
          </w:p>
        </w:tc>
        <w:tc>
          <w:tcPr>
            <w:tcW w:w="3367" w:type="dxa"/>
            <w:gridSpan w:val="2"/>
            <w:tcBorders>
              <w:top w:val="single" w:sz="4" w:space="0" w:color="auto"/>
              <w:left w:val="single" w:sz="4" w:space="0" w:color="auto"/>
              <w:bottom w:val="single" w:sz="4" w:space="0" w:color="auto"/>
              <w:right w:val="single" w:sz="4" w:space="0" w:color="auto"/>
            </w:tcBorders>
          </w:tcPr>
          <w:p w14:paraId="07525AEA" w14:textId="77777777" w:rsidR="00151CAD" w:rsidRPr="001B4A02" w:rsidRDefault="00151CAD" w:rsidP="00F9384F">
            <w:pPr>
              <w:pStyle w:val="BodyTextIndent"/>
              <w:keepNext/>
              <w:ind w:left="0" w:right="53" w:firstLine="0"/>
              <w:jc w:val="center"/>
              <w:rPr>
                <w:del w:id="2897" w:author="AbbVie1" w:date="2025-05-13T09:50:00Z"/>
                <w:b w:val="0"/>
                <w:bCs/>
                <w:color w:val="auto"/>
                <w:lang w:val="cs-CZ"/>
              </w:rPr>
            </w:pPr>
          </w:p>
        </w:tc>
      </w:tr>
      <w:tr w:rsidR="00534A2D" w14:paraId="7010B949" w14:textId="77777777" w:rsidTr="00151CAD">
        <w:trPr>
          <w:cantSplit/>
          <w:del w:id="2898" w:author="AbbVie1" w:date="2025-05-13T09:50:00Z"/>
        </w:trPr>
        <w:tc>
          <w:tcPr>
            <w:tcW w:w="2418" w:type="dxa"/>
            <w:tcBorders>
              <w:top w:val="single" w:sz="4" w:space="0" w:color="auto"/>
              <w:left w:val="single" w:sz="4" w:space="0" w:color="auto"/>
              <w:bottom w:val="single" w:sz="4" w:space="0" w:color="auto"/>
              <w:right w:val="single" w:sz="4" w:space="0" w:color="auto"/>
            </w:tcBorders>
          </w:tcPr>
          <w:p w14:paraId="448126A9" w14:textId="77777777" w:rsidR="00151CAD" w:rsidRPr="001B4A02" w:rsidRDefault="00000000" w:rsidP="00F9384F">
            <w:pPr>
              <w:pStyle w:val="BodyTextIndent"/>
              <w:keepNext/>
              <w:ind w:left="0" w:right="53" w:firstLine="0"/>
              <w:rPr>
                <w:del w:id="2899" w:author="AbbVie1" w:date="2025-05-13T09:50:00Z"/>
                <w:b w:val="0"/>
                <w:bCs/>
                <w:color w:val="auto"/>
                <w:lang w:val="cs-CZ"/>
              </w:rPr>
            </w:pPr>
            <w:del w:id="2900" w:author="AbbVie1" w:date="2025-05-13T09:50:00Z">
              <w:r w:rsidRPr="001B4A02">
                <w:rPr>
                  <w:b w:val="0"/>
                  <w:bCs/>
                  <w:color w:val="auto"/>
                  <w:lang w:val="cs-CZ"/>
                </w:rPr>
                <w:delText>OL-LI, 16 týdnů</w:delText>
              </w:r>
            </w:del>
          </w:p>
        </w:tc>
        <w:tc>
          <w:tcPr>
            <w:tcW w:w="3392" w:type="dxa"/>
            <w:gridSpan w:val="2"/>
            <w:tcBorders>
              <w:top w:val="single" w:sz="4" w:space="0" w:color="auto"/>
              <w:left w:val="single" w:sz="4" w:space="0" w:color="auto"/>
              <w:bottom w:val="single" w:sz="4" w:space="0" w:color="auto"/>
              <w:right w:val="single" w:sz="4" w:space="0" w:color="auto"/>
            </w:tcBorders>
          </w:tcPr>
          <w:p w14:paraId="29B4EBF3" w14:textId="77777777" w:rsidR="00151CAD" w:rsidRPr="001B4A02" w:rsidRDefault="00151CAD" w:rsidP="00F9384F">
            <w:pPr>
              <w:pStyle w:val="BodyTextIndent"/>
              <w:keepNext/>
              <w:ind w:left="0" w:right="53" w:firstLine="0"/>
              <w:jc w:val="center"/>
              <w:rPr>
                <w:del w:id="2901" w:author="AbbVie1" w:date="2025-05-13T09:50:00Z"/>
                <w:b w:val="0"/>
                <w:bCs/>
                <w:color w:val="auto"/>
                <w:lang w:val="cs-CZ"/>
              </w:rPr>
            </w:pPr>
          </w:p>
        </w:tc>
        <w:tc>
          <w:tcPr>
            <w:tcW w:w="3367" w:type="dxa"/>
            <w:gridSpan w:val="2"/>
            <w:tcBorders>
              <w:top w:val="single" w:sz="4" w:space="0" w:color="auto"/>
              <w:left w:val="single" w:sz="4" w:space="0" w:color="auto"/>
              <w:bottom w:val="single" w:sz="4" w:space="0" w:color="auto"/>
              <w:right w:val="single" w:sz="4" w:space="0" w:color="auto"/>
            </w:tcBorders>
          </w:tcPr>
          <w:p w14:paraId="1CCC98DB" w14:textId="77777777" w:rsidR="00151CAD" w:rsidRPr="001B4A02" w:rsidRDefault="00151CAD" w:rsidP="00F9384F">
            <w:pPr>
              <w:pStyle w:val="BodyTextIndent"/>
              <w:keepNext/>
              <w:ind w:left="0" w:right="53" w:firstLine="0"/>
              <w:jc w:val="center"/>
              <w:rPr>
                <w:del w:id="2902" w:author="AbbVie1" w:date="2025-05-13T09:50:00Z"/>
                <w:b w:val="0"/>
                <w:bCs/>
                <w:color w:val="auto"/>
                <w:lang w:val="cs-CZ"/>
              </w:rPr>
            </w:pPr>
          </w:p>
        </w:tc>
      </w:tr>
      <w:tr w:rsidR="00534A2D" w14:paraId="0C433199" w14:textId="77777777" w:rsidTr="00151CAD">
        <w:trPr>
          <w:cantSplit/>
          <w:del w:id="2903" w:author="AbbVie1" w:date="2025-05-13T09:50:00Z"/>
        </w:trPr>
        <w:tc>
          <w:tcPr>
            <w:tcW w:w="2418" w:type="dxa"/>
            <w:tcBorders>
              <w:top w:val="single" w:sz="4" w:space="0" w:color="auto"/>
              <w:left w:val="single" w:sz="4" w:space="0" w:color="auto"/>
              <w:bottom w:val="single" w:sz="4" w:space="0" w:color="auto"/>
              <w:right w:val="single" w:sz="4" w:space="0" w:color="auto"/>
            </w:tcBorders>
          </w:tcPr>
          <w:p w14:paraId="4CA11A68" w14:textId="77777777" w:rsidR="00151CAD" w:rsidRPr="001B4A02" w:rsidRDefault="00000000" w:rsidP="00151CAD">
            <w:pPr>
              <w:pStyle w:val="BodyTextIndent"/>
              <w:ind w:left="316" w:right="53" w:firstLine="0"/>
              <w:rPr>
                <w:del w:id="2904" w:author="AbbVie1" w:date="2025-05-13T09:50:00Z"/>
                <w:b w:val="0"/>
                <w:bCs/>
                <w:color w:val="auto"/>
                <w:lang w:val="cs-CZ"/>
              </w:rPr>
            </w:pPr>
            <w:del w:id="2905" w:author="AbbVie1" w:date="2025-05-13T09:50:00Z">
              <w:r w:rsidRPr="001B4A02">
                <w:rPr>
                  <w:b w:val="0"/>
                  <w:bCs/>
                  <w:color w:val="auto"/>
                  <w:lang w:val="cs-CZ"/>
                </w:rPr>
                <w:delText>Odpověď v Ped ACR 30 (n/N)</w:delText>
              </w:r>
            </w:del>
          </w:p>
        </w:tc>
        <w:tc>
          <w:tcPr>
            <w:tcW w:w="3392" w:type="dxa"/>
            <w:gridSpan w:val="2"/>
            <w:tcBorders>
              <w:top w:val="single" w:sz="4" w:space="0" w:color="auto"/>
              <w:left w:val="single" w:sz="4" w:space="0" w:color="auto"/>
              <w:bottom w:val="single" w:sz="4" w:space="0" w:color="auto"/>
              <w:right w:val="single" w:sz="4" w:space="0" w:color="auto"/>
            </w:tcBorders>
          </w:tcPr>
          <w:p w14:paraId="5B7EEF68" w14:textId="77777777" w:rsidR="00151CAD" w:rsidRPr="001B4A02" w:rsidRDefault="00000000" w:rsidP="00151CAD">
            <w:pPr>
              <w:pStyle w:val="BodyTextIndent"/>
              <w:ind w:left="0" w:right="53" w:firstLine="0"/>
              <w:jc w:val="center"/>
              <w:rPr>
                <w:del w:id="2906" w:author="AbbVie1" w:date="2025-05-13T09:50:00Z"/>
                <w:b w:val="0"/>
                <w:bCs/>
                <w:color w:val="auto"/>
                <w:lang w:val="cs-CZ"/>
              </w:rPr>
            </w:pPr>
            <w:del w:id="2907" w:author="AbbVie1" w:date="2025-05-13T09:50:00Z">
              <w:r w:rsidRPr="001B4A02">
                <w:rPr>
                  <w:b w:val="0"/>
                  <w:bCs/>
                  <w:color w:val="auto"/>
                  <w:lang w:val="cs-CZ"/>
                </w:rPr>
                <w:delText>94,1</w:delText>
              </w:r>
              <w:r>
                <w:rPr>
                  <w:b w:val="0"/>
                  <w:bCs/>
                  <w:color w:val="auto"/>
                  <w:lang w:val="cs-CZ"/>
                </w:rPr>
                <w:delText> %</w:delText>
              </w:r>
              <w:r w:rsidRPr="001B4A02">
                <w:rPr>
                  <w:b w:val="0"/>
                  <w:bCs/>
                  <w:color w:val="auto"/>
                  <w:lang w:val="cs-CZ"/>
                </w:rPr>
                <w:delText xml:space="preserve"> (80/85)</w:delText>
              </w:r>
            </w:del>
          </w:p>
        </w:tc>
        <w:tc>
          <w:tcPr>
            <w:tcW w:w="3367" w:type="dxa"/>
            <w:gridSpan w:val="2"/>
            <w:tcBorders>
              <w:top w:val="single" w:sz="4" w:space="0" w:color="auto"/>
              <w:left w:val="single" w:sz="4" w:space="0" w:color="auto"/>
              <w:bottom w:val="single" w:sz="4" w:space="0" w:color="auto"/>
              <w:right w:val="single" w:sz="4" w:space="0" w:color="auto"/>
            </w:tcBorders>
          </w:tcPr>
          <w:p w14:paraId="2FB34AA4" w14:textId="77777777" w:rsidR="00151CAD" w:rsidRPr="001B4A02" w:rsidRDefault="00000000" w:rsidP="00151CAD">
            <w:pPr>
              <w:pStyle w:val="BodyTextIndent"/>
              <w:ind w:left="0" w:right="53" w:firstLine="0"/>
              <w:jc w:val="center"/>
              <w:rPr>
                <w:del w:id="2908" w:author="AbbVie1" w:date="2025-05-13T09:50:00Z"/>
                <w:b w:val="0"/>
                <w:bCs/>
                <w:color w:val="auto"/>
                <w:lang w:val="cs-CZ"/>
              </w:rPr>
            </w:pPr>
            <w:del w:id="2909" w:author="AbbVie1" w:date="2025-05-13T09:50:00Z">
              <w:r w:rsidRPr="001B4A02">
                <w:rPr>
                  <w:b w:val="0"/>
                  <w:bCs/>
                  <w:color w:val="auto"/>
                  <w:lang w:val="cs-CZ"/>
                </w:rPr>
                <w:delText>74,4 % (64/86)</w:delText>
              </w:r>
            </w:del>
          </w:p>
        </w:tc>
      </w:tr>
      <w:tr w:rsidR="00534A2D" w14:paraId="0EAC4668" w14:textId="77777777" w:rsidTr="00151CAD">
        <w:trPr>
          <w:cantSplit/>
          <w:del w:id="2910" w:author="AbbVie1" w:date="2025-05-13T09:50:00Z"/>
        </w:trPr>
        <w:tc>
          <w:tcPr>
            <w:tcW w:w="9177" w:type="dxa"/>
            <w:gridSpan w:val="5"/>
            <w:tcBorders>
              <w:top w:val="single" w:sz="4" w:space="0" w:color="auto"/>
              <w:left w:val="single" w:sz="4" w:space="0" w:color="auto"/>
              <w:bottom w:val="single" w:sz="4" w:space="0" w:color="auto"/>
              <w:right w:val="single" w:sz="4" w:space="0" w:color="auto"/>
            </w:tcBorders>
          </w:tcPr>
          <w:p w14:paraId="08D28105" w14:textId="77777777" w:rsidR="00151CAD" w:rsidRPr="001B4A02" w:rsidRDefault="00000000" w:rsidP="00151CAD">
            <w:pPr>
              <w:pStyle w:val="BodyTextIndent"/>
              <w:ind w:left="0" w:right="53" w:firstLine="0"/>
              <w:rPr>
                <w:del w:id="2911" w:author="AbbVie1" w:date="2025-05-13T09:50:00Z"/>
                <w:b w:val="0"/>
                <w:bCs/>
                <w:color w:val="auto"/>
                <w:lang w:val="cs-CZ"/>
              </w:rPr>
            </w:pPr>
            <w:del w:id="2912" w:author="AbbVie1" w:date="2025-05-13T09:50:00Z">
              <w:r w:rsidRPr="001B4A02">
                <w:rPr>
                  <w:b w:val="0"/>
                  <w:bCs/>
                  <w:color w:val="auto"/>
                  <w:lang w:val="cs-CZ"/>
                </w:rPr>
                <w:delText xml:space="preserve">                                                          Výsledky účinnosti</w:delText>
              </w:r>
            </w:del>
          </w:p>
        </w:tc>
      </w:tr>
      <w:tr w:rsidR="00534A2D" w14:paraId="1E77F548" w14:textId="77777777" w:rsidTr="00151CAD">
        <w:trPr>
          <w:del w:id="2913" w:author="AbbVie1" w:date="2025-05-13T09:50:00Z"/>
        </w:trPr>
        <w:tc>
          <w:tcPr>
            <w:tcW w:w="2418" w:type="dxa"/>
            <w:tcBorders>
              <w:top w:val="single" w:sz="4" w:space="0" w:color="auto"/>
              <w:left w:val="single" w:sz="4" w:space="0" w:color="auto"/>
              <w:bottom w:val="single" w:sz="4" w:space="0" w:color="auto"/>
              <w:right w:val="single" w:sz="4" w:space="0" w:color="auto"/>
            </w:tcBorders>
          </w:tcPr>
          <w:p w14:paraId="0215AFFE" w14:textId="77777777" w:rsidR="00151CAD" w:rsidRPr="001B4A02" w:rsidRDefault="00000000" w:rsidP="00151CAD">
            <w:pPr>
              <w:pStyle w:val="BodyTextIndent"/>
              <w:ind w:left="0" w:right="53" w:firstLine="0"/>
              <w:rPr>
                <w:del w:id="2914" w:author="AbbVie1" w:date="2025-05-13T09:50:00Z"/>
                <w:b w:val="0"/>
                <w:bCs/>
                <w:color w:val="auto"/>
                <w:lang w:val="cs-CZ"/>
              </w:rPr>
            </w:pPr>
            <w:del w:id="2915" w:author="AbbVie1" w:date="2025-05-13T09:50:00Z">
              <w:r w:rsidRPr="001B4A02">
                <w:rPr>
                  <w:b w:val="0"/>
                  <w:bCs/>
                  <w:color w:val="auto"/>
                  <w:lang w:val="cs-CZ"/>
                </w:rPr>
                <w:delText>Dvojitě zaslepených 32 týdnů</w:delText>
              </w:r>
            </w:del>
          </w:p>
        </w:tc>
        <w:tc>
          <w:tcPr>
            <w:tcW w:w="1691" w:type="dxa"/>
            <w:tcBorders>
              <w:top w:val="single" w:sz="4" w:space="0" w:color="auto"/>
              <w:left w:val="single" w:sz="4" w:space="0" w:color="auto"/>
              <w:bottom w:val="single" w:sz="4" w:space="0" w:color="auto"/>
              <w:right w:val="single" w:sz="4" w:space="0" w:color="auto"/>
            </w:tcBorders>
          </w:tcPr>
          <w:p w14:paraId="150D5D32" w14:textId="77777777" w:rsidR="00151CAD" w:rsidRPr="001B4A02" w:rsidRDefault="00000000" w:rsidP="00151CAD">
            <w:pPr>
              <w:pStyle w:val="BodyTextIndent"/>
              <w:ind w:left="0" w:right="53" w:firstLine="0"/>
              <w:jc w:val="center"/>
              <w:rPr>
                <w:del w:id="2916" w:author="AbbVie1" w:date="2025-05-13T09:50:00Z"/>
                <w:b w:val="0"/>
                <w:bCs/>
                <w:color w:val="auto"/>
                <w:szCs w:val="24"/>
                <w:lang w:val="cs-CZ"/>
              </w:rPr>
            </w:pPr>
            <w:del w:id="2917" w:author="AbbVie1" w:date="2025-05-13T09:50:00Z">
              <w:r w:rsidRPr="001B4A02">
                <w:rPr>
                  <w:b w:val="0"/>
                  <w:bCs/>
                  <w:color w:val="auto"/>
                  <w:lang w:val="cs-CZ"/>
                </w:rPr>
                <w:delText>Humira / MTX</w:delText>
              </w:r>
            </w:del>
          </w:p>
          <w:p w14:paraId="3CBD0A4D" w14:textId="77777777" w:rsidR="00151CAD" w:rsidRPr="001B4A02" w:rsidRDefault="00000000" w:rsidP="00151CAD">
            <w:pPr>
              <w:pStyle w:val="BodyTextIndent"/>
              <w:ind w:left="0" w:right="53" w:firstLine="0"/>
              <w:jc w:val="center"/>
              <w:rPr>
                <w:del w:id="2918" w:author="AbbVie1" w:date="2025-05-13T09:50:00Z"/>
                <w:b w:val="0"/>
                <w:bCs/>
                <w:color w:val="auto"/>
                <w:lang w:val="cs-CZ"/>
              </w:rPr>
            </w:pPr>
            <w:del w:id="2919" w:author="AbbVie1" w:date="2025-05-13T09:50:00Z">
              <w:r w:rsidRPr="001B4A02">
                <w:rPr>
                  <w:b w:val="0"/>
                  <w:bCs/>
                  <w:color w:val="auto"/>
                  <w:lang w:val="cs-CZ"/>
                </w:rPr>
                <w:delText>(</w:delText>
              </w:r>
              <w:r>
                <w:rPr>
                  <w:b w:val="0"/>
                  <w:bCs/>
                  <w:color w:val="auto"/>
                  <w:lang w:val="cs-CZ"/>
                </w:rPr>
                <w:delText>n</w:delText>
              </w:r>
              <w:r w:rsidRPr="001B4A02">
                <w:rPr>
                  <w:b w:val="0"/>
                  <w:bCs/>
                  <w:color w:val="auto"/>
                  <w:lang w:val="cs-CZ"/>
                </w:rPr>
                <w:delText>=38)</w:delText>
              </w:r>
            </w:del>
          </w:p>
        </w:tc>
        <w:tc>
          <w:tcPr>
            <w:tcW w:w="1701" w:type="dxa"/>
            <w:tcBorders>
              <w:top w:val="single" w:sz="4" w:space="0" w:color="auto"/>
              <w:left w:val="single" w:sz="4" w:space="0" w:color="auto"/>
              <w:bottom w:val="single" w:sz="4" w:space="0" w:color="auto"/>
              <w:right w:val="single" w:sz="4" w:space="0" w:color="auto"/>
            </w:tcBorders>
          </w:tcPr>
          <w:p w14:paraId="3B411339" w14:textId="77777777" w:rsidR="00151CAD" w:rsidRPr="001B4A02" w:rsidRDefault="00000000" w:rsidP="00151CAD">
            <w:pPr>
              <w:pStyle w:val="BodyTextIndent"/>
              <w:ind w:left="0" w:right="53" w:firstLine="0"/>
              <w:jc w:val="center"/>
              <w:rPr>
                <w:del w:id="2920" w:author="AbbVie1" w:date="2025-05-13T09:50:00Z"/>
                <w:b w:val="0"/>
                <w:bCs/>
                <w:color w:val="auto"/>
                <w:szCs w:val="24"/>
                <w:lang w:val="cs-CZ"/>
              </w:rPr>
            </w:pPr>
            <w:del w:id="2921" w:author="AbbVie1" w:date="2025-05-13T09:50:00Z">
              <w:r w:rsidRPr="001B4A02">
                <w:rPr>
                  <w:b w:val="0"/>
                  <w:bCs/>
                  <w:color w:val="auto"/>
                  <w:lang w:val="cs-CZ"/>
                </w:rPr>
                <w:delText>Placebo / MTX</w:delText>
              </w:r>
            </w:del>
          </w:p>
          <w:p w14:paraId="4A8B5716" w14:textId="77777777" w:rsidR="00151CAD" w:rsidRPr="001B4A02" w:rsidRDefault="00000000" w:rsidP="00151CAD">
            <w:pPr>
              <w:pStyle w:val="BodyTextIndent"/>
              <w:ind w:left="0" w:right="53" w:firstLine="0"/>
              <w:jc w:val="center"/>
              <w:rPr>
                <w:del w:id="2922" w:author="AbbVie1" w:date="2025-05-13T09:50:00Z"/>
                <w:b w:val="0"/>
                <w:bCs/>
                <w:color w:val="auto"/>
                <w:lang w:val="cs-CZ"/>
              </w:rPr>
            </w:pPr>
            <w:del w:id="2923" w:author="AbbVie1" w:date="2025-05-13T09:50:00Z">
              <w:r w:rsidRPr="001B4A02">
                <w:rPr>
                  <w:b w:val="0"/>
                  <w:bCs/>
                  <w:color w:val="auto"/>
                  <w:lang w:val="cs-CZ"/>
                </w:rPr>
                <w:delText>(</w:delText>
              </w:r>
              <w:r>
                <w:rPr>
                  <w:b w:val="0"/>
                  <w:bCs/>
                  <w:color w:val="auto"/>
                  <w:lang w:val="cs-CZ"/>
                </w:rPr>
                <w:delText>n</w:delText>
              </w:r>
              <w:r w:rsidRPr="001B4A02">
                <w:rPr>
                  <w:b w:val="0"/>
                  <w:bCs/>
                  <w:color w:val="auto"/>
                  <w:lang w:val="cs-CZ"/>
                </w:rPr>
                <w:delText>=37)</w:delText>
              </w:r>
            </w:del>
          </w:p>
        </w:tc>
        <w:tc>
          <w:tcPr>
            <w:tcW w:w="1701" w:type="dxa"/>
            <w:tcBorders>
              <w:top w:val="single" w:sz="4" w:space="0" w:color="auto"/>
              <w:left w:val="single" w:sz="4" w:space="0" w:color="auto"/>
              <w:bottom w:val="single" w:sz="4" w:space="0" w:color="auto"/>
              <w:right w:val="single" w:sz="4" w:space="0" w:color="auto"/>
            </w:tcBorders>
          </w:tcPr>
          <w:p w14:paraId="5E98B79D" w14:textId="77777777" w:rsidR="00151CAD" w:rsidRPr="001B4A02" w:rsidRDefault="00000000" w:rsidP="00151CAD">
            <w:pPr>
              <w:pStyle w:val="BodyTextIndent"/>
              <w:ind w:left="0" w:right="53" w:firstLine="0"/>
              <w:jc w:val="center"/>
              <w:rPr>
                <w:del w:id="2924" w:author="AbbVie1" w:date="2025-05-13T09:50:00Z"/>
                <w:b w:val="0"/>
                <w:bCs/>
                <w:color w:val="auto"/>
                <w:szCs w:val="24"/>
                <w:lang w:val="cs-CZ"/>
              </w:rPr>
            </w:pPr>
            <w:del w:id="2925" w:author="AbbVie1" w:date="2025-05-13T09:50:00Z">
              <w:r w:rsidRPr="001B4A02">
                <w:rPr>
                  <w:b w:val="0"/>
                  <w:bCs/>
                  <w:color w:val="auto"/>
                  <w:lang w:val="cs-CZ"/>
                </w:rPr>
                <w:delText>Humira</w:delText>
              </w:r>
            </w:del>
          </w:p>
          <w:p w14:paraId="23C8ECF6" w14:textId="77777777" w:rsidR="00151CAD" w:rsidRPr="001B4A02" w:rsidRDefault="00000000" w:rsidP="00151CAD">
            <w:pPr>
              <w:pStyle w:val="BodyTextIndent"/>
              <w:ind w:left="0" w:right="53" w:firstLine="0"/>
              <w:jc w:val="center"/>
              <w:rPr>
                <w:del w:id="2926" w:author="AbbVie1" w:date="2025-05-13T09:50:00Z"/>
                <w:b w:val="0"/>
                <w:bCs/>
                <w:color w:val="auto"/>
                <w:lang w:val="cs-CZ"/>
              </w:rPr>
            </w:pPr>
            <w:del w:id="2927" w:author="AbbVie1" w:date="2025-05-13T09:50:00Z">
              <w:r w:rsidRPr="001B4A02">
                <w:rPr>
                  <w:b w:val="0"/>
                  <w:bCs/>
                  <w:color w:val="auto"/>
                  <w:lang w:val="cs-CZ"/>
                </w:rPr>
                <w:delText>(</w:delText>
              </w:r>
              <w:r>
                <w:rPr>
                  <w:b w:val="0"/>
                  <w:bCs/>
                  <w:color w:val="auto"/>
                  <w:lang w:val="cs-CZ"/>
                </w:rPr>
                <w:delText>n</w:delText>
              </w:r>
              <w:r w:rsidRPr="001B4A02">
                <w:rPr>
                  <w:b w:val="0"/>
                  <w:bCs/>
                  <w:color w:val="auto"/>
                  <w:lang w:val="cs-CZ"/>
                </w:rPr>
                <w:delText>=30)</w:delText>
              </w:r>
            </w:del>
          </w:p>
        </w:tc>
        <w:tc>
          <w:tcPr>
            <w:tcW w:w="1666" w:type="dxa"/>
            <w:tcBorders>
              <w:top w:val="single" w:sz="4" w:space="0" w:color="auto"/>
              <w:left w:val="single" w:sz="4" w:space="0" w:color="auto"/>
              <w:bottom w:val="single" w:sz="4" w:space="0" w:color="auto"/>
              <w:right w:val="single" w:sz="4" w:space="0" w:color="auto"/>
            </w:tcBorders>
          </w:tcPr>
          <w:p w14:paraId="6E37548F" w14:textId="77777777" w:rsidR="00151CAD" w:rsidRPr="001B4A02" w:rsidRDefault="00000000" w:rsidP="00151CAD">
            <w:pPr>
              <w:pStyle w:val="BodyTextIndent"/>
              <w:ind w:left="0" w:right="53" w:firstLine="0"/>
              <w:jc w:val="center"/>
              <w:rPr>
                <w:del w:id="2928" w:author="AbbVie1" w:date="2025-05-13T09:50:00Z"/>
                <w:b w:val="0"/>
                <w:bCs/>
                <w:color w:val="auto"/>
                <w:szCs w:val="24"/>
                <w:lang w:val="cs-CZ"/>
              </w:rPr>
            </w:pPr>
            <w:del w:id="2929" w:author="AbbVie1" w:date="2025-05-13T09:50:00Z">
              <w:r w:rsidRPr="001B4A02">
                <w:rPr>
                  <w:b w:val="0"/>
                  <w:bCs/>
                  <w:color w:val="auto"/>
                  <w:lang w:val="cs-CZ"/>
                </w:rPr>
                <w:delText>Placebo</w:delText>
              </w:r>
            </w:del>
          </w:p>
          <w:p w14:paraId="5BB3DED2" w14:textId="77777777" w:rsidR="00151CAD" w:rsidRPr="001B4A02" w:rsidRDefault="00000000" w:rsidP="00151CAD">
            <w:pPr>
              <w:pStyle w:val="BodyTextIndent"/>
              <w:ind w:left="0" w:right="53" w:firstLine="0"/>
              <w:jc w:val="center"/>
              <w:rPr>
                <w:del w:id="2930" w:author="AbbVie1" w:date="2025-05-13T09:50:00Z"/>
                <w:b w:val="0"/>
                <w:bCs/>
                <w:color w:val="auto"/>
                <w:lang w:val="cs-CZ"/>
              </w:rPr>
            </w:pPr>
            <w:del w:id="2931" w:author="AbbVie1" w:date="2025-05-13T09:50:00Z">
              <w:r w:rsidRPr="001B4A02">
                <w:rPr>
                  <w:b w:val="0"/>
                  <w:bCs/>
                  <w:color w:val="auto"/>
                  <w:lang w:val="cs-CZ"/>
                </w:rPr>
                <w:delText>(</w:delText>
              </w:r>
              <w:r>
                <w:rPr>
                  <w:b w:val="0"/>
                  <w:bCs/>
                  <w:color w:val="auto"/>
                  <w:lang w:val="cs-CZ"/>
                </w:rPr>
                <w:delText>n</w:delText>
              </w:r>
              <w:r w:rsidRPr="001B4A02">
                <w:rPr>
                  <w:b w:val="0"/>
                  <w:bCs/>
                  <w:color w:val="auto"/>
                  <w:lang w:val="cs-CZ"/>
                </w:rPr>
                <w:delText>=28)</w:delText>
              </w:r>
            </w:del>
          </w:p>
        </w:tc>
      </w:tr>
      <w:tr w:rsidR="00534A2D" w14:paraId="1281DDE1" w14:textId="77777777" w:rsidTr="00151CAD">
        <w:trPr>
          <w:del w:id="2932" w:author="AbbVie1" w:date="2025-05-13T09:50:00Z"/>
        </w:trPr>
        <w:tc>
          <w:tcPr>
            <w:tcW w:w="2418" w:type="dxa"/>
            <w:tcBorders>
              <w:top w:val="single" w:sz="4" w:space="0" w:color="auto"/>
              <w:left w:val="single" w:sz="4" w:space="0" w:color="auto"/>
              <w:bottom w:val="single" w:sz="4" w:space="0" w:color="auto"/>
              <w:right w:val="single" w:sz="4" w:space="0" w:color="auto"/>
            </w:tcBorders>
          </w:tcPr>
          <w:p w14:paraId="7B09A092" w14:textId="77777777" w:rsidR="00151CAD" w:rsidRPr="001B4A02" w:rsidRDefault="00000000" w:rsidP="00151CAD">
            <w:pPr>
              <w:pStyle w:val="BodyTextIndent"/>
              <w:ind w:left="316" w:right="53" w:firstLine="0"/>
              <w:rPr>
                <w:del w:id="2933" w:author="AbbVie1" w:date="2025-05-13T09:50:00Z"/>
                <w:b w:val="0"/>
                <w:bCs/>
                <w:color w:val="auto"/>
                <w:lang w:val="cs-CZ"/>
              </w:rPr>
            </w:pPr>
            <w:del w:id="2934" w:author="AbbVie1" w:date="2025-05-13T09:50:00Z">
              <w:r w:rsidRPr="001B4A02">
                <w:rPr>
                  <w:b w:val="0"/>
                  <w:bCs/>
                  <w:color w:val="auto"/>
                  <w:lang w:val="cs-CZ"/>
                </w:rPr>
                <w:delText>Vzplanutí onemocnění na konci 32 týdnů</w:delText>
              </w:r>
              <w:r w:rsidRPr="001B4A02">
                <w:rPr>
                  <w:b w:val="0"/>
                  <w:bCs/>
                  <w:color w:val="auto"/>
                  <w:vertAlign w:val="superscript"/>
                  <w:lang w:val="cs-CZ"/>
                </w:rPr>
                <w:delText>a</w:delText>
              </w:r>
              <w:r w:rsidRPr="001B4A02">
                <w:rPr>
                  <w:b w:val="0"/>
                  <w:bCs/>
                  <w:color w:val="auto"/>
                  <w:lang w:val="cs-CZ"/>
                </w:rPr>
                <w:delText xml:space="preserve"> (n/N)</w:delText>
              </w:r>
            </w:del>
          </w:p>
        </w:tc>
        <w:tc>
          <w:tcPr>
            <w:tcW w:w="1691" w:type="dxa"/>
            <w:tcBorders>
              <w:top w:val="single" w:sz="4" w:space="0" w:color="auto"/>
              <w:left w:val="single" w:sz="4" w:space="0" w:color="auto"/>
              <w:bottom w:val="single" w:sz="4" w:space="0" w:color="auto"/>
              <w:right w:val="single" w:sz="4" w:space="0" w:color="auto"/>
            </w:tcBorders>
          </w:tcPr>
          <w:p w14:paraId="3B6203F0" w14:textId="77777777" w:rsidR="00151CAD" w:rsidRPr="001B4A02" w:rsidRDefault="00000000" w:rsidP="00151CAD">
            <w:pPr>
              <w:pStyle w:val="BodyTextIndent"/>
              <w:ind w:left="0" w:right="53" w:firstLine="0"/>
              <w:jc w:val="center"/>
              <w:rPr>
                <w:del w:id="2935" w:author="AbbVie1" w:date="2025-05-13T09:50:00Z"/>
                <w:b w:val="0"/>
                <w:bCs/>
                <w:color w:val="auto"/>
                <w:lang w:val="cs-CZ"/>
              </w:rPr>
            </w:pPr>
            <w:del w:id="2936" w:author="AbbVie1" w:date="2025-05-13T09:50:00Z">
              <w:r w:rsidRPr="001B4A02">
                <w:rPr>
                  <w:b w:val="0"/>
                  <w:bCs/>
                  <w:color w:val="auto"/>
                  <w:lang w:val="cs-CZ"/>
                </w:rPr>
                <w:delText>36,8 % (14/38)</w:delText>
              </w:r>
            </w:del>
          </w:p>
        </w:tc>
        <w:tc>
          <w:tcPr>
            <w:tcW w:w="1701" w:type="dxa"/>
            <w:tcBorders>
              <w:top w:val="single" w:sz="4" w:space="0" w:color="auto"/>
              <w:left w:val="single" w:sz="4" w:space="0" w:color="auto"/>
              <w:bottom w:val="single" w:sz="4" w:space="0" w:color="auto"/>
              <w:right w:val="single" w:sz="4" w:space="0" w:color="auto"/>
            </w:tcBorders>
          </w:tcPr>
          <w:p w14:paraId="3A3DF49D" w14:textId="77777777" w:rsidR="00151CAD" w:rsidRPr="001B4A02" w:rsidRDefault="00000000" w:rsidP="00151CAD">
            <w:pPr>
              <w:pStyle w:val="BodyTextIndent"/>
              <w:ind w:left="0" w:right="53" w:firstLine="0"/>
              <w:jc w:val="center"/>
              <w:rPr>
                <w:del w:id="2937" w:author="AbbVie1" w:date="2025-05-13T09:50:00Z"/>
                <w:b w:val="0"/>
                <w:bCs/>
                <w:color w:val="auto"/>
                <w:lang w:val="cs-CZ"/>
              </w:rPr>
            </w:pPr>
            <w:del w:id="2938" w:author="AbbVie1" w:date="2025-05-13T09:50:00Z">
              <w:r w:rsidRPr="001B4A02">
                <w:rPr>
                  <w:b w:val="0"/>
                  <w:bCs/>
                  <w:color w:val="auto"/>
                  <w:lang w:val="cs-CZ"/>
                </w:rPr>
                <w:delText>64,9 % (24/37)</w:delText>
              </w:r>
              <w:r w:rsidRPr="001B4A02">
                <w:rPr>
                  <w:b w:val="0"/>
                  <w:bCs/>
                  <w:color w:val="auto"/>
                  <w:vertAlign w:val="superscript"/>
                  <w:lang w:val="cs-CZ"/>
                </w:rPr>
                <w:delText>b</w:delText>
              </w:r>
            </w:del>
          </w:p>
        </w:tc>
        <w:tc>
          <w:tcPr>
            <w:tcW w:w="1701" w:type="dxa"/>
            <w:tcBorders>
              <w:top w:val="single" w:sz="4" w:space="0" w:color="auto"/>
              <w:left w:val="single" w:sz="4" w:space="0" w:color="auto"/>
              <w:bottom w:val="single" w:sz="4" w:space="0" w:color="auto"/>
              <w:right w:val="single" w:sz="4" w:space="0" w:color="auto"/>
            </w:tcBorders>
          </w:tcPr>
          <w:p w14:paraId="75DE107C" w14:textId="77777777" w:rsidR="00151CAD" w:rsidRPr="001B4A02" w:rsidRDefault="00000000" w:rsidP="00151CAD">
            <w:pPr>
              <w:pStyle w:val="BodyTextIndent"/>
              <w:ind w:left="0" w:right="53" w:firstLine="0"/>
              <w:jc w:val="center"/>
              <w:rPr>
                <w:del w:id="2939" w:author="AbbVie1" w:date="2025-05-13T09:50:00Z"/>
                <w:b w:val="0"/>
                <w:bCs/>
                <w:color w:val="auto"/>
                <w:lang w:val="cs-CZ"/>
              </w:rPr>
            </w:pPr>
            <w:del w:id="2940" w:author="AbbVie1" w:date="2025-05-13T09:50:00Z">
              <w:r w:rsidRPr="001B4A02">
                <w:rPr>
                  <w:b w:val="0"/>
                  <w:bCs/>
                  <w:color w:val="auto"/>
                  <w:lang w:val="cs-CZ"/>
                </w:rPr>
                <w:delText>43,3 % (13/30)</w:delText>
              </w:r>
            </w:del>
          </w:p>
        </w:tc>
        <w:tc>
          <w:tcPr>
            <w:tcW w:w="1666" w:type="dxa"/>
            <w:tcBorders>
              <w:top w:val="single" w:sz="4" w:space="0" w:color="auto"/>
              <w:left w:val="single" w:sz="4" w:space="0" w:color="auto"/>
              <w:bottom w:val="single" w:sz="4" w:space="0" w:color="auto"/>
              <w:right w:val="single" w:sz="4" w:space="0" w:color="auto"/>
            </w:tcBorders>
          </w:tcPr>
          <w:p w14:paraId="632B6300" w14:textId="77777777" w:rsidR="00151CAD" w:rsidRPr="001B4A02" w:rsidRDefault="00000000" w:rsidP="00151CAD">
            <w:pPr>
              <w:pStyle w:val="BodyTextIndent"/>
              <w:ind w:left="0" w:right="53" w:firstLine="0"/>
              <w:jc w:val="center"/>
              <w:rPr>
                <w:del w:id="2941" w:author="AbbVie1" w:date="2025-05-13T09:50:00Z"/>
                <w:b w:val="0"/>
                <w:bCs/>
                <w:color w:val="auto"/>
                <w:lang w:val="cs-CZ"/>
              </w:rPr>
            </w:pPr>
            <w:del w:id="2942" w:author="AbbVie1" w:date="2025-05-13T09:50:00Z">
              <w:r w:rsidRPr="001B4A02">
                <w:rPr>
                  <w:b w:val="0"/>
                  <w:bCs/>
                  <w:color w:val="auto"/>
                  <w:lang w:val="cs-CZ"/>
                </w:rPr>
                <w:delText>71,4 % (20/28)</w:delText>
              </w:r>
              <w:r w:rsidRPr="001B4A02">
                <w:rPr>
                  <w:b w:val="0"/>
                  <w:bCs/>
                  <w:color w:val="auto"/>
                  <w:vertAlign w:val="superscript"/>
                  <w:lang w:val="cs-CZ"/>
                </w:rPr>
                <w:delText>c</w:delText>
              </w:r>
            </w:del>
          </w:p>
        </w:tc>
      </w:tr>
      <w:tr w:rsidR="00534A2D" w14:paraId="6FFCB81D" w14:textId="77777777" w:rsidTr="00151CAD">
        <w:trPr>
          <w:del w:id="2943" w:author="AbbVie1" w:date="2025-05-13T09:50:00Z"/>
        </w:trPr>
        <w:tc>
          <w:tcPr>
            <w:tcW w:w="2418" w:type="dxa"/>
            <w:tcBorders>
              <w:top w:val="single" w:sz="4" w:space="0" w:color="auto"/>
              <w:left w:val="single" w:sz="4" w:space="0" w:color="auto"/>
              <w:bottom w:val="single" w:sz="4" w:space="0" w:color="auto"/>
              <w:right w:val="single" w:sz="4" w:space="0" w:color="auto"/>
            </w:tcBorders>
          </w:tcPr>
          <w:p w14:paraId="1B29C347" w14:textId="77777777" w:rsidR="00151CAD" w:rsidRPr="001B4A02" w:rsidRDefault="00000000" w:rsidP="00151CAD">
            <w:pPr>
              <w:pStyle w:val="BodyTextIndent"/>
              <w:ind w:left="316" w:right="53" w:firstLine="0"/>
              <w:rPr>
                <w:del w:id="2944" w:author="AbbVie1" w:date="2025-05-13T09:50:00Z"/>
                <w:b w:val="0"/>
                <w:bCs/>
                <w:color w:val="auto"/>
                <w:lang w:val="cs-CZ"/>
              </w:rPr>
            </w:pPr>
            <w:del w:id="2945" w:author="AbbVie1" w:date="2025-05-13T09:50:00Z">
              <w:r w:rsidRPr="001B4A02">
                <w:rPr>
                  <w:b w:val="0"/>
                  <w:bCs/>
                  <w:color w:val="auto"/>
                  <w:lang w:val="cs-CZ"/>
                </w:rPr>
                <w:delText>Medián doby do vzplanutí onemocnění</w:delText>
              </w:r>
            </w:del>
          </w:p>
        </w:tc>
        <w:tc>
          <w:tcPr>
            <w:tcW w:w="1691" w:type="dxa"/>
            <w:tcBorders>
              <w:top w:val="single" w:sz="4" w:space="0" w:color="auto"/>
              <w:left w:val="single" w:sz="4" w:space="0" w:color="auto"/>
              <w:bottom w:val="single" w:sz="4" w:space="0" w:color="auto"/>
              <w:right w:val="single" w:sz="4" w:space="0" w:color="auto"/>
            </w:tcBorders>
          </w:tcPr>
          <w:p w14:paraId="2C3539A9" w14:textId="77777777" w:rsidR="00151CAD" w:rsidRPr="001B4A02" w:rsidRDefault="00000000" w:rsidP="00151CAD">
            <w:pPr>
              <w:pStyle w:val="BodyTextIndent"/>
              <w:ind w:left="0" w:right="53" w:firstLine="0"/>
              <w:jc w:val="center"/>
              <w:rPr>
                <w:del w:id="2946" w:author="AbbVie1" w:date="2025-05-13T09:50:00Z"/>
                <w:b w:val="0"/>
                <w:bCs/>
                <w:color w:val="auto"/>
                <w:lang w:val="cs-CZ"/>
              </w:rPr>
            </w:pPr>
            <w:del w:id="2947" w:author="AbbVie1" w:date="2025-05-13T09:50:00Z">
              <w:r w:rsidRPr="001B4A02">
                <w:rPr>
                  <w:b w:val="0"/>
                  <w:bCs/>
                  <w:color w:val="auto"/>
                  <w:lang w:val="cs-CZ"/>
                </w:rPr>
                <w:delText>&gt; 32 týdnů</w:delText>
              </w:r>
            </w:del>
          </w:p>
        </w:tc>
        <w:tc>
          <w:tcPr>
            <w:tcW w:w="1701" w:type="dxa"/>
            <w:tcBorders>
              <w:top w:val="single" w:sz="4" w:space="0" w:color="auto"/>
              <w:left w:val="single" w:sz="4" w:space="0" w:color="auto"/>
              <w:bottom w:val="single" w:sz="4" w:space="0" w:color="auto"/>
              <w:right w:val="single" w:sz="4" w:space="0" w:color="auto"/>
            </w:tcBorders>
          </w:tcPr>
          <w:p w14:paraId="10F1CB15" w14:textId="77777777" w:rsidR="00151CAD" w:rsidRPr="001B4A02" w:rsidRDefault="00000000" w:rsidP="00151CAD">
            <w:pPr>
              <w:pStyle w:val="BodyTextIndent"/>
              <w:ind w:left="0" w:right="53" w:firstLine="0"/>
              <w:jc w:val="center"/>
              <w:rPr>
                <w:del w:id="2948" w:author="AbbVie1" w:date="2025-05-13T09:50:00Z"/>
                <w:b w:val="0"/>
                <w:bCs/>
                <w:color w:val="auto"/>
                <w:lang w:val="cs-CZ"/>
              </w:rPr>
            </w:pPr>
            <w:del w:id="2949" w:author="AbbVie1" w:date="2025-05-13T09:50:00Z">
              <w:r w:rsidRPr="001B4A02">
                <w:rPr>
                  <w:b w:val="0"/>
                  <w:bCs/>
                  <w:color w:val="auto"/>
                  <w:lang w:val="cs-CZ"/>
                </w:rPr>
                <w:delText>20 týdnů</w:delText>
              </w:r>
            </w:del>
          </w:p>
        </w:tc>
        <w:tc>
          <w:tcPr>
            <w:tcW w:w="1701" w:type="dxa"/>
            <w:tcBorders>
              <w:top w:val="single" w:sz="4" w:space="0" w:color="auto"/>
              <w:left w:val="single" w:sz="4" w:space="0" w:color="auto"/>
              <w:bottom w:val="single" w:sz="4" w:space="0" w:color="auto"/>
              <w:right w:val="single" w:sz="4" w:space="0" w:color="auto"/>
            </w:tcBorders>
          </w:tcPr>
          <w:p w14:paraId="2708B16F" w14:textId="77777777" w:rsidR="00151CAD" w:rsidRPr="001B4A02" w:rsidRDefault="00000000" w:rsidP="00151CAD">
            <w:pPr>
              <w:pStyle w:val="BodyTextIndent"/>
              <w:ind w:left="0" w:right="53" w:firstLine="0"/>
              <w:jc w:val="center"/>
              <w:rPr>
                <w:del w:id="2950" w:author="AbbVie1" w:date="2025-05-13T09:50:00Z"/>
                <w:b w:val="0"/>
                <w:bCs/>
                <w:color w:val="auto"/>
                <w:lang w:val="cs-CZ"/>
              </w:rPr>
            </w:pPr>
            <w:del w:id="2951" w:author="AbbVie1" w:date="2025-05-13T09:50:00Z">
              <w:r w:rsidRPr="001B4A02">
                <w:rPr>
                  <w:b w:val="0"/>
                  <w:bCs/>
                  <w:color w:val="auto"/>
                  <w:lang w:val="cs-CZ"/>
                </w:rPr>
                <w:delText>&gt; 32 týdnů</w:delText>
              </w:r>
            </w:del>
          </w:p>
        </w:tc>
        <w:tc>
          <w:tcPr>
            <w:tcW w:w="1666" w:type="dxa"/>
            <w:tcBorders>
              <w:top w:val="single" w:sz="4" w:space="0" w:color="auto"/>
              <w:left w:val="single" w:sz="4" w:space="0" w:color="auto"/>
              <w:bottom w:val="single" w:sz="4" w:space="0" w:color="auto"/>
              <w:right w:val="single" w:sz="4" w:space="0" w:color="auto"/>
            </w:tcBorders>
          </w:tcPr>
          <w:p w14:paraId="138BA9C5" w14:textId="77777777" w:rsidR="00151CAD" w:rsidRPr="001B4A02" w:rsidRDefault="00000000" w:rsidP="00151CAD">
            <w:pPr>
              <w:pStyle w:val="BodyTextIndent"/>
              <w:ind w:left="0" w:right="53" w:firstLine="0"/>
              <w:jc w:val="center"/>
              <w:rPr>
                <w:del w:id="2952" w:author="AbbVie1" w:date="2025-05-13T09:50:00Z"/>
                <w:b w:val="0"/>
                <w:bCs/>
                <w:color w:val="auto"/>
                <w:lang w:val="cs-CZ"/>
              </w:rPr>
            </w:pPr>
            <w:del w:id="2953" w:author="AbbVie1" w:date="2025-05-13T09:50:00Z">
              <w:r w:rsidRPr="001B4A02">
                <w:rPr>
                  <w:b w:val="0"/>
                  <w:bCs/>
                  <w:color w:val="auto"/>
                  <w:lang w:val="cs-CZ"/>
                </w:rPr>
                <w:delText>14 týdnů</w:delText>
              </w:r>
            </w:del>
          </w:p>
        </w:tc>
      </w:tr>
    </w:tbl>
    <w:p w14:paraId="4D3030A9" w14:textId="77777777" w:rsidR="00151CAD" w:rsidRPr="001B4A02" w:rsidRDefault="00151CAD" w:rsidP="00151CAD">
      <w:pPr>
        <w:pStyle w:val="BodyTextIndent"/>
        <w:ind w:left="110" w:right="53" w:firstLine="0"/>
        <w:rPr>
          <w:del w:id="2954" w:author="AbbVie1" w:date="2025-05-13T09:50:00Z"/>
          <w:b w:val="0"/>
          <w:bCs/>
          <w:color w:val="auto"/>
          <w:sz w:val="20"/>
          <w:vertAlign w:val="superscript"/>
          <w:lang w:val="cs-CZ"/>
        </w:rPr>
      </w:pPr>
    </w:p>
    <w:p w14:paraId="4CC7B49C" w14:textId="77777777" w:rsidR="00151CAD" w:rsidRPr="001B4A02" w:rsidRDefault="00000000" w:rsidP="00151CAD">
      <w:pPr>
        <w:pStyle w:val="BodyTextIndent"/>
        <w:ind w:left="110" w:right="53" w:firstLine="0"/>
        <w:rPr>
          <w:del w:id="2955" w:author="AbbVie1" w:date="2025-05-13T09:50:00Z"/>
          <w:b w:val="0"/>
          <w:bCs/>
          <w:i/>
          <w:iCs/>
          <w:color w:val="auto"/>
          <w:sz w:val="20"/>
          <w:lang w:val="cs-CZ"/>
        </w:rPr>
      </w:pPr>
      <w:del w:id="2956" w:author="AbbVie1" w:date="2025-05-13T09:50:00Z">
        <w:r w:rsidRPr="001B4A02">
          <w:rPr>
            <w:b w:val="0"/>
            <w:bCs/>
            <w:color w:val="auto"/>
            <w:sz w:val="20"/>
            <w:vertAlign w:val="superscript"/>
            <w:lang w:val="cs-CZ"/>
          </w:rPr>
          <w:delText xml:space="preserve">a </w:delText>
        </w:r>
        <w:r w:rsidRPr="001B4A02">
          <w:rPr>
            <w:b w:val="0"/>
            <w:bCs/>
            <w:color w:val="auto"/>
            <w:sz w:val="20"/>
            <w:lang w:val="cs-CZ"/>
          </w:rPr>
          <w:delText xml:space="preserve">Odpovědi v Ped. ACR 30/50/70 v týdnu 48 významně vyšší než u pacientů léčených placebem </w:delText>
        </w:r>
      </w:del>
    </w:p>
    <w:p w14:paraId="2468B01F" w14:textId="77777777" w:rsidR="00151CAD" w:rsidRPr="001B4A02" w:rsidRDefault="00000000" w:rsidP="00151CAD">
      <w:pPr>
        <w:pStyle w:val="BodyTextIndent"/>
        <w:ind w:left="110" w:right="53" w:firstLine="0"/>
        <w:rPr>
          <w:del w:id="2957" w:author="AbbVie1" w:date="2025-05-13T09:50:00Z"/>
          <w:b w:val="0"/>
          <w:bCs/>
          <w:color w:val="auto"/>
          <w:sz w:val="20"/>
          <w:lang w:val="cs-CZ"/>
        </w:rPr>
      </w:pPr>
      <w:del w:id="2958" w:author="AbbVie1" w:date="2025-05-13T09:50:00Z">
        <w:r w:rsidRPr="001B4A02">
          <w:rPr>
            <w:b w:val="0"/>
            <w:bCs/>
            <w:color w:val="auto"/>
            <w:sz w:val="20"/>
            <w:vertAlign w:val="superscript"/>
            <w:lang w:val="cs-CZ"/>
          </w:rPr>
          <w:delText>b</w:delText>
        </w:r>
        <w:r w:rsidRPr="001B4A02">
          <w:rPr>
            <w:b w:val="0"/>
            <w:bCs/>
            <w:color w:val="auto"/>
            <w:sz w:val="20"/>
            <w:lang w:val="cs-CZ"/>
          </w:rPr>
          <w:delText xml:space="preserve"> p = 0,015</w:delText>
        </w:r>
      </w:del>
    </w:p>
    <w:p w14:paraId="5F395ADE" w14:textId="77777777" w:rsidR="00151CAD" w:rsidRPr="001B4A02" w:rsidRDefault="00000000" w:rsidP="00151CAD">
      <w:pPr>
        <w:pStyle w:val="BodyTextIndent"/>
        <w:ind w:left="110" w:right="53" w:firstLine="0"/>
        <w:rPr>
          <w:del w:id="2959" w:author="AbbVie1" w:date="2025-05-13T09:50:00Z"/>
          <w:b w:val="0"/>
          <w:bCs/>
          <w:color w:val="auto"/>
          <w:sz w:val="20"/>
          <w:lang w:val="cs-CZ"/>
        </w:rPr>
      </w:pPr>
      <w:del w:id="2960" w:author="AbbVie1" w:date="2025-05-13T09:50:00Z">
        <w:r w:rsidRPr="001B4A02">
          <w:rPr>
            <w:b w:val="0"/>
            <w:bCs/>
            <w:color w:val="auto"/>
            <w:sz w:val="20"/>
            <w:vertAlign w:val="superscript"/>
            <w:lang w:val="cs-CZ"/>
          </w:rPr>
          <w:delText>c</w:delText>
        </w:r>
        <w:r w:rsidRPr="001B4A02">
          <w:rPr>
            <w:b w:val="0"/>
            <w:bCs/>
            <w:color w:val="auto"/>
            <w:sz w:val="20"/>
            <w:lang w:val="cs-CZ"/>
          </w:rPr>
          <w:delText xml:space="preserve"> p = 0,031</w:delText>
        </w:r>
      </w:del>
    </w:p>
    <w:p w14:paraId="365FED09" w14:textId="77777777" w:rsidR="00151CAD" w:rsidRPr="001B4A02" w:rsidRDefault="00151CAD" w:rsidP="00151CAD">
      <w:pPr>
        <w:ind w:left="0" w:firstLine="0"/>
        <w:rPr>
          <w:del w:id="2961" w:author="AbbVie1" w:date="2025-05-13T09:50:00Z"/>
          <w:u w:val="single"/>
        </w:rPr>
      </w:pPr>
    </w:p>
    <w:p w14:paraId="19154BD0" w14:textId="77777777" w:rsidR="00151CAD" w:rsidRPr="001B4A02" w:rsidRDefault="00000000" w:rsidP="00151CAD">
      <w:pPr>
        <w:ind w:left="0" w:firstLine="0"/>
        <w:rPr>
          <w:del w:id="2962" w:author="AbbVie1" w:date="2025-05-13T09:50:00Z"/>
        </w:rPr>
      </w:pPr>
      <w:del w:id="2963" w:author="AbbVie1" w:date="2025-05-13T09:50:00Z">
        <w:r w:rsidRPr="001B4A02">
          <w:delText>Mezi těmi, kteří dosáhli odpovědi v týdnu 16 (n=144), přetrvávala odpověď v pediatrickém ACR 30/50/70/90 po dobu až šesti let v otevřené prodloužené (OLE, open-label extension) fázi u těch pacientů, kteří dostávali přípravek Humira v průběhu celé studie. Krom toho všech 19 subjektů, z nichž 11 bylo při zahájení studie ve věku 4 až 12 let</w:delText>
        </w:r>
        <w:r w:rsidR="002378E0">
          <w:delText xml:space="preserve"> a </w:delText>
        </w:r>
        <w:r w:rsidRPr="001B4A02">
          <w:delText>8 ve věku 13 až 17 let, bylo léčeno 6 let nebo déle.</w:delText>
        </w:r>
      </w:del>
    </w:p>
    <w:p w14:paraId="610A205C" w14:textId="77777777" w:rsidR="00151CAD" w:rsidRPr="001B4A02" w:rsidRDefault="00151CAD" w:rsidP="00151CAD">
      <w:pPr>
        <w:ind w:left="0" w:firstLine="0"/>
        <w:rPr>
          <w:del w:id="2964" w:author="AbbVie1" w:date="2025-05-13T09:50:00Z"/>
        </w:rPr>
      </w:pPr>
    </w:p>
    <w:p w14:paraId="5C88534B" w14:textId="77777777" w:rsidR="00151CAD" w:rsidRPr="001B4A02" w:rsidRDefault="00000000" w:rsidP="00151CAD">
      <w:pPr>
        <w:ind w:left="0" w:firstLine="0"/>
        <w:rPr>
          <w:del w:id="2965" w:author="AbbVie1" w:date="2025-05-13T09:50:00Z"/>
        </w:rPr>
      </w:pPr>
      <w:del w:id="2966" w:author="AbbVie1" w:date="2025-05-13T09:50:00Z">
        <w:r w:rsidRPr="001B4A02">
          <w:delText>Celkové odpovědi byly obecně lepší</w:delText>
        </w:r>
        <w:r w:rsidR="002378E0">
          <w:delText xml:space="preserve"> a </w:delText>
        </w:r>
        <w:r w:rsidRPr="001B4A02">
          <w:delText>protilátky se vytvořily u méně pacientů, pokud byli léčeni kombinací přípravku Humira s MTX ve srovnání s těmi, kteří byli léčeni přípravkem Humira samotným. Vezmeme-li tyto výsledky v úvahu, pak je vhodné doporučit přípravek Humira k použití v kombinaci s MTX</w:delText>
        </w:r>
        <w:r w:rsidR="002378E0">
          <w:delText xml:space="preserve"> a </w:delText>
        </w:r>
        <w:r w:rsidRPr="001B4A02">
          <w:delText>k použití v monoterapii u těch pacientů, pro které není podávání MTX vhodné (viz bod 4.2).</w:delText>
        </w:r>
      </w:del>
    </w:p>
    <w:p w14:paraId="74F05755" w14:textId="77777777" w:rsidR="00151CAD" w:rsidRPr="001B4A02" w:rsidRDefault="00151CAD" w:rsidP="00151CAD">
      <w:pPr>
        <w:ind w:left="0" w:firstLine="0"/>
        <w:rPr>
          <w:del w:id="2967" w:author="AbbVie1" w:date="2025-05-13T09:50:00Z"/>
          <w:u w:val="single"/>
        </w:rPr>
      </w:pPr>
    </w:p>
    <w:p w14:paraId="43535815" w14:textId="77777777" w:rsidR="00151CAD" w:rsidRPr="001B4A02" w:rsidRDefault="00000000" w:rsidP="00151CAD">
      <w:pPr>
        <w:keepNext/>
        <w:ind w:left="0" w:firstLine="0"/>
        <w:rPr>
          <w:del w:id="2968" w:author="AbbVie1" w:date="2025-05-13T09:50:00Z"/>
        </w:rPr>
      </w:pPr>
      <w:del w:id="2969" w:author="AbbVie1" w:date="2025-05-13T09:50:00Z">
        <w:r w:rsidRPr="001B4A02">
          <w:delText>pJIA II</w:delText>
        </w:r>
      </w:del>
    </w:p>
    <w:p w14:paraId="6F66EF60" w14:textId="77777777" w:rsidR="00151CAD" w:rsidRPr="001B4A02" w:rsidRDefault="00151CAD" w:rsidP="00151CAD">
      <w:pPr>
        <w:keepNext/>
        <w:ind w:left="0" w:firstLine="0"/>
        <w:rPr>
          <w:del w:id="2970" w:author="AbbVie1" w:date="2025-05-13T09:50:00Z"/>
          <w:u w:val="single"/>
        </w:rPr>
      </w:pPr>
    </w:p>
    <w:p w14:paraId="5AFA163B" w14:textId="77777777" w:rsidR="00151CAD" w:rsidRPr="001B4A02" w:rsidRDefault="00000000" w:rsidP="00151CAD">
      <w:pPr>
        <w:ind w:left="0" w:firstLine="0"/>
        <w:rPr>
          <w:del w:id="2971" w:author="AbbVie1" w:date="2025-05-13T09:50:00Z"/>
        </w:rPr>
      </w:pPr>
      <w:del w:id="2972" w:author="AbbVie1" w:date="2025-05-13T09:50:00Z">
        <w:r w:rsidRPr="001B4A02">
          <w:delText>Bezpečnost</w:delText>
        </w:r>
        <w:r w:rsidR="002378E0">
          <w:delText xml:space="preserve"> a </w:delText>
        </w:r>
        <w:r w:rsidRPr="001B4A02">
          <w:delText>účinnost přípravku Humira byla hodnocena v multicentrické otevřené studii se 32 dětmi (ve věku 2 až &lt; 4 roky nebo ve věku 4 roky</w:delText>
        </w:r>
        <w:r w:rsidR="002378E0">
          <w:delText xml:space="preserve"> a </w:delText>
        </w:r>
        <w:r w:rsidRPr="001B4A02">
          <w:delText>více s tělesnou hmotností &lt; 15</w:delText>
        </w:r>
        <w:r w:rsidR="002767FC">
          <w:delText> kg</w:delText>
        </w:r>
        <w:r w:rsidRPr="001B4A02">
          <w:delText>) se středně těžkou až těžkou polyartikulární JIA. Pacienti dostávali přípravek Humira v dávce 24</w:delText>
        </w:r>
        <w:r w:rsidR="00294902" w:rsidRPr="00005EC2">
          <w:rPr>
            <w:szCs w:val="22"/>
          </w:rPr>
          <w:delText> </w:delText>
        </w:r>
        <w:r w:rsidRPr="001B4A02">
          <w:delText>mg/m</w:delText>
        </w:r>
        <w:r w:rsidRPr="001B4A02">
          <w:rPr>
            <w:vertAlign w:val="superscript"/>
          </w:rPr>
          <w:delText>2</w:delText>
        </w:r>
        <w:r w:rsidRPr="001B4A02">
          <w:delText xml:space="preserve"> tělesného povrchu (BSA) až do maximální dávky 20</w:delText>
        </w:r>
        <w:r w:rsidR="00294902" w:rsidRPr="00005EC2">
          <w:rPr>
            <w:szCs w:val="22"/>
          </w:rPr>
          <w:delText> </w:delText>
        </w:r>
        <w:r w:rsidRPr="001B4A02">
          <w:delText>mg každý druhý týden subkutánní injekcí po dobu 24 týdnů. V průběhu studie užívala většina su</w:delText>
        </w:r>
        <w:r>
          <w:delText>b</w:delText>
        </w:r>
        <w:r w:rsidRPr="001B4A02">
          <w:delText>jektů současně methotrexát</w:delText>
        </w:r>
        <w:r w:rsidR="002378E0">
          <w:delText xml:space="preserve"> a </w:delText>
        </w:r>
        <w:r w:rsidRPr="001B4A02">
          <w:delText>u menšího množství případů bylo hlášeno užívání kortikosteroidů nebo NSAID.</w:delText>
        </w:r>
      </w:del>
    </w:p>
    <w:p w14:paraId="4733C60D" w14:textId="77777777" w:rsidR="00151CAD" w:rsidRPr="001B4A02" w:rsidRDefault="00151CAD" w:rsidP="00151CAD">
      <w:pPr>
        <w:ind w:left="0" w:firstLine="0"/>
        <w:rPr>
          <w:del w:id="2973" w:author="AbbVie1" w:date="2025-05-13T09:50:00Z"/>
        </w:rPr>
      </w:pPr>
    </w:p>
    <w:p w14:paraId="2841BACA" w14:textId="77777777" w:rsidR="00151CAD" w:rsidRPr="001B4A02" w:rsidRDefault="00000000" w:rsidP="00151CAD">
      <w:pPr>
        <w:ind w:left="0" w:firstLine="0"/>
        <w:rPr>
          <w:del w:id="2974" w:author="AbbVie1" w:date="2025-05-13T09:50:00Z"/>
        </w:rPr>
      </w:pPr>
      <w:del w:id="2975" w:author="AbbVie1" w:date="2025-05-13T09:50:00Z">
        <w:r w:rsidRPr="001B4A02">
          <w:delText>Z pozorovaných údajů vyplývá, že v týdnu 12 bylo dosaženo odpovědi PedACR 30 u 93,5</w:delText>
        </w:r>
        <w:r>
          <w:delText> %</w:delText>
        </w:r>
        <w:r w:rsidRPr="001B4A02">
          <w:delText xml:space="preserve"> subjektů</w:delText>
        </w:r>
        <w:r w:rsidR="002378E0">
          <w:delText xml:space="preserve"> a </w:delText>
        </w:r>
        <w:r w:rsidRPr="001B4A02">
          <w:delText>v týdnu 24 bylo této odpovědi dosaženo u 90,0</w:delText>
        </w:r>
        <w:r>
          <w:delText> %</w:delText>
        </w:r>
        <w:r w:rsidRPr="001B4A02">
          <w:delText xml:space="preserve"> subjektů. Poměr subjektů s odpovědí PedACR 50/70/90 v týdnu 12 byl 90,3</w:delText>
        </w:r>
        <w:r>
          <w:delText> %</w:delText>
        </w:r>
        <w:r w:rsidRPr="001B4A02">
          <w:delText>/61,3</w:delText>
        </w:r>
        <w:r>
          <w:delText> %</w:delText>
        </w:r>
        <w:r w:rsidRPr="001B4A02">
          <w:delText>/38,7</w:delText>
        </w:r>
        <w:r>
          <w:delText> %</w:delText>
        </w:r>
        <w:r w:rsidR="002378E0">
          <w:delText xml:space="preserve"> a </w:delText>
        </w:r>
        <w:r w:rsidRPr="001B4A02">
          <w:delText>poměr subjektů s touto odpovědí v týdnu 24 byl 83,3</w:delText>
        </w:r>
        <w:r>
          <w:delText> %</w:delText>
        </w:r>
        <w:r w:rsidRPr="001B4A02">
          <w:delText>/73,3</w:delText>
        </w:r>
        <w:r>
          <w:delText> %</w:delText>
        </w:r>
        <w:r w:rsidRPr="001B4A02">
          <w:delText>/36,7</w:delText>
        </w:r>
        <w:r>
          <w:delText> %</w:delText>
        </w:r>
        <w:r w:rsidRPr="001B4A02">
          <w:delText>. Mezi pacienty, kteří dosáhli odpovědi PedACR 30 v týdnu 24 (n=27 ze 30 pacientů), přetrvávala v OLE fázi odpověď PedACR 30 u těch, kterým byl podáván přípravek Humira po celou dobu studie. Celkově bylo 20 subjektů léčeno po dobu 60 týdnů nebo déle.</w:delText>
        </w:r>
      </w:del>
    </w:p>
    <w:p w14:paraId="7CA79798" w14:textId="77777777" w:rsidR="00151CAD" w:rsidRPr="001B4A02" w:rsidRDefault="00151CAD" w:rsidP="00151CAD">
      <w:pPr>
        <w:ind w:left="0" w:firstLine="0"/>
        <w:rPr>
          <w:del w:id="2976" w:author="AbbVie1" w:date="2025-05-13T09:50:00Z"/>
          <w:u w:val="single"/>
        </w:rPr>
      </w:pPr>
    </w:p>
    <w:p w14:paraId="446F959C" w14:textId="77777777" w:rsidR="00151CAD" w:rsidRPr="001B4A02" w:rsidRDefault="00000000" w:rsidP="00151CAD">
      <w:pPr>
        <w:keepNext/>
        <w:ind w:left="0" w:firstLine="0"/>
        <w:rPr>
          <w:del w:id="2977" w:author="AbbVie1" w:date="2025-05-13T09:50:00Z"/>
          <w:i/>
          <w:u w:val="single"/>
        </w:rPr>
      </w:pPr>
      <w:del w:id="2978" w:author="AbbVie1" w:date="2025-05-13T09:50:00Z">
        <w:r w:rsidRPr="001B4A02">
          <w:rPr>
            <w:i/>
            <w:u w:val="single"/>
          </w:rPr>
          <w:delText>Entezopatická artritida</w:delText>
        </w:r>
      </w:del>
    </w:p>
    <w:p w14:paraId="07CB5106" w14:textId="77777777" w:rsidR="00151CAD" w:rsidRPr="001B4A02" w:rsidRDefault="00151CAD" w:rsidP="00151CAD">
      <w:pPr>
        <w:keepNext/>
        <w:ind w:left="0" w:firstLine="0"/>
        <w:rPr>
          <w:del w:id="2979" w:author="AbbVie1" w:date="2025-05-13T09:50:00Z"/>
          <w:u w:val="single"/>
        </w:rPr>
      </w:pPr>
    </w:p>
    <w:p w14:paraId="1DF0145F" w14:textId="77777777" w:rsidR="00151CAD" w:rsidRPr="001B4A02" w:rsidRDefault="00000000" w:rsidP="00151CAD">
      <w:pPr>
        <w:ind w:left="0" w:firstLine="0"/>
        <w:rPr>
          <w:del w:id="2980" w:author="AbbVie1" w:date="2025-05-13T09:50:00Z"/>
          <w:u w:val="single"/>
        </w:rPr>
      </w:pPr>
      <w:del w:id="2981" w:author="AbbVie1" w:date="2025-05-13T09:50:00Z">
        <w:r w:rsidRPr="001B4A02">
          <w:delText>Bezpečnost</w:delText>
        </w:r>
        <w:r w:rsidR="002378E0">
          <w:delText xml:space="preserve"> a </w:delText>
        </w:r>
        <w:r w:rsidRPr="001B4A02">
          <w:delText xml:space="preserve">účinnost přípravku Humira byla hodnocena v multicentrické, randomizované, dvojitě zaslepené studii u 46 pediatrických pacientů (ve věku 6 </w:delText>
        </w:r>
        <w:r w:rsidRPr="001B4A02">
          <w:rPr>
            <w:shd w:val="clear" w:color="auto" w:fill="FFFFFF"/>
          </w:rPr>
          <w:delText>až</w:delText>
        </w:r>
        <w:r w:rsidRPr="001B4A02">
          <w:delText xml:space="preserve"> 17 let) se středně těžkou entezopatickou artritidou. Pacienti byli randomizováni do skupiny dostávající buď 24</w:delText>
        </w:r>
        <w:r w:rsidR="00294902" w:rsidRPr="00005EC2">
          <w:rPr>
            <w:szCs w:val="22"/>
          </w:rPr>
          <w:delText> </w:delText>
        </w:r>
        <w:r w:rsidRPr="001B4A02">
          <w:delText>mg/m</w:delText>
        </w:r>
        <w:r w:rsidRPr="001B4A02">
          <w:rPr>
            <w:vertAlign w:val="superscript"/>
          </w:rPr>
          <w:delText>2</w:delText>
        </w:r>
        <w:r w:rsidRPr="001B4A02">
          <w:delText xml:space="preserve"> tělesného povrchu (BSA) přípravku Humira do maximální dávky 40</w:delText>
        </w:r>
        <w:r w:rsidR="00294902" w:rsidRPr="00005EC2">
          <w:rPr>
            <w:szCs w:val="22"/>
          </w:rPr>
          <w:delText> </w:delText>
        </w:r>
        <w:r w:rsidRPr="001B4A02">
          <w:delText>mg, nebo placebo každý druhý týden po dobu 12 týdnů. Po dvojitě zaslepeném období následovalo otevřené období (OL), během kterého pacienti dostávali 24</w:delText>
        </w:r>
        <w:r w:rsidR="00294902" w:rsidRPr="00005EC2">
          <w:rPr>
            <w:szCs w:val="22"/>
          </w:rPr>
          <w:delText> </w:delText>
        </w:r>
        <w:r w:rsidRPr="001B4A02">
          <w:delText>mg/m</w:delText>
        </w:r>
        <w:r w:rsidRPr="001B4A02">
          <w:rPr>
            <w:vertAlign w:val="superscript"/>
          </w:rPr>
          <w:delText>2</w:delText>
        </w:r>
        <w:r w:rsidRPr="001B4A02">
          <w:delText xml:space="preserve"> BSA přípravku Humira do maximální dávky 40</w:delText>
        </w:r>
        <w:r w:rsidR="00294902" w:rsidRPr="00005EC2">
          <w:rPr>
            <w:szCs w:val="22"/>
          </w:rPr>
          <w:delText> </w:delText>
        </w:r>
        <w:r w:rsidRPr="001B4A02">
          <w:delText>mg každý druhý týden subkutánně až po dobu do maximálně 192 týdnů. Primárním cílovým parametrem byla procentuální změna v počtu aktivních kloubů s artritidou (otok nezpůsoben deformitou nebo klouby s úbytkem pohyblivosti plus bolest a/nebo citlivost) od počátku do týdne 12, které bylo dosaženo průměrným procentuálním snížením -62,6</w:delText>
        </w:r>
        <w:r>
          <w:delText> %</w:delText>
        </w:r>
        <w:r w:rsidRPr="001B4A02">
          <w:delText xml:space="preserve"> (střední procentuální změna -88,9</w:delText>
        </w:r>
        <w:r>
          <w:delText> %</w:delText>
        </w:r>
        <w:r w:rsidRPr="001B4A02">
          <w:delText>) u pacientů ve skupině s </w:delText>
        </w:r>
        <w:r w:rsidRPr="001B4A02">
          <w:rPr>
            <w:szCs w:val="22"/>
          </w:rPr>
          <w:delText xml:space="preserve">přípravkem </w:delText>
        </w:r>
        <w:r w:rsidRPr="001B4A02">
          <w:delText>Humira ve srovnání s -11,6</w:delText>
        </w:r>
        <w:r>
          <w:delText> %</w:delText>
        </w:r>
        <w:r w:rsidRPr="001B4A02">
          <w:delText xml:space="preserve"> (střední procentuální změna -50,0</w:delText>
        </w:r>
        <w:r>
          <w:delText> %</w:delText>
        </w:r>
        <w:r w:rsidRPr="001B4A02">
          <w:delText>) u pacientů ve skupině s placebem. Zlepšení v počtu aktivních kloubů s artritidou bylo během OL období do týdne 156 udrženo u 26 z 31 (84</w:delText>
        </w:r>
        <w:r>
          <w:delText> %</w:delText>
        </w:r>
        <w:r w:rsidRPr="001B4A02">
          <w:delText>) pacientů ve skupině s přípravkem Humira, kteří setrvávali ve studii. Ačkoli to nebylo statisticky významné, u většiny pacientů bylo prokázáno klinické zlepšení sekundárních cílových parametrů, jako počet míst s entesitidou, počet citlivých kloubů (TJC), počet oteklých kloubů (SJC), pediatrická ACR 50 odpověď</w:delText>
        </w:r>
        <w:r w:rsidR="002378E0">
          <w:delText xml:space="preserve"> a </w:delText>
        </w:r>
        <w:r w:rsidRPr="001B4A02">
          <w:delText>pediatrická ACR 70 odpověď.</w:delText>
        </w:r>
      </w:del>
    </w:p>
    <w:p w14:paraId="1E4A350A" w14:textId="77777777" w:rsidR="00151CAD" w:rsidRPr="001B4A02" w:rsidRDefault="00151CAD" w:rsidP="00151CAD">
      <w:pPr>
        <w:ind w:left="0" w:firstLine="0"/>
        <w:rPr>
          <w:del w:id="2982" w:author="AbbVie1" w:date="2025-05-13T09:50:00Z"/>
          <w:u w:val="single"/>
        </w:rPr>
      </w:pPr>
    </w:p>
    <w:p w14:paraId="1FE180C6" w14:textId="77777777" w:rsidR="00D76799" w:rsidRPr="001B4A02" w:rsidRDefault="00000000" w:rsidP="00D76799">
      <w:pPr>
        <w:pStyle w:val="EMEANormal"/>
        <w:keepNext/>
        <w:tabs>
          <w:tab w:val="clear" w:pos="562"/>
        </w:tabs>
        <w:suppressAutoHyphens w:val="0"/>
        <w:rPr>
          <w:del w:id="2983" w:author="AbbVie1" w:date="2025-05-13T09:50:00Z"/>
          <w:i/>
          <w:lang w:val="cs-CZ"/>
        </w:rPr>
      </w:pPr>
      <w:del w:id="2984" w:author="AbbVie1" w:date="2025-05-13T09:50:00Z">
        <w:r w:rsidRPr="001B4A02">
          <w:rPr>
            <w:i/>
            <w:lang w:val="cs-CZ"/>
          </w:rPr>
          <w:delText>Ložisková psoriáza u pediatrických pacientů</w:delText>
        </w:r>
      </w:del>
    </w:p>
    <w:p w14:paraId="2915F1FD" w14:textId="77777777" w:rsidR="00D76799" w:rsidRPr="001B4A02" w:rsidRDefault="00D76799" w:rsidP="00D76799">
      <w:pPr>
        <w:pStyle w:val="EMEANormal"/>
        <w:keepNext/>
        <w:tabs>
          <w:tab w:val="clear" w:pos="562"/>
        </w:tabs>
        <w:suppressAutoHyphens w:val="0"/>
        <w:rPr>
          <w:del w:id="2985" w:author="AbbVie1" w:date="2025-05-13T09:50:00Z"/>
          <w:u w:val="single"/>
          <w:lang w:val="cs-CZ"/>
        </w:rPr>
      </w:pPr>
    </w:p>
    <w:p w14:paraId="49F14A61" w14:textId="77777777" w:rsidR="00D76799" w:rsidRPr="001B4A02" w:rsidRDefault="00000000" w:rsidP="00D76799">
      <w:pPr>
        <w:pStyle w:val="EMEANormal"/>
        <w:tabs>
          <w:tab w:val="clear" w:pos="562"/>
        </w:tabs>
        <w:suppressAutoHyphens w:val="0"/>
        <w:rPr>
          <w:del w:id="2986" w:author="AbbVie1" w:date="2025-05-13T09:50:00Z"/>
          <w:szCs w:val="22"/>
          <w:lang w:val="cs-CZ"/>
        </w:rPr>
      </w:pPr>
      <w:del w:id="2987" w:author="AbbVie1" w:date="2025-05-13T09:50:00Z">
        <w:r w:rsidRPr="001B4A02">
          <w:rPr>
            <w:lang w:val="cs-CZ"/>
          </w:rPr>
          <w:delText>Účinnost přípravku Humira byla hodnocena v randomizované, dvojitě zaslepené, kontrolované studii u 114 pediatrických pacientů ve věku od 4 let s těžkou chronickou ložiskovou psoriázou (definovanou jako „Physician´s Global Assessment“ (PGA)</w:delText>
        </w:r>
        <w:r w:rsidRPr="001B4A02">
          <w:rPr>
            <w:szCs w:val="22"/>
            <w:lang w:val="cs-CZ"/>
          </w:rPr>
          <w:delText xml:space="preserve"> ≥ 4 nebo &gt; 20 % BSA nebo &gt; 10 % BSA s velmi tenkými lézemi nebo “</w:delText>
        </w:r>
        <w:r w:rsidRPr="001B4A02">
          <w:rPr>
            <w:lang w:val="cs-CZ"/>
          </w:rPr>
          <w:delText>Psoriasis Area and Severity Index</w:delText>
        </w:r>
        <w:r w:rsidRPr="001B4A02">
          <w:rPr>
            <w:szCs w:val="22"/>
            <w:lang w:val="cs-CZ"/>
          </w:rPr>
          <w:delText>“ (PASI) ≥ 20 nebo ≥ 10 s klinicky relevantním postižením obličeje, genitálií nebo rukou/chodidel), kteří neadekvátně reagovali na lokální terapii</w:delText>
        </w:r>
        <w:r w:rsidR="002378E0">
          <w:rPr>
            <w:szCs w:val="22"/>
            <w:lang w:val="cs-CZ"/>
          </w:rPr>
          <w:delText xml:space="preserve"> a </w:delText>
        </w:r>
        <w:r w:rsidRPr="001B4A02">
          <w:rPr>
            <w:szCs w:val="22"/>
            <w:lang w:val="cs-CZ"/>
          </w:rPr>
          <w:delText>helioterapii nebo fototerapii.</w:delText>
        </w:r>
      </w:del>
    </w:p>
    <w:p w14:paraId="48BF526A" w14:textId="77777777" w:rsidR="00D76799" w:rsidRPr="001B4A02" w:rsidRDefault="00D76799" w:rsidP="00D76799">
      <w:pPr>
        <w:pStyle w:val="EMEANormal"/>
        <w:tabs>
          <w:tab w:val="clear" w:pos="562"/>
        </w:tabs>
        <w:suppressAutoHyphens w:val="0"/>
        <w:rPr>
          <w:del w:id="2988" w:author="AbbVie1" w:date="2025-05-13T09:50:00Z"/>
          <w:szCs w:val="22"/>
          <w:lang w:val="cs-CZ"/>
        </w:rPr>
      </w:pPr>
    </w:p>
    <w:p w14:paraId="6EC98AEA" w14:textId="77777777" w:rsidR="00D76799" w:rsidRPr="001B4A02" w:rsidRDefault="00000000" w:rsidP="00D76799">
      <w:pPr>
        <w:pStyle w:val="EMEANormal"/>
        <w:tabs>
          <w:tab w:val="clear" w:pos="562"/>
        </w:tabs>
        <w:suppressAutoHyphens w:val="0"/>
        <w:rPr>
          <w:del w:id="2989" w:author="AbbVie1" w:date="2025-05-13T09:50:00Z"/>
          <w:szCs w:val="22"/>
          <w:lang w:val="cs-CZ"/>
        </w:rPr>
      </w:pPr>
      <w:del w:id="2990" w:author="AbbVie1" w:date="2025-05-13T09:50:00Z">
        <w:r w:rsidRPr="001B4A02">
          <w:rPr>
            <w:szCs w:val="22"/>
            <w:lang w:val="cs-CZ"/>
          </w:rPr>
          <w:delText>Pacienti dostávali přípravek Humira 0,8</w:delText>
        </w:r>
        <w:r w:rsidR="00294902" w:rsidRPr="00294902">
          <w:rPr>
            <w:szCs w:val="22"/>
            <w:lang w:val="cs-CZ"/>
          </w:rPr>
          <w:delText> </w:delText>
        </w:r>
        <w:r w:rsidRPr="001B4A02">
          <w:rPr>
            <w:szCs w:val="22"/>
            <w:lang w:val="cs-CZ"/>
          </w:rPr>
          <w:delText>mg/kg každý druhý týden (do maximální dávky 40</w:delText>
        </w:r>
        <w:r w:rsidR="00294902" w:rsidRPr="00294902">
          <w:rPr>
            <w:szCs w:val="22"/>
            <w:lang w:val="cs-CZ"/>
          </w:rPr>
          <w:delText> </w:delText>
        </w:r>
        <w:r w:rsidRPr="001B4A02">
          <w:rPr>
            <w:szCs w:val="22"/>
            <w:lang w:val="cs-CZ"/>
          </w:rPr>
          <w:delText>mg), 0,4</w:delText>
        </w:r>
        <w:r>
          <w:rPr>
            <w:szCs w:val="22"/>
            <w:lang w:val="cs-CZ"/>
          </w:rPr>
          <w:delText> </w:delText>
        </w:r>
        <w:r w:rsidRPr="001B4A02">
          <w:rPr>
            <w:szCs w:val="22"/>
            <w:lang w:val="cs-CZ"/>
          </w:rPr>
          <w:delText>mg/kg každý druhý týden (do maximální dávky 20</w:delText>
        </w:r>
        <w:r w:rsidR="00294902" w:rsidRPr="00294902">
          <w:rPr>
            <w:szCs w:val="22"/>
            <w:lang w:val="cs-CZ"/>
          </w:rPr>
          <w:delText> </w:delText>
        </w:r>
        <w:r w:rsidRPr="001B4A02">
          <w:rPr>
            <w:szCs w:val="22"/>
            <w:lang w:val="cs-CZ"/>
          </w:rPr>
          <w:delText>mg) nebo methotrexát 0,1–0,4</w:delText>
        </w:r>
        <w:r w:rsidR="00294902" w:rsidRPr="00294902">
          <w:rPr>
            <w:szCs w:val="22"/>
            <w:lang w:val="cs-CZ"/>
          </w:rPr>
          <w:delText> </w:delText>
        </w:r>
        <w:r w:rsidRPr="001B4A02">
          <w:rPr>
            <w:szCs w:val="22"/>
            <w:lang w:val="cs-CZ"/>
          </w:rPr>
          <w:delText>mg/kg týdně (do maximální dávky 25</w:delText>
        </w:r>
        <w:r w:rsidR="00294902" w:rsidRPr="00294902">
          <w:rPr>
            <w:szCs w:val="22"/>
            <w:lang w:val="cs-CZ"/>
          </w:rPr>
          <w:delText> </w:delText>
        </w:r>
        <w:r w:rsidRPr="001B4A02">
          <w:rPr>
            <w:szCs w:val="22"/>
            <w:lang w:val="cs-CZ"/>
          </w:rPr>
          <w:delText>mg). V týdnu 16 dosáhlo pozitivní odpovědi týkající se účinnosti (např. PASI 75) více pacientů randomizovaných do skupiny používající přípravek Humira v dávce 0,8</w:delText>
        </w:r>
        <w:r w:rsidR="00294902" w:rsidRPr="00294902">
          <w:rPr>
            <w:szCs w:val="22"/>
            <w:lang w:val="cs-CZ"/>
          </w:rPr>
          <w:delText> </w:delText>
        </w:r>
        <w:r w:rsidRPr="001B4A02">
          <w:rPr>
            <w:szCs w:val="22"/>
            <w:lang w:val="cs-CZ"/>
          </w:rPr>
          <w:delText>mg/kg než pacientů, kteří byli randomizováni do skupiny používající 0,4</w:delText>
        </w:r>
        <w:r w:rsidR="00294902" w:rsidRPr="00294902">
          <w:rPr>
            <w:szCs w:val="22"/>
            <w:lang w:val="cs-CZ"/>
          </w:rPr>
          <w:delText> </w:delText>
        </w:r>
        <w:r w:rsidRPr="001B4A02">
          <w:rPr>
            <w:szCs w:val="22"/>
            <w:lang w:val="cs-CZ"/>
          </w:rPr>
          <w:delText>mg/kg každý druhý týden nebo methotrexát.</w:delText>
        </w:r>
      </w:del>
    </w:p>
    <w:p w14:paraId="44E32E1D" w14:textId="77777777" w:rsidR="00D76799" w:rsidRPr="001B4A02" w:rsidRDefault="00D76799" w:rsidP="00D76799">
      <w:pPr>
        <w:pStyle w:val="EMEANormal"/>
        <w:tabs>
          <w:tab w:val="clear" w:pos="562"/>
        </w:tabs>
        <w:suppressAutoHyphens w:val="0"/>
        <w:rPr>
          <w:del w:id="2991" w:author="AbbVie1" w:date="2025-05-13T09:50:00Z"/>
          <w:szCs w:val="22"/>
          <w:lang w:val="cs-CZ"/>
        </w:rPr>
      </w:pPr>
    </w:p>
    <w:tbl>
      <w:tblPr>
        <w:tblW w:w="4721"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396"/>
        <w:gridCol w:w="1621"/>
        <w:gridCol w:w="3548"/>
      </w:tblGrid>
      <w:tr w:rsidR="00534A2D" w14:paraId="7A2287C1" w14:textId="77777777" w:rsidTr="00E571F5">
        <w:trPr>
          <w:jc w:val="center"/>
          <w:del w:id="2992" w:author="AbbVie1" w:date="2025-05-13T09:50:00Z"/>
        </w:trPr>
        <w:tc>
          <w:tcPr>
            <w:tcW w:w="5000" w:type="pct"/>
            <w:gridSpan w:val="3"/>
            <w:tcBorders>
              <w:top w:val="nil"/>
              <w:left w:val="nil"/>
              <w:bottom w:val="nil"/>
              <w:right w:val="nil"/>
            </w:tcBorders>
            <w:vAlign w:val="center"/>
          </w:tcPr>
          <w:p w14:paraId="5A6CF928" w14:textId="77777777" w:rsidR="00D76799" w:rsidRPr="001B4A02" w:rsidRDefault="00000000" w:rsidP="00E571F5">
            <w:pPr>
              <w:keepNext/>
              <w:autoSpaceDE w:val="0"/>
              <w:autoSpaceDN w:val="0"/>
              <w:adjustRightInd w:val="0"/>
              <w:jc w:val="center"/>
              <w:rPr>
                <w:del w:id="2993" w:author="AbbVie1" w:date="2025-05-13T09:50:00Z"/>
                <w:b/>
                <w:bCs/>
                <w:szCs w:val="22"/>
              </w:rPr>
            </w:pPr>
            <w:del w:id="2994" w:author="AbbVie1" w:date="2025-05-13T09:50:00Z">
              <w:r w:rsidRPr="001B4A02">
                <w:rPr>
                  <w:rStyle w:val="gtcbold9"/>
                  <w:bCs w:val="0"/>
                  <w:szCs w:val="22"/>
                </w:rPr>
                <w:delText xml:space="preserve">Tabulka </w:delText>
              </w:r>
              <w:r w:rsidR="00AB282F">
                <w:rPr>
                  <w:rStyle w:val="gtcbold9"/>
                  <w:bCs w:val="0"/>
                  <w:szCs w:val="22"/>
                </w:rPr>
                <w:delText>2</w:delText>
              </w:r>
              <w:r w:rsidR="00AB282F">
                <w:rPr>
                  <w:rStyle w:val="gtcbold9"/>
                  <w:szCs w:val="22"/>
                </w:rPr>
                <w:delText>2</w:delText>
              </w:r>
              <w:r w:rsidRPr="001B4A02">
                <w:rPr>
                  <w:rStyle w:val="gtcbold9"/>
                  <w:bCs w:val="0"/>
                  <w:szCs w:val="22"/>
                </w:rPr>
                <w:delText xml:space="preserve">: </w:delText>
              </w:r>
              <w:r w:rsidRPr="001B4A02">
                <w:rPr>
                  <w:b/>
                  <w:bCs/>
                  <w:szCs w:val="22"/>
                </w:rPr>
                <w:delText>Výsledky účinnosti v týdnu 16 u ložiskové psoriázy u pediatrických pacientů</w:delText>
              </w:r>
            </w:del>
          </w:p>
          <w:p w14:paraId="219F5F94" w14:textId="77777777" w:rsidR="00D76799" w:rsidRPr="001B4A02" w:rsidRDefault="00D76799" w:rsidP="00E571F5">
            <w:pPr>
              <w:jc w:val="center"/>
              <w:rPr>
                <w:del w:id="2995" w:author="AbbVie1" w:date="2025-05-13T09:50:00Z"/>
                <w:b/>
                <w:szCs w:val="22"/>
              </w:rPr>
            </w:pPr>
          </w:p>
        </w:tc>
      </w:tr>
      <w:tr w:rsidR="00534A2D" w14:paraId="1E4C2C0F" w14:textId="77777777" w:rsidTr="00E571F5">
        <w:trPr>
          <w:jc w:val="center"/>
          <w:del w:id="2996" w:author="AbbVie1" w:date="2025-05-13T09:50:00Z"/>
        </w:trPr>
        <w:tc>
          <w:tcPr>
            <w:tcW w:w="0" w:type="auto"/>
            <w:tcBorders>
              <w:top w:val="single" w:sz="6" w:space="0" w:color="000000"/>
              <w:left w:val="single" w:sz="6" w:space="0" w:color="000000"/>
              <w:bottom w:val="outset" w:sz="6" w:space="0" w:color="auto"/>
              <w:right w:val="outset" w:sz="6" w:space="0" w:color="auto"/>
            </w:tcBorders>
            <w:vAlign w:val="center"/>
          </w:tcPr>
          <w:p w14:paraId="19BEF2E6" w14:textId="77777777" w:rsidR="00D76799" w:rsidRPr="001B4A02" w:rsidRDefault="00D76799" w:rsidP="00E571F5">
            <w:pPr>
              <w:ind w:left="0" w:firstLine="0"/>
              <w:rPr>
                <w:del w:id="2997" w:author="AbbVie1" w:date="2025-05-13T09:50:00Z"/>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4D7917BA" w14:textId="77777777" w:rsidR="00D76799" w:rsidRPr="001B4A02" w:rsidRDefault="00000000" w:rsidP="00E571F5">
            <w:pPr>
              <w:ind w:left="0" w:firstLine="0"/>
              <w:jc w:val="center"/>
              <w:rPr>
                <w:del w:id="2998" w:author="AbbVie1" w:date="2025-05-13T09:50:00Z"/>
                <w:szCs w:val="22"/>
              </w:rPr>
            </w:pPr>
            <w:del w:id="2999" w:author="AbbVie1" w:date="2025-05-13T09:50:00Z">
              <w:r w:rsidRPr="001B4A02">
                <w:rPr>
                  <w:szCs w:val="22"/>
                </w:rPr>
                <w:delText>MTX</w:delText>
              </w:r>
              <w:r w:rsidRPr="001B4A02">
                <w:rPr>
                  <w:szCs w:val="22"/>
                  <w:vertAlign w:val="superscript"/>
                </w:rPr>
                <w:delText>a</w:delText>
              </w:r>
            </w:del>
          </w:p>
          <w:p w14:paraId="399020EC" w14:textId="77777777" w:rsidR="00D76799" w:rsidRPr="001B4A02" w:rsidRDefault="00000000" w:rsidP="00E571F5">
            <w:pPr>
              <w:ind w:left="0" w:firstLine="0"/>
              <w:jc w:val="center"/>
              <w:rPr>
                <w:del w:id="3000" w:author="AbbVie1" w:date="2025-05-13T09:50:00Z"/>
                <w:szCs w:val="22"/>
              </w:rPr>
            </w:pPr>
            <w:del w:id="3001" w:author="AbbVie1" w:date="2025-05-13T09:50:00Z">
              <w:r>
                <w:rPr>
                  <w:szCs w:val="22"/>
                </w:rPr>
                <w:delText>n</w:delText>
              </w:r>
              <w:r w:rsidRPr="001B4A02">
                <w:rPr>
                  <w:szCs w:val="22"/>
                </w:rPr>
                <w:delText>=37</w:delText>
              </w:r>
            </w:del>
          </w:p>
        </w:tc>
        <w:tc>
          <w:tcPr>
            <w:tcW w:w="2071" w:type="pct"/>
            <w:tcBorders>
              <w:top w:val="single" w:sz="6" w:space="0" w:color="000000"/>
              <w:left w:val="single" w:sz="6" w:space="0" w:color="000000"/>
              <w:bottom w:val="outset" w:sz="6" w:space="0" w:color="auto"/>
              <w:right w:val="single" w:sz="6" w:space="0" w:color="000000"/>
            </w:tcBorders>
            <w:vAlign w:val="center"/>
          </w:tcPr>
          <w:p w14:paraId="694BDC37" w14:textId="77777777" w:rsidR="00D76799" w:rsidRPr="001B4A02" w:rsidRDefault="00000000" w:rsidP="00E571F5">
            <w:pPr>
              <w:ind w:left="0" w:firstLine="0"/>
              <w:jc w:val="center"/>
              <w:rPr>
                <w:del w:id="3002" w:author="AbbVie1" w:date="2025-05-13T09:50:00Z"/>
                <w:szCs w:val="22"/>
              </w:rPr>
            </w:pPr>
            <w:del w:id="3003" w:author="AbbVie1" w:date="2025-05-13T09:50:00Z">
              <w:r w:rsidRPr="001B4A02">
                <w:rPr>
                  <w:szCs w:val="22"/>
                </w:rPr>
                <w:delText>Humira 0,8 mg/kg každý druhý týden</w:delText>
              </w:r>
              <w:r w:rsidRPr="001B4A02">
                <w:rPr>
                  <w:szCs w:val="22"/>
                </w:rPr>
                <w:br/>
              </w:r>
              <w:r>
                <w:rPr>
                  <w:szCs w:val="22"/>
                </w:rPr>
                <w:delText>n</w:delText>
              </w:r>
              <w:r w:rsidRPr="001B4A02">
                <w:rPr>
                  <w:szCs w:val="22"/>
                </w:rPr>
                <w:delText xml:space="preserve">=38 </w:delText>
              </w:r>
            </w:del>
          </w:p>
        </w:tc>
      </w:tr>
      <w:tr w:rsidR="00534A2D" w14:paraId="6C967008" w14:textId="77777777" w:rsidTr="00E571F5">
        <w:trPr>
          <w:jc w:val="center"/>
          <w:del w:id="3004" w:author="AbbVie1" w:date="2025-05-13T09:50:00Z"/>
        </w:trPr>
        <w:tc>
          <w:tcPr>
            <w:tcW w:w="0" w:type="auto"/>
            <w:tcBorders>
              <w:top w:val="single" w:sz="6" w:space="0" w:color="000000"/>
              <w:left w:val="single" w:sz="6" w:space="0" w:color="000000"/>
              <w:bottom w:val="outset" w:sz="6" w:space="0" w:color="auto"/>
              <w:right w:val="outset" w:sz="6" w:space="0" w:color="auto"/>
            </w:tcBorders>
            <w:vAlign w:val="center"/>
          </w:tcPr>
          <w:p w14:paraId="6B42FB83" w14:textId="77777777" w:rsidR="00D76799" w:rsidRPr="001B4A02" w:rsidRDefault="00000000" w:rsidP="00E571F5">
            <w:pPr>
              <w:ind w:left="0" w:firstLine="0"/>
              <w:rPr>
                <w:del w:id="3005" w:author="AbbVie1" w:date="2025-05-13T09:50:00Z"/>
                <w:szCs w:val="22"/>
              </w:rPr>
            </w:pPr>
            <w:del w:id="3006" w:author="AbbVie1" w:date="2025-05-13T09:50:00Z">
              <w:r w:rsidRPr="001B4A02">
                <w:rPr>
                  <w:szCs w:val="22"/>
                </w:rPr>
                <w:delText> </w:delText>
              </w:r>
              <w:r w:rsidRPr="001B4A02">
                <w:rPr>
                  <w:szCs w:val="22"/>
                </w:rPr>
                <w:delText>PASI 75</w:delText>
              </w:r>
              <w:r w:rsidRPr="001B4A02">
                <w:rPr>
                  <w:szCs w:val="22"/>
                  <w:vertAlign w:val="superscript"/>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14:paraId="03B7B60C" w14:textId="77777777" w:rsidR="00D76799" w:rsidRPr="001B4A02" w:rsidRDefault="00000000" w:rsidP="00E571F5">
            <w:pPr>
              <w:ind w:left="0" w:firstLine="0"/>
              <w:jc w:val="center"/>
              <w:rPr>
                <w:del w:id="3007" w:author="AbbVie1" w:date="2025-05-13T09:50:00Z"/>
                <w:szCs w:val="22"/>
              </w:rPr>
            </w:pPr>
            <w:del w:id="3008" w:author="AbbVie1" w:date="2025-05-13T09:50:00Z">
              <w:r w:rsidRPr="001B4A02">
                <w:rPr>
                  <w:szCs w:val="22"/>
                </w:rPr>
                <w:delText>12 (32,4 %)</w:delText>
              </w:r>
            </w:del>
          </w:p>
        </w:tc>
        <w:tc>
          <w:tcPr>
            <w:tcW w:w="2071" w:type="pct"/>
            <w:tcBorders>
              <w:top w:val="single" w:sz="6" w:space="0" w:color="000000"/>
              <w:left w:val="single" w:sz="6" w:space="0" w:color="000000"/>
              <w:bottom w:val="outset" w:sz="6" w:space="0" w:color="auto"/>
              <w:right w:val="single" w:sz="6" w:space="0" w:color="000000"/>
            </w:tcBorders>
            <w:vAlign w:val="center"/>
          </w:tcPr>
          <w:p w14:paraId="39CF9BBD" w14:textId="77777777" w:rsidR="00D76799" w:rsidRPr="001B4A02" w:rsidRDefault="00000000" w:rsidP="00E571F5">
            <w:pPr>
              <w:ind w:left="0" w:firstLine="0"/>
              <w:jc w:val="center"/>
              <w:rPr>
                <w:del w:id="3009" w:author="AbbVie1" w:date="2025-05-13T09:50:00Z"/>
                <w:szCs w:val="22"/>
              </w:rPr>
            </w:pPr>
            <w:del w:id="3010" w:author="AbbVie1" w:date="2025-05-13T09:50:00Z">
              <w:r w:rsidRPr="001B4A02">
                <w:rPr>
                  <w:szCs w:val="22"/>
                </w:rPr>
                <w:delText>22 (57,9 %)</w:delText>
              </w:r>
            </w:del>
          </w:p>
        </w:tc>
      </w:tr>
      <w:tr w:rsidR="00534A2D" w14:paraId="7B0554A1" w14:textId="77777777" w:rsidTr="00E571F5">
        <w:trPr>
          <w:jc w:val="center"/>
          <w:del w:id="3011" w:author="AbbVie1" w:date="2025-05-13T09:50:00Z"/>
        </w:trPr>
        <w:tc>
          <w:tcPr>
            <w:tcW w:w="0" w:type="auto"/>
            <w:tcBorders>
              <w:top w:val="single" w:sz="6" w:space="0" w:color="000000"/>
              <w:left w:val="single" w:sz="6" w:space="0" w:color="000000"/>
              <w:bottom w:val="single" w:sz="6" w:space="0" w:color="000000"/>
              <w:right w:val="outset" w:sz="6" w:space="0" w:color="auto"/>
            </w:tcBorders>
            <w:vAlign w:val="center"/>
          </w:tcPr>
          <w:p w14:paraId="6254E2F5" w14:textId="77777777" w:rsidR="00D76799" w:rsidRPr="001B4A02" w:rsidRDefault="00000000" w:rsidP="00E571F5">
            <w:pPr>
              <w:ind w:left="0" w:firstLine="0"/>
              <w:rPr>
                <w:del w:id="3012" w:author="AbbVie1" w:date="2025-05-13T09:50:00Z"/>
                <w:szCs w:val="22"/>
              </w:rPr>
            </w:pPr>
            <w:del w:id="3013" w:author="AbbVie1" w:date="2025-05-13T09:50:00Z">
              <w:r w:rsidRPr="001B4A02">
                <w:rPr>
                  <w:szCs w:val="22"/>
                </w:rPr>
                <w:delText> </w:delText>
              </w:r>
              <w:r w:rsidRPr="001B4A02">
                <w:rPr>
                  <w:szCs w:val="22"/>
                </w:rPr>
                <w:delText>PGA: čistý/minimální</w:delText>
              </w:r>
              <w:r w:rsidRPr="001B4A02">
                <w:rPr>
                  <w:szCs w:val="22"/>
                  <w:vertAlign w:val="superscript"/>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14:paraId="6D93BB2D" w14:textId="77777777" w:rsidR="00D76799" w:rsidRPr="001B4A02" w:rsidRDefault="00000000" w:rsidP="00E571F5">
            <w:pPr>
              <w:ind w:left="0" w:firstLine="0"/>
              <w:jc w:val="center"/>
              <w:rPr>
                <w:del w:id="3014" w:author="AbbVie1" w:date="2025-05-13T09:50:00Z"/>
                <w:szCs w:val="22"/>
              </w:rPr>
            </w:pPr>
            <w:del w:id="3015" w:author="AbbVie1" w:date="2025-05-13T09:50:00Z">
              <w:r w:rsidRPr="001B4A02">
                <w:rPr>
                  <w:szCs w:val="22"/>
                </w:rPr>
                <w:delText>15 (40,5 %)</w:delText>
              </w:r>
            </w:del>
          </w:p>
        </w:tc>
        <w:tc>
          <w:tcPr>
            <w:tcW w:w="2071" w:type="pct"/>
            <w:tcBorders>
              <w:top w:val="single" w:sz="6" w:space="0" w:color="000000"/>
              <w:left w:val="single" w:sz="6" w:space="0" w:color="000000"/>
              <w:bottom w:val="single" w:sz="6" w:space="0" w:color="000000"/>
              <w:right w:val="single" w:sz="6" w:space="0" w:color="000000"/>
            </w:tcBorders>
            <w:vAlign w:val="center"/>
          </w:tcPr>
          <w:p w14:paraId="578095F2" w14:textId="77777777" w:rsidR="00D76799" w:rsidRPr="001B4A02" w:rsidRDefault="00000000" w:rsidP="00E571F5">
            <w:pPr>
              <w:ind w:left="0" w:firstLine="0"/>
              <w:jc w:val="center"/>
              <w:rPr>
                <w:del w:id="3016" w:author="AbbVie1" w:date="2025-05-13T09:50:00Z"/>
                <w:szCs w:val="22"/>
              </w:rPr>
            </w:pPr>
            <w:del w:id="3017" w:author="AbbVie1" w:date="2025-05-13T09:50:00Z">
              <w:r w:rsidRPr="001B4A02">
                <w:rPr>
                  <w:szCs w:val="22"/>
                </w:rPr>
                <w:delText>23 (60,5 %)</w:delText>
              </w:r>
            </w:del>
          </w:p>
        </w:tc>
      </w:tr>
      <w:tr w:rsidR="00534A2D" w14:paraId="687EACCA" w14:textId="77777777" w:rsidTr="00E571F5">
        <w:trPr>
          <w:jc w:val="center"/>
          <w:del w:id="3018" w:author="AbbVie1" w:date="2025-05-13T09:50: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168C9E06" w14:textId="77777777" w:rsidR="00D76799" w:rsidRPr="001B4A02" w:rsidRDefault="00000000" w:rsidP="00E571F5">
            <w:pPr>
              <w:ind w:left="0" w:firstLine="0"/>
              <w:rPr>
                <w:del w:id="3019" w:author="AbbVie1" w:date="2025-05-13T09:50:00Z"/>
                <w:szCs w:val="22"/>
              </w:rPr>
            </w:pPr>
            <w:del w:id="3020" w:author="AbbVie1" w:date="2025-05-13T09:50:00Z">
              <w:r w:rsidRPr="001B4A02">
                <w:rPr>
                  <w:szCs w:val="22"/>
                  <w:vertAlign w:val="superscript"/>
                </w:rPr>
                <w:delText xml:space="preserve">a </w:delText>
              </w:r>
              <w:r w:rsidRPr="001B4A02">
                <w:rPr>
                  <w:szCs w:val="22"/>
                </w:rPr>
                <w:delText>MTX = methotrexát</w:delText>
              </w:r>
            </w:del>
          </w:p>
          <w:p w14:paraId="2B9717A2" w14:textId="77777777" w:rsidR="00D76799" w:rsidRPr="001B4A02" w:rsidRDefault="00000000" w:rsidP="00E571F5">
            <w:pPr>
              <w:ind w:left="0" w:firstLine="0"/>
              <w:rPr>
                <w:del w:id="3021" w:author="AbbVie1" w:date="2025-05-13T09:50:00Z"/>
                <w:szCs w:val="22"/>
              </w:rPr>
            </w:pPr>
            <w:del w:id="3022" w:author="AbbVie1" w:date="2025-05-13T09:50:00Z">
              <w:r w:rsidRPr="001B4A02">
                <w:rPr>
                  <w:szCs w:val="22"/>
                  <w:vertAlign w:val="superscript"/>
                </w:rPr>
                <w:delText>b</w:delText>
              </w:r>
              <w:r w:rsidRPr="001B4A02">
                <w:rPr>
                  <w:szCs w:val="22"/>
                </w:rPr>
                <w:delText xml:space="preserve"> P=0,027, přípravek</w:delText>
              </w:r>
              <w:r w:rsidRPr="001B4A02">
                <w:rPr>
                  <w:sz w:val="20"/>
                </w:rPr>
                <w:delText xml:space="preserve"> </w:delText>
              </w:r>
              <w:r w:rsidRPr="001B4A02">
                <w:rPr>
                  <w:szCs w:val="22"/>
                </w:rPr>
                <w:delText>Humira 0,8</w:delText>
              </w:r>
              <w:r w:rsidR="00294902" w:rsidRPr="00005EC2">
                <w:rPr>
                  <w:szCs w:val="22"/>
                </w:rPr>
                <w:delText> </w:delText>
              </w:r>
              <w:r w:rsidRPr="001B4A02">
                <w:rPr>
                  <w:szCs w:val="22"/>
                </w:rPr>
                <w:delText>mg/kg versus MTX</w:delText>
              </w:r>
            </w:del>
          </w:p>
          <w:p w14:paraId="5E727851" w14:textId="77777777" w:rsidR="00D76799" w:rsidRPr="001B4A02" w:rsidRDefault="00000000" w:rsidP="00E571F5">
            <w:pPr>
              <w:ind w:left="0" w:firstLine="0"/>
              <w:rPr>
                <w:del w:id="3023" w:author="AbbVie1" w:date="2025-05-13T09:50:00Z"/>
                <w:szCs w:val="22"/>
              </w:rPr>
            </w:pPr>
            <w:del w:id="3024" w:author="AbbVie1" w:date="2025-05-13T09:50:00Z">
              <w:r w:rsidRPr="001B4A02">
                <w:rPr>
                  <w:szCs w:val="22"/>
                  <w:vertAlign w:val="superscript"/>
                </w:rPr>
                <w:delText>c</w:delText>
              </w:r>
              <w:r w:rsidRPr="001B4A02">
                <w:rPr>
                  <w:szCs w:val="22"/>
                </w:rPr>
                <w:delText xml:space="preserve"> P=0,083, přípravek</w:delText>
              </w:r>
              <w:r w:rsidRPr="001B4A02">
                <w:rPr>
                  <w:sz w:val="20"/>
                </w:rPr>
                <w:delText xml:space="preserve"> </w:delText>
              </w:r>
              <w:r w:rsidRPr="001B4A02">
                <w:rPr>
                  <w:szCs w:val="22"/>
                </w:rPr>
                <w:delText>Humira 0,8</w:delText>
              </w:r>
              <w:r w:rsidR="00294902" w:rsidRPr="00005EC2">
                <w:rPr>
                  <w:szCs w:val="22"/>
                </w:rPr>
                <w:delText> </w:delText>
              </w:r>
              <w:r w:rsidRPr="001B4A02">
                <w:rPr>
                  <w:szCs w:val="22"/>
                </w:rPr>
                <w:delText>mg/kg versus MTX</w:delText>
              </w:r>
            </w:del>
          </w:p>
        </w:tc>
      </w:tr>
    </w:tbl>
    <w:p w14:paraId="5EB7BAC4" w14:textId="77777777" w:rsidR="00D76799" w:rsidRPr="001B4A02" w:rsidRDefault="00D76799" w:rsidP="00D76799">
      <w:pPr>
        <w:pStyle w:val="EMEANormal"/>
        <w:tabs>
          <w:tab w:val="clear" w:pos="562"/>
        </w:tabs>
        <w:suppressAutoHyphens w:val="0"/>
        <w:rPr>
          <w:del w:id="3025" w:author="AbbVie1" w:date="2025-05-13T09:50:00Z"/>
          <w:lang w:val="cs-CZ"/>
        </w:rPr>
      </w:pPr>
    </w:p>
    <w:p w14:paraId="4984D4EF" w14:textId="77777777" w:rsidR="00D76799" w:rsidRPr="001B4A02" w:rsidRDefault="00000000" w:rsidP="00D76799">
      <w:pPr>
        <w:pStyle w:val="EMEANormal"/>
        <w:tabs>
          <w:tab w:val="clear" w:pos="562"/>
        </w:tabs>
        <w:suppressAutoHyphens w:val="0"/>
        <w:rPr>
          <w:del w:id="3026" w:author="AbbVie1" w:date="2025-05-13T09:50:00Z"/>
          <w:lang w:val="cs-CZ"/>
        </w:rPr>
      </w:pPr>
      <w:del w:id="3027" w:author="AbbVie1" w:date="2025-05-13T09:50:00Z">
        <w:r w:rsidRPr="001B4A02">
          <w:rPr>
            <w:lang w:val="cs-CZ"/>
          </w:rPr>
          <w:delText>Pacienti, kteří dosáhli skóre PASI 75</w:delText>
        </w:r>
        <w:r w:rsidR="002378E0">
          <w:rPr>
            <w:lang w:val="cs-CZ"/>
          </w:rPr>
          <w:delText xml:space="preserve"> a </w:delText>
        </w:r>
        <w:r w:rsidRPr="001B4A02">
          <w:rPr>
            <w:lang w:val="cs-CZ"/>
          </w:rPr>
          <w:delText>PGA čisté nebo minimální, byli z léčby vyřazeni na dobu až do 36 týdnů</w:delText>
        </w:r>
        <w:r w:rsidR="002378E0">
          <w:rPr>
            <w:lang w:val="cs-CZ"/>
          </w:rPr>
          <w:delText xml:space="preserve"> a </w:delText>
        </w:r>
        <w:r w:rsidRPr="001B4A02">
          <w:rPr>
            <w:lang w:val="cs-CZ"/>
          </w:rPr>
          <w:delText>monitorováni kvůli „ztrátě kontroly nad nemocí“ (tj. zhoršení PGA skóre nejméně o 2 stupně). Pacientům byl poté znovu nasazen adalimumab 0,8</w:delText>
        </w:r>
        <w:r w:rsidR="00294902" w:rsidRPr="00294902">
          <w:rPr>
            <w:szCs w:val="22"/>
            <w:lang w:val="cs-CZ"/>
          </w:rPr>
          <w:delText> </w:delText>
        </w:r>
        <w:r w:rsidRPr="001B4A02">
          <w:rPr>
            <w:lang w:val="cs-CZ"/>
          </w:rPr>
          <w:delText>mg/kg každý druhý týden po dobu dalších 16 týdnů</w:delText>
        </w:r>
        <w:r w:rsidR="002378E0">
          <w:rPr>
            <w:lang w:val="cs-CZ"/>
          </w:rPr>
          <w:delText xml:space="preserve"> a </w:delText>
        </w:r>
        <w:r w:rsidRPr="001B4A02">
          <w:rPr>
            <w:lang w:val="cs-CZ"/>
          </w:rPr>
          <w:delText>odpovědi na léčbu pozorované během opětovné léčby byly podobné jako v předchozí dvojitě zaslepené fázi: odpověď PASI 75 byla u 78,9</w:delText>
        </w:r>
        <w:r>
          <w:rPr>
            <w:lang w:val="cs-CZ"/>
          </w:rPr>
          <w:delText> %</w:delText>
        </w:r>
        <w:r w:rsidRPr="001B4A02">
          <w:rPr>
            <w:lang w:val="cs-CZ"/>
          </w:rPr>
          <w:delText xml:space="preserve"> (15 z 19 subjektů)</w:delText>
        </w:r>
        <w:r w:rsidR="002378E0">
          <w:rPr>
            <w:lang w:val="cs-CZ"/>
          </w:rPr>
          <w:delText xml:space="preserve"> a </w:delText>
        </w:r>
        <w:r w:rsidRPr="001B4A02">
          <w:rPr>
            <w:lang w:val="cs-CZ"/>
          </w:rPr>
          <w:delText>PGA čisté nebo minimální u 52,6</w:delText>
        </w:r>
        <w:r>
          <w:rPr>
            <w:lang w:val="cs-CZ"/>
          </w:rPr>
          <w:delText> %</w:delText>
        </w:r>
        <w:r w:rsidRPr="001B4A02">
          <w:rPr>
            <w:lang w:val="cs-CZ"/>
          </w:rPr>
          <w:delText xml:space="preserve"> (10 z 19 subjektů).</w:delText>
        </w:r>
      </w:del>
    </w:p>
    <w:p w14:paraId="07E9A59A" w14:textId="77777777" w:rsidR="00D76799" w:rsidRPr="001B4A02" w:rsidRDefault="00D76799" w:rsidP="00D76799">
      <w:pPr>
        <w:pStyle w:val="EMEANormal"/>
        <w:tabs>
          <w:tab w:val="clear" w:pos="562"/>
        </w:tabs>
        <w:suppressAutoHyphens w:val="0"/>
        <w:rPr>
          <w:del w:id="3028" w:author="AbbVie1" w:date="2025-05-13T09:50:00Z"/>
          <w:lang w:val="cs-CZ"/>
        </w:rPr>
      </w:pPr>
    </w:p>
    <w:p w14:paraId="2982B114" w14:textId="77777777" w:rsidR="00D76799" w:rsidRPr="001B4A02" w:rsidRDefault="00000000" w:rsidP="00D76799">
      <w:pPr>
        <w:pStyle w:val="EMEANormal"/>
        <w:tabs>
          <w:tab w:val="clear" w:pos="562"/>
        </w:tabs>
        <w:suppressAutoHyphens w:val="0"/>
        <w:rPr>
          <w:del w:id="3029" w:author="AbbVie1" w:date="2025-05-13T09:50:00Z"/>
          <w:lang w:val="cs-CZ"/>
        </w:rPr>
      </w:pPr>
      <w:del w:id="3030" w:author="AbbVie1" w:date="2025-05-13T09:50:00Z">
        <w:r w:rsidRPr="001B4A02">
          <w:rPr>
            <w:lang w:val="cs-CZ"/>
          </w:rPr>
          <w:delText>V otevřené fázi studie byly odpovědi PASI 75</w:delText>
        </w:r>
        <w:r w:rsidR="002378E0">
          <w:rPr>
            <w:lang w:val="cs-CZ"/>
          </w:rPr>
          <w:delText xml:space="preserve"> a </w:delText>
        </w:r>
        <w:r w:rsidRPr="001B4A02">
          <w:rPr>
            <w:lang w:val="cs-CZ"/>
          </w:rPr>
          <w:delText>PGA čisté nebo minimální udrženy až po dobu dalších 52 týdnů s žádnými novými bezpečnostními nálezy.</w:delText>
        </w:r>
      </w:del>
    </w:p>
    <w:p w14:paraId="15D02595" w14:textId="77777777" w:rsidR="00D76799" w:rsidRPr="001B4A02" w:rsidRDefault="00D76799" w:rsidP="00D76799">
      <w:pPr>
        <w:pStyle w:val="EMEANormal"/>
        <w:tabs>
          <w:tab w:val="clear" w:pos="562"/>
        </w:tabs>
        <w:suppressAutoHyphens w:val="0"/>
        <w:rPr>
          <w:del w:id="3031" w:author="AbbVie1" w:date="2025-05-13T09:50:00Z"/>
          <w:lang w:val="cs-CZ"/>
        </w:rPr>
      </w:pPr>
    </w:p>
    <w:p w14:paraId="6D3E8C62" w14:textId="77777777" w:rsidR="00D76799" w:rsidRPr="001B4A02" w:rsidRDefault="00000000" w:rsidP="00D76799">
      <w:pPr>
        <w:pStyle w:val="EMEANormal"/>
        <w:keepNext/>
        <w:rPr>
          <w:del w:id="3032" w:author="AbbVie1" w:date="2025-05-13T09:50:00Z"/>
          <w:i/>
          <w:lang w:val="cs-CZ"/>
        </w:rPr>
      </w:pPr>
      <w:del w:id="3033" w:author="AbbVie1" w:date="2025-05-13T09:50:00Z">
        <w:r w:rsidRPr="001B4A02">
          <w:rPr>
            <w:i/>
            <w:iCs/>
            <w:szCs w:val="22"/>
            <w:lang w:val="cs-CZ"/>
          </w:rPr>
          <w:delText>Hidradenitis suppurativa u dospívajících</w:delText>
        </w:r>
      </w:del>
    </w:p>
    <w:p w14:paraId="139C81D7" w14:textId="77777777" w:rsidR="00D76799" w:rsidRPr="001B4A02" w:rsidRDefault="00D76799" w:rsidP="00D76799">
      <w:pPr>
        <w:pStyle w:val="EMEANormal"/>
        <w:keepNext/>
        <w:rPr>
          <w:del w:id="3034" w:author="AbbVie1" w:date="2025-05-13T09:50:00Z"/>
          <w:i/>
          <w:lang w:val="cs-CZ"/>
        </w:rPr>
      </w:pPr>
    </w:p>
    <w:p w14:paraId="762DE0DB" w14:textId="77777777" w:rsidR="00D76799" w:rsidRPr="001B4A02" w:rsidRDefault="00000000" w:rsidP="00D76799">
      <w:pPr>
        <w:pStyle w:val="EMEANormal"/>
        <w:rPr>
          <w:del w:id="3035" w:author="AbbVie1" w:date="2025-05-13T09:50:00Z"/>
          <w:lang w:val="cs-CZ"/>
        </w:rPr>
      </w:pPr>
      <w:del w:id="3036" w:author="AbbVie1" w:date="2025-05-13T09:50:00Z">
        <w:r w:rsidRPr="001B4A02">
          <w:rPr>
            <w:szCs w:val="22"/>
            <w:lang w:val="cs-CZ"/>
          </w:rPr>
          <w:delText>U dospívajících pacientů s HS nejsou k dispozici žádné klinické studie u přípravku Humira. Účinnost adalimumabu v léčbě dospívajících pacientů s HS je predikována na základě prokázané účinnosti</w:delText>
        </w:r>
        <w:r w:rsidR="002378E0">
          <w:rPr>
            <w:szCs w:val="22"/>
            <w:lang w:val="cs-CZ"/>
          </w:rPr>
          <w:delText xml:space="preserve"> a </w:delText>
        </w:r>
        <w:r w:rsidRPr="001B4A02">
          <w:rPr>
            <w:szCs w:val="22"/>
            <w:lang w:val="cs-CZ"/>
          </w:rPr>
          <w:delText>vztahu expozice-odpověď u dospělých pacientů s HS</w:delText>
        </w:r>
        <w:r w:rsidR="002378E0">
          <w:rPr>
            <w:szCs w:val="22"/>
            <w:lang w:val="cs-CZ"/>
          </w:rPr>
          <w:delText xml:space="preserve"> a </w:delText>
        </w:r>
        <w:r w:rsidRPr="001B4A02">
          <w:rPr>
            <w:szCs w:val="22"/>
            <w:lang w:val="cs-CZ"/>
          </w:rPr>
          <w:delText>pravděpodobnosti, že průběh onemocnění, patofyziologie</w:delText>
        </w:r>
        <w:r w:rsidR="002378E0">
          <w:rPr>
            <w:szCs w:val="22"/>
            <w:lang w:val="cs-CZ"/>
          </w:rPr>
          <w:delText xml:space="preserve"> a </w:delText>
        </w:r>
        <w:r w:rsidRPr="001B4A02">
          <w:rPr>
            <w:szCs w:val="22"/>
            <w:lang w:val="cs-CZ"/>
          </w:rPr>
          <w:delText>účinky léku budou značně podobné jako u dospělých se stejnými úrovněmi expozice. Bezpečnost doporučené dávky adalimumabu u dospívající populace s HS vychází z bezpečnostního profilu adalimumabu napříč indikacemi jak u dospělých, tak u pediatrických pacientů při podobných nebo častějších dávkách (viz bod 5.2).</w:delText>
        </w:r>
      </w:del>
    </w:p>
    <w:p w14:paraId="591823E6" w14:textId="77777777" w:rsidR="00D76799" w:rsidRPr="001B4A02" w:rsidRDefault="00D76799" w:rsidP="00D76799">
      <w:pPr>
        <w:pStyle w:val="EMEANormal"/>
        <w:rPr>
          <w:del w:id="3037" w:author="AbbVie1" w:date="2025-05-13T09:50:00Z"/>
          <w:lang w:val="cs-CZ"/>
        </w:rPr>
      </w:pPr>
    </w:p>
    <w:p w14:paraId="0E260F97" w14:textId="77777777" w:rsidR="00D76799" w:rsidRPr="001B4A02" w:rsidRDefault="00000000" w:rsidP="00D76799">
      <w:pPr>
        <w:keepNext/>
        <w:ind w:left="0" w:firstLine="0"/>
        <w:rPr>
          <w:del w:id="3038" w:author="AbbVie1" w:date="2025-05-13T09:50:00Z"/>
          <w:i/>
        </w:rPr>
      </w:pPr>
      <w:del w:id="3039" w:author="AbbVie1" w:date="2025-05-13T09:50:00Z">
        <w:r w:rsidRPr="001B4A02">
          <w:rPr>
            <w:i/>
          </w:rPr>
          <w:delText>Crohnova choroba u pediatrických pacientů</w:delText>
        </w:r>
      </w:del>
    </w:p>
    <w:p w14:paraId="6530CFF2" w14:textId="77777777" w:rsidR="00D76799" w:rsidRPr="001B4A02" w:rsidRDefault="00D76799" w:rsidP="00D76799">
      <w:pPr>
        <w:keepNext/>
        <w:ind w:left="0" w:firstLine="0"/>
        <w:rPr>
          <w:del w:id="3040" w:author="AbbVie1" w:date="2025-05-13T09:50:00Z"/>
        </w:rPr>
      </w:pPr>
    </w:p>
    <w:p w14:paraId="1CA66AAE" w14:textId="77777777" w:rsidR="00D76799" w:rsidRPr="001B4A02" w:rsidRDefault="00000000" w:rsidP="00D76799">
      <w:pPr>
        <w:ind w:left="0" w:firstLine="0"/>
        <w:rPr>
          <w:del w:id="3041" w:author="AbbVie1" w:date="2025-05-13T09:50:00Z"/>
        </w:rPr>
      </w:pPr>
      <w:del w:id="3042" w:author="AbbVie1" w:date="2025-05-13T09:50:00Z">
        <w:r w:rsidRPr="001B4A02">
          <w:delText>Přípravek Humira byl hodnocen v multicentrické, randomizované, dvojitě zaslepené klinické studii, zaměřené na hodnocení účinnosti</w:delText>
        </w:r>
        <w:r w:rsidR="002378E0">
          <w:delText xml:space="preserve"> a </w:delText>
        </w:r>
        <w:r w:rsidRPr="001B4A02">
          <w:delText>bezpečnosti úvodní</w:delText>
        </w:r>
        <w:r w:rsidR="002378E0">
          <w:delText xml:space="preserve"> a </w:delText>
        </w:r>
        <w:r w:rsidRPr="001B4A02">
          <w:delText>udržovací léčby s dávkováním v závislosti na tělesné hmotnosti (&lt; 40</w:delText>
        </w:r>
        <w:r w:rsidR="002767FC">
          <w:delText> kg</w:delText>
        </w:r>
        <w:r w:rsidRPr="001B4A02">
          <w:delText xml:space="preserve"> </w:delText>
        </w:r>
        <w:r>
          <w:delText>nebo</w:delText>
        </w:r>
        <w:r w:rsidRPr="001B4A02">
          <w:delText xml:space="preserve"> </w:delText>
        </w:r>
        <w:r w:rsidRPr="00BC0E7E">
          <w:delText>≥</w:delText>
        </w:r>
        <w:r w:rsidRPr="001B4A02">
          <w:delText xml:space="preserve"> 40</w:delText>
        </w:r>
        <w:r w:rsidR="002767FC">
          <w:delText> kg</w:delText>
        </w:r>
        <w:r w:rsidRPr="001B4A02">
          <w:delText>) u 192 pediatrických subjektů ve věkovém roz</w:delText>
        </w:r>
        <w:r>
          <w:delText>m</w:delText>
        </w:r>
        <w:r w:rsidRPr="001B4A02">
          <w:delText>ezí 6 až 17 let (včetně) se středně těžkou až těžkou Crohnovou chorobou (</w:delText>
        </w:r>
        <w:r w:rsidRPr="001B4A02">
          <w:rPr>
            <w:szCs w:val="22"/>
          </w:rPr>
          <w:delText>Crohn's Disease</w:delText>
        </w:r>
        <w:r w:rsidRPr="001B4A02">
          <w:delText>, CD), definovanou pediatrickým indexem aktivity Crohnovy choroby (PCDAI) se skóre &gt; 3</w:delText>
        </w:r>
        <w:r>
          <w:delText>0</w:delText>
        </w:r>
        <w:r w:rsidRPr="001B4A02">
          <w:delText>. Subjekty musely splňovat tato kritéria: musela u nich selhat konvenční léčba Crohnovy choroby (včetně kortikosteroidů a/nebo imunomodulátorů). Dále u nich muselo dojít ke ztrátě odpovědi na léčbu, nebo netolerovaly infliximab.</w:delText>
        </w:r>
      </w:del>
    </w:p>
    <w:p w14:paraId="3757610A" w14:textId="77777777" w:rsidR="00D76799" w:rsidRPr="001B4A02" w:rsidRDefault="00D76799" w:rsidP="00D76799">
      <w:pPr>
        <w:ind w:left="0" w:firstLine="0"/>
        <w:rPr>
          <w:del w:id="3043" w:author="AbbVie1" w:date="2025-05-13T09:50:00Z"/>
        </w:rPr>
      </w:pPr>
    </w:p>
    <w:p w14:paraId="2E328F94" w14:textId="77777777" w:rsidR="00D76799" w:rsidRPr="001B4A02" w:rsidRDefault="00000000" w:rsidP="00D76799">
      <w:pPr>
        <w:ind w:left="0" w:firstLine="0"/>
        <w:rPr>
          <w:del w:id="3044" w:author="AbbVie1" w:date="2025-05-13T09:50:00Z"/>
        </w:rPr>
      </w:pPr>
      <w:del w:id="3045" w:author="AbbVie1" w:date="2025-05-13T09:50:00Z">
        <w:r w:rsidRPr="001B4A02">
          <w:delText>Všechny subjekty dostaly v otevřené fázi úvodní dávku v závislosti na jejich výchozí tělesné hmotnosti: 160</w:delText>
        </w:r>
        <w:r w:rsidR="00294902" w:rsidRPr="00005EC2">
          <w:rPr>
            <w:szCs w:val="22"/>
          </w:rPr>
          <w:delText> </w:delText>
        </w:r>
        <w:r w:rsidRPr="001B4A02">
          <w:delText>mg v týdnu 0</w:delText>
        </w:r>
        <w:r w:rsidR="002378E0">
          <w:delText xml:space="preserve"> a </w:delText>
        </w:r>
        <w:r w:rsidRPr="001B4A02">
          <w:delText>80</w:delText>
        </w:r>
        <w:r w:rsidR="00294902" w:rsidRPr="00005EC2">
          <w:rPr>
            <w:szCs w:val="22"/>
          </w:rPr>
          <w:delText> </w:delText>
        </w:r>
        <w:r w:rsidRPr="001B4A02">
          <w:delText>mg v týdnu 2 u subjektů ≥</w:delText>
        </w:r>
        <w:r w:rsidR="00294902" w:rsidRPr="00005EC2">
          <w:rPr>
            <w:szCs w:val="22"/>
          </w:rPr>
          <w:delText> </w:delText>
        </w:r>
        <w:r w:rsidRPr="001B4A02">
          <w:delText>40</w:delText>
        </w:r>
        <w:r w:rsidR="002767FC">
          <w:rPr>
            <w:szCs w:val="22"/>
          </w:rPr>
          <w:delText> kg</w:delText>
        </w:r>
        <w:r w:rsidR="002378E0">
          <w:delText xml:space="preserve"> a </w:delText>
        </w:r>
        <w:r w:rsidRPr="001B4A02">
          <w:delText>80</w:delText>
        </w:r>
        <w:r w:rsidR="00294902" w:rsidRPr="00005EC2">
          <w:rPr>
            <w:szCs w:val="22"/>
          </w:rPr>
          <w:delText> </w:delText>
        </w:r>
        <w:r w:rsidRPr="001B4A02">
          <w:delText>mg v týdnu 0</w:delText>
        </w:r>
        <w:r w:rsidR="002378E0">
          <w:delText xml:space="preserve"> a </w:delText>
        </w:r>
        <w:r w:rsidRPr="001B4A02">
          <w:delText>40</w:delText>
        </w:r>
        <w:r w:rsidR="00294902" w:rsidRPr="00005EC2">
          <w:rPr>
            <w:szCs w:val="22"/>
          </w:rPr>
          <w:delText> </w:delText>
        </w:r>
        <w:r w:rsidRPr="001B4A02">
          <w:delText>mg v týdnu 2 u subjektů &lt;</w:delText>
        </w:r>
        <w:r w:rsidR="00294902" w:rsidRPr="00005EC2">
          <w:rPr>
            <w:szCs w:val="22"/>
          </w:rPr>
          <w:delText> </w:delText>
        </w:r>
        <w:r w:rsidRPr="001B4A02">
          <w:delText>40</w:delText>
        </w:r>
        <w:r w:rsidR="002767FC">
          <w:rPr>
            <w:szCs w:val="22"/>
          </w:rPr>
          <w:delText> kg</w:delText>
        </w:r>
        <w:r w:rsidRPr="001B4A02">
          <w:delText>.</w:delText>
        </w:r>
      </w:del>
    </w:p>
    <w:p w14:paraId="64BAFD86" w14:textId="77777777" w:rsidR="00D76799" w:rsidRPr="001B4A02" w:rsidRDefault="00D76799" w:rsidP="00D76799">
      <w:pPr>
        <w:ind w:left="0" w:firstLine="0"/>
        <w:rPr>
          <w:del w:id="3046" w:author="AbbVie1" w:date="2025-05-13T09:50:00Z"/>
        </w:rPr>
      </w:pPr>
    </w:p>
    <w:p w14:paraId="749CF8EF" w14:textId="77777777" w:rsidR="00D76799" w:rsidRPr="001B4A02" w:rsidRDefault="00000000" w:rsidP="00D76799">
      <w:pPr>
        <w:ind w:left="0" w:firstLine="0"/>
        <w:rPr>
          <w:del w:id="3047" w:author="AbbVie1" w:date="2025-05-13T09:50:00Z"/>
        </w:rPr>
      </w:pPr>
      <w:del w:id="3048" w:author="AbbVie1" w:date="2025-05-13T09:50:00Z">
        <w:r w:rsidRPr="001B4A02">
          <w:delText>V týdnu 4 byly subjekty randomizovány v poměru 1:1 v závislosti na jejich tělesné hmotnosti v daném čase</w:delText>
        </w:r>
        <w:r w:rsidR="002378E0">
          <w:delText xml:space="preserve"> a </w:delText>
        </w:r>
        <w:r w:rsidRPr="001B4A02">
          <w:delText>byla jim v</w:delText>
        </w:r>
        <w:r w:rsidR="00883A75">
          <w:delText> </w:delText>
        </w:r>
        <w:r w:rsidRPr="001B4A02">
          <w:delText xml:space="preserve">režimu udržovací léčby podávána buď snížená dávka, nebo dávka standardní, jak je patrno v tabulce </w:delText>
        </w:r>
        <w:r w:rsidR="00AB282F">
          <w:delText>23</w:delText>
        </w:r>
        <w:r w:rsidRPr="001B4A02">
          <w:delText>.</w:delText>
        </w:r>
      </w:del>
    </w:p>
    <w:p w14:paraId="4506E14F" w14:textId="77777777" w:rsidR="00D76799" w:rsidRPr="001B4A02" w:rsidRDefault="00D76799" w:rsidP="00D76799">
      <w:pPr>
        <w:pStyle w:val="EMEANormal"/>
        <w:rPr>
          <w:del w:id="3049" w:author="AbbVie1" w:date="2025-05-13T09:50:00Z"/>
          <w:lang w:val="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6"/>
        <w:gridCol w:w="2852"/>
        <w:gridCol w:w="3685"/>
      </w:tblGrid>
      <w:tr w:rsidR="00534A2D" w14:paraId="266DFBDB" w14:textId="77777777" w:rsidTr="00E571F5">
        <w:trPr>
          <w:trHeight w:val="263"/>
          <w:jc w:val="center"/>
          <w:del w:id="3050" w:author="AbbVie1" w:date="2025-05-13T09:50:00Z"/>
        </w:trPr>
        <w:tc>
          <w:tcPr>
            <w:tcW w:w="8763" w:type="dxa"/>
            <w:gridSpan w:val="3"/>
            <w:shd w:val="clear" w:color="auto" w:fill="auto"/>
          </w:tcPr>
          <w:p w14:paraId="33FE7089" w14:textId="77777777" w:rsidR="00D76799" w:rsidRPr="001B4A02" w:rsidRDefault="00000000" w:rsidP="00E571F5">
            <w:pPr>
              <w:pStyle w:val="EMEANormal"/>
              <w:keepNext/>
              <w:ind w:left="567" w:hanging="567"/>
              <w:jc w:val="center"/>
              <w:rPr>
                <w:del w:id="3051" w:author="AbbVie1" w:date="2025-05-13T09:50:00Z"/>
                <w:b/>
                <w:szCs w:val="24"/>
                <w:lang w:val="cs-CZ"/>
              </w:rPr>
            </w:pPr>
            <w:del w:id="3052" w:author="AbbVie1" w:date="2025-05-13T09:50:00Z">
              <w:r w:rsidRPr="001B4A02">
                <w:rPr>
                  <w:b/>
                  <w:szCs w:val="24"/>
                  <w:lang w:val="cs-CZ"/>
                </w:rPr>
                <w:delText xml:space="preserve">Tabulka </w:delText>
              </w:r>
              <w:r w:rsidR="00AB282F">
                <w:rPr>
                  <w:b/>
                  <w:szCs w:val="24"/>
                  <w:lang w:val="cs-CZ"/>
                </w:rPr>
                <w:delText>23</w:delText>
              </w:r>
            </w:del>
          </w:p>
          <w:p w14:paraId="433013A2" w14:textId="77777777" w:rsidR="00D76799" w:rsidRPr="001B4A02" w:rsidRDefault="00000000" w:rsidP="00E571F5">
            <w:pPr>
              <w:pStyle w:val="EMEANormal"/>
              <w:keepNext/>
              <w:ind w:left="567" w:hanging="567"/>
              <w:jc w:val="center"/>
              <w:rPr>
                <w:del w:id="3053" w:author="AbbVie1" w:date="2025-05-13T09:50:00Z"/>
                <w:szCs w:val="24"/>
                <w:lang w:val="cs-CZ"/>
              </w:rPr>
            </w:pPr>
            <w:del w:id="3054" w:author="AbbVie1" w:date="2025-05-13T09:50:00Z">
              <w:r w:rsidRPr="001B4A02">
                <w:rPr>
                  <w:b/>
                  <w:szCs w:val="24"/>
                  <w:lang w:val="cs-CZ"/>
                </w:rPr>
                <w:delText>Režim udržovací dávky</w:delText>
              </w:r>
            </w:del>
          </w:p>
        </w:tc>
      </w:tr>
      <w:tr w:rsidR="00534A2D" w14:paraId="149BE0E7" w14:textId="77777777" w:rsidTr="00E571F5">
        <w:trPr>
          <w:jc w:val="center"/>
          <w:del w:id="3055" w:author="AbbVie1" w:date="2025-05-13T09:50:00Z"/>
        </w:trPr>
        <w:tc>
          <w:tcPr>
            <w:tcW w:w="2226" w:type="dxa"/>
            <w:shd w:val="clear" w:color="auto" w:fill="auto"/>
          </w:tcPr>
          <w:p w14:paraId="6463B767" w14:textId="77777777" w:rsidR="00D76799" w:rsidRPr="001B4A02" w:rsidRDefault="00000000" w:rsidP="00E571F5">
            <w:pPr>
              <w:pStyle w:val="EMEANormal"/>
              <w:keepNext/>
              <w:rPr>
                <w:del w:id="3056" w:author="AbbVie1" w:date="2025-05-13T09:50:00Z"/>
                <w:b/>
                <w:szCs w:val="24"/>
                <w:lang w:val="cs-CZ"/>
              </w:rPr>
            </w:pPr>
            <w:del w:id="3057" w:author="AbbVie1" w:date="2025-05-13T09:50:00Z">
              <w:r w:rsidRPr="001B4A02">
                <w:rPr>
                  <w:b/>
                  <w:szCs w:val="24"/>
                  <w:lang w:val="cs-CZ"/>
                </w:rPr>
                <w:delText>Hmotnost pacienta</w:delText>
              </w:r>
            </w:del>
          </w:p>
        </w:tc>
        <w:tc>
          <w:tcPr>
            <w:tcW w:w="2852" w:type="dxa"/>
            <w:shd w:val="clear" w:color="auto" w:fill="auto"/>
          </w:tcPr>
          <w:p w14:paraId="607FE91F" w14:textId="77777777" w:rsidR="00D76799" w:rsidRPr="001B4A02" w:rsidRDefault="00000000" w:rsidP="00E571F5">
            <w:pPr>
              <w:pStyle w:val="EMEANormal"/>
              <w:keepNext/>
              <w:jc w:val="center"/>
              <w:rPr>
                <w:del w:id="3058" w:author="AbbVie1" w:date="2025-05-13T09:50:00Z"/>
                <w:b/>
                <w:szCs w:val="24"/>
                <w:lang w:val="cs-CZ"/>
              </w:rPr>
            </w:pPr>
            <w:del w:id="3059" w:author="AbbVie1" w:date="2025-05-13T09:50:00Z">
              <w:r w:rsidRPr="001B4A02">
                <w:rPr>
                  <w:b/>
                  <w:szCs w:val="24"/>
                  <w:lang w:val="cs-CZ"/>
                </w:rPr>
                <w:delText>Snížená dávka</w:delText>
              </w:r>
            </w:del>
          </w:p>
        </w:tc>
        <w:tc>
          <w:tcPr>
            <w:tcW w:w="3685" w:type="dxa"/>
            <w:shd w:val="clear" w:color="auto" w:fill="auto"/>
          </w:tcPr>
          <w:p w14:paraId="261F2A06" w14:textId="77777777" w:rsidR="00D76799" w:rsidRPr="001B4A02" w:rsidRDefault="00000000" w:rsidP="00E571F5">
            <w:pPr>
              <w:pStyle w:val="EMEANormal"/>
              <w:keepNext/>
              <w:jc w:val="center"/>
              <w:rPr>
                <w:del w:id="3060" w:author="AbbVie1" w:date="2025-05-13T09:50:00Z"/>
                <w:b/>
                <w:szCs w:val="24"/>
                <w:lang w:val="cs-CZ"/>
              </w:rPr>
            </w:pPr>
            <w:del w:id="3061" w:author="AbbVie1" w:date="2025-05-13T09:50:00Z">
              <w:r w:rsidRPr="001B4A02">
                <w:rPr>
                  <w:b/>
                  <w:szCs w:val="24"/>
                  <w:lang w:val="cs-CZ"/>
                </w:rPr>
                <w:delText>Standardní dávka</w:delText>
              </w:r>
            </w:del>
          </w:p>
        </w:tc>
      </w:tr>
      <w:tr w:rsidR="00534A2D" w14:paraId="01EE1EB0" w14:textId="77777777" w:rsidTr="00E571F5">
        <w:trPr>
          <w:jc w:val="center"/>
          <w:del w:id="3062" w:author="AbbVie1" w:date="2025-05-13T09:50:00Z"/>
        </w:trPr>
        <w:tc>
          <w:tcPr>
            <w:tcW w:w="2226" w:type="dxa"/>
            <w:shd w:val="clear" w:color="auto" w:fill="auto"/>
          </w:tcPr>
          <w:p w14:paraId="3B0FC4A7" w14:textId="77777777" w:rsidR="00D76799" w:rsidRPr="001B4A02" w:rsidRDefault="00000000" w:rsidP="00E571F5">
            <w:pPr>
              <w:pStyle w:val="EMEANormal"/>
              <w:keepNext/>
              <w:ind w:left="567" w:hanging="567"/>
              <w:rPr>
                <w:del w:id="3063" w:author="AbbVie1" w:date="2025-05-13T09:50:00Z"/>
                <w:szCs w:val="24"/>
                <w:lang w:val="cs-CZ"/>
              </w:rPr>
            </w:pPr>
            <w:del w:id="3064" w:author="AbbVie1" w:date="2025-05-13T09:50:00Z">
              <w:r w:rsidRPr="001B4A02">
                <w:rPr>
                  <w:szCs w:val="24"/>
                  <w:lang w:val="cs-CZ"/>
                </w:rPr>
                <w:delText>&lt; 40</w:delText>
              </w:r>
              <w:r w:rsidR="002767FC" w:rsidRPr="00063CB5">
                <w:rPr>
                  <w:szCs w:val="22"/>
                  <w:lang w:val="cs-CZ"/>
                  <w:rPrChange w:id="3065" w:author="Abbvie02" w:date="2025-05-16T11:13:00Z">
                    <w:rPr>
                      <w:szCs w:val="22"/>
                    </w:rPr>
                  </w:rPrChange>
                </w:rPr>
                <w:delText> kg</w:delText>
              </w:r>
            </w:del>
          </w:p>
        </w:tc>
        <w:tc>
          <w:tcPr>
            <w:tcW w:w="2852" w:type="dxa"/>
            <w:shd w:val="clear" w:color="auto" w:fill="auto"/>
          </w:tcPr>
          <w:p w14:paraId="66F80020" w14:textId="77777777" w:rsidR="00D76799" w:rsidRPr="001B4A02" w:rsidRDefault="00000000" w:rsidP="00E571F5">
            <w:pPr>
              <w:pStyle w:val="EMEANormal"/>
              <w:keepNext/>
              <w:jc w:val="center"/>
              <w:rPr>
                <w:del w:id="3066" w:author="AbbVie1" w:date="2025-05-13T09:50:00Z"/>
                <w:szCs w:val="24"/>
                <w:lang w:val="cs-CZ"/>
              </w:rPr>
            </w:pPr>
            <w:del w:id="3067" w:author="AbbVie1" w:date="2025-05-13T09:50:00Z">
              <w:r w:rsidRPr="001B4A02">
                <w:rPr>
                  <w:szCs w:val="24"/>
                  <w:lang w:val="cs-CZ"/>
                </w:rPr>
                <w:delText>10</w:delText>
              </w:r>
              <w:r w:rsidR="00294902" w:rsidRPr="00063CB5">
                <w:rPr>
                  <w:szCs w:val="22"/>
                  <w:lang w:val="cs-CZ"/>
                  <w:rPrChange w:id="3068" w:author="Abbvie02" w:date="2025-05-16T11:13:00Z">
                    <w:rPr>
                      <w:szCs w:val="22"/>
                    </w:rPr>
                  </w:rPrChange>
                </w:rPr>
                <w:delText> </w:delText>
              </w:r>
              <w:r w:rsidRPr="001B4A02">
                <w:rPr>
                  <w:szCs w:val="24"/>
                  <w:lang w:val="cs-CZ"/>
                </w:rPr>
                <w:delText>mg každý druhý týden</w:delText>
              </w:r>
            </w:del>
          </w:p>
        </w:tc>
        <w:tc>
          <w:tcPr>
            <w:tcW w:w="3685" w:type="dxa"/>
            <w:shd w:val="clear" w:color="auto" w:fill="auto"/>
          </w:tcPr>
          <w:p w14:paraId="5329B413" w14:textId="77777777" w:rsidR="00D76799" w:rsidRPr="001B4A02" w:rsidRDefault="00000000" w:rsidP="00E571F5">
            <w:pPr>
              <w:pStyle w:val="EMEANormal"/>
              <w:keepNext/>
              <w:ind w:left="567" w:hanging="567"/>
              <w:jc w:val="center"/>
              <w:rPr>
                <w:del w:id="3069" w:author="AbbVie1" w:date="2025-05-13T09:50:00Z"/>
                <w:szCs w:val="24"/>
                <w:lang w:val="cs-CZ"/>
              </w:rPr>
            </w:pPr>
            <w:del w:id="3070" w:author="AbbVie1" w:date="2025-05-13T09:50:00Z">
              <w:r w:rsidRPr="001B4A02">
                <w:rPr>
                  <w:szCs w:val="24"/>
                  <w:lang w:val="cs-CZ"/>
                </w:rPr>
                <w:delText>20</w:delText>
              </w:r>
              <w:r w:rsidR="00294902" w:rsidRPr="00063CB5">
                <w:rPr>
                  <w:szCs w:val="22"/>
                  <w:lang w:val="cs-CZ"/>
                  <w:rPrChange w:id="3071" w:author="Abbvie02" w:date="2025-05-16T11:13:00Z">
                    <w:rPr>
                      <w:szCs w:val="22"/>
                    </w:rPr>
                  </w:rPrChange>
                </w:rPr>
                <w:delText> </w:delText>
              </w:r>
              <w:r w:rsidRPr="001B4A02">
                <w:rPr>
                  <w:szCs w:val="24"/>
                  <w:lang w:val="cs-CZ"/>
                </w:rPr>
                <w:delText>mg každý druhý týden</w:delText>
              </w:r>
            </w:del>
          </w:p>
        </w:tc>
      </w:tr>
      <w:tr w:rsidR="00534A2D" w14:paraId="47A6F74D" w14:textId="77777777" w:rsidTr="00E571F5">
        <w:trPr>
          <w:jc w:val="center"/>
          <w:del w:id="3072" w:author="AbbVie1" w:date="2025-05-13T09:50:00Z"/>
        </w:trPr>
        <w:tc>
          <w:tcPr>
            <w:tcW w:w="2226" w:type="dxa"/>
            <w:shd w:val="clear" w:color="auto" w:fill="auto"/>
          </w:tcPr>
          <w:p w14:paraId="271BFAFD" w14:textId="77777777" w:rsidR="00D76799" w:rsidRPr="001B4A02" w:rsidRDefault="00000000" w:rsidP="00E571F5">
            <w:pPr>
              <w:pStyle w:val="EMEANormal"/>
              <w:keepNext/>
              <w:ind w:left="567" w:hanging="567"/>
              <w:rPr>
                <w:del w:id="3073" w:author="AbbVie1" w:date="2025-05-13T09:50:00Z"/>
                <w:szCs w:val="24"/>
                <w:lang w:val="cs-CZ"/>
              </w:rPr>
            </w:pPr>
            <w:del w:id="3074" w:author="AbbVie1" w:date="2025-05-13T09:50:00Z">
              <w:r w:rsidRPr="001B4A02">
                <w:rPr>
                  <w:szCs w:val="24"/>
                  <w:lang w:val="cs-CZ"/>
                </w:rPr>
                <w:delText>≥ 40</w:delText>
              </w:r>
              <w:r w:rsidR="002767FC" w:rsidRPr="00063CB5">
                <w:rPr>
                  <w:szCs w:val="22"/>
                  <w:lang w:val="cs-CZ"/>
                  <w:rPrChange w:id="3075" w:author="Abbvie02" w:date="2025-05-16T11:13:00Z">
                    <w:rPr>
                      <w:szCs w:val="22"/>
                    </w:rPr>
                  </w:rPrChange>
                </w:rPr>
                <w:delText> kg</w:delText>
              </w:r>
            </w:del>
          </w:p>
        </w:tc>
        <w:tc>
          <w:tcPr>
            <w:tcW w:w="2852" w:type="dxa"/>
            <w:shd w:val="clear" w:color="auto" w:fill="auto"/>
          </w:tcPr>
          <w:p w14:paraId="77788677" w14:textId="77777777" w:rsidR="00D76799" w:rsidRPr="001B4A02" w:rsidRDefault="00000000" w:rsidP="00E571F5">
            <w:pPr>
              <w:pStyle w:val="EMEANormal"/>
              <w:keepNext/>
              <w:jc w:val="center"/>
              <w:rPr>
                <w:del w:id="3076" w:author="AbbVie1" w:date="2025-05-13T09:50:00Z"/>
                <w:szCs w:val="24"/>
                <w:lang w:val="cs-CZ"/>
              </w:rPr>
            </w:pPr>
            <w:del w:id="3077" w:author="AbbVie1" w:date="2025-05-13T09:50:00Z">
              <w:r w:rsidRPr="001B4A02">
                <w:rPr>
                  <w:szCs w:val="24"/>
                  <w:lang w:val="cs-CZ"/>
                </w:rPr>
                <w:delText>20</w:delText>
              </w:r>
              <w:r w:rsidR="00294902" w:rsidRPr="00063CB5">
                <w:rPr>
                  <w:szCs w:val="22"/>
                  <w:lang w:val="cs-CZ"/>
                  <w:rPrChange w:id="3078" w:author="Abbvie02" w:date="2025-05-16T11:13:00Z">
                    <w:rPr>
                      <w:szCs w:val="22"/>
                    </w:rPr>
                  </w:rPrChange>
                </w:rPr>
                <w:delText> </w:delText>
              </w:r>
              <w:r w:rsidRPr="001B4A02">
                <w:rPr>
                  <w:szCs w:val="24"/>
                  <w:lang w:val="cs-CZ"/>
                </w:rPr>
                <w:delText>mg každý druhý týden</w:delText>
              </w:r>
            </w:del>
          </w:p>
        </w:tc>
        <w:tc>
          <w:tcPr>
            <w:tcW w:w="3685" w:type="dxa"/>
            <w:shd w:val="clear" w:color="auto" w:fill="auto"/>
          </w:tcPr>
          <w:p w14:paraId="65CB69CE" w14:textId="77777777" w:rsidR="00D76799" w:rsidRPr="001B4A02" w:rsidRDefault="00000000" w:rsidP="00E571F5">
            <w:pPr>
              <w:pStyle w:val="EMEANormal"/>
              <w:keepNext/>
              <w:ind w:left="567" w:hanging="567"/>
              <w:jc w:val="center"/>
              <w:rPr>
                <w:del w:id="3079" w:author="AbbVie1" w:date="2025-05-13T09:50:00Z"/>
                <w:szCs w:val="24"/>
                <w:lang w:val="cs-CZ"/>
              </w:rPr>
            </w:pPr>
            <w:del w:id="3080" w:author="AbbVie1" w:date="2025-05-13T09:50:00Z">
              <w:r w:rsidRPr="001B4A02">
                <w:rPr>
                  <w:szCs w:val="24"/>
                  <w:lang w:val="cs-CZ"/>
                </w:rPr>
                <w:delText>40</w:delText>
              </w:r>
              <w:r w:rsidR="00294902" w:rsidRPr="00063CB5">
                <w:rPr>
                  <w:szCs w:val="22"/>
                  <w:lang w:val="cs-CZ"/>
                  <w:rPrChange w:id="3081" w:author="Abbvie02" w:date="2025-05-16T11:13:00Z">
                    <w:rPr>
                      <w:szCs w:val="22"/>
                    </w:rPr>
                  </w:rPrChange>
                </w:rPr>
                <w:delText> </w:delText>
              </w:r>
              <w:r w:rsidRPr="001B4A02">
                <w:rPr>
                  <w:szCs w:val="24"/>
                  <w:lang w:val="cs-CZ"/>
                </w:rPr>
                <w:delText>mg každý druhý týden</w:delText>
              </w:r>
            </w:del>
          </w:p>
        </w:tc>
      </w:tr>
    </w:tbl>
    <w:p w14:paraId="6B6A1B4A" w14:textId="77777777" w:rsidR="00D76799" w:rsidRPr="001B4A02" w:rsidRDefault="00D76799" w:rsidP="00D76799">
      <w:pPr>
        <w:pStyle w:val="EMEANormal"/>
        <w:rPr>
          <w:del w:id="3082" w:author="AbbVie1" w:date="2025-05-13T09:50:00Z"/>
          <w:szCs w:val="24"/>
          <w:lang w:val="cs-CZ"/>
        </w:rPr>
      </w:pPr>
    </w:p>
    <w:p w14:paraId="60A5C950" w14:textId="77777777" w:rsidR="00D76799" w:rsidRPr="001B4A02" w:rsidRDefault="00000000" w:rsidP="00D76799">
      <w:pPr>
        <w:keepNext/>
        <w:ind w:left="0" w:firstLine="0"/>
        <w:rPr>
          <w:del w:id="3083" w:author="AbbVie1" w:date="2025-05-13T09:50:00Z"/>
          <w:i/>
          <w:u w:val="single"/>
        </w:rPr>
      </w:pPr>
      <w:del w:id="3084" w:author="AbbVie1" w:date="2025-05-13T09:50:00Z">
        <w:r w:rsidRPr="001B4A02">
          <w:rPr>
            <w:i/>
            <w:u w:val="single"/>
          </w:rPr>
          <w:delText>Výsledky hodnocení účinnosti</w:delText>
        </w:r>
      </w:del>
    </w:p>
    <w:p w14:paraId="5328DD66" w14:textId="77777777" w:rsidR="00D76799" w:rsidRPr="001B4A02" w:rsidRDefault="00D76799" w:rsidP="00D76799">
      <w:pPr>
        <w:keepNext/>
        <w:ind w:left="0" w:firstLine="0"/>
        <w:rPr>
          <w:del w:id="3085" w:author="AbbVie1" w:date="2025-05-13T09:50:00Z"/>
        </w:rPr>
      </w:pPr>
    </w:p>
    <w:p w14:paraId="61C27C00" w14:textId="77777777" w:rsidR="00D76799" w:rsidRPr="001B4A02" w:rsidRDefault="00000000" w:rsidP="00D76799">
      <w:pPr>
        <w:keepNext/>
        <w:ind w:left="0" w:firstLine="0"/>
        <w:rPr>
          <w:del w:id="3086" w:author="AbbVie1" w:date="2025-05-13T09:50:00Z"/>
        </w:rPr>
      </w:pPr>
      <w:del w:id="3087" w:author="AbbVie1" w:date="2025-05-13T09:50:00Z">
        <w:r w:rsidRPr="001B4A02">
          <w:delText>Primárním cílem studie bylo dosažení klinické remise v týdnu 26, definované jako skóre PCDAI ≤ 10.</w:delText>
        </w:r>
      </w:del>
    </w:p>
    <w:p w14:paraId="7D1C060E" w14:textId="77777777" w:rsidR="00D76799" w:rsidRPr="001B4A02" w:rsidRDefault="00D76799" w:rsidP="00D76799">
      <w:pPr>
        <w:keepNext/>
        <w:ind w:left="0" w:firstLine="0"/>
        <w:rPr>
          <w:del w:id="3088" w:author="AbbVie1" w:date="2025-05-13T09:50:00Z"/>
        </w:rPr>
      </w:pPr>
    </w:p>
    <w:p w14:paraId="3721432B" w14:textId="77777777" w:rsidR="00D76799" w:rsidRPr="001B4A02" w:rsidRDefault="00000000" w:rsidP="00D76799">
      <w:pPr>
        <w:ind w:left="0" w:firstLine="0"/>
        <w:rPr>
          <w:del w:id="3089" w:author="AbbVie1" w:date="2025-05-13T09:50:00Z"/>
        </w:rPr>
      </w:pPr>
      <w:del w:id="3090" w:author="AbbVie1" w:date="2025-05-13T09:50:00Z">
        <w:r w:rsidRPr="001B4A02">
          <w:delText>Rozsah klinické remise</w:delText>
        </w:r>
        <w:r w:rsidR="002378E0">
          <w:delText xml:space="preserve"> a </w:delText>
        </w:r>
        <w:r w:rsidRPr="001B4A02">
          <w:delText xml:space="preserve">klinické odpovědi (definované jako snížení skóre PCDAI o minimálně 15 bodů v porovnání s výchozím stavem) je prezentován v tabulce </w:delText>
        </w:r>
        <w:r w:rsidR="00AB282F">
          <w:delText>24</w:delText>
        </w:r>
        <w:r w:rsidRPr="001B4A02">
          <w:delText xml:space="preserve">. Rozsah míry vysazení kortikosteroidů nebo imunomodulátorů je prezentován v tabulce </w:delText>
        </w:r>
        <w:r w:rsidR="00AB282F">
          <w:delText>25</w:delText>
        </w:r>
        <w:r w:rsidRPr="001B4A02">
          <w:delText>.</w:delText>
        </w:r>
      </w:del>
    </w:p>
    <w:p w14:paraId="121A9AAC" w14:textId="77777777" w:rsidR="00D76799" w:rsidRPr="001B4A02" w:rsidRDefault="00D76799" w:rsidP="00D76799">
      <w:pPr>
        <w:rPr>
          <w:del w:id="3091" w:author="AbbVie1" w:date="2025-05-13T09:50:00Z"/>
        </w:rPr>
      </w:pPr>
    </w:p>
    <w:tbl>
      <w:tblPr>
        <w:tblW w:w="0" w:type="auto"/>
        <w:jc w:val="center"/>
        <w:tblCellMar>
          <w:left w:w="0" w:type="dxa"/>
          <w:right w:w="0" w:type="dxa"/>
        </w:tblCellMar>
        <w:tblLook w:val="00A0" w:firstRow="1" w:lastRow="0" w:firstColumn="1" w:lastColumn="0" w:noHBand="0" w:noVBand="0"/>
      </w:tblPr>
      <w:tblGrid>
        <w:gridCol w:w="2501"/>
        <w:gridCol w:w="2397"/>
        <w:gridCol w:w="2350"/>
        <w:gridCol w:w="1807"/>
      </w:tblGrid>
      <w:tr w:rsidR="00534A2D" w14:paraId="07D8ECA9" w14:textId="77777777" w:rsidTr="00E571F5">
        <w:trPr>
          <w:jc w:val="center"/>
          <w:del w:id="3092" w:author="AbbVie1" w:date="2025-05-13T09:50:00Z"/>
        </w:trPr>
        <w:tc>
          <w:tcPr>
            <w:tcW w:w="9249" w:type="dxa"/>
            <w:gridSpan w:val="4"/>
            <w:tcBorders>
              <w:top w:val="single" w:sz="6" w:space="0" w:color="000000"/>
              <w:left w:val="single" w:sz="6" w:space="0" w:color="000000"/>
              <w:bottom w:val="single" w:sz="6" w:space="0" w:color="000000"/>
              <w:right w:val="single" w:sz="6" w:space="0" w:color="000000"/>
            </w:tcBorders>
          </w:tcPr>
          <w:p w14:paraId="21AC67FE" w14:textId="77777777" w:rsidR="00D76799" w:rsidRPr="001B4A02" w:rsidRDefault="00000000" w:rsidP="00E571F5">
            <w:pPr>
              <w:keepNext/>
              <w:tabs>
                <w:tab w:val="left" w:pos="-878"/>
              </w:tabs>
              <w:autoSpaceDE w:val="0"/>
              <w:autoSpaceDN w:val="0"/>
              <w:adjustRightInd w:val="0"/>
              <w:jc w:val="center"/>
              <w:rPr>
                <w:del w:id="3093" w:author="AbbVie1" w:date="2025-05-13T09:50:00Z"/>
                <w:b/>
                <w:bCs/>
                <w:szCs w:val="22"/>
              </w:rPr>
            </w:pPr>
            <w:del w:id="3094" w:author="AbbVie1" w:date="2025-05-13T09:50:00Z">
              <w:r w:rsidRPr="001B4A02">
                <w:rPr>
                  <w:b/>
                  <w:bCs/>
                  <w:szCs w:val="22"/>
                </w:rPr>
                <w:delText xml:space="preserve">Tabulka </w:delText>
              </w:r>
              <w:r w:rsidR="00AB282F">
                <w:rPr>
                  <w:b/>
                  <w:bCs/>
                  <w:szCs w:val="22"/>
                </w:rPr>
                <w:delText>24</w:delText>
              </w:r>
            </w:del>
          </w:p>
          <w:p w14:paraId="6E1E34E4" w14:textId="77777777" w:rsidR="00D76799" w:rsidRPr="001B4A02" w:rsidRDefault="00000000" w:rsidP="00E571F5">
            <w:pPr>
              <w:keepNext/>
              <w:tabs>
                <w:tab w:val="left" w:pos="-878"/>
              </w:tabs>
              <w:autoSpaceDE w:val="0"/>
              <w:autoSpaceDN w:val="0"/>
              <w:adjustRightInd w:val="0"/>
              <w:jc w:val="center"/>
              <w:rPr>
                <w:del w:id="3095" w:author="AbbVie1" w:date="2025-05-13T09:50:00Z"/>
                <w:b/>
                <w:bCs/>
                <w:szCs w:val="22"/>
              </w:rPr>
            </w:pPr>
            <w:del w:id="3096" w:author="AbbVie1" w:date="2025-05-13T09:50:00Z">
              <w:r w:rsidRPr="001B4A02">
                <w:rPr>
                  <w:b/>
                  <w:bCs/>
                  <w:szCs w:val="22"/>
                </w:rPr>
                <w:delText>Studie u pediatrických pacientů s Crohnovou chorobou</w:delText>
              </w:r>
            </w:del>
          </w:p>
          <w:p w14:paraId="17E002D2" w14:textId="77777777" w:rsidR="00D76799" w:rsidRPr="001B4A02" w:rsidRDefault="00000000" w:rsidP="00E571F5">
            <w:pPr>
              <w:keepNext/>
              <w:tabs>
                <w:tab w:val="left" w:pos="-878"/>
              </w:tabs>
              <w:autoSpaceDE w:val="0"/>
              <w:autoSpaceDN w:val="0"/>
              <w:adjustRightInd w:val="0"/>
              <w:jc w:val="center"/>
              <w:rPr>
                <w:del w:id="3097" w:author="AbbVie1" w:date="2025-05-13T09:50:00Z"/>
                <w:b/>
                <w:bCs/>
                <w:szCs w:val="22"/>
              </w:rPr>
            </w:pPr>
            <w:del w:id="3098" w:author="AbbVie1" w:date="2025-05-13T09:50:00Z">
              <w:r w:rsidRPr="001B4A02">
                <w:rPr>
                  <w:b/>
                  <w:bCs/>
                  <w:szCs w:val="22"/>
                </w:rPr>
                <w:delText>PCDAI klinická remise</w:delText>
              </w:r>
              <w:r w:rsidR="002378E0">
                <w:rPr>
                  <w:b/>
                  <w:bCs/>
                  <w:szCs w:val="22"/>
                </w:rPr>
                <w:delText xml:space="preserve"> a </w:delText>
              </w:r>
              <w:r w:rsidRPr="001B4A02">
                <w:rPr>
                  <w:b/>
                  <w:bCs/>
                  <w:szCs w:val="22"/>
                </w:rPr>
                <w:delText>odpověď</w:delText>
              </w:r>
            </w:del>
          </w:p>
        </w:tc>
      </w:tr>
      <w:tr w:rsidR="00534A2D" w14:paraId="71E2B787" w14:textId="77777777" w:rsidTr="00E571F5">
        <w:trPr>
          <w:jc w:val="center"/>
          <w:del w:id="3099" w:author="AbbVie1" w:date="2025-05-13T09:50:00Z"/>
        </w:trPr>
        <w:tc>
          <w:tcPr>
            <w:tcW w:w="2547" w:type="dxa"/>
            <w:tcBorders>
              <w:top w:val="single" w:sz="6" w:space="0" w:color="000000"/>
              <w:left w:val="single" w:sz="6" w:space="0" w:color="000000"/>
              <w:bottom w:val="single" w:sz="6" w:space="0" w:color="000000"/>
              <w:right w:val="single" w:sz="6" w:space="0" w:color="000000"/>
            </w:tcBorders>
          </w:tcPr>
          <w:p w14:paraId="27FBD5FB" w14:textId="77777777" w:rsidR="00D76799" w:rsidRPr="001B4A02" w:rsidRDefault="00D76799" w:rsidP="00E571F5">
            <w:pPr>
              <w:keepLines/>
              <w:tabs>
                <w:tab w:val="left" w:pos="-1080"/>
              </w:tabs>
              <w:autoSpaceDE w:val="0"/>
              <w:autoSpaceDN w:val="0"/>
              <w:adjustRightInd w:val="0"/>
              <w:jc w:val="center"/>
              <w:rPr>
                <w:del w:id="3100" w:author="AbbVie1" w:date="2025-05-13T09:50:00Z"/>
                <w:b/>
                <w:bCs/>
                <w:szCs w:val="22"/>
              </w:rPr>
            </w:pPr>
          </w:p>
        </w:tc>
        <w:tc>
          <w:tcPr>
            <w:tcW w:w="2450" w:type="dxa"/>
            <w:tcBorders>
              <w:top w:val="single" w:sz="6" w:space="0" w:color="000000"/>
              <w:left w:val="single" w:sz="6" w:space="0" w:color="000000"/>
              <w:bottom w:val="single" w:sz="6" w:space="0" w:color="000000"/>
              <w:right w:val="single" w:sz="6" w:space="0" w:color="000000"/>
            </w:tcBorders>
          </w:tcPr>
          <w:p w14:paraId="034CB5B6" w14:textId="77777777" w:rsidR="00D76799" w:rsidRPr="001B4A02" w:rsidRDefault="00000000" w:rsidP="00E571F5">
            <w:pPr>
              <w:keepLines/>
              <w:tabs>
                <w:tab w:val="left" w:pos="-1080"/>
              </w:tabs>
              <w:autoSpaceDE w:val="0"/>
              <w:autoSpaceDN w:val="0"/>
              <w:adjustRightInd w:val="0"/>
              <w:ind w:left="0" w:firstLine="0"/>
              <w:jc w:val="center"/>
              <w:rPr>
                <w:del w:id="3101" w:author="AbbVie1" w:date="2025-05-13T09:50:00Z"/>
                <w:b/>
                <w:bCs/>
                <w:szCs w:val="22"/>
              </w:rPr>
            </w:pPr>
            <w:del w:id="3102" w:author="AbbVie1" w:date="2025-05-13T09:50:00Z">
              <w:r w:rsidRPr="001B4A02">
                <w:rPr>
                  <w:b/>
                  <w:bCs/>
                  <w:szCs w:val="22"/>
                </w:rPr>
                <w:delText>Standardní dávka</w:delText>
              </w:r>
            </w:del>
          </w:p>
          <w:p w14:paraId="30E3AB16" w14:textId="77777777" w:rsidR="00D76799" w:rsidRPr="001B4A02" w:rsidRDefault="00000000" w:rsidP="00E571F5">
            <w:pPr>
              <w:keepLines/>
              <w:tabs>
                <w:tab w:val="left" w:pos="-1080"/>
              </w:tabs>
              <w:autoSpaceDE w:val="0"/>
              <w:autoSpaceDN w:val="0"/>
              <w:adjustRightInd w:val="0"/>
              <w:ind w:left="0" w:firstLine="0"/>
              <w:jc w:val="center"/>
              <w:rPr>
                <w:del w:id="3103" w:author="AbbVie1" w:date="2025-05-13T09:50:00Z"/>
                <w:b/>
                <w:bCs/>
                <w:szCs w:val="22"/>
              </w:rPr>
            </w:pPr>
            <w:del w:id="3104" w:author="AbbVie1" w:date="2025-05-13T09:50:00Z">
              <w:r w:rsidRPr="001B4A02">
                <w:rPr>
                  <w:b/>
                  <w:bCs/>
                  <w:szCs w:val="22"/>
                </w:rPr>
                <w:delText>40/20</w:delText>
              </w:r>
              <w:r w:rsidR="00294902" w:rsidRPr="00005EC2">
                <w:rPr>
                  <w:szCs w:val="22"/>
                </w:rPr>
                <w:delText> </w:delText>
              </w:r>
              <w:r w:rsidRPr="001B4A02">
                <w:rPr>
                  <w:b/>
                  <w:bCs/>
                  <w:szCs w:val="22"/>
                </w:rPr>
                <w:delText>mg</w:delText>
              </w:r>
            </w:del>
          </w:p>
          <w:p w14:paraId="292725AA" w14:textId="77777777" w:rsidR="00D76799" w:rsidRPr="001B4A02" w:rsidRDefault="00000000" w:rsidP="00E571F5">
            <w:pPr>
              <w:keepLines/>
              <w:tabs>
                <w:tab w:val="left" w:pos="-1080"/>
              </w:tabs>
              <w:autoSpaceDE w:val="0"/>
              <w:autoSpaceDN w:val="0"/>
              <w:adjustRightInd w:val="0"/>
              <w:ind w:left="0" w:firstLine="0"/>
              <w:jc w:val="center"/>
              <w:rPr>
                <w:del w:id="3105" w:author="AbbVie1" w:date="2025-05-13T09:50:00Z"/>
                <w:b/>
                <w:bCs/>
                <w:szCs w:val="22"/>
              </w:rPr>
            </w:pPr>
            <w:del w:id="3106" w:author="AbbVie1" w:date="2025-05-13T09:50:00Z">
              <w:r w:rsidRPr="001B4A02">
                <w:rPr>
                  <w:b/>
                  <w:bCs/>
                  <w:szCs w:val="22"/>
                </w:rPr>
                <w:delText>každý druhý týden</w:delText>
              </w:r>
            </w:del>
          </w:p>
          <w:p w14:paraId="5DDCBDDA" w14:textId="77777777" w:rsidR="00D76799" w:rsidRPr="001B4A02" w:rsidRDefault="00000000" w:rsidP="00E571F5">
            <w:pPr>
              <w:keepLines/>
              <w:tabs>
                <w:tab w:val="left" w:pos="-1080"/>
              </w:tabs>
              <w:autoSpaceDE w:val="0"/>
              <w:autoSpaceDN w:val="0"/>
              <w:adjustRightInd w:val="0"/>
              <w:ind w:left="0" w:firstLine="0"/>
              <w:jc w:val="center"/>
              <w:rPr>
                <w:del w:id="3107" w:author="AbbVie1" w:date="2025-05-13T09:50:00Z"/>
                <w:b/>
                <w:bCs/>
                <w:szCs w:val="22"/>
              </w:rPr>
            </w:pPr>
            <w:del w:id="3108" w:author="AbbVie1" w:date="2025-05-13T09:50:00Z">
              <w:r>
                <w:rPr>
                  <w:b/>
                  <w:bCs/>
                  <w:szCs w:val="22"/>
                </w:rPr>
                <w:delText>n</w:delText>
              </w:r>
              <w:r w:rsidRPr="001B4A02">
                <w:rPr>
                  <w:b/>
                  <w:bCs/>
                  <w:szCs w:val="22"/>
                </w:rPr>
                <w:delText>=93</w:delText>
              </w:r>
            </w:del>
          </w:p>
        </w:tc>
        <w:tc>
          <w:tcPr>
            <w:tcW w:w="2409" w:type="dxa"/>
            <w:tcBorders>
              <w:top w:val="single" w:sz="6" w:space="0" w:color="000000"/>
              <w:left w:val="single" w:sz="6" w:space="0" w:color="000000"/>
              <w:bottom w:val="single" w:sz="6" w:space="0" w:color="000000"/>
              <w:right w:val="single" w:sz="6" w:space="0" w:color="000000"/>
            </w:tcBorders>
          </w:tcPr>
          <w:p w14:paraId="786C3EE4" w14:textId="77777777" w:rsidR="00D76799" w:rsidRPr="001B4A02" w:rsidRDefault="00000000" w:rsidP="00E571F5">
            <w:pPr>
              <w:keepLines/>
              <w:tabs>
                <w:tab w:val="left" w:pos="-1080"/>
              </w:tabs>
              <w:autoSpaceDE w:val="0"/>
              <w:autoSpaceDN w:val="0"/>
              <w:adjustRightInd w:val="0"/>
              <w:ind w:left="0" w:firstLine="0"/>
              <w:jc w:val="center"/>
              <w:rPr>
                <w:del w:id="3109" w:author="AbbVie1" w:date="2025-05-13T09:50:00Z"/>
                <w:b/>
                <w:bCs/>
                <w:szCs w:val="22"/>
              </w:rPr>
            </w:pPr>
            <w:del w:id="3110" w:author="AbbVie1" w:date="2025-05-13T09:50:00Z">
              <w:r w:rsidRPr="001B4A02">
                <w:rPr>
                  <w:b/>
                  <w:bCs/>
                  <w:szCs w:val="22"/>
                </w:rPr>
                <w:delText>Snížená dávka</w:delText>
              </w:r>
            </w:del>
          </w:p>
          <w:p w14:paraId="6BB5A3D7" w14:textId="77777777" w:rsidR="00D76799" w:rsidRPr="001B4A02" w:rsidRDefault="00000000" w:rsidP="00E571F5">
            <w:pPr>
              <w:keepLines/>
              <w:tabs>
                <w:tab w:val="left" w:pos="-1080"/>
              </w:tabs>
              <w:autoSpaceDE w:val="0"/>
              <w:autoSpaceDN w:val="0"/>
              <w:adjustRightInd w:val="0"/>
              <w:ind w:left="0" w:firstLine="0"/>
              <w:jc w:val="center"/>
              <w:rPr>
                <w:del w:id="3111" w:author="AbbVie1" w:date="2025-05-13T09:50:00Z"/>
                <w:b/>
                <w:bCs/>
                <w:szCs w:val="22"/>
              </w:rPr>
            </w:pPr>
            <w:del w:id="3112" w:author="AbbVie1" w:date="2025-05-13T09:50:00Z">
              <w:r w:rsidRPr="001B4A02">
                <w:rPr>
                  <w:b/>
                  <w:bCs/>
                  <w:szCs w:val="22"/>
                </w:rPr>
                <w:delText>20/10</w:delText>
              </w:r>
              <w:r w:rsidR="00294902" w:rsidRPr="00005EC2">
                <w:rPr>
                  <w:szCs w:val="22"/>
                </w:rPr>
                <w:delText> </w:delText>
              </w:r>
              <w:r w:rsidRPr="001B4A02">
                <w:rPr>
                  <w:b/>
                  <w:bCs/>
                  <w:szCs w:val="22"/>
                </w:rPr>
                <w:delText>mg</w:delText>
              </w:r>
            </w:del>
          </w:p>
          <w:p w14:paraId="325B686A" w14:textId="77777777" w:rsidR="00D76799" w:rsidRPr="001B4A02" w:rsidRDefault="00000000" w:rsidP="00E571F5">
            <w:pPr>
              <w:keepLines/>
              <w:tabs>
                <w:tab w:val="left" w:pos="-1080"/>
              </w:tabs>
              <w:autoSpaceDE w:val="0"/>
              <w:autoSpaceDN w:val="0"/>
              <w:adjustRightInd w:val="0"/>
              <w:ind w:left="0" w:firstLine="0"/>
              <w:jc w:val="center"/>
              <w:rPr>
                <w:del w:id="3113" w:author="AbbVie1" w:date="2025-05-13T09:50:00Z"/>
                <w:b/>
                <w:bCs/>
                <w:szCs w:val="22"/>
              </w:rPr>
            </w:pPr>
            <w:del w:id="3114" w:author="AbbVie1" w:date="2025-05-13T09:50:00Z">
              <w:r w:rsidRPr="001B4A02">
                <w:rPr>
                  <w:b/>
                  <w:bCs/>
                  <w:szCs w:val="22"/>
                </w:rPr>
                <w:delText>každý druhý týden</w:delText>
              </w:r>
            </w:del>
          </w:p>
          <w:p w14:paraId="77C18757" w14:textId="77777777" w:rsidR="00D76799" w:rsidRPr="001B4A02" w:rsidRDefault="00000000" w:rsidP="00E571F5">
            <w:pPr>
              <w:keepLines/>
              <w:tabs>
                <w:tab w:val="left" w:pos="-1080"/>
              </w:tabs>
              <w:autoSpaceDE w:val="0"/>
              <w:autoSpaceDN w:val="0"/>
              <w:adjustRightInd w:val="0"/>
              <w:ind w:left="0" w:firstLine="0"/>
              <w:jc w:val="center"/>
              <w:rPr>
                <w:del w:id="3115" w:author="AbbVie1" w:date="2025-05-13T09:50:00Z"/>
                <w:b/>
                <w:bCs/>
                <w:szCs w:val="22"/>
              </w:rPr>
            </w:pPr>
            <w:del w:id="3116" w:author="AbbVie1" w:date="2025-05-13T09:50:00Z">
              <w:r>
                <w:rPr>
                  <w:b/>
                  <w:bCs/>
                  <w:szCs w:val="22"/>
                </w:rPr>
                <w:delText>n</w:delText>
              </w:r>
              <w:r w:rsidRPr="001B4A02">
                <w:rPr>
                  <w:b/>
                  <w:bCs/>
                  <w:szCs w:val="22"/>
                </w:rPr>
                <w:delText>=</w:delText>
              </w:r>
              <w:r>
                <w:rPr>
                  <w:b/>
                  <w:bCs/>
                  <w:szCs w:val="22"/>
                </w:rPr>
                <w:delText>95</w:delText>
              </w:r>
            </w:del>
          </w:p>
        </w:tc>
        <w:tc>
          <w:tcPr>
            <w:tcW w:w="1843" w:type="dxa"/>
            <w:tcBorders>
              <w:top w:val="single" w:sz="6" w:space="0" w:color="000000"/>
              <w:left w:val="single" w:sz="6" w:space="0" w:color="000000"/>
              <w:bottom w:val="single" w:sz="6" w:space="0" w:color="000000"/>
              <w:right w:val="single" w:sz="6" w:space="0" w:color="000000"/>
            </w:tcBorders>
          </w:tcPr>
          <w:p w14:paraId="567216D4" w14:textId="77777777" w:rsidR="00D76799" w:rsidRPr="001B4A02" w:rsidRDefault="00000000" w:rsidP="00E571F5">
            <w:pPr>
              <w:keepLines/>
              <w:tabs>
                <w:tab w:val="left" w:pos="-1080"/>
              </w:tabs>
              <w:autoSpaceDE w:val="0"/>
              <w:autoSpaceDN w:val="0"/>
              <w:adjustRightInd w:val="0"/>
              <w:ind w:left="0" w:firstLine="0"/>
              <w:jc w:val="center"/>
              <w:rPr>
                <w:del w:id="3117" w:author="AbbVie1" w:date="2025-05-13T09:50:00Z"/>
                <w:b/>
                <w:bCs/>
                <w:szCs w:val="22"/>
              </w:rPr>
            </w:pPr>
            <w:del w:id="3118" w:author="AbbVie1" w:date="2025-05-13T09:50:00Z">
              <w:r w:rsidRPr="001B4A02">
                <w:rPr>
                  <w:b/>
                  <w:bCs/>
                  <w:szCs w:val="22"/>
                </w:rPr>
                <w:delText>P hodnota*</w:delText>
              </w:r>
            </w:del>
          </w:p>
        </w:tc>
      </w:tr>
      <w:tr w:rsidR="00534A2D" w14:paraId="23FFAADA" w14:textId="77777777" w:rsidTr="00E571F5">
        <w:trPr>
          <w:jc w:val="center"/>
          <w:del w:id="3119" w:author="AbbVie1" w:date="2025-05-13T09:50:00Z"/>
        </w:trPr>
        <w:tc>
          <w:tcPr>
            <w:tcW w:w="2547" w:type="dxa"/>
            <w:tcBorders>
              <w:top w:val="single" w:sz="6" w:space="0" w:color="000000"/>
              <w:left w:val="single" w:sz="6" w:space="0" w:color="000000"/>
              <w:bottom w:val="single" w:sz="6" w:space="0" w:color="000000"/>
              <w:right w:val="single" w:sz="6" w:space="0" w:color="000000"/>
            </w:tcBorders>
            <w:vAlign w:val="bottom"/>
          </w:tcPr>
          <w:p w14:paraId="21A7A131" w14:textId="77777777" w:rsidR="00D76799" w:rsidRPr="001B4A02" w:rsidRDefault="00000000" w:rsidP="00E571F5">
            <w:pPr>
              <w:keepLines/>
              <w:tabs>
                <w:tab w:val="left" w:pos="-1080"/>
              </w:tabs>
              <w:autoSpaceDE w:val="0"/>
              <w:autoSpaceDN w:val="0"/>
              <w:adjustRightInd w:val="0"/>
              <w:rPr>
                <w:del w:id="3120" w:author="AbbVie1" w:date="2025-05-13T09:50:00Z"/>
                <w:b/>
                <w:szCs w:val="22"/>
              </w:rPr>
            </w:pPr>
            <w:del w:id="3121" w:author="AbbVie1" w:date="2025-05-13T09:50:00Z">
              <w:r w:rsidRPr="001B4A02">
                <w:rPr>
                  <w:b/>
                  <w:szCs w:val="22"/>
                </w:rPr>
                <w:delText>Týden 26</w:delText>
              </w:r>
            </w:del>
          </w:p>
        </w:tc>
        <w:tc>
          <w:tcPr>
            <w:tcW w:w="2450" w:type="dxa"/>
            <w:tcBorders>
              <w:top w:val="single" w:sz="6" w:space="0" w:color="000000"/>
              <w:left w:val="single" w:sz="6" w:space="0" w:color="000000"/>
              <w:bottom w:val="single" w:sz="6" w:space="0" w:color="000000"/>
              <w:right w:val="single" w:sz="6" w:space="0" w:color="000000"/>
            </w:tcBorders>
            <w:vAlign w:val="bottom"/>
          </w:tcPr>
          <w:p w14:paraId="36DFA50D" w14:textId="77777777" w:rsidR="00D76799" w:rsidRPr="001B4A02" w:rsidRDefault="00D76799" w:rsidP="00E571F5">
            <w:pPr>
              <w:keepLines/>
              <w:tabs>
                <w:tab w:val="left" w:pos="-1080"/>
              </w:tabs>
              <w:autoSpaceDE w:val="0"/>
              <w:autoSpaceDN w:val="0"/>
              <w:adjustRightInd w:val="0"/>
              <w:ind w:left="0" w:firstLine="0"/>
              <w:jc w:val="center"/>
              <w:rPr>
                <w:del w:id="3122" w:author="AbbVie1" w:date="2025-05-13T09:50:00Z"/>
                <w:b/>
                <w:szCs w:val="22"/>
              </w:rPr>
            </w:pPr>
          </w:p>
        </w:tc>
        <w:tc>
          <w:tcPr>
            <w:tcW w:w="2409" w:type="dxa"/>
            <w:tcBorders>
              <w:top w:val="single" w:sz="6" w:space="0" w:color="000000"/>
              <w:left w:val="single" w:sz="6" w:space="0" w:color="000000"/>
              <w:bottom w:val="single" w:sz="6" w:space="0" w:color="000000"/>
              <w:right w:val="single" w:sz="6" w:space="0" w:color="000000"/>
            </w:tcBorders>
            <w:vAlign w:val="bottom"/>
          </w:tcPr>
          <w:p w14:paraId="3CCBABCE" w14:textId="77777777" w:rsidR="00D76799" w:rsidRPr="001B4A02" w:rsidRDefault="00D76799" w:rsidP="00E571F5">
            <w:pPr>
              <w:keepLines/>
              <w:tabs>
                <w:tab w:val="left" w:pos="-1080"/>
              </w:tabs>
              <w:autoSpaceDE w:val="0"/>
              <w:autoSpaceDN w:val="0"/>
              <w:adjustRightInd w:val="0"/>
              <w:ind w:left="0" w:firstLine="0"/>
              <w:jc w:val="center"/>
              <w:rPr>
                <w:del w:id="3123" w:author="AbbVie1" w:date="2025-05-13T09:50:00Z"/>
                <w:b/>
                <w:szCs w:val="22"/>
              </w:rPr>
            </w:pPr>
          </w:p>
        </w:tc>
        <w:tc>
          <w:tcPr>
            <w:tcW w:w="1843" w:type="dxa"/>
            <w:tcBorders>
              <w:top w:val="single" w:sz="6" w:space="0" w:color="000000"/>
              <w:left w:val="single" w:sz="6" w:space="0" w:color="000000"/>
              <w:bottom w:val="single" w:sz="6" w:space="0" w:color="000000"/>
              <w:right w:val="single" w:sz="6" w:space="0" w:color="000000"/>
            </w:tcBorders>
            <w:vAlign w:val="bottom"/>
          </w:tcPr>
          <w:p w14:paraId="6C8ACDA2" w14:textId="77777777" w:rsidR="00D76799" w:rsidRPr="001B4A02" w:rsidRDefault="00D76799" w:rsidP="00E571F5">
            <w:pPr>
              <w:autoSpaceDE w:val="0"/>
              <w:autoSpaceDN w:val="0"/>
              <w:adjustRightInd w:val="0"/>
              <w:ind w:left="0" w:firstLine="0"/>
              <w:jc w:val="center"/>
              <w:rPr>
                <w:del w:id="3124" w:author="AbbVie1" w:date="2025-05-13T09:50:00Z"/>
                <w:szCs w:val="22"/>
              </w:rPr>
            </w:pPr>
          </w:p>
        </w:tc>
      </w:tr>
      <w:tr w:rsidR="00534A2D" w14:paraId="10A31372" w14:textId="77777777" w:rsidTr="00E571F5">
        <w:trPr>
          <w:jc w:val="center"/>
          <w:del w:id="3125" w:author="AbbVie1" w:date="2025-05-13T09:50:00Z"/>
        </w:trPr>
        <w:tc>
          <w:tcPr>
            <w:tcW w:w="2547" w:type="dxa"/>
            <w:tcBorders>
              <w:top w:val="single" w:sz="6" w:space="0" w:color="000000"/>
              <w:left w:val="single" w:sz="6" w:space="0" w:color="000000"/>
              <w:bottom w:val="single" w:sz="6" w:space="0" w:color="000000"/>
              <w:right w:val="single" w:sz="6" w:space="0" w:color="000000"/>
            </w:tcBorders>
            <w:vAlign w:val="bottom"/>
          </w:tcPr>
          <w:p w14:paraId="224A2F5C" w14:textId="77777777" w:rsidR="00D76799" w:rsidRPr="001B4A02" w:rsidRDefault="00000000" w:rsidP="00E571F5">
            <w:pPr>
              <w:keepLines/>
              <w:tabs>
                <w:tab w:val="left" w:pos="-1080"/>
              </w:tabs>
              <w:autoSpaceDE w:val="0"/>
              <w:autoSpaceDN w:val="0"/>
              <w:adjustRightInd w:val="0"/>
              <w:ind w:left="0" w:firstLine="0"/>
              <w:rPr>
                <w:del w:id="3126" w:author="AbbVie1" w:date="2025-05-13T09:50:00Z"/>
                <w:bCs/>
                <w:szCs w:val="22"/>
              </w:rPr>
            </w:pPr>
            <w:del w:id="3127" w:author="AbbVie1" w:date="2025-05-13T09:50:00Z">
              <w:r w:rsidRPr="001B4A02">
                <w:rPr>
                  <w:bCs/>
                  <w:szCs w:val="22"/>
                </w:rPr>
                <w:delText>Klinická remise</w:delText>
              </w:r>
            </w:del>
          </w:p>
        </w:tc>
        <w:tc>
          <w:tcPr>
            <w:tcW w:w="2450" w:type="dxa"/>
            <w:tcBorders>
              <w:top w:val="single" w:sz="6" w:space="0" w:color="000000"/>
              <w:left w:val="single" w:sz="6" w:space="0" w:color="000000"/>
              <w:bottom w:val="single" w:sz="6" w:space="0" w:color="000000"/>
              <w:right w:val="single" w:sz="6" w:space="0" w:color="000000"/>
            </w:tcBorders>
            <w:vAlign w:val="bottom"/>
          </w:tcPr>
          <w:p w14:paraId="13079ED0" w14:textId="77777777" w:rsidR="00D76799" w:rsidRPr="001B4A02" w:rsidRDefault="00000000" w:rsidP="00E571F5">
            <w:pPr>
              <w:keepLines/>
              <w:tabs>
                <w:tab w:val="left" w:pos="-1080"/>
              </w:tabs>
              <w:autoSpaceDE w:val="0"/>
              <w:autoSpaceDN w:val="0"/>
              <w:adjustRightInd w:val="0"/>
              <w:ind w:left="0" w:firstLine="0"/>
              <w:jc w:val="center"/>
              <w:rPr>
                <w:del w:id="3128" w:author="AbbVie1" w:date="2025-05-13T09:50:00Z"/>
                <w:szCs w:val="22"/>
              </w:rPr>
            </w:pPr>
            <w:del w:id="3129" w:author="AbbVie1" w:date="2025-05-13T09:50:00Z">
              <w:r w:rsidRPr="001B4A02">
                <w:rPr>
                  <w:szCs w:val="22"/>
                </w:rPr>
                <w:delText>38,7</w:delText>
              </w:r>
              <w:r>
                <w:rPr>
                  <w:szCs w:val="22"/>
                </w:rPr>
                <w:delText> %</w:delText>
              </w:r>
            </w:del>
          </w:p>
        </w:tc>
        <w:tc>
          <w:tcPr>
            <w:tcW w:w="2409" w:type="dxa"/>
            <w:tcBorders>
              <w:top w:val="single" w:sz="6" w:space="0" w:color="000000"/>
              <w:left w:val="single" w:sz="6" w:space="0" w:color="000000"/>
              <w:bottom w:val="single" w:sz="6" w:space="0" w:color="000000"/>
              <w:right w:val="single" w:sz="6" w:space="0" w:color="000000"/>
            </w:tcBorders>
            <w:vAlign w:val="bottom"/>
          </w:tcPr>
          <w:p w14:paraId="2664427E" w14:textId="77777777" w:rsidR="00D76799" w:rsidRPr="001B4A02" w:rsidRDefault="00000000" w:rsidP="00E571F5">
            <w:pPr>
              <w:keepLines/>
              <w:tabs>
                <w:tab w:val="left" w:pos="-1080"/>
              </w:tabs>
              <w:autoSpaceDE w:val="0"/>
              <w:autoSpaceDN w:val="0"/>
              <w:adjustRightInd w:val="0"/>
              <w:ind w:left="0" w:firstLine="0"/>
              <w:jc w:val="center"/>
              <w:rPr>
                <w:del w:id="3130" w:author="AbbVie1" w:date="2025-05-13T09:50:00Z"/>
                <w:szCs w:val="22"/>
              </w:rPr>
            </w:pPr>
            <w:del w:id="3131" w:author="AbbVie1" w:date="2025-05-13T09:50:00Z">
              <w:r w:rsidRPr="001B4A02">
                <w:rPr>
                  <w:szCs w:val="22"/>
                </w:rPr>
                <w:delText>28,4</w:delText>
              </w:r>
              <w:r>
                <w:rPr>
                  <w:szCs w:val="22"/>
                </w:rPr>
                <w:delText> %</w:delText>
              </w:r>
            </w:del>
          </w:p>
        </w:tc>
        <w:tc>
          <w:tcPr>
            <w:tcW w:w="1843" w:type="dxa"/>
            <w:tcBorders>
              <w:top w:val="single" w:sz="6" w:space="0" w:color="000000"/>
              <w:left w:val="single" w:sz="6" w:space="0" w:color="000000"/>
              <w:bottom w:val="single" w:sz="6" w:space="0" w:color="000000"/>
              <w:right w:val="single" w:sz="6" w:space="0" w:color="000000"/>
            </w:tcBorders>
            <w:vAlign w:val="bottom"/>
          </w:tcPr>
          <w:p w14:paraId="6F57A6B3" w14:textId="77777777" w:rsidR="00D76799" w:rsidRPr="001B4A02" w:rsidRDefault="00000000" w:rsidP="00E571F5">
            <w:pPr>
              <w:keepLines/>
              <w:tabs>
                <w:tab w:val="left" w:pos="-1080"/>
              </w:tabs>
              <w:autoSpaceDE w:val="0"/>
              <w:autoSpaceDN w:val="0"/>
              <w:adjustRightInd w:val="0"/>
              <w:ind w:left="0" w:firstLine="0"/>
              <w:jc w:val="center"/>
              <w:rPr>
                <w:del w:id="3132" w:author="AbbVie1" w:date="2025-05-13T09:50:00Z"/>
                <w:szCs w:val="22"/>
              </w:rPr>
            </w:pPr>
            <w:del w:id="3133" w:author="AbbVie1" w:date="2025-05-13T09:50:00Z">
              <w:r w:rsidRPr="001B4A02">
                <w:rPr>
                  <w:szCs w:val="22"/>
                </w:rPr>
                <w:delText>0,075</w:delText>
              </w:r>
            </w:del>
          </w:p>
        </w:tc>
      </w:tr>
      <w:tr w:rsidR="00534A2D" w14:paraId="1F03CD36" w14:textId="77777777" w:rsidTr="00E571F5">
        <w:trPr>
          <w:jc w:val="center"/>
          <w:del w:id="3134" w:author="AbbVie1" w:date="2025-05-13T09:50:00Z"/>
        </w:trPr>
        <w:tc>
          <w:tcPr>
            <w:tcW w:w="2547" w:type="dxa"/>
            <w:tcBorders>
              <w:top w:val="single" w:sz="6" w:space="0" w:color="000000"/>
              <w:left w:val="single" w:sz="6" w:space="0" w:color="000000"/>
              <w:bottom w:val="single" w:sz="6" w:space="0" w:color="000000"/>
              <w:right w:val="single" w:sz="6" w:space="0" w:color="000000"/>
            </w:tcBorders>
            <w:vAlign w:val="bottom"/>
          </w:tcPr>
          <w:p w14:paraId="5B2DBDFA" w14:textId="77777777" w:rsidR="00D76799" w:rsidRPr="001B4A02" w:rsidRDefault="00000000" w:rsidP="00E571F5">
            <w:pPr>
              <w:keepLines/>
              <w:tabs>
                <w:tab w:val="left" w:pos="-1080"/>
              </w:tabs>
              <w:autoSpaceDE w:val="0"/>
              <w:autoSpaceDN w:val="0"/>
              <w:adjustRightInd w:val="0"/>
              <w:rPr>
                <w:del w:id="3135" w:author="AbbVie1" w:date="2025-05-13T09:50:00Z"/>
                <w:bCs/>
                <w:szCs w:val="22"/>
              </w:rPr>
            </w:pPr>
            <w:del w:id="3136" w:author="AbbVie1" w:date="2025-05-13T09:50:00Z">
              <w:r w:rsidRPr="001B4A02">
                <w:rPr>
                  <w:bCs/>
                  <w:szCs w:val="22"/>
                </w:rPr>
                <w:delText>Klinická odpověď</w:delText>
              </w:r>
            </w:del>
          </w:p>
        </w:tc>
        <w:tc>
          <w:tcPr>
            <w:tcW w:w="2450" w:type="dxa"/>
            <w:tcBorders>
              <w:top w:val="single" w:sz="6" w:space="0" w:color="000000"/>
              <w:left w:val="single" w:sz="6" w:space="0" w:color="000000"/>
              <w:bottom w:val="single" w:sz="6" w:space="0" w:color="000000"/>
              <w:right w:val="single" w:sz="6" w:space="0" w:color="000000"/>
            </w:tcBorders>
          </w:tcPr>
          <w:p w14:paraId="04DDF731" w14:textId="77777777" w:rsidR="00D76799" w:rsidRPr="001B4A02" w:rsidRDefault="00000000" w:rsidP="00E571F5">
            <w:pPr>
              <w:keepLines/>
              <w:tabs>
                <w:tab w:val="left" w:pos="-1080"/>
              </w:tabs>
              <w:autoSpaceDE w:val="0"/>
              <w:autoSpaceDN w:val="0"/>
              <w:adjustRightInd w:val="0"/>
              <w:ind w:left="0" w:firstLine="0"/>
              <w:jc w:val="center"/>
              <w:rPr>
                <w:del w:id="3137" w:author="AbbVie1" w:date="2025-05-13T09:50:00Z"/>
                <w:szCs w:val="22"/>
              </w:rPr>
            </w:pPr>
            <w:del w:id="3138" w:author="AbbVie1" w:date="2025-05-13T09:50:00Z">
              <w:r w:rsidRPr="001B4A02">
                <w:rPr>
                  <w:szCs w:val="22"/>
                </w:rPr>
                <w:delText>59,1</w:delText>
              </w:r>
              <w:r>
                <w:rPr>
                  <w:szCs w:val="22"/>
                </w:rPr>
                <w:delText> %</w:delText>
              </w:r>
            </w:del>
          </w:p>
        </w:tc>
        <w:tc>
          <w:tcPr>
            <w:tcW w:w="2409" w:type="dxa"/>
            <w:tcBorders>
              <w:top w:val="single" w:sz="6" w:space="0" w:color="000000"/>
              <w:left w:val="single" w:sz="6" w:space="0" w:color="000000"/>
              <w:bottom w:val="single" w:sz="6" w:space="0" w:color="000000"/>
              <w:right w:val="single" w:sz="6" w:space="0" w:color="000000"/>
            </w:tcBorders>
          </w:tcPr>
          <w:p w14:paraId="5260BE55" w14:textId="77777777" w:rsidR="00D76799" w:rsidRPr="001B4A02" w:rsidRDefault="00000000" w:rsidP="00E571F5">
            <w:pPr>
              <w:keepLines/>
              <w:tabs>
                <w:tab w:val="left" w:pos="-1080"/>
              </w:tabs>
              <w:autoSpaceDE w:val="0"/>
              <w:autoSpaceDN w:val="0"/>
              <w:adjustRightInd w:val="0"/>
              <w:ind w:left="0" w:firstLine="0"/>
              <w:jc w:val="center"/>
              <w:rPr>
                <w:del w:id="3139" w:author="AbbVie1" w:date="2025-05-13T09:50:00Z"/>
                <w:szCs w:val="22"/>
              </w:rPr>
            </w:pPr>
            <w:del w:id="3140" w:author="AbbVie1" w:date="2025-05-13T09:50:00Z">
              <w:r w:rsidRPr="001B4A02">
                <w:rPr>
                  <w:szCs w:val="22"/>
                </w:rPr>
                <w:delText>48,4</w:delText>
              </w:r>
              <w:r>
                <w:rPr>
                  <w:szCs w:val="22"/>
                </w:rPr>
                <w:delText> %</w:delText>
              </w:r>
            </w:del>
          </w:p>
        </w:tc>
        <w:tc>
          <w:tcPr>
            <w:tcW w:w="1843" w:type="dxa"/>
            <w:tcBorders>
              <w:top w:val="single" w:sz="6" w:space="0" w:color="000000"/>
              <w:left w:val="single" w:sz="6" w:space="0" w:color="000000"/>
              <w:bottom w:val="single" w:sz="6" w:space="0" w:color="000000"/>
              <w:right w:val="single" w:sz="6" w:space="0" w:color="000000"/>
            </w:tcBorders>
            <w:vAlign w:val="bottom"/>
          </w:tcPr>
          <w:p w14:paraId="6472B12C" w14:textId="77777777" w:rsidR="00D76799" w:rsidRPr="001B4A02" w:rsidRDefault="00000000" w:rsidP="00E571F5">
            <w:pPr>
              <w:keepLines/>
              <w:tabs>
                <w:tab w:val="left" w:pos="-1080"/>
              </w:tabs>
              <w:autoSpaceDE w:val="0"/>
              <w:autoSpaceDN w:val="0"/>
              <w:adjustRightInd w:val="0"/>
              <w:ind w:left="0" w:firstLine="0"/>
              <w:jc w:val="center"/>
              <w:rPr>
                <w:del w:id="3141" w:author="AbbVie1" w:date="2025-05-13T09:50:00Z"/>
                <w:szCs w:val="22"/>
              </w:rPr>
            </w:pPr>
            <w:del w:id="3142" w:author="AbbVie1" w:date="2025-05-13T09:50:00Z">
              <w:r w:rsidRPr="001B4A02">
                <w:rPr>
                  <w:szCs w:val="22"/>
                </w:rPr>
                <w:delText>0,073</w:delText>
              </w:r>
            </w:del>
          </w:p>
        </w:tc>
      </w:tr>
      <w:tr w:rsidR="00534A2D" w14:paraId="55592A45" w14:textId="77777777" w:rsidTr="00E571F5">
        <w:trPr>
          <w:jc w:val="center"/>
          <w:del w:id="3143" w:author="AbbVie1" w:date="2025-05-13T09:50:00Z"/>
        </w:trPr>
        <w:tc>
          <w:tcPr>
            <w:tcW w:w="2547" w:type="dxa"/>
            <w:tcBorders>
              <w:top w:val="single" w:sz="6" w:space="0" w:color="000000"/>
              <w:left w:val="single" w:sz="6" w:space="0" w:color="000000"/>
              <w:bottom w:val="single" w:sz="6" w:space="0" w:color="000000"/>
              <w:right w:val="single" w:sz="6" w:space="0" w:color="000000"/>
            </w:tcBorders>
            <w:vAlign w:val="bottom"/>
          </w:tcPr>
          <w:p w14:paraId="6FE45D7E" w14:textId="77777777" w:rsidR="00D76799" w:rsidRPr="001B4A02" w:rsidRDefault="00000000" w:rsidP="00E571F5">
            <w:pPr>
              <w:keepLines/>
              <w:tabs>
                <w:tab w:val="left" w:pos="-1080"/>
              </w:tabs>
              <w:autoSpaceDE w:val="0"/>
              <w:autoSpaceDN w:val="0"/>
              <w:adjustRightInd w:val="0"/>
              <w:rPr>
                <w:del w:id="3144" w:author="AbbVie1" w:date="2025-05-13T09:50:00Z"/>
                <w:b/>
                <w:szCs w:val="22"/>
              </w:rPr>
            </w:pPr>
            <w:del w:id="3145" w:author="AbbVie1" w:date="2025-05-13T09:50:00Z">
              <w:r w:rsidRPr="001B4A02">
                <w:rPr>
                  <w:b/>
                  <w:szCs w:val="22"/>
                </w:rPr>
                <w:delText>Týden 52</w:delText>
              </w:r>
            </w:del>
          </w:p>
        </w:tc>
        <w:tc>
          <w:tcPr>
            <w:tcW w:w="2450" w:type="dxa"/>
            <w:tcBorders>
              <w:top w:val="single" w:sz="6" w:space="0" w:color="000000"/>
              <w:left w:val="single" w:sz="6" w:space="0" w:color="000000"/>
              <w:bottom w:val="single" w:sz="6" w:space="0" w:color="000000"/>
              <w:right w:val="single" w:sz="6" w:space="0" w:color="000000"/>
            </w:tcBorders>
            <w:vAlign w:val="bottom"/>
          </w:tcPr>
          <w:p w14:paraId="26E3928D" w14:textId="77777777" w:rsidR="00D76799" w:rsidRPr="001B4A02" w:rsidRDefault="00D76799" w:rsidP="00E571F5">
            <w:pPr>
              <w:keepLines/>
              <w:tabs>
                <w:tab w:val="left" w:pos="-1080"/>
              </w:tabs>
              <w:autoSpaceDE w:val="0"/>
              <w:autoSpaceDN w:val="0"/>
              <w:adjustRightInd w:val="0"/>
              <w:ind w:left="0" w:firstLine="0"/>
              <w:jc w:val="center"/>
              <w:rPr>
                <w:del w:id="3146" w:author="AbbVie1" w:date="2025-05-13T09:50:00Z"/>
                <w:b/>
                <w:szCs w:val="22"/>
              </w:rPr>
            </w:pPr>
          </w:p>
        </w:tc>
        <w:tc>
          <w:tcPr>
            <w:tcW w:w="2409" w:type="dxa"/>
            <w:tcBorders>
              <w:top w:val="single" w:sz="6" w:space="0" w:color="000000"/>
              <w:left w:val="single" w:sz="6" w:space="0" w:color="000000"/>
              <w:bottom w:val="single" w:sz="6" w:space="0" w:color="000000"/>
              <w:right w:val="single" w:sz="6" w:space="0" w:color="000000"/>
            </w:tcBorders>
            <w:vAlign w:val="bottom"/>
          </w:tcPr>
          <w:p w14:paraId="0379F4BB" w14:textId="77777777" w:rsidR="00D76799" w:rsidRPr="001B4A02" w:rsidRDefault="00D76799" w:rsidP="00E571F5">
            <w:pPr>
              <w:keepLines/>
              <w:tabs>
                <w:tab w:val="left" w:pos="-1080"/>
              </w:tabs>
              <w:autoSpaceDE w:val="0"/>
              <w:autoSpaceDN w:val="0"/>
              <w:adjustRightInd w:val="0"/>
              <w:ind w:left="0" w:firstLine="0"/>
              <w:jc w:val="center"/>
              <w:rPr>
                <w:del w:id="3147" w:author="AbbVie1" w:date="2025-05-13T09:50:00Z"/>
                <w:b/>
                <w:szCs w:val="22"/>
              </w:rPr>
            </w:pPr>
          </w:p>
        </w:tc>
        <w:tc>
          <w:tcPr>
            <w:tcW w:w="1843" w:type="dxa"/>
            <w:tcBorders>
              <w:top w:val="single" w:sz="6" w:space="0" w:color="000000"/>
              <w:left w:val="single" w:sz="6" w:space="0" w:color="000000"/>
              <w:bottom w:val="single" w:sz="6" w:space="0" w:color="000000"/>
              <w:right w:val="single" w:sz="6" w:space="0" w:color="000000"/>
            </w:tcBorders>
            <w:vAlign w:val="bottom"/>
          </w:tcPr>
          <w:p w14:paraId="78AE64AD" w14:textId="77777777" w:rsidR="00D76799" w:rsidRPr="001B4A02" w:rsidRDefault="00D76799" w:rsidP="00E571F5">
            <w:pPr>
              <w:autoSpaceDE w:val="0"/>
              <w:autoSpaceDN w:val="0"/>
              <w:adjustRightInd w:val="0"/>
              <w:ind w:left="0" w:firstLine="0"/>
              <w:jc w:val="center"/>
              <w:rPr>
                <w:del w:id="3148" w:author="AbbVie1" w:date="2025-05-13T09:50:00Z"/>
                <w:b/>
                <w:szCs w:val="22"/>
              </w:rPr>
            </w:pPr>
          </w:p>
        </w:tc>
      </w:tr>
      <w:tr w:rsidR="00534A2D" w14:paraId="7DCA1DD9" w14:textId="77777777" w:rsidTr="00E571F5">
        <w:trPr>
          <w:jc w:val="center"/>
          <w:del w:id="3149" w:author="AbbVie1" w:date="2025-05-13T09:50:00Z"/>
        </w:trPr>
        <w:tc>
          <w:tcPr>
            <w:tcW w:w="2547" w:type="dxa"/>
            <w:tcBorders>
              <w:top w:val="single" w:sz="6" w:space="0" w:color="000000"/>
              <w:left w:val="single" w:sz="6" w:space="0" w:color="000000"/>
              <w:bottom w:val="single" w:sz="6" w:space="0" w:color="000000"/>
              <w:right w:val="single" w:sz="6" w:space="0" w:color="000000"/>
            </w:tcBorders>
            <w:vAlign w:val="bottom"/>
          </w:tcPr>
          <w:p w14:paraId="58B788C9" w14:textId="77777777" w:rsidR="00D76799" w:rsidRPr="001B4A02" w:rsidRDefault="00000000" w:rsidP="00E571F5">
            <w:pPr>
              <w:keepLines/>
              <w:tabs>
                <w:tab w:val="left" w:pos="-1080"/>
              </w:tabs>
              <w:autoSpaceDE w:val="0"/>
              <w:autoSpaceDN w:val="0"/>
              <w:adjustRightInd w:val="0"/>
              <w:rPr>
                <w:del w:id="3150" w:author="AbbVie1" w:date="2025-05-13T09:50:00Z"/>
                <w:bCs/>
                <w:szCs w:val="22"/>
              </w:rPr>
            </w:pPr>
            <w:del w:id="3151" w:author="AbbVie1" w:date="2025-05-13T09:50:00Z">
              <w:r w:rsidRPr="001B4A02">
                <w:rPr>
                  <w:bCs/>
                  <w:szCs w:val="22"/>
                </w:rPr>
                <w:delText>Klinická remise</w:delText>
              </w:r>
            </w:del>
          </w:p>
        </w:tc>
        <w:tc>
          <w:tcPr>
            <w:tcW w:w="2450" w:type="dxa"/>
            <w:tcBorders>
              <w:top w:val="single" w:sz="6" w:space="0" w:color="000000"/>
              <w:left w:val="single" w:sz="6" w:space="0" w:color="000000"/>
              <w:bottom w:val="single" w:sz="6" w:space="0" w:color="000000"/>
              <w:right w:val="single" w:sz="6" w:space="0" w:color="000000"/>
            </w:tcBorders>
          </w:tcPr>
          <w:p w14:paraId="14075A31" w14:textId="77777777" w:rsidR="00D76799" w:rsidRPr="001B4A02" w:rsidRDefault="00000000" w:rsidP="00E571F5">
            <w:pPr>
              <w:keepLines/>
              <w:tabs>
                <w:tab w:val="left" w:pos="-1080"/>
              </w:tabs>
              <w:autoSpaceDE w:val="0"/>
              <w:autoSpaceDN w:val="0"/>
              <w:adjustRightInd w:val="0"/>
              <w:ind w:left="0" w:firstLine="0"/>
              <w:jc w:val="center"/>
              <w:rPr>
                <w:del w:id="3152" w:author="AbbVie1" w:date="2025-05-13T09:50:00Z"/>
                <w:szCs w:val="22"/>
              </w:rPr>
            </w:pPr>
            <w:del w:id="3153" w:author="AbbVie1" w:date="2025-05-13T09:50:00Z">
              <w:r w:rsidRPr="001B4A02">
                <w:rPr>
                  <w:szCs w:val="22"/>
                </w:rPr>
                <w:delText>33,3</w:delText>
              </w:r>
              <w:r>
                <w:rPr>
                  <w:szCs w:val="22"/>
                </w:rPr>
                <w:delText> %</w:delText>
              </w:r>
            </w:del>
          </w:p>
        </w:tc>
        <w:tc>
          <w:tcPr>
            <w:tcW w:w="2409" w:type="dxa"/>
            <w:tcBorders>
              <w:top w:val="single" w:sz="6" w:space="0" w:color="000000"/>
              <w:left w:val="single" w:sz="6" w:space="0" w:color="000000"/>
              <w:bottom w:val="single" w:sz="6" w:space="0" w:color="000000"/>
              <w:right w:val="single" w:sz="6" w:space="0" w:color="000000"/>
            </w:tcBorders>
          </w:tcPr>
          <w:p w14:paraId="791BD51A" w14:textId="77777777" w:rsidR="00D76799" w:rsidRPr="001B4A02" w:rsidRDefault="00000000" w:rsidP="00E571F5">
            <w:pPr>
              <w:keepLines/>
              <w:tabs>
                <w:tab w:val="left" w:pos="-1080"/>
              </w:tabs>
              <w:autoSpaceDE w:val="0"/>
              <w:autoSpaceDN w:val="0"/>
              <w:adjustRightInd w:val="0"/>
              <w:ind w:left="0" w:firstLine="0"/>
              <w:jc w:val="center"/>
              <w:rPr>
                <w:del w:id="3154" w:author="AbbVie1" w:date="2025-05-13T09:50:00Z"/>
                <w:szCs w:val="22"/>
              </w:rPr>
            </w:pPr>
            <w:del w:id="3155" w:author="AbbVie1" w:date="2025-05-13T09:50:00Z">
              <w:r w:rsidRPr="001B4A02">
                <w:rPr>
                  <w:szCs w:val="22"/>
                </w:rPr>
                <w:delText>23,2</w:delText>
              </w:r>
              <w:r>
                <w:rPr>
                  <w:szCs w:val="22"/>
                </w:rPr>
                <w:delText> %</w:delText>
              </w:r>
            </w:del>
          </w:p>
        </w:tc>
        <w:tc>
          <w:tcPr>
            <w:tcW w:w="1843" w:type="dxa"/>
            <w:tcBorders>
              <w:top w:val="single" w:sz="6" w:space="0" w:color="000000"/>
              <w:left w:val="single" w:sz="6" w:space="0" w:color="000000"/>
              <w:bottom w:val="single" w:sz="6" w:space="0" w:color="000000"/>
              <w:right w:val="single" w:sz="6" w:space="0" w:color="000000"/>
            </w:tcBorders>
          </w:tcPr>
          <w:p w14:paraId="3BCB3557" w14:textId="77777777" w:rsidR="00D76799" w:rsidRPr="001B4A02" w:rsidRDefault="00000000" w:rsidP="00E571F5">
            <w:pPr>
              <w:keepLines/>
              <w:tabs>
                <w:tab w:val="left" w:pos="-1080"/>
              </w:tabs>
              <w:autoSpaceDE w:val="0"/>
              <w:autoSpaceDN w:val="0"/>
              <w:adjustRightInd w:val="0"/>
              <w:ind w:left="0" w:firstLine="0"/>
              <w:jc w:val="center"/>
              <w:rPr>
                <w:del w:id="3156" w:author="AbbVie1" w:date="2025-05-13T09:50:00Z"/>
                <w:szCs w:val="22"/>
              </w:rPr>
            </w:pPr>
            <w:del w:id="3157" w:author="AbbVie1" w:date="2025-05-13T09:50:00Z">
              <w:r w:rsidRPr="001B4A02">
                <w:rPr>
                  <w:szCs w:val="22"/>
                </w:rPr>
                <w:delText>0,100</w:delText>
              </w:r>
            </w:del>
          </w:p>
        </w:tc>
      </w:tr>
      <w:tr w:rsidR="00534A2D" w14:paraId="1F310B42" w14:textId="77777777" w:rsidTr="00E571F5">
        <w:trPr>
          <w:jc w:val="center"/>
          <w:del w:id="3158" w:author="AbbVie1" w:date="2025-05-13T09:50:00Z"/>
        </w:trPr>
        <w:tc>
          <w:tcPr>
            <w:tcW w:w="2547" w:type="dxa"/>
            <w:tcBorders>
              <w:top w:val="single" w:sz="6" w:space="0" w:color="000000"/>
              <w:left w:val="single" w:sz="6" w:space="0" w:color="000000"/>
              <w:bottom w:val="single" w:sz="6" w:space="0" w:color="000000"/>
              <w:right w:val="single" w:sz="6" w:space="0" w:color="000000"/>
            </w:tcBorders>
            <w:vAlign w:val="bottom"/>
          </w:tcPr>
          <w:p w14:paraId="4DE80677" w14:textId="77777777" w:rsidR="00D76799" w:rsidRPr="001B4A02" w:rsidRDefault="00000000" w:rsidP="00E571F5">
            <w:pPr>
              <w:keepLines/>
              <w:tabs>
                <w:tab w:val="left" w:pos="-1080"/>
              </w:tabs>
              <w:autoSpaceDE w:val="0"/>
              <w:autoSpaceDN w:val="0"/>
              <w:adjustRightInd w:val="0"/>
              <w:rPr>
                <w:del w:id="3159" w:author="AbbVie1" w:date="2025-05-13T09:50:00Z"/>
                <w:b/>
                <w:bCs/>
                <w:szCs w:val="22"/>
              </w:rPr>
            </w:pPr>
            <w:del w:id="3160" w:author="AbbVie1" w:date="2025-05-13T09:50:00Z">
              <w:r w:rsidRPr="001B4A02">
                <w:rPr>
                  <w:bCs/>
                  <w:szCs w:val="22"/>
                </w:rPr>
                <w:delText>Klinická odpověď</w:delText>
              </w:r>
            </w:del>
          </w:p>
        </w:tc>
        <w:tc>
          <w:tcPr>
            <w:tcW w:w="2450" w:type="dxa"/>
            <w:tcBorders>
              <w:top w:val="single" w:sz="6" w:space="0" w:color="000000"/>
              <w:left w:val="single" w:sz="6" w:space="0" w:color="000000"/>
              <w:bottom w:val="single" w:sz="6" w:space="0" w:color="000000"/>
              <w:right w:val="single" w:sz="6" w:space="0" w:color="000000"/>
            </w:tcBorders>
          </w:tcPr>
          <w:p w14:paraId="594CEE27" w14:textId="77777777" w:rsidR="00D76799" w:rsidRPr="001B4A02" w:rsidRDefault="00000000" w:rsidP="00E571F5">
            <w:pPr>
              <w:keepLines/>
              <w:tabs>
                <w:tab w:val="left" w:pos="-1080"/>
              </w:tabs>
              <w:autoSpaceDE w:val="0"/>
              <w:autoSpaceDN w:val="0"/>
              <w:adjustRightInd w:val="0"/>
              <w:ind w:left="0" w:firstLine="0"/>
              <w:jc w:val="center"/>
              <w:rPr>
                <w:del w:id="3161" w:author="AbbVie1" w:date="2025-05-13T09:50:00Z"/>
                <w:szCs w:val="22"/>
              </w:rPr>
            </w:pPr>
            <w:del w:id="3162" w:author="AbbVie1" w:date="2025-05-13T09:50:00Z">
              <w:r w:rsidRPr="001B4A02">
                <w:rPr>
                  <w:szCs w:val="22"/>
                </w:rPr>
                <w:delText>41,9</w:delText>
              </w:r>
              <w:r>
                <w:rPr>
                  <w:szCs w:val="22"/>
                </w:rPr>
                <w:delText> %</w:delText>
              </w:r>
            </w:del>
          </w:p>
        </w:tc>
        <w:tc>
          <w:tcPr>
            <w:tcW w:w="2409" w:type="dxa"/>
            <w:tcBorders>
              <w:top w:val="single" w:sz="6" w:space="0" w:color="000000"/>
              <w:left w:val="single" w:sz="6" w:space="0" w:color="000000"/>
              <w:bottom w:val="single" w:sz="6" w:space="0" w:color="000000"/>
              <w:right w:val="single" w:sz="6" w:space="0" w:color="000000"/>
            </w:tcBorders>
          </w:tcPr>
          <w:p w14:paraId="77592FB9" w14:textId="77777777" w:rsidR="00D76799" w:rsidRPr="001B4A02" w:rsidRDefault="00000000" w:rsidP="00E571F5">
            <w:pPr>
              <w:keepLines/>
              <w:tabs>
                <w:tab w:val="left" w:pos="-1080"/>
              </w:tabs>
              <w:autoSpaceDE w:val="0"/>
              <w:autoSpaceDN w:val="0"/>
              <w:adjustRightInd w:val="0"/>
              <w:ind w:left="0" w:firstLine="0"/>
              <w:jc w:val="center"/>
              <w:rPr>
                <w:del w:id="3163" w:author="AbbVie1" w:date="2025-05-13T09:50:00Z"/>
                <w:szCs w:val="22"/>
              </w:rPr>
            </w:pPr>
            <w:del w:id="3164" w:author="AbbVie1" w:date="2025-05-13T09:50:00Z">
              <w:r w:rsidRPr="001B4A02">
                <w:rPr>
                  <w:szCs w:val="22"/>
                </w:rPr>
                <w:delText>28,4</w:delText>
              </w:r>
              <w:r>
                <w:rPr>
                  <w:szCs w:val="22"/>
                </w:rPr>
                <w:delText> %</w:delText>
              </w:r>
            </w:del>
          </w:p>
        </w:tc>
        <w:tc>
          <w:tcPr>
            <w:tcW w:w="1843" w:type="dxa"/>
            <w:tcBorders>
              <w:top w:val="single" w:sz="6" w:space="0" w:color="000000"/>
              <w:left w:val="single" w:sz="6" w:space="0" w:color="000000"/>
              <w:bottom w:val="single" w:sz="6" w:space="0" w:color="000000"/>
              <w:right w:val="single" w:sz="6" w:space="0" w:color="000000"/>
            </w:tcBorders>
          </w:tcPr>
          <w:p w14:paraId="3388B914" w14:textId="77777777" w:rsidR="00D76799" w:rsidRPr="001B4A02" w:rsidRDefault="00000000" w:rsidP="00E571F5">
            <w:pPr>
              <w:keepLines/>
              <w:tabs>
                <w:tab w:val="left" w:pos="-1080"/>
              </w:tabs>
              <w:autoSpaceDE w:val="0"/>
              <w:autoSpaceDN w:val="0"/>
              <w:adjustRightInd w:val="0"/>
              <w:ind w:left="0" w:firstLine="0"/>
              <w:jc w:val="center"/>
              <w:rPr>
                <w:del w:id="3165" w:author="AbbVie1" w:date="2025-05-13T09:50:00Z"/>
                <w:szCs w:val="22"/>
              </w:rPr>
            </w:pPr>
            <w:del w:id="3166" w:author="AbbVie1" w:date="2025-05-13T09:50:00Z">
              <w:r w:rsidRPr="001B4A02">
                <w:rPr>
                  <w:szCs w:val="22"/>
                </w:rPr>
                <w:delText>0,038</w:delText>
              </w:r>
            </w:del>
          </w:p>
        </w:tc>
      </w:tr>
      <w:tr w:rsidR="00534A2D" w14:paraId="3973D73B" w14:textId="77777777" w:rsidTr="00E571F5">
        <w:trPr>
          <w:jc w:val="center"/>
          <w:del w:id="3167" w:author="AbbVie1" w:date="2025-05-13T09:50:00Z"/>
        </w:trPr>
        <w:tc>
          <w:tcPr>
            <w:tcW w:w="9249" w:type="dxa"/>
            <w:gridSpan w:val="4"/>
            <w:tcBorders>
              <w:top w:val="single" w:sz="6" w:space="0" w:color="000000"/>
              <w:left w:val="single" w:sz="6" w:space="0" w:color="000000"/>
              <w:bottom w:val="single" w:sz="6" w:space="0" w:color="000000"/>
              <w:right w:val="single" w:sz="6" w:space="0" w:color="000000"/>
            </w:tcBorders>
          </w:tcPr>
          <w:p w14:paraId="3789B865" w14:textId="77777777" w:rsidR="00D76799" w:rsidRPr="001B4A02" w:rsidRDefault="00000000" w:rsidP="00E571F5">
            <w:pPr>
              <w:keepLines/>
              <w:tabs>
                <w:tab w:val="left" w:pos="-1080"/>
              </w:tabs>
              <w:autoSpaceDE w:val="0"/>
              <w:autoSpaceDN w:val="0"/>
              <w:adjustRightInd w:val="0"/>
              <w:rPr>
                <w:del w:id="3168" w:author="AbbVie1" w:date="2025-05-13T09:50:00Z"/>
                <w:sz w:val="20"/>
              </w:rPr>
            </w:pPr>
            <w:del w:id="3169" w:author="AbbVie1" w:date="2025-05-13T09:50:00Z">
              <w:r w:rsidRPr="001B4A02">
                <w:rPr>
                  <w:sz w:val="20"/>
                </w:rPr>
                <w:delText>* p hodnota pro standardní dávku v porovnání se sníženou dávkou</w:delText>
              </w:r>
            </w:del>
          </w:p>
        </w:tc>
      </w:tr>
    </w:tbl>
    <w:p w14:paraId="2C14B26D" w14:textId="77777777" w:rsidR="00D76799" w:rsidRPr="001B4A02" w:rsidRDefault="00D76799" w:rsidP="00D76799">
      <w:pPr>
        <w:tabs>
          <w:tab w:val="left" w:pos="1294"/>
        </w:tabs>
        <w:autoSpaceDE w:val="0"/>
        <w:autoSpaceDN w:val="0"/>
        <w:adjustRightInd w:val="0"/>
        <w:rPr>
          <w:del w:id="3170" w:author="AbbVie1" w:date="2025-05-13T09:50:00Z"/>
          <w:szCs w:val="22"/>
        </w:rPr>
      </w:pPr>
    </w:p>
    <w:tbl>
      <w:tblPr>
        <w:tblW w:w="9300" w:type="dxa"/>
        <w:jc w:val="center"/>
        <w:tblCellMar>
          <w:left w:w="0" w:type="dxa"/>
          <w:right w:w="0" w:type="dxa"/>
        </w:tblCellMar>
        <w:tblLook w:val="00A0" w:firstRow="1" w:lastRow="0" w:firstColumn="1" w:lastColumn="0" w:noHBand="0" w:noVBand="0"/>
      </w:tblPr>
      <w:tblGrid>
        <w:gridCol w:w="3234"/>
        <w:gridCol w:w="2447"/>
        <w:gridCol w:w="2231"/>
        <w:gridCol w:w="1388"/>
      </w:tblGrid>
      <w:tr w:rsidR="00534A2D" w14:paraId="487CFF9E" w14:textId="77777777" w:rsidTr="00E571F5">
        <w:trPr>
          <w:jc w:val="center"/>
          <w:del w:id="3171" w:author="AbbVie1" w:date="2025-05-13T09:50:00Z"/>
        </w:trPr>
        <w:tc>
          <w:tcPr>
            <w:tcW w:w="9300" w:type="dxa"/>
            <w:gridSpan w:val="4"/>
            <w:tcBorders>
              <w:top w:val="single" w:sz="6" w:space="0" w:color="000000"/>
              <w:left w:val="single" w:sz="6" w:space="0" w:color="000000"/>
              <w:bottom w:val="single" w:sz="6" w:space="0" w:color="000000"/>
              <w:right w:val="single" w:sz="6" w:space="0" w:color="000000"/>
            </w:tcBorders>
          </w:tcPr>
          <w:p w14:paraId="310DB7B8" w14:textId="77777777" w:rsidR="00D76799" w:rsidRPr="001B4A02" w:rsidRDefault="00000000" w:rsidP="00F9384F">
            <w:pPr>
              <w:keepNext/>
              <w:tabs>
                <w:tab w:val="left" w:pos="-878"/>
              </w:tabs>
              <w:autoSpaceDE w:val="0"/>
              <w:autoSpaceDN w:val="0"/>
              <w:adjustRightInd w:val="0"/>
              <w:jc w:val="center"/>
              <w:rPr>
                <w:del w:id="3172" w:author="AbbVie1" w:date="2025-05-13T09:50:00Z"/>
                <w:b/>
                <w:bCs/>
                <w:szCs w:val="22"/>
              </w:rPr>
            </w:pPr>
            <w:del w:id="3173" w:author="AbbVie1" w:date="2025-05-13T09:50:00Z">
              <w:r w:rsidRPr="001B4A02">
                <w:rPr>
                  <w:b/>
                  <w:bCs/>
                  <w:szCs w:val="22"/>
                </w:rPr>
                <w:delText xml:space="preserve">Tabulka </w:delText>
              </w:r>
              <w:r w:rsidR="00AB282F">
                <w:rPr>
                  <w:b/>
                  <w:bCs/>
                  <w:szCs w:val="22"/>
                </w:rPr>
                <w:delText>25</w:delText>
              </w:r>
            </w:del>
          </w:p>
          <w:p w14:paraId="764DE98E" w14:textId="77777777" w:rsidR="00D76799" w:rsidRPr="001B4A02" w:rsidRDefault="00000000" w:rsidP="00F9384F">
            <w:pPr>
              <w:keepNext/>
              <w:tabs>
                <w:tab w:val="left" w:pos="-878"/>
              </w:tabs>
              <w:autoSpaceDE w:val="0"/>
              <w:autoSpaceDN w:val="0"/>
              <w:adjustRightInd w:val="0"/>
              <w:jc w:val="center"/>
              <w:rPr>
                <w:del w:id="3174" w:author="AbbVie1" w:date="2025-05-13T09:50:00Z"/>
                <w:b/>
                <w:bCs/>
                <w:szCs w:val="22"/>
              </w:rPr>
            </w:pPr>
            <w:del w:id="3175" w:author="AbbVie1" w:date="2025-05-13T09:50:00Z">
              <w:r w:rsidRPr="001B4A02">
                <w:rPr>
                  <w:b/>
                  <w:bCs/>
                  <w:szCs w:val="22"/>
                </w:rPr>
                <w:delText>Studie u pediatrických pacientů s Crohnovou chorobou</w:delText>
              </w:r>
            </w:del>
          </w:p>
          <w:p w14:paraId="2605D304" w14:textId="77777777" w:rsidR="00D76799" w:rsidRPr="001B4A02" w:rsidRDefault="00000000" w:rsidP="00F9384F">
            <w:pPr>
              <w:keepNext/>
              <w:tabs>
                <w:tab w:val="left" w:pos="-878"/>
              </w:tabs>
              <w:autoSpaceDE w:val="0"/>
              <w:autoSpaceDN w:val="0"/>
              <w:adjustRightInd w:val="0"/>
              <w:jc w:val="center"/>
              <w:rPr>
                <w:del w:id="3176" w:author="AbbVie1" w:date="2025-05-13T09:50:00Z"/>
                <w:b/>
                <w:bCs/>
                <w:szCs w:val="22"/>
              </w:rPr>
            </w:pPr>
            <w:del w:id="3177" w:author="AbbVie1" w:date="2025-05-13T09:50:00Z">
              <w:r w:rsidRPr="001B4A02">
                <w:rPr>
                  <w:b/>
                  <w:bCs/>
                  <w:szCs w:val="22"/>
                </w:rPr>
                <w:delText>Vysazení kortikosteroidů nebo imunomodulátorů</w:delText>
              </w:r>
              <w:r w:rsidR="002378E0">
                <w:rPr>
                  <w:b/>
                  <w:bCs/>
                  <w:szCs w:val="22"/>
                </w:rPr>
                <w:delText xml:space="preserve"> a </w:delText>
              </w:r>
              <w:r w:rsidRPr="001B4A02">
                <w:rPr>
                  <w:b/>
                  <w:bCs/>
                  <w:szCs w:val="22"/>
                </w:rPr>
                <w:delText>remise píštělí</w:delText>
              </w:r>
            </w:del>
          </w:p>
        </w:tc>
      </w:tr>
      <w:tr w:rsidR="00534A2D" w14:paraId="08289282" w14:textId="77777777" w:rsidTr="00E571F5">
        <w:trPr>
          <w:jc w:val="center"/>
          <w:del w:id="3178" w:author="AbbVie1" w:date="2025-05-13T09:50:00Z"/>
        </w:trPr>
        <w:tc>
          <w:tcPr>
            <w:tcW w:w="3234" w:type="dxa"/>
            <w:tcBorders>
              <w:top w:val="single" w:sz="6" w:space="0" w:color="000000"/>
              <w:left w:val="single" w:sz="6" w:space="0" w:color="000000"/>
              <w:bottom w:val="single" w:sz="6" w:space="0" w:color="000000"/>
              <w:right w:val="single" w:sz="6" w:space="0" w:color="000000"/>
            </w:tcBorders>
          </w:tcPr>
          <w:p w14:paraId="7E672EF4" w14:textId="77777777" w:rsidR="00D76799" w:rsidRPr="001B4A02" w:rsidRDefault="00D76799" w:rsidP="00F9384F">
            <w:pPr>
              <w:keepNext/>
              <w:keepLines/>
              <w:tabs>
                <w:tab w:val="left" w:pos="-1080"/>
              </w:tabs>
              <w:autoSpaceDE w:val="0"/>
              <w:autoSpaceDN w:val="0"/>
              <w:adjustRightInd w:val="0"/>
              <w:jc w:val="center"/>
              <w:rPr>
                <w:del w:id="3179" w:author="AbbVie1" w:date="2025-05-13T09:50:00Z"/>
                <w:b/>
                <w:bCs/>
                <w:szCs w:val="22"/>
              </w:rPr>
            </w:pPr>
          </w:p>
        </w:tc>
        <w:tc>
          <w:tcPr>
            <w:tcW w:w="2447" w:type="dxa"/>
            <w:tcBorders>
              <w:top w:val="single" w:sz="6" w:space="0" w:color="000000"/>
              <w:left w:val="single" w:sz="6" w:space="0" w:color="000000"/>
              <w:bottom w:val="single" w:sz="6" w:space="0" w:color="000000"/>
              <w:right w:val="single" w:sz="6" w:space="0" w:color="000000"/>
            </w:tcBorders>
          </w:tcPr>
          <w:p w14:paraId="57814FAF" w14:textId="77777777" w:rsidR="00D76799" w:rsidRPr="001B4A02" w:rsidRDefault="00000000" w:rsidP="00F9384F">
            <w:pPr>
              <w:keepNext/>
              <w:keepLines/>
              <w:tabs>
                <w:tab w:val="left" w:pos="-1080"/>
              </w:tabs>
              <w:autoSpaceDE w:val="0"/>
              <w:autoSpaceDN w:val="0"/>
              <w:adjustRightInd w:val="0"/>
              <w:ind w:left="0" w:firstLine="0"/>
              <w:jc w:val="center"/>
              <w:rPr>
                <w:del w:id="3180" w:author="AbbVie1" w:date="2025-05-13T09:50:00Z"/>
                <w:b/>
                <w:bCs/>
                <w:szCs w:val="22"/>
              </w:rPr>
            </w:pPr>
            <w:del w:id="3181" w:author="AbbVie1" w:date="2025-05-13T09:50:00Z">
              <w:r w:rsidRPr="001B4A02">
                <w:rPr>
                  <w:b/>
                  <w:bCs/>
                  <w:szCs w:val="22"/>
                </w:rPr>
                <w:delText>Standardní dávka</w:delText>
              </w:r>
            </w:del>
          </w:p>
          <w:p w14:paraId="16DACEF5" w14:textId="77777777" w:rsidR="00D76799" w:rsidRPr="001B4A02" w:rsidRDefault="00000000" w:rsidP="00F9384F">
            <w:pPr>
              <w:keepNext/>
              <w:keepLines/>
              <w:tabs>
                <w:tab w:val="left" w:pos="-1080"/>
              </w:tabs>
              <w:autoSpaceDE w:val="0"/>
              <w:autoSpaceDN w:val="0"/>
              <w:adjustRightInd w:val="0"/>
              <w:ind w:left="0" w:firstLine="0"/>
              <w:jc w:val="center"/>
              <w:rPr>
                <w:del w:id="3182" w:author="AbbVie1" w:date="2025-05-13T09:50:00Z"/>
                <w:b/>
                <w:bCs/>
                <w:szCs w:val="22"/>
              </w:rPr>
            </w:pPr>
            <w:del w:id="3183" w:author="AbbVie1" w:date="2025-05-13T09:50:00Z">
              <w:r w:rsidRPr="001B4A02">
                <w:rPr>
                  <w:b/>
                  <w:bCs/>
                  <w:szCs w:val="22"/>
                </w:rPr>
                <w:delText>40/20</w:delText>
              </w:r>
              <w:r w:rsidR="00294902" w:rsidRPr="00005EC2">
                <w:rPr>
                  <w:szCs w:val="22"/>
                </w:rPr>
                <w:delText> </w:delText>
              </w:r>
              <w:r w:rsidRPr="001B4A02">
                <w:rPr>
                  <w:b/>
                  <w:bCs/>
                  <w:szCs w:val="22"/>
                </w:rPr>
                <w:delText>mg</w:delText>
              </w:r>
            </w:del>
          </w:p>
          <w:p w14:paraId="6342536F" w14:textId="77777777" w:rsidR="00D76799" w:rsidRPr="001B4A02" w:rsidRDefault="00000000" w:rsidP="00F9384F">
            <w:pPr>
              <w:keepNext/>
              <w:keepLines/>
              <w:tabs>
                <w:tab w:val="left" w:pos="-1080"/>
              </w:tabs>
              <w:autoSpaceDE w:val="0"/>
              <w:autoSpaceDN w:val="0"/>
              <w:adjustRightInd w:val="0"/>
              <w:ind w:left="0" w:firstLine="0"/>
              <w:jc w:val="center"/>
              <w:rPr>
                <w:del w:id="3184" w:author="AbbVie1" w:date="2025-05-13T09:50:00Z"/>
                <w:b/>
                <w:bCs/>
                <w:szCs w:val="22"/>
              </w:rPr>
            </w:pPr>
            <w:del w:id="3185" w:author="AbbVie1" w:date="2025-05-13T09:50:00Z">
              <w:r w:rsidRPr="001B4A02">
                <w:rPr>
                  <w:b/>
                  <w:bCs/>
                  <w:szCs w:val="22"/>
                </w:rPr>
                <w:delText>každý druhý týden</w:delText>
              </w:r>
            </w:del>
          </w:p>
        </w:tc>
        <w:tc>
          <w:tcPr>
            <w:tcW w:w="2231" w:type="dxa"/>
            <w:tcBorders>
              <w:top w:val="single" w:sz="6" w:space="0" w:color="000000"/>
              <w:left w:val="single" w:sz="6" w:space="0" w:color="000000"/>
              <w:bottom w:val="single" w:sz="6" w:space="0" w:color="000000"/>
              <w:right w:val="single" w:sz="6" w:space="0" w:color="000000"/>
            </w:tcBorders>
          </w:tcPr>
          <w:p w14:paraId="0287BFA4" w14:textId="77777777" w:rsidR="00D76799" w:rsidRPr="001B4A02" w:rsidRDefault="00000000" w:rsidP="00F9384F">
            <w:pPr>
              <w:keepNext/>
              <w:keepLines/>
              <w:tabs>
                <w:tab w:val="left" w:pos="-1080"/>
              </w:tabs>
              <w:autoSpaceDE w:val="0"/>
              <w:autoSpaceDN w:val="0"/>
              <w:adjustRightInd w:val="0"/>
              <w:ind w:left="0" w:firstLine="0"/>
              <w:jc w:val="center"/>
              <w:rPr>
                <w:del w:id="3186" w:author="AbbVie1" w:date="2025-05-13T09:50:00Z"/>
                <w:b/>
                <w:bCs/>
                <w:szCs w:val="22"/>
              </w:rPr>
            </w:pPr>
            <w:del w:id="3187" w:author="AbbVie1" w:date="2025-05-13T09:50:00Z">
              <w:r w:rsidRPr="001B4A02">
                <w:rPr>
                  <w:b/>
                  <w:bCs/>
                  <w:szCs w:val="22"/>
                </w:rPr>
                <w:delText>Snížená dávka</w:delText>
              </w:r>
            </w:del>
          </w:p>
          <w:p w14:paraId="2CCFA2CA" w14:textId="77777777" w:rsidR="00D76799" w:rsidRPr="001B4A02" w:rsidRDefault="00000000" w:rsidP="00F9384F">
            <w:pPr>
              <w:keepNext/>
              <w:keepLines/>
              <w:tabs>
                <w:tab w:val="left" w:pos="-1080"/>
              </w:tabs>
              <w:autoSpaceDE w:val="0"/>
              <w:autoSpaceDN w:val="0"/>
              <w:adjustRightInd w:val="0"/>
              <w:ind w:left="0" w:firstLine="0"/>
              <w:jc w:val="center"/>
              <w:rPr>
                <w:del w:id="3188" w:author="AbbVie1" w:date="2025-05-13T09:50:00Z"/>
                <w:b/>
                <w:bCs/>
                <w:szCs w:val="22"/>
              </w:rPr>
            </w:pPr>
            <w:del w:id="3189" w:author="AbbVie1" w:date="2025-05-13T09:50:00Z">
              <w:r w:rsidRPr="001B4A02">
                <w:rPr>
                  <w:b/>
                  <w:bCs/>
                  <w:szCs w:val="22"/>
                </w:rPr>
                <w:delText>20/10</w:delText>
              </w:r>
              <w:r w:rsidR="00294902" w:rsidRPr="00005EC2">
                <w:rPr>
                  <w:szCs w:val="22"/>
                </w:rPr>
                <w:delText> </w:delText>
              </w:r>
              <w:r w:rsidRPr="001B4A02">
                <w:rPr>
                  <w:b/>
                  <w:bCs/>
                  <w:szCs w:val="22"/>
                </w:rPr>
                <w:delText>mg</w:delText>
              </w:r>
            </w:del>
          </w:p>
          <w:p w14:paraId="34A4D94E" w14:textId="77777777" w:rsidR="00D76799" w:rsidRPr="001B4A02" w:rsidRDefault="00000000" w:rsidP="00F9384F">
            <w:pPr>
              <w:keepNext/>
              <w:keepLines/>
              <w:tabs>
                <w:tab w:val="left" w:pos="-1080"/>
              </w:tabs>
              <w:autoSpaceDE w:val="0"/>
              <w:autoSpaceDN w:val="0"/>
              <w:adjustRightInd w:val="0"/>
              <w:ind w:left="0" w:firstLine="0"/>
              <w:jc w:val="center"/>
              <w:rPr>
                <w:del w:id="3190" w:author="AbbVie1" w:date="2025-05-13T09:50:00Z"/>
                <w:b/>
                <w:bCs/>
                <w:szCs w:val="22"/>
              </w:rPr>
            </w:pPr>
            <w:del w:id="3191" w:author="AbbVie1" w:date="2025-05-13T09:50:00Z">
              <w:r w:rsidRPr="001B4A02">
                <w:rPr>
                  <w:b/>
                  <w:bCs/>
                  <w:szCs w:val="22"/>
                </w:rPr>
                <w:delText>každý druhý týden</w:delText>
              </w:r>
            </w:del>
          </w:p>
        </w:tc>
        <w:tc>
          <w:tcPr>
            <w:tcW w:w="1388" w:type="dxa"/>
            <w:tcBorders>
              <w:top w:val="single" w:sz="6" w:space="0" w:color="000000"/>
              <w:left w:val="single" w:sz="6" w:space="0" w:color="000000"/>
              <w:bottom w:val="single" w:sz="6" w:space="0" w:color="000000"/>
              <w:right w:val="single" w:sz="6" w:space="0" w:color="000000"/>
            </w:tcBorders>
          </w:tcPr>
          <w:p w14:paraId="33315F7A" w14:textId="77777777" w:rsidR="00D76799" w:rsidRPr="001B4A02" w:rsidRDefault="00000000" w:rsidP="00F9384F">
            <w:pPr>
              <w:keepNext/>
              <w:keepLines/>
              <w:tabs>
                <w:tab w:val="left" w:pos="-1080"/>
              </w:tabs>
              <w:autoSpaceDE w:val="0"/>
              <w:autoSpaceDN w:val="0"/>
              <w:adjustRightInd w:val="0"/>
              <w:ind w:left="0" w:firstLine="0"/>
              <w:jc w:val="center"/>
              <w:rPr>
                <w:del w:id="3192" w:author="AbbVie1" w:date="2025-05-13T09:50:00Z"/>
                <w:b/>
                <w:bCs/>
                <w:szCs w:val="22"/>
              </w:rPr>
            </w:pPr>
            <w:del w:id="3193" w:author="AbbVie1" w:date="2025-05-13T09:50:00Z">
              <w:r w:rsidRPr="001B4A02">
                <w:rPr>
                  <w:b/>
                  <w:bCs/>
                  <w:szCs w:val="22"/>
                </w:rPr>
                <w:delText>P hodnota</w:delText>
              </w:r>
              <w:r w:rsidRPr="001B4A02">
                <w:rPr>
                  <w:b/>
                  <w:bCs/>
                  <w:szCs w:val="22"/>
                  <w:vertAlign w:val="superscript"/>
                </w:rPr>
                <w:delText>1</w:delText>
              </w:r>
            </w:del>
          </w:p>
        </w:tc>
      </w:tr>
      <w:tr w:rsidR="00534A2D" w14:paraId="03ADE443" w14:textId="77777777" w:rsidTr="00E571F5">
        <w:trPr>
          <w:jc w:val="center"/>
          <w:del w:id="3194" w:author="AbbVie1" w:date="2025-05-13T09:50:00Z"/>
        </w:trPr>
        <w:tc>
          <w:tcPr>
            <w:tcW w:w="3234" w:type="dxa"/>
            <w:tcBorders>
              <w:top w:val="single" w:sz="6" w:space="0" w:color="000000"/>
              <w:left w:val="single" w:sz="6" w:space="0" w:color="000000"/>
              <w:bottom w:val="single" w:sz="6" w:space="0" w:color="000000"/>
              <w:right w:val="single" w:sz="6" w:space="0" w:color="000000"/>
            </w:tcBorders>
            <w:vAlign w:val="bottom"/>
          </w:tcPr>
          <w:p w14:paraId="178927C5" w14:textId="77777777" w:rsidR="00D76799" w:rsidRPr="001B4A02" w:rsidRDefault="00000000" w:rsidP="00F9384F">
            <w:pPr>
              <w:keepNext/>
              <w:keepLines/>
              <w:tabs>
                <w:tab w:val="left" w:pos="-1080"/>
              </w:tabs>
              <w:autoSpaceDE w:val="0"/>
              <w:autoSpaceDN w:val="0"/>
              <w:adjustRightInd w:val="0"/>
              <w:rPr>
                <w:del w:id="3195" w:author="AbbVie1" w:date="2025-05-13T09:50:00Z"/>
                <w:b/>
                <w:szCs w:val="22"/>
              </w:rPr>
            </w:pPr>
            <w:del w:id="3196" w:author="AbbVie1" w:date="2025-05-13T09:50:00Z">
              <w:r w:rsidRPr="001B4A02">
                <w:rPr>
                  <w:b/>
                  <w:szCs w:val="22"/>
                </w:rPr>
                <w:delText>Vysazení kortikosteroidů</w:delText>
              </w:r>
            </w:del>
          </w:p>
        </w:tc>
        <w:tc>
          <w:tcPr>
            <w:tcW w:w="2447" w:type="dxa"/>
            <w:tcBorders>
              <w:top w:val="single" w:sz="6" w:space="0" w:color="000000"/>
              <w:left w:val="single" w:sz="6" w:space="0" w:color="000000"/>
              <w:bottom w:val="single" w:sz="6" w:space="0" w:color="000000"/>
              <w:right w:val="single" w:sz="6" w:space="0" w:color="000000"/>
            </w:tcBorders>
            <w:vAlign w:val="bottom"/>
          </w:tcPr>
          <w:p w14:paraId="03C7804B" w14:textId="77777777" w:rsidR="00D76799" w:rsidRPr="001B4A02" w:rsidRDefault="00000000" w:rsidP="00F9384F">
            <w:pPr>
              <w:keepNext/>
              <w:keepLines/>
              <w:tabs>
                <w:tab w:val="left" w:pos="-1080"/>
              </w:tabs>
              <w:autoSpaceDE w:val="0"/>
              <w:autoSpaceDN w:val="0"/>
              <w:adjustRightInd w:val="0"/>
              <w:ind w:left="0" w:firstLine="0"/>
              <w:jc w:val="center"/>
              <w:rPr>
                <w:del w:id="3197" w:author="AbbVie1" w:date="2025-05-13T09:50:00Z"/>
                <w:b/>
                <w:szCs w:val="22"/>
              </w:rPr>
            </w:pPr>
            <w:del w:id="3198" w:author="AbbVie1" w:date="2025-05-13T09:50:00Z">
              <w:r>
                <w:rPr>
                  <w:b/>
                  <w:szCs w:val="22"/>
                </w:rPr>
                <w:delText>n</w:delText>
              </w:r>
              <w:r w:rsidRPr="001B4A02">
                <w:rPr>
                  <w:b/>
                  <w:szCs w:val="22"/>
                </w:rPr>
                <w:delText>=33</w:delText>
              </w:r>
            </w:del>
          </w:p>
        </w:tc>
        <w:tc>
          <w:tcPr>
            <w:tcW w:w="2231" w:type="dxa"/>
            <w:tcBorders>
              <w:top w:val="single" w:sz="6" w:space="0" w:color="000000"/>
              <w:left w:val="single" w:sz="6" w:space="0" w:color="000000"/>
              <w:bottom w:val="single" w:sz="6" w:space="0" w:color="000000"/>
              <w:right w:val="single" w:sz="6" w:space="0" w:color="000000"/>
            </w:tcBorders>
            <w:vAlign w:val="bottom"/>
          </w:tcPr>
          <w:p w14:paraId="17917AEA" w14:textId="77777777" w:rsidR="00D76799" w:rsidRPr="001B4A02" w:rsidRDefault="00000000" w:rsidP="00F9384F">
            <w:pPr>
              <w:keepNext/>
              <w:keepLines/>
              <w:tabs>
                <w:tab w:val="left" w:pos="-1080"/>
              </w:tabs>
              <w:autoSpaceDE w:val="0"/>
              <w:autoSpaceDN w:val="0"/>
              <w:adjustRightInd w:val="0"/>
              <w:ind w:left="0" w:firstLine="0"/>
              <w:jc w:val="center"/>
              <w:rPr>
                <w:del w:id="3199" w:author="AbbVie1" w:date="2025-05-13T09:50:00Z"/>
                <w:b/>
                <w:szCs w:val="22"/>
              </w:rPr>
            </w:pPr>
            <w:del w:id="3200" w:author="AbbVie1" w:date="2025-05-13T09:50:00Z">
              <w:r>
                <w:rPr>
                  <w:b/>
                  <w:szCs w:val="22"/>
                </w:rPr>
                <w:delText>n</w:delText>
              </w:r>
              <w:r w:rsidRPr="001B4A02">
                <w:rPr>
                  <w:b/>
                  <w:szCs w:val="22"/>
                </w:rPr>
                <w:delText>=38</w:delText>
              </w:r>
            </w:del>
          </w:p>
        </w:tc>
        <w:tc>
          <w:tcPr>
            <w:tcW w:w="1388" w:type="dxa"/>
            <w:tcBorders>
              <w:top w:val="single" w:sz="6" w:space="0" w:color="000000"/>
              <w:left w:val="single" w:sz="6" w:space="0" w:color="000000"/>
              <w:bottom w:val="single" w:sz="6" w:space="0" w:color="000000"/>
              <w:right w:val="single" w:sz="6" w:space="0" w:color="000000"/>
            </w:tcBorders>
            <w:vAlign w:val="bottom"/>
          </w:tcPr>
          <w:p w14:paraId="4325294A" w14:textId="77777777" w:rsidR="00D76799" w:rsidRPr="001B4A02" w:rsidRDefault="00D76799" w:rsidP="00F9384F">
            <w:pPr>
              <w:keepNext/>
              <w:autoSpaceDE w:val="0"/>
              <w:autoSpaceDN w:val="0"/>
              <w:adjustRightInd w:val="0"/>
              <w:ind w:left="0" w:firstLine="0"/>
              <w:jc w:val="center"/>
              <w:rPr>
                <w:del w:id="3201" w:author="AbbVie1" w:date="2025-05-13T09:50:00Z"/>
                <w:b/>
                <w:szCs w:val="22"/>
              </w:rPr>
            </w:pPr>
          </w:p>
        </w:tc>
      </w:tr>
      <w:tr w:rsidR="00534A2D" w14:paraId="087B6121" w14:textId="77777777" w:rsidTr="00E571F5">
        <w:trPr>
          <w:jc w:val="center"/>
          <w:del w:id="3202" w:author="AbbVie1" w:date="2025-05-13T09:50:00Z"/>
        </w:trPr>
        <w:tc>
          <w:tcPr>
            <w:tcW w:w="3234" w:type="dxa"/>
            <w:tcBorders>
              <w:top w:val="single" w:sz="6" w:space="0" w:color="000000"/>
              <w:left w:val="single" w:sz="6" w:space="0" w:color="000000"/>
              <w:bottom w:val="single" w:sz="6" w:space="0" w:color="000000"/>
              <w:right w:val="single" w:sz="6" w:space="0" w:color="000000"/>
            </w:tcBorders>
            <w:vAlign w:val="bottom"/>
          </w:tcPr>
          <w:p w14:paraId="411A92CA" w14:textId="77777777" w:rsidR="00D76799" w:rsidRPr="001B4A02" w:rsidRDefault="00000000" w:rsidP="00F9384F">
            <w:pPr>
              <w:keepNext/>
              <w:keepLines/>
              <w:tabs>
                <w:tab w:val="left" w:pos="-1080"/>
              </w:tabs>
              <w:autoSpaceDE w:val="0"/>
              <w:autoSpaceDN w:val="0"/>
              <w:adjustRightInd w:val="0"/>
              <w:rPr>
                <w:del w:id="3203" w:author="AbbVie1" w:date="2025-05-13T09:50:00Z"/>
                <w:bCs/>
                <w:szCs w:val="22"/>
              </w:rPr>
            </w:pPr>
            <w:del w:id="3204" w:author="AbbVie1" w:date="2025-05-13T09:50:00Z">
              <w:r w:rsidRPr="001B4A02">
                <w:rPr>
                  <w:bCs/>
                  <w:szCs w:val="22"/>
                </w:rPr>
                <w:delText>Týden 26</w:delText>
              </w:r>
            </w:del>
          </w:p>
        </w:tc>
        <w:tc>
          <w:tcPr>
            <w:tcW w:w="2447" w:type="dxa"/>
            <w:tcBorders>
              <w:top w:val="single" w:sz="6" w:space="0" w:color="000000"/>
              <w:left w:val="single" w:sz="6" w:space="0" w:color="000000"/>
              <w:bottom w:val="single" w:sz="6" w:space="0" w:color="000000"/>
              <w:right w:val="single" w:sz="6" w:space="0" w:color="000000"/>
            </w:tcBorders>
            <w:vAlign w:val="bottom"/>
          </w:tcPr>
          <w:p w14:paraId="337E2EEB" w14:textId="77777777" w:rsidR="00D76799" w:rsidRPr="001B4A02" w:rsidRDefault="00000000" w:rsidP="00F9384F">
            <w:pPr>
              <w:keepNext/>
              <w:keepLines/>
              <w:tabs>
                <w:tab w:val="left" w:pos="-1080"/>
              </w:tabs>
              <w:autoSpaceDE w:val="0"/>
              <w:autoSpaceDN w:val="0"/>
              <w:adjustRightInd w:val="0"/>
              <w:ind w:left="0" w:firstLine="0"/>
              <w:jc w:val="center"/>
              <w:rPr>
                <w:del w:id="3205" w:author="AbbVie1" w:date="2025-05-13T09:50:00Z"/>
                <w:szCs w:val="22"/>
              </w:rPr>
            </w:pPr>
            <w:del w:id="3206" w:author="AbbVie1" w:date="2025-05-13T09:50:00Z">
              <w:r w:rsidRPr="001B4A02">
                <w:rPr>
                  <w:szCs w:val="22"/>
                </w:rPr>
                <w:delText>84,8</w:delText>
              </w:r>
              <w:r>
                <w:rPr>
                  <w:szCs w:val="22"/>
                </w:rPr>
                <w:delText> %</w:delText>
              </w:r>
            </w:del>
          </w:p>
        </w:tc>
        <w:tc>
          <w:tcPr>
            <w:tcW w:w="2231" w:type="dxa"/>
            <w:tcBorders>
              <w:top w:val="single" w:sz="6" w:space="0" w:color="000000"/>
              <w:left w:val="single" w:sz="6" w:space="0" w:color="000000"/>
              <w:bottom w:val="single" w:sz="6" w:space="0" w:color="000000"/>
              <w:right w:val="single" w:sz="6" w:space="0" w:color="000000"/>
            </w:tcBorders>
            <w:vAlign w:val="bottom"/>
          </w:tcPr>
          <w:p w14:paraId="0ADAB78E" w14:textId="77777777" w:rsidR="00D76799" w:rsidRPr="001B4A02" w:rsidRDefault="00000000" w:rsidP="00F9384F">
            <w:pPr>
              <w:keepNext/>
              <w:keepLines/>
              <w:tabs>
                <w:tab w:val="left" w:pos="-1080"/>
              </w:tabs>
              <w:autoSpaceDE w:val="0"/>
              <w:autoSpaceDN w:val="0"/>
              <w:adjustRightInd w:val="0"/>
              <w:ind w:left="0" w:firstLine="0"/>
              <w:jc w:val="center"/>
              <w:rPr>
                <w:del w:id="3207" w:author="AbbVie1" w:date="2025-05-13T09:50:00Z"/>
                <w:szCs w:val="22"/>
              </w:rPr>
            </w:pPr>
            <w:del w:id="3208" w:author="AbbVie1" w:date="2025-05-13T09:50:00Z">
              <w:r w:rsidRPr="001B4A02">
                <w:rPr>
                  <w:szCs w:val="22"/>
                </w:rPr>
                <w:delText>65,8</w:delText>
              </w:r>
              <w:r>
                <w:rPr>
                  <w:szCs w:val="22"/>
                </w:rPr>
                <w:delText> %</w:delText>
              </w:r>
            </w:del>
          </w:p>
        </w:tc>
        <w:tc>
          <w:tcPr>
            <w:tcW w:w="1388" w:type="dxa"/>
            <w:tcBorders>
              <w:top w:val="single" w:sz="6" w:space="0" w:color="000000"/>
              <w:left w:val="single" w:sz="6" w:space="0" w:color="000000"/>
              <w:bottom w:val="single" w:sz="6" w:space="0" w:color="000000"/>
              <w:right w:val="single" w:sz="6" w:space="0" w:color="000000"/>
            </w:tcBorders>
            <w:vAlign w:val="bottom"/>
          </w:tcPr>
          <w:p w14:paraId="03C06F52" w14:textId="77777777" w:rsidR="00D76799" w:rsidRPr="001B4A02" w:rsidRDefault="00000000" w:rsidP="00F9384F">
            <w:pPr>
              <w:keepNext/>
              <w:keepLines/>
              <w:tabs>
                <w:tab w:val="left" w:pos="-1080"/>
              </w:tabs>
              <w:autoSpaceDE w:val="0"/>
              <w:autoSpaceDN w:val="0"/>
              <w:adjustRightInd w:val="0"/>
              <w:ind w:left="0" w:firstLine="0"/>
              <w:jc w:val="center"/>
              <w:rPr>
                <w:del w:id="3209" w:author="AbbVie1" w:date="2025-05-13T09:50:00Z"/>
                <w:szCs w:val="22"/>
              </w:rPr>
            </w:pPr>
            <w:del w:id="3210" w:author="AbbVie1" w:date="2025-05-13T09:50:00Z">
              <w:r w:rsidRPr="001B4A02">
                <w:rPr>
                  <w:szCs w:val="22"/>
                </w:rPr>
                <w:delText>0,066</w:delText>
              </w:r>
            </w:del>
          </w:p>
        </w:tc>
      </w:tr>
      <w:tr w:rsidR="00534A2D" w14:paraId="3CB7E914" w14:textId="77777777" w:rsidTr="00E571F5">
        <w:trPr>
          <w:jc w:val="center"/>
          <w:del w:id="3211" w:author="AbbVie1" w:date="2025-05-13T09:50:00Z"/>
        </w:trPr>
        <w:tc>
          <w:tcPr>
            <w:tcW w:w="3234" w:type="dxa"/>
            <w:tcBorders>
              <w:top w:val="single" w:sz="6" w:space="0" w:color="000000"/>
              <w:left w:val="single" w:sz="6" w:space="0" w:color="000000"/>
              <w:bottom w:val="single" w:sz="6" w:space="0" w:color="000000"/>
              <w:right w:val="single" w:sz="6" w:space="0" w:color="000000"/>
            </w:tcBorders>
            <w:vAlign w:val="bottom"/>
          </w:tcPr>
          <w:p w14:paraId="0049D548" w14:textId="77777777" w:rsidR="00D76799" w:rsidRPr="001B4A02" w:rsidRDefault="00000000" w:rsidP="00F9384F">
            <w:pPr>
              <w:keepNext/>
              <w:keepLines/>
              <w:tabs>
                <w:tab w:val="left" w:pos="-1080"/>
              </w:tabs>
              <w:autoSpaceDE w:val="0"/>
              <w:autoSpaceDN w:val="0"/>
              <w:adjustRightInd w:val="0"/>
              <w:rPr>
                <w:del w:id="3212" w:author="AbbVie1" w:date="2025-05-13T09:50:00Z"/>
                <w:bCs/>
                <w:szCs w:val="22"/>
              </w:rPr>
            </w:pPr>
            <w:del w:id="3213" w:author="AbbVie1" w:date="2025-05-13T09:50:00Z">
              <w:r w:rsidRPr="001B4A02">
                <w:rPr>
                  <w:bCs/>
                  <w:szCs w:val="22"/>
                </w:rPr>
                <w:delText>Týden 52</w:delText>
              </w:r>
            </w:del>
          </w:p>
        </w:tc>
        <w:tc>
          <w:tcPr>
            <w:tcW w:w="2447" w:type="dxa"/>
            <w:tcBorders>
              <w:top w:val="single" w:sz="6" w:space="0" w:color="000000"/>
              <w:left w:val="single" w:sz="6" w:space="0" w:color="000000"/>
              <w:bottom w:val="single" w:sz="6" w:space="0" w:color="000000"/>
              <w:right w:val="single" w:sz="6" w:space="0" w:color="000000"/>
            </w:tcBorders>
          </w:tcPr>
          <w:p w14:paraId="2B87D7AA" w14:textId="77777777" w:rsidR="00D76799" w:rsidRPr="001B4A02" w:rsidRDefault="00000000" w:rsidP="00F9384F">
            <w:pPr>
              <w:keepNext/>
              <w:keepLines/>
              <w:tabs>
                <w:tab w:val="left" w:pos="-1080"/>
              </w:tabs>
              <w:autoSpaceDE w:val="0"/>
              <w:autoSpaceDN w:val="0"/>
              <w:adjustRightInd w:val="0"/>
              <w:ind w:left="0" w:firstLine="0"/>
              <w:jc w:val="center"/>
              <w:rPr>
                <w:del w:id="3214" w:author="AbbVie1" w:date="2025-05-13T09:50:00Z"/>
                <w:szCs w:val="22"/>
              </w:rPr>
            </w:pPr>
            <w:del w:id="3215" w:author="AbbVie1" w:date="2025-05-13T09:50:00Z">
              <w:r w:rsidRPr="001B4A02">
                <w:rPr>
                  <w:szCs w:val="22"/>
                </w:rPr>
                <w:delText>69,7</w:delText>
              </w:r>
              <w:r>
                <w:rPr>
                  <w:szCs w:val="22"/>
                </w:rPr>
                <w:delText> %</w:delText>
              </w:r>
            </w:del>
          </w:p>
        </w:tc>
        <w:tc>
          <w:tcPr>
            <w:tcW w:w="2231" w:type="dxa"/>
            <w:tcBorders>
              <w:top w:val="single" w:sz="6" w:space="0" w:color="000000"/>
              <w:left w:val="single" w:sz="6" w:space="0" w:color="000000"/>
              <w:bottom w:val="single" w:sz="6" w:space="0" w:color="000000"/>
              <w:right w:val="single" w:sz="6" w:space="0" w:color="000000"/>
            </w:tcBorders>
          </w:tcPr>
          <w:p w14:paraId="15696A8E" w14:textId="77777777" w:rsidR="00D76799" w:rsidRPr="001B4A02" w:rsidRDefault="00000000" w:rsidP="00F9384F">
            <w:pPr>
              <w:keepNext/>
              <w:keepLines/>
              <w:tabs>
                <w:tab w:val="left" w:pos="-1080"/>
              </w:tabs>
              <w:autoSpaceDE w:val="0"/>
              <w:autoSpaceDN w:val="0"/>
              <w:adjustRightInd w:val="0"/>
              <w:ind w:left="0" w:firstLine="0"/>
              <w:jc w:val="center"/>
              <w:rPr>
                <w:del w:id="3216" w:author="AbbVie1" w:date="2025-05-13T09:50:00Z"/>
                <w:szCs w:val="22"/>
              </w:rPr>
            </w:pPr>
            <w:del w:id="3217" w:author="AbbVie1" w:date="2025-05-13T09:50:00Z">
              <w:r w:rsidRPr="001B4A02">
                <w:rPr>
                  <w:szCs w:val="22"/>
                </w:rPr>
                <w:delText>60,5</w:delText>
              </w:r>
              <w:r>
                <w:rPr>
                  <w:szCs w:val="22"/>
                </w:rPr>
                <w:delText> %</w:delText>
              </w:r>
            </w:del>
          </w:p>
        </w:tc>
        <w:tc>
          <w:tcPr>
            <w:tcW w:w="1388" w:type="dxa"/>
            <w:tcBorders>
              <w:top w:val="single" w:sz="6" w:space="0" w:color="000000"/>
              <w:left w:val="single" w:sz="6" w:space="0" w:color="000000"/>
              <w:bottom w:val="single" w:sz="6" w:space="0" w:color="000000"/>
              <w:right w:val="single" w:sz="6" w:space="0" w:color="000000"/>
            </w:tcBorders>
            <w:vAlign w:val="bottom"/>
          </w:tcPr>
          <w:p w14:paraId="08298AA1" w14:textId="77777777" w:rsidR="00D76799" w:rsidRPr="001B4A02" w:rsidRDefault="00000000" w:rsidP="00F9384F">
            <w:pPr>
              <w:keepNext/>
              <w:keepLines/>
              <w:tabs>
                <w:tab w:val="left" w:pos="-1080"/>
              </w:tabs>
              <w:autoSpaceDE w:val="0"/>
              <w:autoSpaceDN w:val="0"/>
              <w:adjustRightInd w:val="0"/>
              <w:ind w:left="0" w:firstLine="0"/>
              <w:jc w:val="center"/>
              <w:rPr>
                <w:del w:id="3218" w:author="AbbVie1" w:date="2025-05-13T09:50:00Z"/>
                <w:szCs w:val="22"/>
              </w:rPr>
            </w:pPr>
            <w:del w:id="3219" w:author="AbbVie1" w:date="2025-05-13T09:50:00Z">
              <w:r w:rsidRPr="001B4A02">
                <w:rPr>
                  <w:szCs w:val="22"/>
                </w:rPr>
                <w:delText>0,420</w:delText>
              </w:r>
            </w:del>
          </w:p>
        </w:tc>
      </w:tr>
      <w:tr w:rsidR="00534A2D" w14:paraId="5ABF84A7" w14:textId="77777777" w:rsidTr="00E571F5">
        <w:trPr>
          <w:jc w:val="center"/>
          <w:del w:id="3220" w:author="AbbVie1" w:date="2025-05-13T09:50:00Z"/>
        </w:trPr>
        <w:tc>
          <w:tcPr>
            <w:tcW w:w="3234" w:type="dxa"/>
            <w:tcBorders>
              <w:top w:val="single" w:sz="6" w:space="0" w:color="000000"/>
              <w:left w:val="single" w:sz="6" w:space="0" w:color="000000"/>
              <w:bottom w:val="single" w:sz="6" w:space="0" w:color="000000"/>
              <w:right w:val="single" w:sz="6" w:space="0" w:color="000000"/>
            </w:tcBorders>
            <w:vAlign w:val="bottom"/>
          </w:tcPr>
          <w:p w14:paraId="76756CA5" w14:textId="77777777" w:rsidR="00D76799" w:rsidRPr="001B4A02" w:rsidRDefault="00000000" w:rsidP="00F9384F">
            <w:pPr>
              <w:keepNext/>
              <w:keepLines/>
              <w:tabs>
                <w:tab w:val="left" w:pos="-1080"/>
              </w:tabs>
              <w:autoSpaceDE w:val="0"/>
              <w:autoSpaceDN w:val="0"/>
              <w:adjustRightInd w:val="0"/>
              <w:rPr>
                <w:del w:id="3221" w:author="AbbVie1" w:date="2025-05-13T09:50:00Z"/>
                <w:b/>
                <w:szCs w:val="22"/>
              </w:rPr>
            </w:pPr>
            <w:del w:id="3222" w:author="AbbVie1" w:date="2025-05-13T09:50:00Z">
              <w:r w:rsidRPr="001B4A02">
                <w:rPr>
                  <w:b/>
                  <w:szCs w:val="22"/>
                </w:rPr>
                <w:delText>Vysazení imunomodulátorů</w:delText>
              </w:r>
              <w:r w:rsidRPr="001B4A02">
                <w:rPr>
                  <w:b/>
                  <w:szCs w:val="22"/>
                  <w:vertAlign w:val="superscript"/>
                </w:rPr>
                <w:delText>2</w:delText>
              </w:r>
            </w:del>
          </w:p>
        </w:tc>
        <w:tc>
          <w:tcPr>
            <w:tcW w:w="2447" w:type="dxa"/>
            <w:tcBorders>
              <w:top w:val="single" w:sz="6" w:space="0" w:color="000000"/>
              <w:left w:val="single" w:sz="6" w:space="0" w:color="000000"/>
              <w:bottom w:val="single" w:sz="6" w:space="0" w:color="000000"/>
              <w:right w:val="single" w:sz="6" w:space="0" w:color="000000"/>
            </w:tcBorders>
            <w:vAlign w:val="bottom"/>
          </w:tcPr>
          <w:p w14:paraId="11D5E19E" w14:textId="77777777" w:rsidR="00D76799" w:rsidRPr="001B4A02" w:rsidRDefault="00000000" w:rsidP="00F9384F">
            <w:pPr>
              <w:keepNext/>
              <w:keepLines/>
              <w:tabs>
                <w:tab w:val="left" w:pos="-1080"/>
              </w:tabs>
              <w:autoSpaceDE w:val="0"/>
              <w:autoSpaceDN w:val="0"/>
              <w:adjustRightInd w:val="0"/>
              <w:ind w:left="0" w:firstLine="0"/>
              <w:jc w:val="center"/>
              <w:rPr>
                <w:del w:id="3223" w:author="AbbVie1" w:date="2025-05-13T09:50:00Z"/>
                <w:b/>
                <w:szCs w:val="22"/>
              </w:rPr>
            </w:pPr>
            <w:del w:id="3224" w:author="AbbVie1" w:date="2025-05-13T09:50:00Z">
              <w:r>
                <w:rPr>
                  <w:b/>
                  <w:szCs w:val="22"/>
                </w:rPr>
                <w:delText>n</w:delText>
              </w:r>
              <w:r w:rsidRPr="001B4A02">
                <w:rPr>
                  <w:b/>
                  <w:szCs w:val="22"/>
                </w:rPr>
                <w:delText>=60</w:delText>
              </w:r>
            </w:del>
          </w:p>
        </w:tc>
        <w:tc>
          <w:tcPr>
            <w:tcW w:w="2231" w:type="dxa"/>
            <w:tcBorders>
              <w:top w:val="single" w:sz="6" w:space="0" w:color="000000"/>
              <w:left w:val="single" w:sz="6" w:space="0" w:color="000000"/>
              <w:bottom w:val="single" w:sz="6" w:space="0" w:color="000000"/>
              <w:right w:val="single" w:sz="6" w:space="0" w:color="000000"/>
            </w:tcBorders>
            <w:vAlign w:val="bottom"/>
          </w:tcPr>
          <w:p w14:paraId="553D1E9F" w14:textId="77777777" w:rsidR="00D76799" w:rsidRPr="001B4A02" w:rsidRDefault="00000000" w:rsidP="00F9384F">
            <w:pPr>
              <w:keepNext/>
              <w:keepLines/>
              <w:tabs>
                <w:tab w:val="left" w:pos="-1080"/>
              </w:tabs>
              <w:autoSpaceDE w:val="0"/>
              <w:autoSpaceDN w:val="0"/>
              <w:adjustRightInd w:val="0"/>
              <w:ind w:left="0" w:firstLine="0"/>
              <w:jc w:val="center"/>
              <w:rPr>
                <w:del w:id="3225" w:author="AbbVie1" w:date="2025-05-13T09:50:00Z"/>
                <w:b/>
                <w:szCs w:val="22"/>
              </w:rPr>
            </w:pPr>
            <w:del w:id="3226" w:author="AbbVie1" w:date="2025-05-13T09:50:00Z">
              <w:r>
                <w:rPr>
                  <w:b/>
                  <w:szCs w:val="22"/>
                </w:rPr>
                <w:delText>n</w:delText>
              </w:r>
              <w:r w:rsidRPr="001B4A02">
                <w:rPr>
                  <w:b/>
                  <w:szCs w:val="22"/>
                </w:rPr>
                <w:delText>=57</w:delText>
              </w:r>
            </w:del>
          </w:p>
        </w:tc>
        <w:tc>
          <w:tcPr>
            <w:tcW w:w="1388" w:type="dxa"/>
            <w:tcBorders>
              <w:top w:val="single" w:sz="6" w:space="0" w:color="000000"/>
              <w:left w:val="single" w:sz="6" w:space="0" w:color="000000"/>
              <w:bottom w:val="single" w:sz="6" w:space="0" w:color="000000"/>
              <w:right w:val="single" w:sz="6" w:space="0" w:color="000000"/>
            </w:tcBorders>
            <w:vAlign w:val="bottom"/>
          </w:tcPr>
          <w:p w14:paraId="24CCAAC1" w14:textId="77777777" w:rsidR="00D76799" w:rsidRPr="001B4A02" w:rsidRDefault="00D76799" w:rsidP="00F9384F">
            <w:pPr>
              <w:keepNext/>
              <w:autoSpaceDE w:val="0"/>
              <w:autoSpaceDN w:val="0"/>
              <w:adjustRightInd w:val="0"/>
              <w:ind w:left="0" w:firstLine="0"/>
              <w:jc w:val="center"/>
              <w:rPr>
                <w:del w:id="3227" w:author="AbbVie1" w:date="2025-05-13T09:50:00Z"/>
                <w:b/>
                <w:szCs w:val="22"/>
              </w:rPr>
            </w:pPr>
          </w:p>
        </w:tc>
      </w:tr>
      <w:tr w:rsidR="00534A2D" w14:paraId="74F0692E" w14:textId="77777777" w:rsidTr="00E571F5">
        <w:trPr>
          <w:jc w:val="center"/>
          <w:del w:id="3228" w:author="AbbVie1" w:date="2025-05-13T09:50:00Z"/>
        </w:trPr>
        <w:tc>
          <w:tcPr>
            <w:tcW w:w="3234" w:type="dxa"/>
            <w:tcBorders>
              <w:top w:val="single" w:sz="6" w:space="0" w:color="000000"/>
              <w:left w:val="single" w:sz="6" w:space="0" w:color="000000"/>
              <w:bottom w:val="single" w:sz="6" w:space="0" w:color="000000"/>
              <w:right w:val="single" w:sz="6" w:space="0" w:color="000000"/>
            </w:tcBorders>
          </w:tcPr>
          <w:p w14:paraId="0050F302" w14:textId="77777777" w:rsidR="00D76799" w:rsidRPr="001B4A02" w:rsidRDefault="00000000" w:rsidP="00F9384F">
            <w:pPr>
              <w:keepNext/>
              <w:keepLines/>
              <w:tabs>
                <w:tab w:val="left" w:pos="-1080"/>
              </w:tabs>
              <w:autoSpaceDE w:val="0"/>
              <w:autoSpaceDN w:val="0"/>
              <w:adjustRightInd w:val="0"/>
              <w:rPr>
                <w:del w:id="3229" w:author="AbbVie1" w:date="2025-05-13T09:50:00Z"/>
                <w:bCs/>
                <w:szCs w:val="22"/>
              </w:rPr>
            </w:pPr>
            <w:del w:id="3230" w:author="AbbVie1" w:date="2025-05-13T09:50:00Z">
              <w:r w:rsidRPr="001B4A02">
                <w:rPr>
                  <w:bCs/>
                  <w:szCs w:val="22"/>
                </w:rPr>
                <w:delText>Týden 52</w:delText>
              </w:r>
            </w:del>
          </w:p>
        </w:tc>
        <w:tc>
          <w:tcPr>
            <w:tcW w:w="2447" w:type="dxa"/>
            <w:tcBorders>
              <w:top w:val="single" w:sz="6" w:space="0" w:color="000000"/>
              <w:left w:val="single" w:sz="6" w:space="0" w:color="000000"/>
              <w:bottom w:val="single" w:sz="6" w:space="0" w:color="000000"/>
              <w:right w:val="single" w:sz="6" w:space="0" w:color="000000"/>
            </w:tcBorders>
          </w:tcPr>
          <w:p w14:paraId="3C873C43" w14:textId="77777777" w:rsidR="00D76799" w:rsidRPr="001B4A02" w:rsidRDefault="00000000" w:rsidP="00F9384F">
            <w:pPr>
              <w:keepNext/>
              <w:keepLines/>
              <w:tabs>
                <w:tab w:val="left" w:pos="-1080"/>
              </w:tabs>
              <w:autoSpaceDE w:val="0"/>
              <w:autoSpaceDN w:val="0"/>
              <w:adjustRightInd w:val="0"/>
              <w:ind w:left="0" w:firstLine="0"/>
              <w:jc w:val="center"/>
              <w:rPr>
                <w:del w:id="3231" w:author="AbbVie1" w:date="2025-05-13T09:50:00Z"/>
                <w:szCs w:val="22"/>
              </w:rPr>
            </w:pPr>
            <w:del w:id="3232" w:author="AbbVie1" w:date="2025-05-13T09:50:00Z">
              <w:r w:rsidRPr="001B4A02">
                <w:rPr>
                  <w:szCs w:val="22"/>
                </w:rPr>
                <w:delText>30,0</w:delText>
              </w:r>
              <w:r>
                <w:rPr>
                  <w:szCs w:val="22"/>
                </w:rPr>
                <w:delText> %</w:delText>
              </w:r>
            </w:del>
          </w:p>
        </w:tc>
        <w:tc>
          <w:tcPr>
            <w:tcW w:w="2231" w:type="dxa"/>
            <w:tcBorders>
              <w:top w:val="single" w:sz="6" w:space="0" w:color="000000"/>
              <w:left w:val="single" w:sz="6" w:space="0" w:color="000000"/>
              <w:bottom w:val="single" w:sz="6" w:space="0" w:color="000000"/>
              <w:right w:val="single" w:sz="6" w:space="0" w:color="000000"/>
            </w:tcBorders>
          </w:tcPr>
          <w:p w14:paraId="2B1FBA72" w14:textId="77777777" w:rsidR="00D76799" w:rsidRPr="001B4A02" w:rsidRDefault="00000000" w:rsidP="00F9384F">
            <w:pPr>
              <w:keepNext/>
              <w:keepLines/>
              <w:tabs>
                <w:tab w:val="left" w:pos="-1080"/>
              </w:tabs>
              <w:autoSpaceDE w:val="0"/>
              <w:autoSpaceDN w:val="0"/>
              <w:adjustRightInd w:val="0"/>
              <w:ind w:left="0" w:firstLine="0"/>
              <w:jc w:val="center"/>
              <w:rPr>
                <w:del w:id="3233" w:author="AbbVie1" w:date="2025-05-13T09:50:00Z"/>
                <w:szCs w:val="22"/>
              </w:rPr>
            </w:pPr>
            <w:del w:id="3234" w:author="AbbVie1" w:date="2025-05-13T09:50:00Z">
              <w:r w:rsidRPr="001B4A02">
                <w:rPr>
                  <w:szCs w:val="22"/>
                </w:rPr>
                <w:delText>29,8</w:delText>
              </w:r>
              <w:r>
                <w:rPr>
                  <w:szCs w:val="22"/>
                </w:rPr>
                <w:delText> %</w:delText>
              </w:r>
            </w:del>
          </w:p>
        </w:tc>
        <w:tc>
          <w:tcPr>
            <w:tcW w:w="1388" w:type="dxa"/>
            <w:tcBorders>
              <w:top w:val="single" w:sz="6" w:space="0" w:color="000000"/>
              <w:left w:val="single" w:sz="6" w:space="0" w:color="000000"/>
              <w:bottom w:val="single" w:sz="6" w:space="0" w:color="000000"/>
              <w:right w:val="single" w:sz="6" w:space="0" w:color="000000"/>
            </w:tcBorders>
          </w:tcPr>
          <w:p w14:paraId="7B40830C" w14:textId="77777777" w:rsidR="00D76799" w:rsidRPr="001B4A02" w:rsidRDefault="00000000" w:rsidP="00F9384F">
            <w:pPr>
              <w:keepNext/>
              <w:keepLines/>
              <w:tabs>
                <w:tab w:val="left" w:pos="-1080"/>
              </w:tabs>
              <w:autoSpaceDE w:val="0"/>
              <w:autoSpaceDN w:val="0"/>
              <w:adjustRightInd w:val="0"/>
              <w:ind w:left="0" w:firstLine="0"/>
              <w:jc w:val="center"/>
              <w:rPr>
                <w:del w:id="3235" w:author="AbbVie1" w:date="2025-05-13T09:50:00Z"/>
                <w:szCs w:val="22"/>
              </w:rPr>
            </w:pPr>
            <w:del w:id="3236" w:author="AbbVie1" w:date="2025-05-13T09:50:00Z">
              <w:r w:rsidRPr="001B4A02">
                <w:rPr>
                  <w:szCs w:val="22"/>
                </w:rPr>
                <w:delText>0,983</w:delText>
              </w:r>
            </w:del>
          </w:p>
        </w:tc>
      </w:tr>
      <w:tr w:rsidR="00534A2D" w14:paraId="2B697A3E" w14:textId="77777777" w:rsidTr="00E571F5">
        <w:trPr>
          <w:jc w:val="center"/>
          <w:del w:id="3237" w:author="AbbVie1" w:date="2025-05-13T09:50:00Z"/>
        </w:trPr>
        <w:tc>
          <w:tcPr>
            <w:tcW w:w="3234" w:type="dxa"/>
            <w:tcBorders>
              <w:top w:val="single" w:sz="6" w:space="0" w:color="000000"/>
              <w:left w:val="single" w:sz="6" w:space="0" w:color="000000"/>
              <w:bottom w:val="single" w:sz="6" w:space="0" w:color="000000"/>
              <w:right w:val="single" w:sz="6" w:space="0" w:color="000000"/>
            </w:tcBorders>
          </w:tcPr>
          <w:p w14:paraId="45FFF36F" w14:textId="77777777" w:rsidR="00D76799" w:rsidRPr="001B4A02" w:rsidRDefault="00000000" w:rsidP="00F9384F">
            <w:pPr>
              <w:keepNext/>
              <w:keepLines/>
              <w:tabs>
                <w:tab w:val="left" w:pos="-1080"/>
              </w:tabs>
              <w:autoSpaceDE w:val="0"/>
              <w:autoSpaceDN w:val="0"/>
              <w:adjustRightInd w:val="0"/>
              <w:rPr>
                <w:del w:id="3238" w:author="AbbVie1" w:date="2025-05-13T09:50:00Z"/>
                <w:b/>
                <w:bCs/>
                <w:szCs w:val="22"/>
              </w:rPr>
            </w:pPr>
            <w:del w:id="3239" w:author="AbbVie1" w:date="2025-05-13T09:50:00Z">
              <w:r w:rsidRPr="001B4A02">
                <w:rPr>
                  <w:b/>
                </w:rPr>
                <w:delText>Remise píštělí</w:delText>
              </w:r>
              <w:r w:rsidRPr="001B4A02">
                <w:rPr>
                  <w:b/>
                  <w:vertAlign w:val="superscript"/>
                </w:rPr>
                <w:delText>3</w:delText>
              </w:r>
            </w:del>
          </w:p>
        </w:tc>
        <w:tc>
          <w:tcPr>
            <w:tcW w:w="2447" w:type="dxa"/>
            <w:tcBorders>
              <w:top w:val="single" w:sz="6" w:space="0" w:color="000000"/>
              <w:left w:val="single" w:sz="6" w:space="0" w:color="000000"/>
              <w:bottom w:val="single" w:sz="6" w:space="0" w:color="000000"/>
              <w:right w:val="single" w:sz="6" w:space="0" w:color="000000"/>
            </w:tcBorders>
          </w:tcPr>
          <w:p w14:paraId="072ACE8E" w14:textId="77777777" w:rsidR="00D76799" w:rsidRPr="001B4A02" w:rsidRDefault="00000000" w:rsidP="00F9384F">
            <w:pPr>
              <w:keepNext/>
              <w:keepLines/>
              <w:tabs>
                <w:tab w:val="left" w:pos="-1080"/>
              </w:tabs>
              <w:autoSpaceDE w:val="0"/>
              <w:autoSpaceDN w:val="0"/>
              <w:adjustRightInd w:val="0"/>
              <w:ind w:left="0" w:firstLine="0"/>
              <w:jc w:val="center"/>
              <w:rPr>
                <w:del w:id="3240" w:author="AbbVie1" w:date="2025-05-13T09:50:00Z"/>
                <w:b/>
                <w:szCs w:val="22"/>
              </w:rPr>
            </w:pPr>
            <w:del w:id="3241" w:author="AbbVie1" w:date="2025-05-13T09:50:00Z">
              <w:r>
                <w:rPr>
                  <w:b/>
                  <w:szCs w:val="22"/>
                </w:rPr>
                <w:delText>n</w:delText>
              </w:r>
              <w:r w:rsidRPr="001B4A02">
                <w:rPr>
                  <w:b/>
                  <w:szCs w:val="22"/>
                </w:rPr>
                <w:delText>=15</w:delText>
              </w:r>
            </w:del>
          </w:p>
        </w:tc>
        <w:tc>
          <w:tcPr>
            <w:tcW w:w="2231" w:type="dxa"/>
            <w:tcBorders>
              <w:top w:val="single" w:sz="6" w:space="0" w:color="000000"/>
              <w:left w:val="single" w:sz="6" w:space="0" w:color="000000"/>
              <w:bottom w:val="single" w:sz="6" w:space="0" w:color="000000"/>
              <w:right w:val="single" w:sz="6" w:space="0" w:color="000000"/>
            </w:tcBorders>
          </w:tcPr>
          <w:p w14:paraId="1042E046" w14:textId="77777777" w:rsidR="00D76799" w:rsidRPr="001B4A02" w:rsidRDefault="00000000" w:rsidP="00F9384F">
            <w:pPr>
              <w:keepNext/>
              <w:keepLines/>
              <w:tabs>
                <w:tab w:val="left" w:pos="-1080"/>
              </w:tabs>
              <w:autoSpaceDE w:val="0"/>
              <w:autoSpaceDN w:val="0"/>
              <w:adjustRightInd w:val="0"/>
              <w:ind w:left="0" w:firstLine="0"/>
              <w:jc w:val="center"/>
              <w:rPr>
                <w:del w:id="3242" w:author="AbbVie1" w:date="2025-05-13T09:50:00Z"/>
                <w:b/>
                <w:szCs w:val="22"/>
              </w:rPr>
            </w:pPr>
            <w:del w:id="3243" w:author="AbbVie1" w:date="2025-05-13T09:50:00Z">
              <w:r>
                <w:rPr>
                  <w:b/>
                  <w:szCs w:val="22"/>
                </w:rPr>
                <w:delText>n</w:delText>
              </w:r>
              <w:r w:rsidRPr="001B4A02">
                <w:rPr>
                  <w:b/>
                  <w:szCs w:val="22"/>
                </w:rPr>
                <w:delText>=21</w:delText>
              </w:r>
            </w:del>
          </w:p>
        </w:tc>
        <w:tc>
          <w:tcPr>
            <w:tcW w:w="1388" w:type="dxa"/>
            <w:tcBorders>
              <w:top w:val="single" w:sz="6" w:space="0" w:color="000000"/>
              <w:left w:val="single" w:sz="6" w:space="0" w:color="000000"/>
              <w:bottom w:val="single" w:sz="6" w:space="0" w:color="000000"/>
              <w:right w:val="single" w:sz="6" w:space="0" w:color="000000"/>
            </w:tcBorders>
          </w:tcPr>
          <w:p w14:paraId="70A2AA3B" w14:textId="77777777" w:rsidR="00D76799" w:rsidRPr="001B4A02" w:rsidRDefault="00D76799" w:rsidP="00F9384F">
            <w:pPr>
              <w:keepNext/>
              <w:keepLines/>
              <w:tabs>
                <w:tab w:val="left" w:pos="-1080"/>
              </w:tabs>
              <w:autoSpaceDE w:val="0"/>
              <w:autoSpaceDN w:val="0"/>
              <w:adjustRightInd w:val="0"/>
              <w:ind w:left="0" w:firstLine="0"/>
              <w:jc w:val="center"/>
              <w:rPr>
                <w:del w:id="3244" w:author="AbbVie1" w:date="2025-05-13T09:50:00Z"/>
                <w:szCs w:val="22"/>
              </w:rPr>
            </w:pPr>
          </w:p>
        </w:tc>
      </w:tr>
      <w:tr w:rsidR="00534A2D" w14:paraId="6B5D631B" w14:textId="77777777" w:rsidTr="00E571F5">
        <w:trPr>
          <w:jc w:val="center"/>
          <w:del w:id="3245" w:author="AbbVie1" w:date="2025-05-13T09:50:00Z"/>
        </w:trPr>
        <w:tc>
          <w:tcPr>
            <w:tcW w:w="3234" w:type="dxa"/>
            <w:tcBorders>
              <w:top w:val="single" w:sz="6" w:space="0" w:color="000000"/>
              <w:left w:val="single" w:sz="6" w:space="0" w:color="000000"/>
              <w:bottom w:val="single" w:sz="6" w:space="0" w:color="000000"/>
              <w:right w:val="single" w:sz="6" w:space="0" w:color="000000"/>
            </w:tcBorders>
          </w:tcPr>
          <w:p w14:paraId="08836A14" w14:textId="77777777" w:rsidR="00D76799" w:rsidRPr="001B4A02" w:rsidRDefault="00000000" w:rsidP="00F9384F">
            <w:pPr>
              <w:keepNext/>
              <w:keepLines/>
              <w:tabs>
                <w:tab w:val="left" w:pos="-1080"/>
              </w:tabs>
              <w:autoSpaceDE w:val="0"/>
              <w:autoSpaceDN w:val="0"/>
              <w:adjustRightInd w:val="0"/>
              <w:rPr>
                <w:del w:id="3246" w:author="AbbVie1" w:date="2025-05-13T09:50:00Z"/>
                <w:bCs/>
                <w:szCs w:val="22"/>
              </w:rPr>
            </w:pPr>
            <w:del w:id="3247" w:author="AbbVie1" w:date="2025-05-13T09:50:00Z">
              <w:r w:rsidRPr="001B4A02">
                <w:rPr>
                  <w:bCs/>
                  <w:szCs w:val="22"/>
                </w:rPr>
                <w:delText>Týden 26</w:delText>
              </w:r>
            </w:del>
          </w:p>
        </w:tc>
        <w:tc>
          <w:tcPr>
            <w:tcW w:w="2447" w:type="dxa"/>
            <w:tcBorders>
              <w:top w:val="single" w:sz="6" w:space="0" w:color="000000"/>
              <w:left w:val="single" w:sz="6" w:space="0" w:color="000000"/>
              <w:bottom w:val="single" w:sz="6" w:space="0" w:color="000000"/>
              <w:right w:val="single" w:sz="6" w:space="0" w:color="000000"/>
            </w:tcBorders>
          </w:tcPr>
          <w:p w14:paraId="348934AB" w14:textId="77777777" w:rsidR="00D76799" w:rsidRPr="001B4A02" w:rsidRDefault="00000000" w:rsidP="00F9384F">
            <w:pPr>
              <w:keepNext/>
              <w:keepLines/>
              <w:tabs>
                <w:tab w:val="left" w:pos="-1080"/>
              </w:tabs>
              <w:autoSpaceDE w:val="0"/>
              <w:autoSpaceDN w:val="0"/>
              <w:adjustRightInd w:val="0"/>
              <w:ind w:left="0" w:firstLine="0"/>
              <w:jc w:val="center"/>
              <w:rPr>
                <w:del w:id="3248" w:author="AbbVie1" w:date="2025-05-13T09:50:00Z"/>
                <w:szCs w:val="22"/>
              </w:rPr>
            </w:pPr>
            <w:del w:id="3249" w:author="AbbVie1" w:date="2025-05-13T09:50:00Z">
              <w:r w:rsidRPr="001B4A02">
                <w:delText>46,7</w:delText>
              </w:r>
              <w:r>
                <w:delText> %</w:delText>
              </w:r>
            </w:del>
          </w:p>
        </w:tc>
        <w:tc>
          <w:tcPr>
            <w:tcW w:w="2231" w:type="dxa"/>
            <w:tcBorders>
              <w:top w:val="single" w:sz="6" w:space="0" w:color="000000"/>
              <w:left w:val="single" w:sz="6" w:space="0" w:color="000000"/>
              <w:bottom w:val="single" w:sz="6" w:space="0" w:color="000000"/>
              <w:right w:val="single" w:sz="6" w:space="0" w:color="000000"/>
            </w:tcBorders>
          </w:tcPr>
          <w:p w14:paraId="0EB64ED4" w14:textId="77777777" w:rsidR="00D76799" w:rsidRPr="001B4A02" w:rsidRDefault="00000000" w:rsidP="00F9384F">
            <w:pPr>
              <w:keepNext/>
              <w:keepLines/>
              <w:tabs>
                <w:tab w:val="left" w:pos="-1080"/>
              </w:tabs>
              <w:autoSpaceDE w:val="0"/>
              <w:autoSpaceDN w:val="0"/>
              <w:adjustRightInd w:val="0"/>
              <w:ind w:left="0" w:firstLine="0"/>
              <w:jc w:val="center"/>
              <w:rPr>
                <w:del w:id="3250" w:author="AbbVie1" w:date="2025-05-13T09:50:00Z"/>
                <w:szCs w:val="22"/>
              </w:rPr>
            </w:pPr>
            <w:del w:id="3251" w:author="AbbVie1" w:date="2025-05-13T09:50:00Z">
              <w:r w:rsidRPr="001B4A02">
                <w:delText>38,1</w:delText>
              </w:r>
              <w:r>
                <w:delText> %</w:delText>
              </w:r>
            </w:del>
          </w:p>
        </w:tc>
        <w:tc>
          <w:tcPr>
            <w:tcW w:w="1388" w:type="dxa"/>
            <w:tcBorders>
              <w:top w:val="single" w:sz="6" w:space="0" w:color="000000"/>
              <w:left w:val="single" w:sz="6" w:space="0" w:color="000000"/>
              <w:bottom w:val="single" w:sz="6" w:space="0" w:color="000000"/>
              <w:right w:val="single" w:sz="6" w:space="0" w:color="000000"/>
            </w:tcBorders>
          </w:tcPr>
          <w:p w14:paraId="02FAD22B" w14:textId="77777777" w:rsidR="00D76799" w:rsidRPr="001B4A02" w:rsidRDefault="00000000" w:rsidP="00F9384F">
            <w:pPr>
              <w:keepNext/>
              <w:keepLines/>
              <w:tabs>
                <w:tab w:val="left" w:pos="-1080"/>
              </w:tabs>
              <w:autoSpaceDE w:val="0"/>
              <w:autoSpaceDN w:val="0"/>
              <w:adjustRightInd w:val="0"/>
              <w:ind w:left="0" w:firstLine="0"/>
              <w:jc w:val="center"/>
              <w:rPr>
                <w:del w:id="3252" w:author="AbbVie1" w:date="2025-05-13T09:50:00Z"/>
                <w:szCs w:val="22"/>
              </w:rPr>
            </w:pPr>
            <w:del w:id="3253" w:author="AbbVie1" w:date="2025-05-13T09:50:00Z">
              <w:r w:rsidRPr="001B4A02">
                <w:delText>0,608</w:delText>
              </w:r>
            </w:del>
          </w:p>
        </w:tc>
      </w:tr>
      <w:tr w:rsidR="00534A2D" w14:paraId="629D4276" w14:textId="77777777" w:rsidTr="00E571F5">
        <w:trPr>
          <w:jc w:val="center"/>
          <w:del w:id="3254" w:author="AbbVie1" w:date="2025-05-13T09:50:00Z"/>
        </w:trPr>
        <w:tc>
          <w:tcPr>
            <w:tcW w:w="3234" w:type="dxa"/>
            <w:tcBorders>
              <w:top w:val="single" w:sz="6" w:space="0" w:color="000000"/>
              <w:left w:val="single" w:sz="6" w:space="0" w:color="000000"/>
              <w:bottom w:val="single" w:sz="4" w:space="0" w:color="auto"/>
              <w:right w:val="single" w:sz="6" w:space="0" w:color="000000"/>
            </w:tcBorders>
          </w:tcPr>
          <w:p w14:paraId="78AFF872" w14:textId="77777777" w:rsidR="00D76799" w:rsidRPr="001B4A02" w:rsidRDefault="00000000" w:rsidP="00F9384F">
            <w:pPr>
              <w:keepNext/>
              <w:keepLines/>
              <w:tabs>
                <w:tab w:val="left" w:pos="-1080"/>
              </w:tabs>
              <w:autoSpaceDE w:val="0"/>
              <w:autoSpaceDN w:val="0"/>
              <w:adjustRightInd w:val="0"/>
              <w:rPr>
                <w:del w:id="3255" w:author="AbbVie1" w:date="2025-05-13T09:50:00Z"/>
                <w:bCs/>
                <w:szCs w:val="22"/>
              </w:rPr>
            </w:pPr>
            <w:del w:id="3256" w:author="AbbVie1" w:date="2025-05-13T09:50:00Z">
              <w:r w:rsidRPr="001B4A02">
                <w:delText>Týden 52</w:delText>
              </w:r>
            </w:del>
          </w:p>
        </w:tc>
        <w:tc>
          <w:tcPr>
            <w:tcW w:w="2447" w:type="dxa"/>
            <w:tcBorders>
              <w:top w:val="single" w:sz="6" w:space="0" w:color="000000"/>
              <w:left w:val="single" w:sz="6" w:space="0" w:color="000000"/>
              <w:bottom w:val="single" w:sz="4" w:space="0" w:color="auto"/>
              <w:right w:val="single" w:sz="6" w:space="0" w:color="000000"/>
            </w:tcBorders>
          </w:tcPr>
          <w:p w14:paraId="11DB2514" w14:textId="77777777" w:rsidR="00D76799" w:rsidRPr="001B4A02" w:rsidRDefault="00000000" w:rsidP="00F9384F">
            <w:pPr>
              <w:keepNext/>
              <w:keepLines/>
              <w:tabs>
                <w:tab w:val="left" w:pos="-1080"/>
              </w:tabs>
              <w:autoSpaceDE w:val="0"/>
              <w:autoSpaceDN w:val="0"/>
              <w:adjustRightInd w:val="0"/>
              <w:ind w:left="0" w:firstLine="0"/>
              <w:jc w:val="center"/>
              <w:rPr>
                <w:del w:id="3257" w:author="AbbVie1" w:date="2025-05-13T09:50:00Z"/>
              </w:rPr>
            </w:pPr>
            <w:del w:id="3258" w:author="AbbVie1" w:date="2025-05-13T09:50:00Z">
              <w:r w:rsidRPr="001B4A02">
                <w:delText>40,0</w:delText>
              </w:r>
              <w:r>
                <w:delText> %</w:delText>
              </w:r>
            </w:del>
          </w:p>
        </w:tc>
        <w:tc>
          <w:tcPr>
            <w:tcW w:w="2231" w:type="dxa"/>
            <w:tcBorders>
              <w:top w:val="single" w:sz="6" w:space="0" w:color="000000"/>
              <w:left w:val="single" w:sz="6" w:space="0" w:color="000000"/>
              <w:bottom w:val="single" w:sz="4" w:space="0" w:color="auto"/>
              <w:right w:val="single" w:sz="6" w:space="0" w:color="000000"/>
            </w:tcBorders>
          </w:tcPr>
          <w:p w14:paraId="1F2A26E4" w14:textId="77777777" w:rsidR="00D76799" w:rsidRPr="001B4A02" w:rsidRDefault="00000000" w:rsidP="00F9384F">
            <w:pPr>
              <w:keepNext/>
              <w:keepLines/>
              <w:tabs>
                <w:tab w:val="left" w:pos="-1080"/>
              </w:tabs>
              <w:autoSpaceDE w:val="0"/>
              <w:autoSpaceDN w:val="0"/>
              <w:adjustRightInd w:val="0"/>
              <w:ind w:left="0" w:firstLine="0"/>
              <w:jc w:val="center"/>
              <w:rPr>
                <w:del w:id="3259" w:author="AbbVie1" w:date="2025-05-13T09:50:00Z"/>
              </w:rPr>
            </w:pPr>
            <w:del w:id="3260" w:author="AbbVie1" w:date="2025-05-13T09:50:00Z">
              <w:r w:rsidRPr="001B4A02">
                <w:delText>23,8</w:delText>
              </w:r>
              <w:r>
                <w:delText> %</w:delText>
              </w:r>
            </w:del>
          </w:p>
        </w:tc>
        <w:tc>
          <w:tcPr>
            <w:tcW w:w="1388" w:type="dxa"/>
            <w:tcBorders>
              <w:top w:val="single" w:sz="6" w:space="0" w:color="000000"/>
              <w:left w:val="single" w:sz="6" w:space="0" w:color="000000"/>
              <w:bottom w:val="single" w:sz="4" w:space="0" w:color="auto"/>
              <w:right w:val="single" w:sz="6" w:space="0" w:color="000000"/>
            </w:tcBorders>
          </w:tcPr>
          <w:p w14:paraId="2F22BC44" w14:textId="77777777" w:rsidR="00D76799" w:rsidRPr="001B4A02" w:rsidRDefault="00000000" w:rsidP="00F9384F">
            <w:pPr>
              <w:keepNext/>
              <w:keepLines/>
              <w:tabs>
                <w:tab w:val="left" w:pos="-1080"/>
              </w:tabs>
              <w:autoSpaceDE w:val="0"/>
              <w:autoSpaceDN w:val="0"/>
              <w:adjustRightInd w:val="0"/>
              <w:ind w:left="0" w:firstLine="0"/>
              <w:jc w:val="center"/>
              <w:rPr>
                <w:del w:id="3261" w:author="AbbVie1" w:date="2025-05-13T09:50:00Z"/>
              </w:rPr>
            </w:pPr>
            <w:del w:id="3262" w:author="AbbVie1" w:date="2025-05-13T09:50:00Z">
              <w:r w:rsidRPr="001B4A02">
                <w:delText>0,303</w:delText>
              </w:r>
            </w:del>
          </w:p>
        </w:tc>
      </w:tr>
      <w:tr w:rsidR="00534A2D" w14:paraId="1F186C4A" w14:textId="77777777" w:rsidTr="00E571F5">
        <w:trPr>
          <w:trHeight w:val="177"/>
          <w:jc w:val="center"/>
          <w:del w:id="3263" w:author="AbbVie1" w:date="2025-05-13T09:50:00Z"/>
        </w:trPr>
        <w:tc>
          <w:tcPr>
            <w:tcW w:w="9300" w:type="dxa"/>
            <w:gridSpan w:val="4"/>
            <w:tcBorders>
              <w:top w:val="single" w:sz="4" w:space="0" w:color="auto"/>
            </w:tcBorders>
          </w:tcPr>
          <w:p w14:paraId="460B86D4" w14:textId="77777777" w:rsidR="00D76799" w:rsidRPr="001B4A02" w:rsidRDefault="00000000" w:rsidP="00F9384F">
            <w:pPr>
              <w:keepNext/>
              <w:keepLines/>
              <w:tabs>
                <w:tab w:val="left" w:pos="-1080"/>
              </w:tabs>
              <w:autoSpaceDE w:val="0"/>
              <w:autoSpaceDN w:val="0"/>
              <w:adjustRightInd w:val="0"/>
              <w:ind w:left="0" w:firstLine="0"/>
              <w:rPr>
                <w:del w:id="3264" w:author="AbbVie1" w:date="2025-05-13T09:50:00Z"/>
                <w:sz w:val="20"/>
              </w:rPr>
            </w:pPr>
            <w:del w:id="3265" w:author="AbbVie1" w:date="2025-05-13T09:50:00Z">
              <w:r w:rsidRPr="001B4A02">
                <w:rPr>
                  <w:sz w:val="20"/>
                  <w:vertAlign w:val="superscript"/>
                </w:rPr>
                <w:delText>1</w:delText>
              </w:r>
              <w:r w:rsidRPr="001B4A02">
                <w:rPr>
                  <w:sz w:val="20"/>
                </w:rPr>
                <w:delText xml:space="preserve"> p hodnota pro standardní dávku v porovnání se sníženou dávkou</w:delText>
              </w:r>
            </w:del>
          </w:p>
          <w:p w14:paraId="43404450" w14:textId="77777777" w:rsidR="00D76799" w:rsidRPr="001B4A02" w:rsidRDefault="00000000" w:rsidP="00F9384F">
            <w:pPr>
              <w:keepNext/>
              <w:keepLines/>
              <w:tabs>
                <w:tab w:val="left" w:pos="-1080"/>
              </w:tabs>
              <w:autoSpaceDE w:val="0"/>
              <w:autoSpaceDN w:val="0"/>
              <w:adjustRightInd w:val="0"/>
              <w:ind w:left="257" w:hanging="257"/>
              <w:rPr>
                <w:del w:id="3266" w:author="AbbVie1" w:date="2025-05-13T09:50:00Z"/>
                <w:sz w:val="20"/>
              </w:rPr>
            </w:pPr>
            <w:del w:id="3267" w:author="AbbVie1" w:date="2025-05-13T09:50:00Z">
              <w:r w:rsidRPr="001B4A02">
                <w:rPr>
                  <w:sz w:val="20"/>
                  <w:vertAlign w:val="superscript"/>
                </w:rPr>
                <w:delText>2</w:delText>
              </w:r>
              <w:r w:rsidRPr="001B4A02">
                <w:rPr>
                  <w:sz w:val="20"/>
                </w:rPr>
                <w:delText xml:space="preserve"> Léčba imunosupresivy může být vysazena teprve až v týdnu 26 dle úsudku investigátora, pokud subjekt splňuje kritér</w:delText>
              </w:r>
              <w:r>
                <w:rPr>
                  <w:sz w:val="20"/>
                </w:rPr>
                <w:delText>i</w:delText>
              </w:r>
              <w:r w:rsidRPr="001B4A02">
                <w:rPr>
                  <w:sz w:val="20"/>
                </w:rPr>
                <w:delText>a považovaná za odpověď</w:delText>
              </w:r>
            </w:del>
          </w:p>
          <w:p w14:paraId="13898DFA" w14:textId="77777777" w:rsidR="00D76799" w:rsidRPr="001B4A02" w:rsidRDefault="00000000" w:rsidP="00F9384F">
            <w:pPr>
              <w:keepNext/>
              <w:keepLines/>
              <w:tabs>
                <w:tab w:val="left" w:pos="-1080"/>
              </w:tabs>
              <w:autoSpaceDE w:val="0"/>
              <w:autoSpaceDN w:val="0"/>
              <w:adjustRightInd w:val="0"/>
              <w:ind w:left="257" w:hanging="257"/>
              <w:rPr>
                <w:del w:id="3268" w:author="AbbVie1" w:date="2025-05-13T09:50:00Z"/>
                <w:szCs w:val="22"/>
              </w:rPr>
            </w:pPr>
            <w:del w:id="3269" w:author="AbbVie1" w:date="2025-05-13T09:50:00Z">
              <w:r w:rsidRPr="001B4A02">
                <w:rPr>
                  <w:sz w:val="20"/>
                  <w:vertAlign w:val="superscript"/>
                </w:rPr>
                <w:delText>3</w:delText>
              </w:r>
              <w:r w:rsidRPr="001B4A02">
                <w:rPr>
                  <w:sz w:val="20"/>
                </w:rPr>
                <w:delText xml:space="preserve"> Přetrvávání uzavření všech píštělí po dobu 2 po sobě jdoucích vizit, které byly ve výchozím stavu secernující</w:delText>
              </w:r>
            </w:del>
          </w:p>
        </w:tc>
      </w:tr>
    </w:tbl>
    <w:p w14:paraId="06FF1CC4" w14:textId="77777777" w:rsidR="00D76799" w:rsidRPr="001B4A02" w:rsidRDefault="00D76799" w:rsidP="00D76799">
      <w:pPr>
        <w:pStyle w:val="EMEANormal"/>
        <w:rPr>
          <w:del w:id="3270" w:author="AbbVie1" w:date="2025-05-13T09:50:00Z"/>
          <w:lang w:val="cs-CZ"/>
        </w:rPr>
      </w:pPr>
    </w:p>
    <w:p w14:paraId="03FF426E" w14:textId="77777777" w:rsidR="00D76799" w:rsidRPr="001B4A02" w:rsidRDefault="00000000" w:rsidP="00D76799">
      <w:pPr>
        <w:ind w:left="0" w:firstLine="0"/>
        <w:rPr>
          <w:del w:id="3271" w:author="AbbVie1" w:date="2025-05-13T09:50:00Z"/>
        </w:rPr>
      </w:pPr>
      <w:del w:id="3272" w:author="AbbVie1" w:date="2025-05-13T09:50:00Z">
        <w:r w:rsidRPr="001B4A02">
          <w:delText>Bylo pozorováno statisticky významné zvýšení (zlepšení) Body Mass Indexu</w:delText>
        </w:r>
        <w:r w:rsidR="002378E0">
          <w:delText xml:space="preserve"> a </w:delText>
        </w:r>
        <w:r w:rsidRPr="001B4A02">
          <w:delText>rychlosti růstu v týdnu 26</w:delText>
        </w:r>
        <w:r w:rsidR="002378E0">
          <w:delText xml:space="preserve"> a </w:delText>
        </w:r>
        <w:r w:rsidRPr="001B4A02">
          <w:delText>52 v porovnání s výchozím stavem.</w:delText>
        </w:r>
      </w:del>
    </w:p>
    <w:p w14:paraId="72A4246A" w14:textId="77777777" w:rsidR="00D76799" w:rsidRPr="001B4A02" w:rsidRDefault="00D76799" w:rsidP="00D76799">
      <w:pPr>
        <w:ind w:left="0" w:firstLine="0"/>
        <w:rPr>
          <w:del w:id="3273" w:author="AbbVie1" w:date="2025-05-13T09:50:00Z"/>
        </w:rPr>
      </w:pPr>
    </w:p>
    <w:p w14:paraId="1E15E807" w14:textId="77777777" w:rsidR="00D76799" w:rsidRPr="001B4A02" w:rsidRDefault="00000000" w:rsidP="00D76799">
      <w:pPr>
        <w:ind w:left="0" w:firstLine="0"/>
        <w:rPr>
          <w:del w:id="3274" w:author="AbbVie1" w:date="2025-05-13T09:50:00Z"/>
        </w:rPr>
      </w:pPr>
      <w:del w:id="3275" w:author="AbbVie1" w:date="2025-05-13T09:50:00Z">
        <w:r w:rsidRPr="001B4A02">
          <w:delText>Statisticky</w:delText>
        </w:r>
        <w:r w:rsidR="002378E0">
          <w:delText xml:space="preserve"> a </w:delText>
        </w:r>
        <w:r w:rsidRPr="001B4A02">
          <w:delText>klinicky významné zlepšení v parametrech kvality života (včetně IMPACT III) v porovnání s výchozím stavem bylo také pozorováno v obou terapeutických skupinách.</w:delText>
        </w:r>
      </w:del>
    </w:p>
    <w:p w14:paraId="49730F36" w14:textId="77777777" w:rsidR="00D76799" w:rsidRPr="001B4A02" w:rsidRDefault="00D76799" w:rsidP="00D76799">
      <w:pPr>
        <w:ind w:left="0" w:firstLine="0"/>
        <w:rPr>
          <w:del w:id="3276" w:author="AbbVie1" w:date="2025-05-13T09:50:00Z"/>
        </w:rPr>
      </w:pPr>
    </w:p>
    <w:p w14:paraId="5E1B6D12" w14:textId="77777777" w:rsidR="00D76799" w:rsidRPr="001B4A02" w:rsidRDefault="00000000" w:rsidP="00D76799">
      <w:pPr>
        <w:ind w:left="0" w:firstLine="0"/>
        <w:rPr>
          <w:del w:id="3277" w:author="AbbVie1" w:date="2025-05-13T09:50:00Z"/>
        </w:rPr>
      </w:pPr>
      <w:del w:id="3278" w:author="AbbVie1" w:date="2025-05-13T09:50:00Z">
        <w:r w:rsidRPr="001B4A02">
          <w:delText>Sto pacientů (n=100) ze studie s Crohnovou chorobou u pediatrických pacientů bylo zařazeno do otevřené dlouhodobé prodloužené fáze studie. Po 5 letech léčby adalimumabem přetrvávala klinická remise u 74</w:delText>
        </w:r>
        <w:r>
          <w:delText> %</w:delText>
        </w:r>
        <w:r w:rsidRPr="001B4A02">
          <w:delText xml:space="preserve"> (37 z 50) pacientů setrvávajících ve studii</w:delText>
        </w:r>
        <w:r w:rsidR="002378E0">
          <w:delText xml:space="preserve"> a </w:delText>
        </w:r>
        <w:r w:rsidRPr="001B4A02">
          <w:delText>u 92</w:delText>
        </w:r>
        <w:r>
          <w:delText> %</w:delText>
        </w:r>
        <w:r w:rsidRPr="001B4A02">
          <w:delText xml:space="preserve"> (46 z 50) pacientů přetrvávala klinická odpověď podle PCDAI.</w:delText>
        </w:r>
      </w:del>
    </w:p>
    <w:p w14:paraId="5D343F4D" w14:textId="77777777" w:rsidR="00D76799" w:rsidRDefault="00D76799" w:rsidP="00D76799">
      <w:pPr>
        <w:ind w:left="0" w:firstLine="0"/>
        <w:rPr>
          <w:del w:id="3279" w:author="AbbVie1" w:date="2025-05-13T09:50:00Z"/>
        </w:rPr>
      </w:pPr>
    </w:p>
    <w:p w14:paraId="386D5F2A" w14:textId="77777777" w:rsidR="00385CE1" w:rsidRDefault="00000000" w:rsidP="00385CE1">
      <w:pPr>
        <w:keepNext/>
        <w:rPr>
          <w:del w:id="3280" w:author="AbbVie1" w:date="2025-05-13T09:50:00Z"/>
          <w:bCs/>
          <w:i/>
        </w:rPr>
      </w:pPr>
      <w:del w:id="3281" w:author="AbbVie1" w:date="2025-05-13T09:50:00Z">
        <w:r>
          <w:rPr>
            <w:i/>
          </w:rPr>
          <w:delText>Ulcerózní kolitida u pediatrických pacientů</w:delText>
        </w:r>
      </w:del>
    </w:p>
    <w:p w14:paraId="56E8A134" w14:textId="77777777" w:rsidR="00385CE1" w:rsidRPr="00D01607" w:rsidRDefault="00385CE1" w:rsidP="00385CE1">
      <w:pPr>
        <w:keepNext/>
        <w:rPr>
          <w:del w:id="3282" w:author="AbbVie1" w:date="2025-05-13T09:50:00Z"/>
          <w:bCs/>
          <w:i/>
        </w:rPr>
      </w:pPr>
    </w:p>
    <w:p w14:paraId="357D24A7" w14:textId="77777777" w:rsidR="00385CE1" w:rsidRDefault="00000000" w:rsidP="00385CE1">
      <w:pPr>
        <w:ind w:left="0" w:firstLine="0"/>
        <w:rPr>
          <w:del w:id="3283" w:author="AbbVie1" w:date="2025-05-13T09:50:00Z"/>
        </w:rPr>
      </w:pPr>
      <w:del w:id="3284" w:author="AbbVie1" w:date="2025-05-13T09:50:00Z">
        <w:r>
          <w:delText>Bezpečnost</w:delText>
        </w:r>
        <w:r w:rsidR="002378E0">
          <w:delText xml:space="preserve"> a </w:delText>
        </w:r>
        <w:r>
          <w:delText>účinnost přípravku Humira byla hodnocena v multicentrické, randomizované, dvojitě zaslepené studii u 93 pediatrických pacientů ve věku od 5 do 17 let se středně těžkou až těžkou ulcerózní kolitidou (Mayo skóre 6 až 12 s podskóre endoskopie 2 až 3 body, potvrzeno centrálně odečtenou endoskopií), kteří měli nedostatečnou odpověď nebo intoleranci na konvenční terapii. V</w:delText>
        </w:r>
        <w:r w:rsidR="00022A9A">
          <w:delText> </w:delText>
        </w:r>
        <w:r>
          <w:delText>této studii u</w:delText>
        </w:r>
        <w:r w:rsidR="00022A9A" w:rsidRPr="001B4A02">
          <w:delText> </w:delText>
        </w:r>
        <w:r>
          <w:delText>přibližně 16</w:delText>
        </w:r>
        <w:r w:rsidR="00022A9A" w:rsidRPr="001B4A02">
          <w:delText> </w:delText>
        </w:r>
        <w:r>
          <w:delText>% pacientů selhala dřívější anti-TNF léčba. Pacienti, kteří dostávali kortikosteroidy při zařazení do studie, mohli po týdnu 4 začít svoji léčbu kortikosteroidy</w:delText>
        </w:r>
        <w:r w:rsidRPr="00CC48C6">
          <w:delText xml:space="preserve"> </w:delText>
        </w:r>
        <w:r>
          <w:delText>snižovat.</w:delText>
        </w:r>
      </w:del>
    </w:p>
    <w:p w14:paraId="1CF3EF90" w14:textId="77777777" w:rsidR="00385CE1" w:rsidRPr="00D01607" w:rsidRDefault="00385CE1" w:rsidP="00385CE1">
      <w:pPr>
        <w:ind w:left="0" w:firstLine="0"/>
        <w:rPr>
          <w:del w:id="3285" w:author="AbbVie1" w:date="2025-05-13T09:50:00Z"/>
        </w:rPr>
      </w:pPr>
    </w:p>
    <w:p w14:paraId="553A396F" w14:textId="77777777" w:rsidR="00385CE1" w:rsidRDefault="00000000" w:rsidP="00385CE1">
      <w:pPr>
        <w:ind w:left="0" w:firstLine="0"/>
        <w:rPr>
          <w:del w:id="3286" w:author="AbbVie1" w:date="2025-05-13T09:50:00Z"/>
          <w:rStyle w:val="eop"/>
          <w:shd w:val="clear" w:color="auto" w:fill="FFFFFF"/>
        </w:rPr>
      </w:pPr>
      <w:del w:id="3287" w:author="AbbVie1" w:date="2025-05-13T09:50:00Z">
        <w:r>
          <w:rPr>
            <w:rStyle w:val="normaltextrun"/>
            <w:shd w:val="clear" w:color="auto" w:fill="FFFFFF"/>
          </w:rPr>
          <w:delText>V</w:delText>
        </w:r>
        <w:r w:rsidR="0094731F">
          <w:rPr>
            <w:rStyle w:val="normaltextrun"/>
            <w:shd w:val="clear" w:color="auto" w:fill="FFFFFF"/>
          </w:rPr>
          <w:delText> </w:delText>
        </w:r>
        <w:r>
          <w:rPr>
            <w:rStyle w:val="normaltextrun"/>
            <w:shd w:val="clear" w:color="auto" w:fill="FFFFFF"/>
          </w:rPr>
          <w:delText>indukčním období studie bylo randomizováno 77 pacientů v poměru 3:2 k užívání dvojitě zaslepené léčby přípravkem Humira v indukční dávce 2,4</w:delText>
        </w:r>
        <w:r w:rsidR="00294902" w:rsidRPr="00005EC2">
          <w:rPr>
            <w:szCs w:val="22"/>
          </w:rPr>
          <w:delText> </w:delText>
        </w:r>
        <w:r>
          <w:rPr>
            <w:rStyle w:val="normaltextrun"/>
            <w:shd w:val="clear" w:color="auto" w:fill="FFFFFF"/>
          </w:rPr>
          <w:delText>mg/kg (maximální dávka 160</w:delText>
        </w:r>
        <w:r w:rsidR="00294902" w:rsidRPr="00005EC2">
          <w:rPr>
            <w:szCs w:val="22"/>
          </w:rPr>
          <w:delText> </w:delText>
        </w:r>
        <w:r>
          <w:rPr>
            <w:rStyle w:val="normaltextrun"/>
            <w:shd w:val="clear" w:color="auto" w:fill="FFFFFF"/>
          </w:rPr>
          <w:delText>mg) v </w:delText>
        </w:r>
        <w:r w:rsidRPr="00BC5CBC">
          <w:rPr>
            <w:rStyle w:val="normaltextrun"/>
            <w:shd w:val="clear" w:color="auto" w:fill="FFFFFF"/>
          </w:rPr>
          <w:delText>týdnech 0</w:delText>
        </w:r>
        <w:r w:rsidR="002378E0">
          <w:rPr>
            <w:rStyle w:val="normaltextrun"/>
            <w:shd w:val="clear" w:color="auto" w:fill="FFFFFF"/>
          </w:rPr>
          <w:delText xml:space="preserve"> a </w:delText>
        </w:r>
        <w:r w:rsidRPr="00BC5CBC">
          <w:rPr>
            <w:rStyle w:val="normaltextrun"/>
            <w:shd w:val="clear" w:color="auto" w:fill="FFFFFF"/>
          </w:rPr>
          <w:delText>1</w:delText>
        </w:r>
        <w:r w:rsidR="002378E0">
          <w:rPr>
            <w:rStyle w:val="normaltextrun"/>
            <w:shd w:val="clear" w:color="auto" w:fill="FFFFFF"/>
          </w:rPr>
          <w:delText xml:space="preserve"> a </w:delText>
        </w:r>
        <w:r>
          <w:rPr>
            <w:rStyle w:val="normaltextrun"/>
            <w:shd w:val="clear" w:color="auto" w:fill="FFFFFF"/>
          </w:rPr>
          <w:delText>1,2</w:delText>
        </w:r>
        <w:r w:rsidR="00294902" w:rsidRPr="00005EC2">
          <w:rPr>
            <w:szCs w:val="22"/>
          </w:rPr>
          <w:delText> </w:delText>
        </w:r>
        <w:r>
          <w:rPr>
            <w:rStyle w:val="normaltextrun"/>
            <w:shd w:val="clear" w:color="auto" w:fill="FFFFFF"/>
          </w:rPr>
          <w:delText>mg/kg (maximální dávka 80</w:delText>
        </w:r>
        <w:r w:rsidR="00294902" w:rsidRPr="00005EC2">
          <w:rPr>
            <w:szCs w:val="22"/>
          </w:rPr>
          <w:delText> </w:delText>
        </w:r>
        <w:r>
          <w:rPr>
            <w:rStyle w:val="normaltextrun"/>
            <w:shd w:val="clear" w:color="auto" w:fill="FFFFFF"/>
          </w:rPr>
          <w:delText>mg) v</w:delText>
        </w:r>
        <w:r w:rsidR="0094731F">
          <w:rPr>
            <w:rStyle w:val="normaltextrun"/>
            <w:shd w:val="clear" w:color="auto" w:fill="FFFFFF"/>
          </w:rPr>
          <w:delText> </w:delText>
        </w:r>
        <w:r>
          <w:rPr>
            <w:rStyle w:val="normaltextrun"/>
            <w:shd w:val="clear" w:color="auto" w:fill="FFFFFF"/>
          </w:rPr>
          <w:delText>týdnu 2;</w:delText>
        </w:r>
        <w:r w:rsidR="0094731F">
          <w:rPr>
            <w:rStyle w:val="normaltextrun"/>
            <w:shd w:val="clear" w:color="auto" w:fill="FFFFFF"/>
          </w:rPr>
          <w:delText xml:space="preserve"> </w:delText>
        </w:r>
        <w:r>
          <w:rPr>
            <w:rStyle w:val="normaltextrun"/>
            <w:shd w:val="clear" w:color="auto" w:fill="FFFFFF"/>
          </w:rPr>
          <w:delText>nebo indukční dávce 2,4</w:delText>
        </w:r>
        <w:r w:rsidR="00294902" w:rsidRPr="00005EC2">
          <w:rPr>
            <w:szCs w:val="22"/>
          </w:rPr>
          <w:delText> </w:delText>
        </w:r>
        <w:r>
          <w:rPr>
            <w:rStyle w:val="normaltextrun"/>
            <w:shd w:val="clear" w:color="auto" w:fill="FFFFFF"/>
          </w:rPr>
          <w:delText>mg/kg (maximální dávka 160</w:delText>
        </w:r>
        <w:r w:rsidR="00294902" w:rsidRPr="00005EC2">
          <w:rPr>
            <w:szCs w:val="22"/>
          </w:rPr>
          <w:delText> </w:delText>
        </w:r>
        <w:r>
          <w:rPr>
            <w:rStyle w:val="normaltextrun"/>
            <w:shd w:val="clear" w:color="auto" w:fill="FFFFFF"/>
          </w:rPr>
          <w:delText>mg) v týdnu 0, placebo v </w:delText>
        </w:r>
        <w:r w:rsidRPr="00BC5CBC">
          <w:rPr>
            <w:rStyle w:val="normaltextrun"/>
            <w:shd w:val="clear" w:color="auto" w:fill="FFFFFF"/>
          </w:rPr>
          <w:delText>týdnu 1</w:delText>
        </w:r>
        <w:r w:rsidR="002378E0">
          <w:rPr>
            <w:rStyle w:val="normaltextrun"/>
            <w:shd w:val="clear" w:color="auto" w:fill="FFFFFF"/>
          </w:rPr>
          <w:delText xml:space="preserve"> a </w:delText>
        </w:r>
        <w:r>
          <w:rPr>
            <w:rStyle w:val="normaltextrun"/>
            <w:shd w:val="clear" w:color="auto" w:fill="FFFFFF"/>
          </w:rPr>
          <w:delText>1,2</w:delText>
        </w:r>
        <w:r w:rsidR="00294902" w:rsidRPr="00005EC2">
          <w:rPr>
            <w:szCs w:val="22"/>
          </w:rPr>
          <w:delText> </w:delText>
        </w:r>
        <w:r>
          <w:rPr>
            <w:rStyle w:val="normaltextrun"/>
            <w:shd w:val="clear" w:color="auto" w:fill="FFFFFF"/>
          </w:rPr>
          <w:delText>mg/kg (maximální dávka 80</w:delText>
        </w:r>
        <w:r w:rsidR="00294902" w:rsidRPr="00005EC2">
          <w:rPr>
            <w:szCs w:val="22"/>
          </w:rPr>
          <w:delText> </w:delText>
        </w:r>
        <w:r>
          <w:rPr>
            <w:rStyle w:val="normaltextrun"/>
            <w:shd w:val="clear" w:color="auto" w:fill="FFFFFF"/>
          </w:rPr>
          <w:delText>mg) v</w:delText>
        </w:r>
        <w:r w:rsidR="0094731F">
          <w:rPr>
            <w:rStyle w:val="normaltextrun"/>
            <w:shd w:val="clear" w:color="auto" w:fill="FFFFFF"/>
          </w:rPr>
          <w:delText> </w:delText>
        </w:r>
        <w:r>
          <w:rPr>
            <w:rStyle w:val="normaltextrun"/>
            <w:shd w:val="clear" w:color="auto" w:fill="FFFFFF"/>
          </w:rPr>
          <w:delText>týdnu 2.</w:delText>
        </w:r>
        <w:r w:rsidR="0094731F">
          <w:rPr>
            <w:shd w:val="clear" w:color="auto" w:fill="FFFFFF"/>
          </w:rPr>
          <w:delText xml:space="preserve"> </w:delText>
        </w:r>
        <w:r>
          <w:rPr>
            <w:rStyle w:val="normaltextrun"/>
            <w:shd w:val="clear" w:color="auto" w:fill="FFFFFF"/>
          </w:rPr>
          <w:delText>Obě skupiny dostávaly 0,6</w:delText>
        </w:r>
        <w:r w:rsidR="00294902" w:rsidRPr="00005EC2">
          <w:rPr>
            <w:szCs w:val="22"/>
          </w:rPr>
          <w:delText> </w:delText>
        </w:r>
        <w:r>
          <w:rPr>
            <w:rStyle w:val="normaltextrun"/>
            <w:shd w:val="clear" w:color="auto" w:fill="FFFFFF"/>
          </w:rPr>
          <w:delText>mg/kg (maximální dávka 40</w:delText>
        </w:r>
        <w:r w:rsidR="00294902" w:rsidRPr="00005EC2">
          <w:rPr>
            <w:szCs w:val="22"/>
          </w:rPr>
          <w:delText> </w:delText>
        </w:r>
        <w:r>
          <w:rPr>
            <w:rStyle w:val="normaltextrun"/>
            <w:shd w:val="clear" w:color="auto" w:fill="FFFFFF"/>
          </w:rPr>
          <w:delText>mg) v</w:delText>
        </w:r>
        <w:r w:rsidR="0094731F">
          <w:delText> </w:delText>
        </w:r>
        <w:r>
          <w:rPr>
            <w:rStyle w:val="normaltextrun"/>
            <w:shd w:val="clear" w:color="auto" w:fill="FFFFFF"/>
          </w:rPr>
          <w:delText>týdnech 4</w:delText>
        </w:r>
        <w:r w:rsidR="002378E0">
          <w:rPr>
            <w:rStyle w:val="normaltextrun"/>
            <w:shd w:val="clear" w:color="auto" w:fill="FFFFFF"/>
          </w:rPr>
          <w:delText xml:space="preserve"> a </w:delText>
        </w:r>
        <w:r>
          <w:rPr>
            <w:rStyle w:val="normaltextrun"/>
            <w:shd w:val="clear" w:color="auto" w:fill="FFFFFF"/>
          </w:rPr>
          <w:delText>6.</w:delText>
        </w:r>
        <w:r w:rsidR="00294902">
          <w:rPr>
            <w:shd w:val="clear" w:color="auto" w:fill="FFFFFF"/>
          </w:rPr>
          <w:delText xml:space="preserve"> </w:delText>
        </w:r>
        <w:r>
          <w:rPr>
            <w:rStyle w:val="normaltextrun"/>
            <w:shd w:val="clear" w:color="auto" w:fill="FFFFFF"/>
          </w:rPr>
          <w:delText>Po změně designu studie dostalo zbývajících 16 pacientů zařazených do indukčního období otevřenou léčbu přípravkem Humira v indukční dávce 2,4</w:delText>
        </w:r>
        <w:r w:rsidR="00294902" w:rsidRPr="00005EC2">
          <w:rPr>
            <w:szCs w:val="22"/>
          </w:rPr>
          <w:delText> </w:delText>
        </w:r>
        <w:r>
          <w:rPr>
            <w:rStyle w:val="normaltextrun"/>
            <w:shd w:val="clear" w:color="auto" w:fill="FFFFFF"/>
          </w:rPr>
          <w:delText>mg/kg (maximální dávka 160</w:delText>
        </w:r>
        <w:r w:rsidR="00294902" w:rsidRPr="00005EC2">
          <w:rPr>
            <w:szCs w:val="22"/>
          </w:rPr>
          <w:delText> </w:delText>
        </w:r>
        <w:r>
          <w:rPr>
            <w:rStyle w:val="normaltextrun"/>
            <w:shd w:val="clear" w:color="auto" w:fill="FFFFFF"/>
          </w:rPr>
          <w:delText>mg) v </w:delText>
        </w:r>
        <w:r w:rsidRPr="00BC5CBC">
          <w:rPr>
            <w:rStyle w:val="normaltextrun"/>
            <w:shd w:val="clear" w:color="auto" w:fill="FFFFFF"/>
          </w:rPr>
          <w:delText>týdnech 0</w:delText>
        </w:r>
        <w:r w:rsidR="002378E0">
          <w:rPr>
            <w:rStyle w:val="normaltextrun"/>
            <w:shd w:val="clear" w:color="auto" w:fill="FFFFFF"/>
          </w:rPr>
          <w:delText xml:space="preserve"> a </w:delText>
        </w:r>
        <w:r w:rsidRPr="00BC5CBC">
          <w:rPr>
            <w:rStyle w:val="normaltextrun"/>
            <w:shd w:val="clear" w:color="auto" w:fill="FFFFFF"/>
          </w:rPr>
          <w:delText>1</w:delText>
        </w:r>
        <w:r w:rsidR="002378E0">
          <w:rPr>
            <w:rStyle w:val="normaltextrun"/>
            <w:shd w:val="clear" w:color="auto" w:fill="FFFFFF"/>
          </w:rPr>
          <w:delText xml:space="preserve"> a </w:delText>
        </w:r>
        <w:r>
          <w:rPr>
            <w:rStyle w:val="normaltextrun"/>
            <w:shd w:val="clear" w:color="auto" w:fill="FFFFFF"/>
          </w:rPr>
          <w:delText>1,2</w:delText>
        </w:r>
        <w:r w:rsidR="00294902" w:rsidRPr="00005EC2">
          <w:rPr>
            <w:szCs w:val="22"/>
          </w:rPr>
          <w:delText> </w:delText>
        </w:r>
        <w:r>
          <w:rPr>
            <w:rStyle w:val="normaltextrun"/>
            <w:shd w:val="clear" w:color="auto" w:fill="FFFFFF"/>
          </w:rPr>
          <w:delText>mg/kg (maximální dávka 80</w:delText>
        </w:r>
        <w:r w:rsidR="00294902" w:rsidRPr="00005EC2">
          <w:rPr>
            <w:szCs w:val="22"/>
          </w:rPr>
          <w:delText> </w:delText>
        </w:r>
        <w:r>
          <w:rPr>
            <w:rStyle w:val="normaltextrun"/>
            <w:shd w:val="clear" w:color="auto" w:fill="FFFFFF"/>
          </w:rPr>
          <w:delText>mg) v</w:delText>
        </w:r>
        <w:r w:rsidR="0094731F">
          <w:rPr>
            <w:rStyle w:val="normaltextrun"/>
            <w:shd w:val="clear" w:color="auto" w:fill="FFFFFF"/>
          </w:rPr>
          <w:delText> </w:delText>
        </w:r>
        <w:r>
          <w:rPr>
            <w:rStyle w:val="normaltextrun"/>
            <w:shd w:val="clear" w:color="auto" w:fill="FFFFFF"/>
          </w:rPr>
          <w:delText>týdnu 2.</w:delText>
        </w:r>
      </w:del>
    </w:p>
    <w:p w14:paraId="35BA3429" w14:textId="77777777" w:rsidR="00385CE1" w:rsidRPr="00D01607" w:rsidRDefault="00385CE1" w:rsidP="00385CE1">
      <w:pPr>
        <w:ind w:left="0" w:firstLine="0"/>
        <w:rPr>
          <w:del w:id="3288" w:author="AbbVie1" w:date="2025-05-13T09:50:00Z"/>
        </w:rPr>
      </w:pPr>
    </w:p>
    <w:p w14:paraId="436FE4C2" w14:textId="77777777" w:rsidR="00385CE1" w:rsidRDefault="00000000" w:rsidP="00385CE1">
      <w:pPr>
        <w:ind w:left="0" w:firstLine="0"/>
        <w:rPr>
          <w:del w:id="3289" w:author="AbbVie1" w:date="2025-05-13T09:50:00Z"/>
          <w:rStyle w:val="normaltextrun"/>
          <w:shd w:val="clear" w:color="auto" w:fill="FFFFFF"/>
        </w:rPr>
      </w:pPr>
      <w:del w:id="3290" w:author="AbbVie1" w:date="2025-05-13T09:50:00Z">
        <w:r>
          <w:rPr>
            <w:rStyle w:val="normaltextrun"/>
            <w:shd w:val="clear" w:color="auto" w:fill="FFFFFF"/>
          </w:rPr>
          <w:delText>V</w:delText>
        </w:r>
        <w:r w:rsidR="0094731F">
          <w:rPr>
            <w:rStyle w:val="normaltextrun"/>
            <w:shd w:val="clear" w:color="auto" w:fill="FFFFFF"/>
          </w:rPr>
          <w:delText> </w:delText>
        </w:r>
        <w:r w:rsidRPr="00BC5CBC">
          <w:rPr>
            <w:rStyle w:val="normaltextrun"/>
            <w:shd w:val="clear" w:color="auto" w:fill="FFFFFF"/>
          </w:rPr>
          <w:delText>týdnu 8</w:delText>
        </w:r>
        <w:r>
          <w:rPr>
            <w:rStyle w:val="normaltextrun"/>
            <w:shd w:val="clear" w:color="auto" w:fill="FFFFFF"/>
          </w:rPr>
          <w:delText xml:space="preserve"> bylo 62 pacientů, kteří prokázali klinickou odpověď na parciálním Mayo skóre (PMS; definováno jako pokles PMS ≥ 2 body</w:delText>
        </w:r>
        <w:r w:rsidR="002378E0">
          <w:rPr>
            <w:rStyle w:val="normaltextrun"/>
            <w:shd w:val="clear" w:color="auto" w:fill="FFFFFF"/>
          </w:rPr>
          <w:delText xml:space="preserve"> a </w:delText>
        </w:r>
        <w:r>
          <w:rPr>
            <w:rStyle w:val="normaltextrun"/>
            <w:shd w:val="clear" w:color="auto" w:fill="FFFFFF"/>
          </w:rPr>
          <w:delText>≥ 30</w:delText>
        </w:r>
        <w:r w:rsidR="0094731F">
          <w:delText> </w:delText>
        </w:r>
        <w:r>
          <w:rPr>
            <w:rStyle w:val="normaltextrun"/>
            <w:shd w:val="clear" w:color="auto" w:fill="FFFFFF"/>
          </w:rPr>
          <w:delText>% oproti výchozí hodnotě), randomizováno rovnoměrně do dvojitě zaslepené udržovací léčby přípravkem Humira s dávkou 0,6</w:delText>
        </w:r>
        <w:r w:rsidR="0094731F">
          <w:delText> </w:delText>
        </w:r>
        <w:r>
          <w:rPr>
            <w:rStyle w:val="normaltextrun"/>
            <w:shd w:val="clear" w:color="auto" w:fill="FFFFFF"/>
          </w:rPr>
          <w:delText>mg/kg (maximální dávka 40</w:delText>
        </w:r>
        <w:r w:rsidR="0094731F">
          <w:delText> </w:delText>
        </w:r>
        <w:r>
          <w:rPr>
            <w:rStyle w:val="normaltextrun"/>
            <w:shd w:val="clear" w:color="auto" w:fill="FFFFFF"/>
          </w:rPr>
          <w:delText>mg) každý týden nebo udržovací dávkou 0,6</w:delText>
        </w:r>
        <w:r w:rsidR="0094731F">
          <w:delText> </w:delText>
        </w:r>
        <w:r>
          <w:rPr>
            <w:rStyle w:val="normaltextrun"/>
            <w:shd w:val="clear" w:color="auto" w:fill="FFFFFF"/>
          </w:rPr>
          <w:delText>mg/kg (maximální dávka 40</w:delText>
        </w:r>
        <w:r w:rsidR="0094731F">
          <w:delText> </w:delText>
        </w:r>
        <w:r>
          <w:rPr>
            <w:rStyle w:val="normaltextrun"/>
            <w:shd w:val="clear" w:color="auto" w:fill="FFFFFF"/>
          </w:rPr>
          <w:delText>mg)</w:delText>
        </w:r>
        <w:r w:rsidR="009428F1">
          <w:rPr>
            <w:rStyle w:val="normaltextrun"/>
            <w:shd w:val="clear" w:color="auto" w:fill="FFFFFF"/>
          </w:rPr>
          <w:delText xml:space="preserve"> jednou za dva týdny</w:delText>
        </w:r>
        <w:r>
          <w:rPr>
            <w:rStyle w:val="normaltextrun"/>
            <w:shd w:val="clear" w:color="auto" w:fill="FFFFFF"/>
          </w:rPr>
          <w:delText>.</w:delText>
        </w:r>
        <w:r w:rsidR="0094731F">
          <w:rPr>
            <w:shd w:val="clear" w:color="auto" w:fill="FFFFFF"/>
          </w:rPr>
          <w:delText xml:space="preserve"> </w:delText>
        </w:r>
        <w:r>
          <w:rPr>
            <w:rStyle w:val="normaltextrun"/>
            <w:shd w:val="clear" w:color="auto" w:fill="FFFFFF"/>
          </w:rPr>
          <w:delText>Před změnou designu studie bylo dalších 12 pacientů, kteří prokázali klinickou odpověď podle PMS, randomizováno k</w:delText>
        </w:r>
        <w:r w:rsidR="0094731F">
          <w:rPr>
            <w:rStyle w:val="normaltextrun"/>
            <w:shd w:val="clear" w:color="auto" w:fill="FFFFFF"/>
          </w:rPr>
          <w:delText> </w:delText>
        </w:r>
        <w:r>
          <w:rPr>
            <w:rStyle w:val="normaltextrun"/>
            <w:shd w:val="clear" w:color="auto" w:fill="FFFFFF"/>
          </w:rPr>
          <w:delText>užívání placeba, ale nebyli zahrnuti do potvrzující analýzy účinnosti.</w:delText>
        </w:r>
      </w:del>
    </w:p>
    <w:p w14:paraId="36A7B47A" w14:textId="77777777" w:rsidR="00385CE1" w:rsidRPr="00D01607" w:rsidRDefault="00385CE1" w:rsidP="00385CE1">
      <w:pPr>
        <w:ind w:left="0" w:firstLine="0"/>
        <w:rPr>
          <w:del w:id="3291" w:author="AbbVie1" w:date="2025-05-13T09:50:00Z"/>
          <w:shd w:val="clear" w:color="auto" w:fill="FFFFFF"/>
        </w:rPr>
      </w:pPr>
    </w:p>
    <w:p w14:paraId="5AC38988" w14:textId="77777777" w:rsidR="00385CE1" w:rsidRDefault="00000000" w:rsidP="00385CE1">
      <w:pPr>
        <w:ind w:left="0" w:firstLine="0"/>
        <w:rPr>
          <w:del w:id="3292" w:author="AbbVie1" w:date="2025-05-13T09:50:00Z"/>
        </w:rPr>
      </w:pPr>
      <w:del w:id="3293" w:author="AbbVie1" w:date="2025-05-13T09:50:00Z">
        <w:r>
          <w:delText>Vzplanutí nemoci bylo definováno jako zvýšení PMS nejméně o 3 body (u pacientů s PMS 0 až 2 v </w:delText>
        </w:r>
        <w:r w:rsidRPr="00BC5CBC">
          <w:delText>týdnu 8</w:delText>
        </w:r>
        <w:r>
          <w:delText>), nejméně 2 body (u pacientů s PMS 3 až 4 v </w:delText>
        </w:r>
        <w:r w:rsidRPr="00BC5CBC">
          <w:delText>týdnu 8</w:delText>
        </w:r>
        <w:r>
          <w:delText>) nebo alespoň o 1 bod (u pacientů s PMS 5 až 6 v </w:delText>
        </w:r>
        <w:r w:rsidRPr="00BC5CBC">
          <w:delText>týdnu 8</w:delText>
        </w:r>
        <w:r>
          <w:delText>).</w:delText>
        </w:r>
      </w:del>
    </w:p>
    <w:p w14:paraId="1A7FFEC0" w14:textId="77777777" w:rsidR="00385CE1" w:rsidRPr="00D01607" w:rsidRDefault="00385CE1" w:rsidP="00385CE1">
      <w:pPr>
        <w:ind w:left="0" w:firstLine="0"/>
        <w:rPr>
          <w:del w:id="3294" w:author="AbbVie1" w:date="2025-05-13T09:50:00Z"/>
        </w:rPr>
      </w:pPr>
    </w:p>
    <w:p w14:paraId="3B5CC525" w14:textId="77777777" w:rsidR="00385CE1" w:rsidRPr="00D01607" w:rsidRDefault="00000000" w:rsidP="00385CE1">
      <w:pPr>
        <w:ind w:left="0" w:firstLine="0"/>
        <w:rPr>
          <w:del w:id="3295" w:author="AbbVie1" w:date="2025-05-13T09:50:00Z"/>
        </w:rPr>
      </w:pPr>
      <w:del w:id="3296" w:author="AbbVie1" w:date="2025-05-13T09:50:00Z">
        <w:r>
          <w:delText>Pacienti, kteří splnili kritéria pro vzplanutí nemoci v</w:delText>
        </w:r>
        <w:r w:rsidR="0094731F">
          <w:delText> </w:delText>
        </w:r>
        <w:r>
          <w:delText>týdnu 12 nebo později, byli randomizováni do skupiny, která dostávala opětovně indukční dávku 2,4</w:delText>
        </w:r>
        <w:r w:rsidR="0094731F">
          <w:delText> </w:delText>
        </w:r>
        <w:r>
          <w:delText>mg/kg (maximální dávka 160</w:delText>
        </w:r>
        <w:r w:rsidR="0094731F">
          <w:delText> </w:delText>
        </w:r>
        <w:r>
          <w:delText>mg) nebo dávku 0,6</w:delText>
        </w:r>
        <w:r w:rsidR="0094731F">
          <w:delText> </w:delText>
        </w:r>
        <w:r>
          <w:delText>mg/kg (maximální dávka 40</w:delText>
        </w:r>
        <w:r w:rsidR="0094731F">
          <w:delText> </w:delText>
        </w:r>
        <w:r>
          <w:delText>mg),</w:delText>
        </w:r>
        <w:r w:rsidR="002378E0">
          <w:delText xml:space="preserve"> a </w:delText>
        </w:r>
        <w:r>
          <w:delText>pokračovali v léčbě svým příslušným režimem udržovací dávky.</w:delText>
        </w:r>
      </w:del>
    </w:p>
    <w:p w14:paraId="7103FB86" w14:textId="77777777" w:rsidR="00385CE1" w:rsidRPr="001D2137" w:rsidRDefault="00000000" w:rsidP="00385CE1">
      <w:pPr>
        <w:pStyle w:val="gtcbodytext"/>
        <w:keepNext/>
        <w:spacing w:after="0" w:line="240" w:lineRule="auto"/>
        <w:rPr>
          <w:del w:id="3297" w:author="AbbVie1" w:date="2025-05-13T09:50:00Z"/>
          <w:i/>
          <w:sz w:val="22"/>
          <w:szCs w:val="22"/>
          <w:lang w:val="cs-CZ"/>
        </w:rPr>
      </w:pPr>
      <w:del w:id="3298" w:author="AbbVie1" w:date="2025-05-13T09:50:00Z">
        <w:r w:rsidRPr="001D2137">
          <w:rPr>
            <w:i/>
            <w:sz w:val="22"/>
            <w:lang w:val="cs-CZ"/>
          </w:rPr>
          <w:delText xml:space="preserve">Výsledky </w:delText>
        </w:r>
        <w:r>
          <w:rPr>
            <w:i/>
            <w:sz w:val="22"/>
            <w:lang w:val="cs-CZ"/>
          </w:rPr>
          <w:delText xml:space="preserve">hodnocení </w:delText>
        </w:r>
        <w:r w:rsidRPr="001D2137">
          <w:rPr>
            <w:i/>
            <w:sz w:val="22"/>
            <w:lang w:val="cs-CZ"/>
          </w:rPr>
          <w:delText>účinnosti</w:delText>
        </w:r>
      </w:del>
    </w:p>
    <w:p w14:paraId="40D530C7" w14:textId="77777777" w:rsidR="00385CE1" w:rsidRPr="001D2137" w:rsidRDefault="00385CE1" w:rsidP="00385CE1">
      <w:pPr>
        <w:pStyle w:val="gtcbodytext"/>
        <w:keepNext/>
        <w:spacing w:before="0" w:after="0" w:line="240" w:lineRule="auto"/>
        <w:rPr>
          <w:del w:id="3299" w:author="AbbVie1" w:date="2025-05-13T09:50:00Z"/>
          <w:i/>
          <w:sz w:val="22"/>
          <w:szCs w:val="22"/>
          <w:lang w:val="cs-CZ"/>
        </w:rPr>
      </w:pPr>
    </w:p>
    <w:p w14:paraId="4DBD07C0" w14:textId="77777777" w:rsidR="00385CE1" w:rsidRDefault="00000000" w:rsidP="00385CE1">
      <w:pPr>
        <w:ind w:left="0" w:firstLine="0"/>
        <w:textAlignment w:val="baseline"/>
        <w:rPr>
          <w:del w:id="3300" w:author="AbbVie1" w:date="2025-05-13T09:50:00Z"/>
        </w:rPr>
      </w:pPr>
      <w:del w:id="3301" w:author="AbbVie1" w:date="2025-05-13T09:50:00Z">
        <w:r>
          <w:delText>Společnými primárními cílovými parametry studie byla klinická remise podle PMS (definovaná jako PMS ≤ 2</w:delText>
        </w:r>
        <w:r w:rsidR="002378E0">
          <w:delText xml:space="preserve"> a </w:delText>
        </w:r>
        <w:r>
          <w:delText>žádné individuální podskóre &gt; 1) v </w:delText>
        </w:r>
        <w:r w:rsidRPr="00BC5CBC">
          <w:delText>týdnu 8</w:delText>
        </w:r>
        <w:r w:rsidR="002378E0">
          <w:delText xml:space="preserve"> a </w:delText>
        </w:r>
        <w:r>
          <w:delText>klinická remise podle FMS (úplné Mayo skóre) (definovaná jako Mayo skóre ≤ 2</w:delText>
        </w:r>
        <w:r w:rsidR="002378E0">
          <w:delText xml:space="preserve"> a </w:delText>
        </w:r>
        <w:r>
          <w:delText>žádné individuální podskóre &gt; 1) v</w:delText>
        </w:r>
        <w:r w:rsidR="00ED5CFE">
          <w:delText> </w:delText>
        </w:r>
        <w:r>
          <w:delText>týdnu 52 u pacientů, kteří dosáhli klinické odpovědi podle PMS v </w:delText>
        </w:r>
        <w:r w:rsidRPr="00BC5CBC">
          <w:delText>týdnu 8</w:delText>
        </w:r>
        <w:r>
          <w:delText>.</w:delText>
        </w:r>
      </w:del>
    </w:p>
    <w:p w14:paraId="67DF3933" w14:textId="77777777" w:rsidR="00385CE1" w:rsidRPr="00D01607" w:rsidRDefault="00385CE1" w:rsidP="00385CE1">
      <w:pPr>
        <w:ind w:left="0" w:firstLine="0"/>
        <w:textAlignment w:val="baseline"/>
        <w:rPr>
          <w:del w:id="3302" w:author="AbbVie1" w:date="2025-05-13T09:50:00Z"/>
          <w:lang w:eastAsia="en-GB"/>
        </w:rPr>
      </w:pPr>
    </w:p>
    <w:p w14:paraId="79A23B4E" w14:textId="77777777" w:rsidR="00385CE1" w:rsidRDefault="00000000" w:rsidP="00385CE1">
      <w:pPr>
        <w:ind w:left="0" w:firstLine="0"/>
        <w:textAlignment w:val="baseline"/>
        <w:rPr>
          <w:del w:id="3303" w:author="AbbVie1" w:date="2025-05-13T09:50:00Z"/>
        </w:rPr>
      </w:pPr>
      <w:del w:id="3304" w:author="AbbVie1" w:date="2025-05-13T09:50:00Z">
        <w:r>
          <w:delText>Míry klinické remise podle PMS v </w:delText>
        </w:r>
        <w:r w:rsidRPr="00BC5CBC">
          <w:delText>týdnu 8</w:delText>
        </w:r>
        <w:r>
          <w:delText xml:space="preserve"> u pacientů v každé z dvojitě zaslepených indukčních skupin přípravku Humira jsou shrnuty v</w:delText>
        </w:r>
        <w:r w:rsidR="00ED5CFE">
          <w:delText> </w:delText>
        </w:r>
        <w:r>
          <w:delText>tabulce 26.</w:delText>
        </w:r>
      </w:del>
    </w:p>
    <w:p w14:paraId="5FCA211C" w14:textId="77777777" w:rsidR="00022A9A" w:rsidRPr="00D01607" w:rsidRDefault="00022A9A" w:rsidP="00385CE1">
      <w:pPr>
        <w:ind w:left="0" w:firstLine="0"/>
        <w:textAlignment w:val="baseline"/>
        <w:rPr>
          <w:del w:id="3305" w:author="AbbVie1" w:date="2025-05-13T09:50:00Z"/>
        </w:rPr>
      </w:pPr>
    </w:p>
    <w:p w14:paraId="68652016" w14:textId="77777777" w:rsidR="00385CE1" w:rsidRPr="001D2137" w:rsidRDefault="00000000" w:rsidP="00CC2427">
      <w:pPr>
        <w:pStyle w:val="gtcbodytext"/>
        <w:keepNext/>
        <w:spacing w:before="0" w:after="0" w:line="240" w:lineRule="auto"/>
        <w:jc w:val="center"/>
        <w:rPr>
          <w:del w:id="3306" w:author="AbbVie1" w:date="2025-05-13T09:50:00Z"/>
          <w:sz w:val="22"/>
          <w:szCs w:val="22"/>
          <w:lang w:val="cs-CZ"/>
        </w:rPr>
      </w:pPr>
      <w:del w:id="3307" w:author="AbbVie1" w:date="2025-05-13T09:50:00Z">
        <w:r w:rsidRPr="001D2137">
          <w:rPr>
            <w:b/>
            <w:sz w:val="22"/>
            <w:lang w:val="cs-CZ"/>
          </w:rPr>
          <w:delText>Tabulka 26: Klinická remise podle PMS po 8 týdnech</w:delText>
        </w:r>
      </w:del>
    </w:p>
    <w:tbl>
      <w:tblPr>
        <w:tblW w:w="5000" w:type="pct"/>
        <w:jc w:val="center"/>
        <w:tblLook w:val="04A0" w:firstRow="1" w:lastRow="0" w:firstColumn="1" w:lastColumn="0" w:noHBand="0" w:noVBand="1"/>
      </w:tblPr>
      <w:tblGrid>
        <w:gridCol w:w="2242"/>
        <w:gridCol w:w="3376"/>
        <w:gridCol w:w="3437"/>
      </w:tblGrid>
      <w:tr w:rsidR="00534A2D" w14:paraId="23FF710B" w14:textId="77777777" w:rsidTr="00022A9A">
        <w:trPr>
          <w:jc w:val="center"/>
          <w:del w:id="3308" w:author="AbbVie1" w:date="2025-05-13T09:50: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8CE1EF" w14:textId="77777777" w:rsidR="00385CE1" w:rsidRPr="00D01607" w:rsidRDefault="00385CE1" w:rsidP="00022A9A">
            <w:pPr>
              <w:keepNext/>
              <w:rPr>
                <w:del w:id="3309" w:author="AbbVie1" w:date="2025-05-13T09:50:00Z"/>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9C43D8D" w14:textId="77777777" w:rsidR="00385CE1" w:rsidRPr="00D01607" w:rsidRDefault="00000000" w:rsidP="00022A9A">
            <w:pPr>
              <w:pStyle w:val="paragraph0"/>
              <w:keepNext/>
              <w:spacing w:before="0" w:beforeAutospacing="0" w:after="0" w:afterAutospacing="0"/>
              <w:jc w:val="center"/>
              <w:textAlignment w:val="baseline"/>
              <w:rPr>
                <w:del w:id="3310" w:author="AbbVie1" w:date="2025-05-13T09:50:00Z"/>
                <w:sz w:val="22"/>
                <w:szCs w:val="22"/>
              </w:rPr>
            </w:pPr>
            <w:del w:id="3311" w:author="AbbVie1" w:date="2025-05-13T09:50:00Z">
              <w:r>
                <w:rPr>
                  <w:rStyle w:val="spellingerror"/>
                  <w:b/>
                </w:rPr>
                <w:delText>Humira</w:delText>
              </w:r>
              <w:r>
                <w:rPr>
                  <w:rStyle w:val="spellingerror"/>
                  <w:b/>
                  <w:vertAlign w:val="superscript"/>
                </w:rPr>
                <w:delText>a</w:delText>
              </w:r>
              <w:r>
                <w:rPr>
                  <w:rStyle w:val="eop"/>
                </w:rPr>
                <w:delText> </w:delText>
              </w:r>
            </w:del>
          </w:p>
          <w:p w14:paraId="587A3F1C" w14:textId="77777777" w:rsidR="00385CE1" w:rsidRPr="00950D86" w:rsidRDefault="00000000" w:rsidP="00022A9A">
            <w:pPr>
              <w:keepNext/>
              <w:ind w:left="0" w:firstLine="0"/>
              <w:jc w:val="center"/>
              <w:rPr>
                <w:del w:id="3312" w:author="AbbVie1" w:date="2025-05-13T09:50:00Z"/>
                <w:rStyle w:val="eop"/>
                <w:b/>
                <w:bCs/>
              </w:rPr>
            </w:pPr>
            <w:del w:id="3313" w:author="AbbVie1" w:date="2025-05-13T09:50:00Z">
              <w:r w:rsidRPr="00950D86">
                <w:rPr>
                  <w:rStyle w:val="normaltextrun"/>
                  <w:b/>
                  <w:bCs/>
                </w:rPr>
                <w:delText>Maximálně 160</w:delText>
              </w:r>
              <w:r w:rsidR="00294902" w:rsidRPr="00005EC2">
                <w:rPr>
                  <w:szCs w:val="22"/>
                </w:rPr>
                <w:delText> </w:delText>
              </w:r>
              <w:r w:rsidRPr="00950D86">
                <w:rPr>
                  <w:rStyle w:val="normaltextrun"/>
                  <w:b/>
                  <w:bCs/>
                </w:rPr>
                <w:delText>mg v týdnu 0 / placebo v týdnu 1</w:delText>
              </w:r>
              <w:r w:rsidRPr="00950D86">
                <w:rPr>
                  <w:rStyle w:val="eop"/>
                  <w:b/>
                  <w:bCs/>
                </w:rPr>
                <w:delText xml:space="preserve"> </w:delText>
              </w:r>
            </w:del>
          </w:p>
          <w:p w14:paraId="64D3FCCC" w14:textId="77777777" w:rsidR="00385CE1" w:rsidRPr="00D01607" w:rsidRDefault="00000000" w:rsidP="00022A9A">
            <w:pPr>
              <w:keepNext/>
              <w:ind w:left="0" w:firstLine="0"/>
              <w:jc w:val="center"/>
              <w:rPr>
                <w:del w:id="3314" w:author="AbbVie1" w:date="2025-05-13T09:50:00Z"/>
              </w:rPr>
            </w:pPr>
            <w:del w:id="3315" w:author="AbbVie1" w:date="2025-05-13T09:50:00Z">
              <w:r>
                <w:rPr>
                  <w:rStyle w:val="eop"/>
                </w:rPr>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395FFF8" w14:textId="77777777" w:rsidR="00385CE1" w:rsidRPr="00D01607" w:rsidRDefault="00000000" w:rsidP="00022A9A">
            <w:pPr>
              <w:pStyle w:val="paragraph0"/>
              <w:keepNext/>
              <w:spacing w:before="0" w:beforeAutospacing="0" w:after="0" w:afterAutospacing="0"/>
              <w:jc w:val="center"/>
              <w:textAlignment w:val="baseline"/>
              <w:rPr>
                <w:del w:id="3316" w:author="AbbVie1" w:date="2025-05-13T09:50:00Z"/>
                <w:sz w:val="22"/>
                <w:szCs w:val="22"/>
              </w:rPr>
            </w:pPr>
            <w:del w:id="3317" w:author="AbbVie1" w:date="2025-05-13T09:50:00Z">
              <w:r>
                <w:rPr>
                  <w:rStyle w:val="spellingerror"/>
                  <w:b/>
                </w:rPr>
                <w:delText>Humira</w:delText>
              </w:r>
              <w:r>
                <w:rPr>
                  <w:rStyle w:val="spellingerror"/>
                  <w:b/>
                  <w:vertAlign w:val="superscript"/>
                </w:rPr>
                <w:delText>b</w:delText>
              </w:r>
              <w:r>
                <w:rPr>
                  <w:rStyle w:val="normaltextrun"/>
                  <w:sz w:val="22"/>
                  <w:vertAlign w:val="superscript"/>
                </w:rPr>
                <w:delText>, c</w:delText>
              </w:r>
              <w:r>
                <w:rPr>
                  <w:rStyle w:val="eop"/>
                </w:rPr>
                <w:delText> </w:delText>
              </w:r>
            </w:del>
          </w:p>
          <w:p w14:paraId="1C89891D" w14:textId="77777777" w:rsidR="00385CE1" w:rsidRPr="00950D86" w:rsidRDefault="00000000" w:rsidP="00022A9A">
            <w:pPr>
              <w:keepNext/>
              <w:ind w:left="0" w:firstLine="0"/>
              <w:jc w:val="center"/>
              <w:rPr>
                <w:del w:id="3318" w:author="AbbVie1" w:date="2025-05-13T09:50:00Z"/>
                <w:rStyle w:val="eop"/>
                <w:b/>
                <w:bCs/>
              </w:rPr>
            </w:pPr>
            <w:del w:id="3319" w:author="AbbVie1" w:date="2025-05-13T09:50:00Z">
              <w:r w:rsidRPr="00950D86">
                <w:rPr>
                  <w:rStyle w:val="normaltextrun"/>
                  <w:b/>
                  <w:bCs/>
                </w:rPr>
                <w:delText>Maximálně 160</w:delText>
              </w:r>
              <w:r w:rsidR="00294902" w:rsidRPr="00005EC2">
                <w:rPr>
                  <w:szCs w:val="22"/>
                </w:rPr>
                <w:delText> </w:delText>
              </w:r>
              <w:r w:rsidRPr="00950D86">
                <w:rPr>
                  <w:rStyle w:val="normaltextrun"/>
                  <w:b/>
                  <w:bCs/>
                </w:rPr>
                <w:delText>mg v týdnech 0</w:delText>
              </w:r>
              <w:r w:rsidR="002378E0">
                <w:rPr>
                  <w:rStyle w:val="normaltextrun"/>
                  <w:b/>
                  <w:bCs/>
                </w:rPr>
                <w:delText xml:space="preserve"> a </w:delText>
              </w:r>
              <w:r w:rsidRPr="00950D86">
                <w:rPr>
                  <w:rStyle w:val="normaltextrun"/>
                  <w:b/>
                  <w:bCs/>
                </w:rPr>
                <w:delText>1</w:delText>
              </w:r>
            </w:del>
          </w:p>
          <w:p w14:paraId="635DE3F7" w14:textId="77777777" w:rsidR="00385CE1" w:rsidRPr="00D01607" w:rsidRDefault="00000000" w:rsidP="00022A9A">
            <w:pPr>
              <w:keepNext/>
              <w:ind w:left="0" w:firstLine="0"/>
              <w:jc w:val="center"/>
              <w:rPr>
                <w:del w:id="3320" w:author="AbbVie1" w:date="2025-05-13T09:50:00Z"/>
              </w:rPr>
            </w:pPr>
            <w:del w:id="3321" w:author="AbbVie1" w:date="2025-05-13T09:50:00Z">
              <w:r>
                <w:rPr>
                  <w:rStyle w:val="eop"/>
                </w:rPr>
                <w:delText>n=47</w:delText>
              </w:r>
            </w:del>
          </w:p>
        </w:tc>
      </w:tr>
      <w:tr w:rsidR="00534A2D" w14:paraId="20CEC81D" w14:textId="77777777" w:rsidTr="00022A9A">
        <w:trPr>
          <w:jc w:val="center"/>
          <w:del w:id="3322" w:author="AbbVie1" w:date="2025-05-13T09:50: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9A08592" w14:textId="77777777" w:rsidR="00385CE1" w:rsidRPr="00D01607" w:rsidRDefault="00000000" w:rsidP="00022A9A">
            <w:pPr>
              <w:keepNext/>
              <w:rPr>
                <w:del w:id="3323" w:author="AbbVie1" w:date="2025-05-13T09:50:00Z"/>
              </w:rPr>
            </w:pPr>
            <w:del w:id="3324" w:author="AbbVie1" w:date="2025-05-13T09:50:00Z">
              <w:r>
                <w:delText>Klinická remise</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E30EBF6" w14:textId="77777777" w:rsidR="00385CE1" w:rsidRPr="00D01607" w:rsidRDefault="00000000" w:rsidP="00022A9A">
            <w:pPr>
              <w:keepNext/>
              <w:jc w:val="center"/>
              <w:rPr>
                <w:del w:id="3325" w:author="AbbVie1" w:date="2025-05-13T09:50:00Z"/>
              </w:rPr>
            </w:pPr>
            <w:del w:id="3326" w:author="AbbVie1" w:date="2025-05-13T09:50:00Z">
              <w:r>
                <w:delText>13/30 (43,3 %)</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5D8FF80" w14:textId="77777777" w:rsidR="00385CE1" w:rsidRPr="00D01607" w:rsidRDefault="00000000" w:rsidP="00022A9A">
            <w:pPr>
              <w:keepNext/>
              <w:jc w:val="center"/>
              <w:rPr>
                <w:del w:id="3327" w:author="AbbVie1" w:date="2025-05-13T09:50:00Z"/>
                <w:vertAlign w:val="superscript"/>
              </w:rPr>
            </w:pPr>
            <w:del w:id="3328" w:author="AbbVie1" w:date="2025-05-13T09:50:00Z">
              <w:r>
                <w:delText>28/47 (59,6 %)</w:delText>
              </w:r>
            </w:del>
          </w:p>
        </w:tc>
      </w:tr>
      <w:tr w:rsidR="00534A2D" w14:paraId="0AF1F1F7" w14:textId="77777777" w:rsidTr="00022A9A">
        <w:trPr>
          <w:trHeight w:val="2517"/>
          <w:jc w:val="center"/>
          <w:del w:id="3329" w:author="AbbVie1" w:date="2025-05-13T09:50: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7DFC8B1" w14:textId="77777777" w:rsidR="00385CE1" w:rsidRPr="00FF6D96" w:rsidRDefault="00000000" w:rsidP="008401F1">
            <w:pPr>
              <w:pStyle w:val="paragraph0"/>
              <w:spacing w:before="0" w:beforeAutospacing="0" w:after="0" w:afterAutospacing="0"/>
              <w:textAlignment w:val="baseline"/>
              <w:rPr>
                <w:del w:id="3330" w:author="AbbVie1" w:date="2025-05-13T09:50:00Z"/>
                <w:sz w:val="22"/>
                <w:szCs w:val="22"/>
              </w:rPr>
            </w:pPr>
            <w:del w:id="3331" w:author="AbbVie1" w:date="2025-05-13T09:50:00Z">
              <w:r>
                <w:rPr>
                  <w:rStyle w:val="normaltextrun"/>
                  <w:sz w:val="22"/>
                  <w:vertAlign w:val="superscript"/>
                </w:rPr>
                <w:delText>a</w:delText>
              </w:r>
              <w:r w:rsidR="00012979">
                <w:rPr>
                  <w:rStyle w:val="normaltextrun"/>
                </w:rPr>
                <w:delText> </w:delText>
              </w:r>
              <w:r>
                <w:rPr>
                  <w:rStyle w:val="normaltextrun"/>
                  <w:sz w:val="22"/>
                </w:rPr>
                <w:delText>Humira 2,</w:delText>
              </w:r>
              <w:r w:rsidRPr="00FF6D96">
                <w:rPr>
                  <w:rStyle w:val="normaltextrun"/>
                  <w:sz w:val="22"/>
                  <w:szCs w:val="22"/>
                </w:rPr>
                <w:delText>4</w:delText>
              </w:r>
              <w:r w:rsidR="00294902" w:rsidRPr="00005EC2">
                <w:rPr>
                  <w:sz w:val="22"/>
                  <w:szCs w:val="22"/>
                </w:rPr>
                <w:delText> </w:delText>
              </w:r>
              <w:r w:rsidRPr="00FF6D96">
                <w:rPr>
                  <w:rStyle w:val="normaltextrun"/>
                  <w:sz w:val="22"/>
                  <w:szCs w:val="22"/>
                </w:rPr>
                <w:delText>mg/kg (maximální dávka 160</w:delText>
              </w:r>
              <w:r w:rsidR="00294902" w:rsidRPr="00005EC2">
                <w:rPr>
                  <w:sz w:val="22"/>
                  <w:szCs w:val="22"/>
                </w:rPr>
                <w:delText> </w:delText>
              </w:r>
              <w:r w:rsidRPr="00FF6D96">
                <w:rPr>
                  <w:rStyle w:val="normaltextrun"/>
                  <w:sz w:val="22"/>
                  <w:szCs w:val="22"/>
                </w:rPr>
                <w:delText>mg) v týdnu 0, placebo v týdnu 1</w:delText>
              </w:r>
              <w:r w:rsidR="002378E0">
                <w:rPr>
                  <w:rStyle w:val="normaltextrun"/>
                  <w:sz w:val="22"/>
                  <w:szCs w:val="22"/>
                </w:rPr>
                <w:delText xml:space="preserve"> a </w:delText>
              </w:r>
              <w:r w:rsidRPr="00FF6D96">
                <w:rPr>
                  <w:rStyle w:val="normaltextrun"/>
                  <w:sz w:val="22"/>
                  <w:szCs w:val="22"/>
                </w:rPr>
                <w:delText>1,2</w:delText>
              </w:r>
              <w:r w:rsidR="00294902" w:rsidRPr="00005EC2">
                <w:rPr>
                  <w:sz w:val="22"/>
                  <w:szCs w:val="22"/>
                </w:rPr>
                <w:delText> </w:delText>
              </w:r>
              <w:r w:rsidRPr="00FF6D96">
                <w:rPr>
                  <w:rStyle w:val="normaltextrun"/>
                  <w:sz w:val="22"/>
                  <w:szCs w:val="22"/>
                </w:rPr>
                <w:delText>mg/kg (maximální dávka 80</w:delText>
              </w:r>
              <w:r w:rsidR="00294902" w:rsidRPr="00005EC2">
                <w:rPr>
                  <w:sz w:val="22"/>
                  <w:szCs w:val="22"/>
                </w:rPr>
                <w:delText> </w:delText>
              </w:r>
              <w:r w:rsidRPr="00FF6D96">
                <w:rPr>
                  <w:rStyle w:val="normaltextrun"/>
                  <w:sz w:val="22"/>
                  <w:szCs w:val="22"/>
                </w:rPr>
                <w:delText>mg) v</w:delText>
              </w:r>
              <w:r w:rsidR="00E91197" w:rsidRPr="00FF6D96">
                <w:rPr>
                  <w:rStyle w:val="normaltextrun"/>
                  <w:sz w:val="22"/>
                  <w:szCs w:val="22"/>
                </w:rPr>
                <w:delText> </w:delText>
              </w:r>
              <w:r w:rsidRPr="00FF6D96">
                <w:rPr>
                  <w:rStyle w:val="normaltextrun"/>
                  <w:sz w:val="22"/>
                  <w:szCs w:val="22"/>
                </w:rPr>
                <w:delText>týdnu</w:delText>
              </w:r>
              <w:r w:rsidRPr="00FF6D96">
                <w:rPr>
                  <w:rStyle w:val="eop"/>
                  <w:sz w:val="22"/>
                  <w:szCs w:val="22"/>
                </w:rPr>
                <w:delText xml:space="preserve"> 2</w:delText>
              </w:r>
            </w:del>
          </w:p>
          <w:p w14:paraId="1F230512" w14:textId="77777777" w:rsidR="00385CE1" w:rsidRPr="00FF6D96" w:rsidRDefault="00000000" w:rsidP="008401F1">
            <w:pPr>
              <w:pStyle w:val="paragraph0"/>
              <w:spacing w:before="0" w:beforeAutospacing="0" w:after="0" w:afterAutospacing="0"/>
              <w:textAlignment w:val="baseline"/>
              <w:rPr>
                <w:del w:id="3332" w:author="AbbVie1" w:date="2025-05-13T09:50:00Z"/>
                <w:sz w:val="22"/>
                <w:szCs w:val="22"/>
              </w:rPr>
            </w:pPr>
            <w:del w:id="3333" w:author="AbbVie1" w:date="2025-05-13T09:50:00Z">
              <w:r w:rsidRPr="00FF6D96">
                <w:rPr>
                  <w:rStyle w:val="normaltextrun"/>
                  <w:sz w:val="22"/>
                  <w:szCs w:val="22"/>
                  <w:vertAlign w:val="superscript"/>
                </w:rPr>
                <w:delText>b</w:delText>
              </w:r>
              <w:r w:rsidR="00012979" w:rsidRPr="00FF6D96">
                <w:rPr>
                  <w:rStyle w:val="normaltextrun"/>
                  <w:sz w:val="22"/>
                  <w:szCs w:val="22"/>
                </w:rPr>
                <w:delText> </w:delText>
              </w:r>
              <w:r w:rsidRPr="00FF6D96">
                <w:rPr>
                  <w:rStyle w:val="normaltextrun"/>
                  <w:sz w:val="22"/>
                  <w:szCs w:val="22"/>
                </w:rPr>
                <w:delText>Humira 2,4</w:delText>
              </w:r>
              <w:r w:rsidR="00294902" w:rsidRPr="00005EC2">
                <w:rPr>
                  <w:sz w:val="22"/>
                  <w:szCs w:val="22"/>
                </w:rPr>
                <w:delText> </w:delText>
              </w:r>
              <w:r w:rsidRPr="00FF6D96">
                <w:rPr>
                  <w:rStyle w:val="normaltextrun"/>
                  <w:sz w:val="22"/>
                  <w:szCs w:val="22"/>
                </w:rPr>
                <w:delText>mg/kg (maximální dávka 160</w:delText>
              </w:r>
              <w:r w:rsidR="00294902" w:rsidRPr="00005EC2">
                <w:rPr>
                  <w:sz w:val="22"/>
                  <w:szCs w:val="22"/>
                </w:rPr>
                <w:delText> </w:delText>
              </w:r>
              <w:r w:rsidRPr="00FF6D96">
                <w:rPr>
                  <w:rStyle w:val="normaltextrun"/>
                  <w:sz w:val="22"/>
                  <w:szCs w:val="22"/>
                </w:rPr>
                <w:delText>mg) v týdnech 0</w:delText>
              </w:r>
              <w:r w:rsidR="002378E0">
                <w:rPr>
                  <w:rStyle w:val="normaltextrun"/>
                  <w:sz w:val="22"/>
                  <w:szCs w:val="22"/>
                </w:rPr>
                <w:delText xml:space="preserve"> a </w:delText>
              </w:r>
              <w:r w:rsidRPr="00FF6D96">
                <w:rPr>
                  <w:rStyle w:val="normaltextrun"/>
                  <w:sz w:val="22"/>
                  <w:szCs w:val="22"/>
                </w:rPr>
                <w:delText>1</w:delText>
              </w:r>
              <w:r w:rsidR="002378E0">
                <w:rPr>
                  <w:rStyle w:val="normaltextrun"/>
                  <w:sz w:val="22"/>
                  <w:szCs w:val="22"/>
                </w:rPr>
                <w:delText xml:space="preserve"> a </w:delText>
              </w:r>
              <w:r w:rsidRPr="00FF6D96">
                <w:rPr>
                  <w:rStyle w:val="normaltextrun"/>
                  <w:sz w:val="22"/>
                  <w:szCs w:val="22"/>
                </w:rPr>
                <w:delText>1,2</w:delText>
              </w:r>
              <w:r w:rsidR="00294902" w:rsidRPr="00005EC2">
                <w:rPr>
                  <w:sz w:val="22"/>
                  <w:szCs w:val="22"/>
                </w:rPr>
                <w:delText> </w:delText>
              </w:r>
              <w:r w:rsidRPr="00FF6D96">
                <w:rPr>
                  <w:rStyle w:val="normaltextrun"/>
                  <w:sz w:val="22"/>
                  <w:szCs w:val="22"/>
                </w:rPr>
                <w:delText>mg/kg (maximální dávka 80</w:delText>
              </w:r>
              <w:r w:rsidR="00012979" w:rsidRPr="00FF6D96">
                <w:rPr>
                  <w:rStyle w:val="normaltextrun"/>
                  <w:sz w:val="22"/>
                  <w:szCs w:val="22"/>
                </w:rPr>
                <w:delText> </w:delText>
              </w:r>
              <w:r w:rsidRPr="00FF6D96">
                <w:rPr>
                  <w:rStyle w:val="normaltextrun"/>
                  <w:sz w:val="22"/>
                  <w:szCs w:val="22"/>
                </w:rPr>
                <w:delText>mg) v</w:delText>
              </w:r>
              <w:r w:rsidR="00E91197" w:rsidRPr="00FF6D96">
                <w:rPr>
                  <w:rStyle w:val="normaltextrun"/>
                  <w:sz w:val="22"/>
                  <w:szCs w:val="22"/>
                </w:rPr>
                <w:delText> </w:delText>
              </w:r>
              <w:r w:rsidRPr="00FF6D96">
                <w:rPr>
                  <w:rStyle w:val="normaltextrun"/>
                  <w:sz w:val="22"/>
                  <w:szCs w:val="22"/>
                </w:rPr>
                <w:delText>týdnu</w:delText>
              </w:r>
              <w:r w:rsidRPr="00FF6D96">
                <w:rPr>
                  <w:rStyle w:val="eop"/>
                  <w:sz w:val="22"/>
                  <w:szCs w:val="22"/>
                </w:rPr>
                <w:delText xml:space="preserve"> 2</w:delText>
              </w:r>
            </w:del>
          </w:p>
          <w:p w14:paraId="1D86440E" w14:textId="77777777" w:rsidR="00385CE1" w:rsidRPr="00FF6D96" w:rsidRDefault="00000000" w:rsidP="008401F1">
            <w:pPr>
              <w:pStyle w:val="paragraph0"/>
              <w:spacing w:before="0" w:beforeAutospacing="0" w:after="0" w:afterAutospacing="0"/>
              <w:textAlignment w:val="baseline"/>
              <w:rPr>
                <w:del w:id="3334" w:author="AbbVie1" w:date="2025-05-13T09:50:00Z"/>
                <w:sz w:val="22"/>
                <w:szCs w:val="22"/>
              </w:rPr>
            </w:pPr>
            <w:del w:id="3335" w:author="AbbVie1" w:date="2025-05-13T09:50:00Z">
              <w:r w:rsidRPr="00FF6D96">
                <w:rPr>
                  <w:rStyle w:val="normaltextrun"/>
                  <w:sz w:val="22"/>
                  <w:szCs w:val="22"/>
                  <w:vertAlign w:val="superscript"/>
                </w:rPr>
                <w:delText>c</w:delText>
              </w:r>
              <w:r w:rsidR="00012979" w:rsidRPr="00FF6D96">
                <w:rPr>
                  <w:rStyle w:val="normaltextrun"/>
                  <w:sz w:val="22"/>
                  <w:szCs w:val="22"/>
                </w:rPr>
                <w:delText> </w:delText>
              </w:r>
              <w:r w:rsidRPr="00FF6D96">
                <w:rPr>
                  <w:rStyle w:val="normaltextrun"/>
                  <w:sz w:val="22"/>
                  <w:szCs w:val="22"/>
                </w:rPr>
                <w:delText>Nezahrnuje nezaslepenou indukční dávku přípravku Humira 2,4</w:delText>
              </w:r>
              <w:r w:rsidR="00294902" w:rsidRPr="00005EC2">
                <w:rPr>
                  <w:sz w:val="22"/>
                  <w:szCs w:val="22"/>
                </w:rPr>
                <w:delText> </w:delText>
              </w:r>
              <w:r w:rsidRPr="00FF6D96">
                <w:rPr>
                  <w:rStyle w:val="normaltextrun"/>
                  <w:sz w:val="22"/>
                  <w:szCs w:val="22"/>
                </w:rPr>
                <w:delText>mg/kg (maximální dávka 160</w:delText>
              </w:r>
              <w:r w:rsidR="00294902" w:rsidRPr="00005EC2">
                <w:rPr>
                  <w:sz w:val="22"/>
                  <w:szCs w:val="22"/>
                </w:rPr>
                <w:delText> </w:delText>
              </w:r>
              <w:r w:rsidRPr="00FF6D96">
                <w:rPr>
                  <w:rStyle w:val="normaltextrun"/>
                  <w:sz w:val="22"/>
                  <w:szCs w:val="22"/>
                </w:rPr>
                <w:delText>mg) v týdnech 0</w:delText>
              </w:r>
              <w:r w:rsidR="002378E0">
                <w:rPr>
                  <w:rStyle w:val="normaltextrun"/>
                  <w:sz w:val="22"/>
                  <w:szCs w:val="22"/>
                </w:rPr>
                <w:delText xml:space="preserve"> a </w:delText>
              </w:r>
              <w:r w:rsidRPr="00FF6D96">
                <w:rPr>
                  <w:rStyle w:val="normaltextrun"/>
                  <w:sz w:val="22"/>
                  <w:szCs w:val="22"/>
                </w:rPr>
                <w:delText>1</w:delText>
              </w:r>
              <w:r w:rsidR="002378E0">
                <w:rPr>
                  <w:rStyle w:val="normaltextrun"/>
                  <w:sz w:val="22"/>
                  <w:szCs w:val="22"/>
                </w:rPr>
                <w:delText xml:space="preserve"> a </w:delText>
              </w:r>
              <w:r w:rsidRPr="00FF6D96">
                <w:rPr>
                  <w:rStyle w:val="normaltextrun"/>
                  <w:sz w:val="22"/>
                  <w:szCs w:val="22"/>
                </w:rPr>
                <w:delText>1,2</w:delText>
              </w:r>
              <w:r w:rsidR="00294902" w:rsidRPr="00005EC2">
                <w:rPr>
                  <w:sz w:val="22"/>
                  <w:szCs w:val="22"/>
                </w:rPr>
                <w:delText> </w:delText>
              </w:r>
              <w:r w:rsidRPr="00FF6D96">
                <w:rPr>
                  <w:rStyle w:val="normaltextrun"/>
                  <w:sz w:val="22"/>
                  <w:szCs w:val="22"/>
                </w:rPr>
                <w:delText>mg/kg (maximální dávka 80</w:delText>
              </w:r>
              <w:r w:rsidR="00294902" w:rsidRPr="00005EC2">
                <w:rPr>
                  <w:sz w:val="22"/>
                  <w:szCs w:val="22"/>
                </w:rPr>
                <w:delText> </w:delText>
              </w:r>
              <w:r w:rsidRPr="00FF6D96">
                <w:rPr>
                  <w:rStyle w:val="normaltextrun"/>
                  <w:sz w:val="22"/>
                  <w:szCs w:val="22"/>
                </w:rPr>
                <w:delText>mg) v</w:delText>
              </w:r>
              <w:r w:rsidR="00CC2427" w:rsidRPr="00FF6D96">
                <w:rPr>
                  <w:rStyle w:val="normaltextrun"/>
                  <w:sz w:val="22"/>
                  <w:szCs w:val="22"/>
                </w:rPr>
                <w:delText> </w:delText>
              </w:r>
              <w:r w:rsidRPr="00FF6D96">
                <w:rPr>
                  <w:rStyle w:val="normaltextrun"/>
                  <w:sz w:val="22"/>
                  <w:szCs w:val="22"/>
                </w:rPr>
                <w:delText>týdnu 2</w:delText>
              </w:r>
            </w:del>
          </w:p>
          <w:p w14:paraId="42ED8F9F" w14:textId="77777777" w:rsidR="00385CE1" w:rsidRPr="00FF6D96" w:rsidRDefault="00000000" w:rsidP="008401F1">
            <w:pPr>
              <w:pStyle w:val="paragraph0"/>
              <w:spacing w:before="0" w:beforeAutospacing="0" w:after="0" w:afterAutospacing="0"/>
              <w:textAlignment w:val="baseline"/>
              <w:rPr>
                <w:del w:id="3336" w:author="AbbVie1" w:date="2025-05-13T09:50:00Z"/>
                <w:sz w:val="22"/>
                <w:szCs w:val="22"/>
              </w:rPr>
            </w:pPr>
            <w:del w:id="3337" w:author="AbbVie1" w:date="2025-05-13T09:50:00Z">
              <w:r w:rsidRPr="00FF6D96">
                <w:rPr>
                  <w:rStyle w:val="normaltextrun"/>
                  <w:sz w:val="22"/>
                  <w:szCs w:val="22"/>
                </w:rPr>
                <w:delText>Pozn. 1:</w:delText>
              </w:r>
              <w:r w:rsidRPr="00FF6D96">
                <w:rPr>
                  <w:sz w:val="22"/>
                  <w:szCs w:val="22"/>
                </w:rPr>
                <w:delText xml:space="preserve"> </w:delText>
              </w:r>
              <w:r w:rsidRPr="00FF6D96">
                <w:rPr>
                  <w:rStyle w:val="normaltextrun"/>
                  <w:sz w:val="22"/>
                  <w:szCs w:val="22"/>
                </w:rPr>
                <w:delText>Obě indukční skupiny dostávaly 0,6</w:delText>
              </w:r>
              <w:r w:rsidR="00294902" w:rsidRPr="00005EC2">
                <w:rPr>
                  <w:sz w:val="22"/>
                  <w:szCs w:val="22"/>
                </w:rPr>
                <w:delText> </w:delText>
              </w:r>
              <w:r w:rsidRPr="00FF6D96">
                <w:rPr>
                  <w:rStyle w:val="normaltextrun"/>
                  <w:sz w:val="22"/>
                  <w:szCs w:val="22"/>
                </w:rPr>
                <w:delText>mg/kg (maximální dávka 40</w:delText>
              </w:r>
              <w:r w:rsidR="00294902" w:rsidRPr="00005EC2">
                <w:rPr>
                  <w:sz w:val="22"/>
                  <w:szCs w:val="22"/>
                </w:rPr>
                <w:delText> </w:delText>
              </w:r>
              <w:r w:rsidRPr="00FF6D96">
                <w:rPr>
                  <w:rStyle w:val="normaltextrun"/>
                  <w:sz w:val="22"/>
                  <w:szCs w:val="22"/>
                </w:rPr>
                <w:delText>mg) v</w:delText>
              </w:r>
              <w:r w:rsidR="00E91197" w:rsidRPr="00FF6D96">
                <w:rPr>
                  <w:rStyle w:val="normaltextrun"/>
                  <w:sz w:val="22"/>
                  <w:szCs w:val="22"/>
                </w:rPr>
                <w:delText> </w:delText>
              </w:r>
              <w:r w:rsidRPr="00FF6D96">
                <w:rPr>
                  <w:rStyle w:val="normaltextrun"/>
                  <w:sz w:val="22"/>
                  <w:szCs w:val="22"/>
                </w:rPr>
                <w:delText>týdnech</w:delText>
              </w:r>
              <w:r w:rsidRPr="00FF6D96">
                <w:rPr>
                  <w:rStyle w:val="eop"/>
                  <w:sz w:val="22"/>
                  <w:szCs w:val="22"/>
                </w:rPr>
                <w:delText xml:space="preserve"> 4</w:delText>
              </w:r>
              <w:r w:rsidR="002378E0">
                <w:rPr>
                  <w:rStyle w:val="eop"/>
                  <w:sz w:val="22"/>
                  <w:szCs w:val="22"/>
                </w:rPr>
                <w:delText xml:space="preserve"> a </w:delText>
              </w:r>
              <w:r w:rsidRPr="00FF6D96">
                <w:rPr>
                  <w:rStyle w:val="eop"/>
                  <w:sz w:val="22"/>
                  <w:szCs w:val="22"/>
                </w:rPr>
                <w:delText xml:space="preserve">6 </w:delText>
              </w:r>
            </w:del>
          </w:p>
          <w:p w14:paraId="2EABABFE" w14:textId="77777777" w:rsidR="00385CE1" w:rsidRPr="00D01607" w:rsidRDefault="00000000" w:rsidP="008401F1">
            <w:pPr>
              <w:pStyle w:val="paragraph0"/>
              <w:spacing w:before="0" w:beforeAutospacing="0" w:after="0" w:afterAutospacing="0"/>
              <w:textAlignment w:val="baseline"/>
              <w:rPr>
                <w:del w:id="3338" w:author="AbbVie1" w:date="2025-05-13T09:50:00Z"/>
                <w:sz w:val="22"/>
                <w:szCs w:val="22"/>
              </w:rPr>
            </w:pPr>
            <w:del w:id="3339" w:author="AbbVie1" w:date="2025-05-13T09:50:00Z">
              <w:r w:rsidRPr="00FF6D96">
                <w:rPr>
                  <w:rStyle w:val="normaltextrun"/>
                  <w:sz w:val="22"/>
                  <w:szCs w:val="22"/>
                </w:rPr>
                <w:delText>Pozn. 2:</w:delText>
              </w:r>
              <w:r w:rsidRPr="00FF6D96">
                <w:rPr>
                  <w:sz w:val="22"/>
                  <w:szCs w:val="22"/>
                </w:rPr>
                <w:delText xml:space="preserve"> </w:delText>
              </w:r>
              <w:r w:rsidRPr="00FF6D96">
                <w:rPr>
                  <w:rStyle w:val="normaltextrun"/>
                  <w:sz w:val="22"/>
                  <w:szCs w:val="22"/>
                </w:rPr>
                <w:delText>Pacienti s chybějícími hodnotami v týdnu 8 byli považováni za pacienty, kteří nesplnili cílový parametr</w:delText>
              </w:r>
              <w:r>
                <w:rPr>
                  <w:rStyle w:val="eop"/>
                </w:rPr>
                <w:delText xml:space="preserve"> </w:delText>
              </w:r>
            </w:del>
          </w:p>
        </w:tc>
      </w:tr>
    </w:tbl>
    <w:p w14:paraId="7EDC372A" w14:textId="77777777" w:rsidR="00385CE1" w:rsidRPr="00D01607" w:rsidRDefault="00385CE1" w:rsidP="00385CE1">
      <w:pPr>
        <w:rPr>
          <w:del w:id="3340" w:author="AbbVie1" w:date="2025-05-13T09:50:00Z"/>
          <w:rStyle w:val="normaltextrun"/>
          <w:shd w:val="clear" w:color="auto" w:fill="FFFFFF"/>
        </w:rPr>
      </w:pPr>
    </w:p>
    <w:p w14:paraId="613D4D6D" w14:textId="77777777" w:rsidR="00385CE1" w:rsidRPr="00D01607" w:rsidRDefault="00000000" w:rsidP="00385CE1">
      <w:pPr>
        <w:ind w:left="0" w:firstLine="0"/>
        <w:rPr>
          <w:del w:id="3341" w:author="AbbVie1" w:date="2025-05-13T09:50:00Z"/>
        </w:rPr>
      </w:pPr>
      <w:del w:id="3342" w:author="AbbVie1" w:date="2025-05-13T09:50:00Z">
        <w:r>
          <w:rPr>
            <w:rStyle w:val="normaltextrun"/>
            <w:shd w:val="clear" w:color="auto" w:fill="FFFFFF"/>
          </w:rPr>
          <w:delText>V</w:delText>
        </w:r>
        <w:r w:rsidR="00012979">
          <w:rPr>
            <w:rStyle w:val="normaltextrun"/>
            <w:shd w:val="clear" w:color="auto" w:fill="FFFFFF"/>
          </w:rPr>
          <w:delText> </w:delText>
        </w:r>
        <w:r>
          <w:rPr>
            <w:rStyle w:val="normaltextrun"/>
            <w:shd w:val="clear" w:color="auto" w:fill="FFFFFF"/>
          </w:rPr>
          <w:delText>týdnu 52 byly klinická remise podle FMS u pacientů s odpovědí v </w:delText>
        </w:r>
        <w:r w:rsidRPr="00BC5CBC">
          <w:rPr>
            <w:rStyle w:val="normaltextrun"/>
            <w:shd w:val="clear" w:color="auto" w:fill="FFFFFF"/>
          </w:rPr>
          <w:delText>týdnu 8</w:delText>
        </w:r>
        <w:r>
          <w:rPr>
            <w:rStyle w:val="normaltextrun"/>
            <w:shd w:val="clear" w:color="auto" w:fill="FFFFFF"/>
          </w:rPr>
          <w:delText>, klinická odpověď podle FMS (definovaná jako snížení Mayo skóre o ≥ 3 body</w:delText>
        </w:r>
        <w:r w:rsidR="002378E0">
          <w:rPr>
            <w:rStyle w:val="normaltextrun"/>
            <w:shd w:val="clear" w:color="auto" w:fill="FFFFFF"/>
          </w:rPr>
          <w:delText xml:space="preserve"> a </w:delText>
        </w:r>
        <w:r>
          <w:rPr>
            <w:rStyle w:val="normaltextrun"/>
            <w:shd w:val="clear" w:color="auto" w:fill="FFFFFF"/>
          </w:rPr>
          <w:delText>≥ 30</w:delText>
        </w:r>
        <w:r w:rsidR="00A57F08">
          <w:rPr>
            <w:rStyle w:val="normaltextrun"/>
          </w:rPr>
          <w:delText> </w:delText>
        </w:r>
        <w:r>
          <w:rPr>
            <w:rStyle w:val="normaltextrun"/>
            <w:shd w:val="clear" w:color="auto" w:fill="FFFFFF"/>
          </w:rPr>
          <w:delText>% oproti výchozím hodnotám) u pacientů s odpovědí v </w:delText>
        </w:r>
        <w:r w:rsidRPr="00BC5CBC">
          <w:rPr>
            <w:rStyle w:val="normaltextrun"/>
            <w:shd w:val="clear" w:color="auto" w:fill="FFFFFF"/>
          </w:rPr>
          <w:delText>týdnu 8</w:delText>
        </w:r>
        <w:r>
          <w:rPr>
            <w:rStyle w:val="normaltextrun"/>
            <w:shd w:val="clear" w:color="auto" w:fill="FFFFFF"/>
          </w:rPr>
          <w:delText xml:space="preserve">, zhojení sliznice (definováno jako Mayo </w:delText>
        </w:r>
        <w:r w:rsidR="007A11FF">
          <w:rPr>
            <w:rStyle w:val="normaltextrun"/>
            <w:shd w:val="clear" w:color="auto" w:fill="FFFFFF"/>
          </w:rPr>
          <w:delText>pod</w:delText>
        </w:r>
        <w:r>
          <w:rPr>
            <w:rStyle w:val="normaltextrun"/>
            <w:shd w:val="clear" w:color="auto" w:fill="FFFFFF"/>
          </w:rPr>
          <w:delText>skóre endoskopie ≤ 1) u pacientů s odpovědí v </w:delText>
        </w:r>
        <w:r w:rsidRPr="00BC5CBC">
          <w:rPr>
            <w:rStyle w:val="normaltextrun"/>
            <w:shd w:val="clear" w:color="auto" w:fill="FFFFFF"/>
          </w:rPr>
          <w:delText>týdnu 8</w:delText>
        </w:r>
        <w:r>
          <w:rPr>
            <w:rStyle w:val="normaltextrun"/>
            <w:shd w:val="clear" w:color="auto" w:fill="FFFFFF"/>
          </w:rPr>
          <w:delText>, klinická remise podle FMS u pacientů s remisí v </w:delText>
        </w:r>
        <w:r w:rsidRPr="00BC5CBC">
          <w:rPr>
            <w:rStyle w:val="normaltextrun"/>
            <w:shd w:val="clear" w:color="auto" w:fill="FFFFFF"/>
          </w:rPr>
          <w:delText>týdnu 8</w:delText>
        </w:r>
        <w:r w:rsidR="002378E0">
          <w:rPr>
            <w:rStyle w:val="normaltextrun"/>
            <w:shd w:val="clear" w:color="auto" w:fill="FFFFFF"/>
          </w:rPr>
          <w:delText xml:space="preserve"> a </w:delText>
        </w:r>
        <w:r>
          <w:rPr>
            <w:rStyle w:val="normaltextrun"/>
            <w:shd w:val="clear" w:color="auto" w:fill="FFFFFF"/>
          </w:rPr>
          <w:delText>podíl subjektů v remisi bez kortikosteroidů podle FMS v </w:delText>
        </w:r>
        <w:r w:rsidRPr="00BC5CBC">
          <w:rPr>
            <w:rStyle w:val="normaltextrun"/>
            <w:shd w:val="clear" w:color="auto" w:fill="FFFFFF"/>
          </w:rPr>
          <w:delText>týdnu 8</w:delText>
        </w:r>
        <w:r>
          <w:rPr>
            <w:rStyle w:val="normaltextrun"/>
            <w:shd w:val="clear" w:color="auto" w:fill="FFFFFF"/>
          </w:rPr>
          <w:delText xml:space="preserve"> hodnoceny u pacientů, kteří dostávali přípravek Humira v dvojitě zaslepené maximální udržovací dávce 40</w:delText>
        </w:r>
        <w:r w:rsidR="00294902" w:rsidRPr="00005EC2">
          <w:rPr>
            <w:szCs w:val="22"/>
          </w:rPr>
          <w:delText> </w:delText>
        </w:r>
        <w:r>
          <w:rPr>
            <w:rStyle w:val="normaltextrun"/>
            <w:shd w:val="clear" w:color="auto" w:fill="FFFFFF"/>
          </w:rPr>
          <w:delText xml:space="preserve">mg </w:delText>
        </w:r>
        <w:r w:rsidR="00107A9D">
          <w:delText>jednou za dva týdny</w:delText>
        </w:r>
        <w:r w:rsidR="00107A9D">
          <w:rPr>
            <w:rStyle w:val="spellingerror"/>
            <w:shd w:val="clear" w:color="auto" w:fill="FFFFFF"/>
          </w:rPr>
          <w:delText xml:space="preserve"> </w:delText>
        </w:r>
        <w:r>
          <w:rPr>
            <w:rStyle w:val="normaltextrun"/>
            <w:shd w:val="clear" w:color="auto" w:fill="FFFFFF"/>
          </w:rPr>
          <w:delText>(0,6</w:delText>
        </w:r>
        <w:r w:rsidR="00D22A5D">
          <w:rPr>
            <w:rStyle w:val="normaltextrun"/>
            <w:shd w:val="clear" w:color="auto" w:fill="FFFFFF"/>
          </w:rPr>
          <w:delText> </w:delText>
        </w:r>
        <w:r>
          <w:rPr>
            <w:rStyle w:val="normaltextrun"/>
            <w:shd w:val="clear" w:color="auto" w:fill="FFFFFF"/>
          </w:rPr>
          <w:delText>mg/kg)</w:delText>
        </w:r>
        <w:r w:rsidR="002378E0">
          <w:rPr>
            <w:rStyle w:val="normaltextrun"/>
            <w:shd w:val="clear" w:color="auto" w:fill="FFFFFF"/>
          </w:rPr>
          <w:delText xml:space="preserve"> a </w:delText>
        </w:r>
        <w:r>
          <w:rPr>
            <w:rStyle w:val="normaltextrun"/>
            <w:shd w:val="clear" w:color="auto" w:fill="FFFFFF"/>
          </w:rPr>
          <w:delText>maximální udržovací dávce 40</w:delText>
        </w:r>
        <w:r w:rsidR="00294902" w:rsidRPr="00005EC2">
          <w:rPr>
            <w:szCs w:val="22"/>
          </w:rPr>
          <w:delText> </w:delText>
        </w:r>
        <w:r>
          <w:rPr>
            <w:rStyle w:val="normaltextrun"/>
            <w:shd w:val="clear" w:color="auto" w:fill="FFFFFF"/>
          </w:rPr>
          <w:delText xml:space="preserve">mg </w:delText>
        </w:r>
        <w:r w:rsidR="00107A9D">
          <w:delText>každý týden</w:delText>
        </w:r>
        <w:r w:rsidR="00107A9D">
          <w:rPr>
            <w:rStyle w:val="normaltextrun"/>
            <w:shd w:val="clear" w:color="auto" w:fill="FFFFFF"/>
          </w:rPr>
          <w:delText xml:space="preserve"> </w:delText>
        </w:r>
        <w:r>
          <w:rPr>
            <w:rStyle w:val="normaltextrun"/>
            <w:shd w:val="clear" w:color="auto" w:fill="FFFFFF"/>
          </w:rPr>
          <w:delText>(0,6</w:delText>
        </w:r>
        <w:r w:rsidR="00294902" w:rsidRPr="00005EC2">
          <w:rPr>
            <w:szCs w:val="22"/>
          </w:rPr>
          <w:delText> </w:delText>
        </w:r>
        <w:r>
          <w:rPr>
            <w:rStyle w:val="normaltextrun"/>
            <w:shd w:val="clear" w:color="auto" w:fill="FFFFFF"/>
          </w:rPr>
          <w:delText>mg/kg) (tabulka 27).</w:delText>
        </w:r>
      </w:del>
    </w:p>
    <w:p w14:paraId="07D04284" w14:textId="77777777" w:rsidR="00385CE1" w:rsidRPr="00D01607" w:rsidRDefault="00385CE1" w:rsidP="00385CE1">
      <w:pPr>
        <w:rPr>
          <w:del w:id="3343" w:author="AbbVie1" w:date="2025-05-13T09:50:00Z"/>
        </w:rPr>
      </w:pPr>
    </w:p>
    <w:p w14:paraId="5B94755A" w14:textId="77777777" w:rsidR="00385CE1" w:rsidRPr="00D01607" w:rsidRDefault="00000000" w:rsidP="00ED5CFE">
      <w:pPr>
        <w:keepNext/>
        <w:ind w:left="0" w:firstLine="0"/>
        <w:jc w:val="center"/>
        <w:textAlignment w:val="baseline"/>
        <w:rPr>
          <w:del w:id="3344" w:author="AbbVie1" w:date="2025-05-13T09:50:00Z"/>
        </w:rPr>
      </w:pPr>
      <w:del w:id="3345" w:author="AbbVie1" w:date="2025-05-13T09:50:00Z">
        <w:r>
          <w:rPr>
            <w:b/>
          </w:rPr>
          <w:delText>Tabulka 27:</w:delText>
        </w:r>
        <w:r>
          <w:delText xml:space="preserve"> </w:delText>
        </w:r>
        <w:r>
          <w:rPr>
            <w:b/>
          </w:rPr>
          <w:delText>Výsledky účinnosti po 52 týdnech</w:delText>
        </w:r>
      </w:del>
    </w:p>
    <w:p w14:paraId="6966EEC3" w14:textId="77777777" w:rsidR="00385CE1" w:rsidRPr="00D01607" w:rsidRDefault="00385CE1" w:rsidP="00ED5CFE">
      <w:pPr>
        <w:keepNext/>
        <w:ind w:left="0" w:firstLine="0"/>
        <w:jc w:val="center"/>
        <w:textAlignment w:val="baseline"/>
        <w:rPr>
          <w:del w:id="3346" w:author="AbbVie1" w:date="2025-05-13T09:50:00Z"/>
          <w:lang w:eastAsia="en-GB"/>
        </w:rPr>
      </w:pP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5"/>
        <w:gridCol w:w="2850"/>
        <w:gridCol w:w="2850"/>
      </w:tblGrid>
      <w:tr w:rsidR="00534A2D" w14:paraId="03B60EC9" w14:textId="77777777" w:rsidTr="008102BE">
        <w:trPr>
          <w:trHeight w:val="912"/>
          <w:jc w:val="center"/>
          <w:del w:id="3347" w:author="AbbVie1" w:date="2025-05-13T09:50:00Z"/>
        </w:trPr>
        <w:tc>
          <w:tcPr>
            <w:tcW w:w="3355" w:type="dxa"/>
            <w:tcBorders>
              <w:top w:val="single" w:sz="6" w:space="0" w:color="auto"/>
              <w:left w:val="single" w:sz="6" w:space="0" w:color="auto"/>
              <w:bottom w:val="single" w:sz="6" w:space="0" w:color="auto"/>
              <w:right w:val="single" w:sz="6" w:space="0" w:color="auto"/>
            </w:tcBorders>
            <w:shd w:val="clear" w:color="auto" w:fill="auto"/>
            <w:hideMark/>
          </w:tcPr>
          <w:p w14:paraId="2CE28C5A" w14:textId="77777777" w:rsidR="00385CE1" w:rsidRPr="00D01607" w:rsidRDefault="00385CE1" w:rsidP="008401F1">
            <w:pPr>
              <w:jc w:val="center"/>
              <w:textAlignment w:val="baseline"/>
              <w:rPr>
                <w:del w:id="3348" w:author="AbbVie1" w:date="2025-05-13T09:50:00Z"/>
                <w:lang w:eastAsia="en-GB"/>
              </w:rPr>
            </w:pPr>
          </w:p>
        </w:tc>
        <w:tc>
          <w:tcPr>
            <w:tcW w:w="2850" w:type="dxa"/>
            <w:tcBorders>
              <w:top w:val="single" w:sz="6" w:space="0" w:color="auto"/>
              <w:left w:val="nil"/>
              <w:bottom w:val="single" w:sz="6" w:space="0" w:color="auto"/>
              <w:right w:val="single" w:sz="6" w:space="0" w:color="auto"/>
            </w:tcBorders>
            <w:shd w:val="clear" w:color="auto" w:fill="auto"/>
            <w:vAlign w:val="center"/>
            <w:hideMark/>
          </w:tcPr>
          <w:p w14:paraId="0A2F268D" w14:textId="77777777" w:rsidR="00385CE1" w:rsidRPr="00D01607" w:rsidRDefault="00000000" w:rsidP="00ED5CFE">
            <w:pPr>
              <w:ind w:left="0" w:firstLine="0"/>
              <w:jc w:val="center"/>
              <w:textAlignment w:val="baseline"/>
              <w:rPr>
                <w:del w:id="3349" w:author="AbbVie1" w:date="2025-05-13T09:50:00Z"/>
              </w:rPr>
            </w:pPr>
            <w:del w:id="3350" w:author="AbbVie1" w:date="2025-05-13T09:50:00Z">
              <w:r>
                <w:rPr>
                  <w:b/>
                </w:rPr>
                <w:delText>Humira</w:delText>
              </w:r>
              <w:r>
                <w:rPr>
                  <w:b/>
                  <w:vertAlign w:val="superscript"/>
                </w:rPr>
                <w:delText>a</w:delText>
              </w:r>
            </w:del>
          </w:p>
          <w:p w14:paraId="4DE69822" w14:textId="77777777" w:rsidR="00385CE1" w:rsidRPr="00D01607" w:rsidRDefault="00000000" w:rsidP="00ED5CFE">
            <w:pPr>
              <w:ind w:left="0" w:firstLine="0"/>
              <w:jc w:val="center"/>
              <w:textAlignment w:val="baseline"/>
              <w:rPr>
                <w:del w:id="3351" w:author="AbbVie1" w:date="2025-05-13T09:50:00Z"/>
              </w:rPr>
            </w:pPr>
            <w:del w:id="3352" w:author="AbbVie1" w:date="2025-05-13T09:50:00Z">
              <w:r>
                <w:rPr>
                  <w:b/>
                </w:rPr>
                <w:delText>Maximálně 40</w:delText>
              </w:r>
              <w:r w:rsidR="00294902" w:rsidRPr="00005EC2">
                <w:rPr>
                  <w:szCs w:val="22"/>
                </w:rPr>
                <w:delText> </w:delText>
              </w:r>
              <w:r>
                <w:rPr>
                  <w:b/>
                </w:rPr>
                <w:delText>mg</w:delText>
              </w:r>
              <w:r>
                <w:delText xml:space="preserve"> </w:delText>
              </w:r>
              <w:r>
                <w:rPr>
                  <w:b/>
                </w:rPr>
                <w:delText>jednou za</w:delText>
              </w:r>
              <w:r w:rsidR="00294902" w:rsidRPr="00005EC2">
                <w:rPr>
                  <w:szCs w:val="22"/>
                </w:rPr>
                <w:delText> </w:delText>
              </w:r>
              <w:r>
                <w:rPr>
                  <w:b/>
                </w:rPr>
                <w:delText>dva týdny</w:delText>
              </w:r>
            </w:del>
          </w:p>
          <w:p w14:paraId="226730F0" w14:textId="77777777" w:rsidR="00385CE1" w:rsidRPr="00D01607" w:rsidRDefault="00000000" w:rsidP="00ED5CFE">
            <w:pPr>
              <w:ind w:left="0" w:firstLine="0"/>
              <w:jc w:val="center"/>
              <w:textAlignment w:val="baseline"/>
              <w:rPr>
                <w:del w:id="3353" w:author="AbbVie1" w:date="2025-05-13T09:50:00Z"/>
              </w:rPr>
            </w:pPr>
            <w:del w:id="3354" w:author="AbbVie1" w:date="2025-05-13T09:50:00Z">
              <w:r>
                <w:delText>n=31</w:delText>
              </w:r>
            </w:del>
          </w:p>
        </w:tc>
        <w:tc>
          <w:tcPr>
            <w:tcW w:w="2850" w:type="dxa"/>
            <w:tcBorders>
              <w:top w:val="single" w:sz="6" w:space="0" w:color="auto"/>
              <w:left w:val="nil"/>
              <w:bottom w:val="single" w:sz="6" w:space="0" w:color="auto"/>
              <w:right w:val="single" w:sz="6" w:space="0" w:color="auto"/>
            </w:tcBorders>
            <w:shd w:val="clear" w:color="auto" w:fill="auto"/>
            <w:vAlign w:val="center"/>
            <w:hideMark/>
          </w:tcPr>
          <w:p w14:paraId="6BCD1FD5" w14:textId="77777777" w:rsidR="00385CE1" w:rsidRPr="00D01607" w:rsidRDefault="00000000" w:rsidP="00ED5CFE">
            <w:pPr>
              <w:ind w:left="0" w:firstLine="0"/>
              <w:jc w:val="center"/>
              <w:textAlignment w:val="baseline"/>
              <w:rPr>
                <w:del w:id="3355" w:author="AbbVie1" w:date="2025-05-13T09:50:00Z"/>
              </w:rPr>
            </w:pPr>
            <w:del w:id="3356" w:author="AbbVie1" w:date="2025-05-13T09:50:00Z">
              <w:r>
                <w:rPr>
                  <w:b/>
                </w:rPr>
                <w:delText>Humira</w:delText>
              </w:r>
              <w:r>
                <w:rPr>
                  <w:b/>
                  <w:vertAlign w:val="superscript"/>
                </w:rPr>
                <w:delText>b</w:delText>
              </w:r>
            </w:del>
          </w:p>
          <w:p w14:paraId="374B1482" w14:textId="77777777" w:rsidR="00385CE1" w:rsidRPr="00D01607" w:rsidRDefault="00000000" w:rsidP="00ED5CFE">
            <w:pPr>
              <w:ind w:left="0" w:firstLine="0"/>
              <w:jc w:val="center"/>
              <w:textAlignment w:val="baseline"/>
              <w:rPr>
                <w:del w:id="3357" w:author="AbbVie1" w:date="2025-05-13T09:50:00Z"/>
              </w:rPr>
            </w:pPr>
            <w:del w:id="3358" w:author="AbbVie1" w:date="2025-05-13T09:50:00Z">
              <w:r>
                <w:rPr>
                  <w:b/>
                </w:rPr>
                <w:delText>Maximálně 40</w:delText>
              </w:r>
              <w:r w:rsidR="00294902" w:rsidRPr="00005EC2">
                <w:rPr>
                  <w:szCs w:val="22"/>
                </w:rPr>
                <w:delText> </w:delText>
              </w:r>
              <w:r>
                <w:rPr>
                  <w:b/>
                </w:rPr>
                <w:delText>mg</w:delText>
              </w:r>
              <w:r>
                <w:delText xml:space="preserve"> </w:delText>
              </w:r>
              <w:r>
                <w:rPr>
                  <w:b/>
                </w:rPr>
                <w:delText>jednou týdně</w:delText>
              </w:r>
            </w:del>
          </w:p>
          <w:p w14:paraId="565E88E1" w14:textId="77777777" w:rsidR="00385CE1" w:rsidRPr="00D01607" w:rsidRDefault="00000000" w:rsidP="00ED5CFE">
            <w:pPr>
              <w:ind w:left="0" w:firstLine="0"/>
              <w:jc w:val="center"/>
              <w:textAlignment w:val="baseline"/>
              <w:rPr>
                <w:del w:id="3359" w:author="AbbVie1" w:date="2025-05-13T09:50:00Z"/>
              </w:rPr>
            </w:pPr>
            <w:del w:id="3360" w:author="AbbVie1" w:date="2025-05-13T09:50:00Z">
              <w:r>
                <w:delText>n=31</w:delText>
              </w:r>
            </w:del>
          </w:p>
        </w:tc>
      </w:tr>
      <w:tr w:rsidR="00534A2D" w14:paraId="0F9DB1F4" w14:textId="77777777" w:rsidTr="008102BE">
        <w:trPr>
          <w:trHeight w:val="570"/>
          <w:jc w:val="center"/>
          <w:del w:id="3361" w:author="AbbVie1" w:date="2025-05-13T09:50:00Z"/>
        </w:trPr>
        <w:tc>
          <w:tcPr>
            <w:tcW w:w="3355" w:type="dxa"/>
            <w:tcBorders>
              <w:top w:val="nil"/>
              <w:left w:val="single" w:sz="6" w:space="0" w:color="auto"/>
              <w:bottom w:val="single" w:sz="6" w:space="0" w:color="auto"/>
              <w:right w:val="single" w:sz="6" w:space="0" w:color="auto"/>
            </w:tcBorders>
            <w:shd w:val="clear" w:color="auto" w:fill="auto"/>
            <w:vAlign w:val="center"/>
            <w:hideMark/>
          </w:tcPr>
          <w:p w14:paraId="7A61EFD6" w14:textId="77777777" w:rsidR="00385CE1" w:rsidRPr="00D01607" w:rsidRDefault="00000000" w:rsidP="008401F1">
            <w:pPr>
              <w:ind w:left="130" w:firstLine="0"/>
              <w:textAlignment w:val="baseline"/>
              <w:rPr>
                <w:del w:id="3362" w:author="AbbVie1" w:date="2025-05-13T09:50:00Z"/>
              </w:rPr>
            </w:pPr>
            <w:del w:id="3363" w:author="AbbVie1" w:date="2025-05-13T09:50:00Z">
              <w:r>
                <w:delText>Klinická remise u pacientů s odpovědí s PMS v </w:delText>
              </w:r>
              <w:r w:rsidRPr="00BC5CBC">
                <w:delText>týdnu 8</w:delText>
              </w:r>
            </w:del>
          </w:p>
        </w:tc>
        <w:tc>
          <w:tcPr>
            <w:tcW w:w="2850" w:type="dxa"/>
            <w:tcBorders>
              <w:top w:val="nil"/>
              <w:left w:val="nil"/>
              <w:bottom w:val="single" w:sz="6" w:space="0" w:color="auto"/>
              <w:right w:val="single" w:sz="6" w:space="0" w:color="auto"/>
            </w:tcBorders>
            <w:shd w:val="clear" w:color="auto" w:fill="auto"/>
            <w:vAlign w:val="center"/>
            <w:hideMark/>
          </w:tcPr>
          <w:p w14:paraId="1A3AD523" w14:textId="77777777" w:rsidR="00385CE1" w:rsidRPr="00D01607" w:rsidRDefault="00000000" w:rsidP="008401F1">
            <w:pPr>
              <w:jc w:val="center"/>
              <w:textAlignment w:val="baseline"/>
              <w:rPr>
                <w:del w:id="3364" w:author="AbbVie1" w:date="2025-05-13T09:50:00Z"/>
              </w:rPr>
            </w:pPr>
            <w:del w:id="3365" w:author="AbbVie1" w:date="2025-05-13T09:50:00Z">
              <w:r>
                <w:delText>9/31 (29,0 %) </w:delText>
              </w:r>
            </w:del>
          </w:p>
        </w:tc>
        <w:tc>
          <w:tcPr>
            <w:tcW w:w="2850" w:type="dxa"/>
            <w:tcBorders>
              <w:top w:val="nil"/>
              <w:left w:val="nil"/>
              <w:bottom w:val="single" w:sz="6" w:space="0" w:color="auto"/>
              <w:right w:val="single" w:sz="6" w:space="0" w:color="auto"/>
            </w:tcBorders>
            <w:shd w:val="clear" w:color="auto" w:fill="auto"/>
            <w:vAlign w:val="center"/>
            <w:hideMark/>
          </w:tcPr>
          <w:p w14:paraId="5E0F64DF" w14:textId="77777777" w:rsidR="00385CE1" w:rsidRPr="00D01607" w:rsidRDefault="00000000" w:rsidP="008401F1">
            <w:pPr>
              <w:jc w:val="center"/>
              <w:textAlignment w:val="baseline"/>
              <w:rPr>
                <w:del w:id="3366" w:author="AbbVie1" w:date="2025-05-13T09:50:00Z"/>
              </w:rPr>
            </w:pPr>
            <w:del w:id="3367" w:author="AbbVie1" w:date="2025-05-13T09:50:00Z">
              <w:r>
                <w:delText>14/31 (45,2 %)</w:delText>
              </w:r>
            </w:del>
          </w:p>
        </w:tc>
      </w:tr>
      <w:tr w:rsidR="00534A2D" w14:paraId="6D37A349" w14:textId="77777777" w:rsidTr="008102BE">
        <w:trPr>
          <w:trHeight w:val="555"/>
          <w:jc w:val="center"/>
          <w:del w:id="3368" w:author="AbbVie1" w:date="2025-05-13T09:50:00Z"/>
        </w:trPr>
        <w:tc>
          <w:tcPr>
            <w:tcW w:w="3355" w:type="dxa"/>
            <w:tcBorders>
              <w:top w:val="nil"/>
              <w:left w:val="single" w:sz="6" w:space="0" w:color="auto"/>
              <w:bottom w:val="single" w:sz="6" w:space="0" w:color="auto"/>
              <w:right w:val="single" w:sz="6" w:space="0" w:color="auto"/>
            </w:tcBorders>
            <w:shd w:val="clear" w:color="auto" w:fill="auto"/>
            <w:vAlign w:val="center"/>
            <w:hideMark/>
          </w:tcPr>
          <w:p w14:paraId="2FC0A98B" w14:textId="77777777" w:rsidR="00385CE1" w:rsidRPr="00D01607" w:rsidRDefault="00000000" w:rsidP="008401F1">
            <w:pPr>
              <w:ind w:left="130" w:firstLine="0"/>
              <w:textAlignment w:val="baseline"/>
              <w:rPr>
                <w:del w:id="3369" w:author="AbbVie1" w:date="2025-05-13T09:50:00Z"/>
              </w:rPr>
            </w:pPr>
            <w:del w:id="3370" w:author="AbbVie1" w:date="2025-05-13T09:50:00Z">
              <w:r>
                <w:delText>Klinická odpověď u pacientů s odpovědí s PMS v </w:delText>
              </w:r>
              <w:r w:rsidRPr="00BC5CBC">
                <w:delText>týdnu 8</w:delText>
              </w:r>
            </w:del>
          </w:p>
        </w:tc>
        <w:tc>
          <w:tcPr>
            <w:tcW w:w="2850" w:type="dxa"/>
            <w:tcBorders>
              <w:top w:val="nil"/>
              <w:left w:val="nil"/>
              <w:bottom w:val="single" w:sz="6" w:space="0" w:color="auto"/>
              <w:right w:val="single" w:sz="6" w:space="0" w:color="auto"/>
            </w:tcBorders>
            <w:shd w:val="clear" w:color="auto" w:fill="auto"/>
            <w:vAlign w:val="center"/>
            <w:hideMark/>
          </w:tcPr>
          <w:p w14:paraId="0D35136A" w14:textId="77777777" w:rsidR="00385CE1" w:rsidRPr="00D01607" w:rsidRDefault="00000000" w:rsidP="008401F1">
            <w:pPr>
              <w:jc w:val="center"/>
              <w:textAlignment w:val="baseline"/>
              <w:rPr>
                <w:del w:id="3371" w:author="AbbVie1" w:date="2025-05-13T09:50:00Z"/>
              </w:rPr>
            </w:pPr>
            <w:del w:id="3372" w:author="AbbVie1" w:date="2025-05-13T09:50:00Z">
              <w:r>
                <w:delText>19/31 (61,3 %) </w:delText>
              </w:r>
            </w:del>
          </w:p>
        </w:tc>
        <w:tc>
          <w:tcPr>
            <w:tcW w:w="2850" w:type="dxa"/>
            <w:tcBorders>
              <w:top w:val="nil"/>
              <w:left w:val="nil"/>
              <w:bottom w:val="single" w:sz="6" w:space="0" w:color="auto"/>
              <w:right w:val="single" w:sz="6" w:space="0" w:color="auto"/>
            </w:tcBorders>
            <w:shd w:val="clear" w:color="auto" w:fill="auto"/>
            <w:vAlign w:val="center"/>
            <w:hideMark/>
          </w:tcPr>
          <w:p w14:paraId="48367BC9" w14:textId="77777777" w:rsidR="00385CE1" w:rsidRPr="00D01607" w:rsidRDefault="00000000" w:rsidP="008401F1">
            <w:pPr>
              <w:jc w:val="center"/>
              <w:textAlignment w:val="baseline"/>
              <w:rPr>
                <w:del w:id="3373" w:author="AbbVie1" w:date="2025-05-13T09:50:00Z"/>
              </w:rPr>
            </w:pPr>
            <w:del w:id="3374" w:author="AbbVie1" w:date="2025-05-13T09:50:00Z">
              <w:r>
                <w:delText>21/31 (67,7 %) </w:delText>
              </w:r>
            </w:del>
          </w:p>
        </w:tc>
      </w:tr>
      <w:tr w:rsidR="00534A2D" w14:paraId="12C0F5B1" w14:textId="77777777" w:rsidTr="008102BE">
        <w:trPr>
          <w:jc w:val="center"/>
          <w:del w:id="3375" w:author="AbbVie1" w:date="2025-05-13T09:50:00Z"/>
        </w:trPr>
        <w:tc>
          <w:tcPr>
            <w:tcW w:w="3355" w:type="dxa"/>
            <w:tcBorders>
              <w:top w:val="nil"/>
              <w:left w:val="single" w:sz="6" w:space="0" w:color="auto"/>
              <w:bottom w:val="single" w:sz="6" w:space="0" w:color="auto"/>
              <w:right w:val="single" w:sz="6" w:space="0" w:color="auto"/>
            </w:tcBorders>
            <w:shd w:val="clear" w:color="auto" w:fill="auto"/>
            <w:vAlign w:val="center"/>
            <w:hideMark/>
          </w:tcPr>
          <w:p w14:paraId="0A801C7C" w14:textId="77777777" w:rsidR="00385CE1" w:rsidRPr="00D01607" w:rsidRDefault="00000000" w:rsidP="008401F1">
            <w:pPr>
              <w:ind w:left="130" w:firstLine="0"/>
              <w:textAlignment w:val="baseline"/>
              <w:rPr>
                <w:del w:id="3376" w:author="AbbVie1" w:date="2025-05-13T09:50:00Z"/>
              </w:rPr>
            </w:pPr>
            <w:del w:id="3377" w:author="AbbVie1" w:date="2025-05-13T09:50:00Z">
              <w:r>
                <w:delText>Zhojení sliznice u pacientů s odpovědí s PMS v </w:delText>
              </w:r>
              <w:r w:rsidRPr="00BC5CBC">
                <w:delText>týdnu 8</w:delText>
              </w:r>
            </w:del>
          </w:p>
        </w:tc>
        <w:tc>
          <w:tcPr>
            <w:tcW w:w="2850" w:type="dxa"/>
            <w:tcBorders>
              <w:top w:val="nil"/>
              <w:left w:val="nil"/>
              <w:bottom w:val="single" w:sz="6" w:space="0" w:color="auto"/>
              <w:right w:val="single" w:sz="6" w:space="0" w:color="auto"/>
            </w:tcBorders>
            <w:shd w:val="clear" w:color="auto" w:fill="auto"/>
            <w:vAlign w:val="center"/>
            <w:hideMark/>
          </w:tcPr>
          <w:p w14:paraId="6FD1895A" w14:textId="77777777" w:rsidR="00385CE1" w:rsidRPr="00D01607" w:rsidRDefault="00000000" w:rsidP="008401F1">
            <w:pPr>
              <w:jc w:val="center"/>
              <w:textAlignment w:val="baseline"/>
              <w:rPr>
                <w:del w:id="3378" w:author="AbbVie1" w:date="2025-05-13T09:50:00Z"/>
              </w:rPr>
            </w:pPr>
            <w:del w:id="3379" w:author="AbbVie1" w:date="2025-05-13T09:50:00Z">
              <w:r>
                <w:delText>12/31 (38,7 %) </w:delText>
              </w:r>
            </w:del>
          </w:p>
        </w:tc>
        <w:tc>
          <w:tcPr>
            <w:tcW w:w="2850" w:type="dxa"/>
            <w:tcBorders>
              <w:top w:val="nil"/>
              <w:left w:val="nil"/>
              <w:bottom w:val="single" w:sz="6" w:space="0" w:color="auto"/>
              <w:right w:val="single" w:sz="6" w:space="0" w:color="auto"/>
            </w:tcBorders>
            <w:shd w:val="clear" w:color="auto" w:fill="auto"/>
            <w:vAlign w:val="center"/>
            <w:hideMark/>
          </w:tcPr>
          <w:p w14:paraId="548F2666" w14:textId="77777777" w:rsidR="00385CE1" w:rsidRPr="00D01607" w:rsidRDefault="00000000" w:rsidP="008401F1">
            <w:pPr>
              <w:jc w:val="center"/>
              <w:textAlignment w:val="baseline"/>
              <w:rPr>
                <w:del w:id="3380" w:author="AbbVie1" w:date="2025-05-13T09:50:00Z"/>
              </w:rPr>
            </w:pPr>
            <w:del w:id="3381" w:author="AbbVie1" w:date="2025-05-13T09:50:00Z">
              <w:r>
                <w:delText>16/31 (51,6 %) </w:delText>
              </w:r>
            </w:del>
          </w:p>
        </w:tc>
      </w:tr>
      <w:tr w:rsidR="00534A2D" w14:paraId="401AF445" w14:textId="77777777" w:rsidTr="008102BE">
        <w:trPr>
          <w:jc w:val="center"/>
          <w:del w:id="3382" w:author="AbbVie1" w:date="2025-05-13T09:50:00Z"/>
        </w:trPr>
        <w:tc>
          <w:tcPr>
            <w:tcW w:w="3355" w:type="dxa"/>
            <w:tcBorders>
              <w:top w:val="nil"/>
              <w:left w:val="single" w:sz="6" w:space="0" w:color="auto"/>
              <w:bottom w:val="single" w:sz="6" w:space="0" w:color="auto"/>
              <w:right w:val="single" w:sz="6" w:space="0" w:color="auto"/>
            </w:tcBorders>
            <w:shd w:val="clear" w:color="auto" w:fill="auto"/>
            <w:vAlign w:val="center"/>
            <w:hideMark/>
          </w:tcPr>
          <w:p w14:paraId="0F9E4A97" w14:textId="77777777" w:rsidR="00385CE1" w:rsidRPr="00D01607" w:rsidRDefault="00000000" w:rsidP="008401F1">
            <w:pPr>
              <w:ind w:left="130" w:firstLine="0"/>
              <w:textAlignment w:val="baseline"/>
              <w:rPr>
                <w:del w:id="3383" w:author="AbbVie1" w:date="2025-05-13T09:50:00Z"/>
              </w:rPr>
            </w:pPr>
            <w:del w:id="3384" w:author="AbbVie1" w:date="2025-05-13T09:50:00Z">
              <w:r>
                <w:delText>Klinická remise u pacientů s remisí s PMS v </w:delText>
              </w:r>
              <w:r w:rsidRPr="00BC5CBC">
                <w:delText>týdnu 8</w:delText>
              </w:r>
            </w:del>
          </w:p>
        </w:tc>
        <w:tc>
          <w:tcPr>
            <w:tcW w:w="2850" w:type="dxa"/>
            <w:tcBorders>
              <w:top w:val="nil"/>
              <w:left w:val="nil"/>
              <w:bottom w:val="single" w:sz="6" w:space="0" w:color="auto"/>
              <w:right w:val="single" w:sz="6" w:space="0" w:color="auto"/>
            </w:tcBorders>
            <w:shd w:val="clear" w:color="auto" w:fill="auto"/>
            <w:vAlign w:val="center"/>
            <w:hideMark/>
          </w:tcPr>
          <w:p w14:paraId="46A03AAD" w14:textId="77777777" w:rsidR="00385CE1" w:rsidRPr="00D01607" w:rsidRDefault="00000000" w:rsidP="008401F1">
            <w:pPr>
              <w:jc w:val="center"/>
              <w:textAlignment w:val="baseline"/>
              <w:rPr>
                <w:del w:id="3385" w:author="AbbVie1" w:date="2025-05-13T09:50:00Z"/>
              </w:rPr>
            </w:pPr>
            <w:del w:id="3386" w:author="AbbVie1" w:date="2025-05-13T09:50:00Z">
              <w:r>
                <w:delText>9/21 (42,9 %) </w:delText>
              </w:r>
            </w:del>
          </w:p>
        </w:tc>
        <w:tc>
          <w:tcPr>
            <w:tcW w:w="2850" w:type="dxa"/>
            <w:tcBorders>
              <w:top w:val="nil"/>
              <w:left w:val="nil"/>
              <w:bottom w:val="single" w:sz="6" w:space="0" w:color="auto"/>
              <w:right w:val="single" w:sz="6" w:space="0" w:color="auto"/>
            </w:tcBorders>
            <w:shd w:val="clear" w:color="auto" w:fill="auto"/>
            <w:vAlign w:val="center"/>
            <w:hideMark/>
          </w:tcPr>
          <w:p w14:paraId="0BF7E50E" w14:textId="77777777" w:rsidR="00385CE1" w:rsidRPr="00D01607" w:rsidRDefault="00000000" w:rsidP="008401F1">
            <w:pPr>
              <w:jc w:val="center"/>
              <w:textAlignment w:val="baseline"/>
              <w:rPr>
                <w:del w:id="3387" w:author="AbbVie1" w:date="2025-05-13T09:50:00Z"/>
              </w:rPr>
            </w:pPr>
            <w:del w:id="3388" w:author="AbbVie1" w:date="2025-05-13T09:50:00Z">
              <w:r>
                <w:delText>10/22 (45,5 %) </w:delText>
              </w:r>
            </w:del>
          </w:p>
        </w:tc>
      </w:tr>
      <w:tr w:rsidR="00534A2D" w14:paraId="1679EF82" w14:textId="77777777" w:rsidTr="008102BE">
        <w:trPr>
          <w:jc w:val="center"/>
          <w:del w:id="3389" w:author="AbbVie1" w:date="2025-05-13T09:50:00Z"/>
        </w:trPr>
        <w:tc>
          <w:tcPr>
            <w:tcW w:w="3355" w:type="dxa"/>
            <w:tcBorders>
              <w:top w:val="nil"/>
              <w:left w:val="single" w:sz="6" w:space="0" w:color="auto"/>
              <w:bottom w:val="single" w:sz="6" w:space="0" w:color="auto"/>
              <w:right w:val="single" w:sz="6" w:space="0" w:color="auto"/>
            </w:tcBorders>
            <w:shd w:val="clear" w:color="auto" w:fill="auto"/>
            <w:vAlign w:val="center"/>
            <w:hideMark/>
          </w:tcPr>
          <w:p w14:paraId="6519DF05" w14:textId="77777777" w:rsidR="00385CE1" w:rsidRPr="00D01607" w:rsidRDefault="00000000" w:rsidP="008401F1">
            <w:pPr>
              <w:ind w:left="130" w:firstLine="0"/>
              <w:textAlignment w:val="baseline"/>
              <w:rPr>
                <w:del w:id="3390" w:author="AbbVie1" w:date="2025-05-13T09:50:00Z"/>
              </w:rPr>
            </w:pPr>
            <w:del w:id="3391" w:author="AbbVie1" w:date="2025-05-13T09:50:00Z">
              <w:r>
                <w:delText>Remise bez kortikosteroidů v </w:delText>
              </w:r>
              <w:r w:rsidRPr="00BC5CBC">
                <w:delText>týdnu 8</w:delText>
              </w:r>
              <w:r>
                <w:delText xml:space="preserve"> u pacientů s odpovědí s PMS</w:delText>
              </w:r>
              <w:r>
                <w:rPr>
                  <w:vertAlign w:val="superscript"/>
                </w:rPr>
                <w:delText>c</w:delText>
              </w:r>
            </w:del>
          </w:p>
        </w:tc>
        <w:tc>
          <w:tcPr>
            <w:tcW w:w="2850" w:type="dxa"/>
            <w:tcBorders>
              <w:top w:val="nil"/>
              <w:left w:val="nil"/>
              <w:bottom w:val="single" w:sz="6" w:space="0" w:color="auto"/>
              <w:right w:val="single" w:sz="6" w:space="0" w:color="auto"/>
            </w:tcBorders>
            <w:shd w:val="clear" w:color="auto" w:fill="auto"/>
            <w:vAlign w:val="center"/>
            <w:hideMark/>
          </w:tcPr>
          <w:p w14:paraId="2C8DA87F" w14:textId="77777777" w:rsidR="00385CE1" w:rsidRPr="00D01607" w:rsidRDefault="00000000" w:rsidP="008401F1">
            <w:pPr>
              <w:jc w:val="center"/>
              <w:textAlignment w:val="baseline"/>
              <w:rPr>
                <w:del w:id="3392" w:author="AbbVie1" w:date="2025-05-13T09:50:00Z"/>
              </w:rPr>
            </w:pPr>
            <w:del w:id="3393" w:author="AbbVie1" w:date="2025-05-13T09:50:00Z">
              <w:r>
                <w:delText>4/13 (30,8 %) </w:delText>
              </w:r>
            </w:del>
          </w:p>
        </w:tc>
        <w:tc>
          <w:tcPr>
            <w:tcW w:w="2850" w:type="dxa"/>
            <w:tcBorders>
              <w:top w:val="nil"/>
              <w:left w:val="nil"/>
              <w:bottom w:val="single" w:sz="6" w:space="0" w:color="auto"/>
              <w:right w:val="single" w:sz="6" w:space="0" w:color="auto"/>
            </w:tcBorders>
            <w:shd w:val="clear" w:color="auto" w:fill="auto"/>
            <w:vAlign w:val="center"/>
            <w:hideMark/>
          </w:tcPr>
          <w:p w14:paraId="5185D645" w14:textId="77777777" w:rsidR="00385CE1" w:rsidRPr="00D01607" w:rsidRDefault="00000000" w:rsidP="008401F1">
            <w:pPr>
              <w:jc w:val="center"/>
              <w:textAlignment w:val="baseline"/>
              <w:rPr>
                <w:del w:id="3394" w:author="AbbVie1" w:date="2025-05-13T09:50:00Z"/>
              </w:rPr>
            </w:pPr>
            <w:del w:id="3395" w:author="AbbVie1" w:date="2025-05-13T09:50:00Z">
              <w:r>
                <w:delText>5/16 (31,3 %) </w:delText>
              </w:r>
            </w:del>
          </w:p>
        </w:tc>
      </w:tr>
      <w:tr w:rsidR="00534A2D" w14:paraId="4492991D" w14:textId="77777777" w:rsidTr="008102BE">
        <w:trPr>
          <w:jc w:val="center"/>
          <w:del w:id="3396" w:author="AbbVie1" w:date="2025-05-13T09:50:00Z"/>
        </w:trPr>
        <w:tc>
          <w:tcPr>
            <w:tcW w:w="9055" w:type="dxa"/>
            <w:gridSpan w:val="3"/>
            <w:tcBorders>
              <w:top w:val="nil"/>
              <w:left w:val="single" w:sz="6" w:space="0" w:color="auto"/>
              <w:bottom w:val="single" w:sz="6" w:space="0" w:color="auto"/>
              <w:right w:val="single" w:sz="6" w:space="0" w:color="auto"/>
            </w:tcBorders>
            <w:shd w:val="clear" w:color="auto" w:fill="auto"/>
            <w:hideMark/>
          </w:tcPr>
          <w:p w14:paraId="5EE60AEB" w14:textId="77777777" w:rsidR="00385CE1" w:rsidRPr="00D01607" w:rsidRDefault="00000000" w:rsidP="008401F1">
            <w:pPr>
              <w:textAlignment w:val="baseline"/>
              <w:rPr>
                <w:del w:id="3397" w:author="AbbVie1" w:date="2025-05-13T09:50:00Z"/>
              </w:rPr>
            </w:pPr>
            <w:del w:id="3398" w:author="AbbVie1" w:date="2025-05-13T09:50:00Z">
              <w:r>
                <w:rPr>
                  <w:vertAlign w:val="superscript"/>
                </w:rPr>
                <w:delText>a</w:delText>
              </w:r>
              <w:r>
                <w:delText> Humira 0,6</w:delText>
              </w:r>
              <w:r w:rsidR="00883A75">
                <w:delText> mg</w:delText>
              </w:r>
              <w:r>
                <w:delText>/kg</w:delText>
              </w:r>
              <w:r w:rsidR="00012979">
                <w:delText xml:space="preserve"> </w:delText>
              </w:r>
              <w:r>
                <w:delText>(maximální dávka 40</w:delText>
              </w:r>
              <w:r w:rsidR="00883A75">
                <w:delText> mg</w:delText>
              </w:r>
              <w:r>
                <w:delText>)</w:delText>
              </w:r>
              <w:r w:rsidR="00012979">
                <w:delText xml:space="preserve"> </w:delText>
              </w:r>
              <w:r>
                <w:delText>jednou za dva týdny</w:delText>
              </w:r>
            </w:del>
          </w:p>
          <w:p w14:paraId="3A3DB828" w14:textId="77777777" w:rsidR="00385CE1" w:rsidRPr="00D01607" w:rsidRDefault="00000000" w:rsidP="008401F1">
            <w:pPr>
              <w:textAlignment w:val="baseline"/>
              <w:rPr>
                <w:del w:id="3399" w:author="AbbVie1" w:date="2025-05-13T09:50:00Z"/>
              </w:rPr>
            </w:pPr>
            <w:del w:id="3400" w:author="AbbVie1" w:date="2025-05-13T09:50:00Z">
              <w:r>
                <w:rPr>
                  <w:vertAlign w:val="superscript"/>
                </w:rPr>
                <w:delText>b</w:delText>
              </w:r>
              <w:r>
                <w:delText xml:space="preserve"> Humira 0,6</w:delText>
              </w:r>
              <w:r w:rsidR="00883A75">
                <w:delText> mg</w:delText>
              </w:r>
              <w:r>
                <w:delText>/kg</w:delText>
              </w:r>
              <w:r w:rsidR="00012979">
                <w:delText xml:space="preserve"> </w:delText>
              </w:r>
              <w:r>
                <w:delText>(maximální dávka 40</w:delText>
              </w:r>
              <w:r w:rsidR="00883A75">
                <w:delText> mg</w:delText>
              </w:r>
              <w:r>
                <w:delText>)</w:delText>
              </w:r>
              <w:r w:rsidR="00012979">
                <w:delText xml:space="preserve"> </w:delText>
              </w:r>
              <w:r>
                <w:delText>jednou týdně</w:delText>
              </w:r>
            </w:del>
          </w:p>
          <w:p w14:paraId="6CCEA7C0" w14:textId="77777777" w:rsidR="00385CE1" w:rsidRPr="00D01607" w:rsidRDefault="00000000" w:rsidP="008401F1">
            <w:pPr>
              <w:textAlignment w:val="baseline"/>
              <w:rPr>
                <w:del w:id="3401" w:author="AbbVie1" w:date="2025-05-13T09:50:00Z"/>
              </w:rPr>
            </w:pPr>
            <w:del w:id="3402" w:author="AbbVie1" w:date="2025-05-13T09:50:00Z">
              <w:r>
                <w:rPr>
                  <w:vertAlign w:val="superscript"/>
                </w:rPr>
                <w:delText>c</w:delText>
              </w:r>
              <w:r>
                <w:delText xml:space="preserve"> U pacientů, kteří na počátku dostávali souběžně kortikosteroidy</w:delText>
              </w:r>
            </w:del>
          </w:p>
          <w:p w14:paraId="4F066D0E" w14:textId="77777777" w:rsidR="00385CE1" w:rsidRPr="00D01607" w:rsidRDefault="00000000" w:rsidP="00950D86">
            <w:pPr>
              <w:ind w:left="0" w:firstLine="0"/>
              <w:textAlignment w:val="baseline"/>
              <w:rPr>
                <w:del w:id="3403" w:author="AbbVie1" w:date="2025-05-13T09:50:00Z"/>
              </w:rPr>
            </w:pPr>
            <w:del w:id="3404" w:author="AbbVie1" w:date="2025-05-13T09:50:00Z">
              <w:r>
                <w:delText>Pozn.: Pacienti s chybějícími hodnotami v</w:delText>
              </w:r>
              <w:r w:rsidR="00E91197">
                <w:delText> </w:delText>
              </w:r>
              <w:r>
                <w:delText>týdnu 52 nebo randomizovaní k opětovné indukční nebo udržovací léčbě byli považováni za pacienty bez odpovědi pro cílové parametry v</w:delText>
              </w:r>
              <w:r w:rsidR="00E91197">
                <w:delText> </w:delText>
              </w:r>
              <w:r>
                <w:delText>týdnu 52</w:delText>
              </w:r>
            </w:del>
          </w:p>
        </w:tc>
      </w:tr>
    </w:tbl>
    <w:p w14:paraId="4708BE02" w14:textId="77777777" w:rsidR="00385CE1" w:rsidRPr="00D01607" w:rsidRDefault="00385CE1" w:rsidP="00385CE1">
      <w:pPr>
        <w:rPr>
          <w:del w:id="3405" w:author="AbbVie1" w:date="2025-05-13T09:50:00Z"/>
        </w:rPr>
      </w:pPr>
    </w:p>
    <w:p w14:paraId="356E2FB7" w14:textId="77777777" w:rsidR="00385CE1" w:rsidRPr="00D01607" w:rsidRDefault="00000000" w:rsidP="00385CE1">
      <w:pPr>
        <w:ind w:left="0" w:firstLine="0"/>
        <w:rPr>
          <w:del w:id="3406" w:author="AbbVie1" w:date="2025-05-13T09:50:00Z"/>
        </w:rPr>
      </w:pPr>
      <w:del w:id="3407" w:author="AbbVie1" w:date="2025-05-13T09:50:00Z">
        <w:r>
          <w:delText>Mezi další výzkumné cílové parametry účinnosti patřil</w:delText>
        </w:r>
        <w:r w:rsidR="00012979">
          <w:delText>y</w:delText>
        </w:r>
        <w:r>
          <w:delText xml:space="preserve"> klinická odpověď podle indexu aktivity pediatrické ulcerózní kolitidy (PUCAI) (definovaná jako pokles PUCAI o ≥ 20 bodů oproti výchozí hodnotě)</w:delText>
        </w:r>
        <w:r w:rsidR="002378E0">
          <w:delText xml:space="preserve"> a </w:delText>
        </w:r>
        <w:r>
          <w:delText>klinická remise podle PUCAI (definovaná jako PUCAI &lt;10) v </w:delText>
        </w:r>
        <w:r w:rsidRPr="00BC5CBC">
          <w:delText>týdnu 8</w:delText>
        </w:r>
        <w:r w:rsidR="002378E0">
          <w:delText xml:space="preserve"> a </w:delText>
        </w:r>
        <w:r>
          <w:delText>týdnu 52 (tabulka 28).</w:delText>
        </w:r>
      </w:del>
    </w:p>
    <w:p w14:paraId="5F2942EA" w14:textId="77777777" w:rsidR="00385CE1" w:rsidRPr="00D01607" w:rsidRDefault="00385CE1" w:rsidP="00385CE1">
      <w:pPr>
        <w:rPr>
          <w:del w:id="3408" w:author="AbbVie1" w:date="2025-05-13T09:50:00Z"/>
        </w:rPr>
      </w:pPr>
    </w:p>
    <w:tbl>
      <w:tblPr>
        <w:tblW w:w="5000" w:type="pct"/>
        <w:jc w:val="center"/>
        <w:tblCellMar>
          <w:left w:w="0" w:type="dxa"/>
          <w:right w:w="0" w:type="dxa"/>
        </w:tblCellMar>
        <w:tblLook w:val="04A0" w:firstRow="1" w:lastRow="0" w:firstColumn="1" w:lastColumn="0" w:noHBand="0" w:noVBand="1"/>
      </w:tblPr>
      <w:tblGrid>
        <w:gridCol w:w="3221"/>
        <w:gridCol w:w="3016"/>
        <w:gridCol w:w="2834"/>
      </w:tblGrid>
      <w:tr w:rsidR="00534A2D" w14:paraId="062D8AF4" w14:textId="77777777" w:rsidTr="008102BE">
        <w:trPr>
          <w:trHeight w:val="60"/>
          <w:jc w:val="center"/>
          <w:del w:id="3409" w:author="AbbVie1" w:date="2025-05-13T09:50:00Z"/>
        </w:trPr>
        <w:tc>
          <w:tcPr>
            <w:tcW w:w="9071" w:type="dxa"/>
            <w:gridSpan w:val="3"/>
            <w:tcMar>
              <w:top w:w="0" w:type="dxa"/>
              <w:left w:w="108" w:type="dxa"/>
              <w:bottom w:w="0" w:type="dxa"/>
              <w:right w:w="108" w:type="dxa"/>
            </w:tcMar>
            <w:hideMark/>
          </w:tcPr>
          <w:p w14:paraId="4CF8F721" w14:textId="77777777" w:rsidR="00385CE1" w:rsidRPr="00D01607" w:rsidRDefault="00000000" w:rsidP="008102BE">
            <w:pPr>
              <w:keepNext/>
              <w:jc w:val="center"/>
              <w:rPr>
                <w:del w:id="3410" w:author="AbbVie1" w:date="2025-05-13T09:50:00Z"/>
                <w:b/>
                <w:bCs/>
              </w:rPr>
            </w:pPr>
            <w:del w:id="3411" w:author="AbbVie1" w:date="2025-05-13T09:50:00Z">
              <w:r>
                <w:rPr>
                  <w:b/>
                </w:rPr>
                <w:delText>Tabulka 28: Výsledky výzkumných cílových parametrů podle PUCAI</w:delText>
              </w:r>
            </w:del>
          </w:p>
        </w:tc>
      </w:tr>
      <w:tr w:rsidR="00534A2D" w14:paraId="4C87B8E4" w14:textId="77777777" w:rsidTr="008102BE">
        <w:trPr>
          <w:trHeight w:val="265"/>
          <w:jc w:val="center"/>
          <w:del w:id="3412" w:author="AbbVie1" w:date="2025-05-13T09:50:00Z"/>
        </w:trPr>
        <w:tc>
          <w:tcPr>
            <w:tcW w:w="3221"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1C385D94" w14:textId="77777777" w:rsidR="00385CE1" w:rsidRPr="00D01607" w:rsidRDefault="00385CE1" w:rsidP="00CC2427">
            <w:pPr>
              <w:keepNext/>
              <w:rPr>
                <w:del w:id="3413" w:author="AbbVie1" w:date="2025-05-13T09:50:00Z"/>
              </w:rPr>
            </w:pPr>
          </w:p>
        </w:tc>
        <w:tc>
          <w:tcPr>
            <w:tcW w:w="5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AAD50" w14:textId="77777777" w:rsidR="00385CE1" w:rsidRPr="00D01607" w:rsidRDefault="00000000" w:rsidP="00CC2427">
            <w:pPr>
              <w:keepNext/>
              <w:jc w:val="center"/>
              <w:rPr>
                <w:del w:id="3414" w:author="AbbVie1" w:date="2025-05-13T09:50:00Z"/>
                <w:b/>
                <w:bCs/>
              </w:rPr>
            </w:pPr>
            <w:del w:id="3415" w:author="AbbVie1" w:date="2025-05-13T09:50:00Z">
              <w:r>
                <w:rPr>
                  <w:b/>
                </w:rPr>
                <w:delText>Týden 8</w:delText>
              </w:r>
            </w:del>
          </w:p>
        </w:tc>
      </w:tr>
      <w:tr w:rsidR="00534A2D" w14:paraId="17A61B70" w14:textId="77777777" w:rsidTr="008102BE">
        <w:trPr>
          <w:trHeight w:val="1042"/>
          <w:jc w:val="center"/>
          <w:del w:id="3416" w:author="AbbVie1" w:date="2025-05-13T09:50:00Z"/>
        </w:trPr>
        <w:tc>
          <w:tcPr>
            <w:tcW w:w="0" w:type="auto"/>
            <w:vMerge/>
            <w:tcBorders>
              <w:top w:val="single" w:sz="4" w:space="0" w:color="auto"/>
              <w:left w:val="single" w:sz="8" w:space="0" w:color="auto"/>
              <w:bottom w:val="single" w:sz="8" w:space="0" w:color="auto"/>
              <w:right w:val="single" w:sz="4" w:space="0" w:color="auto"/>
            </w:tcBorders>
            <w:vAlign w:val="center"/>
            <w:hideMark/>
          </w:tcPr>
          <w:p w14:paraId="0DCCF313" w14:textId="77777777" w:rsidR="00385CE1" w:rsidRPr="00D01607" w:rsidRDefault="00385CE1" w:rsidP="00F9384F">
            <w:pPr>
              <w:keepNext/>
              <w:rPr>
                <w:del w:id="3417" w:author="AbbVie1" w:date="2025-05-13T09:50:00Z"/>
              </w:rPr>
            </w:pPr>
          </w:p>
        </w:tc>
        <w:tc>
          <w:tcPr>
            <w:tcW w:w="30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95D721" w14:textId="77777777" w:rsidR="00385CE1" w:rsidRPr="00D01607" w:rsidRDefault="00000000" w:rsidP="00CC2427">
            <w:pPr>
              <w:keepNext/>
              <w:ind w:left="0" w:firstLine="0"/>
              <w:jc w:val="center"/>
              <w:rPr>
                <w:del w:id="3418" w:author="AbbVie1" w:date="2025-05-13T09:50:00Z"/>
                <w:b/>
                <w:bCs/>
                <w:vertAlign w:val="superscript"/>
              </w:rPr>
            </w:pPr>
            <w:del w:id="3419" w:author="AbbVie1" w:date="2025-05-13T09:50:00Z">
              <w:r>
                <w:rPr>
                  <w:b/>
                </w:rPr>
                <w:delText>Humira</w:delText>
              </w:r>
              <w:r>
                <w:rPr>
                  <w:b/>
                  <w:vertAlign w:val="superscript"/>
                </w:rPr>
                <w:delText>a</w:delText>
              </w:r>
            </w:del>
          </w:p>
          <w:p w14:paraId="316ABB72" w14:textId="77777777" w:rsidR="00385CE1" w:rsidRPr="008102BE" w:rsidRDefault="00000000" w:rsidP="007714F6">
            <w:pPr>
              <w:keepNext/>
              <w:ind w:left="0" w:firstLine="0"/>
              <w:jc w:val="center"/>
              <w:rPr>
                <w:del w:id="3420" w:author="AbbVie1" w:date="2025-05-13T09:50:00Z"/>
                <w:b/>
              </w:rPr>
            </w:pPr>
            <w:del w:id="3421" w:author="AbbVie1" w:date="2025-05-13T09:50:00Z">
              <w:r w:rsidRPr="008102BE">
                <w:rPr>
                  <w:b/>
                </w:rPr>
                <w:delText>Maximálně 160</w:delText>
              </w:r>
              <w:r w:rsidR="00294902" w:rsidRPr="00005EC2">
                <w:rPr>
                  <w:szCs w:val="22"/>
                </w:rPr>
                <w:delText> </w:delText>
              </w:r>
              <w:r w:rsidRPr="008102BE">
                <w:rPr>
                  <w:b/>
                </w:rPr>
                <w:delText>mg v týdnu 0/ placebo v týdnu 1</w:delText>
              </w:r>
            </w:del>
          </w:p>
          <w:p w14:paraId="66A5CF91" w14:textId="77777777" w:rsidR="00385CE1" w:rsidRPr="00D01607" w:rsidRDefault="00000000" w:rsidP="00CC333F">
            <w:pPr>
              <w:keepNext/>
              <w:ind w:left="0" w:firstLine="0"/>
              <w:jc w:val="center"/>
              <w:rPr>
                <w:del w:id="3422" w:author="AbbVie1" w:date="2025-05-13T09:50:00Z"/>
              </w:rPr>
            </w:pPr>
            <w:del w:id="3423" w:author="AbbVie1" w:date="2025-05-13T09:50:00Z">
              <w:r>
                <w:delText>n=30</w:delText>
              </w:r>
            </w:del>
          </w:p>
        </w:tc>
        <w:tc>
          <w:tcPr>
            <w:tcW w:w="28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18CEA3" w14:textId="77777777" w:rsidR="00385CE1" w:rsidRPr="00D01607" w:rsidRDefault="00000000" w:rsidP="00107A9D">
            <w:pPr>
              <w:keepNext/>
              <w:ind w:left="0" w:firstLine="0"/>
              <w:jc w:val="center"/>
              <w:rPr>
                <w:del w:id="3424" w:author="AbbVie1" w:date="2025-05-13T09:50:00Z"/>
                <w:b/>
                <w:bCs/>
                <w:vertAlign w:val="superscript"/>
              </w:rPr>
            </w:pPr>
            <w:del w:id="3425" w:author="AbbVie1" w:date="2025-05-13T09:50:00Z">
              <w:r>
                <w:rPr>
                  <w:b/>
                </w:rPr>
                <w:delText>Humira</w:delText>
              </w:r>
              <w:r>
                <w:rPr>
                  <w:b/>
                  <w:vertAlign w:val="superscript"/>
                </w:rPr>
                <w:delText>b,c</w:delText>
              </w:r>
            </w:del>
          </w:p>
          <w:p w14:paraId="0CBBF858" w14:textId="77777777" w:rsidR="00385CE1" w:rsidRPr="00D01607" w:rsidRDefault="00000000" w:rsidP="005C68D5">
            <w:pPr>
              <w:keepNext/>
              <w:ind w:left="0" w:firstLine="0"/>
              <w:jc w:val="center"/>
              <w:rPr>
                <w:del w:id="3426" w:author="AbbVie1" w:date="2025-05-13T09:50:00Z"/>
                <w:b/>
                <w:bCs/>
              </w:rPr>
            </w:pPr>
            <w:del w:id="3427" w:author="AbbVie1" w:date="2025-05-13T09:50:00Z">
              <w:r>
                <w:rPr>
                  <w:b/>
                </w:rPr>
                <w:delText>Maximálně 160</w:delText>
              </w:r>
              <w:r w:rsidR="00294902" w:rsidRPr="00005EC2">
                <w:rPr>
                  <w:szCs w:val="22"/>
                </w:rPr>
                <w:delText> </w:delText>
              </w:r>
              <w:r>
                <w:rPr>
                  <w:b/>
                </w:rPr>
                <w:delText>mg v týdnech 0</w:delText>
              </w:r>
              <w:r w:rsidR="002378E0">
                <w:rPr>
                  <w:b/>
                </w:rPr>
                <w:delText xml:space="preserve"> a </w:delText>
              </w:r>
              <w:r>
                <w:rPr>
                  <w:b/>
                </w:rPr>
                <w:delText>1</w:delText>
              </w:r>
            </w:del>
          </w:p>
          <w:p w14:paraId="2232F322" w14:textId="77777777" w:rsidR="00385CE1" w:rsidRPr="00D01607" w:rsidRDefault="00000000" w:rsidP="00977638">
            <w:pPr>
              <w:keepNext/>
              <w:ind w:left="0" w:firstLine="0"/>
              <w:jc w:val="center"/>
              <w:rPr>
                <w:del w:id="3428" w:author="AbbVie1" w:date="2025-05-13T09:50:00Z"/>
              </w:rPr>
            </w:pPr>
            <w:del w:id="3429" w:author="AbbVie1" w:date="2025-05-13T09:50:00Z">
              <w:r>
                <w:delText>n=47</w:delText>
              </w:r>
            </w:del>
          </w:p>
        </w:tc>
      </w:tr>
      <w:tr w:rsidR="00534A2D" w14:paraId="4ED49840" w14:textId="77777777" w:rsidTr="008102BE">
        <w:trPr>
          <w:trHeight w:val="202"/>
          <w:jc w:val="center"/>
          <w:del w:id="3430" w:author="AbbVie1" w:date="2025-05-13T09:50:00Z"/>
        </w:trPr>
        <w:tc>
          <w:tcPr>
            <w:tcW w:w="32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7755D7" w14:textId="77777777" w:rsidR="00385CE1" w:rsidRPr="00D01607" w:rsidRDefault="00000000" w:rsidP="008401F1">
            <w:pPr>
              <w:rPr>
                <w:del w:id="3431" w:author="AbbVie1" w:date="2025-05-13T09:50:00Z"/>
              </w:rPr>
            </w:pPr>
            <w:del w:id="3432" w:author="AbbVie1" w:date="2025-05-13T09:50:00Z">
              <w:r>
                <w:delText>Klinická remise podle PUCAI</w:delText>
              </w:r>
            </w:del>
          </w:p>
        </w:tc>
        <w:tc>
          <w:tcPr>
            <w:tcW w:w="3016" w:type="dxa"/>
            <w:tcBorders>
              <w:top w:val="nil"/>
              <w:left w:val="nil"/>
              <w:bottom w:val="single" w:sz="8" w:space="0" w:color="auto"/>
              <w:right w:val="single" w:sz="8" w:space="0" w:color="auto"/>
            </w:tcBorders>
            <w:tcMar>
              <w:top w:w="0" w:type="dxa"/>
              <w:left w:w="108" w:type="dxa"/>
              <w:bottom w:w="0" w:type="dxa"/>
              <w:right w:w="108" w:type="dxa"/>
            </w:tcMar>
            <w:hideMark/>
          </w:tcPr>
          <w:p w14:paraId="2F24F981" w14:textId="77777777" w:rsidR="00385CE1" w:rsidRPr="00D01607" w:rsidRDefault="00000000" w:rsidP="008102BE">
            <w:pPr>
              <w:keepNext/>
              <w:jc w:val="center"/>
              <w:rPr>
                <w:del w:id="3433" w:author="AbbVie1" w:date="2025-05-13T09:50:00Z"/>
              </w:rPr>
            </w:pPr>
            <w:del w:id="3434" w:author="AbbVie1" w:date="2025-05-13T09:50:00Z">
              <w:r>
                <w:delText>10/30 (33,3 %)</w:delText>
              </w:r>
            </w:del>
          </w:p>
        </w:tc>
        <w:tc>
          <w:tcPr>
            <w:tcW w:w="2834" w:type="dxa"/>
            <w:tcBorders>
              <w:top w:val="nil"/>
              <w:left w:val="nil"/>
              <w:bottom w:val="single" w:sz="8" w:space="0" w:color="auto"/>
              <w:right w:val="single" w:sz="8" w:space="0" w:color="auto"/>
            </w:tcBorders>
            <w:tcMar>
              <w:top w:w="0" w:type="dxa"/>
              <w:left w:w="108" w:type="dxa"/>
              <w:bottom w:w="0" w:type="dxa"/>
              <w:right w:w="108" w:type="dxa"/>
            </w:tcMar>
            <w:hideMark/>
          </w:tcPr>
          <w:p w14:paraId="3884844F" w14:textId="77777777" w:rsidR="00385CE1" w:rsidRPr="00D01607" w:rsidRDefault="00000000" w:rsidP="008102BE">
            <w:pPr>
              <w:keepNext/>
              <w:jc w:val="center"/>
              <w:rPr>
                <w:del w:id="3435" w:author="AbbVie1" w:date="2025-05-13T09:50:00Z"/>
              </w:rPr>
            </w:pPr>
            <w:del w:id="3436" w:author="AbbVie1" w:date="2025-05-13T09:50:00Z">
              <w:r>
                <w:delText>22/47 (46,8 %)</w:delText>
              </w:r>
            </w:del>
          </w:p>
        </w:tc>
      </w:tr>
      <w:tr w:rsidR="00534A2D" w14:paraId="115830DA" w14:textId="77777777" w:rsidTr="008102BE">
        <w:trPr>
          <w:trHeight w:val="238"/>
          <w:jc w:val="center"/>
          <w:del w:id="3437" w:author="AbbVie1" w:date="2025-05-13T09:50:00Z"/>
        </w:trPr>
        <w:tc>
          <w:tcPr>
            <w:tcW w:w="322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CE1A903" w14:textId="77777777" w:rsidR="00385CE1" w:rsidRPr="00D01607" w:rsidRDefault="00000000" w:rsidP="008401F1">
            <w:pPr>
              <w:rPr>
                <w:del w:id="3438" w:author="AbbVie1" w:date="2025-05-13T09:50:00Z"/>
              </w:rPr>
            </w:pPr>
            <w:del w:id="3439" w:author="AbbVie1" w:date="2025-05-13T09:50:00Z">
              <w:r>
                <w:delText>Klinická odpověď podle PUCAI</w:delText>
              </w:r>
            </w:del>
          </w:p>
        </w:tc>
        <w:tc>
          <w:tcPr>
            <w:tcW w:w="3016" w:type="dxa"/>
            <w:tcBorders>
              <w:top w:val="nil"/>
              <w:left w:val="nil"/>
              <w:bottom w:val="single" w:sz="4" w:space="0" w:color="auto"/>
              <w:right w:val="single" w:sz="8" w:space="0" w:color="auto"/>
            </w:tcBorders>
            <w:tcMar>
              <w:top w:w="0" w:type="dxa"/>
              <w:left w:w="108" w:type="dxa"/>
              <w:bottom w:w="0" w:type="dxa"/>
              <w:right w:w="108" w:type="dxa"/>
            </w:tcMar>
            <w:hideMark/>
          </w:tcPr>
          <w:p w14:paraId="081DC929" w14:textId="77777777" w:rsidR="00385CE1" w:rsidRPr="00D01607" w:rsidRDefault="00000000" w:rsidP="008401F1">
            <w:pPr>
              <w:jc w:val="center"/>
              <w:rPr>
                <w:del w:id="3440" w:author="AbbVie1" w:date="2025-05-13T09:50:00Z"/>
              </w:rPr>
            </w:pPr>
            <w:del w:id="3441" w:author="AbbVie1" w:date="2025-05-13T09:50:00Z">
              <w:r>
                <w:delText>15/30 (50,0 %)</w:delText>
              </w:r>
            </w:del>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79BAE10A" w14:textId="77777777" w:rsidR="00385CE1" w:rsidRPr="00D01607" w:rsidRDefault="00000000" w:rsidP="008401F1">
            <w:pPr>
              <w:jc w:val="center"/>
              <w:rPr>
                <w:del w:id="3442" w:author="AbbVie1" w:date="2025-05-13T09:50:00Z"/>
              </w:rPr>
            </w:pPr>
            <w:del w:id="3443" w:author="AbbVie1" w:date="2025-05-13T09:50:00Z">
              <w:r>
                <w:delText>32/47 (68,1 %)</w:delText>
              </w:r>
            </w:del>
          </w:p>
        </w:tc>
      </w:tr>
      <w:tr w:rsidR="00534A2D" w14:paraId="2763E561" w14:textId="77777777" w:rsidTr="008102BE">
        <w:trPr>
          <w:trHeight w:val="238"/>
          <w:jc w:val="center"/>
          <w:del w:id="3444" w:author="AbbVie1" w:date="2025-05-13T09:50:00Z"/>
        </w:trPr>
        <w:tc>
          <w:tcPr>
            <w:tcW w:w="3221"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7F56C42D" w14:textId="77777777" w:rsidR="00385CE1" w:rsidRPr="00D01607" w:rsidRDefault="00385CE1" w:rsidP="008401F1">
            <w:pPr>
              <w:rPr>
                <w:del w:id="3445" w:author="AbbVie1" w:date="2025-05-13T09:50:00Z"/>
              </w:rPr>
            </w:pPr>
          </w:p>
        </w:tc>
        <w:tc>
          <w:tcPr>
            <w:tcW w:w="5850"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3EB10043" w14:textId="77777777" w:rsidR="00385CE1" w:rsidRPr="00D01607" w:rsidRDefault="00000000" w:rsidP="008401F1">
            <w:pPr>
              <w:jc w:val="center"/>
              <w:rPr>
                <w:del w:id="3446" w:author="AbbVie1" w:date="2025-05-13T09:50:00Z"/>
                <w:b/>
                <w:bCs/>
              </w:rPr>
            </w:pPr>
            <w:del w:id="3447" w:author="AbbVie1" w:date="2025-05-13T09:50:00Z">
              <w:r>
                <w:rPr>
                  <w:b/>
                </w:rPr>
                <w:delText>Týden 52</w:delText>
              </w:r>
            </w:del>
          </w:p>
        </w:tc>
      </w:tr>
      <w:tr w:rsidR="00534A2D" w14:paraId="683351FD" w14:textId="77777777" w:rsidTr="008102BE">
        <w:trPr>
          <w:trHeight w:val="238"/>
          <w:jc w:val="center"/>
          <w:del w:id="3448" w:author="AbbVie1" w:date="2025-05-13T09:50:00Z"/>
        </w:trPr>
        <w:tc>
          <w:tcPr>
            <w:tcW w:w="0" w:type="auto"/>
            <w:vMerge/>
            <w:tcBorders>
              <w:top w:val="nil"/>
              <w:left w:val="single" w:sz="8" w:space="0" w:color="auto"/>
              <w:bottom w:val="single" w:sz="4" w:space="0" w:color="auto"/>
              <w:right w:val="single" w:sz="8" w:space="0" w:color="auto"/>
            </w:tcBorders>
            <w:vAlign w:val="center"/>
            <w:hideMark/>
          </w:tcPr>
          <w:p w14:paraId="3E638850" w14:textId="77777777" w:rsidR="00385CE1" w:rsidRPr="00D01607" w:rsidRDefault="00385CE1" w:rsidP="008401F1">
            <w:pPr>
              <w:rPr>
                <w:del w:id="3449" w:author="AbbVie1" w:date="2025-05-13T09:50:00Z"/>
              </w:rPr>
            </w:pPr>
          </w:p>
        </w:tc>
        <w:tc>
          <w:tcPr>
            <w:tcW w:w="3016" w:type="dxa"/>
            <w:tcBorders>
              <w:top w:val="nil"/>
              <w:left w:val="nil"/>
              <w:bottom w:val="single" w:sz="4" w:space="0" w:color="auto"/>
              <w:right w:val="single" w:sz="8" w:space="0" w:color="auto"/>
            </w:tcBorders>
            <w:tcMar>
              <w:top w:w="0" w:type="dxa"/>
              <w:left w:w="108" w:type="dxa"/>
              <w:bottom w:w="0" w:type="dxa"/>
              <w:right w:w="108" w:type="dxa"/>
            </w:tcMar>
            <w:hideMark/>
          </w:tcPr>
          <w:p w14:paraId="0B71493F" w14:textId="77777777" w:rsidR="00385CE1" w:rsidRPr="00D01607" w:rsidRDefault="00000000" w:rsidP="008102BE">
            <w:pPr>
              <w:ind w:left="0" w:firstLine="0"/>
              <w:jc w:val="center"/>
              <w:rPr>
                <w:del w:id="3450" w:author="AbbVie1" w:date="2025-05-13T09:50:00Z"/>
                <w:b/>
                <w:bCs/>
                <w:vertAlign w:val="superscript"/>
              </w:rPr>
            </w:pPr>
            <w:del w:id="3451" w:author="AbbVie1" w:date="2025-05-13T09:50:00Z">
              <w:r>
                <w:rPr>
                  <w:b/>
                </w:rPr>
                <w:delText>Humira</w:delText>
              </w:r>
              <w:r>
                <w:rPr>
                  <w:b/>
                  <w:vertAlign w:val="superscript"/>
                </w:rPr>
                <w:delText>d</w:delText>
              </w:r>
            </w:del>
          </w:p>
          <w:p w14:paraId="1413A3BF" w14:textId="77777777" w:rsidR="00385CE1" w:rsidRPr="00D01607" w:rsidRDefault="00000000" w:rsidP="008102BE">
            <w:pPr>
              <w:ind w:left="0" w:firstLine="0"/>
              <w:jc w:val="center"/>
              <w:rPr>
                <w:del w:id="3452" w:author="AbbVie1" w:date="2025-05-13T09:50:00Z"/>
                <w:b/>
                <w:bCs/>
              </w:rPr>
            </w:pPr>
            <w:del w:id="3453" w:author="AbbVie1" w:date="2025-05-13T09:50:00Z">
              <w:r>
                <w:rPr>
                  <w:b/>
                </w:rPr>
                <w:delText>Maximálně 40</w:delText>
              </w:r>
              <w:r w:rsidR="00294902" w:rsidRPr="00005EC2">
                <w:rPr>
                  <w:szCs w:val="22"/>
                </w:rPr>
                <w:delText> </w:delText>
              </w:r>
              <w:r>
                <w:rPr>
                  <w:b/>
                </w:rPr>
                <w:delText>mg jednou za</w:delText>
              </w:r>
              <w:r w:rsidR="00294902" w:rsidRPr="00005EC2">
                <w:rPr>
                  <w:szCs w:val="22"/>
                </w:rPr>
                <w:delText> </w:delText>
              </w:r>
              <w:r>
                <w:rPr>
                  <w:b/>
                </w:rPr>
                <w:delText>dva týdny</w:delText>
              </w:r>
            </w:del>
          </w:p>
          <w:p w14:paraId="507D9028" w14:textId="77777777" w:rsidR="00385CE1" w:rsidRPr="00D01607" w:rsidRDefault="00000000" w:rsidP="008102BE">
            <w:pPr>
              <w:ind w:left="0" w:firstLine="0"/>
              <w:jc w:val="center"/>
              <w:rPr>
                <w:del w:id="3454" w:author="AbbVie1" w:date="2025-05-13T09:50:00Z"/>
              </w:rPr>
            </w:pPr>
            <w:del w:id="3455" w:author="AbbVie1" w:date="2025-05-13T09:50:00Z">
              <w:r>
                <w:delText>n=31</w:delText>
              </w:r>
            </w:del>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7C102A17" w14:textId="77777777" w:rsidR="00385CE1" w:rsidRPr="00D01607" w:rsidRDefault="00000000" w:rsidP="008102BE">
            <w:pPr>
              <w:ind w:left="0" w:firstLine="0"/>
              <w:jc w:val="center"/>
              <w:rPr>
                <w:del w:id="3456" w:author="AbbVie1" w:date="2025-05-13T09:50:00Z"/>
                <w:b/>
                <w:bCs/>
                <w:vertAlign w:val="superscript"/>
              </w:rPr>
            </w:pPr>
            <w:del w:id="3457" w:author="AbbVie1" w:date="2025-05-13T09:50:00Z">
              <w:r>
                <w:rPr>
                  <w:b/>
                </w:rPr>
                <w:delText>Humira</w:delText>
              </w:r>
              <w:r>
                <w:rPr>
                  <w:b/>
                  <w:vertAlign w:val="superscript"/>
                </w:rPr>
                <w:delText>e</w:delText>
              </w:r>
            </w:del>
          </w:p>
          <w:p w14:paraId="132BB336" w14:textId="77777777" w:rsidR="00385CE1" w:rsidRPr="00D01607" w:rsidRDefault="00000000" w:rsidP="008102BE">
            <w:pPr>
              <w:ind w:left="0" w:firstLine="0"/>
              <w:jc w:val="center"/>
              <w:rPr>
                <w:del w:id="3458" w:author="AbbVie1" w:date="2025-05-13T09:50:00Z"/>
                <w:b/>
                <w:bCs/>
              </w:rPr>
            </w:pPr>
            <w:del w:id="3459" w:author="AbbVie1" w:date="2025-05-13T09:50:00Z">
              <w:r>
                <w:rPr>
                  <w:b/>
                </w:rPr>
                <w:delText>Maximálně 40</w:delText>
              </w:r>
              <w:r w:rsidR="00294902" w:rsidRPr="00005EC2">
                <w:rPr>
                  <w:szCs w:val="22"/>
                </w:rPr>
                <w:delText> </w:delText>
              </w:r>
              <w:r>
                <w:rPr>
                  <w:b/>
                </w:rPr>
                <w:delText>mg jednou týdně</w:delText>
              </w:r>
            </w:del>
          </w:p>
          <w:p w14:paraId="0E86E607" w14:textId="77777777" w:rsidR="00385CE1" w:rsidRPr="00D01607" w:rsidRDefault="00000000" w:rsidP="008102BE">
            <w:pPr>
              <w:ind w:left="0" w:firstLine="0"/>
              <w:jc w:val="center"/>
              <w:rPr>
                <w:del w:id="3460" w:author="AbbVie1" w:date="2025-05-13T09:50:00Z"/>
              </w:rPr>
            </w:pPr>
            <w:del w:id="3461" w:author="AbbVie1" w:date="2025-05-13T09:50:00Z">
              <w:r>
                <w:delText>n=31</w:delText>
              </w:r>
            </w:del>
          </w:p>
        </w:tc>
      </w:tr>
      <w:tr w:rsidR="00534A2D" w14:paraId="71079A55" w14:textId="77777777" w:rsidTr="008102BE">
        <w:trPr>
          <w:trHeight w:val="238"/>
          <w:jc w:val="center"/>
          <w:del w:id="3462" w:author="AbbVie1" w:date="2025-05-13T09:50:00Z"/>
        </w:trPr>
        <w:tc>
          <w:tcPr>
            <w:tcW w:w="322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3DD40A3" w14:textId="77777777" w:rsidR="00385CE1" w:rsidRPr="00D01607" w:rsidRDefault="00000000" w:rsidP="008401F1">
            <w:pPr>
              <w:tabs>
                <w:tab w:val="left" w:pos="36"/>
              </w:tabs>
              <w:ind w:left="36" w:hanging="36"/>
              <w:rPr>
                <w:del w:id="3463" w:author="AbbVie1" w:date="2025-05-13T09:50:00Z"/>
              </w:rPr>
            </w:pPr>
            <w:del w:id="3464" w:author="AbbVie1" w:date="2025-05-13T09:50:00Z">
              <w:r>
                <w:delText>Klinická remise podle PUCAI v </w:delText>
              </w:r>
              <w:r w:rsidRPr="00BC5CBC">
                <w:delText>týdnu 8</w:delText>
              </w:r>
              <w:r>
                <w:delText xml:space="preserve"> u pacientů s odpovědí s PMS</w:delText>
              </w:r>
            </w:del>
          </w:p>
        </w:tc>
        <w:tc>
          <w:tcPr>
            <w:tcW w:w="3016" w:type="dxa"/>
            <w:tcBorders>
              <w:top w:val="nil"/>
              <w:left w:val="nil"/>
              <w:bottom w:val="single" w:sz="4" w:space="0" w:color="auto"/>
              <w:right w:val="single" w:sz="8" w:space="0" w:color="auto"/>
            </w:tcBorders>
            <w:tcMar>
              <w:top w:w="0" w:type="dxa"/>
              <w:left w:w="108" w:type="dxa"/>
              <w:bottom w:w="0" w:type="dxa"/>
              <w:right w:w="108" w:type="dxa"/>
            </w:tcMar>
            <w:hideMark/>
          </w:tcPr>
          <w:p w14:paraId="2A056C02" w14:textId="77777777" w:rsidR="00385CE1" w:rsidRPr="00D01607" w:rsidRDefault="00000000" w:rsidP="008401F1">
            <w:pPr>
              <w:jc w:val="center"/>
              <w:rPr>
                <w:del w:id="3465" w:author="AbbVie1" w:date="2025-05-13T09:50:00Z"/>
              </w:rPr>
            </w:pPr>
            <w:del w:id="3466" w:author="AbbVie1" w:date="2025-05-13T09:50:00Z">
              <w:r>
                <w:delText>14/31 (45,2 %)</w:delText>
              </w:r>
            </w:del>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2D0D4472" w14:textId="77777777" w:rsidR="00385CE1" w:rsidRPr="00D01607" w:rsidRDefault="00000000" w:rsidP="008401F1">
            <w:pPr>
              <w:jc w:val="center"/>
              <w:rPr>
                <w:del w:id="3467" w:author="AbbVie1" w:date="2025-05-13T09:50:00Z"/>
              </w:rPr>
            </w:pPr>
            <w:del w:id="3468" w:author="AbbVie1" w:date="2025-05-13T09:50:00Z">
              <w:r>
                <w:delText>18/31 (58,1 %)</w:delText>
              </w:r>
            </w:del>
          </w:p>
        </w:tc>
      </w:tr>
      <w:tr w:rsidR="00534A2D" w14:paraId="74620ABE" w14:textId="77777777" w:rsidTr="008102BE">
        <w:trPr>
          <w:trHeight w:val="238"/>
          <w:jc w:val="center"/>
          <w:del w:id="3469" w:author="AbbVie1" w:date="2025-05-13T09:50:00Z"/>
        </w:trPr>
        <w:tc>
          <w:tcPr>
            <w:tcW w:w="322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BB8B5AD" w14:textId="77777777" w:rsidR="00385CE1" w:rsidRPr="00D01607" w:rsidRDefault="00000000" w:rsidP="008401F1">
            <w:pPr>
              <w:tabs>
                <w:tab w:val="left" w:pos="36"/>
              </w:tabs>
              <w:ind w:left="36" w:hanging="36"/>
              <w:rPr>
                <w:del w:id="3470" w:author="AbbVie1" w:date="2025-05-13T09:50:00Z"/>
              </w:rPr>
            </w:pPr>
            <w:del w:id="3471" w:author="AbbVie1" w:date="2025-05-13T09:50:00Z">
              <w:r>
                <w:delText>Klinická odpověď podle PUCAI v </w:delText>
              </w:r>
              <w:r w:rsidRPr="00BC5CBC">
                <w:delText>týdnu 8</w:delText>
              </w:r>
              <w:r>
                <w:delText xml:space="preserve"> u pacientů s odpovědí s PMS</w:delText>
              </w:r>
            </w:del>
          </w:p>
        </w:tc>
        <w:tc>
          <w:tcPr>
            <w:tcW w:w="3016" w:type="dxa"/>
            <w:tcBorders>
              <w:top w:val="nil"/>
              <w:left w:val="nil"/>
              <w:bottom w:val="single" w:sz="4" w:space="0" w:color="auto"/>
              <w:right w:val="single" w:sz="8" w:space="0" w:color="auto"/>
            </w:tcBorders>
            <w:tcMar>
              <w:top w:w="0" w:type="dxa"/>
              <w:left w:w="108" w:type="dxa"/>
              <w:bottom w:w="0" w:type="dxa"/>
              <w:right w:w="108" w:type="dxa"/>
            </w:tcMar>
            <w:hideMark/>
          </w:tcPr>
          <w:p w14:paraId="081E7F00" w14:textId="77777777" w:rsidR="00385CE1" w:rsidRPr="00D01607" w:rsidRDefault="00000000" w:rsidP="008401F1">
            <w:pPr>
              <w:jc w:val="center"/>
              <w:rPr>
                <w:del w:id="3472" w:author="AbbVie1" w:date="2025-05-13T09:50:00Z"/>
              </w:rPr>
            </w:pPr>
            <w:del w:id="3473" w:author="AbbVie1" w:date="2025-05-13T09:50:00Z">
              <w:r>
                <w:delText>18/31 (58,1 %)</w:delText>
              </w:r>
            </w:del>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14FACB9D" w14:textId="77777777" w:rsidR="00385CE1" w:rsidRPr="00D01607" w:rsidRDefault="00000000" w:rsidP="008401F1">
            <w:pPr>
              <w:jc w:val="center"/>
              <w:rPr>
                <w:del w:id="3474" w:author="AbbVie1" w:date="2025-05-13T09:50:00Z"/>
              </w:rPr>
            </w:pPr>
            <w:del w:id="3475" w:author="AbbVie1" w:date="2025-05-13T09:50:00Z">
              <w:r>
                <w:delText>16/31 (51,6 %)</w:delText>
              </w:r>
            </w:del>
          </w:p>
        </w:tc>
      </w:tr>
      <w:tr w:rsidR="00534A2D" w14:paraId="668A6723" w14:textId="77777777" w:rsidTr="008102BE">
        <w:trPr>
          <w:trHeight w:val="533"/>
          <w:jc w:val="center"/>
          <w:del w:id="3476" w:author="AbbVie1" w:date="2025-05-13T09:50:00Z"/>
        </w:trPr>
        <w:tc>
          <w:tcPr>
            <w:tcW w:w="9071"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0430A84" w14:textId="77777777" w:rsidR="00385CE1" w:rsidRPr="00D01607" w:rsidRDefault="00000000" w:rsidP="008401F1">
            <w:pPr>
              <w:ind w:left="0" w:firstLine="0"/>
              <w:rPr>
                <w:del w:id="3477" w:author="AbbVie1" w:date="2025-05-13T09:50:00Z"/>
                <w:rStyle w:val="eop"/>
              </w:rPr>
            </w:pPr>
            <w:del w:id="3478" w:author="AbbVie1" w:date="2025-05-13T09:50:00Z">
              <w:r>
                <w:rPr>
                  <w:vertAlign w:val="superscript"/>
                </w:rPr>
                <w:delText xml:space="preserve">a </w:delText>
              </w:r>
              <w:r>
                <w:rPr>
                  <w:rStyle w:val="normaltextrun"/>
                </w:rPr>
                <w:delText>Humira 2,4</w:delText>
              </w:r>
              <w:r w:rsidR="00294902" w:rsidRPr="00005EC2">
                <w:rPr>
                  <w:szCs w:val="22"/>
                </w:rPr>
                <w:delText> </w:delText>
              </w:r>
              <w:r>
                <w:rPr>
                  <w:rStyle w:val="normaltextrun"/>
                </w:rPr>
                <w:delText>mg/kg (maximální dávka 160</w:delText>
              </w:r>
              <w:r w:rsidR="00294902" w:rsidRPr="00005EC2">
                <w:rPr>
                  <w:szCs w:val="22"/>
                </w:rPr>
                <w:delText> </w:delText>
              </w:r>
              <w:r>
                <w:rPr>
                  <w:rStyle w:val="normaltextrun"/>
                </w:rPr>
                <w:delText>mg) v </w:delText>
              </w:r>
              <w:r w:rsidRPr="00BC5CBC">
                <w:rPr>
                  <w:rStyle w:val="normaltextrun"/>
                </w:rPr>
                <w:delText>týdnu 0</w:delText>
              </w:r>
              <w:r>
                <w:rPr>
                  <w:rStyle w:val="normaltextrun"/>
                </w:rPr>
                <w:delText>, placebo v týdnu 1</w:delText>
              </w:r>
              <w:r w:rsidR="002378E0">
                <w:rPr>
                  <w:rStyle w:val="normaltextrun"/>
                </w:rPr>
                <w:delText xml:space="preserve"> a </w:delText>
              </w:r>
              <w:r>
                <w:rPr>
                  <w:rStyle w:val="normaltextrun"/>
                </w:rPr>
                <w:delText>1,2</w:delText>
              </w:r>
              <w:r w:rsidR="00294902" w:rsidRPr="00005EC2">
                <w:rPr>
                  <w:szCs w:val="22"/>
                </w:rPr>
                <w:delText> </w:delText>
              </w:r>
              <w:r>
                <w:rPr>
                  <w:rStyle w:val="normaltextrun"/>
                </w:rPr>
                <w:delText>mg/kg (maximální dávka 80</w:delText>
              </w:r>
              <w:r w:rsidR="00294902" w:rsidRPr="00005EC2">
                <w:rPr>
                  <w:szCs w:val="22"/>
                </w:rPr>
                <w:delText> </w:delText>
              </w:r>
              <w:r>
                <w:rPr>
                  <w:rStyle w:val="normaltextrun"/>
                </w:rPr>
                <w:delText>mg) v</w:delText>
              </w:r>
              <w:r w:rsidR="00CC2427">
                <w:rPr>
                  <w:rStyle w:val="normaltextrun"/>
                </w:rPr>
                <w:delText> </w:delText>
              </w:r>
              <w:r>
                <w:rPr>
                  <w:rStyle w:val="normaltextrun"/>
                </w:rPr>
                <w:delText>týdnu</w:delText>
              </w:r>
              <w:r>
                <w:rPr>
                  <w:rStyle w:val="eop"/>
                </w:rPr>
                <w:delText xml:space="preserve"> 2</w:delText>
              </w:r>
            </w:del>
          </w:p>
          <w:p w14:paraId="56F74E95" w14:textId="77777777" w:rsidR="00385CE1" w:rsidRPr="00D01607" w:rsidRDefault="00000000" w:rsidP="008401F1">
            <w:pPr>
              <w:pStyle w:val="paragraph0"/>
              <w:spacing w:before="0" w:beforeAutospacing="0" w:after="0" w:afterAutospacing="0"/>
              <w:textAlignment w:val="baseline"/>
              <w:rPr>
                <w:del w:id="3479" w:author="AbbVie1" w:date="2025-05-13T09:50:00Z"/>
                <w:rStyle w:val="eop"/>
                <w:szCs w:val="22"/>
              </w:rPr>
            </w:pPr>
            <w:del w:id="3480" w:author="AbbVie1" w:date="2025-05-13T09:50:00Z">
              <w:r>
                <w:rPr>
                  <w:sz w:val="22"/>
                  <w:vertAlign w:val="superscript"/>
                </w:rPr>
                <w:delText xml:space="preserve">b </w:delText>
              </w:r>
              <w:r>
                <w:rPr>
                  <w:rStyle w:val="normaltextrun"/>
                  <w:sz w:val="22"/>
                </w:rPr>
                <w:delText>Humira 2,4</w:delText>
              </w:r>
              <w:r w:rsidR="00294902" w:rsidRPr="00005EC2">
                <w:rPr>
                  <w:sz w:val="22"/>
                  <w:szCs w:val="22"/>
                </w:rPr>
                <w:delText> </w:delText>
              </w:r>
              <w:r>
                <w:rPr>
                  <w:rStyle w:val="normaltextrun"/>
                  <w:sz w:val="22"/>
                </w:rPr>
                <w:delText>mg/kg (maximální dávka 160</w:delText>
              </w:r>
              <w:r w:rsidR="00294902" w:rsidRPr="00005EC2">
                <w:rPr>
                  <w:sz w:val="22"/>
                  <w:szCs w:val="22"/>
                </w:rPr>
                <w:delText> </w:delText>
              </w:r>
              <w:r>
                <w:rPr>
                  <w:rStyle w:val="normaltextrun"/>
                  <w:sz w:val="22"/>
                </w:rPr>
                <w:delText>mg) v týdnech 0</w:delText>
              </w:r>
              <w:r w:rsidR="002378E0">
                <w:rPr>
                  <w:rStyle w:val="normaltextrun"/>
                  <w:sz w:val="22"/>
                </w:rPr>
                <w:delText xml:space="preserve"> a </w:delText>
              </w:r>
              <w:r>
                <w:rPr>
                  <w:rStyle w:val="normaltextrun"/>
                  <w:sz w:val="22"/>
                </w:rPr>
                <w:delText>1</w:delText>
              </w:r>
              <w:r w:rsidR="002378E0">
                <w:rPr>
                  <w:rStyle w:val="normaltextrun"/>
                  <w:sz w:val="22"/>
                </w:rPr>
                <w:delText xml:space="preserve"> a </w:delText>
              </w:r>
              <w:r>
                <w:rPr>
                  <w:rStyle w:val="normaltextrun"/>
                  <w:sz w:val="22"/>
                </w:rPr>
                <w:delText>1,2</w:delText>
              </w:r>
              <w:r w:rsidR="00294902" w:rsidRPr="00005EC2">
                <w:rPr>
                  <w:sz w:val="22"/>
                  <w:szCs w:val="22"/>
                </w:rPr>
                <w:delText> </w:delText>
              </w:r>
              <w:r>
                <w:rPr>
                  <w:rStyle w:val="normaltextrun"/>
                  <w:sz w:val="22"/>
                </w:rPr>
                <w:delText>mg/kg (maximální dávka 80</w:delText>
              </w:r>
              <w:r w:rsidR="00A57F08">
                <w:rPr>
                  <w:rStyle w:val="normaltextrun"/>
                </w:rPr>
                <w:delText> </w:delText>
              </w:r>
              <w:r>
                <w:rPr>
                  <w:rStyle w:val="normaltextrun"/>
                  <w:sz w:val="22"/>
                </w:rPr>
                <w:delText>mg) v</w:delText>
              </w:r>
              <w:r w:rsidR="00CC2427">
                <w:rPr>
                  <w:rStyle w:val="normaltextrun"/>
                  <w:sz w:val="22"/>
                </w:rPr>
                <w:delText> </w:delText>
              </w:r>
              <w:r>
                <w:rPr>
                  <w:rStyle w:val="normaltextrun"/>
                  <w:sz w:val="22"/>
                </w:rPr>
                <w:delText>týdnu 2</w:delText>
              </w:r>
            </w:del>
          </w:p>
          <w:p w14:paraId="688E81DE" w14:textId="77777777" w:rsidR="00385CE1" w:rsidRPr="00D01607" w:rsidRDefault="00000000" w:rsidP="008401F1">
            <w:pPr>
              <w:pStyle w:val="paragraph0"/>
              <w:spacing w:before="0" w:beforeAutospacing="0" w:after="0" w:afterAutospacing="0"/>
              <w:textAlignment w:val="baseline"/>
              <w:rPr>
                <w:del w:id="3481" w:author="AbbVie1" w:date="2025-05-13T09:50:00Z"/>
                <w:rStyle w:val="normaltextrun"/>
                <w:sz w:val="22"/>
                <w:szCs w:val="22"/>
              </w:rPr>
            </w:pPr>
            <w:del w:id="3482" w:author="AbbVie1" w:date="2025-05-13T09:50:00Z">
              <w:r>
                <w:rPr>
                  <w:rStyle w:val="normaltextrun"/>
                  <w:sz w:val="22"/>
                  <w:vertAlign w:val="superscript"/>
                </w:rPr>
                <w:delText xml:space="preserve">c </w:delText>
              </w:r>
              <w:r>
                <w:rPr>
                  <w:rStyle w:val="normaltextrun"/>
                  <w:sz w:val="22"/>
                </w:rPr>
                <w:delText>Nezahrnuje nezaslepenou indukční dávku přípravku Humira 2,4</w:delText>
              </w:r>
              <w:r w:rsidR="00294902" w:rsidRPr="00005EC2">
                <w:rPr>
                  <w:sz w:val="22"/>
                  <w:szCs w:val="22"/>
                </w:rPr>
                <w:delText> </w:delText>
              </w:r>
              <w:r>
                <w:rPr>
                  <w:rStyle w:val="normaltextrun"/>
                  <w:sz w:val="22"/>
                </w:rPr>
                <w:delText>mg/kg (maximální dávka 160</w:delText>
              </w:r>
              <w:r w:rsidR="00294902" w:rsidRPr="00005EC2">
                <w:rPr>
                  <w:sz w:val="22"/>
                  <w:szCs w:val="22"/>
                </w:rPr>
                <w:delText> </w:delText>
              </w:r>
              <w:r>
                <w:rPr>
                  <w:rStyle w:val="normaltextrun"/>
                  <w:sz w:val="22"/>
                </w:rPr>
                <w:delText>mg) v týdnech 0</w:delText>
              </w:r>
              <w:r w:rsidR="002378E0">
                <w:rPr>
                  <w:rStyle w:val="normaltextrun"/>
                  <w:sz w:val="22"/>
                </w:rPr>
                <w:delText xml:space="preserve"> a </w:delText>
              </w:r>
              <w:r>
                <w:rPr>
                  <w:rStyle w:val="normaltextrun"/>
                  <w:sz w:val="22"/>
                </w:rPr>
                <w:delText>1</w:delText>
              </w:r>
              <w:r w:rsidR="002378E0">
                <w:rPr>
                  <w:rStyle w:val="normaltextrun"/>
                  <w:sz w:val="22"/>
                </w:rPr>
                <w:delText xml:space="preserve"> a </w:delText>
              </w:r>
              <w:r>
                <w:rPr>
                  <w:rStyle w:val="normaltextrun"/>
                  <w:sz w:val="22"/>
                </w:rPr>
                <w:delText>1,2</w:delText>
              </w:r>
              <w:r w:rsidR="00294902" w:rsidRPr="00005EC2">
                <w:rPr>
                  <w:sz w:val="22"/>
                  <w:szCs w:val="22"/>
                </w:rPr>
                <w:delText> </w:delText>
              </w:r>
              <w:r>
                <w:rPr>
                  <w:rStyle w:val="normaltextrun"/>
                  <w:sz w:val="22"/>
                </w:rPr>
                <w:delText>mg/kg (maximální dávka 80</w:delText>
              </w:r>
              <w:r w:rsidR="00294902" w:rsidRPr="00005EC2">
                <w:rPr>
                  <w:sz w:val="22"/>
                  <w:szCs w:val="22"/>
                </w:rPr>
                <w:delText> </w:delText>
              </w:r>
              <w:r>
                <w:rPr>
                  <w:rStyle w:val="normaltextrun"/>
                  <w:sz w:val="22"/>
                </w:rPr>
                <w:delText>mg) v</w:delText>
              </w:r>
              <w:r w:rsidR="00CC2427">
                <w:rPr>
                  <w:rStyle w:val="normaltextrun"/>
                  <w:sz w:val="22"/>
                </w:rPr>
                <w:delText> </w:delText>
              </w:r>
              <w:r>
                <w:rPr>
                  <w:rStyle w:val="normaltextrun"/>
                  <w:sz w:val="22"/>
                </w:rPr>
                <w:delText>týdnu 2</w:delText>
              </w:r>
            </w:del>
          </w:p>
          <w:p w14:paraId="3E191663" w14:textId="77777777" w:rsidR="00385CE1" w:rsidRPr="00D01607" w:rsidRDefault="00000000" w:rsidP="008401F1">
            <w:pPr>
              <w:pStyle w:val="paragraph0"/>
              <w:spacing w:before="0" w:beforeAutospacing="0" w:after="0" w:afterAutospacing="0"/>
              <w:textAlignment w:val="baseline"/>
              <w:rPr>
                <w:del w:id="3483" w:author="AbbVie1" w:date="2025-05-13T09:50:00Z"/>
                <w:sz w:val="22"/>
                <w:szCs w:val="22"/>
              </w:rPr>
            </w:pPr>
            <w:del w:id="3484" w:author="AbbVie1" w:date="2025-05-13T09:50:00Z">
              <w:r>
                <w:rPr>
                  <w:rStyle w:val="normaltextrun"/>
                  <w:sz w:val="22"/>
                  <w:vertAlign w:val="superscript"/>
                </w:rPr>
                <w:delText>d</w:delText>
              </w:r>
              <w:r>
                <w:rPr>
                  <w:sz w:val="22"/>
                </w:rPr>
                <w:delText xml:space="preserve"> Humira 0,6</w:delText>
              </w:r>
              <w:r w:rsidR="00294902" w:rsidRPr="00005EC2">
                <w:rPr>
                  <w:sz w:val="22"/>
                  <w:szCs w:val="22"/>
                </w:rPr>
                <w:delText> </w:delText>
              </w:r>
              <w:r>
                <w:rPr>
                  <w:sz w:val="22"/>
                </w:rPr>
                <w:delText>mg/kg</w:delText>
              </w:r>
              <w:r w:rsidR="00CC2427">
                <w:rPr>
                  <w:sz w:val="22"/>
                </w:rPr>
                <w:delText xml:space="preserve"> </w:delText>
              </w:r>
              <w:r>
                <w:rPr>
                  <w:sz w:val="22"/>
                </w:rPr>
                <w:delText>(maximální dávka 40</w:delText>
              </w:r>
              <w:r w:rsidR="00294902" w:rsidRPr="00005EC2">
                <w:rPr>
                  <w:sz w:val="22"/>
                  <w:szCs w:val="22"/>
                </w:rPr>
                <w:delText> </w:delText>
              </w:r>
              <w:r>
                <w:rPr>
                  <w:sz w:val="22"/>
                </w:rPr>
                <w:delText>mg)</w:delText>
              </w:r>
              <w:r w:rsidR="00CC2427">
                <w:rPr>
                  <w:sz w:val="22"/>
                </w:rPr>
                <w:delText xml:space="preserve"> </w:delText>
              </w:r>
              <w:r>
                <w:rPr>
                  <w:sz w:val="22"/>
                </w:rPr>
                <w:delText>jednou za dva týdny</w:delText>
              </w:r>
            </w:del>
          </w:p>
          <w:p w14:paraId="637CADA7" w14:textId="77777777" w:rsidR="00385CE1" w:rsidRPr="00950D86" w:rsidRDefault="00000000" w:rsidP="008401F1">
            <w:pPr>
              <w:ind w:left="0" w:firstLine="0"/>
              <w:rPr>
                <w:del w:id="3485" w:author="AbbVie1" w:date="2025-05-13T09:50:00Z"/>
                <w:szCs w:val="22"/>
              </w:rPr>
            </w:pPr>
            <w:del w:id="3486" w:author="AbbVie1" w:date="2025-05-13T09:50:00Z">
              <w:r>
                <w:rPr>
                  <w:vertAlign w:val="superscript"/>
                </w:rPr>
                <w:delText>e</w:delText>
              </w:r>
              <w:r>
                <w:delText xml:space="preserve"> </w:delText>
              </w:r>
              <w:r w:rsidRPr="00950D86">
                <w:rPr>
                  <w:szCs w:val="22"/>
                </w:rPr>
                <w:delText>Humira 0,6</w:delText>
              </w:r>
              <w:r w:rsidR="00294902" w:rsidRPr="00005EC2">
                <w:rPr>
                  <w:szCs w:val="22"/>
                </w:rPr>
                <w:delText> </w:delText>
              </w:r>
              <w:r w:rsidRPr="00950D86">
                <w:rPr>
                  <w:szCs w:val="22"/>
                </w:rPr>
                <w:delText>mg/kg</w:delText>
              </w:r>
              <w:r w:rsidR="00CC2427" w:rsidRPr="00950D86">
                <w:rPr>
                  <w:szCs w:val="22"/>
                </w:rPr>
                <w:delText xml:space="preserve"> </w:delText>
              </w:r>
              <w:r w:rsidRPr="00950D86">
                <w:rPr>
                  <w:szCs w:val="22"/>
                </w:rPr>
                <w:delText>(maximální dávka 40</w:delText>
              </w:r>
              <w:r w:rsidR="00294902" w:rsidRPr="00005EC2">
                <w:rPr>
                  <w:szCs w:val="22"/>
                </w:rPr>
                <w:delText> </w:delText>
              </w:r>
              <w:r w:rsidRPr="00950D86">
                <w:rPr>
                  <w:szCs w:val="22"/>
                </w:rPr>
                <w:delText>mg)</w:delText>
              </w:r>
              <w:r w:rsidR="00CC2427" w:rsidRPr="00950D86">
                <w:rPr>
                  <w:szCs w:val="22"/>
                </w:rPr>
                <w:delText xml:space="preserve"> </w:delText>
              </w:r>
              <w:r w:rsidRPr="00950D86">
                <w:rPr>
                  <w:szCs w:val="22"/>
                </w:rPr>
                <w:delText>jednou týdně</w:delText>
              </w:r>
            </w:del>
          </w:p>
          <w:p w14:paraId="411EC9C4" w14:textId="77777777" w:rsidR="00385CE1" w:rsidRPr="00950D86" w:rsidRDefault="00000000" w:rsidP="008401F1">
            <w:pPr>
              <w:pStyle w:val="paragraph0"/>
              <w:spacing w:before="0" w:beforeAutospacing="0" w:after="0" w:afterAutospacing="0"/>
              <w:textAlignment w:val="baseline"/>
              <w:rPr>
                <w:del w:id="3487" w:author="AbbVie1" w:date="2025-05-13T09:50:00Z"/>
                <w:sz w:val="22"/>
                <w:szCs w:val="22"/>
              </w:rPr>
            </w:pPr>
            <w:del w:id="3488" w:author="AbbVie1" w:date="2025-05-13T09:50:00Z">
              <w:r w:rsidRPr="00950D86">
                <w:rPr>
                  <w:rStyle w:val="normaltextrun"/>
                  <w:sz w:val="22"/>
                  <w:szCs w:val="22"/>
                </w:rPr>
                <w:delText>Pozn. 1:</w:delText>
              </w:r>
              <w:r w:rsidRPr="00950D86">
                <w:rPr>
                  <w:sz w:val="22"/>
                  <w:szCs w:val="22"/>
                </w:rPr>
                <w:delText xml:space="preserve"> </w:delText>
              </w:r>
              <w:r w:rsidRPr="00950D86">
                <w:rPr>
                  <w:rStyle w:val="normaltextrun"/>
                  <w:sz w:val="22"/>
                  <w:szCs w:val="22"/>
                </w:rPr>
                <w:delText>Obě indukční skupiny dostávaly 0,6</w:delText>
              </w:r>
              <w:r w:rsidR="00294902" w:rsidRPr="00005EC2">
                <w:rPr>
                  <w:sz w:val="22"/>
                  <w:szCs w:val="22"/>
                </w:rPr>
                <w:delText> </w:delText>
              </w:r>
              <w:r w:rsidRPr="00950D86">
                <w:rPr>
                  <w:rStyle w:val="normaltextrun"/>
                  <w:sz w:val="22"/>
                  <w:szCs w:val="22"/>
                </w:rPr>
                <w:delText>mg/kg (maximální dávka 40</w:delText>
              </w:r>
              <w:r w:rsidR="00294902" w:rsidRPr="00005EC2">
                <w:rPr>
                  <w:sz w:val="22"/>
                  <w:szCs w:val="22"/>
                </w:rPr>
                <w:delText> </w:delText>
              </w:r>
              <w:r w:rsidRPr="00950D86">
                <w:rPr>
                  <w:rStyle w:val="normaltextrun"/>
                  <w:sz w:val="22"/>
                  <w:szCs w:val="22"/>
                </w:rPr>
                <w:delText>mg) v</w:delText>
              </w:r>
              <w:r w:rsidR="00CC2427" w:rsidRPr="00950D86">
                <w:rPr>
                  <w:rStyle w:val="normaltextrun"/>
                  <w:sz w:val="22"/>
                  <w:szCs w:val="22"/>
                </w:rPr>
                <w:delText> </w:delText>
              </w:r>
              <w:r w:rsidRPr="00950D86">
                <w:rPr>
                  <w:rStyle w:val="normaltextrun"/>
                  <w:sz w:val="22"/>
                  <w:szCs w:val="22"/>
                </w:rPr>
                <w:delText>týdnu 4</w:delText>
              </w:r>
              <w:r w:rsidR="002378E0">
                <w:rPr>
                  <w:rStyle w:val="normaltextrun"/>
                  <w:sz w:val="22"/>
                  <w:szCs w:val="22"/>
                </w:rPr>
                <w:delText xml:space="preserve"> a </w:delText>
              </w:r>
              <w:r w:rsidRPr="00950D86">
                <w:rPr>
                  <w:rStyle w:val="normaltextrun"/>
                  <w:sz w:val="22"/>
                  <w:szCs w:val="22"/>
                </w:rPr>
                <w:delText>6</w:delText>
              </w:r>
              <w:r w:rsidRPr="00950D86">
                <w:rPr>
                  <w:rStyle w:val="eop"/>
                  <w:sz w:val="22"/>
                  <w:szCs w:val="22"/>
                </w:rPr>
                <w:delText xml:space="preserve"> </w:delText>
              </w:r>
            </w:del>
          </w:p>
          <w:p w14:paraId="552F45D5" w14:textId="77777777" w:rsidR="00385CE1" w:rsidRPr="00950D86" w:rsidRDefault="00000000" w:rsidP="008401F1">
            <w:pPr>
              <w:pStyle w:val="paragraph0"/>
              <w:spacing w:before="0" w:beforeAutospacing="0" w:after="0" w:afterAutospacing="0"/>
              <w:textAlignment w:val="baseline"/>
              <w:rPr>
                <w:del w:id="3489" w:author="AbbVie1" w:date="2025-05-13T09:50:00Z"/>
                <w:rStyle w:val="eop"/>
                <w:sz w:val="22"/>
                <w:szCs w:val="22"/>
              </w:rPr>
            </w:pPr>
            <w:del w:id="3490" w:author="AbbVie1" w:date="2025-05-13T09:50:00Z">
              <w:r w:rsidRPr="00950D86">
                <w:rPr>
                  <w:rStyle w:val="normaltextrun"/>
                  <w:sz w:val="22"/>
                  <w:szCs w:val="22"/>
                </w:rPr>
                <w:delText>Pozn. 2:</w:delText>
              </w:r>
              <w:r w:rsidRPr="00950D86">
                <w:rPr>
                  <w:sz w:val="22"/>
                  <w:szCs w:val="22"/>
                </w:rPr>
                <w:delText xml:space="preserve"> </w:delText>
              </w:r>
              <w:r w:rsidRPr="00950D86">
                <w:rPr>
                  <w:rStyle w:val="normaltextrun"/>
                  <w:sz w:val="22"/>
                  <w:szCs w:val="22"/>
                </w:rPr>
                <w:delText>Pacienti s chybějícími hodnotami v týdnu 8 byli považováni za pacienty, kteří nesplnili cílové parametry</w:delText>
              </w:r>
            </w:del>
          </w:p>
          <w:p w14:paraId="1196F039" w14:textId="77777777" w:rsidR="00385CE1" w:rsidRPr="00D01607" w:rsidRDefault="00000000" w:rsidP="008401F1">
            <w:pPr>
              <w:pStyle w:val="paragraph0"/>
              <w:spacing w:before="0" w:beforeAutospacing="0" w:after="0" w:afterAutospacing="0"/>
              <w:textAlignment w:val="baseline"/>
              <w:rPr>
                <w:del w:id="3491" w:author="AbbVie1" w:date="2025-05-13T09:50:00Z"/>
                <w:sz w:val="22"/>
                <w:szCs w:val="22"/>
              </w:rPr>
            </w:pPr>
            <w:del w:id="3492" w:author="AbbVie1" w:date="2025-05-13T09:50:00Z">
              <w:r w:rsidRPr="00950D86">
                <w:rPr>
                  <w:rStyle w:val="eop"/>
                  <w:sz w:val="22"/>
                  <w:szCs w:val="22"/>
                </w:rPr>
                <w:delText>Pozn. 3:</w:delText>
              </w:r>
              <w:r w:rsidRPr="00950D86">
                <w:rPr>
                  <w:sz w:val="22"/>
                  <w:szCs w:val="22"/>
                </w:rPr>
                <w:delText xml:space="preserve"> Pacienti s chybějícími hodnotami v</w:delText>
              </w:r>
              <w:r w:rsidR="00CC2427" w:rsidRPr="00950D86">
                <w:rPr>
                  <w:sz w:val="22"/>
                  <w:szCs w:val="22"/>
                </w:rPr>
                <w:delText> </w:delText>
              </w:r>
              <w:r w:rsidRPr="00950D86">
                <w:rPr>
                  <w:sz w:val="22"/>
                  <w:szCs w:val="22"/>
                </w:rPr>
                <w:delText>týdnu 52 nebo randomizovaní k opětovné indukční nebo udržovací léčbě byli považováni za pacienty bez odpovědi pro cílové parametry v</w:delText>
              </w:r>
              <w:r w:rsidR="00CC2427" w:rsidRPr="00950D86">
                <w:rPr>
                  <w:sz w:val="22"/>
                  <w:szCs w:val="22"/>
                </w:rPr>
                <w:delText> </w:delText>
              </w:r>
              <w:r w:rsidRPr="00950D86">
                <w:rPr>
                  <w:sz w:val="22"/>
                  <w:szCs w:val="22"/>
                </w:rPr>
                <w:delText>týdnu 52</w:delText>
              </w:r>
            </w:del>
          </w:p>
        </w:tc>
      </w:tr>
    </w:tbl>
    <w:p w14:paraId="66A39EE7" w14:textId="77777777" w:rsidR="00385CE1" w:rsidRPr="00D01607" w:rsidRDefault="00385CE1" w:rsidP="00385CE1">
      <w:pPr>
        <w:rPr>
          <w:del w:id="3493" w:author="AbbVie1" w:date="2025-05-13T09:50:00Z"/>
        </w:rPr>
      </w:pPr>
    </w:p>
    <w:p w14:paraId="2E13E10E" w14:textId="77777777" w:rsidR="00385CE1" w:rsidRDefault="00000000" w:rsidP="00385CE1">
      <w:pPr>
        <w:ind w:left="0" w:firstLine="0"/>
        <w:rPr>
          <w:del w:id="3494" w:author="AbbVie1" w:date="2025-05-13T09:50:00Z"/>
        </w:rPr>
      </w:pPr>
      <w:del w:id="3495" w:author="AbbVie1" w:date="2025-05-13T09:50:00Z">
        <w:r>
          <w:delText>Z</w:delText>
        </w:r>
        <w:r w:rsidR="00012979">
          <w:delText> </w:delText>
        </w:r>
        <w:r>
          <w:delText>pacientů léčených přípravkem Humira, kteří během udržovacího období podstoupili opětovnou indukční léčbu, dosáhlo 2/6 (33</w:delText>
        </w:r>
        <w:r w:rsidR="00CC2427">
          <w:rPr>
            <w:rStyle w:val="normaltextrun"/>
          </w:rPr>
          <w:delText> </w:delText>
        </w:r>
        <w:r>
          <w:delText>%) klinické odpovědi podle FMS v</w:delText>
        </w:r>
        <w:r w:rsidR="00CC2427">
          <w:delText> </w:delText>
        </w:r>
        <w:r>
          <w:delText>týdnu 52.</w:delText>
        </w:r>
      </w:del>
    </w:p>
    <w:p w14:paraId="4BADA775" w14:textId="77777777" w:rsidR="00385CE1" w:rsidRPr="00D01607" w:rsidRDefault="00385CE1" w:rsidP="00385CE1">
      <w:pPr>
        <w:ind w:left="0" w:firstLine="0"/>
        <w:rPr>
          <w:del w:id="3496" w:author="AbbVie1" w:date="2025-05-13T09:50:00Z"/>
        </w:rPr>
      </w:pPr>
    </w:p>
    <w:p w14:paraId="5FFE1762" w14:textId="77777777" w:rsidR="00385CE1" w:rsidRDefault="00000000" w:rsidP="00385CE1">
      <w:pPr>
        <w:keepNext/>
        <w:ind w:left="0" w:firstLine="0"/>
        <w:rPr>
          <w:del w:id="3497" w:author="AbbVie1" w:date="2025-05-13T09:50:00Z"/>
          <w:bCs/>
          <w:i/>
          <w:u w:val="single"/>
        </w:rPr>
      </w:pPr>
      <w:del w:id="3498" w:author="AbbVie1" w:date="2025-05-13T09:50:00Z">
        <w:r>
          <w:rPr>
            <w:i/>
            <w:u w:val="single"/>
          </w:rPr>
          <w:delText>Kvalita života</w:delText>
        </w:r>
      </w:del>
    </w:p>
    <w:p w14:paraId="31D3E950" w14:textId="77777777" w:rsidR="00385CE1" w:rsidRPr="00D01607" w:rsidRDefault="00385CE1" w:rsidP="00385CE1">
      <w:pPr>
        <w:keepNext/>
        <w:ind w:left="0" w:firstLine="0"/>
        <w:rPr>
          <w:del w:id="3499" w:author="AbbVie1" w:date="2025-05-13T09:50:00Z"/>
          <w:bCs/>
          <w:i/>
          <w:u w:val="single"/>
        </w:rPr>
      </w:pPr>
    </w:p>
    <w:p w14:paraId="29AA6C51" w14:textId="77777777" w:rsidR="00385CE1" w:rsidRPr="00D01607" w:rsidRDefault="00000000" w:rsidP="00385CE1">
      <w:pPr>
        <w:keepNext/>
        <w:ind w:left="0" w:firstLine="0"/>
        <w:rPr>
          <w:del w:id="3500" w:author="AbbVie1" w:date="2025-05-13T09:50:00Z"/>
        </w:rPr>
      </w:pPr>
      <w:del w:id="3501" w:author="AbbVie1" w:date="2025-05-13T09:50:00Z">
        <w:r>
          <w:delText>U skupin léčených přípravkem Humira bylo pozorováno klinicky významné zlepšení v</w:delText>
        </w:r>
        <w:r w:rsidR="00E91197">
          <w:delText> </w:delText>
        </w:r>
        <w:r w:rsidRPr="001B4A02">
          <w:delText xml:space="preserve">parametrech kvality života (včetně </w:delText>
        </w:r>
        <w:r w:rsidRPr="00986E88">
          <w:rPr>
            <w:szCs w:val="22"/>
          </w:rPr>
          <w:delText>WPAI</w:delText>
        </w:r>
        <w:r w:rsidRPr="001B4A02">
          <w:delText xml:space="preserve"> </w:delText>
        </w:r>
        <w:r>
          <w:delText>skóre</w:delText>
        </w:r>
        <w:r w:rsidR="002378E0">
          <w:delText xml:space="preserve"> a </w:delText>
        </w:r>
        <w:r w:rsidRPr="001B4A02">
          <w:delText>IMPACT III</w:delText>
        </w:r>
        <w:r>
          <w:delText>).</w:delText>
        </w:r>
      </w:del>
    </w:p>
    <w:p w14:paraId="0A0A397E" w14:textId="77777777" w:rsidR="00385CE1" w:rsidRDefault="00385CE1" w:rsidP="00385CE1">
      <w:pPr>
        <w:ind w:left="0" w:firstLine="0"/>
        <w:rPr>
          <w:del w:id="3502" w:author="AbbVie1" w:date="2025-05-13T09:50:00Z"/>
        </w:rPr>
      </w:pPr>
    </w:p>
    <w:p w14:paraId="454C56FD" w14:textId="77777777" w:rsidR="00385CE1" w:rsidRDefault="00000000" w:rsidP="00385CE1">
      <w:pPr>
        <w:ind w:left="0" w:firstLine="0"/>
        <w:rPr>
          <w:del w:id="3503" w:author="AbbVie1" w:date="2025-05-13T09:50:00Z"/>
        </w:rPr>
      </w:pPr>
      <w:del w:id="3504" w:author="AbbVie1" w:date="2025-05-13T09:50:00Z">
        <w:r w:rsidRPr="001F29A6">
          <w:delText>U skupin léčených adalimumabem vysokou udržovací dávkou maximálně 40</w:delText>
        </w:r>
        <w:r>
          <w:delText> </w:delText>
        </w:r>
        <w:r w:rsidRPr="001F29A6">
          <w:delText>mg (0,6</w:delText>
        </w:r>
        <w:r>
          <w:delText> </w:delText>
        </w:r>
        <w:r w:rsidRPr="001F29A6">
          <w:delText>mg/kg) týdně bylo pozorováno klinicky významné zvýšení (zlepšení) rychlosti růstu</w:delText>
        </w:r>
        <w:r w:rsidR="002378E0">
          <w:delText xml:space="preserve"> a </w:delText>
        </w:r>
        <w:r w:rsidRPr="001F29A6">
          <w:delText>klinicky významné zvýšení (zlepšení) Body Mass Indexu v porovnání s výchozím stavem</w:delText>
        </w:r>
        <w:r>
          <w:delText>.</w:delText>
        </w:r>
      </w:del>
    </w:p>
    <w:p w14:paraId="1CB1F4F0" w14:textId="77777777" w:rsidR="00AB282F" w:rsidRPr="001B4A02" w:rsidRDefault="00AB282F" w:rsidP="00D76799">
      <w:pPr>
        <w:ind w:left="0" w:firstLine="0"/>
        <w:rPr>
          <w:del w:id="3505" w:author="AbbVie1" w:date="2025-05-13T09:50:00Z"/>
        </w:rPr>
      </w:pPr>
    </w:p>
    <w:p w14:paraId="720E6A89" w14:textId="77777777" w:rsidR="00D76799" w:rsidRDefault="00000000" w:rsidP="00D76799">
      <w:pPr>
        <w:pStyle w:val="gtcbodytext"/>
        <w:keepNext/>
        <w:spacing w:before="0" w:after="0" w:line="240" w:lineRule="auto"/>
        <w:rPr>
          <w:del w:id="3506" w:author="AbbVie1" w:date="2025-05-13T09:50:00Z"/>
          <w:bCs/>
          <w:i/>
          <w:iCs/>
          <w:sz w:val="22"/>
          <w:szCs w:val="22"/>
          <w:bdr w:val="nil"/>
          <w:lang w:val="cs-CZ"/>
        </w:rPr>
      </w:pPr>
      <w:del w:id="3507" w:author="AbbVie1" w:date="2025-05-13T09:50:00Z">
        <w:r w:rsidRPr="001B4A02">
          <w:rPr>
            <w:bCs/>
            <w:i/>
            <w:iCs/>
            <w:sz w:val="22"/>
            <w:szCs w:val="22"/>
            <w:lang w:val="cs-CZ"/>
          </w:rPr>
          <w:delText>Uveitida u pediatrických pacientů</w:delText>
        </w:r>
      </w:del>
    </w:p>
    <w:p w14:paraId="2E19F152" w14:textId="77777777" w:rsidR="00D76799" w:rsidRPr="0009084E" w:rsidRDefault="00D76799" w:rsidP="00D76799">
      <w:pPr>
        <w:pStyle w:val="gtcbodytext"/>
        <w:keepNext/>
        <w:spacing w:before="0" w:after="0" w:line="240" w:lineRule="auto"/>
        <w:rPr>
          <w:del w:id="3508" w:author="AbbVie1" w:date="2025-05-13T09:50:00Z"/>
          <w:bCs/>
          <w:sz w:val="22"/>
          <w:szCs w:val="22"/>
          <w:bdr w:val="nil"/>
          <w:lang w:val="cs-CZ"/>
        </w:rPr>
      </w:pPr>
    </w:p>
    <w:p w14:paraId="344BB1D4" w14:textId="77777777" w:rsidR="00D76799" w:rsidRPr="001B4A02" w:rsidRDefault="00000000" w:rsidP="00D76799">
      <w:pPr>
        <w:pStyle w:val="gtcbodytext"/>
        <w:spacing w:before="0" w:after="0" w:line="240" w:lineRule="auto"/>
        <w:rPr>
          <w:del w:id="3509" w:author="AbbVie1" w:date="2025-05-13T09:50:00Z"/>
          <w:bCs/>
          <w:sz w:val="22"/>
          <w:szCs w:val="20"/>
          <w:lang w:val="cs-CZ"/>
        </w:rPr>
      </w:pPr>
      <w:del w:id="3510" w:author="AbbVie1" w:date="2025-05-13T09:50:00Z">
        <w:r w:rsidRPr="001B4A02">
          <w:rPr>
            <w:bCs/>
            <w:sz w:val="22"/>
            <w:szCs w:val="22"/>
            <w:lang w:val="cs-CZ"/>
          </w:rPr>
          <w:delText>Bezpečnost</w:delText>
        </w:r>
        <w:r w:rsidR="002378E0">
          <w:rPr>
            <w:bCs/>
            <w:sz w:val="22"/>
            <w:szCs w:val="22"/>
            <w:lang w:val="cs-CZ"/>
          </w:rPr>
          <w:delText xml:space="preserve"> a </w:delText>
        </w:r>
        <w:r w:rsidRPr="001B4A02">
          <w:rPr>
            <w:bCs/>
            <w:sz w:val="22"/>
            <w:szCs w:val="22"/>
            <w:lang w:val="cs-CZ"/>
          </w:rPr>
          <w:delText>účinnost přípravku Humira byla hodnocena v randomizované, dvojitě zaslepené, kontrolované studii u 90 pediatrických pacientů ve věku od 2 do &lt; 18 let s neinfekční přední uveitidou související s JIA, kteří byli refrakterní na nejméně 12týdenní léčbu methotrexátem. Pacienti dostávali buď placebo nebo 20 mg adalimumabu (pokud měli tělesnou hmotnost &lt; 30</w:delText>
        </w:r>
        <w:r w:rsidR="002767FC">
          <w:rPr>
            <w:bCs/>
            <w:sz w:val="22"/>
            <w:szCs w:val="22"/>
            <w:lang w:val="cs-CZ"/>
          </w:rPr>
          <w:delText> kg</w:delText>
        </w:r>
        <w:r w:rsidRPr="001B4A02">
          <w:rPr>
            <w:bCs/>
            <w:sz w:val="22"/>
            <w:szCs w:val="22"/>
            <w:lang w:val="cs-CZ"/>
          </w:rPr>
          <w:delText>) nebo 40 mg adalimumabu (pokud měli tělesnou hmotnost ≥ 30</w:delText>
        </w:r>
        <w:r w:rsidR="002767FC">
          <w:rPr>
            <w:bCs/>
            <w:sz w:val="22"/>
            <w:szCs w:val="22"/>
            <w:lang w:val="cs-CZ"/>
          </w:rPr>
          <w:delText> kg</w:delText>
        </w:r>
        <w:r w:rsidRPr="001B4A02">
          <w:rPr>
            <w:bCs/>
            <w:sz w:val="22"/>
            <w:szCs w:val="22"/>
            <w:lang w:val="cs-CZ"/>
          </w:rPr>
          <w:delText xml:space="preserve">) každý druhý týden v kombinaci se svou úvodní dávkou methotrexátu. </w:delText>
        </w:r>
      </w:del>
    </w:p>
    <w:p w14:paraId="56F1E017" w14:textId="77777777" w:rsidR="00D76799" w:rsidRPr="001B4A02" w:rsidRDefault="00D76799" w:rsidP="00D76799">
      <w:pPr>
        <w:pStyle w:val="gtcbodytext"/>
        <w:spacing w:before="0" w:after="0" w:line="240" w:lineRule="auto"/>
        <w:rPr>
          <w:del w:id="3511" w:author="AbbVie1" w:date="2025-05-13T09:50:00Z"/>
          <w:bCs/>
          <w:sz w:val="22"/>
          <w:szCs w:val="20"/>
          <w:lang w:val="cs-CZ"/>
        </w:rPr>
      </w:pPr>
    </w:p>
    <w:p w14:paraId="182EB68A" w14:textId="77777777" w:rsidR="00D76799" w:rsidRPr="001B4A02" w:rsidRDefault="00000000" w:rsidP="00D76799">
      <w:pPr>
        <w:pStyle w:val="gtcbodytext"/>
        <w:spacing w:before="0" w:after="0" w:line="240" w:lineRule="auto"/>
        <w:rPr>
          <w:del w:id="3512" w:author="AbbVie1" w:date="2025-05-13T09:50:00Z"/>
          <w:bCs/>
          <w:sz w:val="22"/>
          <w:szCs w:val="20"/>
          <w:lang w:val="cs-CZ"/>
        </w:rPr>
      </w:pPr>
      <w:del w:id="3513" w:author="AbbVie1" w:date="2025-05-13T09:50:00Z">
        <w:r w:rsidRPr="001B4A02">
          <w:rPr>
            <w:bCs/>
            <w:sz w:val="22"/>
            <w:szCs w:val="22"/>
            <w:lang w:val="cs-CZ"/>
          </w:rPr>
          <w:delText>Primárním cílovým ukazatelem byla doba do selhání léčby. Kritériem pro stanovení selhání léčby bylo zhoršení nebo trvalé nezlepšení očního zánětu, částečné zlepšení s rozvojem trvalých očních komorbidit nebo zhoršení očních komorbidit, nepovolené použití souběžné léčby</w:delText>
        </w:r>
        <w:r w:rsidR="002378E0">
          <w:rPr>
            <w:bCs/>
            <w:sz w:val="22"/>
            <w:szCs w:val="22"/>
            <w:lang w:val="cs-CZ"/>
          </w:rPr>
          <w:delText xml:space="preserve"> a </w:delText>
        </w:r>
        <w:r w:rsidRPr="001B4A02">
          <w:rPr>
            <w:bCs/>
            <w:sz w:val="22"/>
            <w:szCs w:val="22"/>
            <w:lang w:val="cs-CZ"/>
          </w:rPr>
          <w:delText>přerušení léčby po delší časové období.</w:delText>
        </w:r>
      </w:del>
    </w:p>
    <w:p w14:paraId="531D79FD" w14:textId="77777777" w:rsidR="00D76799" w:rsidRPr="001B4A02" w:rsidRDefault="00D76799" w:rsidP="00D76799">
      <w:pPr>
        <w:pStyle w:val="gtcbodytext"/>
        <w:spacing w:before="0" w:after="0" w:line="240" w:lineRule="auto"/>
        <w:rPr>
          <w:del w:id="3514" w:author="AbbVie1" w:date="2025-05-13T09:50:00Z"/>
          <w:bCs/>
          <w:sz w:val="22"/>
          <w:szCs w:val="20"/>
          <w:lang w:val="cs-CZ"/>
        </w:rPr>
      </w:pPr>
    </w:p>
    <w:p w14:paraId="2CDDBF0B" w14:textId="77777777" w:rsidR="00D76799" w:rsidRPr="001B4A02" w:rsidRDefault="00000000" w:rsidP="00D76799">
      <w:pPr>
        <w:pStyle w:val="EMEAHeadingUnderline"/>
        <w:keepNext/>
        <w:spacing w:beforeLines="0" w:before="0" w:afterLines="0" w:after="0"/>
        <w:rPr>
          <w:del w:id="3515" w:author="AbbVie1" w:date="2025-05-13T09:50:00Z"/>
          <w:i/>
          <w:lang w:val="cs-CZ"/>
        </w:rPr>
      </w:pPr>
      <w:del w:id="3516" w:author="AbbVie1" w:date="2025-05-13T09:50:00Z">
        <w:r w:rsidRPr="001B4A02">
          <w:rPr>
            <w:i/>
            <w:iCs/>
            <w:szCs w:val="22"/>
            <w:lang w:val="cs-CZ"/>
          </w:rPr>
          <w:delText>Klinická odpověď</w:delText>
        </w:r>
      </w:del>
    </w:p>
    <w:p w14:paraId="51F6E48F" w14:textId="77777777" w:rsidR="00D76799" w:rsidRPr="007E416D" w:rsidRDefault="00D76799" w:rsidP="00D76799">
      <w:pPr>
        <w:pStyle w:val="gtcbodytext"/>
        <w:keepNext/>
        <w:spacing w:before="0" w:after="0" w:line="240" w:lineRule="auto"/>
        <w:rPr>
          <w:del w:id="3517" w:author="AbbVie1" w:date="2025-05-13T09:50:00Z"/>
          <w:sz w:val="22"/>
          <w:szCs w:val="22"/>
          <w:lang w:val="cs-CZ"/>
        </w:rPr>
      </w:pPr>
    </w:p>
    <w:p w14:paraId="07AB1A71" w14:textId="77777777" w:rsidR="00D76799" w:rsidRPr="001B4A02" w:rsidRDefault="00000000" w:rsidP="00D76799">
      <w:pPr>
        <w:ind w:left="0" w:firstLine="0"/>
        <w:rPr>
          <w:del w:id="3518" w:author="AbbVie1" w:date="2025-05-13T09:50:00Z"/>
          <w:bCs/>
        </w:rPr>
      </w:pPr>
      <w:del w:id="3519" w:author="AbbVie1" w:date="2025-05-13T09:50:00Z">
        <w:r w:rsidRPr="001B4A02">
          <w:rPr>
            <w:bCs/>
            <w:szCs w:val="22"/>
          </w:rPr>
          <w:delText xml:space="preserve">Adalimumab významně prodloužil dobu do selhání léčby v porovnání s placebem (viz obrázek </w:delText>
        </w:r>
        <w:r w:rsidR="00040F17">
          <w:rPr>
            <w:bCs/>
            <w:szCs w:val="22"/>
          </w:rPr>
          <w:delText>2</w:delText>
        </w:r>
        <w:r w:rsidRPr="001B4A02">
          <w:rPr>
            <w:bCs/>
            <w:szCs w:val="22"/>
          </w:rPr>
          <w:delText>, P &lt; 0,0001 z logrank testu). Medián doby do selhání léčby byl 24,1 týdnů u pacientů s placebem, zatímco medián doby do selhání léčby nebylo možné odhadnout u pacientů léčených adalimumabem, protože léčba selhala u méně než poloviny těchto pacientů. Adalimumab významně snížil riziko selhání léčby o 75 % v porovnání s placebem, jak je uvedeno podle hodnoty poměru rizik (HR = 0,25 [95% CI: 0,12; 0,49]).</w:delText>
        </w:r>
      </w:del>
    </w:p>
    <w:p w14:paraId="4A222862" w14:textId="77777777" w:rsidR="00D76799" w:rsidRPr="001B4A02" w:rsidRDefault="00D76799" w:rsidP="00D76799">
      <w:pPr>
        <w:rPr>
          <w:del w:id="3520" w:author="AbbVie1" w:date="2025-05-13T09:50:00Z"/>
          <w:bCs/>
        </w:rPr>
      </w:pPr>
    </w:p>
    <w:p w14:paraId="1B740E72" w14:textId="77777777" w:rsidR="00D76799" w:rsidRPr="001B4A02" w:rsidRDefault="00000000" w:rsidP="00D76799">
      <w:pPr>
        <w:pStyle w:val="gtcbodytext"/>
        <w:keepNext/>
        <w:spacing w:before="0" w:after="0" w:line="240" w:lineRule="auto"/>
        <w:jc w:val="center"/>
        <w:rPr>
          <w:del w:id="3521" w:author="AbbVie1" w:date="2025-05-13T09:50:00Z"/>
          <w:b/>
          <w:bCs/>
          <w:sz w:val="22"/>
          <w:szCs w:val="22"/>
          <w:bdr w:val="nil"/>
          <w:lang w:val="cs-CZ"/>
        </w:rPr>
      </w:pPr>
      <w:del w:id="3522" w:author="AbbVie1" w:date="2025-05-13T09:50:00Z">
        <w:r w:rsidRPr="001B4A02">
          <w:rPr>
            <w:b/>
            <w:bCs/>
            <w:sz w:val="22"/>
            <w:szCs w:val="22"/>
            <w:lang w:val="cs-CZ"/>
          </w:rPr>
          <w:delText xml:space="preserve">Obrázek </w:delText>
        </w:r>
        <w:r w:rsidR="00AB282F">
          <w:rPr>
            <w:b/>
            <w:bCs/>
            <w:sz w:val="22"/>
            <w:szCs w:val="22"/>
            <w:lang w:val="cs-CZ"/>
          </w:rPr>
          <w:delText>2</w:delText>
        </w:r>
        <w:r w:rsidRPr="001B4A02">
          <w:rPr>
            <w:b/>
            <w:bCs/>
            <w:sz w:val="22"/>
            <w:szCs w:val="22"/>
            <w:lang w:val="cs-CZ"/>
          </w:rPr>
          <w:delText>: Kaplan-Meierovy křivky shrnující dobu do selhání léčby ve studii u pediatrických pacientů s uveitidou</w:delText>
        </w:r>
      </w:del>
    </w:p>
    <w:p w14:paraId="4E5AF2E5" w14:textId="77777777" w:rsidR="00D76799" w:rsidRPr="001B4A02" w:rsidRDefault="00D76799" w:rsidP="00D76799">
      <w:pPr>
        <w:pStyle w:val="gtcbodytext"/>
        <w:keepNext/>
        <w:spacing w:before="0" w:after="0" w:line="240" w:lineRule="auto"/>
        <w:jc w:val="center"/>
        <w:rPr>
          <w:del w:id="3523" w:author="AbbVie1" w:date="2025-05-13T09:50:00Z"/>
          <w:b/>
          <w:sz w:val="22"/>
          <w:szCs w:val="22"/>
          <w:lang w:val="cs-CZ"/>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534A2D" w14:paraId="32995C31" w14:textId="77777777" w:rsidTr="00E571F5">
        <w:trPr>
          <w:cantSplit/>
          <w:trHeight w:val="3806"/>
          <w:del w:id="3524" w:author="AbbVie1" w:date="2025-05-13T09:50:00Z"/>
        </w:trPr>
        <w:tc>
          <w:tcPr>
            <w:tcW w:w="468" w:type="dxa"/>
            <w:shd w:val="clear" w:color="auto" w:fill="auto"/>
            <w:textDirection w:val="btLr"/>
            <w:vAlign w:val="bottom"/>
          </w:tcPr>
          <w:p w14:paraId="12251FF9" w14:textId="77777777" w:rsidR="00D76799" w:rsidRPr="001B4A02" w:rsidRDefault="00000000" w:rsidP="00E571F5">
            <w:pPr>
              <w:pStyle w:val="EMEANormal"/>
              <w:keepNext/>
              <w:ind w:left="113" w:right="113"/>
              <w:jc w:val="center"/>
              <w:rPr>
                <w:del w:id="3525" w:author="AbbVie1" w:date="2025-05-13T09:50:00Z"/>
                <w:b/>
                <w:szCs w:val="22"/>
                <w:lang w:val="cs-CZ"/>
              </w:rPr>
            </w:pPr>
            <w:del w:id="3526" w:author="AbbVie1" w:date="2025-05-13T09:50:00Z">
              <w:r w:rsidRPr="001B4A02">
                <w:rPr>
                  <w:b/>
                  <w:bCs/>
                  <w:szCs w:val="22"/>
                  <w:lang w:val="cs-CZ"/>
                </w:rPr>
                <w:delText>PRAVDĚPODOBOST SELHÁNÍ LÉČBY</w:delText>
              </w:r>
            </w:del>
          </w:p>
        </w:tc>
        <w:tc>
          <w:tcPr>
            <w:tcW w:w="8820" w:type="dxa"/>
            <w:gridSpan w:val="5"/>
            <w:shd w:val="clear" w:color="auto" w:fill="auto"/>
            <w:vAlign w:val="bottom"/>
          </w:tcPr>
          <w:p w14:paraId="354852B3" w14:textId="77777777" w:rsidR="00D76799" w:rsidRPr="001B4A02" w:rsidRDefault="00000000" w:rsidP="00E571F5">
            <w:pPr>
              <w:pStyle w:val="EMEANormal"/>
              <w:keepNext/>
              <w:rPr>
                <w:del w:id="3527" w:author="AbbVie1" w:date="2025-05-13T09:50:00Z"/>
                <w:szCs w:val="22"/>
                <w:lang w:val="cs-CZ"/>
              </w:rPr>
            </w:pPr>
            <w:del w:id="3528" w:author="AbbVie1" w:date="2025-05-13T09:50:00Z">
              <w:r w:rsidRPr="001B4A02">
                <w:rPr>
                  <w:noProof/>
                  <w:szCs w:val="22"/>
                </w:rPr>
                <w:drawing>
                  <wp:inline distT="0" distB="0" distL="0" distR="0" wp14:anchorId="26B07766" wp14:editId="5AE143F8">
                    <wp:extent cx="5486400" cy="4545965"/>
                    <wp:effectExtent l="0" t="0" r="0" b="6985"/>
                    <wp:docPr id="22" name="obrázek 470"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70" descr="Humira PED UV KM Curve REVISED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4545965"/>
                            </a:xfrm>
                            <a:prstGeom prst="rect">
                              <a:avLst/>
                            </a:prstGeom>
                            <a:noFill/>
                            <a:ln>
                              <a:noFill/>
                            </a:ln>
                          </pic:spPr>
                        </pic:pic>
                      </a:graphicData>
                    </a:graphic>
                  </wp:inline>
                </w:drawing>
              </w:r>
            </w:del>
          </w:p>
        </w:tc>
      </w:tr>
      <w:tr w:rsidR="00534A2D" w14:paraId="02E475C1" w14:textId="77777777" w:rsidTr="00E571F5">
        <w:trPr>
          <w:del w:id="3529" w:author="AbbVie1" w:date="2025-05-13T09:50:00Z"/>
        </w:trPr>
        <w:tc>
          <w:tcPr>
            <w:tcW w:w="468" w:type="dxa"/>
            <w:shd w:val="clear" w:color="auto" w:fill="auto"/>
          </w:tcPr>
          <w:p w14:paraId="4072A25C" w14:textId="77777777" w:rsidR="00D76799" w:rsidRPr="001B4A02" w:rsidRDefault="00D76799" w:rsidP="00E571F5">
            <w:pPr>
              <w:pStyle w:val="EMEANormal"/>
              <w:keepNext/>
              <w:rPr>
                <w:del w:id="3530" w:author="AbbVie1" w:date="2025-05-13T09:50:00Z"/>
                <w:szCs w:val="22"/>
                <w:lang w:val="cs-CZ"/>
              </w:rPr>
            </w:pPr>
          </w:p>
        </w:tc>
        <w:tc>
          <w:tcPr>
            <w:tcW w:w="8820" w:type="dxa"/>
            <w:gridSpan w:val="5"/>
            <w:shd w:val="clear" w:color="auto" w:fill="auto"/>
          </w:tcPr>
          <w:p w14:paraId="08CB861B" w14:textId="77777777" w:rsidR="00D76799" w:rsidRPr="001B4A02" w:rsidRDefault="00000000" w:rsidP="00E571F5">
            <w:pPr>
              <w:pStyle w:val="EMEANormal"/>
              <w:keepNext/>
              <w:jc w:val="center"/>
              <w:rPr>
                <w:del w:id="3531" w:author="AbbVie1" w:date="2025-05-13T09:50:00Z"/>
                <w:b/>
                <w:szCs w:val="22"/>
                <w:lang w:val="cs-CZ"/>
              </w:rPr>
            </w:pPr>
            <w:del w:id="3532" w:author="AbbVie1" w:date="2025-05-13T09:50:00Z">
              <w:r w:rsidRPr="001B4A02">
                <w:rPr>
                  <w:b/>
                  <w:bCs/>
                  <w:szCs w:val="22"/>
                  <w:lang w:val="cs-CZ"/>
                </w:rPr>
                <w:delText>ČAS (TÝDNY)</w:delText>
              </w:r>
            </w:del>
          </w:p>
        </w:tc>
      </w:tr>
      <w:tr w:rsidR="00534A2D" w14:paraId="7EBA05B9" w14:textId="77777777" w:rsidTr="00E571F5">
        <w:trPr>
          <w:del w:id="3533" w:author="AbbVie1" w:date="2025-05-13T09:50:00Z"/>
        </w:trPr>
        <w:tc>
          <w:tcPr>
            <w:tcW w:w="468" w:type="dxa"/>
            <w:shd w:val="clear" w:color="auto" w:fill="auto"/>
          </w:tcPr>
          <w:p w14:paraId="11862C95" w14:textId="77777777" w:rsidR="00D76799" w:rsidRPr="001B4A02" w:rsidRDefault="00D76799" w:rsidP="00E571F5">
            <w:pPr>
              <w:pStyle w:val="EMEANormal"/>
              <w:keepNext/>
              <w:rPr>
                <w:del w:id="3534" w:author="AbbVie1" w:date="2025-05-13T09:50:00Z"/>
                <w:szCs w:val="22"/>
                <w:lang w:val="cs-CZ"/>
              </w:rPr>
            </w:pPr>
          </w:p>
        </w:tc>
        <w:tc>
          <w:tcPr>
            <w:tcW w:w="3510" w:type="dxa"/>
            <w:shd w:val="clear" w:color="auto" w:fill="auto"/>
          </w:tcPr>
          <w:p w14:paraId="6368FDD6" w14:textId="77777777" w:rsidR="00D76799" w:rsidRPr="001B4A02" w:rsidRDefault="00000000" w:rsidP="00E571F5">
            <w:pPr>
              <w:pStyle w:val="EMEANormal"/>
              <w:keepNext/>
              <w:rPr>
                <w:del w:id="3535" w:author="AbbVie1" w:date="2025-05-13T09:50:00Z"/>
                <w:szCs w:val="22"/>
                <w:lang w:val="cs-CZ"/>
              </w:rPr>
            </w:pPr>
            <w:del w:id="3536" w:author="AbbVie1" w:date="2025-05-13T09:50:00Z">
              <w:r w:rsidRPr="001B4A02">
                <w:rPr>
                  <w:szCs w:val="22"/>
                  <w:lang w:val="cs-CZ"/>
                </w:rPr>
                <w:delText>Léčba</w:delText>
              </w:r>
            </w:del>
          </w:p>
        </w:tc>
        <w:tc>
          <w:tcPr>
            <w:tcW w:w="1170" w:type="dxa"/>
            <w:shd w:val="clear" w:color="auto" w:fill="auto"/>
            <w:vAlign w:val="bottom"/>
          </w:tcPr>
          <w:p w14:paraId="4DDEE3F1" w14:textId="77777777" w:rsidR="00D76799" w:rsidRPr="001B4A02" w:rsidRDefault="00000000" w:rsidP="00E571F5">
            <w:pPr>
              <w:pStyle w:val="EMEANormal"/>
              <w:keepNext/>
              <w:jc w:val="center"/>
              <w:rPr>
                <w:del w:id="3537" w:author="AbbVie1" w:date="2025-05-13T09:50:00Z"/>
                <w:szCs w:val="22"/>
                <w:lang w:val="cs-CZ"/>
              </w:rPr>
            </w:pPr>
            <w:del w:id="3538" w:author="AbbVie1" w:date="2025-05-13T09:50:00Z">
              <w:r w:rsidRPr="001B4A02">
                <w:rPr>
                  <w:noProof/>
                  <w:szCs w:val="22"/>
                </w:rPr>
                <w:drawing>
                  <wp:inline distT="0" distB="0" distL="0" distR="0" wp14:anchorId="0EF9589D" wp14:editId="0EC93882">
                    <wp:extent cx="457200" cy="112395"/>
                    <wp:effectExtent l="0" t="0" r="0" b="1905"/>
                    <wp:docPr id="25" name="obrázek 471"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471" descr="Humira PED UV KM Curve 1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57200" cy="112395"/>
                            </a:xfrm>
                            <a:prstGeom prst="rect">
                              <a:avLst/>
                            </a:prstGeom>
                            <a:noFill/>
                            <a:ln>
                              <a:noFill/>
                            </a:ln>
                          </pic:spPr>
                        </pic:pic>
                      </a:graphicData>
                    </a:graphic>
                  </wp:inline>
                </w:drawing>
              </w:r>
            </w:del>
          </w:p>
        </w:tc>
        <w:tc>
          <w:tcPr>
            <w:tcW w:w="1350" w:type="dxa"/>
            <w:shd w:val="clear" w:color="auto" w:fill="auto"/>
          </w:tcPr>
          <w:p w14:paraId="7ADB6F49" w14:textId="77777777" w:rsidR="00D76799" w:rsidRPr="001B4A02" w:rsidRDefault="00000000" w:rsidP="00E571F5">
            <w:pPr>
              <w:pStyle w:val="EMEANormal"/>
              <w:keepNext/>
              <w:rPr>
                <w:del w:id="3539" w:author="AbbVie1" w:date="2025-05-13T09:50:00Z"/>
                <w:szCs w:val="22"/>
                <w:lang w:val="cs-CZ"/>
              </w:rPr>
            </w:pPr>
            <w:del w:id="3540" w:author="AbbVie1" w:date="2025-05-13T09:50:00Z">
              <w:r w:rsidRPr="001B4A02">
                <w:rPr>
                  <w:szCs w:val="22"/>
                  <w:lang w:val="cs-CZ"/>
                </w:rPr>
                <w:delText>Placebo</w:delText>
              </w:r>
            </w:del>
          </w:p>
        </w:tc>
        <w:tc>
          <w:tcPr>
            <w:tcW w:w="900" w:type="dxa"/>
            <w:shd w:val="clear" w:color="auto" w:fill="auto"/>
            <w:vAlign w:val="center"/>
          </w:tcPr>
          <w:p w14:paraId="4F494273" w14:textId="77777777" w:rsidR="00D76799" w:rsidRPr="001B4A02" w:rsidRDefault="00000000" w:rsidP="00E571F5">
            <w:pPr>
              <w:pStyle w:val="EMEANormal"/>
              <w:keepNext/>
              <w:rPr>
                <w:del w:id="3541" w:author="AbbVie1" w:date="2025-05-13T09:50:00Z"/>
                <w:szCs w:val="22"/>
                <w:lang w:val="cs-CZ"/>
              </w:rPr>
            </w:pPr>
            <w:del w:id="3542" w:author="AbbVie1" w:date="2025-05-13T09:50:00Z">
              <w:r w:rsidRPr="001B4A02">
                <w:rPr>
                  <w:noProof/>
                  <w:szCs w:val="22"/>
                </w:rPr>
                <w:drawing>
                  <wp:inline distT="0" distB="0" distL="0" distR="0" wp14:anchorId="588992EA" wp14:editId="30D603FC">
                    <wp:extent cx="448310" cy="86360"/>
                    <wp:effectExtent l="0" t="0" r="8890" b="8890"/>
                    <wp:docPr id="26" name="obrázek 472"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72"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48310" cy="86360"/>
                            </a:xfrm>
                            <a:prstGeom prst="rect">
                              <a:avLst/>
                            </a:prstGeom>
                            <a:noFill/>
                            <a:ln>
                              <a:noFill/>
                            </a:ln>
                          </pic:spPr>
                        </pic:pic>
                      </a:graphicData>
                    </a:graphic>
                  </wp:inline>
                </w:drawing>
              </w:r>
            </w:del>
          </w:p>
        </w:tc>
        <w:tc>
          <w:tcPr>
            <w:tcW w:w="1890" w:type="dxa"/>
            <w:shd w:val="clear" w:color="auto" w:fill="auto"/>
          </w:tcPr>
          <w:p w14:paraId="4887043A" w14:textId="77777777" w:rsidR="00D76799" w:rsidRPr="001B4A02" w:rsidRDefault="00000000" w:rsidP="00E571F5">
            <w:pPr>
              <w:pStyle w:val="EMEANormal"/>
              <w:keepNext/>
              <w:rPr>
                <w:del w:id="3543" w:author="AbbVie1" w:date="2025-05-13T09:50:00Z"/>
                <w:szCs w:val="22"/>
                <w:lang w:val="cs-CZ"/>
              </w:rPr>
            </w:pPr>
            <w:del w:id="3544" w:author="AbbVie1" w:date="2025-05-13T09:50:00Z">
              <w:r w:rsidRPr="001B4A02">
                <w:rPr>
                  <w:szCs w:val="22"/>
                  <w:lang w:val="cs-CZ"/>
                </w:rPr>
                <w:delText>Adalimumab</w:delText>
              </w:r>
            </w:del>
          </w:p>
        </w:tc>
      </w:tr>
      <w:tr w:rsidR="00534A2D" w14:paraId="5123A079" w14:textId="77777777" w:rsidTr="00E571F5">
        <w:trPr>
          <w:del w:id="3545" w:author="AbbVie1" w:date="2025-05-13T09:50:00Z"/>
        </w:trPr>
        <w:tc>
          <w:tcPr>
            <w:tcW w:w="468" w:type="dxa"/>
            <w:shd w:val="clear" w:color="auto" w:fill="auto"/>
          </w:tcPr>
          <w:p w14:paraId="417A968C" w14:textId="77777777" w:rsidR="00D76799" w:rsidRPr="001B4A02" w:rsidRDefault="00D76799" w:rsidP="00E571F5">
            <w:pPr>
              <w:pStyle w:val="EMEANormal"/>
              <w:rPr>
                <w:del w:id="3546" w:author="AbbVie1" w:date="2025-05-13T09:50:00Z"/>
                <w:szCs w:val="22"/>
                <w:lang w:val="cs-CZ"/>
              </w:rPr>
            </w:pPr>
          </w:p>
        </w:tc>
        <w:tc>
          <w:tcPr>
            <w:tcW w:w="8820" w:type="dxa"/>
            <w:gridSpan w:val="5"/>
            <w:shd w:val="clear" w:color="auto" w:fill="auto"/>
          </w:tcPr>
          <w:p w14:paraId="16EE5AF1" w14:textId="77777777" w:rsidR="00D76799" w:rsidRPr="001B4A02" w:rsidRDefault="00000000" w:rsidP="00E571F5">
            <w:pPr>
              <w:pStyle w:val="EMEANormal"/>
              <w:rPr>
                <w:del w:id="3547" w:author="AbbVie1" w:date="2025-05-13T09:50:00Z"/>
                <w:szCs w:val="22"/>
                <w:lang w:val="cs-CZ"/>
              </w:rPr>
            </w:pPr>
            <w:del w:id="3548" w:author="AbbVie1" w:date="2025-05-13T09:50:00Z">
              <w:r w:rsidRPr="001B4A02">
                <w:rPr>
                  <w:szCs w:val="22"/>
                  <w:lang w:val="cs-CZ"/>
                </w:rPr>
                <w:delText>Poznámka: P = Placebo (počet v riziku); H = přípravek HUMIRA (počet v riziku).</w:delText>
              </w:r>
            </w:del>
          </w:p>
        </w:tc>
      </w:tr>
    </w:tbl>
    <w:p w14:paraId="5ED02263" w14:textId="77777777" w:rsidR="00D76799" w:rsidRPr="001B4A02" w:rsidRDefault="00D76799" w:rsidP="00D76799">
      <w:pPr>
        <w:pStyle w:val="EMEANormal"/>
        <w:rPr>
          <w:del w:id="3549" w:author="AbbVie1" w:date="2025-05-13T09:50:00Z"/>
          <w:bCs/>
          <w:szCs w:val="22"/>
          <w:lang w:val="cs-CZ"/>
        </w:rPr>
      </w:pPr>
    </w:p>
    <w:p w14:paraId="71C42766" w14:textId="77777777" w:rsidR="00073F8F" w:rsidRPr="001B4A02" w:rsidRDefault="00000000" w:rsidP="000A5426">
      <w:pPr>
        <w:keepNext/>
        <w:outlineLvl w:val="1"/>
        <w:rPr>
          <w:del w:id="3550" w:author="AbbVie1" w:date="2025-05-13T09:50:00Z"/>
          <w:b/>
        </w:rPr>
      </w:pPr>
      <w:del w:id="3551" w:author="AbbVie1" w:date="2025-05-13T09:50:00Z">
        <w:r>
          <w:rPr>
            <w:b/>
          </w:rPr>
          <w:delText>5.2</w:delText>
        </w:r>
        <w:r>
          <w:rPr>
            <w:b/>
          </w:rPr>
          <w:tab/>
        </w:r>
        <w:r w:rsidRPr="001B4A02">
          <w:rPr>
            <w:b/>
          </w:rPr>
          <w:delText>Farmakokinetické vlastnosti</w:delText>
        </w:r>
      </w:del>
    </w:p>
    <w:p w14:paraId="0D28626D" w14:textId="77777777" w:rsidR="00073F8F" w:rsidRPr="001B4A02" w:rsidRDefault="00073F8F" w:rsidP="00BF3683">
      <w:pPr>
        <w:keepNext/>
        <w:ind w:left="0" w:firstLine="0"/>
        <w:rPr>
          <w:del w:id="3552" w:author="AbbVie1" w:date="2025-05-13T09:50:00Z"/>
        </w:rPr>
      </w:pPr>
    </w:p>
    <w:p w14:paraId="6154B880" w14:textId="77777777" w:rsidR="007E078C" w:rsidRPr="001B4A02" w:rsidRDefault="00000000" w:rsidP="00BF3683">
      <w:pPr>
        <w:keepNext/>
        <w:ind w:left="0" w:firstLine="0"/>
        <w:rPr>
          <w:del w:id="3553" w:author="AbbVie1" w:date="2025-05-13T09:50:00Z"/>
          <w:u w:val="single"/>
        </w:rPr>
      </w:pPr>
      <w:del w:id="3554" w:author="AbbVie1" w:date="2025-05-13T09:50:00Z">
        <w:r w:rsidRPr="001B4A02">
          <w:rPr>
            <w:u w:val="single"/>
          </w:rPr>
          <w:delText>Absorpce</w:delText>
        </w:r>
        <w:r w:rsidR="002378E0">
          <w:rPr>
            <w:u w:val="single"/>
          </w:rPr>
          <w:delText xml:space="preserve"> a </w:delText>
        </w:r>
        <w:r w:rsidRPr="001B4A02">
          <w:rPr>
            <w:u w:val="single"/>
          </w:rPr>
          <w:delText>distribuce</w:delText>
        </w:r>
      </w:del>
    </w:p>
    <w:p w14:paraId="0A36FC97" w14:textId="77777777" w:rsidR="007E078C" w:rsidRPr="001B4A02" w:rsidRDefault="007E078C" w:rsidP="00BF3683">
      <w:pPr>
        <w:keepNext/>
        <w:ind w:left="0" w:firstLine="0"/>
        <w:rPr>
          <w:del w:id="3555" w:author="AbbVie1" w:date="2025-05-13T09:50:00Z"/>
        </w:rPr>
      </w:pPr>
    </w:p>
    <w:p w14:paraId="7A84EA85" w14:textId="77777777" w:rsidR="006B3BEF" w:rsidRPr="001B4A02" w:rsidRDefault="00000000" w:rsidP="00ED48A3">
      <w:pPr>
        <w:ind w:left="0" w:firstLine="0"/>
        <w:rPr>
          <w:del w:id="3556" w:author="AbbVie1" w:date="2025-05-13T09:50:00Z"/>
        </w:rPr>
      </w:pPr>
      <w:del w:id="3557" w:author="AbbVie1" w:date="2025-05-13T09:50:00Z">
        <w:r w:rsidRPr="001B4A02">
          <w:delText>Po podání dávky 24</w:delText>
        </w:r>
        <w:r w:rsidR="00294902">
          <w:delText> mg</w:delText>
        </w:r>
        <w:r w:rsidRPr="001B4A02">
          <w:delText>/m</w:delText>
        </w:r>
        <w:r w:rsidRPr="001B4A02">
          <w:rPr>
            <w:vertAlign w:val="superscript"/>
          </w:rPr>
          <w:delText xml:space="preserve">2 </w:delText>
        </w:r>
        <w:r w:rsidRPr="001B4A02">
          <w:delText>(maxim</w:delText>
        </w:r>
        <w:r w:rsidR="00CB76B1" w:rsidRPr="001B4A02">
          <w:delText xml:space="preserve">ální </w:delText>
        </w:r>
        <w:r w:rsidR="00EA192B" w:rsidRPr="001B4A02">
          <w:delText>dávk</w:delText>
        </w:r>
        <w:r w:rsidR="00EA192B">
          <w:delText>a</w:delText>
        </w:r>
        <w:r w:rsidR="00EA192B" w:rsidRPr="001B4A02">
          <w:delText xml:space="preserve"> </w:delText>
        </w:r>
        <w:r w:rsidRPr="001B4A02">
          <w:delText>40</w:delText>
        </w:r>
        <w:r w:rsidR="00294902">
          <w:delText> mg</w:delText>
        </w:r>
        <w:r w:rsidRPr="001B4A02">
          <w:delText xml:space="preserve">) subkutánně každý druhý týden pacientům s polyartikulární juvenilní idiopatickou artritidou (JIA) </w:delText>
        </w:r>
        <w:r w:rsidR="00EF07B3" w:rsidRPr="001B4A02">
          <w:delText xml:space="preserve">ve věku 4 až 17 let </w:delText>
        </w:r>
        <w:r w:rsidRPr="001B4A02">
          <w:delText>byl</w:delText>
        </w:r>
        <w:r w:rsidR="00380A2E" w:rsidRPr="001B4A02">
          <w:delText>y</w:delText>
        </w:r>
        <w:r w:rsidRPr="001B4A02">
          <w:delText xml:space="preserve"> </w:delText>
        </w:r>
        <w:r w:rsidR="00FC418B" w:rsidRPr="001B4A02">
          <w:delText>průměrné</w:delText>
        </w:r>
        <w:r w:rsidR="003060EC" w:rsidRPr="001B4A02">
          <w:delText xml:space="preserve"> nejnižší</w:delText>
        </w:r>
        <w:r w:rsidRPr="001B4A02">
          <w:delText xml:space="preserve"> koncentrace adalimumabu v séru v ustáleném stavu </w:delText>
        </w:r>
        <w:r w:rsidR="00380A2E" w:rsidRPr="001B4A02">
          <w:delText>(hodnoty měřené od 20. do 48. týdne) 5,6</w:delText>
        </w:r>
        <w:r w:rsidR="00610431">
          <w:delText> </w:delText>
        </w:r>
        <w:r w:rsidR="00380A2E" w:rsidRPr="001B4A02">
          <w:delText>±</w:delText>
        </w:r>
        <w:r w:rsidR="00610431">
          <w:delText> </w:delText>
        </w:r>
        <w:r w:rsidR="00380A2E" w:rsidRPr="001B4A02">
          <w:delText>5,6</w:delText>
        </w:r>
        <w:r w:rsidR="00610431">
          <w:delText> </w:delText>
        </w:r>
        <w:r w:rsidR="00380A2E" w:rsidRPr="001B4A02">
          <w:delText>µg/ml (102</w:delText>
        </w:r>
        <w:r w:rsidR="009C5EAC" w:rsidRPr="001B4A02">
          <w:delText> </w:delText>
        </w:r>
        <w:r w:rsidR="00380A2E" w:rsidRPr="001B4A02">
          <w:delText xml:space="preserve">% CV) při podávání </w:delText>
        </w:r>
        <w:r w:rsidR="00AC4FC8" w:rsidRPr="001B4A02">
          <w:delText xml:space="preserve">adalimumabu bez současného podávání </w:delText>
        </w:r>
        <w:r w:rsidR="00B104CE" w:rsidRPr="001B4A02">
          <w:delText>methotrexát</w:delText>
        </w:r>
        <w:r w:rsidR="00AC4FC8" w:rsidRPr="001B4A02">
          <w:delText>u</w:delText>
        </w:r>
        <w:r w:rsidR="002378E0">
          <w:delText xml:space="preserve"> a </w:delText>
        </w:r>
        <w:r w:rsidR="00380A2E" w:rsidRPr="001B4A02">
          <w:delText>10,9</w:delText>
        </w:r>
        <w:r w:rsidR="00610431">
          <w:delText> </w:delText>
        </w:r>
        <w:r w:rsidR="00380A2E" w:rsidRPr="001B4A02">
          <w:delText>±</w:delText>
        </w:r>
        <w:r w:rsidR="00610431">
          <w:delText> </w:delText>
        </w:r>
        <w:r w:rsidR="00380A2E" w:rsidRPr="001B4A02">
          <w:delText>5,2</w:delText>
        </w:r>
        <w:r w:rsidR="00610431">
          <w:delText> </w:delText>
        </w:r>
        <w:r w:rsidR="00380A2E" w:rsidRPr="001B4A02">
          <w:delText>µg/ml (47,7</w:delText>
        </w:r>
        <w:r w:rsidR="009C5EAC" w:rsidRPr="001B4A02">
          <w:delText> </w:delText>
        </w:r>
        <w:r w:rsidR="00380A2E" w:rsidRPr="001B4A02">
          <w:delText>% CV) při současném podávání methotrexátu.</w:delText>
        </w:r>
      </w:del>
    </w:p>
    <w:p w14:paraId="5825DCF6" w14:textId="77777777" w:rsidR="006B3BEF" w:rsidRPr="001B4A02" w:rsidRDefault="006B3BEF" w:rsidP="00ED48A3">
      <w:pPr>
        <w:ind w:left="0" w:firstLine="0"/>
        <w:rPr>
          <w:del w:id="3558" w:author="AbbVie1" w:date="2025-05-13T09:50:00Z"/>
        </w:rPr>
      </w:pPr>
    </w:p>
    <w:p w14:paraId="3F9AB1E4" w14:textId="77777777" w:rsidR="006D09C0" w:rsidRPr="001B4A02" w:rsidRDefault="00000000" w:rsidP="00ED48A3">
      <w:pPr>
        <w:ind w:left="0" w:firstLine="0"/>
        <w:rPr>
          <w:del w:id="3559" w:author="AbbVie1" w:date="2025-05-13T09:50:00Z"/>
        </w:rPr>
      </w:pPr>
      <w:del w:id="3560" w:author="AbbVie1" w:date="2025-05-13T09:50:00Z">
        <w:r w:rsidRPr="001B4A02">
          <w:delText>U pacientů s</w:delText>
        </w:r>
        <w:r w:rsidR="00A9166E" w:rsidRPr="001B4A02">
          <w:delText> </w:delText>
        </w:r>
        <w:r w:rsidR="00AC4FC8" w:rsidRPr="001B4A02">
          <w:delText>polyartikulární</w:delText>
        </w:r>
        <w:r w:rsidRPr="001B4A02">
          <w:delText> JIA ve věku 2 až &lt; 4 roky nebo ve věku 4 roky</w:delText>
        </w:r>
        <w:r w:rsidR="002378E0">
          <w:delText xml:space="preserve"> a </w:delText>
        </w:r>
        <w:r w:rsidRPr="001B4A02">
          <w:delText>starší s tělesnou hmotností &lt; 15</w:delText>
        </w:r>
        <w:r w:rsidR="002767FC">
          <w:delText> kg</w:delText>
        </w:r>
        <w:r w:rsidR="00F00303" w:rsidRPr="001B4A02">
          <w:delText xml:space="preserve">, léčených </w:delText>
        </w:r>
        <w:r w:rsidR="00AC4FC8" w:rsidRPr="001B4A02">
          <w:delText>adalimumabem</w:delText>
        </w:r>
        <w:r w:rsidR="00EF07B3" w:rsidRPr="001B4A02">
          <w:delText xml:space="preserve"> v dávce 24</w:delText>
        </w:r>
        <w:r w:rsidR="00294902">
          <w:delText> mg</w:delText>
        </w:r>
        <w:r w:rsidR="00EF07B3" w:rsidRPr="001B4A02">
          <w:delText>/m</w:delText>
        </w:r>
        <w:r w:rsidR="00EF07B3" w:rsidRPr="001B4A02">
          <w:rPr>
            <w:vertAlign w:val="superscript"/>
          </w:rPr>
          <w:delText>2</w:delText>
        </w:r>
        <w:r w:rsidR="00F00303" w:rsidRPr="001B4A02">
          <w:delText xml:space="preserve">, </w:delText>
        </w:r>
        <w:r w:rsidR="00EF07B3" w:rsidRPr="001B4A02">
          <w:delText>byl</w:delText>
        </w:r>
        <w:r w:rsidR="00F00303" w:rsidRPr="001B4A02">
          <w:delText xml:space="preserve">y průměrné </w:delText>
        </w:r>
        <w:r w:rsidR="003060EC" w:rsidRPr="001B4A02">
          <w:delText xml:space="preserve">nejnižší </w:delText>
        </w:r>
        <w:r w:rsidR="00F00303" w:rsidRPr="001B4A02">
          <w:delText>sérové koncentrace adalimumabu v ustáleném stavu 6,0 ± 6,1 µg/ml (101</w:delText>
        </w:r>
        <w:r w:rsidR="006008CB">
          <w:delText> %</w:delText>
        </w:r>
        <w:r w:rsidR="00F00303" w:rsidRPr="001B4A02">
          <w:delText xml:space="preserve"> CV)</w:delText>
        </w:r>
        <w:r w:rsidR="002009DF" w:rsidRPr="001B4A02">
          <w:delText xml:space="preserve"> u </w:delText>
        </w:r>
        <w:r w:rsidR="00F00303" w:rsidRPr="001B4A02">
          <w:delText xml:space="preserve">těch pacientů, kteří </w:delText>
        </w:r>
        <w:r w:rsidR="00D23A7A" w:rsidRPr="001B4A02">
          <w:delText>po</w:delText>
        </w:r>
        <w:r w:rsidR="00F00303" w:rsidRPr="001B4A02">
          <w:delText xml:space="preserve">užívali </w:delText>
        </w:r>
        <w:r w:rsidR="00AC4FC8" w:rsidRPr="001B4A02">
          <w:delText xml:space="preserve">adalimumab bez </w:delText>
        </w:r>
        <w:r w:rsidR="00B104CE" w:rsidRPr="001B4A02">
          <w:delText>methotrexát</w:delText>
        </w:r>
        <w:r w:rsidR="00AC4FC8" w:rsidRPr="001B4A02">
          <w:delText>u</w:delText>
        </w:r>
        <w:r w:rsidR="002378E0">
          <w:delText xml:space="preserve"> a </w:delText>
        </w:r>
        <w:r w:rsidR="00F00303" w:rsidRPr="001B4A02">
          <w:delText>7,9 ± 5,6 µg/ml (71,2</w:delText>
        </w:r>
        <w:r w:rsidR="006008CB">
          <w:delText> %</w:delText>
        </w:r>
        <w:r w:rsidR="00F00303" w:rsidRPr="001B4A02">
          <w:delText xml:space="preserve"> CV)</w:delText>
        </w:r>
        <w:r w:rsidR="002009DF" w:rsidRPr="001B4A02">
          <w:delText xml:space="preserve"> u </w:delText>
        </w:r>
        <w:r w:rsidR="00F00303" w:rsidRPr="001B4A02">
          <w:delText>těch, kteří současně užíva</w:delText>
        </w:r>
        <w:r w:rsidR="00AC4FC8" w:rsidRPr="001B4A02">
          <w:delText>li</w:delText>
        </w:r>
        <w:r w:rsidR="00F00303" w:rsidRPr="001B4A02">
          <w:delText xml:space="preserve"> methotrexát.</w:delText>
        </w:r>
      </w:del>
    </w:p>
    <w:p w14:paraId="2CA76094" w14:textId="77777777" w:rsidR="006D09C0" w:rsidRPr="001B4A02" w:rsidRDefault="006D09C0" w:rsidP="00ED48A3">
      <w:pPr>
        <w:ind w:left="0" w:firstLine="0"/>
        <w:rPr>
          <w:del w:id="3561" w:author="AbbVie1" w:date="2025-05-13T09:50:00Z"/>
        </w:rPr>
      </w:pPr>
    </w:p>
    <w:p w14:paraId="2C30E50F" w14:textId="77777777" w:rsidR="00AC4FC8" w:rsidRPr="001B4A02" w:rsidRDefault="00000000" w:rsidP="00ED48A3">
      <w:pPr>
        <w:ind w:left="0" w:firstLine="0"/>
        <w:rPr>
          <w:del w:id="3562" w:author="AbbVie1" w:date="2025-05-13T09:50:00Z"/>
        </w:rPr>
      </w:pPr>
      <w:del w:id="3563" w:author="AbbVie1" w:date="2025-05-13T09:50:00Z">
        <w:r w:rsidRPr="001B4A02">
          <w:delText xml:space="preserve">Po podání </w:delText>
        </w:r>
        <w:r w:rsidR="00F413FA" w:rsidRPr="001B4A02">
          <w:delText>dávky</w:delText>
        </w:r>
        <w:r w:rsidRPr="001B4A02">
          <w:delText xml:space="preserve"> 24</w:delText>
        </w:r>
        <w:r w:rsidR="00294902">
          <w:delText> mg</w:delText>
        </w:r>
        <w:r w:rsidRPr="001B4A02">
          <w:delText>/m</w:delText>
        </w:r>
        <w:r w:rsidRPr="001B4A02">
          <w:rPr>
            <w:vertAlign w:val="superscript"/>
          </w:rPr>
          <w:delText>2</w:delText>
        </w:r>
        <w:r w:rsidRPr="001B4A02">
          <w:delText xml:space="preserve"> (maximální </w:delText>
        </w:r>
        <w:r w:rsidR="00EA192B" w:rsidRPr="001B4A02">
          <w:delText>dávk</w:delText>
        </w:r>
        <w:r w:rsidR="00EA192B">
          <w:delText>a</w:delText>
        </w:r>
        <w:r w:rsidR="00EA192B" w:rsidRPr="001B4A02">
          <w:delText xml:space="preserve"> </w:delText>
        </w:r>
        <w:r w:rsidRPr="001B4A02">
          <w:delText>40</w:delText>
        </w:r>
        <w:r w:rsidR="00294902">
          <w:delText> mg</w:delText>
        </w:r>
        <w:r w:rsidRPr="001B4A02">
          <w:delText>) subkutánně každý druhý týden pacientům s ente</w:delText>
        </w:r>
        <w:r w:rsidR="00E44CD4" w:rsidRPr="001B4A02">
          <w:delText>zopatickou</w:delText>
        </w:r>
        <w:r w:rsidRPr="001B4A02">
          <w:delText xml:space="preserve"> artritidou ve věku 6 až 17 let byly průměrné </w:delText>
        </w:r>
        <w:r w:rsidR="003060EC" w:rsidRPr="001B4A02">
          <w:delText xml:space="preserve">nejnižší </w:delText>
        </w:r>
        <w:r w:rsidRPr="001B4A02">
          <w:delText xml:space="preserve">sérové koncentrace (hodnoty naměřené v týdnu 24) adalimumabu v ustáleném stavu 8,8 ± 6,6 µg/ml při podávání adalimumabu bez současného podávání </w:delText>
        </w:r>
        <w:r w:rsidR="00B104CE" w:rsidRPr="001B4A02">
          <w:delText>methotrexát</w:delText>
        </w:r>
        <w:r w:rsidR="00062315" w:rsidRPr="001B4A02">
          <w:delText>u</w:delText>
        </w:r>
        <w:r w:rsidR="002378E0">
          <w:delText xml:space="preserve"> a </w:delText>
        </w:r>
        <w:r w:rsidRPr="001B4A02">
          <w:delText xml:space="preserve">11,8 ± 4,3 µg/ml při současném podávání </w:delText>
        </w:r>
        <w:r w:rsidR="00F413FA" w:rsidRPr="001B4A02">
          <w:delText>methotrexátu</w:delText>
        </w:r>
        <w:r w:rsidRPr="001B4A02">
          <w:delText>.</w:delText>
        </w:r>
      </w:del>
    </w:p>
    <w:p w14:paraId="6AD03B60" w14:textId="77777777" w:rsidR="0023438F" w:rsidRPr="001B4A02" w:rsidRDefault="0023438F" w:rsidP="00ED48A3">
      <w:pPr>
        <w:ind w:left="0" w:firstLine="0"/>
        <w:rPr>
          <w:del w:id="3564" w:author="AbbVie1" w:date="2025-05-13T09:50:00Z"/>
        </w:rPr>
      </w:pPr>
    </w:p>
    <w:p w14:paraId="5182C44A" w14:textId="77777777" w:rsidR="0023438F" w:rsidRPr="001B4A02" w:rsidRDefault="00000000" w:rsidP="0023438F">
      <w:pPr>
        <w:ind w:left="0" w:firstLine="0"/>
        <w:rPr>
          <w:del w:id="3565" w:author="AbbVie1" w:date="2025-05-13T09:50:00Z"/>
        </w:rPr>
      </w:pPr>
      <w:del w:id="3566" w:author="AbbVie1" w:date="2025-05-13T09:50:00Z">
        <w:r w:rsidRPr="001B4A02">
          <w:delText>Po podání dávky 0,8</w:delText>
        </w:r>
        <w:r w:rsidR="00294902">
          <w:delText> mg</w:delText>
        </w:r>
        <w:r w:rsidRPr="001B4A02">
          <w:delText xml:space="preserve">/kg (maximální </w:delText>
        </w:r>
        <w:r w:rsidR="00EA192B" w:rsidRPr="001B4A02">
          <w:delText>dávk</w:delText>
        </w:r>
        <w:r w:rsidR="00EA192B">
          <w:delText>a</w:delText>
        </w:r>
        <w:r w:rsidR="00EA192B" w:rsidRPr="001B4A02">
          <w:delText xml:space="preserve"> </w:delText>
        </w:r>
        <w:r w:rsidRPr="001B4A02">
          <w:delText>40</w:delText>
        </w:r>
        <w:r w:rsidR="00294902">
          <w:delText> mg</w:delText>
        </w:r>
        <w:r w:rsidRPr="001B4A02">
          <w:delText>) subkutánně každý druhý týden pediatrickým pacientům s chronickou ložiskovou psoriázou byla průměrná nejnižší ± SD koncentrace adalimumabu v ustáleném stavu přibližně 7,4 ± 5,8 µg/ml (79</w:delText>
        </w:r>
        <w:r w:rsidR="006008CB">
          <w:delText> %</w:delText>
        </w:r>
        <w:r w:rsidRPr="001B4A02">
          <w:delText xml:space="preserve"> CV).</w:delText>
        </w:r>
      </w:del>
    </w:p>
    <w:p w14:paraId="20B132D0" w14:textId="77777777" w:rsidR="0023438F" w:rsidRPr="001B4A02" w:rsidRDefault="0023438F" w:rsidP="0023438F">
      <w:pPr>
        <w:ind w:left="0" w:firstLine="0"/>
        <w:rPr>
          <w:del w:id="3567" w:author="AbbVie1" w:date="2025-05-13T09:50:00Z"/>
        </w:rPr>
      </w:pPr>
    </w:p>
    <w:p w14:paraId="48F70691" w14:textId="77777777" w:rsidR="0023438F" w:rsidRPr="001B4A02" w:rsidRDefault="00000000" w:rsidP="0023438F">
      <w:pPr>
        <w:ind w:left="0" w:firstLine="0"/>
        <w:rPr>
          <w:del w:id="3568" w:author="AbbVie1" w:date="2025-05-13T09:50:00Z"/>
          <w:iCs/>
          <w:szCs w:val="22"/>
          <w:bdr w:val="nil"/>
        </w:rPr>
      </w:pPr>
      <w:del w:id="3569" w:author="AbbVie1" w:date="2025-05-13T09:50:00Z">
        <w:r w:rsidRPr="001B4A02">
          <w:rPr>
            <w:iCs/>
            <w:szCs w:val="22"/>
          </w:rPr>
          <w:delText>Expozice adalimumabu u</w:delText>
        </w:r>
        <w:r w:rsidR="00A9166E" w:rsidRPr="001B4A02">
          <w:rPr>
            <w:iCs/>
            <w:szCs w:val="22"/>
          </w:rPr>
          <w:delText> </w:delText>
        </w:r>
        <w:r w:rsidRPr="001B4A02">
          <w:rPr>
            <w:iCs/>
            <w:szCs w:val="22"/>
          </w:rPr>
          <w:delText>dospívajících pacientů s</w:delText>
        </w:r>
        <w:r w:rsidR="00A9166E" w:rsidRPr="001B4A02">
          <w:rPr>
            <w:iCs/>
            <w:szCs w:val="22"/>
          </w:rPr>
          <w:delText> </w:delText>
        </w:r>
        <w:r w:rsidRPr="001B4A02">
          <w:rPr>
            <w:iCs/>
            <w:szCs w:val="22"/>
          </w:rPr>
          <w:delText>HS byla predikována pomocí populačního farmakokinetického modelování</w:delText>
        </w:r>
        <w:r w:rsidR="002378E0">
          <w:rPr>
            <w:iCs/>
            <w:szCs w:val="22"/>
          </w:rPr>
          <w:delText xml:space="preserve"> a </w:delText>
        </w:r>
        <w:r w:rsidRPr="001B4A02">
          <w:rPr>
            <w:iCs/>
            <w:szCs w:val="22"/>
          </w:rPr>
          <w:delText>simulace na základě farmakokinetiky napříč indikacemi u</w:delText>
        </w:r>
        <w:r w:rsidR="00164B4F" w:rsidRPr="001B4A02">
          <w:rPr>
            <w:iCs/>
            <w:szCs w:val="22"/>
          </w:rPr>
          <w:delText> </w:delText>
        </w:r>
        <w:r w:rsidRPr="001B4A02">
          <w:rPr>
            <w:iCs/>
            <w:szCs w:val="22"/>
          </w:rPr>
          <w:delText>dalších pediatrických pacientů (pediatrická psoriáza, juvenilní idiopatická artritida, pediatrická Crohnova choroba</w:delText>
        </w:r>
        <w:r w:rsidR="002378E0">
          <w:rPr>
            <w:iCs/>
            <w:szCs w:val="22"/>
          </w:rPr>
          <w:delText xml:space="preserve"> a </w:delText>
        </w:r>
        <w:r w:rsidRPr="001B4A02">
          <w:rPr>
            <w:iCs/>
            <w:szCs w:val="22"/>
          </w:rPr>
          <w:delText xml:space="preserve">entezopatická artritida). Doporučený </w:delText>
        </w:r>
        <w:r w:rsidR="00CA329D" w:rsidRPr="001B4A02">
          <w:rPr>
            <w:iCs/>
            <w:szCs w:val="22"/>
          </w:rPr>
          <w:delText>režim</w:delText>
        </w:r>
        <w:r w:rsidRPr="001B4A02">
          <w:rPr>
            <w:iCs/>
            <w:szCs w:val="22"/>
          </w:rPr>
          <w:delText xml:space="preserve"> dávkování u</w:delText>
        </w:r>
        <w:r w:rsidR="00A9166E" w:rsidRPr="001B4A02">
          <w:rPr>
            <w:iCs/>
            <w:szCs w:val="22"/>
          </w:rPr>
          <w:delText> </w:delText>
        </w:r>
        <w:r w:rsidRPr="001B4A02">
          <w:rPr>
            <w:iCs/>
            <w:szCs w:val="22"/>
          </w:rPr>
          <w:delText>dospívajících s</w:delText>
        </w:r>
        <w:r w:rsidR="00A9166E" w:rsidRPr="001B4A02">
          <w:rPr>
            <w:iCs/>
            <w:szCs w:val="22"/>
          </w:rPr>
          <w:delText> </w:delText>
        </w:r>
        <w:r w:rsidRPr="001B4A02">
          <w:rPr>
            <w:iCs/>
            <w:szCs w:val="22"/>
          </w:rPr>
          <w:delText>HS je 40</w:delText>
        </w:r>
        <w:r w:rsidR="00294902">
          <w:rPr>
            <w:iCs/>
            <w:szCs w:val="22"/>
          </w:rPr>
          <w:delText> mg</w:delText>
        </w:r>
        <w:r w:rsidRPr="001B4A02">
          <w:rPr>
            <w:iCs/>
            <w:szCs w:val="22"/>
          </w:rPr>
          <w:delText xml:space="preserve"> každý druhý týden. Vzhledem k tomu, že expozice adalimumabu může být ovlivněna tělesnou hmotností, může být u</w:delText>
        </w:r>
        <w:r w:rsidR="00A9166E" w:rsidRPr="001B4A02">
          <w:rPr>
            <w:iCs/>
            <w:szCs w:val="22"/>
          </w:rPr>
          <w:delText> </w:delText>
        </w:r>
        <w:r w:rsidR="007633DC">
          <w:delText>dospívajících</w:delText>
        </w:r>
        <w:r w:rsidRPr="001B4A02">
          <w:rPr>
            <w:iCs/>
            <w:szCs w:val="22"/>
          </w:rPr>
          <w:delText xml:space="preserve"> s vyšší tělesnou hmotností</w:delText>
        </w:r>
        <w:r w:rsidR="002378E0">
          <w:rPr>
            <w:iCs/>
            <w:szCs w:val="22"/>
          </w:rPr>
          <w:delText xml:space="preserve"> a </w:delText>
        </w:r>
        <w:r w:rsidRPr="001B4A02">
          <w:rPr>
            <w:iCs/>
            <w:szCs w:val="22"/>
          </w:rPr>
          <w:delText>nedostatečnou odpovědí prospěšné dávkování 40 mg jednou týdně.</w:delText>
        </w:r>
      </w:del>
    </w:p>
    <w:p w14:paraId="47C3BA92" w14:textId="77777777" w:rsidR="00AC4FC8" w:rsidRPr="001B4A02" w:rsidRDefault="00AC4FC8" w:rsidP="00ED48A3">
      <w:pPr>
        <w:ind w:left="0" w:firstLine="0"/>
        <w:rPr>
          <w:del w:id="3570" w:author="AbbVie1" w:date="2025-05-13T09:50:00Z"/>
        </w:rPr>
      </w:pPr>
    </w:p>
    <w:p w14:paraId="3AD96156" w14:textId="77777777" w:rsidR="00A70C5F" w:rsidRPr="001B4A02" w:rsidRDefault="00000000" w:rsidP="00ED48A3">
      <w:pPr>
        <w:ind w:left="0" w:firstLine="0"/>
        <w:rPr>
          <w:del w:id="3571" w:author="AbbVie1" w:date="2025-05-13T09:50:00Z"/>
        </w:rPr>
      </w:pPr>
      <w:del w:id="3572" w:author="AbbVie1" w:date="2025-05-13T09:50:00Z">
        <w:r w:rsidRPr="001B4A02">
          <w:delText>U pediatrických</w:delText>
        </w:r>
        <w:r w:rsidR="00FC418B" w:rsidRPr="001B4A02">
          <w:delText xml:space="preserve"> </w:delText>
        </w:r>
        <w:r w:rsidR="00D90818" w:rsidRPr="001B4A02">
          <w:delText>pacientů</w:delText>
        </w:r>
        <w:r w:rsidRPr="001B4A02">
          <w:delText xml:space="preserve"> se středně těžkou až těžkou Crohnovou chorobou v otevřené fázi studie byly úvodní dávky adalimumabu v týdnech 0</w:delText>
        </w:r>
        <w:r w:rsidR="002378E0">
          <w:delText xml:space="preserve"> a </w:delText>
        </w:r>
        <w:r w:rsidRPr="001B4A02">
          <w:delText>2 bu</w:delText>
        </w:r>
        <w:r w:rsidR="00806E5B" w:rsidRPr="001B4A02">
          <w:delText>ď 160/80</w:delText>
        </w:r>
        <w:r w:rsidR="00294902">
          <w:delText> mg</w:delText>
        </w:r>
        <w:r w:rsidR="00436CE4" w:rsidRPr="001B4A02">
          <w:delText>,</w:delText>
        </w:r>
        <w:r w:rsidR="00806E5B" w:rsidRPr="001B4A02">
          <w:delText xml:space="preserve"> nebo 80/40</w:delText>
        </w:r>
        <w:r w:rsidR="00294902">
          <w:delText> mg</w:delText>
        </w:r>
        <w:r w:rsidR="00806E5B" w:rsidRPr="001B4A02">
          <w:delText xml:space="preserve">, </w:delText>
        </w:r>
        <w:r w:rsidRPr="001B4A02">
          <w:delText>v</w:delText>
        </w:r>
        <w:r w:rsidR="00EF0AF7" w:rsidRPr="001B4A02">
          <w:delText> </w:delText>
        </w:r>
        <w:r w:rsidRPr="001B4A02">
          <w:delText>závislosti na tělesné hmotnosti, přičemž hranicí byla hmotnost 40</w:delText>
        </w:r>
        <w:r w:rsidR="002767FC">
          <w:delText> kg</w:delText>
        </w:r>
        <w:r w:rsidRPr="001B4A02">
          <w:delText>.</w:delText>
        </w:r>
        <w:r w:rsidR="00806E5B" w:rsidRPr="001B4A02">
          <w:delText xml:space="preserve"> </w:delText>
        </w:r>
        <w:r w:rsidR="00FD4726" w:rsidRPr="001B4A02">
          <w:delText xml:space="preserve">V týdnu 4 </w:delText>
        </w:r>
        <w:r w:rsidR="00D90818" w:rsidRPr="001B4A02">
          <w:delText xml:space="preserve">byli pacienti </w:delText>
        </w:r>
        <w:r w:rsidR="00FD4726" w:rsidRPr="001B4A02">
          <w:delText>randomizován</w:delText>
        </w:r>
        <w:r w:rsidR="00D90818" w:rsidRPr="001B4A02">
          <w:delText>i</w:delText>
        </w:r>
        <w:r w:rsidR="00FD4726" w:rsidRPr="001B4A02">
          <w:delText xml:space="preserve"> v poměru 1:1</w:delText>
        </w:r>
        <w:r w:rsidR="002378E0">
          <w:delText xml:space="preserve"> a </w:delText>
        </w:r>
        <w:r w:rsidR="00FD4726" w:rsidRPr="001B4A02">
          <w:delText>dostával</w:delText>
        </w:r>
        <w:r w:rsidR="00D90818" w:rsidRPr="001B4A02">
          <w:delText>i</w:delText>
        </w:r>
        <w:r w:rsidR="00FD4726" w:rsidRPr="001B4A02">
          <w:delText xml:space="preserve"> </w:delText>
        </w:r>
        <w:r w:rsidRPr="001B4A02">
          <w:delText xml:space="preserve">v pokračovací léčbě </w:delText>
        </w:r>
        <w:r w:rsidR="00FD4726" w:rsidRPr="001B4A02">
          <w:delText xml:space="preserve">buď </w:delText>
        </w:r>
        <w:r w:rsidR="003F7A25" w:rsidRPr="001B4A02">
          <w:delText>standardní dávku (40/20</w:delText>
        </w:r>
        <w:r w:rsidR="00294902">
          <w:delText> mg</w:delText>
        </w:r>
        <w:r w:rsidR="003F7A25" w:rsidRPr="001B4A02">
          <w:delText xml:space="preserve"> každý druhý týden)</w:delText>
        </w:r>
        <w:r w:rsidR="00436CE4" w:rsidRPr="001B4A02">
          <w:delText>,</w:delText>
        </w:r>
        <w:r w:rsidR="003F7A25" w:rsidRPr="001B4A02">
          <w:delText xml:space="preserve"> nebo sníženou dávku (20/10</w:delText>
        </w:r>
        <w:r w:rsidR="00294902">
          <w:delText> mg</w:delText>
        </w:r>
        <w:r w:rsidR="003F7A25" w:rsidRPr="001B4A02">
          <w:delText xml:space="preserve"> každý druhý týden)</w:delText>
        </w:r>
        <w:r w:rsidR="00B43B56" w:rsidRPr="001B4A02">
          <w:delText xml:space="preserve"> v</w:delText>
        </w:r>
        <w:r w:rsidRPr="001B4A02">
          <w:delText> závislosti na jejich tělesné hmotnosti. Průměrné</w:delText>
        </w:r>
        <w:r w:rsidR="003060EC" w:rsidRPr="001B4A02">
          <w:delText xml:space="preserve"> nejnižší </w:delText>
        </w:r>
        <w:r w:rsidRPr="001B4A02">
          <w:rPr>
            <w:szCs w:val="22"/>
            <w:lang w:eastAsia="en-GB"/>
          </w:rPr>
          <w:delText>(</w:delText>
        </w:r>
        <w:r w:rsidRPr="001B4A02">
          <w:rPr>
            <w:rFonts w:eastAsia="Arial Unicode MS"/>
          </w:rPr>
          <w:delText xml:space="preserve">±SD) sérové koncentrace adalimumabu, kterých </w:delText>
        </w:r>
        <w:r w:rsidR="00D90818" w:rsidRPr="001B4A02">
          <w:rPr>
            <w:rFonts w:eastAsia="Arial Unicode MS"/>
          </w:rPr>
          <w:delText xml:space="preserve">dosáhli pacienti </w:delText>
        </w:r>
        <w:r w:rsidRPr="001B4A02">
          <w:rPr>
            <w:rFonts w:eastAsia="Arial Unicode MS"/>
          </w:rPr>
          <w:delText>v týdnu 4</w:delText>
        </w:r>
        <w:r w:rsidR="00FC418B" w:rsidRPr="001B4A02">
          <w:rPr>
            <w:rFonts w:eastAsia="Arial Unicode MS"/>
          </w:rPr>
          <w:delText>,</w:delText>
        </w:r>
        <w:r w:rsidRPr="001B4A02">
          <w:rPr>
            <w:rFonts w:eastAsia="Arial Unicode MS"/>
          </w:rPr>
          <w:delText xml:space="preserve"> </w:delText>
        </w:r>
        <w:r w:rsidR="00AE404C" w:rsidRPr="001B4A02">
          <w:rPr>
            <w:rFonts w:eastAsia="Arial Unicode MS"/>
          </w:rPr>
          <w:delText xml:space="preserve">byly </w:delText>
        </w:r>
        <w:r w:rsidRPr="001B4A02">
          <w:rPr>
            <w:rFonts w:eastAsia="Arial Unicode MS"/>
          </w:rPr>
          <w:delText>15,</w:delText>
        </w:r>
        <w:r w:rsidR="00AE404C" w:rsidRPr="001B4A02">
          <w:rPr>
            <w:rFonts w:eastAsia="Arial Unicode MS"/>
          </w:rPr>
          <w:delText>7 ±</w:delText>
        </w:r>
        <w:r w:rsidRPr="001B4A02">
          <w:rPr>
            <w:rFonts w:eastAsia="Arial Unicode MS"/>
          </w:rPr>
          <w:delText xml:space="preserve"> 6,6 </w:delText>
        </w:r>
        <w:r w:rsidRPr="001B4A02">
          <w:rPr>
            <w:rFonts w:ascii="Symbol" w:hAnsi="Symbol"/>
          </w:rPr>
          <w:sym w:font="Symbol" w:char="F06D"/>
        </w:r>
        <w:r w:rsidRPr="001B4A02">
          <w:delText>g/ml</w:delText>
        </w:r>
        <w:r w:rsidR="002009DF" w:rsidRPr="001B4A02">
          <w:delText xml:space="preserve"> u </w:delText>
        </w:r>
        <w:r w:rsidR="00D90818" w:rsidRPr="001B4A02">
          <w:delText xml:space="preserve">pacientů </w:delText>
        </w:r>
        <w:r w:rsidR="00AE404C" w:rsidRPr="001B4A02">
          <w:delText>≥ 40</w:delText>
        </w:r>
        <w:r w:rsidR="002767FC">
          <w:delText> kg</w:delText>
        </w:r>
        <w:r w:rsidR="00AE404C" w:rsidRPr="001B4A02">
          <w:delText xml:space="preserve"> (160/80</w:delText>
        </w:r>
        <w:r w:rsidR="00294902">
          <w:delText> mg</w:delText>
        </w:r>
        <w:r w:rsidR="00AE404C" w:rsidRPr="001B4A02">
          <w:delText>)</w:delText>
        </w:r>
        <w:r w:rsidR="002378E0">
          <w:delText xml:space="preserve"> a </w:delText>
        </w:r>
        <w:r w:rsidR="00AE404C" w:rsidRPr="001B4A02">
          <w:delText xml:space="preserve">10,6 ± 6,1 </w:delText>
        </w:r>
        <w:r w:rsidR="00AE404C" w:rsidRPr="001B4A02">
          <w:rPr>
            <w:rFonts w:ascii="Symbol" w:hAnsi="Symbol"/>
          </w:rPr>
          <w:sym w:font="Symbol" w:char="F06D"/>
        </w:r>
        <w:r w:rsidR="00AE404C" w:rsidRPr="001B4A02">
          <w:delText>g/ml</w:delText>
        </w:r>
        <w:r w:rsidR="002009DF" w:rsidRPr="001B4A02">
          <w:delText xml:space="preserve"> u </w:delText>
        </w:r>
        <w:r w:rsidR="00D90818" w:rsidRPr="001B4A02">
          <w:delText xml:space="preserve">pacientů </w:delText>
        </w:r>
        <w:r w:rsidR="00AE404C" w:rsidRPr="001B4A02">
          <w:delText>&lt; 40</w:delText>
        </w:r>
        <w:r w:rsidR="00294902">
          <w:delText> mg</w:delText>
        </w:r>
        <w:r w:rsidR="00AE404C" w:rsidRPr="001B4A02">
          <w:delText xml:space="preserve"> (80/40</w:delText>
        </w:r>
        <w:r w:rsidR="00294902">
          <w:delText> mg</w:delText>
        </w:r>
        <w:r w:rsidR="00AE404C" w:rsidRPr="001B4A02">
          <w:delText>).</w:delText>
        </w:r>
      </w:del>
    </w:p>
    <w:p w14:paraId="4077E21B" w14:textId="77777777" w:rsidR="00AE404C" w:rsidRPr="001B4A02" w:rsidRDefault="00AE404C" w:rsidP="00ED48A3">
      <w:pPr>
        <w:ind w:left="0" w:firstLine="0"/>
        <w:rPr>
          <w:del w:id="3573" w:author="AbbVie1" w:date="2025-05-13T09:50:00Z"/>
        </w:rPr>
      </w:pPr>
    </w:p>
    <w:p w14:paraId="5229F2AF" w14:textId="77777777" w:rsidR="00AE404C" w:rsidRPr="001B4A02" w:rsidRDefault="00000000" w:rsidP="00ED48A3">
      <w:pPr>
        <w:ind w:left="0" w:firstLine="0"/>
        <w:rPr>
          <w:del w:id="3574" w:author="AbbVie1" w:date="2025-05-13T09:50:00Z"/>
        </w:rPr>
      </w:pPr>
      <w:del w:id="3575" w:author="AbbVie1" w:date="2025-05-13T09:50:00Z">
        <w:r w:rsidRPr="001B4A02">
          <w:delText xml:space="preserve">U </w:delText>
        </w:r>
        <w:r w:rsidR="005C2685" w:rsidRPr="001B4A02">
          <w:delText>pacientů</w:delText>
        </w:r>
        <w:r w:rsidRPr="001B4A02">
          <w:delText>, k</w:delText>
        </w:r>
        <w:r w:rsidR="00B734C7" w:rsidRPr="001B4A02">
          <w:delText>t</w:delText>
        </w:r>
        <w:r w:rsidRPr="001B4A02">
          <w:delText xml:space="preserve">eří setrvávali na léčbě tak, jak byli randomizováni, byly </w:delText>
        </w:r>
        <w:r w:rsidR="00FC418B" w:rsidRPr="001B4A02">
          <w:delText xml:space="preserve">průměrné </w:delText>
        </w:r>
        <w:r w:rsidR="003060EC" w:rsidRPr="001B4A02">
          <w:delText xml:space="preserve">nejnižší </w:delText>
        </w:r>
        <w:r w:rsidRPr="001B4A02">
          <w:delText xml:space="preserve">koncentrace </w:delText>
        </w:r>
        <w:r w:rsidR="003060EC" w:rsidRPr="001B4A02">
          <w:delText xml:space="preserve">adalimumabu </w:delText>
        </w:r>
        <w:r w:rsidRPr="001B4A02">
          <w:delText xml:space="preserve">v týdnu 52 9,5 ± 5,6 </w:delText>
        </w:r>
        <w:r w:rsidRPr="001B4A02">
          <w:rPr>
            <w:rFonts w:ascii="Symbol" w:hAnsi="Symbol"/>
          </w:rPr>
          <w:sym w:font="Symbol" w:char="F06D"/>
        </w:r>
        <w:r w:rsidRPr="001B4A02">
          <w:delText>g/ml</w:delText>
        </w:r>
        <w:r w:rsidR="002009DF" w:rsidRPr="001B4A02">
          <w:delText xml:space="preserve"> u </w:delText>
        </w:r>
        <w:r w:rsidRPr="001B4A02">
          <w:delText xml:space="preserve">skupiny, která </w:delText>
        </w:r>
        <w:r w:rsidR="00D23A7A" w:rsidRPr="001B4A02">
          <w:delText>po</w:delText>
        </w:r>
        <w:r w:rsidRPr="001B4A02">
          <w:delText>užívala standardní dávku</w:delText>
        </w:r>
        <w:r w:rsidR="00436CE4" w:rsidRPr="001B4A02">
          <w:delText>,</w:delText>
        </w:r>
        <w:r w:rsidR="002378E0">
          <w:delText xml:space="preserve"> a </w:delText>
        </w:r>
        <w:r w:rsidRPr="001B4A02">
          <w:delText xml:space="preserve">3,5 ± 2,2 </w:delText>
        </w:r>
        <w:r w:rsidRPr="001B4A02">
          <w:rPr>
            <w:rFonts w:ascii="Symbol" w:hAnsi="Symbol"/>
          </w:rPr>
          <w:sym w:font="Symbol" w:char="F06D"/>
        </w:r>
        <w:r w:rsidRPr="001B4A02">
          <w:delText>g/ml</w:delText>
        </w:r>
        <w:r w:rsidR="002009DF" w:rsidRPr="001B4A02">
          <w:delText xml:space="preserve"> u </w:delText>
        </w:r>
        <w:r w:rsidRPr="001B4A02">
          <w:delText>skupiny</w:delText>
        </w:r>
        <w:r w:rsidR="00436CE4" w:rsidRPr="001B4A02">
          <w:delText>,</w:delText>
        </w:r>
        <w:r w:rsidRPr="001B4A02">
          <w:delText xml:space="preserve"> která </w:delText>
        </w:r>
        <w:r w:rsidR="00461AAA" w:rsidRPr="001B4A02">
          <w:delText>po</w:delText>
        </w:r>
        <w:r w:rsidRPr="001B4A02">
          <w:delText xml:space="preserve">užívala sníženou dávku. Průměrné </w:delText>
        </w:r>
        <w:r w:rsidR="003060EC" w:rsidRPr="001B4A02">
          <w:delText xml:space="preserve">nejnižší </w:delText>
        </w:r>
        <w:r w:rsidRPr="001B4A02">
          <w:delText>koncentrace adalimumabu se udržely</w:delText>
        </w:r>
        <w:r w:rsidR="002009DF" w:rsidRPr="001B4A02">
          <w:delText xml:space="preserve"> u </w:delText>
        </w:r>
        <w:r w:rsidRPr="001B4A02">
          <w:delText xml:space="preserve">těch </w:delText>
        </w:r>
        <w:r w:rsidR="005C2685" w:rsidRPr="001B4A02">
          <w:delText>pacientů</w:delText>
        </w:r>
        <w:r w:rsidRPr="001B4A02">
          <w:delText>,</w:delText>
        </w:r>
        <w:r w:rsidR="002009DF" w:rsidRPr="001B4A02">
          <w:delText xml:space="preserve"> u </w:delText>
        </w:r>
        <w:r w:rsidR="009874EF" w:rsidRPr="001B4A02">
          <w:delText>nichž se s podáváním adalimumabu každý druhý týden pokračovalo 52 týdnů. U</w:delText>
        </w:r>
        <w:r w:rsidR="00883A75" w:rsidRPr="001B4A02">
          <w:delText> </w:delText>
        </w:r>
        <w:r w:rsidR="005C2685" w:rsidRPr="001B4A02">
          <w:delText>pacientů</w:delText>
        </w:r>
        <w:r w:rsidR="00411C2F" w:rsidRPr="001B4A02">
          <w:delText>,</w:delText>
        </w:r>
        <w:r w:rsidR="002009DF" w:rsidRPr="001B4A02">
          <w:delText xml:space="preserve"> u </w:delText>
        </w:r>
        <w:r w:rsidR="00411C2F" w:rsidRPr="001B4A02">
          <w:delText xml:space="preserve">kterých byla dávka zvýšena z podávání každý druhý týden na jednou týdně, byly průměrné (±SD) sérové koncentrace adalimumabu v týdnu </w:delText>
        </w:r>
        <w:r w:rsidR="00B734C7" w:rsidRPr="001B4A02">
          <w:delText>52 15,3 ± 11,4</w:delText>
        </w:r>
        <w:r w:rsidR="00411C2F" w:rsidRPr="001B4A02">
          <w:delText xml:space="preserve"> </w:delText>
        </w:r>
        <w:r w:rsidR="00411C2F" w:rsidRPr="001B4A02">
          <w:rPr>
            <w:rFonts w:ascii="Symbol" w:hAnsi="Symbol"/>
          </w:rPr>
          <w:sym w:font="Symbol" w:char="F06D"/>
        </w:r>
        <w:r w:rsidR="00411C2F" w:rsidRPr="001B4A02">
          <w:delText>g/ml (40/2</w:delText>
        </w:r>
        <w:r w:rsidR="00436CE4" w:rsidRPr="001B4A02">
          <w:delText>0</w:delText>
        </w:r>
        <w:r w:rsidR="00294902">
          <w:delText> mg</w:delText>
        </w:r>
        <w:r w:rsidR="00411C2F" w:rsidRPr="001B4A02">
          <w:delText>, jednou týdně)</w:delText>
        </w:r>
        <w:r w:rsidR="002378E0">
          <w:delText xml:space="preserve"> a </w:delText>
        </w:r>
        <w:r w:rsidR="00411C2F" w:rsidRPr="001B4A02">
          <w:delText xml:space="preserve">6,7 ± 3,5 </w:delText>
        </w:r>
        <w:r w:rsidR="00411C2F" w:rsidRPr="001B4A02">
          <w:rPr>
            <w:rFonts w:ascii="Symbol" w:hAnsi="Symbol"/>
          </w:rPr>
          <w:sym w:font="Symbol" w:char="F06D"/>
        </w:r>
        <w:r w:rsidR="00411C2F" w:rsidRPr="001B4A02">
          <w:delText>g/ml (20/10</w:delText>
        </w:r>
        <w:r w:rsidR="00294902">
          <w:delText> mg</w:delText>
        </w:r>
        <w:r w:rsidR="00411C2F" w:rsidRPr="001B4A02">
          <w:delText>, jednou týdně).</w:delText>
        </w:r>
      </w:del>
    </w:p>
    <w:p w14:paraId="2E500B5A" w14:textId="77777777" w:rsidR="00A70C5F" w:rsidRPr="001B4A02" w:rsidRDefault="00A70C5F" w:rsidP="00ED48A3">
      <w:pPr>
        <w:ind w:left="0" w:firstLine="0"/>
        <w:rPr>
          <w:del w:id="3576" w:author="AbbVie1" w:date="2025-05-13T09:50:00Z"/>
        </w:rPr>
      </w:pPr>
    </w:p>
    <w:p w14:paraId="4FD04520" w14:textId="77777777" w:rsidR="004205D5" w:rsidRPr="001B4A02" w:rsidRDefault="00000000" w:rsidP="00ED48A3">
      <w:pPr>
        <w:pStyle w:val="EMEANormal"/>
        <w:rPr>
          <w:del w:id="3577" w:author="AbbVie1" w:date="2025-05-13T09:50:00Z"/>
          <w:iCs/>
          <w:lang w:val="cs-CZ"/>
        </w:rPr>
      </w:pPr>
      <w:del w:id="3578" w:author="AbbVie1" w:date="2025-05-13T09:50:00Z">
        <w:r w:rsidRPr="001B4A02">
          <w:rPr>
            <w:iCs/>
            <w:szCs w:val="22"/>
            <w:lang w:val="cs-CZ"/>
          </w:rPr>
          <w:delText>Expozice adalimumabu</w:delText>
        </w:r>
        <w:r w:rsidR="002009DF" w:rsidRPr="001B4A02">
          <w:rPr>
            <w:iCs/>
            <w:szCs w:val="22"/>
            <w:lang w:val="cs-CZ"/>
          </w:rPr>
          <w:delText xml:space="preserve"> u </w:delText>
        </w:r>
        <w:r w:rsidR="00CE4384" w:rsidRPr="001B4A02">
          <w:rPr>
            <w:iCs/>
            <w:szCs w:val="22"/>
            <w:lang w:val="cs-CZ"/>
          </w:rPr>
          <w:delText xml:space="preserve">pediatrických </w:delText>
        </w:r>
        <w:r w:rsidRPr="001B4A02">
          <w:rPr>
            <w:iCs/>
            <w:szCs w:val="22"/>
            <w:lang w:val="cs-CZ"/>
          </w:rPr>
          <w:delText>pacientů s</w:delText>
        </w:r>
        <w:r w:rsidR="00A9166E" w:rsidRPr="001B4A02">
          <w:rPr>
            <w:iCs/>
            <w:szCs w:val="22"/>
            <w:lang w:val="cs-CZ"/>
          </w:rPr>
          <w:delText> </w:delText>
        </w:r>
        <w:r w:rsidRPr="001B4A02">
          <w:rPr>
            <w:iCs/>
            <w:szCs w:val="22"/>
            <w:lang w:val="cs-CZ"/>
          </w:rPr>
          <w:delText>uveitidou byla predikována pomocí populačního farmakokinetického modelování</w:delText>
        </w:r>
        <w:r w:rsidR="002378E0">
          <w:rPr>
            <w:iCs/>
            <w:szCs w:val="22"/>
            <w:lang w:val="cs-CZ"/>
          </w:rPr>
          <w:delText xml:space="preserve"> a </w:delText>
        </w:r>
        <w:r w:rsidRPr="001B4A02">
          <w:rPr>
            <w:iCs/>
            <w:szCs w:val="22"/>
            <w:lang w:val="cs-CZ"/>
          </w:rPr>
          <w:delText>simulace na základě farmakokinetiky se zkříženou indikací</w:delText>
        </w:r>
        <w:r w:rsidR="002009DF" w:rsidRPr="001B4A02">
          <w:rPr>
            <w:iCs/>
            <w:szCs w:val="22"/>
            <w:lang w:val="cs-CZ"/>
          </w:rPr>
          <w:delText xml:space="preserve"> u </w:delText>
        </w:r>
        <w:r w:rsidRPr="001B4A02">
          <w:rPr>
            <w:iCs/>
            <w:szCs w:val="22"/>
            <w:lang w:val="cs-CZ"/>
          </w:rPr>
          <w:delText>dalších pediatrických pacientů (psoriáza</w:delText>
        </w:r>
        <w:r w:rsidR="002009DF" w:rsidRPr="001B4A02">
          <w:rPr>
            <w:iCs/>
            <w:szCs w:val="22"/>
            <w:lang w:val="cs-CZ"/>
          </w:rPr>
          <w:delText xml:space="preserve"> u </w:delText>
        </w:r>
        <w:r w:rsidR="000B6EE4" w:rsidRPr="001B4A02">
          <w:rPr>
            <w:iCs/>
            <w:szCs w:val="22"/>
            <w:lang w:val="cs-CZ"/>
          </w:rPr>
          <w:delText>dětí</w:delText>
        </w:r>
        <w:r w:rsidRPr="001B4A02">
          <w:rPr>
            <w:iCs/>
            <w:szCs w:val="22"/>
            <w:lang w:val="cs-CZ"/>
          </w:rPr>
          <w:delText>, juvenilní idiopatická artritida, Crohnova nemoc</w:delText>
        </w:r>
        <w:r w:rsidR="002009DF" w:rsidRPr="001B4A02">
          <w:rPr>
            <w:iCs/>
            <w:szCs w:val="22"/>
            <w:lang w:val="cs-CZ"/>
          </w:rPr>
          <w:delText xml:space="preserve"> u </w:delText>
        </w:r>
        <w:r w:rsidR="000B6EE4" w:rsidRPr="001B4A02">
          <w:rPr>
            <w:iCs/>
            <w:szCs w:val="22"/>
            <w:lang w:val="cs-CZ"/>
          </w:rPr>
          <w:delText>dětí</w:delText>
        </w:r>
        <w:r w:rsidR="002378E0">
          <w:rPr>
            <w:iCs/>
            <w:szCs w:val="22"/>
            <w:lang w:val="cs-CZ"/>
          </w:rPr>
          <w:delText xml:space="preserve"> a </w:delText>
        </w:r>
        <w:r w:rsidRPr="001B4A02">
          <w:rPr>
            <w:iCs/>
            <w:szCs w:val="22"/>
            <w:lang w:val="cs-CZ"/>
          </w:rPr>
          <w:delText>entezopatická artritida). Nejsou k</w:delText>
        </w:r>
        <w:r w:rsidR="00EF0AF7" w:rsidRPr="001B4A02">
          <w:rPr>
            <w:iCs/>
            <w:szCs w:val="22"/>
            <w:lang w:val="cs-CZ"/>
          </w:rPr>
          <w:delText> </w:delText>
        </w:r>
        <w:r w:rsidRPr="001B4A02">
          <w:rPr>
            <w:iCs/>
            <w:szCs w:val="22"/>
            <w:lang w:val="cs-CZ"/>
          </w:rPr>
          <w:delText>dispozici žádné klinické údaje o</w:delText>
        </w:r>
        <w:r w:rsidR="00923691" w:rsidRPr="001B4A02">
          <w:rPr>
            <w:iCs/>
            <w:szCs w:val="22"/>
            <w:lang w:val="cs-CZ"/>
          </w:rPr>
          <w:delText> </w:delText>
        </w:r>
        <w:r w:rsidRPr="001B4A02">
          <w:rPr>
            <w:iCs/>
            <w:szCs w:val="22"/>
            <w:lang w:val="cs-CZ"/>
          </w:rPr>
          <w:delText xml:space="preserve">použití </w:delText>
        </w:r>
        <w:r w:rsidR="00CE4384" w:rsidRPr="001B4A02">
          <w:rPr>
            <w:iCs/>
            <w:szCs w:val="22"/>
            <w:lang w:val="cs-CZ"/>
          </w:rPr>
          <w:delText>úvodn</w:delText>
        </w:r>
        <w:r w:rsidRPr="001B4A02">
          <w:rPr>
            <w:iCs/>
            <w:szCs w:val="22"/>
            <w:lang w:val="cs-CZ"/>
          </w:rPr>
          <w:delText>í dávky</w:delText>
        </w:r>
        <w:r w:rsidR="002009DF" w:rsidRPr="001B4A02">
          <w:rPr>
            <w:iCs/>
            <w:szCs w:val="22"/>
            <w:lang w:val="cs-CZ"/>
          </w:rPr>
          <w:delText xml:space="preserve"> u </w:delText>
        </w:r>
        <w:r w:rsidRPr="001B4A02">
          <w:rPr>
            <w:iCs/>
            <w:szCs w:val="22"/>
            <w:lang w:val="cs-CZ"/>
          </w:rPr>
          <w:delText>dětí ve věku &lt;</w:delText>
        </w:r>
        <w:r w:rsidR="001B78B4" w:rsidRPr="001B4A02">
          <w:rPr>
            <w:iCs/>
            <w:szCs w:val="22"/>
            <w:lang w:val="cs-CZ"/>
          </w:rPr>
          <w:delText> </w:delText>
        </w:r>
        <w:r w:rsidRPr="001B4A02">
          <w:rPr>
            <w:iCs/>
            <w:szCs w:val="22"/>
            <w:lang w:val="cs-CZ"/>
          </w:rPr>
          <w:delText xml:space="preserve">6 let. </w:delText>
        </w:r>
        <w:r w:rsidR="00CC02BB" w:rsidRPr="001B4A02">
          <w:rPr>
            <w:iCs/>
            <w:szCs w:val="22"/>
            <w:lang w:val="cs-CZ"/>
          </w:rPr>
          <w:delText>Předpokládané</w:delText>
        </w:r>
        <w:r w:rsidRPr="001B4A02">
          <w:rPr>
            <w:iCs/>
            <w:szCs w:val="22"/>
            <w:lang w:val="cs-CZ"/>
          </w:rPr>
          <w:delText xml:space="preserve"> expozice ukazují, že bez methotrexátu může </w:delText>
        </w:r>
        <w:r w:rsidR="00CE4384" w:rsidRPr="001B4A02">
          <w:rPr>
            <w:iCs/>
            <w:szCs w:val="22"/>
            <w:lang w:val="cs-CZ"/>
          </w:rPr>
          <w:delText>úvodní</w:delText>
        </w:r>
        <w:r w:rsidRPr="001B4A02">
          <w:rPr>
            <w:iCs/>
            <w:szCs w:val="22"/>
            <w:lang w:val="cs-CZ"/>
          </w:rPr>
          <w:delText xml:space="preserve"> dávka vést k</w:delText>
        </w:r>
        <w:r w:rsidR="002009DF" w:rsidRPr="001B4A02">
          <w:rPr>
            <w:iCs/>
            <w:szCs w:val="22"/>
            <w:lang w:val="cs-CZ"/>
          </w:rPr>
          <w:delText> </w:delText>
        </w:r>
        <w:r w:rsidR="00CE4384" w:rsidRPr="001B4A02">
          <w:rPr>
            <w:iCs/>
            <w:szCs w:val="22"/>
            <w:lang w:val="cs-CZ"/>
          </w:rPr>
          <w:delText>počátečnímu</w:delText>
        </w:r>
        <w:r w:rsidRPr="001B4A02">
          <w:rPr>
            <w:iCs/>
            <w:szCs w:val="22"/>
            <w:lang w:val="cs-CZ"/>
          </w:rPr>
          <w:delText xml:space="preserve"> zvýšení systémové expozice.</w:delText>
        </w:r>
      </w:del>
    </w:p>
    <w:p w14:paraId="03F8B6C5" w14:textId="77777777" w:rsidR="00A12588" w:rsidRPr="001B4A02" w:rsidRDefault="00A12588" w:rsidP="00ED48A3">
      <w:pPr>
        <w:ind w:left="0" w:firstLine="0"/>
        <w:rPr>
          <w:del w:id="3579" w:author="AbbVie1" w:date="2025-05-13T09:50:00Z"/>
        </w:rPr>
      </w:pPr>
    </w:p>
    <w:p w14:paraId="77884462" w14:textId="77777777" w:rsidR="00940B2F" w:rsidRDefault="00000000" w:rsidP="00BF3683">
      <w:pPr>
        <w:keepNext/>
        <w:autoSpaceDE w:val="0"/>
        <w:autoSpaceDN w:val="0"/>
        <w:adjustRightInd w:val="0"/>
        <w:ind w:left="0" w:firstLine="0"/>
        <w:rPr>
          <w:del w:id="3580" w:author="AbbVie1" w:date="2025-05-13T09:50:00Z"/>
          <w:u w:val="single"/>
        </w:rPr>
      </w:pPr>
      <w:del w:id="3581" w:author="AbbVie1" w:date="2025-05-13T09:50:00Z">
        <w:r w:rsidRPr="001B4A02">
          <w:rPr>
            <w:u w:val="single"/>
          </w:rPr>
          <w:delText>Vztah expozice-odpověď u pediatrické populace</w:delText>
        </w:r>
      </w:del>
    </w:p>
    <w:p w14:paraId="41B452DF" w14:textId="77777777" w:rsidR="00F9384F" w:rsidRPr="001B4A02" w:rsidRDefault="00F9384F" w:rsidP="00BF3683">
      <w:pPr>
        <w:keepNext/>
        <w:autoSpaceDE w:val="0"/>
        <w:autoSpaceDN w:val="0"/>
        <w:adjustRightInd w:val="0"/>
        <w:ind w:left="0" w:firstLine="0"/>
        <w:rPr>
          <w:del w:id="3582" w:author="AbbVie1" w:date="2025-05-13T09:50:00Z"/>
          <w:u w:val="single"/>
        </w:rPr>
      </w:pPr>
    </w:p>
    <w:p w14:paraId="3DDC04D0" w14:textId="77777777" w:rsidR="00940B2F" w:rsidRPr="001B4A02" w:rsidRDefault="00000000" w:rsidP="00940B2F">
      <w:pPr>
        <w:autoSpaceDE w:val="0"/>
        <w:autoSpaceDN w:val="0"/>
        <w:adjustRightInd w:val="0"/>
        <w:ind w:left="0" w:firstLine="0"/>
        <w:rPr>
          <w:del w:id="3583" w:author="AbbVie1" w:date="2025-05-13T09:50:00Z"/>
        </w:rPr>
      </w:pPr>
      <w:del w:id="3584" w:author="AbbVie1" w:date="2025-05-13T09:50:00Z">
        <w:r w:rsidRPr="001B4A02">
          <w:delText>Na základě dat z klinické studie u pacientů s JIA (pJIA</w:delText>
        </w:r>
        <w:r w:rsidR="002378E0">
          <w:delText xml:space="preserve"> a </w:delText>
        </w:r>
        <w:r w:rsidRPr="001B4A02">
          <w:delText>ERA) byl stanoven vztah expozice-odpověď mezi plazmatickými koncentracemi</w:delText>
        </w:r>
        <w:r w:rsidR="002378E0">
          <w:delText xml:space="preserve"> a </w:delText>
        </w:r>
        <w:r w:rsidRPr="001B4A02">
          <w:delText xml:space="preserve">PedACR 50 odpovědí. Zjevná plazmatická koncentrace adalimumabu, která vede k poloviční maximální pravděpodobnosti PedACR 50 odpovědi (EC50), byla 3 μg/ml (95% CI: 1–6 μg/ml). </w:delText>
        </w:r>
      </w:del>
    </w:p>
    <w:p w14:paraId="3CB16433" w14:textId="77777777" w:rsidR="00940B2F" w:rsidRPr="001B4A02" w:rsidRDefault="00940B2F" w:rsidP="00940B2F">
      <w:pPr>
        <w:autoSpaceDE w:val="0"/>
        <w:autoSpaceDN w:val="0"/>
        <w:adjustRightInd w:val="0"/>
        <w:ind w:left="0" w:firstLine="0"/>
        <w:rPr>
          <w:del w:id="3585" w:author="AbbVie1" w:date="2025-05-13T09:50:00Z"/>
        </w:rPr>
      </w:pPr>
    </w:p>
    <w:p w14:paraId="7C5DBAB0" w14:textId="77777777" w:rsidR="00940B2F" w:rsidRPr="001B4A02" w:rsidRDefault="00000000" w:rsidP="00940B2F">
      <w:pPr>
        <w:autoSpaceDE w:val="0"/>
        <w:autoSpaceDN w:val="0"/>
        <w:adjustRightInd w:val="0"/>
        <w:ind w:left="0" w:firstLine="0"/>
        <w:rPr>
          <w:del w:id="3586" w:author="AbbVie1" w:date="2025-05-13T09:50:00Z"/>
        </w:rPr>
      </w:pPr>
      <w:del w:id="3587" w:author="AbbVie1" w:date="2025-05-13T09:50:00Z">
        <w:r w:rsidRPr="001B4A02">
          <w:delText>Vztah expozice-odpověď mezi koncentrací adalimumabu</w:delText>
        </w:r>
        <w:r w:rsidR="002378E0">
          <w:delText xml:space="preserve"> a </w:delText>
        </w:r>
        <w:r w:rsidRPr="001B4A02">
          <w:delText>účinností u pediatrických pacientů se závažnou chronickou ložiskovou psoriázou byl stanoven pro PASI 75</w:delText>
        </w:r>
        <w:r w:rsidR="002378E0">
          <w:delText xml:space="preserve"> a </w:delText>
        </w:r>
        <w:r w:rsidRPr="001B4A02">
          <w:delText>PGA jasný nebo minimální, v uvedeném pořadí. PASI 75</w:delText>
        </w:r>
        <w:r w:rsidR="002378E0">
          <w:delText xml:space="preserve"> a </w:delText>
        </w:r>
        <w:r w:rsidRPr="001B4A02">
          <w:delText>PGA jasný nebo minimální se zvyšoval se zvyšujícími se koncentracemi adalimumabu s podobnou zjevnou EC50 přibližně 4,5 μg/ml (95% CI 0,4–47,6</w:delText>
        </w:r>
        <w:r w:rsidR="002378E0">
          <w:delText xml:space="preserve"> a </w:delText>
        </w:r>
        <w:r w:rsidRPr="001B4A02">
          <w:delText>1,9–10,5, v uvedeném pořadí).</w:delText>
        </w:r>
      </w:del>
    </w:p>
    <w:p w14:paraId="32CFDAB0" w14:textId="77777777" w:rsidR="00940B2F" w:rsidRPr="001B4A02" w:rsidRDefault="00940B2F" w:rsidP="00ED48A3">
      <w:pPr>
        <w:ind w:left="0" w:firstLine="0"/>
        <w:rPr>
          <w:del w:id="3588" w:author="AbbVie1" w:date="2025-05-13T09:50:00Z"/>
        </w:rPr>
      </w:pPr>
    </w:p>
    <w:p w14:paraId="6B056960" w14:textId="77777777" w:rsidR="006B3BEF" w:rsidRPr="001B4A02" w:rsidRDefault="00000000" w:rsidP="00BF3683">
      <w:pPr>
        <w:keepNext/>
        <w:ind w:left="0" w:firstLine="0"/>
        <w:rPr>
          <w:del w:id="3589" w:author="AbbVie1" w:date="2025-05-13T09:50:00Z"/>
          <w:u w:val="single"/>
        </w:rPr>
      </w:pPr>
      <w:del w:id="3590" w:author="AbbVie1" w:date="2025-05-13T09:50:00Z">
        <w:r w:rsidRPr="001B4A02">
          <w:rPr>
            <w:u w:val="single"/>
          </w:rPr>
          <w:delText>Dospělí</w:delText>
        </w:r>
      </w:del>
    </w:p>
    <w:p w14:paraId="49A8871A" w14:textId="77777777" w:rsidR="00592960" w:rsidRPr="001B4A02" w:rsidRDefault="00592960" w:rsidP="00BF3683">
      <w:pPr>
        <w:keepNext/>
        <w:ind w:left="0" w:firstLine="0"/>
        <w:rPr>
          <w:del w:id="3591" w:author="AbbVie1" w:date="2025-05-13T09:50:00Z"/>
          <w:u w:val="single"/>
        </w:rPr>
      </w:pPr>
    </w:p>
    <w:p w14:paraId="6153DAC4" w14:textId="77777777" w:rsidR="00073F8F" w:rsidRPr="001B4A02" w:rsidRDefault="00000000" w:rsidP="00ED48A3">
      <w:pPr>
        <w:ind w:left="0" w:firstLine="0"/>
        <w:rPr>
          <w:del w:id="3592" w:author="AbbVie1" w:date="2025-05-13T09:50:00Z"/>
        </w:rPr>
      </w:pPr>
      <w:del w:id="3593" w:author="AbbVie1" w:date="2025-05-13T09:50:00Z">
        <w:r w:rsidRPr="001B4A02">
          <w:delText>Po jednorázovém subkutánním podání dávky 40 mg byla absorpce</w:delText>
        </w:r>
        <w:r w:rsidR="002378E0">
          <w:delText xml:space="preserve"> a </w:delText>
        </w:r>
        <w:r w:rsidRPr="001B4A02">
          <w:delText>distribuce adalimumabu pomalá</w:delText>
        </w:r>
        <w:r w:rsidR="002378E0">
          <w:delText xml:space="preserve"> a </w:delText>
        </w:r>
        <w:r w:rsidRPr="001B4A02">
          <w:delText>vrcholové sérové koncentrace byly dosaženy zhruba za 5 dní po jeho podání. Průměrná biologická dostupnost adalimumabu se odhaduje na 64</w:delText>
        </w:r>
        <w:r w:rsidR="006008CB">
          <w:delText> %</w:delText>
        </w:r>
        <w:r w:rsidRPr="001B4A02">
          <w:delText>,</w:delText>
        </w:r>
        <w:r w:rsidR="002378E0">
          <w:delText xml:space="preserve"> a </w:delText>
        </w:r>
        <w:r w:rsidRPr="001B4A02">
          <w:delText>to na základě výsledků ze tří studií s podáním jednorázové dávky 40 mg subkutánně. Po jednorázových intravenózních dávkách v rozmezí 0,25</w:delText>
        </w:r>
        <w:r w:rsidR="000E3459" w:rsidRPr="001B4A02">
          <w:delText>–</w:delText>
        </w:r>
        <w:r w:rsidRPr="001B4A02">
          <w:delText>10 mg/kg byly koncentrace léku úměrné podané dávce. Po dávkách 0,5 mg/kg (cca 40 mg) se clearance pohybovala mezi 11</w:delText>
        </w:r>
        <w:r w:rsidR="000E3459" w:rsidRPr="001B4A02">
          <w:delText>–</w:delText>
        </w:r>
        <w:r w:rsidRPr="001B4A02">
          <w:delText>15 ml/hod, distribuční objem (V</w:delText>
        </w:r>
        <w:r w:rsidRPr="001B4A02">
          <w:rPr>
            <w:vertAlign w:val="subscript"/>
          </w:rPr>
          <w:delText>ss</w:delText>
        </w:r>
        <w:r w:rsidRPr="001B4A02">
          <w:delText>) se pohyboval mezi 5</w:delText>
        </w:r>
        <w:r w:rsidR="000E3459" w:rsidRPr="001B4A02">
          <w:delText>–</w:delText>
        </w:r>
        <w:r w:rsidRPr="001B4A02">
          <w:delText>6 l</w:delText>
        </w:r>
        <w:r w:rsidR="002378E0">
          <w:delText xml:space="preserve"> a </w:delText>
        </w:r>
        <w:r w:rsidRPr="001B4A02">
          <w:delText>průměrný terminální poločas byl přibližně 2 týdny. Koncentrace adalimumabu v synoviální tekutině u několika pacientů s revmatoidní artritidou představovala 31</w:delText>
        </w:r>
        <w:r w:rsidR="009C5EAC" w:rsidRPr="001B4A02">
          <w:delText>–</w:delText>
        </w:r>
        <w:r w:rsidRPr="001B4A02">
          <w:delText>96</w:delText>
        </w:r>
        <w:r w:rsidR="006008CB">
          <w:delText> %</w:delText>
        </w:r>
        <w:r w:rsidRPr="001B4A02">
          <w:delText xml:space="preserve"> sérové koncentrace léku.</w:delText>
        </w:r>
      </w:del>
    </w:p>
    <w:p w14:paraId="68FC87BD" w14:textId="77777777" w:rsidR="00073F8F" w:rsidRPr="001B4A02" w:rsidRDefault="00073F8F" w:rsidP="00ED48A3">
      <w:pPr>
        <w:ind w:left="0" w:firstLine="0"/>
        <w:rPr>
          <w:del w:id="3594" w:author="AbbVie1" w:date="2025-05-13T09:50:00Z"/>
        </w:rPr>
      </w:pPr>
    </w:p>
    <w:p w14:paraId="3AF04523" w14:textId="77777777" w:rsidR="00073F8F" w:rsidRPr="001B4A02" w:rsidRDefault="00000000" w:rsidP="00ED48A3">
      <w:pPr>
        <w:ind w:left="0" w:firstLine="0"/>
        <w:rPr>
          <w:del w:id="3595" w:author="AbbVie1" w:date="2025-05-13T09:50:00Z"/>
        </w:rPr>
      </w:pPr>
      <w:del w:id="3596" w:author="AbbVie1" w:date="2025-05-13T09:50:00Z">
        <w:r w:rsidRPr="001B4A02">
          <w:delText xml:space="preserve">Po subkutánním podání 40 mg </w:delText>
        </w:r>
        <w:r w:rsidR="00D90818" w:rsidRPr="001B4A02">
          <w:delText>adalimumabu</w:delText>
        </w:r>
        <w:r w:rsidRPr="001B4A02">
          <w:delText xml:space="preserve"> každý druhý týden byla průměrná </w:delText>
        </w:r>
        <w:r w:rsidR="003060EC" w:rsidRPr="001B4A02">
          <w:delText xml:space="preserve">nejnižší </w:delText>
        </w:r>
        <w:r w:rsidRPr="001B4A02">
          <w:delText>koncentrace v ustáleném stavu přibližně 5 μg/ml (bez souběžného podávání methotrexátu)</w:delText>
        </w:r>
        <w:r w:rsidR="002378E0">
          <w:delText xml:space="preserve"> a </w:delText>
        </w:r>
        <w:r w:rsidRPr="001B4A02">
          <w:delText>8</w:delText>
        </w:r>
        <w:r w:rsidR="000E3459" w:rsidRPr="001B4A02">
          <w:delText>–</w:delText>
        </w:r>
        <w:r w:rsidRPr="001B4A02">
          <w:delText xml:space="preserve">9 μg/ml (při současném podávání methotrexátu). </w:delText>
        </w:r>
        <w:r w:rsidR="003060EC" w:rsidRPr="001B4A02">
          <w:delText>Nejnižší s</w:delText>
        </w:r>
        <w:r w:rsidRPr="001B4A02">
          <w:delText>érové koncentrace adalimumabu v ustáleném stavu stoupaly u pacientů s revmatoidní artritidou (RA) přibližně proporcionálně s dávkou při subkutánním podávání 20, 40</w:delText>
        </w:r>
        <w:r w:rsidR="002378E0">
          <w:delText xml:space="preserve"> a </w:delText>
        </w:r>
        <w:r w:rsidRPr="001B4A02">
          <w:delText>80 mg každý druhý týden i každý týden.</w:delText>
        </w:r>
      </w:del>
    </w:p>
    <w:p w14:paraId="2E9923A3" w14:textId="77777777" w:rsidR="007948F4" w:rsidRPr="001B4A02" w:rsidRDefault="007948F4" w:rsidP="00ED48A3">
      <w:pPr>
        <w:ind w:left="0" w:firstLine="0"/>
        <w:rPr>
          <w:del w:id="3597" w:author="AbbVie1" w:date="2025-05-13T09:50:00Z"/>
        </w:rPr>
      </w:pPr>
    </w:p>
    <w:p w14:paraId="43F8E879" w14:textId="77777777" w:rsidR="007948F4" w:rsidRPr="001B4A02" w:rsidRDefault="00000000" w:rsidP="00ED48A3">
      <w:pPr>
        <w:ind w:left="0" w:firstLine="0"/>
        <w:rPr>
          <w:del w:id="3598" w:author="AbbVie1" w:date="2025-05-13T09:50:00Z"/>
        </w:rPr>
      </w:pPr>
      <w:del w:id="3599" w:author="AbbVie1" w:date="2025-05-13T09:50:00Z">
        <w:r w:rsidRPr="001B4A02">
          <w:delText xml:space="preserve">U dospělých pacientů s psoriázou byla </w:delText>
        </w:r>
        <w:r w:rsidR="00FC418B" w:rsidRPr="001B4A02">
          <w:delText>průměrná</w:delText>
        </w:r>
        <w:r w:rsidRPr="001B4A02">
          <w:delText xml:space="preserve"> </w:delText>
        </w:r>
        <w:r w:rsidR="003060EC" w:rsidRPr="001B4A02">
          <w:delText xml:space="preserve">nejnižší </w:delText>
        </w:r>
        <w:r w:rsidRPr="001B4A02">
          <w:delText>koncentrace adalimumabu v ustáleném stavu 5 μg/ml při léčbě adalimumabem 40</w:delText>
        </w:r>
        <w:r w:rsidR="00294902">
          <w:delText> mg</w:delText>
        </w:r>
        <w:r w:rsidRPr="001B4A02">
          <w:delText xml:space="preserve"> každý druhý týden v</w:delText>
        </w:r>
        <w:r w:rsidR="00EF0AF7" w:rsidRPr="001B4A02">
          <w:delText> </w:delText>
        </w:r>
        <w:r w:rsidRPr="001B4A02">
          <w:delText>monoterapii.</w:delText>
        </w:r>
      </w:del>
    </w:p>
    <w:p w14:paraId="3EFB5601" w14:textId="77777777" w:rsidR="0023438F" w:rsidRPr="001B4A02" w:rsidRDefault="0023438F" w:rsidP="00253ABE">
      <w:pPr>
        <w:ind w:left="0" w:firstLine="0"/>
        <w:rPr>
          <w:del w:id="3600" w:author="AbbVie1" w:date="2025-05-13T09:50:00Z"/>
        </w:rPr>
      </w:pPr>
    </w:p>
    <w:p w14:paraId="4B1F3B5B" w14:textId="77777777" w:rsidR="00710A15" w:rsidRPr="001B4A02" w:rsidRDefault="00000000" w:rsidP="00253ABE">
      <w:pPr>
        <w:ind w:left="0" w:firstLine="0"/>
        <w:rPr>
          <w:del w:id="3601" w:author="AbbVie1" w:date="2025-05-13T09:50:00Z"/>
          <w:rFonts w:eastAsia="Calibri"/>
          <w:szCs w:val="22"/>
        </w:rPr>
      </w:pPr>
      <w:del w:id="3602" w:author="AbbVie1" w:date="2025-05-13T09:50:00Z">
        <w:r w:rsidRPr="001B4A02">
          <w:rPr>
            <w:rFonts w:eastAsia="Calibri"/>
            <w:szCs w:val="22"/>
          </w:rPr>
          <w:delText>Při použití dávky 160</w:delText>
        </w:r>
        <w:r w:rsidR="00294902">
          <w:rPr>
            <w:rFonts w:eastAsia="Calibri"/>
            <w:szCs w:val="22"/>
          </w:rPr>
          <w:delText> mg</w:delText>
        </w:r>
        <w:r w:rsidRPr="001B4A02">
          <w:rPr>
            <w:rFonts w:eastAsia="Calibri"/>
            <w:szCs w:val="22"/>
          </w:rPr>
          <w:delText xml:space="preserve"> přípravku Humira v týdnu 0, následované dávkou 80</w:delText>
        </w:r>
        <w:r w:rsidR="00294902">
          <w:rPr>
            <w:rFonts w:eastAsia="Calibri"/>
            <w:szCs w:val="22"/>
          </w:rPr>
          <w:delText> mg</w:delText>
        </w:r>
        <w:r w:rsidRPr="001B4A02">
          <w:rPr>
            <w:rFonts w:eastAsia="Calibri"/>
            <w:szCs w:val="22"/>
          </w:rPr>
          <w:delText xml:space="preserve"> v týdnu 2</w:delText>
        </w:r>
        <w:r w:rsidR="006F2326" w:rsidRPr="001B4A02">
          <w:rPr>
            <w:rFonts w:eastAsia="Calibri"/>
            <w:szCs w:val="22"/>
          </w:rPr>
          <w:delText>,</w:delText>
        </w:r>
        <w:r w:rsidRPr="001B4A02">
          <w:rPr>
            <w:rFonts w:eastAsia="Calibri"/>
            <w:szCs w:val="22"/>
          </w:rPr>
          <w:delText xml:space="preserve"> bylo u dospělých pacientů s hidradenitis suppurativa dosaženo nejnižších sérových koncentrací adalimumabu přibližně 7–8</w:delText>
        </w:r>
        <w:r w:rsidR="00294902" w:rsidRPr="00005EC2">
          <w:rPr>
            <w:szCs w:val="22"/>
          </w:rPr>
          <w:delText> </w:delText>
        </w:r>
        <w:r w:rsidR="00883A75" w:rsidRPr="001B4A02">
          <w:delText>μg</w:delText>
        </w:r>
        <w:r w:rsidRPr="001B4A02">
          <w:rPr>
            <w:rFonts w:eastAsia="Calibri"/>
            <w:szCs w:val="22"/>
          </w:rPr>
          <w:delText>/ml v týdnu 2</w:delText>
        </w:r>
        <w:r w:rsidR="002378E0">
          <w:rPr>
            <w:rFonts w:eastAsia="Calibri"/>
            <w:szCs w:val="22"/>
          </w:rPr>
          <w:delText xml:space="preserve"> a </w:delText>
        </w:r>
        <w:r w:rsidRPr="001B4A02">
          <w:rPr>
            <w:rFonts w:eastAsia="Calibri"/>
            <w:szCs w:val="22"/>
          </w:rPr>
          <w:delText>4. Průměrné nejnižší ustálené koncentrace v týdnu 12 do týdne 36 byly přibližně 8–10</w:delText>
        </w:r>
        <w:r w:rsidR="00294902" w:rsidRPr="00005EC2">
          <w:rPr>
            <w:szCs w:val="22"/>
          </w:rPr>
          <w:delText> </w:delText>
        </w:r>
        <w:r w:rsidR="00883A75" w:rsidRPr="001B4A02">
          <w:delText>μg</w:delText>
        </w:r>
        <w:r w:rsidRPr="001B4A02">
          <w:rPr>
            <w:rFonts w:eastAsia="Calibri"/>
            <w:szCs w:val="22"/>
          </w:rPr>
          <w:delText>/ml při léčbě dávkou adalimumabu 40</w:delText>
        </w:r>
        <w:r w:rsidR="00294902" w:rsidRPr="00005EC2">
          <w:rPr>
            <w:szCs w:val="22"/>
          </w:rPr>
          <w:delText> </w:delText>
        </w:r>
        <w:r w:rsidRPr="001B4A02">
          <w:rPr>
            <w:rFonts w:eastAsia="Calibri"/>
            <w:szCs w:val="22"/>
          </w:rPr>
          <w:delText>mg jednou týdně.</w:delText>
        </w:r>
      </w:del>
    </w:p>
    <w:p w14:paraId="0834E77B" w14:textId="77777777" w:rsidR="0023438F" w:rsidRPr="001B4A02" w:rsidRDefault="0023438F" w:rsidP="00253ABE">
      <w:pPr>
        <w:autoSpaceDE w:val="0"/>
        <w:autoSpaceDN w:val="0"/>
        <w:adjustRightInd w:val="0"/>
        <w:ind w:left="0" w:firstLine="0"/>
        <w:rPr>
          <w:del w:id="3603" w:author="AbbVie1" w:date="2025-05-13T09:50:00Z"/>
        </w:rPr>
      </w:pPr>
    </w:p>
    <w:p w14:paraId="70A10FDB" w14:textId="77777777" w:rsidR="0023438F" w:rsidRPr="001B4A02" w:rsidRDefault="00000000" w:rsidP="00253ABE">
      <w:pPr>
        <w:pStyle w:val="EMEANormal"/>
        <w:rPr>
          <w:del w:id="3604" w:author="AbbVie1" w:date="2025-05-13T09:50:00Z"/>
          <w:lang w:val="cs-CZ"/>
        </w:rPr>
      </w:pPr>
      <w:del w:id="3605" w:author="AbbVie1" w:date="2025-05-13T09:50:00Z">
        <w:r w:rsidRPr="001B4A02">
          <w:rPr>
            <w:lang w:val="cs-CZ"/>
          </w:rPr>
          <w:delText xml:space="preserve">Při použití </w:delText>
        </w:r>
        <w:r w:rsidR="006F2326" w:rsidRPr="001B4A02">
          <w:rPr>
            <w:lang w:val="cs-CZ"/>
          </w:rPr>
          <w:delText>úvodní</w:delText>
        </w:r>
        <w:r w:rsidRPr="001B4A02">
          <w:rPr>
            <w:lang w:val="cs-CZ"/>
          </w:rPr>
          <w:delText xml:space="preserve"> dávky 80 mg přípravku Humira v</w:delText>
        </w:r>
        <w:r w:rsidR="00EF0AF7" w:rsidRPr="001B4A02">
          <w:rPr>
            <w:lang w:val="cs-CZ"/>
          </w:rPr>
          <w:delText> </w:delText>
        </w:r>
        <w:r w:rsidRPr="001B4A02">
          <w:rPr>
            <w:lang w:val="cs-CZ"/>
          </w:rPr>
          <w:delText>týdnu 0, následované dávkou 40 mg v týdnu 2, bylo u</w:delText>
        </w:r>
        <w:r w:rsidR="00164B4F" w:rsidRPr="001B4A02">
          <w:rPr>
            <w:lang w:val="cs-CZ"/>
          </w:rPr>
          <w:delText> </w:delText>
        </w:r>
        <w:r w:rsidRPr="001B4A02">
          <w:rPr>
            <w:lang w:val="cs-CZ"/>
          </w:rPr>
          <w:delText>pacientů s </w:delText>
        </w:r>
        <w:r w:rsidR="00AA419E" w:rsidRPr="001B4A02">
          <w:rPr>
            <w:lang w:val="cs-CZ"/>
          </w:rPr>
          <w:delText>Crohnovou chorobou</w:delText>
        </w:r>
        <w:r w:rsidRPr="001B4A02">
          <w:rPr>
            <w:lang w:val="cs-CZ"/>
          </w:rPr>
          <w:delText xml:space="preserve"> během indukční</w:delText>
        </w:r>
        <w:r w:rsidR="00C3472D" w:rsidRPr="001B4A02">
          <w:rPr>
            <w:lang w:val="cs-CZ"/>
          </w:rPr>
          <w:delText xml:space="preserve"> </w:delText>
        </w:r>
        <w:r w:rsidR="00C12370" w:rsidRPr="001B4A02">
          <w:rPr>
            <w:lang w:val="cs-CZ"/>
          </w:rPr>
          <w:delText xml:space="preserve">fáze </w:delText>
        </w:r>
        <w:r w:rsidR="00C3472D" w:rsidRPr="001B4A02">
          <w:rPr>
            <w:lang w:val="cs-CZ"/>
          </w:rPr>
          <w:delText>léčby</w:delText>
        </w:r>
        <w:r w:rsidRPr="001B4A02">
          <w:rPr>
            <w:lang w:val="cs-CZ"/>
          </w:rPr>
          <w:delText xml:space="preserve"> dosaženo nejnižších sérových koncentrací adalimumabu přibližně 5,5 </w:delText>
        </w:r>
        <w:r w:rsidR="00883A75" w:rsidRPr="001B4A02">
          <w:delText>μ</w:delText>
        </w:r>
        <w:r w:rsidR="00883A75" w:rsidRPr="00883A75">
          <w:rPr>
            <w:lang w:val="cs-CZ"/>
          </w:rPr>
          <w:delText>g</w:delText>
        </w:r>
        <w:r w:rsidRPr="001B4A02">
          <w:rPr>
            <w:lang w:val="cs-CZ"/>
          </w:rPr>
          <w:delText xml:space="preserve">/ml. Při </w:delText>
        </w:r>
        <w:r w:rsidR="006F2326" w:rsidRPr="001B4A02">
          <w:rPr>
            <w:lang w:val="cs-CZ"/>
          </w:rPr>
          <w:delText>úvodní</w:delText>
        </w:r>
        <w:r w:rsidRPr="001B4A02">
          <w:rPr>
            <w:lang w:val="cs-CZ"/>
          </w:rPr>
          <w:delText xml:space="preserve"> dávce 160 mg přípravku Humira v týdnu 0, následované dávkou 80 mg přípravku Humira v týdnu 2, došlo v průběhu indukční </w:delText>
        </w:r>
        <w:r w:rsidR="00175BF6" w:rsidRPr="001B4A02">
          <w:rPr>
            <w:lang w:val="cs-CZ"/>
          </w:rPr>
          <w:delText xml:space="preserve">fáze léčby </w:delText>
        </w:r>
        <w:r w:rsidRPr="001B4A02">
          <w:rPr>
            <w:lang w:val="cs-CZ"/>
          </w:rPr>
          <w:delText>k dosažení nejnižších sérových koncentrací adalimumabu přibližně 12 </w:delText>
        </w:r>
        <w:r w:rsidR="00883A75" w:rsidRPr="001B4A02">
          <w:delText>μ</w:delText>
        </w:r>
        <w:r w:rsidR="00883A75" w:rsidRPr="00883A75">
          <w:rPr>
            <w:lang w:val="cs-CZ"/>
          </w:rPr>
          <w:delText>g</w:delText>
        </w:r>
        <w:r w:rsidRPr="001B4A02">
          <w:rPr>
            <w:lang w:val="cs-CZ"/>
          </w:rPr>
          <w:delText>/ml. U</w:delText>
        </w:r>
        <w:r w:rsidR="007375A0" w:rsidRPr="001B4A02">
          <w:rPr>
            <w:lang w:val="cs-CZ"/>
          </w:rPr>
          <w:delText> </w:delText>
        </w:r>
        <w:r w:rsidRPr="001B4A02">
          <w:rPr>
            <w:lang w:val="cs-CZ"/>
          </w:rPr>
          <w:delText>pacientů s Crohnovou chorobou, kteří dostávali udržovací dávku přípravku Humira 40 mg každý druhý týden, byly pozorovány průměrné nejnižší ustálené hladiny přibližně 7 </w:delText>
        </w:r>
        <w:r w:rsidR="00883A75" w:rsidRPr="001B4A02">
          <w:delText>μ</w:delText>
        </w:r>
        <w:r w:rsidR="00883A75" w:rsidRPr="00883A75">
          <w:rPr>
            <w:lang w:val="cs-CZ"/>
          </w:rPr>
          <w:delText>g</w:delText>
        </w:r>
        <w:r w:rsidRPr="001B4A02">
          <w:rPr>
            <w:lang w:val="cs-CZ"/>
          </w:rPr>
          <w:delText>/ml.</w:delText>
        </w:r>
      </w:del>
    </w:p>
    <w:p w14:paraId="6DEA2AE8" w14:textId="77777777" w:rsidR="00EA192B" w:rsidRDefault="00EA192B" w:rsidP="00253ABE">
      <w:pPr>
        <w:tabs>
          <w:tab w:val="left" w:pos="638"/>
        </w:tabs>
        <w:autoSpaceDE w:val="0"/>
        <w:autoSpaceDN w:val="0"/>
        <w:adjustRightInd w:val="0"/>
        <w:ind w:left="0" w:firstLine="0"/>
        <w:rPr>
          <w:del w:id="3606" w:author="AbbVie1" w:date="2025-05-13T09:50:00Z"/>
          <w:szCs w:val="22"/>
        </w:rPr>
      </w:pPr>
    </w:p>
    <w:p w14:paraId="4B7D0B47" w14:textId="77777777" w:rsidR="009428F1" w:rsidRDefault="00000000" w:rsidP="009428F1">
      <w:pPr>
        <w:ind w:left="0" w:firstLine="0"/>
        <w:rPr>
          <w:del w:id="3607" w:author="AbbVie1" w:date="2025-05-13T09:50:00Z"/>
        </w:rPr>
      </w:pPr>
      <w:del w:id="3608" w:author="AbbVie1" w:date="2025-05-13T09:50:00Z">
        <w:r>
          <w:delText>Po subkutánním podání dávky 0,6</w:delText>
        </w:r>
        <w:r>
          <w:rPr>
            <w:rStyle w:val="normaltextrun"/>
          </w:rPr>
          <w:delText> </w:delText>
        </w:r>
        <w:r>
          <w:delText>mg/kg (maximální dávka 40</w:delText>
        </w:r>
        <w:r>
          <w:rPr>
            <w:rStyle w:val="normaltextrun"/>
          </w:rPr>
          <w:delText> </w:delText>
        </w:r>
        <w:r>
          <w:delText>mg) jednou za dva týdny na základě tělesné hmotnosti pediatrickým pacientům s ulcerózní kolitidou byla nejnižší sérová koncentrace v ustáleném stavu v 52. týdnu 5,01 ± 3,28</w:delText>
        </w:r>
        <w:r>
          <w:rPr>
            <w:rStyle w:val="normaltextrun"/>
          </w:rPr>
          <w:delText> </w:delText>
        </w:r>
        <w:r>
          <w:delText>µg/ml. U</w:delText>
        </w:r>
        <w:r>
          <w:rPr>
            <w:rStyle w:val="normaltextrun"/>
          </w:rPr>
          <w:delText> </w:delText>
        </w:r>
        <w:r>
          <w:delText>pacientů, kteří dostávali 0,6</w:delText>
        </w:r>
        <w:r>
          <w:rPr>
            <w:rStyle w:val="normaltextrun"/>
          </w:rPr>
          <w:delText> </w:delText>
        </w:r>
        <w:r>
          <w:delText>mg/kg (maximální dávka 40</w:delText>
        </w:r>
        <w:r>
          <w:rPr>
            <w:rStyle w:val="normaltextrun"/>
          </w:rPr>
          <w:delText> </w:delText>
        </w:r>
        <w:r>
          <w:delText>mg) každý týden, byla průměrná (±SD) nejnižší sérová koncentrace adalimumabu v ustáleném stavu v 52. týdnu 15,7 ± 5,60</w:delText>
        </w:r>
        <w:r>
          <w:rPr>
            <w:rStyle w:val="normaltextrun"/>
          </w:rPr>
          <w:delText> </w:delText>
        </w:r>
        <w:r>
          <w:delText>μg/ml.</w:delText>
        </w:r>
      </w:del>
    </w:p>
    <w:p w14:paraId="17268C85" w14:textId="77777777" w:rsidR="00385CE1" w:rsidRPr="001B4A02" w:rsidRDefault="00385CE1" w:rsidP="00253ABE">
      <w:pPr>
        <w:tabs>
          <w:tab w:val="left" w:pos="638"/>
        </w:tabs>
        <w:autoSpaceDE w:val="0"/>
        <w:autoSpaceDN w:val="0"/>
        <w:adjustRightInd w:val="0"/>
        <w:ind w:left="0" w:firstLine="0"/>
        <w:rPr>
          <w:del w:id="3609" w:author="AbbVie1" w:date="2025-05-13T09:50:00Z"/>
          <w:szCs w:val="22"/>
        </w:rPr>
      </w:pPr>
    </w:p>
    <w:p w14:paraId="3CE9891B" w14:textId="77777777" w:rsidR="00710A15" w:rsidRPr="001B4A02" w:rsidRDefault="00000000" w:rsidP="00253ABE">
      <w:pPr>
        <w:autoSpaceDE w:val="0"/>
        <w:autoSpaceDN w:val="0"/>
        <w:adjustRightInd w:val="0"/>
        <w:ind w:left="0" w:firstLine="0"/>
        <w:rPr>
          <w:del w:id="3610" w:author="AbbVie1" w:date="2025-05-13T09:50:00Z"/>
          <w:szCs w:val="22"/>
        </w:rPr>
      </w:pPr>
      <w:del w:id="3611" w:author="AbbVie1" w:date="2025-05-13T09:50:00Z">
        <w:r w:rsidRPr="001B4A02">
          <w:rPr>
            <w:szCs w:val="22"/>
          </w:rPr>
          <w:delText xml:space="preserve">U pacientů s uveitidou, </w:delText>
        </w:r>
        <w:r w:rsidRPr="001B4A02">
          <w:delText>jimž byla podána úvodní dávka 80</w:delText>
        </w:r>
        <w:r w:rsidR="00294902">
          <w:delText> mg</w:delText>
        </w:r>
        <w:r w:rsidRPr="001B4A02">
          <w:delText xml:space="preserve"> adalimumabu v týdnu 0, následovaná dávkou 40</w:delText>
        </w:r>
        <w:r w:rsidR="00294902">
          <w:delText> mg</w:delText>
        </w:r>
        <w:r w:rsidRPr="001B4A02">
          <w:delText xml:space="preserve"> každý druhý týden počínaje týdnem 1, byly zjištěny střední hladiny v ustáleném stavu přibližně </w:delText>
        </w:r>
        <w:r w:rsidRPr="001B4A02">
          <w:rPr>
            <w:szCs w:val="22"/>
          </w:rPr>
          <w:delText>8 až 10 </w:delText>
        </w:r>
        <w:r w:rsidRPr="001B4A02">
          <w:rPr>
            <w:rFonts w:ascii="Symbol" w:hAnsi="Symbol"/>
            <w:szCs w:val="22"/>
          </w:rPr>
          <w:sym w:font="Symbol" w:char="F06D"/>
        </w:r>
        <w:r w:rsidRPr="001B4A02">
          <w:rPr>
            <w:szCs w:val="22"/>
          </w:rPr>
          <w:delText>g/ml.</w:delText>
        </w:r>
      </w:del>
    </w:p>
    <w:p w14:paraId="663DB2E3" w14:textId="77777777" w:rsidR="0023438F" w:rsidRPr="001B4A02" w:rsidRDefault="0023438F" w:rsidP="00253ABE">
      <w:pPr>
        <w:autoSpaceDE w:val="0"/>
        <w:autoSpaceDN w:val="0"/>
        <w:adjustRightInd w:val="0"/>
        <w:ind w:left="0" w:firstLine="0"/>
        <w:rPr>
          <w:del w:id="3612" w:author="AbbVie1" w:date="2025-05-13T09:50:00Z"/>
        </w:rPr>
      </w:pPr>
    </w:p>
    <w:p w14:paraId="6804A5C0" w14:textId="77777777" w:rsidR="00940B2F" w:rsidRPr="001B4A02" w:rsidRDefault="00000000" w:rsidP="00940B2F">
      <w:pPr>
        <w:tabs>
          <w:tab w:val="left" w:pos="0"/>
        </w:tabs>
        <w:autoSpaceDE w:val="0"/>
        <w:autoSpaceDN w:val="0"/>
        <w:adjustRightInd w:val="0"/>
        <w:ind w:left="0" w:firstLine="0"/>
        <w:rPr>
          <w:del w:id="3613" w:author="AbbVie1" w:date="2025-05-13T09:50:00Z"/>
        </w:rPr>
      </w:pPr>
      <w:del w:id="3614" w:author="AbbVie1" w:date="2025-05-13T09:50:00Z">
        <w:r w:rsidRPr="001B4A02">
          <w:delText>Populační farmakokinetické</w:delText>
        </w:r>
        <w:r w:rsidR="002378E0">
          <w:delText xml:space="preserve"> a </w:delText>
        </w:r>
        <w:r w:rsidRPr="001B4A02">
          <w:delText>farmakokineticko/farmakodynamické modelování</w:delText>
        </w:r>
        <w:r w:rsidR="002378E0">
          <w:delText xml:space="preserve"> a </w:delText>
        </w:r>
        <w:r w:rsidRPr="001B4A02">
          <w:delText>simulace předpověděly srovnatelné expozice</w:delText>
        </w:r>
        <w:r w:rsidR="002378E0">
          <w:delText xml:space="preserve"> a </w:delText>
        </w:r>
        <w:r w:rsidRPr="001B4A02">
          <w:delText>účinnost adalimumabu u</w:delText>
        </w:r>
        <w:r w:rsidR="00BF3683" w:rsidRPr="001B4A02">
          <w:delText> </w:delText>
        </w:r>
        <w:r w:rsidRPr="001B4A02">
          <w:delText>pacientů léčených dávkou 80</w:delText>
        </w:r>
        <w:r w:rsidR="00294902">
          <w:delText> mg</w:delText>
        </w:r>
        <w:r w:rsidRPr="001B4A02">
          <w:delText xml:space="preserve"> jednou za dva týdny při srovnání s dávkou 40</w:delText>
        </w:r>
        <w:r w:rsidR="00294902">
          <w:delText> mg</w:delText>
        </w:r>
        <w:r w:rsidRPr="001B4A02">
          <w:delText xml:space="preserve"> jednou týdně (včetně dospělých pacientů s RA, HS, UC, CD nebo psoriázou, dospívajících pacientů s HS</w:delText>
        </w:r>
        <w:r w:rsidR="002378E0">
          <w:delText xml:space="preserve"> a </w:delText>
        </w:r>
        <w:r w:rsidRPr="001B4A02">
          <w:delText>pediatrických pacientů ≥ 40</w:delText>
        </w:r>
        <w:r w:rsidR="002767FC">
          <w:delText> kg</w:delText>
        </w:r>
        <w:r w:rsidRPr="001B4A02">
          <w:delText xml:space="preserve"> s</w:delText>
        </w:r>
        <w:r w:rsidR="00EA192B">
          <w:delText> </w:delText>
        </w:r>
        <w:r w:rsidRPr="001B4A02">
          <w:delText>CD</w:delText>
        </w:r>
        <w:r w:rsidR="002378E0">
          <w:delText xml:space="preserve"> a </w:delText>
        </w:r>
        <w:r w:rsidR="00EA192B">
          <w:delText>UC</w:delText>
        </w:r>
        <w:r w:rsidRPr="001B4A02">
          <w:delText>).</w:delText>
        </w:r>
      </w:del>
    </w:p>
    <w:p w14:paraId="15579730" w14:textId="77777777" w:rsidR="00F00303" w:rsidRPr="001B4A02" w:rsidRDefault="00F00303" w:rsidP="00ED48A3">
      <w:pPr>
        <w:ind w:left="0" w:firstLine="0"/>
        <w:rPr>
          <w:del w:id="3615" w:author="AbbVie1" w:date="2025-05-13T09:50:00Z"/>
        </w:rPr>
      </w:pPr>
    </w:p>
    <w:p w14:paraId="5C4FB725" w14:textId="77777777" w:rsidR="00073F8F" w:rsidRPr="001B4A02" w:rsidRDefault="00000000" w:rsidP="00BF3683">
      <w:pPr>
        <w:keepNext/>
        <w:ind w:left="0" w:firstLine="0"/>
        <w:rPr>
          <w:del w:id="3616" w:author="AbbVie1" w:date="2025-05-13T09:50:00Z"/>
          <w:u w:val="single"/>
        </w:rPr>
      </w:pPr>
      <w:del w:id="3617" w:author="AbbVie1" w:date="2025-05-13T09:50:00Z">
        <w:r w:rsidRPr="001B4A02">
          <w:rPr>
            <w:u w:val="single"/>
          </w:rPr>
          <w:delText>Eliminace</w:delText>
        </w:r>
      </w:del>
    </w:p>
    <w:p w14:paraId="7931F4CF" w14:textId="77777777" w:rsidR="00F00303" w:rsidRPr="001B4A02" w:rsidRDefault="00F00303" w:rsidP="00BF3683">
      <w:pPr>
        <w:keepNext/>
        <w:ind w:left="0" w:firstLine="0"/>
        <w:rPr>
          <w:del w:id="3618" w:author="AbbVie1" w:date="2025-05-13T09:50:00Z"/>
        </w:rPr>
      </w:pPr>
    </w:p>
    <w:p w14:paraId="0C899865" w14:textId="77777777" w:rsidR="00F00303" w:rsidRPr="001B4A02" w:rsidRDefault="00000000" w:rsidP="00ED48A3">
      <w:pPr>
        <w:ind w:left="0" w:firstLine="0"/>
        <w:rPr>
          <w:del w:id="3619" w:author="AbbVie1" w:date="2025-05-13T09:50:00Z"/>
        </w:rPr>
      </w:pPr>
      <w:del w:id="3620" w:author="AbbVie1" w:date="2025-05-13T09:50:00Z">
        <w:r w:rsidRPr="001B4A02">
          <w:delText>Populační farmakokinetické analýzy s údaji od více než 1</w:delText>
        </w:r>
        <w:r w:rsidR="000E3459" w:rsidRPr="001B4A02">
          <w:delText> </w:delText>
        </w:r>
        <w:r w:rsidRPr="001B4A02">
          <w:delText>300 pacientů s RA zjistily trend směrem k vyšší zdánlivé clearance adalimumabu s rostoucí tělesnou váhou. Po úpravě váhových rozdílů, pohlaví</w:delText>
        </w:r>
        <w:r w:rsidR="002378E0">
          <w:delText xml:space="preserve"> a </w:delText>
        </w:r>
        <w:r w:rsidRPr="001B4A02">
          <w:delText>věku byl zřejmý minimální efekt na clearance adalimumabu. Koncentrace volného adalimumabu v séru (nevázaného na protilátky proti adalimumabu, AAA) byly nižší</w:delText>
        </w:r>
        <w:r w:rsidR="002009DF" w:rsidRPr="001B4A02">
          <w:delText xml:space="preserve"> u </w:delText>
        </w:r>
        <w:r w:rsidRPr="001B4A02">
          <w:delText xml:space="preserve">pacientů s detekovanými </w:delText>
        </w:r>
        <w:r w:rsidR="00DA73B0" w:rsidRPr="001B4A02">
          <w:delText>protilátkami proti adalimumabu.</w:delText>
        </w:r>
      </w:del>
    </w:p>
    <w:p w14:paraId="15A82373" w14:textId="77777777" w:rsidR="00700A72" w:rsidRPr="001B4A02" w:rsidRDefault="00700A72" w:rsidP="00ED48A3">
      <w:pPr>
        <w:ind w:left="0" w:firstLine="0"/>
        <w:rPr>
          <w:del w:id="3621" w:author="AbbVie1" w:date="2025-05-13T09:50:00Z"/>
        </w:rPr>
      </w:pPr>
    </w:p>
    <w:p w14:paraId="6E64B490" w14:textId="77777777" w:rsidR="00F00303" w:rsidRPr="001B4A02" w:rsidRDefault="00000000" w:rsidP="00ED48A3">
      <w:pPr>
        <w:keepNext/>
        <w:ind w:left="0" w:firstLine="0"/>
        <w:rPr>
          <w:del w:id="3622" w:author="AbbVie1" w:date="2025-05-13T09:50:00Z"/>
          <w:u w:val="single"/>
        </w:rPr>
      </w:pPr>
      <w:del w:id="3623" w:author="AbbVie1" w:date="2025-05-13T09:50:00Z">
        <w:r w:rsidRPr="001B4A02">
          <w:rPr>
            <w:u w:val="single"/>
          </w:rPr>
          <w:delText>Po</w:delText>
        </w:r>
        <w:r w:rsidR="00696488" w:rsidRPr="001B4A02">
          <w:rPr>
            <w:u w:val="single"/>
          </w:rPr>
          <w:delText>rucha funkce</w:delText>
        </w:r>
        <w:r w:rsidRPr="001B4A02">
          <w:rPr>
            <w:u w:val="single"/>
          </w:rPr>
          <w:delText xml:space="preserve"> jater nebo ledvin</w:delText>
        </w:r>
      </w:del>
    </w:p>
    <w:p w14:paraId="286FE496" w14:textId="77777777" w:rsidR="00F00303" w:rsidRPr="001B4A02" w:rsidRDefault="00F00303" w:rsidP="00ED48A3">
      <w:pPr>
        <w:keepNext/>
        <w:ind w:left="0" w:firstLine="0"/>
        <w:rPr>
          <w:del w:id="3624" w:author="AbbVie1" w:date="2025-05-13T09:50:00Z"/>
        </w:rPr>
      </w:pPr>
    </w:p>
    <w:p w14:paraId="67A11419" w14:textId="77777777" w:rsidR="00F00303" w:rsidRPr="001B4A02" w:rsidRDefault="00000000" w:rsidP="007C5EA6">
      <w:pPr>
        <w:ind w:left="0" w:firstLine="0"/>
        <w:rPr>
          <w:del w:id="3625" w:author="AbbVie1" w:date="2025-05-13T09:50:00Z"/>
        </w:rPr>
      </w:pPr>
      <w:del w:id="3626" w:author="AbbVie1" w:date="2025-05-13T09:50:00Z">
        <w:r>
          <w:delText>Pou</w:delText>
        </w:r>
        <w:r w:rsidR="00CA7157" w:rsidRPr="001B4A02">
          <w:delText xml:space="preserve">žití přípravku </w:delText>
        </w:r>
        <w:r w:rsidRPr="001B4A02">
          <w:delText>Humira nebyl</w:delText>
        </w:r>
        <w:r w:rsidR="00CA7157" w:rsidRPr="001B4A02">
          <w:delText>o</w:delText>
        </w:r>
        <w:r w:rsidRPr="001B4A02">
          <w:delText xml:space="preserve"> </w:delText>
        </w:r>
        <w:r w:rsidR="00CA7157" w:rsidRPr="001B4A02">
          <w:delText>studováno</w:delText>
        </w:r>
        <w:r w:rsidR="002009DF" w:rsidRPr="001B4A02">
          <w:delText xml:space="preserve"> u </w:delText>
        </w:r>
        <w:r w:rsidR="00CA7157" w:rsidRPr="001B4A02">
          <w:delText>pacientů s po</w:delText>
        </w:r>
        <w:r w:rsidR="00696488" w:rsidRPr="001B4A02">
          <w:delText>ruchou funkce</w:delText>
        </w:r>
        <w:r w:rsidR="00CA7157" w:rsidRPr="001B4A02">
          <w:delText xml:space="preserve"> jater nebo ledvin.</w:delText>
        </w:r>
      </w:del>
    </w:p>
    <w:p w14:paraId="298CF978" w14:textId="77777777" w:rsidR="00073F8F" w:rsidRPr="001B4A02" w:rsidRDefault="00073F8F" w:rsidP="00ED48A3">
      <w:pPr>
        <w:ind w:left="0" w:firstLine="0"/>
        <w:rPr>
          <w:del w:id="3627" w:author="AbbVie1" w:date="2025-05-13T09:50:00Z"/>
        </w:rPr>
      </w:pPr>
    </w:p>
    <w:p w14:paraId="204B4A23" w14:textId="77777777" w:rsidR="00073F8F" w:rsidRPr="001B4A02" w:rsidRDefault="00000000" w:rsidP="000A5426">
      <w:pPr>
        <w:keepNext/>
        <w:outlineLvl w:val="1"/>
        <w:rPr>
          <w:del w:id="3628" w:author="AbbVie1" w:date="2025-05-13T09:50:00Z"/>
          <w:b/>
        </w:rPr>
      </w:pPr>
      <w:del w:id="3629" w:author="AbbVie1" w:date="2025-05-13T09:50:00Z">
        <w:r w:rsidRPr="001B4A02">
          <w:rPr>
            <w:b/>
          </w:rPr>
          <w:delText>5.3</w:delText>
        </w:r>
        <w:r w:rsidRPr="001B4A02">
          <w:rPr>
            <w:b/>
          </w:rPr>
          <w:tab/>
          <w:delText>Předklinické údaje vztahující se k bezpečnosti</w:delText>
        </w:r>
      </w:del>
    </w:p>
    <w:p w14:paraId="0367D684" w14:textId="77777777" w:rsidR="00073F8F" w:rsidRPr="001B4A02" w:rsidRDefault="00073F8F" w:rsidP="00ED48A3">
      <w:pPr>
        <w:keepNext/>
        <w:ind w:left="0" w:firstLine="0"/>
        <w:rPr>
          <w:del w:id="3630" w:author="AbbVie1" w:date="2025-05-13T09:50:00Z"/>
        </w:rPr>
      </w:pPr>
    </w:p>
    <w:p w14:paraId="419D4977" w14:textId="77777777" w:rsidR="00073F8F" w:rsidRPr="001B4A02" w:rsidRDefault="00000000" w:rsidP="007C5EA6">
      <w:pPr>
        <w:ind w:left="0" w:firstLine="0"/>
        <w:rPr>
          <w:del w:id="3631" w:author="AbbVie1" w:date="2025-05-13T09:50:00Z"/>
        </w:rPr>
      </w:pPr>
      <w:del w:id="3632" w:author="AbbVie1" w:date="2025-05-13T09:50:00Z">
        <w:r w:rsidRPr="001B4A02">
          <w:delText>Neklinické údaje získané na základě studií toxicity po jednorázovém podání, toxicity po opakovaném podání</w:delText>
        </w:r>
        <w:r w:rsidR="002378E0">
          <w:delText xml:space="preserve"> a </w:delText>
        </w:r>
        <w:r w:rsidRPr="001B4A02">
          <w:delText>genotoxicity neodhalily žád</w:delText>
        </w:r>
        <w:r w:rsidR="00DA73B0" w:rsidRPr="001B4A02">
          <w:delText>né zvláštní riziko pro člověka.</w:delText>
        </w:r>
      </w:del>
    </w:p>
    <w:p w14:paraId="4A1826F5" w14:textId="77777777" w:rsidR="00073F8F" w:rsidRPr="001B4A02" w:rsidRDefault="00073F8F" w:rsidP="00ED48A3">
      <w:pPr>
        <w:ind w:left="0" w:firstLine="0"/>
        <w:rPr>
          <w:del w:id="3633" w:author="AbbVie1" w:date="2025-05-13T09:50:00Z"/>
        </w:rPr>
      </w:pPr>
    </w:p>
    <w:p w14:paraId="1B9B5ED8" w14:textId="77777777" w:rsidR="00073F8F" w:rsidRPr="001B4A02" w:rsidRDefault="00000000" w:rsidP="00ED48A3">
      <w:pPr>
        <w:ind w:left="0" w:firstLine="0"/>
        <w:rPr>
          <w:del w:id="3634" w:author="AbbVie1" w:date="2025-05-13T09:50:00Z"/>
        </w:rPr>
      </w:pPr>
      <w:del w:id="3635" w:author="AbbVie1" w:date="2025-05-13T09:50:00Z">
        <w:r w:rsidRPr="001B4A02">
          <w:delText xml:space="preserve">Ve studii u opic </w:delText>
        </w:r>
        <w:r w:rsidRPr="001B4A02">
          <w:rPr>
            <w:color w:val="000000"/>
          </w:rPr>
          <w:delText>makaka jávského</w:delText>
        </w:r>
        <w:r w:rsidRPr="001B4A02">
          <w:rPr>
            <w:i/>
            <w:color w:val="000000"/>
          </w:rPr>
          <w:delText xml:space="preserve"> (Macaca fascicularis)</w:delText>
        </w:r>
        <w:r w:rsidRPr="001B4A02">
          <w:delText>, kterým byly podávány dávky adalimumabu 0, 30</w:delText>
        </w:r>
        <w:r w:rsidR="002378E0">
          <w:delText xml:space="preserve"> a </w:delText>
        </w:r>
        <w:r w:rsidRPr="001B4A02">
          <w:delText>100 mg/kg (9</w:delText>
        </w:r>
        <w:r w:rsidR="0010616A" w:rsidRPr="001B4A02">
          <w:delText>–</w:delText>
        </w:r>
        <w:r w:rsidRPr="001B4A02">
          <w:delText>17 opic ve skupině) sledující embryofetální toxicitu</w:delText>
        </w:r>
        <w:r w:rsidR="002378E0">
          <w:delText xml:space="preserve"> a </w:delText>
        </w:r>
        <w:r w:rsidRPr="001B4A02">
          <w:delText>perinatální vývoj, nebyl zjištěn žádný faktor naznačující poškození plodů</w:delText>
        </w:r>
        <w:r w:rsidR="00D14060" w:rsidRPr="00D14060">
          <w:delText xml:space="preserve"> </w:delText>
        </w:r>
        <w:r w:rsidR="00D14060">
          <w:delText>vlivem adalimumabu</w:delText>
        </w:r>
        <w:r w:rsidRPr="001B4A02">
          <w:delText>. Ani studie karcinogenity, ani standardní hodnocení toxického vlivu na fertilitu</w:delText>
        </w:r>
        <w:r w:rsidR="002378E0">
          <w:delText xml:space="preserve"> a </w:delText>
        </w:r>
        <w:r w:rsidRPr="001B4A02">
          <w:delText>studie postnatální toxicity s adalimumabem nebyly prováděny, protože neexistuje vhodný model pro protilátky s omezenou zkříženou reaktivitou na TNF hlodavců</w:delText>
        </w:r>
        <w:r w:rsidR="002378E0">
          <w:delText xml:space="preserve"> a </w:delText>
        </w:r>
        <w:r w:rsidRPr="001B4A02">
          <w:delText>na rozvoj neutralizačních protilátek u hlodavců.</w:delText>
        </w:r>
      </w:del>
    </w:p>
    <w:p w14:paraId="32925624" w14:textId="77777777" w:rsidR="00073F8F" w:rsidRPr="001B4A02" w:rsidRDefault="00073F8F" w:rsidP="00ED48A3">
      <w:pPr>
        <w:ind w:left="0" w:firstLine="0"/>
        <w:rPr>
          <w:del w:id="3636" w:author="AbbVie1" w:date="2025-05-13T09:50:00Z"/>
        </w:rPr>
      </w:pPr>
    </w:p>
    <w:p w14:paraId="32FF7C78" w14:textId="77777777" w:rsidR="00073F8F" w:rsidRPr="001B4A02" w:rsidRDefault="00073F8F" w:rsidP="00ED48A3">
      <w:pPr>
        <w:ind w:left="0" w:firstLine="0"/>
        <w:rPr>
          <w:del w:id="3637" w:author="AbbVie1" w:date="2025-05-13T09:50:00Z"/>
        </w:rPr>
      </w:pPr>
    </w:p>
    <w:p w14:paraId="0E56D5D2" w14:textId="77777777" w:rsidR="00073F8F" w:rsidRPr="001B4A02" w:rsidRDefault="00000000" w:rsidP="000A5426">
      <w:pPr>
        <w:keepNext/>
        <w:outlineLvl w:val="0"/>
        <w:rPr>
          <w:del w:id="3638" w:author="AbbVie1" w:date="2025-05-13T09:50:00Z"/>
          <w:b/>
        </w:rPr>
      </w:pPr>
      <w:del w:id="3639" w:author="AbbVie1" w:date="2025-05-13T09:50:00Z">
        <w:r w:rsidRPr="001B4A02">
          <w:rPr>
            <w:b/>
          </w:rPr>
          <w:delText>6.</w:delText>
        </w:r>
        <w:r w:rsidRPr="001B4A02">
          <w:rPr>
            <w:b/>
          </w:rPr>
          <w:tab/>
          <w:delText>FARMACEUTICKÉ ÚDAJE</w:delText>
        </w:r>
      </w:del>
    </w:p>
    <w:p w14:paraId="3455A50B" w14:textId="77777777" w:rsidR="00073F8F" w:rsidRPr="001B4A02" w:rsidRDefault="00073F8F" w:rsidP="00BF3683">
      <w:pPr>
        <w:keepNext/>
        <w:ind w:left="0" w:firstLine="0"/>
        <w:rPr>
          <w:del w:id="3640" w:author="AbbVie1" w:date="2025-05-13T09:50:00Z"/>
          <w:b/>
        </w:rPr>
      </w:pPr>
    </w:p>
    <w:p w14:paraId="54A962F9" w14:textId="77777777" w:rsidR="00073F8F" w:rsidRPr="001B4A02" w:rsidRDefault="00000000" w:rsidP="000A5426">
      <w:pPr>
        <w:keepNext/>
        <w:ind w:left="0" w:firstLine="0"/>
        <w:outlineLvl w:val="1"/>
        <w:rPr>
          <w:del w:id="3641" w:author="AbbVie1" w:date="2025-05-13T09:50:00Z"/>
          <w:b/>
        </w:rPr>
      </w:pPr>
      <w:del w:id="3642" w:author="AbbVie1" w:date="2025-05-13T09:50:00Z">
        <w:r>
          <w:rPr>
            <w:b/>
          </w:rPr>
          <w:delText>6.1</w:delText>
        </w:r>
        <w:r>
          <w:rPr>
            <w:b/>
          </w:rPr>
          <w:tab/>
        </w:r>
        <w:r w:rsidRPr="001B4A02">
          <w:rPr>
            <w:b/>
          </w:rPr>
          <w:delText>Seznam pomocných látek</w:delText>
        </w:r>
      </w:del>
    </w:p>
    <w:p w14:paraId="0146CB58" w14:textId="77777777" w:rsidR="00073F8F" w:rsidRPr="001B4A02" w:rsidRDefault="00073F8F" w:rsidP="00BF3683">
      <w:pPr>
        <w:keepNext/>
        <w:ind w:left="0" w:firstLine="0"/>
        <w:rPr>
          <w:del w:id="3643" w:author="AbbVie1" w:date="2025-05-13T09:50:00Z"/>
        </w:rPr>
      </w:pPr>
    </w:p>
    <w:p w14:paraId="13F39D21" w14:textId="77777777" w:rsidR="00073F8F" w:rsidRPr="001B4A02" w:rsidRDefault="00000000" w:rsidP="00ED48A3">
      <w:pPr>
        <w:pStyle w:val="EndnoteText"/>
        <w:ind w:left="0" w:firstLine="0"/>
        <w:rPr>
          <w:del w:id="3644" w:author="AbbVie1" w:date="2025-05-13T09:50:00Z"/>
          <w:lang w:val="cs-CZ"/>
        </w:rPr>
      </w:pPr>
      <w:del w:id="3645" w:author="AbbVie1" w:date="2025-05-13T09:50:00Z">
        <w:r w:rsidRPr="001B4A02">
          <w:rPr>
            <w:lang w:val="cs-CZ"/>
          </w:rPr>
          <w:delText>Mannitol</w:delText>
        </w:r>
      </w:del>
    </w:p>
    <w:p w14:paraId="03DFAA46" w14:textId="77777777" w:rsidR="00073F8F" w:rsidRPr="001B4A02" w:rsidRDefault="00000000" w:rsidP="00ED48A3">
      <w:pPr>
        <w:ind w:left="0" w:firstLine="0"/>
        <w:rPr>
          <w:del w:id="3646" w:author="AbbVie1" w:date="2025-05-13T09:50:00Z"/>
        </w:rPr>
      </w:pPr>
      <w:del w:id="3647" w:author="AbbVie1" w:date="2025-05-13T09:50:00Z">
        <w:r w:rsidRPr="001B4A02">
          <w:delText>Monohydrát kyseliny citronové</w:delText>
        </w:r>
      </w:del>
    </w:p>
    <w:p w14:paraId="3693EFA6" w14:textId="77777777" w:rsidR="00073F8F" w:rsidRPr="001B4A02" w:rsidRDefault="00000000" w:rsidP="00ED48A3">
      <w:pPr>
        <w:ind w:left="0" w:firstLine="0"/>
        <w:rPr>
          <w:del w:id="3648" w:author="AbbVie1" w:date="2025-05-13T09:50:00Z"/>
        </w:rPr>
      </w:pPr>
      <w:del w:id="3649" w:author="AbbVie1" w:date="2025-05-13T09:50:00Z">
        <w:r w:rsidRPr="001B4A02">
          <w:delText xml:space="preserve">Dihydrát </w:delText>
        </w:r>
        <w:r w:rsidR="007A4774" w:rsidRPr="001B4A02">
          <w:delText>natrium-citrátu</w:delText>
        </w:r>
      </w:del>
    </w:p>
    <w:p w14:paraId="645D7594" w14:textId="77777777" w:rsidR="00073F8F" w:rsidRPr="001B4A02" w:rsidRDefault="00000000" w:rsidP="00ED48A3">
      <w:pPr>
        <w:ind w:left="0" w:firstLine="0"/>
        <w:rPr>
          <w:del w:id="3650" w:author="AbbVie1" w:date="2025-05-13T09:50:00Z"/>
        </w:rPr>
      </w:pPr>
      <w:del w:id="3651" w:author="AbbVie1" w:date="2025-05-13T09:50:00Z">
        <w:r w:rsidRPr="001B4A02">
          <w:delText>Dihydrát</w:delText>
        </w:r>
        <w:r w:rsidR="00DA73B0" w:rsidRPr="001B4A02">
          <w:delText xml:space="preserve"> dihydrogenfosforečnanu sodného</w:delText>
        </w:r>
      </w:del>
    </w:p>
    <w:p w14:paraId="70748ED2" w14:textId="77777777" w:rsidR="00073F8F" w:rsidRPr="001B4A02" w:rsidRDefault="00000000" w:rsidP="00ED48A3">
      <w:pPr>
        <w:ind w:left="0" w:firstLine="0"/>
        <w:rPr>
          <w:del w:id="3652" w:author="AbbVie1" w:date="2025-05-13T09:50:00Z"/>
        </w:rPr>
      </w:pPr>
      <w:del w:id="3653" w:author="AbbVie1" w:date="2025-05-13T09:50:00Z">
        <w:r w:rsidRPr="001B4A02">
          <w:delText>Dihydrát hydrogenfosforečnanu sod</w:delText>
        </w:r>
        <w:r w:rsidR="00DA73B0" w:rsidRPr="001B4A02">
          <w:delText>ného</w:delText>
        </w:r>
      </w:del>
    </w:p>
    <w:p w14:paraId="4298093F" w14:textId="77777777" w:rsidR="00073F8F" w:rsidRPr="001B4A02" w:rsidRDefault="00000000" w:rsidP="00ED48A3">
      <w:pPr>
        <w:ind w:left="0" w:firstLine="0"/>
        <w:rPr>
          <w:del w:id="3654" w:author="AbbVie1" w:date="2025-05-13T09:50:00Z"/>
        </w:rPr>
      </w:pPr>
      <w:del w:id="3655" w:author="AbbVie1" w:date="2025-05-13T09:50:00Z">
        <w:r w:rsidRPr="001B4A02">
          <w:delText>Chlorid sodný</w:delText>
        </w:r>
      </w:del>
    </w:p>
    <w:p w14:paraId="5DA79292" w14:textId="77777777" w:rsidR="00073F8F" w:rsidRPr="001B4A02" w:rsidRDefault="00000000" w:rsidP="00ED48A3">
      <w:pPr>
        <w:ind w:left="0" w:firstLine="0"/>
        <w:rPr>
          <w:del w:id="3656" w:author="AbbVie1" w:date="2025-05-13T09:50:00Z"/>
        </w:rPr>
      </w:pPr>
      <w:del w:id="3657" w:author="AbbVie1" w:date="2025-05-13T09:50:00Z">
        <w:r w:rsidRPr="001B4A02">
          <w:delText>Polysorbát 80</w:delText>
        </w:r>
      </w:del>
    </w:p>
    <w:p w14:paraId="00AEDF55" w14:textId="77777777" w:rsidR="00073F8F" w:rsidRPr="001B4A02" w:rsidRDefault="00000000" w:rsidP="00ED48A3">
      <w:pPr>
        <w:ind w:left="0" w:firstLine="0"/>
        <w:rPr>
          <w:del w:id="3658" w:author="AbbVie1" w:date="2025-05-13T09:50:00Z"/>
        </w:rPr>
      </w:pPr>
      <w:del w:id="3659" w:author="AbbVie1" w:date="2025-05-13T09:50:00Z">
        <w:r w:rsidRPr="001B4A02">
          <w:delText>Hydroxid sodný</w:delText>
        </w:r>
      </w:del>
    </w:p>
    <w:p w14:paraId="4FBA6FC2" w14:textId="77777777" w:rsidR="00073F8F" w:rsidRPr="001B4A02" w:rsidRDefault="00000000" w:rsidP="00ED48A3">
      <w:pPr>
        <w:ind w:left="0" w:firstLine="0"/>
        <w:rPr>
          <w:del w:id="3660" w:author="AbbVie1" w:date="2025-05-13T09:50:00Z"/>
        </w:rPr>
      </w:pPr>
      <w:del w:id="3661" w:author="AbbVie1" w:date="2025-05-13T09:50:00Z">
        <w:r w:rsidRPr="001B4A02">
          <w:delText xml:space="preserve">Voda </w:delText>
        </w:r>
        <w:r w:rsidR="00202301" w:rsidRPr="001B4A02">
          <w:delText>pro</w:delText>
        </w:r>
        <w:r w:rsidRPr="001B4A02">
          <w:delText xml:space="preserve"> injekci</w:delText>
        </w:r>
      </w:del>
    </w:p>
    <w:p w14:paraId="3E5E41F1" w14:textId="77777777" w:rsidR="00073F8F" w:rsidRPr="001B4A02" w:rsidRDefault="00073F8F" w:rsidP="00ED48A3">
      <w:pPr>
        <w:ind w:left="0" w:firstLine="0"/>
        <w:rPr>
          <w:del w:id="3662" w:author="AbbVie1" w:date="2025-05-13T09:50:00Z"/>
        </w:rPr>
      </w:pPr>
    </w:p>
    <w:p w14:paraId="41147F09" w14:textId="77777777" w:rsidR="00073F8F" w:rsidRPr="001B4A02" w:rsidRDefault="00000000" w:rsidP="000A5426">
      <w:pPr>
        <w:keepNext/>
        <w:outlineLvl w:val="1"/>
        <w:rPr>
          <w:del w:id="3663" w:author="AbbVie1" w:date="2025-05-13T09:50:00Z"/>
          <w:b/>
        </w:rPr>
      </w:pPr>
      <w:del w:id="3664" w:author="AbbVie1" w:date="2025-05-13T09:50:00Z">
        <w:r w:rsidRPr="001B4A02">
          <w:rPr>
            <w:b/>
          </w:rPr>
          <w:delText>6.2</w:delText>
        </w:r>
        <w:r w:rsidRPr="001B4A02">
          <w:rPr>
            <w:b/>
          </w:rPr>
          <w:tab/>
          <w:delText>Inkompatibility</w:delText>
        </w:r>
      </w:del>
    </w:p>
    <w:p w14:paraId="4A5A56DC" w14:textId="77777777" w:rsidR="00073F8F" w:rsidRPr="001B4A02" w:rsidRDefault="00073F8F" w:rsidP="00BF3683">
      <w:pPr>
        <w:keepNext/>
        <w:ind w:left="0" w:firstLine="0"/>
        <w:rPr>
          <w:del w:id="3665" w:author="AbbVie1" w:date="2025-05-13T09:50:00Z"/>
        </w:rPr>
      </w:pPr>
    </w:p>
    <w:p w14:paraId="06C3008E" w14:textId="77777777" w:rsidR="00073F8F" w:rsidRPr="001B4A02" w:rsidRDefault="00000000" w:rsidP="00ED48A3">
      <w:pPr>
        <w:ind w:left="0" w:firstLine="0"/>
        <w:rPr>
          <w:del w:id="3666" w:author="AbbVie1" w:date="2025-05-13T09:50:00Z"/>
        </w:rPr>
      </w:pPr>
      <w:del w:id="3667" w:author="AbbVie1" w:date="2025-05-13T09:50:00Z">
        <w:r w:rsidRPr="001B4A02">
          <w:delText>Studie kompatibility nejsou k dispozici,</w:delText>
        </w:r>
        <w:r w:rsidR="002378E0">
          <w:delText xml:space="preserve"> a </w:delText>
        </w:r>
        <w:r w:rsidRPr="001B4A02">
          <w:delText>proto tento léčivý přípravek nesmí být mísen s </w:delText>
        </w:r>
        <w:r w:rsidR="003E27EB">
          <w:delText>jinými</w:delText>
        </w:r>
        <w:r w:rsidRPr="001B4A02">
          <w:delText xml:space="preserve"> léčivými přípravky.</w:delText>
        </w:r>
      </w:del>
    </w:p>
    <w:p w14:paraId="01F8F7C5" w14:textId="77777777" w:rsidR="00073F8F" w:rsidRPr="001B4A02" w:rsidRDefault="00073F8F" w:rsidP="00ED48A3">
      <w:pPr>
        <w:ind w:left="0" w:firstLine="0"/>
        <w:rPr>
          <w:del w:id="3668" w:author="AbbVie1" w:date="2025-05-13T09:50:00Z"/>
        </w:rPr>
      </w:pPr>
    </w:p>
    <w:p w14:paraId="4745EC2D" w14:textId="77777777" w:rsidR="00073F8F" w:rsidRPr="001B4A02" w:rsidRDefault="00000000" w:rsidP="000A5426">
      <w:pPr>
        <w:keepNext/>
        <w:outlineLvl w:val="1"/>
        <w:rPr>
          <w:del w:id="3669" w:author="AbbVie1" w:date="2025-05-13T09:50:00Z"/>
          <w:b/>
        </w:rPr>
      </w:pPr>
      <w:del w:id="3670" w:author="AbbVie1" w:date="2025-05-13T09:50:00Z">
        <w:r w:rsidRPr="001B4A02">
          <w:rPr>
            <w:b/>
          </w:rPr>
          <w:delText>6.3</w:delText>
        </w:r>
        <w:r w:rsidRPr="001B4A02">
          <w:rPr>
            <w:b/>
          </w:rPr>
          <w:tab/>
          <w:delText>Doba použitelnosti</w:delText>
        </w:r>
      </w:del>
    </w:p>
    <w:p w14:paraId="6082493F" w14:textId="77777777" w:rsidR="00073F8F" w:rsidRPr="001B4A02" w:rsidRDefault="00073F8F" w:rsidP="00BF3683">
      <w:pPr>
        <w:keepNext/>
        <w:ind w:left="0" w:firstLine="0"/>
        <w:rPr>
          <w:del w:id="3671" w:author="AbbVie1" w:date="2025-05-13T09:50:00Z"/>
        </w:rPr>
      </w:pPr>
    </w:p>
    <w:p w14:paraId="0140F100" w14:textId="77777777" w:rsidR="00073F8F" w:rsidRPr="001B4A02" w:rsidRDefault="00000000" w:rsidP="00ED48A3">
      <w:pPr>
        <w:ind w:left="0" w:firstLine="0"/>
        <w:rPr>
          <w:del w:id="3672" w:author="AbbVie1" w:date="2025-05-13T09:50:00Z"/>
        </w:rPr>
      </w:pPr>
      <w:del w:id="3673" w:author="AbbVie1" w:date="2025-05-13T09:50:00Z">
        <w:r w:rsidRPr="001B4A02">
          <w:delText>2</w:delText>
        </w:r>
        <w:r w:rsidR="00FF681D" w:rsidRPr="001B4A02">
          <w:delText xml:space="preserve"> roky</w:delText>
        </w:r>
      </w:del>
    </w:p>
    <w:p w14:paraId="336A2AD3" w14:textId="77777777" w:rsidR="00073F8F" w:rsidRPr="001B4A02" w:rsidRDefault="00073F8F" w:rsidP="00ED48A3">
      <w:pPr>
        <w:ind w:left="0" w:firstLine="0"/>
        <w:rPr>
          <w:del w:id="3674" w:author="AbbVie1" w:date="2025-05-13T09:50:00Z"/>
        </w:rPr>
      </w:pPr>
    </w:p>
    <w:p w14:paraId="0AF99F5F" w14:textId="77777777" w:rsidR="00073F8F" w:rsidRPr="001B4A02" w:rsidRDefault="00000000" w:rsidP="000A5426">
      <w:pPr>
        <w:keepNext/>
        <w:outlineLvl w:val="1"/>
        <w:rPr>
          <w:del w:id="3675" w:author="AbbVie1" w:date="2025-05-13T09:50:00Z"/>
          <w:b/>
        </w:rPr>
      </w:pPr>
      <w:del w:id="3676" w:author="AbbVie1" w:date="2025-05-13T09:50:00Z">
        <w:r w:rsidRPr="001B4A02">
          <w:rPr>
            <w:b/>
          </w:rPr>
          <w:delText>6.4</w:delText>
        </w:r>
        <w:r w:rsidRPr="001B4A02">
          <w:rPr>
            <w:b/>
          </w:rPr>
          <w:tab/>
          <w:delText>Zvláštní opatření pro uchovávání</w:delText>
        </w:r>
      </w:del>
    </w:p>
    <w:p w14:paraId="2563BFC4" w14:textId="77777777" w:rsidR="00073F8F" w:rsidRPr="001B4A02" w:rsidRDefault="00073F8F" w:rsidP="00BF3683">
      <w:pPr>
        <w:keepNext/>
        <w:ind w:left="0" w:firstLine="0"/>
        <w:rPr>
          <w:del w:id="3677" w:author="AbbVie1" w:date="2025-05-13T09:50:00Z"/>
        </w:rPr>
      </w:pPr>
    </w:p>
    <w:p w14:paraId="7EC07F87" w14:textId="77777777" w:rsidR="00073F8F" w:rsidRPr="001B4A02" w:rsidRDefault="00000000" w:rsidP="00ED48A3">
      <w:pPr>
        <w:ind w:left="0" w:firstLine="0"/>
        <w:rPr>
          <w:del w:id="3678" w:author="AbbVie1" w:date="2025-05-13T09:50:00Z"/>
        </w:rPr>
      </w:pPr>
      <w:del w:id="3679" w:author="AbbVie1" w:date="2025-05-13T09:50:00Z">
        <w:r w:rsidRPr="001B4A02">
          <w:delText>Uchovávejte v chladničce (2</w:delText>
        </w:r>
        <w:r w:rsidR="00867D37" w:rsidRPr="001B4A02">
          <w:delText xml:space="preserve"> </w:delText>
        </w:r>
        <w:r w:rsidRPr="001B4A02">
          <w:rPr>
            <w:rFonts w:ascii="Symbol" w:hAnsi="Symbol"/>
          </w:rPr>
          <w:sym w:font="Symbol" w:char="F0B0"/>
        </w:r>
        <w:r w:rsidRPr="001B4A02">
          <w:delText>C</w:delText>
        </w:r>
        <w:r w:rsidR="00EA48B2">
          <w:delText xml:space="preserve"> </w:delText>
        </w:r>
        <w:r w:rsidR="00A13869" w:rsidRPr="001B4A02">
          <w:delText>–</w:delText>
        </w:r>
        <w:r w:rsidR="00EA48B2">
          <w:delText xml:space="preserve"> </w:delText>
        </w:r>
        <w:r w:rsidRPr="001B4A02">
          <w:delText>8</w:delText>
        </w:r>
        <w:r w:rsidR="00867D37" w:rsidRPr="001B4A02">
          <w:delText xml:space="preserve"> </w:delText>
        </w:r>
        <w:r w:rsidRPr="001B4A02">
          <w:delText>°C). Chraňte před mrazem. Uchovávejte injekční lahvičku v</w:delText>
        </w:r>
        <w:r w:rsidR="00CD48DD" w:rsidRPr="001B4A02">
          <w:delText> </w:delText>
        </w:r>
        <w:r w:rsidRPr="001B4A02">
          <w:delText>krabičce</w:delText>
        </w:r>
        <w:r w:rsidR="00CD48DD" w:rsidRPr="001B4A02">
          <w:delText xml:space="preserve">, aby byl přípravek chráněn </w:delText>
        </w:r>
        <w:r w:rsidR="0092323D" w:rsidRPr="001B4A02">
          <w:delText>před světlem</w:delText>
        </w:r>
        <w:r w:rsidRPr="001B4A02">
          <w:delText xml:space="preserve">. </w:delText>
        </w:r>
      </w:del>
    </w:p>
    <w:p w14:paraId="39E964E1" w14:textId="77777777" w:rsidR="00B67415" w:rsidRPr="001B4A02" w:rsidRDefault="00B67415" w:rsidP="00ED48A3">
      <w:pPr>
        <w:ind w:left="0" w:firstLine="0"/>
        <w:rPr>
          <w:del w:id="3680" w:author="AbbVie1" w:date="2025-05-13T09:50:00Z"/>
        </w:rPr>
      </w:pPr>
    </w:p>
    <w:p w14:paraId="49CFCD27" w14:textId="77777777" w:rsidR="00073F8F" w:rsidRPr="001B4A02" w:rsidRDefault="00000000" w:rsidP="000A5426">
      <w:pPr>
        <w:keepNext/>
        <w:outlineLvl w:val="1"/>
        <w:rPr>
          <w:del w:id="3681" w:author="AbbVie1" w:date="2025-05-13T09:50:00Z"/>
          <w:b/>
        </w:rPr>
      </w:pPr>
      <w:del w:id="3682" w:author="AbbVie1" w:date="2025-05-13T09:50:00Z">
        <w:r w:rsidRPr="001B4A02">
          <w:rPr>
            <w:b/>
          </w:rPr>
          <w:delText>6.5</w:delText>
        </w:r>
        <w:r w:rsidRPr="001B4A02">
          <w:rPr>
            <w:b/>
          </w:rPr>
          <w:tab/>
          <w:delText>Druh obalu</w:delText>
        </w:r>
        <w:r w:rsidR="002378E0">
          <w:rPr>
            <w:b/>
          </w:rPr>
          <w:delText xml:space="preserve"> a </w:delText>
        </w:r>
        <w:r w:rsidR="00022B39" w:rsidRPr="001B4A02">
          <w:rPr>
            <w:b/>
          </w:rPr>
          <w:delText xml:space="preserve">obsah </w:delText>
        </w:r>
        <w:r w:rsidRPr="001B4A02">
          <w:rPr>
            <w:b/>
          </w:rPr>
          <w:delText>balení</w:delText>
        </w:r>
      </w:del>
    </w:p>
    <w:p w14:paraId="43FE1A99" w14:textId="77777777" w:rsidR="00073F8F" w:rsidRPr="001B4A02" w:rsidRDefault="00073F8F" w:rsidP="00527B4A">
      <w:pPr>
        <w:keepNext/>
        <w:ind w:left="0" w:firstLine="0"/>
        <w:rPr>
          <w:del w:id="3683" w:author="AbbVie1" w:date="2025-05-13T09:50:00Z"/>
        </w:rPr>
      </w:pPr>
    </w:p>
    <w:p w14:paraId="064F39BA" w14:textId="77777777" w:rsidR="00073F8F" w:rsidRPr="001B4A02" w:rsidRDefault="00000000" w:rsidP="00BF3683">
      <w:pPr>
        <w:ind w:left="0" w:firstLine="0"/>
        <w:rPr>
          <w:del w:id="3684" w:author="AbbVie1" w:date="2025-05-13T09:50:00Z"/>
        </w:rPr>
      </w:pPr>
      <w:del w:id="3685" w:author="AbbVie1" w:date="2025-05-13T09:50:00Z">
        <w:r w:rsidRPr="001B4A02">
          <w:delText xml:space="preserve">Humira 40 mg injekční roztok v injekční lahvičce na jedno použití (lahvička ze skla </w:delText>
        </w:r>
        <w:r w:rsidR="007E3412">
          <w:delText>třídy</w:delText>
        </w:r>
        <w:r w:rsidRPr="001B4A02">
          <w:delText xml:space="preserve"> I) uzavřené gumovou zátkou, hliníkovou pertlí</w:delText>
        </w:r>
        <w:r w:rsidR="002378E0">
          <w:delText xml:space="preserve"> a </w:delText>
        </w:r>
        <w:r w:rsidRPr="001B4A02">
          <w:delText>odtrhovacím uzávěrem.</w:delText>
        </w:r>
      </w:del>
    </w:p>
    <w:p w14:paraId="28663564" w14:textId="77777777" w:rsidR="00073F8F" w:rsidRPr="001B4A02" w:rsidRDefault="00073F8F" w:rsidP="00BF3683">
      <w:pPr>
        <w:ind w:left="0" w:firstLine="0"/>
        <w:rPr>
          <w:del w:id="3686" w:author="AbbVie1" w:date="2025-05-13T09:50:00Z"/>
        </w:rPr>
      </w:pPr>
    </w:p>
    <w:p w14:paraId="741B063B" w14:textId="77777777" w:rsidR="00380A2E" w:rsidRPr="001B4A02" w:rsidRDefault="00000000" w:rsidP="00ED48A3">
      <w:pPr>
        <w:ind w:left="0" w:firstLine="0"/>
        <w:rPr>
          <w:del w:id="3687" w:author="AbbVie1" w:date="2025-05-13T09:50:00Z"/>
        </w:rPr>
      </w:pPr>
      <w:del w:id="3688" w:author="AbbVie1" w:date="2025-05-13T09:50:00Z">
        <w:r w:rsidRPr="001B4A02">
          <w:delText>1 balení obsahující 2 krabičky, z nichž každá obsahuje:</w:delText>
        </w:r>
      </w:del>
    </w:p>
    <w:p w14:paraId="4BCAFB85" w14:textId="77777777" w:rsidR="00073F8F" w:rsidRPr="001B4A02" w:rsidRDefault="00000000" w:rsidP="00ED48A3">
      <w:pPr>
        <w:ind w:left="0" w:firstLine="0"/>
        <w:rPr>
          <w:del w:id="3689" w:author="AbbVie1" w:date="2025-05-13T09:50:00Z"/>
        </w:rPr>
      </w:pPr>
      <w:del w:id="3690" w:author="AbbVie1" w:date="2025-05-13T09:50:00Z">
        <w:r w:rsidRPr="001B4A02">
          <w:delText>1 injekční lahvičk</w:delText>
        </w:r>
        <w:r w:rsidR="00380A2E" w:rsidRPr="001B4A02">
          <w:delText>u</w:delText>
        </w:r>
        <w:r w:rsidRPr="001B4A02">
          <w:delText xml:space="preserve"> (0,8 ml sterilního roztoku), 1 prázdn</w:delText>
        </w:r>
        <w:r w:rsidR="00380A2E" w:rsidRPr="001B4A02">
          <w:delText>ou</w:delText>
        </w:r>
        <w:r w:rsidRPr="001B4A02">
          <w:delText xml:space="preserve"> sterilní injekční stříkačk</w:delText>
        </w:r>
        <w:r w:rsidR="00380A2E" w:rsidRPr="001B4A02">
          <w:delText xml:space="preserve">u, 1 </w:delText>
        </w:r>
        <w:r w:rsidR="00CB76B1" w:rsidRPr="001B4A02">
          <w:delText xml:space="preserve">injekční </w:delText>
        </w:r>
        <w:r w:rsidR="00380A2E" w:rsidRPr="001B4A02">
          <w:delText xml:space="preserve">jehlu, 1 adaptér </w:delText>
        </w:r>
        <w:r w:rsidR="00A7712A" w:rsidRPr="001B4A02">
          <w:delText>k</w:delText>
        </w:r>
        <w:r w:rsidR="00B66B89" w:rsidRPr="001B4A02">
          <w:delText> </w:delText>
        </w:r>
        <w:r w:rsidR="00A7712A" w:rsidRPr="001B4A02">
          <w:delText>injekční lahvičce</w:delText>
        </w:r>
        <w:r w:rsidR="002378E0">
          <w:delText xml:space="preserve"> a </w:delText>
        </w:r>
        <w:r w:rsidRPr="001B4A02">
          <w:delText>2 tampóny napuštěné alkoholem.</w:delText>
        </w:r>
      </w:del>
    </w:p>
    <w:p w14:paraId="45200158" w14:textId="77777777" w:rsidR="00073F8F" w:rsidRPr="001B4A02" w:rsidRDefault="00073F8F" w:rsidP="00ED48A3">
      <w:pPr>
        <w:ind w:left="0" w:firstLine="0"/>
        <w:rPr>
          <w:del w:id="3691" w:author="AbbVie1" w:date="2025-05-13T09:50:00Z"/>
        </w:rPr>
      </w:pPr>
    </w:p>
    <w:p w14:paraId="77E0799D" w14:textId="77777777" w:rsidR="00073F8F" w:rsidRPr="001B4A02" w:rsidRDefault="00000000" w:rsidP="000A5426">
      <w:pPr>
        <w:keepNext/>
        <w:ind w:left="0" w:firstLine="0"/>
        <w:outlineLvl w:val="1"/>
        <w:rPr>
          <w:del w:id="3692" w:author="AbbVie1" w:date="2025-05-13T09:50:00Z"/>
          <w:b/>
        </w:rPr>
      </w:pPr>
      <w:del w:id="3693" w:author="AbbVie1" w:date="2025-05-13T09:50:00Z">
        <w:r>
          <w:rPr>
            <w:b/>
          </w:rPr>
          <w:delText>6.6</w:delText>
        </w:r>
        <w:r>
          <w:rPr>
            <w:b/>
          </w:rPr>
          <w:tab/>
        </w:r>
        <w:r w:rsidRPr="001B4A02">
          <w:rPr>
            <w:b/>
          </w:rPr>
          <w:delText>Zvláštní opatření pro likvidaci přípravku</w:delText>
        </w:r>
      </w:del>
    </w:p>
    <w:p w14:paraId="79A66468" w14:textId="77777777" w:rsidR="00073F8F" w:rsidRPr="001B4A02" w:rsidRDefault="00073F8F" w:rsidP="00BF3683">
      <w:pPr>
        <w:keepNext/>
        <w:ind w:left="0" w:firstLine="0"/>
        <w:rPr>
          <w:del w:id="3694" w:author="AbbVie1" w:date="2025-05-13T09:50:00Z"/>
          <w:b/>
        </w:rPr>
      </w:pPr>
    </w:p>
    <w:p w14:paraId="7F66EB07" w14:textId="77777777" w:rsidR="00073F8F" w:rsidRPr="001B4A02" w:rsidRDefault="00000000" w:rsidP="00ED48A3">
      <w:pPr>
        <w:ind w:left="0" w:firstLine="0"/>
        <w:rPr>
          <w:del w:id="3695" w:author="AbbVie1" w:date="2025-05-13T09:50:00Z"/>
        </w:rPr>
      </w:pPr>
      <w:del w:id="3696" w:author="AbbVie1" w:date="2025-05-13T09:50:00Z">
        <w:r w:rsidRPr="001B4A02">
          <w:delText xml:space="preserve">Všechen nepoužitý </w:delText>
        </w:r>
        <w:r w:rsidR="00CA7157" w:rsidRPr="001B4A02">
          <w:delText xml:space="preserve">léčivý </w:delText>
        </w:r>
        <w:r w:rsidRPr="001B4A02">
          <w:delText>přípravek nebo odpadní materiál musí být zlikvidován v souladu s místními požadavky.</w:delText>
        </w:r>
      </w:del>
    </w:p>
    <w:p w14:paraId="2A53787C" w14:textId="77777777" w:rsidR="00073F8F" w:rsidRPr="001B4A02" w:rsidRDefault="00073F8F" w:rsidP="00ED48A3">
      <w:pPr>
        <w:ind w:left="0" w:firstLine="0"/>
        <w:rPr>
          <w:del w:id="3697" w:author="AbbVie1" w:date="2025-05-13T09:50:00Z"/>
        </w:rPr>
      </w:pPr>
    </w:p>
    <w:p w14:paraId="5F41FA26" w14:textId="77777777" w:rsidR="00073F8F" w:rsidRPr="001B4A02" w:rsidRDefault="00073F8F" w:rsidP="00ED48A3">
      <w:pPr>
        <w:ind w:left="0" w:firstLine="0"/>
        <w:rPr>
          <w:del w:id="3698" w:author="AbbVie1" w:date="2025-05-13T09:50:00Z"/>
        </w:rPr>
      </w:pPr>
    </w:p>
    <w:p w14:paraId="01265A20" w14:textId="77777777" w:rsidR="00073F8F" w:rsidRPr="001B4A02" w:rsidRDefault="00000000" w:rsidP="000A5426">
      <w:pPr>
        <w:keepNext/>
        <w:outlineLvl w:val="0"/>
        <w:rPr>
          <w:del w:id="3699" w:author="AbbVie1" w:date="2025-05-13T09:50:00Z"/>
          <w:b/>
        </w:rPr>
      </w:pPr>
      <w:del w:id="3700" w:author="AbbVie1" w:date="2025-05-13T09:50:00Z">
        <w:r w:rsidRPr="001B4A02">
          <w:rPr>
            <w:b/>
          </w:rPr>
          <w:delText>7.</w:delText>
        </w:r>
        <w:r w:rsidRPr="001B4A02">
          <w:rPr>
            <w:b/>
          </w:rPr>
          <w:tab/>
          <w:delText>DRŽITEL ROZHODNUTÍ O REGISTRACI</w:delText>
        </w:r>
      </w:del>
    </w:p>
    <w:p w14:paraId="375C3AB1" w14:textId="77777777" w:rsidR="00073F8F" w:rsidRPr="001B4A02" w:rsidRDefault="00073F8F" w:rsidP="00B67D3D">
      <w:pPr>
        <w:keepNext/>
        <w:ind w:left="0" w:firstLine="0"/>
        <w:rPr>
          <w:del w:id="3701" w:author="AbbVie1" w:date="2025-05-13T09:50:00Z"/>
        </w:rPr>
      </w:pPr>
    </w:p>
    <w:p w14:paraId="68447390" w14:textId="77777777" w:rsidR="00556E01" w:rsidRPr="001B4A02" w:rsidRDefault="00000000" w:rsidP="00B67D3D">
      <w:pPr>
        <w:keepNext/>
        <w:autoSpaceDE w:val="0"/>
        <w:autoSpaceDN w:val="0"/>
        <w:adjustRightInd w:val="0"/>
        <w:spacing w:line="240" w:lineRule="atLeast"/>
        <w:rPr>
          <w:del w:id="3702" w:author="AbbVie1" w:date="2025-05-13T09:50:00Z"/>
          <w:szCs w:val="22"/>
          <w:lang w:eastAsia="en-GB"/>
        </w:rPr>
      </w:pPr>
      <w:del w:id="3703" w:author="AbbVie1" w:date="2025-05-13T09:50:00Z">
        <w:r w:rsidRPr="001B4A02">
          <w:rPr>
            <w:szCs w:val="22"/>
            <w:lang w:eastAsia="en-GB"/>
          </w:rPr>
          <w:delText>AbbVie Deutschland GmbH &amp; Co. KG</w:delText>
        </w:r>
      </w:del>
    </w:p>
    <w:p w14:paraId="251249C2" w14:textId="77777777" w:rsidR="00556E01" w:rsidRPr="001B4A02" w:rsidRDefault="00000000" w:rsidP="00556E01">
      <w:pPr>
        <w:keepNext/>
        <w:autoSpaceDE w:val="0"/>
        <w:autoSpaceDN w:val="0"/>
        <w:adjustRightInd w:val="0"/>
        <w:spacing w:line="240" w:lineRule="atLeast"/>
        <w:rPr>
          <w:del w:id="3704" w:author="AbbVie1" w:date="2025-05-13T09:50:00Z"/>
          <w:szCs w:val="22"/>
          <w:lang w:eastAsia="en-GB"/>
        </w:rPr>
      </w:pPr>
      <w:del w:id="3705" w:author="AbbVie1" w:date="2025-05-13T09:50:00Z">
        <w:r w:rsidRPr="001B4A02">
          <w:rPr>
            <w:szCs w:val="22"/>
            <w:lang w:eastAsia="en-GB"/>
          </w:rPr>
          <w:delText>Knollstrasse</w:delText>
        </w:r>
      </w:del>
    </w:p>
    <w:p w14:paraId="49A46746" w14:textId="77777777" w:rsidR="00556E01" w:rsidRPr="001B4A02" w:rsidRDefault="00000000" w:rsidP="00556E01">
      <w:pPr>
        <w:keepNext/>
        <w:autoSpaceDE w:val="0"/>
        <w:autoSpaceDN w:val="0"/>
        <w:adjustRightInd w:val="0"/>
        <w:spacing w:line="240" w:lineRule="atLeast"/>
        <w:rPr>
          <w:del w:id="3706" w:author="AbbVie1" w:date="2025-05-13T09:50:00Z"/>
          <w:szCs w:val="22"/>
          <w:lang w:eastAsia="en-GB"/>
        </w:rPr>
      </w:pPr>
      <w:del w:id="3707" w:author="AbbVie1" w:date="2025-05-13T09:50:00Z">
        <w:r w:rsidRPr="001B4A02">
          <w:rPr>
            <w:szCs w:val="22"/>
            <w:lang w:eastAsia="en-GB"/>
          </w:rPr>
          <w:delText>67061 Ludwigshafen</w:delText>
        </w:r>
      </w:del>
    </w:p>
    <w:p w14:paraId="431AD36D" w14:textId="77777777" w:rsidR="00073F8F" w:rsidRPr="001B4A02" w:rsidRDefault="00000000" w:rsidP="00ED48A3">
      <w:pPr>
        <w:ind w:left="0" w:firstLine="0"/>
        <w:rPr>
          <w:del w:id="3708" w:author="AbbVie1" w:date="2025-05-13T09:50:00Z"/>
        </w:rPr>
      </w:pPr>
      <w:del w:id="3709" w:author="AbbVie1" w:date="2025-05-13T09:50:00Z">
        <w:r w:rsidRPr="001B4A02">
          <w:rPr>
            <w:szCs w:val="22"/>
            <w:lang w:eastAsia="en-GB"/>
          </w:rPr>
          <w:delText>Německo</w:delText>
        </w:r>
      </w:del>
    </w:p>
    <w:p w14:paraId="772DE51F" w14:textId="77777777" w:rsidR="00073F8F" w:rsidRPr="001B4A02" w:rsidRDefault="00073F8F" w:rsidP="00ED48A3">
      <w:pPr>
        <w:ind w:left="0" w:firstLine="0"/>
        <w:rPr>
          <w:del w:id="3710" w:author="AbbVie1" w:date="2025-05-13T09:50:00Z"/>
        </w:rPr>
      </w:pPr>
    </w:p>
    <w:p w14:paraId="36BBBF03" w14:textId="77777777" w:rsidR="00FC0FD0" w:rsidRPr="001B4A02" w:rsidRDefault="00FC0FD0" w:rsidP="00ED48A3">
      <w:pPr>
        <w:ind w:left="0" w:firstLine="0"/>
        <w:rPr>
          <w:del w:id="3711" w:author="AbbVie1" w:date="2025-05-13T09:50:00Z"/>
        </w:rPr>
      </w:pPr>
    </w:p>
    <w:p w14:paraId="5B9BAD88" w14:textId="77777777" w:rsidR="00073F8F" w:rsidRPr="001B4A02" w:rsidRDefault="00000000" w:rsidP="000A5426">
      <w:pPr>
        <w:keepNext/>
        <w:ind w:left="0" w:firstLine="0"/>
        <w:outlineLvl w:val="0"/>
        <w:rPr>
          <w:del w:id="3712" w:author="AbbVie1" w:date="2025-05-13T09:50:00Z"/>
          <w:b/>
        </w:rPr>
      </w:pPr>
      <w:del w:id="3713" w:author="AbbVie1" w:date="2025-05-13T09:50:00Z">
        <w:r>
          <w:rPr>
            <w:b/>
          </w:rPr>
          <w:delText>8.</w:delText>
        </w:r>
        <w:r>
          <w:rPr>
            <w:b/>
          </w:rPr>
          <w:tab/>
        </w:r>
        <w:r w:rsidRPr="001B4A02">
          <w:rPr>
            <w:b/>
          </w:rPr>
          <w:delText>REGISTRAČNÍ ČÍSLO</w:delText>
        </w:r>
      </w:del>
    </w:p>
    <w:p w14:paraId="7E5D1345" w14:textId="77777777" w:rsidR="00073F8F" w:rsidRPr="001B4A02" w:rsidRDefault="00073F8F" w:rsidP="00BF3683">
      <w:pPr>
        <w:keepNext/>
        <w:rPr>
          <w:del w:id="3714" w:author="AbbVie1" w:date="2025-05-13T09:50:00Z"/>
          <w:bCs/>
        </w:rPr>
      </w:pPr>
    </w:p>
    <w:p w14:paraId="53B9283D" w14:textId="77777777" w:rsidR="00073F8F" w:rsidRPr="001B4A02" w:rsidRDefault="00000000" w:rsidP="00ED48A3">
      <w:pPr>
        <w:ind w:left="0" w:firstLine="0"/>
        <w:rPr>
          <w:del w:id="3715" w:author="AbbVie1" w:date="2025-05-13T09:50:00Z"/>
          <w:b/>
        </w:rPr>
      </w:pPr>
      <w:del w:id="3716" w:author="AbbVie1" w:date="2025-05-13T09:50:00Z">
        <w:r w:rsidRPr="001B4A02">
          <w:rPr>
            <w:bCs/>
          </w:rPr>
          <w:delText>EU/1/03/256/001</w:delText>
        </w:r>
      </w:del>
    </w:p>
    <w:p w14:paraId="014994D7" w14:textId="77777777" w:rsidR="00073F8F" w:rsidRPr="001B4A02" w:rsidRDefault="00073F8F" w:rsidP="00ED48A3">
      <w:pPr>
        <w:ind w:left="0" w:firstLine="0"/>
        <w:rPr>
          <w:del w:id="3717" w:author="AbbVie1" w:date="2025-05-13T09:50:00Z"/>
        </w:rPr>
      </w:pPr>
    </w:p>
    <w:p w14:paraId="7EDFA610" w14:textId="77777777" w:rsidR="00073F8F" w:rsidRPr="001B4A02" w:rsidRDefault="00073F8F" w:rsidP="00ED48A3">
      <w:pPr>
        <w:ind w:left="0" w:firstLine="0"/>
        <w:rPr>
          <w:del w:id="3718" w:author="AbbVie1" w:date="2025-05-13T09:50:00Z"/>
        </w:rPr>
      </w:pPr>
    </w:p>
    <w:p w14:paraId="64F2A939" w14:textId="77777777" w:rsidR="00073F8F" w:rsidRPr="001B4A02" w:rsidRDefault="00000000" w:rsidP="000A5426">
      <w:pPr>
        <w:keepNext/>
        <w:outlineLvl w:val="0"/>
        <w:rPr>
          <w:del w:id="3719" w:author="AbbVie1" w:date="2025-05-13T09:50:00Z"/>
          <w:b/>
        </w:rPr>
      </w:pPr>
      <w:del w:id="3720" w:author="AbbVie1" w:date="2025-05-13T09:50:00Z">
        <w:r w:rsidRPr="001B4A02">
          <w:rPr>
            <w:b/>
          </w:rPr>
          <w:delText>9.</w:delText>
        </w:r>
        <w:r w:rsidRPr="001B4A02">
          <w:rPr>
            <w:b/>
          </w:rPr>
          <w:tab/>
          <w:delText>DATUM PRVNÍ REGISTRACE/PRODLOUŽENÍ REGISTRACE</w:delText>
        </w:r>
      </w:del>
    </w:p>
    <w:p w14:paraId="4C52ED5D" w14:textId="77777777" w:rsidR="00073F8F" w:rsidRPr="001B4A02" w:rsidRDefault="00073F8F" w:rsidP="00BF3683">
      <w:pPr>
        <w:keepNext/>
        <w:ind w:left="0" w:firstLine="0"/>
        <w:rPr>
          <w:del w:id="3721" w:author="AbbVie1" w:date="2025-05-13T09:50:00Z"/>
        </w:rPr>
      </w:pPr>
    </w:p>
    <w:p w14:paraId="2468D3B7" w14:textId="77777777" w:rsidR="00EE3ADC" w:rsidRPr="001B4A02" w:rsidRDefault="00000000" w:rsidP="00ED48A3">
      <w:pPr>
        <w:textAlignment w:val="top"/>
        <w:rPr>
          <w:del w:id="3722" w:author="AbbVie1" w:date="2025-05-13T09:50:00Z"/>
          <w:szCs w:val="22"/>
        </w:rPr>
      </w:pPr>
      <w:del w:id="3723" w:author="AbbVie1" w:date="2025-05-13T09:50:00Z">
        <w:r w:rsidRPr="001B4A02">
          <w:rPr>
            <w:szCs w:val="22"/>
          </w:rPr>
          <w:delText>Datum první registrace: 8</w:delText>
        </w:r>
        <w:r w:rsidR="00AA283F" w:rsidRPr="001B4A02">
          <w:rPr>
            <w:szCs w:val="22"/>
          </w:rPr>
          <w:delText>.</w:delText>
        </w:r>
        <w:r w:rsidRPr="001B4A02">
          <w:rPr>
            <w:szCs w:val="22"/>
          </w:rPr>
          <w:delText xml:space="preserve"> </w:delText>
        </w:r>
        <w:r w:rsidR="00AA283F" w:rsidRPr="001B4A02">
          <w:rPr>
            <w:rStyle w:val="hps"/>
            <w:color w:val="000000"/>
            <w:szCs w:val="22"/>
          </w:rPr>
          <w:delText>z</w:delText>
        </w:r>
        <w:r w:rsidRPr="001B4A02">
          <w:rPr>
            <w:rStyle w:val="hps"/>
            <w:color w:val="000000"/>
            <w:szCs w:val="22"/>
          </w:rPr>
          <w:delText>áří 2003</w:delText>
        </w:r>
      </w:del>
    </w:p>
    <w:p w14:paraId="648EDF88" w14:textId="77777777" w:rsidR="00EE3ADC" w:rsidRPr="001B4A02" w:rsidRDefault="00000000" w:rsidP="00ED48A3">
      <w:pPr>
        <w:textAlignment w:val="top"/>
        <w:rPr>
          <w:del w:id="3724" w:author="AbbVie1" w:date="2025-05-13T09:50:00Z"/>
          <w:szCs w:val="22"/>
        </w:rPr>
      </w:pPr>
      <w:del w:id="3725" w:author="AbbVie1" w:date="2025-05-13T09:50:00Z">
        <w:r w:rsidRPr="001B4A02">
          <w:rPr>
            <w:szCs w:val="22"/>
          </w:rPr>
          <w:delText>Datum posledního prodloužení</w:delText>
        </w:r>
        <w:r w:rsidR="0043226A" w:rsidRPr="0043226A">
          <w:rPr>
            <w:szCs w:val="22"/>
          </w:rPr>
          <w:delText xml:space="preserve"> registrace</w:delText>
        </w:r>
        <w:r w:rsidRPr="001B4A02">
          <w:rPr>
            <w:szCs w:val="22"/>
          </w:rPr>
          <w:delText>: 8</w:delText>
        </w:r>
        <w:r w:rsidR="00AA283F" w:rsidRPr="001B4A02">
          <w:rPr>
            <w:szCs w:val="22"/>
          </w:rPr>
          <w:delText>.</w:delText>
        </w:r>
        <w:r w:rsidRPr="001B4A02">
          <w:rPr>
            <w:szCs w:val="22"/>
          </w:rPr>
          <w:delText xml:space="preserve"> </w:delText>
        </w:r>
        <w:r w:rsidR="00AA283F" w:rsidRPr="001B4A02">
          <w:rPr>
            <w:rStyle w:val="hps"/>
            <w:szCs w:val="22"/>
          </w:rPr>
          <w:delText>z</w:delText>
        </w:r>
        <w:r w:rsidRPr="001B4A02">
          <w:rPr>
            <w:rStyle w:val="hps"/>
            <w:szCs w:val="22"/>
          </w:rPr>
          <w:delText>áří 2008</w:delText>
        </w:r>
      </w:del>
    </w:p>
    <w:p w14:paraId="58224C41" w14:textId="77777777" w:rsidR="00073F8F" w:rsidRPr="001B4A02" w:rsidRDefault="00073F8F" w:rsidP="00ED48A3">
      <w:pPr>
        <w:ind w:left="0" w:firstLine="0"/>
        <w:rPr>
          <w:del w:id="3726" w:author="AbbVie1" w:date="2025-05-13T09:50:00Z"/>
        </w:rPr>
      </w:pPr>
    </w:p>
    <w:p w14:paraId="36D45060" w14:textId="77777777" w:rsidR="00073F8F" w:rsidRPr="001B4A02" w:rsidRDefault="00073F8F" w:rsidP="00ED48A3">
      <w:pPr>
        <w:ind w:left="0" w:firstLine="0"/>
        <w:rPr>
          <w:del w:id="3727" w:author="AbbVie1" w:date="2025-05-13T09:50:00Z"/>
        </w:rPr>
      </w:pPr>
    </w:p>
    <w:p w14:paraId="0A1C48E5" w14:textId="77777777" w:rsidR="00073F8F" w:rsidRPr="001B4A02" w:rsidRDefault="00000000" w:rsidP="000A5426">
      <w:pPr>
        <w:pStyle w:val="EndnoteText"/>
        <w:keepNext/>
        <w:outlineLvl w:val="0"/>
        <w:rPr>
          <w:del w:id="3728" w:author="AbbVie1" w:date="2025-05-13T09:50:00Z"/>
          <w:b/>
          <w:lang w:val="cs-CZ"/>
        </w:rPr>
      </w:pPr>
      <w:del w:id="3729" w:author="AbbVie1" w:date="2025-05-13T09:50:00Z">
        <w:r w:rsidRPr="001B4A02">
          <w:rPr>
            <w:b/>
            <w:lang w:val="cs-CZ"/>
          </w:rPr>
          <w:delText>10.</w:delText>
        </w:r>
        <w:r w:rsidRPr="001B4A02">
          <w:rPr>
            <w:b/>
            <w:lang w:val="cs-CZ"/>
          </w:rPr>
          <w:tab/>
          <w:delText xml:space="preserve">DATUM REVIZE TEXTU </w:delText>
        </w:r>
      </w:del>
    </w:p>
    <w:p w14:paraId="7A2540BF" w14:textId="77777777" w:rsidR="00073F8F" w:rsidRPr="001B4A02" w:rsidRDefault="00073F8F" w:rsidP="00BF3683">
      <w:pPr>
        <w:keepNext/>
        <w:ind w:left="0" w:firstLine="0"/>
        <w:rPr>
          <w:del w:id="3730" w:author="AbbVie1" w:date="2025-05-13T09:50:00Z"/>
        </w:rPr>
      </w:pPr>
    </w:p>
    <w:p w14:paraId="0231CB23" w14:textId="77777777" w:rsidR="00CA7157" w:rsidRPr="001B4A02" w:rsidRDefault="00000000" w:rsidP="00ED48A3">
      <w:pPr>
        <w:ind w:left="0" w:firstLine="0"/>
        <w:rPr>
          <w:del w:id="3731" w:author="AbbVie1" w:date="2025-05-13T09:50:00Z"/>
        </w:rPr>
      </w:pPr>
      <w:del w:id="3732" w:author="AbbVie1" w:date="2025-05-13T09:50:00Z">
        <w:r w:rsidRPr="001B4A02">
          <w:delText>Podrobné informace o</w:delText>
        </w:r>
        <w:r w:rsidR="00923691" w:rsidRPr="001B4A02">
          <w:delText> </w:delText>
        </w:r>
        <w:r w:rsidRPr="001B4A02">
          <w:delText>tomto léčivém přípravku jsou k dispozici na webových stránkách Evropské agentury p</w:delText>
        </w:r>
        <w:r w:rsidR="003D272F" w:rsidRPr="001B4A02">
          <w:delText>ro léčivé přípravky</w:delText>
        </w:r>
        <w:r w:rsidRPr="001B4A02">
          <w:delText xml:space="preserve"> http://www.ema.europa.eu</w:delText>
        </w:r>
      </w:del>
    </w:p>
    <w:p w14:paraId="4B4AB8FC" w14:textId="77777777" w:rsidR="00073F8F" w:rsidRPr="001B4A02" w:rsidRDefault="00000000" w:rsidP="000A5426">
      <w:pPr>
        <w:keepNext/>
        <w:outlineLvl w:val="0"/>
        <w:rPr>
          <w:del w:id="3733" w:author="AbbVie1" w:date="2025-05-13T09:50:00Z"/>
          <w:b/>
        </w:rPr>
      </w:pPr>
      <w:del w:id="3734" w:author="AbbVie1" w:date="2025-05-13T09:50:00Z">
        <w:r w:rsidRPr="001B4A02">
          <w:rPr>
            <w:bCs/>
          </w:rPr>
          <w:br w:type="page"/>
        </w:r>
        <w:r w:rsidRPr="00B0584C">
          <w:rPr>
            <w:b/>
          </w:rPr>
          <w:delText>1.</w:delText>
        </w:r>
        <w:r w:rsidRPr="00B0584C">
          <w:rPr>
            <w:b/>
          </w:rPr>
          <w:tab/>
          <w:delText>NÁZEV PŘÍPRAVKU</w:delText>
        </w:r>
      </w:del>
    </w:p>
    <w:p w14:paraId="0CA76907" w14:textId="77777777" w:rsidR="00073F8F" w:rsidRPr="001B4A02" w:rsidRDefault="00073F8F" w:rsidP="00A13869">
      <w:pPr>
        <w:keepNext/>
        <w:ind w:left="0" w:firstLine="0"/>
        <w:rPr>
          <w:del w:id="3735" w:author="AbbVie1" w:date="2025-05-13T09:50:00Z"/>
        </w:rPr>
      </w:pPr>
    </w:p>
    <w:p w14:paraId="0D74F4FB" w14:textId="77777777" w:rsidR="00073F8F" w:rsidRPr="00DF4EAF" w:rsidRDefault="00000000" w:rsidP="00D427E8">
      <w:pPr>
        <w:ind w:left="0" w:firstLine="0"/>
        <w:rPr>
          <w:del w:id="3736" w:author="AbbVie1" w:date="2025-05-13T09:50:00Z"/>
        </w:rPr>
      </w:pPr>
      <w:del w:id="3737" w:author="AbbVie1" w:date="2025-05-13T09:50:00Z">
        <w:r w:rsidRPr="001B4A02">
          <w:delText xml:space="preserve">Humira 40 mg injekční </w:delText>
        </w:r>
        <w:r w:rsidRPr="00DF4EAF">
          <w:delText>roztok v předplněné injekční stříkačce</w:delText>
        </w:r>
      </w:del>
    </w:p>
    <w:p w14:paraId="5AE706F1" w14:textId="77777777" w:rsidR="00181ED8" w:rsidRPr="001B4A02" w:rsidRDefault="00000000" w:rsidP="00D427E8">
      <w:pPr>
        <w:ind w:left="0" w:firstLine="0"/>
        <w:rPr>
          <w:del w:id="3738" w:author="AbbVie1" w:date="2025-05-13T09:50:00Z"/>
        </w:rPr>
      </w:pPr>
      <w:del w:id="3739" w:author="AbbVie1" w:date="2025-05-13T09:50:00Z">
        <w:r w:rsidRPr="00F62725">
          <w:delText>Humira 40</w:delText>
        </w:r>
        <w:r w:rsidRPr="00DF4EAF">
          <w:delText> mg injekční roztok v předplněném peru</w:delText>
        </w:r>
      </w:del>
    </w:p>
    <w:p w14:paraId="6C022982" w14:textId="77777777" w:rsidR="00073F8F" w:rsidRPr="001B4A02" w:rsidRDefault="00073F8F" w:rsidP="00D427E8">
      <w:pPr>
        <w:ind w:left="0" w:firstLine="0"/>
        <w:rPr>
          <w:del w:id="3740" w:author="AbbVie1" w:date="2025-05-13T09:50:00Z"/>
        </w:rPr>
      </w:pPr>
    </w:p>
    <w:p w14:paraId="29FF57E4" w14:textId="77777777" w:rsidR="00073F8F" w:rsidRPr="001B4A02" w:rsidRDefault="00073F8F" w:rsidP="00D427E8">
      <w:pPr>
        <w:ind w:left="0" w:firstLine="0"/>
        <w:rPr>
          <w:del w:id="3741" w:author="AbbVie1" w:date="2025-05-13T09:50:00Z"/>
        </w:rPr>
      </w:pPr>
    </w:p>
    <w:p w14:paraId="43DB7C73" w14:textId="77777777" w:rsidR="00073F8F" w:rsidRPr="001B4A02" w:rsidRDefault="00000000" w:rsidP="000A5426">
      <w:pPr>
        <w:keepNext/>
        <w:outlineLvl w:val="0"/>
        <w:rPr>
          <w:del w:id="3742" w:author="AbbVie1" w:date="2025-05-13T09:50:00Z"/>
          <w:b/>
        </w:rPr>
      </w:pPr>
      <w:del w:id="3743" w:author="AbbVie1" w:date="2025-05-13T09:50:00Z">
        <w:r w:rsidRPr="001B4A02">
          <w:rPr>
            <w:b/>
          </w:rPr>
          <w:delText>2.</w:delText>
        </w:r>
        <w:r w:rsidRPr="001B4A02">
          <w:rPr>
            <w:b/>
          </w:rPr>
          <w:tab/>
          <w:delText>KVALITATIVNÍ A KVANTITATIVNÍ SLOŽENÍ</w:delText>
        </w:r>
      </w:del>
    </w:p>
    <w:p w14:paraId="56423193" w14:textId="77777777" w:rsidR="00073F8F" w:rsidRPr="001B4A02" w:rsidRDefault="00073F8F" w:rsidP="00A13869">
      <w:pPr>
        <w:keepNext/>
        <w:ind w:left="0" w:firstLine="0"/>
        <w:rPr>
          <w:del w:id="3744" w:author="AbbVie1" w:date="2025-05-13T09:50:00Z"/>
        </w:rPr>
      </w:pPr>
    </w:p>
    <w:p w14:paraId="4474C086" w14:textId="77777777" w:rsidR="00181ED8" w:rsidRPr="001B4A02" w:rsidRDefault="00000000" w:rsidP="00A13869">
      <w:pPr>
        <w:keepNext/>
        <w:ind w:left="0" w:firstLine="0"/>
        <w:rPr>
          <w:del w:id="3745" w:author="AbbVie1" w:date="2025-05-13T09:50:00Z"/>
          <w:u w:val="single"/>
        </w:rPr>
      </w:pPr>
      <w:del w:id="3746" w:author="AbbVie1" w:date="2025-05-13T09:50:00Z">
        <w:r w:rsidRPr="001B4A02">
          <w:rPr>
            <w:u w:val="single"/>
          </w:rPr>
          <w:delText>Humira 40 mg injekční roztok v předplněné injekční stříkačce</w:delText>
        </w:r>
      </w:del>
    </w:p>
    <w:p w14:paraId="4E0AB2A4" w14:textId="77777777" w:rsidR="00073F8F" w:rsidRPr="001B4A02" w:rsidRDefault="00000000" w:rsidP="00D427E8">
      <w:pPr>
        <w:ind w:left="0" w:firstLine="0"/>
        <w:rPr>
          <w:del w:id="3747" w:author="AbbVie1" w:date="2025-05-13T09:50:00Z"/>
        </w:rPr>
      </w:pPr>
      <w:del w:id="3748" w:author="AbbVie1" w:date="2025-05-13T09:50:00Z">
        <w:r w:rsidRPr="001B4A02">
          <w:delText>Jedna předplněná injekční stříkačka na jedno použití o objemu 0,8 ml obsahuje adalimumabu</w:delText>
        </w:r>
        <w:r w:rsidR="00DA73B0" w:rsidRPr="001B4A02">
          <w:delText>m 40 </w:delText>
        </w:r>
        <w:r w:rsidR="00153468" w:rsidRPr="001B4A02">
          <w:delText>mg</w:delText>
        </w:r>
        <w:r w:rsidRPr="001B4A02">
          <w:delText>.</w:delText>
        </w:r>
      </w:del>
    </w:p>
    <w:p w14:paraId="0B740EE1" w14:textId="77777777" w:rsidR="00073F8F" w:rsidRPr="001B4A02" w:rsidRDefault="00073F8F" w:rsidP="00D427E8">
      <w:pPr>
        <w:ind w:left="0" w:firstLine="0"/>
        <w:rPr>
          <w:del w:id="3749" w:author="AbbVie1" w:date="2025-05-13T09:50:00Z"/>
        </w:rPr>
      </w:pPr>
    </w:p>
    <w:p w14:paraId="7E6B8448" w14:textId="77777777" w:rsidR="00181ED8" w:rsidRPr="001B4A02" w:rsidRDefault="00000000" w:rsidP="00A13869">
      <w:pPr>
        <w:keepNext/>
        <w:ind w:left="0" w:firstLine="0"/>
        <w:rPr>
          <w:del w:id="3750" w:author="AbbVie1" w:date="2025-05-13T09:50:00Z"/>
          <w:u w:val="single"/>
        </w:rPr>
      </w:pPr>
      <w:del w:id="3751" w:author="AbbVie1" w:date="2025-05-13T09:50:00Z">
        <w:r w:rsidRPr="001B4A02">
          <w:rPr>
            <w:u w:val="single"/>
          </w:rPr>
          <w:delText>Humira 40 mg injekční roztok v předplněném peru</w:delText>
        </w:r>
      </w:del>
    </w:p>
    <w:p w14:paraId="7DBEC759" w14:textId="77777777" w:rsidR="00181ED8" w:rsidRPr="001B4A02" w:rsidRDefault="00000000" w:rsidP="00D427E8">
      <w:pPr>
        <w:ind w:left="0" w:firstLine="0"/>
        <w:rPr>
          <w:del w:id="3752" w:author="AbbVie1" w:date="2025-05-13T09:50:00Z"/>
        </w:rPr>
      </w:pPr>
      <w:del w:id="3753" w:author="AbbVie1" w:date="2025-05-13T09:50:00Z">
        <w:r w:rsidRPr="001B4A02">
          <w:delText>Jedno předplněné pero na jedno použití o objemu 0,8 ml obsahuje adalimumabum 40</w:delText>
        </w:r>
        <w:r w:rsidR="00294902">
          <w:delText> mg</w:delText>
        </w:r>
        <w:r w:rsidRPr="001B4A02">
          <w:delText>.</w:delText>
        </w:r>
      </w:del>
    </w:p>
    <w:p w14:paraId="1AF291A7" w14:textId="77777777" w:rsidR="00181ED8" w:rsidRPr="001B4A02" w:rsidRDefault="00181ED8" w:rsidP="00D427E8">
      <w:pPr>
        <w:ind w:left="0" w:firstLine="0"/>
        <w:rPr>
          <w:del w:id="3754" w:author="AbbVie1" w:date="2025-05-13T09:50:00Z"/>
        </w:rPr>
      </w:pPr>
    </w:p>
    <w:p w14:paraId="66CA71EE" w14:textId="77777777" w:rsidR="00073F8F" w:rsidRPr="001B4A02" w:rsidRDefault="00000000" w:rsidP="00D427E8">
      <w:pPr>
        <w:ind w:left="0" w:firstLine="0"/>
        <w:rPr>
          <w:del w:id="3755" w:author="AbbVie1" w:date="2025-05-13T09:50:00Z"/>
        </w:rPr>
      </w:pPr>
      <w:del w:id="3756" w:author="AbbVie1" w:date="2025-05-13T09:50:00Z">
        <w:r w:rsidRPr="001B4A02">
          <w:delText>Adalimumabum je rekombinantní lidská monoklonální protilátka produkovaná ovariálními buňkami čínských křeč</w:delText>
        </w:r>
        <w:r w:rsidR="00B47250" w:rsidRPr="001B4A02">
          <w:delText>í</w:delText>
        </w:r>
        <w:r w:rsidRPr="001B4A02">
          <w:delText>ků.</w:delText>
        </w:r>
      </w:del>
    </w:p>
    <w:p w14:paraId="7F81B57D" w14:textId="77777777" w:rsidR="00073F8F" w:rsidRPr="001B4A02" w:rsidRDefault="00073F8F" w:rsidP="00D427E8">
      <w:pPr>
        <w:pStyle w:val="EndnoteText"/>
        <w:ind w:left="0" w:firstLine="0"/>
        <w:rPr>
          <w:del w:id="3757" w:author="AbbVie1" w:date="2025-05-13T09:50:00Z"/>
          <w:lang w:val="cs-CZ"/>
        </w:rPr>
      </w:pPr>
    </w:p>
    <w:p w14:paraId="2E1C6A2E" w14:textId="77777777" w:rsidR="00073F8F" w:rsidRPr="001B4A02" w:rsidRDefault="00000000" w:rsidP="00D427E8">
      <w:pPr>
        <w:ind w:left="0" w:firstLine="0"/>
        <w:rPr>
          <w:del w:id="3758" w:author="AbbVie1" w:date="2025-05-13T09:50:00Z"/>
        </w:rPr>
      </w:pPr>
      <w:del w:id="3759" w:author="AbbVie1" w:date="2025-05-13T09:50:00Z">
        <w:r w:rsidRPr="001B4A02">
          <w:delText>Úplný seznam pomocných látek viz bod 6.1</w:delText>
        </w:r>
        <w:r w:rsidR="006D1214" w:rsidRPr="001B4A02">
          <w:delText>.</w:delText>
        </w:r>
      </w:del>
    </w:p>
    <w:p w14:paraId="13224499" w14:textId="77777777" w:rsidR="00073F8F" w:rsidRPr="001B4A02" w:rsidRDefault="00073F8F" w:rsidP="00D427E8">
      <w:pPr>
        <w:ind w:left="0" w:firstLine="0"/>
        <w:rPr>
          <w:del w:id="3760" w:author="AbbVie1" w:date="2025-05-13T09:50:00Z"/>
        </w:rPr>
      </w:pPr>
    </w:p>
    <w:p w14:paraId="24AE6BEA" w14:textId="77777777" w:rsidR="00073F8F" w:rsidRPr="001B4A02" w:rsidRDefault="00073F8F" w:rsidP="00D427E8">
      <w:pPr>
        <w:ind w:left="0" w:firstLine="0"/>
        <w:rPr>
          <w:del w:id="3761" w:author="AbbVie1" w:date="2025-05-13T09:50:00Z"/>
        </w:rPr>
      </w:pPr>
    </w:p>
    <w:p w14:paraId="526EAAAD" w14:textId="77777777" w:rsidR="00073F8F" w:rsidRPr="001B4A02" w:rsidRDefault="00000000" w:rsidP="000A5426">
      <w:pPr>
        <w:keepNext/>
        <w:outlineLvl w:val="0"/>
        <w:rPr>
          <w:del w:id="3762" w:author="AbbVie1" w:date="2025-05-13T09:50:00Z"/>
          <w:b/>
          <w:caps/>
        </w:rPr>
      </w:pPr>
      <w:del w:id="3763" w:author="AbbVie1" w:date="2025-05-13T09:50:00Z">
        <w:r w:rsidRPr="001B4A02">
          <w:rPr>
            <w:b/>
          </w:rPr>
          <w:delText>3.</w:delText>
        </w:r>
        <w:r w:rsidRPr="001B4A02">
          <w:rPr>
            <w:b/>
          </w:rPr>
          <w:tab/>
          <w:delText>LÉKOVÁ FORMA</w:delText>
        </w:r>
      </w:del>
    </w:p>
    <w:p w14:paraId="7A96914D" w14:textId="77777777" w:rsidR="00073F8F" w:rsidRPr="001B4A02" w:rsidRDefault="00073F8F" w:rsidP="00A13869">
      <w:pPr>
        <w:keepNext/>
        <w:ind w:left="0" w:firstLine="0"/>
        <w:rPr>
          <w:del w:id="3764" w:author="AbbVie1" w:date="2025-05-13T09:50:00Z"/>
        </w:rPr>
      </w:pPr>
    </w:p>
    <w:p w14:paraId="7D512ABC" w14:textId="77777777" w:rsidR="00FF681D" w:rsidRPr="001B4A02" w:rsidRDefault="00000000" w:rsidP="00ED48A3">
      <w:pPr>
        <w:pStyle w:val="EndnoteText"/>
        <w:ind w:left="0" w:firstLine="0"/>
        <w:rPr>
          <w:del w:id="3765" w:author="AbbVie1" w:date="2025-05-13T09:50:00Z"/>
          <w:lang w:val="cs-CZ"/>
        </w:rPr>
      </w:pPr>
      <w:del w:id="3766" w:author="AbbVie1" w:date="2025-05-13T09:50:00Z">
        <w:r w:rsidRPr="00DF4EAF">
          <w:rPr>
            <w:lang w:val="cs-CZ"/>
          </w:rPr>
          <w:delText>Injekční roztok</w:delText>
        </w:r>
        <w:r w:rsidR="0023438F" w:rsidRPr="00DF4EAF">
          <w:rPr>
            <w:lang w:val="cs-CZ"/>
          </w:rPr>
          <w:delText xml:space="preserve"> (injekce)</w:delText>
        </w:r>
      </w:del>
    </w:p>
    <w:p w14:paraId="2DE16090" w14:textId="77777777" w:rsidR="00FF681D" w:rsidRPr="001B4A02" w:rsidRDefault="00FF681D" w:rsidP="00ED48A3">
      <w:pPr>
        <w:pStyle w:val="EndnoteText"/>
        <w:ind w:left="0" w:firstLine="0"/>
        <w:rPr>
          <w:del w:id="3767" w:author="AbbVie1" w:date="2025-05-13T09:50:00Z"/>
          <w:lang w:val="cs-CZ"/>
        </w:rPr>
      </w:pPr>
    </w:p>
    <w:p w14:paraId="3A424E4D" w14:textId="77777777" w:rsidR="00073F8F" w:rsidRPr="001B4A02" w:rsidRDefault="00000000" w:rsidP="00ED48A3">
      <w:pPr>
        <w:pStyle w:val="EndnoteText"/>
        <w:ind w:left="0" w:firstLine="0"/>
        <w:rPr>
          <w:del w:id="3768" w:author="AbbVie1" w:date="2025-05-13T09:50:00Z"/>
          <w:lang w:val="cs-CZ"/>
        </w:rPr>
      </w:pPr>
      <w:del w:id="3769" w:author="AbbVie1" w:date="2025-05-13T09:50:00Z">
        <w:r w:rsidRPr="001B4A02">
          <w:rPr>
            <w:lang w:val="cs-CZ"/>
          </w:rPr>
          <w:delText>Čirý</w:delText>
        </w:r>
        <w:r w:rsidR="00FF681D" w:rsidRPr="001B4A02">
          <w:rPr>
            <w:lang w:val="cs-CZ"/>
          </w:rPr>
          <w:delText>, bezbarvý</w:delText>
        </w:r>
        <w:r w:rsidR="00DA73B0" w:rsidRPr="001B4A02">
          <w:rPr>
            <w:lang w:val="cs-CZ"/>
          </w:rPr>
          <w:delText xml:space="preserve"> roztok</w:delText>
        </w:r>
        <w:r w:rsidR="00A23DAB" w:rsidRPr="001B4A02">
          <w:rPr>
            <w:lang w:val="cs-CZ"/>
          </w:rPr>
          <w:delText>.</w:delText>
        </w:r>
      </w:del>
    </w:p>
    <w:p w14:paraId="1CC2BF95" w14:textId="77777777" w:rsidR="00073F8F" w:rsidRPr="001B4A02" w:rsidRDefault="00073F8F" w:rsidP="00ED48A3">
      <w:pPr>
        <w:ind w:left="0" w:firstLine="0"/>
        <w:rPr>
          <w:del w:id="3770" w:author="AbbVie1" w:date="2025-05-13T09:50:00Z"/>
        </w:rPr>
      </w:pPr>
    </w:p>
    <w:p w14:paraId="763C8846" w14:textId="77777777" w:rsidR="00073F8F" w:rsidRPr="001B4A02" w:rsidRDefault="00073F8F" w:rsidP="00ED48A3">
      <w:pPr>
        <w:ind w:left="0" w:firstLine="0"/>
        <w:rPr>
          <w:del w:id="3771" w:author="AbbVie1" w:date="2025-05-13T09:50:00Z"/>
        </w:rPr>
      </w:pPr>
    </w:p>
    <w:p w14:paraId="0B44DAC5" w14:textId="77777777" w:rsidR="00073F8F" w:rsidRPr="001B4A02" w:rsidRDefault="00000000" w:rsidP="000A5426">
      <w:pPr>
        <w:keepNext/>
        <w:outlineLvl w:val="0"/>
        <w:rPr>
          <w:del w:id="3772" w:author="AbbVie1" w:date="2025-05-13T09:50:00Z"/>
          <w:b/>
          <w:caps/>
        </w:rPr>
      </w:pPr>
      <w:del w:id="3773" w:author="AbbVie1" w:date="2025-05-13T09:50:00Z">
        <w:r w:rsidRPr="001B4A02">
          <w:rPr>
            <w:b/>
            <w:caps/>
          </w:rPr>
          <w:delText>4.</w:delText>
        </w:r>
        <w:r w:rsidRPr="001B4A02">
          <w:rPr>
            <w:b/>
            <w:caps/>
          </w:rPr>
          <w:tab/>
          <w:delText>KLINICKÉ ÚDAJE</w:delText>
        </w:r>
      </w:del>
    </w:p>
    <w:p w14:paraId="6B897C6C" w14:textId="77777777" w:rsidR="00073F8F" w:rsidRPr="001B4A02" w:rsidRDefault="00073F8F" w:rsidP="00A13869">
      <w:pPr>
        <w:keepNext/>
        <w:ind w:left="0" w:firstLine="0"/>
        <w:rPr>
          <w:del w:id="3774" w:author="AbbVie1" w:date="2025-05-13T09:50:00Z"/>
          <w:b/>
        </w:rPr>
      </w:pPr>
    </w:p>
    <w:p w14:paraId="147738AB" w14:textId="77777777" w:rsidR="00073F8F" w:rsidRPr="001B4A02" w:rsidRDefault="00000000" w:rsidP="000A5426">
      <w:pPr>
        <w:keepNext/>
        <w:outlineLvl w:val="1"/>
        <w:rPr>
          <w:del w:id="3775" w:author="AbbVie1" w:date="2025-05-13T09:50:00Z"/>
        </w:rPr>
      </w:pPr>
      <w:del w:id="3776" w:author="AbbVie1" w:date="2025-05-13T09:50:00Z">
        <w:r w:rsidRPr="001B4A02">
          <w:rPr>
            <w:b/>
          </w:rPr>
          <w:delText>4.1</w:delText>
        </w:r>
        <w:r w:rsidRPr="001B4A02">
          <w:rPr>
            <w:b/>
          </w:rPr>
          <w:tab/>
          <w:delText>Terapeutické indikace</w:delText>
        </w:r>
      </w:del>
    </w:p>
    <w:p w14:paraId="3CC5AE4B" w14:textId="77777777" w:rsidR="00073F8F" w:rsidRPr="001B4A02" w:rsidRDefault="00073F8F" w:rsidP="00A13869">
      <w:pPr>
        <w:keepNext/>
        <w:ind w:left="0" w:firstLine="0"/>
        <w:rPr>
          <w:del w:id="3777" w:author="AbbVie1" w:date="2025-05-13T09:50:00Z"/>
        </w:rPr>
      </w:pPr>
    </w:p>
    <w:p w14:paraId="06BC599A" w14:textId="77777777" w:rsidR="00073F8F" w:rsidRPr="001B4A02" w:rsidRDefault="00000000" w:rsidP="00A13869">
      <w:pPr>
        <w:pStyle w:val="EMEAHeadingUnderline"/>
        <w:keepNext/>
        <w:tabs>
          <w:tab w:val="clear" w:pos="562"/>
        </w:tabs>
        <w:suppressAutoHyphens w:val="0"/>
        <w:spacing w:beforeLines="0" w:before="0" w:afterLines="0" w:after="0"/>
        <w:rPr>
          <w:del w:id="3778" w:author="AbbVie1" w:date="2025-05-13T09:50:00Z"/>
          <w:lang w:val="cs-CZ"/>
        </w:rPr>
      </w:pPr>
      <w:del w:id="3779" w:author="AbbVie1" w:date="2025-05-13T09:50:00Z">
        <w:r w:rsidRPr="001B4A02">
          <w:rPr>
            <w:lang w:val="cs-CZ"/>
          </w:rPr>
          <w:delText>Revmatoidní artritida</w:delText>
        </w:r>
      </w:del>
    </w:p>
    <w:p w14:paraId="02C62112" w14:textId="77777777" w:rsidR="00073F8F" w:rsidRPr="001B4A02" w:rsidRDefault="00073F8F" w:rsidP="00A13869">
      <w:pPr>
        <w:keepNext/>
        <w:ind w:left="0" w:firstLine="0"/>
        <w:rPr>
          <w:del w:id="3780" w:author="AbbVie1" w:date="2025-05-13T09:50:00Z"/>
          <w:u w:val="single"/>
        </w:rPr>
      </w:pPr>
    </w:p>
    <w:p w14:paraId="05EF64E4" w14:textId="77777777" w:rsidR="00073F8F" w:rsidRPr="001B4A02" w:rsidRDefault="00000000" w:rsidP="00A13869">
      <w:pPr>
        <w:pStyle w:val="EMEANormal"/>
        <w:keepNext/>
        <w:tabs>
          <w:tab w:val="clear" w:pos="562"/>
        </w:tabs>
        <w:suppressAutoHyphens w:val="0"/>
        <w:rPr>
          <w:del w:id="3781" w:author="AbbVie1" w:date="2025-05-13T09:50:00Z"/>
          <w:lang w:val="cs-CZ"/>
        </w:rPr>
      </w:pPr>
      <w:del w:id="3782" w:author="AbbVie1" w:date="2025-05-13T09:50:00Z">
        <w:r w:rsidRPr="001B4A02">
          <w:rPr>
            <w:lang w:val="cs-CZ"/>
          </w:rPr>
          <w:delText xml:space="preserve">Přípravek Humira </w:delText>
        </w:r>
        <w:r w:rsidR="00153468" w:rsidRPr="001B4A02">
          <w:rPr>
            <w:lang w:val="cs-CZ"/>
          </w:rPr>
          <w:delText xml:space="preserve">je </w:delText>
        </w:r>
        <w:r w:rsidRPr="001B4A02">
          <w:rPr>
            <w:lang w:val="cs-CZ"/>
          </w:rPr>
          <w:delText>v kombinaci s methotrexátem indikován:</w:delText>
        </w:r>
      </w:del>
    </w:p>
    <w:p w14:paraId="4BFE3EE5" w14:textId="77777777" w:rsidR="00073F8F" w:rsidRPr="001B4A02" w:rsidRDefault="00073F8F" w:rsidP="00A13869">
      <w:pPr>
        <w:keepNext/>
        <w:ind w:left="0" w:firstLine="0"/>
        <w:rPr>
          <w:del w:id="3783" w:author="AbbVie1" w:date="2025-05-13T09:50:00Z"/>
        </w:rPr>
      </w:pPr>
    </w:p>
    <w:p w14:paraId="73BFAD46" w14:textId="77777777" w:rsidR="00073F8F" w:rsidRPr="001B4A02" w:rsidRDefault="00000000" w:rsidP="00ED48A3">
      <w:pPr>
        <w:numPr>
          <w:ilvl w:val="0"/>
          <w:numId w:val="40"/>
        </w:numPr>
        <w:tabs>
          <w:tab w:val="clear" w:pos="720"/>
          <w:tab w:val="num" w:pos="567"/>
        </w:tabs>
        <w:ind w:left="567" w:hanging="567"/>
        <w:rPr>
          <w:del w:id="3784" w:author="AbbVie1" w:date="2025-05-13T09:50:00Z"/>
        </w:rPr>
      </w:pPr>
      <w:del w:id="3785" w:author="AbbVie1" w:date="2025-05-13T09:50:00Z">
        <w:r w:rsidRPr="001B4A02">
          <w:delText>k léčbě středně těžké až těžké aktivní revmatoidní artritidy u dospělých pacientů, jestliže odpověď na chorobu modifikující antirevmatické léky včetně methotrexátu není dostatečná.</w:delText>
        </w:r>
      </w:del>
    </w:p>
    <w:p w14:paraId="1B673C09" w14:textId="77777777" w:rsidR="00073F8F" w:rsidRPr="001B4A02" w:rsidRDefault="00000000" w:rsidP="00ED48A3">
      <w:pPr>
        <w:pStyle w:val="EndnoteText"/>
        <w:numPr>
          <w:ilvl w:val="0"/>
          <w:numId w:val="39"/>
        </w:numPr>
        <w:tabs>
          <w:tab w:val="clear" w:pos="720"/>
          <w:tab w:val="num" w:pos="567"/>
        </w:tabs>
        <w:ind w:left="567" w:hanging="567"/>
        <w:rPr>
          <w:del w:id="3786" w:author="AbbVie1" w:date="2025-05-13T09:50:00Z"/>
          <w:lang w:val="cs-CZ"/>
        </w:rPr>
      </w:pPr>
      <w:del w:id="3787" w:author="AbbVie1" w:date="2025-05-13T09:50:00Z">
        <w:r w:rsidRPr="001B4A02">
          <w:rPr>
            <w:lang w:val="cs-CZ"/>
          </w:rPr>
          <w:delText>k léčbě těžké aktivní</w:delText>
        </w:r>
        <w:r w:rsidR="002378E0">
          <w:rPr>
            <w:lang w:val="cs-CZ"/>
          </w:rPr>
          <w:delText xml:space="preserve"> a </w:delText>
        </w:r>
        <w:r w:rsidRPr="001B4A02">
          <w:rPr>
            <w:lang w:val="cs-CZ"/>
          </w:rPr>
          <w:delText>progresivní revmatoidní artritidy u dospělých pacientů, kteří nebyli v </w:delText>
        </w:r>
        <w:r w:rsidR="00DA73B0" w:rsidRPr="001B4A02">
          <w:rPr>
            <w:lang w:val="cs-CZ"/>
          </w:rPr>
          <w:delText>minulosti léčeni methotrexátem.</w:delText>
        </w:r>
      </w:del>
    </w:p>
    <w:p w14:paraId="6276E46F" w14:textId="77777777" w:rsidR="00073F8F" w:rsidRPr="001B4A02" w:rsidRDefault="00073F8F" w:rsidP="00ED48A3">
      <w:pPr>
        <w:ind w:left="0" w:firstLine="0"/>
        <w:rPr>
          <w:del w:id="3788" w:author="AbbVie1" w:date="2025-05-13T09:50:00Z"/>
        </w:rPr>
      </w:pPr>
    </w:p>
    <w:p w14:paraId="062654E3" w14:textId="77777777" w:rsidR="00073F8F" w:rsidRPr="001B4A02" w:rsidRDefault="00000000" w:rsidP="00ED48A3">
      <w:pPr>
        <w:ind w:left="0" w:firstLine="0"/>
        <w:rPr>
          <w:del w:id="3789" w:author="AbbVie1" w:date="2025-05-13T09:50:00Z"/>
        </w:rPr>
      </w:pPr>
      <w:del w:id="3790" w:author="AbbVie1" w:date="2025-05-13T09:50:00Z">
        <w:r w:rsidRPr="001B4A02">
          <w:delText xml:space="preserve">Přípravek Humira je možné podávat v monoterapii při </w:delText>
        </w:r>
        <w:r w:rsidR="00C22CBF" w:rsidRPr="004A0D2A">
          <w:delText>intoleranci</w:delText>
        </w:r>
        <w:r w:rsidRPr="001B4A02">
          <w:delText xml:space="preserve"> methotrexátu nebo v případech, kdy pokračování v l</w:delText>
        </w:r>
        <w:r w:rsidR="00DA73B0" w:rsidRPr="001B4A02">
          <w:delText>éčbě methotrexátem není vhodné.</w:delText>
        </w:r>
      </w:del>
    </w:p>
    <w:p w14:paraId="079344C9" w14:textId="77777777" w:rsidR="00073F8F" w:rsidRPr="001B4A02" w:rsidRDefault="00073F8F" w:rsidP="00ED48A3">
      <w:pPr>
        <w:ind w:left="0" w:firstLine="0"/>
        <w:rPr>
          <w:del w:id="3791" w:author="AbbVie1" w:date="2025-05-13T09:50:00Z"/>
        </w:rPr>
      </w:pPr>
    </w:p>
    <w:p w14:paraId="37C28EF7" w14:textId="77777777" w:rsidR="00073F8F" w:rsidRPr="001B4A02" w:rsidRDefault="00000000" w:rsidP="00ED48A3">
      <w:pPr>
        <w:ind w:left="0" w:firstLine="0"/>
        <w:rPr>
          <w:del w:id="3792" w:author="AbbVie1" w:date="2025-05-13T09:50:00Z"/>
        </w:rPr>
      </w:pPr>
      <w:del w:id="3793" w:author="AbbVie1" w:date="2025-05-13T09:50:00Z">
        <w:r w:rsidRPr="001B4A02">
          <w:delText>RTG vyšetř</w:delText>
        </w:r>
        <w:r w:rsidR="00C22CBF">
          <w:delText>e</w:delText>
        </w:r>
        <w:r w:rsidRPr="001B4A02">
          <w:delText>ním bylo prokázáno, že přípravek Humira snižuje rychlost progrese poškození kloubů</w:delText>
        </w:r>
        <w:r w:rsidR="002378E0">
          <w:delText xml:space="preserve"> a </w:delText>
        </w:r>
        <w:r w:rsidRPr="001B4A02">
          <w:delText>zlepšuje fyzické funkce, pokud je podáván v kombinaci s methotrexátem.</w:delText>
        </w:r>
      </w:del>
    </w:p>
    <w:p w14:paraId="3DF35932" w14:textId="77777777" w:rsidR="00073F8F" w:rsidRPr="001B4A02" w:rsidRDefault="00073F8F" w:rsidP="00ED48A3">
      <w:pPr>
        <w:ind w:left="0" w:firstLine="0"/>
        <w:rPr>
          <w:del w:id="3794" w:author="AbbVie1" w:date="2025-05-13T09:50:00Z"/>
        </w:rPr>
      </w:pPr>
    </w:p>
    <w:p w14:paraId="3BB1A73C" w14:textId="77777777" w:rsidR="004A00AF" w:rsidRPr="001B4A02" w:rsidRDefault="00000000" w:rsidP="00A13869">
      <w:pPr>
        <w:keepNext/>
        <w:ind w:left="0" w:firstLine="0"/>
        <w:rPr>
          <w:del w:id="3795" w:author="AbbVie1" w:date="2025-05-13T09:50:00Z"/>
          <w:u w:val="single"/>
        </w:rPr>
      </w:pPr>
      <w:del w:id="3796" w:author="AbbVie1" w:date="2025-05-13T09:50:00Z">
        <w:r w:rsidRPr="001B4A02">
          <w:rPr>
            <w:u w:val="single"/>
          </w:rPr>
          <w:delText>Juvenilní idiopatická artritida</w:delText>
        </w:r>
      </w:del>
    </w:p>
    <w:p w14:paraId="29697AFF" w14:textId="77777777" w:rsidR="004A00AF" w:rsidRPr="001B4A02" w:rsidRDefault="004A00AF" w:rsidP="00A13869">
      <w:pPr>
        <w:keepNext/>
        <w:ind w:left="0" w:firstLine="0"/>
        <w:rPr>
          <w:del w:id="3797" w:author="AbbVie1" w:date="2025-05-13T09:50:00Z"/>
        </w:rPr>
      </w:pPr>
    </w:p>
    <w:p w14:paraId="4EA04614" w14:textId="77777777" w:rsidR="00073F8F" w:rsidRPr="001B4A02" w:rsidRDefault="00000000" w:rsidP="00A13869">
      <w:pPr>
        <w:pStyle w:val="EMEAHeadingUnderline"/>
        <w:keepNext/>
        <w:tabs>
          <w:tab w:val="clear" w:pos="562"/>
          <w:tab w:val="left" w:pos="708"/>
        </w:tabs>
        <w:suppressAutoHyphens w:val="0"/>
        <w:spacing w:beforeLines="0" w:before="0" w:afterLines="0" w:after="0"/>
        <w:rPr>
          <w:del w:id="3798" w:author="AbbVie1" w:date="2025-05-13T09:50:00Z"/>
          <w:i/>
          <w:u w:val="none"/>
          <w:lang w:val="cs-CZ"/>
        </w:rPr>
      </w:pPr>
      <w:del w:id="3799" w:author="AbbVie1" w:date="2025-05-13T09:50:00Z">
        <w:r w:rsidRPr="001B4A02">
          <w:rPr>
            <w:i/>
            <w:u w:val="none"/>
            <w:lang w:val="cs-CZ"/>
          </w:rPr>
          <w:delText>Polyartikulární juvenilní idiopatická artritida</w:delText>
        </w:r>
      </w:del>
    </w:p>
    <w:p w14:paraId="75AD4501" w14:textId="77777777" w:rsidR="00073F8F" w:rsidRPr="001B4A02" w:rsidRDefault="00073F8F" w:rsidP="00A13869">
      <w:pPr>
        <w:keepNext/>
        <w:ind w:left="0" w:firstLine="0"/>
        <w:rPr>
          <w:del w:id="3800" w:author="AbbVie1" w:date="2025-05-13T09:50:00Z"/>
        </w:rPr>
      </w:pPr>
    </w:p>
    <w:p w14:paraId="133D2C1B" w14:textId="77777777" w:rsidR="00073F8F" w:rsidRPr="001B4A02" w:rsidRDefault="00000000" w:rsidP="00ED48A3">
      <w:pPr>
        <w:pStyle w:val="EMEANormal"/>
        <w:tabs>
          <w:tab w:val="clear" w:pos="562"/>
          <w:tab w:val="left" w:pos="708"/>
        </w:tabs>
        <w:suppressAutoHyphens w:val="0"/>
        <w:rPr>
          <w:del w:id="3801" w:author="AbbVie1" w:date="2025-05-13T09:50:00Z"/>
          <w:lang w:val="cs-CZ"/>
        </w:rPr>
      </w:pPr>
      <w:del w:id="3802" w:author="AbbVie1" w:date="2025-05-13T09:50:00Z">
        <w:r w:rsidRPr="001B4A02">
          <w:rPr>
            <w:lang w:val="cs-CZ"/>
          </w:rPr>
          <w:delText>Přípravek Humira je indikován, v kombinaci s methotrexátem, k léčbě aktivní polyartikulární juvenilní idiopatické artritidy</w:delText>
        </w:r>
        <w:r w:rsidR="002009DF" w:rsidRPr="001B4A02">
          <w:rPr>
            <w:lang w:val="cs-CZ"/>
          </w:rPr>
          <w:delText xml:space="preserve"> u </w:delText>
        </w:r>
        <w:r w:rsidR="004A00AF" w:rsidRPr="001B4A02">
          <w:rPr>
            <w:lang w:val="cs-CZ"/>
          </w:rPr>
          <w:delText xml:space="preserve">pacientů </w:delText>
        </w:r>
        <w:r w:rsidR="0014577B" w:rsidRPr="001B4A02">
          <w:rPr>
            <w:lang w:val="cs-CZ"/>
          </w:rPr>
          <w:delText>od</w:delText>
        </w:r>
        <w:r w:rsidRPr="001B4A02">
          <w:rPr>
            <w:lang w:val="cs-CZ"/>
          </w:rPr>
          <w:delText xml:space="preserve"> </w:delText>
        </w:r>
        <w:r w:rsidR="00672E2B" w:rsidRPr="001B4A02">
          <w:rPr>
            <w:lang w:val="cs-CZ"/>
          </w:rPr>
          <w:delText>2</w:delText>
        </w:r>
        <w:r w:rsidRPr="001B4A02">
          <w:rPr>
            <w:lang w:val="cs-CZ"/>
          </w:rPr>
          <w:delText xml:space="preserve"> let,</w:delText>
        </w:r>
        <w:r w:rsidR="002009DF" w:rsidRPr="001B4A02">
          <w:rPr>
            <w:lang w:val="cs-CZ"/>
          </w:rPr>
          <w:delText xml:space="preserve"> u </w:delText>
        </w:r>
        <w:r w:rsidRPr="001B4A02">
          <w:rPr>
            <w:lang w:val="cs-CZ"/>
          </w:rPr>
          <w:delText>kterých odpověď na léčbu jedním nebo více chorobu modifikujícími antirevmatiky (DMARD) nebyla dostatečná. Při nesnášenlivosti methotrexátu nebo v případě, kdy pokračování v</w:delText>
        </w:r>
        <w:r w:rsidR="00EF0AF7" w:rsidRPr="001B4A02">
          <w:rPr>
            <w:lang w:val="cs-CZ"/>
          </w:rPr>
          <w:delText> </w:delText>
        </w:r>
        <w:r w:rsidRPr="001B4A02">
          <w:rPr>
            <w:lang w:val="cs-CZ"/>
          </w:rPr>
          <w:delText>léčbě methotrexátem není vhodné, může být přípravek Humira podáván samostatně (</w:delText>
        </w:r>
        <w:r w:rsidR="00DC1FBD" w:rsidRPr="001B4A02">
          <w:rPr>
            <w:lang w:val="cs-CZ"/>
          </w:rPr>
          <w:delText>účinnost při</w:delText>
        </w:r>
        <w:r w:rsidR="00AB6D0E" w:rsidRPr="001B4A02">
          <w:rPr>
            <w:lang w:val="cs-CZ"/>
          </w:rPr>
          <w:delText xml:space="preserve"> monoterapii </w:delText>
        </w:r>
        <w:r w:rsidRPr="001B4A02">
          <w:rPr>
            <w:lang w:val="cs-CZ"/>
          </w:rPr>
          <w:delText>viz bod 5.1).</w:delText>
        </w:r>
        <w:r w:rsidR="00AB6D0E" w:rsidRPr="001B4A02">
          <w:rPr>
            <w:lang w:val="cs-CZ"/>
          </w:rPr>
          <w:delText xml:space="preserve"> Přípravek Humira </w:delText>
        </w:r>
        <w:r w:rsidR="00DC1FBD" w:rsidRPr="001B4A02">
          <w:rPr>
            <w:lang w:val="cs-CZ"/>
          </w:rPr>
          <w:delText>nebyl studován</w:delText>
        </w:r>
        <w:r w:rsidR="002009DF" w:rsidRPr="001B4A02">
          <w:rPr>
            <w:lang w:val="cs-CZ"/>
          </w:rPr>
          <w:delText xml:space="preserve"> u </w:delText>
        </w:r>
        <w:r w:rsidR="004A00AF" w:rsidRPr="001B4A02">
          <w:rPr>
            <w:lang w:val="cs-CZ"/>
          </w:rPr>
          <w:delText xml:space="preserve">pacientů </w:delText>
        </w:r>
        <w:r w:rsidR="00DC1FBD" w:rsidRPr="001B4A02">
          <w:rPr>
            <w:lang w:val="cs-CZ"/>
          </w:rPr>
          <w:delText>mladších</w:delText>
        </w:r>
        <w:r w:rsidR="00AB6D0E" w:rsidRPr="001B4A02">
          <w:rPr>
            <w:lang w:val="cs-CZ"/>
          </w:rPr>
          <w:delText xml:space="preserve"> </w:delText>
        </w:r>
        <w:r w:rsidR="00672E2B" w:rsidRPr="001B4A02">
          <w:rPr>
            <w:lang w:val="cs-CZ"/>
          </w:rPr>
          <w:delText>2</w:delText>
        </w:r>
        <w:r w:rsidR="00AB6D0E" w:rsidRPr="001B4A02">
          <w:rPr>
            <w:lang w:val="cs-CZ"/>
          </w:rPr>
          <w:delText xml:space="preserve"> let.</w:delText>
        </w:r>
      </w:del>
    </w:p>
    <w:p w14:paraId="2CD1BB49" w14:textId="77777777" w:rsidR="00073F8F" w:rsidRPr="001B4A02" w:rsidRDefault="00073F8F" w:rsidP="00ED48A3">
      <w:pPr>
        <w:ind w:left="0" w:firstLine="0"/>
        <w:rPr>
          <w:del w:id="3803" w:author="AbbVie1" w:date="2025-05-13T09:50:00Z"/>
        </w:rPr>
      </w:pPr>
    </w:p>
    <w:p w14:paraId="050AB132" w14:textId="77777777" w:rsidR="00E44CD4" w:rsidRPr="001B4A02" w:rsidRDefault="00000000" w:rsidP="00ED48A3">
      <w:pPr>
        <w:keepNext/>
        <w:ind w:left="0" w:firstLine="0"/>
        <w:rPr>
          <w:del w:id="3804" w:author="AbbVie1" w:date="2025-05-13T09:50:00Z"/>
          <w:i/>
        </w:rPr>
      </w:pPr>
      <w:del w:id="3805" w:author="AbbVie1" w:date="2025-05-13T09:50:00Z">
        <w:r w:rsidRPr="001B4A02">
          <w:rPr>
            <w:i/>
          </w:rPr>
          <w:delText>Entezopatická artritida</w:delText>
        </w:r>
      </w:del>
    </w:p>
    <w:p w14:paraId="063C7E32" w14:textId="77777777" w:rsidR="004A00AF" w:rsidRPr="001B4A02" w:rsidRDefault="004A00AF" w:rsidP="00ED48A3">
      <w:pPr>
        <w:pStyle w:val="EMEANormal"/>
        <w:keepNext/>
        <w:tabs>
          <w:tab w:val="clear" w:pos="562"/>
          <w:tab w:val="left" w:pos="708"/>
        </w:tabs>
        <w:suppressAutoHyphens w:val="0"/>
        <w:rPr>
          <w:del w:id="3806" w:author="AbbVie1" w:date="2025-05-13T09:50:00Z"/>
          <w:lang w:val="cs-CZ"/>
        </w:rPr>
      </w:pPr>
    </w:p>
    <w:p w14:paraId="59C1EC06" w14:textId="77777777" w:rsidR="004A00AF" w:rsidRPr="001B4A02" w:rsidRDefault="00000000" w:rsidP="00DA73B0">
      <w:pPr>
        <w:pStyle w:val="EMEANormal"/>
        <w:tabs>
          <w:tab w:val="clear" w:pos="562"/>
          <w:tab w:val="left" w:pos="708"/>
        </w:tabs>
        <w:suppressAutoHyphens w:val="0"/>
        <w:rPr>
          <w:del w:id="3807" w:author="AbbVie1" w:date="2025-05-13T09:50:00Z"/>
          <w:lang w:val="cs-CZ"/>
        </w:rPr>
      </w:pPr>
      <w:del w:id="3808" w:author="AbbVie1" w:date="2025-05-13T09:50:00Z">
        <w:r w:rsidRPr="007928B5">
          <w:rPr>
            <w:lang w:val="cs-CZ"/>
          </w:rPr>
          <w:delText xml:space="preserve">Přípravek </w:delText>
        </w:r>
        <w:r w:rsidRPr="001B4A02">
          <w:rPr>
            <w:lang w:val="cs-CZ"/>
          </w:rPr>
          <w:delText xml:space="preserve">Humira je indikován </w:delText>
        </w:r>
        <w:r w:rsidR="00E44CD4" w:rsidRPr="001B4A02">
          <w:rPr>
            <w:lang w:val="cs-CZ"/>
          </w:rPr>
          <w:delText>k</w:delText>
        </w:r>
        <w:r w:rsidR="00B66B89" w:rsidRPr="001B4A02">
          <w:rPr>
            <w:lang w:val="cs-CZ"/>
          </w:rPr>
          <w:delText> </w:delText>
        </w:r>
        <w:r w:rsidRPr="001B4A02">
          <w:rPr>
            <w:lang w:val="cs-CZ"/>
          </w:rPr>
          <w:delText>léčb</w:delText>
        </w:r>
        <w:r w:rsidR="00E44CD4" w:rsidRPr="001B4A02">
          <w:rPr>
            <w:lang w:val="cs-CZ"/>
          </w:rPr>
          <w:delText>ě</w:delText>
        </w:r>
        <w:r w:rsidRPr="001B4A02">
          <w:rPr>
            <w:lang w:val="cs-CZ"/>
          </w:rPr>
          <w:delText xml:space="preserve"> aktivní ente</w:delText>
        </w:r>
        <w:r w:rsidR="00E44CD4" w:rsidRPr="001B4A02">
          <w:rPr>
            <w:lang w:val="cs-CZ"/>
          </w:rPr>
          <w:delText>zopatické artritidy</w:delText>
        </w:r>
        <w:r w:rsidR="002009DF" w:rsidRPr="001B4A02">
          <w:rPr>
            <w:lang w:val="cs-CZ"/>
          </w:rPr>
          <w:delText xml:space="preserve"> u </w:delText>
        </w:r>
        <w:r w:rsidRPr="001B4A02">
          <w:rPr>
            <w:lang w:val="cs-CZ"/>
          </w:rPr>
          <w:delText>pacientů ve věku od 6 let,</w:delText>
        </w:r>
        <w:r w:rsidR="002009DF" w:rsidRPr="001B4A02">
          <w:rPr>
            <w:lang w:val="cs-CZ"/>
          </w:rPr>
          <w:delText xml:space="preserve"> u </w:delText>
        </w:r>
        <w:r w:rsidRPr="001B4A02">
          <w:rPr>
            <w:lang w:val="cs-CZ"/>
          </w:rPr>
          <w:delText>nichž nebylo dosaženo adekvátní odpovědi na konvenční léčbu, nebo</w:delText>
        </w:r>
        <w:r w:rsidR="002009DF" w:rsidRPr="001B4A02">
          <w:rPr>
            <w:lang w:val="cs-CZ"/>
          </w:rPr>
          <w:delText xml:space="preserve"> u </w:delText>
        </w:r>
        <w:r w:rsidRPr="001B4A02">
          <w:rPr>
            <w:lang w:val="cs-CZ"/>
          </w:rPr>
          <w:delText xml:space="preserve">nichž léčba nebyla tolerována (viz bod 5.1). </w:delText>
        </w:r>
      </w:del>
    </w:p>
    <w:p w14:paraId="7F88944B" w14:textId="77777777" w:rsidR="004A00AF" w:rsidRPr="001B4A02" w:rsidRDefault="004A00AF" w:rsidP="00ED48A3">
      <w:pPr>
        <w:ind w:left="0" w:firstLine="0"/>
        <w:rPr>
          <w:del w:id="3809" w:author="AbbVie1" w:date="2025-05-13T09:50:00Z"/>
        </w:rPr>
      </w:pPr>
    </w:p>
    <w:p w14:paraId="35ADF396" w14:textId="77777777" w:rsidR="003206D5" w:rsidRPr="001B4A02" w:rsidRDefault="00000000" w:rsidP="00A13869">
      <w:pPr>
        <w:keepNext/>
        <w:ind w:left="0" w:firstLine="0"/>
        <w:rPr>
          <w:del w:id="3810" w:author="AbbVie1" w:date="2025-05-13T09:50:00Z"/>
          <w:u w:val="single"/>
        </w:rPr>
      </w:pPr>
      <w:del w:id="3811" w:author="AbbVie1" w:date="2025-05-13T09:50:00Z">
        <w:r w:rsidRPr="001B4A02">
          <w:rPr>
            <w:u w:val="single"/>
          </w:rPr>
          <w:delText>Axiální spondylartritida</w:delText>
        </w:r>
      </w:del>
    </w:p>
    <w:p w14:paraId="6D66A286" w14:textId="77777777" w:rsidR="002A639A" w:rsidRPr="001B4A02" w:rsidRDefault="002A639A" w:rsidP="00A13869">
      <w:pPr>
        <w:keepNext/>
        <w:ind w:left="0" w:firstLine="0"/>
        <w:rPr>
          <w:del w:id="3812" w:author="AbbVie1" w:date="2025-05-13T09:50:00Z"/>
          <w:u w:val="single"/>
        </w:rPr>
      </w:pPr>
    </w:p>
    <w:p w14:paraId="1575D123" w14:textId="77777777" w:rsidR="00993BA7" w:rsidRPr="001B4A02" w:rsidRDefault="00000000" w:rsidP="00A13869">
      <w:pPr>
        <w:keepNext/>
        <w:ind w:left="0" w:firstLine="0"/>
        <w:rPr>
          <w:del w:id="3813" w:author="AbbVie1" w:date="2025-05-13T09:50:00Z"/>
          <w:i/>
        </w:rPr>
      </w:pPr>
      <w:del w:id="3814" w:author="AbbVie1" w:date="2025-05-13T09:50:00Z">
        <w:r w:rsidRPr="001B4A02">
          <w:rPr>
            <w:i/>
          </w:rPr>
          <w:delText>Ankylozující spondylitida</w:delText>
        </w:r>
        <w:r w:rsidR="003206D5" w:rsidRPr="001B4A02">
          <w:rPr>
            <w:i/>
          </w:rPr>
          <w:delText xml:space="preserve"> (AS)</w:delText>
        </w:r>
      </w:del>
    </w:p>
    <w:p w14:paraId="63E4F944" w14:textId="77777777" w:rsidR="00993BA7" w:rsidRPr="001B4A02" w:rsidRDefault="00993BA7" w:rsidP="00A13869">
      <w:pPr>
        <w:keepNext/>
        <w:ind w:left="0" w:firstLine="0"/>
        <w:rPr>
          <w:del w:id="3815" w:author="AbbVie1" w:date="2025-05-13T09:50:00Z"/>
        </w:rPr>
      </w:pPr>
    </w:p>
    <w:p w14:paraId="623B7F77" w14:textId="77777777" w:rsidR="00993BA7" w:rsidRPr="001B4A02" w:rsidRDefault="00000000" w:rsidP="00ED48A3">
      <w:pPr>
        <w:pStyle w:val="EMEANormal"/>
        <w:tabs>
          <w:tab w:val="clear" w:pos="562"/>
          <w:tab w:val="left" w:pos="708"/>
        </w:tabs>
        <w:suppressAutoHyphens w:val="0"/>
        <w:rPr>
          <w:del w:id="3816" w:author="AbbVie1" w:date="2025-05-13T09:50:00Z"/>
          <w:lang w:val="cs-CZ"/>
        </w:rPr>
      </w:pPr>
      <w:del w:id="3817" w:author="AbbVie1" w:date="2025-05-13T09:50:00Z">
        <w:r w:rsidRPr="007928B5">
          <w:rPr>
            <w:lang w:val="cs-CZ"/>
          </w:rPr>
          <w:delText xml:space="preserve">Přípravek </w:delText>
        </w:r>
        <w:r w:rsidRPr="001B4A02">
          <w:rPr>
            <w:lang w:val="cs-CZ"/>
          </w:rPr>
          <w:delText>Humira je indikován k léčbě dospělých pacientů s těžkou aktivní ankylozující spondylitidou, u kterých nebyla dostatečná odpověď na konvenční léčbu.</w:delText>
        </w:r>
      </w:del>
    </w:p>
    <w:p w14:paraId="1F95E94D" w14:textId="77777777" w:rsidR="002A639A" w:rsidRPr="001B4A02" w:rsidRDefault="002A639A" w:rsidP="00ED48A3">
      <w:pPr>
        <w:ind w:left="0" w:firstLine="0"/>
        <w:rPr>
          <w:del w:id="3818" w:author="AbbVie1" w:date="2025-05-13T09:50:00Z"/>
          <w:szCs w:val="22"/>
          <w:u w:val="single"/>
        </w:rPr>
      </w:pPr>
    </w:p>
    <w:p w14:paraId="5523E61E" w14:textId="77777777" w:rsidR="00993BA7" w:rsidRPr="001B4A02" w:rsidRDefault="00000000" w:rsidP="00A13869">
      <w:pPr>
        <w:keepNext/>
        <w:ind w:left="0" w:firstLine="0"/>
        <w:rPr>
          <w:del w:id="3819" w:author="AbbVie1" w:date="2025-05-13T09:50:00Z"/>
          <w:i/>
          <w:szCs w:val="22"/>
        </w:rPr>
      </w:pPr>
      <w:del w:id="3820" w:author="AbbVie1" w:date="2025-05-13T09:50:00Z">
        <w:r w:rsidRPr="001B4A02">
          <w:rPr>
            <w:i/>
            <w:szCs w:val="22"/>
          </w:rPr>
          <w:delText>Axiální spondylartritida bez radiologického průkazu AS</w:delText>
        </w:r>
      </w:del>
    </w:p>
    <w:p w14:paraId="5D40011C" w14:textId="77777777" w:rsidR="002A639A" w:rsidRPr="001B4A02" w:rsidRDefault="002A639A" w:rsidP="00A13869">
      <w:pPr>
        <w:keepNext/>
        <w:ind w:left="0" w:firstLine="0"/>
        <w:rPr>
          <w:del w:id="3821" w:author="AbbVie1" w:date="2025-05-13T09:50:00Z"/>
          <w:szCs w:val="22"/>
          <w:u w:val="single"/>
        </w:rPr>
      </w:pPr>
    </w:p>
    <w:p w14:paraId="7B7784CE" w14:textId="77777777" w:rsidR="003206D5" w:rsidRPr="001B4A02" w:rsidRDefault="00000000" w:rsidP="00ED48A3">
      <w:pPr>
        <w:pStyle w:val="EMEANormal"/>
        <w:tabs>
          <w:tab w:val="clear" w:pos="562"/>
          <w:tab w:val="left" w:pos="708"/>
        </w:tabs>
        <w:suppressAutoHyphens w:val="0"/>
        <w:rPr>
          <w:del w:id="3822" w:author="AbbVie1" w:date="2025-05-13T09:50:00Z"/>
          <w:szCs w:val="22"/>
          <w:lang w:val="cs-CZ"/>
        </w:rPr>
      </w:pPr>
      <w:del w:id="3823" w:author="AbbVie1" w:date="2025-05-13T09:50:00Z">
        <w:r w:rsidRPr="007928B5">
          <w:rPr>
            <w:lang w:val="cs-CZ"/>
          </w:rPr>
          <w:delText xml:space="preserve">Přípravek </w:delText>
        </w:r>
        <w:r w:rsidRPr="001B4A02">
          <w:rPr>
            <w:lang w:val="cs-CZ"/>
          </w:rPr>
          <w:delText>Humira je indikován k léčbě dospělých pacientů s těžkou spondylartritidou bez radiologického průkazu AS, ale s objektivními známkami zánětu (jako je zvýšené CRP a</w:delText>
        </w:r>
        <w:r w:rsidR="00CB040C" w:rsidRPr="001B4A02">
          <w:rPr>
            <w:lang w:val="cs-CZ"/>
          </w:rPr>
          <w:delText>/nebo</w:delText>
        </w:r>
        <w:r w:rsidRPr="001B4A02">
          <w:rPr>
            <w:lang w:val="cs-CZ"/>
          </w:rPr>
          <w:delText xml:space="preserve"> známky na MRI), kteří nedosáhli dostatečné odpovědi na nesteroidní protizánětlivé léčivé přípravky</w:delText>
        </w:r>
        <w:r w:rsidR="001541C6">
          <w:rPr>
            <w:lang w:val="cs-CZ"/>
          </w:rPr>
          <w:delText xml:space="preserve"> (NSAID)</w:delText>
        </w:r>
        <w:r w:rsidRPr="001B4A02">
          <w:rPr>
            <w:lang w:val="cs-CZ"/>
          </w:rPr>
          <w:delText xml:space="preserve"> nebo j</w:delText>
        </w:r>
        <w:r w:rsidR="00CB040C" w:rsidRPr="001B4A02">
          <w:rPr>
            <w:lang w:val="cs-CZ"/>
          </w:rPr>
          <w:delText>e netolerují</w:delText>
        </w:r>
        <w:r w:rsidRPr="001B4A02">
          <w:rPr>
            <w:lang w:val="cs-CZ"/>
          </w:rPr>
          <w:delText>.</w:delText>
        </w:r>
      </w:del>
    </w:p>
    <w:p w14:paraId="332ED9C8" w14:textId="77777777" w:rsidR="003206D5" w:rsidRPr="001B4A02" w:rsidRDefault="003206D5" w:rsidP="00ED48A3">
      <w:pPr>
        <w:ind w:left="0" w:firstLine="0"/>
        <w:rPr>
          <w:del w:id="3824" w:author="AbbVie1" w:date="2025-05-13T09:50:00Z"/>
        </w:rPr>
      </w:pPr>
    </w:p>
    <w:p w14:paraId="2765ACBE" w14:textId="77777777" w:rsidR="00073F8F" w:rsidRPr="001B4A02" w:rsidRDefault="00000000" w:rsidP="00A13869">
      <w:pPr>
        <w:keepNext/>
        <w:ind w:left="0" w:firstLine="0"/>
        <w:rPr>
          <w:del w:id="3825" w:author="AbbVie1" w:date="2025-05-13T09:50:00Z"/>
        </w:rPr>
      </w:pPr>
      <w:del w:id="3826" w:author="AbbVie1" w:date="2025-05-13T09:50:00Z">
        <w:r w:rsidRPr="001B4A02">
          <w:rPr>
            <w:u w:val="single"/>
          </w:rPr>
          <w:delText>Psoriatická artritida</w:delText>
        </w:r>
      </w:del>
    </w:p>
    <w:p w14:paraId="02A0BBC3" w14:textId="77777777" w:rsidR="00073F8F" w:rsidRPr="001B4A02" w:rsidRDefault="00073F8F" w:rsidP="00A13869">
      <w:pPr>
        <w:keepNext/>
        <w:ind w:left="0" w:firstLine="0"/>
        <w:rPr>
          <w:del w:id="3827" w:author="AbbVie1" w:date="2025-05-13T09:50:00Z"/>
          <w:u w:val="single"/>
        </w:rPr>
      </w:pPr>
    </w:p>
    <w:p w14:paraId="6B4FC6EF" w14:textId="77777777" w:rsidR="00073F8F" w:rsidRPr="001B4A02" w:rsidRDefault="00000000" w:rsidP="00ED48A3">
      <w:pPr>
        <w:ind w:left="0" w:firstLine="0"/>
        <w:rPr>
          <w:del w:id="3828" w:author="AbbVie1" w:date="2025-05-13T09:50:00Z"/>
        </w:rPr>
      </w:pPr>
      <w:del w:id="3829" w:author="AbbVie1" w:date="2025-05-13T09:50:00Z">
        <w:r w:rsidRPr="001B4A02">
          <w:delText>Přípravek Humira je indikován k léčbě aktivní</w:delText>
        </w:r>
        <w:r w:rsidR="002378E0">
          <w:delText xml:space="preserve"> a </w:delText>
        </w:r>
        <w:r w:rsidRPr="001B4A02">
          <w:delText>progresivní psoriatické artritidy u dospělých pacientů, u kterých odpověď na předchozí léčbu chorobu modifikujícím antirevmatickým přípravkem nebyla dostatečná. U</w:delText>
        </w:r>
        <w:r w:rsidR="00164B4F" w:rsidRPr="001B4A02">
          <w:delText> </w:delText>
        </w:r>
        <w:r w:rsidRPr="001B4A02">
          <w:delText>přípravku Humira bylo prokázáno snížení rychlosti progrese poškození periferních kloubů, jež bylo měřeno pomocí RTG</w:delText>
        </w:r>
        <w:r w:rsidR="00647C4F" w:rsidRPr="001B4A02">
          <w:delText xml:space="preserve"> u </w:delText>
        </w:r>
        <w:r w:rsidRPr="001B4A02">
          <w:delText>pacientů se symetrickým polyartikulárním subtypem onemocnění (viz bod 5.1)</w:delText>
        </w:r>
        <w:r w:rsidR="002378E0">
          <w:delText xml:space="preserve"> a </w:delText>
        </w:r>
        <w:r w:rsidRPr="001B4A02">
          <w:delText>zlepšení fyzických funkcí.</w:delText>
        </w:r>
      </w:del>
    </w:p>
    <w:p w14:paraId="6E8FA746" w14:textId="77777777" w:rsidR="00073F8F" w:rsidRPr="001B4A02" w:rsidRDefault="00073F8F" w:rsidP="00ED48A3">
      <w:pPr>
        <w:ind w:left="0" w:firstLine="0"/>
        <w:rPr>
          <w:del w:id="3830" w:author="AbbVie1" w:date="2025-05-13T09:50:00Z"/>
        </w:rPr>
      </w:pPr>
    </w:p>
    <w:p w14:paraId="1811214B" w14:textId="77777777" w:rsidR="00073F8F" w:rsidRPr="001B4A02" w:rsidRDefault="00000000" w:rsidP="00A13869">
      <w:pPr>
        <w:pStyle w:val="EMEANormal"/>
        <w:keepNext/>
        <w:tabs>
          <w:tab w:val="clear" w:pos="562"/>
          <w:tab w:val="left" w:pos="708"/>
        </w:tabs>
        <w:suppressAutoHyphens w:val="0"/>
        <w:rPr>
          <w:del w:id="3831" w:author="AbbVie1" w:date="2025-05-13T09:50:00Z"/>
          <w:u w:val="single"/>
          <w:lang w:val="cs-CZ"/>
        </w:rPr>
      </w:pPr>
      <w:del w:id="3832" w:author="AbbVie1" w:date="2025-05-13T09:50:00Z">
        <w:r w:rsidRPr="001B4A02">
          <w:rPr>
            <w:u w:val="single"/>
            <w:lang w:val="cs-CZ"/>
          </w:rPr>
          <w:delText>Psoriáza</w:delText>
        </w:r>
      </w:del>
    </w:p>
    <w:p w14:paraId="6436ED45" w14:textId="77777777" w:rsidR="00073F8F" w:rsidRPr="001B4A02" w:rsidRDefault="00073F8F" w:rsidP="00A13869">
      <w:pPr>
        <w:pStyle w:val="EMEANormal"/>
        <w:keepNext/>
        <w:tabs>
          <w:tab w:val="clear" w:pos="562"/>
          <w:tab w:val="left" w:pos="708"/>
        </w:tabs>
        <w:suppressAutoHyphens w:val="0"/>
        <w:rPr>
          <w:del w:id="3833" w:author="AbbVie1" w:date="2025-05-13T09:50:00Z"/>
          <w:lang w:val="cs-CZ"/>
        </w:rPr>
      </w:pPr>
    </w:p>
    <w:p w14:paraId="2A3964A8" w14:textId="77777777" w:rsidR="00073F8F" w:rsidRPr="001B4A02" w:rsidRDefault="00000000" w:rsidP="00ED48A3">
      <w:pPr>
        <w:pStyle w:val="EMEANormal"/>
        <w:tabs>
          <w:tab w:val="clear" w:pos="562"/>
          <w:tab w:val="left" w:pos="708"/>
        </w:tabs>
        <w:suppressAutoHyphens w:val="0"/>
        <w:rPr>
          <w:del w:id="3834" w:author="AbbVie1" w:date="2025-05-13T09:50:00Z"/>
          <w:lang w:val="cs-CZ"/>
        </w:rPr>
      </w:pPr>
      <w:del w:id="3835" w:author="AbbVie1" w:date="2025-05-13T09:50:00Z">
        <w:r w:rsidRPr="001B4A02">
          <w:rPr>
            <w:lang w:val="cs-CZ"/>
          </w:rPr>
          <w:delText>Přípravek Humira je indikován k léčbě středně těžké až těžké chronické ložiskové psoriázy</w:delText>
        </w:r>
        <w:r w:rsidR="00647C4F" w:rsidRPr="001B4A02">
          <w:rPr>
            <w:lang w:val="cs-CZ"/>
          </w:rPr>
          <w:delText xml:space="preserve"> u </w:delText>
        </w:r>
        <w:r w:rsidRPr="001B4A02">
          <w:rPr>
            <w:lang w:val="cs-CZ"/>
          </w:rPr>
          <w:delText xml:space="preserve">dospělých pacientů, </w:delText>
        </w:r>
        <w:r w:rsidR="009B1148" w:rsidRPr="001B4A02">
          <w:rPr>
            <w:lang w:val="cs-CZ"/>
          </w:rPr>
          <w:delText xml:space="preserve">kteří jsou kandidáty </w:delText>
        </w:r>
        <w:r w:rsidR="003F477E" w:rsidRPr="001B4A02">
          <w:rPr>
            <w:lang w:val="cs-CZ"/>
          </w:rPr>
          <w:delText>pro</w:delText>
        </w:r>
        <w:r w:rsidR="009B1148" w:rsidRPr="001B4A02">
          <w:rPr>
            <w:lang w:val="cs-CZ"/>
          </w:rPr>
          <w:delText xml:space="preserve"> systémovou léčbu.</w:delText>
        </w:r>
      </w:del>
    </w:p>
    <w:p w14:paraId="76D74CC8" w14:textId="77777777" w:rsidR="0010784B" w:rsidRPr="001B4A02" w:rsidRDefault="0010784B" w:rsidP="00ED48A3">
      <w:pPr>
        <w:pStyle w:val="EMEANormal"/>
        <w:tabs>
          <w:tab w:val="clear" w:pos="562"/>
          <w:tab w:val="left" w:pos="708"/>
        </w:tabs>
        <w:suppressAutoHyphens w:val="0"/>
        <w:rPr>
          <w:del w:id="3836" w:author="AbbVie1" w:date="2025-05-13T09:50:00Z"/>
          <w:lang w:val="cs-CZ"/>
        </w:rPr>
      </w:pPr>
    </w:p>
    <w:p w14:paraId="3CA986FF" w14:textId="77777777" w:rsidR="009E5A29" w:rsidRPr="001B4A02" w:rsidRDefault="00000000" w:rsidP="00A13869">
      <w:pPr>
        <w:pStyle w:val="EMEANormal"/>
        <w:keepNext/>
        <w:tabs>
          <w:tab w:val="clear" w:pos="562"/>
          <w:tab w:val="left" w:pos="708"/>
        </w:tabs>
        <w:suppressAutoHyphens w:val="0"/>
        <w:rPr>
          <w:del w:id="3837" w:author="AbbVie1" w:date="2025-05-13T09:50:00Z"/>
          <w:u w:val="single"/>
          <w:lang w:val="cs-CZ"/>
        </w:rPr>
      </w:pPr>
      <w:del w:id="3838" w:author="AbbVie1" w:date="2025-05-13T09:50:00Z">
        <w:r w:rsidRPr="001B4A02">
          <w:rPr>
            <w:u w:val="single"/>
            <w:lang w:val="cs-CZ"/>
          </w:rPr>
          <w:delText>Ložisková psoriáza</w:delText>
        </w:r>
        <w:r w:rsidR="00647C4F" w:rsidRPr="001B4A02">
          <w:rPr>
            <w:u w:val="single"/>
            <w:lang w:val="cs-CZ"/>
          </w:rPr>
          <w:delText xml:space="preserve"> u </w:delText>
        </w:r>
        <w:r w:rsidRPr="001B4A02">
          <w:rPr>
            <w:u w:val="single"/>
            <w:lang w:val="cs-CZ"/>
          </w:rPr>
          <w:delText>pediatrických pacientů</w:delText>
        </w:r>
      </w:del>
    </w:p>
    <w:p w14:paraId="4EACC5AB" w14:textId="77777777" w:rsidR="009E5A29" w:rsidRPr="001B4A02" w:rsidRDefault="009E5A29" w:rsidP="00A13869">
      <w:pPr>
        <w:pStyle w:val="EMEANormal"/>
        <w:keepNext/>
        <w:tabs>
          <w:tab w:val="clear" w:pos="562"/>
          <w:tab w:val="left" w:pos="708"/>
        </w:tabs>
        <w:suppressAutoHyphens w:val="0"/>
        <w:rPr>
          <w:del w:id="3839" w:author="AbbVie1" w:date="2025-05-13T09:50:00Z"/>
          <w:u w:val="single"/>
          <w:lang w:val="cs-CZ"/>
        </w:rPr>
      </w:pPr>
    </w:p>
    <w:p w14:paraId="55281393" w14:textId="77777777" w:rsidR="009E5A29" w:rsidRPr="001B4A02" w:rsidRDefault="00000000" w:rsidP="00ED48A3">
      <w:pPr>
        <w:pStyle w:val="EMEANormal"/>
        <w:tabs>
          <w:tab w:val="clear" w:pos="562"/>
          <w:tab w:val="left" w:pos="708"/>
        </w:tabs>
        <w:suppressAutoHyphens w:val="0"/>
        <w:rPr>
          <w:del w:id="3840" w:author="AbbVie1" w:date="2025-05-13T09:50:00Z"/>
          <w:lang w:val="cs-CZ"/>
        </w:rPr>
      </w:pPr>
      <w:del w:id="3841" w:author="AbbVie1" w:date="2025-05-13T09:50:00Z">
        <w:r w:rsidRPr="001B4A02">
          <w:rPr>
            <w:lang w:val="cs-CZ"/>
          </w:rPr>
          <w:delText>Přípravek Humira je indikován k léčbě těžké chronické ložiskové psoriázy</w:delText>
        </w:r>
        <w:r w:rsidR="00647C4F" w:rsidRPr="001B4A02">
          <w:rPr>
            <w:lang w:val="cs-CZ"/>
          </w:rPr>
          <w:delText xml:space="preserve"> u </w:delText>
        </w:r>
        <w:r w:rsidRPr="001B4A02">
          <w:rPr>
            <w:lang w:val="cs-CZ"/>
          </w:rPr>
          <w:delText>dětí</w:delText>
        </w:r>
        <w:r w:rsidR="002378E0">
          <w:rPr>
            <w:lang w:val="cs-CZ"/>
          </w:rPr>
          <w:delText xml:space="preserve"> a </w:delText>
        </w:r>
        <w:r w:rsidRPr="001B4A02">
          <w:rPr>
            <w:lang w:val="cs-CZ"/>
          </w:rPr>
          <w:delText>dospívajících od 4 let,</w:delText>
        </w:r>
        <w:r w:rsidR="00647C4F" w:rsidRPr="001B4A02">
          <w:rPr>
            <w:lang w:val="cs-CZ"/>
          </w:rPr>
          <w:delText xml:space="preserve"> u </w:delText>
        </w:r>
        <w:r w:rsidRPr="001B4A02">
          <w:rPr>
            <w:lang w:val="cs-CZ"/>
          </w:rPr>
          <w:delText>kterých reakce na lokální terapii</w:delText>
        </w:r>
        <w:r w:rsidR="002378E0">
          <w:rPr>
            <w:lang w:val="cs-CZ"/>
          </w:rPr>
          <w:delText xml:space="preserve"> a </w:delText>
        </w:r>
        <w:r w:rsidRPr="001B4A02">
          <w:rPr>
            <w:lang w:val="cs-CZ"/>
          </w:rPr>
          <w:delText>fototerapi</w:delText>
        </w:r>
        <w:r w:rsidR="00452697" w:rsidRPr="001B4A02">
          <w:rPr>
            <w:lang w:val="cs-CZ"/>
          </w:rPr>
          <w:delText>e</w:delText>
        </w:r>
        <w:r w:rsidRPr="001B4A02">
          <w:rPr>
            <w:lang w:val="cs-CZ"/>
          </w:rPr>
          <w:delText xml:space="preserve"> nebyla dostatečná nebo nejsou </w:delText>
        </w:r>
        <w:r w:rsidR="00452697" w:rsidRPr="001B4A02">
          <w:rPr>
            <w:lang w:val="cs-CZ"/>
          </w:rPr>
          <w:delText>pro</w:delText>
        </w:r>
        <w:r w:rsidRPr="001B4A02">
          <w:rPr>
            <w:lang w:val="cs-CZ"/>
          </w:rPr>
          <w:delText xml:space="preserve"> tuto léčbu vhodnými kandidáty.</w:delText>
        </w:r>
      </w:del>
    </w:p>
    <w:p w14:paraId="7D83E22A" w14:textId="77777777" w:rsidR="009E5A29" w:rsidRPr="001B4A02" w:rsidRDefault="009E5A29" w:rsidP="00ED48A3">
      <w:pPr>
        <w:pStyle w:val="EMEANormal"/>
        <w:tabs>
          <w:tab w:val="clear" w:pos="562"/>
          <w:tab w:val="left" w:pos="708"/>
        </w:tabs>
        <w:suppressAutoHyphens w:val="0"/>
        <w:rPr>
          <w:del w:id="3842" w:author="AbbVie1" w:date="2025-05-13T09:50:00Z"/>
          <w:lang w:val="cs-CZ"/>
        </w:rPr>
      </w:pPr>
    </w:p>
    <w:p w14:paraId="47885773" w14:textId="77777777" w:rsidR="00372B60" w:rsidRPr="001B4A02" w:rsidRDefault="00000000" w:rsidP="00A13869">
      <w:pPr>
        <w:pStyle w:val="EMEANormal"/>
        <w:keepNext/>
        <w:tabs>
          <w:tab w:val="left" w:pos="708"/>
        </w:tabs>
        <w:rPr>
          <w:del w:id="3843" w:author="AbbVie1" w:date="2025-05-13T09:50:00Z"/>
          <w:u w:val="single"/>
          <w:lang w:val="cs-CZ"/>
        </w:rPr>
      </w:pPr>
      <w:del w:id="3844" w:author="AbbVie1" w:date="2025-05-13T09:50:00Z">
        <w:r w:rsidRPr="001B4A02">
          <w:rPr>
            <w:u w:val="single"/>
            <w:lang w:val="cs-CZ"/>
          </w:rPr>
          <w:delText>Hidradenitis suppurativa (HS)</w:delText>
        </w:r>
      </w:del>
    </w:p>
    <w:p w14:paraId="548FA9B9" w14:textId="77777777" w:rsidR="00372B60" w:rsidRPr="001B4A02" w:rsidRDefault="00372B60" w:rsidP="00A13869">
      <w:pPr>
        <w:pStyle w:val="EMEANormal"/>
        <w:keepNext/>
        <w:tabs>
          <w:tab w:val="left" w:pos="708"/>
        </w:tabs>
        <w:rPr>
          <w:del w:id="3845" w:author="AbbVie1" w:date="2025-05-13T09:50:00Z"/>
          <w:lang w:val="cs-CZ"/>
        </w:rPr>
      </w:pPr>
    </w:p>
    <w:p w14:paraId="266EFAF8" w14:textId="77777777" w:rsidR="00372B60" w:rsidRPr="001B4A02" w:rsidRDefault="00000000" w:rsidP="00ED48A3">
      <w:pPr>
        <w:pStyle w:val="EMEANormal"/>
        <w:tabs>
          <w:tab w:val="clear" w:pos="562"/>
          <w:tab w:val="left" w:pos="708"/>
        </w:tabs>
        <w:suppressAutoHyphens w:val="0"/>
        <w:rPr>
          <w:del w:id="3846" w:author="AbbVie1" w:date="2025-05-13T09:50:00Z"/>
          <w:lang w:val="cs-CZ"/>
        </w:rPr>
      </w:pPr>
      <w:del w:id="3847" w:author="AbbVie1" w:date="2025-05-13T09:50:00Z">
        <w:r w:rsidRPr="001B4A02">
          <w:rPr>
            <w:lang w:val="cs-CZ"/>
          </w:rPr>
          <w:delText>Přípravek Humira je indikován k</w:delText>
        </w:r>
        <w:r w:rsidR="003F1951">
          <w:rPr>
            <w:lang w:val="cs-CZ"/>
          </w:rPr>
          <w:delText> </w:delText>
        </w:r>
        <w:r w:rsidRPr="001B4A02">
          <w:rPr>
            <w:lang w:val="cs-CZ"/>
          </w:rPr>
          <w:delText>léčbě aktivní středně těžké až těžké hidradenitis suppurativa (acne inversa)</w:delText>
        </w:r>
        <w:r w:rsidR="00647C4F" w:rsidRPr="001B4A02">
          <w:rPr>
            <w:lang w:val="cs-CZ"/>
          </w:rPr>
          <w:delText xml:space="preserve"> u </w:delText>
        </w:r>
        <w:r w:rsidRPr="001B4A02">
          <w:rPr>
            <w:lang w:val="cs-CZ"/>
          </w:rPr>
          <w:delText>dospělých</w:delText>
        </w:r>
        <w:r w:rsidR="002378E0">
          <w:rPr>
            <w:lang w:val="cs-CZ"/>
          </w:rPr>
          <w:delText xml:space="preserve"> a </w:delText>
        </w:r>
        <w:r w:rsidR="00294685" w:rsidRPr="001B4A02">
          <w:rPr>
            <w:lang w:val="cs-CZ"/>
          </w:rPr>
          <w:delText xml:space="preserve">dospívajících od 12 let </w:delText>
        </w:r>
        <w:r w:rsidRPr="001B4A02">
          <w:rPr>
            <w:lang w:val="cs-CZ"/>
          </w:rPr>
          <w:delText xml:space="preserve">při </w:delText>
        </w:r>
        <w:r w:rsidR="00495CF4" w:rsidRPr="001B4A02">
          <w:rPr>
            <w:lang w:val="cs-CZ"/>
          </w:rPr>
          <w:delText>nedostatečné</w:delText>
        </w:r>
        <w:r w:rsidRPr="001B4A02">
          <w:rPr>
            <w:lang w:val="cs-CZ"/>
          </w:rPr>
          <w:delText xml:space="preserve"> odpovědi na jinou konvenční systémovou léčbu HS</w:delText>
        </w:r>
        <w:r w:rsidR="00294685" w:rsidRPr="001B4A02">
          <w:rPr>
            <w:lang w:val="cs-CZ"/>
          </w:rPr>
          <w:delText xml:space="preserve"> (viz body 5.1</w:delText>
        </w:r>
        <w:r w:rsidR="002378E0">
          <w:rPr>
            <w:lang w:val="cs-CZ"/>
          </w:rPr>
          <w:delText xml:space="preserve"> a </w:delText>
        </w:r>
        <w:r w:rsidR="00294685" w:rsidRPr="001B4A02">
          <w:rPr>
            <w:lang w:val="cs-CZ"/>
          </w:rPr>
          <w:delText>5.2)</w:delText>
        </w:r>
        <w:r w:rsidRPr="001B4A02">
          <w:rPr>
            <w:lang w:val="cs-CZ"/>
          </w:rPr>
          <w:delText>.</w:delText>
        </w:r>
      </w:del>
    </w:p>
    <w:p w14:paraId="0A9ED0FE" w14:textId="77777777" w:rsidR="00372B60" w:rsidRPr="001B4A02" w:rsidRDefault="00372B60" w:rsidP="00ED48A3">
      <w:pPr>
        <w:pStyle w:val="EMEANormal"/>
        <w:tabs>
          <w:tab w:val="clear" w:pos="562"/>
          <w:tab w:val="left" w:pos="708"/>
        </w:tabs>
        <w:suppressAutoHyphens w:val="0"/>
        <w:rPr>
          <w:del w:id="3848" w:author="AbbVie1" w:date="2025-05-13T09:50:00Z"/>
          <w:u w:val="single"/>
          <w:lang w:val="cs-CZ"/>
        </w:rPr>
      </w:pPr>
    </w:p>
    <w:p w14:paraId="09C44C09" w14:textId="77777777" w:rsidR="0010784B" w:rsidRPr="001B4A02" w:rsidRDefault="00000000" w:rsidP="00A13869">
      <w:pPr>
        <w:pStyle w:val="EMEANormal"/>
        <w:keepNext/>
        <w:tabs>
          <w:tab w:val="clear" w:pos="562"/>
          <w:tab w:val="left" w:pos="708"/>
        </w:tabs>
        <w:suppressAutoHyphens w:val="0"/>
        <w:rPr>
          <w:del w:id="3849" w:author="AbbVie1" w:date="2025-05-13T09:50:00Z"/>
          <w:u w:val="single"/>
          <w:lang w:val="cs-CZ"/>
        </w:rPr>
      </w:pPr>
      <w:del w:id="3850" w:author="AbbVie1" w:date="2025-05-13T09:50:00Z">
        <w:r w:rsidRPr="001B4A02">
          <w:rPr>
            <w:u w:val="single"/>
            <w:lang w:val="cs-CZ"/>
          </w:rPr>
          <w:delText>Crohnova choroba</w:delText>
        </w:r>
      </w:del>
    </w:p>
    <w:p w14:paraId="4AA5ABBE" w14:textId="77777777" w:rsidR="0010784B" w:rsidRPr="001B4A02" w:rsidRDefault="0010784B" w:rsidP="00A13869">
      <w:pPr>
        <w:pStyle w:val="EMEANormal"/>
        <w:keepNext/>
        <w:tabs>
          <w:tab w:val="clear" w:pos="562"/>
          <w:tab w:val="left" w:pos="708"/>
        </w:tabs>
        <w:suppressAutoHyphens w:val="0"/>
        <w:rPr>
          <w:del w:id="3851" w:author="AbbVie1" w:date="2025-05-13T09:50:00Z"/>
          <w:lang w:val="cs-CZ"/>
        </w:rPr>
      </w:pPr>
    </w:p>
    <w:p w14:paraId="50BA73E3" w14:textId="77777777" w:rsidR="0010784B" w:rsidRPr="001B4A02" w:rsidRDefault="00000000" w:rsidP="00ED48A3">
      <w:pPr>
        <w:pStyle w:val="EMEANormal"/>
        <w:tabs>
          <w:tab w:val="clear" w:pos="562"/>
          <w:tab w:val="left" w:pos="708"/>
        </w:tabs>
        <w:suppressAutoHyphens w:val="0"/>
        <w:rPr>
          <w:del w:id="3852" w:author="AbbVie1" w:date="2025-05-13T09:50:00Z"/>
          <w:lang w:val="cs-CZ"/>
        </w:rPr>
      </w:pPr>
      <w:del w:id="3853" w:author="AbbVie1" w:date="2025-05-13T09:50:00Z">
        <w:r w:rsidRPr="001B4A02">
          <w:rPr>
            <w:lang w:val="cs-CZ"/>
          </w:rPr>
          <w:delText xml:space="preserve">Přípravek Humira je indikován k léčbě </w:delText>
        </w:r>
        <w:r w:rsidR="00302A46" w:rsidRPr="001B4A02">
          <w:rPr>
            <w:lang w:val="cs-CZ"/>
          </w:rPr>
          <w:delText xml:space="preserve">středně těžké až </w:delText>
        </w:r>
        <w:r w:rsidRPr="001B4A02">
          <w:rPr>
            <w:lang w:val="cs-CZ"/>
          </w:rPr>
          <w:delText>těžké aktivní Crohnovy choroby</w:delText>
        </w:r>
        <w:r w:rsidR="00647C4F" w:rsidRPr="001B4A02">
          <w:rPr>
            <w:lang w:val="cs-CZ"/>
          </w:rPr>
          <w:delText xml:space="preserve"> u </w:delText>
        </w:r>
        <w:r w:rsidR="00302A46" w:rsidRPr="001B4A02">
          <w:rPr>
            <w:lang w:val="cs-CZ"/>
          </w:rPr>
          <w:delText xml:space="preserve">dospělých </w:delText>
        </w:r>
        <w:r w:rsidRPr="001B4A02">
          <w:rPr>
            <w:lang w:val="cs-CZ"/>
          </w:rPr>
          <w:delText>pacientů, kteří i přes plnou</w:delText>
        </w:r>
        <w:r w:rsidR="002378E0">
          <w:rPr>
            <w:lang w:val="cs-CZ"/>
          </w:rPr>
          <w:delText xml:space="preserve"> a </w:delText>
        </w:r>
        <w:r w:rsidRPr="001B4A02">
          <w:rPr>
            <w:lang w:val="cs-CZ"/>
          </w:rPr>
          <w:delText>adekvátní léčbu kortikosteroidy a/nebo imunosupresivy na tuto léčbu neodpovídali</w:delText>
        </w:r>
        <w:r w:rsidR="00FC14B8" w:rsidRPr="001B4A02">
          <w:rPr>
            <w:lang w:val="cs-CZ"/>
          </w:rPr>
          <w:delText>; nebo</w:delText>
        </w:r>
        <w:r w:rsidRPr="001B4A02">
          <w:rPr>
            <w:lang w:val="cs-CZ"/>
          </w:rPr>
          <w:delText xml:space="preserve"> kteří ji netolerují nebo je</w:delText>
        </w:r>
        <w:r w:rsidR="00647C4F" w:rsidRPr="001B4A02">
          <w:rPr>
            <w:lang w:val="cs-CZ"/>
          </w:rPr>
          <w:delText xml:space="preserve"> u </w:delText>
        </w:r>
        <w:r w:rsidRPr="001B4A02">
          <w:rPr>
            <w:lang w:val="cs-CZ"/>
          </w:rPr>
          <w:delText xml:space="preserve">nich </w:delText>
        </w:r>
        <w:r w:rsidR="00354218" w:rsidRPr="001B4A02">
          <w:rPr>
            <w:lang w:val="cs-CZ"/>
          </w:rPr>
          <w:delText>tato léčba</w:delText>
        </w:r>
        <w:r w:rsidRPr="001B4A02">
          <w:rPr>
            <w:lang w:val="cs-CZ"/>
          </w:rPr>
          <w:delText>kontrai</w:delText>
        </w:r>
        <w:r w:rsidR="00BC3547" w:rsidRPr="001B4A02">
          <w:rPr>
            <w:lang w:val="cs-CZ"/>
          </w:rPr>
          <w:delText>n</w:delText>
        </w:r>
        <w:r w:rsidRPr="001B4A02">
          <w:rPr>
            <w:lang w:val="cs-CZ"/>
          </w:rPr>
          <w:delText>dikována.</w:delText>
        </w:r>
      </w:del>
    </w:p>
    <w:p w14:paraId="1BFC9978" w14:textId="77777777" w:rsidR="00D8741F" w:rsidRPr="001B4A02" w:rsidRDefault="00D8741F" w:rsidP="00ED48A3">
      <w:pPr>
        <w:pStyle w:val="EMEANormal"/>
        <w:tabs>
          <w:tab w:val="clear" w:pos="562"/>
          <w:tab w:val="left" w:pos="708"/>
        </w:tabs>
        <w:suppressAutoHyphens w:val="0"/>
        <w:rPr>
          <w:del w:id="3854" w:author="AbbVie1" w:date="2025-05-13T09:50:00Z"/>
          <w:lang w:val="cs-CZ"/>
        </w:rPr>
      </w:pPr>
    </w:p>
    <w:p w14:paraId="44984771" w14:textId="77777777" w:rsidR="00130B36" w:rsidRPr="001B4A02" w:rsidRDefault="00000000" w:rsidP="00DA73B0">
      <w:pPr>
        <w:pStyle w:val="EMEANormal"/>
        <w:keepNext/>
        <w:tabs>
          <w:tab w:val="clear" w:pos="562"/>
          <w:tab w:val="left" w:pos="708"/>
        </w:tabs>
        <w:suppressAutoHyphens w:val="0"/>
        <w:rPr>
          <w:del w:id="3855" w:author="AbbVie1" w:date="2025-05-13T09:50:00Z"/>
          <w:u w:val="single"/>
          <w:lang w:val="cs-CZ"/>
        </w:rPr>
      </w:pPr>
      <w:del w:id="3856" w:author="AbbVie1" w:date="2025-05-13T09:50:00Z">
        <w:r w:rsidRPr="001B4A02">
          <w:rPr>
            <w:u w:val="single"/>
            <w:lang w:val="cs-CZ"/>
          </w:rPr>
          <w:delText>Crohnova choroba</w:delText>
        </w:r>
        <w:r w:rsidR="00647C4F" w:rsidRPr="001B4A02">
          <w:rPr>
            <w:u w:val="single"/>
            <w:lang w:val="cs-CZ"/>
          </w:rPr>
          <w:delText xml:space="preserve"> u </w:delText>
        </w:r>
        <w:r w:rsidRPr="001B4A02">
          <w:rPr>
            <w:u w:val="single"/>
            <w:lang w:val="cs-CZ"/>
          </w:rPr>
          <w:delText>pediatrických pacientů</w:delText>
        </w:r>
      </w:del>
    </w:p>
    <w:p w14:paraId="20F99265" w14:textId="77777777" w:rsidR="00130B36" w:rsidRPr="001B4A02" w:rsidRDefault="00130B36" w:rsidP="00DA73B0">
      <w:pPr>
        <w:pStyle w:val="EMEANormal"/>
        <w:keepNext/>
        <w:tabs>
          <w:tab w:val="clear" w:pos="562"/>
          <w:tab w:val="left" w:pos="708"/>
        </w:tabs>
        <w:suppressAutoHyphens w:val="0"/>
        <w:rPr>
          <w:del w:id="3857" w:author="AbbVie1" w:date="2025-05-13T09:50:00Z"/>
          <w:lang w:val="cs-CZ"/>
        </w:rPr>
      </w:pPr>
    </w:p>
    <w:p w14:paraId="2171E617" w14:textId="77777777" w:rsidR="00D8741F" w:rsidRPr="001B4A02" w:rsidRDefault="00000000" w:rsidP="00ED48A3">
      <w:pPr>
        <w:pStyle w:val="EMEANormal"/>
        <w:tabs>
          <w:tab w:val="clear" w:pos="562"/>
          <w:tab w:val="left" w:pos="708"/>
        </w:tabs>
        <w:suppressAutoHyphens w:val="0"/>
        <w:rPr>
          <w:del w:id="3858" w:author="AbbVie1" w:date="2025-05-13T09:50:00Z"/>
          <w:lang w:val="cs-CZ"/>
        </w:rPr>
      </w:pPr>
      <w:del w:id="3859" w:author="AbbVie1" w:date="2025-05-13T09:50:00Z">
        <w:r w:rsidRPr="001B4A02">
          <w:rPr>
            <w:lang w:val="cs-CZ"/>
          </w:rPr>
          <w:delText xml:space="preserve">Přípravek Humira je indikován k léčbě </w:delText>
        </w:r>
        <w:r w:rsidR="00612E9B" w:rsidRPr="001B4A02">
          <w:rPr>
            <w:lang w:val="cs-CZ"/>
          </w:rPr>
          <w:delText xml:space="preserve">středně těžké až </w:delText>
        </w:r>
        <w:r w:rsidRPr="001B4A02">
          <w:rPr>
            <w:lang w:val="cs-CZ"/>
          </w:rPr>
          <w:delText>těžké aktivní Crohnovy choroby</w:delText>
        </w:r>
        <w:r w:rsidR="00647C4F" w:rsidRPr="001B4A02">
          <w:rPr>
            <w:lang w:val="cs-CZ"/>
          </w:rPr>
          <w:delText xml:space="preserve"> u </w:delText>
        </w:r>
        <w:r w:rsidRPr="001B4A02">
          <w:rPr>
            <w:lang w:val="cs-CZ"/>
          </w:rPr>
          <w:delText>pediatrických pacientů (</w:delText>
        </w:r>
        <w:r w:rsidR="00DD4CF8" w:rsidRPr="001B4A02">
          <w:rPr>
            <w:lang w:val="cs-CZ"/>
          </w:rPr>
          <w:delText xml:space="preserve">od </w:delText>
        </w:r>
        <w:r w:rsidRPr="001B4A02">
          <w:rPr>
            <w:lang w:val="cs-CZ"/>
          </w:rPr>
          <w:delText>6 let),</w:delText>
        </w:r>
        <w:r w:rsidR="00647C4F" w:rsidRPr="001B4A02">
          <w:rPr>
            <w:lang w:val="cs-CZ"/>
          </w:rPr>
          <w:delText xml:space="preserve"> u </w:delText>
        </w:r>
        <w:r w:rsidRPr="001B4A02">
          <w:rPr>
            <w:lang w:val="cs-CZ"/>
          </w:rPr>
          <w:delText>kterých reakce na konvenční léčbu včetně primární nutriční léčby</w:delText>
        </w:r>
        <w:r w:rsidR="002378E0">
          <w:rPr>
            <w:lang w:val="cs-CZ"/>
          </w:rPr>
          <w:delText xml:space="preserve"> a </w:delText>
        </w:r>
        <w:r w:rsidRPr="001B4A02">
          <w:rPr>
            <w:lang w:val="cs-CZ"/>
          </w:rPr>
          <w:delText>kortikosteroidů a/nebo imunosupresiv nebyla dostatečná</w:delText>
        </w:r>
        <w:r w:rsidR="00FC14B8" w:rsidRPr="001B4A02">
          <w:rPr>
            <w:lang w:val="cs-CZ"/>
          </w:rPr>
          <w:delText>,</w:delText>
        </w:r>
        <w:r w:rsidRPr="001B4A02">
          <w:rPr>
            <w:lang w:val="cs-CZ"/>
          </w:rPr>
          <w:delText xml:space="preserve"> nebo kteří ji netolerují nebo je</w:delText>
        </w:r>
        <w:r w:rsidR="00647C4F" w:rsidRPr="001B4A02">
          <w:rPr>
            <w:lang w:val="cs-CZ"/>
          </w:rPr>
          <w:delText xml:space="preserve"> u </w:delText>
        </w:r>
        <w:r w:rsidRPr="001B4A02">
          <w:rPr>
            <w:lang w:val="cs-CZ"/>
          </w:rPr>
          <w:delText>nich tato léčba kontrai</w:delText>
        </w:r>
        <w:r w:rsidR="00BC3547" w:rsidRPr="001B4A02">
          <w:rPr>
            <w:lang w:val="cs-CZ"/>
          </w:rPr>
          <w:delText>n</w:delText>
        </w:r>
        <w:r w:rsidRPr="001B4A02">
          <w:rPr>
            <w:lang w:val="cs-CZ"/>
          </w:rPr>
          <w:delText>dikována.</w:delText>
        </w:r>
      </w:del>
    </w:p>
    <w:p w14:paraId="2994B914" w14:textId="77777777" w:rsidR="0010784B" w:rsidRPr="001B4A02" w:rsidRDefault="0010784B" w:rsidP="00ED48A3">
      <w:pPr>
        <w:pStyle w:val="EMEANormal"/>
        <w:tabs>
          <w:tab w:val="clear" w:pos="562"/>
          <w:tab w:val="left" w:pos="708"/>
        </w:tabs>
        <w:suppressAutoHyphens w:val="0"/>
        <w:rPr>
          <w:del w:id="3860" w:author="AbbVie1" w:date="2025-05-13T09:50:00Z"/>
          <w:lang w:val="cs-CZ"/>
        </w:rPr>
      </w:pPr>
    </w:p>
    <w:p w14:paraId="498CFAFF" w14:textId="77777777" w:rsidR="0010784B" w:rsidRPr="001B4A02" w:rsidRDefault="00000000" w:rsidP="00A13869">
      <w:pPr>
        <w:pStyle w:val="EMEANormal"/>
        <w:keepNext/>
        <w:tabs>
          <w:tab w:val="clear" w:pos="562"/>
          <w:tab w:val="left" w:pos="708"/>
        </w:tabs>
        <w:suppressAutoHyphens w:val="0"/>
        <w:rPr>
          <w:del w:id="3861" w:author="AbbVie1" w:date="2025-05-13T09:50:00Z"/>
          <w:u w:val="single"/>
          <w:lang w:val="cs-CZ"/>
        </w:rPr>
      </w:pPr>
      <w:del w:id="3862" w:author="AbbVie1" w:date="2025-05-13T09:50:00Z">
        <w:r w:rsidRPr="001B4A02">
          <w:rPr>
            <w:u w:val="single"/>
            <w:lang w:val="cs-CZ"/>
          </w:rPr>
          <w:delText>Ulcerózní kolitida</w:delText>
        </w:r>
      </w:del>
    </w:p>
    <w:p w14:paraId="4085F475" w14:textId="77777777" w:rsidR="0010784B" w:rsidRPr="001B4A02" w:rsidRDefault="0010784B" w:rsidP="00A13869">
      <w:pPr>
        <w:pStyle w:val="EMEANormal"/>
        <w:keepNext/>
        <w:tabs>
          <w:tab w:val="clear" w:pos="562"/>
          <w:tab w:val="left" w:pos="708"/>
        </w:tabs>
        <w:suppressAutoHyphens w:val="0"/>
        <w:rPr>
          <w:del w:id="3863" w:author="AbbVie1" w:date="2025-05-13T09:50:00Z"/>
          <w:lang w:val="cs-CZ"/>
        </w:rPr>
      </w:pPr>
    </w:p>
    <w:p w14:paraId="6E0014F4" w14:textId="77777777" w:rsidR="0010784B" w:rsidRPr="001B4A02" w:rsidRDefault="00000000" w:rsidP="00ED48A3">
      <w:pPr>
        <w:pStyle w:val="EMEANormal"/>
        <w:tabs>
          <w:tab w:val="clear" w:pos="562"/>
          <w:tab w:val="left" w:pos="708"/>
        </w:tabs>
        <w:suppressAutoHyphens w:val="0"/>
        <w:rPr>
          <w:del w:id="3864" w:author="AbbVie1" w:date="2025-05-13T09:50:00Z"/>
          <w:lang w:val="cs-CZ"/>
        </w:rPr>
      </w:pPr>
      <w:del w:id="3865" w:author="AbbVie1" w:date="2025-05-13T09:50:00Z">
        <w:r w:rsidRPr="001B4A02">
          <w:rPr>
            <w:lang w:val="cs-CZ"/>
          </w:rPr>
          <w:delText xml:space="preserve">Přípravek Humira je indikován k léčbě středně těžké až těžké </w:delText>
        </w:r>
        <w:r w:rsidR="003A2401" w:rsidRPr="001B4A02">
          <w:rPr>
            <w:lang w:val="cs-CZ"/>
          </w:rPr>
          <w:delText xml:space="preserve">aktivní </w:delText>
        </w:r>
        <w:r w:rsidR="008177B2" w:rsidRPr="001B4A02">
          <w:rPr>
            <w:lang w:val="cs-CZ"/>
          </w:rPr>
          <w:delText>ulcerózní</w:delText>
        </w:r>
        <w:r w:rsidRPr="001B4A02">
          <w:rPr>
            <w:lang w:val="cs-CZ"/>
          </w:rPr>
          <w:delText xml:space="preserve"> kolitidy</w:delText>
        </w:r>
        <w:r w:rsidR="00647C4F" w:rsidRPr="001B4A02">
          <w:rPr>
            <w:lang w:val="cs-CZ"/>
          </w:rPr>
          <w:delText xml:space="preserve"> u </w:delText>
        </w:r>
        <w:r w:rsidRPr="001B4A02">
          <w:rPr>
            <w:lang w:val="cs-CZ"/>
          </w:rPr>
          <w:delText>dospělých pacientů,</w:delText>
        </w:r>
        <w:r w:rsidR="00647C4F" w:rsidRPr="001B4A02">
          <w:rPr>
            <w:lang w:val="cs-CZ"/>
          </w:rPr>
          <w:delText xml:space="preserve"> u </w:delText>
        </w:r>
        <w:r w:rsidRPr="001B4A02">
          <w:rPr>
            <w:lang w:val="cs-CZ"/>
          </w:rPr>
          <w:delText xml:space="preserve">kterých </w:delText>
        </w:r>
        <w:r w:rsidR="00672AB1" w:rsidRPr="00672AB1">
          <w:rPr>
            <w:lang w:val="cs-CZ"/>
          </w:rPr>
          <w:delText xml:space="preserve">reakce </w:delText>
        </w:r>
        <w:r w:rsidRPr="001B4A02">
          <w:rPr>
            <w:lang w:val="cs-CZ"/>
          </w:rPr>
          <w:delText>na konvenční léčbu včetně kortikosteroidů</w:delText>
        </w:r>
        <w:r w:rsidR="002378E0">
          <w:rPr>
            <w:lang w:val="cs-CZ"/>
          </w:rPr>
          <w:delText xml:space="preserve"> a </w:delText>
        </w:r>
        <w:r w:rsidRPr="001B4A02">
          <w:rPr>
            <w:lang w:val="cs-CZ"/>
          </w:rPr>
          <w:delText>6-merkaptopurinu (6-MP) nebo azathi</w:delText>
        </w:r>
        <w:r w:rsidR="00F53F39" w:rsidRPr="001B4A02">
          <w:rPr>
            <w:lang w:val="cs-CZ"/>
          </w:rPr>
          <w:delText>o</w:delText>
        </w:r>
        <w:r w:rsidRPr="001B4A02">
          <w:rPr>
            <w:lang w:val="cs-CZ"/>
          </w:rPr>
          <w:delText xml:space="preserve">prinu (AZA) nebyla dostatečná, nebo kteří </w:delText>
        </w:r>
        <w:r w:rsidR="00FC14B8" w:rsidRPr="001B4A02">
          <w:rPr>
            <w:lang w:val="cs-CZ"/>
          </w:rPr>
          <w:delText>ji netolerují nebo je</w:delText>
        </w:r>
        <w:r w:rsidR="00647C4F" w:rsidRPr="001B4A02">
          <w:rPr>
            <w:lang w:val="cs-CZ"/>
          </w:rPr>
          <w:delText xml:space="preserve"> u </w:delText>
        </w:r>
        <w:r w:rsidR="00FC14B8" w:rsidRPr="001B4A02">
          <w:rPr>
            <w:lang w:val="cs-CZ"/>
          </w:rPr>
          <w:delText>nich tato léčba kontrai</w:delText>
        </w:r>
        <w:r w:rsidR="00BC3547" w:rsidRPr="001B4A02">
          <w:rPr>
            <w:lang w:val="cs-CZ"/>
          </w:rPr>
          <w:delText>n</w:delText>
        </w:r>
        <w:r w:rsidR="00FC14B8" w:rsidRPr="001B4A02">
          <w:rPr>
            <w:lang w:val="cs-CZ"/>
          </w:rPr>
          <w:delText>dikována</w:delText>
        </w:r>
        <w:r w:rsidRPr="001B4A02">
          <w:rPr>
            <w:lang w:val="cs-CZ"/>
          </w:rPr>
          <w:delText>.</w:delText>
        </w:r>
      </w:del>
    </w:p>
    <w:p w14:paraId="1430B66D" w14:textId="77777777" w:rsidR="001A1135" w:rsidRPr="001B4A02" w:rsidRDefault="001A1135" w:rsidP="00672AB1">
      <w:pPr>
        <w:pStyle w:val="EMEANormal"/>
        <w:tabs>
          <w:tab w:val="clear" w:pos="562"/>
        </w:tabs>
        <w:suppressAutoHyphens w:val="0"/>
        <w:rPr>
          <w:del w:id="3866" w:author="AbbVie1" w:date="2025-05-13T09:50:00Z"/>
          <w:lang w:val="cs-CZ"/>
        </w:rPr>
      </w:pPr>
    </w:p>
    <w:p w14:paraId="2BD328B9" w14:textId="77777777" w:rsidR="00106EFE" w:rsidRDefault="00000000" w:rsidP="00672AB1">
      <w:pPr>
        <w:keepNext/>
        <w:ind w:left="0" w:firstLine="0"/>
        <w:rPr>
          <w:del w:id="3867" w:author="AbbVie1" w:date="2025-05-13T09:50:00Z"/>
          <w:u w:val="single"/>
        </w:rPr>
      </w:pPr>
      <w:del w:id="3868" w:author="AbbVie1" w:date="2025-05-13T09:50:00Z">
        <w:r>
          <w:rPr>
            <w:u w:val="single"/>
          </w:rPr>
          <w:delText>Ulcerózní kolitida u pediatrických pacientů</w:delText>
        </w:r>
      </w:del>
    </w:p>
    <w:p w14:paraId="5ECE12BA" w14:textId="77777777" w:rsidR="00106EFE" w:rsidRPr="00672AB1" w:rsidRDefault="00106EFE" w:rsidP="00672AB1">
      <w:pPr>
        <w:keepNext/>
        <w:ind w:left="0" w:firstLine="0"/>
        <w:rPr>
          <w:del w:id="3869" w:author="AbbVie1" w:date="2025-05-13T09:50:00Z"/>
        </w:rPr>
      </w:pPr>
    </w:p>
    <w:p w14:paraId="22B15B63" w14:textId="77777777" w:rsidR="0086098A" w:rsidRDefault="00000000" w:rsidP="00672AB1">
      <w:pPr>
        <w:ind w:left="0" w:firstLine="0"/>
        <w:rPr>
          <w:del w:id="3870" w:author="AbbVie1" w:date="2025-05-13T09:50:00Z"/>
        </w:rPr>
      </w:pPr>
      <w:del w:id="3871" w:author="AbbVie1" w:date="2025-05-13T09:50:00Z">
        <w:r w:rsidRPr="003901D8">
          <w:delText>Přípravek Humira je indikován k</w:delText>
        </w:r>
        <w:r w:rsidR="00025179">
          <w:delText> </w:delText>
        </w:r>
        <w:r w:rsidRPr="003901D8">
          <w:delText>léčbě středně těžké až těž</w:delText>
        </w:r>
        <w:r>
          <w:delText>ké aktivní ulcerózní kolitidy u </w:delText>
        </w:r>
        <w:r w:rsidRPr="003901D8">
          <w:delText>pediatrických pacientů (od 6 let), u</w:delText>
        </w:r>
        <w:r w:rsidR="00025179">
          <w:delText> </w:delText>
        </w:r>
        <w:r w:rsidRPr="003901D8">
          <w:delText xml:space="preserve">kterých reakce na konvenční léčbu </w:delText>
        </w:r>
        <w:r w:rsidR="00764394" w:rsidRPr="001B4A02">
          <w:delText xml:space="preserve">včetně </w:delText>
        </w:r>
        <w:r w:rsidRPr="003901D8">
          <w:delText>kortikosteroid</w:delText>
        </w:r>
        <w:r w:rsidR="00764394">
          <w:delText>ů</w:delText>
        </w:r>
        <w:r w:rsidRPr="003901D8">
          <w:delText xml:space="preserve"> a/nebo 6-merkaptopurin</w:delText>
        </w:r>
        <w:r w:rsidR="00764394">
          <w:delText>u</w:delText>
        </w:r>
        <w:r w:rsidRPr="003901D8">
          <w:delText xml:space="preserve"> (6-MP) nebo azathioprin</w:delText>
        </w:r>
        <w:r w:rsidR="00764394">
          <w:delText>u</w:delText>
        </w:r>
        <w:r w:rsidRPr="003901D8">
          <w:delText xml:space="preserve"> (AZA) nebyla dostatečná, nebo kteří ji netolerují nebo je u</w:delText>
        </w:r>
        <w:r w:rsidR="00025179">
          <w:delText> </w:delText>
        </w:r>
        <w:r w:rsidRPr="003901D8">
          <w:delText>nich tato léčba kontraindikována.</w:delText>
        </w:r>
      </w:del>
    </w:p>
    <w:p w14:paraId="090BBB70" w14:textId="77777777" w:rsidR="00673B39" w:rsidRDefault="00673B39" w:rsidP="00672AB1">
      <w:pPr>
        <w:ind w:left="0" w:firstLine="0"/>
        <w:rPr>
          <w:del w:id="3872" w:author="AbbVie1" w:date="2025-05-13T09:50:00Z"/>
        </w:rPr>
      </w:pPr>
    </w:p>
    <w:p w14:paraId="22225C54" w14:textId="77777777" w:rsidR="001A1135" w:rsidRPr="001B4A02" w:rsidRDefault="00000000" w:rsidP="00ED48A3">
      <w:pPr>
        <w:keepNext/>
        <w:rPr>
          <w:del w:id="3873" w:author="AbbVie1" w:date="2025-05-13T09:50:00Z"/>
          <w:u w:val="single"/>
        </w:rPr>
      </w:pPr>
      <w:del w:id="3874" w:author="AbbVie1" w:date="2025-05-13T09:50:00Z">
        <w:r w:rsidRPr="001B4A02">
          <w:rPr>
            <w:u w:val="single"/>
          </w:rPr>
          <w:delText>Uveitida</w:delText>
        </w:r>
      </w:del>
    </w:p>
    <w:p w14:paraId="1B3CD58A" w14:textId="77777777" w:rsidR="001A1135" w:rsidRPr="001B4A02" w:rsidRDefault="001A1135" w:rsidP="00ED48A3">
      <w:pPr>
        <w:keepNext/>
        <w:rPr>
          <w:del w:id="3875" w:author="AbbVie1" w:date="2025-05-13T09:50:00Z"/>
          <w:u w:val="single"/>
        </w:rPr>
      </w:pPr>
    </w:p>
    <w:p w14:paraId="07D8CC81" w14:textId="77777777" w:rsidR="001A1135" w:rsidRPr="001B4A02" w:rsidRDefault="00000000" w:rsidP="00ED48A3">
      <w:pPr>
        <w:pStyle w:val="EMEANormal"/>
        <w:rPr>
          <w:del w:id="3876" w:author="AbbVie1" w:date="2025-05-13T09:50:00Z"/>
          <w:lang w:val="cs-CZ"/>
        </w:rPr>
      </w:pPr>
      <w:del w:id="3877" w:author="AbbVie1" w:date="2025-05-13T09:50:00Z">
        <w:r w:rsidRPr="001B4A02">
          <w:rPr>
            <w:lang w:val="cs-CZ"/>
          </w:rPr>
          <w:delText>Přípravek Humira je indikován k léčbě neinfekční intermediální</w:delText>
        </w:r>
        <w:r w:rsidR="002378E0">
          <w:rPr>
            <w:lang w:val="cs-CZ"/>
          </w:rPr>
          <w:delText xml:space="preserve"> a </w:delText>
        </w:r>
        <w:r w:rsidRPr="001B4A02">
          <w:rPr>
            <w:lang w:val="cs-CZ"/>
          </w:rPr>
          <w:delText>zadní uveitidy</w:delText>
        </w:r>
        <w:r w:rsidR="002378E0">
          <w:rPr>
            <w:lang w:val="cs-CZ"/>
          </w:rPr>
          <w:delText xml:space="preserve"> a </w:delText>
        </w:r>
        <w:r w:rsidRPr="001B4A02">
          <w:rPr>
            <w:lang w:val="cs-CZ"/>
          </w:rPr>
          <w:delText>panuveitidy</w:delText>
        </w:r>
        <w:r w:rsidR="00647C4F" w:rsidRPr="001B4A02">
          <w:rPr>
            <w:lang w:val="cs-CZ"/>
          </w:rPr>
          <w:delText xml:space="preserve"> u </w:delText>
        </w:r>
        <w:r w:rsidRPr="001B4A02">
          <w:rPr>
            <w:lang w:val="cs-CZ"/>
          </w:rPr>
          <w:delText>dospělých pacientů,</w:delText>
        </w:r>
        <w:r w:rsidR="00647C4F" w:rsidRPr="001B4A02">
          <w:rPr>
            <w:lang w:val="cs-CZ"/>
          </w:rPr>
          <w:delText xml:space="preserve"> u </w:delText>
        </w:r>
        <w:r w:rsidRPr="001B4A02">
          <w:rPr>
            <w:lang w:val="cs-CZ"/>
          </w:rPr>
          <w:delText xml:space="preserve">kterých reakce na </w:delText>
        </w:r>
        <w:r w:rsidR="00263A56" w:rsidRPr="001B4A02">
          <w:rPr>
            <w:lang w:val="cs-CZ"/>
          </w:rPr>
          <w:delText xml:space="preserve">terapii </w:delText>
        </w:r>
        <w:r w:rsidRPr="001B4A02">
          <w:rPr>
            <w:lang w:val="cs-CZ"/>
          </w:rPr>
          <w:delText>kortikosteroidy nebyla dostatečná,</w:delText>
        </w:r>
        <w:r w:rsidR="00647C4F" w:rsidRPr="001B4A02">
          <w:rPr>
            <w:lang w:val="cs-CZ"/>
          </w:rPr>
          <w:delText xml:space="preserve"> u </w:delText>
        </w:r>
        <w:r w:rsidRPr="001B4A02">
          <w:rPr>
            <w:lang w:val="cs-CZ"/>
          </w:rPr>
          <w:delText xml:space="preserve">pacientů vyžadujících </w:delText>
        </w:r>
        <w:r w:rsidR="00106AC1" w:rsidRPr="001B4A02">
          <w:rPr>
            <w:lang w:val="cs-CZ"/>
          </w:rPr>
          <w:delText>kortikosteroidy šetřící terapii, nebo</w:delText>
        </w:r>
        <w:r w:rsidR="00647C4F" w:rsidRPr="001B4A02">
          <w:rPr>
            <w:lang w:val="cs-CZ"/>
          </w:rPr>
          <w:delText xml:space="preserve"> u </w:delText>
        </w:r>
        <w:r w:rsidR="00106AC1" w:rsidRPr="001B4A02">
          <w:rPr>
            <w:lang w:val="cs-CZ"/>
          </w:rPr>
          <w:delText>pacientů, pro něž terapie kortikosteroidy není vhodná.</w:delText>
        </w:r>
      </w:del>
    </w:p>
    <w:p w14:paraId="232A1B46" w14:textId="77777777" w:rsidR="004205D5" w:rsidRPr="001B4A02" w:rsidRDefault="004205D5" w:rsidP="00ED48A3">
      <w:pPr>
        <w:pStyle w:val="EMEANormal"/>
        <w:rPr>
          <w:del w:id="3878" w:author="AbbVie1" w:date="2025-05-13T09:50:00Z"/>
          <w:lang w:val="cs-CZ"/>
        </w:rPr>
      </w:pPr>
    </w:p>
    <w:p w14:paraId="21651EEE" w14:textId="77777777" w:rsidR="00F416D0" w:rsidRPr="001B4A02" w:rsidRDefault="00000000" w:rsidP="00A13869">
      <w:pPr>
        <w:pStyle w:val="BodyText"/>
        <w:keepNext/>
        <w:rPr>
          <w:del w:id="3879" w:author="AbbVie1" w:date="2025-05-13T09:50:00Z"/>
          <w:b w:val="0"/>
          <w:i w:val="0"/>
          <w:szCs w:val="22"/>
          <w:u w:val="single"/>
          <w:lang w:val="cs-CZ"/>
        </w:rPr>
      </w:pPr>
      <w:del w:id="3880" w:author="AbbVie1" w:date="2025-05-13T09:50:00Z">
        <w:r w:rsidRPr="001B4A02">
          <w:rPr>
            <w:b w:val="0"/>
            <w:i w:val="0"/>
            <w:szCs w:val="22"/>
            <w:u w:val="single"/>
            <w:lang w:val="cs-CZ"/>
          </w:rPr>
          <w:delText>Uveitida</w:delText>
        </w:r>
        <w:r w:rsidR="00647C4F" w:rsidRPr="001B4A02">
          <w:rPr>
            <w:b w:val="0"/>
            <w:i w:val="0"/>
            <w:szCs w:val="22"/>
            <w:u w:val="single"/>
            <w:lang w:val="cs-CZ"/>
          </w:rPr>
          <w:delText xml:space="preserve"> u </w:delText>
        </w:r>
        <w:r w:rsidRPr="001B4A02">
          <w:rPr>
            <w:b w:val="0"/>
            <w:i w:val="0"/>
            <w:szCs w:val="22"/>
            <w:u w:val="single"/>
            <w:lang w:val="cs-CZ"/>
          </w:rPr>
          <w:delText>pediatrických pacientů</w:delText>
        </w:r>
      </w:del>
    </w:p>
    <w:p w14:paraId="3F60436A" w14:textId="77777777" w:rsidR="00F416D0" w:rsidRPr="001B4A02" w:rsidRDefault="00F416D0" w:rsidP="00A13869">
      <w:pPr>
        <w:keepNext/>
        <w:rPr>
          <w:del w:id="3881" w:author="AbbVie1" w:date="2025-05-13T09:50:00Z"/>
        </w:rPr>
      </w:pPr>
    </w:p>
    <w:p w14:paraId="6B0700C3" w14:textId="77777777" w:rsidR="004205D5" w:rsidRPr="001B4A02" w:rsidRDefault="00000000" w:rsidP="00ED48A3">
      <w:pPr>
        <w:pStyle w:val="EMEANormal"/>
        <w:tabs>
          <w:tab w:val="clear" w:pos="562"/>
          <w:tab w:val="left" w:pos="708"/>
        </w:tabs>
        <w:suppressAutoHyphens w:val="0"/>
        <w:rPr>
          <w:del w:id="3882" w:author="AbbVie1" w:date="2025-05-13T09:50:00Z"/>
          <w:lang w:val="cs-CZ"/>
        </w:rPr>
      </w:pPr>
      <w:del w:id="3883" w:author="AbbVie1" w:date="2025-05-13T09:50:00Z">
        <w:r w:rsidRPr="001B4A02">
          <w:rPr>
            <w:szCs w:val="22"/>
            <w:lang w:val="cs-CZ"/>
          </w:rPr>
          <w:delText>Přípravek Humira je indikován k</w:delText>
        </w:r>
        <w:r w:rsidR="00EF0AF7" w:rsidRPr="001B4A02">
          <w:rPr>
            <w:szCs w:val="22"/>
            <w:lang w:val="cs-CZ"/>
          </w:rPr>
          <w:delText> </w:delText>
        </w:r>
        <w:r w:rsidRPr="001B4A02">
          <w:rPr>
            <w:szCs w:val="22"/>
            <w:lang w:val="cs-CZ"/>
          </w:rPr>
          <w:delText>léčbě chronické neinfekční přední uveitidy</w:delText>
        </w:r>
        <w:r w:rsidR="00647C4F" w:rsidRPr="001B4A02">
          <w:rPr>
            <w:szCs w:val="22"/>
            <w:lang w:val="cs-CZ"/>
          </w:rPr>
          <w:delText xml:space="preserve"> u </w:delText>
        </w:r>
        <w:r w:rsidRPr="001B4A02">
          <w:rPr>
            <w:szCs w:val="22"/>
            <w:lang w:val="cs-CZ"/>
          </w:rPr>
          <w:delText>pediatrických pacientů ve věku od 2 let,</w:delText>
        </w:r>
        <w:r w:rsidR="00647C4F" w:rsidRPr="001B4A02">
          <w:rPr>
            <w:szCs w:val="22"/>
            <w:lang w:val="cs-CZ"/>
          </w:rPr>
          <w:delText xml:space="preserve"> u </w:delText>
        </w:r>
        <w:r w:rsidRPr="001B4A02">
          <w:rPr>
            <w:lang w:val="cs-CZ"/>
          </w:rPr>
          <w:delText>kterých reakce na konvenční léčbu nebyla dostatečná, nebo kteří ji netolerují nebo</w:delText>
        </w:r>
        <w:r w:rsidR="00647C4F" w:rsidRPr="001B4A02">
          <w:rPr>
            <w:lang w:val="cs-CZ"/>
          </w:rPr>
          <w:delText xml:space="preserve"> u </w:delText>
        </w:r>
        <w:r w:rsidRPr="001B4A02">
          <w:rPr>
            <w:lang w:val="cs-CZ"/>
          </w:rPr>
          <w:delText>nich</w:delText>
        </w:r>
        <w:r w:rsidR="009C64B2" w:rsidRPr="001B4A02">
          <w:rPr>
            <w:lang w:val="cs-CZ"/>
          </w:rPr>
          <w:delText>ž</w:delText>
        </w:r>
        <w:r w:rsidRPr="001B4A02">
          <w:rPr>
            <w:lang w:val="cs-CZ"/>
          </w:rPr>
          <w:delText xml:space="preserve"> tato léčba není vhodná.</w:delText>
        </w:r>
      </w:del>
    </w:p>
    <w:p w14:paraId="06B52F15" w14:textId="77777777" w:rsidR="00073F8F" w:rsidRPr="001B4A02" w:rsidRDefault="00073F8F" w:rsidP="00ED48A3">
      <w:pPr>
        <w:ind w:left="0" w:firstLine="0"/>
        <w:rPr>
          <w:del w:id="3884" w:author="AbbVie1" w:date="2025-05-13T09:50:00Z"/>
        </w:rPr>
      </w:pPr>
    </w:p>
    <w:p w14:paraId="6FDBDE04" w14:textId="77777777" w:rsidR="00073F8F" w:rsidRPr="001B4A02" w:rsidRDefault="00000000" w:rsidP="000A5426">
      <w:pPr>
        <w:keepNext/>
        <w:outlineLvl w:val="1"/>
        <w:rPr>
          <w:del w:id="3885" w:author="AbbVie1" w:date="2025-05-13T09:50:00Z"/>
          <w:b/>
        </w:rPr>
      </w:pPr>
      <w:del w:id="3886" w:author="AbbVie1" w:date="2025-05-13T09:50:00Z">
        <w:r w:rsidRPr="001B4A02">
          <w:rPr>
            <w:b/>
          </w:rPr>
          <w:delText>4.2</w:delText>
        </w:r>
        <w:r w:rsidRPr="001B4A02">
          <w:rPr>
            <w:b/>
          </w:rPr>
          <w:tab/>
          <w:delText>Dávkování</w:delText>
        </w:r>
        <w:r w:rsidR="002378E0">
          <w:rPr>
            <w:b/>
          </w:rPr>
          <w:delText xml:space="preserve"> a </w:delText>
        </w:r>
        <w:r w:rsidRPr="001B4A02">
          <w:rPr>
            <w:b/>
          </w:rPr>
          <w:delText>způsob podání</w:delText>
        </w:r>
      </w:del>
    </w:p>
    <w:p w14:paraId="60E131CB" w14:textId="77777777" w:rsidR="00672E2B" w:rsidRPr="001B4A02" w:rsidRDefault="00672E2B" w:rsidP="00A13869">
      <w:pPr>
        <w:keepNext/>
        <w:ind w:left="0" w:firstLine="0"/>
        <w:rPr>
          <w:del w:id="3887" w:author="AbbVie1" w:date="2025-05-13T09:50:00Z"/>
        </w:rPr>
      </w:pPr>
    </w:p>
    <w:p w14:paraId="3A4019C7" w14:textId="77777777" w:rsidR="00073F8F" w:rsidRPr="001B4A02" w:rsidRDefault="00000000" w:rsidP="00ED48A3">
      <w:pPr>
        <w:ind w:left="0" w:firstLine="0"/>
        <w:rPr>
          <w:del w:id="3888" w:author="AbbVie1" w:date="2025-05-13T09:50:00Z"/>
        </w:rPr>
      </w:pPr>
      <w:del w:id="3889" w:author="AbbVie1" w:date="2025-05-13T09:50:00Z">
        <w:r w:rsidRPr="001B4A02">
          <w:delText>Léčba přípravkem Humira má být zahájena</w:delText>
        </w:r>
        <w:r w:rsidR="002378E0">
          <w:delText xml:space="preserve"> a </w:delText>
        </w:r>
        <w:r w:rsidRPr="001B4A02">
          <w:delText>sledována odborným lékařem se zkušenostmi v diagnostice</w:delText>
        </w:r>
        <w:r w:rsidR="002378E0">
          <w:delText xml:space="preserve"> a </w:delText>
        </w:r>
        <w:r w:rsidRPr="001B4A02">
          <w:delText xml:space="preserve">léčbě </w:delText>
        </w:r>
        <w:r w:rsidR="000125BE" w:rsidRPr="001B4A02">
          <w:delText>těch typů onemocnění, pro něž je přípravek Humira indikován</w:delText>
        </w:r>
        <w:r w:rsidRPr="001B4A02">
          <w:delText xml:space="preserve">. </w:delText>
        </w:r>
        <w:r w:rsidR="00106AC1" w:rsidRPr="001B4A02">
          <w:delText xml:space="preserve">Oftalmologům se doporučuje terapii přípravkem Humira před </w:delText>
        </w:r>
        <w:r w:rsidR="000B5567" w:rsidRPr="001B4A02">
          <w:delText xml:space="preserve">jejím </w:delText>
        </w:r>
        <w:r w:rsidR="00106AC1" w:rsidRPr="001B4A02">
          <w:delText>zahájením zkonzultovat s příslušným odborným lékařem</w:delText>
        </w:r>
        <w:r w:rsidR="00106AC1" w:rsidRPr="001B4A02">
          <w:rPr>
            <w:szCs w:val="22"/>
          </w:rPr>
          <w:delText xml:space="preserve"> (viz bod 4.4). </w:delText>
        </w:r>
        <w:r w:rsidRPr="001B4A02">
          <w:delText>Pacienti léčení přípravkem Humira musí být vybaveni speciální informační kartičkou.</w:delText>
        </w:r>
      </w:del>
    </w:p>
    <w:p w14:paraId="4829C9C0" w14:textId="77777777" w:rsidR="00073F8F" w:rsidRPr="001B4A02" w:rsidRDefault="00073F8F" w:rsidP="00ED48A3">
      <w:pPr>
        <w:ind w:left="0" w:firstLine="0"/>
        <w:rPr>
          <w:del w:id="3890" w:author="AbbVie1" w:date="2025-05-13T09:50:00Z"/>
        </w:rPr>
      </w:pPr>
    </w:p>
    <w:p w14:paraId="062D9828" w14:textId="77777777" w:rsidR="00073F8F" w:rsidRPr="001B4A02" w:rsidRDefault="00000000" w:rsidP="00ED48A3">
      <w:pPr>
        <w:ind w:left="0" w:firstLine="0"/>
        <w:rPr>
          <w:del w:id="3891" w:author="AbbVie1" w:date="2025-05-13T09:50:00Z"/>
        </w:rPr>
      </w:pPr>
      <w:del w:id="3892" w:author="AbbVie1" w:date="2025-05-13T09:50:00Z">
        <w:r w:rsidRPr="001B4A02">
          <w:delText>Po řádném proškolení v podávání injekce si pacienti mohou přípravek Humira aplikovat sami, jestliže jejich lékař rozhodne, že je to vhodné,</w:delText>
        </w:r>
        <w:r w:rsidR="002378E0">
          <w:delText xml:space="preserve"> a </w:delText>
        </w:r>
        <w:r w:rsidRPr="001B4A02">
          <w:delText>je-li zajištěn podle potřeby lékařský dohled.</w:delText>
        </w:r>
      </w:del>
    </w:p>
    <w:p w14:paraId="1E32DBFF" w14:textId="77777777" w:rsidR="00073F8F" w:rsidRPr="001B4A02" w:rsidRDefault="00073F8F" w:rsidP="00ED48A3">
      <w:pPr>
        <w:ind w:left="0" w:firstLine="0"/>
        <w:rPr>
          <w:del w:id="3893" w:author="AbbVie1" w:date="2025-05-13T09:50:00Z"/>
        </w:rPr>
      </w:pPr>
    </w:p>
    <w:p w14:paraId="202E9896" w14:textId="77777777" w:rsidR="00073F8F" w:rsidRPr="001B4A02" w:rsidRDefault="00000000" w:rsidP="00ED48A3">
      <w:pPr>
        <w:ind w:left="0" w:firstLine="0"/>
        <w:rPr>
          <w:del w:id="3894" w:author="AbbVie1" w:date="2025-05-13T09:50:00Z"/>
        </w:rPr>
      </w:pPr>
      <w:del w:id="3895" w:author="AbbVie1" w:date="2025-05-13T09:50:00Z">
        <w:r w:rsidRPr="001B4A02">
          <w:delText>Po dobu léčby přípravkem Humira je třeba upravit dávky ostatních současně užívaných léčiv (např. kortikosteroidů a/nebo imunomodulační</w:delText>
        </w:r>
        <w:r w:rsidR="0051758E" w:rsidRPr="001B4A02">
          <w:delText>ch</w:delText>
        </w:r>
        <w:r w:rsidRPr="001B4A02">
          <w:delText xml:space="preserve"> léků).</w:delText>
        </w:r>
      </w:del>
    </w:p>
    <w:p w14:paraId="36A068E4" w14:textId="77777777" w:rsidR="00FF681D" w:rsidRPr="001B4A02" w:rsidRDefault="00FF681D" w:rsidP="00ED48A3">
      <w:pPr>
        <w:ind w:left="0" w:firstLine="0"/>
        <w:rPr>
          <w:del w:id="3896" w:author="AbbVie1" w:date="2025-05-13T09:50:00Z"/>
          <w:u w:val="single"/>
        </w:rPr>
      </w:pPr>
    </w:p>
    <w:p w14:paraId="42E4C7B9" w14:textId="77777777" w:rsidR="00FF681D" w:rsidRPr="001B4A02" w:rsidRDefault="00000000" w:rsidP="00A13869">
      <w:pPr>
        <w:keepNext/>
        <w:ind w:left="0" w:firstLine="0"/>
        <w:rPr>
          <w:del w:id="3897" w:author="AbbVie1" w:date="2025-05-13T09:50:00Z"/>
          <w:u w:val="single"/>
        </w:rPr>
      </w:pPr>
      <w:del w:id="3898" w:author="AbbVie1" w:date="2025-05-13T09:50:00Z">
        <w:r w:rsidRPr="001B4A02">
          <w:rPr>
            <w:u w:val="single"/>
          </w:rPr>
          <w:delText>Dávkování</w:delText>
        </w:r>
      </w:del>
    </w:p>
    <w:p w14:paraId="5DCED654" w14:textId="77777777" w:rsidR="00073F8F" w:rsidRPr="001B4A02" w:rsidRDefault="00073F8F" w:rsidP="00A13869">
      <w:pPr>
        <w:keepNext/>
        <w:ind w:left="0" w:firstLine="0"/>
        <w:rPr>
          <w:del w:id="3899" w:author="AbbVie1" w:date="2025-05-13T09:50:00Z"/>
        </w:rPr>
      </w:pPr>
    </w:p>
    <w:p w14:paraId="6301315A" w14:textId="77777777" w:rsidR="00073F8F" w:rsidRPr="001B4A02" w:rsidRDefault="00000000" w:rsidP="00A13869">
      <w:pPr>
        <w:pStyle w:val="EMEAHeadingUnderline"/>
        <w:keepNext/>
        <w:tabs>
          <w:tab w:val="clear" w:pos="562"/>
        </w:tabs>
        <w:suppressAutoHyphens w:val="0"/>
        <w:spacing w:beforeLines="0" w:before="0" w:afterLines="0" w:after="0"/>
        <w:rPr>
          <w:del w:id="3900" w:author="AbbVie1" w:date="2025-05-13T09:50:00Z"/>
          <w:i/>
          <w:u w:val="none"/>
          <w:lang w:val="cs-CZ"/>
        </w:rPr>
      </w:pPr>
      <w:del w:id="3901" w:author="AbbVie1" w:date="2025-05-13T09:50:00Z">
        <w:r w:rsidRPr="001B4A02">
          <w:rPr>
            <w:i/>
            <w:u w:val="none"/>
            <w:lang w:val="cs-CZ"/>
          </w:rPr>
          <w:delText>Revmatoidní artritida</w:delText>
        </w:r>
      </w:del>
    </w:p>
    <w:p w14:paraId="3FCF258F" w14:textId="77777777" w:rsidR="00073F8F" w:rsidRPr="001B4A02" w:rsidRDefault="00073F8F" w:rsidP="00A13869">
      <w:pPr>
        <w:keepNext/>
        <w:ind w:left="0" w:firstLine="0"/>
        <w:rPr>
          <w:del w:id="3902" w:author="AbbVie1" w:date="2025-05-13T09:50:00Z"/>
        </w:rPr>
      </w:pPr>
    </w:p>
    <w:p w14:paraId="08E0ACF4" w14:textId="77777777" w:rsidR="00073F8F" w:rsidRPr="001B4A02" w:rsidRDefault="00000000" w:rsidP="00ED48A3">
      <w:pPr>
        <w:ind w:left="0" w:firstLine="0"/>
        <w:rPr>
          <w:del w:id="3903" w:author="AbbVie1" w:date="2025-05-13T09:50:00Z"/>
        </w:rPr>
      </w:pPr>
      <w:del w:id="3904" w:author="AbbVie1" w:date="2025-05-13T09:50:00Z">
        <w:r w:rsidRPr="001B4A02">
          <w:delText>Doporučená dávka přípravku Humira u</w:delText>
        </w:r>
        <w:r w:rsidR="00164B4F" w:rsidRPr="001B4A02">
          <w:delText> </w:delText>
        </w:r>
        <w:r w:rsidRPr="001B4A02">
          <w:delText>dospělých pacientů s revmatoidní artritidou je 40 mg adalimumabu podávaného jako jedna dávka subkutánně každý druhý týden. Během léčby přípravkem Humira je doporučeno pokračovat v léčbě methotrexátem.</w:delText>
        </w:r>
      </w:del>
    </w:p>
    <w:p w14:paraId="2E57C37D" w14:textId="77777777" w:rsidR="00073F8F" w:rsidRPr="001B4A02" w:rsidRDefault="00073F8F" w:rsidP="00ED48A3">
      <w:pPr>
        <w:ind w:left="0" w:firstLine="0"/>
        <w:rPr>
          <w:del w:id="3905" w:author="AbbVie1" w:date="2025-05-13T09:50:00Z"/>
        </w:rPr>
      </w:pPr>
    </w:p>
    <w:p w14:paraId="77F36ABF" w14:textId="77777777" w:rsidR="00073F8F" w:rsidRPr="001B4A02" w:rsidRDefault="00000000" w:rsidP="00ED48A3">
      <w:pPr>
        <w:ind w:left="0" w:firstLine="0"/>
        <w:rPr>
          <w:del w:id="3906" w:author="AbbVie1" w:date="2025-05-13T09:50:00Z"/>
        </w:rPr>
      </w:pPr>
      <w:del w:id="3907" w:author="AbbVie1" w:date="2025-05-13T09:50:00Z">
        <w:r w:rsidRPr="001B4A02">
          <w:delText>Během léčby přípravkem Humira se může pokračovat v podávání glukokortikoidů, salicylátů, nesteroidních antiflogistik či analgetik. Pro kombinaci s chorobu modifikujícími antirevmatickými léky, s výjimkou methotrexátu, viz body 4.4</w:delText>
        </w:r>
        <w:r w:rsidR="002378E0">
          <w:delText xml:space="preserve"> a </w:delText>
        </w:r>
        <w:r w:rsidRPr="001B4A02">
          <w:delText>5.1.</w:delText>
        </w:r>
      </w:del>
    </w:p>
    <w:p w14:paraId="50532782" w14:textId="77777777" w:rsidR="00073F8F" w:rsidRPr="001B4A02" w:rsidRDefault="00073F8F" w:rsidP="00ED48A3">
      <w:pPr>
        <w:ind w:left="0" w:firstLine="0"/>
        <w:rPr>
          <w:del w:id="3908" w:author="AbbVie1" w:date="2025-05-13T09:50:00Z"/>
        </w:rPr>
      </w:pPr>
    </w:p>
    <w:p w14:paraId="211F8576" w14:textId="77777777" w:rsidR="00073F8F" w:rsidRPr="001B4A02" w:rsidRDefault="00000000" w:rsidP="00ED48A3">
      <w:pPr>
        <w:ind w:left="0" w:firstLine="0"/>
        <w:rPr>
          <w:del w:id="3909" w:author="AbbVie1" w:date="2025-05-13T09:50:00Z"/>
        </w:rPr>
      </w:pPr>
      <w:del w:id="3910" w:author="AbbVie1" w:date="2025-05-13T09:50:00Z">
        <w:r w:rsidRPr="001B4A02">
          <w:delText>Pokud u některých pacientů na monoterapii adalimumabem dojde ke snížení odpovědi na léčbu</w:delText>
        </w:r>
        <w:r w:rsidR="00940B2F" w:rsidRPr="001B4A02">
          <w:delText xml:space="preserve"> přípravkem Humira 40</w:delText>
        </w:r>
        <w:r w:rsidR="00294902">
          <w:delText> mg</w:delText>
        </w:r>
        <w:r w:rsidR="00940B2F" w:rsidRPr="001B4A02">
          <w:delText xml:space="preserve"> jednou za dva týdny</w:delText>
        </w:r>
        <w:r w:rsidRPr="001B4A02">
          <w:delText xml:space="preserve">, může být u těchto pacientů prospěšné zvýšení </w:delText>
        </w:r>
        <w:r w:rsidR="00940B2F" w:rsidRPr="001B4A02">
          <w:delText xml:space="preserve">dávkování </w:delText>
        </w:r>
        <w:r w:rsidRPr="001B4A02">
          <w:delText>na 40</w:delText>
        </w:r>
        <w:r w:rsidR="00294902">
          <w:delText> mg</w:delText>
        </w:r>
        <w:r w:rsidRPr="001B4A02">
          <w:delText xml:space="preserve"> jednou týdně</w:delText>
        </w:r>
        <w:r w:rsidR="00940B2F" w:rsidRPr="001B4A02">
          <w:delText xml:space="preserve"> nebo 80</w:delText>
        </w:r>
        <w:r w:rsidR="00294902">
          <w:delText> mg</w:delText>
        </w:r>
        <w:r w:rsidR="00940B2F" w:rsidRPr="001B4A02">
          <w:delText xml:space="preserve"> jednou za dva týdny</w:delText>
        </w:r>
        <w:r w:rsidRPr="001B4A02">
          <w:delText>.</w:delText>
        </w:r>
      </w:del>
    </w:p>
    <w:p w14:paraId="514FD489" w14:textId="77777777" w:rsidR="00D427E8" w:rsidRPr="001B4A02" w:rsidRDefault="00D427E8" w:rsidP="00D427E8">
      <w:pPr>
        <w:ind w:left="0" w:firstLine="0"/>
        <w:rPr>
          <w:del w:id="3911" w:author="AbbVie1" w:date="2025-05-13T09:50:00Z"/>
        </w:rPr>
      </w:pPr>
    </w:p>
    <w:p w14:paraId="7E996F59" w14:textId="77777777" w:rsidR="005216E9" w:rsidRPr="001B4A02" w:rsidRDefault="00000000" w:rsidP="00DA73B0">
      <w:pPr>
        <w:pStyle w:val="EMEANormal"/>
        <w:tabs>
          <w:tab w:val="clear" w:pos="562"/>
        </w:tabs>
        <w:suppressAutoHyphens w:val="0"/>
        <w:rPr>
          <w:del w:id="3912" w:author="AbbVie1" w:date="2025-05-13T09:50:00Z"/>
          <w:lang w:val="cs-CZ"/>
        </w:rPr>
      </w:pPr>
      <w:del w:id="3913" w:author="AbbVie1" w:date="2025-05-13T09:50:00Z">
        <w:r w:rsidRPr="001B4A02">
          <w:rPr>
            <w:lang w:val="cs-CZ"/>
          </w:rPr>
          <w:delText>Dostupné údaje nasvědčují tomu, že klinické odpovědi na léčbu je dosaženo obvykle během 12 týdnů léčby. U</w:delText>
        </w:r>
        <w:r w:rsidR="00EF0AF7" w:rsidRPr="001B4A02">
          <w:rPr>
            <w:lang w:val="cs-CZ"/>
          </w:rPr>
          <w:delText> </w:delText>
        </w:r>
        <w:r w:rsidRPr="001B4A02">
          <w:rPr>
            <w:lang w:val="cs-CZ"/>
          </w:rPr>
          <w:delText>pacientů, u</w:delText>
        </w:r>
        <w:r w:rsidR="00EF0AF7" w:rsidRPr="001B4A02">
          <w:rPr>
            <w:lang w:val="cs-CZ"/>
          </w:rPr>
          <w:delText> </w:delText>
        </w:r>
        <w:r w:rsidRPr="001B4A02">
          <w:rPr>
            <w:lang w:val="cs-CZ"/>
          </w:rPr>
          <w:delText>kterých nedošlo k odpovědi během této doby, je nutné zvážit její pokračování.</w:delText>
        </w:r>
      </w:del>
    </w:p>
    <w:p w14:paraId="5F519288" w14:textId="77777777" w:rsidR="00D427E8" w:rsidRPr="001B4A02" w:rsidRDefault="00D427E8" w:rsidP="00D427E8">
      <w:pPr>
        <w:ind w:left="0" w:firstLine="0"/>
        <w:rPr>
          <w:del w:id="3914" w:author="AbbVie1" w:date="2025-05-13T09:50:00Z"/>
        </w:rPr>
      </w:pPr>
    </w:p>
    <w:p w14:paraId="576F4625" w14:textId="77777777" w:rsidR="00940B2F" w:rsidRPr="001B4A02" w:rsidRDefault="00000000" w:rsidP="00940B2F">
      <w:pPr>
        <w:ind w:left="0" w:firstLine="0"/>
        <w:rPr>
          <w:del w:id="3915" w:author="AbbVie1" w:date="2025-05-13T09:50:00Z"/>
        </w:rPr>
      </w:pPr>
      <w:del w:id="3916" w:author="AbbVie1" w:date="2025-05-13T09:50:00Z">
        <w:r w:rsidRPr="001B4A02">
          <w:delText xml:space="preserve">Přípravek Humira je k dispozici v dalších silách a/nebo </w:delText>
        </w:r>
        <w:r w:rsidR="00A43DB3">
          <w:delText>typech balení</w:delText>
        </w:r>
        <w:r w:rsidRPr="001B4A02">
          <w:delText xml:space="preserve"> v závislosti na individuálních potřebách léčby.</w:delText>
        </w:r>
      </w:del>
    </w:p>
    <w:p w14:paraId="62E2D201" w14:textId="77777777" w:rsidR="00940B2F" w:rsidRPr="001B4A02" w:rsidRDefault="00940B2F" w:rsidP="00D427E8">
      <w:pPr>
        <w:ind w:left="0" w:firstLine="0"/>
        <w:rPr>
          <w:del w:id="3917" w:author="AbbVie1" w:date="2025-05-13T09:50:00Z"/>
        </w:rPr>
      </w:pPr>
    </w:p>
    <w:p w14:paraId="329F6507" w14:textId="77777777" w:rsidR="009A3BFD" w:rsidRPr="001B4A02" w:rsidRDefault="00000000" w:rsidP="004C59D6">
      <w:pPr>
        <w:keepNext/>
        <w:rPr>
          <w:del w:id="3918" w:author="AbbVie1" w:date="2025-05-13T09:50:00Z"/>
          <w:i/>
          <w:u w:val="single"/>
        </w:rPr>
      </w:pPr>
      <w:del w:id="3919" w:author="AbbVie1" w:date="2025-05-13T09:50:00Z">
        <w:r w:rsidRPr="001B4A02">
          <w:rPr>
            <w:i/>
            <w:u w:val="single"/>
          </w:rPr>
          <w:delText>Přerušení podávání</w:delText>
        </w:r>
      </w:del>
    </w:p>
    <w:p w14:paraId="27F39044" w14:textId="77777777" w:rsidR="00A0797D" w:rsidRPr="001B4A02" w:rsidRDefault="00A0797D" w:rsidP="004C59D6">
      <w:pPr>
        <w:keepNext/>
        <w:ind w:left="0" w:firstLine="0"/>
        <w:rPr>
          <w:del w:id="3920" w:author="AbbVie1" w:date="2025-05-13T09:50:00Z"/>
        </w:rPr>
      </w:pPr>
    </w:p>
    <w:p w14:paraId="45F2488F" w14:textId="77777777" w:rsidR="003206D5" w:rsidRPr="001B4A02" w:rsidRDefault="00000000" w:rsidP="00A13869">
      <w:pPr>
        <w:ind w:left="0" w:firstLine="0"/>
        <w:rPr>
          <w:del w:id="3921" w:author="AbbVie1" w:date="2025-05-13T09:50:00Z"/>
        </w:rPr>
      </w:pPr>
      <w:del w:id="3922" w:author="AbbVie1" w:date="2025-05-13T09:50:00Z">
        <w:r w:rsidRPr="001B4A02">
          <w:delText>Je-li to potřeba, lze podávání přípravku přerušit, například před operací nebo při výskytu závažné infekce</w:delText>
        </w:r>
        <w:r w:rsidR="00DA73B0" w:rsidRPr="001B4A02">
          <w:delText>.</w:delText>
        </w:r>
      </w:del>
    </w:p>
    <w:p w14:paraId="7AD67734" w14:textId="77777777" w:rsidR="00A93B8E" w:rsidRPr="001B4A02" w:rsidRDefault="00A93B8E" w:rsidP="00ED48A3">
      <w:pPr>
        <w:ind w:left="0" w:firstLine="0"/>
        <w:rPr>
          <w:del w:id="3923" w:author="AbbVie1" w:date="2025-05-13T09:50:00Z"/>
        </w:rPr>
      </w:pPr>
    </w:p>
    <w:p w14:paraId="10A7FD41" w14:textId="77777777" w:rsidR="009A3BFD" w:rsidRPr="001B4A02" w:rsidRDefault="00000000" w:rsidP="00ED48A3">
      <w:pPr>
        <w:ind w:left="0" w:firstLine="0"/>
        <w:rPr>
          <w:del w:id="3924" w:author="AbbVie1" w:date="2025-05-13T09:50:00Z"/>
          <w:u w:val="single"/>
        </w:rPr>
      </w:pPr>
      <w:del w:id="3925" w:author="AbbVie1" w:date="2025-05-13T09:50:00Z">
        <w:r w:rsidRPr="001B4A02">
          <w:delText>Dostupné údaje naznačují, že znovuzavedení léčby přípravkem Humira po jejím přerušení na dobu 70 dní nebo déle vedlo ke stejně významné klinické odpovědi</w:delText>
        </w:r>
        <w:r w:rsidR="002378E0">
          <w:delText xml:space="preserve"> a </w:delText>
        </w:r>
        <w:r w:rsidRPr="001B4A02">
          <w:delText>podobnému bezpečnostnímu profilu jako před přerušením podávání.</w:delText>
        </w:r>
      </w:del>
    </w:p>
    <w:p w14:paraId="17AB67BB" w14:textId="77777777" w:rsidR="009A3BFD" w:rsidRPr="001B4A02" w:rsidRDefault="009A3BFD" w:rsidP="00ED48A3">
      <w:pPr>
        <w:rPr>
          <w:del w:id="3926" w:author="AbbVie1" w:date="2025-05-13T09:50:00Z"/>
          <w:u w:val="single"/>
        </w:rPr>
      </w:pPr>
    </w:p>
    <w:p w14:paraId="25B71E7E" w14:textId="77777777" w:rsidR="00073F8F" w:rsidRPr="001B4A02" w:rsidRDefault="00000000" w:rsidP="00ED48A3">
      <w:pPr>
        <w:keepNext/>
        <w:ind w:left="0" w:firstLine="0"/>
        <w:rPr>
          <w:del w:id="3927" w:author="AbbVie1" w:date="2025-05-13T09:50:00Z"/>
          <w:i/>
        </w:rPr>
      </w:pPr>
      <w:del w:id="3928" w:author="AbbVie1" w:date="2025-05-13T09:50:00Z">
        <w:r w:rsidRPr="001B4A02">
          <w:rPr>
            <w:i/>
          </w:rPr>
          <w:delText>Ankylozující spondyl</w:delText>
        </w:r>
        <w:r w:rsidR="009E60BF" w:rsidRPr="001B4A02">
          <w:rPr>
            <w:i/>
          </w:rPr>
          <w:delText xml:space="preserve">itida, </w:delText>
        </w:r>
        <w:r w:rsidR="009E60BF" w:rsidRPr="001B4A02">
          <w:rPr>
            <w:i/>
            <w:szCs w:val="22"/>
          </w:rPr>
          <w:delText>axiální spondylartritida bez radiologického průkazu AS</w:delText>
        </w:r>
        <w:r w:rsidR="002378E0">
          <w:rPr>
            <w:i/>
            <w:szCs w:val="22"/>
          </w:rPr>
          <w:delText xml:space="preserve"> a </w:delText>
        </w:r>
        <w:r w:rsidR="009E60BF" w:rsidRPr="001B4A02">
          <w:rPr>
            <w:i/>
            <w:szCs w:val="22"/>
          </w:rPr>
          <w:delText>p</w:delText>
        </w:r>
        <w:r w:rsidRPr="001B4A02">
          <w:rPr>
            <w:i/>
          </w:rPr>
          <w:delText>soriatická artritida</w:delText>
        </w:r>
      </w:del>
    </w:p>
    <w:p w14:paraId="7D198C08" w14:textId="77777777" w:rsidR="00073F8F" w:rsidRPr="001B4A02" w:rsidRDefault="00073F8F" w:rsidP="00ED48A3">
      <w:pPr>
        <w:keepNext/>
        <w:rPr>
          <w:del w:id="3929" w:author="AbbVie1" w:date="2025-05-13T09:50:00Z"/>
          <w:u w:val="single"/>
        </w:rPr>
      </w:pPr>
    </w:p>
    <w:p w14:paraId="581DFAF4" w14:textId="77777777" w:rsidR="00073F8F" w:rsidRPr="001B4A02" w:rsidRDefault="00000000" w:rsidP="00DA73B0">
      <w:pPr>
        <w:pStyle w:val="EMEANormal"/>
        <w:tabs>
          <w:tab w:val="clear" w:pos="562"/>
        </w:tabs>
        <w:suppressAutoHyphens w:val="0"/>
        <w:rPr>
          <w:del w:id="3930" w:author="AbbVie1" w:date="2025-05-13T09:50:00Z"/>
          <w:u w:val="single"/>
          <w:lang w:val="cs-CZ"/>
        </w:rPr>
      </w:pPr>
      <w:del w:id="3931" w:author="AbbVie1" w:date="2025-05-13T09:50:00Z">
        <w:r w:rsidRPr="001B4A02">
          <w:rPr>
            <w:lang w:val="cs-CZ"/>
          </w:rPr>
          <w:delText>Doporučená dávka přípravku Humira u pacientů s</w:delText>
        </w:r>
        <w:r w:rsidR="009E60BF" w:rsidRPr="001B4A02">
          <w:rPr>
            <w:lang w:val="cs-CZ"/>
          </w:rPr>
          <w:delText xml:space="preserve"> ankylozující spondylitidou, </w:delText>
        </w:r>
        <w:r w:rsidR="009E60BF" w:rsidRPr="001B4A02">
          <w:rPr>
            <w:szCs w:val="22"/>
            <w:lang w:val="cs-CZ"/>
          </w:rPr>
          <w:delText>axiální spondylartritidou bez radiologického průkazu AS</w:delText>
        </w:r>
        <w:r w:rsidR="002378E0">
          <w:rPr>
            <w:szCs w:val="22"/>
            <w:lang w:val="cs-CZ"/>
          </w:rPr>
          <w:delText xml:space="preserve"> a </w:delText>
        </w:r>
        <w:r w:rsidR="009E60BF" w:rsidRPr="001B4A02">
          <w:rPr>
            <w:szCs w:val="22"/>
            <w:lang w:val="cs-CZ"/>
          </w:rPr>
          <w:delText>u</w:delText>
        </w:r>
        <w:r w:rsidR="00164B4F" w:rsidRPr="001B4A02">
          <w:rPr>
            <w:szCs w:val="22"/>
            <w:lang w:val="cs-CZ"/>
          </w:rPr>
          <w:delText> </w:delText>
        </w:r>
        <w:r w:rsidR="009E60BF" w:rsidRPr="001B4A02">
          <w:rPr>
            <w:szCs w:val="22"/>
            <w:lang w:val="cs-CZ"/>
          </w:rPr>
          <w:delText>pacientů s</w:delText>
        </w:r>
        <w:r w:rsidR="00A9166E" w:rsidRPr="001B4A02">
          <w:rPr>
            <w:szCs w:val="22"/>
            <w:lang w:val="cs-CZ"/>
          </w:rPr>
          <w:delText> </w:delText>
        </w:r>
        <w:r w:rsidRPr="001B4A02">
          <w:rPr>
            <w:lang w:val="cs-CZ"/>
          </w:rPr>
          <w:delText>psoriatickou artritidou je 40 mg adalimumabu podávaného každé dva týdny v jedné dávce subkutánně.</w:delText>
        </w:r>
      </w:del>
    </w:p>
    <w:p w14:paraId="113139C9" w14:textId="77777777" w:rsidR="00073F8F" w:rsidRPr="001B4A02" w:rsidRDefault="00073F8F" w:rsidP="00ED48A3">
      <w:pPr>
        <w:ind w:left="0" w:firstLine="0"/>
        <w:rPr>
          <w:del w:id="3932" w:author="AbbVie1" w:date="2025-05-13T09:50:00Z"/>
          <w:u w:val="single"/>
        </w:rPr>
      </w:pPr>
    </w:p>
    <w:p w14:paraId="28829103" w14:textId="77777777" w:rsidR="00073F8F" w:rsidRPr="001B4A02" w:rsidRDefault="00000000" w:rsidP="00ED48A3">
      <w:pPr>
        <w:pStyle w:val="EMEANormal"/>
        <w:tabs>
          <w:tab w:val="clear" w:pos="562"/>
        </w:tabs>
        <w:suppressAutoHyphens w:val="0"/>
        <w:rPr>
          <w:del w:id="3933" w:author="AbbVie1" w:date="2025-05-13T09:50:00Z"/>
          <w:lang w:val="cs-CZ"/>
        </w:rPr>
      </w:pPr>
      <w:del w:id="3934" w:author="AbbVie1" w:date="2025-05-13T09:50:00Z">
        <w:r w:rsidRPr="001B4A02">
          <w:rPr>
            <w:lang w:val="cs-CZ"/>
          </w:rPr>
          <w:delText>Dostupné údaje nasvědčují tomu, že klinické odpovědi na léčbu je dosaženo obvykle během 12 týdnů léčby. U</w:delText>
        </w:r>
        <w:r w:rsidR="00164B4F" w:rsidRPr="001B4A02">
          <w:rPr>
            <w:lang w:val="cs-CZ"/>
          </w:rPr>
          <w:delText> </w:delText>
        </w:r>
        <w:r w:rsidRPr="001B4A02">
          <w:rPr>
            <w:lang w:val="cs-CZ"/>
          </w:rPr>
          <w:delText>pacientů, u</w:delText>
        </w:r>
        <w:r w:rsidR="00164B4F" w:rsidRPr="001B4A02">
          <w:rPr>
            <w:lang w:val="cs-CZ"/>
          </w:rPr>
          <w:delText> </w:delText>
        </w:r>
        <w:r w:rsidRPr="001B4A02">
          <w:rPr>
            <w:lang w:val="cs-CZ"/>
          </w:rPr>
          <w:delText>kterých nedošlo k odpovědi během této doby, je nutné zvážit její pokračování.</w:delText>
        </w:r>
      </w:del>
    </w:p>
    <w:p w14:paraId="3401F463" w14:textId="77777777" w:rsidR="000125BE" w:rsidRPr="001B4A02" w:rsidRDefault="000125BE" w:rsidP="00ED48A3">
      <w:pPr>
        <w:pStyle w:val="EMEANormal"/>
        <w:tabs>
          <w:tab w:val="clear" w:pos="562"/>
        </w:tabs>
        <w:suppressAutoHyphens w:val="0"/>
        <w:rPr>
          <w:del w:id="3935" w:author="AbbVie1" w:date="2025-05-13T09:50:00Z"/>
          <w:lang w:val="cs-CZ"/>
        </w:rPr>
      </w:pPr>
    </w:p>
    <w:p w14:paraId="4A093AB4" w14:textId="77777777" w:rsidR="000125BE" w:rsidRPr="001B4A02" w:rsidRDefault="00000000" w:rsidP="00A13869">
      <w:pPr>
        <w:keepNext/>
        <w:rPr>
          <w:del w:id="3936" w:author="AbbVie1" w:date="2025-05-13T09:50:00Z"/>
          <w:i/>
        </w:rPr>
      </w:pPr>
      <w:del w:id="3937" w:author="AbbVie1" w:date="2025-05-13T09:50:00Z">
        <w:r w:rsidRPr="001B4A02">
          <w:rPr>
            <w:i/>
          </w:rPr>
          <w:delText>Psoriáza</w:delText>
        </w:r>
      </w:del>
    </w:p>
    <w:p w14:paraId="5F1DE2D5" w14:textId="77777777" w:rsidR="000125BE" w:rsidRPr="001B4A02" w:rsidRDefault="000125BE" w:rsidP="00A13869">
      <w:pPr>
        <w:keepNext/>
        <w:rPr>
          <w:del w:id="3938" w:author="AbbVie1" w:date="2025-05-13T09:50:00Z"/>
          <w:u w:val="single"/>
        </w:rPr>
      </w:pPr>
    </w:p>
    <w:p w14:paraId="1893DE3F" w14:textId="77777777" w:rsidR="000125BE" w:rsidRPr="001B4A02" w:rsidRDefault="00000000" w:rsidP="00ED48A3">
      <w:pPr>
        <w:ind w:left="0" w:firstLine="0"/>
        <w:rPr>
          <w:del w:id="3939" w:author="AbbVie1" w:date="2025-05-13T09:50:00Z"/>
        </w:rPr>
      </w:pPr>
      <w:del w:id="3940" w:author="AbbVie1" w:date="2025-05-13T09:50:00Z">
        <w:r w:rsidRPr="001B4A02">
          <w:delText>Doporučená úvodní dávka přípravku Humira pro dospělé pacienty je 80</w:delText>
        </w:r>
        <w:r w:rsidR="00294902">
          <w:delText> mg</w:delText>
        </w:r>
        <w:r w:rsidRPr="001B4A02">
          <w:delText xml:space="preserve"> podaných subkutánně, po níž následuje dávka 40</w:delText>
        </w:r>
        <w:r w:rsidR="00294902">
          <w:delText> mg</w:delText>
        </w:r>
        <w:r w:rsidRPr="001B4A02">
          <w:delText xml:space="preserve"> subkutánně každý druhý týden, počínaje prvním týdnem po úvodní dávce.</w:delText>
        </w:r>
      </w:del>
    </w:p>
    <w:p w14:paraId="7BC1DAB2" w14:textId="77777777" w:rsidR="000125BE" w:rsidRPr="001B4A02" w:rsidRDefault="000125BE" w:rsidP="00ED48A3">
      <w:pPr>
        <w:rPr>
          <w:del w:id="3941" w:author="AbbVie1" w:date="2025-05-13T09:50:00Z"/>
        </w:rPr>
      </w:pPr>
    </w:p>
    <w:p w14:paraId="56EFC743" w14:textId="77777777" w:rsidR="000125BE" w:rsidRPr="001B4A02" w:rsidRDefault="00000000" w:rsidP="00ED48A3">
      <w:pPr>
        <w:pStyle w:val="EMEANormal"/>
        <w:tabs>
          <w:tab w:val="clear" w:pos="562"/>
          <w:tab w:val="left" w:pos="708"/>
        </w:tabs>
        <w:suppressAutoHyphens w:val="0"/>
        <w:rPr>
          <w:del w:id="3942" w:author="AbbVie1" w:date="2025-05-13T09:50:00Z"/>
          <w:lang w:val="cs-CZ"/>
        </w:rPr>
      </w:pPr>
      <w:del w:id="3943" w:author="AbbVie1" w:date="2025-05-13T09:50:00Z">
        <w:r w:rsidRPr="001B4A02">
          <w:rPr>
            <w:lang w:val="cs-CZ"/>
          </w:rPr>
          <w:delText>Pokračování v léčbě po dobu delší než 16 týdnů je nutno pečlivě zvážit u</w:delText>
        </w:r>
        <w:r w:rsidR="00164B4F" w:rsidRPr="001B4A02">
          <w:rPr>
            <w:lang w:val="cs-CZ"/>
          </w:rPr>
          <w:delText> </w:delText>
        </w:r>
        <w:r w:rsidRPr="001B4A02">
          <w:rPr>
            <w:lang w:val="cs-CZ"/>
          </w:rPr>
          <w:delText>těch pacientů, u</w:delText>
        </w:r>
        <w:r w:rsidR="00164B4F" w:rsidRPr="001B4A02">
          <w:rPr>
            <w:lang w:val="cs-CZ"/>
          </w:rPr>
          <w:delText> </w:delText>
        </w:r>
        <w:r w:rsidRPr="001B4A02">
          <w:rPr>
            <w:lang w:val="cs-CZ"/>
          </w:rPr>
          <w:delText>kterých nedošlo k během této doby k odpovědi.</w:delText>
        </w:r>
      </w:del>
    </w:p>
    <w:p w14:paraId="47BC450F" w14:textId="77777777" w:rsidR="00073F8F" w:rsidRPr="001B4A02" w:rsidRDefault="00073F8F" w:rsidP="00ED48A3">
      <w:pPr>
        <w:pStyle w:val="EMEANormal"/>
        <w:tabs>
          <w:tab w:val="clear" w:pos="562"/>
        </w:tabs>
        <w:suppressAutoHyphens w:val="0"/>
        <w:rPr>
          <w:del w:id="3944" w:author="AbbVie1" w:date="2025-05-13T09:50:00Z"/>
          <w:lang w:val="cs-CZ"/>
        </w:rPr>
      </w:pPr>
    </w:p>
    <w:p w14:paraId="1CB2239F" w14:textId="77777777" w:rsidR="001F6C51" w:rsidRPr="001B4A02" w:rsidRDefault="00000000" w:rsidP="00ED48A3">
      <w:pPr>
        <w:pStyle w:val="EMEANormal"/>
        <w:tabs>
          <w:tab w:val="clear" w:pos="562"/>
          <w:tab w:val="left" w:pos="708"/>
        </w:tabs>
        <w:suppressAutoHyphens w:val="0"/>
        <w:rPr>
          <w:del w:id="3945" w:author="AbbVie1" w:date="2025-05-13T09:50:00Z"/>
          <w:lang w:val="cs-CZ"/>
        </w:rPr>
      </w:pPr>
      <w:del w:id="3946" w:author="AbbVie1" w:date="2025-05-13T09:50:00Z">
        <w:r w:rsidRPr="001B4A02">
          <w:rPr>
            <w:lang w:val="cs-CZ"/>
          </w:rPr>
          <w:delText xml:space="preserve">Pacienti s nedostatečnou odpovědí </w:delText>
        </w:r>
        <w:r w:rsidR="00940B2F" w:rsidRPr="001B4A02">
          <w:rPr>
            <w:lang w:val="cs-CZ"/>
          </w:rPr>
          <w:delText>na léčbu přípravkem Humira 40</w:delText>
        </w:r>
        <w:r w:rsidR="00294902">
          <w:rPr>
            <w:lang w:val="cs-CZ"/>
          </w:rPr>
          <w:delText> mg</w:delText>
        </w:r>
        <w:r w:rsidR="00940B2F" w:rsidRPr="001B4A02">
          <w:rPr>
            <w:lang w:val="cs-CZ"/>
          </w:rPr>
          <w:delText xml:space="preserve"> jednou za dva týdny </w:delText>
        </w:r>
        <w:r w:rsidRPr="001B4A02">
          <w:rPr>
            <w:lang w:val="cs-CZ"/>
          </w:rPr>
          <w:delText xml:space="preserve">mohou mít kdykoli po </w:delText>
        </w:r>
        <w:r w:rsidR="00D00F8F">
          <w:rPr>
            <w:lang w:val="cs-CZ"/>
          </w:rPr>
          <w:delText>týdnu 16</w:delText>
        </w:r>
        <w:r w:rsidRPr="001B4A02">
          <w:rPr>
            <w:lang w:val="cs-CZ"/>
          </w:rPr>
          <w:delText xml:space="preserve"> léčby přínos ze zvýšení dávkování na 40</w:delText>
        </w:r>
        <w:r w:rsidR="00294902">
          <w:rPr>
            <w:lang w:val="cs-CZ"/>
          </w:rPr>
          <w:delText> mg</w:delText>
        </w:r>
        <w:r w:rsidRPr="001B4A02">
          <w:rPr>
            <w:lang w:val="cs-CZ"/>
          </w:rPr>
          <w:delText xml:space="preserve"> jednou týdně</w:delText>
        </w:r>
        <w:r w:rsidR="00940B2F" w:rsidRPr="001B4A02">
          <w:rPr>
            <w:lang w:val="cs-CZ"/>
          </w:rPr>
          <w:delText xml:space="preserve"> nebo 80</w:delText>
        </w:r>
        <w:r w:rsidR="00294902">
          <w:rPr>
            <w:lang w:val="cs-CZ"/>
          </w:rPr>
          <w:delText> mg</w:delText>
        </w:r>
        <w:r w:rsidR="00940B2F" w:rsidRPr="001B4A02">
          <w:rPr>
            <w:lang w:val="cs-CZ"/>
          </w:rPr>
          <w:delText xml:space="preserve"> jednou za dva týdny</w:delText>
        </w:r>
        <w:r w:rsidRPr="001B4A02">
          <w:rPr>
            <w:lang w:val="cs-CZ"/>
          </w:rPr>
          <w:delText>. Přínos</w:delText>
        </w:r>
        <w:r w:rsidR="002378E0">
          <w:rPr>
            <w:lang w:val="cs-CZ"/>
          </w:rPr>
          <w:delText xml:space="preserve"> a </w:delText>
        </w:r>
        <w:r w:rsidRPr="001B4A02">
          <w:rPr>
            <w:lang w:val="cs-CZ"/>
          </w:rPr>
          <w:delText xml:space="preserve">rizika pokračování léčby </w:delText>
        </w:r>
        <w:r w:rsidR="00940B2F" w:rsidRPr="001B4A02">
          <w:rPr>
            <w:lang w:val="cs-CZ"/>
          </w:rPr>
          <w:delText>40</w:delText>
        </w:r>
        <w:r w:rsidR="00294902">
          <w:rPr>
            <w:lang w:val="cs-CZ"/>
          </w:rPr>
          <w:delText> mg</w:delText>
        </w:r>
        <w:r w:rsidRPr="001B4A02">
          <w:rPr>
            <w:lang w:val="cs-CZ"/>
          </w:rPr>
          <w:delText xml:space="preserve"> jednou týdně</w:delText>
        </w:r>
        <w:r w:rsidR="00940B2F" w:rsidRPr="001B4A02">
          <w:rPr>
            <w:lang w:val="cs-CZ"/>
          </w:rPr>
          <w:delText xml:space="preserve"> nebo 80</w:delText>
        </w:r>
        <w:r w:rsidR="00294902">
          <w:rPr>
            <w:lang w:val="cs-CZ"/>
          </w:rPr>
          <w:delText> mg</w:delText>
        </w:r>
        <w:r w:rsidR="00940B2F" w:rsidRPr="001B4A02">
          <w:rPr>
            <w:lang w:val="cs-CZ"/>
          </w:rPr>
          <w:delText xml:space="preserve"> jednou za dva týdny</w:delText>
        </w:r>
        <w:r w:rsidRPr="001B4A02">
          <w:rPr>
            <w:lang w:val="cs-CZ"/>
          </w:rPr>
          <w:delText xml:space="preserve"> by měly být pečlivě zváženy u</w:delText>
        </w:r>
        <w:r w:rsidR="00164B4F" w:rsidRPr="001B4A02">
          <w:rPr>
            <w:lang w:val="cs-CZ"/>
          </w:rPr>
          <w:delText> </w:delText>
        </w:r>
        <w:r w:rsidRPr="001B4A02">
          <w:rPr>
            <w:lang w:val="cs-CZ"/>
          </w:rPr>
          <w:delText>pacientů, u</w:delText>
        </w:r>
        <w:r w:rsidR="00164B4F" w:rsidRPr="001B4A02">
          <w:rPr>
            <w:lang w:val="cs-CZ"/>
          </w:rPr>
          <w:delText> </w:delText>
        </w:r>
        <w:r w:rsidRPr="001B4A02">
          <w:rPr>
            <w:lang w:val="cs-CZ"/>
          </w:rPr>
          <w:delText xml:space="preserve">kterých nedošlo po zvýšení </w:delText>
        </w:r>
        <w:r w:rsidR="00840619" w:rsidRPr="00BB1FE9">
          <w:rPr>
            <w:lang w:val="cs-CZ"/>
          </w:rPr>
          <w:delText xml:space="preserve">dávkování </w:delText>
        </w:r>
        <w:r w:rsidRPr="0067459F">
          <w:rPr>
            <w:lang w:val="cs-CZ"/>
          </w:rPr>
          <w:delText>k</w:delText>
        </w:r>
        <w:r w:rsidRPr="001B4A02">
          <w:rPr>
            <w:lang w:val="cs-CZ"/>
          </w:rPr>
          <w:delText xml:space="preserve"> adekvátní odpovědi (viz bod 5.1). V případě dosažení adekvátní odpovědi při </w:delText>
        </w:r>
        <w:r w:rsidR="00940B2F" w:rsidRPr="001B4A02">
          <w:rPr>
            <w:lang w:val="cs-CZ"/>
          </w:rPr>
          <w:delText>dávkování 40</w:delText>
        </w:r>
        <w:r w:rsidR="00294902">
          <w:rPr>
            <w:lang w:val="cs-CZ"/>
          </w:rPr>
          <w:delText> mg</w:delText>
        </w:r>
        <w:r w:rsidR="00940B2F" w:rsidRPr="001B4A02">
          <w:rPr>
            <w:lang w:val="cs-CZ"/>
          </w:rPr>
          <w:delText xml:space="preserve"> jednou týdně nebo 80</w:delText>
        </w:r>
        <w:r w:rsidR="00294902">
          <w:rPr>
            <w:lang w:val="cs-CZ"/>
          </w:rPr>
          <w:delText> mg</w:delText>
        </w:r>
        <w:r w:rsidR="00940B2F" w:rsidRPr="001B4A02">
          <w:rPr>
            <w:lang w:val="cs-CZ"/>
          </w:rPr>
          <w:delText xml:space="preserve"> jednou za dva týdny</w:delText>
        </w:r>
        <w:r w:rsidRPr="001B4A02">
          <w:rPr>
            <w:lang w:val="cs-CZ"/>
          </w:rPr>
          <w:delText xml:space="preserve"> může být </w:delText>
        </w:r>
        <w:r w:rsidR="00AA6666" w:rsidRPr="00BB1FE9">
          <w:rPr>
            <w:lang w:val="cs-CZ"/>
          </w:rPr>
          <w:delText>dávkování</w:delText>
        </w:r>
        <w:r w:rsidR="00AA6666" w:rsidRPr="001B4A02">
          <w:rPr>
            <w:lang w:val="cs-CZ"/>
          </w:rPr>
          <w:delText xml:space="preserve"> </w:delText>
        </w:r>
        <w:r w:rsidRPr="001B4A02">
          <w:rPr>
            <w:lang w:val="cs-CZ"/>
          </w:rPr>
          <w:delText xml:space="preserve">následně </w:delText>
        </w:r>
        <w:r w:rsidR="00AA6666" w:rsidRPr="001B4A02">
          <w:rPr>
            <w:lang w:val="cs-CZ"/>
          </w:rPr>
          <w:delText xml:space="preserve">sníženo </w:delText>
        </w:r>
        <w:r w:rsidRPr="001B4A02">
          <w:rPr>
            <w:lang w:val="cs-CZ"/>
          </w:rPr>
          <w:delText>na 40</w:delText>
        </w:r>
        <w:r w:rsidR="00294902">
          <w:rPr>
            <w:lang w:val="cs-CZ"/>
          </w:rPr>
          <w:delText> mg</w:delText>
        </w:r>
        <w:r w:rsidRPr="001B4A02">
          <w:rPr>
            <w:lang w:val="cs-CZ"/>
          </w:rPr>
          <w:delText xml:space="preserve"> každý druhý týden.</w:delText>
        </w:r>
      </w:del>
    </w:p>
    <w:p w14:paraId="790D5610" w14:textId="77777777" w:rsidR="00940B2F" w:rsidRPr="001B4A02" w:rsidRDefault="00940B2F" w:rsidP="00ED48A3">
      <w:pPr>
        <w:pStyle w:val="EMEANormal"/>
        <w:tabs>
          <w:tab w:val="clear" w:pos="562"/>
          <w:tab w:val="left" w:pos="708"/>
        </w:tabs>
        <w:suppressAutoHyphens w:val="0"/>
        <w:rPr>
          <w:del w:id="3947" w:author="AbbVie1" w:date="2025-05-13T09:50:00Z"/>
          <w:lang w:val="cs-CZ"/>
        </w:rPr>
      </w:pPr>
    </w:p>
    <w:p w14:paraId="0FAB92B6" w14:textId="77777777" w:rsidR="00940B2F" w:rsidRPr="001B4A02" w:rsidRDefault="00000000" w:rsidP="00940B2F">
      <w:pPr>
        <w:ind w:left="0" w:firstLine="0"/>
        <w:rPr>
          <w:del w:id="3948" w:author="AbbVie1" w:date="2025-05-13T09:50:00Z"/>
        </w:rPr>
      </w:pPr>
      <w:del w:id="3949" w:author="AbbVie1" w:date="2025-05-13T09:50:00Z">
        <w:r w:rsidRPr="001B4A02">
          <w:delText xml:space="preserve">Přípravek Humira je k dispozici v dalších silách a/nebo </w:delText>
        </w:r>
        <w:r w:rsidR="00A43DB3">
          <w:delText>typech balení</w:delText>
        </w:r>
        <w:r w:rsidRPr="001B4A02">
          <w:delText xml:space="preserve"> v závislosti na individuálních potřebách léčby.</w:delText>
        </w:r>
      </w:del>
    </w:p>
    <w:p w14:paraId="4427FD00" w14:textId="77777777" w:rsidR="001F6C51" w:rsidRPr="001B4A02" w:rsidRDefault="001F6C51" w:rsidP="00ED48A3">
      <w:pPr>
        <w:pStyle w:val="EMEANormal"/>
        <w:tabs>
          <w:tab w:val="clear" w:pos="562"/>
        </w:tabs>
        <w:suppressAutoHyphens w:val="0"/>
        <w:rPr>
          <w:del w:id="3950" w:author="AbbVie1" w:date="2025-05-13T09:50:00Z"/>
          <w:lang w:val="cs-CZ"/>
        </w:rPr>
      </w:pPr>
    </w:p>
    <w:p w14:paraId="4D21BB45" w14:textId="77777777" w:rsidR="00372B60" w:rsidRPr="001B4A02" w:rsidRDefault="00000000" w:rsidP="00A13869">
      <w:pPr>
        <w:pStyle w:val="EMEANormal"/>
        <w:keepNext/>
        <w:rPr>
          <w:del w:id="3951" w:author="AbbVie1" w:date="2025-05-13T09:50:00Z"/>
          <w:i/>
          <w:lang w:val="cs-CZ"/>
        </w:rPr>
      </w:pPr>
      <w:del w:id="3952" w:author="AbbVie1" w:date="2025-05-13T09:50:00Z">
        <w:r w:rsidRPr="001B4A02">
          <w:rPr>
            <w:i/>
            <w:lang w:val="cs-CZ"/>
          </w:rPr>
          <w:delText xml:space="preserve">Hidradenitis suppurativa </w:delText>
        </w:r>
      </w:del>
    </w:p>
    <w:p w14:paraId="221A30D7" w14:textId="77777777" w:rsidR="00372B60" w:rsidRPr="001B4A02" w:rsidRDefault="00372B60" w:rsidP="00A13869">
      <w:pPr>
        <w:pStyle w:val="EMEANormal"/>
        <w:keepNext/>
        <w:rPr>
          <w:del w:id="3953" w:author="AbbVie1" w:date="2025-05-13T09:50:00Z"/>
          <w:lang w:val="cs-CZ"/>
        </w:rPr>
      </w:pPr>
    </w:p>
    <w:p w14:paraId="61D07BB9" w14:textId="77777777" w:rsidR="00372B60" w:rsidRPr="001B4A02" w:rsidRDefault="00000000" w:rsidP="00ED48A3">
      <w:pPr>
        <w:pStyle w:val="EMEANormal"/>
        <w:rPr>
          <w:del w:id="3954" w:author="AbbVie1" w:date="2025-05-13T09:50:00Z"/>
          <w:lang w:val="cs-CZ"/>
        </w:rPr>
      </w:pPr>
      <w:del w:id="3955" w:author="AbbVie1" w:date="2025-05-13T09:50:00Z">
        <w:r w:rsidRPr="001B4A02">
          <w:rPr>
            <w:lang w:val="cs-CZ"/>
          </w:rPr>
          <w:delText xml:space="preserve">Doporučená </w:delText>
        </w:r>
        <w:r w:rsidR="00CF3348" w:rsidRPr="001B4A02">
          <w:rPr>
            <w:lang w:val="cs-CZ"/>
          </w:rPr>
          <w:delText>úvodní</w:delText>
        </w:r>
        <w:r w:rsidRPr="001B4A02">
          <w:rPr>
            <w:lang w:val="cs-CZ"/>
          </w:rPr>
          <w:delText xml:space="preserve"> dávka u</w:delText>
        </w:r>
        <w:r w:rsidR="00164B4F" w:rsidRPr="001B4A02">
          <w:rPr>
            <w:lang w:val="cs-CZ"/>
          </w:rPr>
          <w:delText> </w:delText>
        </w:r>
        <w:r w:rsidRPr="001B4A02">
          <w:rPr>
            <w:lang w:val="cs-CZ"/>
          </w:rPr>
          <w:delText>dospělých pacientů s</w:delText>
        </w:r>
        <w:r w:rsidR="00A9166E" w:rsidRPr="001B4A02">
          <w:rPr>
            <w:lang w:val="cs-CZ"/>
          </w:rPr>
          <w:delText> </w:delText>
        </w:r>
        <w:r w:rsidRPr="001B4A02">
          <w:rPr>
            <w:lang w:val="cs-CZ"/>
          </w:rPr>
          <w:delText>hidradenitis suppurativa (HS) je 160</w:delText>
        </w:r>
        <w:r w:rsidR="00294902">
          <w:rPr>
            <w:lang w:val="cs-CZ"/>
          </w:rPr>
          <w:delText> mg</w:delText>
        </w:r>
        <w:r w:rsidRPr="001B4A02">
          <w:rPr>
            <w:lang w:val="cs-CZ"/>
          </w:rPr>
          <w:delText xml:space="preserve"> ve dni 1 (podaná jako čtyři injekce 40</w:delText>
        </w:r>
        <w:r w:rsidR="00294902">
          <w:rPr>
            <w:lang w:val="cs-CZ"/>
          </w:rPr>
          <w:delText> mg</w:delText>
        </w:r>
        <w:r w:rsidRPr="001B4A02">
          <w:rPr>
            <w:lang w:val="cs-CZ"/>
          </w:rPr>
          <w:delText xml:space="preserve"> ve dni 1 nebo jako dvě injekce 40</w:delText>
        </w:r>
        <w:r w:rsidR="00294902">
          <w:rPr>
            <w:lang w:val="cs-CZ"/>
          </w:rPr>
          <w:delText> mg</w:delText>
        </w:r>
        <w:r w:rsidRPr="001B4A02">
          <w:rPr>
            <w:lang w:val="cs-CZ"/>
          </w:rPr>
          <w:delText xml:space="preserve"> denně po dva </w:delText>
        </w:r>
        <w:r w:rsidR="00670463" w:rsidRPr="001B4A02">
          <w:rPr>
            <w:lang w:val="cs-CZ"/>
          </w:rPr>
          <w:delText xml:space="preserve">po sobě </w:delText>
        </w:r>
        <w:r w:rsidR="00FE5873">
          <w:rPr>
            <w:lang w:val="cs-CZ"/>
          </w:rPr>
          <w:delText>jdoucí</w:delText>
        </w:r>
        <w:r w:rsidR="00FE5873" w:rsidRPr="001B4A02">
          <w:rPr>
            <w:lang w:val="cs-CZ"/>
          </w:rPr>
          <w:delText xml:space="preserve"> </w:delText>
        </w:r>
        <w:r w:rsidRPr="001B4A02">
          <w:rPr>
            <w:lang w:val="cs-CZ"/>
          </w:rPr>
          <w:delText>dny), následovaná za dva týdny dávkou 80</w:delText>
        </w:r>
        <w:r w:rsidR="00294902">
          <w:rPr>
            <w:lang w:val="cs-CZ"/>
          </w:rPr>
          <w:delText> mg</w:delText>
        </w:r>
        <w:r w:rsidRPr="001B4A02">
          <w:rPr>
            <w:lang w:val="cs-CZ"/>
          </w:rPr>
          <w:delText xml:space="preserve"> ve dni 15 (podanou jako dvě injekce 40</w:delText>
        </w:r>
        <w:r w:rsidR="00294902">
          <w:rPr>
            <w:lang w:val="cs-CZ"/>
          </w:rPr>
          <w:delText> mg</w:delText>
        </w:r>
        <w:r w:rsidRPr="001B4A02">
          <w:rPr>
            <w:lang w:val="cs-CZ"/>
          </w:rPr>
          <w:delText xml:space="preserve"> v</w:delText>
        </w:r>
        <w:r w:rsidR="00EF0AF7" w:rsidRPr="001B4A02">
          <w:rPr>
            <w:lang w:val="cs-CZ"/>
          </w:rPr>
          <w:delText> </w:delText>
        </w:r>
        <w:r w:rsidRPr="001B4A02">
          <w:rPr>
            <w:lang w:val="cs-CZ"/>
          </w:rPr>
          <w:delText>jednom dni). O</w:delText>
        </w:r>
        <w:r w:rsidR="00A9166E" w:rsidRPr="001B4A02">
          <w:rPr>
            <w:lang w:val="cs-CZ"/>
          </w:rPr>
          <w:delText> </w:delText>
        </w:r>
        <w:r w:rsidRPr="001B4A02">
          <w:rPr>
            <w:lang w:val="cs-CZ"/>
          </w:rPr>
          <w:delText>dva týdny později (den 29) se pokračuje dávkou 40</w:delText>
        </w:r>
        <w:r w:rsidR="00294902">
          <w:rPr>
            <w:lang w:val="cs-CZ"/>
          </w:rPr>
          <w:delText> mg</w:delText>
        </w:r>
        <w:r w:rsidR="00AC40EA" w:rsidRPr="001B4A02">
          <w:rPr>
            <w:lang w:val="cs-CZ"/>
          </w:rPr>
          <w:delText xml:space="preserve"> jednou</w:delText>
        </w:r>
        <w:r w:rsidRPr="001B4A02">
          <w:rPr>
            <w:lang w:val="cs-CZ"/>
          </w:rPr>
          <w:delText xml:space="preserve"> týdně</w:delText>
        </w:r>
        <w:r w:rsidR="00AA6666" w:rsidRPr="001B4A02">
          <w:rPr>
            <w:lang w:val="cs-CZ"/>
          </w:rPr>
          <w:delText xml:space="preserve"> nebo 80</w:delText>
        </w:r>
        <w:r w:rsidR="00294902">
          <w:rPr>
            <w:lang w:val="cs-CZ"/>
          </w:rPr>
          <w:delText> mg</w:delText>
        </w:r>
        <w:r w:rsidR="00AA6666" w:rsidRPr="001B4A02">
          <w:rPr>
            <w:lang w:val="cs-CZ"/>
          </w:rPr>
          <w:delText xml:space="preserve"> jednou za dva týdny (podanou jako dvě injekce 40</w:delText>
        </w:r>
        <w:r w:rsidR="00294902">
          <w:rPr>
            <w:lang w:val="cs-CZ"/>
          </w:rPr>
          <w:delText> mg</w:delText>
        </w:r>
        <w:r w:rsidR="00AA6666" w:rsidRPr="001B4A02">
          <w:rPr>
            <w:lang w:val="cs-CZ"/>
          </w:rPr>
          <w:delText xml:space="preserve"> v jednom dni)</w:delText>
        </w:r>
        <w:r w:rsidRPr="001B4A02">
          <w:rPr>
            <w:lang w:val="cs-CZ"/>
          </w:rPr>
          <w:delText xml:space="preserve">. Je-li to nutné, léčba antibiotiky může během léčby přípravkem Humira pokračovat. Pacientům se během léčby přípravkem Humira doporučuje provádět denně lokální antiseptické </w:delText>
        </w:r>
        <w:r w:rsidR="00495CF4" w:rsidRPr="001B4A02">
          <w:rPr>
            <w:lang w:val="cs-CZ"/>
          </w:rPr>
          <w:delText>ošetření</w:delText>
        </w:r>
        <w:r w:rsidRPr="001B4A02">
          <w:rPr>
            <w:lang w:val="cs-CZ"/>
          </w:rPr>
          <w:delText xml:space="preserve"> na místech s</w:delText>
        </w:r>
        <w:r w:rsidR="00A9166E" w:rsidRPr="001B4A02">
          <w:rPr>
            <w:lang w:val="cs-CZ"/>
          </w:rPr>
          <w:delText> </w:delText>
        </w:r>
        <w:r w:rsidRPr="001B4A02">
          <w:rPr>
            <w:lang w:val="cs-CZ"/>
          </w:rPr>
          <w:delText>HS léz</w:delText>
        </w:r>
        <w:r w:rsidR="000D4B6E" w:rsidRPr="001B4A02">
          <w:rPr>
            <w:lang w:val="cs-CZ"/>
          </w:rPr>
          <w:delText>emi</w:delText>
        </w:r>
        <w:r w:rsidRPr="001B4A02">
          <w:rPr>
            <w:lang w:val="cs-CZ"/>
          </w:rPr>
          <w:delText>.</w:delText>
        </w:r>
      </w:del>
    </w:p>
    <w:p w14:paraId="16275D53" w14:textId="77777777" w:rsidR="00372B60" w:rsidRPr="001B4A02" w:rsidRDefault="00372B60" w:rsidP="00ED48A3">
      <w:pPr>
        <w:pStyle w:val="EMEANormal"/>
        <w:rPr>
          <w:del w:id="3956" w:author="AbbVie1" w:date="2025-05-13T09:50:00Z"/>
          <w:lang w:val="cs-CZ"/>
        </w:rPr>
      </w:pPr>
    </w:p>
    <w:p w14:paraId="7F33E8F4" w14:textId="77777777" w:rsidR="00372B60" w:rsidRPr="001B4A02" w:rsidRDefault="00000000" w:rsidP="00ED48A3">
      <w:pPr>
        <w:pStyle w:val="EMEANormal"/>
        <w:rPr>
          <w:del w:id="3957" w:author="AbbVie1" w:date="2025-05-13T09:50:00Z"/>
          <w:lang w:val="cs-CZ"/>
        </w:rPr>
      </w:pPr>
      <w:del w:id="3958" w:author="AbbVie1" w:date="2025-05-13T09:50:00Z">
        <w:r w:rsidRPr="001B4A02">
          <w:rPr>
            <w:lang w:val="cs-CZ"/>
          </w:rPr>
          <w:delText>Pokračování léčby nad 12 týdnů by mělo být pečlivě</w:delText>
        </w:r>
        <w:r w:rsidR="0038091E" w:rsidRPr="001B4A02">
          <w:rPr>
            <w:lang w:val="cs-CZ"/>
          </w:rPr>
          <w:delText xml:space="preserve"> </w:delText>
        </w:r>
        <w:r w:rsidRPr="001B4A02">
          <w:rPr>
            <w:lang w:val="cs-CZ"/>
          </w:rPr>
          <w:delText>zváženo u</w:delText>
        </w:r>
        <w:r w:rsidR="00A9166E" w:rsidRPr="001B4A02">
          <w:rPr>
            <w:lang w:val="cs-CZ"/>
          </w:rPr>
          <w:delText> </w:delText>
        </w:r>
        <w:r w:rsidRPr="001B4A02">
          <w:rPr>
            <w:lang w:val="cs-CZ"/>
          </w:rPr>
          <w:delText>pacientů, u</w:delText>
        </w:r>
        <w:r w:rsidR="00A9166E" w:rsidRPr="001B4A02">
          <w:rPr>
            <w:lang w:val="cs-CZ"/>
          </w:rPr>
          <w:delText> </w:delText>
        </w:r>
        <w:r w:rsidRPr="001B4A02">
          <w:rPr>
            <w:lang w:val="cs-CZ"/>
          </w:rPr>
          <w:delText>kterých během tohoto období nedošlo k</w:delText>
        </w:r>
        <w:r w:rsidR="00B66B89" w:rsidRPr="001B4A02">
          <w:rPr>
            <w:lang w:val="cs-CZ"/>
          </w:rPr>
          <w:delText> </w:delText>
        </w:r>
        <w:r w:rsidRPr="001B4A02">
          <w:rPr>
            <w:lang w:val="cs-CZ"/>
          </w:rPr>
          <w:delText xml:space="preserve">žádnému zlepšení. </w:delText>
        </w:r>
      </w:del>
    </w:p>
    <w:p w14:paraId="057CD480" w14:textId="77777777" w:rsidR="0038091E" w:rsidRPr="001B4A02" w:rsidRDefault="0038091E" w:rsidP="00ED48A3">
      <w:pPr>
        <w:pStyle w:val="EMEANormal"/>
        <w:rPr>
          <w:del w:id="3959" w:author="AbbVie1" w:date="2025-05-13T09:50:00Z"/>
          <w:lang w:val="cs-CZ"/>
        </w:rPr>
      </w:pPr>
    </w:p>
    <w:p w14:paraId="20F0EFB8" w14:textId="77777777" w:rsidR="0038091E" w:rsidRPr="001B4A02" w:rsidRDefault="00000000" w:rsidP="00ED48A3">
      <w:pPr>
        <w:pStyle w:val="EMEANormal"/>
        <w:tabs>
          <w:tab w:val="clear" w:pos="562"/>
        </w:tabs>
        <w:suppressAutoHyphens w:val="0"/>
        <w:rPr>
          <w:del w:id="3960" w:author="AbbVie1" w:date="2025-05-13T09:50:00Z"/>
          <w:lang w:val="cs-CZ"/>
        </w:rPr>
      </w:pPr>
      <w:del w:id="3961" w:author="AbbVie1" w:date="2025-05-13T09:50:00Z">
        <w:r w:rsidRPr="001B4A02">
          <w:rPr>
            <w:lang w:val="cs-CZ"/>
          </w:rPr>
          <w:delText>Pokud je třeba léčbu přerušit, lze ji znovu zahájit dávkou přípravku Humira 40</w:delText>
        </w:r>
        <w:r w:rsidR="00294902">
          <w:rPr>
            <w:lang w:val="cs-CZ"/>
          </w:rPr>
          <w:delText> mg</w:delText>
        </w:r>
        <w:r w:rsidR="00AC40EA" w:rsidRPr="001B4A02">
          <w:rPr>
            <w:lang w:val="cs-CZ"/>
          </w:rPr>
          <w:delText xml:space="preserve"> jednou</w:delText>
        </w:r>
        <w:r w:rsidRPr="001B4A02">
          <w:rPr>
            <w:lang w:val="cs-CZ"/>
          </w:rPr>
          <w:delText xml:space="preserve"> týdně</w:delText>
        </w:r>
        <w:r w:rsidR="00AA6666" w:rsidRPr="001B4A02">
          <w:rPr>
            <w:lang w:val="cs-CZ"/>
          </w:rPr>
          <w:delText xml:space="preserve"> nebo 80</w:delText>
        </w:r>
        <w:r w:rsidR="00294902">
          <w:rPr>
            <w:lang w:val="cs-CZ"/>
          </w:rPr>
          <w:delText> mg</w:delText>
        </w:r>
        <w:r w:rsidR="00AA6666" w:rsidRPr="001B4A02">
          <w:rPr>
            <w:lang w:val="cs-CZ"/>
          </w:rPr>
          <w:delText xml:space="preserve"> jednou za dva týdny</w:delText>
        </w:r>
        <w:r w:rsidRPr="001B4A02">
          <w:rPr>
            <w:lang w:val="cs-CZ"/>
          </w:rPr>
          <w:delText xml:space="preserve"> (viz bod 5.1).</w:delText>
        </w:r>
      </w:del>
    </w:p>
    <w:p w14:paraId="562928AE" w14:textId="77777777" w:rsidR="0038091E" w:rsidRPr="001B4A02" w:rsidRDefault="0038091E" w:rsidP="00ED48A3">
      <w:pPr>
        <w:pStyle w:val="EMEANormal"/>
        <w:tabs>
          <w:tab w:val="clear" w:pos="562"/>
        </w:tabs>
        <w:suppressAutoHyphens w:val="0"/>
        <w:rPr>
          <w:del w:id="3962" w:author="AbbVie1" w:date="2025-05-13T09:50:00Z"/>
          <w:lang w:val="cs-CZ"/>
        </w:rPr>
      </w:pPr>
    </w:p>
    <w:p w14:paraId="040A75F4" w14:textId="77777777" w:rsidR="00372B60" w:rsidRPr="001B4A02" w:rsidRDefault="00000000" w:rsidP="00ED48A3">
      <w:pPr>
        <w:pStyle w:val="EMEANormal"/>
        <w:tabs>
          <w:tab w:val="clear" w:pos="562"/>
        </w:tabs>
        <w:suppressAutoHyphens w:val="0"/>
        <w:rPr>
          <w:del w:id="3963" w:author="AbbVie1" w:date="2025-05-13T09:50:00Z"/>
          <w:lang w:val="cs-CZ"/>
        </w:rPr>
      </w:pPr>
      <w:del w:id="3964" w:author="AbbVie1" w:date="2025-05-13T09:50:00Z">
        <w:r w:rsidRPr="001B4A02">
          <w:rPr>
            <w:lang w:val="cs-CZ"/>
          </w:rPr>
          <w:delText>Přínos</w:delText>
        </w:r>
        <w:r w:rsidR="002378E0">
          <w:rPr>
            <w:lang w:val="cs-CZ"/>
          </w:rPr>
          <w:delText xml:space="preserve"> a </w:delText>
        </w:r>
        <w:r w:rsidRPr="001B4A02">
          <w:rPr>
            <w:lang w:val="cs-CZ"/>
          </w:rPr>
          <w:delText xml:space="preserve">rizika </w:delText>
        </w:r>
        <w:r w:rsidR="00670463" w:rsidRPr="001B4A02">
          <w:rPr>
            <w:lang w:val="cs-CZ"/>
          </w:rPr>
          <w:delText xml:space="preserve">nepřetržité </w:delText>
        </w:r>
        <w:r w:rsidRPr="001B4A02">
          <w:rPr>
            <w:lang w:val="cs-CZ"/>
          </w:rPr>
          <w:delText>dlouhodobé léčby mají být pravidelně přehodnocován</w:delText>
        </w:r>
        <w:r w:rsidR="00161F6C" w:rsidRPr="001B4A02">
          <w:rPr>
            <w:lang w:val="cs-CZ"/>
          </w:rPr>
          <w:delText>y</w:delText>
        </w:r>
        <w:r w:rsidRPr="001B4A02">
          <w:rPr>
            <w:lang w:val="cs-CZ"/>
          </w:rPr>
          <w:delText xml:space="preserve"> (viz bod 5.1).</w:delText>
        </w:r>
      </w:del>
    </w:p>
    <w:p w14:paraId="205BC3D8" w14:textId="77777777" w:rsidR="00106DD5" w:rsidRPr="001B4A02" w:rsidRDefault="00106DD5" w:rsidP="00ED48A3">
      <w:pPr>
        <w:pStyle w:val="EMEANormal"/>
        <w:tabs>
          <w:tab w:val="clear" w:pos="562"/>
          <w:tab w:val="left" w:pos="708"/>
        </w:tabs>
        <w:suppressAutoHyphens w:val="0"/>
        <w:rPr>
          <w:del w:id="3965" w:author="AbbVie1" w:date="2025-05-13T09:50:00Z"/>
          <w:i/>
          <w:lang w:val="cs-CZ"/>
        </w:rPr>
      </w:pPr>
    </w:p>
    <w:p w14:paraId="7B7503C4" w14:textId="77777777" w:rsidR="00AA6666" w:rsidRPr="001B4A02" w:rsidRDefault="00000000" w:rsidP="00AA6666">
      <w:pPr>
        <w:ind w:left="0" w:firstLine="0"/>
        <w:rPr>
          <w:del w:id="3966" w:author="AbbVie1" w:date="2025-05-13T09:50:00Z"/>
        </w:rPr>
      </w:pPr>
      <w:del w:id="3967" w:author="AbbVie1" w:date="2025-05-13T09:50:00Z">
        <w:r w:rsidRPr="001B4A02">
          <w:delText xml:space="preserve">Přípravek Humira je k dispozici v dalších silách a/nebo </w:delText>
        </w:r>
        <w:r w:rsidR="00A43DB3">
          <w:delText>typech balení</w:delText>
        </w:r>
        <w:r w:rsidRPr="001B4A02">
          <w:delText xml:space="preserve"> v závislosti na individuálních potřebách léčby.</w:delText>
        </w:r>
      </w:del>
    </w:p>
    <w:p w14:paraId="531E6F49" w14:textId="77777777" w:rsidR="00AA6666" w:rsidRPr="001B4A02" w:rsidRDefault="00AA6666" w:rsidP="00ED48A3">
      <w:pPr>
        <w:pStyle w:val="EMEANormal"/>
        <w:tabs>
          <w:tab w:val="clear" w:pos="562"/>
          <w:tab w:val="left" w:pos="708"/>
        </w:tabs>
        <w:suppressAutoHyphens w:val="0"/>
        <w:rPr>
          <w:del w:id="3968" w:author="AbbVie1" w:date="2025-05-13T09:50:00Z"/>
          <w:i/>
          <w:lang w:val="cs-CZ"/>
        </w:rPr>
      </w:pPr>
    </w:p>
    <w:p w14:paraId="51A031BD" w14:textId="77777777" w:rsidR="00073F8F" w:rsidRPr="001B4A02" w:rsidRDefault="00000000" w:rsidP="00DA73B0">
      <w:pPr>
        <w:pStyle w:val="EMEANormal"/>
        <w:keepNext/>
        <w:tabs>
          <w:tab w:val="clear" w:pos="562"/>
          <w:tab w:val="left" w:pos="708"/>
        </w:tabs>
        <w:suppressAutoHyphens w:val="0"/>
        <w:rPr>
          <w:del w:id="3969" w:author="AbbVie1" w:date="2025-05-13T09:50:00Z"/>
          <w:i/>
          <w:lang w:val="cs-CZ"/>
        </w:rPr>
      </w:pPr>
      <w:del w:id="3970" w:author="AbbVie1" w:date="2025-05-13T09:50:00Z">
        <w:r w:rsidRPr="001B4A02">
          <w:rPr>
            <w:i/>
            <w:lang w:val="cs-CZ"/>
          </w:rPr>
          <w:delText>Crohnova choroba</w:delText>
        </w:r>
      </w:del>
    </w:p>
    <w:p w14:paraId="09A100EC" w14:textId="77777777" w:rsidR="00073F8F" w:rsidRPr="001B4A02" w:rsidRDefault="00073F8F" w:rsidP="00DA73B0">
      <w:pPr>
        <w:pStyle w:val="EMEANormal"/>
        <w:keepNext/>
        <w:tabs>
          <w:tab w:val="clear" w:pos="562"/>
          <w:tab w:val="left" w:pos="708"/>
        </w:tabs>
        <w:suppressAutoHyphens w:val="0"/>
        <w:rPr>
          <w:del w:id="3971" w:author="AbbVie1" w:date="2025-05-13T09:50:00Z"/>
          <w:lang w:val="cs-CZ"/>
        </w:rPr>
      </w:pPr>
    </w:p>
    <w:p w14:paraId="00AD085F" w14:textId="77777777" w:rsidR="00073F8F" w:rsidRPr="001B4A02" w:rsidRDefault="00000000" w:rsidP="00ED48A3">
      <w:pPr>
        <w:pStyle w:val="EMEANormal"/>
        <w:tabs>
          <w:tab w:val="clear" w:pos="562"/>
          <w:tab w:val="left" w:pos="708"/>
        </w:tabs>
        <w:suppressAutoHyphens w:val="0"/>
        <w:rPr>
          <w:del w:id="3972" w:author="AbbVie1" w:date="2025-05-13T09:50:00Z"/>
          <w:lang w:val="cs-CZ"/>
        </w:rPr>
      </w:pPr>
      <w:del w:id="3973" w:author="AbbVie1" w:date="2025-05-13T09:50:00Z">
        <w:r w:rsidRPr="001B4A02">
          <w:rPr>
            <w:lang w:val="cs-CZ"/>
          </w:rPr>
          <w:delText>Doporučená úvodní dávka přípravku Humira u dospělých pacientů s</w:delText>
        </w:r>
        <w:r w:rsidR="00302A46" w:rsidRPr="001B4A02">
          <w:rPr>
            <w:lang w:val="cs-CZ"/>
          </w:rPr>
          <w:delText>e</w:delText>
        </w:r>
        <w:r w:rsidRPr="001B4A02">
          <w:rPr>
            <w:lang w:val="cs-CZ"/>
          </w:rPr>
          <w:delText> </w:delText>
        </w:r>
        <w:r w:rsidR="00302A46" w:rsidRPr="001B4A02">
          <w:rPr>
            <w:lang w:val="cs-CZ"/>
          </w:rPr>
          <w:delText xml:space="preserve">středně těžkou až </w:delText>
        </w:r>
        <w:r w:rsidRPr="001B4A02">
          <w:rPr>
            <w:lang w:val="cs-CZ"/>
          </w:rPr>
          <w:delText xml:space="preserve">těžkou </w:delText>
        </w:r>
        <w:r w:rsidR="00302A46" w:rsidRPr="001B4A02">
          <w:rPr>
            <w:lang w:val="cs-CZ"/>
          </w:rPr>
          <w:delText xml:space="preserve">aktivní </w:delText>
        </w:r>
        <w:r w:rsidRPr="001B4A02">
          <w:rPr>
            <w:lang w:val="cs-CZ"/>
          </w:rPr>
          <w:delText>Crohnovou chorobou je 80</w:delText>
        </w:r>
        <w:r w:rsidR="00294902">
          <w:rPr>
            <w:lang w:val="cs-CZ"/>
          </w:rPr>
          <w:delText> mg</w:delText>
        </w:r>
        <w:r w:rsidRPr="001B4A02">
          <w:rPr>
            <w:lang w:val="cs-CZ"/>
          </w:rPr>
          <w:delText xml:space="preserve"> v týdnu 0, dále pak 40</w:delText>
        </w:r>
        <w:r w:rsidR="00294902">
          <w:rPr>
            <w:lang w:val="cs-CZ"/>
          </w:rPr>
          <w:delText> mg</w:delText>
        </w:r>
        <w:r w:rsidRPr="001B4A02">
          <w:rPr>
            <w:lang w:val="cs-CZ"/>
          </w:rPr>
          <w:delText xml:space="preserve"> v týdnu 2. V případě nutnosti rychlejšího nástupu odpovědi na lé</w:delText>
        </w:r>
        <w:r w:rsidR="008140FF" w:rsidRPr="001B4A02">
          <w:rPr>
            <w:lang w:val="cs-CZ"/>
          </w:rPr>
          <w:delText>č</w:delText>
        </w:r>
        <w:r w:rsidRPr="001B4A02">
          <w:rPr>
            <w:lang w:val="cs-CZ"/>
          </w:rPr>
          <w:delText xml:space="preserve">bu je možno </w:delText>
        </w:r>
        <w:r w:rsidR="00A507B3" w:rsidRPr="001B4A02">
          <w:rPr>
            <w:lang w:val="cs-CZ"/>
          </w:rPr>
          <w:delText>po</w:delText>
        </w:r>
        <w:r w:rsidRPr="001B4A02">
          <w:rPr>
            <w:lang w:val="cs-CZ"/>
          </w:rPr>
          <w:delText>užít dávkovací schéma se 160</w:delText>
        </w:r>
        <w:r w:rsidR="00294902">
          <w:rPr>
            <w:lang w:val="cs-CZ"/>
          </w:rPr>
          <w:delText> mg</w:delText>
        </w:r>
        <w:r w:rsidRPr="001B4A02">
          <w:rPr>
            <w:lang w:val="cs-CZ"/>
          </w:rPr>
          <w:delText xml:space="preserve"> v týdnu 0 (</w:delText>
        </w:r>
        <w:r w:rsidR="00AA6666" w:rsidRPr="001B4A02">
          <w:rPr>
            <w:lang w:val="cs-CZ"/>
          </w:rPr>
          <w:delText>podáno</w:delText>
        </w:r>
        <w:r w:rsidRPr="001B4A02">
          <w:rPr>
            <w:lang w:val="cs-CZ"/>
          </w:rPr>
          <w:delText xml:space="preserve"> jako </w:delText>
        </w:r>
        <w:r w:rsidR="00337035" w:rsidRPr="001B4A02">
          <w:rPr>
            <w:lang w:val="cs-CZ"/>
          </w:rPr>
          <w:delText xml:space="preserve">čtyři </w:delText>
        </w:r>
        <w:r w:rsidRPr="001B4A02">
          <w:rPr>
            <w:lang w:val="cs-CZ"/>
          </w:rPr>
          <w:delText>injekce</w:delText>
        </w:r>
        <w:r w:rsidR="00AA6666" w:rsidRPr="001B4A02">
          <w:rPr>
            <w:lang w:val="cs-CZ"/>
          </w:rPr>
          <w:delText xml:space="preserve"> 40</w:delText>
        </w:r>
        <w:r w:rsidR="00294902">
          <w:rPr>
            <w:lang w:val="cs-CZ"/>
          </w:rPr>
          <w:delText> mg</w:delText>
        </w:r>
        <w:r w:rsidRPr="001B4A02">
          <w:rPr>
            <w:lang w:val="cs-CZ"/>
          </w:rPr>
          <w:delText xml:space="preserve"> v jednom dni nebo dvě injekce </w:delText>
        </w:r>
        <w:r w:rsidR="00AA6666" w:rsidRPr="001B4A02">
          <w:rPr>
            <w:lang w:val="cs-CZ"/>
          </w:rPr>
          <w:delText>40</w:delText>
        </w:r>
        <w:r w:rsidR="00294902">
          <w:rPr>
            <w:lang w:val="cs-CZ"/>
          </w:rPr>
          <w:delText> mg</w:delText>
        </w:r>
        <w:r w:rsidR="00AA6666" w:rsidRPr="001B4A02">
          <w:rPr>
            <w:lang w:val="cs-CZ"/>
          </w:rPr>
          <w:delText xml:space="preserve"> </w:delText>
        </w:r>
        <w:r w:rsidRPr="001B4A02">
          <w:rPr>
            <w:lang w:val="cs-CZ"/>
          </w:rPr>
          <w:delText>za den ve dvou následujících dnech)</w:delText>
        </w:r>
        <w:r w:rsidR="002378E0">
          <w:rPr>
            <w:lang w:val="cs-CZ"/>
          </w:rPr>
          <w:delText xml:space="preserve"> a </w:delText>
        </w:r>
        <w:r w:rsidR="00673B39">
          <w:rPr>
            <w:lang w:val="cs-CZ"/>
          </w:rPr>
          <w:delText xml:space="preserve">poté </w:delText>
        </w:r>
        <w:r w:rsidRPr="001B4A02">
          <w:rPr>
            <w:lang w:val="cs-CZ"/>
          </w:rPr>
          <w:delText>80</w:delText>
        </w:r>
        <w:r w:rsidR="00294902">
          <w:rPr>
            <w:lang w:val="cs-CZ"/>
          </w:rPr>
          <w:delText> mg</w:delText>
        </w:r>
        <w:r w:rsidRPr="001B4A02">
          <w:rPr>
            <w:lang w:val="cs-CZ"/>
          </w:rPr>
          <w:delText xml:space="preserve"> v týdnu 2</w:delText>
        </w:r>
        <w:r w:rsidR="00AA6666" w:rsidRPr="001B4A02">
          <w:rPr>
            <w:lang w:val="cs-CZ"/>
          </w:rPr>
          <w:delText xml:space="preserve"> (podáno jako dvě injekce 40</w:delText>
        </w:r>
        <w:r w:rsidR="00294902">
          <w:rPr>
            <w:lang w:val="cs-CZ"/>
          </w:rPr>
          <w:delText> mg</w:delText>
        </w:r>
        <w:r w:rsidR="00AA6666" w:rsidRPr="001B4A02">
          <w:rPr>
            <w:lang w:val="cs-CZ"/>
          </w:rPr>
          <w:delText xml:space="preserve"> v jednom dni)</w:delText>
        </w:r>
        <w:r w:rsidRPr="001B4A02">
          <w:rPr>
            <w:lang w:val="cs-CZ"/>
          </w:rPr>
          <w:delText>, je však nutno si uvědomit vyšší riziko nežádoucích účinků, které při z</w:delText>
        </w:r>
        <w:r w:rsidR="008140FF" w:rsidRPr="001B4A02">
          <w:rPr>
            <w:lang w:val="cs-CZ"/>
          </w:rPr>
          <w:delText>a</w:delText>
        </w:r>
        <w:r w:rsidRPr="001B4A02">
          <w:rPr>
            <w:lang w:val="cs-CZ"/>
          </w:rPr>
          <w:delText>hájení léčby hrozí.</w:delText>
        </w:r>
      </w:del>
    </w:p>
    <w:p w14:paraId="0926E58E" w14:textId="77777777" w:rsidR="00073F8F" w:rsidRPr="001B4A02" w:rsidRDefault="00073F8F" w:rsidP="00ED48A3">
      <w:pPr>
        <w:pStyle w:val="EMEANormal"/>
        <w:tabs>
          <w:tab w:val="clear" w:pos="562"/>
          <w:tab w:val="left" w:pos="708"/>
        </w:tabs>
        <w:suppressAutoHyphens w:val="0"/>
        <w:rPr>
          <w:del w:id="3974" w:author="AbbVie1" w:date="2025-05-13T09:50:00Z"/>
          <w:lang w:val="cs-CZ"/>
        </w:rPr>
      </w:pPr>
    </w:p>
    <w:p w14:paraId="34411F2D" w14:textId="77777777" w:rsidR="00073F8F" w:rsidRPr="001B4A02" w:rsidRDefault="00000000" w:rsidP="00ED48A3">
      <w:pPr>
        <w:pStyle w:val="EMEANormal"/>
        <w:tabs>
          <w:tab w:val="clear" w:pos="562"/>
          <w:tab w:val="left" w:pos="708"/>
        </w:tabs>
        <w:suppressAutoHyphens w:val="0"/>
        <w:rPr>
          <w:del w:id="3975" w:author="AbbVie1" w:date="2025-05-13T09:50:00Z"/>
          <w:lang w:val="cs-CZ"/>
        </w:rPr>
      </w:pPr>
      <w:del w:id="3976" w:author="AbbVie1" w:date="2025-05-13T09:50:00Z">
        <w:r w:rsidRPr="001B4A02">
          <w:rPr>
            <w:lang w:val="cs-CZ"/>
          </w:rPr>
          <w:delText xml:space="preserve">Po zahájení léčby je doporučená dávka 40 mg každé dva týdny, podávané subkutánní injekcí. Také v případě, kdy pacient </w:delText>
        </w:r>
        <w:r w:rsidR="0051758E" w:rsidRPr="001B4A02">
          <w:rPr>
            <w:lang w:val="cs-CZ"/>
          </w:rPr>
          <w:delText>po</w:delText>
        </w:r>
        <w:r w:rsidRPr="001B4A02">
          <w:rPr>
            <w:lang w:val="cs-CZ"/>
          </w:rPr>
          <w:delText>užívání přípravku Humira ukončil</w:delText>
        </w:r>
        <w:r w:rsidR="002378E0">
          <w:rPr>
            <w:lang w:val="cs-CZ"/>
          </w:rPr>
          <w:delText xml:space="preserve"> a </w:delText>
        </w:r>
        <w:r w:rsidRPr="001B4A02">
          <w:rPr>
            <w:lang w:val="cs-CZ"/>
          </w:rPr>
          <w:delText>příznaky</w:delText>
        </w:r>
        <w:r w:rsidR="002378E0">
          <w:rPr>
            <w:lang w:val="cs-CZ"/>
          </w:rPr>
          <w:delText xml:space="preserve"> a </w:delText>
        </w:r>
        <w:r w:rsidRPr="001B4A02">
          <w:rPr>
            <w:lang w:val="cs-CZ"/>
          </w:rPr>
          <w:delText xml:space="preserve">projevy nemoci se objeví znova, může být přípravek Humira opětovně nasazen. Zkušenost se znovunasazením léčby po více než 8 týdnech od předchozí dávky je omezená. </w:delText>
        </w:r>
      </w:del>
    </w:p>
    <w:p w14:paraId="4155D53B" w14:textId="77777777" w:rsidR="00A0797D" w:rsidRPr="001B4A02" w:rsidRDefault="00A0797D" w:rsidP="00ED48A3">
      <w:pPr>
        <w:pStyle w:val="EMEANormal"/>
        <w:tabs>
          <w:tab w:val="clear" w:pos="562"/>
          <w:tab w:val="left" w:pos="708"/>
        </w:tabs>
        <w:suppressAutoHyphens w:val="0"/>
        <w:rPr>
          <w:del w:id="3977" w:author="AbbVie1" w:date="2025-05-13T09:50:00Z"/>
          <w:lang w:val="cs-CZ"/>
        </w:rPr>
      </w:pPr>
    </w:p>
    <w:p w14:paraId="14E20C65" w14:textId="77777777" w:rsidR="00073F8F" w:rsidRPr="001B4A02" w:rsidRDefault="00000000" w:rsidP="00ED48A3">
      <w:pPr>
        <w:pStyle w:val="EMEANormal"/>
        <w:tabs>
          <w:tab w:val="clear" w:pos="562"/>
          <w:tab w:val="left" w:pos="708"/>
        </w:tabs>
        <w:suppressAutoHyphens w:val="0"/>
        <w:rPr>
          <w:del w:id="3978" w:author="AbbVie1" w:date="2025-05-13T09:50:00Z"/>
          <w:lang w:val="cs-CZ"/>
        </w:rPr>
      </w:pPr>
      <w:del w:id="3979" w:author="AbbVie1" w:date="2025-05-13T09:50:00Z">
        <w:r w:rsidRPr="001B4A02">
          <w:rPr>
            <w:lang w:val="cs-CZ"/>
          </w:rPr>
          <w:delText>V průběhu udržovací léčby by měly být dávky kortikosteroidů postupně snižovány ve shodě se zavedenými postupy klinické praxe.</w:delText>
        </w:r>
      </w:del>
    </w:p>
    <w:p w14:paraId="3F02334B" w14:textId="77777777" w:rsidR="00A0797D" w:rsidRPr="001B4A02" w:rsidRDefault="00A0797D" w:rsidP="00ED48A3">
      <w:pPr>
        <w:pStyle w:val="EMEANormal"/>
        <w:tabs>
          <w:tab w:val="clear" w:pos="562"/>
          <w:tab w:val="left" w:pos="708"/>
        </w:tabs>
        <w:suppressAutoHyphens w:val="0"/>
        <w:rPr>
          <w:del w:id="3980" w:author="AbbVie1" w:date="2025-05-13T09:50:00Z"/>
          <w:lang w:val="cs-CZ"/>
        </w:rPr>
      </w:pPr>
    </w:p>
    <w:p w14:paraId="52768B5A" w14:textId="77777777" w:rsidR="00073F8F" w:rsidRPr="001B4A02" w:rsidRDefault="00000000" w:rsidP="00ED48A3">
      <w:pPr>
        <w:pStyle w:val="EMEANormal"/>
        <w:tabs>
          <w:tab w:val="clear" w:pos="562"/>
          <w:tab w:val="left" w:pos="708"/>
        </w:tabs>
        <w:suppressAutoHyphens w:val="0"/>
        <w:rPr>
          <w:del w:id="3981" w:author="AbbVie1" w:date="2025-05-13T09:50:00Z"/>
          <w:lang w:val="cs-CZ"/>
        </w:rPr>
      </w:pPr>
      <w:del w:id="3982" w:author="AbbVie1" w:date="2025-05-13T09:50:00Z">
        <w:r w:rsidRPr="001B4A02">
          <w:rPr>
            <w:lang w:val="cs-CZ"/>
          </w:rPr>
          <w:delText xml:space="preserve">Někteří </w:delText>
        </w:r>
        <w:r w:rsidR="00C03E1F" w:rsidRPr="001B4A02">
          <w:rPr>
            <w:lang w:val="cs-CZ"/>
          </w:rPr>
          <w:delText>pacienti</w:delText>
        </w:r>
        <w:r w:rsidRPr="001B4A02">
          <w:rPr>
            <w:lang w:val="cs-CZ"/>
          </w:rPr>
          <w:delText>, u</w:delText>
        </w:r>
        <w:r w:rsidR="00164B4F" w:rsidRPr="001B4A02">
          <w:rPr>
            <w:lang w:val="cs-CZ"/>
          </w:rPr>
          <w:delText> </w:delText>
        </w:r>
        <w:r w:rsidRPr="001B4A02">
          <w:rPr>
            <w:lang w:val="cs-CZ"/>
          </w:rPr>
          <w:delText>kterých dojde k poklesu odpovědi na léčbu</w:delText>
        </w:r>
        <w:r w:rsidR="00AA6666" w:rsidRPr="001B4A02">
          <w:rPr>
            <w:lang w:val="cs-CZ"/>
          </w:rPr>
          <w:delText xml:space="preserve"> přípravkem Humira 40</w:delText>
        </w:r>
        <w:r w:rsidR="00294902">
          <w:rPr>
            <w:lang w:val="cs-CZ"/>
          </w:rPr>
          <w:delText> mg</w:delText>
        </w:r>
        <w:r w:rsidR="00AA6666" w:rsidRPr="001B4A02">
          <w:rPr>
            <w:lang w:val="cs-CZ"/>
          </w:rPr>
          <w:delText xml:space="preserve"> jednou za dva týdny</w:delText>
        </w:r>
        <w:r w:rsidRPr="001B4A02">
          <w:rPr>
            <w:lang w:val="cs-CZ"/>
          </w:rPr>
          <w:delText xml:space="preserve">, mohou profitovat ze zvýšení </w:delText>
        </w:r>
        <w:r w:rsidR="00840619" w:rsidRPr="00BB1FE9">
          <w:rPr>
            <w:lang w:val="cs-CZ"/>
          </w:rPr>
          <w:delText>dávkování</w:delText>
        </w:r>
        <w:r w:rsidR="00840619" w:rsidRPr="0067459F">
          <w:rPr>
            <w:lang w:val="cs-CZ"/>
          </w:rPr>
          <w:delText xml:space="preserve"> </w:delText>
        </w:r>
        <w:r w:rsidRPr="0067459F">
          <w:rPr>
            <w:lang w:val="cs-CZ"/>
          </w:rPr>
          <w:delText>na</w:delText>
        </w:r>
        <w:r w:rsidRPr="001B4A02">
          <w:rPr>
            <w:lang w:val="cs-CZ"/>
          </w:rPr>
          <w:delText xml:space="preserve"> 40</w:delText>
        </w:r>
        <w:r w:rsidR="00294902">
          <w:rPr>
            <w:lang w:val="cs-CZ"/>
          </w:rPr>
          <w:delText> mg</w:delText>
        </w:r>
        <w:r w:rsidRPr="001B4A02">
          <w:rPr>
            <w:lang w:val="cs-CZ"/>
          </w:rPr>
          <w:delText xml:space="preserve"> přípravku Humira každý týden</w:delText>
        </w:r>
        <w:r w:rsidR="00AA6666" w:rsidRPr="001B4A02">
          <w:rPr>
            <w:lang w:val="cs-CZ"/>
          </w:rPr>
          <w:delText xml:space="preserve"> nebo 80</w:delText>
        </w:r>
        <w:r w:rsidR="00294902">
          <w:rPr>
            <w:lang w:val="cs-CZ"/>
          </w:rPr>
          <w:delText> mg</w:delText>
        </w:r>
        <w:r w:rsidR="00AA6666" w:rsidRPr="001B4A02">
          <w:rPr>
            <w:lang w:val="cs-CZ"/>
          </w:rPr>
          <w:delText xml:space="preserve"> jednou za dva týdny</w:delText>
        </w:r>
        <w:r w:rsidRPr="001B4A02">
          <w:rPr>
            <w:lang w:val="cs-CZ"/>
          </w:rPr>
          <w:delText>.</w:delText>
        </w:r>
      </w:del>
    </w:p>
    <w:p w14:paraId="28CCE3FF" w14:textId="77777777" w:rsidR="00073F8F" w:rsidRPr="001B4A02" w:rsidRDefault="00073F8F" w:rsidP="00ED48A3">
      <w:pPr>
        <w:pStyle w:val="EMEANormal"/>
        <w:tabs>
          <w:tab w:val="clear" w:pos="562"/>
          <w:tab w:val="left" w:pos="708"/>
        </w:tabs>
        <w:suppressAutoHyphens w:val="0"/>
        <w:rPr>
          <w:del w:id="3983" w:author="AbbVie1" w:date="2025-05-13T09:50:00Z"/>
          <w:lang w:val="cs-CZ"/>
        </w:rPr>
      </w:pPr>
    </w:p>
    <w:p w14:paraId="5753817B" w14:textId="77777777" w:rsidR="00073F8F" w:rsidRPr="001B4A02" w:rsidRDefault="00000000" w:rsidP="00ED48A3">
      <w:pPr>
        <w:pStyle w:val="EMEANormal"/>
        <w:tabs>
          <w:tab w:val="clear" w:pos="562"/>
          <w:tab w:val="left" w:pos="708"/>
        </w:tabs>
        <w:suppressAutoHyphens w:val="0"/>
        <w:rPr>
          <w:del w:id="3984" w:author="AbbVie1" w:date="2025-05-13T09:50:00Z"/>
          <w:lang w:val="cs-CZ"/>
        </w:rPr>
      </w:pPr>
      <w:del w:id="3985" w:author="AbbVie1" w:date="2025-05-13T09:50:00Z">
        <w:r w:rsidRPr="001B4A02">
          <w:rPr>
            <w:lang w:val="cs-CZ"/>
          </w:rPr>
          <w:delText>Někteří pacienti, u</w:delText>
        </w:r>
        <w:r w:rsidR="00164B4F" w:rsidRPr="001B4A02">
          <w:rPr>
            <w:lang w:val="cs-CZ"/>
          </w:rPr>
          <w:delText> </w:delText>
        </w:r>
        <w:r w:rsidRPr="001B4A02">
          <w:rPr>
            <w:lang w:val="cs-CZ"/>
          </w:rPr>
          <w:delText>nichž se odpověď na léčbu nerozvinula do týdne 4, mohou profitovat, pokud v udržovací léčbě pokračují až do týdne 12. U</w:delText>
        </w:r>
        <w:r w:rsidR="00164B4F" w:rsidRPr="001B4A02">
          <w:rPr>
            <w:lang w:val="cs-CZ"/>
          </w:rPr>
          <w:delText> </w:delText>
        </w:r>
        <w:r w:rsidRPr="001B4A02">
          <w:rPr>
            <w:lang w:val="cs-CZ"/>
          </w:rPr>
          <w:delText>pacientů, u</w:delText>
        </w:r>
        <w:r w:rsidR="00164B4F" w:rsidRPr="001B4A02">
          <w:rPr>
            <w:lang w:val="cs-CZ"/>
          </w:rPr>
          <w:delText> </w:delText>
        </w:r>
        <w:r w:rsidRPr="001B4A02">
          <w:rPr>
            <w:lang w:val="cs-CZ"/>
          </w:rPr>
          <w:delText>kterých se v průběhu tohoto období odpověď na léčbu nerozvine, musí být další pokračování v léčbě pečlivě zváženo.</w:delText>
        </w:r>
      </w:del>
    </w:p>
    <w:p w14:paraId="399B2F57" w14:textId="77777777" w:rsidR="00073F8F" w:rsidRPr="001B4A02" w:rsidRDefault="00073F8F" w:rsidP="00ED48A3">
      <w:pPr>
        <w:ind w:left="0" w:firstLine="0"/>
        <w:rPr>
          <w:del w:id="3986" w:author="AbbVie1" w:date="2025-05-13T09:50:00Z"/>
          <w:u w:val="single"/>
        </w:rPr>
      </w:pPr>
    </w:p>
    <w:p w14:paraId="1173E66A" w14:textId="77777777" w:rsidR="00AA6666" w:rsidRPr="001B4A02" w:rsidRDefault="00000000" w:rsidP="00AA6666">
      <w:pPr>
        <w:ind w:left="0" w:firstLine="0"/>
        <w:rPr>
          <w:del w:id="3987" w:author="AbbVie1" w:date="2025-05-13T09:50:00Z"/>
        </w:rPr>
      </w:pPr>
      <w:del w:id="3988" w:author="AbbVie1" w:date="2025-05-13T09:50:00Z">
        <w:r w:rsidRPr="001B4A02">
          <w:delText xml:space="preserve">Přípravek Humira je k dispozici v dalších silách a/nebo </w:delText>
        </w:r>
        <w:r w:rsidR="00A43DB3">
          <w:delText>typech balení</w:delText>
        </w:r>
        <w:r w:rsidRPr="001B4A02">
          <w:delText xml:space="preserve"> v závislosti na individuálních potřebách léčby.</w:delText>
        </w:r>
      </w:del>
    </w:p>
    <w:p w14:paraId="265B20C3" w14:textId="77777777" w:rsidR="00AA6666" w:rsidRPr="001B4A02" w:rsidRDefault="00AA6666" w:rsidP="00ED48A3">
      <w:pPr>
        <w:ind w:left="0" w:firstLine="0"/>
        <w:rPr>
          <w:del w:id="3989" w:author="AbbVie1" w:date="2025-05-13T09:50:00Z"/>
          <w:u w:val="single"/>
        </w:rPr>
      </w:pPr>
    </w:p>
    <w:p w14:paraId="1104B1C8" w14:textId="77777777" w:rsidR="00095C2F" w:rsidRPr="001B4A02" w:rsidRDefault="00000000" w:rsidP="00ED48A3">
      <w:pPr>
        <w:keepNext/>
        <w:ind w:left="0" w:firstLine="0"/>
        <w:rPr>
          <w:del w:id="3990" w:author="AbbVie1" w:date="2025-05-13T09:50:00Z"/>
          <w:i/>
        </w:rPr>
      </w:pPr>
      <w:del w:id="3991" w:author="AbbVie1" w:date="2025-05-13T09:50:00Z">
        <w:r w:rsidRPr="001B4A02">
          <w:rPr>
            <w:i/>
          </w:rPr>
          <w:delText>Ulcerózní</w:delText>
        </w:r>
        <w:r w:rsidR="003A2401" w:rsidRPr="001B4A02">
          <w:rPr>
            <w:i/>
          </w:rPr>
          <w:delText xml:space="preserve"> kolit</w:delText>
        </w:r>
        <w:r w:rsidRPr="001B4A02">
          <w:rPr>
            <w:i/>
          </w:rPr>
          <w:delText>ida</w:delText>
        </w:r>
      </w:del>
    </w:p>
    <w:p w14:paraId="7C25106E" w14:textId="77777777" w:rsidR="00095C2F" w:rsidRPr="001B4A02" w:rsidRDefault="00095C2F" w:rsidP="00ED48A3">
      <w:pPr>
        <w:keepNext/>
        <w:ind w:left="0" w:firstLine="0"/>
        <w:rPr>
          <w:del w:id="3992" w:author="AbbVie1" w:date="2025-05-13T09:50:00Z"/>
          <w:u w:val="single"/>
        </w:rPr>
      </w:pPr>
    </w:p>
    <w:p w14:paraId="34F456CE" w14:textId="77777777" w:rsidR="00095C2F" w:rsidRPr="001B4A02" w:rsidRDefault="00000000" w:rsidP="00DA73B0">
      <w:pPr>
        <w:ind w:left="0" w:firstLine="0"/>
        <w:rPr>
          <w:del w:id="3993" w:author="AbbVie1" w:date="2025-05-13T09:50:00Z"/>
        </w:rPr>
      </w:pPr>
      <w:del w:id="3994" w:author="AbbVie1" w:date="2025-05-13T09:50:00Z">
        <w:r w:rsidRPr="001B4A02">
          <w:delText xml:space="preserve">Doporučená úvodní dávka přípravku Humira u dospělých pacientů se středně těžkou až těžkou </w:delText>
        </w:r>
        <w:r w:rsidR="008177B2" w:rsidRPr="001B4A02">
          <w:delText>ulcerózní</w:delText>
        </w:r>
        <w:r w:rsidRPr="001B4A02">
          <w:delText xml:space="preserve"> kolitidou je 160 mg v týdnu 0 (</w:delText>
        </w:r>
        <w:r w:rsidR="00AA6666" w:rsidRPr="001B4A02">
          <w:delText>podáno jako čtyři</w:delText>
        </w:r>
        <w:r w:rsidRPr="001B4A02">
          <w:delText xml:space="preserve"> injekce</w:delText>
        </w:r>
        <w:r w:rsidR="00AA6666" w:rsidRPr="001B4A02">
          <w:delText xml:space="preserve"> 40</w:delText>
        </w:r>
        <w:r w:rsidR="00294902">
          <w:delText> mg</w:delText>
        </w:r>
        <w:r w:rsidRPr="001B4A02">
          <w:delText xml:space="preserve"> v jednom dni nebo </w:delText>
        </w:r>
        <w:r w:rsidR="00AA6666" w:rsidRPr="001B4A02">
          <w:delText xml:space="preserve">jako dvě </w:delText>
        </w:r>
        <w:r w:rsidRPr="001B4A02">
          <w:delText>injekce</w:delText>
        </w:r>
        <w:r w:rsidR="00AA6666" w:rsidRPr="001B4A02">
          <w:delText xml:space="preserve"> 40</w:delText>
        </w:r>
        <w:r w:rsidR="00294902">
          <w:delText> mg</w:delText>
        </w:r>
        <w:r w:rsidRPr="001B4A02">
          <w:delText xml:space="preserve"> denně ve dvou po sobě </w:delText>
        </w:r>
        <w:r w:rsidR="00FE5873">
          <w:delText>jdoucích</w:delText>
        </w:r>
        <w:r w:rsidR="00FE5873" w:rsidRPr="001B4A02">
          <w:delText xml:space="preserve"> </w:delText>
        </w:r>
        <w:r w:rsidRPr="001B4A02">
          <w:delText>dnech), dále pak 80</w:delText>
        </w:r>
        <w:r w:rsidR="00294902">
          <w:delText> mg</w:delText>
        </w:r>
        <w:r w:rsidRPr="001B4A02">
          <w:delText xml:space="preserve"> v týdnu 2</w:delText>
        </w:r>
        <w:r w:rsidR="00AA6666" w:rsidRPr="001B4A02">
          <w:delText xml:space="preserve"> (podáno jako dvě injekce 40</w:delText>
        </w:r>
        <w:r w:rsidR="00294902">
          <w:delText> mg</w:delText>
        </w:r>
        <w:r w:rsidR="00AA6666" w:rsidRPr="001B4A02">
          <w:delText xml:space="preserve"> v jednom dni)</w:delText>
        </w:r>
        <w:r w:rsidRPr="001B4A02">
          <w:delText>.</w:delText>
        </w:r>
        <w:r w:rsidR="00DB5134" w:rsidRPr="001B4A02">
          <w:delText xml:space="preserve"> Po úvodní léčbě je doporučená</w:delText>
        </w:r>
        <w:r w:rsidRPr="001B4A02">
          <w:delText xml:space="preserve"> dávka 40</w:delText>
        </w:r>
        <w:r w:rsidR="00294902">
          <w:delText> mg</w:delText>
        </w:r>
        <w:r w:rsidR="00DA73B0" w:rsidRPr="001B4A02">
          <w:delText xml:space="preserve"> každý druhý týden subkutánně.</w:delText>
        </w:r>
      </w:del>
    </w:p>
    <w:p w14:paraId="1CB2E6A5" w14:textId="77777777" w:rsidR="00095C2F" w:rsidRPr="001B4A02" w:rsidRDefault="00095C2F" w:rsidP="00ED48A3">
      <w:pPr>
        <w:ind w:left="0" w:firstLine="0"/>
        <w:rPr>
          <w:del w:id="3995" w:author="AbbVie1" w:date="2025-05-13T09:50:00Z"/>
        </w:rPr>
      </w:pPr>
    </w:p>
    <w:p w14:paraId="1646F833" w14:textId="77777777" w:rsidR="00095C2F" w:rsidRPr="001B4A02" w:rsidRDefault="00000000" w:rsidP="00ED48A3">
      <w:pPr>
        <w:ind w:left="0" w:firstLine="0"/>
        <w:rPr>
          <w:del w:id="3996" w:author="AbbVie1" w:date="2025-05-13T09:50:00Z"/>
        </w:rPr>
      </w:pPr>
      <w:del w:id="3997" w:author="AbbVie1" w:date="2025-05-13T09:50:00Z">
        <w:r w:rsidRPr="001B4A02">
          <w:delText>V průběhu udržovací léčby lze snižovat dávky kortikosteroidů v souladu s místními doporučeními pro klinickou praxi.</w:delText>
        </w:r>
      </w:del>
    </w:p>
    <w:p w14:paraId="3BAC6F1B" w14:textId="77777777" w:rsidR="00095C2F" w:rsidRPr="001B4A02" w:rsidRDefault="00095C2F" w:rsidP="00ED48A3">
      <w:pPr>
        <w:ind w:left="0" w:firstLine="0"/>
        <w:rPr>
          <w:del w:id="3998" w:author="AbbVie1" w:date="2025-05-13T09:50:00Z"/>
        </w:rPr>
      </w:pPr>
    </w:p>
    <w:p w14:paraId="612F2996" w14:textId="77777777" w:rsidR="00095C2F" w:rsidRPr="001B4A02" w:rsidRDefault="00000000" w:rsidP="00ED48A3">
      <w:pPr>
        <w:ind w:left="0" w:firstLine="0"/>
        <w:rPr>
          <w:del w:id="3999" w:author="AbbVie1" w:date="2025-05-13T09:50:00Z"/>
        </w:rPr>
      </w:pPr>
      <w:del w:id="4000" w:author="AbbVie1" w:date="2025-05-13T09:50:00Z">
        <w:r w:rsidRPr="001B4A02">
          <w:delText>Někteří pacienti, u</w:delText>
        </w:r>
        <w:r w:rsidR="00164B4F" w:rsidRPr="001B4A02">
          <w:delText> </w:delText>
        </w:r>
        <w:r w:rsidRPr="001B4A02">
          <w:delText xml:space="preserve">nichž odpověď na léčbu </w:delText>
        </w:r>
        <w:r w:rsidR="005808C4" w:rsidRPr="001B4A02">
          <w:delText>přípravkem Humira 40</w:delText>
        </w:r>
        <w:r w:rsidR="00294902">
          <w:delText> mg</w:delText>
        </w:r>
        <w:r w:rsidR="005808C4" w:rsidRPr="001B4A02">
          <w:delText xml:space="preserve"> jednou za dva týdny </w:delText>
        </w:r>
        <w:r w:rsidRPr="001B4A02">
          <w:delText xml:space="preserve">nebyla adekvátní, </w:delText>
        </w:r>
        <w:r w:rsidR="005808C4" w:rsidRPr="001B4A02">
          <w:delText xml:space="preserve">mohou profitovat </w:delText>
        </w:r>
        <w:r w:rsidRPr="001B4A02">
          <w:delText xml:space="preserve">ze zvýšení </w:delText>
        </w:r>
        <w:r w:rsidR="00840619" w:rsidRPr="0067459F">
          <w:delText>dávkování</w:delText>
        </w:r>
        <w:r w:rsidR="00840619" w:rsidRPr="001B4A02">
          <w:delText xml:space="preserve"> </w:delText>
        </w:r>
        <w:r w:rsidRPr="001B4A02">
          <w:delText>na 40</w:delText>
        </w:r>
        <w:r w:rsidR="00294902">
          <w:delText> mg</w:delText>
        </w:r>
        <w:r w:rsidRPr="001B4A02">
          <w:delText xml:space="preserve"> přípravku Humira každý týden</w:delText>
        </w:r>
        <w:r w:rsidR="005808C4" w:rsidRPr="001B4A02">
          <w:delText xml:space="preserve"> nebo 80</w:delText>
        </w:r>
        <w:r w:rsidR="00294902">
          <w:delText> mg</w:delText>
        </w:r>
        <w:r w:rsidR="005808C4" w:rsidRPr="001B4A02">
          <w:delText xml:space="preserve"> jednou za dva týdny</w:delText>
        </w:r>
        <w:r w:rsidRPr="001B4A02">
          <w:delText>.</w:delText>
        </w:r>
      </w:del>
    </w:p>
    <w:p w14:paraId="695B43F8" w14:textId="77777777" w:rsidR="00095C2F" w:rsidRPr="001B4A02" w:rsidRDefault="00095C2F" w:rsidP="00ED48A3">
      <w:pPr>
        <w:ind w:left="0" w:firstLine="0"/>
        <w:rPr>
          <w:del w:id="4001" w:author="AbbVie1" w:date="2025-05-13T09:50:00Z"/>
        </w:rPr>
      </w:pPr>
    </w:p>
    <w:p w14:paraId="6D4B712F" w14:textId="77777777" w:rsidR="00DB5134" w:rsidRPr="001B4A02" w:rsidRDefault="00000000" w:rsidP="00ED48A3">
      <w:pPr>
        <w:ind w:left="0" w:firstLine="0"/>
        <w:rPr>
          <w:del w:id="4002" w:author="AbbVie1" w:date="2025-05-13T09:50:00Z"/>
        </w:rPr>
      </w:pPr>
      <w:del w:id="4003" w:author="AbbVie1" w:date="2025-05-13T09:50:00Z">
        <w:r w:rsidRPr="001B4A02">
          <w:delText>Dostupné údaje naz</w:delText>
        </w:r>
        <w:r w:rsidR="003A2401" w:rsidRPr="001B4A02">
          <w:delText>na</w:delText>
        </w:r>
        <w:r w:rsidRPr="001B4A02">
          <w:delText>čují, že klinické odpovědi je obvykle dosaženo v průběhu 2</w:delText>
        </w:r>
        <w:r w:rsidR="000E3459" w:rsidRPr="001B4A02">
          <w:delText>–</w:delText>
        </w:r>
        <w:r w:rsidR="00DA73B0" w:rsidRPr="001B4A02">
          <w:delText>8 týdnů léčby.</w:delText>
        </w:r>
      </w:del>
    </w:p>
    <w:p w14:paraId="02420E17" w14:textId="77777777" w:rsidR="00095C2F" w:rsidRPr="001B4A02" w:rsidRDefault="00000000" w:rsidP="00ED48A3">
      <w:pPr>
        <w:ind w:left="0" w:firstLine="0"/>
        <w:rPr>
          <w:del w:id="4004" w:author="AbbVie1" w:date="2025-05-13T09:50:00Z"/>
          <w:u w:val="single"/>
        </w:rPr>
      </w:pPr>
      <w:del w:id="4005" w:author="AbbVie1" w:date="2025-05-13T09:50:00Z">
        <w:r w:rsidRPr="001B4A02">
          <w:delText>V léčbě přípravkem Humira se nedoporučuje pokračovat u</w:delText>
        </w:r>
        <w:r w:rsidR="00164B4F" w:rsidRPr="001B4A02">
          <w:delText> </w:delText>
        </w:r>
        <w:r w:rsidRPr="001B4A02">
          <w:delText>těch pacie</w:delText>
        </w:r>
        <w:r w:rsidR="00F03A6D" w:rsidRPr="001B4A02">
          <w:delText>ntů, u</w:delText>
        </w:r>
        <w:r w:rsidR="00164B4F" w:rsidRPr="001B4A02">
          <w:delText> </w:delText>
        </w:r>
        <w:r w:rsidR="00F03A6D" w:rsidRPr="001B4A02">
          <w:delText>nichž došlo během tohoto</w:delText>
        </w:r>
        <w:r w:rsidRPr="001B4A02">
          <w:delText xml:space="preserve"> </w:delText>
        </w:r>
        <w:r w:rsidR="00F03A6D" w:rsidRPr="001B4A02">
          <w:delText>období k selhání odpovědi na léčbu</w:delText>
        </w:r>
        <w:r w:rsidRPr="001B4A02">
          <w:delText>.</w:delText>
        </w:r>
      </w:del>
    </w:p>
    <w:p w14:paraId="3B233F21" w14:textId="77777777" w:rsidR="00106AC1" w:rsidRPr="001B4A02" w:rsidRDefault="00106AC1" w:rsidP="00ED48A3">
      <w:pPr>
        <w:ind w:left="0" w:firstLine="0"/>
        <w:rPr>
          <w:del w:id="4006" w:author="AbbVie1" w:date="2025-05-13T09:50:00Z"/>
          <w:u w:val="single"/>
        </w:rPr>
      </w:pPr>
    </w:p>
    <w:p w14:paraId="5239A65D" w14:textId="77777777" w:rsidR="00840619" w:rsidRPr="001B4A02" w:rsidRDefault="00000000" w:rsidP="00840619">
      <w:pPr>
        <w:ind w:left="0" w:firstLine="0"/>
        <w:rPr>
          <w:del w:id="4007" w:author="AbbVie1" w:date="2025-05-13T09:50:00Z"/>
        </w:rPr>
      </w:pPr>
      <w:del w:id="4008" w:author="AbbVie1" w:date="2025-05-13T09:50:00Z">
        <w:r w:rsidRPr="001B4A02">
          <w:delText xml:space="preserve">Přípravek Humira je k dispozici v dalších silách a/nebo </w:delText>
        </w:r>
        <w:r w:rsidR="00A43DB3">
          <w:delText>typech balení</w:delText>
        </w:r>
        <w:r w:rsidRPr="001B4A02">
          <w:delText xml:space="preserve"> v závislosti na individuálních potřebách léčby.</w:delText>
        </w:r>
      </w:del>
    </w:p>
    <w:p w14:paraId="08B0124F" w14:textId="77777777" w:rsidR="00840619" w:rsidRPr="001B4A02" w:rsidRDefault="00840619" w:rsidP="00ED48A3">
      <w:pPr>
        <w:ind w:left="0" w:firstLine="0"/>
        <w:rPr>
          <w:del w:id="4009" w:author="AbbVie1" w:date="2025-05-13T09:50:00Z"/>
          <w:u w:val="single"/>
        </w:rPr>
      </w:pPr>
    </w:p>
    <w:p w14:paraId="65BB0FFA" w14:textId="77777777" w:rsidR="00106AC1" w:rsidRPr="001B4A02" w:rsidRDefault="00000000" w:rsidP="00D279BC">
      <w:pPr>
        <w:pStyle w:val="DefaultText"/>
        <w:keepNext/>
        <w:rPr>
          <w:del w:id="4010" w:author="AbbVie1" w:date="2025-05-13T09:50:00Z"/>
          <w:rFonts w:ascii="Times New Roman" w:hAnsi="Times New Roman"/>
          <w:i/>
          <w:lang w:val="cs-CZ"/>
        </w:rPr>
      </w:pPr>
      <w:del w:id="4011" w:author="AbbVie1" w:date="2025-05-13T09:50:00Z">
        <w:r w:rsidRPr="001B4A02">
          <w:rPr>
            <w:rFonts w:ascii="Times New Roman" w:hAnsi="Times New Roman"/>
            <w:i/>
            <w:lang w:val="cs-CZ"/>
          </w:rPr>
          <w:delText>Uveitida</w:delText>
        </w:r>
      </w:del>
    </w:p>
    <w:p w14:paraId="5460DB43" w14:textId="77777777" w:rsidR="00106AC1" w:rsidRPr="001B4A02" w:rsidRDefault="00106AC1" w:rsidP="00D279BC">
      <w:pPr>
        <w:pStyle w:val="EMEANormal"/>
        <w:keepNext/>
        <w:rPr>
          <w:del w:id="4012" w:author="AbbVie1" w:date="2025-05-13T09:50:00Z"/>
          <w:szCs w:val="22"/>
          <w:lang w:val="cs-CZ"/>
        </w:rPr>
      </w:pPr>
    </w:p>
    <w:p w14:paraId="22C87355" w14:textId="77777777" w:rsidR="00106AC1" w:rsidRPr="001B4A02" w:rsidRDefault="00000000" w:rsidP="00ED48A3">
      <w:pPr>
        <w:pStyle w:val="EMEANormal"/>
        <w:rPr>
          <w:del w:id="4013" w:author="AbbVie1" w:date="2025-05-13T09:50:00Z"/>
          <w:szCs w:val="22"/>
          <w:lang w:val="cs-CZ"/>
        </w:rPr>
      </w:pPr>
      <w:del w:id="4014" w:author="AbbVie1" w:date="2025-05-13T09:50:00Z">
        <w:r w:rsidRPr="001B4A02">
          <w:rPr>
            <w:lang w:val="cs-CZ"/>
          </w:rPr>
          <w:delText>Doporučená úvodní dávka přípravku Humira u dospělých pacientů s</w:delText>
        </w:r>
        <w:r w:rsidR="00A9166E" w:rsidRPr="001B4A02">
          <w:rPr>
            <w:lang w:val="cs-CZ"/>
          </w:rPr>
          <w:delText> </w:delText>
        </w:r>
        <w:r w:rsidRPr="001B4A02">
          <w:rPr>
            <w:lang w:val="cs-CZ"/>
          </w:rPr>
          <w:delText xml:space="preserve">uveitidou je </w:delText>
        </w:r>
        <w:r w:rsidRPr="001B4A02">
          <w:rPr>
            <w:szCs w:val="22"/>
            <w:lang w:val="cs-CZ"/>
          </w:rPr>
          <w:delText>80</w:delText>
        </w:r>
        <w:r w:rsidR="00294902">
          <w:rPr>
            <w:szCs w:val="22"/>
            <w:lang w:val="cs-CZ"/>
          </w:rPr>
          <w:delText> mg</w:delText>
        </w:r>
        <w:r w:rsidRPr="001B4A02">
          <w:rPr>
            <w:szCs w:val="22"/>
            <w:lang w:val="cs-CZ"/>
          </w:rPr>
          <w:delText>, následovaná jeden týden po úvodní dávce dávkou 40</w:delText>
        </w:r>
        <w:r w:rsidR="00294902">
          <w:rPr>
            <w:szCs w:val="22"/>
            <w:lang w:val="cs-CZ"/>
          </w:rPr>
          <w:delText> mg</w:delText>
        </w:r>
        <w:r w:rsidRPr="001B4A02">
          <w:rPr>
            <w:szCs w:val="22"/>
            <w:lang w:val="cs-CZ"/>
          </w:rPr>
          <w:delText xml:space="preserve"> podávanou jednou za dva týdny. Zkušenosti se zahájením léčby samotným přípravkem Humira jsou omezené. Terapii přípravkem Humira lze zahájit v</w:delText>
        </w:r>
        <w:r w:rsidR="00DA73B0" w:rsidRPr="001B4A02">
          <w:rPr>
            <w:szCs w:val="22"/>
            <w:lang w:val="cs-CZ"/>
          </w:rPr>
          <w:delText> </w:delText>
        </w:r>
        <w:r w:rsidRPr="001B4A02">
          <w:rPr>
            <w:szCs w:val="22"/>
            <w:lang w:val="cs-CZ"/>
          </w:rPr>
          <w:delText>kombinaci s</w:delText>
        </w:r>
        <w:r w:rsidR="00DA73B0" w:rsidRPr="001B4A02">
          <w:rPr>
            <w:szCs w:val="22"/>
            <w:lang w:val="cs-CZ"/>
          </w:rPr>
          <w:delText> </w:delText>
        </w:r>
        <w:r w:rsidRPr="001B4A02">
          <w:rPr>
            <w:szCs w:val="22"/>
            <w:lang w:val="cs-CZ"/>
          </w:rPr>
          <w:delText xml:space="preserve">kortikosteroidy a/nebo jinými nebiologickými imunomodulačními látkami. Dávku současně podávaných kortikosteroidů je možno </w:delText>
        </w:r>
        <w:r w:rsidR="00E01DA8" w:rsidRPr="001B4A02">
          <w:rPr>
            <w:szCs w:val="22"/>
            <w:lang w:val="cs-CZ"/>
          </w:rPr>
          <w:delText xml:space="preserve">v souladu s klinickou praxí </w:delText>
        </w:r>
        <w:r w:rsidRPr="001B4A02">
          <w:rPr>
            <w:szCs w:val="22"/>
            <w:lang w:val="cs-CZ"/>
          </w:rPr>
          <w:delText>začít snižovat dva týdny po zahá</w:delText>
        </w:r>
        <w:r w:rsidR="00DA73B0" w:rsidRPr="001B4A02">
          <w:rPr>
            <w:szCs w:val="22"/>
            <w:lang w:val="cs-CZ"/>
          </w:rPr>
          <w:delText>jení terapie přípravkem Humira.</w:delText>
        </w:r>
      </w:del>
    </w:p>
    <w:p w14:paraId="7EFD3D1F" w14:textId="77777777" w:rsidR="00106AC1" w:rsidRPr="001B4A02" w:rsidRDefault="00106AC1" w:rsidP="00ED48A3">
      <w:pPr>
        <w:pStyle w:val="EMEANormal"/>
        <w:rPr>
          <w:del w:id="4015" w:author="AbbVie1" w:date="2025-05-13T09:50:00Z"/>
          <w:szCs w:val="22"/>
          <w:lang w:val="cs-CZ"/>
        </w:rPr>
      </w:pPr>
    </w:p>
    <w:p w14:paraId="541EC5C5" w14:textId="77777777" w:rsidR="00106AC1" w:rsidRPr="001B4A02" w:rsidRDefault="00000000" w:rsidP="00ED48A3">
      <w:pPr>
        <w:pStyle w:val="EMEANormal"/>
        <w:rPr>
          <w:del w:id="4016" w:author="AbbVie1" w:date="2025-05-13T09:50:00Z"/>
          <w:szCs w:val="22"/>
          <w:lang w:val="cs-CZ"/>
        </w:rPr>
      </w:pPr>
      <w:del w:id="4017" w:author="AbbVie1" w:date="2025-05-13T09:50:00Z">
        <w:r w:rsidRPr="001B4A02">
          <w:rPr>
            <w:szCs w:val="22"/>
            <w:lang w:val="cs-CZ"/>
          </w:rPr>
          <w:delText>Doporučuje se jednou ročně posoudit přínosy</w:delText>
        </w:r>
        <w:r w:rsidR="002378E0">
          <w:rPr>
            <w:szCs w:val="22"/>
            <w:lang w:val="cs-CZ"/>
          </w:rPr>
          <w:delText xml:space="preserve"> a </w:delText>
        </w:r>
        <w:r w:rsidRPr="001B4A02">
          <w:rPr>
            <w:szCs w:val="22"/>
            <w:lang w:val="cs-CZ"/>
          </w:rPr>
          <w:delText>rizika pokračující dlouhodobé léčby (viz bod 5.1).</w:delText>
        </w:r>
      </w:del>
    </w:p>
    <w:p w14:paraId="3B960BFB" w14:textId="77777777" w:rsidR="00106AC1" w:rsidRPr="001B4A02" w:rsidRDefault="00106AC1" w:rsidP="00ED48A3">
      <w:pPr>
        <w:rPr>
          <w:del w:id="4018" w:author="AbbVie1" w:date="2025-05-13T09:50:00Z"/>
          <w:u w:val="single"/>
        </w:rPr>
      </w:pPr>
    </w:p>
    <w:p w14:paraId="065667DD" w14:textId="77777777" w:rsidR="00840619" w:rsidRPr="001B4A02" w:rsidRDefault="00000000" w:rsidP="00840619">
      <w:pPr>
        <w:ind w:left="0" w:firstLine="0"/>
        <w:rPr>
          <w:del w:id="4019" w:author="AbbVie1" w:date="2025-05-13T09:50:00Z"/>
        </w:rPr>
      </w:pPr>
      <w:del w:id="4020" w:author="AbbVie1" w:date="2025-05-13T09:50:00Z">
        <w:r w:rsidRPr="001B4A02">
          <w:delText xml:space="preserve">Humira je k dispozici v dalších silách a/nebo </w:delText>
        </w:r>
        <w:r w:rsidR="00A43DB3">
          <w:delText>typech balení</w:delText>
        </w:r>
        <w:r w:rsidRPr="001B4A02">
          <w:delText xml:space="preserve"> v závislosti na individuálních potřebách léčby.</w:delText>
        </w:r>
      </w:del>
    </w:p>
    <w:p w14:paraId="3BDB4E4B" w14:textId="77777777" w:rsidR="00840619" w:rsidRPr="001B4A02" w:rsidRDefault="00840619" w:rsidP="00ED48A3">
      <w:pPr>
        <w:rPr>
          <w:del w:id="4021" w:author="AbbVie1" w:date="2025-05-13T09:50:00Z"/>
          <w:u w:val="single"/>
        </w:rPr>
      </w:pPr>
    </w:p>
    <w:p w14:paraId="6757783F" w14:textId="77777777" w:rsidR="00C052DC" w:rsidRPr="001B4A02" w:rsidRDefault="00000000" w:rsidP="00D279BC">
      <w:pPr>
        <w:keepNext/>
        <w:rPr>
          <w:del w:id="4022" w:author="AbbVie1" w:date="2025-05-13T09:50:00Z"/>
          <w:u w:val="single"/>
        </w:rPr>
      </w:pPr>
      <w:del w:id="4023" w:author="AbbVie1" w:date="2025-05-13T09:50:00Z">
        <w:r w:rsidRPr="00BB1FE9">
          <w:rPr>
            <w:u w:val="single"/>
          </w:rPr>
          <w:delText xml:space="preserve">Zvláštní </w:delText>
        </w:r>
        <w:r w:rsidR="00BB1FE9">
          <w:rPr>
            <w:u w:val="single"/>
          </w:rPr>
          <w:delText>skupiny pacientů</w:delText>
        </w:r>
      </w:del>
    </w:p>
    <w:p w14:paraId="21AD0366" w14:textId="77777777" w:rsidR="00C052DC" w:rsidRPr="001B4A02" w:rsidRDefault="00C052DC" w:rsidP="00D279BC">
      <w:pPr>
        <w:keepNext/>
        <w:rPr>
          <w:del w:id="4024" w:author="AbbVie1" w:date="2025-05-13T09:50:00Z"/>
          <w:u w:val="single"/>
        </w:rPr>
      </w:pPr>
    </w:p>
    <w:p w14:paraId="056812DC" w14:textId="77777777" w:rsidR="00073F8F" w:rsidRPr="001B4A02" w:rsidRDefault="00000000" w:rsidP="00D279BC">
      <w:pPr>
        <w:keepNext/>
        <w:rPr>
          <w:del w:id="4025" w:author="AbbVie1" w:date="2025-05-13T09:50:00Z"/>
        </w:rPr>
      </w:pPr>
      <w:del w:id="4026" w:author="AbbVie1" w:date="2025-05-13T09:50:00Z">
        <w:r w:rsidRPr="001B4A02">
          <w:delText>Starší pacienti</w:delText>
        </w:r>
      </w:del>
    </w:p>
    <w:p w14:paraId="04A83B3F" w14:textId="77777777" w:rsidR="00073F8F" w:rsidRPr="001B4A02" w:rsidRDefault="00073F8F" w:rsidP="00D279BC">
      <w:pPr>
        <w:keepNext/>
        <w:ind w:left="0" w:firstLine="0"/>
        <w:rPr>
          <w:del w:id="4027" w:author="AbbVie1" w:date="2025-05-13T09:50:00Z"/>
        </w:rPr>
      </w:pPr>
    </w:p>
    <w:p w14:paraId="44F591A4" w14:textId="77777777" w:rsidR="00073F8F" w:rsidRPr="001B4A02" w:rsidRDefault="00000000" w:rsidP="00ED48A3">
      <w:pPr>
        <w:ind w:left="0" w:firstLine="0"/>
        <w:rPr>
          <w:del w:id="4028" w:author="AbbVie1" w:date="2025-05-13T09:50:00Z"/>
        </w:rPr>
      </w:pPr>
      <w:del w:id="4029" w:author="AbbVie1" w:date="2025-05-13T09:50:00Z">
        <w:r w:rsidRPr="001B4A02">
          <w:delText>Není zapotřebí žádná úprava dávky.</w:delText>
        </w:r>
      </w:del>
    </w:p>
    <w:p w14:paraId="1BE10B6F" w14:textId="77777777" w:rsidR="00672E2B" w:rsidRPr="001B4A02" w:rsidRDefault="00672E2B" w:rsidP="00ED48A3">
      <w:pPr>
        <w:ind w:left="0" w:firstLine="0"/>
        <w:rPr>
          <w:del w:id="4030" w:author="AbbVie1" w:date="2025-05-13T09:50:00Z"/>
        </w:rPr>
      </w:pPr>
    </w:p>
    <w:p w14:paraId="23806669" w14:textId="77777777" w:rsidR="00672E2B" w:rsidRPr="007E416D" w:rsidRDefault="00000000" w:rsidP="00ED48A3">
      <w:pPr>
        <w:keepNext/>
        <w:ind w:left="0" w:firstLine="0"/>
        <w:rPr>
          <w:del w:id="4031" w:author="AbbVie1" w:date="2025-05-13T09:50:00Z"/>
        </w:rPr>
      </w:pPr>
      <w:del w:id="4032" w:author="AbbVie1" w:date="2025-05-13T09:50:00Z">
        <w:r w:rsidRPr="007E416D">
          <w:delText>Po</w:delText>
        </w:r>
        <w:r w:rsidR="00696488" w:rsidRPr="007E416D">
          <w:delText>rucha</w:delText>
        </w:r>
        <w:r w:rsidRPr="007E416D">
          <w:delText xml:space="preserve"> funkce jater </w:delText>
        </w:r>
        <w:r w:rsidR="00186D56" w:rsidRPr="007E416D">
          <w:delText>a/</w:delText>
        </w:r>
        <w:r w:rsidRPr="007E416D">
          <w:delText>nebo ledvin</w:delText>
        </w:r>
      </w:del>
    </w:p>
    <w:p w14:paraId="0FE58FC2" w14:textId="77777777" w:rsidR="00672E2B" w:rsidRPr="001B4A02" w:rsidRDefault="00672E2B" w:rsidP="00ED48A3">
      <w:pPr>
        <w:keepNext/>
        <w:ind w:left="0" w:firstLine="0"/>
        <w:rPr>
          <w:del w:id="4033" w:author="AbbVie1" w:date="2025-05-13T09:50:00Z"/>
        </w:rPr>
      </w:pPr>
    </w:p>
    <w:p w14:paraId="74C8AF22" w14:textId="77777777" w:rsidR="00073F8F" w:rsidRPr="001B4A02" w:rsidRDefault="00000000" w:rsidP="00DA73B0">
      <w:pPr>
        <w:ind w:left="0" w:firstLine="0"/>
        <w:rPr>
          <w:del w:id="4034" w:author="AbbVie1" w:date="2025-05-13T09:50:00Z"/>
        </w:rPr>
      </w:pPr>
      <w:del w:id="4035" w:author="AbbVie1" w:date="2025-05-13T09:50:00Z">
        <w:r w:rsidRPr="007E226E">
          <w:delText>Po</w:delText>
        </w:r>
        <w:r w:rsidR="007E226E">
          <w:delText>u</w:delText>
        </w:r>
        <w:r w:rsidR="00672E2B" w:rsidRPr="00BB1FE9">
          <w:delText>žití</w:delText>
        </w:r>
        <w:r w:rsidR="00672E2B" w:rsidRPr="001B4A02">
          <w:delText xml:space="preserve"> přípravku Humira nebylo u</w:delText>
        </w:r>
        <w:r w:rsidR="00164B4F" w:rsidRPr="001B4A02">
          <w:delText> </w:delText>
        </w:r>
        <w:r w:rsidR="00672E2B" w:rsidRPr="001B4A02">
          <w:delText>těchto skupin pacientů studováno.</w:delText>
        </w:r>
        <w:r w:rsidR="003D272F" w:rsidRPr="001B4A02">
          <w:delText xml:space="preserve"> Nelze učinit žádná doporučení pro dávkování.</w:delText>
        </w:r>
      </w:del>
    </w:p>
    <w:p w14:paraId="51F3AB41" w14:textId="77777777" w:rsidR="00672E2B" w:rsidRPr="001B4A02" w:rsidRDefault="00672E2B" w:rsidP="00ED48A3">
      <w:pPr>
        <w:ind w:left="0" w:firstLine="0"/>
        <w:rPr>
          <w:del w:id="4036" w:author="AbbVie1" w:date="2025-05-13T09:50:00Z"/>
        </w:rPr>
      </w:pPr>
    </w:p>
    <w:p w14:paraId="0BFDB8DA" w14:textId="77777777" w:rsidR="00073F8F" w:rsidRPr="001B4A02" w:rsidRDefault="00000000" w:rsidP="00D279BC">
      <w:pPr>
        <w:keepNext/>
        <w:rPr>
          <w:del w:id="4037" w:author="AbbVie1" w:date="2025-05-13T09:50:00Z"/>
        </w:rPr>
      </w:pPr>
      <w:del w:id="4038" w:author="AbbVie1" w:date="2025-05-13T09:50:00Z">
        <w:r w:rsidRPr="001B4A02">
          <w:delText>Pediatrická populace</w:delText>
        </w:r>
      </w:del>
    </w:p>
    <w:p w14:paraId="1FA94DAD" w14:textId="77777777" w:rsidR="00073F8F" w:rsidRPr="001B4A02" w:rsidRDefault="00073F8F" w:rsidP="00D279BC">
      <w:pPr>
        <w:keepNext/>
        <w:ind w:left="0" w:firstLine="0"/>
        <w:rPr>
          <w:del w:id="4039" w:author="AbbVie1" w:date="2025-05-13T09:50:00Z"/>
        </w:rPr>
      </w:pPr>
    </w:p>
    <w:p w14:paraId="3D15AE74" w14:textId="77777777" w:rsidR="00073F8F" w:rsidRPr="001B4A02" w:rsidRDefault="00000000" w:rsidP="00D279BC">
      <w:pPr>
        <w:pStyle w:val="EMEAHeadingUnderline"/>
        <w:keepNext/>
        <w:tabs>
          <w:tab w:val="clear" w:pos="562"/>
          <w:tab w:val="left" w:pos="708"/>
        </w:tabs>
        <w:suppressAutoHyphens w:val="0"/>
        <w:spacing w:beforeLines="0" w:before="0" w:afterLines="0" w:after="0"/>
        <w:rPr>
          <w:del w:id="4040" w:author="AbbVie1" w:date="2025-05-13T09:50:00Z"/>
          <w:i/>
          <w:u w:val="none"/>
          <w:lang w:val="cs-CZ"/>
        </w:rPr>
      </w:pPr>
      <w:del w:id="4041" w:author="AbbVie1" w:date="2025-05-13T09:50:00Z">
        <w:r w:rsidRPr="001B4A02">
          <w:rPr>
            <w:i/>
            <w:u w:val="none"/>
            <w:lang w:val="cs-CZ"/>
          </w:rPr>
          <w:delText>Juvenilní idiopatická artritida</w:delText>
        </w:r>
      </w:del>
    </w:p>
    <w:p w14:paraId="03D2725C" w14:textId="77777777" w:rsidR="00B52F15" w:rsidRPr="001B4A02" w:rsidRDefault="00B52F15" w:rsidP="00D279BC">
      <w:pPr>
        <w:pStyle w:val="EMEANormal"/>
        <w:keepNext/>
        <w:rPr>
          <w:del w:id="4042" w:author="AbbVie1" w:date="2025-05-13T09:50:00Z"/>
          <w:lang w:val="cs-CZ"/>
        </w:rPr>
      </w:pPr>
    </w:p>
    <w:p w14:paraId="3B79DB36" w14:textId="77777777" w:rsidR="00AB6D0E" w:rsidRPr="001B4A02" w:rsidRDefault="00000000" w:rsidP="00527B4A">
      <w:pPr>
        <w:pStyle w:val="EMEANormal"/>
        <w:keepNext/>
        <w:rPr>
          <w:del w:id="4043" w:author="AbbVie1" w:date="2025-05-13T09:50:00Z"/>
          <w:i/>
          <w:u w:val="single"/>
          <w:lang w:val="cs-CZ"/>
        </w:rPr>
      </w:pPr>
      <w:del w:id="4044" w:author="AbbVie1" w:date="2025-05-13T09:50:00Z">
        <w:r w:rsidRPr="001B4A02">
          <w:rPr>
            <w:i/>
            <w:u w:val="single"/>
            <w:lang w:val="cs-CZ"/>
          </w:rPr>
          <w:delText xml:space="preserve">Polyartikulární juvenilní idiopatická artritida </w:delText>
        </w:r>
        <w:r w:rsidR="00DD4CF8" w:rsidRPr="001B4A02">
          <w:rPr>
            <w:i/>
            <w:u w:val="single"/>
            <w:lang w:val="cs-CZ"/>
          </w:rPr>
          <w:delText>od</w:delText>
        </w:r>
        <w:r w:rsidRPr="001B4A02">
          <w:rPr>
            <w:i/>
            <w:u w:val="single"/>
            <w:lang w:val="cs-CZ"/>
          </w:rPr>
          <w:delText xml:space="preserve"> </w:delText>
        </w:r>
        <w:r w:rsidR="00361E07" w:rsidRPr="001B4A02">
          <w:rPr>
            <w:i/>
            <w:u w:val="single"/>
            <w:lang w:val="cs-CZ"/>
          </w:rPr>
          <w:delText>2</w:delText>
        </w:r>
        <w:r w:rsidR="00186D56" w:rsidRPr="001B4A02">
          <w:rPr>
            <w:i/>
            <w:u w:val="single"/>
            <w:lang w:val="cs-CZ"/>
          </w:rPr>
          <w:delText xml:space="preserve"> </w:delText>
        </w:r>
        <w:r w:rsidRPr="001B4A02">
          <w:rPr>
            <w:i/>
            <w:u w:val="single"/>
            <w:lang w:val="cs-CZ"/>
          </w:rPr>
          <w:delText>let</w:delText>
        </w:r>
      </w:del>
    </w:p>
    <w:p w14:paraId="4CDB6B67" w14:textId="77777777" w:rsidR="00AB6D0E" w:rsidRPr="001B4A02" w:rsidRDefault="00AB6D0E" w:rsidP="00527B4A">
      <w:pPr>
        <w:keepNext/>
        <w:ind w:left="0" w:firstLine="0"/>
        <w:rPr>
          <w:del w:id="4045" w:author="AbbVie1" w:date="2025-05-13T09:50:00Z"/>
        </w:rPr>
      </w:pPr>
    </w:p>
    <w:p w14:paraId="18B41E85" w14:textId="77777777" w:rsidR="00E148AC" w:rsidRPr="001B4A02" w:rsidRDefault="00000000" w:rsidP="007E226E">
      <w:pPr>
        <w:ind w:left="0" w:firstLine="0"/>
        <w:rPr>
          <w:del w:id="4046" w:author="AbbVie1" w:date="2025-05-13T09:50:00Z"/>
        </w:rPr>
      </w:pPr>
      <w:del w:id="4047" w:author="AbbVie1" w:date="2025-05-13T09:50:00Z">
        <w:r w:rsidRPr="001B4A02">
          <w:delText xml:space="preserve">Doporučená dávka přípravku Humira pro pacienty s polyartikulární juvenilní idiopatickou artritidou, ve věku od </w:delText>
        </w:r>
        <w:r w:rsidR="00361E07" w:rsidRPr="001B4A02">
          <w:delText xml:space="preserve">2 </w:delText>
        </w:r>
        <w:r w:rsidRPr="001B4A02">
          <w:delText>let</w:delText>
        </w:r>
        <w:r w:rsidR="00AB6D0E" w:rsidRPr="001B4A02">
          <w:delText xml:space="preserve">, </w:delText>
        </w:r>
        <w:r w:rsidRPr="001B4A02">
          <w:delText xml:space="preserve">vychází z tělesné hmotnosti (tabulka 1). </w:delText>
        </w:r>
        <w:r w:rsidR="0024278A" w:rsidRPr="001B4A02">
          <w:delText xml:space="preserve">Přípravek </w:delText>
        </w:r>
        <w:r w:rsidRPr="001B4A02">
          <w:delText xml:space="preserve">Humira se podává </w:delText>
        </w:r>
        <w:r w:rsidR="00EA5E2D" w:rsidRPr="001B4A02">
          <w:delText>jednou za dva týdny</w:delText>
        </w:r>
        <w:r w:rsidRPr="001B4A02">
          <w:delText xml:space="preserve"> subkutánní injekcí.</w:delText>
        </w:r>
        <w:r w:rsidR="00E04CE2" w:rsidRPr="001B4A02">
          <w:delText xml:space="preserve"> </w:delText>
        </w:r>
      </w:del>
    </w:p>
    <w:p w14:paraId="51038E76" w14:textId="77777777" w:rsidR="00E148AC" w:rsidRPr="001B4A02" w:rsidRDefault="00E148AC" w:rsidP="00E148AC">
      <w:pPr>
        <w:ind w:left="0" w:firstLine="0"/>
        <w:rPr>
          <w:del w:id="4048" w:author="AbbVie1" w:date="2025-05-13T09:50:00Z"/>
        </w:rPr>
      </w:pPr>
    </w:p>
    <w:p w14:paraId="107D1CE9" w14:textId="77777777" w:rsidR="00E148AC" w:rsidRPr="001B4A02" w:rsidRDefault="00000000" w:rsidP="00D279BC">
      <w:pPr>
        <w:keepNext/>
        <w:ind w:left="0" w:firstLine="0"/>
        <w:jc w:val="center"/>
        <w:rPr>
          <w:del w:id="4049" w:author="AbbVie1" w:date="2025-05-13T09:50:00Z"/>
          <w:b/>
        </w:rPr>
      </w:pPr>
      <w:del w:id="4050" w:author="AbbVie1" w:date="2025-05-13T09:50:00Z">
        <w:r w:rsidRPr="001B4A02">
          <w:rPr>
            <w:b/>
          </w:rPr>
          <w:delText>Tabulka 1. Dávka přípravku Humira u</w:delText>
        </w:r>
        <w:r w:rsidR="00164B4F" w:rsidRPr="001B4A02">
          <w:rPr>
            <w:b/>
          </w:rPr>
          <w:delText> </w:delText>
        </w:r>
        <w:r w:rsidRPr="001B4A02">
          <w:rPr>
            <w:b/>
          </w:rPr>
          <w:delText>pacientů s polyartikulární juvenilní idiopatickou artritidou</w:delText>
        </w:r>
      </w:del>
    </w:p>
    <w:p w14:paraId="2ACADA88" w14:textId="77777777" w:rsidR="00E148AC" w:rsidRPr="001B4A02" w:rsidRDefault="00E148AC" w:rsidP="00D279BC">
      <w:pPr>
        <w:keepNext/>
        <w:ind w:left="0" w:firstLine="0"/>
        <w:jc w:val="center"/>
        <w:rPr>
          <w:del w:id="4051" w:author="AbbVie1" w:date="2025-05-13T09:50:00Z"/>
          <w:b/>
        </w:rPr>
      </w:pPr>
    </w:p>
    <w:tbl>
      <w:tblPr>
        <w:tblW w:w="7509" w:type="dxa"/>
        <w:jc w:val="center"/>
        <w:tblLayout w:type="fixed"/>
        <w:tblLook w:val="0000" w:firstRow="0" w:lastRow="0" w:firstColumn="0" w:lastColumn="0" w:noHBand="0" w:noVBand="0"/>
      </w:tblPr>
      <w:tblGrid>
        <w:gridCol w:w="3401"/>
        <w:gridCol w:w="4108"/>
      </w:tblGrid>
      <w:tr w:rsidR="00534A2D" w14:paraId="77E1029C" w14:textId="77777777" w:rsidTr="001E322F">
        <w:trPr>
          <w:tblHeader/>
          <w:jc w:val="center"/>
          <w:del w:id="4052" w:author="AbbVie1" w:date="2025-05-13T09:50:00Z"/>
        </w:trPr>
        <w:tc>
          <w:tcPr>
            <w:tcW w:w="3401" w:type="dxa"/>
            <w:tcBorders>
              <w:top w:val="single" w:sz="4" w:space="0" w:color="auto"/>
              <w:bottom w:val="single" w:sz="4" w:space="0" w:color="auto"/>
            </w:tcBorders>
            <w:shd w:val="clear" w:color="auto" w:fill="auto"/>
          </w:tcPr>
          <w:p w14:paraId="432E5C9C" w14:textId="77777777" w:rsidR="00E148AC" w:rsidRPr="001B4A02" w:rsidRDefault="00000000" w:rsidP="00090145">
            <w:pPr>
              <w:pStyle w:val="TableLeft"/>
              <w:jc w:val="center"/>
              <w:rPr>
                <w:del w:id="4053" w:author="AbbVie1" w:date="2025-05-13T09:50:00Z"/>
                <w:b/>
                <w:sz w:val="22"/>
                <w:szCs w:val="22"/>
                <w:lang w:val="cs-CZ"/>
              </w:rPr>
            </w:pPr>
            <w:del w:id="4054" w:author="AbbVie1" w:date="2025-05-13T09:50:00Z">
              <w:r w:rsidRPr="001B4A02">
                <w:rPr>
                  <w:b/>
                  <w:sz w:val="22"/>
                  <w:szCs w:val="22"/>
                  <w:lang w:val="cs-CZ"/>
                </w:rPr>
                <w:delText>Hmotnost pacienta</w:delText>
              </w:r>
            </w:del>
          </w:p>
        </w:tc>
        <w:tc>
          <w:tcPr>
            <w:tcW w:w="4108" w:type="dxa"/>
            <w:tcBorders>
              <w:top w:val="single" w:sz="4" w:space="0" w:color="auto"/>
              <w:bottom w:val="single" w:sz="4" w:space="0" w:color="auto"/>
            </w:tcBorders>
            <w:shd w:val="clear" w:color="auto" w:fill="auto"/>
          </w:tcPr>
          <w:p w14:paraId="64A3B844" w14:textId="77777777" w:rsidR="00E148AC" w:rsidRPr="001B4A02" w:rsidRDefault="00000000" w:rsidP="00090145">
            <w:pPr>
              <w:pStyle w:val="TableLeft"/>
              <w:jc w:val="center"/>
              <w:rPr>
                <w:del w:id="4055" w:author="AbbVie1" w:date="2025-05-13T09:50:00Z"/>
                <w:b/>
                <w:sz w:val="22"/>
                <w:szCs w:val="22"/>
                <w:lang w:val="cs-CZ"/>
              </w:rPr>
            </w:pPr>
            <w:del w:id="4056" w:author="AbbVie1" w:date="2025-05-13T09:50:00Z">
              <w:r w:rsidRPr="001B4A02">
                <w:rPr>
                  <w:b/>
                  <w:sz w:val="22"/>
                  <w:szCs w:val="22"/>
                  <w:lang w:val="cs-CZ"/>
                </w:rPr>
                <w:delText>Režim dávkování</w:delText>
              </w:r>
            </w:del>
          </w:p>
        </w:tc>
      </w:tr>
      <w:tr w:rsidR="00534A2D" w14:paraId="1EBB16D8" w14:textId="77777777" w:rsidTr="001E322F">
        <w:trPr>
          <w:tblHeader/>
          <w:jc w:val="center"/>
          <w:del w:id="4057" w:author="AbbVie1" w:date="2025-05-13T09:50:00Z"/>
        </w:trPr>
        <w:tc>
          <w:tcPr>
            <w:tcW w:w="3401" w:type="dxa"/>
            <w:tcBorders>
              <w:top w:val="single" w:sz="4" w:space="0" w:color="auto"/>
              <w:bottom w:val="single" w:sz="4" w:space="0" w:color="auto"/>
            </w:tcBorders>
            <w:shd w:val="clear" w:color="auto" w:fill="auto"/>
          </w:tcPr>
          <w:p w14:paraId="0E2E08D2" w14:textId="77777777" w:rsidR="00E148AC" w:rsidRPr="001B4A02" w:rsidRDefault="00000000" w:rsidP="00090145">
            <w:pPr>
              <w:pStyle w:val="TableLeft"/>
              <w:jc w:val="center"/>
              <w:rPr>
                <w:del w:id="4058" w:author="AbbVie1" w:date="2025-05-13T09:50:00Z"/>
                <w:b/>
                <w:sz w:val="22"/>
                <w:szCs w:val="22"/>
                <w:lang w:val="cs-CZ"/>
              </w:rPr>
            </w:pPr>
            <w:del w:id="4059" w:author="AbbVie1" w:date="2025-05-13T09:50:00Z">
              <w:r w:rsidRPr="001B4A02">
                <w:rPr>
                  <w:sz w:val="22"/>
                  <w:szCs w:val="22"/>
                  <w:lang w:val="cs-CZ"/>
                </w:rPr>
                <w:delText>10</w:delText>
              </w:r>
              <w:r w:rsidR="002767FC">
                <w:rPr>
                  <w:sz w:val="22"/>
                  <w:szCs w:val="22"/>
                  <w:lang w:val="cs-CZ"/>
                </w:rPr>
                <w:delText> kg</w:delText>
              </w:r>
              <w:r w:rsidRPr="001B4A02">
                <w:rPr>
                  <w:sz w:val="22"/>
                  <w:szCs w:val="22"/>
                  <w:lang w:val="cs-CZ"/>
                </w:rPr>
                <w:delText xml:space="preserve"> až &lt;</w:delText>
              </w:r>
              <w:r w:rsidR="007375A0"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4108" w:type="dxa"/>
            <w:tcBorders>
              <w:top w:val="single" w:sz="4" w:space="0" w:color="auto"/>
              <w:bottom w:val="single" w:sz="4" w:space="0" w:color="auto"/>
            </w:tcBorders>
            <w:shd w:val="clear" w:color="auto" w:fill="auto"/>
          </w:tcPr>
          <w:p w14:paraId="1715145E" w14:textId="77777777" w:rsidR="00E148AC" w:rsidRPr="001B4A02" w:rsidRDefault="00000000" w:rsidP="00090145">
            <w:pPr>
              <w:pStyle w:val="TableLeft"/>
              <w:jc w:val="center"/>
              <w:rPr>
                <w:del w:id="4060" w:author="AbbVie1" w:date="2025-05-13T09:50:00Z"/>
                <w:b/>
                <w:sz w:val="22"/>
                <w:szCs w:val="22"/>
                <w:lang w:val="cs-CZ"/>
              </w:rPr>
            </w:pPr>
            <w:del w:id="4061" w:author="AbbVie1" w:date="2025-05-13T09:50:00Z">
              <w:r w:rsidRPr="001B4A02">
                <w:rPr>
                  <w:sz w:val="22"/>
                  <w:szCs w:val="22"/>
                  <w:lang w:val="cs-CZ"/>
                </w:rPr>
                <w:delText>20</w:delText>
              </w:r>
              <w:r w:rsidR="00294902">
                <w:rPr>
                  <w:sz w:val="22"/>
                  <w:szCs w:val="22"/>
                  <w:lang w:val="cs-CZ"/>
                </w:rPr>
                <w:delText> mg</w:delText>
              </w:r>
              <w:r w:rsidRPr="001B4A02">
                <w:rPr>
                  <w:sz w:val="22"/>
                  <w:szCs w:val="22"/>
                  <w:lang w:val="cs-CZ"/>
                </w:rPr>
                <w:delText xml:space="preserve"> jednou za dva týdny</w:delText>
              </w:r>
            </w:del>
          </w:p>
        </w:tc>
      </w:tr>
      <w:tr w:rsidR="00534A2D" w14:paraId="630408AA" w14:textId="77777777" w:rsidTr="001E322F">
        <w:trPr>
          <w:tblHeader/>
          <w:jc w:val="center"/>
          <w:del w:id="4062" w:author="AbbVie1" w:date="2025-05-13T09:50:00Z"/>
        </w:trPr>
        <w:tc>
          <w:tcPr>
            <w:tcW w:w="3401" w:type="dxa"/>
            <w:tcBorders>
              <w:top w:val="single" w:sz="4" w:space="0" w:color="auto"/>
              <w:bottom w:val="single" w:sz="4" w:space="0" w:color="auto"/>
            </w:tcBorders>
            <w:shd w:val="clear" w:color="auto" w:fill="auto"/>
          </w:tcPr>
          <w:p w14:paraId="0A6814E5" w14:textId="77777777" w:rsidR="00E148AC" w:rsidRPr="001B4A02" w:rsidRDefault="00000000" w:rsidP="00090145">
            <w:pPr>
              <w:pStyle w:val="TableLeft"/>
              <w:jc w:val="center"/>
              <w:rPr>
                <w:del w:id="4063" w:author="AbbVie1" w:date="2025-05-13T09:50:00Z"/>
                <w:b/>
                <w:sz w:val="22"/>
                <w:szCs w:val="22"/>
                <w:lang w:val="cs-CZ"/>
              </w:rPr>
            </w:pPr>
            <w:del w:id="4064" w:author="AbbVie1" w:date="2025-05-13T09:50:00Z">
              <w:r w:rsidRPr="001B4A02">
                <w:rPr>
                  <w:sz w:val="22"/>
                  <w:szCs w:val="22"/>
                  <w:lang w:val="cs-CZ"/>
                </w:rPr>
                <w:delText>≥</w:delText>
              </w:r>
              <w:r w:rsidR="007375A0"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4108" w:type="dxa"/>
            <w:tcBorders>
              <w:top w:val="single" w:sz="4" w:space="0" w:color="auto"/>
              <w:bottom w:val="single" w:sz="4" w:space="0" w:color="auto"/>
            </w:tcBorders>
            <w:shd w:val="clear" w:color="auto" w:fill="auto"/>
          </w:tcPr>
          <w:p w14:paraId="55F6400D" w14:textId="77777777" w:rsidR="00E148AC" w:rsidRPr="001B4A02" w:rsidRDefault="00000000" w:rsidP="00090145">
            <w:pPr>
              <w:pStyle w:val="TableLeft"/>
              <w:jc w:val="center"/>
              <w:rPr>
                <w:del w:id="4065" w:author="AbbVie1" w:date="2025-05-13T09:50:00Z"/>
                <w:b/>
                <w:sz w:val="22"/>
                <w:szCs w:val="22"/>
                <w:lang w:val="cs-CZ"/>
              </w:rPr>
            </w:pPr>
            <w:del w:id="4066" w:author="AbbVie1" w:date="2025-05-13T09:50:00Z">
              <w:r w:rsidRPr="001B4A02">
                <w:rPr>
                  <w:sz w:val="22"/>
                  <w:szCs w:val="22"/>
                  <w:lang w:val="cs-CZ"/>
                </w:rPr>
                <w:delText>40</w:delText>
              </w:r>
              <w:r w:rsidR="00294902">
                <w:rPr>
                  <w:sz w:val="22"/>
                  <w:szCs w:val="22"/>
                  <w:lang w:val="cs-CZ"/>
                </w:rPr>
                <w:delText> mg</w:delText>
              </w:r>
              <w:r w:rsidRPr="001B4A02">
                <w:rPr>
                  <w:sz w:val="22"/>
                  <w:szCs w:val="22"/>
                  <w:lang w:val="cs-CZ"/>
                </w:rPr>
                <w:delText xml:space="preserve"> jednou za dva týdny</w:delText>
              </w:r>
            </w:del>
          </w:p>
        </w:tc>
      </w:tr>
    </w:tbl>
    <w:p w14:paraId="2CCD48B6" w14:textId="77777777" w:rsidR="00E04CE2" w:rsidRPr="001B4A02" w:rsidRDefault="00E04CE2" w:rsidP="00ED48A3">
      <w:pPr>
        <w:ind w:left="0" w:firstLine="0"/>
        <w:rPr>
          <w:del w:id="4067" w:author="AbbVie1" w:date="2025-05-13T09:50:00Z"/>
        </w:rPr>
      </w:pPr>
    </w:p>
    <w:p w14:paraId="5A6B379F" w14:textId="77777777" w:rsidR="00073F8F" w:rsidRPr="001B4A02" w:rsidRDefault="00000000" w:rsidP="00ED48A3">
      <w:pPr>
        <w:ind w:left="0" w:firstLine="0"/>
        <w:rPr>
          <w:del w:id="4068" w:author="AbbVie1" w:date="2025-05-13T09:50:00Z"/>
        </w:rPr>
      </w:pPr>
      <w:del w:id="4069" w:author="AbbVie1" w:date="2025-05-13T09:50:00Z">
        <w:r w:rsidRPr="001B4A02">
          <w:delText>Dostupné údaje naznačují, že klinické odpovědi je obvykle dosaženo v průběhu 12 týdnů léčby. Pokračování v léčbě je nutno pečlivě zvážit u</w:delText>
        </w:r>
        <w:r w:rsidR="00164B4F" w:rsidRPr="001B4A02">
          <w:delText> </w:delText>
        </w:r>
        <w:r w:rsidRPr="001B4A02">
          <w:delText>těch pacientů, u</w:delText>
        </w:r>
        <w:r w:rsidR="00164B4F" w:rsidRPr="001B4A02">
          <w:delText> </w:delText>
        </w:r>
        <w:r w:rsidRPr="001B4A02">
          <w:delText>kterých nedo</w:delText>
        </w:r>
        <w:r w:rsidR="00D279BC" w:rsidRPr="001B4A02">
          <w:delText>šlo během této doby k odpovědi.</w:delText>
        </w:r>
      </w:del>
    </w:p>
    <w:p w14:paraId="5E41AFDE" w14:textId="77777777" w:rsidR="00004A73" w:rsidRPr="001B4A02" w:rsidRDefault="00004A73" w:rsidP="00ED48A3">
      <w:pPr>
        <w:ind w:left="0" w:firstLine="0"/>
        <w:rPr>
          <w:del w:id="4070" w:author="AbbVie1" w:date="2025-05-13T09:50:00Z"/>
        </w:rPr>
      </w:pPr>
    </w:p>
    <w:p w14:paraId="1904C113" w14:textId="77777777" w:rsidR="0069579C" w:rsidRPr="001B4A02" w:rsidRDefault="00000000" w:rsidP="00ED48A3">
      <w:pPr>
        <w:rPr>
          <w:del w:id="4071" w:author="AbbVie1" w:date="2025-05-13T09:50:00Z"/>
          <w:color w:val="000000"/>
        </w:rPr>
      </w:pPr>
      <w:del w:id="4072" w:author="AbbVie1" w:date="2025-05-13T09:50:00Z">
        <w:r w:rsidRPr="001B4A02">
          <w:rPr>
            <w:color w:val="000000"/>
          </w:rPr>
          <w:delText>Použití přípravku Humira u</w:delText>
        </w:r>
        <w:r w:rsidR="00164B4F" w:rsidRPr="001B4A02">
          <w:rPr>
            <w:color w:val="000000"/>
          </w:rPr>
          <w:delText> </w:delText>
        </w:r>
        <w:r w:rsidRPr="001B4A02">
          <w:rPr>
            <w:color w:val="000000"/>
          </w:rPr>
          <w:delText>pacientů mladších než 2 roky není v této indikaci relevantní.</w:delText>
        </w:r>
      </w:del>
    </w:p>
    <w:p w14:paraId="666FBF2E" w14:textId="77777777" w:rsidR="00004A73" w:rsidRPr="001B4A02" w:rsidRDefault="00004A73" w:rsidP="00ED48A3">
      <w:pPr>
        <w:ind w:left="0" w:firstLine="0"/>
        <w:rPr>
          <w:del w:id="4073" w:author="AbbVie1" w:date="2025-05-13T09:50:00Z"/>
          <w:u w:val="single"/>
        </w:rPr>
      </w:pPr>
    </w:p>
    <w:p w14:paraId="68063A46" w14:textId="77777777" w:rsidR="00840619" w:rsidRPr="001B4A02" w:rsidRDefault="00000000" w:rsidP="00D279BC">
      <w:pPr>
        <w:ind w:left="0" w:firstLine="0"/>
        <w:rPr>
          <w:del w:id="4074" w:author="AbbVie1" w:date="2025-05-13T09:50:00Z"/>
        </w:rPr>
      </w:pPr>
      <w:del w:id="4075" w:author="AbbVie1" w:date="2025-05-13T09:50:00Z">
        <w:r w:rsidRPr="001B4A02">
          <w:delText xml:space="preserve">Přípravek Humira je k dispozici v dalších silách a/nebo </w:delText>
        </w:r>
        <w:r w:rsidR="00A43DB3">
          <w:delText>typech balení</w:delText>
        </w:r>
        <w:r w:rsidRPr="001B4A02">
          <w:delText xml:space="preserve"> v závislosti na individuálních potřebách léčby.</w:delText>
        </w:r>
      </w:del>
    </w:p>
    <w:p w14:paraId="51F68537" w14:textId="77777777" w:rsidR="00840619" w:rsidRPr="001B4A02" w:rsidRDefault="00840619" w:rsidP="00ED48A3">
      <w:pPr>
        <w:ind w:left="0" w:firstLine="0"/>
        <w:rPr>
          <w:del w:id="4076" w:author="AbbVie1" w:date="2025-05-13T09:50:00Z"/>
          <w:u w:val="single"/>
        </w:rPr>
      </w:pPr>
    </w:p>
    <w:p w14:paraId="79617D7F" w14:textId="77777777" w:rsidR="00E44CD4" w:rsidRPr="001B4A02" w:rsidRDefault="00000000" w:rsidP="00D279BC">
      <w:pPr>
        <w:keepNext/>
        <w:ind w:left="0" w:firstLine="0"/>
        <w:rPr>
          <w:del w:id="4077" w:author="AbbVie1" w:date="2025-05-13T09:50:00Z"/>
          <w:i/>
          <w:u w:val="single"/>
        </w:rPr>
      </w:pPr>
      <w:del w:id="4078" w:author="AbbVie1" w:date="2025-05-13T09:50:00Z">
        <w:r w:rsidRPr="001B4A02">
          <w:rPr>
            <w:i/>
            <w:u w:val="single"/>
          </w:rPr>
          <w:delText>Entezopatická artritida</w:delText>
        </w:r>
      </w:del>
    </w:p>
    <w:p w14:paraId="2C186E45" w14:textId="77777777" w:rsidR="004A00AF" w:rsidRPr="001B4A02" w:rsidRDefault="004A00AF" w:rsidP="00D279BC">
      <w:pPr>
        <w:keepNext/>
        <w:ind w:left="0" w:firstLine="0"/>
        <w:rPr>
          <w:del w:id="4079" w:author="AbbVie1" w:date="2025-05-13T09:50:00Z"/>
        </w:rPr>
      </w:pPr>
    </w:p>
    <w:p w14:paraId="404B0DBB" w14:textId="77777777" w:rsidR="00D6171D" w:rsidRPr="001B4A02" w:rsidRDefault="00000000" w:rsidP="00ED48A3">
      <w:pPr>
        <w:ind w:left="0" w:firstLine="0"/>
        <w:rPr>
          <w:del w:id="4080" w:author="AbbVie1" w:date="2025-05-13T09:50:00Z"/>
        </w:rPr>
      </w:pPr>
      <w:del w:id="4081" w:author="AbbVie1" w:date="2025-05-13T09:50:00Z">
        <w:r w:rsidRPr="001B4A02">
          <w:delText xml:space="preserve">Doporučená dávka </w:delText>
        </w:r>
        <w:r w:rsidR="00220665" w:rsidRPr="001B4A02">
          <w:delText xml:space="preserve">přípravku </w:delText>
        </w:r>
        <w:r w:rsidRPr="001B4A02">
          <w:delText>Humir</w:delText>
        </w:r>
        <w:r w:rsidR="00220665" w:rsidRPr="001B4A02">
          <w:delText>a</w:delText>
        </w:r>
        <w:r w:rsidRPr="001B4A02">
          <w:delText xml:space="preserve"> u</w:delText>
        </w:r>
        <w:r w:rsidR="00164B4F" w:rsidRPr="001B4A02">
          <w:delText> </w:delText>
        </w:r>
        <w:r w:rsidRPr="001B4A02">
          <w:delText>pacientů s ente</w:delText>
        </w:r>
        <w:r w:rsidR="00E44CD4" w:rsidRPr="001B4A02">
          <w:delText>zopatickou</w:delText>
        </w:r>
        <w:r w:rsidR="00164B4F" w:rsidRPr="001B4A02">
          <w:delText xml:space="preserve"> </w:delText>
        </w:r>
        <w:r w:rsidRPr="001B4A02">
          <w:delText xml:space="preserve">artritidou ve věku od 6 let </w:delText>
        </w:r>
        <w:r w:rsidR="00E148AC" w:rsidRPr="001B4A02">
          <w:delText xml:space="preserve">vychází z tělesné hmotnosti (tabulka 2). </w:delText>
        </w:r>
        <w:r w:rsidR="0024278A" w:rsidRPr="001B4A02">
          <w:delText xml:space="preserve">Přípravek </w:delText>
        </w:r>
        <w:r w:rsidR="00E148AC" w:rsidRPr="001B4A02">
          <w:delText xml:space="preserve">Humira se </w:delText>
        </w:r>
        <w:r w:rsidRPr="001B4A02">
          <w:delText>podáv</w:delText>
        </w:r>
        <w:r w:rsidR="00E148AC" w:rsidRPr="001B4A02">
          <w:delText>á</w:delText>
        </w:r>
        <w:r w:rsidRPr="001B4A02">
          <w:delText xml:space="preserve"> </w:delText>
        </w:r>
        <w:r w:rsidR="00EA5E2D" w:rsidRPr="001B4A02">
          <w:delText>jednou za dva týdny</w:delText>
        </w:r>
        <w:r w:rsidRPr="001B4A02">
          <w:delText xml:space="preserve"> subkutánní injekcí. </w:delText>
        </w:r>
      </w:del>
    </w:p>
    <w:p w14:paraId="1A5A8F69" w14:textId="77777777" w:rsidR="00D279BC" w:rsidRPr="001B4A02" w:rsidRDefault="00D279BC" w:rsidP="00ED48A3">
      <w:pPr>
        <w:ind w:left="0" w:firstLine="0"/>
        <w:rPr>
          <w:del w:id="4082" w:author="AbbVie1" w:date="2025-05-13T09:50:00Z"/>
        </w:rPr>
      </w:pPr>
    </w:p>
    <w:p w14:paraId="1F3C65C5" w14:textId="77777777" w:rsidR="00D6171D" w:rsidRPr="001B4A02" w:rsidRDefault="00000000" w:rsidP="00D279BC">
      <w:pPr>
        <w:keepNext/>
        <w:ind w:left="0" w:firstLine="0"/>
        <w:jc w:val="center"/>
        <w:rPr>
          <w:del w:id="4083" w:author="AbbVie1" w:date="2025-05-13T09:50:00Z"/>
          <w:b/>
        </w:rPr>
      </w:pPr>
      <w:del w:id="4084" w:author="AbbVie1" w:date="2025-05-13T09:50:00Z">
        <w:r w:rsidRPr="001B4A02">
          <w:rPr>
            <w:b/>
          </w:rPr>
          <w:delText>Tabulka 2. Dávka přípravku Humira u</w:delText>
        </w:r>
        <w:r w:rsidR="00164B4F" w:rsidRPr="001B4A02">
          <w:rPr>
            <w:b/>
          </w:rPr>
          <w:delText> </w:delText>
        </w:r>
        <w:r w:rsidRPr="001B4A02">
          <w:rPr>
            <w:b/>
          </w:rPr>
          <w:delText>pacientů s entezopatickou artritidou</w:delText>
        </w:r>
      </w:del>
    </w:p>
    <w:p w14:paraId="6B18FA00" w14:textId="77777777" w:rsidR="00D6171D" w:rsidRPr="001B4A02" w:rsidRDefault="00D6171D" w:rsidP="00D279BC">
      <w:pPr>
        <w:keepNext/>
        <w:ind w:left="0" w:firstLine="0"/>
        <w:jc w:val="center"/>
        <w:rPr>
          <w:del w:id="4085" w:author="AbbVie1" w:date="2025-05-13T09:50:00Z"/>
          <w:b/>
        </w:rPr>
      </w:pPr>
    </w:p>
    <w:tbl>
      <w:tblPr>
        <w:tblW w:w="6795" w:type="dxa"/>
        <w:jc w:val="center"/>
        <w:tblLayout w:type="fixed"/>
        <w:tblLook w:val="0000" w:firstRow="0" w:lastRow="0" w:firstColumn="0" w:lastColumn="0" w:noHBand="0" w:noVBand="0"/>
      </w:tblPr>
      <w:tblGrid>
        <w:gridCol w:w="3401"/>
        <w:gridCol w:w="3394"/>
      </w:tblGrid>
      <w:tr w:rsidR="00534A2D" w14:paraId="0E1500E1" w14:textId="77777777" w:rsidTr="00090145">
        <w:trPr>
          <w:tblHeader/>
          <w:jc w:val="center"/>
          <w:del w:id="4086" w:author="AbbVie1" w:date="2025-05-13T09:50:00Z"/>
        </w:trPr>
        <w:tc>
          <w:tcPr>
            <w:tcW w:w="3401" w:type="dxa"/>
            <w:tcBorders>
              <w:top w:val="single" w:sz="4" w:space="0" w:color="auto"/>
              <w:bottom w:val="single" w:sz="4" w:space="0" w:color="auto"/>
            </w:tcBorders>
            <w:shd w:val="clear" w:color="auto" w:fill="auto"/>
          </w:tcPr>
          <w:p w14:paraId="383BBE1F" w14:textId="77777777" w:rsidR="00D6171D" w:rsidRPr="001B4A02" w:rsidRDefault="00000000" w:rsidP="00090145">
            <w:pPr>
              <w:pStyle w:val="TableLeft"/>
              <w:jc w:val="center"/>
              <w:rPr>
                <w:del w:id="4087" w:author="AbbVie1" w:date="2025-05-13T09:50:00Z"/>
                <w:b/>
                <w:sz w:val="22"/>
                <w:szCs w:val="22"/>
                <w:lang w:val="cs-CZ"/>
              </w:rPr>
            </w:pPr>
            <w:del w:id="4088" w:author="AbbVie1" w:date="2025-05-13T09:50:00Z">
              <w:r w:rsidRPr="001B4A02">
                <w:rPr>
                  <w:b/>
                  <w:sz w:val="22"/>
                  <w:szCs w:val="22"/>
                  <w:lang w:val="cs-CZ"/>
                </w:rPr>
                <w:delText>Hmotnost pacienta</w:delText>
              </w:r>
            </w:del>
          </w:p>
        </w:tc>
        <w:tc>
          <w:tcPr>
            <w:tcW w:w="3394" w:type="dxa"/>
            <w:tcBorders>
              <w:top w:val="single" w:sz="4" w:space="0" w:color="auto"/>
              <w:bottom w:val="single" w:sz="4" w:space="0" w:color="auto"/>
            </w:tcBorders>
            <w:shd w:val="clear" w:color="auto" w:fill="auto"/>
          </w:tcPr>
          <w:p w14:paraId="66F9894B" w14:textId="77777777" w:rsidR="00D6171D" w:rsidRPr="001B4A02" w:rsidRDefault="00000000" w:rsidP="00090145">
            <w:pPr>
              <w:pStyle w:val="TableLeft"/>
              <w:jc w:val="center"/>
              <w:rPr>
                <w:del w:id="4089" w:author="AbbVie1" w:date="2025-05-13T09:50:00Z"/>
                <w:b/>
                <w:sz w:val="22"/>
                <w:szCs w:val="22"/>
                <w:lang w:val="cs-CZ"/>
              </w:rPr>
            </w:pPr>
            <w:del w:id="4090" w:author="AbbVie1" w:date="2025-05-13T09:50:00Z">
              <w:r w:rsidRPr="001B4A02">
                <w:rPr>
                  <w:b/>
                  <w:sz w:val="22"/>
                  <w:szCs w:val="22"/>
                  <w:lang w:val="cs-CZ"/>
                </w:rPr>
                <w:delText>Režim dávkování</w:delText>
              </w:r>
            </w:del>
          </w:p>
        </w:tc>
      </w:tr>
      <w:tr w:rsidR="00534A2D" w14:paraId="2A068B97" w14:textId="77777777" w:rsidTr="00090145">
        <w:trPr>
          <w:tblHeader/>
          <w:jc w:val="center"/>
          <w:del w:id="4091" w:author="AbbVie1" w:date="2025-05-13T09:50:00Z"/>
        </w:trPr>
        <w:tc>
          <w:tcPr>
            <w:tcW w:w="3401" w:type="dxa"/>
            <w:tcBorders>
              <w:top w:val="single" w:sz="4" w:space="0" w:color="auto"/>
              <w:bottom w:val="single" w:sz="4" w:space="0" w:color="auto"/>
            </w:tcBorders>
            <w:shd w:val="clear" w:color="auto" w:fill="auto"/>
          </w:tcPr>
          <w:p w14:paraId="56CF6A2A" w14:textId="77777777" w:rsidR="00D6171D" w:rsidRPr="001B4A02" w:rsidRDefault="00000000" w:rsidP="00090145">
            <w:pPr>
              <w:pStyle w:val="TableLeft"/>
              <w:jc w:val="center"/>
              <w:rPr>
                <w:del w:id="4092" w:author="AbbVie1" w:date="2025-05-13T09:50:00Z"/>
                <w:b/>
                <w:sz w:val="22"/>
                <w:szCs w:val="22"/>
                <w:lang w:val="cs-CZ"/>
              </w:rPr>
            </w:pPr>
            <w:del w:id="4093" w:author="AbbVie1" w:date="2025-05-13T09:50:00Z">
              <w:r w:rsidRPr="001B4A02">
                <w:rPr>
                  <w:sz w:val="22"/>
                  <w:szCs w:val="22"/>
                  <w:lang w:val="cs-CZ"/>
                </w:rPr>
                <w:delText>15</w:delText>
              </w:r>
              <w:r w:rsidR="002767FC">
                <w:rPr>
                  <w:sz w:val="22"/>
                  <w:szCs w:val="22"/>
                  <w:lang w:val="cs-CZ"/>
                </w:rPr>
                <w:delText> kg</w:delText>
              </w:r>
              <w:r w:rsidRPr="001B4A02">
                <w:rPr>
                  <w:sz w:val="22"/>
                  <w:szCs w:val="22"/>
                  <w:lang w:val="cs-CZ"/>
                </w:rPr>
                <w:delText xml:space="preserve"> až &lt;</w:delText>
              </w:r>
              <w:r w:rsidR="007375A0"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3394" w:type="dxa"/>
            <w:tcBorders>
              <w:top w:val="single" w:sz="4" w:space="0" w:color="auto"/>
              <w:bottom w:val="single" w:sz="4" w:space="0" w:color="auto"/>
            </w:tcBorders>
            <w:shd w:val="clear" w:color="auto" w:fill="auto"/>
          </w:tcPr>
          <w:p w14:paraId="6E28B076" w14:textId="77777777" w:rsidR="00D6171D" w:rsidRPr="001B4A02" w:rsidRDefault="00000000" w:rsidP="00090145">
            <w:pPr>
              <w:pStyle w:val="TableLeft"/>
              <w:jc w:val="center"/>
              <w:rPr>
                <w:del w:id="4094" w:author="AbbVie1" w:date="2025-05-13T09:50:00Z"/>
                <w:b/>
                <w:sz w:val="22"/>
                <w:szCs w:val="22"/>
                <w:lang w:val="cs-CZ"/>
              </w:rPr>
            </w:pPr>
            <w:del w:id="4095" w:author="AbbVie1" w:date="2025-05-13T09:50:00Z">
              <w:r w:rsidRPr="001B4A02">
                <w:rPr>
                  <w:sz w:val="22"/>
                  <w:szCs w:val="22"/>
                  <w:lang w:val="cs-CZ"/>
                </w:rPr>
                <w:delText>20</w:delText>
              </w:r>
              <w:r w:rsidR="00294902">
                <w:rPr>
                  <w:sz w:val="22"/>
                  <w:szCs w:val="22"/>
                  <w:lang w:val="cs-CZ"/>
                </w:rPr>
                <w:delText> mg</w:delText>
              </w:r>
              <w:r w:rsidRPr="001B4A02">
                <w:rPr>
                  <w:sz w:val="22"/>
                  <w:szCs w:val="22"/>
                  <w:lang w:val="cs-CZ"/>
                </w:rPr>
                <w:delText xml:space="preserve"> jednou za dva týdny</w:delText>
              </w:r>
            </w:del>
          </w:p>
        </w:tc>
      </w:tr>
      <w:tr w:rsidR="00534A2D" w14:paraId="5D2F5C1F" w14:textId="77777777" w:rsidTr="00090145">
        <w:trPr>
          <w:tblHeader/>
          <w:jc w:val="center"/>
          <w:del w:id="4096" w:author="AbbVie1" w:date="2025-05-13T09:50:00Z"/>
        </w:trPr>
        <w:tc>
          <w:tcPr>
            <w:tcW w:w="3401" w:type="dxa"/>
            <w:tcBorders>
              <w:top w:val="single" w:sz="4" w:space="0" w:color="auto"/>
              <w:bottom w:val="single" w:sz="4" w:space="0" w:color="auto"/>
            </w:tcBorders>
            <w:shd w:val="clear" w:color="auto" w:fill="auto"/>
          </w:tcPr>
          <w:p w14:paraId="5825E8E9" w14:textId="77777777" w:rsidR="00D6171D" w:rsidRPr="001B4A02" w:rsidRDefault="00000000" w:rsidP="00090145">
            <w:pPr>
              <w:pStyle w:val="TableLeft"/>
              <w:jc w:val="center"/>
              <w:rPr>
                <w:del w:id="4097" w:author="AbbVie1" w:date="2025-05-13T09:50:00Z"/>
                <w:b/>
                <w:sz w:val="22"/>
                <w:szCs w:val="22"/>
                <w:lang w:val="cs-CZ"/>
              </w:rPr>
            </w:pPr>
            <w:del w:id="4098" w:author="AbbVie1" w:date="2025-05-13T09:50:00Z">
              <w:r w:rsidRPr="001B4A02">
                <w:rPr>
                  <w:sz w:val="22"/>
                  <w:szCs w:val="22"/>
                  <w:lang w:val="cs-CZ"/>
                </w:rPr>
                <w:delText>≥</w:delText>
              </w:r>
              <w:r w:rsidR="007375A0"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3394" w:type="dxa"/>
            <w:tcBorders>
              <w:top w:val="single" w:sz="4" w:space="0" w:color="auto"/>
              <w:bottom w:val="single" w:sz="4" w:space="0" w:color="auto"/>
            </w:tcBorders>
            <w:shd w:val="clear" w:color="auto" w:fill="auto"/>
          </w:tcPr>
          <w:p w14:paraId="4165104E" w14:textId="77777777" w:rsidR="00D6171D" w:rsidRPr="001B4A02" w:rsidRDefault="00000000" w:rsidP="00090145">
            <w:pPr>
              <w:pStyle w:val="TableLeft"/>
              <w:jc w:val="center"/>
              <w:rPr>
                <w:del w:id="4099" w:author="AbbVie1" w:date="2025-05-13T09:50:00Z"/>
                <w:b/>
                <w:sz w:val="22"/>
                <w:szCs w:val="22"/>
                <w:lang w:val="cs-CZ"/>
              </w:rPr>
            </w:pPr>
            <w:del w:id="4100" w:author="AbbVie1" w:date="2025-05-13T09:50:00Z">
              <w:r w:rsidRPr="001B4A02">
                <w:rPr>
                  <w:sz w:val="22"/>
                  <w:szCs w:val="22"/>
                  <w:lang w:val="cs-CZ"/>
                </w:rPr>
                <w:delText>40</w:delText>
              </w:r>
              <w:r w:rsidR="00294902">
                <w:rPr>
                  <w:sz w:val="22"/>
                  <w:szCs w:val="22"/>
                  <w:lang w:val="cs-CZ"/>
                </w:rPr>
                <w:delText> mg</w:delText>
              </w:r>
              <w:r w:rsidRPr="001B4A02">
                <w:rPr>
                  <w:sz w:val="22"/>
                  <w:szCs w:val="22"/>
                  <w:lang w:val="cs-CZ"/>
                </w:rPr>
                <w:delText xml:space="preserve"> jednou za dva týdny</w:delText>
              </w:r>
            </w:del>
          </w:p>
        </w:tc>
      </w:tr>
    </w:tbl>
    <w:p w14:paraId="7CEDFEA7" w14:textId="77777777" w:rsidR="00D6171D" w:rsidRPr="001B4A02" w:rsidRDefault="00D6171D" w:rsidP="00D6171D">
      <w:pPr>
        <w:ind w:left="0" w:firstLine="0"/>
        <w:rPr>
          <w:del w:id="4101" w:author="AbbVie1" w:date="2025-05-13T09:50:00Z"/>
        </w:rPr>
      </w:pPr>
    </w:p>
    <w:p w14:paraId="514F545D" w14:textId="77777777" w:rsidR="004A00AF" w:rsidRPr="001B4A02" w:rsidRDefault="00000000" w:rsidP="00ED48A3">
      <w:pPr>
        <w:ind w:left="0" w:firstLine="0"/>
        <w:rPr>
          <w:del w:id="4102" w:author="AbbVie1" w:date="2025-05-13T09:50:00Z"/>
        </w:rPr>
      </w:pPr>
      <w:del w:id="4103" w:author="AbbVie1" w:date="2025-05-13T09:50:00Z">
        <w:r w:rsidRPr="001B4A02">
          <w:delText>Přípravek Humira nebyl studován u pacientů s ente</w:delText>
        </w:r>
        <w:r w:rsidR="00E44CD4" w:rsidRPr="001B4A02">
          <w:delText>zopatickou</w:delText>
        </w:r>
        <w:r w:rsidRPr="001B4A02">
          <w:delText> artritidou mladších než 6 let.</w:delText>
        </w:r>
      </w:del>
    </w:p>
    <w:p w14:paraId="6B644BD3" w14:textId="77777777" w:rsidR="004A00AF" w:rsidRPr="001B4A02" w:rsidRDefault="004A00AF" w:rsidP="00ED48A3">
      <w:pPr>
        <w:ind w:left="0" w:firstLine="0"/>
        <w:rPr>
          <w:del w:id="4104" w:author="AbbVie1" w:date="2025-05-13T09:50:00Z"/>
          <w:u w:val="single"/>
        </w:rPr>
      </w:pPr>
    </w:p>
    <w:p w14:paraId="01BDC7E8" w14:textId="77777777" w:rsidR="00840619" w:rsidRPr="001B4A02" w:rsidRDefault="00000000" w:rsidP="00840619">
      <w:pPr>
        <w:ind w:left="0" w:firstLine="0"/>
        <w:rPr>
          <w:del w:id="4105" w:author="AbbVie1" w:date="2025-05-13T09:50:00Z"/>
        </w:rPr>
      </w:pPr>
      <w:del w:id="4106" w:author="AbbVie1" w:date="2025-05-13T09:50:00Z">
        <w:r w:rsidRPr="001B4A02">
          <w:delText xml:space="preserve">Přípravek Humira je k dispozici v dalších silách a/nebo </w:delText>
        </w:r>
        <w:r w:rsidR="00A43DB3">
          <w:delText>typech balení</w:delText>
        </w:r>
        <w:r w:rsidRPr="001B4A02">
          <w:delText xml:space="preserve"> v závislosti na individuálních potřebách léčby.</w:delText>
        </w:r>
      </w:del>
    </w:p>
    <w:p w14:paraId="68AAB245" w14:textId="77777777" w:rsidR="00840619" w:rsidRDefault="00840619" w:rsidP="00ED48A3">
      <w:pPr>
        <w:ind w:left="0" w:firstLine="0"/>
        <w:rPr>
          <w:del w:id="4107" w:author="AbbVie1" w:date="2025-05-13T09:50:00Z"/>
          <w:u w:val="single"/>
        </w:rPr>
      </w:pPr>
    </w:p>
    <w:p w14:paraId="7785FA99" w14:textId="77777777" w:rsidR="00673B39" w:rsidRPr="001B4A02" w:rsidRDefault="00000000" w:rsidP="00673B39">
      <w:pPr>
        <w:keepNext/>
        <w:ind w:left="0" w:firstLine="0"/>
        <w:rPr>
          <w:del w:id="4108" w:author="AbbVie1" w:date="2025-05-13T09:50:00Z"/>
          <w:i/>
        </w:rPr>
      </w:pPr>
      <w:del w:id="4109" w:author="AbbVie1" w:date="2025-05-13T09:50:00Z">
        <w:r w:rsidRPr="001B4A02">
          <w:rPr>
            <w:i/>
          </w:rPr>
          <w:delText>Psoriatická artritida</w:delText>
        </w:r>
        <w:r w:rsidR="002378E0">
          <w:rPr>
            <w:i/>
          </w:rPr>
          <w:delText xml:space="preserve"> a </w:delText>
        </w:r>
        <w:r w:rsidRPr="001B4A02">
          <w:rPr>
            <w:i/>
          </w:rPr>
          <w:delText>axiální spondylartritida včetně ankylozující spondylitidy</w:delText>
        </w:r>
      </w:del>
    </w:p>
    <w:p w14:paraId="69EBC840" w14:textId="77777777" w:rsidR="00673B39" w:rsidRPr="001B4A02" w:rsidRDefault="00673B39" w:rsidP="00673B39">
      <w:pPr>
        <w:keepNext/>
        <w:ind w:left="0" w:firstLine="0"/>
        <w:rPr>
          <w:del w:id="4110" w:author="AbbVie1" w:date="2025-05-13T09:50:00Z"/>
        </w:rPr>
      </w:pPr>
    </w:p>
    <w:p w14:paraId="156E2515" w14:textId="77777777" w:rsidR="00673B39" w:rsidRPr="001B4A02" w:rsidRDefault="00000000" w:rsidP="00ED48A3">
      <w:pPr>
        <w:ind w:left="0" w:firstLine="0"/>
        <w:rPr>
          <w:del w:id="4111" w:author="AbbVie1" w:date="2025-05-13T09:50:00Z"/>
          <w:u w:val="single"/>
        </w:rPr>
      </w:pPr>
      <w:del w:id="4112" w:author="AbbVie1" w:date="2025-05-13T09:50:00Z">
        <w:r w:rsidRPr="001B4A02">
          <w:delText>Použití přípravku Humira u pediatrické populace není v indikaci ankylozující spondylartritidy nebo psoriatické artritidy relevantní.</w:delText>
        </w:r>
      </w:del>
    </w:p>
    <w:p w14:paraId="3D914456" w14:textId="77777777" w:rsidR="00106EFE" w:rsidRDefault="00106EFE" w:rsidP="00ED48A3">
      <w:pPr>
        <w:ind w:left="0" w:firstLine="0"/>
        <w:rPr>
          <w:del w:id="4113" w:author="AbbVie1" w:date="2025-05-13T09:50:00Z"/>
          <w:i/>
        </w:rPr>
      </w:pPr>
    </w:p>
    <w:p w14:paraId="08F76971" w14:textId="77777777" w:rsidR="00004A73" w:rsidRPr="001B4A02" w:rsidRDefault="00000000" w:rsidP="00ED48A3">
      <w:pPr>
        <w:ind w:left="0" w:firstLine="0"/>
        <w:rPr>
          <w:del w:id="4114" w:author="AbbVie1" w:date="2025-05-13T09:50:00Z"/>
          <w:i/>
        </w:rPr>
      </w:pPr>
      <w:del w:id="4115" w:author="AbbVie1" w:date="2025-05-13T09:50:00Z">
        <w:r w:rsidRPr="001B4A02">
          <w:rPr>
            <w:i/>
          </w:rPr>
          <w:delText>Ložisková psoriáza u pediatrických pacientů</w:delText>
        </w:r>
      </w:del>
    </w:p>
    <w:p w14:paraId="1694D17F" w14:textId="77777777" w:rsidR="00AC7C58" w:rsidRPr="001B4A02" w:rsidRDefault="00AC7C58" w:rsidP="00ED48A3">
      <w:pPr>
        <w:ind w:left="0" w:firstLine="0"/>
        <w:rPr>
          <w:del w:id="4116" w:author="AbbVie1" w:date="2025-05-13T09:50:00Z"/>
        </w:rPr>
      </w:pPr>
    </w:p>
    <w:p w14:paraId="6635A683" w14:textId="77777777" w:rsidR="00D6171D" w:rsidRDefault="00000000" w:rsidP="00E148AC">
      <w:pPr>
        <w:ind w:left="0" w:firstLine="0"/>
        <w:rPr>
          <w:del w:id="4117" w:author="AbbVie1" w:date="2025-05-13T09:50:00Z"/>
        </w:rPr>
      </w:pPr>
      <w:del w:id="4118" w:author="AbbVie1" w:date="2025-05-13T09:50:00Z">
        <w:r w:rsidRPr="001B4A02">
          <w:delText xml:space="preserve">Doporučená dávka </w:delText>
        </w:r>
        <w:r w:rsidR="00220665" w:rsidRPr="001B4A02">
          <w:delText xml:space="preserve">přípravku </w:delText>
        </w:r>
        <w:r w:rsidRPr="001B4A02">
          <w:delText>Humir</w:delText>
        </w:r>
        <w:r w:rsidR="00220665" w:rsidRPr="001B4A02">
          <w:delText>a</w:delText>
        </w:r>
        <w:r w:rsidRPr="001B4A02">
          <w:delText xml:space="preserve"> u</w:delText>
        </w:r>
        <w:r w:rsidR="00164B4F" w:rsidRPr="001B4A02">
          <w:delText> </w:delText>
        </w:r>
        <w:r w:rsidRPr="001B4A02">
          <w:delText>pacientů s ložiskovou psoriázou ve věku o</w:delText>
        </w:r>
        <w:r w:rsidR="00490910" w:rsidRPr="001B4A02">
          <w:delText>d</w:delText>
        </w:r>
        <w:r w:rsidRPr="001B4A02">
          <w:delText xml:space="preserve"> 4 do 17 let vychází z tělesné hmotnosti (tabulka 3). </w:delText>
        </w:r>
        <w:r w:rsidR="0024278A" w:rsidRPr="001B4A02">
          <w:delText xml:space="preserve">Přípravek </w:delText>
        </w:r>
        <w:r w:rsidRPr="001B4A02">
          <w:delText>Humira se podává subkutánní injekcí.</w:delText>
        </w:r>
      </w:del>
    </w:p>
    <w:p w14:paraId="3341E454" w14:textId="77777777" w:rsidR="00A43DB3" w:rsidRPr="001B4A02" w:rsidRDefault="00A43DB3" w:rsidP="00E148AC">
      <w:pPr>
        <w:ind w:left="0" w:firstLine="0"/>
        <w:rPr>
          <w:del w:id="4119" w:author="AbbVie1" w:date="2025-05-13T09:50:00Z"/>
        </w:rPr>
      </w:pPr>
    </w:p>
    <w:p w14:paraId="01E14435" w14:textId="77777777" w:rsidR="00D6171D" w:rsidRPr="001B4A02" w:rsidRDefault="00000000" w:rsidP="00D6171D">
      <w:pPr>
        <w:jc w:val="center"/>
        <w:rPr>
          <w:del w:id="4120" w:author="AbbVie1" w:date="2025-05-13T09:50:00Z"/>
          <w:b/>
          <w:szCs w:val="22"/>
        </w:rPr>
      </w:pPr>
      <w:del w:id="4121" w:author="AbbVie1" w:date="2025-05-13T09:50:00Z">
        <w:r w:rsidRPr="001B4A02">
          <w:rPr>
            <w:b/>
            <w:szCs w:val="22"/>
          </w:rPr>
          <w:delText>Tabulka 3. Dávka přípravku Humira u</w:delText>
        </w:r>
        <w:r w:rsidR="00164B4F" w:rsidRPr="001B4A02">
          <w:rPr>
            <w:b/>
            <w:szCs w:val="22"/>
          </w:rPr>
          <w:delText> </w:delText>
        </w:r>
        <w:r w:rsidRPr="001B4A02">
          <w:rPr>
            <w:b/>
            <w:szCs w:val="22"/>
          </w:rPr>
          <w:delText xml:space="preserve">pediatrických pacientů s ložiskovou psoriázou </w:delText>
        </w:r>
      </w:del>
    </w:p>
    <w:p w14:paraId="3A0268FD" w14:textId="77777777" w:rsidR="00D6171D" w:rsidRPr="001B4A02" w:rsidRDefault="00D6171D" w:rsidP="00D6171D">
      <w:pPr>
        <w:rPr>
          <w:del w:id="4122" w:author="AbbVie1" w:date="2025-05-13T09:50:00Z"/>
          <w:szCs w:val="22"/>
        </w:rPr>
      </w:pPr>
    </w:p>
    <w:tbl>
      <w:tblPr>
        <w:tblW w:w="7509" w:type="dxa"/>
        <w:jc w:val="center"/>
        <w:tblLayout w:type="fixed"/>
        <w:tblLook w:val="0000" w:firstRow="0" w:lastRow="0" w:firstColumn="0" w:lastColumn="0" w:noHBand="0" w:noVBand="0"/>
      </w:tblPr>
      <w:tblGrid>
        <w:gridCol w:w="3401"/>
        <w:gridCol w:w="4108"/>
      </w:tblGrid>
      <w:tr w:rsidR="00534A2D" w14:paraId="02CE838E" w14:textId="77777777" w:rsidTr="00490910">
        <w:trPr>
          <w:tblHeader/>
          <w:jc w:val="center"/>
          <w:del w:id="4123" w:author="AbbVie1" w:date="2025-05-13T09:50:00Z"/>
        </w:trPr>
        <w:tc>
          <w:tcPr>
            <w:tcW w:w="3401" w:type="dxa"/>
            <w:tcBorders>
              <w:top w:val="single" w:sz="4" w:space="0" w:color="auto"/>
              <w:bottom w:val="single" w:sz="4" w:space="0" w:color="auto"/>
            </w:tcBorders>
            <w:shd w:val="clear" w:color="auto" w:fill="auto"/>
          </w:tcPr>
          <w:p w14:paraId="0982938C" w14:textId="77777777" w:rsidR="00D6171D" w:rsidRPr="001B4A02" w:rsidRDefault="00000000" w:rsidP="00090145">
            <w:pPr>
              <w:pStyle w:val="TableLeft"/>
              <w:jc w:val="center"/>
              <w:rPr>
                <w:del w:id="4124" w:author="AbbVie1" w:date="2025-05-13T09:50:00Z"/>
                <w:b/>
                <w:sz w:val="22"/>
                <w:szCs w:val="22"/>
                <w:lang w:val="cs-CZ"/>
              </w:rPr>
            </w:pPr>
            <w:del w:id="4125" w:author="AbbVie1" w:date="2025-05-13T09:50:00Z">
              <w:r w:rsidRPr="001B4A02">
                <w:rPr>
                  <w:b/>
                  <w:sz w:val="22"/>
                  <w:szCs w:val="22"/>
                  <w:lang w:val="cs-CZ"/>
                </w:rPr>
                <w:delText>Hmotnost pacienta</w:delText>
              </w:r>
            </w:del>
          </w:p>
        </w:tc>
        <w:tc>
          <w:tcPr>
            <w:tcW w:w="4108" w:type="dxa"/>
            <w:tcBorders>
              <w:top w:val="single" w:sz="4" w:space="0" w:color="auto"/>
              <w:bottom w:val="single" w:sz="4" w:space="0" w:color="auto"/>
            </w:tcBorders>
            <w:shd w:val="clear" w:color="auto" w:fill="auto"/>
          </w:tcPr>
          <w:p w14:paraId="71631FF9" w14:textId="77777777" w:rsidR="00D6171D" w:rsidRPr="001B4A02" w:rsidRDefault="00000000" w:rsidP="00090145">
            <w:pPr>
              <w:pStyle w:val="TableLeft"/>
              <w:jc w:val="center"/>
              <w:rPr>
                <w:del w:id="4126" w:author="AbbVie1" w:date="2025-05-13T09:50:00Z"/>
                <w:b/>
                <w:sz w:val="22"/>
                <w:szCs w:val="22"/>
                <w:lang w:val="cs-CZ"/>
              </w:rPr>
            </w:pPr>
            <w:del w:id="4127" w:author="AbbVie1" w:date="2025-05-13T09:50:00Z">
              <w:r w:rsidRPr="001B4A02">
                <w:rPr>
                  <w:b/>
                  <w:sz w:val="22"/>
                  <w:szCs w:val="22"/>
                  <w:lang w:val="cs-CZ"/>
                </w:rPr>
                <w:delText>Režim dávkování</w:delText>
              </w:r>
            </w:del>
          </w:p>
        </w:tc>
      </w:tr>
      <w:tr w:rsidR="00534A2D" w14:paraId="22C5E150" w14:textId="77777777" w:rsidTr="00490910">
        <w:trPr>
          <w:tblHeader/>
          <w:jc w:val="center"/>
          <w:del w:id="4128" w:author="AbbVie1" w:date="2025-05-13T09:50:00Z"/>
        </w:trPr>
        <w:tc>
          <w:tcPr>
            <w:tcW w:w="3401" w:type="dxa"/>
            <w:tcBorders>
              <w:top w:val="single" w:sz="4" w:space="0" w:color="auto"/>
              <w:bottom w:val="single" w:sz="4" w:space="0" w:color="auto"/>
            </w:tcBorders>
            <w:shd w:val="clear" w:color="auto" w:fill="auto"/>
          </w:tcPr>
          <w:p w14:paraId="479987DF" w14:textId="77777777" w:rsidR="00D6171D" w:rsidRPr="001B4A02" w:rsidRDefault="00000000" w:rsidP="00090145">
            <w:pPr>
              <w:pStyle w:val="TableLeft"/>
              <w:jc w:val="center"/>
              <w:rPr>
                <w:del w:id="4129" w:author="AbbVie1" w:date="2025-05-13T09:50:00Z"/>
                <w:b/>
                <w:sz w:val="22"/>
                <w:szCs w:val="22"/>
                <w:lang w:val="cs-CZ"/>
              </w:rPr>
            </w:pPr>
            <w:del w:id="4130" w:author="AbbVie1" w:date="2025-05-13T09:50:00Z">
              <w:r w:rsidRPr="001B4A02">
                <w:rPr>
                  <w:sz w:val="22"/>
                  <w:szCs w:val="22"/>
                  <w:lang w:val="cs-CZ"/>
                </w:rPr>
                <w:delText>15</w:delText>
              </w:r>
              <w:r w:rsidR="002767FC">
                <w:rPr>
                  <w:sz w:val="22"/>
                  <w:szCs w:val="22"/>
                  <w:lang w:val="cs-CZ"/>
                </w:rPr>
                <w:delText> kg</w:delText>
              </w:r>
              <w:r w:rsidRPr="001B4A02">
                <w:rPr>
                  <w:sz w:val="22"/>
                  <w:szCs w:val="22"/>
                  <w:lang w:val="cs-CZ"/>
                </w:rPr>
                <w:delText xml:space="preserve"> až &lt;</w:delText>
              </w:r>
              <w:r w:rsidR="007375A0"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4108" w:type="dxa"/>
            <w:tcBorders>
              <w:top w:val="single" w:sz="4" w:space="0" w:color="auto"/>
              <w:bottom w:val="single" w:sz="4" w:space="0" w:color="auto"/>
            </w:tcBorders>
            <w:shd w:val="clear" w:color="auto" w:fill="auto"/>
          </w:tcPr>
          <w:p w14:paraId="67FE5313" w14:textId="77777777" w:rsidR="00D6171D" w:rsidRPr="001B4A02" w:rsidRDefault="00000000" w:rsidP="00090145">
            <w:pPr>
              <w:pStyle w:val="TableLeft"/>
              <w:jc w:val="center"/>
              <w:rPr>
                <w:del w:id="4131" w:author="AbbVie1" w:date="2025-05-13T09:50:00Z"/>
                <w:b/>
                <w:sz w:val="22"/>
                <w:szCs w:val="22"/>
                <w:lang w:val="cs-CZ"/>
              </w:rPr>
            </w:pPr>
            <w:del w:id="4132" w:author="AbbVie1" w:date="2025-05-13T09:50:00Z">
              <w:r w:rsidRPr="001B4A02">
                <w:rPr>
                  <w:sz w:val="22"/>
                  <w:szCs w:val="22"/>
                  <w:lang w:val="cs-CZ"/>
                </w:rPr>
                <w:delText>Úvodní dávka 20 mg s</w:delText>
              </w:r>
              <w:r w:rsidR="00A9166E" w:rsidRPr="001B4A02">
                <w:rPr>
                  <w:sz w:val="22"/>
                  <w:szCs w:val="22"/>
                  <w:lang w:val="cs-CZ"/>
                </w:rPr>
                <w:delText> </w:delText>
              </w:r>
              <w:r w:rsidRPr="001B4A02">
                <w:rPr>
                  <w:sz w:val="22"/>
                  <w:szCs w:val="22"/>
                  <w:lang w:val="cs-CZ"/>
                </w:rPr>
                <w:delText>následným podáváním 20 mg jednou za dva týdny od jednoho týdne po úvodní dávce</w:delText>
              </w:r>
            </w:del>
          </w:p>
        </w:tc>
      </w:tr>
      <w:tr w:rsidR="00534A2D" w14:paraId="42DC90CA" w14:textId="77777777" w:rsidTr="00490910">
        <w:trPr>
          <w:tblHeader/>
          <w:jc w:val="center"/>
          <w:del w:id="4133" w:author="AbbVie1" w:date="2025-05-13T09:50:00Z"/>
        </w:trPr>
        <w:tc>
          <w:tcPr>
            <w:tcW w:w="3401" w:type="dxa"/>
            <w:tcBorders>
              <w:top w:val="single" w:sz="4" w:space="0" w:color="auto"/>
              <w:bottom w:val="single" w:sz="4" w:space="0" w:color="auto"/>
            </w:tcBorders>
            <w:shd w:val="clear" w:color="auto" w:fill="auto"/>
          </w:tcPr>
          <w:p w14:paraId="1C6172A3" w14:textId="77777777" w:rsidR="00D6171D" w:rsidRPr="001B4A02" w:rsidRDefault="00000000" w:rsidP="00090145">
            <w:pPr>
              <w:pStyle w:val="TableLeft"/>
              <w:jc w:val="center"/>
              <w:rPr>
                <w:del w:id="4134" w:author="AbbVie1" w:date="2025-05-13T09:50:00Z"/>
                <w:b/>
                <w:sz w:val="22"/>
                <w:szCs w:val="22"/>
                <w:lang w:val="cs-CZ"/>
              </w:rPr>
            </w:pPr>
            <w:del w:id="4135" w:author="AbbVie1" w:date="2025-05-13T09:50:00Z">
              <w:r w:rsidRPr="001B4A02">
                <w:rPr>
                  <w:sz w:val="22"/>
                  <w:szCs w:val="22"/>
                  <w:lang w:val="cs-CZ"/>
                </w:rPr>
                <w:delText>≥</w:delText>
              </w:r>
              <w:r w:rsidR="008E5C77"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4108" w:type="dxa"/>
            <w:tcBorders>
              <w:top w:val="single" w:sz="4" w:space="0" w:color="auto"/>
              <w:bottom w:val="single" w:sz="4" w:space="0" w:color="auto"/>
            </w:tcBorders>
            <w:shd w:val="clear" w:color="auto" w:fill="auto"/>
          </w:tcPr>
          <w:p w14:paraId="61779002" w14:textId="77777777" w:rsidR="00D6171D" w:rsidRPr="001B4A02" w:rsidRDefault="00000000" w:rsidP="00090145">
            <w:pPr>
              <w:pStyle w:val="TableLeft"/>
              <w:jc w:val="center"/>
              <w:rPr>
                <w:del w:id="4136" w:author="AbbVie1" w:date="2025-05-13T09:50:00Z"/>
                <w:b/>
                <w:sz w:val="22"/>
                <w:szCs w:val="22"/>
                <w:lang w:val="cs-CZ"/>
              </w:rPr>
            </w:pPr>
            <w:del w:id="4137" w:author="AbbVie1" w:date="2025-05-13T09:50:00Z">
              <w:r w:rsidRPr="001B4A02">
                <w:rPr>
                  <w:sz w:val="22"/>
                  <w:szCs w:val="22"/>
                  <w:lang w:val="cs-CZ"/>
                </w:rPr>
                <w:delText>Úvodní dávka 40 mg s</w:delText>
              </w:r>
              <w:r w:rsidR="00A9166E" w:rsidRPr="001B4A02">
                <w:rPr>
                  <w:sz w:val="22"/>
                  <w:szCs w:val="22"/>
                  <w:lang w:val="cs-CZ"/>
                </w:rPr>
                <w:delText> </w:delText>
              </w:r>
              <w:r w:rsidRPr="001B4A02">
                <w:rPr>
                  <w:sz w:val="22"/>
                  <w:szCs w:val="22"/>
                  <w:lang w:val="cs-CZ"/>
                </w:rPr>
                <w:delText>následným podáváním 40 mg jednou za dva týdny od jednoho týdne po úvodní dávce</w:delText>
              </w:r>
            </w:del>
          </w:p>
        </w:tc>
      </w:tr>
    </w:tbl>
    <w:p w14:paraId="22AB7D16" w14:textId="77777777" w:rsidR="00D6171D" w:rsidRPr="001B4A02" w:rsidRDefault="00D6171D" w:rsidP="00E148AC">
      <w:pPr>
        <w:ind w:left="0" w:firstLine="0"/>
        <w:rPr>
          <w:del w:id="4138" w:author="AbbVie1" w:date="2025-05-13T09:50:00Z"/>
        </w:rPr>
      </w:pPr>
    </w:p>
    <w:p w14:paraId="27EA7775" w14:textId="77777777" w:rsidR="009E5A29" w:rsidRPr="001B4A02" w:rsidRDefault="00000000" w:rsidP="00ED48A3">
      <w:pPr>
        <w:ind w:left="0" w:firstLine="0"/>
        <w:rPr>
          <w:del w:id="4139" w:author="AbbVie1" w:date="2025-05-13T09:50:00Z"/>
        </w:rPr>
      </w:pPr>
      <w:del w:id="4140" w:author="AbbVie1" w:date="2025-05-13T09:50:00Z">
        <w:r w:rsidRPr="001B4A02">
          <w:delText>Pokračování terapie déle než 16 týdnů by mělo být pečlivě zváženo u</w:delText>
        </w:r>
        <w:r w:rsidR="00164B4F" w:rsidRPr="001B4A02">
          <w:delText> </w:delText>
        </w:r>
        <w:r w:rsidRPr="001B4A02">
          <w:delText>pacientů, kteří během této doby na léčbu neodpovídají.</w:delText>
        </w:r>
      </w:del>
    </w:p>
    <w:p w14:paraId="68F57B66" w14:textId="77777777" w:rsidR="009E5A29" w:rsidRPr="001B4A02" w:rsidRDefault="009E5A29" w:rsidP="00ED48A3">
      <w:pPr>
        <w:ind w:left="0" w:firstLine="0"/>
        <w:rPr>
          <w:del w:id="4141" w:author="AbbVie1" w:date="2025-05-13T09:50:00Z"/>
        </w:rPr>
      </w:pPr>
    </w:p>
    <w:p w14:paraId="2C8BE53A" w14:textId="77777777" w:rsidR="009E5A29" w:rsidRPr="001B4A02" w:rsidRDefault="00000000" w:rsidP="00ED48A3">
      <w:pPr>
        <w:ind w:left="0" w:firstLine="0"/>
        <w:rPr>
          <w:del w:id="4142" w:author="AbbVie1" w:date="2025-05-13T09:50:00Z"/>
        </w:rPr>
      </w:pPr>
      <w:del w:id="4143" w:author="AbbVie1" w:date="2025-05-13T09:50:00Z">
        <w:r w:rsidRPr="001B4A02">
          <w:delText>Je-li léčba přípravkem Humira indikována opětovně, měl by být dodržen výše uvedený postup dávkování</w:delText>
        </w:r>
        <w:r w:rsidR="002378E0">
          <w:delText xml:space="preserve"> a </w:delText>
        </w:r>
        <w:r w:rsidRPr="001B4A02">
          <w:delText>trvání léčby.</w:delText>
        </w:r>
      </w:del>
    </w:p>
    <w:p w14:paraId="0DE5AE80" w14:textId="77777777" w:rsidR="009E5A29" w:rsidRPr="001B4A02" w:rsidRDefault="009E5A29" w:rsidP="00ED48A3">
      <w:pPr>
        <w:ind w:left="0" w:firstLine="0"/>
        <w:rPr>
          <w:del w:id="4144" w:author="AbbVie1" w:date="2025-05-13T09:50:00Z"/>
        </w:rPr>
      </w:pPr>
    </w:p>
    <w:p w14:paraId="3F642277" w14:textId="77777777" w:rsidR="009E5A29" w:rsidRPr="001B4A02" w:rsidRDefault="00000000" w:rsidP="00ED48A3">
      <w:pPr>
        <w:ind w:left="0" w:firstLine="0"/>
        <w:rPr>
          <w:del w:id="4145" w:author="AbbVie1" w:date="2025-05-13T09:50:00Z"/>
        </w:rPr>
      </w:pPr>
      <w:del w:id="4146" w:author="AbbVie1" w:date="2025-05-13T09:50:00Z">
        <w:r w:rsidRPr="001B4A02">
          <w:delText>Bezpečnost přípravku Humira u</w:delText>
        </w:r>
        <w:r w:rsidR="00164B4F" w:rsidRPr="001B4A02">
          <w:delText> </w:delText>
        </w:r>
        <w:r w:rsidRPr="001B4A02">
          <w:delText>pediatrických p</w:delText>
        </w:r>
        <w:r w:rsidR="00452697" w:rsidRPr="001B4A02">
          <w:delText xml:space="preserve">acientů s ložiskovou psoriázou </w:delText>
        </w:r>
        <w:r w:rsidRPr="001B4A02">
          <w:delText>byla hodnocena průměrně 13 měsíců.</w:delText>
        </w:r>
      </w:del>
    </w:p>
    <w:p w14:paraId="7F8B1162" w14:textId="77777777" w:rsidR="009E5A29" w:rsidRPr="001B4A02" w:rsidRDefault="009E5A29" w:rsidP="00ED48A3">
      <w:pPr>
        <w:ind w:left="0" w:firstLine="0"/>
        <w:rPr>
          <w:del w:id="4147" w:author="AbbVie1" w:date="2025-05-13T09:50:00Z"/>
        </w:rPr>
      </w:pPr>
    </w:p>
    <w:p w14:paraId="1526DADC" w14:textId="77777777" w:rsidR="009E5A29" w:rsidRPr="001B4A02" w:rsidRDefault="00000000" w:rsidP="00ED48A3">
      <w:pPr>
        <w:ind w:left="0" w:firstLine="0"/>
        <w:rPr>
          <w:del w:id="4148" w:author="AbbVie1" w:date="2025-05-13T09:50:00Z"/>
        </w:rPr>
      </w:pPr>
      <w:del w:id="4149" w:author="AbbVie1" w:date="2025-05-13T09:50:00Z">
        <w:r w:rsidRPr="001B4A02">
          <w:delText>Použití přípravku Humira u</w:delText>
        </w:r>
        <w:r w:rsidR="00164B4F" w:rsidRPr="001B4A02">
          <w:delText> </w:delText>
        </w:r>
        <w:r w:rsidRPr="001B4A02">
          <w:delText>dětí mladších než 4 roky není v této indikaci relevantní.</w:delText>
        </w:r>
      </w:del>
    </w:p>
    <w:p w14:paraId="0EA6DFF3" w14:textId="77777777" w:rsidR="009E5A29" w:rsidRPr="001B4A02" w:rsidRDefault="009E5A29" w:rsidP="00ED48A3">
      <w:pPr>
        <w:ind w:left="0" w:firstLine="0"/>
        <w:rPr>
          <w:del w:id="4150" w:author="AbbVie1" w:date="2025-05-13T09:50:00Z"/>
        </w:rPr>
      </w:pPr>
    </w:p>
    <w:p w14:paraId="32EA1F55" w14:textId="77777777" w:rsidR="00840619" w:rsidRPr="001B4A02" w:rsidRDefault="00000000" w:rsidP="00840619">
      <w:pPr>
        <w:ind w:left="0" w:firstLine="0"/>
        <w:rPr>
          <w:del w:id="4151" w:author="AbbVie1" w:date="2025-05-13T09:50:00Z"/>
        </w:rPr>
      </w:pPr>
      <w:del w:id="4152" w:author="AbbVie1" w:date="2025-05-13T09:50:00Z">
        <w:r w:rsidRPr="001B4A02">
          <w:delText xml:space="preserve">Přípravek Humira je k dispozici v dalších silách a/nebo </w:delText>
        </w:r>
        <w:r w:rsidR="00A43DB3">
          <w:delText>typech balení</w:delText>
        </w:r>
        <w:r w:rsidRPr="001B4A02">
          <w:delText xml:space="preserve"> v závislosti na individuálních potřebách léčby.</w:delText>
        </w:r>
      </w:del>
    </w:p>
    <w:p w14:paraId="5AC0C03E" w14:textId="77777777" w:rsidR="00840619" w:rsidRPr="001B4A02" w:rsidRDefault="00840619" w:rsidP="00ED48A3">
      <w:pPr>
        <w:ind w:left="0" w:firstLine="0"/>
        <w:rPr>
          <w:del w:id="4153" w:author="AbbVie1" w:date="2025-05-13T09:50:00Z"/>
        </w:rPr>
      </w:pPr>
    </w:p>
    <w:p w14:paraId="2F9BE57D" w14:textId="77777777" w:rsidR="003F14A8" w:rsidRPr="001B4A02" w:rsidRDefault="00000000" w:rsidP="00ED48A3">
      <w:pPr>
        <w:keepNext/>
        <w:rPr>
          <w:del w:id="4154" w:author="AbbVie1" w:date="2025-05-13T09:50:00Z"/>
          <w:i/>
        </w:rPr>
      </w:pPr>
      <w:del w:id="4155" w:author="AbbVie1" w:date="2025-05-13T09:50:00Z">
        <w:r w:rsidRPr="001B4A02">
          <w:rPr>
            <w:i/>
            <w:iCs/>
            <w:szCs w:val="22"/>
          </w:rPr>
          <w:delText>Hidradenitis suppurativa u</w:delText>
        </w:r>
        <w:r w:rsidR="00164B4F" w:rsidRPr="001B4A02">
          <w:rPr>
            <w:i/>
            <w:iCs/>
            <w:szCs w:val="22"/>
          </w:rPr>
          <w:delText> </w:delText>
        </w:r>
        <w:r w:rsidRPr="001B4A02">
          <w:rPr>
            <w:i/>
            <w:iCs/>
            <w:szCs w:val="22"/>
          </w:rPr>
          <w:delText>dospívajících (od 12 let s</w:delText>
        </w:r>
        <w:r w:rsidR="00A9166E" w:rsidRPr="001B4A02">
          <w:rPr>
            <w:i/>
            <w:iCs/>
            <w:szCs w:val="22"/>
          </w:rPr>
          <w:delText> </w:delText>
        </w:r>
        <w:r w:rsidRPr="001B4A02">
          <w:rPr>
            <w:i/>
            <w:iCs/>
            <w:szCs w:val="22"/>
          </w:rPr>
          <w:delText>tělesnou hmotností nejméně 30</w:delText>
        </w:r>
        <w:r w:rsidR="002767FC">
          <w:rPr>
            <w:i/>
            <w:iCs/>
            <w:szCs w:val="22"/>
          </w:rPr>
          <w:delText> kg</w:delText>
        </w:r>
        <w:r w:rsidRPr="001B4A02">
          <w:rPr>
            <w:i/>
            <w:iCs/>
            <w:szCs w:val="22"/>
          </w:rPr>
          <w:delText>)</w:delText>
        </w:r>
      </w:del>
    </w:p>
    <w:p w14:paraId="0ABFB385" w14:textId="77777777" w:rsidR="003F14A8" w:rsidRPr="001B4A02" w:rsidRDefault="003F14A8" w:rsidP="00ED48A3">
      <w:pPr>
        <w:keepNext/>
        <w:rPr>
          <w:del w:id="4156" w:author="AbbVie1" w:date="2025-05-13T09:50:00Z"/>
          <w:i/>
        </w:rPr>
      </w:pPr>
    </w:p>
    <w:p w14:paraId="7756B740" w14:textId="77777777" w:rsidR="003F14A8" w:rsidRPr="001B4A02" w:rsidRDefault="00000000" w:rsidP="00ED48A3">
      <w:pPr>
        <w:ind w:left="0" w:firstLine="0"/>
        <w:rPr>
          <w:del w:id="4157" w:author="AbbVie1" w:date="2025-05-13T09:50:00Z"/>
          <w:shd w:val="clear" w:color="auto" w:fill="FFFFFF"/>
        </w:rPr>
      </w:pPr>
      <w:del w:id="4158" w:author="AbbVie1" w:date="2025-05-13T09:50:00Z">
        <w:r w:rsidRPr="001B4A02">
          <w:rPr>
            <w:szCs w:val="22"/>
          </w:rPr>
          <w:delText>U dospívajících pacientů s</w:delText>
        </w:r>
        <w:r w:rsidR="00A9166E" w:rsidRPr="001B4A02">
          <w:rPr>
            <w:szCs w:val="22"/>
          </w:rPr>
          <w:delText> </w:delText>
        </w:r>
        <w:r w:rsidRPr="001B4A02">
          <w:rPr>
            <w:szCs w:val="22"/>
          </w:rPr>
          <w:delText>HS nejsou provedeny žádné klinické studie</w:delText>
        </w:r>
        <w:r w:rsidR="00062315" w:rsidRPr="001B4A02">
          <w:rPr>
            <w:szCs w:val="22"/>
          </w:rPr>
          <w:delText xml:space="preserve"> u</w:delText>
        </w:r>
        <w:r w:rsidR="00A9166E" w:rsidRPr="001B4A02">
          <w:rPr>
            <w:szCs w:val="22"/>
          </w:rPr>
          <w:delText> </w:delText>
        </w:r>
        <w:r w:rsidR="00062315" w:rsidRPr="001B4A02">
          <w:rPr>
            <w:szCs w:val="22"/>
          </w:rPr>
          <w:delText xml:space="preserve">přípravku Humira. </w:delText>
        </w:r>
        <w:r w:rsidRPr="001B4A02">
          <w:rPr>
            <w:szCs w:val="22"/>
          </w:rPr>
          <w:delText>Dávkování přípravku Humira u</w:delText>
        </w:r>
        <w:r w:rsidR="00A9166E" w:rsidRPr="001B4A02">
          <w:rPr>
            <w:szCs w:val="22"/>
          </w:rPr>
          <w:delText> </w:delText>
        </w:r>
        <w:r w:rsidRPr="001B4A02">
          <w:rPr>
            <w:szCs w:val="22"/>
          </w:rPr>
          <w:delText>těchto pacientů bylo stanoveno na základě farmakokinetického modelování</w:delText>
        </w:r>
        <w:r w:rsidR="002378E0">
          <w:rPr>
            <w:szCs w:val="22"/>
          </w:rPr>
          <w:delText xml:space="preserve"> a </w:delText>
        </w:r>
        <w:r w:rsidRPr="001B4A02">
          <w:rPr>
            <w:szCs w:val="22"/>
          </w:rPr>
          <w:delText>simu</w:delText>
        </w:r>
        <w:r w:rsidR="005C3967" w:rsidRPr="001B4A02">
          <w:rPr>
            <w:szCs w:val="22"/>
          </w:rPr>
          <w:delText>la</w:delText>
        </w:r>
        <w:r w:rsidRPr="001B4A02">
          <w:rPr>
            <w:szCs w:val="22"/>
          </w:rPr>
          <w:delText>ce (viz bod 5.2).</w:delText>
        </w:r>
      </w:del>
    </w:p>
    <w:p w14:paraId="54C10C75" w14:textId="77777777" w:rsidR="003F14A8" w:rsidRPr="001B4A02" w:rsidRDefault="003F14A8" w:rsidP="00ED48A3">
      <w:pPr>
        <w:pStyle w:val="EMEANormal"/>
        <w:rPr>
          <w:del w:id="4159" w:author="AbbVie1" w:date="2025-05-13T09:50:00Z"/>
          <w:lang w:val="cs-CZ"/>
        </w:rPr>
      </w:pPr>
    </w:p>
    <w:p w14:paraId="0D07C83D" w14:textId="77777777" w:rsidR="003F14A8" w:rsidRPr="001B4A02" w:rsidRDefault="00000000" w:rsidP="00ED48A3">
      <w:pPr>
        <w:pStyle w:val="EMEANormal"/>
        <w:rPr>
          <w:del w:id="4160" w:author="AbbVie1" w:date="2025-05-13T09:50:00Z"/>
          <w:lang w:val="cs-CZ"/>
        </w:rPr>
      </w:pPr>
      <w:del w:id="4161" w:author="AbbVie1" w:date="2025-05-13T09:50:00Z">
        <w:r w:rsidRPr="001B4A02">
          <w:rPr>
            <w:szCs w:val="22"/>
            <w:lang w:val="cs-CZ"/>
          </w:rPr>
          <w:delText>Doporučená dávka přípravku Humira je 80</w:delText>
        </w:r>
        <w:r w:rsidR="00294902">
          <w:rPr>
            <w:szCs w:val="22"/>
            <w:lang w:val="cs-CZ"/>
          </w:rPr>
          <w:delText> mg</w:delText>
        </w:r>
        <w:r w:rsidRPr="001B4A02">
          <w:rPr>
            <w:szCs w:val="22"/>
            <w:lang w:val="cs-CZ"/>
          </w:rPr>
          <w:delText xml:space="preserve"> v</w:delText>
        </w:r>
        <w:r w:rsidR="00A9166E" w:rsidRPr="001B4A02">
          <w:rPr>
            <w:szCs w:val="22"/>
            <w:lang w:val="cs-CZ"/>
          </w:rPr>
          <w:delText> </w:delText>
        </w:r>
        <w:r w:rsidRPr="001B4A02">
          <w:rPr>
            <w:szCs w:val="22"/>
            <w:lang w:val="cs-CZ"/>
          </w:rPr>
          <w:delText>týdnu 0 následovaná dávkou 40</w:delText>
        </w:r>
        <w:r w:rsidR="00294902">
          <w:rPr>
            <w:szCs w:val="22"/>
            <w:lang w:val="cs-CZ"/>
          </w:rPr>
          <w:delText> mg</w:delText>
        </w:r>
        <w:r w:rsidRPr="001B4A02">
          <w:rPr>
            <w:szCs w:val="22"/>
            <w:lang w:val="cs-CZ"/>
          </w:rPr>
          <w:delText xml:space="preserve"> podávanou každý druhý týden od týdne 1 ve formě subkutánní injekce.</w:delText>
        </w:r>
        <w:r w:rsidR="008E6252" w:rsidRPr="001B4A02">
          <w:rPr>
            <w:szCs w:val="22"/>
            <w:lang w:val="cs-CZ"/>
          </w:rPr>
          <w:delText xml:space="preserve"> </w:delText>
        </w:r>
      </w:del>
    </w:p>
    <w:p w14:paraId="7E997691" w14:textId="77777777" w:rsidR="003F14A8" w:rsidRPr="001B4A02" w:rsidRDefault="003F14A8" w:rsidP="00ED48A3">
      <w:pPr>
        <w:pStyle w:val="EMEANormal"/>
        <w:rPr>
          <w:del w:id="4162" w:author="AbbVie1" w:date="2025-05-13T09:50:00Z"/>
          <w:lang w:val="cs-CZ"/>
        </w:rPr>
      </w:pPr>
    </w:p>
    <w:p w14:paraId="60669189" w14:textId="77777777" w:rsidR="003F14A8" w:rsidRPr="001B4A02" w:rsidRDefault="00000000" w:rsidP="00ED48A3">
      <w:pPr>
        <w:ind w:left="0" w:firstLine="0"/>
        <w:rPr>
          <w:del w:id="4163" w:author="AbbVie1" w:date="2025-05-13T09:50:00Z"/>
        </w:rPr>
      </w:pPr>
      <w:del w:id="4164" w:author="AbbVie1" w:date="2025-05-13T09:50:00Z">
        <w:r w:rsidRPr="001B4A02">
          <w:rPr>
            <w:szCs w:val="22"/>
          </w:rPr>
          <w:delText>U dospívajících pacientů s</w:delText>
        </w:r>
        <w:r w:rsidR="00A9166E" w:rsidRPr="001B4A02">
          <w:rPr>
            <w:szCs w:val="22"/>
          </w:rPr>
          <w:delText> </w:delText>
        </w:r>
        <w:r w:rsidRPr="001B4A02">
          <w:rPr>
            <w:szCs w:val="22"/>
          </w:rPr>
          <w:delText>nedostatečnou odpovědí na dávku 40</w:delText>
        </w:r>
        <w:r w:rsidR="00294902">
          <w:rPr>
            <w:szCs w:val="22"/>
          </w:rPr>
          <w:delText> mg</w:delText>
        </w:r>
        <w:r w:rsidRPr="001B4A02">
          <w:rPr>
            <w:szCs w:val="22"/>
          </w:rPr>
          <w:delText xml:space="preserve"> přípravku Humira podávanou každé dva týdny může být zváženo zvýšení dávkování na 40</w:delText>
        </w:r>
        <w:r w:rsidR="00294902">
          <w:rPr>
            <w:szCs w:val="22"/>
          </w:rPr>
          <w:delText> mg</w:delText>
        </w:r>
        <w:r w:rsidRPr="001B4A02">
          <w:rPr>
            <w:szCs w:val="22"/>
          </w:rPr>
          <w:delText xml:space="preserve"> jednou týdně</w:delText>
        </w:r>
        <w:r w:rsidR="00840619" w:rsidRPr="001B4A02">
          <w:rPr>
            <w:szCs w:val="22"/>
          </w:rPr>
          <w:delText xml:space="preserve"> nebo 80</w:delText>
        </w:r>
        <w:r w:rsidR="00294902">
          <w:rPr>
            <w:szCs w:val="22"/>
          </w:rPr>
          <w:delText> mg</w:delText>
        </w:r>
        <w:r w:rsidR="00840619" w:rsidRPr="001B4A02">
          <w:rPr>
            <w:szCs w:val="22"/>
          </w:rPr>
          <w:delText xml:space="preserve"> jednou za dva týdny</w:delText>
        </w:r>
        <w:r w:rsidRPr="001B4A02">
          <w:rPr>
            <w:szCs w:val="22"/>
          </w:rPr>
          <w:delText>.</w:delText>
        </w:r>
      </w:del>
    </w:p>
    <w:p w14:paraId="59EA0E28" w14:textId="77777777" w:rsidR="003F14A8" w:rsidRPr="001B4A02" w:rsidRDefault="003F14A8" w:rsidP="00ED48A3">
      <w:pPr>
        <w:pStyle w:val="EMEANormal"/>
        <w:rPr>
          <w:del w:id="4165" w:author="AbbVie1" w:date="2025-05-13T09:50:00Z"/>
          <w:lang w:val="cs-CZ"/>
        </w:rPr>
      </w:pPr>
    </w:p>
    <w:p w14:paraId="032E0920" w14:textId="77777777" w:rsidR="003F14A8" w:rsidRPr="001B4A02" w:rsidRDefault="00000000" w:rsidP="00ED48A3">
      <w:pPr>
        <w:pStyle w:val="EMEANormal"/>
        <w:rPr>
          <w:del w:id="4166" w:author="AbbVie1" w:date="2025-05-13T09:50:00Z"/>
          <w:lang w:val="cs-CZ"/>
        </w:rPr>
      </w:pPr>
      <w:del w:id="4167" w:author="AbbVie1" w:date="2025-05-13T09:50:00Z">
        <w:r w:rsidRPr="001B4A02">
          <w:rPr>
            <w:szCs w:val="22"/>
            <w:lang w:val="cs-CZ"/>
          </w:rPr>
          <w:delText>Je-li to nutné, léčba antibiotiky může během léčby přípravkem Humira pokračovat. Pacientům se během léčby přípravkem Humira doporučuje provádět denně lokální antiseptické ošetření na místech s</w:delText>
        </w:r>
        <w:r w:rsidR="00DA73B0" w:rsidRPr="001B4A02">
          <w:rPr>
            <w:szCs w:val="22"/>
            <w:lang w:val="cs-CZ"/>
          </w:rPr>
          <w:delText> </w:delText>
        </w:r>
        <w:r w:rsidRPr="001B4A02">
          <w:rPr>
            <w:szCs w:val="22"/>
            <w:lang w:val="cs-CZ"/>
          </w:rPr>
          <w:delText>HS léz</w:delText>
        </w:r>
        <w:r w:rsidR="000D4B6E" w:rsidRPr="001B4A02">
          <w:rPr>
            <w:szCs w:val="22"/>
            <w:lang w:val="cs-CZ"/>
          </w:rPr>
          <w:delText>emi</w:delText>
        </w:r>
        <w:r w:rsidRPr="001B4A02">
          <w:rPr>
            <w:szCs w:val="22"/>
            <w:lang w:val="cs-CZ"/>
          </w:rPr>
          <w:delText>.</w:delText>
        </w:r>
      </w:del>
    </w:p>
    <w:p w14:paraId="1820B604" w14:textId="77777777" w:rsidR="003F14A8" w:rsidRPr="001B4A02" w:rsidRDefault="003F14A8" w:rsidP="00ED48A3">
      <w:pPr>
        <w:pStyle w:val="EMEANormal"/>
        <w:rPr>
          <w:del w:id="4168" w:author="AbbVie1" w:date="2025-05-13T09:50:00Z"/>
          <w:lang w:val="cs-CZ"/>
        </w:rPr>
      </w:pPr>
    </w:p>
    <w:p w14:paraId="39F3836F" w14:textId="77777777" w:rsidR="003F14A8" w:rsidRPr="001B4A02" w:rsidRDefault="00000000" w:rsidP="00ED48A3">
      <w:pPr>
        <w:pStyle w:val="EMEANormal"/>
        <w:rPr>
          <w:del w:id="4169" w:author="AbbVie1" w:date="2025-05-13T09:50:00Z"/>
          <w:lang w:val="cs-CZ"/>
        </w:rPr>
      </w:pPr>
      <w:del w:id="4170" w:author="AbbVie1" w:date="2025-05-13T09:50:00Z">
        <w:r w:rsidRPr="001B4A02">
          <w:rPr>
            <w:szCs w:val="22"/>
            <w:lang w:val="cs-CZ"/>
          </w:rPr>
          <w:delText>Pokračování léčby nad 12 týdnů by mělo být pečlivě zváženo u</w:delText>
        </w:r>
        <w:r w:rsidR="00164B4F" w:rsidRPr="001B4A02">
          <w:rPr>
            <w:szCs w:val="22"/>
            <w:lang w:val="cs-CZ"/>
          </w:rPr>
          <w:delText> </w:delText>
        </w:r>
        <w:r w:rsidRPr="001B4A02">
          <w:rPr>
            <w:szCs w:val="22"/>
            <w:lang w:val="cs-CZ"/>
          </w:rPr>
          <w:delText>pacientů, u</w:delText>
        </w:r>
        <w:r w:rsidR="00164B4F" w:rsidRPr="001B4A02">
          <w:rPr>
            <w:szCs w:val="22"/>
            <w:lang w:val="cs-CZ"/>
          </w:rPr>
          <w:delText> </w:delText>
        </w:r>
        <w:r w:rsidRPr="001B4A02">
          <w:rPr>
            <w:szCs w:val="22"/>
            <w:lang w:val="cs-CZ"/>
          </w:rPr>
          <w:delText>kterých během tohoto období nedošlo k</w:delText>
        </w:r>
        <w:r w:rsidR="00B66B89" w:rsidRPr="001B4A02">
          <w:rPr>
            <w:szCs w:val="22"/>
            <w:lang w:val="cs-CZ"/>
          </w:rPr>
          <w:delText> </w:delText>
        </w:r>
        <w:r w:rsidRPr="001B4A02">
          <w:rPr>
            <w:szCs w:val="22"/>
            <w:lang w:val="cs-CZ"/>
          </w:rPr>
          <w:delText>žádnému zlepšení.</w:delText>
        </w:r>
      </w:del>
    </w:p>
    <w:p w14:paraId="4E060AD8" w14:textId="77777777" w:rsidR="003F14A8" w:rsidRPr="001B4A02" w:rsidRDefault="003F14A8" w:rsidP="00ED48A3">
      <w:pPr>
        <w:rPr>
          <w:del w:id="4171" w:author="AbbVie1" w:date="2025-05-13T09:50:00Z"/>
          <w:i/>
        </w:rPr>
      </w:pPr>
    </w:p>
    <w:p w14:paraId="58DAF249" w14:textId="77777777" w:rsidR="003F14A8" w:rsidRPr="001B4A02" w:rsidRDefault="00000000" w:rsidP="00ED48A3">
      <w:pPr>
        <w:pStyle w:val="EMEANormal"/>
        <w:rPr>
          <w:del w:id="4172" w:author="AbbVie1" w:date="2025-05-13T09:50:00Z"/>
          <w:lang w:val="cs-CZ"/>
        </w:rPr>
      </w:pPr>
      <w:del w:id="4173" w:author="AbbVie1" w:date="2025-05-13T09:50:00Z">
        <w:r w:rsidRPr="001B4A02">
          <w:rPr>
            <w:szCs w:val="22"/>
            <w:lang w:val="cs-CZ"/>
          </w:rPr>
          <w:delText xml:space="preserve">Pokud je třeba léčbu přerušit, </w:delText>
        </w:r>
        <w:r w:rsidR="009E16E4" w:rsidRPr="001B4A02">
          <w:rPr>
            <w:szCs w:val="22"/>
            <w:lang w:val="cs-CZ"/>
          </w:rPr>
          <w:delText xml:space="preserve">může být léčba přípravkem </w:delText>
        </w:r>
        <w:r w:rsidRPr="001B4A02">
          <w:rPr>
            <w:szCs w:val="22"/>
            <w:lang w:val="cs-CZ"/>
          </w:rPr>
          <w:delText>Humira</w:delText>
        </w:r>
        <w:r w:rsidR="009E16E4" w:rsidRPr="001B4A02">
          <w:rPr>
            <w:szCs w:val="22"/>
            <w:lang w:val="cs-CZ"/>
          </w:rPr>
          <w:delText xml:space="preserve"> podle potřeby</w:delText>
        </w:r>
        <w:r w:rsidR="0077404D" w:rsidRPr="001B4A02">
          <w:rPr>
            <w:szCs w:val="22"/>
            <w:lang w:val="cs-CZ"/>
          </w:rPr>
          <w:delText xml:space="preserve"> znovu zaháj</w:delText>
        </w:r>
        <w:r w:rsidR="009E16E4" w:rsidRPr="001B4A02">
          <w:rPr>
            <w:szCs w:val="22"/>
            <w:lang w:val="cs-CZ"/>
          </w:rPr>
          <w:delText>ena</w:delText>
        </w:r>
        <w:r w:rsidRPr="001B4A02">
          <w:rPr>
            <w:szCs w:val="22"/>
            <w:lang w:val="cs-CZ"/>
          </w:rPr>
          <w:delText>.</w:delText>
        </w:r>
      </w:del>
    </w:p>
    <w:p w14:paraId="628DB0FC" w14:textId="77777777" w:rsidR="003F14A8" w:rsidRPr="001B4A02" w:rsidRDefault="003F14A8" w:rsidP="00ED48A3">
      <w:pPr>
        <w:pStyle w:val="EMEANormal"/>
        <w:rPr>
          <w:del w:id="4174" w:author="AbbVie1" w:date="2025-05-13T09:50:00Z"/>
          <w:lang w:val="cs-CZ"/>
        </w:rPr>
      </w:pPr>
    </w:p>
    <w:p w14:paraId="70CBA4E9" w14:textId="77777777" w:rsidR="003F14A8" w:rsidRPr="001B4A02" w:rsidRDefault="00000000" w:rsidP="00ED48A3">
      <w:pPr>
        <w:pStyle w:val="EMEANormal"/>
        <w:rPr>
          <w:del w:id="4175" w:author="AbbVie1" w:date="2025-05-13T09:50:00Z"/>
          <w:lang w:val="cs-CZ"/>
        </w:rPr>
      </w:pPr>
      <w:del w:id="4176" w:author="AbbVie1" w:date="2025-05-13T09:50:00Z">
        <w:r w:rsidRPr="001B4A02">
          <w:rPr>
            <w:szCs w:val="22"/>
            <w:lang w:val="cs-CZ"/>
          </w:rPr>
          <w:delText>Přínos</w:delText>
        </w:r>
        <w:r w:rsidR="002378E0">
          <w:rPr>
            <w:szCs w:val="22"/>
            <w:lang w:val="cs-CZ"/>
          </w:rPr>
          <w:delText xml:space="preserve"> a </w:delText>
        </w:r>
        <w:r w:rsidRPr="001B4A02">
          <w:rPr>
            <w:szCs w:val="22"/>
            <w:lang w:val="cs-CZ"/>
          </w:rPr>
          <w:delText>rizika nepřetržité dlouhodobé léčby mají být pravidelně přehodnocovány (viz data u</w:delText>
        </w:r>
        <w:r w:rsidR="00164B4F" w:rsidRPr="001B4A02">
          <w:rPr>
            <w:szCs w:val="22"/>
            <w:lang w:val="cs-CZ"/>
          </w:rPr>
          <w:delText> </w:delText>
        </w:r>
        <w:r w:rsidRPr="001B4A02">
          <w:rPr>
            <w:szCs w:val="22"/>
            <w:lang w:val="cs-CZ"/>
          </w:rPr>
          <w:delText>dospělých v</w:delText>
        </w:r>
        <w:r w:rsidR="00EF0AF7" w:rsidRPr="001B4A02">
          <w:rPr>
            <w:szCs w:val="22"/>
            <w:lang w:val="cs-CZ"/>
          </w:rPr>
          <w:delText> </w:delText>
        </w:r>
        <w:r w:rsidRPr="001B4A02">
          <w:rPr>
            <w:szCs w:val="22"/>
            <w:lang w:val="cs-CZ"/>
          </w:rPr>
          <w:delText>bodě 5.1).</w:delText>
        </w:r>
      </w:del>
    </w:p>
    <w:p w14:paraId="4F827807" w14:textId="77777777" w:rsidR="003F14A8" w:rsidRPr="001B4A02" w:rsidRDefault="003F14A8" w:rsidP="00ED48A3">
      <w:pPr>
        <w:pStyle w:val="EMEANormal"/>
        <w:rPr>
          <w:del w:id="4177" w:author="AbbVie1" w:date="2025-05-13T09:50:00Z"/>
          <w:lang w:val="cs-CZ"/>
        </w:rPr>
      </w:pPr>
    </w:p>
    <w:p w14:paraId="5B438845" w14:textId="77777777" w:rsidR="00294685" w:rsidRPr="001B4A02" w:rsidRDefault="00000000" w:rsidP="00ED48A3">
      <w:pPr>
        <w:ind w:left="0" w:firstLine="0"/>
        <w:rPr>
          <w:del w:id="4178" w:author="AbbVie1" w:date="2025-05-13T09:50:00Z"/>
          <w:i/>
        </w:rPr>
      </w:pPr>
      <w:del w:id="4179" w:author="AbbVie1" w:date="2025-05-13T09:50:00Z">
        <w:r w:rsidRPr="001B4A02">
          <w:rPr>
            <w:szCs w:val="22"/>
          </w:rPr>
          <w:delText>Použití přípravku Humira u</w:delText>
        </w:r>
        <w:r w:rsidR="00EF0AF7" w:rsidRPr="001B4A02">
          <w:rPr>
            <w:szCs w:val="22"/>
          </w:rPr>
          <w:delText> </w:delText>
        </w:r>
        <w:r w:rsidRPr="001B4A02">
          <w:rPr>
            <w:szCs w:val="22"/>
          </w:rPr>
          <w:delText xml:space="preserve">dětí </w:delText>
        </w:r>
        <w:r w:rsidR="00BC482C" w:rsidRPr="001B4A02">
          <w:rPr>
            <w:szCs w:val="22"/>
          </w:rPr>
          <w:delText>mladších než</w:delText>
        </w:r>
        <w:r w:rsidRPr="001B4A02">
          <w:rPr>
            <w:szCs w:val="22"/>
          </w:rPr>
          <w:delText xml:space="preserve"> 12 let není </w:delText>
        </w:r>
        <w:r w:rsidR="00BC482C" w:rsidRPr="001B4A02">
          <w:rPr>
            <w:szCs w:val="22"/>
          </w:rPr>
          <w:delText xml:space="preserve">v této indikaci </w:delText>
        </w:r>
        <w:r w:rsidRPr="001B4A02">
          <w:rPr>
            <w:szCs w:val="22"/>
          </w:rPr>
          <w:delText>relevantní.</w:delText>
        </w:r>
      </w:del>
    </w:p>
    <w:p w14:paraId="48CFB634" w14:textId="77777777" w:rsidR="00294685" w:rsidRPr="001B4A02" w:rsidRDefault="00294685" w:rsidP="00ED48A3">
      <w:pPr>
        <w:ind w:left="0" w:firstLine="0"/>
        <w:rPr>
          <w:del w:id="4180" w:author="AbbVie1" w:date="2025-05-13T09:50:00Z"/>
          <w:i/>
        </w:rPr>
      </w:pPr>
    </w:p>
    <w:p w14:paraId="638DBB63" w14:textId="77777777" w:rsidR="00840619" w:rsidRPr="001B4A02" w:rsidRDefault="00000000" w:rsidP="00ED48A3">
      <w:pPr>
        <w:ind w:left="0" w:firstLine="0"/>
        <w:rPr>
          <w:del w:id="4181" w:author="AbbVie1" w:date="2025-05-13T09:50:00Z"/>
        </w:rPr>
      </w:pPr>
      <w:del w:id="4182" w:author="AbbVie1" w:date="2025-05-13T09:50:00Z">
        <w:r w:rsidRPr="001B4A02">
          <w:delText xml:space="preserve">Přípravek Humira je k dispozici v dalších silách a/nebo </w:delText>
        </w:r>
        <w:r w:rsidR="00A43DB3">
          <w:delText>typech balení</w:delText>
        </w:r>
        <w:r w:rsidRPr="001B4A02">
          <w:delText xml:space="preserve"> v závislosti na individuálních potřebách léčby.</w:delText>
        </w:r>
      </w:del>
    </w:p>
    <w:p w14:paraId="4F5A9E47" w14:textId="77777777" w:rsidR="00840619" w:rsidRPr="001B4A02" w:rsidRDefault="00840619" w:rsidP="00ED48A3">
      <w:pPr>
        <w:ind w:left="0" w:firstLine="0"/>
        <w:rPr>
          <w:del w:id="4183" w:author="AbbVie1" w:date="2025-05-13T09:50:00Z"/>
          <w:i/>
        </w:rPr>
      </w:pPr>
    </w:p>
    <w:p w14:paraId="6276F769" w14:textId="77777777" w:rsidR="00D8741F" w:rsidRPr="001B4A02" w:rsidRDefault="00000000" w:rsidP="00D279BC">
      <w:pPr>
        <w:keepNext/>
        <w:ind w:left="0" w:firstLine="0"/>
        <w:rPr>
          <w:del w:id="4184" w:author="AbbVie1" w:date="2025-05-13T09:50:00Z"/>
          <w:i/>
        </w:rPr>
      </w:pPr>
      <w:del w:id="4185" w:author="AbbVie1" w:date="2025-05-13T09:50:00Z">
        <w:r w:rsidRPr="001B4A02">
          <w:rPr>
            <w:i/>
          </w:rPr>
          <w:delText>Crohnova</w:delText>
        </w:r>
        <w:r w:rsidR="006E75F4" w:rsidRPr="001B4A02">
          <w:rPr>
            <w:i/>
          </w:rPr>
          <w:delText xml:space="preserve"> choroba u pediatrických pacien</w:delText>
        </w:r>
        <w:r w:rsidRPr="001B4A02">
          <w:rPr>
            <w:i/>
          </w:rPr>
          <w:delText>t</w:delText>
        </w:r>
        <w:r w:rsidR="006E75F4" w:rsidRPr="001B4A02">
          <w:rPr>
            <w:i/>
          </w:rPr>
          <w:delText>ů</w:delText>
        </w:r>
      </w:del>
    </w:p>
    <w:p w14:paraId="08FE6D63" w14:textId="77777777" w:rsidR="00D8741F" w:rsidRPr="001B4A02" w:rsidRDefault="00D8741F" w:rsidP="00D279BC">
      <w:pPr>
        <w:keepNext/>
        <w:ind w:left="0" w:firstLine="0"/>
        <w:rPr>
          <w:del w:id="4186" w:author="AbbVie1" w:date="2025-05-13T09:50:00Z"/>
        </w:rPr>
      </w:pPr>
    </w:p>
    <w:p w14:paraId="23B71435" w14:textId="77777777" w:rsidR="008E6252" w:rsidRPr="001B4A02" w:rsidRDefault="00000000" w:rsidP="008E6252">
      <w:pPr>
        <w:ind w:left="0" w:firstLine="0"/>
        <w:rPr>
          <w:del w:id="4187" w:author="AbbVie1" w:date="2025-05-13T09:50:00Z"/>
        </w:rPr>
      </w:pPr>
      <w:del w:id="4188" w:author="AbbVie1" w:date="2025-05-13T09:50:00Z">
        <w:r w:rsidRPr="001B4A02">
          <w:delText>Doporučen</w:delText>
        </w:r>
        <w:r w:rsidR="003941F6" w:rsidRPr="001B4A02">
          <w:delText>á</w:delText>
        </w:r>
        <w:r w:rsidRPr="001B4A02">
          <w:delText xml:space="preserve"> dávk</w:delText>
        </w:r>
        <w:r w:rsidR="003941F6" w:rsidRPr="001B4A02">
          <w:delText>a</w:delText>
        </w:r>
        <w:r w:rsidRPr="001B4A02">
          <w:delText xml:space="preserve"> přípravku Humira u pacientů s</w:delText>
        </w:r>
        <w:r w:rsidR="00A9166E" w:rsidRPr="001B4A02">
          <w:delText> </w:delText>
        </w:r>
        <w:r w:rsidRPr="001B4A02">
          <w:delText xml:space="preserve">Crohnovou chorobou ve věku od 6 do 17 let vychází z tělesné hmotnosti (tabulka 4). </w:delText>
        </w:r>
        <w:r w:rsidR="0024278A" w:rsidRPr="001B4A02">
          <w:delText xml:space="preserve">Přípravek </w:delText>
        </w:r>
        <w:r w:rsidRPr="001B4A02">
          <w:delText xml:space="preserve">Humira se podává subkutánní injekcí. </w:delText>
        </w:r>
      </w:del>
    </w:p>
    <w:p w14:paraId="418EF34B" w14:textId="77777777" w:rsidR="008E6252" w:rsidRPr="001B4A02" w:rsidRDefault="008E6252" w:rsidP="008E6252">
      <w:pPr>
        <w:ind w:left="0" w:firstLine="0"/>
        <w:rPr>
          <w:del w:id="4189" w:author="AbbVie1" w:date="2025-05-13T09:50:00Z"/>
        </w:rPr>
      </w:pPr>
    </w:p>
    <w:p w14:paraId="24186D5F" w14:textId="77777777" w:rsidR="008E6252" w:rsidRPr="001B4A02" w:rsidRDefault="00000000" w:rsidP="008E6252">
      <w:pPr>
        <w:keepNext/>
        <w:jc w:val="center"/>
        <w:rPr>
          <w:del w:id="4190" w:author="AbbVie1" w:date="2025-05-13T09:50:00Z"/>
          <w:b/>
          <w:szCs w:val="22"/>
        </w:rPr>
      </w:pPr>
      <w:del w:id="4191" w:author="AbbVie1" w:date="2025-05-13T09:50:00Z">
        <w:r w:rsidRPr="001B4A02">
          <w:rPr>
            <w:b/>
            <w:szCs w:val="22"/>
          </w:rPr>
          <w:delText>Tabulka 4. Dávka přípravku Humira u</w:delText>
        </w:r>
        <w:r w:rsidR="00164B4F" w:rsidRPr="001B4A02">
          <w:rPr>
            <w:b/>
            <w:szCs w:val="22"/>
          </w:rPr>
          <w:delText> </w:delText>
        </w:r>
        <w:r w:rsidRPr="001B4A02">
          <w:rPr>
            <w:b/>
            <w:szCs w:val="22"/>
          </w:rPr>
          <w:delText>pediatrických pacientů s Crohnovou chorobou</w:delText>
        </w:r>
      </w:del>
    </w:p>
    <w:p w14:paraId="5828A948" w14:textId="77777777" w:rsidR="008E6252" w:rsidRPr="001B4A02" w:rsidRDefault="008E6252" w:rsidP="008E6252">
      <w:pPr>
        <w:keepNext/>
        <w:rPr>
          <w:del w:id="4192" w:author="AbbVie1" w:date="2025-05-13T09:50:00Z"/>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3"/>
        <w:gridCol w:w="5811"/>
        <w:gridCol w:w="1691"/>
      </w:tblGrid>
      <w:tr w:rsidR="00534A2D" w14:paraId="7C9D37E6" w14:textId="77777777" w:rsidTr="00DC6AFE">
        <w:trPr>
          <w:tblHeader/>
          <w:del w:id="4193" w:author="AbbVie1" w:date="2025-05-13T09:50:00Z"/>
        </w:trPr>
        <w:tc>
          <w:tcPr>
            <w:tcW w:w="857" w:type="pct"/>
            <w:tcBorders>
              <w:top w:val="single" w:sz="6" w:space="0" w:color="000000"/>
              <w:left w:val="single" w:sz="6" w:space="0" w:color="000000"/>
              <w:bottom w:val="single" w:sz="6" w:space="0" w:color="000000"/>
              <w:right w:val="single" w:sz="6" w:space="0" w:color="000000"/>
            </w:tcBorders>
            <w:hideMark/>
          </w:tcPr>
          <w:p w14:paraId="2AF30BD8" w14:textId="77777777" w:rsidR="008E6252" w:rsidRPr="001B4A02" w:rsidRDefault="00000000" w:rsidP="00253ABE">
            <w:pPr>
              <w:keepNext/>
              <w:ind w:left="0" w:firstLine="0"/>
              <w:jc w:val="center"/>
              <w:rPr>
                <w:del w:id="4194" w:author="AbbVie1" w:date="2025-05-13T09:50:00Z"/>
              </w:rPr>
            </w:pPr>
            <w:del w:id="4195" w:author="AbbVie1" w:date="2025-05-13T09:50:00Z">
              <w:r w:rsidRPr="001B4A02">
                <w:rPr>
                  <w:b/>
                </w:rPr>
                <w:delText>Hmotnost pacienta</w:delText>
              </w:r>
            </w:del>
          </w:p>
        </w:tc>
        <w:tc>
          <w:tcPr>
            <w:tcW w:w="3209" w:type="pct"/>
            <w:tcBorders>
              <w:top w:val="single" w:sz="6" w:space="0" w:color="000000"/>
              <w:left w:val="single" w:sz="6" w:space="0" w:color="000000"/>
              <w:bottom w:val="single" w:sz="6" w:space="0" w:color="000000"/>
              <w:right w:val="single" w:sz="6" w:space="0" w:color="000000"/>
            </w:tcBorders>
            <w:hideMark/>
          </w:tcPr>
          <w:p w14:paraId="491A2B65" w14:textId="77777777" w:rsidR="008E6252" w:rsidRPr="001B4A02" w:rsidRDefault="00000000" w:rsidP="00253ABE">
            <w:pPr>
              <w:keepNext/>
              <w:ind w:left="0" w:firstLine="0"/>
              <w:jc w:val="center"/>
              <w:rPr>
                <w:del w:id="4196" w:author="AbbVie1" w:date="2025-05-13T09:50:00Z"/>
              </w:rPr>
            </w:pPr>
            <w:del w:id="4197" w:author="AbbVie1" w:date="2025-05-13T09:50:00Z">
              <w:r w:rsidRPr="001B4A02">
                <w:rPr>
                  <w:b/>
                </w:rPr>
                <w:delText>Indukční dávka</w:delText>
              </w:r>
            </w:del>
          </w:p>
        </w:tc>
        <w:tc>
          <w:tcPr>
            <w:tcW w:w="934" w:type="pct"/>
            <w:tcBorders>
              <w:top w:val="single" w:sz="6" w:space="0" w:color="000000"/>
              <w:left w:val="single" w:sz="6" w:space="0" w:color="000000"/>
              <w:bottom w:val="single" w:sz="6" w:space="0" w:color="000000"/>
              <w:right w:val="single" w:sz="6" w:space="0" w:color="000000"/>
            </w:tcBorders>
            <w:hideMark/>
          </w:tcPr>
          <w:p w14:paraId="0BFF97F0" w14:textId="77777777" w:rsidR="008E6252" w:rsidRPr="001B4A02" w:rsidRDefault="00000000" w:rsidP="00253ABE">
            <w:pPr>
              <w:keepNext/>
              <w:ind w:left="0" w:firstLine="0"/>
              <w:jc w:val="center"/>
              <w:rPr>
                <w:del w:id="4198" w:author="AbbVie1" w:date="2025-05-13T09:50:00Z"/>
                <w:b/>
              </w:rPr>
            </w:pPr>
            <w:del w:id="4199" w:author="AbbVie1" w:date="2025-05-13T09:50:00Z">
              <w:r w:rsidRPr="001B4A02">
                <w:rPr>
                  <w:b/>
                </w:rPr>
                <w:delText xml:space="preserve">Udržovací dávka </w:delText>
              </w:r>
            </w:del>
          </w:p>
          <w:p w14:paraId="67748849" w14:textId="77777777" w:rsidR="008E6252" w:rsidRPr="001B4A02" w:rsidRDefault="00000000" w:rsidP="00253ABE">
            <w:pPr>
              <w:keepNext/>
              <w:ind w:left="0" w:firstLine="0"/>
              <w:jc w:val="center"/>
              <w:rPr>
                <w:del w:id="4200" w:author="AbbVie1" w:date="2025-05-13T09:50:00Z"/>
              </w:rPr>
            </w:pPr>
            <w:del w:id="4201" w:author="AbbVie1" w:date="2025-05-13T09:50:00Z">
              <w:r w:rsidRPr="001B4A02">
                <w:rPr>
                  <w:b/>
                </w:rPr>
                <w:delText>od týdne 4</w:delText>
              </w:r>
            </w:del>
          </w:p>
        </w:tc>
      </w:tr>
      <w:tr w:rsidR="00534A2D" w14:paraId="2D7D2C10" w14:textId="77777777" w:rsidTr="00DC6AFE">
        <w:trPr>
          <w:del w:id="4202" w:author="AbbVie1" w:date="2025-05-13T09:50:00Z"/>
        </w:trPr>
        <w:tc>
          <w:tcPr>
            <w:tcW w:w="857" w:type="pct"/>
            <w:tcBorders>
              <w:top w:val="single" w:sz="6" w:space="0" w:color="000000"/>
              <w:left w:val="single" w:sz="6" w:space="0" w:color="000000"/>
              <w:bottom w:val="single" w:sz="6" w:space="0" w:color="000000"/>
              <w:right w:val="single" w:sz="6" w:space="0" w:color="000000"/>
            </w:tcBorders>
            <w:hideMark/>
          </w:tcPr>
          <w:p w14:paraId="36767B86" w14:textId="77777777" w:rsidR="008E6252" w:rsidRPr="001B4A02" w:rsidRDefault="00000000" w:rsidP="00253ABE">
            <w:pPr>
              <w:keepNext/>
              <w:ind w:left="0" w:firstLine="0"/>
              <w:jc w:val="center"/>
              <w:rPr>
                <w:del w:id="4203" w:author="AbbVie1" w:date="2025-05-13T09:50:00Z"/>
              </w:rPr>
            </w:pPr>
            <w:del w:id="4204" w:author="AbbVie1" w:date="2025-05-13T09:50:00Z">
              <w:r w:rsidRPr="001B4A02">
                <w:delText>&lt;</w:delText>
              </w:r>
              <w:r w:rsidR="007375A0" w:rsidRPr="001B4A02">
                <w:delText> </w:delText>
              </w:r>
              <w:r w:rsidRPr="001B4A02">
                <w:delText>40</w:delText>
              </w:r>
              <w:r w:rsidR="002767FC">
                <w:delText> kg</w:delText>
              </w:r>
            </w:del>
          </w:p>
        </w:tc>
        <w:tc>
          <w:tcPr>
            <w:tcW w:w="3209" w:type="pct"/>
            <w:tcBorders>
              <w:top w:val="single" w:sz="6" w:space="0" w:color="000000"/>
              <w:left w:val="single" w:sz="6" w:space="0" w:color="000000"/>
              <w:bottom w:val="single" w:sz="6" w:space="0" w:color="000000"/>
              <w:right w:val="single" w:sz="6" w:space="0" w:color="000000"/>
            </w:tcBorders>
            <w:hideMark/>
          </w:tcPr>
          <w:p w14:paraId="7A6D9F04" w14:textId="77777777" w:rsidR="008E6252" w:rsidRPr="001B4A02" w:rsidRDefault="00000000" w:rsidP="00090145">
            <w:pPr>
              <w:keepNext/>
              <w:numPr>
                <w:ilvl w:val="0"/>
                <w:numId w:val="242"/>
              </w:numPr>
              <w:ind w:left="203" w:hanging="14"/>
              <w:rPr>
                <w:del w:id="4205" w:author="AbbVie1" w:date="2025-05-13T09:50:00Z"/>
                <w:szCs w:val="22"/>
              </w:rPr>
            </w:pPr>
            <w:del w:id="4206" w:author="AbbVie1" w:date="2025-05-13T09:50:00Z">
              <w:r w:rsidRPr="001B4A02">
                <w:rPr>
                  <w:szCs w:val="22"/>
                </w:rPr>
                <w:delText>40 mg v týdnu 0</w:delText>
              </w:r>
              <w:r w:rsidR="002378E0">
                <w:rPr>
                  <w:szCs w:val="22"/>
                </w:rPr>
                <w:delText xml:space="preserve"> a </w:delText>
              </w:r>
              <w:r w:rsidRPr="001B4A02">
                <w:rPr>
                  <w:szCs w:val="22"/>
                </w:rPr>
                <w:delText>20 mg v týdnu 2</w:delText>
              </w:r>
            </w:del>
          </w:p>
          <w:p w14:paraId="5A7A4667" w14:textId="77777777" w:rsidR="008E6252" w:rsidRPr="001B4A02" w:rsidRDefault="008E6252" w:rsidP="00090145">
            <w:pPr>
              <w:keepNext/>
              <w:ind w:left="203" w:hanging="14"/>
              <w:rPr>
                <w:del w:id="4207" w:author="AbbVie1" w:date="2025-05-13T09:50:00Z"/>
                <w:szCs w:val="22"/>
              </w:rPr>
            </w:pPr>
          </w:p>
          <w:p w14:paraId="1FEBB144" w14:textId="77777777" w:rsidR="008E6252" w:rsidRPr="001B4A02" w:rsidRDefault="00000000" w:rsidP="00090145">
            <w:pPr>
              <w:keepNext/>
              <w:ind w:left="203" w:hanging="14"/>
              <w:rPr>
                <w:del w:id="4208" w:author="AbbVie1" w:date="2025-05-13T09:50:00Z"/>
                <w:szCs w:val="22"/>
              </w:rPr>
            </w:pPr>
            <w:del w:id="4209" w:author="AbbVie1" w:date="2025-05-13T09:50:00Z">
              <w:r w:rsidRPr="001B4A02">
                <w:rPr>
                  <w:szCs w:val="22"/>
                </w:rPr>
                <w:delText>V případě, že je nutná rychlejší odpověď s vědomím, že riziko nežádoucích účinků může být vyšší při použití vyšší indukční dávky, může být použita následující dávka:</w:delText>
              </w:r>
            </w:del>
          </w:p>
          <w:p w14:paraId="2FFC3AFF" w14:textId="77777777" w:rsidR="008E6252" w:rsidRPr="001B4A02" w:rsidRDefault="00000000" w:rsidP="00090145">
            <w:pPr>
              <w:keepNext/>
              <w:numPr>
                <w:ilvl w:val="0"/>
                <w:numId w:val="244"/>
              </w:numPr>
              <w:ind w:left="203" w:hanging="14"/>
              <w:rPr>
                <w:del w:id="4210" w:author="AbbVie1" w:date="2025-05-13T09:50:00Z"/>
                <w:iCs/>
                <w:szCs w:val="22"/>
              </w:rPr>
            </w:pPr>
            <w:del w:id="4211" w:author="AbbVie1" w:date="2025-05-13T09:50:00Z">
              <w:r w:rsidRPr="001B4A02">
                <w:rPr>
                  <w:szCs w:val="22"/>
                </w:rPr>
                <w:delText>80 mg v týdnu 0</w:delText>
              </w:r>
              <w:r w:rsidR="002378E0">
                <w:rPr>
                  <w:szCs w:val="22"/>
                </w:rPr>
                <w:delText xml:space="preserve"> a </w:delText>
              </w:r>
              <w:r w:rsidRPr="001B4A02">
                <w:rPr>
                  <w:szCs w:val="22"/>
                </w:rPr>
                <w:delText>40 mg v týdnu 2</w:delText>
              </w:r>
            </w:del>
          </w:p>
        </w:tc>
        <w:tc>
          <w:tcPr>
            <w:tcW w:w="934" w:type="pct"/>
            <w:tcBorders>
              <w:top w:val="single" w:sz="6" w:space="0" w:color="000000"/>
              <w:left w:val="single" w:sz="6" w:space="0" w:color="000000"/>
              <w:bottom w:val="single" w:sz="6" w:space="0" w:color="000000"/>
              <w:right w:val="single" w:sz="6" w:space="0" w:color="000000"/>
            </w:tcBorders>
            <w:hideMark/>
          </w:tcPr>
          <w:p w14:paraId="7A701270" w14:textId="77777777" w:rsidR="008E6252" w:rsidRPr="001B4A02" w:rsidRDefault="00000000" w:rsidP="00253ABE">
            <w:pPr>
              <w:keepNext/>
              <w:ind w:left="0" w:firstLine="0"/>
              <w:jc w:val="center"/>
              <w:rPr>
                <w:del w:id="4212" w:author="AbbVie1" w:date="2025-05-13T09:50:00Z"/>
              </w:rPr>
            </w:pPr>
            <w:del w:id="4213" w:author="AbbVie1" w:date="2025-05-13T09:50:00Z">
              <w:r w:rsidRPr="001B4A02">
                <w:delText xml:space="preserve">20 mg jednou </w:delText>
              </w:r>
            </w:del>
          </w:p>
          <w:p w14:paraId="38804FAB" w14:textId="77777777" w:rsidR="008E6252" w:rsidRPr="001B4A02" w:rsidRDefault="00000000" w:rsidP="00253ABE">
            <w:pPr>
              <w:keepNext/>
              <w:ind w:left="0" w:firstLine="0"/>
              <w:jc w:val="center"/>
              <w:rPr>
                <w:del w:id="4214" w:author="AbbVie1" w:date="2025-05-13T09:50:00Z"/>
              </w:rPr>
            </w:pPr>
            <w:del w:id="4215" w:author="AbbVie1" w:date="2025-05-13T09:50:00Z">
              <w:r w:rsidRPr="001B4A02">
                <w:delText>za dva týdny</w:delText>
              </w:r>
            </w:del>
          </w:p>
        </w:tc>
      </w:tr>
      <w:tr w:rsidR="00534A2D" w14:paraId="60718FCE" w14:textId="77777777" w:rsidTr="00DC6AFE">
        <w:trPr>
          <w:del w:id="4216" w:author="AbbVie1" w:date="2025-05-13T09:50:00Z"/>
        </w:trPr>
        <w:tc>
          <w:tcPr>
            <w:tcW w:w="857" w:type="pct"/>
            <w:tcBorders>
              <w:top w:val="single" w:sz="6" w:space="0" w:color="000000"/>
              <w:left w:val="single" w:sz="6" w:space="0" w:color="000000"/>
              <w:bottom w:val="single" w:sz="6" w:space="0" w:color="000000"/>
              <w:right w:val="single" w:sz="6" w:space="0" w:color="000000"/>
            </w:tcBorders>
            <w:hideMark/>
          </w:tcPr>
          <w:p w14:paraId="36102C98" w14:textId="77777777" w:rsidR="008E6252" w:rsidRPr="001B4A02" w:rsidRDefault="00000000" w:rsidP="00253ABE">
            <w:pPr>
              <w:keepNext/>
              <w:ind w:left="0" w:firstLine="0"/>
              <w:jc w:val="center"/>
              <w:rPr>
                <w:del w:id="4217" w:author="AbbVie1" w:date="2025-05-13T09:50:00Z"/>
              </w:rPr>
            </w:pPr>
            <w:del w:id="4218" w:author="AbbVie1" w:date="2025-05-13T09:50:00Z">
              <w:r w:rsidRPr="001B4A02">
                <w:delText>≥</w:delText>
              </w:r>
              <w:r w:rsidR="007375A0" w:rsidRPr="001B4A02">
                <w:delText> </w:delText>
              </w:r>
              <w:r w:rsidRPr="001B4A02">
                <w:delText>40</w:delText>
              </w:r>
              <w:r w:rsidR="002767FC">
                <w:delText> kg</w:delText>
              </w:r>
            </w:del>
          </w:p>
        </w:tc>
        <w:tc>
          <w:tcPr>
            <w:tcW w:w="3209" w:type="pct"/>
            <w:tcBorders>
              <w:top w:val="single" w:sz="6" w:space="0" w:color="000000"/>
              <w:left w:val="single" w:sz="6" w:space="0" w:color="000000"/>
              <w:bottom w:val="single" w:sz="6" w:space="0" w:color="000000"/>
              <w:right w:val="single" w:sz="6" w:space="0" w:color="000000"/>
            </w:tcBorders>
            <w:hideMark/>
          </w:tcPr>
          <w:p w14:paraId="258B8156" w14:textId="77777777" w:rsidR="008E6252" w:rsidRPr="001B4A02" w:rsidRDefault="00000000" w:rsidP="00090145">
            <w:pPr>
              <w:keepNext/>
              <w:numPr>
                <w:ilvl w:val="0"/>
                <w:numId w:val="245"/>
              </w:numPr>
              <w:ind w:left="203" w:hanging="14"/>
              <w:rPr>
                <w:del w:id="4219" w:author="AbbVie1" w:date="2025-05-13T09:50:00Z"/>
                <w:szCs w:val="22"/>
              </w:rPr>
            </w:pPr>
            <w:del w:id="4220" w:author="AbbVie1" w:date="2025-05-13T09:50:00Z">
              <w:r w:rsidRPr="001B4A02">
                <w:rPr>
                  <w:szCs w:val="22"/>
                </w:rPr>
                <w:delText>80 mg v týdnu 0</w:delText>
              </w:r>
              <w:r w:rsidR="002378E0">
                <w:rPr>
                  <w:szCs w:val="22"/>
                </w:rPr>
                <w:delText xml:space="preserve"> a </w:delText>
              </w:r>
              <w:r w:rsidRPr="001B4A02">
                <w:rPr>
                  <w:szCs w:val="22"/>
                </w:rPr>
                <w:delText>40 mg v týdnu 2</w:delText>
              </w:r>
            </w:del>
          </w:p>
          <w:p w14:paraId="73ED89F8" w14:textId="77777777" w:rsidR="008E6252" w:rsidRPr="001B4A02" w:rsidRDefault="008E6252" w:rsidP="00090145">
            <w:pPr>
              <w:keepNext/>
              <w:ind w:left="203" w:hanging="14"/>
              <w:rPr>
                <w:del w:id="4221" w:author="AbbVie1" w:date="2025-05-13T09:50:00Z"/>
                <w:szCs w:val="22"/>
              </w:rPr>
            </w:pPr>
          </w:p>
          <w:p w14:paraId="7AD2E51A" w14:textId="77777777" w:rsidR="008E6252" w:rsidRPr="001B4A02" w:rsidRDefault="00000000" w:rsidP="00090145">
            <w:pPr>
              <w:keepNext/>
              <w:ind w:left="203" w:hanging="14"/>
              <w:rPr>
                <w:del w:id="4222" w:author="AbbVie1" w:date="2025-05-13T09:50:00Z"/>
                <w:iCs/>
                <w:szCs w:val="22"/>
              </w:rPr>
            </w:pPr>
            <w:del w:id="4223" w:author="AbbVie1" w:date="2025-05-13T09:50:00Z">
              <w:r w:rsidRPr="001B4A02">
                <w:rPr>
                  <w:szCs w:val="22"/>
                </w:rPr>
                <w:delText>V případě, že je nutná rychlejší odpověď s vědomím, že riziko nežádoucích účinků může být vyšší při použití vyšší indukční dávky, může být použita následující dávka:</w:delText>
              </w:r>
            </w:del>
          </w:p>
          <w:p w14:paraId="07AC19F3" w14:textId="77777777" w:rsidR="008E6252" w:rsidRPr="001B4A02" w:rsidRDefault="00000000" w:rsidP="00090145">
            <w:pPr>
              <w:keepNext/>
              <w:numPr>
                <w:ilvl w:val="0"/>
                <w:numId w:val="243"/>
              </w:numPr>
              <w:ind w:left="203" w:hanging="14"/>
              <w:rPr>
                <w:del w:id="4224" w:author="AbbVie1" w:date="2025-05-13T09:50:00Z"/>
                <w:szCs w:val="22"/>
              </w:rPr>
            </w:pPr>
            <w:del w:id="4225" w:author="AbbVie1" w:date="2025-05-13T09:50:00Z">
              <w:r w:rsidRPr="001B4A02">
                <w:rPr>
                  <w:szCs w:val="22"/>
                </w:rPr>
                <w:delText>160 mg v týdnu 0</w:delText>
              </w:r>
              <w:r w:rsidR="002378E0">
                <w:rPr>
                  <w:szCs w:val="22"/>
                </w:rPr>
                <w:delText xml:space="preserve"> a </w:delText>
              </w:r>
              <w:r w:rsidRPr="001B4A02">
                <w:rPr>
                  <w:szCs w:val="22"/>
                </w:rPr>
                <w:delText>80 mg v týdnu 2</w:delText>
              </w:r>
            </w:del>
          </w:p>
        </w:tc>
        <w:tc>
          <w:tcPr>
            <w:tcW w:w="934" w:type="pct"/>
            <w:tcBorders>
              <w:top w:val="single" w:sz="6" w:space="0" w:color="000000"/>
              <w:left w:val="single" w:sz="6" w:space="0" w:color="000000"/>
              <w:bottom w:val="single" w:sz="6" w:space="0" w:color="000000"/>
              <w:right w:val="single" w:sz="6" w:space="0" w:color="000000"/>
            </w:tcBorders>
            <w:hideMark/>
          </w:tcPr>
          <w:p w14:paraId="706C2A5C" w14:textId="77777777" w:rsidR="008E6252" w:rsidRPr="001B4A02" w:rsidRDefault="00000000" w:rsidP="00253ABE">
            <w:pPr>
              <w:keepNext/>
              <w:ind w:left="0" w:firstLine="0"/>
              <w:jc w:val="center"/>
              <w:rPr>
                <w:del w:id="4226" w:author="AbbVie1" w:date="2025-05-13T09:50:00Z"/>
              </w:rPr>
            </w:pPr>
            <w:del w:id="4227" w:author="AbbVie1" w:date="2025-05-13T09:50:00Z">
              <w:r w:rsidRPr="001B4A02">
                <w:delText xml:space="preserve">40 mg jednou </w:delText>
              </w:r>
            </w:del>
          </w:p>
          <w:p w14:paraId="00A1F646" w14:textId="77777777" w:rsidR="008E6252" w:rsidRPr="001B4A02" w:rsidRDefault="00000000" w:rsidP="00253ABE">
            <w:pPr>
              <w:keepNext/>
              <w:ind w:left="0" w:firstLine="0"/>
              <w:jc w:val="center"/>
              <w:rPr>
                <w:del w:id="4228" w:author="AbbVie1" w:date="2025-05-13T09:50:00Z"/>
              </w:rPr>
            </w:pPr>
            <w:del w:id="4229" w:author="AbbVie1" w:date="2025-05-13T09:50:00Z">
              <w:r w:rsidRPr="001B4A02">
                <w:delText>za dva týdny</w:delText>
              </w:r>
            </w:del>
          </w:p>
        </w:tc>
      </w:tr>
    </w:tbl>
    <w:p w14:paraId="7FA6AA66" w14:textId="77777777" w:rsidR="008E6252" w:rsidRPr="001B4A02" w:rsidRDefault="008E6252" w:rsidP="008E6252">
      <w:pPr>
        <w:ind w:left="0" w:firstLine="0"/>
        <w:rPr>
          <w:del w:id="4230" w:author="AbbVie1" w:date="2025-05-13T09:50:00Z"/>
        </w:rPr>
      </w:pPr>
    </w:p>
    <w:p w14:paraId="37E40B2F" w14:textId="77777777" w:rsidR="008E6252" w:rsidRPr="001B4A02" w:rsidRDefault="00000000" w:rsidP="00DC6AFE">
      <w:pPr>
        <w:pStyle w:val="EMEANormal"/>
        <w:keepNext/>
        <w:tabs>
          <w:tab w:val="clear" w:pos="562"/>
          <w:tab w:val="left" w:pos="708"/>
        </w:tabs>
        <w:suppressAutoHyphens w:val="0"/>
        <w:rPr>
          <w:del w:id="4231" w:author="AbbVie1" w:date="2025-05-13T09:50:00Z"/>
          <w:lang w:val="cs-CZ"/>
        </w:rPr>
      </w:pPr>
      <w:del w:id="4232" w:author="AbbVie1" w:date="2025-05-13T09:50:00Z">
        <w:r w:rsidRPr="001B4A02">
          <w:rPr>
            <w:lang w:val="cs-CZ"/>
          </w:rPr>
          <w:delText>Pacienti s nedostatečnou odpovědí mohou mít přínos ze zvýšení dávkování:</w:delText>
        </w:r>
      </w:del>
    </w:p>
    <w:p w14:paraId="428DD4EE" w14:textId="77777777" w:rsidR="008E6252" w:rsidRPr="001B4A02" w:rsidRDefault="00000000" w:rsidP="008E6252">
      <w:pPr>
        <w:keepNext/>
        <w:numPr>
          <w:ilvl w:val="0"/>
          <w:numId w:val="246"/>
        </w:numPr>
        <w:tabs>
          <w:tab w:val="left" w:pos="540"/>
        </w:tabs>
        <w:suppressAutoHyphens/>
        <w:rPr>
          <w:del w:id="4233" w:author="AbbVie1" w:date="2025-05-13T09:50:00Z"/>
        </w:rPr>
      </w:pPr>
      <w:del w:id="4234" w:author="AbbVie1" w:date="2025-05-13T09:50:00Z">
        <w:r w:rsidRPr="001B4A02">
          <w:delText>&lt; 40</w:delText>
        </w:r>
        <w:r w:rsidR="002767FC">
          <w:delText> kg</w:delText>
        </w:r>
        <w:r w:rsidRPr="001B4A02">
          <w:delText>: 20 mg týdně</w:delText>
        </w:r>
      </w:del>
    </w:p>
    <w:p w14:paraId="562E738B" w14:textId="77777777" w:rsidR="008E6252" w:rsidRPr="001B4A02" w:rsidRDefault="00000000" w:rsidP="00DC6AFE">
      <w:pPr>
        <w:numPr>
          <w:ilvl w:val="0"/>
          <w:numId w:val="246"/>
        </w:numPr>
        <w:tabs>
          <w:tab w:val="left" w:pos="540"/>
        </w:tabs>
        <w:suppressAutoHyphens/>
        <w:ind w:left="714" w:hanging="357"/>
        <w:rPr>
          <w:del w:id="4235" w:author="AbbVie1" w:date="2025-05-13T09:50:00Z"/>
        </w:rPr>
      </w:pPr>
      <w:del w:id="4236" w:author="AbbVie1" w:date="2025-05-13T09:50:00Z">
        <w:r w:rsidRPr="001B4A02">
          <w:delText>≥ 40</w:delText>
        </w:r>
        <w:r w:rsidR="002767FC">
          <w:delText> kg</w:delText>
        </w:r>
        <w:r w:rsidRPr="001B4A02">
          <w:delText>: 40 mg týdně</w:delText>
        </w:r>
        <w:r w:rsidR="00840619" w:rsidRPr="001B4A02">
          <w:delText xml:space="preserve"> nebo 80</w:delText>
        </w:r>
        <w:r w:rsidR="00294902">
          <w:delText> mg</w:delText>
        </w:r>
        <w:r w:rsidR="00840619" w:rsidRPr="001B4A02">
          <w:delText xml:space="preserve"> jednou za dva týdny</w:delText>
        </w:r>
      </w:del>
    </w:p>
    <w:p w14:paraId="4F138778" w14:textId="77777777" w:rsidR="00D8741F" w:rsidRPr="001B4A02" w:rsidRDefault="00D8741F" w:rsidP="00D279BC">
      <w:pPr>
        <w:pStyle w:val="EMEANormal"/>
        <w:tabs>
          <w:tab w:val="clear" w:pos="562"/>
          <w:tab w:val="left" w:pos="708"/>
        </w:tabs>
        <w:suppressAutoHyphens w:val="0"/>
        <w:rPr>
          <w:del w:id="4237" w:author="AbbVie1" w:date="2025-05-13T09:50:00Z"/>
          <w:lang w:val="cs-CZ"/>
        </w:rPr>
      </w:pPr>
    </w:p>
    <w:p w14:paraId="3B40D69E" w14:textId="77777777" w:rsidR="00D8741F" w:rsidRPr="001B4A02" w:rsidRDefault="00000000" w:rsidP="00D279BC">
      <w:pPr>
        <w:pStyle w:val="EMEANormal"/>
        <w:tabs>
          <w:tab w:val="clear" w:pos="562"/>
          <w:tab w:val="left" w:pos="708"/>
        </w:tabs>
        <w:suppressAutoHyphens w:val="0"/>
        <w:rPr>
          <w:del w:id="4238" w:author="AbbVie1" w:date="2025-05-13T09:50:00Z"/>
          <w:lang w:val="cs-CZ"/>
        </w:rPr>
      </w:pPr>
      <w:del w:id="4239" w:author="AbbVie1" w:date="2025-05-13T09:50:00Z">
        <w:r w:rsidRPr="001B4A02">
          <w:rPr>
            <w:lang w:val="cs-CZ"/>
          </w:rPr>
          <w:delText>Pokračování v léčbě je třeba pečlivě zváži</w:delText>
        </w:r>
        <w:r w:rsidR="005E14DF" w:rsidRPr="001B4A02">
          <w:rPr>
            <w:lang w:val="cs-CZ"/>
          </w:rPr>
          <w:delText>t</w:delText>
        </w:r>
        <w:r w:rsidRPr="001B4A02">
          <w:rPr>
            <w:lang w:val="cs-CZ"/>
          </w:rPr>
          <w:delText xml:space="preserve"> u</w:delText>
        </w:r>
        <w:r w:rsidR="00EF0AF7" w:rsidRPr="001B4A02">
          <w:rPr>
            <w:lang w:val="cs-CZ"/>
          </w:rPr>
          <w:delText> </w:delText>
        </w:r>
        <w:r w:rsidRPr="001B4A02">
          <w:rPr>
            <w:lang w:val="cs-CZ"/>
          </w:rPr>
          <w:delText>paci</w:delText>
        </w:r>
        <w:r w:rsidR="005E14DF" w:rsidRPr="001B4A02">
          <w:rPr>
            <w:lang w:val="cs-CZ"/>
          </w:rPr>
          <w:delText>entů</w:delText>
        </w:r>
        <w:r w:rsidRPr="001B4A02">
          <w:rPr>
            <w:lang w:val="cs-CZ"/>
          </w:rPr>
          <w:delText>, u</w:delText>
        </w:r>
        <w:r w:rsidR="00EF0AF7" w:rsidRPr="001B4A02">
          <w:rPr>
            <w:lang w:val="cs-CZ"/>
          </w:rPr>
          <w:delText> </w:delText>
        </w:r>
        <w:r w:rsidRPr="001B4A02">
          <w:rPr>
            <w:lang w:val="cs-CZ"/>
          </w:rPr>
          <w:delText>nichž se nerozvine</w:delText>
        </w:r>
        <w:r w:rsidR="00DA73B0" w:rsidRPr="001B4A02">
          <w:rPr>
            <w:lang w:val="cs-CZ"/>
          </w:rPr>
          <w:delText xml:space="preserve"> odpověď na léčbu do 12. týdne.</w:delText>
        </w:r>
      </w:del>
    </w:p>
    <w:p w14:paraId="417644F0" w14:textId="77777777" w:rsidR="00BC1100" w:rsidRPr="001B4A02" w:rsidRDefault="00BC1100" w:rsidP="00D279BC">
      <w:pPr>
        <w:pStyle w:val="EMEANormal"/>
        <w:tabs>
          <w:tab w:val="clear" w:pos="562"/>
          <w:tab w:val="left" w:pos="708"/>
        </w:tabs>
        <w:suppressAutoHyphens w:val="0"/>
        <w:rPr>
          <w:del w:id="4240" w:author="AbbVie1" w:date="2025-05-13T09:50:00Z"/>
          <w:lang w:val="cs-CZ"/>
        </w:rPr>
      </w:pPr>
    </w:p>
    <w:p w14:paraId="713F8759" w14:textId="77777777" w:rsidR="0069579C" w:rsidRPr="001B4A02" w:rsidRDefault="00000000" w:rsidP="00D279BC">
      <w:pPr>
        <w:ind w:left="0" w:firstLine="0"/>
        <w:rPr>
          <w:del w:id="4241" w:author="AbbVie1" w:date="2025-05-13T09:50:00Z"/>
          <w:color w:val="000000"/>
        </w:rPr>
      </w:pPr>
      <w:del w:id="4242" w:author="AbbVie1" w:date="2025-05-13T09:50:00Z">
        <w:r w:rsidRPr="001B4A02">
          <w:rPr>
            <w:color w:val="000000"/>
          </w:rPr>
          <w:delText>Použití přípravku Humira u</w:delText>
        </w:r>
        <w:r w:rsidR="00164B4F" w:rsidRPr="001B4A02">
          <w:rPr>
            <w:color w:val="000000"/>
          </w:rPr>
          <w:delText> </w:delText>
        </w:r>
        <w:r w:rsidRPr="001B4A02">
          <w:rPr>
            <w:color w:val="000000"/>
          </w:rPr>
          <w:delText>dětí mladších než 6 let není v této indikaci relevantní.</w:delText>
        </w:r>
      </w:del>
    </w:p>
    <w:p w14:paraId="2D384B35" w14:textId="77777777" w:rsidR="00D279BC" w:rsidRPr="001B4A02" w:rsidRDefault="00D279BC" w:rsidP="00D279BC">
      <w:pPr>
        <w:ind w:left="0" w:firstLine="0"/>
        <w:rPr>
          <w:del w:id="4243" w:author="AbbVie1" w:date="2025-05-13T09:50:00Z"/>
        </w:rPr>
      </w:pPr>
    </w:p>
    <w:p w14:paraId="63A9FD0E" w14:textId="77777777" w:rsidR="00840619" w:rsidRPr="001B4A02" w:rsidRDefault="00000000" w:rsidP="00D279BC">
      <w:pPr>
        <w:ind w:left="0" w:firstLine="0"/>
        <w:rPr>
          <w:del w:id="4244" w:author="AbbVie1" w:date="2025-05-13T09:50:00Z"/>
        </w:rPr>
      </w:pPr>
      <w:del w:id="4245" w:author="AbbVie1" w:date="2025-05-13T09:50:00Z">
        <w:r w:rsidRPr="001B4A02">
          <w:delText xml:space="preserve">Přípravek Humira je k dispozici v dalších silách a/nebo </w:delText>
        </w:r>
        <w:r w:rsidR="00A43DB3">
          <w:delText>typech balení</w:delText>
        </w:r>
        <w:r w:rsidRPr="001B4A02">
          <w:delText xml:space="preserve"> v závislosti na individuálních potřebách léčby.</w:delText>
        </w:r>
      </w:del>
    </w:p>
    <w:p w14:paraId="0B5DE2E6" w14:textId="77777777" w:rsidR="00D279BC" w:rsidRPr="001B4A02" w:rsidRDefault="00D279BC" w:rsidP="00D279BC">
      <w:pPr>
        <w:ind w:left="0" w:firstLine="0"/>
        <w:rPr>
          <w:del w:id="4246" w:author="AbbVie1" w:date="2025-05-13T09:50:00Z"/>
          <w:color w:val="000000"/>
        </w:rPr>
      </w:pPr>
    </w:p>
    <w:p w14:paraId="2BD638BE" w14:textId="77777777" w:rsidR="00673B39" w:rsidRPr="00A05542" w:rsidRDefault="00000000" w:rsidP="004F218A">
      <w:pPr>
        <w:keepNext/>
        <w:rPr>
          <w:del w:id="4247" w:author="AbbVie1" w:date="2025-05-13T09:50:00Z"/>
          <w:i/>
        </w:rPr>
      </w:pPr>
      <w:del w:id="4248" w:author="AbbVie1" w:date="2025-05-13T09:50:00Z">
        <w:r w:rsidRPr="00A05542">
          <w:rPr>
            <w:i/>
          </w:rPr>
          <w:delText>Ulcerózní kolitida u </w:delText>
        </w:r>
        <w:r w:rsidR="00771305" w:rsidRPr="00A05542">
          <w:rPr>
            <w:i/>
          </w:rPr>
          <w:delText>pediatrických pacientů</w:delText>
        </w:r>
      </w:del>
    </w:p>
    <w:p w14:paraId="544BAAC9" w14:textId="77777777" w:rsidR="00673B39" w:rsidRPr="00D01607" w:rsidRDefault="00673B39" w:rsidP="004F218A">
      <w:pPr>
        <w:keepNext/>
        <w:rPr>
          <w:del w:id="4249" w:author="AbbVie1" w:date="2025-05-13T09:50:00Z"/>
        </w:rPr>
      </w:pPr>
    </w:p>
    <w:p w14:paraId="75E3D215" w14:textId="77777777" w:rsidR="00673B39" w:rsidRDefault="00000000" w:rsidP="001D2137">
      <w:pPr>
        <w:ind w:left="0" w:firstLine="0"/>
        <w:rPr>
          <w:del w:id="4250" w:author="AbbVie1" w:date="2025-05-13T09:50:00Z"/>
        </w:rPr>
      </w:pPr>
      <w:del w:id="4251" w:author="AbbVie1" w:date="2025-05-13T09:50:00Z">
        <w:r>
          <w:delText>Doporučená dávka přípravku Humira u pacientů ve věku 6 až 17 let s ulcerózní kolitidou vychází z tělesné hmotnosti (tabulka 5). Přípravek Humira se podává subkutánní injekcí.</w:delText>
        </w:r>
      </w:del>
    </w:p>
    <w:p w14:paraId="3FFF7381" w14:textId="77777777" w:rsidR="00673B39" w:rsidRPr="00D01607" w:rsidRDefault="00673B39" w:rsidP="001D2137">
      <w:pPr>
        <w:ind w:left="0" w:firstLine="0"/>
        <w:rPr>
          <w:del w:id="4252" w:author="AbbVie1" w:date="2025-05-13T09:50:00Z"/>
        </w:rPr>
      </w:pPr>
    </w:p>
    <w:p w14:paraId="45FEE9B7" w14:textId="77777777" w:rsidR="00673B39" w:rsidRPr="00D01607" w:rsidRDefault="00000000" w:rsidP="001D2137">
      <w:pPr>
        <w:keepNext/>
        <w:ind w:left="0" w:firstLine="0"/>
        <w:jc w:val="center"/>
        <w:rPr>
          <w:del w:id="4253" w:author="AbbVie1" w:date="2025-05-13T09:50:00Z"/>
        </w:rPr>
      </w:pPr>
      <w:del w:id="4254" w:author="AbbVie1" w:date="2025-05-13T09:50:00Z">
        <w:r>
          <w:rPr>
            <w:b/>
          </w:rPr>
          <w:delText xml:space="preserve">Tabulka 5. Dávka přípravku Humira u pediatrických pacientů s ulcerózní kolitidou </w:delText>
        </w:r>
      </w:del>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4"/>
        <w:gridCol w:w="5527"/>
        <w:gridCol w:w="1974"/>
      </w:tblGrid>
      <w:tr w:rsidR="00534A2D" w14:paraId="264FB79D" w14:textId="77777777" w:rsidTr="00DC6AFE">
        <w:trPr>
          <w:jc w:val="center"/>
          <w:del w:id="4255" w:author="AbbVie1" w:date="2025-05-13T09:50:00Z"/>
        </w:trPr>
        <w:tc>
          <w:tcPr>
            <w:tcW w:w="858" w:type="pct"/>
            <w:tcBorders>
              <w:top w:val="single" w:sz="6" w:space="0" w:color="000000"/>
              <w:left w:val="single" w:sz="6" w:space="0" w:color="000000"/>
              <w:bottom w:val="single" w:sz="6" w:space="0" w:color="000000"/>
              <w:right w:val="single" w:sz="6" w:space="0" w:color="000000"/>
            </w:tcBorders>
            <w:vAlign w:val="center"/>
            <w:hideMark/>
          </w:tcPr>
          <w:p w14:paraId="5F58E0C1" w14:textId="77777777" w:rsidR="00673B39" w:rsidRPr="00D01607" w:rsidRDefault="00000000" w:rsidP="00A96BEC">
            <w:pPr>
              <w:ind w:left="0" w:firstLine="0"/>
              <w:jc w:val="center"/>
              <w:rPr>
                <w:del w:id="4256" w:author="AbbVie1" w:date="2025-05-13T09:50:00Z"/>
                <w:b/>
              </w:rPr>
            </w:pPr>
            <w:del w:id="4257" w:author="AbbVie1" w:date="2025-05-13T09:50:00Z">
              <w:r>
                <w:rPr>
                  <w:b/>
                </w:rPr>
                <w:delText>Hmotnost pacienta</w:delText>
              </w:r>
            </w:del>
          </w:p>
        </w:tc>
        <w:tc>
          <w:tcPr>
            <w:tcW w:w="3052" w:type="pct"/>
            <w:tcBorders>
              <w:top w:val="single" w:sz="6" w:space="0" w:color="000000"/>
              <w:left w:val="single" w:sz="6" w:space="0" w:color="000000"/>
              <w:bottom w:val="single" w:sz="6" w:space="0" w:color="000000"/>
              <w:right w:val="single" w:sz="6" w:space="0" w:color="000000"/>
            </w:tcBorders>
            <w:vAlign w:val="center"/>
            <w:hideMark/>
          </w:tcPr>
          <w:p w14:paraId="6FB32CB1" w14:textId="77777777" w:rsidR="00673B39" w:rsidRPr="00D01607" w:rsidRDefault="00000000" w:rsidP="003D77DA">
            <w:pPr>
              <w:ind w:left="0" w:firstLine="0"/>
              <w:jc w:val="center"/>
              <w:rPr>
                <w:del w:id="4258" w:author="AbbVie1" w:date="2025-05-13T09:50:00Z"/>
                <w:b/>
              </w:rPr>
            </w:pPr>
            <w:del w:id="4259" w:author="AbbVie1" w:date="2025-05-13T09:50:00Z">
              <w:r>
                <w:rPr>
                  <w:b/>
                </w:rPr>
                <w:delText>Indukční dávka</w:delText>
              </w:r>
            </w:del>
          </w:p>
        </w:tc>
        <w:tc>
          <w:tcPr>
            <w:tcW w:w="1091" w:type="pct"/>
            <w:tcBorders>
              <w:top w:val="single" w:sz="6" w:space="0" w:color="000000"/>
              <w:left w:val="single" w:sz="6" w:space="0" w:color="000000"/>
              <w:bottom w:val="single" w:sz="6" w:space="0" w:color="000000"/>
              <w:right w:val="single" w:sz="6" w:space="0" w:color="000000"/>
            </w:tcBorders>
            <w:hideMark/>
          </w:tcPr>
          <w:p w14:paraId="47C687AC" w14:textId="77777777" w:rsidR="00673B39" w:rsidRPr="00D01607" w:rsidRDefault="00000000" w:rsidP="00F309A2">
            <w:pPr>
              <w:ind w:left="0" w:firstLine="0"/>
              <w:jc w:val="center"/>
              <w:rPr>
                <w:del w:id="4260" w:author="AbbVie1" w:date="2025-05-13T09:50:00Z"/>
                <w:b/>
              </w:rPr>
            </w:pPr>
            <w:del w:id="4261" w:author="AbbVie1" w:date="2025-05-13T09:50:00Z">
              <w:r>
                <w:rPr>
                  <w:b/>
                </w:rPr>
                <w:delText>Udržovací dávka</w:delText>
              </w:r>
              <w:r>
                <w:rPr>
                  <w:b/>
                </w:rPr>
                <w:br/>
              </w:r>
              <w:r w:rsidR="00A96BEC">
                <w:rPr>
                  <w:b/>
                </w:rPr>
                <w:delText>od týdne 4</w:delText>
              </w:r>
              <w:r>
                <w:rPr>
                  <w:b/>
                </w:rPr>
                <w:delText>*</w:delText>
              </w:r>
            </w:del>
          </w:p>
        </w:tc>
      </w:tr>
      <w:tr w:rsidR="00534A2D" w14:paraId="3DDB6180" w14:textId="77777777" w:rsidTr="00DC6AFE">
        <w:trPr>
          <w:jc w:val="center"/>
          <w:del w:id="4262" w:author="AbbVie1" w:date="2025-05-13T09:50:00Z"/>
        </w:trPr>
        <w:tc>
          <w:tcPr>
            <w:tcW w:w="858" w:type="pct"/>
            <w:tcBorders>
              <w:top w:val="single" w:sz="6" w:space="0" w:color="000000"/>
              <w:left w:val="single" w:sz="6" w:space="0" w:color="000000"/>
              <w:bottom w:val="single" w:sz="6" w:space="0" w:color="000000"/>
              <w:right w:val="single" w:sz="6" w:space="0" w:color="000000"/>
            </w:tcBorders>
            <w:hideMark/>
          </w:tcPr>
          <w:p w14:paraId="5B43CB9D" w14:textId="77777777" w:rsidR="00673B39" w:rsidRPr="00D01607" w:rsidRDefault="00000000" w:rsidP="001D2137">
            <w:pPr>
              <w:ind w:left="0" w:firstLine="0"/>
              <w:jc w:val="center"/>
              <w:rPr>
                <w:del w:id="4263" w:author="AbbVie1" w:date="2025-05-13T09:50:00Z"/>
              </w:rPr>
            </w:pPr>
            <w:del w:id="4264" w:author="AbbVie1" w:date="2025-05-13T09:50:00Z">
              <w:r>
                <w:delText>&lt; 40</w:delText>
              </w:r>
              <w:r w:rsidR="002767FC">
                <w:delText> kg</w:delText>
              </w:r>
            </w:del>
          </w:p>
        </w:tc>
        <w:tc>
          <w:tcPr>
            <w:tcW w:w="3052" w:type="pct"/>
            <w:tcBorders>
              <w:top w:val="single" w:sz="6" w:space="0" w:color="000000"/>
              <w:left w:val="single" w:sz="6" w:space="0" w:color="000000"/>
              <w:bottom w:val="single" w:sz="6" w:space="0" w:color="000000"/>
              <w:right w:val="single" w:sz="6" w:space="0" w:color="000000"/>
            </w:tcBorders>
            <w:hideMark/>
          </w:tcPr>
          <w:p w14:paraId="52E72E1C" w14:textId="77777777" w:rsidR="00673B39" w:rsidRPr="00D01607" w:rsidRDefault="00000000" w:rsidP="00312063">
            <w:pPr>
              <w:numPr>
                <w:ilvl w:val="0"/>
                <w:numId w:val="272"/>
              </w:numPr>
              <w:ind w:left="357" w:hanging="210"/>
              <w:rPr>
                <w:del w:id="4265" w:author="AbbVie1" w:date="2025-05-13T09:50:00Z"/>
              </w:rPr>
            </w:pPr>
            <w:del w:id="4266" w:author="AbbVie1" w:date="2025-05-13T09:50:00Z">
              <w:r>
                <w:delText>80</w:delText>
              </w:r>
              <w:r w:rsidR="00294902" w:rsidRPr="00005EC2">
                <w:rPr>
                  <w:szCs w:val="22"/>
                </w:rPr>
                <w:delText> </w:delText>
              </w:r>
              <w:r>
                <w:delText>mg v </w:delText>
              </w:r>
              <w:r w:rsidR="00BC5CBC" w:rsidRPr="00BC5CBC">
                <w:delText>týdnu 0</w:delText>
              </w:r>
              <w:r>
                <w:delText xml:space="preserve"> (podáváno jako dvě injekce 40</w:delText>
              </w:r>
              <w:r w:rsidR="00294902" w:rsidRPr="00005EC2">
                <w:rPr>
                  <w:szCs w:val="22"/>
                </w:rPr>
                <w:delText> </w:delText>
              </w:r>
              <w:r>
                <w:delText>mg v jeden den)</w:delText>
              </w:r>
              <w:r w:rsidR="002378E0">
                <w:delText xml:space="preserve"> a </w:delText>
              </w:r>
            </w:del>
          </w:p>
          <w:p w14:paraId="09E0CD7B" w14:textId="77777777" w:rsidR="00673B39" w:rsidRPr="00D01607" w:rsidRDefault="00000000" w:rsidP="00312063">
            <w:pPr>
              <w:numPr>
                <w:ilvl w:val="0"/>
                <w:numId w:val="272"/>
              </w:numPr>
              <w:ind w:left="357" w:hanging="210"/>
              <w:rPr>
                <w:del w:id="4267" w:author="AbbVie1" w:date="2025-05-13T09:50:00Z"/>
              </w:rPr>
            </w:pPr>
            <w:del w:id="4268" w:author="AbbVie1" w:date="2025-05-13T09:50:00Z">
              <w:r>
                <w:delText>40</w:delText>
              </w:r>
              <w:r w:rsidR="00294902" w:rsidRPr="00005EC2">
                <w:rPr>
                  <w:szCs w:val="22"/>
                </w:rPr>
                <w:delText> </w:delText>
              </w:r>
              <w:r>
                <w:delText>mg v</w:delText>
              </w:r>
              <w:r w:rsidR="00CA4765">
                <w:delText> </w:delText>
              </w:r>
              <w:r>
                <w:delText>týdnu</w:delText>
              </w:r>
              <w:r w:rsidR="0086098A">
                <w:delText xml:space="preserve"> 2</w:delText>
              </w:r>
              <w:r>
                <w:delText xml:space="preserve"> (podáváno jako jedna injekce 40</w:delText>
              </w:r>
              <w:r w:rsidR="00294902" w:rsidRPr="00005EC2">
                <w:rPr>
                  <w:szCs w:val="22"/>
                </w:rPr>
                <w:delText> </w:delText>
              </w:r>
              <w:r>
                <w:delText>mg)</w:delText>
              </w:r>
            </w:del>
          </w:p>
        </w:tc>
        <w:tc>
          <w:tcPr>
            <w:tcW w:w="1091" w:type="pct"/>
            <w:tcBorders>
              <w:top w:val="single" w:sz="6" w:space="0" w:color="000000"/>
              <w:left w:val="single" w:sz="6" w:space="0" w:color="000000"/>
              <w:bottom w:val="single" w:sz="6" w:space="0" w:color="000000"/>
              <w:right w:val="single" w:sz="6" w:space="0" w:color="000000"/>
            </w:tcBorders>
            <w:hideMark/>
          </w:tcPr>
          <w:p w14:paraId="10378AFA" w14:textId="77777777" w:rsidR="00673B39" w:rsidRPr="00D01607" w:rsidRDefault="00000000" w:rsidP="00312063">
            <w:pPr>
              <w:numPr>
                <w:ilvl w:val="0"/>
                <w:numId w:val="272"/>
              </w:numPr>
              <w:ind w:left="357" w:hanging="210"/>
              <w:rPr>
                <w:del w:id="4269" w:author="AbbVie1" w:date="2025-05-13T09:50:00Z"/>
              </w:rPr>
            </w:pPr>
            <w:del w:id="4270" w:author="AbbVie1" w:date="2025-05-13T09:50:00Z">
              <w:r>
                <w:delText>40</w:delText>
              </w:r>
              <w:r w:rsidR="00294902" w:rsidRPr="00005EC2">
                <w:rPr>
                  <w:szCs w:val="22"/>
                </w:rPr>
                <w:delText> </w:delText>
              </w:r>
              <w:r>
                <w:delText>mg jednou za dva týdny</w:delText>
              </w:r>
            </w:del>
          </w:p>
        </w:tc>
      </w:tr>
      <w:tr w:rsidR="00534A2D" w14:paraId="5E1D5E09" w14:textId="77777777" w:rsidTr="00DC6AFE">
        <w:trPr>
          <w:jc w:val="center"/>
          <w:del w:id="4271" w:author="AbbVie1" w:date="2025-05-13T09:50:00Z"/>
        </w:trPr>
        <w:tc>
          <w:tcPr>
            <w:tcW w:w="858" w:type="pct"/>
            <w:tcBorders>
              <w:top w:val="single" w:sz="6" w:space="0" w:color="000000"/>
              <w:left w:val="single" w:sz="6" w:space="0" w:color="000000"/>
              <w:bottom w:val="single" w:sz="4" w:space="0" w:color="auto"/>
              <w:right w:val="single" w:sz="6" w:space="0" w:color="000000"/>
            </w:tcBorders>
            <w:hideMark/>
          </w:tcPr>
          <w:p w14:paraId="24384CAF" w14:textId="77777777" w:rsidR="00673B39" w:rsidRPr="00D01607" w:rsidRDefault="00000000" w:rsidP="001D2137">
            <w:pPr>
              <w:ind w:left="0" w:firstLine="0"/>
              <w:jc w:val="center"/>
              <w:rPr>
                <w:del w:id="4272" w:author="AbbVie1" w:date="2025-05-13T09:50:00Z"/>
              </w:rPr>
            </w:pPr>
            <w:del w:id="4273" w:author="AbbVie1" w:date="2025-05-13T09:50:00Z">
              <w:r>
                <w:delText>≥ 40</w:delText>
              </w:r>
              <w:r w:rsidR="002767FC">
                <w:delText> kg</w:delText>
              </w:r>
            </w:del>
          </w:p>
        </w:tc>
        <w:tc>
          <w:tcPr>
            <w:tcW w:w="3052" w:type="pct"/>
            <w:tcBorders>
              <w:top w:val="single" w:sz="6" w:space="0" w:color="000000"/>
              <w:left w:val="single" w:sz="6" w:space="0" w:color="000000"/>
              <w:bottom w:val="single" w:sz="4" w:space="0" w:color="auto"/>
              <w:right w:val="single" w:sz="6" w:space="0" w:color="000000"/>
            </w:tcBorders>
            <w:hideMark/>
          </w:tcPr>
          <w:p w14:paraId="1EE29F9B" w14:textId="77777777" w:rsidR="00673B39" w:rsidRPr="00D01607" w:rsidRDefault="00000000" w:rsidP="00312063">
            <w:pPr>
              <w:numPr>
                <w:ilvl w:val="0"/>
                <w:numId w:val="273"/>
              </w:numPr>
              <w:ind w:left="357" w:hanging="210"/>
              <w:rPr>
                <w:del w:id="4274" w:author="AbbVie1" w:date="2025-05-13T09:50:00Z"/>
              </w:rPr>
            </w:pPr>
            <w:del w:id="4275" w:author="AbbVie1" w:date="2025-05-13T09:50:00Z">
              <w:r>
                <w:delText>160</w:delText>
              </w:r>
              <w:r w:rsidR="00294902" w:rsidRPr="00005EC2">
                <w:rPr>
                  <w:szCs w:val="22"/>
                </w:rPr>
                <w:delText> </w:delText>
              </w:r>
              <w:r>
                <w:delText>mg v </w:delText>
              </w:r>
              <w:r w:rsidR="00BC5CBC" w:rsidRPr="00BC5CBC">
                <w:delText>týdnu 0</w:delText>
              </w:r>
              <w:r>
                <w:delText xml:space="preserve"> (podáváno jako čtyři injekce 40</w:delText>
              </w:r>
              <w:r w:rsidR="00294902" w:rsidRPr="00005EC2">
                <w:rPr>
                  <w:szCs w:val="22"/>
                </w:rPr>
                <w:delText> </w:delText>
              </w:r>
              <w:r>
                <w:delText xml:space="preserve">mg </w:delText>
              </w:r>
              <w:r w:rsidR="001C3C2E">
                <w:delText>v</w:delText>
              </w:r>
              <w:r w:rsidR="00CA4765">
                <w:delText> </w:delText>
              </w:r>
              <w:r>
                <w:delText>jedn</w:delText>
              </w:r>
              <w:r w:rsidR="001C3C2E">
                <w:delText>om</w:delText>
              </w:r>
              <w:r>
                <w:delText xml:space="preserve"> dn</w:delText>
              </w:r>
              <w:r w:rsidR="001C3C2E">
                <w:delText>i</w:delText>
              </w:r>
              <w:r>
                <w:delText xml:space="preserve"> nebo dvě injekce 40</w:delText>
              </w:r>
              <w:r w:rsidR="00294902" w:rsidRPr="00005EC2">
                <w:rPr>
                  <w:szCs w:val="22"/>
                </w:rPr>
                <w:delText> </w:delText>
              </w:r>
              <w:r>
                <w:delText xml:space="preserve">mg denně </w:delText>
              </w:r>
              <w:r w:rsidR="00B70F64">
                <w:delText xml:space="preserve">ve dvou po sobě </w:delText>
              </w:r>
              <w:r w:rsidR="00FE5873">
                <w:delText>jdoucích</w:delText>
              </w:r>
              <w:r w:rsidR="00B70F64">
                <w:delText xml:space="preserve"> dnech</w:delText>
              </w:r>
              <w:r>
                <w:delText>)</w:delText>
              </w:r>
              <w:r w:rsidR="002378E0">
                <w:delText xml:space="preserve"> a </w:delText>
              </w:r>
            </w:del>
          </w:p>
          <w:p w14:paraId="7711C277" w14:textId="77777777" w:rsidR="00673B39" w:rsidRPr="00D01607" w:rsidRDefault="00000000" w:rsidP="00312063">
            <w:pPr>
              <w:numPr>
                <w:ilvl w:val="0"/>
                <w:numId w:val="273"/>
              </w:numPr>
              <w:ind w:left="357" w:hanging="210"/>
              <w:rPr>
                <w:del w:id="4276" w:author="AbbVie1" w:date="2025-05-13T09:50:00Z"/>
              </w:rPr>
            </w:pPr>
            <w:del w:id="4277" w:author="AbbVie1" w:date="2025-05-13T09:50:00Z">
              <w:r>
                <w:delText>80</w:delText>
              </w:r>
              <w:r w:rsidR="00294902" w:rsidRPr="00005EC2">
                <w:rPr>
                  <w:szCs w:val="22"/>
                </w:rPr>
                <w:delText> </w:delText>
              </w:r>
              <w:r>
                <w:delText>mg v</w:delText>
              </w:r>
              <w:r w:rsidR="00CA4765">
                <w:delText> </w:delText>
              </w:r>
              <w:r>
                <w:delText>týdnu</w:delText>
              </w:r>
              <w:r w:rsidR="0086098A">
                <w:delText xml:space="preserve"> 2</w:delText>
              </w:r>
              <w:r>
                <w:delText xml:space="preserve"> (podáváno jako dvě injekce 40</w:delText>
              </w:r>
              <w:r w:rsidR="00294902" w:rsidRPr="00005EC2">
                <w:rPr>
                  <w:szCs w:val="22"/>
                </w:rPr>
                <w:delText> </w:delText>
              </w:r>
              <w:r>
                <w:delText>mg v jedn</w:delText>
              </w:r>
              <w:r w:rsidR="001C3C2E">
                <w:delText>om</w:delText>
              </w:r>
              <w:r>
                <w:delText xml:space="preserve"> dn</w:delText>
              </w:r>
              <w:r w:rsidR="001C3C2E">
                <w:delText>i</w:delText>
              </w:r>
              <w:r>
                <w:delText>)</w:delText>
              </w:r>
            </w:del>
          </w:p>
        </w:tc>
        <w:tc>
          <w:tcPr>
            <w:tcW w:w="1091" w:type="pct"/>
            <w:tcBorders>
              <w:top w:val="single" w:sz="6" w:space="0" w:color="000000"/>
              <w:left w:val="single" w:sz="6" w:space="0" w:color="000000"/>
              <w:bottom w:val="single" w:sz="4" w:space="0" w:color="auto"/>
              <w:right w:val="single" w:sz="6" w:space="0" w:color="000000"/>
            </w:tcBorders>
            <w:hideMark/>
          </w:tcPr>
          <w:p w14:paraId="7F5E422B" w14:textId="77777777" w:rsidR="00673B39" w:rsidRPr="00D01607" w:rsidRDefault="00000000" w:rsidP="00312063">
            <w:pPr>
              <w:numPr>
                <w:ilvl w:val="0"/>
                <w:numId w:val="272"/>
              </w:numPr>
              <w:ind w:left="357" w:hanging="210"/>
              <w:rPr>
                <w:del w:id="4278" w:author="AbbVie1" w:date="2025-05-13T09:50:00Z"/>
              </w:rPr>
            </w:pPr>
            <w:del w:id="4279" w:author="AbbVie1" w:date="2025-05-13T09:50:00Z">
              <w:r>
                <w:delText>80</w:delText>
              </w:r>
              <w:r w:rsidR="00294902" w:rsidRPr="00005EC2">
                <w:rPr>
                  <w:szCs w:val="22"/>
                </w:rPr>
                <w:delText> </w:delText>
              </w:r>
              <w:r>
                <w:delText>mg jednou za dva týdny</w:delText>
              </w:r>
            </w:del>
          </w:p>
        </w:tc>
      </w:tr>
      <w:tr w:rsidR="00534A2D" w14:paraId="425CC088" w14:textId="77777777" w:rsidTr="00DC6AFE">
        <w:trPr>
          <w:jc w:val="center"/>
          <w:del w:id="4280" w:author="AbbVie1" w:date="2025-05-13T09:50:00Z"/>
        </w:trPr>
        <w:tc>
          <w:tcPr>
            <w:tcW w:w="5000" w:type="pct"/>
            <w:gridSpan w:val="3"/>
            <w:tcBorders>
              <w:top w:val="single" w:sz="4" w:space="0" w:color="auto"/>
              <w:left w:val="nil"/>
              <w:bottom w:val="nil"/>
              <w:right w:val="nil"/>
            </w:tcBorders>
          </w:tcPr>
          <w:p w14:paraId="27AD6732" w14:textId="77777777" w:rsidR="00673B39" w:rsidRPr="00D01607" w:rsidRDefault="00000000" w:rsidP="001D2137">
            <w:pPr>
              <w:ind w:left="0" w:firstLine="0"/>
              <w:rPr>
                <w:del w:id="4281" w:author="AbbVie1" w:date="2025-05-13T09:50:00Z"/>
              </w:rPr>
            </w:pPr>
            <w:del w:id="4282" w:author="AbbVie1" w:date="2025-05-13T09:50:00Z">
              <w:r>
                <w:rPr>
                  <w:vertAlign w:val="superscript"/>
                </w:rPr>
                <w:delText>*</w:delText>
              </w:r>
              <w:r>
                <w:delText xml:space="preserve"> Pediatričtí pacienti, </w:delText>
              </w:r>
              <w:r w:rsidR="00D423FA">
                <w:delText>kteří dosáhnou</w:delText>
              </w:r>
              <w:r w:rsidR="00C86311">
                <w:delText xml:space="preserve"> během</w:delText>
              </w:r>
              <w:r>
                <w:delText xml:space="preserve"> léčby přípravkem Humira 18 let, by měli nadále </w:delText>
              </w:r>
              <w:r w:rsidR="006B77BF">
                <w:delText>po</w:delText>
              </w:r>
              <w:r>
                <w:delText>užívat předepsanou udržovací dávku.</w:delText>
              </w:r>
            </w:del>
          </w:p>
        </w:tc>
      </w:tr>
    </w:tbl>
    <w:p w14:paraId="7B52F34D" w14:textId="77777777" w:rsidR="00673B39" w:rsidRPr="001D2137" w:rsidRDefault="00673B39" w:rsidP="004F218A">
      <w:pPr>
        <w:pStyle w:val="gtctablespaceafter"/>
        <w:spacing w:after="0"/>
        <w:rPr>
          <w:del w:id="4283" w:author="AbbVie1" w:date="2025-05-13T09:50:00Z"/>
          <w:sz w:val="22"/>
          <w:szCs w:val="22"/>
          <w:lang w:val="cs-CZ"/>
        </w:rPr>
      </w:pPr>
    </w:p>
    <w:p w14:paraId="384CBF45" w14:textId="77777777" w:rsidR="00673B39" w:rsidRDefault="00000000" w:rsidP="001D2137">
      <w:pPr>
        <w:ind w:left="0" w:firstLine="0"/>
        <w:rPr>
          <w:del w:id="4284" w:author="AbbVie1" w:date="2025-05-13T09:50:00Z"/>
        </w:rPr>
      </w:pPr>
      <w:del w:id="4285" w:author="AbbVie1" w:date="2025-05-13T09:50:00Z">
        <w:r>
          <w:delText>U pacientů, u kterých se během této doby neobjeví známky odpovědi, je třeba pečlivě zvážit pokračování léčby nad rámec 8 týdnů.</w:delText>
        </w:r>
      </w:del>
    </w:p>
    <w:p w14:paraId="73527BED" w14:textId="77777777" w:rsidR="00673B39" w:rsidRPr="00D01607" w:rsidRDefault="00673B39" w:rsidP="001D2137">
      <w:pPr>
        <w:ind w:left="0" w:firstLine="0"/>
        <w:rPr>
          <w:del w:id="4286" w:author="AbbVie1" w:date="2025-05-13T09:50:00Z"/>
        </w:rPr>
      </w:pPr>
    </w:p>
    <w:p w14:paraId="3E692656" w14:textId="77777777" w:rsidR="00673B39" w:rsidRDefault="00000000" w:rsidP="001D2137">
      <w:pPr>
        <w:ind w:left="0" w:firstLine="0"/>
        <w:rPr>
          <w:del w:id="4287" w:author="AbbVie1" w:date="2025-05-13T09:50:00Z"/>
        </w:rPr>
      </w:pPr>
      <w:del w:id="4288" w:author="AbbVie1" w:date="2025-05-13T09:50:00Z">
        <w:r>
          <w:delText>Použití přípravku Humira u</w:delText>
        </w:r>
        <w:r w:rsidR="00CA4765">
          <w:delText> </w:delText>
        </w:r>
        <w:r>
          <w:delText>dětí mladších než 6 let není v</w:delText>
        </w:r>
        <w:r w:rsidR="00CA4765">
          <w:delText> </w:delText>
        </w:r>
        <w:r>
          <w:delText>této indikaci relevantní.</w:delText>
        </w:r>
      </w:del>
    </w:p>
    <w:p w14:paraId="62F0992A" w14:textId="77777777" w:rsidR="00673B39" w:rsidRPr="00D01607" w:rsidRDefault="00673B39" w:rsidP="001D2137">
      <w:pPr>
        <w:ind w:left="0" w:firstLine="0"/>
        <w:rPr>
          <w:del w:id="4289" w:author="AbbVie1" w:date="2025-05-13T09:50:00Z"/>
        </w:rPr>
      </w:pPr>
    </w:p>
    <w:p w14:paraId="4330DDFD" w14:textId="77777777" w:rsidR="00673B39" w:rsidRDefault="00000000" w:rsidP="001D2137">
      <w:pPr>
        <w:ind w:left="0" w:firstLine="0"/>
        <w:rPr>
          <w:del w:id="4290" w:author="AbbVie1" w:date="2025-05-13T09:50:00Z"/>
        </w:rPr>
      </w:pPr>
      <w:del w:id="4291" w:author="AbbVie1" w:date="2025-05-13T09:50:00Z">
        <w:r>
          <w:delText>Přípravek Humira je k dispozici v dalších silách a/nebo typech balení v závislosti na individuálních potřebách léčby.</w:delText>
        </w:r>
      </w:del>
    </w:p>
    <w:p w14:paraId="44C104CF" w14:textId="77777777" w:rsidR="00673B39" w:rsidRDefault="00673B39" w:rsidP="00D279BC">
      <w:pPr>
        <w:keepNext/>
        <w:ind w:left="0" w:firstLine="0"/>
        <w:rPr>
          <w:del w:id="4292" w:author="AbbVie1" w:date="2025-05-13T09:50:00Z"/>
          <w:i/>
          <w:color w:val="000000"/>
        </w:rPr>
      </w:pPr>
    </w:p>
    <w:p w14:paraId="3BE24122" w14:textId="77777777" w:rsidR="00D427E8" w:rsidRPr="001B4A02" w:rsidRDefault="00000000" w:rsidP="00D279BC">
      <w:pPr>
        <w:keepNext/>
        <w:ind w:left="0" w:firstLine="0"/>
        <w:rPr>
          <w:del w:id="4293" w:author="AbbVie1" w:date="2025-05-13T09:50:00Z"/>
          <w:i/>
          <w:color w:val="000000"/>
        </w:rPr>
      </w:pPr>
      <w:del w:id="4294" w:author="AbbVie1" w:date="2025-05-13T09:50:00Z">
        <w:r w:rsidRPr="001B4A02">
          <w:rPr>
            <w:i/>
            <w:color w:val="000000"/>
          </w:rPr>
          <w:delText>Uveitida u pediatrických pacientů</w:delText>
        </w:r>
      </w:del>
    </w:p>
    <w:p w14:paraId="71E97736" w14:textId="77777777" w:rsidR="00D427E8" w:rsidRPr="001B4A02" w:rsidRDefault="00D427E8" w:rsidP="00D279BC">
      <w:pPr>
        <w:keepNext/>
        <w:ind w:left="0" w:firstLine="0"/>
        <w:rPr>
          <w:del w:id="4295" w:author="AbbVie1" w:date="2025-05-13T09:50:00Z"/>
          <w:color w:val="000000"/>
        </w:rPr>
      </w:pPr>
    </w:p>
    <w:p w14:paraId="248F45DC" w14:textId="77777777" w:rsidR="008E6252" w:rsidRPr="001B4A02" w:rsidRDefault="00000000" w:rsidP="00D279BC">
      <w:pPr>
        <w:ind w:left="0" w:firstLine="0"/>
        <w:rPr>
          <w:del w:id="4296" w:author="AbbVie1" w:date="2025-05-13T09:50:00Z"/>
        </w:rPr>
      </w:pPr>
      <w:del w:id="4297" w:author="AbbVie1" w:date="2025-05-13T09:50:00Z">
        <w:r w:rsidRPr="001B4A02">
          <w:rPr>
            <w:szCs w:val="22"/>
          </w:rPr>
          <w:delText>Doporučená dávka přípravku Humira u</w:delText>
        </w:r>
        <w:r w:rsidR="00A9166E" w:rsidRPr="001B4A02">
          <w:rPr>
            <w:szCs w:val="22"/>
          </w:rPr>
          <w:delText> </w:delText>
        </w:r>
        <w:r w:rsidRPr="001B4A02">
          <w:rPr>
            <w:szCs w:val="22"/>
          </w:rPr>
          <w:delText xml:space="preserve">pediatrických pacientů s uveitidou od 2 let vychází z tělesné hmotnosti (tabulka </w:delText>
        </w:r>
        <w:r w:rsidR="00673B39">
          <w:rPr>
            <w:szCs w:val="22"/>
          </w:rPr>
          <w:delText>6</w:delText>
        </w:r>
        <w:r w:rsidRPr="001B4A02">
          <w:rPr>
            <w:szCs w:val="22"/>
          </w:rPr>
          <w:delText xml:space="preserve">). </w:delText>
        </w:r>
        <w:r w:rsidR="0024278A" w:rsidRPr="001B4A02">
          <w:delText xml:space="preserve">Přípravek </w:delText>
        </w:r>
        <w:r w:rsidRPr="001B4A02">
          <w:delText xml:space="preserve">Humira se podává subkutánní injekcí. </w:delText>
        </w:r>
      </w:del>
    </w:p>
    <w:p w14:paraId="2777CA7C" w14:textId="77777777" w:rsidR="008E6252" w:rsidRPr="001B4A02" w:rsidRDefault="008E6252" w:rsidP="00ED48A3">
      <w:pPr>
        <w:pStyle w:val="EMEANormal"/>
        <w:rPr>
          <w:del w:id="4298" w:author="AbbVie1" w:date="2025-05-13T09:50:00Z"/>
          <w:szCs w:val="22"/>
          <w:bdr w:val="nil"/>
          <w:lang w:val="cs-CZ"/>
        </w:rPr>
      </w:pPr>
    </w:p>
    <w:p w14:paraId="399FCE6A" w14:textId="77777777" w:rsidR="00FE191F" w:rsidRPr="001B4A02" w:rsidRDefault="00000000" w:rsidP="00ED48A3">
      <w:pPr>
        <w:pStyle w:val="EMEANormal"/>
        <w:rPr>
          <w:del w:id="4299" w:author="AbbVie1" w:date="2025-05-13T09:50:00Z"/>
          <w:szCs w:val="22"/>
          <w:bdr w:val="nil"/>
          <w:lang w:val="cs-CZ"/>
        </w:rPr>
      </w:pPr>
      <w:del w:id="4300" w:author="AbbVie1" w:date="2025-05-13T09:50:00Z">
        <w:r w:rsidRPr="001B4A02">
          <w:rPr>
            <w:szCs w:val="22"/>
            <w:lang w:val="cs-CZ"/>
          </w:rPr>
          <w:delText>U pediatrických pacientů s</w:delText>
        </w:r>
        <w:r w:rsidR="00A9166E" w:rsidRPr="001B4A02">
          <w:rPr>
            <w:szCs w:val="22"/>
            <w:lang w:val="cs-CZ"/>
          </w:rPr>
          <w:delText> </w:delText>
        </w:r>
        <w:r w:rsidRPr="001B4A02">
          <w:rPr>
            <w:szCs w:val="22"/>
            <w:lang w:val="cs-CZ"/>
          </w:rPr>
          <w:delText>uveitidou nejsou k</w:delText>
        </w:r>
        <w:r w:rsidR="00A9166E" w:rsidRPr="001B4A02">
          <w:rPr>
            <w:szCs w:val="22"/>
            <w:lang w:val="cs-CZ"/>
          </w:rPr>
          <w:delText> </w:delText>
        </w:r>
        <w:r w:rsidRPr="001B4A02">
          <w:rPr>
            <w:szCs w:val="22"/>
            <w:lang w:val="cs-CZ"/>
          </w:rPr>
          <w:delText>dispozici žádné zkušenosti s</w:delText>
        </w:r>
        <w:r w:rsidR="00A9166E" w:rsidRPr="001B4A02">
          <w:rPr>
            <w:szCs w:val="22"/>
            <w:lang w:val="cs-CZ"/>
          </w:rPr>
          <w:delText> </w:delText>
        </w:r>
        <w:r w:rsidRPr="001B4A02">
          <w:rPr>
            <w:szCs w:val="22"/>
            <w:lang w:val="cs-CZ"/>
          </w:rPr>
          <w:delText>léčbou přípravkem Humira bez současné léčby methotrexátem.</w:delText>
        </w:r>
      </w:del>
    </w:p>
    <w:p w14:paraId="42BE8A68" w14:textId="77777777" w:rsidR="008E6252" w:rsidRPr="001B4A02" w:rsidRDefault="008E6252" w:rsidP="00ED48A3">
      <w:pPr>
        <w:pStyle w:val="EMEANormal"/>
        <w:rPr>
          <w:del w:id="4301" w:author="AbbVie1" w:date="2025-05-13T09:50:00Z"/>
          <w:szCs w:val="22"/>
          <w:bdr w:val="nil"/>
          <w:lang w:val="cs-CZ"/>
        </w:rPr>
      </w:pPr>
    </w:p>
    <w:p w14:paraId="22D07FB7" w14:textId="77777777" w:rsidR="008E6252" w:rsidRPr="001B4A02" w:rsidRDefault="00000000" w:rsidP="003B0274">
      <w:pPr>
        <w:keepNext/>
        <w:jc w:val="center"/>
        <w:rPr>
          <w:del w:id="4302" w:author="AbbVie1" w:date="2025-05-13T09:50:00Z"/>
          <w:b/>
          <w:szCs w:val="22"/>
        </w:rPr>
      </w:pPr>
      <w:del w:id="4303" w:author="AbbVie1" w:date="2025-05-13T09:50:00Z">
        <w:r w:rsidRPr="001B4A02">
          <w:rPr>
            <w:b/>
            <w:szCs w:val="22"/>
          </w:rPr>
          <w:delText xml:space="preserve">Tabulka </w:delText>
        </w:r>
        <w:r w:rsidR="00673B39">
          <w:rPr>
            <w:b/>
            <w:szCs w:val="22"/>
          </w:rPr>
          <w:delText>6</w:delText>
        </w:r>
        <w:r w:rsidRPr="001B4A02">
          <w:rPr>
            <w:b/>
            <w:szCs w:val="22"/>
          </w:rPr>
          <w:delText>. Dávka přípravku Humira u</w:delText>
        </w:r>
        <w:r w:rsidR="00A9166E" w:rsidRPr="001B4A02">
          <w:rPr>
            <w:b/>
            <w:szCs w:val="22"/>
          </w:rPr>
          <w:delText> </w:delText>
        </w:r>
        <w:r w:rsidRPr="001B4A02">
          <w:rPr>
            <w:b/>
            <w:szCs w:val="22"/>
          </w:rPr>
          <w:delText>pediatrických pacientů s</w:delText>
        </w:r>
        <w:r w:rsidR="00A9166E" w:rsidRPr="001B4A02">
          <w:rPr>
            <w:b/>
            <w:szCs w:val="22"/>
          </w:rPr>
          <w:delText> </w:delText>
        </w:r>
        <w:r w:rsidRPr="001B4A02">
          <w:rPr>
            <w:b/>
            <w:szCs w:val="22"/>
          </w:rPr>
          <w:delText>uveitidou</w:delText>
        </w:r>
      </w:del>
    </w:p>
    <w:p w14:paraId="33C05158" w14:textId="77777777" w:rsidR="008E6252" w:rsidRPr="001B4A02" w:rsidRDefault="008E6252" w:rsidP="003B0274">
      <w:pPr>
        <w:keepNext/>
        <w:jc w:val="center"/>
        <w:rPr>
          <w:del w:id="4304" w:author="AbbVie1" w:date="2025-05-13T09:50:00Z"/>
        </w:rPr>
      </w:pPr>
    </w:p>
    <w:tbl>
      <w:tblPr>
        <w:tblW w:w="7509" w:type="dxa"/>
        <w:jc w:val="center"/>
        <w:tblLayout w:type="fixed"/>
        <w:tblLook w:val="0000" w:firstRow="0" w:lastRow="0" w:firstColumn="0" w:lastColumn="0" w:noHBand="0" w:noVBand="0"/>
      </w:tblPr>
      <w:tblGrid>
        <w:gridCol w:w="3401"/>
        <w:gridCol w:w="4108"/>
      </w:tblGrid>
      <w:tr w:rsidR="00534A2D" w14:paraId="32691964" w14:textId="77777777" w:rsidTr="00253ABE">
        <w:trPr>
          <w:tblHeader/>
          <w:jc w:val="center"/>
          <w:del w:id="4305" w:author="AbbVie1" w:date="2025-05-13T09:50:00Z"/>
        </w:trPr>
        <w:tc>
          <w:tcPr>
            <w:tcW w:w="3401" w:type="dxa"/>
            <w:tcBorders>
              <w:top w:val="single" w:sz="4" w:space="0" w:color="auto"/>
              <w:bottom w:val="single" w:sz="4" w:space="0" w:color="auto"/>
            </w:tcBorders>
            <w:shd w:val="clear" w:color="auto" w:fill="auto"/>
          </w:tcPr>
          <w:p w14:paraId="73FD69D8" w14:textId="77777777" w:rsidR="008E6252" w:rsidRPr="001B4A02" w:rsidRDefault="00000000" w:rsidP="00090145">
            <w:pPr>
              <w:pStyle w:val="TableLeft"/>
              <w:jc w:val="center"/>
              <w:rPr>
                <w:del w:id="4306" w:author="AbbVie1" w:date="2025-05-13T09:50:00Z"/>
                <w:b/>
                <w:sz w:val="22"/>
                <w:szCs w:val="22"/>
                <w:lang w:val="cs-CZ"/>
              </w:rPr>
            </w:pPr>
            <w:del w:id="4307" w:author="AbbVie1" w:date="2025-05-13T09:50:00Z">
              <w:r w:rsidRPr="001B4A02">
                <w:rPr>
                  <w:b/>
                  <w:sz w:val="22"/>
                  <w:szCs w:val="22"/>
                  <w:lang w:val="cs-CZ"/>
                </w:rPr>
                <w:delText>Hmotnost pacienta</w:delText>
              </w:r>
            </w:del>
          </w:p>
        </w:tc>
        <w:tc>
          <w:tcPr>
            <w:tcW w:w="4108" w:type="dxa"/>
            <w:tcBorders>
              <w:top w:val="single" w:sz="4" w:space="0" w:color="auto"/>
              <w:bottom w:val="single" w:sz="4" w:space="0" w:color="auto"/>
            </w:tcBorders>
            <w:shd w:val="clear" w:color="auto" w:fill="auto"/>
          </w:tcPr>
          <w:p w14:paraId="5BD26B3E" w14:textId="77777777" w:rsidR="008E6252" w:rsidRPr="001B4A02" w:rsidRDefault="00000000" w:rsidP="00090145">
            <w:pPr>
              <w:pStyle w:val="TableLeft"/>
              <w:jc w:val="center"/>
              <w:rPr>
                <w:del w:id="4308" w:author="AbbVie1" w:date="2025-05-13T09:50:00Z"/>
                <w:b/>
                <w:sz w:val="22"/>
                <w:szCs w:val="22"/>
                <w:lang w:val="cs-CZ"/>
              </w:rPr>
            </w:pPr>
            <w:del w:id="4309" w:author="AbbVie1" w:date="2025-05-13T09:50:00Z">
              <w:r w:rsidRPr="001B4A02">
                <w:rPr>
                  <w:b/>
                  <w:sz w:val="22"/>
                  <w:szCs w:val="22"/>
                  <w:lang w:val="cs-CZ"/>
                </w:rPr>
                <w:delText>Režim dávkování</w:delText>
              </w:r>
            </w:del>
          </w:p>
        </w:tc>
      </w:tr>
      <w:tr w:rsidR="00534A2D" w14:paraId="48261008" w14:textId="77777777" w:rsidTr="00253ABE">
        <w:trPr>
          <w:tblHeader/>
          <w:jc w:val="center"/>
          <w:del w:id="4310" w:author="AbbVie1" w:date="2025-05-13T09:50:00Z"/>
        </w:trPr>
        <w:tc>
          <w:tcPr>
            <w:tcW w:w="3401" w:type="dxa"/>
            <w:tcBorders>
              <w:top w:val="single" w:sz="4" w:space="0" w:color="auto"/>
              <w:bottom w:val="single" w:sz="4" w:space="0" w:color="auto"/>
            </w:tcBorders>
            <w:shd w:val="clear" w:color="auto" w:fill="auto"/>
          </w:tcPr>
          <w:p w14:paraId="04FFF270" w14:textId="77777777" w:rsidR="008E6252" w:rsidRPr="001B4A02" w:rsidRDefault="00000000" w:rsidP="00090145">
            <w:pPr>
              <w:pStyle w:val="TableLeft"/>
              <w:jc w:val="center"/>
              <w:rPr>
                <w:del w:id="4311" w:author="AbbVie1" w:date="2025-05-13T09:50:00Z"/>
                <w:b/>
                <w:sz w:val="22"/>
                <w:szCs w:val="22"/>
                <w:lang w:val="cs-CZ"/>
              </w:rPr>
            </w:pPr>
            <w:del w:id="4312" w:author="AbbVie1" w:date="2025-05-13T09:50:00Z">
              <w:r w:rsidRPr="001B4A02">
                <w:rPr>
                  <w:sz w:val="22"/>
                  <w:szCs w:val="22"/>
                  <w:lang w:val="cs-CZ"/>
                </w:rPr>
                <w:delText>&lt;</w:delText>
              </w:r>
              <w:r w:rsidR="007375A0"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4108" w:type="dxa"/>
            <w:tcBorders>
              <w:top w:val="single" w:sz="4" w:space="0" w:color="auto"/>
              <w:bottom w:val="single" w:sz="4" w:space="0" w:color="auto"/>
            </w:tcBorders>
            <w:shd w:val="clear" w:color="auto" w:fill="auto"/>
          </w:tcPr>
          <w:p w14:paraId="6A0475BF" w14:textId="77777777" w:rsidR="008E6252" w:rsidRPr="001B4A02" w:rsidRDefault="00000000" w:rsidP="00090145">
            <w:pPr>
              <w:pStyle w:val="TableLeft"/>
              <w:jc w:val="center"/>
              <w:rPr>
                <w:del w:id="4313" w:author="AbbVie1" w:date="2025-05-13T09:50:00Z"/>
                <w:b/>
                <w:sz w:val="22"/>
                <w:szCs w:val="22"/>
                <w:lang w:val="cs-CZ"/>
              </w:rPr>
            </w:pPr>
            <w:del w:id="4314" w:author="AbbVie1" w:date="2025-05-13T09:50:00Z">
              <w:r w:rsidRPr="001B4A02">
                <w:rPr>
                  <w:sz w:val="22"/>
                  <w:szCs w:val="22"/>
                  <w:lang w:val="cs-CZ"/>
                </w:rPr>
                <w:delText>20 mg jednou za dva týdny v</w:delText>
              </w:r>
              <w:r w:rsidR="00253ABE" w:rsidRPr="001B4A02">
                <w:rPr>
                  <w:sz w:val="22"/>
                  <w:szCs w:val="22"/>
                  <w:lang w:val="cs-CZ"/>
                </w:rPr>
                <w:delText> </w:delText>
              </w:r>
              <w:r w:rsidRPr="001B4A02">
                <w:rPr>
                  <w:sz w:val="22"/>
                  <w:szCs w:val="22"/>
                  <w:lang w:val="cs-CZ"/>
                </w:rPr>
                <w:delText>kombinaci s</w:delText>
              </w:r>
              <w:r w:rsidR="00253ABE" w:rsidRPr="001B4A02">
                <w:rPr>
                  <w:sz w:val="22"/>
                  <w:szCs w:val="22"/>
                  <w:lang w:val="cs-CZ"/>
                </w:rPr>
                <w:delText> </w:delText>
              </w:r>
              <w:r w:rsidRPr="001B4A02">
                <w:rPr>
                  <w:sz w:val="22"/>
                  <w:szCs w:val="22"/>
                  <w:lang w:val="cs-CZ"/>
                </w:rPr>
                <w:delText>methotrexátem</w:delText>
              </w:r>
            </w:del>
          </w:p>
        </w:tc>
      </w:tr>
      <w:tr w:rsidR="00534A2D" w14:paraId="1FF599BE" w14:textId="77777777" w:rsidTr="00253ABE">
        <w:trPr>
          <w:tblHeader/>
          <w:jc w:val="center"/>
          <w:del w:id="4315" w:author="AbbVie1" w:date="2025-05-13T09:50:00Z"/>
        </w:trPr>
        <w:tc>
          <w:tcPr>
            <w:tcW w:w="3401" w:type="dxa"/>
            <w:tcBorders>
              <w:top w:val="single" w:sz="4" w:space="0" w:color="auto"/>
              <w:bottom w:val="single" w:sz="4" w:space="0" w:color="auto"/>
            </w:tcBorders>
            <w:shd w:val="clear" w:color="auto" w:fill="auto"/>
          </w:tcPr>
          <w:p w14:paraId="7741CF1B" w14:textId="77777777" w:rsidR="008E6252" w:rsidRPr="001B4A02" w:rsidRDefault="00000000" w:rsidP="00090145">
            <w:pPr>
              <w:pStyle w:val="TableLeft"/>
              <w:jc w:val="center"/>
              <w:rPr>
                <w:del w:id="4316" w:author="AbbVie1" w:date="2025-05-13T09:50:00Z"/>
                <w:b/>
                <w:sz w:val="22"/>
                <w:szCs w:val="22"/>
                <w:lang w:val="cs-CZ"/>
              </w:rPr>
            </w:pPr>
            <w:del w:id="4317" w:author="AbbVie1" w:date="2025-05-13T09:50:00Z">
              <w:r w:rsidRPr="001B4A02">
                <w:rPr>
                  <w:sz w:val="22"/>
                  <w:szCs w:val="22"/>
                  <w:lang w:val="cs-CZ"/>
                </w:rPr>
                <w:delText>≥</w:delText>
              </w:r>
              <w:r w:rsidR="007375A0" w:rsidRPr="001B4A02">
                <w:rPr>
                  <w:sz w:val="22"/>
                  <w:szCs w:val="22"/>
                  <w:lang w:val="cs-CZ"/>
                </w:rPr>
                <w:delText> </w:delText>
              </w:r>
              <w:r w:rsidRPr="001B4A02">
                <w:rPr>
                  <w:sz w:val="22"/>
                  <w:szCs w:val="22"/>
                  <w:lang w:val="cs-CZ"/>
                </w:rPr>
                <w:delText>30</w:delText>
              </w:r>
              <w:r w:rsidR="002767FC">
                <w:rPr>
                  <w:sz w:val="22"/>
                  <w:szCs w:val="22"/>
                  <w:lang w:val="cs-CZ"/>
                </w:rPr>
                <w:delText> kg</w:delText>
              </w:r>
            </w:del>
          </w:p>
        </w:tc>
        <w:tc>
          <w:tcPr>
            <w:tcW w:w="4108" w:type="dxa"/>
            <w:tcBorders>
              <w:top w:val="single" w:sz="4" w:space="0" w:color="auto"/>
              <w:bottom w:val="single" w:sz="4" w:space="0" w:color="auto"/>
            </w:tcBorders>
            <w:shd w:val="clear" w:color="auto" w:fill="auto"/>
          </w:tcPr>
          <w:p w14:paraId="32B33499" w14:textId="77777777" w:rsidR="008E6252" w:rsidRPr="001B4A02" w:rsidRDefault="00000000" w:rsidP="00090145">
            <w:pPr>
              <w:pStyle w:val="TableLeft"/>
              <w:jc w:val="center"/>
              <w:rPr>
                <w:del w:id="4318" w:author="AbbVie1" w:date="2025-05-13T09:50:00Z"/>
                <w:b/>
                <w:sz w:val="22"/>
                <w:szCs w:val="22"/>
                <w:lang w:val="cs-CZ"/>
              </w:rPr>
            </w:pPr>
            <w:del w:id="4319" w:author="AbbVie1" w:date="2025-05-13T09:50:00Z">
              <w:r w:rsidRPr="001B4A02">
                <w:rPr>
                  <w:sz w:val="22"/>
                  <w:szCs w:val="22"/>
                  <w:lang w:val="cs-CZ"/>
                </w:rPr>
                <w:delText>40 mg jednou za dva týdny v</w:delText>
              </w:r>
              <w:r w:rsidR="00253ABE" w:rsidRPr="001B4A02">
                <w:rPr>
                  <w:sz w:val="22"/>
                  <w:szCs w:val="22"/>
                  <w:lang w:val="cs-CZ"/>
                </w:rPr>
                <w:delText> </w:delText>
              </w:r>
              <w:r w:rsidRPr="001B4A02">
                <w:rPr>
                  <w:sz w:val="22"/>
                  <w:szCs w:val="22"/>
                  <w:lang w:val="cs-CZ"/>
                </w:rPr>
                <w:delText>kombinaci s</w:delText>
              </w:r>
              <w:r w:rsidR="00253ABE" w:rsidRPr="001B4A02">
                <w:rPr>
                  <w:sz w:val="22"/>
                  <w:szCs w:val="22"/>
                  <w:lang w:val="cs-CZ"/>
                </w:rPr>
                <w:delText> </w:delText>
              </w:r>
              <w:r w:rsidRPr="001B4A02">
                <w:rPr>
                  <w:sz w:val="22"/>
                  <w:szCs w:val="22"/>
                  <w:lang w:val="cs-CZ"/>
                </w:rPr>
                <w:delText>methotrexátem</w:delText>
              </w:r>
            </w:del>
          </w:p>
        </w:tc>
      </w:tr>
    </w:tbl>
    <w:p w14:paraId="2C17BE6E" w14:textId="77777777" w:rsidR="00FE191F" w:rsidRPr="001B4A02" w:rsidRDefault="00FE191F" w:rsidP="00ED48A3">
      <w:pPr>
        <w:pStyle w:val="EMEANormal"/>
        <w:rPr>
          <w:del w:id="4320" w:author="AbbVie1" w:date="2025-05-13T09:50:00Z"/>
          <w:lang w:val="cs-CZ"/>
        </w:rPr>
      </w:pPr>
    </w:p>
    <w:p w14:paraId="25F1427A" w14:textId="77777777" w:rsidR="00FE191F" w:rsidRPr="001B4A02" w:rsidRDefault="00000000" w:rsidP="00ED48A3">
      <w:pPr>
        <w:ind w:left="0" w:firstLine="0"/>
        <w:rPr>
          <w:del w:id="4321" w:author="AbbVie1" w:date="2025-05-13T09:50:00Z"/>
        </w:rPr>
      </w:pPr>
      <w:del w:id="4322" w:author="AbbVie1" w:date="2025-05-13T09:50:00Z">
        <w:r w:rsidRPr="001B4A02">
          <w:rPr>
            <w:szCs w:val="22"/>
          </w:rPr>
          <w:delText xml:space="preserve">Při zahájení léčby přípravkem Humira může být podána úvodní dávka </w:delText>
        </w:r>
        <w:r w:rsidR="009C64B2" w:rsidRPr="001B4A02">
          <w:rPr>
            <w:szCs w:val="22"/>
          </w:rPr>
          <w:delText xml:space="preserve">40 mg </w:delText>
        </w:r>
        <w:r w:rsidR="008E6252" w:rsidRPr="001B4A02">
          <w:rPr>
            <w:szCs w:val="22"/>
          </w:rPr>
          <w:delText xml:space="preserve">pacientům s tělesnou hmotností </w:delText>
        </w:r>
        <w:r w:rsidR="008E6252" w:rsidRPr="001B4A02">
          <w:delText>&lt;</w:delText>
        </w:r>
        <w:r w:rsidR="007375A0" w:rsidRPr="001B4A02">
          <w:delText> </w:delText>
        </w:r>
        <w:r w:rsidR="008E6252" w:rsidRPr="001B4A02">
          <w:delText>30</w:delText>
        </w:r>
        <w:r w:rsidR="002767FC">
          <w:delText> kg</w:delText>
        </w:r>
        <w:r w:rsidR="008E6252" w:rsidRPr="001B4A02">
          <w:delText xml:space="preserve"> nebo 80 mg pacientům s tělesnou hmotností ≥</w:delText>
        </w:r>
        <w:r w:rsidR="008E5C77" w:rsidRPr="001B4A02">
          <w:delText> </w:delText>
        </w:r>
        <w:r w:rsidR="008E6252" w:rsidRPr="001B4A02">
          <w:delText>30</w:delText>
        </w:r>
        <w:r w:rsidR="002767FC">
          <w:delText> kg</w:delText>
        </w:r>
        <w:r w:rsidR="008E6252" w:rsidRPr="001B4A02">
          <w:rPr>
            <w:szCs w:val="22"/>
          </w:rPr>
          <w:delText xml:space="preserve"> </w:delText>
        </w:r>
        <w:r w:rsidRPr="001B4A02">
          <w:rPr>
            <w:szCs w:val="22"/>
          </w:rPr>
          <w:delText>jeden týden před zahájením udržovací léčby. Nejsou k</w:delText>
        </w:r>
        <w:r w:rsidR="00B66B89" w:rsidRPr="001B4A02">
          <w:rPr>
            <w:szCs w:val="22"/>
          </w:rPr>
          <w:delText> </w:delText>
        </w:r>
        <w:r w:rsidRPr="001B4A02">
          <w:rPr>
            <w:szCs w:val="22"/>
          </w:rPr>
          <w:delText>dispozici žádné klinické údaje o</w:delText>
        </w:r>
        <w:r w:rsidR="00923691" w:rsidRPr="001B4A02">
          <w:rPr>
            <w:szCs w:val="22"/>
          </w:rPr>
          <w:delText> </w:delText>
        </w:r>
        <w:r w:rsidRPr="001B4A02">
          <w:rPr>
            <w:szCs w:val="22"/>
          </w:rPr>
          <w:delText>použití úvodní dávky přípravku Humira u</w:delText>
        </w:r>
        <w:r w:rsidR="00164B4F" w:rsidRPr="001B4A02">
          <w:rPr>
            <w:szCs w:val="22"/>
          </w:rPr>
          <w:delText> </w:delText>
        </w:r>
        <w:r w:rsidRPr="001B4A02">
          <w:rPr>
            <w:szCs w:val="22"/>
          </w:rPr>
          <w:delText>dětí ve věku &lt;</w:delText>
        </w:r>
        <w:r w:rsidR="001B78B4" w:rsidRPr="001B4A02">
          <w:rPr>
            <w:szCs w:val="22"/>
          </w:rPr>
          <w:delText> </w:delText>
        </w:r>
        <w:r w:rsidRPr="001B4A02">
          <w:rPr>
            <w:szCs w:val="22"/>
          </w:rPr>
          <w:delText>6 let (viz bod 5.2).</w:delText>
        </w:r>
      </w:del>
    </w:p>
    <w:p w14:paraId="339004DC" w14:textId="77777777" w:rsidR="00FE191F" w:rsidRPr="001B4A02" w:rsidRDefault="00FE191F" w:rsidP="00ED48A3">
      <w:pPr>
        <w:rPr>
          <w:del w:id="4323" w:author="AbbVie1" w:date="2025-05-13T09:50:00Z"/>
        </w:rPr>
      </w:pPr>
    </w:p>
    <w:p w14:paraId="37172ACA" w14:textId="77777777" w:rsidR="00FE191F" w:rsidRPr="001B4A02" w:rsidRDefault="00000000" w:rsidP="00ED48A3">
      <w:pPr>
        <w:pStyle w:val="EMEANormal"/>
        <w:rPr>
          <w:del w:id="4324" w:author="AbbVie1" w:date="2025-05-13T09:50:00Z"/>
          <w:lang w:val="cs-CZ"/>
        </w:rPr>
      </w:pPr>
      <w:del w:id="4325" w:author="AbbVie1" w:date="2025-05-13T09:50:00Z">
        <w:r w:rsidRPr="001B4A02">
          <w:rPr>
            <w:szCs w:val="22"/>
            <w:lang w:val="cs-CZ"/>
          </w:rPr>
          <w:delText>Použití přípravku Humira u</w:delText>
        </w:r>
        <w:r w:rsidR="00164B4F" w:rsidRPr="001B4A02">
          <w:rPr>
            <w:szCs w:val="22"/>
            <w:lang w:val="cs-CZ"/>
          </w:rPr>
          <w:delText> </w:delText>
        </w:r>
        <w:r w:rsidRPr="001B4A02">
          <w:rPr>
            <w:szCs w:val="22"/>
            <w:lang w:val="cs-CZ"/>
          </w:rPr>
          <w:delText>dětí mladších než 2 roky není v</w:delText>
        </w:r>
        <w:r w:rsidR="00EF0AF7" w:rsidRPr="001B4A02">
          <w:rPr>
            <w:szCs w:val="22"/>
            <w:lang w:val="cs-CZ"/>
          </w:rPr>
          <w:delText> </w:delText>
        </w:r>
        <w:r w:rsidRPr="001B4A02">
          <w:rPr>
            <w:szCs w:val="22"/>
            <w:lang w:val="cs-CZ"/>
          </w:rPr>
          <w:delText>této indikaci relevantní.</w:delText>
        </w:r>
      </w:del>
    </w:p>
    <w:p w14:paraId="0ED14A13" w14:textId="77777777" w:rsidR="00FE191F" w:rsidRPr="001B4A02" w:rsidRDefault="00FE191F" w:rsidP="00ED48A3">
      <w:pPr>
        <w:pStyle w:val="EMEANormal"/>
        <w:rPr>
          <w:del w:id="4326" w:author="AbbVie1" w:date="2025-05-13T09:50:00Z"/>
          <w:lang w:val="cs-CZ"/>
        </w:rPr>
      </w:pPr>
    </w:p>
    <w:p w14:paraId="0E136158" w14:textId="77777777" w:rsidR="007B7963" w:rsidRPr="001B4A02" w:rsidRDefault="00000000" w:rsidP="00ED48A3">
      <w:pPr>
        <w:ind w:left="0" w:firstLine="0"/>
        <w:rPr>
          <w:del w:id="4327" w:author="AbbVie1" w:date="2025-05-13T09:50:00Z"/>
          <w:szCs w:val="22"/>
          <w:bdr w:val="nil"/>
        </w:rPr>
      </w:pPr>
      <w:del w:id="4328" w:author="AbbVie1" w:date="2025-05-13T09:50:00Z">
        <w:r w:rsidRPr="001B4A02">
          <w:rPr>
            <w:szCs w:val="22"/>
          </w:rPr>
          <w:delText>Je doporučeno, aby byl</w:delText>
        </w:r>
        <w:r w:rsidR="000B5567" w:rsidRPr="001B4A02">
          <w:rPr>
            <w:szCs w:val="22"/>
          </w:rPr>
          <w:delText xml:space="preserve"> každý rok vy</w:delText>
        </w:r>
        <w:r w:rsidRPr="001B4A02">
          <w:rPr>
            <w:szCs w:val="22"/>
          </w:rPr>
          <w:delText>hodnocen</w:delText>
        </w:r>
        <w:r w:rsidR="000B5567" w:rsidRPr="001B4A02">
          <w:rPr>
            <w:szCs w:val="22"/>
          </w:rPr>
          <w:delText xml:space="preserve"> poměr přínosu</w:delText>
        </w:r>
        <w:r w:rsidR="002378E0">
          <w:rPr>
            <w:szCs w:val="22"/>
          </w:rPr>
          <w:delText xml:space="preserve"> a </w:delText>
        </w:r>
        <w:r w:rsidRPr="001B4A02">
          <w:rPr>
            <w:szCs w:val="22"/>
          </w:rPr>
          <w:delText>rizik</w:delText>
        </w:r>
        <w:r w:rsidR="000B5567" w:rsidRPr="001B4A02">
          <w:rPr>
            <w:szCs w:val="22"/>
          </w:rPr>
          <w:delText>a</w:delText>
        </w:r>
        <w:r w:rsidRPr="001B4A02">
          <w:rPr>
            <w:szCs w:val="22"/>
          </w:rPr>
          <w:delText xml:space="preserve"> pokračování dlouhodobé léčby (viz bod 5.1).</w:delText>
        </w:r>
      </w:del>
    </w:p>
    <w:p w14:paraId="188A276A" w14:textId="77777777" w:rsidR="000B5567" w:rsidRPr="001B4A02" w:rsidRDefault="000B5567" w:rsidP="00ED48A3">
      <w:pPr>
        <w:ind w:left="0" w:firstLine="0"/>
        <w:rPr>
          <w:del w:id="4329" w:author="AbbVie1" w:date="2025-05-13T09:50:00Z"/>
        </w:rPr>
      </w:pPr>
    </w:p>
    <w:p w14:paraId="0716DB10" w14:textId="77777777" w:rsidR="00840619" w:rsidRPr="001B4A02" w:rsidRDefault="00000000" w:rsidP="00840619">
      <w:pPr>
        <w:ind w:left="0" w:firstLine="0"/>
        <w:rPr>
          <w:del w:id="4330" w:author="AbbVie1" w:date="2025-05-13T09:50:00Z"/>
        </w:rPr>
      </w:pPr>
      <w:del w:id="4331" w:author="AbbVie1" w:date="2025-05-13T09:50:00Z">
        <w:r w:rsidRPr="001B4A02">
          <w:delText xml:space="preserve">Přípravek Humira je k dispozici v dalších silách a/nebo </w:delText>
        </w:r>
        <w:r w:rsidR="00A43DB3">
          <w:delText>typech balení</w:delText>
        </w:r>
        <w:r w:rsidRPr="001B4A02">
          <w:delText xml:space="preserve"> v závislosti na individuálních potřebách léčby.</w:delText>
        </w:r>
      </w:del>
    </w:p>
    <w:p w14:paraId="12DEA837" w14:textId="77777777" w:rsidR="00840619" w:rsidRPr="001B4A02" w:rsidRDefault="00840619" w:rsidP="00ED48A3">
      <w:pPr>
        <w:ind w:left="0" w:firstLine="0"/>
        <w:rPr>
          <w:del w:id="4332" w:author="AbbVie1" w:date="2025-05-13T09:50:00Z"/>
          <w:i/>
        </w:rPr>
      </w:pPr>
    </w:p>
    <w:p w14:paraId="02E810B0" w14:textId="77777777" w:rsidR="00232A6C" w:rsidRPr="001B4A02" w:rsidRDefault="00000000" w:rsidP="00D279BC">
      <w:pPr>
        <w:keepNext/>
        <w:ind w:left="0" w:firstLine="0"/>
        <w:rPr>
          <w:del w:id="4333" w:author="AbbVie1" w:date="2025-05-13T09:50:00Z"/>
          <w:u w:val="single"/>
        </w:rPr>
      </w:pPr>
      <w:del w:id="4334" w:author="AbbVie1" w:date="2025-05-13T09:50:00Z">
        <w:r w:rsidRPr="001B4A02">
          <w:rPr>
            <w:u w:val="single"/>
          </w:rPr>
          <w:delText>Způsob podání</w:delText>
        </w:r>
      </w:del>
    </w:p>
    <w:p w14:paraId="1BD4E716" w14:textId="77777777" w:rsidR="00232A6C" w:rsidRPr="001B4A02" w:rsidRDefault="00232A6C" w:rsidP="00D279BC">
      <w:pPr>
        <w:keepNext/>
        <w:ind w:left="0" w:firstLine="0"/>
        <w:rPr>
          <w:del w:id="4335" w:author="AbbVie1" w:date="2025-05-13T09:50:00Z"/>
          <w:u w:val="single"/>
        </w:rPr>
      </w:pPr>
    </w:p>
    <w:p w14:paraId="51B204D8" w14:textId="77777777" w:rsidR="00232A6C" w:rsidRPr="001B4A02" w:rsidRDefault="00000000" w:rsidP="00ED48A3">
      <w:pPr>
        <w:ind w:left="0" w:firstLine="0"/>
        <w:rPr>
          <w:del w:id="4336" w:author="AbbVie1" w:date="2025-05-13T09:50:00Z"/>
          <w:u w:val="single"/>
        </w:rPr>
      </w:pPr>
      <w:del w:id="4337" w:author="AbbVie1" w:date="2025-05-13T09:50:00Z">
        <w:r w:rsidRPr="001B4A02">
          <w:delText>Přípravek Humira se podává subkutánní injekcí. Podrobný návod k</w:delText>
        </w:r>
        <w:r w:rsidR="00EF0AF7" w:rsidRPr="001B4A02">
          <w:delText> </w:delText>
        </w:r>
        <w:r w:rsidR="00BE2F59" w:rsidRPr="001B4A02">
          <w:delText>po</w:delText>
        </w:r>
        <w:r w:rsidRPr="001B4A02">
          <w:delText>užití je uveden v</w:delText>
        </w:r>
        <w:r w:rsidR="00EF0AF7" w:rsidRPr="001B4A02">
          <w:delText> </w:delText>
        </w:r>
        <w:r w:rsidRPr="001B4A02">
          <w:delText>příbalové informaci.</w:delText>
        </w:r>
      </w:del>
    </w:p>
    <w:p w14:paraId="3570B8BF" w14:textId="77777777" w:rsidR="00BC1100" w:rsidRPr="001B4A02" w:rsidRDefault="00BC1100" w:rsidP="00ED48A3">
      <w:pPr>
        <w:ind w:left="0" w:firstLine="0"/>
        <w:rPr>
          <w:del w:id="4338" w:author="AbbVie1" w:date="2025-05-13T09:50:00Z"/>
        </w:rPr>
      </w:pPr>
    </w:p>
    <w:p w14:paraId="406C4EE7" w14:textId="77777777" w:rsidR="008E6252" w:rsidRPr="001B4A02" w:rsidRDefault="00000000" w:rsidP="00ED48A3">
      <w:pPr>
        <w:ind w:left="0" w:firstLine="0"/>
        <w:rPr>
          <w:del w:id="4339" w:author="AbbVie1" w:date="2025-05-13T09:50:00Z"/>
        </w:rPr>
      </w:pPr>
      <w:del w:id="4340" w:author="AbbVie1" w:date="2025-05-13T09:50:00Z">
        <w:r w:rsidRPr="001B4A02">
          <w:delText>Přípravek Humira je k dispozici v dalších silách</w:delText>
        </w:r>
        <w:r w:rsidR="002378E0">
          <w:delText xml:space="preserve"> a </w:delText>
        </w:r>
        <w:r w:rsidR="00A43DB3">
          <w:delText>typech balení</w:delText>
        </w:r>
        <w:r w:rsidRPr="001B4A02">
          <w:delText>.</w:delText>
        </w:r>
      </w:del>
    </w:p>
    <w:p w14:paraId="161BD3C1" w14:textId="77777777" w:rsidR="00073F8F" w:rsidRPr="001B4A02" w:rsidRDefault="00073F8F" w:rsidP="00ED48A3">
      <w:pPr>
        <w:ind w:left="0" w:firstLine="0"/>
        <w:rPr>
          <w:del w:id="4341" w:author="AbbVie1" w:date="2025-05-13T09:50:00Z"/>
        </w:rPr>
      </w:pPr>
    </w:p>
    <w:p w14:paraId="449752CD" w14:textId="77777777" w:rsidR="00073F8F" w:rsidRPr="001B4A02" w:rsidRDefault="00000000" w:rsidP="000A5426">
      <w:pPr>
        <w:keepNext/>
        <w:outlineLvl w:val="1"/>
        <w:rPr>
          <w:del w:id="4342" w:author="AbbVie1" w:date="2025-05-13T09:50:00Z"/>
        </w:rPr>
      </w:pPr>
      <w:del w:id="4343" w:author="AbbVie1" w:date="2025-05-13T09:50:00Z">
        <w:r w:rsidRPr="001B4A02">
          <w:rPr>
            <w:b/>
          </w:rPr>
          <w:delText>4.3</w:delText>
        </w:r>
        <w:r w:rsidRPr="001B4A02">
          <w:rPr>
            <w:b/>
          </w:rPr>
          <w:tab/>
          <w:delText>Kontraindikace</w:delText>
        </w:r>
      </w:del>
    </w:p>
    <w:p w14:paraId="7C506B72" w14:textId="77777777" w:rsidR="00073F8F" w:rsidRPr="001B4A02" w:rsidRDefault="00073F8F" w:rsidP="00D279BC">
      <w:pPr>
        <w:keepNext/>
        <w:ind w:left="0" w:firstLine="0"/>
        <w:rPr>
          <w:del w:id="4344" w:author="AbbVie1" w:date="2025-05-13T09:50:00Z"/>
        </w:rPr>
      </w:pPr>
    </w:p>
    <w:p w14:paraId="3436E09D" w14:textId="77777777" w:rsidR="00073F8F" w:rsidRPr="001B4A02" w:rsidRDefault="00000000" w:rsidP="00ED48A3">
      <w:pPr>
        <w:ind w:left="0" w:firstLine="0"/>
        <w:rPr>
          <w:del w:id="4345" w:author="AbbVie1" w:date="2025-05-13T09:50:00Z"/>
        </w:rPr>
      </w:pPr>
      <w:del w:id="4346" w:author="AbbVie1" w:date="2025-05-13T09:50:00Z">
        <w:r w:rsidRPr="001B4A02">
          <w:delText>Hypersen</w:delText>
        </w:r>
        <w:r w:rsidR="00153468" w:rsidRPr="001B4A02">
          <w:delText>z</w:delText>
        </w:r>
        <w:r w:rsidRPr="001B4A02">
          <w:delText>itivita na léčivou látku nebo na kteroukoli pomocnou látku</w:delText>
        </w:r>
        <w:r w:rsidR="0039660A" w:rsidRPr="001B4A02">
          <w:delText xml:space="preserve"> uvedenou v bodě 6</w:delText>
        </w:r>
        <w:r w:rsidR="00F942BA" w:rsidRPr="001B4A02">
          <w:delText>.1</w:delText>
        </w:r>
        <w:r w:rsidRPr="001B4A02">
          <w:delText>.</w:delText>
        </w:r>
      </w:del>
    </w:p>
    <w:p w14:paraId="3853A59A" w14:textId="77777777" w:rsidR="00073F8F" w:rsidRPr="001B4A02" w:rsidRDefault="00073F8F" w:rsidP="00ED48A3">
      <w:pPr>
        <w:ind w:left="0" w:firstLine="0"/>
        <w:rPr>
          <w:del w:id="4347" w:author="AbbVie1" w:date="2025-05-13T09:50:00Z"/>
        </w:rPr>
      </w:pPr>
    </w:p>
    <w:p w14:paraId="7C04D21E" w14:textId="77777777" w:rsidR="00073F8F" w:rsidRPr="001B4A02" w:rsidRDefault="00000000" w:rsidP="00ED48A3">
      <w:pPr>
        <w:ind w:left="0" w:firstLine="0"/>
        <w:rPr>
          <w:del w:id="4348" w:author="AbbVie1" w:date="2025-05-13T09:50:00Z"/>
        </w:rPr>
      </w:pPr>
      <w:del w:id="4349" w:author="AbbVie1" w:date="2025-05-13T09:50:00Z">
        <w:r w:rsidRPr="001B4A02">
          <w:delText>Aktivní tuberkulóza nebo jiné závažné infekce, jako je sepse</w:delText>
        </w:r>
        <w:r w:rsidR="002378E0">
          <w:delText xml:space="preserve"> a </w:delText>
        </w:r>
        <w:r w:rsidRPr="001B4A02">
          <w:delText>oportunní infekce (viz bod 4.4).</w:delText>
        </w:r>
      </w:del>
    </w:p>
    <w:p w14:paraId="5FFDCC8C" w14:textId="77777777" w:rsidR="00073F8F" w:rsidRPr="001B4A02" w:rsidRDefault="00073F8F" w:rsidP="00ED48A3">
      <w:pPr>
        <w:ind w:left="0" w:firstLine="0"/>
        <w:rPr>
          <w:del w:id="4350" w:author="AbbVie1" w:date="2025-05-13T09:50:00Z"/>
        </w:rPr>
      </w:pPr>
    </w:p>
    <w:p w14:paraId="269CF63F" w14:textId="77777777" w:rsidR="00073F8F" w:rsidRPr="001B4A02" w:rsidRDefault="00000000" w:rsidP="00ED48A3">
      <w:pPr>
        <w:ind w:left="0" w:firstLine="0"/>
        <w:rPr>
          <w:del w:id="4351" w:author="AbbVie1" w:date="2025-05-13T09:50:00Z"/>
        </w:rPr>
      </w:pPr>
      <w:del w:id="4352" w:author="AbbVie1" w:date="2025-05-13T09:50:00Z">
        <w:r w:rsidRPr="001B4A02">
          <w:delText>Středně těžké až těžké srdeční selhání (NYHA třída III/IV) (viz bod 4.4).</w:delText>
        </w:r>
      </w:del>
    </w:p>
    <w:p w14:paraId="6E9F8B20" w14:textId="77777777" w:rsidR="00073F8F" w:rsidRPr="001B4A02" w:rsidRDefault="00073F8F" w:rsidP="00ED48A3">
      <w:pPr>
        <w:ind w:left="0" w:firstLine="0"/>
        <w:rPr>
          <w:del w:id="4353" w:author="AbbVie1" w:date="2025-05-13T09:50:00Z"/>
        </w:rPr>
      </w:pPr>
    </w:p>
    <w:p w14:paraId="79A94C53" w14:textId="77777777" w:rsidR="00073F8F" w:rsidRPr="001B4A02" w:rsidRDefault="00000000" w:rsidP="000A5426">
      <w:pPr>
        <w:keepNext/>
        <w:outlineLvl w:val="1"/>
        <w:rPr>
          <w:del w:id="4354" w:author="AbbVie1" w:date="2025-05-13T09:50:00Z"/>
          <w:b/>
        </w:rPr>
      </w:pPr>
      <w:del w:id="4355" w:author="AbbVie1" w:date="2025-05-13T09:50:00Z">
        <w:r w:rsidRPr="001B4A02">
          <w:rPr>
            <w:b/>
          </w:rPr>
          <w:delText>4.4</w:delText>
        </w:r>
        <w:r w:rsidRPr="001B4A02">
          <w:rPr>
            <w:b/>
          </w:rPr>
          <w:tab/>
          <w:delText>Zvláštní upozornění</w:delText>
        </w:r>
        <w:r w:rsidR="002378E0">
          <w:rPr>
            <w:b/>
          </w:rPr>
          <w:delText xml:space="preserve"> a </w:delText>
        </w:r>
        <w:r w:rsidRPr="001B4A02">
          <w:rPr>
            <w:b/>
          </w:rPr>
          <w:delText>opatření pro použití</w:delText>
        </w:r>
      </w:del>
    </w:p>
    <w:p w14:paraId="6EE1F62C" w14:textId="77777777" w:rsidR="00073F8F" w:rsidRPr="001B4A02" w:rsidRDefault="00073F8F" w:rsidP="00ED48A3">
      <w:pPr>
        <w:keepNext/>
        <w:ind w:left="0" w:firstLine="0"/>
        <w:rPr>
          <w:del w:id="4356" w:author="AbbVie1" w:date="2025-05-13T09:50:00Z"/>
        </w:rPr>
      </w:pPr>
    </w:p>
    <w:p w14:paraId="6DADF715" w14:textId="77777777" w:rsidR="002B1661" w:rsidRPr="001B4A02" w:rsidRDefault="00000000" w:rsidP="00D279BC">
      <w:pPr>
        <w:keepNext/>
        <w:ind w:left="0" w:firstLine="0"/>
        <w:rPr>
          <w:del w:id="4357" w:author="AbbVie1" w:date="2025-05-13T09:50:00Z"/>
          <w:u w:val="single"/>
        </w:rPr>
      </w:pPr>
      <w:del w:id="4358" w:author="AbbVie1" w:date="2025-05-13T09:50:00Z">
        <w:r w:rsidRPr="001B4A02">
          <w:rPr>
            <w:u w:val="single"/>
          </w:rPr>
          <w:delText>Sledovatelnost</w:delText>
        </w:r>
      </w:del>
    </w:p>
    <w:p w14:paraId="45ECDFA2" w14:textId="77777777" w:rsidR="002B1661" w:rsidRPr="001B4A02" w:rsidRDefault="002B1661" w:rsidP="00D279BC">
      <w:pPr>
        <w:keepNext/>
        <w:ind w:left="0" w:firstLine="0"/>
        <w:rPr>
          <w:del w:id="4359" w:author="AbbVie1" w:date="2025-05-13T09:50:00Z"/>
        </w:rPr>
      </w:pPr>
    </w:p>
    <w:p w14:paraId="2B4C1F32" w14:textId="77777777" w:rsidR="00F53F39" w:rsidRPr="001B4A02" w:rsidRDefault="00000000" w:rsidP="00DA73B0">
      <w:pPr>
        <w:ind w:left="0" w:firstLine="0"/>
        <w:rPr>
          <w:del w:id="4360" w:author="AbbVie1" w:date="2025-05-13T09:50:00Z"/>
        </w:rPr>
      </w:pPr>
      <w:del w:id="4361" w:author="AbbVie1" w:date="2025-05-13T09:50:00Z">
        <w:r w:rsidRPr="001B4A02">
          <w:delText>Z</w:delText>
        </w:r>
        <w:r w:rsidR="00D279BC" w:rsidRPr="001B4A02">
          <w:delText> </w:delText>
        </w:r>
        <w:r w:rsidRPr="001B4A02">
          <w:delText>důvodu zlepšení sledovatelnosti biologických léčivých přípravků musí být přesně zaznamenáván název</w:delText>
        </w:r>
        <w:r w:rsidR="002378E0">
          <w:delText xml:space="preserve"> a </w:delText>
        </w:r>
        <w:r w:rsidRPr="001B4A02">
          <w:delText>číslo šarže podaného přípravku.</w:delText>
        </w:r>
      </w:del>
    </w:p>
    <w:p w14:paraId="225596BC" w14:textId="77777777" w:rsidR="00F53F39" w:rsidRPr="001B4A02" w:rsidRDefault="00F53F39" w:rsidP="00ED48A3">
      <w:pPr>
        <w:ind w:left="0" w:firstLine="0"/>
        <w:rPr>
          <w:del w:id="4362" w:author="AbbVie1" w:date="2025-05-13T09:50:00Z"/>
        </w:rPr>
      </w:pPr>
    </w:p>
    <w:p w14:paraId="48846E68" w14:textId="77777777" w:rsidR="00073F8F" w:rsidRPr="001B4A02" w:rsidRDefault="00000000" w:rsidP="00ED48A3">
      <w:pPr>
        <w:keepNext/>
        <w:rPr>
          <w:del w:id="4363" w:author="AbbVie1" w:date="2025-05-13T09:50:00Z"/>
          <w:u w:val="single"/>
        </w:rPr>
      </w:pPr>
      <w:del w:id="4364" w:author="AbbVie1" w:date="2025-05-13T09:50:00Z">
        <w:r w:rsidRPr="001B4A02">
          <w:rPr>
            <w:u w:val="single"/>
          </w:rPr>
          <w:delText>Infekce</w:delText>
        </w:r>
      </w:del>
    </w:p>
    <w:p w14:paraId="1B8C69E5" w14:textId="77777777" w:rsidR="00073F8F" w:rsidRPr="001B4A02" w:rsidRDefault="00073F8F" w:rsidP="00ED48A3">
      <w:pPr>
        <w:keepNext/>
        <w:ind w:left="0" w:firstLine="0"/>
        <w:rPr>
          <w:del w:id="4365" w:author="AbbVie1" w:date="2025-05-13T09:50:00Z"/>
        </w:rPr>
      </w:pPr>
    </w:p>
    <w:p w14:paraId="74C72F0F" w14:textId="77777777" w:rsidR="00073F8F" w:rsidRPr="001B4A02" w:rsidRDefault="00000000" w:rsidP="00DA73B0">
      <w:pPr>
        <w:ind w:left="0" w:firstLine="0"/>
        <w:rPr>
          <w:del w:id="4366" w:author="AbbVie1" w:date="2025-05-13T09:50:00Z"/>
        </w:rPr>
      </w:pPr>
      <w:del w:id="4367" w:author="AbbVie1" w:date="2025-05-13T09:50:00Z">
        <w:r w:rsidRPr="001B4A02">
          <w:delText xml:space="preserve">Pacienti užívající TNF-antagonisty jsou více náchylní k závažným infekcím. </w:delText>
        </w:r>
        <w:r w:rsidR="00855C0E" w:rsidRPr="001B4A02">
          <w:delText xml:space="preserve">Riziko rozvoje infekcí může stoupat při porušené funkci plic. </w:delText>
        </w:r>
        <w:r w:rsidRPr="001B4A02">
          <w:delText>Pacienti musí být proto pečlivě sledováni z hlediska výskytu infekcí včetně tuberkulózy,</w:delText>
        </w:r>
        <w:r w:rsidR="002378E0">
          <w:delText xml:space="preserve"> a </w:delText>
        </w:r>
        <w:r w:rsidRPr="001B4A02">
          <w:delText xml:space="preserve">to před léčbou, během léčby i po ukončení léčby přípravkem Humira. Vzhledem k tomu, že eliminace adalimumabu z organismu může trvat až </w:delText>
        </w:r>
        <w:r w:rsidR="00DE2C85" w:rsidRPr="001B4A02">
          <w:delText>čtyři</w:delText>
        </w:r>
        <w:r w:rsidRPr="001B4A02">
          <w:delText xml:space="preserve"> měsíc</w:delText>
        </w:r>
        <w:r w:rsidR="00DE2C85" w:rsidRPr="001B4A02">
          <w:delText>e</w:delText>
        </w:r>
        <w:r w:rsidRPr="001B4A02">
          <w:delText>, sledování musí trvat po celou tuto dobu.</w:delText>
        </w:r>
      </w:del>
    </w:p>
    <w:p w14:paraId="18654D7C" w14:textId="77777777" w:rsidR="00073F8F" w:rsidRPr="001B4A02" w:rsidRDefault="00073F8F" w:rsidP="00ED48A3">
      <w:pPr>
        <w:ind w:left="0" w:firstLine="0"/>
        <w:rPr>
          <w:del w:id="4368" w:author="AbbVie1" w:date="2025-05-13T09:50:00Z"/>
        </w:rPr>
      </w:pPr>
    </w:p>
    <w:p w14:paraId="015A4B6B" w14:textId="77777777" w:rsidR="00073F8F" w:rsidRPr="001B4A02" w:rsidRDefault="00000000" w:rsidP="00ED48A3">
      <w:pPr>
        <w:ind w:left="0" w:firstLine="0"/>
        <w:rPr>
          <w:del w:id="4369" w:author="AbbVie1" w:date="2025-05-13T09:50:00Z"/>
        </w:rPr>
      </w:pPr>
      <w:del w:id="4370" w:author="AbbVie1" w:date="2025-05-13T09:50:00Z">
        <w:r w:rsidRPr="001B4A02">
          <w:delText>Léčba přípravkem Humira nesmí být zahájena u pacientů s aktivní infekcí včetně chronické nebo lokalizované infekce do té doby, než jsou tyto infekce terapeuticky zvládnuty. U</w:delText>
        </w:r>
        <w:r w:rsidR="00164B4F" w:rsidRPr="001B4A02">
          <w:delText> </w:delText>
        </w:r>
        <w:r w:rsidRPr="001B4A02">
          <w:delText>pacientů, kteří přišli do styku s</w:delText>
        </w:r>
        <w:r w:rsidR="00757CB8" w:rsidRPr="001B4A02">
          <w:delText> </w:delText>
        </w:r>
        <w:r w:rsidRPr="001B4A02">
          <w:delText>tuberkulózou</w:delText>
        </w:r>
        <w:r w:rsidR="00757CB8" w:rsidRPr="001B4A02">
          <w:delText>,</w:delText>
        </w:r>
        <w:r w:rsidR="002378E0">
          <w:delText xml:space="preserve"> a </w:delText>
        </w:r>
        <w:r w:rsidRPr="001B4A02">
          <w:delText>pacientů, kteří cestovali do oblastí s vysokým rizikem výskytu tuberkulózy nebo endemických mykóz, jako například histoplasmóza, kokcidiomykóza, nebo blastomykóza, by měl být zvážen poměr rizika</w:delText>
        </w:r>
        <w:r w:rsidR="002378E0">
          <w:delText xml:space="preserve"> a </w:delText>
        </w:r>
        <w:r w:rsidRPr="001B4A02">
          <w:delText xml:space="preserve">přínosu léčby přípravkem Humira ještě před zahájením léčby (viz </w:delText>
        </w:r>
        <w:r w:rsidR="007E2F50" w:rsidRPr="001B4A02">
          <w:rPr>
            <w:i/>
          </w:rPr>
          <w:delText>Jiné o</w:delText>
        </w:r>
        <w:r w:rsidRPr="001B4A02">
          <w:rPr>
            <w:i/>
          </w:rPr>
          <w:delText>portunní infekce</w:delText>
        </w:r>
        <w:r w:rsidRPr="001B4A02">
          <w:delText>).</w:delText>
        </w:r>
      </w:del>
    </w:p>
    <w:p w14:paraId="000BF249" w14:textId="77777777" w:rsidR="00073F8F" w:rsidRPr="001B4A02" w:rsidRDefault="00073F8F" w:rsidP="00ED48A3">
      <w:pPr>
        <w:ind w:left="0" w:firstLine="0"/>
        <w:rPr>
          <w:del w:id="4371" w:author="AbbVie1" w:date="2025-05-13T09:50:00Z"/>
        </w:rPr>
      </w:pPr>
    </w:p>
    <w:p w14:paraId="655A86A7" w14:textId="77777777" w:rsidR="00073F8F" w:rsidRPr="001B4A02" w:rsidRDefault="00000000" w:rsidP="00ED48A3">
      <w:pPr>
        <w:ind w:left="0" w:firstLine="0"/>
        <w:rPr>
          <w:del w:id="4372" w:author="AbbVie1" w:date="2025-05-13T09:50:00Z"/>
        </w:rPr>
      </w:pPr>
      <w:del w:id="4373" w:author="AbbVie1" w:date="2025-05-13T09:50:00Z">
        <w:r w:rsidRPr="001B4A02">
          <w:delText xml:space="preserve">Ti pacienti, u nichž dojde během léčby přípravkem Humira k rozvoji nové infekce, </w:delText>
        </w:r>
        <w:r w:rsidR="00072C2B">
          <w:delText xml:space="preserve">mají </w:delText>
        </w:r>
        <w:r w:rsidRPr="001B4A02">
          <w:delText>být pečlivě sledováni</w:delText>
        </w:r>
        <w:r w:rsidR="002378E0">
          <w:delText xml:space="preserve"> a </w:delText>
        </w:r>
        <w:r w:rsidR="00072C2B">
          <w:delText xml:space="preserve">mají </w:delText>
        </w:r>
        <w:r w:rsidRPr="001B4A02">
          <w:delText>podstoupit kompletní diagnostické vyšetření. Pokud u pacienta dojde k rozvoji nové závažné infekce nebo sepse, podávání přípravku Humira se přeruší</w:delText>
        </w:r>
        <w:r w:rsidR="002378E0">
          <w:delText xml:space="preserve"> a </w:delText>
        </w:r>
        <w:r w:rsidRPr="001B4A02">
          <w:delText>je nutno zahájit vhodnou antimikrobiální či antifungální léčbu do doby, než je infekce terapeuticky zvládnuta. Lékaři musí být opatrní při zvažování léčby přípravkem Humira u pacientů s anamnézou recidivující infekce nebo u pacientů, jejichž celkový zdravotní stav k infekcím predisponuje, včetně těch, kteří současně užívají imunosupres</w:delText>
        </w:r>
        <w:r w:rsidR="00C06757" w:rsidRPr="001B4A02">
          <w:delText>i</w:delText>
        </w:r>
        <w:r w:rsidRPr="001B4A02">
          <w:delText>vní medikaci.</w:delText>
        </w:r>
      </w:del>
    </w:p>
    <w:p w14:paraId="5CEC997B" w14:textId="77777777" w:rsidR="00073F8F" w:rsidRPr="001B4A02" w:rsidRDefault="00073F8F" w:rsidP="00ED48A3">
      <w:pPr>
        <w:ind w:left="0" w:firstLine="0"/>
        <w:rPr>
          <w:del w:id="4374" w:author="AbbVie1" w:date="2025-05-13T09:50:00Z"/>
          <w:i/>
          <w:iCs/>
          <w:u w:val="single"/>
        </w:rPr>
      </w:pPr>
    </w:p>
    <w:p w14:paraId="7BC8EB15" w14:textId="77777777" w:rsidR="00073F8F" w:rsidRPr="001B4A02" w:rsidRDefault="00000000" w:rsidP="00ED48A3">
      <w:pPr>
        <w:keepNext/>
        <w:ind w:left="0" w:firstLine="0"/>
        <w:rPr>
          <w:del w:id="4375" w:author="AbbVie1" w:date="2025-05-13T09:50:00Z"/>
          <w:i/>
          <w:iCs/>
        </w:rPr>
      </w:pPr>
      <w:del w:id="4376" w:author="AbbVie1" w:date="2025-05-13T09:50:00Z">
        <w:r w:rsidRPr="001B4A02">
          <w:rPr>
            <w:i/>
            <w:iCs/>
          </w:rPr>
          <w:delText>Závažné infekce</w:delText>
        </w:r>
      </w:del>
    </w:p>
    <w:p w14:paraId="65EF77F1" w14:textId="77777777" w:rsidR="00073F8F" w:rsidRPr="001B4A02" w:rsidRDefault="00073F8F" w:rsidP="00ED48A3">
      <w:pPr>
        <w:keepNext/>
        <w:ind w:left="0" w:firstLine="0"/>
        <w:rPr>
          <w:del w:id="4377" w:author="AbbVie1" w:date="2025-05-13T09:50:00Z"/>
        </w:rPr>
      </w:pPr>
    </w:p>
    <w:p w14:paraId="2ED9475F" w14:textId="77777777" w:rsidR="00073F8F" w:rsidRPr="001B4A02" w:rsidRDefault="00000000" w:rsidP="00AC7C92">
      <w:pPr>
        <w:ind w:left="0" w:firstLine="0"/>
        <w:rPr>
          <w:del w:id="4378" w:author="AbbVie1" w:date="2025-05-13T09:50:00Z"/>
        </w:rPr>
      </w:pPr>
      <w:del w:id="4379" w:author="AbbVie1" w:date="2025-05-13T09:50:00Z">
        <w:r w:rsidRPr="001B4A02">
          <w:delText xml:space="preserve">U pacientů </w:delText>
        </w:r>
        <w:r w:rsidR="0051758E" w:rsidRPr="001B4A02">
          <w:delText>po</w:delText>
        </w:r>
        <w:r w:rsidRPr="001B4A02">
          <w:delText xml:space="preserve">užívajících přípravek Humira byly hlášeny závažné infekce, včetně sepse způsobené bakteriemi, mykobakteriemi, invazivními plísněmi, </w:delText>
        </w:r>
        <w:r w:rsidR="009A3BFD" w:rsidRPr="001B4A02">
          <w:delText xml:space="preserve">parazity, </w:delText>
        </w:r>
        <w:r w:rsidRPr="001B4A02">
          <w:delText>viry či jiné oportunní infekce jako například listerióza</w:delText>
        </w:r>
        <w:r w:rsidR="00861EF0" w:rsidRPr="001B4A02">
          <w:delText>, legionelóza</w:delText>
        </w:r>
        <w:r w:rsidR="002378E0">
          <w:delText xml:space="preserve"> a </w:delText>
        </w:r>
        <w:r w:rsidRPr="001B4A02">
          <w:delText>pneumocystóza.</w:delText>
        </w:r>
      </w:del>
    </w:p>
    <w:p w14:paraId="6093D3C9" w14:textId="77777777" w:rsidR="00073F8F" w:rsidRPr="001B4A02" w:rsidRDefault="00073F8F" w:rsidP="00AC7C92">
      <w:pPr>
        <w:ind w:left="0" w:firstLine="0"/>
        <w:rPr>
          <w:del w:id="4380" w:author="AbbVie1" w:date="2025-05-13T09:50:00Z"/>
        </w:rPr>
      </w:pPr>
    </w:p>
    <w:p w14:paraId="2230C2C7" w14:textId="77777777" w:rsidR="00073F8F" w:rsidRPr="001B4A02" w:rsidRDefault="00000000" w:rsidP="00ED48A3">
      <w:pPr>
        <w:ind w:left="0" w:firstLine="0"/>
        <w:rPr>
          <w:del w:id="4381" w:author="AbbVie1" w:date="2025-05-13T09:50:00Z"/>
        </w:rPr>
      </w:pPr>
      <w:del w:id="4382" w:author="AbbVie1" w:date="2025-05-13T09:50:00Z">
        <w:r w:rsidRPr="001B4A02">
          <w:delText>Jiné závažné infekce pozorované v klinických studiích zahrnují pneumonii, pyelonefriti</w:delText>
        </w:r>
        <w:r w:rsidR="005A0A1B">
          <w:delText>du</w:delText>
        </w:r>
        <w:r w:rsidRPr="001B4A02">
          <w:delText>, septickou artriti</w:delText>
        </w:r>
        <w:r w:rsidR="005A0A1B">
          <w:delText>du</w:delText>
        </w:r>
        <w:r w:rsidR="002378E0">
          <w:delText xml:space="preserve"> a </w:delText>
        </w:r>
        <w:r w:rsidRPr="001B4A02">
          <w:delText>septikémii. V souvislosti s těmito infekcemi byly hlášeny případy hospitalizace i fatálního zakončení.</w:delText>
        </w:r>
      </w:del>
    </w:p>
    <w:p w14:paraId="43AD1054" w14:textId="77777777" w:rsidR="00073F8F" w:rsidRPr="001B4A02" w:rsidRDefault="00073F8F" w:rsidP="00ED48A3">
      <w:pPr>
        <w:ind w:left="0" w:firstLine="0"/>
        <w:rPr>
          <w:del w:id="4383" w:author="AbbVie1" w:date="2025-05-13T09:50:00Z"/>
          <w:i/>
          <w:iCs/>
        </w:rPr>
      </w:pPr>
    </w:p>
    <w:p w14:paraId="61583DA8" w14:textId="77777777" w:rsidR="00073F8F" w:rsidRPr="001B4A02" w:rsidRDefault="00000000" w:rsidP="00D279BC">
      <w:pPr>
        <w:keepNext/>
        <w:ind w:left="0" w:firstLine="0"/>
        <w:rPr>
          <w:del w:id="4384" w:author="AbbVie1" w:date="2025-05-13T09:50:00Z"/>
        </w:rPr>
      </w:pPr>
      <w:del w:id="4385" w:author="AbbVie1" w:date="2025-05-13T09:50:00Z">
        <w:r w:rsidRPr="001B4A02">
          <w:rPr>
            <w:i/>
            <w:iCs/>
          </w:rPr>
          <w:delText>Tuberkulóza</w:delText>
        </w:r>
      </w:del>
    </w:p>
    <w:p w14:paraId="11423964" w14:textId="77777777" w:rsidR="00073F8F" w:rsidRPr="001B4A02" w:rsidRDefault="00073F8F" w:rsidP="00D279BC">
      <w:pPr>
        <w:keepNext/>
        <w:ind w:left="0" w:firstLine="0"/>
        <w:rPr>
          <w:del w:id="4386" w:author="AbbVie1" w:date="2025-05-13T09:50:00Z"/>
        </w:rPr>
      </w:pPr>
    </w:p>
    <w:p w14:paraId="34A05F43" w14:textId="77777777" w:rsidR="00073F8F" w:rsidRPr="001B4A02" w:rsidRDefault="00000000" w:rsidP="00ED48A3">
      <w:pPr>
        <w:ind w:left="0" w:firstLine="0"/>
        <w:rPr>
          <w:del w:id="4387" w:author="AbbVie1" w:date="2025-05-13T09:50:00Z"/>
        </w:rPr>
      </w:pPr>
      <w:del w:id="4388" w:author="AbbVie1" w:date="2025-05-13T09:50:00Z">
        <w:r w:rsidRPr="001B4A02">
          <w:delText>U pacientů, léčených přípravkem Humira, byly hlášeny případy tuberkulózy</w:delText>
        </w:r>
        <w:r w:rsidR="00E375BA" w:rsidRPr="001B4A02">
          <w:delText xml:space="preserve"> včetně reaktivace i nového vzniku infekce. Hlášení zahrnovala jak pulmonální, tak</w:delText>
        </w:r>
        <w:r w:rsidRPr="001B4A02">
          <w:delText xml:space="preserve"> extrapulmonální </w:delText>
        </w:r>
        <w:r w:rsidR="00E375BA" w:rsidRPr="001B4A02">
          <w:delText>(</w:delText>
        </w:r>
        <w:r w:rsidRPr="001B4A02">
          <w:delText>tj. diseminovanou</w:delText>
        </w:r>
        <w:r w:rsidR="00E375BA" w:rsidRPr="001B4A02">
          <w:delText>) tuberkulózu</w:delText>
        </w:r>
        <w:r w:rsidR="00AC7C92" w:rsidRPr="001B4A02">
          <w:delText>.</w:delText>
        </w:r>
      </w:del>
    </w:p>
    <w:p w14:paraId="07734E15" w14:textId="77777777" w:rsidR="00073F8F" w:rsidRPr="001B4A02" w:rsidRDefault="00073F8F" w:rsidP="00ED48A3">
      <w:pPr>
        <w:ind w:left="0" w:firstLine="0"/>
        <w:rPr>
          <w:del w:id="4389" w:author="AbbVie1" w:date="2025-05-13T09:50:00Z"/>
        </w:rPr>
      </w:pPr>
    </w:p>
    <w:p w14:paraId="6D872CB4" w14:textId="77777777" w:rsidR="00073F8F" w:rsidRPr="001B4A02" w:rsidRDefault="00000000" w:rsidP="00ED48A3">
      <w:pPr>
        <w:ind w:left="0" w:firstLine="0"/>
        <w:rPr>
          <w:del w:id="4390" w:author="AbbVie1" w:date="2025-05-13T09:50:00Z"/>
        </w:rPr>
      </w:pPr>
      <w:del w:id="4391" w:author="AbbVie1" w:date="2025-05-13T09:50:00Z">
        <w:r w:rsidRPr="001B4A02">
          <w:delText>Před zahájením léčby přípravkem Humira musí být všichni pacienti vyšetřeni na přítomnost aktivní či inaktivní (</w:delText>
        </w:r>
        <w:r w:rsidR="00E375BA" w:rsidRPr="001B4A02">
          <w:delText>„</w:delText>
        </w:r>
        <w:r w:rsidRPr="001B4A02">
          <w:delText>latentní</w:delText>
        </w:r>
        <w:r w:rsidR="00E375BA" w:rsidRPr="001B4A02">
          <w:delText>“</w:delText>
        </w:r>
        <w:r w:rsidRPr="001B4A02">
          <w:delText>) tuberkulózy. Toto vyšetření má spočívat v</w:delText>
        </w:r>
        <w:r w:rsidR="003559BE" w:rsidRPr="001B4A02">
          <w:delText> </w:delText>
        </w:r>
        <w:r w:rsidRPr="001B4A02">
          <w:delText>podrobné</w:delText>
        </w:r>
        <w:r w:rsidR="003559BE" w:rsidRPr="001B4A02">
          <w:delText>m posouzení</w:delText>
        </w:r>
        <w:r w:rsidRPr="001B4A02">
          <w:delText xml:space="preserve"> osobní anamnéz</w:delText>
        </w:r>
        <w:r w:rsidR="003559BE" w:rsidRPr="001B4A02">
          <w:delText>y</w:delText>
        </w:r>
        <w:r w:rsidRPr="001B4A02">
          <w:delText xml:space="preserve"> pacient</w:delText>
        </w:r>
        <w:r w:rsidR="003559BE" w:rsidRPr="001B4A02">
          <w:delText>a</w:delText>
        </w:r>
        <w:r w:rsidRPr="001B4A02">
          <w:delText xml:space="preserve"> cílené na výskyt tuberkulózy v minulosti, či na možné dřívější kontakty s </w:delText>
        </w:r>
        <w:r w:rsidR="003559BE" w:rsidRPr="001B4A02">
          <w:delText>osobami</w:delText>
        </w:r>
        <w:r w:rsidRPr="001B4A02">
          <w:delText xml:space="preserve"> s aktivní tuberkulózou</w:delText>
        </w:r>
        <w:r w:rsidR="002378E0">
          <w:delText xml:space="preserve"> a </w:delText>
        </w:r>
        <w:r w:rsidRPr="001B4A02">
          <w:delText xml:space="preserve">na dřívější a/nebo současnou imunosupresivní léčbu. U všech pacientů musí být provedena příslušná orientační vyšetření </w:delText>
        </w:r>
        <w:r w:rsidR="003559BE" w:rsidRPr="001B4A02">
          <w:delText>(</w:delText>
        </w:r>
        <w:r w:rsidRPr="001B4A02">
          <w:delText>tj. kožní tuberkulinový test</w:delText>
        </w:r>
        <w:r w:rsidR="002378E0">
          <w:delText xml:space="preserve"> a </w:delText>
        </w:r>
        <w:r w:rsidRPr="001B4A02">
          <w:delText>RTG vyšetření hrudníku</w:delText>
        </w:r>
        <w:r w:rsidR="003559BE" w:rsidRPr="001B4A02">
          <w:delText>), přičemž se lze řídit</w:delText>
        </w:r>
        <w:r w:rsidRPr="001B4A02">
          <w:delText xml:space="preserve"> místní</w:delText>
        </w:r>
        <w:r w:rsidR="003559BE" w:rsidRPr="001B4A02">
          <w:delText>mi</w:delText>
        </w:r>
        <w:r w:rsidRPr="001B4A02">
          <w:delText xml:space="preserve"> doporučení</w:delText>
        </w:r>
        <w:r w:rsidR="003559BE" w:rsidRPr="001B4A02">
          <w:delText>mi</w:delText>
        </w:r>
        <w:r w:rsidRPr="001B4A02">
          <w:delText>. Doporučuje se, aby provedení těchto testů</w:delText>
        </w:r>
        <w:r w:rsidR="002378E0">
          <w:delText xml:space="preserve"> a </w:delText>
        </w:r>
        <w:r w:rsidR="003559BE" w:rsidRPr="001B4A02">
          <w:delText xml:space="preserve">jejich výsledky </w:delText>
        </w:r>
        <w:r w:rsidRPr="001B4A02">
          <w:delText>byl</w:delText>
        </w:r>
        <w:r w:rsidR="003559BE" w:rsidRPr="001B4A02">
          <w:delText>y</w:delText>
        </w:r>
        <w:r w:rsidRPr="001B4A02">
          <w:delText xml:space="preserve"> zaznamenán</w:delText>
        </w:r>
        <w:r w:rsidR="003559BE" w:rsidRPr="001B4A02">
          <w:delText>y</w:delText>
        </w:r>
        <w:r w:rsidRPr="001B4A02">
          <w:delText xml:space="preserve"> v informační kartičce pacienta. Předepisujícím lékařům připomínáme riziko falešně negativních výsledků kožního tuberkulinového testu,</w:delText>
        </w:r>
        <w:r w:rsidR="002378E0">
          <w:delText xml:space="preserve"> a </w:delText>
        </w:r>
        <w:r w:rsidRPr="001B4A02">
          <w:delText>to zejména u těžce nemocných nebo pacientů se sníženou imunitní odpovědí.</w:delText>
        </w:r>
      </w:del>
    </w:p>
    <w:p w14:paraId="75CAF49E" w14:textId="77777777" w:rsidR="00073F8F" w:rsidRPr="001B4A02" w:rsidRDefault="00073F8F" w:rsidP="00ED48A3">
      <w:pPr>
        <w:ind w:left="0" w:firstLine="0"/>
        <w:rPr>
          <w:del w:id="4392" w:author="AbbVie1" w:date="2025-05-13T09:50:00Z"/>
        </w:rPr>
      </w:pPr>
    </w:p>
    <w:p w14:paraId="06173BBA" w14:textId="77777777" w:rsidR="00073F8F" w:rsidRPr="001B4A02" w:rsidRDefault="00000000" w:rsidP="00ED48A3">
      <w:pPr>
        <w:ind w:left="0" w:firstLine="0"/>
        <w:rPr>
          <w:del w:id="4393" w:author="AbbVie1" w:date="2025-05-13T09:50:00Z"/>
        </w:rPr>
      </w:pPr>
      <w:del w:id="4394" w:author="AbbVie1" w:date="2025-05-13T09:50:00Z">
        <w:r w:rsidRPr="001B4A02">
          <w:delText>Léčba přípravkem Humira nesmí být zahájena u pacientů s diagnostikovanou aktivní tuberkulózou (viz bod 4.3).</w:delText>
        </w:r>
      </w:del>
    </w:p>
    <w:p w14:paraId="445AF875" w14:textId="77777777" w:rsidR="003559BE" w:rsidRPr="001B4A02" w:rsidRDefault="003559BE" w:rsidP="00ED48A3">
      <w:pPr>
        <w:ind w:left="0" w:firstLine="0"/>
        <w:rPr>
          <w:del w:id="4395" w:author="AbbVie1" w:date="2025-05-13T09:50:00Z"/>
        </w:rPr>
      </w:pPr>
    </w:p>
    <w:p w14:paraId="70FA6895" w14:textId="77777777" w:rsidR="00073F8F" w:rsidRPr="001B4A02" w:rsidRDefault="00000000" w:rsidP="00ED48A3">
      <w:pPr>
        <w:ind w:left="0" w:firstLine="0"/>
        <w:rPr>
          <w:del w:id="4396" w:author="AbbVie1" w:date="2025-05-13T09:50:00Z"/>
        </w:rPr>
      </w:pPr>
      <w:del w:id="4397" w:author="AbbVie1" w:date="2025-05-13T09:50:00Z">
        <w:r w:rsidRPr="001B4A02">
          <w:delText>Ve všech níže popsaných situacích by měl být velmi pečlivě posouzen poměr přínosu</w:delText>
        </w:r>
        <w:r w:rsidR="002378E0">
          <w:delText xml:space="preserve"> a </w:delText>
        </w:r>
        <w:r w:rsidRPr="001B4A02">
          <w:delText>rizika léčby.</w:delText>
        </w:r>
      </w:del>
    </w:p>
    <w:p w14:paraId="518B124A" w14:textId="77777777" w:rsidR="003559BE" w:rsidRPr="001B4A02" w:rsidRDefault="003559BE" w:rsidP="00ED48A3">
      <w:pPr>
        <w:ind w:left="0" w:firstLine="0"/>
        <w:rPr>
          <w:del w:id="4398" w:author="AbbVie1" w:date="2025-05-13T09:50:00Z"/>
        </w:rPr>
      </w:pPr>
    </w:p>
    <w:p w14:paraId="5F498BF4" w14:textId="77777777" w:rsidR="00073F8F" w:rsidRPr="001B4A02" w:rsidRDefault="00000000" w:rsidP="00ED48A3">
      <w:pPr>
        <w:ind w:left="0" w:firstLine="0"/>
        <w:rPr>
          <w:del w:id="4399" w:author="AbbVie1" w:date="2025-05-13T09:50:00Z"/>
        </w:rPr>
      </w:pPr>
      <w:del w:id="4400" w:author="AbbVie1" w:date="2025-05-13T09:50:00Z">
        <w:r w:rsidRPr="001B4A02">
          <w:delText>Jestliže existuje podezření na latentní tuberkulózu, je třeba uvědomit lékaře, jež má zkušenosti s</w:delText>
        </w:r>
        <w:r w:rsidR="00AC7C92" w:rsidRPr="001B4A02">
          <w:delText> </w:delText>
        </w:r>
        <w:r w:rsidRPr="001B4A02">
          <w:delText>léčbo</w:delText>
        </w:r>
        <w:r w:rsidR="00AC7C92" w:rsidRPr="001B4A02">
          <w:delText>u tuberkulózy.</w:delText>
        </w:r>
      </w:del>
    </w:p>
    <w:p w14:paraId="238AFF23" w14:textId="77777777" w:rsidR="00073F8F" w:rsidRPr="001B4A02" w:rsidRDefault="00073F8F" w:rsidP="00ED48A3">
      <w:pPr>
        <w:ind w:left="0" w:firstLine="0"/>
        <w:rPr>
          <w:del w:id="4401" w:author="AbbVie1" w:date="2025-05-13T09:50:00Z"/>
        </w:rPr>
      </w:pPr>
    </w:p>
    <w:p w14:paraId="266A9FFB" w14:textId="77777777" w:rsidR="00073F8F" w:rsidRPr="001B4A02" w:rsidRDefault="00000000" w:rsidP="00ED48A3">
      <w:pPr>
        <w:ind w:left="0" w:firstLine="0"/>
        <w:rPr>
          <w:del w:id="4402" w:author="AbbVie1" w:date="2025-05-13T09:50:00Z"/>
        </w:rPr>
      </w:pPr>
      <w:del w:id="4403" w:author="AbbVie1" w:date="2025-05-13T09:50:00Z">
        <w:r w:rsidRPr="001B4A02">
          <w:delText xml:space="preserve">V případě diagnózy latentní tuberkulózy musí být odpovídající </w:delText>
        </w:r>
        <w:r w:rsidR="003559BE" w:rsidRPr="001B4A02">
          <w:delText xml:space="preserve">profylaktická </w:delText>
        </w:r>
        <w:r w:rsidRPr="001B4A02">
          <w:delText>antituberkulózní léčba započata ještě před zah</w:delText>
        </w:r>
        <w:r w:rsidR="00062315" w:rsidRPr="001B4A02">
          <w:delText>ájením léčby přípravkem Humira</w:delText>
        </w:r>
        <w:r w:rsidR="002378E0">
          <w:delText xml:space="preserve"> a </w:delText>
        </w:r>
        <w:r w:rsidRPr="001B4A02">
          <w:delText xml:space="preserve">musí být v souladu s místními doporučeními. </w:delText>
        </w:r>
      </w:del>
    </w:p>
    <w:p w14:paraId="638837D9" w14:textId="77777777" w:rsidR="00073F8F" w:rsidRPr="001B4A02" w:rsidRDefault="00073F8F" w:rsidP="00ED48A3">
      <w:pPr>
        <w:ind w:left="0" w:firstLine="0"/>
        <w:rPr>
          <w:del w:id="4404" w:author="AbbVie1" w:date="2025-05-13T09:50:00Z"/>
        </w:rPr>
      </w:pPr>
    </w:p>
    <w:p w14:paraId="7BD36D99" w14:textId="77777777" w:rsidR="00073F8F" w:rsidRPr="001B4A02" w:rsidRDefault="00000000" w:rsidP="00ED48A3">
      <w:pPr>
        <w:ind w:left="0" w:firstLine="0"/>
        <w:rPr>
          <w:del w:id="4405" w:author="AbbVie1" w:date="2025-05-13T09:50:00Z"/>
        </w:rPr>
      </w:pPr>
      <w:del w:id="4406" w:author="AbbVie1" w:date="2025-05-13T09:50:00Z">
        <w:r w:rsidRPr="001B4A02">
          <w:delText xml:space="preserve">Použití </w:delText>
        </w:r>
        <w:r w:rsidR="003559BE" w:rsidRPr="001B4A02">
          <w:delText xml:space="preserve">profylaktické </w:delText>
        </w:r>
        <w:r w:rsidRPr="001B4A02">
          <w:delText>antituberkulózní léčby je třeba zvážit před zahájením léčby přípravkem Humira také u</w:delText>
        </w:r>
        <w:r w:rsidR="00164B4F" w:rsidRPr="001B4A02">
          <w:delText> </w:delText>
        </w:r>
        <w:r w:rsidRPr="001B4A02">
          <w:delText>pacientů</w:delText>
        </w:r>
        <w:r w:rsidR="001454DE" w:rsidRPr="001B4A02">
          <w:delText>, u</w:delText>
        </w:r>
        <w:r w:rsidR="00164B4F" w:rsidRPr="001B4A02">
          <w:delText> </w:delText>
        </w:r>
        <w:r w:rsidR="001454DE" w:rsidRPr="001B4A02">
          <w:delText>kterých se, i přes negativní testy na tuberkulózu, vyskytují závažné nebo významné rizikové faktory pro její rozvoj nebo mají</w:delText>
        </w:r>
        <w:r w:rsidRPr="001B4A02">
          <w:delText xml:space="preserve"> dřívější anamnézu latentní </w:delText>
        </w:r>
        <w:r w:rsidR="001454DE" w:rsidRPr="001B4A02">
          <w:delText>či</w:delText>
        </w:r>
        <w:r w:rsidRPr="001B4A02">
          <w:delText xml:space="preserve"> aktivní tuberkulózy</w:delText>
        </w:r>
        <w:r w:rsidR="002378E0">
          <w:delText xml:space="preserve"> a </w:delText>
        </w:r>
        <w:r w:rsidRPr="001B4A02">
          <w:delText xml:space="preserve">nelze </w:delText>
        </w:r>
        <w:r w:rsidR="001454DE" w:rsidRPr="001B4A02">
          <w:delText>u</w:delText>
        </w:r>
        <w:r w:rsidR="00164B4F" w:rsidRPr="001B4A02">
          <w:delText> </w:delText>
        </w:r>
        <w:r w:rsidR="001454DE" w:rsidRPr="001B4A02">
          <w:delText xml:space="preserve">nich </w:delText>
        </w:r>
        <w:r w:rsidRPr="001B4A02">
          <w:delText xml:space="preserve">zaručit adekvátní postup léčby. </w:delText>
        </w:r>
        <w:r w:rsidR="002B742C" w:rsidRPr="001B4A02">
          <w:delText>U</w:delText>
        </w:r>
        <w:r w:rsidR="00164B4F" w:rsidRPr="001B4A02">
          <w:delText> </w:delText>
        </w:r>
        <w:r w:rsidR="002B742C" w:rsidRPr="001B4A02">
          <w:delText xml:space="preserve">pacientů léčených přípravkem Humira se i přes profylaktickou léčbu tuberkulózy objevily případy reaktivace tuberkulózy. </w:delText>
        </w:r>
        <w:r w:rsidRPr="001B4A02">
          <w:delText>U</w:delText>
        </w:r>
        <w:r w:rsidR="00164B4F" w:rsidRPr="001B4A02">
          <w:delText> </w:delText>
        </w:r>
        <w:r w:rsidRPr="001B4A02">
          <w:delText xml:space="preserve">některých pacientů, kteří byli v minulosti </w:delText>
        </w:r>
        <w:r w:rsidR="002B742C" w:rsidRPr="001B4A02">
          <w:delText xml:space="preserve">úspěšně </w:delText>
        </w:r>
        <w:r w:rsidRPr="001B4A02">
          <w:delText xml:space="preserve">léčeni na aktivní tuberkulózu, se během léčby přípravkem Humira </w:delText>
        </w:r>
        <w:r w:rsidR="002B742C" w:rsidRPr="001B4A02">
          <w:delText>znovu roz</w:delText>
        </w:r>
        <w:r w:rsidRPr="001B4A02">
          <w:delText>vinula aktivní tuberkulóza.</w:delText>
        </w:r>
      </w:del>
    </w:p>
    <w:p w14:paraId="79208AC1" w14:textId="77777777" w:rsidR="00073F8F" w:rsidRPr="001B4A02" w:rsidRDefault="00073F8F" w:rsidP="00ED48A3">
      <w:pPr>
        <w:ind w:left="0" w:firstLine="0"/>
        <w:rPr>
          <w:del w:id="4407" w:author="AbbVie1" w:date="2025-05-13T09:50:00Z"/>
        </w:rPr>
      </w:pPr>
    </w:p>
    <w:p w14:paraId="7077F7D6" w14:textId="77777777" w:rsidR="00073F8F" w:rsidRPr="001B4A02" w:rsidRDefault="00000000" w:rsidP="00ED48A3">
      <w:pPr>
        <w:ind w:left="0" w:firstLine="0"/>
        <w:rPr>
          <w:del w:id="4408" w:author="AbbVie1" w:date="2025-05-13T09:50:00Z"/>
        </w:rPr>
      </w:pPr>
      <w:del w:id="4409" w:author="AbbVie1" w:date="2025-05-13T09:50:00Z">
        <w:r w:rsidRPr="001B4A02">
          <w:delText>Pacienty je třeba poučit, aby vyhledali lékaře, pokud se objeví během léčby přípravkem Humira nebo po jejím ukončení příznaky suspektní pro tuberkulózu (např. přetrvávající kašel, vyčerpání</w:delText>
        </w:r>
        <w:r w:rsidR="00BC69CD">
          <w:delText>/</w:delText>
        </w:r>
        <w:r w:rsidR="007633DC">
          <w:delText>snížení tělesné hmotnosti</w:delText>
        </w:r>
        <w:r w:rsidRPr="001B4A02">
          <w:delText>, mírně zvýšená teplota</w:delText>
        </w:r>
        <w:r w:rsidR="002B742C" w:rsidRPr="001B4A02">
          <w:delText>, malátnost</w:delText>
        </w:r>
        <w:r w:rsidRPr="001B4A02">
          <w:delText>).</w:delText>
        </w:r>
      </w:del>
    </w:p>
    <w:p w14:paraId="456BB1F8" w14:textId="77777777" w:rsidR="00073F8F" w:rsidRPr="001B4A02" w:rsidRDefault="00073F8F" w:rsidP="00ED48A3">
      <w:pPr>
        <w:ind w:left="0" w:firstLine="0"/>
        <w:rPr>
          <w:del w:id="4410" w:author="AbbVie1" w:date="2025-05-13T09:50:00Z"/>
        </w:rPr>
      </w:pPr>
    </w:p>
    <w:p w14:paraId="4F976038" w14:textId="77777777" w:rsidR="00073F8F" w:rsidRPr="001B4A02" w:rsidRDefault="00000000" w:rsidP="00ED48A3">
      <w:pPr>
        <w:keepNext/>
        <w:rPr>
          <w:del w:id="4411" w:author="AbbVie1" w:date="2025-05-13T09:50:00Z"/>
          <w:i/>
          <w:iCs/>
        </w:rPr>
      </w:pPr>
      <w:del w:id="4412" w:author="AbbVie1" w:date="2025-05-13T09:50:00Z">
        <w:r w:rsidRPr="001B4A02">
          <w:rPr>
            <w:i/>
            <w:iCs/>
          </w:rPr>
          <w:delText>Jiné oportunní infekce</w:delText>
        </w:r>
      </w:del>
    </w:p>
    <w:p w14:paraId="7D53181C" w14:textId="77777777" w:rsidR="00073F8F" w:rsidRPr="001B4A02" w:rsidRDefault="00073F8F" w:rsidP="00ED48A3">
      <w:pPr>
        <w:keepNext/>
        <w:rPr>
          <w:del w:id="4413" w:author="AbbVie1" w:date="2025-05-13T09:50:00Z"/>
          <w:u w:val="single"/>
        </w:rPr>
      </w:pPr>
    </w:p>
    <w:p w14:paraId="77D0ED38" w14:textId="77777777" w:rsidR="00073F8F" w:rsidRPr="001B4A02" w:rsidRDefault="00000000" w:rsidP="00AC7C92">
      <w:pPr>
        <w:ind w:left="0" w:firstLine="0"/>
        <w:rPr>
          <w:del w:id="4414" w:author="AbbVie1" w:date="2025-05-13T09:50:00Z"/>
        </w:rPr>
      </w:pPr>
      <w:del w:id="4415" w:author="AbbVie1" w:date="2025-05-13T09:50:00Z">
        <w:r w:rsidRPr="001B4A02">
          <w:delText xml:space="preserve">U pacientů </w:delText>
        </w:r>
        <w:r w:rsidR="0051758E" w:rsidRPr="001B4A02">
          <w:delText>po</w:delText>
        </w:r>
        <w:r w:rsidRPr="001B4A02">
          <w:delText>užívajících přípravek Humira byly hlášeny oportunní infekce, včetně invazivních fungálních infekcí. Tyto infekce nebyly u</w:delText>
        </w:r>
        <w:r w:rsidR="00164B4F" w:rsidRPr="001B4A02">
          <w:delText> </w:delText>
        </w:r>
        <w:r w:rsidRPr="001B4A02">
          <w:delText>pacientů užívajících TNF-antagonisty vždy rozpoznány, což mělo za následek opožděné nasazení vhodné léčby</w:delText>
        </w:r>
        <w:r w:rsidR="002378E0">
          <w:delText xml:space="preserve"> a </w:delText>
        </w:r>
        <w:r w:rsidRPr="001B4A02">
          <w:delText>v některých případech vedlo až k fatálnímu zakončení.</w:delText>
        </w:r>
      </w:del>
    </w:p>
    <w:p w14:paraId="252971B6" w14:textId="77777777" w:rsidR="00073F8F" w:rsidRPr="001B4A02" w:rsidRDefault="00073F8F" w:rsidP="00ED48A3">
      <w:pPr>
        <w:ind w:left="0" w:firstLine="0"/>
        <w:rPr>
          <w:del w:id="4416" w:author="AbbVie1" w:date="2025-05-13T09:50:00Z"/>
        </w:rPr>
      </w:pPr>
    </w:p>
    <w:p w14:paraId="41FC0A0A" w14:textId="77777777" w:rsidR="00073F8F" w:rsidRPr="001B4A02" w:rsidRDefault="00000000" w:rsidP="00ED48A3">
      <w:pPr>
        <w:ind w:left="0" w:firstLine="0"/>
        <w:rPr>
          <w:del w:id="4417" w:author="AbbVie1" w:date="2025-05-13T09:50:00Z"/>
        </w:rPr>
      </w:pPr>
      <w:del w:id="4418" w:author="AbbVie1" w:date="2025-05-13T09:50:00Z">
        <w:r w:rsidRPr="001B4A02">
          <w:delText>U pacientů, u</w:delText>
        </w:r>
        <w:r w:rsidR="00164B4F" w:rsidRPr="001B4A02">
          <w:delText> </w:delText>
        </w:r>
        <w:r w:rsidRPr="001B4A02">
          <w:delText>nichž se rozvinou známky</w:delText>
        </w:r>
        <w:r w:rsidR="002378E0">
          <w:delText xml:space="preserve"> a </w:delText>
        </w:r>
        <w:r w:rsidRPr="001B4A02">
          <w:delText>příznaky</w:delText>
        </w:r>
        <w:r w:rsidR="00E91CB6" w:rsidRPr="001B4A02">
          <w:delText>,</w:delText>
        </w:r>
        <w:r w:rsidRPr="001B4A02">
          <w:delText xml:space="preserve"> jako je horečka, malátnost, úbytek hmotnosti, pocení, kašel, dyspnoe a/nebo plicní infiltráty či jiné závažné systémové onemocnění s nebo bez doprovodného šoku, je třeba pomýšlet na možnost invazivní plísňové infekce; </w:delText>
        </w:r>
        <w:r w:rsidR="0051758E" w:rsidRPr="001B4A02">
          <w:delText>po</w:delText>
        </w:r>
        <w:r w:rsidRPr="001B4A02">
          <w:delText>užívání přípravku Humira by mělo být ihned přerušeno.</w:delText>
        </w:r>
        <w:r w:rsidR="00233C6D" w:rsidRPr="001B4A02">
          <w:delText xml:space="preserve"> Diagnóza onemocnění</w:delText>
        </w:r>
        <w:r w:rsidR="002378E0">
          <w:delText xml:space="preserve"> a </w:delText>
        </w:r>
        <w:r w:rsidR="00233C6D" w:rsidRPr="001B4A02">
          <w:delText>zahájení empirické antifungální terapie u</w:delText>
        </w:r>
        <w:r w:rsidR="00164B4F" w:rsidRPr="001B4A02">
          <w:delText> </w:delText>
        </w:r>
        <w:r w:rsidR="00233C6D" w:rsidRPr="001B4A02">
          <w:delText xml:space="preserve">těchto pacientů by mělo </w:delText>
        </w:r>
        <w:r w:rsidR="006A1718" w:rsidRPr="001B4A02">
          <w:delText>být učiněno po konzultaci s</w:delText>
        </w:r>
        <w:r w:rsidR="00233C6D" w:rsidRPr="001B4A02">
          <w:delText> lékaře</w:delText>
        </w:r>
        <w:r w:rsidR="006A1718" w:rsidRPr="001B4A02">
          <w:delText>m</w:delText>
        </w:r>
        <w:r w:rsidR="00233C6D" w:rsidRPr="001B4A02">
          <w:delText>, který má zkušenost s léčbou pacientů s invazivními plísňovými infekcemi.</w:delText>
        </w:r>
      </w:del>
    </w:p>
    <w:p w14:paraId="7D1A00F0" w14:textId="77777777" w:rsidR="00073F8F" w:rsidRPr="001B4A02" w:rsidRDefault="00073F8F" w:rsidP="00ED48A3">
      <w:pPr>
        <w:ind w:left="0" w:firstLine="0"/>
        <w:rPr>
          <w:del w:id="4419" w:author="AbbVie1" w:date="2025-05-13T09:50:00Z"/>
        </w:rPr>
      </w:pPr>
    </w:p>
    <w:p w14:paraId="69A2F930" w14:textId="77777777" w:rsidR="00073F8F" w:rsidRPr="001B4A02" w:rsidRDefault="00000000" w:rsidP="00D279BC">
      <w:pPr>
        <w:pStyle w:val="EMEANormal"/>
        <w:keepNext/>
        <w:tabs>
          <w:tab w:val="clear" w:pos="562"/>
        </w:tabs>
        <w:suppressAutoHyphens w:val="0"/>
        <w:rPr>
          <w:del w:id="4420" w:author="AbbVie1" w:date="2025-05-13T09:50:00Z"/>
          <w:u w:val="single"/>
          <w:lang w:val="cs-CZ"/>
        </w:rPr>
      </w:pPr>
      <w:del w:id="4421" w:author="AbbVie1" w:date="2025-05-13T09:50:00Z">
        <w:r w:rsidRPr="001B4A02">
          <w:rPr>
            <w:u w:val="single"/>
            <w:lang w:val="cs-CZ"/>
          </w:rPr>
          <w:delText xml:space="preserve">Reaktivace </w:delText>
        </w:r>
        <w:r w:rsidR="005363C8" w:rsidRPr="001B4A02">
          <w:rPr>
            <w:u w:val="single"/>
            <w:lang w:val="cs-CZ"/>
          </w:rPr>
          <w:delText>hepatiti</w:delText>
        </w:r>
        <w:r w:rsidR="005363C8">
          <w:rPr>
            <w:u w:val="single"/>
            <w:lang w:val="cs-CZ"/>
          </w:rPr>
          <w:delText>dy </w:delText>
        </w:r>
        <w:r w:rsidRPr="001B4A02">
          <w:rPr>
            <w:u w:val="single"/>
            <w:lang w:val="cs-CZ"/>
          </w:rPr>
          <w:delText>B</w:delText>
        </w:r>
      </w:del>
    </w:p>
    <w:p w14:paraId="2C3E85F9" w14:textId="77777777" w:rsidR="00073F8F" w:rsidRPr="001B4A02" w:rsidRDefault="00073F8F" w:rsidP="00D279BC">
      <w:pPr>
        <w:keepNext/>
        <w:ind w:left="0" w:firstLine="0"/>
        <w:rPr>
          <w:del w:id="4422" w:author="AbbVie1" w:date="2025-05-13T09:50:00Z"/>
          <w:bCs/>
          <w:szCs w:val="22"/>
        </w:rPr>
      </w:pPr>
    </w:p>
    <w:p w14:paraId="75A66BA2" w14:textId="77777777" w:rsidR="00F60F71" w:rsidRPr="001B4A02" w:rsidRDefault="00000000" w:rsidP="00ED48A3">
      <w:pPr>
        <w:ind w:left="0" w:firstLine="0"/>
        <w:rPr>
          <w:del w:id="4423" w:author="AbbVie1" w:date="2025-05-13T09:50:00Z"/>
          <w:szCs w:val="22"/>
          <w:lang w:eastAsia="de-DE"/>
        </w:rPr>
      </w:pPr>
      <w:del w:id="4424" w:author="AbbVie1" w:date="2025-05-13T09:50:00Z">
        <w:r w:rsidRPr="001B4A02">
          <w:rPr>
            <w:szCs w:val="22"/>
            <w:lang w:eastAsia="de-DE"/>
          </w:rPr>
          <w:delText xml:space="preserve">Reaktivace </w:delText>
        </w:r>
        <w:r w:rsidR="005363C8" w:rsidRPr="001B4A02">
          <w:rPr>
            <w:szCs w:val="22"/>
            <w:lang w:eastAsia="de-DE"/>
          </w:rPr>
          <w:delText>hepatiti</w:delText>
        </w:r>
        <w:r w:rsidR="005363C8">
          <w:rPr>
            <w:szCs w:val="22"/>
            <w:lang w:eastAsia="de-DE"/>
          </w:rPr>
          <w:delText>dy </w:delText>
        </w:r>
        <w:r w:rsidRPr="001B4A02">
          <w:rPr>
            <w:szCs w:val="22"/>
            <w:lang w:eastAsia="de-DE"/>
          </w:rPr>
          <w:delText>B se objevila u těch pacientů, užívajících TNF</w:delText>
        </w:r>
        <w:r w:rsidRPr="001B4A02">
          <w:rPr>
            <w:szCs w:val="22"/>
            <w:lang w:eastAsia="de-DE"/>
          </w:rPr>
          <w:noBreakHyphen/>
          <w:delText>antagonisty včetně přípravku Humira, kteří jsou chronickými nositeli tohoto viru</w:delText>
        </w:r>
        <w:r w:rsidR="001D6EE4" w:rsidRPr="001B4A02">
          <w:rPr>
            <w:szCs w:val="22"/>
            <w:lang w:eastAsia="de-DE"/>
          </w:rPr>
          <w:delText xml:space="preserve"> (tedy surface antigen pozitivní)</w:delText>
        </w:r>
        <w:r w:rsidRPr="001B4A02">
          <w:rPr>
            <w:szCs w:val="22"/>
            <w:lang w:eastAsia="de-DE"/>
          </w:rPr>
          <w:delText>. Některé z případů byly fatální. Pacienti by měli být testováni na přítomnost možné nákazy HBV ještě před započetím léčby</w:delText>
        </w:r>
        <w:r w:rsidR="00AC7C92" w:rsidRPr="001B4A02">
          <w:rPr>
            <w:szCs w:val="22"/>
            <w:lang w:eastAsia="de-DE"/>
          </w:rPr>
          <w:delText xml:space="preserve"> přípravkem Humira.</w:delText>
        </w:r>
      </w:del>
    </w:p>
    <w:p w14:paraId="0C7C1F50" w14:textId="77777777" w:rsidR="00F60F71" w:rsidRPr="001B4A02" w:rsidRDefault="00000000" w:rsidP="00ED48A3">
      <w:pPr>
        <w:ind w:left="0" w:firstLine="0"/>
        <w:rPr>
          <w:del w:id="4425" w:author="AbbVie1" w:date="2025-05-13T09:50:00Z"/>
          <w:szCs w:val="22"/>
          <w:lang w:eastAsia="de-DE"/>
        </w:rPr>
      </w:pPr>
      <w:del w:id="4426" w:author="AbbVie1" w:date="2025-05-13T09:50:00Z">
        <w:r w:rsidRPr="001B4A02">
          <w:rPr>
            <w:szCs w:val="22"/>
            <w:lang w:eastAsia="de-DE"/>
          </w:rPr>
          <w:delText>Pacientům, u</w:delText>
        </w:r>
        <w:r w:rsidR="00164B4F" w:rsidRPr="001B4A02">
          <w:rPr>
            <w:szCs w:val="22"/>
            <w:lang w:eastAsia="de-DE"/>
          </w:rPr>
          <w:delText> </w:delText>
        </w:r>
        <w:r w:rsidRPr="001B4A02">
          <w:rPr>
            <w:szCs w:val="22"/>
            <w:lang w:eastAsia="de-DE"/>
          </w:rPr>
          <w:delText xml:space="preserve">kterých byl test na infekci </w:delText>
        </w:r>
        <w:r w:rsidR="005363C8" w:rsidRPr="001B4A02">
          <w:rPr>
            <w:szCs w:val="22"/>
            <w:lang w:eastAsia="de-DE"/>
          </w:rPr>
          <w:delText>hepatiti</w:delText>
        </w:r>
        <w:r w:rsidR="005363C8">
          <w:rPr>
            <w:szCs w:val="22"/>
            <w:lang w:eastAsia="de-DE"/>
          </w:rPr>
          <w:delText>dy </w:delText>
        </w:r>
        <w:r w:rsidRPr="001B4A02">
          <w:rPr>
            <w:szCs w:val="22"/>
            <w:lang w:eastAsia="de-DE"/>
          </w:rPr>
          <w:delText>B pozitivní, je třeba doporučit</w:delText>
        </w:r>
        <w:r w:rsidR="00DE00DB" w:rsidRPr="001B4A02">
          <w:rPr>
            <w:szCs w:val="22"/>
            <w:lang w:eastAsia="de-DE"/>
          </w:rPr>
          <w:delText>, aby vyhledali</w:delText>
        </w:r>
        <w:r w:rsidRPr="001B4A02">
          <w:rPr>
            <w:szCs w:val="22"/>
            <w:lang w:eastAsia="de-DE"/>
          </w:rPr>
          <w:delText xml:space="preserve"> pomoc lékaře, který má zkušenosti s léčbou </w:delText>
        </w:r>
        <w:r w:rsidR="005363C8" w:rsidRPr="001B4A02">
          <w:rPr>
            <w:szCs w:val="22"/>
            <w:lang w:eastAsia="de-DE"/>
          </w:rPr>
          <w:delText>hepatiti</w:delText>
        </w:r>
        <w:r w:rsidR="005363C8">
          <w:rPr>
            <w:szCs w:val="22"/>
            <w:lang w:eastAsia="de-DE"/>
          </w:rPr>
          <w:delText>dy </w:delText>
        </w:r>
        <w:r w:rsidRPr="001B4A02">
          <w:rPr>
            <w:szCs w:val="22"/>
            <w:lang w:eastAsia="de-DE"/>
          </w:rPr>
          <w:delText>B.</w:delText>
        </w:r>
      </w:del>
    </w:p>
    <w:p w14:paraId="10CA047A" w14:textId="77777777" w:rsidR="00F60F71" w:rsidRPr="001B4A02" w:rsidRDefault="00F60F71" w:rsidP="00ED48A3">
      <w:pPr>
        <w:ind w:left="0" w:firstLine="0"/>
        <w:rPr>
          <w:del w:id="4427" w:author="AbbVie1" w:date="2025-05-13T09:50:00Z"/>
          <w:szCs w:val="22"/>
          <w:lang w:eastAsia="de-DE"/>
        </w:rPr>
      </w:pPr>
    </w:p>
    <w:p w14:paraId="311A6994" w14:textId="77777777" w:rsidR="00073F8F" w:rsidRPr="001B4A02" w:rsidRDefault="00000000" w:rsidP="00ED48A3">
      <w:pPr>
        <w:ind w:left="0" w:firstLine="0"/>
        <w:rPr>
          <w:del w:id="4428" w:author="AbbVie1" w:date="2025-05-13T09:50:00Z"/>
          <w:szCs w:val="22"/>
          <w:lang w:eastAsia="de-DE"/>
        </w:rPr>
      </w:pPr>
      <w:del w:id="4429" w:author="AbbVie1" w:date="2025-05-13T09:50:00Z">
        <w:r w:rsidRPr="001B4A02">
          <w:rPr>
            <w:szCs w:val="22"/>
            <w:lang w:eastAsia="de-DE"/>
          </w:rPr>
          <w:delText xml:space="preserve">Nositelé HBV, kteří vyžadují léčbu přípravkem Humira, </w:delText>
        </w:r>
        <w:r w:rsidR="005363C8">
          <w:rPr>
            <w:szCs w:val="22"/>
            <w:lang w:eastAsia="de-DE"/>
          </w:rPr>
          <w:delText>mají</w:delText>
        </w:r>
        <w:r w:rsidR="005363C8" w:rsidRPr="001B4A02">
          <w:rPr>
            <w:szCs w:val="22"/>
            <w:lang w:eastAsia="de-DE"/>
          </w:rPr>
          <w:delText xml:space="preserve"> </w:delText>
        </w:r>
        <w:r w:rsidRPr="001B4A02">
          <w:rPr>
            <w:szCs w:val="22"/>
            <w:lang w:eastAsia="de-DE"/>
          </w:rPr>
          <w:delText>být v průběhu léčby</w:delText>
        </w:r>
        <w:r w:rsidR="002378E0">
          <w:rPr>
            <w:szCs w:val="22"/>
            <w:lang w:eastAsia="de-DE"/>
          </w:rPr>
          <w:delText xml:space="preserve"> a </w:delText>
        </w:r>
        <w:r w:rsidRPr="001B4A02">
          <w:rPr>
            <w:szCs w:val="22"/>
            <w:lang w:eastAsia="de-DE"/>
          </w:rPr>
          <w:delText xml:space="preserve">několik dalších měsíců po jejím ukončení pečlivě sledováni z hlediska výskytu známek či projevů aktivní HBV infekce. </w:delText>
        </w:r>
        <w:r w:rsidRPr="001B4A02">
          <w:delText>Adekvátní údaje, vypovídající o léčbě pacientů, nositelů HBV, kombinací TNF</w:delText>
        </w:r>
        <w:r w:rsidRPr="001B4A02">
          <w:noBreakHyphen/>
          <w:delText>antagonisty</w:delText>
        </w:r>
        <w:r w:rsidR="002378E0">
          <w:delText xml:space="preserve"> a </w:delText>
        </w:r>
        <w:r w:rsidRPr="001B4A02">
          <w:delText xml:space="preserve">antivirotika z důvodu zabránění reaktivace HBV, nejsou k dispozici. </w:delText>
        </w:r>
        <w:r w:rsidRPr="001B4A02">
          <w:rPr>
            <w:szCs w:val="22"/>
            <w:lang w:eastAsia="de-DE"/>
          </w:rPr>
          <w:delText>U pacientů, u kterých dojde k rozvoji HBV reaktivace, musí být přípravek Humira vysazen</w:delText>
        </w:r>
        <w:r w:rsidR="002378E0">
          <w:rPr>
            <w:szCs w:val="22"/>
            <w:lang w:eastAsia="de-DE"/>
          </w:rPr>
          <w:delText xml:space="preserve"> a </w:delText>
        </w:r>
        <w:r w:rsidRPr="001B4A02">
          <w:rPr>
            <w:szCs w:val="22"/>
            <w:lang w:eastAsia="de-DE"/>
          </w:rPr>
          <w:delText>je třeba zahájit účinnou antivirovou terapii</w:delText>
        </w:r>
        <w:r w:rsidR="002378E0">
          <w:rPr>
            <w:szCs w:val="22"/>
            <w:lang w:eastAsia="de-DE"/>
          </w:rPr>
          <w:delText xml:space="preserve"> a </w:delText>
        </w:r>
        <w:r w:rsidRPr="001B4A02">
          <w:rPr>
            <w:szCs w:val="22"/>
            <w:lang w:eastAsia="de-DE"/>
          </w:rPr>
          <w:delText>další podpůrnou léčbu.</w:delText>
        </w:r>
      </w:del>
    </w:p>
    <w:p w14:paraId="5D512184" w14:textId="77777777" w:rsidR="007840E5" w:rsidRPr="001B4A02" w:rsidRDefault="007840E5" w:rsidP="00ED48A3">
      <w:pPr>
        <w:ind w:left="0" w:firstLine="0"/>
        <w:rPr>
          <w:del w:id="4430" w:author="AbbVie1" w:date="2025-05-13T09:50:00Z"/>
        </w:rPr>
      </w:pPr>
    </w:p>
    <w:p w14:paraId="0C7F9B20" w14:textId="77777777" w:rsidR="00073F8F" w:rsidRPr="001B4A02" w:rsidRDefault="00000000" w:rsidP="00ED48A3">
      <w:pPr>
        <w:keepNext/>
        <w:rPr>
          <w:del w:id="4431" w:author="AbbVie1" w:date="2025-05-13T09:50:00Z"/>
          <w:u w:val="single"/>
        </w:rPr>
      </w:pPr>
      <w:del w:id="4432" w:author="AbbVie1" w:date="2025-05-13T09:50:00Z">
        <w:r w:rsidRPr="001B4A02">
          <w:rPr>
            <w:u w:val="single"/>
          </w:rPr>
          <w:delText>Neurologické příhody</w:delText>
        </w:r>
      </w:del>
    </w:p>
    <w:p w14:paraId="166EC9C2" w14:textId="77777777" w:rsidR="00073F8F" w:rsidRPr="001B4A02" w:rsidRDefault="00073F8F" w:rsidP="00ED48A3">
      <w:pPr>
        <w:keepNext/>
        <w:ind w:left="0" w:firstLine="0"/>
        <w:rPr>
          <w:del w:id="4433" w:author="AbbVie1" w:date="2025-05-13T09:50:00Z"/>
        </w:rPr>
      </w:pPr>
    </w:p>
    <w:p w14:paraId="333ED49F" w14:textId="77777777" w:rsidR="00073F8F" w:rsidRPr="001B4A02" w:rsidRDefault="00000000" w:rsidP="00AC7C92">
      <w:pPr>
        <w:ind w:left="0" w:firstLine="0"/>
        <w:rPr>
          <w:del w:id="4434" w:author="AbbVie1" w:date="2025-05-13T09:50:00Z"/>
        </w:rPr>
      </w:pPr>
      <w:del w:id="4435" w:author="AbbVie1" w:date="2025-05-13T09:50:00Z">
        <w:r w:rsidRPr="001B4A02">
          <w:delText xml:space="preserve">V souvislosti s podáváním antagonistů TNF včetně přípravku Humira se vzácně vyskytly případy nového vzniku nebo exacerbace klinických symptomů a/nebo radiografického průkazu demyelinizačního onemocnění </w:delText>
        </w:r>
        <w:r w:rsidR="008076DE" w:rsidRPr="001B4A02">
          <w:delText xml:space="preserve">centrálního nervového systému, </w:delText>
        </w:r>
        <w:r w:rsidRPr="001B4A02">
          <w:delText>včetně roztroušené sklerózy</w:delText>
        </w:r>
        <w:r w:rsidR="002378E0">
          <w:delText xml:space="preserve"> a </w:delText>
        </w:r>
        <w:r w:rsidR="001454DE" w:rsidRPr="001B4A02">
          <w:delText>optické neuritidy</w:delText>
        </w:r>
        <w:r w:rsidR="002378E0">
          <w:delText xml:space="preserve"> a </w:delText>
        </w:r>
        <w:r w:rsidR="008076DE" w:rsidRPr="001B4A02">
          <w:delText>periferního nervového systému, včetně Guillain-Barré syndromu</w:delText>
        </w:r>
        <w:r w:rsidRPr="001B4A02">
          <w:delText>. Předepisující lékaři by měli s opatrností zvážit použití přípravku Humira u</w:delText>
        </w:r>
        <w:r w:rsidR="00164B4F" w:rsidRPr="001B4A02">
          <w:delText> </w:delText>
        </w:r>
        <w:r w:rsidRPr="001B4A02">
          <w:delText xml:space="preserve">pacientů s preexistujícími nebo v nedávné době vzniklými demyelinizačními poruchami centrálního </w:delText>
        </w:r>
        <w:r w:rsidR="008076DE" w:rsidRPr="001B4A02">
          <w:delText xml:space="preserve">nebo periferního </w:delText>
        </w:r>
        <w:r w:rsidRPr="001B4A02">
          <w:delText>nervového systému</w:delText>
        </w:r>
        <w:r w:rsidR="0085179A" w:rsidRPr="001B4A02">
          <w:delText>; pokud se některá z uvedených poruch objeví, je třeba zvážit vysazení přípravku Humira</w:delText>
        </w:r>
        <w:r w:rsidR="0085179A" w:rsidRPr="001B4A02">
          <w:rPr>
            <w:bCs/>
          </w:rPr>
          <w:delText>. Je známo, že existuje spojení mezi intermediální uveitidou</w:delText>
        </w:r>
        <w:r w:rsidR="002378E0">
          <w:rPr>
            <w:bCs/>
          </w:rPr>
          <w:delText xml:space="preserve"> a </w:delText>
        </w:r>
        <w:r w:rsidR="0085179A" w:rsidRPr="001B4A02">
          <w:delText>demyelinizačními poruchami centrálního nervového systému. U pacientů s neinfekční intermediální uveitidou je třeba před zahájením terapie přípravkem Humira</w:delText>
        </w:r>
        <w:r w:rsidR="002378E0">
          <w:delText xml:space="preserve"> a </w:delText>
        </w:r>
        <w:r w:rsidR="0085179A" w:rsidRPr="001B4A02">
          <w:delText>pravidelně během léčby provádět neurologické vyšetření k</w:delText>
        </w:r>
        <w:r w:rsidR="00164B4F" w:rsidRPr="001B4A02">
          <w:delText> </w:delText>
        </w:r>
        <w:r w:rsidR="0085179A" w:rsidRPr="001B4A02">
          <w:delText>posouzení preexistujících nebo vyvíjejících se demyelinizačních poruch centrálního nervového systému</w:delText>
        </w:r>
        <w:r w:rsidR="00AC7C92" w:rsidRPr="001B4A02">
          <w:delText>.</w:delText>
        </w:r>
      </w:del>
    </w:p>
    <w:p w14:paraId="0C6F93A2" w14:textId="77777777" w:rsidR="00073F8F" w:rsidRPr="001B4A02" w:rsidRDefault="00073F8F" w:rsidP="00ED48A3">
      <w:pPr>
        <w:ind w:left="0" w:firstLine="0"/>
        <w:rPr>
          <w:del w:id="4436" w:author="AbbVie1" w:date="2025-05-13T09:50:00Z"/>
        </w:rPr>
      </w:pPr>
    </w:p>
    <w:p w14:paraId="2F7F6659" w14:textId="77777777" w:rsidR="00073F8F" w:rsidRPr="001B4A02" w:rsidRDefault="00000000" w:rsidP="00D279BC">
      <w:pPr>
        <w:keepNext/>
        <w:ind w:left="0" w:firstLine="0"/>
        <w:rPr>
          <w:del w:id="4437" w:author="AbbVie1" w:date="2025-05-13T09:50:00Z"/>
          <w:u w:val="single"/>
        </w:rPr>
      </w:pPr>
      <w:del w:id="4438" w:author="AbbVie1" w:date="2025-05-13T09:50:00Z">
        <w:r w:rsidRPr="001B4A02">
          <w:rPr>
            <w:u w:val="single"/>
          </w:rPr>
          <w:delText>Alergické reakce</w:delText>
        </w:r>
      </w:del>
    </w:p>
    <w:p w14:paraId="45863C86" w14:textId="77777777" w:rsidR="00073F8F" w:rsidRPr="001B4A02" w:rsidRDefault="00073F8F" w:rsidP="00D279BC">
      <w:pPr>
        <w:keepNext/>
        <w:ind w:left="0" w:firstLine="0"/>
        <w:rPr>
          <w:del w:id="4439" w:author="AbbVie1" w:date="2025-05-13T09:50:00Z"/>
        </w:rPr>
      </w:pPr>
    </w:p>
    <w:p w14:paraId="49CCB280" w14:textId="77777777" w:rsidR="00073F8F" w:rsidRPr="001B4A02" w:rsidRDefault="00000000" w:rsidP="00ED48A3">
      <w:pPr>
        <w:ind w:left="0" w:firstLine="0"/>
        <w:rPr>
          <w:del w:id="4440" w:author="AbbVie1" w:date="2025-05-13T09:50:00Z"/>
        </w:rPr>
      </w:pPr>
      <w:del w:id="4441" w:author="AbbVie1" w:date="2025-05-13T09:50:00Z">
        <w:r w:rsidRPr="001B4A02">
          <w:delText>Při podávání přípravku Humira v klinických studiíchbyly závažné alergické reakce</w:delText>
        </w:r>
        <w:r w:rsidR="00232A6C" w:rsidRPr="001B4A02">
          <w:delText>, spojené s jeho podáním, pozorovány pouze vzácně</w:delText>
        </w:r>
        <w:r w:rsidRPr="001B4A02">
          <w:delText xml:space="preserve">. V klinických studiích s přípravkem Humira se občas vyskytly nezávažné alergické reakce. </w:delText>
        </w:r>
        <w:r w:rsidR="009441F7" w:rsidRPr="001B4A02">
          <w:delText>Hlášení z praxe uvádějí výskyt</w:delText>
        </w:r>
        <w:r w:rsidRPr="001B4A02">
          <w:delText xml:space="preserve"> závažn</w:delText>
        </w:r>
        <w:r w:rsidR="009441F7" w:rsidRPr="001B4A02">
          <w:delText>ých</w:delText>
        </w:r>
        <w:r w:rsidRPr="001B4A02">
          <w:delText xml:space="preserve"> alergick</w:delText>
        </w:r>
        <w:r w:rsidR="009441F7" w:rsidRPr="001B4A02">
          <w:delText>ých</w:delText>
        </w:r>
        <w:r w:rsidRPr="001B4A02">
          <w:delText xml:space="preserve"> reakc</w:delText>
        </w:r>
        <w:r w:rsidR="009441F7" w:rsidRPr="001B4A02">
          <w:delText>í,</w:delText>
        </w:r>
        <w:r w:rsidRPr="001B4A02">
          <w:delText xml:space="preserve"> včetně anafylaxe</w:delText>
        </w:r>
        <w:r w:rsidR="009441F7" w:rsidRPr="001B4A02">
          <w:delText>, po podání přípravku Humira</w:delText>
        </w:r>
        <w:r w:rsidRPr="001B4A02">
          <w:delText>. Pokud se objeví anafylaktická reakce nebo jiná závažná alergická reakce, musí být ihned ukončeno podávání přípravku Humira</w:delText>
        </w:r>
        <w:r w:rsidR="002378E0">
          <w:delText xml:space="preserve"> a </w:delText>
        </w:r>
        <w:r w:rsidRPr="001B4A02">
          <w:delText>zahájená příslušná léčba.</w:delText>
        </w:r>
      </w:del>
    </w:p>
    <w:p w14:paraId="4CE8BFD3" w14:textId="77777777" w:rsidR="00073F8F" w:rsidRPr="001B4A02" w:rsidRDefault="00073F8F" w:rsidP="00ED48A3">
      <w:pPr>
        <w:ind w:left="0" w:firstLine="0"/>
        <w:rPr>
          <w:del w:id="4442" w:author="AbbVie1" w:date="2025-05-13T09:50:00Z"/>
        </w:rPr>
      </w:pPr>
    </w:p>
    <w:p w14:paraId="1813EE00" w14:textId="77777777" w:rsidR="00073F8F" w:rsidRPr="001B4A02" w:rsidRDefault="00000000" w:rsidP="00ED48A3">
      <w:pPr>
        <w:keepNext/>
        <w:ind w:left="0" w:firstLine="0"/>
        <w:rPr>
          <w:del w:id="4443" w:author="AbbVie1" w:date="2025-05-13T09:50:00Z"/>
        </w:rPr>
      </w:pPr>
      <w:del w:id="4444" w:author="AbbVie1" w:date="2025-05-13T09:50:00Z">
        <w:r w:rsidRPr="001B4A02">
          <w:rPr>
            <w:u w:val="single"/>
          </w:rPr>
          <w:delText>Imunosuprese</w:delText>
        </w:r>
      </w:del>
    </w:p>
    <w:p w14:paraId="4F9E4280" w14:textId="77777777" w:rsidR="00073F8F" w:rsidRPr="001B4A02" w:rsidRDefault="00073F8F" w:rsidP="00ED48A3">
      <w:pPr>
        <w:keepNext/>
        <w:ind w:left="0" w:firstLine="0"/>
        <w:rPr>
          <w:del w:id="4445" w:author="AbbVie1" w:date="2025-05-13T09:50:00Z"/>
        </w:rPr>
      </w:pPr>
    </w:p>
    <w:p w14:paraId="056A13CD" w14:textId="77777777" w:rsidR="00073F8F" w:rsidRPr="001B4A02" w:rsidRDefault="00000000" w:rsidP="00AC7C92">
      <w:pPr>
        <w:ind w:left="0" w:firstLine="0"/>
        <w:rPr>
          <w:del w:id="4446" w:author="AbbVie1" w:date="2025-05-13T09:50:00Z"/>
        </w:rPr>
      </w:pPr>
      <w:del w:id="4447" w:author="AbbVie1" w:date="2025-05-13T09:50:00Z">
        <w:r w:rsidRPr="001B4A02">
          <w:delText>Ve studii u 64 pacientů s revmatoidní artritidou, kteří byli léčeni přípravkem Humira, nebylo prokázáno snížení hypersen</w:delText>
        </w:r>
        <w:r w:rsidR="00153468" w:rsidRPr="001B4A02">
          <w:delText>z</w:delText>
        </w:r>
        <w:r w:rsidRPr="001B4A02">
          <w:delText>itivity opožděného typu, snížení hladin imunoglobulinů nebo změna v počtu efektorových T, B</w:delText>
        </w:r>
        <w:r w:rsidR="002378E0">
          <w:delText xml:space="preserve"> a </w:delText>
        </w:r>
        <w:r w:rsidRPr="001B4A02">
          <w:delText>NK buněk, monocytů/makrofágů</w:delText>
        </w:r>
        <w:r w:rsidR="002378E0">
          <w:delText xml:space="preserve"> a </w:delText>
        </w:r>
        <w:r w:rsidRPr="001B4A02">
          <w:delText>neutrofilů.</w:delText>
        </w:r>
      </w:del>
    </w:p>
    <w:p w14:paraId="51865725" w14:textId="77777777" w:rsidR="00073F8F" w:rsidRPr="001B4A02" w:rsidRDefault="00073F8F" w:rsidP="00ED48A3">
      <w:pPr>
        <w:ind w:left="0" w:firstLine="0"/>
        <w:rPr>
          <w:del w:id="4448" w:author="AbbVie1" w:date="2025-05-13T09:50:00Z"/>
        </w:rPr>
      </w:pPr>
    </w:p>
    <w:p w14:paraId="29C9FEB5" w14:textId="77777777" w:rsidR="00073F8F" w:rsidRPr="001B4A02" w:rsidRDefault="00000000" w:rsidP="00D279BC">
      <w:pPr>
        <w:pStyle w:val="EMEAHeadingUnderline"/>
        <w:keepNext/>
        <w:tabs>
          <w:tab w:val="clear" w:pos="562"/>
        </w:tabs>
        <w:suppressAutoHyphens w:val="0"/>
        <w:spacing w:beforeLines="0" w:before="0" w:afterLines="0" w:after="0"/>
        <w:rPr>
          <w:del w:id="4449" w:author="AbbVie1" w:date="2025-05-13T09:50:00Z"/>
          <w:szCs w:val="24"/>
          <w:lang w:val="cs-CZ"/>
        </w:rPr>
      </w:pPr>
      <w:del w:id="4450" w:author="AbbVie1" w:date="2025-05-13T09:50:00Z">
        <w:r w:rsidRPr="001B4A02">
          <w:rPr>
            <w:szCs w:val="24"/>
            <w:lang w:val="cs-CZ"/>
          </w:rPr>
          <w:delText>Maligní onemocněn</w:delText>
        </w:r>
        <w:r w:rsidR="00AC7C92" w:rsidRPr="001B4A02">
          <w:rPr>
            <w:szCs w:val="24"/>
            <w:lang w:val="cs-CZ"/>
          </w:rPr>
          <w:delText>í</w:delText>
        </w:r>
        <w:r w:rsidR="002378E0">
          <w:rPr>
            <w:szCs w:val="24"/>
            <w:lang w:val="cs-CZ"/>
          </w:rPr>
          <w:delText xml:space="preserve"> a </w:delText>
        </w:r>
        <w:r w:rsidR="00AC7C92" w:rsidRPr="001B4A02">
          <w:rPr>
            <w:szCs w:val="24"/>
            <w:lang w:val="cs-CZ"/>
          </w:rPr>
          <w:delText>lymfoproliferativní poruchy</w:delText>
        </w:r>
      </w:del>
    </w:p>
    <w:p w14:paraId="453D3E8B" w14:textId="77777777" w:rsidR="00073F8F" w:rsidRPr="001B4A02" w:rsidRDefault="00073F8F" w:rsidP="00D279BC">
      <w:pPr>
        <w:pStyle w:val="EMEANormal"/>
        <w:keepNext/>
        <w:tabs>
          <w:tab w:val="clear" w:pos="562"/>
        </w:tabs>
        <w:suppressAutoHyphens w:val="0"/>
        <w:rPr>
          <w:del w:id="4451" w:author="AbbVie1" w:date="2025-05-13T09:50:00Z"/>
          <w:szCs w:val="24"/>
          <w:lang w:val="cs-CZ"/>
        </w:rPr>
      </w:pPr>
    </w:p>
    <w:p w14:paraId="59953DB3" w14:textId="77777777" w:rsidR="00073F8F" w:rsidRPr="001B4A02" w:rsidRDefault="00000000" w:rsidP="00ED48A3">
      <w:pPr>
        <w:pStyle w:val="EMEANormal"/>
        <w:tabs>
          <w:tab w:val="clear" w:pos="562"/>
        </w:tabs>
        <w:suppressAutoHyphens w:val="0"/>
        <w:rPr>
          <w:del w:id="4452" w:author="AbbVie1" w:date="2025-05-13T09:50:00Z"/>
          <w:szCs w:val="24"/>
          <w:lang w:val="cs-CZ"/>
        </w:rPr>
      </w:pPr>
      <w:del w:id="4453" w:author="AbbVie1" w:date="2025-05-13T09:50:00Z">
        <w:r w:rsidRPr="001B4A02">
          <w:rPr>
            <w:szCs w:val="24"/>
            <w:lang w:val="cs-CZ"/>
          </w:rPr>
          <w:delText xml:space="preserve">V kontrolovaných částech klinických studií s antagonisty TNF bylo u pacientů léčených antagonisty TNF pozorováno v porovnání s kontrolní skupinou pacientů více případů malignit včetně lymfomů. Jejich výskyt byl však vzácný. </w:delText>
        </w:r>
        <w:r w:rsidR="00233C6D" w:rsidRPr="001B4A02">
          <w:rPr>
            <w:szCs w:val="24"/>
            <w:lang w:val="cs-CZ"/>
          </w:rPr>
          <w:delText>V postmarketingovém období byly u</w:delText>
        </w:r>
        <w:r w:rsidR="00164B4F" w:rsidRPr="001B4A02">
          <w:rPr>
            <w:szCs w:val="24"/>
            <w:lang w:val="cs-CZ"/>
          </w:rPr>
          <w:delText> </w:delText>
        </w:r>
        <w:r w:rsidR="00233C6D" w:rsidRPr="001B4A02">
          <w:rPr>
            <w:szCs w:val="24"/>
            <w:lang w:val="cs-CZ"/>
          </w:rPr>
          <w:delText>pacientů léčených TNF-antagonisty hlášeny případy leukémie. U</w:delText>
        </w:r>
        <w:r w:rsidRPr="001B4A02">
          <w:rPr>
            <w:szCs w:val="24"/>
            <w:lang w:val="cs-CZ"/>
          </w:rPr>
          <w:delText> pacientů s revmatoidní artritidou s dlouhodobým vysoce aktivním zánětlivým onemocněním existuje zvýšené riziko vzniku lymfomu</w:delText>
        </w:r>
        <w:r w:rsidR="002378E0">
          <w:rPr>
            <w:szCs w:val="24"/>
            <w:lang w:val="cs-CZ"/>
          </w:rPr>
          <w:delText xml:space="preserve"> a </w:delText>
        </w:r>
        <w:r w:rsidR="00233C6D" w:rsidRPr="001B4A02">
          <w:rPr>
            <w:szCs w:val="24"/>
            <w:lang w:val="cs-CZ"/>
          </w:rPr>
          <w:delText>leukémie</w:delText>
        </w:r>
        <w:r w:rsidRPr="001B4A02">
          <w:rPr>
            <w:szCs w:val="24"/>
            <w:lang w:val="cs-CZ"/>
          </w:rPr>
          <w:delText>, což komplikuje odhad rizika. Podle současného stavu znalostí nelze u pacientů léčených antagonisty TNF vyloučit možné riziko rozvoje lymfomů</w:delText>
        </w:r>
        <w:r w:rsidR="00233C6D" w:rsidRPr="001B4A02">
          <w:rPr>
            <w:szCs w:val="24"/>
            <w:lang w:val="cs-CZ"/>
          </w:rPr>
          <w:delText>, leukémie</w:delText>
        </w:r>
        <w:r w:rsidR="002378E0">
          <w:rPr>
            <w:szCs w:val="24"/>
            <w:lang w:val="cs-CZ"/>
          </w:rPr>
          <w:delText xml:space="preserve"> a </w:delText>
        </w:r>
        <w:r w:rsidRPr="001B4A02">
          <w:rPr>
            <w:szCs w:val="24"/>
            <w:lang w:val="cs-CZ"/>
          </w:rPr>
          <w:delText>jiných maligních onemocnění.</w:delText>
        </w:r>
      </w:del>
    </w:p>
    <w:p w14:paraId="4D6CE8BF" w14:textId="77777777" w:rsidR="00233C6D" w:rsidRPr="001B4A02" w:rsidRDefault="00233C6D" w:rsidP="00ED48A3">
      <w:pPr>
        <w:ind w:left="0" w:firstLine="0"/>
        <w:rPr>
          <w:del w:id="4454" w:author="AbbVie1" w:date="2025-05-13T09:50:00Z"/>
        </w:rPr>
      </w:pPr>
    </w:p>
    <w:p w14:paraId="6629D6BA" w14:textId="77777777" w:rsidR="00233C6D" w:rsidRPr="001B4A02" w:rsidRDefault="00000000" w:rsidP="00ED48A3">
      <w:pPr>
        <w:ind w:left="0" w:firstLine="0"/>
        <w:rPr>
          <w:del w:id="4455" w:author="AbbVie1" w:date="2025-05-13T09:50:00Z"/>
        </w:rPr>
      </w:pPr>
      <w:del w:id="4456" w:author="AbbVie1" w:date="2025-05-13T09:50:00Z">
        <w:r w:rsidRPr="001B4A02">
          <w:delText>V postmarketingovém období byly u</w:delText>
        </w:r>
        <w:r w:rsidR="00164B4F" w:rsidRPr="001B4A02">
          <w:delText> </w:delText>
        </w:r>
        <w:r w:rsidRPr="001B4A02">
          <w:delText xml:space="preserve">dětí, </w:delText>
        </w:r>
        <w:r w:rsidR="007633DC">
          <w:delText>dospívajících</w:delText>
        </w:r>
        <w:r w:rsidR="002378E0">
          <w:delText xml:space="preserve"> a </w:delText>
        </w:r>
        <w:r w:rsidRPr="001B4A02">
          <w:delText>mladých dospělých (do 22 let) užívajících TNF-blokátory (zahájení léčby v</w:delText>
        </w:r>
        <w:r w:rsidR="00EF0AF7" w:rsidRPr="001B4A02">
          <w:delText> </w:delText>
        </w:r>
        <w:r w:rsidRPr="001B4A02">
          <w:delText>≤ 18 letech věku), včetně adalimumabu, hlášeny malignity, z nichž některé byly fatální. Přibližně polovina případů byly lymfomy. Jiné případy představovaly různé druhy malignit</w:delText>
        </w:r>
        <w:r w:rsidR="002378E0">
          <w:delText xml:space="preserve"> a </w:delText>
        </w:r>
        <w:r w:rsidRPr="001B4A02">
          <w:delText>zahrnovaly vzácné malignity, které jsou obvykle spojeny s imunosupresí. Riziko rozvoje malignit u</w:delText>
        </w:r>
        <w:r w:rsidR="00164B4F" w:rsidRPr="001B4A02">
          <w:delText> </w:delText>
        </w:r>
        <w:r w:rsidRPr="001B4A02">
          <w:delText>dětí</w:delText>
        </w:r>
        <w:r w:rsidR="002378E0">
          <w:delText xml:space="preserve"> a </w:delText>
        </w:r>
        <w:r w:rsidR="007633DC">
          <w:delText>dospívajících</w:delText>
        </w:r>
        <w:r w:rsidRPr="001B4A02">
          <w:delText xml:space="preserve"> léčených TNF-blokátory nelze vyloučit.</w:delText>
        </w:r>
      </w:del>
    </w:p>
    <w:p w14:paraId="6E1F9AA0" w14:textId="77777777" w:rsidR="00073F8F" w:rsidRPr="001B4A02" w:rsidRDefault="00073F8F" w:rsidP="00ED48A3">
      <w:pPr>
        <w:rPr>
          <w:del w:id="4457" w:author="AbbVie1" w:date="2025-05-13T09:50:00Z"/>
        </w:rPr>
      </w:pPr>
    </w:p>
    <w:p w14:paraId="4D7BCC08" w14:textId="77777777" w:rsidR="00073F8F" w:rsidRPr="001B4A02" w:rsidRDefault="00000000" w:rsidP="00ED48A3">
      <w:pPr>
        <w:pStyle w:val="EMEANormal"/>
        <w:tabs>
          <w:tab w:val="clear" w:pos="562"/>
        </w:tabs>
        <w:suppressAutoHyphens w:val="0"/>
        <w:rPr>
          <w:del w:id="4458" w:author="AbbVie1" w:date="2025-05-13T09:50:00Z"/>
          <w:lang w:val="cs-CZ"/>
        </w:rPr>
      </w:pPr>
      <w:del w:id="4459" w:author="AbbVie1" w:date="2025-05-13T09:50:00Z">
        <w:r w:rsidRPr="001B4A02">
          <w:rPr>
            <w:lang w:val="cs-CZ"/>
          </w:rPr>
          <w:delText>Z postmarketingové praxe u</w:delText>
        </w:r>
        <w:r w:rsidR="00164B4F" w:rsidRPr="001B4A02">
          <w:rPr>
            <w:lang w:val="cs-CZ"/>
          </w:rPr>
          <w:delText> </w:delText>
        </w:r>
        <w:r w:rsidRPr="001B4A02">
          <w:rPr>
            <w:lang w:val="cs-CZ"/>
          </w:rPr>
          <w:delText>pacientů léčených adalimumabem byly hlášeny vzácné případy hepatosplenického T-buněčného lymfomu. Tento vzácný typ T-buněčného lymfomu se vyznačuje velmi agresívním průběhem onemocnění</w:delText>
        </w:r>
        <w:r w:rsidR="002378E0">
          <w:rPr>
            <w:lang w:val="cs-CZ"/>
          </w:rPr>
          <w:delText xml:space="preserve"> a </w:delText>
        </w:r>
        <w:r w:rsidRPr="001B4A02">
          <w:rPr>
            <w:lang w:val="cs-CZ"/>
          </w:rPr>
          <w:delText>je obvykle fatální. Některé z těchto T-buněčných lymfomů, spojované s</w:delText>
        </w:r>
        <w:r w:rsidR="008506F3" w:rsidRPr="001B4A02">
          <w:rPr>
            <w:lang w:val="cs-CZ"/>
          </w:rPr>
          <w:delText> </w:delText>
        </w:r>
        <w:r w:rsidRPr="001B4A02">
          <w:rPr>
            <w:lang w:val="cs-CZ"/>
          </w:rPr>
          <w:delText>přípravkem Humira, se vyskytly u</w:delText>
        </w:r>
        <w:r w:rsidR="00164B4F" w:rsidRPr="001B4A02">
          <w:rPr>
            <w:lang w:val="cs-CZ"/>
          </w:rPr>
          <w:delText> </w:delText>
        </w:r>
        <w:r w:rsidRPr="001B4A02">
          <w:rPr>
            <w:lang w:val="cs-CZ"/>
          </w:rPr>
          <w:delText xml:space="preserve">mladých pacientů léčených současně azathioprinem nebo 6-merkaptopurinem pro </w:delText>
        </w:r>
        <w:r w:rsidR="00095C2F" w:rsidRPr="001B4A02">
          <w:rPr>
            <w:lang w:val="cs-CZ"/>
          </w:rPr>
          <w:delText>zánětlivé střevní onemocnění</w:delText>
        </w:r>
        <w:r w:rsidRPr="001B4A02">
          <w:rPr>
            <w:lang w:val="cs-CZ"/>
          </w:rPr>
          <w:delText xml:space="preserve">. </w:delText>
        </w:r>
        <w:r w:rsidR="007D1465" w:rsidRPr="001B4A02">
          <w:rPr>
            <w:lang w:val="cs-CZ"/>
          </w:rPr>
          <w:delText>Možné riziko kombinace azathioprinu nebo 6-merkaptopurinu</w:delText>
        </w:r>
        <w:r w:rsidR="002378E0">
          <w:rPr>
            <w:lang w:val="cs-CZ"/>
          </w:rPr>
          <w:delText xml:space="preserve"> a </w:delText>
        </w:r>
        <w:r w:rsidR="007D1465" w:rsidRPr="001B4A02">
          <w:rPr>
            <w:lang w:val="cs-CZ"/>
          </w:rPr>
          <w:delText xml:space="preserve">přípravku Humira je třeba pečlivě zvážit. </w:delText>
        </w:r>
        <w:r w:rsidRPr="001B4A02">
          <w:rPr>
            <w:lang w:val="cs-CZ"/>
          </w:rPr>
          <w:delText>Riziko rozvoje hepatosplenického T-buněčného lymfomu nelze u</w:delText>
        </w:r>
        <w:r w:rsidR="00164B4F" w:rsidRPr="001B4A02">
          <w:rPr>
            <w:lang w:val="cs-CZ"/>
          </w:rPr>
          <w:delText> </w:delText>
        </w:r>
        <w:r w:rsidRPr="001B4A02">
          <w:rPr>
            <w:lang w:val="cs-CZ"/>
          </w:rPr>
          <w:delText>pacientů léčených přípravkem Humira vyloučit (viz bod 4.8).</w:delText>
        </w:r>
      </w:del>
    </w:p>
    <w:p w14:paraId="214F3BEE" w14:textId="77777777" w:rsidR="00073F8F" w:rsidRPr="001B4A02" w:rsidRDefault="00073F8F" w:rsidP="00ED48A3">
      <w:pPr>
        <w:rPr>
          <w:del w:id="4460" w:author="AbbVie1" w:date="2025-05-13T09:50:00Z"/>
        </w:rPr>
      </w:pPr>
    </w:p>
    <w:p w14:paraId="77BAD7F3" w14:textId="77777777" w:rsidR="00073F8F" w:rsidRPr="001B4A02" w:rsidRDefault="00000000" w:rsidP="00ED48A3">
      <w:pPr>
        <w:ind w:left="0" w:firstLine="0"/>
        <w:rPr>
          <w:del w:id="4461" w:author="AbbVie1" w:date="2025-05-13T09:50:00Z"/>
        </w:rPr>
      </w:pPr>
      <w:del w:id="4462" w:author="AbbVie1" w:date="2025-05-13T09:50:00Z">
        <w:r w:rsidRPr="001B4A02">
          <w:delText>Nebyly provedeny žádné studie u pacientů s anamnézou maligního onemocnění nebo v</w:delText>
        </w:r>
        <w:r w:rsidR="00EF0AF7" w:rsidRPr="001B4A02">
          <w:delText> </w:delText>
        </w:r>
        <w:r w:rsidRPr="001B4A02">
          <w:delText>případech, kde by léčba přípravkem Humira dále pokračovala i u pacientů, u kterých došlo k</w:delText>
        </w:r>
        <w:r w:rsidR="00EF0AF7" w:rsidRPr="001B4A02">
          <w:delText> </w:delText>
        </w:r>
        <w:r w:rsidRPr="001B4A02">
          <w:delText>rozvoji maligního onemocnění. Je proto zapotřebí ještě větší opatrnost při úvaze o léčbě přípravkem Humira u těchto pacientů (viz bod 4.8).</w:delText>
        </w:r>
      </w:del>
    </w:p>
    <w:p w14:paraId="55FB71D9" w14:textId="77777777" w:rsidR="00073F8F" w:rsidRPr="001B4A02" w:rsidRDefault="00073F8F" w:rsidP="00ED48A3">
      <w:pPr>
        <w:ind w:left="0" w:firstLine="0"/>
        <w:rPr>
          <w:del w:id="4463" w:author="AbbVie1" w:date="2025-05-13T09:50:00Z"/>
        </w:rPr>
      </w:pPr>
    </w:p>
    <w:p w14:paraId="2A4B7351" w14:textId="77777777" w:rsidR="00073F8F" w:rsidRPr="001B4A02" w:rsidRDefault="00000000" w:rsidP="00ED48A3">
      <w:pPr>
        <w:ind w:left="0" w:firstLine="0"/>
        <w:rPr>
          <w:del w:id="4464" w:author="AbbVie1" w:date="2025-05-13T09:50:00Z"/>
        </w:rPr>
      </w:pPr>
      <w:del w:id="4465" w:author="AbbVie1" w:date="2025-05-13T09:50:00Z">
        <w:r w:rsidRPr="001B4A02">
          <w:delText>Všechny pacienty, zvláště pacienty s anamnézou rozsáhlé imunosupres</w:delText>
        </w:r>
        <w:r w:rsidR="00B60555" w:rsidRPr="001B4A02">
          <w:delText>i</w:delText>
        </w:r>
        <w:r w:rsidRPr="001B4A02">
          <w:delText>vní léčby nebo pacienty s psoriázou, kteří byli v minulosti léčeni PUVA, je třeba vyšetřit na přítomnost nemelanomového kožního karcinomu ještě před</w:delText>
        </w:r>
        <w:r w:rsidR="002378E0">
          <w:delText xml:space="preserve"> a </w:delText>
        </w:r>
        <w:r w:rsidRPr="001B4A02">
          <w:delText>během léčby přípravkem Humira.</w:delText>
        </w:r>
        <w:r w:rsidR="00F35EA6" w:rsidRPr="001B4A02">
          <w:delText xml:space="preserve"> U</w:delText>
        </w:r>
        <w:r w:rsidR="00EF0AF7" w:rsidRPr="001B4A02">
          <w:delText> </w:delText>
        </w:r>
        <w:r w:rsidR="00F35EA6" w:rsidRPr="001B4A02">
          <w:delText>pacientů užívajících TNF-antagonisty, včetně přípravku Humira, byl také hlášen výskyt melanomu</w:delText>
        </w:r>
        <w:r w:rsidR="002378E0">
          <w:delText xml:space="preserve"> a </w:delText>
        </w:r>
        <w:r w:rsidR="00F35EA6" w:rsidRPr="001B4A02">
          <w:delText>karcinomu z Merkelových buněk (viz bod 4.8).</w:delText>
        </w:r>
      </w:del>
    </w:p>
    <w:p w14:paraId="2B93A9F7" w14:textId="77777777" w:rsidR="00073F8F" w:rsidRPr="001B4A02" w:rsidRDefault="00073F8F" w:rsidP="00ED48A3">
      <w:pPr>
        <w:ind w:left="0" w:firstLine="0"/>
        <w:rPr>
          <w:del w:id="4466" w:author="AbbVie1" w:date="2025-05-13T09:50:00Z"/>
        </w:rPr>
      </w:pPr>
    </w:p>
    <w:p w14:paraId="5AEC43C4" w14:textId="77777777" w:rsidR="00073F8F" w:rsidRPr="001B4A02" w:rsidRDefault="00000000" w:rsidP="00ED48A3">
      <w:pPr>
        <w:pStyle w:val="EMEANormal"/>
        <w:tabs>
          <w:tab w:val="clear" w:pos="562"/>
        </w:tabs>
        <w:suppressAutoHyphens w:val="0"/>
        <w:rPr>
          <w:del w:id="4467" w:author="AbbVie1" w:date="2025-05-13T09:50:00Z"/>
          <w:bCs/>
          <w:szCs w:val="22"/>
          <w:lang w:val="cs-CZ"/>
        </w:rPr>
      </w:pPr>
      <w:del w:id="4468" w:author="AbbVie1" w:date="2025-05-13T09:50:00Z">
        <w:r w:rsidRPr="001B4A02">
          <w:rPr>
            <w:bCs/>
            <w:szCs w:val="22"/>
            <w:lang w:val="cs-CZ"/>
          </w:rPr>
          <w:delText>V ověřovací klinické studii, zkoumající užívání jiné</w:delText>
        </w:r>
        <w:r w:rsidR="002C68E8" w:rsidRPr="001B4A02">
          <w:rPr>
            <w:bCs/>
            <w:szCs w:val="22"/>
            <w:lang w:val="cs-CZ"/>
          </w:rPr>
          <w:delText>ho</w:delText>
        </w:r>
        <w:r w:rsidRPr="001B4A02">
          <w:rPr>
            <w:bCs/>
            <w:szCs w:val="22"/>
            <w:lang w:val="cs-CZ"/>
          </w:rPr>
          <w:delText xml:space="preserve"> </w:delText>
        </w:r>
        <w:r w:rsidR="00EA2A6C" w:rsidRPr="001B4A02">
          <w:rPr>
            <w:bCs/>
            <w:szCs w:val="22"/>
            <w:lang w:val="cs-CZ"/>
          </w:rPr>
          <w:delText xml:space="preserve">antagonisty </w:delText>
        </w:r>
        <w:r w:rsidRPr="001B4A02">
          <w:rPr>
            <w:bCs/>
            <w:szCs w:val="22"/>
            <w:lang w:val="cs-CZ"/>
          </w:rPr>
          <w:delText xml:space="preserve">TNF, infliximabu, u pacientů se středně </w:delText>
        </w:r>
        <w:r w:rsidR="00CC2F88" w:rsidRPr="001B4A02">
          <w:rPr>
            <w:bCs/>
            <w:szCs w:val="22"/>
            <w:lang w:val="cs-CZ"/>
          </w:rPr>
          <w:delText xml:space="preserve">těžkou </w:delText>
        </w:r>
        <w:r w:rsidRPr="001B4A02">
          <w:rPr>
            <w:bCs/>
            <w:szCs w:val="22"/>
            <w:lang w:val="cs-CZ"/>
          </w:rPr>
          <w:delText>až těžkou chronickou obstrukční chorobou plicní (CHOPN), bylo u pacientů léčených infliximabem pozorováno více malignit, převážně plic, hlavy</w:delText>
        </w:r>
        <w:r w:rsidR="002378E0">
          <w:rPr>
            <w:bCs/>
            <w:szCs w:val="22"/>
            <w:lang w:val="cs-CZ"/>
          </w:rPr>
          <w:delText xml:space="preserve"> a </w:delText>
        </w:r>
        <w:r w:rsidRPr="001B4A02">
          <w:rPr>
            <w:bCs/>
            <w:szCs w:val="22"/>
            <w:lang w:val="cs-CZ"/>
          </w:rPr>
          <w:delText>krku v porovnání s kontrolní skupinou pacientů. Všichni pacienti byli v minulosti těžcí kuřáci. Z tohoto důvodu je zapotřebí opatrnosti při užívání jakéhokoli TNF-antagonisty u pacientů s CHOPN, stejně jako u pacientů s vyšším rizikem vzniku malignit v důsledku jejich těžkého kuřáctví.</w:delText>
        </w:r>
      </w:del>
    </w:p>
    <w:p w14:paraId="34F0AAA5" w14:textId="77777777" w:rsidR="00EA2A6C" w:rsidRPr="001B4A02" w:rsidRDefault="00EA2A6C" w:rsidP="00ED48A3">
      <w:pPr>
        <w:ind w:left="0" w:firstLine="0"/>
        <w:rPr>
          <w:del w:id="4469" w:author="AbbVie1" w:date="2025-05-13T09:50:00Z"/>
        </w:rPr>
      </w:pPr>
    </w:p>
    <w:p w14:paraId="0FCF39C3" w14:textId="77777777" w:rsidR="00073F8F" w:rsidRPr="001B4A02" w:rsidRDefault="00000000" w:rsidP="00ED48A3">
      <w:pPr>
        <w:ind w:left="0" w:firstLine="0"/>
        <w:rPr>
          <w:del w:id="4470" w:author="AbbVie1" w:date="2025-05-13T09:50:00Z"/>
        </w:rPr>
      </w:pPr>
      <w:del w:id="4471" w:author="AbbVie1" w:date="2025-05-13T09:50:00Z">
        <w:r w:rsidRPr="001B4A02">
          <w:delText>Podle současných údajů není známo, zda léčba adalimumabem ovlivňuje riziko vzniku dyspl</w:delText>
        </w:r>
        <w:r w:rsidR="00D149F4">
          <w:delText>a</w:delText>
        </w:r>
        <w:r w:rsidRPr="001B4A02">
          <w:delText>zie nebo kolorektálního karcinomu. Všichni pacienti s ulcerózní kolitidou, u</w:delText>
        </w:r>
        <w:r w:rsidR="00164B4F" w:rsidRPr="001B4A02">
          <w:delText> </w:delText>
        </w:r>
        <w:r w:rsidRPr="001B4A02">
          <w:delText>nichž existuje riziko pro vznik dyspl</w:delText>
        </w:r>
        <w:r w:rsidR="00D149F4">
          <w:delText>a</w:delText>
        </w:r>
        <w:r w:rsidRPr="001B4A02">
          <w:delText>zie nebo kolorektálního karcinomu (např. pacienti s dlouhotrvající ulcerózní kolitidou nebo primární sklerotizující cholangitidou), u</w:delText>
        </w:r>
        <w:r w:rsidR="00164B4F" w:rsidRPr="001B4A02">
          <w:delText> </w:delText>
        </w:r>
        <w:r w:rsidRPr="001B4A02">
          <w:delText>kterých se v minulosti vyskytla dyspl</w:delText>
        </w:r>
        <w:r w:rsidR="00D149F4">
          <w:delText>a</w:delText>
        </w:r>
        <w:r w:rsidRPr="001B4A02">
          <w:delText>zie nebo kolorektální karcinom</w:delText>
        </w:r>
        <w:r w:rsidR="00301A37" w:rsidRPr="001B4A02">
          <w:delText>,</w:delText>
        </w:r>
        <w:r w:rsidRPr="001B4A02">
          <w:delText xml:space="preserve"> </w:delText>
        </w:r>
        <w:r w:rsidR="0029088C">
          <w:delText>mají</w:delText>
        </w:r>
        <w:r w:rsidRPr="001B4A02">
          <w:delText xml:space="preserve"> být vyšetřeni na možný rozvoj dyspl</w:delText>
        </w:r>
        <w:r w:rsidR="00D149F4">
          <w:delText>a</w:delText>
        </w:r>
        <w:r w:rsidRPr="001B4A02">
          <w:delText>zie nebo kolorektálního karcinomu ještě před zahájením léčby</w:delText>
        </w:r>
        <w:r w:rsidR="002378E0">
          <w:delText xml:space="preserve"> a </w:delText>
        </w:r>
        <w:r w:rsidRPr="001B4A02">
          <w:delText>dále v pravidelných intervalech v jejím průběhu. Toto vyšetření má, v souladu s místními požadavky, zahrnovat kolonoskopii</w:delText>
        </w:r>
        <w:r w:rsidR="002378E0">
          <w:delText xml:space="preserve"> a </w:delText>
        </w:r>
        <w:r w:rsidRPr="001B4A02">
          <w:delText>biopsii.</w:delText>
        </w:r>
      </w:del>
    </w:p>
    <w:p w14:paraId="1BE79BB3" w14:textId="77777777" w:rsidR="00EA2A6C" w:rsidRPr="001B4A02" w:rsidRDefault="00EA2A6C" w:rsidP="00ED48A3">
      <w:pPr>
        <w:tabs>
          <w:tab w:val="left" w:pos="426"/>
        </w:tabs>
        <w:jc w:val="both"/>
        <w:rPr>
          <w:del w:id="4472" w:author="AbbVie1" w:date="2025-05-13T09:50:00Z"/>
          <w:bCs/>
          <w:szCs w:val="22"/>
          <w:u w:val="single"/>
        </w:rPr>
      </w:pPr>
    </w:p>
    <w:p w14:paraId="1F4CDBCD" w14:textId="77777777" w:rsidR="00073F8F" w:rsidRPr="001B4A02" w:rsidRDefault="00000000" w:rsidP="00D279BC">
      <w:pPr>
        <w:keepNext/>
        <w:tabs>
          <w:tab w:val="left" w:pos="426"/>
        </w:tabs>
        <w:jc w:val="both"/>
        <w:rPr>
          <w:del w:id="4473" w:author="AbbVie1" w:date="2025-05-13T09:50:00Z"/>
          <w:bCs/>
          <w:szCs w:val="22"/>
          <w:u w:val="single"/>
        </w:rPr>
      </w:pPr>
      <w:del w:id="4474" w:author="AbbVie1" w:date="2025-05-13T09:50:00Z">
        <w:r w:rsidRPr="001B4A02">
          <w:rPr>
            <w:bCs/>
            <w:szCs w:val="22"/>
            <w:u w:val="single"/>
          </w:rPr>
          <w:delText>Hematologické reakce</w:delText>
        </w:r>
      </w:del>
    </w:p>
    <w:p w14:paraId="6298FCAC" w14:textId="77777777" w:rsidR="00073F8F" w:rsidRPr="001B4A02" w:rsidRDefault="00073F8F" w:rsidP="00D279BC">
      <w:pPr>
        <w:keepNext/>
        <w:tabs>
          <w:tab w:val="left" w:pos="426"/>
        </w:tabs>
        <w:jc w:val="both"/>
        <w:rPr>
          <w:del w:id="4475" w:author="AbbVie1" w:date="2025-05-13T09:50:00Z"/>
          <w:bCs/>
          <w:szCs w:val="22"/>
          <w:u w:val="single"/>
        </w:rPr>
      </w:pPr>
    </w:p>
    <w:p w14:paraId="22222AFA" w14:textId="77777777" w:rsidR="00073F8F" w:rsidRPr="001B4A02" w:rsidRDefault="00000000" w:rsidP="00ED48A3">
      <w:pPr>
        <w:ind w:left="0" w:firstLine="0"/>
        <w:rPr>
          <w:del w:id="4476" w:author="AbbVie1" w:date="2025-05-13T09:50:00Z"/>
          <w:u w:val="single"/>
        </w:rPr>
      </w:pPr>
      <w:del w:id="4477" w:author="AbbVie1" w:date="2025-05-13T09:50:00Z">
        <w:r w:rsidRPr="001B4A02">
          <w:rPr>
            <w:bCs/>
            <w:szCs w:val="22"/>
          </w:rPr>
          <w:delText>Při užívání antagonistů TNF byly vzácně hlášeny případy pancytopenie včetně aplastické anémie. U přípravku Humira byly hlášeny nežádoucí příhody v oblasti hematologického systému, včetně medicínsky významné cytopenie (např. trombocytopenie, leukopenie). Všem pacientům je nutné doporučit, aby ihned vyhledali lékařskou pomoc, pokud se při léčbě přípravkem Humira vyvinou příznaky</w:delText>
        </w:r>
        <w:r w:rsidR="002378E0">
          <w:rPr>
            <w:bCs/>
            <w:szCs w:val="22"/>
          </w:rPr>
          <w:delText xml:space="preserve"> a </w:delText>
        </w:r>
        <w:r w:rsidRPr="001B4A02">
          <w:rPr>
            <w:bCs/>
            <w:szCs w:val="22"/>
          </w:rPr>
          <w:delText>projevy podezřelé z krevní dyskrasie (např. přetrvávající horečka, hematomy, krvácení, bledost). U pacientů s potvrzenými významnými hematologickými abnormalitami je nutné zvážit vysazení léčby.</w:delText>
        </w:r>
      </w:del>
    </w:p>
    <w:p w14:paraId="13D78028" w14:textId="77777777" w:rsidR="00073F8F" w:rsidRPr="001B4A02" w:rsidRDefault="00073F8F" w:rsidP="00ED48A3">
      <w:pPr>
        <w:ind w:left="0" w:firstLine="0"/>
        <w:rPr>
          <w:del w:id="4478" w:author="AbbVie1" w:date="2025-05-13T09:50:00Z"/>
        </w:rPr>
      </w:pPr>
    </w:p>
    <w:p w14:paraId="4D5C2F02" w14:textId="77777777" w:rsidR="00073F8F" w:rsidRPr="001B4A02" w:rsidRDefault="00000000" w:rsidP="00603F6E">
      <w:pPr>
        <w:keepNext/>
        <w:ind w:left="0" w:firstLine="0"/>
        <w:rPr>
          <w:del w:id="4479" w:author="AbbVie1" w:date="2025-05-13T09:50:00Z"/>
        </w:rPr>
      </w:pPr>
      <w:del w:id="4480" w:author="AbbVie1" w:date="2025-05-13T09:50:00Z">
        <w:r w:rsidRPr="001B4A02">
          <w:rPr>
            <w:u w:val="single"/>
          </w:rPr>
          <w:delText>Očkování</w:delText>
        </w:r>
      </w:del>
    </w:p>
    <w:p w14:paraId="64844D92" w14:textId="77777777" w:rsidR="00073F8F" w:rsidRPr="001B4A02" w:rsidRDefault="00073F8F" w:rsidP="00603F6E">
      <w:pPr>
        <w:keepNext/>
        <w:ind w:left="0" w:firstLine="0"/>
        <w:rPr>
          <w:del w:id="4481" w:author="AbbVie1" w:date="2025-05-13T09:50:00Z"/>
        </w:rPr>
      </w:pPr>
    </w:p>
    <w:p w14:paraId="42A0BED1" w14:textId="77777777" w:rsidR="00073F8F" w:rsidRPr="001B4A02" w:rsidRDefault="00000000" w:rsidP="00D279BC">
      <w:pPr>
        <w:pStyle w:val="EMEANormal"/>
        <w:tabs>
          <w:tab w:val="clear" w:pos="562"/>
        </w:tabs>
        <w:suppressAutoHyphens w:val="0"/>
        <w:rPr>
          <w:del w:id="4482" w:author="AbbVie1" w:date="2025-05-13T09:50:00Z"/>
          <w:lang w:val="cs-CZ"/>
        </w:rPr>
      </w:pPr>
      <w:del w:id="4483" w:author="AbbVie1" w:date="2025-05-13T09:50:00Z">
        <w:r w:rsidRPr="001B4A02">
          <w:rPr>
            <w:lang w:val="cs-CZ"/>
          </w:rPr>
          <w:delText>Obdobná protilátková odpověď na standardní 23složkovou pneumokokovou vakcínu</w:delText>
        </w:r>
        <w:r w:rsidR="002378E0">
          <w:rPr>
            <w:lang w:val="cs-CZ"/>
          </w:rPr>
          <w:delText xml:space="preserve"> a </w:delText>
        </w:r>
        <w:r w:rsidRPr="001B4A02">
          <w:rPr>
            <w:lang w:val="cs-CZ"/>
          </w:rPr>
          <w:delText>třísložkovou virovou vakcínu proti chřipce byla pozorována ve studii s 226 dospělými subjekty s revmatoidní artritidou, kte</w:delText>
        </w:r>
        <w:r w:rsidR="002A321C">
          <w:rPr>
            <w:lang w:val="cs-CZ"/>
          </w:rPr>
          <w:delText>ré</w:delText>
        </w:r>
        <w:r w:rsidRPr="001B4A02">
          <w:rPr>
            <w:lang w:val="cs-CZ"/>
          </w:rPr>
          <w:delText xml:space="preserve"> byl</w:delText>
        </w:r>
        <w:r w:rsidR="002A321C">
          <w:rPr>
            <w:lang w:val="cs-CZ"/>
          </w:rPr>
          <w:delText>y</w:delText>
        </w:r>
        <w:r w:rsidRPr="001B4A02">
          <w:rPr>
            <w:lang w:val="cs-CZ"/>
          </w:rPr>
          <w:delText xml:space="preserve"> léčen</w:delText>
        </w:r>
        <w:r w:rsidR="002A321C">
          <w:rPr>
            <w:lang w:val="cs-CZ"/>
          </w:rPr>
          <w:delText>y</w:delText>
        </w:r>
        <w:r w:rsidRPr="001B4A02">
          <w:rPr>
            <w:lang w:val="cs-CZ"/>
          </w:rPr>
          <w:delText xml:space="preserve"> adalimumabem nebo placebem. Nejsou k dispozici žádné údaje, týkající se sekundárního přenosu infekce v důsledku živé vakcíny u pacientů léčených přípravkem Humira.</w:delText>
        </w:r>
      </w:del>
    </w:p>
    <w:p w14:paraId="2BC53D88" w14:textId="77777777" w:rsidR="00073F8F" w:rsidRPr="001B4A02" w:rsidRDefault="00073F8F" w:rsidP="00ED48A3">
      <w:pPr>
        <w:ind w:left="0" w:firstLine="0"/>
        <w:rPr>
          <w:del w:id="4484" w:author="AbbVie1" w:date="2025-05-13T09:50:00Z"/>
          <w:u w:val="single"/>
        </w:rPr>
      </w:pPr>
    </w:p>
    <w:p w14:paraId="48D64992" w14:textId="77777777" w:rsidR="00073F8F" w:rsidRPr="001B4A02" w:rsidRDefault="00000000" w:rsidP="00ED48A3">
      <w:pPr>
        <w:ind w:left="0" w:firstLine="0"/>
        <w:rPr>
          <w:del w:id="4485" w:author="AbbVie1" w:date="2025-05-13T09:50:00Z"/>
        </w:rPr>
      </w:pPr>
      <w:del w:id="4486" w:author="AbbVie1" w:date="2025-05-13T09:50:00Z">
        <w:r w:rsidRPr="001B4A02">
          <w:delText xml:space="preserve">Doporučuje se, aby </w:delText>
        </w:r>
        <w:r w:rsidR="00F35EA6" w:rsidRPr="001B4A02">
          <w:delText xml:space="preserve">pediatričtí </w:delText>
        </w:r>
        <w:r w:rsidRPr="001B4A02">
          <w:delText>pacienti absolvovali pokud možno všechna doporučená očkování v souladu se současnými vakcinačními směrnicemi ještě před zahájením léčby přípravkem Humira.</w:delText>
        </w:r>
      </w:del>
    </w:p>
    <w:p w14:paraId="5FD14499" w14:textId="77777777" w:rsidR="00073F8F" w:rsidRPr="001B4A02" w:rsidRDefault="00073F8F" w:rsidP="00ED48A3">
      <w:pPr>
        <w:ind w:left="0" w:firstLine="0"/>
        <w:rPr>
          <w:del w:id="4487" w:author="AbbVie1" w:date="2025-05-13T09:50:00Z"/>
        </w:rPr>
      </w:pPr>
    </w:p>
    <w:p w14:paraId="7A418442" w14:textId="77777777" w:rsidR="00073F8F" w:rsidRPr="001B4A02" w:rsidRDefault="00000000" w:rsidP="00ED48A3">
      <w:pPr>
        <w:ind w:left="0" w:firstLine="0"/>
        <w:rPr>
          <w:del w:id="4488" w:author="AbbVie1" w:date="2025-05-13T09:50:00Z"/>
        </w:rPr>
      </w:pPr>
      <w:del w:id="4489" w:author="AbbVie1" w:date="2025-05-13T09:50:00Z">
        <w:r w:rsidRPr="001B4A02">
          <w:delText>Pacienti léčení přípravkem Humira mohou být souběžně očkováni, s výjimkou očkování živými vakcínami.</w:delText>
        </w:r>
        <w:r w:rsidR="001454DE" w:rsidRPr="001B4A02">
          <w:delText xml:space="preserve"> Podávání živých vakcín</w:delText>
        </w:r>
        <w:r w:rsidR="00BA3861">
          <w:delText xml:space="preserve"> (např. BCG vakcín)</w:delText>
        </w:r>
        <w:r w:rsidR="001454DE" w:rsidRPr="001B4A02">
          <w:delText xml:space="preserve"> se nedoporučuje u</w:delText>
        </w:r>
        <w:r w:rsidR="00164B4F" w:rsidRPr="001B4A02">
          <w:delText> </w:delText>
        </w:r>
        <w:r w:rsidR="001454DE" w:rsidRPr="001B4A02">
          <w:delText>dětí, které byly adalimumabu vystaveny in utero,</w:delText>
        </w:r>
        <w:r w:rsidR="002378E0">
          <w:delText xml:space="preserve"> a </w:delText>
        </w:r>
        <w:r w:rsidR="001454DE" w:rsidRPr="001B4A02">
          <w:delText>to po dobu 5 měsíců od poslední dávky adalimumabu, jež byla matce během těhotenství podána.</w:delText>
        </w:r>
      </w:del>
    </w:p>
    <w:p w14:paraId="3E7BE0A5" w14:textId="77777777" w:rsidR="00073F8F" w:rsidRPr="001B4A02" w:rsidRDefault="00073F8F" w:rsidP="00ED48A3">
      <w:pPr>
        <w:ind w:left="0" w:firstLine="0"/>
        <w:rPr>
          <w:del w:id="4490" w:author="AbbVie1" w:date="2025-05-13T09:50:00Z"/>
          <w:u w:val="single"/>
        </w:rPr>
      </w:pPr>
    </w:p>
    <w:p w14:paraId="3165FFC5" w14:textId="77777777" w:rsidR="00073F8F" w:rsidRPr="001B4A02" w:rsidRDefault="00000000" w:rsidP="00D279BC">
      <w:pPr>
        <w:keepNext/>
        <w:ind w:left="0" w:firstLine="0"/>
        <w:rPr>
          <w:del w:id="4491" w:author="AbbVie1" w:date="2025-05-13T09:50:00Z"/>
        </w:rPr>
      </w:pPr>
      <w:del w:id="4492" w:author="AbbVie1" w:date="2025-05-13T09:50:00Z">
        <w:r w:rsidRPr="001B4A02">
          <w:rPr>
            <w:u w:val="single"/>
          </w:rPr>
          <w:delText>Městnavé srdeční selhání</w:delText>
        </w:r>
      </w:del>
    </w:p>
    <w:p w14:paraId="3111FCA3" w14:textId="77777777" w:rsidR="00073F8F" w:rsidRPr="001B4A02" w:rsidRDefault="00073F8F" w:rsidP="00D279BC">
      <w:pPr>
        <w:keepNext/>
        <w:ind w:left="0" w:firstLine="0"/>
        <w:rPr>
          <w:del w:id="4493" w:author="AbbVie1" w:date="2025-05-13T09:50:00Z"/>
        </w:rPr>
      </w:pPr>
    </w:p>
    <w:p w14:paraId="1A15CB6A" w14:textId="77777777" w:rsidR="00073F8F" w:rsidRPr="001B4A02" w:rsidRDefault="00000000" w:rsidP="00ED48A3">
      <w:pPr>
        <w:ind w:left="0" w:firstLine="0"/>
        <w:rPr>
          <w:del w:id="4494" w:author="AbbVie1" w:date="2025-05-13T09:50:00Z"/>
        </w:rPr>
      </w:pPr>
      <w:del w:id="4495" w:author="AbbVie1" w:date="2025-05-13T09:50:00Z">
        <w:r w:rsidRPr="001B4A02">
          <w:delText>V klinické studii s jiným antagonistou TNF bylo pozorováno zhoršení městnavého srdečního selhání</w:delText>
        </w:r>
        <w:r w:rsidR="002378E0">
          <w:delText xml:space="preserve"> a </w:delText>
        </w:r>
        <w:r w:rsidRPr="001B4A02">
          <w:delText>zvýšení mortality na městnavé srdeční selhání. Případy zhoršení městnavého srdečního selhání byly rovněž popsány u pacientů léčených přípravkem Humira. U pacientů s mírným srdečním selháním (třída I/II podle NYHA) se musí přípravek Humira podávat s opatrností. Přípravek Humira je kontraindikován u středně těžkého až těžkého srdečního selhání (viz bod 4.3). U pacientů, u</w:delText>
        </w:r>
        <w:r w:rsidR="00164B4F" w:rsidRPr="001B4A02">
          <w:delText> </w:delText>
        </w:r>
        <w:r w:rsidRPr="001B4A02">
          <w:delText>kterých dojde k rozvoji nebo zhoršení příznaků městnavého srdečního selhání, musí být léčba přípravkem Humira ukončena.</w:delText>
        </w:r>
      </w:del>
    </w:p>
    <w:p w14:paraId="51295EF3" w14:textId="77777777" w:rsidR="00073F8F" w:rsidRPr="001B4A02" w:rsidRDefault="00073F8F" w:rsidP="00ED48A3">
      <w:pPr>
        <w:ind w:left="0" w:firstLine="0"/>
        <w:rPr>
          <w:del w:id="4496" w:author="AbbVie1" w:date="2025-05-13T09:50:00Z"/>
          <w:u w:val="single"/>
        </w:rPr>
      </w:pPr>
    </w:p>
    <w:p w14:paraId="3B2C6805" w14:textId="77777777" w:rsidR="00073F8F" w:rsidRPr="001B4A02" w:rsidRDefault="00000000" w:rsidP="00D279BC">
      <w:pPr>
        <w:keepNext/>
        <w:ind w:left="0" w:firstLine="0"/>
        <w:rPr>
          <w:del w:id="4497" w:author="AbbVie1" w:date="2025-05-13T09:50:00Z"/>
        </w:rPr>
      </w:pPr>
      <w:del w:id="4498" w:author="AbbVie1" w:date="2025-05-13T09:50:00Z">
        <w:r w:rsidRPr="001B4A02">
          <w:rPr>
            <w:u w:val="single"/>
          </w:rPr>
          <w:delText>Autoimunitní procesy</w:delText>
        </w:r>
      </w:del>
    </w:p>
    <w:p w14:paraId="319F5631" w14:textId="77777777" w:rsidR="00073F8F" w:rsidRPr="001B4A02" w:rsidRDefault="00073F8F" w:rsidP="00D279BC">
      <w:pPr>
        <w:keepNext/>
        <w:ind w:left="0" w:firstLine="0"/>
        <w:rPr>
          <w:del w:id="4499" w:author="AbbVie1" w:date="2025-05-13T09:50:00Z"/>
        </w:rPr>
      </w:pPr>
    </w:p>
    <w:p w14:paraId="48BA6F7D" w14:textId="77777777" w:rsidR="00073F8F" w:rsidRPr="001B4A02" w:rsidRDefault="00000000" w:rsidP="00ED48A3">
      <w:pPr>
        <w:ind w:left="0" w:firstLine="0"/>
        <w:rPr>
          <w:del w:id="4500" w:author="AbbVie1" w:date="2025-05-13T09:50:00Z"/>
        </w:rPr>
      </w:pPr>
      <w:del w:id="4501" w:author="AbbVie1" w:date="2025-05-13T09:50:00Z">
        <w:r w:rsidRPr="001B4A02">
          <w:delText>Léčba přípravkem Humira může vést ke tvorbě autoimunitních protilátek. Dopad dlouhodobé léčby přípravkem Humira na rozvoj autoimunitních onemocnění není znám. Jestliže se u pacienta v souvislosti s léčbou přípravkem Humira vyvinou symptomy, svědčící pro lupus-like syndrom</w:delText>
        </w:r>
        <w:r w:rsidR="002378E0">
          <w:delText xml:space="preserve"> a </w:delText>
        </w:r>
        <w:r w:rsidRPr="001B4A02">
          <w:delText>má-li pozitivní protilátky proti dvoušroubovici DNA, pak u něj léčba přípravkem Humira nesmí dále pokračovat (viz bod 4.8).</w:delText>
        </w:r>
      </w:del>
    </w:p>
    <w:p w14:paraId="3353F882" w14:textId="77777777" w:rsidR="00073F8F" w:rsidRPr="001B4A02" w:rsidRDefault="00073F8F" w:rsidP="00ED48A3">
      <w:pPr>
        <w:ind w:left="0" w:firstLine="0"/>
        <w:rPr>
          <w:del w:id="4502" w:author="AbbVie1" w:date="2025-05-13T09:50:00Z"/>
        </w:rPr>
      </w:pPr>
    </w:p>
    <w:p w14:paraId="377174DC" w14:textId="77777777" w:rsidR="00073F8F" w:rsidRPr="001B4A02" w:rsidRDefault="00000000" w:rsidP="00D279BC">
      <w:pPr>
        <w:keepNext/>
        <w:ind w:left="0" w:firstLine="0"/>
        <w:rPr>
          <w:del w:id="4503" w:author="AbbVie1" w:date="2025-05-13T09:50:00Z"/>
        </w:rPr>
      </w:pPr>
      <w:del w:id="4504" w:author="AbbVie1" w:date="2025-05-13T09:50:00Z">
        <w:r w:rsidRPr="001B4A02">
          <w:rPr>
            <w:u w:val="single"/>
          </w:rPr>
          <w:delText xml:space="preserve">Současné podávání </w:delText>
        </w:r>
        <w:r w:rsidR="001454DE" w:rsidRPr="001B4A02">
          <w:rPr>
            <w:u w:val="single"/>
          </w:rPr>
          <w:delText xml:space="preserve">biologických DMARD nebo </w:delText>
        </w:r>
        <w:r w:rsidRPr="001B4A02">
          <w:rPr>
            <w:u w:val="single"/>
          </w:rPr>
          <w:delText>antagonistů TNF</w:delText>
        </w:r>
      </w:del>
    </w:p>
    <w:p w14:paraId="169CE967" w14:textId="77777777" w:rsidR="00073F8F" w:rsidRPr="001B4A02" w:rsidRDefault="00073F8F" w:rsidP="00D279BC">
      <w:pPr>
        <w:keepNext/>
        <w:ind w:left="0" w:firstLine="0"/>
        <w:rPr>
          <w:del w:id="4505" w:author="AbbVie1" w:date="2025-05-13T09:50:00Z"/>
        </w:rPr>
      </w:pPr>
    </w:p>
    <w:p w14:paraId="1CB2C0DA" w14:textId="77777777" w:rsidR="00073F8F" w:rsidRPr="001B4A02" w:rsidRDefault="00000000" w:rsidP="00ED48A3">
      <w:pPr>
        <w:ind w:left="0" w:firstLine="0"/>
        <w:rPr>
          <w:del w:id="4506" w:author="AbbVie1" w:date="2025-05-13T09:50:00Z"/>
          <w:szCs w:val="24"/>
        </w:rPr>
      </w:pPr>
      <w:del w:id="4507" w:author="AbbVie1" w:date="2025-05-13T09:50:00Z">
        <w:r w:rsidRPr="001B4A02">
          <w:rPr>
            <w:szCs w:val="24"/>
          </w:rPr>
          <w:delText>V klinických studiích sledujících současné podávání anakinry</w:delText>
        </w:r>
        <w:r w:rsidR="002378E0">
          <w:rPr>
            <w:szCs w:val="24"/>
          </w:rPr>
          <w:delText xml:space="preserve"> a </w:delText>
        </w:r>
        <w:r w:rsidRPr="001B4A02">
          <w:rPr>
            <w:szCs w:val="24"/>
          </w:rPr>
          <w:delText>dalšího antagonisty TNF – etanerceptu, byly pozorovány závažné infekce, přičemž nebyl zjištěn žádný další klinický přínos v porovnání s monoterapií etanerceptem. Vzhledem k původu nežádoucích účinků pozorovaných při kombinované léčbě etanerceptem</w:delText>
        </w:r>
        <w:r w:rsidR="002378E0">
          <w:rPr>
            <w:szCs w:val="24"/>
          </w:rPr>
          <w:delText xml:space="preserve"> a </w:delText>
        </w:r>
        <w:r w:rsidRPr="001B4A02">
          <w:rPr>
            <w:szCs w:val="24"/>
          </w:rPr>
          <w:delText>anakinrou se mohou vyskytnout obdobné toxické projevy při podávání kombinace anakinry</w:delText>
        </w:r>
        <w:r w:rsidR="002378E0">
          <w:rPr>
            <w:szCs w:val="24"/>
          </w:rPr>
          <w:delText xml:space="preserve"> a </w:delText>
        </w:r>
        <w:r w:rsidRPr="001B4A02">
          <w:rPr>
            <w:szCs w:val="24"/>
          </w:rPr>
          <w:delText>jiných antagonistů TNF. Proto se nedoporučuje používat kombinaci adalimumabu</w:delText>
        </w:r>
        <w:r w:rsidR="002378E0">
          <w:rPr>
            <w:szCs w:val="24"/>
          </w:rPr>
          <w:delText xml:space="preserve"> a </w:delText>
        </w:r>
        <w:r w:rsidRPr="001B4A02">
          <w:rPr>
            <w:szCs w:val="24"/>
          </w:rPr>
          <w:delText>anakinry (viz bod 4.5).</w:delText>
        </w:r>
      </w:del>
    </w:p>
    <w:p w14:paraId="109D3A06" w14:textId="77777777" w:rsidR="00073F8F" w:rsidRPr="001B4A02" w:rsidRDefault="00073F8F" w:rsidP="00ED48A3">
      <w:pPr>
        <w:ind w:left="0" w:firstLine="0"/>
        <w:rPr>
          <w:del w:id="4508" w:author="AbbVie1" w:date="2025-05-13T09:50:00Z"/>
          <w:u w:val="single"/>
        </w:rPr>
      </w:pPr>
    </w:p>
    <w:p w14:paraId="7AC7AEF3" w14:textId="77777777" w:rsidR="00073F8F" w:rsidRPr="001B4A02" w:rsidRDefault="00000000" w:rsidP="00ED48A3">
      <w:pPr>
        <w:pStyle w:val="EMEANormal"/>
        <w:tabs>
          <w:tab w:val="clear" w:pos="562"/>
        </w:tabs>
        <w:suppressAutoHyphens w:val="0"/>
        <w:rPr>
          <w:del w:id="4509" w:author="AbbVie1" w:date="2025-05-13T09:50:00Z"/>
          <w:lang w:val="cs-CZ"/>
        </w:rPr>
      </w:pPr>
      <w:del w:id="4510" w:author="AbbVie1" w:date="2025-05-13T09:50:00Z">
        <w:r w:rsidRPr="001B4A02">
          <w:rPr>
            <w:lang w:val="cs-CZ"/>
          </w:rPr>
          <w:delText xml:space="preserve">Současné </w:delText>
        </w:r>
        <w:r w:rsidR="00D74EDA" w:rsidRPr="001B4A02">
          <w:rPr>
            <w:lang w:val="cs-CZ"/>
          </w:rPr>
          <w:delText>po</w:delText>
        </w:r>
        <w:r w:rsidRPr="001B4A02">
          <w:rPr>
            <w:lang w:val="cs-CZ"/>
          </w:rPr>
          <w:delText xml:space="preserve">užívání </w:delText>
        </w:r>
        <w:r w:rsidR="00751C86" w:rsidRPr="001B4A02">
          <w:rPr>
            <w:lang w:val="cs-CZ"/>
          </w:rPr>
          <w:delText>adalimumabu spolu s jinými biologickými DMARD (</w:delText>
        </w:r>
        <w:r w:rsidR="002B742C" w:rsidRPr="001B4A02">
          <w:rPr>
            <w:lang w:val="cs-CZ"/>
          </w:rPr>
          <w:delText xml:space="preserve">např. </w:delText>
        </w:r>
        <w:r w:rsidR="00751C86" w:rsidRPr="001B4A02">
          <w:rPr>
            <w:lang w:val="cs-CZ"/>
          </w:rPr>
          <w:delText>anakinra</w:delText>
        </w:r>
        <w:r w:rsidR="002378E0">
          <w:rPr>
            <w:lang w:val="cs-CZ"/>
          </w:rPr>
          <w:delText xml:space="preserve"> a </w:delText>
        </w:r>
        <w:r w:rsidR="00751C86" w:rsidRPr="001B4A02">
          <w:rPr>
            <w:lang w:val="cs-CZ"/>
          </w:rPr>
          <w:delText xml:space="preserve">abatacept) nebo jinými </w:delText>
        </w:r>
        <w:r w:rsidRPr="001B4A02">
          <w:rPr>
            <w:lang w:val="cs-CZ"/>
          </w:rPr>
          <w:delText>antagonist</w:delText>
        </w:r>
        <w:r w:rsidR="00751C86" w:rsidRPr="001B4A02">
          <w:rPr>
            <w:lang w:val="cs-CZ"/>
          </w:rPr>
          <w:delText>y</w:delText>
        </w:r>
        <w:r w:rsidRPr="001B4A02">
          <w:rPr>
            <w:lang w:val="cs-CZ"/>
          </w:rPr>
          <w:delText xml:space="preserve"> TNF se </w:delText>
        </w:r>
        <w:r w:rsidR="00C83DE9" w:rsidRPr="001B4A02">
          <w:rPr>
            <w:lang w:val="cs-CZ"/>
          </w:rPr>
          <w:delText xml:space="preserve">nedoporučuje na základě možného </w:delText>
        </w:r>
        <w:r w:rsidRPr="001B4A02">
          <w:rPr>
            <w:lang w:val="cs-CZ"/>
          </w:rPr>
          <w:delText>zvýšen</w:delText>
        </w:r>
        <w:r w:rsidR="00C83DE9" w:rsidRPr="001B4A02">
          <w:rPr>
            <w:lang w:val="cs-CZ"/>
          </w:rPr>
          <w:delText>í</w:delText>
        </w:r>
        <w:r w:rsidRPr="001B4A02">
          <w:rPr>
            <w:lang w:val="cs-CZ"/>
          </w:rPr>
          <w:delText xml:space="preserve"> rizik</w:delText>
        </w:r>
        <w:r w:rsidR="00C83DE9" w:rsidRPr="001B4A02">
          <w:rPr>
            <w:lang w:val="cs-CZ"/>
          </w:rPr>
          <w:delText>a</w:delText>
        </w:r>
        <w:r w:rsidRPr="001B4A02">
          <w:rPr>
            <w:lang w:val="cs-CZ"/>
          </w:rPr>
          <w:delText xml:space="preserve"> infekcí včetně závažných infekcí, </w:delText>
        </w:r>
        <w:r w:rsidR="00C83DE9" w:rsidRPr="001B4A02">
          <w:rPr>
            <w:lang w:val="cs-CZ"/>
          </w:rPr>
          <w:delText xml:space="preserve">ale i možných farmakologických interakcí </w:delText>
        </w:r>
        <w:r w:rsidRPr="001B4A02">
          <w:rPr>
            <w:lang w:val="cs-CZ"/>
          </w:rPr>
          <w:delText>(viz bod 4.5).</w:delText>
        </w:r>
      </w:del>
    </w:p>
    <w:p w14:paraId="598F9803" w14:textId="77777777" w:rsidR="00073F8F" w:rsidRPr="001B4A02" w:rsidRDefault="00073F8F" w:rsidP="00ED48A3">
      <w:pPr>
        <w:ind w:left="0" w:firstLine="0"/>
        <w:rPr>
          <w:del w:id="4511" w:author="AbbVie1" w:date="2025-05-13T09:50:00Z"/>
        </w:rPr>
      </w:pPr>
    </w:p>
    <w:p w14:paraId="74C78F1E" w14:textId="77777777" w:rsidR="00073F8F" w:rsidRPr="001B4A02" w:rsidRDefault="00000000" w:rsidP="00D279BC">
      <w:pPr>
        <w:keepNext/>
        <w:rPr>
          <w:del w:id="4512" w:author="AbbVie1" w:date="2025-05-13T09:50:00Z"/>
          <w:u w:val="single"/>
        </w:rPr>
      </w:pPr>
      <w:del w:id="4513" w:author="AbbVie1" w:date="2025-05-13T09:50:00Z">
        <w:r w:rsidRPr="001B4A02">
          <w:rPr>
            <w:u w:val="single"/>
          </w:rPr>
          <w:delText>Chirurgické výkony</w:delText>
        </w:r>
      </w:del>
    </w:p>
    <w:p w14:paraId="26CA5E8C" w14:textId="77777777" w:rsidR="00073F8F" w:rsidRPr="001B4A02" w:rsidRDefault="00073F8F" w:rsidP="00D279BC">
      <w:pPr>
        <w:keepNext/>
        <w:rPr>
          <w:del w:id="4514" w:author="AbbVie1" w:date="2025-05-13T09:50:00Z"/>
          <w:u w:val="single"/>
        </w:rPr>
      </w:pPr>
    </w:p>
    <w:p w14:paraId="3C99E306" w14:textId="77777777" w:rsidR="00073F8F" w:rsidRPr="001B4A02" w:rsidRDefault="00000000" w:rsidP="00ED48A3">
      <w:pPr>
        <w:ind w:left="0" w:firstLine="0"/>
        <w:rPr>
          <w:del w:id="4515" w:author="AbbVie1" w:date="2025-05-13T09:50:00Z"/>
        </w:rPr>
      </w:pPr>
      <w:del w:id="4516" w:author="AbbVie1" w:date="2025-05-13T09:50:00Z">
        <w:r w:rsidRPr="001B4A02">
          <w:delText>U pacientů léčených přípravkem Humira existují jen omezené zkušenosti týkající se bezpečnosti přípravku v souvislosti s chirurgickými výkony. Při plánování chirurgického výkonu je třeba vzít v úvahu dlouhý poločas adalimumabu. Pacient, u kterého je nutná operace během léčby přípravkem Humira, musí být pečlivě sledován z hlediska vzniku infekcí</w:delText>
        </w:r>
        <w:r w:rsidR="002378E0">
          <w:delText xml:space="preserve"> a </w:delText>
        </w:r>
        <w:r w:rsidRPr="001B4A02">
          <w:delText>musí být provedena příslušná opatření. U pacientů léčených přípravkem Humira, u kterých byla provedena arthroplastika, existují jen omezené zkušenosti týkající se bezpečnosti přípravku.</w:delText>
        </w:r>
      </w:del>
    </w:p>
    <w:p w14:paraId="76A71F90" w14:textId="77777777" w:rsidR="00073F8F" w:rsidRPr="001B4A02" w:rsidRDefault="00073F8F" w:rsidP="00ED48A3">
      <w:pPr>
        <w:ind w:left="0" w:firstLine="0"/>
        <w:rPr>
          <w:del w:id="4517" w:author="AbbVie1" w:date="2025-05-13T09:50:00Z"/>
        </w:rPr>
      </w:pPr>
    </w:p>
    <w:p w14:paraId="0472D4F9" w14:textId="77777777" w:rsidR="00073F8F" w:rsidRPr="001B4A02" w:rsidRDefault="00000000" w:rsidP="00603F6E">
      <w:pPr>
        <w:keepNext/>
        <w:ind w:left="0" w:firstLine="0"/>
        <w:rPr>
          <w:del w:id="4518" w:author="AbbVie1" w:date="2025-05-13T09:50:00Z"/>
          <w:u w:val="single"/>
        </w:rPr>
      </w:pPr>
      <w:del w:id="4519" w:author="AbbVie1" w:date="2025-05-13T09:50:00Z">
        <w:r w:rsidRPr="001B4A02">
          <w:rPr>
            <w:u w:val="single"/>
          </w:rPr>
          <w:delText>Obstrukce tenkého střeva</w:delText>
        </w:r>
      </w:del>
    </w:p>
    <w:p w14:paraId="4460F919" w14:textId="77777777" w:rsidR="00073F8F" w:rsidRPr="001B4A02" w:rsidRDefault="00073F8F" w:rsidP="00603F6E">
      <w:pPr>
        <w:keepNext/>
        <w:ind w:left="0" w:firstLine="0"/>
        <w:rPr>
          <w:del w:id="4520" w:author="AbbVie1" w:date="2025-05-13T09:50:00Z"/>
        </w:rPr>
      </w:pPr>
    </w:p>
    <w:p w14:paraId="5741071A" w14:textId="77777777" w:rsidR="00073F8F" w:rsidRPr="001B4A02" w:rsidRDefault="00000000" w:rsidP="00D279BC">
      <w:pPr>
        <w:ind w:left="0" w:firstLine="0"/>
        <w:rPr>
          <w:del w:id="4521" w:author="AbbVie1" w:date="2025-05-13T09:50:00Z"/>
        </w:rPr>
      </w:pPr>
      <w:del w:id="4522" w:author="AbbVie1" w:date="2025-05-13T09:50:00Z">
        <w:r w:rsidRPr="001B4A02">
          <w:delText>Selhání odpovědi na léčbu u</w:delText>
        </w:r>
        <w:r w:rsidR="00164B4F" w:rsidRPr="001B4A02">
          <w:delText> </w:delText>
        </w:r>
        <w:r w:rsidRPr="001B4A02">
          <w:delText>Crohnovy choroby může signalizovat výskyt fixované fibrotické striktury, která si může vyžádat chirurgickou léčbu. Dostupné údaje naznačují, že přípravek Humira nezhoršuje ani nezpůsobuje striktury.</w:delText>
        </w:r>
      </w:del>
    </w:p>
    <w:p w14:paraId="74BA542C" w14:textId="77777777" w:rsidR="00855C0E" w:rsidRPr="001B4A02" w:rsidRDefault="00855C0E" w:rsidP="00ED48A3">
      <w:pPr>
        <w:ind w:left="0" w:firstLine="0"/>
        <w:rPr>
          <w:del w:id="4523" w:author="AbbVie1" w:date="2025-05-13T09:50:00Z"/>
        </w:rPr>
      </w:pPr>
    </w:p>
    <w:p w14:paraId="2B3C131F" w14:textId="77777777" w:rsidR="00855C0E" w:rsidRPr="001B4A02" w:rsidRDefault="00000000" w:rsidP="00D279BC">
      <w:pPr>
        <w:keepNext/>
        <w:ind w:left="0" w:firstLine="0"/>
        <w:rPr>
          <w:del w:id="4524" w:author="AbbVie1" w:date="2025-05-13T09:50:00Z"/>
          <w:u w:val="single"/>
        </w:rPr>
      </w:pPr>
      <w:del w:id="4525" w:author="AbbVie1" w:date="2025-05-13T09:50:00Z">
        <w:r w:rsidRPr="001B4A02">
          <w:rPr>
            <w:u w:val="single"/>
          </w:rPr>
          <w:delText xml:space="preserve">Starší </w:delText>
        </w:r>
        <w:r w:rsidR="0089378D" w:rsidRPr="001B4A02">
          <w:rPr>
            <w:u w:val="single"/>
          </w:rPr>
          <w:delText>pacienti</w:delText>
        </w:r>
      </w:del>
    </w:p>
    <w:p w14:paraId="3AB65EE9" w14:textId="77777777" w:rsidR="00F942BA" w:rsidRPr="001B4A02" w:rsidRDefault="00F942BA" w:rsidP="00D279BC">
      <w:pPr>
        <w:keepNext/>
        <w:ind w:left="0" w:firstLine="0"/>
        <w:rPr>
          <w:del w:id="4526" w:author="AbbVie1" w:date="2025-05-13T09:50:00Z"/>
        </w:rPr>
      </w:pPr>
    </w:p>
    <w:p w14:paraId="0163D189" w14:textId="77777777" w:rsidR="00855C0E" w:rsidRPr="001B4A02" w:rsidRDefault="00000000" w:rsidP="00ED48A3">
      <w:pPr>
        <w:ind w:left="0" w:firstLine="0"/>
        <w:rPr>
          <w:del w:id="4527" w:author="AbbVie1" w:date="2025-05-13T09:50:00Z"/>
        </w:rPr>
      </w:pPr>
      <w:del w:id="4528" w:author="AbbVie1" w:date="2025-05-13T09:50:00Z">
        <w:r w:rsidRPr="001B4A02">
          <w:delText>Frekvence závažných infekcí u</w:delText>
        </w:r>
        <w:r w:rsidR="00164B4F" w:rsidRPr="001B4A02">
          <w:delText> </w:delText>
        </w:r>
        <w:r w:rsidRPr="001B4A02">
          <w:delText>pacientů ve věku nad 65 let (</w:delText>
        </w:r>
        <w:r w:rsidR="0085179A" w:rsidRPr="001B4A02">
          <w:delText>3,7</w:delText>
        </w:r>
        <w:r w:rsidR="006008CB">
          <w:delText> %</w:delText>
        </w:r>
        <w:r w:rsidRPr="001B4A02">
          <w:delText>), léčených přípravkem Humira, byla vyšší než u</w:delText>
        </w:r>
        <w:r w:rsidR="00164B4F" w:rsidRPr="001B4A02">
          <w:delText> </w:delText>
        </w:r>
        <w:r w:rsidRPr="001B4A02">
          <w:delText>pacientů ve věku do 65 let (</w:delText>
        </w:r>
        <w:r w:rsidR="0085179A" w:rsidRPr="001B4A02">
          <w:delText>1,5</w:delText>
        </w:r>
        <w:r w:rsidR="006008CB">
          <w:delText> %</w:delText>
        </w:r>
        <w:r w:rsidRPr="001B4A02">
          <w:delText>). Některé z těchto infekcí měly fatální zakončení. Při léčbě starších pacientů je zapotřebí věnovat obzvláštní pozornost riziku vzniku infekcí.</w:delText>
        </w:r>
      </w:del>
    </w:p>
    <w:p w14:paraId="6D6A33C8" w14:textId="77777777" w:rsidR="00073F8F" w:rsidRPr="001B4A02" w:rsidRDefault="00073F8F" w:rsidP="00ED48A3">
      <w:pPr>
        <w:ind w:left="0" w:firstLine="0"/>
        <w:rPr>
          <w:del w:id="4529" w:author="AbbVie1" w:date="2025-05-13T09:50:00Z"/>
        </w:rPr>
      </w:pPr>
    </w:p>
    <w:p w14:paraId="1E5176A5" w14:textId="77777777" w:rsidR="009441F7" w:rsidRPr="001B4A02" w:rsidRDefault="00000000" w:rsidP="00D279BC">
      <w:pPr>
        <w:keepNext/>
        <w:ind w:left="0" w:firstLine="0"/>
        <w:rPr>
          <w:del w:id="4530" w:author="AbbVie1" w:date="2025-05-13T09:50:00Z"/>
          <w:u w:val="single"/>
        </w:rPr>
      </w:pPr>
      <w:del w:id="4531" w:author="AbbVie1" w:date="2025-05-13T09:50:00Z">
        <w:r w:rsidRPr="001B4A02">
          <w:rPr>
            <w:u w:val="single"/>
          </w:rPr>
          <w:delText>Pediatrická populace</w:delText>
        </w:r>
      </w:del>
    </w:p>
    <w:p w14:paraId="3641680A" w14:textId="77777777" w:rsidR="009441F7" w:rsidRPr="001B4A02" w:rsidRDefault="009441F7" w:rsidP="00D279BC">
      <w:pPr>
        <w:keepNext/>
        <w:ind w:left="0" w:firstLine="0"/>
        <w:rPr>
          <w:del w:id="4532" w:author="AbbVie1" w:date="2025-05-13T09:50:00Z"/>
        </w:rPr>
      </w:pPr>
    </w:p>
    <w:p w14:paraId="06412825" w14:textId="77777777" w:rsidR="009441F7" w:rsidRPr="001B4A02" w:rsidRDefault="00000000" w:rsidP="00ED48A3">
      <w:pPr>
        <w:ind w:left="0" w:firstLine="0"/>
        <w:rPr>
          <w:del w:id="4533" w:author="AbbVie1" w:date="2025-05-13T09:50:00Z"/>
        </w:rPr>
      </w:pPr>
      <w:del w:id="4534" w:author="AbbVie1" w:date="2025-05-13T09:50:00Z">
        <w:r w:rsidRPr="001B4A02">
          <w:delText>Viz Očkování výše.</w:delText>
        </w:r>
      </w:del>
    </w:p>
    <w:p w14:paraId="0CADC51F" w14:textId="77777777" w:rsidR="002B1661" w:rsidRPr="001B4A02" w:rsidRDefault="002B1661" w:rsidP="00ED48A3">
      <w:pPr>
        <w:ind w:left="0" w:firstLine="0"/>
        <w:rPr>
          <w:del w:id="4535" w:author="AbbVie1" w:date="2025-05-13T09:50:00Z"/>
        </w:rPr>
      </w:pPr>
    </w:p>
    <w:p w14:paraId="016FFA27" w14:textId="77777777" w:rsidR="002B1661" w:rsidRPr="001B4A02" w:rsidRDefault="00000000" w:rsidP="00D279BC">
      <w:pPr>
        <w:keepNext/>
        <w:ind w:left="0" w:firstLine="0"/>
        <w:rPr>
          <w:del w:id="4536" w:author="AbbVie1" w:date="2025-05-13T09:50:00Z"/>
          <w:u w:val="single"/>
        </w:rPr>
      </w:pPr>
      <w:del w:id="4537" w:author="AbbVie1" w:date="2025-05-13T09:50:00Z">
        <w:r w:rsidRPr="001B4A02">
          <w:rPr>
            <w:u w:val="single"/>
          </w:rPr>
          <w:delText>Pomocné látky</w:delText>
        </w:r>
        <w:r w:rsidR="00C052DC" w:rsidRPr="001B4A02">
          <w:rPr>
            <w:u w:val="single"/>
          </w:rPr>
          <w:delText xml:space="preserve"> se známým účinkem</w:delText>
        </w:r>
      </w:del>
    </w:p>
    <w:p w14:paraId="3FDC4D03" w14:textId="77777777" w:rsidR="002B1661" w:rsidRPr="001B4A02" w:rsidRDefault="002B1661" w:rsidP="00D279BC">
      <w:pPr>
        <w:keepNext/>
        <w:ind w:left="0" w:firstLine="0"/>
        <w:rPr>
          <w:del w:id="4538" w:author="AbbVie1" w:date="2025-05-13T09:50:00Z"/>
        </w:rPr>
      </w:pPr>
    </w:p>
    <w:p w14:paraId="01833154" w14:textId="77777777" w:rsidR="002B1661" w:rsidRPr="001B4A02" w:rsidRDefault="00000000" w:rsidP="002B1661">
      <w:pPr>
        <w:ind w:left="0" w:firstLine="0"/>
        <w:rPr>
          <w:del w:id="4539" w:author="AbbVie1" w:date="2025-05-13T09:50:00Z"/>
        </w:rPr>
      </w:pPr>
      <w:del w:id="4540" w:author="AbbVie1" w:date="2025-05-13T09:50:00Z">
        <w:r w:rsidRPr="001B4A02">
          <w:delText xml:space="preserve">Tento léčivý přípravek obsahuje méně než 1 mmol sodíku (23 mg) na dávku 0,8 ml, </w:delText>
        </w:r>
        <w:r w:rsidR="00607A13" w:rsidRPr="001B4A02">
          <w:delText>tj. v</w:delText>
        </w:r>
        <w:r w:rsidR="00EF0AF7" w:rsidRPr="001B4A02">
          <w:delText> </w:delText>
        </w:r>
        <w:r w:rsidR="00607A13" w:rsidRPr="001B4A02">
          <w:delText>podstatě je</w:delText>
        </w:r>
        <w:r w:rsidRPr="001B4A02">
          <w:delText xml:space="preserve"> „bez sodíku“.</w:delText>
        </w:r>
      </w:del>
    </w:p>
    <w:p w14:paraId="21081C2A" w14:textId="77777777" w:rsidR="009441F7" w:rsidRPr="001B4A02" w:rsidRDefault="009441F7" w:rsidP="00ED48A3">
      <w:pPr>
        <w:ind w:left="0" w:firstLine="0"/>
        <w:rPr>
          <w:del w:id="4541" w:author="AbbVie1" w:date="2025-05-13T09:50:00Z"/>
        </w:rPr>
      </w:pPr>
    </w:p>
    <w:p w14:paraId="4F2D3706" w14:textId="77777777" w:rsidR="00073F8F" w:rsidRPr="001B4A02" w:rsidRDefault="00000000" w:rsidP="003E092A">
      <w:pPr>
        <w:keepNext/>
        <w:ind w:left="0" w:firstLine="0"/>
        <w:outlineLvl w:val="1"/>
        <w:rPr>
          <w:del w:id="4542" w:author="AbbVie1" w:date="2025-05-13T09:50:00Z"/>
          <w:b/>
        </w:rPr>
      </w:pPr>
      <w:del w:id="4543" w:author="AbbVie1" w:date="2025-05-13T09:50:00Z">
        <w:r>
          <w:rPr>
            <w:b/>
          </w:rPr>
          <w:delText>4.5</w:delText>
        </w:r>
        <w:r>
          <w:rPr>
            <w:b/>
          </w:rPr>
          <w:tab/>
        </w:r>
        <w:r w:rsidRPr="001B4A02">
          <w:rPr>
            <w:b/>
          </w:rPr>
          <w:delText>Interakce s jinými léčivými přípravky</w:delText>
        </w:r>
        <w:r w:rsidR="002378E0">
          <w:rPr>
            <w:b/>
          </w:rPr>
          <w:delText xml:space="preserve"> a </w:delText>
        </w:r>
        <w:r w:rsidRPr="001B4A02">
          <w:rPr>
            <w:b/>
          </w:rPr>
          <w:delText>jiné formy interakce</w:delText>
        </w:r>
      </w:del>
    </w:p>
    <w:p w14:paraId="14A4B644" w14:textId="77777777" w:rsidR="00073F8F" w:rsidRPr="00E501B6" w:rsidRDefault="00073F8F" w:rsidP="00ED48A3">
      <w:pPr>
        <w:keepNext/>
        <w:ind w:left="0" w:firstLine="0"/>
        <w:rPr>
          <w:del w:id="4544" w:author="AbbVie1" w:date="2025-05-13T09:50:00Z"/>
        </w:rPr>
      </w:pPr>
    </w:p>
    <w:p w14:paraId="0DF0F8AB" w14:textId="77777777" w:rsidR="00073F8F" w:rsidRPr="001B4A02" w:rsidRDefault="00000000" w:rsidP="00D279BC">
      <w:pPr>
        <w:ind w:left="0" w:firstLine="0"/>
        <w:rPr>
          <w:del w:id="4545" w:author="AbbVie1" w:date="2025-05-13T09:50:00Z"/>
        </w:rPr>
      </w:pPr>
      <w:del w:id="4546" w:author="AbbVie1" w:date="2025-05-13T09:50:00Z">
        <w:r w:rsidRPr="001B4A02">
          <w:delText>Přípravek Humira byl studován u</w:delText>
        </w:r>
        <w:r w:rsidR="00164B4F" w:rsidRPr="001B4A02">
          <w:delText> </w:delText>
        </w:r>
        <w:r w:rsidRPr="001B4A02">
          <w:delText>pacientů s revmatoidní artritidou polyartikulární juvenilní idiopatickou artritidou</w:delText>
        </w:r>
        <w:r w:rsidR="002378E0">
          <w:delText xml:space="preserve"> a </w:delText>
        </w:r>
        <w:r w:rsidRPr="001B4A02">
          <w:delText>psoriatickou artritidou, u</w:delText>
        </w:r>
        <w:r w:rsidR="00164B4F" w:rsidRPr="001B4A02">
          <w:delText> </w:delText>
        </w:r>
        <w:r w:rsidRPr="001B4A02">
          <w:delText>kterých byl podáván v monoterapii nebo v kombinaci s methotrexátem. Při podávání přípravku Humira v kombinaci s methotrexátem byla v porovnání s monoterapií tvorba protilátek nižší. Podávání přípravku Humira bez methotrexátu vedlo ke zvýšené tvorbě protilátek, zvýšené clearance</w:delText>
        </w:r>
        <w:r w:rsidR="002378E0">
          <w:delText xml:space="preserve"> a </w:delText>
        </w:r>
        <w:r w:rsidRPr="001B4A02">
          <w:delText>snížené účinnosti adalimumabu (viz bod 5.1).</w:delText>
        </w:r>
      </w:del>
    </w:p>
    <w:p w14:paraId="708060CE" w14:textId="77777777" w:rsidR="00073F8F" w:rsidRPr="001B4A02" w:rsidRDefault="00073F8F" w:rsidP="00ED48A3">
      <w:pPr>
        <w:ind w:left="0" w:firstLine="0"/>
        <w:rPr>
          <w:del w:id="4547" w:author="AbbVie1" w:date="2025-05-13T09:50:00Z"/>
        </w:rPr>
      </w:pPr>
    </w:p>
    <w:p w14:paraId="080EB0E1" w14:textId="77777777" w:rsidR="00073F8F" w:rsidRPr="001B4A02" w:rsidRDefault="00000000" w:rsidP="00ED48A3">
      <w:pPr>
        <w:ind w:left="0" w:firstLine="0"/>
        <w:rPr>
          <w:del w:id="4548" w:author="AbbVie1" w:date="2025-05-13T09:50:00Z"/>
        </w:rPr>
      </w:pPr>
      <w:del w:id="4549" w:author="AbbVie1" w:date="2025-05-13T09:50:00Z">
        <w:r w:rsidRPr="001B4A02">
          <w:delText>Kombinovat přípravek Humira s</w:delText>
        </w:r>
        <w:r w:rsidR="008506F3" w:rsidRPr="001B4A02">
          <w:delText> </w:delText>
        </w:r>
        <w:r w:rsidRPr="001B4A02">
          <w:delText xml:space="preserve">anakinrou se nedoporučuje (viz bod 4.4 „Současné podávání </w:delText>
        </w:r>
        <w:r w:rsidR="009441F7" w:rsidRPr="001B4A02">
          <w:delText xml:space="preserve">biologických </w:delText>
        </w:r>
        <w:r w:rsidR="005858A7" w:rsidRPr="001B4A02">
          <w:delText xml:space="preserve">DMARD </w:delText>
        </w:r>
        <w:r w:rsidR="009441F7" w:rsidRPr="001B4A02">
          <w:delText xml:space="preserve">nebo </w:delText>
        </w:r>
        <w:r w:rsidRPr="001B4A02">
          <w:delText>antagonistů TNF“).</w:delText>
        </w:r>
      </w:del>
    </w:p>
    <w:p w14:paraId="36A46CE6" w14:textId="77777777" w:rsidR="00073F8F" w:rsidRPr="001B4A02" w:rsidRDefault="00073F8F" w:rsidP="00ED48A3">
      <w:pPr>
        <w:pStyle w:val="EMEANormal"/>
        <w:tabs>
          <w:tab w:val="clear" w:pos="562"/>
        </w:tabs>
        <w:suppressAutoHyphens w:val="0"/>
        <w:rPr>
          <w:del w:id="4550" w:author="AbbVie1" w:date="2025-05-13T09:50:00Z"/>
          <w:lang w:val="cs-CZ"/>
        </w:rPr>
      </w:pPr>
    </w:p>
    <w:p w14:paraId="5CF28021" w14:textId="77777777" w:rsidR="00073F8F" w:rsidRPr="001B4A02" w:rsidRDefault="00000000" w:rsidP="00ED48A3">
      <w:pPr>
        <w:ind w:left="0" w:firstLine="0"/>
        <w:rPr>
          <w:del w:id="4551" w:author="AbbVie1" w:date="2025-05-13T09:50:00Z"/>
        </w:rPr>
      </w:pPr>
      <w:del w:id="4552" w:author="AbbVie1" w:date="2025-05-13T09:50:00Z">
        <w:r w:rsidRPr="001B4A02">
          <w:delText>Kombinovat přípravek Humira s</w:delText>
        </w:r>
        <w:r w:rsidR="008506F3" w:rsidRPr="001B4A02">
          <w:delText> </w:delText>
        </w:r>
        <w:r w:rsidRPr="001B4A02">
          <w:delText xml:space="preserve">abataceptem se nedoporučuje (viz bod 4.4 „Současné </w:delText>
        </w:r>
        <w:r w:rsidR="00E662F3" w:rsidRPr="001B4A02">
          <w:delText>podávání</w:delText>
        </w:r>
        <w:r w:rsidRPr="001B4A02">
          <w:delText xml:space="preserve"> </w:delText>
        </w:r>
        <w:r w:rsidR="009441F7" w:rsidRPr="001B4A02">
          <w:delText xml:space="preserve">biologických </w:delText>
        </w:r>
        <w:r w:rsidR="005858A7" w:rsidRPr="001B4A02">
          <w:delText xml:space="preserve">DMARD </w:delText>
        </w:r>
        <w:r w:rsidR="009441F7" w:rsidRPr="001B4A02">
          <w:delText xml:space="preserve">nebo </w:delText>
        </w:r>
        <w:r w:rsidRPr="001B4A02">
          <w:delText>antagonistů TNF“).</w:delText>
        </w:r>
      </w:del>
    </w:p>
    <w:p w14:paraId="5E2A6441" w14:textId="77777777" w:rsidR="00073F8F" w:rsidRPr="001B4A02" w:rsidRDefault="00073F8F" w:rsidP="00ED48A3">
      <w:pPr>
        <w:ind w:left="0" w:firstLine="0"/>
        <w:rPr>
          <w:del w:id="4553" w:author="AbbVie1" w:date="2025-05-13T09:50:00Z"/>
        </w:rPr>
      </w:pPr>
    </w:p>
    <w:p w14:paraId="1B54EB88" w14:textId="77777777" w:rsidR="00073F8F" w:rsidRPr="001B4A02" w:rsidRDefault="00000000" w:rsidP="003E092A">
      <w:pPr>
        <w:keepNext/>
        <w:outlineLvl w:val="1"/>
        <w:rPr>
          <w:del w:id="4554" w:author="AbbVie1" w:date="2025-05-13T09:50:00Z"/>
          <w:b/>
        </w:rPr>
      </w:pPr>
      <w:del w:id="4555" w:author="AbbVie1" w:date="2025-05-13T09:50:00Z">
        <w:r w:rsidRPr="001B4A02">
          <w:rPr>
            <w:b/>
          </w:rPr>
          <w:delText>4.6</w:delText>
        </w:r>
        <w:r w:rsidRPr="001B4A02">
          <w:rPr>
            <w:b/>
          </w:rPr>
          <w:tab/>
        </w:r>
        <w:r w:rsidR="009441F7" w:rsidRPr="001B4A02">
          <w:rPr>
            <w:b/>
          </w:rPr>
          <w:delText>Fertilita, t</w:delText>
        </w:r>
        <w:r w:rsidRPr="001B4A02">
          <w:rPr>
            <w:b/>
          </w:rPr>
          <w:delText>ěhotenství</w:delText>
        </w:r>
        <w:r w:rsidR="002378E0">
          <w:rPr>
            <w:b/>
          </w:rPr>
          <w:delText xml:space="preserve"> a </w:delText>
        </w:r>
        <w:r w:rsidRPr="001B4A02">
          <w:rPr>
            <w:b/>
          </w:rPr>
          <w:delText>kojení</w:delText>
        </w:r>
      </w:del>
    </w:p>
    <w:p w14:paraId="23DC72AF" w14:textId="77777777" w:rsidR="00073F8F" w:rsidRPr="001B4A02" w:rsidRDefault="00073F8F" w:rsidP="00D279BC">
      <w:pPr>
        <w:keepNext/>
        <w:ind w:left="0" w:firstLine="0"/>
        <w:rPr>
          <w:del w:id="4556" w:author="AbbVie1" w:date="2025-05-13T09:50:00Z"/>
        </w:rPr>
      </w:pPr>
    </w:p>
    <w:p w14:paraId="5B2878D7" w14:textId="77777777" w:rsidR="00F942BA" w:rsidRPr="001B4A02" w:rsidRDefault="00000000" w:rsidP="00D279BC">
      <w:pPr>
        <w:keepNext/>
        <w:ind w:left="0" w:firstLine="0"/>
        <w:rPr>
          <w:del w:id="4557" w:author="AbbVie1" w:date="2025-05-13T09:50:00Z"/>
          <w:u w:val="single"/>
        </w:rPr>
      </w:pPr>
      <w:del w:id="4558" w:author="AbbVie1" w:date="2025-05-13T09:50:00Z">
        <w:r w:rsidRPr="001B4A02">
          <w:rPr>
            <w:u w:val="single"/>
          </w:rPr>
          <w:delText>Ženy ve fertilním věku</w:delText>
        </w:r>
      </w:del>
    </w:p>
    <w:p w14:paraId="3AB0C512" w14:textId="77777777" w:rsidR="00F942BA" w:rsidRPr="001B4A02" w:rsidRDefault="00F942BA" w:rsidP="00D279BC">
      <w:pPr>
        <w:keepNext/>
        <w:ind w:left="0" w:firstLine="0"/>
        <w:rPr>
          <w:del w:id="4559" w:author="AbbVie1" w:date="2025-05-13T09:50:00Z"/>
        </w:rPr>
      </w:pPr>
    </w:p>
    <w:p w14:paraId="2A850BC6" w14:textId="77777777" w:rsidR="00F942BA" w:rsidRPr="001B4A02" w:rsidRDefault="00000000" w:rsidP="00ED48A3">
      <w:pPr>
        <w:ind w:left="0" w:firstLine="0"/>
        <w:rPr>
          <w:del w:id="4560" w:author="AbbVie1" w:date="2025-05-13T09:50:00Z"/>
        </w:rPr>
      </w:pPr>
      <w:del w:id="4561" w:author="AbbVie1" w:date="2025-05-13T09:50:00Z">
        <w:r>
          <w:delText>Ženy</w:delText>
        </w:r>
        <w:r w:rsidRPr="001B4A02">
          <w:delText xml:space="preserve"> ve fertilním věku </w:delText>
        </w:r>
        <w:r>
          <w:delText>mají zvážit použití vhodné antikoncepce k prevenci těhotenství</w:delText>
        </w:r>
        <w:r w:rsidR="002378E0">
          <w:delText xml:space="preserve"> a </w:delText>
        </w:r>
        <w:r>
          <w:delText>pokračovat v jejím užívání</w:delText>
        </w:r>
        <w:r w:rsidRPr="001B4A02">
          <w:delText xml:space="preserve"> po dobu nejméně pěti měsíců po posledním podání přípravku Humira.</w:delText>
        </w:r>
      </w:del>
    </w:p>
    <w:p w14:paraId="4D21624D" w14:textId="77777777" w:rsidR="00F942BA" w:rsidRPr="001B4A02" w:rsidRDefault="00F942BA" w:rsidP="00ED48A3">
      <w:pPr>
        <w:ind w:left="0" w:firstLine="0"/>
        <w:rPr>
          <w:del w:id="4562" w:author="AbbVie1" w:date="2025-05-13T09:50:00Z"/>
          <w:u w:val="single"/>
        </w:rPr>
      </w:pPr>
    </w:p>
    <w:p w14:paraId="14C506BB" w14:textId="77777777" w:rsidR="009E6400" w:rsidRPr="001B4A02" w:rsidRDefault="00000000" w:rsidP="00D279BC">
      <w:pPr>
        <w:keepNext/>
        <w:ind w:left="0" w:firstLine="0"/>
        <w:rPr>
          <w:del w:id="4563" w:author="AbbVie1" w:date="2025-05-13T09:50:00Z"/>
          <w:u w:val="single"/>
        </w:rPr>
      </w:pPr>
      <w:del w:id="4564" w:author="AbbVie1" w:date="2025-05-13T09:50:00Z">
        <w:r w:rsidRPr="001B4A02">
          <w:rPr>
            <w:u w:val="single"/>
          </w:rPr>
          <w:delText>Těhotenství</w:delText>
        </w:r>
      </w:del>
    </w:p>
    <w:p w14:paraId="659FF6D8" w14:textId="77777777" w:rsidR="008717C9" w:rsidRPr="001B4A02" w:rsidRDefault="008717C9" w:rsidP="00D279BC">
      <w:pPr>
        <w:keepNext/>
        <w:ind w:left="0" w:firstLine="0"/>
        <w:rPr>
          <w:del w:id="4565" w:author="AbbVie1" w:date="2025-05-13T09:50:00Z"/>
        </w:rPr>
      </w:pPr>
    </w:p>
    <w:p w14:paraId="44CD9E2D" w14:textId="77777777" w:rsidR="00CB04A0" w:rsidRDefault="00000000" w:rsidP="00CB04A0">
      <w:pPr>
        <w:ind w:left="0" w:firstLine="0"/>
        <w:rPr>
          <w:del w:id="4566" w:author="AbbVie1" w:date="2025-05-13T09:50:00Z"/>
        </w:rPr>
      </w:pPr>
      <w:del w:id="4567" w:author="AbbVie1" w:date="2025-05-13T09:50:00Z">
        <w:r w:rsidRPr="0051408F">
          <w:delText>Z</w:delText>
        </w:r>
        <w:r>
          <w:delText> </w:delText>
        </w:r>
        <w:r w:rsidRPr="0051408F">
          <w:delText>velkého počtu přibližně 2</w:delText>
        </w:r>
        <w:r>
          <w:delText> </w:delText>
        </w:r>
        <w:r w:rsidRPr="0051408F">
          <w:delText xml:space="preserve">100 do konce gravidity prospektivně sledovaných těhotenství </w:delText>
        </w:r>
        <w:r w:rsidR="00D43B94" w:rsidRPr="0051408F">
          <w:delText>vedoucích k</w:delText>
        </w:r>
        <w:r w:rsidR="00D43B94">
          <w:delText> </w:delText>
        </w:r>
        <w:r w:rsidR="00D43B94" w:rsidRPr="0051408F">
          <w:delText xml:space="preserve">porodům </w:delText>
        </w:r>
        <w:r w:rsidR="00D43B94">
          <w:delText xml:space="preserve">živých </w:delText>
        </w:r>
        <w:r w:rsidR="00D43B94" w:rsidRPr="0051408F">
          <w:delText xml:space="preserve">dětí </w:delText>
        </w:r>
        <w:r w:rsidRPr="0051408F">
          <w:delText>u</w:delText>
        </w:r>
        <w:r>
          <w:delText> </w:delText>
        </w:r>
        <w:r w:rsidRPr="0051408F">
          <w:delText>žen léčených adalimumabem</w:delText>
        </w:r>
        <w:r w:rsidR="00D43B94">
          <w:delText>,</w:delText>
        </w:r>
        <w:r w:rsidRPr="0051408F">
          <w:delText xml:space="preserve"> z</w:delText>
        </w:r>
        <w:r>
          <w:delText> </w:delText>
        </w:r>
        <w:r w:rsidRPr="0051408F">
          <w:delText>nichž více než 1</w:delText>
        </w:r>
        <w:r>
          <w:delText> </w:delText>
        </w:r>
        <w:r w:rsidRPr="0051408F">
          <w:delText>500</w:delText>
        </w:r>
        <w:r>
          <w:delText xml:space="preserve"> bylo</w:delText>
        </w:r>
        <w:r w:rsidRPr="0051408F">
          <w:delText xml:space="preserve"> léčen</w:delText>
        </w:r>
        <w:r>
          <w:delText>o</w:delText>
        </w:r>
        <w:r w:rsidRPr="0051408F">
          <w:delText xml:space="preserve"> adalimumabem v</w:delText>
        </w:r>
        <w:r>
          <w:delText> </w:delText>
        </w:r>
        <w:r w:rsidRPr="0051408F">
          <w:delText>1. trimestru, nevyplývá zvýšené riziko vrozených malformací u</w:delText>
        </w:r>
        <w:r>
          <w:delText> </w:delText>
        </w:r>
        <w:r w:rsidRPr="0051408F">
          <w:delText>novorozence.</w:delText>
        </w:r>
      </w:del>
    </w:p>
    <w:p w14:paraId="1F39F8CB" w14:textId="77777777" w:rsidR="00CB04A0" w:rsidRDefault="00CB04A0" w:rsidP="00CB04A0">
      <w:pPr>
        <w:ind w:left="0" w:firstLine="0"/>
        <w:rPr>
          <w:del w:id="4568" w:author="AbbVie1" w:date="2025-05-13T09:50:00Z"/>
        </w:rPr>
      </w:pPr>
    </w:p>
    <w:p w14:paraId="0E0A526D" w14:textId="77777777" w:rsidR="00CB04A0" w:rsidRDefault="00000000" w:rsidP="00CB04A0">
      <w:pPr>
        <w:ind w:left="0" w:firstLine="0"/>
        <w:rPr>
          <w:del w:id="4569" w:author="AbbVie1" w:date="2025-05-13T09:50:00Z"/>
        </w:rPr>
      </w:pPr>
      <w:del w:id="4570" w:author="AbbVie1" w:date="2025-05-13T09:50:00Z">
        <w:r>
          <w:delText>Do</w:delText>
        </w:r>
        <w:r w:rsidRPr="004A21D8">
          <w:delText xml:space="preserve"> prospektivní</w:delText>
        </w:r>
        <w:r>
          <w:delText>ho</w:delText>
        </w:r>
        <w:r w:rsidRPr="004A21D8">
          <w:delText xml:space="preserve"> kohortové</w:delText>
        </w:r>
        <w:r>
          <w:delText>ho</w:delText>
        </w:r>
        <w:r w:rsidRPr="004A21D8">
          <w:delText xml:space="preserve"> registru bylo zařazeno 257 žen s</w:delText>
        </w:r>
        <w:r>
          <w:delText> </w:delText>
        </w:r>
        <w:r w:rsidRPr="004A21D8">
          <w:delText>revmatoidní artritidou (RA) nebo Crohnovou chorobou (CD) léčených adalimumabem alespoň během prvního trimestru</w:delText>
        </w:r>
        <w:r w:rsidR="002378E0">
          <w:delText xml:space="preserve"> a </w:delText>
        </w:r>
        <w:r w:rsidRPr="004A21D8">
          <w:delText>120 žen s</w:delText>
        </w:r>
        <w:r>
          <w:delText> </w:delText>
        </w:r>
        <w:r w:rsidRPr="004A21D8">
          <w:delText>RA nebo CD neléčený</w:delText>
        </w:r>
        <w:r>
          <w:delText>ch</w:delText>
        </w:r>
        <w:r w:rsidRPr="004A21D8">
          <w:delText xml:space="preserve"> adalimumabem. Primárním </w:delText>
        </w:r>
        <w:r w:rsidR="00F76D5E">
          <w:delText>cílovým parametrem</w:delText>
        </w:r>
        <w:r w:rsidRPr="004A21D8">
          <w:delText xml:space="preserve"> byl</w:delText>
        </w:r>
        <w:r>
          <w:delText>a prevalence vrozených</w:delText>
        </w:r>
        <w:r w:rsidRPr="004A21D8">
          <w:delText xml:space="preserve"> vad.</w:delText>
        </w:r>
        <w:r>
          <w:delText xml:space="preserve"> </w:delText>
        </w:r>
        <w:r w:rsidRPr="005F4842">
          <w:delText xml:space="preserve">Míra těhotenství ukončená alespoň jedním </w:delText>
        </w:r>
        <w:r>
          <w:delText>porodem živého dítěte</w:delText>
        </w:r>
        <w:r w:rsidRPr="005F4842">
          <w:delText xml:space="preserve"> s</w:delText>
        </w:r>
        <w:r>
          <w:delText> </w:delText>
        </w:r>
        <w:r w:rsidRPr="005F4842">
          <w:delText>významnou vrozenou vadou byla 6/69 (8,7</w:delText>
        </w:r>
        <w:r w:rsidR="006008CB">
          <w:delText> %</w:delText>
        </w:r>
        <w:r w:rsidRPr="005F4842">
          <w:delText>) u</w:delText>
        </w:r>
        <w:r>
          <w:delText> </w:delText>
        </w:r>
        <w:r w:rsidRPr="005F4842">
          <w:delText>žen léčených adalimumabem s</w:delText>
        </w:r>
        <w:r>
          <w:delText> </w:delText>
        </w:r>
        <w:r w:rsidRPr="005F4842">
          <w:delText>RA</w:delText>
        </w:r>
        <w:r w:rsidR="002378E0">
          <w:delText xml:space="preserve"> a </w:delText>
        </w:r>
        <w:r w:rsidRPr="005F4842">
          <w:delText>5/74 (6,8</w:delText>
        </w:r>
        <w:r w:rsidR="006008CB">
          <w:delText> %</w:delText>
        </w:r>
        <w:r w:rsidRPr="005F4842">
          <w:delText>) u</w:delText>
        </w:r>
        <w:r>
          <w:delText> </w:delText>
        </w:r>
        <w:r w:rsidRPr="005F4842">
          <w:delText>neléčených žen s</w:delText>
        </w:r>
        <w:r>
          <w:delText> </w:delText>
        </w:r>
        <w:r w:rsidRPr="005F4842">
          <w:delText>RA (neupravená OR 1,31, 95% CI 0,38</w:delText>
        </w:r>
        <w:r>
          <w:delText>–</w:delText>
        </w:r>
        <w:r w:rsidRPr="005F4842">
          <w:delText>4,52)</w:delText>
        </w:r>
        <w:r w:rsidR="002378E0">
          <w:delText xml:space="preserve"> a </w:delText>
        </w:r>
        <w:r w:rsidRPr="005F4842">
          <w:delText>16/152 (10,5</w:delText>
        </w:r>
        <w:r w:rsidR="006008CB">
          <w:delText> %</w:delText>
        </w:r>
        <w:r w:rsidRPr="005F4842">
          <w:delText>) u</w:delText>
        </w:r>
        <w:r>
          <w:delText> </w:delText>
        </w:r>
        <w:r w:rsidRPr="005F4842">
          <w:delText>žen léčených adalimumabem s</w:delText>
        </w:r>
        <w:r>
          <w:delText> </w:delText>
        </w:r>
        <w:r w:rsidRPr="005F4842">
          <w:delText>CD</w:delText>
        </w:r>
        <w:r w:rsidR="002378E0">
          <w:delText xml:space="preserve"> a </w:delText>
        </w:r>
        <w:r w:rsidRPr="005F4842">
          <w:delText>3/32 (9,4</w:delText>
        </w:r>
        <w:r w:rsidR="006008CB">
          <w:delText> %</w:delText>
        </w:r>
        <w:r w:rsidRPr="005F4842">
          <w:delText>) u</w:delText>
        </w:r>
        <w:r>
          <w:delText> </w:delText>
        </w:r>
        <w:r w:rsidRPr="005F4842">
          <w:delText>neléčených žen s</w:delText>
        </w:r>
        <w:r>
          <w:delText> </w:delText>
        </w:r>
        <w:r w:rsidRPr="005F4842">
          <w:delText>CD (neupraven</w:delText>
        </w:r>
        <w:r>
          <w:delText>á OR 1,14, 95% CI 0,31–4,16). U</w:delText>
        </w:r>
        <w:r w:rsidRPr="005F4842">
          <w:delText>praven</w:delText>
        </w:r>
        <w:r>
          <w:delText>á</w:delText>
        </w:r>
        <w:r w:rsidRPr="005F4842">
          <w:delText xml:space="preserve"> OR (vypočten</w:delText>
        </w:r>
        <w:r>
          <w:delText>á</w:delText>
        </w:r>
        <w:r w:rsidRPr="005F4842">
          <w:delText xml:space="preserve"> pro rozdíly při výchozím stavu) byl</w:delText>
        </w:r>
        <w:r>
          <w:delText>a</w:delText>
        </w:r>
        <w:r w:rsidRPr="005F4842">
          <w:delText xml:space="preserve"> 1,10 (95% CI 0,45</w:delText>
        </w:r>
        <w:r>
          <w:delText>–</w:delText>
        </w:r>
        <w:r w:rsidRPr="005F4842">
          <w:delText>2,73) s</w:delText>
        </w:r>
        <w:r>
          <w:delText> </w:delText>
        </w:r>
        <w:r w:rsidRPr="005F4842">
          <w:delText>kombinací RA</w:delText>
        </w:r>
        <w:r w:rsidR="002378E0">
          <w:delText xml:space="preserve"> a </w:delText>
        </w:r>
        <w:r w:rsidRPr="005F4842">
          <w:delText>CD. Mezi sekundárním</w:delText>
        </w:r>
        <w:r>
          <w:delText>i</w:delText>
        </w:r>
        <w:r w:rsidRPr="005F4842">
          <w:delText xml:space="preserve"> </w:delText>
        </w:r>
        <w:r w:rsidR="00F76D5E">
          <w:delText>cílovými parametry</w:delText>
        </w:r>
        <w:r>
          <w:delText xml:space="preserve"> (spontánní potraty, menší vrozené vady, předčasný porod, porod s vážnými nebo oportunními infekcemi)</w:delText>
        </w:r>
        <w:r w:rsidRPr="005F4842">
          <w:delText xml:space="preserve"> nebyly </w:delText>
        </w:r>
        <w:r>
          <w:delText xml:space="preserve">hlášeny </w:delText>
        </w:r>
        <w:r w:rsidRPr="005F4842">
          <w:delText xml:space="preserve">žádné </w:delText>
        </w:r>
        <w:r>
          <w:delText>výrazné</w:delText>
        </w:r>
        <w:r w:rsidRPr="005F4842">
          <w:delText xml:space="preserve"> rozdíly mezi ženami léčenými adalimumabem</w:delText>
        </w:r>
        <w:r w:rsidR="002378E0">
          <w:delText xml:space="preserve"> a </w:delText>
        </w:r>
        <w:r>
          <w:delText>neléčenými ženami,</w:delText>
        </w:r>
        <w:r w:rsidR="002378E0">
          <w:delText xml:space="preserve"> a </w:delText>
        </w:r>
        <w:r>
          <w:delText>zároveň</w:delText>
        </w:r>
        <w:r w:rsidRPr="005F4842">
          <w:delText xml:space="preserve"> nebyly hlášeny žádné porody mrtvého plodu nebo maligní stavy. Interpretace údajů může být ovlivněna metodologickými</w:delText>
        </w:r>
        <w:r>
          <w:delText xml:space="preserve"> limity </w:delText>
        </w:r>
        <w:r w:rsidRPr="005F4842">
          <w:delText xml:space="preserve">studie, včetně malé velikosti </w:delText>
        </w:r>
        <w:r>
          <w:delText>sledovaného soubor</w:delText>
        </w:r>
        <w:r w:rsidRPr="005F4842">
          <w:delText>u</w:delText>
        </w:r>
        <w:r>
          <w:delText xml:space="preserve"> pacientek</w:delText>
        </w:r>
        <w:r w:rsidR="002378E0">
          <w:delText xml:space="preserve"> a </w:delText>
        </w:r>
        <w:r w:rsidRPr="005F4842">
          <w:delText xml:space="preserve">nerandomizovaného </w:delText>
        </w:r>
        <w:r>
          <w:delText>designu studie</w:delText>
        </w:r>
        <w:r w:rsidRPr="005F4842">
          <w:delText>.</w:delText>
        </w:r>
      </w:del>
    </w:p>
    <w:p w14:paraId="3D08C86F" w14:textId="77777777" w:rsidR="00073F8F" w:rsidRPr="001B4A02" w:rsidRDefault="00073F8F" w:rsidP="00ED48A3">
      <w:pPr>
        <w:ind w:left="0" w:firstLine="0"/>
        <w:rPr>
          <w:del w:id="4571" w:author="AbbVie1" w:date="2025-05-13T09:50:00Z"/>
        </w:rPr>
      </w:pPr>
    </w:p>
    <w:p w14:paraId="14FE23F1" w14:textId="77777777" w:rsidR="00073F8F" w:rsidRPr="001B4A02" w:rsidRDefault="00000000" w:rsidP="00ED48A3">
      <w:pPr>
        <w:ind w:left="0" w:firstLine="0"/>
        <w:rPr>
          <w:del w:id="4572" w:author="AbbVie1" w:date="2025-05-13T09:50:00Z"/>
        </w:rPr>
      </w:pPr>
      <w:del w:id="4573" w:author="AbbVie1" w:date="2025-05-13T09:50:00Z">
        <w:r w:rsidRPr="001B4A02">
          <w:delText>Ve vývojové toxikologické studii prováděné na opicích nebyly zjištěny známky toxicity u matek, embryotoxicity či teratogenity. Preklinická data o účinku adalimumabu na postnatální toxicitu nejsou k dispozici (viz bod 5.3).</w:delText>
        </w:r>
      </w:del>
    </w:p>
    <w:p w14:paraId="74B59151" w14:textId="77777777" w:rsidR="00073F8F" w:rsidRPr="001B4A02" w:rsidRDefault="00073F8F" w:rsidP="00ED48A3">
      <w:pPr>
        <w:ind w:left="0" w:firstLine="0"/>
        <w:rPr>
          <w:del w:id="4574" w:author="AbbVie1" w:date="2025-05-13T09:50:00Z"/>
        </w:rPr>
      </w:pPr>
    </w:p>
    <w:p w14:paraId="7494B62D" w14:textId="77777777" w:rsidR="00BA3861" w:rsidRDefault="00000000" w:rsidP="00BA3861">
      <w:pPr>
        <w:ind w:left="0" w:firstLine="0"/>
        <w:rPr>
          <w:del w:id="4575" w:author="AbbVie1" w:date="2025-05-13T09:50:00Z"/>
        </w:rPr>
      </w:pPr>
      <w:del w:id="4576" w:author="AbbVie1" w:date="2025-05-13T09:50:00Z">
        <w:r w:rsidRPr="001B4A02">
          <w:delText xml:space="preserve">Adalimumab podávaný v těhotenství může vzhledem k inhibici TNFα ovlivnit normální imunologickou odpověď u novorozenců. </w:delText>
        </w:r>
      </w:del>
    </w:p>
    <w:p w14:paraId="081DCFF7" w14:textId="77777777" w:rsidR="00BA3861" w:rsidRPr="001B4A02" w:rsidRDefault="00000000" w:rsidP="00BA3861">
      <w:pPr>
        <w:ind w:left="0" w:firstLine="0"/>
        <w:rPr>
          <w:del w:id="4577" w:author="AbbVie1" w:date="2025-05-13T09:50:00Z"/>
        </w:rPr>
      </w:pPr>
      <w:del w:id="4578" w:author="AbbVie1" w:date="2025-05-13T09:50:00Z">
        <w:r>
          <w:delText>Adalimumab má být užíván během těhotenství pou</w:delText>
        </w:r>
        <w:r w:rsidR="00965320">
          <w:delText xml:space="preserve">ze tehdy, pokud je to nezbytně </w:delText>
        </w:r>
        <w:r>
          <w:delText>nutné.</w:delText>
        </w:r>
      </w:del>
    </w:p>
    <w:p w14:paraId="7ABFF4B1" w14:textId="77777777" w:rsidR="00073F8F" w:rsidRPr="001B4A02" w:rsidRDefault="00073F8F" w:rsidP="00ED48A3">
      <w:pPr>
        <w:ind w:left="0" w:firstLine="0"/>
        <w:rPr>
          <w:del w:id="4579" w:author="AbbVie1" w:date="2025-05-13T09:50:00Z"/>
        </w:rPr>
      </w:pPr>
    </w:p>
    <w:p w14:paraId="311B32D2" w14:textId="77777777" w:rsidR="00BA3861" w:rsidRDefault="00BA3861" w:rsidP="00ED48A3">
      <w:pPr>
        <w:ind w:left="0" w:firstLine="0"/>
        <w:rPr>
          <w:del w:id="4580" w:author="AbbVie1" w:date="2025-05-13T09:50:00Z"/>
        </w:rPr>
      </w:pPr>
    </w:p>
    <w:p w14:paraId="7B797A54" w14:textId="77777777" w:rsidR="009E6400" w:rsidRPr="001B4A02" w:rsidRDefault="00000000" w:rsidP="00ED48A3">
      <w:pPr>
        <w:ind w:left="0" w:firstLine="0"/>
        <w:rPr>
          <w:del w:id="4581" w:author="AbbVie1" w:date="2025-05-13T09:50:00Z"/>
        </w:rPr>
      </w:pPr>
      <w:del w:id="4582" w:author="AbbVie1" w:date="2025-05-13T09:50:00Z">
        <w:r w:rsidRPr="001B4A02">
          <w:delText>Adalimumab může přecházet přes placentu do séra dětí narozeným matkám, které byly v těhotenství adalimumabem léčeny. V důsledku toho mohou být tyto děti náchylnější k infekcím. Podávání živých vakcín</w:delText>
        </w:r>
        <w:r w:rsidR="00BA3861">
          <w:delText xml:space="preserve"> (např. BCG vakcín)</w:delText>
        </w:r>
        <w:r w:rsidRPr="001B4A02">
          <w:delText xml:space="preserve"> dětem, které byly in utero adalimumabu vystaveny, se nedoporučuje po dobu 5 měsíců po poslední injekci adalimumabu, kterou matka</w:delText>
        </w:r>
        <w:r w:rsidR="00AC7C92" w:rsidRPr="001B4A02">
          <w:delText xml:space="preserve"> v průběhu těhotenství dostala.</w:delText>
        </w:r>
      </w:del>
    </w:p>
    <w:p w14:paraId="7E56D2C3" w14:textId="77777777" w:rsidR="009E6400" w:rsidRPr="001B4A02" w:rsidRDefault="009E6400" w:rsidP="00ED48A3">
      <w:pPr>
        <w:ind w:left="0" w:firstLine="0"/>
        <w:rPr>
          <w:del w:id="4583" w:author="AbbVie1" w:date="2025-05-13T09:50:00Z"/>
        </w:rPr>
      </w:pPr>
    </w:p>
    <w:p w14:paraId="63E0728E" w14:textId="77777777" w:rsidR="009E6400" w:rsidRPr="001B4A02" w:rsidRDefault="00000000" w:rsidP="00D279BC">
      <w:pPr>
        <w:keepNext/>
        <w:ind w:left="0" w:firstLine="0"/>
        <w:rPr>
          <w:del w:id="4584" w:author="AbbVie1" w:date="2025-05-13T09:50:00Z"/>
          <w:u w:val="single"/>
        </w:rPr>
      </w:pPr>
      <w:del w:id="4585" w:author="AbbVie1" w:date="2025-05-13T09:50:00Z">
        <w:r w:rsidRPr="001B4A02">
          <w:rPr>
            <w:u w:val="single"/>
          </w:rPr>
          <w:delText>Kojení</w:delText>
        </w:r>
      </w:del>
    </w:p>
    <w:p w14:paraId="3497AB32" w14:textId="77777777" w:rsidR="008717C9" w:rsidRPr="001B4A02" w:rsidRDefault="008717C9" w:rsidP="00D279BC">
      <w:pPr>
        <w:keepNext/>
        <w:ind w:left="0" w:firstLine="0"/>
        <w:rPr>
          <w:del w:id="4586" w:author="AbbVie1" w:date="2025-05-13T09:50:00Z"/>
        </w:rPr>
      </w:pPr>
    </w:p>
    <w:p w14:paraId="398F6F70" w14:textId="77777777" w:rsidR="004F3DCB" w:rsidRDefault="00000000" w:rsidP="004F3DCB">
      <w:pPr>
        <w:ind w:left="0" w:firstLine="0"/>
        <w:rPr>
          <w:del w:id="4587" w:author="AbbVie1" w:date="2025-05-13T09:50:00Z"/>
        </w:rPr>
      </w:pPr>
      <w:del w:id="4588" w:author="AbbVie1" w:date="2025-05-13T09:50:00Z">
        <w:r>
          <w:delText>Z omezených (limitovaných) informací v publikované literatuře vyplývá, že adalimumab je vylučován do mateřského mléka ve velmi nízkých koncentracích s přítomností adalimumabu v mateřském mléce v koncentracích od 0,1</w:delText>
        </w:r>
        <w:r w:rsidR="006008CB">
          <w:delText> %</w:delText>
        </w:r>
        <w:r>
          <w:delText xml:space="preserve"> do 1</w:delText>
        </w:r>
        <w:r w:rsidR="006008CB">
          <w:delText> %</w:delText>
        </w:r>
        <w:r>
          <w:delText xml:space="preserve"> sérové hladiny matky. Při perorálním podávání proteinů imunoglobulinu G probíhá jejich proteolýza ve střevech</w:delText>
        </w:r>
        <w:r w:rsidR="002378E0">
          <w:delText xml:space="preserve"> a </w:delText>
        </w:r>
        <w:r>
          <w:delText>jejich biologická dostupnost je nízká. Nepředpokládá se žádný vliv na kojené novorozence/</w:delText>
        </w:r>
        <w:r w:rsidR="00D43B94">
          <w:delText>kojence</w:delText>
        </w:r>
        <w:r>
          <w:delText>. Proto lze přípravek Humira podávat během kojení.</w:delText>
        </w:r>
      </w:del>
    </w:p>
    <w:p w14:paraId="4EB2E019" w14:textId="77777777" w:rsidR="009441F7" w:rsidRPr="001B4A02" w:rsidRDefault="009441F7" w:rsidP="00ED48A3">
      <w:pPr>
        <w:ind w:left="0" w:firstLine="0"/>
        <w:rPr>
          <w:del w:id="4589" w:author="AbbVie1" w:date="2025-05-13T09:50:00Z"/>
        </w:rPr>
      </w:pPr>
    </w:p>
    <w:p w14:paraId="3F4BF2B4" w14:textId="77777777" w:rsidR="009441F7" w:rsidRPr="001B4A02" w:rsidRDefault="00000000" w:rsidP="00D279BC">
      <w:pPr>
        <w:keepNext/>
        <w:ind w:left="0" w:firstLine="0"/>
        <w:rPr>
          <w:del w:id="4590" w:author="AbbVie1" w:date="2025-05-13T09:50:00Z"/>
          <w:u w:val="single"/>
        </w:rPr>
      </w:pPr>
      <w:del w:id="4591" w:author="AbbVie1" w:date="2025-05-13T09:50:00Z">
        <w:r w:rsidRPr="001B4A02">
          <w:rPr>
            <w:u w:val="single"/>
          </w:rPr>
          <w:delText>Fertilita</w:delText>
        </w:r>
      </w:del>
    </w:p>
    <w:p w14:paraId="5FAAB223" w14:textId="77777777" w:rsidR="008717C9" w:rsidRPr="001B4A02" w:rsidRDefault="008717C9" w:rsidP="00D279BC">
      <w:pPr>
        <w:keepNext/>
        <w:ind w:left="0" w:firstLine="0"/>
        <w:rPr>
          <w:del w:id="4592" w:author="AbbVie1" w:date="2025-05-13T09:50:00Z"/>
        </w:rPr>
      </w:pPr>
    </w:p>
    <w:p w14:paraId="3280E53F" w14:textId="77777777" w:rsidR="00073F8F" w:rsidRPr="001B4A02" w:rsidRDefault="00000000" w:rsidP="00ED48A3">
      <w:pPr>
        <w:ind w:left="0" w:firstLine="0"/>
        <w:rPr>
          <w:del w:id="4593" w:author="AbbVie1" w:date="2025-05-13T09:50:00Z"/>
        </w:rPr>
      </w:pPr>
      <w:del w:id="4594" w:author="AbbVie1" w:date="2025-05-13T09:50:00Z">
        <w:r w:rsidRPr="001B4A02">
          <w:delText>Preklinické studie zaměřené na vliv adalimumabu na fertilitu nejsou k dispozici.</w:delText>
        </w:r>
      </w:del>
    </w:p>
    <w:p w14:paraId="15E77762" w14:textId="77777777" w:rsidR="009441F7" w:rsidRPr="00E501B6" w:rsidRDefault="009441F7" w:rsidP="00ED48A3">
      <w:pPr>
        <w:ind w:left="0" w:firstLine="0"/>
        <w:rPr>
          <w:del w:id="4595" w:author="AbbVie1" w:date="2025-05-13T09:50:00Z"/>
        </w:rPr>
      </w:pPr>
    </w:p>
    <w:p w14:paraId="6BDBA7BE" w14:textId="77777777" w:rsidR="00073F8F" w:rsidRPr="001B4A02" w:rsidRDefault="00000000" w:rsidP="003E092A">
      <w:pPr>
        <w:keepNext/>
        <w:outlineLvl w:val="1"/>
        <w:rPr>
          <w:del w:id="4596" w:author="AbbVie1" w:date="2025-05-13T09:50:00Z"/>
          <w:b/>
        </w:rPr>
      </w:pPr>
      <w:del w:id="4597" w:author="AbbVie1" w:date="2025-05-13T09:50:00Z">
        <w:r w:rsidRPr="001B4A02">
          <w:rPr>
            <w:b/>
          </w:rPr>
          <w:delText>4.7</w:delText>
        </w:r>
        <w:r w:rsidRPr="001B4A02">
          <w:rPr>
            <w:b/>
          </w:rPr>
          <w:tab/>
          <w:delText>Účinky na schopnost řídit</w:delText>
        </w:r>
        <w:r w:rsidR="002378E0">
          <w:rPr>
            <w:b/>
          </w:rPr>
          <w:delText xml:space="preserve"> a </w:delText>
        </w:r>
        <w:r w:rsidRPr="001B4A02">
          <w:rPr>
            <w:b/>
          </w:rPr>
          <w:delText>obsluhovat stroje</w:delText>
        </w:r>
      </w:del>
    </w:p>
    <w:p w14:paraId="64BF0641" w14:textId="77777777" w:rsidR="00073F8F" w:rsidRPr="001B4A02" w:rsidRDefault="00073F8F" w:rsidP="00D279BC">
      <w:pPr>
        <w:keepNext/>
        <w:ind w:left="0" w:firstLine="0"/>
        <w:rPr>
          <w:del w:id="4598" w:author="AbbVie1" w:date="2025-05-13T09:50:00Z"/>
        </w:rPr>
      </w:pPr>
    </w:p>
    <w:p w14:paraId="0F5FCA8D" w14:textId="77777777" w:rsidR="00073F8F" w:rsidRPr="001B4A02" w:rsidRDefault="00000000" w:rsidP="00ED48A3">
      <w:pPr>
        <w:ind w:left="0" w:firstLine="0"/>
        <w:rPr>
          <w:del w:id="4599" w:author="AbbVie1" w:date="2025-05-13T09:50:00Z"/>
        </w:rPr>
      </w:pPr>
      <w:del w:id="4600" w:author="AbbVie1" w:date="2025-05-13T09:50:00Z">
        <w:r w:rsidRPr="001B4A02">
          <w:delText xml:space="preserve">Přípravek Humira </w:delText>
        </w:r>
        <w:r w:rsidR="00C43387">
          <w:delText xml:space="preserve">má malý </w:delText>
        </w:r>
        <w:r w:rsidRPr="001B4A02">
          <w:delText>vliv na schopnost řídit</w:delText>
        </w:r>
        <w:r w:rsidR="002378E0">
          <w:delText xml:space="preserve"> a </w:delText>
        </w:r>
        <w:r w:rsidRPr="001B4A02">
          <w:delText xml:space="preserve">obsluhovat stroje. Po </w:delText>
        </w:r>
        <w:r w:rsidR="00BE2F59" w:rsidRPr="001B4A02">
          <w:delText>po</w:delText>
        </w:r>
        <w:r w:rsidRPr="001B4A02">
          <w:delText>užití přípravku Humira se m</w:delText>
        </w:r>
        <w:r w:rsidR="003B56DF" w:rsidRPr="001B4A02">
          <w:delText>ůže</w:delText>
        </w:r>
        <w:r w:rsidRPr="001B4A02">
          <w:delText xml:space="preserve"> objevit vertig</w:delText>
        </w:r>
        <w:r w:rsidR="003B56DF" w:rsidRPr="001B4A02">
          <w:delText>o</w:delText>
        </w:r>
        <w:r w:rsidR="002378E0">
          <w:delText xml:space="preserve"> a </w:delText>
        </w:r>
        <w:r w:rsidRPr="001B4A02">
          <w:delText>zrakov</w:delText>
        </w:r>
        <w:r w:rsidR="003B56DF" w:rsidRPr="001B4A02">
          <w:delText>é</w:delText>
        </w:r>
        <w:r w:rsidRPr="001B4A02">
          <w:delText xml:space="preserve"> poruch</w:delText>
        </w:r>
        <w:r w:rsidR="003B56DF" w:rsidRPr="001B4A02">
          <w:delText>y</w:delText>
        </w:r>
        <w:r w:rsidRPr="001B4A02">
          <w:delText xml:space="preserve"> </w:delText>
        </w:r>
        <w:r w:rsidR="00186D56" w:rsidRPr="001B4A02">
          <w:delText>(</w:delText>
        </w:r>
        <w:r w:rsidRPr="001B4A02">
          <w:delText>viz bod 4.8</w:delText>
        </w:r>
        <w:r w:rsidR="00186D56" w:rsidRPr="001B4A02">
          <w:delText>)</w:delText>
        </w:r>
        <w:r w:rsidRPr="001B4A02">
          <w:delText>.</w:delText>
        </w:r>
      </w:del>
    </w:p>
    <w:p w14:paraId="68EA3C04" w14:textId="77777777" w:rsidR="00073F8F" w:rsidRPr="001B4A02" w:rsidRDefault="00073F8F" w:rsidP="00ED48A3">
      <w:pPr>
        <w:ind w:left="0" w:firstLine="0"/>
        <w:rPr>
          <w:del w:id="4601" w:author="AbbVie1" w:date="2025-05-13T09:50:00Z"/>
        </w:rPr>
      </w:pPr>
    </w:p>
    <w:p w14:paraId="7D0D5983" w14:textId="77777777" w:rsidR="00073F8F" w:rsidRPr="001B4A02" w:rsidRDefault="00000000" w:rsidP="003E092A">
      <w:pPr>
        <w:keepNext/>
        <w:outlineLvl w:val="1"/>
        <w:rPr>
          <w:del w:id="4602" w:author="AbbVie1" w:date="2025-05-13T09:50:00Z"/>
          <w:b/>
        </w:rPr>
      </w:pPr>
      <w:del w:id="4603" w:author="AbbVie1" w:date="2025-05-13T09:50:00Z">
        <w:r w:rsidRPr="001B4A02">
          <w:rPr>
            <w:b/>
          </w:rPr>
          <w:delText>4.8</w:delText>
        </w:r>
        <w:r w:rsidRPr="001B4A02">
          <w:rPr>
            <w:b/>
          </w:rPr>
          <w:tab/>
          <w:delText>Nežádoucí účinky</w:delText>
        </w:r>
      </w:del>
    </w:p>
    <w:p w14:paraId="043004A8" w14:textId="77777777" w:rsidR="00073F8F" w:rsidRPr="001B4A02" w:rsidRDefault="00073F8F" w:rsidP="00ED48A3">
      <w:pPr>
        <w:keepNext/>
        <w:ind w:left="0" w:firstLine="0"/>
        <w:rPr>
          <w:del w:id="4604" w:author="AbbVie1" w:date="2025-05-13T09:50:00Z"/>
        </w:rPr>
      </w:pPr>
    </w:p>
    <w:p w14:paraId="412F637E" w14:textId="77777777" w:rsidR="00F942BA" w:rsidRPr="001B4A02" w:rsidRDefault="00000000" w:rsidP="00D279BC">
      <w:pPr>
        <w:keepNext/>
        <w:ind w:left="0" w:firstLine="0"/>
        <w:rPr>
          <w:del w:id="4605" w:author="AbbVie1" w:date="2025-05-13T09:50:00Z"/>
          <w:u w:val="single"/>
        </w:rPr>
      </w:pPr>
      <w:del w:id="4606" w:author="AbbVie1" w:date="2025-05-13T09:50:00Z">
        <w:r w:rsidRPr="001B4A02">
          <w:rPr>
            <w:u w:val="single"/>
          </w:rPr>
          <w:delText>Souhrnný bezpečnostní profil</w:delText>
        </w:r>
      </w:del>
    </w:p>
    <w:p w14:paraId="5208B708" w14:textId="77777777" w:rsidR="00F942BA" w:rsidRPr="001B4A02" w:rsidRDefault="00F942BA" w:rsidP="00ED48A3">
      <w:pPr>
        <w:keepNext/>
        <w:ind w:left="0" w:firstLine="0"/>
        <w:rPr>
          <w:del w:id="4607" w:author="AbbVie1" w:date="2025-05-13T09:50:00Z"/>
          <w:szCs w:val="22"/>
        </w:rPr>
      </w:pPr>
    </w:p>
    <w:p w14:paraId="33629B14" w14:textId="77777777" w:rsidR="00073F8F" w:rsidRPr="001B4A02" w:rsidRDefault="00000000" w:rsidP="00D279BC">
      <w:pPr>
        <w:ind w:left="0" w:firstLine="0"/>
        <w:rPr>
          <w:del w:id="4608" w:author="AbbVie1" w:date="2025-05-13T09:50:00Z"/>
        </w:rPr>
      </w:pPr>
      <w:del w:id="4609" w:author="AbbVie1" w:date="2025-05-13T09:50:00Z">
        <w:r w:rsidRPr="001B4A02">
          <w:rPr>
            <w:szCs w:val="22"/>
          </w:rPr>
          <w:delText>Přípravek Humira byl hodnocen u </w:delText>
        </w:r>
        <w:r w:rsidR="0085179A" w:rsidRPr="001B4A02">
          <w:rPr>
            <w:szCs w:val="22"/>
          </w:rPr>
          <w:delText>9 506</w:delText>
        </w:r>
        <w:r w:rsidR="007B7963" w:rsidRPr="001B4A02">
          <w:rPr>
            <w:szCs w:val="22"/>
          </w:rPr>
          <w:delText xml:space="preserve"> </w:delText>
        </w:r>
        <w:r w:rsidRPr="001B4A02">
          <w:rPr>
            <w:szCs w:val="22"/>
          </w:rPr>
          <w:delText>pacientů v kontrolovaných</w:delText>
        </w:r>
        <w:r w:rsidR="002378E0">
          <w:rPr>
            <w:szCs w:val="22"/>
          </w:rPr>
          <w:delText xml:space="preserve"> a </w:delText>
        </w:r>
        <w:r w:rsidRPr="001B4A02">
          <w:rPr>
            <w:szCs w:val="22"/>
          </w:rPr>
          <w:delText xml:space="preserve">otevřených </w:delText>
        </w:r>
        <w:r w:rsidR="00617C2D" w:rsidRPr="001B4A02">
          <w:rPr>
            <w:szCs w:val="22"/>
          </w:rPr>
          <w:delText xml:space="preserve">pivotních </w:delText>
        </w:r>
        <w:r w:rsidRPr="001B4A02">
          <w:rPr>
            <w:szCs w:val="22"/>
          </w:rPr>
          <w:delText>studiích po dobu až 60 měsíců</w:delText>
        </w:r>
        <w:r w:rsidR="00966A49" w:rsidRPr="001B4A02">
          <w:rPr>
            <w:szCs w:val="22"/>
          </w:rPr>
          <w:delText xml:space="preserve"> nebo déle</w:delText>
        </w:r>
        <w:r w:rsidRPr="001B4A02">
          <w:rPr>
            <w:szCs w:val="22"/>
          </w:rPr>
          <w:delText>. Tyto studie zahrnovaly pacienty s revmatoidní artritidou s krátkým</w:delText>
        </w:r>
        <w:r w:rsidR="002378E0">
          <w:rPr>
            <w:szCs w:val="22"/>
          </w:rPr>
          <w:delText xml:space="preserve"> a </w:delText>
        </w:r>
        <w:r w:rsidRPr="001B4A02">
          <w:rPr>
            <w:szCs w:val="22"/>
          </w:rPr>
          <w:delText>dlouhým trváním, pacienty s</w:delText>
        </w:r>
        <w:r w:rsidR="008506F3" w:rsidRPr="001B4A02">
          <w:rPr>
            <w:szCs w:val="22"/>
          </w:rPr>
          <w:delText> </w:delText>
        </w:r>
        <w:r w:rsidRPr="001B4A02">
          <w:delText>juvenilní idiopatickou artritidou</w:delText>
        </w:r>
        <w:r w:rsidR="00607F5E" w:rsidRPr="001B4A02">
          <w:delText xml:space="preserve"> </w:delText>
        </w:r>
        <w:r w:rsidR="00607F5E" w:rsidRPr="001B4A02">
          <w:rPr>
            <w:szCs w:val="22"/>
          </w:rPr>
          <w:delText>(polyartikulární juvenilní idiopatickou artritidou</w:delText>
        </w:r>
        <w:r w:rsidR="002378E0">
          <w:rPr>
            <w:szCs w:val="22"/>
          </w:rPr>
          <w:delText xml:space="preserve"> a </w:delText>
        </w:r>
        <w:r w:rsidR="00607F5E" w:rsidRPr="001B4A02">
          <w:rPr>
            <w:szCs w:val="22"/>
          </w:rPr>
          <w:delText>ente</w:delText>
        </w:r>
        <w:r w:rsidR="00E44CD4" w:rsidRPr="001B4A02">
          <w:rPr>
            <w:szCs w:val="22"/>
          </w:rPr>
          <w:delText xml:space="preserve">zopatickou </w:delText>
        </w:r>
        <w:r w:rsidR="00607F5E" w:rsidRPr="001B4A02">
          <w:rPr>
            <w:szCs w:val="22"/>
          </w:rPr>
          <w:delText>artritidou), stejně jako</w:delText>
        </w:r>
        <w:r w:rsidRPr="001B4A02">
          <w:delText xml:space="preserve"> </w:delText>
        </w:r>
        <w:r w:rsidRPr="001B4A02">
          <w:rPr>
            <w:szCs w:val="22"/>
          </w:rPr>
          <w:delText xml:space="preserve">pacienty </w:delText>
        </w:r>
        <w:r w:rsidR="00607F5E" w:rsidRPr="001B4A02">
          <w:rPr>
            <w:szCs w:val="22"/>
          </w:rPr>
          <w:delText>s</w:delText>
        </w:r>
        <w:r w:rsidR="008506F3" w:rsidRPr="001B4A02">
          <w:rPr>
            <w:szCs w:val="22"/>
          </w:rPr>
          <w:delText> </w:delText>
        </w:r>
        <w:r w:rsidR="00607F5E" w:rsidRPr="001B4A02">
          <w:rPr>
            <w:szCs w:val="22"/>
          </w:rPr>
          <w:delText>axiální spondylartritidou (</w:delText>
        </w:r>
        <w:r w:rsidRPr="001B4A02">
          <w:rPr>
            <w:szCs w:val="22"/>
          </w:rPr>
          <w:delText>ankylozující spondylitidou</w:delText>
        </w:r>
        <w:r w:rsidR="002378E0">
          <w:rPr>
            <w:szCs w:val="22"/>
          </w:rPr>
          <w:delText xml:space="preserve"> a </w:delText>
        </w:r>
        <w:r w:rsidR="00096FA6" w:rsidRPr="001B4A02">
          <w:rPr>
            <w:szCs w:val="22"/>
          </w:rPr>
          <w:delText>axiální spondylartritidou bez radiologického průkazu AS</w:delText>
        </w:r>
        <w:r w:rsidR="00607F5E" w:rsidRPr="001B4A02">
          <w:rPr>
            <w:szCs w:val="22"/>
          </w:rPr>
          <w:delText>)</w:delText>
        </w:r>
        <w:r w:rsidR="00096FA6" w:rsidRPr="001B4A02">
          <w:rPr>
            <w:szCs w:val="22"/>
          </w:rPr>
          <w:delText xml:space="preserve">, psoriatickou artritidou, </w:delText>
        </w:r>
        <w:r w:rsidRPr="001B4A02">
          <w:rPr>
            <w:szCs w:val="22"/>
          </w:rPr>
          <w:delText>pacienty s Crohnovou chorobou</w:delText>
        </w:r>
        <w:r w:rsidR="00617C2D" w:rsidRPr="001B4A02">
          <w:rPr>
            <w:szCs w:val="22"/>
          </w:rPr>
          <w:delText xml:space="preserve">, </w:delText>
        </w:r>
        <w:r w:rsidR="008177B2" w:rsidRPr="001B4A02">
          <w:rPr>
            <w:szCs w:val="22"/>
          </w:rPr>
          <w:delText>ulcerózní</w:delText>
        </w:r>
        <w:r w:rsidR="00617C2D" w:rsidRPr="001B4A02">
          <w:rPr>
            <w:szCs w:val="22"/>
          </w:rPr>
          <w:delText xml:space="preserve"> kolitidou</w:delText>
        </w:r>
        <w:r w:rsidR="007B7963" w:rsidRPr="001B4A02">
          <w:rPr>
            <w:szCs w:val="22"/>
          </w:rPr>
          <w:delText>, psoriázou</w:delText>
        </w:r>
        <w:r w:rsidR="002378E0">
          <w:rPr>
            <w:szCs w:val="22"/>
          </w:rPr>
          <w:delText xml:space="preserve"> a </w:delText>
        </w:r>
        <w:r w:rsidRPr="001B4A02">
          <w:rPr>
            <w:szCs w:val="22"/>
          </w:rPr>
          <w:delText>pacienty s</w:delText>
        </w:r>
        <w:r w:rsidR="007B7963" w:rsidRPr="001B4A02">
          <w:rPr>
            <w:szCs w:val="22"/>
          </w:rPr>
          <w:delText> hidradenitis suppurativa</w:delText>
        </w:r>
        <w:r w:rsidR="002378E0">
          <w:rPr>
            <w:szCs w:val="22"/>
          </w:rPr>
          <w:delText xml:space="preserve"> a </w:delText>
        </w:r>
        <w:r w:rsidR="0085179A" w:rsidRPr="001B4A02">
          <w:rPr>
            <w:szCs w:val="22"/>
          </w:rPr>
          <w:delText>uveitidou</w:delText>
        </w:r>
        <w:r w:rsidRPr="001B4A02">
          <w:rPr>
            <w:szCs w:val="22"/>
          </w:rPr>
          <w:delText xml:space="preserve">. </w:delText>
        </w:r>
        <w:r w:rsidR="00607F5E" w:rsidRPr="001B4A02">
          <w:rPr>
            <w:szCs w:val="22"/>
          </w:rPr>
          <w:delText>Pivotní kontrolované studie zahrnovaly</w:delText>
        </w:r>
        <w:r w:rsidRPr="001B4A02">
          <w:rPr>
            <w:szCs w:val="22"/>
          </w:rPr>
          <w:delText xml:space="preserve"> </w:delText>
        </w:r>
        <w:r w:rsidR="0085179A" w:rsidRPr="001B4A02">
          <w:rPr>
            <w:szCs w:val="22"/>
          </w:rPr>
          <w:delText>6 089</w:delText>
        </w:r>
        <w:r w:rsidR="007B7963" w:rsidRPr="001B4A02">
          <w:rPr>
            <w:szCs w:val="22"/>
          </w:rPr>
          <w:delText> </w:delText>
        </w:r>
        <w:r w:rsidRPr="001B4A02">
          <w:rPr>
            <w:szCs w:val="22"/>
          </w:rPr>
          <w:delText>pacientů léčených přípravkem Humira</w:delText>
        </w:r>
        <w:r w:rsidR="002378E0">
          <w:rPr>
            <w:szCs w:val="22"/>
          </w:rPr>
          <w:delText xml:space="preserve"> a </w:delText>
        </w:r>
        <w:r w:rsidR="0085179A" w:rsidRPr="001B4A02">
          <w:rPr>
            <w:szCs w:val="22"/>
          </w:rPr>
          <w:delText>3 801</w:delText>
        </w:r>
        <w:r w:rsidR="007B7963" w:rsidRPr="001B4A02">
          <w:rPr>
            <w:szCs w:val="22"/>
          </w:rPr>
          <w:delText> </w:delText>
        </w:r>
        <w:r w:rsidRPr="001B4A02">
          <w:rPr>
            <w:szCs w:val="22"/>
          </w:rPr>
          <w:delText>pacientů, kteří v kontrolovaném období studií dostávali placebo nebo aktivní srovnávací lék.</w:delText>
        </w:r>
      </w:del>
    </w:p>
    <w:p w14:paraId="68E41AB1" w14:textId="77777777" w:rsidR="00073F8F" w:rsidRPr="001B4A02" w:rsidRDefault="00073F8F" w:rsidP="00ED48A3">
      <w:pPr>
        <w:ind w:left="0" w:firstLine="0"/>
        <w:rPr>
          <w:del w:id="4610" w:author="AbbVie1" w:date="2025-05-13T09:50:00Z"/>
        </w:rPr>
      </w:pPr>
    </w:p>
    <w:p w14:paraId="11E0DCA2" w14:textId="77777777" w:rsidR="00073F8F" w:rsidRPr="001B4A02" w:rsidRDefault="00000000" w:rsidP="00ED48A3">
      <w:pPr>
        <w:ind w:left="0" w:firstLine="0"/>
        <w:rPr>
          <w:del w:id="4611" w:author="AbbVie1" w:date="2025-05-13T09:50:00Z"/>
        </w:rPr>
      </w:pPr>
      <w:del w:id="4612" w:author="AbbVie1" w:date="2025-05-13T09:50:00Z">
        <w:r w:rsidRPr="001B4A02">
          <w:delText>Podíl pacientů, kteří předčasně ukončili léčbu pro nežádoucí účinky ve dvojitě zaslepené kontrolované části klíčových studií</w:delText>
        </w:r>
        <w:r w:rsidR="00013321" w:rsidRPr="001B4A02">
          <w:delText>,</w:delText>
        </w:r>
        <w:r w:rsidRPr="001B4A02">
          <w:delText xml:space="preserve"> byl </w:delText>
        </w:r>
        <w:r w:rsidR="0085179A" w:rsidRPr="001B4A02">
          <w:delText>5,</w:delText>
        </w:r>
        <w:r w:rsidR="00D81A88" w:rsidRPr="001B4A02">
          <w:delText>9</w:delText>
        </w:r>
        <w:r w:rsidR="006008CB">
          <w:delText> %</w:delText>
        </w:r>
        <w:r w:rsidRPr="001B4A02">
          <w:delText xml:space="preserve"> pacientů léčených přípravkem Humira</w:delText>
        </w:r>
        <w:r w:rsidR="002378E0">
          <w:delText xml:space="preserve"> a </w:delText>
        </w:r>
        <w:r w:rsidR="00617C2D" w:rsidRPr="001B4A02">
          <w:delText>5,</w:delText>
        </w:r>
        <w:r w:rsidR="006C0D6D" w:rsidRPr="001B4A02">
          <w:delText>4</w:delText>
        </w:r>
        <w:r w:rsidR="006008CB">
          <w:delText> %</w:delText>
        </w:r>
        <w:r w:rsidRPr="001B4A02">
          <w:delText xml:space="preserve"> u pacientů užívajících kontrolní léčbu.</w:delText>
        </w:r>
      </w:del>
    </w:p>
    <w:p w14:paraId="7A7CEEA4" w14:textId="77777777" w:rsidR="00073F8F" w:rsidRPr="001B4A02" w:rsidRDefault="00073F8F" w:rsidP="00ED48A3">
      <w:pPr>
        <w:pStyle w:val="EMEAHeadingUnderline"/>
        <w:tabs>
          <w:tab w:val="clear" w:pos="562"/>
          <w:tab w:val="left" w:pos="708"/>
        </w:tabs>
        <w:suppressAutoHyphens w:val="0"/>
        <w:spacing w:beforeLines="0" w:before="0" w:afterLines="0" w:after="0"/>
        <w:rPr>
          <w:del w:id="4613" w:author="AbbVie1" w:date="2025-05-13T09:50:00Z"/>
          <w:lang w:val="cs-CZ"/>
        </w:rPr>
      </w:pPr>
    </w:p>
    <w:p w14:paraId="25DC07D6" w14:textId="77777777" w:rsidR="00ED141D" w:rsidRPr="001B4A02" w:rsidRDefault="00000000" w:rsidP="00ED48A3">
      <w:pPr>
        <w:ind w:left="0" w:firstLine="0"/>
        <w:rPr>
          <w:del w:id="4614" w:author="AbbVie1" w:date="2025-05-13T09:50:00Z"/>
        </w:rPr>
      </w:pPr>
      <w:del w:id="4615" w:author="AbbVie1" w:date="2025-05-13T09:50:00Z">
        <w:r w:rsidRPr="001B4A02">
          <w:delText>Nejčastěji hlášenými nežádoucími účinky jsou infekce (jako je nasofaryngitida, infekce horních dýchacích cest</w:delText>
        </w:r>
        <w:r w:rsidR="002378E0">
          <w:delText xml:space="preserve"> a </w:delText>
        </w:r>
        <w:r w:rsidRPr="001B4A02">
          <w:delText>sinusitida), reakce v místě injekčního vpichu (erytém, svědění, krvácení, bolest nebo otoky), bolest hlavy</w:delText>
        </w:r>
        <w:r w:rsidR="002378E0">
          <w:delText xml:space="preserve"> a </w:delText>
        </w:r>
        <w:r w:rsidRPr="001B4A02">
          <w:delText>muskuloskeletální bolest.</w:delText>
        </w:r>
      </w:del>
    </w:p>
    <w:p w14:paraId="052552C5" w14:textId="77777777" w:rsidR="00ED141D" w:rsidRPr="001B4A02" w:rsidRDefault="00ED141D" w:rsidP="00ED48A3">
      <w:pPr>
        <w:ind w:left="0" w:firstLine="0"/>
        <w:rPr>
          <w:del w:id="4616" w:author="AbbVie1" w:date="2025-05-13T09:50:00Z"/>
        </w:rPr>
      </w:pPr>
    </w:p>
    <w:p w14:paraId="03E5019F" w14:textId="77777777" w:rsidR="00ED141D" w:rsidRPr="001B4A02" w:rsidRDefault="00000000" w:rsidP="00ED48A3">
      <w:pPr>
        <w:ind w:left="0" w:firstLine="0"/>
        <w:rPr>
          <w:del w:id="4617" w:author="AbbVie1" w:date="2025-05-13T09:50:00Z"/>
        </w:rPr>
      </w:pPr>
      <w:del w:id="4618" w:author="AbbVie1" w:date="2025-05-13T09:50:00Z">
        <w:r w:rsidRPr="001B4A02">
          <w:delText xml:space="preserve">U přípravku Humira byly hlášeny závažné nežádoucí účinky. TNF antagonisté, jako například </w:delText>
        </w:r>
        <w:r w:rsidR="00E662F3" w:rsidRPr="001B4A02">
          <w:delText xml:space="preserve">přípravek </w:delText>
        </w:r>
        <w:r w:rsidRPr="001B4A02">
          <w:delText>Humira, ovlivňují imunitní systém</w:delText>
        </w:r>
        <w:r w:rsidR="002378E0">
          <w:delText xml:space="preserve"> a </w:delText>
        </w:r>
        <w:r w:rsidRPr="001B4A02">
          <w:delText>jejich užití může ovlivňovat schopnost obranyschopnosti organismu vůči infekci</w:delText>
        </w:r>
        <w:r w:rsidR="002378E0">
          <w:delText xml:space="preserve"> a </w:delText>
        </w:r>
        <w:r w:rsidRPr="001B4A02">
          <w:delText>rakovinnému bujení. U</w:delText>
        </w:r>
        <w:r w:rsidR="00164B4F" w:rsidRPr="001B4A02">
          <w:delText> </w:delText>
        </w:r>
        <w:r w:rsidRPr="001B4A02">
          <w:delText>přípravku Humira byly také hlášeny fatální</w:delText>
        </w:r>
        <w:r w:rsidR="002378E0">
          <w:delText xml:space="preserve"> a </w:delText>
        </w:r>
        <w:r w:rsidRPr="001B4A02">
          <w:delText>život ohrožující infekce (včetně sepse, oportunních infekcí TBC), HBV reaktivace</w:delText>
        </w:r>
        <w:r w:rsidR="002378E0">
          <w:delText xml:space="preserve"> a </w:delText>
        </w:r>
        <w:r w:rsidRPr="001B4A02">
          <w:delText>různé malignity (včetně leukémie, lymfomů</w:delText>
        </w:r>
        <w:r w:rsidR="002378E0">
          <w:delText xml:space="preserve"> a </w:delText>
        </w:r>
        <w:r w:rsidRPr="001B4A02">
          <w:delText>HSTCL).</w:delText>
        </w:r>
      </w:del>
    </w:p>
    <w:p w14:paraId="037BF121" w14:textId="77777777" w:rsidR="00ED141D" w:rsidRPr="001B4A02" w:rsidRDefault="00ED141D" w:rsidP="00ED48A3">
      <w:pPr>
        <w:ind w:left="0" w:firstLine="0"/>
        <w:rPr>
          <w:del w:id="4619" w:author="AbbVie1" w:date="2025-05-13T09:50:00Z"/>
        </w:rPr>
      </w:pPr>
    </w:p>
    <w:p w14:paraId="44DE3397" w14:textId="77777777" w:rsidR="00ED141D" w:rsidRPr="001B4A02" w:rsidRDefault="00000000" w:rsidP="00ED48A3">
      <w:pPr>
        <w:ind w:left="0" w:firstLine="0"/>
        <w:rPr>
          <w:del w:id="4620" w:author="AbbVie1" w:date="2025-05-13T09:50:00Z"/>
          <w:u w:val="single"/>
        </w:rPr>
      </w:pPr>
      <w:del w:id="4621" w:author="AbbVie1" w:date="2025-05-13T09:50:00Z">
        <w:r w:rsidRPr="001B4A02">
          <w:delText>Byly také hlášeny závažné hematologické, neurologické</w:delText>
        </w:r>
        <w:r w:rsidR="002378E0">
          <w:delText xml:space="preserve"> a </w:delText>
        </w:r>
        <w:r w:rsidRPr="001B4A02">
          <w:delText xml:space="preserve">autoimunní reakce. Tyto zahrnují vzácně se vyskytující případy pancytopenie, </w:delText>
        </w:r>
        <w:r w:rsidR="00B67724" w:rsidRPr="001B4A02">
          <w:delText>a</w:delText>
        </w:r>
        <w:r w:rsidRPr="001B4A02">
          <w:delText>plastické anémie, centrálních</w:delText>
        </w:r>
        <w:r w:rsidR="002378E0">
          <w:delText xml:space="preserve"> a </w:delText>
        </w:r>
        <w:r w:rsidRPr="001B4A02">
          <w:delText xml:space="preserve">periferních demyelinizačních chorob, případy lupus </w:delText>
        </w:r>
        <w:r w:rsidR="00E30D47" w:rsidRPr="001B4A02">
          <w:delText>erythematodes</w:delText>
        </w:r>
        <w:r w:rsidR="002378E0">
          <w:delText xml:space="preserve"> a </w:delText>
        </w:r>
        <w:r w:rsidR="00E30D47" w:rsidRPr="001B4A02">
          <w:delText>stavů podobných lupusu</w:delText>
        </w:r>
        <w:r w:rsidR="002378E0">
          <w:delText xml:space="preserve"> a </w:delText>
        </w:r>
        <w:r w:rsidR="00E30D47" w:rsidRPr="001B4A02">
          <w:delText>Stevens</w:delText>
        </w:r>
        <w:r w:rsidR="00C43387">
          <w:delText>ův</w:delText>
        </w:r>
        <w:r w:rsidR="00E30D47" w:rsidRPr="001B4A02">
          <w:delText>-Johnsonův syndrom</w:delText>
        </w:r>
        <w:r w:rsidRPr="001B4A02">
          <w:delText>.</w:delText>
        </w:r>
      </w:del>
    </w:p>
    <w:p w14:paraId="1B6DEEF7" w14:textId="77777777" w:rsidR="009441F7" w:rsidRPr="001B4A02" w:rsidRDefault="009441F7" w:rsidP="00ED48A3">
      <w:pPr>
        <w:pStyle w:val="EMEAHeadingUnderline"/>
        <w:tabs>
          <w:tab w:val="clear" w:pos="562"/>
          <w:tab w:val="left" w:pos="708"/>
        </w:tabs>
        <w:suppressAutoHyphens w:val="0"/>
        <w:spacing w:beforeLines="0" w:before="0" w:afterLines="0" w:after="0"/>
        <w:rPr>
          <w:del w:id="4622" w:author="AbbVie1" w:date="2025-05-13T09:50:00Z"/>
          <w:i/>
          <w:u w:val="none"/>
          <w:lang w:val="cs-CZ"/>
        </w:rPr>
      </w:pPr>
    </w:p>
    <w:p w14:paraId="63753BAA" w14:textId="77777777" w:rsidR="009441F7" w:rsidRPr="001B4A02" w:rsidRDefault="00000000" w:rsidP="00ED48A3">
      <w:pPr>
        <w:pStyle w:val="EMEAHeadingUnderline"/>
        <w:keepNext/>
        <w:tabs>
          <w:tab w:val="clear" w:pos="562"/>
          <w:tab w:val="left" w:pos="708"/>
        </w:tabs>
        <w:suppressAutoHyphens w:val="0"/>
        <w:spacing w:beforeLines="0" w:before="0" w:afterLines="0" w:after="0"/>
        <w:rPr>
          <w:del w:id="4623" w:author="AbbVie1" w:date="2025-05-13T09:50:00Z"/>
          <w:lang w:val="cs-CZ"/>
        </w:rPr>
      </w:pPr>
      <w:del w:id="4624" w:author="AbbVie1" w:date="2025-05-13T09:50:00Z">
        <w:r w:rsidRPr="001B4A02">
          <w:rPr>
            <w:lang w:val="cs-CZ"/>
          </w:rPr>
          <w:delText>Pediatrická populace</w:delText>
        </w:r>
      </w:del>
    </w:p>
    <w:p w14:paraId="237EE2F8" w14:textId="77777777" w:rsidR="009441F7" w:rsidRPr="001B4A02" w:rsidRDefault="009441F7" w:rsidP="00ED48A3">
      <w:pPr>
        <w:pStyle w:val="EMEANormal"/>
        <w:keepNext/>
        <w:rPr>
          <w:del w:id="4625" w:author="AbbVie1" w:date="2025-05-13T09:50:00Z"/>
          <w:lang w:val="cs-CZ"/>
        </w:rPr>
      </w:pPr>
    </w:p>
    <w:p w14:paraId="55D60162" w14:textId="77777777" w:rsidR="00073F8F" w:rsidRPr="001B4A02" w:rsidRDefault="00000000" w:rsidP="00D279BC">
      <w:pPr>
        <w:ind w:left="0" w:firstLine="0"/>
        <w:rPr>
          <w:del w:id="4626" w:author="AbbVie1" w:date="2025-05-13T09:50:00Z"/>
        </w:rPr>
      </w:pPr>
      <w:del w:id="4627" w:author="AbbVie1" w:date="2025-05-13T09:50:00Z">
        <w:r w:rsidRPr="001B4A02">
          <w:delText>Obecně byly nežádoucí účinky u</w:delText>
        </w:r>
        <w:r w:rsidR="00164B4F" w:rsidRPr="001B4A02">
          <w:delText> </w:delText>
        </w:r>
        <w:r w:rsidRPr="001B4A02">
          <w:delText>pediatrických pacientů, pokud jde o</w:delText>
        </w:r>
        <w:r w:rsidR="00923691" w:rsidRPr="001B4A02">
          <w:delText> </w:delText>
        </w:r>
        <w:r w:rsidRPr="001B4A02">
          <w:delText>typ</w:delText>
        </w:r>
        <w:r w:rsidR="002378E0">
          <w:delText xml:space="preserve"> a </w:delText>
        </w:r>
        <w:r w:rsidRPr="001B4A02">
          <w:delText>četnost výskytu, podobné těm, které byly p</w:delText>
        </w:r>
        <w:r w:rsidR="00AC7C92" w:rsidRPr="001B4A02">
          <w:delText>ozorovány u</w:delText>
        </w:r>
        <w:r w:rsidR="00164B4F" w:rsidRPr="001B4A02">
          <w:delText> </w:delText>
        </w:r>
        <w:r w:rsidR="00AC7C92" w:rsidRPr="001B4A02">
          <w:delText>dospělých pacientů.</w:delText>
        </w:r>
      </w:del>
    </w:p>
    <w:p w14:paraId="0DFFFCC6" w14:textId="77777777" w:rsidR="009441F7" w:rsidRPr="001B4A02" w:rsidRDefault="009441F7" w:rsidP="00ED48A3">
      <w:pPr>
        <w:ind w:left="0" w:firstLine="0"/>
        <w:rPr>
          <w:del w:id="4628" w:author="AbbVie1" w:date="2025-05-13T09:50:00Z"/>
          <w:u w:val="single"/>
        </w:rPr>
      </w:pPr>
    </w:p>
    <w:p w14:paraId="3090E82F" w14:textId="77777777" w:rsidR="00073F8F" w:rsidRPr="001B4A02" w:rsidRDefault="00000000" w:rsidP="00603F6E">
      <w:pPr>
        <w:keepNext/>
        <w:ind w:left="0" w:firstLine="0"/>
        <w:rPr>
          <w:del w:id="4629" w:author="AbbVie1" w:date="2025-05-13T09:50:00Z"/>
          <w:u w:val="single"/>
        </w:rPr>
      </w:pPr>
      <w:del w:id="4630" w:author="AbbVie1" w:date="2025-05-13T09:50:00Z">
        <w:r w:rsidRPr="001B4A02">
          <w:rPr>
            <w:u w:val="single"/>
          </w:rPr>
          <w:delText>Tabulkový seznam nežádoucích účinků</w:delText>
        </w:r>
      </w:del>
    </w:p>
    <w:p w14:paraId="42282C04" w14:textId="77777777" w:rsidR="009441F7" w:rsidRPr="001B4A02" w:rsidRDefault="009441F7" w:rsidP="00603F6E">
      <w:pPr>
        <w:keepNext/>
        <w:ind w:left="0" w:firstLine="0"/>
        <w:rPr>
          <w:del w:id="4631" w:author="AbbVie1" w:date="2025-05-13T09:50:00Z"/>
        </w:rPr>
      </w:pPr>
    </w:p>
    <w:p w14:paraId="1A2D603C" w14:textId="77777777" w:rsidR="0036522D" w:rsidRPr="001B4A02" w:rsidRDefault="00000000" w:rsidP="00D279BC">
      <w:pPr>
        <w:ind w:left="0" w:firstLine="0"/>
        <w:rPr>
          <w:del w:id="4632" w:author="AbbVie1" w:date="2025-05-13T09:50:00Z"/>
        </w:rPr>
      </w:pPr>
      <w:del w:id="4633" w:author="AbbVie1" w:date="2025-05-13T09:50:00Z">
        <w:r w:rsidRPr="001B4A02">
          <w:delText>Následující výčet nežádoucích účinků je založen na zkušenosti z klinických studií</w:delText>
        </w:r>
        <w:r w:rsidR="002378E0">
          <w:delText xml:space="preserve"> a </w:delText>
        </w:r>
        <w:r w:rsidRPr="001B4A02">
          <w:delText>z období postmarketingu, účinky</w:delText>
        </w:r>
        <w:r w:rsidR="00073F8F" w:rsidRPr="001B4A02">
          <w:delText xml:space="preserve"> </w:delText>
        </w:r>
        <w:r w:rsidR="00E04CE2" w:rsidRPr="001B4A02">
          <w:delText>jsou</w:delText>
        </w:r>
        <w:r w:rsidR="00073F8F" w:rsidRPr="001B4A02">
          <w:delText xml:space="preserve"> seřazeny podle orgánových systémů</w:delText>
        </w:r>
        <w:r w:rsidR="002378E0">
          <w:delText xml:space="preserve"> a </w:delText>
        </w:r>
        <w:r w:rsidR="00073F8F" w:rsidRPr="001B4A02">
          <w:delText>frekvence</w:delText>
        </w:r>
        <w:r w:rsidR="00E04CE2" w:rsidRPr="001B4A02">
          <w:delText xml:space="preserve"> výskytu</w:delText>
        </w:r>
        <w:r w:rsidR="00073F8F" w:rsidRPr="001B4A02">
          <w:delText xml:space="preserve"> </w:delText>
        </w:r>
        <w:r w:rsidR="00F942BA" w:rsidRPr="001B4A02">
          <w:delText xml:space="preserve">v Tabulce </w:delText>
        </w:r>
        <w:r w:rsidR="00673B39">
          <w:delText>7</w:delText>
        </w:r>
        <w:r w:rsidR="00673B39" w:rsidRPr="001B4A02">
          <w:delText xml:space="preserve"> </w:delText>
        </w:r>
        <w:r w:rsidR="00F942BA" w:rsidRPr="001B4A02">
          <w:delText xml:space="preserve">níže: </w:delText>
        </w:r>
        <w:r w:rsidR="00073F8F" w:rsidRPr="001B4A02">
          <w:delText xml:space="preserve">velmi časté </w:delText>
        </w:r>
        <w:r w:rsidR="00F942BA" w:rsidRPr="001B4A02">
          <w:delText>(</w:delText>
        </w:r>
        <w:r w:rsidR="00073F8F" w:rsidRPr="001B4A02">
          <w:rPr>
            <w:rFonts w:ascii="Symbol" w:hAnsi="Symbol"/>
          </w:rPr>
          <w:sym w:font="Symbol" w:char="F0B3"/>
        </w:r>
        <w:r w:rsidR="00073F8F" w:rsidRPr="001B4A02">
          <w:delText> 1/10</w:delText>
        </w:r>
        <w:r w:rsidR="00F942BA" w:rsidRPr="001B4A02">
          <w:delText>)</w:delText>
        </w:r>
        <w:r w:rsidR="00073F8F" w:rsidRPr="001B4A02">
          <w:delText xml:space="preserve">; časté </w:delText>
        </w:r>
        <w:r w:rsidR="00F942BA" w:rsidRPr="001B4A02">
          <w:delText>(</w:delText>
        </w:r>
        <w:r w:rsidR="00073F8F" w:rsidRPr="001B4A02">
          <w:rPr>
            <w:rFonts w:ascii="Symbol" w:hAnsi="Symbol"/>
          </w:rPr>
          <w:sym w:font="Symbol" w:char="F0B3"/>
        </w:r>
        <w:r w:rsidR="00073F8F" w:rsidRPr="001B4A02">
          <w:delText xml:space="preserve"> 1/100 do </w:delText>
        </w:r>
        <w:r w:rsidR="009B56B1" w:rsidRPr="001B4A02">
          <w:rPr>
            <w:rFonts w:ascii="Symbol" w:hAnsi="Symbol"/>
          </w:rPr>
          <w:sym w:font="Symbol" w:char="F03C"/>
        </w:r>
        <w:r w:rsidR="00073F8F" w:rsidRPr="001B4A02">
          <w:delText> 1/10</w:delText>
        </w:r>
        <w:r w:rsidR="00F942BA" w:rsidRPr="001B4A02">
          <w:delText>)</w:delText>
        </w:r>
        <w:r w:rsidR="00073F8F" w:rsidRPr="001B4A02">
          <w:delText xml:space="preserve">; méně časté </w:delText>
        </w:r>
        <w:r w:rsidR="00F942BA" w:rsidRPr="001B4A02">
          <w:delText>(</w:delText>
        </w:r>
        <w:r w:rsidR="00073F8F" w:rsidRPr="001B4A02">
          <w:rPr>
            <w:rFonts w:ascii="Symbol" w:hAnsi="Symbol"/>
          </w:rPr>
          <w:sym w:font="Symbol" w:char="F0B3"/>
        </w:r>
        <w:r w:rsidR="00073F8F" w:rsidRPr="001B4A02">
          <w:delText> 1/1</w:delText>
        </w:r>
        <w:r w:rsidR="009F584E" w:rsidRPr="001B4A02">
          <w:delText> </w:delText>
        </w:r>
        <w:r w:rsidR="00073F8F" w:rsidRPr="001B4A02">
          <w:delText xml:space="preserve">000 do </w:delText>
        </w:r>
        <w:r w:rsidR="00073F8F" w:rsidRPr="001B4A02">
          <w:rPr>
            <w:rFonts w:ascii="Symbol" w:hAnsi="Symbol"/>
          </w:rPr>
          <w:sym w:font="Symbol" w:char="F03C"/>
        </w:r>
        <w:r w:rsidR="00073F8F" w:rsidRPr="001B4A02">
          <w:delText> 1/100</w:delText>
        </w:r>
        <w:r w:rsidR="00F942BA" w:rsidRPr="001B4A02">
          <w:delText>)</w:delText>
        </w:r>
        <w:r w:rsidRPr="001B4A02">
          <w:delText>;</w:delText>
        </w:r>
        <w:r w:rsidR="00073F8F" w:rsidRPr="001B4A02">
          <w:delText xml:space="preserve"> vzácné </w:delText>
        </w:r>
        <w:r w:rsidR="00F942BA" w:rsidRPr="001B4A02">
          <w:delText>(</w:delText>
        </w:r>
        <w:r w:rsidR="009D2A3C" w:rsidRPr="001B4A02">
          <w:rPr>
            <w:rFonts w:ascii="Symbol" w:hAnsi="Symbol"/>
          </w:rPr>
          <w:sym w:font="Symbol" w:char="F0B3"/>
        </w:r>
        <w:r w:rsidR="009F584E" w:rsidRPr="001B4A02">
          <w:delText> </w:delText>
        </w:r>
        <w:r w:rsidR="00073F8F" w:rsidRPr="001B4A02">
          <w:delText>1/10</w:delText>
        </w:r>
        <w:r w:rsidR="00153468" w:rsidRPr="001B4A02">
          <w:delText xml:space="preserve"> </w:delText>
        </w:r>
        <w:r w:rsidR="00073F8F" w:rsidRPr="001B4A02">
          <w:delText xml:space="preserve">000 do </w:delText>
        </w:r>
        <w:r w:rsidR="00073F8F" w:rsidRPr="001B4A02">
          <w:rPr>
            <w:rFonts w:ascii="Symbol" w:hAnsi="Symbol"/>
          </w:rPr>
          <w:sym w:font="Symbol" w:char="F03C"/>
        </w:r>
        <w:r w:rsidR="00073F8F" w:rsidRPr="001B4A02">
          <w:delText> 1/1</w:delText>
        </w:r>
        <w:r w:rsidR="009F584E" w:rsidRPr="001B4A02">
          <w:delText> </w:delText>
        </w:r>
        <w:r w:rsidR="00073F8F" w:rsidRPr="001B4A02">
          <w:delText>000</w:delText>
        </w:r>
        <w:r w:rsidR="00F942BA" w:rsidRPr="001B4A02">
          <w:delText>)</w:delText>
        </w:r>
        <w:r w:rsidR="002378E0">
          <w:delText xml:space="preserve"> a </w:delText>
        </w:r>
        <w:r w:rsidRPr="001B4A02">
          <w:delText xml:space="preserve">není známo </w:delText>
        </w:r>
        <w:r w:rsidR="00F942BA" w:rsidRPr="001B4A02">
          <w:delText>(</w:delText>
        </w:r>
        <w:r w:rsidRPr="001B4A02">
          <w:delText>z dostupných údajů nelze určit)</w:delText>
        </w:r>
        <w:r w:rsidR="00073F8F" w:rsidRPr="001B4A02">
          <w:delText>. V každé skupině četností jsou nežádoucí účinky řazeny podle klesající záva</w:delText>
        </w:r>
        <w:r w:rsidR="00153468" w:rsidRPr="001B4A02">
          <w:delText>ž</w:delText>
        </w:r>
        <w:r w:rsidR="00073F8F" w:rsidRPr="001B4A02">
          <w:delText>nosti.</w:delText>
        </w:r>
        <w:r w:rsidRPr="001B4A02">
          <w:delText xml:space="preserve"> </w:delText>
        </w:r>
        <w:r w:rsidR="00A05F1F" w:rsidRPr="001B4A02">
          <w:delText>Jsou zde zahrnut</w:delText>
        </w:r>
        <w:r w:rsidRPr="001B4A02">
          <w:delText>y účinky, které se, napříč jednotlivými indikacemi, vyskytovaly s</w:delText>
        </w:r>
        <w:r w:rsidR="008506F3" w:rsidRPr="001B4A02">
          <w:delText> </w:delText>
        </w:r>
        <w:r w:rsidRPr="001B4A02">
          <w:delText>nejvyšší frekvencí. Hvězdička (*) se ve sloupci tříd orgánových systémů vyskytuje tehdy, pokud lze další informace nalézt na jiných místech textu, v bodech 4.3, 4.4</w:delText>
        </w:r>
        <w:r w:rsidR="002378E0">
          <w:delText xml:space="preserve"> a </w:delText>
        </w:r>
        <w:r w:rsidRPr="001B4A02">
          <w:delText>4.8.</w:delText>
        </w:r>
      </w:del>
    </w:p>
    <w:p w14:paraId="59D19BE9" w14:textId="77777777" w:rsidR="0036522D" w:rsidRPr="007863F2" w:rsidRDefault="0036522D" w:rsidP="00ED48A3">
      <w:pPr>
        <w:pStyle w:val="BodyText"/>
        <w:ind w:left="0" w:firstLine="0"/>
        <w:rPr>
          <w:del w:id="4634" w:author="AbbVie1" w:date="2025-05-13T09:50:00Z"/>
          <w:b w:val="0"/>
          <w:bCs/>
          <w:i w:val="0"/>
          <w:iCs/>
          <w:lang w:val="cs-CZ"/>
        </w:rPr>
      </w:pPr>
    </w:p>
    <w:p w14:paraId="595729BC" w14:textId="77777777" w:rsidR="0036522D" w:rsidRPr="001B4A02" w:rsidRDefault="00000000" w:rsidP="00D279BC">
      <w:pPr>
        <w:keepNext/>
        <w:ind w:left="0" w:firstLine="0"/>
        <w:jc w:val="center"/>
        <w:rPr>
          <w:del w:id="4635" w:author="AbbVie1" w:date="2025-05-13T09:50:00Z"/>
          <w:b/>
        </w:rPr>
      </w:pPr>
      <w:del w:id="4636" w:author="AbbVie1" w:date="2025-05-13T09:50:00Z">
        <w:r w:rsidRPr="001B4A02">
          <w:rPr>
            <w:b/>
          </w:rPr>
          <w:delText xml:space="preserve">Tabulka </w:delText>
        </w:r>
        <w:r w:rsidR="00673B39">
          <w:rPr>
            <w:b/>
          </w:rPr>
          <w:delText>7</w:delText>
        </w:r>
      </w:del>
    </w:p>
    <w:p w14:paraId="7FE9074E" w14:textId="77777777" w:rsidR="0036522D" w:rsidRPr="001B4A02" w:rsidRDefault="00000000" w:rsidP="00D279BC">
      <w:pPr>
        <w:pStyle w:val="EndnoteText"/>
        <w:keepNext/>
        <w:ind w:left="0" w:firstLine="0"/>
        <w:jc w:val="center"/>
        <w:rPr>
          <w:del w:id="4637" w:author="AbbVie1" w:date="2025-05-13T09:50:00Z"/>
          <w:b/>
          <w:lang w:val="cs-CZ"/>
        </w:rPr>
      </w:pPr>
      <w:del w:id="4638" w:author="AbbVie1" w:date="2025-05-13T09:50:00Z">
        <w:r w:rsidRPr="001B4A02">
          <w:rPr>
            <w:b/>
            <w:lang w:val="cs-CZ"/>
          </w:rPr>
          <w:delText>Nežádoucí účinky</w:delText>
        </w:r>
      </w:del>
    </w:p>
    <w:p w14:paraId="29CA3EC3" w14:textId="77777777" w:rsidR="0036522D" w:rsidRPr="001B4A02" w:rsidRDefault="0036522D" w:rsidP="00D279BC">
      <w:pPr>
        <w:keepNext/>
        <w:ind w:left="0" w:firstLine="0"/>
        <w:rPr>
          <w:del w:id="4639" w:author="AbbVie1" w:date="2025-05-13T09:50:00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1440"/>
        <w:gridCol w:w="4689"/>
      </w:tblGrid>
      <w:tr w:rsidR="00534A2D" w14:paraId="66403DA2" w14:textId="77777777" w:rsidTr="008D783A">
        <w:trPr>
          <w:jc w:val="center"/>
          <w:del w:id="4640" w:author="AbbVie1" w:date="2025-05-13T09:50:00Z"/>
        </w:trPr>
        <w:tc>
          <w:tcPr>
            <w:tcW w:w="2880" w:type="dxa"/>
            <w:tcBorders>
              <w:top w:val="single" w:sz="4" w:space="0" w:color="auto"/>
              <w:left w:val="single" w:sz="4" w:space="0" w:color="auto"/>
              <w:bottom w:val="single" w:sz="4" w:space="0" w:color="auto"/>
              <w:right w:val="single" w:sz="4" w:space="0" w:color="auto"/>
            </w:tcBorders>
          </w:tcPr>
          <w:p w14:paraId="4ED68965" w14:textId="77777777" w:rsidR="0036522D" w:rsidRPr="001B4A02" w:rsidRDefault="00000000" w:rsidP="00D279BC">
            <w:pPr>
              <w:pStyle w:val="EMEANormal"/>
              <w:keepNext/>
              <w:tabs>
                <w:tab w:val="left" w:pos="0"/>
              </w:tabs>
              <w:rPr>
                <w:del w:id="4641" w:author="AbbVie1" w:date="2025-05-13T09:50:00Z"/>
                <w:b/>
                <w:bCs/>
                <w:szCs w:val="22"/>
                <w:lang w:val="cs-CZ"/>
              </w:rPr>
            </w:pPr>
            <w:del w:id="4642" w:author="AbbVie1" w:date="2025-05-13T09:50:00Z">
              <w:r w:rsidRPr="001B4A02">
                <w:rPr>
                  <w:b/>
                  <w:bCs/>
                  <w:szCs w:val="22"/>
                  <w:lang w:val="cs-CZ"/>
                </w:rPr>
                <w:delText>Třídy orgánových systémů</w:delText>
              </w:r>
            </w:del>
          </w:p>
        </w:tc>
        <w:tc>
          <w:tcPr>
            <w:tcW w:w="1440" w:type="dxa"/>
            <w:tcBorders>
              <w:top w:val="single" w:sz="4" w:space="0" w:color="auto"/>
              <w:left w:val="single" w:sz="4" w:space="0" w:color="auto"/>
              <w:bottom w:val="single" w:sz="4" w:space="0" w:color="auto"/>
              <w:right w:val="single" w:sz="4" w:space="0" w:color="auto"/>
            </w:tcBorders>
          </w:tcPr>
          <w:p w14:paraId="1761B745" w14:textId="77777777" w:rsidR="0036522D" w:rsidRPr="001B4A02" w:rsidRDefault="00000000" w:rsidP="00D279BC">
            <w:pPr>
              <w:pStyle w:val="EMEANormal"/>
              <w:keepNext/>
              <w:ind w:left="112"/>
              <w:jc w:val="center"/>
              <w:rPr>
                <w:del w:id="4643" w:author="AbbVie1" w:date="2025-05-13T09:50:00Z"/>
                <w:b/>
                <w:bCs/>
                <w:szCs w:val="22"/>
                <w:lang w:val="cs-CZ"/>
              </w:rPr>
            </w:pPr>
            <w:del w:id="4644" w:author="AbbVie1" w:date="2025-05-13T09:50:00Z">
              <w:r w:rsidRPr="001B4A02">
                <w:rPr>
                  <w:b/>
                  <w:bCs/>
                  <w:szCs w:val="22"/>
                  <w:lang w:val="cs-CZ"/>
                </w:rPr>
                <w:delText>Frekvence</w:delText>
              </w:r>
            </w:del>
          </w:p>
        </w:tc>
        <w:tc>
          <w:tcPr>
            <w:tcW w:w="4689" w:type="dxa"/>
            <w:tcBorders>
              <w:top w:val="single" w:sz="4" w:space="0" w:color="auto"/>
              <w:left w:val="single" w:sz="4" w:space="0" w:color="auto"/>
              <w:bottom w:val="single" w:sz="4" w:space="0" w:color="auto"/>
              <w:right w:val="single" w:sz="4" w:space="0" w:color="auto"/>
            </w:tcBorders>
          </w:tcPr>
          <w:p w14:paraId="1AC081CC" w14:textId="77777777" w:rsidR="0036522D" w:rsidRPr="001B4A02" w:rsidRDefault="00000000" w:rsidP="00D279BC">
            <w:pPr>
              <w:pStyle w:val="EMEANormal"/>
              <w:keepNext/>
              <w:jc w:val="center"/>
              <w:rPr>
                <w:del w:id="4645" w:author="AbbVie1" w:date="2025-05-13T09:50:00Z"/>
                <w:b/>
                <w:bCs/>
                <w:szCs w:val="22"/>
                <w:lang w:val="cs-CZ"/>
              </w:rPr>
            </w:pPr>
            <w:del w:id="4646" w:author="AbbVie1" w:date="2025-05-13T09:50:00Z">
              <w:r w:rsidRPr="001B4A02">
                <w:rPr>
                  <w:b/>
                  <w:bCs/>
                  <w:szCs w:val="22"/>
                  <w:lang w:val="cs-CZ"/>
                </w:rPr>
                <w:delText>Nežádoucí účinek</w:delText>
              </w:r>
            </w:del>
          </w:p>
        </w:tc>
      </w:tr>
      <w:tr w:rsidR="00534A2D" w14:paraId="504A7B19" w14:textId="77777777" w:rsidTr="00961CF6">
        <w:trPr>
          <w:cantSplit/>
          <w:trHeight w:val="343"/>
          <w:jc w:val="center"/>
          <w:del w:id="4647" w:author="AbbVie1" w:date="2025-05-13T09:50:00Z"/>
        </w:trPr>
        <w:tc>
          <w:tcPr>
            <w:tcW w:w="2880" w:type="dxa"/>
            <w:vMerge w:val="restart"/>
            <w:tcBorders>
              <w:top w:val="single" w:sz="4" w:space="0" w:color="auto"/>
              <w:left w:val="single" w:sz="4" w:space="0" w:color="auto"/>
              <w:bottom w:val="single" w:sz="4" w:space="0" w:color="auto"/>
              <w:right w:val="single" w:sz="4" w:space="0" w:color="auto"/>
            </w:tcBorders>
          </w:tcPr>
          <w:p w14:paraId="4989577A" w14:textId="77777777" w:rsidR="0036522D" w:rsidRPr="001B4A02" w:rsidRDefault="00000000" w:rsidP="00ED48A3">
            <w:pPr>
              <w:pStyle w:val="EMEANormal"/>
              <w:tabs>
                <w:tab w:val="left" w:pos="0"/>
              </w:tabs>
              <w:rPr>
                <w:del w:id="4648" w:author="AbbVie1" w:date="2025-05-13T09:50:00Z"/>
                <w:szCs w:val="22"/>
                <w:lang w:val="cs-CZ"/>
              </w:rPr>
            </w:pPr>
            <w:del w:id="4649" w:author="AbbVie1" w:date="2025-05-13T09:50:00Z">
              <w:r w:rsidRPr="001B4A02">
                <w:rPr>
                  <w:szCs w:val="22"/>
                  <w:lang w:val="cs-CZ"/>
                </w:rPr>
                <w:delText>Infekce</w:delText>
              </w:r>
              <w:r w:rsidR="002378E0">
                <w:rPr>
                  <w:szCs w:val="22"/>
                  <w:lang w:val="cs-CZ"/>
                </w:rPr>
                <w:delText xml:space="preserve"> a </w:delText>
              </w:r>
              <w:r w:rsidRPr="001B4A02">
                <w:rPr>
                  <w:szCs w:val="22"/>
                  <w:lang w:val="cs-CZ"/>
                </w:rPr>
                <w:delText>infestace*</w:delText>
              </w:r>
            </w:del>
          </w:p>
        </w:tc>
        <w:tc>
          <w:tcPr>
            <w:tcW w:w="1440" w:type="dxa"/>
            <w:tcBorders>
              <w:top w:val="single" w:sz="4" w:space="0" w:color="auto"/>
              <w:left w:val="single" w:sz="4" w:space="0" w:color="auto"/>
              <w:bottom w:val="single" w:sz="4" w:space="0" w:color="auto"/>
              <w:right w:val="single" w:sz="4" w:space="0" w:color="auto"/>
            </w:tcBorders>
          </w:tcPr>
          <w:p w14:paraId="34EDC52D" w14:textId="77777777" w:rsidR="0036522D" w:rsidRPr="001B4A02" w:rsidRDefault="00000000" w:rsidP="00ED48A3">
            <w:pPr>
              <w:pStyle w:val="EMEANormal"/>
              <w:rPr>
                <w:del w:id="4650" w:author="AbbVie1" w:date="2025-05-13T09:50:00Z"/>
                <w:szCs w:val="22"/>
                <w:lang w:val="cs-CZ"/>
              </w:rPr>
            </w:pPr>
            <w:del w:id="4651"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tcPr>
          <w:p w14:paraId="20B231BB" w14:textId="77777777" w:rsidR="0036522D" w:rsidRPr="001B4A02" w:rsidRDefault="00000000" w:rsidP="00ED48A3">
            <w:pPr>
              <w:pStyle w:val="EMEANormal"/>
              <w:rPr>
                <w:del w:id="4652" w:author="AbbVie1" w:date="2025-05-13T09:50:00Z"/>
                <w:szCs w:val="22"/>
                <w:lang w:val="cs-CZ"/>
              </w:rPr>
            </w:pPr>
            <w:del w:id="4653" w:author="AbbVie1" w:date="2025-05-13T09:50:00Z">
              <w:r w:rsidRPr="001B4A02">
                <w:rPr>
                  <w:szCs w:val="22"/>
                  <w:lang w:val="cs-CZ"/>
                </w:rPr>
                <w:delText>Infekce dýchacích cest (včetně infekce dolních</w:delText>
              </w:r>
              <w:r w:rsidR="002378E0">
                <w:rPr>
                  <w:szCs w:val="22"/>
                  <w:lang w:val="cs-CZ"/>
                </w:rPr>
                <w:delText xml:space="preserve"> a </w:delText>
              </w:r>
              <w:r w:rsidRPr="001B4A02">
                <w:rPr>
                  <w:szCs w:val="22"/>
                  <w:lang w:val="cs-CZ"/>
                </w:rPr>
                <w:delText>horních cest dýchacích, pneumonie, sinusitidy, faryngitidy, nazofaryngitidy</w:delText>
              </w:r>
              <w:r w:rsidR="002378E0">
                <w:rPr>
                  <w:szCs w:val="22"/>
                  <w:lang w:val="cs-CZ"/>
                </w:rPr>
                <w:delText xml:space="preserve"> a </w:delText>
              </w:r>
              <w:r w:rsidRPr="001B4A02">
                <w:rPr>
                  <w:szCs w:val="22"/>
                  <w:lang w:val="cs-CZ"/>
                </w:rPr>
                <w:delText>pneumonie vyvolané herpetickými viry)</w:delText>
              </w:r>
            </w:del>
          </w:p>
          <w:p w14:paraId="6F2A995D" w14:textId="77777777" w:rsidR="0036522D" w:rsidRPr="001B4A02" w:rsidRDefault="0036522D" w:rsidP="00ED48A3">
            <w:pPr>
              <w:pStyle w:val="EMEANormal"/>
              <w:rPr>
                <w:del w:id="4654" w:author="AbbVie1" w:date="2025-05-13T09:50:00Z"/>
                <w:szCs w:val="22"/>
                <w:lang w:val="cs-CZ"/>
              </w:rPr>
            </w:pPr>
          </w:p>
        </w:tc>
      </w:tr>
      <w:tr w:rsidR="00534A2D" w14:paraId="5FE5B651" w14:textId="77777777" w:rsidTr="00961CF6">
        <w:trPr>
          <w:cantSplit/>
          <w:trHeight w:val="342"/>
          <w:jc w:val="center"/>
          <w:del w:id="4655"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546140BA" w14:textId="77777777" w:rsidR="0036522D" w:rsidRPr="001B4A02" w:rsidRDefault="0036522D" w:rsidP="00ED48A3">
            <w:pPr>
              <w:ind w:left="0" w:firstLine="0"/>
              <w:rPr>
                <w:del w:id="4656"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31FD06D3" w14:textId="77777777" w:rsidR="0036522D" w:rsidRPr="001B4A02" w:rsidRDefault="00000000" w:rsidP="00ED48A3">
            <w:pPr>
              <w:pStyle w:val="EMEANormal"/>
              <w:rPr>
                <w:del w:id="4657" w:author="AbbVie1" w:date="2025-05-13T09:50:00Z"/>
                <w:szCs w:val="22"/>
                <w:lang w:val="cs-CZ"/>
              </w:rPr>
            </w:pPr>
            <w:del w:id="4658"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52FB8BAB" w14:textId="77777777" w:rsidR="0036522D" w:rsidRPr="001B4A02" w:rsidRDefault="00000000" w:rsidP="00ED48A3">
            <w:pPr>
              <w:pStyle w:val="EMEANormal"/>
              <w:rPr>
                <w:del w:id="4659" w:author="AbbVie1" w:date="2025-05-13T09:50:00Z"/>
                <w:szCs w:val="22"/>
                <w:lang w:val="cs-CZ"/>
              </w:rPr>
            </w:pPr>
            <w:del w:id="4660" w:author="AbbVie1" w:date="2025-05-13T09:50:00Z">
              <w:r w:rsidRPr="001B4A02">
                <w:rPr>
                  <w:szCs w:val="22"/>
                  <w:lang w:val="cs-CZ"/>
                </w:rPr>
                <w:delText>Systémové infekce (včetně sepse, kandidózy</w:delText>
              </w:r>
              <w:r w:rsidR="002378E0">
                <w:rPr>
                  <w:szCs w:val="22"/>
                  <w:lang w:val="cs-CZ"/>
                </w:rPr>
                <w:delText xml:space="preserve"> a </w:delText>
              </w:r>
              <w:r w:rsidRPr="001B4A02">
                <w:rPr>
                  <w:szCs w:val="22"/>
                  <w:lang w:val="cs-CZ"/>
                </w:rPr>
                <w:delText>chřipky),</w:delText>
              </w:r>
            </w:del>
          </w:p>
          <w:p w14:paraId="1729EFBF" w14:textId="77777777" w:rsidR="0036522D" w:rsidRPr="001B4A02" w:rsidRDefault="00000000" w:rsidP="00ED48A3">
            <w:pPr>
              <w:pStyle w:val="EMEANormal"/>
              <w:rPr>
                <w:del w:id="4661" w:author="AbbVie1" w:date="2025-05-13T09:50:00Z"/>
                <w:szCs w:val="22"/>
                <w:lang w:val="cs-CZ"/>
              </w:rPr>
            </w:pPr>
            <w:del w:id="4662" w:author="AbbVie1" w:date="2025-05-13T09:50:00Z">
              <w:r w:rsidRPr="001B4A02">
                <w:rPr>
                  <w:szCs w:val="22"/>
                  <w:lang w:val="cs-CZ"/>
                </w:rPr>
                <w:delText>střevní infekce (včetně virové gastroenteritidy),</w:delText>
              </w:r>
            </w:del>
          </w:p>
          <w:p w14:paraId="3EDF36F2" w14:textId="77777777" w:rsidR="0036522D" w:rsidRPr="001B4A02" w:rsidRDefault="00000000" w:rsidP="00ED48A3">
            <w:pPr>
              <w:pStyle w:val="EMEANormal"/>
              <w:rPr>
                <w:del w:id="4663" w:author="AbbVie1" w:date="2025-05-13T09:50:00Z"/>
                <w:szCs w:val="22"/>
                <w:lang w:val="cs-CZ"/>
              </w:rPr>
            </w:pPr>
            <w:del w:id="4664" w:author="AbbVie1" w:date="2025-05-13T09:50:00Z">
              <w:r w:rsidRPr="001B4A02">
                <w:rPr>
                  <w:szCs w:val="22"/>
                  <w:lang w:val="cs-CZ"/>
                </w:rPr>
                <w:delText>infekce kůže</w:delText>
              </w:r>
              <w:r w:rsidR="002378E0">
                <w:rPr>
                  <w:szCs w:val="22"/>
                  <w:lang w:val="cs-CZ"/>
                </w:rPr>
                <w:delText xml:space="preserve"> a </w:delText>
              </w:r>
              <w:r w:rsidRPr="001B4A02">
                <w:rPr>
                  <w:szCs w:val="22"/>
                  <w:lang w:val="cs-CZ"/>
                </w:rPr>
                <w:delText>měkkých tkání (včetně paronychia, celulitidy, impetiga, nekrotizující fasciitidy</w:delText>
              </w:r>
              <w:r w:rsidR="002378E0">
                <w:rPr>
                  <w:szCs w:val="22"/>
                  <w:lang w:val="cs-CZ"/>
                </w:rPr>
                <w:delText xml:space="preserve"> a </w:delText>
              </w:r>
              <w:r w:rsidRPr="001B4A02">
                <w:rPr>
                  <w:szCs w:val="22"/>
                  <w:lang w:val="cs-CZ"/>
                </w:rPr>
                <w:delText>herpes zoster</w:delText>
              </w:r>
              <w:r w:rsidR="00153468" w:rsidRPr="001B4A02">
                <w:rPr>
                  <w:szCs w:val="22"/>
                  <w:lang w:val="cs-CZ"/>
                </w:rPr>
                <w:delText>)</w:delText>
              </w:r>
              <w:r w:rsidRPr="001B4A02">
                <w:rPr>
                  <w:szCs w:val="22"/>
                  <w:lang w:val="cs-CZ"/>
                </w:rPr>
                <w:delText>,</w:delText>
              </w:r>
            </w:del>
          </w:p>
          <w:p w14:paraId="144BC379" w14:textId="77777777" w:rsidR="0036522D" w:rsidRPr="001B4A02" w:rsidRDefault="00000000" w:rsidP="00ED48A3">
            <w:pPr>
              <w:pStyle w:val="EMEANormal"/>
              <w:rPr>
                <w:del w:id="4665" w:author="AbbVie1" w:date="2025-05-13T09:50:00Z"/>
                <w:szCs w:val="22"/>
                <w:lang w:val="cs-CZ"/>
              </w:rPr>
            </w:pPr>
            <w:del w:id="4666" w:author="AbbVie1" w:date="2025-05-13T09:50:00Z">
              <w:r w:rsidRPr="001B4A02">
                <w:rPr>
                  <w:szCs w:val="22"/>
                  <w:lang w:val="cs-CZ"/>
                </w:rPr>
                <w:delText>ušní infekce,</w:delText>
              </w:r>
            </w:del>
          </w:p>
          <w:p w14:paraId="3996BF77" w14:textId="77777777" w:rsidR="0036522D" w:rsidRPr="001B4A02" w:rsidRDefault="00000000" w:rsidP="00ED48A3">
            <w:pPr>
              <w:pStyle w:val="EMEANormal"/>
              <w:rPr>
                <w:del w:id="4667" w:author="AbbVie1" w:date="2025-05-13T09:50:00Z"/>
                <w:szCs w:val="22"/>
                <w:shd w:val="clear" w:color="auto" w:fill="FFFF00"/>
                <w:lang w:val="cs-CZ"/>
              </w:rPr>
            </w:pPr>
            <w:del w:id="4668" w:author="AbbVie1" w:date="2025-05-13T09:50:00Z">
              <w:r w:rsidRPr="001B4A02">
                <w:rPr>
                  <w:szCs w:val="22"/>
                  <w:lang w:val="cs-CZ"/>
                </w:rPr>
                <w:delText>orální infekce (včetně herpes simplex, orální</w:delText>
              </w:r>
              <w:r w:rsidR="00936E7B">
                <w:rPr>
                  <w:szCs w:val="22"/>
                  <w:lang w:val="cs-CZ"/>
                </w:rPr>
                <w:delText>ho</w:delText>
              </w:r>
              <w:r w:rsidRPr="001B4A02">
                <w:rPr>
                  <w:szCs w:val="22"/>
                  <w:lang w:val="cs-CZ"/>
                </w:rPr>
                <w:delText xml:space="preserve"> herpes</w:delText>
              </w:r>
              <w:r w:rsidR="002378E0">
                <w:rPr>
                  <w:szCs w:val="22"/>
                  <w:lang w:val="cs-CZ"/>
                </w:rPr>
                <w:delText xml:space="preserve"> a </w:delText>
              </w:r>
              <w:r w:rsidRPr="001B4A02">
                <w:rPr>
                  <w:szCs w:val="22"/>
                  <w:lang w:val="cs-CZ"/>
                </w:rPr>
                <w:delText>zubní</w:delText>
              </w:r>
              <w:r w:rsidR="00153468" w:rsidRPr="001B4A02">
                <w:rPr>
                  <w:szCs w:val="22"/>
                  <w:lang w:val="cs-CZ"/>
                </w:rPr>
                <w:delText>ch</w:delText>
              </w:r>
              <w:r w:rsidRPr="001B4A02">
                <w:rPr>
                  <w:szCs w:val="22"/>
                  <w:lang w:val="cs-CZ"/>
                </w:rPr>
                <w:delText xml:space="preserve"> infekc</w:delText>
              </w:r>
              <w:r w:rsidR="00153468" w:rsidRPr="001B4A02">
                <w:rPr>
                  <w:szCs w:val="22"/>
                  <w:lang w:val="cs-CZ"/>
                </w:rPr>
                <w:delText>í</w:delText>
              </w:r>
              <w:r w:rsidRPr="001B4A02">
                <w:rPr>
                  <w:szCs w:val="22"/>
                  <w:lang w:val="cs-CZ"/>
                </w:rPr>
                <w:delText>),</w:delText>
              </w:r>
              <w:r w:rsidRPr="001B4A02">
                <w:rPr>
                  <w:szCs w:val="22"/>
                  <w:shd w:val="clear" w:color="auto" w:fill="FFFF00"/>
                  <w:lang w:val="cs-CZ"/>
                </w:rPr>
                <w:delText xml:space="preserve"> </w:delText>
              </w:r>
            </w:del>
          </w:p>
          <w:p w14:paraId="673C0F25" w14:textId="77777777" w:rsidR="0036522D" w:rsidRPr="001B4A02" w:rsidRDefault="00000000" w:rsidP="00ED48A3">
            <w:pPr>
              <w:pStyle w:val="EMEANormal"/>
              <w:rPr>
                <w:del w:id="4669" w:author="AbbVie1" w:date="2025-05-13T09:50:00Z"/>
                <w:szCs w:val="22"/>
                <w:lang w:val="cs-CZ"/>
              </w:rPr>
            </w:pPr>
            <w:del w:id="4670" w:author="AbbVie1" w:date="2025-05-13T09:50:00Z">
              <w:r w:rsidRPr="001B4A02">
                <w:rPr>
                  <w:szCs w:val="22"/>
                  <w:lang w:val="cs-CZ"/>
                </w:rPr>
                <w:delText>infekce reprodukčního systému (včetně vulvovaginální myotické infekce),</w:delText>
              </w:r>
            </w:del>
          </w:p>
          <w:p w14:paraId="061DF342" w14:textId="77777777" w:rsidR="0036522D" w:rsidRPr="001B4A02" w:rsidRDefault="00000000" w:rsidP="00ED48A3">
            <w:pPr>
              <w:pStyle w:val="EMEANormal"/>
              <w:rPr>
                <w:del w:id="4671" w:author="AbbVie1" w:date="2025-05-13T09:50:00Z"/>
                <w:szCs w:val="22"/>
                <w:lang w:val="cs-CZ"/>
              </w:rPr>
            </w:pPr>
            <w:del w:id="4672" w:author="AbbVie1" w:date="2025-05-13T09:50:00Z">
              <w:r w:rsidRPr="001B4A02">
                <w:rPr>
                  <w:szCs w:val="22"/>
                  <w:lang w:val="cs-CZ"/>
                </w:rPr>
                <w:delText>infekce močových cest (včetně pyelonefritidy),</w:delText>
              </w:r>
            </w:del>
          </w:p>
          <w:p w14:paraId="4609E545" w14:textId="77777777" w:rsidR="00096FA6" w:rsidRPr="001B4A02" w:rsidRDefault="00000000" w:rsidP="00ED48A3">
            <w:pPr>
              <w:pStyle w:val="EMEANormal"/>
              <w:rPr>
                <w:del w:id="4673" w:author="AbbVie1" w:date="2025-05-13T09:50:00Z"/>
                <w:szCs w:val="22"/>
                <w:lang w:val="cs-CZ"/>
              </w:rPr>
            </w:pPr>
            <w:del w:id="4674" w:author="AbbVie1" w:date="2025-05-13T09:50:00Z">
              <w:r w:rsidRPr="001B4A02">
                <w:rPr>
                  <w:szCs w:val="22"/>
                  <w:lang w:val="cs-CZ"/>
                </w:rPr>
                <w:delText>plísňové infekce,</w:delText>
              </w:r>
            </w:del>
          </w:p>
          <w:p w14:paraId="04AD6E0C" w14:textId="77777777" w:rsidR="0036522D" w:rsidRPr="001B4A02" w:rsidRDefault="00000000" w:rsidP="00ED48A3">
            <w:pPr>
              <w:pStyle w:val="EMEANormal"/>
              <w:rPr>
                <w:del w:id="4675" w:author="AbbVie1" w:date="2025-05-13T09:50:00Z"/>
                <w:szCs w:val="22"/>
                <w:lang w:val="cs-CZ"/>
              </w:rPr>
            </w:pPr>
            <w:del w:id="4676" w:author="AbbVie1" w:date="2025-05-13T09:50:00Z">
              <w:r w:rsidRPr="001B4A02">
                <w:rPr>
                  <w:szCs w:val="22"/>
                  <w:lang w:val="cs-CZ"/>
                </w:rPr>
                <w:delText xml:space="preserve">kloubní infekce </w:delText>
              </w:r>
            </w:del>
          </w:p>
          <w:p w14:paraId="0C637E01" w14:textId="77777777" w:rsidR="0036522D" w:rsidRPr="001B4A02" w:rsidRDefault="0036522D" w:rsidP="00ED48A3">
            <w:pPr>
              <w:pStyle w:val="EMEANormal"/>
              <w:rPr>
                <w:del w:id="4677" w:author="AbbVie1" w:date="2025-05-13T09:50:00Z"/>
                <w:szCs w:val="22"/>
                <w:lang w:val="cs-CZ"/>
              </w:rPr>
            </w:pPr>
          </w:p>
        </w:tc>
      </w:tr>
      <w:tr w:rsidR="00534A2D" w14:paraId="7C35A747" w14:textId="77777777" w:rsidTr="00961CF6">
        <w:trPr>
          <w:cantSplit/>
          <w:trHeight w:val="342"/>
          <w:jc w:val="center"/>
          <w:del w:id="4678"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0A9025FC" w14:textId="77777777" w:rsidR="0036522D" w:rsidRPr="001B4A02" w:rsidRDefault="0036522D" w:rsidP="00ED48A3">
            <w:pPr>
              <w:ind w:left="0" w:firstLine="0"/>
              <w:rPr>
                <w:del w:id="4679"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570DDEE1" w14:textId="77777777" w:rsidR="0036522D" w:rsidRPr="001B4A02" w:rsidRDefault="00000000" w:rsidP="00ED48A3">
            <w:pPr>
              <w:pStyle w:val="EMEANormal"/>
              <w:rPr>
                <w:del w:id="4680" w:author="AbbVie1" w:date="2025-05-13T09:50:00Z"/>
                <w:szCs w:val="22"/>
                <w:lang w:val="cs-CZ"/>
              </w:rPr>
            </w:pPr>
            <w:del w:id="4681"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4A2C4FA1" w14:textId="77777777" w:rsidR="0068379B" w:rsidRPr="001B4A02" w:rsidRDefault="00000000" w:rsidP="00ED48A3">
            <w:pPr>
              <w:pStyle w:val="EMEANormal"/>
              <w:rPr>
                <w:del w:id="4682" w:author="AbbVie1" w:date="2025-05-13T09:50:00Z"/>
                <w:szCs w:val="22"/>
                <w:lang w:val="cs-CZ"/>
              </w:rPr>
            </w:pPr>
            <w:del w:id="4683" w:author="AbbVie1" w:date="2025-05-13T09:50:00Z">
              <w:r w:rsidRPr="001B4A02">
                <w:rPr>
                  <w:szCs w:val="22"/>
                  <w:lang w:val="cs-CZ"/>
                </w:rPr>
                <w:delText>Neurologické infekce (včetně virové meningitidy),</w:delText>
              </w:r>
            </w:del>
          </w:p>
          <w:p w14:paraId="20F7B0ED" w14:textId="77777777" w:rsidR="0036522D" w:rsidRPr="001B4A02" w:rsidRDefault="00000000" w:rsidP="00ED48A3">
            <w:pPr>
              <w:pStyle w:val="EMEANormal"/>
              <w:rPr>
                <w:del w:id="4684" w:author="AbbVie1" w:date="2025-05-13T09:50:00Z"/>
                <w:szCs w:val="22"/>
                <w:lang w:val="cs-CZ"/>
              </w:rPr>
            </w:pPr>
            <w:del w:id="4685" w:author="AbbVie1" w:date="2025-05-13T09:50:00Z">
              <w:r w:rsidRPr="001B4A02">
                <w:rPr>
                  <w:szCs w:val="22"/>
                  <w:lang w:val="cs-CZ"/>
                </w:rPr>
                <w:delText>oportunní infekce</w:delText>
              </w:r>
              <w:r w:rsidR="002378E0">
                <w:rPr>
                  <w:szCs w:val="22"/>
                  <w:lang w:val="cs-CZ"/>
                </w:rPr>
                <w:delText xml:space="preserve"> a </w:delText>
              </w:r>
              <w:r w:rsidRPr="001B4A02">
                <w:rPr>
                  <w:szCs w:val="22"/>
                  <w:lang w:val="cs-CZ"/>
                </w:rPr>
                <w:delText>tuberkulóza (včetně kokcidiomykózy, histoplasmózy</w:delText>
              </w:r>
              <w:r w:rsidR="002378E0">
                <w:rPr>
                  <w:szCs w:val="22"/>
                  <w:lang w:val="cs-CZ"/>
                </w:rPr>
                <w:delText xml:space="preserve"> a </w:delText>
              </w:r>
              <w:r w:rsidRPr="001B4A02">
                <w:rPr>
                  <w:szCs w:val="22"/>
                  <w:lang w:val="cs-CZ"/>
                </w:rPr>
                <w:delText>infekcí způsobených mycobacterium avium complex),</w:delText>
              </w:r>
            </w:del>
          </w:p>
          <w:p w14:paraId="594B3AFB" w14:textId="77777777" w:rsidR="0068379B" w:rsidRPr="001B4A02" w:rsidRDefault="00000000" w:rsidP="00ED48A3">
            <w:pPr>
              <w:pStyle w:val="EMEANormal"/>
              <w:rPr>
                <w:del w:id="4686" w:author="AbbVie1" w:date="2025-05-13T09:50:00Z"/>
                <w:szCs w:val="22"/>
                <w:lang w:val="cs-CZ"/>
              </w:rPr>
            </w:pPr>
            <w:del w:id="4687" w:author="AbbVie1" w:date="2025-05-13T09:50:00Z">
              <w:r w:rsidRPr="001B4A02">
                <w:rPr>
                  <w:szCs w:val="22"/>
                  <w:lang w:val="cs-CZ"/>
                </w:rPr>
                <w:delText>bakteriální infekce,</w:delText>
              </w:r>
            </w:del>
          </w:p>
          <w:p w14:paraId="36228294" w14:textId="77777777" w:rsidR="0036522D" w:rsidRPr="001B4A02" w:rsidRDefault="00000000" w:rsidP="00ED48A3">
            <w:pPr>
              <w:pStyle w:val="EMEANormal"/>
              <w:rPr>
                <w:del w:id="4688" w:author="AbbVie1" w:date="2025-05-13T09:50:00Z"/>
                <w:szCs w:val="22"/>
                <w:lang w:val="cs-CZ"/>
              </w:rPr>
            </w:pPr>
            <w:del w:id="4689" w:author="AbbVie1" w:date="2025-05-13T09:50:00Z">
              <w:r w:rsidRPr="001B4A02">
                <w:rPr>
                  <w:szCs w:val="22"/>
                  <w:lang w:val="cs-CZ"/>
                </w:rPr>
                <w:delText>oční infekce,</w:delText>
              </w:r>
            </w:del>
          </w:p>
          <w:p w14:paraId="64F847F9" w14:textId="77777777" w:rsidR="0068379B" w:rsidRPr="001B4A02" w:rsidRDefault="00000000" w:rsidP="00ED48A3">
            <w:pPr>
              <w:pStyle w:val="EMEANormal"/>
              <w:rPr>
                <w:del w:id="4690" w:author="AbbVie1" w:date="2025-05-13T09:50:00Z"/>
                <w:szCs w:val="22"/>
                <w:lang w:val="cs-CZ"/>
              </w:rPr>
            </w:pPr>
            <w:del w:id="4691" w:author="AbbVie1" w:date="2025-05-13T09:50:00Z">
              <w:r w:rsidRPr="001B4A02">
                <w:rPr>
                  <w:szCs w:val="22"/>
                  <w:lang w:val="cs-CZ"/>
                </w:rPr>
                <w:delText>divertikulitida</w:delText>
              </w:r>
              <w:r w:rsidRPr="001B4A02">
                <w:rPr>
                  <w:szCs w:val="22"/>
                  <w:vertAlign w:val="superscript"/>
                  <w:lang w:val="cs-CZ"/>
                </w:rPr>
                <w:delText>1)</w:delText>
              </w:r>
            </w:del>
          </w:p>
          <w:p w14:paraId="23EDFDFD" w14:textId="77777777" w:rsidR="0036522D" w:rsidRPr="001B4A02" w:rsidRDefault="0036522D" w:rsidP="00ED48A3">
            <w:pPr>
              <w:pStyle w:val="EMEANormal"/>
              <w:rPr>
                <w:del w:id="4692" w:author="AbbVie1" w:date="2025-05-13T09:50:00Z"/>
                <w:szCs w:val="22"/>
                <w:lang w:val="cs-CZ"/>
              </w:rPr>
            </w:pPr>
          </w:p>
        </w:tc>
      </w:tr>
      <w:tr w:rsidR="00534A2D" w14:paraId="16E2F318" w14:textId="77777777" w:rsidTr="00961CF6">
        <w:trPr>
          <w:cantSplit/>
          <w:trHeight w:val="274"/>
          <w:jc w:val="center"/>
          <w:del w:id="4693" w:author="AbbVie1" w:date="2025-05-13T09:50:00Z"/>
        </w:trPr>
        <w:tc>
          <w:tcPr>
            <w:tcW w:w="2880" w:type="dxa"/>
            <w:vMerge w:val="restart"/>
            <w:tcBorders>
              <w:top w:val="single" w:sz="4" w:space="0" w:color="auto"/>
              <w:left w:val="single" w:sz="4" w:space="0" w:color="auto"/>
              <w:right w:val="single" w:sz="4" w:space="0" w:color="auto"/>
            </w:tcBorders>
          </w:tcPr>
          <w:p w14:paraId="315F3CDD" w14:textId="77777777" w:rsidR="0068379B" w:rsidRPr="001B4A02" w:rsidRDefault="00000000" w:rsidP="00ED48A3">
            <w:pPr>
              <w:pStyle w:val="EMEANormal"/>
              <w:tabs>
                <w:tab w:val="left" w:pos="0"/>
              </w:tabs>
              <w:suppressAutoHyphens w:val="0"/>
              <w:rPr>
                <w:del w:id="4694" w:author="AbbVie1" w:date="2025-05-13T09:50:00Z"/>
                <w:szCs w:val="22"/>
                <w:lang w:val="cs-CZ"/>
              </w:rPr>
            </w:pPr>
            <w:del w:id="4695" w:author="AbbVie1" w:date="2025-05-13T09:50:00Z">
              <w:r w:rsidRPr="001B4A02">
                <w:rPr>
                  <w:szCs w:val="22"/>
                  <w:lang w:val="cs-CZ"/>
                </w:rPr>
                <w:delText>Novotvary benigní, maligní</w:delText>
              </w:r>
              <w:r w:rsidR="002378E0">
                <w:rPr>
                  <w:szCs w:val="22"/>
                  <w:lang w:val="cs-CZ"/>
                </w:rPr>
                <w:delText xml:space="preserve"> a </w:delText>
              </w:r>
              <w:r w:rsidRPr="001B4A02">
                <w:rPr>
                  <w:szCs w:val="22"/>
                  <w:lang w:val="cs-CZ"/>
                </w:rPr>
                <w:delText>blíže neurčené (zahrnující cysty</w:delText>
              </w:r>
              <w:r w:rsidR="002378E0">
                <w:rPr>
                  <w:szCs w:val="22"/>
                  <w:lang w:val="cs-CZ"/>
                </w:rPr>
                <w:delText xml:space="preserve"> a </w:delText>
              </w:r>
              <w:r w:rsidRPr="001B4A02">
                <w:rPr>
                  <w:szCs w:val="22"/>
                  <w:lang w:val="cs-CZ"/>
                </w:rPr>
                <w:delText>polypy)*</w:delText>
              </w:r>
            </w:del>
          </w:p>
        </w:tc>
        <w:tc>
          <w:tcPr>
            <w:tcW w:w="1440" w:type="dxa"/>
            <w:tcBorders>
              <w:top w:val="single" w:sz="4" w:space="0" w:color="auto"/>
              <w:left w:val="single" w:sz="4" w:space="0" w:color="auto"/>
              <w:bottom w:val="single" w:sz="4" w:space="0" w:color="auto"/>
              <w:right w:val="single" w:sz="4" w:space="0" w:color="auto"/>
            </w:tcBorders>
          </w:tcPr>
          <w:p w14:paraId="2DAEBDAF" w14:textId="77777777" w:rsidR="0068379B" w:rsidRPr="001B4A02" w:rsidRDefault="00000000" w:rsidP="00ED48A3">
            <w:pPr>
              <w:pStyle w:val="EMEANormal"/>
              <w:rPr>
                <w:del w:id="4696" w:author="AbbVie1" w:date="2025-05-13T09:50:00Z"/>
                <w:szCs w:val="22"/>
                <w:lang w:val="cs-CZ"/>
              </w:rPr>
            </w:pPr>
            <w:del w:id="4697"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23AF9C6C" w14:textId="77777777" w:rsidR="0068379B" w:rsidRPr="001B4A02" w:rsidRDefault="00000000" w:rsidP="00ED48A3">
            <w:pPr>
              <w:pStyle w:val="EMEANormal"/>
              <w:rPr>
                <w:del w:id="4698" w:author="AbbVie1" w:date="2025-05-13T09:50:00Z"/>
                <w:szCs w:val="22"/>
                <w:lang w:val="cs-CZ"/>
              </w:rPr>
            </w:pPr>
            <w:del w:id="4699" w:author="AbbVie1" w:date="2025-05-13T09:50:00Z">
              <w:r w:rsidRPr="001B4A02">
                <w:rPr>
                  <w:szCs w:val="22"/>
                  <w:lang w:val="cs-CZ"/>
                </w:rPr>
                <w:delText>Karcinom kůže vyjma melanomu (včetně karcinomu z bazálních buněk</w:delText>
              </w:r>
              <w:r w:rsidR="002378E0">
                <w:rPr>
                  <w:szCs w:val="22"/>
                  <w:lang w:val="cs-CZ"/>
                </w:rPr>
                <w:delText xml:space="preserve"> a </w:delText>
              </w:r>
              <w:r w:rsidRPr="001B4A02">
                <w:rPr>
                  <w:szCs w:val="22"/>
                  <w:lang w:val="cs-CZ"/>
                </w:rPr>
                <w:delText>skvamózního buněčného karcinomu),</w:delText>
              </w:r>
            </w:del>
          </w:p>
          <w:p w14:paraId="23109767" w14:textId="77777777" w:rsidR="0068379B" w:rsidRPr="001B4A02" w:rsidRDefault="00000000" w:rsidP="00ED48A3">
            <w:pPr>
              <w:pStyle w:val="EMEANormal"/>
              <w:rPr>
                <w:del w:id="4700" w:author="AbbVie1" w:date="2025-05-13T09:50:00Z"/>
                <w:szCs w:val="22"/>
                <w:lang w:val="cs-CZ"/>
              </w:rPr>
            </w:pPr>
            <w:del w:id="4701" w:author="AbbVie1" w:date="2025-05-13T09:50:00Z">
              <w:r w:rsidRPr="001B4A02">
                <w:rPr>
                  <w:szCs w:val="22"/>
                  <w:lang w:val="cs-CZ"/>
                </w:rPr>
                <w:delText>benigní neoplázie</w:delText>
              </w:r>
            </w:del>
          </w:p>
          <w:p w14:paraId="4E8D1EC9" w14:textId="77777777" w:rsidR="0068379B" w:rsidRPr="001B4A02" w:rsidRDefault="0068379B" w:rsidP="00ED48A3">
            <w:pPr>
              <w:pStyle w:val="EMEANormal"/>
              <w:rPr>
                <w:del w:id="4702" w:author="AbbVie1" w:date="2025-05-13T09:50:00Z"/>
                <w:szCs w:val="22"/>
                <w:lang w:val="cs-CZ"/>
              </w:rPr>
            </w:pPr>
          </w:p>
        </w:tc>
      </w:tr>
      <w:tr w:rsidR="00534A2D" w14:paraId="139566C7" w14:textId="77777777" w:rsidTr="00961CF6">
        <w:trPr>
          <w:cantSplit/>
          <w:trHeight w:val="432"/>
          <w:jc w:val="center"/>
          <w:del w:id="4703" w:author="AbbVie1" w:date="2025-05-13T09:50:00Z"/>
        </w:trPr>
        <w:tc>
          <w:tcPr>
            <w:tcW w:w="0" w:type="auto"/>
            <w:vMerge/>
            <w:tcBorders>
              <w:left w:val="single" w:sz="4" w:space="0" w:color="auto"/>
              <w:right w:val="single" w:sz="4" w:space="0" w:color="auto"/>
            </w:tcBorders>
            <w:vAlign w:val="center"/>
          </w:tcPr>
          <w:p w14:paraId="1B948CAE" w14:textId="77777777" w:rsidR="0068379B" w:rsidRPr="001B4A02" w:rsidRDefault="0068379B" w:rsidP="00ED48A3">
            <w:pPr>
              <w:ind w:left="0" w:firstLine="0"/>
              <w:rPr>
                <w:del w:id="4704"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2CE5A217" w14:textId="77777777" w:rsidR="0068379B" w:rsidRPr="001B4A02" w:rsidRDefault="00000000" w:rsidP="00ED48A3">
            <w:pPr>
              <w:pStyle w:val="EMEANormal"/>
              <w:rPr>
                <w:del w:id="4705" w:author="AbbVie1" w:date="2025-05-13T09:50:00Z"/>
                <w:szCs w:val="22"/>
                <w:lang w:val="cs-CZ"/>
              </w:rPr>
            </w:pPr>
            <w:del w:id="4706"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00880CA6" w14:textId="77777777" w:rsidR="0068379B" w:rsidRPr="001B4A02" w:rsidRDefault="00000000" w:rsidP="00ED48A3">
            <w:pPr>
              <w:pStyle w:val="EMEANormal"/>
              <w:rPr>
                <w:del w:id="4707" w:author="AbbVie1" w:date="2025-05-13T09:50:00Z"/>
                <w:szCs w:val="22"/>
                <w:lang w:val="cs-CZ"/>
              </w:rPr>
            </w:pPr>
            <w:del w:id="4708" w:author="AbbVie1" w:date="2025-05-13T09:50:00Z">
              <w:r w:rsidRPr="001B4A02">
                <w:rPr>
                  <w:szCs w:val="22"/>
                  <w:lang w:val="cs-CZ"/>
                </w:rPr>
                <w:delText>Lymfom**,</w:delText>
              </w:r>
            </w:del>
          </w:p>
          <w:p w14:paraId="7E59E9EF" w14:textId="77777777" w:rsidR="0068379B" w:rsidRPr="001B4A02" w:rsidRDefault="00000000" w:rsidP="00ED48A3">
            <w:pPr>
              <w:pStyle w:val="EMEANormal"/>
              <w:rPr>
                <w:del w:id="4709" w:author="AbbVie1" w:date="2025-05-13T09:50:00Z"/>
                <w:szCs w:val="22"/>
                <w:lang w:val="cs-CZ"/>
              </w:rPr>
            </w:pPr>
            <w:del w:id="4710" w:author="AbbVie1" w:date="2025-05-13T09:50:00Z">
              <w:r w:rsidRPr="001B4A02">
                <w:rPr>
                  <w:szCs w:val="22"/>
                  <w:lang w:val="cs-CZ"/>
                </w:rPr>
                <w:delText>novotvary solidních orgánů (včetně karcinomu prsu, plicní neoplázie</w:delText>
              </w:r>
              <w:r w:rsidR="002378E0">
                <w:rPr>
                  <w:szCs w:val="22"/>
                  <w:lang w:val="cs-CZ"/>
                </w:rPr>
                <w:delText xml:space="preserve"> a </w:delText>
              </w:r>
              <w:r w:rsidRPr="001B4A02">
                <w:rPr>
                  <w:szCs w:val="22"/>
                  <w:lang w:val="cs-CZ"/>
                </w:rPr>
                <w:delText>neoplázie štítné žlázy),</w:delText>
              </w:r>
            </w:del>
          </w:p>
          <w:p w14:paraId="5A70676A" w14:textId="77777777" w:rsidR="0068379B" w:rsidRPr="001B4A02" w:rsidRDefault="00000000" w:rsidP="00ED48A3">
            <w:pPr>
              <w:pStyle w:val="EMEANormal"/>
              <w:rPr>
                <w:del w:id="4711" w:author="AbbVie1" w:date="2025-05-13T09:50:00Z"/>
                <w:szCs w:val="22"/>
                <w:lang w:val="cs-CZ"/>
              </w:rPr>
            </w:pPr>
            <w:del w:id="4712" w:author="AbbVie1" w:date="2025-05-13T09:50:00Z">
              <w:r w:rsidRPr="001B4A02">
                <w:rPr>
                  <w:szCs w:val="22"/>
                  <w:lang w:val="cs-CZ"/>
                </w:rPr>
                <w:delText>melanom**</w:delText>
              </w:r>
            </w:del>
          </w:p>
          <w:p w14:paraId="253C40F9" w14:textId="77777777" w:rsidR="0068379B" w:rsidRPr="001B4A02" w:rsidRDefault="0068379B" w:rsidP="00ED48A3">
            <w:pPr>
              <w:pStyle w:val="EMEANormal"/>
              <w:rPr>
                <w:del w:id="4713" w:author="AbbVie1" w:date="2025-05-13T09:50:00Z"/>
                <w:szCs w:val="22"/>
                <w:lang w:val="cs-CZ"/>
              </w:rPr>
            </w:pPr>
          </w:p>
        </w:tc>
      </w:tr>
      <w:tr w:rsidR="00534A2D" w14:paraId="79A0E4C2" w14:textId="77777777" w:rsidTr="00961CF6">
        <w:trPr>
          <w:cantSplit/>
          <w:trHeight w:val="432"/>
          <w:jc w:val="center"/>
          <w:del w:id="4714" w:author="AbbVie1" w:date="2025-05-13T09:50:00Z"/>
        </w:trPr>
        <w:tc>
          <w:tcPr>
            <w:tcW w:w="0" w:type="auto"/>
            <w:vMerge/>
            <w:tcBorders>
              <w:left w:val="single" w:sz="4" w:space="0" w:color="auto"/>
              <w:right w:val="single" w:sz="4" w:space="0" w:color="auto"/>
            </w:tcBorders>
            <w:vAlign w:val="center"/>
          </w:tcPr>
          <w:p w14:paraId="65949D5C" w14:textId="77777777" w:rsidR="0068379B" w:rsidRPr="001B4A02" w:rsidRDefault="0068379B" w:rsidP="00ED48A3">
            <w:pPr>
              <w:ind w:left="0" w:firstLine="0"/>
              <w:rPr>
                <w:del w:id="4715"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1165ADB0" w14:textId="77777777" w:rsidR="0068379B" w:rsidRPr="001B4A02" w:rsidRDefault="00000000" w:rsidP="00ED48A3">
            <w:pPr>
              <w:pStyle w:val="EMEANormal"/>
              <w:rPr>
                <w:del w:id="4716" w:author="AbbVie1" w:date="2025-05-13T09:50:00Z"/>
                <w:szCs w:val="22"/>
                <w:lang w:val="cs-CZ"/>
              </w:rPr>
            </w:pPr>
            <w:del w:id="4717"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04C4F58F" w14:textId="77777777" w:rsidR="0068379B" w:rsidRDefault="00000000" w:rsidP="00ED48A3">
            <w:pPr>
              <w:pStyle w:val="EMEANormal"/>
              <w:rPr>
                <w:del w:id="4718" w:author="AbbVie1" w:date="2025-05-13T09:50:00Z"/>
                <w:szCs w:val="22"/>
                <w:lang w:val="cs-CZ"/>
              </w:rPr>
            </w:pPr>
            <w:del w:id="4719" w:author="AbbVie1" w:date="2025-05-13T09:50:00Z">
              <w:r w:rsidRPr="001B4A02">
                <w:rPr>
                  <w:szCs w:val="22"/>
                  <w:lang w:val="cs-CZ"/>
                </w:rPr>
                <w:delText>Leukémie</w:delText>
              </w:r>
              <w:r w:rsidRPr="001B4A02">
                <w:rPr>
                  <w:szCs w:val="22"/>
                  <w:vertAlign w:val="superscript"/>
                  <w:lang w:val="cs-CZ"/>
                </w:rPr>
                <w:delText>1)</w:delText>
              </w:r>
            </w:del>
          </w:p>
          <w:p w14:paraId="130D2068" w14:textId="77777777" w:rsidR="001D76B9" w:rsidRPr="001D76B9" w:rsidRDefault="001D76B9" w:rsidP="00ED48A3">
            <w:pPr>
              <w:pStyle w:val="EMEANormal"/>
              <w:rPr>
                <w:del w:id="4720" w:author="AbbVie1" w:date="2025-05-13T09:50:00Z"/>
                <w:szCs w:val="22"/>
                <w:lang w:val="cs-CZ"/>
              </w:rPr>
            </w:pPr>
          </w:p>
        </w:tc>
      </w:tr>
      <w:tr w:rsidR="00534A2D" w14:paraId="2A4F9487" w14:textId="77777777" w:rsidTr="00961CF6">
        <w:trPr>
          <w:cantSplit/>
          <w:trHeight w:val="432"/>
          <w:jc w:val="center"/>
          <w:del w:id="4721" w:author="AbbVie1" w:date="2025-05-13T09:50:00Z"/>
        </w:trPr>
        <w:tc>
          <w:tcPr>
            <w:tcW w:w="0" w:type="auto"/>
            <w:vMerge/>
            <w:tcBorders>
              <w:left w:val="single" w:sz="4" w:space="0" w:color="auto"/>
              <w:bottom w:val="single" w:sz="4" w:space="0" w:color="auto"/>
              <w:right w:val="single" w:sz="4" w:space="0" w:color="auto"/>
            </w:tcBorders>
            <w:vAlign w:val="center"/>
          </w:tcPr>
          <w:p w14:paraId="2C74E269" w14:textId="77777777" w:rsidR="0068379B" w:rsidRPr="001B4A02" w:rsidRDefault="0068379B" w:rsidP="00ED48A3">
            <w:pPr>
              <w:ind w:left="0" w:firstLine="0"/>
              <w:rPr>
                <w:del w:id="4722"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1B1E9A68" w14:textId="77777777" w:rsidR="0068379B" w:rsidRPr="001B4A02" w:rsidRDefault="00000000" w:rsidP="00ED48A3">
            <w:pPr>
              <w:pStyle w:val="EMEANormal"/>
              <w:rPr>
                <w:del w:id="4723" w:author="AbbVie1" w:date="2025-05-13T09:50:00Z"/>
                <w:szCs w:val="22"/>
                <w:lang w:val="cs-CZ"/>
              </w:rPr>
            </w:pPr>
            <w:del w:id="4724" w:author="AbbVie1" w:date="2025-05-13T09:50:00Z">
              <w:r w:rsidRPr="001B4A02">
                <w:rPr>
                  <w:szCs w:val="22"/>
                  <w:lang w:val="cs-CZ"/>
                </w:rPr>
                <w:delText>Není známo</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00164D78" w14:textId="77777777" w:rsidR="0068379B" w:rsidRPr="009A21A5" w:rsidRDefault="00000000" w:rsidP="00ED48A3">
            <w:pPr>
              <w:pStyle w:val="EMEANormal"/>
              <w:rPr>
                <w:del w:id="4725" w:author="AbbVie1" w:date="2025-05-13T09:50:00Z"/>
                <w:szCs w:val="22"/>
                <w:lang w:val="cs-CZ"/>
              </w:rPr>
            </w:pPr>
            <w:del w:id="4726" w:author="AbbVie1" w:date="2025-05-13T09:50:00Z">
              <w:r w:rsidRPr="001B4A02">
                <w:rPr>
                  <w:szCs w:val="22"/>
                  <w:lang w:val="cs-CZ"/>
                </w:rPr>
                <w:delText>Hepatosplenický T-buněčný lymfom</w:delText>
              </w:r>
              <w:r w:rsidRPr="001B4A02">
                <w:rPr>
                  <w:szCs w:val="22"/>
                  <w:vertAlign w:val="superscript"/>
                  <w:lang w:val="cs-CZ"/>
                </w:rPr>
                <w:delText>1)</w:delText>
              </w:r>
              <w:r w:rsidR="009A21A5">
                <w:rPr>
                  <w:szCs w:val="22"/>
                  <w:lang w:val="cs-CZ"/>
                </w:rPr>
                <w:delText>,</w:delText>
              </w:r>
            </w:del>
          </w:p>
          <w:p w14:paraId="72A6A538" w14:textId="77777777" w:rsidR="009A21A5" w:rsidRDefault="00000000" w:rsidP="009A21A5">
            <w:pPr>
              <w:pStyle w:val="EMEANormal"/>
              <w:rPr>
                <w:del w:id="4727" w:author="AbbVie1" w:date="2025-05-13T09:50:00Z"/>
                <w:lang w:val="cs-CZ"/>
              </w:rPr>
            </w:pPr>
            <w:del w:id="4728" w:author="AbbVie1" w:date="2025-05-13T09:50:00Z">
              <w:r w:rsidRPr="001B4A02">
                <w:rPr>
                  <w:lang w:val="cs-CZ"/>
                </w:rPr>
                <w:delText>karcinom z Merkelových buněk (neuroendokrinní karcinom kůže)</w:delText>
              </w:r>
              <w:r w:rsidRPr="001B4A02">
                <w:rPr>
                  <w:vertAlign w:val="superscript"/>
                  <w:lang w:val="cs-CZ"/>
                </w:rPr>
                <w:delText>1</w:delText>
              </w:r>
              <w:r>
                <w:rPr>
                  <w:lang w:val="cs-CZ"/>
                </w:rPr>
                <w:delText>,</w:delText>
              </w:r>
            </w:del>
          </w:p>
          <w:p w14:paraId="7E1D5120" w14:textId="77777777" w:rsidR="00B52459" w:rsidRPr="009A21A5" w:rsidRDefault="00000000" w:rsidP="009A21A5">
            <w:pPr>
              <w:pStyle w:val="EMEANormal"/>
              <w:rPr>
                <w:del w:id="4729" w:author="AbbVie1" w:date="2025-05-13T09:50:00Z"/>
                <w:lang w:val="cs-CZ"/>
              </w:rPr>
            </w:pPr>
            <w:del w:id="4730" w:author="AbbVie1" w:date="2025-05-13T09:50:00Z">
              <w:r>
                <w:rPr>
                  <w:lang w:val="cs-CZ"/>
                </w:rPr>
                <w:delText>Kaposiho sarkom</w:delText>
              </w:r>
            </w:del>
          </w:p>
          <w:p w14:paraId="45BE22F3" w14:textId="77777777" w:rsidR="00B52459" w:rsidRPr="001B4A02" w:rsidRDefault="00B52459" w:rsidP="00ED48A3">
            <w:pPr>
              <w:pStyle w:val="EMEANormal"/>
              <w:rPr>
                <w:del w:id="4731" w:author="AbbVie1" w:date="2025-05-13T09:50:00Z"/>
                <w:szCs w:val="22"/>
                <w:lang w:val="cs-CZ"/>
              </w:rPr>
            </w:pPr>
          </w:p>
        </w:tc>
      </w:tr>
      <w:tr w:rsidR="00534A2D" w14:paraId="014AA548" w14:textId="77777777" w:rsidTr="00961CF6">
        <w:trPr>
          <w:cantSplit/>
          <w:trHeight w:val="127"/>
          <w:jc w:val="center"/>
          <w:del w:id="4732" w:author="AbbVie1" w:date="2025-05-13T09:50:00Z"/>
        </w:trPr>
        <w:tc>
          <w:tcPr>
            <w:tcW w:w="2880" w:type="dxa"/>
            <w:vMerge w:val="restart"/>
            <w:tcBorders>
              <w:top w:val="single" w:sz="4" w:space="0" w:color="auto"/>
              <w:left w:val="single" w:sz="4" w:space="0" w:color="auto"/>
              <w:bottom w:val="single" w:sz="4" w:space="0" w:color="auto"/>
              <w:right w:val="single" w:sz="4" w:space="0" w:color="auto"/>
            </w:tcBorders>
          </w:tcPr>
          <w:p w14:paraId="4A01C720" w14:textId="77777777" w:rsidR="0036522D" w:rsidRPr="001B4A02" w:rsidRDefault="00000000" w:rsidP="00ED48A3">
            <w:pPr>
              <w:pStyle w:val="EMEANormal"/>
              <w:tabs>
                <w:tab w:val="left" w:pos="0"/>
              </w:tabs>
              <w:rPr>
                <w:del w:id="4733" w:author="AbbVie1" w:date="2025-05-13T09:50:00Z"/>
                <w:szCs w:val="22"/>
                <w:lang w:val="cs-CZ"/>
              </w:rPr>
            </w:pPr>
            <w:del w:id="4734" w:author="AbbVie1" w:date="2025-05-13T09:50:00Z">
              <w:r w:rsidRPr="001B4A02">
                <w:rPr>
                  <w:szCs w:val="22"/>
                  <w:lang w:val="cs-CZ"/>
                </w:rPr>
                <w:delText>Poruchy krve</w:delText>
              </w:r>
              <w:r w:rsidR="002378E0">
                <w:rPr>
                  <w:szCs w:val="22"/>
                  <w:lang w:val="cs-CZ"/>
                </w:rPr>
                <w:delText xml:space="preserve"> a </w:delText>
              </w:r>
              <w:r w:rsidRPr="001B4A02">
                <w:rPr>
                  <w:szCs w:val="22"/>
                  <w:lang w:val="cs-CZ"/>
                </w:rPr>
                <w:delText>lymfatického systému*</w:delText>
              </w:r>
            </w:del>
          </w:p>
        </w:tc>
        <w:tc>
          <w:tcPr>
            <w:tcW w:w="1440" w:type="dxa"/>
            <w:tcBorders>
              <w:top w:val="single" w:sz="4" w:space="0" w:color="auto"/>
              <w:left w:val="single" w:sz="4" w:space="0" w:color="auto"/>
              <w:bottom w:val="single" w:sz="4" w:space="0" w:color="auto"/>
              <w:right w:val="single" w:sz="4" w:space="0" w:color="auto"/>
            </w:tcBorders>
          </w:tcPr>
          <w:p w14:paraId="4140E66D" w14:textId="77777777" w:rsidR="0036522D" w:rsidRPr="001B4A02" w:rsidRDefault="00000000" w:rsidP="00ED48A3">
            <w:pPr>
              <w:pStyle w:val="EMEANormal"/>
              <w:rPr>
                <w:del w:id="4735" w:author="AbbVie1" w:date="2025-05-13T09:50:00Z"/>
                <w:szCs w:val="22"/>
                <w:lang w:val="cs-CZ"/>
              </w:rPr>
            </w:pPr>
            <w:del w:id="4736"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tcPr>
          <w:p w14:paraId="71D4A83B" w14:textId="77777777" w:rsidR="0036522D" w:rsidRPr="001B4A02" w:rsidRDefault="00000000" w:rsidP="00ED48A3">
            <w:pPr>
              <w:pStyle w:val="EMEANormal"/>
              <w:rPr>
                <w:del w:id="4737" w:author="AbbVie1" w:date="2025-05-13T09:50:00Z"/>
                <w:szCs w:val="22"/>
                <w:lang w:val="cs-CZ"/>
              </w:rPr>
            </w:pPr>
            <w:del w:id="4738" w:author="AbbVie1" w:date="2025-05-13T09:50:00Z">
              <w:r w:rsidRPr="001B4A02">
                <w:rPr>
                  <w:szCs w:val="22"/>
                  <w:lang w:val="cs-CZ"/>
                </w:rPr>
                <w:delText>Leukopenie (včetně neutropenie</w:delText>
              </w:r>
              <w:r w:rsidR="002378E0">
                <w:rPr>
                  <w:szCs w:val="22"/>
                  <w:lang w:val="cs-CZ"/>
                </w:rPr>
                <w:delText xml:space="preserve"> a </w:delText>
              </w:r>
              <w:r w:rsidRPr="001B4A02">
                <w:rPr>
                  <w:szCs w:val="22"/>
                  <w:lang w:val="cs-CZ"/>
                </w:rPr>
                <w:delText>agranulocytózy),</w:delText>
              </w:r>
            </w:del>
          </w:p>
          <w:p w14:paraId="0646C7F6" w14:textId="77777777" w:rsidR="0036522D" w:rsidRPr="001B4A02" w:rsidRDefault="00000000" w:rsidP="00ED48A3">
            <w:pPr>
              <w:pStyle w:val="EMEANormal"/>
              <w:rPr>
                <w:del w:id="4739" w:author="AbbVie1" w:date="2025-05-13T09:50:00Z"/>
                <w:szCs w:val="22"/>
                <w:lang w:val="cs-CZ"/>
              </w:rPr>
            </w:pPr>
            <w:del w:id="4740" w:author="AbbVie1" w:date="2025-05-13T09:50:00Z">
              <w:r w:rsidRPr="001B4A02">
                <w:rPr>
                  <w:szCs w:val="22"/>
                  <w:lang w:val="cs-CZ"/>
                </w:rPr>
                <w:delText>anémie</w:delText>
              </w:r>
            </w:del>
          </w:p>
          <w:p w14:paraId="6471EAD4" w14:textId="77777777" w:rsidR="0036522D" w:rsidRPr="001B4A02" w:rsidRDefault="0036522D" w:rsidP="00ED48A3">
            <w:pPr>
              <w:pStyle w:val="EMEANormal"/>
              <w:rPr>
                <w:del w:id="4741" w:author="AbbVie1" w:date="2025-05-13T09:50:00Z"/>
                <w:szCs w:val="22"/>
                <w:lang w:val="cs-CZ"/>
              </w:rPr>
            </w:pPr>
          </w:p>
        </w:tc>
      </w:tr>
      <w:tr w:rsidR="00534A2D" w14:paraId="1C9E9DF0" w14:textId="77777777" w:rsidTr="00961CF6">
        <w:trPr>
          <w:cantSplit/>
          <w:trHeight w:val="127"/>
          <w:jc w:val="center"/>
          <w:del w:id="4742"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27B35B9A" w14:textId="77777777" w:rsidR="0036522D" w:rsidRPr="001B4A02" w:rsidRDefault="0036522D" w:rsidP="00ED48A3">
            <w:pPr>
              <w:ind w:left="0" w:firstLine="0"/>
              <w:rPr>
                <w:del w:id="4743"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26CDEF60" w14:textId="77777777" w:rsidR="0036522D" w:rsidRPr="001B4A02" w:rsidRDefault="00000000" w:rsidP="00ED48A3">
            <w:pPr>
              <w:pStyle w:val="EMEANormal"/>
              <w:rPr>
                <w:del w:id="4744" w:author="AbbVie1" w:date="2025-05-13T09:50:00Z"/>
                <w:szCs w:val="22"/>
                <w:lang w:val="cs-CZ"/>
              </w:rPr>
            </w:pPr>
            <w:del w:id="4745"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4564FF58" w14:textId="77777777" w:rsidR="0068379B" w:rsidRPr="001B4A02" w:rsidRDefault="00000000" w:rsidP="00ED48A3">
            <w:pPr>
              <w:pStyle w:val="EMEANormal"/>
              <w:rPr>
                <w:del w:id="4746" w:author="AbbVie1" w:date="2025-05-13T09:50:00Z"/>
                <w:szCs w:val="22"/>
                <w:lang w:val="cs-CZ"/>
              </w:rPr>
            </w:pPr>
            <w:del w:id="4747" w:author="AbbVie1" w:date="2025-05-13T09:50:00Z">
              <w:r w:rsidRPr="001B4A02">
                <w:rPr>
                  <w:szCs w:val="22"/>
                  <w:lang w:val="cs-CZ"/>
                </w:rPr>
                <w:delText>Leukocytóza,</w:delText>
              </w:r>
            </w:del>
          </w:p>
          <w:p w14:paraId="4EA49D69" w14:textId="77777777" w:rsidR="0036522D" w:rsidRPr="001B4A02" w:rsidRDefault="00000000" w:rsidP="00ED48A3">
            <w:pPr>
              <w:pStyle w:val="EMEANormal"/>
              <w:rPr>
                <w:del w:id="4748" w:author="AbbVie1" w:date="2025-05-13T09:50:00Z"/>
                <w:szCs w:val="22"/>
                <w:lang w:val="cs-CZ"/>
              </w:rPr>
            </w:pPr>
            <w:del w:id="4749" w:author="AbbVie1" w:date="2025-05-13T09:50:00Z">
              <w:r w:rsidRPr="001B4A02">
                <w:rPr>
                  <w:szCs w:val="22"/>
                  <w:lang w:val="cs-CZ"/>
                </w:rPr>
                <w:delText>trombocytopenie</w:delText>
              </w:r>
            </w:del>
          </w:p>
          <w:p w14:paraId="1C379D6A" w14:textId="77777777" w:rsidR="0036522D" w:rsidRPr="001B4A02" w:rsidRDefault="0036522D" w:rsidP="00ED48A3">
            <w:pPr>
              <w:pStyle w:val="EMEANormal"/>
              <w:rPr>
                <w:del w:id="4750" w:author="AbbVie1" w:date="2025-05-13T09:50:00Z"/>
                <w:szCs w:val="22"/>
                <w:lang w:val="cs-CZ"/>
              </w:rPr>
            </w:pPr>
          </w:p>
        </w:tc>
      </w:tr>
      <w:tr w:rsidR="00534A2D" w14:paraId="6EAC4B6D" w14:textId="77777777" w:rsidTr="00961CF6">
        <w:trPr>
          <w:cantSplit/>
          <w:trHeight w:val="88"/>
          <w:jc w:val="center"/>
          <w:del w:id="4751"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0C1DBD08" w14:textId="77777777" w:rsidR="0036522D" w:rsidRPr="001B4A02" w:rsidRDefault="0036522D" w:rsidP="00ED48A3">
            <w:pPr>
              <w:ind w:left="0" w:firstLine="0"/>
              <w:rPr>
                <w:del w:id="4752"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6BE9A243" w14:textId="77777777" w:rsidR="0036522D" w:rsidRPr="001B4A02" w:rsidRDefault="00000000" w:rsidP="00ED48A3">
            <w:pPr>
              <w:pStyle w:val="EMEANormal"/>
              <w:rPr>
                <w:del w:id="4753" w:author="AbbVie1" w:date="2025-05-13T09:50:00Z"/>
                <w:szCs w:val="22"/>
                <w:lang w:val="cs-CZ"/>
              </w:rPr>
            </w:pPr>
            <w:del w:id="4754"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7D02D3AE" w14:textId="77777777" w:rsidR="0036522D" w:rsidRPr="001B4A02" w:rsidRDefault="00000000" w:rsidP="00ED48A3">
            <w:pPr>
              <w:pStyle w:val="EMEANormal"/>
              <w:rPr>
                <w:del w:id="4755" w:author="AbbVie1" w:date="2025-05-13T09:50:00Z"/>
                <w:szCs w:val="22"/>
                <w:lang w:val="cs-CZ"/>
              </w:rPr>
            </w:pPr>
            <w:del w:id="4756" w:author="AbbVie1" w:date="2025-05-13T09:50:00Z">
              <w:r w:rsidRPr="001B4A02">
                <w:rPr>
                  <w:szCs w:val="22"/>
                  <w:lang w:val="cs-CZ"/>
                </w:rPr>
                <w:delText>Idiopatická trombocytopenická purpura</w:delText>
              </w:r>
            </w:del>
          </w:p>
          <w:p w14:paraId="707FB76A" w14:textId="77777777" w:rsidR="0036522D" w:rsidRPr="001B4A02" w:rsidRDefault="0036522D" w:rsidP="00ED48A3">
            <w:pPr>
              <w:pStyle w:val="EMEANormal"/>
              <w:rPr>
                <w:del w:id="4757" w:author="AbbVie1" w:date="2025-05-13T09:50:00Z"/>
                <w:szCs w:val="22"/>
                <w:lang w:val="cs-CZ"/>
              </w:rPr>
            </w:pPr>
          </w:p>
        </w:tc>
      </w:tr>
      <w:tr w:rsidR="00534A2D" w14:paraId="57E9C0E5" w14:textId="77777777" w:rsidTr="00961CF6">
        <w:trPr>
          <w:cantSplit/>
          <w:trHeight w:val="88"/>
          <w:jc w:val="center"/>
          <w:del w:id="4758"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62D6806B" w14:textId="77777777" w:rsidR="0036522D" w:rsidRPr="001B4A02" w:rsidRDefault="0036522D" w:rsidP="00ED48A3">
            <w:pPr>
              <w:ind w:left="0" w:firstLine="0"/>
              <w:rPr>
                <w:del w:id="4759"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5A097165" w14:textId="77777777" w:rsidR="0036522D" w:rsidRPr="001B4A02" w:rsidRDefault="00000000" w:rsidP="00ED48A3">
            <w:pPr>
              <w:pStyle w:val="EMEANormal"/>
              <w:rPr>
                <w:del w:id="4760" w:author="AbbVie1" w:date="2025-05-13T09:50:00Z"/>
                <w:szCs w:val="22"/>
                <w:lang w:val="cs-CZ"/>
              </w:rPr>
            </w:pPr>
            <w:del w:id="4761"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tcPr>
          <w:p w14:paraId="37501871" w14:textId="77777777" w:rsidR="0036522D" w:rsidRPr="001B4A02" w:rsidRDefault="00000000" w:rsidP="00ED48A3">
            <w:pPr>
              <w:pStyle w:val="EMEANormal"/>
              <w:rPr>
                <w:del w:id="4762" w:author="AbbVie1" w:date="2025-05-13T09:50:00Z"/>
                <w:szCs w:val="22"/>
                <w:lang w:val="cs-CZ"/>
              </w:rPr>
            </w:pPr>
            <w:del w:id="4763" w:author="AbbVie1" w:date="2025-05-13T09:50:00Z">
              <w:r w:rsidRPr="001B4A02">
                <w:rPr>
                  <w:szCs w:val="22"/>
                  <w:lang w:val="cs-CZ"/>
                </w:rPr>
                <w:delText>Pancytopenie</w:delText>
              </w:r>
            </w:del>
          </w:p>
          <w:p w14:paraId="16C67E58" w14:textId="77777777" w:rsidR="0036522D" w:rsidRPr="001B4A02" w:rsidRDefault="0036522D" w:rsidP="00ED48A3">
            <w:pPr>
              <w:pStyle w:val="EMEANormal"/>
              <w:rPr>
                <w:del w:id="4764" w:author="AbbVie1" w:date="2025-05-13T09:50:00Z"/>
                <w:szCs w:val="22"/>
                <w:lang w:val="cs-CZ"/>
              </w:rPr>
            </w:pPr>
          </w:p>
        </w:tc>
      </w:tr>
      <w:tr w:rsidR="00534A2D" w14:paraId="77EA24B8" w14:textId="77777777" w:rsidTr="00961CF6">
        <w:trPr>
          <w:cantSplit/>
          <w:trHeight w:val="260"/>
          <w:jc w:val="center"/>
          <w:del w:id="4765" w:author="AbbVie1" w:date="2025-05-13T09:50:00Z"/>
        </w:trPr>
        <w:tc>
          <w:tcPr>
            <w:tcW w:w="2880" w:type="dxa"/>
            <w:vMerge w:val="restart"/>
            <w:tcBorders>
              <w:top w:val="single" w:sz="4" w:space="0" w:color="auto"/>
              <w:left w:val="single" w:sz="4" w:space="0" w:color="auto"/>
              <w:right w:val="single" w:sz="4" w:space="0" w:color="auto"/>
            </w:tcBorders>
          </w:tcPr>
          <w:p w14:paraId="3D9A039B" w14:textId="77777777" w:rsidR="0068379B" w:rsidRPr="001B4A02" w:rsidRDefault="00000000" w:rsidP="00ED48A3">
            <w:pPr>
              <w:tabs>
                <w:tab w:val="left" w:pos="0"/>
              </w:tabs>
              <w:ind w:left="0" w:firstLine="0"/>
              <w:rPr>
                <w:del w:id="4766" w:author="AbbVie1" w:date="2025-05-13T09:50:00Z"/>
                <w:szCs w:val="22"/>
              </w:rPr>
            </w:pPr>
            <w:del w:id="4767" w:author="AbbVie1" w:date="2025-05-13T09:50:00Z">
              <w:r w:rsidRPr="001B4A02">
                <w:rPr>
                  <w:szCs w:val="22"/>
                </w:rPr>
                <w:delText>Poruchy imunitního systému*</w:delText>
              </w:r>
            </w:del>
          </w:p>
        </w:tc>
        <w:tc>
          <w:tcPr>
            <w:tcW w:w="1440" w:type="dxa"/>
            <w:tcBorders>
              <w:top w:val="single" w:sz="4" w:space="0" w:color="auto"/>
              <w:left w:val="single" w:sz="4" w:space="0" w:color="auto"/>
              <w:bottom w:val="single" w:sz="4" w:space="0" w:color="auto"/>
              <w:right w:val="single" w:sz="4" w:space="0" w:color="auto"/>
            </w:tcBorders>
          </w:tcPr>
          <w:p w14:paraId="58893928" w14:textId="77777777" w:rsidR="0068379B" w:rsidRPr="001B4A02" w:rsidRDefault="00000000" w:rsidP="00ED48A3">
            <w:pPr>
              <w:pStyle w:val="EMEANormal"/>
              <w:rPr>
                <w:del w:id="4768" w:author="AbbVie1" w:date="2025-05-13T09:50:00Z"/>
                <w:szCs w:val="22"/>
                <w:lang w:val="cs-CZ"/>
              </w:rPr>
            </w:pPr>
            <w:del w:id="4769"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2362AA4B" w14:textId="77777777" w:rsidR="0068379B" w:rsidRPr="001B4A02" w:rsidRDefault="00000000" w:rsidP="00ED48A3">
            <w:pPr>
              <w:pStyle w:val="EMEANormal"/>
              <w:rPr>
                <w:del w:id="4770" w:author="AbbVie1" w:date="2025-05-13T09:50:00Z"/>
                <w:szCs w:val="22"/>
                <w:lang w:val="cs-CZ"/>
              </w:rPr>
            </w:pPr>
            <w:del w:id="4771" w:author="AbbVie1" w:date="2025-05-13T09:50:00Z">
              <w:r w:rsidRPr="001B4A02">
                <w:rPr>
                  <w:szCs w:val="22"/>
                  <w:lang w:val="cs-CZ"/>
                </w:rPr>
                <w:delText>Hypersenzitivita,</w:delText>
              </w:r>
            </w:del>
          </w:p>
          <w:p w14:paraId="1B2BD544" w14:textId="77777777" w:rsidR="0068379B" w:rsidRPr="001B4A02" w:rsidRDefault="00000000" w:rsidP="00ED48A3">
            <w:pPr>
              <w:pStyle w:val="EMEANormal"/>
              <w:rPr>
                <w:del w:id="4772" w:author="AbbVie1" w:date="2025-05-13T09:50:00Z"/>
                <w:szCs w:val="22"/>
                <w:lang w:val="cs-CZ"/>
              </w:rPr>
            </w:pPr>
            <w:del w:id="4773" w:author="AbbVie1" w:date="2025-05-13T09:50:00Z">
              <w:r w:rsidRPr="001B4A02">
                <w:rPr>
                  <w:szCs w:val="22"/>
                  <w:lang w:val="cs-CZ"/>
                </w:rPr>
                <w:delText>alergie (včetně sezónní alergie)</w:delText>
              </w:r>
            </w:del>
          </w:p>
          <w:p w14:paraId="7BA15942" w14:textId="77777777" w:rsidR="0068379B" w:rsidRPr="001B4A02" w:rsidRDefault="0068379B" w:rsidP="00ED48A3">
            <w:pPr>
              <w:pStyle w:val="EMEANormal"/>
              <w:rPr>
                <w:del w:id="4774" w:author="AbbVie1" w:date="2025-05-13T09:50:00Z"/>
                <w:szCs w:val="22"/>
                <w:lang w:val="cs-CZ"/>
              </w:rPr>
            </w:pPr>
          </w:p>
        </w:tc>
      </w:tr>
      <w:tr w:rsidR="00534A2D" w14:paraId="383BBBF7" w14:textId="77777777" w:rsidTr="00961CF6">
        <w:trPr>
          <w:cantSplit/>
          <w:trHeight w:val="260"/>
          <w:jc w:val="center"/>
          <w:del w:id="4775" w:author="AbbVie1" w:date="2025-05-13T09:50:00Z"/>
        </w:trPr>
        <w:tc>
          <w:tcPr>
            <w:tcW w:w="2880" w:type="dxa"/>
            <w:vMerge/>
            <w:tcBorders>
              <w:left w:val="single" w:sz="4" w:space="0" w:color="auto"/>
              <w:right w:val="single" w:sz="4" w:space="0" w:color="auto"/>
            </w:tcBorders>
          </w:tcPr>
          <w:p w14:paraId="6C8FAED6" w14:textId="77777777" w:rsidR="0068379B" w:rsidRPr="001B4A02" w:rsidRDefault="0068379B" w:rsidP="00ED48A3">
            <w:pPr>
              <w:tabs>
                <w:tab w:val="left" w:pos="0"/>
              </w:tabs>
              <w:ind w:left="0" w:firstLine="0"/>
              <w:rPr>
                <w:del w:id="4776"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5F333BA8" w14:textId="77777777" w:rsidR="0068379B" w:rsidRPr="001B4A02" w:rsidRDefault="00000000" w:rsidP="00ED48A3">
            <w:pPr>
              <w:pStyle w:val="EMEANormal"/>
              <w:rPr>
                <w:del w:id="4777" w:author="AbbVie1" w:date="2025-05-13T09:50:00Z"/>
                <w:szCs w:val="22"/>
                <w:lang w:val="cs-CZ"/>
              </w:rPr>
            </w:pPr>
            <w:del w:id="4778"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4B8475DF" w14:textId="77777777" w:rsidR="0068379B" w:rsidRDefault="00000000" w:rsidP="00ED48A3">
            <w:pPr>
              <w:pStyle w:val="EMEANormal"/>
              <w:rPr>
                <w:del w:id="4779" w:author="AbbVie1" w:date="2025-05-13T09:50:00Z"/>
                <w:szCs w:val="22"/>
                <w:lang w:val="cs-CZ"/>
              </w:rPr>
            </w:pPr>
            <w:del w:id="4780" w:author="AbbVie1" w:date="2025-05-13T09:50:00Z">
              <w:r w:rsidRPr="001B4A02">
                <w:rPr>
                  <w:szCs w:val="22"/>
                  <w:lang w:val="cs-CZ"/>
                </w:rPr>
                <w:delText>Sarkoidóza</w:delText>
              </w:r>
              <w:r w:rsidRPr="001B4A02">
                <w:rPr>
                  <w:szCs w:val="22"/>
                  <w:vertAlign w:val="superscript"/>
                  <w:lang w:val="cs-CZ"/>
                </w:rPr>
                <w:delText>1)</w:delText>
              </w:r>
              <w:r w:rsidR="00114CA2" w:rsidRPr="001B4A02">
                <w:rPr>
                  <w:szCs w:val="22"/>
                  <w:lang w:val="cs-CZ"/>
                </w:rPr>
                <w:delText>, vaskulitida</w:delText>
              </w:r>
            </w:del>
          </w:p>
          <w:p w14:paraId="33AABDAF" w14:textId="77777777" w:rsidR="00A20953" w:rsidRPr="001B4A02" w:rsidRDefault="00A20953" w:rsidP="00ED48A3">
            <w:pPr>
              <w:pStyle w:val="EMEANormal"/>
              <w:rPr>
                <w:del w:id="4781" w:author="AbbVie1" w:date="2025-05-13T09:50:00Z"/>
                <w:szCs w:val="22"/>
                <w:lang w:val="cs-CZ"/>
              </w:rPr>
            </w:pPr>
          </w:p>
        </w:tc>
      </w:tr>
      <w:tr w:rsidR="00534A2D" w14:paraId="12ADA9B4" w14:textId="77777777" w:rsidTr="00961CF6">
        <w:trPr>
          <w:cantSplit/>
          <w:trHeight w:val="260"/>
          <w:jc w:val="center"/>
          <w:del w:id="4782" w:author="AbbVie1" w:date="2025-05-13T09:50:00Z"/>
        </w:trPr>
        <w:tc>
          <w:tcPr>
            <w:tcW w:w="2880" w:type="dxa"/>
            <w:vMerge/>
            <w:tcBorders>
              <w:left w:val="single" w:sz="4" w:space="0" w:color="auto"/>
              <w:bottom w:val="single" w:sz="4" w:space="0" w:color="auto"/>
              <w:right w:val="single" w:sz="4" w:space="0" w:color="auto"/>
            </w:tcBorders>
          </w:tcPr>
          <w:p w14:paraId="66A6C0F4" w14:textId="77777777" w:rsidR="0068379B" w:rsidRPr="001B4A02" w:rsidRDefault="0068379B" w:rsidP="00ED48A3">
            <w:pPr>
              <w:tabs>
                <w:tab w:val="left" w:pos="0"/>
              </w:tabs>
              <w:ind w:left="0" w:firstLine="0"/>
              <w:rPr>
                <w:del w:id="4783"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264542C2" w14:textId="77777777" w:rsidR="0068379B" w:rsidRPr="001B4A02" w:rsidRDefault="00000000" w:rsidP="00ED48A3">
            <w:pPr>
              <w:pStyle w:val="EMEANormal"/>
              <w:rPr>
                <w:del w:id="4784" w:author="AbbVie1" w:date="2025-05-13T09:50:00Z"/>
                <w:szCs w:val="22"/>
                <w:lang w:val="cs-CZ"/>
              </w:rPr>
            </w:pPr>
            <w:del w:id="4785"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4A1ED874" w14:textId="77777777" w:rsidR="0068379B" w:rsidRDefault="00000000" w:rsidP="00ED48A3">
            <w:pPr>
              <w:pStyle w:val="EMEANormal"/>
              <w:rPr>
                <w:del w:id="4786" w:author="AbbVie1" w:date="2025-05-13T09:50:00Z"/>
                <w:szCs w:val="22"/>
                <w:lang w:val="cs-CZ"/>
              </w:rPr>
            </w:pPr>
            <w:del w:id="4787" w:author="AbbVie1" w:date="2025-05-13T09:50:00Z">
              <w:r w:rsidRPr="001B4A02">
                <w:rPr>
                  <w:szCs w:val="22"/>
                  <w:lang w:val="cs-CZ"/>
                </w:rPr>
                <w:delText>anafylaxe</w:delText>
              </w:r>
              <w:r w:rsidRPr="001B4A02">
                <w:rPr>
                  <w:szCs w:val="22"/>
                  <w:vertAlign w:val="superscript"/>
                  <w:lang w:val="cs-CZ"/>
                </w:rPr>
                <w:delText>1)</w:delText>
              </w:r>
            </w:del>
          </w:p>
          <w:p w14:paraId="1C62BB07" w14:textId="77777777" w:rsidR="00A20953" w:rsidRPr="00A20953" w:rsidRDefault="00A20953" w:rsidP="00ED48A3">
            <w:pPr>
              <w:pStyle w:val="EMEANormal"/>
              <w:rPr>
                <w:del w:id="4788" w:author="AbbVie1" w:date="2025-05-13T09:50:00Z"/>
                <w:szCs w:val="22"/>
                <w:lang w:val="cs-CZ"/>
              </w:rPr>
            </w:pPr>
          </w:p>
        </w:tc>
      </w:tr>
      <w:tr w:rsidR="00534A2D" w14:paraId="5AB81A46" w14:textId="77777777" w:rsidTr="00961CF6">
        <w:trPr>
          <w:cantSplit/>
          <w:trHeight w:val="20"/>
          <w:jc w:val="center"/>
          <w:del w:id="4789" w:author="AbbVie1" w:date="2025-05-13T09:50:00Z"/>
        </w:trPr>
        <w:tc>
          <w:tcPr>
            <w:tcW w:w="2880" w:type="dxa"/>
            <w:vMerge w:val="restart"/>
            <w:tcBorders>
              <w:top w:val="single" w:sz="4" w:space="0" w:color="auto"/>
              <w:left w:val="single" w:sz="4" w:space="0" w:color="auto"/>
              <w:bottom w:val="single" w:sz="4" w:space="0" w:color="auto"/>
              <w:right w:val="single" w:sz="4" w:space="0" w:color="auto"/>
            </w:tcBorders>
          </w:tcPr>
          <w:p w14:paraId="2B540DAC" w14:textId="77777777" w:rsidR="0036522D" w:rsidRPr="001B4A02" w:rsidRDefault="00000000" w:rsidP="00ED48A3">
            <w:pPr>
              <w:pStyle w:val="EMEANormal"/>
              <w:tabs>
                <w:tab w:val="left" w:pos="0"/>
              </w:tabs>
              <w:rPr>
                <w:del w:id="4790" w:author="AbbVie1" w:date="2025-05-13T09:50:00Z"/>
                <w:szCs w:val="22"/>
                <w:lang w:val="cs-CZ"/>
              </w:rPr>
            </w:pPr>
            <w:del w:id="4791" w:author="AbbVie1" w:date="2025-05-13T09:50:00Z">
              <w:r w:rsidRPr="001B4A02">
                <w:rPr>
                  <w:szCs w:val="22"/>
                  <w:lang w:val="cs-CZ"/>
                </w:rPr>
                <w:delText>Poruchy metabolismu</w:delText>
              </w:r>
              <w:r w:rsidR="002378E0">
                <w:rPr>
                  <w:szCs w:val="22"/>
                  <w:lang w:val="cs-CZ"/>
                </w:rPr>
                <w:delText xml:space="preserve"> a </w:delText>
              </w:r>
              <w:r w:rsidRPr="001B4A02">
                <w:rPr>
                  <w:szCs w:val="22"/>
                  <w:lang w:val="cs-CZ"/>
                </w:rPr>
                <w:delText>výživy</w:delText>
              </w:r>
            </w:del>
          </w:p>
        </w:tc>
        <w:tc>
          <w:tcPr>
            <w:tcW w:w="1440" w:type="dxa"/>
            <w:tcBorders>
              <w:top w:val="single" w:sz="4" w:space="0" w:color="auto"/>
              <w:left w:val="single" w:sz="4" w:space="0" w:color="auto"/>
              <w:bottom w:val="single" w:sz="4" w:space="0" w:color="auto"/>
              <w:right w:val="single" w:sz="4" w:space="0" w:color="auto"/>
            </w:tcBorders>
          </w:tcPr>
          <w:p w14:paraId="529D4A90" w14:textId="77777777" w:rsidR="0036522D" w:rsidRPr="001B4A02" w:rsidRDefault="00000000" w:rsidP="00ED48A3">
            <w:pPr>
              <w:pStyle w:val="EMEANormal"/>
              <w:rPr>
                <w:del w:id="4792" w:author="AbbVie1" w:date="2025-05-13T09:50:00Z"/>
                <w:szCs w:val="22"/>
                <w:lang w:val="cs-CZ"/>
              </w:rPr>
            </w:pPr>
            <w:del w:id="4793"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tcPr>
          <w:p w14:paraId="7742504C" w14:textId="77777777" w:rsidR="0036522D" w:rsidRPr="001B4A02" w:rsidRDefault="00000000" w:rsidP="00ED48A3">
            <w:pPr>
              <w:pStyle w:val="EMEANormal"/>
              <w:rPr>
                <w:del w:id="4794" w:author="AbbVie1" w:date="2025-05-13T09:50:00Z"/>
                <w:szCs w:val="22"/>
                <w:lang w:val="cs-CZ"/>
              </w:rPr>
            </w:pPr>
            <w:del w:id="4795" w:author="AbbVie1" w:date="2025-05-13T09:50:00Z">
              <w:r w:rsidRPr="001B4A02">
                <w:rPr>
                  <w:szCs w:val="22"/>
                  <w:lang w:val="cs-CZ"/>
                </w:rPr>
                <w:delText>Zvýšení lipidů</w:delText>
              </w:r>
            </w:del>
          </w:p>
          <w:p w14:paraId="460F7995" w14:textId="77777777" w:rsidR="0036522D" w:rsidRPr="001B4A02" w:rsidRDefault="0036522D" w:rsidP="00ED48A3">
            <w:pPr>
              <w:pStyle w:val="EMEANormal"/>
              <w:rPr>
                <w:del w:id="4796" w:author="AbbVie1" w:date="2025-05-13T09:50:00Z"/>
                <w:szCs w:val="22"/>
                <w:lang w:val="cs-CZ"/>
              </w:rPr>
            </w:pPr>
          </w:p>
        </w:tc>
      </w:tr>
      <w:tr w:rsidR="00534A2D" w14:paraId="4023F5CA" w14:textId="77777777" w:rsidTr="00961CF6">
        <w:trPr>
          <w:cantSplit/>
          <w:trHeight w:val="20"/>
          <w:jc w:val="center"/>
          <w:del w:id="4797"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63D4E4C4" w14:textId="77777777" w:rsidR="0036522D" w:rsidRPr="001B4A02" w:rsidRDefault="0036522D" w:rsidP="00ED48A3">
            <w:pPr>
              <w:ind w:left="0" w:firstLine="0"/>
              <w:rPr>
                <w:del w:id="4798"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79591E46" w14:textId="77777777" w:rsidR="0036522D" w:rsidRPr="001B4A02" w:rsidRDefault="00000000" w:rsidP="00ED48A3">
            <w:pPr>
              <w:pStyle w:val="EMEANormal"/>
              <w:rPr>
                <w:del w:id="4799" w:author="AbbVie1" w:date="2025-05-13T09:50:00Z"/>
                <w:szCs w:val="22"/>
                <w:lang w:val="cs-CZ"/>
              </w:rPr>
            </w:pPr>
            <w:del w:id="4800"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6AEB52EC" w14:textId="77777777" w:rsidR="0036522D" w:rsidRPr="001B4A02" w:rsidRDefault="00000000" w:rsidP="00ED48A3">
            <w:pPr>
              <w:pStyle w:val="EMEANormal"/>
              <w:rPr>
                <w:del w:id="4801" w:author="AbbVie1" w:date="2025-05-13T09:50:00Z"/>
                <w:szCs w:val="22"/>
                <w:lang w:val="cs-CZ"/>
              </w:rPr>
            </w:pPr>
            <w:del w:id="4802" w:author="AbbVie1" w:date="2025-05-13T09:50:00Z">
              <w:r w:rsidRPr="001B4A02">
                <w:rPr>
                  <w:szCs w:val="22"/>
                  <w:lang w:val="cs-CZ"/>
                </w:rPr>
                <w:delText>Hypokal</w:delText>
              </w:r>
              <w:r w:rsidR="006E7ECF">
                <w:rPr>
                  <w:szCs w:val="22"/>
                  <w:lang w:val="cs-CZ"/>
                </w:rPr>
                <w:delText>e</w:delText>
              </w:r>
              <w:r w:rsidRPr="001B4A02">
                <w:rPr>
                  <w:szCs w:val="22"/>
                  <w:lang w:val="cs-CZ"/>
                </w:rPr>
                <w:delText>mie,</w:delText>
              </w:r>
            </w:del>
          </w:p>
          <w:p w14:paraId="60D90C5D" w14:textId="77777777" w:rsidR="0036522D" w:rsidRPr="001B4A02" w:rsidRDefault="00000000" w:rsidP="00ED48A3">
            <w:pPr>
              <w:pStyle w:val="EMEANormal"/>
              <w:rPr>
                <w:del w:id="4803" w:author="AbbVie1" w:date="2025-05-13T09:50:00Z"/>
                <w:szCs w:val="22"/>
                <w:lang w:val="cs-CZ"/>
              </w:rPr>
            </w:pPr>
            <w:del w:id="4804" w:author="AbbVie1" w:date="2025-05-13T09:50:00Z">
              <w:r w:rsidRPr="001B4A02">
                <w:rPr>
                  <w:szCs w:val="22"/>
                  <w:lang w:val="cs-CZ"/>
                </w:rPr>
                <w:delText>zvýšení kyseliny močové,</w:delText>
              </w:r>
            </w:del>
          </w:p>
          <w:p w14:paraId="01BC2388" w14:textId="77777777" w:rsidR="0036522D" w:rsidRPr="001B4A02" w:rsidRDefault="00000000" w:rsidP="00ED48A3">
            <w:pPr>
              <w:pStyle w:val="EMEANormal"/>
              <w:rPr>
                <w:del w:id="4805" w:author="AbbVie1" w:date="2025-05-13T09:50:00Z"/>
                <w:szCs w:val="22"/>
                <w:lang w:val="cs-CZ"/>
              </w:rPr>
            </w:pPr>
            <w:del w:id="4806" w:author="AbbVie1" w:date="2025-05-13T09:50:00Z">
              <w:r w:rsidRPr="001B4A02">
                <w:rPr>
                  <w:szCs w:val="22"/>
                  <w:lang w:val="cs-CZ"/>
                </w:rPr>
                <w:delText>abnormální hladina sodíku v</w:delText>
              </w:r>
              <w:r w:rsidR="00EF0AF7" w:rsidRPr="001B4A02">
                <w:rPr>
                  <w:szCs w:val="22"/>
                  <w:lang w:val="cs-CZ"/>
                </w:rPr>
                <w:delText> </w:delText>
              </w:r>
              <w:r w:rsidRPr="001B4A02">
                <w:rPr>
                  <w:szCs w:val="22"/>
                  <w:lang w:val="cs-CZ"/>
                </w:rPr>
                <w:delText>krvi,</w:delText>
              </w:r>
            </w:del>
          </w:p>
          <w:p w14:paraId="29ABC06B" w14:textId="77777777" w:rsidR="0036522D" w:rsidRPr="001B4A02" w:rsidRDefault="00000000" w:rsidP="00ED48A3">
            <w:pPr>
              <w:pStyle w:val="EMEANormal"/>
              <w:rPr>
                <w:del w:id="4807" w:author="AbbVie1" w:date="2025-05-13T09:50:00Z"/>
                <w:szCs w:val="22"/>
                <w:lang w:val="cs-CZ"/>
              </w:rPr>
            </w:pPr>
            <w:del w:id="4808" w:author="AbbVie1" w:date="2025-05-13T09:50:00Z">
              <w:r w:rsidRPr="001B4A02">
                <w:rPr>
                  <w:szCs w:val="22"/>
                  <w:lang w:val="cs-CZ"/>
                </w:rPr>
                <w:delText>hypokalc</w:delText>
              </w:r>
              <w:r w:rsidR="006E7ECF">
                <w:rPr>
                  <w:szCs w:val="22"/>
                  <w:lang w:val="cs-CZ"/>
                </w:rPr>
                <w:delText>e</w:delText>
              </w:r>
              <w:r w:rsidRPr="001B4A02">
                <w:rPr>
                  <w:szCs w:val="22"/>
                  <w:lang w:val="cs-CZ"/>
                </w:rPr>
                <w:delText>mie,</w:delText>
              </w:r>
            </w:del>
          </w:p>
          <w:p w14:paraId="3D01A290" w14:textId="77777777" w:rsidR="0036522D" w:rsidRPr="001B4A02" w:rsidRDefault="00000000" w:rsidP="00ED48A3">
            <w:pPr>
              <w:pStyle w:val="EMEANormal"/>
              <w:rPr>
                <w:del w:id="4809" w:author="AbbVie1" w:date="2025-05-13T09:50:00Z"/>
                <w:szCs w:val="22"/>
                <w:lang w:val="cs-CZ"/>
              </w:rPr>
            </w:pPr>
            <w:del w:id="4810" w:author="AbbVie1" w:date="2025-05-13T09:50:00Z">
              <w:r w:rsidRPr="001B4A02">
                <w:rPr>
                  <w:szCs w:val="22"/>
                  <w:lang w:val="cs-CZ"/>
                </w:rPr>
                <w:delText>hyperglyk</w:delText>
              </w:r>
              <w:r w:rsidR="006E7ECF">
                <w:rPr>
                  <w:szCs w:val="22"/>
                  <w:lang w:val="cs-CZ"/>
                </w:rPr>
                <w:delText>e</w:delText>
              </w:r>
              <w:r w:rsidRPr="001B4A02">
                <w:rPr>
                  <w:szCs w:val="22"/>
                  <w:lang w:val="cs-CZ"/>
                </w:rPr>
                <w:delText>mie,</w:delText>
              </w:r>
            </w:del>
          </w:p>
          <w:p w14:paraId="02C6490E" w14:textId="77777777" w:rsidR="0036522D" w:rsidRPr="001B4A02" w:rsidRDefault="00000000" w:rsidP="00ED48A3">
            <w:pPr>
              <w:pStyle w:val="EMEANormal"/>
              <w:rPr>
                <w:del w:id="4811" w:author="AbbVie1" w:date="2025-05-13T09:50:00Z"/>
                <w:szCs w:val="22"/>
                <w:lang w:val="cs-CZ"/>
              </w:rPr>
            </w:pPr>
            <w:del w:id="4812" w:author="AbbVie1" w:date="2025-05-13T09:50:00Z">
              <w:r w:rsidRPr="001B4A02">
                <w:rPr>
                  <w:szCs w:val="22"/>
                  <w:lang w:val="cs-CZ"/>
                </w:rPr>
                <w:delText>hypofosfat</w:delText>
              </w:r>
              <w:r w:rsidR="006E7ECF">
                <w:rPr>
                  <w:szCs w:val="22"/>
                  <w:lang w:val="cs-CZ"/>
                </w:rPr>
                <w:delText>e</w:delText>
              </w:r>
              <w:r w:rsidRPr="001B4A02">
                <w:rPr>
                  <w:szCs w:val="22"/>
                  <w:lang w:val="cs-CZ"/>
                </w:rPr>
                <w:delText>mie,</w:delText>
              </w:r>
            </w:del>
          </w:p>
          <w:p w14:paraId="0BED504B" w14:textId="77777777" w:rsidR="0036522D" w:rsidRDefault="00000000" w:rsidP="00ED48A3">
            <w:pPr>
              <w:pStyle w:val="EMEANormal"/>
              <w:rPr>
                <w:del w:id="4813" w:author="AbbVie1" w:date="2025-05-13T09:50:00Z"/>
                <w:szCs w:val="22"/>
                <w:lang w:val="cs-CZ"/>
              </w:rPr>
            </w:pPr>
            <w:del w:id="4814" w:author="AbbVie1" w:date="2025-05-13T09:50:00Z">
              <w:r w:rsidRPr="001B4A02">
                <w:rPr>
                  <w:szCs w:val="22"/>
                  <w:lang w:val="cs-CZ"/>
                </w:rPr>
                <w:delText>dehydratace</w:delText>
              </w:r>
            </w:del>
          </w:p>
          <w:p w14:paraId="2A2DF530" w14:textId="77777777" w:rsidR="00701677" w:rsidRPr="001B4A02" w:rsidRDefault="00701677" w:rsidP="00ED48A3">
            <w:pPr>
              <w:pStyle w:val="EMEANormal"/>
              <w:rPr>
                <w:del w:id="4815" w:author="AbbVie1" w:date="2025-05-13T09:50:00Z"/>
                <w:szCs w:val="22"/>
                <w:lang w:val="cs-CZ"/>
              </w:rPr>
            </w:pPr>
          </w:p>
        </w:tc>
      </w:tr>
      <w:tr w:rsidR="00534A2D" w14:paraId="4EDE58DF" w14:textId="77777777" w:rsidTr="008D783A">
        <w:trPr>
          <w:cantSplit/>
          <w:trHeight w:val="782"/>
          <w:jc w:val="center"/>
          <w:del w:id="4816" w:author="AbbVie1" w:date="2025-05-13T09:50:00Z"/>
        </w:trPr>
        <w:tc>
          <w:tcPr>
            <w:tcW w:w="2880" w:type="dxa"/>
            <w:tcBorders>
              <w:top w:val="single" w:sz="4" w:space="0" w:color="auto"/>
              <w:left w:val="single" w:sz="4" w:space="0" w:color="auto"/>
              <w:bottom w:val="single" w:sz="4" w:space="0" w:color="auto"/>
              <w:right w:val="single" w:sz="4" w:space="0" w:color="auto"/>
            </w:tcBorders>
          </w:tcPr>
          <w:p w14:paraId="3E991C4A" w14:textId="77777777" w:rsidR="0036522D" w:rsidRPr="001B4A02" w:rsidRDefault="00000000" w:rsidP="00ED48A3">
            <w:pPr>
              <w:pStyle w:val="EMEANormal"/>
              <w:tabs>
                <w:tab w:val="left" w:pos="0"/>
              </w:tabs>
              <w:rPr>
                <w:del w:id="4817" w:author="AbbVie1" w:date="2025-05-13T09:50:00Z"/>
                <w:szCs w:val="22"/>
                <w:lang w:val="cs-CZ"/>
              </w:rPr>
            </w:pPr>
            <w:del w:id="4818" w:author="AbbVie1" w:date="2025-05-13T09:50:00Z">
              <w:r w:rsidRPr="001B4A02">
                <w:rPr>
                  <w:szCs w:val="22"/>
                  <w:lang w:val="cs-CZ"/>
                </w:rPr>
                <w:delText>Psychiatrické poruchy</w:delText>
              </w:r>
            </w:del>
          </w:p>
        </w:tc>
        <w:tc>
          <w:tcPr>
            <w:tcW w:w="1440" w:type="dxa"/>
            <w:tcBorders>
              <w:top w:val="single" w:sz="4" w:space="0" w:color="auto"/>
              <w:left w:val="single" w:sz="4" w:space="0" w:color="auto"/>
              <w:bottom w:val="single" w:sz="4" w:space="0" w:color="auto"/>
              <w:right w:val="single" w:sz="4" w:space="0" w:color="auto"/>
            </w:tcBorders>
          </w:tcPr>
          <w:p w14:paraId="12DF1336" w14:textId="77777777" w:rsidR="0036522D" w:rsidRPr="001B4A02" w:rsidRDefault="00000000" w:rsidP="00ED48A3">
            <w:pPr>
              <w:pStyle w:val="EMEANormal"/>
              <w:rPr>
                <w:del w:id="4819" w:author="AbbVie1" w:date="2025-05-13T09:50:00Z"/>
                <w:szCs w:val="22"/>
                <w:lang w:val="cs-CZ"/>
              </w:rPr>
            </w:pPr>
            <w:del w:id="4820"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12F0A74E" w14:textId="77777777" w:rsidR="0036522D" w:rsidRPr="001B4A02" w:rsidRDefault="00000000" w:rsidP="00ED48A3">
            <w:pPr>
              <w:pStyle w:val="EMEANormal"/>
              <w:rPr>
                <w:del w:id="4821" w:author="AbbVie1" w:date="2025-05-13T09:50:00Z"/>
                <w:szCs w:val="22"/>
                <w:lang w:val="cs-CZ"/>
              </w:rPr>
            </w:pPr>
            <w:del w:id="4822" w:author="AbbVie1" w:date="2025-05-13T09:50:00Z">
              <w:r w:rsidRPr="001B4A02">
                <w:rPr>
                  <w:szCs w:val="22"/>
                  <w:lang w:val="cs-CZ"/>
                </w:rPr>
                <w:delText>Alterace nálady (včetně deprese),</w:delText>
              </w:r>
            </w:del>
          </w:p>
          <w:p w14:paraId="354F2704" w14:textId="77777777" w:rsidR="0036522D" w:rsidRPr="001B4A02" w:rsidRDefault="00000000" w:rsidP="00ED48A3">
            <w:pPr>
              <w:pStyle w:val="EMEANormal"/>
              <w:rPr>
                <w:del w:id="4823" w:author="AbbVie1" w:date="2025-05-13T09:50:00Z"/>
                <w:szCs w:val="22"/>
                <w:lang w:val="cs-CZ"/>
              </w:rPr>
            </w:pPr>
            <w:del w:id="4824" w:author="AbbVie1" w:date="2025-05-13T09:50:00Z">
              <w:r w:rsidRPr="001B4A02">
                <w:rPr>
                  <w:szCs w:val="22"/>
                  <w:lang w:val="cs-CZ"/>
                </w:rPr>
                <w:delText>úzkost, nespavost</w:delText>
              </w:r>
            </w:del>
          </w:p>
          <w:p w14:paraId="38988976" w14:textId="77777777" w:rsidR="00461AAA" w:rsidRPr="001B4A02" w:rsidRDefault="00461AAA" w:rsidP="00ED48A3">
            <w:pPr>
              <w:pStyle w:val="EMEANormal"/>
              <w:rPr>
                <w:del w:id="4825" w:author="AbbVie1" w:date="2025-05-13T09:50:00Z"/>
                <w:szCs w:val="22"/>
                <w:lang w:val="cs-CZ"/>
              </w:rPr>
            </w:pPr>
          </w:p>
        </w:tc>
      </w:tr>
      <w:tr w:rsidR="00534A2D" w14:paraId="0BC5C2A3" w14:textId="77777777" w:rsidTr="00E501B6">
        <w:trPr>
          <w:cantSplit/>
          <w:trHeight w:val="127"/>
          <w:jc w:val="center"/>
          <w:del w:id="4826" w:author="AbbVie1" w:date="2025-05-13T09:50:00Z"/>
        </w:trPr>
        <w:tc>
          <w:tcPr>
            <w:tcW w:w="2880" w:type="dxa"/>
            <w:vMerge w:val="restart"/>
            <w:tcBorders>
              <w:top w:val="single" w:sz="4" w:space="0" w:color="auto"/>
              <w:left w:val="single" w:sz="4" w:space="0" w:color="auto"/>
              <w:bottom w:val="single" w:sz="4" w:space="0" w:color="auto"/>
              <w:right w:val="single" w:sz="4" w:space="0" w:color="auto"/>
            </w:tcBorders>
          </w:tcPr>
          <w:p w14:paraId="43043728" w14:textId="77777777" w:rsidR="0036522D" w:rsidRPr="001B4A02" w:rsidRDefault="00000000" w:rsidP="00ED48A3">
            <w:pPr>
              <w:pStyle w:val="EMEANormal"/>
              <w:tabs>
                <w:tab w:val="left" w:pos="0"/>
              </w:tabs>
              <w:rPr>
                <w:del w:id="4827" w:author="AbbVie1" w:date="2025-05-13T09:50:00Z"/>
                <w:szCs w:val="22"/>
                <w:lang w:val="cs-CZ"/>
              </w:rPr>
            </w:pPr>
            <w:del w:id="4828" w:author="AbbVie1" w:date="2025-05-13T09:50:00Z">
              <w:r w:rsidRPr="001B4A02">
                <w:rPr>
                  <w:szCs w:val="22"/>
                  <w:lang w:val="cs-CZ"/>
                </w:rPr>
                <w:delText>Poruchy nervového systému*</w:delText>
              </w:r>
            </w:del>
          </w:p>
        </w:tc>
        <w:tc>
          <w:tcPr>
            <w:tcW w:w="1440" w:type="dxa"/>
            <w:tcBorders>
              <w:top w:val="single" w:sz="4" w:space="0" w:color="auto"/>
              <w:left w:val="single" w:sz="4" w:space="0" w:color="auto"/>
              <w:bottom w:val="single" w:sz="4" w:space="0" w:color="auto"/>
              <w:right w:val="single" w:sz="4" w:space="0" w:color="auto"/>
            </w:tcBorders>
          </w:tcPr>
          <w:p w14:paraId="13C4D2B3" w14:textId="77777777" w:rsidR="0036522D" w:rsidRPr="001B4A02" w:rsidRDefault="00000000" w:rsidP="00ED48A3">
            <w:pPr>
              <w:pStyle w:val="EMEANormal"/>
              <w:ind w:left="112" w:hanging="112"/>
              <w:jc w:val="both"/>
              <w:rPr>
                <w:del w:id="4829" w:author="AbbVie1" w:date="2025-05-13T09:50:00Z"/>
                <w:szCs w:val="22"/>
                <w:lang w:val="cs-CZ"/>
              </w:rPr>
            </w:pPr>
            <w:del w:id="4830"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tcPr>
          <w:p w14:paraId="00D3D65A" w14:textId="77777777" w:rsidR="0036522D" w:rsidRPr="001B4A02" w:rsidRDefault="00000000" w:rsidP="00ED48A3">
            <w:pPr>
              <w:pStyle w:val="EMEANormal"/>
              <w:rPr>
                <w:del w:id="4831" w:author="AbbVie1" w:date="2025-05-13T09:50:00Z"/>
                <w:szCs w:val="22"/>
                <w:lang w:val="cs-CZ"/>
              </w:rPr>
            </w:pPr>
            <w:del w:id="4832" w:author="AbbVie1" w:date="2025-05-13T09:50:00Z">
              <w:r w:rsidRPr="001B4A02">
                <w:rPr>
                  <w:szCs w:val="22"/>
                  <w:lang w:val="cs-CZ"/>
                </w:rPr>
                <w:delText>Bolest hlavy</w:delText>
              </w:r>
            </w:del>
          </w:p>
          <w:p w14:paraId="59D2EC72" w14:textId="77777777" w:rsidR="0036522D" w:rsidRPr="001B4A02" w:rsidRDefault="0036522D" w:rsidP="00ED48A3">
            <w:pPr>
              <w:pStyle w:val="EMEANormal"/>
              <w:rPr>
                <w:del w:id="4833" w:author="AbbVie1" w:date="2025-05-13T09:50:00Z"/>
                <w:szCs w:val="22"/>
                <w:lang w:val="cs-CZ"/>
              </w:rPr>
            </w:pPr>
          </w:p>
        </w:tc>
      </w:tr>
      <w:tr w:rsidR="00534A2D" w14:paraId="684E3094" w14:textId="77777777" w:rsidTr="00E501B6">
        <w:trPr>
          <w:cantSplit/>
          <w:trHeight w:val="127"/>
          <w:jc w:val="center"/>
          <w:del w:id="4834"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3CC89166" w14:textId="77777777" w:rsidR="0036522D" w:rsidRPr="001B4A02" w:rsidRDefault="0036522D" w:rsidP="00ED48A3">
            <w:pPr>
              <w:ind w:left="0" w:firstLine="0"/>
              <w:rPr>
                <w:del w:id="4835"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757EDA02" w14:textId="77777777" w:rsidR="0036522D" w:rsidRPr="001B4A02" w:rsidRDefault="00000000" w:rsidP="00ED48A3">
            <w:pPr>
              <w:pStyle w:val="EMEANormal"/>
              <w:ind w:left="112" w:hanging="112"/>
              <w:jc w:val="both"/>
              <w:rPr>
                <w:del w:id="4836" w:author="AbbVie1" w:date="2025-05-13T09:50:00Z"/>
                <w:szCs w:val="22"/>
                <w:lang w:val="cs-CZ"/>
              </w:rPr>
            </w:pPr>
            <w:del w:id="4837"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1E7E6468" w14:textId="77777777" w:rsidR="0036522D" w:rsidRPr="001B4A02" w:rsidRDefault="00000000" w:rsidP="00ED48A3">
            <w:pPr>
              <w:pStyle w:val="EMEANormal"/>
              <w:rPr>
                <w:del w:id="4838" w:author="AbbVie1" w:date="2025-05-13T09:50:00Z"/>
                <w:szCs w:val="22"/>
                <w:lang w:val="cs-CZ"/>
              </w:rPr>
            </w:pPr>
            <w:del w:id="4839" w:author="AbbVie1" w:date="2025-05-13T09:50:00Z">
              <w:r w:rsidRPr="001B4A02">
                <w:rPr>
                  <w:szCs w:val="22"/>
                  <w:lang w:val="cs-CZ"/>
                </w:rPr>
                <w:delText>Parestezie (včetně hypest</w:delText>
              </w:r>
              <w:r w:rsidR="006E7ECF">
                <w:rPr>
                  <w:szCs w:val="22"/>
                  <w:lang w:val="cs-CZ"/>
                </w:rPr>
                <w:delText>e</w:delText>
              </w:r>
              <w:r w:rsidRPr="001B4A02">
                <w:rPr>
                  <w:szCs w:val="22"/>
                  <w:lang w:val="cs-CZ"/>
                </w:rPr>
                <w:delText>zie),</w:delText>
              </w:r>
            </w:del>
          </w:p>
          <w:p w14:paraId="71DEAFFD" w14:textId="77777777" w:rsidR="0036522D" w:rsidRPr="001B4A02" w:rsidRDefault="00000000" w:rsidP="00ED48A3">
            <w:pPr>
              <w:pStyle w:val="EMEANormal"/>
              <w:rPr>
                <w:del w:id="4840" w:author="AbbVie1" w:date="2025-05-13T09:50:00Z"/>
                <w:szCs w:val="22"/>
                <w:lang w:val="cs-CZ"/>
              </w:rPr>
            </w:pPr>
            <w:del w:id="4841" w:author="AbbVie1" w:date="2025-05-13T09:50:00Z">
              <w:r w:rsidRPr="001B4A02">
                <w:rPr>
                  <w:szCs w:val="22"/>
                  <w:lang w:val="cs-CZ"/>
                </w:rPr>
                <w:delText>migréna,</w:delText>
              </w:r>
            </w:del>
          </w:p>
          <w:p w14:paraId="07125E52" w14:textId="77777777" w:rsidR="0036522D" w:rsidRPr="001B4A02" w:rsidRDefault="00000000" w:rsidP="00ED48A3">
            <w:pPr>
              <w:pStyle w:val="EMEANormal"/>
              <w:rPr>
                <w:del w:id="4842" w:author="AbbVie1" w:date="2025-05-13T09:50:00Z"/>
                <w:szCs w:val="22"/>
                <w:lang w:val="cs-CZ"/>
              </w:rPr>
            </w:pPr>
            <w:del w:id="4843" w:author="AbbVie1" w:date="2025-05-13T09:50:00Z">
              <w:r w:rsidRPr="001B4A02">
                <w:rPr>
                  <w:szCs w:val="22"/>
                  <w:lang w:val="cs-CZ"/>
                </w:rPr>
                <w:delText>útlak nervových kořenů</w:delText>
              </w:r>
            </w:del>
          </w:p>
          <w:p w14:paraId="66B9285C" w14:textId="77777777" w:rsidR="0036522D" w:rsidRPr="001B4A02" w:rsidRDefault="0036522D" w:rsidP="00ED48A3">
            <w:pPr>
              <w:pStyle w:val="EMEANormal"/>
              <w:rPr>
                <w:del w:id="4844" w:author="AbbVie1" w:date="2025-05-13T09:50:00Z"/>
                <w:szCs w:val="22"/>
                <w:lang w:val="cs-CZ"/>
              </w:rPr>
            </w:pPr>
          </w:p>
        </w:tc>
      </w:tr>
      <w:tr w:rsidR="00534A2D" w14:paraId="358C5C71" w14:textId="77777777" w:rsidTr="00E501B6">
        <w:trPr>
          <w:cantSplit/>
          <w:trHeight w:val="91"/>
          <w:jc w:val="center"/>
          <w:del w:id="4845"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1AAA91D5" w14:textId="77777777" w:rsidR="0036522D" w:rsidRPr="001B4A02" w:rsidRDefault="0036522D" w:rsidP="00ED48A3">
            <w:pPr>
              <w:ind w:left="0" w:firstLine="0"/>
              <w:rPr>
                <w:del w:id="4846"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1CA959B8" w14:textId="77777777" w:rsidR="0036522D" w:rsidRPr="001B4A02" w:rsidRDefault="00000000" w:rsidP="00ED48A3">
            <w:pPr>
              <w:pStyle w:val="EMEANormal"/>
              <w:jc w:val="both"/>
              <w:rPr>
                <w:del w:id="4847" w:author="AbbVie1" w:date="2025-05-13T09:50:00Z"/>
                <w:szCs w:val="22"/>
                <w:lang w:val="cs-CZ"/>
              </w:rPr>
            </w:pPr>
            <w:del w:id="4848"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27E3AA4F" w14:textId="77777777" w:rsidR="0068379B" w:rsidRPr="001B4A02" w:rsidRDefault="00000000" w:rsidP="00ED48A3">
            <w:pPr>
              <w:pStyle w:val="EMEANormal"/>
              <w:rPr>
                <w:del w:id="4849" w:author="AbbVie1" w:date="2025-05-13T09:50:00Z"/>
                <w:szCs w:val="22"/>
                <w:lang w:val="cs-CZ"/>
              </w:rPr>
            </w:pPr>
            <w:del w:id="4850" w:author="AbbVie1" w:date="2025-05-13T09:50:00Z">
              <w:r w:rsidRPr="001B4A02">
                <w:rPr>
                  <w:szCs w:val="22"/>
                  <w:lang w:val="cs-CZ"/>
                </w:rPr>
                <w:delText>Cévní mozková příhoda</w:delText>
              </w:r>
              <w:r w:rsidRPr="001B4A02">
                <w:rPr>
                  <w:szCs w:val="22"/>
                  <w:vertAlign w:val="superscript"/>
                  <w:lang w:val="cs-CZ"/>
                </w:rPr>
                <w:delText>1)</w:delText>
              </w:r>
              <w:r w:rsidRPr="001B4A02">
                <w:rPr>
                  <w:szCs w:val="22"/>
                  <w:lang w:val="cs-CZ"/>
                </w:rPr>
                <w:delText>,</w:delText>
              </w:r>
            </w:del>
          </w:p>
          <w:p w14:paraId="64095098" w14:textId="77777777" w:rsidR="0036522D" w:rsidRPr="001B4A02" w:rsidRDefault="00000000" w:rsidP="00ED48A3">
            <w:pPr>
              <w:pStyle w:val="EMEANormal"/>
              <w:rPr>
                <w:del w:id="4851" w:author="AbbVie1" w:date="2025-05-13T09:50:00Z"/>
                <w:szCs w:val="22"/>
                <w:lang w:val="cs-CZ"/>
              </w:rPr>
            </w:pPr>
            <w:del w:id="4852" w:author="AbbVie1" w:date="2025-05-13T09:50:00Z">
              <w:r w:rsidRPr="001B4A02">
                <w:rPr>
                  <w:szCs w:val="22"/>
                  <w:lang w:val="cs-CZ"/>
                </w:rPr>
                <w:delText>třes</w:delText>
              </w:r>
              <w:r w:rsidR="00617C2D" w:rsidRPr="001B4A02">
                <w:rPr>
                  <w:szCs w:val="22"/>
                  <w:lang w:val="cs-CZ"/>
                </w:rPr>
                <w:delText>,</w:delText>
              </w:r>
            </w:del>
          </w:p>
          <w:p w14:paraId="5465C463" w14:textId="77777777" w:rsidR="00617C2D" w:rsidRPr="001B4A02" w:rsidRDefault="00000000" w:rsidP="00ED48A3">
            <w:pPr>
              <w:pStyle w:val="EMEANormal"/>
              <w:rPr>
                <w:del w:id="4853" w:author="AbbVie1" w:date="2025-05-13T09:50:00Z"/>
                <w:szCs w:val="22"/>
                <w:lang w:val="cs-CZ"/>
              </w:rPr>
            </w:pPr>
            <w:del w:id="4854" w:author="AbbVie1" w:date="2025-05-13T09:50:00Z">
              <w:r w:rsidRPr="001B4A02">
                <w:rPr>
                  <w:szCs w:val="22"/>
                  <w:lang w:val="cs-CZ"/>
                </w:rPr>
                <w:delText>neuropatie</w:delText>
              </w:r>
            </w:del>
          </w:p>
          <w:p w14:paraId="5F2BFCC1" w14:textId="77777777" w:rsidR="0036522D" w:rsidRPr="001B4A02" w:rsidRDefault="0036522D" w:rsidP="00ED48A3">
            <w:pPr>
              <w:pStyle w:val="EMEANormal"/>
              <w:rPr>
                <w:del w:id="4855" w:author="AbbVie1" w:date="2025-05-13T09:50:00Z"/>
                <w:szCs w:val="22"/>
                <w:lang w:val="cs-CZ"/>
              </w:rPr>
            </w:pPr>
          </w:p>
        </w:tc>
      </w:tr>
      <w:tr w:rsidR="00534A2D" w14:paraId="3C3A5EB3" w14:textId="77777777" w:rsidTr="00E501B6">
        <w:trPr>
          <w:cantSplit/>
          <w:trHeight w:val="91"/>
          <w:jc w:val="center"/>
          <w:del w:id="4856"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64C33D34" w14:textId="77777777" w:rsidR="0036522D" w:rsidRPr="001B4A02" w:rsidRDefault="0036522D" w:rsidP="00ED48A3">
            <w:pPr>
              <w:ind w:left="0" w:firstLine="0"/>
              <w:rPr>
                <w:del w:id="4857"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310FF225" w14:textId="77777777" w:rsidR="0036522D" w:rsidRPr="001B4A02" w:rsidRDefault="00000000" w:rsidP="00ED48A3">
            <w:pPr>
              <w:pStyle w:val="EMEANormal"/>
              <w:ind w:left="112" w:hanging="112"/>
              <w:jc w:val="both"/>
              <w:rPr>
                <w:del w:id="4858" w:author="AbbVie1" w:date="2025-05-13T09:50:00Z"/>
                <w:szCs w:val="22"/>
                <w:lang w:val="cs-CZ"/>
              </w:rPr>
            </w:pPr>
            <w:del w:id="4859"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tcPr>
          <w:p w14:paraId="4BC951C1" w14:textId="77777777" w:rsidR="0036522D" w:rsidRPr="001B4A02" w:rsidRDefault="00000000" w:rsidP="00ED48A3">
            <w:pPr>
              <w:pStyle w:val="EMEANormal"/>
              <w:rPr>
                <w:del w:id="4860" w:author="AbbVie1" w:date="2025-05-13T09:50:00Z"/>
                <w:szCs w:val="22"/>
                <w:lang w:val="cs-CZ"/>
              </w:rPr>
            </w:pPr>
            <w:del w:id="4861" w:author="AbbVie1" w:date="2025-05-13T09:50:00Z">
              <w:r w:rsidRPr="001B4A02">
                <w:rPr>
                  <w:szCs w:val="22"/>
                  <w:lang w:val="cs-CZ"/>
                </w:rPr>
                <w:delText>Roztroušená skleróza</w:delText>
              </w:r>
              <w:r w:rsidR="0068379B" w:rsidRPr="001B4A02">
                <w:rPr>
                  <w:szCs w:val="22"/>
                  <w:lang w:val="cs-CZ"/>
                </w:rPr>
                <w:delText>,</w:delText>
              </w:r>
            </w:del>
          </w:p>
          <w:p w14:paraId="05522A90" w14:textId="77777777" w:rsidR="0068379B" w:rsidRPr="001B4A02" w:rsidRDefault="00000000" w:rsidP="00ED48A3">
            <w:pPr>
              <w:pStyle w:val="EMEANormal"/>
              <w:rPr>
                <w:del w:id="4862" w:author="AbbVie1" w:date="2025-05-13T09:50:00Z"/>
                <w:szCs w:val="22"/>
                <w:lang w:val="cs-CZ"/>
              </w:rPr>
            </w:pPr>
            <w:del w:id="4863" w:author="AbbVie1" w:date="2025-05-13T09:50:00Z">
              <w:r w:rsidRPr="001B4A02">
                <w:rPr>
                  <w:szCs w:val="22"/>
                  <w:lang w:val="cs-CZ"/>
                </w:rPr>
                <w:delText>demyelinizační poruchy (např. optická neuriti</w:delText>
              </w:r>
              <w:r w:rsidR="00E30D47" w:rsidRPr="001B4A02">
                <w:rPr>
                  <w:szCs w:val="22"/>
                  <w:lang w:val="cs-CZ"/>
                </w:rPr>
                <w:delText>da</w:delText>
              </w:r>
              <w:r w:rsidRPr="001B4A02">
                <w:rPr>
                  <w:szCs w:val="22"/>
                  <w:lang w:val="cs-CZ"/>
                </w:rPr>
                <w:delText>, Guillain-Barré syndrom)</w:delText>
              </w:r>
              <w:r w:rsidRPr="001B4A02">
                <w:rPr>
                  <w:szCs w:val="22"/>
                  <w:vertAlign w:val="superscript"/>
                  <w:lang w:val="cs-CZ"/>
                </w:rPr>
                <w:delText>1)</w:delText>
              </w:r>
            </w:del>
          </w:p>
          <w:p w14:paraId="3C379ACC" w14:textId="77777777" w:rsidR="0036522D" w:rsidRPr="001B4A02" w:rsidRDefault="0036522D" w:rsidP="00ED48A3">
            <w:pPr>
              <w:pStyle w:val="EMEANormal"/>
              <w:rPr>
                <w:del w:id="4864" w:author="AbbVie1" w:date="2025-05-13T09:50:00Z"/>
                <w:szCs w:val="22"/>
                <w:lang w:val="cs-CZ"/>
              </w:rPr>
            </w:pPr>
          </w:p>
        </w:tc>
      </w:tr>
      <w:tr w:rsidR="00534A2D" w14:paraId="1820DC3B" w14:textId="77777777" w:rsidTr="00E501B6">
        <w:trPr>
          <w:cantSplit/>
          <w:trHeight w:val="259"/>
          <w:jc w:val="center"/>
          <w:del w:id="4865" w:author="AbbVie1" w:date="2025-05-13T09:50:00Z"/>
        </w:trPr>
        <w:tc>
          <w:tcPr>
            <w:tcW w:w="2880" w:type="dxa"/>
            <w:vMerge w:val="restart"/>
            <w:tcBorders>
              <w:top w:val="single" w:sz="4" w:space="0" w:color="auto"/>
              <w:left w:val="single" w:sz="4" w:space="0" w:color="auto"/>
              <w:bottom w:val="single" w:sz="4" w:space="0" w:color="auto"/>
              <w:right w:val="single" w:sz="4" w:space="0" w:color="auto"/>
            </w:tcBorders>
          </w:tcPr>
          <w:p w14:paraId="264FC3A8" w14:textId="77777777" w:rsidR="0036522D" w:rsidRPr="001B4A02" w:rsidRDefault="00000000" w:rsidP="00ED48A3">
            <w:pPr>
              <w:pStyle w:val="EMEANormal"/>
              <w:tabs>
                <w:tab w:val="left" w:pos="0"/>
              </w:tabs>
              <w:rPr>
                <w:del w:id="4866" w:author="AbbVie1" w:date="2025-05-13T09:50:00Z"/>
                <w:szCs w:val="22"/>
                <w:lang w:val="cs-CZ"/>
              </w:rPr>
            </w:pPr>
            <w:del w:id="4867" w:author="AbbVie1" w:date="2025-05-13T09:50:00Z">
              <w:r w:rsidRPr="001B4A02">
                <w:rPr>
                  <w:szCs w:val="22"/>
                  <w:lang w:val="cs-CZ"/>
                </w:rPr>
                <w:delText>Poruchy oka</w:delText>
              </w:r>
            </w:del>
          </w:p>
        </w:tc>
        <w:tc>
          <w:tcPr>
            <w:tcW w:w="1440" w:type="dxa"/>
            <w:tcBorders>
              <w:top w:val="single" w:sz="4" w:space="0" w:color="auto"/>
              <w:left w:val="single" w:sz="4" w:space="0" w:color="auto"/>
              <w:bottom w:val="single" w:sz="4" w:space="0" w:color="auto"/>
              <w:right w:val="single" w:sz="4" w:space="0" w:color="auto"/>
            </w:tcBorders>
          </w:tcPr>
          <w:p w14:paraId="5D11DA92" w14:textId="77777777" w:rsidR="0036522D" w:rsidRPr="001B4A02" w:rsidRDefault="00000000" w:rsidP="00ED48A3">
            <w:pPr>
              <w:pStyle w:val="EMEANormal"/>
              <w:rPr>
                <w:del w:id="4868" w:author="AbbVie1" w:date="2025-05-13T09:50:00Z"/>
                <w:szCs w:val="22"/>
                <w:lang w:val="cs-CZ"/>
              </w:rPr>
            </w:pPr>
            <w:del w:id="4869"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10FB0B61" w14:textId="77777777" w:rsidR="0036522D" w:rsidRPr="001B4A02" w:rsidRDefault="00000000" w:rsidP="00ED48A3">
            <w:pPr>
              <w:pStyle w:val="EMEANormal"/>
              <w:rPr>
                <w:del w:id="4870" w:author="AbbVie1" w:date="2025-05-13T09:50:00Z"/>
                <w:szCs w:val="22"/>
                <w:lang w:val="cs-CZ"/>
              </w:rPr>
            </w:pPr>
            <w:del w:id="4871" w:author="AbbVie1" w:date="2025-05-13T09:50:00Z">
              <w:r w:rsidRPr="001B4A02">
                <w:rPr>
                  <w:szCs w:val="22"/>
                  <w:lang w:val="cs-CZ"/>
                </w:rPr>
                <w:delText>Poruchy zraku,</w:delText>
              </w:r>
            </w:del>
          </w:p>
          <w:p w14:paraId="09F030C7" w14:textId="77777777" w:rsidR="0036522D" w:rsidRPr="001B4A02" w:rsidRDefault="00000000" w:rsidP="00ED48A3">
            <w:pPr>
              <w:pStyle w:val="EMEANormal"/>
              <w:rPr>
                <w:del w:id="4872" w:author="AbbVie1" w:date="2025-05-13T09:50:00Z"/>
                <w:szCs w:val="22"/>
                <w:lang w:val="cs-CZ"/>
              </w:rPr>
            </w:pPr>
            <w:del w:id="4873" w:author="AbbVie1" w:date="2025-05-13T09:50:00Z">
              <w:r w:rsidRPr="001B4A02">
                <w:rPr>
                  <w:szCs w:val="22"/>
                  <w:lang w:val="cs-CZ"/>
                </w:rPr>
                <w:delText>konjunktivitida</w:delText>
              </w:r>
              <w:r w:rsidR="00096FA6" w:rsidRPr="001B4A02">
                <w:rPr>
                  <w:szCs w:val="22"/>
                  <w:lang w:val="cs-CZ"/>
                </w:rPr>
                <w:delText>,</w:delText>
              </w:r>
            </w:del>
          </w:p>
          <w:p w14:paraId="5E8C0008" w14:textId="77777777" w:rsidR="00096FA6" w:rsidRPr="001B4A02" w:rsidRDefault="00000000" w:rsidP="00ED48A3">
            <w:pPr>
              <w:pStyle w:val="EMEANormal"/>
              <w:rPr>
                <w:del w:id="4874" w:author="AbbVie1" w:date="2025-05-13T09:50:00Z"/>
                <w:szCs w:val="22"/>
                <w:lang w:val="cs-CZ"/>
              </w:rPr>
            </w:pPr>
            <w:del w:id="4875" w:author="AbbVie1" w:date="2025-05-13T09:50:00Z">
              <w:r w:rsidRPr="001B4A02">
                <w:rPr>
                  <w:szCs w:val="22"/>
                  <w:lang w:val="cs-CZ"/>
                </w:rPr>
                <w:delText>blefaritida,</w:delText>
              </w:r>
            </w:del>
          </w:p>
          <w:p w14:paraId="3BEA2685" w14:textId="77777777" w:rsidR="00096FA6" w:rsidRPr="001B4A02" w:rsidRDefault="00000000" w:rsidP="00ED48A3">
            <w:pPr>
              <w:pStyle w:val="EMEANormal"/>
              <w:rPr>
                <w:del w:id="4876" w:author="AbbVie1" w:date="2025-05-13T09:50:00Z"/>
                <w:szCs w:val="22"/>
                <w:lang w:val="cs-CZ"/>
              </w:rPr>
            </w:pPr>
            <w:del w:id="4877" w:author="AbbVie1" w:date="2025-05-13T09:50:00Z">
              <w:r w:rsidRPr="001B4A02">
                <w:rPr>
                  <w:szCs w:val="22"/>
                  <w:lang w:val="cs-CZ"/>
                </w:rPr>
                <w:delText>otoky oka</w:delText>
              </w:r>
            </w:del>
          </w:p>
          <w:p w14:paraId="20D4A093" w14:textId="77777777" w:rsidR="0036522D" w:rsidRPr="001B4A02" w:rsidRDefault="0036522D" w:rsidP="00ED48A3">
            <w:pPr>
              <w:pStyle w:val="EMEANormal"/>
              <w:rPr>
                <w:del w:id="4878" w:author="AbbVie1" w:date="2025-05-13T09:50:00Z"/>
                <w:szCs w:val="22"/>
                <w:lang w:val="cs-CZ"/>
              </w:rPr>
            </w:pPr>
          </w:p>
        </w:tc>
      </w:tr>
      <w:tr w:rsidR="00534A2D" w14:paraId="51A8475D" w14:textId="77777777" w:rsidTr="00E501B6">
        <w:trPr>
          <w:cantSplit/>
          <w:trHeight w:val="258"/>
          <w:jc w:val="center"/>
          <w:del w:id="4879"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3FAD7915" w14:textId="77777777" w:rsidR="0036522D" w:rsidRPr="001B4A02" w:rsidRDefault="0036522D" w:rsidP="00ED48A3">
            <w:pPr>
              <w:ind w:left="0" w:firstLine="0"/>
              <w:rPr>
                <w:del w:id="4880"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7D0AF690" w14:textId="77777777" w:rsidR="0036522D" w:rsidRPr="001B4A02" w:rsidRDefault="00000000" w:rsidP="00ED48A3">
            <w:pPr>
              <w:pStyle w:val="EMEANormal"/>
              <w:rPr>
                <w:del w:id="4881" w:author="AbbVie1" w:date="2025-05-13T09:50:00Z"/>
                <w:szCs w:val="22"/>
                <w:lang w:val="cs-CZ"/>
              </w:rPr>
            </w:pPr>
            <w:del w:id="4882"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28A1EDA5" w14:textId="77777777" w:rsidR="0036522D" w:rsidRPr="001B4A02" w:rsidRDefault="00000000" w:rsidP="00ED48A3">
            <w:pPr>
              <w:pStyle w:val="EMEANormal"/>
              <w:rPr>
                <w:del w:id="4883" w:author="AbbVie1" w:date="2025-05-13T09:50:00Z"/>
                <w:szCs w:val="22"/>
                <w:lang w:val="cs-CZ"/>
              </w:rPr>
            </w:pPr>
            <w:del w:id="4884" w:author="AbbVie1" w:date="2025-05-13T09:50:00Z">
              <w:r w:rsidRPr="001B4A02">
                <w:rPr>
                  <w:szCs w:val="22"/>
                  <w:lang w:val="cs-CZ"/>
                </w:rPr>
                <w:delText>Diplopie</w:delText>
              </w:r>
            </w:del>
          </w:p>
          <w:p w14:paraId="6726AC2E" w14:textId="77777777" w:rsidR="0036522D" w:rsidRPr="001B4A02" w:rsidRDefault="0036522D" w:rsidP="00ED48A3">
            <w:pPr>
              <w:pStyle w:val="EMEANormal"/>
              <w:rPr>
                <w:del w:id="4885" w:author="AbbVie1" w:date="2025-05-13T09:50:00Z"/>
                <w:szCs w:val="22"/>
                <w:lang w:val="cs-CZ"/>
              </w:rPr>
            </w:pPr>
          </w:p>
        </w:tc>
      </w:tr>
      <w:tr w:rsidR="00534A2D" w14:paraId="763E66B0" w14:textId="77777777" w:rsidTr="00E501B6">
        <w:trPr>
          <w:cantSplit/>
          <w:trHeight w:val="96"/>
          <w:jc w:val="center"/>
          <w:del w:id="4886" w:author="AbbVie1" w:date="2025-05-13T09:50:00Z"/>
        </w:trPr>
        <w:tc>
          <w:tcPr>
            <w:tcW w:w="2880" w:type="dxa"/>
            <w:vMerge w:val="restart"/>
            <w:tcBorders>
              <w:top w:val="single" w:sz="4" w:space="0" w:color="auto"/>
              <w:left w:val="single" w:sz="4" w:space="0" w:color="auto"/>
              <w:bottom w:val="single" w:sz="4" w:space="0" w:color="auto"/>
              <w:right w:val="single" w:sz="4" w:space="0" w:color="auto"/>
            </w:tcBorders>
            <w:shd w:val="clear" w:color="auto" w:fill="FFFFFF"/>
          </w:tcPr>
          <w:p w14:paraId="3FC68EC8" w14:textId="77777777" w:rsidR="0036522D" w:rsidRPr="001B4A02" w:rsidRDefault="00000000" w:rsidP="00ED48A3">
            <w:pPr>
              <w:pStyle w:val="EMEANormal"/>
              <w:tabs>
                <w:tab w:val="left" w:pos="0"/>
              </w:tabs>
              <w:rPr>
                <w:del w:id="4887" w:author="AbbVie1" w:date="2025-05-13T09:50:00Z"/>
                <w:szCs w:val="22"/>
                <w:lang w:val="cs-CZ"/>
              </w:rPr>
            </w:pPr>
            <w:del w:id="4888" w:author="AbbVie1" w:date="2025-05-13T09:50:00Z">
              <w:r w:rsidRPr="001B4A02">
                <w:rPr>
                  <w:szCs w:val="22"/>
                  <w:lang w:val="cs-CZ"/>
                </w:rPr>
                <w:delText>Poruchy ucha</w:delText>
              </w:r>
              <w:r w:rsidR="002378E0">
                <w:rPr>
                  <w:szCs w:val="22"/>
                  <w:lang w:val="cs-CZ"/>
                </w:rPr>
                <w:delText xml:space="preserve"> a </w:delText>
              </w:r>
              <w:r w:rsidRPr="001B4A02">
                <w:rPr>
                  <w:szCs w:val="22"/>
                  <w:lang w:val="cs-CZ"/>
                </w:rPr>
                <w:delText>labyrintu</w:delText>
              </w:r>
            </w:del>
          </w:p>
        </w:tc>
        <w:tc>
          <w:tcPr>
            <w:tcW w:w="1440" w:type="dxa"/>
            <w:tcBorders>
              <w:top w:val="single" w:sz="4" w:space="0" w:color="auto"/>
              <w:left w:val="single" w:sz="4" w:space="0" w:color="auto"/>
              <w:bottom w:val="single" w:sz="4" w:space="0" w:color="auto"/>
              <w:right w:val="single" w:sz="4" w:space="0" w:color="auto"/>
            </w:tcBorders>
          </w:tcPr>
          <w:p w14:paraId="3F6059E2" w14:textId="77777777" w:rsidR="0036522D" w:rsidRPr="001B4A02" w:rsidRDefault="00000000" w:rsidP="00ED48A3">
            <w:pPr>
              <w:pStyle w:val="EMEANormal"/>
              <w:rPr>
                <w:del w:id="4889" w:author="AbbVie1" w:date="2025-05-13T09:50:00Z"/>
                <w:szCs w:val="22"/>
                <w:lang w:val="cs-CZ"/>
              </w:rPr>
            </w:pPr>
            <w:del w:id="4890"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6E651B06" w14:textId="77777777" w:rsidR="0036522D" w:rsidRPr="001B4A02" w:rsidRDefault="00000000" w:rsidP="00ED48A3">
            <w:pPr>
              <w:pStyle w:val="EMEANormal"/>
              <w:rPr>
                <w:del w:id="4891" w:author="AbbVie1" w:date="2025-05-13T09:50:00Z"/>
                <w:szCs w:val="22"/>
                <w:lang w:val="cs-CZ"/>
              </w:rPr>
            </w:pPr>
            <w:del w:id="4892" w:author="AbbVie1" w:date="2025-05-13T09:50:00Z">
              <w:r w:rsidRPr="001B4A02">
                <w:rPr>
                  <w:szCs w:val="22"/>
                  <w:lang w:val="cs-CZ"/>
                </w:rPr>
                <w:delText>Vertigo</w:delText>
              </w:r>
            </w:del>
          </w:p>
          <w:p w14:paraId="37CAB2E9" w14:textId="77777777" w:rsidR="0036522D" w:rsidRPr="001B4A02" w:rsidRDefault="0036522D" w:rsidP="00ED48A3">
            <w:pPr>
              <w:pStyle w:val="EMEANormal"/>
              <w:rPr>
                <w:del w:id="4893" w:author="AbbVie1" w:date="2025-05-13T09:50:00Z"/>
                <w:szCs w:val="22"/>
                <w:lang w:val="cs-CZ"/>
              </w:rPr>
            </w:pPr>
          </w:p>
        </w:tc>
      </w:tr>
      <w:tr w:rsidR="00534A2D" w14:paraId="34F310E7" w14:textId="77777777" w:rsidTr="00E501B6">
        <w:trPr>
          <w:cantSplit/>
          <w:trHeight w:val="408"/>
          <w:jc w:val="center"/>
          <w:del w:id="4894"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52F66A2B" w14:textId="77777777" w:rsidR="0036522D" w:rsidRPr="001B4A02" w:rsidRDefault="0036522D" w:rsidP="00ED48A3">
            <w:pPr>
              <w:ind w:left="0" w:firstLine="0"/>
              <w:rPr>
                <w:del w:id="4895"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5253D3C1" w14:textId="77777777" w:rsidR="0036522D" w:rsidRPr="001B4A02" w:rsidRDefault="00000000" w:rsidP="00ED48A3">
            <w:pPr>
              <w:pStyle w:val="EMEANormal"/>
              <w:rPr>
                <w:del w:id="4896" w:author="AbbVie1" w:date="2025-05-13T09:50:00Z"/>
                <w:szCs w:val="22"/>
                <w:lang w:val="cs-CZ"/>
              </w:rPr>
            </w:pPr>
            <w:del w:id="4897"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74EF6EAC" w14:textId="77777777" w:rsidR="0036522D" w:rsidRPr="001B4A02" w:rsidRDefault="00000000" w:rsidP="00ED48A3">
            <w:pPr>
              <w:pStyle w:val="EMEANormal"/>
              <w:rPr>
                <w:del w:id="4898" w:author="AbbVie1" w:date="2025-05-13T09:50:00Z"/>
                <w:szCs w:val="22"/>
                <w:lang w:val="cs-CZ"/>
              </w:rPr>
            </w:pPr>
            <w:del w:id="4899" w:author="AbbVie1" w:date="2025-05-13T09:50:00Z">
              <w:r w:rsidRPr="001B4A02">
                <w:rPr>
                  <w:szCs w:val="22"/>
                  <w:lang w:val="cs-CZ"/>
                </w:rPr>
                <w:delText>Ztráta sluchu,</w:delText>
              </w:r>
            </w:del>
          </w:p>
          <w:p w14:paraId="2075BB57" w14:textId="77777777" w:rsidR="0036522D" w:rsidRPr="001B4A02" w:rsidRDefault="00000000" w:rsidP="00ED48A3">
            <w:pPr>
              <w:pStyle w:val="EMEANormal"/>
              <w:rPr>
                <w:del w:id="4900" w:author="AbbVie1" w:date="2025-05-13T09:50:00Z"/>
                <w:szCs w:val="22"/>
                <w:lang w:val="cs-CZ"/>
              </w:rPr>
            </w:pPr>
            <w:del w:id="4901" w:author="AbbVie1" w:date="2025-05-13T09:50:00Z">
              <w:r w:rsidRPr="001B4A02">
                <w:rPr>
                  <w:szCs w:val="22"/>
                  <w:lang w:val="cs-CZ"/>
                </w:rPr>
                <w:delText>tinitus</w:delText>
              </w:r>
            </w:del>
          </w:p>
          <w:p w14:paraId="5FA0C003" w14:textId="77777777" w:rsidR="0036522D" w:rsidRPr="001B4A02" w:rsidRDefault="0036522D" w:rsidP="00ED48A3">
            <w:pPr>
              <w:pStyle w:val="EMEANormal"/>
              <w:rPr>
                <w:del w:id="4902" w:author="AbbVie1" w:date="2025-05-13T09:50:00Z"/>
                <w:szCs w:val="22"/>
                <w:lang w:val="cs-CZ"/>
              </w:rPr>
            </w:pPr>
          </w:p>
        </w:tc>
      </w:tr>
      <w:tr w:rsidR="00534A2D" w14:paraId="715D4308" w14:textId="77777777" w:rsidTr="00E501B6">
        <w:trPr>
          <w:cantSplit/>
          <w:trHeight w:val="127"/>
          <w:jc w:val="center"/>
          <w:del w:id="4903" w:author="AbbVie1" w:date="2025-05-13T09:50:00Z"/>
        </w:trPr>
        <w:tc>
          <w:tcPr>
            <w:tcW w:w="2880" w:type="dxa"/>
            <w:vMerge w:val="restart"/>
            <w:tcBorders>
              <w:top w:val="single" w:sz="4" w:space="0" w:color="auto"/>
              <w:left w:val="single" w:sz="4" w:space="0" w:color="auto"/>
              <w:bottom w:val="single" w:sz="4" w:space="0" w:color="auto"/>
              <w:right w:val="single" w:sz="4" w:space="0" w:color="auto"/>
            </w:tcBorders>
          </w:tcPr>
          <w:p w14:paraId="6BDC3147" w14:textId="77777777" w:rsidR="0036522D" w:rsidRPr="001B4A02" w:rsidRDefault="00000000" w:rsidP="00ED48A3">
            <w:pPr>
              <w:pStyle w:val="EMEANormal"/>
              <w:keepNext/>
              <w:tabs>
                <w:tab w:val="left" w:pos="0"/>
              </w:tabs>
              <w:rPr>
                <w:del w:id="4904" w:author="AbbVie1" w:date="2025-05-13T09:50:00Z"/>
                <w:szCs w:val="22"/>
                <w:lang w:val="cs-CZ"/>
              </w:rPr>
            </w:pPr>
            <w:del w:id="4905" w:author="AbbVie1" w:date="2025-05-13T09:50:00Z">
              <w:r w:rsidRPr="001B4A02">
                <w:rPr>
                  <w:szCs w:val="22"/>
                  <w:lang w:val="cs-CZ"/>
                </w:rPr>
                <w:delText>Srdeční poruchy*</w:delText>
              </w:r>
            </w:del>
          </w:p>
        </w:tc>
        <w:tc>
          <w:tcPr>
            <w:tcW w:w="1440" w:type="dxa"/>
            <w:tcBorders>
              <w:top w:val="single" w:sz="4" w:space="0" w:color="auto"/>
              <w:left w:val="single" w:sz="4" w:space="0" w:color="auto"/>
              <w:bottom w:val="single" w:sz="4" w:space="0" w:color="auto"/>
              <w:right w:val="single" w:sz="4" w:space="0" w:color="auto"/>
            </w:tcBorders>
          </w:tcPr>
          <w:p w14:paraId="795B55F1" w14:textId="77777777" w:rsidR="0036522D" w:rsidRPr="001B4A02" w:rsidRDefault="00000000" w:rsidP="00ED48A3">
            <w:pPr>
              <w:pStyle w:val="EMEANormal"/>
              <w:keepNext/>
              <w:rPr>
                <w:del w:id="4906" w:author="AbbVie1" w:date="2025-05-13T09:50:00Z"/>
                <w:szCs w:val="22"/>
                <w:lang w:val="cs-CZ"/>
              </w:rPr>
            </w:pPr>
            <w:del w:id="4907"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3FFD0725" w14:textId="77777777" w:rsidR="0036522D" w:rsidRPr="001B4A02" w:rsidRDefault="00000000" w:rsidP="00ED48A3">
            <w:pPr>
              <w:pStyle w:val="EMEANormal"/>
              <w:keepNext/>
              <w:rPr>
                <w:del w:id="4908" w:author="AbbVie1" w:date="2025-05-13T09:50:00Z"/>
                <w:szCs w:val="22"/>
                <w:lang w:val="cs-CZ"/>
              </w:rPr>
            </w:pPr>
            <w:del w:id="4909" w:author="AbbVie1" w:date="2025-05-13T09:50:00Z">
              <w:r w:rsidRPr="001B4A02">
                <w:rPr>
                  <w:szCs w:val="22"/>
                  <w:lang w:val="cs-CZ"/>
                </w:rPr>
                <w:delText>Tachykardie</w:delText>
              </w:r>
            </w:del>
          </w:p>
          <w:p w14:paraId="6907F560" w14:textId="77777777" w:rsidR="0036522D" w:rsidRPr="001B4A02" w:rsidRDefault="0036522D" w:rsidP="00ED48A3">
            <w:pPr>
              <w:pStyle w:val="EMEANormal"/>
              <w:keepNext/>
              <w:rPr>
                <w:del w:id="4910" w:author="AbbVie1" w:date="2025-05-13T09:50:00Z"/>
                <w:szCs w:val="22"/>
                <w:lang w:val="cs-CZ"/>
              </w:rPr>
            </w:pPr>
          </w:p>
        </w:tc>
      </w:tr>
      <w:tr w:rsidR="00534A2D" w14:paraId="30E0EEDE" w14:textId="77777777" w:rsidTr="00E501B6">
        <w:trPr>
          <w:cantSplit/>
          <w:trHeight w:val="127"/>
          <w:jc w:val="center"/>
          <w:del w:id="4911"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21E17DF9" w14:textId="77777777" w:rsidR="0036522D" w:rsidRPr="001B4A02" w:rsidRDefault="0036522D" w:rsidP="00ED48A3">
            <w:pPr>
              <w:keepNext/>
              <w:ind w:left="0" w:firstLine="0"/>
              <w:rPr>
                <w:del w:id="4912"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62AA7ADE" w14:textId="77777777" w:rsidR="0036522D" w:rsidRPr="001B4A02" w:rsidRDefault="00000000" w:rsidP="00ED48A3">
            <w:pPr>
              <w:pStyle w:val="EMEANormal"/>
              <w:keepNext/>
              <w:rPr>
                <w:del w:id="4913" w:author="AbbVie1" w:date="2025-05-13T09:50:00Z"/>
                <w:szCs w:val="22"/>
                <w:lang w:val="cs-CZ"/>
              </w:rPr>
            </w:pPr>
            <w:del w:id="4914"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41388671" w14:textId="77777777" w:rsidR="0068379B" w:rsidRPr="001B4A02" w:rsidRDefault="00000000" w:rsidP="00ED48A3">
            <w:pPr>
              <w:pStyle w:val="EMEANormal"/>
              <w:keepNext/>
              <w:rPr>
                <w:del w:id="4915" w:author="AbbVie1" w:date="2025-05-13T09:50:00Z"/>
                <w:szCs w:val="22"/>
                <w:lang w:val="cs-CZ"/>
              </w:rPr>
            </w:pPr>
            <w:del w:id="4916" w:author="AbbVie1" w:date="2025-05-13T09:50:00Z">
              <w:r w:rsidRPr="001B4A02">
                <w:rPr>
                  <w:szCs w:val="22"/>
                  <w:lang w:val="cs-CZ"/>
                </w:rPr>
                <w:delText>Infarkt myokardu</w:delText>
              </w:r>
              <w:r w:rsidRPr="001B4A02">
                <w:rPr>
                  <w:szCs w:val="22"/>
                  <w:vertAlign w:val="superscript"/>
                  <w:lang w:val="cs-CZ"/>
                </w:rPr>
                <w:delText>1)</w:delText>
              </w:r>
              <w:r w:rsidRPr="001B4A02">
                <w:rPr>
                  <w:szCs w:val="22"/>
                  <w:lang w:val="cs-CZ"/>
                </w:rPr>
                <w:delText>,</w:delText>
              </w:r>
            </w:del>
          </w:p>
          <w:p w14:paraId="308A7731" w14:textId="77777777" w:rsidR="0036522D" w:rsidRPr="001B4A02" w:rsidRDefault="00000000" w:rsidP="00ED48A3">
            <w:pPr>
              <w:pStyle w:val="EMEANormal"/>
              <w:keepNext/>
              <w:rPr>
                <w:del w:id="4917" w:author="AbbVie1" w:date="2025-05-13T09:50:00Z"/>
                <w:szCs w:val="22"/>
                <w:lang w:val="cs-CZ"/>
              </w:rPr>
            </w:pPr>
            <w:del w:id="4918" w:author="AbbVie1" w:date="2025-05-13T09:50:00Z">
              <w:r w:rsidRPr="001B4A02">
                <w:rPr>
                  <w:szCs w:val="22"/>
                  <w:lang w:val="cs-CZ"/>
                </w:rPr>
                <w:delText>arytmie,</w:delText>
              </w:r>
            </w:del>
          </w:p>
          <w:p w14:paraId="4B0B59FB" w14:textId="77777777" w:rsidR="0036522D" w:rsidRPr="001B4A02" w:rsidRDefault="00000000" w:rsidP="00ED48A3">
            <w:pPr>
              <w:pStyle w:val="EMEANormal"/>
              <w:keepNext/>
              <w:rPr>
                <w:del w:id="4919" w:author="AbbVie1" w:date="2025-05-13T09:50:00Z"/>
                <w:szCs w:val="22"/>
                <w:lang w:val="cs-CZ"/>
              </w:rPr>
            </w:pPr>
            <w:del w:id="4920" w:author="AbbVie1" w:date="2025-05-13T09:50:00Z">
              <w:r w:rsidRPr="001B4A02">
                <w:rPr>
                  <w:szCs w:val="22"/>
                  <w:lang w:val="cs-CZ"/>
                </w:rPr>
                <w:delText>městnavé srdeční selhání</w:delText>
              </w:r>
            </w:del>
          </w:p>
          <w:p w14:paraId="0D87E175" w14:textId="77777777" w:rsidR="0036522D" w:rsidRPr="001B4A02" w:rsidRDefault="0036522D" w:rsidP="00ED48A3">
            <w:pPr>
              <w:pStyle w:val="EMEANormal"/>
              <w:keepNext/>
              <w:rPr>
                <w:del w:id="4921" w:author="AbbVie1" w:date="2025-05-13T09:50:00Z"/>
                <w:szCs w:val="22"/>
                <w:lang w:val="cs-CZ"/>
              </w:rPr>
            </w:pPr>
          </w:p>
        </w:tc>
      </w:tr>
      <w:tr w:rsidR="00534A2D" w14:paraId="1C278102" w14:textId="77777777" w:rsidTr="00E501B6">
        <w:trPr>
          <w:cantSplit/>
          <w:trHeight w:val="258"/>
          <w:jc w:val="center"/>
          <w:del w:id="4922"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40387851" w14:textId="77777777" w:rsidR="0036522D" w:rsidRPr="001B4A02" w:rsidRDefault="0036522D" w:rsidP="00ED48A3">
            <w:pPr>
              <w:keepNext/>
              <w:ind w:left="0" w:firstLine="0"/>
              <w:rPr>
                <w:del w:id="4923"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516C81B5" w14:textId="77777777" w:rsidR="0036522D" w:rsidRPr="001B4A02" w:rsidRDefault="00000000" w:rsidP="00ED48A3">
            <w:pPr>
              <w:pStyle w:val="EMEANormal"/>
              <w:keepNext/>
              <w:rPr>
                <w:del w:id="4924" w:author="AbbVie1" w:date="2025-05-13T09:50:00Z"/>
                <w:szCs w:val="22"/>
                <w:lang w:val="cs-CZ"/>
              </w:rPr>
            </w:pPr>
            <w:del w:id="4925"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tcPr>
          <w:p w14:paraId="4AB8E521" w14:textId="77777777" w:rsidR="0036522D" w:rsidRPr="001B4A02" w:rsidRDefault="00000000" w:rsidP="00ED48A3">
            <w:pPr>
              <w:pStyle w:val="EMEANormal"/>
              <w:keepNext/>
              <w:rPr>
                <w:del w:id="4926" w:author="AbbVie1" w:date="2025-05-13T09:50:00Z"/>
                <w:szCs w:val="22"/>
                <w:lang w:val="cs-CZ"/>
              </w:rPr>
            </w:pPr>
            <w:del w:id="4927" w:author="AbbVie1" w:date="2025-05-13T09:50:00Z">
              <w:r w:rsidRPr="001B4A02">
                <w:rPr>
                  <w:szCs w:val="22"/>
                  <w:lang w:val="cs-CZ"/>
                </w:rPr>
                <w:delText>Srdeční zástava</w:delText>
              </w:r>
            </w:del>
          </w:p>
          <w:p w14:paraId="323AFDCD" w14:textId="77777777" w:rsidR="0036522D" w:rsidRPr="001B4A02" w:rsidRDefault="0036522D" w:rsidP="00ED48A3">
            <w:pPr>
              <w:pStyle w:val="EMEANormal"/>
              <w:keepNext/>
              <w:rPr>
                <w:del w:id="4928" w:author="AbbVie1" w:date="2025-05-13T09:50:00Z"/>
                <w:szCs w:val="22"/>
                <w:lang w:val="cs-CZ"/>
              </w:rPr>
            </w:pPr>
          </w:p>
        </w:tc>
      </w:tr>
      <w:tr w:rsidR="00534A2D" w14:paraId="18E25120" w14:textId="77777777" w:rsidTr="00E501B6">
        <w:trPr>
          <w:cantSplit/>
          <w:trHeight w:val="143"/>
          <w:jc w:val="center"/>
          <w:del w:id="4929" w:author="AbbVie1" w:date="2025-05-13T09:50:00Z"/>
        </w:trPr>
        <w:tc>
          <w:tcPr>
            <w:tcW w:w="2880" w:type="dxa"/>
            <w:vMerge w:val="restart"/>
            <w:tcBorders>
              <w:top w:val="single" w:sz="4" w:space="0" w:color="auto"/>
              <w:left w:val="single" w:sz="4" w:space="0" w:color="auto"/>
              <w:bottom w:val="single" w:sz="4" w:space="0" w:color="auto"/>
              <w:right w:val="single" w:sz="4" w:space="0" w:color="auto"/>
            </w:tcBorders>
          </w:tcPr>
          <w:p w14:paraId="328CF3E8" w14:textId="77777777" w:rsidR="0036522D" w:rsidRPr="001B4A02" w:rsidRDefault="00000000" w:rsidP="00ED48A3">
            <w:pPr>
              <w:pStyle w:val="EMEANormal"/>
              <w:tabs>
                <w:tab w:val="left" w:pos="0"/>
              </w:tabs>
              <w:rPr>
                <w:del w:id="4930" w:author="AbbVie1" w:date="2025-05-13T09:50:00Z"/>
                <w:szCs w:val="22"/>
                <w:lang w:val="cs-CZ"/>
              </w:rPr>
            </w:pPr>
            <w:del w:id="4931" w:author="AbbVie1" w:date="2025-05-13T09:50:00Z">
              <w:r w:rsidRPr="001B4A02">
                <w:rPr>
                  <w:szCs w:val="22"/>
                  <w:lang w:val="cs-CZ"/>
                </w:rPr>
                <w:delText>Cévní poruchy</w:delText>
              </w:r>
            </w:del>
          </w:p>
        </w:tc>
        <w:tc>
          <w:tcPr>
            <w:tcW w:w="1440" w:type="dxa"/>
            <w:tcBorders>
              <w:top w:val="single" w:sz="4" w:space="0" w:color="auto"/>
              <w:left w:val="single" w:sz="4" w:space="0" w:color="auto"/>
              <w:bottom w:val="single" w:sz="4" w:space="0" w:color="auto"/>
              <w:right w:val="single" w:sz="4" w:space="0" w:color="auto"/>
            </w:tcBorders>
          </w:tcPr>
          <w:p w14:paraId="6475DE60" w14:textId="77777777" w:rsidR="0036522D" w:rsidRPr="001B4A02" w:rsidRDefault="00000000" w:rsidP="00ED48A3">
            <w:pPr>
              <w:pStyle w:val="EMEANormal"/>
              <w:rPr>
                <w:del w:id="4932" w:author="AbbVie1" w:date="2025-05-13T09:50:00Z"/>
                <w:szCs w:val="22"/>
                <w:lang w:val="cs-CZ"/>
              </w:rPr>
            </w:pPr>
            <w:del w:id="4933"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18E0F393" w14:textId="77777777" w:rsidR="0036522D" w:rsidRPr="001B4A02" w:rsidRDefault="00000000" w:rsidP="00ED48A3">
            <w:pPr>
              <w:pStyle w:val="EMEANormal"/>
              <w:rPr>
                <w:del w:id="4934" w:author="AbbVie1" w:date="2025-05-13T09:50:00Z"/>
                <w:szCs w:val="22"/>
                <w:lang w:val="cs-CZ"/>
              </w:rPr>
            </w:pPr>
            <w:del w:id="4935" w:author="AbbVie1" w:date="2025-05-13T09:50:00Z">
              <w:r w:rsidRPr="001B4A02">
                <w:rPr>
                  <w:szCs w:val="22"/>
                  <w:lang w:val="cs-CZ"/>
                </w:rPr>
                <w:delText>Hypertenze,</w:delText>
              </w:r>
            </w:del>
          </w:p>
          <w:p w14:paraId="08ED1B0F" w14:textId="77777777" w:rsidR="0036522D" w:rsidRPr="001B4A02" w:rsidRDefault="00000000" w:rsidP="00ED48A3">
            <w:pPr>
              <w:pStyle w:val="EMEANormal"/>
              <w:rPr>
                <w:del w:id="4936" w:author="AbbVie1" w:date="2025-05-13T09:50:00Z"/>
                <w:szCs w:val="22"/>
                <w:lang w:val="cs-CZ"/>
              </w:rPr>
            </w:pPr>
            <w:del w:id="4937" w:author="AbbVie1" w:date="2025-05-13T09:50:00Z">
              <w:r w:rsidRPr="001B4A02">
                <w:rPr>
                  <w:szCs w:val="22"/>
                  <w:lang w:val="cs-CZ"/>
                </w:rPr>
                <w:delText xml:space="preserve">záchvaty </w:delText>
              </w:r>
              <w:r w:rsidR="00153468" w:rsidRPr="001B4A02">
                <w:rPr>
                  <w:szCs w:val="22"/>
                  <w:lang w:val="cs-CZ"/>
                </w:rPr>
                <w:delText>zrudnutí</w:delText>
              </w:r>
              <w:r w:rsidRPr="001B4A02">
                <w:rPr>
                  <w:szCs w:val="22"/>
                  <w:lang w:val="cs-CZ"/>
                </w:rPr>
                <w:delText>,</w:delText>
              </w:r>
            </w:del>
          </w:p>
          <w:p w14:paraId="0B33BAF6" w14:textId="77777777" w:rsidR="0036522D" w:rsidRPr="001B4A02" w:rsidRDefault="00000000" w:rsidP="00ED48A3">
            <w:pPr>
              <w:pStyle w:val="EMEANormal"/>
              <w:rPr>
                <w:del w:id="4938" w:author="AbbVie1" w:date="2025-05-13T09:50:00Z"/>
                <w:szCs w:val="22"/>
                <w:lang w:val="cs-CZ"/>
              </w:rPr>
            </w:pPr>
            <w:del w:id="4939" w:author="AbbVie1" w:date="2025-05-13T09:50:00Z">
              <w:r w:rsidRPr="001B4A02">
                <w:rPr>
                  <w:szCs w:val="22"/>
                  <w:lang w:val="cs-CZ"/>
                </w:rPr>
                <w:delText>hematomy</w:delText>
              </w:r>
            </w:del>
          </w:p>
          <w:p w14:paraId="5A981ECC" w14:textId="77777777" w:rsidR="0036522D" w:rsidRPr="001B4A02" w:rsidRDefault="0036522D" w:rsidP="00ED48A3">
            <w:pPr>
              <w:pStyle w:val="EMEANormal"/>
              <w:rPr>
                <w:del w:id="4940" w:author="AbbVie1" w:date="2025-05-13T09:50:00Z"/>
                <w:szCs w:val="22"/>
                <w:lang w:val="cs-CZ"/>
              </w:rPr>
            </w:pPr>
          </w:p>
        </w:tc>
      </w:tr>
      <w:tr w:rsidR="00534A2D" w14:paraId="669E752F" w14:textId="77777777" w:rsidTr="00E501B6">
        <w:trPr>
          <w:cantSplit/>
          <w:trHeight w:val="143"/>
          <w:jc w:val="center"/>
          <w:del w:id="4941"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3D4F0A5F" w14:textId="77777777" w:rsidR="0036522D" w:rsidRPr="001B4A02" w:rsidRDefault="0036522D" w:rsidP="00ED48A3">
            <w:pPr>
              <w:ind w:left="0" w:firstLine="0"/>
              <w:rPr>
                <w:del w:id="4942"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1C4DBEDF" w14:textId="77777777" w:rsidR="0036522D" w:rsidRPr="001B4A02" w:rsidRDefault="00000000" w:rsidP="00ED48A3">
            <w:pPr>
              <w:pStyle w:val="EMEANormal"/>
              <w:rPr>
                <w:del w:id="4943" w:author="AbbVie1" w:date="2025-05-13T09:50:00Z"/>
                <w:szCs w:val="22"/>
                <w:lang w:val="cs-CZ"/>
              </w:rPr>
            </w:pPr>
            <w:del w:id="4944"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6DA03B1D" w14:textId="77777777" w:rsidR="0068379B" w:rsidRPr="001B4A02" w:rsidRDefault="00000000" w:rsidP="00ED48A3">
            <w:pPr>
              <w:pStyle w:val="EMEANormal"/>
              <w:rPr>
                <w:del w:id="4945" w:author="AbbVie1" w:date="2025-05-13T09:50:00Z"/>
                <w:szCs w:val="22"/>
                <w:lang w:val="cs-CZ"/>
              </w:rPr>
            </w:pPr>
            <w:del w:id="4946" w:author="AbbVie1" w:date="2025-05-13T09:50:00Z">
              <w:r w:rsidRPr="001B4A02">
                <w:rPr>
                  <w:szCs w:val="22"/>
                  <w:lang w:val="cs-CZ"/>
                </w:rPr>
                <w:delText>Aneurysma aorty,</w:delText>
              </w:r>
            </w:del>
          </w:p>
          <w:p w14:paraId="3708BA07" w14:textId="77777777" w:rsidR="0036522D" w:rsidRPr="001B4A02" w:rsidRDefault="00000000" w:rsidP="00ED48A3">
            <w:pPr>
              <w:pStyle w:val="EMEANormal"/>
              <w:rPr>
                <w:del w:id="4947" w:author="AbbVie1" w:date="2025-05-13T09:50:00Z"/>
                <w:szCs w:val="22"/>
                <w:lang w:val="cs-CZ"/>
              </w:rPr>
            </w:pPr>
            <w:del w:id="4948" w:author="AbbVie1" w:date="2025-05-13T09:50:00Z">
              <w:r w:rsidRPr="001B4A02">
                <w:rPr>
                  <w:szCs w:val="22"/>
                  <w:lang w:val="cs-CZ"/>
                </w:rPr>
                <w:delText>cévní arteriální okluze,</w:delText>
              </w:r>
            </w:del>
          </w:p>
          <w:p w14:paraId="64D566FF" w14:textId="77777777" w:rsidR="0036522D" w:rsidRPr="001B4A02" w:rsidRDefault="00000000" w:rsidP="00ED48A3">
            <w:pPr>
              <w:pStyle w:val="EMEANormal"/>
              <w:rPr>
                <w:del w:id="4949" w:author="AbbVie1" w:date="2025-05-13T09:50:00Z"/>
                <w:szCs w:val="22"/>
                <w:lang w:val="cs-CZ"/>
              </w:rPr>
            </w:pPr>
            <w:del w:id="4950" w:author="AbbVie1" w:date="2025-05-13T09:50:00Z">
              <w:r w:rsidRPr="001B4A02">
                <w:rPr>
                  <w:szCs w:val="22"/>
                  <w:lang w:val="cs-CZ"/>
                </w:rPr>
                <w:delText>tromoflebitida</w:delText>
              </w:r>
            </w:del>
          </w:p>
          <w:p w14:paraId="69DD3746" w14:textId="77777777" w:rsidR="0036522D" w:rsidRPr="001B4A02" w:rsidRDefault="0036522D" w:rsidP="00ED48A3">
            <w:pPr>
              <w:pStyle w:val="EMEANormal"/>
              <w:rPr>
                <w:del w:id="4951" w:author="AbbVie1" w:date="2025-05-13T09:50:00Z"/>
                <w:szCs w:val="22"/>
                <w:lang w:val="cs-CZ"/>
              </w:rPr>
            </w:pPr>
          </w:p>
        </w:tc>
      </w:tr>
      <w:tr w:rsidR="00534A2D" w14:paraId="7258FE3B" w14:textId="77777777" w:rsidTr="00E501B6">
        <w:trPr>
          <w:cantSplit/>
          <w:trHeight w:val="391"/>
          <w:jc w:val="center"/>
          <w:del w:id="4952" w:author="AbbVie1" w:date="2025-05-13T09:50:00Z"/>
        </w:trPr>
        <w:tc>
          <w:tcPr>
            <w:tcW w:w="2880" w:type="dxa"/>
            <w:vMerge w:val="restart"/>
            <w:tcBorders>
              <w:top w:val="single" w:sz="4" w:space="0" w:color="auto"/>
              <w:left w:val="single" w:sz="4" w:space="0" w:color="auto"/>
              <w:right w:val="single" w:sz="4" w:space="0" w:color="auto"/>
            </w:tcBorders>
          </w:tcPr>
          <w:p w14:paraId="68027678" w14:textId="77777777" w:rsidR="0068379B" w:rsidRPr="001B4A02" w:rsidRDefault="00000000" w:rsidP="00ED48A3">
            <w:pPr>
              <w:pStyle w:val="EMEANormal"/>
              <w:tabs>
                <w:tab w:val="left" w:pos="0"/>
              </w:tabs>
              <w:rPr>
                <w:del w:id="4953" w:author="AbbVie1" w:date="2025-05-13T09:50:00Z"/>
                <w:szCs w:val="22"/>
                <w:lang w:val="cs-CZ"/>
              </w:rPr>
            </w:pPr>
            <w:del w:id="4954" w:author="AbbVie1" w:date="2025-05-13T09:50:00Z">
              <w:r w:rsidRPr="001B4A02">
                <w:rPr>
                  <w:szCs w:val="22"/>
                  <w:lang w:val="cs-CZ"/>
                </w:rPr>
                <w:delText>Respirační, hrudní</w:delText>
              </w:r>
              <w:r w:rsidR="002378E0">
                <w:rPr>
                  <w:szCs w:val="22"/>
                  <w:lang w:val="cs-CZ"/>
                </w:rPr>
                <w:delText xml:space="preserve"> a </w:delText>
              </w:r>
              <w:r w:rsidRPr="001B4A02">
                <w:rPr>
                  <w:szCs w:val="22"/>
                  <w:lang w:val="cs-CZ"/>
                </w:rPr>
                <w:delText>mediastinální poruchy*</w:delText>
              </w:r>
            </w:del>
          </w:p>
        </w:tc>
        <w:tc>
          <w:tcPr>
            <w:tcW w:w="1440" w:type="dxa"/>
            <w:tcBorders>
              <w:top w:val="single" w:sz="4" w:space="0" w:color="auto"/>
              <w:left w:val="single" w:sz="4" w:space="0" w:color="auto"/>
              <w:bottom w:val="single" w:sz="4" w:space="0" w:color="auto"/>
              <w:right w:val="single" w:sz="4" w:space="0" w:color="auto"/>
            </w:tcBorders>
          </w:tcPr>
          <w:p w14:paraId="4187D719" w14:textId="77777777" w:rsidR="0068379B" w:rsidRPr="001B4A02" w:rsidRDefault="00000000" w:rsidP="00ED48A3">
            <w:pPr>
              <w:pStyle w:val="EMEANormal"/>
              <w:rPr>
                <w:del w:id="4955" w:author="AbbVie1" w:date="2025-05-13T09:50:00Z"/>
                <w:szCs w:val="22"/>
                <w:lang w:val="cs-CZ"/>
              </w:rPr>
            </w:pPr>
            <w:del w:id="4956"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1353BD71" w14:textId="77777777" w:rsidR="0068379B" w:rsidRPr="001B4A02" w:rsidRDefault="00000000" w:rsidP="00ED48A3">
            <w:pPr>
              <w:pStyle w:val="EMEANormal"/>
              <w:rPr>
                <w:del w:id="4957" w:author="AbbVie1" w:date="2025-05-13T09:50:00Z"/>
                <w:szCs w:val="22"/>
                <w:lang w:val="cs-CZ"/>
              </w:rPr>
            </w:pPr>
            <w:del w:id="4958" w:author="AbbVie1" w:date="2025-05-13T09:50:00Z">
              <w:r w:rsidRPr="001B4A02">
                <w:rPr>
                  <w:szCs w:val="22"/>
                  <w:lang w:val="cs-CZ"/>
                </w:rPr>
                <w:delText>Astma,</w:delText>
              </w:r>
            </w:del>
          </w:p>
          <w:p w14:paraId="0E9745FC" w14:textId="77777777" w:rsidR="0068379B" w:rsidRPr="001B4A02" w:rsidRDefault="00000000" w:rsidP="00ED48A3">
            <w:pPr>
              <w:pStyle w:val="EMEANormal"/>
              <w:rPr>
                <w:del w:id="4959" w:author="AbbVie1" w:date="2025-05-13T09:50:00Z"/>
                <w:szCs w:val="22"/>
                <w:lang w:val="cs-CZ"/>
              </w:rPr>
            </w:pPr>
            <w:del w:id="4960" w:author="AbbVie1" w:date="2025-05-13T09:50:00Z">
              <w:r w:rsidRPr="001B4A02">
                <w:rPr>
                  <w:szCs w:val="22"/>
                  <w:lang w:val="cs-CZ"/>
                </w:rPr>
                <w:delText>dyspnoe,</w:delText>
              </w:r>
            </w:del>
          </w:p>
          <w:p w14:paraId="5C649549" w14:textId="77777777" w:rsidR="0068379B" w:rsidRPr="001B4A02" w:rsidRDefault="00000000" w:rsidP="00ED48A3">
            <w:pPr>
              <w:pStyle w:val="EMEANormal"/>
              <w:rPr>
                <w:del w:id="4961" w:author="AbbVie1" w:date="2025-05-13T09:50:00Z"/>
                <w:szCs w:val="22"/>
                <w:lang w:val="cs-CZ"/>
              </w:rPr>
            </w:pPr>
            <w:del w:id="4962" w:author="AbbVie1" w:date="2025-05-13T09:50:00Z">
              <w:r w:rsidRPr="001B4A02">
                <w:rPr>
                  <w:szCs w:val="22"/>
                  <w:lang w:val="cs-CZ"/>
                </w:rPr>
                <w:delText>kašel</w:delText>
              </w:r>
            </w:del>
          </w:p>
          <w:p w14:paraId="19BFE8F7" w14:textId="77777777" w:rsidR="0068379B" w:rsidRPr="001B4A02" w:rsidRDefault="0068379B" w:rsidP="00ED48A3">
            <w:pPr>
              <w:pStyle w:val="EMEANormal"/>
              <w:rPr>
                <w:del w:id="4963" w:author="AbbVie1" w:date="2025-05-13T09:50:00Z"/>
                <w:szCs w:val="22"/>
                <w:lang w:val="cs-CZ"/>
              </w:rPr>
            </w:pPr>
          </w:p>
        </w:tc>
      </w:tr>
      <w:tr w:rsidR="00534A2D" w14:paraId="0007B44D" w14:textId="77777777" w:rsidTr="00E501B6">
        <w:trPr>
          <w:cantSplit/>
          <w:trHeight w:val="234"/>
          <w:jc w:val="center"/>
          <w:del w:id="4964" w:author="AbbVie1" w:date="2025-05-13T09:50:00Z"/>
        </w:trPr>
        <w:tc>
          <w:tcPr>
            <w:tcW w:w="0" w:type="auto"/>
            <w:vMerge/>
            <w:tcBorders>
              <w:left w:val="single" w:sz="4" w:space="0" w:color="auto"/>
              <w:right w:val="single" w:sz="4" w:space="0" w:color="auto"/>
            </w:tcBorders>
            <w:vAlign w:val="center"/>
          </w:tcPr>
          <w:p w14:paraId="5B1E079B" w14:textId="77777777" w:rsidR="0068379B" w:rsidRPr="001B4A02" w:rsidRDefault="0068379B" w:rsidP="00ED48A3">
            <w:pPr>
              <w:ind w:left="0" w:firstLine="0"/>
              <w:rPr>
                <w:del w:id="4965"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2A16ADFC" w14:textId="77777777" w:rsidR="0068379B" w:rsidRPr="001B4A02" w:rsidRDefault="00000000" w:rsidP="00ED48A3">
            <w:pPr>
              <w:pStyle w:val="EMEANormal"/>
              <w:rPr>
                <w:del w:id="4966" w:author="AbbVie1" w:date="2025-05-13T09:50:00Z"/>
                <w:szCs w:val="22"/>
                <w:lang w:val="cs-CZ"/>
              </w:rPr>
            </w:pPr>
            <w:del w:id="4967"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431D6CDF" w14:textId="77777777" w:rsidR="0068379B" w:rsidRPr="001B4A02" w:rsidRDefault="00000000" w:rsidP="00ED48A3">
            <w:pPr>
              <w:pStyle w:val="EMEANormal"/>
              <w:rPr>
                <w:del w:id="4968" w:author="AbbVie1" w:date="2025-05-13T09:50:00Z"/>
                <w:szCs w:val="22"/>
                <w:lang w:val="cs-CZ"/>
              </w:rPr>
            </w:pPr>
            <w:del w:id="4969" w:author="AbbVie1" w:date="2025-05-13T09:50:00Z">
              <w:r w:rsidRPr="001B4A02">
                <w:rPr>
                  <w:szCs w:val="22"/>
                  <w:lang w:val="cs-CZ"/>
                </w:rPr>
                <w:delText>Plicní embolie,</w:delText>
              </w:r>
              <w:r w:rsidRPr="001B4A02">
                <w:rPr>
                  <w:szCs w:val="22"/>
                  <w:vertAlign w:val="superscript"/>
                  <w:lang w:val="cs-CZ"/>
                </w:rPr>
                <w:delText>1)</w:delText>
              </w:r>
            </w:del>
          </w:p>
          <w:p w14:paraId="5AE6760F" w14:textId="77777777" w:rsidR="0068379B" w:rsidRPr="001B4A02" w:rsidRDefault="00000000" w:rsidP="00ED48A3">
            <w:pPr>
              <w:pStyle w:val="EMEANormal"/>
              <w:rPr>
                <w:del w:id="4970" w:author="AbbVie1" w:date="2025-05-13T09:50:00Z"/>
                <w:szCs w:val="22"/>
                <w:lang w:val="cs-CZ"/>
              </w:rPr>
            </w:pPr>
            <w:del w:id="4971" w:author="AbbVie1" w:date="2025-05-13T09:50:00Z">
              <w:r w:rsidRPr="001B4A02">
                <w:rPr>
                  <w:szCs w:val="22"/>
                  <w:lang w:val="cs-CZ"/>
                </w:rPr>
                <w:delText>intersticiální plicní choroba,</w:delText>
              </w:r>
            </w:del>
          </w:p>
          <w:p w14:paraId="564C0F7D" w14:textId="77777777" w:rsidR="0068379B" w:rsidRPr="001B4A02" w:rsidRDefault="00000000" w:rsidP="00ED48A3">
            <w:pPr>
              <w:pStyle w:val="EMEANormal"/>
              <w:rPr>
                <w:del w:id="4972" w:author="AbbVie1" w:date="2025-05-13T09:50:00Z"/>
                <w:szCs w:val="22"/>
                <w:lang w:val="cs-CZ"/>
              </w:rPr>
            </w:pPr>
            <w:del w:id="4973" w:author="AbbVie1" w:date="2025-05-13T09:50:00Z">
              <w:r w:rsidRPr="001B4A02">
                <w:rPr>
                  <w:szCs w:val="22"/>
                  <w:lang w:val="cs-CZ"/>
                </w:rPr>
                <w:delText>chronická obstrukční plic</w:delText>
              </w:r>
              <w:r w:rsidR="00E30D47" w:rsidRPr="001B4A02">
                <w:rPr>
                  <w:szCs w:val="22"/>
                  <w:lang w:val="cs-CZ"/>
                </w:rPr>
                <w:delText>ní nemoc</w:delText>
              </w:r>
              <w:r w:rsidRPr="001B4A02">
                <w:rPr>
                  <w:szCs w:val="22"/>
                  <w:lang w:val="cs-CZ"/>
                </w:rPr>
                <w:delText>,</w:delText>
              </w:r>
            </w:del>
          </w:p>
          <w:p w14:paraId="3EFB19C8" w14:textId="77777777" w:rsidR="0068379B" w:rsidRPr="001B4A02" w:rsidRDefault="00000000" w:rsidP="00ED48A3">
            <w:pPr>
              <w:pStyle w:val="EMEANormal"/>
              <w:rPr>
                <w:del w:id="4974" w:author="AbbVie1" w:date="2025-05-13T09:50:00Z"/>
                <w:szCs w:val="22"/>
                <w:lang w:val="cs-CZ"/>
              </w:rPr>
            </w:pPr>
            <w:del w:id="4975" w:author="AbbVie1" w:date="2025-05-13T09:50:00Z">
              <w:r w:rsidRPr="001B4A02">
                <w:rPr>
                  <w:szCs w:val="22"/>
                  <w:lang w:val="cs-CZ"/>
                </w:rPr>
                <w:delText>pneumonitida,</w:delText>
              </w:r>
            </w:del>
          </w:p>
          <w:p w14:paraId="4218F2A9" w14:textId="77777777" w:rsidR="0068379B" w:rsidRPr="001B4A02" w:rsidRDefault="00000000" w:rsidP="00ED48A3">
            <w:pPr>
              <w:pStyle w:val="EMEANormal"/>
              <w:rPr>
                <w:del w:id="4976" w:author="AbbVie1" w:date="2025-05-13T09:50:00Z"/>
                <w:szCs w:val="22"/>
                <w:lang w:val="cs-CZ"/>
              </w:rPr>
            </w:pPr>
            <w:del w:id="4977" w:author="AbbVie1" w:date="2025-05-13T09:50:00Z">
              <w:r w:rsidRPr="001B4A02">
                <w:rPr>
                  <w:szCs w:val="22"/>
                  <w:lang w:val="cs-CZ"/>
                </w:rPr>
                <w:delText>pleurální výpotek</w:delText>
              </w:r>
              <w:r w:rsidRPr="001B4A02">
                <w:rPr>
                  <w:szCs w:val="22"/>
                  <w:vertAlign w:val="superscript"/>
                  <w:lang w:val="cs-CZ"/>
                </w:rPr>
                <w:delText>1)</w:delText>
              </w:r>
            </w:del>
          </w:p>
          <w:p w14:paraId="5222118A" w14:textId="77777777" w:rsidR="0068379B" w:rsidRPr="001B4A02" w:rsidRDefault="0068379B" w:rsidP="00ED48A3">
            <w:pPr>
              <w:pStyle w:val="EMEANormal"/>
              <w:rPr>
                <w:del w:id="4978" w:author="AbbVie1" w:date="2025-05-13T09:50:00Z"/>
                <w:szCs w:val="22"/>
                <w:lang w:val="cs-CZ"/>
              </w:rPr>
            </w:pPr>
          </w:p>
        </w:tc>
      </w:tr>
      <w:tr w:rsidR="00534A2D" w14:paraId="221A4978" w14:textId="77777777" w:rsidTr="00E501B6">
        <w:trPr>
          <w:cantSplit/>
          <w:trHeight w:val="234"/>
          <w:jc w:val="center"/>
          <w:del w:id="4979" w:author="AbbVie1" w:date="2025-05-13T09:50:00Z"/>
        </w:trPr>
        <w:tc>
          <w:tcPr>
            <w:tcW w:w="0" w:type="auto"/>
            <w:vMerge/>
            <w:tcBorders>
              <w:left w:val="single" w:sz="4" w:space="0" w:color="auto"/>
              <w:bottom w:val="single" w:sz="4" w:space="0" w:color="auto"/>
              <w:right w:val="single" w:sz="4" w:space="0" w:color="auto"/>
            </w:tcBorders>
            <w:vAlign w:val="center"/>
          </w:tcPr>
          <w:p w14:paraId="429CA74B" w14:textId="77777777" w:rsidR="0068379B" w:rsidRPr="001B4A02" w:rsidRDefault="0068379B" w:rsidP="00ED48A3">
            <w:pPr>
              <w:ind w:left="0" w:firstLine="0"/>
              <w:rPr>
                <w:del w:id="4980"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0ECAC05E" w14:textId="77777777" w:rsidR="0068379B" w:rsidRPr="001B4A02" w:rsidRDefault="00000000" w:rsidP="00ED48A3">
            <w:pPr>
              <w:pStyle w:val="EMEANormal"/>
              <w:rPr>
                <w:del w:id="4981" w:author="AbbVie1" w:date="2025-05-13T09:50:00Z"/>
                <w:szCs w:val="22"/>
                <w:lang w:val="cs-CZ"/>
              </w:rPr>
            </w:pPr>
            <w:del w:id="4982"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tcPr>
          <w:p w14:paraId="13428847" w14:textId="77777777" w:rsidR="0068379B" w:rsidRPr="001B4A02" w:rsidRDefault="00000000" w:rsidP="00ED48A3">
            <w:pPr>
              <w:pStyle w:val="EMEANormal"/>
              <w:rPr>
                <w:del w:id="4983" w:author="AbbVie1" w:date="2025-05-13T09:50:00Z"/>
                <w:szCs w:val="22"/>
                <w:vertAlign w:val="superscript"/>
                <w:lang w:val="cs-CZ"/>
              </w:rPr>
            </w:pPr>
            <w:del w:id="4984" w:author="AbbVie1" w:date="2025-05-13T09:50:00Z">
              <w:r w:rsidRPr="001B4A02">
                <w:rPr>
                  <w:szCs w:val="22"/>
                  <w:lang w:val="cs-CZ"/>
                </w:rPr>
                <w:delText>Plicní fibróza</w:delText>
              </w:r>
              <w:r w:rsidRPr="001B4A02">
                <w:rPr>
                  <w:szCs w:val="22"/>
                  <w:vertAlign w:val="superscript"/>
                  <w:lang w:val="cs-CZ"/>
                </w:rPr>
                <w:delText>1)</w:delText>
              </w:r>
            </w:del>
          </w:p>
          <w:p w14:paraId="7A72D31F" w14:textId="77777777" w:rsidR="0068379B" w:rsidRPr="001B4A02" w:rsidRDefault="0068379B" w:rsidP="00ED48A3">
            <w:pPr>
              <w:pStyle w:val="EMEANormal"/>
              <w:rPr>
                <w:del w:id="4985" w:author="AbbVie1" w:date="2025-05-13T09:50:00Z"/>
                <w:szCs w:val="22"/>
                <w:lang w:val="cs-CZ"/>
              </w:rPr>
            </w:pPr>
          </w:p>
        </w:tc>
      </w:tr>
      <w:tr w:rsidR="00534A2D" w14:paraId="79806CAB" w14:textId="77777777" w:rsidTr="00E501B6">
        <w:trPr>
          <w:cantSplit/>
          <w:trHeight w:val="261"/>
          <w:jc w:val="center"/>
          <w:del w:id="4986" w:author="AbbVie1" w:date="2025-05-13T09:50:00Z"/>
        </w:trPr>
        <w:tc>
          <w:tcPr>
            <w:tcW w:w="2880" w:type="dxa"/>
            <w:vMerge w:val="restart"/>
            <w:tcBorders>
              <w:top w:val="single" w:sz="4" w:space="0" w:color="auto"/>
              <w:left w:val="single" w:sz="4" w:space="0" w:color="auto"/>
              <w:right w:val="single" w:sz="4" w:space="0" w:color="auto"/>
            </w:tcBorders>
          </w:tcPr>
          <w:p w14:paraId="65814826" w14:textId="77777777" w:rsidR="0068379B" w:rsidRPr="001B4A02" w:rsidRDefault="00000000" w:rsidP="00ED48A3">
            <w:pPr>
              <w:pStyle w:val="EMEANormal"/>
              <w:tabs>
                <w:tab w:val="left" w:pos="0"/>
              </w:tabs>
              <w:rPr>
                <w:del w:id="4987" w:author="AbbVie1" w:date="2025-05-13T09:50:00Z"/>
                <w:szCs w:val="22"/>
                <w:lang w:val="cs-CZ"/>
              </w:rPr>
            </w:pPr>
            <w:del w:id="4988" w:author="AbbVie1" w:date="2025-05-13T09:50:00Z">
              <w:r w:rsidRPr="001B4A02">
                <w:rPr>
                  <w:szCs w:val="22"/>
                  <w:lang w:val="cs-CZ"/>
                </w:rPr>
                <w:delText>Gastrointestinální poruchy</w:delText>
              </w:r>
            </w:del>
          </w:p>
        </w:tc>
        <w:tc>
          <w:tcPr>
            <w:tcW w:w="1440" w:type="dxa"/>
            <w:tcBorders>
              <w:top w:val="single" w:sz="4" w:space="0" w:color="auto"/>
              <w:left w:val="single" w:sz="4" w:space="0" w:color="auto"/>
              <w:bottom w:val="single" w:sz="4" w:space="0" w:color="auto"/>
              <w:right w:val="single" w:sz="4" w:space="0" w:color="auto"/>
            </w:tcBorders>
          </w:tcPr>
          <w:p w14:paraId="2BB9C58E" w14:textId="77777777" w:rsidR="0068379B" w:rsidRPr="001B4A02" w:rsidRDefault="00000000" w:rsidP="00ED48A3">
            <w:pPr>
              <w:pStyle w:val="EMEANormal"/>
              <w:rPr>
                <w:del w:id="4989" w:author="AbbVie1" w:date="2025-05-13T09:50:00Z"/>
                <w:szCs w:val="22"/>
                <w:lang w:val="cs-CZ"/>
              </w:rPr>
            </w:pPr>
            <w:del w:id="4990"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tcPr>
          <w:p w14:paraId="10DC93B5" w14:textId="77777777" w:rsidR="0068379B" w:rsidRPr="001B4A02" w:rsidRDefault="00000000" w:rsidP="00ED48A3">
            <w:pPr>
              <w:pStyle w:val="EMEANormal"/>
              <w:rPr>
                <w:del w:id="4991" w:author="AbbVie1" w:date="2025-05-13T09:50:00Z"/>
                <w:szCs w:val="22"/>
                <w:lang w:val="cs-CZ"/>
              </w:rPr>
            </w:pPr>
            <w:del w:id="4992" w:author="AbbVie1" w:date="2025-05-13T09:50:00Z">
              <w:r w:rsidRPr="001B4A02">
                <w:rPr>
                  <w:szCs w:val="22"/>
                  <w:lang w:val="cs-CZ"/>
                </w:rPr>
                <w:delText>Bolest břicha,</w:delText>
              </w:r>
            </w:del>
          </w:p>
          <w:p w14:paraId="791B464A" w14:textId="77777777" w:rsidR="0068379B" w:rsidRPr="001B4A02" w:rsidRDefault="00000000" w:rsidP="00ED48A3">
            <w:pPr>
              <w:pStyle w:val="EMEANormal"/>
              <w:rPr>
                <w:del w:id="4993" w:author="AbbVie1" w:date="2025-05-13T09:50:00Z"/>
                <w:szCs w:val="22"/>
                <w:lang w:val="cs-CZ"/>
              </w:rPr>
            </w:pPr>
            <w:del w:id="4994" w:author="AbbVie1" w:date="2025-05-13T09:50:00Z">
              <w:r w:rsidRPr="001B4A02">
                <w:rPr>
                  <w:szCs w:val="22"/>
                  <w:lang w:val="cs-CZ"/>
                </w:rPr>
                <w:delText>nau</w:delText>
              </w:r>
              <w:r w:rsidR="00664E8D">
                <w:rPr>
                  <w:szCs w:val="22"/>
                  <w:lang w:val="cs-CZ"/>
                </w:rPr>
                <w:delText>z</w:delText>
              </w:r>
              <w:r w:rsidRPr="001B4A02">
                <w:rPr>
                  <w:szCs w:val="22"/>
                  <w:lang w:val="cs-CZ"/>
                </w:rPr>
                <w:delText>ea</w:delText>
              </w:r>
              <w:r w:rsidR="002378E0">
                <w:rPr>
                  <w:szCs w:val="22"/>
                  <w:lang w:val="cs-CZ"/>
                </w:rPr>
                <w:delText xml:space="preserve"> a </w:delText>
              </w:r>
              <w:r w:rsidRPr="001B4A02">
                <w:rPr>
                  <w:szCs w:val="22"/>
                  <w:lang w:val="cs-CZ"/>
                </w:rPr>
                <w:delText>zvracení</w:delText>
              </w:r>
            </w:del>
          </w:p>
          <w:p w14:paraId="26648649" w14:textId="77777777" w:rsidR="0068379B" w:rsidRPr="001B4A02" w:rsidRDefault="0068379B" w:rsidP="00ED48A3">
            <w:pPr>
              <w:pStyle w:val="EMEANormal"/>
              <w:rPr>
                <w:del w:id="4995" w:author="AbbVie1" w:date="2025-05-13T09:50:00Z"/>
                <w:szCs w:val="22"/>
                <w:lang w:val="cs-CZ"/>
              </w:rPr>
            </w:pPr>
          </w:p>
        </w:tc>
      </w:tr>
      <w:tr w:rsidR="00534A2D" w14:paraId="642F3CDE" w14:textId="77777777" w:rsidTr="00E501B6">
        <w:trPr>
          <w:cantSplit/>
          <w:trHeight w:val="260"/>
          <w:jc w:val="center"/>
          <w:del w:id="4996" w:author="AbbVie1" w:date="2025-05-13T09:50:00Z"/>
        </w:trPr>
        <w:tc>
          <w:tcPr>
            <w:tcW w:w="0" w:type="auto"/>
            <w:vMerge/>
            <w:tcBorders>
              <w:left w:val="single" w:sz="4" w:space="0" w:color="auto"/>
              <w:right w:val="single" w:sz="4" w:space="0" w:color="auto"/>
            </w:tcBorders>
            <w:vAlign w:val="center"/>
          </w:tcPr>
          <w:p w14:paraId="4ED5C745" w14:textId="77777777" w:rsidR="0068379B" w:rsidRPr="001B4A02" w:rsidRDefault="0068379B" w:rsidP="00ED48A3">
            <w:pPr>
              <w:ind w:left="0" w:firstLine="0"/>
              <w:rPr>
                <w:del w:id="4997"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7A4A7250" w14:textId="77777777" w:rsidR="0068379B" w:rsidRPr="001B4A02" w:rsidRDefault="00000000" w:rsidP="00ED48A3">
            <w:pPr>
              <w:pStyle w:val="EMEANormal"/>
              <w:tabs>
                <w:tab w:val="left" w:pos="100"/>
              </w:tabs>
              <w:rPr>
                <w:del w:id="4998" w:author="AbbVie1" w:date="2025-05-13T09:50:00Z"/>
                <w:szCs w:val="22"/>
                <w:lang w:val="cs-CZ"/>
              </w:rPr>
            </w:pPr>
            <w:del w:id="4999"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15105582" w14:textId="77777777" w:rsidR="0068379B" w:rsidRPr="001B4A02" w:rsidRDefault="00000000" w:rsidP="00ED48A3">
            <w:pPr>
              <w:pStyle w:val="EMEANormal"/>
              <w:rPr>
                <w:del w:id="5000" w:author="AbbVie1" w:date="2025-05-13T09:50:00Z"/>
                <w:szCs w:val="22"/>
                <w:lang w:val="cs-CZ"/>
              </w:rPr>
            </w:pPr>
            <w:del w:id="5001" w:author="AbbVie1" w:date="2025-05-13T09:50:00Z">
              <w:r w:rsidRPr="001B4A02">
                <w:rPr>
                  <w:szCs w:val="22"/>
                  <w:lang w:val="cs-CZ"/>
                </w:rPr>
                <w:delText>Krvácení z GI traktu,</w:delText>
              </w:r>
            </w:del>
          </w:p>
          <w:p w14:paraId="2EAD2C2D" w14:textId="77777777" w:rsidR="0068379B" w:rsidRPr="001B4A02" w:rsidRDefault="00000000" w:rsidP="00ED48A3">
            <w:pPr>
              <w:pStyle w:val="EMEANormal"/>
              <w:rPr>
                <w:del w:id="5002" w:author="AbbVie1" w:date="2025-05-13T09:50:00Z"/>
                <w:szCs w:val="22"/>
                <w:lang w:val="cs-CZ"/>
              </w:rPr>
            </w:pPr>
            <w:del w:id="5003" w:author="AbbVie1" w:date="2025-05-13T09:50:00Z">
              <w:r w:rsidRPr="001B4A02">
                <w:rPr>
                  <w:szCs w:val="22"/>
                  <w:lang w:val="cs-CZ"/>
                </w:rPr>
                <w:delText>dyspepsie,</w:delText>
              </w:r>
            </w:del>
          </w:p>
          <w:p w14:paraId="44848CEB" w14:textId="77777777" w:rsidR="0068379B" w:rsidRPr="001B4A02" w:rsidRDefault="00000000" w:rsidP="00ED48A3">
            <w:pPr>
              <w:pStyle w:val="EMEANormal"/>
              <w:rPr>
                <w:del w:id="5004" w:author="AbbVie1" w:date="2025-05-13T09:50:00Z"/>
                <w:szCs w:val="22"/>
                <w:lang w:val="cs-CZ"/>
              </w:rPr>
            </w:pPr>
            <w:del w:id="5005" w:author="AbbVie1" w:date="2025-05-13T09:50:00Z">
              <w:r w:rsidRPr="001B4A02">
                <w:rPr>
                  <w:szCs w:val="22"/>
                  <w:lang w:val="cs-CZ"/>
                </w:rPr>
                <w:delText>gastroesofageální refl</w:delText>
              </w:r>
              <w:r w:rsidR="00936E7B">
                <w:rPr>
                  <w:szCs w:val="22"/>
                  <w:lang w:val="cs-CZ"/>
                </w:rPr>
                <w:delText>u</w:delText>
              </w:r>
              <w:r w:rsidRPr="001B4A02">
                <w:rPr>
                  <w:szCs w:val="22"/>
                  <w:lang w:val="cs-CZ"/>
                </w:rPr>
                <w:delText>xní choroba,</w:delText>
              </w:r>
            </w:del>
          </w:p>
          <w:p w14:paraId="2C1EF3A8" w14:textId="77777777" w:rsidR="0068379B" w:rsidRPr="001B4A02" w:rsidRDefault="00000000" w:rsidP="00ED48A3">
            <w:pPr>
              <w:pStyle w:val="EMEANormal"/>
              <w:rPr>
                <w:del w:id="5006" w:author="AbbVie1" w:date="2025-05-13T09:50:00Z"/>
                <w:szCs w:val="22"/>
                <w:lang w:val="cs-CZ"/>
              </w:rPr>
            </w:pPr>
            <w:del w:id="5007" w:author="AbbVie1" w:date="2025-05-13T09:50:00Z">
              <w:r w:rsidRPr="001B4A02">
                <w:rPr>
                  <w:szCs w:val="22"/>
                  <w:lang w:val="cs-CZ"/>
                </w:rPr>
                <w:delText>sicca syndrom</w:delText>
              </w:r>
            </w:del>
          </w:p>
          <w:p w14:paraId="3A76372B" w14:textId="77777777" w:rsidR="0068379B" w:rsidRPr="001B4A02" w:rsidRDefault="0068379B" w:rsidP="00ED48A3">
            <w:pPr>
              <w:pStyle w:val="EMEANormal"/>
              <w:rPr>
                <w:del w:id="5008" w:author="AbbVie1" w:date="2025-05-13T09:50:00Z"/>
                <w:szCs w:val="22"/>
                <w:lang w:val="cs-CZ"/>
              </w:rPr>
            </w:pPr>
          </w:p>
        </w:tc>
      </w:tr>
      <w:tr w:rsidR="00534A2D" w14:paraId="363D172E" w14:textId="77777777" w:rsidTr="00E501B6">
        <w:trPr>
          <w:cantSplit/>
          <w:trHeight w:val="260"/>
          <w:jc w:val="center"/>
          <w:del w:id="5009" w:author="AbbVie1" w:date="2025-05-13T09:50:00Z"/>
        </w:trPr>
        <w:tc>
          <w:tcPr>
            <w:tcW w:w="0" w:type="auto"/>
            <w:vMerge/>
            <w:tcBorders>
              <w:left w:val="single" w:sz="4" w:space="0" w:color="auto"/>
              <w:right w:val="single" w:sz="4" w:space="0" w:color="auto"/>
            </w:tcBorders>
            <w:vAlign w:val="center"/>
          </w:tcPr>
          <w:p w14:paraId="033EFF19" w14:textId="77777777" w:rsidR="0068379B" w:rsidRPr="001B4A02" w:rsidRDefault="0068379B" w:rsidP="00ED48A3">
            <w:pPr>
              <w:ind w:left="0" w:firstLine="0"/>
              <w:rPr>
                <w:del w:id="5010"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22CD0B85" w14:textId="77777777" w:rsidR="0068379B" w:rsidRPr="001B4A02" w:rsidRDefault="00000000" w:rsidP="00ED48A3">
            <w:pPr>
              <w:pStyle w:val="EMEANormal"/>
              <w:rPr>
                <w:del w:id="5011" w:author="AbbVie1" w:date="2025-05-13T09:50:00Z"/>
                <w:szCs w:val="22"/>
                <w:lang w:val="cs-CZ"/>
              </w:rPr>
            </w:pPr>
            <w:del w:id="5012"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2F3FB1F4" w14:textId="77777777" w:rsidR="0068379B" w:rsidRPr="001B4A02" w:rsidRDefault="00000000" w:rsidP="00ED48A3">
            <w:pPr>
              <w:pStyle w:val="EMEANormal"/>
              <w:rPr>
                <w:del w:id="5013" w:author="AbbVie1" w:date="2025-05-13T09:50:00Z"/>
                <w:szCs w:val="22"/>
                <w:lang w:val="cs-CZ"/>
              </w:rPr>
            </w:pPr>
            <w:del w:id="5014" w:author="AbbVie1" w:date="2025-05-13T09:50:00Z">
              <w:r w:rsidRPr="001B4A02">
                <w:rPr>
                  <w:szCs w:val="22"/>
                  <w:lang w:val="cs-CZ"/>
                </w:rPr>
                <w:delText>Pankreatitida,</w:delText>
              </w:r>
            </w:del>
          </w:p>
          <w:p w14:paraId="399AB6CE" w14:textId="77777777" w:rsidR="0068379B" w:rsidRPr="001B4A02" w:rsidRDefault="00000000" w:rsidP="00ED48A3">
            <w:pPr>
              <w:pStyle w:val="EMEANormal"/>
              <w:rPr>
                <w:del w:id="5015" w:author="AbbVie1" w:date="2025-05-13T09:50:00Z"/>
                <w:szCs w:val="22"/>
                <w:lang w:val="cs-CZ"/>
              </w:rPr>
            </w:pPr>
            <w:del w:id="5016" w:author="AbbVie1" w:date="2025-05-13T09:50:00Z">
              <w:r w:rsidRPr="001B4A02">
                <w:rPr>
                  <w:szCs w:val="22"/>
                  <w:lang w:val="cs-CZ"/>
                </w:rPr>
                <w:delText>dysfagie,</w:delText>
              </w:r>
            </w:del>
          </w:p>
          <w:p w14:paraId="7F63DC84" w14:textId="77777777" w:rsidR="0068379B" w:rsidRPr="001B4A02" w:rsidRDefault="00000000" w:rsidP="00ED48A3">
            <w:pPr>
              <w:pStyle w:val="EMEANormal"/>
              <w:rPr>
                <w:del w:id="5017" w:author="AbbVie1" w:date="2025-05-13T09:50:00Z"/>
                <w:szCs w:val="22"/>
                <w:lang w:val="cs-CZ"/>
              </w:rPr>
            </w:pPr>
            <w:del w:id="5018" w:author="AbbVie1" w:date="2025-05-13T09:50:00Z">
              <w:r w:rsidRPr="001B4A02">
                <w:rPr>
                  <w:szCs w:val="22"/>
                  <w:lang w:val="cs-CZ"/>
                </w:rPr>
                <w:delText>edém obličeje</w:delText>
              </w:r>
            </w:del>
          </w:p>
          <w:p w14:paraId="350FB26F" w14:textId="77777777" w:rsidR="0068379B" w:rsidRPr="001B4A02" w:rsidRDefault="0068379B" w:rsidP="00ED48A3">
            <w:pPr>
              <w:pStyle w:val="EMEANormal"/>
              <w:rPr>
                <w:del w:id="5019" w:author="AbbVie1" w:date="2025-05-13T09:50:00Z"/>
                <w:szCs w:val="22"/>
                <w:lang w:val="cs-CZ"/>
              </w:rPr>
            </w:pPr>
          </w:p>
        </w:tc>
      </w:tr>
      <w:tr w:rsidR="00534A2D" w14:paraId="06A6DC9A" w14:textId="77777777" w:rsidTr="00E501B6">
        <w:trPr>
          <w:cantSplit/>
          <w:trHeight w:val="260"/>
          <w:jc w:val="center"/>
          <w:del w:id="5020" w:author="AbbVie1" w:date="2025-05-13T09:50:00Z"/>
        </w:trPr>
        <w:tc>
          <w:tcPr>
            <w:tcW w:w="0" w:type="auto"/>
            <w:vMerge/>
            <w:tcBorders>
              <w:left w:val="single" w:sz="4" w:space="0" w:color="auto"/>
              <w:bottom w:val="single" w:sz="4" w:space="0" w:color="auto"/>
              <w:right w:val="single" w:sz="4" w:space="0" w:color="auto"/>
            </w:tcBorders>
            <w:vAlign w:val="center"/>
          </w:tcPr>
          <w:p w14:paraId="60AF04CB" w14:textId="77777777" w:rsidR="0068379B" w:rsidRPr="001B4A02" w:rsidRDefault="0068379B" w:rsidP="00ED48A3">
            <w:pPr>
              <w:ind w:left="0" w:firstLine="0"/>
              <w:rPr>
                <w:del w:id="5021"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3557CBB8" w14:textId="77777777" w:rsidR="0068379B" w:rsidRPr="001B4A02" w:rsidRDefault="00000000" w:rsidP="00ED48A3">
            <w:pPr>
              <w:pStyle w:val="EMEANormal"/>
              <w:rPr>
                <w:del w:id="5022" w:author="AbbVie1" w:date="2025-05-13T09:50:00Z"/>
                <w:szCs w:val="22"/>
                <w:lang w:val="cs-CZ"/>
              </w:rPr>
            </w:pPr>
            <w:del w:id="5023"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tcPr>
          <w:p w14:paraId="042F21DF" w14:textId="77777777" w:rsidR="0068379B" w:rsidRPr="001B4A02" w:rsidRDefault="00000000" w:rsidP="00ED48A3">
            <w:pPr>
              <w:pStyle w:val="EMEANormal"/>
              <w:rPr>
                <w:del w:id="5024" w:author="AbbVie1" w:date="2025-05-13T09:50:00Z"/>
                <w:szCs w:val="22"/>
                <w:vertAlign w:val="superscript"/>
                <w:lang w:val="cs-CZ"/>
              </w:rPr>
            </w:pPr>
            <w:del w:id="5025" w:author="AbbVie1" w:date="2025-05-13T09:50:00Z">
              <w:r w:rsidRPr="001B4A02">
                <w:rPr>
                  <w:szCs w:val="22"/>
                  <w:lang w:val="cs-CZ"/>
                </w:rPr>
                <w:delText>Perforace střeva</w:delText>
              </w:r>
              <w:r w:rsidRPr="001B4A02">
                <w:rPr>
                  <w:szCs w:val="22"/>
                  <w:vertAlign w:val="superscript"/>
                  <w:lang w:val="cs-CZ"/>
                </w:rPr>
                <w:delText>1)</w:delText>
              </w:r>
            </w:del>
          </w:p>
          <w:p w14:paraId="1F331B31" w14:textId="77777777" w:rsidR="0068379B" w:rsidRPr="001B4A02" w:rsidRDefault="0068379B" w:rsidP="00ED48A3">
            <w:pPr>
              <w:pStyle w:val="EMEANormal"/>
              <w:rPr>
                <w:del w:id="5026" w:author="AbbVie1" w:date="2025-05-13T09:50:00Z"/>
                <w:szCs w:val="22"/>
                <w:lang w:val="cs-CZ"/>
              </w:rPr>
            </w:pPr>
          </w:p>
        </w:tc>
      </w:tr>
      <w:tr w:rsidR="00534A2D" w14:paraId="35C446FC" w14:textId="77777777" w:rsidTr="00E501B6">
        <w:trPr>
          <w:trHeight w:val="138"/>
          <w:jc w:val="center"/>
          <w:del w:id="5027" w:author="AbbVie1" w:date="2025-05-13T09:50:00Z"/>
        </w:trPr>
        <w:tc>
          <w:tcPr>
            <w:tcW w:w="2880" w:type="dxa"/>
            <w:vMerge w:val="restart"/>
            <w:tcBorders>
              <w:top w:val="single" w:sz="4" w:space="0" w:color="auto"/>
              <w:left w:val="single" w:sz="4" w:space="0" w:color="auto"/>
              <w:right w:val="single" w:sz="4" w:space="0" w:color="auto"/>
            </w:tcBorders>
          </w:tcPr>
          <w:p w14:paraId="4A69C375" w14:textId="77777777" w:rsidR="007F0EC2" w:rsidRPr="001B4A02" w:rsidRDefault="00000000" w:rsidP="00ED48A3">
            <w:pPr>
              <w:tabs>
                <w:tab w:val="left" w:pos="0"/>
              </w:tabs>
              <w:ind w:left="0" w:firstLine="0"/>
              <w:rPr>
                <w:del w:id="5028" w:author="AbbVie1" w:date="2025-05-13T09:50:00Z"/>
                <w:szCs w:val="22"/>
              </w:rPr>
            </w:pPr>
            <w:del w:id="5029" w:author="AbbVie1" w:date="2025-05-13T09:50:00Z">
              <w:r w:rsidRPr="001B4A02">
                <w:rPr>
                  <w:szCs w:val="22"/>
                </w:rPr>
                <w:delText>Poruchy jater</w:delText>
              </w:r>
              <w:r w:rsidR="002378E0">
                <w:rPr>
                  <w:szCs w:val="22"/>
                </w:rPr>
                <w:delText xml:space="preserve"> a </w:delText>
              </w:r>
              <w:r w:rsidRPr="001B4A02">
                <w:rPr>
                  <w:szCs w:val="22"/>
                </w:rPr>
                <w:delText>žlučových cest*</w:delText>
              </w:r>
            </w:del>
          </w:p>
        </w:tc>
        <w:tc>
          <w:tcPr>
            <w:tcW w:w="1440" w:type="dxa"/>
            <w:tcBorders>
              <w:top w:val="single" w:sz="4" w:space="0" w:color="auto"/>
              <w:left w:val="single" w:sz="4" w:space="0" w:color="auto"/>
              <w:bottom w:val="single" w:sz="4" w:space="0" w:color="auto"/>
              <w:right w:val="single" w:sz="4" w:space="0" w:color="auto"/>
            </w:tcBorders>
          </w:tcPr>
          <w:p w14:paraId="567C2C3B" w14:textId="77777777" w:rsidR="007F0EC2" w:rsidRPr="001B4A02" w:rsidRDefault="00000000" w:rsidP="00ED48A3">
            <w:pPr>
              <w:pStyle w:val="EMEANormal"/>
              <w:rPr>
                <w:del w:id="5030" w:author="AbbVie1" w:date="2025-05-13T09:50:00Z"/>
                <w:szCs w:val="22"/>
                <w:lang w:val="cs-CZ"/>
              </w:rPr>
            </w:pPr>
            <w:del w:id="5031"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tcPr>
          <w:p w14:paraId="74B9AD45" w14:textId="77777777" w:rsidR="007F0EC2" w:rsidRPr="001B4A02" w:rsidRDefault="00000000" w:rsidP="00ED48A3">
            <w:pPr>
              <w:pStyle w:val="EMEANormal"/>
              <w:rPr>
                <w:del w:id="5032" w:author="AbbVie1" w:date="2025-05-13T09:50:00Z"/>
                <w:szCs w:val="22"/>
                <w:lang w:val="cs-CZ"/>
              </w:rPr>
            </w:pPr>
            <w:del w:id="5033" w:author="AbbVie1" w:date="2025-05-13T09:50:00Z">
              <w:r w:rsidRPr="001B4A02">
                <w:rPr>
                  <w:szCs w:val="22"/>
                  <w:lang w:val="cs-CZ"/>
                </w:rPr>
                <w:delText>Zvýšení jaterních enzymů</w:delText>
              </w:r>
            </w:del>
          </w:p>
          <w:p w14:paraId="1239281B" w14:textId="77777777" w:rsidR="007F0EC2" w:rsidRPr="001B4A02" w:rsidRDefault="007F0EC2" w:rsidP="00ED48A3">
            <w:pPr>
              <w:pStyle w:val="EMEANormal"/>
              <w:rPr>
                <w:del w:id="5034" w:author="AbbVie1" w:date="2025-05-13T09:50:00Z"/>
                <w:szCs w:val="22"/>
                <w:lang w:val="cs-CZ"/>
              </w:rPr>
            </w:pPr>
          </w:p>
        </w:tc>
      </w:tr>
      <w:tr w:rsidR="00534A2D" w14:paraId="7E4AD9B3" w14:textId="77777777" w:rsidTr="00E501B6">
        <w:trPr>
          <w:trHeight w:val="137"/>
          <w:jc w:val="center"/>
          <w:del w:id="5035" w:author="AbbVie1" w:date="2025-05-13T09:50:00Z"/>
        </w:trPr>
        <w:tc>
          <w:tcPr>
            <w:tcW w:w="0" w:type="auto"/>
            <w:vMerge/>
            <w:tcBorders>
              <w:left w:val="single" w:sz="4" w:space="0" w:color="auto"/>
              <w:right w:val="single" w:sz="4" w:space="0" w:color="auto"/>
            </w:tcBorders>
            <w:vAlign w:val="center"/>
          </w:tcPr>
          <w:p w14:paraId="45E40DB5" w14:textId="77777777" w:rsidR="007F0EC2" w:rsidRPr="001B4A02" w:rsidRDefault="007F0EC2" w:rsidP="00ED48A3">
            <w:pPr>
              <w:ind w:left="0" w:firstLine="0"/>
              <w:rPr>
                <w:del w:id="5036"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58EEC2A0" w14:textId="77777777" w:rsidR="007F0EC2" w:rsidRPr="001B4A02" w:rsidRDefault="00000000" w:rsidP="00ED48A3">
            <w:pPr>
              <w:pStyle w:val="EMEANormal"/>
              <w:rPr>
                <w:del w:id="5037" w:author="AbbVie1" w:date="2025-05-13T09:50:00Z"/>
                <w:szCs w:val="22"/>
                <w:lang w:val="cs-CZ"/>
              </w:rPr>
            </w:pPr>
            <w:del w:id="5038"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5AAD6737" w14:textId="77777777" w:rsidR="007F0EC2" w:rsidRPr="001B4A02" w:rsidRDefault="00000000" w:rsidP="00ED48A3">
            <w:pPr>
              <w:pStyle w:val="EMEANormal"/>
              <w:rPr>
                <w:del w:id="5039" w:author="AbbVie1" w:date="2025-05-13T09:50:00Z"/>
                <w:szCs w:val="22"/>
                <w:lang w:val="cs-CZ"/>
              </w:rPr>
            </w:pPr>
            <w:del w:id="5040" w:author="AbbVie1" w:date="2025-05-13T09:50:00Z">
              <w:r w:rsidRPr="001B4A02">
                <w:rPr>
                  <w:szCs w:val="22"/>
                  <w:lang w:val="cs-CZ"/>
                </w:rPr>
                <w:delText>Steatóza jater,</w:delText>
              </w:r>
            </w:del>
          </w:p>
          <w:p w14:paraId="495D82D2" w14:textId="77777777" w:rsidR="007F0EC2" w:rsidRPr="001B4A02" w:rsidRDefault="00000000" w:rsidP="00ED48A3">
            <w:pPr>
              <w:pStyle w:val="EMEANormal"/>
              <w:rPr>
                <w:del w:id="5041" w:author="AbbVie1" w:date="2025-05-13T09:50:00Z"/>
                <w:szCs w:val="22"/>
                <w:lang w:val="cs-CZ"/>
              </w:rPr>
            </w:pPr>
            <w:del w:id="5042" w:author="AbbVie1" w:date="2025-05-13T09:50:00Z">
              <w:r w:rsidRPr="001B4A02">
                <w:rPr>
                  <w:szCs w:val="22"/>
                  <w:lang w:val="cs-CZ"/>
                </w:rPr>
                <w:delText>cholecystitida</w:delText>
              </w:r>
              <w:r w:rsidR="002378E0">
                <w:rPr>
                  <w:szCs w:val="22"/>
                  <w:lang w:val="cs-CZ"/>
                </w:rPr>
                <w:delText xml:space="preserve"> a </w:delText>
              </w:r>
              <w:r w:rsidRPr="001B4A02">
                <w:rPr>
                  <w:szCs w:val="22"/>
                  <w:lang w:val="cs-CZ"/>
                </w:rPr>
                <w:delText>cholelithiáza,</w:delText>
              </w:r>
            </w:del>
          </w:p>
          <w:p w14:paraId="237083F7" w14:textId="77777777" w:rsidR="007F0EC2" w:rsidRPr="001B4A02" w:rsidRDefault="00000000" w:rsidP="00ED48A3">
            <w:pPr>
              <w:pStyle w:val="EMEANormal"/>
              <w:rPr>
                <w:del w:id="5043" w:author="AbbVie1" w:date="2025-05-13T09:50:00Z"/>
                <w:szCs w:val="22"/>
                <w:lang w:val="cs-CZ"/>
              </w:rPr>
            </w:pPr>
            <w:del w:id="5044" w:author="AbbVie1" w:date="2025-05-13T09:50:00Z">
              <w:r w:rsidRPr="001B4A02">
                <w:rPr>
                  <w:szCs w:val="22"/>
                  <w:lang w:val="cs-CZ"/>
                </w:rPr>
                <w:delText>zvýšení bilirubinu</w:delText>
              </w:r>
            </w:del>
          </w:p>
          <w:p w14:paraId="2E834DC2" w14:textId="77777777" w:rsidR="007F0EC2" w:rsidRPr="001B4A02" w:rsidRDefault="007F0EC2" w:rsidP="00ED48A3">
            <w:pPr>
              <w:pStyle w:val="EMEANormal"/>
              <w:rPr>
                <w:del w:id="5045" w:author="AbbVie1" w:date="2025-05-13T09:50:00Z"/>
                <w:szCs w:val="22"/>
                <w:lang w:val="cs-CZ"/>
              </w:rPr>
            </w:pPr>
          </w:p>
        </w:tc>
      </w:tr>
      <w:tr w:rsidR="00534A2D" w14:paraId="4A418BE0" w14:textId="77777777" w:rsidTr="00E501B6">
        <w:trPr>
          <w:trHeight w:val="390"/>
          <w:jc w:val="center"/>
          <w:del w:id="5046" w:author="AbbVie1" w:date="2025-05-13T09:50:00Z"/>
        </w:trPr>
        <w:tc>
          <w:tcPr>
            <w:tcW w:w="0" w:type="auto"/>
            <w:vMerge/>
            <w:tcBorders>
              <w:left w:val="single" w:sz="4" w:space="0" w:color="auto"/>
              <w:right w:val="single" w:sz="4" w:space="0" w:color="auto"/>
            </w:tcBorders>
            <w:vAlign w:val="center"/>
          </w:tcPr>
          <w:p w14:paraId="188E9A25" w14:textId="77777777" w:rsidR="007F0EC2" w:rsidRPr="001B4A02" w:rsidRDefault="007F0EC2" w:rsidP="00ED48A3">
            <w:pPr>
              <w:ind w:left="0" w:firstLine="0"/>
              <w:rPr>
                <w:del w:id="5047"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31BC497F" w14:textId="77777777" w:rsidR="007F0EC2" w:rsidRPr="001B4A02" w:rsidRDefault="00000000" w:rsidP="00ED48A3">
            <w:pPr>
              <w:pStyle w:val="EMEANormal"/>
              <w:rPr>
                <w:del w:id="5048" w:author="AbbVie1" w:date="2025-05-13T09:50:00Z"/>
                <w:szCs w:val="22"/>
                <w:lang w:val="cs-CZ"/>
              </w:rPr>
            </w:pPr>
            <w:del w:id="5049"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1F5C4EA0" w14:textId="77777777" w:rsidR="007F0EC2" w:rsidRPr="001B4A02" w:rsidRDefault="00000000" w:rsidP="00ED48A3">
            <w:pPr>
              <w:pStyle w:val="EMEANormal"/>
              <w:rPr>
                <w:del w:id="5050" w:author="AbbVie1" w:date="2025-05-13T09:50:00Z"/>
                <w:szCs w:val="22"/>
                <w:lang w:val="cs-CZ"/>
              </w:rPr>
            </w:pPr>
            <w:del w:id="5051" w:author="AbbVie1" w:date="2025-05-13T09:50:00Z">
              <w:r w:rsidRPr="001B4A02">
                <w:rPr>
                  <w:szCs w:val="22"/>
                  <w:lang w:val="cs-CZ"/>
                </w:rPr>
                <w:delText>Hepatitida,</w:delText>
              </w:r>
            </w:del>
          </w:p>
          <w:p w14:paraId="33412086" w14:textId="77777777" w:rsidR="007F0EC2" w:rsidRPr="001B4A02" w:rsidRDefault="00000000" w:rsidP="00ED48A3">
            <w:pPr>
              <w:pStyle w:val="EMEANormal"/>
              <w:rPr>
                <w:del w:id="5052" w:author="AbbVie1" w:date="2025-05-13T09:50:00Z"/>
                <w:szCs w:val="22"/>
                <w:lang w:val="cs-CZ"/>
              </w:rPr>
            </w:pPr>
            <w:del w:id="5053" w:author="AbbVie1" w:date="2025-05-13T09:50:00Z">
              <w:r w:rsidRPr="001B4A02">
                <w:rPr>
                  <w:szCs w:val="22"/>
                  <w:lang w:val="cs-CZ"/>
                </w:rPr>
                <w:delText>reaktivace hepatitidy B</w:delText>
              </w:r>
              <w:r w:rsidRPr="001B4A02">
                <w:rPr>
                  <w:szCs w:val="22"/>
                  <w:vertAlign w:val="superscript"/>
                  <w:lang w:val="cs-CZ"/>
                </w:rPr>
                <w:delText>1)</w:delText>
              </w:r>
              <w:r w:rsidR="00D95B9A" w:rsidRPr="001B4A02">
                <w:rPr>
                  <w:szCs w:val="22"/>
                  <w:lang w:val="cs-CZ"/>
                </w:rPr>
                <w:delText>,</w:delText>
              </w:r>
            </w:del>
          </w:p>
          <w:p w14:paraId="64898AB2" w14:textId="77777777" w:rsidR="007F0EC2" w:rsidRPr="001B4A02" w:rsidRDefault="00000000" w:rsidP="00ED48A3">
            <w:pPr>
              <w:pStyle w:val="EMEANormal"/>
              <w:rPr>
                <w:del w:id="5054" w:author="AbbVie1" w:date="2025-05-13T09:50:00Z"/>
                <w:szCs w:val="22"/>
                <w:lang w:val="cs-CZ"/>
              </w:rPr>
            </w:pPr>
            <w:del w:id="5055" w:author="AbbVie1" w:date="2025-05-13T09:50:00Z">
              <w:r w:rsidRPr="001B4A02">
                <w:rPr>
                  <w:szCs w:val="22"/>
                  <w:lang w:val="cs-CZ"/>
                </w:rPr>
                <w:delText>autoimunní hepatitida</w:delText>
              </w:r>
              <w:r w:rsidRPr="001B4A02">
                <w:rPr>
                  <w:szCs w:val="22"/>
                  <w:vertAlign w:val="superscript"/>
                  <w:lang w:val="cs-CZ"/>
                </w:rPr>
                <w:delText>1)</w:delText>
              </w:r>
            </w:del>
          </w:p>
          <w:p w14:paraId="0B9ABC96" w14:textId="77777777" w:rsidR="007F0EC2" w:rsidRPr="001B4A02" w:rsidRDefault="007F0EC2" w:rsidP="00ED48A3">
            <w:pPr>
              <w:pStyle w:val="EMEANormal"/>
              <w:rPr>
                <w:del w:id="5056" w:author="AbbVie1" w:date="2025-05-13T09:50:00Z"/>
                <w:szCs w:val="22"/>
                <w:lang w:val="cs-CZ"/>
              </w:rPr>
            </w:pPr>
          </w:p>
        </w:tc>
      </w:tr>
      <w:tr w:rsidR="00534A2D" w14:paraId="2794763D" w14:textId="77777777" w:rsidTr="00E501B6">
        <w:trPr>
          <w:trHeight w:val="390"/>
          <w:jc w:val="center"/>
          <w:del w:id="5057" w:author="AbbVie1" w:date="2025-05-13T09:50:00Z"/>
        </w:trPr>
        <w:tc>
          <w:tcPr>
            <w:tcW w:w="0" w:type="auto"/>
            <w:vMerge/>
            <w:tcBorders>
              <w:left w:val="single" w:sz="4" w:space="0" w:color="auto"/>
              <w:bottom w:val="nil"/>
              <w:right w:val="single" w:sz="4" w:space="0" w:color="auto"/>
            </w:tcBorders>
            <w:vAlign w:val="center"/>
          </w:tcPr>
          <w:p w14:paraId="4F9FF1DB" w14:textId="77777777" w:rsidR="007F0EC2" w:rsidRPr="001B4A02" w:rsidRDefault="007F0EC2" w:rsidP="00ED48A3">
            <w:pPr>
              <w:ind w:left="0" w:firstLine="0"/>
              <w:rPr>
                <w:del w:id="5058"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460E4476" w14:textId="77777777" w:rsidR="007F0EC2" w:rsidRPr="001B4A02" w:rsidRDefault="00000000" w:rsidP="00ED48A3">
            <w:pPr>
              <w:pStyle w:val="EMEANormal"/>
              <w:rPr>
                <w:del w:id="5059" w:author="AbbVie1" w:date="2025-05-13T09:50:00Z"/>
                <w:szCs w:val="22"/>
                <w:lang w:val="cs-CZ"/>
              </w:rPr>
            </w:pPr>
            <w:del w:id="5060" w:author="AbbVie1" w:date="2025-05-13T09:50:00Z">
              <w:r w:rsidRPr="001B4A02">
                <w:rPr>
                  <w:szCs w:val="22"/>
                  <w:lang w:val="cs-CZ"/>
                </w:rPr>
                <w:delText>Není známo</w:delText>
              </w:r>
            </w:del>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2C653DE8" w14:textId="77777777" w:rsidR="007F0EC2" w:rsidRPr="001B4A02" w:rsidRDefault="00000000" w:rsidP="00ED48A3">
            <w:pPr>
              <w:pStyle w:val="EMEANormal"/>
              <w:rPr>
                <w:del w:id="5061" w:author="AbbVie1" w:date="2025-05-13T09:50:00Z"/>
                <w:szCs w:val="22"/>
                <w:lang w:val="cs-CZ"/>
              </w:rPr>
            </w:pPr>
            <w:del w:id="5062" w:author="AbbVie1" w:date="2025-05-13T09:50:00Z">
              <w:r w:rsidRPr="001B4A02">
                <w:rPr>
                  <w:szCs w:val="22"/>
                  <w:lang w:val="cs-CZ"/>
                </w:rPr>
                <w:delText>Selhání jater</w:delText>
              </w:r>
              <w:r w:rsidRPr="001B4A02">
                <w:rPr>
                  <w:szCs w:val="22"/>
                  <w:vertAlign w:val="superscript"/>
                  <w:lang w:val="cs-CZ"/>
                </w:rPr>
                <w:delText>1)</w:delText>
              </w:r>
            </w:del>
          </w:p>
          <w:p w14:paraId="4304BB5B" w14:textId="77777777" w:rsidR="00461AAA" w:rsidRPr="001B4A02" w:rsidRDefault="00461AAA" w:rsidP="00ED48A3">
            <w:pPr>
              <w:pStyle w:val="EMEANormal"/>
              <w:rPr>
                <w:del w:id="5063" w:author="AbbVie1" w:date="2025-05-13T09:50:00Z"/>
                <w:szCs w:val="22"/>
                <w:lang w:val="cs-CZ"/>
              </w:rPr>
            </w:pPr>
          </w:p>
        </w:tc>
      </w:tr>
      <w:tr w:rsidR="00534A2D" w14:paraId="447A91C4" w14:textId="77777777" w:rsidTr="00E501B6">
        <w:trPr>
          <w:cantSplit/>
          <w:trHeight w:val="127"/>
          <w:jc w:val="center"/>
          <w:del w:id="5064" w:author="AbbVie1" w:date="2025-05-13T09:50:00Z"/>
        </w:trPr>
        <w:tc>
          <w:tcPr>
            <w:tcW w:w="2880" w:type="dxa"/>
            <w:vMerge w:val="restart"/>
            <w:tcBorders>
              <w:top w:val="single" w:sz="4" w:space="0" w:color="auto"/>
              <w:left w:val="single" w:sz="4" w:space="0" w:color="auto"/>
              <w:right w:val="single" w:sz="4" w:space="0" w:color="auto"/>
            </w:tcBorders>
          </w:tcPr>
          <w:p w14:paraId="0588D662" w14:textId="77777777" w:rsidR="006855DE" w:rsidRPr="001B4A02" w:rsidRDefault="00000000" w:rsidP="00ED48A3">
            <w:pPr>
              <w:pStyle w:val="EMEANormal"/>
              <w:keepNext/>
              <w:tabs>
                <w:tab w:val="left" w:pos="0"/>
              </w:tabs>
              <w:rPr>
                <w:del w:id="5065" w:author="AbbVie1" w:date="2025-05-13T09:50:00Z"/>
                <w:szCs w:val="22"/>
                <w:lang w:val="cs-CZ"/>
              </w:rPr>
            </w:pPr>
            <w:del w:id="5066" w:author="AbbVie1" w:date="2025-05-13T09:50:00Z">
              <w:r w:rsidRPr="001B4A02">
                <w:rPr>
                  <w:szCs w:val="22"/>
                  <w:lang w:val="cs-CZ"/>
                </w:rPr>
                <w:delText>Poruchy kůže</w:delText>
              </w:r>
              <w:r>
                <w:rPr>
                  <w:szCs w:val="22"/>
                  <w:lang w:val="cs-CZ"/>
                </w:rPr>
                <w:delText xml:space="preserve"> a </w:delText>
              </w:r>
              <w:r w:rsidRPr="001B4A02">
                <w:rPr>
                  <w:szCs w:val="22"/>
                  <w:lang w:val="cs-CZ"/>
                </w:rPr>
                <w:delText>podkožní tkáně</w:delText>
              </w:r>
            </w:del>
          </w:p>
        </w:tc>
        <w:tc>
          <w:tcPr>
            <w:tcW w:w="1440" w:type="dxa"/>
            <w:tcBorders>
              <w:top w:val="single" w:sz="4" w:space="0" w:color="auto"/>
              <w:left w:val="single" w:sz="4" w:space="0" w:color="auto"/>
              <w:bottom w:val="single" w:sz="4" w:space="0" w:color="auto"/>
              <w:right w:val="single" w:sz="4" w:space="0" w:color="auto"/>
            </w:tcBorders>
          </w:tcPr>
          <w:p w14:paraId="6D95275E" w14:textId="77777777" w:rsidR="006855DE" w:rsidRPr="001B4A02" w:rsidRDefault="00000000" w:rsidP="00ED48A3">
            <w:pPr>
              <w:pStyle w:val="EMEANormal"/>
              <w:keepNext/>
              <w:rPr>
                <w:del w:id="5067" w:author="AbbVie1" w:date="2025-05-13T09:50:00Z"/>
                <w:szCs w:val="22"/>
                <w:lang w:val="cs-CZ"/>
              </w:rPr>
            </w:pPr>
            <w:del w:id="5068"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tcPr>
          <w:p w14:paraId="0E144314" w14:textId="77777777" w:rsidR="006855DE" w:rsidRPr="001B4A02" w:rsidRDefault="00000000" w:rsidP="00ED48A3">
            <w:pPr>
              <w:pStyle w:val="EMEANormal"/>
              <w:keepNext/>
              <w:rPr>
                <w:del w:id="5069" w:author="AbbVie1" w:date="2025-05-13T09:50:00Z"/>
                <w:szCs w:val="22"/>
                <w:lang w:val="cs-CZ"/>
              </w:rPr>
            </w:pPr>
            <w:del w:id="5070" w:author="AbbVie1" w:date="2025-05-13T09:50:00Z">
              <w:r w:rsidRPr="001B4A02">
                <w:rPr>
                  <w:szCs w:val="22"/>
                  <w:lang w:val="cs-CZ"/>
                </w:rPr>
                <w:delText>Rash (včetně exfoliativního rashe)</w:delText>
              </w:r>
            </w:del>
          </w:p>
          <w:p w14:paraId="3A5E088B" w14:textId="77777777" w:rsidR="006855DE" w:rsidRPr="001B4A02" w:rsidRDefault="006855DE" w:rsidP="00ED48A3">
            <w:pPr>
              <w:pStyle w:val="EMEANormal"/>
              <w:keepNext/>
              <w:rPr>
                <w:del w:id="5071" w:author="AbbVie1" w:date="2025-05-13T09:50:00Z"/>
                <w:szCs w:val="22"/>
                <w:lang w:val="cs-CZ"/>
              </w:rPr>
            </w:pPr>
          </w:p>
        </w:tc>
      </w:tr>
      <w:tr w:rsidR="00534A2D" w14:paraId="18EF0E5A" w14:textId="77777777" w:rsidTr="00E501B6">
        <w:trPr>
          <w:cantSplit/>
          <w:trHeight w:val="127"/>
          <w:jc w:val="center"/>
          <w:del w:id="5072" w:author="AbbVie1" w:date="2025-05-13T09:50:00Z"/>
        </w:trPr>
        <w:tc>
          <w:tcPr>
            <w:tcW w:w="0" w:type="auto"/>
            <w:vMerge/>
            <w:tcBorders>
              <w:left w:val="single" w:sz="4" w:space="0" w:color="auto"/>
              <w:right w:val="single" w:sz="4" w:space="0" w:color="auto"/>
            </w:tcBorders>
            <w:vAlign w:val="center"/>
          </w:tcPr>
          <w:p w14:paraId="2D36DACE" w14:textId="77777777" w:rsidR="006855DE" w:rsidRPr="001B4A02" w:rsidRDefault="006855DE" w:rsidP="00ED48A3">
            <w:pPr>
              <w:keepNext/>
              <w:ind w:left="0" w:firstLine="0"/>
              <w:rPr>
                <w:del w:id="5073"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2C74D911" w14:textId="77777777" w:rsidR="006855DE" w:rsidRPr="001B4A02" w:rsidRDefault="00000000" w:rsidP="00ED48A3">
            <w:pPr>
              <w:pStyle w:val="EMEANormal"/>
              <w:keepNext/>
              <w:rPr>
                <w:del w:id="5074" w:author="AbbVie1" w:date="2025-05-13T09:50:00Z"/>
                <w:szCs w:val="22"/>
                <w:lang w:val="cs-CZ"/>
              </w:rPr>
            </w:pPr>
            <w:del w:id="5075"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19B83EEA" w14:textId="77777777" w:rsidR="006855DE" w:rsidRPr="001B4A02" w:rsidRDefault="00000000" w:rsidP="00ED48A3">
            <w:pPr>
              <w:pStyle w:val="EMEANormal"/>
              <w:keepNext/>
              <w:rPr>
                <w:del w:id="5076" w:author="AbbVie1" w:date="2025-05-13T09:50:00Z"/>
                <w:lang w:val="cs-CZ"/>
              </w:rPr>
            </w:pPr>
            <w:del w:id="5077" w:author="AbbVie1" w:date="2025-05-13T09:50:00Z">
              <w:r w:rsidRPr="001B4A02">
                <w:rPr>
                  <w:lang w:val="cs-CZ"/>
                </w:rPr>
                <w:delText>Nový výskyt nebo zhoršení psoriázy (včetně palmoplantární pustulózní psoriázy)</w:delText>
              </w:r>
              <w:r w:rsidRPr="001B4A02">
                <w:rPr>
                  <w:szCs w:val="22"/>
                  <w:vertAlign w:val="superscript"/>
                  <w:lang w:val="cs-CZ"/>
                </w:rPr>
                <w:delText>1)</w:delText>
              </w:r>
              <w:r w:rsidRPr="001B4A02">
                <w:rPr>
                  <w:lang w:val="cs-CZ"/>
                </w:rPr>
                <w:delText>,</w:delText>
              </w:r>
            </w:del>
          </w:p>
          <w:p w14:paraId="4C525366" w14:textId="77777777" w:rsidR="006855DE" w:rsidRPr="001B4A02" w:rsidRDefault="00000000" w:rsidP="00ED48A3">
            <w:pPr>
              <w:pStyle w:val="EMEANormal"/>
              <w:keepNext/>
              <w:rPr>
                <w:del w:id="5078" w:author="AbbVie1" w:date="2025-05-13T09:50:00Z"/>
                <w:szCs w:val="22"/>
                <w:lang w:val="cs-CZ"/>
              </w:rPr>
            </w:pPr>
            <w:del w:id="5079" w:author="AbbVie1" w:date="2025-05-13T09:50:00Z">
              <w:r w:rsidRPr="001B4A02">
                <w:rPr>
                  <w:szCs w:val="22"/>
                  <w:lang w:val="cs-CZ"/>
                </w:rPr>
                <w:delText>urtikarie,</w:delText>
              </w:r>
            </w:del>
          </w:p>
          <w:p w14:paraId="0D565955" w14:textId="77777777" w:rsidR="006855DE" w:rsidRPr="001B4A02" w:rsidRDefault="00000000" w:rsidP="00ED48A3">
            <w:pPr>
              <w:pStyle w:val="EMEANormal"/>
              <w:keepNext/>
              <w:rPr>
                <w:del w:id="5080" w:author="AbbVie1" w:date="2025-05-13T09:50:00Z"/>
                <w:szCs w:val="22"/>
                <w:lang w:val="cs-CZ"/>
              </w:rPr>
            </w:pPr>
            <w:del w:id="5081" w:author="AbbVie1" w:date="2025-05-13T09:50:00Z">
              <w:r w:rsidRPr="001B4A02">
                <w:rPr>
                  <w:szCs w:val="22"/>
                  <w:lang w:val="cs-CZ"/>
                </w:rPr>
                <w:delText>tvorba modřin (včetně purpury),</w:delText>
              </w:r>
            </w:del>
          </w:p>
          <w:p w14:paraId="44ADCD39" w14:textId="77777777" w:rsidR="006855DE" w:rsidRPr="001B4A02" w:rsidRDefault="00000000" w:rsidP="00ED48A3">
            <w:pPr>
              <w:pStyle w:val="EMEANormal"/>
              <w:keepNext/>
              <w:rPr>
                <w:del w:id="5082" w:author="AbbVie1" w:date="2025-05-13T09:50:00Z"/>
                <w:szCs w:val="22"/>
                <w:lang w:val="cs-CZ"/>
              </w:rPr>
            </w:pPr>
            <w:del w:id="5083" w:author="AbbVie1" w:date="2025-05-13T09:50:00Z">
              <w:r w:rsidRPr="001B4A02">
                <w:rPr>
                  <w:szCs w:val="22"/>
                  <w:lang w:val="cs-CZ"/>
                </w:rPr>
                <w:delText>dermatitida (včetně ekzému),</w:delText>
              </w:r>
            </w:del>
          </w:p>
          <w:p w14:paraId="5AA6D826" w14:textId="77777777" w:rsidR="006855DE" w:rsidRPr="001B4A02" w:rsidRDefault="00000000" w:rsidP="00ED48A3">
            <w:pPr>
              <w:pStyle w:val="EMEANormal"/>
              <w:keepNext/>
              <w:rPr>
                <w:del w:id="5084" w:author="AbbVie1" w:date="2025-05-13T09:50:00Z"/>
                <w:szCs w:val="22"/>
                <w:lang w:val="cs-CZ"/>
              </w:rPr>
            </w:pPr>
            <w:del w:id="5085" w:author="AbbVie1" w:date="2025-05-13T09:50:00Z">
              <w:r w:rsidRPr="001B4A02">
                <w:rPr>
                  <w:szCs w:val="22"/>
                  <w:lang w:val="cs-CZ"/>
                </w:rPr>
                <w:delText>onychoklázie,</w:delText>
              </w:r>
            </w:del>
          </w:p>
          <w:p w14:paraId="4DBF1ED8" w14:textId="77777777" w:rsidR="006855DE" w:rsidRPr="001B4A02" w:rsidRDefault="00000000" w:rsidP="00ED48A3">
            <w:pPr>
              <w:pStyle w:val="EMEANormal"/>
              <w:keepNext/>
              <w:rPr>
                <w:del w:id="5086" w:author="AbbVie1" w:date="2025-05-13T09:50:00Z"/>
                <w:szCs w:val="22"/>
                <w:lang w:val="cs-CZ"/>
              </w:rPr>
            </w:pPr>
            <w:del w:id="5087" w:author="AbbVie1" w:date="2025-05-13T09:50:00Z">
              <w:r w:rsidRPr="001B4A02">
                <w:rPr>
                  <w:szCs w:val="22"/>
                  <w:lang w:val="cs-CZ"/>
                </w:rPr>
                <w:delText>hyperhidróza,</w:delText>
              </w:r>
            </w:del>
          </w:p>
          <w:p w14:paraId="380F13AB" w14:textId="77777777" w:rsidR="006855DE" w:rsidRPr="001B4A02" w:rsidRDefault="00000000" w:rsidP="00ED48A3">
            <w:pPr>
              <w:pStyle w:val="EMEANormal"/>
              <w:keepNext/>
              <w:rPr>
                <w:del w:id="5088" w:author="AbbVie1" w:date="2025-05-13T09:50:00Z"/>
                <w:szCs w:val="22"/>
                <w:lang w:val="cs-CZ"/>
              </w:rPr>
            </w:pPr>
            <w:del w:id="5089" w:author="AbbVie1" w:date="2025-05-13T09:50:00Z">
              <w:r w:rsidRPr="001B4A02">
                <w:rPr>
                  <w:szCs w:val="22"/>
                  <w:lang w:val="cs-CZ"/>
                </w:rPr>
                <w:delText>alopecie</w:delText>
              </w:r>
              <w:r w:rsidRPr="001B4A02">
                <w:rPr>
                  <w:szCs w:val="22"/>
                  <w:vertAlign w:val="superscript"/>
                  <w:lang w:val="cs-CZ"/>
                </w:rPr>
                <w:delText>1)</w:delText>
              </w:r>
              <w:r w:rsidRPr="001B4A02">
                <w:rPr>
                  <w:szCs w:val="22"/>
                  <w:lang w:val="cs-CZ"/>
                </w:rPr>
                <w:delText>,</w:delText>
              </w:r>
            </w:del>
          </w:p>
          <w:p w14:paraId="357260BC" w14:textId="77777777" w:rsidR="006855DE" w:rsidRPr="001B4A02" w:rsidRDefault="00000000" w:rsidP="00ED48A3">
            <w:pPr>
              <w:pStyle w:val="EMEANormal"/>
              <w:keepNext/>
              <w:rPr>
                <w:del w:id="5090" w:author="AbbVie1" w:date="2025-05-13T09:50:00Z"/>
                <w:szCs w:val="22"/>
                <w:lang w:val="cs-CZ"/>
              </w:rPr>
            </w:pPr>
            <w:del w:id="5091" w:author="AbbVie1" w:date="2025-05-13T09:50:00Z">
              <w:r w:rsidRPr="001B4A02">
                <w:rPr>
                  <w:szCs w:val="22"/>
                  <w:lang w:val="cs-CZ"/>
                </w:rPr>
                <w:delText>pruritus</w:delText>
              </w:r>
            </w:del>
          </w:p>
          <w:p w14:paraId="7FF5EF6C" w14:textId="77777777" w:rsidR="006855DE" w:rsidRPr="001B4A02" w:rsidRDefault="006855DE" w:rsidP="00ED48A3">
            <w:pPr>
              <w:pStyle w:val="EMEANormal"/>
              <w:keepNext/>
              <w:rPr>
                <w:del w:id="5092" w:author="AbbVie1" w:date="2025-05-13T09:50:00Z"/>
                <w:szCs w:val="22"/>
                <w:lang w:val="cs-CZ"/>
              </w:rPr>
            </w:pPr>
          </w:p>
        </w:tc>
      </w:tr>
      <w:tr w:rsidR="00534A2D" w14:paraId="5405238E" w14:textId="77777777" w:rsidTr="00E501B6">
        <w:trPr>
          <w:cantSplit/>
          <w:trHeight w:val="132"/>
          <w:jc w:val="center"/>
          <w:del w:id="5093" w:author="AbbVie1" w:date="2025-05-13T09:50:00Z"/>
        </w:trPr>
        <w:tc>
          <w:tcPr>
            <w:tcW w:w="0" w:type="auto"/>
            <w:vMerge/>
            <w:tcBorders>
              <w:left w:val="single" w:sz="4" w:space="0" w:color="auto"/>
              <w:right w:val="single" w:sz="4" w:space="0" w:color="auto"/>
            </w:tcBorders>
            <w:vAlign w:val="center"/>
          </w:tcPr>
          <w:p w14:paraId="26065FF3" w14:textId="77777777" w:rsidR="006855DE" w:rsidRPr="001B4A02" w:rsidRDefault="006855DE" w:rsidP="00ED48A3">
            <w:pPr>
              <w:ind w:left="0" w:firstLine="0"/>
              <w:rPr>
                <w:del w:id="5094"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5D9BAB2B" w14:textId="77777777" w:rsidR="006855DE" w:rsidRPr="001B4A02" w:rsidRDefault="00000000" w:rsidP="00ED48A3">
            <w:pPr>
              <w:pStyle w:val="EMEANormal"/>
              <w:rPr>
                <w:del w:id="5095" w:author="AbbVie1" w:date="2025-05-13T09:50:00Z"/>
                <w:szCs w:val="22"/>
                <w:lang w:val="cs-CZ"/>
              </w:rPr>
            </w:pPr>
            <w:del w:id="5096"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38026BCF" w14:textId="77777777" w:rsidR="006855DE" w:rsidRPr="001B4A02" w:rsidRDefault="00000000" w:rsidP="00ED48A3">
            <w:pPr>
              <w:pStyle w:val="EMEANormal"/>
              <w:rPr>
                <w:del w:id="5097" w:author="AbbVie1" w:date="2025-05-13T09:50:00Z"/>
                <w:szCs w:val="22"/>
                <w:lang w:val="cs-CZ"/>
              </w:rPr>
            </w:pPr>
            <w:del w:id="5098" w:author="AbbVie1" w:date="2025-05-13T09:50:00Z">
              <w:r w:rsidRPr="001B4A02">
                <w:rPr>
                  <w:szCs w:val="22"/>
                  <w:lang w:val="cs-CZ"/>
                </w:rPr>
                <w:delText>Noční pocení,</w:delText>
              </w:r>
            </w:del>
          </w:p>
          <w:p w14:paraId="4FEEC036" w14:textId="77777777" w:rsidR="006855DE" w:rsidRPr="001B4A02" w:rsidRDefault="00000000" w:rsidP="00ED48A3">
            <w:pPr>
              <w:pStyle w:val="EMEANormal"/>
              <w:rPr>
                <w:del w:id="5099" w:author="AbbVie1" w:date="2025-05-13T09:50:00Z"/>
                <w:szCs w:val="22"/>
                <w:lang w:val="cs-CZ"/>
              </w:rPr>
            </w:pPr>
            <w:del w:id="5100" w:author="AbbVie1" w:date="2025-05-13T09:50:00Z">
              <w:r w:rsidRPr="001B4A02">
                <w:rPr>
                  <w:szCs w:val="22"/>
                  <w:lang w:val="cs-CZ"/>
                </w:rPr>
                <w:delText>zjizvení</w:delText>
              </w:r>
            </w:del>
          </w:p>
          <w:p w14:paraId="1550B38F" w14:textId="77777777" w:rsidR="006855DE" w:rsidRPr="001B4A02" w:rsidRDefault="006855DE" w:rsidP="00ED48A3">
            <w:pPr>
              <w:pStyle w:val="EMEANormal"/>
              <w:rPr>
                <w:del w:id="5101" w:author="AbbVie1" w:date="2025-05-13T09:50:00Z"/>
                <w:szCs w:val="22"/>
                <w:lang w:val="cs-CZ"/>
              </w:rPr>
            </w:pPr>
          </w:p>
        </w:tc>
      </w:tr>
      <w:tr w:rsidR="00534A2D" w14:paraId="7D43DF25" w14:textId="77777777" w:rsidTr="00E501B6">
        <w:trPr>
          <w:cantSplit/>
          <w:trHeight w:val="132"/>
          <w:jc w:val="center"/>
          <w:del w:id="5102" w:author="AbbVie1" w:date="2025-05-13T09:50:00Z"/>
        </w:trPr>
        <w:tc>
          <w:tcPr>
            <w:tcW w:w="0" w:type="auto"/>
            <w:vMerge/>
            <w:tcBorders>
              <w:left w:val="single" w:sz="4" w:space="0" w:color="auto"/>
              <w:right w:val="single" w:sz="4" w:space="0" w:color="auto"/>
            </w:tcBorders>
            <w:vAlign w:val="center"/>
          </w:tcPr>
          <w:p w14:paraId="6431D7AC" w14:textId="77777777" w:rsidR="006855DE" w:rsidRPr="001B4A02" w:rsidRDefault="006855DE" w:rsidP="00ED48A3">
            <w:pPr>
              <w:ind w:left="0" w:firstLine="0"/>
              <w:rPr>
                <w:del w:id="5103"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672BE090" w14:textId="77777777" w:rsidR="006855DE" w:rsidRPr="001B4A02" w:rsidRDefault="00000000" w:rsidP="006855DE">
            <w:pPr>
              <w:pStyle w:val="EMEANormal"/>
              <w:rPr>
                <w:del w:id="5104" w:author="AbbVie1" w:date="2025-05-13T09:50:00Z"/>
                <w:szCs w:val="22"/>
                <w:lang w:val="cs-CZ"/>
              </w:rPr>
            </w:pPr>
            <w:del w:id="5105"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tcPr>
          <w:p w14:paraId="1952D08D" w14:textId="77777777" w:rsidR="006855DE" w:rsidRPr="001B4A02" w:rsidRDefault="00000000" w:rsidP="00ED48A3">
            <w:pPr>
              <w:pStyle w:val="EMEANormal"/>
              <w:rPr>
                <w:del w:id="5106" w:author="AbbVie1" w:date="2025-05-13T09:50:00Z"/>
                <w:lang w:val="cs-CZ"/>
              </w:rPr>
            </w:pPr>
            <w:del w:id="5107" w:author="AbbVie1" w:date="2025-05-13T09:50:00Z">
              <w:r w:rsidRPr="001B4A02">
                <w:rPr>
                  <w:lang w:val="cs-CZ"/>
                </w:rPr>
                <w:delText>Erythema multiforme</w:delText>
              </w:r>
              <w:r w:rsidRPr="001B4A02">
                <w:rPr>
                  <w:szCs w:val="22"/>
                  <w:vertAlign w:val="superscript"/>
                  <w:lang w:val="cs-CZ"/>
                </w:rPr>
                <w:delText>1)</w:delText>
              </w:r>
              <w:r w:rsidRPr="001B4A02">
                <w:rPr>
                  <w:lang w:val="cs-CZ"/>
                </w:rPr>
                <w:delText>,</w:delText>
              </w:r>
            </w:del>
          </w:p>
          <w:p w14:paraId="19177BB4" w14:textId="77777777" w:rsidR="006855DE" w:rsidRPr="001B4A02" w:rsidRDefault="00000000" w:rsidP="00ED48A3">
            <w:pPr>
              <w:pStyle w:val="EMEANormal"/>
              <w:rPr>
                <w:del w:id="5108" w:author="AbbVie1" w:date="2025-05-13T09:50:00Z"/>
                <w:lang w:val="cs-CZ"/>
              </w:rPr>
            </w:pPr>
            <w:del w:id="5109" w:author="AbbVie1" w:date="2025-05-13T09:50:00Z">
              <w:r w:rsidRPr="001B4A02">
                <w:rPr>
                  <w:lang w:val="cs-CZ"/>
                </w:rPr>
                <w:delText>Stevens</w:delText>
              </w:r>
              <w:r>
                <w:rPr>
                  <w:lang w:val="cs-CZ"/>
                </w:rPr>
                <w:delText>ův</w:delText>
              </w:r>
              <w:r w:rsidRPr="001B4A02">
                <w:rPr>
                  <w:lang w:val="cs-CZ"/>
                </w:rPr>
                <w:delText>-Johnsonův syndrom</w:delText>
              </w:r>
              <w:r w:rsidRPr="001B4A02">
                <w:rPr>
                  <w:szCs w:val="22"/>
                  <w:vertAlign w:val="superscript"/>
                  <w:lang w:val="cs-CZ"/>
                </w:rPr>
                <w:delText>1)</w:delText>
              </w:r>
              <w:r w:rsidRPr="001B4A02">
                <w:rPr>
                  <w:lang w:val="cs-CZ"/>
                </w:rPr>
                <w:delText>,</w:delText>
              </w:r>
            </w:del>
          </w:p>
          <w:p w14:paraId="34F170FF" w14:textId="77777777" w:rsidR="006855DE" w:rsidRPr="001B4A02" w:rsidRDefault="00000000" w:rsidP="00ED48A3">
            <w:pPr>
              <w:pStyle w:val="EMEANormal"/>
              <w:rPr>
                <w:del w:id="5110" w:author="AbbVie1" w:date="2025-05-13T09:50:00Z"/>
                <w:lang w:val="cs-CZ"/>
              </w:rPr>
            </w:pPr>
            <w:del w:id="5111" w:author="AbbVie1" w:date="2025-05-13T09:50:00Z">
              <w:r w:rsidRPr="001B4A02">
                <w:rPr>
                  <w:lang w:val="cs-CZ"/>
                </w:rPr>
                <w:delText>angioedém</w:delText>
              </w:r>
              <w:r w:rsidRPr="001B4A02">
                <w:rPr>
                  <w:szCs w:val="22"/>
                  <w:vertAlign w:val="superscript"/>
                  <w:lang w:val="cs-CZ"/>
                </w:rPr>
                <w:delText>1)</w:delText>
              </w:r>
              <w:r w:rsidRPr="001B4A02">
                <w:rPr>
                  <w:lang w:val="cs-CZ"/>
                </w:rPr>
                <w:delText>,</w:delText>
              </w:r>
            </w:del>
          </w:p>
          <w:p w14:paraId="2D88C0DA" w14:textId="77777777" w:rsidR="006855DE" w:rsidRPr="00AA3D24" w:rsidRDefault="00000000" w:rsidP="00ED48A3">
            <w:pPr>
              <w:pStyle w:val="EMEANormal"/>
              <w:rPr>
                <w:del w:id="5112" w:author="AbbVie1" w:date="2025-05-13T09:50:00Z"/>
                <w:szCs w:val="22"/>
                <w:lang w:val="cs-CZ"/>
              </w:rPr>
            </w:pPr>
            <w:del w:id="5113" w:author="AbbVie1" w:date="2025-05-13T09:50:00Z">
              <w:r w:rsidRPr="001B4A02">
                <w:rPr>
                  <w:szCs w:val="22"/>
                  <w:lang w:val="cs-CZ"/>
                </w:rPr>
                <w:delText>kožní vaskulitida</w:delText>
              </w:r>
              <w:r w:rsidRPr="001B4A02">
                <w:rPr>
                  <w:szCs w:val="22"/>
                  <w:vertAlign w:val="superscript"/>
                  <w:lang w:val="cs-CZ"/>
                </w:rPr>
                <w:delText>1)</w:delText>
              </w:r>
              <w:r>
                <w:rPr>
                  <w:szCs w:val="22"/>
                  <w:lang w:val="cs-CZ"/>
                </w:rPr>
                <w:delText>,</w:delText>
              </w:r>
            </w:del>
          </w:p>
          <w:p w14:paraId="725B3958" w14:textId="77777777" w:rsidR="006855DE" w:rsidRDefault="00000000" w:rsidP="00CA3763">
            <w:pPr>
              <w:pStyle w:val="EMEANormal"/>
              <w:rPr>
                <w:del w:id="5114" w:author="AbbVie1" w:date="2025-05-13T09:50:00Z"/>
                <w:szCs w:val="22"/>
                <w:lang w:val="cs-CZ"/>
              </w:rPr>
            </w:pPr>
            <w:del w:id="5115" w:author="AbbVie1" w:date="2025-05-13T09:50:00Z">
              <w:r>
                <w:rPr>
                  <w:szCs w:val="22"/>
                  <w:lang w:val="cs-CZ"/>
                </w:rPr>
                <w:delText>lichenoidní kožní reakce</w:delText>
              </w:r>
              <w:r w:rsidRPr="001B4A02">
                <w:rPr>
                  <w:szCs w:val="22"/>
                  <w:vertAlign w:val="superscript"/>
                  <w:lang w:val="cs-CZ"/>
                </w:rPr>
                <w:delText>1</w:delText>
              </w:r>
              <w:r>
                <w:rPr>
                  <w:szCs w:val="22"/>
                  <w:vertAlign w:val="superscript"/>
                  <w:lang w:val="cs-CZ"/>
                </w:rPr>
                <w:delText>)</w:delText>
              </w:r>
            </w:del>
          </w:p>
          <w:p w14:paraId="30B3D01E" w14:textId="77777777" w:rsidR="006855DE" w:rsidRPr="001B4A02" w:rsidRDefault="006855DE" w:rsidP="00ED48A3">
            <w:pPr>
              <w:pStyle w:val="EMEANormal"/>
              <w:rPr>
                <w:del w:id="5116" w:author="AbbVie1" w:date="2025-05-13T09:50:00Z"/>
                <w:szCs w:val="22"/>
                <w:lang w:val="cs-CZ"/>
              </w:rPr>
            </w:pPr>
          </w:p>
        </w:tc>
      </w:tr>
      <w:tr w:rsidR="00534A2D" w14:paraId="3512645C" w14:textId="77777777" w:rsidTr="00336B48">
        <w:trPr>
          <w:cantSplit/>
          <w:trHeight w:val="132"/>
          <w:jc w:val="center"/>
          <w:del w:id="5117" w:author="AbbVie1" w:date="2025-05-13T09:50:00Z"/>
        </w:trPr>
        <w:tc>
          <w:tcPr>
            <w:tcW w:w="0" w:type="auto"/>
            <w:vMerge/>
            <w:tcBorders>
              <w:left w:val="single" w:sz="4" w:space="0" w:color="auto"/>
              <w:bottom w:val="single" w:sz="4" w:space="0" w:color="auto"/>
              <w:right w:val="single" w:sz="4" w:space="0" w:color="auto"/>
            </w:tcBorders>
            <w:vAlign w:val="center"/>
          </w:tcPr>
          <w:p w14:paraId="2FD47CE3" w14:textId="77777777" w:rsidR="006855DE" w:rsidRPr="001B4A02" w:rsidRDefault="006855DE" w:rsidP="00ED48A3">
            <w:pPr>
              <w:ind w:left="0" w:firstLine="0"/>
              <w:rPr>
                <w:del w:id="5118"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05C7E06B" w14:textId="77777777" w:rsidR="006855DE" w:rsidRPr="001B4A02" w:rsidRDefault="00000000" w:rsidP="00ED48A3">
            <w:pPr>
              <w:pStyle w:val="EMEANormal"/>
              <w:rPr>
                <w:del w:id="5119" w:author="AbbVie1" w:date="2025-05-13T09:50:00Z"/>
                <w:szCs w:val="22"/>
                <w:lang w:val="cs-CZ"/>
              </w:rPr>
            </w:pPr>
            <w:del w:id="5120" w:author="AbbVie1" w:date="2025-05-13T09:50:00Z">
              <w:r w:rsidRPr="001B4A02">
                <w:rPr>
                  <w:szCs w:val="22"/>
                  <w:lang w:val="cs-CZ"/>
                </w:rPr>
                <w:delText>Není známo</w:delText>
              </w:r>
            </w:del>
          </w:p>
        </w:tc>
        <w:tc>
          <w:tcPr>
            <w:tcW w:w="4689" w:type="dxa"/>
            <w:tcBorders>
              <w:top w:val="single" w:sz="4" w:space="0" w:color="auto"/>
              <w:left w:val="single" w:sz="4" w:space="0" w:color="auto"/>
              <w:bottom w:val="single" w:sz="4" w:space="0" w:color="auto"/>
              <w:right w:val="single" w:sz="4" w:space="0" w:color="auto"/>
            </w:tcBorders>
          </w:tcPr>
          <w:p w14:paraId="5FF91514" w14:textId="77777777" w:rsidR="006855DE" w:rsidRPr="001B4A02" w:rsidRDefault="00000000" w:rsidP="006855DE">
            <w:pPr>
              <w:pStyle w:val="EMEANormal"/>
              <w:rPr>
                <w:del w:id="5121" w:author="AbbVie1" w:date="2025-05-13T09:50:00Z"/>
                <w:szCs w:val="22"/>
                <w:lang w:val="cs-CZ"/>
              </w:rPr>
            </w:pPr>
            <w:del w:id="5122" w:author="AbbVie1" w:date="2025-05-13T09:50:00Z">
              <w:r w:rsidRPr="001B4A02">
                <w:rPr>
                  <w:szCs w:val="22"/>
                  <w:lang w:val="cs-CZ"/>
                </w:rPr>
                <w:delText>Zhoršení příznaků dermatomyozitidy</w:delText>
              </w:r>
              <w:r w:rsidRPr="001B4A02">
                <w:rPr>
                  <w:szCs w:val="22"/>
                  <w:vertAlign w:val="superscript"/>
                  <w:lang w:val="cs-CZ"/>
                </w:rPr>
                <w:delText>1)</w:delText>
              </w:r>
            </w:del>
          </w:p>
          <w:p w14:paraId="71AA808C" w14:textId="77777777" w:rsidR="006855DE" w:rsidRPr="001B4A02" w:rsidRDefault="006855DE" w:rsidP="006855DE">
            <w:pPr>
              <w:pStyle w:val="EMEANormal"/>
              <w:rPr>
                <w:del w:id="5123" w:author="AbbVie1" w:date="2025-05-13T09:50:00Z"/>
                <w:lang w:val="cs-CZ"/>
              </w:rPr>
            </w:pPr>
          </w:p>
        </w:tc>
      </w:tr>
      <w:tr w:rsidR="00534A2D" w14:paraId="15AE722B" w14:textId="77777777" w:rsidTr="00E501B6">
        <w:trPr>
          <w:cantSplit/>
          <w:trHeight w:val="86"/>
          <w:jc w:val="center"/>
          <w:del w:id="5124" w:author="AbbVie1" w:date="2025-05-13T09:50:00Z"/>
        </w:trPr>
        <w:tc>
          <w:tcPr>
            <w:tcW w:w="2880" w:type="dxa"/>
            <w:vMerge w:val="restart"/>
            <w:tcBorders>
              <w:top w:val="single" w:sz="4" w:space="0" w:color="auto"/>
              <w:left w:val="single" w:sz="4" w:space="0" w:color="auto"/>
              <w:bottom w:val="single" w:sz="4" w:space="0" w:color="auto"/>
              <w:right w:val="single" w:sz="4" w:space="0" w:color="auto"/>
            </w:tcBorders>
          </w:tcPr>
          <w:p w14:paraId="1DA0EDAC" w14:textId="77777777" w:rsidR="0036522D" w:rsidRPr="001B4A02" w:rsidRDefault="00000000" w:rsidP="00ED48A3">
            <w:pPr>
              <w:tabs>
                <w:tab w:val="left" w:pos="0"/>
              </w:tabs>
              <w:ind w:left="0" w:firstLine="0"/>
              <w:rPr>
                <w:del w:id="5125" w:author="AbbVie1" w:date="2025-05-13T09:50:00Z"/>
                <w:szCs w:val="22"/>
              </w:rPr>
            </w:pPr>
            <w:del w:id="5126" w:author="AbbVie1" w:date="2025-05-13T09:50:00Z">
              <w:r w:rsidRPr="001B4A02">
                <w:rPr>
                  <w:szCs w:val="22"/>
                </w:rPr>
                <w:delText xml:space="preserve">Poruchy </w:delText>
              </w:r>
              <w:r w:rsidR="007C35FF" w:rsidRPr="001B4A02">
                <w:rPr>
                  <w:szCs w:val="22"/>
                </w:rPr>
                <w:delText>svalové</w:delText>
              </w:r>
              <w:r w:rsidR="002378E0">
                <w:rPr>
                  <w:szCs w:val="22"/>
                </w:rPr>
                <w:delText xml:space="preserve"> a </w:delText>
              </w:r>
              <w:r w:rsidR="007C35FF" w:rsidRPr="001B4A02">
                <w:rPr>
                  <w:szCs w:val="22"/>
                </w:rPr>
                <w:delText>kosterní soustavy</w:delText>
              </w:r>
              <w:r w:rsidR="002378E0">
                <w:rPr>
                  <w:szCs w:val="22"/>
                </w:rPr>
                <w:delText xml:space="preserve"> a </w:delText>
              </w:r>
              <w:r w:rsidRPr="001B4A02">
                <w:rPr>
                  <w:szCs w:val="22"/>
                </w:rPr>
                <w:delText>pojivové tkáně</w:delText>
              </w:r>
            </w:del>
          </w:p>
        </w:tc>
        <w:tc>
          <w:tcPr>
            <w:tcW w:w="1440" w:type="dxa"/>
            <w:tcBorders>
              <w:top w:val="single" w:sz="4" w:space="0" w:color="auto"/>
              <w:left w:val="single" w:sz="4" w:space="0" w:color="auto"/>
              <w:bottom w:val="single" w:sz="4" w:space="0" w:color="auto"/>
              <w:right w:val="single" w:sz="4" w:space="0" w:color="auto"/>
            </w:tcBorders>
          </w:tcPr>
          <w:p w14:paraId="41CAA791" w14:textId="77777777" w:rsidR="0036522D" w:rsidRPr="001B4A02" w:rsidRDefault="00000000" w:rsidP="00ED48A3">
            <w:pPr>
              <w:pStyle w:val="EMEANormal"/>
              <w:rPr>
                <w:del w:id="5127" w:author="AbbVie1" w:date="2025-05-13T09:50:00Z"/>
                <w:szCs w:val="22"/>
                <w:lang w:val="cs-CZ"/>
              </w:rPr>
            </w:pPr>
            <w:del w:id="5128"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tcPr>
          <w:p w14:paraId="168B357A" w14:textId="77777777" w:rsidR="0036522D" w:rsidRPr="001B4A02" w:rsidRDefault="00000000" w:rsidP="00ED48A3">
            <w:pPr>
              <w:pStyle w:val="EMEANormal"/>
              <w:tabs>
                <w:tab w:val="clear" w:pos="562"/>
                <w:tab w:val="left" w:pos="708"/>
              </w:tabs>
              <w:suppressAutoHyphens w:val="0"/>
              <w:rPr>
                <w:del w:id="5129" w:author="AbbVie1" w:date="2025-05-13T09:50:00Z"/>
                <w:lang w:val="cs-CZ"/>
              </w:rPr>
            </w:pPr>
            <w:del w:id="5130" w:author="AbbVie1" w:date="2025-05-13T09:50:00Z">
              <w:r w:rsidRPr="001B4A02">
                <w:rPr>
                  <w:lang w:val="cs-CZ"/>
                </w:rPr>
                <w:delText>Muskuloskeletá</w:delText>
              </w:r>
              <w:r w:rsidR="00153468" w:rsidRPr="001B4A02">
                <w:rPr>
                  <w:lang w:val="cs-CZ"/>
                </w:rPr>
                <w:delText>l</w:delText>
              </w:r>
              <w:r w:rsidRPr="001B4A02">
                <w:rPr>
                  <w:lang w:val="cs-CZ"/>
                </w:rPr>
                <w:delText>ní bolest</w:delText>
              </w:r>
            </w:del>
          </w:p>
          <w:p w14:paraId="758F4DF4" w14:textId="77777777" w:rsidR="0036522D" w:rsidRPr="001B4A02" w:rsidRDefault="0036522D" w:rsidP="00ED48A3">
            <w:pPr>
              <w:pStyle w:val="EMEANormal"/>
              <w:tabs>
                <w:tab w:val="clear" w:pos="562"/>
                <w:tab w:val="left" w:pos="708"/>
              </w:tabs>
              <w:suppressAutoHyphens w:val="0"/>
              <w:rPr>
                <w:del w:id="5131" w:author="AbbVie1" w:date="2025-05-13T09:50:00Z"/>
                <w:lang w:val="cs-CZ"/>
              </w:rPr>
            </w:pPr>
          </w:p>
        </w:tc>
      </w:tr>
      <w:tr w:rsidR="00534A2D" w14:paraId="4E6272E8" w14:textId="77777777" w:rsidTr="00E501B6">
        <w:trPr>
          <w:cantSplit/>
          <w:trHeight w:val="84"/>
          <w:jc w:val="center"/>
          <w:del w:id="5132"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605E9E15" w14:textId="77777777" w:rsidR="0036522D" w:rsidRPr="001B4A02" w:rsidRDefault="0036522D" w:rsidP="00ED48A3">
            <w:pPr>
              <w:ind w:left="0" w:firstLine="0"/>
              <w:rPr>
                <w:del w:id="5133"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28E369E4" w14:textId="77777777" w:rsidR="0036522D" w:rsidRPr="001B4A02" w:rsidRDefault="00000000" w:rsidP="00ED48A3">
            <w:pPr>
              <w:pStyle w:val="EMEANormal"/>
              <w:rPr>
                <w:del w:id="5134" w:author="AbbVie1" w:date="2025-05-13T09:50:00Z"/>
                <w:szCs w:val="22"/>
                <w:lang w:val="cs-CZ"/>
              </w:rPr>
            </w:pPr>
            <w:del w:id="5135"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376216A3" w14:textId="77777777" w:rsidR="0036522D" w:rsidRPr="001B4A02" w:rsidRDefault="00000000" w:rsidP="00ED48A3">
            <w:pPr>
              <w:pStyle w:val="EMEANormal"/>
              <w:tabs>
                <w:tab w:val="clear" w:pos="562"/>
                <w:tab w:val="left" w:pos="708"/>
              </w:tabs>
              <w:suppressAutoHyphens w:val="0"/>
              <w:rPr>
                <w:del w:id="5136" w:author="AbbVie1" w:date="2025-05-13T09:50:00Z"/>
                <w:lang w:val="cs-CZ"/>
              </w:rPr>
            </w:pPr>
            <w:del w:id="5137" w:author="AbbVie1" w:date="2025-05-13T09:50:00Z">
              <w:r w:rsidRPr="001B4A02">
                <w:rPr>
                  <w:lang w:val="cs-CZ"/>
                </w:rPr>
                <w:delText>Svalové spasmy (včetně zvýšení kreatinfosfokinázy v krvi)</w:delText>
              </w:r>
            </w:del>
          </w:p>
          <w:p w14:paraId="490B37A4" w14:textId="77777777" w:rsidR="0036522D" w:rsidRPr="001B4A02" w:rsidRDefault="0036522D" w:rsidP="00ED48A3">
            <w:pPr>
              <w:pStyle w:val="EMEANormal"/>
              <w:tabs>
                <w:tab w:val="clear" w:pos="562"/>
                <w:tab w:val="left" w:pos="708"/>
              </w:tabs>
              <w:suppressAutoHyphens w:val="0"/>
              <w:rPr>
                <w:del w:id="5138" w:author="AbbVie1" w:date="2025-05-13T09:50:00Z"/>
                <w:lang w:val="cs-CZ"/>
              </w:rPr>
            </w:pPr>
          </w:p>
        </w:tc>
      </w:tr>
      <w:tr w:rsidR="00534A2D" w14:paraId="1B364052" w14:textId="77777777" w:rsidTr="00E501B6">
        <w:trPr>
          <w:cantSplit/>
          <w:trHeight w:val="84"/>
          <w:jc w:val="center"/>
          <w:del w:id="5139"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31DF1070" w14:textId="77777777" w:rsidR="0036522D" w:rsidRPr="001B4A02" w:rsidRDefault="0036522D" w:rsidP="00ED48A3">
            <w:pPr>
              <w:ind w:left="0" w:firstLine="0"/>
              <w:rPr>
                <w:del w:id="5140"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55867094" w14:textId="77777777" w:rsidR="0036522D" w:rsidRPr="001B4A02" w:rsidRDefault="00000000" w:rsidP="00ED48A3">
            <w:pPr>
              <w:pStyle w:val="EMEANormal"/>
              <w:rPr>
                <w:del w:id="5141" w:author="AbbVie1" w:date="2025-05-13T09:50:00Z"/>
                <w:szCs w:val="22"/>
                <w:lang w:val="cs-CZ"/>
              </w:rPr>
            </w:pPr>
            <w:del w:id="5142"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2199BA14" w14:textId="77777777" w:rsidR="0036522D" w:rsidRPr="001B4A02" w:rsidRDefault="00000000" w:rsidP="00ED48A3">
            <w:pPr>
              <w:pStyle w:val="EMEANormal"/>
              <w:tabs>
                <w:tab w:val="clear" w:pos="562"/>
                <w:tab w:val="left" w:pos="708"/>
              </w:tabs>
              <w:suppressAutoHyphens w:val="0"/>
              <w:rPr>
                <w:del w:id="5143" w:author="AbbVie1" w:date="2025-05-13T09:50:00Z"/>
                <w:lang w:val="cs-CZ"/>
              </w:rPr>
            </w:pPr>
            <w:del w:id="5144" w:author="AbbVie1" w:date="2025-05-13T09:50:00Z">
              <w:r w:rsidRPr="001B4A02">
                <w:rPr>
                  <w:lang w:val="cs-CZ"/>
                </w:rPr>
                <w:delText>Rhabdomyolýza,</w:delText>
              </w:r>
            </w:del>
          </w:p>
          <w:p w14:paraId="218462B7" w14:textId="77777777" w:rsidR="00617C2D" w:rsidRPr="001B4A02" w:rsidRDefault="00000000" w:rsidP="00ED48A3">
            <w:pPr>
              <w:pStyle w:val="EMEANormal"/>
              <w:tabs>
                <w:tab w:val="clear" w:pos="562"/>
                <w:tab w:val="left" w:pos="708"/>
              </w:tabs>
              <w:suppressAutoHyphens w:val="0"/>
              <w:rPr>
                <w:del w:id="5145" w:author="AbbVie1" w:date="2025-05-13T09:50:00Z"/>
                <w:lang w:val="cs-CZ"/>
              </w:rPr>
            </w:pPr>
            <w:del w:id="5146" w:author="AbbVie1" w:date="2025-05-13T09:50:00Z">
              <w:r w:rsidRPr="001B4A02">
                <w:rPr>
                  <w:lang w:val="cs-CZ"/>
                </w:rPr>
                <w:delText>systémový lupus eryt</w:delText>
              </w:r>
              <w:r w:rsidR="00936E7B">
                <w:rPr>
                  <w:lang w:val="cs-CZ"/>
                </w:rPr>
                <w:delText>h</w:delText>
              </w:r>
              <w:r w:rsidR="00936E7B" w:rsidRPr="001B4A02">
                <w:rPr>
                  <w:lang w:val="cs-CZ"/>
                </w:rPr>
                <w:delText>emato</w:delText>
              </w:r>
              <w:r w:rsidR="00936E7B">
                <w:rPr>
                  <w:lang w:val="cs-CZ"/>
                </w:rPr>
                <w:delText>des</w:delText>
              </w:r>
            </w:del>
          </w:p>
          <w:p w14:paraId="6ECBCAF6" w14:textId="77777777" w:rsidR="0036522D" w:rsidRPr="001B4A02" w:rsidRDefault="0036522D" w:rsidP="00ED48A3">
            <w:pPr>
              <w:pStyle w:val="EMEANormal"/>
              <w:tabs>
                <w:tab w:val="clear" w:pos="562"/>
                <w:tab w:val="left" w:pos="708"/>
              </w:tabs>
              <w:suppressAutoHyphens w:val="0"/>
              <w:rPr>
                <w:del w:id="5147" w:author="AbbVie1" w:date="2025-05-13T09:50:00Z"/>
                <w:lang w:val="cs-CZ"/>
              </w:rPr>
            </w:pPr>
          </w:p>
        </w:tc>
      </w:tr>
      <w:tr w:rsidR="00534A2D" w14:paraId="071F7B9B" w14:textId="77777777" w:rsidTr="00E501B6">
        <w:trPr>
          <w:cantSplit/>
          <w:trHeight w:val="147"/>
          <w:jc w:val="center"/>
          <w:del w:id="5148"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0B4E547F" w14:textId="77777777" w:rsidR="0036522D" w:rsidRPr="001B4A02" w:rsidRDefault="0036522D" w:rsidP="00ED48A3">
            <w:pPr>
              <w:ind w:left="0" w:firstLine="0"/>
              <w:rPr>
                <w:del w:id="5149"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570C4348" w14:textId="77777777" w:rsidR="0036522D" w:rsidRPr="001B4A02" w:rsidRDefault="00000000" w:rsidP="00ED48A3">
            <w:pPr>
              <w:pStyle w:val="EMEANormal"/>
              <w:rPr>
                <w:del w:id="5150" w:author="AbbVie1" w:date="2025-05-13T09:50:00Z"/>
                <w:szCs w:val="22"/>
                <w:lang w:val="cs-CZ"/>
              </w:rPr>
            </w:pPr>
            <w:del w:id="5151" w:author="AbbVie1" w:date="2025-05-13T09:50:00Z">
              <w:r w:rsidRPr="001B4A02">
                <w:rPr>
                  <w:szCs w:val="22"/>
                  <w:lang w:val="cs-CZ"/>
                </w:rPr>
                <w:delText>Vzácné</w:delText>
              </w:r>
            </w:del>
          </w:p>
        </w:tc>
        <w:tc>
          <w:tcPr>
            <w:tcW w:w="4689" w:type="dxa"/>
            <w:tcBorders>
              <w:top w:val="single" w:sz="4" w:space="0" w:color="auto"/>
              <w:left w:val="single" w:sz="4" w:space="0" w:color="auto"/>
              <w:bottom w:val="single" w:sz="4" w:space="0" w:color="auto"/>
              <w:right w:val="single" w:sz="4" w:space="0" w:color="auto"/>
            </w:tcBorders>
          </w:tcPr>
          <w:p w14:paraId="0C7E1560" w14:textId="77777777" w:rsidR="0036522D" w:rsidRPr="001B4A02" w:rsidRDefault="00000000" w:rsidP="00ED48A3">
            <w:pPr>
              <w:pStyle w:val="EMEANormal"/>
              <w:tabs>
                <w:tab w:val="clear" w:pos="562"/>
                <w:tab w:val="left" w:pos="708"/>
              </w:tabs>
              <w:suppressAutoHyphens w:val="0"/>
              <w:rPr>
                <w:del w:id="5152" w:author="AbbVie1" w:date="2025-05-13T09:50:00Z"/>
                <w:lang w:val="cs-CZ"/>
              </w:rPr>
            </w:pPr>
            <w:del w:id="5153" w:author="AbbVie1" w:date="2025-05-13T09:50:00Z">
              <w:r w:rsidRPr="001B4A02">
                <w:rPr>
                  <w:lang w:val="cs-CZ"/>
                </w:rPr>
                <w:delText>L</w:delText>
              </w:r>
              <w:r w:rsidR="00E43CB4" w:rsidRPr="001B4A02">
                <w:rPr>
                  <w:lang w:val="cs-CZ"/>
                </w:rPr>
                <w:delText>upus-like syndrom</w:delText>
              </w:r>
              <w:r w:rsidR="00E43CB4" w:rsidRPr="001B4A02">
                <w:rPr>
                  <w:szCs w:val="22"/>
                  <w:vertAlign w:val="superscript"/>
                  <w:lang w:val="cs-CZ"/>
                </w:rPr>
                <w:delText>1)</w:delText>
              </w:r>
            </w:del>
          </w:p>
          <w:p w14:paraId="5C06ACC9" w14:textId="77777777" w:rsidR="0036522D" w:rsidRPr="001B4A02" w:rsidRDefault="0036522D" w:rsidP="00ED48A3">
            <w:pPr>
              <w:pStyle w:val="EMEANormal"/>
              <w:tabs>
                <w:tab w:val="clear" w:pos="562"/>
                <w:tab w:val="left" w:pos="708"/>
              </w:tabs>
              <w:suppressAutoHyphens w:val="0"/>
              <w:rPr>
                <w:del w:id="5154" w:author="AbbVie1" w:date="2025-05-13T09:50:00Z"/>
                <w:lang w:val="cs-CZ"/>
              </w:rPr>
            </w:pPr>
          </w:p>
        </w:tc>
      </w:tr>
      <w:tr w:rsidR="00534A2D" w14:paraId="386FBFA2" w14:textId="77777777" w:rsidTr="00E501B6">
        <w:trPr>
          <w:cantSplit/>
          <w:trHeight w:val="392"/>
          <w:jc w:val="center"/>
          <w:del w:id="5155" w:author="AbbVie1" w:date="2025-05-13T09:50:00Z"/>
        </w:trPr>
        <w:tc>
          <w:tcPr>
            <w:tcW w:w="2880" w:type="dxa"/>
            <w:vMerge w:val="restart"/>
            <w:tcBorders>
              <w:top w:val="single" w:sz="4" w:space="0" w:color="auto"/>
              <w:left w:val="single" w:sz="4" w:space="0" w:color="auto"/>
              <w:bottom w:val="single" w:sz="4" w:space="0" w:color="auto"/>
              <w:right w:val="single" w:sz="4" w:space="0" w:color="auto"/>
            </w:tcBorders>
          </w:tcPr>
          <w:p w14:paraId="5DD5A1F4" w14:textId="77777777" w:rsidR="0036522D" w:rsidRPr="001B4A02" w:rsidRDefault="00000000" w:rsidP="00ED48A3">
            <w:pPr>
              <w:pStyle w:val="EMEANormal"/>
              <w:tabs>
                <w:tab w:val="left" w:pos="0"/>
              </w:tabs>
              <w:rPr>
                <w:del w:id="5156" w:author="AbbVie1" w:date="2025-05-13T09:50:00Z"/>
                <w:szCs w:val="22"/>
                <w:lang w:val="cs-CZ"/>
              </w:rPr>
            </w:pPr>
            <w:del w:id="5157" w:author="AbbVie1" w:date="2025-05-13T09:50:00Z">
              <w:r w:rsidRPr="001B4A02">
                <w:rPr>
                  <w:szCs w:val="22"/>
                  <w:lang w:val="cs-CZ"/>
                </w:rPr>
                <w:delText>Poruchy ledvin</w:delText>
              </w:r>
              <w:r w:rsidR="002378E0">
                <w:rPr>
                  <w:szCs w:val="22"/>
                  <w:lang w:val="cs-CZ"/>
                </w:rPr>
                <w:delText xml:space="preserve"> a </w:delText>
              </w:r>
              <w:r w:rsidRPr="001B4A02">
                <w:rPr>
                  <w:szCs w:val="22"/>
                  <w:lang w:val="cs-CZ"/>
                </w:rPr>
                <w:delText>močových cest</w:delText>
              </w:r>
            </w:del>
          </w:p>
        </w:tc>
        <w:tc>
          <w:tcPr>
            <w:tcW w:w="1440" w:type="dxa"/>
            <w:tcBorders>
              <w:top w:val="single" w:sz="4" w:space="0" w:color="auto"/>
              <w:left w:val="single" w:sz="4" w:space="0" w:color="auto"/>
              <w:bottom w:val="single" w:sz="4" w:space="0" w:color="auto"/>
              <w:right w:val="single" w:sz="4" w:space="0" w:color="auto"/>
            </w:tcBorders>
          </w:tcPr>
          <w:p w14:paraId="67B2F3C4" w14:textId="77777777" w:rsidR="0036522D" w:rsidRPr="001B4A02" w:rsidRDefault="00000000" w:rsidP="00ED48A3">
            <w:pPr>
              <w:pStyle w:val="EMEANormal"/>
              <w:rPr>
                <w:del w:id="5158" w:author="AbbVie1" w:date="2025-05-13T09:50:00Z"/>
                <w:szCs w:val="22"/>
                <w:lang w:val="cs-CZ"/>
              </w:rPr>
            </w:pPr>
            <w:del w:id="5159"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573E9625" w14:textId="77777777" w:rsidR="0036522D" w:rsidRPr="001B4A02" w:rsidRDefault="00000000" w:rsidP="00ED48A3">
            <w:pPr>
              <w:pStyle w:val="EMEANormal"/>
              <w:rPr>
                <w:del w:id="5160" w:author="AbbVie1" w:date="2025-05-13T09:50:00Z"/>
                <w:szCs w:val="22"/>
                <w:lang w:val="cs-CZ"/>
              </w:rPr>
            </w:pPr>
            <w:del w:id="5161" w:author="AbbVie1" w:date="2025-05-13T09:50:00Z">
              <w:r w:rsidRPr="001B4A02">
                <w:rPr>
                  <w:szCs w:val="22"/>
                  <w:lang w:val="cs-CZ"/>
                </w:rPr>
                <w:delText>Poškození ledvin</w:delText>
              </w:r>
              <w:r w:rsidR="00E43CB4" w:rsidRPr="001B4A02">
                <w:rPr>
                  <w:szCs w:val="22"/>
                  <w:lang w:val="cs-CZ"/>
                </w:rPr>
                <w:delText>,</w:delText>
              </w:r>
            </w:del>
          </w:p>
          <w:p w14:paraId="1712F185" w14:textId="77777777" w:rsidR="00E43CB4" w:rsidRPr="001B4A02" w:rsidRDefault="00000000" w:rsidP="00ED48A3">
            <w:pPr>
              <w:pStyle w:val="EMEANormal"/>
              <w:rPr>
                <w:del w:id="5162" w:author="AbbVie1" w:date="2025-05-13T09:50:00Z"/>
                <w:szCs w:val="22"/>
                <w:lang w:val="cs-CZ"/>
              </w:rPr>
            </w:pPr>
            <w:del w:id="5163" w:author="AbbVie1" w:date="2025-05-13T09:50:00Z">
              <w:r w:rsidRPr="001B4A02">
                <w:rPr>
                  <w:szCs w:val="22"/>
                  <w:lang w:val="cs-CZ"/>
                </w:rPr>
                <w:delText>hematurie</w:delText>
              </w:r>
            </w:del>
          </w:p>
          <w:p w14:paraId="4CC83A41" w14:textId="77777777" w:rsidR="0036522D" w:rsidRPr="001B4A02" w:rsidRDefault="0036522D" w:rsidP="00ED48A3">
            <w:pPr>
              <w:pStyle w:val="EMEANormal"/>
              <w:rPr>
                <w:del w:id="5164" w:author="AbbVie1" w:date="2025-05-13T09:50:00Z"/>
                <w:szCs w:val="22"/>
                <w:lang w:val="cs-CZ"/>
              </w:rPr>
            </w:pPr>
          </w:p>
        </w:tc>
      </w:tr>
      <w:tr w:rsidR="00534A2D" w14:paraId="744261B3" w14:textId="77777777" w:rsidTr="00E501B6">
        <w:trPr>
          <w:cantSplit/>
          <w:trHeight w:val="392"/>
          <w:jc w:val="center"/>
          <w:del w:id="5165"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32177288" w14:textId="77777777" w:rsidR="0036522D" w:rsidRPr="001B4A02" w:rsidRDefault="0036522D" w:rsidP="00ED48A3">
            <w:pPr>
              <w:ind w:left="0" w:firstLine="0"/>
              <w:rPr>
                <w:del w:id="5166"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4891AC97" w14:textId="77777777" w:rsidR="0036522D" w:rsidRPr="001B4A02" w:rsidRDefault="00000000" w:rsidP="00ED48A3">
            <w:pPr>
              <w:pStyle w:val="EMEANormal"/>
              <w:rPr>
                <w:del w:id="5167" w:author="AbbVie1" w:date="2025-05-13T09:50:00Z"/>
                <w:szCs w:val="22"/>
                <w:lang w:val="cs-CZ"/>
              </w:rPr>
            </w:pPr>
            <w:del w:id="5168"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1796E6E3" w14:textId="77777777" w:rsidR="0036522D" w:rsidRPr="001B4A02" w:rsidRDefault="00000000" w:rsidP="00ED48A3">
            <w:pPr>
              <w:pStyle w:val="EMEANormal"/>
              <w:rPr>
                <w:del w:id="5169" w:author="AbbVie1" w:date="2025-05-13T09:50:00Z"/>
                <w:szCs w:val="22"/>
                <w:lang w:val="cs-CZ"/>
              </w:rPr>
            </w:pPr>
            <w:del w:id="5170" w:author="AbbVie1" w:date="2025-05-13T09:50:00Z">
              <w:r w:rsidRPr="001B4A02">
                <w:rPr>
                  <w:szCs w:val="22"/>
                  <w:lang w:val="cs-CZ"/>
                </w:rPr>
                <w:delText>Nykturie</w:delText>
              </w:r>
            </w:del>
          </w:p>
          <w:p w14:paraId="132457A0" w14:textId="77777777" w:rsidR="0036522D" w:rsidRPr="001B4A02" w:rsidRDefault="0036522D" w:rsidP="00ED48A3">
            <w:pPr>
              <w:pStyle w:val="EMEANormal"/>
              <w:rPr>
                <w:del w:id="5171" w:author="AbbVie1" w:date="2025-05-13T09:50:00Z"/>
                <w:szCs w:val="22"/>
                <w:lang w:val="cs-CZ"/>
              </w:rPr>
            </w:pPr>
          </w:p>
        </w:tc>
      </w:tr>
      <w:tr w:rsidR="00534A2D" w14:paraId="5FD4216F" w14:textId="77777777" w:rsidTr="008D783A">
        <w:trPr>
          <w:cantSplit/>
          <w:trHeight w:val="518"/>
          <w:jc w:val="center"/>
          <w:del w:id="5172" w:author="AbbVie1" w:date="2025-05-13T09:50:00Z"/>
        </w:trPr>
        <w:tc>
          <w:tcPr>
            <w:tcW w:w="2880" w:type="dxa"/>
            <w:tcBorders>
              <w:top w:val="single" w:sz="4" w:space="0" w:color="auto"/>
              <w:left w:val="single" w:sz="4" w:space="0" w:color="auto"/>
              <w:bottom w:val="single" w:sz="4" w:space="0" w:color="auto"/>
              <w:right w:val="single" w:sz="4" w:space="0" w:color="auto"/>
            </w:tcBorders>
          </w:tcPr>
          <w:p w14:paraId="31AB024B" w14:textId="77777777" w:rsidR="0036522D" w:rsidRPr="001B4A02" w:rsidRDefault="00000000" w:rsidP="00ED48A3">
            <w:pPr>
              <w:pStyle w:val="EMEANormal"/>
              <w:tabs>
                <w:tab w:val="left" w:pos="0"/>
              </w:tabs>
              <w:rPr>
                <w:del w:id="5173" w:author="AbbVie1" w:date="2025-05-13T09:50:00Z"/>
                <w:szCs w:val="22"/>
                <w:lang w:val="cs-CZ"/>
              </w:rPr>
            </w:pPr>
            <w:del w:id="5174" w:author="AbbVie1" w:date="2025-05-13T09:50:00Z">
              <w:r w:rsidRPr="001B4A02">
                <w:rPr>
                  <w:szCs w:val="22"/>
                  <w:lang w:val="cs-CZ"/>
                </w:rPr>
                <w:delText>Poruchy reprodukčního systému</w:delText>
              </w:r>
              <w:r w:rsidR="002378E0">
                <w:rPr>
                  <w:szCs w:val="22"/>
                  <w:lang w:val="cs-CZ"/>
                </w:rPr>
                <w:delText xml:space="preserve"> a </w:delText>
              </w:r>
              <w:r w:rsidRPr="001B4A02">
                <w:rPr>
                  <w:szCs w:val="22"/>
                  <w:lang w:val="cs-CZ"/>
                </w:rPr>
                <w:delText xml:space="preserve">prsu </w:delText>
              </w:r>
            </w:del>
          </w:p>
          <w:p w14:paraId="0883D13D" w14:textId="77777777" w:rsidR="00D95B9A" w:rsidRPr="001B4A02" w:rsidRDefault="00D95B9A" w:rsidP="00ED48A3">
            <w:pPr>
              <w:pStyle w:val="EMEANormal"/>
              <w:tabs>
                <w:tab w:val="left" w:pos="0"/>
              </w:tabs>
              <w:rPr>
                <w:del w:id="5175" w:author="AbbVie1" w:date="2025-05-13T09:50:00Z"/>
                <w:szCs w:val="22"/>
                <w:lang w:val="cs-CZ"/>
              </w:rPr>
            </w:pPr>
          </w:p>
        </w:tc>
        <w:tc>
          <w:tcPr>
            <w:tcW w:w="1440" w:type="dxa"/>
            <w:tcBorders>
              <w:top w:val="single" w:sz="4" w:space="0" w:color="auto"/>
              <w:left w:val="single" w:sz="4" w:space="0" w:color="auto"/>
              <w:bottom w:val="single" w:sz="4" w:space="0" w:color="auto"/>
              <w:right w:val="single" w:sz="4" w:space="0" w:color="auto"/>
            </w:tcBorders>
          </w:tcPr>
          <w:p w14:paraId="43FECA68" w14:textId="77777777" w:rsidR="0036522D" w:rsidRPr="001B4A02" w:rsidRDefault="00000000" w:rsidP="00ED48A3">
            <w:pPr>
              <w:pStyle w:val="EMEANormal"/>
              <w:rPr>
                <w:del w:id="5176" w:author="AbbVie1" w:date="2025-05-13T09:50:00Z"/>
                <w:szCs w:val="22"/>
                <w:lang w:val="cs-CZ"/>
              </w:rPr>
            </w:pPr>
            <w:del w:id="5177"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20A7C8EE" w14:textId="77777777" w:rsidR="0036522D" w:rsidRPr="001B4A02" w:rsidRDefault="00000000" w:rsidP="00ED48A3">
            <w:pPr>
              <w:pStyle w:val="EMEANormal"/>
              <w:rPr>
                <w:del w:id="5178" w:author="AbbVie1" w:date="2025-05-13T09:50:00Z"/>
                <w:szCs w:val="22"/>
                <w:lang w:val="cs-CZ"/>
              </w:rPr>
            </w:pPr>
            <w:del w:id="5179" w:author="AbbVie1" w:date="2025-05-13T09:50:00Z">
              <w:r w:rsidRPr="001B4A02">
                <w:rPr>
                  <w:szCs w:val="22"/>
                  <w:lang w:val="cs-CZ"/>
                </w:rPr>
                <w:delText>Erektilní dysfunkce</w:delText>
              </w:r>
            </w:del>
          </w:p>
        </w:tc>
      </w:tr>
      <w:tr w:rsidR="00534A2D" w14:paraId="0CBB9EDC" w14:textId="77777777" w:rsidTr="00E501B6">
        <w:trPr>
          <w:cantSplit/>
          <w:trHeight w:val="127"/>
          <w:jc w:val="center"/>
          <w:del w:id="5180" w:author="AbbVie1" w:date="2025-05-13T09:50:00Z"/>
        </w:trPr>
        <w:tc>
          <w:tcPr>
            <w:tcW w:w="2880" w:type="dxa"/>
            <w:vMerge w:val="restart"/>
            <w:tcBorders>
              <w:top w:val="single" w:sz="4" w:space="0" w:color="auto"/>
              <w:left w:val="single" w:sz="4" w:space="0" w:color="auto"/>
              <w:bottom w:val="single" w:sz="4" w:space="0" w:color="auto"/>
              <w:right w:val="single" w:sz="4" w:space="0" w:color="auto"/>
            </w:tcBorders>
          </w:tcPr>
          <w:p w14:paraId="68138A65" w14:textId="77777777" w:rsidR="0036522D" w:rsidRPr="001B4A02" w:rsidRDefault="00000000" w:rsidP="00ED48A3">
            <w:pPr>
              <w:pStyle w:val="EMEANormal"/>
              <w:tabs>
                <w:tab w:val="left" w:pos="0"/>
              </w:tabs>
              <w:rPr>
                <w:del w:id="5181" w:author="AbbVie1" w:date="2025-05-13T09:50:00Z"/>
                <w:szCs w:val="22"/>
                <w:lang w:val="cs-CZ"/>
              </w:rPr>
            </w:pPr>
            <w:del w:id="5182" w:author="AbbVie1" w:date="2025-05-13T09:50:00Z">
              <w:r w:rsidRPr="001B4A02">
                <w:rPr>
                  <w:szCs w:val="22"/>
                  <w:lang w:val="cs-CZ"/>
                </w:rPr>
                <w:delText>Celkové poruchy</w:delText>
              </w:r>
              <w:r w:rsidR="002378E0">
                <w:rPr>
                  <w:szCs w:val="22"/>
                  <w:lang w:val="cs-CZ"/>
                </w:rPr>
                <w:delText xml:space="preserve"> a </w:delText>
              </w:r>
              <w:r w:rsidRPr="001B4A02">
                <w:rPr>
                  <w:szCs w:val="22"/>
                  <w:lang w:val="cs-CZ"/>
                </w:rPr>
                <w:delText>reakce v</w:delText>
              </w:r>
              <w:r w:rsidR="00EF0AF7" w:rsidRPr="001B4A02">
                <w:rPr>
                  <w:szCs w:val="22"/>
                  <w:lang w:val="cs-CZ"/>
                </w:rPr>
                <w:delText> </w:delText>
              </w:r>
              <w:r w:rsidRPr="001B4A02">
                <w:rPr>
                  <w:szCs w:val="22"/>
                  <w:lang w:val="cs-CZ"/>
                </w:rPr>
                <w:delText>místě aplikace*</w:delText>
              </w:r>
            </w:del>
          </w:p>
        </w:tc>
        <w:tc>
          <w:tcPr>
            <w:tcW w:w="1440" w:type="dxa"/>
            <w:tcBorders>
              <w:top w:val="single" w:sz="4" w:space="0" w:color="auto"/>
              <w:left w:val="single" w:sz="4" w:space="0" w:color="auto"/>
              <w:bottom w:val="single" w:sz="4" w:space="0" w:color="auto"/>
              <w:right w:val="single" w:sz="4" w:space="0" w:color="auto"/>
            </w:tcBorders>
          </w:tcPr>
          <w:p w14:paraId="50B1342F" w14:textId="77777777" w:rsidR="0036522D" w:rsidRPr="001B4A02" w:rsidRDefault="00000000" w:rsidP="00ED48A3">
            <w:pPr>
              <w:pStyle w:val="EMEANormal"/>
              <w:rPr>
                <w:del w:id="5183" w:author="AbbVie1" w:date="2025-05-13T09:50:00Z"/>
                <w:szCs w:val="22"/>
                <w:lang w:val="cs-CZ"/>
              </w:rPr>
            </w:pPr>
            <w:del w:id="5184" w:author="AbbVie1" w:date="2025-05-13T09:50:00Z">
              <w:r w:rsidRPr="001B4A02">
                <w:rPr>
                  <w:szCs w:val="22"/>
                  <w:lang w:val="cs-CZ"/>
                </w:rPr>
                <w:delText>Velmi časté</w:delText>
              </w:r>
            </w:del>
          </w:p>
        </w:tc>
        <w:tc>
          <w:tcPr>
            <w:tcW w:w="4689" w:type="dxa"/>
            <w:tcBorders>
              <w:top w:val="single" w:sz="4" w:space="0" w:color="auto"/>
              <w:left w:val="single" w:sz="4" w:space="0" w:color="auto"/>
              <w:bottom w:val="single" w:sz="4" w:space="0" w:color="auto"/>
              <w:right w:val="single" w:sz="4" w:space="0" w:color="auto"/>
            </w:tcBorders>
          </w:tcPr>
          <w:p w14:paraId="392BD3B4" w14:textId="77777777" w:rsidR="0036522D" w:rsidRPr="001B4A02" w:rsidRDefault="00000000" w:rsidP="00ED48A3">
            <w:pPr>
              <w:pStyle w:val="EMEANormal"/>
              <w:rPr>
                <w:del w:id="5185" w:author="AbbVie1" w:date="2025-05-13T09:50:00Z"/>
                <w:szCs w:val="22"/>
                <w:lang w:val="cs-CZ"/>
              </w:rPr>
            </w:pPr>
            <w:del w:id="5186" w:author="AbbVie1" w:date="2025-05-13T09:50:00Z">
              <w:r w:rsidRPr="001B4A02">
                <w:rPr>
                  <w:szCs w:val="22"/>
                  <w:lang w:val="cs-CZ"/>
                </w:rPr>
                <w:delText>Reakce v místě injekčního vpichu (včetně erytému v místě vpichu injekce)</w:delText>
              </w:r>
            </w:del>
          </w:p>
          <w:p w14:paraId="6165780E" w14:textId="77777777" w:rsidR="0036522D" w:rsidRPr="001B4A02" w:rsidRDefault="0036522D" w:rsidP="00ED48A3">
            <w:pPr>
              <w:pStyle w:val="EMEANormal"/>
              <w:rPr>
                <w:del w:id="5187" w:author="AbbVie1" w:date="2025-05-13T09:50:00Z"/>
                <w:szCs w:val="22"/>
                <w:lang w:val="cs-CZ"/>
              </w:rPr>
            </w:pPr>
          </w:p>
        </w:tc>
      </w:tr>
      <w:tr w:rsidR="00534A2D" w14:paraId="2EFB6365" w14:textId="77777777" w:rsidTr="00E501B6">
        <w:trPr>
          <w:cantSplit/>
          <w:trHeight w:val="127"/>
          <w:jc w:val="center"/>
          <w:del w:id="5188"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14CA155F" w14:textId="77777777" w:rsidR="0036522D" w:rsidRPr="001B4A02" w:rsidRDefault="0036522D" w:rsidP="00ED48A3">
            <w:pPr>
              <w:ind w:left="0" w:firstLine="0"/>
              <w:rPr>
                <w:del w:id="5189"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27A2A0E0" w14:textId="77777777" w:rsidR="0036522D" w:rsidRPr="001B4A02" w:rsidRDefault="00000000" w:rsidP="00ED48A3">
            <w:pPr>
              <w:pStyle w:val="EMEANormal"/>
              <w:rPr>
                <w:del w:id="5190" w:author="AbbVie1" w:date="2025-05-13T09:50:00Z"/>
                <w:szCs w:val="22"/>
                <w:lang w:val="cs-CZ"/>
              </w:rPr>
            </w:pPr>
            <w:del w:id="5191"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2502702B" w14:textId="77777777" w:rsidR="0036522D" w:rsidRPr="001B4A02" w:rsidRDefault="00000000" w:rsidP="00ED48A3">
            <w:pPr>
              <w:pStyle w:val="EMEANormal"/>
              <w:rPr>
                <w:del w:id="5192" w:author="AbbVie1" w:date="2025-05-13T09:50:00Z"/>
                <w:szCs w:val="22"/>
                <w:lang w:val="cs-CZ"/>
              </w:rPr>
            </w:pPr>
            <w:del w:id="5193" w:author="AbbVie1" w:date="2025-05-13T09:50:00Z">
              <w:r w:rsidRPr="001B4A02">
                <w:rPr>
                  <w:szCs w:val="22"/>
                  <w:lang w:val="cs-CZ"/>
                </w:rPr>
                <w:delText>Bolest na hrudi,</w:delText>
              </w:r>
            </w:del>
          </w:p>
          <w:p w14:paraId="6995DD56" w14:textId="77777777" w:rsidR="0036522D" w:rsidRPr="001B4A02" w:rsidRDefault="00000000" w:rsidP="00ED48A3">
            <w:pPr>
              <w:pStyle w:val="EMEANormal"/>
              <w:rPr>
                <w:del w:id="5194" w:author="AbbVie1" w:date="2025-05-13T09:50:00Z"/>
                <w:szCs w:val="22"/>
                <w:lang w:val="cs-CZ"/>
              </w:rPr>
            </w:pPr>
            <w:del w:id="5195" w:author="AbbVie1" w:date="2025-05-13T09:50:00Z">
              <w:r w:rsidRPr="001B4A02">
                <w:rPr>
                  <w:szCs w:val="22"/>
                  <w:lang w:val="cs-CZ"/>
                </w:rPr>
                <w:delText>edém</w:delText>
              </w:r>
              <w:r w:rsidR="00096FA6" w:rsidRPr="001B4A02">
                <w:rPr>
                  <w:szCs w:val="22"/>
                  <w:lang w:val="cs-CZ"/>
                </w:rPr>
                <w:delText>,</w:delText>
              </w:r>
            </w:del>
          </w:p>
          <w:p w14:paraId="35592387" w14:textId="77777777" w:rsidR="00096FA6" w:rsidRPr="001B4A02" w:rsidRDefault="00000000" w:rsidP="00ED48A3">
            <w:pPr>
              <w:pStyle w:val="EMEANormal"/>
              <w:rPr>
                <w:del w:id="5196" w:author="AbbVie1" w:date="2025-05-13T09:50:00Z"/>
                <w:szCs w:val="22"/>
                <w:lang w:val="cs-CZ"/>
              </w:rPr>
            </w:pPr>
            <w:del w:id="5197" w:author="AbbVie1" w:date="2025-05-13T09:50:00Z">
              <w:r w:rsidRPr="001B4A02">
                <w:rPr>
                  <w:szCs w:val="22"/>
                  <w:lang w:val="cs-CZ"/>
                </w:rPr>
                <w:delText>pyrexie</w:delText>
              </w:r>
              <w:r w:rsidRPr="001B4A02">
                <w:rPr>
                  <w:szCs w:val="22"/>
                  <w:vertAlign w:val="superscript"/>
                  <w:lang w:val="cs-CZ"/>
                </w:rPr>
                <w:delText>1)</w:delText>
              </w:r>
            </w:del>
          </w:p>
          <w:p w14:paraId="37B4D27A" w14:textId="77777777" w:rsidR="0036522D" w:rsidRPr="001B4A02" w:rsidRDefault="0036522D" w:rsidP="00ED48A3">
            <w:pPr>
              <w:pStyle w:val="EMEANormal"/>
              <w:rPr>
                <w:del w:id="5198" w:author="AbbVie1" w:date="2025-05-13T09:50:00Z"/>
                <w:szCs w:val="22"/>
                <w:lang w:val="cs-CZ"/>
              </w:rPr>
            </w:pPr>
          </w:p>
        </w:tc>
      </w:tr>
      <w:tr w:rsidR="00534A2D" w14:paraId="55B17EC7" w14:textId="77777777" w:rsidTr="00E501B6">
        <w:trPr>
          <w:cantSplit/>
          <w:trHeight w:val="258"/>
          <w:jc w:val="center"/>
          <w:del w:id="5199" w:author="AbbVie1" w:date="2025-05-13T09:50:00Z"/>
        </w:trPr>
        <w:tc>
          <w:tcPr>
            <w:tcW w:w="0" w:type="auto"/>
            <w:vMerge/>
            <w:tcBorders>
              <w:top w:val="single" w:sz="4" w:space="0" w:color="auto"/>
              <w:left w:val="single" w:sz="4" w:space="0" w:color="auto"/>
              <w:bottom w:val="single" w:sz="4" w:space="0" w:color="auto"/>
              <w:right w:val="single" w:sz="4" w:space="0" w:color="auto"/>
            </w:tcBorders>
            <w:vAlign w:val="center"/>
          </w:tcPr>
          <w:p w14:paraId="7D20E1B2" w14:textId="77777777" w:rsidR="0036522D" w:rsidRPr="001B4A02" w:rsidRDefault="0036522D" w:rsidP="00ED48A3">
            <w:pPr>
              <w:ind w:left="0" w:firstLine="0"/>
              <w:rPr>
                <w:del w:id="5200" w:author="AbbVie1" w:date="2025-05-13T09:50:00Z"/>
                <w:szCs w:val="22"/>
              </w:rPr>
            </w:pPr>
          </w:p>
        </w:tc>
        <w:tc>
          <w:tcPr>
            <w:tcW w:w="1440" w:type="dxa"/>
            <w:tcBorders>
              <w:top w:val="single" w:sz="4" w:space="0" w:color="auto"/>
              <w:left w:val="single" w:sz="4" w:space="0" w:color="auto"/>
              <w:bottom w:val="single" w:sz="4" w:space="0" w:color="auto"/>
              <w:right w:val="single" w:sz="4" w:space="0" w:color="auto"/>
            </w:tcBorders>
          </w:tcPr>
          <w:p w14:paraId="717F58DB" w14:textId="77777777" w:rsidR="0036522D" w:rsidRPr="001B4A02" w:rsidRDefault="00000000" w:rsidP="00ED48A3">
            <w:pPr>
              <w:pStyle w:val="EMEANormal"/>
              <w:rPr>
                <w:del w:id="5201" w:author="AbbVie1" w:date="2025-05-13T09:50:00Z"/>
                <w:szCs w:val="22"/>
                <w:lang w:val="cs-CZ"/>
              </w:rPr>
            </w:pPr>
            <w:del w:id="5202" w:author="AbbVie1" w:date="2025-05-13T09:50:00Z">
              <w:r w:rsidRPr="001B4A02">
                <w:rPr>
                  <w:szCs w:val="22"/>
                  <w:lang w:val="cs-CZ"/>
                </w:rPr>
                <w:delText>Méně časté</w:delText>
              </w:r>
            </w:del>
          </w:p>
        </w:tc>
        <w:tc>
          <w:tcPr>
            <w:tcW w:w="4689" w:type="dxa"/>
            <w:tcBorders>
              <w:top w:val="single" w:sz="4" w:space="0" w:color="auto"/>
              <w:left w:val="single" w:sz="4" w:space="0" w:color="auto"/>
              <w:bottom w:val="single" w:sz="4" w:space="0" w:color="auto"/>
              <w:right w:val="single" w:sz="4" w:space="0" w:color="auto"/>
            </w:tcBorders>
          </w:tcPr>
          <w:p w14:paraId="3D80B8AD" w14:textId="77777777" w:rsidR="0036522D" w:rsidRPr="001B4A02" w:rsidRDefault="00000000" w:rsidP="00ED48A3">
            <w:pPr>
              <w:pStyle w:val="EMEANormal"/>
              <w:rPr>
                <w:del w:id="5203" w:author="AbbVie1" w:date="2025-05-13T09:50:00Z"/>
                <w:szCs w:val="22"/>
                <w:lang w:val="cs-CZ"/>
              </w:rPr>
            </w:pPr>
            <w:del w:id="5204" w:author="AbbVie1" w:date="2025-05-13T09:50:00Z">
              <w:r w:rsidRPr="001B4A02">
                <w:rPr>
                  <w:szCs w:val="22"/>
                  <w:lang w:val="cs-CZ"/>
                </w:rPr>
                <w:delText>Záněty</w:delText>
              </w:r>
            </w:del>
          </w:p>
          <w:p w14:paraId="0E39AD14" w14:textId="77777777" w:rsidR="0036522D" w:rsidRPr="001B4A02" w:rsidRDefault="0036522D" w:rsidP="00ED48A3">
            <w:pPr>
              <w:pStyle w:val="EMEANormal"/>
              <w:rPr>
                <w:del w:id="5205" w:author="AbbVie1" w:date="2025-05-13T09:50:00Z"/>
                <w:szCs w:val="22"/>
                <w:lang w:val="cs-CZ"/>
              </w:rPr>
            </w:pPr>
          </w:p>
        </w:tc>
      </w:tr>
      <w:tr w:rsidR="00534A2D" w14:paraId="3F086A4C" w14:textId="77777777" w:rsidTr="00E501B6">
        <w:trPr>
          <w:trHeight w:val="296"/>
          <w:jc w:val="center"/>
          <w:del w:id="5206" w:author="AbbVie1" w:date="2025-05-13T09:50:00Z"/>
        </w:trPr>
        <w:tc>
          <w:tcPr>
            <w:tcW w:w="2880" w:type="dxa"/>
            <w:vMerge w:val="restart"/>
            <w:tcBorders>
              <w:top w:val="single" w:sz="4" w:space="0" w:color="auto"/>
              <w:left w:val="single" w:sz="4" w:space="0" w:color="auto"/>
              <w:right w:val="single" w:sz="4" w:space="0" w:color="auto"/>
            </w:tcBorders>
          </w:tcPr>
          <w:p w14:paraId="15598012" w14:textId="77777777" w:rsidR="00390971" w:rsidRPr="001B4A02" w:rsidRDefault="00000000" w:rsidP="00ED48A3">
            <w:pPr>
              <w:pStyle w:val="EMEANormal"/>
              <w:tabs>
                <w:tab w:val="left" w:pos="0"/>
              </w:tabs>
              <w:rPr>
                <w:del w:id="5207" w:author="AbbVie1" w:date="2025-05-13T09:50:00Z"/>
                <w:szCs w:val="22"/>
                <w:lang w:val="cs-CZ"/>
              </w:rPr>
            </w:pPr>
            <w:del w:id="5208" w:author="AbbVie1" w:date="2025-05-13T09:50:00Z">
              <w:r w:rsidRPr="001B4A02">
                <w:rPr>
                  <w:szCs w:val="22"/>
                  <w:lang w:val="cs-CZ"/>
                </w:rPr>
                <w:delText>Vyšetření*</w:delText>
              </w:r>
            </w:del>
          </w:p>
        </w:tc>
        <w:tc>
          <w:tcPr>
            <w:tcW w:w="1440" w:type="dxa"/>
            <w:tcBorders>
              <w:top w:val="single" w:sz="4" w:space="0" w:color="auto"/>
              <w:left w:val="single" w:sz="4" w:space="0" w:color="auto"/>
              <w:bottom w:val="nil"/>
              <w:right w:val="single" w:sz="4" w:space="0" w:color="auto"/>
            </w:tcBorders>
          </w:tcPr>
          <w:p w14:paraId="2592FBF9" w14:textId="77777777" w:rsidR="00390971" w:rsidRPr="001B4A02" w:rsidRDefault="00000000" w:rsidP="00ED48A3">
            <w:pPr>
              <w:pStyle w:val="EMEANormal"/>
              <w:rPr>
                <w:del w:id="5209" w:author="AbbVie1" w:date="2025-05-13T09:50:00Z"/>
                <w:szCs w:val="22"/>
                <w:lang w:val="cs-CZ"/>
              </w:rPr>
            </w:pPr>
            <w:del w:id="5210" w:author="AbbVie1" w:date="2025-05-13T09:50:00Z">
              <w:r w:rsidRPr="001B4A02">
                <w:rPr>
                  <w:szCs w:val="22"/>
                  <w:lang w:val="cs-CZ"/>
                </w:rPr>
                <w:delText>Časté</w:delText>
              </w:r>
            </w:del>
          </w:p>
        </w:tc>
        <w:tc>
          <w:tcPr>
            <w:tcW w:w="4689" w:type="dxa"/>
            <w:tcBorders>
              <w:top w:val="single" w:sz="4" w:space="0" w:color="auto"/>
              <w:left w:val="single" w:sz="4" w:space="0" w:color="auto"/>
              <w:bottom w:val="nil"/>
              <w:right w:val="single" w:sz="4" w:space="0" w:color="auto"/>
            </w:tcBorders>
          </w:tcPr>
          <w:p w14:paraId="12D9333C" w14:textId="77777777" w:rsidR="00390971" w:rsidRPr="001B4A02" w:rsidRDefault="00000000" w:rsidP="00ED48A3">
            <w:pPr>
              <w:pStyle w:val="EMEANormal"/>
              <w:rPr>
                <w:del w:id="5211" w:author="AbbVie1" w:date="2025-05-13T09:50:00Z"/>
                <w:szCs w:val="22"/>
                <w:lang w:val="cs-CZ"/>
              </w:rPr>
            </w:pPr>
            <w:del w:id="5212" w:author="AbbVie1" w:date="2025-05-13T09:50:00Z">
              <w:r w:rsidRPr="001B4A02">
                <w:rPr>
                  <w:szCs w:val="22"/>
                  <w:lang w:val="cs-CZ"/>
                </w:rPr>
                <w:delText>Poruchy koagulace</w:delText>
              </w:r>
              <w:r>
                <w:rPr>
                  <w:szCs w:val="22"/>
                  <w:lang w:val="cs-CZ"/>
                </w:rPr>
                <w:delText xml:space="preserve"> a </w:delText>
              </w:r>
              <w:r w:rsidRPr="001B4A02">
                <w:rPr>
                  <w:szCs w:val="22"/>
                  <w:lang w:val="cs-CZ"/>
                </w:rPr>
                <w:delText>krvácení (včetně prodloužení aktivovaného parciálního tromboplastinového času),</w:delText>
              </w:r>
            </w:del>
          </w:p>
          <w:p w14:paraId="318F4BFB" w14:textId="77777777" w:rsidR="00390971" w:rsidRPr="001B4A02" w:rsidRDefault="00000000" w:rsidP="00ED48A3">
            <w:pPr>
              <w:pStyle w:val="EMEANormal"/>
              <w:rPr>
                <w:del w:id="5213" w:author="AbbVie1" w:date="2025-05-13T09:50:00Z"/>
                <w:szCs w:val="22"/>
                <w:lang w:val="cs-CZ"/>
              </w:rPr>
            </w:pPr>
            <w:del w:id="5214" w:author="AbbVie1" w:date="2025-05-13T09:50:00Z">
              <w:r w:rsidRPr="001B4A02">
                <w:rPr>
                  <w:szCs w:val="22"/>
                  <w:lang w:val="cs-CZ"/>
                </w:rPr>
                <w:delText>pozitivní test autoprotilátek (včetně protilátek proti dvoušroubovici DNA),</w:delText>
              </w:r>
            </w:del>
          </w:p>
          <w:p w14:paraId="6162A516" w14:textId="77777777" w:rsidR="00390971" w:rsidRPr="001B4A02" w:rsidRDefault="00000000" w:rsidP="00ED48A3">
            <w:pPr>
              <w:pStyle w:val="EMEANormal"/>
              <w:rPr>
                <w:del w:id="5215" w:author="AbbVie1" w:date="2025-05-13T09:50:00Z"/>
                <w:szCs w:val="22"/>
                <w:lang w:val="cs-CZ"/>
              </w:rPr>
            </w:pPr>
            <w:del w:id="5216" w:author="AbbVie1" w:date="2025-05-13T09:50:00Z">
              <w:r w:rsidRPr="001B4A02">
                <w:rPr>
                  <w:szCs w:val="22"/>
                  <w:lang w:val="cs-CZ"/>
                </w:rPr>
                <w:delText>zvýšení laktátdehydrogenázy v krvi</w:delText>
              </w:r>
            </w:del>
          </w:p>
          <w:p w14:paraId="20643315" w14:textId="77777777" w:rsidR="00390971" w:rsidRPr="001B4A02" w:rsidRDefault="00390971" w:rsidP="00ED48A3">
            <w:pPr>
              <w:pStyle w:val="EMEANormal"/>
              <w:rPr>
                <w:del w:id="5217" w:author="AbbVie1" w:date="2025-05-13T09:50:00Z"/>
                <w:szCs w:val="22"/>
                <w:lang w:val="cs-CZ"/>
              </w:rPr>
            </w:pPr>
          </w:p>
        </w:tc>
      </w:tr>
      <w:tr w:rsidR="00534A2D" w14:paraId="025E4D48" w14:textId="77777777" w:rsidTr="00390971">
        <w:trPr>
          <w:trHeight w:val="296"/>
          <w:jc w:val="center"/>
          <w:del w:id="5218" w:author="AbbVie1" w:date="2025-05-13T09:50:00Z"/>
        </w:trPr>
        <w:tc>
          <w:tcPr>
            <w:tcW w:w="2880" w:type="dxa"/>
            <w:vMerge/>
            <w:tcBorders>
              <w:left w:val="single" w:sz="4" w:space="0" w:color="auto"/>
              <w:bottom w:val="nil"/>
              <w:right w:val="single" w:sz="4" w:space="0" w:color="auto"/>
            </w:tcBorders>
          </w:tcPr>
          <w:p w14:paraId="40E2ABE4" w14:textId="77777777" w:rsidR="00390971" w:rsidRPr="001B4A02" w:rsidRDefault="00390971" w:rsidP="00390971">
            <w:pPr>
              <w:pStyle w:val="EMEANormal"/>
              <w:tabs>
                <w:tab w:val="left" w:pos="0"/>
              </w:tabs>
              <w:rPr>
                <w:del w:id="5219" w:author="AbbVie1" w:date="2025-05-13T09:50:00Z"/>
                <w:szCs w:val="22"/>
                <w:lang w:val="cs-CZ"/>
              </w:rPr>
            </w:pPr>
          </w:p>
        </w:tc>
        <w:tc>
          <w:tcPr>
            <w:tcW w:w="1440" w:type="dxa"/>
            <w:tcBorders>
              <w:top w:val="single" w:sz="4" w:space="0" w:color="auto"/>
              <w:left w:val="single" w:sz="4" w:space="0" w:color="auto"/>
              <w:bottom w:val="nil"/>
              <w:right w:val="single" w:sz="4" w:space="0" w:color="auto"/>
            </w:tcBorders>
          </w:tcPr>
          <w:p w14:paraId="52E93234" w14:textId="77777777" w:rsidR="00390971" w:rsidRPr="001B4A02" w:rsidRDefault="00000000" w:rsidP="00390971">
            <w:pPr>
              <w:pStyle w:val="EMEANormal"/>
              <w:rPr>
                <w:del w:id="5220" w:author="AbbVie1" w:date="2025-05-13T09:50:00Z"/>
                <w:szCs w:val="22"/>
                <w:lang w:val="cs-CZ"/>
              </w:rPr>
            </w:pPr>
            <w:del w:id="5221" w:author="AbbVie1" w:date="2025-05-13T09:50:00Z">
              <w:r w:rsidRPr="001B4A02">
                <w:rPr>
                  <w:szCs w:val="22"/>
                  <w:lang w:val="cs-CZ"/>
                </w:rPr>
                <w:delText>Není známo</w:delText>
              </w:r>
            </w:del>
          </w:p>
        </w:tc>
        <w:tc>
          <w:tcPr>
            <w:tcW w:w="4689" w:type="dxa"/>
            <w:tcBorders>
              <w:top w:val="single" w:sz="4" w:space="0" w:color="auto"/>
              <w:left w:val="single" w:sz="4" w:space="0" w:color="auto"/>
              <w:bottom w:val="nil"/>
              <w:right w:val="single" w:sz="4" w:space="0" w:color="auto"/>
            </w:tcBorders>
          </w:tcPr>
          <w:p w14:paraId="5737CFB4" w14:textId="77777777" w:rsidR="00390971" w:rsidRDefault="00000000" w:rsidP="00390971">
            <w:pPr>
              <w:pStyle w:val="EMEANormal"/>
              <w:rPr>
                <w:del w:id="5222" w:author="AbbVie1" w:date="2025-05-13T09:50:00Z"/>
                <w:color w:val="000000"/>
                <w:szCs w:val="22"/>
                <w:lang w:val="cs-CZ" w:eastAsia="cs-CZ"/>
              </w:rPr>
            </w:pPr>
            <w:del w:id="5223" w:author="AbbVie1" w:date="2025-05-13T09:50:00Z">
              <w:r w:rsidRPr="0027760D">
                <w:rPr>
                  <w:color w:val="000000"/>
                  <w:szCs w:val="22"/>
                  <w:lang w:val="cs-CZ" w:eastAsia="cs-CZ"/>
                </w:rPr>
                <w:delText>Zvýšení tělesné hmotnosti</w:delText>
              </w:r>
              <w:r w:rsidRPr="0027760D">
                <w:rPr>
                  <w:color w:val="000000"/>
                  <w:szCs w:val="22"/>
                  <w:vertAlign w:val="superscript"/>
                  <w:lang w:val="cs-CZ" w:eastAsia="cs-CZ"/>
                </w:rPr>
                <w:delText>2)</w:delText>
              </w:r>
            </w:del>
          </w:p>
          <w:p w14:paraId="13280BED" w14:textId="77777777" w:rsidR="00390971" w:rsidRPr="001B4A02" w:rsidRDefault="00390971" w:rsidP="00390971">
            <w:pPr>
              <w:pStyle w:val="EMEANormal"/>
              <w:rPr>
                <w:del w:id="5224" w:author="AbbVie1" w:date="2025-05-13T09:50:00Z"/>
                <w:szCs w:val="22"/>
                <w:lang w:val="cs-CZ"/>
              </w:rPr>
            </w:pPr>
          </w:p>
        </w:tc>
      </w:tr>
      <w:tr w:rsidR="00534A2D" w14:paraId="07530613" w14:textId="77777777" w:rsidTr="008D783A">
        <w:trPr>
          <w:jc w:val="center"/>
          <w:del w:id="5225" w:author="AbbVie1" w:date="2025-05-13T09:50:00Z"/>
        </w:trPr>
        <w:tc>
          <w:tcPr>
            <w:tcW w:w="2880" w:type="dxa"/>
            <w:tcBorders>
              <w:top w:val="single" w:sz="4" w:space="0" w:color="auto"/>
              <w:left w:val="single" w:sz="4" w:space="0" w:color="auto"/>
              <w:bottom w:val="single" w:sz="4" w:space="0" w:color="auto"/>
              <w:right w:val="single" w:sz="4" w:space="0" w:color="auto"/>
            </w:tcBorders>
          </w:tcPr>
          <w:p w14:paraId="76C76FE3" w14:textId="77777777" w:rsidR="0036522D" w:rsidRPr="001B4A02" w:rsidRDefault="00000000" w:rsidP="00ED48A3">
            <w:pPr>
              <w:pStyle w:val="EMEANormal"/>
              <w:tabs>
                <w:tab w:val="left" w:pos="0"/>
              </w:tabs>
              <w:rPr>
                <w:del w:id="5226" w:author="AbbVie1" w:date="2025-05-13T09:50:00Z"/>
                <w:szCs w:val="22"/>
                <w:lang w:val="cs-CZ"/>
              </w:rPr>
            </w:pPr>
            <w:del w:id="5227" w:author="AbbVie1" w:date="2025-05-13T09:50:00Z">
              <w:r w:rsidRPr="001B4A02">
                <w:rPr>
                  <w:szCs w:val="22"/>
                  <w:lang w:val="cs-CZ"/>
                </w:rPr>
                <w:delText>Poranění, otravy</w:delText>
              </w:r>
              <w:r w:rsidR="002378E0">
                <w:rPr>
                  <w:szCs w:val="22"/>
                  <w:lang w:val="cs-CZ"/>
                </w:rPr>
                <w:delText xml:space="preserve"> a </w:delText>
              </w:r>
              <w:r w:rsidRPr="001B4A02">
                <w:rPr>
                  <w:szCs w:val="22"/>
                  <w:lang w:val="cs-CZ"/>
                </w:rPr>
                <w:delText>procedurální komplikace</w:delText>
              </w:r>
            </w:del>
          </w:p>
          <w:p w14:paraId="5C1C422A" w14:textId="77777777" w:rsidR="00D95B9A" w:rsidRPr="001B4A02" w:rsidRDefault="00D95B9A" w:rsidP="00ED48A3">
            <w:pPr>
              <w:pStyle w:val="EMEANormal"/>
              <w:tabs>
                <w:tab w:val="left" w:pos="0"/>
              </w:tabs>
              <w:rPr>
                <w:del w:id="5228" w:author="AbbVie1" w:date="2025-05-13T09:50:00Z"/>
                <w:szCs w:val="22"/>
                <w:lang w:val="cs-CZ"/>
              </w:rPr>
            </w:pPr>
          </w:p>
        </w:tc>
        <w:tc>
          <w:tcPr>
            <w:tcW w:w="1440" w:type="dxa"/>
            <w:tcBorders>
              <w:top w:val="single" w:sz="4" w:space="0" w:color="auto"/>
              <w:left w:val="single" w:sz="4" w:space="0" w:color="auto"/>
              <w:bottom w:val="single" w:sz="4" w:space="0" w:color="auto"/>
              <w:right w:val="single" w:sz="4" w:space="0" w:color="auto"/>
            </w:tcBorders>
          </w:tcPr>
          <w:p w14:paraId="432328FD" w14:textId="77777777" w:rsidR="0036522D" w:rsidRPr="001B4A02" w:rsidRDefault="00000000" w:rsidP="00ED48A3">
            <w:pPr>
              <w:pStyle w:val="EMEANormal"/>
              <w:rPr>
                <w:del w:id="5229" w:author="AbbVie1" w:date="2025-05-13T09:50:00Z"/>
                <w:szCs w:val="22"/>
                <w:lang w:val="cs-CZ"/>
              </w:rPr>
            </w:pPr>
            <w:del w:id="5230" w:author="AbbVie1" w:date="2025-05-13T09:50:00Z">
              <w:r w:rsidRPr="001B4A02">
                <w:rPr>
                  <w:szCs w:val="22"/>
                  <w:lang w:val="cs-CZ"/>
                </w:rPr>
                <w:delText>Časté</w:delText>
              </w:r>
            </w:del>
          </w:p>
        </w:tc>
        <w:tc>
          <w:tcPr>
            <w:tcW w:w="4689" w:type="dxa"/>
            <w:tcBorders>
              <w:top w:val="single" w:sz="4" w:space="0" w:color="auto"/>
              <w:left w:val="single" w:sz="4" w:space="0" w:color="auto"/>
              <w:bottom w:val="single" w:sz="4" w:space="0" w:color="auto"/>
              <w:right w:val="single" w:sz="4" w:space="0" w:color="auto"/>
            </w:tcBorders>
          </w:tcPr>
          <w:p w14:paraId="36E842AF" w14:textId="77777777" w:rsidR="0036522D" w:rsidRPr="001B4A02" w:rsidRDefault="00000000" w:rsidP="00ED48A3">
            <w:pPr>
              <w:pStyle w:val="EMEANormal"/>
              <w:rPr>
                <w:del w:id="5231" w:author="AbbVie1" w:date="2025-05-13T09:50:00Z"/>
                <w:szCs w:val="22"/>
                <w:lang w:val="cs-CZ"/>
              </w:rPr>
            </w:pPr>
            <w:del w:id="5232" w:author="AbbVie1" w:date="2025-05-13T09:50:00Z">
              <w:r w:rsidRPr="001B4A02">
                <w:rPr>
                  <w:szCs w:val="22"/>
                  <w:lang w:val="cs-CZ"/>
                </w:rPr>
                <w:delText>Poruchy hojení</w:delText>
              </w:r>
            </w:del>
          </w:p>
        </w:tc>
      </w:tr>
    </w:tbl>
    <w:p w14:paraId="171CB9DB" w14:textId="77777777" w:rsidR="006C5A6B" w:rsidRPr="001B4A02" w:rsidRDefault="006C5A6B" w:rsidP="00ED48A3">
      <w:pPr>
        <w:rPr>
          <w:del w:id="5233" w:author="AbbVie1" w:date="2025-05-13T09:50:00Z"/>
          <w:szCs w:val="22"/>
        </w:rPr>
      </w:pPr>
    </w:p>
    <w:p w14:paraId="4412CDD1" w14:textId="77777777" w:rsidR="0036522D" w:rsidRPr="001B4A02" w:rsidRDefault="00000000" w:rsidP="00ED48A3">
      <w:pPr>
        <w:rPr>
          <w:del w:id="5234" w:author="AbbVie1" w:date="2025-05-13T09:50:00Z"/>
          <w:szCs w:val="22"/>
        </w:rPr>
      </w:pPr>
      <w:del w:id="5235" w:author="AbbVie1" w:date="2025-05-13T09:50:00Z">
        <w:r w:rsidRPr="001B4A02">
          <w:rPr>
            <w:szCs w:val="22"/>
          </w:rPr>
          <w:delText>*</w:delText>
        </w:r>
        <w:r w:rsidR="00545FBD" w:rsidRPr="001B4A02">
          <w:rPr>
            <w:szCs w:val="22"/>
          </w:rPr>
          <w:delText> </w:delText>
        </w:r>
        <w:r w:rsidRPr="001B4A02">
          <w:rPr>
            <w:szCs w:val="22"/>
          </w:rPr>
          <w:delText>další informace lze nalézt na jiných místech textu, v bodech 4.3, 4.</w:delText>
        </w:r>
        <w:r w:rsidR="00545FBD" w:rsidRPr="001B4A02">
          <w:rPr>
            <w:szCs w:val="22"/>
          </w:rPr>
          <w:delText>4</w:delText>
        </w:r>
        <w:r w:rsidR="002378E0">
          <w:rPr>
            <w:szCs w:val="22"/>
          </w:rPr>
          <w:delText xml:space="preserve"> a </w:delText>
        </w:r>
        <w:r w:rsidRPr="001B4A02">
          <w:rPr>
            <w:szCs w:val="22"/>
          </w:rPr>
          <w:delText>4.8</w:delText>
        </w:r>
      </w:del>
    </w:p>
    <w:p w14:paraId="206E9ACD" w14:textId="77777777" w:rsidR="0036522D" w:rsidRPr="001B4A02" w:rsidRDefault="00000000" w:rsidP="00ED48A3">
      <w:pPr>
        <w:rPr>
          <w:del w:id="5236" w:author="AbbVie1" w:date="2025-05-13T09:50:00Z"/>
          <w:szCs w:val="22"/>
        </w:rPr>
      </w:pPr>
      <w:del w:id="5237" w:author="AbbVie1" w:date="2025-05-13T09:50:00Z">
        <w:r w:rsidRPr="001B4A02">
          <w:rPr>
            <w:szCs w:val="22"/>
          </w:rPr>
          <w:delText>**</w:delText>
        </w:r>
        <w:r w:rsidR="00545FBD" w:rsidRPr="001B4A02">
          <w:rPr>
            <w:szCs w:val="22"/>
          </w:rPr>
          <w:delText> </w:delText>
        </w:r>
        <w:r w:rsidRPr="001B4A02">
          <w:rPr>
            <w:szCs w:val="22"/>
          </w:rPr>
          <w:delText>včetně otevřené fáze prodloužených studií</w:delText>
        </w:r>
      </w:del>
    </w:p>
    <w:p w14:paraId="4E357613" w14:textId="77777777" w:rsidR="00E43CB4" w:rsidRPr="001B4A02" w:rsidRDefault="00000000" w:rsidP="00ED48A3">
      <w:pPr>
        <w:rPr>
          <w:del w:id="5238" w:author="AbbVie1" w:date="2025-05-13T09:50:00Z"/>
          <w:szCs w:val="22"/>
        </w:rPr>
      </w:pPr>
      <w:del w:id="5239" w:author="AbbVie1" w:date="2025-05-13T09:50:00Z">
        <w:r w:rsidRPr="001B4A02">
          <w:rPr>
            <w:szCs w:val="22"/>
            <w:vertAlign w:val="superscript"/>
          </w:rPr>
          <w:delText>1)</w:delText>
        </w:r>
        <w:r w:rsidR="00545FBD" w:rsidRPr="001B4A02">
          <w:rPr>
            <w:szCs w:val="22"/>
          </w:rPr>
          <w:delText> </w:delText>
        </w:r>
        <w:r w:rsidRPr="001B4A02">
          <w:rPr>
            <w:bCs/>
            <w:szCs w:val="22"/>
          </w:rPr>
          <w:delText>včetně údajů ze spontánního hlášení</w:delText>
        </w:r>
      </w:del>
    </w:p>
    <w:p w14:paraId="73FF9B4E" w14:textId="77777777" w:rsidR="00390971" w:rsidRPr="008D2E61" w:rsidRDefault="00000000" w:rsidP="00390971">
      <w:pPr>
        <w:pStyle w:val="Default"/>
        <w:rPr>
          <w:del w:id="5240" w:author="AbbVie1" w:date="2025-05-13T09:50:00Z"/>
          <w:rFonts w:eastAsia="Times New Roman"/>
          <w:sz w:val="22"/>
          <w:szCs w:val="22"/>
          <w:lang w:val="cs-CZ" w:eastAsia="cs-CZ"/>
        </w:rPr>
      </w:pPr>
      <w:del w:id="5241" w:author="AbbVie1" w:date="2025-05-13T09:50:00Z">
        <w:r w:rsidRPr="008D2E61">
          <w:rPr>
            <w:sz w:val="22"/>
            <w:szCs w:val="22"/>
            <w:vertAlign w:val="superscript"/>
            <w:lang w:val="cs-CZ"/>
          </w:rPr>
          <w:delText>2)</w:delText>
        </w:r>
        <w:r w:rsidRPr="008D2E61">
          <w:rPr>
            <w:sz w:val="22"/>
            <w:szCs w:val="22"/>
            <w:lang w:val="cs-CZ"/>
          </w:rPr>
          <w:delText> </w:delText>
        </w:r>
        <w:r w:rsidRPr="008D2E61">
          <w:rPr>
            <w:sz w:val="22"/>
            <w:szCs w:val="22"/>
            <w:lang w:val="cs-CZ" w:eastAsia="cs-CZ"/>
          </w:rPr>
          <w:delText>Průměrná změna tělesné hmotnosti od výchozí hodnoty se v</w:delText>
        </w:r>
        <w:r>
          <w:rPr>
            <w:sz w:val="22"/>
            <w:szCs w:val="22"/>
            <w:lang w:val="cs-CZ" w:eastAsia="cs-CZ"/>
          </w:rPr>
          <w:delText> </w:delText>
        </w:r>
        <w:r w:rsidRPr="008D2E61">
          <w:rPr>
            <w:sz w:val="22"/>
            <w:szCs w:val="22"/>
            <w:lang w:val="cs-CZ" w:eastAsia="cs-CZ"/>
          </w:rPr>
          <w:delText>případě adalimumabu pohybovala od 0,3 do 1,0</w:delText>
        </w:r>
        <w:r>
          <w:rPr>
            <w:sz w:val="22"/>
            <w:szCs w:val="22"/>
            <w:lang w:val="cs-CZ" w:eastAsia="cs-CZ"/>
          </w:rPr>
          <w:delText> </w:delText>
        </w:r>
        <w:r w:rsidRPr="008D2E61">
          <w:rPr>
            <w:sz w:val="22"/>
            <w:szCs w:val="22"/>
            <w:lang w:val="cs-CZ" w:eastAsia="cs-CZ"/>
          </w:rPr>
          <w:delText>kg v</w:delText>
        </w:r>
        <w:r>
          <w:rPr>
            <w:sz w:val="22"/>
            <w:szCs w:val="22"/>
            <w:lang w:val="cs-CZ" w:eastAsia="cs-CZ"/>
          </w:rPr>
          <w:delText> </w:delText>
        </w:r>
        <w:r w:rsidRPr="008D2E61">
          <w:rPr>
            <w:sz w:val="22"/>
            <w:szCs w:val="22"/>
            <w:lang w:val="cs-CZ" w:eastAsia="cs-CZ"/>
          </w:rPr>
          <w:delText>indikacích pro dospělé v</w:delText>
        </w:r>
        <w:r>
          <w:rPr>
            <w:sz w:val="22"/>
            <w:szCs w:val="22"/>
            <w:lang w:val="cs-CZ" w:eastAsia="cs-CZ"/>
          </w:rPr>
          <w:delText> </w:delText>
        </w:r>
        <w:r w:rsidRPr="008D2E61">
          <w:rPr>
            <w:sz w:val="22"/>
            <w:szCs w:val="22"/>
            <w:lang w:val="cs-CZ" w:eastAsia="cs-CZ"/>
          </w:rPr>
          <w:delText>porovnání s</w:delText>
        </w:r>
        <w:r>
          <w:rPr>
            <w:sz w:val="22"/>
            <w:szCs w:val="22"/>
            <w:lang w:val="cs-CZ" w:eastAsia="cs-CZ"/>
          </w:rPr>
          <w:delText> </w:delText>
        </w:r>
        <w:r w:rsidRPr="008D2E61">
          <w:rPr>
            <w:sz w:val="22"/>
            <w:szCs w:val="22"/>
            <w:lang w:val="cs-CZ" w:eastAsia="cs-CZ"/>
          </w:rPr>
          <w:delText>(mínus) -0,4</w:delText>
        </w:r>
        <w:r>
          <w:rPr>
            <w:sz w:val="22"/>
            <w:szCs w:val="22"/>
            <w:lang w:val="cs-CZ" w:eastAsia="cs-CZ"/>
          </w:rPr>
          <w:delText> </w:delText>
        </w:r>
        <w:r w:rsidRPr="008D2E61">
          <w:rPr>
            <w:sz w:val="22"/>
            <w:szCs w:val="22"/>
            <w:lang w:val="cs-CZ" w:eastAsia="cs-CZ"/>
          </w:rPr>
          <w:delText>kg až 0,4</w:delText>
        </w:r>
        <w:r>
          <w:rPr>
            <w:sz w:val="22"/>
            <w:szCs w:val="22"/>
            <w:lang w:val="cs-CZ" w:eastAsia="cs-CZ"/>
          </w:rPr>
          <w:delText> </w:delText>
        </w:r>
        <w:r w:rsidRPr="008D2E61">
          <w:rPr>
            <w:sz w:val="22"/>
            <w:szCs w:val="22"/>
            <w:lang w:val="cs-CZ" w:eastAsia="cs-CZ"/>
          </w:rPr>
          <w:delText>kg v</w:delText>
        </w:r>
        <w:r>
          <w:rPr>
            <w:sz w:val="22"/>
            <w:szCs w:val="22"/>
            <w:lang w:val="cs-CZ" w:eastAsia="cs-CZ"/>
          </w:rPr>
          <w:delText> </w:delText>
        </w:r>
        <w:r w:rsidRPr="008D2E61">
          <w:rPr>
            <w:sz w:val="22"/>
            <w:szCs w:val="22"/>
            <w:lang w:val="cs-CZ" w:eastAsia="cs-CZ"/>
          </w:rPr>
          <w:delText>případě placeba během léčby po dobu 4–6 měsíců. Zvýšení tělesné hmotnosti o</w:delText>
        </w:r>
        <w:r>
          <w:rPr>
            <w:sz w:val="22"/>
            <w:szCs w:val="22"/>
            <w:lang w:val="cs-CZ" w:eastAsia="cs-CZ"/>
          </w:rPr>
          <w:delText> </w:delText>
        </w:r>
        <w:r w:rsidRPr="008D2E61">
          <w:rPr>
            <w:sz w:val="22"/>
            <w:szCs w:val="22"/>
            <w:lang w:val="cs-CZ" w:eastAsia="cs-CZ"/>
          </w:rPr>
          <w:delText>5–6</w:delText>
        </w:r>
        <w:r>
          <w:rPr>
            <w:sz w:val="22"/>
            <w:szCs w:val="22"/>
            <w:lang w:val="cs-CZ" w:eastAsia="cs-CZ"/>
          </w:rPr>
          <w:delText> </w:delText>
        </w:r>
        <w:r w:rsidRPr="008D2E61">
          <w:rPr>
            <w:sz w:val="22"/>
            <w:szCs w:val="22"/>
            <w:lang w:val="cs-CZ" w:eastAsia="cs-CZ"/>
          </w:rPr>
          <w:delText>kg bylo pozorováno rovněž v</w:delText>
        </w:r>
        <w:r>
          <w:rPr>
            <w:sz w:val="22"/>
            <w:szCs w:val="22"/>
            <w:lang w:val="cs-CZ" w:eastAsia="cs-CZ"/>
          </w:rPr>
          <w:delText> </w:delText>
        </w:r>
        <w:r w:rsidRPr="008D2E61">
          <w:rPr>
            <w:sz w:val="22"/>
            <w:szCs w:val="22"/>
            <w:lang w:val="cs-CZ" w:eastAsia="cs-CZ"/>
          </w:rPr>
          <w:delText>dlouhodobých prodloužených studiích, které nezahrnovaly kontrolní skupinu, s</w:delText>
        </w:r>
        <w:r>
          <w:rPr>
            <w:sz w:val="22"/>
            <w:szCs w:val="22"/>
            <w:lang w:val="cs-CZ" w:eastAsia="cs-CZ"/>
          </w:rPr>
          <w:delText> </w:delText>
        </w:r>
        <w:r w:rsidRPr="008D2E61">
          <w:rPr>
            <w:sz w:val="22"/>
            <w:szCs w:val="22"/>
            <w:lang w:val="cs-CZ" w:eastAsia="cs-CZ"/>
          </w:rPr>
          <w:delText>průměrnou expozicí přípravku přibližně 1–2 roky, zejména u</w:delText>
        </w:r>
        <w:r>
          <w:rPr>
            <w:sz w:val="22"/>
            <w:szCs w:val="22"/>
            <w:lang w:val="cs-CZ" w:eastAsia="cs-CZ"/>
          </w:rPr>
          <w:delText> </w:delText>
        </w:r>
        <w:r w:rsidRPr="008D2E61">
          <w:rPr>
            <w:sz w:val="22"/>
            <w:szCs w:val="22"/>
            <w:lang w:val="cs-CZ" w:eastAsia="cs-CZ"/>
          </w:rPr>
          <w:delText>pacientů s</w:delText>
        </w:r>
        <w:r>
          <w:rPr>
            <w:sz w:val="22"/>
            <w:szCs w:val="22"/>
            <w:lang w:val="cs-CZ" w:eastAsia="cs-CZ"/>
          </w:rPr>
          <w:delText> </w:delText>
        </w:r>
        <w:r w:rsidRPr="008D2E61">
          <w:rPr>
            <w:sz w:val="22"/>
            <w:szCs w:val="22"/>
            <w:lang w:val="cs-CZ" w:eastAsia="cs-CZ"/>
          </w:rPr>
          <w:delText>Crohnovou chorobou a</w:delText>
        </w:r>
        <w:r>
          <w:rPr>
            <w:sz w:val="22"/>
            <w:szCs w:val="22"/>
            <w:lang w:val="cs-CZ" w:eastAsia="cs-CZ"/>
          </w:rPr>
          <w:delText> </w:delText>
        </w:r>
        <w:r w:rsidRPr="008D2E61">
          <w:rPr>
            <w:sz w:val="22"/>
            <w:szCs w:val="22"/>
            <w:lang w:val="cs-CZ" w:eastAsia="cs-CZ"/>
          </w:rPr>
          <w:delText>ulcerózní kolitidou. Mechanismus tohoto účinku není jasný, mohl by však souviset s</w:delText>
        </w:r>
        <w:r>
          <w:rPr>
            <w:sz w:val="22"/>
            <w:szCs w:val="22"/>
            <w:lang w:val="cs-CZ" w:eastAsia="cs-CZ"/>
          </w:rPr>
          <w:delText> </w:delText>
        </w:r>
        <w:r w:rsidRPr="008D2E61">
          <w:rPr>
            <w:sz w:val="22"/>
            <w:szCs w:val="22"/>
            <w:lang w:val="cs-CZ" w:eastAsia="cs-CZ"/>
          </w:rPr>
          <w:delText>protizánětlivým účinkem adalimumabu.</w:delText>
        </w:r>
      </w:del>
    </w:p>
    <w:p w14:paraId="2FF5E876" w14:textId="77777777" w:rsidR="00AC40EA" w:rsidRPr="001B4A02" w:rsidRDefault="00AC40EA" w:rsidP="00ED48A3">
      <w:pPr>
        <w:ind w:left="0" w:firstLine="0"/>
        <w:rPr>
          <w:del w:id="5242" w:author="AbbVie1" w:date="2025-05-13T09:50:00Z"/>
        </w:rPr>
      </w:pPr>
    </w:p>
    <w:p w14:paraId="07E3CAB7" w14:textId="77777777" w:rsidR="00AC40EA" w:rsidRPr="001B4A02" w:rsidRDefault="00000000" w:rsidP="00D279BC">
      <w:pPr>
        <w:keepNext/>
        <w:ind w:left="0" w:firstLine="0"/>
        <w:rPr>
          <w:del w:id="5243" w:author="AbbVie1" w:date="2025-05-13T09:50:00Z"/>
          <w:u w:val="single"/>
        </w:rPr>
      </w:pPr>
      <w:del w:id="5244" w:author="AbbVie1" w:date="2025-05-13T09:50:00Z">
        <w:r w:rsidRPr="001B4A02">
          <w:rPr>
            <w:u w:val="single"/>
          </w:rPr>
          <w:delText>Hidradenitis suppurativa</w:delText>
        </w:r>
      </w:del>
    </w:p>
    <w:p w14:paraId="48E48BC6" w14:textId="77777777" w:rsidR="00AC40EA" w:rsidRPr="001B4A02" w:rsidRDefault="00AC40EA" w:rsidP="00D279BC">
      <w:pPr>
        <w:keepNext/>
        <w:ind w:left="0" w:firstLine="0"/>
        <w:rPr>
          <w:del w:id="5245" w:author="AbbVie1" w:date="2025-05-13T09:50:00Z"/>
        </w:rPr>
      </w:pPr>
    </w:p>
    <w:p w14:paraId="02D2F4BD" w14:textId="77777777" w:rsidR="00073F8F" w:rsidRPr="001B4A02" w:rsidRDefault="00000000" w:rsidP="00ED48A3">
      <w:pPr>
        <w:ind w:left="0" w:firstLine="0"/>
        <w:rPr>
          <w:del w:id="5246" w:author="AbbVie1" w:date="2025-05-13T09:50:00Z"/>
        </w:rPr>
      </w:pPr>
      <w:del w:id="5247" w:author="AbbVie1" w:date="2025-05-13T09:50:00Z">
        <w:r w:rsidRPr="001B4A02">
          <w:delText>Bezpečnostní profil u</w:delText>
        </w:r>
        <w:r w:rsidR="00C048C3" w:rsidRPr="001B4A02">
          <w:delText> </w:delText>
        </w:r>
        <w:r w:rsidRPr="001B4A02">
          <w:delText>pacientů s</w:delText>
        </w:r>
        <w:r w:rsidR="008506F3" w:rsidRPr="001B4A02">
          <w:delText> </w:delText>
        </w:r>
        <w:r w:rsidRPr="001B4A02">
          <w:delText>hidradenitis suppurativa léčených přípravkem Humira jednou týdně byl v</w:delText>
        </w:r>
        <w:r w:rsidR="00EF0AF7" w:rsidRPr="001B4A02">
          <w:delText> </w:delText>
        </w:r>
        <w:r w:rsidRPr="001B4A02">
          <w:delText>souladu se známým bezpečnostním profilem přípravku Humira.</w:delText>
        </w:r>
      </w:del>
    </w:p>
    <w:p w14:paraId="7203A6E9" w14:textId="77777777" w:rsidR="00AC40EA" w:rsidRPr="001B4A02" w:rsidRDefault="00AC40EA" w:rsidP="00ED48A3">
      <w:pPr>
        <w:ind w:left="0" w:firstLine="0"/>
        <w:rPr>
          <w:del w:id="5248" w:author="AbbVie1" w:date="2025-05-13T09:50:00Z"/>
        </w:rPr>
      </w:pPr>
    </w:p>
    <w:p w14:paraId="112737F4" w14:textId="77777777" w:rsidR="0085179A" w:rsidRPr="001B4A02" w:rsidRDefault="00000000" w:rsidP="00D279BC">
      <w:pPr>
        <w:keepNext/>
        <w:rPr>
          <w:del w:id="5249" w:author="AbbVie1" w:date="2025-05-13T09:50:00Z"/>
          <w:szCs w:val="22"/>
          <w:u w:val="single"/>
        </w:rPr>
      </w:pPr>
      <w:del w:id="5250" w:author="AbbVie1" w:date="2025-05-13T09:50:00Z">
        <w:r w:rsidRPr="001B4A02">
          <w:rPr>
            <w:szCs w:val="22"/>
            <w:u w:val="single"/>
          </w:rPr>
          <w:delText>Uveitida</w:delText>
        </w:r>
      </w:del>
    </w:p>
    <w:p w14:paraId="289A470F" w14:textId="77777777" w:rsidR="0085179A" w:rsidRPr="001B4A02" w:rsidRDefault="0085179A" w:rsidP="00D279BC">
      <w:pPr>
        <w:keepNext/>
        <w:rPr>
          <w:del w:id="5251" w:author="AbbVie1" w:date="2025-05-13T09:50:00Z"/>
          <w:szCs w:val="22"/>
          <w:u w:val="single"/>
        </w:rPr>
      </w:pPr>
    </w:p>
    <w:p w14:paraId="41A4E5DD" w14:textId="77777777" w:rsidR="0085179A" w:rsidRPr="001B4A02" w:rsidRDefault="00000000" w:rsidP="00ED48A3">
      <w:pPr>
        <w:ind w:left="0" w:firstLine="0"/>
        <w:rPr>
          <w:del w:id="5252" w:author="AbbVie1" w:date="2025-05-13T09:50:00Z"/>
          <w:szCs w:val="22"/>
        </w:rPr>
      </w:pPr>
      <w:del w:id="5253" w:author="AbbVie1" w:date="2025-05-13T09:50:00Z">
        <w:r w:rsidRPr="001B4A02">
          <w:delText>Bezpečnostní profil u</w:delText>
        </w:r>
        <w:r w:rsidR="00C048C3" w:rsidRPr="001B4A02">
          <w:delText> </w:delText>
        </w:r>
        <w:r w:rsidRPr="001B4A02">
          <w:delText>pacientů s</w:delText>
        </w:r>
        <w:r w:rsidR="008506F3" w:rsidRPr="001B4A02">
          <w:delText> </w:delText>
        </w:r>
        <w:r w:rsidRPr="001B4A02">
          <w:delText>uveitidou léčených přípravkem Humira jednou za dva týdny byl v souladu se známým bezpečnostním profilem přípravku Humira.</w:delText>
        </w:r>
      </w:del>
    </w:p>
    <w:p w14:paraId="6E1319D6" w14:textId="77777777" w:rsidR="0085179A" w:rsidRPr="001B4A02" w:rsidRDefault="0085179A" w:rsidP="00D279BC">
      <w:pPr>
        <w:ind w:left="0" w:firstLine="0"/>
        <w:rPr>
          <w:del w:id="5254" w:author="AbbVie1" w:date="2025-05-13T09:50:00Z"/>
        </w:rPr>
      </w:pPr>
    </w:p>
    <w:p w14:paraId="6DD31CAD" w14:textId="77777777" w:rsidR="009441F7" w:rsidRPr="001B4A02" w:rsidRDefault="00000000" w:rsidP="00ED48A3">
      <w:pPr>
        <w:keepNext/>
        <w:ind w:left="0" w:firstLine="0"/>
        <w:rPr>
          <w:del w:id="5255" w:author="AbbVie1" w:date="2025-05-13T09:50:00Z"/>
          <w:u w:val="single"/>
        </w:rPr>
      </w:pPr>
      <w:del w:id="5256" w:author="AbbVie1" w:date="2025-05-13T09:50:00Z">
        <w:r w:rsidRPr="001B4A02">
          <w:rPr>
            <w:u w:val="single"/>
          </w:rPr>
          <w:delText>Popis vybraných nežádoucích účinků</w:delText>
        </w:r>
      </w:del>
    </w:p>
    <w:p w14:paraId="57001574" w14:textId="77777777" w:rsidR="009441F7" w:rsidRPr="001B4A02" w:rsidRDefault="009441F7" w:rsidP="00ED48A3">
      <w:pPr>
        <w:keepNext/>
        <w:ind w:left="0" w:firstLine="0"/>
        <w:rPr>
          <w:del w:id="5257" w:author="AbbVie1" w:date="2025-05-13T09:50:00Z"/>
          <w:u w:val="single"/>
        </w:rPr>
      </w:pPr>
    </w:p>
    <w:p w14:paraId="3943DFAE" w14:textId="77777777" w:rsidR="00073F8F" w:rsidRPr="001B4A02" w:rsidRDefault="00000000" w:rsidP="00D279BC">
      <w:pPr>
        <w:keepNext/>
        <w:ind w:left="0" w:firstLine="0"/>
        <w:rPr>
          <w:del w:id="5258" w:author="AbbVie1" w:date="2025-05-13T09:50:00Z"/>
          <w:i/>
        </w:rPr>
      </w:pPr>
      <w:del w:id="5259" w:author="AbbVie1" w:date="2025-05-13T09:50:00Z">
        <w:r w:rsidRPr="001B4A02">
          <w:rPr>
            <w:i/>
          </w:rPr>
          <w:delText>Reakce v místě injekčního vpichu</w:delText>
        </w:r>
      </w:del>
    </w:p>
    <w:p w14:paraId="7BE8D632" w14:textId="77777777" w:rsidR="00073F8F" w:rsidRPr="001B4A02" w:rsidRDefault="00073F8F" w:rsidP="00D279BC">
      <w:pPr>
        <w:keepNext/>
        <w:ind w:left="0" w:firstLine="0"/>
        <w:rPr>
          <w:del w:id="5260" w:author="AbbVie1" w:date="2025-05-13T09:50:00Z"/>
        </w:rPr>
      </w:pPr>
    </w:p>
    <w:p w14:paraId="2E6E4103" w14:textId="77777777" w:rsidR="00073F8F" w:rsidRPr="001B4A02" w:rsidRDefault="00000000" w:rsidP="00ED48A3">
      <w:pPr>
        <w:ind w:left="0" w:firstLine="0"/>
        <w:rPr>
          <w:del w:id="5261" w:author="AbbVie1" w:date="2025-05-13T09:50:00Z"/>
        </w:rPr>
      </w:pPr>
      <w:del w:id="5262" w:author="AbbVie1" w:date="2025-05-13T09:50:00Z">
        <w:r w:rsidRPr="001B4A02">
          <w:delText>V klíčových kontrolovaných studiích se u </w:delText>
        </w:r>
        <w:r w:rsidR="00AC40EA" w:rsidRPr="001B4A02">
          <w:delText>12,9</w:delText>
        </w:r>
        <w:r w:rsidR="006008CB">
          <w:delText> %</w:delText>
        </w:r>
        <w:r w:rsidRPr="001B4A02">
          <w:delText xml:space="preserve"> </w:delText>
        </w:r>
        <w:r w:rsidR="00B52459" w:rsidRPr="001B4A02">
          <w:delText>dětských</w:delText>
        </w:r>
        <w:r w:rsidR="002378E0">
          <w:delText xml:space="preserve"> a </w:delText>
        </w:r>
        <w:r w:rsidR="00B52459" w:rsidRPr="001B4A02">
          <w:delText xml:space="preserve">dospělých </w:delText>
        </w:r>
        <w:r w:rsidRPr="001B4A02">
          <w:delText>pacientů léčených přípravkem Humira vyvinuly reakce v místě vpichu (erytém a/nebo svědění, krvácení, bolest nebo otok) v porovnání s</w:delText>
        </w:r>
        <w:r w:rsidR="00DD6A2B" w:rsidRPr="001B4A02">
          <w:delText>e</w:delText>
        </w:r>
        <w:r w:rsidR="007A273F" w:rsidRPr="001B4A02">
          <w:delText> 7,2</w:delText>
        </w:r>
        <w:r w:rsidR="006008CB">
          <w:delText> %</w:delText>
        </w:r>
        <w:r w:rsidRPr="001B4A02">
          <w:delText xml:space="preserve"> pacientů léčených placebem nebo aktivní kontrolou. Reakce v místě injekčního vpichu nevyžadovaly přerušení podávání léčivého přípravku.</w:delText>
        </w:r>
      </w:del>
    </w:p>
    <w:p w14:paraId="56C0EBE0" w14:textId="77777777" w:rsidR="00073F8F" w:rsidRPr="001B4A02" w:rsidRDefault="00073F8F" w:rsidP="00ED48A3">
      <w:pPr>
        <w:ind w:left="0" w:firstLine="0"/>
        <w:rPr>
          <w:del w:id="5263" w:author="AbbVie1" w:date="2025-05-13T09:50:00Z"/>
        </w:rPr>
      </w:pPr>
    </w:p>
    <w:p w14:paraId="4225DDC5" w14:textId="77777777" w:rsidR="00073F8F" w:rsidRPr="001B4A02" w:rsidRDefault="00000000" w:rsidP="00D279BC">
      <w:pPr>
        <w:keepNext/>
        <w:ind w:left="0" w:firstLine="0"/>
        <w:rPr>
          <w:del w:id="5264" w:author="AbbVie1" w:date="2025-05-13T09:50:00Z"/>
          <w:i/>
        </w:rPr>
      </w:pPr>
      <w:del w:id="5265" w:author="AbbVie1" w:date="2025-05-13T09:50:00Z">
        <w:r w:rsidRPr="001B4A02">
          <w:rPr>
            <w:i/>
          </w:rPr>
          <w:delText>Infekce</w:delText>
        </w:r>
      </w:del>
    </w:p>
    <w:p w14:paraId="41B9AFE6" w14:textId="77777777" w:rsidR="00073F8F" w:rsidRPr="001B4A02" w:rsidRDefault="00073F8F" w:rsidP="00D279BC">
      <w:pPr>
        <w:keepNext/>
        <w:ind w:left="0" w:firstLine="0"/>
        <w:rPr>
          <w:del w:id="5266" w:author="AbbVie1" w:date="2025-05-13T09:50:00Z"/>
        </w:rPr>
      </w:pPr>
    </w:p>
    <w:p w14:paraId="0B9DE286" w14:textId="77777777" w:rsidR="00073F8F" w:rsidRPr="001B4A02" w:rsidRDefault="00000000" w:rsidP="00ED48A3">
      <w:pPr>
        <w:ind w:left="0" w:firstLine="0"/>
        <w:rPr>
          <w:del w:id="5267" w:author="AbbVie1" w:date="2025-05-13T09:50:00Z"/>
          <w:szCs w:val="22"/>
        </w:rPr>
      </w:pPr>
      <w:del w:id="5268" w:author="AbbVie1" w:date="2025-05-13T09:50:00Z">
        <w:r w:rsidRPr="001B4A02">
          <w:delText>V klíčových kontrolovaných studiích se u </w:delText>
        </w:r>
        <w:r w:rsidR="00B52459" w:rsidRPr="001B4A02">
          <w:delText>dětských</w:delText>
        </w:r>
        <w:r w:rsidR="002378E0">
          <w:delText xml:space="preserve"> a </w:delText>
        </w:r>
        <w:r w:rsidR="00B52459" w:rsidRPr="001B4A02">
          <w:delText xml:space="preserve">dospělých </w:delText>
        </w:r>
        <w:r w:rsidRPr="001B4A02">
          <w:delText>pacientů léčených přípravkem Humira vyskytla infekce ve frekvenci 1,</w:delText>
        </w:r>
        <w:r w:rsidR="007840E5" w:rsidRPr="001B4A02">
          <w:delText>51</w:delText>
        </w:r>
        <w:r w:rsidR="002378E0">
          <w:delText xml:space="preserve"> a </w:delText>
        </w:r>
        <w:r w:rsidRPr="001B4A02">
          <w:delText>u pacientů léčených placebem nebo aktivní kontrolou ve frekvenci 1,</w:delText>
        </w:r>
        <w:r w:rsidR="00AC40EA" w:rsidRPr="001B4A02">
          <w:delText>46 </w:delText>
        </w:r>
        <w:r w:rsidRPr="001B4A02">
          <w:delText xml:space="preserve">případů na pacienta léčeného po dobu jednoho roku (případ/pacient/rok). </w:delText>
        </w:r>
        <w:r w:rsidRPr="001B4A02">
          <w:rPr>
            <w:szCs w:val="22"/>
          </w:rPr>
          <w:delText>Jednalo se především o nazofaryngitidu, infekci horních cest dýchacích</w:delText>
        </w:r>
        <w:r w:rsidR="002378E0">
          <w:rPr>
            <w:szCs w:val="22"/>
          </w:rPr>
          <w:delText xml:space="preserve"> a </w:delText>
        </w:r>
        <w:r w:rsidR="00AC40EA" w:rsidRPr="001B4A02">
          <w:rPr>
            <w:szCs w:val="22"/>
          </w:rPr>
          <w:delText>sinusitidu</w:delText>
        </w:r>
        <w:r w:rsidRPr="001B4A02">
          <w:rPr>
            <w:szCs w:val="22"/>
          </w:rPr>
          <w:delText>. Většina pacientů pokračovala po vyléčení inf</w:delText>
        </w:r>
        <w:r w:rsidR="00AC7C92" w:rsidRPr="001B4A02">
          <w:rPr>
            <w:szCs w:val="22"/>
          </w:rPr>
          <w:delText>ekce v léčbě přípravkem Humira.</w:delText>
        </w:r>
      </w:del>
    </w:p>
    <w:p w14:paraId="4307EB99" w14:textId="77777777" w:rsidR="00073F8F" w:rsidRPr="001B4A02" w:rsidRDefault="00073F8F" w:rsidP="00ED48A3">
      <w:pPr>
        <w:ind w:left="0" w:firstLine="0"/>
        <w:rPr>
          <w:del w:id="5269" w:author="AbbVie1" w:date="2025-05-13T09:50:00Z"/>
          <w:szCs w:val="22"/>
        </w:rPr>
      </w:pPr>
    </w:p>
    <w:p w14:paraId="21E619E9" w14:textId="77777777" w:rsidR="00073F8F" w:rsidRPr="001B4A02" w:rsidRDefault="00000000" w:rsidP="00ED48A3">
      <w:pPr>
        <w:ind w:left="0" w:firstLine="0"/>
        <w:rPr>
          <w:del w:id="5270" w:author="AbbVie1" w:date="2025-05-13T09:50:00Z"/>
        </w:rPr>
      </w:pPr>
      <w:del w:id="5271" w:author="AbbVie1" w:date="2025-05-13T09:50:00Z">
        <w:r w:rsidRPr="001B4A02">
          <w:delText>Výskyt závažných infekcí u</w:delText>
        </w:r>
        <w:r w:rsidR="00C048C3" w:rsidRPr="001B4A02">
          <w:delText> </w:delText>
        </w:r>
        <w:r w:rsidRPr="001B4A02">
          <w:delText>pacientů léčených přípravkem Humira činil 0,0</w:delText>
        </w:r>
        <w:r w:rsidR="00545FBD" w:rsidRPr="001B4A02">
          <w:delText>4</w:delText>
        </w:r>
        <w:r w:rsidRPr="001B4A02">
          <w:delText> případů/pacient/rok</w:delText>
        </w:r>
        <w:r w:rsidR="002378E0">
          <w:delText xml:space="preserve"> a </w:delText>
        </w:r>
        <w:r w:rsidRPr="001B4A02">
          <w:delText>u pacientů léčených placebem nebo aktivní kontrolou 0,0</w:delText>
        </w:r>
        <w:r w:rsidR="00545FBD" w:rsidRPr="001B4A02">
          <w:delText>3</w:delText>
        </w:r>
        <w:r w:rsidR="00AC7C92" w:rsidRPr="001B4A02">
          <w:delText> případů/pacient/rok.</w:delText>
        </w:r>
      </w:del>
    </w:p>
    <w:p w14:paraId="137CC482" w14:textId="77777777" w:rsidR="00073F8F" w:rsidRPr="001B4A02" w:rsidRDefault="00073F8F" w:rsidP="00ED48A3">
      <w:pPr>
        <w:ind w:left="0" w:firstLine="0"/>
        <w:rPr>
          <w:del w:id="5272" w:author="AbbVie1" w:date="2025-05-13T09:50:00Z"/>
        </w:rPr>
      </w:pPr>
    </w:p>
    <w:p w14:paraId="348B5FEE" w14:textId="77777777" w:rsidR="00073F8F" w:rsidRPr="001B4A02" w:rsidRDefault="00000000" w:rsidP="00ED48A3">
      <w:pPr>
        <w:ind w:left="0" w:firstLine="0"/>
        <w:rPr>
          <w:del w:id="5273" w:author="AbbVie1" w:date="2025-05-13T09:50:00Z"/>
        </w:rPr>
      </w:pPr>
      <w:del w:id="5274" w:author="AbbVie1" w:date="2025-05-13T09:50:00Z">
        <w:r w:rsidRPr="001B4A02">
          <w:rPr>
            <w:szCs w:val="22"/>
          </w:rPr>
          <w:delText>V kontrolovaných</w:delText>
        </w:r>
        <w:r w:rsidR="002378E0">
          <w:rPr>
            <w:szCs w:val="22"/>
          </w:rPr>
          <w:delText xml:space="preserve"> a </w:delText>
        </w:r>
        <w:r w:rsidRPr="001B4A02">
          <w:rPr>
            <w:szCs w:val="22"/>
          </w:rPr>
          <w:delText>otevřených studiích</w:delText>
        </w:r>
        <w:r w:rsidR="00B52459" w:rsidRPr="001B4A02">
          <w:rPr>
            <w:szCs w:val="22"/>
          </w:rPr>
          <w:delText xml:space="preserve"> u</w:delText>
        </w:r>
        <w:r w:rsidR="00C048C3" w:rsidRPr="001B4A02">
          <w:rPr>
            <w:szCs w:val="22"/>
          </w:rPr>
          <w:delText> </w:delText>
        </w:r>
        <w:r w:rsidR="00B52459" w:rsidRPr="001B4A02">
          <w:rPr>
            <w:szCs w:val="22"/>
          </w:rPr>
          <w:delText>dospělých i pediatrických pacientů</w:delText>
        </w:r>
        <w:r w:rsidRPr="001B4A02">
          <w:rPr>
            <w:szCs w:val="22"/>
          </w:rPr>
          <w:delText xml:space="preserve"> s přípravkem Humira byly hlášeny závažné infekce (včetně fat</w:delText>
        </w:r>
        <w:r w:rsidR="007C35FF" w:rsidRPr="001B4A02">
          <w:rPr>
            <w:szCs w:val="22"/>
          </w:rPr>
          <w:delText>á</w:delText>
        </w:r>
        <w:r w:rsidRPr="001B4A02">
          <w:rPr>
            <w:szCs w:val="22"/>
          </w:rPr>
          <w:delText>lních infekcí, které se vyskytovaly vzácně), jako jsou tuberkulóza (včetně miliární</w:delText>
        </w:r>
        <w:r w:rsidR="002378E0">
          <w:rPr>
            <w:szCs w:val="22"/>
          </w:rPr>
          <w:delText xml:space="preserve"> a </w:delText>
        </w:r>
        <w:r w:rsidRPr="001B4A02">
          <w:rPr>
            <w:szCs w:val="22"/>
          </w:rPr>
          <w:delText>mimoplicní tuberkulózy)</w:delText>
        </w:r>
        <w:r w:rsidR="002378E0">
          <w:rPr>
            <w:szCs w:val="22"/>
          </w:rPr>
          <w:delText xml:space="preserve"> a </w:delText>
        </w:r>
        <w:r w:rsidRPr="001B4A02">
          <w:rPr>
            <w:szCs w:val="22"/>
          </w:rPr>
          <w:delText>invazivní oportunní infekce (např. diseminov</w:delText>
        </w:r>
        <w:r w:rsidR="007C35FF" w:rsidRPr="001B4A02">
          <w:rPr>
            <w:szCs w:val="22"/>
          </w:rPr>
          <w:delText>an</w:delText>
        </w:r>
        <w:r w:rsidRPr="001B4A02">
          <w:rPr>
            <w:szCs w:val="22"/>
          </w:rPr>
          <w:delText>á nebo mimoplicní histoplasmóza, blastocystóza, kokcidiomykóza, pneumocystóza, kandidóza, aspergilóza</w:delText>
        </w:r>
        <w:r w:rsidR="002378E0">
          <w:rPr>
            <w:szCs w:val="22"/>
          </w:rPr>
          <w:delText xml:space="preserve"> a </w:delText>
        </w:r>
        <w:r w:rsidRPr="001B4A02">
          <w:rPr>
            <w:szCs w:val="22"/>
          </w:rPr>
          <w:delText>listerióza). Většina případů tuberkulózy se vyskytla v prvních osmi měsících po zahájení léčby</w:delText>
        </w:r>
        <w:r w:rsidR="002378E0">
          <w:rPr>
            <w:szCs w:val="22"/>
          </w:rPr>
          <w:delText xml:space="preserve"> a </w:delText>
        </w:r>
        <w:r w:rsidRPr="001B4A02">
          <w:rPr>
            <w:szCs w:val="22"/>
          </w:rPr>
          <w:delText>mohlo se jednat o opětovné vzplanutí latentního onemocnění.</w:delText>
        </w:r>
      </w:del>
    </w:p>
    <w:p w14:paraId="61EC09D9" w14:textId="77777777" w:rsidR="00073F8F" w:rsidRPr="001B4A02" w:rsidRDefault="00073F8F" w:rsidP="00ED48A3">
      <w:pPr>
        <w:ind w:left="0" w:firstLine="0"/>
        <w:rPr>
          <w:del w:id="5275" w:author="AbbVie1" w:date="2025-05-13T09:50:00Z"/>
        </w:rPr>
      </w:pPr>
    </w:p>
    <w:p w14:paraId="3742A240" w14:textId="77777777" w:rsidR="00073F8F" w:rsidRPr="001B4A02" w:rsidRDefault="00000000" w:rsidP="00CE5DAE">
      <w:pPr>
        <w:pStyle w:val="EMEAHeadingUnderline"/>
        <w:keepNext/>
        <w:tabs>
          <w:tab w:val="clear" w:pos="562"/>
        </w:tabs>
        <w:suppressAutoHyphens w:val="0"/>
        <w:spacing w:beforeLines="0" w:before="0" w:afterLines="0" w:after="0"/>
        <w:rPr>
          <w:del w:id="5276" w:author="AbbVie1" w:date="2025-05-13T09:50:00Z"/>
          <w:i/>
          <w:szCs w:val="24"/>
          <w:u w:val="none"/>
          <w:lang w:val="cs-CZ"/>
        </w:rPr>
      </w:pPr>
      <w:del w:id="5277" w:author="AbbVie1" w:date="2025-05-13T09:50:00Z">
        <w:r w:rsidRPr="001B4A02">
          <w:rPr>
            <w:i/>
            <w:szCs w:val="24"/>
            <w:u w:val="none"/>
            <w:lang w:val="cs-CZ"/>
          </w:rPr>
          <w:delText>Maligní onemocněn</w:delText>
        </w:r>
        <w:r w:rsidR="00AC7C92" w:rsidRPr="001B4A02">
          <w:rPr>
            <w:i/>
            <w:szCs w:val="24"/>
            <w:u w:val="none"/>
            <w:lang w:val="cs-CZ"/>
          </w:rPr>
          <w:delText>í</w:delText>
        </w:r>
        <w:r w:rsidR="002378E0">
          <w:rPr>
            <w:i/>
            <w:szCs w:val="24"/>
            <w:u w:val="none"/>
            <w:lang w:val="cs-CZ"/>
          </w:rPr>
          <w:delText xml:space="preserve"> a </w:delText>
        </w:r>
        <w:r w:rsidR="00AC7C92" w:rsidRPr="001B4A02">
          <w:rPr>
            <w:i/>
            <w:szCs w:val="24"/>
            <w:u w:val="none"/>
            <w:lang w:val="cs-CZ"/>
          </w:rPr>
          <w:delText>lymfoproliferativní poruchy</w:delText>
        </w:r>
      </w:del>
    </w:p>
    <w:p w14:paraId="1257319E" w14:textId="77777777" w:rsidR="00073F8F" w:rsidRPr="001B4A02" w:rsidRDefault="00073F8F" w:rsidP="00CE5DAE">
      <w:pPr>
        <w:keepNext/>
        <w:rPr>
          <w:del w:id="5278" w:author="AbbVie1" w:date="2025-05-13T09:50:00Z"/>
        </w:rPr>
      </w:pPr>
    </w:p>
    <w:p w14:paraId="36172F00" w14:textId="77777777" w:rsidR="007840E5" w:rsidRPr="001B4A02" w:rsidRDefault="00000000" w:rsidP="00ED48A3">
      <w:pPr>
        <w:pStyle w:val="EMEANormal"/>
        <w:tabs>
          <w:tab w:val="clear" w:pos="562"/>
        </w:tabs>
        <w:suppressAutoHyphens w:val="0"/>
        <w:rPr>
          <w:del w:id="5279" w:author="AbbVie1" w:date="2025-05-13T09:50:00Z"/>
          <w:lang w:val="cs-CZ"/>
        </w:rPr>
      </w:pPr>
      <w:del w:id="5280" w:author="AbbVie1" w:date="2025-05-13T09:50:00Z">
        <w:r w:rsidRPr="001B4A02">
          <w:rPr>
            <w:lang w:val="cs-CZ"/>
          </w:rPr>
          <w:delText xml:space="preserve">Ve </w:delText>
        </w:r>
        <w:r w:rsidR="00C03E1F" w:rsidRPr="001B4A02">
          <w:rPr>
            <w:lang w:val="cs-CZ"/>
          </w:rPr>
          <w:delText xml:space="preserve">studiích </w:delText>
        </w:r>
        <w:r w:rsidRPr="001B4A02">
          <w:rPr>
            <w:lang w:val="cs-CZ"/>
          </w:rPr>
          <w:delText>s přípravkem Humira nebyly u</w:delText>
        </w:r>
        <w:r w:rsidR="00772903" w:rsidRPr="001B4A02">
          <w:rPr>
            <w:lang w:val="cs-CZ"/>
          </w:rPr>
          <w:delText xml:space="preserve"> 249 pediatrických </w:delText>
        </w:r>
        <w:r w:rsidRPr="001B4A02">
          <w:rPr>
            <w:lang w:val="cs-CZ"/>
          </w:rPr>
          <w:delText xml:space="preserve">pacientů s juvenilní idiopatickou artritidou </w:delText>
        </w:r>
        <w:r w:rsidR="00772903" w:rsidRPr="001B4A02">
          <w:rPr>
            <w:lang w:val="cs-CZ"/>
          </w:rPr>
          <w:delText>(polyartikulární juvenilní idiopatickou artritidou</w:delText>
        </w:r>
        <w:r w:rsidR="002378E0">
          <w:rPr>
            <w:lang w:val="cs-CZ"/>
          </w:rPr>
          <w:delText xml:space="preserve"> a </w:delText>
        </w:r>
        <w:r w:rsidR="00772903" w:rsidRPr="001B4A02">
          <w:rPr>
            <w:lang w:val="cs-CZ"/>
          </w:rPr>
          <w:delText>ente</w:delText>
        </w:r>
        <w:r w:rsidR="00E44CD4" w:rsidRPr="001B4A02">
          <w:rPr>
            <w:lang w:val="cs-CZ"/>
          </w:rPr>
          <w:delText>zopatickou</w:delText>
        </w:r>
        <w:r w:rsidR="00772903" w:rsidRPr="001B4A02">
          <w:rPr>
            <w:lang w:val="cs-CZ"/>
          </w:rPr>
          <w:delText xml:space="preserve"> artritidou) </w:delText>
        </w:r>
        <w:r w:rsidRPr="001B4A02">
          <w:rPr>
            <w:lang w:val="cs-CZ"/>
          </w:rPr>
          <w:delText xml:space="preserve">pozorovány žádné malignity při expozici odpovídající </w:delText>
        </w:r>
        <w:r w:rsidR="00772903" w:rsidRPr="001B4A02">
          <w:rPr>
            <w:lang w:val="cs-CZ"/>
          </w:rPr>
          <w:delText>655,6</w:delText>
        </w:r>
        <w:r w:rsidRPr="001B4A02">
          <w:rPr>
            <w:lang w:val="cs-CZ"/>
          </w:rPr>
          <w:delText xml:space="preserve"> pacient</w:delText>
        </w:r>
        <w:r w:rsidR="00221860" w:rsidRPr="001B4A02">
          <w:rPr>
            <w:lang w:val="cs-CZ"/>
          </w:rPr>
          <w:delText>orokům</w:delText>
        </w:r>
        <w:r w:rsidRPr="001B4A02">
          <w:rPr>
            <w:lang w:val="cs-CZ"/>
          </w:rPr>
          <w:delText xml:space="preserve"> léčby.</w:delText>
        </w:r>
        <w:r w:rsidR="00062315" w:rsidRPr="001B4A02">
          <w:rPr>
            <w:lang w:val="cs-CZ"/>
          </w:rPr>
          <w:delText xml:space="preserve"> Žádné malignity nebyly navíc </w:delText>
        </w:r>
        <w:r w:rsidR="00B52459" w:rsidRPr="001B4A02">
          <w:rPr>
            <w:lang w:val="cs-CZ"/>
          </w:rPr>
          <w:delText>pozorovány ani u</w:delText>
        </w:r>
        <w:r w:rsidR="00C048C3" w:rsidRPr="001B4A02">
          <w:rPr>
            <w:lang w:val="cs-CZ"/>
          </w:rPr>
          <w:delText> </w:delText>
        </w:r>
        <w:r w:rsidR="00B52459" w:rsidRPr="001B4A02">
          <w:rPr>
            <w:lang w:val="cs-CZ"/>
          </w:rPr>
          <w:delText xml:space="preserve">192 pediatrických pacientů při expozici </w:delText>
        </w:r>
        <w:r w:rsidR="00612E9B" w:rsidRPr="001B4A02">
          <w:rPr>
            <w:lang w:val="cs-CZ"/>
          </w:rPr>
          <w:delText>498,1</w:delText>
        </w:r>
        <w:r w:rsidR="00B52459" w:rsidRPr="001B4A02">
          <w:rPr>
            <w:lang w:val="cs-CZ"/>
          </w:rPr>
          <w:delText xml:space="preserve"> pacientoroků léčby v průběhu </w:delText>
        </w:r>
        <w:r w:rsidR="00C03E1F" w:rsidRPr="001B4A02">
          <w:rPr>
            <w:lang w:val="cs-CZ"/>
          </w:rPr>
          <w:delText xml:space="preserve">studií </w:delText>
        </w:r>
        <w:r w:rsidR="00B52459" w:rsidRPr="001B4A02">
          <w:rPr>
            <w:lang w:val="cs-CZ"/>
          </w:rPr>
          <w:delText xml:space="preserve">s přípravkem Humira, </w:delText>
        </w:r>
        <w:r w:rsidR="00C03E1F" w:rsidRPr="001B4A02">
          <w:rPr>
            <w:lang w:val="cs-CZ"/>
          </w:rPr>
          <w:delText xml:space="preserve">zaměřených </w:delText>
        </w:r>
        <w:r w:rsidR="00B52459" w:rsidRPr="001B4A02">
          <w:rPr>
            <w:lang w:val="cs-CZ"/>
          </w:rPr>
          <w:delText>na pediatrické pacienty s Crohnovou chorobou.</w:delText>
        </w:r>
        <w:r w:rsidRPr="001B4A02">
          <w:rPr>
            <w:lang w:val="cs-CZ"/>
          </w:rPr>
          <w:delText xml:space="preserve"> Žádné malignity nebyly pozorovány u</w:delText>
        </w:r>
        <w:r w:rsidR="00EF0AF7" w:rsidRPr="001B4A02">
          <w:rPr>
            <w:lang w:val="cs-CZ"/>
          </w:rPr>
          <w:delText> </w:delText>
        </w:r>
        <w:r w:rsidRPr="001B4A02">
          <w:rPr>
            <w:lang w:val="cs-CZ"/>
          </w:rPr>
          <w:delText>77 pediatrických pacientů při expozici 80 pacientoroků léčby v průběhu studie s přípravkem Humira u</w:delText>
        </w:r>
        <w:r w:rsidR="00C048C3" w:rsidRPr="001B4A02">
          <w:rPr>
            <w:lang w:val="cs-CZ"/>
          </w:rPr>
          <w:delText> </w:delText>
        </w:r>
        <w:r w:rsidRPr="001B4A02">
          <w:rPr>
            <w:lang w:val="cs-CZ"/>
          </w:rPr>
          <w:delText>pediatrických pacientů s chronickou ložiskovou psoriázou.</w:delText>
        </w:r>
        <w:r w:rsidR="004205D5" w:rsidRPr="001B4A02">
          <w:rPr>
            <w:lang w:val="cs-CZ"/>
          </w:rPr>
          <w:delText xml:space="preserve"> </w:delText>
        </w:r>
        <w:r w:rsidR="00FA04EC" w:rsidRPr="00295D4C">
          <w:rPr>
            <w:lang w:val="cs-CZ"/>
          </w:rPr>
          <w:delText>Žádné malignity nebyly pozorovány u</w:delText>
        </w:r>
        <w:r w:rsidR="00390F17" w:rsidRPr="001B4A02">
          <w:rPr>
            <w:lang w:val="cs-CZ"/>
          </w:rPr>
          <w:delText> </w:delText>
        </w:r>
        <w:r w:rsidR="00FA04EC" w:rsidRPr="00295D4C">
          <w:rPr>
            <w:lang w:val="cs-CZ"/>
          </w:rPr>
          <w:delText>93 pediatrických pacientů při expozici 65,3 pacientoroků léčby v</w:delText>
        </w:r>
        <w:r w:rsidR="00390F17">
          <w:rPr>
            <w:lang w:val="cs-CZ"/>
          </w:rPr>
          <w:delText> </w:delText>
        </w:r>
        <w:r w:rsidR="00FA04EC" w:rsidRPr="00295D4C">
          <w:rPr>
            <w:lang w:val="cs-CZ"/>
          </w:rPr>
          <w:delText>průběhu studie s</w:delText>
        </w:r>
        <w:r w:rsidR="00390F17">
          <w:rPr>
            <w:lang w:val="cs-CZ"/>
          </w:rPr>
          <w:delText> </w:delText>
        </w:r>
        <w:r w:rsidR="00FA04EC" w:rsidRPr="00295D4C">
          <w:rPr>
            <w:lang w:val="cs-CZ"/>
          </w:rPr>
          <w:delText>přípravkem Humira u</w:delText>
        </w:r>
        <w:r w:rsidR="00390F17" w:rsidRPr="001B4A02">
          <w:rPr>
            <w:lang w:val="cs-CZ"/>
          </w:rPr>
          <w:delText> </w:delText>
        </w:r>
        <w:r w:rsidR="00FA04EC" w:rsidRPr="00295D4C">
          <w:rPr>
            <w:lang w:val="cs-CZ"/>
          </w:rPr>
          <w:delText>pediatrických pacientů s</w:delText>
        </w:r>
        <w:r w:rsidR="00390F17">
          <w:rPr>
            <w:lang w:val="cs-CZ"/>
          </w:rPr>
          <w:delText> </w:delText>
        </w:r>
        <w:r w:rsidR="00FA04EC" w:rsidRPr="00295D4C">
          <w:rPr>
            <w:lang w:val="cs-CZ"/>
          </w:rPr>
          <w:delText>ulcerózní kolitidou</w:delText>
        </w:r>
        <w:r w:rsidR="00D81774" w:rsidRPr="001D2137">
          <w:rPr>
            <w:rStyle w:val="normaltextrun"/>
            <w:shd w:val="clear" w:color="auto" w:fill="FFFFFF"/>
            <w:lang w:val="cs-CZ"/>
          </w:rPr>
          <w:delText>.</w:delText>
        </w:r>
        <w:r w:rsidR="00D81774" w:rsidRPr="001B4A02">
          <w:rPr>
            <w:szCs w:val="22"/>
            <w:lang w:val="cs-CZ"/>
          </w:rPr>
          <w:delText xml:space="preserve"> </w:delText>
        </w:r>
        <w:r w:rsidR="004205D5" w:rsidRPr="001B4A02">
          <w:rPr>
            <w:szCs w:val="22"/>
            <w:lang w:val="cs-CZ"/>
          </w:rPr>
          <w:delText>U</w:delText>
        </w:r>
        <w:r w:rsidR="00EF0AF7" w:rsidRPr="001B4A02">
          <w:rPr>
            <w:szCs w:val="22"/>
            <w:lang w:val="cs-CZ"/>
          </w:rPr>
          <w:delText> </w:delText>
        </w:r>
        <w:r w:rsidR="004205D5" w:rsidRPr="001B4A02">
          <w:rPr>
            <w:szCs w:val="22"/>
            <w:lang w:val="cs-CZ"/>
          </w:rPr>
          <w:delText>60</w:delText>
        </w:r>
        <w:r w:rsidR="00EF0AF7" w:rsidRPr="001B4A02">
          <w:rPr>
            <w:szCs w:val="22"/>
            <w:lang w:val="cs-CZ"/>
          </w:rPr>
          <w:delText xml:space="preserve"> </w:delText>
        </w:r>
        <w:r w:rsidR="004205D5" w:rsidRPr="001B4A02">
          <w:rPr>
            <w:szCs w:val="22"/>
            <w:lang w:val="cs-CZ"/>
          </w:rPr>
          <w:delText>pediatrických pacientů s</w:delText>
        </w:r>
        <w:r w:rsidR="008506F3" w:rsidRPr="001B4A02">
          <w:rPr>
            <w:szCs w:val="22"/>
            <w:lang w:val="cs-CZ"/>
          </w:rPr>
          <w:delText> </w:delText>
        </w:r>
        <w:r w:rsidR="004205D5" w:rsidRPr="001B4A02">
          <w:rPr>
            <w:szCs w:val="22"/>
            <w:lang w:val="cs-CZ"/>
          </w:rPr>
          <w:delText xml:space="preserve">expozicí 58,4 pacientoroků </w:delText>
        </w:r>
        <w:r w:rsidR="000B5567" w:rsidRPr="001B4A02">
          <w:rPr>
            <w:szCs w:val="22"/>
            <w:lang w:val="cs-CZ"/>
          </w:rPr>
          <w:delText xml:space="preserve">nebyly pozorovány žádné malignity </w:delText>
        </w:r>
        <w:r w:rsidR="004205D5" w:rsidRPr="001B4A02">
          <w:rPr>
            <w:szCs w:val="22"/>
            <w:lang w:val="cs-CZ"/>
          </w:rPr>
          <w:delText>během klinického hodnocení s</w:delText>
        </w:r>
        <w:r w:rsidR="008506F3" w:rsidRPr="001B4A02">
          <w:rPr>
            <w:szCs w:val="22"/>
            <w:lang w:val="cs-CZ"/>
          </w:rPr>
          <w:delText> </w:delText>
        </w:r>
        <w:r w:rsidR="004205D5" w:rsidRPr="001B4A02">
          <w:rPr>
            <w:szCs w:val="22"/>
            <w:lang w:val="cs-CZ"/>
          </w:rPr>
          <w:delText>přípravkem Humira u</w:delText>
        </w:r>
        <w:r w:rsidR="00C048C3" w:rsidRPr="001B4A02">
          <w:rPr>
            <w:szCs w:val="22"/>
            <w:lang w:val="cs-CZ"/>
          </w:rPr>
          <w:delText> </w:delText>
        </w:r>
        <w:r w:rsidR="004205D5" w:rsidRPr="001B4A02">
          <w:rPr>
            <w:szCs w:val="22"/>
            <w:lang w:val="cs-CZ"/>
          </w:rPr>
          <w:delText>pediatrických pacientů s</w:delText>
        </w:r>
        <w:r w:rsidR="008506F3" w:rsidRPr="001B4A02">
          <w:rPr>
            <w:szCs w:val="22"/>
            <w:lang w:val="cs-CZ"/>
          </w:rPr>
          <w:delText> </w:delText>
        </w:r>
        <w:r w:rsidR="004205D5" w:rsidRPr="001B4A02">
          <w:rPr>
            <w:szCs w:val="22"/>
            <w:lang w:val="cs-CZ"/>
          </w:rPr>
          <w:delText>uveitidou.</w:delText>
        </w:r>
      </w:del>
    </w:p>
    <w:p w14:paraId="3272DA1C" w14:textId="77777777" w:rsidR="00B52459" w:rsidRPr="001B4A02" w:rsidRDefault="00B52459" w:rsidP="00ED48A3">
      <w:pPr>
        <w:pStyle w:val="EMEANormal"/>
        <w:tabs>
          <w:tab w:val="clear" w:pos="562"/>
          <w:tab w:val="left" w:pos="708"/>
        </w:tabs>
        <w:suppressAutoHyphens w:val="0"/>
        <w:rPr>
          <w:del w:id="5281" w:author="AbbVie1" w:date="2025-05-13T09:50:00Z"/>
          <w:lang w:val="cs-CZ"/>
        </w:rPr>
      </w:pPr>
    </w:p>
    <w:p w14:paraId="7B26261B" w14:textId="77777777" w:rsidR="00073F8F" w:rsidRPr="001B4A02" w:rsidRDefault="00000000" w:rsidP="00ED48A3">
      <w:pPr>
        <w:pStyle w:val="EMEANormal"/>
        <w:tabs>
          <w:tab w:val="clear" w:pos="562"/>
        </w:tabs>
        <w:suppressAutoHyphens w:val="0"/>
        <w:rPr>
          <w:del w:id="5282" w:author="AbbVie1" w:date="2025-05-13T09:50:00Z"/>
          <w:lang w:val="cs-CZ"/>
        </w:rPr>
      </w:pPr>
      <w:del w:id="5283" w:author="AbbVie1" w:date="2025-05-13T09:50:00Z">
        <w:r w:rsidRPr="001B4A02">
          <w:rPr>
            <w:lang w:val="cs-CZ"/>
          </w:rPr>
          <w:delText xml:space="preserve">V průběhu kontrolovaného období klíčových klinických studií </w:delText>
        </w:r>
        <w:r w:rsidR="00B52459" w:rsidRPr="001B4A02">
          <w:rPr>
            <w:lang w:val="cs-CZ"/>
          </w:rPr>
          <w:delText>u</w:delText>
        </w:r>
        <w:r w:rsidR="00C048C3" w:rsidRPr="001B4A02">
          <w:rPr>
            <w:lang w:val="cs-CZ"/>
          </w:rPr>
          <w:delText> </w:delText>
        </w:r>
        <w:r w:rsidR="00B52459" w:rsidRPr="001B4A02">
          <w:rPr>
            <w:lang w:val="cs-CZ"/>
          </w:rPr>
          <w:delText>dospělých pacientů</w:delText>
        </w:r>
        <w:r w:rsidRPr="001B4A02">
          <w:rPr>
            <w:lang w:val="cs-CZ"/>
          </w:rPr>
          <w:delText xml:space="preserve"> s přípravkem Humira, v trvání nejméně 12 týdnů</w:delText>
        </w:r>
        <w:r w:rsidR="00C223B0" w:rsidRPr="001B4A02">
          <w:rPr>
            <w:lang w:val="cs-CZ"/>
          </w:rPr>
          <w:delText>,</w:delText>
        </w:r>
        <w:r w:rsidRPr="001B4A02">
          <w:rPr>
            <w:lang w:val="cs-CZ"/>
          </w:rPr>
          <w:delText xml:space="preserve"> byly u pacientů se středně těžkou až těžkou aktivní revmatoidní artritidou, </w:delText>
        </w:r>
        <w:r w:rsidR="00B81991" w:rsidRPr="001B4A02">
          <w:rPr>
            <w:lang w:val="cs-CZ"/>
          </w:rPr>
          <w:delText xml:space="preserve">ankylozující spondylitidou, </w:delText>
        </w:r>
        <w:r w:rsidR="003B01F1" w:rsidRPr="001B4A02">
          <w:rPr>
            <w:szCs w:val="22"/>
            <w:lang w:val="cs-CZ"/>
          </w:rPr>
          <w:delText>axiální spondylartritidou bez radiologického průkazu AS,</w:delText>
        </w:r>
        <w:r w:rsidR="003B01F1" w:rsidRPr="001B4A02">
          <w:rPr>
            <w:lang w:val="cs-CZ"/>
          </w:rPr>
          <w:delText xml:space="preserve"> </w:delText>
        </w:r>
        <w:r w:rsidRPr="001B4A02">
          <w:rPr>
            <w:lang w:val="cs-CZ"/>
          </w:rPr>
          <w:delText xml:space="preserve">psoriatickou artritidou, </w:delText>
        </w:r>
        <w:r w:rsidR="00B81991" w:rsidRPr="001B4A02">
          <w:rPr>
            <w:lang w:val="cs-CZ"/>
          </w:rPr>
          <w:delText xml:space="preserve">psoriázou, </w:delText>
        </w:r>
        <w:r w:rsidR="00AC40EA" w:rsidRPr="001B4A02">
          <w:rPr>
            <w:lang w:val="cs-CZ"/>
          </w:rPr>
          <w:delText xml:space="preserve">hidradenitis suppurativa, </w:delText>
        </w:r>
        <w:r w:rsidRPr="001B4A02">
          <w:rPr>
            <w:lang w:val="cs-CZ"/>
          </w:rPr>
          <w:delText>Crohnovou chorobou</w:delText>
        </w:r>
        <w:r w:rsidR="007A273F" w:rsidRPr="001B4A02">
          <w:rPr>
            <w:lang w:val="cs-CZ"/>
          </w:rPr>
          <w:delText>,</w:delText>
        </w:r>
        <w:r w:rsidRPr="001B4A02">
          <w:rPr>
            <w:lang w:val="cs-CZ"/>
          </w:rPr>
          <w:delText xml:space="preserve"> </w:delText>
        </w:r>
        <w:r w:rsidR="008177B2" w:rsidRPr="001B4A02">
          <w:rPr>
            <w:lang w:val="cs-CZ"/>
          </w:rPr>
          <w:delText>ulcerózní</w:delText>
        </w:r>
        <w:r w:rsidR="00B81991" w:rsidRPr="001B4A02">
          <w:rPr>
            <w:lang w:val="cs-CZ"/>
          </w:rPr>
          <w:delText xml:space="preserve"> kolitidou</w:delText>
        </w:r>
        <w:r w:rsidR="002378E0">
          <w:rPr>
            <w:lang w:val="cs-CZ"/>
          </w:rPr>
          <w:delText xml:space="preserve"> a </w:delText>
        </w:r>
        <w:r w:rsidR="007A273F" w:rsidRPr="001B4A02">
          <w:rPr>
            <w:lang w:val="cs-CZ"/>
          </w:rPr>
          <w:delText xml:space="preserve">uveitidou </w:delText>
        </w:r>
        <w:r w:rsidRPr="001B4A02">
          <w:rPr>
            <w:lang w:val="cs-CZ"/>
          </w:rPr>
          <w:delText xml:space="preserve">pozorovány případy malignit jiného druhu, než jsou lymfomy či nemelanomový karcinom kůže, s četností výskytu </w:delText>
        </w:r>
        <w:r w:rsidR="007A273F" w:rsidRPr="001B4A02">
          <w:rPr>
            <w:lang w:val="cs-CZ"/>
          </w:rPr>
          <w:delText>6,8 (4,4</w:delText>
        </w:r>
        <w:r w:rsidR="002378E0">
          <w:rPr>
            <w:lang w:val="cs-CZ"/>
          </w:rPr>
          <w:delText xml:space="preserve"> a </w:delText>
        </w:r>
        <w:r w:rsidR="007A273F" w:rsidRPr="001B4A02">
          <w:rPr>
            <w:lang w:val="cs-CZ"/>
          </w:rPr>
          <w:delText>10,5)</w:delText>
        </w:r>
        <w:r w:rsidRPr="001B4A02">
          <w:rPr>
            <w:lang w:val="cs-CZ"/>
          </w:rPr>
          <w:delText xml:space="preserve"> (na 1</w:delText>
        </w:r>
        <w:r w:rsidR="009F584E" w:rsidRPr="001B4A02">
          <w:rPr>
            <w:lang w:val="cs-CZ"/>
          </w:rPr>
          <w:delText> </w:delText>
        </w:r>
        <w:r w:rsidRPr="001B4A02">
          <w:rPr>
            <w:lang w:val="cs-CZ"/>
          </w:rPr>
          <w:delText>000 pacient</w:delText>
        </w:r>
        <w:r w:rsidR="00221860" w:rsidRPr="001B4A02">
          <w:rPr>
            <w:lang w:val="cs-CZ"/>
          </w:rPr>
          <w:delText>oroků</w:delText>
        </w:r>
        <w:r w:rsidRPr="001B4A02">
          <w:rPr>
            <w:lang w:val="cs-CZ"/>
          </w:rPr>
          <w:delText xml:space="preserve"> při 95% intervalu spolehlivosti, </w:delText>
        </w:r>
        <w:r w:rsidRPr="001B4A02">
          <w:rPr>
            <w:iCs/>
            <w:lang w:val="cs-CZ"/>
          </w:rPr>
          <w:delText>v</w:delText>
        </w:r>
        <w:r w:rsidR="00AC7C92" w:rsidRPr="001B4A02">
          <w:rPr>
            <w:iCs/>
            <w:lang w:val="cs-CZ"/>
          </w:rPr>
          <w:delText> </w:delText>
        </w:r>
        <w:r w:rsidRPr="001B4A02">
          <w:rPr>
            <w:iCs/>
            <w:lang w:val="cs-CZ"/>
          </w:rPr>
          <w:delText>porovnání</w:delText>
        </w:r>
        <w:r w:rsidRPr="001B4A02">
          <w:rPr>
            <w:lang w:val="cs-CZ"/>
          </w:rPr>
          <w:delText xml:space="preserve"> s četností jejich výskytu </w:delText>
        </w:r>
        <w:r w:rsidR="007A273F" w:rsidRPr="001B4A02">
          <w:rPr>
            <w:lang w:val="cs-CZ"/>
          </w:rPr>
          <w:delText>6,3 (3,4</w:delText>
        </w:r>
        <w:r w:rsidR="002378E0">
          <w:rPr>
            <w:lang w:val="cs-CZ"/>
          </w:rPr>
          <w:delText xml:space="preserve"> a </w:delText>
        </w:r>
        <w:r w:rsidR="007A273F" w:rsidRPr="001B4A02">
          <w:rPr>
            <w:lang w:val="cs-CZ"/>
          </w:rPr>
          <w:delText>11,8)</w:delText>
        </w:r>
        <w:r w:rsidRPr="001B4A02">
          <w:rPr>
            <w:lang w:val="cs-CZ"/>
          </w:rPr>
          <w:delText xml:space="preserve"> na 1</w:delText>
        </w:r>
        <w:r w:rsidR="009F584E" w:rsidRPr="001B4A02">
          <w:rPr>
            <w:lang w:val="cs-CZ"/>
          </w:rPr>
          <w:delText> </w:delText>
        </w:r>
        <w:r w:rsidRPr="001B4A02">
          <w:rPr>
            <w:lang w:val="cs-CZ"/>
          </w:rPr>
          <w:delText>000 pacient</w:delText>
        </w:r>
        <w:r w:rsidR="00221860" w:rsidRPr="001B4A02">
          <w:rPr>
            <w:lang w:val="cs-CZ"/>
          </w:rPr>
          <w:delText>oroků</w:delText>
        </w:r>
        <w:r w:rsidRPr="001B4A02">
          <w:rPr>
            <w:lang w:val="cs-CZ"/>
          </w:rPr>
          <w:delText xml:space="preserve"> u kontrolní skupiny. Skupina s přípravkem Humira zahrnovala </w:delText>
        </w:r>
        <w:r w:rsidR="007A273F" w:rsidRPr="001B4A02">
          <w:rPr>
            <w:lang w:val="cs-CZ"/>
          </w:rPr>
          <w:delText>5 291</w:delText>
        </w:r>
        <w:r w:rsidR="00AC40EA" w:rsidRPr="001B4A02">
          <w:rPr>
            <w:lang w:val="cs-CZ"/>
          </w:rPr>
          <w:delText xml:space="preserve"> </w:delText>
        </w:r>
        <w:r w:rsidRPr="001B4A02">
          <w:rPr>
            <w:lang w:val="cs-CZ"/>
          </w:rPr>
          <w:delText>pacientů</w:delText>
        </w:r>
        <w:r w:rsidR="002378E0">
          <w:rPr>
            <w:lang w:val="cs-CZ"/>
          </w:rPr>
          <w:delText xml:space="preserve"> a </w:delText>
        </w:r>
        <w:r w:rsidR="007A273F" w:rsidRPr="001B4A02">
          <w:rPr>
            <w:lang w:val="cs-CZ"/>
          </w:rPr>
          <w:delText>3 443</w:delText>
        </w:r>
        <w:r w:rsidR="00D639F8" w:rsidRPr="001B4A02">
          <w:rPr>
            <w:lang w:val="cs-CZ"/>
          </w:rPr>
          <w:delText xml:space="preserve"> </w:delText>
        </w:r>
        <w:r w:rsidRPr="001B4A02">
          <w:rPr>
            <w:lang w:val="cs-CZ"/>
          </w:rPr>
          <w:delText xml:space="preserve">pacientů bylo v kontrolní skupině (průměrná doba trvání léčby byla </w:delText>
        </w:r>
        <w:r w:rsidR="00D639F8" w:rsidRPr="001B4A02">
          <w:rPr>
            <w:lang w:val="cs-CZ"/>
          </w:rPr>
          <w:delText>4,0</w:delText>
        </w:r>
        <w:r w:rsidRPr="001B4A02">
          <w:rPr>
            <w:lang w:val="cs-CZ"/>
          </w:rPr>
          <w:delText xml:space="preserve"> měsíc</w:delText>
        </w:r>
        <w:r w:rsidR="00D81A88" w:rsidRPr="001B4A02">
          <w:rPr>
            <w:lang w:val="cs-CZ"/>
          </w:rPr>
          <w:delText>e</w:delText>
        </w:r>
        <w:r w:rsidRPr="001B4A02">
          <w:rPr>
            <w:lang w:val="cs-CZ"/>
          </w:rPr>
          <w:delText xml:space="preserve"> u</w:delText>
        </w:r>
        <w:r w:rsidR="00C048C3" w:rsidRPr="001B4A02">
          <w:rPr>
            <w:lang w:val="cs-CZ"/>
          </w:rPr>
          <w:delText> </w:delText>
        </w:r>
        <w:r w:rsidRPr="001B4A02">
          <w:rPr>
            <w:lang w:val="cs-CZ"/>
          </w:rPr>
          <w:delText>přípravku Humira</w:delText>
        </w:r>
        <w:r w:rsidR="002378E0">
          <w:rPr>
            <w:lang w:val="cs-CZ"/>
          </w:rPr>
          <w:delText xml:space="preserve"> a </w:delText>
        </w:r>
        <w:r w:rsidR="007A273F" w:rsidRPr="001B4A02">
          <w:rPr>
            <w:lang w:val="cs-CZ"/>
          </w:rPr>
          <w:delText>3,8</w:delText>
        </w:r>
        <w:r w:rsidRPr="001B4A02">
          <w:rPr>
            <w:lang w:val="cs-CZ"/>
          </w:rPr>
          <w:delText xml:space="preserve"> měsíc</w:delText>
        </w:r>
        <w:r w:rsidR="007A273F" w:rsidRPr="001B4A02">
          <w:rPr>
            <w:lang w:val="cs-CZ"/>
          </w:rPr>
          <w:delText>e</w:delText>
        </w:r>
        <w:r w:rsidRPr="001B4A02">
          <w:rPr>
            <w:lang w:val="cs-CZ"/>
          </w:rPr>
          <w:delText xml:space="preserve"> u pacientů léčených kontrolou). Četnost výskytu kožních karcinomů nemelanomového typu (95% interval spolehlivosti) byla </w:delText>
        </w:r>
        <w:r w:rsidR="007A273F" w:rsidRPr="001B4A02">
          <w:rPr>
            <w:lang w:val="cs-CZ"/>
          </w:rPr>
          <w:delText>8,8 (6,0</w:delText>
        </w:r>
        <w:r w:rsidR="002378E0">
          <w:rPr>
            <w:lang w:val="cs-CZ"/>
          </w:rPr>
          <w:delText xml:space="preserve"> a </w:delText>
        </w:r>
        <w:r w:rsidR="007A273F" w:rsidRPr="001B4A02">
          <w:rPr>
            <w:lang w:val="cs-CZ"/>
          </w:rPr>
          <w:delText>13,0)</w:delText>
        </w:r>
        <w:r w:rsidRPr="001B4A02">
          <w:rPr>
            <w:lang w:val="cs-CZ"/>
          </w:rPr>
          <w:delText xml:space="preserve"> na 1</w:delText>
        </w:r>
        <w:r w:rsidR="009F584E" w:rsidRPr="001B4A02">
          <w:rPr>
            <w:lang w:val="cs-CZ"/>
          </w:rPr>
          <w:delText> </w:delText>
        </w:r>
        <w:r w:rsidRPr="001B4A02">
          <w:rPr>
            <w:lang w:val="cs-CZ"/>
          </w:rPr>
          <w:delText>000 pacient</w:delText>
        </w:r>
        <w:r w:rsidR="00221860" w:rsidRPr="001B4A02">
          <w:rPr>
            <w:lang w:val="cs-CZ"/>
          </w:rPr>
          <w:delText>oroků</w:delText>
        </w:r>
        <w:r w:rsidRPr="001B4A02">
          <w:rPr>
            <w:lang w:val="cs-CZ"/>
          </w:rPr>
          <w:delText xml:space="preserve"> u</w:delText>
        </w:r>
        <w:r w:rsidR="00C048C3" w:rsidRPr="001B4A02">
          <w:rPr>
            <w:lang w:val="cs-CZ"/>
          </w:rPr>
          <w:delText> </w:delText>
        </w:r>
        <w:r w:rsidRPr="001B4A02">
          <w:rPr>
            <w:lang w:val="cs-CZ"/>
          </w:rPr>
          <w:delText>pacientů léčených přípravkem Humira</w:delText>
        </w:r>
        <w:r w:rsidR="002378E0">
          <w:rPr>
            <w:lang w:val="cs-CZ"/>
          </w:rPr>
          <w:delText xml:space="preserve"> a </w:delText>
        </w:r>
        <w:r w:rsidR="007A273F" w:rsidRPr="001B4A02">
          <w:rPr>
            <w:lang w:val="cs-CZ"/>
          </w:rPr>
          <w:delText>3,2 (1,3</w:delText>
        </w:r>
        <w:r w:rsidR="002378E0">
          <w:rPr>
            <w:lang w:val="cs-CZ"/>
          </w:rPr>
          <w:delText xml:space="preserve"> a </w:delText>
        </w:r>
        <w:r w:rsidR="007A273F" w:rsidRPr="001B4A02">
          <w:rPr>
            <w:lang w:val="cs-CZ"/>
          </w:rPr>
          <w:delText>7,6)</w:delText>
        </w:r>
        <w:r w:rsidRPr="001B4A02">
          <w:rPr>
            <w:lang w:val="cs-CZ"/>
          </w:rPr>
          <w:delText xml:space="preserve"> na 1</w:delText>
        </w:r>
        <w:r w:rsidR="009F584E" w:rsidRPr="001B4A02">
          <w:rPr>
            <w:lang w:val="cs-CZ"/>
          </w:rPr>
          <w:delText> </w:delText>
        </w:r>
        <w:r w:rsidRPr="001B4A02">
          <w:rPr>
            <w:lang w:val="cs-CZ"/>
          </w:rPr>
          <w:delText>000 pacient</w:delText>
        </w:r>
        <w:r w:rsidR="00221860" w:rsidRPr="001B4A02">
          <w:rPr>
            <w:lang w:val="cs-CZ"/>
          </w:rPr>
          <w:delText>oroků</w:delText>
        </w:r>
        <w:r w:rsidRPr="001B4A02">
          <w:rPr>
            <w:lang w:val="cs-CZ"/>
          </w:rPr>
          <w:delText xml:space="preserve"> v kontrolní skupině. Z těchto kožních karcinomů se skvamózní buněčný karcinom vyskytoval s četností </w:delText>
        </w:r>
        <w:r w:rsidR="007A273F" w:rsidRPr="001B4A02">
          <w:rPr>
            <w:lang w:val="cs-CZ"/>
          </w:rPr>
          <w:delText>2,7 (1,4</w:delText>
        </w:r>
        <w:r w:rsidR="002378E0">
          <w:rPr>
            <w:lang w:val="cs-CZ"/>
          </w:rPr>
          <w:delText xml:space="preserve"> a </w:delText>
        </w:r>
        <w:r w:rsidR="007A273F" w:rsidRPr="001B4A02">
          <w:rPr>
            <w:lang w:val="cs-CZ"/>
          </w:rPr>
          <w:delText>5,4)</w:delText>
        </w:r>
        <w:r w:rsidRPr="001B4A02">
          <w:rPr>
            <w:lang w:val="cs-CZ"/>
          </w:rPr>
          <w:delText xml:space="preserve"> na 1</w:delText>
        </w:r>
        <w:r w:rsidR="009F584E" w:rsidRPr="001B4A02">
          <w:rPr>
            <w:lang w:val="cs-CZ"/>
          </w:rPr>
          <w:delText> </w:delText>
        </w:r>
        <w:r w:rsidRPr="001B4A02">
          <w:rPr>
            <w:lang w:val="cs-CZ"/>
          </w:rPr>
          <w:delText>000 pacient</w:delText>
        </w:r>
        <w:r w:rsidR="00545FBD" w:rsidRPr="001B4A02">
          <w:rPr>
            <w:lang w:val="cs-CZ"/>
          </w:rPr>
          <w:delText>oroků</w:delText>
        </w:r>
        <w:r w:rsidRPr="001B4A02">
          <w:rPr>
            <w:lang w:val="cs-CZ"/>
          </w:rPr>
          <w:delText xml:space="preserve"> při 95% intervalu spolehlivosti u</w:delText>
        </w:r>
        <w:r w:rsidR="00AC7C92" w:rsidRPr="001B4A02">
          <w:rPr>
            <w:lang w:val="cs-CZ"/>
          </w:rPr>
          <w:delText> </w:delText>
        </w:r>
        <w:r w:rsidRPr="001B4A02">
          <w:rPr>
            <w:lang w:val="cs-CZ"/>
          </w:rPr>
          <w:delText>pacientů léčených přípravkem Humira</w:delText>
        </w:r>
        <w:r w:rsidR="002378E0">
          <w:rPr>
            <w:lang w:val="cs-CZ"/>
          </w:rPr>
          <w:delText xml:space="preserve"> a </w:delText>
        </w:r>
        <w:r w:rsidR="007A273F" w:rsidRPr="001B4A02">
          <w:rPr>
            <w:lang w:val="cs-CZ"/>
          </w:rPr>
          <w:delText>0,6 (0,1</w:delText>
        </w:r>
        <w:r w:rsidR="002378E0">
          <w:rPr>
            <w:lang w:val="cs-CZ"/>
          </w:rPr>
          <w:delText xml:space="preserve"> a </w:delText>
        </w:r>
        <w:r w:rsidR="007A273F" w:rsidRPr="001B4A02">
          <w:rPr>
            <w:lang w:val="cs-CZ"/>
          </w:rPr>
          <w:delText>4,5)</w:delText>
        </w:r>
        <w:r w:rsidRPr="001B4A02">
          <w:rPr>
            <w:lang w:val="cs-CZ"/>
          </w:rPr>
          <w:delText xml:space="preserve"> na 1</w:delText>
        </w:r>
        <w:r w:rsidR="009F584E" w:rsidRPr="001B4A02">
          <w:rPr>
            <w:lang w:val="cs-CZ"/>
          </w:rPr>
          <w:delText> </w:delText>
        </w:r>
        <w:r w:rsidRPr="001B4A02">
          <w:rPr>
            <w:lang w:val="cs-CZ"/>
          </w:rPr>
          <w:delText>000 pacient</w:delText>
        </w:r>
        <w:r w:rsidR="00221860" w:rsidRPr="001B4A02">
          <w:rPr>
            <w:lang w:val="cs-CZ"/>
          </w:rPr>
          <w:delText>oroků</w:delText>
        </w:r>
        <w:r w:rsidRPr="001B4A02">
          <w:rPr>
            <w:lang w:val="cs-CZ"/>
          </w:rPr>
          <w:delText xml:space="preserve"> u kontrolních pacientů. Četnost výskytu lymfomů (95% interval spolehlivosti) byla 0,</w:delText>
        </w:r>
        <w:r w:rsidR="007050DE" w:rsidRPr="001B4A02">
          <w:rPr>
            <w:lang w:val="cs-CZ"/>
          </w:rPr>
          <w:delText xml:space="preserve">7 </w:delText>
        </w:r>
        <w:r w:rsidRPr="001B4A02">
          <w:rPr>
            <w:lang w:val="cs-CZ"/>
          </w:rPr>
          <w:delText>(</w:delText>
        </w:r>
        <w:r w:rsidR="007A273F" w:rsidRPr="001B4A02">
          <w:rPr>
            <w:lang w:val="cs-CZ"/>
          </w:rPr>
          <w:delText>0,2</w:delText>
        </w:r>
        <w:r w:rsidR="002378E0">
          <w:rPr>
            <w:lang w:val="cs-CZ"/>
          </w:rPr>
          <w:delText xml:space="preserve"> a </w:delText>
        </w:r>
        <w:r w:rsidR="007A273F" w:rsidRPr="001B4A02">
          <w:rPr>
            <w:lang w:val="cs-CZ"/>
          </w:rPr>
          <w:delText>2,7</w:delText>
        </w:r>
        <w:r w:rsidRPr="001B4A02">
          <w:rPr>
            <w:lang w:val="cs-CZ"/>
          </w:rPr>
          <w:delText>) na 1</w:delText>
        </w:r>
        <w:r w:rsidR="009F584E" w:rsidRPr="001B4A02">
          <w:rPr>
            <w:lang w:val="cs-CZ"/>
          </w:rPr>
          <w:delText> </w:delText>
        </w:r>
        <w:r w:rsidRPr="001B4A02">
          <w:rPr>
            <w:lang w:val="cs-CZ"/>
          </w:rPr>
          <w:delText>000 pacient</w:delText>
        </w:r>
        <w:r w:rsidR="00221860" w:rsidRPr="001B4A02">
          <w:rPr>
            <w:lang w:val="cs-CZ"/>
          </w:rPr>
          <w:delText>oroků</w:delText>
        </w:r>
        <w:r w:rsidRPr="001B4A02">
          <w:rPr>
            <w:lang w:val="cs-CZ"/>
          </w:rPr>
          <w:delText xml:space="preserve"> u</w:delText>
        </w:r>
        <w:r w:rsidR="00C048C3" w:rsidRPr="001B4A02">
          <w:rPr>
            <w:lang w:val="cs-CZ"/>
          </w:rPr>
          <w:delText> </w:delText>
        </w:r>
        <w:r w:rsidRPr="001B4A02">
          <w:rPr>
            <w:lang w:val="cs-CZ"/>
          </w:rPr>
          <w:delText>pacientů léčených přípravkem Humira</w:delText>
        </w:r>
        <w:r w:rsidR="002378E0">
          <w:rPr>
            <w:lang w:val="cs-CZ"/>
          </w:rPr>
          <w:delText xml:space="preserve"> a </w:delText>
        </w:r>
        <w:r w:rsidR="007A273F" w:rsidRPr="001B4A02">
          <w:rPr>
            <w:lang w:val="cs-CZ"/>
          </w:rPr>
          <w:delText>0,6 (0,1</w:delText>
        </w:r>
        <w:r w:rsidR="002378E0">
          <w:rPr>
            <w:lang w:val="cs-CZ"/>
          </w:rPr>
          <w:delText xml:space="preserve"> a </w:delText>
        </w:r>
        <w:r w:rsidR="007A273F" w:rsidRPr="001B4A02">
          <w:rPr>
            <w:lang w:val="cs-CZ"/>
          </w:rPr>
          <w:delText>4,5)</w:delText>
        </w:r>
        <w:r w:rsidRPr="001B4A02">
          <w:rPr>
            <w:lang w:val="cs-CZ"/>
          </w:rPr>
          <w:delText xml:space="preserve"> na 1</w:delText>
        </w:r>
        <w:r w:rsidR="009F584E" w:rsidRPr="001B4A02">
          <w:rPr>
            <w:lang w:val="cs-CZ"/>
          </w:rPr>
          <w:delText> </w:delText>
        </w:r>
        <w:r w:rsidRPr="001B4A02">
          <w:rPr>
            <w:lang w:val="cs-CZ"/>
          </w:rPr>
          <w:delText>000 pacient</w:delText>
        </w:r>
        <w:r w:rsidR="00545FBD" w:rsidRPr="001B4A02">
          <w:rPr>
            <w:lang w:val="cs-CZ"/>
          </w:rPr>
          <w:delText>oroků</w:delText>
        </w:r>
        <w:r w:rsidR="00062315" w:rsidRPr="001B4A02">
          <w:rPr>
            <w:lang w:val="cs-CZ"/>
          </w:rPr>
          <w:delText xml:space="preserve"> u kontrolních pacientů.</w:delText>
        </w:r>
      </w:del>
    </w:p>
    <w:p w14:paraId="0190D405" w14:textId="77777777" w:rsidR="00073F8F" w:rsidRPr="001B4A02" w:rsidRDefault="00073F8F" w:rsidP="00ED48A3">
      <w:pPr>
        <w:pStyle w:val="EMEANormal"/>
        <w:tabs>
          <w:tab w:val="clear" w:pos="562"/>
        </w:tabs>
        <w:suppressAutoHyphens w:val="0"/>
        <w:rPr>
          <w:del w:id="5284" w:author="AbbVie1" w:date="2025-05-13T09:50:00Z"/>
          <w:szCs w:val="22"/>
          <w:lang w:val="cs-CZ"/>
        </w:rPr>
      </w:pPr>
    </w:p>
    <w:p w14:paraId="2C22812F" w14:textId="77777777" w:rsidR="00073F8F" w:rsidRPr="001B4A02" w:rsidRDefault="00000000" w:rsidP="00ED48A3">
      <w:pPr>
        <w:pStyle w:val="EMEANormal"/>
        <w:tabs>
          <w:tab w:val="clear" w:pos="562"/>
        </w:tabs>
        <w:suppressAutoHyphens w:val="0"/>
        <w:rPr>
          <w:del w:id="5285" w:author="AbbVie1" w:date="2025-05-13T09:50:00Z"/>
          <w:szCs w:val="22"/>
          <w:lang w:val="cs-CZ"/>
        </w:rPr>
      </w:pPr>
      <w:del w:id="5286" w:author="AbbVie1" w:date="2025-05-13T09:50:00Z">
        <w:r w:rsidRPr="001B4A02">
          <w:rPr>
            <w:szCs w:val="22"/>
            <w:lang w:val="cs-CZ"/>
          </w:rPr>
          <w:delText>Když se zkombinují kontrolovaná období těchto studií</w:delText>
        </w:r>
        <w:r w:rsidR="002378E0">
          <w:rPr>
            <w:szCs w:val="22"/>
            <w:lang w:val="cs-CZ"/>
          </w:rPr>
          <w:delText xml:space="preserve"> a </w:delText>
        </w:r>
        <w:r w:rsidRPr="001B4A02">
          <w:rPr>
            <w:szCs w:val="22"/>
            <w:lang w:val="cs-CZ"/>
          </w:rPr>
          <w:delText>probíhající</w:delText>
        </w:r>
        <w:r w:rsidR="002378E0">
          <w:rPr>
            <w:szCs w:val="22"/>
            <w:lang w:val="cs-CZ"/>
          </w:rPr>
          <w:delText xml:space="preserve"> a </w:delText>
        </w:r>
        <w:r w:rsidR="004D12F5" w:rsidRPr="001B4A02">
          <w:rPr>
            <w:szCs w:val="22"/>
            <w:lang w:val="cs-CZ"/>
          </w:rPr>
          <w:delText xml:space="preserve">ukončené </w:delText>
        </w:r>
        <w:r w:rsidRPr="001B4A02">
          <w:rPr>
            <w:szCs w:val="22"/>
            <w:lang w:val="cs-CZ"/>
          </w:rPr>
          <w:delText xml:space="preserve">otevřené rozšířené fáze studií s průměrnou délkou trvání přibližně </w:delText>
        </w:r>
        <w:r w:rsidR="007A273F" w:rsidRPr="001B4A02">
          <w:rPr>
            <w:szCs w:val="22"/>
            <w:lang w:val="cs-CZ"/>
          </w:rPr>
          <w:delText>3,3</w:delText>
        </w:r>
        <w:r w:rsidR="007050DE" w:rsidRPr="001B4A02">
          <w:rPr>
            <w:szCs w:val="22"/>
            <w:lang w:val="cs-CZ"/>
          </w:rPr>
          <w:delText xml:space="preserve"> </w:delText>
        </w:r>
        <w:r w:rsidRPr="001B4A02">
          <w:rPr>
            <w:szCs w:val="22"/>
            <w:lang w:val="cs-CZ"/>
          </w:rPr>
          <w:delText xml:space="preserve">let, zahrnující </w:delText>
        </w:r>
        <w:r w:rsidR="007A273F" w:rsidRPr="001B4A02">
          <w:rPr>
            <w:szCs w:val="22"/>
            <w:lang w:val="cs-CZ"/>
          </w:rPr>
          <w:delText>6 427</w:delText>
        </w:r>
        <w:r w:rsidR="00D639F8" w:rsidRPr="001B4A02">
          <w:rPr>
            <w:szCs w:val="22"/>
            <w:lang w:val="cs-CZ"/>
          </w:rPr>
          <w:delText> </w:delText>
        </w:r>
        <w:r w:rsidRPr="001B4A02">
          <w:rPr>
            <w:szCs w:val="22"/>
            <w:lang w:val="cs-CZ"/>
          </w:rPr>
          <w:delText>pacientů</w:delText>
        </w:r>
        <w:r w:rsidR="002378E0">
          <w:rPr>
            <w:szCs w:val="22"/>
            <w:lang w:val="cs-CZ"/>
          </w:rPr>
          <w:delText xml:space="preserve"> a </w:delText>
        </w:r>
        <w:r w:rsidRPr="001B4A02">
          <w:rPr>
            <w:szCs w:val="22"/>
            <w:lang w:val="cs-CZ"/>
          </w:rPr>
          <w:delText xml:space="preserve">více než </w:delText>
        </w:r>
        <w:r w:rsidR="007A273F" w:rsidRPr="001B4A02">
          <w:rPr>
            <w:szCs w:val="22"/>
            <w:lang w:val="cs-CZ"/>
          </w:rPr>
          <w:delText>26 439</w:delText>
        </w:r>
        <w:r w:rsidR="00D639F8" w:rsidRPr="001B4A02">
          <w:rPr>
            <w:szCs w:val="22"/>
            <w:lang w:val="cs-CZ"/>
          </w:rPr>
          <w:delText> </w:delText>
        </w:r>
        <w:r w:rsidRPr="001B4A02">
          <w:rPr>
            <w:szCs w:val="22"/>
            <w:lang w:val="cs-CZ"/>
          </w:rPr>
          <w:delText>pacient</w:delText>
        </w:r>
        <w:r w:rsidR="00221860" w:rsidRPr="001B4A02">
          <w:rPr>
            <w:lang w:val="cs-CZ"/>
          </w:rPr>
          <w:delText>oroků</w:delText>
        </w:r>
        <w:r w:rsidRPr="001B4A02">
          <w:rPr>
            <w:szCs w:val="22"/>
            <w:lang w:val="cs-CZ"/>
          </w:rPr>
          <w:delText xml:space="preserve"> léčby, pak pozorovaná četnost výskytu malignit jiného typu, než jsou lymfomy</w:delText>
        </w:r>
        <w:r w:rsidR="002378E0">
          <w:rPr>
            <w:szCs w:val="22"/>
            <w:lang w:val="cs-CZ"/>
          </w:rPr>
          <w:delText xml:space="preserve"> a </w:delText>
        </w:r>
        <w:r w:rsidRPr="001B4A02">
          <w:rPr>
            <w:szCs w:val="22"/>
            <w:lang w:val="cs-CZ"/>
          </w:rPr>
          <w:delText xml:space="preserve">nemelanomové karcinomy kůže, činí přibližně </w:delText>
        </w:r>
        <w:r w:rsidR="00C45C38" w:rsidRPr="001B4A02">
          <w:rPr>
            <w:szCs w:val="22"/>
            <w:lang w:val="cs-CZ"/>
          </w:rPr>
          <w:delText>8,</w:delText>
        </w:r>
        <w:r w:rsidR="00D639F8" w:rsidRPr="001B4A02">
          <w:rPr>
            <w:szCs w:val="22"/>
            <w:lang w:val="cs-CZ"/>
          </w:rPr>
          <w:delText>5</w:delText>
        </w:r>
        <w:r w:rsidR="00D639F8" w:rsidRPr="001B4A02">
          <w:rPr>
            <w:szCs w:val="22"/>
            <w:shd w:val="clear" w:color="auto" w:fill="FFFFFF"/>
            <w:lang w:val="cs-CZ"/>
          </w:rPr>
          <w:delText xml:space="preserve"> </w:delText>
        </w:r>
        <w:r w:rsidRPr="001B4A02">
          <w:rPr>
            <w:szCs w:val="22"/>
            <w:shd w:val="clear" w:color="auto" w:fill="FFFFFF"/>
            <w:lang w:val="cs-CZ"/>
          </w:rPr>
          <w:delText>na 1</w:delText>
        </w:r>
        <w:r w:rsidR="009F584E" w:rsidRPr="001B4A02">
          <w:rPr>
            <w:szCs w:val="22"/>
            <w:shd w:val="clear" w:color="auto" w:fill="FFFFFF"/>
            <w:lang w:val="cs-CZ"/>
          </w:rPr>
          <w:delText> </w:delText>
        </w:r>
        <w:r w:rsidRPr="001B4A02">
          <w:rPr>
            <w:szCs w:val="22"/>
            <w:shd w:val="clear" w:color="auto" w:fill="FFFFFF"/>
            <w:lang w:val="cs-CZ"/>
          </w:rPr>
          <w:delText>000</w:delText>
        </w:r>
        <w:r w:rsidRPr="001B4A02">
          <w:rPr>
            <w:szCs w:val="22"/>
            <w:lang w:val="cs-CZ"/>
          </w:rPr>
          <w:delText> pacient</w:delText>
        </w:r>
        <w:r w:rsidR="002C1822" w:rsidRPr="001B4A02">
          <w:rPr>
            <w:lang w:val="cs-CZ"/>
          </w:rPr>
          <w:delText>oroků</w:delText>
        </w:r>
        <w:r w:rsidRPr="001B4A02">
          <w:rPr>
            <w:szCs w:val="22"/>
            <w:lang w:val="cs-CZ"/>
          </w:rPr>
          <w:delText xml:space="preserve">. Pozorovaná četnost výskytu nemelanomového typu kožního karcinomu činí přibližně </w:delText>
        </w:r>
        <w:r w:rsidR="007A273F" w:rsidRPr="001B4A02">
          <w:rPr>
            <w:szCs w:val="22"/>
            <w:lang w:val="cs-CZ"/>
          </w:rPr>
          <w:delText>9,6</w:delText>
        </w:r>
        <w:r w:rsidR="00D639F8" w:rsidRPr="001B4A02">
          <w:rPr>
            <w:szCs w:val="22"/>
            <w:shd w:val="clear" w:color="auto" w:fill="FFFFFF"/>
            <w:lang w:val="cs-CZ"/>
          </w:rPr>
          <w:delText xml:space="preserve"> </w:delText>
        </w:r>
        <w:r w:rsidRPr="001B4A02">
          <w:rPr>
            <w:szCs w:val="22"/>
            <w:shd w:val="clear" w:color="auto" w:fill="FFFFFF"/>
            <w:lang w:val="cs-CZ"/>
          </w:rPr>
          <w:delText>na 1</w:delText>
        </w:r>
        <w:r w:rsidR="009F584E" w:rsidRPr="001B4A02">
          <w:rPr>
            <w:szCs w:val="22"/>
            <w:shd w:val="clear" w:color="auto" w:fill="FFFFFF"/>
            <w:lang w:val="cs-CZ"/>
          </w:rPr>
          <w:delText> </w:delText>
        </w:r>
        <w:r w:rsidRPr="001B4A02">
          <w:rPr>
            <w:szCs w:val="22"/>
            <w:shd w:val="clear" w:color="auto" w:fill="FFFFFF"/>
            <w:lang w:val="cs-CZ"/>
          </w:rPr>
          <w:delText>000</w:delText>
        </w:r>
        <w:r w:rsidRPr="001B4A02">
          <w:rPr>
            <w:szCs w:val="22"/>
            <w:lang w:val="cs-CZ"/>
          </w:rPr>
          <w:delText> pacient</w:delText>
        </w:r>
        <w:r w:rsidR="002C1822" w:rsidRPr="001B4A02">
          <w:rPr>
            <w:lang w:val="cs-CZ"/>
          </w:rPr>
          <w:delText>oroků</w:delText>
        </w:r>
        <w:r w:rsidR="002378E0">
          <w:rPr>
            <w:szCs w:val="22"/>
            <w:lang w:val="cs-CZ"/>
          </w:rPr>
          <w:delText xml:space="preserve"> a </w:delText>
        </w:r>
        <w:r w:rsidRPr="001B4A02">
          <w:rPr>
            <w:szCs w:val="22"/>
            <w:lang w:val="cs-CZ"/>
          </w:rPr>
          <w:delText>pozorovaná četnost lymfomů je přibližně 1,</w:delText>
        </w:r>
        <w:r w:rsidR="00D639F8" w:rsidRPr="001B4A02">
          <w:rPr>
            <w:szCs w:val="22"/>
            <w:lang w:val="cs-CZ"/>
          </w:rPr>
          <w:delText xml:space="preserve">3 </w:delText>
        </w:r>
        <w:r w:rsidRPr="001B4A02">
          <w:rPr>
            <w:szCs w:val="22"/>
            <w:lang w:val="cs-CZ"/>
          </w:rPr>
          <w:delText>na 1</w:delText>
        </w:r>
        <w:r w:rsidR="009F584E" w:rsidRPr="001B4A02">
          <w:rPr>
            <w:szCs w:val="22"/>
            <w:lang w:val="cs-CZ"/>
          </w:rPr>
          <w:delText> </w:delText>
        </w:r>
        <w:r w:rsidRPr="001B4A02">
          <w:rPr>
            <w:szCs w:val="22"/>
            <w:lang w:val="cs-CZ"/>
          </w:rPr>
          <w:delText>000 pacient</w:delText>
        </w:r>
        <w:r w:rsidR="002C1822" w:rsidRPr="001B4A02">
          <w:rPr>
            <w:lang w:val="cs-CZ"/>
          </w:rPr>
          <w:delText>oroků</w:delText>
        </w:r>
        <w:r w:rsidRPr="001B4A02">
          <w:rPr>
            <w:szCs w:val="22"/>
            <w:lang w:val="cs-CZ"/>
          </w:rPr>
          <w:delText>.</w:delText>
        </w:r>
      </w:del>
    </w:p>
    <w:p w14:paraId="42C2B8D9" w14:textId="77777777" w:rsidR="00073F8F" w:rsidRPr="001B4A02" w:rsidRDefault="00073F8F" w:rsidP="00ED48A3">
      <w:pPr>
        <w:ind w:left="0" w:firstLine="0"/>
        <w:rPr>
          <w:del w:id="5287" w:author="AbbVie1" w:date="2025-05-13T09:50:00Z"/>
        </w:rPr>
      </w:pPr>
    </w:p>
    <w:p w14:paraId="433A3AD4" w14:textId="77777777" w:rsidR="00073F8F" w:rsidRPr="001B4A02" w:rsidRDefault="00000000" w:rsidP="00ED48A3">
      <w:pPr>
        <w:ind w:left="0" w:firstLine="0"/>
        <w:rPr>
          <w:del w:id="5288" w:author="AbbVie1" w:date="2025-05-13T09:50:00Z"/>
        </w:rPr>
      </w:pPr>
      <w:del w:id="5289" w:author="AbbVie1" w:date="2025-05-13T09:50:00Z">
        <w:r w:rsidRPr="001B4A02">
          <w:delText>Ve sledování po uvedení přípravku na trh v období od ledna 2003</w:delText>
        </w:r>
        <w:r w:rsidR="00175AA1" w:rsidRPr="001B4A02">
          <w:delText xml:space="preserve"> do prosince 20</w:delText>
        </w:r>
        <w:r w:rsidR="00C45C38" w:rsidRPr="001B4A02">
          <w:delText>10</w:delText>
        </w:r>
        <w:r w:rsidRPr="001B4A02">
          <w:delText>,</w:delText>
        </w:r>
        <w:r w:rsidR="002378E0">
          <w:delText xml:space="preserve"> a </w:delText>
        </w:r>
        <w:r w:rsidRPr="001B4A02">
          <w:delText xml:space="preserve">to především u pacientů s revmatoidní artritidou, činil výskyt </w:delText>
        </w:r>
        <w:r w:rsidRPr="001B4A02">
          <w:rPr>
            <w:szCs w:val="22"/>
            <w:shd w:val="clear" w:color="auto" w:fill="FFFFFF"/>
          </w:rPr>
          <w:delText xml:space="preserve">všech </w:delText>
        </w:r>
        <w:r w:rsidR="009847F2">
          <w:rPr>
            <w:szCs w:val="22"/>
            <w:shd w:val="clear" w:color="auto" w:fill="FFFFFF"/>
          </w:rPr>
          <w:delText xml:space="preserve">spontánně </w:delText>
        </w:r>
        <w:r w:rsidRPr="001B4A02">
          <w:rPr>
            <w:szCs w:val="22"/>
            <w:shd w:val="clear" w:color="auto" w:fill="FFFFFF"/>
          </w:rPr>
          <w:delText xml:space="preserve">hlášených malignit přibližně </w:delText>
        </w:r>
        <w:r w:rsidR="00175AA1" w:rsidRPr="001B4A02">
          <w:rPr>
            <w:szCs w:val="22"/>
            <w:shd w:val="clear" w:color="auto" w:fill="FFFFFF"/>
          </w:rPr>
          <w:delText>2,</w:delText>
        </w:r>
        <w:r w:rsidR="00C45C38" w:rsidRPr="001B4A02">
          <w:rPr>
            <w:szCs w:val="22"/>
            <w:shd w:val="clear" w:color="auto" w:fill="FFFFFF"/>
          </w:rPr>
          <w:delText>7</w:delText>
        </w:r>
        <w:r w:rsidRPr="001B4A02">
          <w:rPr>
            <w:szCs w:val="22"/>
            <w:shd w:val="clear" w:color="auto" w:fill="FFFFFF"/>
          </w:rPr>
          <w:delText xml:space="preserve"> na 1</w:delText>
        </w:r>
        <w:r w:rsidR="009F584E" w:rsidRPr="001B4A02">
          <w:rPr>
            <w:szCs w:val="22"/>
            <w:shd w:val="clear" w:color="auto" w:fill="FFFFFF"/>
          </w:rPr>
          <w:delText> </w:delText>
        </w:r>
        <w:r w:rsidRPr="001B4A02">
          <w:rPr>
            <w:szCs w:val="22"/>
            <w:shd w:val="clear" w:color="auto" w:fill="FFFFFF"/>
          </w:rPr>
          <w:delText>000 </w:delText>
        </w:r>
        <w:r w:rsidRPr="001B4A02">
          <w:rPr>
            <w:szCs w:val="22"/>
          </w:rPr>
          <w:delText>pacient</w:delText>
        </w:r>
        <w:r w:rsidR="00545FBD" w:rsidRPr="001B4A02">
          <w:rPr>
            <w:szCs w:val="22"/>
          </w:rPr>
          <w:delText>oroků</w:delText>
        </w:r>
        <w:r w:rsidR="00175AA1" w:rsidRPr="001B4A02">
          <w:rPr>
            <w:szCs w:val="22"/>
          </w:rPr>
          <w:delText xml:space="preserve"> léčby</w:delText>
        </w:r>
        <w:r w:rsidRPr="001B4A02">
          <w:rPr>
            <w:szCs w:val="22"/>
          </w:rPr>
          <w:delText xml:space="preserve">. </w:delText>
        </w:r>
        <w:r w:rsidR="009847F2">
          <w:rPr>
            <w:szCs w:val="22"/>
          </w:rPr>
          <w:delText>Spontánně h</w:delText>
        </w:r>
        <w:r w:rsidRPr="001B4A02">
          <w:rPr>
            <w:szCs w:val="22"/>
          </w:rPr>
          <w:delText>lášená četnost výskytu u kožního karcinomu nemelanomového typu činila přibližně 0,2</w:delText>
        </w:r>
        <w:r w:rsidR="002378E0">
          <w:rPr>
            <w:szCs w:val="22"/>
          </w:rPr>
          <w:delText xml:space="preserve"> a </w:delText>
        </w:r>
        <w:r w:rsidRPr="001B4A02">
          <w:rPr>
            <w:szCs w:val="22"/>
          </w:rPr>
          <w:delText>u lymfomů přibližně 0,</w:delText>
        </w:r>
        <w:r w:rsidR="00175AA1" w:rsidRPr="001B4A02">
          <w:rPr>
            <w:szCs w:val="22"/>
          </w:rPr>
          <w:delText>3</w:delText>
        </w:r>
        <w:r w:rsidRPr="001B4A02">
          <w:rPr>
            <w:szCs w:val="22"/>
          </w:rPr>
          <w:delText xml:space="preserve"> na 1</w:delText>
        </w:r>
        <w:r w:rsidR="009F584E" w:rsidRPr="001B4A02">
          <w:rPr>
            <w:szCs w:val="22"/>
          </w:rPr>
          <w:delText> </w:delText>
        </w:r>
        <w:r w:rsidRPr="001B4A02">
          <w:rPr>
            <w:szCs w:val="22"/>
          </w:rPr>
          <w:delText>000 pacient</w:delText>
        </w:r>
        <w:r w:rsidR="002C1822" w:rsidRPr="001B4A02">
          <w:delText>oroků</w:delText>
        </w:r>
        <w:r w:rsidRPr="001B4A02">
          <w:rPr>
            <w:szCs w:val="22"/>
          </w:rPr>
          <w:delText xml:space="preserve"> </w:delText>
        </w:r>
        <w:r w:rsidR="00175AA1" w:rsidRPr="001B4A02">
          <w:rPr>
            <w:szCs w:val="22"/>
          </w:rPr>
          <w:delText xml:space="preserve">léčby </w:delText>
        </w:r>
        <w:r w:rsidRPr="001B4A02">
          <w:rPr>
            <w:szCs w:val="22"/>
          </w:rPr>
          <w:delText>(viz bod 4.4).</w:delText>
        </w:r>
        <w:r w:rsidRPr="001B4A02">
          <w:delText xml:space="preserve"> </w:delText>
        </w:r>
      </w:del>
    </w:p>
    <w:p w14:paraId="2BEFBF05" w14:textId="77777777" w:rsidR="00073F8F" w:rsidRPr="001B4A02" w:rsidRDefault="00073F8F" w:rsidP="00ED48A3">
      <w:pPr>
        <w:ind w:left="0" w:firstLine="0"/>
        <w:rPr>
          <w:del w:id="5290" w:author="AbbVie1" w:date="2025-05-13T09:50:00Z"/>
          <w:u w:val="single"/>
        </w:rPr>
      </w:pPr>
    </w:p>
    <w:p w14:paraId="277FDACA" w14:textId="77777777" w:rsidR="00073F8F" w:rsidRPr="001B4A02" w:rsidRDefault="00000000" w:rsidP="00ED48A3">
      <w:pPr>
        <w:ind w:left="0" w:firstLine="0"/>
        <w:rPr>
          <w:del w:id="5291" w:author="AbbVie1" w:date="2025-05-13T09:50:00Z"/>
          <w:u w:val="single"/>
        </w:rPr>
      </w:pPr>
      <w:del w:id="5292" w:author="AbbVie1" w:date="2025-05-13T09:50:00Z">
        <w:r w:rsidRPr="001B4A02">
          <w:delText>U pacientů léčených adalimumabem byly hlášeny vzácné postmarketingové případy hepatosplenického T-buněčného lymfomu (viz bod 4.4).</w:delText>
        </w:r>
      </w:del>
    </w:p>
    <w:p w14:paraId="6EF94528" w14:textId="77777777" w:rsidR="00073F8F" w:rsidRPr="001B4A02" w:rsidRDefault="00073F8F" w:rsidP="00ED48A3">
      <w:pPr>
        <w:ind w:left="0" w:firstLine="0"/>
        <w:rPr>
          <w:del w:id="5293" w:author="AbbVie1" w:date="2025-05-13T09:50:00Z"/>
          <w:u w:val="single"/>
        </w:rPr>
      </w:pPr>
    </w:p>
    <w:p w14:paraId="6BDEFE33" w14:textId="77777777" w:rsidR="00073F8F" w:rsidRPr="001B4A02" w:rsidRDefault="00000000" w:rsidP="00CE5DAE">
      <w:pPr>
        <w:keepNext/>
        <w:ind w:left="0" w:firstLine="0"/>
        <w:rPr>
          <w:del w:id="5294" w:author="AbbVie1" w:date="2025-05-13T09:50:00Z"/>
          <w:i/>
        </w:rPr>
      </w:pPr>
      <w:del w:id="5295" w:author="AbbVie1" w:date="2025-05-13T09:50:00Z">
        <w:r w:rsidRPr="001B4A02">
          <w:rPr>
            <w:i/>
          </w:rPr>
          <w:delText>Autoprotilátky</w:delText>
        </w:r>
      </w:del>
    </w:p>
    <w:p w14:paraId="64CACF4E" w14:textId="77777777" w:rsidR="00073F8F" w:rsidRPr="001B4A02" w:rsidRDefault="00073F8F" w:rsidP="00CE5DAE">
      <w:pPr>
        <w:keepNext/>
        <w:ind w:left="0" w:firstLine="0"/>
        <w:rPr>
          <w:del w:id="5296" w:author="AbbVie1" w:date="2025-05-13T09:50:00Z"/>
        </w:rPr>
      </w:pPr>
    </w:p>
    <w:p w14:paraId="537FC903" w14:textId="77777777" w:rsidR="00073F8F" w:rsidRPr="001B4A02" w:rsidRDefault="00000000" w:rsidP="00ED48A3">
      <w:pPr>
        <w:ind w:left="0" w:firstLine="0"/>
        <w:rPr>
          <w:del w:id="5297" w:author="AbbVie1" w:date="2025-05-13T09:50:00Z"/>
        </w:rPr>
      </w:pPr>
      <w:del w:id="5298" w:author="AbbVie1" w:date="2025-05-13T09:50:00Z">
        <w:r w:rsidRPr="001B4A02">
          <w:delText>U pacientů bylo prováděno vyšetření na autoprotilátky v různých časových intervalech studií I–V s revmatoidní artritidou. V těchto studiích byly u 11,9</w:delText>
        </w:r>
        <w:r w:rsidR="006008CB">
          <w:delText> %</w:delText>
        </w:r>
        <w:r w:rsidRPr="001B4A02">
          <w:delText xml:space="preserve"> pacientů léčených přípravkem Humira</w:delText>
        </w:r>
        <w:r w:rsidR="002378E0">
          <w:delText xml:space="preserve"> a </w:delText>
        </w:r>
        <w:r w:rsidRPr="001B4A02">
          <w:delText>u 8,1</w:delText>
        </w:r>
        <w:r w:rsidR="006008CB">
          <w:delText> %</w:delText>
        </w:r>
        <w:r w:rsidRPr="001B4A02">
          <w:delText xml:space="preserve"> pacientů léčených placebem</w:delText>
        </w:r>
        <w:r w:rsidR="002378E0">
          <w:delText xml:space="preserve"> a </w:delText>
        </w:r>
        <w:r w:rsidRPr="001B4A02">
          <w:delText xml:space="preserve">aktivní kontrolou, kteří měli negativní výchozí titry antinukleárních protilátek, zjištěny pozitivní titry </w:delText>
        </w:r>
        <w:r w:rsidR="00D00F8F">
          <w:delText>v</w:delText>
        </w:r>
        <w:r w:rsidR="009A3A47">
          <w:rPr>
            <w:rStyle w:val="normaltextrun"/>
            <w:shd w:val="clear" w:color="auto" w:fill="FFFFFF"/>
          </w:rPr>
          <w:delText> </w:delText>
        </w:r>
        <w:r w:rsidR="00D00F8F">
          <w:delText>týdnu 24</w:delText>
        </w:r>
        <w:r w:rsidRPr="001B4A02">
          <w:delText xml:space="preserve"> léčby. U dvou pacientů z 3</w:delText>
        </w:r>
        <w:r w:rsidR="00A417AC" w:rsidRPr="001B4A02">
          <w:delText> </w:delText>
        </w:r>
        <w:r w:rsidRPr="001B4A02">
          <w:delText>441 nemocných léčených přípravkem Humira ve všech studiích s revmatoidní</w:delText>
        </w:r>
        <w:r w:rsidR="002378E0">
          <w:delText xml:space="preserve"> a </w:delText>
        </w:r>
        <w:r w:rsidRPr="001B4A02">
          <w:delText>psoriatickou artritidou došlo k rozvoji klinických příznaků naznačujících možnost nového vzniku syndromu podobnému lupusu. Po vysazení léčby došlo u</w:delText>
        </w:r>
        <w:r w:rsidR="00C048C3" w:rsidRPr="001B4A02">
          <w:delText> </w:delText>
        </w:r>
        <w:r w:rsidRPr="001B4A02">
          <w:delText>těchto pacientů ke zlepšení. U žádného pacienta nedošlo k rozvoji lupózní nefritidy či symptomů postižení centrálního nervového systému.</w:delText>
        </w:r>
      </w:del>
    </w:p>
    <w:p w14:paraId="684F6495" w14:textId="77777777" w:rsidR="00073F8F" w:rsidRPr="001B4A02" w:rsidRDefault="00073F8F" w:rsidP="00ED48A3">
      <w:pPr>
        <w:ind w:left="0" w:firstLine="0"/>
        <w:rPr>
          <w:del w:id="5299" w:author="AbbVie1" w:date="2025-05-13T09:50:00Z"/>
        </w:rPr>
      </w:pPr>
    </w:p>
    <w:p w14:paraId="48D2A8EE" w14:textId="77777777" w:rsidR="00073F8F" w:rsidRPr="001B4A02" w:rsidRDefault="00000000" w:rsidP="00CE5DAE">
      <w:pPr>
        <w:keepNext/>
        <w:jc w:val="both"/>
        <w:rPr>
          <w:del w:id="5300" w:author="AbbVie1" w:date="2025-05-13T09:50:00Z"/>
          <w:i/>
          <w:szCs w:val="22"/>
        </w:rPr>
      </w:pPr>
      <w:del w:id="5301" w:author="AbbVie1" w:date="2025-05-13T09:50:00Z">
        <w:r w:rsidRPr="001B4A02">
          <w:rPr>
            <w:i/>
            <w:szCs w:val="22"/>
          </w:rPr>
          <w:delText>Hepatobiliá</w:delText>
        </w:r>
        <w:r w:rsidR="00C114D7" w:rsidRPr="001B4A02">
          <w:rPr>
            <w:i/>
            <w:szCs w:val="22"/>
          </w:rPr>
          <w:delText>r</w:delText>
        </w:r>
        <w:r w:rsidRPr="001B4A02">
          <w:rPr>
            <w:i/>
            <w:szCs w:val="22"/>
          </w:rPr>
          <w:delText>ní poruchy</w:delText>
        </w:r>
      </w:del>
    </w:p>
    <w:p w14:paraId="54A79584" w14:textId="77777777" w:rsidR="00073F8F" w:rsidRPr="001B4A02" w:rsidRDefault="00073F8F" w:rsidP="00CE5DAE">
      <w:pPr>
        <w:keepNext/>
        <w:jc w:val="both"/>
        <w:rPr>
          <w:del w:id="5302" w:author="AbbVie1" w:date="2025-05-13T09:50:00Z"/>
          <w:szCs w:val="22"/>
          <w:u w:val="single"/>
        </w:rPr>
      </w:pPr>
    </w:p>
    <w:p w14:paraId="3C1FC7BD" w14:textId="77777777" w:rsidR="007F0EC2" w:rsidRPr="001B4A02" w:rsidRDefault="00000000" w:rsidP="00ED48A3">
      <w:pPr>
        <w:pStyle w:val="EMEANormal"/>
        <w:tabs>
          <w:tab w:val="clear" w:pos="562"/>
          <w:tab w:val="left" w:pos="708"/>
        </w:tabs>
        <w:suppressAutoHyphens w:val="0"/>
        <w:rPr>
          <w:del w:id="5303" w:author="AbbVie1" w:date="2025-05-13T09:50:00Z"/>
          <w:iCs/>
          <w:shd w:val="clear" w:color="auto" w:fill="FFFFFF"/>
          <w:lang w:val="cs-CZ"/>
        </w:rPr>
      </w:pPr>
      <w:del w:id="5304" w:author="AbbVie1" w:date="2025-05-13T09:50:00Z">
        <w:r w:rsidRPr="001B4A02">
          <w:rPr>
            <w:szCs w:val="22"/>
            <w:lang w:val="cs-CZ"/>
          </w:rPr>
          <w:delText xml:space="preserve">V kontrolovaných klinických studiích fáze </w:delText>
        </w:r>
        <w:r w:rsidR="00C223B0" w:rsidRPr="001B4A02">
          <w:rPr>
            <w:szCs w:val="22"/>
            <w:lang w:val="cs-CZ"/>
          </w:rPr>
          <w:delText>3</w:delText>
        </w:r>
        <w:r w:rsidR="007840E5" w:rsidRPr="001B4A02">
          <w:rPr>
            <w:szCs w:val="22"/>
            <w:lang w:val="cs-CZ"/>
          </w:rPr>
          <w:delText xml:space="preserve"> </w:delText>
        </w:r>
        <w:r w:rsidRPr="001B4A02">
          <w:rPr>
            <w:szCs w:val="22"/>
            <w:lang w:val="cs-CZ"/>
          </w:rPr>
          <w:delText xml:space="preserve">s přípravkem Humira, </w:delText>
        </w:r>
        <w:r w:rsidRPr="001B4A02">
          <w:rPr>
            <w:szCs w:val="22"/>
            <w:shd w:val="clear" w:color="auto" w:fill="FFFFFF"/>
            <w:lang w:val="cs-CZ"/>
          </w:rPr>
          <w:delText>zaměřených na revmatoidní artritidu</w:delText>
        </w:r>
        <w:r w:rsidR="002378E0">
          <w:rPr>
            <w:szCs w:val="22"/>
            <w:shd w:val="clear" w:color="auto" w:fill="FFFFFF"/>
            <w:lang w:val="cs-CZ"/>
          </w:rPr>
          <w:delText xml:space="preserve"> a </w:delText>
        </w:r>
        <w:r w:rsidRPr="001B4A02">
          <w:rPr>
            <w:szCs w:val="22"/>
            <w:shd w:val="clear" w:color="auto" w:fill="FFFFFF"/>
            <w:lang w:val="cs-CZ"/>
          </w:rPr>
          <w:delText>psori</w:delText>
        </w:r>
        <w:r w:rsidR="009303EB" w:rsidRPr="001B4A02">
          <w:rPr>
            <w:szCs w:val="22"/>
            <w:shd w:val="clear" w:color="auto" w:fill="FFFFFF"/>
            <w:lang w:val="cs-CZ"/>
          </w:rPr>
          <w:delText>a</w:delText>
        </w:r>
        <w:r w:rsidRPr="001B4A02">
          <w:rPr>
            <w:szCs w:val="22"/>
            <w:shd w:val="clear" w:color="auto" w:fill="FFFFFF"/>
            <w:lang w:val="cs-CZ"/>
          </w:rPr>
          <w:delText xml:space="preserve">tickou artritidu, se po sledovanou dobu trvání v rozmezí od 4 do 104 týdnů objevilo zvýšení ALT </w:delText>
        </w:r>
        <w:r w:rsidRPr="001B4A02">
          <w:rPr>
            <w:lang w:val="cs-CZ"/>
          </w:rPr>
          <w:delText>≥</w:delText>
        </w:r>
        <w:r w:rsidR="00C048C3" w:rsidRPr="001B4A02">
          <w:rPr>
            <w:lang w:val="cs-CZ"/>
          </w:rPr>
          <w:delText> </w:delText>
        </w:r>
        <w:r w:rsidRPr="001B4A02">
          <w:rPr>
            <w:lang w:val="cs-CZ"/>
          </w:rPr>
          <w:delText>3 x ULN</w:delText>
        </w:r>
        <w:r w:rsidRPr="001B4A02">
          <w:rPr>
            <w:szCs w:val="22"/>
            <w:shd w:val="clear" w:color="auto" w:fill="FFFFFF"/>
            <w:lang w:val="cs-CZ"/>
          </w:rPr>
          <w:delText xml:space="preserve"> u</w:delText>
        </w:r>
        <w:r w:rsidR="00C048C3" w:rsidRPr="001B4A02">
          <w:rPr>
            <w:szCs w:val="22"/>
            <w:shd w:val="clear" w:color="auto" w:fill="FFFFFF"/>
            <w:lang w:val="cs-CZ"/>
          </w:rPr>
          <w:delText> </w:delText>
        </w:r>
        <w:r w:rsidRPr="001B4A02">
          <w:rPr>
            <w:szCs w:val="22"/>
            <w:shd w:val="clear" w:color="auto" w:fill="FFFFFF"/>
            <w:lang w:val="cs-CZ"/>
          </w:rPr>
          <w:delText>3,7</w:delText>
        </w:r>
        <w:r w:rsidR="006008CB">
          <w:rPr>
            <w:szCs w:val="22"/>
            <w:shd w:val="clear" w:color="auto" w:fill="FFFFFF"/>
            <w:lang w:val="cs-CZ"/>
          </w:rPr>
          <w:delText> %</w:delText>
        </w:r>
        <w:r w:rsidRPr="001B4A02">
          <w:rPr>
            <w:szCs w:val="22"/>
            <w:shd w:val="clear" w:color="auto" w:fill="FFFFFF"/>
            <w:lang w:val="cs-CZ"/>
          </w:rPr>
          <w:delText xml:space="preserve"> pacientů léčených přípravkem Humira</w:delText>
        </w:r>
        <w:r w:rsidR="002378E0">
          <w:rPr>
            <w:szCs w:val="22"/>
            <w:shd w:val="clear" w:color="auto" w:fill="FFFFFF"/>
            <w:lang w:val="cs-CZ"/>
          </w:rPr>
          <w:delText xml:space="preserve"> a </w:delText>
        </w:r>
        <w:r w:rsidRPr="001B4A02">
          <w:rPr>
            <w:szCs w:val="22"/>
            <w:shd w:val="clear" w:color="auto" w:fill="FFFFFF"/>
            <w:lang w:val="cs-CZ"/>
          </w:rPr>
          <w:delText>u</w:delText>
        </w:r>
        <w:r w:rsidR="00C048C3" w:rsidRPr="001B4A02">
          <w:rPr>
            <w:szCs w:val="22"/>
            <w:shd w:val="clear" w:color="auto" w:fill="FFFFFF"/>
            <w:lang w:val="cs-CZ"/>
          </w:rPr>
          <w:delText> </w:delText>
        </w:r>
        <w:r w:rsidRPr="001B4A02">
          <w:rPr>
            <w:szCs w:val="22"/>
            <w:shd w:val="clear" w:color="auto" w:fill="FFFFFF"/>
            <w:lang w:val="cs-CZ"/>
          </w:rPr>
          <w:delText>1,6</w:delText>
        </w:r>
        <w:r w:rsidR="006008CB">
          <w:rPr>
            <w:szCs w:val="22"/>
            <w:shd w:val="clear" w:color="auto" w:fill="FFFFFF"/>
            <w:lang w:val="cs-CZ"/>
          </w:rPr>
          <w:delText> %</w:delText>
        </w:r>
        <w:r w:rsidRPr="001B4A02">
          <w:rPr>
            <w:szCs w:val="22"/>
            <w:shd w:val="clear" w:color="auto" w:fill="FFFFFF"/>
            <w:lang w:val="cs-CZ"/>
          </w:rPr>
          <w:delText xml:space="preserve"> pacientů léčených kontrolním přípravkem.</w:delText>
        </w:r>
      </w:del>
    </w:p>
    <w:p w14:paraId="2A3E6EE2" w14:textId="77777777" w:rsidR="00772903" w:rsidRPr="001B4A02" w:rsidRDefault="00772903" w:rsidP="00ED48A3">
      <w:pPr>
        <w:pStyle w:val="EMEANormal"/>
        <w:shd w:val="clear" w:color="auto" w:fill="FFFFFF"/>
        <w:rPr>
          <w:del w:id="5305" w:author="AbbVie1" w:date="2025-05-13T09:50:00Z"/>
          <w:szCs w:val="22"/>
          <w:shd w:val="clear" w:color="auto" w:fill="FFFFFF"/>
          <w:lang w:val="cs-CZ"/>
        </w:rPr>
      </w:pPr>
    </w:p>
    <w:p w14:paraId="3830AA0C" w14:textId="77777777" w:rsidR="00772903" w:rsidRPr="001B4A02" w:rsidRDefault="00000000" w:rsidP="00ED48A3">
      <w:pPr>
        <w:pStyle w:val="EMEANormal"/>
        <w:shd w:val="clear" w:color="auto" w:fill="FFFFFF"/>
        <w:rPr>
          <w:del w:id="5306" w:author="AbbVie1" w:date="2025-05-13T09:50:00Z"/>
          <w:shd w:val="clear" w:color="auto" w:fill="FFFFFF"/>
          <w:lang w:val="cs-CZ"/>
        </w:rPr>
      </w:pPr>
      <w:del w:id="5307" w:author="AbbVie1" w:date="2025-05-13T09:50:00Z">
        <w:r w:rsidRPr="001B4A02">
          <w:rPr>
            <w:shd w:val="clear" w:color="auto" w:fill="FFFFFF"/>
            <w:lang w:val="cs-CZ"/>
          </w:rPr>
          <w:delText xml:space="preserve">V kontrolovaných </w:delText>
        </w:r>
        <w:r w:rsidR="00C223B0" w:rsidRPr="001B4A02">
          <w:rPr>
            <w:szCs w:val="22"/>
            <w:lang w:val="cs-CZ"/>
          </w:rPr>
          <w:delText xml:space="preserve">klinických </w:delText>
        </w:r>
        <w:r w:rsidRPr="001B4A02">
          <w:rPr>
            <w:shd w:val="clear" w:color="auto" w:fill="FFFFFF"/>
            <w:lang w:val="cs-CZ"/>
          </w:rPr>
          <w:delText>studiích fáze 3 s </w:delText>
        </w:r>
        <w:r w:rsidR="00C223B0" w:rsidRPr="001B4A02">
          <w:rPr>
            <w:szCs w:val="22"/>
            <w:lang w:val="cs-CZ"/>
          </w:rPr>
          <w:delText xml:space="preserve">přípravkem </w:delText>
        </w:r>
        <w:r w:rsidRPr="001B4A02">
          <w:rPr>
            <w:shd w:val="clear" w:color="auto" w:fill="FFFFFF"/>
            <w:lang w:val="cs-CZ"/>
          </w:rPr>
          <w:delText>Humir</w:delText>
        </w:r>
        <w:r w:rsidR="00C223B0" w:rsidRPr="001B4A02">
          <w:rPr>
            <w:shd w:val="clear" w:color="auto" w:fill="FFFFFF"/>
            <w:lang w:val="cs-CZ"/>
          </w:rPr>
          <w:delText>a</w:delText>
        </w:r>
        <w:r w:rsidRPr="001B4A02">
          <w:rPr>
            <w:shd w:val="clear" w:color="auto" w:fill="FFFFFF"/>
            <w:lang w:val="cs-CZ"/>
          </w:rPr>
          <w:delText xml:space="preserve"> u</w:delText>
        </w:r>
        <w:r w:rsidR="008506F3" w:rsidRPr="001B4A02">
          <w:rPr>
            <w:shd w:val="clear" w:color="auto" w:fill="FFFFFF"/>
            <w:lang w:val="cs-CZ"/>
          </w:rPr>
          <w:delText> </w:delText>
        </w:r>
        <w:r w:rsidRPr="001B4A02">
          <w:rPr>
            <w:shd w:val="clear" w:color="auto" w:fill="FFFFFF"/>
            <w:lang w:val="cs-CZ"/>
          </w:rPr>
          <w:delText>pacientů s polyartikulární juvenilní idiopatickou artritidou ve věku od 4 do 17 let</w:delText>
        </w:r>
        <w:r w:rsidR="002378E0">
          <w:rPr>
            <w:shd w:val="clear" w:color="auto" w:fill="FFFFFF"/>
            <w:lang w:val="cs-CZ"/>
          </w:rPr>
          <w:delText xml:space="preserve"> a </w:delText>
        </w:r>
        <w:r w:rsidRPr="001B4A02">
          <w:rPr>
            <w:shd w:val="clear" w:color="auto" w:fill="FFFFFF"/>
            <w:lang w:val="cs-CZ"/>
          </w:rPr>
          <w:delText>ente</w:delText>
        </w:r>
        <w:r w:rsidR="00E44CD4" w:rsidRPr="001B4A02">
          <w:rPr>
            <w:shd w:val="clear" w:color="auto" w:fill="FFFFFF"/>
            <w:lang w:val="cs-CZ"/>
          </w:rPr>
          <w:delText>zopatickou</w:delText>
        </w:r>
        <w:r w:rsidRPr="001B4A02">
          <w:rPr>
            <w:shd w:val="clear" w:color="auto" w:fill="FFFFFF"/>
            <w:lang w:val="cs-CZ"/>
          </w:rPr>
          <w:delText xml:space="preserve"> artritidou ve věku 6 </w:delText>
        </w:r>
        <w:r w:rsidR="00451F21" w:rsidRPr="001B4A02">
          <w:rPr>
            <w:shd w:val="clear" w:color="auto" w:fill="FFFFFF"/>
            <w:lang w:val="cs-CZ"/>
          </w:rPr>
          <w:delText>až</w:delText>
        </w:r>
        <w:r w:rsidRPr="001B4A02">
          <w:rPr>
            <w:shd w:val="clear" w:color="auto" w:fill="FFFFFF"/>
            <w:lang w:val="cs-CZ"/>
          </w:rPr>
          <w:delText xml:space="preserve"> 17 let se </w:delText>
        </w:r>
        <w:r w:rsidR="00C114D7" w:rsidRPr="001B4A02">
          <w:rPr>
            <w:szCs w:val="22"/>
            <w:shd w:val="clear" w:color="auto" w:fill="FFFFFF"/>
            <w:lang w:val="cs-CZ"/>
          </w:rPr>
          <w:delText>objevilo zvýšení</w:delText>
        </w:r>
        <w:r w:rsidRPr="001B4A02">
          <w:rPr>
            <w:shd w:val="clear" w:color="auto" w:fill="FFFFFF"/>
            <w:lang w:val="cs-CZ"/>
          </w:rPr>
          <w:delText xml:space="preserve"> ALT </w:delText>
        </w:r>
        <w:r w:rsidRPr="001B4A02">
          <w:rPr>
            <w:iCs/>
            <w:lang w:val="cs-CZ"/>
          </w:rPr>
          <w:delText>≥</w:delText>
        </w:r>
        <w:r w:rsidR="008506F3" w:rsidRPr="001B4A02">
          <w:rPr>
            <w:iCs/>
            <w:lang w:val="cs-CZ"/>
          </w:rPr>
          <w:delText> </w:delText>
        </w:r>
        <w:r w:rsidRPr="001B4A02">
          <w:rPr>
            <w:iCs/>
            <w:lang w:val="cs-CZ"/>
          </w:rPr>
          <w:delText>3 x ULN u</w:delText>
        </w:r>
        <w:r w:rsidR="008506F3" w:rsidRPr="001B4A02">
          <w:rPr>
            <w:iCs/>
            <w:lang w:val="cs-CZ"/>
          </w:rPr>
          <w:delText> </w:delText>
        </w:r>
        <w:r w:rsidRPr="001B4A02">
          <w:rPr>
            <w:iCs/>
            <w:lang w:val="cs-CZ"/>
          </w:rPr>
          <w:delText>6,1</w:delText>
        </w:r>
        <w:r w:rsidR="006008CB">
          <w:rPr>
            <w:lang w:val="cs-CZ"/>
          </w:rPr>
          <w:delText> %</w:delText>
        </w:r>
        <w:r w:rsidRPr="001B4A02">
          <w:rPr>
            <w:iCs/>
            <w:lang w:val="cs-CZ"/>
          </w:rPr>
          <w:delText xml:space="preserve"> pacientů léčených </w:delText>
        </w:r>
        <w:r w:rsidR="00C223B0" w:rsidRPr="001B4A02">
          <w:rPr>
            <w:szCs w:val="22"/>
            <w:lang w:val="cs-CZ"/>
          </w:rPr>
          <w:delText xml:space="preserve">přípravkem </w:delText>
        </w:r>
        <w:r w:rsidRPr="001B4A02">
          <w:rPr>
            <w:iCs/>
            <w:lang w:val="cs-CZ"/>
          </w:rPr>
          <w:delText>Humir</w:delText>
        </w:r>
        <w:r w:rsidR="00C223B0" w:rsidRPr="001B4A02">
          <w:rPr>
            <w:iCs/>
            <w:lang w:val="cs-CZ"/>
          </w:rPr>
          <w:delText>a</w:delText>
        </w:r>
        <w:r w:rsidR="002378E0">
          <w:rPr>
            <w:iCs/>
            <w:lang w:val="cs-CZ"/>
          </w:rPr>
          <w:delText xml:space="preserve"> a </w:delText>
        </w:r>
        <w:r w:rsidRPr="001B4A02">
          <w:rPr>
            <w:iCs/>
            <w:lang w:val="cs-CZ"/>
          </w:rPr>
          <w:delText>u</w:delText>
        </w:r>
        <w:r w:rsidR="008506F3" w:rsidRPr="001B4A02">
          <w:rPr>
            <w:iCs/>
            <w:lang w:val="cs-CZ"/>
          </w:rPr>
          <w:delText> </w:delText>
        </w:r>
        <w:r w:rsidRPr="001B4A02">
          <w:rPr>
            <w:iCs/>
            <w:lang w:val="cs-CZ"/>
          </w:rPr>
          <w:delText>1,3</w:delText>
        </w:r>
        <w:r w:rsidR="006008CB">
          <w:rPr>
            <w:lang w:val="cs-CZ"/>
          </w:rPr>
          <w:delText> %</w:delText>
        </w:r>
        <w:r w:rsidRPr="001B4A02">
          <w:rPr>
            <w:iCs/>
            <w:lang w:val="cs-CZ"/>
          </w:rPr>
          <w:delText xml:space="preserve"> pacientů léčených v</w:delText>
        </w:r>
        <w:r w:rsidR="008506F3" w:rsidRPr="001B4A02">
          <w:rPr>
            <w:iCs/>
            <w:lang w:val="cs-CZ"/>
          </w:rPr>
          <w:delText> </w:delText>
        </w:r>
        <w:r w:rsidRPr="001B4A02">
          <w:rPr>
            <w:iCs/>
            <w:lang w:val="cs-CZ"/>
          </w:rPr>
          <w:delText>kontrolní skupině. Ve většině případů se zvýšení ALT vyskytlo při současném podávání methotrexátu. Žádné zvýšení ALT ≥</w:delText>
        </w:r>
        <w:r w:rsidR="008506F3" w:rsidRPr="001B4A02">
          <w:rPr>
            <w:iCs/>
            <w:lang w:val="cs-CZ"/>
          </w:rPr>
          <w:delText> </w:delText>
        </w:r>
        <w:r w:rsidRPr="001B4A02">
          <w:rPr>
            <w:iCs/>
            <w:lang w:val="cs-CZ"/>
          </w:rPr>
          <w:delText xml:space="preserve">3 x ULN se nevyskytlo ve fázi </w:delText>
        </w:r>
        <w:r w:rsidR="00C223B0" w:rsidRPr="001B4A02">
          <w:rPr>
            <w:iCs/>
            <w:lang w:val="cs-CZ"/>
          </w:rPr>
          <w:delText>3</w:delText>
        </w:r>
        <w:r w:rsidR="007840E5" w:rsidRPr="001B4A02">
          <w:rPr>
            <w:iCs/>
            <w:lang w:val="cs-CZ"/>
          </w:rPr>
          <w:delText xml:space="preserve"> </w:delText>
        </w:r>
        <w:r w:rsidRPr="001B4A02">
          <w:rPr>
            <w:iCs/>
            <w:lang w:val="cs-CZ"/>
          </w:rPr>
          <w:delText>klinické studie s</w:delText>
        </w:r>
        <w:r w:rsidR="00C223B0" w:rsidRPr="001B4A02">
          <w:rPr>
            <w:iCs/>
            <w:lang w:val="cs-CZ"/>
          </w:rPr>
          <w:delText> </w:delText>
        </w:r>
        <w:r w:rsidR="00C223B0" w:rsidRPr="001B4A02">
          <w:rPr>
            <w:szCs w:val="22"/>
            <w:lang w:val="cs-CZ"/>
          </w:rPr>
          <w:delText xml:space="preserve">přípravkem </w:delText>
        </w:r>
        <w:r w:rsidRPr="001B4A02">
          <w:rPr>
            <w:iCs/>
            <w:lang w:val="cs-CZ"/>
          </w:rPr>
          <w:delText>Humir</w:delText>
        </w:r>
        <w:r w:rsidR="00C223B0" w:rsidRPr="001B4A02">
          <w:rPr>
            <w:iCs/>
            <w:lang w:val="cs-CZ"/>
          </w:rPr>
          <w:delText>a</w:delText>
        </w:r>
        <w:r w:rsidRPr="001B4A02">
          <w:rPr>
            <w:iCs/>
            <w:lang w:val="cs-CZ"/>
          </w:rPr>
          <w:delText xml:space="preserve"> u</w:delText>
        </w:r>
        <w:r w:rsidR="008506F3" w:rsidRPr="001B4A02">
          <w:rPr>
            <w:iCs/>
            <w:lang w:val="cs-CZ"/>
          </w:rPr>
          <w:delText> </w:delText>
        </w:r>
        <w:r w:rsidRPr="001B4A02">
          <w:rPr>
            <w:iCs/>
            <w:lang w:val="cs-CZ"/>
          </w:rPr>
          <w:delText>pacientů s</w:delText>
        </w:r>
        <w:r w:rsidR="008506F3" w:rsidRPr="001B4A02">
          <w:rPr>
            <w:iCs/>
            <w:lang w:val="cs-CZ"/>
          </w:rPr>
          <w:delText> </w:delText>
        </w:r>
        <w:r w:rsidRPr="001B4A02">
          <w:rPr>
            <w:iCs/>
            <w:lang w:val="cs-CZ"/>
          </w:rPr>
          <w:delText>polyartikulární juvenilní idiopatic</w:delText>
        </w:r>
        <w:r w:rsidR="00062315" w:rsidRPr="001B4A02">
          <w:rPr>
            <w:iCs/>
            <w:lang w:val="cs-CZ"/>
          </w:rPr>
          <w:delText xml:space="preserve">kou artritidou ve věku 2 </w:delText>
        </w:r>
        <w:r w:rsidR="00451F21" w:rsidRPr="001B4A02">
          <w:rPr>
            <w:shd w:val="clear" w:color="auto" w:fill="FFFFFF"/>
            <w:lang w:val="cs-CZ"/>
          </w:rPr>
          <w:delText>až</w:delText>
        </w:r>
        <w:r w:rsidR="00062315" w:rsidRPr="001B4A02">
          <w:rPr>
            <w:iCs/>
            <w:lang w:val="cs-CZ"/>
          </w:rPr>
          <w:delText xml:space="preserve"> </w:delText>
        </w:r>
        <w:r w:rsidRPr="001B4A02">
          <w:rPr>
            <w:lang w:val="cs-CZ"/>
          </w:rPr>
          <w:delText xml:space="preserve">&lt; </w:delText>
        </w:r>
        <w:r w:rsidRPr="001B4A02">
          <w:rPr>
            <w:iCs/>
            <w:lang w:val="cs-CZ"/>
          </w:rPr>
          <w:delText>4 let.</w:delText>
        </w:r>
      </w:del>
    </w:p>
    <w:p w14:paraId="3DF84EF3" w14:textId="77777777" w:rsidR="00451F21" w:rsidRPr="001B4A02" w:rsidRDefault="00451F21" w:rsidP="00ED48A3">
      <w:pPr>
        <w:pStyle w:val="EMEANormal"/>
        <w:shd w:val="clear" w:color="auto" w:fill="FFFFFF"/>
        <w:rPr>
          <w:del w:id="5308" w:author="AbbVie1" w:date="2025-05-13T09:50:00Z"/>
          <w:shd w:val="clear" w:color="auto" w:fill="FFFFFF"/>
          <w:lang w:val="cs-CZ"/>
        </w:rPr>
      </w:pPr>
    </w:p>
    <w:p w14:paraId="79F989C7" w14:textId="77777777" w:rsidR="007F0EC2" w:rsidRPr="001B4A02" w:rsidRDefault="00000000" w:rsidP="00ED48A3">
      <w:pPr>
        <w:pStyle w:val="EMEANormal"/>
        <w:shd w:val="clear" w:color="auto" w:fill="FFFFFF"/>
        <w:rPr>
          <w:del w:id="5309" w:author="AbbVie1" w:date="2025-05-13T09:50:00Z"/>
          <w:shd w:val="clear" w:color="auto" w:fill="FFFFFF"/>
          <w:lang w:val="cs-CZ"/>
        </w:rPr>
      </w:pPr>
      <w:del w:id="5310" w:author="AbbVie1" w:date="2025-05-13T09:50:00Z">
        <w:r w:rsidRPr="001B4A02">
          <w:rPr>
            <w:shd w:val="clear" w:color="auto" w:fill="FFFFFF"/>
            <w:lang w:val="cs-CZ"/>
          </w:rPr>
          <w:delText xml:space="preserve">V kontrolovaných klinických studiích fáze </w:delText>
        </w:r>
        <w:r w:rsidR="00C223B0" w:rsidRPr="001B4A02">
          <w:rPr>
            <w:shd w:val="clear" w:color="auto" w:fill="FFFFFF"/>
            <w:lang w:val="cs-CZ"/>
          </w:rPr>
          <w:delText>3</w:delText>
        </w:r>
        <w:r w:rsidR="007840E5" w:rsidRPr="001B4A02">
          <w:rPr>
            <w:shd w:val="clear" w:color="auto" w:fill="FFFFFF"/>
            <w:lang w:val="cs-CZ"/>
          </w:rPr>
          <w:delText xml:space="preserve"> </w:delText>
        </w:r>
        <w:r w:rsidRPr="001B4A02">
          <w:rPr>
            <w:shd w:val="clear" w:color="auto" w:fill="FFFFFF"/>
            <w:lang w:val="cs-CZ"/>
          </w:rPr>
          <w:delText>s přípravkem Humira u</w:delText>
        </w:r>
        <w:r w:rsidR="00C048C3" w:rsidRPr="001B4A02">
          <w:rPr>
            <w:shd w:val="clear" w:color="auto" w:fill="FFFFFF"/>
            <w:lang w:val="cs-CZ"/>
          </w:rPr>
          <w:delText> </w:delText>
        </w:r>
        <w:r w:rsidRPr="001B4A02">
          <w:rPr>
            <w:shd w:val="clear" w:color="auto" w:fill="FFFFFF"/>
            <w:lang w:val="cs-CZ"/>
          </w:rPr>
          <w:delText>pacientů s Crohnovou chorobou</w:delText>
        </w:r>
        <w:r w:rsidR="002378E0">
          <w:rPr>
            <w:shd w:val="clear" w:color="auto" w:fill="FFFFFF"/>
            <w:lang w:val="cs-CZ"/>
          </w:rPr>
          <w:delText xml:space="preserve"> a </w:delText>
        </w:r>
        <w:r w:rsidRPr="001B4A02">
          <w:rPr>
            <w:shd w:val="clear" w:color="auto" w:fill="FFFFFF"/>
            <w:lang w:val="cs-CZ"/>
          </w:rPr>
          <w:delText xml:space="preserve">ulcerózní kolitidou se po sledovanou dobu trvání v rozmezí od 4 do 52 týdnů objevilo zvýšení </w:delText>
        </w:r>
        <w:r w:rsidRPr="001B4A02">
          <w:rPr>
            <w:szCs w:val="22"/>
            <w:shd w:val="clear" w:color="auto" w:fill="FFFFFF"/>
            <w:lang w:val="cs-CZ"/>
          </w:rPr>
          <w:delText xml:space="preserve">ALT </w:delText>
        </w:r>
        <w:r w:rsidRPr="001B4A02">
          <w:rPr>
            <w:lang w:val="cs-CZ"/>
          </w:rPr>
          <w:delText>≥</w:delText>
        </w:r>
        <w:r w:rsidR="008506F3" w:rsidRPr="001B4A02">
          <w:rPr>
            <w:lang w:val="cs-CZ"/>
          </w:rPr>
          <w:delText> </w:delText>
        </w:r>
        <w:r w:rsidRPr="001B4A02">
          <w:rPr>
            <w:lang w:val="cs-CZ"/>
          </w:rPr>
          <w:delText>3 x ULN</w:delText>
        </w:r>
        <w:r w:rsidRPr="001B4A02">
          <w:rPr>
            <w:szCs w:val="22"/>
            <w:shd w:val="clear" w:color="auto" w:fill="FFFFFF"/>
            <w:lang w:val="cs-CZ"/>
          </w:rPr>
          <w:delText xml:space="preserve"> u</w:delText>
        </w:r>
        <w:r w:rsidR="008506F3" w:rsidRPr="001B4A02">
          <w:rPr>
            <w:szCs w:val="22"/>
            <w:shd w:val="clear" w:color="auto" w:fill="FFFFFF"/>
            <w:lang w:val="cs-CZ"/>
          </w:rPr>
          <w:delText> </w:delText>
        </w:r>
        <w:r w:rsidRPr="001B4A02">
          <w:rPr>
            <w:szCs w:val="22"/>
            <w:shd w:val="clear" w:color="auto" w:fill="FFFFFF"/>
            <w:lang w:val="cs-CZ"/>
          </w:rPr>
          <w:delText>0,9</w:delText>
        </w:r>
        <w:r w:rsidR="006008CB">
          <w:rPr>
            <w:szCs w:val="22"/>
            <w:shd w:val="clear" w:color="auto" w:fill="FFFFFF"/>
            <w:lang w:val="cs-CZ"/>
          </w:rPr>
          <w:delText> %</w:delText>
        </w:r>
        <w:r w:rsidRPr="001B4A02">
          <w:rPr>
            <w:szCs w:val="22"/>
            <w:shd w:val="clear" w:color="auto" w:fill="FFFFFF"/>
            <w:lang w:val="cs-CZ"/>
          </w:rPr>
          <w:delText xml:space="preserve"> pacientů léčených přípravkem Humira</w:delText>
        </w:r>
        <w:r w:rsidR="002378E0">
          <w:rPr>
            <w:szCs w:val="22"/>
            <w:shd w:val="clear" w:color="auto" w:fill="FFFFFF"/>
            <w:lang w:val="cs-CZ"/>
          </w:rPr>
          <w:delText xml:space="preserve"> a </w:delText>
        </w:r>
        <w:r w:rsidRPr="001B4A02">
          <w:rPr>
            <w:szCs w:val="22"/>
            <w:shd w:val="clear" w:color="auto" w:fill="FFFFFF"/>
            <w:lang w:val="cs-CZ"/>
          </w:rPr>
          <w:delText>u</w:delText>
        </w:r>
        <w:r w:rsidR="008506F3" w:rsidRPr="001B4A02">
          <w:rPr>
            <w:szCs w:val="22"/>
            <w:shd w:val="clear" w:color="auto" w:fill="FFFFFF"/>
            <w:lang w:val="cs-CZ"/>
          </w:rPr>
          <w:delText> </w:delText>
        </w:r>
        <w:r w:rsidRPr="001B4A02">
          <w:rPr>
            <w:szCs w:val="22"/>
            <w:shd w:val="clear" w:color="auto" w:fill="FFFFFF"/>
            <w:lang w:val="cs-CZ"/>
          </w:rPr>
          <w:delText>0,9</w:delText>
        </w:r>
        <w:r w:rsidR="006008CB">
          <w:rPr>
            <w:szCs w:val="22"/>
            <w:shd w:val="clear" w:color="auto" w:fill="FFFFFF"/>
            <w:lang w:val="cs-CZ"/>
          </w:rPr>
          <w:delText> %</w:delText>
        </w:r>
        <w:r w:rsidRPr="001B4A02">
          <w:rPr>
            <w:szCs w:val="22"/>
            <w:shd w:val="clear" w:color="auto" w:fill="FFFFFF"/>
            <w:lang w:val="cs-CZ"/>
          </w:rPr>
          <w:delText xml:space="preserve"> pacientů léčených kontrolním přípravkem</w:delText>
        </w:r>
        <w:r w:rsidRPr="001B4A02">
          <w:rPr>
            <w:shd w:val="clear" w:color="auto" w:fill="FFFFFF"/>
            <w:lang w:val="cs-CZ"/>
          </w:rPr>
          <w:delText>.</w:delText>
        </w:r>
      </w:del>
    </w:p>
    <w:p w14:paraId="75279EC3" w14:textId="77777777" w:rsidR="007F0EC2" w:rsidRPr="001B4A02" w:rsidRDefault="007F0EC2" w:rsidP="00ED48A3">
      <w:pPr>
        <w:pStyle w:val="EMEANormal"/>
        <w:shd w:val="clear" w:color="auto" w:fill="FFFFFF"/>
        <w:rPr>
          <w:del w:id="5311" w:author="AbbVie1" w:date="2025-05-13T09:50:00Z"/>
          <w:shd w:val="clear" w:color="auto" w:fill="FFFFFF"/>
          <w:lang w:val="cs-CZ"/>
        </w:rPr>
      </w:pPr>
    </w:p>
    <w:p w14:paraId="0C028844" w14:textId="77777777" w:rsidR="007050DE" w:rsidRPr="001B4A02" w:rsidRDefault="00000000" w:rsidP="00ED48A3">
      <w:pPr>
        <w:pStyle w:val="EMEANormal"/>
        <w:shd w:val="clear" w:color="auto" w:fill="FFFFFF"/>
        <w:rPr>
          <w:del w:id="5312" w:author="AbbVie1" w:date="2025-05-13T09:50:00Z"/>
          <w:iCs/>
          <w:lang w:val="cs-CZ"/>
        </w:rPr>
      </w:pPr>
      <w:del w:id="5313" w:author="AbbVie1" w:date="2025-05-13T09:50:00Z">
        <w:r w:rsidRPr="001B4A02">
          <w:rPr>
            <w:shd w:val="clear" w:color="auto" w:fill="FFFFFF"/>
            <w:lang w:val="cs-CZ"/>
          </w:rPr>
          <w:delText>V klinické studii fáze</w:delText>
        </w:r>
        <w:r w:rsidR="007840E5" w:rsidRPr="001B4A02">
          <w:rPr>
            <w:shd w:val="clear" w:color="auto" w:fill="FFFFFF"/>
            <w:lang w:val="cs-CZ"/>
          </w:rPr>
          <w:delText xml:space="preserve"> </w:delText>
        </w:r>
        <w:r w:rsidR="00C223B0" w:rsidRPr="001B4A02">
          <w:rPr>
            <w:shd w:val="clear" w:color="auto" w:fill="FFFFFF"/>
            <w:lang w:val="cs-CZ"/>
          </w:rPr>
          <w:delText>3</w:delText>
        </w:r>
        <w:r w:rsidRPr="001B4A02">
          <w:rPr>
            <w:shd w:val="clear" w:color="auto" w:fill="FFFFFF"/>
            <w:lang w:val="cs-CZ"/>
          </w:rPr>
          <w:delText xml:space="preserve"> s přípravkem Humira u</w:delText>
        </w:r>
        <w:r w:rsidR="004970F6" w:rsidRPr="001B4A02">
          <w:rPr>
            <w:shd w:val="clear" w:color="auto" w:fill="FFFFFF"/>
            <w:lang w:val="cs-CZ"/>
          </w:rPr>
          <w:delText> </w:delText>
        </w:r>
        <w:r w:rsidRPr="001B4A02">
          <w:rPr>
            <w:shd w:val="clear" w:color="auto" w:fill="FFFFFF"/>
            <w:lang w:val="cs-CZ"/>
          </w:rPr>
          <w:delText>pediatrických pacientů s Crohnovou chorobou, která hodnotila účinnost</w:delText>
        </w:r>
        <w:r w:rsidR="002378E0">
          <w:rPr>
            <w:shd w:val="clear" w:color="auto" w:fill="FFFFFF"/>
            <w:lang w:val="cs-CZ"/>
          </w:rPr>
          <w:delText xml:space="preserve"> a </w:delText>
        </w:r>
        <w:r w:rsidRPr="001B4A02">
          <w:rPr>
            <w:shd w:val="clear" w:color="auto" w:fill="FFFFFF"/>
            <w:lang w:val="cs-CZ"/>
          </w:rPr>
          <w:delText xml:space="preserve">bezpečnost dvou udržovacích dávkovacích režimů upravených dle hmotnosti po hmotnostně upravené indukční léčbě do 52 týdnů léčby, se </w:delText>
        </w:r>
        <w:r w:rsidR="00C114D7" w:rsidRPr="001B4A02">
          <w:rPr>
            <w:szCs w:val="22"/>
            <w:shd w:val="clear" w:color="auto" w:fill="FFFFFF"/>
            <w:lang w:val="cs-CZ"/>
          </w:rPr>
          <w:delText>objevilo zvýšení</w:delText>
        </w:r>
        <w:r w:rsidRPr="001B4A02">
          <w:rPr>
            <w:shd w:val="clear" w:color="auto" w:fill="FFFFFF"/>
            <w:lang w:val="cs-CZ"/>
          </w:rPr>
          <w:delText xml:space="preserve"> ALT </w:delText>
        </w:r>
        <w:r w:rsidRPr="001B4A02">
          <w:rPr>
            <w:iCs/>
            <w:lang w:val="cs-CZ"/>
          </w:rPr>
          <w:delText>≥</w:delText>
        </w:r>
        <w:r w:rsidR="004970F6" w:rsidRPr="001B4A02">
          <w:rPr>
            <w:iCs/>
            <w:lang w:val="cs-CZ"/>
          </w:rPr>
          <w:delText> </w:delText>
        </w:r>
        <w:r w:rsidRPr="001B4A02">
          <w:rPr>
            <w:iCs/>
            <w:lang w:val="cs-CZ"/>
          </w:rPr>
          <w:delText>3 x ULN u</w:delText>
        </w:r>
        <w:r w:rsidR="004970F6" w:rsidRPr="001B4A02">
          <w:rPr>
            <w:iCs/>
            <w:lang w:val="cs-CZ"/>
          </w:rPr>
          <w:delText> </w:delText>
        </w:r>
        <w:r w:rsidRPr="001B4A02">
          <w:rPr>
            <w:iCs/>
            <w:lang w:val="cs-CZ"/>
          </w:rPr>
          <w:delText>2,6</w:delText>
        </w:r>
        <w:r w:rsidR="006008CB">
          <w:rPr>
            <w:lang w:val="cs-CZ"/>
          </w:rPr>
          <w:delText> %</w:delText>
        </w:r>
        <w:r w:rsidRPr="001B4A02">
          <w:rPr>
            <w:iCs/>
            <w:lang w:val="cs-CZ"/>
          </w:rPr>
          <w:delText xml:space="preserve"> </w:delText>
        </w:r>
        <w:r w:rsidR="00D639F8" w:rsidRPr="001B4A02">
          <w:rPr>
            <w:iCs/>
            <w:lang w:val="cs-CZ"/>
          </w:rPr>
          <w:delText>(5</w:delText>
        </w:r>
        <w:r w:rsidR="0038091E" w:rsidRPr="001B4A02">
          <w:rPr>
            <w:iCs/>
            <w:lang w:val="cs-CZ"/>
          </w:rPr>
          <w:delText xml:space="preserve"> ze</w:delText>
        </w:r>
        <w:r w:rsidR="00C114D7" w:rsidRPr="001B4A02">
          <w:rPr>
            <w:iCs/>
            <w:lang w:val="cs-CZ"/>
          </w:rPr>
          <w:delText xml:space="preserve"> </w:delText>
        </w:r>
        <w:r w:rsidR="00D639F8" w:rsidRPr="001B4A02">
          <w:rPr>
            <w:iCs/>
            <w:lang w:val="cs-CZ"/>
          </w:rPr>
          <w:delText xml:space="preserve">192) </w:delText>
        </w:r>
        <w:r w:rsidRPr="001B4A02">
          <w:rPr>
            <w:iCs/>
            <w:lang w:val="cs-CZ"/>
          </w:rPr>
          <w:delText xml:space="preserve">pacientů, </w:delText>
        </w:r>
        <w:r w:rsidR="00D639F8" w:rsidRPr="001B4A02">
          <w:rPr>
            <w:iCs/>
            <w:lang w:val="cs-CZ"/>
          </w:rPr>
          <w:delText>z</w:delText>
        </w:r>
        <w:r w:rsidR="004970F6" w:rsidRPr="001B4A02">
          <w:rPr>
            <w:iCs/>
            <w:lang w:val="cs-CZ"/>
          </w:rPr>
          <w:delText> </w:delText>
        </w:r>
        <w:r w:rsidR="00D639F8" w:rsidRPr="001B4A02">
          <w:rPr>
            <w:iCs/>
            <w:lang w:val="cs-CZ"/>
          </w:rPr>
          <w:delText xml:space="preserve">nichž 4 </w:delText>
        </w:r>
        <w:r w:rsidRPr="001B4A02">
          <w:rPr>
            <w:iCs/>
            <w:lang w:val="cs-CZ"/>
          </w:rPr>
          <w:delText>byli vystaveni současné léčbě imunosupresiv.</w:delText>
        </w:r>
      </w:del>
    </w:p>
    <w:p w14:paraId="5832620F" w14:textId="77777777" w:rsidR="007050DE" w:rsidRPr="001B4A02" w:rsidRDefault="007050DE" w:rsidP="00ED48A3">
      <w:pPr>
        <w:pStyle w:val="EMEANormal"/>
        <w:shd w:val="clear" w:color="auto" w:fill="FFFFFF"/>
        <w:rPr>
          <w:del w:id="5314" w:author="AbbVie1" w:date="2025-05-13T09:50:00Z"/>
          <w:shd w:val="clear" w:color="auto" w:fill="FFFFFF"/>
          <w:lang w:val="cs-CZ"/>
        </w:rPr>
      </w:pPr>
    </w:p>
    <w:p w14:paraId="1FE8AC9F" w14:textId="77777777" w:rsidR="007840E5" w:rsidRPr="001B4A02" w:rsidRDefault="00000000" w:rsidP="00ED48A3">
      <w:pPr>
        <w:pStyle w:val="EMEANormal"/>
        <w:shd w:val="clear" w:color="auto" w:fill="FFFFFF"/>
        <w:rPr>
          <w:del w:id="5315" w:author="AbbVie1" w:date="2025-05-13T09:50:00Z"/>
          <w:szCs w:val="22"/>
          <w:shd w:val="clear" w:color="auto" w:fill="FFFFFF"/>
          <w:lang w:val="cs-CZ"/>
        </w:rPr>
      </w:pPr>
      <w:del w:id="5316" w:author="AbbVie1" w:date="2025-05-13T09:50:00Z">
        <w:r w:rsidRPr="001B4A02">
          <w:rPr>
            <w:iCs/>
            <w:shd w:val="clear" w:color="auto" w:fill="FFFFFF"/>
            <w:lang w:val="cs-CZ"/>
          </w:rPr>
          <w:delText xml:space="preserve">V kontrolovaných klinických studiích fáze </w:delText>
        </w:r>
        <w:r w:rsidR="00C223B0" w:rsidRPr="001B4A02">
          <w:rPr>
            <w:iCs/>
            <w:shd w:val="clear" w:color="auto" w:fill="FFFFFF"/>
            <w:lang w:val="cs-CZ"/>
          </w:rPr>
          <w:delText>3</w:delText>
        </w:r>
        <w:r w:rsidRPr="001B4A02">
          <w:rPr>
            <w:iCs/>
            <w:shd w:val="clear" w:color="auto" w:fill="FFFFFF"/>
            <w:lang w:val="cs-CZ"/>
          </w:rPr>
          <w:delText xml:space="preserve"> s přípravkem Humira u</w:delText>
        </w:r>
        <w:r w:rsidR="004970F6" w:rsidRPr="001B4A02">
          <w:rPr>
            <w:iCs/>
            <w:shd w:val="clear" w:color="auto" w:fill="FFFFFF"/>
            <w:lang w:val="cs-CZ"/>
          </w:rPr>
          <w:delText> </w:delText>
        </w:r>
        <w:r w:rsidRPr="001B4A02">
          <w:rPr>
            <w:iCs/>
            <w:shd w:val="clear" w:color="auto" w:fill="FFFFFF"/>
            <w:lang w:val="cs-CZ"/>
          </w:rPr>
          <w:delText>pacientů s ložiskovou psoriázou se po sledovanou dobu trvání v rozmezí od 12 do 24 týdnů objevilo</w:delText>
        </w:r>
        <w:r w:rsidRPr="001B4A02">
          <w:rPr>
            <w:szCs w:val="22"/>
            <w:shd w:val="clear" w:color="auto" w:fill="FFFFFF"/>
            <w:lang w:val="cs-CZ"/>
          </w:rPr>
          <w:delText xml:space="preserve"> zvýšení ALT </w:delText>
        </w:r>
        <w:r w:rsidRPr="001B4A02">
          <w:rPr>
            <w:lang w:val="cs-CZ"/>
          </w:rPr>
          <w:delText>≥</w:delText>
        </w:r>
        <w:r w:rsidR="004970F6" w:rsidRPr="001B4A02">
          <w:rPr>
            <w:lang w:val="cs-CZ"/>
          </w:rPr>
          <w:delText> </w:delText>
        </w:r>
        <w:r w:rsidRPr="001B4A02">
          <w:rPr>
            <w:lang w:val="cs-CZ"/>
          </w:rPr>
          <w:delText>3 x ULN</w:delText>
        </w:r>
        <w:r w:rsidRPr="001B4A02">
          <w:rPr>
            <w:szCs w:val="22"/>
            <w:shd w:val="clear" w:color="auto" w:fill="FFFFFF"/>
            <w:lang w:val="cs-CZ"/>
          </w:rPr>
          <w:delText xml:space="preserve"> u</w:delText>
        </w:r>
        <w:r w:rsidR="004970F6" w:rsidRPr="001B4A02">
          <w:rPr>
            <w:szCs w:val="22"/>
            <w:shd w:val="clear" w:color="auto" w:fill="FFFFFF"/>
            <w:lang w:val="cs-CZ"/>
          </w:rPr>
          <w:delText> </w:delText>
        </w:r>
        <w:r w:rsidRPr="001B4A02">
          <w:rPr>
            <w:szCs w:val="22"/>
            <w:shd w:val="clear" w:color="auto" w:fill="FFFFFF"/>
            <w:lang w:val="cs-CZ"/>
          </w:rPr>
          <w:delText>1,8</w:delText>
        </w:r>
        <w:r w:rsidR="006008CB">
          <w:rPr>
            <w:szCs w:val="22"/>
            <w:shd w:val="clear" w:color="auto" w:fill="FFFFFF"/>
            <w:lang w:val="cs-CZ"/>
          </w:rPr>
          <w:delText> %</w:delText>
        </w:r>
        <w:r w:rsidRPr="001B4A02">
          <w:rPr>
            <w:szCs w:val="22"/>
            <w:shd w:val="clear" w:color="auto" w:fill="FFFFFF"/>
            <w:lang w:val="cs-CZ"/>
          </w:rPr>
          <w:delText xml:space="preserve"> pacientů léče</w:delText>
        </w:r>
        <w:r w:rsidR="00062315" w:rsidRPr="001B4A02">
          <w:rPr>
            <w:szCs w:val="22"/>
            <w:shd w:val="clear" w:color="auto" w:fill="FFFFFF"/>
            <w:lang w:val="cs-CZ"/>
          </w:rPr>
          <w:delText>ných přípravkem Humira</w:delText>
        </w:r>
        <w:r w:rsidR="002378E0">
          <w:rPr>
            <w:szCs w:val="22"/>
            <w:shd w:val="clear" w:color="auto" w:fill="FFFFFF"/>
            <w:lang w:val="cs-CZ"/>
          </w:rPr>
          <w:delText xml:space="preserve"> a </w:delText>
        </w:r>
        <w:r w:rsidR="00062315" w:rsidRPr="001B4A02">
          <w:rPr>
            <w:szCs w:val="22"/>
            <w:shd w:val="clear" w:color="auto" w:fill="FFFFFF"/>
            <w:lang w:val="cs-CZ"/>
          </w:rPr>
          <w:delText>u</w:delText>
        </w:r>
        <w:r w:rsidR="004970F6" w:rsidRPr="001B4A02">
          <w:rPr>
            <w:szCs w:val="22"/>
            <w:shd w:val="clear" w:color="auto" w:fill="FFFFFF"/>
            <w:lang w:val="cs-CZ"/>
          </w:rPr>
          <w:delText> </w:delText>
        </w:r>
        <w:r w:rsidR="00062315" w:rsidRPr="001B4A02">
          <w:rPr>
            <w:szCs w:val="22"/>
            <w:shd w:val="clear" w:color="auto" w:fill="FFFFFF"/>
            <w:lang w:val="cs-CZ"/>
          </w:rPr>
          <w:delText>1,8</w:delText>
        </w:r>
        <w:r w:rsidR="006008CB">
          <w:rPr>
            <w:szCs w:val="22"/>
            <w:shd w:val="clear" w:color="auto" w:fill="FFFFFF"/>
            <w:lang w:val="cs-CZ"/>
          </w:rPr>
          <w:delText> %</w:delText>
        </w:r>
        <w:r w:rsidRPr="001B4A02">
          <w:rPr>
            <w:szCs w:val="22"/>
            <w:shd w:val="clear" w:color="auto" w:fill="FFFFFF"/>
            <w:lang w:val="cs-CZ"/>
          </w:rPr>
          <w:delText xml:space="preserve"> pacientů léčených kontrolním přípravk</w:delText>
        </w:r>
        <w:r w:rsidR="00AC7C92" w:rsidRPr="001B4A02">
          <w:rPr>
            <w:szCs w:val="22"/>
            <w:shd w:val="clear" w:color="auto" w:fill="FFFFFF"/>
            <w:lang w:val="cs-CZ"/>
          </w:rPr>
          <w:delText>em.</w:delText>
        </w:r>
      </w:del>
    </w:p>
    <w:p w14:paraId="3C331B11" w14:textId="77777777" w:rsidR="007840E5" w:rsidRPr="001B4A02" w:rsidRDefault="007840E5" w:rsidP="00ED48A3">
      <w:pPr>
        <w:pStyle w:val="EMEANormal"/>
        <w:shd w:val="clear" w:color="auto" w:fill="FFFFFF"/>
        <w:rPr>
          <w:del w:id="5317" w:author="AbbVie1" w:date="2025-05-13T09:50:00Z"/>
          <w:shd w:val="clear" w:color="auto" w:fill="FFFFFF"/>
          <w:lang w:val="cs-CZ"/>
        </w:rPr>
      </w:pPr>
    </w:p>
    <w:p w14:paraId="0FA223B6" w14:textId="77777777" w:rsidR="007840E5" w:rsidRPr="001B4A02" w:rsidRDefault="00000000" w:rsidP="00ED48A3">
      <w:pPr>
        <w:pStyle w:val="EMEANormal"/>
        <w:shd w:val="clear" w:color="auto" w:fill="FFFFFF"/>
        <w:rPr>
          <w:del w:id="5318" w:author="AbbVie1" w:date="2025-05-13T09:50:00Z"/>
          <w:lang w:val="cs-CZ"/>
        </w:rPr>
      </w:pPr>
      <w:del w:id="5319" w:author="AbbVie1" w:date="2025-05-13T09:50:00Z">
        <w:r w:rsidRPr="001B4A02">
          <w:rPr>
            <w:shd w:val="clear" w:color="auto" w:fill="FFFFFF"/>
            <w:lang w:val="cs-CZ"/>
          </w:rPr>
          <w:delText xml:space="preserve">Žádné zvýšení ALT </w:delText>
        </w:r>
        <w:r w:rsidRPr="001B4A02">
          <w:rPr>
            <w:lang w:val="cs-CZ"/>
          </w:rPr>
          <w:delText>≥</w:delText>
        </w:r>
        <w:r w:rsidR="004970F6" w:rsidRPr="001B4A02">
          <w:rPr>
            <w:lang w:val="cs-CZ"/>
          </w:rPr>
          <w:delText> </w:delText>
        </w:r>
        <w:r w:rsidRPr="001B4A02">
          <w:rPr>
            <w:lang w:val="cs-CZ"/>
          </w:rPr>
          <w:delText>3 x ULN se nevyskytlo v</w:delText>
        </w:r>
        <w:r w:rsidR="004970F6" w:rsidRPr="001B4A02">
          <w:rPr>
            <w:lang w:val="cs-CZ"/>
          </w:rPr>
          <w:delText> </w:delText>
        </w:r>
        <w:r w:rsidRPr="001B4A02">
          <w:rPr>
            <w:lang w:val="cs-CZ"/>
          </w:rPr>
          <w:delText xml:space="preserve">klinické studii fáze </w:delText>
        </w:r>
        <w:r w:rsidR="00C223B0" w:rsidRPr="001B4A02">
          <w:rPr>
            <w:lang w:val="cs-CZ"/>
          </w:rPr>
          <w:delText>3</w:delText>
        </w:r>
        <w:r w:rsidR="00AC7C92" w:rsidRPr="001B4A02">
          <w:rPr>
            <w:lang w:val="cs-CZ"/>
          </w:rPr>
          <w:delText xml:space="preserve"> s přípravkem Humira u </w:delText>
        </w:r>
        <w:r w:rsidRPr="001B4A02">
          <w:rPr>
            <w:lang w:val="cs-CZ"/>
          </w:rPr>
          <w:delText>pediatrických pacientů s ložiskovou psoriázou.</w:delText>
        </w:r>
      </w:del>
    </w:p>
    <w:p w14:paraId="5A40A9FF" w14:textId="77777777" w:rsidR="007840E5" w:rsidRPr="001B4A02" w:rsidRDefault="007840E5" w:rsidP="00ED48A3">
      <w:pPr>
        <w:pStyle w:val="EMEANormal"/>
        <w:shd w:val="clear" w:color="auto" w:fill="FFFFFF"/>
        <w:rPr>
          <w:del w:id="5320" w:author="AbbVie1" w:date="2025-05-13T09:50:00Z"/>
          <w:shd w:val="clear" w:color="auto" w:fill="FFFFFF"/>
          <w:lang w:val="cs-CZ"/>
        </w:rPr>
      </w:pPr>
    </w:p>
    <w:p w14:paraId="7DC69445" w14:textId="77777777" w:rsidR="00D639F8" w:rsidRPr="001B4A02" w:rsidRDefault="00000000" w:rsidP="00ED48A3">
      <w:pPr>
        <w:pStyle w:val="EMEANormal"/>
        <w:shd w:val="clear" w:color="auto" w:fill="FFFFFF"/>
        <w:rPr>
          <w:del w:id="5321" w:author="AbbVie1" w:date="2025-05-13T09:50:00Z"/>
          <w:shd w:val="clear" w:color="auto" w:fill="FFFFFF"/>
          <w:lang w:val="cs-CZ"/>
        </w:rPr>
      </w:pPr>
      <w:del w:id="5322" w:author="AbbVie1" w:date="2025-05-13T09:50:00Z">
        <w:r w:rsidRPr="001B4A02">
          <w:rPr>
            <w:shd w:val="clear" w:color="auto" w:fill="FFFFFF"/>
            <w:lang w:val="cs-CZ"/>
          </w:rPr>
          <w:delText>V kontrolovaných klinických studiích s</w:delText>
        </w:r>
        <w:r w:rsidR="004970F6" w:rsidRPr="001B4A02">
          <w:rPr>
            <w:shd w:val="clear" w:color="auto" w:fill="FFFFFF"/>
            <w:lang w:val="cs-CZ"/>
          </w:rPr>
          <w:delText> </w:delText>
        </w:r>
        <w:r w:rsidRPr="001B4A02">
          <w:rPr>
            <w:shd w:val="clear" w:color="auto" w:fill="FFFFFF"/>
            <w:lang w:val="cs-CZ"/>
          </w:rPr>
          <w:delText>přípravkem Humira (úvodní dávky 160</w:delText>
        </w:r>
        <w:r w:rsidR="00294902">
          <w:rPr>
            <w:shd w:val="clear" w:color="auto" w:fill="FFFFFF"/>
            <w:lang w:val="cs-CZ"/>
          </w:rPr>
          <w:delText> mg</w:delText>
        </w:r>
        <w:r w:rsidRPr="001B4A02">
          <w:rPr>
            <w:shd w:val="clear" w:color="auto" w:fill="FFFFFF"/>
            <w:lang w:val="cs-CZ"/>
          </w:rPr>
          <w:delText xml:space="preserve"> v</w:delText>
        </w:r>
        <w:r w:rsidR="004970F6" w:rsidRPr="001B4A02">
          <w:rPr>
            <w:shd w:val="clear" w:color="auto" w:fill="FFFFFF"/>
            <w:lang w:val="cs-CZ"/>
          </w:rPr>
          <w:delText> </w:delText>
        </w:r>
        <w:r w:rsidRPr="001B4A02">
          <w:rPr>
            <w:shd w:val="clear" w:color="auto" w:fill="FFFFFF"/>
            <w:lang w:val="cs-CZ"/>
          </w:rPr>
          <w:delText>týdnu 0</w:delText>
        </w:r>
        <w:r w:rsidR="002378E0">
          <w:rPr>
            <w:shd w:val="clear" w:color="auto" w:fill="FFFFFF"/>
            <w:lang w:val="cs-CZ"/>
          </w:rPr>
          <w:delText xml:space="preserve"> a </w:delText>
        </w:r>
        <w:r w:rsidRPr="001B4A02">
          <w:rPr>
            <w:shd w:val="clear" w:color="auto" w:fill="FFFFFF"/>
            <w:lang w:val="cs-CZ"/>
          </w:rPr>
          <w:delText>80</w:delText>
        </w:r>
        <w:r w:rsidR="00294902">
          <w:rPr>
            <w:shd w:val="clear" w:color="auto" w:fill="FFFFFF"/>
            <w:lang w:val="cs-CZ"/>
          </w:rPr>
          <w:delText> mg</w:delText>
        </w:r>
        <w:r w:rsidRPr="001B4A02">
          <w:rPr>
            <w:shd w:val="clear" w:color="auto" w:fill="FFFFFF"/>
            <w:lang w:val="cs-CZ"/>
          </w:rPr>
          <w:delText xml:space="preserve"> v</w:delText>
        </w:r>
        <w:r w:rsidR="004970F6" w:rsidRPr="001B4A02">
          <w:rPr>
            <w:shd w:val="clear" w:color="auto" w:fill="FFFFFF"/>
            <w:lang w:val="cs-CZ"/>
          </w:rPr>
          <w:delText> </w:delText>
        </w:r>
        <w:r w:rsidRPr="001B4A02">
          <w:rPr>
            <w:shd w:val="clear" w:color="auto" w:fill="FFFFFF"/>
            <w:lang w:val="cs-CZ"/>
          </w:rPr>
          <w:delText>týdnu 2, následované 40</w:delText>
        </w:r>
        <w:r w:rsidR="00294902">
          <w:rPr>
            <w:shd w:val="clear" w:color="auto" w:fill="FFFFFF"/>
            <w:lang w:val="cs-CZ"/>
          </w:rPr>
          <w:delText> mg</w:delText>
        </w:r>
        <w:r w:rsidRPr="001B4A02">
          <w:rPr>
            <w:shd w:val="clear" w:color="auto" w:fill="FFFFFF"/>
            <w:lang w:val="cs-CZ"/>
          </w:rPr>
          <w:delText xml:space="preserve"> jednou týdně počínaje týdnem 4) u</w:delText>
        </w:r>
        <w:r w:rsidR="004970F6" w:rsidRPr="001B4A02">
          <w:rPr>
            <w:shd w:val="clear" w:color="auto" w:fill="FFFFFF"/>
            <w:lang w:val="cs-CZ"/>
          </w:rPr>
          <w:delText> </w:delText>
        </w:r>
        <w:r w:rsidRPr="001B4A02">
          <w:rPr>
            <w:shd w:val="clear" w:color="auto" w:fill="FFFFFF"/>
            <w:lang w:val="cs-CZ"/>
          </w:rPr>
          <w:delText>pacientů s</w:delText>
        </w:r>
        <w:r w:rsidR="004970F6" w:rsidRPr="001B4A02">
          <w:rPr>
            <w:shd w:val="clear" w:color="auto" w:fill="FFFFFF"/>
            <w:lang w:val="cs-CZ"/>
          </w:rPr>
          <w:delText> </w:delText>
        </w:r>
        <w:r w:rsidRPr="001B4A02">
          <w:rPr>
            <w:shd w:val="clear" w:color="auto" w:fill="FFFFFF"/>
            <w:lang w:val="cs-CZ"/>
          </w:rPr>
          <w:delText>hidradenitis suppurativa se sledovanou dobou trvání v</w:delText>
        </w:r>
        <w:r w:rsidR="004970F6" w:rsidRPr="001B4A02">
          <w:rPr>
            <w:shd w:val="clear" w:color="auto" w:fill="FFFFFF"/>
            <w:lang w:val="cs-CZ"/>
          </w:rPr>
          <w:delText> </w:delText>
        </w:r>
        <w:r w:rsidRPr="001B4A02">
          <w:rPr>
            <w:shd w:val="clear" w:color="auto" w:fill="FFFFFF"/>
            <w:lang w:val="cs-CZ"/>
          </w:rPr>
          <w:delText>rozmezí od 12 do 16 týdnů se objevilo zvýšení ALT ≥</w:delText>
        </w:r>
        <w:r w:rsidR="004970F6" w:rsidRPr="001B4A02">
          <w:rPr>
            <w:shd w:val="clear" w:color="auto" w:fill="FFFFFF"/>
            <w:lang w:val="cs-CZ"/>
          </w:rPr>
          <w:delText> </w:delText>
        </w:r>
        <w:r w:rsidRPr="001B4A02">
          <w:rPr>
            <w:shd w:val="clear" w:color="auto" w:fill="FFFFFF"/>
            <w:lang w:val="cs-CZ"/>
          </w:rPr>
          <w:delText>3 x ULN u</w:delText>
        </w:r>
        <w:r w:rsidR="004970F6" w:rsidRPr="001B4A02">
          <w:rPr>
            <w:shd w:val="clear" w:color="auto" w:fill="FFFFFF"/>
            <w:lang w:val="cs-CZ"/>
          </w:rPr>
          <w:delText> </w:delText>
        </w:r>
        <w:r w:rsidRPr="001B4A02">
          <w:rPr>
            <w:shd w:val="clear" w:color="auto" w:fill="FFFFFF"/>
            <w:lang w:val="cs-CZ"/>
          </w:rPr>
          <w:delText>0,3</w:delText>
        </w:r>
        <w:r w:rsidR="006008CB">
          <w:rPr>
            <w:lang w:val="cs-CZ"/>
          </w:rPr>
          <w:delText> %</w:delText>
        </w:r>
        <w:r w:rsidRPr="001B4A02">
          <w:rPr>
            <w:shd w:val="clear" w:color="auto" w:fill="FFFFFF"/>
            <w:lang w:val="cs-CZ"/>
          </w:rPr>
          <w:delText xml:space="preserve"> pacientů léčen</w:delText>
        </w:r>
        <w:r w:rsidR="00062315" w:rsidRPr="001B4A02">
          <w:rPr>
            <w:shd w:val="clear" w:color="auto" w:fill="FFFFFF"/>
            <w:lang w:val="cs-CZ"/>
          </w:rPr>
          <w:delText>ých přípravkem Humira</w:delText>
        </w:r>
        <w:r w:rsidR="002378E0">
          <w:rPr>
            <w:shd w:val="clear" w:color="auto" w:fill="FFFFFF"/>
            <w:lang w:val="cs-CZ"/>
          </w:rPr>
          <w:delText xml:space="preserve"> a </w:delText>
        </w:r>
        <w:r w:rsidR="00062315" w:rsidRPr="001B4A02">
          <w:rPr>
            <w:shd w:val="clear" w:color="auto" w:fill="FFFFFF"/>
            <w:lang w:val="cs-CZ"/>
          </w:rPr>
          <w:delText>u</w:delText>
        </w:r>
        <w:r w:rsidR="004970F6" w:rsidRPr="001B4A02">
          <w:rPr>
            <w:shd w:val="clear" w:color="auto" w:fill="FFFFFF"/>
            <w:lang w:val="cs-CZ"/>
          </w:rPr>
          <w:delText> </w:delText>
        </w:r>
        <w:r w:rsidR="00062315" w:rsidRPr="001B4A02">
          <w:rPr>
            <w:shd w:val="clear" w:color="auto" w:fill="FFFFFF"/>
            <w:lang w:val="cs-CZ"/>
          </w:rPr>
          <w:delText>0,6</w:delText>
        </w:r>
        <w:r w:rsidR="006008CB">
          <w:rPr>
            <w:lang w:val="cs-CZ"/>
          </w:rPr>
          <w:delText> %</w:delText>
        </w:r>
        <w:r w:rsidR="00062315" w:rsidRPr="001B4A02">
          <w:rPr>
            <w:shd w:val="clear" w:color="auto" w:fill="FFFFFF"/>
            <w:lang w:val="cs-CZ"/>
          </w:rPr>
          <w:delText xml:space="preserve"> </w:delText>
        </w:r>
        <w:r w:rsidRPr="001B4A02">
          <w:rPr>
            <w:shd w:val="clear" w:color="auto" w:fill="FFFFFF"/>
            <w:lang w:val="cs-CZ"/>
          </w:rPr>
          <w:delText>pacientů léčených kontrolním přípravkem.</w:delText>
        </w:r>
      </w:del>
    </w:p>
    <w:p w14:paraId="463305D7" w14:textId="77777777" w:rsidR="00D639F8" w:rsidRPr="001B4A02" w:rsidRDefault="00D639F8" w:rsidP="00ED48A3">
      <w:pPr>
        <w:pStyle w:val="EMEANormal"/>
        <w:shd w:val="clear" w:color="auto" w:fill="FFFFFF"/>
        <w:rPr>
          <w:del w:id="5323" w:author="AbbVie1" w:date="2025-05-13T09:50:00Z"/>
          <w:shd w:val="clear" w:color="auto" w:fill="FFFFFF"/>
          <w:lang w:val="cs-CZ"/>
        </w:rPr>
      </w:pPr>
    </w:p>
    <w:p w14:paraId="2E73DCCD" w14:textId="77777777" w:rsidR="007A273F" w:rsidRPr="001B4A02" w:rsidRDefault="00000000" w:rsidP="00ED48A3">
      <w:pPr>
        <w:autoSpaceDE w:val="0"/>
        <w:autoSpaceDN w:val="0"/>
        <w:adjustRightInd w:val="0"/>
        <w:ind w:left="0" w:firstLine="0"/>
        <w:rPr>
          <w:del w:id="5324" w:author="AbbVie1" w:date="2025-05-13T09:50:00Z"/>
          <w:iCs/>
        </w:rPr>
      </w:pPr>
      <w:del w:id="5325" w:author="AbbVie1" w:date="2025-05-13T09:50:00Z">
        <w:r w:rsidRPr="001B4A02">
          <w:rPr>
            <w:shd w:val="clear" w:color="auto" w:fill="FFFFFF"/>
          </w:rPr>
          <w:delText>V</w:delText>
        </w:r>
        <w:r w:rsidR="003E092A">
          <w:rPr>
            <w:shd w:val="clear" w:color="auto" w:fill="FFFFFF"/>
          </w:rPr>
          <w:delText> </w:delText>
        </w:r>
        <w:r w:rsidRPr="001B4A02">
          <w:rPr>
            <w:shd w:val="clear" w:color="auto" w:fill="FFFFFF"/>
          </w:rPr>
          <w:delText>kontrolovaných klinických studiích s</w:delText>
        </w:r>
        <w:r w:rsidR="004970F6" w:rsidRPr="001B4A02">
          <w:rPr>
            <w:shd w:val="clear" w:color="auto" w:fill="FFFFFF"/>
          </w:rPr>
          <w:delText> </w:delText>
        </w:r>
        <w:r w:rsidRPr="001B4A02">
          <w:rPr>
            <w:shd w:val="clear" w:color="auto" w:fill="FFFFFF"/>
          </w:rPr>
          <w:delText>přípravkem Humira (úvodní dávky 80</w:delText>
        </w:r>
        <w:r w:rsidR="00294902">
          <w:rPr>
            <w:shd w:val="clear" w:color="auto" w:fill="FFFFFF"/>
          </w:rPr>
          <w:delText> mg</w:delText>
        </w:r>
        <w:r w:rsidRPr="001B4A02">
          <w:rPr>
            <w:shd w:val="clear" w:color="auto" w:fill="FFFFFF"/>
          </w:rPr>
          <w:delText xml:space="preserve"> v</w:delText>
        </w:r>
        <w:r w:rsidR="004970F6" w:rsidRPr="001B4A02">
          <w:rPr>
            <w:shd w:val="clear" w:color="auto" w:fill="FFFFFF"/>
          </w:rPr>
          <w:delText> </w:delText>
        </w:r>
        <w:r w:rsidRPr="001B4A02">
          <w:rPr>
            <w:shd w:val="clear" w:color="auto" w:fill="FFFFFF"/>
          </w:rPr>
          <w:delText>týdnu 0, následované 40</w:delText>
        </w:r>
        <w:r w:rsidR="00294902">
          <w:rPr>
            <w:shd w:val="clear" w:color="auto" w:fill="FFFFFF"/>
          </w:rPr>
          <w:delText> mg</w:delText>
        </w:r>
        <w:r w:rsidRPr="001B4A02">
          <w:rPr>
            <w:shd w:val="clear" w:color="auto" w:fill="FFFFFF"/>
          </w:rPr>
          <w:delText xml:space="preserve"> jednou za dva týdny počínaje týdnem 1) </w:delText>
        </w:r>
        <w:r w:rsidR="00276EB8" w:rsidRPr="001B4A02">
          <w:rPr>
            <w:shd w:val="clear" w:color="auto" w:fill="FFFFFF"/>
          </w:rPr>
          <w:delText xml:space="preserve">se </w:delText>
        </w:r>
        <w:r w:rsidRPr="001B4A02">
          <w:rPr>
            <w:shd w:val="clear" w:color="auto" w:fill="FFFFFF"/>
          </w:rPr>
          <w:delText>u</w:delText>
        </w:r>
        <w:r w:rsidR="004970F6" w:rsidRPr="001B4A02">
          <w:rPr>
            <w:shd w:val="clear" w:color="auto" w:fill="FFFFFF"/>
          </w:rPr>
          <w:delText> </w:delText>
        </w:r>
        <w:r w:rsidR="006C5A6B" w:rsidRPr="001B4A02">
          <w:rPr>
            <w:shd w:val="clear" w:color="auto" w:fill="FFFFFF"/>
          </w:rPr>
          <w:delText>dospělých</w:delText>
        </w:r>
        <w:r w:rsidRPr="001B4A02">
          <w:rPr>
            <w:shd w:val="clear" w:color="auto" w:fill="FFFFFF"/>
          </w:rPr>
          <w:delText xml:space="preserve"> pacientů s uveitidou </w:delText>
        </w:r>
        <w:r w:rsidR="00276EB8" w:rsidRPr="001B4A02">
          <w:rPr>
            <w:shd w:val="clear" w:color="auto" w:fill="FFFFFF"/>
          </w:rPr>
          <w:delText xml:space="preserve">léčených </w:delText>
        </w:r>
        <w:r w:rsidRPr="001B4A02">
          <w:rPr>
            <w:shd w:val="clear" w:color="auto" w:fill="FFFFFF"/>
          </w:rPr>
          <w:delText xml:space="preserve">až po dobu 80 týdnů se střední expozicí 166,5 dne </w:delText>
        </w:r>
        <w:r w:rsidR="00276EB8" w:rsidRPr="001B4A02">
          <w:rPr>
            <w:shd w:val="clear" w:color="auto" w:fill="FFFFFF"/>
          </w:rPr>
          <w:delText>v případě terapie přípravkem Humira</w:delText>
        </w:r>
        <w:r w:rsidR="002378E0">
          <w:rPr>
            <w:shd w:val="clear" w:color="auto" w:fill="FFFFFF"/>
          </w:rPr>
          <w:delText xml:space="preserve"> a </w:delText>
        </w:r>
        <w:r w:rsidRPr="001B4A02">
          <w:rPr>
            <w:shd w:val="clear" w:color="auto" w:fill="FFFFFF"/>
          </w:rPr>
          <w:delText xml:space="preserve">105,0 dne </w:delText>
        </w:r>
        <w:r w:rsidR="00276EB8" w:rsidRPr="001B4A02">
          <w:rPr>
            <w:shd w:val="clear" w:color="auto" w:fill="FFFFFF"/>
          </w:rPr>
          <w:delText xml:space="preserve">v případě terapie kontrolním přípravkem </w:delText>
        </w:r>
        <w:r w:rsidRPr="001B4A02">
          <w:rPr>
            <w:shd w:val="clear" w:color="auto" w:fill="FFFFFF"/>
          </w:rPr>
          <w:delText>objevilo zvýšení ALT ≥</w:delText>
        </w:r>
        <w:r w:rsidR="004970F6" w:rsidRPr="001B4A02">
          <w:rPr>
            <w:shd w:val="clear" w:color="auto" w:fill="FFFFFF"/>
          </w:rPr>
          <w:delText> </w:delText>
        </w:r>
        <w:r w:rsidRPr="001B4A02">
          <w:rPr>
            <w:shd w:val="clear" w:color="auto" w:fill="FFFFFF"/>
          </w:rPr>
          <w:delText>3 x ULN u</w:delText>
        </w:r>
        <w:r w:rsidR="004970F6" w:rsidRPr="001B4A02">
          <w:rPr>
            <w:shd w:val="clear" w:color="auto" w:fill="FFFFFF"/>
          </w:rPr>
          <w:delText> </w:delText>
        </w:r>
        <w:r w:rsidRPr="001B4A02">
          <w:rPr>
            <w:shd w:val="clear" w:color="auto" w:fill="FFFFFF"/>
          </w:rPr>
          <w:delText>2,4</w:delText>
        </w:r>
        <w:r w:rsidR="006008CB">
          <w:rPr>
            <w:shd w:val="clear" w:color="auto" w:fill="FFFFFF"/>
          </w:rPr>
          <w:delText> %</w:delText>
        </w:r>
        <w:r w:rsidRPr="001B4A02">
          <w:rPr>
            <w:shd w:val="clear" w:color="auto" w:fill="FFFFFF"/>
          </w:rPr>
          <w:delText xml:space="preserve"> pacientů léčených přípravkem Humira</w:delText>
        </w:r>
        <w:r w:rsidR="002378E0">
          <w:rPr>
            <w:shd w:val="clear" w:color="auto" w:fill="FFFFFF"/>
          </w:rPr>
          <w:delText xml:space="preserve"> a </w:delText>
        </w:r>
        <w:r w:rsidRPr="001B4A02">
          <w:rPr>
            <w:shd w:val="clear" w:color="auto" w:fill="FFFFFF"/>
          </w:rPr>
          <w:delText>u</w:delText>
        </w:r>
        <w:r w:rsidR="004970F6" w:rsidRPr="001B4A02">
          <w:rPr>
            <w:shd w:val="clear" w:color="auto" w:fill="FFFFFF"/>
          </w:rPr>
          <w:delText> </w:delText>
        </w:r>
        <w:r w:rsidRPr="001B4A02">
          <w:rPr>
            <w:shd w:val="clear" w:color="auto" w:fill="FFFFFF"/>
          </w:rPr>
          <w:delText>2,4</w:delText>
        </w:r>
        <w:r w:rsidR="006008CB">
          <w:rPr>
            <w:shd w:val="clear" w:color="auto" w:fill="FFFFFF"/>
          </w:rPr>
          <w:delText> %</w:delText>
        </w:r>
        <w:r w:rsidRPr="001B4A02">
          <w:rPr>
            <w:shd w:val="clear" w:color="auto" w:fill="FFFFFF"/>
          </w:rPr>
          <w:delText xml:space="preserve"> pacientů léčených kontrolním přípravkem.</w:delText>
        </w:r>
      </w:del>
    </w:p>
    <w:p w14:paraId="2DEA7A31" w14:textId="77777777" w:rsidR="007A273F" w:rsidRPr="001B4A02" w:rsidRDefault="007A273F" w:rsidP="00ED48A3">
      <w:pPr>
        <w:ind w:left="0" w:firstLine="0"/>
        <w:rPr>
          <w:del w:id="5326" w:author="AbbVie1" w:date="2025-05-13T09:50:00Z"/>
          <w:shd w:val="clear" w:color="auto" w:fill="FFFFFF"/>
        </w:rPr>
      </w:pPr>
    </w:p>
    <w:p w14:paraId="175E7BDA" w14:textId="77777777" w:rsidR="000A79CD" w:rsidRPr="001D2137" w:rsidRDefault="00000000" w:rsidP="000A79CD">
      <w:pPr>
        <w:ind w:left="0" w:firstLine="0"/>
        <w:rPr>
          <w:del w:id="5327" w:author="AbbVie1" w:date="2025-05-13T09:50:00Z"/>
          <w:rStyle w:val="normaltextrun"/>
          <w:shd w:val="clear" w:color="auto" w:fill="FFFFFF"/>
        </w:rPr>
      </w:pPr>
      <w:del w:id="5328" w:author="AbbVie1" w:date="2025-05-13T09:50:00Z">
        <w:r>
          <w:rPr>
            <w:rStyle w:val="normaltextrun"/>
            <w:shd w:val="clear" w:color="auto" w:fill="FFFFFF"/>
          </w:rPr>
          <w:delText>V kontrolované klinické studii fáze 3 s</w:delText>
        </w:r>
        <w:r w:rsidR="009A3A47">
          <w:rPr>
            <w:rStyle w:val="normaltextrun"/>
            <w:shd w:val="clear" w:color="auto" w:fill="FFFFFF"/>
          </w:rPr>
          <w:delText> </w:delText>
        </w:r>
        <w:r>
          <w:rPr>
            <w:rStyle w:val="normaltextrun"/>
            <w:shd w:val="clear" w:color="auto" w:fill="FFFFFF"/>
          </w:rPr>
          <w:delText>přípravkem Humira u pediatrických pacientů s ulcerózní kolitidou (n=93), která hodnotila účinnost</w:delText>
        </w:r>
        <w:r w:rsidR="002378E0">
          <w:rPr>
            <w:rStyle w:val="normaltextrun"/>
            <w:shd w:val="clear" w:color="auto" w:fill="FFFFFF"/>
          </w:rPr>
          <w:delText xml:space="preserve"> a </w:delText>
        </w:r>
        <w:r>
          <w:rPr>
            <w:rStyle w:val="normaltextrun"/>
            <w:shd w:val="clear" w:color="auto" w:fill="FFFFFF"/>
          </w:rPr>
          <w:delText xml:space="preserve">bezpečnost udržovací dávky 0,6 mg/kg (maximální dávka 40 mg) </w:delText>
        </w:r>
        <w:r w:rsidR="00CC333F" w:rsidRPr="001B4A02">
          <w:delText>jednou za dva týdny</w:delText>
        </w:r>
        <w:r w:rsidR="00CC333F">
          <w:rPr>
            <w:rStyle w:val="normaltextrun"/>
            <w:shd w:val="clear" w:color="auto" w:fill="FFFFFF"/>
          </w:rPr>
          <w:delText xml:space="preserve"> </w:delText>
        </w:r>
        <w:r>
          <w:rPr>
            <w:rStyle w:val="normaltextrun"/>
            <w:shd w:val="clear" w:color="auto" w:fill="FFFFFF"/>
          </w:rPr>
          <w:delText>(n=31)</w:delText>
        </w:r>
        <w:r w:rsidR="002378E0">
          <w:rPr>
            <w:rStyle w:val="normaltextrun"/>
            <w:shd w:val="clear" w:color="auto" w:fill="FFFFFF"/>
          </w:rPr>
          <w:delText xml:space="preserve"> a </w:delText>
        </w:r>
        <w:r>
          <w:rPr>
            <w:rStyle w:val="normaltextrun"/>
            <w:shd w:val="clear" w:color="auto" w:fill="FFFFFF"/>
          </w:rPr>
          <w:delText>udržovací dávky 0,6 mg/kg (maximální dávka 40 mg) každý týden (n=32) po indukční dávce upravené podle tělesné hmotnosti 2,4 mg/kg (maximální dávka 160 mg) v týdnech 0</w:delText>
        </w:r>
        <w:r w:rsidR="002378E0">
          <w:rPr>
            <w:rStyle w:val="normaltextrun"/>
            <w:shd w:val="clear" w:color="auto" w:fill="FFFFFF"/>
          </w:rPr>
          <w:delText xml:space="preserve"> a </w:delText>
        </w:r>
        <w:r>
          <w:rPr>
            <w:rStyle w:val="normaltextrun"/>
            <w:shd w:val="clear" w:color="auto" w:fill="FFFFFF"/>
          </w:rPr>
          <w:delText>1,</w:delText>
        </w:r>
        <w:r w:rsidR="002378E0">
          <w:rPr>
            <w:rStyle w:val="normaltextrun"/>
            <w:shd w:val="clear" w:color="auto" w:fill="FFFFFF"/>
          </w:rPr>
          <w:delText xml:space="preserve"> a </w:delText>
        </w:r>
        <w:r>
          <w:rPr>
            <w:rStyle w:val="normaltextrun"/>
            <w:shd w:val="clear" w:color="auto" w:fill="FFFFFF"/>
          </w:rPr>
          <w:delText>1,2 mg/kg (maximální dávka 80 mg) v</w:delText>
        </w:r>
        <w:r w:rsidR="009A3A47">
          <w:rPr>
            <w:rStyle w:val="normaltextrun"/>
            <w:shd w:val="clear" w:color="auto" w:fill="FFFFFF"/>
          </w:rPr>
          <w:delText> </w:delText>
        </w:r>
        <w:r>
          <w:rPr>
            <w:rStyle w:val="normaltextrun"/>
            <w:shd w:val="clear" w:color="auto" w:fill="FFFFFF"/>
          </w:rPr>
          <w:delText xml:space="preserve">týdnu 2 (n=63) nebo </w:delText>
        </w:r>
        <w:r w:rsidRPr="0031470C">
          <w:rPr>
            <w:rStyle w:val="normaltextrun"/>
            <w:shd w:val="clear" w:color="auto" w:fill="FFFFFF"/>
          </w:rPr>
          <w:delText>indukční dávce 2,</w:delText>
        </w:r>
        <w:r>
          <w:rPr>
            <w:rStyle w:val="normaltextrun"/>
            <w:shd w:val="clear" w:color="auto" w:fill="FFFFFF"/>
          </w:rPr>
          <w:delText>4 mg/kg (maximální dávka 160 mg) v týdnu 0, placebo v týdnu 1</w:delText>
        </w:r>
        <w:r w:rsidR="002378E0">
          <w:rPr>
            <w:rStyle w:val="normaltextrun"/>
            <w:shd w:val="clear" w:color="auto" w:fill="FFFFFF"/>
          </w:rPr>
          <w:delText xml:space="preserve"> a </w:delText>
        </w:r>
        <w:r>
          <w:rPr>
            <w:rStyle w:val="normaltextrun"/>
            <w:shd w:val="clear" w:color="auto" w:fill="FFFFFF"/>
          </w:rPr>
          <w:delText>1,2 mg/kg (maximální dávka 80 mg) v</w:delText>
        </w:r>
        <w:r w:rsidR="009A3A47">
          <w:rPr>
            <w:rStyle w:val="normaltextrun"/>
            <w:shd w:val="clear" w:color="auto" w:fill="FFFFFF"/>
          </w:rPr>
          <w:delText> </w:delText>
        </w:r>
        <w:r>
          <w:rPr>
            <w:rStyle w:val="normaltextrun"/>
            <w:shd w:val="clear" w:color="auto" w:fill="FFFFFF"/>
          </w:rPr>
          <w:delText>týdnu 2 (n=30), se objevilo zvýšení ALT ≥ 3x ULN u 1,1</w:delText>
        </w:r>
        <w:r w:rsidR="009A3A47">
          <w:rPr>
            <w:rStyle w:val="normaltextrun"/>
            <w:shd w:val="clear" w:color="auto" w:fill="FFFFFF"/>
          </w:rPr>
          <w:delText> </w:delText>
        </w:r>
        <w:r>
          <w:rPr>
            <w:rStyle w:val="normaltextrun"/>
            <w:shd w:val="clear" w:color="auto" w:fill="FFFFFF"/>
          </w:rPr>
          <w:delText>% (1/93) pacientů.</w:delText>
        </w:r>
      </w:del>
    </w:p>
    <w:p w14:paraId="1EC209B4" w14:textId="77777777" w:rsidR="00D81774" w:rsidRDefault="00D81774" w:rsidP="00ED48A3">
      <w:pPr>
        <w:ind w:left="0" w:firstLine="0"/>
        <w:rPr>
          <w:del w:id="5329" w:author="AbbVie1" w:date="2025-05-13T09:50:00Z"/>
          <w:shd w:val="clear" w:color="auto" w:fill="FFFFFF"/>
        </w:rPr>
      </w:pPr>
    </w:p>
    <w:p w14:paraId="14FAF803" w14:textId="77777777" w:rsidR="003218D1" w:rsidRPr="001B4A02" w:rsidRDefault="00000000" w:rsidP="00ED48A3">
      <w:pPr>
        <w:ind w:left="0" w:firstLine="0"/>
        <w:rPr>
          <w:del w:id="5330" w:author="AbbVie1" w:date="2025-05-13T09:50:00Z"/>
          <w:shd w:val="clear" w:color="auto" w:fill="FFFFFF"/>
        </w:rPr>
      </w:pPr>
      <w:del w:id="5331" w:author="AbbVie1" w:date="2025-05-13T09:50:00Z">
        <w:r w:rsidRPr="001B4A02">
          <w:rPr>
            <w:shd w:val="clear" w:color="auto" w:fill="FFFFFF"/>
          </w:rPr>
          <w:delText>V klinických studiích napříč všemi indikacemi byli pacienti se zvýšeným ALT asymptomatičtí</w:delText>
        </w:r>
        <w:r w:rsidR="002378E0">
          <w:rPr>
            <w:shd w:val="clear" w:color="auto" w:fill="FFFFFF"/>
          </w:rPr>
          <w:delText xml:space="preserve"> a </w:delText>
        </w:r>
        <w:r w:rsidRPr="001B4A02">
          <w:rPr>
            <w:shd w:val="clear" w:color="auto" w:fill="FFFFFF"/>
          </w:rPr>
          <w:delText>ve většině případů bylo zvýšení ALT přechodné</w:delText>
        </w:r>
        <w:r w:rsidR="002378E0">
          <w:rPr>
            <w:shd w:val="clear" w:color="auto" w:fill="FFFFFF"/>
          </w:rPr>
          <w:delText xml:space="preserve"> a </w:delText>
        </w:r>
        <w:r w:rsidRPr="001B4A02">
          <w:rPr>
            <w:shd w:val="clear" w:color="auto" w:fill="FFFFFF"/>
          </w:rPr>
          <w:delText>vymizelo s pokračováním léčby. Nicméně po uvedení přípravku na trh byly u</w:delText>
        </w:r>
        <w:r w:rsidR="00C048C3" w:rsidRPr="001B4A02">
          <w:rPr>
            <w:shd w:val="clear" w:color="auto" w:fill="FFFFFF"/>
          </w:rPr>
          <w:delText> </w:delText>
        </w:r>
        <w:r w:rsidRPr="001B4A02">
          <w:rPr>
            <w:shd w:val="clear" w:color="auto" w:fill="FFFFFF"/>
          </w:rPr>
          <w:delText>pacientů, jimž byl podáván adalimumab, hlášeny případy selhání jater, stejně jako případy méně závažných poruch jater, které mohou selhání jater předcházet, jako je hepatitida, včetně autoimunní hepatitidy.</w:delText>
        </w:r>
      </w:del>
    </w:p>
    <w:p w14:paraId="7B0958B6" w14:textId="77777777" w:rsidR="00302A46" w:rsidRPr="001B4A02" w:rsidRDefault="00302A46" w:rsidP="00ED48A3">
      <w:pPr>
        <w:ind w:left="0" w:firstLine="0"/>
        <w:rPr>
          <w:del w:id="5332" w:author="AbbVie1" w:date="2025-05-13T09:50:00Z"/>
          <w:u w:val="single"/>
        </w:rPr>
      </w:pPr>
    </w:p>
    <w:p w14:paraId="309D4537" w14:textId="77777777" w:rsidR="00302A46" w:rsidRPr="001B4A02" w:rsidRDefault="00000000" w:rsidP="00CE5DAE">
      <w:pPr>
        <w:pStyle w:val="EMEANormal"/>
        <w:keepNext/>
        <w:shd w:val="clear" w:color="auto" w:fill="FFFFFF"/>
        <w:rPr>
          <w:del w:id="5333" w:author="AbbVie1" w:date="2025-05-13T09:50:00Z"/>
          <w:u w:val="single"/>
          <w:shd w:val="clear" w:color="auto" w:fill="FFFFFF"/>
          <w:lang w:val="cs-CZ"/>
        </w:rPr>
      </w:pPr>
      <w:del w:id="5334" w:author="AbbVie1" w:date="2025-05-13T09:50:00Z">
        <w:r w:rsidRPr="001B4A02">
          <w:rPr>
            <w:u w:val="single"/>
            <w:shd w:val="clear" w:color="auto" w:fill="FFFFFF"/>
            <w:lang w:val="cs-CZ"/>
          </w:rPr>
          <w:delText>Současná léčba azathioprinem/</w:delText>
        </w:r>
        <w:r w:rsidR="00420696" w:rsidRPr="001B4A02">
          <w:rPr>
            <w:u w:val="single"/>
            <w:shd w:val="clear" w:color="auto" w:fill="FFFFFF"/>
            <w:lang w:val="cs-CZ"/>
          </w:rPr>
          <w:delText>6-</w:delText>
        </w:r>
        <w:r w:rsidRPr="001B4A02">
          <w:rPr>
            <w:u w:val="single"/>
            <w:shd w:val="clear" w:color="auto" w:fill="FFFFFF"/>
            <w:lang w:val="cs-CZ"/>
          </w:rPr>
          <w:delText>merkaptopurinem</w:delText>
        </w:r>
      </w:del>
    </w:p>
    <w:p w14:paraId="1C7515A4" w14:textId="77777777" w:rsidR="00F53F39" w:rsidRPr="001B4A02" w:rsidRDefault="00F53F39" w:rsidP="00CE5DAE">
      <w:pPr>
        <w:pStyle w:val="EMEANormal"/>
        <w:keepNext/>
        <w:tabs>
          <w:tab w:val="clear" w:pos="562"/>
        </w:tabs>
        <w:suppressAutoHyphens w:val="0"/>
        <w:rPr>
          <w:del w:id="5335" w:author="AbbVie1" w:date="2025-05-13T09:50:00Z"/>
          <w:shd w:val="clear" w:color="auto" w:fill="FFFFFF"/>
          <w:lang w:val="cs-CZ"/>
        </w:rPr>
      </w:pPr>
    </w:p>
    <w:p w14:paraId="52CBF311" w14:textId="77777777" w:rsidR="00073F8F" w:rsidRPr="001B4A02" w:rsidRDefault="00000000" w:rsidP="00ED48A3">
      <w:pPr>
        <w:pStyle w:val="EMEANormal"/>
        <w:tabs>
          <w:tab w:val="clear" w:pos="562"/>
        </w:tabs>
        <w:suppressAutoHyphens w:val="0"/>
        <w:rPr>
          <w:del w:id="5336" w:author="AbbVie1" w:date="2025-05-13T09:50:00Z"/>
          <w:shd w:val="clear" w:color="auto" w:fill="FFFFFF"/>
          <w:lang w:val="cs-CZ"/>
        </w:rPr>
      </w:pPr>
      <w:del w:id="5337" w:author="AbbVie1" w:date="2025-05-13T09:50:00Z">
        <w:r w:rsidRPr="001B4A02">
          <w:rPr>
            <w:shd w:val="clear" w:color="auto" w:fill="FFFFFF"/>
            <w:lang w:val="cs-CZ"/>
          </w:rPr>
          <w:delText>Ve studiích s Crohnovou chorobou byla u</w:delText>
        </w:r>
        <w:r w:rsidR="00C048C3" w:rsidRPr="001B4A02">
          <w:rPr>
            <w:shd w:val="clear" w:color="auto" w:fill="FFFFFF"/>
            <w:lang w:val="cs-CZ"/>
          </w:rPr>
          <w:delText> </w:delText>
        </w:r>
        <w:r w:rsidRPr="001B4A02">
          <w:rPr>
            <w:shd w:val="clear" w:color="auto" w:fill="FFFFFF"/>
            <w:lang w:val="cs-CZ"/>
          </w:rPr>
          <w:delText>dospělých pacientů léčených kombinací přípravku</w:delText>
        </w:r>
        <w:r w:rsidR="00C14B2F" w:rsidRPr="001B4A02">
          <w:rPr>
            <w:shd w:val="clear" w:color="auto" w:fill="FFFFFF"/>
            <w:lang w:val="cs-CZ"/>
          </w:rPr>
          <w:delText xml:space="preserve"> Humira spolu s azathioprinem/</w:delText>
        </w:r>
        <w:r w:rsidR="00C806C1" w:rsidRPr="001B4A02">
          <w:rPr>
            <w:shd w:val="clear" w:color="auto" w:fill="FFFFFF"/>
            <w:lang w:val="cs-CZ"/>
          </w:rPr>
          <w:delText>6-</w:delText>
        </w:r>
        <w:r w:rsidRPr="001B4A02">
          <w:rPr>
            <w:shd w:val="clear" w:color="auto" w:fill="FFFFFF"/>
            <w:lang w:val="cs-CZ"/>
          </w:rPr>
          <w:delText>merkaptopurinem pozorována vyšší incidence malignit</w:delText>
        </w:r>
        <w:r w:rsidR="002378E0">
          <w:rPr>
            <w:shd w:val="clear" w:color="auto" w:fill="FFFFFF"/>
            <w:lang w:val="cs-CZ"/>
          </w:rPr>
          <w:delText xml:space="preserve"> a </w:delText>
        </w:r>
        <w:r w:rsidRPr="001B4A02">
          <w:rPr>
            <w:shd w:val="clear" w:color="auto" w:fill="FFFFFF"/>
            <w:lang w:val="cs-CZ"/>
          </w:rPr>
          <w:delText>závažných nežádoucích ú</w:delText>
        </w:r>
        <w:r w:rsidR="00C14B2F" w:rsidRPr="001B4A02">
          <w:rPr>
            <w:shd w:val="clear" w:color="auto" w:fill="FFFFFF"/>
            <w:lang w:val="cs-CZ"/>
          </w:rPr>
          <w:delText>činků souvisejících s infekcemi</w:delText>
        </w:r>
        <w:r w:rsidRPr="001B4A02">
          <w:rPr>
            <w:shd w:val="clear" w:color="auto" w:fill="FFFFFF"/>
            <w:lang w:val="cs-CZ"/>
          </w:rPr>
          <w:delText xml:space="preserve"> v porovnání s pacienty, kteří byli léčeni pouze příp</w:delText>
        </w:r>
        <w:r w:rsidR="00D96FBC" w:rsidRPr="001B4A02">
          <w:rPr>
            <w:shd w:val="clear" w:color="auto" w:fill="FFFFFF"/>
            <w:lang w:val="cs-CZ"/>
          </w:rPr>
          <w:delText>r</w:delText>
        </w:r>
        <w:r w:rsidRPr="001B4A02">
          <w:rPr>
            <w:shd w:val="clear" w:color="auto" w:fill="FFFFFF"/>
            <w:lang w:val="cs-CZ"/>
          </w:rPr>
          <w:delText>avkem Humira.</w:delText>
        </w:r>
      </w:del>
    </w:p>
    <w:p w14:paraId="7538BFBE" w14:textId="77777777" w:rsidR="00302A46" w:rsidRPr="001B4A02" w:rsidRDefault="00302A46" w:rsidP="00ED48A3">
      <w:pPr>
        <w:pStyle w:val="EMEANormal"/>
        <w:tabs>
          <w:tab w:val="clear" w:pos="562"/>
        </w:tabs>
        <w:suppressAutoHyphens w:val="0"/>
        <w:rPr>
          <w:del w:id="5338" w:author="AbbVie1" w:date="2025-05-13T09:50:00Z"/>
          <w:bCs/>
          <w:lang w:val="cs-CZ"/>
        </w:rPr>
      </w:pPr>
    </w:p>
    <w:p w14:paraId="1D20E3CC" w14:textId="77777777" w:rsidR="007050DE" w:rsidRPr="001B4A02" w:rsidRDefault="00000000" w:rsidP="00CE5DAE">
      <w:pPr>
        <w:pStyle w:val="EMEANormal"/>
        <w:keepNext/>
        <w:shd w:val="clear" w:color="auto" w:fill="FFFFFF"/>
        <w:rPr>
          <w:del w:id="5339" w:author="AbbVie1" w:date="2025-05-13T09:50:00Z"/>
          <w:u w:val="single"/>
          <w:shd w:val="clear" w:color="auto" w:fill="FFFFFF"/>
          <w:lang w:val="cs-CZ"/>
        </w:rPr>
      </w:pPr>
      <w:del w:id="5340" w:author="AbbVie1" w:date="2025-05-13T09:50:00Z">
        <w:r w:rsidRPr="001B4A02">
          <w:rPr>
            <w:u w:val="single"/>
            <w:shd w:val="clear" w:color="auto" w:fill="FFFFFF"/>
            <w:lang w:val="cs-CZ"/>
          </w:rPr>
          <w:delText>Hlášení podezření na nežádoucí účinky</w:delText>
        </w:r>
      </w:del>
    </w:p>
    <w:p w14:paraId="11CFC1AF" w14:textId="77777777" w:rsidR="00F53F39" w:rsidRPr="001B4A02" w:rsidRDefault="00F53F39" w:rsidP="00CE5DAE">
      <w:pPr>
        <w:pStyle w:val="EMEANormal"/>
        <w:keepNext/>
        <w:shd w:val="clear" w:color="auto" w:fill="FFFFFF"/>
        <w:rPr>
          <w:del w:id="5341" w:author="AbbVie1" w:date="2025-05-13T09:50:00Z"/>
          <w:shd w:val="clear" w:color="auto" w:fill="FFFFFF"/>
          <w:lang w:val="cs-CZ"/>
        </w:rPr>
      </w:pPr>
    </w:p>
    <w:p w14:paraId="6A460F5E" w14:textId="77777777" w:rsidR="00AC2BE5" w:rsidRPr="001B4A02" w:rsidRDefault="00000000" w:rsidP="00ED48A3">
      <w:pPr>
        <w:pStyle w:val="EMEANormal"/>
        <w:shd w:val="clear" w:color="auto" w:fill="FFFFFF"/>
        <w:rPr>
          <w:del w:id="5342" w:author="AbbVie1" w:date="2025-05-13T09:50:00Z"/>
          <w:lang w:val="cs-CZ"/>
        </w:rPr>
      </w:pPr>
      <w:del w:id="5343" w:author="AbbVie1" w:date="2025-05-13T09:50:00Z">
        <w:r w:rsidRPr="001B4A02">
          <w:rPr>
            <w:shd w:val="clear" w:color="auto" w:fill="FFFFFF"/>
            <w:lang w:val="cs-CZ"/>
          </w:rPr>
          <w:delText>Hlášení podezření na nežádoucí účinky po registraci léčivého přípravku je důležité. Umožňuje to pokračovat ve sledování poměru přínosů</w:delText>
        </w:r>
        <w:r w:rsidR="002378E0">
          <w:rPr>
            <w:shd w:val="clear" w:color="auto" w:fill="FFFFFF"/>
            <w:lang w:val="cs-CZ"/>
          </w:rPr>
          <w:delText xml:space="preserve"> a </w:delText>
        </w:r>
        <w:r w:rsidRPr="001B4A02">
          <w:rPr>
            <w:shd w:val="clear" w:color="auto" w:fill="FFFFFF"/>
            <w:lang w:val="cs-CZ"/>
          </w:rPr>
          <w:delText xml:space="preserve">rizik léčivého přípravku. Žádáme zdravotnické pracovníky, aby hlásili podezření na nežádoucí účinky prostřednictvím </w:delText>
        </w:r>
        <w:r w:rsidRPr="001B4A02">
          <w:rPr>
            <w:shd w:val="clear" w:color="auto" w:fill="A6A6A6"/>
            <w:lang w:val="cs-CZ"/>
          </w:rPr>
          <w:delText>národního systému hlášení nežádoucích účinků uvedeného v </w:delText>
        </w:r>
        <w:r>
          <w:fldChar w:fldCharType="begin"/>
        </w:r>
        <w:r w:rsidRPr="00063CB5">
          <w:rPr>
            <w:lang w:val="cs-CZ"/>
            <w:rPrChange w:id="5344" w:author="Abbvie02" w:date="2025-05-16T11:13:00Z">
              <w:rPr/>
            </w:rPrChange>
          </w:rPr>
          <w:delInstrText>HYPERLINK "http://www.ema.europa.eu/docs/en_GB/document_library/Template_or_form/2013/03/WC500139752.doc"</w:delInstrText>
        </w:r>
        <w:r>
          <w:fldChar w:fldCharType="separate"/>
        </w:r>
        <w:r w:rsidRPr="001B4A02">
          <w:rPr>
            <w:rStyle w:val="Hyperlink"/>
            <w:shd w:val="clear" w:color="auto" w:fill="A6A6A6"/>
            <w:lang w:val="cs-CZ"/>
          </w:rPr>
          <w:delText>Dodatku V</w:delText>
        </w:r>
        <w:r>
          <w:fldChar w:fldCharType="end"/>
        </w:r>
        <w:r w:rsidRPr="001B4A02">
          <w:rPr>
            <w:shd w:val="clear" w:color="auto" w:fill="FFFFFF"/>
            <w:lang w:val="cs-CZ"/>
          </w:rPr>
          <w:delText>.</w:delText>
        </w:r>
      </w:del>
    </w:p>
    <w:p w14:paraId="1CC87D37" w14:textId="77777777" w:rsidR="007050DE" w:rsidRPr="001B4A02" w:rsidRDefault="007050DE" w:rsidP="00ED48A3">
      <w:pPr>
        <w:pStyle w:val="EMEANormal"/>
        <w:shd w:val="clear" w:color="auto" w:fill="FFFFFF"/>
        <w:rPr>
          <w:del w:id="5345" w:author="AbbVie1" w:date="2025-05-13T09:50:00Z"/>
          <w:bCs/>
          <w:lang w:val="cs-CZ"/>
        </w:rPr>
      </w:pPr>
    </w:p>
    <w:p w14:paraId="52786851" w14:textId="77777777" w:rsidR="00073F8F" w:rsidRPr="001B4A02" w:rsidRDefault="00000000" w:rsidP="003E092A">
      <w:pPr>
        <w:keepNext/>
        <w:outlineLvl w:val="1"/>
        <w:rPr>
          <w:del w:id="5346" w:author="AbbVie1" w:date="2025-05-13T09:50:00Z"/>
        </w:rPr>
      </w:pPr>
      <w:del w:id="5347" w:author="AbbVie1" w:date="2025-05-13T09:50:00Z">
        <w:r w:rsidRPr="001B4A02">
          <w:rPr>
            <w:b/>
          </w:rPr>
          <w:delText>4.9</w:delText>
        </w:r>
        <w:r w:rsidRPr="001B4A02">
          <w:rPr>
            <w:b/>
          </w:rPr>
          <w:tab/>
          <w:delText>Předávkování</w:delText>
        </w:r>
      </w:del>
    </w:p>
    <w:p w14:paraId="7046D43F" w14:textId="77777777" w:rsidR="00073F8F" w:rsidRPr="001B4A02" w:rsidRDefault="00073F8F" w:rsidP="00CE5DAE">
      <w:pPr>
        <w:keepNext/>
        <w:ind w:left="0" w:firstLine="0"/>
        <w:rPr>
          <w:del w:id="5348" w:author="AbbVie1" w:date="2025-05-13T09:50:00Z"/>
        </w:rPr>
      </w:pPr>
    </w:p>
    <w:p w14:paraId="68497982" w14:textId="77777777" w:rsidR="00073F8F" w:rsidRPr="001B4A02" w:rsidRDefault="00000000" w:rsidP="00ED48A3">
      <w:pPr>
        <w:ind w:left="0" w:firstLine="0"/>
        <w:rPr>
          <w:del w:id="5349" w:author="AbbVie1" w:date="2025-05-13T09:50:00Z"/>
        </w:rPr>
      </w:pPr>
      <w:del w:id="5350" w:author="AbbVie1" w:date="2025-05-13T09:50:00Z">
        <w:r w:rsidRPr="001B4A02">
          <w:delText>V klinických studiích nebyla pozorována toxicita omezující dávku léku. Nejvyšší hodnocenou dávkou bylo opakované intravenózní podávání 10 mg/kg, což je přibližně 15násobek doporučené dávky.</w:delText>
        </w:r>
      </w:del>
    </w:p>
    <w:p w14:paraId="65C75D8C" w14:textId="77777777" w:rsidR="00073F8F" w:rsidRPr="001B4A02" w:rsidRDefault="00073F8F" w:rsidP="00ED48A3">
      <w:pPr>
        <w:ind w:left="0" w:firstLine="0"/>
        <w:rPr>
          <w:del w:id="5351" w:author="AbbVie1" w:date="2025-05-13T09:50:00Z"/>
        </w:rPr>
      </w:pPr>
    </w:p>
    <w:p w14:paraId="2C5C9E39" w14:textId="77777777" w:rsidR="00073F8F" w:rsidRPr="001B4A02" w:rsidRDefault="00073F8F" w:rsidP="00ED48A3">
      <w:pPr>
        <w:ind w:left="0" w:firstLine="0"/>
        <w:rPr>
          <w:del w:id="5352" w:author="AbbVie1" w:date="2025-05-13T09:50:00Z"/>
        </w:rPr>
      </w:pPr>
    </w:p>
    <w:p w14:paraId="782ECCCA" w14:textId="77777777" w:rsidR="00073F8F" w:rsidRPr="001B4A02" w:rsidRDefault="00000000" w:rsidP="003E092A">
      <w:pPr>
        <w:keepNext/>
        <w:tabs>
          <w:tab w:val="left" w:pos="567"/>
        </w:tabs>
        <w:outlineLvl w:val="0"/>
        <w:rPr>
          <w:del w:id="5353" w:author="AbbVie1" w:date="2025-05-13T09:50:00Z"/>
          <w:b/>
        </w:rPr>
      </w:pPr>
      <w:del w:id="5354" w:author="AbbVie1" w:date="2025-05-13T09:50:00Z">
        <w:r w:rsidRPr="001B4A02">
          <w:rPr>
            <w:b/>
          </w:rPr>
          <w:delText>5.</w:delText>
        </w:r>
        <w:r w:rsidRPr="001B4A02">
          <w:rPr>
            <w:b/>
          </w:rPr>
          <w:tab/>
          <w:delText>FARMAKOLOGICKÉ VLASTNOSTI</w:delText>
        </w:r>
      </w:del>
    </w:p>
    <w:p w14:paraId="36736AA7" w14:textId="77777777" w:rsidR="00073F8F" w:rsidRPr="001B4A02" w:rsidRDefault="00073F8F" w:rsidP="00CE5DAE">
      <w:pPr>
        <w:keepNext/>
        <w:ind w:left="0" w:firstLine="0"/>
        <w:rPr>
          <w:del w:id="5355" w:author="AbbVie1" w:date="2025-05-13T09:50:00Z"/>
          <w:b/>
        </w:rPr>
      </w:pPr>
    </w:p>
    <w:p w14:paraId="04CF5985" w14:textId="77777777" w:rsidR="00073F8F" w:rsidRPr="001B4A02" w:rsidRDefault="00000000" w:rsidP="003E092A">
      <w:pPr>
        <w:keepNext/>
        <w:outlineLvl w:val="1"/>
        <w:rPr>
          <w:del w:id="5356" w:author="AbbVie1" w:date="2025-05-13T09:50:00Z"/>
        </w:rPr>
      </w:pPr>
      <w:del w:id="5357" w:author="AbbVie1" w:date="2025-05-13T09:50:00Z">
        <w:r w:rsidRPr="001B4A02">
          <w:rPr>
            <w:b/>
          </w:rPr>
          <w:delText>5.1</w:delText>
        </w:r>
        <w:r w:rsidRPr="001B4A02">
          <w:rPr>
            <w:b/>
          </w:rPr>
          <w:tab/>
          <w:delText>Farmakodynamické vlastnosti</w:delText>
        </w:r>
      </w:del>
    </w:p>
    <w:p w14:paraId="21A9F66B" w14:textId="77777777" w:rsidR="00073F8F" w:rsidRPr="001B4A02" w:rsidRDefault="00073F8F" w:rsidP="00CE5DAE">
      <w:pPr>
        <w:pStyle w:val="EndnoteText"/>
        <w:keepNext/>
        <w:ind w:left="0" w:firstLine="0"/>
        <w:rPr>
          <w:del w:id="5358" w:author="AbbVie1" w:date="2025-05-13T09:50:00Z"/>
          <w:lang w:val="cs-CZ"/>
        </w:rPr>
      </w:pPr>
    </w:p>
    <w:p w14:paraId="105F3C11" w14:textId="77777777" w:rsidR="00073F8F" w:rsidRPr="001B4A02" w:rsidRDefault="00000000" w:rsidP="00ED48A3">
      <w:pPr>
        <w:ind w:left="0" w:firstLine="0"/>
        <w:rPr>
          <w:del w:id="5359" w:author="AbbVie1" w:date="2025-05-13T09:50:00Z"/>
        </w:rPr>
      </w:pPr>
      <w:del w:id="5360" w:author="AbbVie1" w:date="2025-05-13T09:50:00Z">
        <w:r w:rsidRPr="001B4A02">
          <w:delText xml:space="preserve">Farmakoterapeutická skupina: </w:delText>
        </w:r>
        <w:r w:rsidR="007840E5" w:rsidRPr="001B4A02">
          <w:delText>Imunosupresiva, Inhibitory tumor nekrotizujícího faktoru alfa (TNF-</w:delText>
        </w:r>
        <w:r w:rsidR="004A3A99" w:rsidRPr="004A3A99">
          <w:delText>α</w:delText>
        </w:r>
        <w:r w:rsidR="007840E5" w:rsidRPr="001B4A02">
          <w:delText>)</w:delText>
        </w:r>
        <w:r w:rsidRPr="001B4A02">
          <w:delText>, ATC kód: L04AB04</w:delText>
        </w:r>
      </w:del>
    </w:p>
    <w:p w14:paraId="30901FCF" w14:textId="77777777" w:rsidR="00073F8F" w:rsidRPr="001B4A02" w:rsidRDefault="00073F8F" w:rsidP="00ED48A3">
      <w:pPr>
        <w:ind w:left="0" w:firstLine="0"/>
        <w:rPr>
          <w:del w:id="5361" w:author="AbbVie1" w:date="2025-05-13T09:50:00Z"/>
          <w:u w:val="single"/>
        </w:rPr>
      </w:pPr>
    </w:p>
    <w:p w14:paraId="2421148E" w14:textId="77777777" w:rsidR="00073F8F" w:rsidRPr="001B4A02" w:rsidRDefault="00000000" w:rsidP="00ED48A3">
      <w:pPr>
        <w:keepNext/>
        <w:ind w:left="0" w:firstLine="0"/>
        <w:rPr>
          <w:del w:id="5362" w:author="AbbVie1" w:date="2025-05-13T09:50:00Z"/>
        </w:rPr>
      </w:pPr>
      <w:del w:id="5363" w:author="AbbVie1" w:date="2025-05-13T09:50:00Z">
        <w:r w:rsidRPr="001B4A02">
          <w:rPr>
            <w:u w:val="single"/>
          </w:rPr>
          <w:delText>Mechanismus účinku</w:delText>
        </w:r>
      </w:del>
    </w:p>
    <w:p w14:paraId="241E4296" w14:textId="77777777" w:rsidR="00073F8F" w:rsidRPr="001B4A02" w:rsidRDefault="00073F8F" w:rsidP="00ED48A3">
      <w:pPr>
        <w:keepNext/>
        <w:ind w:left="0" w:firstLine="0"/>
        <w:rPr>
          <w:del w:id="5364" w:author="AbbVie1" w:date="2025-05-13T09:50:00Z"/>
        </w:rPr>
      </w:pPr>
    </w:p>
    <w:p w14:paraId="37ED3468" w14:textId="77777777" w:rsidR="00073F8F" w:rsidRPr="001B4A02" w:rsidRDefault="00000000" w:rsidP="00CE5DAE">
      <w:pPr>
        <w:ind w:left="0" w:firstLine="0"/>
        <w:rPr>
          <w:del w:id="5365" w:author="AbbVie1" w:date="2025-05-13T09:50:00Z"/>
        </w:rPr>
      </w:pPr>
      <w:del w:id="5366" w:author="AbbVie1" w:date="2025-05-13T09:50:00Z">
        <w:r w:rsidRPr="001B4A02">
          <w:delText>Adalimumab se specificky váže na TNF</w:delText>
        </w:r>
        <w:r w:rsidR="002378E0">
          <w:delText xml:space="preserve"> a </w:delText>
        </w:r>
        <w:r w:rsidRPr="001B4A02">
          <w:delText>neutralizuje biologickou funkci TNF blokováním jeho interakce s p55</w:delText>
        </w:r>
        <w:r w:rsidR="002378E0">
          <w:delText xml:space="preserve"> a </w:delText>
        </w:r>
        <w:r w:rsidRPr="001B4A02">
          <w:delText>p75 TNF receptorů na povrchu buněk.</w:delText>
        </w:r>
      </w:del>
    </w:p>
    <w:p w14:paraId="2200514D" w14:textId="77777777" w:rsidR="00073F8F" w:rsidRPr="001B4A02" w:rsidRDefault="00073F8F" w:rsidP="00ED48A3">
      <w:pPr>
        <w:ind w:left="0" w:firstLine="0"/>
        <w:rPr>
          <w:del w:id="5367" w:author="AbbVie1" w:date="2025-05-13T09:50:00Z"/>
        </w:rPr>
      </w:pPr>
    </w:p>
    <w:p w14:paraId="013BB072" w14:textId="77777777" w:rsidR="00073F8F" w:rsidRPr="001B4A02" w:rsidRDefault="00000000" w:rsidP="00ED48A3">
      <w:pPr>
        <w:ind w:left="0" w:firstLine="0"/>
        <w:rPr>
          <w:del w:id="5368" w:author="AbbVie1" w:date="2025-05-13T09:50:00Z"/>
        </w:rPr>
      </w:pPr>
      <w:del w:id="5369" w:author="AbbVie1" w:date="2025-05-13T09:50:00Z">
        <w:r w:rsidRPr="001B4A02">
          <w:delText>Adalimumab rovněž moduluje biologickou odpověď, která je indukována nebo regulována TNF, včetně změn hladin adhezních molekul zodpovědných za migraci leukocytů (ELAM-1, VACM-1</w:delText>
        </w:r>
        <w:r w:rsidR="002378E0">
          <w:delText xml:space="preserve"> a </w:delText>
        </w:r>
        <w:r w:rsidRPr="001B4A02">
          <w:delText>ICAM-1 při IC</w:delText>
        </w:r>
        <w:r w:rsidRPr="001B4A02">
          <w:rPr>
            <w:vertAlign w:val="subscript"/>
          </w:rPr>
          <w:delText>50</w:delText>
        </w:r>
        <w:r w:rsidRPr="001B4A02">
          <w:delText xml:space="preserve"> 0,1</w:delText>
        </w:r>
        <w:r w:rsidR="00C3486C" w:rsidRPr="001B4A02">
          <w:delText>–</w:delText>
        </w:r>
        <w:r w:rsidRPr="001B4A02">
          <w:delText>0,2 nM).</w:delText>
        </w:r>
      </w:del>
    </w:p>
    <w:p w14:paraId="69ECC51A" w14:textId="77777777" w:rsidR="00073F8F" w:rsidRPr="001B4A02" w:rsidRDefault="00073F8F" w:rsidP="00ED48A3">
      <w:pPr>
        <w:ind w:left="0" w:firstLine="0"/>
        <w:rPr>
          <w:del w:id="5370" w:author="AbbVie1" w:date="2025-05-13T09:50:00Z"/>
        </w:rPr>
      </w:pPr>
    </w:p>
    <w:p w14:paraId="3B525F6C" w14:textId="77777777" w:rsidR="00073F8F" w:rsidRPr="001B4A02" w:rsidRDefault="00000000" w:rsidP="00CE5DAE">
      <w:pPr>
        <w:keepNext/>
        <w:ind w:left="0" w:firstLine="0"/>
        <w:rPr>
          <w:del w:id="5371" w:author="AbbVie1" w:date="2025-05-13T09:50:00Z"/>
          <w:u w:val="single"/>
        </w:rPr>
      </w:pPr>
      <w:del w:id="5372" w:author="AbbVie1" w:date="2025-05-13T09:50:00Z">
        <w:r w:rsidRPr="001B4A02">
          <w:rPr>
            <w:u w:val="single"/>
          </w:rPr>
          <w:delText>Farmakodynamické účinky</w:delText>
        </w:r>
      </w:del>
    </w:p>
    <w:p w14:paraId="62238388" w14:textId="77777777" w:rsidR="00073F8F" w:rsidRPr="001B4A02" w:rsidRDefault="00073F8F" w:rsidP="00CE5DAE">
      <w:pPr>
        <w:keepNext/>
        <w:ind w:left="0" w:firstLine="0"/>
        <w:rPr>
          <w:del w:id="5373" w:author="AbbVie1" w:date="2025-05-13T09:50:00Z"/>
        </w:rPr>
      </w:pPr>
    </w:p>
    <w:p w14:paraId="0779D552" w14:textId="77777777" w:rsidR="00073F8F" w:rsidRPr="001B4A02" w:rsidRDefault="00000000" w:rsidP="00ED48A3">
      <w:pPr>
        <w:ind w:left="0" w:firstLine="0"/>
        <w:rPr>
          <w:del w:id="5374" w:author="AbbVie1" w:date="2025-05-13T09:50:00Z"/>
        </w:rPr>
      </w:pPr>
      <w:del w:id="5375" w:author="AbbVie1" w:date="2025-05-13T09:50:00Z">
        <w:r w:rsidRPr="001B4A02">
          <w:delText>Po léčbě přípravkem Humira byl u pacientů s revmatoidní artritidou v porovnání s výchozím stavem pozorován rychlý pokles hladin ukazatelů akutní fáze zánětu (C-reaktivní protein (CRP)</w:delText>
        </w:r>
        <w:r w:rsidR="002378E0">
          <w:delText xml:space="preserve"> a </w:delText>
        </w:r>
        <w:r w:rsidRPr="001B4A02">
          <w:delText>sedimentace erytrocytů (FW)</w:delText>
        </w:r>
        <w:r w:rsidR="00CD6D96" w:rsidRPr="001B4A02">
          <w:delText>)</w:delText>
        </w:r>
        <w:r w:rsidR="002378E0">
          <w:delText xml:space="preserve"> a </w:delText>
        </w:r>
        <w:r w:rsidRPr="001B4A02">
          <w:delText>sérových cytokinů (IL-6). Po podání přípravku Humira byly rovněž sníženy sérové koncentrace matrixových metaloproteináz (MMP-1</w:delText>
        </w:r>
        <w:r w:rsidR="002378E0">
          <w:delText xml:space="preserve"> a </w:delText>
        </w:r>
        <w:r w:rsidRPr="001B4A02">
          <w:delText>MMP-3), které vyvolávají přestavbu tkání způsobující destrukci chrupavek. U</w:delText>
        </w:r>
        <w:r w:rsidR="00C048C3" w:rsidRPr="001B4A02">
          <w:delText> </w:delText>
        </w:r>
        <w:r w:rsidRPr="001B4A02">
          <w:delText>pacientů léčených přípravkem Humira obvykle došlo ke zlepšení hematologických známek chronického zánětu.</w:delText>
        </w:r>
      </w:del>
    </w:p>
    <w:p w14:paraId="67F96741" w14:textId="77777777" w:rsidR="00073F8F" w:rsidRPr="001B4A02" w:rsidRDefault="00073F8F" w:rsidP="00ED48A3">
      <w:pPr>
        <w:ind w:left="0" w:firstLine="0"/>
        <w:rPr>
          <w:del w:id="5376" w:author="AbbVie1" w:date="2025-05-13T09:50:00Z"/>
          <w:u w:val="single"/>
        </w:rPr>
      </w:pPr>
    </w:p>
    <w:p w14:paraId="65FB18DB" w14:textId="77777777" w:rsidR="00073F8F" w:rsidRPr="001B4A02" w:rsidRDefault="00000000" w:rsidP="00ED48A3">
      <w:pPr>
        <w:pStyle w:val="EMEANormal"/>
        <w:tabs>
          <w:tab w:val="clear" w:pos="562"/>
        </w:tabs>
        <w:suppressAutoHyphens w:val="0"/>
        <w:rPr>
          <w:del w:id="5377" w:author="AbbVie1" w:date="2025-05-13T09:50:00Z"/>
          <w:lang w:val="cs-CZ"/>
        </w:rPr>
      </w:pPr>
      <w:del w:id="5378" w:author="AbbVie1" w:date="2025-05-13T09:50:00Z">
        <w:r w:rsidRPr="001B4A02">
          <w:rPr>
            <w:lang w:val="cs-CZ"/>
          </w:rPr>
          <w:delText>Rychlý pokles hladin CRP během léčby přípravkem Humira byl také pozorován u</w:delText>
        </w:r>
        <w:r w:rsidR="00C048C3" w:rsidRPr="001B4A02">
          <w:rPr>
            <w:lang w:val="cs-CZ"/>
          </w:rPr>
          <w:delText> </w:delText>
        </w:r>
        <w:r w:rsidRPr="001B4A02">
          <w:rPr>
            <w:lang w:val="cs-CZ"/>
          </w:rPr>
          <w:delText>pacientů s polyartikulární juvenilní idiopatickou artritidou, Crohnovou chorobou</w:delText>
        </w:r>
        <w:r w:rsidR="00D639F8" w:rsidRPr="001B4A02">
          <w:rPr>
            <w:lang w:val="cs-CZ"/>
          </w:rPr>
          <w:delText>,</w:delText>
        </w:r>
        <w:r w:rsidRPr="001B4A02">
          <w:rPr>
            <w:lang w:val="cs-CZ"/>
          </w:rPr>
          <w:delText xml:space="preserve"> </w:delText>
        </w:r>
        <w:r w:rsidR="008177B2" w:rsidRPr="001B4A02">
          <w:rPr>
            <w:lang w:val="cs-CZ"/>
          </w:rPr>
          <w:delText>ulcerózní</w:delText>
        </w:r>
        <w:r w:rsidRPr="001B4A02">
          <w:rPr>
            <w:lang w:val="cs-CZ"/>
          </w:rPr>
          <w:delText xml:space="preserve"> kolitidou</w:delText>
        </w:r>
        <w:r w:rsidR="002378E0">
          <w:rPr>
            <w:lang w:val="cs-CZ"/>
          </w:rPr>
          <w:delText xml:space="preserve"> a </w:delText>
        </w:r>
        <w:r w:rsidR="00D639F8" w:rsidRPr="001B4A02">
          <w:rPr>
            <w:lang w:val="cs-CZ"/>
          </w:rPr>
          <w:delText>hidradenitis suppurativa</w:delText>
        </w:r>
        <w:r w:rsidRPr="001B4A02">
          <w:rPr>
            <w:lang w:val="cs-CZ"/>
          </w:rPr>
          <w:delText xml:space="preserve">. </w:delText>
        </w:r>
        <w:r w:rsidR="006B7244" w:rsidRPr="001B4A02">
          <w:rPr>
            <w:lang w:val="cs-CZ"/>
          </w:rPr>
          <w:delText>U</w:delText>
        </w:r>
        <w:r w:rsidR="00C048C3" w:rsidRPr="001B4A02">
          <w:rPr>
            <w:lang w:val="cs-CZ"/>
          </w:rPr>
          <w:delText> </w:delText>
        </w:r>
        <w:r w:rsidR="006B7244" w:rsidRPr="001B4A02">
          <w:rPr>
            <w:lang w:val="cs-CZ"/>
          </w:rPr>
          <w:delText>pacientů s Crohnovou chorobou byl</w:delText>
        </w:r>
        <w:r w:rsidRPr="001B4A02">
          <w:rPr>
            <w:lang w:val="cs-CZ"/>
          </w:rPr>
          <w:delText>o</w:delText>
        </w:r>
        <w:r w:rsidR="006B7244" w:rsidRPr="001B4A02">
          <w:rPr>
            <w:lang w:val="cs-CZ"/>
          </w:rPr>
          <w:delText xml:space="preserve"> také pozorován</w:delText>
        </w:r>
        <w:r w:rsidRPr="001B4A02">
          <w:rPr>
            <w:lang w:val="cs-CZ"/>
          </w:rPr>
          <w:delText>o</w:delText>
        </w:r>
        <w:r w:rsidR="006B7244" w:rsidRPr="001B4A02">
          <w:rPr>
            <w:lang w:val="cs-CZ"/>
          </w:rPr>
          <w:delText xml:space="preserve"> </w:delText>
        </w:r>
        <w:r w:rsidR="007A7DFB" w:rsidRPr="001B4A02">
          <w:rPr>
            <w:lang w:val="cs-CZ"/>
          </w:rPr>
          <w:delText>snížení počtu buněk exprimujících markery zánětlivých faktorů v tlustém střevě, což zahrnovalo i významný pokles exprese TNFα. Endoskopické zkoumání střevní sliznice jednoznačně prokázalo</w:delText>
        </w:r>
        <w:r w:rsidR="00455627" w:rsidRPr="001B4A02">
          <w:rPr>
            <w:lang w:val="cs-CZ"/>
          </w:rPr>
          <w:delText xml:space="preserve"> slizniční</w:delText>
        </w:r>
        <w:r w:rsidR="007A7DFB" w:rsidRPr="001B4A02">
          <w:rPr>
            <w:lang w:val="cs-CZ"/>
          </w:rPr>
          <w:delText xml:space="preserve"> hojení u pacientů léčených adalimumabem</w:delText>
        </w:r>
        <w:r w:rsidRPr="001B4A02">
          <w:rPr>
            <w:lang w:val="cs-CZ"/>
          </w:rPr>
          <w:delText>.</w:delText>
        </w:r>
      </w:del>
    </w:p>
    <w:p w14:paraId="6CF56724" w14:textId="77777777" w:rsidR="00073F8F" w:rsidRPr="001B4A02" w:rsidRDefault="00073F8F" w:rsidP="00ED48A3">
      <w:pPr>
        <w:ind w:left="0" w:firstLine="0"/>
        <w:rPr>
          <w:del w:id="5379" w:author="AbbVie1" w:date="2025-05-13T09:50:00Z"/>
        </w:rPr>
      </w:pPr>
    </w:p>
    <w:p w14:paraId="1D82CB43" w14:textId="77777777" w:rsidR="00073F8F" w:rsidRPr="001B4A02" w:rsidRDefault="00000000" w:rsidP="00CE5DAE">
      <w:pPr>
        <w:keepNext/>
        <w:ind w:left="0" w:firstLine="0"/>
        <w:rPr>
          <w:del w:id="5380" w:author="AbbVie1" w:date="2025-05-13T09:50:00Z"/>
          <w:u w:val="single"/>
        </w:rPr>
      </w:pPr>
      <w:del w:id="5381" w:author="AbbVie1" w:date="2025-05-13T09:50:00Z">
        <w:r w:rsidRPr="001B4A02">
          <w:rPr>
            <w:u w:val="single"/>
          </w:rPr>
          <w:delText>Klinick</w:delText>
        </w:r>
        <w:r w:rsidR="009E07CB" w:rsidRPr="001B4A02">
          <w:rPr>
            <w:u w:val="single"/>
          </w:rPr>
          <w:delText>á účinnost</w:delText>
        </w:r>
        <w:r w:rsidR="002378E0">
          <w:rPr>
            <w:u w:val="single"/>
          </w:rPr>
          <w:delText xml:space="preserve"> a </w:delText>
        </w:r>
        <w:r w:rsidR="009E07CB" w:rsidRPr="001B4A02">
          <w:rPr>
            <w:u w:val="single"/>
          </w:rPr>
          <w:delText>bezpečnost</w:delText>
        </w:r>
      </w:del>
    </w:p>
    <w:p w14:paraId="3DBC947E" w14:textId="77777777" w:rsidR="00073F8F" w:rsidRPr="001B4A02" w:rsidRDefault="00073F8F" w:rsidP="00CE5DAE">
      <w:pPr>
        <w:keepNext/>
        <w:ind w:left="0" w:firstLine="0"/>
        <w:rPr>
          <w:del w:id="5382" w:author="AbbVie1" w:date="2025-05-13T09:50:00Z"/>
        </w:rPr>
      </w:pPr>
    </w:p>
    <w:p w14:paraId="069986BC" w14:textId="77777777" w:rsidR="00073F8F" w:rsidRPr="001B4A02" w:rsidRDefault="00000000" w:rsidP="00CE5DAE">
      <w:pPr>
        <w:pStyle w:val="EMEAHeadingUnderline"/>
        <w:keepNext/>
        <w:tabs>
          <w:tab w:val="clear" w:pos="562"/>
        </w:tabs>
        <w:suppressAutoHyphens w:val="0"/>
        <w:spacing w:beforeLines="0" w:before="0" w:afterLines="0" w:after="0"/>
        <w:rPr>
          <w:del w:id="5383" w:author="AbbVie1" w:date="2025-05-13T09:50:00Z"/>
          <w:i/>
          <w:u w:val="none"/>
          <w:lang w:val="cs-CZ"/>
        </w:rPr>
      </w:pPr>
      <w:del w:id="5384" w:author="AbbVie1" w:date="2025-05-13T09:50:00Z">
        <w:r w:rsidRPr="001B4A02">
          <w:rPr>
            <w:i/>
            <w:u w:val="none"/>
            <w:lang w:val="cs-CZ"/>
          </w:rPr>
          <w:delText>Revmatoidní artritida</w:delText>
        </w:r>
      </w:del>
    </w:p>
    <w:p w14:paraId="4AD28F6C" w14:textId="77777777" w:rsidR="00073F8F" w:rsidRPr="001B4A02" w:rsidRDefault="00073F8F" w:rsidP="00CE5DAE">
      <w:pPr>
        <w:keepNext/>
        <w:ind w:left="0" w:firstLine="0"/>
        <w:rPr>
          <w:del w:id="5385" w:author="AbbVie1" w:date="2025-05-13T09:50:00Z"/>
        </w:rPr>
      </w:pPr>
    </w:p>
    <w:p w14:paraId="0AD4F3C3" w14:textId="77777777" w:rsidR="00073F8F" w:rsidRPr="001B4A02" w:rsidRDefault="00000000" w:rsidP="00ED48A3">
      <w:pPr>
        <w:ind w:left="0" w:firstLine="0"/>
        <w:rPr>
          <w:del w:id="5386" w:author="AbbVie1" w:date="2025-05-13T09:50:00Z"/>
        </w:rPr>
      </w:pPr>
      <w:del w:id="5387" w:author="AbbVie1" w:date="2025-05-13T09:50:00Z">
        <w:r w:rsidRPr="001B4A02">
          <w:delText>Přípravek Humira byl hodnocen u více než 3</w:delText>
        </w:r>
        <w:r w:rsidR="009C5EAC" w:rsidRPr="001B4A02">
          <w:delText> </w:delText>
        </w:r>
        <w:r w:rsidRPr="001B4A02">
          <w:delText xml:space="preserve">000 pacientů ve všech klinických studiích s revmatoidní artritidou. </w:delText>
        </w:r>
        <w:r w:rsidR="00480E5C" w:rsidRPr="001B4A02">
          <w:delText>Účinnost</w:delText>
        </w:r>
        <w:r w:rsidR="002378E0">
          <w:delText xml:space="preserve"> a </w:delText>
        </w:r>
        <w:r w:rsidR="00480E5C" w:rsidRPr="001B4A02">
          <w:delText>bezpečnost přípravku Humira byly hodnoceny v 5 randomizovaných, dvojitě zaslepených</w:delText>
        </w:r>
        <w:r w:rsidR="002378E0">
          <w:delText xml:space="preserve"> a </w:delText>
        </w:r>
        <w:r w:rsidR="00480E5C" w:rsidRPr="001B4A02">
          <w:delText xml:space="preserve">dobře kontrolovaných studiích. </w:delText>
        </w:r>
        <w:r w:rsidRPr="001B4A02">
          <w:delText xml:space="preserve">Někteří pacienti byli léčeni </w:delText>
        </w:r>
        <w:r w:rsidRPr="001B4A02">
          <w:rPr>
            <w:szCs w:val="22"/>
          </w:rPr>
          <w:delText xml:space="preserve">po dobu až </w:delText>
        </w:r>
        <w:r w:rsidR="00480E5C" w:rsidRPr="001B4A02">
          <w:rPr>
            <w:szCs w:val="22"/>
          </w:rPr>
          <w:delText>120 </w:delText>
        </w:r>
        <w:r w:rsidR="00AC7C92" w:rsidRPr="001B4A02">
          <w:delText>měsíců.</w:delText>
        </w:r>
      </w:del>
    </w:p>
    <w:p w14:paraId="269824EE" w14:textId="77777777" w:rsidR="00073F8F" w:rsidRPr="001B4A02" w:rsidRDefault="00073F8F" w:rsidP="00ED48A3">
      <w:pPr>
        <w:ind w:left="0" w:firstLine="0"/>
        <w:rPr>
          <w:del w:id="5388" w:author="AbbVie1" w:date="2025-05-13T09:50:00Z"/>
        </w:rPr>
      </w:pPr>
    </w:p>
    <w:p w14:paraId="35CD94EE" w14:textId="77777777" w:rsidR="00073F8F" w:rsidRPr="001B4A02" w:rsidRDefault="00000000" w:rsidP="00ED48A3">
      <w:pPr>
        <w:ind w:left="0" w:firstLine="0"/>
        <w:rPr>
          <w:del w:id="5389" w:author="AbbVie1" w:date="2025-05-13T09:50:00Z"/>
        </w:rPr>
      </w:pPr>
      <w:del w:id="5390" w:author="AbbVie1" w:date="2025-05-13T09:50:00Z">
        <w:r w:rsidRPr="001B4A02">
          <w:delText>Ve studii RA I bylo hodnoceno 271 pacientů se středně těžkou až těžkou aktivní revmatoidní artritidou, kteří byli ve věku 18 let</w:delText>
        </w:r>
        <w:r w:rsidR="002378E0">
          <w:delText xml:space="preserve"> a </w:delText>
        </w:r>
        <w:r w:rsidRPr="001B4A02">
          <w:delText>starší</w:delText>
        </w:r>
        <w:r w:rsidR="002378E0">
          <w:delText xml:space="preserve"> a </w:delText>
        </w:r>
        <w:r w:rsidRPr="001B4A02">
          <w:delText>selhala u nich léčba nejméně jedním chorobu modifikujícím antirevmatickým lékem</w:delText>
        </w:r>
        <w:r w:rsidR="002378E0">
          <w:delText xml:space="preserve"> a </w:delText>
        </w:r>
        <w:r w:rsidRPr="001B4A02">
          <w:delText>léčba methotrexátem v dávkách 12,5</w:delText>
        </w:r>
        <w:r w:rsidR="000E3459" w:rsidRPr="001B4A02">
          <w:delText>–</w:delText>
        </w:r>
        <w:r w:rsidRPr="001B4A02">
          <w:delText>25 mg (10 mg v případě nesnášenlivosti methotrexátu) jednou týdně nebyla dostatečně účinná, při konstantní dávce 10</w:delText>
        </w:r>
        <w:r w:rsidR="000E3459" w:rsidRPr="001B4A02">
          <w:delText>–</w:delText>
        </w:r>
        <w:r w:rsidRPr="001B4A02">
          <w:delText>25 mg methotrexátu jednou týdně. Pacienti dostávali dávky 20, 40 nebo 80 mg přípravku Humira nebo placebo každý druhý týden po dobu 24 týdnů.</w:delText>
        </w:r>
      </w:del>
    </w:p>
    <w:p w14:paraId="2AD73977" w14:textId="77777777" w:rsidR="00073F8F" w:rsidRPr="001B4A02" w:rsidRDefault="00073F8F" w:rsidP="00ED48A3">
      <w:pPr>
        <w:ind w:left="0" w:firstLine="0"/>
        <w:rPr>
          <w:del w:id="5391" w:author="AbbVie1" w:date="2025-05-13T09:50:00Z"/>
        </w:rPr>
      </w:pPr>
    </w:p>
    <w:p w14:paraId="1DC45D41" w14:textId="77777777" w:rsidR="00073F8F" w:rsidRPr="001B4A02" w:rsidRDefault="00000000" w:rsidP="00ED48A3">
      <w:pPr>
        <w:ind w:left="0" w:firstLine="0"/>
        <w:rPr>
          <w:del w:id="5392" w:author="AbbVie1" w:date="2025-05-13T09:50:00Z"/>
        </w:rPr>
      </w:pPr>
      <w:del w:id="5393" w:author="AbbVie1" w:date="2025-05-13T09:50:00Z">
        <w:r w:rsidRPr="001B4A02">
          <w:delText>Ve studii RA II bylo hodnoceno 544 pacientů se středně těžkou až těžkou aktivní revmatoidní artritidou, kteří byli ve věku 18 let</w:delText>
        </w:r>
        <w:r w:rsidR="002378E0">
          <w:delText xml:space="preserve"> a </w:delText>
        </w:r>
        <w:r w:rsidRPr="001B4A02">
          <w:delText>starší</w:delText>
        </w:r>
        <w:r w:rsidR="002378E0">
          <w:delText xml:space="preserve"> a </w:delText>
        </w:r>
        <w:r w:rsidRPr="001B4A02">
          <w:delText>selhala u nich léčba nejméně jedním chorobu modifikujícím antirevmatickým lékem. Pacientům byla po dobu 26 týdnů podávána subkutánně dávka 20 nebo 40 mg přípravku Humira každý druhý týden</w:delText>
        </w:r>
        <w:r w:rsidR="002378E0">
          <w:delText xml:space="preserve"> a </w:delText>
        </w:r>
        <w:r w:rsidRPr="001B4A02">
          <w:delText>placebo v týdnu bez podání aktivní léčby nebo placebo bylo podáváno jednou týdně po stejnou dobu. Ve studii nebyly povoleny žádné jiné chorobu modifikující antirevmatické léky.</w:delText>
        </w:r>
      </w:del>
    </w:p>
    <w:p w14:paraId="113A43FC" w14:textId="77777777" w:rsidR="00073F8F" w:rsidRPr="001B4A02" w:rsidRDefault="00073F8F" w:rsidP="00ED48A3">
      <w:pPr>
        <w:ind w:left="0" w:firstLine="0"/>
        <w:rPr>
          <w:del w:id="5394" w:author="AbbVie1" w:date="2025-05-13T09:50:00Z"/>
        </w:rPr>
      </w:pPr>
    </w:p>
    <w:p w14:paraId="034EC4F6" w14:textId="77777777" w:rsidR="00073F8F" w:rsidRPr="001B4A02" w:rsidRDefault="00000000" w:rsidP="00ED48A3">
      <w:pPr>
        <w:ind w:left="0" w:firstLine="0"/>
        <w:rPr>
          <w:del w:id="5395" w:author="AbbVie1" w:date="2025-05-13T09:50:00Z"/>
        </w:rPr>
      </w:pPr>
      <w:del w:id="5396" w:author="AbbVie1" w:date="2025-05-13T09:50:00Z">
        <w:r w:rsidRPr="001B4A02">
          <w:delText>Ve studii RA III bylo hodnoceno 619 pacientů se středně těžkou až těžkou aktivní revmatoidní artritidou, kteří byli ve věku 18 let</w:delText>
        </w:r>
        <w:r w:rsidR="002378E0">
          <w:delText xml:space="preserve"> a </w:delText>
        </w:r>
        <w:r w:rsidRPr="001B4A02">
          <w:delText>starší</w:delText>
        </w:r>
        <w:r w:rsidR="002378E0">
          <w:delText xml:space="preserve"> a </w:delText>
        </w:r>
        <w:r w:rsidRPr="001B4A02">
          <w:delText>u</w:delText>
        </w:r>
        <w:r w:rsidR="00C048C3" w:rsidRPr="001B4A02">
          <w:delText> </w:delText>
        </w:r>
        <w:r w:rsidRPr="001B4A02">
          <w:delText>kterých nebyla odpověď na léčbu methotrexátem v dávkách 12,5</w:delText>
        </w:r>
        <w:r w:rsidR="000E3459" w:rsidRPr="001B4A02">
          <w:delText>–</w:delText>
        </w:r>
        <w:r w:rsidRPr="001B4A02">
          <w:delText>25 mg dostatečná nebo v případě nesnášenlivosti methotrexátu v dávce 10</w:delText>
        </w:r>
        <w:r w:rsidR="00294902">
          <w:delText> mg</w:delText>
        </w:r>
        <w:r w:rsidRPr="001B4A02">
          <w:delText xml:space="preserve"> týdně. Ve studii byly tři skupiny. První skupina dostávala injekce placeba jednou týdně po dobu 52 týdnů. Druhá skupina dostávala přípravek Humira 20 mg jednou týdně po dobu 52 týdnů. Třetí skupina byla léčena přípravkem Humira 40 mg každý druhý týden, přičemž v týdnu bez podávání aktivní látky dostávali pacienti placebo. </w:delText>
        </w:r>
        <w:r w:rsidR="00502F7D" w:rsidRPr="001B4A02">
          <w:delText>Po ukončení prvních 52 týdnů bylo 457</w:delText>
        </w:r>
        <w:r w:rsidRPr="001B4A02">
          <w:delText xml:space="preserve"> </w:delText>
        </w:r>
        <w:r w:rsidR="00502F7D" w:rsidRPr="001B4A02">
          <w:delText xml:space="preserve">pacientů zařazeno </w:delText>
        </w:r>
        <w:r w:rsidRPr="001B4A02">
          <w:delText>do otevřené prodloužené fáze studie, kdy bylo podáváno 40</w:delText>
        </w:r>
        <w:r w:rsidR="00294902">
          <w:delText xml:space="preserve"> mg </w:delText>
        </w:r>
        <w:r w:rsidRPr="001B4A02">
          <w:delText>přípravku Humira</w:delText>
        </w:r>
        <w:r w:rsidR="00BA55E0" w:rsidRPr="001B4A02">
          <w:delText>/MTX</w:delText>
        </w:r>
        <w:r w:rsidRPr="001B4A02">
          <w:delText xml:space="preserve"> každý druhý týden</w:delText>
        </w:r>
        <w:r w:rsidRPr="001B4A02">
          <w:rPr>
            <w:szCs w:val="22"/>
          </w:rPr>
          <w:delText xml:space="preserve"> po dobu až </w:delText>
        </w:r>
        <w:r w:rsidR="00C45C38" w:rsidRPr="001B4A02">
          <w:rPr>
            <w:szCs w:val="22"/>
          </w:rPr>
          <w:delText>10 let</w:delText>
        </w:r>
        <w:r w:rsidRPr="001B4A02">
          <w:delText>.</w:delText>
        </w:r>
      </w:del>
    </w:p>
    <w:p w14:paraId="7FE6BD7F" w14:textId="77777777" w:rsidR="00073F8F" w:rsidRPr="001B4A02" w:rsidRDefault="00073F8F" w:rsidP="00ED48A3">
      <w:pPr>
        <w:ind w:left="0" w:firstLine="0"/>
        <w:rPr>
          <w:del w:id="5397" w:author="AbbVie1" w:date="2025-05-13T09:50:00Z"/>
        </w:rPr>
      </w:pPr>
    </w:p>
    <w:p w14:paraId="5200B0D1" w14:textId="77777777" w:rsidR="00073F8F" w:rsidRPr="001B4A02" w:rsidRDefault="00000000" w:rsidP="00ED48A3">
      <w:pPr>
        <w:ind w:left="0" w:firstLine="0"/>
        <w:rPr>
          <w:del w:id="5398" w:author="AbbVie1" w:date="2025-05-13T09:50:00Z"/>
        </w:rPr>
      </w:pPr>
      <w:del w:id="5399" w:author="AbbVie1" w:date="2025-05-13T09:50:00Z">
        <w:r w:rsidRPr="001B4A02">
          <w:delText>Studie RA IV primárně hodnotila bezpečnost léčby u 636 pacientů se středně těžkou až těžkou aktivní revmatoidní artritidou, kteří byli ve věku 18 let</w:delText>
        </w:r>
        <w:r w:rsidR="002378E0">
          <w:delText xml:space="preserve"> a </w:delText>
        </w:r>
        <w:r w:rsidRPr="001B4A02">
          <w:delText>starší. Studie se mohli zúčastnit pacienti, kteří dosud neužívali chorobu modifikující antirevmatické léky</w:delText>
        </w:r>
        <w:r w:rsidR="00461AAA" w:rsidRPr="001B4A02">
          <w:delText>,</w:delText>
        </w:r>
        <w:r w:rsidRPr="001B4A02">
          <w:delText xml:space="preserve"> i pacienti, kteří byli i v průběhu studie léčeni revmatologickou léčbou za předpokladu, že tato terapie byla stabilní po dobu nejméně 28 dní. Jednalo se o léčbu methotrexátem, leflunomidem, hydroxychlorochinem, sulfasalazinem a/nebo solemi zlata. Pacienti byli randomizováni na léčbu 40 mg přípravku Humira nebo placeba každý druhý týden po dobu 24 týdnů.</w:delText>
        </w:r>
      </w:del>
    </w:p>
    <w:p w14:paraId="7F8C2042" w14:textId="77777777" w:rsidR="00073F8F" w:rsidRPr="001B4A02" w:rsidRDefault="00073F8F" w:rsidP="00ED48A3">
      <w:pPr>
        <w:ind w:left="0" w:firstLine="0"/>
        <w:rPr>
          <w:del w:id="5400" w:author="AbbVie1" w:date="2025-05-13T09:50:00Z"/>
        </w:rPr>
      </w:pPr>
    </w:p>
    <w:p w14:paraId="3DBE781E" w14:textId="77777777" w:rsidR="00073F8F" w:rsidRPr="001B4A02" w:rsidRDefault="00000000" w:rsidP="00ED48A3">
      <w:pPr>
        <w:ind w:left="0" w:firstLine="0"/>
        <w:rPr>
          <w:del w:id="5401" w:author="AbbVie1" w:date="2025-05-13T09:50:00Z"/>
        </w:rPr>
      </w:pPr>
      <w:del w:id="5402" w:author="AbbVie1" w:date="2025-05-13T09:50:00Z">
        <w:r w:rsidRPr="001B4A02">
          <w:delText>Studie RA V</w:delText>
        </w:r>
        <w:r w:rsidR="00255A0A" w:rsidRPr="001B4A02">
          <w:delText xml:space="preserve"> </w:delText>
        </w:r>
        <w:r w:rsidRPr="001B4A02">
          <w:delText>hodnotila 799 dospělých pacientů se středně až výrazně aktivní časnou revmatoidní artritidou dosud neléčených methotrexátem (průměrné trvání nemoci méně než 9 měsíců). Tato studie hodnotila účinnost přípravku Humira 40 mg podávaného každý druhý týden/v kombin</w:delText>
        </w:r>
        <w:r w:rsidR="009271A3">
          <w:delText>ované</w:delText>
        </w:r>
        <w:r w:rsidRPr="001B4A02">
          <w:delText xml:space="preserve"> terapii s methotrexátem, přípravku Humira 40 mg každý druhý týden v monoterapii</w:delText>
        </w:r>
        <w:r w:rsidR="002378E0">
          <w:delText xml:space="preserve"> a </w:delText>
        </w:r>
        <w:r w:rsidRPr="001B4A02">
          <w:delText xml:space="preserve">methotrexátu v monoterapii na snížení </w:delText>
        </w:r>
        <w:r w:rsidR="007D2CA3">
          <w:delText>známek</w:delText>
        </w:r>
        <w:r w:rsidR="002378E0">
          <w:delText xml:space="preserve"> a </w:delText>
        </w:r>
        <w:r w:rsidRPr="001B4A02">
          <w:delText>příznaků</w:delText>
        </w:r>
        <w:r w:rsidR="002378E0">
          <w:delText xml:space="preserve"> a </w:delText>
        </w:r>
        <w:r w:rsidRPr="001B4A02">
          <w:delText xml:space="preserve">rychlost progrese poškození kloubů u revmatoidní artritidy po dobu 104 týdnů. </w:delText>
        </w:r>
        <w:r w:rsidR="00854F48" w:rsidRPr="001B4A02">
          <w:delText>Po ukončení prvních 104 týdnů bylo 497 pacientů zařazeno do otevřené prodloužené fáze, ve které bylo 40</w:delText>
        </w:r>
        <w:r w:rsidR="00294902">
          <w:delText> mg</w:delText>
        </w:r>
        <w:r w:rsidR="00854F48" w:rsidRPr="001B4A02">
          <w:delText xml:space="preserve"> přípravku Humira podáváno každý druhý týden po dobu 10 let.</w:delText>
        </w:r>
      </w:del>
    </w:p>
    <w:p w14:paraId="4F12DF5A" w14:textId="77777777" w:rsidR="00073F8F" w:rsidRPr="001B4A02" w:rsidRDefault="00073F8F" w:rsidP="00ED48A3">
      <w:pPr>
        <w:ind w:left="0" w:firstLine="0"/>
        <w:rPr>
          <w:del w:id="5403" w:author="AbbVie1" w:date="2025-05-13T09:50:00Z"/>
        </w:rPr>
      </w:pPr>
    </w:p>
    <w:p w14:paraId="220F7256" w14:textId="77777777" w:rsidR="00073F8F" w:rsidRPr="001B4A02" w:rsidRDefault="00000000" w:rsidP="00ED48A3">
      <w:pPr>
        <w:ind w:left="0" w:firstLine="0"/>
        <w:rPr>
          <w:del w:id="5404" w:author="AbbVie1" w:date="2025-05-13T09:50:00Z"/>
        </w:rPr>
      </w:pPr>
      <w:del w:id="5405" w:author="AbbVie1" w:date="2025-05-13T09:50:00Z">
        <w:r w:rsidRPr="001B4A02">
          <w:delText>Primárním výsledným ukazatelem ve studiích RA I, II</w:delText>
        </w:r>
        <w:r w:rsidR="002378E0">
          <w:delText xml:space="preserve"> a </w:delText>
        </w:r>
        <w:r w:rsidRPr="001B4A02">
          <w:delText>III</w:delText>
        </w:r>
        <w:r w:rsidR="002378E0">
          <w:delText xml:space="preserve"> a </w:delText>
        </w:r>
        <w:r w:rsidRPr="001B4A02">
          <w:delText xml:space="preserve">sekundárním výsledným ukazatelem ve studii RA IV bylo procento pacientů, kteří dosáhli odpověď ACR 20 </w:delText>
        </w:r>
        <w:r w:rsidR="00D00F8F">
          <w:delText>v</w:delText>
        </w:r>
        <w:r w:rsidR="005D2EB7">
          <w:delText> </w:delText>
        </w:r>
        <w:r w:rsidR="00D00F8F">
          <w:delText>týdnu 24 nebo 26</w:delText>
        </w:r>
        <w:r w:rsidRPr="001B4A02">
          <w:delText>. Primárním výsledným ukazatelem ve studii RA V</w:delText>
        </w:r>
        <w:r w:rsidR="00255A0A" w:rsidRPr="001B4A02">
          <w:delText xml:space="preserve"> </w:delText>
        </w:r>
        <w:r w:rsidRPr="001B4A02">
          <w:delText>bylo procento pacientů, kteří dosáhli odpověď ACR 50 v týdnu 52. Ve studiích RA III</w:delText>
        </w:r>
        <w:r w:rsidR="002378E0">
          <w:delText xml:space="preserve"> a </w:delText>
        </w:r>
        <w:r w:rsidRPr="001B4A02">
          <w:delText xml:space="preserve">V bylo dalším primárním výsledným ukazatelem </w:delText>
        </w:r>
        <w:r w:rsidR="00D00F8F">
          <w:delText>v</w:delText>
        </w:r>
        <w:r w:rsidR="005D2EB7">
          <w:delText> </w:delText>
        </w:r>
        <w:r w:rsidR="00D00F8F">
          <w:delText>týdnu 52</w:delText>
        </w:r>
        <w:r w:rsidRPr="001B4A02">
          <w:delText xml:space="preserve"> zpomalení progrese onemocnění (stanovené pomocí RTG vyšetření). Studie RA III měla také primární výsledný ukazatel změnu kvality života.</w:delText>
        </w:r>
      </w:del>
    </w:p>
    <w:p w14:paraId="45A223A2" w14:textId="77777777" w:rsidR="00073F8F" w:rsidRPr="001B4A02" w:rsidRDefault="00073F8F" w:rsidP="00ED48A3">
      <w:pPr>
        <w:ind w:left="0" w:firstLine="0"/>
        <w:rPr>
          <w:del w:id="5406" w:author="AbbVie1" w:date="2025-05-13T09:50:00Z"/>
        </w:rPr>
      </w:pPr>
    </w:p>
    <w:p w14:paraId="783DE83F" w14:textId="77777777" w:rsidR="00073F8F" w:rsidRPr="001B4A02" w:rsidRDefault="00000000" w:rsidP="00CE5DAE">
      <w:pPr>
        <w:keepNext/>
        <w:ind w:left="0" w:firstLine="0"/>
        <w:rPr>
          <w:del w:id="5407" w:author="AbbVie1" w:date="2025-05-13T09:50:00Z"/>
          <w:i/>
          <w:u w:val="single"/>
        </w:rPr>
      </w:pPr>
      <w:del w:id="5408" w:author="AbbVie1" w:date="2025-05-13T09:50:00Z">
        <w:r w:rsidRPr="001B4A02">
          <w:rPr>
            <w:i/>
            <w:u w:val="single"/>
          </w:rPr>
          <w:delText>ACR odpověď</w:delText>
        </w:r>
      </w:del>
    </w:p>
    <w:p w14:paraId="7A03B663" w14:textId="77777777" w:rsidR="00073F8F" w:rsidRPr="001B4A02" w:rsidRDefault="00073F8F" w:rsidP="00CE5DAE">
      <w:pPr>
        <w:keepNext/>
        <w:ind w:left="0" w:firstLine="0"/>
        <w:rPr>
          <w:del w:id="5409" w:author="AbbVie1" w:date="2025-05-13T09:50:00Z"/>
        </w:rPr>
      </w:pPr>
    </w:p>
    <w:p w14:paraId="7B78FDC1" w14:textId="77777777" w:rsidR="00073F8F" w:rsidRPr="001B4A02" w:rsidRDefault="00000000" w:rsidP="00ED48A3">
      <w:pPr>
        <w:ind w:left="0" w:firstLine="0"/>
        <w:rPr>
          <w:del w:id="5410" w:author="AbbVie1" w:date="2025-05-13T09:50:00Z"/>
        </w:rPr>
      </w:pPr>
      <w:del w:id="5411" w:author="AbbVie1" w:date="2025-05-13T09:50:00Z">
        <w:r w:rsidRPr="001B4A02">
          <w:delText>Procento pacientů léčených přípravkem Humira, kteří dosáhli odpověď ACR 20, 50</w:delText>
        </w:r>
        <w:r w:rsidR="002378E0">
          <w:delText xml:space="preserve"> a </w:delText>
        </w:r>
        <w:r w:rsidRPr="001B4A02">
          <w:delText>70</w:delText>
        </w:r>
        <w:r w:rsidR="003E6E02" w:rsidRPr="001B4A02">
          <w:delText>,</w:delText>
        </w:r>
        <w:r w:rsidRPr="001B4A02">
          <w:delText xml:space="preserve"> bylo ve studiích RA I, II</w:delText>
        </w:r>
        <w:r w:rsidR="002378E0">
          <w:delText xml:space="preserve"> a </w:delText>
        </w:r>
        <w:r w:rsidRPr="001B4A02">
          <w:delText>III shodné. Výsledky při podávání dávky 40</w:delText>
        </w:r>
        <w:r w:rsidR="00294902">
          <w:delText> mg</w:delText>
        </w:r>
        <w:r w:rsidRPr="001B4A02">
          <w:delText xml:space="preserve"> každý druhý týden jsou shrnuty v tabulce </w:delText>
        </w:r>
        <w:r w:rsidR="00A26519">
          <w:delText>8</w:delText>
        </w:r>
        <w:r w:rsidRPr="001B4A02">
          <w:delText>.</w:delText>
        </w:r>
      </w:del>
    </w:p>
    <w:p w14:paraId="6BABD6D0" w14:textId="77777777" w:rsidR="003F4B5B" w:rsidRPr="001B4A02" w:rsidRDefault="00000000" w:rsidP="00603F6E">
      <w:pPr>
        <w:keepNext/>
        <w:ind w:left="0" w:firstLine="0"/>
        <w:jc w:val="center"/>
        <w:rPr>
          <w:del w:id="5412" w:author="AbbVie1" w:date="2025-05-13T09:50:00Z"/>
          <w:b/>
          <w:szCs w:val="22"/>
        </w:rPr>
      </w:pPr>
      <w:del w:id="5413" w:author="AbbVie1" w:date="2025-05-13T09:50:00Z">
        <w:r w:rsidRPr="001B4A02">
          <w:rPr>
            <w:b/>
            <w:szCs w:val="22"/>
          </w:rPr>
          <w:delText xml:space="preserve">Tabulka </w:delText>
        </w:r>
        <w:r w:rsidR="00A26519">
          <w:rPr>
            <w:b/>
            <w:szCs w:val="22"/>
          </w:rPr>
          <w:delText>8</w:delText>
        </w:r>
      </w:del>
    </w:p>
    <w:p w14:paraId="3A5CD396" w14:textId="77777777" w:rsidR="00073F8F" w:rsidRPr="001B4A02" w:rsidRDefault="00000000" w:rsidP="00603F6E">
      <w:pPr>
        <w:keepNext/>
        <w:ind w:left="0" w:firstLine="0"/>
        <w:jc w:val="center"/>
        <w:rPr>
          <w:del w:id="5414" w:author="AbbVie1" w:date="2025-05-13T09:50:00Z"/>
          <w:b/>
          <w:szCs w:val="22"/>
        </w:rPr>
      </w:pPr>
      <w:del w:id="5415" w:author="AbbVie1" w:date="2025-05-13T09:50:00Z">
        <w:r w:rsidRPr="001B4A02">
          <w:rPr>
            <w:b/>
            <w:szCs w:val="22"/>
          </w:rPr>
          <w:delText>ACR odpověď v placebem kontrolovaných studiích</w:delText>
        </w:r>
      </w:del>
    </w:p>
    <w:p w14:paraId="162DFC3C" w14:textId="77777777" w:rsidR="00073F8F" w:rsidRPr="001B4A02" w:rsidRDefault="00000000" w:rsidP="00603F6E">
      <w:pPr>
        <w:keepNext/>
        <w:ind w:left="0" w:firstLine="0"/>
        <w:jc w:val="center"/>
        <w:rPr>
          <w:del w:id="5416" w:author="AbbVie1" w:date="2025-05-13T09:50:00Z"/>
          <w:b/>
          <w:szCs w:val="22"/>
        </w:rPr>
      </w:pPr>
      <w:del w:id="5417" w:author="AbbVie1" w:date="2025-05-13T09:50:00Z">
        <w:r w:rsidRPr="001B4A02">
          <w:rPr>
            <w:b/>
            <w:szCs w:val="22"/>
          </w:rPr>
          <w:delText>(</w:delText>
        </w:r>
        <w:r w:rsidR="001E41BF" w:rsidRPr="001B4A02">
          <w:rPr>
            <w:b/>
            <w:szCs w:val="22"/>
          </w:rPr>
          <w:delText>P</w:delText>
        </w:r>
        <w:r w:rsidRPr="001B4A02">
          <w:rPr>
            <w:b/>
            <w:szCs w:val="22"/>
          </w:rPr>
          <w:delText>rocento pacientů)</w:delText>
        </w:r>
      </w:del>
    </w:p>
    <w:tbl>
      <w:tblPr>
        <w:tblW w:w="9198" w:type="dxa"/>
        <w:tblInd w:w="16" w:type="dxa"/>
        <w:tblLayout w:type="fixed"/>
        <w:tblCellMar>
          <w:left w:w="0" w:type="dxa"/>
          <w:right w:w="0" w:type="dxa"/>
        </w:tblCellMar>
        <w:tblLook w:val="0000" w:firstRow="0" w:lastRow="0" w:firstColumn="0" w:lastColumn="0" w:noHBand="0" w:noVBand="0"/>
      </w:tblPr>
      <w:tblGrid>
        <w:gridCol w:w="1080"/>
        <w:gridCol w:w="1456"/>
        <w:gridCol w:w="1559"/>
        <w:gridCol w:w="1060"/>
        <w:gridCol w:w="1066"/>
        <w:gridCol w:w="1486"/>
        <w:gridCol w:w="1491"/>
      </w:tblGrid>
      <w:tr w:rsidR="00534A2D" w14:paraId="0B349A4E" w14:textId="77777777" w:rsidTr="008D783A">
        <w:trPr>
          <w:del w:id="5418" w:author="AbbVie1" w:date="2025-05-13T09:50:00Z"/>
        </w:trPr>
        <w:tc>
          <w:tcPr>
            <w:tcW w:w="9198" w:type="dxa"/>
            <w:gridSpan w:val="7"/>
            <w:tcBorders>
              <w:bottom w:val="single" w:sz="4" w:space="0" w:color="auto"/>
            </w:tcBorders>
          </w:tcPr>
          <w:p w14:paraId="7D323BFF" w14:textId="77777777" w:rsidR="00073F8F" w:rsidRPr="001B4A02" w:rsidRDefault="00073F8F" w:rsidP="00603F6E">
            <w:pPr>
              <w:keepNext/>
              <w:ind w:left="0" w:firstLine="0"/>
              <w:rPr>
                <w:del w:id="5419" w:author="AbbVie1" w:date="2025-05-13T09:50:00Z"/>
                <w:szCs w:val="22"/>
              </w:rPr>
            </w:pPr>
          </w:p>
        </w:tc>
      </w:tr>
      <w:tr w:rsidR="00534A2D" w14:paraId="2F21F8D3" w14:textId="77777777" w:rsidTr="008D783A">
        <w:trPr>
          <w:cantSplit/>
          <w:del w:id="5420" w:author="AbbVie1" w:date="2025-05-13T09:50:00Z"/>
        </w:trPr>
        <w:tc>
          <w:tcPr>
            <w:tcW w:w="1080" w:type="dxa"/>
            <w:tcBorders>
              <w:top w:val="single" w:sz="4" w:space="0" w:color="auto"/>
              <w:left w:val="single" w:sz="4" w:space="0" w:color="auto"/>
              <w:right w:val="single" w:sz="6" w:space="0" w:color="auto"/>
            </w:tcBorders>
          </w:tcPr>
          <w:p w14:paraId="7C104EC4" w14:textId="77777777" w:rsidR="00073F8F" w:rsidRPr="001B4A02" w:rsidRDefault="00000000" w:rsidP="00603F6E">
            <w:pPr>
              <w:keepNext/>
              <w:ind w:left="0" w:firstLine="0"/>
              <w:rPr>
                <w:del w:id="5421" w:author="AbbVie1" w:date="2025-05-13T09:50:00Z"/>
                <w:szCs w:val="22"/>
              </w:rPr>
            </w:pPr>
            <w:del w:id="5422" w:author="AbbVie1" w:date="2025-05-13T09:50:00Z">
              <w:r w:rsidRPr="001B4A02">
                <w:rPr>
                  <w:szCs w:val="22"/>
                </w:rPr>
                <w:delText>Odpověď</w:delText>
              </w:r>
            </w:del>
          </w:p>
        </w:tc>
        <w:tc>
          <w:tcPr>
            <w:tcW w:w="3015" w:type="dxa"/>
            <w:gridSpan w:val="2"/>
            <w:tcBorders>
              <w:top w:val="single" w:sz="4" w:space="0" w:color="auto"/>
              <w:left w:val="single" w:sz="6" w:space="0" w:color="auto"/>
              <w:bottom w:val="single" w:sz="4" w:space="0" w:color="auto"/>
              <w:right w:val="single" w:sz="6" w:space="0" w:color="auto"/>
            </w:tcBorders>
          </w:tcPr>
          <w:p w14:paraId="18AAAA65" w14:textId="77777777" w:rsidR="00073F8F" w:rsidRPr="001B4A02" w:rsidRDefault="00000000" w:rsidP="00603F6E">
            <w:pPr>
              <w:keepNext/>
              <w:ind w:left="0" w:firstLine="0"/>
              <w:jc w:val="center"/>
              <w:rPr>
                <w:del w:id="5423" w:author="AbbVie1" w:date="2025-05-13T09:50:00Z"/>
                <w:szCs w:val="22"/>
              </w:rPr>
            </w:pPr>
            <w:del w:id="5424" w:author="AbbVie1" w:date="2025-05-13T09:50:00Z">
              <w:r w:rsidRPr="001B4A02">
                <w:rPr>
                  <w:szCs w:val="22"/>
                </w:rPr>
                <w:delText>Studie RA I</w:delText>
              </w:r>
              <w:r w:rsidRPr="001B4A02">
                <w:rPr>
                  <w:szCs w:val="22"/>
                  <w:vertAlign w:val="superscript"/>
                </w:rPr>
                <w:delText>a</w:delText>
              </w:r>
              <w:r w:rsidRPr="001B4A02">
                <w:rPr>
                  <w:szCs w:val="22"/>
                </w:rPr>
                <w:delText>**</w:delText>
              </w:r>
            </w:del>
          </w:p>
        </w:tc>
        <w:tc>
          <w:tcPr>
            <w:tcW w:w="2126" w:type="dxa"/>
            <w:gridSpan w:val="2"/>
            <w:tcBorders>
              <w:top w:val="single" w:sz="4" w:space="0" w:color="auto"/>
              <w:left w:val="single" w:sz="6" w:space="0" w:color="auto"/>
              <w:bottom w:val="single" w:sz="4" w:space="0" w:color="auto"/>
              <w:right w:val="single" w:sz="6" w:space="0" w:color="auto"/>
            </w:tcBorders>
          </w:tcPr>
          <w:p w14:paraId="66579B76" w14:textId="77777777" w:rsidR="00073F8F" w:rsidRPr="001B4A02" w:rsidRDefault="00000000" w:rsidP="00603F6E">
            <w:pPr>
              <w:keepNext/>
              <w:ind w:left="0" w:firstLine="0"/>
              <w:jc w:val="center"/>
              <w:rPr>
                <w:del w:id="5425" w:author="AbbVie1" w:date="2025-05-13T09:50:00Z"/>
                <w:szCs w:val="22"/>
              </w:rPr>
            </w:pPr>
            <w:del w:id="5426" w:author="AbbVie1" w:date="2025-05-13T09:50:00Z">
              <w:r w:rsidRPr="001B4A02">
                <w:rPr>
                  <w:szCs w:val="22"/>
                </w:rPr>
                <w:delText>Studie RA II</w:delText>
              </w:r>
              <w:r w:rsidRPr="001B4A02">
                <w:rPr>
                  <w:szCs w:val="22"/>
                  <w:vertAlign w:val="superscript"/>
                </w:rPr>
                <w:delText>a</w:delText>
              </w:r>
              <w:r w:rsidRPr="001B4A02">
                <w:rPr>
                  <w:szCs w:val="22"/>
                </w:rPr>
                <w:delText>**</w:delText>
              </w:r>
            </w:del>
          </w:p>
        </w:tc>
        <w:tc>
          <w:tcPr>
            <w:tcW w:w="2977" w:type="dxa"/>
            <w:gridSpan w:val="2"/>
            <w:tcBorders>
              <w:top w:val="single" w:sz="4" w:space="0" w:color="auto"/>
              <w:left w:val="single" w:sz="6" w:space="0" w:color="auto"/>
              <w:bottom w:val="single" w:sz="4" w:space="0" w:color="auto"/>
              <w:right w:val="single" w:sz="4" w:space="0" w:color="auto"/>
            </w:tcBorders>
          </w:tcPr>
          <w:p w14:paraId="49F3F59A" w14:textId="77777777" w:rsidR="00073F8F" w:rsidRPr="001B4A02" w:rsidRDefault="00000000" w:rsidP="00603F6E">
            <w:pPr>
              <w:keepNext/>
              <w:ind w:left="0" w:firstLine="0"/>
              <w:jc w:val="center"/>
              <w:rPr>
                <w:del w:id="5427" w:author="AbbVie1" w:date="2025-05-13T09:50:00Z"/>
                <w:szCs w:val="22"/>
              </w:rPr>
            </w:pPr>
            <w:del w:id="5428" w:author="AbbVie1" w:date="2025-05-13T09:50:00Z">
              <w:r w:rsidRPr="001B4A02">
                <w:rPr>
                  <w:szCs w:val="22"/>
                </w:rPr>
                <w:delText>Studie RA III</w:delText>
              </w:r>
              <w:r w:rsidRPr="001B4A02">
                <w:rPr>
                  <w:szCs w:val="22"/>
                  <w:vertAlign w:val="superscript"/>
                </w:rPr>
                <w:delText>a</w:delText>
              </w:r>
              <w:r w:rsidRPr="001B4A02">
                <w:rPr>
                  <w:szCs w:val="22"/>
                </w:rPr>
                <w:delText>**</w:delText>
              </w:r>
            </w:del>
          </w:p>
        </w:tc>
      </w:tr>
      <w:tr w:rsidR="00534A2D" w14:paraId="4B3CEBF8" w14:textId="77777777" w:rsidTr="008D783A">
        <w:trPr>
          <w:cantSplit/>
          <w:del w:id="5429" w:author="AbbVie1" w:date="2025-05-13T09:50:00Z"/>
        </w:trPr>
        <w:tc>
          <w:tcPr>
            <w:tcW w:w="1080" w:type="dxa"/>
            <w:tcBorders>
              <w:left w:val="single" w:sz="4" w:space="0" w:color="auto"/>
              <w:bottom w:val="single" w:sz="4" w:space="0" w:color="auto"/>
              <w:right w:val="single" w:sz="4" w:space="0" w:color="auto"/>
            </w:tcBorders>
          </w:tcPr>
          <w:p w14:paraId="4553955D" w14:textId="77777777" w:rsidR="00073F8F" w:rsidRPr="001B4A02" w:rsidRDefault="00073F8F" w:rsidP="00603F6E">
            <w:pPr>
              <w:keepNext/>
              <w:ind w:left="0" w:firstLine="0"/>
              <w:rPr>
                <w:del w:id="5430" w:author="AbbVie1" w:date="2025-05-13T09:50:00Z"/>
                <w:szCs w:val="22"/>
              </w:rPr>
            </w:pPr>
          </w:p>
        </w:tc>
        <w:tc>
          <w:tcPr>
            <w:tcW w:w="1456" w:type="dxa"/>
            <w:tcBorders>
              <w:top w:val="single" w:sz="4" w:space="0" w:color="auto"/>
              <w:left w:val="single" w:sz="4" w:space="0" w:color="auto"/>
              <w:bottom w:val="single" w:sz="4" w:space="0" w:color="auto"/>
              <w:right w:val="single" w:sz="4" w:space="0" w:color="auto"/>
            </w:tcBorders>
          </w:tcPr>
          <w:p w14:paraId="3295DB0A" w14:textId="77777777" w:rsidR="00073F8F" w:rsidRPr="001B4A02" w:rsidRDefault="00000000" w:rsidP="00603F6E">
            <w:pPr>
              <w:keepNext/>
              <w:ind w:left="0" w:firstLine="0"/>
              <w:jc w:val="center"/>
              <w:rPr>
                <w:del w:id="5431" w:author="AbbVie1" w:date="2025-05-13T09:50:00Z"/>
                <w:szCs w:val="22"/>
              </w:rPr>
            </w:pPr>
            <w:del w:id="5432" w:author="AbbVie1" w:date="2025-05-13T09:50:00Z">
              <w:r w:rsidRPr="001B4A02">
                <w:rPr>
                  <w:szCs w:val="22"/>
                </w:rPr>
                <w:delText>Placebo/MTX</w:delText>
              </w:r>
              <w:r w:rsidRPr="001B4A02">
                <w:rPr>
                  <w:szCs w:val="22"/>
                  <w:vertAlign w:val="superscript"/>
                </w:rPr>
                <w:delText>c</w:delText>
              </w:r>
            </w:del>
          </w:p>
          <w:p w14:paraId="3A00E8B3" w14:textId="77777777" w:rsidR="00073F8F" w:rsidRPr="001B4A02" w:rsidRDefault="00000000" w:rsidP="00603F6E">
            <w:pPr>
              <w:keepNext/>
              <w:ind w:left="0" w:firstLine="0"/>
              <w:jc w:val="center"/>
              <w:rPr>
                <w:del w:id="5433" w:author="AbbVie1" w:date="2025-05-13T09:50:00Z"/>
                <w:szCs w:val="22"/>
              </w:rPr>
            </w:pPr>
            <w:del w:id="5434" w:author="AbbVie1" w:date="2025-05-13T09:50:00Z">
              <w:r w:rsidRPr="001B4A02">
                <w:rPr>
                  <w:szCs w:val="22"/>
                </w:rPr>
                <w:delText>n=60</w:delText>
              </w:r>
            </w:del>
          </w:p>
        </w:tc>
        <w:tc>
          <w:tcPr>
            <w:tcW w:w="1559" w:type="dxa"/>
            <w:tcBorders>
              <w:top w:val="single" w:sz="4" w:space="0" w:color="auto"/>
              <w:left w:val="single" w:sz="4" w:space="0" w:color="auto"/>
              <w:bottom w:val="single" w:sz="4" w:space="0" w:color="auto"/>
              <w:right w:val="single" w:sz="4" w:space="0" w:color="auto"/>
            </w:tcBorders>
          </w:tcPr>
          <w:p w14:paraId="4FEBDB3E" w14:textId="77777777" w:rsidR="00073F8F" w:rsidRPr="001B4A02" w:rsidRDefault="00000000" w:rsidP="00603F6E">
            <w:pPr>
              <w:keepNext/>
              <w:ind w:left="0" w:firstLine="0"/>
              <w:jc w:val="center"/>
              <w:rPr>
                <w:del w:id="5435" w:author="AbbVie1" w:date="2025-05-13T09:50:00Z"/>
                <w:szCs w:val="22"/>
              </w:rPr>
            </w:pPr>
            <w:del w:id="5436" w:author="AbbVie1" w:date="2025-05-13T09:50:00Z">
              <w:r w:rsidRPr="001B4A02">
                <w:rPr>
                  <w:szCs w:val="22"/>
                </w:rPr>
                <w:delText>Humira</w:delText>
              </w:r>
              <w:r w:rsidRPr="001B4A02">
                <w:rPr>
                  <w:szCs w:val="22"/>
                  <w:vertAlign w:val="superscript"/>
                </w:rPr>
                <w:delText>b</w:delText>
              </w:r>
              <w:r w:rsidRPr="001B4A02">
                <w:rPr>
                  <w:szCs w:val="22"/>
                </w:rPr>
                <w:delText>/MTX</w:delText>
              </w:r>
              <w:r w:rsidRPr="001B4A02">
                <w:rPr>
                  <w:szCs w:val="22"/>
                  <w:vertAlign w:val="superscript"/>
                </w:rPr>
                <w:delText>c</w:delText>
              </w:r>
            </w:del>
          </w:p>
          <w:p w14:paraId="2646A68D" w14:textId="77777777" w:rsidR="00073F8F" w:rsidRPr="001B4A02" w:rsidRDefault="00000000" w:rsidP="00603F6E">
            <w:pPr>
              <w:keepNext/>
              <w:ind w:left="0" w:firstLine="0"/>
              <w:jc w:val="center"/>
              <w:rPr>
                <w:del w:id="5437" w:author="AbbVie1" w:date="2025-05-13T09:50:00Z"/>
                <w:szCs w:val="22"/>
              </w:rPr>
            </w:pPr>
            <w:del w:id="5438" w:author="AbbVie1" w:date="2025-05-13T09:50:00Z">
              <w:r w:rsidRPr="001B4A02">
                <w:rPr>
                  <w:szCs w:val="22"/>
                </w:rPr>
                <w:delText>n=63</w:delText>
              </w:r>
            </w:del>
          </w:p>
        </w:tc>
        <w:tc>
          <w:tcPr>
            <w:tcW w:w="1060" w:type="dxa"/>
            <w:tcBorders>
              <w:top w:val="single" w:sz="4" w:space="0" w:color="auto"/>
              <w:left w:val="single" w:sz="4" w:space="0" w:color="auto"/>
              <w:bottom w:val="single" w:sz="4" w:space="0" w:color="auto"/>
              <w:right w:val="single" w:sz="4" w:space="0" w:color="auto"/>
            </w:tcBorders>
          </w:tcPr>
          <w:p w14:paraId="7F703E91" w14:textId="77777777" w:rsidR="00073F8F" w:rsidRPr="001B4A02" w:rsidRDefault="00000000" w:rsidP="00603F6E">
            <w:pPr>
              <w:keepNext/>
              <w:ind w:left="0" w:firstLine="0"/>
              <w:jc w:val="center"/>
              <w:rPr>
                <w:del w:id="5439" w:author="AbbVie1" w:date="2025-05-13T09:50:00Z"/>
                <w:szCs w:val="22"/>
              </w:rPr>
            </w:pPr>
            <w:del w:id="5440" w:author="AbbVie1" w:date="2025-05-13T09:50:00Z">
              <w:r w:rsidRPr="001B4A02">
                <w:rPr>
                  <w:szCs w:val="22"/>
                </w:rPr>
                <w:delText>Placebo</w:delText>
              </w:r>
            </w:del>
          </w:p>
          <w:p w14:paraId="101D4E98" w14:textId="77777777" w:rsidR="00073F8F" w:rsidRPr="001B4A02" w:rsidRDefault="00000000" w:rsidP="00603F6E">
            <w:pPr>
              <w:keepNext/>
              <w:ind w:left="0" w:firstLine="0"/>
              <w:jc w:val="center"/>
              <w:rPr>
                <w:del w:id="5441" w:author="AbbVie1" w:date="2025-05-13T09:50:00Z"/>
                <w:szCs w:val="22"/>
              </w:rPr>
            </w:pPr>
            <w:del w:id="5442" w:author="AbbVie1" w:date="2025-05-13T09:50:00Z">
              <w:r w:rsidRPr="001B4A02">
                <w:rPr>
                  <w:szCs w:val="22"/>
                </w:rPr>
                <w:delText>n=110</w:delText>
              </w:r>
            </w:del>
          </w:p>
        </w:tc>
        <w:tc>
          <w:tcPr>
            <w:tcW w:w="1066" w:type="dxa"/>
            <w:tcBorders>
              <w:top w:val="single" w:sz="4" w:space="0" w:color="auto"/>
              <w:left w:val="single" w:sz="4" w:space="0" w:color="auto"/>
              <w:bottom w:val="single" w:sz="4" w:space="0" w:color="auto"/>
              <w:right w:val="single" w:sz="4" w:space="0" w:color="auto"/>
            </w:tcBorders>
          </w:tcPr>
          <w:p w14:paraId="4F5CD1E5" w14:textId="77777777" w:rsidR="00073F8F" w:rsidRPr="001B4A02" w:rsidRDefault="00000000" w:rsidP="00603F6E">
            <w:pPr>
              <w:keepNext/>
              <w:ind w:left="0" w:firstLine="0"/>
              <w:jc w:val="center"/>
              <w:rPr>
                <w:del w:id="5443" w:author="AbbVie1" w:date="2025-05-13T09:50:00Z"/>
                <w:szCs w:val="22"/>
              </w:rPr>
            </w:pPr>
            <w:del w:id="5444" w:author="AbbVie1" w:date="2025-05-13T09:50:00Z">
              <w:r w:rsidRPr="001B4A02">
                <w:rPr>
                  <w:szCs w:val="22"/>
                </w:rPr>
                <w:delText>Humira</w:delText>
              </w:r>
              <w:r w:rsidRPr="001B4A02">
                <w:rPr>
                  <w:szCs w:val="22"/>
                  <w:vertAlign w:val="superscript"/>
                </w:rPr>
                <w:delText>b</w:delText>
              </w:r>
            </w:del>
          </w:p>
          <w:p w14:paraId="36ED0C44" w14:textId="77777777" w:rsidR="00073F8F" w:rsidRPr="001B4A02" w:rsidRDefault="00000000" w:rsidP="00603F6E">
            <w:pPr>
              <w:keepNext/>
              <w:ind w:left="0" w:firstLine="0"/>
              <w:jc w:val="center"/>
              <w:rPr>
                <w:del w:id="5445" w:author="AbbVie1" w:date="2025-05-13T09:50:00Z"/>
                <w:szCs w:val="22"/>
              </w:rPr>
            </w:pPr>
            <w:del w:id="5446" w:author="AbbVie1" w:date="2025-05-13T09:50:00Z">
              <w:r w:rsidRPr="001B4A02">
                <w:rPr>
                  <w:szCs w:val="22"/>
                </w:rPr>
                <w:delText>n=113</w:delText>
              </w:r>
            </w:del>
          </w:p>
        </w:tc>
        <w:tc>
          <w:tcPr>
            <w:tcW w:w="1486" w:type="dxa"/>
            <w:tcBorders>
              <w:top w:val="single" w:sz="4" w:space="0" w:color="auto"/>
              <w:left w:val="single" w:sz="4" w:space="0" w:color="auto"/>
              <w:bottom w:val="single" w:sz="4" w:space="0" w:color="auto"/>
              <w:right w:val="single" w:sz="4" w:space="0" w:color="auto"/>
            </w:tcBorders>
          </w:tcPr>
          <w:p w14:paraId="3EFC70E2" w14:textId="77777777" w:rsidR="00073F8F" w:rsidRPr="001B4A02" w:rsidRDefault="00000000" w:rsidP="00603F6E">
            <w:pPr>
              <w:keepNext/>
              <w:ind w:left="0" w:firstLine="0"/>
              <w:jc w:val="center"/>
              <w:rPr>
                <w:del w:id="5447" w:author="AbbVie1" w:date="2025-05-13T09:50:00Z"/>
                <w:szCs w:val="22"/>
              </w:rPr>
            </w:pPr>
            <w:del w:id="5448" w:author="AbbVie1" w:date="2025-05-13T09:50:00Z">
              <w:r w:rsidRPr="001B4A02">
                <w:rPr>
                  <w:szCs w:val="22"/>
                </w:rPr>
                <w:delText>Placebo/MTX</w:delText>
              </w:r>
              <w:r w:rsidRPr="001B4A02">
                <w:rPr>
                  <w:szCs w:val="22"/>
                  <w:vertAlign w:val="superscript"/>
                </w:rPr>
                <w:delText>c</w:delText>
              </w:r>
            </w:del>
          </w:p>
          <w:p w14:paraId="75836251" w14:textId="77777777" w:rsidR="00073F8F" w:rsidRPr="001B4A02" w:rsidRDefault="00000000" w:rsidP="00603F6E">
            <w:pPr>
              <w:keepNext/>
              <w:ind w:left="0" w:firstLine="0"/>
              <w:jc w:val="center"/>
              <w:rPr>
                <w:del w:id="5449" w:author="AbbVie1" w:date="2025-05-13T09:50:00Z"/>
                <w:szCs w:val="22"/>
              </w:rPr>
            </w:pPr>
            <w:del w:id="5450" w:author="AbbVie1" w:date="2025-05-13T09:50:00Z">
              <w:r w:rsidRPr="001B4A02">
                <w:rPr>
                  <w:szCs w:val="22"/>
                </w:rPr>
                <w:delText>n=200</w:delText>
              </w:r>
            </w:del>
          </w:p>
        </w:tc>
        <w:tc>
          <w:tcPr>
            <w:tcW w:w="1491" w:type="dxa"/>
            <w:tcBorders>
              <w:top w:val="single" w:sz="4" w:space="0" w:color="auto"/>
              <w:left w:val="single" w:sz="4" w:space="0" w:color="auto"/>
              <w:bottom w:val="single" w:sz="4" w:space="0" w:color="auto"/>
              <w:right w:val="single" w:sz="4" w:space="0" w:color="auto"/>
            </w:tcBorders>
          </w:tcPr>
          <w:p w14:paraId="4C5FC3EC" w14:textId="77777777" w:rsidR="00073F8F" w:rsidRPr="001B4A02" w:rsidRDefault="00000000" w:rsidP="00603F6E">
            <w:pPr>
              <w:keepNext/>
              <w:ind w:left="0" w:firstLine="0"/>
              <w:jc w:val="center"/>
              <w:rPr>
                <w:del w:id="5451" w:author="AbbVie1" w:date="2025-05-13T09:50:00Z"/>
                <w:szCs w:val="22"/>
              </w:rPr>
            </w:pPr>
            <w:del w:id="5452" w:author="AbbVie1" w:date="2025-05-13T09:50:00Z">
              <w:r w:rsidRPr="001B4A02">
                <w:rPr>
                  <w:szCs w:val="22"/>
                </w:rPr>
                <w:delText>Humira</w:delText>
              </w:r>
              <w:r w:rsidRPr="001B4A02">
                <w:rPr>
                  <w:szCs w:val="22"/>
                  <w:vertAlign w:val="superscript"/>
                </w:rPr>
                <w:delText>b</w:delText>
              </w:r>
              <w:r w:rsidRPr="001B4A02">
                <w:rPr>
                  <w:szCs w:val="22"/>
                </w:rPr>
                <w:delText>/MTX</w:delText>
              </w:r>
              <w:r w:rsidRPr="001B4A02">
                <w:rPr>
                  <w:szCs w:val="22"/>
                  <w:vertAlign w:val="superscript"/>
                </w:rPr>
                <w:delText>c</w:delText>
              </w:r>
            </w:del>
          </w:p>
          <w:p w14:paraId="10EC1060" w14:textId="77777777" w:rsidR="00073F8F" w:rsidRPr="001B4A02" w:rsidRDefault="00000000" w:rsidP="00603F6E">
            <w:pPr>
              <w:keepNext/>
              <w:ind w:left="0" w:firstLine="0"/>
              <w:jc w:val="center"/>
              <w:rPr>
                <w:del w:id="5453" w:author="AbbVie1" w:date="2025-05-13T09:50:00Z"/>
                <w:szCs w:val="22"/>
              </w:rPr>
            </w:pPr>
            <w:del w:id="5454" w:author="AbbVie1" w:date="2025-05-13T09:50:00Z">
              <w:r w:rsidRPr="001B4A02">
                <w:rPr>
                  <w:szCs w:val="22"/>
                </w:rPr>
                <w:delText>n=207</w:delText>
              </w:r>
            </w:del>
          </w:p>
        </w:tc>
      </w:tr>
      <w:tr w:rsidR="00534A2D" w14:paraId="46CD8658" w14:textId="77777777" w:rsidTr="008D783A">
        <w:trPr>
          <w:cantSplit/>
          <w:del w:id="5455" w:author="AbbVie1" w:date="2025-05-13T09:50:00Z"/>
        </w:trPr>
        <w:tc>
          <w:tcPr>
            <w:tcW w:w="1080" w:type="dxa"/>
            <w:tcBorders>
              <w:top w:val="single" w:sz="4" w:space="0" w:color="auto"/>
              <w:left w:val="single" w:sz="4" w:space="0" w:color="auto"/>
              <w:bottom w:val="single" w:sz="4" w:space="0" w:color="auto"/>
              <w:right w:val="single" w:sz="4" w:space="0" w:color="auto"/>
            </w:tcBorders>
          </w:tcPr>
          <w:p w14:paraId="7B3572AA" w14:textId="77777777" w:rsidR="00073F8F" w:rsidRPr="001B4A02" w:rsidRDefault="00000000" w:rsidP="00603F6E">
            <w:pPr>
              <w:keepNext/>
              <w:ind w:left="0" w:firstLine="0"/>
              <w:rPr>
                <w:del w:id="5456" w:author="AbbVie1" w:date="2025-05-13T09:50:00Z"/>
                <w:szCs w:val="22"/>
              </w:rPr>
            </w:pPr>
            <w:del w:id="5457" w:author="AbbVie1" w:date="2025-05-13T09:50:00Z">
              <w:r w:rsidRPr="001B4A02">
                <w:rPr>
                  <w:szCs w:val="22"/>
                </w:rPr>
                <w:delText>ACR 20</w:delText>
              </w:r>
            </w:del>
          </w:p>
        </w:tc>
        <w:tc>
          <w:tcPr>
            <w:tcW w:w="1456" w:type="dxa"/>
            <w:tcBorders>
              <w:top w:val="single" w:sz="4" w:space="0" w:color="auto"/>
              <w:left w:val="single" w:sz="4" w:space="0" w:color="auto"/>
              <w:bottom w:val="single" w:sz="4" w:space="0" w:color="auto"/>
              <w:right w:val="single" w:sz="4" w:space="0" w:color="auto"/>
            </w:tcBorders>
          </w:tcPr>
          <w:p w14:paraId="4C7CE156" w14:textId="77777777" w:rsidR="00073F8F" w:rsidRPr="001B4A02" w:rsidRDefault="00073F8F" w:rsidP="00603F6E">
            <w:pPr>
              <w:keepNext/>
              <w:ind w:left="0" w:firstLine="0"/>
              <w:jc w:val="center"/>
              <w:rPr>
                <w:del w:id="5458" w:author="AbbVie1" w:date="2025-05-13T09:50:00Z"/>
                <w:szCs w:val="22"/>
              </w:rPr>
            </w:pPr>
          </w:p>
        </w:tc>
        <w:tc>
          <w:tcPr>
            <w:tcW w:w="1559" w:type="dxa"/>
            <w:tcBorders>
              <w:top w:val="single" w:sz="4" w:space="0" w:color="auto"/>
              <w:left w:val="single" w:sz="4" w:space="0" w:color="auto"/>
              <w:bottom w:val="single" w:sz="4" w:space="0" w:color="auto"/>
              <w:right w:val="single" w:sz="4" w:space="0" w:color="auto"/>
            </w:tcBorders>
          </w:tcPr>
          <w:p w14:paraId="6DDD8A90" w14:textId="77777777" w:rsidR="00073F8F" w:rsidRPr="001B4A02" w:rsidRDefault="00073F8F" w:rsidP="00603F6E">
            <w:pPr>
              <w:keepNext/>
              <w:ind w:left="0" w:firstLine="0"/>
              <w:jc w:val="center"/>
              <w:rPr>
                <w:del w:id="5459" w:author="AbbVie1" w:date="2025-05-13T09:50:00Z"/>
                <w:szCs w:val="22"/>
              </w:rPr>
            </w:pPr>
          </w:p>
        </w:tc>
        <w:tc>
          <w:tcPr>
            <w:tcW w:w="1060" w:type="dxa"/>
            <w:tcBorders>
              <w:top w:val="single" w:sz="4" w:space="0" w:color="auto"/>
              <w:left w:val="single" w:sz="4" w:space="0" w:color="auto"/>
              <w:bottom w:val="single" w:sz="4" w:space="0" w:color="auto"/>
              <w:right w:val="single" w:sz="4" w:space="0" w:color="auto"/>
            </w:tcBorders>
          </w:tcPr>
          <w:p w14:paraId="6719ACD9" w14:textId="77777777" w:rsidR="00073F8F" w:rsidRPr="001B4A02" w:rsidRDefault="00073F8F" w:rsidP="00603F6E">
            <w:pPr>
              <w:keepNext/>
              <w:ind w:left="0" w:firstLine="0"/>
              <w:jc w:val="center"/>
              <w:rPr>
                <w:del w:id="5460" w:author="AbbVie1" w:date="2025-05-13T09:50:00Z"/>
                <w:szCs w:val="22"/>
              </w:rPr>
            </w:pPr>
          </w:p>
        </w:tc>
        <w:tc>
          <w:tcPr>
            <w:tcW w:w="1066" w:type="dxa"/>
            <w:tcBorders>
              <w:top w:val="single" w:sz="4" w:space="0" w:color="auto"/>
              <w:left w:val="single" w:sz="4" w:space="0" w:color="auto"/>
              <w:bottom w:val="single" w:sz="4" w:space="0" w:color="auto"/>
              <w:right w:val="single" w:sz="4" w:space="0" w:color="auto"/>
            </w:tcBorders>
          </w:tcPr>
          <w:p w14:paraId="5F08E875" w14:textId="77777777" w:rsidR="00073F8F" w:rsidRPr="001B4A02" w:rsidRDefault="00073F8F" w:rsidP="00603F6E">
            <w:pPr>
              <w:keepNext/>
              <w:ind w:left="0" w:firstLine="0"/>
              <w:jc w:val="center"/>
              <w:rPr>
                <w:del w:id="5461" w:author="AbbVie1" w:date="2025-05-13T09:50:00Z"/>
                <w:szCs w:val="22"/>
              </w:rPr>
            </w:pPr>
          </w:p>
        </w:tc>
        <w:tc>
          <w:tcPr>
            <w:tcW w:w="1486" w:type="dxa"/>
            <w:tcBorders>
              <w:top w:val="single" w:sz="4" w:space="0" w:color="auto"/>
              <w:left w:val="single" w:sz="4" w:space="0" w:color="auto"/>
              <w:bottom w:val="single" w:sz="4" w:space="0" w:color="auto"/>
              <w:right w:val="single" w:sz="4" w:space="0" w:color="auto"/>
            </w:tcBorders>
          </w:tcPr>
          <w:p w14:paraId="73CAB25B" w14:textId="77777777" w:rsidR="00073F8F" w:rsidRPr="001B4A02" w:rsidRDefault="00073F8F" w:rsidP="00603F6E">
            <w:pPr>
              <w:keepNext/>
              <w:ind w:left="0" w:firstLine="0"/>
              <w:jc w:val="center"/>
              <w:rPr>
                <w:del w:id="5462" w:author="AbbVie1" w:date="2025-05-13T09:50:00Z"/>
                <w:szCs w:val="22"/>
              </w:rPr>
            </w:pPr>
          </w:p>
        </w:tc>
        <w:tc>
          <w:tcPr>
            <w:tcW w:w="1491" w:type="dxa"/>
            <w:tcBorders>
              <w:top w:val="single" w:sz="4" w:space="0" w:color="auto"/>
              <w:left w:val="single" w:sz="4" w:space="0" w:color="auto"/>
              <w:bottom w:val="single" w:sz="4" w:space="0" w:color="auto"/>
              <w:right w:val="single" w:sz="4" w:space="0" w:color="auto"/>
            </w:tcBorders>
          </w:tcPr>
          <w:p w14:paraId="422955CE" w14:textId="77777777" w:rsidR="00073F8F" w:rsidRPr="001B4A02" w:rsidRDefault="00073F8F" w:rsidP="00603F6E">
            <w:pPr>
              <w:keepNext/>
              <w:ind w:left="0" w:firstLine="0"/>
              <w:jc w:val="center"/>
              <w:rPr>
                <w:del w:id="5463" w:author="AbbVie1" w:date="2025-05-13T09:50:00Z"/>
                <w:szCs w:val="22"/>
              </w:rPr>
            </w:pPr>
          </w:p>
        </w:tc>
      </w:tr>
      <w:tr w:rsidR="00534A2D" w14:paraId="4187CA63" w14:textId="77777777" w:rsidTr="008D783A">
        <w:trPr>
          <w:cantSplit/>
          <w:del w:id="5464" w:author="AbbVie1" w:date="2025-05-13T09:50:00Z"/>
        </w:trPr>
        <w:tc>
          <w:tcPr>
            <w:tcW w:w="1080" w:type="dxa"/>
            <w:tcBorders>
              <w:top w:val="single" w:sz="4" w:space="0" w:color="auto"/>
              <w:left w:val="single" w:sz="4" w:space="0" w:color="auto"/>
              <w:bottom w:val="single" w:sz="4" w:space="0" w:color="auto"/>
              <w:right w:val="single" w:sz="4" w:space="0" w:color="auto"/>
            </w:tcBorders>
          </w:tcPr>
          <w:p w14:paraId="55A7B4E2" w14:textId="77777777" w:rsidR="00073F8F" w:rsidRPr="001B4A02" w:rsidRDefault="00000000" w:rsidP="00603F6E">
            <w:pPr>
              <w:keepNext/>
              <w:ind w:left="0" w:firstLine="0"/>
              <w:rPr>
                <w:del w:id="5465" w:author="AbbVie1" w:date="2025-05-13T09:50:00Z"/>
                <w:szCs w:val="22"/>
              </w:rPr>
            </w:pPr>
            <w:del w:id="5466" w:author="AbbVie1" w:date="2025-05-13T09:50:00Z">
              <w:r w:rsidRPr="001B4A02">
                <w:rPr>
                  <w:szCs w:val="22"/>
                </w:rPr>
                <w:delText xml:space="preserve">  6 měsíců</w:delText>
              </w:r>
            </w:del>
          </w:p>
        </w:tc>
        <w:tc>
          <w:tcPr>
            <w:tcW w:w="1456" w:type="dxa"/>
            <w:tcBorders>
              <w:top w:val="single" w:sz="4" w:space="0" w:color="auto"/>
              <w:left w:val="single" w:sz="4" w:space="0" w:color="auto"/>
              <w:bottom w:val="single" w:sz="4" w:space="0" w:color="auto"/>
              <w:right w:val="single" w:sz="4" w:space="0" w:color="auto"/>
            </w:tcBorders>
          </w:tcPr>
          <w:p w14:paraId="1DD336EB" w14:textId="77777777" w:rsidR="00073F8F" w:rsidRPr="001B4A02" w:rsidRDefault="00000000" w:rsidP="00603F6E">
            <w:pPr>
              <w:keepNext/>
              <w:ind w:left="0" w:firstLine="0"/>
              <w:jc w:val="center"/>
              <w:rPr>
                <w:del w:id="5467" w:author="AbbVie1" w:date="2025-05-13T09:50:00Z"/>
                <w:szCs w:val="22"/>
              </w:rPr>
            </w:pPr>
            <w:del w:id="5468" w:author="AbbVie1" w:date="2025-05-13T09:50:00Z">
              <w:r w:rsidRPr="001B4A02">
                <w:rPr>
                  <w:szCs w:val="22"/>
                </w:rPr>
                <w:delText>13,3</w:delText>
              </w:r>
              <w:r w:rsidR="006008CB">
                <w:delText> %</w:delText>
              </w:r>
            </w:del>
          </w:p>
        </w:tc>
        <w:tc>
          <w:tcPr>
            <w:tcW w:w="1559" w:type="dxa"/>
            <w:tcBorders>
              <w:top w:val="single" w:sz="4" w:space="0" w:color="auto"/>
              <w:left w:val="single" w:sz="4" w:space="0" w:color="auto"/>
              <w:bottom w:val="single" w:sz="4" w:space="0" w:color="auto"/>
              <w:right w:val="single" w:sz="4" w:space="0" w:color="auto"/>
            </w:tcBorders>
          </w:tcPr>
          <w:p w14:paraId="4AEE8FAA" w14:textId="77777777" w:rsidR="00073F8F" w:rsidRPr="001B4A02" w:rsidRDefault="00000000" w:rsidP="00603F6E">
            <w:pPr>
              <w:keepNext/>
              <w:ind w:left="0" w:firstLine="0"/>
              <w:jc w:val="center"/>
              <w:rPr>
                <w:del w:id="5469" w:author="AbbVie1" w:date="2025-05-13T09:50:00Z"/>
                <w:szCs w:val="22"/>
              </w:rPr>
            </w:pPr>
            <w:del w:id="5470" w:author="AbbVie1" w:date="2025-05-13T09:50:00Z">
              <w:r w:rsidRPr="001B4A02">
                <w:rPr>
                  <w:szCs w:val="22"/>
                </w:rPr>
                <w:delText>65,1</w:delText>
              </w:r>
              <w:r w:rsidR="009C5EAC" w:rsidRPr="001B4A02">
                <w:delText> </w:delText>
              </w:r>
              <w:r w:rsidRPr="001B4A02">
                <w:rPr>
                  <w:szCs w:val="22"/>
                </w:rPr>
                <w:delText>%</w:delText>
              </w:r>
            </w:del>
          </w:p>
        </w:tc>
        <w:tc>
          <w:tcPr>
            <w:tcW w:w="1060" w:type="dxa"/>
            <w:tcBorders>
              <w:top w:val="single" w:sz="4" w:space="0" w:color="auto"/>
              <w:left w:val="single" w:sz="4" w:space="0" w:color="auto"/>
              <w:bottom w:val="single" w:sz="4" w:space="0" w:color="auto"/>
              <w:right w:val="single" w:sz="4" w:space="0" w:color="auto"/>
            </w:tcBorders>
          </w:tcPr>
          <w:p w14:paraId="3D0A52BC" w14:textId="77777777" w:rsidR="00073F8F" w:rsidRPr="001B4A02" w:rsidRDefault="00000000" w:rsidP="00603F6E">
            <w:pPr>
              <w:keepNext/>
              <w:ind w:left="0" w:firstLine="0"/>
              <w:jc w:val="center"/>
              <w:rPr>
                <w:del w:id="5471" w:author="AbbVie1" w:date="2025-05-13T09:50:00Z"/>
                <w:szCs w:val="22"/>
              </w:rPr>
            </w:pPr>
            <w:del w:id="5472" w:author="AbbVie1" w:date="2025-05-13T09:50:00Z">
              <w:r w:rsidRPr="001B4A02">
                <w:rPr>
                  <w:szCs w:val="22"/>
                </w:rPr>
                <w:delText>19,1</w:delText>
              </w:r>
              <w:r w:rsidR="009C5EAC" w:rsidRPr="001B4A02">
                <w:delText> </w:delText>
              </w:r>
              <w:r w:rsidRPr="001B4A02">
                <w:rPr>
                  <w:szCs w:val="22"/>
                </w:rPr>
                <w:delText>%</w:delText>
              </w:r>
            </w:del>
          </w:p>
        </w:tc>
        <w:tc>
          <w:tcPr>
            <w:tcW w:w="1066" w:type="dxa"/>
            <w:tcBorders>
              <w:top w:val="single" w:sz="4" w:space="0" w:color="auto"/>
              <w:left w:val="single" w:sz="4" w:space="0" w:color="auto"/>
              <w:bottom w:val="single" w:sz="4" w:space="0" w:color="auto"/>
              <w:right w:val="single" w:sz="4" w:space="0" w:color="auto"/>
            </w:tcBorders>
          </w:tcPr>
          <w:p w14:paraId="5014D84D" w14:textId="77777777" w:rsidR="00073F8F" w:rsidRPr="001B4A02" w:rsidRDefault="00000000" w:rsidP="00603F6E">
            <w:pPr>
              <w:pStyle w:val="CommentText"/>
              <w:keepNext/>
              <w:ind w:left="0" w:firstLine="0"/>
              <w:jc w:val="center"/>
              <w:rPr>
                <w:del w:id="5473" w:author="AbbVie1" w:date="2025-05-13T09:50:00Z"/>
                <w:sz w:val="22"/>
                <w:szCs w:val="22"/>
                <w:lang w:val="cs-CZ"/>
              </w:rPr>
            </w:pPr>
            <w:del w:id="5474" w:author="AbbVie1" w:date="2025-05-13T09:50:00Z">
              <w:r w:rsidRPr="001B4A02">
                <w:rPr>
                  <w:sz w:val="22"/>
                  <w:szCs w:val="22"/>
                  <w:lang w:val="cs-CZ"/>
                </w:rPr>
                <w:delText>46,0</w:delText>
              </w:r>
              <w:r w:rsidR="009C5EAC" w:rsidRPr="001B4A02">
                <w:rPr>
                  <w:lang w:val="cs-CZ"/>
                </w:rPr>
                <w:delText> </w:delText>
              </w:r>
              <w:r w:rsidRPr="001B4A02">
                <w:rPr>
                  <w:sz w:val="22"/>
                  <w:szCs w:val="22"/>
                  <w:lang w:val="cs-CZ"/>
                </w:rPr>
                <w:delText>%</w:delText>
              </w:r>
            </w:del>
          </w:p>
        </w:tc>
        <w:tc>
          <w:tcPr>
            <w:tcW w:w="1486" w:type="dxa"/>
            <w:tcBorders>
              <w:top w:val="single" w:sz="4" w:space="0" w:color="auto"/>
              <w:left w:val="single" w:sz="4" w:space="0" w:color="auto"/>
              <w:bottom w:val="single" w:sz="4" w:space="0" w:color="auto"/>
              <w:right w:val="single" w:sz="4" w:space="0" w:color="auto"/>
            </w:tcBorders>
          </w:tcPr>
          <w:p w14:paraId="4ABAF24A" w14:textId="77777777" w:rsidR="00073F8F" w:rsidRPr="001B4A02" w:rsidRDefault="00000000" w:rsidP="00603F6E">
            <w:pPr>
              <w:keepNext/>
              <w:ind w:left="0" w:firstLine="0"/>
              <w:jc w:val="center"/>
              <w:rPr>
                <w:del w:id="5475" w:author="AbbVie1" w:date="2025-05-13T09:50:00Z"/>
                <w:szCs w:val="22"/>
              </w:rPr>
            </w:pPr>
            <w:del w:id="5476" w:author="AbbVie1" w:date="2025-05-13T09:50:00Z">
              <w:r w:rsidRPr="001B4A02">
                <w:rPr>
                  <w:szCs w:val="22"/>
                </w:rPr>
                <w:delText>29,5%</w:delText>
              </w:r>
            </w:del>
          </w:p>
        </w:tc>
        <w:tc>
          <w:tcPr>
            <w:tcW w:w="1491" w:type="dxa"/>
            <w:tcBorders>
              <w:top w:val="single" w:sz="4" w:space="0" w:color="auto"/>
              <w:left w:val="single" w:sz="4" w:space="0" w:color="auto"/>
              <w:bottom w:val="single" w:sz="4" w:space="0" w:color="auto"/>
              <w:right w:val="single" w:sz="4" w:space="0" w:color="auto"/>
            </w:tcBorders>
          </w:tcPr>
          <w:p w14:paraId="00EDE571" w14:textId="77777777" w:rsidR="00073F8F" w:rsidRPr="001B4A02" w:rsidRDefault="00000000" w:rsidP="00603F6E">
            <w:pPr>
              <w:keepNext/>
              <w:ind w:left="0" w:firstLine="0"/>
              <w:jc w:val="center"/>
              <w:rPr>
                <w:del w:id="5477" w:author="AbbVie1" w:date="2025-05-13T09:50:00Z"/>
                <w:szCs w:val="22"/>
              </w:rPr>
            </w:pPr>
            <w:del w:id="5478" w:author="AbbVie1" w:date="2025-05-13T09:50:00Z">
              <w:r w:rsidRPr="001B4A02">
                <w:rPr>
                  <w:szCs w:val="22"/>
                </w:rPr>
                <w:delText>63,3</w:delText>
              </w:r>
              <w:r w:rsidR="009C5EAC" w:rsidRPr="001B4A02">
                <w:delText> </w:delText>
              </w:r>
              <w:r w:rsidRPr="001B4A02">
                <w:rPr>
                  <w:szCs w:val="22"/>
                </w:rPr>
                <w:delText>%</w:delText>
              </w:r>
            </w:del>
          </w:p>
        </w:tc>
      </w:tr>
      <w:tr w:rsidR="00534A2D" w14:paraId="1BA1DFFF" w14:textId="77777777" w:rsidTr="008D783A">
        <w:trPr>
          <w:cantSplit/>
          <w:del w:id="5479" w:author="AbbVie1" w:date="2025-05-13T09:50:00Z"/>
        </w:trPr>
        <w:tc>
          <w:tcPr>
            <w:tcW w:w="1080" w:type="dxa"/>
            <w:tcBorders>
              <w:top w:val="single" w:sz="4" w:space="0" w:color="auto"/>
              <w:left w:val="single" w:sz="4" w:space="0" w:color="auto"/>
              <w:bottom w:val="single" w:sz="4" w:space="0" w:color="auto"/>
              <w:right w:val="single" w:sz="4" w:space="0" w:color="auto"/>
            </w:tcBorders>
          </w:tcPr>
          <w:p w14:paraId="116C037F" w14:textId="77777777" w:rsidR="00073F8F" w:rsidRPr="001B4A02" w:rsidRDefault="00000000" w:rsidP="00603F6E">
            <w:pPr>
              <w:keepNext/>
              <w:ind w:left="0" w:firstLine="0"/>
              <w:rPr>
                <w:del w:id="5480" w:author="AbbVie1" w:date="2025-05-13T09:50:00Z"/>
                <w:szCs w:val="22"/>
              </w:rPr>
            </w:pPr>
            <w:del w:id="5481" w:author="AbbVie1" w:date="2025-05-13T09:50:00Z">
              <w:r w:rsidRPr="001B4A02">
                <w:rPr>
                  <w:szCs w:val="22"/>
                </w:rPr>
                <w:delText xml:space="preserve">  12 měsíců</w:delText>
              </w:r>
            </w:del>
          </w:p>
        </w:tc>
        <w:tc>
          <w:tcPr>
            <w:tcW w:w="1456" w:type="dxa"/>
            <w:tcBorders>
              <w:top w:val="single" w:sz="4" w:space="0" w:color="auto"/>
              <w:left w:val="single" w:sz="4" w:space="0" w:color="auto"/>
              <w:bottom w:val="single" w:sz="4" w:space="0" w:color="auto"/>
              <w:right w:val="single" w:sz="4" w:space="0" w:color="auto"/>
            </w:tcBorders>
          </w:tcPr>
          <w:p w14:paraId="77CEE1AC" w14:textId="77777777" w:rsidR="00073F8F" w:rsidRPr="001B4A02" w:rsidRDefault="00000000" w:rsidP="00603F6E">
            <w:pPr>
              <w:keepNext/>
              <w:ind w:left="0" w:firstLine="0"/>
              <w:jc w:val="center"/>
              <w:rPr>
                <w:del w:id="5482" w:author="AbbVie1" w:date="2025-05-13T09:50:00Z"/>
                <w:szCs w:val="22"/>
              </w:rPr>
            </w:pPr>
            <w:del w:id="5483" w:author="AbbVie1" w:date="2025-05-13T09:50:00Z">
              <w:r w:rsidRPr="001B4A02">
                <w:rPr>
                  <w:szCs w:val="22"/>
                </w:rPr>
                <w:delText>NA</w:delText>
              </w:r>
            </w:del>
          </w:p>
        </w:tc>
        <w:tc>
          <w:tcPr>
            <w:tcW w:w="1559" w:type="dxa"/>
            <w:tcBorders>
              <w:top w:val="single" w:sz="4" w:space="0" w:color="auto"/>
              <w:left w:val="single" w:sz="4" w:space="0" w:color="auto"/>
              <w:bottom w:val="single" w:sz="4" w:space="0" w:color="auto"/>
              <w:right w:val="single" w:sz="4" w:space="0" w:color="auto"/>
            </w:tcBorders>
          </w:tcPr>
          <w:p w14:paraId="56B468B6" w14:textId="77777777" w:rsidR="00073F8F" w:rsidRPr="001B4A02" w:rsidRDefault="00000000" w:rsidP="00603F6E">
            <w:pPr>
              <w:keepNext/>
              <w:ind w:left="0" w:firstLine="0"/>
              <w:jc w:val="center"/>
              <w:rPr>
                <w:del w:id="5484" w:author="AbbVie1" w:date="2025-05-13T09:50:00Z"/>
                <w:szCs w:val="22"/>
              </w:rPr>
            </w:pPr>
            <w:del w:id="5485" w:author="AbbVie1" w:date="2025-05-13T09:50:00Z">
              <w:r w:rsidRPr="001B4A02">
                <w:rPr>
                  <w:szCs w:val="22"/>
                </w:rPr>
                <w:delText>NA</w:delText>
              </w:r>
            </w:del>
          </w:p>
        </w:tc>
        <w:tc>
          <w:tcPr>
            <w:tcW w:w="1060" w:type="dxa"/>
            <w:tcBorders>
              <w:top w:val="single" w:sz="4" w:space="0" w:color="auto"/>
              <w:left w:val="single" w:sz="4" w:space="0" w:color="auto"/>
              <w:bottom w:val="single" w:sz="4" w:space="0" w:color="auto"/>
              <w:right w:val="single" w:sz="4" w:space="0" w:color="auto"/>
            </w:tcBorders>
          </w:tcPr>
          <w:p w14:paraId="6221F73D" w14:textId="77777777" w:rsidR="00073F8F" w:rsidRPr="001B4A02" w:rsidRDefault="00000000" w:rsidP="00603F6E">
            <w:pPr>
              <w:keepNext/>
              <w:ind w:left="0" w:firstLine="0"/>
              <w:jc w:val="center"/>
              <w:rPr>
                <w:del w:id="5486" w:author="AbbVie1" w:date="2025-05-13T09:50:00Z"/>
                <w:szCs w:val="22"/>
              </w:rPr>
            </w:pPr>
            <w:del w:id="5487" w:author="AbbVie1" w:date="2025-05-13T09:50:00Z">
              <w:r w:rsidRPr="001B4A02">
                <w:rPr>
                  <w:szCs w:val="22"/>
                </w:rPr>
                <w:delText>NA</w:delText>
              </w:r>
            </w:del>
          </w:p>
        </w:tc>
        <w:tc>
          <w:tcPr>
            <w:tcW w:w="1066" w:type="dxa"/>
            <w:tcBorders>
              <w:top w:val="single" w:sz="4" w:space="0" w:color="auto"/>
              <w:left w:val="single" w:sz="4" w:space="0" w:color="auto"/>
              <w:bottom w:val="single" w:sz="4" w:space="0" w:color="auto"/>
              <w:right w:val="single" w:sz="4" w:space="0" w:color="auto"/>
            </w:tcBorders>
          </w:tcPr>
          <w:p w14:paraId="4C16D94B" w14:textId="77777777" w:rsidR="00073F8F" w:rsidRPr="001B4A02" w:rsidRDefault="00000000" w:rsidP="00603F6E">
            <w:pPr>
              <w:keepNext/>
              <w:ind w:left="0" w:firstLine="0"/>
              <w:jc w:val="center"/>
              <w:rPr>
                <w:del w:id="5488" w:author="AbbVie1" w:date="2025-05-13T09:50:00Z"/>
                <w:szCs w:val="22"/>
              </w:rPr>
            </w:pPr>
            <w:del w:id="5489" w:author="AbbVie1" w:date="2025-05-13T09:50:00Z">
              <w:r w:rsidRPr="001B4A02">
                <w:rPr>
                  <w:szCs w:val="22"/>
                </w:rPr>
                <w:delText>NA</w:delText>
              </w:r>
            </w:del>
          </w:p>
        </w:tc>
        <w:tc>
          <w:tcPr>
            <w:tcW w:w="1486" w:type="dxa"/>
            <w:tcBorders>
              <w:top w:val="single" w:sz="4" w:space="0" w:color="auto"/>
              <w:left w:val="single" w:sz="4" w:space="0" w:color="auto"/>
              <w:bottom w:val="single" w:sz="4" w:space="0" w:color="auto"/>
              <w:right w:val="single" w:sz="4" w:space="0" w:color="auto"/>
            </w:tcBorders>
          </w:tcPr>
          <w:p w14:paraId="239AEEEF" w14:textId="77777777" w:rsidR="00073F8F" w:rsidRPr="001B4A02" w:rsidRDefault="00000000" w:rsidP="00603F6E">
            <w:pPr>
              <w:keepNext/>
              <w:ind w:left="0" w:firstLine="0"/>
              <w:jc w:val="center"/>
              <w:rPr>
                <w:del w:id="5490" w:author="AbbVie1" w:date="2025-05-13T09:50:00Z"/>
                <w:szCs w:val="22"/>
              </w:rPr>
            </w:pPr>
            <w:del w:id="5491" w:author="AbbVie1" w:date="2025-05-13T09:50:00Z">
              <w:r w:rsidRPr="001B4A02">
                <w:rPr>
                  <w:szCs w:val="22"/>
                </w:rPr>
                <w:delText>24,0%</w:delText>
              </w:r>
            </w:del>
          </w:p>
        </w:tc>
        <w:tc>
          <w:tcPr>
            <w:tcW w:w="1491" w:type="dxa"/>
            <w:tcBorders>
              <w:top w:val="single" w:sz="4" w:space="0" w:color="auto"/>
              <w:left w:val="single" w:sz="4" w:space="0" w:color="auto"/>
              <w:bottom w:val="single" w:sz="4" w:space="0" w:color="auto"/>
              <w:right w:val="single" w:sz="4" w:space="0" w:color="auto"/>
            </w:tcBorders>
          </w:tcPr>
          <w:p w14:paraId="09CD14C1" w14:textId="77777777" w:rsidR="00073F8F" w:rsidRPr="001B4A02" w:rsidRDefault="00000000" w:rsidP="00603F6E">
            <w:pPr>
              <w:keepNext/>
              <w:ind w:left="0" w:firstLine="0"/>
              <w:jc w:val="center"/>
              <w:rPr>
                <w:del w:id="5492" w:author="AbbVie1" w:date="2025-05-13T09:50:00Z"/>
                <w:szCs w:val="22"/>
              </w:rPr>
            </w:pPr>
            <w:del w:id="5493" w:author="AbbVie1" w:date="2025-05-13T09:50:00Z">
              <w:r w:rsidRPr="001B4A02">
                <w:rPr>
                  <w:szCs w:val="22"/>
                </w:rPr>
                <w:delText>58,9</w:delText>
              </w:r>
              <w:r w:rsidR="009C5EAC" w:rsidRPr="001B4A02">
                <w:delText> </w:delText>
              </w:r>
              <w:r w:rsidRPr="001B4A02">
                <w:rPr>
                  <w:szCs w:val="22"/>
                </w:rPr>
                <w:delText>%</w:delText>
              </w:r>
            </w:del>
          </w:p>
        </w:tc>
      </w:tr>
      <w:tr w:rsidR="00534A2D" w14:paraId="1A830BE1" w14:textId="77777777" w:rsidTr="008D783A">
        <w:trPr>
          <w:cantSplit/>
          <w:del w:id="5494" w:author="AbbVie1" w:date="2025-05-13T09:50:00Z"/>
        </w:trPr>
        <w:tc>
          <w:tcPr>
            <w:tcW w:w="1080" w:type="dxa"/>
            <w:tcBorders>
              <w:top w:val="single" w:sz="4" w:space="0" w:color="auto"/>
              <w:left w:val="single" w:sz="4" w:space="0" w:color="auto"/>
              <w:bottom w:val="single" w:sz="4" w:space="0" w:color="auto"/>
              <w:right w:val="single" w:sz="4" w:space="0" w:color="auto"/>
            </w:tcBorders>
          </w:tcPr>
          <w:p w14:paraId="2C1AEFBD" w14:textId="77777777" w:rsidR="00073F8F" w:rsidRPr="001B4A02" w:rsidRDefault="00000000" w:rsidP="00603F6E">
            <w:pPr>
              <w:keepNext/>
              <w:ind w:left="0" w:firstLine="0"/>
              <w:rPr>
                <w:del w:id="5495" w:author="AbbVie1" w:date="2025-05-13T09:50:00Z"/>
                <w:szCs w:val="22"/>
              </w:rPr>
            </w:pPr>
            <w:del w:id="5496" w:author="AbbVie1" w:date="2025-05-13T09:50:00Z">
              <w:r w:rsidRPr="001B4A02">
                <w:rPr>
                  <w:szCs w:val="22"/>
                </w:rPr>
                <w:delText>ACR 50</w:delText>
              </w:r>
            </w:del>
          </w:p>
        </w:tc>
        <w:tc>
          <w:tcPr>
            <w:tcW w:w="1456" w:type="dxa"/>
            <w:tcBorders>
              <w:top w:val="single" w:sz="4" w:space="0" w:color="auto"/>
              <w:left w:val="single" w:sz="4" w:space="0" w:color="auto"/>
              <w:bottom w:val="single" w:sz="4" w:space="0" w:color="auto"/>
              <w:right w:val="single" w:sz="4" w:space="0" w:color="auto"/>
            </w:tcBorders>
          </w:tcPr>
          <w:p w14:paraId="206BDEAF" w14:textId="77777777" w:rsidR="00073F8F" w:rsidRPr="001B4A02" w:rsidRDefault="00073F8F" w:rsidP="00603F6E">
            <w:pPr>
              <w:keepNext/>
              <w:ind w:left="0" w:firstLine="0"/>
              <w:jc w:val="center"/>
              <w:rPr>
                <w:del w:id="5497" w:author="AbbVie1" w:date="2025-05-13T09:50:00Z"/>
                <w:szCs w:val="22"/>
              </w:rPr>
            </w:pPr>
          </w:p>
        </w:tc>
        <w:tc>
          <w:tcPr>
            <w:tcW w:w="1559" w:type="dxa"/>
            <w:tcBorders>
              <w:top w:val="single" w:sz="4" w:space="0" w:color="auto"/>
              <w:left w:val="single" w:sz="4" w:space="0" w:color="auto"/>
              <w:bottom w:val="single" w:sz="4" w:space="0" w:color="auto"/>
              <w:right w:val="single" w:sz="4" w:space="0" w:color="auto"/>
            </w:tcBorders>
          </w:tcPr>
          <w:p w14:paraId="654A9BD1" w14:textId="77777777" w:rsidR="00073F8F" w:rsidRPr="001B4A02" w:rsidRDefault="00073F8F" w:rsidP="00603F6E">
            <w:pPr>
              <w:keepNext/>
              <w:ind w:left="0" w:firstLine="0"/>
              <w:jc w:val="center"/>
              <w:rPr>
                <w:del w:id="5498" w:author="AbbVie1" w:date="2025-05-13T09:50:00Z"/>
                <w:szCs w:val="22"/>
              </w:rPr>
            </w:pPr>
          </w:p>
        </w:tc>
        <w:tc>
          <w:tcPr>
            <w:tcW w:w="1060" w:type="dxa"/>
            <w:tcBorders>
              <w:top w:val="single" w:sz="4" w:space="0" w:color="auto"/>
              <w:left w:val="single" w:sz="4" w:space="0" w:color="auto"/>
              <w:bottom w:val="single" w:sz="4" w:space="0" w:color="auto"/>
              <w:right w:val="single" w:sz="4" w:space="0" w:color="auto"/>
            </w:tcBorders>
          </w:tcPr>
          <w:p w14:paraId="7A487C43" w14:textId="77777777" w:rsidR="00073F8F" w:rsidRPr="001B4A02" w:rsidRDefault="00073F8F" w:rsidP="00603F6E">
            <w:pPr>
              <w:keepNext/>
              <w:ind w:left="0" w:firstLine="0"/>
              <w:jc w:val="center"/>
              <w:rPr>
                <w:del w:id="5499" w:author="AbbVie1" w:date="2025-05-13T09:50:00Z"/>
                <w:szCs w:val="22"/>
              </w:rPr>
            </w:pPr>
          </w:p>
        </w:tc>
        <w:tc>
          <w:tcPr>
            <w:tcW w:w="1066" w:type="dxa"/>
            <w:tcBorders>
              <w:top w:val="single" w:sz="4" w:space="0" w:color="auto"/>
              <w:left w:val="single" w:sz="4" w:space="0" w:color="auto"/>
              <w:bottom w:val="single" w:sz="4" w:space="0" w:color="auto"/>
              <w:right w:val="single" w:sz="4" w:space="0" w:color="auto"/>
            </w:tcBorders>
          </w:tcPr>
          <w:p w14:paraId="49D4004A" w14:textId="77777777" w:rsidR="00073F8F" w:rsidRPr="001B4A02" w:rsidRDefault="00073F8F" w:rsidP="00603F6E">
            <w:pPr>
              <w:keepNext/>
              <w:ind w:left="0" w:firstLine="0"/>
              <w:jc w:val="center"/>
              <w:rPr>
                <w:del w:id="5500" w:author="AbbVie1" w:date="2025-05-13T09:50:00Z"/>
                <w:szCs w:val="22"/>
              </w:rPr>
            </w:pPr>
          </w:p>
        </w:tc>
        <w:tc>
          <w:tcPr>
            <w:tcW w:w="1486" w:type="dxa"/>
            <w:tcBorders>
              <w:top w:val="single" w:sz="4" w:space="0" w:color="auto"/>
              <w:left w:val="single" w:sz="4" w:space="0" w:color="auto"/>
              <w:bottom w:val="single" w:sz="4" w:space="0" w:color="auto"/>
              <w:right w:val="single" w:sz="4" w:space="0" w:color="auto"/>
            </w:tcBorders>
          </w:tcPr>
          <w:p w14:paraId="651BEABA" w14:textId="77777777" w:rsidR="00073F8F" w:rsidRPr="001B4A02" w:rsidRDefault="00073F8F" w:rsidP="00603F6E">
            <w:pPr>
              <w:keepNext/>
              <w:ind w:left="0" w:firstLine="0"/>
              <w:jc w:val="center"/>
              <w:rPr>
                <w:del w:id="5501" w:author="AbbVie1" w:date="2025-05-13T09:50:00Z"/>
                <w:szCs w:val="22"/>
              </w:rPr>
            </w:pPr>
          </w:p>
        </w:tc>
        <w:tc>
          <w:tcPr>
            <w:tcW w:w="1491" w:type="dxa"/>
            <w:tcBorders>
              <w:top w:val="single" w:sz="4" w:space="0" w:color="auto"/>
              <w:left w:val="single" w:sz="4" w:space="0" w:color="auto"/>
              <w:bottom w:val="single" w:sz="4" w:space="0" w:color="auto"/>
              <w:right w:val="single" w:sz="4" w:space="0" w:color="auto"/>
            </w:tcBorders>
          </w:tcPr>
          <w:p w14:paraId="7B08C539" w14:textId="77777777" w:rsidR="00073F8F" w:rsidRPr="001B4A02" w:rsidRDefault="00073F8F" w:rsidP="00603F6E">
            <w:pPr>
              <w:keepNext/>
              <w:ind w:left="0" w:firstLine="0"/>
              <w:jc w:val="center"/>
              <w:rPr>
                <w:del w:id="5502" w:author="AbbVie1" w:date="2025-05-13T09:50:00Z"/>
                <w:szCs w:val="22"/>
              </w:rPr>
            </w:pPr>
          </w:p>
        </w:tc>
      </w:tr>
      <w:tr w:rsidR="00534A2D" w14:paraId="12747E26" w14:textId="77777777" w:rsidTr="008D783A">
        <w:trPr>
          <w:cantSplit/>
          <w:del w:id="5503" w:author="AbbVie1" w:date="2025-05-13T09:50:00Z"/>
        </w:trPr>
        <w:tc>
          <w:tcPr>
            <w:tcW w:w="1080" w:type="dxa"/>
            <w:tcBorders>
              <w:top w:val="single" w:sz="4" w:space="0" w:color="auto"/>
              <w:left w:val="single" w:sz="4" w:space="0" w:color="auto"/>
              <w:bottom w:val="single" w:sz="4" w:space="0" w:color="auto"/>
              <w:right w:val="single" w:sz="4" w:space="0" w:color="auto"/>
            </w:tcBorders>
          </w:tcPr>
          <w:p w14:paraId="306B6711" w14:textId="77777777" w:rsidR="00073F8F" w:rsidRPr="001B4A02" w:rsidRDefault="00000000" w:rsidP="00603F6E">
            <w:pPr>
              <w:keepNext/>
              <w:ind w:left="0" w:firstLine="0"/>
              <w:rPr>
                <w:del w:id="5504" w:author="AbbVie1" w:date="2025-05-13T09:50:00Z"/>
                <w:szCs w:val="22"/>
              </w:rPr>
            </w:pPr>
            <w:del w:id="5505" w:author="AbbVie1" w:date="2025-05-13T09:50:00Z">
              <w:r w:rsidRPr="001B4A02">
                <w:rPr>
                  <w:szCs w:val="22"/>
                </w:rPr>
                <w:delText xml:space="preserve">  6 měsíců</w:delText>
              </w:r>
            </w:del>
          </w:p>
        </w:tc>
        <w:tc>
          <w:tcPr>
            <w:tcW w:w="1456" w:type="dxa"/>
            <w:tcBorders>
              <w:top w:val="single" w:sz="4" w:space="0" w:color="auto"/>
              <w:left w:val="single" w:sz="4" w:space="0" w:color="auto"/>
              <w:bottom w:val="single" w:sz="4" w:space="0" w:color="auto"/>
              <w:right w:val="single" w:sz="4" w:space="0" w:color="auto"/>
            </w:tcBorders>
          </w:tcPr>
          <w:p w14:paraId="235DD716" w14:textId="77777777" w:rsidR="00073F8F" w:rsidRPr="001B4A02" w:rsidRDefault="00000000" w:rsidP="00603F6E">
            <w:pPr>
              <w:keepNext/>
              <w:ind w:left="0" w:firstLine="0"/>
              <w:jc w:val="center"/>
              <w:rPr>
                <w:del w:id="5506" w:author="AbbVie1" w:date="2025-05-13T09:50:00Z"/>
                <w:szCs w:val="22"/>
              </w:rPr>
            </w:pPr>
            <w:del w:id="5507" w:author="AbbVie1" w:date="2025-05-13T09:50:00Z">
              <w:r w:rsidRPr="001B4A02">
                <w:rPr>
                  <w:szCs w:val="22"/>
                </w:rPr>
                <w:delText>6,7</w:delText>
              </w:r>
              <w:r w:rsidR="009C5EAC" w:rsidRPr="001B4A02">
                <w:delText> </w:delText>
              </w:r>
              <w:r w:rsidRPr="001B4A02">
                <w:rPr>
                  <w:szCs w:val="22"/>
                </w:rPr>
                <w:delText>%</w:delText>
              </w:r>
            </w:del>
          </w:p>
        </w:tc>
        <w:tc>
          <w:tcPr>
            <w:tcW w:w="1559" w:type="dxa"/>
            <w:tcBorders>
              <w:top w:val="single" w:sz="4" w:space="0" w:color="auto"/>
              <w:left w:val="single" w:sz="4" w:space="0" w:color="auto"/>
              <w:bottom w:val="single" w:sz="4" w:space="0" w:color="auto"/>
              <w:right w:val="single" w:sz="4" w:space="0" w:color="auto"/>
            </w:tcBorders>
          </w:tcPr>
          <w:p w14:paraId="62112DA6" w14:textId="77777777" w:rsidR="00073F8F" w:rsidRPr="001B4A02" w:rsidRDefault="00000000" w:rsidP="00603F6E">
            <w:pPr>
              <w:keepNext/>
              <w:ind w:left="0" w:firstLine="0"/>
              <w:jc w:val="center"/>
              <w:rPr>
                <w:del w:id="5508" w:author="AbbVie1" w:date="2025-05-13T09:50:00Z"/>
                <w:szCs w:val="22"/>
              </w:rPr>
            </w:pPr>
            <w:del w:id="5509" w:author="AbbVie1" w:date="2025-05-13T09:50:00Z">
              <w:r w:rsidRPr="001B4A02">
                <w:rPr>
                  <w:szCs w:val="22"/>
                </w:rPr>
                <w:delText>52,4</w:delText>
              </w:r>
              <w:r w:rsidR="009C5EAC" w:rsidRPr="001B4A02">
                <w:delText> </w:delText>
              </w:r>
              <w:r w:rsidRPr="001B4A02">
                <w:rPr>
                  <w:szCs w:val="22"/>
                </w:rPr>
                <w:delText>%</w:delText>
              </w:r>
            </w:del>
          </w:p>
        </w:tc>
        <w:tc>
          <w:tcPr>
            <w:tcW w:w="1060" w:type="dxa"/>
            <w:tcBorders>
              <w:top w:val="single" w:sz="4" w:space="0" w:color="auto"/>
              <w:left w:val="single" w:sz="4" w:space="0" w:color="auto"/>
              <w:bottom w:val="single" w:sz="4" w:space="0" w:color="auto"/>
              <w:right w:val="single" w:sz="4" w:space="0" w:color="auto"/>
            </w:tcBorders>
          </w:tcPr>
          <w:p w14:paraId="48111E28" w14:textId="77777777" w:rsidR="00073F8F" w:rsidRPr="001B4A02" w:rsidRDefault="00000000" w:rsidP="00603F6E">
            <w:pPr>
              <w:keepNext/>
              <w:ind w:left="0" w:firstLine="0"/>
              <w:jc w:val="center"/>
              <w:rPr>
                <w:del w:id="5510" w:author="AbbVie1" w:date="2025-05-13T09:50:00Z"/>
                <w:szCs w:val="22"/>
              </w:rPr>
            </w:pPr>
            <w:del w:id="5511" w:author="AbbVie1" w:date="2025-05-13T09:50:00Z">
              <w:r w:rsidRPr="001B4A02">
                <w:rPr>
                  <w:szCs w:val="22"/>
                </w:rPr>
                <w:delText>8,2</w:delText>
              </w:r>
              <w:r w:rsidR="009C5EAC" w:rsidRPr="001B4A02">
                <w:delText> </w:delText>
              </w:r>
              <w:r w:rsidRPr="001B4A02">
                <w:rPr>
                  <w:szCs w:val="22"/>
                </w:rPr>
                <w:delText>%</w:delText>
              </w:r>
            </w:del>
          </w:p>
        </w:tc>
        <w:tc>
          <w:tcPr>
            <w:tcW w:w="1066" w:type="dxa"/>
            <w:tcBorders>
              <w:top w:val="single" w:sz="4" w:space="0" w:color="auto"/>
              <w:left w:val="single" w:sz="4" w:space="0" w:color="auto"/>
              <w:bottom w:val="single" w:sz="4" w:space="0" w:color="auto"/>
              <w:right w:val="single" w:sz="4" w:space="0" w:color="auto"/>
            </w:tcBorders>
          </w:tcPr>
          <w:p w14:paraId="53BED11A" w14:textId="77777777" w:rsidR="00073F8F" w:rsidRPr="001B4A02" w:rsidRDefault="00000000" w:rsidP="00603F6E">
            <w:pPr>
              <w:keepNext/>
              <w:ind w:left="0" w:firstLine="0"/>
              <w:jc w:val="center"/>
              <w:rPr>
                <w:del w:id="5512" w:author="AbbVie1" w:date="2025-05-13T09:50:00Z"/>
                <w:szCs w:val="22"/>
              </w:rPr>
            </w:pPr>
            <w:del w:id="5513" w:author="AbbVie1" w:date="2025-05-13T09:50:00Z">
              <w:r w:rsidRPr="001B4A02">
                <w:rPr>
                  <w:szCs w:val="22"/>
                </w:rPr>
                <w:delText>22,1</w:delText>
              </w:r>
              <w:r w:rsidR="009C5EAC" w:rsidRPr="001B4A02">
                <w:delText> </w:delText>
              </w:r>
              <w:r w:rsidRPr="001B4A02">
                <w:rPr>
                  <w:szCs w:val="22"/>
                </w:rPr>
                <w:delText>%</w:delText>
              </w:r>
            </w:del>
          </w:p>
        </w:tc>
        <w:tc>
          <w:tcPr>
            <w:tcW w:w="1486" w:type="dxa"/>
            <w:tcBorders>
              <w:top w:val="single" w:sz="4" w:space="0" w:color="auto"/>
              <w:left w:val="single" w:sz="4" w:space="0" w:color="auto"/>
              <w:bottom w:val="single" w:sz="4" w:space="0" w:color="auto"/>
              <w:right w:val="single" w:sz="4" w:space="0" w:color="auto"/>
            </w:tcBorders>
          </w:tcPr>
          <w:p w14:paraId="5A68B3DA" w14:textId="77777777" w:rsidR="00073F8F" w:rsidRPr="001B4A02" w:rsidRDefault="00000000" w:rsidP="00603F6E">
            <w:pPr>
              <w:keepNext/>
              <w:ind w:left="0" w:firstLine="0"/>
              <w:jc w:val="center"/>
              <w:rPr>
                <w:del w:id="5514" w:author="AbbVie1" w:date="2025-05-13T09:50:00Z"/>
                <w:szCs w:val="22"/>
              </w:rPr>
            </w:pPr>
            <w:del w:id="5515" w:author="AbbVie1" w:date="2025-05-13T09:50:00Z">
              <w:r w:rsidRPr="001B4A02">
                <w:rPr>
                  <w:szCs w:val="22"/>
                </w:rPr>
                <w:delText>9,5</w:delText>
              </w:r>
              <w:r w:rsidR="009C5EAC" w:rsidRPr="001B4A02">
                <w:delText> </w:delText>
              </w:r>
              <w:r w:rsidRPr="001B4A02">
                <w:rPr>
                  <w:szCs w:val="22"/>
                </w:rPr>
                <w:delText>%</w:delText>
              </w:r>
            </w:del>
          </w:p>
        </w:tc>
        <w:tc>
          <w:tcPr>
            <w:tcW w:w="1491" w:type="dxa"/>
            <w:tcBorders>
              <w:top w:val="single" w:sz="4" w:space="0" w:color="auto"/>
              <w:left w:val="single" w:sz="4" w:space="0" w:color="auto"/>
              <w:bottom w:val="single" w:sz="4" w:space="0" w:color="auto"/>
              <w:right w:val="single" w:sz="4" w:space="0" w:color="auto"/>
            </w:tcBorders>
          </w:tcPr>
          <w:p w14:paraId="7DC89120" w14:textId="77777777" w:rsidR="00073F8F" w:rsidRPr="001B4A02" w:rsidRDefault="00000000" w:rsidP="00603F6E">
            <w:pPr>
              <w:keepNext/>
              <w:ind w:left="0" w:firstLine="0"/>
              <w:jc w:val="center"/>
              <w:rPr>
                <w:del w:id="5516" w:author="AbbVie1" w:date="2025-05-13T09:50:00Z"/>
                <w:szCs w:val="22"/>
              </w:rPr>
            </w:pPr>
            <w:del w:id="5517" w:author="AbbVie1" w:date="2025-05-13T09:50:00Z">
              <w:r w:rsidRPr="001B4A02">
                <w:rPr>
                  <w:szCs w:val="22"/>
                </w:rPr>
                <w:delText>39,1</w:delText>
              </w:r>
              <w:r w:rsidR="009C5EAC" w:rsidRPr="001B4A02">
                <w:delText> </w:delText>
              </w:r>
              <w:r w:rsidRPr="001B4A02">
                <w:rPr>
                  <w:szCs w:val="22"/>
                </w:rPr>
                <w:delText>%</w:delText>
              </w:r>
            </w:del>
          </w:p>
        </w:tc>
      </w:tr>
      <w:tr w:rsidR="00534A2D" w14:paraId="54D4B73E" w14:textId="77777777" w:rsidTr="008D783A">
        <w:trPr>
          <w:cantSplit/>
          <w:del w:id="5518" w:author="AbbVie1" w:date="2025-05-13T09:50:00Z"/>
        </w:trPr>
        <w:tc>
          <w:tcPr>
            <w:tcW w:w="1080" w:type="dxa"/>
            <w:tcBorders>
              <w:top w:val="single" w:sz="4" w:space="0" w:color="auto"/>
              <w:left w:val="single" w:sz="4" w:space="0" w:color="auto"/>
              <w:bottom w:val="single" w:sz="4" w:space="0" w:color="auto"/>
              <w:right w:val="single" w:sz="4" w:space="0" w:color="auto"/>
            </w:tcBorders>
          </w:tcPr>
          <w:p w14:paraId="1A1845A8" w14:textId="77777777" w:rsidR="00073F8F" w:rsidRPr="001B4A02" w:rsidRDefault="00000000" w:rsidP="00603F6E">
            <w:pPr>
              <w:keepNext/>
              <w:ind w:left="0" w:firstLine="0"/>
              <w:rPr>
                <w:del w:id="5519" w:author="AbbVie1" w:date="2025-05-13T09:50:00Z"/>
                <w:szCs w:val="22"/>
              </w:rPr>
            </w:pPr>
            <w:del w:id="5520" w:author="AbbVie1" w:date="2025-05-13T09:50:00Z">
              <w:r w:rsidRPr="001B4A02">
                <w:rPr>
                  <w:szCs w:val="22"/>
                </w:rPr>
                <w:delText xml:space="preserve">  12 měsíců</w:delText>
              </w:r>
            </w:del>
          </w:p>
        </w:tc>
        <w:tc>
          <w:tcPr>
            <w:tcW w:w="1456" w:type="dxa"/>
            <w:tcBorders>
              <w:top w:val="single" w:sz="4" w:space="0" w:color="auto"/>
              <w:left w:val="single" w:sz="4" w:space="0" w:color="auto"/>
              <w:bottom w:val="single" w:sz="4" w:space="0" w:color="auto"/>
              <w:right w:val="single" w:sz="4" w:space="0" w:color="auto"/>
            </w:tcBorders>
          </w:tcPr>
          <w:p w14:paraId="30350D4F" w14:textId="77777777" w:rsidR="00073F8F" w:rsidRPr="001B4A02" w:rsidRDefault="00000000" w:rsidP="00603F6E">
            <w:pPr>
              <w:keepNext/>
              <w:ind w:left="0" w:firstLine="0"/>
              <w:jc w:val="center"/>
              <w:rPr>
                <w:del w:id="5521" w:author="AbbVie1" w:date="2025-05-13T09:50:00Z"/>
                <w:szCs w:val="22"/>
              </w:rPr>
            </w:pPr>
            <w:del w:id="5522" w:author="AbbVie1" w:date="2025-05-13T09:50:00Z">
              <w:r w:rsidRPr="001B4A02">
                <w:rPr>
                  <w:szCs w:val="22"/>
                </w:rPr>
                <w:delText>NA</w:delText>
              </w:r>
            </w:del>
          </w:p>
        </w:tc>
        <w:tc>
          <w:tcPr>
            <w:tcW w:w="1559" w:type="dxa"/>
            <w:tcBorders>
              <w:top w:val="single" w:sz="4" w:space="0" w:color="auto"/>
              <w:left w:val="single" w:sz="4" w:space="0" w:color="auto"/>
              <w:bottom w:val="single" w:sz="4" w:space="0" w:color="auto"/>
              <w:right w:val="single" w:sz="4" w:space="0" w:color="auto"/>
            </w:tcBorders>
          </w:tcPr>
          <w:p w14:paraId="7E4C49EA" w14:textId="77777777" w:rsidR="00073F8F" w:rsidRPr="001B4A02" w:rsidRDefault="00000000" w:rsidP="00603F6E">
            <w:pPr>
              <w:keepNext/>
              <w:ind w:left="0" w:firstLine="0"/>
              <w:jc w:val="center"/>
              <w:rPr>
                <w:del w:id="5523" w:author="AbbVie1" w:date="2025-05-13T09:50:00Z"/>
                <w:szCs w:val="22"/>
              </w:rPr>
            </w:pPr>
            <w:del w:id="5524" w:author="AbbVie1" w:date="2025-05-13T09:50:00Z">
              <w:r w:rsidRPr="001B4A02">
                <w:rPr>
                  <w:szCs w:val="22"/>
                </w:rPr>
                <w:delText>NA</w:delText>
              </w:r>
            </w:del>
          </w:p>
        </w:tc>
        <w:tc>
          <w:tcPr>
            <w:tcW w:w="1060" w:type="dxa"/>
            <w:tcBorders>
              <w:top w:val="single" w:sz="4" w:space="0" w:color="auto"/>
              <w:left w:val="single" w:sz="4" w:space="0" w:color="auto"/>
              <w:bottom w:val="single" w:sz="4" w:space="0" w:color="auto"/>
              <w:right w:val="single" w:sz="4" w:space="0" w:color="auto"/>
            </w:tcBorders>
          </w:tcPr>
          <w:p w14:paraId="4FBC9B61" w14:textId="77777777" w:rsidR="00073F8F" w:rsidRPr="001B4A02" w:rsidRDefault="00000000" w:rsidP="00603F6E">
            <w:pPr>
              <w:keepNext/>
              <w:ind w:left="0" w:firstLine="0"/>
              <w:jc w:val="center"/>
              <w:rPr>
                <w:del w:id="5525" w:author="AbbVie1" w:date="2025-05-13T09:50:00Z"/>
                <w:szCs w:val="22"/>
              </w:rPr>
            </w:pPr>
            <w:del w:id="5526" w:author="AbbVie1" w:date="2025-05-13T09:50:00Z">
              <w:r w:rsidRPr="001B4A02">
                <w:rPr>
                  <w:szCs w:val="22"/>
                </w:rPr>
                <w:delText>NA</w:delText>
              </w:r>
            </w:del>
          </w:p>
        </w:tc>
        <w:tc>
          <w:tcPr>
            <w:tcW w:w="1066" w:type="dxa"/>
            <w:tcBorders>
              <w:top w:val="single" w:sz="4" w:space="0" w:color="auto"/>
              <w:left w:val="single" w:sz="4" w:space="0" w:color="auto"/>
              <w:bottom w:val="single" w:sz="4" w:space="0" w:color="auto"/>
              <w:right w:val="single" w:sz="4" w:space="0" w:color="auto"/>
            </w:tcBorders>
          </w:tcPr>
          <w:p w14:paraId="11A1BE5E" w14:textId="77777777" w:rsidR="00073F8F" w:rsidRPr="001B4A02" w:rsidRDefault="00000000" w:rsidP="00603F6E">
            <w:pPr>
              <w:keepNext/>
              <w:ind w:left="0" w:firstLine="0"/>
              <w:jc w:val="center"/>
              <w:rPr>
                <w:del w:id="5527" w:author="AbbVie1" w:date="2025-05-13T09:50:00Z"/>
                <w:szCs w:val="22"/>
              </w:rPr>
            </w:pPr>
            <w:del w:id="5528" w:author="AbbVie1" w:date="2025-05-13T09:50:00Z">
              <w:r w:rsidRPr="001B4A02">
                <w:rPr>
                  <w:szCs w:val="22"/>
                </w:rPr>
                <w:delText>NA</w:delText>
              </w:r>
            </w:del>
          </w:p>
        </w:tc>
        <w:tc>
          <w:tcPr>
            <w:tcW w:w="1486" w:type="dxa"/>
            <w:tcBorders>
              <w:top w:val="single" w:sz="4" w:space="0" w:color="auto"/>
              <w:left w:val="single" w:sz="4" w:space="0" w:color="auto"/>
              <w:bottom w:val="single" w:sz="4" w:space="0" w:color="auto"/>
              <w:right w:val="single" w:sz="4" w:space="0" w:color="auto"/>
            </w:tcBorders>
          </w:tcPr>
          <w:p w14:paraId="0510E5BB" w14:textId="77777777" w:rsidR="00073F8F" w:rsidRPr="001B4A02" w:rsidRDefault="00000000" w:rsidP="00603F6E">
            <w:pPr>
              <w:keepNext/>
              <w:ind w:left="0" w:firstLine="0"/>
              <w:jc w:val="center"/>
              <w:rPr>
                <w:del w:id="5529" w:author="AbbVie1" w:date="2025-05-13T09:50:00Z"/>
                <w:szCs w:val="22"/>
              </w:rPr>
            </w:pPr>
            <w:del w:id="5530" w:author="AbbVie1" w:date="2025-05-13T09:50:00Z">
              <w:r w:rsidRPr="001B4A02">
                <w:rPr>
                  <w:szCs w:val="22"/>
                </w:rPr>
                <w:delText>9,5</w:delText>
              </w:r>
              <w:r w:rsidR="009C5EAC" w:rsidRPr="001B4A02">
                <w:delText> </w:delText>
              </w:r>
              <w:r w:rsidRPr="001B4A02">
                <w:rPr>
                  <w:szCs w:val="22"/>
                </w:rPr>
                <w:delText>%</w:delText>
              </w:r>
            </w:del>
          </w:p>
        </w:tc>
        <w:tc>
          <w:tcPr>
            <w:tcW w:w="1491" w:type="dxa"/>
            <w:tcBorders>
              <w:top w:val="single" w:sz="4" w:space="0" w:color="auto"/>
              <w:left w:val="single" w:sz="4" w:space="0" w:color="auto"/>
              <w:bottom w:val="single" w:sz="4" w:space="0" w:color="auto"/>
              <w:right w:val="single" w:sz="4" w:space="0" w:color="auto"/>
            </w:tcBorders>
          </w:tcPr>
          <w:p w14:paraId="7449F8A5" w14:textId="77777777" w:rsidR="00073F8F" w:rsidRPr="001B4A02" w:rsidRDefault="00000000" w:rsidP="00603F6E">
            <w:pPr>
              <w:keepNext/>
              <w:ind w:left="0" w:firstLine="0"/>
              <w:jc w:val="center"/>
              <w:rPr>
                <w:del w:id="5531" w:author="AbbVie1" w:date="2025-05-13T09:50:00Z"/>
                <w:szCs w:val="22"/>
              </w:rPr>
            </w:pPr>
            <w:del w:id="5532" w:author="AbbVie1" w:date="2025-05-13T09:50:00Z">
              <w:r w:rsidRPr="001B4A02">
                <w:rPr>
                  <w:szCs w:val="22"/>
                </w:rPr>
                <w:delText>41,5</w:delText>
              </w:r>
              <w:r w:rsidR="009C5EAC" w:rsidRPr="001B4A02">
                <w:delText> </w:delText>
              </w:r>
              <w:r w:rsidRPr="001B4A02">
                <w:rPr>
                  <w:szCs w:val="22"/>
                </w:rPr>
                <w:delText>%</w:delText>
              </w:r>
            </w:del>
          </w:p>
        </w:tc>
      </w:tr>
      <w:tr w:rsidR="00534A2D" w14:paraId="50364174" w14:textId="77777777" w:rsidTr="008D783A">
        <w:trPr>
          <w:cantSplit/>
          <w:del w:id="5533" w:author="AbbVie1" w:date="2025-05-13T09:50:00Z"/>
        </w:trPr>
        <w:tc>
          <w:tcPr>
            <w:tcW w:w="1080" w:type="dxa"/>
            <w:tcBorders>
              <w:top w:val="single" w:sz="4" w:space="0" w:color="auto"/>
              <w:left w:val="single" w:sz="4" w:space="0" w:color="auto"/>
              <w:bottom w:val="single" w:sz="4" w:space="0" w:color="auto"/>
              <w:right w:val="single" w:sz="4" w:space="0" w:color="auto"/>
            </w:tcBorders>
          </w:tcPr>
          <w:p w14:paraId="7F86B58A" w14:textId="77777777" w:rsidR="00073F8F" w:rsidRPr="001B4A02" w:rsidRDefault="00000000" w:rsidP="00603F6E">
            <w:pPr>
              <w:keepNext/>
              <w:ind w:left="0" w:firstLine="0"/>
              <w:rPr>
                <w:del w:id="5534" w:author="AbbVie1" w:date="2025-05-13T09:50:00Z"/>
                <w:szCs w:val="22"/>
              </w:rPr>
            </w:pPr>
            <w:del w:id="5535" w:author="AbbVie1" w:date="2025-05-13T09:50:00Z">
              <w:r w:rsidRPr="001B4A02">
                <w:rPr>
                  <w:noProof/>
                  <w:szCs w:val="22"/>
                  <w:lang w:val="en-US"/>
                </w:rPr>
                <mc:AlternateContent>
                  <mc:Choice Requires="wps">
                    <w:drawing>
                      <wp:anchor distT="0" distB="0" distL="114300" distR="114300" simplePos="0" relativeHeight="251660288" behindDoc="0" locked="0" layoutInCell="0" allowOverlap="1" wp14:anchorId="1D63A062" wp14:editId="120C8E2B">
                        <wp:simplePos x="0" y="0"/>
                        <wp:positionH relativeFrom="column">
                          <wp:posOffset>-4972050</wp:posOffset>
                        </wp:positionH>
                        <wp:positionV relativeFrom="paragraph">
                          <wp:posOffset>38735</wp:posOffset>
                        </wp:positionV>
                        <wp:extent cx="3543300" cy="3429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D957F2" w14:textId="77777777" w:rsidR="008F1B0E" w:rsidRDefault="008F1B0E">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D63A062" id="Text Box 3" o:spid="_x0000_s1029" type="#_x0000_t202" style="position:absolute;margin-left:-391.5pt;margin-top:3.05pt;width:27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KgQsmeoBAAC3AwAADgAAAAAAAAAAAAAAAAAuAgAAZHJzL2Uyb0RvYy54&#10;bWxQSwECLQAUAAYACAAAACEAFQe2a94AAAAKAQAADwAAAAAAAAAAAAAAAABEBAAAZHJzL2Rvd25y&#10;ZXYueG1sUEsFBgAAAAAEAAQA8wAAAE8FAAAAAA==&#10;" o:allowincell="f" stroked="f">
                        <v:textbox>
                          <w:txbxContent>
                            <w:p w14:paraId="34D957F2" w14:textId="77777777" w:rsidR="008F1B0E" w:rsidRDefault="008F1B0E">
                              <w:pPr>
                                <w:rPr>
                                  <w:sz w:val="20"/>
                                </w:rPr>
                              </w:pPr>
                            </w:p>
                          </w:txbxContent>
                        </v:textbox>
                      </v:shape>
                    </w:pict>
                  </mc:Fallback>
                </mc:AlternateContent>
              </w:r>
              <w:r w:rsidR="00073F8F" w:rsidRPr="001B4A02">
                <w:rPr>
                  <w:szCs w:val="22"/>
                </w:rPr>
                <w:delText>ACR 70</w:delText>
              </w:r>
            </w:del>
          </w:p>
        </w:tc>
        <w:tc>
          <w:tcPr>
            <w:tcW w:w="1456" w:type="dxa"/>
            <w:tcBorders>
              <w:top w:val="single" w:sz="4" w:space="0" w:color="auto"/>
              <w:left w:val="single" w:sz="4" w:space="0" w:color="auto"/>
              <w:bottom w:val="single" w:sz="4" w:space="0" w:color="auto"/>
              <w:right w:val="single" w:sz="4" w:space="0" w:color="auto"/>
            </w:tcBorders>
          </w:tcPr>
          <w:p w14:paraId="6DEF5E2D" w14:textId="77777777" w:rsidR="00073F8F" w:rsidRPr="001B4A02" w:rsidRDefault="00073F8F" w:rsidP="00603F6E">
            <w:pPr>
              <w:keepNext/>
              <w:ind w:left="0" w:firstLine="0"/>
              <w:jc w:val="center"/>
              <w:rPr>
                <w:del w:id="5536" w:author="AbbVie1" w:date="2025-05-13T09:50:00Z"/>
                <w:szCs w:val="22"/>
              </w:rPr>
            </w:pPr>
          </w:p>
        </w:tc>
        <w:tc>
          <w:tcPr>
            <w:tcW w:w="1559" w:type="dxa"/>
            <w:tcBorders>
              <w:top w:val="single" w:sz="4" w:space="0" w:color="auto"/>
              <w:left w:val="single" w:sz="4" w:space="0" w:color="auto"/>
              <w:bottom w:val="single" w:sz="4" w:space="0" w:color="auto"/>
              <w:right w:val="single" w:sz="4" w:space="0" w:color="auto"/>
            </w:tcBorders>
          </w:tcPr>
          <w:p w14:paraId="12FCC5AF" w14:textId="77777777" w:rsidR="00073F8F" w:rsidRPr="001B4A02" w:rsidRDefault="00073F8F" w:rsidP="00603F6E">
            <w:pPr>
              <w:keepNext/>
              <w:ind w:left="0" w:firstLine="0"/>
              <w:jc w:val="center"/>
              <w:rPr>
                <w:del w:id="5537" w:author="AbbVie1" w:date="2025-05-13T09:50:00Z"/>
                <w:szCs w:val="22"/>
              </w:rPr>
            </w:pPr>
          </w:p>
        </w:tc>
        <w:tc>
          <w:tcPr>
            <w:tcW w:w="1060" w:type="dxa"/>
            <w:tcBorders>
              <w:top w:val="single" w:sz="4" w:space="0" w:color="auto"/>
              <w:left w:val="single" w:sz="4" w:space="0" w:color="auto"/>
              <w:bottom w:val="single" w:sz="4" w:space="0" w:color="auto"/>
              <w:right w:val="single" w:sz="4" w:space="0" w:color="auto"/>
            </w:tcBorders>
          </w:tcPr>
          <w:p w14:paraId="06387C41" w14:textId="77777777" w:rsidR="00073F8F" w:rsidRPr="001B4A02" w:rsidRDefault="00073F8F" w:rsidP="00603F6E">
            <w:pPr>
              <w:keepNext/>
              <w:ind w:left="0" w:firstLine="0"/>
              <w:jc w:val="center"/>
              <w:rPr>
                <w:del w:id="5538" w:author="AbbVie1" w:date="2025-05-13T09:50:00Z"/>
                <w:szCs w:val="22"/>
              </w:rPr>
            </w:pPr>
          </w:p>
        </w:tc>
        <w:tc>
          <w:tcPr>
            <w:tcW w:w="1066" w:type="dxa"/>
            <w:tcBorders>
              <w:top w:val="single" w:sz="4" w:space="0" w:color="auto"/>
              <w:left w:val="single" w:sz="4" w:space="0" w:color="auto"/>
              <w:bottom w:val="single" w:sz="4" w:space="0" w:color="auto"/>
              <w:right w:val="single" w:sz="4" w:space="0" w:color="auto"/>
            </w:tcBorders>
          </w:tcPr>
          <w:p w14:paraId="40038D80" w14:textId="77777777" w:rsidR="00073F8F" w:rsidRPr="001B4A02" w:rsidRDefault="00073F8F" w:rsidP="00603F6E">
            <w:pPr>
              <w:keepNext/>
              <w:ind w:left="0" w:firstLine="0"/>
              <w:jc w:val="center"/>
              <w:rPr>
                <w:del w:id="5539" w:author="AbbVie1" w:date="2025-05-13T09:50:00Z"/>
                <w:szCs w:val="22"/>
              </w:rPr>
            </w:pPr>
          </w:p>
        </w:tc>
        <w:tc>
          <w:tcPr>
            <w:tcW w:w="1486" w:type="dxa"/>
            <w:tcBorders>
              <w:top w:val="single" w:sz="4" w:space="0" w:color="auto"/>
              <w:left w:val="single" w:sz="4" w:space="0" w:color="auto"/>
              <w:bottom w:val="single" w:sz="4" w:space="0" w:color="auto"/>
              <w:right w:val="single" w:sz="4" w:space="0" w:color="auto"/>
            </w:tcBorders>
          </w:tcPr>
          <w:p w14:paraId="635830B4" w14:textId="77777777" w:rsidR="00073F8F" w:rsidRPr="001B4A02" w:rsidRDefault="00073F8F" w:rsidP="00603F6E">
            <w:pPr>
              <w:keepNext/>
              <w:ind w:left="0" w:firstLine="0"/>
              <w:jc w:val="center"/>
              <w:rPr>
                <w:del w:id="5540" w:author="AbbVie1" w:date="2025-05-13T09:50:00Z"/>
                <w:szCs w:val="22"/>
              </w:rPr>
            </w:pPr>
          </w:p>
        </w:tc>
        <w:tc>
          <w:tcPr>
            <w:tcW w:w="1491" w:type="dxa"/>
            <w:tcBorders>
              <w:top w:val="single" w:sz="4" w:space="0" w:color="auto"/>
              <w:left w:val="single" w:sz="4" w:space="0" w:color="auto"/>
              <w:bottom w:val="single" w:sz="4" w:space="0" w:color="auto"/>
              <w:right w:val="single" w:sz="4" w:space="0" w:color="auto"/>
            </w:tcBorders>
          </w:tcPr>
          <w:p w14:paraId="495154FD" w14:textId="77777777" w:rsidR="00073F8F" w:rsidRPr="001B4A02" w:rsidRDefault="00073F8F" w:rsidP="00603F6E">
            <w:pPr>
              <w:keepNext/>
              <w:ind w:left="0" w:firstLine="0"/>
              <w:jc w:val="center"/>
              <w:rPr>
                <w:del w:id="5541" w:author="AbbVie1" w:date="2025-05-13T09:50:00Z"/>
                <w:szCs w:val="22"/>
              </w:rPr>
            </w:pPr>
          </w:p>
        </w:tc>
      </w:tr>
      <w:tr w:rsidR="00534A2D" w14:paraId="5FFC7D28" w14:textId="77777777" w:rsidTr="008D783A">
        <w:trPr>
          <w:cantSplit/>
          <w:del w:id="5542" w:author="AbbVie1" w:date="2025-05-13T09:50:00Z"/>
        </w:trPr>
        <w:tc>
          <w:tcPr>
            <w:tcW w:w="1080" w:type="dxa"/>
            <w:tcBorders>
              <w:top w:val="single" w:sz="4" w:space="0" w:color="auto"/>
              <w:left w:val="single" w:sz="4" w:space="0" w:color="auto"/>
              <w:bottom w:val="single" w:sz="4" w:space="0" w:color="auto"/>
              <w:right w:val="single" w:sz="4" w:space="0" w:color="auto"/>
            </w:tcBorders>
          </w:tcPr>
          <w:p w14:paraId="4C79ED49" w14:textId="77777777" w:rsidR="00073F8F" w:rsidRPr="001B4A02" w:rsidRDefault="00000000" w:rsidP="00603F6E">
            <w:pPr>
              <w:keepNext/>
              <w:ind w:left="0" w:firstLine="0"/>
              <w:rPr>
                <w:del w:id="5543" w:author="AbbVie1" w:date="2025-05-13T09:50:00Z"/>
                <w:szCs w:val="22"/>
              </w:rPr>
            </w:pPr>
            <w:del w:id="5544" w:author="AbbVie1" w:date="2025-05-13T09:50:00Z">
              <w:r w:rsidRPr="001B4A02">
                <w:rPr>
                  <w:szCs w:val="22"/>
                </w:rPr>
                <w:delText xml:space="preserve">  6 měsíců</w:delText>
              </w:r>
            </w:del>
          </w:p>
        </w:tc>
        <w:tc>
          <w:tcPr>
            <w:tcW w:w="1456" w:type="dxa"/>
            <w:tcBorders>
              <w:top w:val="single" w:sz="4" w:space="0" w:color="auto"/>
              <w:left w:val="single" w:sz="4" w:space="0" w:color="auto"/>
              <w:bottom w:val="single" w:sz="4" w:space="0" w:color="auto"/>
              <w:right w:val="single" w:sz="4" w:space="0" w:color="auto"/>
            </w:tcBorders>
          </w:tcPr>
          <w:p w14:paraId="7C90E3CE" w14:textId="77777777" w:rsidR="00073F8F" w:rsidRPr="001B4A02" w:rsidRDefault="00000000" w:rsidP="00603F6E">
            <w:pPr>
              <w:keepNext/>
              <w:ind w:left="0" w:firstLine="0"/>
              <w:jc w:val="center"/>
              <w:rPr>
                <w:del w:id="5545" w:author="AbbVie1" w:date="2025-05-13T09:50:00Z"/>
                <w:szCs w:val="22"/>
              </w:rPr>
            </w:pPr>
            <w:del w:id="5546" w:author="AbbVie1" w:date="2025-05-13T09:50:00Z">
              <w:r w:rsidRPr="001B4A02">
                <w:rPr>
                  <w:szCs w:val="22"/>
                </w:rPr>
                <w:delText>3,3</w:delText>
              </w:r>
              <w:r w:rsidR="009C5EAC" w:rsidRPr="001B4A02">
                <w:delText> </w:delText>
              </w:r>
              <w:r w:rsidRPr="001B4A02">
                <w:rPr>
                  <w:szCs w:val="22"/>
                </w:rPr>
                <w:delText>%</w:delText>
              </w:r>
            </w:del>
          </w:p>
        </w:tc>
        <w:tc>
          <w:tcPr>
            <w:tcW w:w="1559" w:type="dxa"/>
            <w:tcBorders>
              <w:top w:val="single" w:sz="4" w:space="0" w:color="auto"/>
              <w:left w:val="single" w:sz="4" w:space="0" w:color="auto"/>
              <w:bottom w:val="single" w:sz="4" w:space="0" w:color="auto"/>
              <w:right w:val="single" w:sz="4" w:space="0" w:color="auto"/>
            </w:tcBorders>
          </w:tcPr>
          <w:p w14:paraId="5D805151" w14:textId="77777777" w:rsidR="00073F8F" w:rsidRPr="001B4A02" w:rsidRDefault="00000000" w:rsidP="00603F6E">
            <w:pPr>
              <w:keepNext/>
              <w:ind w:left="0" w:firstLine="0"/>
              <w:jc w:val="center"/>
              <w:rPr>
                <w:del w:id="5547" w:author="AbbVie1" w:date="2025-05-13T09:50:00Z"/>
                <w:szCs w:val="22"/>
              </w:rPr>
            </w:pPr>
            <w:del w:id="5548" w:author="AbbVie1" w:date="2025-05-13T09:50:00Z">
              <w:r w:rsidRPr="001B4A02">
                <w:rPr>
                  <w:szCs w:val="22"/>
                </w:rPr>
                <w:delText>23,8</w:delText>
              </w:r>
              <w:r w:rsidR="009C5EAC" w:rsidRPr="001B4A02">
                <w:delText> </w:delText>
              </w:r>
              <w:r w:rsidRPr="001B4A02">
                <w:rPr>
                  <w:szCs w:val="22"/>
                </w:rPr>
                <w:delText>%</w:delText>
              </w:r>
            </w:del>
          </w:p>
        </w:tc>
        <w:tc>
          <w:tcPr>
            <w:tcW w:w="1060" w:type="dxa"/>
            <w:tcBorders>
              <w:top w:val="single" w:sz="4" w:space="0" w:color="auto"/>
              <w:left w:val="single" w:sz="4" w:space="0" w:color="auto"/>
              <w:bottom w:val="single" w:sz="4" w:space="0" w:color="auto"/>
              <w:right w:val="single" w:sz="4" w:space="0" w:color="auto"/>
            </w:tcBorders>
          </w:tcPr>
          <w:p w14:paraId="1EBC7774" w14:textId="77777777" w:rsidR="00073F8F" w:rsidRPr="001B4A02" w:rsidRDefault="00000000" w:rsidP="00603F6E">
            <w:pPr>
              <w:keepNext/>
              <w:ind w:left="0" w:firstLine="0"/>
              <w:jc w:val="center"/>
              <w:rPr>
                <w:del w:id="5549" w:author="AbbVie1" w:date="2025-05-13T09:50:00Z"/>
                <w:szCs w:val="22"/>
              </w:rPr>
            </w:pPr>
            <w:del w:id="5550" w:author="AbbVie1" w:date="2025-05-13T09:50:00Z">
              <w:r w:rsidRPr="001B4A02">
                <w:rPr>
                  <w:szCs w:val="22"/>
                </w:rPr>
                <w:delText>1,8</w:delText>
              </w:r>
              <w:r w:rsidR="009C5EAC" w:rsidRPr="001B4A02">
                <w:delText> </w:delText>
              </w:r>
              <w:r w:rsidRPr="001B4A02">
                <w:rPr>
                  <w:szCs w:val="22"/>
                </w:rPr>
                <w:delText>%</w:delText>
              </w:r>
            </w:del>
          </w:p>
        </w:tc>
        <w:tc>
          <w:tcPr>
            <w:tcW w:w="1066" w:type="dxa"/>
            <w:tcBorders>
              <w:top w:val="single" w:sz="4" w:space="0" w:color="auto"/>
              <w:left w:val="single" w:sz="4" w:space="0" w:color="auto"/>
              <w:bottom w:val="single" w:sz="4" w:space="0" w:color="auto"/>
              <w:right w:val="single" w:sz="4" w:space="0" w:color="auto"/>
            </w:tcBorders>
          </w:tcPr>
          <w:p w14:paraId="3F3F6D9D" w14:textId="77777777" w:rsidR="00073F8F" w:rsidRPr="001B4A02" w:rsidRDefault="00000000" w:rsidP="00603F6E">
            <w:pPr>
              <w:keepNext/>
              <w:ind w:left="0" w:firstLine="0"/>
              <w:jc w:val="center"/>
              <w:rPr>
                <w:del w:id="5551" w:author="AbbVie1" w:date="2025-05-13T09:50:00Z"/>
                <w:szCs w:val="22"/>
              </w:rPr>
            </w:pPr>
            <w:del w:id="5552" w:author="AbbVie1" w:date="2025-05-13T09:50:00Z">
              <w:r w:rsidRPr="001B4A02">
                <w:rPr>
                  <w:szCs w:val="22"/>
                </w:rPr>
                <w:delText>12,4</w:delText>
              </w:r>
              <w:r w:rsidR="00965320">
                <w:delText> </w:delText>
              </w:r>
              <w:r w:rsidRPr="001B4A02">
                <w:rPr>
                  <w:szCs w:val="22"/>
                </w:rPr>
                <w:delText>%</w:delText>
              </w:r>
            </w:del>
          </w:p>
        </w:tc>
        <w:tc>
          <w:tcPr>
            <w:tcW w:w="1486" w:type="dxa"/>
            <w:tcBorders>
              <w:top w:val="single" w:sz="4" w:space="0" w:color="auto"/>
              <w:left w:val="single" w:sz="4" w:space="0" w:color="auto"/>
              <w:bottom w:val="single" w:sz="4" w:space="0" w:color="auto"/>
              <w:right w:val="single" w:sz="4" w:space="0" w:color="auto"/>
            </w:tcBorders>
          </w:tcPr>
          <w:p w14:paraId="7F5CFD05" w14:textId="77777777" w:rsidR="00073F8F" w:rsidRPr="001B4A02" w:rsidRDefault="00000000" w:rsidP="00603F6E">
            <w:pPr>
              <w:keepNext/>
              <w:ind w:left="0" w:firstLine="0"/>
              <w:jc w:val="center"/>
              <w:rPr>
                <w:del w:id="5553" w:author="AbbVie1" w:date="2025-05-13T09:50:00Z"/>
                <w:szCs w:val="22"/>
              </w:rPr>
            </w:pPr>
            <w:del w:id="5554" w:author="AbbVie1" w:date="2025-05-13T09:50:00Z">
              <w:r w:rsidRPr="001B4A02">
                <w:rPr>
                  <w:szCs w:val="22"/>
                </w:rPr>
                <w:delText>2,5</w:delText>
              </w:r>
              <w:r w:rsidR="009C5EAC" w:rsidRPr="001B4A02">
                <w:delText> </w:delText>
              </w:r>
              <w:r w:rsidRPr="001B4A02">
                <w:rPr>
                  <w:szCs w:val="22"/>
                </w:rPr>
                <w:delText>%</w:delText>
              </w:r>
            </w:del>
          </w:p>
        </w:tc>
        <w:tc>
          <w:tcPr>
            <w:tcW w:w="1491" w:type="dxa"/>
            <w:tcBorders>
              <w:top w:val="single" w:sz="4" w:space="0" w:color="auto"/>
              <w:left w:val="single" w:sz="4" w:space="0" w:color="auto"/>
              <w:bottom w:val="single" w:sz="4" w:space="0" w:color="auto"/>
              <w:right w:val="single" w:sz="4" w:space="0" w:color="auto"/>
            </w:tcBorders>
          </w:tcPr>
          <w:p w14:paraId="2D63929E" w14:textId="77777777" w:rsidR="00073F8F" w:rsidRPr="001B4A02" w:rsidRDefault="00000000" w:rsidP="00603F6E">
            <w:pPr>
              <w:keepNext/>
              <w:ind w:left="0" w:firstLine="0"/>
              <w:jc w:val="center"/>
              <w:rPr>
                <w:del w:id="5555" w:author="AbbVie1" w:date="2025-05-13T09:50:00Z"/>
                <w:szCs w:val="22"/>
              </w:rPr>
            </w:pPr>
            <w:del w:id="5556" w:author="AbbVie1" w:date="2025-05-13T09:50:00Z">
              <w:r w:rsidRPr="001B4A02">
                <w:rPr>
                  <w:szCs w:val="22"/>
                </w:rPr>
                <w:delText>20,8</w:delText>
              </w:r>
              <w:r w:rsidR="009C5EAC" w:rsidRPr="001B4A02">
                <w:delText> </w:delText>
              </w:r>
              <w:r w:rsidRPr="001B4A02">
                <w:rPr>
                  <w:szCs w:val="22"/>
                </w:rPr>
                <w:delText>%</w:delText>
              </w:r>
            </w:del>
          </w:p>
        </w:tc>
      </w:tr>
      <w:tr w:rsidR="00534A2D" w14:paraId="0EC844F4" w14:textId="77777777" w:rsidTr="008D783A">
        <w:trPr>
          <w:cantSplit/>
          <w:del w:id="5557" w:author="AbbVie1" w:date="2025-05-13T09:50:00Z"/>
        </w:trPr>
        <w:tc>
          <w:tcPr>
            <w:tcW w:w="1080" w:type="dxa"/>
            <w:tcBorders>
              <w:top w:val="single" w:sz="4" w:space="0" w:color="auto"/>
              <w:left w:val="single" w:sz="4" w:space="0" w:color="auto"/>
              <w:bottom w:val="single" w:sz="4" w:space="0" w:color="auto"/>
              <w:right w:val="single" w:sz="4" w:space="0" w:color="auto"/>
            </w:tcBorders>
          </w:tcPr>
          <w:p w14:paraId="745A457D" w14:textId="77777777" w:rsidR="00073F8F" w:rsidRPr="001B4A02" w:rsidRDefault="00000000" w:rsidP="00603F6E">
            <w:pPr>
              <w:keepNext/>
              <w:ind w:left="0" w:firstLine="0"/>
              <w:rPr>
                <w:del w:id="5558" w:author="AbbVie1" w:date="2025-05-13T09:50:00Z"/>
                <w:szCs w:val="22"/>
              </w:rPr>
            </w:pPr>
            <w:del w:id="5559" w:author="AbbVie1" w:date="2025-05-13T09:50:00Z">
              <w:r w:rsidRPr="001B4A02">
                <w:rPr>
                  <w:szCs w:val="22"/>
                </w:rPr>
                <w:delText xml:space="preserve">  12 měsíců</w:delText>
              </w:r>
            </w:del>
          </w:p>
        </w:tc>
        <w:tc>
          <w:tcPr>
            <w:tcW w:w="1456" w:type="dxa"/>
            <w:tcBorders>
              <w:top w:val="single" w:sz="4" w:space="0" w:color="auto"/>
              <w:left w:val="single" w:sz="4" w:space="0" w:color="auto"/>
              <w:bottom w:val="single" w:sz="4" w:space="0" w:color="auto"/>
              <w:right w:val="single" w:sz="4" w:space="0" w:color="auto"/>
            </w:tcBorders>
          </w:tcPr>
          <w:p w14:paraId="4628C412" w14:textId="77777777" w:rsidR="00073F8F" w:rsidRPr="001B4A02" w:rsidRDefault="00000000" w:rsidP="00603F6E">
            <w:pPr>
              <w:keepNext/>
              <w:ind w:left="0" w:firstLine="0"/>
              <w:jc w:val="center"/>
              <w:rPr>
                <w:del w:id="5560" w:author="AbbVie1" w:date="2025-05-13T09:50:00Z"/>
                <w:szCs w:val="22"/>
              </w:rPr>
            </w:pPr>
            <w:del w:id="5561" w:author="AbbVie1" w:date="2025-05-13T09:50:00Z">
              <w:r w:rsidRPr="001B4A02">
                <w:rPr>
                  <w:szCs w:val="22"/>
                </w:rPr>
                <w:delText>NA</w:delText>
              </w:r>
            </w:del>
          </w:p>
        </w:tc>
        <w:tc>
          <w:tcPr>
            <w:tcW w:w="1559" w:type="dxa"/>
            <w:tcBorders>
              <w:top w:val="single" w:sz="4" w:space="0" w:color="auto"/>
              <w:left w:val="single" w:sz="4" w:space="0" w:color="auto"/>
              <w:bottom w:val="single" w:sz="4" w:space="0" w:color="auto"/>
              <w:right w:val="single" w:sz="4" w:space="0" w:color="auto"/>
            </w:tcBorders>
          </w:tcPr>
          <w:p w14:paraId="24F6C387" w14:textId="77777777" w:rsidR="00073F8F" w:rsidRPr="001B4A02" w:rsidRDefault="00000000" w:rsidP="00603F6E">
            <w:pPr>
              <w:keepNext/>
              <w:ind w:left="0" w:firstLine="0"/>
              <w:jc w:val="center"/>
              <w:rPr>
                <w:del w:id="5562" w:author="AbbVie1" w:date="2025-05-13T09:50:00Z"/>
                <w:szCs w:val="22"/>
              </w:rPr>
            </w:pPr>
            <w:del w:id="5563" w:author="AbbVie1" w:date="2025-05-13T09:50:00Z">
              <w:r w:rsidRPr="001B4A02">
                <w:rPr>
                  <w:szCs w:val="22"/>
                </w:rPr>
                <w:delText>NA</w:delText>
              </w:r>
            </w:del>
          </w:p>
        </w:tc>
        <w:tc>
          <w:tcPr>
            <w:tcW w:w="1060" w:type="dxa"/>
            <w:tcBorders>
              <w:top w:val="single" w:sz="4" w:space="0" w:color="auto"/>
              <w:left w:val="single" w:sz="4" w:space="0" w:color="auto"/>
              <w:bottom w:val="single" w:sz="4" w:space="0" w:color="auto"/>
              <w:right w:val="single" w:sz="4" w:space="0" w:color="auto"/>
            </w:tcBorders>
          </w:tcPr>
          <w:p w14:paraId="29B7D57B" w14:textId="77777777" w:rsidR="00073F8F" w:rsidRPr="001B4A02" w:rsidRDefault="00000000" w:rsidP="00603F6E">
            <w:pPr>
              <w:keepNext/>
              <w:ind w:left="0" w:firstLine="0"/>
              <w:jc w:val="center"/>
              <w:rPr>
                <w:del w:id="5564" w:author="AbbVie1" w:date="2025-05-13T09:50:00Z"/>
                <w:szCs w:val="22"/>
              </w:rPr>
            </w:pPr>
            <w:del w:id="5565" w:author="AbbVie1" w:date="2025-05-13T09:50:00Z">
              <w:r w:rsidRPr="001B4A02">
                <w:rPr>
                  <w:szCs w:val="22"/>
                </w:rPr>
                <w:delText>NA</w:delText>
              </w:r>
            </w:del>
          </w:p>
        </w:tc>
        <w:tc>
          <w:tcPr>
            <w:tcW w:w="1066" w:type="dxa"/>
            <w:tcBorders>
              <w:top w:val="single" w:sz="4" w:space="0" w:color="auto"/>
              <w:left w:val="single" w:sz="4" w:space="0" w:color="auto"/>
              <w:bottom w:val="single" w:sz="4" w:space="0" w:color="auto"/>
              <w:right w:val="single" w:sz="4" w:space="0" w:color="auto"/>
            </w:tcBorders>
          </w:tcPr>
          <w:p w14:paraId="0C859572" w14:textId="77777777" w:rsidR="00073F8F" w:rsidRPr="001B4A02" w:rsidRDefault="00000000" w:rsidP="00603F6E">
            <w:pPr>
              <w:keepNext/>
              <w:ind w:left="0" w:firstLine="0"/>
              <w:jc w:val="center"/>
              <w:rPr>
                <w:del w:id="5566" w:author="AbbVie1" w:date="2025-05-13T09:50:00Z"/>
                <w:szCs w:val="22"/>
              </w:rPr>
            </w:pPr>
            <w:del w:id="5567" w:author="AbbVie1" w:date="2025-05-13T09:50:00Z">
              <w:r w:rsidRPr="001B4A02">
                <w:rPr>
                  <w:szCs w:val="22"/>
                </w:rPr>
                <w:delText>NA</w:delText>
              </w:r>
            </w:del>
          </w:p>
        </w:tc>
        <w:tc>
          <w:tcPr>
            <w:tcW w:w="1486" w:type="dxa"/>
            <w:tcBorders>
              <w:top w:val="single" w:sz="4" w:space="0" w:color="auto"/>
              <w:left w:val="single" w:sz="4" w:space="0" w:color="auto"/>
              <w:bottom w:val="single" w:sz="4" w:space="0" w:color="auto"/>
              <w:right w:val="single" w:sz="4" w:space="0" w:color="auto"/>
            </w:tcBorders>
          </w:tcPr>
          <w:p w14:paraId="7BC2EE02" w14:textId="77777777" w:rsidR="00073F8F" w:rsidRPr="001B4A02" w:rsidRDefault="00000000" w:rsidP="00603F6E">
            <w:pPr>
              <w:keepNext/>
              <w:ind w:left="0" w:firstLine="0"/>
              <w:jc w:val="center"/>
              <w:rPr>
                <w:del w:id="5568" w:author="AbbVie1" w:date="2025-05-13T09:50:00Z"/>
                <w:szCs w:val="22"/>
              </w:rPr>
            </w:pPr>
            <w:del w:id="5569" w:author="AbbVie1" w:date="2025-05-13T09:50:00Z">
              <w:r w:rsidRPr="001B4A02">
                <w:rPr>
                  <w:szCs w:val="22"/>
                </w:rPr>
                <w:delText>4,5</w:delText>
              </w:r>
              <w:r w:rsidR="009C5EAC" w:rsidRPr="001B4A02">
                <w:delText> </w:delText>
              </w:r>
              <w:r w:rsidRPr="001B4A02">
                <w:rPr>
                  <w:szCs w:val="22"/>
                </w:rPr>
                <w:delText>%</w:delText>
              </w:r>
            </w:del>
          </w:p>
        </w:tc>
        <w:tc>
          <w:tcPr>
            <w:tcW w:w="1491" w:type="dxa"/>
            <w:tcBorders>
              <w:top w:val="single" w:sz="4" w:space="0" w:color="auto"/>
              <w:left w:val="single" w:sz="4" w:space="0" w:color="auto"/>
              <w:bottom w:val="single" w:sz="4" w:space="0" w:color="auto"/>
              <w:right w:val="single" w:sz="4" w:space="0" w:color="auto"/>
            </w:tcBorders>
          </w:tcPr>
          <w:p w14:paraId="0031BA64" w14:textId="77777777" w:rsidR="00073F8F" w:rsidRPr="001B4A02" w:rsidRDefault="00000000" w:rsidP="00603F6E">
            <w:pPr>
              <w:keepNext/>
              <w:ind w:left="0" w:firstLine="0"/>
              <w:jc w:val="center"/>
              <w:rPr>
                <w:del w:id="5570" w:author="AbbVie1" w:date="2025-05-13T09:50:00Z"/>
                <w:szCs w:val="22"/>
              </w:rPr>
            </w:pPr>
            <w:del w:id="5571" w:author="AbbVie1" w:date="2025-05-13T09:50:00Z">
              <w:r w:rsidRPr="001B4A02">
                <w:rPr>
                  <w:szCs w:val="22"/>
                </w:rPr>
                <w:delText>23,2</w:delText>
              </w:r>
              <w:r w:rsidR="009C5EAC" w:rsidRPr="001B4A02">
                <w:delText> </w:delText>
              </w:r>
              <w:r w:rsidRPr="001B4A02">
                <w:rPr>
                  <w:szCs w:val="22"/>
                </w:rPr>
                <w:delText>%</w:delText>
              </w:r>
            </w:del>
          </w:p>
        </w:tc>
      </w:tr>
      <w:tr w:rsidR="00534A2D" w14:paraId="79DCB002" w14:textId="77777777" w:rsidTr="008D783A">
        <w:trPr>
          <w:cantSplit/>
          <w:del w:id="5572" w:author="AbbVie1" w:date="2025-05-13T09:50:00Z"/>
        </w:trPr>
        <w:tc>
          <w:tcPr>
            <w:tcW w:w="9198" w:type="dxa"/>
            <w:gridSpan w:val="7"/>
            <w:tcBorders>
              <w:top w:val="single" w:sz="4" w:space="0" w:color="auto"/>
            </w:tcBorders>
          </w:tcPr>
          <w:p w14:paraId="340A0814" w14:textId="77777777" w:rsidR="00073F8F" w:rsidRPr="001B4A02" w:rsidRDefault="00000000" w:rsidP="00603F6E">
            <w:pPr>
              <w:keepNext/>
              <w:ind w:left="0" w:firstLine="0"/>
              <w:rPr>
                <w:del w:id="5573" w:author="AbbVie1" w:date="2025-05-13T09:50:00Z"/>
                <w:sz w:val="20"/>
              </w:rPr>
            </w:pPr>
            <w:del w:id="5574" w:author="AbbVie1" w:date="2025-05-13T09:50:00Z">
              <w:r w:rsidRPr="001B4A02">
                <w:rPr>
                  <w:szCs w:val="22"/>
                  <w:vertAlign w:val="superscript"/>
                </w:rPr>
                <w:delText>a</w:delText>
              </w:r>
              <w:r w:rsidRPr="001B4A02">
                <w:rPr>
                  <w:szCs w:val="22"/>
                </w:rPr>
                <w:delText xml:space="preserve"> </w:delText>
              </w:r>
              <w:r w:rsidRPr="001B4A02">
                <w:rPr>
                  <w:sz w:val="20"/>
                </w:rPr>
                <w:delText>Studie RA I za 24 týdnů, Studie RA II za 26 týdnů</w:delText>
              </w:r>
              <w:r w:rsidR="002378E0">
                <w:rPr>
                  <w:sz w:val="20"/>
                </w:rPr>
                <w:delText xml:space="preserve"> a </w:delText>
              </w:r>
              <w:r w:rsidRPr="001B4A02">
                <w:rPr>
                  <w:sz w:val="20"/>
                </w:rPr>
                <w:delText>Studie RA III za 24</w:delText>
              </w:r>
              <w:r w:rsidR="002378E0">
                <w:rPr>
                  <w:sz w:val="20"/>
                </w:rPr>
                <w:delText xml:space="preserve"> a </w:delText>
              </w:r>
              <w:r w:rsidRPr="001B4A02">
                <w:rPr>
                  <w:sz w:val="20"/>
                </w:rPr>
                <w:delText>52 týdnů</w:delText>
              </w:r>
            </w:del>
          </w:p>
          <w:p w14:paraId="7FE4BB63" w14:textId="77777777" w:rsidR="00073F8F" w:rsidRPr="001B4A02" w:rsidRDefault="00000000" w:rsidP="00603F6E">
            <w:pPr>
              <w:keepNext/>
              <w:ind w:left="0" w:firstLine="0"/>
              <w:rPr>
                <w:del w:id="5575" w:author="AbbVie1" w:date="2025-05-13T09:50:00Z"/>
                <w:sz w:val="20"/>
              </w:rPr>
            </w:pPr>
            <w:del w:id="5576" w:author="AbbVie1" w:date="2025-05-13T09:50:00Z">
              <w:r w:rsidRPr="001B4A02">
                <w:rPr>
                  <w:sz w:val="20"/>
                  <w:vertAlign w:val="superscript"/>
                </w:rPr>
                <w:delText>b</w:delText>
              </w:r>
              <w:r w:rsidRPr="001B4A02">
                <w:rPr>
                  <w:sz w:val="20"/>
                </w:rPr>
                <w:delText xml:space="preserve"> přípravek Humira 40 mg podávaný každý druhý týden</w:delText>
              </w:r>
            </w:del>
          </w:p>
          <w:p w14:paraId="04F5CC5D" w14:textId="77777777" w:rsidR="00073F8F" w:rsidRPr="001B4A02" w:rsidRDefault="00000000" w:rsidP="00603F6E">
            <w:pPr>
              <w:keepNext/>
              <w:ind w:left="0" w:firstLine="0"/>
              <w:rPr>
                <w:del w:id="5577" w:author="AbbVie1" w:date="2025-05-13T09:50:00Z"/>
                <w:sz w:val="20"/>
              </w:rPr>
            </w:pPr>
            <w:del w:id="5578" w:author="AbbVie1" w:date="2025-05-13T09:50:00Z">
              <w:r w:rsidRPr="001B4A02">
                <w:rPr>
                  <w:sz w:val="20"/>
                  <w:vertAlign w:val="superscript"/>
                </w:rPr>
                <w:delText>c</w:delText>
              </w:r>
              <w:r w:rsidRPr="001B4A02">
                <w:rPr>
                  <w:sz w:val="20"/>
                </w:rPr>
                <w:delText xml:space="preserve"> MTX = methotrexát</w:delText>
              </w:r>
            </w:del>
          </w:p>
          <w:p w14:paraId="64ADC7F3" w14:textId="77777777" w:rsidR="00073F8F" w:rsidRPr="001B4A02" w:rsidRDefault="00000000" w:rsidP="00603F6E">
            <w:pPr>
              <w:keepNext/>
              <w:ind w:left="0" w:firstLine="0"/>
              <w:rPr>
                <w:del w:id="5579" w:author="AbbVie1" w:date="2025-05-13T09:50:00Z"/>
                <w:szCs w:val="22"/>
              </w:rPr>
            </w:pPr>
            <w:del w:id="5580" w:author="AbbVie1" w:date="2025-05-13T09:50:00Z">
              <w:r w:rsidRPr="001B4A02">
                <w:rPr>
                  <w:sz w:val="20"/>
                </w:rPr>
                <w:delText xml:space="preserve">**p&lt;0,01, </w:delText>
              </w:r>
              <w:r w:rsidR="004C58C9" w:rsidRPr="001B4A02">
                <w:rPr>
                  <w:sz w:val="20"/>
                </w:rPr>
                <w:delText xml:space="preserve">přípravek </w:delText>
              </w:r>
              <w:r w:rsidRPr="001B4A02">
                <w:rPr>
                  <w:sz w:val="20"/>
                </w:rPr>
                <w:delText>Humira versus placebo</w:delText>
              </w:r>
            </w:del>
          </w:p>
        </w:tc>
      </w:tr>
    </w:tbl>
    <w:p w14:paraId="22592ACC" w14:textId="77777777" w:rsidR="00073F8F" w:rsidRPr="001B4A02" w:rsidRDefault="00073F8F" w:rsidP="00603F6E">
      <w:pPr>
        <w:ind w:left="0" w:firstLine="0"/>
        <w:rPr>
          <w:del w:id="5581" w:author="AbbVie1" w:date="2025-05-13T09:50:00Z"/>
        </w:rPr>
      </w:pPr>
    </w:p>
    <w:p w14:paraId="51CBA781" w14:textId="77777777" w:rsidR="00073F8F" w:rsidRPr="001B4A02" w:rsidRDefault="00000000" w:rsidP="00ED48A3">
      <w:pPr>
        <w:ind w:left="0" w:firstLine="0"/>
        <w:rPr>
          <w:del w:id="5582" w:author="AbbVie1" w:date="2025-05-13T09:50:00Z"/>
        </w:rPr>
      </w:pPr>
      <w:del w:id="5583" w:author="AbbVie1" w:date="2025-05-13T09:50:00Z">
        <w:r w:rsidRPr="001B4A02">
          <w:delText>Ve studiích RA I</w:delText>
        </w:r>
        <w:r w:rsidR="000E3459" w:rsidRPr="001B4A02">
          <w:delText>–</w:delText>
        </w:r>
        <w:r w:rsidRPr="001B4A02">
          <w:delText>IV došlo po 24</w:delText>
        </w:r>
        <w:r w:rsidR="002378E0">
          <w:delText xml:space="preserve"> a </w:delText>
        </w:r>
        <w:r w:rsidRPr="001B4A02">
          <w:delText>26 týdnech léčby v porovnání s placebem ke zlepšení všech jednotlivých složek kritérií odpovědi ACR (počet bolestivých</w:delText>
        </w:r>
        <w:r w:rsidR="002378E0">
          <w:delText xml:space="preserve"> a </w:delText>
        </w:r>
        <w:r w:rsidRPr="001B4A02">
          <w:delText>oteklých kloubů, hodnocení aktivity onemocnění</w:delText>
        </w:r>
        <w:r w:rsidR="002378E0">
          <w:delText xml:space="preserve"> a </w:delText>
        </w:r>
        <w:r w:rsidRPr="001B4A02">
          <w:delText>bolesti lékařem</w:delText>
        </w:r>
        <w:r w:rsidR="002378E0">
          <w:delText xml:space="preserve"> a </w:delText>
        </w:r>
        <w:r w:rsidRPr="001B4A02">
          <w:delText>pacientem, skóre indexu disability (HAQ)</w:delText>
        </w:r>
        <w:r w:rsidR="002378E0">
          <w:delText xml:space="preserve"> a </w:delText>
        </w:r>
        <w:r w:rsidRPr="001B4A02">
          <w:delText>hodnoty CRP (mg/dl)). Ve studii RA III toto zlepšení přetrvávalo po dobu 52 týdnů.</w:delText>
        </w:r>
      </w:del>
    </w:p>
    <w:p w14:paraId="0CE5E013" w14:textId="77777777" w:rsidR="00C45C38" w:rsidRPr="001B4A02" w:rsidRDefault="00C45C38" w:rsidP="00ED48A3">
      <w:pPr>
        <w:ind w:left="0" w:firstLine="0"/>
        <w:rPr>
          <w:del w:id="5584" w:author="AbbVie1" w:date="2025-05-13T09:50:00Z"/>
          <w:szCs w:val="22"/>
        </w:rPr>
      </w:pPr>
    </w:p>
    <w:p w14:paraId="69D1F511" w14:textId="77777777" w:rsidR="00073F8F" w:rsidRPr="001B4A02" w:rsidRDefault="00000000" w:rsidP="00ED48A3">
      <w:pPr>
        <w:ind w:left="0" w:firstLine="0"/>
        <w:rPr>
          <w:del w:id="5585" w:author="AbbVie1" w:date="2025-05-13T09:50:00Z"/>
        </w:rPr>
      </w:pPr>
      <w:del w:id="5586" w:author="AbbVie1" w:date="2025-05-13T09:50:00Z">
        <w:r w:rsidRPr="001B4A02">
          <w:rPr>
            <w:szCs w:val="22"/>
          </w:rPr>
          <w:delText xml:space="preserve">V otevřené prodloužené studii </w:delText>
        </w:r>
        <w:r w:rsidR="005E6DCE" w:rsidRPr="00FA0236">
          <w:rPr>
            <w:szCs w:val="22"/>
          </w:rPr>
          <w:delText>RA III</w:delText>
        </w:r>
        <w:r w:rsidRPr="00FA0236">
          <w:rPr>
            <w:szCs w:val="22"/>
          </w:rPr>
          <w:delText xml:space="preserve"> si</w:delText>
        </w:r>
        <w:r w:rsidRPr="001B4A02">
          <w:rPr>
            <w:szCs w:val="22"/>
          </w:rPr>
          <w:delText xml:space="preserve"> většina pacientů, kteří dosáhli odpovědi dle ACR</w:delText>
        </w:r>
        <w:r w:rsidR="00BD7627" w:rsidRPr="001B4A02">
          <w:rPr>
            <w:szCs w:val="22"/>
          </w:rPr>
          <w:delText>,</w:delText>
        </w:r>
        <w:r w:rsidRPr="001B4A02">
          <w:rPr>
            <w:szCs w:val="22"/>
          </w:rPr>
          <w:delText xml:space="preserve"> udržela odpověď v trvání až 10 let. Z celkového počtu 207 pacientů</w:delText>
        </w:r>
        <w:r w:rsidR="00BA55E0" w:rsidRPr="001B4A02">
          <w:rPr>
            <w:szCs w:val="22"/>
          </w:rPr>
          <w:delText xml:space="preserve">, kteří byli randomizováni na </w:delText>
        </w:r>
        <w:r w:rsidR="00140D08" w:rsidRPr="001B4A02">
          <w:rPr>
            <w:szCs w:val="22"/>
          </w:rPr>
          <w:delText xml:space="preserve">přípravek </w:delText>
        </w:r>
        <w:r w:rsidR="00BA55E0" w:rsidRPr="001B4A02">
          <w:rPr>
            <w:szCs w:val="22"/>
          </w:rPr>
          <w:delText>Humir</w:delText>
        </w:r>
        <w:r w:rsidR="00140D08" w:rsidRPr="001B4A02">
          <w:rPr>
            <w:szCs w:val="22"/>
          </w:rPr>
          <w:delText>a</w:delText>
        </w:r>
        <w:r w:rsidR="00BA55E0" w:rsidRPr="001B4A02">
          <w:rPr>
            <w:szCs w:val="22"/>
          </w:rPr>
          <w:delText xml:space="preserve"> 40</w:delText>
        </w:r>
        <w:r w:rsidR="00294902">
          <w:rPr>
            <w:szCs w:val="22"/>
          </w:rPr>
          <w:delText> mg</w:delText>
        </w:r>
        <w:r w:rsidR="00BA55E0" w:rsidRPr="001B4A02">
          <w:rPr>
            <w:szCs w:val="22"/>
          </w:rPr>
          <w:delText xml:space="preserve"> každý druhý týden, </w:delText>
        </w:r>
        <w:r w:rsidRPr="001B4A02">
          <w:rPr>
            <w:szCs w:val="22"/>
          </w:rPr>
          <w:delText>jich 114 pokračovalo v léčbě přípravkem Humira ka</w:delText>
        </w:r>
        <w:r w:rsidR="00062315" w:rsidRPr="001B4A02">
          <w:rPr>
            <w:szCs w:val="22"/>
          </w:rPr>
          <w:delText xml:space="preserve">ždý druhý týden po dobu 5 let. </w:delText>
        </w:r>
        <w:r w:rsidRPr="001B4A02">
          <w:rPr>
            <w:szCs w:val="22"/>
          </w:rPr>
          <w:delText>Z těchto pacientů 86 (75,4</w:delText>
        </w:r>
        <w:r w:rsidR="006008CB">
          <w:rPr>
            <w:szCs w:val="22"/>
          </w:rPr>
          <w:delText> %</w:delText>
        </w:r>
        <w:r w:rsidRPr="001B4A02">
          <w:rPr>
            <w:szCs w:val="22"/>
          </w:rPr>
          <w:delText>) dosáhlo odpovědi ACR</w:delText>
        </w:r>
        <w:r w:rsidR="00140D08" w:rsidRPr="001B4A02">
          <w:rPr>
            <w:szCs w:val="22"/>
          </w:rPr>
          <w:delText xml:space="preserve"> </w:delText>
        </w:r>
        <w:r w:rsidRPr="001B4A02">
          <w:rPr>
            <w:szCs w:val="22"/>
          </w:rPr>
          <w:delText>20; 72 pacientů (63,2</w:delText>
        </w:r>
        <w:r w:rsidR="006008CB">
          <w:rPr>
            <w:szCs w:val="22"/>
          </w:rPr>
          <w:delText> %</w:delText>
        </w:r>
        <w:r w:rsidRPr="001B4A02">
          <w:rPr>
            <w:szCs w:val="22"/>
          </w:rPr>
          <w:delText>) dosáhlo odpovědi ACR 50</w:delText>
        </w:r>
        <w:r w:rsidR="002378E0">
          <w:rPr>
            <w:szCs w:val="22"/>
          </w:rPr>
          <w:delText xml:space="preserve"> a </w:delText>
        </w:r>
        <w:r w:rsidRPr="001B4A02">
          <w:rPr>
            <w:szCs w:val="22"/>
          </w:rPr>
          <w:delText>41 pacientů (36</w:delText>
        </w:r>
        <w:r w:rsidR="006008CB">
          <w:rPr>
            <w:szCs w:val="22"/>
          </w:rPr>
          <w:delText> %</w:delText>
        </w:r>
        <w:r w:rsidRPr="001B4A02">
          <w:rPr>
            <w:szCs w:val="22"/>
          </w:rPr>
          <w:delText>) dosáhlo odpovědi ACR 70. Z celkového počtu 207 pacientů jich 81 pokračovalo v léčbě přípravkem Humira v dávce 40</w:delText>
        </w:r>
        <w:r w:rsidR="00294902">
          <w:rPr>
            <w:szCs w:val="22"/>
          </w:rPr>
          <w:delText> mg</w:delText>
        </w:r>
        <w:r w:rsidRPr="001B4A02">
          <w:rPr>
            <w:szCs w:val="22"/>
          </w:rPr>
          <w:delText xml:space="preserve"> každý druhý týden po dobu 10 let. Mezi těmito dosáhlo 64 pacientů (79</w:delText>
        </w:r>
        <w:r w:rsidR="006008CB">
          <w:rPr>
            <w:szCs w:val="22"/>
          </w:rPr>
          <w:delText> %</w:delText>
        </w:r>
        <w:r w:rsidRPr="001B4A02">
          <w:rPr>
            <w:szCs w:val="22"/>
          </w:rPr>
          <w:delText>) odpovědi ACR 20, 56 pacientů (69,1</w:delText>
        </w:r>
        <w:r w:rsidR="006008CB">
          <w:delText> %</w:delText>
        </w:r>
        <w:r w:rsidRPr="001B4A02">
          <w:rPr>
            <w:szCs w:val="22"/>
          </w:rPr>
          <w:delText>) dosáhlo odpovědi ACR 50</w:delText>
        </w:r>
        <w:r w:rsidR="002378E0">
          <w:rPr>
            <w:szCs w:val="22"/>
          </w:rPr>
          <w:delText xml:space="preserve"> a </w:delText>
        </w:r>
        <w:r w:rsidRPr="001B4A02">
          <w:rPr>
            <w:szCs w:val="22"/>
          </w:rPr>
          <w:delText>43 pacientů (53,1</w:delText>
        </w:r>
        <w:r w:rsidR="006008CB">
          <w:rPr>
            <w:szCs w:val="22"/>
          </w:rPr>
          <w:delText> %</w:delText>
        </w:r>
        <w:r w:rsidRPr="001B4A02">
          <w:rPr>
            <w:szCs w:val="22"/>
          </w:rPr>
          <w:delText>) dosáhlo odpovědi ACR 70.</w:delText>
        </w:r>
      </w:del>
    </w:p>
    <w:p w14:paraId="36B387E9" w14:textId="77777777" w:rsidR="00C45C38" w:rsidRPr="001B4A02" w:rsidRDefault="00C45C38" w:rsidP="00ED48A3">
      <w:pPr>
        <w:ind w:left="0" w:firstLine="0"/>
        <w:rPr>
          <w:del w:id="5587" w:author="AbbVie1" w:date="2025-05-13T09:50:00Z"/>
        </w:rPr>
      </w:pPr>
    </w:p>
    <w:p w14:paraId="2071BD5A" w14:textId="77777777" w:rsidR="00073F8F" w:rsidRPr="001B4A02" w:rsidRDefault="00000000" w:rsidP="00ED48A3">
      <w:pPr>
        <w:ind w:left="0" w:firstLine="0"/>
        <w:rPr>
          <w:del w:id="5588" w:author="AbbVie1" w:date="2025-05-13T09:50:00Z"/>
        </w:rPr>
      </w:pPr>
      <w:del w:id="5589" w:author="AbbVie1" w:date="2025-05-13T09:50:00Z">
        <w:r w:rsidRPr="001B4A02">
          <w:delText>Ve studii RA IV byla ACR 20 odpověď u pacientů léčených přípravkem Humira</w:delText>
        </w:r>
        <w:r w:rsidR="002378E0">
          <w:delText xml:space="preserve"> a </w:delText>
        </w:r>
        <w:r w:rsidRPr="001B4A02">
          <w:delText>standardní léčbou statisticky významně lepší než u</w:delText>
        </w:r>
        <w:r w:rsidR="00C048C3" w:rsidRPr="001B4A02">
          <w:delText> </w:delText>
        </w:r>
        <w:r w:rsidRPr="001B4A02">
          <w:delText>pacientů léčených placebem</w:delText>
        </w:r>
        <w:r w:rsidR="002378E0">
          <w:delText xml:space="preserve"> a </w:delText>
        </w:r>
        <w:r w:rsidRPr="001B4A02">
          <w:delText>standardní léčbou (p&lt;0,001).</w:delText>
        </w:r>
      </w:del>
    </w:p>
    <w:p w14:paraId="4679F904" w14:textId="77777777" w:rsidR="00073F8F" w:rsidRPr="001B4A02" w:rsidRDefault="00073F8F" w:rsidP="00ED48A3">
      <w:pPr>
        <w:ind w:left="0" w:firstLine="0"/>
        <w:rPr>
          <w:del w:id="5590" w:author="AbbVie1" w:date="2025-05-13T09:50:00Z"/>
        </w:rPr>
      </w:pPr>
    </w:p>
    <w:p w14:paraId="5052E7B1" w14:textId="77777777" w:rsidR="00073F8F" w:rsidRPr="001B4A02" w:rsidRDefault="00000000" w:rsidP="00ED48A3">
      <w:pPr>
        <w:ind w:left="0" w:firstLine="0"/>
        <w:rPr>
          <w:del w:id="5591" w:author="AbbVie1" w:date="2025-05-13T09:50:00Z"/>
          <w:u w:val="single"/>
        </w:rPr>
      </w:pPr>
      <w:del w:id="5592" w:author="AbbVie1" w:date="2025-05-13T09:50:00Z">
        <w:r w:rsidRPr="001B4A02">
          <w:delText>Ve studiích RA I</w:delText>
        </w:r>
        <w:r w:rsidRPr="001B4A02">
          <w:noBreakHyphen/>
        </w:r>
        <w:r w:rsidRPr="001B4A02">
          <w:rPr>
            <w:iCs/>
          </w:rPr>
          <w:delText xml:space="preserve">IV </w:delText>
        </w:r>
        <w:r w:rsidRPr="001B4A02">
          <w:delText>dosáhli pacienti léčení přípravkem Humira statisticky významné odpovědi ACR 20</w:delText>
        </w:r>
        <w:r w:rsidR="002378E0">
          <w:delText xml:space="preserve"> a </w:delText>
        </w:r>
        <w:r w:rsidRPr="001B4A02">
          <w:delText>50 v porovnání s placebem již za jeden až dva týdny po zahájení léčby.</w:delText>
        </w:r>
      </w:del>
    </w:p>
    <w:p w14:paraId="178F57F5" w14:textId="77777777" w:rsidR="00073F8F" w:rsidRPr="001B4A02" w:rsidRDefault="00073F8F" w:rsidP="00ED48A3">
      <w:pPr>
        <w:ind w:left="0" w:firstLine="0"/>
        <w:rPr>
          <w:del w:id="5593" w:author="AbbVie1" w:date="2025-05-13T09:50:00Z"/>
          <w:u w:val="single"/>
        </w:rPr>
      </w:pPr>
    </w:p>
    <w:p w14:paraId="712DFFA2" w14:textId="77777777" w:rsidR="00073F8F" w:rsidRPr="001B4A02" w:rsidRDefault="00000000" w:rsidP="00ED48A3">
      <w:pPr>
        <w:pStyle w:val="EMEANormal"/>
        <w:tabs>
          <w:tab w:val="clear" w:pos="562"/>
        </w:tabs>
        <w:suppressAutoHyphens w:val="0"/>
        <w:rPr>
          <w:del w:id="5594" w:author="AbbVie1" w:date="2025-05-13T09:50:00Z"/>
          <w:lang w:val="cs-CZ"/>
        </w:rPr>
      </w:pPr>
      <w:del w:id="5595" w:author="AbbVie1" w:date="2025-05-13T09:50:00Z">
        <w:r w:rsidRPr="001B4A02">
          <w:rPr>
            <w:lang w:val="cs-CZ"/>
          </w:rPr>
          <w:delText>Ve studii RA V</w:delText>
        </w:r>
        <w:r w:rsidR="00C048C3" w:rsidRPr="001B4A02">
          <w:rPr>
            <w:lang w:val="cs-CZ"/>
          </w:rPr>
          <w:delText xml:space="preserve"> </w:delText>
        </w:r>
        <w:r w:rsidRPr="001B4A02">
          <w:rPr>
            <w:lang w:val="cs-CZ"/>
          </w:rPr>
          <w:delText>u pacientů s časnou revmatoidní artritidou, kteří dosud nebyli léčeni methotrexátem, vedla kombin</w:delText>
        </w:r>
        <w:r w:rsidR="009271A3" w:rsidRPr="00F261A6">
          <w:rPr>
            <w:lang w:val="cs-CZ"/>
          </w:rPr>
          <w:delText>ovaná</w:delText>
        </w:r>
        <w:r w:rsidRPr="001B4A02">
          <w:rPr>
            <w:lang w:val="cs-CZ"/>
          </w:rPr>
          <w:delText xml:space="preserve"> léčba přípravkem Humira</w:delText>
        </w:r>
        <w:r w:rsidR="002378E0">
          <w:rPr>
            <w:lang w:val="cs-CZ"/>
          </w:rPr>
          <w:delText xml:space="preserve"> a </w:delText>
        </w:r>
        <w:r w:rsidRPr="001B4A02">
          <w:rPr>
            <w:lang w:val="cs-CZ"/>
          </w:rPr>
          <w:delText>methotrexátem k rychlejší</w:delText>
        </w:r>
        <w:r w:rsidR="002378E0">
          <w:rPr>
            <w:lang w:val="cs-CZ"/>
          </w:rPr>
          <w:delText xml:space="preserve"> a </w:delText>
        </w:r>
        <w:r w:rsidRPr="001B4A02">
          <w:rPr>
            <w:lang w:val="cs-CZ"/>
          </w:rPr>
          <w:delText>významně větší odpovědi ACR než monoterapie methotrexátem</w:delText>
        </w:r>
        <w:r w:rsidR="002378E0">
          <w:rPr>
            <w:lang w:val="cs-CZ"/>
          </w:rPr>
          <w:delText xml:space="preserve"> a </w:delText>
        </w:r>
        <w:r w:rsidRPr="001B4A02">
          <w:rPr>
            <w:lang w:val="cs-CZ"/>
          </w:rPr>
          <w:delText xml:space="preserve">monoterapie přípravkem Humira </w:delText>
        </w:r>
        <w:r w:rsidR="00D00F8F">
          <w:rPr>
            <w:lang w:val="cs-CZ"/>
          </w:rPr>
          <w:delText>v</w:delText>
        </w:r>
        <w:r w:rsidR="00FD6C86">
          <w:rPr>
            <w:lang w:val="cs-CZ"/>
          </w:rPr>
          <w:delText> </w:delText>
        </w:r>
        <w:r w:rsidR="00D00F8F">
          <w:rPr>
            <w:lang w:val="cs-CZ"/>
          </w:rPr>
          <w:delText>týdnu 52</w:delText>
        </w:r>
        <w:r w:rsidR="002378E0">
          <w:rPr>
            <w:lang w:val="cs-CZ"/>
          </w:rPr>
          <w:delText xml:space="preserve"> a </w:delText>
        </w:r>
        <w:r w:rsidRPr="001B4A02">
          <w:rPr>
            <w:lang w:val="cs-CZ"/>
          </w:rPr>
          <w:delText xml:space="preserve">odpověď přetrvávala i </w:delText>
        </w:r>
        <w:r w:rsidR="00D00F8F">
          <w:rPr>
            <w:lang w:val="cs-CZ"/>
          </w:rPr>
          <w:delText>v</w:delText>
        </w:r>
        <w:r w:rsidR="00FD6C86">
          <w:rPr>
            <w:lang w:val="cs-CZ"/>
          </w:rPr>
          <w:delText> </w:delText>
        </w:r>
        <w:r w:rsidR="00D00F8F">
          <w:rPr>
            <w:lang w:val="cs-CZ"/>
          </w:rPr>
          <w:delText>týdnu 104</w:delText>
        </w:r>
        <w:r w:rsidRPr="001B4A02">
          <w:rPr>
            <w:lang w:val="cs-CZ"/>
          </w:rPr>
          <w:delText xml:space="preserve"> (viz tabulka </w:delText>
        </w:r>
        <w:r w:rsidR="00A26519">
          <w:rPr>
            <w:lang w:val="cs-CZ"/>
          </w:rPr>
          <w:delText>9</w:delText>
        </w:r>
        <w:r w:rsidRPr="001B4A02">
          <w:rPr>
            <w:lang w:val="cs-CZ"/>
          </w:rPr>
          <w:delText>).</w:delText>
        </w:r>
      </w:del>
    </w:p>
    <w:p w14:paraId="0CB4DB72" w14:textId="77777777" w:rsidR="00090E66" w:rsidRPr="001B4A02" w:rsidRDefault="00090E66" w:rsidP="00CE5DAE">
      <w:pPr>
        <w:ind w:left="0" w:firstLine="0"/>
        <w:rPr>
          <w:del w:id="5596" w:author="AbbVie1" w:date="2025-05-13T09:50:00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1355"/>
        <w:gridCol w:w="1046"/>
        <w:gridCol w:w="992"/>
        <w:gridCol w:w="1560"/>
        <w:gridCol w:w="1417"/>
        <w:gridCol w:w="1559"/>
        <w:gridCol w:w="1309"/>
        <w:gridCol w:w="12"/>
      </w:tblGrid>
      <w:tr w:rsidR="00534A2D" w14:paraId="7A59F535" w14:textId="77777777" w:rsidTr="00381D76">
        <w:trPr>
          <w:gridBefore w:val="1"/>
          <w:wBefore w:w="9" w:type="dxa"/>
          <w:cantSplit/>
          <w:jc w:val="center"/>
          <w:del w:id="5597" w:author="AbbVie1" w:date="2025-05-13T09:50:00Z"/>
        </w:trPr>
        <w:tc>
          <w:tcPr>
            <w:tcW w:w="9250" w:type="dxa"/>
            <w:gridSpan w:val="8"/>
            <w:tcBorders>
              <w:top w:val="nil"/>
              <w:left w:val="nil"/>
              <w:bottom w:val="nil"/>
              <w:right w:val="nil"/>
            </w:tcBorders>
            <w:vAlign w:val="center"/>
          </w:tcPr>
          <w:p w14:paraId="115365FB" w14:textId="77777777" w:rsidR="003F4B5B" w:rsidRPr="001B4A02" w:rsidRDefault="00000000" w:rsidP="00CE5DAE">
            <w:pPr>
              <w:keepNext/>
              <w:jc w:val="center"/>
              <w:rPr>
                <w:del w:id="5598" w:author="AbbVie1" w:date="2025-05-13T09:50:00Z"/>
                <w:b/>
              </w:rPr>
            </w:pPr>
            <w:del w:id="5599" w:author="AbbVie1" w:date="2025-05-13T09:50:00Z">
              <w:r w:rsidRPr="001B4A02">
                <w:rPr>
                  <w:b/>
                </w:rPr>
                <w:delText xml:space="preserve">Tabulka </w:delText>
              </w:r>
              <w:r w:rsidR="00A26519">
                <w:rPr>
                  <w:b/>
                </w:rPr>
                <w:delText>9</w:delText>
              </w:r>
            </w:del>
          </w:p>
          <w:p w14:paraId="477BFF30" w14:textId="77777777" w:rsidR="00073F8F" w:rsidRPr="001B4A02" w:rsidRDefault="00000000" w:rsidP="00CE5DAE">
            <w:pPr>
              <w:keepNext/>
              <w:jc w:val="center"/>
              <w:rPr>
                <w:del w:id="5600" w:author="AbbVie1" w:date="2025-05-13T09:50:00Z"/>
                <w:b/>
              </w:rPr>
            </w:pPr>
            <w:del w:id="5601" w:author="AbbVie1" w:date="2025-05-13T09:50:00Z">
              <w:r w:rsidRPr="001B4A02">
                <w:rPr>
                  <w:b/>
                </w:rPr>
                <w:delText>Odpověď ACR ve studii RA V</w:delText>
              </w:r>
            </w:del>
          </w:p>
          <w:p w14:paraId="7AF9A655" w14:textId="77777777" w:rsidR="00073F8F" w:rsidRPr="001B4A02" w:rsidRDefault="00000000" w:rsidP="00CE5DAE">
            <w:pPr>
              <w:keepNext/>
              <w:jc w:val="center"/>
              <w:rPr>
                <w:del w:id="5602" w:author="AbbVie1" w:date="2025-05-13T09:50:00Z"/>
                <w:b/>
                <w:bCs/>
                <w:caps/>
              </w:rPr>
            </w:pPr>
            <w:del w:id="5603" w:author="AbbVie1" w:date="2025-05-13T09:50:00Z">
              <w:r w:rsidRPr="001B4A02">
                <w:rPr>
                  <w:b/>
                </w:rPr>
                <w:delText>(</w:delText>
              </w:r>
              <w:r w:rsidR="001E41BF" w:rsidRPr="001B4A02">
                <w:rPr>
                  <w:b/>
                </w:rPr>
                <w:delText>P</w:delText>
              </w:r>
              <w:r w:rsidRPr="001B4A02">
                <w:rPr>
                  <w:b/>
                </w:rPr>
                <w:delText>rocento pacientů)</w:delText>
              </w:r>
            </w:del>
          </w:p>
          <w:p w14:paraId="566EF92C" w14:textId="77777777" w:rsidR="00073F8F" w:rsidRPr="001B4A02" w:rsidRDefault="00073F8F" w:rsidP="00ED48A3">
            <w:pPr>
              <w:pStyle w:val="BodyText"/>
              <w:keepNext/>
              <w:tabs>
                <w:tab w:val="left" w:pos="3600"/>
                <w:tab w:val="center" w:pos="5760"/>
              </w:tabs>
              <w:jc w:val="center"/>
              <w:rPr>
                <w:del w:id="5604" w:author="AbbVie1" w:date="2025-05-13T09:50:00Z"/>
                <w:bCs/>
                <w:i w:val="0"/>
                <w:lang w:val="cs-CZ"/>
              </w:rPr>
            </w:pPr>
          </w:p>
        </w:tc>
      </w:tr>
      <w:tr w:rsidR="00534A2D" w14:paraId="41691615" w14:textId="77777777" w:rsidTr="008D783A">
        <w:trPr>
          <w:gridAfter w:val="1"/>
          <w:wAfter w:w="12" w:type="dxa"/>
          <w:cantSplit/>
          <w:jc w:val="center"/>
          <w:del w:id="5605" w:author="AbbVie1" w:date="2025-05-13T09:50:00Z"/>
        </w:trPr>
        <w:tc>
          <w:tcPr>
            <w:tcW w:w="1364" w:type="dxa"/>
            <w:gridSpan w:val="2"/>
            <w:vAlign w:val="center"/>
          </w:tcPr>
          <w:p w14:paraId="6820E57E" w14:textId="77777777" w:rsidR="00073F8F" w:rsidRPr="001B4A02" w:rsidRDefault="00000000" w:rsidP="00ED48A3">
            <w:pPr>
              <w:keepNext/>
              <w:rPr>
                <w:del w:id="5606" w:author="AbbVie1" w:date="2025-05-13T09:50:00Z"/>
                <w:b/>
                <w:bCs/>
              </w:rPr>
            </w:pPr>
            <w:del w:id="5607" w:author="AbbVie1" w:date="2025-05-13T09:50:00Z">
              <w:r w:rsidRPr="001B4A02">
                <w:rPr>
                  <w:b/>
                  <w:bCs/>
                </w:rPr>
                <w:delText>Odpověď</w:delText>
              </w:r>
            </w:del>
          </w:p>
        </w:tc>
        <w:tc>
          <w:tcPr>
            <w:tcW w:w="1046" w:type="dxa"/>
            <w:tcBorders>
              <w:bottom w:val="single" w:sz="4" w:space="0" w:color="auto"/>
            </w:tcBorders>
            <w:vAlign w:val="center"/>
          </w:tcPr>
          <w:p w14:paraId="5110FAB3" w14:textId="77777777" w:rsidR="00073F8F" w:rsidRPr="001B4A02" w:rsidRDefault="00000000" w:rsidP="00ED48A3">
            <w:pPr>
              <w:keepNext/>
              <w:jc w:val="center"/>
              <w:rPr>
                <w:del w:id="5608" w:author="AbbVie1" w:date="2025-05-13T09:50:00Z"/>
                <w:b/>
                <w:bCs/>
              </w:rPr>
            </w:pPr>
            <w:del w:id="5609" w:author="AbbVie1" w:date="2025-05-13T09:50:00Z">
              <w:r w:rsidRPr="001B4A02">
                <w:rPr>
                  <w:b/>
                  <w:bCs/>
                </w:rPr>
                <w:delText>MTX</w:delText>
              </w:r>
            </w:del>
          </w:p>
          <w:p w14:paraId="136E7C66" w14:textId="77777777" w:rsidR="00073F8F" w:rsidRPr="001B4A02" w:rsidRDefault="00000000" w:rsidP="00ED48A3">
            <w:pPr>
              <w:pStyle w:val="EndnoteText"/>
              <w:keepNext/>
              <w:jc w:val="center"/>
              <w:rPr>
                <w:del w:id="5610" w:author="AbbVie1" w:date="2025-05-13T09:50:00Z"/>
                <w:b/>
                <w:bCs/>
                <w:lang w:val="cs-CZ"/>
              </w:rPr>
            </w:pPr>
            <w:del w:id="5611" w:author="AbbVie1" w:date="2025-05-13T09:50:00Z">
              <w:r w:rsidRPr="001B4A02">
                <w:rPr>
                  <w:b/>
                  <w:bCs/>
                  <w:lang w:val="cs-CZ"/>
                </w:rPr>
                <w:delText>n=257</w:delText>
              </w:r>
            </w:del>
          </w:p>
        </w:tc>
        <w:tc>
          <w:tcPr>
            <w:tcW w:w="992" w:type="dxa"/>
            <w:tcBorders>
              <w:bottom w:val="single" w:sz="4" w:space="0" w:color="auto"/>
            </w:tcBorders>
            <w:vAlign w:val="center"/>
          </w:tcPr>
          <w:p w14:paraId="10A70097" w14:textId="77777777" w:rsidR="00073F8F" w:rsidRPr="001B4A02" w:rsidRDefault="00000000" w:rsidP="00ED48A3">
            <w:pPr>
              <w:keepNext/>
              <w:jc w:val="center"/>
              <w:rPr>
                <w:del w:id="5612" w:author="AbbVie1" w:date="2025-05-13T09:50:00Z"/>
                <w:b/>
                <w:bCs/>
              </w:rPr>
            </w:pPr>
            <w:del w:id="5613" w:author="AbbVie1" w:date="2025-05-13T09:50:00Z">
              <w:r w:rsidRPr="001B4A02">
                <w:rPr>
                  <w:b/>
                  <w:bCs/>
                </w:rPr>
                <w:delText>Humira</w:delText>
              </w:r>
            </w:del>
          </w:p>
          <w:p w14:paraId="71CE68C9" w14:textId="77777777" w:rsidR="00073F8F" w:rsidRPr="001B4A02" w:rsidRDefault="00000000" w:rsidP="00ED48A3">
            <w:pPr>
              <w:keepNext/>
              <w:jc w:val="center"/>
              <w:rPr>
                <w:del w:id="5614" w:author="AbbVie1" w:date="2025-05-13T09:50:00Z"/>
                <w:b/>
                <w:bCs/>
              </w:rPr>
            </w:pPr>
            <w:del w:id="5615" w:author="AbbVie1" w:date="2025-05-13T09:50:00Z">
              <w:r w:rsidRPr="001B4A02">
                <w:rPr>
                  <w:b/>
                  <w:bCs/>
                </w:rPr>
                <w:delText>n=274</w:delText>
              </w:r>
            </w:del>
          </w:p>
        </w:tc>
        <w:tc>
          <w:tcPr>
            <w:tcW w:w="1560" w:type="dxa"/>
            <w:tcBorders>
              <w:bottom w:val="single" w:sz="4" w:space="0" w:color="auto"/>
            </w:tcBorders>
            <w:vAlign w:val="center"/>
          </w:tcPr>
          <w:p w14:paraId="1696CF3F" w14:textId="77777777" w:rsidR="00073F8F" w:rsidRPr="001B4A02" w:rsidRDefault="00000000" w:rsidP="00ED48A3">
            <w:pPr>
              <w:keepNext/>
              <w:jc w:val="center"/>
              <w:rPr>
                <w:del w:id="5616" w:author="AbbVie1" w:date="2025-05-13T09:50:00Z"/>
                <w:b/>
                <w:bCs/>
              </w:rPr>
            </w:pPr>
            <w:del w:id="5617" w:author="AbbVie1" w:date="2025-05-13T09:50:00Z">
              <w:r w:rsidRPr="001B4A02">
                <w:rPr>
                  <w:b/>
                  <w:bCs/>
                </w:rPr>
                <w:delText>Humira/MTX</w:delText>
              </w:r>
            </w:del>
          </w:p>
          <w:p w14:paraId="329970D7" w14:textId="77777777" w:rsidR="00073F8F" w:rsidRPr="001B4A02" w:rsidRDefault="00000000" w:rsidP="00ED48A3">
            <w:pPr>
              <w:keepNext/>
              <w:jc w:val="center"/>
              <w:rPr>
                <w:del w:id="5618" w:author="AbbVie1" w:date="2025-05-13T09:50:00Z"/>
                <w:b/>
                <w:bCs/>
              </w:rPr>
            </w:pPr>
            <w:del w:id="5619" w:author="AbbVie1" w:date="2025-05-13T09:50:00Z">
              <w:r w:rsidRPr="001B4A02">
                <w:rPr>
                  <w:b/>
                  <w:bCs/>
                </w:rPr>
                <w:delText>n=268</w:delText>
              </w:r>
            </w:del>
          </w:p>
        </w:tc>
        <w:tc>
          <w:tcPr>
            <w:tcW w:w="1417" w:type="dxa"/>
            <w:tcBorders>
              <w:bottom w:val="single" w:sz="4" w:space="0" w:color="auto"/>
            </w:tcBorders>
            <w:vAlign w:val="center"/>
          </w:tcPr>
          <w:p w14:paraId="438AB07C" w14:textId="77777777" w:rsidR="00073F8F" w:rsidRPr="001B4A02" w:rsidRDefault="00000000" w:rsidP="00ED48A3">
            <w:pPr>
              <w:pStyle w:val="EndnoteText"/>
              <w:keepNext/>
              <w:jc w:val="center"/>
              <w:rPr>
                <w:del w:id="5620" w:author="AbbVie1" w:date="2025-05-13T09:50:00Z"/>
                <w:b/>
                <w:bCs/>
                <w:lang w:val="cs-CZ"/>
              </w:rPr>
            </w:pPr>
            <w:del w:id="5621" w:author="AbbVie1" w:date="2025-05-13T09:50:00Z">
              <w:r w:rsidRPr="001B4A02">
                <w:rPr>
                  <w:b/>
                  <w:bCs/>
                  <w:lang w:val="cs-CZ"/>
                </w:rPr>
                <w:delText>Hodnota p</w:delText>
              </w:r>
              <w:r w:rsidRPr="001B4A02">
                <w:rPr>
                  <w:b/>
                  <w:bCs/>
                  <w:vertAlign w:val="superscript"/>
                  <w:lang w:val="cs-CZ"/>
                </w:rPr>
                <w:delText>a</w:delText>
              </w:r>
            </w:del>
          </w:p>
        </w:tc>
        <w:tc>
          <w:tcPr>
            <w:tcW w:w="1559" w:type="dxa"/>
            <w:tcBorders>
              <w:bottom w:val="single" w:sz="4" w:space="0" w:color="auto"/>
            </w:tcBorders>
            <w:vAlign w:val="center"/>
          </w:tcPr>
          <w:p w14:paraId="3AA170B8" w14:textId="77777777" w:rsidR="00073F8F" w:rsidRPr="001B4A02" w:rsidRDefault="00000000" w:rsidP="00ED48A3">
            <w:pPr>
              <w:keepNext/>
              <w:jc w:val="center"/>
              <w:rPr>
                <w:del w:id="5622" w:author="AbbVie1" w:date="2025-05-13T09:50:00Z"/>
                <w:b/>
                <w:bCs/>
              </w:rPr>
            </w:pPr>
            <w:del w:id="5623" w:author="AbbVie1" w:date="2025-05-13T09:50:00Z">
              <w:r w:rsidRPr="001B4A02">
                <w:rPr>
                  <w:b/>
                  <w:bCs/>
                </w:rPr>
                <w:delText>Hodnota p</w:delText>
              </w:r>
              <w:r w:rsidRPr="001B4A02">
                <w:rPr>
                  <w:b/>
                  <w:bCs/>
                  <w:vertAlign w:val="superscript"/>
                </w:rPr>
                <w:delText>b</w:delText>
              </w:r>
            </w:del>
          </w:p>
        </w:tc>
        <w:tc>
          <w:tcPr>
            <w:tcW w:w="1309" w:type="dxa"/>
            <w:vAlign w:val="center"/>
          </w:tcPr>
          <w:p w14:paraId="5E6E1D5B" w14:textId="77777777" w:rsidR="00073F8F" w:rsidRPr="001B4A02" w:rsidRDefault="00000000" w:rsidP="00ED48A3">
            <w:pPr>
              <w:keepNext/>
              <w:jc w:val="center"/>
              <w:rPr>
                <w:del w:id="5624" w:author="AbbVie1" w:date="2025-05-13T09:50:00Z"/>
              </w:rPr>
            </w:pPr>
            <w:del w:id="5625" w:author="AbbVie1" w:date="2025-05-13T09:50:00Z">
              <w:r w:rsidRPr="001B4A02">
                <w:rPr>
                  <w:b/>
                  <w:bCs/>
                </w:rPr>
                <w:delText>Hodnota p</w:delText>
              </w:r>
              <w:r w:rsidRPr="001B4A02">
                <w:rPr>
                  <w:b/>
                  <w:bCs/>
                  <w:vertAlign w:val="superscript"/>
                </w:rPr>
                <w:delText>c</w:delText>
              </w:r>
            </w:del>
          </w:p>
        </w:tc>
      </w:tr>
      <w:tr w:rsidR="00534A2D" w14:paraId="6BD5710D" w14:textId="77777777" w:rsidTr="008D783A">
        <w:trPr>
          <w:gridAfter w:val="1"/>
          <w:wAfter w:w="12" w:type="dxa"/>
          <w:cantSplit/>
          <w:jc w:val="center"/>
          <w:del w:id="5626" w:author="AbbVie1" w:date="2025-05-13T09:50:00Z"/>
        </w:trPr>
        <w:tc>
          <w:tcPr>
            <w:tcW w:w="1364" w:type="dxa"/>
            <w:gridSpan w:val="2"/>
            <w:tcBorders>
              <w:right w:val="single" w:sz="4" w:space="0" w:color="auto"/>
            </w:tcBorders>
          </w:tcPr>
          <w:p w14:paraId="7780FE4A" w14:textId="77777777" w:rsidR="00073F8F" w:rsidRPr="001B4A02" w:rsidRDefault="00000000" w:rsidP="00ED48A3">
            <w:pPr>
              <w:keepNext/>
              <w:rPr>
                <w:del w:id="5627" w:author="AbbVie1" w:date="2025-05-13T09:50:00Z"/>
              </w:rPr>
            </w:pPr>
            <w:del w:id="5628" w:author="AbbVie1" w:date="2025-05-13T09:50:00Z">
              <w:r w:rsidRPr="001B4A02">
                <w:delText>ACR 20</w:delText>
              </w:r>
            </w:del>
          </w:p>
        </w:tc>
        <w:tc>
          <w:tcPr>
            <w:tcW w:w="1046" w:type="dxa"/>
            <w:tcBorders>
              <w:left w:val="single" w:sz="4" w:space="0" w:color="auto"/>
              <w:right w:val="single" w:sz="4" w:space="0" w:color="auto"/>
            </w:tcBorders>
          </w:tcPr>
          <w:p w14:paraId="2AA854D8" w14:textId="77777777" w:rsidR="00073F8F" w:rsidRPr="001B4A02" w:rsidRDefault="00073F8F" w:rsidP="00ED48A3">
            <w:pPr>
              <w:keepNext/>
              <w:jc w:val="center"/>
              <w:rPr>
                <w:del w:id="5629" w:author="AbbVie1" w:date="2025-05-13T09:50:00Z"/>
              </w:rPr>
            </w:pPr>
          </w:p>
        </w:tc>
        <w:tc>
          <w:tcPr>
            <w:tcW w:w="992" w:type="dxa"/>
            <w:tcBorders>
              <w:left w:val="single" w:sz="4" w:space="0" w:color="auto"/>
              <w:right w:val="single" w:sz="4" w:space="0" w:color="auto"/>
            </w:tcBorders>
          </w:tcPr>
          <w:p w14:paraId="16CBB4F8" w14:textId="77777777" w:rsidR="00073F8F" w:rsidRPr="001B4A02" w:rsidRDefault="00073F8F" w:rsidP="00ED48A3">
            <w:pPr>
              <w:keepNext/>
              <w:jc w:val="center"/>
              <w:rPr>
                <w:del w:id="5630" w:author="AbbVie1" w:date="2025-05-13T09:50:00Z"/>
              </w:rPr>
            </w:pPr>
          </w:p>
        </w:tc>
        <w:tc>
          <w:tcPr>
            <w:tcW w:w="1560" w:type="dxa"/>
            <w:tcBorders>
              <w:left w:val="single" w:sz="4" w:space="0" w:color="auto"/>
              <w:right w:val="single" w:sz="4" w:space="0" w:color="auto"/>
            </w:tcBorders>
          </w:tcPr>
          <w:p w14:paraId="1FEA410C" w14:textId="77777777" w:rsidR="00073F8F" w:rsidRPr="001B4A02" w:rsidRDefault="00073F8F" w:rsidP="00ED48A3">
            <w:pPr>
              <w:keepNext/>
              <w:jc w:val="center"/>
              <w:rPr>
                <w:del w:id="5631" w:author="AbbVie1" w:date="2025-05-13T09:50:00Z"/>
              </w:rPr>
            </w:pPr>
          </w:p>
        </w:tc>
        <w:tc>
          <w:tcPr>
            <w:tcW w:w="1417" w:type="dxa"/>
            <w:tcBorders>
              <w:left w:val="single" w:sz="4" w:space="0" w:color="auto"/>
              <w:right w:val="single" w:sz="4" w:space="0" w:color="auto"/>
            </w:tcBorders>
          </w:tcPr>
          <w:p w14:paraId="78CE309D" w14:textId="77777777" w:rsidR="00073F8F" w:rsidRPr="001B4A02" w:rsidRDefault="00073F8F" w:rsidP="00ED48A3">
            <w:pPr>
              <w:keepNext/>
              <w:jc w:val="center"/>
              <w:rPr>
                <w:del w:id="5632" w:author="AbbVie1" w:date="2025-05-13T09:50:00Z"/>
              </w:rPr>
            </w:pPr>
          </w:p>
        </w:tc>
        <w:tc>
          <w:tcPr>
            <w:tcW w:w="1559" w:type="dxa"/>
            <w:tcBorders>
              <w:left w:val="single" w:sz="4" w:space="0" w:color="auto"/>
              <w:right w:val="single" w:sz="4" w:space="0" w:color="auto"/>
            </w:tcBorders>
          </w:tcPr>
          <w:p w14:paraId="192BED46" w14:textId="77777777" w:rsidR="00073F8F" w:rsidRPr="001B4A02" w:rsidRDefault="00073F8F" w:rsidP="00ED48A3">
            <w:pPr>
              <w:keepNext/>
              <w:jc w:val="center"/>
              <w:rPr>
                <w:del w:id="5633" w:author="AbbVie1" w:date="2025-05-13T09:50:00Z"/>
              </w:rPr>
            </w:pPr>
          </w:p>
        </w:tc>
        <w:tc>
          <w:tcPr>
            <w:tcW w:w="1309" w:type="dxa"/>
            <w:tcBorders>
              <w:left w:val="single" w:sz="4" w:space="0" w:color="auto"/>
            </w:tcBorders>
          </w:tcPr>
          <w:p w14:paraId="453A622F" w14:textId="77777777" w:rsidR="00073F8F" w:rsidRPr="001B4A02" w:rsidRDefault="00073F8F" w:rsidP="00ED48A3">
            <w:pPr>
              <w:keepNext/>
              <w:jc w:val="center"/>
              <w:rPr>
                <w:del w:id="5634" w:author="AbbVie1" w:date="2025-05-13T09:50:00Z"/>
              </w:rPr>
            </w:pPr>
          </w:p>
        </w:tc>
      </w:tr>
      <w:tr w:rsidR="00534A2D" w14:paraId="6E5E61F0" w14:textId="77777777" w:rsidTr="008D783A">
        <w:trPr>
          <w:gridAfter w:val="1"/>
          <w:wAfter w:w="12" w:type="dxa"/>
          <w:cantSplit/>
          <w:jc w:val="center"/>
          <w:del w:id="5635" w:author="AbbVie1" w:date="2025-05-13T09:50:00Z"/>
        </w:trPr>
        <w:tc>
          <w:tcPr>
            <w:tcW w:w="1364" w:type="dxa"/>
            <w:gridSpan w:val="2"/>
            <w:tcBorders>
              <w:right w:val="single" w:sz="4" w:space="0" w:color="auto"/>
            </w:tcBorders>
          </w:tcPr>
          <w:p w14:paraId="765EE09A" w14:textId="77777777" w:rsidR="00073F8F" w:rsidRPr="001B4A02" w:rsidRDefault="00000000" w:rsidP="00ED48A3">
            <w:pPr>
              <w:keepNext/>
              <w:rPr>
                <w:del w:id="5636" w:author="AbbVie1" w:date="2025-05-13T09:50:00Z"/>
              </w:rPr>
            </w:pPr>
            <w:del w:id="5637" w:author="AbbVie1" w:date="2025-05-13T09:50:00Z">
              <w:r w:rsidRPr="001B4A02">
                <w:tab/>
                <w:delText>Týden 52</w:delText>
              </w:r>
            </w:del>
          </w:p>
        </w:tc>
        <w:tc>
          <w:tcPr>
            <w:tcW w:w="1046" w:type="dxa"/>
            <w:tcBorders>
              <w:left w:val="single" w:sz="4" w:space="0" w:color="auto"/>
              <w:right w:val="single" w:sz="4" w:space="0" w:color="auto"/>
            </w:tcBorders>
          </w:tcPr>
          <w:p w14:paraId="30DB6EE7" w14:textId="77777777" w:rsidR="00073F8F" w:rsidRPr="001B4A02" w:rsidRDefault="00000000" w:rsidP="00ED48A3">
            <w:pPr>
              <w:keepNext/>
              <w:jc w:val="center"/>
              <w:rPr>
                <w:del w:id="5638" w:author="AbbVie1" w:date="2025-05-13T09:50:00Z"/>
              </w:rPr>
            </w:pPr>
            <w:del w:id="5639" w:author="AbbVie1" w:date="2025-05-13T09:50:00Z">
              <w:r w:rsidRPr="001B4A02">
                <w:delText>62,6</w:delText>
              </w:r>
              <w:r w:rsidR="009C5EAC" w:rsidRPr="001B4A02">
                <w:delText> </w:delText>
              </w:r>
              <w:r w:rsidRPr="001B4A02">
                <w:delText>%</w:delText>
              </w:r>
            </w:del>
          </w:p>
        </w:tc>
        <w:tc>
          <w:tcPr>
            <w:tcW w:w="992" w:type="dxa"/>
            <w:tcBorders>
              <w:left w:val="single" w:sz="4" w:space="0" w:color="auto"/>
              <w:right w:val="single" w:sz="4" w:space="0" w:color="auto"/>
            </w:tcBorders>
          </w:tcPr>
          <w:p w14:paraId="6D3A709A" w14:textId="77777777" w:rsidR="00073F8F" w:rsidRPr="001B4A02" w:rsidRDefault="00000000" w:rsidP="00ED48A3">
            <w:pPr>
              <w:keepNext/>
              <w:jc w:val="center"/>
              <w:rPr>
                <w:del w:id="5640" w:author="AbbVie1" w:date="2025-05-13T09:50:00Z"/>
              </w:rPr>
            </w:pPr>
            <w:del w:id="5641" w:author="AbbVie1" w:date="2025-05-13T09:50:00Z">
              <w:r w:rsidRPr="001B4A02">
                <w:delText>54,4</w:delText>
              </w:r>
              <w:r w:rsidR="009C5EAC" w:rsidRPr="001B4A02">
                <w:delText> </w:delText>
              </w:r>
              <w:r w:rsidRPr="001B4A02">
                <w:delText>%</w:delText>
              </w:r>
            </w:del>
          </w:p>
        </w:tc>
        <w:tc>
          <w:tcPr>
            <w:tcW w:w="1560" w:type="dxa"/>
            <w:tcBorders>
              <w:left w:val="single" w:sz="4" w:space="0" w:color="auto"/>
              <w:right w:val="single" w:sz="4" w:space="0" w:color="auto"/>
            </w:tcBorders>
          </w:tcPr>
          <w:p w14:paraId="75FEB83B" w14:textId="77777777" w:rsidR="00073F8F" w:rsidRPr="001B4A02" w:rsidRDefault="00000000" w:rsidP="00ED48A3">
            <w:pPr>
              <w:keepNext/>
              <w:jc w:val="center"/>
              <w:rPr>
                <w:del w:id="5642" w:author="AbbVie1" w:date="2025-05-13T09:50:00Z"/>
              </w:rPr>
            </w:pPr>
            <w:del w:id="5643" w:author="AbbVie1" w:date="2025-05-13T09:50:00Z">
              <w:r w:rsidRPr="001B4A02">
                <w:delText>72,8</w:delText>
              </w:r>
              <w:r w:rsidR="009C5EAC" w:rsidRPr="001B4A02">
                <w:delText> </w:delText>
              </w:r>
              <w:r w:rsidRPr="001B4A02">
                <w:delText>%</w:delText>
              </w:r>
            </w:del>
          </w:p>
        </w:tc>
        <w:tc>
          <w:tcPr>
            <w:tcW w:w="1417" w:type="dxa"/>
            <w:tcBorders>
              <w:left w:val="single" w:sz="4" w:space="0" w:color="auto"/>
              <w:right w:val="single" w:sz="4" w:space="0" w:color="auto"/>
            </w:tcBorders>
          </w:tcPr>
          <w:p w14:paraId="47EEAC0A" w14:textId="77777777" w:rsidR="00073F8F" w:rsidRPr="001B4A02" w:rsidRDefault="00000000" w:rsidP="00ED48A3">
            <w:pPr>
              <w:keepNext/>
              <w:jc w:val="center"/>
              <w:rPr>
                <w:del w:id="5644" w:author="AbbVie1" w:date="2025-05-13T09:50:00Z"/>
              </w:rPr>
            </w:pPr>
            <w:del w:id="5645" w:author="AbbVie1" w:date="2025-05-13T09:50:00Z">
              <w:r w:rsidRPr="001B4A02">
                <w:delText>0,013</w:delText>
              </w:r>
            </w:del>
          </w:p>
        </w:tc>
        <w:tc>
          <w:tcPr>
            <w:tcW w:w="1559" w:type="dxa"/>
            <w:tcBorders>
              <w:left w:val="single" w:sz="4" w:space="0" w:color="auto"/>
              <w:right w:val="single" w:sz="4" w:space="0" w:color="auto"/>
            </w:tcBorders>
          </w:tcPr>
          <w:p w14:paraId="2A4AD82C" w14:textId="77777777" w:rsidR="00073F8F" w:rsidRPr="001B4A02" w:rsidRDefault="00000000" w:rsidP="00ED48A3">
            <w:pPr>
              <w:keepNext/>
              <w:jc w:val="center"/>
              <w:rPr>
                <w:del w:id="5646" w:author="AbbVie1" w:date="2025-05-13T09:50:00Z"/>
              </w:rPr>
            </w:pPr>
            <w:del w:id="5647" w:author="AbbVie1" w:date="2025-05-13T09:50:00Z">
              <w:r w:rsidRPr="001B4A02">
                <w:delText>&lt;0,001</w:delText>
              </w:r>
            </w:del>
          </w:p>
        </w:tc>
        <w:tc>
          <w:tcPr>
            <w:tcW w:w="1309" w:type="dxa"/>
            <w:tcBorders>
              <w:left w:val="single" w:sz="4" w:space="0" w:color="auto"/>
            </w:tcBorders>
          </w:tcPr>
          <w:p w14:paraId="1453CFFA" w14:textId="77777777" w:rsidR="00073F8F" w:rsidRPr="001B4A02" w:rsidRDefault="00000000" w:rsidP="00ED48A3">
            <w:pPr>
              <w:keepNext/>
              <w:jc w:val="center"/>
              <w:rPr>
                <w:del w:id="5648" w:author="AbbVie1" w:date="2025-05-13T09:50:00Z"/>
              </w:rPr>
            </w:pPr>
            <w:del w:id="5649" w:author="AbbVie1" w:date="2025-05-13T09:50:00Z">
              <w:r w:rsidRPr="001B4A02">
                <w:delText>0,043</w:delText>
              </w:r>
            </w:del>
          </w:p>
        </w:tc>
      </w:tr>
      <w:tr w:rsidR="00534A2D" w14:paraId="109537A1" w14:textId="77777777" w:rsidTr="008D783A">
        <w:trPr>
          <w:gridAfter w:val="1"/>
          <w:wAfter w:w="12" w:type="dxa"/>
          <w:cantSplit/>
          <w:jc w:val="center"/>
          <w:del w:id="5650" w:author="AbbVie1" w:date="2025-05-13T09:50:00Z"/>
        </w:trPr>
        <w:tc>
          <w:tcPr>
            <w:tcW w:w="1364" w:type="dxa"/>
            <w:gridSpan w:val="2"/>
            <w:tcBorders>
              <w:right w:val="single" w:sz="4" w:space="0" w:color="auto"/>
            </w:tcBorders>
          </w:tcPr>
          <w:p w14:paraId="35E03644" w14:textId="77777777" w:rsidR="00073F8F" w:rsidRPr="001B4A02" w:rsidRDefault="00000000" w:rsidP="00ED48A3">
            <w:pPr>
              <w:keepNext/>
              <w:rPr>
                <w:del w:id="5651" w:author="AbbVie1" w:date="2025-05-13T09:50:00Z"/>
              </w:rPr>
            </w:pPr>
            <w:del w:id="5652" w:author="AbbVie1" w:date="2025-05-13T09:50:00Z">
              <w:r w:rsidRPr="001B4A02">
                <w:tab/>
                <w:delText>Týden 104</w:delText>
              </w:r>
            </w:del>
          </w:p>
        </w:tc>
        <w:tc>
          <w:tcPr>
            <w:tcW w:w="1046" w:type="dxa"/>
            <w:tcBorders>
              <w:left w:val="single" w:sz="4" w:space="0" w:color="auto"/>
              <w:right w:val="single" w:sz="4" w:space="0" w:color="auto"/>
            </w:tcBorders>
          </w:tcPr>
          <w:p w14:paraId="758E8EC4" w14:textId="77777777" w:rsidR="00073F8F" w:rsidRPr="001B4A02" w:rsidRDefault="00000000" w:rsidP="00ED48A3">
            <w:pPr>
              <w:keepNext/>
              <w:jc w:val="center"/>
              <w:rPr>
                <w:del w:id="5653" w:author="AbbVie1" w:date="2025-05-13T09:50:00Z"/>
              </w:rPr>
            </w:pPr>
            <w:del w:id="5654" w:author="AbbVie1" w:date="2025-05-13T09:50:00Z">
              <w:r w:rsidRPr="001B4A02">
                <w:delText>56,0</w:delText>
              </w:r>
              <w:r w:rsidR="009C5EAC" w:rsidRPr="001B4A02">
                <w:delText> </w:delText>
              </w:r>
              <w:r w:rsidRPr="001B4A02">
                <w:delText>%</w:delText>
              </w:r>
            </w:del>
          </w:p>
        </w:tc>
        <w:tc>
          <w:tcPr>
            <w:tcW w:w="992" w:type="dxa"/>
            <w:tcBorders>
              <w:left w:val="single" w:sz="4" w:space="0" w:color="auto"/>
              <w:right w:val="single" w:sz="4" w:space="0" w:color="auto"/>
            </w:tcBorders>
          </w:tcPr>
          <w:p w14:paraId="7907DAA7" w14:textId="77777777" w:rsidR="00073F8F" w:rsidRPr="001B4A02" w:rsidRDefault="00000000" w:rsidP="00ED48A3">
            <w:pPr>
              <w:keepNext/>
              <w:jc w:val="center"/>
              <w:rPr>
                <w:del w:id="5655" w:author="AbbVie1" w:date="2025-05-13T09:50:00Z"/>
              </w:rPr>
            </w:pPr>
            <w:del w:id="5656" w:author="AbbVie1" w:date="2025-05-13T09:50:00Z">
              <w:r w:rsidRPr="001B4A02">
                <w:delText>49,3</w:delText>
              </w:r>
              <w:r w:rsidR="009C5EAC" w:rsidRPr="001B4A02">
                <w:delText> </w:delText>
              </w:r>
              <w:r w:rsidRPr="001B4A02">
                <w:delText>%</w:delText>
              </w:r>
            </w:del>
          </w:p>
        </w:tc>
        <w:tc>
          <w:tcPr>
            <w:tcW w:w="1560" w:type="dxa"/>
            <w:tcBorders>
              <w:left w:val="single" w:sz="4" w:space="0" w:color="auto"/>
              <w:right w:val="single" w:sz="4" w:space="0" w:color="auto"/>
            </w:tcBorders>
          </w:tcPr>
          <w:p w14:paraId="3D5C36C6" w14:textId="77777777" w:rsidR="00073F8F" w:rsidRPr="001B4A02" w:rsidRDefault="00000000" w:rsidP="00ED48A3">
            <w:pPr>
              <w:keepNext/>
              <w:jc w:val="center"/>
              <w:rPr>
                <w:del w:id="5657" w:author="AbbVie1" w:date="2025-05-13T09:50:00Z"/>
              </w:rPr>
            </w:pPr>
            <w:del w:id="5658" w:author="AbbVie1" w:date="2025-05-13T09:50:00Z">
              <w:r w:rsidRPr="001B4A02">
                <w:delText>69,4</w:delText>
              </w:r>
              <w:r w:rsidR="009C5EAC" w:rsidRPr="001B4A02">
                <w:delText> </w:delText>
              </w:r>
              <w:r w:rsidRPr="001B4A02">
                <w:delText>%</w:delText>
              </w:r>
            </w:del>
          </w:p>
        </w:tc>
        <w:tc>
          <w:tcPr>
            <w:tcW w:w="1417" w:type="dxa"/>
            <w:tcBorders>
              <w:left w:val="single" w:sz="4" w:space="0" w:color="auto"/>
              <w:right w:val="single" w:sz="4" w:space="0" w:color="auto"/>
            </w:tcBorders>
          </w:tcPr>
          <w:p w14:paraId="15AE1862" w14:textId="77777777" w:rsidR="00073F8F" w:rsidRPr="001B4A02" w:rsidRDefault="00000000" w:rsidP="00ED48A3">
            <w:pPr>
              <w:keepNext/>
              <w:jc w:val="center"/>
              <w:rPr>
                <w:del w:id="5659" w:author="AbbVie1" w:date="2025-05-13T09:50:00Z"/>
              </w:rPr>
            </w:pPr>
            <w:del w:id="5660" w:author="AbbVie1" w:date="2025-05-13T09:50:00Z">
              <w:r w:rsidRPr="001B4A02">
                <w:delText>0,002</w:delText>
              </w:r>
            </w:del>
          </w:p>
        </w:tc>
        <w:tc>
          <w:tcPr>
            <w:tcW w:w="1559" w:type="dxa"/>
            <w:tcBorders>
              <w:left w:val="single" w:sz="4" w:space="0" w:color="auto"/>
              <w:right w:val="single" w:sz="4" w:space="0" w:color="auto"/>
            </w:tcBorders>
          </w:tcPr>
          <w:p w14:paraId="52EA21E5" w14:textId="77777777" w:rsidR="00073F8F" w:rsidRPr="001B4A02" w:rsidRDefault="00000000" w:rsidP="00ED48A3">
            <w:pPr>
              <w:keepNext/>
              <w:jc w:val="center"/>
              <w:rPr>
                <w:del w:id="5661" w:author="AbbVie1" w:date="2025-05-13T09:50:00Z"/>
              </w:rPr>
            </w:pPr>
            <w:del w:id="5662" w:author="AbbVie1" w:date="2025-05-13T09:50:00Z">
              <w:r w:rsidRPr="001B4A02">
                <w:delText>&lt;0,001</w:delText>
              </w:r>
            </w:del>
          </w:p>
        </w:tc>
        <w:tc>
          <w:tcPr>
            <w:tcW w:w="1309" w:type="dxa"/>
            <w:tcBorders>
              <w:left w:val="single" w:sz="4" w:space="0" w:color="auto"/>
            </w:tcBorders>
          </w:tcPr>
          <w:p w14:paraId="7B23342A" w14:textId="77777777" w:rsidR="00073F8F" w:rsidRPr="001B4A02" w:rsidRDefault="00000000" w:rsidP="00ED48A3">
            <w:pPr>
              <w:keepNext/>
              <w:jc w:val="center"/>
              <w:rPr>
                <w:del w:id="5663" w:author="AbbVie1" w:date="2025-05-13T09:50:00Z"/>
              </w:rPr>
            </w:pPr>
            <w:del w:id="5664" w:author="AbbVie1" w:date="2025-05-13T09:50:00Z">
              <w:r w:rsidRPr="001B4A02">
                <w:delText>0,140</w:delText>
              </w:r>
            </w:del>
          </w:p>
        </w:tc>
      </w:tr>
      <w:tr w:rsidR="00534A2D" w14:paraId="657D0599" w14:textId="77777777" w:rsidTr="008D783A">
        <w:trPr>
          <w:gridAfter w:val="1"/>
          <w:wAfter w:w="12" w:type="dxa"/>
          <w:cantSplit/>
          <w:jc w:val="center"/>
          <w:del w:id="5665" w:author="AbbVie1" w:date="2025-05-13T09:50:00Z"/>
        </w:trPr>
        <w:tc>
          <w:tcPr>
            <w:tcW w:w="1364" w:type="dxa"/>
            <w:gridSpan w:val="2"/>
            <w:tcBorders>
              <w:right w:val="single" w:sz="4" w:space="0" w:color="auto"/>
            </w:tcBorders>
          </w:tcPr>
          <w:p w14:paraId="4783E571" w14:textId="77777777" w:rsidR="00073F8F" w:rsidRPr="001B4A02" w:rsidRDefault="00000000" w:rsidP="00ED48A3">
            <w:pPr>
              <w:keepNext/>
              <w:rPr>
                <w:del w:id="5666" w:author="AbbVie1" w:date="2025-05-13T09:50:00Z"/>
              </w:rPr>
            </w:pPr>
            <w:del w:id="5667" w:author="AbbVie1" w:date="2025-05-13T09:50:00Z">
              <w:r w:rsidRPr="001B4A02">
                <w:delText>ACR 50</w:delText>
              </w:r>
            </w:del>
          </w:p>
        </w:tc>
        <w:tc>
          <w:tcPr>
            <w:tcW w:w="1046" w:type="dxa"/>
            <w:tcBorders>
              <w:left w:val="single" w:sz="4" w:space="0" w:color="auto"/>
              <w:right w:val="single" w:sz="4" w:space="0" w:color="auto"/>
            </w:tcBorders>
          </w:tcPr>
          <w:p w14:paraId="2A06049B" w14:textId="77777777" w:rsidR="00073F8F" w:rsidRPr="001B4A02" w:rsidRDefault="00073F8F" w:rsidP="00ED48A3">
            <w:pPr>
              <w:keepNext/>
              <w:jc w:val="center"/>
              <w:rPr>
                <w:del w:id="5668" w:author="AbbVie1" w:date="2025-05-13T09:50:00Z"/>
              </w:rPr>
            </w:pPr>
          </w:p>
        </w:tc>
        <w:tc>
          <w:tcPr>
            <w:tcW w:w="992" w:type="dxa"/>
            <w:tcBorders>
              <w:left w:val="single" w:sz="4" w:space="0" w:color="auto"/>
              <w:right w:val="single" w:sz="4" w:space="0" w:color="auto"/>
            </w:tcBorders>
          </w:tcPr>
          <w:p w14:paraId="43EB7F02" w14:textId="77777777" w:rsidR="00073F8F" w:rsidRPr="001B4A02" w:rsidRDefault="00073F8F" w:rsidP="00ED48A3">
            <w:pPr>
              <w:keepNext/>
              <w:jc w:val="center"/>
              <w:rPr>
                <w:del w:id="5669" w:author="AbbVie1" w:date="2025-05-13T09:50:00Z"/>
              </w:rPr>
            </w:pPr>
          </w:p>
        </w:tc>
        <w:tc>
          <w:tcPr>
            <w:tcW w:w="1560" w:type="dxa"/>
            <w:tcBorders>
              <w:left w:val="single" w:sz="4" w:space="0" w:color="auto"/>
              <w:right w:val="single" w:sz="4" w:space="0" w:color="auto"/>
            </w:tcBorders>
          </w:tcPr>
          <w:p w14:paraId="3C743B41" w14:textId="77777777" w:rsidR="00073F8F" w:rsidRPr="001B4A02" w:rsidRDefault="00073F8F" w:rsidP="00ED48A3">
            <w:pPr>
              <w:keepNext/>
              <w:jc w:val="center"/>
              <w:rPr>
                <w:del w:id="5670" w:author="AbbVie1" w:date="2025-05-13T09:50:00Z"/>
              </w:rPr>
            </w:pPr>
          </w:p>
        </w:tc>
        <w:tc>
          <w:tcPr>
            <w:tcW w:w="1417" w:type="dxa"/>
            <w:tcBorders>
              <w:left w:val="single" w:sz="4" w:space="0" w:color="auto"/>
              <w:right w:val="single" w:sz="4" w:space="0" w:color="auto"/>
            </w:tcBorders>
          </w:tcPr>
          <w:p w14:paraId="52120A0C" w14:textId="77777777" w:rsidR="00073F8F" w:rsidRPr="001B4A02" w:rsidRDefault="00073F8F" w:rsidP="00ED48A3">
            <w:pPr>
              <w:keepNext/>
              <w:jc w:val="center"/>
              <w:rPr>
                <w:del w:id="5671" w:author="AbbVie1" w:date="2025-05-13T09:50:00Z"/>
              </w:rPr>
            </w:pPr>
          </w:p>
        </w:tc>
        <w:tc>
          <w:tcPr>
            <w:tcW w:w="1559" w:type="dxa"/>
            <w:tcBorders>
              <w:left w:val="single" w:sz="4" w:space="0" w:color="auto"/>
              <w:right w:val="single" w:sz="4" w:space="0" w:color="auto"/>
            </w:tcBorders>
          </w:tcPr>
          <w:p w14:paraId="19185B9C" w14:textId="77777777" w:rsidR="00073F8F" w:rsidRPr="001B4A02" w:rsidRDefault="00073F8F" w:rsidP="00ED48A3">
            <w:pPr>
              <w:keepNext/>
              <w:jc w:val="center"/>
              <w:rPr>
                <w:del w:id="5672" w:author="AbbVie1" w:date="2025-05-13T09:50:00Z"/>
              </w:rPr>
            </w:pPr>
          </w:p>
        </w:tc>
        <w:tc>
          <w:tcPr>
            <w:tcW w:w="1309" w:type="dxa"/>
            <w:tcBorders>
              <w:left w:val="single" w:sz="4" w:space="0" w:color="auto"/>
            </w:tcBorders>
          </w:tcPr>
          <w:p w14:paraId="567F1CB4" w14:textId="77777777" w:rsidR="00073F8F" w:rsidRPr="001B4A02" w:rsidRDefault="00073F8F" w:rsidP="00ED48A3">
            <w:pPr>
              <w:keepNext/>
              <w:jc w:val="center"/>
              <w:rPr>
                <w:del w:id="5673" w:author="AbbVie1" w:date="2025-05-13T09:50:00Z"/>
              </w:rPr>
            </w:pPr>
          </w:p>
        </w:tc>
      </w:tr>
      <w:tr w:rsidR="00534A2D" w14:paraId="36FD34B7" w14:textId="77777777" w:rsidTr="008D783A">
        <w:trPr>
          <w:gridAfter w:val="1"/>
          <w:wAfter w:w="12" w:type="dxa"/>
          <w:cantSplit/>
          <w:jc w:val="center"/>
          <w:del w:id="5674" w:author="AbbVie1" w:date="2025-05-13T09:50:00Z"/>
        </w:trPr>
        <w:tc>
          <w:tcPr>
            <w:tcW w:w="1364" w:type="dxa"/>
            <w:gridSpan w:val="2"/>
          </w:tcPr>
          <w:p w14:paraId="084CA11E" w14:textId="77777777" w:rsidR="00073F8F" w:rsidRPr="001B4A02" w:rsidRDefault="00000000" w:rsidP="00ED48A3">
            <w:pPr>
              <w:keepNext/>
              <w:rPr>
                <w:del w:id="5675" w:author="AbbVie1" w:date="2025-05-13T09:50:00Z"/>
              </w:rPr>
            </w:pPr>
            <w:del w:id="5676" w:author="AbbVie1" w:date="2025-05-13T09:50:00Z">
              <w:r w:rsidRPr="001B4A02">
                <w:tab/>
                <w:delText>Týden 52</w:delText>
              </w:r>
            </w:del>
          </w:p>
        </w:tc>
        <w:tc>
          <w:tcPr>
            <w:tcW w:w="1046" w:type="dxa"/>
          </w:tcPr>
          <w:p w14:paraId="7ECDA9E7" w14:textId="77777777" w:rsidR="00073F8F" w:rsidRPr="001B4A02" w:rsidRDefault="00000000" w:rsidP="00ED48A3">
            <w:pPr>
              <w:keepNext/>
              <w:jc w:val="center"/>
              <w:rPr>
                <w:del w:id="5677" w:author="AbbVie1" w:date="2025-05-13T09:50:00Z"/>
              </w:rPr>
            </w:pPr>
            <w:del w:id="5678" w:author="AbbVie1" w:date="2025-05-13T09:50:00Z">
              <w:r w:rsidRPr="001B4A02">
                <w:delText>45,9</w:delText>
              </w:r>
              <w:r w:rsidR="009C5EAC" w:rsidRPr="001B4A02">
                <w:delText> </w:delText>
              </w:r>
              <w:r w:rsidRPr="001B4A02">
                <w:delText>%</w:delText>
              </w:r>
            </w:del>
          </w:p>
        </w:tc>
        <w:tc>
          <w:tcPr>
            <w:tcW w:w="992" w:type="dxa"/>
          </w:tcPr>
          <w:p w14:paraId="32FBF0FD" w14:textId="77777777" w:rsidR="00073F8F" w:rsidRPr="001B4A02" w:rsidRDefault="00000000" w:rsidP="00ED48A3">
            <w:pPr>
              <w:keepNext/>
              <w:jc w:val="center"/>
              <w:rPr>
                <w:del w:id="5679" w:author="AbbVie1" w:date="2025-05-13T09:50:00Z"/>
              </w:rPr>
            </w:pPr>
            <w:del w:id="5680" w:author="AbbVie1" w:date="2025-05-13T09:50:00Z">
              <w:r w:rsidRPr="001B4A02">
                <w:delText>41,2</w:delText>
              </w:r>
              <w:r w:rsidR="009C5EAC" w:rsidRPr="001B4A02">
                <w:delText> </w:delText>
              </w:r>
              <w:r w:rsidRPr="001B4A02">
                <w:delText>%</w:delText>
              </w:r>
            </w:del>
          </w:p>
        </w:tc>
        <w:tc>
          <w:tcPr>
            <w:tcW w:w="1560" w:type="dxa"/>
          </w:tcPr>
          <w:p w14:paraId="0658ED4F" w14:textId="77777777" w:rsidR="00073F8F" w:rsidRPr="001B4A02" w:rsidRDefault="00000000" w:rsidP="00ED48A3">
            <w:pPr>
              <w:keepNext/>
              <w:jc w:val="center"/>
              <w:rPr>
                <w:del w:id="5681" w:author="AbbVie1" w:date="2025-05-13T09:50:00Z"/>
              </w:rPr>
            </w:pPr>
            <w:del w:id="5682" w:author="AbbVie1" w:date="2025-05-13T09:50:00Z">
              <w:r w:rsidRPr="001B4A02">
                <w:delText>61,6</w:delText>
              </w:r>
              <w:r w:rsidR="009C5EAC" w:rsidRPr="001B4A02">
                <w:delText> </w:delText>
              </w:r>
              <w:r w:rsidRPr="001B4A02">
                <w:delText>%</w:delText>
              </w:r>
            </w:del>
          </w:p>
        </w:tc>
        <w:tc>
          <w:tcPr>
            <w:tcW w:w="1417" w:type="dxa"/>
          </w:tcPr>
          <w:p w14:paraId="1C94A98C" w14:textId="77777777" w:rsidR="00073F8F" w:rsidRPr="001B4A02" w:rsidRDefault="00000000" w:rsidP="00ED48A3">
            <w:pPr>
              <w:keepNext/>
              <w:jc w:val="center"/>
              <w:rPr>
                <w:del w:id="5683" w:author="AbbVie1" w:date="2025-05-13T09:50:00Z"/>
              </w:rPr>
            </w:pPr>
            <w:del w:id="5684" w:author="AbbVie1" w:date="2025-05-13T09:50:00Z">
              <w:r w:rsidRPr="001B4A02">
                <w:delText>&lt;0,001</w:delText>
              </w:r>
            </w:del>
          </w:p>
        </w:tc>
        <w:tc>
          <w:tcPr>
            <w:tcW w:w="1559" w:type="dxa"/>
          </w:tcPr>
          <w:p w14:paraId="0E391C08" w14:textId="77777777" w:rsidR="00073F8F" w:rsidRPr="001B4A02" w:rsidRDefault="00000000" w:rsidP="00ED48A3">
            <w:pPr>
              <w:keepNext/>
              <w:jc w:val="center"/>
              <w:rPr>
                <w:del w:id="5685" w:author="AbbVie1" w:date="2025-05-13T09:50:00Z"/>
              </w:rPr>
            </w:pPr>
            <w:del w:id="5686" w:author="AbbVie1" w:date="2025-05-13T09:50:00Z">
              <w:r w:rsidRPr="001B4A02">
                <w:delText>&lt;0,001</w:delText>
              </w:r>
            </w:del>
          </w:p>
        </w:tc>
        <w:tc>
          <w:tcPr>
            <w:tcW w:w="1309" w:type="dxa"/>
          </w:tcPr>
          <w:p w14:paraId="3FF50CEA" w14:textId="77777777" w:rsidR="00073F8F" w:rsidRPr="001B4A02" w:rsidRDefault="00000000" w:rsidP="00ED48A3">
            <w:pPr>
              <w:keepNext/>
              <w:jc w:val="center"/>
              <w:rPr>
                <w:del w:id="5687" w:author="AbbVie1" w:date="2025-05-13T09:50:00Z"/>
              </w:rPr>
            </w:pPr>
            <w:del w:id="5688" w:author="AbbVie1" w:date="2025-05-13T09:50:00Z">
              <w:r w:rsidRPr="001B4A02">
                <w:delText>0,317</w:delText>
              </w:r>
            </w:del>
          </w:p>
        </w:tc>
      </w:tr>
      <w:tr w:rsidR="00534A2D" w14:paraId="17BB2FD3" w14:textId="77777777" w:rsidTr="008D783A">
        <w:trPr>
          <w:gridAfter w:val="1"/>
          <w:wAfter w:w="12" w:type="dxa"/>
          <w:cantSplit/>
          <w:jc w:val="center"/>
          <w:del w:id="5689" w:author="AbbVie1" w:date="2025-05-13T09:50:00Z"/>
        </w:trPr>
        <w:tc>
          <w:tcPr>
            <w:tcW w:w="1364" w:type="dxa"/>
            <w:gridSpan w:val="2"/>
          </w:tcPr>
          <w:p w14:paraId="2ADC23CD" w14:textId="77777777" w:rsidR="00073F8F" w:rsidRPr="001B4A02" w:rsidRDefault="00000000" w:rsidP="00ED48A3">
            <w:pPr>
              <w:keepNext/>
              <w:rPr>
                <w:del w:id="5690" w:author="AbbVie1" w:date="2025-05-13T09:50:00Z"/>
              </w:rPr>
            </w:pPr>
            <w:del w:id="5691" w:author="AbbVie1" w:date="2025-05-13T09:50:00Z">
              <w:r w:rsidRPr="001B4A02">
                <w:tab/>
                <w:delText>Týden 104</w:delText>
              </w:r>
            </w:del>
          </w:p>
        </w:tc>
        <w:tc>
          <w:tcPr>
            <w:tcW w:w="1046" w:type="dxa"/>
            <w:tcBorders>
              <w:bottom w:val="single" w:sz="4" w:space="0" w:color="auto"/>
            </w:tcBorders>
          </w:tcPr>
          <w:p w14:paraId="5A5648B6" w14:textId="77777777" w:rsidR="00073F8F" w:rsidRPr="001B4A02" w:rsidRDefault="00000000" w:rsidP="00ED48A3">
            <w:pPr>
              <w:keepNext/>
              <w:jc w:val="center"/>
              <w:rPr>
                <w:del w:id="5692" w:author="AbbVie1" w:date="2025-05-13T09:50:00Z"/>
              </w:rPr>
            </w:pPr>
            <w:del w:id="5693" w:author="AbbVie1" w:date="2025-05-13T09:50:00Z">
              <w:r w:rsidRPr="001B4A02">
                <w:delText>42,8</w:delText>
              </w:r>
              <w:r w:rsidR="009C5EAC" w:rsidRPr="001B4A02">
                <w:delText> </w:delText>
              </w:r>
              <w:r w:rsidRPr="001B4A02">
                <w:delText>%</w:delText>
              </w:r>
            </w:del>
          </w:p>
        </w:tc>
        <w:tc>
          <w:tcPr>
            <w:tcW w:w="992" w:type="dxa"/>
            <w:tcBorders>
              <w:bottom w:val="single" w:sz="4" w:space="0" w:color="auto"/>
            </w:tcBorders>
          </w:tcPr>
          <w:p w14:paraId="3B3054C5" w14:textId="77777777" w:rsidR="00073F8F" w:rsidRPr="001B4A02" w:rsidRDefault="00000000" w:rsidP="00ED48A3">
            <w:pPr>
              <w:keepNext/>
              <w:jc w:val="center"/>
              <w:rPr>
                <w:del w:id="5694" w:author="AbbVie1" w:date="2025-05-13T09:50:00Z"/>
              </w:rPr>
            </w:pPr>
            <w:del w:id="5695" w:author="AbbVie1" w:date="2025-05-13T09:50:00Z">
              <w:r w:rsidRPr="001B4A02">
                <w:delText>36,9</w:delText>
              </w:r>
              <w:r w:rsidR="009C5EAC" w:rsidRPr="001B4A02">
                <w:delText> </w:delText>
              </w:r>
              <w:r w:rsidRPr="001B4A02">
                <w:delText>%</w:delText>
              </w:r>
            </w:del>
          </w:p>
        </w:tc>
        <w:tc>
          <w:tcPr>
            <w:tcW w:w="1560" w:type="dxa"/>
            <w:tcBorders>
              <w:bottom w:val="single" w:sz="4" w:space="0" w:color="auto"/>
            </w:tcBorders>
          </w:tcPr>
          <w:p w14:paraId="4830DD90" w14:textId="77777777" w:rsidR="00073F8F" w:rsidRPr="001B4A02" w:rsidRDefault="00000000" w:rsidP="00ED48A3">
            <w:pPr>
              <w:keepNext/>
              <w:jc w:val="center"/>
              <w:rPr>
                <w:del w:id="5696" w:author="AbbVie1" w:date="2025-05-13T09:50:00Z"/>
              </w:rPr>
            </w:pPr>
            <w:del w:id="5697" w:author="AbbVie1" w:date="2025-05-13T09:50:00Z">
              <w:r w:rsidRPr="001B4A02">
                <w:delText>59,0</w:delText>
              </w:r>
              <w:r w:rsidR="009C5EAC" w:rsidRPr="001B4A02">
                <w:delText> </w:delText>
              </w:r>
              <w:r w:rsidRPr="001B4A02">
                <w:delText>%</w:delText>
              </w:r>
            </w:del>
          </w:p>
        </w:tc>
        <w:tc>
          <w:tcPr>
            <w:tcW w:w="1417" w:type="dxa"/>
            <w:tcBorders>
              <w:bottom w:val="single" w:sz="4" w:space="0" w:color="auto"/>
            </w:tcBorders>
          </w:tcPr>
          <w:p w14:paraId="15B0A88B" w14:textId="77777777" w:rsidR="00073F8F" w:rsidRPr="001B4A02" w:rsidRDefault="00000000" w:rsidP="00ED48A3">
            <w:pPr>
              <w:keepNext/>
              <w:jc w:val="center"/>
              <w:rPr>
                <w:del w:id="5698" w:author="AbbVie1" w:date="2025-05-13T09:50:00Z"/>
              </w:rPr>
            </w:pPr>
            <w:del w:id="5699" w:author="AbbVie1" w:date="2025-05-13T09:50:00Z">
              <w:r w:rsidRPr="001B4A02">
                <w:delText>&lt;0,001</w:delText>
              </w:r>
            </w:del>
          </w:p>
        </w:tc>
        <w:tc>
          <w:tcPr>
            <w:tcW w:w="1559" w:type="dxa"/>
            <w:tcBorders>
              <w:bottom w:val="single" w:sz="4" w:space="0" w:color="auto"/>
            </w:tcBorders>
          </w:tcPr>
          <w:p w14:paraId="353E9E0F" w14:textId="77777777" w:rsidR="00073F8F" w:rsidRPr="001B4A02" w:rsidRDefault="00000000" w:rsidP="00ED48A3">
            <w:pPr>
              <w:keepNext/>
              <w:jc w:val="center"/>
              <w:rPr>
                <w:del w:id="5700" w:author="AbbVie1" w:date="2025-05-13T09:50:00Z"/>
              </w:rPr>
            </w:pPr>
            <w:del w:id="5701" w:author="AbbVie1" w:date="2025-05-13T09:50:00Z">
              <w:r w:rsidRPr="001B4A02">
                <w:delText>&lt;0,001</w:delText>
              </w:r>
            </w:del>
          </w:p>
        </w:tc>
        <w:tc>
          <w:tcPr>
            <w:tcW w:w="1309" w:type="dxa"/>
          </w:tcPr>
          <w:p w14:paraId="3E427CD1" w14:textId="77777777" w:rsidR="00073F8F" w:rsidRPr="001B4A02" w:rsidRDefault="00000000" w:rsidP="00ED48A3">
            <w:pPr>
              <w:keepNext/>
              <w:jc w:val="center"/>
              <w:rPr>
                <w:del w:id="5702" w:author="AbbVie1" w:date="2025-05-13T09:50:00Z"/>
              </w:rPr>
            </w:pPr>
            <w:del w:id="5703" w:author="AbbVie1" w:date="2025-05-13T09:50:00Z">
              <w:r w:rsidRPr="001B4A02">
                <w:delText>0,162</w:delText>
              </w:r>
            </w:del>
          </w:p>
        </w:tc>
      </w:tr>
      <w:tr w:rsidR="00534A2D" w14:paraId="54062DEB" w14:textId="77777777" w:rsidTr="008D783A">
        <w:trPr>
          <w:gridAfter w:val="1"/>
          <w:wAfter w:w="12" w:type="dxa"/>
          <w:cantSplit/>
          <w:jc w:val="center"/>
          <w:del w:id="5704" w:author="AbbVie1" w:date="2025-05-13T09:50:00Z"/>
        </w:trPr>
        <w:tc>
          <w:tcPr>
            <w:tcW w:w="1364" w:type="dxa"/>
            <w:gridSpan w:val="2"/>
            <w:tcBorders>
              <w:right w:val="single" w:sz="4" w:space="0" w:color="auto"/>
            </w:tcBorders>
          </w:tcPr>
          <w:p w14:paraId="03267996" w14:textId="77777777" w:rsidR="00073F8F" w:rsidRPr="001B4A02" w:rsidRDefault="00000000" w:rsidP="00ED48A3">
            <w:pPr>
              <w:keepNext/>
              <w:rPr>
                <w:del w:id="5705" w:author="AbbVie1" w:date="2025-05-13T09:50:00Z"/>
              </w:rPr>
            </w:pPr>
            <w:del w:id="5706" w:author="AbbVie1" w:date="2025-05-13T09:50:00Z">
              <w:r w:rsidRPr="001B4A02">
                <w:delText>ACR 70</w:delText>
              </w:r>
            </w:del>
          </w:p>
        </w:tc>
        <w:tc>
          <w:tcPr>
            <w:tcW w:w="1046" w:type="dxa"/>
            <w:tcBorders>
              <w:left w:val="single" w:sz="4" w:space="0" w:color="auto"/>
              <w:right w:val="single" w:sz="4" w:space="0" w:color="auto"/>
            </w:tcBorders>
          </w:tcPr>
          <w:p w14:paraId="7613315A" w14:textId="77777777" w:rsidR="00073F8F" w:rsidRPr="001B4A02" w:rsidRDefault="00073F8F" w:rsidP="00ED48A3">
            <w:pPr>
              <w:keepNext/>
              <w:jc w:val="center"/>
              <w:rPr>
                <w:del w:id="5707" w:author="AbbVie1" w:date="2025-05-13T09:50:00Z"/>
              </w:rPr>
            </w:pPr>
          </w:p>
        </w:tc>
        <w:tc>
          <w:tcPr>
            <w:tcW w:w="992" w:type="dxa"/>
            <w:tcBorders>
              <w:left w:val="single" w:sz="4" w:space="0" w:color="auto"/>
              <w:right w:val="single" w:sz="4" w:space="0" w:color="auto"/>
            </w:tcBorders>
          </w:tcPr>
          <w:p w14:paraId="59593CF0" w14:textId="77777777" w:rsidR="00073F8F" w:rsidRPr="001B4A02" w:rsidRDefault="00073F8F" w:rsidP="00ED48A3">
            <w:pPr>
              <w:keepNext/>
              <w:jc w:val="center"/>
              <w:rPr>
                <w:del w:id="5708" w:author="AbbVie1" w:date="2025-05-13T09:50:00Z"/>
              </w:rPr>
            </w:pPr>
          </w:p>
        </w:tc>
        <w:tc>
          <w:tcPr>
            <w:tcW w:w="1560" w:type="dxa"/>
            <w:tcBorders>
              <w:left w:val="single" w:sz="4" w:space="0" w:color="auto"/>
              <w:right w:val="single" w:sz="4" w:space="0" w:color="auto"/>
            </w:tcBorders>
          </w:tcPr>
          <w:p w14:paraId="4F839BAD" w14:textId="77777777" w:rsidR="00073F8F" w:rsidRPr="001B4A02" w:rsidRDefault="00073F8F" w:rsidP="00ED48A3">
            <w:pPr>
              <w:keepNext/>
              <w:jc w:val="center"/>
              <w:rPr>
                <w:del w:id="5709" w:author="AbbVie1" w:date="2025-05-13T09:50:00Z"/>
              </w:rPr>
            </w:pPr>
          </w:p>
        </w:tc>
        <w:tc>
          <w:tcPr>
            <w:tcW w:w="1417" w:type="dxa"/>
            <w:tcBorders>
              <w:left w:val="single" w:sz="4" w:space="0" w:color="auto"/>
              <w:right w:val="single" w:sz="4" w:space="0" w:color="auto"/>
            </w:tcBorders>
          </w:tcPr>
          <w:p w14:paraId="06F8298C" w14:textId="77777777" w:rsidR="00073F8F" w:rsidRPr="001B4A02" w:rsidRDefault="00073F8F" w:rsidP="00ED48A3">
            <w:pPr>
              <w:keepNext/>
              <w:jc w:val="center"/>
              <w:rPr>
                <w:del w:id="5710" w:author="AbbVie1" w:date="2025-05-13T09:50:00Z"/>
              </w:rPr>
            </w:pPr>
          </w:p>
        </w:tc>
        <w:tc>
          <w:tcPr>
            <w:tcW w:w="1559" w:type="dxa"/>
            <w:tcBorders>
              <w:left w:val="single" w:sz="4" w:space="0" w:color="auto"/>
              <w:right w:val="single" w:sz="4" w:space="0" w:color="auto"/>
            </w:tcBorders>
          </w:tcPr>
          <w:p w14:paraId="795E9056" w14:textId="77777777" w:rsidR="00073F8F" w:rsidRPr="001B4A02" w:rsidRDefault="00073F8F" w:rsidP="00ED48A3">
            <w:pPr>
              <w:keepNext/>
              <w:jc w:val="center"/>
              <w:rPr>
                <w:del w:id="5711" w:author="AbbVie1" w:date="2025-05-13T09:50:00Z"/>
              </w:rPr>
            </w:pPr>
          </w:p>
        </w:tc>
        <w:tc>
          <w:tcPr>
            <w:tcW w:w="1309" w:type="dxa"/>
            <w:tcBorders>
              <w:left w:val="single" w:sz="4" w:space="0" w:color="auto"/>
            </w:tcBorders>
          </w:tcPr>
          <w:p w14:paraId="3BD42116" w14:textId="77777777" w:rsidR="00073F8F" w:rsidRPr="001B4A02" w:rsidRDefault="00073F8F" w:rsidP="00ED48A3">
            <w:pPr>
              <w:keepNext/>
              <w:jc w:val="center"/>
              <w:rPr>
                <w:del w:id="5712" w:author="AbbVie1" w:date="2025-05-13T09:50:00Z"/>
              </w:rPr>
            </w:pPr>
          </w:p>
        </w:tc>
      </w:tr>
      <w:tr w:rsidR="00534A2D" w14:paraId="700C3E75" w14:textId="77777777" w:rsidTr="008D783A">
        <w:trPr>
          <w:gridAfter w:val="1"/>
          <w:wAfter w:w="12" w:type="dxa"/>
          <w:cantSplit/>
          <w:trHeight w:val="70"/>
          <w:jc w:val="center"/>
          <w:del w:id="5713" w:author="AbbVie1" w:date="2025-05-13T09:50:00Z"/>
        </w:trPr>
        <w:tc>
          <w:tcPr>
            <w:tcW w:w="1364" w:type="dxa"/>
            <w:gridSpan w:val="2"/>
          </w:tcPr>
          <w:p w14:paraId="0C1C83EA" w14:textId="77777777" w:rsidR="00073F8F" w:rsidRPr="001B4A02" w:rsidRDefault="00000000" w:rsidP="00ED48A3">
            <w:pPr>
              <w:keepNext/>
              <w:rPr>
                <w:del w:id="5714" w:author="AbbVie1" w:date="2025-05-13T09:50:00Z"/>
              </w:rPr>
            </w:pPr>
            <w:del w:id="5715" w:author="AbbVie1" w:date="2025-05-13T09:50:00Z">
              <w:r w:rsidRPr="001B4A02">
                <w:tab/>
                <w:delText>Týden 52</w:delText>
              </w:r>
            </w:del>
          </w:p>
        </w:tc>
        <w:tc>
          <w:tcPr>
            <w:tcW w:w="1046" w:type="dxa"/>
          </w:tcPr>
          <w:p w14:paraId="3CFD5EEE" w14:textId="77777777" w:rsidR="00073F8F" w:rsidRPr="001B4A02" w:rsidRDefault="00000000" w:rsidP="00ED48A3">
            <w:pPr>
              <w:keepNext/>
              <w:jc w:val="center"/>
              <w:rPr>
                <w:del w:id="5716" w:author="AbbVie1" w:date="2025-05-13T09:50:00Z"/>
              </w:rPr>
            </w:pPr>
            <w:del w:id="5717" w:author="AbbVie1" w:date="2025-05-13T09:50:00Z">
              <w:r w:rsidRPr="001B4A02">
                <w:delText>27,2</w:delText>
              </w:r>
              <w:r w:rsidR="009C5EAC" w:rsidRPr="001B4A02">
                <w:delText> </w:delText>
              </w:r>
              <w:r w:rsidRPr="001B4A02">
                <w:delText>%</w:delText>
              </w:r>
            </w:del>
          </w:p>
        </w:tc>
        <w:tc>
          <w:tcPr>
            <w:tcW w:w="992" w:type="dxa"/>
          </w:tcPr>
          <w:p w14:paraId="5F2FAFC5" w14:textId="77777777" w:rsidR="00073F8F" w:rsidRPr="001B4A02" w:rsidRDefault="00000000" w:rsidP="00ED48A3">
            <w:pPr>
              <w:keepNext/>
              <w:jc w:val="center"/>
              <w:rPr>
                <w:del w:id="5718" w:author="AbbVie1" w:date="2025-05-13T09:50:00Z"/>
              </w:rPr>
            </w:pPr>
            <w:del w:id="5719" w:author="AbbVie1" w:date="2025-05-13T09:50:00Z">
              <w:r w:rsidRPr="001B4A02">
                <w:delText>25,9</w:delText>
              </w:r>
              <w:r w:rsidR="009C5EAC" w:rsidRPr="001B4A02">
                <w:delText> </w:delText>
              </w:r>
              <w:r w:rsidRPr="001B4A02">
                <w:delText>%</w:delText>
              </w:r>
            </w:del>
          </w:p>
        </w:tc>
        <w:tc>
          <w:tcPr>
            <w:tcW w:w="1560" w:type="dxa"/>
          </w:tcPr>
          <w:p w14:paraId="4376F434" w14:textId="77777777" w:rsidR="00073F8F" w:rsidRPr="001B4A02" w:rsidRDefault="00000000" w:rsidP="00ED48A3">
            <w:pPr>
              <w:keepNext/>
              <w:jc w:val="center"/>
              <w:rPr>
                <w:del w:id="5720" w:author="AbbVie1" w:date="2025-05-13T09:50:00Z"/>
              </w:rPr>
            </w:pPr>
            <w:del w:id="5721" w:author="AbbVie1" w:date="2025-05-13T09:50:00Z">
              <w:r w:rsidRPr="001B4A02">
                <w:delText>45,5</w:delText>
              </w:r>
              <w:r w:rsidR="009C5EAC" w:rsidRPr="001B4A02">
                <w:delText> </w:delText>
              </w:r>
              <w:r w:rsidRPr="001B4A02">
                <w:delText>%</w:delText>
              </w:r>
            </w:del>
          </w:p>
        </w:tc>
        <w:tc>
          <w:tcPr>
            <w:tcW w:w="1417" w:type="dxa"/>
          </w:tcPr>
          <w:p w14:paraId="45834E59" w14:textId="77777777" w:rsidR="00073F8F" w:rsidRPr="001B4A02" w:rsidRDefault="00000000" w:rsidP="00ED48A3">
            <w:pPr>
              <w:keepNext/>
              <w:jc w:val="center"/>
              <w:rPr>
                <w:del w:id="5722" w:author="AbbVie1" w:date="2025-05-13T09:50:00Z"/>
              </w:rPr>
            </w:pPr>
            <w:del w:id="5723" w:author="AbbVie1" w:date="2025-05-13T09:50:00Z">
              <w:r w:rsidRPr="001B4A02">
                <w:delText>&lt;0,001</w:delText>
              </w:r>
            </w:del>
          </w:p>
        </w:tc>
        <w:tc>
          <w:tcPr>
            <w:tcW w:w="1559" w:type="dxa"/>
          </w:tcPr>
          <w:p w14:paraId="596195E8" w14:textId="77777777" w:rsidR="00073F8F" w:rsidRPr="001B4A02" w:rsidRDefault="00000000" w:rsidP="00ED48A3">
            <w:pPr>
              <w:keepNext/>
              <w:jc w:val="center"/>
              <w:rPr>
                <w:del w:id="5724" w:author="AbbVie1" w:date="2025-05-13T09:50:00Z"/>
              </w:rPr>
            </w:pPr>
            <w:del w:id="5725" w:author="AbbVie1" w:date="2025-05-13T09:50:00Z">
              <w:r w:rsidRPr="001B4A02">
                <w:delText>&lt;0,001</w:delText>
              </w:r>
            </w:del>
          </w:p>
        </w:tc>
        <w:tc>
          <w:tcPr>
            <w:tcW w:w="1309" w:type="dxa"/>
          </w:tcPr>
          <w:p w14:paraId="0FC0BC80" w14:textId="77777777" w:rsidR="00073F8F" w:rsidRPr="001B4A02" w:rsidRDefault="00000000" w:rsidP="00ED48A3">
            <w:pPr>
              <w:keepNext/>
              <w:jc w:val="center"/>
              <w:rPr>
                <w:del w:id="5726" w:author="AbbVie1" w:date="2025-05-13T09:50:00Z"/>
              </w:rPr>
            </w:pPr>
            <w:del w:id="5727" w:author="AbbVie1" w:date="2025-05-13T09:50:00Z">
              <w:r w:rsidRPr="001B4A02">
                <w:delText>0,656</w:delText>
              </w:r>
            </w:del>
          </w:p>
        </w:tc>
      </w:tr>
      <w:tr w:rsidR="00534A2D" w14:paraId="57B401B0" w14:textId="77777777" w:rsidTr="008D783A">
        <w:trPr>
          <w:gridAfter w:val="1"/>
          <w:wAfter w:w="12" w:type="dxa"/>
          <w:cantSplit/>
          <w:jc w:val="center"/>
          <w:del w:id="5728" w:author="AbbVie1" w:date="2025-05-13T09:50:00Z"/>
        </w:trPr>
        <w:tc>
          <w:tcPr>
            <w:tcW w:w="1364" w:type="dxa"/>
            <w:gridSpan w:val="2"/>
          </w:tcPr>
          <w:p w14:paraId="20C5050B" w14:textId="77777777" w:rsidR="00073F8F" w:rsidRPr="001B4A02" w:rsidRDefault="00000000" w:rsidP="00ED48A3">
            <w:pPr>
              <w:keepNext/>
              <w:rPr>
                <w:del w:id="5729" w:author="AbbVie1" w:date="2025-05-13T09:50:00Z"/>
              </w:rPr>
            </w:pPr>
            <w:del w:id="5730" w:author="AbbVie1" w:date="2025-05-13T09:50:00Z">
              <w:r w:rsidRPr="001B4A02">
                <w:tab/>
                <w:delText>Týden 104</w:delText>
              </w:r>
            </w:del>
          </w:p>
        </w:tc>
        <w:tc>
          <w:tcPr>
            <w:tcW w:w="1046" w:type="dxa"/>
          </w:tcPr>
          <w:p w14:paraId="415F3842" w14:textId="77777777" w:rsidR="00073F8F" w:rsidRPr="001B4A02" w:rsidRDefault="00000000" w:rsidP="00ED48A3">
            <w:pPr>
              <w:keepNext/>
              <w:jc w:val="center"/>
              <w:rPr>
                <w:del w:id="5731" w:author="AbbVie1" w:date="2025-05-13T09:50:00Z"/>
              </w:rPr>
            </w:pPr>
            <w:del w:id="5732" w:author="AbbVie1" w:date="2025-05-13T09:50:00Z">
              <w:r w:rsidRPr="001B4A02">
                <w:delText>28,4</w:delText>
              </w:r>
              <w:r w:rsidR="009C5EAC" w:rsidRPr="001B4A02">
                <w:delText> </w:delText>
              </w:r>
              <w:r w:rsidRPr="001B4A02">
                <w:delText>%</w:delText>
              </w:r>
            </w:del>
          </w:p>
        </w:tc>
        <w:tc>
          <w:tcPr>
            <w:tcW w:w="992" w:type="dxa"/>
          </w:tcPr>
          <w:p w14:paraId="7CFE1DD4" w14:textId="77777777" w:rsidR="00073F8F" w:rsidRPr="001B4A02" w:rsidRDefault="00000000" w:rsidP="00ED48A3">
            <w:pPr>
              <w:keepNext/>
              <w:jc w:val="center"/>
              <w:rPr>
                <w:del w:id="5733" w:author="AbbVie1" w:date="2025-05-13T09:50:00Z"/>
              </w:rPr>
            </w:pPr>
            <w:del w:id="5734" w:author="AbbVie1" w:date="2025-05-13T09:50:00Z">
              <w:r w:rsidRPr="001B4A02">
                <w:delText>28,1</w:delText>
              </w:r>
              <w:r w:rsidR="009C5EAC" w:rsidRPr="001B4A02">
                <w:delText> </w:delText>
              </w:r>
              <w:r w:rsidRPr="001B4A02">
                <w:delText>%</w:delText>
              </w:r>
            </w:del>
          </w:p>
        </w:tc>
        <w:tc>
          <w:tcPr>
            <w:tcW w:w="1560" w:type="dxa"/>
          </w:tcPr>
          <w:p w14:paraId="3BCB56C3" w14:textId="77777777" w:rsidR="00073F8F" w:rsidRPr="001B4A02" w:rsidRDefault="00000000" w:rsidP="00ED48A3">
            <w:pPr>
              <w:keepNext/>
              <w:jc w:val="center"/>
              <w:rPr>
                <w:del w:id="5735" w:author="AbbVie1" w:date="2025-05-13T09:50:00Z"/>
              </w:rPr>
            </w:pPr>
            <w:del w:id="5736" w:author="AbbVie1" w:date="2025-05-13T09:50:00Z">
              <w:r w:rsidRPr="001B4A02">
                <w:delText>46,6</w:delText>
              </w:r>
              <w:r w:rsidR="009C5EAC" w:rsidRPr="001B4A02">
                <w:delText> </w:delText>
              </w:r>
              <w:r w:rsidRPr="001B4A02">
                <w:delText>%</w:delText>
              </w:r>
            </w:del>
          </w:p>
        </w:tc>
        <w:tc>
          <w:tcPr>
            <w:tcW w:w="1417" w:type="dxa"/>
          </w:tcPr>
          <w:p w14:paraId="02CC3D5A" w14:textId="77777777" w:rsidR="00073F8F" w:rsidRPr="001B4A02" w:rsidRDefault="00000000" w:rsidP="00ED48A3">
            <w:pPr>
              <w:keepNext/>
              <w:jc w:val="center"/>
              <w:rPr>
                <w:del w:id="5737" w:author="AbbVie1" w:date="2025-05-13T09:50:00Z"/>
              </w:rPr>
            </w:pPr>
            <w:del w:id="5738" w:author="AbbVie1" w:date="2025-05-13T09:50:00Z">
              <w:r w:rsidRPr="001B4A02">
                <w:delText>&lt;0,001</w:delText>
              </w:r>
            </w:del>
          </w:p>
        </w:tc>
        <w:tc>
          <w:tcPr>
            <w:tcW w:w="1559" w:type="dxa"/>
          </w:tcPr>
          <w:p w14:paraId="705A563F" w14:textId="77777777" w:rsidR="00073F8F" w:rsidRPr="001B4A02" w:rsidRDefault="00000000" w:rsidP="00ED48A3">
            <w:pPr>
              <w:keepNext/>
              <w:jc w:val="center"/>
              <w:rPr>
                <w:del w:id="5739" w:author="AbbVie1" w:date="2025-05-13T09:50:00Z"/>
              </w:rPr>
            </w:pPr>
            <w:del w:id="5740" w:author="AbbVie1" w:date="2025-05-13T09:50:00Z">
              <w:r w:rsidRPr="001B4A02">
                <w:delText>&lt;0,001</w:delText>
              </w:r>
            </w:del>
          </w:p>
        </w:tc>
        <w:tc>
          <w:tcPr>
            <w:tcW w:w="1309" w:type="dxa"/>
          </w:tcPr>
          <w:p w14:paraId="54ABA3B4" w14:textId="77777777" w:rsidR="00073F8F" w:rsidRPr="001B4A02" w:rsidRDefault="00000000" w:rsidP="00ED48A3">
            <w:pPr>
              <w:keepNext/>
              <w:jc w:val="center"/>
              <w:rPr>
                <w:del w:id="5741" w:author="AbbVie1" w:date="2025-05-13T09:50:00Z"/>
              </w:rPr>
            </w:pPr>
            <w:del w:id="5742" w:author="AbbVie1" w:date="2025-05-13T09:50:00Z">
              <w:r w:rsidRPr="001B4A02">
                <w:delText>0,864</w:delText>
              </w:r>
            </w:del>
          </w:p>
        </w:tc>
      </w:tr>
      <w:tr w:rsidR="00534A2D" w14:paraId="23AE7DCD" w14:textId="77777777" w:rsidTr="00381D76">
        <w:trPr>
          <w:gridBefore w:val="1"/>
          <w:wBefore w:w="9" w:type="dxa"/>
          <w:cantSplit/>
          <w:jc w:val="center"/>
          <w:del w:id="5743" w:author="AbbVie1" w:date="2025-05-13T09:50:00Z"/>
        </w:trPr>
        <w:tc>
          <w:tcPr>
            <w:tcW w:w="9250" w:type="dxa"/>
            <w:gridSpan w:val="8"/>
          </w:tcPr>
          <w:p w14:paraId="2FB199DA" w14:textId="77777777" w:rsidR="00073F8F" w:rsidRPr="009271A3" w:rsidRDefault="00000000" w:rsidP="00ED48A3">
            <w:pPr>
              <w:keepNext/>
              <w:tabs>
                <w:tab w:val="left" w:pos="330"/>
                <w:tab w:val="left" w:pos="10728"/>
              </w:tabs>
              <w:ind w:left="360" w:hanging="360"/>
              <w:rPr>
                <w:del w:id="5744" w:author="AbbVie1" w:date="2025-05-13T09:50:00Z"/>
                <w:sz w:val="20"/>
              </w:rPr>
            </w:pPr>
            <w:del w:id="5745" w:author="AbbVie1" w:date="2025-05-13T09:50:00Z">
              <w:r w:rsidRPr="001B4A02">
                <w:rPr>
                  <w:sz w:val="20"/>
                  <w:vertAlign w:val="superscript"/>
                </w:rPr>
                <w:delText>a</w:delText>
              </w:r>
              <w:r w:rsidRPr="001B4A02">
                <w:rPr>
                  <w:sz w:val="20"/>
                </w:rPr>
                <w:delText xml:space="preserve"> Hodnota p pochází z párového srovnání monoterapie methotrexátem</w:delText>
              </w:r>
              <w:r w:rsidR="002378E0">
                <w:rPr>
                  <w:sz w:val="20"/>
                </w:rPr>
                <w:delText xml:space="preserve"> a </w:delText>
              </w:r>
              <w:r w:rsidRPr="009271A3">
                <w:rPr>
                  <w:sz w:val="20"/>
                </w:rPr>
                <w:delText>kombin</w:delText>
              </w:r>
              <w:r w:rsidR="009271A3" w:rsidRPr="009271A3">
                <w:rPr>
                  <w:sz w:val="20"/>
                </w:rPr>
                <w:delText>ované</w:delText>
              </w:r>
              <w:r w:rsidRPr="009271A3">
                <w:rPr>
                  <w:sz w:val="20"/>
                </w:rPr>
                <w:delText xml:space="preserve"> terapie přípravkem Humira/methotrexát pomocí Mann</w:delText>
              </w:r>
              <w:r w:rsidRPr="009271A3">
                <w:rPr>
                  <w:sz w:val="20"/>
                </w:rPr>
                <w:noBreakHyphen/>
                <w:delText>Whitneova U testu.</w:delText>
              </w:r>
            </w:del>
          </w:p>
          <w:p w14:paraId="4B67FCA9" w14:textId="77777777" w:rsidR="00073F8F" w:rsidRPr="001B4A02" w:rsidRDefault="00000000" w:rsidP="00ED48A3">
            <w:pPr>
              <w:pStyle w:val="BodyTextIndent"/>
              <w:keepNext/>
              <w:ind w:left="330" w:hanging="330"/>
              <w:rPr>
                <w:del w:id="5746" w:author="AbbVie1" w:date="2025-05-13T09:50:00Z"/>
                <w:b w:val="0"/>
                <w:bCs/>
                <w:color w:val="auto"/>
                <w:sz w:val="20"/>
                <w:lang w:val="cs-CZ"/>
              </w:rPr>
            </w:pPr>
            <w:del w:id="5747" w:author="AbbVie1" w:date="2025-05-13T09:50:00Z">
              <w:r w:rsidRPr="009271A3">
                <w:rPr>
                  <w:b w:val="0"/>
                  <w:color w:val="auto"/>
                  <w:sz w:val="20"/>
                  <w:vertAlign w:val="superscript"/>
                  <w:lang w:val="cs-CZ"/>
                </w:rPr>
                <w:delText>b</w:delText>
              </w:r>
              <w:r w:rsidRPr="009271A3">
                <w:rPr>
                  <w:b w:val="0"/>
                  <w:color w:val="auto"/>
                  <w:sz w:val="20"/>
                  <w:lang w:val="cs-CZ"/>
                </w:rPr>
                <w:delText xml:space="preserve"> Hodnota p pochází z párového srovnání monoterapie přípravkem Humira</w:delText>
              </w:r>
              <w:r w:rsidR="002378E0">
                <w:rPr>
                  <w:b w:val="0"/>
                  <w:color w:val="auto"/>
                  <w:sz w:val="20"/>
                  <w:lang w:val="cs-CZ"/>
                </w:rPr>
                <w:delText xml:space="preserve"> a </w:delText>
              </w:r>
              <w:r w:rsidRPr="0093374E">
                <w:rPr>
                  <w:b w:val="0"/>
                  <w:color w:val="auto"/>
                  <w:sz w:val="20"/>
                  <w:lang w:val="cs-CZ"/>
                </w:rPr>
                <w:delText>kombin</w:delText>
              </w:r>
              <w:r w:rsidR="009271A3" w:rsidRPr="000F1E90">
                <w:rPr>
                  <w:b w:val="0"/>
                  <w:color w:val="auto"/>
                  <w:sz w:val="20"/>
                </w:rPr>
                <w:delText>ované</w:delText>
              </w:r>
              <w:r w:rsidRPr="0093374E">
                <w:rPr>
                  <w:b w:val="0"/>
                  <w:color w:val="auto"/>
                  <w:sz w:val="20"/>
                  <w:lang w:val="cs-CZ"/>
                </w:rPr>
                <w:delText xml:space="preserve"> </w:delText>
              </w:r>
              <w:r w:rsidRPr="009271A3">
                <w:rPr>
                  <w:b w:val="0"/>
                  <w:color w:val="auto"/>
                  <w:sz w:val="20"/>
                  <w:lang w:val="cs-CZ"/>
                </w:rPr>
                <w:delText>terapie</w:delText>
              </w:r>
              <w:r w:rsidRPr="001B4A02">
                <w:rPr>
                  <w:b w:val="0"/>
                  <w:color w:val="auto"/>
                  <w:sz w:val="20"/>
                  <w:lang w:val="cs-CZ"/>
                </w:rPr>
                <w:delText xml:space="preserve"> přípravkem Humira/methotrexát pomocí Mann</w:delText>
              </w:r>
              <w:r w:rsidRPr="001B4A02">
                <w:rPr>
                  <w:b w:val="0"/>
                  <w:color w:val="auto"/>
                  <w:sz w:val="20"/>
                  <w:lang w:val="cs-CZ"/>
                </w:rPr>
                <w:noBreakHyphen/>
                <w:delText>Whitneova U testu</w:delText>
              </w:r>
              <w:r w:rsidRPr="001B4A02">
                <w:rPr>
                  <w:b w:val="0"/>
                  <w:bCs/>
                  <w:color w:val="auto"/>
                  <w:sz w:val="20"/>
                  <w:lang w:val="cs-CZ"/>
                </w:rPr>
                <w:delText>.</w:delText>
              </w:r>
            </w:del>
          </w:p>
          <w:p w14:paraId="6F54CFA2" w14:textId="77777777" w:rsidR="00073F8F" w:rsidRPr="001B4A02" w:rsidRDefault="00000000" w:rsidP="00ED48A3">
            <w:pPr>
              <w:pStyle w:val="BodyTextIndent"/>
              <w:keepNext/>
              <w:ind w:left="330" w:hanging="330"/>
              <w:rPr>
                <w:del w:id="5748" w:author="AbbVie1" w:date="2025-05-13T09:50:00Z"/>
                <w:b w:val="0"/>
                <w:bCs/>
                <w:color w:val="auto"/>
                <w:lang w:val="cs-CZ"/>
              </w:rPr>
            </w:pPr>
            <w:del w:id="5749" w:author="AbbVie1" w:date="2025-05-13T09:50:00Z">
              <w:r w:rsidRPr="001B4A02">
                <w:rPr>
                  <w:b w:val="0"/>
                  <w:bCs/>
                  <w:color w:val="auto"/>
                  <w:sz w:val="20"/>
                  <w:vertAlign w:val="superscript"/>
                  <w:lang w:val="cs-CZ"/>
                </w:rPr>
                <w:delText>c</w:delText>
              </w:r>
              <w:r w:rsidRPr="001B4A02">
                <w:rPr>
                  <w:b w:val="0"/>
                  <w:bCs/>
                  <w:color w:val="auto"/>
                  <w:sz w:val="20"/>
                  <w:lang w:val="cs-CZ"/>
                </w:rPr>
                <w:delText xml:space="preserve"> Hodnota p pochází z párového srovnání monoterapie přípravkem Humira</w:delText>
              </w:r>
              <w:r w:rsidR="002378E0">
                <w:rPr>
                  <w:b w:val="0"/>
                  <w:bCs/>
                  <w:color w:val="auto"/>
                  <w:sz w:val="20"/>
                  <w:lang w:val="cs-CZ"/>
                </w:rPr>
                <w:delText xml:space="preserve"> a </w:delText>
              </w:r>
              <w:r w:rsidRPr="001B4A02">
                <w:rPr>
                  <w:b w:val="0"/>
                  <w:bCs/>
                  <w:color w:val="auto"/>
                  <w:sz w:val="20"/>
                  <w:lang w:val="cs-CZ"/>
                </w:rPr>
                <w:delText xml:space="preserve">monoterapie methotrexátem pomocí </w:delText>
              </w:r>
              <w:r w:rsidRPr="001B4A02">
                <w:rPr>
                  <w:b w:val="0"/>
                  <w:color w:val="auto"/>
                  <w:sz w:val="20"/>
                  <w:lang w:val="cs-CZ"/>
                </w:rPr>
                <w:delText>Mann</w:delText>
              </w:r>
              <w:r w:rsidRPr="001B4A02">
                <w:rPr>
                  <w:b w:val="0"/>
                  <w:color w:val="auto"/>
                  <w:sz w:val="20"/>
                  <w:lang w:val="cs-CZ"/>
                </w:rPr>
                <w:noBreakHyphen/>
                <w:delText>Whitneova U testu</w:delText>
              </w:r>
              <w:r w:rsidRPr="001B4A02">
                <w:rPr>
                  <w:b w:val="0"/>
                  <w:bCs/>
                  <w:color w:val="auto"/>
                  <w:sz w:val="20"/>
                  <w:lang w:val="cs-CZ"/>
                </w:rPr>
                <w:delText>.</w:delText>
              </w:r>
            </w:del>
          </w:p>
        </w:tc>
      </w:tr>
    </w:tbl>
    <w:p w14:paraId="781CF65D" w14:textId="77777777" w:rsidR="00073F8F" w:rsidRPr="001B4A02" w:rsidRDefault="00073F8F" w:rsidP="00CE5DAE">
      <w:pPr>
        <w:pStyle w:val="EndnoteText"/>
        <w:rPr>
          <w:del w:id="5750" w:author="AbbVie1" w:date="2025-05-13T09:50:00Z"/>
          <w:lang w:val="cs-CZ"/>
        </w:rPr>
      </w:pPr>
    </w:p>
    <w:p w14:paraId="0A244646" w14:textId="77777777" w:rsidR="00854F48" w:rsidRPr="001B4A02" w:rsidRDefault="00000000" w:rsidP="00ED48A3">
      <w:pPr>
        <w:pStyle w:val="EndnoteText"/>
        <w:ind w:left="0" w:firstLine="0"/>
        <w:rPr>
          <w:del w:id="5751" w:author="AbbVie1" w:date="2025-05-13T09:50:00Z"/>
          <w:lang w:val="cs-CZ"/>
        </w:rPr>
      </w:pPr>
      <w:del w:id="5752" w:author="AbbVie1" w:date="2025-05-13T09:50:00Z">
        <w:r w:rsidRPr="001B4A02">
          <w:rPr>
            <w:lang w:val="cs-CZ"/>
          </w:rPr>
          <w:delText>V otevřené prodloužené fázi studie RA V byly odpovědi ACR na léčbu zachovány po dobu až 10 let. Z 542 pacientů, kteří byli randomizováni na léčbu přípravkem Humira 40</w:delText>
        </w:r>
        <w:r w:rsidR="00294902">
          <w:rPr>
            <w:lang w:val="cs-CZ"/>
          </w:rPr>
          <w:delText> mg</w:delText>
        </w:r>
        <w:r w:rsidRPr="001B4A02">
          <w:rPr>
            <w:lang w:val="cs-CZ"/>
          </w:rPr>
          <w:delText xml:space="preserve"> každý druhý týden, pokračovalo 170 pacientů v léčbě přípravkem Humira 40</w:delText>
        </w:r>
        <w:r w:rsidR="00294902">
          <w:rPr>
            <w:lang w:val="cs-CZ"/>
          </w:rPr>
          <w:delText> mg</w:delText>
        </w:r>
        <w:r w:rsidRPr="001B4A02">
          <w:rPr>
            <w:lang w:val="cs-CZ"/>
          </w:rPr>
          <w:delText xml:space="preserve"> každý druhý týden po dobu 10 let. Mezi těmi dosáhlo 154 pacientů (90,6</w:delText>
        </w:r>
        <w:r w:rsidR="009C5EAC" w:rsidRPr="001B4A02">
          <w:rPr>
            <w:lang w:val="cs-CZ"/>
          </w:rPr>
          <w:delText> </w:delText>
        </w:r>
        <w:r w:rsidRPr="001B4A02">
          <w:rPr>
            <w:lang w:val="cs-CZ"/>
          </w:rPr>
          <w:delText>%) odpovědi ACR 20; 127 pacientů (74,7</w:delText>
        </w:r>
        <w:r w:rsidR="009C5EAC" w:rsidRPr="001B4A02">
          <w:rPr>
            <w:lang w:val="cs-CZ"/>
          </w:rPr>
          <w:delText> </w:delText>
        </w:r>
        <w:r w:rsidRPr="001B4A02">
          <w:rPr>
            <w:lang w:val="cs-CZ"/>
          </w:rPr>
          <w:delText>%) dosáhlo odpovědi ACR 50</w:delText>
        </w:r>
        <w:r w:rsidR="002378E0">
          <w:rPr>
            <w:lang w:val="cs-CZ"/>
          </w:rPr>
          <w:delText xml:space="preserve"> a </w:delText>
        </w:r>
        <w:r w:rsidRPr="001B4A02">
          <w:rPr>
            <w:lang w:val="cs-CZ"/>
          </w:rPr>
          <w:delText>102 pacientů (60</w:delText>
        </w:r>
        <w:r w:rsidR="009C5EAC" w:rsidRPr="001B4A02">
          <w:rPr>
            <w:lang w:val="cs-CZ"/>
          </w:rPr>
          <w:delText> </w:delText>
        </w:r>
        <w:r w:rsidRPr="001B4A02">
          <w:rPr>
            <w:lang w:val="cs-CZ"/>
          </w:rPr>
          <w:delText>%) dosáhlo odpovědi ACR 70.</w:delText>
        </w:r>
      </w:del>
    </w:p>
    <w:p w14:paraId="2CA8A1E7" w14:textId="77777777" w:rsidR="00854F48" w:rsidRPr="001B4A02" w:rsidRDefault="00854F48" w:rsidP="00ED48A3">
      <w:pPr>
        <w:pStyle w:val="EndnoteText"/>
        <w:ind w:left="0" w:firstLine="0"/>
        <w:rPr>
          <w:del w:id="5753" w:author="AbbVie1" w:date="2025-05-13T09:50:00Z"/>
          <w:lang w:val="cs-CZ"/>
        </w:rPr>
      </w:pPr>
    </w:p>
    <w:p w14:paraId="5C57F6C7" w14:textId="77777777" w:rsidR="00073F8F" w:rsidRPr="001B4A02" w:rsidRDefault="00000000" w:rsidP="00ED48A3">
      <w:pPr>
        <w:pStyle w:val="EndnoteText"/>
        <w:ind w:left="0" w:firstLine="0"/>
        <w:rPr>
          <w:del w:id="5754" w:author="AbbVie1" w:date="2025-05-13T09:50:00Z"/>
          <w:lang w:val="cs-CZ"/>
        </w:rPr>
      </w:pPr>
      <w:del w:id="5755" w:author="AbbVie1" w:date="2025-05-13T09:50:00Z">
        <w:r w:rsidRPr="001B4A02">
          <w:rPr>
            <w:lang w:val="cs-CZ"/>
          </w:rPr>
          <w:delText>V týdnu 52 dosáhlo 42,9</w:delText>
        </w:r>
        <w:r w:rsidR="009C5EAC" w:rsidRPr="001B4A02">
          <w:rPr>
            <w:lang w:val="cs-CZ"/>
          </w:rPr>
          <w:delText> </w:delText>
        </w:r>
        <w:r w:rsidRPr="001B4A02">
          <w:rPr>
            <w:lang w:val="cs-CZ"/>
          </w:rPr>
          <w:delText>% pacientů léčených kombinací přípravku Humira/methotrexát klinickou remisi (DAS28</w:delText>
        </w:r>
        <w:r w:rsidR="00854F48" w:rsidRPr="001B4A02">
          <w:rPr>
            <w:lang w:val="cs-CZ"/>
          </w:rPr>
          <w:delText xml:space="preserve"> (CRP)</w:delText>
        </w:r>
        <w:r w:rsidRPr="001B4A02">
          <w:rPr>
            <w:lang w:val="cs-CZ"/>
          </w:rPr>
          <w:delText> &lt; 2,6) v porovnání s 20,6</w:delText>
        </w:r>
        <w:r w:rsidR="009C5EAC" w:rsidRPr="001B4A02">
          <w:rPr>
            <w:lang w:val="cs-CZ"/>
          </w:rPr>
          <w:delText> </w:delText>
        </w:r>
        <w:r w:rsidRPr="001B4A02">
          <w:rPr>
            <w:lang w:val="cs-CZ"/>
          </w:rPr>
          <w:delText>% pacientů léčených methotrexátem v monoterapii</w:delText>
        </w:r>
        <w:r w:rsidR="002378E0">
          <w:rPr>
            <w:lang w:val="cs-CZ"/>
          </w:rPr>
          <w:delText xml:space="preserve"> a </w:delText>
        </w:r>
        <w:r w:rsidRPr="001B4A02">
          <w:rPr>
            <w:lang w:val="cs-CZ"/>
          </w:rPr>
          <w:delText>23,4</w:delText>
        </w:r>
        <w:r w:rsidR="009C5EAC" w:rsidRPr="001B4A02">
          <w:rPr>
            <w:lang w:val="cs-CZ"/>
          </w:rPr>
          <w:delText> </w:delText>
        </w:r>
        <w:r w:rsidRPr="001B4A02">
          <w:rPr>
            <w:lang w:val="cs-CZ"/>
          </w:rPr>
          <w:delText>% pacientů léčených přípravkem Humira v monoterapii. Kombin</w:delText>
        </w:r>
        <w:r w:rsidR="009271A3">
          <w:delText>ovan</w:delText>
        </w:r>
        <w:r w:rsidR="009271A3">
          <w:rPr>
            <w:lang w:val="cs-CZ"/>
          </w:rPr>
          <w:delText>á</w:delText>
        </w:r>
        <w:r w:rsidRPr="001B4A02">
          <w:rPr>
            <w:lang w:val="cs-CZ"/>
          </w:rPr>
          <w:delText xml:space="preserve"> terapie přípravkem Humira/methotrexátem byla klinicky</w:delText>
        </w:r>
        <w:r w:rsidR="002378E0">
          <w:rPr>
            <w:lang w:val="cs-CZ"/>
          </w:rPr>
          <w:delText xml:space="preserve"> a </w:delText>
        </w:r>
        <w:r w:rsidRPr="001B4A02">
          <w:rPr>
            <w:lang w:val="cs-CZ"/>
          </w:rPr>
          <w:delText>statisticky lepší než monoterapie methotrexátem (p</w:delText>
        </w:r>
        <w:r w:rsidR="009B56B1" w:rsidRPr="001B4A02">
          <w:rPr>
            <w:rFonts w:ascii="Symbol" w:hAnsi="Symbol"/>
            <w:lang w:val="cs-CZ"/>
          </w:rPr>
          <w:sym w:font="Symbol" w:char="F03C"/>
        </w:r>
        <w:r w:rsidRPr="001B4A02">
          <w:rPr>
            <w:lang w:val="cs-CZ"/>
          </w:rPr>
          <w:delText>0,001)</w:delText>
        </w:r>
        <w:r w:rsidR="002378E0">
          <w:rPr>
            <w:lang w:val="cs-CZ"/>
          </w:rPr>
          <w:delText xml:space="preserve"> a </w:delText>
        </w:r>
        <w:r w:rsidRPr="001B4A02">
          <w:rPr>
            <w:lang w:val="cs-CZ"/>
          </w:rPr>
          <w:delText>monoterapie přípravkem Humira (p</w:delText>
        </w:r>
        <w:r w:rsidR="009B56B1" w:rsidRPr="001B4A02">
          <w:rPr>
            <w:rFonts w:ascii="Symbol" w:hAnsi="Symbol"/>
            <w:lang w:val="cs-CZ"/>
          </w:rPr>
          <w:sym w:font="Symbol" w:char="F03C"/>
        </w:r>
        <w:r w:rsidRPr="001B4A02">
          <w:rPr>
            <w:lang w:val="cs-CZ"/>
          </w:rPr>
          <w:delText>0,001) z hlediska dosažení stavu nízké aktivity choroby u pacientů se střední až těžkou formou revmatoidní artritidy d</w:delText>
        </w:r>
        <w:r w:rsidR="00AC7C92" w:rsidRPr="001B4A02">
          <w:rPr>
            <w:lang w:val="cs-CZ"/>
          </w:rPr>
          <w:delText>iagnostikovanou v nedávné době.</w:delText>
        </w:r>
      </w:del>
    </w:p>
    <w:p w14:paraId="35A324A8" w14:textId="77777777" w:rsidR="00073F8F" w:rsidRPr="001B4A02" w:rsidRDefault="00000000" w:rsidP="00ED48A3">
      <w:pPr>
        <w:pStyle w:val="EMEANormal"/>
        <w:tabs>
          <w:tab w:val="clear" w:pos="562"/>
        </w:tabs>
        <w:suppressAutoHyphens w:val="0"/>
        <w:rPr>
          <w:del w:id="5756" w:author="AbbVie1" w:date="2025-05-13T09:50:00Z"/>
          <w:lang w:val="cs-CZ"/>
        </w:rPr>
      </w:pPr>
      <w:del w:id="5757" w:author="AbbVie1" w:date="2025-05-13T09:50:00Z">
        <w:r w:rsidRPr="001B4A02">
          <w:rPr>
            <w:lang w:val="cs-CZ"/>
          </w:rPr>
          <w:delText>Odpověď u obou větví studie s monoterapií byla podobná (p=0,447).</w:delText>
        </w:r>
        <w:r w:rsidR="00854F48" w:rsidRPr="001B4A02">
          <w:rPr>
            <w:lang w:val="cs-CZ"/>
          </w:rPr>
          <w:delText xml:space="preserve"> Ze 342 subjektů, kte</w:delText>
        </w:r>
        <w:r w:rsidR="00F9434B">
          <w:rPr>
            <w:lang w:val="cs-CZ"/>
          </w:rPr>
          <w:delText>ré</w:delText>
        </w:r>
        <w:r w:rsidR="00854F48" w:rsidRPr="001B4A02">
          <w:rPr>
            <w:lang w:val="cs-CZ"/>
          </w:rPr>
          <w:delText xml:space="preserve"> se účastnil</w:delText>
        </w:r>
        <w:r w:rsidR="00F9434B">
          <w:rPr>
            <w:lang w:val="cs-CZ"/>
          </w:rPr>
          <w:delText>y</w:delText>
        </w:r>
        <w:r w:rsidR="00854F48" w:rsidRPr="001B4A02">
          <w:rPr>
            <w:lang w:val="cs-CZ"/>
          </w:rPr>
          <w:delText xml:space="preserve"> otevřené prodloužené fáze studie</w:delText>
        </w:r>
        <w:r w:rsidR="002378E0">
          <w:rPr>
            <w:lang w:val="cs-CZ"/>
          </w:rPr>
          <w:delText xml:space="preserve"> a </w:delText>
        </w:r>
        <w:r w:rsidR="00854F48" w:rsidRPr="001B4A02">
          <w:rPr>
            <w:lang w:val="cs-CZ"/>
          </w:rPr>
          <w:delText>byl</w:delText>
        </w:r>
        <w:r w:rsidR="00F9434B">
          <w:rPr>
            <w:lang w:val="cs-CZ"/>
          </w:rPr>
          <w:delText>y</w:delText>
        </w:r>
        <w:r w:rsidR="00854F48" w:rsidRPr="001B4A02">
          <w:rPr>
            <w:lang w:val="cs-CZ"/>
          </w:rPr>
          <w:delText xml:space="preserve"> randomizován</w:delText>
        </w:r>
        <w:r w:rsidR="00F9434B">
          <w:rPr>
            <w:lang w:val="cs-CZ"/>
          </w:rPr>
          <w:delText>y</w:delText>
        </w:r>
        <w:r w:rsidR="00854F48" w:rsidRPr="001B4A02">
          <w:rPr>
            <w:lang w:val="cs-CZ"/>
          </w:rPr>
          <w:delText xml:space="preserve"> na léčbu přípravkem Humira v</w:delText>
        </w:r>
        <w:r w:rsidR="00AC7C92" w:rsidRPr="001B4A02">
          <w:rPr>
            <w:lang w:val="cs-CZ"/>
          </w:rPr>
          <w:delText> </w:delText>
        </w:r>
        <w:r w:rsidR="00854F48" w:rsidRPr="001B4A02">
          <w:rPr>
            <w:lang w:val="cs-CZ"/>
          </w:rPr>
          <w:delText xml:space="preserve">monoterapii nebo </w:delText>
        </w:r>
        <w:r w:rsidR="00B86D3A" w:rsidRPr="001B4A02">
          <w:rPr>
            <w:lang w:val="cs-CZ"/>
          </w:rPr>
          <w:delText xml:space="preserve">přípravku </w:delText>
        </w:r>
        <w:r w:rsidR="00854F48" w:rsidRPr="001B4A02">
          <w:rPr>
            <w:lang w:val="cs-CZ"/>
          </w:rPr>
          <w:delText>Humira v</w:delText>
        </w:r>
        <w:r w:rsidR="00B86D3A" w:rsidRPr="001B4A02">
          <w:rPr>
            <w:lang w:val="cs-CZ"/>
          </w:rPr>
          <w:delText> </w:delText>
        </w:r>
        <w:r w:rsidR="00854F48" w:rsidRPr="001B4A02">
          <w:rPr>
            <w:lang w:val="cs-CZ"/>
          </w:rPr>
          <w:delText>kombinaci s</w:delText>
        </w:r>
        <w:r w:rsidR="00B86D3A" w:rsidRPr="001B4A02">
          <w:rPr>
            <w:lang w:val="cs-CZ"/>
          </w:rPr>
          <w:delText> </w:delText>
        </w:r>
        <w:r w:rsidR="00854F48" w:rsidRPr="001B4A02">
          <w:rPr>
            <w:lang w:val="cs-CZ"/>
          </w:rPr>
          <w:delText>methotrexátem, 171 pacientů dokončilo 10 let léčby přípravkem Humira. Z</w:delText>
        </w:r>
        <w:r w:rsidR="0006352B" w:rsidRPr="001B4A02">
          <w:rPr>
            <w:lang w:val="cs-CZ"/>
          </w:rPr>
          <w:delText> </w:delText>
        </w:r>
        <w:r w:rsidR="00854F48" w:rsidRPr="001B4A02">
          <w:rPr>
            <w:lang w:val="cs-CZ"/>
          </w:rPr>
          <w:delText>těchto pacientů dosáhlo remise po 10 letech 109 subjektů (63,7</w:delText>
        </w:r>
        <w:r w:rsidR="00F274CD" w:rsidRPr="001B4A02">
          <w:rPr>
            <w:lang w:val="cs-CZ"/>
          </w:rPr>
          <w:delText> </w:delText>
        </w:r>
        <w:r w:rsidR="00854F48" w:rsidRPr="001B4A02">
          <w:rPr>
            <w:lang w:val="cs-CZ"/>
          </w:rPr>
          <w:delText>%).</w:delText>
        </w:r>
      </w:del>
    </w:p>
    <w:p w14:paraId="4EC21E3E" w14:textId="77777777" w:rsidR="00073F8F" w:rsidRPr="001B4A02" w:rsidRDefault="00073F8F" w:rsidP="00ED48A3">
      <w:pPr>
        <w:ind w:left="0" w:firstLine="0"/>
        <w:rPr>
          <w:del w:id="5758" w:author="AbbVie1" w:date="2025-05-13T09:50:00Z"/>
          <w:u w:val="single"/>
        </w:rPr>
      </w:pPr>
    </w:p>
    <w:p w14:paraId="080F08DE" w14:textId="77777777" w:rsidR="00073F8F" w:rsidRPr="001B4A02" w:rsidRDefault="00000000" w:rsidP="00CE5DAE">
      <w:pPr>
        <w:keepNext/>
        <w:ind w:left="0" w:firstLine="0"/>
        <w:rPr>
          <w:del w:id="5759" w:author="AbbVie1" w:date="2025-05-13T09:50:00Z"/>
          <w:i/>
          <w:u w:val="single"/>
        </w:rPr>
      </w:pPr>
      <w:del w:id="5760" w:author="AbbVie1" w:date="2025-05-13T09:50:00Z">
        <w:r w:rsidRPr="001B4A02">
          <w:rPr>
            <w:i/>
            <w:u w:val="single"/>
          </w:rPr>
          <w:delText>RTG odpověď</w:delText>
        </w:r>
      </w:del>
    </w:p>
    <w:p w14:paraId="43D3E60B" w14:textId="77777777" w:rsidR="00073F8F" w:rsidRPr="001B4A02" w:rsidRDefault="00073F8F" w:rsidP="00CE5DAE">
      <w:pPr>
        <w:keepNext/>
        <w:rPr>
          <w:del w:id="5761" w:author="AbbVie1" w:date="2025-05-13T09:50:00Z"/>
        </w:rPr>
      </w:pPr>
    </w:p>
    <w:p w14:paraId="332D1315" w14:textId="77777777" w:rsidR="00BA55E0" w:rsidRPr="001B4A02" w:rsidRDefault="00000000" w:rsidP="00ED48A3">
      <w:pPr>
        <w:ind w:left="0" w:firstLine="0"/>
        <w:rPr>
          <w:del w:id="5762" w:author="AbbVie1" w:date="2025-05-13T09:50:00Z"/>
        </w:rPr>
      </w:pPr>
      <w:del w:id="5763" w:author="AbbVie1" w:date="2025-05-13T09:50:00Z">
        <w:r w:rsidRPr="001B4A02">
          <w:delText>Ve studii RA III, kde průměrné trvání revmatoidní artritidy u pacientů léčených přípravkem Humira bylo přibližně 11 let, bylo strukturální poškození kloubů hodnoceno radiograficky</w:delText>
        </w:r>
        <w:r w:rsidR="002378E0">
          <w:delText xml:space="preserve"> a </w:delText>
        </w:r>
        <w:r w:rsidRPr="001B4A02">
          <w:delText>vyjádřeno jako změna modifikovaného celkového Sharpova skóre (Total Sharp Score, TSS)</w:delText>
        </w:r>
        <w:r w:rsidR="002378E0">
          <w:delText xml:space="preserve"> a </w:delText>
        </w:r>
        <w:r w:rsidRPr="001B4A02">
          <w:delText>jeho komponent, skóre erozí</w:delText>
        </w:r>
        <w:r w:rsidR="002378E0">
          <w:delText xml:space="preserve"> a </w:delText>
        </w:r>
        <w:r w:rsidRPr="001B4A02">
          <w:delText>skóre zúžení kloubní štěrbiny. U pacientů léčených přípravkem Humira/methotrexátem byla zjištěna významně menší RTG progrese v 6.</w:delText>
        </w:r>
        <w:r w:rsidR="002378E0">
          <w:delText xml:space="preserve"> a </w:delText>
        </w:r>
        <w:r w:rsidRPr="001B4A02">
          <w:delText xml:space="preserve">12. měsíci léčby než u pacientů léčených methotrexátem v monoterapii (viz tabulka </w:delText>
        </w:r>
        <w:r w:rsidR="00A26519">
          <w:delText>10</w:delText>
        </w:r>
        <w:r w:rsidR="00AC7C92" w:rsidRPr="001B4A02">
          <w:delText>).</w:delText>
        </w:r>
      </w:del>
    </w:p>
    <w:p w14:paraId="6341D35C" w14:textId="77777777" w:rsidR="00BA55E0" w:rsidRPr="001B4A02" w:rsidRDefault="00BA55E0" w:rsidP="00ED48A3">
      <w:pPr>
        <w:ind w:left="0" w:firstLine="0"/>
        <w:rPr>
          <w:del w:id="5764" w:author="AbbVie1" w:date="2025-05-13T09:50:00Z"/>
        </w:rPr>
      </w:pPr>
    </w:p>
    <w:p w14:paraId="6F565C3E" w14:textId="77777777" w:rsidR="00073F8F" w:rsidRPr="001B4A02" w:rsidRDefault="00000000" w:rsidP="00ED48A3">
      <w:pPr>
        <w:ind w:left="0" w:firstLine="0"/>
        <w:rPr>
          <w:del w:id="5765" w:author="AbbVie1" w:date="2025-05-13T09:50:00Z"/>
        </w:rPr>
      </w:pPr>
      <w:del w:id="5766" w:author="AbbVie1" w:date="2025-05-13T09:50:00Z">
        <w:r w:rsidRPr="001B4A02">
          <w:delText>Snížení stupně progrese strukturálního poškození u části pacientů v otevřené prodloužení RA studii III přetrvává</w:delText>
        </w:r>
        <w:r w:rsidRPr="001B4A02">
          <w:rPr>
            <w:szCs w:val="22"/>
          </w:rPr>
          <w:delText xml:space="preserve"> po dobu </w:delText>
        </w:r>
        <w:r w:rsidR="009C0822" w:rsidRPr="001B4A02">
          <w:rPr>
            <w:szCs w:val="22"/>
          </w:rPr>
          <w:delText>8</w:delText>
        </w:r>
        <w:r w:rsidR="002378E0">
          <w:rPr>
            <w:szCs w:val="22"/>
          </w:rPr>
          <w:delText xml:space="preserve"> a </w:delText>
        </w:r>
        <w:r w:rsidR="009C0822" w:rsidRPr="001B4A02">
          <w:rPr>
            <w:szCs w:val="22"/>
          </w:rPr>
          <w:delText>10 let</w:delText>
        </w:r>
        <w:r w:rsidRPr="001B4A02">
          <w:delText xml:space="preserve">. </w:delText>
        </w:r>
        <w:r w:rsidR="009C0822" w:rsidRPr="001B4A02">
          <w:delText>Po 8 letech bylo 81</w:delText>
        </w:r>
        <w:r w:rsidRPr="001B4A02">
          <w:delText xml:space="preserve"> z 207 pacientů původně léčených přípravkem Humira v dávce 40 mg každý druhý týden radiograficky zhodnoceno. U </w:delText>
        </w:r>
        <w:r w:rsidR="009C0822" w:rsidRPr="001B4A02">
          <w:delText>48</w:delText>
        </w:r>
        <w:r w:rsidRPr="001B4A02">
          <w:delText xml:space="preserve"> z těchto pacientů nedošlo k progresi strukturální</w:delText>
        </w:r>
        <w:r w:rsidR="009C0822" w:rsidRPr="001B4A02">
          <w:delText>ho</w:delText>
        </w:r>
        <w:r w:rsidRPr="001B4A02">
          <w:delText xml:space="preserve"> poškození, což bylo definováno jako </w:delText>
        </w:r>
        <w:r w:rsidR="009C0822" w:rsidRPr="001B4A02">
          <w:delText>0,5</w:delText>
        </w:r>
        <w:r w:rsidRPr="001B4A02">
          <w:delText xml:space="preserve"> či nižší změna hodnoty </w:delText>
        </w:r>
        <w:r w:rsidR="009C0822" w:rsidRPr="001B4A02">
          <w:delText>m</w:delText>
        </w:r>
        <w:r w:rsidRPr="001B4A02">
          <w:delText>TSS</w:delText>
        </w:r>
        <w:r w:rsidR="009C0822" w:rsidRPr="001B4A02">
          <w:delText xml:space="preserve"> v porovnání s výchozím stavem. Po 10 letech 79 z 207 pacientů původně léčených přípravkem Humira v dávce 40</w:delText>
        </w:r>
        <w:r w:rsidR="00294902">
          <w:delText> mg</w:delText>
        </w:r>
        <w:r w:rsidR="009C0822" w:rsidRPr="001B4A02">
          <w:delText xml:space="preserve"> každý druhý týden bylo radiograficky zhodnoceno. Mezi těmito se u</w:delText>
        </w:r>
        <w:r w:rsidR="00923691" w:rsidRPr="001B4A02">
          <w:delText> </w:delText>
        </w:r>
        <w:r w:rsidR="009C0822" w:rsidRPr="001B4A02">
          <w:delText>40 pacientů neprokázala progrese strukturálního poškození, definovaná jako změna mTSS o</w:delText>
        </w:r>
        <w:r w:rsidR="00923691" w:rsidRPr="001B4A02">
          <w:delText> </w:delText>
        </w:r>
        <w:r w:rsidR="009C0822" w:rsidRPr="001B4A02">
          <w:delText>0,5 nebo méně v porovnání s výchozím stavem.</w:delText>
        </w:r>
      </w:del>
    </w:p>
    <w:p w14:paraId="5F1D9EF9" w14:textId="77777777" w:rsidR="00073F8F" w:rsidRPr="001B4A02" w:rsidRDefault="00073F8F" w:rsidP="00ED48A3">
      <w:pPr>
        <w:ind w:left="0" w:firstLine="0"/>
        <w:rPr>
          <w:del w:id="5767" w:author="AbbVie1" w:date="2025-05-13T09:50:00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1"/>
        <w:gridCol w:w="1642"/>
        <w:gridCol w:w="1824"/>
        <w:gridCol w:w="1824"/>
        <w:gridCol w:w="1300"/>
      </w:tblGrid>
      <w:tr w:rsidR="00534A2D" w14:paraId="31C942FC" w14:textId="77777777" w:rsidTr="008D783A">
        <w:trPr>
          <w:del w:id="5768" w:author="AbbVie1" w:date="2025-05-13T09:50:00Z"/>
        </w:trPr>
        <w:tc>
          <w:tcPr>
            <w:tcW w:w="8951" w:type="dxa"/>
            <w:gridSpan w:val="5"/>
            <w:tcBorders>
              <w:top w:val="nil"/>
              <w:left w:val="nil"/>
              <w:bottom w:val="single" w:sz="4" w:space="0" w:color="auto"/>
              <w:right w:val="nil"/>
            </w:tcBorders>
          </w:tcPr>
          <w:p w14:paraId="0E689864" w14:textId="77777777" w:rsidR="003F4B5B" w:rsidRPr="001B4A02" w:rsidRDefault="00000000" w:rsidP="00CE5DAE">
            <w:pPr>
              <w:keepNext/>
              <w:jc w:val="center"/>
              <w:rPr>
                <w:del w:id="5769" w:author="AbbVie1" w:date="2025-05-13T09:50:00Z"/>
                <w:b/>
                <w:bCs/>
              </w:rPr>
            </w:pPr>
            <w:del w:id="5770" w:author="AbbVie1" w:date="2025-05-13T09:50:00Z">
              <w:r w:rsidRPr="001B4A02">
                <w:rPr>
                  <w:b/>
                  <w:bCs/>
                </w:rPr>
                <w:delText xml:space="preserve">Tabulka </w:delText>
              </w:r>
              <w:r w:rsidR="00A26519">
                <w:rPr>
                  <w:b/>
                  <w:bCs/>
                </w:rPr>
                <w:delText>10</w:delText>
              </w:r>
            </w:del>
          </w:p>
          <w:p w14:paraId="5DAAF750" w14:textId="77777777" w:rsidR="00073F8F" w:rsidRPr="001B4A02" w:rsidRDefault="00000000" w:rsidP="00CE5DAE">
            <w:pPr>
              <w:keepNext/>
              <w:jc w:val="center"/>
              <w:rPr>
                <w:del w:id="5771" w:author="AbbVie1" w:date="2025-05-13T09:50:00Z"/>
                <w:b/>
                <w:bCs/>
                <w:highlight w:val="cyan"/>
              </w:rPr>
            </w:pPr>
            <w:del w:id="5772" w:author="AbbVie1" w:date="2025-05-13T09:50:00Z">
              <w:r w:rsidRPr="001B4A02">
                <w:rPr>
                  <w:b/>
                  <w:bCs/>
                </w:rPr>
                <w:delText>Průměrné RT</w:delText>
              </w:r>
              <w:r w:rsidR="000E65F4" w:rsidRPr="001B4A02">
                <w:rPr>
                  <w:b/>
                  <w:bCs/>
                </w:rPr>
                <w:delText>G</w:delText>
              </w:r>
              <w:r w:rsidRPr="001B4A02">
                <w:rPr>
                  <w:b/>
                  <w:bCs/>
                </w:rPr>
                <w:delText xml:space="preserve"> změny po 12 měsících ve studii RA III</w:delText>
              </w:r>
            </w:del>
          </w:p>
          <w:p w14:paraId="02DEA0BE" w14:textId="77777777" w:rsidR="00073F8F" w:rsidRPr="001B4A02" w:rsidRDefault="00073F8F" w:rsidP="00ED48A3">
            <w:pPr>
              <w:rPr>
                <w:del w:id="5773" w:author="AbbVie1" w:date="2025-05-13T09:50:00Z"/>
                <w:bCs/>
                <w:highlight w:val="red"/>
              </w:rPr>
            </w:pPr>
          </w:p>
        </w:tc>
      </w:tr>
      <w:tr w:rsidR="00534A2D" w14:paraId="38BA7EEA" w14:textId="77777777" w:rsidTr="008D783A">
        <w:trPr>
          <w:del w:id="5774" w:author="AbbVie1" w:date="2025-05-13T09:50:00Z"/>
        </w:trPr>
        <w:tc>
          <w:tcPr>
            <w:tcW w:w="2448" w:type="dxa"/>
            <w:tcBorders>
              <w:top w:val="single" w:sz="4" w:space="0" w:color="auto"/>
            </w:tcBorders>
          </w:tcPr>
          <w:p w14:paraId="111B8C9A" w14:textId="77777777" w:rsidR="00073F8F" w:rsidRPr="001B4A02" w:rsidRDefault="00073F8F" w:rsidP="00610431">
            <w:pPr>
              <w:ind w:left="0" w:firstLine="0"/>
              <w:rPr>
                <w:del w:id="5775" w:author="AbbVie1" w:date="2025-05-13T09:50:00Z"/>
              </w:rPr>
            </w:pPr>
          </w:p>
        </w:tc>
        <w:tc>
          <w:tcPr>
            <w:tcW w:w="1620" w:type="dxa"/>
            <w:tcBorders>
              <w:top w:val="single" w:sz="4" w:space="0" w:color="auto"/>
            </w:tcBorders>
          </w:tcPr>
          <w:p w14:paraId="68EDAC43" w14:textId="77777777" w:rsidR="00073F8F" w:rsidRPr="001B4A02" w:rsidRDefault="00000000" w:rsidP="00610431">
            <w:pPr>
              <w:ind w:left="0" w:firstLine="0"/>
              <w:jc w:val="center"/>
              <w:rPr>
                <w:del w:id="5776" w:author="AbbVie1" w:date="2025-05-13T09:50:00Z"/>
                <w:vertAlign w:val="superscript"/>
              </w:rPr>
            </w:pPr>
            <w:del w:id="5777" w:author="AbbVie1" w:date="2025-05-13T09:50:00Z">
              <w:r w:rsidRPr="001B4A02">
                <w:delText>Placebo/MTX</w:delText>
              </w:r>
              <w:r w:rsidRPr="001B4A02">
                <w:rPr>
                  <w:vertAlign w:val="superscript"/>
                </w:rPr>
                <w:delText>a</w:delText>
              </w:r>
            </w:del>
          </w:p>
        </w:tc>
        <w:tc>
          <w:tcPr>
            <w:tcW w:w="1800" w:type="dxa"/>
            <w:tcBorders>
              <w:top w:val="single" w:sz="4" w:space="0" w:color="auto"/>
            </w:tcBorders>
          </w:tcPr>
          <w:p w14:paraId="00F668A6" w14:textId="77777777" w:rsidR="00073F8F" w:rsidRPr="001B4A02" w:rsidRDefault="00000000" w:rsidP="000F1E90">
            <w:pPr>
              <w:ind w:left="0" w:firstLine="0"/>
              <w:jc w:val="center"/>
              <w:rPr>
                <w:del w:id="5778" w:author="AbbVie1" w:date="2025-05-13T09:50:00Z"/>
              </w:rPr>
            </w:pPr>
            <w:del w:id="5779" w:author="AbbVie1" w:date="2025-05-13T09:50:00Z">
              <w:r w:rsidRPr="001B4A02">
                <w:delText>H</w:delText>
              </w:r>
              <w:r w:rsidR="00CD2293" w:rsidRPr="001B4A02">
                <w:delText>umira</w:delText>
              </w:r>
              <w:r w:rsidRPr="001B4A02">
                <w:delText>/MTX 40 mg každý druhý týden</w:delText>
              </w:r>
            </w:del>
          </w:p>
        </w:tc>
        <w:tc>
          <w:tcPr>
            <w:tcW w:w="1800" w:type="dxa"/>
            <w:tcBorders>
              <w:top w:val="single" w:sz="4" w:space="0" w:color="auto"/>
            </w:tcBorders>
          </w:tcPr>
          <w:p w14:paraId="081967C6" w14:textId="77777777" w:rsidR="00073F8F" w:rsidRPr="001B4A02" w:rsidRDefault="00000000" w:rsidP="000F1E90">
            <w:pPr>
              <w:ind w:left="0" w:firstLine="0"/>
              <w:jc w:val="center"/>
              <w:rPr>
                <w:del w:id="5780" w:author="AbbVie1" w:date="2025-05-13T09:50:00Z"/>
              </w:rPr>
            </w:pPr>
            <w:del w:id="5781" w:author="AbbVie1" w:date="2025-05-13T09:50:00Z">
              <w:r w:rsidRPr="001B4A02">
                <w:delText>Placebo/MTX-H</w:delText>
              </w:r>
              <w:r w:rsidR="00CD2293" w:rsidRPr="001B4A02">
                <w:delText>umira</w:delText>
              </w:r>
              <w:r w:rsidRPr="001B4A02">
                <w:delText>/MTX (95% interval spolehlivosti</w:delText>
              </w:r>
              <w:r w:rsidRPr="001B4A02">
                <w:rPr>
                  <w:vertAlign w:val="superscript"/>
                </w:rPr>
                <w:delText>b</w:delText>
              </w:r>
              <w:r w:rsidRPr="001B4A02">
                <w:delText>)</w:delText>
              </w:r>
            </w:del>
          </w:p>
        </w:tc>
        <w:tc>
          <w:tcPr>
            <w:tcW w:w="1283" w:type="dxa"/>
            <w:tcBorders>
              <w:top w:val="single" w:sz="4" w:space="0" w:color="auto"/>
            </w:tcBorders>
          </w:tcPr>
          <w:p w14:paraId="51AEC4A3" w14:textId="77777777" w:rsidR="00073F8F" w:rsidRPr="001B4A02" w:rsidRDefault="00000000" w:rsidP="000F1E90">
            <w:pPr>
              <w:ind w:left="0" w:firstLine="0"/>
              <w:jc w:val="center"/>
              <w:rPr>
                <w:del w:id="5782" w:author="AbbVie1" w:date="2025-05-13T09:50:00Z"/>
              </w:rPr>
            </w:pPr>
            <w:del w:id="5783" w:author="AbbVie1" w:date="2025-05-13T09:50:00Z">
              <w:r w:rsidRPr="001B4A02">
                <w:delText>Hodnota p</w:delText>
              </w:r>
            </w:del>
          </w:p>
        </w:tc>
      </w:tr>
      <w:tr w:rsidR="00534A2D" w14:paraId="372A3605" w14:textId="77777777" w:rsidTr="008D783A">
        <w:trPr>
          <w:del w:id="5784" w:author="AbbVie1" w:date="2025-05-13T09:50:00Z"/>
        </w:trPr>
        <w:tc>
          <w:tcPr>
            <w:tcW w:w="2448" w:type="dxa"/>
          </w:tcPr>
          <w:p w14:paraId="65A3A322" w14:textId="77777777" w:rsidR="00073F8F" w:rsidRPr="001B4A02" w:rsidRDefault="00000000" w:rsidP="00610431">
            <w:pPr>
              <w:ind w:left="0" w:firstLine="0"/>
              <w:rPr>
                <w:del w:id="5785" w:author="AbbVie1" w:date="2025-05-13T09:50:00Z"/>
              </w:rPr>
            </w:pPr>
            <w:del w:id="5786" w:author="AbbVie1" w:date="2025-05-13T09:50:00Z">
              <w:r w:rsidRPr="001B4A02">
                <w:delText>Celkové Sharpovo skóre</w:delText>
              </w:r>
            </w:del>
          </w:p>
        </w:tc>
        <w:tc>
          <w:tcPr>
            <w:tcW w:w="1620" w:type="dxa"/>
          </w:tcPr>
          <w:p w14:paraId="51B63E2B" w14:textId="77777777" w:rsidR="00073F8F" w:rsidRPr="001B4A02" w:rsidRDefault="00000000" w:rsidP="00610431">
            <w:pPr>
              <w:ind w:left="0" w:firstLine="0"/>
              <w:jc w:val="center"/>
              <w:rPr>
                <w:del w:id="5787" w:author="AbbVie1" w:date="2025-05-13T09:50:00Z"/>
              </w:rPr>
            </w:pPr>
            <w:del w:id="5788" w:author="AbbVie1" w:date="2025-05-13T09:50:00Z">
              <w:r w:rsidRPr="001B4A02">
                <w:delText>2,7</w:delText>
              </w:r>
            </w:del>
          </w:p>
        </w:tc>
        <w:tc>
          <w:tcPr>
            <w:tcW w:w="1800" w:type="dxa"/>
          </w:tcPr>
          <w:p w14:paraId="577BEA43" w14:textId="77777777" w:rsidR="00073F8F" w:rsidRPr="001B4A02" w:rsidRDefault="00000000" w:rsidP="00610431">
            <w:pPr>
              <w:ind w:left="0" w:firstLine="0"/>
              <w:jc w:val="center"/>
              <w:rPr>
                <w:del w:id="5789" w:author="AbbVie1" w:date="2025-05-13T09:50:00Z"/>
              </w:rPr>
            </w:pPr>
            <w:del w:id="5790" w:author="AbbVie1" w:date="2025-05-13T09:50:00Z">
              <w:r w:rsidRPr="001B4A02">
                <w:delText>0,1</w:delText>
              </w:r>
            </w:del>
          </w:p>
        </w:tc>
        <w:tc>
          <w:tcPr>
            <w:tcW w:w="1800" w:type="dxa"/>
          </w:tcPr>
          <w:p w14:paraId="47D6E2BB" w14:textId="77777777" w:rsidR="00073F8F" w:rsidRPr="001B4A02" w:rsidRDefault="00000000" w:rsidP="00610431">
            <w:pPr>
              <w:ind w:left="0" w:firstLine="0"/>
              <w:jc w:val="center"/>
              <w:rPr>
                <w:del w:id="5791" w:author="AbbVie1" w:date="2025-05-13T09:50:00Z"/>
              </w:rPr>
            </w:pPr>
            <w:del w:id="5792" w:author="AbbVie1" w:date="2025-05-13T09:50:00Z">
              <w:r w:rsidRPr="001B4A02">
                <w:delText>2,6 (1,4; 3,8)</w:delText>
              </w:r>
            </w:del>
          </w:p>
        </w:tc>
        <w:tc>
          <w:tcPr>
            <w:tcW w:w="1283" w:type="dxa"/>
          </w:tcPr>
          <w:p w14:paraId="19C50A56" w14:textId="77777777" w:rsidR="00073F8F" w:rsidRPr="001B4A02" w:rsidRDefault="00000000" w:rsidP="00610431">
            <w:pPr>
              <w:ind w:left="0" w:firstLine="0"/>
              <w:jc w:val="center"/>
              <w:rPr>
                <w:del w:id="5793" w:author="AbbVie1" w:date="2025-05-13T09:50:00Z"/>
                <w:vertAlign w:val="superscript"/>
              </w:rPr>
            </w:pPr>
            <w:del w:id="5794" w:author="AbbVie1" w:date="2025-05-13T09:50:00Z">
              <w:r w:rsidRPr="001B4A02">
                <w:delText>&lt;0,001</w:delText>
              </w:r>
              <w:r w:rsidRPr="001B4A02">
                <w:rPr>
                  <w:vertAlign w:val="superscript"/>
                </w:rPr>
                <w:delText>c</w:delText>
              </w:r>
            </w:del>
          </w:p>
        </w:tc>
      </w:tr>
      <w:tr w:rsidR="00534A2D" w14:paraId="25B50CCE" w14:textId="77777777" w:rsidTr="008D783A">
        <w:trPr>
          <w:del w:id="5795" w:author="AbbVie1" w:date="2025-05-13T09:50:00Z"/>
        </w:trPr>
        <w:tc>
          <w:tcPr>
            <w:tcW w:w="2448" w:type="dxa"/>
          </w:tcPr>
          <w:p w14:paraId="6967412B" w14:textId="77777777" w:rsidR="00073F8F" w:rsidRPr="001B4A02" w:rsidRDefault="00000000" w:rsidP="00610431">
            <w:pPr>
              <w:ind w:left="0" w:firstLine="0"/>
              <w:rPr>
                <w:del w:id="5796" w:author="AbbVie1" w:date="2025-05-13T09:50:00Z"/>
              </w:rPr>
            </w:pPr>
            <w:del w:id="5797" w:author="AbbVie1" w:date="2025-05-13T09:50:00Z">
              <w:r w:rsidRPr="001B4A02">
                <w:delText>Skóre erozí</w:delText>
              </w:r>
            </w:del>
          </w:p>
        </w:tc>
        <w:tc>
          <w:tcPr>
            <w:tcW w:w="1620" w:type="dxa"/>
          </w:tcPr>
          <w:p w14:paraId="393C0948" w14:textId="77777777" w:rsidR="00073F8F" w:rsidRPr="001B4A02" w:rsidRDefault="00000000" w:rsidP="00610431">
            <w:pPr>
              <w:ind w:left="0" w:firstLine="0"/>
              <w:jc w:val="center"/>
              <w:rPr>
                <w:del w:id="5798" w:author="AbbVie1" w:date="2025-05-13T09:50:00Z"/>
              </w:rPr>
            </w:pPr>
            <w:del w:id="5799" w:author="AbbVie1" w:date="2025-05-13T09:50:00Z">
              <w:r w:rsidRPr="001B4A02">
                <w:delText>1,6</w:delText>
              </w:r>
            </w:del>
          </w:p>
        </w:tc>
        <w:tc>
          <w:tcPr>
            <w:tcW w:w="1800" w:type="dxa"/>
          </w:tcPr>
          <w:p w14:paraId="4F3CCFE5" w14:textId="77777777" w:rsidR="00073F8F" w:rsidRPr="001B4A02" w:rsidRDefault="00000000" w:rsidP="00610431">
            <w:pPr>
              <w:ind w:left="0" w:firstLine="0"/>
              <w:jc w:val="center"/>
              <w:rPr>
                <w:del w:id="5800" w:author="AbbVie1" w:date="2025-05-13T09:50:00Z"/>
              </w:rPr>
            </w:pPr>
            <w:del w:id="5801" w:author="AbbVie1" w:date="2025-05-13T09:50:00Z">
              <w:r w:rsidRPr="001B4A02">
                <w:delText>0,0</w:delText>
              </w:r>
            </w:del>
          </w:p>
        </w:tc>
        <w:tc>
          <w:tcPr>
            <w:tcW w:w="1800" w:type="dxa"/>
          </w:tcPr>
          <w:p w14:paraId="6B005BA1" w14:textId="77777777" w:rsidR="00073F8F" w:rsidRPr="001B4A02" w:rsidRDefault="00000000" w:rsidP="00610431">
            <w:pPr>
              <w:ind w:left="0" w:firstLine="0"/>
              <w:jc w:val="center"/>
              <w:rPr>
                <w:del w:id="5802" w:author="AbbVie1" w:date="2025-05-13T09:50:00Z"/>
              </w:rPr>
            </w:pPr>
            <w:del w:id="5803" w:author="AbbVie1" w:date="2025-05-13T09:50:00Z">
              <w:r w:rsidRPr="001B4A02">
                <w:delText>1,6 (0,9; 2,2)</w:delText>
              </w:r>
            </w:del>
          </w:p>
        </w:tc>
        <w:tc>
          <w:tcPr>
            <w:tcW w:w="1283" w:type="dxa"/>
          </w:tcPr>
          <w:p w14:paraId="07C82EB8" w14:textId="77777777" w:rsidR="00073F8F" w:rsidRPr="001B4A02" w:rsidRDefault="00000000" w:rsidP="00610431">
            <w:pPr>
              <w:ind w:left="0" w:firstLine="0"/>
              <w:jc w:val="center"/>
              <w:rPr>
                <w:del w:id="5804" w:author="AbbVie1" w:date="2025-05-13T09:50:00Z"/>
              </w:rPr>
            </w:pPr>
            <w:del w:id="5805" w:author="AbbVie1" w:date="2025-05-13T09:50:00Z">
              <w:r w:rsidRPr="001B4A02">
                <w:delText>&lt;0,001</w:delText>
              </w:r>
            </w:del>
          </w:p>
        </w:tc>
      </w:tr>
      <w:tr w:rsidR="00534A2D" w14:paraId="1BF16E3D" w14:textId="77777777" w:rsidTr="008D783A">
        <w:trPr>
          <w:del w:id="5806" w:author="AbbVie1" w:date="2025-05-13T09:50:00Z"/>
        </w:trPr>
        <w:tc>
          <w:tcPr>
            <w:tcW w:w="2448" w:type="dxa"/>
          </w:tcPr>
          <w:p w14:paraId="2DB90B03" w14:textId="77777777" w:rsidR="00073F8F" w:rsidRPr="001B4A02" w:rsidRDefault="00000000" w:rsidP="00610431">
            <w:pPr>
              <w:ind w:left="0" w:firstLine="0"/>
              <w:rPr>
                <w:del w:id="5807" w:author="AbbVie1" w:date="2025-05-13T09:50:00Z"/>
              </w:rPr>
            </w:pPr>
            <w:del w:id="5808" w:author="AbbVie1" w:date="2025-05-13T09:50:00Z">
              <w:r w:rsidRPr="001B4A02">
                <w:delText>Skóre JSN</w:delText>
              </w:r>
              <w:r w:rsidRPr="001B4A02">
                <w:rPr>
                  <w:vertAlign w:val="superscript"/>
                </w:rPr>
                <w:delText>d</w:delText>
              </w:r>
            </w:del>
          </w:p>
        </w:tc>
        <w:tc>
          <w:tcPr>
            <w:tcW w:w="1620" w:type="dxa"/>
          </w:tcPr>
          <w:p w14:paraId="2EE83334" w14:textId="77777777" w:rsidR="00073F8F" w:rsidRPr="001B4A02" w:rsidRDefault="00000000" w:rsidP="00610431">
            <w:pPr>
              <w:ind w:left="0" w:firstLine="0"/>
              <w:jc w:val="center"/>
              <w:rPr>
                <w:del w:id="5809" w:author="AbbVie1" w:date="2025-05-13T09:50:00Z"/>
              </w:rPr>
            </w:pPr>
            <w:del w:id="5810" w:author="AbbVie1" w:date="2025-05-13T09:50:00Z">
              <w:r w:rsidRPr="001B4A02">
                <w:delText>1,0</w:delText>
              </w:r>
            </w:del>
          </w:p>
        </w:tc>
        <w:tc>
          <w:tcPr>
            <w:tcW w:w="1800" w:type="dxa"/>
          </w:tcPr>
          <w:p w14:paraId="1D0125D0" w14:textId="77777777" w:rsidR="00073F8F" w:rsidRPr="001B4A02" w:rsidRDefault="00000000" w:rsidP="00610431">
            <w:pPr>
              <w:ind w:left="0" w:firstLine="0"/>
              <w:jc w:val="center"/>
              <w:rPr>
                <w:del w:id="5811" w:author="AbbVie1" w:date="2025-05-13T09:50:00Z"/>
              </w:rPr>
            </w:pPr>
            <w:del w:id="5812" w:author="AbbVie1" w:date="2025-05-13T09:50:00Z">
              <w:r w:rsidRPr="001B4A02">
                <w:delText>0,1</w:delText>
              </w:r>
            </w:del>
          </w:p>
        </w:tc>
        <w:tc>
          <w:tcPr>
            <w:tcW w:w="1800" w:type="dxa"/>
          </w:tcPr>
          <w:p w14:paraId="501460D2" w14:textId="77777777" w:rsidR="00073F8F" w:rsidRPr="001B4A02" w:rsidRDefault="00000000" w:rsidP="00610431">
            <w:pPr>
              <w:ind w:left="0" w:firstLine="0"/>
              <w:jc w:val="center"/>
              <w:rPr>
                <w:del w:id="5813" w:author="AbbVie1" w:date="2025-05-13T09:50:00Z"/>
              </w:rPr>
            </w:pPr>
            <w:del w:id="5814" w:author="AbbVie1" w:date="2025-05-13T09:50:00Z">
              <w:r w:rsidRPr="001B4A02">
                <w:delText>0,9 (0,3; 1,4)</w:delText>
              </w:r>
            </w:del>
          </w:p>
        </w:tc>
        <w:tc>
          <w:tcPr>
            <w:tcW w:w="1283" w:type="dxa"/>
          </w:tcPr>
          <w:p w14:paraId="38D34456" w14:textId="77777777" w:rsidR="00073F8F" w:rsidRPr="001B4A02" w:rsidRDefault="00000000" w:rsidP="00610431">
            <w:pPr>
              <w:ind w:left="0" w:firstLine="0"/>
              <w:jc w:val="center"/>
              <w:rPr>
                <w:del w:id="5815" w:author="AbbVie1" w:date="2025-05-13T09:50:00Z"/>
              </w:rPr>
            </w:pPr>
            <w:del w:id="5816" w:author="AbbVie1" w:date="2025-05-13T09:50:00Z">
              <w:r w:rsidRPr="001B4A02">
                <w:delText>0,002</w:delText>
              </w:r>
            </w:del>
          </w:p>
        </w:tc>
      </w:tr>
    </w:tbl>
    <w:p w14:paraId="181EC938" w14:textId="77777777" w:rsidR="00073F8F" w:rsidRPr="001B4A02" w:rsidRDefault="00000000" w:rsidP="00ED48A3">
      <w:pPr>
        <w:rPr>
          <w:del w:id="5817" w:author="AbbVie1" w:date="2025-05-13T09:50:00Z"/>
          <w:sz w:val="20"/>
        </w:rPr>
      </w:pPr>
      <w:del w:id="5818" w:author="AbbVie1" w:date="2025-05-13T09:50:00Z">
        <w:r w:rsidRPr="001B4A02">
          <w:rPr>
            <w:bCs/>
            <w:sz w:val="20"/>
            <w:vertAlign w:val="superscript"/>
          </w:rPr>
          <w:delText xml:space="preserve">a </w:delText>
        </w:r>
        <w:r w:rsidRPr="001B4A02">
          <w:rPr>
            <w:bCs/>
            <w:sz w:val="20"/>
          </w:rPr>
          <w:delText>methotrex</w:delText>
        </w:r>
        <w:r w:rsidRPr="001B4A02">
          <w:rPr>
            <w:sz w:val="20"/>
          </w:rPr>
          <w:delText>át</w:delText>
        </w:r>
      </w:del>
    </w:p>
    <w:p w14:paraId="701A1F84" w14:textId="77777777" w:rsidR="00073F8F" w:rsidRPr="001B4A02" w:rsidRDefault="00000000" w:rsidP="00ED48A3">
      <w:pPr>
        <w:rPr>
          <w:del w:id="5819" w:author="AbbVie1" w:date="2025-05-13T09:50:00Z"/>
          <w:sz w:val="20"/>
        </w:rPr>
      </w:pPr>
      <w:del w:id="5820" w:author="AbbVie1" w:date="2025-05-13T09:50:00Z">
        <w:r w:rsidRPr="001B4A02">
          <w:rPr>
            <w:sz w:val="20"/>
            <w:vertAlign w:val="superscript"/>
          </w:rPr>
          <w:delText xml:space="preserve">b </w:delText>
        </w:r>
        <w:r w:rsidRPr="001B4A02">
          <w:rPr>
            <w:sz w:val="20"/>
          </w:rPr>
          <w:delText>95% intervaly spolehlivosti pro rozdíly změny skóre mezi me</w:delText>
        </w:r>
        <w:r w:rsidR="00AC7C92" w:rsidRPr="001B4A02">
          <w:rPr>
            <w:sz w:val="20"/>
          </w:rPr>
          <w:delText>thotrexátem</w:delText>
        </w:r>
        <w:r w:rsidR="002378E0">
          <w:rPr>
            <w:sz w:val="20"/>
          </w:rPr>
          <w:delText xml:space="preserve"> a </w:delText>
        </w:r>
        <w:r w:rsidR="00AC7C92" w:rsidRPr="001B4A02">
          <w:rPr>
            <w:sz w:val="20"/>
          </w:rPr>
          <w:delText>přípravkem Humira</w:delText>
        </w:r>
      </w:del>
    </w:p>
    <w:p w14:paraId="3537F14E" w14:textId="77777777" w:rsidR="00073F8F" w:rsidRPr="001B4A02" w:rsidRDefault="00000000" w:rsidP="00ED48A3">
      <w:pPr>
        <w:rPr>
          <w:del w:id="5821" w:author="AbbVie1" w:date="2025-05-13T09:50:00Z"/>
          <w:sz w:val="20"/>
        </w:rPr>
      </w:pPr>
      <w:del w:id="5822" w:author="AbbVie1" w:date="2025-05-13T09:50:00Z">
        <w:r w:rsidRPr="001B4A02">
          <w:rPr>
            <w:sz w:val="20"/>
            <w:vertAlign w:val="superscript"/>
          </w:rPr>
          <w:delText xml:space="preserve">c </w:delText>
        </w:r>
        <w:r w:rsidR="00AC7C92" w:rsidRPr="001B4A02">
          <w:rPr>
            <w:sz w:val="20"/>
          </w:rPr>
          <w:delText>na základě analýzy pořadí</w:delText>
        </w:r>
      </w:del>
    </w:p>
    <w:p w14:paraId="3E311BF9" w14:textId="77777777" w:rsidR="00073F8F" w:rsidRPr="001B4A02" w:rsidRDefault="00000000" w:rsidP="00ED48A3">
      <w:pPr>
        <w:ind w:left="0" w:firstLine="0"/>
        <w:rPr>
          <w:del w:id="5823" w:author="AbbVie1" w:date="2025-05-13T09:50:00Z"/>
          <w:sz w:val="20"/>
          <w:u w:val="single"/>
        </w:rPr>
      </w:pPr>
      <w:del w:id="5824" w:author="AbbVie1" w:date="2025-05-13T09:50:00Z">
        <w:r w:rsidRPr="001B4A02">
          <w:rPr>
            <w:sz w:val="20"/>
            <w:vertAlign w:val="superscript"/>
          </w:rPr>
          <w:delText xml:space="preserve">d </w:delText>
        </w:r>
        <w:r w:rsidRPr="001B4A02">
          <w:rPr>
            <w:sz w:val="20"/>
          </w:rPr>
          <w:delText>zúžení kloubní štěrbiny</w:delText>
        </w:r>
      </w:del>
    </w:p>
    <w:p w14:paraId="7D0AE2BD" w14:textId="77777777" w:rsidR="00073F8F" w:rsidRPr="001B4A02" w:rsidRDefault="00073F8F" w:rsidP="00ED48A3">
      <w:pPr>
        <w:ind w:left="0" w:firstLine="0"/>
        <w:rPr>
          <w:del w:id="5825" w:author="AbbVie1" w:date="2025-05-13T09:50:00Z"/>
          <w:u w:val="single"/>
        </w:rPr>
      </w:pPr>
    </w:p>
    <w:p w14:paraId="25A97136" w14:textId="77777777" w:rsidR="00073F8F" w:rsidRPr="001B4A02" w:rsidRDefault="00000000" w:rsidP="00ED48A3">
      <w:pPr>
        <w:ind w:left="0" w:firstLine="0"/>
        <w:rPr>
          <w:del w:id="5826" w:author="AbbVie1" w:date="2025-05-13T09:50:00Z"/>
        </w:rPr>
      </w:pPr>
      <w:del w:id="5827" w:author="AbbVie1" w:date="2025-05-13T09:50:00Z">
        <w:r w:rsidRPr="001B4A02">
          <w:delText>Ve studii RA V</w:delText>
        </w:r>
        <w:r w:rsidR="00255A0A" w:rsidRPr="001B4A02">
          <w:delText xml:space="preserve"> </w:delText>
        </w:r>
        <w:r w:rsidRPr="001B4A02">
          <w:delText>bylo strukturální poškození kloubů hodnoceno radiograficky</w:delText>
        </w:r>
        <w:r w:rsidR="002378E0">
          <w:delText xml:space="preserve"> a </w:delText>
        </w:r>
        <w:r w:rsidRPr="001B4A02">
          <w:delText xml:space="preserve">vyjádřeno jako změna upraveného celkového Sharpova skóre (viz tabulka </w:delText>
        </w:r>
        <w:r w:rsidR="00A26519">
          <w:delText>11</w:delText>
        </w:r>
        <w:r w:rsidRPr="001B4A02">
          <w:delText>).</w:delText>
        </w:r>
      </w:del>
    </w:p>
    <w:p w14:paraId="7068E487" w14:textId="77777777" w:rsidR="00073F8F" w:rsidRPr="001B4A02" w:rsidRDefault="00073F8F" w:rsidP="00603F6E">
      <w:pPr>
        <w:keepNext/>
        <w:ind w:left="0" w:firstLine="0"/>
        <w:rPr>
          <w:del w:id="5828" w:author="AbbVie1" w:date="2025-05-13T09:50:00Z"/>
          <w:u w:val="single"/>
        </w:rPr>
      </w:pPr>
    </w:p>
    <w:tbl>
      <w:tblPr>
        <w:tblW w:w="5037" w:type="pct"/>
        <w:tblInd w:w="108" w:type="dxa"/>
        <w:tblLayout w:type="fixed"/>
        <w:tblLook w:val="0000" w:firstRow="0" w:lastRow="0" w:firstColumn="0" w:lastColumn="0" w:noHBand="0" w:noVBand="0"/>
      </w:tblPr>
      <w:tblGrid>
        <w:gridCol w:w="1108"/>
        <w:gridCol w:w="1384"/>
        <w:gridCol w:w="1384"/>
        <w:gridCol w:w="1523"/>
        <w:gridCol w:w="1246"/>
        <w:gridCol w:w="1292"/>
        <w:gridCol w:w="1201"/>
      </w:tblGrid>
      <w:tr w:rsidR="00534A2D" w14:paraId="302A208D" w14:textId="77777777" w:rsidTr="008D783A">
        <w:trPr>
          <w:del w:id="5829" w:author="AbbVie1" w:date="2025-05-13T09:50:00Z"/>
        </w:trPr>
        <w:tc>
          <w:tcPr>
            <w:tcW w:w="9356" w:type="dxa"/>
            <w:gridSpan w:val="7"/>
            <w:tcBorders>
              <w:bottom w:val="single" w:sz="4" w:space="0" w:color="auto"/>
            </w:tcBorders>
          </w:tcPr>
          <w:p w14:paraId="03140CED" w14:textId="77777777" w:rsidR="003F4B5B" w:rsidRPr="001B4A02" w:rsidRDefault="00000000" w:rsidP="00CE5DAE">
            <w:pPr>
              <w:pStyle w:val="Heading5"/>
              <w:jc w:val="center"/>
              <w:rPr>
                <w:del w:id="5830" w:author="AbbVie1" w:date="2025-05-13T09:50:00Z"/>
                <w:b/>
                <w:bCs/>
                <w:noProof w:val="0"/>
                <w:lang w:val="cs-CZ"/>
              </w:rPr>
            </w:pPr>
            <w:del w:id="5831" w:author="AbbVie1" w:date="2025-05-13T09:50:00Z">
              <w:r w:rsidRPr="001B4A02">
                <w:rPr>
                  <w:b/>
                  <w:bCs/>
                  <w:noProof w:val="0"/>
                  <w:lang w:val="cs-CZ"/>
                </w:rPr>
                <w:delText xml:space="preserve">Tabulka </w:delText>
              </w:r>
              <w:r w:rsidR="00A26519">
                <w:rPr>
                  <w:b/>
                  <w:bCs/>
                  <w:noProof w:val="0"/>
                  <w:lang w:val="cs-CZ"/>
                </w:rPr>
                <w:delText>11</w:delText>
              </w:r>
              <w:r w:rsidR="00A26519" w:rsidRPr="001B4A02">
                <w:rPr>
                  <w:b/>
                  <w:bCs/>
                  <w:noProof w:val="0"/>
                  <w:lang w:val="cs-CZ"/>
                </w:rPr>
                <w:delText xml:space="preserve"> </w:delText>
              </w:r>
            </w:del>
          </w:p>
          <w:p w14:paraId="33409992" w14:textId="77777777" w:rsidR="00073F8F" w:rsidRPr="001B4A02" w:rsidRDefault="00000000" w:rsidP="00CE5DAE">
            <w:pPr>
              <w:pStyle w:val="Heading5"/>
              <w:jc w:val="center"/>
              <w:rPr>
                <w:del w:id="5832" w:author="AbbVie1" w:date="2025-05-13T09:50:00Z"/>
                <w:b/>
                <w:bCs/>
                <w:noProof w:val="0"/>
                <w:lang w:val="cs-CZ"/>
              </w:rPr>
            </w:pPr>
            <w:del w:id="5833" w:author="AbbVie1" w:date="2025-05-13T09:50:00Z">
              <w:r w:rsidRPr="001B4A02">
                <w:rPr>
                  <w:b/>
                  <w:bCs/>
                  <w:noProof w:val="0"/>
                  <w:lang w:val="cs-CZ"/>
                </w:rPr>
                <w:delText>Radiografické průměrné změny v týdnu 52 ve studii RA V</w:delText>
              </w:r>
            </w:del>
          </w:p>
          <w:p w14:paraId="505035BB" w14:textId="77777777" w:rsidR="00073F8F" w:rsidRPr="001B4A02" w:rsidRDefault="00073F8F" w:rsidP="00603F6E">
            <w:pPr>
              <w:keepNext/>
              <w:rPr>
                <w:del w:id="5834" w:author="AbbVie1" w:date="2025-05-13T09:50:00Z"/>
              </w:rPr>
            </w:pPr>
          </w:p>
        </w:tc>
      </w:tr>
      <w:tr w:rsidR="00534A2D" w14:paraId="434DABAF" w14:textId="77777777" w:rsidTr="008D783A">
        <w:trPr>
          <w:del w:id="5835" w:author="AbbVie1" w:date="2025-05-13T09:50:00Z"/>
        </w:trPr>
        <w:tc>
          <w:tcPr>
            <w:tcW w:w="1134" w:type="dxa"/>
            <w:tcBorders>
              <w:top w:val="single" w:sz="4" w:space="0" w:color="auto"/>
              <w:left w:val="single" w:sz="4" w:space="0" w:color="auto"/>
              <w:bottom w:val="single" w:sz="4" w:space="0" w:color="auto"/>
              <w:right w:val="single" w:sz="4" w:space="0" w:color="auto"/>
            </w:tcBorders>
            <w:vAlign w:val="center"/>
          </w:tcPr>
          <w:p w14:paraId="5B2F7DFD" w14:textId="77777777" w:rsidR="00073F8F" w:rsidRPr="001B4A02" w:rsidRDefault="00073F8F" w:rsidP="00603F6E">
            <w:pPr>
              <w:keepNext/>
              <w:ind w:left="0" w:firstLine="0"/>
              <w:rPr>
                <w:del w:id="5836" w:author="AbbVie1" w:date="2025-05-13T09:50:00Z"/>
              </w:rPr>
            </w:pPr>
          </w:p>
        </w:tc>
        <w:tc>
          <w:tcPr>
            <w:tcW w:w="1418" w:type="dxa"/>
            <w:tcBorders>
              <w:top w:val="single" w:sz="4" w:space="0" w:color="auto"/>
              <w:left w:val="single" w:sz="4" w:space="0" w:color="auto"/>
              <w:bottom w:val="single" w:sz="4" w:space="0" w:color="auto"/>
              <w:right w:val="single" w:sz="4" w:space="0" w:color="auto"/>
            </w:tcBorders>
            <w:vAlign w:val="center"/>
          </w:tcPr>
          <w:p w14:paraId="480138AA" w14:textId="77777777" w:rsidR="00073F8F" w:rsidRPr="001B4A02" w:rsidRDefault="00000000" w:rsidP="00603F6E">
            <w:pPr>
              <w:keepNext/>
              <w:ind w:left="0" w:firstLine="0"/>
              <w:jc w:val="center"/>
              <w:rPr>
                <w:del w:id="5837" w:author="AbbVie1" w:date="2025-05-13T09:50:00Z"/>
              </w:rPr>
            </w:pPr>
            <w:del w:id="5838" w:author="AbbVie1" w:date="2025-05-13T09:50:00Z">
              <w:r w:rsidRPr="001B4A02">
                <w:delText>MTX</w:delText>
              </w:r>
            </w:del>
          </w:p>
          <w:p w14:paraId="71E79EDB" w14:textId="77777777" w:rsidR="00073F8F" w:rsidRPr="001B4A02" w:rsidRDefault="00000000" w:rsidP="00603F6E">
            <w:pPr>
              <w:keepNext/>
              <w:ind w:left="0" w:firstLine="0"/>
              <w:jc w:val="center"/>
              <w:rPr>
                <w:del w:id="5839" w:author="AbbVie1" w:date="2025-05-13T09:50:00Z"/>
              </w:rPr>
            </w:pPr>
            <w:del w:id="5840" w:author="AbbVie1" w:date="2025-05-13T09:50:00Z">
              <w:r w:rsidRPr="001B4A02">
                <w:delText>n=257</w:delText>
              </w:r>
            </w:del>
          </w:p>
          <w:p w14:paraId="5DC6343D" w14:textId="77777777" w:rsidR="00073F8F" w:rsidRPr="001B4A02" w:rsidRDefault="00000000" w:rsidP="00603F6E">
            <w:pPr>
              <w:keepNext/>
              <w:ind w:left="0" w:firstLine="0"/>
              <w:jc w:val="center"/>
              <w:rPr>
                <w:del w:id="5841" w:author="AbbVie1" w:date="2025-05-13T09:50:00Z"/>
                <w:sz w:val="18"/>
              </w:rPr>
            </w:pPr>
            <w:del w:id="5842" w:author="AbbVie1" w:date="2025-05-13T09:50:00Z">
              <w:r w:rsidRPr="001B4A02">
                <w:rPr>
                  <w:sz w:val="18"/>
                </w:rPr>
                <w:delText>(95% interval spolehlivosti)</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17CEEB98" w14:textId="77777777" w:rsidR="00073F8F" w:rsidRPr="001B4A02" w:rsidRDefault="00000000" w:rsidP="00603F6E">
            <w:pPr>
              <w:keepNext/>
              <w:ind w:left="0" w:firstLine="0"/>
              <w:jc w:val="center"/>
              <w:rPr>
                <w:del w:id="5843" w:author="AbbVie1" w:date="2025-05-13T09:50:00Z"/>
              </w:rPr>
            </w:pPr>
            <w:del w:id="5844" w:author="AbbVie1" w:date="2025-05-13T09:50:00Z">
              <w:r w:rsidRPr="001B4A02">
                <w:delText>Humira</w:delText>
              </w:r>
            </w:del>
          </w:p>
          <w:p w14:paraId="7830DB1D" w14:textId="77777777" w:rsidR="00073F8F" w:rsidRPr="001B4A02" w:rsidRDefault="00000000" w:rsidP="00603F6E">
            <w:pPr>
              <w:pStyle w:val="EMEAFigureTitle"/>
              <w:keepNext/>
              <w:jc w:val="center"/>
              <w:rPr>
                <w:del w:id="5845" w:author="AbbVie1" w:date="2025-05-13T09:50:00Z"/>
                <w:lang w:val="cs-CZ"/>
              </w:rPr>
            </w:pPr>
            <w:del w:id="5846" w:author="AbbVie1" w:date="2025-05-13T09:50:00Z">
              <w:r w:rsidRPr="001B4A02">
                <w:rPr>
                  <w:lang w:val="cs-CZ"/>
                </w:rPr>
                <w:delText>n=274</w:delText>
              </w:r>
            </w:del>
          </w:p>
          <w:p w14:paraId="0552F0E2" w14:textId="77777777" w:rsidR="00073F8F" w:rsidRPr="001B4A02" w:rsidRDefault="00000000" w:rsidP="00603F6E">
            <w:pPr>
              <w:keepNext/>
              <w:ind w:left="0" w:firstLine="0"/>
              <w:jc w:val="center"/>
              <w:rPr>
                <w:del w:id="5847" w:author="AbbVie1" w:date="2025-05-13T09:50:00Z"/>
              </w:rPr>
            </w:pPr>
            <w:del w:id="5848" w:author="AbbVie1" w:date="2025-05-13T09:50:00Z">
              <w:r w:rsidRPr="001B4A02">
                <w:rPr>
                  <w:sz w:val="18"/>
                </w:rPr>
                <w:delText>(95% interval spolehlivosti)</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59EFBFA1" w14:textId="77777777" w:rsidR="00073F8F" w:rsidRPr="001B4A02" w:rsidRDefault="00000000" w:rsidP="00603F6E">
            <w:pPr>
              <w:keepNext/>
              <w:ind w:left="0" w:firstLine="0"/>
              <w:jc w:val="center"/>
              <w:rPr>
                <w:del w:id="5849" w:author="AbbVie1" w:date="2025-05-13T09:50:00Z"/>
              </w:rPr>
            </w:pPr>
            <w:del w:id="5850" w:author="AbbVie1" w:date="2025-05-13T09:50:00Z">
              <w:r w:rsidRPr="001B4A02">
                <w:delText>Humira/MTX</w:delText>
              </w:r>
            </w:del>
          </w:p>
          <w:p w14:paraId="5D975FCC" w14:textId="77777777" w:rsidR="00073F8F" w:rsidRPr="001B4A02" w:rsidRDefault="00000000" w:rsidP="00603F6E">
            <w:pPr>
              <w:pStyle w:val="EMEAFigureTitle"/>
              <w:keepNext/>
              <w:jc w:val="center"/>
              <w:rPr>
                <w:del w:id="5851" w:author="AbbVie1" w:date="2025-05-13T09:50:00Z"/>
                <w:lang w:val="cs-CZ"/>
              </w:rPr>
            </w:pPr>
            <w:del w:id="5852" w:author="AbbVie1" w:date="2025-05-13T09:50:00Z">
              <w:r w:rsidRPr="001B4A02">
                <w:rPr>
                  <w:lang w:val="cs-CZ"/>
                </w:rPr>
                <w:delText>n=268</w:delText>
              </w:r>
            </w:del>
          </w:p>
          <w:p w14:paraId="13430CEC" w14:textId="77777777" w:rsidR="00073F8F" w:rsidRPr="001B4A02" w:rsidRDefault="00000000" w:rsidP="00603F6E">
            <w:pPr>
              <w:pStyle w:val="EMEANormal"/>
              <w:keepNext/>
              <w:jc w:val="center"/>
              <w:rPr>
                <w:del w:id="5853" w:author="AbbVie1" w:date="2025-05-13T09:50:00Z"/>
                <w:sz w:val="18"/>
                <w:lang w:val="cs-CZ"/>
              </w:rPr>
            </w:pPr>
            <w:del w:id="5854" w:author="AbbVie1" w:date="2025-05-13T09:50:00Z">
              <w:r w:rsidRPr="001B4A02">
                <w:rPr>
                  <w:sz w:val="18"/>
                  <w:lang w:val="cs-CZ"/>
                </w:rPr>
                <w:delText>(95% interval spolehlivosti)</w:delText>
              </w:r>
            </w:del>
          </w:p>
        </w:tc>
        <w:tc>
          <w:tcPr>
            <w:tcW w:w="1275" w:type="dxa"/>
            <w:tcBorders>
              <w:top w:val="single" w:sz="4" w:space="0" w:color="auto"/>
              <w:left w:val="single" w:sz="4" w:space="0" w:color="auto"/>
              <w:bottom w:val="single" w:sz="4" w:space="0" w:color="auto"/>
              <w:right w:val="single" w:sz="4" w:space="0" w:color="auto"/>
            </w:tcBorders>
            <w:vAlign w:val="center"/>
          </w:tcPr>
          <w:p w14:paraId="0E537E39" w14:textId="77777777" w:rsidR="00073F8F" w:rsidRPr="001B4A02" w:rsidRDefault="00000000" w:rsidP="00603F6E">
            <w:pPr>
              <w:pStyle w:val="EMEANormal"/>
              <w:keepNext/>
              <w:jc w:val="center"/>
              <w:rPr>
                <w:del w:id="5855" w:author="AbbVie1" w:date="2025-05-13T09:50:00Z"/>
                <w:lang w:val="cs-CZ"/>
              </w:rPr>
            </w:pPr>
            <w:del w:id="5856" w:author="AbbVie1" w:date="2025-05-13T09:50:00Z">
              <w:r w:rsidRPr="001B4A02">
                <w:rPr>
                  <w:lang w:val="cs-CZ"/>
                </w:rPr>
                <w:delText>Hodnota p</w:delText>
              </w:r>
              <w:r w:rsidRPr="001B4A02">
                <w:rPr>
                  <w:vertAlign w:val="superscript"/>
                  <w:lang w:val="cs-CZ"/>
                </w:rPr>
                <w:delText>a</w:delText>
              </w:r>
            </w:del>
          </w:p>
        </w:tc>
        <w:tc>
          <w:tcPr>
            <w:tcW w:w="1323" w:type="dxa"/>
            <w:tcBorders>
              <w:top w:val="single" w:sz="4" w:space="0" w:color="auto"/>
              <w:left w:val="single" w:sz="4" w:space="0" w:color="auto"/>
              <w:bottom w:val="single" w:sz="4" w:space="0" w:color="auto"/>
              <w:right w:val="single" w:sz="4" w:space="0" w:color="auto"/>
            </w:tcBorders>
            <w:vAlign w:val="center"/>
          </w:tcPr>
          <w:p w14:paraId="341E04EF" w14:textId="77777777" w:rsidR="00073F8F" w:rsidRPr="001B4A02" w:rsidRDefault="00000000" w:rsidP="00603F6E">
            <w:pPr>
              <w:keepNext/>
              <w:ind w:left="0" w:firstLine="0"/>
              <w:jc w:val="center"/>
              <w:rPr>
                <w:del w:id="5857" w:author="AbbVie1" w:date="2025-05-13T09:50:00Z"/>
              </w:rPr>
            </w:pPr>
            <w:del w:id="5858" w:author="AbbVie1" w:date="2025-05-13T09:50:00Z">
              <w:r w:rsidRPr="001B4A02">
                <w:delText>Hodnota</w:delText>
              </w:r>
              <w:r w:rsidR="004F0025" w:rsidRPr="001B4A02">
                <w:delText xml:space="preserve"> </w:delText>
              </w:r>
              <w:r w:rsidRPr="001B4A02">
                <w:delText>p</w:delText>
              </w:r>
              <w:r w:rsidRPr="001B4A02">
                <w:rPr>
                  <w:vertAlign w:val="superscript"/>
                </w:rPr>
                <w:delText>b</w:delText>
              </w:r>
            </w:del>
          </w:p>
        </w:tc>
        <w:tc>
          <w:tcPr>
            <w:tcW w:w="1229" w:type="dxa"/>
            <w:tcBorders>
              <w:top w:val="single" w:sz="4" w:space="0" w:color="auto"/>
              <w:left w:val="single" w:sz="4" w:space="0" w:color="auto"/>
              <w:bottom w:val="single" w:sz="4" w:space="0" w:color="auto"/>
              <w:right w:val="single" w:sz="4" w:space="0" w:color="auto"/>
            </w:tcBorders>
            <w:vAlign w:val="center"/>
          </w:tcPr>
          <w:p w14:paraId="7EB00F73" w14:textId="77777777" w:rsidR="00073F8F" w:rsidRPr="001B4A02" w:rsidRDefault="00000000" w:rsidP="00603F6E">
            <w:pPr>
              <w:keepNext/>
              <w:ind w:left="0" w:firstLine="0"/>
              <w:jc w:val="center"/>
              <w:rPr>
                <w:del w:id="5859" w:author="AbbVie1" w:date="2025-05-13T09:50:00Z"/>
              </w:rPr>
            </w:pPr>
            <w:del w:id="5860" w:author="AbbVie1" w:date="2025-05-13T09:50:00Z">
              <w:r w:rsidRPr="001B4A02">
                <w:delText>Hodnota</w:delText>
              </w:r>
              <w:r w:rsidR="004F0025" w:rsidRPr="001B4A02">
                <w:delText xml:space="preserve"> </w:delText>
              </w:r>
              <w:r w:rsidRPr="001B4A02">
                <w:delText>p</w:delText>
              </w:r>
              <w:r w:rsidRPr="001B4A02">
                <w:rPr>
                  <w:vertAlign w:val="superscript"/>
                </w:rPr>
                <w:delText>c</w:delText>
              </w:r>
            </w:del>
          </w:p>
        </w:tc>
      </w:tr>
      <w:tr w:rsidR="00534A2D" w14:paraId="22EA85D8" w14:textId="77777777" w:rsidTr="008D783A">
        <w:trPr>
          <w:del w:id="5861" w:author="AbbVie1" w:date="2025-05-13T09:50:00Z"/>
        </w:trPr>
        <w:tc>
          <w:tcPr>
            <w:tcW w:w="1134" w:type="dxa"/>
            <w:tcBorders>
              <w:top w:val="single" w:sz="4" w:space="0" w:color="auto"/>
              <w:left w:val="single" w:sz="4" w:space="0" w:color="auto"/>
              <w:bottom w:val="single" w:sz="4" w:space="0" w:color="auto"/>
              <w:right w:val="single" w:sz="4" w:space="0" w:color="auto"/>
            </w:tcBorders>
          </w:tcPr>
          <w:p w14:paraId="15C02AA0" w14:textId="77777777" w:rsidR="00073F8F" w:rsidRPr="001B4A02" w:rsidRDefault="00000000" w:rsidP="00603F6E">
            <w:pPr>
              <w:pStyle w:val="EMEAFigureTitle"/>
              <w:keepNext/>
              <w:rPr>
                <w:del w:id="5862" w:author="AbbVie1" w:date="2025-05-13T09:50:00Z"/>
                <w:szCs w:val="24"/>
                <w:lang w:val="cs-CZ"/>
              </w:rPr>
            </w:pPr>
            <w:del w:id="5863" w:author="AbbVie1" w:date="2025-05-13T09:50:00Z">
              <w:r w:rsidRPr="001B4A02">
                <w:rPr>
                  <w:szCs w:val="24"/>
                  <w:lang w:val="cs-CZ"/>
                </w:rPr>
                <w:delText>Celkové Sharpovo skóre</w:delText>
              </w:r>
            </w:del>
          </w:p>
        </w:tc>
        <w:tc>
          <w:tcPr>
            <w:tcW w:w="1418" w:type="dxa"/>
            <w:tcBorders>
              <w:top w:val="single" w:sz="4" w:space="0" w:color="auto"/>
              <w:left w:val="single" w:sz="4" w:space="0" w:color="auto"/>
              <w:bottom w:val="single" w:sz="4" w:space="0" w:color="auto"/>
              <w:right w:val="single" w:sz="4" w:space="0" w:color="auto"/>
            </w:tcBorders>
          </w:tcPr>
          <w:p w14:paraId="082FEBA2" w14:textId="77777777" w:rsidR="00073F8F" w:rsidRPr="001B4A02" w:rsidRDefault="00000000" w:rsidP="00603F6E">
            <w:pPr>
              <w:keepNext/>
              <w:ind w:left="0" w:firstLine="0"/>
              <w:jc w:val="center"/>
              <w:rPr>
                <w:del w:id="5864" w:author="AbbVie1" w:date="2025-05-13T09:50:00Z"/>
              </w:rPr>
            </w:pPr>
            <w:del w:id="5865" w:author="AbbVie1" w:date="2025-05-13T09:50:00Z">
              <w:r w:rsidRPr="001B4A02">
                <w:delText>5,7 (4,2</w:delText>
              </w:r>
              <w:r w:rsidR="006D1214" w:rsidRPr="001B4A02">
                <w:delText>–</w:delText>
              </w:r>
              <w:r w:rsidRPr="001B4A02">
                <w:delText>7,3)</w:delText>
              </w:r>
            </w:del>
          </w:p>
        </w:tc>
        <w:tc>
          <w:tcPr>
            <w:tcW w:w="1417" w:type="dxa"/>
            <w:tcBorders>
              <w:top w:val="single" w:sz="4" w:space="0" w:color="auto"/>
              <w:left w:val="single" w:sz="4" w:space="0" w:color="auto"/>
              <w:bottom w:val="single" w:sz="4" w:space="0" w:color="auto"/>
              <w:right w:val="single" w:sz="4" w:space="0" w:color="auto"/>
            </w:tcBorders>
          </w:tcPr>
          <w:p w14:paraId="316F5F79" w14:textId="77777777" w:rsidR="00073F8F" w:rsidRPr="001B4A02" w:rsidRDefault="00000000" w:rsidP="00603F6E">
            <w:pPr>
              <w:pStyle w:val="EndnoteText"/>
              <w:keepNext/>
              <w:ind w:left="0" w:firstLine="0"/>
              <w:jc w:val="center"/>
              <w:rPr>
                <w:del w:id="5866" w:author="AbbVie1" w:date="2025-05-13T09:50:00Z"/>
                <w:lang w:val="cs-CZ"/>
              </w:rPr>
            </w:pPr>
            <w:del w:id="5867" w:author="AbbVie1" w:date="2025-05-13T09:50:00Z">
              <w:r w:rsidRPr="001B4A02">
                <w:rPr>
                  <w:lang w:val="cs-CZ"/>
                </w:rPr>
                <w:delText>3,0 (1,7</w:delText>
              </w:r>
              <w:r w:rsidR="006D1214" w:rsidRPr="001B4A02">
                <w:rPr>
                  <w:lang w:val="cs-CZ"/>
                </w:rPr>
                <w:delText>–</w:delText>
              </w:r>
              <w:r w:rsidRPr="001B4A02">
                <w:rPr>
                  <w:lang w:val="cs-CZ"/>
                </w:rPr>
                <w:delText>4,3)</w:delText>
              </w:r>
            </w:del>
          </w:p>
        </w:tc>
        <w:tc>
          <w:tcPr>
            <w:tcW w:w="1560" w:type="dxa"/>
            <w:tcBorders>
              <w:top w:val="single" w:sz="4" w:space="0" w:color="auto"/>
              <w:left w:val="single" w:sz="4" w:space="0" w:color="auto"/>
              <w:bottom w:val="single" w:sz="4" w:space="0" w:color="auto"/>
              <w:right w:val="single" w:sz="4" w:space="0" w:color="auto"/>
            </w:tcBorders>
          </w:tcPr>
          <w:p w14:paraId="18AE7296" w14:textId="77777777" w:rsidR="00073F8F" w:rsidRPr="001B4A02" w:rsidRDefault="00000000" w:rsidP="00603F6E">
            <w:pPr>
              <w:pStyle w:val="EndnoteText"/>
              <w:keepNext/>
              <w:ind w:left="0" w:firstLine="0"/>
              <w:jc w:val="center"/>
              <w:rPr>
                <w:del w:id="5868" w:author="AbbVie1" w:date="2025-05-13T09:50:00Z"/>
                <w:lang w:val="cs-CZ"/>
              </w:rPr>
            </w:pPr>
            <w:del w:id="5869" w:author="AbbVie1" w:date="2025-05-13T09:50:00Z">
              <w:r w:rsidRPr="001B4A02">
                <w:rPr>
                  <w:lang w:val="cs-CZ"/>
                </w:rPr>
                <w:delText>1,3 (0,5</w:delText>
              </w:r>
              <w:r w:rsidR="006D1214" w:rsidRPr="001B4A02">
                <w:rPr>
                  <w:lang w:val="cs-CZ"/>
                </w:rPr>
                <w:delText>–</w:delText>
              </w:r>
              <w:r w:rsidRPr="001B4A02">
                <w:rPr>
                  <w:lang w:val="cs-CZ"/>
                </w:rPr>
                <w:delText>2,1)</w:delText>
              </w:r>
            </w:del>
          </w:p>
        </w:tc>
        <w:tc>
          <w:tcPr>
            <w:tcW w:w="1275" w:type="dxa"/>
            <w:tcBorders>
              <w:top w:val="single" w:sz="4" w:space="0" w:color="auto"/>
              <w:left w:val="single" w:sz="4" w:space="0" w:color="auto"/>
              <w:bottom w:val="single" w:sz="4" w:space="0" w:color="auto"/>
              <w:right w:val="single" w:sz="4" w:space="0" w:color="auto"/>
            </w:tcBorders>
          </w:tcPr>
          <w:p w14:paraId="776E9EDC" w14:textId="77777777" w:rsidR="00073F8F" w:rsidRPr="001B4A02" w:rsidRDefault="00000000" w:rsidP="00603F6E">
            <w:pPr>
              <w:pStyle w:val="EndnoteText"/>
              <w:keepNext/>
              <w:ind w:left="0" w:firstLine="0"/>
              <w:jc w:val="center"/>
              <w:rPr>
                <w:del w:id="5870" w:author="AbbVie1" w:date="2025-05-13T09:50:00Z"/>
                <w:lang w:val="cs-CZ"/>
              </w:rPr>
            </w:pPr>
            <w:del w:id="5871" w:author="AbbVie1" w:date="2025-05-13T09:50:00Z">
              <w:r w:rsidRPr="001B4A02">
                <w:rPr>
                  <w:lang w:val="cs-CZ"/>
                </w:rPr>
                <w:delText>&lt;0,001</w:delText>
              </w:r>
            </w:del>
          </w:p>
        </w:tc>
        <w:tc>
          <w:tcPr>
            <w:tcW w:w="1323" w:type="dxa"/>
            <w:tcBorders>
              <w:top w:val="single" w:sz="4" w:space="0" w:color="auto"/>
              <w:left w:val="single" w:sz="4" w:space="0" w:color="auto"/>
              <w:bottom w:val="single" w:sz="4" w:space="0" w:color="auto"/>
              <w:right w:val="single" w:sz="4" w:space="0" w:color="auto"/>
            </w:tcBorders>
          </w:tcPr>
          <w:p w14:paraId="69D14ADE" w14:textId="77777777" w:rsidR="00073F8F" w:rsidRPr="001B4A02" w:rsidRDefault="00000000" w:rsidP="00603F6E">
            <w:pPr>
              <w:keepNext/>
              <w:ind w:left="0" w:firstLine="0"/>
              <w:jc w:val="center"/>
              <w:rPr>
                <w:del w:id="5872" w:author="AbbVie1" w:date="2025-05-13T09:50:00Z"/>
              </w:rPr>
            </w:pPr>
            <w:del w:id="5873" w:author="AbbVie1" w:date="2025-05-13T09:50:00Z">
              <w:r w:rsidRPr="001B4A02">
                <w:delText>0,0020</w:delText>
              </w:r>
            </w:del>
          </w:p>
        </w:tc>
        <w:tc>
          <w:tcPr>
            <w:tcW w:w="1229" w:type="dxa"/>
            <w:tcBorders>
              <w:top w:val="single" w:sz="4" w:space="0" w:color="auto"/>
              <w:left w:val="single" w:sz="4" w:space="0" w:color="auto"/>
              <w:bottom w:val="single" w:sz="4" w:space="0" w:color="auto"/>
              <w:right w:val="single" w:sz="4" w:space="0" w:color="auto"/>
            </w:tcBorders>
          </w:tcPr>
          <w:p w14:paraId="1D3204B0" w14:textId="77777777" w:rsidR="00073F8F" w:rsidRPr="001B4A02" w:rsidRDefault="00000000" w:rsidP="00603F6E">
            <w:pPr>
              <w:keepNext/>
              <w:ind w:left="0" w:firstLine="0"/>
              <w:jc w:val="center"/>
              <w:rPr>
                <w:del w:id="5874" w:author="AbbVie1" w:date="2025-05-13T09:50:00Z"/>
              </w:rPr>
            </w:pPr>
            <w:del w:id="5875" w:author="AbbVie1" w:date="2025-05-13T09:50:00Z">
              <w:r w:rsidRPr="001B4A02">
                <w:delText>&lt;0,001</w:delText>
              </w:r>
            </w:del>
          </w:p>
        </w:tc>
      </w:tr>
      <w:tr w:rsidR="00534A2D" w14:paraId="36AA3B93" w14:textId="77777777" w:rsidTr="008D783A">
        <w:trPr>
          <w:del w:id="5876" w:author="AbbVie1" w:date="2025-05-13T09:50:00Z"/>
        </w:trPr>
        <w:tc>
          <w:tcPr>
            <w:tcW w:w="1134" w:type="dxa"/>
            <w:tcBorders>
              <w:top w:val="single" w:sz="4" w:space="0" w:color="auto"/>
              <w:left w:val="single" w:sz="4" w:space="0" w:color="auto"/>
              <w:bottom w:val="single" w:sz="4" w:space="0" w:color="auto"/>
              <w:right w:val="single" w:sz="4" w:space="0" w:color="auto"/>
            </w:tcBorders>
          </w:tcPr>
          <w:p w14:paraId="1A1D61E6" w14:textId="77777777" w:rsidR="00073F8F" w:rsidRPr="001B4A02" w:rsidRDefault="00000000" w:rsidP="00603F6E">
            <w:pPr>
              <w:keepNext/>
              <w:ind w:left="0" w:firstLine="0"/>
              <w:rPr>
                <w:del w:id="5877" w:author="AbbVie1" w:date="2025-05-13T09:50:00Z"/>
              </w:rPr>
            </w:pPr>
            <w:del w:id="5878" w:author="AbbVie1" w:date="2025-05-13T09:50:00Z">
              <w:r w:rsidRPr="001B4A02">
                <w:delText>Skóre eroze</w:delText>
              </w:r>
            </w:del>
          </w:p>
        </w:tc>
        <w:tc>
          <w:tcPr>
            <w:tcW w:w="1418" w:type="dxa"/>
            <w:tcBorders>
              <w:top w:val="single" w:sz="4" w:space="0" w:color="auto"/>
              <w:left w:val="single" w:sz="4" w:space="0" w:color="auto"/>
              <w:bottom w:val="single" w:sz="4" w:space="0" w:color="auto"/>
              <w:right w:val="single" w:sz="4" w:space="0" w:color="auto"/>
            </w:tcBorders>
          </w:tcPr>
          <w:p w14:paraId="74417165" w14:textId="77777777" w:rsidR="00073F8F" w:rsidRPr="001B4A02" w:rsidRDefault="00000000" w:rsidP="00603F6E">
            <w:pPr>
              <w:keepNext/>
              <w:ind w:left="0" w:firstLine="0"/>
              <w:jc w:val="center"/>
              <w:rPr>
                <w:del w:id="5879" w:author="AbbVie1" w:date="2025-05-13T09:50:00Z"/>
              </w:rPr>
            </w:pPr>
            <w:del w:id="5880" w:author="AbbVie1" w:date="2025-05-13T09:50:00Z">
              <w:r w:rsidRPr="001B4A02">
                <w:delText>3,7 (2,7</w:delText>
              </w:r>
              <w:r w:rsidR="006D1214" w:rsidRPr="001B4A02">
                <w:delText>–</w:delText>
              </w:r>
              <w:r w:rsidRPr="001B4A02">
                <w:delText>4,7)</w:delText>
              </w:r>
            </w:del>
          </w:p>
        </w:tc>
        <w:tc>
          <w:tcPr>
            <w:tcW w:w="1417" w:type="dxa"/>
            <w:tcBorders>
              <w:top w:val="single" w:sz="4" w:space="0" w:color="auto"/>
              <w:left w:val="single" w:sz="4" w:space="0" w:color="auto"/>
              <w:bottom w:val="single" w:sz="4" w:space="0" w:color="auto"/>
              <w:right w:val="single" w:sz="4" w:space="0" w:color="auto"/>
            </w:tcBorders>
          </w:tcPr>
          <w:p w14:paraId="0DA81C6A" w14:textId="77777777" w:rsidR="00073F8F" w:rsidRPr="001B4A02" w:rsidRDefault="00000000" w:rsidP="00603F6E">
            <w:pPr>
              <w:keepNext/>
              <w:ind w:left="0" w:firstLine="0"/>
              <w:jc w:val="center"/>
              <w:rPr>
                <w:del w:id="5881" w:author="AbbVie1" w:date="2025-05-13T09:50:00Z"/>
              </w:rPr>
            </w:pPr>
            <w:del w:id="5882" w:author="AbbVie1" w:date="2025-05-13T09:50:00Z">
              <w:r w:rsidRPr="001B4A02">
                <w:delText>1,7 (1,0</w:delText>
              </w:r>
              <w:r w:rsidR="006D1214" w:rsidRPr="001B4A02">
                <w:delText>–</w:delText>
              </w:r>
              <w:r w:rsidRPr="001B4A02">
                <w:delText>2,4)</w:delText>
              </w:r>
            </w:del>
          </w:p>
        </w:tc>
        <w:tc>
          <w:tcPr>
            <w:tcW w:w="1560" w:type="dxa"/>
            <w:tcBorders>
              <w:top w:val="single" w:sz="4" w:space="0" w:color="auto"/>
              <w:left w:val="single" w:sz="4" w:space="0" w:color="auto"/>
              <w:bottom w:val="single" w:sz="4" w:space="0" w:color="auto"/>
              <w:right w:val="single" w:sz="4" w:space="0" w:color="auto"/>
            </w:tcBorders>
          </w:tcPr>
          <w:p w14:paraId="0556D791" w14:textId="77777777" w:rsidR="00073F8F" w:rsidRPr="001B4A02" w:rsidRDefault="00000000" w:rsidP="00603F6E">
            <w:pPr>
              <w:keepNext/>
              <w:ind w:left="0" w:firstLine="0"/>
              <w:jc w:val="center"/>
              <w:rPr>
                <w:del w:id="5883" w:author="AbbVie1" w:date="2025-05-13T09:50:00Z"/>
              </w:rPr>
            </w:pPr>
            <w:del w:id="5884" w:author="AbbVie1" w:date="2025-05-13T09:50:00Z">
              <w:r w:rsidRPr="001B4A02">
                <w:delText>0,8 (0,4</w:delText>
              </w:r>
              <w:r w:rsidR="006D1214" w:rsidRPr="001B4A02">
                <w:delText>–</w:delText>
              </w:r>
              <w:r w:rsidRPr="001B4A02">
                <w:delText>1,2)</w:delText>
              </w:r>
            </w:del>
          </w:p>
        </w:tc>
        <w:tc>
          <w:tcPr>
            <w:tcW w:w="1275" w:type="dxa"/>
            <w:tcBorders>
              <w:top w:val="single" w:sz="4" w:space="0" w:color="auto"/>
              <w:left w:val="single" w:sz="4" w:space="0" w:color="auto"/>
              <w:bottom w:val="single" w:sz="4" w:space="0" w:color="auto"/>
              <w:right w:val="single" w:sz="4" w:space="0" w:color="auto"/>
            </w:tcBorders>
          </w:tcPr>
          <w:p w14:paraId="6F988CF8" w14:textId="77777777" w:rsidR="00073F8F" w:rsidRPr="001B4A02" w:rsidRDefault="00000000" w:rsidP="00603F6E">
            <w:pPr>
              <w:keepNext/>
              <w:ind w:left="0" w:firstLine="0"/>
              <w:jc w:val="center"/>
              <w:rPr>
                <w:del w:id="5885" w:author="AbbVie1" w:date="2025-05-13T09:50:00Z"/>
              </w:rPr>
            </w:pPr>
            <w:del w:id="5886" w:author="AbbVie1" w:date="2025-05-13T09:50:00Z">
              <w:r w:rsidRPr="001B4A02">
                <w:delText>&lt;0,001</w:delText>
              </w:r>
            </w:del>
          </w:p>
        </w:tc>
        <w:tc>
          <w:tcPr>
            <w:tcW w:w="1323" w:type="dxa"/>
            <w:tcBorders>
              <w:top w:val="single" w:sz="4" w:space="0" w:color="auto"/>
              <w:left w:val="single" w:sz="4" w:space="0" w:color="auto"/>
              <w:bottom w:val="single" w:sz="4" w:space="0" w:color="auto"/>
              <w:right w:val="single" w:sz="4" w:space="0" w:color="auto"/>
            </w:tcBorders>
          </w:tcPr>
          <w:p w14:paraId="4A65083E" w14:textId="77777777" w:rsidR="00073F8F" w:rsidRPr="001B4A02" w:rsidRDefault="00000000" w:rsidP="00603F6E">
            <w:pPr>
              <w:keepNext/>
              <w:ind w:left="0" w:firstLine="0"/>
              <w:jc w:val="center"/>
              <w:rPr>
                <w:del w:id="5887" w:author="AbbVie1" w:date="2025-05-13T09:50:00Z"/>
              </w:rPr>
            </w:pPr>
            <w:del w:id="5888" w:author="AbbVie1" w:date="2025-05-13T09:50:00Z">
              <w:r w:rsidRPr="001B4A02">
                <w:delText>0,0082</w:delText>
              </w:r>
            </w:del>
          </w:p>
        </w:tc>
        <w:tc>
          <w:tcPr>
            <w:tcW w:w="1229" w:type="dxa"/>
            <w:tcBorders>
              <w:top w:val="single" w:sz="4" w:space="0" w:color="auto"/>
              <w:left w:val="single" w:sz="4" w:space="0" w:color="auto"/>
              <w:bottom w:val="single" w:sz="4" w:space="0" w:color="auto"/>
              <w:right w:val="single" w:sz="4" w:space="0" w:color="auto"/>
            </w:tcBorders>
          </w:tcPr>
          <w:p w14:paraId="20FA1FFF" w14:textId="77777777" w:rsidR="00073F8F" w:rsidRPr="001B4A02" w:rsidRDefault="00000000" w:rsidP="00603F6E">
            <w:pPr>
              <w:keepNext/>
              <w:ind w:left="0" w:firstLine="0"/>
              <w:jc w:val="center"/>
              <w:rPr>
                <w:del w:id="5889" w:author="AbbVie1" w:date="2025-05-13T09:50:00Z"/>
              </w:rPr>
            </w:pPr>
            <w:del w:id="5890" w:author="AbbVie1" w:date="2025-05-13T09:50:00Z">
              <w:r w:rsidRPr="001B4A02">
                <w:delText>&lt;0,001</w:delText>
              </w:r>
            </w:del>
          </w:p>
        </w:tc>
      </w:tr>
      <w:tr w:rsidR="00534A2D" w14:paraId="753FDAA4" w14:textId="77777777" w:rsidTr="008D783A">
        <w:trPr>
          <w:del w:id="5891" w:author="AbbVie1" w:date="2025-05-13T09:50:00Z"/>
        </w:trPr>
        <w:tc>
          <w:tcPr>
            <w:tcW w:w="1134" w:type="dxa"/>
            <w:tcBorders>
              <w:top w:val="single" w:sz="4" w:space="0" w:color="auto"/>
              <w:left w:val="single" w:sz="4" w:space="0" w:color="auto"/>
              <w:bottom w:val="single" w:sz="4" w:space="0" w:color="auto"/>
              <w:right w:val="single" w:sz="4" w:space="0" w:color="auto"/>
            </w:tcBorders>
          </w:tcPr>
          <w:p w14:paraId="3BBC4A3F" w14:textId="77777777" w:rsidR="00073F8F" w:rsidRPr="001B4A02" w:rsidRDefault="00000000" w:rsidP="00603F6E">
            <w:pPr>
              <w:keepNext/>
              <w:ind w:left="0" w:firstLine="0"/>
              <w:rPr>
                <w:del w:id="5892" w:author="AbbVie1" w:date="2025-05-13T09:50:00Z"/>
              </w:rPr>
            </w:pPr>
            <w:del w:id="5893" w:author="AbbVie1" w:date="2025-05-13T09:50:00Z">
              <w:r w:rsidRPr="001B4A02">
                <w:delText>JSN skóre</w:delText>
              </w:r>
            </w:del>
          </w:p>
        </w:tc>
        <w:tc>
          <w:tcPr>
            <w:tcW w:w="1418" w:type="dxa"/>
            <w:tcBorders>
              <w:top w:val="single" w:sz="4" w:space="0" w:color="auto"/>
              <w:left w:val="single" w:sz="4" w:space="0" w:color="auto"/>
              <w:bottom w:val="single" w:sz="4" w:space="0" w:color="auto"/>
              <w:right w:val="single" w:sz="4" w:space="0" w:color="auto"/>
            </w:tcBorders>
          </w:tcPr>
          <w:p w14:paraId="4179368B" w14:textId="77777777" w:rsidR="00073F8F" w:rsidRPr="001B4A02" w:rsidRDefault="00000000" w:rsidP="00603F6E">
            <w:pPr>
              <w:keepNext/>
              <w:ind w:left="0" w:firstLine="0"/>
              <w:jc w:val="center"/>
              <w:rPr>
                <w:del w:id="5894" w:author="AbbVie1" w:date="2025-05-13T09:50:00Z"/>
              </w:rPr>
            </w:pPr>
            <w:del w:id="5895" w:author="AbbVie1" w:date="2025-05-13T09:50:00Z">
              <w:r w:rsidRPr="001B4A02">
                <w:delText>2,0 (1,2</w:delText>
              </w:r>
              <w:r w:rsidR="006D1214" w:rsidRPr="001B4A02">
                <w:delText>–</w:delText>
              </w:r>
              <w:r w:rsidRPr="001B4A02">
                <w:delText>2,8)</w:delText>
              </w:r>
            </w:del>
          </w:p>
        </w:tc>
        <w:tc>
          <w:tcPr>
            <w:tcW w:w="1417" w:type="dxa"/>
            <w:tcBorders>
              <w:top w:val="single" w:sz="4" w:space="0" w:color="auto"/>
              <w:left w:val="single" w:sz="4" w:space="0" w:color="auto"/>
              <w:bottom w:val="single" w:sz="4" w:space="0" w:color="auto"/>
              <w:right w:val="single" w:sz="4" w:space="0" w:color="auto"/>
            </w:tcBorders>
          </w:tcPr>
          <w:p w14:paraId="622E3C4C" w14:textId="77777777" w:rsidR="00073F8F" w:rsidRPr="001B4A02" w:rsidRDefault="00000000" w:rsidP="00603F6E">
            <w:pPr>
              <w:keepNext/>
              <w:ind w:left="0" w:firstLine="0"/>
              <w:jc w:val="center"/>
              <w:rPr>
                <w:del w:id="5896" w:author="AbbVie1" w:date="2025-05-13T09:50:00Z"/>
              </w:rPr>
            </w:pPr>
            <w:del w:id="5897" w:author="AbbVie1" w:date="2025-05-13T09:50:00Z">
              <w:r w:rsidRPr="001B4A02">
                <w:delText>1,3 (0,5</w:delText>
              </w:r>
              <w:r w:rsidR="006D1214" w:rsidRPr="001B4A02">
                <w:delText>–</w:delText>
              </w:r>
              <w:r w:rsidRPr="001B4A02">
                <w:delText>2,1)</w:delText>
              </w:r>
            </w:del>
          </w:p>
        </w:tc>
        <w:tc>
          <w:tcPr>
            <w:tcW w:w="1560" w:type="dxa"/>
            <w:tcBorders>
              <w:top w:val="single" w:sz="4" w:space="0" w:color="auto"/>
              <w:left w:val="single" w:sz="4" w:space="0" w:color="auto"/>
              <w:bottom w:val="single" w:sz="4" w:space="0" w:color="auto"/>
              <w:right w:val="single" w:sz="4" w:space="0" w:color="auto"/>
            </w:tcBorders>
          </w:tcPr>
          <w:p w14:paraId="22CC2C98" w14:textId="77777777" w:rsidR="00073F8F" w:rsidRPr="001B4A02" w:rsidRDefault="00000000" w:rsidP="00603F6E">
            <w:pPr>
              <w:keepNext/>
              <w:ind w:left="0" w:firstLine="0"/>
              <w:jc w:val="center"/>
              <w:rPr>
                <w:del w:id="5898" w:author="AbbVie1" w:date="2025-05-13T09:50:00Z"/>
              </w:rPr>
            </w:pPr>
            <w:del w:id="5899" w:author="AbbVie1" w:date="2025-05-13T09:50:00Z">
              <w:r w:rsidRPr="001B4A02">
                <w:delText>0,5 (0</w:delText>
              </w:r>
              <w:r w:rsidR="006D1214" w:rsidRPr="001B4A02">
                <w:delText>–</w:delText>
              </w:r>
              <w:r w:rsidRPr="001B4A02">
                <w:delText>1,0)</w:delText>
              </w:r>
            </w:del>
          </w:p>
        </w:tc>
        <w:tc>
          <w:tcPr>
            <w:tcW w:w="1275" w:type="dxa"/>
            <w:tcBorders>
              <w:top w:val="single" w:sz="4" w:space="0" w:color="auto"/>
              <w:left w:val="single" w:sz="4" w:space="0" w:color="auto"/>
              <w:bottom w:val="single" w:sz="4" w:space="0" w:color="auto"/>
              <w:right w:val="single" w:sz="4" w:space="0" w:color="auto"/>
            </w:tcBorders>
          </w:tcPr>
          <w:p w14:paraId="0DD775CC" w14:textId="77777777" w:rsidR="00073F8F" w:rsidRPr="001B4A02" w:rsidRDefault="00000000" w:rsidP="00603F6E">
            <w:pPr>
              <w:keepNext/>
              <w:ind w:left="0" w:firstLine="0"/>
              <w:jc w:val="center"/>
              <w:rPr>
                <w:del w:id="5900" w:author="AbbVie1" w:date="2025-05-13T09:50:00Z"/>
              </w:rPr>
            </w:pPr>
            <w:del w:id="5901" w:author="AbbVie1" w:date="2025-05-13T09:50:00Z">
              <w:r w:rsidRPr="001B4A02">
                <w:delText>&lt;0,001</w:delText>
              </w:r>
            </w:del>
          </w:p>
        </w:tc>
        <w:tc>
          <w:tcPr>
            <w:tcW w:w="1323" w:type="dxa"/>
            <w:tcBorders>
              <w:top w:val="single" w:sz="4" w:space="0" w:color="auto"/>
              <w:left w:val="single" w:sz="4" w:space="0" w:color="auto"/>
              <w:bottom w:val="single" w:sz="4" w:space="0" w:color="auto"/>
              <w:right w:val="single" w:sz="4" w:space="0" w:color="auto"/>
            </w:tcBorders>
          </w:tcPr>
          <w:p w14:paraId="1DCEDDE4" w14:textId="77777777" w:rsidR="00073F8F" w:rsidRPr="001B4A02" w:rsidRDefault="00000000" w:rsidP="00603F6E">
            <w:pPr>
              <w:keepNext/>
              <w:ind w:left="0" w:firstLine="0"/>
              <w:jc w:val="center"/>
              <w:rPr>
                <w:del w:id="5902" w:author="AbbVie1" w:date="2025-05-13T09:50:00Z"/>
              </w:rPr>
            </w:pPr>
            <w:del w:id="5903" w:author="AbbVie1" w:date="2025-05-13T09:50:00Z">
              <w:r w:rsidRPr="001B4A02">
                <w:delText>0,0037</w:delText>
              </w:r>
            </w:del>
          </w:p>
        </w:tc>
        <w:tc>
          <w:tcPr>
            <w:tcW w:w="1229" w:type="dxa"/>
            <w:tcBorders>
              <w:top w:val="single" w:sz="4" w:space="0" w:color="auto"/>
              <w:left w:val="single" w:sz="4" w:space="0" w:color="auto"/>
              <w:bottom w:val="single" w:sz="4" w:space="0" w:color="auto"/>
              <w:right w:val="single" w:sz="4" w:space="0" w:color="auto"/>
            </w:tcBorders>
          </w:tcPr>
          <w:p w14:paraId="242331F2" w14:textId="77777777" w:rsidR="00073F8F" w:rsidRPr="001B4A02" w:rsidRDefault="00000000" w:rsidP="00603F6E">
            <w:pPr>
              <w:keepNext/>
              <w:ind w:left="0" w:firstLine="0"/>
              <w:jc w:val="center"/>
              <w:rPr>
                <w:del w:id="5904" w:author="AbbVie1" w:date="2025-05-13T09:50:00Z"/>
              </w:rPr>
            </w:pPr>
            <w:del w:id="5905" w:author="AbbVie1" w:date="2025-05-13T09:50:00Z">
              <w:r w:rsidRPr="001B4A02">
                <w:delText>0,151</w:delText>
              </w:r>
            </w:del>
          </w:p>
        </w:tc>
      </w:tr>
      <w:tr w:rsidR="00534A2D" w14:paraId="3EC826D2" w14:textId="77777777" w:rsidTr="008D783A">
        <w:trPr>
          <w:del w:id="5906" w:author="AbbVie1" w:date="2025-05-13T09:50:00Z"/>
        </w:trPr>
        <w:tc>
          <w:tcPr>
            <w:tcW w:w="9356" w:type="dxa"/>
            <w:gridSpan w:val="7"/>
            <w:tcBorders>
              <w:top w:val="single" w:sz="4" w:space="0" w:color="auto"/>
              <w:left w:val="single" w:sz="4" w:space="0" w:color="auto"/>
              <w:bottom w:val="single" w:sz="4" w:space="0" w:color="auto"/>
              <w:right w:val="single" w:sz="4" w:space="0" w:color="auto"/>
            </w:tcBorders>
          </w:tcPr>
          <w:p w14:paraId="2DB3BB97" w14:textId="77777777" w:rsidR="00073F8F" w:rsidRPr="00D0259F" w:rsidRDefault="00000000" w:rsidP="00603F6E">
            <w:pPr>
              <w:keepNext/>
              <w:tabs>
                <w:tab w:val="left" w:pos="330"/>
                <w:tab w:val="left" w:pos="10728"/>
              </w:tabs>
              <w:ind w:left="360" w:hanging="360"/>
              <w:rPr>
                <w:del w:id="5907" w:author="AbbVie1" w:date="2025-05-13T09:50:00Z"/>
                <w:sz w:val="20"/>
              </w:rPr>
            </w:pPr>
            <w:del w:id="5908" w:author="AbbVie1" w:date="2025-05-13T09:50:00Z">
              <w:r w:rsidRPr="001B4A02">
                <w:rPr>
                  <w:sz w:val="20"/>
                  <w:vertAlign w:val="superscript"/>
                </w:rPr>
                <w:delText>a</w:delText>
              </w:r>
              <w:r w:rsidRPr="001B4A02">
                <w:rPr>
                  <w:sz w:val="20"/>
                </w:rPr>
                <w:delText xml:space="preserve"> Hodnota p pochází z párového srovnání monoterapie methotrexátem</w:delText>
              </w:r>
              <w:r w:rsidR="002378E0">
                <w:rPr>
                  <w:sz w:val="20"/>
                </w:rPr>
                <w:delText xml:space="preserve"> a </w:delText>
              </w:r>
              <w:r w:rsidRPr="009271A3">
                <w:rPr>
                  <w:sz w:val="20"/>
                </w:rPr>
                <w:delText>kombin</w:delText>
              </w:r>
              <w:r w:rsidR="009271A3" w:rsidRPr="009271A3">
                <w:rPr>
                  <w:sz w:val="20"/>
                </w:rPr>
                <w:delText>ované</w:delText>
              </w:r>
              <w:r w:rsidRPr="009271A3">
                <w:rPr>
                  <w:sz w:val="20"/>
                </w:rPr>
                <w:delText>terapie přípravkem Humira/methotrexát pomocí Mann</w:delText>
              </w:r>
              <w:r w:rsidRPr="009271A3">
                <w:rPr>
                  <w:sz w:val="20"/>
                </w:rPr>
                <w:noBreakHyphen/>
                <w:delText xml:space="preserve">Whitneova </w:delText>
              </w:r>
              <w:r w:rsidRPr="00D0259F">
                <w:rPr>
                  <w:sz w:val="20"/>
                </w:rPr>
                <w:delText>U testu.</w:delText>
              </w:r>
            </w:del>
          </w:p>
          <w:p w14:paraId="63306CFD" w14:textId="77777777" w:rsidR="00073F8F" w:rsidRPr="001B4A02" w:rsidRDefault="00000000" w:rsidP="00603F6E">
            <w:pPr>
              <w:keepNext/>
              <w:tabs>
                <w:tab w:val="left" w:pos="330"/>
              </w:tabs>
              <w:ind w:left="360" w:hanging="360"/>
              <w:rPr>
                <w:del w:id="5909" w:author="AbbVie1" w:date="2025-05-13T09:50:00Z"/>
                <w:sz w:val="20"/>
              </w:rPr>
            </w:pPr>
            <w:del w:id="5910" w:author="AbbVie1" w:date="2025-05-13T09:50:00Z">
              <w:r w:rsidRPr="00DE3467">
                <w:rPr>
                  <w:sz w:val="20"/>
                  <w:vertAlign w:val="superscript"/>
                </w:rPr>
                <w:delText>b</w:delText>
              </w:r>
              <w:r w:rsidRPr="009271A3">
                <w:rPr>
                  <w:sz w:val="20"/>
                </w:rPr>
                <w:delText xml:space="preserve"> Hodnota p pochází z párového srovnání monoterapie přípravkem Humira</w:delText>
              </w:r>
              <w:r w:rsidR="002378E0">
                <w:rPr>
                  <w:sz w:val="20"/>
                </w:rPr>
                <w:delText xml:space="preserve"> a </w:delText>
              </w:r>
              <w:r w:rsidRPr="009271A3">
                <w:rPr>
                  <w:sz w:val="20"/>
                </w:rPr>
                <w:delText>kombin</w:delText>
              </w:r>
              <w:r w:rsidR="009271A3" w:rsidRPr="009271A3">
                <w:rPr>
                  <w:sz w:val="20"/>
                </w:rPr>
                <w:delText>ované</w:delText>
              </w:r>
              <w:r w:rsidRPr="009271A3">
                <w:rPr>
                  <w:sz w:val="20"/>
                </w:rPr>
                <w:delText xml:space="preserve"> terapie</w:delText>
              </w:r>
              <w:r w:rsidRPr="001B4A02">
                <w:rPr>
                  <w:sz w:val="20"/>
                </w:rPr>
                <w:delText xml:space="preserve"> přípravkem Humira/methotrexát pomocí Mann</w:delText>
              </w:r>
              <w:r w:rsidRPr="001B4A02">
                <w:rPr>
                  <w:sz w:val="20"/>
                </w:rPr>
                <w:noBreakHyphen/>
                <w:delText>Whitneova U testu.</w:delText>
              </w:r>
            </w:del>
          </w:p>
          <w:p w14:paraId="53D21DA5" w14:textId="77777777" w:rsidR="00073F8F" w:rsidRPr="001B4A02" w:rsidRDefault="00000000" w:rsidP="00603F6E">
            <w:pPr>
              <w:keepNext/>
              <w:tabs>
                <w:tab w:val="left" w:pos="330"/>
              </w:tabs>
              <w:ind w:left="360" w:hanging="360"/>
              <w:rPr>
                <w:del w:id="5911" w:author="AbbVie1" w:date="2025-05-13T09:50:00Z"/>
                <w:bCs/>
              </w:rPr>
            </w:pPr>
            <w:del w:id="5912" w:author="AbbVie1" w:date="2025-05-13T09:50:00Z">
              <w:r w:rsidRPr="001B4A02">
                <w:rPr>
                  <w:bCs/>
                  <w:sz w:val="20"/>
                  <w:vertAlign w:val="superscript"/>
                </w:rPr>
                <w:delText>c</w:delText>
              </w:r>
              <w:r w:rsidRPr="001B4A02">
                <w:rPr>
                  <w:bCs/>
                  <w:sz w:val="20"/>
                </w:rPr>
                <w:delText xml:space="preserve"> </w:delText>
              </w:r>
              <w:r w:rsidRPr="001B4A02">
                <w:rPr>
                  <w:sz w:val="20"/>
                </w:rPr>
                <w:delText>Hodnota p pochází z párového srovnání monoterapie přípravkem Humira</w:delText>
              </w:r>
              <w:r w:rsidR="002378E0">
                <w:rPr>
                  <w:sz w:val="20"/>
                </w:rPr>
                <w:delText xml:space="preserve"> a </w:delText>
              </w:r>
              <w:r w:rsidRPr="001B4A02">
                <w:rPr>
                  <w:sz w:val="20"/>
                </w:rPr>
                <w:delText>monoterapie methotrexátem pomocí Mann</w:delText>
              </w:r>
              <w:r w:rsidRPr="001B4A02">
                <w:rPr>
                  <w:sz w:val="20"/>
                </w:rPr>
                <w:noBreakHyphen/>
                <w:delText>Whitneova U testu.</w:delText>
              </w:r>
            </w:del>
          </w:p>
        </w:tc>
      </w:tr>
    </w:tbl>
    <w:p w14:paraId="1F862500" w14:textId="77777777" w:rsidR="00073F8F" w:rsidRPr="001B4A02" w:rsidRDefault="00073F8F" w:rsidP="00CE5DAE">
      <w:pPr>
        <w:pStyle w:val="EMEAHeadingUnderline"/>
        <w:tabs>
          <w:tab w:val="clear" w:pos="562"/>
        </w:tabs>
        <w:suppressAutoHyphens w:val="0"/>
        <w:spacing w:beforeLines="0" w:before="0" w:afterLines="0" w:after="0"/>
        <w:rPr>
          <w:del w:id="5913" w:author="AbbVie1" w:date="2025-05-13T09:50:00Z"/>
          <w:u w:val="none"/>
          <w:lang w:val="cs-CZ"/>
        </w:rPr>
      </w:pPr>
    </w:p>
    <w:p w14:paraId="78463B40" w14:textId="77777777" w:rsidR="00073F8F" w:rsidRPr="001B4A02" w:rsidRDefault="00000000" w:rsidP="00ED48A3">
      <w:pPr>
        <w:pStyle w:val="EMEANormal"/>
        <w:rPr>
          <w:del w:id="5914" w:author="AbbVie1" w:date="2025-05-13T09:50:00Z"/>
          <w:lang w:val="cs-CZ"/>
        </w:rPr>
      </w:pPr>
      <w:del w:id="5915" w:author="AbbVie1" w:date="2025-05-13T09:50:00Z">
        <w:r w:rsidRPr="001B4A02">
          <w:rPr>
            <w:lang w:val="cs-CZ"/>
          </w:rPr>
          <w:delText>Po 52</w:delText>
        </w:r>
        <w:r w:rsidR="002378E0">
          <w:rPr>
            <w:lang w:val="cs-CZ"/>
          </w:rPr>
          <w:delText xml:space="preserve"> a </w:delText>
        </w:r>
        <w:r w:rsidRPr="001B4A02">
          <w:rPr>
            <w:lang w:val="cs-CZ"/>
          </w:rPr>
          <w:delText>104 týdnech terapie bylo procento pacientů bez progrese (změna modifikovaného Sharpova skóre oproti výchozímu stavu ≤ 0,5) významně vyšší při kombin</w:delText>
        </w:r>
        <w:r w:rsidR="009271A3" w:rsidRPr="00F261A6">
          <w:rPr>
            <w:lang w:val="cs-CZ"/>
          </w:rPr>
          <w:delText>ované</w:delText>
        </w:r>
        <w:r w:rsidRPr="001B4A02">
          <w:rPr>
            <w:lang w:val="cs-CZ"/>
          </w:rPr>
          <w:delText xml:space="preserve"> terapii přípravkem Humira/methotrexát (63,8</w:delText>
        </w:r>
        <w:r w:rsidR="00F274CD" w:rsidRPr="001B4A02">
          <w:rPr>
            <w:lang w:val="cs-CZ"/>
          </w:rPr>
          <w:delText> </w:delText>
        </w:r>
        <w:r w:rsidRPr="001B4A02">
          <w:rPr>
            <w:lang w:val="cs-CZ"/>
          </w:rPr>
          <w:delText>%, resp. 61,2</w:delText>
        </w:r>
        <w:r w:rsidR="00F274CD" w:rsidRPr="001B4A02">
          <w:rPr>
            <w:lang w:val="cs-CZ"/>
          </w:rPr>
          <w:delText> </w:delText>
        </w:r>
        <w:r w:rsidRPr="001B4A02">
          <w:rPr>
            <w:lang w:val="cs-CZ"/>
          </w:rPr>
          <w:delText>%) v porovnání s monoterapií methotrexátem (37,4</w:delText>
        </w:r>
        <w:r w:rsidR="00F274CD" w:rsidRPr="001B4A02">
          <w:rPr>
            <w:lang w:val="cs-CZ"/>
          </w:rPr>
          <w:delText> </w:delText>
        </w:r>
        <w:r w:rsidRPr="001B4A02">
          <w:rPr>
            <w:lang w:val="cs-CZ"/>
          </w:rPr>
          <w:delText>%, resp. 33,5</w:delText>
        </w:r>
        <w:r w:rsidR="00F274CD" w:rsidRPr="001B4A02">
          <w:rPr>
            <w:lang w:val="cs-CZ"/>
          </w:rPr>
          <w:delText> </w:delText>
        </w:r>
        <w:r w:rsidRPr="001B4A02">
          <w:rPr>
            <w:lang w:val="cs-CZ"/>
          </w:rPr>
          <w:delText>%, p&lt;0,001)</w:delText>
        </w:r>
        <w:r w:rsidR="002378E0">
          <w:rPr>
            <w:lang w:val="cs-CZ"/>
          </w:rPr>
          <w:delText xml:space="preserve"> a </w:delText>
        </w:r>
        <w:r w:rsidRPr="001B4A02">
          <w:rPr>
            <w:lang w:val="cs-CZ"/>
          </w:rPr>
          <w:delText>monoterapií přípravkem Humira (50,7</w:delText>
        </w:r>
        <w:r w:rsidR="00F274CD" w:rsidRPr="001B4A02">
          <w:rPr>
            <w:lang w:val="cs-CZ"/>
          </w:rPr>
          <w:delText> </w:delText>
        </w:r>
        <w:r w:rsidRPr="001B4A02">
          <w:rPr>
            <w:lang w:val="cs-CZ"/>
          </w:rPr>
          <w:delText>%, p&lt;0,002, resp. 44,5</w:delText>
        </w:r>
        <w:r w:rsidR="00F274CD" w:rsidRPr="001B4A02">
          <w:rPr>
            <w:lang w:val="cs-CZ"/>
          </w:rPr>
          <w:delText> </w:delText>
        </w:r>
        <w:r w:rsidRPr="001B4A02">
          <w:rPr>
            <w:lang w:val="cs-CZ"/>
          </w:rPr>
          <w:delText>%, p&lt;0,001).</w:delText>
        </w:r>
      </w:del>
    </w:p>
    <w:p w14:paraId="395C06AE" w14:textId="77777777" w:rsidR="00073F8F" w:rsidRPr="001B4A02" w:rsidRDefault="00073F8F" w:rsidP="00ED48A3">
      <w:pPr>
        <w:ind w:left="0" w:firstLine="0"/>
        <w:rPr>
          <w:del w:id="5916" w:author="AbbVie1" w:date="2025-05-13T09:50:00Z"/>
          <w:u w:val="single"/>
        </w:rPr>
      </w:pPr>
    </w:p>
    <w:p w14:paraId="1A790194" w14:textId="77777777" w:rsidR="00854F48" w:rsidRPr="001B4A02" w:rsidRDefault="00000000" w:rsidP="00ED48A3">
      <w:pPr>
        <w:ind w:left="0" w:firstLine="0"/>
        <w:rPr>
          <w:del w:id="5917" w:author="AbbVie1" w:date="2025-05-13T09:50:00Z"/>
        </w:rPr>
      </w:pPr>
      <w:del w:id="5918" w:author="AbbVie1" w:date="2025-05-13T09:50:00Z">
        <w:r w:rsidRPr="001B4A02">
          <w:delText>V otevřené prodloužené fázi studie RA V byla v</w:delText>
        </w:r>
        <w:r w:rsidR="00AA4399" w:rsidRPr="001B4A02">
          <w:delText xml:space="preserve"> desátém </w:delText>
        </w:r>
        <w:r w:rsidRPr="001B4A02">
          <w:delText>roce průměrná změna modifikovaného Sharpova skóre oproti výchozímu stavu 10,8, 9,2</w:delText>
        </w:r>
        <w:r w:rsidR="002378E0">
          <w:delText xml:space="preserve"> a </w:delText>
        </w:r>
        <w:r w:rsidRPr="001B4A02">
          <w:delText>3,9 u</w:delText>
        </w:r>
        <w:r w:rsidR="00255A0A" w:rsidRPr="001B4A02">
          <w:delText> </w:delText>
        </w:r>
        <w:r w:rsidRPr="001B4A02">
          <w:delText>pacientů původně randomizovaných na léčbu methotrexátem v</w:delText>
        </w:r>
        <w:r w:rsidR="00255A0A" w:rsidRPr="001B4A02">
          <w:delText> </w:delText>
        </w:r>
        <w:r w:rsidRPr="001B4A02">
          <w:delText>monoterapii, přípravkem Humira v</w:delText>
        </w:r>
        <w:r w:rsidR="00255A0A" w:rsidRPr="001B4A02">
          <w:delText> </w:delText>
        </w:r>
        <w:r w:rsidRPr="001B4A02">
          <w:delText>monoterapii</w:delText>
        </w:r>
        <w:r w:rsidR="002378E0">
          <w:delText xml:space="preserve"> a </w:delText>
        </w:r>
        <w:r w:rsidRPr="001B4A02">
          <w:delText>přípravkem Humira v</w:delText>
        </w:r>
        <w:r w:rsidR="00255A0A" w:rsidRPr="001B4A02">
          <w:delText> </w:delText>
        </w:r>
        <w:r w:rsidRPr="001B4A02">
          <w:delText>kombinaci s</w:delText>
        </w:r>
        <w:r w:rsidR="00AC7C92" w:rsidRPr="001B4A02">
          <w:delText> </w:delText>
        </w:r>
        <w:r w:rsidRPr="001B4A02">
          <w:delText>methotrexátem. Odpovídající poměry pacientů bez radiografické progrese byly 31,3</w:delText>
        </w:r>
        <w:r w:rsidR="00F274CD" w:rsidRPr="001B4A02">
          <w:delText> </w:delText>
        </w:r>
        <w:r w:rsidRPr="001B4A02">
          <w:delText>%, 23,7</w:delText>
        </w:r>
        <w:r w:rsidR="00F274CD" w:rsidRPr="001B4A02">
          <w:delText> </w:delText>
        </w:r>
        <w:r w:rsidRPr="001B4A02">
          <w:delText>%</w:delText>
        </w:r>
        <w:r w:rsidR="002378E0">
          <w:delText xml:space="preserve"> a </w:delText>
        </w:r>
        <w:r w:rsidRPr="001B4A02">
          <w:delText>36,7</w:delText>
        </w:r>
        <w:r w:rsidR="00F274CD" w:rsidRPr="001B4A02">
          <w:delText> </w:delText>
        </w:r>
        <w:r w:rsidRPr="001B4A02">
          <w:delText>%.</w:delText>
        </w:r>
      </w:del>
    </w:p>
    <w:p w14:paraId="2F3E3F5E" w14:textId="77777777" w:rsidR="00854F48" w:rsidRPr="001B4A02" w:rsidRDefault="00854F48" w:rsidP="00ED48A3">
      <w:pPr>
        <w:ind w:left="0" w:firstLine="0"/>
        <w:rPr>
          <w:del w:id="5919" w:author="AbbVie1" w:date="2025-05-13T09:50:00Z"/>
          <w:u w:val="single"/>
        </w:rPr>
      </w:pPr>
    </w:p>
    <w:p w14:paraId="0211C042" w14:textId="77777777" w:rsidR="00073F8F" w:rsidRPr="001B4A02" w:rsidRDefault="00000000" w:rsidP="00ED48A3">
      <w:pPr>
        <w:keepNext/>
        <w:ind w:left="0" w:firstLine="0"/>
        <w:rPr>
          <w:del w:id="5920" w:author="AbbVie1" w:date="2025-05-13T09:50:00Z"/>
          <w:i/>
        </w:rPr>
      </w:pPr>
      <w:del w:id="5921" w:author="AbbVie1" w:date="2025-05-13T09:50:00Z">
        <w:r w:rsidRPr="001B4A02">
          <w:rPr>
            <w:i/>
            <w:u w:val="single"/>
          </w:rPr>
          <w:delText>Kvalita života</w:delText>
        </w:r>
        <w:r w:rsidR="002378E0">
          <w:rPr>
            <w:i/>
            <w:u w:val="single"/>
          </w:rPr>
          <w:delText xml:space="preserve"> a </w:delText>
        </w:r>
        <w:r w:rsidRPr="001B4A02">
          <w:rPr>
            <w:i/>
            <w:u w:val="single"/>
          </w:rPr>
          <w:delText>tělesné funkce</w:delText>
        </w:r>
      </w:del>
    </w:p>
    <w:p w14:paraId="7E0965E9" w14:textId="77777777" w:rsidR="00073F8F" w:rsidRPr="001B4A02" w:rsidRDefault="00073F8F" w:rsidP="00ED48A3">
      <w:pPr>
        <w:keepNext/>
        <w:ind w:left="0" w:firstLine="0"/>
        <w:rPr>
          <w:del w:id="5922" w:author="AbbVie1" w:date="2025-05-13T09:50:00Z"/>
        </w:rPr>
      </w:pPr>
    </w:p>
    <w:p w14:paraId="499795DB" w14:textId="77777777" w:rsidR="00073F8F" w:rsidRPr="001B4A02" w:rsidRDefault="00000000" w:rsidP="00AC7C92">
      <w:pPr>
        <w:ind w:left="0" w:firstLine="0"/>
        <w:rPr>
          <w:del w:id="5923" w:author="AbbVie1" w:date="2025-05-13T09:50:00Z"/>
        </w:rPr>
      </w:pPr>
      <w:del w:id="5924" w:author="AbbVie1" w:date="2025-05-13T09:50:00Z">
        <w:r w:rsidRPr="001B4A02">
          <w:delText>Kvalita života odvozená od zdravotního stavu</w:delText>
        </w:r>
        <w:r w:rsidR="002378E0">
          <w:delText xml:space="preserve"> a </w:delText>
        </w:r>
        <w:r w:rsidRPr="001B4A02">
          <w:delText>tělesné funkce byly ve čtyřech původních kontrolovaných studiích hodnoceny indexem disability pomocí Dotazníku hodnocení zdraví (Health Assessment Ques</w:delText>
        </w:r>
        <w:r w:rsidR="005079AD">
          <w:delText>t</w:delText>
        </w:r>
        <w:r w:rsidRPr="001B4A02">
          <w:delText xml:space="preserve">ionnaire – HAQ). Tento parametr byl předem stanoveným primárním výsledným ukazatelem </w:delText>
        </w:r>
        <w:r w:rsidR="00D00F8F">
          <w:delText>v</w:delText>
        </w:r>
        <w:r w:rsidR="007863F2">
          <w:delText> </w:delText>
        </w:r>
        <w:r w:rsidR="00D00F8F">
          <w:delText>týdnu 52</w:delText>
        </w:r>
        <w:r w:rsidRPr="001B4A02">
          <w:delText xml:space="preserve"> ve studii RA III. U všech dávek/režimů podávání přípravku Humira ve všech čtyřech studiích bylo prokázáno statisticky významně větší zlepšení indexu disability HAQ mezi výchozí hodnotou</w:delText>
        </w:r>
        <w:r w:rsidR="002378E0">
          <w:delText xml:space="preserve"> a </w:delText>
        </w:r>
        <w:r w:rsidRPr="001B4A02">
          <w:delText>hodnotou v 6. měsíci v porovnání s placebem</w:delText>
        </w:r>
        <w:r w:rsidR="002378E0">
          <w:delText xml:space="preserve"> a </w:delText>
        </w:r>
        <w:r w:rsidRPr="001B4A02">
          <w:delText xml:space="preserve">ve studii RA III byly pozorovány stejné výsledky </w:delText>
        </w:r>
        <w:r w:rsidR="00D00F8F">
          <w:delText>v</w:delText>
        </w:r>
        <w:r w:rsidR="007863F2">
          <w:delText> </w:delText>
        </w:r>
        <w:r w:rsidR="00D00F8F">
          <w:delText>týdnu 52</w:delText>
        </w:r>
        <w:r w:rsidRPr="001B4A02">
          <w:delText>. Tyto nálezy podporují i výsledky Stručného formuláře průzkumu zdraví (SF 36) u všech dávek/režimů podávání přípravku Humira ve všech čtyřech studiích se statisticky významným zlepšením skóre souhrnu tělesných komponent (physical component summary – PCS)</w:delText>
        </w:r>
        <w:r w:rsidR="002378E0">
          <w:delText xml:space="preserve"> a </w:delText>
        </w:r>
        <w:r w:rsidRPr="001B4A02">
          <w:delText>statisticky významným zlepšením skóre příznaků bolesti</w:delText>
        </w:r>
        <w:r w:rsidR="002378E0">
          <w:delText xml:space="preserve"> a </w:delText>
        </w:r>
        <w:r w:rsidRPr="001B4A02">
          <w:delText>vitality při dávkování přípravku 40 mg každý druhý týden. Ve všech třech studiích, ve kterých byla hodnocena únav</w:delText>
        </w:r>
        <w:r w:rsidR="00596B06">
          <w:delText>a</w:delText>
        </w:r>
        <w:r w:rsidRPr="001B4A02">
          <w:delText xml:space="preserve"> (studie RA I, III, IV)</w:delText>
        </w:r>
        <w:r w:rsidR="00596B06">
          <w:delText>,</w:delText>
        </w:r>
        <w:r w:rsidRPr="001B4A02">
          <w:delText xml:space="preserve"> byl pozorován její statisticky významný pokles stanovením funkčního hodnocení léčby chronického onemocnění (FACIT).</w:delText>
        </w:r>
      </w:del>
    </w:p>
    <w:p w14:paraId="575CC6DA" w14:textId="77777777" w:rsidR="00073F8F" w:rsidRPr="001B4A02" w:rsidRDefault="00073F8F" w:rsidP="00AC7C92">
      <w:pPr>
        <w:ind w:left="0" w:firstLine="0"/>
        <w:rPr>
          <w:del w:id="5925" w:author="AbbVie1" w:date="2025-05-13T09:50:00Z"/>
        </w:rPr>
      </w:pPr>
    </w:p>
    <w:p w14:paraId="1D45804D" w14:textId="77777777" w:rsidR="00073F8F" w:rsidRPr="001B4A02" w:rsidRDefault="00000000" w:rsidP="00ED48A3">
      <w:pPr>
        <w:ind w:left="0" w:firstLine="0"/>
        <w:rPr>
          <w:del w:id="5926" w:author="AbbVie1" w:date="2025-05-13T09:50:00Z"/>
        </w:rPr>
      </w:pPr>
      <w:del w:id="5927" w:author="AbbVie1" w:date="2025-05-13T09:50:00Z">
        <w:r w:rsidRPr="001B4A02">
          <w:delText xml:space="preserve">Ve studii RA III </w:delText>
        </w:r>
        <w:r w:rsidR="002D7B20" w:rsidRPr="001B4A02">
          <w:delText>se</w:delText>
        </w:r>
        <w:r w:rsidR="009C0822" w:rsidRPr="001B4A02">
          <w:delText xml:space="preserve"> u</w:delText>
        </w:r>
        <w:r w:rsidR="00CC37C0" w:rsidRPr="001B4A02">
          <w:delText> </w:delText>
        </w:r>
        <w:r w:rsidR="009C0822" w:rsidRPr="001B4A02">
          <w:delText>většiny subjektů</w:delText>
        </w:r>
        <w:r w:rsidR="002D7B20" w:rsidRPr="001B4A02">
          <w:delText>, kte</w:delText>
        </w:r>
        <w:r w:rsidR="00CD039D">
          <w:delText>ré</w:delText>
        </w:r>
        <w:r w:rsidR="002D7B20" w:rsidRPr="001B4A02">
          <w:delText xml:space="preserve"> dosáhl</w:delText>
        </w:r>
        <w:r w:rsidR="00CD039D">
          <w:delText>y</w:delText>
        </w:r>
        <w:r w:rsidRPr="001B4A02">
          <w:delText xml:space="preserve"> zlepšení fyzických funkcí</w:delText>
        </w:r>
        <w:r w:rsidR="002378E0">
          <w:delText xml:space="preserve"> a </w:delText>
        </w:r>
        <w:r w:rsidR="002D7B20" w:rsidRPr="001B4A02">
          <w:delText>pokračoval</w:delText>
        </w:r>
        <w:r w:rsidR="00CD039D">
          <w:delText>y</w:delText>
        </w:r>
        <w:r w:rsidR="002D7B20" w:rsidRPr="001B4A02">
          <w:delText xml:space="preserve"> v</w:delText>
        </w:r>
        <w:r w:rsidR="00CC37C0" w:rsidRPr="001B4A02">
          <w:delText> </w:delText>
        </w:r>
        <w:r w:rsidRPr="001B4A02">
          <w:delText>léčbě</w:delText>
        </w:r>
        <w:r w:rsidR="002D7B20" w:rsidRPr="001B4A02">
          <w:delText>, udrželo zlepšení</w:delText>
        </w:r>
        <w:r w:rsidRPr="001B4A02">
          <w:delText xml:space="preserve"> až do týdne </w:delText>
        </w:r>
        <w:r w:rsidR="002D7B20" w:rsidRPr="001B4A02">
          <w:delText>520</w:delText>
        </w:r>
        <w:r w:rsidRPr="001B4A02">
          <w:delText xml:space="preserve"> (</w:delText>
        </w:r>
        <w:r w:rsidR="002548FB" w:rsidRPr="001B4A02">
          <w:delText>12</w:delText>
        </w:r>
        <w:r w:rsidRPr="001B4A02">
          <w:delText>0 měsíců)</w:delText>
        </w:r>
        <w:r w:rsidR="002D7B20" w:rsidRPr="001B4A02">
          <w:delText xml:space="preserve"> nezaslepené fáze studie</w:delText>
        </w:r>
        <w:r w:rsidRPr="001B4A02">
          <w:delText>. Zlepšení kvality života bylo hodnoceno po dobu 156 týdnů (36 měsíců), toto zlepšení přetrvávalo v průběhu celého tohoto období.</w:delText>
        </w:r>
      </w:del>
    </w:p>
    <w:p w14:paraId="0E57BB0E" w14:textId="77777777" w:rsidR="00073F8F" w:rsidRPr="001B4A02" w:rsidRDefault="00073F8F" w:rsidP="00ED48A3">
      <w:pPr>
        <w:ind w:left="0" w:firstLine="0"/>
        <w:rPr>
          <w:del w:id="5928" w:author="AbbVie1" w:date="2025-05-13T09:50:00Z"/>
        </w:rPr>
      </w:pPr>
    </w:p>
    <w:p w14:paraId="56AFBA96" w14:textId="77777777" w:rsidR="00073F8F" w:rsidRPr="001B4A02" w:rsidRDefault="00000000" w:rsidP="00ED48A3">
      <w:pPr>
        <w:ind w:left="0" w:firstLine="0"/>
        <w:rPr>
          <w:del w:id="5929" w:author="AbbVie1" w:date="2025-05-13T09:50:00Z"/>
        </w:rPr>
      </w:pPr>
      <w:del w:id="5930" w:author="AbbVie1" w:date="2025-05-13T09:50:00Z">
        <w:r w:rsidRPr="001B4A02">
          <w:delText>Ve studii RA V</w:delText>
        </w:r>
        <w:r w:rsidR="00CC37C0" w:rsidRPr="001B4A02">
          <w:delText xml:space="preserve"> </w:delText>
        </w:r>
        <w:r w:rsidRPr="001B4A02">
          <w:delText>se zlepšení indexu disability HAQ</w:delText>
        </w:r>
        <w:r w:rsidR="002378E0">
          <w:delText xml:space="preserve"> a </w:delText>
        </w:r>
        <w:r w:rsidRPr="001B4A02">
          <w:delText>tělesné komponenty v průzkumu SF 36 prokázalo jako větší (p&lt;0,001) při kombin</w:delText>
        </w:r>
        <w:r w:rsidR="009271A3">
          <w:delText>ované</w:delText>
        </w:r>
        <w:r w:rsidRPr="001B4A02">
          <w:delText xml:space="preserve"> léčbě přípravkem Humira/methotrexátem </w:delText>
        </w:r>
        <w:r w:rsidRPr="001B4A02">
          <w:rPr>
            <w:iCs/>
          </w:rPr>
          <w:delText>v porovnání s</w:delText>
        </w:r>
        <w:r w:rsidR="00AC7C92" w:rsidRPr="001B4A02">
          <w:delText> </w:delText>
        </w:r>
        <w:r w:rsidRPr="001B4A02">
          <w:delText xml:space="preserve">monoterapií methotrexátem </w:delText>
        </w:r>
        <w:r w:rsidR="00D00F8F">
          <w:delText>v</w:delText>
        </w:r>
        <w:r w:rsidR="00FD6C86">
          <w:delText> </w:delText>
        </w:r>
        <w:r w:rsidR="00D00F8F">
          <w:delText>týdnu 52</w:delText>
        </w:r>
        <w:r w:rsidR="002378E0">
          <w:delText xml:space="preserve"> a </w:delText>
        </w:r>
        <w:r w:rsidRPr="001B4A02">
          <w:delText>zůstávalo větší až do týdne</w:delText>
        </w:r>
        <w:r w:rsidR="000F04DB" w:rsidRPr="001B4A02">
          <w:delText xml:space="preserve"> 104</w:delText>
        </w:r>
        <w:r w:rsidRPr="001B4A02">
          <w:delText>.</w:delText>
        </w:r>
        <w:r w:rsidR="001E4077">
          <w:delText xml:space="preserve"> </w:delText>
        </w:r>
        <w:r w:rsidR="001E4077" w:rsidRPr="001B4A02">
          <w:delText>Mezi 250 subjekty, které dokončily otevřenou prodlouženou fázi studie RA V, bylo po dobu 10 let léčby zachováno zlepšení fyzických funkcí.</w:delText>
        </w:r>
      </w:del>
    </w:p>
    <w:p w14:paraId="2E95F6AB" w14:textId="77777777" w:rsidR="00073F8F" w:rsidRPr="001B4A02" w:rsidRDefault="00073F8F" w:rsidP="00ED48A3">
      <w:pPr>
        <w:ind w:left="0" w:firstLine="0"/>
        <w:rPr>
          <w:del w:id="5931" w:author="AbbVie1" w:date="2025-05-13T09:50:00Z"/>
        </w:rPr>
      </w:pPr>
    </w:p>
    <w:p w14:paraId="4A24C05B" w14:textId="77777777" w:rsidR="00073F8F" w:rsidRPr="001B4A02" w:rsidRDefault="00000000" w:rsidP="00CE5DAE">
      <w:pPr>
        <w:pStyle w:val="EMEAHeadingUnderline"/>
        <w:keepNext/>
        <w:tabs>
          <w:tab w:val="clear" w:pos="562"/>
        </w:tabs>
        <w:suppressAutoHyphens w:val="0"/>
        <w:spacing w:beforeLines="0" w:before="0" w:afterLines="0" w:after="0"/>
        <w:rPr>
          <w:del w:id="5932" w:author="AbbVie1" w:date="2025-05-13T09:50:00Z"/>
          <w:i/>
          <w:u w:val="none"/>
          <w:lang w:val="cs-CZ"/>
        </w:rPr>
      </w:pPr>
      <w:del w:id="5933" w:author="AbbVie1" w:date="2025-05-13T09:50:00Z">
        <w:r w:rsidRPr="001B4A02">
          <w:rPr>
            <w:i/>
            <w:u w:val="none"/>
            <w:lang w:val="cs-CZ"/>
          </w:rPr>
          <w:delText>Axiální spondylartritida</w:delText>
        </w:r>
      </w:del>
    </w:p>
    <w:p w14:paraId="7EF452C6" w14:textId="77777777" w:rsidR="00EC61F9" w:rsidRPr="001B4A02" w:rsidRDefault="00EC61F9" w:rsidP="00CE5DAE">
      <w:pPr>
        <w:pStyle w:val="EMEANormal"/>
        <w:keepNext/>
        <w:rPr>
          <w:del w:id="5934" w:author="AbbVie1" w:date="2025-05-13T09:50:00Z"/>
          <w:lang w:val="cs-CZ"/>
        </w:rPr>
      </w:pPr>
    </w:p>
    <w:p w14:paraId="7E186F76" w14:textId="77777777" w:rsidR="00073F8F" w:rsidRPr="001B4A02" w:rsidRDefault="00000000" w:rsidP="00CE5DAE">
      <w:pPr>
        <w:pStyle w:val="EMEAHeadingUnderline"/>
        <w:keepNext/>
        <w:tabs>
          <w:tab w:val="clear" w:pos="562"/>
        </w:tabs>
        <w:suppressAutoHyphens w:val="0"/>
        <w:spacing w:beforeLines="0" w:before="0" w:afterLines="0" w:after="0"/>
        <w:rPr>
          <w:del w:id="5935" w:author="AbbVie1" w:date="2025-05-13T09:50:00Z"/>
          <w:i/>
          <w:lang w:val="cs-CZ"/>
        </w:rPr>
      </w:pPr>
      <w:del w:id="5936" w:author="AbbVie1" w:date="2025-05-13T09:50:00Z">
        <w:r w:rsidRPr="001B4A02">
          <w:rPr>
            <w:i/>
            <w:lang w:val="cs-CZ"/>
          </w:rPr>
          <w:delText>Ankylozující spondylitida</w:delText>
        </w:r>
        <w:r w:rsidR="00EC61F9" w:rsidRPr="001B4A02">
          <w:rPr>
            <w:i/>
            <w:lang w:val="cs-CZ"/>
          </w:rPr>
          <w:delText xml:space="preserve"> (AS)</w:delText>
        </w:r>
      </w:del>
    </w:p>
    <w:p w14:paraId="0A78F3B0" w14:textId="77777777" w:rsidR="00073F8F" w:rsidRPr="001B4A02" w:rsidRDefault="00073F8F" w:rsidP="00CE5DAE">
      <w:pPr>
        <w:pStyle w:val="EMEANormal"/>
        <w:keepNext/>
        <w:rPr>
          <w:del w:id="5937" w:author="AbbVie1" w:date="2025-05-13T09:50:00Z"/>
          <w:lang w:val="cs-CZ"/>
        </w:rPr>
      </w:pPr>
    </w:p>
    <w:p w14:paraId="5D29571D" w14:textId="77777777" w:rsidR="00073F8F" w:rsidRPr="001B4A02" w:rsidRDefault="00000000" w:rsidP="00ED48A3">
      <w:pPr>
        <w:ind w:left="0" w:firstLine="0"/>
        <w:rPr>
          <w:del w:id="5938" w:author="AbbVie1" w:date="2025-05-13T09:50:00Z"/>
        </w:rPr>
      </w:pPr>
      <w:del w:id="5939" w:author="AbbVie1" w:date="2025-05-13T09:50:00Z">
        <w:r w:rsidRPr="001B4A02">
          <w:delText>Přípravek Humira 40</w:delText>
        </w:r>
        <w:r w:rsidR="00294902">
          <w:delText> mg</w:delText>
        </w:r>
        <w:r w:rsidRPr="001B4A02">
          <w:delText xml:space="preserve"> byl podáván každý druhý týden ve dvou randomizovaných, dvojitě zaslepených, placebem kontrolovaných studiích 393 pacientům s</w:delText>
        </w:r>
        <w:r w:rsidR="008506F3" w:rsidRPr="001B4A02">
          <w:delText> </w:delText>
        </w:r>
        <w:r w:rsidRPr="001B4A02">
          <w:delText>aktivní ankylozující spondylitidou, u nichž nebyla dostatečná odpověď na konvenční terapii (průměrné výchozí skóre aktivity choroby [Bath Ankylosis Spondylitis Disease Activity Index (BASDAI)] bylo u</w:delText>
        </w:r>
        <w:r w:rsidR="00C048C3" w:rsidRPr="001B4A02">
          <w:delText> </w:delText>
        </w:r>
        <w:r w:rsidRPr="001B4A02">
          <w:delText>všech skupin 6,3). Studie trvaly 24 týdnů. 79 pacientů (20,1</w:delText>
        </w:r>
        <w:r w:rsidR="00F274CD" w:rsidRPr="001B4A02">
          <w:rPr>
            <w:b/>
          </w:rPr>
          <w:delText> </w:delText>
        </w:r>
        <w:r w:rsidRPr="001B4A02">
          <w:delText>%) bylo léčeno současně chorobu modifikujícími antirevmatiky</w:delText>
        </w:r>
        <w:r w:rsidR="002378E0">
          <w:delText xml:space="preserve"> a </w:delText>
        </w:r>
        <w:r w:rsidRPr="001B4A02">
          <w:delText>37 pacientů (9,4</w:delText>
        </w:r>
        <w:r w:rsidR="00F274CD" w:rsidRPr="001B4A02">
          <w:rPr>
            <w:b/>
          </w:rPr>
          <w:delText> </w:delText>
        </w:r>
        <w:r w:rsidRPr="001B4A02">
          <w:delText>%) glukokortikoidy. Po zaslepené fázi následovala otevřená fáze, během níž pacienti dostávali přípravek Humira 40</w:delText>
        </w:r>
        <w:r w:rsidR="00294902">
          <w:delText> mg</w:delText>
        </w:r>
        <w:r w:rsidRPr="001B4A02">
          <w:delText xml:space="preserve"> každý druhý týden subkutánně po dobu dalších 28 týdnů. Subjekty hodnocení (n=215, 54</w:delText>
        </w:r>
        <w:r w:rsidR="00F274CD" w:rsidRPr="001B4A02">
          <w:rPr>
            <w:b/>
          </w:rPr>
          <w:delText> </w:delText>
        </w:r>
        <w:r w:rsidRPr="001B4A02">
          <w:delText>%), u</w:delText>
        </w:r>
        <w:r w:rsidR="00C048C3" w:rsidRPr="001B4A02">
          <w:delText> </w:delText>
        </w:r>
        <w:r w:rsidRPr="001B4A02">
          <w:delText>kterých se v týdnech 12, 16 nebo 20 nepodařilo dosáhnout ASAS 20, byl</w:delText>
        </w:r>
        <w:r w:rsidR="001E4077">
          <w:delText>y</w:delText>
        </w:r>
        <w:r w:rsidRPr="001B4A02">
          <w:delText xml:space="preserve"> předčasně zařazen</w:delText>
        </w:r>
        <w:r w:rsidR="001E4077">
          <w:delText>y</w:delText>
        </w:r>
        <w:r w:rsidRPr="001B4A02">
          <w:delText xml:space="preserve"> do otevřené fáze studie</w:delText>
        </w:r>
        <w:r w:rsidR="002378E0">
          <w:delText xml:space="preserve"> a </w:delText>
        </w:r>
        <w:r w:rsidRPr="001B4A02">
          <w:delText>každý druhý týden pak dostával</w:delText>
        </w:r>
        <w:r w:rsidR="001E4077">
          <w:delText>y</w:delText>
        </w:r>
        <w:r w:rsidRPr="001B4A02">
          <w:delText xml:space="preserve"> subkutánně 40</w:delText>
        </w:r>
        <w:r w:rsidR="00294902">
          <w:delText> mg</w:delText>
        </w:r>
        <w:r w:rsidRPr="001B4A02">
          <w:delText xml:space="preserve"> adalimumabu</w:delText>
        </w:r>
        <w:r w:rsidR="002378E0">
          <w:delText xml:space="preserve"> a </w:delText>
        </w:r>
        <w:r w:rsidRPr="001B4A02">
          <w:delText>byl</w:delText>
        </w:r>
        <w:r w:rsidR="001E4077">
          <w:delText>y</w:delText>
        </w:r>
        <w:r w:rsidRPr="001B4A02">
          <w:delText xml:space="preserve"> poté v dvojitě zaslepených statistických analýzách považován</w:delText>
        </w:r>
        <w:r w:rsidR="001E4077">
          <w:delText>y</w:delText>
        </w:r>
        <w:r w:rsidRPr="001B4A02">
          <w:delText xml:space="preserve"> za na léčbu neodpovídající.</w:delText>
        </w:r>
      </w:del>
    </w:p>
    <w:p w14:paraId="15FFEBDF" w14:textId="77777777" w:rsidR="00073F8F" w:rsidRPr="001B4A02" w:rsidRDefault="00073F8F" w:rsidP="00ED48A3">
      <w:pPr>
        <w:ind w:left="0" w:firstLine="0"/>
        <w:rPr>
          <w:del w:id="5940" w:author="AbbVie1" w:date="2025-05-13T09:50:00Z"/>
        </w:rPr>
      </w:pPr>
    </w:p>
    <w:p w14:paraId="160898EA" w14:textId="77777777" w:rsidR="00073F8F" w:rsidRPr="001B4A02" w:rsidRDefault="00000000" w:rsidP="00ED48A3">
      <w:pPr>
        <w:ind w:left="0" w:firstLine="0"/>
        <w:rPr>
          <w:del w:id="5941" w:author="AbbVie1" w:date="2025-05-13T09:50:00Z"/>
        </w:rPr>
      </w:pPr>
      <w:del w:id="5942" w:author="AbbVie1" w:date="2025-05-13T09:50:00Z">
        <w:r w:rsidRPr="001B4A02">
          <w:delText>V rozsáhlejší studii AS I s 315 pacienty výsledky prokázaly statisticky signifikantní zlepšení symptomů ankylozující spondylitidy u</w:delText>
        </w:r>
        <w:r w:rsidR="00C048C3" w:rsidRPr="001B4A02">
          <w:delText> </w:delText>
        </w:r>
        <w:r w:rsidRPr="001B4A02">
          <w:delText>pacientů léčených přípravkem Humira ve srovnání s placebem. Signifikantní odpověď byla poprvé pozorována v</w:delText>
        </w:r>
        <w:r w:rsidR="00255A0A" w:rsidRPr="001B4A02">
          <w:delText> </w:delText>
        </w:r>
        <w:r w:rsidRPr="001B4A02">
          <w:delText>týdnu 2</w:delText>
        </w:r>
        <w:r w:rsidR="002378E0">
          <w:delText xml:space="preserve"> a </w:delText>
        </w:r>
        <w:r w:rsidRPr="001B4A02">
          <w:delText>přetrvávala až do týdne 24 (</w:delText>
        </w:r>
        <w:r w:rsidR="008C0294" w:rsidRPr="001B4A02">
          <w:delText>t</w:delText>
        </w:r>
        <w:r w:rsidRPr="001B4A02">
          <w:delText xml:space="preserve">abulka </w:delText>
        </w:r>
        <w:r w:rsidR="00CC1B29">
          <w:delText>12</w:delText>
        </w:r>
        <w:r w:rsidRPr="001B4A02">
          <w:delText>).</w:delText>
        </w:r>
      </w:del>
    </w:p>
    <w:p w14:paraId="62DF06BF" w14:textId="77777777" w:rsidR="00073F8F" w:rsidRPr="001B4A02" w:rsidRDefault="00073F8F" w:rsidP="00ED48A3">
      <w:pPr>
        <w:ind w:left="0" w:firstLine="0"/>
        <w:rPr>
          <w:del w:id="5943" w:author="AbbVie1" w:date="2025-05-13T09:50:00Z"/>
        </w:rPr>
      </w:pPr>
    </w:p>
    <w:p w14:paraId="2112C101" w14:textId="77777777" w:rsidR="002B32CF" w:rsidRPr="001B4A02" w:rsidRDefault="00000000" w:rsidP="00ED48A3">
      <w:pPr>
        <w:keepNext/>
        <w:ind w:left="0" w:firstLine="0"/>
        <w:jc w:val="center"/>
        <w:rPr>
          <w:del w:id="5944" w:author="AbbVie1" w:date="2025-05-13T09:50:00Z"/>
          <w:b/>
          <w:bCs/>
        </w:rPr>
      </w:pPr>
      <w:del w:id="5945" w:author="AbbVie1" w:date="2025-05-13T09:50:00Z">
        <w:r w:rsidRPr="001B4A02">
          <w:rPr>
            <w:b/>
            <w:bCs/>
          </w:rPr>
          <w:delText xml:space="preserve">Tabulka </w:delText>
        </w:r>
        <w:r w:rsidR="00CC1B29">
          <w:rPr>
            <w:b/>
            <w:bCs/>
          </w:rPr>
          <w:delText>12</w:delText>
        </w:r>
        <w:r w:rsidR="00CC1B29" w:rsidRPr="001B4A02">
          <w:rPr>
            <w:b/>
            <w:bCs/>
          </w:rPr>
          <w:delText xml:space="preserve"> </w:delText>
        </w:r>
      </w:del>
    </w:p>
    <w:p w14:paraId="67830141" w14:textId="77777777" w:rsidR="00073F8F" w:rsidRPr="001B4A02" w:rsidRDefault="00000000" w:rsidP="00ED48A3">
      <w:pPr>
        <w:keepNext/>
        <w:ind w:left="0" w:firstLine="0"/>
        <w:jc w:val="center"/>
        <w:rPr>
          <w:del w:id="5946" w:author="AbbVie1" w:date="2025-05-13T09:50:00Z"/>
          <w:b/>
          <w:bCs/>
        </w:rPr>
      </w:pPr>
      <w:del w:id="5947" w:author="AbbVie1" w:date="2025-05-13T09:50:00Z">
        <w:r w:rsidRPr="001B4A02">
          <w:rPr>
            <w:b/>
            <w:bCs/>
          </w:rPr>
          <w:delText>Účinné odpovědi v placebem kontrolované studii s ankylozující spondylitidou – studie AS I</w:delText>
        </w:r>
      </w:del>
    </w:p>
    <w:p w14:paraId="27D3F5CE" w14:textId="77777777" w:rsidR="00073F8F" w:rsidRPr="001B4A02" w:rsidRDefault="00000000" w:rsidP="00ED48A3">
      <w:pPr>
        <w:keepNext/>
        <w:ind w:left="0" w:firstLine="0"/>
        <w:jc w:val="center"/>
        <w:rPr>
          <w:del w:id="5948" w:author="AbbVie1" w:date="2025-05-13T09:50:00Z"/>
          <w:b/>
          <w:bCs/>
        </w:rPr>
      </w:pPr>
      <w:del w:id="5949" w:author="AbbVie1" w:date="2025-05-13T09:50:00Z">
        <w:r w:rsidRPr="001B4A02">
          <w:rPr>
            <w:b/>
            <w:bCs/>
          </w:rPr>
          <w:delText>Redukce symptomů</w:delText>
        </w:r>
      </w:del>
    </w:p>
    <w:p w14:paraId="0989957D" w14:textId="77777777" w:rsidR="00073F8F" w:rsidRPr="001B4A02" w:rsidRDefault="00073F8F" w:rsidP="00ED48A3">
      <w:pPr>
        <w:keepNext/>
        <w:ind w:left="0" w:firstLine="0"/>
        <w:jc w:val="center"/>
        <w:rPr>
          <w:del w:id="5950" w:author="AbbVie1" w:date="2025-05-13T09:50:00Z"/>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6"/>
        <w:gridCol w:w="3016"/>
        <w:gridCol w:w="3019"/>
      </w:tblGrid>
      <w:tr w:rsidR="00534A2D" w14:paraId="2275CFF2" w14:textId="77777777">
        <w:trPr>
          <w:del w:id="5951" w:author="AbbVie1" w:date="2025-05-13T09:50:00Z"/>
        </w:trPr>
        <w:tc>
          <w:tcPr>
            <w:tcW w:w="3070" w:type="dxa"/>
          </w:tcPr>
          <w:p w14:paraId="7E3891FB" w14:textId="77777777" w:rsidR="00073F8F" w:rsidRPr="001B4A02" w:rsidRDefault="00000000" w:rsidP="00ED48A3">
            <w:pPr>
              <w:keepNext/>
              <w:ind w:left="0" w:firstLine="0"/>
              <w:rPr>
                <w:del w:id="5952" w:author="AbbVie1" w:date="2025-05-13T09:50:00Z"/>
                <w:b/>
                <w:bCs/>
              </w:rPr>
            </w:pPr>
            <w:del w:id="5953" w:author="AbbVie1" w:date="2025-05-13T09:50:00Z">
              <w:r w:rsidRPr="001B4A02">
                <w:rPr>
                  <w:b/>
                  <w:bCs/>
                </w:rPr>
                <w:delText>Odpověď</w:delText>
              </w:r>
            </w:del>
          </w:p>
        </w:tc>
        <w:tc>
          <w:tcPr>
            <w:tcW w:w="3070" w:type="dxa"/>
          </w:tcPr>
          <w:p w14:paraId="5B454584" w14:textId="77777777" w:rsidR="00073F8F" w:rsidRPr="001B4A02" w:rsidRDefault="00000000" w:rsidP="00ED48A3">
            <w:pPr>
              <w:keepNext/>
              <w:ind w:left="0" w:firstLine="0"/>
              <w:jc w:val="center"/>
              <w:rPr>
                <w:del w:id="5954" w:author="AbbVie1" w:date="2025-05-13T09:50:00Z"/>
                <w:b/>
                <w:bCs/>
              </w:rPr>
            </w:pPr>
            <w:del w:id="5955" w:author="AbbVie1" w:date="2025-05-13T09:50:00Z">
              <w:r w:rsidRPr="001B4A02">
                <w:rPr>
                  <w:b/>
                  <w:bCs/>
                </w:rPr>
                <w:delText xml:space="preserve">Placebo </w:delText>
              </w:r>
            </w:del>
          </w:p>
          <w:p w14:paraId="0B88B232" w14:textId="77777777" w:rsidR="00073F8F" w:rsidRPr="001B4A02" w:rsidRDefault="00000000" w:rsidP="00ED48A3">
            <w:pPr>
              <w:keepNext/>
              <w:ind w:left="0" w:firstLine="0"/>
              <w:jc w:val="center"/>
              <w:rPr>
                <w:del w:id="5956" w:author="AbbVie1" w:date="2025-05-13T09:50:00Z"/>
                <w:b/>
                <w:bCs/>
              </w:rPr>
            </w:pPr>
            <w:del w:id="5957" w:author="AbbVie1" w:date="2025-05-13T09:50:00Z">
              <w:r>
                <w:rPr>
                  <w:b/>
                  <w:bCs/>
                </w:rPr>
                <w:delText>n</w:delText>
              </w:r>
              <w:r w:rsidRPr="001B4A02">
                <w:rPr>
                  <w:b/>
                  <w:bCs/>
                </w:rPr>
                <w:delText>=107</w:delText>
              </w:r>
            </w:del>
          </w:p>
        </w:tc>
        <w:tc>
          <w:tcPr>
            <w:tcW w:w="3071" w:type="dxa"/>
          </w:tcPr>
          <w:p w14:paraId="1628E875" w14:textId="77777777" w:rsidR="00073F8F" w:rsidRPr="001B4A02" w:rsidRDefault="00000000" w:rsidP="00ED48A3">
            <w:pPr>
              <w:keepNext/>
              <w:ind w:left="0" w:firstLine="0"/>
              <w:jc w:val="center"/>
              <w:rPr>
                <w:del w:id="5958" w:author="AbbVie1" w:date="2025-05-13T09:50:00Z"/>
                <w:b/>
                <w:bCs/>
              </w:rPr>
            </w:pPr>
            <w:del w:id="5959" w:author="AbbVie1" w:date="2025-05-13T09:50:00Z">
              <w:r w:rsidRPr="001B4A02">
                <w:rPr>
                  <w:b/>
                  <w:bCs/>
                </w:rPr>
                <w:delText xml:space="preserve">Humira </w:delText>
              </w:r>
            </w:del>
          </w:p>
          <w:p w14:paraId="3A6A7E23" w14:textId="77777777" w:rsidR="00073F8F" w:rsidRPr="001B4A02" w:rsidRDefault="00000000" w:rsidP="00F9434B">
            <w:pPr>
              <w:keepNext/>
              <w:ind w:left="0" w:firstLine="0"/>
              <w:jc w:val="center"/>
              <w:rPr>
                <w:del w:id="5960" w:author="AbbVie1" w:date="2025-05-13T09:50:00Z"/>
                <w:b/>
                <w:bCs/>
              </w:rPr>
            </w:pPr>
            <w:del w:id="5961" w:author="AbbVie1" w:date="2025-05-13T09:50:00Z">
              <w:r>
                <w:rPr>
                  <w:b/>
                  <w:bCs/>
                </w:rPr>
                <w:delText>n</w:delText>
              </w:r>
              <w:r w:rsidRPr="001B4A02">
                <w:rPr>
                  <w:b/>
                  <w:bCs/>
                </w:rPr>
                <w:delText>=208</w:delText>
              </w:r>
            </w:del>
          </w:p>
        </w:tc>
      </w:tr>
      <w:tr w:rsidR="00534A2D" w14:paraId="0B5615AD" w14:textId="77777777">
        <w:trPr>
          <w:del w:id="5962" w:author="AbbVie1" w:date="2025-05-13T09:50:00Z"/>
        </w:trPr>
        <w:tc>
          <w:tcPr>
            <w:tcW w:w="3070" w:type="dxa"/>
          </w:tcPr>
          <w:p w14:paraId="1CB7387B" w14:textId="77777777" w:rsidR="00073F8F" w:rsidRPr="001B4A02" w:rsidRDefault="00000000" w:rsidP="00ED48A3">
            <w:pPr>
              <w:keepNext/>
              <w:ind w:left="0" w:firstLine="0"/>
              <w:rPr>
                <w:del w:id="5963" w:author="AbbVie1" w:date="2025-05-13T09:50:00Z"/>
              </w:rPr>
            </w:pPr>
            <w:del w:id="5964" w:author="AbbVie1" w:date="2025-05-13T09:50:00Z">
              <w:r w:rsidRPr="001B4A02">
                <w:delText>ASAS</w:delText>
              </w:r>
              <w:r w:rsidRPr="001B4A02">
                <w:rPr>
                  <w:vertAlign w:val="superscript"/>
                </w:rPr>
                <w:delText>a</w:delText>
              </w:r>
              <w:r w:rsidRPr="001B4A02">
                <w:delText xml:space="preserve"> 20</w:delText>
              </w:r>
            </w:del>
          </w:p>
        </w:tc>
        <w:tc>
          <w:tcPr>
            <w:tcW w:w="3070" w:type="dxa"/>
          </w:tcPr>
          <w:p w14:paraId="3BFE77B0" w14:textId="77777777" w:rsidR="00073F8F" w:rsidRPr="001B4A02" w:rsidRDefault="00073F8F" w:rsidP="00ED48A3">
            <w:pPr>
              <w:keepNext/>
              <w:ind w:left="0" w:firstLine="0"/>
              <w:rPr>
                <w:del w:id="5965" w:author="AbbVie1" w:date="2025-05-13T09:50:00Z"/>
              </w:rPr>
            </w:pPr>
          </w:p>
        </w:tc>
        <w:tc>
          <w:tcPr>
            <w:tcW w:w="3071" w:type="dxa"/>
          </w:tcPr>
          <w:p w14:paraId="2C426CD6" w14:textId="77777777" w:rsidR="00073F8F" w:rsidRPr="001B4A02" w:rsidRDefault="00073F8F" w:rsidP="00ED48A3">
            <w:pPr>
              <w:keepNext/>
              <w:ind w:left="0" w:firstLine="0"/>
              <w:rPr>
                <w:del w:id="5966" w:author="AbbVie1" w:date="2025-05-13T09:50:00Z"/>
              </w:rPr>
            </w:pPr>
          </w:p>
        </w:tc>
      </w:tr>
      <w:tr w:rsidR="00534A2D" w14:paraId="108E8C9F" w14:textId="77777777">
        <w:trPr>
          <w:del w:id="5967" w:author="AbbVie1" w:date="2025-05-13T09:50:00Z"/>
        </w:trPr>
        <w:tc>
          <w:tcPr>
            <w:tcW w:w="3070" w:type="dxa"/>
          </w:tcPr>
          <w:p w14:paraId="008A4FB7" w14:textId="77777777" w:rsidR="00073F8F" w:rsidRPr="001B4A02" w:rsidRDefault="00000000" w:rsidP="00ED48A3">
            <w:pPr>
              <w:pStyle w:val="EMEANormal"/>
              <w:keepNext/>
              <w:tabs>
                <w:tab w:val="clear" w:pos="562"/>
              </w:tabs>
              <w:suppressAutoHyphens w:val="0"/>
              <w:rPr>
                <w:del w:id="5968" w:author="AbbVie1" w:date="2025-05-13T09:50:00Z"/>
                <w:lang w:val="cs-CZ"/>
              </w:rPr>
            </w:pPr>
            <w:del w:id="5969" w:author="AbbVie1" w:date="2025-05-13T09:50:00Z">
              <w:r w:rsidRPr="001B4A02">
                <w:rPr>
                  <w:lang w:val="cs-CZ"/>
                </w:rPr>
                <w:tab/>
                <w:delText>Týden 2</w:delText>
              </w:r>
            </w:del>
          </w:p>
        </w:tc>
        <w:tc>
          <w:tcPr>
            <w:tcW w:w="3070" w:type="dxa"/>
          </w:tcPr>
          <w:p w14:paraId="5520C5FE" w14:textId="77777777" w:rsidR="00073F8F" w:rsidRPr="001B4A02" w:rsidRDefault="00000000" w:rsidP="00ED48A3">
            <w:pPr>
              <w:keepNext/>
              <w:ind w:left="0" w:firstLine="0"/>
              <w:jc w:val="center"/>
              <w:rPr>
                <w:del w:id="5970" w:author="AbbVie1" w:date="2025-05-13T09:50:00Z"/>
              </w:rPr>
            </w:pPr>
            <w:del w:id="5971" w:author="AbbVie1" w:date="2025-05-13T09:50:00Z">
              <w:r w:rsidRPr="001B4A02">
                <w:delText>16</w:delText>
              </w:r>
              <w:r w:rsidR="00F274CD" w:rsidRPr="001B4A02">
                <w:rPr>
                  <w:b/>
                </w:rPr>
                <w:delText> </w:delText>
              </w:r>
              <w:r w:rsidRPr="001B4A02">
                <w:delText>%</w:delText>
              </w:r>
            </w:del>
          </w:p>
        </w:tc>
        <w:tc>
          <w:tcPr>
            <w:tcW w:w="3071" w:type="dxa"/>
          </w:tcPr>
          <w:p w14:paraId="6558890C" w14:textId="77777777" w:rsidR="00073F8F" w:rsidRPr="001B4A02" w:rsidRDefault="00000000" w:rsidP="00ED48A3">
            <w:pPr>
              <w:keepNext/>
              <w:ind w:left="0" w:firstLine="0"/>
              <w:jc w:val="center"/>
              <w:rPr>
                <w:del w:id="5972" w:author="AbbVie1" w:date="2025-05-13T09:50:00Z"/>
                <w:b/>
                <w:bCs/>
              </w:rPr>
            </w:pPr>
            <w:del w:id="5973" w:author="AbbVie1" w:date="2025-05-13T09:50:00Z">
              <w:r w:rsidRPr="001B4A02">
                <w:delText>42</w:delText>
              </w:r>
              <w:r w:rsidR="00F274CD" w:rsidRPr="001B4A02">
                <w:rPr>
                  <w:b/>
                </w:rPr>
                <w:delText> </w:delText>
              </w:r>
              <w:r w:rsidRPr="001B4A02">
                <w:delText>%***</w:delText>
              </w:r>
            </w:del>
          </w:p>
        </w:tc>
      </w:tr>
      <w:tr w:rsidR="00534A2D" w14:paraId="45D28EE8" w14:textId="77777777">
        <w:trPr>
          <w:del w:id="5974" w:author="AbbVie1" w:date="2025-05-13T09:50:00Z"/>
        </w:trPr>
        <w:tc>
          <w:tcPr>
            <w:tcW w:w="3070" w:type="dxa"/>
          </w:tcPr>
          <w:p w14:paraId="47B55B85" w14:textId="77777777" w:rsidR="00073F8F" w:rsidRPr="001B4A02" w:rsidRDefault="00000000" w:rsidP="00ED48A3">
            <w:pPr>
              <w:pStyle w:val="EMEANormal"/>
              <w:keepNext/>
              <w:tabs>
                <w:tab w:val="clear" w:pos="562"/>
              </w:tabs>
              <w:suppressAutoHyphens w:val="0"/>
              <w:rPr>
                <w:del w:id="5975" w:author="AbbVie1" w:date="2025-05-13T09:50:00Z"/>
                <w:lang w:val="cs-CZ"/>
              </w:rPr>
            </w:pPr>
            <w:del w:id="5976" w:author="AbbVie1" w:date="2025-05-13T09:50:00Z">
              <w:r w:rsidRPr="001B4A02">
                <w:rPr>
                  <w:lang w:val="cs-CZ"/>
                </w:rPr>
                <w:tab/>
                <w:delText>Týden 12</w:delText>
              </w:r>
            </w:del>
          </w:p>
        </w:tc>
        <w:tc>
          <w:tcPr>
            <w:tcW w:w="3070" w:type="dxa"/>
          </w:tcPr>
          <w:p w14:paraId="1384DA28" w14:textId="77777777" w:rsidR="00073F8F" w:rsidRPr="001B4A02" w:rsidRDefault="00000000" w:rsidP="00ED48A3">
            <w:pPr>
              <w:keepNext/>
              <w:ind w:left="0" w:firstLine="0"/>
              <w:jc w:val="center"/>
              <w:rPr>
                <w:del w:id="5977" w:author="AbbVie1" w:date="2025-05-13T09:50:00Z"/>
                <w:b/>
                <w:bCs/>
              </w:rPr>
            </w:pPr>
            <w:del w:id="5978" w:author="AbbVie1" w:date="2025-05-13T09:50:00Z">
              <w:r w:rsidRPr="001B4A02">
                <w:delText>21</w:delText>
              </w:r>
              <w:r w:rsidR="00F274CD" w:rsidRPr="001B4A02">
                <w:rPr>
                  <w:b/>
                </w:rPr>
                <w:delText> </w:delText>
              </w:r>
              <w:r w:rsidRPr="001B4A02">
                <w:delText>%</w:delText>
              </w:r>
            </w:del>
          </w:p>
        </w:tc>
        <w:tc>
          <w:tcPr>
            <w:tcW w:w="3071" w:type="dxa"/>
          </w:tcPr>
          <w:p w14:paraId="6AB1E607" w14:textId="77777777" w:rsidR="00073F8F" w:rsidRPr="001B4A02" w:rsidRDefault="00000000" w:rsidP="00ED48A3">
            <w:pPr>
              <w:keepNext/>
              <w:ind w:left="0" w:firstLine="0"/>
              <w:jc w:val="center"/>
              <w:rPr>
                <w:del w:id="5979" w:author="AbbVie1" w:date="2025-05-13T09:50:00Z"/>
                <w:b/>
                <w:bCs/>
              </w:rPr>
            </w:pPr>
            <w:del w:id="5980" w:author="AbbVie1" w:date="2025-05-13T09:50:00Z">
              <w:r w:rsidRPr="001B4A02">
                <w:delText>58</w:delText>
              </w:r>
              <w:r w:rsidR="00F274CD" w:rsidRPr="001B4A02">
                <w:rPr>
                  <w:b/>
                </w:rPr>
                <w:delText> </w:delText>
              </w:r>
              <w:r w:rsidRPr="001B4A02">
                <w:delText>%***</w:delText>
              </w:r>
            </w:del>
          </w:p>
        </w:tc>
      </w:tr>
      <w:tr w:rsidR="00534A2D" w14:paraId="65A29154" w14:textId="77777777">
        <w:trPr>
          <w:del w:id="5981" w:author="AbbVie1" w:date="2025-05-13T09:50:00Z"/>
        </w:trPr>
        <w:tc>
          <w:tcPr>
            <w:tcW w:w="3070" w:type="dxa"/>
          </w:tcPr>
          <w:p w14:paraId="39C1377E" w14:textId="77777777" w:rsidR="00073F8F" w:rsidRPr="001B4A02" w:rsidRDefault="00000000" w:rsidP="00ED48A3">
            <w:pPr>
              <w:pStyle w:val="EMEANormal"/>
              <w:keepNext/>
              <w:tabs>
                <w:tab w:val="clear" w:pos="562"/>
              </w:tabs>
              <w:suppressAutoHyphens w:val="0"/>
              <w:rPr>
                <w:del w:id="5982" w:author="AbbVie1" w:date="2025-05-13T09:50:00Z"/>
                <w:lang w:val="cs-CZ"/>
              </w:rPr>
            </w:pPr>
            <w:del w:id="5983" w:author="AbbVie1" w:date="2025-05-13T09:50:00Z">
              <w:r w:rsidRPr="001B4A02">
                <w:rPr>
                  <w:lang w:val="cs-CZ"/>
                </w:rPr>
                <w:tab/>
                <w:delText>Týden 24</w:delText>
              </w:r>
            </w:del>
          </w:p>
        </w:tc>
        <w:tc>
          <w:tcPr>
            <w:tcW w:w="3070" w:type="dxa"/>
          </w:tcPr>
          <w:p w14:paraId="447AB51D" w14:textId="77777777" w:rsidR="00073F8F" w:rsidRPr="001B4A02" w:rsidRDefault="00000000" w:rsidP="00ED48A3">
            <w:pPr>
              <w:keepNext/>
              <w:ind w:left="0" w:firstLine="0"/>
              <w:jc w:val="center"/>
              <w:rPr>
                <w:del w:id="5984" w:author="AbbVie1" w:date="2025-05-13T09:50:00Z"/>
                <w:b/>
                <w:bCs/>
              </w:rPr>
            </w:pPr>
            <w:del w:id="5985" w:author="AbbVie1" w:date="2025-05-13T09:50:00Z">
              <w:r w:rsidRPr="001B4A02">
                <w:delText>19</w:delText>
              </w:r>
              <w:r w:rsidR="00F274CD" w:rsidRPr="001B4A02">
                <w:rPr>
                  <w:b/>
                </w:rPr>
                <w:delText> </w:delText>
              </w:r>
              <w:r w:rsidRPr="001B4A02">
                <w:delText>%</w:delText>
              </w:r>
            </w:del>
          </w:p>
        </w:tc>
        <w:tc>
          <w:tcPr>
            <w:tcW w:w="3071" w:type="dxa"/>
          </w:tcPr>
          <w:p w14:paraId="3282F94B" w14:textId="77777777" w:rsidR="00073F8F" w:rsidRPr="001B4A02" w:rsidRDefault="00000000" w:rsidP="00ED48A3">
            <w:pPr>
              <w:keepNext/>
              <w:ind w:left="0" w:firstLine="0"/>
              <w:jc w:val="center"/>
              <w:rPr>
                <w:del w:id="5986" w:author="AbbVie1" w:date="2025-05-13T09:50:00Z"/>
                <w:b/>
                <w:bCs/>
              </w:rPr>
            </w:pPr>
            <w:del w:id="5987" w:author="AbbVie1" w:date="2025-05-13T09:50:00Z">
              <w:r w:rsidRPr="001B4A02">
                <w:delText>51</w:delText>
              </w:r>
              <w:r w:rsidR="00F274CD" w:rsidRPr="001B4A02">
                <w:rPr>
                  <w:b/>
                </w:rPr>
                <w:delText> </w:delText>
              </w:r>
              <w:r w:rsidRPr="001B4A02">
                <w:delText>%***</w:delText>
              </w:r>
            </w:del>
          </w:p>
        </w:tc>
      </w:tr>
      <w:tr w:rsidR="00534A2D" w14:paraId="6E206A7C" w14:textId="77777777">
        <w:trPr>
          <w:del w:id="5988" w:author="AbbVie1" w:date="2025-05-13T09:50:00Z"/>
        </w:trPr>
        <w:tc>
          <w:tcPr>
            <w:tcW w:w="3070" w:type="dxa"/>
          </w:tcPr>
          <w:p w14:paraId="28AE309D" w14:textId="77777777" w:rsidR="00073F8F" w:rsidRPr="001B4A02" w:rsidRDefault="00000000" w:rsidP="00ED48A3">
            <w:pPr>
              <w:keepNext/>
              <w:ind w:left="0" w:firstLine="0"/>
              <w:rPr>
                <w:del w:id="5989" w:author="AbbVie1" w:date="2025-05-13T09:50:00Z"/>
              </w:rPr>
            </w:pPr>
            <w:del w:id="5990" w:author="AbbVie1" w:date="2025-05-13T09:50:00Z">
              <w:r w:rsidRPr="001B4A02">
                <w:delText>ASAS 50</w:delText>
              </w:r>
            </w:del>
          </w:p>
        </w:tc>
        <w:tc>
          <w:tcPr>
            <w:tcW w:w="3070" w:type="dxa"/>
          </w:tcPr>
          <w:p w14:paraId="3D8BBC7F" w14:textId="77777777" w:rsidR="00073F8F" w:rsidRPr="001B4A02" w:rsidRDefault="00073F8F" w:rsidP="00ED48A3">
            <w:pPr>
              <w:keepNext/>
              <w:ind w:left="0" w:firstLine="0"/>
              <w:jc w:val="center"/>
              <w:rPr>
                <w:del w:id="5991" w:author="AbbVie1" w:date="2025-05-13T09:50:00Z"/>
                <w:b/>
                <w:bCs/>
              </w:rPr>
            </w:pPr>
          </w:p>
        </w:tc>
        <w:tc>
          <w:tcPr>
            <w:tcW w:w="3071" w:type="dxa"/>
          </w:tcPr>
          <w:p w14:paraId="34CB1639" w14:textId="77777777" w:rsidR="00073F8F" w:rsidRPr="001B4A02" w:rsidRDefault="00073F8F" w:rsidP="00ED48A3">
            <w:pPr>
              <w:keepNext/>
              <w:ind w:left="0" w:firstLine="0"/>
              <w:jc w:val="center"/>
              <w:rPr>
                <w:del w:id="5992" w:author="AbbVie1" w:date="2025-05-13T09:50:00Z"/>
                <w:b/>
                <w:bCs/>
              </w:rPr>
            </w:pPr>
          </w:p>
        </w:tc>
      </w:tr>
      <w:tr w:rsidR="00534A2D" w14:paraId="068723FC" w14:textId="77777777">
        <w:trPr>
          <w:del w:id="5993" w:author="AbbVie1" w:date="2025-05-13T09:50:00Z"/>
        </w:trPr>
        <w:tc>
          <w:tcPr>
            <w:tcW w:w="3070" w:type="dxa"/>
          </w:tcPr>
          <w:p w14:paraId="6CA218D2" w14:textId="77777777" w:rsidR="00073F8F" w:rsidRPr="001B4A02" w:rsidRDefault="00000000" w:rsidP="00ED48A3">
            <w:pPr>
              <w:pStyle w:val="EMEANormal"/>
              <w:keepNext/>
              <w:tabs>
                <w:tab w:val="clear" w:pos="562"/>
              </w:tabs>
              <w:suppressAutoHyphens w:val="0"/>
              <w:rPr>
                <w:del w:id="5994" w:author="AbbVie1" w:date="2025-05-13T09:50:00Z"/>
                <w:lang w:val="cs-CZ"/>
              </w:rPr>
            </w:pPr>
            <w:del w:id="5995" w:author="AbbVie1" w:date="2025-05-13T09:50:00Z">
              <w:r w:rsidRPr="001B4A02">
                <w:rPr>
                  <w:lang w:val="cs-CZ"/>
                </w:rPr>
                <w:tab/>
                <w:delText>Týden 2</w:delText>
              </w:r>
            </w:del>
          </w:p>
        </w:tc>
        <w:tc>
          <w:tcPr>
            <w:tcW w:w="3070" w:type="dxa"/>
          </w:tcPr>
          <w:p w14:paraId="219F2135" w14:textId="77777777" w:rsidR="00073F8F" w:rsidRPr="001B4A02" w:rsidRDefault="00000000" w:rsidP="00ED48A3">
            <w:pPr>
              <w:keepNext/>
              <w:ind w:left="0" w:firstLine="0"/>
              <w:jc w:val="center"/>
              <w:rPr>
                <w:del w:id="5996" w:author="AbbVie1" w:date="2025-05-13T09:50:00Z"/>
                <w:b/>
                <w:bCs/>
              </w:rPr>
            </w:pPr>
            <w:del w:id="5997" w:author="AbbVie1" w:date="2025-05-13T09:50:00Z">
              <w:r w:rsidRPr="001B4A02">
                <w:delText>3</w:delText>
              </w:r>
              <w:r w:rsidR="00F274CD" w:rsidRPr="001B4A02">
                <w:rPr>
                  <w:b/>
                </w:rPr>
                <w:delText> </w:delText>
              </w:r>
              <w:r w:rsidRPr="001B4A02">
                <w:delText>%</w:delText>
              </w:r>
            </w:del>
          </w:p>
        </w:tc>
        <w:tc>
          <w:tcPr>
            <w:tcW w:w="3071" w:type="dxa"/>
          </w:tcPr>
          <w:p w14:paraId="70C9BDE6" w14:textId="77777777" w:rsidR="00073F8F" w:rsidRPr="001B4A02" w:rsidRDefault="00000000" w:rsidP="00ED48A3">
            <w:pPr>
              <w:keepNext/>
              <w:ind w:left="0" w:firstLine="0"/>
              <w:jc w:val="center"/>
              <w:rPr>
                <w:del w:id="5998" w:author="AbbVie1" w:date="2025-05-13T09:50:00Z"/>
                <w:b/>
                <w:bCs/>
              </w:rPr>
            </w:pPr>
            <w:del w:id="5999" w:author="AbbVie1" w:date="2025-05-13T09:50:00Z">
              <w:r w:rsidRPr="001B4A02">
                <w:delText>16</w:delText>
              </w:r>
              <w:r w:rsidR="00F274CD" w:rsidRPr="001B4A02">
                <w:rPr>
                  <w:b/>
                </w:rPr>
                <w:delText> </w:delText>
              </w:r>
              <w:r w:rsidRPr="001B4A02">
                <w:delText>%***</w:delText>
              </w:r>
            </w:del>
          </w:p>
        </w:tc>
      </w:tr>
      <w:tr w:rsidR="00534A2D" w14:paraId="1FB0E86E" w14:textId="77777777">
        <w:trPr>
          <w:del w:id="6000" w:author="AbbVie1" w:date="2025-05-13T09:50:00Z"/>
        </w:trPr>
        <w:tc>
          <w:tcPr>
            <w:tcW w:w="3070" w:type="dxa"/>
          </w:tcPr>
          <w:p w14:paraId="097C1EBE" w14:textId="77777777" w:rsidR="00073F8F" w:rsidRPr="001B4A02" w:rsidRDefault="00000000" w:rsidP="00ED48A3">
            <w:pPr>
              <w:pStyle w:val="EMEANormal"/>
              <w:keepNext/>
              <w:tabs>
                <w:tab w:val="clear" w:pos="562"/>
              </w:tabs>
              <w:suppressAutoHyphens w:val="0"/>
              <w:rPr>
                <w:del w:id="6001" w:author="AbbVie1" w:date="2025-05-13T09:50:00Z"/>
                <w:lang w:val="cs-CZ"/>
              </w:rPr>
            </w:pPr>
            <w:del w:id="6002" w:author="AbbVie1" w:date="2025-05-13T09:50:00Z">
              <w:r w:rsidRPr="001B4A02">
                <w:rPr>
                  <w:lang w:val="cs-CZ"/>
                </w:rPr>
                <w:tab/>
                <w:delText>Týden 12</w:delText>
              </w:r>
            </w:del>
          </w:p>
        </w:tc>
        <w:tc>
          <w:tcPr>
            <w:tcW w:w="3070" w:type="dxa"/>
          </w:tcPr>
          <w:p w14:paraId="79B4083B" w14:textId="77777777" w:rsidR="00073F8F" w:rsidRPr="001B4A02" w:rsidRDefault="00000000" w:rsidP="00ED48A3">
            <w:pPr>
              <w:keepNext/>
              <w:ind w:left="0" w:firstLine="0"/>
              <w:jc w:val="center"/>
              <w:rPr>
                <w:del w:id="6003" w:author="AbbVie1" w:date="2025-05-13T09:50:00Z"/>
                <w:b/>
                <w:bCs/>
              </w:rPr>
            </w:pPr>
            <w:del w:id="6004" w:author="AbbVie1" w:date="2025-05-13T09:50:00Z">
              <w:r w:rsidRPr="001B4A02">
                <w:delText>10</w:delText>
              </w:r>
              <w:r w:rsidR="00F274CD" w:rsidRPr="001B4A02">
                <w:rPr>
                  <w:b/>
                </w:rPr>
                <w:delText> </w:delText>
              </w:r>
              <w:r w:rsidRPr="001B4A02">
                <w:delText>%</w:delText>
              </w:r>
            </w:del>
          </w:p>
        </w:tc>
        <w:tc>
          <w:tcPr>
            <w:tcW w:w="3071" w:type="dxa"/>
          </w:tcPr>
          <w:p w14:paraId="0AACBBE5" w14:textId="77777777" w:rsidR="00073F8F" w:rsidRPr="001B4A02" w:rsidRDefault="00000000" w:rsidP="00ED48A3">
            <w:pPr>
              <w:keepNext/>
              <w:ind w:left="0" w:firstLine="0"/>
              <w:jc w:val="center"/>
              <w:rPr>
                <w:del w:id="6005" w:author="AbbVie1" w:date="2025-05-13T09:50:00Z"/>
                <w:b/>
                <w:bCs/>
              </w:rPr>
            </w:pPr>
            <w:del w:id="6006" w:author="AbbVie1" w:date="2025-05-13T09:50:00Z">
              <w:r w:rsidRPr="001B4A02">
                <w:delText>38</w:delText>
              </w:r>
              <w:r w:rsidR="00F274CD" w:rsidRPr="001B4A02">
                <w:rPr>
                  <w:b/>
                </w:rPr>
                <w:delText> </w:delText>
              </w:r>
              <w:r w:rsidRPr="001B4A02">
                <w:delText>%***</w:delText>
              </w:r>
            </w:del>
          </w:p>
        </w:tc>
      </w:tr>
      <w:tr w:rsidR="00534A2D" w14:paraId="2276D8F5" w14:textId="77777777">
        <w:trPr>
          <w:del w:id="6007" w:author="AbbVie1" w:date="2025-05-13T09:50:00Z"/>
        </w:trPr>
        <w:tc>
          <w:tcPr>
            <w:tcW w:w="3070" w:type="dxa"/>
          </w:tcPr>
          <w:p w14:paraId="60D18C31" w14:textId="77777777" w:rsidR="00073F8F" w:rsidRPr="001B4A02" w:rsidRDefault="00000000" w:rsidP="00ED48A3">
            <w:pPr>
              <w:pStyle w:val="EMEANormal"/>
              <w:keepNext/>
              <w:tabs>
                <w:tab w:val="clear" w:pos="562"/>
              </w:tabs>
              <w:suppressAutoHyphens w:val="0"/>
              <w:rPr>
                <w:del w:id="6008" w:author="AbbVie1" w:date="2025-05-13T09:50:00Z"/>
                <w:lang w:val="cs-CZ"/>
              </w:rPr>
            </w:pPr>
            <w:del w:id="6009" w:author="AbbVie1" w:date="2025-05-13T09:50:00Z">
              <w:r w:rsidRPr="001B4A02">
                <w:rPr>
                  <w:lang w:val="cs-CZ"/>
                </w:rPr>
                <w:tab/>
                <w:delText>Týden 24</w:delText>
              </w:r>
            </w:del>
          </w:p>
        </w:tc>
        <w:tc>
          <w:tcPr>
            <w:tcW w:w="3070" w:type="dxa"/>
          </w:tcPr>
          <w:p w14:paraId="61FC1189" w14:textId="77777777" w:rsidR="00073F8F" w:rsidRPr="001B4A02" w:rsidRDefault="00000000" w:rsidP="00ED48A3">
            <w:pPr>
              <w:keepNext/>
              <w:ind w:left="0" w:firstLine="0"/>
              <w:jc w:val="center"/>
              <w:rPr>
                <w:del w:id="6010" w:author="AbbVie1" w:date="2025-05-13T09:50:00Z"/>
                <w:b/>
                <w:bCs/>
              </w:rPr>
            </w:pPr>
            <w:del w:id="6011" w:author="AbbVie1" w:date="2025-05-13T09:50:00Z">
              <w:r w:rsidRPr="001B4A02">
                <w:delText>11</w:delText>
              </w:r>
              <w:r w:rsidR="00F274CD" w:rsidRPr="001B4A02">
                <w:rPr>
                  <w:b/>
                </w:rPr>
                <w:delText> </w:delText>
              </w:r>
              <w:r w:rsidRPr="001B4A02">
                <w:delText>%</w:delText>
              </w:r>
            </w:del>
          </w:p>
        </w:tc>
        <w:tc>
          <w:tcPr>
            <w:tcW w:w="3071" w:type="dxa"/>
          </w:tcPr>
          <w:p w14:paraId="1E399787" w14:textId="77777777" w:rsidR="00073F8F" w:rsidRPr="001B4A02" w:rsidRDefault="00000000" w:rsidP="00ED48A3">
            <w:pPr>
              <w:keepNext/>
              <w:ind w:left="0" w:firstLine="0"/>
              <w:jc w:val="center"/>
              <w:rPr>
                <w:del w:id="6012" w:author="AbbVie1" w:date="2025-05-13T09:50:00Z"/>
                <w:b/>
                <w:bCs/>
              </w:rPr>
            </w:pPr>
            <w:del w:id="6013" w:author="AbbVie1" w:date="2025-05-13T09:50:00Z">
              <w:r w:rsidRPr="001B4A02">
                <w:delText>35</w:delText>
              </w:r>
              <w:r w:rsidR="00F274CD" w:rsidRPr="001B4A02">
                <w:rPr>
                  <w:b/>
                </w:rPr>
                <w:delText> </w:delText>
              </w:r>
              <w:r w:rsidRPr="001B4A02">
                <w:delText>%***</w:delText>
              </w:r>
            </w:del>
          </w:p>
        </w:tc>
      </w:tr>
      <w:tr w:rsidR="00534A2D" w14:paraId="4EF0A54B" w14:textId="77777777">
        <w:trPr>
          <w:del w:id="6014" w:author="AbbVie1" w:date="2025-05-13T09:50:00Z"/>
        </w:trPr>
        <w:tc>
          <w:tcPr>
            <w:tcW w:w="3070" w:type="dxa"/>
          </w:tcPr>
          <w:p w14:paraId="446DEA59" w14:textId="77777777" w:rsidR="00073F8F" w:rsidRPr="001B4A02" w:rsidRDefault="00000000" w:rsidP="00ED48A3">
            <w:pPr>
              <w:keepNext/>
              <w:ind w:left="0" w:firstLine="0"/>
              <w:rPr>
                <w:del w:id="6015" w:author="AbbVie1" w:date="2025-05-13T09:50:00Z"/>
              </w:rPr>
            </w:pPr>
            <w:del w:id="6016" w:author="AbbVie1" w:date="2025-05-13T09:50:00Z">
              <w:r w:rsidRPr="001B4A02">
                <w:delText>ASAS 70</w:delText>
              </w:r>
            </w:del>
          </w:p>
        </w:tc>
        <w:tc>
          <w:tcPr>
            <w:tcW w:w="3070" w:type="dxa"/>
          </w:tcPr>
          <w:p w14:paraId="47C42CC7" w14:textId="77777777" w:rsidR="00073F8F" w:rsidRPr="001B4A02" w:rsidRDefault="00073F8F" w:rsidP="00ED48A3">
            <w:pPr>
              <w:keepNext/>
              <w:ind w:left="0" w:firstLine="0"/>
              <w:jc w:val="center"/>
              <w:rPr>
                <w:del w:id="6017" w:author="AbbVie1" w:date="2025-05-13T09:50:00Z"/>
                <w:b/>
                <w:bCs/>
              </w:rPr>
            </w:pPr>
          </w:p>
        </w:tc>
        <w:tc>
          <w:tcPr>
            <w:tcW w:w="3071" w:type="dxa"/>
          </w:tcPr>
          <w:p w14:paraId="4BF69CF8" w14:textId="77777777" w:rsidR="00073F8F" w:rsidRPr="001B4A02" w:rsidRDefault="00073F8F" w:rsidP="00ED48A3">
            <w:pPr>
              <w:keepNext/>
              <w:ind w:left="0" w:firstLine="0"/>
              <w:jc w:val="center"/>
              <w:rPr>
                <w:del w:id="6018" w:author="AbbVie1" w:date="2025-05-13T09:50:00Z"/>
                <w:b/>
                <w:bCs/>
              </w:rPr>
            </w:pPr>
          </w:p>
        </w:tc>
      </w:tr>
      <w:tr w:rsidR="00534A2D" w14:paraId="19C5AEE3" w14:textId="77777777">
        <w:trPr>
          <w:del w:id="6019" w:author="AbbVie1" w:date="2025-05-13T09:50:00Z"/>
        </w:trPr>
        <w:tc>
          <w:tcPr>
            <w:tcW w:w="3070" w:type="dxa"/>
          </w:tcPr>
          <w:p w14:paraId="010207DD" w14:textId="77777777" w:rsidR="00073F8F" w:rsidRPr="001B4A02" w:rsidRDefault="00000000" w:rsidP="00ED48A3">
            <w:pPr>
              <w:pStyle w:val="EMEANormal"/>
              <w:keepNext/>
              <w:tabs>
                <w:tab w:val="clear" w:pos="562"/>
              </w:tabs>
              <w:suppressAutoHyphens w:val="0"/>
              <w:rPr>
                <w:del w:id="6020" w:author="AbbVie1" w:date="2025-05-13T09:50:00Z"/>
                <w:lang w:val="cs-CZ"/>
              </w:rPr>
            </w:pPr>
            <w:del w:id="6021" w:author="AbbVie1" w:date="2025-05-13T09:50:00Z">
              <w:r w:rsidRPr="001B4A02">
                <w:rPr>
                  <w:lang w:val="cs-CZ"/>
                </w:rPr>
                <w:tab/>
                <w:delText>Týden 2</w:delText>
              </w:r>
            </w:del>
          </w:p>
        </w:tc>
        <w:tc>
          <w:tcPr>
            <w:tcW w:w="3070" w:type="dxa"/>
          </w:tcPr>
          <w:p w14:paraId="45F4660D" w14:textId="77777777" w:rsidR="00073F8F" w:rsidRPr="001B4A02" w:rsidRDefault="00000000" w:rsidP="00ED48A3">
            <w:pPr>
              <w:keepNext/>
              <w:ind w:left="0" w:firstLine="0"/>
              <w:jc w:val="center"/>
              <w:rPr>
                <w:del w:id="6022" w:author="AbbVie1" w:date="2025-05-13T09:50:00Z"/>
                <w:b/>
                <w:bCs/>
              </w:rPr>
            </w:pPr>
            <w:del w:id="6023" w:author="AbbVie1" w:date="2025-05-13T09:50:00Z">
              <w:r w:rsidRPr="001B4A02">
                <w:delText>0</w:delText>
              </w:r>
              <w:r w:rsidR="00F274CD" w:rsidRPr="001B4A02">
                <w:rPr>
                  <w:b/>
                </w:rPr>
                <w:delText> </w:delText>
              </w:r>
              <w:r w:rsidRPr="001B4A02">
                <w:delText>%</w:delText>
              </w:r>
            </w:del>
          </w:p>
        </w:tc>
        <w:tc>
          <w:tcPr>
            <w:tcW w:w="3071" w:type="dxa"/>
          </w:tcPr>
          <w:p w14:paraId="4BFBE67A" w14:textId="77777777" w:rsidR="00073F8F" w:rsidRPr="001B4A02" w:rsidRDefault="00000000" w:rsidP="00ED48A3">
            <w:pPr>
              <w:keepNext/>
              <w:ind w:left="0" w:firstLine="0"/>
              <w:jc w:val="center"/>
              <w:rPr>
                <w:del w:id="6024" w:author="AbbVie1" w:date="2025-05-13T09:50:00Z"/>
                <w:b/>
                <w:bCs/>
              </w:rPr>
            </w:pPr>
            <w:del w:id="6025" w:author="AbbVie1" w:date="2025-05-13T09:50:00Z">
              <w:r w:rsidRPr="001B4A02">
                <w:delText>7</w:delText>
              </w:r>
              <w:r w:rsidR="00F274CD" w:rsidRPr="001B4A02">
                <w:rPr>
                  <w:b/>
                </w:rPr>
                <w:delText> </w:delText>
              </w:r>
              <w:r w:rsidRPr="001B4A02">
                <w:delText>%**</w:delText>
              </w:r>
            </w:del>
          </w:p>
        </w:tc>
      </w:tr>
      <w:tr w:rsidR="00534A2D" w14:paraId="358B51F9" w14:textId="77777777">
        <w:trPr>
          <w:del w:id="6026" w:author="AbbVie1" w:date="2025-05-13T09:50:00Z"/>
        </w:trPr>
        <w:tc>
          <w:tcPr>
            <w:tcW w:w="3070" w:type="dxa"/>
          </w:tcPr>
          <w:p w14:paraId="4FD308C4" w14:textId="77777777" w:rsidR="00073F8F" w:rsidRPr="001B4A02" w:rsidRDefault="00000000" w:rsidP="00ED48A3">
            <w:pPr>
              <w:pStyle w:val="EMEANormal"/>
              <w:keepNext/>
              <w:tabs>
                <w:tab w:val="clear" w:pos="562"/>
              </w:tabs>
              <w:suppressAutoHyphens w:val="0"/>
              <w:rPr>
                <w:del w:id="6027" w:author="AbbVie1" w:date="2025-05-13T09:50:00Z"/>
                <w:lang w:val="cs-CZ"/>
              </w:rPr>
            </w:pPr>
            <w:del w:id="6028" w:author="AbbVie1" w:date="2025-05-13T09:50:00Z">
              <w:r w:rsidRPr="001B4A02">
                <w:rPr>
                  <w:lang w:val="cs-CZ"/>
                </w:rPr>
                <w:tab/>
                <w:delText>Týden 12</w:delText>
              </w:r>
            </w:del>
          </w:p>
        </w:tc>
        <w:tc>
          <w:tcPr>
            <w:tcW w:w="3070" w:type="dxa"/>
          </w:tcPr>
          <w:p w14:paraId="6E0419EC" w14:textId="77777777" w:rsidR="00073F8F" w:rsidRPr="001B4A02" w:rsidRDefault="00000000" w:rsidP="00ED48A3">
            <w:pPr>
              <w:keepNext/>
              <w:ind w:left="0" w:firstLine="0"/>
              <w:jc w:val="center"/>
              <w:rPr>
                <w:del w:id="6029" w:author="AbbVie1" w:date="2025-05-13T09:50:00Z"/>
                <w:b/>
                <w:bCs/>
              </w:rPr>
            </w:pPr>
            <w:del w:id="6030" w:author="AbbVie1" w:date="2025-05-13T09:50:00Z">
              <w:r w:rsidRPr="001B4A02">
                <w:delText>5</w:delText>
              </w:r>
              <w:r w:rsidR="00F274CD" w:rsidRPr="001B4A02">
                <w:rPr>
                  <w:b/>
                </w:rPr>
                <w:delText> </w:delText>
              </w:r>
              <w:r w:rsidRPr="001B4A02">
                <w:delText>%</w:delText>
              </w:r>
            </w:del>
          </w:p>
        </w:tc>
        <w:tc>
          <w:tcPr>
            <w:tcW w:w="3071" w:type="dxa"/>
          </w:tcPr>
          <w:p w14:paraId="2E6360F5" w14:textId="77777777" w:rsidR="00073F8F" w:rsidRPr="001B4A02" w:rsidRDefault="00000000" w:rsidP="00ED48A3">
            <w:pPr>
              <w:keepNext/>
              <w:ind w:left="0" w:firstLine="0"/>
              <w:jc w:val="center"/>
              <w:rPr>
                <w:del w:id="6031" w:author="AbbVie1" w:date="2025-05-13T09:50:00Z"/>
                <w:b/>
                <w:bCs/>
              </w:rPr>
            </w:pPr>
            <w:del w:id="6032" w:author="AbbVie1" w:date="2025-05-13T09:50:00Z">
              <w:r w:rsidRPr="001B4A02">
                <w:delText>23</w:delText>
              </w:r>
              <w:r w:rsidR="00F274CD" w:rsidRPr="001B4A02">
                <w:rPr>
                  <w:b/>
                </w:rPr>
                <w:delText> </w:delText>
              </w:r>
              <w:r w:rsidRPr="001B4A02">
                <w:delText>%***</w:delText>
              </w:r>
            </w:del>
          </w:p>
        </w:tc>
      </w:tr>
      <w:tr w:rsidR="00534A2D" w14:paraId="0DB7BB05" w14:textId="77777777">
        <w:trPr>
          <w:del w:id="6033" w:author="AbbVie1" w:date="2025-05-13T09:50:00Z"/>
        </w:trPr>
        <w:tc>
          <w:tcPr>
            <w:tcW w:w="3070" w:type="dxa"/>
          </w:tcPr>
          <w:p w14:paraId="3CD4956C" w14:textId="77777777" w:rsidR="00073F8F" w:rsidRPr="001B4A02" w:rsidRDefault="00000000" w:rsidP="00ED48A3">
            <w:pPr>
              <w:pStyle w:val="EMEANormal"/>
              <w:keepNext/>
              <w:tabs>
                <w:tab w:val="clear" w:pos="562"/>
              </w:tabs>
              <w:suppressAutoHyphens w:val="0"/>
              <w:rPr>
                <w:del w:id="6034" w:author="AbbVie1" w:date="2025-05-13T09:50:00Z"/>
                <w:lang w:val="cs-CZ"/>
              </w:rPr>
            </w:pPr>
            <w:del w:id="6035" w:author="AbbVie1" w:date="2025-05-13T09:50:00Z">
              <w:r w:rsidRPr="001B4A02">
                <w:rPr>
                  <w:lang w:val="cs-CZ"/>
                </w:rPr>
                <w:tab/>
                <w:delText>Týden 24</w:delText>
              </w:r>
            </w:del>
          </w:p>
        </w:tc>
        <w:tc>
          <w:tcPr>
            <w:tcW w:w="3070" w:type="dxa"/>
          </w:tcPr>
          <w:p w14:paraId="42753384" w14:textId="77777777" w:rsidR="00073F8F" w:rsidRPr="001B4A02" w:rsidRDefault="00000000" w:rsidP="00ED48A3">
            <w:pPr>
              <w:keepNext/>
              <w:ind w:left="0" w:firstLine="0"/>
              <w:jc w:val="center"/>
              <w:rPr>
                <w:del w:id="6036" w:author="AbbVie1" w:date="2025-05-13T09:50:00Z"/>
                <w:b/>
                <w:bCs/>
              </w:rPr>
            </w:pPr>
            <w:del w:id="6037" w:author="AbbVie1" w:date="2025-05-13T09:50:00Z">
              <w:r w:rsidRPr="001B4A02">
                <w:delText>8</w:delText>
              </w:r>
              <w:r w:rsidR="00F274CD" w:rsidRPr="001B4A02">
                <w:rPr>
                  <w:b/>
                </w:rPr>
                <w:delText> </w:delText>
              </w:r>
              <w:r w:rsidRPr="001B4A02">
                <w:delText>%</w:delText>
              </w:r>
            </w:del>
          </w:p>
        </w:tc>
        <w:tc>
          <w:tcPr>
            <w:tcW w:w="3071" w:type="dxa"/>
          </w:tcPr>
          <w:p w14:paraId="25461C48" w14:textId="77777777" w:rsidR="00073F8F" w:rsidRPr="001B4A02" w:rsidRDefault="00000000" w:rsidP="00ED48A3">
            <w:pPr>
              <w:keepNext/>
              <w:ind w:left="0" w:firstLine="0"/>
              <w:jc w:val="center"/>
              <w:rPr>
                <w:del w:id="6038" w:author="AbbVie1" w:date="2025-05-13T09:50:00Z"/>
                <w:b/>
                <w:bCs/>
              </w:rPr>
            </w:pPr>
            <w:del w:id="6039" w:author="AbbVie1" w:date="2025-05-13T09:50:00Z">
              <w:r w:rsidRPr="001B4A02">
                <w:delText>24</w:delText>
              </w:r>
              <w:r w:rsidR="00F274CD" w:rsidRPr="001B4A02">
                <w:rPr>
                  <w:b/>
                </w:rPr>
                <w:delText> </w:delText>
              </w:r>
              <w:r w:rsidRPr="001B4A02">
                <w:delText>%***</w:delText>
              </w:r>
            </w:del>
          </w:p>
        </w:tc>
      </w:tr>
      <w:tr w:rsidR="00534A2D" w14:paraId="6F89278F" w14:textId="77777777">
        <w:trPr>
          <w:del w:id="6040" w:author="AbbVie1" w:date="2025-05-13T09:50:00Z"/>
        </w:trPr>
        <w:tc>
          <w:tcPr>
            <w:tcW w:w="3070" w:type="dxa"/>
          </w:tcPr>
          <w:p w14:paraId="5C8E5F85" w14:textId="77777777" w:rsidR="00073F8F" w:rsidRPr="001B4A02" w:rsidRDefault="00073F8F" w:rsidP="00ED48A3">
            <w:pPr>
              <w:keepNext/>
              <w:ind w:left="0" w:firstLine="0"/>
              <w:rPr>
                <w:del w:id="6041" w:author="AbbVie1" w:date="2025-05-13T09:50:00Z"/>
              </w:rPr>
            </w:pPr>
          </w:p>
        </w:tc>
        <w:tc>
          <w:tcPr>
            <w:tcW w:w="3070" w:type="dxa"/>
          </w:tcPr>
          <w:p w14:paraId="5CF34DB4" w14:textId="77777777" w:rsidR="00073F8F" w:rsidRPr="001B4A02" w:rsidRDefault="00073F8F" w:rsidP="00ED48A3">
            <w:pPr>
              <w:keepNext/>
              <w:ind w:left="0" w:firstLine="0"/>
              <w:jc w:val="center"/>
              <w:rPr>
                <w:del w:id="6042" w:author="AbbVie1" w:date="2025-05-13T09:50:00Z"/>
                <w:b/>
                <w:bCs/>
              </w:rPr>
            </w:pPr>
          </w:p>
        </w:tc>
        <w:tc>
          <w:tcPr>
            <w:tcW w:w="3071" w:type="dxa"/>
          </w:tcPr>
          <w:p w14:paraId="7CF8CACD" w14:textId="77777777" w:rsidR="00073F8F" w:rsidRPr="001B4A02" w:rsidRDefault="00073F8F" w:rsidP="00ED48A3">
            <w:pPr>
              <w:keepNext/>
              <w:ind w:left="0" w:firstLine="0"/>
              <w:jc w:val="center"/>
              <w:rPr>
                <w:del w:id="6043" w:author="AbbVie1" w:date="2025-05-13T09:50:00Z"/>
                <w:b/>
                <w:bCs/>
              </w:rPr>
            </w:pPr>
          </w:p>
        </w:tc>
      </w:tr>
      <w:tr w:rsidR="00534A2D" w14:paraId="22C4FE5F" w14:textId="77777777">
        <w:trPr>
          <w:del w:id="6044" w:author="AbbVie1" w:date="2025-05-13T09:50:00Z"/>
        </w:trPr>
        <w:tc>
          <w:tcPr>
            <w:tcW w:w="3070" w:type="dxa"/>
          </w:tcPr>
          <w:p w14:paraId="7BBF9A59" w14:textId="77777777" w:rsidR="00073F8F" w:rsidRPr="001B4A02" w:rsidRDefault="00000000" w:rsidP="00ED48A3">
            <w:pPr>
              <w:keepNext/>
              <w:ind w:left="0" w:firstLine="0"/>
              <w:rPr>
                <w:del w:id="6045" w:author="AbbVie1" w:date="2025-05-13T09:50:00Z"/>
              </w:rPr>
            </w:pPr>
            <w:del w:id="6046" w:author="AbbVie1" w:date="2025-05-13T09:50:00Z">
              <w:r w:rsidRPr="001B4A02">
                <w:delText>BASDAI</w:delText>
              </w:r>
              <w:r w:rsidRPr="001B4A02">
                <w:rPr>
                  <w:vertAlign w:val="superscript"/>
                </w:rPr>
                <w:delText>b</w:delText>
              </w:r>
              <w:r w:rsidRPr="001B4A02">
                <w:delText xml:space="preserve"> 50 </w:delText>
              </w:r>
            </w:del>
          </w:p>
        </w:tc>
        <w:tc>
          <w:tcPr>
            <w:tcW w:w="3070" w:type="dxa"/>
          </w:tcPr>
          <w:p w14:paraId="00913CDA" w14:textId="77777777" w:rsidR="00073F8F" w:rsidRPr="001B4A02" w:rsidRDefault="00073F8F" w:rsidP="00ED48A3">
            <w:pPr>
              <w:keepNext/>
              <w:ind w:left="0" w:firstLine="0"/>
              <w:jc w:val="center"/>
              <w:rPr>
                <w:del w:id="6047" w:author="AbbVie1" w:date="2025-05-13T09:50:00Z"/>
                <w:b/>
                <w:bCs/>
              </w:rPr>
            </w:pPr>
          </w:p>
        </w:tc>
        <w:tc>
          <w:tcPr>
            <w:tcW w:w="3071" w:type="dxa"/>
          </w:tcPr>
          <w:p w14:paraId="5ED815B1" w14:textId="77777777" w:rsidR="00073F8F" w:rsidRPr="001B4A02" w:rsidRDefault="00073F8F" w:rsidP="00ED48A3">
            <w:pPr>
              <w:keepNext/>
              <w:ind w:left="0" w:firstLine="0"/>
              <w:jc w:val="center"/>
              <w:rPr>
                <w:del w:id="6048" w:author="AbbVie1" w:date="2025-05-13T09:50:00Z"/>
                <w:b/>
                <w:bCs/>
              </w:rPr>
            </w:pPr>
          </w:p>
        </w:tc>
      </w:tr>
      <w:tr w:rsidR="00534A2D" w14:paraId="607F6754" w14:textId="77777777">
        <w:trPr>
          <w:del w:id="6049" w:author="AbbVie1" w:date="2025-05-13T09:50:00Z"/>
        </w:trPr>
        <w:tc>
          <w:tcPr>
            <w:tcW w:w="3070" w:type="dxa"/>
          </w:tcPr>
          <w:p w14:paraId="7A5F43FF" w14:textId="77777777" w:rsidR="00073F8F" w:rsidRPr="001B4A02" w:rsidRDefault="00000000" w:rsidP="00ED48A3">
            <w:pPr>
              <w:pStyle w:val="EMEANormal"/>
              <w:keepNext/>
              <w:tabs>
                <w:tab w:val="clear" w:pos="562"/>
              </w:tabs>
              <w:suppressAutoHyphens w:val="0"/>
              <w:rPr>
                <w:del w:id="6050" w:author="AbbVie1" w:date="2025-05-13T09:50:00Z"/>
                <w:lang w:val="cs-CZ"/>
              </w:rPr>
            </w:pPr>
            <w:del w:id="6051" w:author="AbbVie1" w:date="2025-05-13T09:50:00Z">
              <w:r w:rsidRPr="001B4A02">
                <w:rPr>
                  <w:lang w:val="cs-CZ"/>
                </w:rPr>
                <w:tab/>
                <w:delText>Týden 2</w:delText>
              </w:r>
            </w:del>
          </w:p>
        </w:tc>
        <w:tc>
          <w:tcPr>
            <w:tcW w:w="3070" w:type="dxa"/>
          </w:tcPr>
          <w:p w14:paraId="33C08466" w14:textId="77777777" w:rsidR="00073F8F" w:rsidRPr="001B4A02" w:rsidRDefault="00000000" w:rsidP="00ED48A3">
            <w:pPr>
              <w:keepNext/>
              <w:ind w:left="0" w:firstLine="0"/>
              <w:jc w:val="center"/>
              <w:rPr>
                <w:del w:id="6052" w:author="AbbVie1" w:date="2025-05-13T09:50:00Z"/>
                <w:b/>
                <w:bCs/>
              </w:rPr>
            </w:pPr>
            <w:del w:id="6053" w:author="AbbVie1" w:date="2025-05-13T09:50:00Z">
              <w:r w:rsidRPr="001B4A02">
                <w:delText>4</w:delText>
              </w:r>
              <w:r w:rsidR="00F274CD" w:rsidRPr="001B4A02">
                <w:rPr>
                  <w:b/>
                </w:rPr>
                <w:delText> </w:delText>
              </w:r>
              <w:r w:rsidRPr="001B4A02">
                <w:delText>%</w:delText>
              </w:r>
            </w:del>
          </w:p>
        </w:tc>
        <w:tc>
          <w:tcPr>
            <w:tcW w:w="3071" w:type="dxa"/>
          </w:tcPr>
          <w:p w14:paraId="7BA41325" w14:textId="77777777" w:rsidR="00073F8F" w:rsidRPr="001B4A02" w:rsidRDefault="00000000" w:rsidP="00ED48A3">
            <w:pPr>
              <w:keepNext/>
              <w:ind w:left="0" w:firstLine="0"/>
              <w:jc w:val="center"/>
              <w:rPr>
                <w:del w:id="6054" w:author="AbbVie1" w:date="2025-05-13T09:50:00Z"/>
                <w:b/>
                <w:bCs/>
              </w:rPr>
            </w:pPr>
            <w:del w:id="6055" w:author="AbbVie1" w:date="2025-05-13T09:50:00Z">
              <w:r w:rsidRPr="001B4A02">
                <w:delText>20</w:delText>
              </w:r>
              <w:r w:rsidR="00F274CD" w:rsidRPr="001B4A02">
                <w:rPr>
                  <w:b/>
                </w:rPr>
                <w:delText> </w:delText>
              </w:r>
              <w:r w:rsidRPr="001B4A02">
                <w:delText>%***</w:delText>
              </w:r>
            </w:del>
          </w:p>
        </w:tc>
      </w:tr>
      <w:tr w:rsidR="00534A2D" w14:paraId="65C241AF" w14:textId="77777777">
        <w:trPr>
          <w:del w:id="6056" w:author="AbbVie1" w:date="2025-05-13T09:50:00Z"/>
        </w:trPr>
        <w:tc>
          <w:tcPr>
            <w:tcW w:w="3070" w:type="dxa"/>
          </w:tcPr>
          <w:p w14:paraId="12ABE925" w14:textId="77777777" w:rsidR="00073F8F" w:rsidRPr="001B4A02" w:rsidRDefault="00000000" w:rsidP="00ED48A3">
            <w:pPr>
              <w:pStyle w:val="EMEANormal"/>
              <w:keepNext/>
              <w:tabs>
                <w:tab w:val="clear" w:pos="562"/>
              </w:tabs>
              <w:suppressAutoHyphens w:val="0"/>
              <w:rPr>
                <w:del w:id="6057" w:author="AbbVie1" w:date="2025-05-13T09:50:00Z"/>
                <w:lang w:val="cs-CZ"/>
              </w:rPr>
            </w:pPr>
            <w:del w:id="6058" w:author="AbbVie1" w:date="2025-05-13T09:50:00Z">
              <w:r w:rsidRPr="001B4A02">
                <w:rPr>
                  <w:lang w:val="cs-CZ"/>
                </w:rPr>
                <w:tab/>
                <w:delText>Týden 12</w:delText>
              </w:r>
            </w:del>
          </w:p>
        </w:tc>
        <w:tc>
          <w:tcPr>
            <w:tcW w:w="3070" w:type="dxa"/>
          </w:tcPr>
          <w:p w14:paraId="681BEBEF" w14:textId="77777777" w:rsidR="00073F8F" w:rsidRPr="001B4A02" w:rsidRDefault="00000000" w:rsidP="00ED48A3">
            <w:pPr>
              <w:keepNext/>
              <w:ind w:left="0" w:firstLine="0"/>
              <w:jc w:val="center"/>
              <w:rPr>
                <w:del w:id="6059" w:author="AbbVie1" w:date="2025-05-13T09:50:00Z"/>
                <w:b/>
                <w:bCs/>
              </w:rPr>
            </w:pPr>
            <w:del w:id="6060" w:author="AbbVie1" w:date="2025-05-13T09:50:00Z">
              <w:r w:rsidRPr="001B4A02">
                <w:delText>16</w:delText>
              </w:r>
              <w:r w:rsidR="00F274CD" w:rsidRPr="001B4A02">
                <w:rPr>
                  <w:b/>
                </w:rPr>
                <w:delText> </w:delText>
              </w:r>
              <w:r w:rsidRPr="001B4A02">
                <w:delText>%</w:delText>
              </w:r>
            </w:del>
          </w:p>
        </w:tc>
        <w:tc>
          <w:tcPr>
            <w:tcW w:w="3071" w:type="dxa"/>
          </w:tcPr>
          <w:p w14:paraId="12371235" w14:textId="77777777" w:rsidR="00073F8F" w:rsidRPr="001B4A02" w:rsidRDefault="00000000" w:rsidP="00ED48A3">
            <w:pPr>
              <w:keepNext/>
              <w:ind w:left="0" w:firstLine="0"/>
              <w:jc w:val="center"/>
              <w:rPr>
                <w:del w:id="6061" w:author="AbbVie1" w:date="2025-05-13T09:50:00Z"/>
                <w:b/>
                <w:bCs/>
              </w:rPr>
            </w:pPr>
            <w:del w:id="6062" w:author="AbbVie1" w:date="2025-05-13T09:50:00Z">
              <w:r w:rsidRPr="001B4A02">
                <w:delText>45</w:delText>
              </w:r>
              <w:r w:rsidR="00F274CD" w:rsidRPr="001B4A02">
                <w:rPr>
                  <w:b/>
                </w:rPr>
                <w:delText> </w:delText>
              </w:r>
              <w:r w:rsidRPr="001B4A02">
                <w:delText>%***</w:delText>
              </w:r>
            </w:del>
          </w:p>
        </w:tc>
      </w:tr>
      <w:tr w:rsidR="00534A2D" w14:paraId="1E7E8AB9" w14:textId="77777777">
        <w:trPr>
          <w:del w:id="6063" w:author="AbbVie1" w:date="2025-05-13T09:50:00Z"/>
        </w:trPr>
        <w:tc>
          <w:tcPr>
            <w:tcW w:w="3070" w:type="dxa"/>
          </w:tcPr>
          <w:p w14:paraId="685ECCE2" w14:textId="77777777" w:rsidR="00073F8F" w:rsidRPr="001B4A02" w:rsidRDefault="00000000" w:rsidP="00ED48A3">
            <w:pPr>
              <w:pStyle w:val="EMEANormal"/>
              <w:keepNext/>
              <w:tabs>
                <w:tab w:val="clear" w:pos="562"/>
              </w:tabs>
              <w:suppressAutoHyphens w:val="0"/>
              <w:rPr>
                <w:del w:id="6064" w:author="AbbVie1" w:date="2025-05-13T09:50:00Z"/>
                <w:lang w:val="cs-CZ"/>
              </w:rPr>
            </w:pPr>
            <w:del w:id="6065" w:author="AbbVie1" w:date="2025-05-13T09:50:00Z">
              <w:r w:rsidRPr="001B4A02">
                <w:rPr>
                  <w:lang w:val="cs-CZ"/>
                </w:rPr>
                <w:tab/>
                <w:delText>Týden 24</w:delText>
              </w:r>
            </w:del>
          </w:p>
        </w:tc>
        <w:tc>
          <w:tcPr>
            <w:tcW w:w="3070" w:type="dxa"/>
          </w:tcPr>
          <w:p w14:paraId="17E6F30A" w14:textId="77777777" w:rsidR="00073F8F" w:rsidRPr="001B4A02" w:rsidRDefault="00000000" w:rsidP="00ED48A3">
            <w:pPr>
              <w:keepNext/>
              <w:ind w:left="0" w:firstLine="0"/>
              <w:jc w:val="center"/>
              <w:rPr>
                <w:del w:id="6066" w:author="AbbVie1" w:date="2025-05-13T09:50:00Z"/>
                <w:b/>
                <w:bCs/>
              </w:rPr>
            </w:pPr>
            <w:del w:id="6067" w:author="AbbVie1" w:date="2025-05-13T09:50:00Z">
              <w:r w:rsidRPr="001B4A02">
                <w:delText>15</w:delText>
              </w:r>
              <w:r w:rsidR="00F274CD" w:rsidRPr="001B4A02">
                <w:rPr>
                  <w:b/>
                </w:rPr>
                <w:delText> </w:delText>
              </w:r>
              <w:r w:rsidRPr="001B4A02">
                <w:delText>%</w:delText>
              </w:r>
            </w:del>
          </w:p>
        </w:tc>
        <w:tc>
          <w:tcPr>
            <w:tcW w:w="3071" w:type="dxa"/>
          </w:tcPr>
          <w:p w14:paraId="1206808E" w14:textId="77777777" w:rsidR="00073F8F" w:rsidRPr="001B4A02" w:rsidRDefault="00000000" w:rsidP="00ED48A3">
            <w:pPr>
              <w:keepNext/>
              <w:ind w:left="0" w:firstLine="0"/>
              <w:jc w:val="center"/>
              <w:rPr>
                <w:del w:id="6068" w:author="AbbVie1" w:date="2025-05-13T09:50:00Z"/>
                <w:b/>
                <w:bCs/>
              </w:rPr>
            </w:pPr>
            <w:del w:id="6069" w:author="AbbVie1" w:date="2025-05-13T09:50:00Z">
              <w:r w:rsidRPr="001B4A02">
                <w:delText>42</w:delText>
              </w:r>
              <w:r w:rsidR="00F274CD" w:rsidRPr="001B4A02">
                <w:rPr>
                  <w:b/>
                </w:rPr>
                <w:delText> </w:delText>
              </w:r>
              <w:r w:rsidRPr="001B4A02">
                <w:delText>%***</w:delText>
              </w:r>
            </w:del>
          </w:p>
        </w:tc>
      </w:tr>
    </w:tbl>
    <w:p w14:paraId="779CAB74" w14:textId="77777777" w:rsidR="00073F8F" w:rsidRPr="001B4A02" w:rsidRDefault="00000000" w:rsidP="00ED48A3">
      <w:pPr>
        <w:keepNext/>
        <w:ind w:left="0" w:firstLine="0"/>
        <w:rPr>
          <w:del w:id="6070" w:author="AbbVie1" w:date="2025-05-13T09:50:00Z"/>
          <w:sz w:val="20"/>
        </w:rPr>
      </w:pPr>
      <w:del w:id="6071" w:author="AbbVie1" w:date="2025-05-13T09:50:00Z">
        <w:r w:rsidRPr="001B4A02">
          <w:rPr>
            <w:rFonts w:ascii="Symbol" w:hAnsi="Symbol"/>
            <w:sz w:val="20"/>
          </w:rPr>
          <w:sym w:font="Symbol" w:char="F02A"/>
        </w:r>
        <w:r w:rsidRPr="001B4A02">
          <w:rPr>
            <w:rFonts w:ascii="Symbol" w:hAnsi="Symbol"/>
            <w:sz w:val="20"/>
          </w:rPr>
          <w:sym w:font="Symbol" w:char="F02A"/>
        </w:r>
        <w:r w:rsidRPr="001B4A02">
          <w:rPr>
            <w:rFonts w:ascii="Symbol" w:hAnsi="Symbol"/>
            <w:sz w:val="20"/>
          </w:rPr>
          <w:sym w:font="Symbol" w:char="F02A"/>
        </w:r>
        <w:r w:rsidRPr="001B4A02">
          <w:rPr>
            <w:sz w:val="20"/>
          </w:rPr>
          <w:delText xml:space="preserve">, </w:delText>
        </w:r>
        <w:r w:rsidRPr="001B4A02">
          <w:rPr>
            <w:rFonts w:ascii="Symbol" w:hAnsi="Symbol"/>
            <w:sz w:val="20"/>
          </w:rPr>
          <w:sym w:font="Symbol" w:char="F02A"/>
        </w:r>
        <w:r w:rsidRPr="001B4A02">
          <w:rPr>
            <w:rFonts w:ascii="Symbol" w:hAnsi="Symbol"/>
            <w:sz w:val="20"/>
          </w:rPr>
          <w:sym w:font="Symbol" w:char="F02A"/>
        </w:r>
        <w:r w:rsidR="00062315" w:rsidRPr="001B4A02">
          <w:rPr>
            <w:sz w:val="20"/>
          </w:rPr>
          <w:delText xml:space="preserve"> </w:delText>
        </w:r>
        <w:r w:rsidRPr="001B4A02">
          <w:rPr>
            <w:sz w:val="20"/>
          </w:rPr>
          <w:delText>Statisticky signifikantní při p</w:delText>
        </w:r>
        <w:r w:rsidR="009B56B1" w:rsidRPr="001B4A02">
          <w:rPr>
            <w:rFonts w:ascii="Symbol" w:hAnsi="Symbol"/>
            <w:sz w:val="20"/>
          </w:rPr>
          <w:sym w:font="Symbol" w:char="F03C"/>
        </w:r>
        <w:r w:rsidRPr="001B4A02">
          <w:rPr>
            <w:sz w:val="20"/>
          </w:rPr>
          <w:delText xml:space="preserve">0,001, </w:delText>
        </w:r>
        <w:r w:rsidR="009B56B1" w:rsidRPr="001B4A02">
          <w:rPr>
            <w:rFonts w:ascii="Symbol" w:hAnsi="Symbol"/>
            <w:sz w:val="20"/>
          </w:rPr>
          <w:sym w:font="Symbol" w:char="F03C"/>
        </w:r>
        <w:r w:rsidRPr="001B4A02">
          <w:rPr>
            <w:sz w:val="20"/>
          </w:rPr>
          <w:delText>0,01 pro všechna srovnání mezi přípravkem Humira</w:delText>
        </w:r>
        <w:r w:rsidR="002378E0">
          <w:rPr>
            <w:sz w:val="20"/>
          </w:rPr>
          <w:delText xml:space="preserve"> a </w:delText>
        </w:r>
        <w:r w:rsidRPr="001B4A02">
          <w:rPr>
            <w:sz w:val="20"/>
          </w:rPr>
          <w:delText>placebem v</w:delText>
        </w:r>
        <w:r w:rsidR="00B176EA" w:rsidRPr="001B4A02">
          <w:rPr>
            <w:sz w:val="20"/>
          </w:rPr>
          <w:delText> </w:delText>
        </w:r>
        <w:r w:rsidRPr="001B4A02">
          <w:rPr>
            <w:sz w:val="20"/>
          </w:rPr>
          <w:delText>týdnech 2, 12</w:delText>
        </w:r>
        <w:r w:rsidR="002378E0">
          <w:rPr>
            <w:sz w:val="20"/>
          </w:rPr>
          <w:delText xml:space="preserve"> a </w:delText>
        </w:r>
        <w:r w:rsidRPr="001B4A02">
          <w:rPr>
            <w:sz w:val="20"/>
          </w:rPr>
          <w:delText>24</w:delText>
        </w:r>
      </w:del>
    </w:p>
    <w:p w14:paraId="506A6F96" w14:textId="77777777" w:rsidR="00073F8F" w:rsidRPr="001B4A02" w:rsidRDefault="00000000" w:rsidP="00ED48A3">
      <w:pPr>
        <w:keepNext/>
        <w:ind w:left="0" w:firstLine="0"/>
        <w:rPr>
          <w:del w:id="6072" w:author="AbbVie1" w:date="2025-05-13T09:50:00Z"/>
          <w:sz w:val="20"/>
        </w:rPr>
      </w:pPr>
      <w:del w:id="6073" w:author="AbbVie1" w:date="2025-05-13T09:50:00Z">
        <w:r w:rsidRPr="001B4A02">
          <w:rPr>
            <w:sz w:val="20"/>
            <w:vertAlign w:val="superscript"/>
          </w:rPr>
          <w:delText>a</w:delText>
        </w:r>
        <w:r w:rsidRPr="001B4A02">
          <w:rPr>
            <w:sz w:val="20"/>
          </w:rPr>
          <w:delText xml:space="preserve"> </w:delText>
        </w:r>
        <w:r w:rsidR="0002144B" w:rsidRPr="001B4A02">
          <w:rPr>
            <w:sz w:val="20"/>
          </w:rPr>
          <w:delText xml:space="preserve">Stanovení </w:delText>
        </w:r>
        <w:r w:rsidRPr="001B4A02">
          <w:rPr>
            <w:sz w:val="20"/>
          </w:rPr>
          <w:delText>stupně ankylozující spondylitidy (A</w:delText>
        </w:r>
        <w:r w:rsidR="00717647" w:rsidRPr="001B4A02">
          <w:rPr>
            <w:sz w:val="20"/>
          </w:rPr>
          <w:delText>s</w:delText>
        </w:r>
        <w:r w:rsidRPr="001B4A02">
          <w:rPr>
            <w:sz w:val="20"/>
          </w:rPr>
          <w:delText>sessments in Ankylosing Spondylitis)</w:delText>
        </w:r>
      </w:del>
    </w:p>
    <w:p w14:paraId="1E479D71" w14:textId="77777777" w:rsidR="00073F8F" w:rsidRPr="001B4A02" w:rsidRDefault="00000000" w:rsidP="00ED48A3">
      <w:pPr>
        <w:keepNext/>
        <w:ind w:left="0" w:firstLine="0"/>
        <w:rPr>
          <w:del w:id="6074" w:author="AbbVie1" w:date="2025-05-13T09:50:00Z"/>
          <w:vertAlign w:val="superscript"/>
        </w:rPr>
      </w:pPr>
      <w:del w:id="6075" w:author="AbbVie1" w:date="2025-05-13T09:50:00Z">
        <w:r w:rsidRPr="001B4A02">
          <w:rPr>
            <w:sz w:val="20"/>
            <w:vertAlign w:val="superscript"/>
          </w:rPr>
          <w:delText>b</w:delText>
        </w:r>
        <w:r w:rsidRPr="001B4A02">
          <w:rPr>
            <w:sz w:val="20"/>
          </w:rPr>
          <w:delText xml:space="preserve"> Bath Ankylosing Spondylitis Disease Activity Index</w:delText>
        </w:r>
        <w:r w:rsidRPr="001B4A02">
          <w:rPr>
            <w:sz w:val="20"/>
            <w:vertAlign w:val="superscript"/>
          </w:rPr>
          <w:delText xml:space="preserve"> </w:delText>
        </w:r>
      </w:del>
    </w:p>
    <w:p w14:paraId="3C6FCA9F" w14:textId="77777777" w:rsidR="00073F8F" w:rsidRPr="001B4A02" w:rsidRDefault="00073F8F" w:rsidP="00ED48A3">
      <w:pPr>
        <w:pStyle w:val="EMEANormal"/>
        <w:tabs>
          <w:tab w:val="clear" w:pos="562"/>
        </w:tabs>
        <w:suppressAutoHyphens w:val="0"/>
        <w:rPr>
          <w:del w:id="6076" w:author="AbbVie1" w:date="2025-05-13T09:50:00Z"/>
          <w:lang w:val="cs-CZ"/>
        </w:rPr>
      </w:pPr>
    </w:p>
    <w:p w14:paraId="27BD160C" w14:textId="77777777" w:rsidR="00073F8F" w:rsidRPr="001B4A02" w:rsidRDefault="00000000" w:rsidP="00ED48A3">
      <w:pPr>
        <w:pStyle w:val="EMEANormal"/>
        <w:tabs>
          <w:tab w:val="clear" w:pos="562"/>
        </w:tabs>
        <w:suppressAutoHyphens w:val="0"/>
        <w:rPr>
          <w:del w:id="6077" w:author="AbbVie1" w:date="2025-05-13T09:50:00Z"/>
          <w:lang w:val="cs-CZ"/>
        </w:rPr>
      </w:pPr>
      <w:del w:id="6078" w:author="AbbVie1" w:date="2025-05-13T09:50:00Z">
        <w:r w:rsidRPr="001B4A02">
          <w:rPr>
            <w:lang w:val="cs-CZ"/>
          </w:rPr>
          <w:delText>Pacienti léčeni přípravkem Humira vykazovali signifikantně významnější zlepšení v týdnu 12, které přetrvávalo až do týdne 24</w:delText>
        </w:r>
        <w:r w:rsidR="00B176EA" w:rsidRPr="001B4A02">
          <w:rPr>
            <w:lang w:val="cs-CZ"/>
          </w:rPr>
          <w:delText>,</w:delText>
        </w:r>
        <w:r w:rsidR="002378E0">
          <w:rPr>
            <w:lang w:val="cs-CZ"/>
          </w:rPr>
          <w:delText xml:space="preserve"> a </w:delText>
        </w:r>
        <w:r w:rsidRPr="001B4A02">
          <w:rPr>
            <w:lang w:val="cs-CZ"/>
          </w:rPr>
          <w:delText>to v</w:delText>
        </w:r>
        <w:r w:rsidR="00B176EA" w:rsidRPr="001B4A02">
          <w:rPr>
            <w:lang w:val="cs-CZ"/>
          </w:rPr>
          <w:delText> </w:delText>
        </w:r>
        <w:r w:rsidRPr="001B4A02">
          <w:rPr>
            <w:lang w:val="cs-CZ"/>
          </w:rPr>
          <w:delText>obou dotaznících SF36 i v</w:delText>
        </w:r>
        <w:r w:rsidR="00B176EA" w:rsidRPr="001B4A02">
          <w:rPr>
            <w:lang w:val="cs-CZ"/>
          </w:rPr>
          <w:delText> </w:delText>
        </w:r>
        <w:r w:rsidRPr="001B4A02">
          <w:rPr>
            <w:lang w:val="cs-CZ"/>
          </w:rPr>
          <w:delText xml:space="preserve">ASQoL (Ankylosing Spondylitis Quality of Life Questionnaire </w:delText>
        </w:r>
        <w:r w:rsidR="006D1214" w:rsidRPr="001B4A02">
          <w:rPr>
            <w:lang w:val="cs-CZ"/>
          </w:rPr>
          <w:delText>–</w:delText>
        </w:r>
        <w:r w:rsidRPr="001B4A02">
          <w:rPr>
            <w:lang w:val="cs-CZ"/>
          </w:rPr>
          <w:delText xml:space="preserve"> dotazník kvality života pacientů s</w:delText>
        </w:r>
        <w:r w:rsidR="00B176EA" w:rsidRPr="001B4A02">
          <w:rPr>
            <w:lang w:val="cs-CZ"/>
          </w:rPr>
          <w:delText> </w:delText>
        </w:r>
        <w:r w:rsidRPr="001B4A02">
          <w:rPr>
            <w:lang w:val="cs-CZ"/>
          </w:rPr>
          <w:delText>ankylozující spondylitidou).</w:delText>
        </w:r>
      </w:del>
    </w:p>
    <w:p w14:paraId="1C038D7F" w14:textId="77777777" w:rsidR="00073F8F" w:rsidRPr="001B4A02" w:rsidRDefault="00073F8F" w:rsidP="00ED48A3">
      <w:pPr>
        <w:pStyle w:val="EMEANormal"/>
        <w:tabs>
          <w:tab w:val="clear" w:pos="562"/>
        </w:tabs>
        <w:suppressAutoHyphens w:val="0"/>
        <w:rPr>
          <w:del w:id="6079" w:author="AbbVie1" w:date="2025-05-13T09:50:00Z"/>
          <w:lang w:val="cs-CZ"/>
        </w:rPr>
      </w:pPr>
    </w:p>
    <w:p w14:paraId="4F581162" w14:textId="77777777" w:rsidR="00073F8F" w:rsidRPr="001B4A02" w:rsidRDefault="00000000" w:rsidP="00ED48A3">
      <w:pPr>
        <w:ind w:left="0" w:firstLine="0"/>
        <w:rPr>
          <w:del w:id="6080" w:author="AbbVie1" w:date="2025-05-13T09:50:00Z"/>
        </w:rPr>
      </w:pPr>
      <w:del w:id="6081" w:author="AbbVie1" w:date="2025-05-13T09:50:00Z">
        <w:r w:rsidRPr="001B4A02">
          <w:delText>Obdobné tendence (ne všechny statisticky signifikantní) byly pozorovány v</w:delText>
        </w:r>
        <w:r w:rsidR="00B176EA" w:rsidRPr="001B4A02">
          <w:delText> </w:delText>
        </w:r>
        <w:r w:rsidRPr="001B4A02">
          <w:delText>menší randomizované, dvojitě zaslepené, placebem kontrolované studii AS u</w:delText>
        </w:r>
        <w:r w:rsidR="00B176EA" w:rsidRPr="001B4A02">
          <w:delText> </w:delText>
        </w:r>
        <w:r w:rsidRPr="001B4A02">
          <w:delText>82 dospělých pacientů s aktivní ankylozující spondylitidou.</w:delText>
        </w:r>
      </w:del>
    </w:p>
    <w:p w14:paraId="009FCB0D" w14:textId="77777777" w:rsidR="00EC61F9" w:rsidRPr="001B4A02" w:rsidRDefault="00EC61F9" w:rsidP="00ED48A3">
      <w:pPr>
        <w:pStyle w:val="EMEANormal"/>
        <w:rPr>
          <w:del w:id="6082" w:author="AbbVie1" w:date="2025-05-13T09:50:00Z"/>
          <w:highlight w:val="green"/>
          <w:lang w:val="cs-CZ"/>
        </w:rPr>
      </w:pPr>
    </w:p>
    <w:p w14:paraId="0D3D5B29" w14:textId="77777777" w:rsidR="00EC61F9" w:rsidRPr="001B4A02" w:rsidRDefault="00000000" w:rsidP="00CE5DAE">
      <w:pPr>
        <w:pStyle w:val="EMEANormal"/>
        <w:keepNext/>
        <w:rPr>
          <w:del w:id="6083" w:author="AbbVie1" w:date="2025-05-13T09:50:00Z"/>
          <w:i/>
          <w:u w:val="single"/>
          <w:lang w:val="cs-CZ"/>
        </w:rPr>
      </w:pPr>
      <w:del w:id="6084" w:author="AbbVie1" w:date="2025-05-13T09:50:00Z">
        <w:r w:rsidRPr="001B4A02">
          <w:rPr>
            <w:i/>
            <w:u w:val="single"/>
            <w:lang w:val="cs-CZ"/>
          </w:rPr>
          <w:delText>Axiální spondylartritida bez radiologického průkazu AS</w:delText>
        </w:r>
      </w:del>
    </w:p>
    <w:p w14:paraId="05DEF889" w14:textId="77777777" w:rsidR="00EC61F9" w:rsidRPr="001B4A02" w:rsidRDefault="00EC61F9" w:rsidP="00CE5DAE">
      <w:pPr>
        <w:pStyle w:val="EMEANormal"/>
        <w:keepNext/>
        <w:rPr>
          <w:del w:id="6085" w:author="AbbVie1" w:date="2025-05-13T09:50:00Z"/>
          <w:lang w:val="cs-CZ"/>
        </w:rPr>
      </w:pPr>
    </w:p>
    <w:p w14:paraId="55F14712" w14:textId="77777777" w:rsidR="00D41811" w:rsidRDefault="00000000" w:rsidP="00D41811">
      <w:pPr>
        <w:pStyle w:val="EMEANormal"/>
        <w:rPr>
          <w:del w:id="6086" w:author="AbbVie1" w:date="2025-05-13T09:50:00Z"/>
          <w:szCs w:val="22"/>
          <w:lang w:val="cs-CZ"/>
        </w:rPr>
      </w:pPr>
      <w:del w:id="6087" w:author="AbbVie1" w:date="2025-05-13T09:50:00Z">
        <w:r>
          <w:rPr>
            <w:szCs w:val="22"/>
            <w:lang w:val="cs-CZ"/>
          </w:rPr>
          <w:delText>Bezpečnost</w:delText>
        </w:r>
        <w:r w:rsidR="002378E0">
          <w:rPr>
            <w:szCs w:val="22"/>
            <w:lang w:val="cs-CZ"/>
          </w:rPr>
          <w:delText xml:space="preserve"> a </w:delText>
        </w:r>
        <w:r>
          <w:rPr>
            <w:szCs w:val="22"/>
            <w:lang w:val="cs-CZ"/>
          </w:rPr>
          <w:delText>účinnost přípravku Humira byla hodnocena ve dvou randomizovaných, dvojitě zaslepených, placebem kontrolovaných studiích u</w:delText>
        </w:r>
        <w:r w:rsidR="004B4C5D">
          <w:rPr>
            <w:szCs w:val="22"/>
            <w:lang w:val="cs-CZ"/>
          </w:rPr>
          <w:delText> </w:delText>
        </w:r>
        <w:r>
          <w:rPr>
            <w:szCs w:val="22"/>
            <w:lang w:val="cs-CZ"/>
          </w:rPr>
          <w:delText xml:space="preserve">pacientů s axiální spondylartritidou bez radiologického průkazu (nr-axSpA). Studie </w:delText>
        </w:r>
        <w:r w:rsidR="000C5AAF">
          <w:rPr>
            <w:szCs w:val="22"/>
            <w:lang w:val="cs-CZ"/>
          </w:rPr>
          <w:delText>n</w:delText>
        </w:r>
        <w:r>
          <w:rPr>
            <w:szCs w:val="22"/>
            <w:lang w:val="cs-CZ"/>
          </w:rPr>
          <w:delText>r-</w:delText>
        </w:r>
        <w:r w:rsidR="000C5AAF">
          <w:rPr>
            <w:szCs w:val="22"/>
            <w:lang w:val="cs-CZ"/>
          </w:rPr>
          <w:delText>a</w:delText>
        </w:r>
        <w:r>
          <w:rPr>
            <w:szCs w:val="22"/>
            <w:lang w:val="cs-CZ"/>
          </w:rPr>
          <w:delText>xSpA I hodnotila pacienty</w:delText>
        </w:r>
        <w:r w:rsidR="000C5AAF">
          <w:rPr>
            <w:szCs w:val="22"/>
            <w:lang w:val="cs-CZ"/>
          </w:rPr>
          <w:delText xml:space="preserve"> s aktivní nr-axSpA.</w:delText>
        </w:r>
        <w:r>
          <w:rPr>
            <w:szCs w:val="22"/>
            <w:lang w:val="cs-CZ"/>
          </w:rPr>
          <w:delText xml:space="preserve"> Studie nr-axSpA II byla studie s vysazením léčby u</w:delText>
        </w:r>
        <w:r w:rsidR="00A75150">
          <w:rPr>
            <w:szCs w:val="22"/>
            <w:lang w:val="cs-CZ"/>
          </w:rPr>
          <w:delText> </w:delText>
        </w:r>
        <w:r>
          <w:rPr>
            <w:szCs w:val="22"/>
            <w:lang w:val="cs-CZ"/>
          </w:rPr>
          <w:delText>pacientů s aktivní nr-axSpA, kteří dosáhli remise během otevřené léčby přípravkem Humira.</w:delText>
        </w:r>
      </w:del>
    </w:p>
    <w:p w14:paraId="24404E93" w14:textId="77777777" w:rsidR="00D41811" w:rsidRDefault="00D41811" w:rsidP="00D41811">
      <w:pPr>
        <w:pStyle w:val="EMEANormal"/>
        <w:rPr>
          <w:del w:id="6088" w:author="AbbVie1" w:date="2025-05-13T09:50:00Z"/>
          <w:szCs w:val="22"/>
          <w:lang w:val="cs-CZ"/>
        </w:rPr>
      </w:pPr>
    </w:p>
    <w:p w14:paraId="52133511" w14:textId="77777777" w:rsidR="00D41811" w:rsidRDefault="00000000" w:rsidP="00A05B57">
      <w:pPr>
        <w:pStyle w:val="EMEANormal"/>
        <w:keepNext/>
        <w:rPr>
          <w:del w:id="6089" w:author="AbbVie1" w:date="2025-05-13T09:50:00Z"/>
          <w:szCs w:val="22"/>
          <w:lang w:val="cs-CZ"/>
        </w:rPr>
      </w:pPr>
      <w:del w:id="6090" w:author="AbbVie1" w:date="2025-05-13T09:50:00Z">
        <w:r>
          <w:rPr>
            <w:szCs w:val="22"/>
            <w:lang w:val="cs-CZ"/>
          </w:rPr>
          <w:delText>Studie nr-axSpA I</w:delText>
        </w:r>
      </w:del>
    </w:p>
    <w:p w14:paraId="45E7BAF2" w14:textId="77777777" w:rsidR="000C5AAF" w:rsidRDefault="000C5AAF" w:rsidP="00A05B57">
      <w:pPr>
        <w:pStyle w:val="EMEANormal"/>
        <w:keepNext/>
        <w:rPr>
          <w:del w:id="6091" w:author="AbbVie1" w:date="2025-05-13T09:50:00Z"/>
          <w:lang w:val="cs-CZ"/>
        </w:rPr>
      </w:pPr>
    </w:p>
    <w:p w14:paraId="65FBB3B9" w14:textId="77777777" w:rsidR="001D3D7D" w:rsidRPr="001B4A02" w:rsidRDefault="00000000" w:rsidP="00ED48A3">
      <w:pPr>
        <w:pStyle w:val="EMEANormal"/>
        <w:rPr>
          <w:del w:id="6092" w:author="AbbVie1" w:date="2025-05-13T09:50:00Z"/>
          <w:lang w:val="cs-CZ"/>
        </w:rPr>
      </w:pPr>
      <w:del w:id="6093" w:author="AbbVie1" w:date="2025-05-13T09:50:00Z">
        <w:r>
          <w:rPr>
            <w:lang w:val="cs-CZ"/>
          </w:rPr>
          <w:delText>Ve studii nr-axSpA I byl p</w:delText>
        </w:r>
        <w:r w:rsidR="00EC61F9" w:rsidRPr="001B4A02">
          <w:rPr>
            <w:lang w:val="cs-CZ"/>
          </w:rPr>
          <w:delText>řípravek Humira v</w:delText>
        </w:r>
        <w:r w:rsidR="00B176EA" w:rsidRPr="001B4A02">
          <w:rPr>
            <w:lang w:val="cs-CZ"/>
          </w:rPr>
          <w:delText> </w:delText>
        </w:r>
        <w:r w:rsidR="00EC61F9" w:rsidRPr="001B4A02">
          <w:rPr>
            <w:lang w:val="cs-CZ"/>
          </w:rPr>
          <w:delText>dávce 40</w:delText>
        </w:r>
        <w:r w:rsidR="00294902">
          <w:rPr>
            <w:lang w:val="cs-CZ"/>
          </w:rPr>
          <w:delText> mg</w:delText>
        </w:r>
        <w:r w:rsidR="00EC61F9" w:rsidRPr="001B4A02">
          <w:rPr>
            <w:lang w:val="cs-CZ"/>
          </w:rPr>
          <w:delText xml:space="preserve"> každý druhý týden hodnocen u</w:delText>
        </w:r>
        <w:r w:rsidR="00B176EA" w:rsidRPr="001B4A02">
          <w:rPr>
            <w:lang w:val="cs-CZ"/>
          </w:rPr>
          <w:delText> </w:delText>
        </w:r>
        <w:r w:rsidR="00EC61F9" w:rsidRPr="001B4A02">
          <w:rPr>
            <w:lang w:val="cs-CZ"/>
          </w:rPr>
          <w:delText>185 pacientů v</w:delText>
        </w:r>
        <w:r w:rsidR="00C318F8">
          <w:rPr>
            <w:lang w:val="cs-CZ"/>
          </w:rPr>
          <w:delText>e</w:delText>
        </w:r>
        <w:r w:rsidR="00B176EA" w:rsidRPr="001B4A02">
          <w:rPr>
            <w:lang w:val="cs-CZ"/>
          </w:rPr>
          <w:delText> </w:delText>
        </w:r>
        <w:r w:rsidR="00EC61F9" w:rsidRPr="001B4A02">
          <w:rPr>
            <w:lang w:val="cs-CZ"/>
          </w:rPr>
          <w:delText>12 týdnů trvající randomizované, dvojitě zaslepené, placebem kontrolované studi</w:delText>
        </w:r>
        <w:r w:rsidRPr="001B4A02">
          <w:rPr>
            <w:lang w:val="cs-CZ"/>
          </w:rPr>
          <w:delText>i u</w:delText>
        </w:r>
        <w:r w:rsidR="00B176EA" w:rsidRPr="001B4A02">
          <w:rPr>
            <w:lang w:val="cs-CZ"/>
          </w:rPr>
          <w:delText> </w:delText>
        </w:r>
        <w:r w:rsidRPr="001B4A02">
          <w:rPr>
            <w:lang w:val="cs-CZ"/>
          </w:rPr>
          <w:delText>pacientů</w:delText>
        </w:r>
        <w:r w:rsidR="00EC61F9" w:rsidRPr="001B4A02">
          <w:rPr>
            <w:lang w:val="cs-CZ"/>
          </w:rPr>
          <w:delText xml:space="preserve"> s</w:delText>
        </w:r>
        <w:r w:rsidR="00B176EA" w:rsidRPr="001B4A02">
          <w:rPr>
            <w:lang w:val="cs-CZ"/>
          </w:rPr>
          <w:delText> </w:delText>
        </w:r>
        <w:r w:rsidR="00EC61F9" w:rsidRPr="001B4A02">
          <w:rPr>
            <w:lang w:val="cs-CZ"/>
          </w:rPr>
          <w:delText xml:space="preserve">aktivní </w:delText>
        </w:r>
        <w:r>
          <w:rPr>
            <w:lang w:val="cs-CZ"/>
          </w:rPr>
          <w:delText>nr-axSpA</w:delText>
        </w:r>
        <w:r w:rsidR="00EC61F9" w:rsidRPr="001B4A02">
          <w:rPr>
            <w:lang w:val="cs-CZ"/>
          </w:rPr>
          <w:delText xml:space="preserve"> (průměrné výchozí skóre aktivity choroby [Bath Ankylosis Spondylitis Disease Activity Index (BASDAI)] bylo 6,4 u</w:delText>
        </w:r>
        <w:r w:rsidR="00B176EA" w:rsidRPr="001B4A02">
          <w:rPr>
            <w:lang w:val="cs-CZ"/>
          </w:rPr>
          <w:delText> </w:delText>
        </w:r>
        <w:r w:rsidR="00EC61F9" w:rsidRPr="001B4A02">
          <w:rPr>
            <w:lang w:val="cs-CZ"/>
          </w:rPr>
          <w:delText>pacientů léčených přípravkem Humira</w:delText>
        </w:r>
        <w:r w:rsidR="002378E0">
          <w:rPr>
            <w:lang w:val="cs-CZ"/>
          </w:rPr>
          <w:delText xml:space="preserve"> a </w:delText>
        </w:r>
        <w:r w:rsidR="00EC61F9" w:rsidRPr="001B4A02">
          <w:rPr>
            <w:lang w:val="cs-CZ"/>
          </w:rPr>
          <w:delText>6,5 u</w:delText>
        </w:r>
        <w:r w:rsidR="00B176EA" w:rsidRPr="001B4A02">
          <w:rPr>
            <w:lang w:val="cs-CZ"/>
          </w:rPr>
          <w:delText> </w:delText>
        </w:r>
        <w:r w:rsidR="00EC61F9" w:rsidRPr="001B4A02">
          <w:rPr>
            <w:lang w:val="cs-CZ"/>
          </w:rPr>
          <w:delText xml:space="preserve">pacientů na placebu), kteří nedosáhli dostatečné odpovědi </w:delText>
        </w:r>
        <w:r w:rsidRPr="001B4A02">
          <w:rPr>
            <w:lang w:val="cs-CZ"/>
          </w:rPr>
          <w:delText xml:space="preserve">nebo </w:delText>
        </w:r>
        <w:r w:rsidR="00411984" w:rsidRPr="001B4A02">
          <w:rPr>
            <w:lang w:val="cs-CZ"/>
          </w:rPr>
          <w:delText>net</w:delText>
        </w:r>
        <w:r w:rsidRPr="001B4A02">
          <w:rPr>
            <w:lang w:val="cs-CZ"/>
          </w:rPr>
          <w:delText>oler</w:delText>
        </w:r>
        <w:r w:rsidR="00411984" w:rsidRPr="001B4A02">
          <w:rPr>
            <w:lang w:val="cs-CZ"/>
          </w:rPr>
          <w:delText>ov</w:delText>
        </w:r>
        <w:r w:rsidRPr="001B4A02">
          <w:rPr>
            <w:lang w:val="cs-CZ"/>
          </w:rPr>
          <w:delText>a</w:delText>
        </w:r>
        <w:r w:rsidR="00411984" w:rsidRPr="001B4A02">
          <w:rPr>
            <w:lang w:val="cs-CZ"/>
          </w:rPr>
          <w:delText>li</w:delText>
        </w:r>
        <w:r w:rsidRPr="001B4A02">
          <w:rPr>
            <w:lang w:val="cs-CZ"/>
          </w:rPr>
          <w:delText xml:space="preserve"> </w:delText>
        </w:r>
        <w:r w:rsidRPr="001B4A02">
          <w:rPr>
            <w:rFonts w:ascii="Symbol" w:hAnsi="Symbol"/>
            <w:lang w:val="cs-CZ"/>
          </w:rPr>
          <w:sym w:font="Symbol" w:char="F0B3"/>
        </w:r>
        <w:r w:rsidRPr="001B4A02">
          <w:rPr>
            <w:lang w:val="cs-CZ"/>
          </w:rPr>
          <w:delText xml:space="preserve"> 1 </w:delText>
        </w:r>
        <w:r w:rsidR="00EC61F9" w:rsidRPr="001B4A02">
          <w:rPr>
            <w:lang w:val="cs-CZ"/>
          </w:rPr>
          <w:delText xml:space="preserve">NSAID nebo </w:delText>
        </w:r>
        <w:r w:rsidRPr="001B4A02">
          <w:rPr>
            <w:lang w:val="cs-CZ"/>
          </w:rPr>
          <w:delText>jsou u</w:delText>
        </w:r>
        <w:r w:rsidR="00B176EA" w:rsidRPr="001B4A02">
          <w:rPr>
            <w:lang w:val="cs-CZ"/>
          </w:rPr>
          <w:delText> </w:delText>
        </w:r>
        <w:r w:rsidRPr="001B4A02">
          <w:rPr>
            <w:lang w:val="cs-CZ"/>
          </w:rPr>
          <w:delText xml:space="preserve">nich NSAIDs kontraindikovány. </w:delText>
        </w:r>
      </w:del>
    </w:p>
    <w:p w14:paraId="042AA9EF" w14:textId="77777777" w:rsidR="007014FD" w:rsidRPr="001B4A02" w:rsidRDefault="007014FD" w:rsidP="00ED48A3">
      <w:pPr>
        <w:pStyle w:val="EMEANormal"/>
        <w:rPr>
          <w:del w:id="6094" w:author="AbbVie1" w:date="2025-05-13T09:50:00Z"/>
          <w:lang w:val="cs-CZ"/>
        </w:rPr>
      </w:pPr>
    </w:p>
    <w:p w14:paraId="73C5F49C" w14:textId="77777777" w:rsidR="00EC61F9" w:rsidRPr="001B4A02" w:rsidRDefault="00000000" w:rsidP="00ED48A3">
      <w:pPr>
        <w:pStyle w:val="EMEANormal"/>
        <w:rPr>
          <w:del w:id="6095" w:author="AbbVie1" w:date="2025-05-13T09:50:00Z"/>
          <w:highlight w:val="green"/>
          <w:lang w:val="cs-CZ"/>
        </w:rPr>
      </w:pPr>
      <w:del w:id="6096" w:author="AbbVie1" w:date="2025-05-13T09:50:00Z">
        <w:r w:rsidRPr="001B4A02">
          <w:rPr>
            <w:lang w:val="cs-CZ"/>
          </w:rPr>
          <w:delText>Ve výchozím stavu bylo t</w:delText>
        </w:r>
        <w:r w:rsidR="001D3D7D" w:rsidRPr="001B4A02">
          <w:rPr>
            <w:lang w:val="cs-CZ"/>
          </w:rPr>
          <w:delText>řicet</w:delText>
        </w:r>
        <w:r w:rsidR="00411984" w:rsidRPr="001B4A02">
          <w:rPr>
            <w:lang w:val="cs-CZ"/>
          </w:rPr>
          <w:delText xml:space="preserve"> </w:delText>
        </w:r>
        <w:r w:rsidR="001D3D7D" w:rsidRPr="001B4A02">
          <w:rPr>
            <w:lang w:val="cs-CZ"/>
          </w:rPr>
          <w:delText>tři pacientů (18</w:delText>
        </w:r>
        <w:r w:rsidR="006008CB">
          <w:rPr>
            <w:lang w:val="cs-CZ"/>
          </w:rPr>
          <w:delText> %</w:delText>
        </w:r>
        <w:r w:rsidR="001D3D7D" w:rsidRPr="001B4A02">
          <w:rPr>
            <w:lang w:val="cs-CZ"/>
          </w:rPr>
          <w:delText>)</w:delText>
        </w:r>
        <w:r w:rsidRPr="001B4A02">
          <w:rPr>
            <w:lang w:val="cs-CZ"/>
          </w:rPr>
          <w:delText xml:space="preserve"> současně léčeno chorobu modifikujícími antirevmatiky</w:delText>
        </w:r>
        <w:r w:rsidR="002378E0">
          <w:rPr>
            <w:lang w:val="cs-CZ"/>
          </w:rPr>
          <w:delText xml:space="preserve"> a </w:delText>
        </w:r>
        <w:r w:rsidRPr="001B4A02">
          <w:rPr>
            <w:lang w:val="cs-CZ"/>
          </w:rPr>
          <w:delText>146 (79</w:delText>
        </w:r>
        <w:r w:rsidR="006008CB">
          <w:rPr>
            <w:lang w:val="cs-CZ"/>
          </w:rPr>
          <w:delText> %</w:delText>
        </w:r>
        <w:r w:rsidRPr="001B4A02">
          <w:rPr>
            <w:lang w:val="cs-CZ"/>
          </w:rPr>
          <w:delText xml:space="preserve">) pacientů bylo léčeno NSAID. Po dvojitě </w:delText>
        </w:r>
        <w:r w:rsidR="00B84763" w:rsidRPr="001B4A02">
          <w:rPr>
            <w:lang w:val="cs-CZ"/>
          </w:rPr>
          <w:delText xml:space="preserve">zaslepeném </w:delText>
        </w:r>
        <w:r w:rsidRPr="001B4A02">
          <w:rPr>
            <w:lang w:val="cs-CZ"/>
          </w:rPr>
          <w:delText>období následovala otevřená fáze, během níž byl pacientům podáván přípravek Humira v</w:delText>
        </w:r>
        <w:r w:rsidR="00B176EA" w:rsidRPr="001B4A02">
          <w:rPr>
            <w:lang w:val="cs-CZ"/>
          </w:rPr>
          <w:delText> </w:delText>
        </w:r>
        <w:r w:rsidRPr="001B4A02">
          <w:rPr>
            <w:lang w:val="cs-CZ"/>
          </w:rPr>
          <w:delText>dávce 40</w:delText>
        </w:r>
        <w:r w:rsidR="00294902">
          <w:rPr>
            <w:lang w:val="cs-CZ"/>
          </w:rPr>
          <w:delText> mg</w:delText>
        </w:r>
        <w:r w:rsidRPr="001B4A02">
          <w:rPr>
            <w:lang w:val="cs-CZ"/>
          </w:rPr>
          <w:delText xml:space="preserve"> každý druhý týden subkutánně po dobu dalších 144 týdnů. Výsledky v</w:delText>
        </w:r>
        <w:r w:rsidR="00B176EA" w:rsidRPr="001B4A02">
          <w:rPr>
            <w:lang w:val="cs-CZ"/>
          </w:rPr>
          <w:delText> </w:delText>
        </w:r>
        <w:r w:rsidRPr="001B4A02">
          <w:rPr>
            <w:lang w:val="cs-CZ"/>
          </w:rPr>
          <w:delText>týdnu 12 prokázaly statisticky signifikantní zlepšení známek</w:delText>
        </w:r>
        <w:r w:rsidR="002378E0">
          <w:rPr>
            <w:lang w:val="cs-CZ"/>
          </w:rPr>
          <w:delText xml:space="preserve"> a </w:delText>
        </w:r>
        <w:r w:rsidRPr="001B4A02">
          <w:rPr>
            <w:lang w:val="cs-CZ"/>
          </w:rPr>
          <w:delText xml:space="preserve">příznaků aktivní </w:delText>
        </w:r>
        <w:r w:rsidR="000C5AAF">
          <w:rPr>
            <w:lang w:val="cs-CZ"/>
          </w:rPr>
          <w:delText>nr-axSpA</w:delText>
        </w:r>
        <w:r w:rsidRPr="001B4A02">
          <w:rPr>
            <w:lang w:val="cs-CZ"/>
          </w:rPr>
          <w:delText xml:space="preserve"> u</w:delText>
        </w:r>
        <w:r w:rsidR="00B176EA" w:rsidRPr="001B4A02">
          <w:rPr>
            <w:lang w:val="cs-CZ"/>
          </w:rPr>
          <w:delText> </w:delText>
        </w:r>
        <w:r w:rsidRPr="001B4A02">
          <w:rPr>
            <w:lang w:val="cs-CZ"/>
          </w:rPr>
          <w:delText>pacientů léčených přípravkem Humira v</w:delText>
        </w:r>
        <w:r w:rsidR="00B176EA" w:rsidRPr="001B4A02">
          <w:rPr>
            <w:lang w:val="cs-CZ"/>
          </w:rPr>
          <w:delText> </w:delText>
        </w:r>
        <w:r w:rsidRPr="001B4A02">
          <w:rPr>
            <w:lang w:val="cs-CZ"/>
          </w:rPr>
          <w:delText>porovnání s</w:delText>
        </w:r>
        <w:r w:rsidR="00B176EA" w:rsidRPr="001B4A02">
          <w:rPr>
            <w:lang w:val="cs-CZ"/>
          </w:rPr>
          <w:delText> </w:delText>
        </w:r>
        <w:r w:rsidRPr="001B4A02">
          <w:rPr>
            <w:lang w:val="cs-CZ"/>
          </w:rPr>
          <w:delText xml:space="preserve">placebem (tabulka </w:delText>
        </w:r>
        <w:r w:rsidR="00CC1B29">
          <w:rPr>
            <w:lang w:val="cs-CZ"/>
          </w:rPr>
          <w:delText>13</w:delText>
        </w:r>
        <w:r w:rsidRPr="001B4A02">
          <w:rPr>
            <w:lang w:val="cs-CZ"/>
          </w:rPr>
          <w:delText>).</w:delText>
        </w:r>
      </w:del>
    </w:p>
    <w:p w14:paraId="0C460D1F" w14:textId="77777777" w:rsidR="00EC61F9" w:rsidRPr="001B4A02" w:rsidRDefault="00EC61F9" w:rsidP="00CE5DAE">
      <w:pPr>
        <w:pStyle w:val="EMEANormal"/>
        <w:rPr>
          <w:del w:id="6097" w:author="AbbVie1" w:date="2025-05-13T09:50:00Z"/>
          <w:highlight w:val="green"/>
          <w:lang w:val="cs-CZ"/>
        </w:rPr>
      </w:pPr>
    </w:p>
    <w:p w14:paraId="767208E5" w14:textId="77777777" w:rsidR="00EC61F9" w:rsidRPr="009038AE" w:rsidRDefault="00000000" w:rsidP="00ED48A3">
      <w:pPr>
        <w:pStyle w:val="EMEANormal"/>
        <w:keepNext/>
        <w:jc w:val="center"/>
        <w:rPr>
          <w:del w:id="6098" w:author="AbbVie1" w:date="2025-05-13T09:50:00Z"/>
          <w:lang w:val="cs-CZ"/>
        </w:rPr>
      </w:pPr>
      <w:del w:id="6099" w:author="AbbVie1" w:date="2025-05-13T09:50:00Z">
        <w:r w:rsidRPr="001B4A02">
          <w:rPr>
            <w:b/>
            <w:lang w:val="cs-CZ"/>
          </w:rPr>
          <w:delText xml:space="preserve">Tabulka </w:delText>
        </w:r>
        <w:r w:rsidR="00CC1B29">
          <w:rPr>
            <w:b/>
            <w:lang w:val="cs-CZ"/>
          </w:rPr>
          <w:delText>13</w:delText>
        </w:r>
      </w:del>
    </w:p>
    <w:p w14:paraId="0FCC2099" w14:textId="77777777" w:rsidR="00EC61F9" w:rsidRPr="009038AE" w:rsidRDefault="00000000" w:rsidP="00ED48A3">
      <w:pPr>
        <w:pStyle w:val="EMEANormal"/>
        <w:keepNext/>
        <w:jc w:val="center"/>
        <w:rPr>
          <w:del w:id="6100" w:author="AbbVie1" w:date="2025-05-13T09:50:00Z"/>
          <w:lang w:val="cs-CZ"/>
        </w:rPr>
      </w:pPr>
      <w:del w:id="6101" w:author="AbbVie1" w:date="2025-05-13T09:50:00Z">
        <w:r w:rsidRPr="001B4A02">
          <w:rPr>
            <w:b/>
            <w:lang w:val="cs-CZ"/>
          </w:rPr>
          <w:delText>Účinnost</w:delText>
        </w:r>
        <w:r w:rsidR="004D102B" w:rsidRPr="001B4A02">
          <w:rPr>
            <w:b/>
            <w:lang w:val="cs-CZ"/>
          </w:rPr>
          <w:delText xml:space="preserve"> u</w:delText>
        </w:r>
        <w:r w:rsidR="00C048C3" w:rsidRPr="001B4A02">
          <w:rPr>
            <w:b/>
            <w:lang w:val="cs-CZ"/>
          </w:rPr>
          <w:delText> </w:delText>
        </w:r>
        <w:r w:rsidR="004D102B" w:rsidRPr="001B4A02">
          <w:rPr>
            <w:b/>
            <w:lang w:val="cs-CZ"/>
          </w:rPr>
          <w:delText xml:space="preserve">placebem kontrolované studie </w:delText>
        </w:r>
        <w:r w:rsidR="000C5AAF">
          <w:rPr>
            <w:b/>
            <w:lang w:val="cs-CZ"/>
          </w:rPr>
          <w:delText>nr-axSpA I</w:delText>
        </w:r>
      </w:del>
    </w:p>
    <w:p w14:paraId="250B342C" w14:textId="77777777" w:rsidR="00EC61F9" w:rsidRPr="001B4A02" w:rsidRDefault="00EC61F9" w:rsidP="00ED48A3">
      <w:pPr>
        <w:pStyle w:val="EMEANormal"/>
        <w:keepNext/>
        <w:rPr>
          <w:del w:id="6102" w:author="AbbVie1" w:date="2025-05-13T09:50:00Z"/>
          <w:b/>
          <w:lang w:val="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1939"/>
        <w:gridCol w:w="1900"/>
      </w:tblGrid>
      <w:tr w:rsidR="00534A2D" w14:paraId="7DA55803" w14:textId="77777777" w:rsidTr="00381D76">
        <w:trPr>
          <w:jc w:val="center"/>
          <w:del w:id="6103" w:author="AbbVie1" w:date="2025-05-13T09:50:00Z"/>
        </w:trPr>
        <w:tc>
          <w:tcPr>
            <w:tcW w:w="4820" w:type="dxa"/>
            <w:tcBorders>
              <w:top w:val="single" w:sz="4" w:space="0" w:color="auto"/>
              <w:left w:val="single" w:sz="4" w:space="0" w:color="auto"/>
              <w:bottom w:val="single" w:sz="4" w:space="0" w:color="auto"/>
              <w:right w:val="single" w:sz="4" w:space="0" w:color="auto"/>
            </w:tcBorders>
          </w:tcPr>
          <w:p w14:paraId="39DD445E" w14:textId="77777777" w:rsidR="00EC61F9" w:rsidRPr="001B4A02" w:rsidRDefault="00000000" w:rsidP="00ED48A3">
            <w:pPr>
              <w:keepNext/>
              <w:tabs>
                <w:tab w:val="left" w:pos="562"/>
              </w:tabs>
              <w:suppressAutoHyphens/>
              <w:rPr>
                <w:del w:id="6104" w:author="AbbVie1" w:date="2025-05-13T09:50:00Z"/>
                <w:b/>
                <w:bCs/>
                <w:szCs w:val="24"/>
              </w:rPr>
            </w:pPr>
            <w:del w:id="6105" w:author="AbbVie1" w:date="2025-05-13T09:50:00Z">
              <w:r w:rsidRPr="001B4A02">
                <w:rPr>
                  <w:b/>
                  <w:bCs/>
                </w:rPr>
                <w:delText>Odpovědi v</w:delText>
              </w:r>
              <w:r w:rsidR="00B176EA" w:rsidRPr="001B4A02">
                <w:rPr>
                  <w:b/>
                  <w:bCs/>
                </w:rPr>
                <w:delText> </w:delText>
              </w:r>
              <w:r w:rsidRPr="001B4A02">
                <w:rPr>
                  <w:b/>
                  <w:bCs/>
                </w:rPr>
                <w:delText xml:space="preserve">týdnu 12 </w:delText>
              </w:r>
              <w:r w:rsidR="006D1214" w:rsidRPr="001B4A02">
                <w:rPr>
                  <w:b/>
                  <w:bCs/>
                </w:rPr>
                <w:delText>–</w:delText>
              </w:r>
              <w:r w:rsidRPr="001B4A02">
                <w:rPr>
                  <w:b/>
                  <w:bCs/>
                </w:rPr>
                <w:delText xml:space="preserve"> dvojitě zaslepeno</w:delText>
              </w:r>
            </w:del>
          </w:p>
        </w:tc>
        <w:tc>
          <w:tcPr>
            <w:tcW w:w="1939" w:type="dxa"/>
            <w:tcBorders>
              <w:top w:val="single" w:sz="4" w:space="0" w:color="auto"/>
              <w:left w:val="single" w:sz="4" w:space="0" w:color="auto"/>
              <w:bottom w:val="single" w:sz="4" w:space="0" w:color="auto"/>
              <w:right w:val="single" w:sz="4" w:space="0" w:color="auto"/>
            </w:tcBorders>
          </w:tcPr>
          <w:p w14:paraId="78948F74" w14:textId="77777777" w:rsidR="00EC61F9" w:rsidRPr="000C0B0A" w:rsidRDefault="00000000" w:rsidP="00ED48A3">
            <w:pPr>
              <w:keepNext/>
              <w:jc w:val="center"/>
              <w:rPr>
                <w:del w:id="6106" w:author="AbbVie1" w:date="2025-05-13T09:50:00Z"/>
                <w:b/>
                <w:bCs/>
                <w:szCs w:val="22"/>
              </w:rPr>
            </w:pPr>
            <w:del w:id="6107" w:author="AbbVie1" w:date="2025-05-13T09:50:00Z">
              <w:r w:rsidRPr="000C0B0A">
                <w:rPr>
                  <w:b/>
                  <w:bCs/>
                  <w:szCs w:val="22"/>
                </w:rPr>
                <w:delText>Placebo</w:delText>
              </w:r>
            </w:del>
          </w:p>
          <w:p w14:paraId="76505604" w14:textId="77777777" w:rsidR="00EC61F9" w:rsidRPr="000C0B0A" w:rsidRDefault="00000000" w:rsidP="00ED48A3">
            <w:pPr>
              <w:keepNext/>
              <w:tabs>
                <w:tab w:val="left" w:pos="562"/>
              </w:tabs>
              <w:suppressAutoHyphens/>
              <w:jc w:val="center"/>
              <w:rPr>
                <w:del w:id="6108" w:author="AbbVie1" w:date="2025-05-13T09:50:00Z"/>
                <w:b/>
                <w:bCs/>
                <w:szCs w:val="22"/>
              </w:rPr>
            </w:pPr>
            <w:del w:id="6109" w:author="AbbVie1" w:date="2025-05-13T09:50:00Z">
              <w:r>
                <w:rPr>
                  <w:b/>
                  <w:bCs/>
                  <w:szCs w:val="22"/>
                </w:rPr>
                <w:delText>n</w:delText>
              </w:r>
              <w:r w:rsidRPr="000C0B0A">
                <w:rPr>
                  <w:b/>
                  <w:bCs/>
                  <w:szCs w:val="22"/>
                </w:rPr>
                <w:delText>=94</w:delText>
              </w:r>
            </w:del>
          </w:p>
        </w:tc>
        <w:tc>
          <w:tcPr>
            <w:tcW w:w="1900" w:type="dxa"/>
            <w:tcBorders>
              <w:top w:val="single" w:sz="4" w:space="0" w:color="auto"/>
              <w:left w:val="single" w:sz="4" w:space="0" w:color="auto"/>
              <w:bottom w:val="single" w:sz="4" w:space="0" w:color="auto"/>
              <w:right w:val="single" w:sz="4" w:space="0" w:color="auto"/>
            </w:tcBorders>
          </w:tcPr>
          <w:p w14:paraId="0300C17B" w14:textId="77777777" w:rsidR="00EC61F9" w:rsidRPr="000C0B0A" w:rsidRDefault="00000000" w:rsidP="00ED48A3">
            <w:pPr>
              <w:keepNext/>
              <w:jc w:val="center"/>
              <w:rPr>
                <w:del w:id="6110" w:author="AbbVie1" w:date="2025-05-13T09:50:00Z"/>
                <w:b/>
                <w:bCs/>
                <w:szCs w:val="22"/>
              </w:rPr>
            </w:pPr>
            <w:del w:id="6111" w:author="AbbVie1" w:date="2025-05-13T09:50:00Z">
              <w:r w:rsidRPr="000C0B0A">
                <w:rPr>
                  <w:b/>
                  <w:bCs/>
                  <w:szCs w:val="22"/>
                </w:rPr>
                <w:delText>Humira</w:delText>
              </w:r>
            </w:del>
          </w:p>
          <w:p w14:paraId="4F0B400F" w14:textId="77777777" w:rsidR="00EC61F9" w:rsidRPr="000C0B0A" w:rsidRDefault="00000000" w:rsidP="00ED48A3">
            <w:pPr>
              <w:keepNext/>
              <w:tabs>
                <w:tab w:val="left" w:pos="562"/>
              </w:tabs>
              <w:suppressAutoHyphens/>
              <w:jc w:val="center"/>
              <w:rPr>
                <w:del w:id="6112" w:author="AbbVie1" w:date="2025-05-13T09:50:00Z"/>
                <w:b/>
                <w:bCs/>
                <w:szCs w:val="22"/>
              </w:rPr>
            </w:pPr>
            <w:del w:id="6113" w:author="AbbVie1" w:date="2025-05-13T09:50:00Z">
              <w:r>
                <w:rPr>
                  <w:b/>
                  <w:bCs/>
                  <w:szCs w:val="22"/>
                </w:rPr>
                <w:delText>n</w:delText>
              </w:r>
              <w:r w:rsidRPr="000C0B0A">
                <w:rPr>
                  <w:b/>
                  <w:bCs/>
                  <w:szCs w:val="22"/>
                </w:rPr>
                <w:delText>=91</w:delText>
              </w:r>
            </w:del>
          </w:p>
        </w:tc>
      </w:tr>
      <w:tr w:rsidR="00534A2D" w14:paraId="7D54DB16" w14:textId="77777777" w:rsidTr="00381D76">
        <w:trPr>
          <w:jc w:val="center"/>
          <w:del w:id="6114" w:author="AbbVie1" w:date="2025-05-13T09:50:00Z"/>
        </w:trPr>
        <w:tc>
          <w:tcPr>
            <w:tcW w:w="4820" w:type="dxa"/>
            <w:tcBorders>
              <w:top w:val="single" w:sz="4" w:space="0" w:color="auto"/>
              <w:left w:val="single" w:sz="4" w:space="0" w:color="auto"/>
              <w:bottom w:val="single" w:sz="4" w:space="0" w:color="auto"/>
              <w:right w:val="single" w:sz="4" w:space="0" w:color="auto"/>
            </w:tcBorders>
          </w:tcPr>
          <w:p w14:paraId="4B2E76C1" w14:textId="77777777" w:rsidR="00EC61F9" w:rsidRPr="001B4A02" w:rsidRDefault="00000000" w:rsidP="00ED48A3">
            <w:pPr>
              <w:keepNext/>
              <w:tabs>
                <w:tab w:val="left" w:pos="562"/>
              </w:tabs>
              <w:suppressAutoHyphens/>
              <w:rPr>
                <w:del w:id="6115" w:author="AbbVie1" w:date="2025-05-13T09:50:00Z"/>
                <w:szCs w:val="24"/>
              </w:rPr>
            </w:pPr>
            <w:del w:id="6116" w:author="AbbVie1" w:date="2025-05-13T09:50:00Z">
              <w:r w:rsidRPr="001B4A02">
                <w:delText>ASAS</w:delText>
              </w:r>
              <w:r w:rsidRPr="001B4A02">
                <w:rPr>
                  <w:vertAlign w:val="superscript"/>
                </w:rPr>
                <w:delText>a</w:delText>
              </w:r>
              <w:r w:rsidRPr="001B4A02">
                <w:delText xml:space="preserve"> 40</w:delText>
              </w:r>
            </w:del>
          </w:p>
        </w:tc>
        <w:tc>
          <w:tcPr>
            <w:tcW w:w="1939" w:type="dxa"/>
            <w:tcBorders>
              <w:top w:val="single" w:sz="4" w:space="0" w:color="auto"/>
              <w:left w:val="single" w:sz="4" w:space="0" w:color="auto"/>
              <w:bottom w:val="single" w:sz="4" w:space="0" w:color="auto"/>
              <w:right w:val="single" w:sz="4" w:space="0" w:color="auto"/>
            </w:tcBorders>
          </w:tcPr>
          <w:p w14:paraId="508EBA21" w14:textId="77777777" w:rsidR="00EC61F9" w:rsidRPr="001B4A02" w:rsidRDefault="00000000" w:rsidP="00ED48A3">
            <w:pPr>
              <w:keepNext/>
              <w:tabs>
                <w:tab w:val="left" w:pos="562"/>
              </w:tabs>
              <w:suppressAutoHyphens/>
              <w:jc w:val="center"/>
              <w:rPr>
                <w:del w:id="6117" w:author="AbbVie1" w:date="2025-05-13T09:50:00Z"/>
                <w:szCs w:val="24"/>
              </w:rPr>
            </w:pPr>
            <w:del w:id="6118" w:author="AbbVie1" w:date="2025-05-13T09:50:00Z">
              <w:r w:rsidRPr="001B4A02">
                <w:delText>15</w:delText>
              </w:r>
              <w:r w:rsidR="00F274CD" w:rsidRPr="001B4A02">
                <w:rPr>
                  <w:b/>
                </w:rPr>
                <w:delText> </w:delText>
              </w:r>
              <w:r w:rsidRPr="001B4A02">
                <w:delText>%</w:delText>
              </w:r>
            </w:del>
          </w:p>
        </w:tc>
        <w:tc>
          <w:tcPr>
            <w:tcW w:w="1900" w:type="dxa"/>
            <w:tcBorders>
              <w:top w:val="single" w:sz="4" w:space="0" w:color="auto"/>
              <w:left w:val="single" w:sz="4" w:space="0" w:color="auto"/>
              <w:bottom w:val="single" w:sz="4" w:space="0" w:color="auto"/>
              <w:right w:val="single" w:sz="4" w:space="0" w:color="auto"/>
            </w:tcBorders>
          </w:tcPr>
          <w:p w14:paraId="0E877309" w14:textId="77777777" w:rsidR="00EC61F9" w:rsidRPr="001B4A02" w:rsidRDefault="00000000" w:rsidP="00ED48A3">
            <w:pPr>
              <w:keepNext/>
              <w:tabs>
                <w:tab w:val="left" w:pos="562"/>
              </w:tabs>
              <w:suppressAutoHyphens/>
              <w:jc w:val="center"/>
              <w:rPr>
                <w:del w:id="6119" w:author="AbbVie1" w:date="2025-05-13T09:50:00Z"/>
                <w:szCs w:val="24"/>
              </w:rPr>
            </w:pPr>
            <w:del w:id="6120" w:author="AbbVie1" w:date="2025-05-13T09:50:00Z">
              <w:r w:rsidRPr="001B4A02">
                <w:delText>36</w:delText>
              </w:r>
              <w:r w:rsidR="00F274CD" w:rsidRPr="001B4A02">
                <w:rPr>
                  <w:b/>
                </w:rPr>
                <w:delText> </w:delText>
              </w:r>
              <w:r w:rsidRPr="001B4A02">
                <w:delText>%***</w:delText>
              </w:r>
            </w:del>
          </w:p>
        </w:tc>
      </w:tr>
      <w:tr w:rsidR="00534A2D" w14:paraId="5CB978CB" w14:textId="77777777" w:rsidTr="00381D76">
        <w:trPr>
          <w:jc w:val="center"/>
          <w:del w:id="6121" w:author="AbbVie1" w:date="2025-05-13T09:50:00Z"/>
        </w:trPr>
        <w:tc>
          <w:tcPr>
            <w:tcW w:w="4820" w:type="dxa"/>
            <w:tcBorders>
              <w:top w:val="single" w:sz="4" w:space="0" w:color="auto"/>
              <w:left w:val="single" w:sz="4" w:space="0" w:color="auto"/>
              <w:bottom w:val="single" w:sz="4" w:space="0" w:color="auto"/>
              <w:right w:val="single" w:sz="4" w:space="0" w:color="auto"/>
            </w:tcBorders>
          </w:tcPr>
          <w:p w14:paraId="3B65CB63" w14:textId="77777777" w:rsidR="00EC61F9" w:rsidRPr="001B4A02" w:rsidRDefault="00000000" w:rsidP="00ED48A3">
            <w:pPr>
              <w:keepNext/>
              <w:tabs>
                <w:tab w:val="left" w:pos="562"/>
              </w:tabs>
              <w:suppressAutoHyphens/>
              <w:rPr>
                <w:del w:id="6122" w:author="AbbVie1" w:date="2025-05-13T09:50:00Z"/>
                <w:szCs w:val="24"/>
              </w:rPr>
            </w:pPr>
            <w:del w:id="6123" w:author="AbbVie1" w:date="2025-05-13T09:50:00Z">
              <w:r w:rsidRPr="001B4A02">
                <w:delText>ASAS 20</w:delText>
              </w:r>
            </w:del>
          </w:p>
        </w:tc>
        <w:tc>
          <w:tcPr>
            <w:tcW w:w="1939" w:type="dxa"/>
            <w:tcBorders>
              <w:top w:val="single" w:sz="4" w:space="0" w:color="auto"/>
              <w:left w:val="single" w:sz="4" w:space="0" w:color="auto"/>
              <w:bottom w:val="single" w:sz="4" w:space="0" w:color="auto"/>
              <w:right w:val="single" w:sz="4" w:space="0" w:color="auto"/>
            </w:tcBorders>
          </w:tcPr>
          <w:p w14:paraId="4B385A20" w14:textId="77777777" w:rsidR="00EC61F9" w:rsidRPr="001B4A02" w:rsidRDefault="00000000" w:rsidP="00ED48A3">
            <w:pPr>
              <w:keepNext/>
              <w:tabs>
                <w:tab w:val="left" w:pos="562"/>
              </w:tabs>
              <w:suppressAutoHyphens/>
              <w:jc w:val="center"/>
              <w:rPr>
                <w:del w:id="6124" w:author="AbbVie1" w:date="2025-05-13T09:50:00Z"/>
                <w:szCs w:val="24"/>
              </w:rPr>
            </w:pPr>
            <w:del w:id="6125" w:author="AbbVie1" w:date="2025-05-13T09:50:00Z">
              <w:r w:rsidRPr="001B4A02">
                <w:delText>31</w:delText>
              </w:r>
              <w:r w:rsidR="00F274CD" w:rsidRPr="001B4A02">
                <w:rPr>
                  <w:b/>
                </w:rPr>
                <w:delText> </w:delText>
              </w:r>
              <w:r w:rsidRPr="001B4A02">
                <w:delText>%</w:delText>
              </w:r>
            </w:del>
          </w:p>
        </w:tc>
        <w:tc>
          <w:tcPr>
            <w:tcW w:w="1900" w:type="dxa"/>
            <w:tcBorders>
              <w:top w:val="single" w:sz="4" w:space="0" w:color="auto"/>
              <w:left w:val="single" w:sz="4" w:space="0" w:color="auto"/>
              <w:bottom w:val="single" w:sz="4" w:space="0" w:color="auto"/>
              <w:right w:val="single" w:sz="4" w:space="0" w:color="auto"/>
            </w:tcBorders>
          </w:tcPr>
          <w:p w14:paraId="4BE64A34" w14:textId="77777777" w:rsidR="00EC61F9" w:rsidRPr="001B4A02" w:rsidRDefault="00000000" w:rsidP="00ED48A3">
            <w:pPr>
              <w:keepNext/>
              <w:tabs>
                <w:tab w:val="left" w:pos="562"/>
              </w:tabs>
              <w:suppressAutoHyphens/>
              <w:jc w:val="center"/>
              <w:rPr>
                <w:del w:id="6126" w:author="AbbVie1" w:date="2025-05-13T09:50:00Z"/>
                <w:szCs w:val="24"/>
              </w:rPr>
            </w:pPr>
            <w:del w:id="6127" w:author="AbbVie1" w:date="2025-05-13T09:50:00Z">
              <w:r w:rsidRPr="001B4A02">
                <w:delText>52</w:delText>
              </w:r>
              <w:r w:rsidR="00F274CD" w:rsidRPr="001B4A02">
                <w:rPr>
                  <w:b/>
                </w:rPr>
                <w:delText> </w:delText>
              </w:r>
              <w:r w:rsidRPr="001B4A02">
                <w:delText>%**</w:delText>
              </w:r>
            </w:del>
          </w:p>
        </w:tc>
      </w:tr>
      <w:tr w:rsidR="00534A2D" w14:paraId="65040FBB" w14:textId="77777777" w:rsidTr="00381D76">
        <w:trPr>
          <w:jc w:val="center"/>
          <w:del w:id="6128" w:author="AbbVie1" w:date="2025-05-13T09:50:00Z"/>
        </w:trPr>
        <w:tc>
          <w:tcPr>
            <w:tcW w:w="4820" w:type="dxa"/>
            <w:tcBorders>
              <w:top w:val="single" w:sz="4" w:space="0" w:color="auto"/>
              <w:left w:val="single" w:sz="4" w:space="0" w:color="auto"/>
              <w:bottom w:val="single" w:sz="4" w:space="0" w:color="auto"/>
              <w:right w:val="single" w:sz="4" w:space="0" w:color="auto"/>
            </w:tcBorders>
          </w:tcPr>
          <w:p w14:paraId="525BDDA9" w14:textId="77777777" w:rsidR="00EC61F9" w:rsidRPr="001B4A02" w:rsidRDefault="00000000" w:rsidP="00ED48A3">
            <w:pPr>
              <w:keepNext/>
              <w:tabs>
                <w:tab w:val="left" w:pos="562"/>
              </w:tabs>
              <w:suppressAutoHyphens/>
              <w:rPr>
                <w:del w:id="6129" w:author="AbbVie1" w:date="2025-05-13T09:50:00Z"/>
                <w:szCs w:val="24"/>
              </w:rPr>
            </w:pPr>
            <w:del w:id="6130" w:author="AbbVie1" w:date="2025-05-13T09:50:00Z">
              <w:r w:rsidRPr="001B4A02">
                <w:delText>ASAS 5/6</w:delText>
              </w:r>
            </w:del>
          </w:p>
        </w:tc>
        <w:tc>
          <w:tcPr>
            <w:tcW w:w="1939" w:type="dxa"/>
            <w:tcBorders>
              <w:top w:val="single" w:sz="4" w:space="0" w:color="auto"/>
              <w:left w:val="single" w:sz="4" w:space="0" w:color="auto"/>
              <w:bottom w:val="single" w:sz="4" w:space="0" w:color="auto"/>
              <w:right w:val="single" w:sz="4" w:space="0" w:color="auto"/>
            </w:tcBorders>
          </w:tcPr>
          <w:p w14:paraId="29537509" w14:textId="77777777" w:rsidR="00EC61F9" w:rsidRPr="001B4A02" w:rsidRDefault="00000000" w:rsidP="00ED48A3">
            <w:pPr>
              <w:keepNext/>
              <w:tabs>
                <w:tab w:val="left" w:pos="562"/>
              </w:tabs>
              <w:suppressAutoHyphens/>
              <w:jc w:val="center"/>
              <w:rPr>
                <w:del w:id="6131" w:author="AbbVie1" w:date="2025-05-13T09:50:00Z"/>
                <w:szCs w:val="24"/>
              </w:rPr>
            </w:pPr>
            <w:del w:id="6132" w:author="AbbVie1" w:date="2025-05-13T09:50:00Z">
              <w:r w:rsidRPr="001B4A02">
                <w:delText>6</w:delText>
              </w:r>
              <w:r w:rsidR="00F274CD" w:rsidRPr="001B4A02">
                <w:rPr>
                  <w:b/>
                </w:rPr>
                <w:delText> </w:delText>
              </w:r>
              <w:r w:rsidRPr="001B4A02">
                <w:delText>%</w:delText>
              </w:r>
            </w:del>
          </w:p>
        </w:tc>
        <w:tc>
          <w:tcPr>
            <w:tcW w:w="1900" w:type="dxa"/>
            <w:tcBorders>
              <w:top w:val="single" w:sz="4" w:space="0" w:color="auto"/>
              <w:left w:val="single" w:sz="4" w:space="0" w:color="auto"/>
              <w:bottom w:val="single" w:sz="4" w:space="0" w:color="auto"/>
              <w:right w:val="single" w:sz="4" w:space="0" w:color="auto"/>
            </w:tcBorders>
          </w:tcPr>
          <w:p w14:paraId="01BDAF8B" w14:textId="77777777" w:rsidR="00EC61F9" w:rsidRPr="001B4A02" w:rsidRDefault="00000000" w:rsidP="00ED48A3">
            <w:pPr>
              <w:keepNext/>
              <w:tabs>
                <w:tab w:val="left" w:pos="562"/>
              </w:tabs>
              <w:suppressAutoHyphens/>
              <w:jc w:val="center"/>
              <w:rPr>
                <w:del w:id="6133" w:author="AbbVie1" w:date="2025-05-13T09:50:00Z"/>
                <w:szCs w:val="24"/>
              </w:rPr>
            </w:pPr>
            <w:del w:id="6134" w:author="AbbVie1" w:date="2025-05-13T09:50:00Z">
              <w:r w:rsidRPr="001B4A02">
                <w:delText>31</w:delText>
              </w:r>
              <w:r w:rsidR="00F274CD" w:rsidRPr="001B4A02">
                <w:rPr>
                  <w:b/>
                </w:rPr>
                <w:delText> </w:delText>
              </w:r>
              <w:r w:rsidRPr="001B4A02">
                <w:delText>%***</w:delText>
              </w:r>
            </w:del>
          </w:p>
        </w:tc>
      </w:tr>
      <w:tr w:rsidR="00534A2D" w14:paraId="4F5B4E11" w14:textId="77777777" w:rsidTr="00381D76">
        <w:trPr>
          <w:jc w:val="center"/>
          <w:del w:id="6135" w:author="AbbVie1" w:date="2025-05-13T09:50:00Z"/>
        </w:trPr>
        <w:tc>
          <w:tcPr>
            <w:tcW w:w="4820" w:type="dxa"/>
            <w:tcBorders>
              <w:top w:val="single" w:sz="4" w:space="0" w:color="auto"/>
              <w:left w:val="single" w:sz="4" w:space="0" w:color="auto"/>
              <w:bottom w:val="single" w:sz="4" w:space="0" w:color="auto"/>
              <w:right w:val="single" w:sz="4" w:space="0" w:color="auto"/>
            </w:tcBorders>
          </w:tcPr>
          <w:p w14:paraId="67DC6787" w14:textId="77777777" w:rsidR="00EC61F9" w:rsidRPr="001B4A02" w:rsidRDefault="00000000" w:rsidP="00ED48A3">
            <w:pPr>
              <w:keepNext/>
              <w:tabs>
                <w:tab w:val="left" w:pos="562"/>
              </w:tabs>
              <w:suppressAutoHyphens/>
              <w:rPr>
                <w:del w:id="6136" w:author="AbbVie1" w:date="2025-05-13T09:50:00Z"/>
                <w:szCs w:val="24"/>
              </w:rPr>
            </w:pPr>
            <w:del w:id="6137" w:author="AbbVie1" w:date="2025-05-13T09:50:00Z">
              <w:r w:rsidRPr="001B4A02">
                <w:delText xml:space="preserve">ASAS </w:delText>
              </w:r>
              <w:r w:rsidR="00717647" w:rsidRPr="001B4A02">
                <w:delText>částečná remise</w:delText>
              </w:r>
            </w:del>
          </w:p>
        </w:tc>
        <w:tc>
          <w:tcPr>
            <w:tcW w:w="1939" w:type="dxa"/>
            <w:tcBorders>
              <w:top w:val="single" w:sz="4" w:space="0" w:color="auto"/>
              <w:left w:val="single" w:sz="4" w:space="0" w:color="auto"/>
              <w:bottom w:val="single" w:sz="4" w:space="0" w:color="auto"/>
              <w:right w:val="single" w:sz="4" w:space="0" w:color="auto"/>
            </w:tcBorders>
          </w:tcPr>
          <w:p w14:paraId="0D7C9AC9" w14:textId="77777777" w:rsidR="00EC61F9" w:rsidRPr="001B4A02" w:rsidRDefault="00000000" w:rsidP="00ED48A3">
            <w:pPr>
              <w:keepNext/>
              <w:tabs>
                <w:tab w:val="left" w:pos="562"/>
              </w:tabs>
              <w:suppressAutoHyphens/>
              <w:jc w:val="center"/>
              <w:rPr>
                <w:del w:id="6138" w:author="AbbVie1" w:date="2025-05-13T09:50:00Z"/>
                <w:szCs w:val="24"/>
              </w:rPr>
            </w:pPr>
            <w:del w:id="6139" w:author="AbbVie1" w:date="2025-05-13T09:50:00Z">
              <w:r w:rsidRPr="001B4A02">
                <w:delText>5</w:delText>
              </w:r>
              <w:r w:rsidR="00F274CD" w:rsidRPr="001B4A02">
                <w:rPr>
                  <w:b/>
                </w:rPr>
                <w:delText> </w:delText>
              </w:r>
              <w:r w:rsidRPr="001B4A02">
                <w:delText>%</w:delText>
              </w:r>
            </w:del>
          </w:p>
        </w:tc>
        <w:tc>
          <w:tcPr>
            <w:tcW w:w="1900" w:type="dxa"/>
            <w:tcBorders>
              <w:top w:val="single" w:sz="4" w:space="0" w:color="auto"/>
              <w:left w:val="single" w:sz="4" w:space="0" w:color="auto"/>
              <w:bottom w:val="single" w:sz="4" w:space="0" w:color="auto"/>
              <w:right w:val="single" w:sz="4" w:space="0" w:color="auto"/>
            </w:tcBorders>
          </w:tcPr>
          <w:p w14:paraId="004AC45A" w14:textId="77777777" w:rsidR="00EC61F9" w:rsidRPr="001B4A02" w:rsidRDefault="00000000" w:rsidP="00ED48A3">
            <w:pPr>
              <w:keepNext/>
              <w:tabs>
                <w:tab w:val="left" w:pos="562"/>
              </w:tabs>
              <w:suppressAutoHyphens/>
              <w:jc w:val="center"/>
              <w:rPr>
                <w:del w:id="6140" w:author="AbbVie1" w:date="2025-05-13T09:50:00Z"/>
                <w:szCs w:val="24"/>
              </w:rPr>
            </w:pPr>
            <w:del w:id="6141" w:author="AbbVie1" w:date="2025-05-13T09:50:00Z">
              <w:r w:rsidRPr="001B4A02">
                <w:delText>16</w:delText>
              </w:r>
              <w:r w:rsidR="00F274CD" w:rsidRPr="001B4A02">
                <w:rPr>
                  <w:b/>
                </w:rPr>
                <w:delText> </w:delText>
              </w:r>
              <w:r w:rsidRPr="001B4A02">
                <w:delText>%***</w:delText>
              </w:r>
            </w:del>
          </w:p>
        </w:tc>
      </w:tr>
      <w:tr w:rsidR="00534A2D" w14:paraId="7C3BC783" w14:textId="77777777" w:rsidTr="00381D76">
        <w:trPr>
          <w:jc w:val="center"/>
          <w:del w:id="6142" w:author="AbbVie1" w:date="2025-05-13T09:50:00Z"/>
        </w:trPr>
        <w:tc>
          <w:tcPr>
            <w:tcW w:w="4820" w:type="dxa"/>
            <w:tcBorders>
              <w:top w:val="single" w:sz="4" w:space="0" w:color="auto"/>
              <w:left w:val="single" w:sz="4" w:space="0" w:color="auto"/>
              <w:bottom w:val="single" w:sz="4" w:space="0" w:color="auto"/>
              <w:right w:val="single" w:sz="4" w:space="0" w:color="auto"/>
            </w:tcBorders>
          </w:tcPr>
          <w:p w14:paraId="7CCEC3CE" w14:textId="77777777" w:rsidR="00EC61F9" w:rsidRPr="001B4A02" w:rsidRDefault="00000000" w:rsidP="00ED48A3">
            <w:pPr>
              <w:keepNext/>
              <w:tabs>
                <w:tab w:val="left" w:pos="562"/>
              </w:tabs>
              <w:suppressAutoHyphens/>
              <w:rPr>
                <w:del w:id="6143" w:author="AbbVie1" w:date="2025-05-13T09:50:00Z"/>
                <w:szCs w:val="24"/>
              </w:rPr>
            </w:pPr>
            <w:del w:id="6144" w:author="AbbVie1" w:date="2025-05-13T09:50:00Z">
              <w:r w:rsidRPr="001B4A02">
                <w:delText>BASDAI</w:delText>
              </w:r>
              <w:r w:rsidRPr="001B4A02">
                <w:rPr>
                  <w:vertAlign w:val="superscript"/>
                </w:rPr>
                <w:delText>b</w:delText>
              </w:r>
              <w:r w:rsidRPr="001B4A02">
                <w:delText xml:space="preserve"> 50</w:delText>
              </w:r>
            </w:del>
          </w:p>
        </w:tc>
        <w:tc>
          <w:tcPr>
            <w:tcW w:w="1939" w:type="dxa"/>
            <w:tcBorders>
              <w:top w:val="single" w:sz="4" w:space="0" w:color="auto"/>
              <w:left w:val="single" w:sz="4" w:space="0" w:color="auto"/>
              <w:bottom w:val="single" w:sz="4" w:space="0" w:color="auto"/>
              <w:right w:val="single" w:sz="4" w:space="0" w:color="auto"/>
            </w:tcBorders>
          </w:tcPr>
          <w:p w14:paraId="233AB810" w14:textId="77777777" w:rsidR="00EC61F9" w:rsidRPr="001B4A02" w:rsidRDefault="00000000" w:rsidP="00ED48A3">
            <w:pPr>
              <w:keepNext/>
              <w:tabs>
                <w:tab w:val="left" w:pos="562"/>
              </w:tabs>
              <w:suppressAutoHyphens/>
              <w:jc w:val="center"/>
              <w:rPr>
                <w:del w:id="6145" w:author="AbbVie1" w:date="2025-05-13T09:50:00Z"/>
                <w:szCs w:val="24"/>
              </w:rPr>
            </w:pPr>
            <w:del w:id="6146" w:author="AbbVie1" w:date="2025-05-13T09:50:00Z">
              <w:r w:rsidRPr="001B4A02">
                <w:delText>15</w:delText>
              </w:r>
              <w:r w:rsidR="00F274CD" w:rsidRPr="001B4A02">
                <w:rPr>
                  <w:b/>
                </w:rPr>
                <w:delText> </w:delText>
              </w:r>
              <w:r w:rsidRPr="001B4A02">
                <w:delText>%</w:delText>
              </w:r>
            </w:del>
          </w:p>
        </w:tc>
        <w:tc>
          <w:tcPr>
            <w:tcW w:w="1900" w:type="dxa"/>
            <w:tcBorders>
              <w:top w:val="single" w:sz="4" w:space="0" w:color="auto"/>
              <w:left w:val="single" w:sz="4" w:space="0" w:color="auto"/>
              <w:bottom w:val="single" w:sz="4" w:space="0" w:color="auto"/>
              <w:right w:val="single" w:sz="4" w:space="0" w:color="auto"/>
            </w:tcBorders>
          </w:tcPr>
          <w:p w14:paraId="1EB40BF7" w14:textId="77777777" w:rsidR="00EC61F9" w:rsidRPr="001B4A02" w:rsidRDefault="00000000" w:rsidP="00ED48A3">
            <w:pPr>
              <w:keepNext/>
              <w:tabs>
                <w:tab w:val="left" w:pos="562"/>
              </w:tabs>
              <w:suppressAutoHyphens/>
              <w:jc w:val="center"/>
              <w:rPr>
                <w:del w:id="6147" w:author="AbbVie1" w:date="2025-05-13T09:50:00Z"/>
                <w:szCs w:val="24"/>
              </w:rPr>
            </w:pPr>
            <w:del w:id="6148" w:author="AbbVie1" w:date="2025-05-13T09:50:00Z">
              <w:r w:rsidRPr="001B4A02">
                <w:delText>35</w:delText>
              </w:r>
              <w:r w:rsidR="00F274CD" w:rsidRPr="001B4A02">
                <w:rPr>
                  <w:b/>
                </w:rPr>
                <w:delText> </w:delText>
              </w:r>
              <w:r w:rsidRPr="001B4A02">
                <w:delText>%**</w:delText>
              </w:r>
            </w:del>
          </w:p>
        </w:tc>
      </w:tr>
      <w:tr w:rsidR="00534A2D" w14:paraId="55EC2318" w14:textId="77777777" w:rsidTr="00381D76">
        <w:trPr>
          <w:jc w:val="center"/>
          <w:del w:id="6149" w:author="AbbVie1" w:date="2025-05-13T09:50:00Z"/>
        </w:trPr>
        <w:tc>
          <w:tcPr>
            <w:tcW w:w="4820" w:type="dxa"/>
            <w:tcBorders>
              <w:top w:val="single" w:sz="4" w:space="0" w:color="auto"/>
              <w:left w:val="single" w:sz="4" w:space="0" w:color="auto"/>
              <w:bottom w:val="single" w:sz="4" w:space="0" w:color="auto"/>
              <w:right w:val="single" w:sz="4" w:space="0" w:color="auto"/>
            </w:tcBorders>
          </w:tcPr>
          <w:p w14:paraId="1C61E30E" w14:textId="77777777" w:rsidR="00F024AF" w:rsidRPr="001B4A02" w:rsidRDefault="00000000" w:rsidP="00ED48A3">
            <w:pPr>
              <w:keepNext/>
              <w:tabs>
                <w:tab w:val="left" w:pos="562"/>
              </w:tabs>
              <w:suppressAutoHyphens/>
              <w:rPr>
                <w:del w:id="6150" w:author="AbbVie1" w:date="2025-05-13T09:50:00Z"/>
              </w:rPr>
            </w:pPr>
            <w:del w:id="6151" w:author="AbbVie1" w:date="2025-05-13T09:50:00Z">
              <w:r w:rsidRPr="001B4A02">
                <w:delText>ASDAS</w:delText>
              </w:r>
              <w:r w:rsidRPr="001B4A02">
                <w:rPr>
                  <w:vertAlign w:val="superscript"/>
                </w:rPr>
                <w:delText>c,d,e</w:delText>
              </w:r>
            </w:del>
          </w:p>
        </w:tc>
        <w:tc>
          <w:tcPr>
            <w:tcW w:w="1939" w:type="dxa"/>
            <w:tcBorders>
              <w:top w:val="single" w:sz="4" w:space="0" w:color="auto"/>
              <w:left w:val="single" w:sz="4" w:space="0" w:color="auto"/>
              <w:bottom w:val="single" w:sz="4" w:space="0" w:color="auto"/>
              <w:right w:val="single" w:sz="4" w:space="0" w:color="auto"/>
            </w:tcBorders>
          </w:tcPr>
          <w:p w14:paraId="72504A4D" w14:textId="77777777" w:rsidR="00F024AF" w:rsidRPr="001B4A02" w:rsidRDefault="00000000" w:rsidP="00ED48A3">
            <w:pPr>
              <w:keepNext/>
              <w:tabs>
                <w:tab w:val="left" w:pos="562"/>
              </w:tabs>
              <w:suppressAutoHyphens/>
              <w:jc w:val="center"/>
              <w:rPr>
                <w:del w:id="6152" w:author="AbbVie1" w:date="2025-05-13T09:50:00Z"/>
              </w:rPr>
            </w:pPr>
            <w:del w:id="6153" w:author="AbbVie1" w:date="2025-05-13T09:50:00Z">
              <w:r w:rsidRPr="001B4A02">
                <w:delText>-0,3</w:delText>
              </w:r>
              <w:r w:rsidR="00F274CD" w:rsidRPr="001B4A02">
                <w:rPr>
                  <w:b/>
                </w:rPr>
                <w:delText> </w:delText>
              </w:r>
              <w:r w:rsidRPr="001B4A02">
                <w:delText>%</w:delText>
              </w:r>
            </w:del>
          </w:p>
        </w:tc>
        <w:tc>
          <w:tcPr>
            <w:tcW w:w="1900" w:type="dxa"/>
            <w:tcBorders>
              <w:top w:val="single" w:sz="4" w:space="0" w:color="auto"/>
              <w:left w:val="single" w:sz="4" w:space="0" w:color="auto"/>
              <w:bottom w:val="single" w:sz="4" w:space="0" w:color="auto"/>
              <w:right w:val="single" w:sz="4" w:space="0" w:color="auto"/>
            </w:tcBorders>
          </w:tcPr>
          <w:p w14:paraId="0D3F7159" w14:textId="77777777" w:rsidR="00F024AF" w:rsidRPr="001B4A02" w:rsidRDefault="00000000" w:rsidP="00ED48A3">
            <w:pPr>
              <w:keepNext/>
              <w:tabs>
                <w:tab w:val="left" w:pos="562"/>
              </w:tabs>
              <w:suppressAutoHyphens/>
              <w:jc w:val="center"/>
              <w:rPr>
                <w:del w:id="6154" w:author="AbbVie1" w:date="2025-05-13T09:50:00Z"/>
              </w:rPr>
            </w:pPr>
            <w:del w:id="6155" w:author="AbbVie1" w:date="2025-05-13T09:50:00Z">
              <w:r w:rsidRPr="001B4A02">
                <w:delText>-1,0</w:delText>
              </w:r>
              <w:r w:rsidR="00F274CD" w:rsidRPr="001B4A02">
                <w:delText> %</w:delText>
              </w:r>
              <w:r w:rsidRPr="001B4A02">
                <w:delText>***</w:delText>
              </w:r>
            </w:del>
          </w:p>
        </w:tc>
      </w:tr>
      <w:tr w:rsidR="00534A2D" w14:paraId="2BAA2F36" w14:textId="77777777" w:rsidTr="00381D76">
        <w:trPr>
          <w:jc w:val="center"/>
          <w:del w:id="6156" w:author="AbbVie1" w:date="2025-05-13T09:50:00Z"/>
        </w:trPr>
        <w:tc>
          <w:tcPr>
            <w:tcW w:w="4820" w:type="dxa"/>
            <w:tcBorders>
              <w:top w:val="single" w:sz="4" w:space="0" w:color="auto"/>
              <w:left w:val="single" w:sz="4" w:space="0" w:color="auto"/>
              <w:bottom w:val="single" w:sz="4" w:space="0" w:color="auto"/>
              <w:right w:val="single" w:sz="4" w:space="0" w:color="auto"/>
            </w:tcBorders>
          </w:tcPr>
          <w:p w14:paraId="5F0B3FA9" w14:textId="77777777" w:rsidR="00854195" w:rsidRPr="001B4A02" w:rsidRDefault="00000000" w:rsidP="00ED48A3">
            <w:pPr>
              <w:keepNext/>
              <w:tabs>
                <w:tab w:val="left" w:pos="562"/>
              </w:tabs>
              <w:suppressAutoHyphens/>
              <w:rPr>
                <w:del w:id="6157" w:author="AbbVie1" w:date="2025-05-13T09:50:00Z"/>
              </w:rPr>
            </w:pPr>
            <w:del w:id="6158" w:author="AbbVie1" w:date="2025-05-13T09:50:00Z">
              <w:r w:rsidRPr="001B4A02">
                <w:delText>ASDAS neaktivní onemocnění</w:delText>
              </w:r>
            </w:del>
          </w:p>
        </w:tc>
        <w:tc>
          <w:tcPr>
            <w:tcW w:w="1939" w:type="dxa"/>
            <w:tcBorders>
              <w:top w:val="single" w:sz="4" w:space="0" w:color="auto"/>
              <w:left w:val="single" w:sz="4" w:space="0" w:color="auto"/>
              <w:bottom w:val="single" w:sz="4" w:space="0" w:color="auto"/>
              <w:right w:val="single" w:sz="4" w:space="0" w:color="auto"/>
            </w:tcBorders>
          </w:tcPr>
          <w:p w14:paraId="4D961E78" w14:textId="77777777" w:rsidR="00854195" w:rsidRPr="001B4A02" w:rsidRDefault="00000000" w:rsidP="00ED48A3">
            <w:pPr>
              <w:keepNext/>
              <w:tabs>
                <w:tab w:val="left" w:pos="562"/>
              </w:tabs>
              <w:suppressAutoHyphens/>
              <w:jc w:val="center"/>
              <w:rPr>
                <w:del w:id="6159" w:author="AbbVie1" w:date="2025-05-13T09:50:00Z"/>
              </w:rPr>
            </w:pPr>
            <w:del w:id="6160" w:author="AbbVie1" w:date="2025-05-13T09:50:00Z">
              <w:r w:rsidRPr="001B4A02">
                <w:delText>4</w:delText>
              </w:r>
              <w:r w:rsidR="00F274CD" w:rsidRPr="001B4A02">
                <w:rPr>
                  <w:b/>
                </w:rPr>
                <w:delText> </w:delText>
              </w:r>
              <w:r w:rsidRPr="001B4A02">
                <w:delText>%</w:delText>
              </w:r>
            </w:del>
          </w:p>
        </w:tc>
        <w:tc>
          <w:tcPr>
            <w:tcW w:w="1900" w:type="dxa"/>
            <w:tcBorders>
              <w:top w:val="single" w:sz="4" w:space="0" w:color="auto"/>
              <w:left w:val="single" w:sz="4" w:space="0" w:color="auto"/>
              <w:bottom w:val="single" w:sz="4" w:space="0" w:color="auto"/>
              <w:right w:val="single" w:sz="4" w:space="0" w:color="auto"/>
            </w:tcBorders>
          </w:tcPr>
          <w:p w14:paraId="131BC6E6" w14:textId="77777777" w:rsidR="00854195" w:rsidRPr="001B4A02" w:rsidRDefault="00000000" w:rsidP="00ED48A3">
            <w:pPr>
              <w:keepNext/>
              <w:tabs>
                <w:tab w:val="left" w:pos="562"/>
              </w:tabs>
              <w:suppressAutoHyphens/>
              <w:jc w:val="center"/>
              <w:rPr>
                <w:del w:id="6161" w:author="AbbVie1" w:date="2025-05-13T09:50:00Z"/>
              </w:rPr>
            </w:pPr>
            <w:del w:id="6162" w:author="AbbVie1" w:date="2025-05-13T09:50:00Z">
              <w:r w:rsidRPr="001B4A02">
                <w:delText>24</w:delText>
              </w:r>
              <w:r w:rsidR="00F274CD" w:rsidRPr="001B4A02">
                <w:rPr>
                  <w:b/>
                </w:rPr>
                <w:delText> </w:delText>
              </w:r>
              <w:r w:rsidRPr="001B4A02">
                <w:delText>%***</w:delText>
              </w:r>
            </w:del>
          </w:p>
        </w:tc>
      </w:tr>
      <w:tr w:rsidR="00534A2D" w14:paraId="453DFB74" w14:textId="77777777" w:rsidTr="00381D76">
        <w:trPr>
          <w:jc w:val="center"/>
          <w:del w:id="6163" w:author="AbbVie1" w:date="2025-05-13T09:50:00Z"/>
        </w:trPr>
        <w:tc>
          <w:tcPr>
            <w:tcW w:w="4820" w:type="dxa"/>
            <w:tcBorders>
              <w:top w:val="single" w:sz="4" w:space="0" w:color="auto"/>
              <w:left w:val="single" w:sz="4" w:space="0" w:color="auto"/>
              <w:bottom w:val="single" w:sz="4" w:space="0" w:color="auto"/>
              <w:right w:val="single" w:sz="4" w:space="0" w:color="auto"/>
            </w:tcBorders>
          </w:tcPr>
          <w:p w14:paraId="3AE1F34C" w14:textId="77777777" w:rsidR="00854195" w:rsidRPr="001B4A02" w:rsidRDefault="00000000" w:rsidP="00ED48A3">
            <w:pPr>
              <w:keepNext/>
              <w:tabs>
                <w:tab w:val="left" w:pos="562"/>
              </w:tabs>
              <w:suppressAutoHyphens/>
              <w:rPr>
                <w:del w:id="6164" w:author="AbbVie1" w:date="2025-05-13T09:50:00Z"/>
              </w:rPr>
            </w:pPr>
            <w:del w:id="6165" w:author="AbbVie1" w:date="2025-05-13T09:50:00Z">
              <w:r w:rsidRPr="001B4A02">
                <w:delText>hs-CRP</w:delText>
              </w:r>
              <w:r w:rsidRPr="001B4A02">
                <w:rPr>
                  <w:vertAlign w:val="superscript"/>
                </w:rPr>
                <w:delText>d,f,g</w:delText>
              </w:r>
            </w:del>
          </w:p>
        </w:tc>
        <w:tc>
          <w:tcPr>
            <w:tcW w:w="1939" w:type="dxa"/>
            <w:tcBorders>
              <w:top w:val="single" w:sz="4" w:space="0" w:color="auto"/>
              <w:left w:val="single" w:sz="4" w:space="0" w:color="auto"/>
              <w:bottom w:val="single" w:sz="4" w:space="0" w:color="auto"/>
              <w:right w:val="single" w:sz="4" w:space="0" w:color="auto"/>
            </w:tcBorders>
          </w:tcPr>
          <w:p w14:paraId="093F8BCC" w14:textId="77777777" w:rsidR="00854195" w:rsidRPr="001B4A02" w:rsidRDefault="00000000" w:rsidP="00ED48A3">
            <w:pPr>
              <w:keepNext/>
              <w:tabs>
                <w:tab w:val="left" w:pos="562"/>
              </w:tabs>
              <w:suppressAutoHyphens/>
              <w:jc w:val="center"/>
              <w:rPr>
                <w:del w:id="6166" w:author="AbbVie1" w:date="2025-05-13T09:50:00Z"/>
              </w:rPr>
            </w:pPr>
            <w:del w:id="6167" w:author="AbbVie1" w:date="2025-05-13T09:50:00Z">
              <w:r w:rsidRPr="001B4A02">
                <w:delText>-0</w:delText>
              </w:r>
              <w:r w:rsidR="004D39F2" w:rsidRPr="001B4A02">
                <w:delText>,</w:delText>
              </w:r>
              <w:r w:rsidRPr="001B4A02">
                <w:delText>3</w:delText>
              </w:r>
            </w:del>
          </w:p>
        </w:tc>
        <w:tc>
          <w:tcPr>
            <w:tcW w:w="1900" w:type="dxa"/>
            <w:tcBorders>
              <w:top w:val="single" w:sz="4" w:space="0" w:color="auto"/>
              <w:left w:val="single" w:sz="4" w:space="0" w:color="auto"/>
              <w:bottom w:val="single" w:sz="4" w:space="0" w:color="auto"/>
              <w:right w:val="single" w:sz="4" w:space="0" w:color="auto"/>
            </w:tcBorders>
          </w:tcPr>
          <w:p w14:paraId="65E2B4C6" w14:textId="77777777" w:rsidR="00854195" w:rsidRPr="001B4A02" w:rsidRDefault="00000000" w:rsidP="00ED48A3">
            <w:pPr>
              <w:keepNext/>
              <w:tabs>
                <w:tab w:val="left" w:pos="562"/>
              </w:tabs>
              <w:suppressAutoHyphens/>
              <w:jc w:val="center"/>
              <w:rPr>
                <w:del w:id="6168" w:author="AbbVie1" w:date="2025-05-13T09:50:00Z"/>
              </w:rPr>
            </w:pPr>
            <w:del w:id="6169" w:author="AbbVie1" w:date="2025-05-13T09:50:00Z">
              <w:r w:rsidRPr="001B4A02">
                <w:delText>-4</w:delText>
              </w:r>
              <w:r w:rsidR="004D39F2" w:rsidRPr="001B4A02">
                <w:delText>,</w:delText>
              </w:r>
              <w:r w:rsidRPr="001B4A02">
                <w:delText>7***</w:delText>
              </w:r>
            </w:del>
          </w:p>
        </w:tc>
      </w:tr>
      <w:tr w:rsidR="00534A2D" w14:paraId="4057D67C" w14:textId="77777777" w:rsidTr="00381D76">
        <w:trPr>
          <w:jc w:val="center"/>
          <w:del w:id="6170" w:author="AbbVie1" w:date="2025-05-13T09:50:00Z"/>
        </w:trPr>
        <w:tc>
          <w:tcPr>
            <w:tcW w:w="4820" w:type="dxa"/>
            <w:tcBorders>
              <w:top w:val="single" w:sz="4" w:space="0" w:color="auto"/>
              <w:left w:val="single" w:sz="4" w:space="0" w:color="auto"/>
              <w:bottom w:val="single" w:sz="4" w:space="0" w:color="auto"/>
              <w:right w:val="single" w:sz="4" w:space="0" w:color="auto"/>
            </w:tcBorders>
          </w:tcPr>
          <w:p w14:paraId="75E45DB7" w14:textId="77777777" w:rsidR="00854195" w:rsidRPr="001B4A02" w:rsidRDefault="00000000" w:rsidP="00ED48A3">
            <w:pPr>
              <w:keepNext/>
              <w:tabs>
                <w:tab w:val="left" w:pos="562"/>
              </w:tabs>
              <w:suppressAutoHyphens/>
              <w:rPr>
                <w:del w:id="6171" w:author="AbbVie1" w:date="2025-05-13T09:50:00Z"/>
              </w:rPr>
            </w:pPr>
            <w:del w:id="6172" w:author="AbbVie1" w:date="2025-05-13T09:50:00Z">
              <w:r w:rsidRPr="001B4A02">
                <w:delText>SPARCC</w:delText>
              </w:r>
              <w:r w:rsidRPr="001B4A02">
                <w:rPr>
                  <w:vertAlign w:val="superscript"/>
                </w:rPr>
                <w:delText>h</w:delText>
              </w:r>
              <w:r w:rsidRPr="001B4A02">
                <w:delText xml:space="preserve"> MRI sakroiliakální klouby</w:delText>
              </w:r>
              <w:r w:rsidRPr="001B4A02">
                <w:rPr>
                  <w:vertAlign w:val="superscript"/>
                </w:rPr>
                <w:delText>d,i</w:delText>
              </w:r>
            </w:del>
          </w:p>
        </w:tc>
        <w:tc>
          <w:tcPr>
            <w:tcW w:w="1939" w:type="dxa"/>
            <w:tcBorders>
              <w:top w:val="single" w:sz="4" w:space="0" w:color="auto"/>
              <w:left w:val="single" w:sz="4" w:space="0" w:color="auto"/>
              <w:bottom w:val="single" w:sz="4" w:space="0" w:color="auto"/>
              <w:right w:val="single" w:sz="4" w:space="0" w:color="auto"/>
            </w:tcBorders>
          </w:tcPr>
          <w:p w14:paraId="54EC27BF" w14:textId="77777777" w:rsidR="00854195" w:rsidRPr="001B4A02" w:rsidRDefault="00000000" w:rsidP="00ED48A3">
            <w:pPr>
              <w:keepNext/>
              <w:tabs>
                <w:tab w:val="left" w:pos="562"/>
              </w:tabs>
              <w:suppressAutoHyphens/>
              <w:jc w:val="center"/>
              <w:rPr>
                <w:del w:id="6173" w:author="AbbVie1" w:date="2025-05-13T09:50:00Z"/>
              </w:rPr>
            </w:pPr>
            <w:del w:id="6174" w:author="AbbVie1" w:date="2025-05-13T09:50:00Z">
              <w:r w:rsidRPr="001B4A02">
                <w:delText>-0</w:delText>
              </w:r>
              <w:r w:rsidR="004D39F2" w:rsidRPr="001B4A02">
                <w:delText>,</w:delText>
              </w:r>
              <w:r w:rsidRPr="001B4A02">
                <w:delText>6</w:delText>
              </w:r>
            </w:del>
          </w:p>
        </w:tc>
        <w:tc>
          <w:tcPr>
            <w:tcW w:w="1900" w:type="dxa"/>
            <w:tcBorders>
              <w:top w:val="single" w:sz="4" w:space="0" w:color="auto"/>
              <w:left w:val="single" w:sz="4" w:space="0" w:color="auto"/>
              <w:bottom w:val="single" w:sz="4" w:space="0" w:color="auto"/>
              <w:right w:val="single" w:sz="4" w:space="0" w:color="auto"/>
            </w:tcBorders>
          </w:tcPr>
          <w:p w14:paraId="02BDA461" w14:textId="77777777" w:rsidR="00854195" w:rsidRPr="001B4A02" w:rsidRDefault="00000000" w:rsidP="00ED48A3">
            <w:pPr>
              <w:keepNext/>
              <w:tabs>
                <w:tab w:val="left" w:pos="562"/>
              </w:tabs>
              <w:suppressAutoHyphens/>
              <w:jc w:val="center"/>
              <w:rPr>
                <w:del w:id="6175" w:author="AbbVie1" w:date="2025-05-13T09:50:00Z"/>
              </w:rPr>
            </w:pPr>
            <w:del w:id="6176" w:author="AbbVie1" w:date="2025-05-13T09:50:00Z">
              <w:r w:rsidRPr="001B4A02">
                <w:delText>-3</w:delText>
              </w:r>
              <w:r w:rsidR="004D39F2" w:rsidRPr="001B4A02">
                <w:delText>,</w:delText>
              </w:r>
              <w:r w:rsidRPr="001B4A02">
                <w:delText>2**</w:delText>
              </w:r>
            </w:del>
          </w:p>
        </w:tc>
      </w:tr>
      <w:tr w:rsidR="00534A2D" w14:paraId="543118F2" w14:textId="77777777" w:rsidTr="00381D76">
        <w:trPr>
          <w:jc w:val="center"/>
          <w:del w:id="6177" w:author="AbbVie1" w:date="2025-05-13T09:50:00Z"/>
        </w:trPr>
        <w:tc>
          <w:tcPr>
            <w:tcW w:w="4820" w:type="dxa"/>
            <w:tcBorders>
              <w:top w:val="single" w:sz="4" w:space="0" w:color="auto"/>
              <w:left w:val="single" w:sz="4" w:space="0" w:color="auto"/>
              <w:bottom w:val="single" w:sz="4" w:space="0" w:color="auto"/>
              <w:right w:val="single" w:sz="4" w:space="0" w:color="auto"/>
            </w:tcBorders>
          </w:tcPr>
          <w:p w14:paraId="04CC2433" w14:textId="77777777" w:rsidR="00854195" w:rsidRPr="001B4A02" w:rsidRDefault="00000000" w:rsidP="00ED48A3">
            <w:pPr>
              <w:keepNext/>
              <w:tabs>
                <w:tab w:val="left" w:pos="562"/>
              </w:tabs>
              <w:suppressAutoHyphens/>
              <w:rPr>
                <w:del w:id="6178" w:author="AbbVie1" w:date="2025-05-13T09:50:00Z"/>
              </w:rPr>
            </w:pPr>
            <w:del w:id="6179" w:author="AbbVie1" w:date="2025-05-13T09:50:00Z">
              <w:r w:rsidRPr="001B4A02">
                <w:delText>SPARCC MRI páteř</w:delText>
              </w:r>
              <w:r w:rsidRPr="001B4A02">
                <w:rPr>
                  <w:vertAlign w:val="superscript"/>
                </w:rPr>
                <w:delText>d,j</w:delText>
              </w:r>
            </w:del>
          </w:p>
        </w:tc>
        <w:tc>
          <w:tcPr>
            <w:tcW w:w="1939" w:type="dxa"/>
            <w:tcBorders>
              <w:top w:val="single" w:sz="4" w:space="0" w:color="auto"/>
              <w:left w:val="single" w:sz="4" w:space="0" w:color="auto"/>
              <w:bottom w:val="single" w:sz="4" w:space="0" w:color="auto"/>
              <w:right w:val="single" w:sz="4" w:space="0" w:color="auto"/>
            </w:tcBorders>
          </w:tcPr>
          <w:p w14:paraId="26957825" w14:textId="77777777" w:rsidR="00854195" w:rsidRPr="001B4A02" w:rsidRDefault="00000000" w:rsidP="00ED48A3">
            <w:pPr>
              <w:keepNext/>
              <w:tabs>
                <w:tab w:val="left" w:pos="562"/>
              </w:tabs>
              <w:suppressAutoHyphens/>
              <w:jc w:val="center"/>
              <w:rPr>
                <w:del w:id="6180" w:author="AbbVie1" w:date="2025-05-13T09:50:00Z"/>
              </w:rPr>
            </w:pPr>
            <w:del w:id="6181" w:author="AbbVie1" w:date="2025-05-13T09:50:00Z">
              <w:r w:rsidRPr="001B4A02">
                <w:delText>-0</w:delText>
              </w:r>
              <w:r w:rsidR="004D39F2" w:rsidRPr="001B4A02">
                <w:delText>,</w:delText>
              </w:r>
              <w:r w:rsidRPr="001B4A02">
                <w:delText>2</w:delText>
              </w:r>
            </w:del>
          </w:p>
        </w:tc>
        <w:tc>
          <w:tcPr>
            <w:tcW w:w="1900" w:type="dxa"/>
            <w:tcBorders>
              <w:top w:val="single" w:sz="4" w:space="0" w:color="auto"/>
              <w:left w:val="single" w:sz="4" w:space="0" w:color="auto"/>
              <w:bottom w:val="single" w:sz="4" w:space="0" w:color="auto"/>
              <w:right w:val="single" w:sz="4" w:space="0" w:color="auto"/>
            </w:tcBorders>
          </w:tcPr>
          <w:p w14:paraId="4F2EDF15" w14:textId="77777777" w:rsidR="00854195" w:rsidRPr="001B4A02" w:rsidRDefault="00000000" w:rsidP="00ED48A3">
            <w:pPr>
              <w:keepNext/>
              <w:tabs>
                <w:tab w:val="left" w:pos="562"/>
              </w:tabs>
              <w:suppressAutoHyphens/>
              <w:jc w:val="center"/>
              <w:rPr>
                <w:del w:id="6182" w:author="AbbVie1" w:date="2025-05-13T09:50:00Z"/>
              </w:rPr>
            </w:pPr>
            <w:del w:id="6183" w:author="AbbVie1" w:date="2025-05-13T09:50:00Z">
              <w:r w:rsidRPr="001B4A02">
                <w:delText>-1</w:delText>
              </w:r>
              <w:r w:rsidR="004D39F2" w:rsidRPr="001B4A02">
                <w:delText>,</w:delText>
              </w:r>
              <w:r w:rsidRPr="001B4A02">
                <w:delText>8**</w:delText>
              </w:r>
            </w:del>
          </w:p>
        </w:tc>
      </w:tr>
      <w:tr w:rsidR="00534A2D" w14:paraId="73E15DFA" w14:textId="77777777" w:rsidTr="00984A88">
        <w:trPr>
          <w:trHeight w:val="2835"/>
          <w:jc w:val="center"/>
          <w:del w:id="6184" w:author="AbbVie1" w:date="2025-05-13T09:50:00Z"/>
        </w:trPr>
        <w:tc>
          <w:tcPr>
            <w:tcW w:w="8659" w:type="dxa"/>
            <w:gridSpan w:val="3"/>
            <w:tcBorders>
              <w:top w:val="single" w:sz="4" w:space="0" w:color="auto"/>
              <w:left w:val="nil"/>
              <w:bottom w:val="nil"/>
              <w:right w:val="nil"/>
            </w:tcBorders>
          </w:tcPr>
          <w:p w14:paraId="7A96E077" w14:textId="77777777" w:rsidR="00EC61F9" w:rsidRPr="000C0B0A" w:rsidRDefault="00000000" w:rsidP="00ED48A3">
            <w:pPr>
              <w:keepNext/>
              <w:tabs>
                <w:tab w:val="left" w:pos="708"/>
              </w:tabs>
              <w:autoSpaceDE w:val="0"/>
              <w:autoSpaceDN w:val="0"/>
              <w:adjustRightInd w:val="0"/>
              <w:rPr>
                <w:del w:id="6185" w:author="AbbVie1" w:date="2025-05-13T09:50:00Z"/>
                <w:szCs w:val="22"/>
              </w:rPr>
            </w:pPr>
            <w:del w:id="6186" w:author="AbbVie1" w:date="2025-05-13T09:50:00Z">
              <w:r w:rsidRPr="000C0B0A">
                <w:rPr>
                  <w:szCs w:val="22"/>
                  <w:vertAlign w:val="superscript"/>
                </w:rPr>
                <w:delText>a</w:delText>
              </w:r>
              <w:r w:rsidRPr="000C0B0A">
                <w:rPr>
                  <w:szCs w:val="22"/>
                </w:rPr>
                <w:delText xml:space="preserve"> Assessments </w:delText>
              </w:r>
              <w:r w:rsidR="00854195" w:rsidRPr="000C0B0A">
                <w:rPr>
                  <w:szCs w:val="22"/>
                </w:rPr>
                <w:delText>of</w:delText>
              </w:r>
              <w:r w:rsidRPr="000C0B0A">
                <w:rPr>
                  <w:szCs w:val="22"/>
                </w:rPr>
                <w:delText xml:space="preserve"> Spondylo</w:delText>
              </w:r>
              <w:r w:rsidR="00254C37">
                <w:rPr>
                  <w:szCs w:val="22"/>
                </w:rPr>
                <w:delText>A</w:delText>
              </w:r>
              <w:r w:rsidRPr="000C0B0A">
                <w:rPr>
                  <w:szCs w:val="22"/>
                </w:rPr>
                <w:delText>rthritis International Society</w:delText>
              </w:r>
              <w:r w:rsidR="00717647" w:rsidRPr="000C0B0A">
                <w:rPr>
                  <w:szCs w:val="22"/>
                </w:rPr>
                <w:delText>, stanovení stupně AS</w:delText>
              </w:r>
            </w:del>
          </w:p>
          <w:p w14:paraId="092E2C4C" w14:textId="77777777" w:rsidR="00EC61F9" w:rsidRPr="000C0B0A" w:rsidRDefault="00000000" w:rsidP="00ED48A3">
            <w:pPr>
              <w:pStyle w:val="EMEANormal"/>
              <w:keepNext/>
              <w:ind w:left="20"/>
              <w:rPr>
                <w:del w:id="6187" w:author="AbbVie1" w:date="2025-05-13T09:50:00Z"/>
                <w:szCs w:val="22"/>
                <w:lang w:val="cs-CZ"/>
              </w:rPr>
            </w:pPr>
            <w:del w:id="6188" w:author="AbbVie1" w:date="2025-05-13T09:50:00Z">
              <w:r w:rsidRPr="000C0B0A">
                <w:rPr>
                  <w:szCs w:val="22"/>
                  <w:vertAlign w:val="superscript"/>
                  <w:lang w:val="cs-CZ"/>
                </w:rPr>
                <w:delText>b</w:delText>
              </w:r>
              <w:r w:rsidRPr="000C0B0A">
                <w:rPr>
                  <w:szCs w:val="22"/>
                  <w:lang w:val="cs-CZ"/>
                </w:rPr>
                <w:delText xml:space="preserve"> Bath Ankylosing Spondylitis Disease Activity Index</w:delText>
              </w:r>
            </w:del>
          </w:p>
          <w:p w14:paraId="4B6604D9" w14:textId="77777777" w:rsidR="00854195" w:rsidRPr="00932F07" w:rsidRDefault="00000000" w:rsidP="00ED48A3">
            <w:pPr>
              <w:pStyle w:val="EMEANormal"/>
              <w:keepNext/>
              <w:ind w:left="20"/>
              <w:rPr>
                <w:del w:id="6189" w:author="AbbVie1" w:date="2025-05-13T09:50:00Z"/>
                <w:szCs w:val="22"/>
                <w:lang w:val="cs-CZ"/>
              </w:rPr>
            </w:pPr>
            <w:del w:id="6190" w:author="AbbVie1" w:date="2025-05-13T09:50:00Z">
              <w:r w:rsidRPr="004B4C5D">
                <w:rPr>
                  <w:szCs w:val="22"/>
                  <w:vertAlign w:val="superscript"/>
                  <w:lang w:val="cs-CZ"/>
                </w:rPr>
                <w:delText>c</w:delText>
              </w:r>
              <w:r w:rsidRPr="004B4C5D">
                <w:rPr>
                  <w:szCs w:val="22"/>
                  <w:lang w:val="cs-CZ"/>
                </w:rPr>
                <w:delText xml:space="preserve"> Ankylosing Spondylitis Disease Activity Score</w:delText>
              </w:r>
            </w:del>
          </w:p>
          <w:p w14:paraId="23D4DD3D" w14:textId="77777777" w:rsidR="00854195" w:rsidRPr="00C318F8" w:rsidRDefault="00000000" w:rsidP="00ED48A3">
            <w:pPr>
              <w:pStyle w:val="EMEANormal"/>
              <w:keepNext/>
              <w:ind w:left="20"/>
              <w:rPr>
                <w:del w:id="6191" w:author="AbbVie1" w:date="2025-05-13T09:50:00Z"/>
                <w:szCs w:val="22"/>
                <w:lang w:val="cs-CZ"/>
              </w:rPr>
            </w:pPr>
            <w:del w:id="6192" w:author="AbbVie1" w:date="2025-05-13T09:50:00Z">
              <w:r w:rsidRPr="007F3056">
                <w:rPr>
                  <w:szCs w:val="22"/>
                  <w:vertAlign w:val="superscript"/>
                  <w:lang w:val="cs-CZ"/>
                </w:rPr>
                <w:delText>d</w:delText>
              </w:r>
              <w:r w:rsidRPr="007F3056">
                <w:rPr>
                  <w:szCs w:val="22"/>
                  <w:lang w:val="cs-CZ"/>
                </w:rPr>
                <w:delText xml:space="preserve"> střední hodnota v</w:delText>
              </w:r>
              <w:r w:rsidR="00B176EA" w:rsidRPr="007F3056">
                <w:rPr>
                  <w:szCs w:val="22"/>
                  <w:lang w:val="cs-CZ"/>
                </w:rPr>
                <w:delText> </w:delText>
              </w:r>
              <w:r w:rsidRPr="00C318F8">
                <w:rPr>
                  <w:szCs w:val="22"/>
                  <w:lang w:val="cs-CZ"/>
                </w:rPr>
                <w:delText>porovnání s</w:delText>
              </w:r>
              <w:r w:rsidR="00B176EA" w:rsidRPr="00C318F8">
                <w:rPr>
                  <w:szCs w:val="22"/>
                  <w:lang w:val="cs-CZ"/>
                </w:rPr>
                <w:delText> </w:delText>
              </w:r>
              <w:r w:rsidRPr="00C318F8">
                <w:rPr>
                  <w:szCs w:val="22"/>
                  <w:lang w:val="cs-CZ"/>
                </w:rPr>
                <w:delText>výchozí hodnotou</w:delText>
              </w:r>
            </w:del>
          </w:p>
          <w:p w14:paraId="38382FEC" w14:textId="77777777" w:rsidR="00854195" w:rsidRPr="004B4C5D" w:rsidRDefault="00000000" w:rsidP="00ED48A3">
            <w:pPr>
              <w:pStyle w:val="EMEANormal"/>
              <w:keepNext/>
              <w:ind w:left="20"/>
              <w:rPr>
                <w:del w:id="6193" w:author="AbbVie1" w:date="2025-05-13T09:50:00Z"/>
                <w:szCs w:val="22"/>
                <w:lang w:val="cs-CZ"/>
              </w:rPr>
            </w:pPr>
            <w:del w:id="6194" w:author="AbbVie1" w:date="2025-05-13T09:50:00Z">
              <w:r w:rsidRPr="004B4C5D">
                <w:rPr>
                  <w:szCs w:val="22"/>
                  <w:vertAlign w:val="superscript"/>
                  <w:lang w:val="cs-CZ"/>
                </w:rPr>
                <w:delText>e</w:delText>
              </w:r>
              <w:r w:rsidRPr="004B4C5D">
                <w:rPr>
                  <w:szCs w:val="22"/>
                  <w:lang w:val="cs-CZ"/>
                </w:rPr>
                <w:delText xml:space="preserve"> n=91 placebo</w:delText>
              </w:r>
              <w:r w:rsidR="002378E0">
                <w:rPr>
                  <w:szCs w:val="22"/>
                  <w:lang w:val="cs-CZ"/>
                </w:rPr>
                <w:delText xml:space="preserve"> a </w:delText>
              </w:r>
              <w:r w:rsidRPr="004B4C5D">
                <w:rPr>
                  <w:szCs w:val="22"/>
                  <w:lang w:val="cs-CZ"/>
                </w:rPr>
                <w:delText>n=87 Humira</w:delText>
              </w:r>
            </w:del>
          </w:p>
          <w:p w14:paraId="5E934481" w14:textId="77777777" w:rsidR="00854195" w:rsidRPr="004B4C5D" w:rsidRDefault="00000000" w:rsidP="00ED48A3">
            <w:pPr>
              <w:pStyle w:val="EMEANormal"/>
              <w:keepNext/>
              <w:ind w:left="20"/>
              <w:rPr>
                <w:del w:id="6195" w:author="AbbVie1" w:date="2025-05-13T09:50:00Z"/>
                <w:szCs w:val="22"/>
                <w:lang w:val="cs-CZ"/>
              </w:rPr>
            </w:pPr>
            <w:del w:id="6196" w:author="AbbVie1" w:date="2025-05-13T09:50:00Z">
              <w:r w:rsidRPr="004B4C5D">
                <w:rPr>
                  <w:szCs w:val="22"/>
                  <w:vertAlign w:val="superscript"/>
                  <w:lang w:val="cs-CZ"/>
                </w:rPr>
                <w:delText>f</w:delText>
              </w:r>
              <w:r w:rsidRPr="004B4C5D">
                <w:rPr>
                  <w:szCs w:val="22"/>
                  <w:lang w:val="cs-CZ"/>
                </w:rPr>
                <w:delText xml:space="preserve"> vysoká citlivost C-reaktivního proteinu (mg/l)</w:delText>
              </w:r>
            </w:del>
          </w:p>
          <w:p w14:paraId="52B7E58C" w14:textId="77777777" w:rsidR="00854195" w:rsidRPr="004B4C5D" w:rsidRDefault="00000000" w:rsidP="00ED48A3">
            <w:pPr>
              <w:pStyle w:val="EMEANormal"/>
              <w:keepNext/>
              <w:ind w:left="20"/>
              <w:rPr>
                <w:del w:id="6197" w:author="AbbVie1" w:date="2025-05-13T09:50:00Z"/>
                <w:szCs w:val="22"/>
                <w:lang w:val="cs-CZ"/>
              </w:rPr>
            </w:pPr>
            <w:del w:id="6198" w:author="AbbVie1" w:date="2025-05-13T09:50:00Z">
              <w:r w:rsidRPr="004B4C5D">
                <w:rPr>
                  <w:szCs w:val="22"/>
                  <w:vertAlign w:val="superscript"/>
                  <w:lang w:val="cs-CZ"/>
                </w:rPr>
                <w:delText>g</w:delText>
              </w:r>
              <w:r w:rsidRPr="004B4C5D">
                <w:rPr>
                  <w:szCs w:val="22"/>
                  <w:lang w:val="cs-CZ"/>
                </w:rPr>
                <w:delText xml:space="preserve"> n=73 placebo</w:delText>
              </w:r>
              <w:r w:rsidR="002378E0">
                <w:rPr>
                  <w:szCs w:val="22"/>
                  <w:lang w:val="cs-CZ"/>
                </w:rPr>
                <w:delText xml:space="preserve"> a </w:delText>
              </w:r>
              <w:r w:rsidRPr="004B4C5D">
                <w:rPr>
                  <w:szCs w:val="22"/>
                  <w:lang w:val="cs-CZ"/>
                </w:rPr>
                <w:delText>n=70 Humira</w:delText>
              </w:r>
            </w:del>
          </w:p>
          <w:p w14:paraId="73EE2025" w14:textId="77777777" w:rsidR="00854195" w:rsidRPr="004B4C5D" w:rsidRDefault="00000000" w:rsidP="00ED48A3">
            <w:pPr>
              <w:pStyle w:val="EMEANormal"/>
              <w:keepNext/>
              <w:ind w:left="20"/>
              <w:rPr>
                <w:del w:id="6199" w:author="AbbVie1" w:date="2025-05-13T09:50:00Z"/>
                <w:szCs w:val="22"/>
                <w:lang w:val="cs-CZ"/>
              </w:rPr>
            </w:pPr>
            <w:del w:id="6200" w:author="AbbVie1" w:date="2025-05-13T09:50:00Z">
              <w:r w:rsidRPr="004B4C5D">
                <w:rPr>
                  <w:szCs w:val="22"/>
                  <w:vertAlign w:val="superscript"/>
                  <w:lang w:val="cs-CZ"/>
                </w:rPr>
                <w:delText>h</w:delText>
              </w:r>
              <w:r w:rsidRPr="004B4C5D">
                <w:rPr>
                  <w:szCs w:val="22"/>
                  <w:lang w:val="cs-CZ"/>
                </w:rPr>
                <w:delText xml:space="preserve"> Spondyloarthritis Research Consortium of Canada</w:delText>
              </w:r>
            </w:del>
          </w:p>
          <w:p w14:paraId="1154280D" w14:textId="77777777" w:rsidR="00854195" w:rsidRPr="004B4C5D" w:rsidRDefault="00000000" w:rsidP="00ED48A3">
            <w:pPr>
              <w:pStyle w:val="EMEANormal"/>
              <w:keepNext/>
              <w:ind w:left="20"/>
              <w:rPr>
                <w:del w:id="6201" w:author="AbbVie1" w:date="2025-05-13T09:50:00Z"/>
                <w:szCs w:val="22"/>
                <w:lang w:val="cs-CZ"/>
              </w:rPr>
            </w:pPr>
            <w:del w:id="6202" w:author="AbbVie1" w:date="2025-05-13T09:50:00Z">
              <w:r w:rsidRPr="004B4C5D">
                <w:rPr>
                  <w:szCs w:val="22"/>
                  <w:vertAlign w:val="superscript"/>
                  <w:lang w:val="cs-CZ"/>
                </w:rPr>
                <w:delText>i</w:delText>
              </w:r>
              <w:r w:rsidRPr="004B4C5D">
                <w:rPr>
                  <w:szCs w:val="22"/>
                  <w:lang w:val="cs-CZ"/>
                </w:rPr>
                <w:delText xml:space="preserve"> n=84 placebo</w:delText>
              </w:r>
              <w:r w:rsidR="002378E0">
                <w:rPr>
                  <w:szCs w:val="22"/>
                  <w:lang w:val="cs-CZ"/>
                </w:rPr>
                <w:delText xml:space="preserve"> a </w:delText>
              </w:r>
              <w:r w:rsidRPr="004B4C5D">
                <w:rPr>
                  <w:szCs w:val="22"/>
                  <w:lang w:val="cs-CZ"/>
                </w:rPr>
                <w:delText>Humira</w:delText>
              </w:r>
            </w:del>
          </w:p>
          <w:p w14:paraId="649130E5" w14:textId="77777777" w:rsidR="00854195" w:rsidRPr="009A65BD" w:rsidRDefault="00000000" w:rsidP="00ED48A3">
            <w:pPr>
              <w:pStyle w:val="EMEANormal"/>
              <w:keepNext/>
              <w:ind w:left="20"/>
              <w:rPr>
                <w:del w:id="6203" w:author="AbbVie1" w:date="2025-05-13T09:50:00Z"/>
                <w:szCs w:val="22"/>
                <w:lang w:val="cs-CZ"/>
              </w:rPr>
            </w:pPr>
            <w:del w:id="6204" w:author="AbbVie1" w:date="2025-05-13T09:50:00Z">
              <w:r w:rsidRPr="004B4C5D">
                <w:rPr>
                  <w:szCs w:val="22"/>
                  <w:vertAlign w:val="superscript"/>
                  <w:lang w:val="cs-CZ"/>
                </w:rPr>
                <w:delText>j</w:delText>
              </w:r>
              <w:r w:rsidRPr="004B4C5D">
                <w:rPr>
                  <w:szCs w:val="22"/>
                  <w:lang w:val="cs-CZ"/>
                </w:rPr>
                <w:delText xml:space="preserve"> n=82 placebo</w:delText>
              </w:r>
              <w:r w:rsidR="002378E0">
                <w:rPr>
                  <w:szCs w:val="22"/>
                  <w:lang w:val="cs-CZ"/>
                </w:rPr>
                <w:delText xml:space="preserve"> a </w:delText>
              </w:r>
              <w:r w:rsidRPr="004B4C5D">
                <w:rPr>
                  <w:szCs w:val="22"/>
                  <w:lang w:val="cs-CZ"/>
                </w:rPr>
                <w:delText>n=85 Humira</w:delText>
              </w:r>
            </w:del>
          </w:p>
          <w:p w14:paraId="310DA78B" w14:textId="77777777" w:rsidR="00EC61F9" w:rsidRPr="001B4A02" w:rsidRDefault="00000000" w:rsidP="00190499">
            <w:pPr>
              <w:pStyle w:val="EMEANormal"/>
              <w:keepNext/>
              <w:ind w:left="20"/>
              <w:rPr>
                <w:del w:id="6205" w:author="AbbVie1" w:date="2025-05-13T09:50:00Z"/>
                <w:szCs w:val="24"/>
                <w:lang w:val="cs-CZ"/>
              </w:rPr>
            </w:pPr>
            <w:del w:id="6206" w:author="AbbVie1" w:date="2025-05-13T09:50:00Z">
              <w:r w:rsidRPr="000C0B0A">
                <w:rPr>
                  <w:szCs w:val="22"/>
                  <w:lang w:val="cs-CZ"/>
                </w:rPr>
                <w:delText>***, **, * Statistic</w:delText>
              </w:r>
              <w:r w:rsidR="00717647" w:rsidRPr="000C0B0A">
                <w:rPr>
                  <w:szCs w:val="22"/>
                  <w:lang w:val="cs-CZ"/>
                </w:rPr>
                <w:delText xml:space="preserve">ky </w:delText>
              </w:r>
              <w:r w:rsidRPr="000C0B0A">
                <w:rPr>
                  <w:szCs w:val="22"/>
                  <w:lang w:val="cs-CZ"/>
                </w:rPr>
                <w:delText>signifi</w:delText>
              </w:r>
              <w:r w:rsidR="00717647" w:rsidRPr="000C0B0A">
                <w:rPr>
                  <w:szCs w:val="22"/>
                  <w:lang w:val="cs-CZ"/>
                </w:rPr>
                <w:delText>k</w:delText>
              </w:r>
              <w:r w:rsidRPr="000C0B0A">
                <w:rPr>
                  <w:szCs w:val="22"/>
                  <w:lang w:val="cs-CZ"/>
                </w:rPr>
                <w:delText>ant</w:delText>
              </w:r>
              <w:r w:rsidR="00717647" w:rsidRPr="000C0B0A">
                <w:rPr>
                  <w:szCs w:val="22"/>
                  <w:lang w:val="cs-CZ"/>
                </w:rPr>
                <w:delText xml:space="preserve">ní při </w:delText>
              </w:r>
              <w:r w:rsidR="00411984" w:rsidRPr="000C0B0A">
                <w:rPr>
                  <w:szCs w:val="22"/>
                  <w:lang w:val="cs-CZ"/>
                </w:rPr>
                <w:delText>p &lt; 0,001, &lt; 0,</w:delText>
              </w:r>
              <w:r w:rsidR="00717647" w:rsidRPr="000C0B0A">
                <w:rPr>
                  <w:szCs w:val="22"/>
                  <w:lang w:val="cs-CZ"/>
                </w:rPr>
                <w:delText>01</w:delText>
              </w:r>
              <w:r w:rsidR="002378E0">
                <w:rPr>
                  <w:szCs w:val="22"/>
                  <w:lang w:val="cs-CZ"/>
                </w:rPr>
                <w:delText xml:space="preserve"> a </w:delText>
              </w:r>
              <w:r w:rsidR="00411984" w:rsidRPr="000C0B0A">
                <w:rPr>
                  <w:szCs w:val="22"/>
                  <w:lang w:val="cs-CZ"/>
                </w:rPr>
                <w:delText>&lt;</w:delText>
              </w:r>
              <w:r w:rsidR="00190499" w:rsidRPr="000C0B0A">
                <w:rPr>
                  <w:szCs w:val="22"/>
                  <w:lang w:val="cs-CZ"/>
                </w:rPr>
                <w:delText> </w:delText>
              </w:r>
              <w:r w:rsidR="00411984" w:rsidRPr="000C0B0A">
                <w:rPr>
                  <w:szCs w:val="22"/>
                  <w:lang w:val="cs-CZ"/>
                </w:rPr>
                <w:delText>0,</w:delText>
              </w:r>
              <w:r w:rsidRPr="000C0B0A">
                <w:rPr>
                  <w:szCs w:val="22"/>
                  <w:lang w:val="cs-CZ"/>
                </w:rPr>
                <w:delText xml:space="preserve">05, </w:delText>
              </w:r>
              <w:r w:rsidR="00717647" w:rsidRPr="000C0B0A">
                <w:rPr>
                  <w:szCs w:val="22"/>
                  <w:lang w:val="cs-CZ"/>
                </w:rPr>
                <w:delText>v</w:delText>
              </w:r>
              <w:r w:rsidR="00B176EA" w:rsidRPr="000C0B0A">
                <w:rPr>
                  <w:szCs w:val="22"/>
                  <w:lang w:val="cs-CZ"/>
                </w:rPr>
                <w:delText> </w:delText>
              </w:r>
              <w:r w:rsidR="00717647" w:rsidRPr="000C0B0A">
                <w:rPr>
                  <w:szCs w:val="22"/>
                  <w:lang w:val="cs-CZ"/>
                </w:rPr>
                <w:delText>tomto pořadí</w:delText>
              </w:r>
              <w:r w:rsidRPr="000C0B0A">
                <w:rPr>
                  <w:szCs w:val="22"/>
                  <w:lang w:val="cs-CZ"/>
                </w:rPr>
                <w:delText xml:space="preserve">, </w:delText>
              </w:r>
              <w:r w:rsidR="00717647" w:rsidRPr="000C0B0A">
                <w:rPr>
                  <w:szCs w:val="22"/>
                  <w:lang w:val="cs-CZ"/>
                </w:rPr>
                <w:delText>pro všechna srovnání mezi přípravkem Humira</w:delText>
              </w:r>
              <w:r w:rsidR="002378E0">
                <w:rPr>
                  <w:szCs w:val="22"/>
                  <w:lang w:val="cs-CZ"/>
                </w:rPr>
                <w:delText xml:space="preserve"> a </w:delText>
              </w:r>
              <w:r w:rsidR="00717647" w:rsidRPr="000C0B0A">
                <w:rPr>
                  <w:szCs w:val="22"/>
                  <w:lang w:val="cs-CZ"/>
                </w:rPr>
                <w:delText>placebem</w:delText>
              </w:r>
              <w:r w:rsidRPr="000C0B0A">
                <w:rPr>
                  <w:szCs w:val="22"/>
                  <w:lang w:val="cs-CZ"/>
                </w:rPr>
                <w:delText>.</w:delText>
              </w:r>
            </w:del>
          </w:p>
        </w:tc>
      </w:tr>
    </w:tbl>
    <w:p w14:paraId="27DF41E6" w14:textId="77777777" w:rsidR="00EC61F9" w:rsidRPr="001B4A02" w:rsidRDefault="00EC61F9" w:rsidP="00ED48A3">
      <w:pPr>
        <w:pStyle w:val="EMEANormal"/>
        <w:rPr>
          <w:del w:id="6207" w:author="AbbVie1" w:date="2025-05-13T09:50:00Z"/>
          <w:lang w:val="cs-CZ"/>
        </w:rPr>
      </w:pPr>
    </w:p>
    <w:p w14:paraId="3AEFD49E" w14:textId="77777777" w:rsidR="00854195" w:rsidRPr="001B4A02" w:rsidRDefault="00000000" w:rsidP="00ED48A3">
      <w:pPr>
        <w:pStyle w:val="EMEANormal"/>
        <w:rPr>
          <w:del w:id="6208" w:author="AbbVie1" w:date="2025-05-13T09:50:00Z"/>
          <w:lang w:val="cs-CZ"/>
        </w:rPr>
      </w:pPr>
      <w:del w:id="6209" w:author="AbbVie1" w:date="2025-05-13T09:50:00Z">
        <w:r w:rsidRPr="001B4A02">
          <w:rPr>
            <w:lang w:val="cs-CZ"/>
          </w:rPr>
          <w:delText>V otevřené fázi prodloužené studie bylo zlepšení příznaků</w:delText>
        </w:r>
        <w:r w:rsidR="002378E0">
          <w:rPr>
            <w:lang w:val="cs-CZ"/>
          </w:rPr>
          <w:delText xml:space="preserve"> a </w:delText>
        </w:r>
        <w:r w:rsidRPr="001B4A02">
          <w:rPr>
            <w:lang w:val="cs-CZ"/>
          </w:rPr>
          <w:delText>symptomů udrženo při léčbě přípravkem Humira do týdne 156.</w:delText>
        </w:r>
      </w:del>
    </w:p>
    <w:p w14:paraId="1DBC96DB" w14:textId="77777777" w:rsidR="00854195" w:rsidRPr="001B4A02" w:rsidRDefault="00854195" w:rsidP="00ED48A3">
      <w:pPr>
        <w:pStyle w:val="EMEANormal"/>
        <w:rPr>
          <w:del w:id="6210" w:author="AbbVie1" w:date="2025-05-13T09:50:00Z"/>
          <w:lang w:val="cs-CZ"/>
        </w:rPr>
      </w:pPr>
    </w:p>
    <w:p w14:paraId="66F400C9" w14:textId="77777777" w:rsidR="00854195" w:rsidRPr="001B4A02" w:rsidRDefault="00000000" w:rsidP="00603F6E">
      <w:pPr>
        <w:pStyle w:val="EMEANormal"/>
        <w:keepNext/>
        <w:rPr>
          <w:del w:id="6211" w:author="AbbVie1" w:date="2025-05-13T09:50:00Z"/>
          <w:lang w:val="cs-CZ"/>
        </w:rPr>
      </w:pPr>
      <w:del w:id="6212" w:author="AbbVie1" w:date="2025-05-13T09:50:00Z">
        <w:r w:rsidRPr="001B4A02">
          <w:rPr>
            <w:lang w:val="cs-CZ"/>
          </w:rPr>
          <w:delText>Inhibice zánětu</w:delText>
        </w:r>
      </w:del>
    </w:p>
    <w:p w14:paraId="39CF05D2" w14:textId="77777777" w:rsidR="00854195" w:rsidRPr="001B4A02" w:rsidRDefault="00854195" w:rsidP="00603F6E">
      <w:pPr>
        <w:pStyle w:val="EMEANormal"/>
        <w:keepNext/>
        <w:rPr>
          <w:del w:id="6213" w:author="AbbVie1" w:date="2025-05-13T09:50:00Z"/>
          <w:lang w:val="cs-CZ"/>
        </w:rPr>
      </w:pPr>
    </w:p>
    <w:p w14:paraId="561F2B38" w14:textId="77777777" w:rsidR="00854195" w:rsidRPr="001B4A02" w:rsidRDefault="00000000" w:rsidP="00CE5DAE">
      <w:pPr>
        <w:pStyle w:val="EMEANormal"/>
        <w:rPr>
          <w:del w:id="6214" w:author="AbbVie1" w:date="2025-05-13T09:50:00Z"/>
          <w:lang w:val="cs-CZ"/>
        </w:rPr>
      </w:pPr>
      <w:del w:id="6215" w:author="AbbVie1" w:date="2025-05-13T09:50:00Z">
        <w:r w:rsidRPr="001B4A02">
          <w:rPr>
            <w:lang w:val="cs-CZ"/>
          </w:rPr>
          <w:delText>U pacientů léčených přípravkem Humira do týdne 156, resp. týdne 104, bylo udrženo významné zlepšení příznaků zánětu měřených hs-CRP</w:delText>
        </w:r>
        <w:r w:rsidR="002378E0">
          <w:rPr>
            <w:lang w:val="cs-CZ"/>
          </w:rPr>
          <w:delText xml:space="preserve"> a </w:delText>
        </w:r>
        <w:r w:rsidRPr="001B4A02">
          <w:rPr>
            <w:lang w:val="cs-CZ"/>
          </w:rPr>
          <w:delText>MRI u</w:delText>
        </w:r>
        <w:r w:rsidR="00B176EA" w:rsidRPr="001B4A02">
          <w:rPr>
            <w:lang w:val="cs-CZ"/>
          </w:rPr>
          <w:delText> </w:delText>
        </w:r>
        <w:r w:rsidR="00437935" w:rsidRPr="001B4A02">
          <w:rPr>
            <w:lang w:val="cs-CZ"/>
          </w:rPr>
          <w:delText xml:space="preserve">obou </w:delText>
        </w:r>
        <w:r w:rsidRPr="001B4A02">
          <w:rPr>
            <w:lang w:val="cs-CZ"/>
          </w:rPr>
          <w:delText>sakroi</w:delText>
        </w:r>
        <w:r w:rsidR="00AC7C92" w:rsidRPr="001B4A02">
          <w:rPr>
            <w:lang w:val="cs-CZ"/>
          </w:rPr>
          <w:delText>liakálních kloubů</w:delText>
        </w:r>
        <w:r w:rsidR="002378E0">
          <w:rPr>
            <w:lang w:val="cs-CZ"/>
          </w:rPr>
          <w:delText xml:space="preserve"> a </w:delText>
        </w:r>
        <w:r w:rsidR="00AC7C92" w:rsidRPr="001B4A02">
          <w:rPr>
            <w:lang w:val="cs-CZ"/>
          </w:rPr>
          <w:delText>páteře.</w:delText>
        </w:r>
      </w:del>
    </w:p>
    <w:p w14:paraId="04C9ECB2" w14:textId="77777777" w:rsidR="002F53F4" w:rsidRPr="001B4A02" w:rsidRDefault="002F53F4" w:rsidP="00CE5DAE">
      <w:pPr>
        <w:pStyle w:val="EMEANormal"/>
        <w:rPr>
          <w:del w:id="6216" w:author="AbbVie1" w:date="2025-05-13T09:50:00Z"/>
          <w:lang w:val="cs-CZ"/>
        </w:rPr>
      </w:pPr>
    </w:p>
    <w:p w14:paraId="518A2AFA" w14:textId="77777777" w:rsidR="001D176D" w:rsidRPr="001B4A02" w:rsidRDefault="00000000" w:rsidP="00CE5DAE">
      <w:pPr>
        <w:keepNext/>
        <w:rPr>
          <w:del w:id="6217" w:author="AbbVie1" w:date="2025-05-13T09:50:00Z"/>
        </w:rPr>
      </w:pPr>
      <w:del w:id="6218" w:author="AbbVie1" w:date="2025-05-13T09:50:00Z">
        <w:r w:rsidRPr="001B4A02">
          <w:delText>Kvalita života</w:delText>
        </w:r>
        <w:r w:rsidR="002378E0">
          <w:delText xml:space="preserve"> a </w:delText>
        </w:r>
        <w:r w:rsidRPr="001B4A02">
          <w:delText>tělesné funkce</w:delText>
        </w:r>
      </w:del>
    </w:p>
    <w:p w14:paraId="3C9F8925" w14:textId="77777777" w:rsidR="001D176D" w:rsidRPr="001B4A02" w:rsidRDefault="001D176D" w:rsidP="00CE5DAE">
      <w:pPr>
        <w:pStyle w:val="EMEANormal"/>
        <w:keepNext/>
        <w:rPr>
          <w:del w:id="6219" w:author="AbbVie1" w:date="2025-05-13T09:50:00Z"/>
          <w:lang w:val="cs-CZ"/>
        </w:rPr>
      </w:pPr>
    </w:p>
    <w:p w14:paraId="4F5D1F7D" w14:textId="77777777" w:rsidR="00EC61F9" w:rsidRPr="001B4A02" w:rsidRDefault="00000000" w:rsidP="00ED48A3">
      <w:pPr>
        <w:pStyle w:val="EMEANormal"/>
        <w:rPr>
          <w:del w:id="6220" w:author="AbbVie1" w:date="2025-05-13T09:50:00Z"/>
          <w:lang w:val="cs-CZ"/>
        </w:rPr>
      </w:pPr>
      <w:del w:id="6221" w:author="AbbVie1" w:date="2025-05-13T09:50:00Z">
        <w:r w:rsidRPr="001B4A02">
          <w:rPr>
            <w:lang w:val="cs-CZ"/>
          </w:rPr>
          <w:delText>Otázka kvality života</w:delText>
        </w:r>
        <w:r w:rsidR="002378E0">
          <w:rPr>
            <w:lang w:val="cs-CZ"/>
          </w:rPr>
          <w:delText xml:space="preserve"> a </w:delText>
        </w:r>
        <w:r w:rsidR="003600F1" w:rsidRPr="001B4A02">
          <w:rPr>
            <w:lang w:val="cs-CZ"/>
          </w:rPr>
          <w:delText xml:space="preserve">tělesných </w:delText>
        </w:r>
        <w:r w:rsidRPr="001B4A02">
          <w:rPr>
            <w:lang w:val="cs-CZ"/>
          </w:rPr>
          <w:delText>funkcí v</w:delText>
        </w:r>
        <w:r w:rsidR="00255A0A" w:rsidRPr="001B4A02">
          <w:rPr>
            <w:lang w:val="cs-CZ"/>
          </w:rPr>
          <w:delText> </w:delText>
        </w:r>
        <w:r w:rsidRPr="001B4A02">
          <w:rPr>
            <w:lang w:val="cs-CZ"/>
          </w:rPr>
          <w:delText>závislosti na zdraví byla</w:delText>
        </w:r>
        <w:r w:rsidR="003600F1" w:rsidRPr="001B4A02">
          <w:rPr>
            <w:lang w:val="cs-CZ"/>
          </w:rPr>
          <w:delText xml:space="preserve"> </w:delText>
        </w:r>
        <w:r w:rsidRPr="001B4A02">
          <w:rPr>
            <w:lang w:val="cs-CZ"/>
          </w:rPr>
          <w:delText>hodnocena prostřednictvím dotazníků HAQ-S</w:delText>
        </w:r>
        <w:r w:rsidR="002378E0">
          <w:rPr>
            <w:lang w:val="cs-CZ"/>
          </w:rPr>
          <w:delText xml:space="preserve"> a </w:delText>
        </w:r>
        <w:r w:rsidRPr="001B4A02">
          <w:rPr>
            <w:lang w:val="cs-CZ"/>
          </w:rPr>
          <w:delText>SF-36. Přípravek Humira prokázal statisticky signifikant</w:delText>
        </w:r>
        <w:r w:rsidR="00BF19E8">
          <w:rPr>
            <w:lang w:val="cs-CZ"/>
          </w:rPr>
          <w:delText>n</w:delText>
        </w:r>
        <w:r w:rsidRPr="001B4A02">
          <w:rPr>
            <w:lang w:val="cs-CZ"/>
          </w:rPr>
          <w:delText>ě vyšší zlepšení v</w:delText>
        </w:r>
        <w:r w:rsidR="00AC7C92" w:rsidRPr="001B4A02">
          <w:rPr>
            <w:lang w:val="cs-CZ"/>
          </w:rPr>
          <w:delText> </w:delText>
        </w:r>
        <w:r w:rsidRPr="001B4A02">
          <w:rPr>
            <w:lang w:val="cs-CZ"/>
          </w:rPr>
          <w:delText>celkovém skóre HAQ-S</w:delText>
        </w:r>
        <w:r w:rsidR="002378E0">
          <w:rPr>
            <w:lang w:val="cs-CZ"/>
          </w:rPr>
          <w:delText xml:space="preserve"> a </w:delText>
        </w:r>
        <w:r w:rsidRPr="001B4A02">
          <w:rPr>
            <w:lang w:val="cs-CZ"/>
          </w:rPr>
          <w:delText xml:space="preserve">ve skóre </w:delText>
        </w:r>
        <w:r w:rsidR="003600F1" w:rsidRPr="001B4A02">
          <w:rPr>
            <w:lang w:val="cs-CZ"/>
          </w:rPr>
          <w:delText xml:space="preserve">tělesných </w:delText>
        </w:r>
        <w:r w:rsidRPr="001B4A02">
          <w:rPr>
            <w:lang w:val="cs-CZ"/>
          </w:rPr>
          <w:delText>funkcí (Physical Component Score, PCS) dotazníku SF-36 při porovnání výchozího stavu s</w:delText>
        </w:r>
        <w:r w:rsidR="008506F3" w:rsidRPr="001B4A02">
          <w:rPr>
            <w:lang w:val="cs-CZ"/>
          </w:rPr>
          <w:delText> </w:delText>
        </w:r>
        <w:r w:rsidRPr="001B4A02">
          <w:rPr>
            <w:lang w:val="cs-CZ"/>
          </w:rPr>
          <w:delText>týdnem 12 v</w:delText>
        </w:r>
        <w:r w:rsidR="008506F3" w:rsidRPr="001B4A02">
          <w:rPr>
            <w:lang w:val="cs-CZ"/>
          </w:rPr>
          <w:delText> </w:delText>
        </w:r>
        <w:r w:rsidRPr="001B4A02">
          <w:rPr>
            <w:lang w:val="cs-CZ"/>
          </w:rPr>
          <w:delText>porovnání s</w:delText>
        </w:r>
        <w:r w:rsidR="008506F3" w:rsidRPr="001B4A02">
          <w:rPr>
            <w:lang w:val="cs-CZ"/>
          </w:rPr>
          <w:delText> </w:delText>
        </w:r>
        <w:r w:rsidRPr="001B4A02">
          <w:rPr>
            <w:lang w:val="cs-CZ"/>
          </w:rPr>
          <w:delText>placebem.</w:delText>
        </w:r>
        <w:r w:rsidR="001D176D" w:rsidRPr="001B4A02">
          <w:rPr>
            <w:lang w:val="cs-CZ"/>
          </w:rPr>
          <w:delText xml:space="preserve"> Během otevřené fáze prodloužené studie bylo udrženo zlepšení kvality života</w:delText>
        </w:r>
        <w:r w:rsidR="002378E0">
          <w:rPr>
            <w:lang w:val="cs-CZ"/>
          </w:rPr>
          <w:delText xml:space="preserve"> a </w:delText>
        </w:r>
        <w:r w:rsidR="002F53F4" w:rsidRPr="001B4A02">
          <w:rPr>
            <w:lang w:val="cs-CZ"/>
          </w:rPr>
          <w:delText>tělesný</w:delText>
        </w:r>
        <w:r w:rsidR="001D176D" w:rsidRPr="001B4A02">
          <w:rPr>
            <w:lang w:val="cs-CZ"/>
          </w:rPr>
          <w:delText>ch funkcí do týdne 156.</w:delText>
        </w:r>
      </w:del>
    </w:p>
    <w:p w14:paraId="428DF074" w14:textId="77777777" w:rsidR="00AE574B" w:rsidRDefault="00AE574B" w:rsidP="00ED48A3">
      <w:pPr>
        <w:ind w:left="0" w:firstLine="0"/>
        <w:rPr>
          <w:del w:id="6222" w:author="AbbVie1" w:date="2025-05-13T09:50:00Z"/>
        </w:rPr>
      </w:pPr>
    </w:p>
    <w:p w14:paraId="5A4E5726" w14:textId="77777777" w:rsidR="000C5AAF" w:rsidRPr="006A036C" w:rsidRDefault="00000000" w:rsidP="00A05B57">
      <w:pPr>
        <w:pStyle w:val="EMEANormal"/>
        <w:keepNext/>
        <w:rPr>
          <w:del w:id="6223" w:author="AbbVie1" w:date="2025-05-13T09:50:00Z"/>
          <w:szCs w:val="22"/>
          <w:lang w:val="cs-CZ"/>
        </w:rPr>
      </w:pPr>
      <w:del w:id="6224" w:author="AbbVie1" w:date="2025-05-13T09:50:00Z">
        <w:r w:rsidRPr="006A036C">
          <w:rPr>
            <w:szCs w:val="22"/>
            <w:lang w:val="cs-CZ"/>
          </w:rPr>
          <w:delText>Studie nr-axSpA II</w:delText>
        </w:r>
      </w:del>
    </w:p>
    <w:p w14:paraId="0A7231D0" w14:textId="77777777" w:rsidR="000C5AAF" w:rsidRPr="006A036C" w:rsidRDefault="000C5AAF" w:rsidP="00A05B57">
      <w:pPr>
        <w:pStyle w:val="EMEANormal"/>
        <w:keepNext/>
        <w:rPr>
          <w:del w:id="6225" w:author="AbbVie1" w:date="2025-05-13T09:50:00Z"/>
          <w:szCs w:val="22"/>
          <w:lang w:val="cs-CZ"/>
        </w:rPr>
      </w:pPr>
    </w:p>
    <w:p w14:paraId="59EDA658" w14:textId="77777777" w:rsidR="000C5AAF" w:rsidRPr="002F2C3D" w:rsidRDefault="00000000" w:rsidP="000C5AAF">
      <w:pPr>
        <w:pStyle w:val="EMEANormal"/>
        <w:rPr>
          <w:del w:id="6226" w:author="AbbVie1" w:date="2025-05-13T09:50:00Z"/>
          <w:szCs w:val="22"/>
          <w:lang w:val="cs-CZ"/>
        </w:rPr>
      </w:pPr>
      <w:del w:id="6227" w:author="AbbVie1" w:date="2025-05-13T09:50:00Z">
        <w:r w:rsidRPr="002F2C3D">
          <w:rPr>
            <w:szCs w:val="22"/>
            <w:lang w:val="cs-CZ"/>
          </w:rPr>
          <w:delText>673 pacientů s</w:delText>
        </w:r>
        <w:r w:rsidR="004B4C5D">
          <w:rPr>
            <w:szCs w:val="22"/>
            <w:lang w:val="cs-CZ"/>
          </w:rPr>
          <w:delText> </w:delText>
        </w:r>
        <w:r w:rsidRPr="002F2C3D">
          <w:rPr>
            <w:szCs w:val="22"/>
            <w:lang w:val="cs-CZ"/>
          </w:rPr>
          <w:delText>aktivní nr-axSpA (průměrná výchozí aktivita onemocnění [BASDAI] byla 7,0)</w:delText>
        </w:r>
        <w:r w:rsidR="00053B74">
          <w:rPr>
            <w:szCs w:val="22"/>
            <w:lang w:val="cs-CZ"/>
          </w:rPr>
          <w:delText xml:space="preserve"> s nedostatečnou odpovědí</w:delText>
        </w:r>
        <w:r w:rsidRPr="002F2C3D">
          <w:rPr>
            <w:szCs w:val="22"/>
            <w:lang w:val="cs-CZ"/>
          </w:rPr>
          <w:delText xml:space="preserve"> na </w:delText>
        </w:r>
        <w:r w:rsidRPr="002F2C3D">
          <w:rPr>
            <w:rFonts w:ascii="Symbol" w:hAnsi="Symbol"/>
            <w:szCs w:val="22"/>
            <w:lang w:val="cs-CZ"/>
          </w:rPr>
          <w:sym w:font="Symbol" w:char="F0B3"/>
        </w:r>
        <w:r w:rsidRPr="002F2C3D">
          <w:rPr>
            <w:szCs w:val="22"/>
            <w:lang w:val="cs-CZ"/>
          </w:rPr>
          <w:delText> 2 NSAID nebo intoleranc</w:delText>
        </w:r>
        <w:r w:rsidR="00053B74">
          <w:rPr>
            <w:szCs w:val="22"/>
            <w:lang w:val="cs-CZ"/>
          </w:rPr>
          <w:delText xml:space="preserve">í či kontraindikací </w:delText>
        </w:r>
        <w:r w:rsidRPr="002F2C3D">
          <w:rPr>
            <w:szCs w:val="22"/>
            <w:lang w:val="cs-CZ"/>
          </w:rPr>
          <w:delText xml:space="preserve">NSAID </w:delText>
        </w:r>
        <w:r w:rsidRPr="006A036C">
          <w:rPr>
            <w:szCs w:val="22"/>
            <w:lang w:val="cs-CZ"/>
          </w:rPr>
          <w:delText>bylo zařazeno</w:delText>
        </w:r>
        <w:r w:rsidRPr="002F2C3D">
          <w:rPr>
            <w:szCs w:val="22"/>
            <w:lang w:val="cs-CZ"/>
          </w:rPr>
          <w:delText xml:space="preserve"> do otevřené f</w:delText>
        </w:r>
        <w:r w:rsidRPr="006A036C">
          <w:rPr>
            <w:szCs w:val="22"/>
            <w:lang w:val="cs-CZ"/>
          </w:rPr>
          <w:delText>á</w:delText>
        </w:r>
        <w:r w:rsidRPr="002F2C3D">
          <w:rPr>
            <w:szCs w:val="22"/>
            <w:lang w:val="cs-CZ"/>
          </w:rPr>
          <w:delText>ze studie nr-axSpA II, během které dostávali přípravek Humira 40</w:delText>
        </w:r>
        <w:r w:rsidR="00294902">
          <w:rPr>
            <w:szCs w:val="22"/>
            <w:lang w:val="cs-CZ"/>
          </w:rPr>
          <w:delText> mg</w:delText>
        </w:r>
        <w:r w:rsidRPr="002F2C3D">
          <w:rPr>
            <w:szCs w:val="22"/>
            <w:lang w:val="cs-CZ"/>
          </w:rPr>
          <w:delText xml:space="preserve"> každý druhý týden po dobu 28 týdnů.</w:delText>
        </w:r>
        <w:r w:rsidRPr="006A036C">
          <w:rPr>
            <w:szCs w:val="22"/>
            <w:lang w:val="cs-CZ"/>
          </w:rPr>
          <w:delText xml:space="preserve"> Tito pacienti měli také objektivní průkaz zánětu sakroiliakálních kloubů nebo páteře</w:delText>
        </w:r>
        <w:r w:rsidRPr="001849E8">
          <w:rPr>
            <w:szCs w:val="22"/>
            <w:lang w:val="cs-CZ"/>
          </w:rPr>
          <w:delText xml:space="preserve"> na MR</w:delText>
        </w:r>
        <w:r w:rsidR="00A75150">
          <w:rPr>
            <w:szCs w:val="22"/>
            <w:lang w:val="cs-CZ"/>
          </w:rPr>
          <w:delText>I</w:delText>
        </w:r>
        <w:r w:rsidRPr="001849E8">
          <w:rPr>
            <w:szCs w:val="22"/>
            <w:lang w:val="cs-CZ"/>
          </w:rPr>
          <w:delText xml:space="preserve"> nebo zvýšenou hladinu hs-CRP. Pacienti, kteří dostáhli trvalé remise po dobu nejméně 12 týdnů (</w:delText>
        </w:r>
        <w:r w:rsidR="00B90B5A">
          <w:rPr>
            <w:szCs w:val="22"/>
            <w:lang w:val="cs-CZ"/>
          </w:rPr>
          <w:delText>n</w:delText>
        </w:r>
        <w:r w:rsidRPr="001849E8">
          <w:rPr>
            <w:szCs w:val="22"/>
            <w:lang w:val="cs-CZ"/>
          </w:rPr>
          <w:delText xml:space="preserve">=305) </w:delText>
        </w:r>
        <w:r w:rsidRPr="002F2C3D">
          <w:rPr>
            <w:szCs w:val="22"/>
            <w:lang w:val="cs-CZ"/>
          </w:rPr>
          <w:delText>(ASDAS &lt;</w:delText>
        </w:r>
        <w:r w:rsidR="00A75150">
          <w:rPr>
            <w:szCs w:val="22"/>
            <w:lang w:val="cs-CZ"/>
          </w:rPr>
          <w:delText> </w:delText>
        </w:r>
        <w:r w:rsidRPr="002F2C3D">
          <w:rPr>
            <w:szCs w:val="22"/>
            <w:lang w:val="cs-CZ"/>
          </w:rPr>
          <w:delText>1,3 v týdnech 16, 20, 24</w:delText>
        </w:r>
        <w:r w:rsidR="002378E0">
          <w:rPr>
            <w:szCs w:val="22"/>
            <w:lang w:val="cs-CZ"/>
          </w:rPr>
          <w:delText xml:space="preserve"> a </w:delText>
        </w:r>
        <w:r w:rsidRPr="002F2C3D">
          <w:rPr>
            <w:szCs w:val="22"/>
            <w:lang w:val="cs-CZ"/>
          </w:rPr>
          <w:delText xml:space="preserve">28) během otevřené fáze, byli pak randomizováni buď </w:delText>
        </w:r>
        <w:r w:rsidR="008D0E93">
          <w:rPr>
            <w:szCs w:val="22"/>
            <w:lang w:val="cs-CZ"/>
          </w:rPr>
          <w:delText>na pokračování léčby</w:delText>
        </w:r>
        <w:r w:rsidRPr="002F2C3D">
          <w:rPr>
            <w:szCs w:val="22"/>
            <w:lang w:val="cs-CZ"/>
          </w:rPr>
          <w:delText xml:space="preserve"> přípravkem Humira 40 mg každý druhý týden (</w:delText>
        </w:r>
        <w:r w:rsidR="00B90B5A">
          <w:rPr>
            <w:szCs w:val="22"/>
            <w:lang w:val="cs-CZ"/>
          </w:rPr>
          <w:delText>n</w:delText>
        </w:r>
        <w:r w:rsidRPr="002F2C3D">
          <w:rPr>
            <w:szCs w:val="22"/>
            <w:lang w:val="cs-CZ"/>
          </w:rPr>
          <w:delText>=152)</w:delText>
        </w:r>
        <w:r w:rsidR="00A75150">
          <w:rPr>
            <w:szCs w:val="22"/>
            <w:lang w:val="cs-CZ"/>
          </w:rPr>
          <w:delText>,</w:delText>
        </w:r>
        <w:r w:rsidRPr="002F2C3D">
          <w:rPr>
            <w:szCs w:val="22"/>
            <w:lang w:val="cs-CZ"/>
          </w:rPr>
          <w:delText xml:space="preserve"> nebo </w:delText>
        </w:r>
        <w:r w:rsidR="008D0E93">
          <w:rPr>
            <w:szCs w:val="22"/>
            <w:lang w:val="cs-CZ"/>
          </w:rPr>
          <w:delText>na</w:delText>
        </w:r>
        <w:r w:rsidRPr="002F2C3D">
          <w:rPr>
            <w:szCs w:val="22"/>
            <w:lang w:val="cs-CZ"/>
          </w:rPr>
          <w:delText xml:space="preserve"> placeb</w:delText>
        </w:r>
        <w:r w:rsidR="008D0E93">
          <w:rPr>
            <w:szCs w:val="22"/>
            <w:lang w:val="cs-CZ"/>
          </w:rPr>
          <w:delText>o</w:delText>
        </w:r>
        <w:r w:rsidRPr="002F2C3D">
          <w:rPr>
            <w:szCs w:val="22"/>
            <w:lang w:val="cs-CZ"/>
          </w:rPr>
          <w:delText xml:space="preserve"> (</w:delText>
        </w:r>
        <w:r w:rsidR="00B90B5A">
          <w:rPr>
            <w:szCs w:val="22"/>
            <w:lang w:val="cs-CZ"/>
          </w:rPr>
          <w:delText>n</w:delText>
        </w:r>
        <w:r w:rsidRPr="002F2C3D">
          <w:rPr>
            <w:szCs w:val="22"/>
            <w:lang w:val="cs-CZ"/>
          </w:rPr>
          <w:delText>=153) po dobu dalších 40 týdnů ve dvojitě zaslepené, placebem kontrolované fázi (celková doba trvání studie 68 týdnů).</w:delText>
        </w:r>
        <w:r w:rsidRPr="006A036C">
          <w:rPr>
            <w:szCs w:val="22"/>
            <w:lang w:val="cs-CZ"/>
          </w:rPr>
          <w:delText xml:space="preserve"> Pacienti, </w:delText>
        </w:r>
        <w:r w:rsidR="008D0E93">
          <w:rPr>
            <w:szCs w:val="22"/>
            <w:lang w:val="cs-CZ"/>
          </w:rPr>
          <w:delText>u</w:delText>
        </w:r>
        <w:r w:rsidR="00A75150">
          <w:rPr>
            <w:szCs w:val="22"/>
            <w:lang w:val="cs-CZ"/>
          </w:rPr>
          <w:delText> </w:delText>
        </w:r>
        <w:r w:rsidR="008D0E93">
          <w:rPr>
            <w:szCs w:val="22"/>
            <w:lang w:val="cs-CZ"/>
          </w:rPr>
          <w:delText>kterých došlo ke</w:delText>
        </w:r>
        <w:r w:rsidRPr="006A036C">
          <w:rPr>
            <w:szCs w:val="22"/>
            <w:lang w:val="cs-CZ"/>
          </w:rPr>
          <w:delText xml:space="preserve"> vzplanu</w:delText>
        </w:r>
        <w:r w:rsidRPr="001849E8">
          <w:rPr>
            <w:szCs w:val="22"/>
            <w:lang w:val="cs-CZ"/>
          </w:rPr>
          <w:delText>tí během dvojitě zaslepené fáze, mohli dostávat záchrannou léčbu přípravkem Humira 40 mg každý druhý týden po dobu nejméně 12 týdnů</w:delText>
        </w:r>
        <w:r w:rsidRPr="002F2C3D">
          <w:rPr>
            <w:szCs w:val="22"/>
            <w:lang w:val="cs-CZ"/>
          </w:rPr>
          <w:delText>.</w:delText>
        </w:r>
      </w:del>
    </w:p>
    <w:p w14:paraId="0D135723" w14:textId="77777777" w:rsidR="000C5AAF" w:rsidRPr="002F2C3D" w:rsidRDefault="000C5AAF" w:rsidP="000C5AAF">
      <w:pPr>
        <w:pStyle w:val="EMEANormal"/>
        <w:rPr>
          <w:del w:id="6228" w:author="AbbVie1" w:date="2025-05-13T09:50:00Z"/>
          <w:highlight w:val="yellow"/>
          <w:lang w:val="cs-CZ"/>
        </w:rPr>
      </w:pPr>
    </w:p>
    <w:p w14:paraId="3A029309" w14:textId="77777777" w:rsidR="000C5AAF" w:rsidRPr="006A036C" w:rsidRDefault="00000000" w:rsidP="000C5AAF">
      <w:pPr>
        <w:pStyle w:val="EMEANormal"/>
        <w:rPr>
          <w:del w:id="6229" w:author="AbbVie1" w:date="2025-05-13T09:50:00Z"/>
          <w:lang w:val="cs-CZ"/>
        </w:rPr>
      </w:pPr>
      <w:del w:id="6230" w:author="AbbVie1" w:date="2025-05-13T09:50:00Z">
        <w:r w:rsidRPr="002F2C3D">
          <w:rPr>
            <w:lang w:val="cs-CZ"/>
          </w:rPr>
          <w:delText>Primární</w:delText>
        </w:r>
        <w:r w:rsidR="008D0E93">
          <w:rPr>
            <w:lang w:val="cs-CZ"/>
          </w:rPr>
          <w:delText>m</w:delText>
        </w:r>
        <w:r w:rsidRPr="002F2C3D">
          <w:rPr>
            <w:lang w:val="cs-CZ"/>
          </w:rPr>
          <w:delText xml:space="preserve"> cílový</w:delText>
        </w:r>
        <w:r w:rsidR="008D0E93">
          <w:rPr>
            <w:lang w:val="cs-CZ"/>
          </w:rPr>
          <w:delText xml:space="preserve">m </w:delText>
        </w:r>
        <w:r w:rsidRPr="002F2C3D">
          <w:rPr>
            <w:lang w:val="cs-CZ"/>
          </w:rPr>
          <w:delText>ukazatel</w:delText>
        </w:r>
        <w:r w:rsidR="008D0E93">
          <w:rPr>
            <w:lang w:val="cs-CZ"/>
          </w:rPr>
          <w:delText>em</w:delText>
        </w:r>
        <w:r w:rsidRPr="002F2C3D">
          <w:rPr>
            <w:lang w:val="cs-CZ"/>
          </w:rPr>
          <w:delText xml:space="preserve"> účinnosti byl podíl pacientů bez vzplanutí do týdne 68 studie. Vzplanutí bylo definováno jako ASDAS ≥</w:delText>
        </w:r>
        <w:r w:rsidR="00A75150">
          <w:rPr>
            <w:lang w:val="cs-CZ"/>
          </w:rPr>
          <w:delText> </w:delText>
        </w:r>
        <w:r w:rsidRPr="002F2C3D">
          <w:rPr>
            <w:lang w:val="cs-CZ"/>
          </w:rPr>
          <w:delText>2,1 při dvou po sobě jdoucích návštěvách s odstupem čtyř týdnů. U</w:delText>
        </w:r>
        <w:r w:rsidR="00A75150">
          <w:rPr>
            <w:lang w:val="cs-CZ"/>
          </w:rPr>
          <w:delText> </w:delText>
        </w:r>
        <w:r w:rsidRPr="002F2C3D">
          <w:rPr>
            <w:lang w:val="cs-CZ"/>
          </w:rPr>
          <w:delText xml:space="preserve">většího podílu pacientů na </w:delText>
        </w:r>
        <w:r w:rsidR="008D0E93">
          <w:rPr>
            <w:lang w:val="cs-CZ"/>
          </w:rPr>
          <w:delText>léčbě přípravkem</w:delText>
        </w:r>
        <w:r w:rsidRPr="002F2C3D">
          <w:rPr>
            <w:lang w:val="cs-CZ"/>
          </w:rPr>
          <w:delText xml:space="preserve"> Humira </w:delText>
        </w:r>
        <w:r>
          <w:rPr>
            <w:lang w:val="cs-CZ"/>
          </w:rPr>
          <w:delText>nedošlo ke</w:delText>
        </w:r>
        <w:r w:rsidRPr="002F2C3D">
          <w:rPr>
            <w:lang w:val="cs-CZ"/>
          </w:rPr>
          <w:delText xml:space="preserve"> vzplanutí onemocnění během dvojitě zaslepené fáze při porovnání s pacienty na placebu (70,4 % vs. 47,1 %, p&lt;0,001) (</w:delText>
        </w:r>
        <w:r w:rsidR="00932F07">
          <w:rPr>
            <w:lang w:val="cs-CZ"/>
          </w:rPr>
          <w:delText>o</w:delText>
        </w:r>
        <w:r w:rsidRPr="002F2C3D">
          <w:rPr>
            <w:lang w:val="cs-CZ"/>
          </w:rPr>
          <w:delText>brázek 1).</w:delText>
        </w:r>
      </w:del>
    </w:p>
    <w:p w14:paraId="0FCF9863" w14:textId="77777777" w:rsidR="000C5AAF" w:rsidRDefault="000C5AAF" w:rsidP="00ED48A3">
      <w:pPr>
        <w:ind w:left="0" w:firstLine="0"/>
        <w:rPr>
          <w:del w:id="6231" w:author="AbbVie1" w:date="2025-05-13T09:50:00Z"/>
        </w:rPr>
      </w:pPr>
    </w:p>
    <w:p w14:paraId="2A15D8D2" w14:textId="77777777" w:rsidR="00A75150" w:rsidRPr="009038AE" w:rsidRDefault="00000000" w:rsidP="000C5AAF">
      <w:pPr>
        <w:pStyle w:val="EMEANormal"/>
        <w:keepNext/>
        <w:jc w:val="center"/>
        <w:rPr>
          <w:del w:id="6232" w:author="AbbVie1" w:date="2025-05-13T09:50:00Z"/>
          <w:lang w:val="cs-CZ"/>
        </w:rPr>
      </w:pPr>
      <w:del w:id="6233" w:author="AbbVie1" w:date="2025-05-13T09:50:00Z">
        <w:r w:rsidRPr="006A036C">
          <w:rPr>
            <w:b/>
            <w:lang w:val="cs-CZ"/>
          </w:rPr>
          <w:delText>Obrázek 1: Kaplan-Meierovy kři</w:delText>
        </w:r>
        <w:r w:rsidR="009038AE">
          <w:rPr>
            <w:b/>
            <w:lang w:val="cs-CZ"/>
          </w:rPr>
          <w:delText>vky shrnující dobu do vzplanutí</w:delText>
        </w:r>
      </w:del>
    </w:p>
    <w:p w14:paraId="232BB560" w14:textId="77777777" w:rsidR="000C5AAF" w:rsidRPr="009038AE" w:rsidRDefault="00000000" w:rsidP="000C5AAF">
      <w:pPr>
        <w:pStyle w:val="EMEANormal"/>
        <w:keepNext/>
        <w:jc w:val="center"/>
        <w:rPr>
          <w:del w:id="6234" w:author="AbbVie1" w:date="2025-05-13T09:50:00Z"/>
          <w:lang w:val="cs-CZ"/>
        </w:rPr>
      </w:pPr>
      <w:del w:id="6235" w:author="AbbVie1" w:date="2025-05-13T09:50:00Z">
        <w:r w:rsidRPr="006A036C">
          <w:rPr>
            <w:b/>
            <w:lang w:val="cs-CZ"/>
          </w:rPr>
          <w:delText>ve studii nr-axSpA II</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
        <w:gridCol w:w="8624"/>
      </w:tblGrid>
      <w:tr w:rsidR="00534A2D" w14:paraId="4F922E14" w14:textId="77777777" w:rsidTr="00601217">
        <w:trPr>
          <w:cantSplit/>
          <w:trHeight w:val="1134"/>
          <w:del w:id="6236" w:author="AbbVie1" w:date="2025-05-13T09:50:00Z"/>
        </w:trPr>
        <w:tc>
          <w:tcPr>
            <w:tcW w:w="930" w:type="dxa"/>
            <w:textDirection w:val="btLr"/>
            <w:vAlign w:val="center"/>
          </w:tcPr>
          <w:p w14:paraId="5ED9E97B" w14:textId="77777777" w:rsidR="000C5AAF" w:rsidRPr="003B2D93" w:rsidRDefault="00000000" w:rsidP="003B2D93">
            <w:pPr>
              <w:ind w:left="0" w:firstLine="0"/>
              <w:jc w:val="center"/>
              <w:rPr>
                <w:del w:id="6237" w:author="AbbVie1" w:date="2025-05-13T09:50:00Z"/>
                <w:b/>
                <w:sz w:val="20"/>
              </w:rPr>
            </w:pPr>
            <w:del w:id="6238" w:author="AbbVie1" w:date="2025-05-13T09:50:00Z">
              <w:r w:rsidRPr="003B2D93">
                <w:rPr>
                  <w:b/>
                  <w:sz w:val="20"/>
                </w:rPr>
                <w:delText>PRAVDĚPODOBNOST, ŽE NEDOJDE KE VZPLAN</w:delText>
              </w:r>
              <w:r w:rsidR="00A75150" w:rsidRPr="003B2D93">
                <w:rPr>
                  <w:b/>
                  <w:sz w:val="20"/>
                </w:rPr>
                <w:delText>U</w:delText>
              </w:r>
              <w:r w:rsidRPr="003B2D93">
                <w:rPr>
                  <w:b/>
                  <w:sz w:val="20"/>
                </w:rPr>
                <w:delText>TÍ</w:delText>
              </w:r>
            </w:del>
          </w:p>
        </w:tc>
        <w:tc>
          <w:tcPr>
            <w:tcW w:w="8646" w:type="dxa"/>
          </w:tcPr>
          <w:p w14:paraId="68DF0A11" w14:textId="77777777" w:rsidR="000C5AAF" w:rsidRPr="003B2D93" w:rsidRDefault="00000000" w:rsidP="003B2D93">
            <w:pPr>
              <w:ind w:left="0" w:firstLine="0"/>
              <w:jc w:val="center"/>
              <w:rPr>
                <w:del w:id="6239" w:author="AbbVie1" w:date="2025-05-13T09:50:00Z"/>
                <w:sz w:val="20"/>
              </w:rPr>
            </w:pPr>
            <w:del w:id="6240" w:author="AbbVie1" w:date="2025-05-13T09:50:00Z">
              <w:r w:rsidRPr="003B2D93">
                <w:rPr>
                  <w:noProof/>
                  <w:sz w:val="20"/>
                  <w:lang w:val="en-US"/>
                </w:rPr>
                <w:drawing>
                  <wp:inline distT="0" distB="0" distL="0" distR="0" wp14:anchorId="06B6D4CD" wp14:editId="32E04285">
                    <wp:extent cx="5616000" cy="3006000"/>
                    <wp:effectExtent l="0" t="0" r="381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13375_flare_km_db_f.14.2__1.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6000" cy="3006000"/>
                            </a:xfrm>
                            <a:prstGeom prst="rect">
                              <a:avLst/>
                            </a:prstGeom>
                          </pic:spPr>
                        </pic:pic>
                      </a:graphicData>
                    </a:graphic>
                  </wp:inline>
                </w:drawing>
              </w:r>
            </w:del>
          </w:p>
        </w:tc>
      </w:tr>
      <w:tr w:rsidR="00534A2D" w14:paraId="5105AAAF" w14:textId="77777777" w:rsidTr="00601217">
        <w:trPr>
          <w:del w:id="6241" w:author="AbbVie1" w:date="2025-05-13T09:50:00Z"/>
        </w:trPr>
        <w:tc>
          <w:tcPr>
            <w:tcW w:w="930" w:type="dxa"/>
          </w:tcPr>
          <w:p w14:paraId="35FE916E" w14:textId="77777777" w:rsidR="000C5AAF" w:rsidRPr="006A036C" w:rsidRDefault="000C5AAF" w:rsidP="00601217">
            <w:pPr>
              <w:rPr>
                <w:del w:id="6242" w:author="AbbVie1" w:date="2025-05-13T09:50:00Z"/>
              </w:rPr>
            </w:pPr>
          </w:p>
        </w:tc>
        <w:tc>
          <w:tcPr>
            <w:tcW w:w="8646" w:type="dxa"/>
            <w:vAlign w:val="center"/>
          </w:tcPr>
          <w:p w14:paraId="021DEC7A" w14:textId="77777777" w:rsidR="000C5AAF" w:rsidRPr="00777D77" w:rsidRDefault="00000000" w:rsidP="00601217">
            <w:pPr>
              <w:jc w:val="center"/>
              <w:rPr>
                <w:del w:id="6243" w:author="AbbVie1" w:date="2025-05-13T09:50:00Z"/>
                <w:b/>
                <w:sz w:val="20"/>
              </w:rPr>
            </w:pPr>
            <w:del w:id="6244" w:author="AbbVie1" w:date="2025-05-13T09:50:00Z">
              <w:r w:rsidRPr="00777D77">
                <w:rPr>
                  <w:b/>
                  <w:sz w:val="20"/>
                </w:rPr>
                <w:delText>ČAS (TÝDNY)</w:delText>
              </w:r>
            </w:del>
          </w:p>
        </w:tc>
      </w:tr>
      <w:tr w:rsidR="00534A2D" w14:paraId="67152C2E" w14:textId="77777777" w:rsidTr="00601217">
        <w:trPr>
          <w:del w:id="6245" w:author="AbbVie1" w:date="2025-05-13T09:50:00Z"/>
        </w:trPr>
        <w:tc>
          <w:tcPr>
            <w:tcW w:w="9576" w:type="dxa"/>
            <w:gridSpan w:val="2"/>
          </w:tcPr>
          <w:p w14:paraId="6171D56A" w14:textId="77777777" w:rsidR="000C5AAF" w:rsidRPr="006A036C" w:rsidRDefault="00000000" w:rsidP="00601217">
            <w:pPr>
              <w:rPr>
                <w:del w:id="6246" w:author="AbbVie1" w:date="2025-05-13T09:50:00Z"/>
              </w:rPr>
            </w:pPr>
            <w:del w:id="6247" w:author="AbbVie1" w:date="2025-05-13T09:50:00Z">
              <w:r w:rsidRPr="006A036C">
                <w:delText xml:space="preserve">                                  Léčba       </w:delText>
              </w:r>
              <w:r w:rsidRPr="006A036C">
                <w:rPr>
                  <w:noProof/>
                  <w:lang w:val="en-US"/>
                </w:rPr>
                <mc:AlternateContent>
                  <mc:Choice Requires="wps">
                    <w:drawing>
                      <wp:inline distT="0" distB="0" distL="0" distR="0" wp14:anchorId="586DC900" wp14:editId="06C4E0A4">
                        <wp:extent cx="381000" cy="0"/>
                        <wp:effectExtent l="0" t="19050" r="0" b="19050"/>
                        <wp:docPr id="92" name="Straight Connector 92"/>
                        <wp:cNvGraphicFramePr/>
                        <a:graphic xmlns:a="http://schemas.openxmlformats.org/drawingml/2006/main">
                          <a:graphicData uri="http://schemas.microsoft.com/office/word/2010/wordprocessingShape">
                            <wps:wsp>
                              <wps:cNvCnPr/>
                              <wps:spPr>
                                <a:xfrm>
                                  <a:off x="0" y="0"/>
                                  <a:ext cx="381000" cy="0"/>
                                </a:xfrm>
                                <a:prstGeom prst="line">
                                  <a:avLst/>
                                </a:prstGeom>
                                <a:ln w="28575">
                                  <a:solidFill>
                                    <a:schemeClr val="tx1">
                                      <a:lumMod val="65000"/>
                                      <a:lumOff val="3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id="Straight Connector 92" o:spid="_x0000_i1029" style="mso-left-percent:-10001;mso-position-horizontal-relative:char;mso-position-vertical-relative:line;mso-top-percent:-10001;mso-wrap-style:square;visibility:visible" from="0,0" to="30pt,0" strokecolor="#5a5a5a" strokeweight="2.25pt">
                        <v:stroke dashstyle="1 1"/>
                        <w10:anchorlock/>
                      </v:line>
                    </w:pict>
                  </mc:Fallback>
                </mc:AlternateContent>
              </w:r>
              <w:r w:rsidRPr="006A036C">
                <w:delText xml:space="preserve"> Placebo     </w:delText>
              </w:r>
              <w:r w:rsidRPr="006A036C">
                <w:rPr>
                  <w:noProof/>
                  <w:lang w:val="en-US"/>
                </w:rPr>
                <mc:AlternateContent>
                  <mc:Choice Requires="wps">
                    <w:drawing>
                      <wp:inline distT="0" distB="0" distL="0" distR="0" wp14:anchorId="49EAACAC" wp14:editId="4AEF2C0F">
                        <wp:extent cx="401320" cy="0"/>
                        <wp:effectExtent l="0" t="0" r="17780" b="19050"/>
                        <wp:docPr id="56" name="Straight Connector 56"/>
                        <wp:cNvGraphicFramePr/>
                        <a:graphic xmlns:a="http://schemas.openxmlformats.org/drawingml/2006/main">
                          <a:graphicData uri="http://schemas.microsoft.com/office/word/2010/wordprocessingShape">
                            <wps:wsp>
                              <wps:cNvCnPr/>
                              <wps:spPr>
                                <a:xfrm>
                                  <a:off x="0" y="0"/>
                                  <a:ext cx="401320" cy="0"/>
                                </a:xfrm>
                                <a:prstGeom prst="line">
                                  <a:avLst/>
                                </a:prstGeom>
                                <a:ln w="19050">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id="Straight Connector 56" o:spid="_x0000_i1030" style="mso-left-percent:-10001;mso-position-horizontal-relative:char;mso-position-vertical-relative:line;mso-top-percent:-10001;mso-wrap-style:square;visibility:visible" from="0,0" to="31.6pt,0" strokecolor="#404040" strokeweight="1.5pt">
                        <w10:anchorlock/>
                      </v:line>
                    </w:pict>
                  </mc:Fallback>
                </mc:AlternateContent>
              </w:r>
              <w:r w:rsidRPr="006A036C">
                <w:delText xml:space="preserve"> Humira     ∆ Cenzurovaní</w:delText>
              </w:r>
            </w:del>
          </w:p>
        </w:tc>
      </w:tr>
    </w:tbl>
    <w:p w14:paraId="324CD766" w14:textId="77777777" w:rsidR="000C5AAF" w:rsidRPr="006A036C" w:rsidRDefault="000C5AAF" w:rsidP="00932F07">
      <w:pPr>
        <w:ind w:left="0" w:firstLine="0"/>
        <w:rPr>
          <w:del w:id="6248" w:author="AbbVie1" w:date="2025-05-13T09:50:00Z"/>
        </w:rPr>
      </w:pPr>
    </w:p>
    <w:p w14:paraId="48F0331B" w14:textId="77777777" w:rsidR="000C5AAF" w:rsidRPr="006A036C" w:rsidRDefault="00000000" w:rsidP="00932F07">
      <w:pPr>
        <w:ind w:left="0" w:firstLine="0"/>
        <w:rPr>
          <w:del w:id="6249" w:author="AbbVie1" w:date="2025-05-13T09:50:00Z"/>
        </w:rPr>
      </w:pPr>
      <w:del w:id="6250" w:author="AbbVie1" w:date="2025-05-13T09:50:00Z">
        <w:r w:rsidRPr="006A036C">
          <w:delText xml:space="preserve">Poznámka: P = </w:delText>
        </w:r>
        <w:r w:rsidR="00932F07">
          <w:delText>p</w:delText>
        </w:r>
        <w:r w:rsidRPr="006A036C">
          <w:delText>lacebo (počet s</w:delText>
        </w:r>
        <w:r w:rsidR="00C318F8">
          <w:delText> </w:delText>
        </w:r>
        <w:r w:rsidRPr="006A036C">
          <w:delText xml:space="preserve">rizikem (vzplanutí)); A = </w:delText>
        </w:r>
        <w:r w:rsidR="00932F07">
          <w:delText xml:space="preserve">přípravek </w:delText>
        </w:r>
        <w:r w:rsidRPr="006A036C">
          <w:delText>HUMIRA (počet s</w:delText>
        </w:r>
        <w:r w:rsidR="00C318F8">
          <w:delText> </w:delText>
        </w:r>
        <w:r w:rsidRPr="006A036C">
          <w:delText>rizikem (vzplanutí)).</w:delText>
        </w:r>
      </w:del>
    </w:p>
    <w:p w14:paraId="41E55E7D" w14:textId="77777777" w:rsidR="000C5AAF" w:rsidRPr="006A036C" w:rsidRDefault="000C5AAF" w:rsidP="00932F07">
      <w:pPr>
        <w:ind w:left="0" w:firstLine="0"/>
        <w:rPr>
          <w:del w:id="6251" w:author="AbbVie1" w:date="2025-05-13T09:50:00Z"/>
        </w:rPr>
      </w:pPr>
    </w:p>
    <w:p w14:paraId="1766A66C" w14:textId="77777777" w:rsidR="000C5AAF" w:rsidRPr="002F2C3D" w:rsidRDefault="00000000" w:rsidP="00932F07">
      <w:pPr>
        <w:pStyle w:val="EMEANormal"/>
        <w:rPr>
          <w:del w:id="6252" w:author="AbbVie1" w:date="2025-05-13T09:50:00Z"/>
          <w:lang w:val="cs-CZ"/>
        </w:rPr>
      </w:pPr>
      <w:del w:id="6253" w:author="AbbVie1" w:date="2025-05-13T09:50:00Z">
        <w:r w:rsidRPr="002F2C3D">
          <w:rPr>
            <w:lang w:val="cs-CZ"/>
          </w:rPr>
          <w:delText>Z 68 pacientů</w:delText>
        </w:r>
        <w:r w:rsidR="00A75150" w:rsidRPr="00A75150">
          <w:rPr>
            <w:lang w:val="cs-CZ"/>
          </w:rPr>
          <w:delText xml:space="preserve"> </w:delText>
        </w:r>
        <w:r w:rsidR="00A75150" w:rsidRPr="002F2C3D">
          <w:rPr>
            <w:lang w:val="cs-CZ"/>
          </w:rPr>
          <w:delText>ve skupině přiřazené do vysazení léčby</w:delText>
        </w:r>
        <w:r w:rsidRPr="002F2C3D">
          <w:rPr>
            <w:lang w:val="cs-CZ"/>
          </w:rPr>
          <w:delText xml:space="preserve">, </w:delText>
        </w:r>
        <w:r w:rsidR="008D0E93">
          <w:rPr>
            <w:lang w:val="cs-CZ"/>
          </w:rPr>
          <w:delText>u</w:delText>
        </w:r>
        <w:r w:rsidR="00932F07">
          <w:rPr>
            <w:lang w:val="cs-CZ"/>
          </w:rPr>
          <w:delText> </w:delText>
        </w:r>
        <w:r w:rsidR="008D0E93">
          <w:rPr>
            <w:lang w:val="cs-CZ"/>
          </w:rPr>
          <w:delText>kterých došlo ke</w:delText>
        </w:r>
        <w:r w:rsidRPr="002F2C3D">
          <w:rPr>
            <w:lang w:val="cs-CZ"/>
          </w:rPr>
          <w:delText xml:space="preserve"> vzplanutí</w:delText>
        </w:r>
        <w:r>
          <w:rPr>
            <w:lang w:val="cs-CZ"/>
          </w:rPr>
          <w:delText>,</w:delText>
        </w:r>
        <w:r w:rsidRPr="002F2C3D">
          <w:rPr>
            <w:lang w:val="cs-CZ"/>
          </w:rPr>
          <w:delText xml:space="preserve"> dokončilo 12 týdnů záchranné léčby přípravkem Humira 65 pacientů, z nichž 37 (56,9 %) se dostalo znovu do remise (ASDAS &lt;</w:delText>
        </w:r>
        <w:r w:rsidR="00A75150">
          <w:rPr>
            <w:lang w:val="cs-CZ"/>
          </w:rPr>
          <w:delText> </w:delText>
        </w:r>
        <w:r w:rsidRPr="002F2C3D">
          <w:rPr>
            <w:lang w:val="cs-CZ"/>
          </w:rPr>
          <w:delText>1,3) po 12 týdnech opětovného zahájení otevřené léčby.</w:delText>
        </w:r>
      </w:del>
    </w:p>
    <w:p w14:paraId="580B3BE0" w14:textId="77777777" w:rsidR="000C5AAF" w:rsidRPr="002F2C3D" w:rsidRDefault="000C5AAF" w:rsidP="000C5AAF">
      <w:pPr>
        <w:rPr>
          <w:del w:id="6254" w:author="AbbVie1" w:date="2025-05-13T09:50:00Z"/>
          <w:highlight w:val="yellow"/>
        </w:rPr>
      </w:pPr>
    </w:p>
    <w:p w14:paraId="4204D485" w14:textId="77777777" w:rsidR="000C5AAF" w:rsidRPr="006A036C" w:rsidRDefault="00000000" w:rsidP="008D0E93">
      <w:pPr>
        <w:ind w:left="0" w:firstLine="0"/>
        <w:rPr>
          <w:del w:id="6255" w:author="AbbVie1" w:date="2025-05-13T09:50:00Z"/>
        </w:rPr>
      </w:pPr>
      <w:del w:id="6256" w:author="AbbVie1" w:date="2025-05-13T09:50:00Z">
        <w:r w:rsidRPr="002F2C3D">
          <w:delText xml:space="preserve">Do týdne 68 </w:delText>
        </w:r>
        <w:r w:rsidR="008D0E93">
          <w:delText>vykazovali</w:delText>
        </w:r>
        <w:r w:rsidRPr="002F2C3D">
          <w:delText xml:space="preserve"> pacienti, kteří </w:delText>
        </w:r>
        <w:r w:rsidR="008D0E93">
          <w:delText xml:space="preserve">byli </w:delText>
        </w:r>
        <w:r w:rsidRPr="002F2C3D">
          <w:delText>kontinuálně</w:delText>
        </w:r>
        <w:r w:rsidR="008D0E93">
          <w:delText xml:space="preserve"> léčeni</w:delText>
        </w:r>
        <w:r w:rsidRPr="002F2C3D">
          <w:delText xml:space="preserve"> přípravk</w:delText>
        </w:r>
        <w:r w:rsidR="008D0E93">
          <w:delText>em</w:delText>
        </w:r>
        <w:r w:rsidRPr="002F2C3D">
          <w:delText xml:space="preserve"> Humira</w:delText>
        </w:r>
        <w:r w:rsidR="008D0E93">
          <w:delText>,</w:delText>
        </w:r>
        <w:r w:rsidRPr="002F2C3D">
          <w:delText xml:space="preserve"> statisticky větší zlepšení známek</w:delText>
        </w:r>
        <w:r w:rsidR="002378E0">
          <w:delText xml:space="preserve"> a </w:delText>
        </w:r>
        <w:r w:rsidRPr="002F2C3D">
          <w:delText>příznaků aktivní nr-axSpA v porovnání s pacienty, kteří byli přiřazeni do vysazení léčby během dvojitě zaslepené fáze studie (</w:delText>
        </w:r>
        <w:r w:rsidR="00932F07">
          <w:delText>t</w:delText>
        </w:r>
        <w:r w:rsidRPr="002F2C3D">
          <w:delText xml:space="preserve">abulka </w:delText>
        </w:r>
        <w:r w:rsidR="00CC1B29">
          <w:delText>14</w:delText>
        </w:r>
        <w:r w:rsidRPr="002F2C3D">
          <w:delText>).</w:delText>
        </w:r>
      </w:del>
    </w:p>
    <w:p w14:paraId="4E59CB7B" w14:textId="77777777" w:rsidR="000C5AAF" w:rsidRPr="006A036C" w:rsidRDefault="000C5AAF" w:rsidP="000C5AAF">
      <w:pPr>
        <w:rPr>
          <w:del w:id="6257" w:author="AbbVie1" w:date="2025-05-13T09:50:00Z"/>
        </w:rPr>
      </w:pPr>
    </w:p>
    <w:p w14:paraId="65E00D5D" w14:textId="77777777" w:rsidR="000C5AAF" w:rsidRPr="006A036C" w:rsidRDefault="00000000" w:rsidP="009038AE">
      <w:pPr>
        <w:pStyle w:val="EMEANormal"/>
        <w:keepNext/>
        <w:jc w:val="center"/>
        <w:rPr>
          <w:del w:id="6258" w:author="AbbVie1" w:date="2025-05-13T09:50:00Z"/>
          <w:b/>
          <w:lang w:val="cs-CZ"/>
        </w:rPr>
      </w:pPr>
      <w:del w:id="6259" w:author="AbbVie1" w:date="2025-05-13T09:50:00Z">
        <w:r w:rsidRPr="006A036C">
          <w:rPr>
            <w:b/>
            <w:lang w:val="cs-CZ"/>
          </w:rPr>
          <w:delText xml:space="preserve">Tabulka </w:delText>
        </w:r>
        <w:r w:rsidR="00CC1B29">
          <w:rPr>
            <w:b/>
            <w:lang w:val="cs-CZ"/>
          </w:rPr>
          <w:delText>14</w:delText>
        </w:r>
      </w:del>
    </w:p>
    <w:p w14:paraId="5F6DA743" w14:textId="77777777" w:rsidR="000C5AAF" w:rsidRDefault="00000000" w:rsidP="009038AE">
      <w:pPr>
        <w:pStyle w:val="EMEANormal"/>
        <w:keepNext/>
        <w:jc w:val="center"/>
        <w:rPr>
          <w:del w:id="6260" w:author="AbbVie1" w:date="2025-05-13T09:50:00Z"/>
          <w:b/>
          <w:lang w:val="cs-CZ"/>
        </w:rPr>
      </w:pPr>
      <w:del w:id="6261" w:author="AbbVie1" w:date="2025-05-13T09:50:00Z">
        <w:r w:rsidRPr="006A036C">
          <w:rPr>
            <w:b/>
            <w:lang w:val="cs-CZ"/>
          </w:rPr>
          <w:delText>Účinnost v</w:delText>
        </w:r>
        <w:r w:rsidR="007F3056">
          <w:rPr>
            <w:b/>
            <w:lang w:val="cs-CZ"/>
          </w:rPr>
          <w:delText> </w:delText>
        </w:r>
        <w:r w:rsidRPr="006A036C">
          <w:rPr>
            <w:b/>
            <w:lang w:val="cs-CZ"/>
          </w:rPr>
          <w:delText>placebem kontrolované fázi studie nr-axSpA II</w:delText>
        </w:r>
      </w:del>
    </w:p>
    <w:p w14:paraId="0CB6A68F" w14:textId="77777777" w:rsidR="007F3056" w:rsidRPr="006A036C" w:rsidRDefault="007F3056" w:rsidP="009038AE">
      <w:pPr>
        <w:pStyle w:val="EMEANormal"/>
        <w:keepNext/>
        <w:jc w:val="center"/>
        <w:rPr>
          <w:del w:id="6262" w:author="AbbVie1" w:date="2025-05-13T09:50:00Z"/>
          <w:b/>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8"/>
        <w:gridCol w:w="1682"/>
        <w:gridCol w:w="1821"/>
      </w:tblGrid>
      <w:tr w:rsidR="00534A2D" w14:paraId="2B33DE44" w14:textId="77777777" w:rsidTr="00601217">
        <w:trPr>
          <w:jc w:val="center"/>
          <w:del w:id="6263" w:author="AbbVie1" w:date="2025-05-13T09:50:00Z"/>
        </w:trPr>
        <w:tc>
          <w:tcPr>
            <w:tcW w:w="3067" w:type="pct"/>
          </w:tcPr>
          <w:p w14:paraId="56208108" w14:textId="77777777" w:rsidR="000C5AAF" w:rsidRPr="006A036C" w:rsidRDefault="00000000" w:rsidP="009038AE">
            <w:pPr>
              <w:keepNext/>
              <w:rPr>
                <w:del w:id="6264" w:author="AbbVie1" w:date="2025-05-13T09:50:00Z"/>
                <w:b/>
                <w:bCs/>
              </w:rPr>
            </w:pPr>
            <w:del w:id="6265" w:author="AbbVie1" w:date="2025-05-13T09:50:00Z">
              <w:r w:rsidRPr="002F2C3D">
                <w:rPr>
                  <w:b/>
                  <w:bCs/>
                </w:rPr>
                <w:delText>Dvojitě zaslepená</w:delText>
              </w:r>
            </w:del>
          </w:p>
          <w:p w14:paraId="3802FBE1" w14:textId="77777777" w:rsidR="000C5AAF" w:rsidRPr="006A036C" w:rsidRDefault="00000000" w:rsidP="009038AE">
            <w:pPr>
              <w:keepNext/>
              <w:rPr>
                <w:del w:id="6266" w:author="AbbVie1" w:date="2025-05-13T09:50:00Z"/>
                <w:b/>
                <w:bCs/>
              </w:rPr>
            </w:pPr>
            <w:del w:id="6267" w:author="AbbVie1" w:date="2025-05-13T09:50:00Z">
              <w:r w:rsidRPr="002F2C3D">
                <w:rPr>
                  <w:b/>
                  <w:bCs/>
                </w:rPr>
                <w:delText>odpověď v</w:delText>
              </w:r>
              <w:r w:rsidR="00C318F8">
                <w:rPr>
                  <w:b/>
                  <w:bCs/>
                </w:rPr>
                <w:delText> </w:delText>
              </w:r>
              <w:r w:rsidRPr="002F2C3D">
                <w:rPr>
                  <w:b/>
                  <w:bCs/>
                </w:rPr>
                <w:delText>týdnu</w:delText>
              </w:r>
              <w:r w:rsidRPr="006A036C">
                <w:rPr>
                  <w:b/>
                  <w:bCs/>
                </w:rPr>
                <w:delText xml:space="preserve"> 68</w:delText>
              </w:r>
            </w:del>
          </w:p>
        </w:tc>
        <w:tc>
          <w:tcPr>
            <w:tcW w:w="928" w:type="pct"/>
          </w:tcPr>
          <w:p w14:paraId="6585B6C2" w14:textId="77777777" w:rsidR="000C5AAF" w:rsidRPr="00932F07" w:rsidRDefault="00000000" w:rsidP="009038AE">
            <w:pPr>
              <w:keepNext/>
              <w:jc w:val="center"/>
              <w:rPr>
                <w:del w:id="6268" w:author="AbbVie1" w:date="2025-05-13T09:50:00Z"/>
                <w:b/>
                <w:bCs/>
                <w:szCs w:val="22"/>
              </w:rPr>
            </w:pPr>
            <w:del w:id="6269" w:author="AbbVie1" w:date="2025-05-13T09:50:00Z">
              <w:r w:rsidRPr="00932F07">
                <w:rPr>
                  <w:b/>
                  <w:bCs/>
                  <w:szCs w:val="22"/>
                </w:rPr>
                <w:delText>Placebo</w:delText>
              </w:r>
            </w:del>
          </w:p>
          <w:p w14:paraId="55C13061" w14:textId="77777777" w:rsidR="000C5AAF" w:rsidRPr="00C318F8" w:rsidRDefault="00000000" w:rsidP="009038AE">
            <w:pPr>
              <w:keepNext/>
              <w:jc w:val="center"/>
              <w:rPr>
                <w:del w:id="6270" w:author="AbbVie1" w:date="2025-05-13T09:50:00Z"/>
                <w:b/>
                <w:bCs/>
                <w:szCs w:val="22"/>
              </w:rPr>
            </w:pPr>
            <w:del w:id="6271" w:author="AbbVie1" w:date="2025-05-13T09:50:00Z">
              <w:r>
                <w:rPr>
                  <w:b/>
                  <w:bCs/>
                  <w:szCs w:val="22"/>
                </w:rPr>
                <w:delText>n</w:delText>
              </w:r>
              <w:r w:rsidRPr="00932F07">
                <w:rPr>
                  <w:b/>
                  <w:bCs/>
                  <w:szCs w:val="22"/>
                </w:rPr>
                <w:delText>=153</w:delText>
              </w:r>
            </w:del>
          </w:p>
        </w:tc>
        <w:tc>
          <w:tcPr>
            <w:tcW w:w="1005" w:type="pct"/>
          </w:tcPr>
          <w:p w14:paraId="6F69D566" w14:textId="77777777" w:rsidR="000C5AAF" w:rsidRPr="00C318F8" w:rsidRDefault="00000000" w:rsidP="009038AE">
            <w:pPr>
              <w:keepNext/>
              <w:jc w:val="center"/>
              <w:rPr>
                <w:del w:id="6272" w:author="AbbVie1" w:date="2025-05-13T09:50:00Z"/>
                <w:b/>
                <w:bCs/>
                <w:szCs w:val="22"/>
              </w:rPr>
            </w:pPr>
            <w:del w:id="6273" w:author="AbbVie1" w:date="2025-05-13T09:50:00Z">
              <w:r w:rsidRPr="00C318F8">
                <w:rPr>
                  <w:b/>
                  <w:bCs/>
                  <w:szCs w:val="22"/>
                </w:rPr>
                <w:delText>Humira</w:delText>
              </w:r>
            </w:del>
          </w:p>
          <w:p w14:paraId="4A2C93EE" w14:textId="77777777" w:rsidR="000C5AAF" w:rsidRPr="00C318F8" w:rsidRDefault="00000000" w:rsidP="009038AE">
            <w:pPr>
              <w:keepNext/>
              <w:jc w:val="center"/>
              <w:rPr>
                <w:del w:id="6274" w:author="AbbVie1" w:date="2025-05-13T09:50:00Z"/>
                <w:b/>
                <w:bCs/>
                <w:szCs w:val="22"/>
              </w:rPr>
            </w:pPr>
            <w:del w:id="6275" w:author="AbbVie1" w:date="2025-05-13T09:50:00Z">
              <w:r>
                <w:rPr>
                  <w:b/>
                  <w:bCs/>
                  <w:szCs w:val="22"/>
                </w:rPr>
                <w:delText>n</w:delText>
              </w:r>
              <w:r w:rsidRPr="00C318F8">
                <w:rPr>
                  <w:b/>
                  <w:bCs/>
                  <w:szCs w:val="22"/>
                </w:rPr>
                <w:delText>=152</w:delText>
              </w:r>
            </w:del>
          </w:p>
        </w:tc>
      </w:tr>
      <w:tr w:rsidR="00534A2D" w14:paraId="1033E13B" w14:textId="77777777" w:rsidTr="00601217">
        <w:trPr>
          <w:jc w:val="center"/>
          <w:del w:id="6276" w:author="AbbVie1" w:date="2025-05-13T09:50:00Z"/>
        </w:trPr>
        <w:tc>
          <w:tcPr>
            <w:tcW w:w="3067" w:type="pct"/>
          </w:tcPr>
          <w:p w14:paraId="7FE29125" w14:textId="77777777" w:rsidR="000C5AAF" w:rsidRPr="006A036C" w:rsidRDefault="00000000" w:rsidP="009038AE">
            <w:pPr>
              <w:keepNext/>
              <w:rPr>
                <w:del w:id="6277" w:author="AbbVie1" w:date="2025-05-13T09:50:00Z"/>
              </w:rPr>
            </w:pPr>
            <w:del w:id="6278" w:author="AbbVie1" w:date="2025-05-13T09:50:00Z">
              <w:r w:rsidRPr="006A036C">
                <w:delText>ASAS</w:delText>
              </w:r>
              <w:r w:rsidRPr="006A036C">
                <w:rPr>
                  <w:vertAlign w:val="superscript"/>
                </w:rPr>
                <w:delText>a,b</w:delText>
              </w:r>
              <w:r w:rsidRPr="006A036C">
                <w:delText xml:space="preserve"> 20</w:delText>
              </w:r>
            </w:del>
          </w:p>
        </w:tc>
        <w:tc>
          <w:tcPr>
            <w:tcW w:w="928" w:type="pct"/>
          </w:tcPr>
          <w:p w14:paraId="31E72C5B" w14:textId="77777777" w:rsidR="000C5AAF" w:rsidRPr="006A036C" w:rsidRDefault="00000000" w:rsidP="009038AE">
            <w:pPr>
              <w:keepNext/>
              <w:jc w:val="center"/>
              <w:rPr>
                <w:del w:id="6279" w:author="AbbVie1" w:date="2025-05-13T09:50:00Z"/>
              </w:rPr>
            </w:pPr>
            <w:del w:id="6280" w:author="AbbVie1" w:date="2025-05-13T09:50:00Z">
              <w:r w:rsidRPr="006A036C">
                <w:delText>47</w:delText>
              </w:r>
              <w:r w:rsidRPr="002F2C3D">
                <w:delText>,</w:delText>
              </w:r>
              <w:r w:rsidRPr="006A036C">
                <w:delText>1</w:delText>
              </w:r>
              <w:r w:rsidRPr="002F2C3D">
                <w:delText> </w:delText>
              </w:r>
              <w:r w:rsidRPr="006A036C">
                <w:delText>%</w:delText>
              </w:r>
            </w:del>
          </w:p>
        </w:tc>
        <w:tc>
          <w:tcPr>
            <w:tcW w:w="1005" w:type="pct"/>
          </w:tcPr>
          <w:p w14:paraId="0C9D78E7" w14:textId="77777777" w:rsidR="000C5AAF" w:rsidRPr="006A036C" w:rsidRDefault="00000000" w:rsidP="009038AE">
            <w:pPr>
              <w:keepNext/>
              <w:jc w:val="center"/>
              <w:rPr>
                <w:del w:id="6281" w:author="AbbVie1" w:date="2025-05-13T09:50:00Z"/>
              </w:rPr>
            </w:pPr>
            <w:del w:id="6282" w:author="AbbVie1" w:date="2025-05-13T09:50:00Z">
              <w:r w:rsidRPr="006A036C">
                <w:delText>70</w:delText>
              </w:r>
              <w:r w:rsidRPr="002F2C3D">
                <w:delText>,</w:delText>
              </w:r>
              <w:r w:rsidRPr="006A036C">
                <w:delText>4</w:delText>
              </w:r>
              <w:r w:rsidRPr="002F2C3D">
                <w:delText> </w:delText>
              </w:r>
              <w:r w:rsidRPr="006A036C">
                <w:delText>%***</w:delText>
              </w:r>
            </w:del>
          </w:p>
        </w:tc>
      </w:tr>
      <w:tr w:rsidR="00534A2D" w14:paraId="4241C9EF" w14:textId="77777777" w:rsidTr="00601217">
        <w:trPr>
          <w:jc w:val="center"/>
          <w:del w:id="6283" w:author="AbbVie1" w:date="2025-05-13T09:50:00Z"/>
        </w:trPr>
        <w:tc>
          <w:tcPr>
            <w:tcW w:w="3067" w:type="pct"/>
          </w:tcPr>
          <w:p w14:paraId="31544776" w14:textId="77777777" w:rsidR="000C5AAF" w:rsidRPr="006A036C" w:rsidRDefault="00000000" w:rsidP="009038AE">
            <w:pPr>
              <w:keepNext/>
              <w:rPr>
                <w:del w:id="6284" w:author="AbbVie1" w:date="2025-05-13T09:50:00Z"/>
              </w:rPr>
            </w:pPr>
            <w:del w:id="6285" w:author="AbbVie1" w:date="2025-05-13T09:50:00Z">
              <w:r w:rsidRPr="006A036C">
                <w:delText>ASAS</w:delText>
              </w:r>
              <w:r w:rsidRPr="006A036C">
                <w:rPr>
                  <w:vertAlign w:val="superscript"/>
                </w:rPr>
                <w:delText>a,b</w:delText>
              </w:r>
              <w:r w:rsidRPr="006A036C">
                <w:delText xml:space="preserve"> 40</w:delText>
              </w:r>
            </w:del>
          </w:p>
        </w:tc>
        <w:tc>
          <w:tcPr>
            <w:tcW w:w="928" w:type="pct"/>
          </w:tcPr>
          <w:p w14:paraId="09464819" w14:textId="77777777" w:rsidR="000C5AAF" w:rsidRPr="006A036C" w:rsidRDefault="00000000" w:rsidP="009038AE">
            <w:pPr>
              <w:keepNext/>
              <w:jc w:val="center"/>
              <w:rPr>
                <w:del w:id="6286" w:author="AbbVie1" w:date="2025-05-13T09:50:00Z"/>
              </w:rPr>
            </w:pPr>
            <w:del w:id="6287" w:author="AbbVie1" w:date="2025-05-13T09:50:00Z">
              <w:r w:rsidRPr="006A036C">
                <w:delText>45</w:delText>
              </w:r>
              <w:r w:rsidRPr="002F2C3D">
                <w:delText>,</w:delText>
              </w:r>
              <w:r w:rsidRPr="006A036C">
                <w:delText>8</w:delText>
              </w:r>
              <w:r w:rsidRPr="002F2C3D">
                <w:delText> </w:delText>
              </w:r>
              <w:r w:rsidRPr="006A036C">
                <w:delText>%</w:delText>
              </w:r>
            </w:del>
          </w:p>
        </w:tc>
        <w:tc>
          <w:tcPr>
            <w:tcW w:w="1005" w:type="pct"/>
          </w:tcPr>
          <w:p w14:paraId="68488C78" w14:textId="77777777" w:rsidR="000C5AAF" w:rsidRPr="006A036C" w:rsidRDefault="00000000" w:rsidP="009038AE">
            <w:pPr>
              <w:keepNext/>
              <w:jc w:val="center"/>
              <w:rPr>
                <w:del w:id="6288" w:author="AbbVie1" w:date="2025-05-13T09:50:00Z"/>
              </w:rPr>
            </w:pPr>
            <w:del w:id="6289" w:author="AbbVie1" w:date="2025-05-13T09:50:00Z">
              <w:r w:rsidRPr="006A036C">
                <w:delText>65</w:delText>
              </w:r>
              <w:r w:rsidRPr="002F2C3D">
                <w:delText>,</w:delText>
              </w:r>
              <w:r w:rsidRPr="006A036C">
                <w:delText>8</w:delText>
              </w:r>
              <w:r w:rsidRPr="002F2C3D">
                <w:delText> </w:delText>
              </w:r>
              <w:r w:rsidRPr="006A036C">
                <w:delText>%***</w:delText>
              </w:r>
            </w:del>
          </w:p>
        </w:tc>
      </w:tr>
      <w:tr w:rsidR="00534A2D" w14:paraId="6B2CECFA" w14:textId="77777777" w:rsidTr="00601217">
        <w:trPr>
          <w:jc w:val="center"/>
          <w:del w:id="6290" w:author="AbbVie1" w:date="2025-05-13T09:50:00Z"/>
        </w:trPr>
        <w:tc>
          <w:tcPr>
            <w:tcW w:w="3067" w:type="pct"/>
          </w:tcPr>
          <w:p w14:paraId="70ECB6B4" w14:textId="77777777" w:rsidR="000C5AAF" w:rsidRPr="006A036C" w:rsidRDefault="00000000" w:rsidP="009038AE">
            <w:pPr>
              <w:keepNext/>
              <w:rPr>
                <w:del w:id="6291" w:author="AbbVie1" w:date="2025-05-13T09:50:00Z"/>
              </w:rPr>
            </w:pPr>
            <w:del w:id="6292" w:author="AbbVie1" w:date="2025-05-13T09:50:00Z">
              <w:r w:rsidRPr="006A036C">
                <w:delText>ASAS</w:delText>
              </w:r>
              <w:r w:rsidRPr="006A036C">
                <w:rPr>
                  <w:vertAlign w:val="superscript"/>
                </w:rPr>
                <w:delText>a</w:delText>
              </w:r>
              <w:r w:rsidRPr="006A036C">
                <w:delText xml:space="preserve"> </w:delText>
              </w:r>
              <w:r w:rsidRPr="002F2C3D">
                <w:delText>částečná remise</w:delText>
              </w:r>
            </w:del>
          </w:p>
        </w:tc>
        <w:tc>
          <w:tcPr>
            <w:tcW w:w="928" w:type="pct"/>
          </w:tcPr>
          <w:p w14:paraId="442A1246" w14:textId="77777777" w:rsidR="000C5AAF" w:rsidRPr="006A036C" w:rsidRDefault="00000000" w:rsidP="009038AE">
            <w:pPr>
              <w:keepNext/>
              <w:jc w:val="center"/>
              <w:rPr>
                <w:del w:id="6293" w:author="AbbVie1" w:date="2025-05-13T09:50:00Z"/>
              </w:rPr>
            </w:pPr>
            <w:del w:id="6294" w:author="AbbVie1" w:date="2025-05-13T09:50:00Z">
              <w:r w:rsidRPr="006A036C">
                <w:delText>26</w:delText>
              </w:r>
              <w:r w:rsidRPr="002F2C3D">
                <w:delText>,</w:delText>
              </w:r>
              <w:r w:rsidRPr="006A036C">
                <w:delText>8</w:delText>
              </w:r>
              <w:r w:rsidRPr="002F2C3D">
                <w:delText> </w:delText>
              </w:r>
              <w:r w:rsidRPr="006A036C">
                <w:delText>%</w:delText>
              </w:r>
            </w:del>
          </w:p>
        </w:tc>
        <w:tc>
          <w:tcPr>
            <w:tcW w:w="1005" w:type="pct"/>
          </w:tcPr>
          <w:p w14:paraId="1D0BDD13" w14:textId="77777777" w:rsidR="000C5AAF" w:rsidRPr="006A036C" w:rsidRDefault="00000000" w:rsidP="009038AE">
            <w:pPr>
              <w:keepNext/>
              <w:jc w:val="center"/>
              <w:rPr>
                <w:del w:id="6295" w:author="AbbVie1" w:date="2025-05-13T09:50:00Z"/>
              </w:rPr>
            </w:pPr>
            <w:del w:id="6296" w:author="AbbVie1" w:date="2025-05-13T09:50:00Z">
              <w:r w:rsidRPr="006A036C">
                <w:delText>42</w:delText>
              </w:r>
              <w:r w:rsidRPr="002F2C3D">
                <w:delText>,</w:delText>
              </w:r>
              <w:r w:rsidRPr="006A036C">
                <w:delText>1</w:delText>
              </w:r>
              <w:r w:rsidRPr="002F2C3D">
                <w:delText> </w:delText>
              </w:r>
              <w:r w:rsidRPr="006A036C">
                <w:delText>%**</w:delText>
              </w:r>
            </w:del>
          </w:p>
        </w:tc>
      </w:tr>
      <w:tr w:rsidR="00534A2D" w14:paraId="3497F504" w14:textId="77777777" w:rsidTr="00601217">
        <w:trPr>
          <w:jc w:val="center"/>
          <w:del w:id="6297" w:author="AbbVie1" w:date="2025-05-13T09:50:00Z"/>
        </w:trPr>
        <w:tc>
          <w:tcPr>
            <w:tcW w:w="3067" w:type="pct"/>
          </w:tcPr>
          <w:p w14:paraId="358C332C" w14:textId="77777777" w:rsidR="000C5AAF" w:rsidRPr="006A036C" w:rsidRDefault="00000000" w:rsidP="009038AE">
            <w:pPr>
              <w:keepNext/>
              <w:rPr>
                <w:del w:id="6298" w:author="AbbVie1" w:date="2025-05-13T09:50:00Z"/>
              </w:rPr>
            </w:pPr>
            <w:del w:id="6299" w:author="AbbVie1" w:date="2025-05-13T09:50:00Z">
              <w:r w:rsidRPr="006A036C">
                <w:delText>ASDAS</w:delText>
              </w:r>
              <w:r w:rsidRPr="006A036C">
                <w:rPr>
                  <w:vertAlign w:val="superscript"/>
                </w:rPr>
                <w:delText>c</w:delText>
              </w:r>
              <w:r w:rsidRPr="006A036C">
                <w:delText xml:space="preserve"> </w:delText>
              </w:r>
              <w:r w:rsidRPr="002F2C3D">
                <w:delText>neaktivní onemocnění</w:delText>
              </w:r>
            </w:del>
          </w:p>
        </w:tc>
        <w:tc>
          <w:tcPr>
            <w:tcW w:w="928" w:type="pct"/>
          </w:tcPr>
          <w:p w14:paraId="5E93FEAB" w14:textId="77777777" w:rsidR="000C5AAF" w:rsidRPr="006A036C" w:rsidRDefault="00000000" w:rsidP="009038AE">
            <w:pPr>
              <w:keepNext/>
              <w:jc w:val="center"/>
              <w:rPr>
                <w:del w:id="6300" w:author="AbbVie1" w:date="2025-05-13T09:50:00Z"/>
              </w:rPr>
            </w:pPr>
            <w:del w:id="6301" w:author="AbbVie1" w:date="2025-05-13T09:50:00Z">
              <w:r w:rsidRPr="006A036C">
                <w:delText>33</w:delText>
              </w:r>
              <w:r w:rsidRPr="002F2C3D">
                <w:delText>,</w:delText>
              </w:r>
              <w:r w:rsidRPr="006A036C">
                <w:delText>3</w:delText>
              </w:r>
              <w:r w:rsidRPr="002F2C3D">
                <w:delText> </w:delText>
              </w:r>
              <w:r w:rsidRPr="006A036C">
                <w:delText>%</w:delText>
              </w:r>
            </w:del>
          </w:p>
        </w:tc>
        <w:tc>
          <w:tcPr>
            <w:tcW w:w="1005" w:type="pct"/>
          </w:tcPr>
          <w:p w14:paraId="6E9DBE3C" w14:textId="77777777" w:rsidR="000C5AAF" w:rsidRPr="006A036C" w:rsidRDefault="00000000" w:rsidP="009038AE">
            <w:pPr>
              <w:keepNext/>
              <w:jc w:val="center"/>
              <w:rPr>
                <w:del w:id="6302" w:author="AbbVie1" w:date="2025-05-13T09:50:00Z"/>
              </w:rPr>
            </w:pPr>
            <w:del w:id="6303" w:author="AbbVie1" w:date="2025-05-13T09:50:00Z">
              <w:r w:rsidRPr="006A036C">
                <w:delText>57</w:delText>
              </w:r>
              <w:r w:rsidRPr="002F2C3D">
                <w:delText>,</w:delText>
              </w:r>
              <w:r w:rsidRPr="006A036C">
                <w:delText>2</w:delText>
              </w:r>
              <w:r w:rsidRPr="002F2C3D">
                <w:delText> </w:delText>
              </w:r>
              <w:r w:rsidRPr="006A036C">
                <w:delText>%***</w:delText>
              </w:r>
            </w:del>
          </w:p>
        </w:tc>
      </w:tr>
      <w:tr w:rsidR="00534A2D" w14:paraId="0FAFA11B" w14:textId="77777777" w:rsidTr="00601217">
        <w:trPr>
          <w:jc w:val="center"/>
          <w:del w:id="6304" w:author="AbbVie1" w:date="2025-05-13T09:50:00Z"/>
        </w:trPr>
        <w:tc>
          <w:tcPr>
            <w:tcW w:w="3067" w:type="pct"/>
          </w:tcPr>
          <w:p w14:paraId="449F5F9D" w14:textId="77777777" w:rsidR="000C5AAF" w:rsidRPr="006A036C" w:rsidRDefault="00000000" w:rsidP="009038AE">
            <w:pPr>
              <w:keepNext/>
              <w:rPr>
                <w:del w:id="6305" w:author="AbbVie1" w:date="2025-05-13T09:50:00Z"/>
              </w:rPr>
            </w:pPr>
            <w:del w:id="6306" w:author="AbbVie1" w:date="2025-05-13T09:50:00Z">
              <w:r w:rsidRPr="002F2C3D">
                <w:delText>Částečné vzplanutí</w:delText>
              </w:r>
              <w:r w:rsidRPr="006A036C">
                <w:rPr>
                  <w:szCs w:val="22"/>
                  <w:vertAlign w:val="superscript"/>
                </w:rPr>
                <w:delText>d</w:delText>
              </w:r>
            </w:del>
          </w:p>
        </w:tc>
        <w:tc>
          <w:tcPr>
            <w:tcW w:w="928" w:type="pct"/>
          </w:tcPr>
          <w:p w14:paraId="3123D69D" w14:textId="77777777" w:rsidR="000C5AAF" w:rsidRPr="006A036C" w:rsidRDefault="00000000" w:rsidP="009038AE">
            <w:pPr>
              <w:keepNext/>
              <w:jc w:val="center"/>
              <w:rPr>
                <w:del w:id="6307" w:author="AbbVie1" w:date="2025-05-13T09:50:00Z"/>
              </w:rPr>
            </w:pPr>
            <w:del w:id="6308" w:author="AbbVie1" w:date="2025-05-13T09:50:00Z">
              <w:r w:rsidRPr="006A036C">
                <w:delText>64</w:delText>
              </w:r>
              <w:r w:rsidRPr="002F2C3D">
                <w:delText>,</w:delText>
              </w:r>
              <w:r w:rsidRPr="006A036C">
                <w:delText>1</w:delText>
              </w:r>
              <w:r w:rsidRPr="002F2C3D">
                <w:delText> </w:delText>
              </w:r>
              <w:r w:rsidRPr="006A036C">
                <w:delText>%</w:delText>
              </w:r>
            </w:del>
          </w:p>
        </w:tc>
        <w:tc>
          <w:tcPr>
            <w:tcW w:w="1005" w:type="pct"/>
          </w:tcPr>
          <w:p w14:paraId="46ED10F0" w14:textId="77777777" w:rsidR="000C5AAF" w:rsidRPr="006A036C" w:rsidRDefault="00000000" w:rsidP="009038AE">
            <w:pPr>
              <w:keepNext/>
              <w:jc w:val="center"/>
              <w:rPr>
                <w:del w:id="6309" w:author="AbbVie1" w:date="2025-05-13T09:50:00Z"/>
              </w:rPr>
            </w:pPr>
            <w:del w:id="6310" w:author="AbbVie1" w:date="2025-05-13T09:50:00Z">
              <w:r w:rsidRPr="006A036C">
                <w:delText>40</w:delText>
              </w:r>
              <w:r w:rsidRPr="002F2C3D">
                <w:delText>,</w:delText>
              </w:r>
              <w:r w:rsidRPr="006A036C">
                <w:delText>8</w:delText>
              </w:r>
              <w:r w:rsidRPr="002F2C3D">
                <w:delText> </w:delText>
              </w:r>
              <w:r w:rsidRPr="006A036C">
                <w:delText>%***</w:delText>
              </w:r>
            </w:del>
          </w:p>
        </w:tc>
      </w:tr>
      <w:tr w:rsidR="00534A2D" w14:paraId="1E873229" w14:textId="77777777" w:rsidTr="00601217">
        <w:trPr>
          <w:jc w:val="center"/>
          <w:del w:id="6311" w:author="AbbVie1" w:date="2025-05-13T09:50:00Z"/>
        </w:trPr>
        <w:tc>
          <w:tcPr>
            <w:tcW w:w="5000" w:type="pct"/>
            <w:gridSpan w:val="3"/>
            <w:tcBorders>
              <w:left w:val="nil"/>
              <w:bottom w:val="nil"/>
              <w:right w:val="nil"/>
            </w:tcBorders>
          </w:tcPr>
          <w:p w14:paraId="5FC43B15" w14:textId="77777777" w:rsidR="000C5AAF" w:rsidRPr="002F2C3D" w:rsidRDefault="00000000" w:rsidP="009038AE">
            <w:pPr>
              <w:keepNext/>
              <w:autoSpaceDE w:val="0"/>
              <w:autoSpaceDN w:val="0"/>
              <w:adjustRightInd w:val="0"/>
              <w:rPr>
                <w:del w:id="6312" w:author="AbbVie1" w:date="2025-05-13T09:50:00Z"/>
                <w:szCs w:val="22"/>
              </w:rPr>
            </w:pPr>
            <w:del w:id="6313" w:author="AbbVie1" w:date="2025-05-13T09:50:00Z">
              <w:r w:rsidRPr="002F2C3D">
                <w:rPr>
                  <w:szCs w:val="22"/>
                  <w:vertAlign w:val="superscript"/>
                </w:rPr>
                <w:delText>a</w:delText>
              </w:r>
              <w:r w:rsidRPr="002F2C3D">
                <w:rPr>
                  <w:szCs w:val="22"/>
                </w:rPr>
                <w:delText xml:space="preserve"> </w:delText>
              </w:r>
              <w:r w:rsidRPr="006A036C">
                <w:rPr>
                  <w:szCs w:val="22"/>
                </w:rPr>
                <w:delText>Assessments of Spondyloarthritis International Society, stanovení stupně AS</w:delText>
              </w:r>
            </w:del>
          </w:p>
          <w:p w14:paraId="061B9044" w14:textId="77777777" w:rsidR="000C5AAF" w:rsidRPr="00932F07" w:rsidRDefault="00000000" w:rsidP="009038AE">
            <w:pPr>
              <w:pStyle w:val="EMEANormal"/>
              <w:keepNext/>
              <w:ind w:left="20"/>
              <w:rPr>
                <w:del w:id="6314" w:author="AbbVie1" w:date="2025-05-13T09:50:00Z"/>
                <w:szCs w:val="22"/>
                <w:lang w:val="cs-CZ"/>
              </w:rPr>
            </w:pPr>
            <w:del w:id="6315" w:author="AbbVie1" w:date="2025-05-13T09:50:00Z">
              <w:r w:rsidRPr="002F2C3D">
                <w:rPr>
                  <w:szCs w:val="22"/>
                  <w:vertAlign w:val="superscript"/>
                  <w:lang w:val="cs-CZ"/>
                </w:rPr>
                <w:delText>b</w:delText>
              </w:r>
              <w:r w:rsidRPr="002F2C3D">
                <w:rPr>
                  <w:szCs w:val="22"/>
                  <w:lang w:val="cs-CZ"/>
                </w:rPr>
                <w:delText xml:space="preserve"> Výchozí stav je definován jako otevřený výchozí stav, kdy mají pacienti aktivní onemocnění.</w:delText>
              </w:r>
            </w:del>
          </w:p>
          <w:p w14:paraId="6A7A28F0" w14:textId="77777777" w:rsidR="000C5AAF" w:rsidRPr="00932F07" w:rsidRDefault="00000000" w:rsidP="009038AE">
            <w:pPr>
              <w:pStyle w:val="EMEANormal"/>
              <w:keepNext/>
              <w:ind w:left="20"/>
              <w:rPr>
                <w:del w:id="6316" w:author="AbbVie1" w:date="2025-05-13T09:50:00Z"/>
                <w:szCs w:val="22"/>
                <w:lang w:val="cs-CZ"/>
              </w:rPr>
            </w:pPr>
            <w:del w:id="6317" w:author="AbbVie1" w:date="2025-05-13T09:50:00Z">
              <w:r w:rsidRPr="002F2C3D">
                <w:rPr>
                  <w:szCs w:val="22"/>
                  <w:vertAlign w:val="superscript"/>
                  <w:lang w:val="cs-CZ"/>
                </w:rPr>
                <w:delText>c</w:delText>
              </w:r>
              <w:r w:rsidRPr="002F2C3D">
                <w:rPr>
                  <w:szCs w:val="22"/>
                  <w:lang w:val="cs-CZ"/>
                </w:rPr>
                <w:delText xml:space="preserve"> </w:delText>
              </w:r>
              <w:r w:rsidR="00932F07" w:rsidRPr="004B4C5D">
                <w:rPr>
                  <w:szCs w:val="22"/>
                  <w:lang w:val="cs-CZ"/>
                </w:rPr>
                <w:delText>Ankylosing Spondylitis Disease Activity Score</w:delText>
              </w:r>
            </w:del>
          </w:p>
          <w:p w14:paraId="6B816DC8" w14:textId="77777777" w:rsidR="000C5AAF" w:rsidRPr="002F2C3D" w:rsidRDefault="00000000" w:rsidP="009038AE">
            <w:pPr>
              <w:keepNext/>
              <w:autoSpaceDE w:val="0"/>
              <w:autoSpaceDN w:val="0"/>
              <w:adjustRightInd w:val="0"/>
              <w:rPr>
                <w:del w:id="6318" w:author="AbbVie1" w:date="2025-05-13T09:50:00Z"/>
                <w:szCs w:val="22"/>
              </w:rPr>
            </w:pPr>
            <w:del w:id="6319" w:author="AbbVie1" w:date="2025-05-13T09:50:00Z">
              <w:r w:rsidRPr="002F2C3D">
                <w:rPr>
                  <w:szCs w:val="22"/>
                  <w:vertAlign w:val="superscript"/>
                </w:rPr>
                <w:delText>d</w:delText>
              </w:r>
              <w:r w:rsidRPr="002F2C3D">
                <w:rPr>
                  <w:szCs w:val="22"/>
                </w:rPr>
                <w:delText xml:space="preserve"> Částečné vzplanutí je definováno jako </w:delText>
              </w:r>
              <w:r w:rsidRPr="002F2C3D">
                <w:rPr>
                  <w:rFonts w:eastAsiaTheme="minorHAnsi"/>
                  <w:szCs w:val="22"/>
                </w:rPr>
                <w:delText>ASDAS ≥</w:delText>
              </w:r>
              <w:r w:rsidR="00932F07">
                <w:rPr>
                  <w:rFonts w:eastAsiaTheme="minorHAnsi"/>
                  <w:szCs w:val="22"/>
                </w:rPr>
                <w:delText> </w:delText>
              </w:r>
              <w:r w:rsidRPr="002F2C3D">
                <w:rPr>
                  <w:rFonts w:eastAsiaTheme="minorHAnsi"/>
                  <w:szCs w:val="22"/>
                </w:rPr>
                <w:delText>1,3, ale &lt;</w:delText>
              </w:r>
              <w:r w:rsidR="00932F07">
                <w:rPr>
                  <w:rFonts w:eastAsiaTheme="minorHAnsi"/>
                  <w:szCs w:val="22"/>
                </w:rPr>
                <w:delText> </w:delText>
              </w:r>
              <w:r w:rsidRPr="002F2C3D">
                <w:rPr>
                  <w:rFonts w:eastAsiaTheme="minorHAnsi"/>
                  <w:szCs w:val="22"/>
                </w:rPr>
                <w:delText>2,1 při 2 po sobě jdoucích návštěvách.</w:delText>
              </w:r>
            </w:del>
          </w:p>
          <w:p w14:paraId="5F5D6F64" w14:textId="77777777" w:rsidR="000C5AAF" w:rsidRPr="004E5BEB" w:rsidRDefault="00000000" w:rsidP="009038AE">
            <w:pPr>
              <w:pStyle w:val="EMEANormal"/>
              <w:keepNext/>
              <w:ind w:left="20"/>
              <w:rPr>
                <w:del w:id="6320" w:author="AbbVie1" w:date="2025-05-13T09:50:00Z"/>
                <w:lang w:val="cs-CZ"/>
              </w:rPr>
            </w:pPr>
            <w:del w:id="6321" w:author="AbbVie1" w:date="2025-05-13T09:50:00Z">
              <w:r w:rsidRPr="002F2C3D">
                <w:rPr>
                  <w:szCs w:val="22"/>
                  <w:lang w:val="cs-CZ"/>
                </w:rPr>
                <w:delText xml:space="preserve">***, ** Statisticky </w:delText>
              </w:r>
              <w:r w:rsidR="008D0E93">
                <w:rPr>
                  <w:szCs w:val="22"/>
                  <w:lang w:val="cs-CZ"/>
                </w:rPr>
                <w:delText>význam</w:delText>
              </w:r>
              <w:r w:rsidR="00805020">
                <w:rPr>
                  <w:szCs w:val="22"/>
                  <w:lang w:val="cs-CZ"/>
                </w:rPr>
                <w:delText>né</w:delText>
              </w:r>
              <w:r w:rsidRPr="002F2C3D">
                <w:rPr>
                  <w:szCs w:val="22"/>
                  <w:lang w:val="cs-CZ"/>
                </w:rPr>
                <w:delText xml:space="preserve"> při p&lt;0,001</w:delText>
              </w:r>
              <w:r w:rsidR="002378E0">
                <w:rPr>
                  <w:szCs w:val="22"/>
                  <w:lang w:val="cs-CZ"/>
                </w:rPr>
                <w:delText xml:space="preserve"> a </w:delText>
              </w:r>
              <w:r w:rsidRPr="002F2C3D">
                <w:rPr>
                  <w:szCs w:val="22"/>
                  <w:lang w:val="cs-CZ"/>
                </w:rPr>
                <w:delText>&lt;0,01, v </w:delText>
              </w:r>
              <w:r>
                <w:rPr>
                  <w:szCs w:val="22"/>
                  <w:lang w:val="cs-CZ"/>
                </w:rPr>
                <w:delText>tomto</w:delText>
              </w:r>
              <w:r w:rsidRPr="002F2C3D">
                <w:rPr>
                  <w:szCs w:val="22"/>
                  <w:lang w:val="cs-CZ"/>
                </w:rPr>
                <w:delText xml:space="preserve"> pořadí, pro všechna srovnání mezi přípravkem Humira</w:delText>
              </w:r>
              <w:r w:rsidR="002378E0">
                <w:rPr>
                  <w:szCs w:val="22"/>
                  <w:lang w:val="cs-CZ"/>
                </w:rPr>
                <w:delText xml:space="preserve"> a </w:delText>
              </w:r>
              <w:r w:rsidRPr="002F2C3D">
                <w:rPr>
                  <w:szCs w:val="22"/>
                  <w:lang w:val="cs-CZ"/>
                </w:rPr>
                <w:delText>placebem.</w:delText>
              </w:r>
            </w:del>
          </w:p>
        </w:tc>
      </w:tr>
    </w:tbl>
    <w:p w14:paraId="439C18C6" w14:textId="77777777" w:rsidR="000C5AAF" w:rsidRPr="001B4A02" w:rsidRDefault="000C5AAF" w:rsidP="00ED48A3">
      <w:pPr>
        <w:ind w:left="0" w:firstLine="0"/>
        <w:rPr>
          <w:del w:id="6322" w:author="AbbVie1" w:date="2025-05-13T09:50:00Z"/>
        </w:rPr>
      </w:pPr>
    </w:p>
    <w:p w14:paraId="566F4184" w14:textId="77777777" w:rsidR="00AE574B" w:rsidRPr="001B4A02" w:rsidRDefault="00000000" w:rsidP="00CE5DAE">
      <w:pPr>
        <w:keepNext/>
        <w:ind w:left="0" w:firstLine="0"/>
        <w:rPr>
          <w:del w:id="6323" w:author="AbbVie1" w:date="2025-05-13T09:50:00Z"/>
          <w:i/>
        </w:rPr>
      </w:pPr>
      <w:del w:id="6324" w:author="AbbVie1" w:date="2025-05-13T09:50:00Z">
        <w:r w:rsidRPr="001B4A02">
          <w:rPr>
            <w:i/>
          </w:rPr>
          <w:delText>Psoriatická artritida</w:delText>
        </w:r>
      </w:del>
    </w:p>
    <w:p w14:paraId="053139C7" w14:textId="77777777" w:rsidR="00AE574B" w:rsidRPr="001B4A02" w:rsidRDefault="00AE574B" w:rsidP="00CE5DAE">
      <w:pPr>
        <w:keepNext/>
        <w:ind w:left="0" w:firstLine="0"/>
        <w:rPr>
          <w:del w:id="6325" w:author="AbbVie1" w:date="2025-05-13T09:50:00Z"/>
        </w:rPr>
      </w:pPr>
    </w:p>
    <w:p w14:paraId="4C822C15" w14:textId="77777777" w:rsidR="00AE574B" w:rsidRPr="001B4A02" w:rsidRDefault="00000000" w:rsidP="00ED48A3">
      <w:pPr>
        <w:ind w:left="0" w:firstLine="0"/>
        <w:rPr>
          <w:del w:id="6326" w:author="AbbVie1" w:date="2025-05-13T09:50:00Z"/>
        </w:rPr>
      </w:pPr>
      <w:del w:id="6327" w:author="AbbVie1" w:date="2025-05-13T09:50:00Z">
        <w:r w:rsidRPr="001B4A02">
          <w:delText>Přípravek Humira v dávce 40 mg každý druhý týden byl studován u pacientů se střední</w:delText>
        </w:r>
        <w:r w:rsidR="002378E0">
          <w:delText xml:space="preserve"> a </w:delText>
        </w:r>
        <w:r w:rsidRPr="001B4A02">
          <w:delText>výraznou aktivitou psoriatické artritidy ve dvou placebem k</w:delText>
        </w:r>
        <w:r w:rsidR="002C1822" w:rsidRPr="001B4A02">
          <w:delText>ontrolovaných studiích</w:delText>
        </w:r>
        <w:r w:rsidRPr="001B4A02">
          <w:delText xml:space="preserve"> PsA I</w:delText>
        </w:r>
        <w:r w:rsidR="002378E0">
          <w:delText xml:space="preserve"> a </w:delText>
        </w:r>
        <w:r w:rsidRPr="001B4A02">
          <w:delText>II. Ve studii PsA I, která trvala 24 týdnů, bylo léčeno 313 dospělých pacientů s nedostatečnou odpovědí na nesteroidní antirevmatika</w:delText>
        </w:r>
        <w:r w:rsidR="002378E0">
          <w:delText xml:space="preserve"> a </w:delText>
        </w:r>
        <w:r w:rsidRPr="001B4A02">
          <w:delText>z nich přibližně 50</w:delText>
        </w:r>
        <w:r w:rsidR="00F274CD" w:rsidRPr="001B4A02">
          <w:delText> </w:delText>
        </w:r>
        <w:r w:rsidRPr="001B4A02">
          <w:delText xml:space="preserve">% užívalo methotrexát. Ve studii PsA II, která trvala 12 týdnů, bylo léčeno 100 pacientů s nedostatečnou odpovědí na léčbu DMARD. V průběhu dokončování obou studií bylo 383 pacientů zahrnuto do otevřené prodloužené fáze studie, kdy </w:delText>
        </w:r>
        <w:r w:rsidR="0051758E" w:rsidRPr="001B4A02">
          <w:delText>po</w:delText>
        </w:r>
        <w:r w:rsidRPr="001B4A02">
          <w:delText>užívali 40</w:delText>
        </w:r>
        <w:r w:rsidR="00294902">
          <w:delText> mg</w:delText>
        </w:r>
        <w:r w:rsidRPr="001B4A02">
          <w:delText xml:space="preserve"> přípravku Humira každý druhý týden.</w:delText>
        </w:r>
      </w:del>
    </w:p>
    <w:p w14:paraId="38E20296" w14:textId="77777777" w:rsidR="00AE574B" w:rsidRPr="001B4A02" w:rsidRDefault="00AE574B" w:rsidP="00ED48A3">
      <w:pPr>
        <w:ind w:left="0" w:firstLine="0"/>
        <w:rPr>
          <w:del w:id="6328" w:author="AbbVie1" w:date="2025-05-13T09:50:00Z"/>
        </w:rPr>
      </w:pPr>
    </w:p>
    <w:p w14:paraId="518A0FFB" w14:textId="77777777" w:rsidR="00AE574B" w:rsidRPr="001B4A02" w:rsidRDefault="00000000" w:rsidP="00ED48A3">
      <w:pPr>
        <w:ind w:left="0" w:firstLine="0"/>
        <w:rPr>
          <w:del w:id="6329" w:author="AbbVie1" w:date="2025-05-13T09:50:00Z"/>
        </w:rPr>
      </w:pPr>
      <w:del w:id="6330" w:author="AbbVie1" w:date="2025-05-13T09:50:00Z">
        <w:r w:rsidRPr="001B4A02">
          <w:delText>Pro malý počet studovaných pacientů s </w:delText>
        </w:r>
        <w:r w:rsidR="004B5655" w:rsidRPr="001B4A02">
          <w:delText>psoriatic</w:delText>
        </w:r>
        <w:r w:rsidRPr="001B4A02">
          <w:delText>kou artropatií podobnou ankylozující spondylitidě nejsou k dispozici dostatečné důkazy o účinnosti přípravku Humira.</w:delText>
        </w:r>
      </w:del>
    </w:p>
    <w:p w14:paraId="3893E1B5" w14:textId="77777777" w:rsidR="00AE574B" w:rsidRDefault="00AE574B" w:rsidP="00CE5DAE">
      <w:pPr>
        <w:ind w:left="0" w:firstLine="0"/>
        <w:rPr>
          <w:del w:id="6331" w:author="AbbVie1" w:date="2025-05-13T09:50:00Z"/>
        </w:rPr>
      </w:pPr>
    </w:p>
    <w:p w14:paraId="1C46A836" w14:textId="77777777" w:rsidR="00C318F8" w:rsidRPr="001B4A02" w:rsidRDefault="00000000" w:rsidP="00C318F8">
      <w:pPr>
        <w:pStyle w:val="EMEANormal"/>
        <w:keepNext/>
        <w:jc w:val="center"/>
        <w:rPr>
          <w:del w:id="6332" w:author="AbbVie1" w:date="2025-05-13T09:50:00Z"/>
          <w:b/>
          <w:bCs/>
          <w:lang w:val="cs-CZ"/>
        </w:rPr>
      </w:pPr>
      <w:del w:id="6333" w:author="AbbVie1" w:date="2025-05-13T09:50:00Z">
        <w:r w:rsidRPr="001B4A02">
          <w:rPr>
            <w:b/>
            <w:bCs/>
            <w:lang w:val="cs-CZ"/>
          </w:rPr>
          <w:delText xml:space="preserve">Tabulka </w:delText>
        </w:r>
        <w:r w:rsidR="00CC1B29">
          <w:rPr>
            <w:b/>
            <w:bCs/>
            <w:lang w:val="cs-CZ"/>
          </w:rPr>
          <w:delText>15</w:delText>
        </w:r>
      </w:del>
    </w:p>
    <w:p w14:paraId="5DAFCFB8" w14:textId="77777777" w:rsidR="00C318F8" w:rsidRDefault="00000000" w:rsidP="00C318F8">
      <w:pPr>
        <w:ind w:left="0" w:firstLine="0"/>
        <w:jc w:val="center"/>
        <w:rPr>
          <w:del w:id="6334" w:author="AbbVie1" w:date="2025-05-13T09:50:00Z"/>
          <w:b/>
          <w:bCs/>
        </w:rPr>
      </w:pPr>
      <w:del w:id="6335" w:author="AbbVie1" w:date="2025-05-13T09:50:00Z">
        <w:r w:rsidRPr="001B4A02">
          <w:rPr>
            <w:b/>
            <w:bCs/>
          </w:rPr>
          <w:delText>Odpověď ACR v placebem kontrolovaných studiích u pacientů s psoriatickou artritidou (Procento pacientů)</w:delText>
        </w:r>
      </w:del>
    </w:p>
    <w:p w14:paraId="3CC0B736" w14:textId="77777777" w:rsidR="00C318F8" w:rsidRDefault="00C318F8" w:rsidP="00C318F8">
      <w:pPr>
        <w:ind w:left="0" w:firstLine="0"/>
        <w:jc w:val="center"/>
        <w:rPr>
          <w:del w:id="6336" w:author="AbbVie1" w:date="2025-05-13T09:50:00Z"/>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4"/>
        <w:gridCol w:w="1716"/>
        <w:gridCol w:w="1732"/>
        <w:gridCol w:w="1874"/>
        <w:gridCol w:w="1925"/>
      </w:tblGrid>
      <w:tr w:rsidR="00534A2D" w14:paraId="107E3F70" w14:textId="77777777" w:rsidTr="000C0B0A">
        <w:trPr>
          <w:jc w:val="center"/>
          <w:del w:id="6337" w:author="AbbVie1" w:date="2025-05-13T09:50:00Z"/>
        </w:trPr>
        <w:tc>
          <w:tcPr>
            <w:tcW w:w="1832" w:type="dxa"/>
            <w:tcBorders>
              <w:top w:val="single" w:sz="4" w:space="0" w:color="auto"/>
              <w:left w:val="single" w:sz="4" w:space="0" w:color="auto"/>
              <w:bottom w:val="single" w:sz="4" w:space="0" w:color="auto"/>
              <w:right w:val="single" w:sz="4" w:space="0" w:color="auto"/>
            </w:tcBorders>
            <w:vAlign w:val="center"/>
          </w:tcPr>
          <w:p w14:paraId="484165A3" w14:textId="77777777" w:rsidR="00C318F8" w:rsidRPr="001B4A02" w:rsidRDefault="00C318F8" w:rsidP="009A65BD">
            <w:pPr>
              <w:pStyle w:val="EMEANormal"/>
              <w:keepNext/>
              <w:rPr>
                <w:del w:id="6338" w:author="AbbVie1" w:date="2025-05-13T09:50:00Z"/>
                <w:lang w:val="cs-CZ"/>
              </w:rPr>
            </w:pPr>
          </w:p>
        </w:tc>
        <w:tc>
          <w:tcPr>
            <w:tcW w:w="3508" w:type="dxa"/>
            <w:gridSpan w:val="2"/>
            <w:tcBorders>
              <w:top w:val="single" w:sz="4" w:space="0" w:color="auto"/>
              <w:left w:val="single" w:sz="4" w:space="0" w:color="auto"/>
              <w:bottom w:val="single" w:sz="4" w:space="0" w:color="auto"/>
              <w:right w:val="single" w:sz="4" w:space="0" w:color="auto"/>
            </w:tcBorders>
            <w:vAlign w:val="center"/>
          </w:tcPr>
          <w:p w14:paraId="0FE501F3" w14:textId="77777777" w:rsidR="00C318F8" w:rsidRPr="001B4A02" w:rsidRDefault="00000000" w:rsidP="009A65BD">
            <w:pPr>
              <w:pStyle w:val="EMEANormal"/>
              <w:keepNext/>
              <w:jc w:val="center"/>
              <w:rPr>
                <w:del w:id="6339" w:author="AbbVie1" w:date="2025-05-13T09:50:00Z"/>
                <w:lang w:val="cs-CZ"/>
              </w:rPr>
            </w:pPr>
            <w:del w:id="6340" w:author="AbbVie1" w:date="2025-05-13T09:50:00Z">
              <w:r w:rsidRPr="001B4A02">
                <w:rPr>
                  <w:lang w:val="cs-CZ"/>
                </w:rPr>
                <w:delText>Studie PsA I</w:delText>
              </w:r>
            </w:del>
          </w:p>
        </w:tc>
        <w:tc>
          <w:tcPr>
            <w:tcW w:w="3871" w:type="dxa"/>
            <w:gridSpan w:val="2"/>
            <w:tcBorders>
              <w:top w:val="single" w:sz="4" w:space="0" w:color="auto"/>
              <w:left w:val="single" w:sz="4" w:space="0" w:color="auto"/>
              <w:bottom w:val="single" w:sz="4" w:space="0" w:color="auto"/>
              <w:right w:val="single" w:sz="4" w:space="0" w:color="auto"/>
            </w:tcBorders>
          </w:tcPr>
          <w:p w14:paraId="5F8871AF" w14:textId="77777777" w:rsidR="00C318F8" w:rsidRPr="001B4A02" w:rsidRDefault="00000000" w:rsidP="009A65BD">
            <w:pPr>
              <w:pStyle w:val="EMEANormal"/>
              <w:keepNext/>
              <w:jc w:val="center"/>
              <w:rPr>
                <w:del w:id="6341" w:author="AbbVie1" w:date="2025-05-13T09:50:00Z"/>
                <w:lang w:val="cs-CZ"/>
              </w:rPr>
            </w:pPr>
            <w:del w:id="6342" w:author="AbbVie1" w:date="2025-05-13T09:50:00Z">
              <w:r w:rsidRPr="001B4A02">
                <w:rPr>
                  <w:lang w:val="cs-CZ"/>
                </w:rPr>
                <w:delText>Studie PsA II</w:delText>
              </w:r>
            </w:del>
          </w:p>
        </w:tc>
      </w:tr>
      <w:tr w:rsidR="00534A2D" w14:paraId="3946A52A" w14:textId="77777777" w:rsidTr="000C0B0A">
        <w:trPr>
          <w:jc w:val="center"/>
          <w:del w:id="6343" w:author="AbbVie1" w:date="2025-05-13T09:50:00Z"/>
        </w:trPr>
        <w:tc>
          <w:tcPr>
            <w:tcW w:w="1832" w:type="dxa"/>
            <w:tcBorders>
              <w:top w:val="single" w:sz="4" w:space="0" w:color="auto"/>
              <w:left w:val="single" w:sz="4" w:space="0" w:color="auto"/>
              <w:bottom w:val="single" w:sz="4" w:space="0" w:color="auto"/>
              <w:right w:val="single" w:sz="4" w:space="0" w:color="auto"/>
            </w:tcBorders>
            <w:vAlign w:val="center"/>
          </w:tcPr>
          <w:p w14:paraId="56545EA3" w14:textId="77777777" w:rsidR="00C318F8" w:rsidRPr="001B4A02" w:rsidRDefault="00000000" w:rsidP="009A65BD">
            <w:pPr>
              <w:pStyle w:val="EMEANormal"/>
              <w:keepNext/>
              <w:rPr>
                <w:del w:id="6344" w:author="AbbVie1" w:date="2025-05-13T09:50:00Z"/>
                <w:lang w:val="cs-CZ"/>
              </w:rPr>
            </w:pPr>
            <w:del w:id="6345" w:author="AbbVie1" w:date="2025-05-13T09:50:00Z">
              <w:r w:rsidRPr="001B4A02">
                <w:rPr>
                  <w:lang w:val="cs-CZ"/>
                </w:rPr>
                <w:delText>Odpověď</w:delText>
              </w:r>
            </w:del>
          </w:p>
        </w:tc>
        <w:tc>
          <w:tcPr>
            <w:tcW w:w="1746" w:type="dxa"/>
            <w:tcBorders>
              <w:top w:val="single" w:sz="4" w:space="0" w:color="auto"/>
              <w:left w:val="single" w:sz="4" w:space="0" w:color="auto"/>
              <w:bottom w:val="single" w:sz="4" w:space="0" w:color="auto"/>
              <w:right w:val="single" w:sz="4" w:space="0" w:color="auto"/>
            </w:tcBorders>
            <w:vAlign w:val="center"/>
          </w:tcPr>
          <w:p w14:paraId="7DBF80D5" w14:textId="77777777" w:rsidR="00C318F8" w:rsidRPr="001B4A02" w:rsidRDefault="00000000" w:rsidP="009A65BD">
            <w:pPr>
              <w:pStyle w:val="EMEANormal"/>
              <w:keepNext/>
              <w:jc w:val="center"/>
              <w:rPr>
                <w:del w:id="6346" w:author="AbbVie1" w:date="2025-05-13T09:50:00Z"/>
                <w:lang w:val="cs-CZ"/>
              </w:rPr>
            </w:pPr>
            <w:del w:id="6347" w:author="AbbVie1" w:date="2025-05-13T09:50:00Z">
              <w:r w:rsidRPr="001B4A02">
                <w:rPr>
                  <w:lang w:val="cs-CZ"/>
                </w:rPr>
                <w:delText>Placebo</w:delText>
              </w:r>
            </w:del>
          </w:p>
          <w:p w14:paraId="36BE619E" w14:textId="77777777" w:rsidR="00C318F8" w:rsidRPr="001B4A02" w:rsidRDefault="00000000" w:rsidP="009A65BD">
            <w:pPr>
              <w:pStyle w:val="EMEANormal"/>
              <w:keepNext/>
              <w:jc w:val="center"/>
              <w:rPr>
                <w:del w:id="6348" w:author="AbbVie1" w:date="2025-05-13T09:50:00Z"/>
                <w:lang w:val="cs-CZ"/>
              </w:rPr>
            </w:pPr>
            <w:del w:id="6349" w:author="AbbVie1" w:date="2025-05-13T09:50:00Z">
              <w:r w:rsidRPr="001B4A02">
                <w:rPr>
                  <w:lang w:val="cs-CZ"/>
                </w:rPr>
                <w:delText>n=162</w:delText>
              </w:r>
            </w:del>
          </w:p>
        </w:tc>
        <w:tc>
          <w:tcPr>
            <w:tcW w:w="1762" w:type="dxa"/>
            <w:tcBorders>
              <w:top w:val="single" w:sz="4" w:space="0" w:color="auto"/>
              <w:left w:val="single" w:sz="4" w:space="0" w:color="auto"/>
              <w:bottom w:val="single" w:sz="4" w:space="0" w:color="auto"/>
              <w:right w:val="nil"/>
            </w:tcBorders>
            <w:vAlign w:val="center"/>
          </w:tcPr>
          <w:p w14:paraId="40B3B627" w14:textId="77777777" w:rsidR="00C318F8" w:rsidRPr="001B4A02" w:rsidRDefault="00000000" w:rsidP="009A65BD">
            <w:pPr>
              <w:pStyle w:val="EMEANormal"/>
              <w:keepNext/>
              <w:jc w:val="center"/>
              <w:rPr>
                <w:del w:id="6350" w:author="AbbVie1" w:date="2025-05-13T09:50:00Z"/>
                <w:lang w:val="cs-CZ"/>
              </w:rPr>
            </w:pPr>
            <w:del w:id="6351" w:author="AbbVie1" w:date="2025-05-13T09:50:00Z">
              <w:r w:rsidRPr="001B4A02">
                <w:rPr>
                  <w:lang w:val="cs-CZ"/>
                </w:rPr>
                <w:delText>Humira</w:delText>
              </w:r>
            </w:del>
          </w:p>
          <w:p w14:paraId="495FC225" w14:textId="77777777" w:rsidR="00C318F8" w:rsidRPr="001B4A02" w:rsidRDefault="00000000" w:rsidP="009A65BD">
            <w:pPr>
              <w:pStyle w:val="EMEANormal"/>
              <w:keepNext/>
              <w:jc w:val="center"/>
              <w:rPr>
                <w:del w:id="6352" w:author="AbbVie1" w:date="2025-05-13T09:50:00Z"/>
                <w:lang w:val="cs-CZ"/>
              </w:rPr>
            </w:pPr>
            <w:del w:id="6353" w:author="AbbVie1" w:date="2025-05-13T09:50:00Z">
              <w:r w:rsidRPr="001B4A02">
                <w:rPr>
                  <w:lang w:val="cs-CZ"/>
                </w:rPr>
                <w:delText>n=151</w:delText>
              </w:r>
            </w:del>
          </w:p>
        </w:tc>
        <w:tc>
          <w:tcPr>
            <w:tcW w:w="1909" w:type="dxa"/>
            <w:tcBorders>
              <w:top w:val="single" w:sz="4" w:space="0" w:color="auto"/>
              <w:left w:val="single" w:sz="4" w:space="0" w:color="auto"/>
              <w:bottom w:val="single" w:sz="4" w:space="0" w:color="auto"/>
              <w:right w:val="single" w:sz="4" w:space="0" w:color="auto"/>
            </w:tcBorders>
          </w:tcPr>
          <w:p w14:paraId="79A7E652" w14:textId="77777777" w:rsidR="00C318F8" w:rsidRPr="001B4A02" w:rsidRDefault="00000000" w:rsidP="009A65BD">
            <w:pPr>
              <w:pStyle w:val="EMEANormal"/>
              <w:keepNext/>
              <w:jc w:val="center"/>
              <w:rPr>
                <w:del w:id="6354" w:author="AbbVie1" w:date="2025-05-13T09:50:00Z"/>
                <w:lang w:val="cs-CZ"/>
              </w:rPr>
            </w:pPr>
            <w:del w:id="6355" w:author="AbbVie1" w:date="2025-05-13T09:50:00Z">
              <w:r w:rsidRPr="001B4A02">
                <w:rPr>
                  <w:lang w:val="cs-CZ"/>
                </w:rPr>
                <w:delText xml:space="preserve">Placebo </w:delText>
              </w:r>
            </w:del>
          </w:p>
          <w:p w14:paraId="393BD2AC" w14:textId="77777777" w:rsidR="00C318F8" w:rsidRPr="001B4A02" w:rsidRDefault="00000000" w:rsidP="009A65BD">
            <w:pPr>
              <w:pStyle w:val="EMEANormal"/>
              <w:keepNext/>
              <w:jc w:val="center"/>
              <w:rPr>
                <w:del w:id="6356" w:author="AbbVie1" w:date="2025-05-13T09:50:00Z"/>
                <w:lang w:val="cs-CZ"/>
              </w:rPr>
            </w:pPr>
            <w:del w:id="6357" w:author="AbbVie1" w:date="2025-05-13T09:50:00Z">
              <w:r w:rsidRPr="001B4A02">
                <w:rPr>
                  <w:lang w:val="cs-CZ"/>
                </w:rPr>
                <w:delText>n=49</w:delText>
              </w:r>
            </w:del>
          </w:p>
        </w:tc>
        <w:tc>
          <w:tcPr>
            <w:tcW w:w="1962" w:type="dxa"/>
            <w:tcBorders>
              <w:top w:val="single" w:sz="4" w:space="0" w:color="auto"/>
              <w:left w:val="single" w:sz="4" w:space="0" w:color="auto"/>
              <w:bottom w:val="single" w:sz="4" w:space="0" w:color="auto"/>
              <w:right w:val="single" w:sz="4" w:space="0" w:color="auto"/>
            </w:tcBorders>
          </w:tcPr>
          <w:p w14:paraId="470DE621" w14:textId="77777777" w:rsidR="00C318F8" w:rsidRPr="001B4A02" w:rsidRDefault="00000000" w:rsidP="009A65BD">
            <w:pPr>
              <w:pStyle w:val="EMEANormal"/>
              <w:keepNext/>
              <w:jc w:val="center"/>
              <w:rPr>
                <w:del w:id="6358" w:author="AbbVie1" w:date="2025-05-13T09:50:00Z"/>
                <w:lang w:val="cs-CZ"/>
              </w:rPr>
            </w:pPr>
            <w:del w:id="6359" w:author="AbbVie1" w:date="2025-05-13T09:50:00Z">
              <w:r w:rsidRPr="001B4A02">
                <w:rPr>
                  <w:lang w:val="cs-CZ"/>
                </w:rPr>
                <w:delText>Humira</w:delText>
              </w:r>
            </w:del>
          </w:p>
          <w:p w14:paraId="7B424B10" w14:textId="77777777" w:rsidR="00C318F8" w:rsidRPr="001B4A02" w:rsidRDefault="00000000" w:rsidP="009A65BD">
            <w:pPr>
              <w:pStyle w:val="EMEANormal"/>
              <w:keepNext/>
              <w:jc w:val="center"/>
              <w:rPr>
                <w:del w:id="6360" w:author="AbbVie1" w:date="2025-05-13T09:50:00Z"/>
                <w:lang w:val="cs-CZ"/>
              </w:rPr>
            </w:pPr>
            <w:del w:id="6361" w:author="AbbVie1" w:date="2025-05-13T09:50:00Z">
              <w:r w:rsidRPr="001B4A02">
                <w:rPr>
                  <w:lang w:val="cs-CZ"/>
                </w:rPr>
                <w:delText>n=51</w:delText>
              </w:r>
            </w:del>
          </w:p>
        </w:tc>
      </w:tr>
      <w:tr w:rsidR="00534A2D" w14:paraId="537028DA" w14:textId="77777777" w:rsidTr="000C0B0A">
        <w:trPr>
          <w:jc w:val="center"/>
          <w:del w:id="6362" w:author="AbbVie1" w:date="2025-05-13T09:50:00Z"/>
        </w:trPr>
        <w:tc>
          <w:tcPr>
            <w:tcW w:w="1832" w:type="dxa"/>
            <w:tcBorders>
              <w:top w:val="single" w:sz="4" w:space="0" w:color="auto"/>
              <w:left w:val="single" w:sz="4" w:space="0" w:color="auto"/>
              <w:bottom w:val="nil"/>
              <w:right w:val="single" w:sz="4" w:space="0" w:color="auto"/>
            </w:tcBorders>
          </w:tcPr>
          <w:p w14:paraId="663B1BF0" w14:textId="77777777" w:rsidR="00C318F8" w:rsidRPr="001B4A02" w:rsidRDefault="00000000" w:rsidP="009A65BD">
            <w:pPr>
              <w:pStyle w:val="EMEANormal"/>
              <w:keepNext/>
              <w:rPr>
                <w:del w:id="6363" w:author="AbbVie1" w:date="2025-05-13T09:50:00Z"/>
                <w:lang w:val="cs-CZ"/>
              </w:rPr>
            </w:pPr>
            <w:del w:id="6364" w:author="AbbVie1" w:date="2025-05-13T09:50:00Z">
              <w:r w:rsidRPr="001B4A02">
                <w:rPr>
                  <w:lang w:val="cs-CZ"/>
                </w:rPr>
                <w:delText xml:space="preserve">ACR 20 </w:delText>
              </w:r>
            </w:del>
          </w:p>
        </w:tc>
        <w:tc>
          <w:tcPr>
            <w:tcW w:w="1746" w:type="dxa"/>
            <w:tcBorders>
              <w:top w:val="single" w:sz="4" w:space="0" w:color="auto"/>
              <w:left w:val="single" w:sz="4" w:space="0" w:color="auto"/>
              <w:bottom w:val="nil"/>
              <w:right w:val="single" w:sz="4" w:space="0" w:color="auto"/>
            </w:tcBorders>
          </w:tcPr>
          <w:p w14:paraId="04ABC4AC" w14:textId="77777777" w:rsidR="00C318F8" w:rsidRPr="001B4A02" w:rsidRDefault="00C318F8" w:rsidP="009A65BD">
            <w:pPr>
              <w:pStyle w:val="EMEANormal"/>
              <w:keepNext/>
              <w:jc w:val="center"/>
              <w:rPr>
                <w:del w:id="6365" w:author="AbbVie1" w:date="2025-05-13T09:50:00Z"/>
                <w:lang w:val="cs-CZ"/>
              </w:rPr>
            </w:pPr>
          </w:p>
        </w:tc>
        <w:tc>
          <w:tcPr>
            <w:tcW w:w="1762" w:type="dxa"/>
            <w:tcBorders>
              <w:top w:val="single" w:sz="4" w:space="0" w:color="auto"/>
              <w:left w:val="single" w:sz="4" w:space="0" w:color="auto"/>
              <w:bottom w:val="nil"/>
              <w:right w:val="nil"/>
            </w:tcBorders>
          </w:tcPr>
          <w:p w14:paraId="4CA49EF9" w14:textId="77777777" w:rsidR="00C318F8" w:rsidRPr="001B4A02" w:rsidRDefault="00C318F8" w:rsidP="009A65BD">
            <w:pPr>
              <w:pStyle w:val="EMEANormal"/>
              <w:keepNext/>
              <w:jc w:val="center"/>
              <w:rPr>
                <w:del w:id="6366" w:author="AbbVie1" w:date="2025-05-13T09:50:00Z"/>
                <w:lang w:val="cs-CZ"/>
              </w:rPr>
            </w:pPr>
          </w:p>
        </w:tc>
        <w:tc>
          <w:tcPr>
            <w:tcW w:w="1909" w:type="dxa"/>
            <w:tcBorders>
              <w:top w:val="single" w:sz="4" w:space="0" w:color="auto"/>
              <w:left w:val="single" w:sz="4" w:space="0" w:color="auto"/>
              <w:bottom w:val="nil"/>
              <w:right w:val="single" w:sz="4" w:space="0" w:color="auto"/>
            </w:tcBorders>
          </w:tcPr>
          <w:p w14:paraId="6273A1E7" w14:textId="77777777" w:rsidR="00C318F8" w:rsidRPr="001B4A02" w:rsidRDefault="00C318F8" w:rsidP="009A65BD">
            <w:pPr>
              <w:pStyle w:val="EMEANormal"/>
              <w:keepNext/>
              <w:jc w:val="center"/>
              <w:rPr>
                <w:del w:id="6367" w:author="AbbVie1" w:date="2025-05-13T09:50:00Z"/>
                <w:lang w:val="cs-CZ"/>
              </w:rPr>
            </w:pPr>
          </w:p>
        </w:tc>
        <w:tc>
          <w:tcPr>
            <w:tcW w:w="1962" w:type="dxa"/>
            <w:tcBorders>
              <w:top w:val="single" w:sz="4" w:space="0" w:color="auto"/>
              <w:left w:val="single" w:sz="4" w:space="0" w:color="auto"/>
              <w:bottom w:val="nil"/>
              <w:right w:val="single" w:sz="4" w:space="0" w:color="auto"/>
            </w:tcBorders>
          </w:tcPr>
          <w:p w14:paraId="091706E5" w14:textId="77777777" w:rsidR="00C318F8" w:rsidRPr="001B4A02" w:rsidRDefault="00C318F8" w:rsidP="009A65BD">
            <w:pPr>
              <w:pStyle w:val="EMEANormal"/>
              <w:keepNext/>
              <w:jc w:val="center"/>
              <w:rPr>
                <w:del w:id="6368" w:author="AbbVie1" w:date="2025-05-13T09:50:00Z"/>
                <w:lang w:val="cs-CZ"/>
              </w:rPr>
            </w:pPr>
          </w:p>
        </w:tc>
      </w:tr>
      <w:tr w:rsidR="00534A2D" w14:paraId="162B96B7" w14:textId="77777777" w:rsidTr="000C0B0A">
        <w:trPr>
          <w:jc w:val="center"/>
          <w:del w:id="6369" w:author="AbbVie1" w:date="2025-05-13T09:50:00Z"/>
        </w:trPr>
        <w:tc>
          <w:tcPr>
            <w:tcW w:w="1832" w:type="dxa"/>
            <w:tcBorders>
              <w:top w:val="nil"/>
              <w:left w:val="single" w:sz="4" w:space="0" w:color="auto"/>
              <w:bottom w:val="nil"/>
              <w:right w:val="single" w:sz="4" w:space="0" w:color="auto"/>
            </w:tcBorders>
          </w:tcPr>
          <w:p w14:paraId="10DC0CBD" w14:textId="77777777" w:rsidR="00C318F8" w:rsidRPr="001B4A02" w:rsidRDefault="00000000" w:rsidP="009A65BD">
            <w:pPr>
              <w:pStyle w:val="EMEANormal"/>
              <w:keepNext/>
              <w:rPr>
                <w:del w:id="6370" w:author="AbbVie1" w:date="2025-05-13T09:50:00Z"/>
                <w:lang w:val="cs-CZ"/>
              </w:rPr>
            </w:pPr>
            <w:del w:id="6371" w:author="AbbVie1" w:date="2025-05-13T09:50:00Z">
              <w:r w:rsidRPr="001B4A02">
                <w:rPr>
                  <w:lang w:val="cs-CZ"/>
                </w:rPr>
                <w:tab/>
                <w:delText>Týden 12</w:delText>
              </w:r>
            </w:del>
          </w:p>
        </w:tc>
        <w:tc>
          <w:tcPr>
            <w:tcW w:w="1746" w:type="dxa"/>
            <w:tcBorders>
              <w:top w:val="nil"/>
              <w:left w:val="single" w:sz="4" w:space="0" w:color="auto"/>
              <w:bottom w:val="nil"/>
              <w:right w:val="single" w:sz="4" w:space="0" w:color="auto"/>
            </w:tcBorders>
          </w:tcPr>
          <w:p w14:paraId="64E16475" w14:textId="77777777" w:rsidR="00C318F8" w:rsidRPr="001B4A02" w:rsidRDefault="00000000" w:rsidP="009A65BD">
            <w:pPr>
              <w:pStyle w:val="EMEANormal"/>
              <w:keepNext/>
              <w:jc w:val="center"/>
              <w:rPr>
                <w:del w:id="6372" w:author="AbbVie1" w:date="2025-05-13T09:50:00Z"/>
                <w:lang w:val="cs-CZ"/>
              </w:rPr>
            </w:pPr>
            <w:del w:id="6373" w:author="AbbVie1" w:date="2025-05-13T09:50:00Z">
              <w:r w:rsidRPr="001B4A02">
                <w:rPr>
                  <w:lang w:val="cs-CZ"/>
                </w:rPr>
                <w:delText>14 %</w:delText>
              </w:r>
            </w:del>
          </w:p>
        </w:tc>
        <w:tc>
          <w:tcPr>
            <w:tcW w:w="1762" w:type="dxa"/>
            <w:tcBorders>
              <w:top w:val="nil"/>
              <w:left w:val="single" w:sz="4" w:space="0" w:color="auto"/>
              <w:bottom w:val="nil"/>
              <w:right w:val="nil"/>
            </w:tcBorders>
          </w:tcPr>
          <w:p w14:paraId="35D7C661" w14:textId="77777777" w:rsidR="00C318F8" w:rsidRPr="001B4A02" w:rsidRDefault="00000000" w:rsidP="009A65BD">
            <w:pPr>
              <w:pStyle w:val="EMEANormal"/>
              <w:keepNext/>
              <w:jc w:val="center"/>
              <w:rPr>
                <w:del w:id="6374" w:author="AbbVie1" w:date="2025-05-13T09:50:00Z"/>
                <w:lang w:val="cs-CZ"/>
              </w:rPr>
            </w:pPr>
            <w:del w:id="6375" w:author="AbbVie1" w:date="2025-05-13T09:50:00Z">
              <w:r w:rsidRPr="001B4A02">
                <w:rPr>
                  <w:lang w:val="cs-CZ"/>
                </w:rPr>
                <w:delText>58 %</w:delText>
              </w:r>
              <w:r w:rsidRPr="001B4A02">
                <w:rPr>
                  <w:sz w:val="24"/>
                  <w:vertAlign w:val="superscript"/>
                  <w:lang w:val="cs-CZ"/>
                </w:rPr>
                <w:delText>***</w:delText>
              </w:r>
            </w:del>
          </w:p>
        </w:tc>
        <w:tc>
          <w:tcPr>
            <w:tcW w:w="1909" w:type="dxa"/>
            <w:tcBorders>
              <w:top w:val="nil"/>
              <w:left w:val="single" w:sz="4" w:space="0" w:color="auto"/>
              <w:bottom w:val="nil"/>
              <w:right w:val="single" w:sz="4" w:space="0" w:color="auto"/>
            </w:tcBorders>
          </w:tcPr>
          <w:p w14:paraId="31E243F7" w14:textId="77777777" w:rsidR="00C318F8" w:rsidRPr="001B4A02" w:rsidRDefault="00000000" w:rsidP="009A65BD">
            <w:pPr>
              <w:pStyle w:val="EMEANormal"/>
              <w:keepNext/>
              <w:jc w:val="center"/>
              <w:rPr>
                <w:del w:id="6376" w:author="AbbVie1" w:date="2025-05-13T09:50:00Z"/>
                <w:lang w:val="cs-CZ"/>
              </w:rPr>
            </w:pPr>
            <w:del w:id="6377" w:author="AbbVie1" w:date="2025-05-13T09:50:00Z">
              <w:r w:rsidRPr="001B4A02">
                <w:rPr>
                  <w:lang w:val="cs-CZ"/>
                </w:rPr>
                <w:delText>16 %</w:delText>
              </w:r>
            </w:del>
          </w:p>
        </w:tc>
        <w:tc>
          <w:tcPr>
            <w:tcW w:w="1962" w:type="dxa"/>
            <w:tcBorders>
              <w:top w:val="nil"/>
              <w:left w:val="single" w:sz="4" w:space="0" w:color="auto"/>
              <w:bottom w:val="nil"/>
              <w:right w:val="single" w:sz="4" w:space="0" w:color="auto"/>
            </w:tcBorders>
          </w:tcPr>
          <w:p w14:paraId="50563492" w14:textId="77777777" w:rsidR="00C318F8" w:rsidRPr="001B4A02" w:rsidRDefault="00000000" w:rsidP="009A65BD">
            <w:pPr>
              <w:pStyle w:val="EMEANormal"/>
              <w:keepNext/>
              <w:jc w:val="center"/>
              <w:rPr>
                <w:del w:id="6378" w:author="AbbVie1" w:date="2025-05-13T09:50:00Z"/>
                <w:lang w:val="cs-CZ"/>
              </w:rPr>
            </w:pPr>
            <w:del w:id="6379" w:author="AbbVie1" w:date="2025-05-13T09:50:00Z">
              <w:r w:rsidRPr="001B4A02">
                <w:rPr>
                  <w:lang w:val="cs-CZ"/>
                </w:rPr>
                <w:delText>39 %</w:delText>
              </w:r>
              <w:r w:rsidRPr="001B4A02">
                <w:rPr>
                  <w:sz w:val="24"/>
                  <w:vertAlign w:val="superscript"/>
                  <w:lang w:val="cs-CZ"/>
                </w:rPr>
                <w:delText>*</w:delText>
              </w:r>
            </w:del>
          </w:p>
        </w:tc>
      </w:tr>
      <w:tr w:rsidR="00534A2D" w14:paraId="2484D525" w14:textId="77777777" w:rsidTr="000C0B0A">
        <w:trPr>
          <w:jc w:val="center"/>
          <w:del w:id="6380" w:author="AbbVie1" w:date="2025-05-13T09:50:00Z"/>
        </w:trPr>
        <w:tc>
          <w:tcPr>
            <w:tcW w:w="1832" w:type="dxa"/>
            <w:tcBorders>
              <w:top w:val="nil"/>
              <w:left w:val="single" w:sz="4" w:space="0" w:color="auto"/>
              <w:bottom w:val="nil"/>
              <w:right w:val="single" w:sz="4" w:space="0" w:color="auto"/>
            </w:tcBorders>
          </w:tcPr>
          <w:p w14:paraId="21419D82" w14:textId="77777777" w:rsidR="00C318F8" w:rsidRPr="001B4A02" w:rsidRDefault="00000000" w:rsidP="009A65BD">
            <w:pPr>
              <w:pStyle w:val="EMEANormal"/>
              <w:keepNext/>
              <w:rPr>
                <w:del w:id="6381" w:author="AbbVie1" w:date="2025-05-13T09:50:00Z"/>
                <w:lang w:val="cs-CZ"/>
              </w:rPr>
            </w:pPr>
            <w:del w:id="6382" w:author="AbbVie1" w:date="2025-05-13T09:50:00Z">
              <w:r w:rsidRPr="001B4A02">
                <w:rPr>
                  <w:lang w:val="cs-CZ"/>
                </w:rPr>
                <w:tab/>
                <w:delText>Týden 24</w:delText>
              </w:r>
            </w:del>
          </w:p>
        </w:tc>
        <w:tc>
          <w:tcPr>
            <w:tcW w:w="1746" w:type="dxa"/>
            <w:tcBorders>
              <w:top w:val="nil"/>
              <w:left w:val="single" w:sz="4" w:space="0" w:color="auto"/>
              <w:bottom w:val="nil"/>
              <w:right w:val="single" w:sz="4" w:space="0" w:color="auto"/>
            </w:tcBorders>
          </w:tcPr>
          <w:p w14:paraId="6D445273" w14:textId="77777777" w:rsidR="00C318F8" w:rsidRPr="001B4A02" w:rsidRDefault="00000000" w:rsidP="009A65BD">
            <w:pPr>
              <w:pStyle w:val="EMEANormal"/>
              <w:keepNext/>
              <w:jc w:val="center"/>
              <w:rPr>
                <w:del w:id="6383" w:author="AbbVie1" w:date="2025-05-13T09:50:00Z"/>
                <w:lang w:val="cs-CZ"/>
              </w:rPr>
            </w:pPr>
            <w:del w:id="6384" w:author="AbbVie1" w:date="2025-05-13T09:50:00Z">
              <w:r w:rsidRPr="001B4A02">
                <w:rPr>
                  <w:lang w:val="cs-CZ"/>
                </w:rPr>
                <w:delText>15 %</w:delText>
              </w:r>
            </w:del>
          </w:p>
        </w:tc>
        <w:tc>
          <w:tcPr>
            <w:tcW w:w="1762" w:type="dxa"/>
            <w:tcBorders>
              <w:top w:val="nil"/>
              <w:left w:val="single" w:sz="4" w:space="0" w:color="auto"/>
              <w:bottom w:val="nil"/>
              <w:right w:val="nil"/>
            </w:tcBorders>
          </w:tcPr>
          <w:p w14:paraId="711BF7E4" w14:textId="77777777" w:rsidR="00C318F8" w:rsidRPr="001B4A02" w:rsidRDefault="00000000" w:rsidP="009A65BD">
            <w:pPr>
              <w:pStyle w:val="EMEANormal"/>
              <w:keepNext/>
              <w:jc w:val="center"/>
              <w:rPr>
                <w:del w:id="6385" w:author="AbbVie1" w:date="2025-05-13T09:50:00Z"/>
                <w:lang w:val="cs-CZ"/>
              </w:rPr>
            </w:pPr>
            <w:del w:id="6386" w:author="AbbVie1" w:date="2025-05-13T09:50:00Z">
              <w:r w:rsidRPr="001B4A02">
                <w:rPr>
                  <w:lang w:val="cs-CZ"/>
                </w:rPr>
                <w:delText>57 %</w:delText>
              </w:r>
              <w:r w:rsidRPr="001B4A02">
                <w:rPr>
                  <w:sz w:val="24"/>
                  <w:vertAlign w:val="superscript"/>
                  <w:lang w:val="cs-CZ"/>
                </w:rPr>
                <w:delText>***</w:delText>
              </w:r>
            </w:del>
          </w:p>
        </w:tc>
        <w:tc>
          <w:tcPr>
            <w:tcW w:w="1909" w:type="dxa"/>
            <w:tcBorders>
              <w:top w:val="nil"/>
              <w:left w:val="single" w:sz="4" w:space="0" w:color="auto"/>
              <w:bottom w:val="nil"/>
              <w:right w:val="single" w:sz="4" w:space="0" w:color="auto"/>
            </w:tcBorders>
          </w:tcPr>
          <w:p w14:paraId="5901D83E" w14:textId="77777777" w:rsidR="00C318F8" w:rsidRPr="001B4A02" w:rsidRDefault="00000000" w:rsidP="009A65BD">
            <w:pPr>
              <w:pStyle w:val="EMEANormal"/>
              <w:keepNext/>
              <w:jc w:val="center"/>
              <w:rPr>
                <w:del w:id="6387" w:author="AbbVie1" w:date="2025-05-13T09:50:00Z"/>
                <w:lang w:val="cs-CZ"/>
              </w:rPr>
            </w:pPr>
            <w:del w:id="6388" w:author="AbbVie1" w:date="2025-05-13T09:50:00Z">
              <w:r w:rsidRPr="001B4A02">
                <w:rPr>
                  <w:lang w:val="cs-CZ"/>
                </w:rPr>
                <w:delText>N/A</w:delText>
              </w:r>
            </w:del>
          </w:p>
        </w:tc>
        <w:tc>
          <w:tcPr>
            <w:tcW w:w="1962" w:type="dxa"/>
            <w:tcBorders>
              <w:top w:val="nil"/>
              <w:left w:val="single" w:sz="4" w:space="0" w:color="auto"/>
              <w:bottom w:val="nil"/>
              <w:right w:val="single" w:sz="4" w:space="0" w:color="auto"/>
            </w:tcBorders>
          </w:tcPr>
          <w:p w14:paraId="36D1AA73" w14:textId="77777777" w:rsidR="00C318F8" w:rsidRPr="001B4A02" w:rsidRDefault="00000000" w:rsidP="009A65BD">
            <w:pPr>
              <w:pStyle w:val="EMEANormal"/>
              <w:keepNext/>
              <w:jc w:val="center"/>
              <w:rPr>
                <w:del w:id="6389" w:author="AbbVie1" w:date="2025-05-13T09:50:00Z"/>
                <w:lang w:val="cs-CZ"/>
              </w:rPr>
            </w:pPr>
            <w:del w:id="6390" w:author="AbbVie1" w:date="2025-05-13T09:50:00Z">
              <w:r w:rsidRPr="001B4A02">
                <w:rPr>
                  <w:lang w:val="cs-CZ"/>
                </w:rPr>
                <w:delText>N/A</w:delText>
              </w:r>
            </w:del>
          </w:p>
        </w:tc>
      </w:tr>
      <w:tr w:rsidR="00534A2D" w14:paraId="3B65B194" w14:textId="77777777" w:rsidTr="000C0B0A">
        <w:trPr>
          <w:jc w:val="center"/>
          <w:del w:id="6391" w:author="AbbVie1" w:date="2025-05-13T09:50:00Z"/>
        </w:trPr>
        <w:tc>
          <w:tcPr>
            <w:tcW w:w="1832" w:type="dxa"/>
            <w:tcBorders>
              <w:top w:val="nil"/>
              <w:left w:val="single" w:sz="4" w:space="0" w:color="auto"/>
              <w:bottom w:val="nil"/>
              <w:right w:val="single" w:sz="4" w:space="0" w:color="auto"/>
            </w:tcBorders>
          </w:tcPr>
          <w:p w14:paraId="16F1BE57" w14:textId="77777777" w:rsidR="00C318F8" w:rsidRPr="001B4A02" w:rsidRDefault="00000000" w:rsidP="009A65BD">
            <w:pPr>
              <w:pStyle w:val="EMEANormal"/>
              <w:keepNext/>
              <w:rPr>
                <w:del w:id="6392" w:author="AbbVie1" w:date="2025-05-13T09:50:00Z"/>
                <w:lang w:val="cs-CZ"/>
              </w:rPr>
            </w:pPr>
            <w:del w:id="6393" w:author="AbbVie1" w:date="2025-05-13T09:50:00Z">
              <w:r w:rsidRPr="001B4A02">
                <w:rPr>
                  <w:lang w:val="cs-CZ"/>
                </w:rPr>
                <w:delText xml:space="preserve">ACR 50 </w:delText>
              </w:r>
            </w:del>
          </w:p>
        </w:tc>
        <w:tc>
          <w:tcPr>
            <w:tcW w:w="1746" w:type="dxa"/>
            <w:tcBorders>
              <w:top w:val="nil"/>
              <w:left w:val="single" w:sz="4" w:space="0" w:color="auto"/>
              <w:bottom w:val="nil"/>
              <w:right w:val="single" w:sz="4" w:space="0" w:color="auto"/>
            </w:tcBorders>
          </w:tcPr>
          <w:p w14:paraId="531FD789" w14:textId="77777777" w:rsidR="00C318F8" w:rsidRPr="001B4A02" w:rsidRDefault="00C318F8" w:rsidP="009A65BD">
            <w:pPr>
              <w:pStyle w:val="EMEANormal"/>
              <w:keepNext/>
              <w:jc w:val="center"/>
              <w:rPr>
                <w:del w:id="6394" w:author="AbbVie1" w:date="2025-05-13T09:50:00Z"/>
                <w:lang w:val="cs-CZ"/>
              </w:rPr>
            </w:pPr>
          </w:p>
        </w:tc>
        <w:tc>
          <w:tcPr>
            <w:tcW w:w="1762" w:type="dxa"/>
            <w:tcBorders>
              <w:top w:val="nil"/>
              <w:left w:val="single" w:sz="4" w:space="0" w:color="auto"/>
              <w:bottom w:val="nil"/>
              <w:right w:val="nil"/>
            </w:tcBorders>
          </w:tcPr>
          <w:p w14:paraId="079C8B00" w14:textId="77777777" w:rsidR="00C318F8" w:rsidRPr="001B4A02" w:rsidRDefault="00C318F8" w:rsidP="009A65BD">
            <w:pPr>
              <w:pStyle w:val="EMEANormal"/>
              <w:keepNext/>
              <w:jc w:val="center"/>
              <w:rPr>
                <w:del w:id="6395" w:author="AbbVie1" w:date="2025-05-13T09:50:00Z"/>
                <w:lang w:val="cs-CZ"/>
              </w:rPr>
            </w:pPr>
          </w:p>
        </w:tc>
        <w:tc>
          <w:tcPr>
            <w:tcW w:w="1909" w:type="dxa"/>
            <w:tcBorders>
              <w:top w:val="nil"/>
              <w:left w:val="single" w:sz="4" w:space="0" w:color="auto"/>
              <w:bottom w:val="nil"/>
              <w:right w:val="single" w:sz="4" w:space="0" w:color="auto"/>
            </w:tcBorders>
          </w:tcPr>
          <w:p w14:paraId="1B8D2584" w14:textId="77777777" w:rsidR="00C318F8" w:rsidRPr="001B4A02" w:rsidRDefault="00C318F8" w:rsidP="009A65BD">
            <w:pPr>
              <w:pStyle w:val="EMEANormal"/>
              <w:keepNext/>
              <w:jc w:val="center"/>
              <w:rPr>
                <w:del w:id="6396" w:author="AbbVie1" w:date="2025-05-13T09:50:00Z"/>
                <w:lang w:val="cs-CZ"/>
              </w:rPr>
            </w:pPr>
          </w:p>
        </w:tc>
        <w:tc>
          <w:tcPr>
            <w:tcW w:w="1962" w:type="dxa"/>
            <w:tcBorders>
              <w:top w:val="nil"/>
              <w:left w:val="single" w:sz="4" w:space="0" w:color="auto"/>
              <w:bottom w:val="nil"/>
              <w:right w:val="single" w:sz="4" w:space="0" w:color="auto"/>
            </w:tcBorders>
          </w:tcPr>
          <w:p w14:paraId="10E4FA5E" w14:textId="77777777" w:rsidR="00C318F8" w:rsidRPr="001B4A02" w:rsidRDefault="00C318F8" w:rsidP="009A65BD">
            <w:pPr>
              <w:pStyle w:val="EMEANormal"/>
              <w:keepNext/>
              <w:jc w:val="center"/>
              <w:rPr>
                <w:del w:id="6397" w:author="AbbVie1" w:date="2025-05-13T09:50:00Z"/>
                <w:lang w:val="cs-CZ"/>
              </w:rPr>
            </w:pPr>
          </w:p>
        </w:tc>
      </w:tr>
      <w:tr w:rsidR="00534A2D" w14:paraId="2E5A71E4" w14:textId="77777777" w:rsidTr="000C0B0A">
        <w:trPr>
          <w:jc w:val="center"/>
          <w:del w:id="6398" w:author="AbbVie1" w:date="2025-05-13T09:50:00Z"/>
        </w:trPr>
        <w:tc>
          <w:tcPr>
            <w:tcW w:w="1832" w:type="dxa"/>
            <w:tcBorders>
              <w:top w:val="nil"/>
              <w:left w:val="single" w:sz="4" w:space="0" w:color="auto"/>
              <w:bottom w:val="nil"/>
              <w:right w:val="single" w:sz="4" w:space="0" w:color="auto"/>
            </w:tcBorders>
          </w:tcPr>
          <w:p w14:paraId="475A54E7" w14:textId="77777777" w:rsidR="00C318F8" w:rsidRPr="001B4A02" w:rsidRDefault="00000000" w:rsidP="009A65BD">
            <w:pPr>
              <w:pStyle w:val="EMEANormal"/>
              <w:keepNext/>
              <w:rPr>
                <w:del w:id="6399" w:author="AbbVie1" w:date="2025-05-13T09:50:00Z"/>
                <w:lang w:val="cs-CZ"/>
              </w:rPr>
            </w:pPr>
            <w:del w:id="6400" w:author="AbbVie1" w:date="2025-05-13T09:50:00Z">
              <w:r w:rsidRPr="001B4A02">
                <w:rPr>
                  <w:lang w:val="cs-CZ"/>
                </w:rPr>
                <w:tab/>
                <w:delText>Týden 12</w:delText>
              </w:r>
            </w:del>
          </w:p>
        </w:tc>
        <w:tc>
          <w:tcPr>
            <w:tcW w:w="1746" w:type="dxa"/>
            <w:tcBorders>
              <w:top w:val="nil"/>
              <w:left w:val="single" w:sz="4" w:space="0" w:color="auto"/>
              <w:bottom w:val="nil"/>
              <w:right w:val="single" w:sz="4" w:space="0" w:color="auto"/>
            </w:tcBorders>
          </w:tcPr>
          <w:p w14:paraId="6F780F76" w14:textId="77777777" w:rsidR="00C318F8" w:rsidRPr="001B4A02" w:rsidRDefault="00000000" w:rsidP="009A65BD">
            <w:pPr>
              <w:pStyle w:val="EMEANormal"/>
              <w:keepNext/>
              <w:jc w:val="center"/>
              <w:rPr>
                <w:del w:id="6401" w:author="AbbVie1" w:date="2025-05-13T09:50:00Z"/>
                <w:lang w:val="cs-CZ"/>
              </w:rPr>
            </w:pPr>
            <w:del w:id="6402" w:author="AbbVie1" w:date="2025-05-13T09:50:00Z">
              <w:r w:rsidRPr="001B4A02">
                <w:rPr>
                  <w:lang w:val="cs-CZ"/>
                </w:rPr>
                <w:delText>4 %</w:delText>
              </w:r>
            </w:del>
          </w:p>
        </w:tc>
        <w:tc>
          <w:tcPr>
            <w:tcW w:w="1762" w:type="dxa"/>
            <w:tcBorders>
              <w:top w:val="nil"/>
              <w:left w:val="single" w:sz="4" w:space="0" w:color="auto"/>
              <w:bottom w:val="nil"/>
              <w:right w:val="nil"/>
            </w:tcBorders>
          </w:tcPr>
          <w:p w14:paraId="6BF61122" w14:textId="77777777" w:rsidR="00C318F8" w:rsidRPr="001B4A02" w:rsidRDefault="00000000" w:rsidP="009A65BD">
            <w:pPr>
              <w:pStyle w:val="EMEANormal"/>
              <w:keepNext/>
              <w:jc w:val="center"/>
              <w:rPr>
                <w:del w:id="6403" w:author="AbbVie1" w:date="2025-05-13T09:50:00Z"/>
                <w:lang w:val="cs-CZ"/>
              </w:rPr>
            </w:pPr>
            <w:del w:id="6404" w:author="AbbVie1" w:date="2025-05-13T09:50:00Z">
              <w:r w:rsidRPr="001B4A02">
                <w:rPr>
                  <w:lang w:val="cs-CZ"/>
                </w:rPr>
                <w:delText>36 %</w:delText>
              </w:r>
              <w:r w:rsidRPr="001B4A02">
                <w:rPr>
                  <w:sz w:val="24"/>
                  <w:vertAlign w:val="superscript"/>
                  <w:lang w:val="cs-CZ"/>
                </w:rPr>
                <w:delText>***</w:delText>
              </w:r>
            </w:del>
          </w:p>
        </w:tc>
        <w:tc>
          <w:tcPr>
            <w:tcW w:w="1909" w:type="dxa"/>
            <w:tcBorders>
              <w:top w:val="nil"/>
              <w:left w:val="single" w:sz="4" w:space="0" w:color="auto"/>
              <w:bottom w:val="nil"/>
              <w:right w:val="single" w:sz="4" w:space="0" w:color="auto"/>
            </w:tcBorders>
          </w:tcPr>
          <w:p w14:paraId="59FC3B83" w14:textId="77777777" w:rsidR="00C318F8" w:rsidRPr="001B4A02" w:rsidRDefault="00000000" w:rsidP="009A65BD">
            <w:pPr>
              <w:pStyle w:val="EMEANormal"/>
              <w:keepNext/>
              <w:jc w:val="center"/>
              <w:rPr>
                <w:del w:id="6405" w:author="AbbVie1" w:date="2025-05-13T09:50:00Z"/>
                <w:lang w:val="cs-CZ"/>
              </w:rPr>
            </w:pPr>
            <w:del w:id="6406" w:author="AbbVie1" w:date="2025-05-13T09:50:00Z">
              <w:r w:rsidRPr="001B4A02">
                <w:rPr>
                  <w:lang w:val="cs-CZ"/>
                </w:rPr>
                <w:delText>2 %</w:delText>
              </w:r>
            </w:del>
          </w:p>
        </w:tc>
        <w:tc>
          <w:tcPr>
            <w:tcW w:w="1962" w:type="dxa"/>
            <w:tcBorders>
              <w:top w:val="nil"/>
              <w:left w:val="single" w:sz="4" w:space="0" w:color="auto"/>
              <w:bottom w:val="nil"/>
              <w:right w:val="single" w:sz="4" w:space="0" w:color="auto"/>
            </w:tcBorders>
          </w:tcPr>
          <w:p w14:paraId="3C83FBAA" w14:textId="77777777" w:rsidR="00C318F8" w:rsidRPr="001B4A02" w:rsidRDefault="00000000" w:rsidP="009A65BD">
            <w:pPr>
              <w:pStyle w:val="EMEANormal"/>
              <w:keepNext/>
              <w:jc w:val="center"/>
              <w:rPr>
                <w:del w:id="6407" w:author="AbbVie1" w:date="2025-05-13T09:50:00Z"/>
                <w:lang w:val="cs-CZ"/>
              </w:rPr>
            </w:pPr>
            <w:del w:id="6408" w:author="AbbVie1" w:date="2025-05-13T09:50:00Z">
              <w:r w:rsidRPr="001B4A02">
                <w:rPr>
                  <w:lang w:val="cs-CZ"/>
                </w:rPr>
                <w:delText>25 %</w:delText>
              </w:r>
              <w:r w:rsidRPr="001B4A02">
                <w:rPr>
                  <w:sz w:val="24"/>
                  <w:vertAlign w:val="superscript"/>
                  <w:lang w:val="cs-CZ"/>
                </w:rPr>
                <w:delText>***</w:delText>
              </w:r>
            </w:del>
          </w:p>
        </w:tc>
      </w:tr>
      <w:tr w:rsidR="00534A2D" w14:paraId="397620A2" w14:textId="77777777" w:rsidTr="000C0B0A">
        <w:trPr>
          <w:jc w:val="center"/>
          <w:del w:id="6409" w:author="AbbVie1" w:date="2025-05-13T09:50:00Z"/>
        </w:trPr>
        <w:tc>
          <w:tcPr>
            <w:tcW w:w="1832" w:type="dxa"/>
            <w:tcBorders>
              <w:top w:val="nil"/>
              <w:left w:val="single" w:sz="4" w:space="0" w:color="auto"/>
              <w:bottom w:val="nil"/>
              <w:right w:val="single" w:sz="4" w:space="0" w:color="auto"/>
            </w:tcBorders>
          </w:tcPr>
          <w:p w14:paraId="5ECFF618" w14:textId="77777777" w:rsidR="00C318F8" w:rsidRPr="001B4A02" w:rsidRDefault="00000000" w:rsidP="009A65BD">
            <w:pPr>
              <w:pStyle w:val="EMEANormal"/>
              <w:keepNext/>
              <w:rPr>
                <w:del w:id="6410" w:author="AbbVie1" w:date="2025-05-13T09:50:00Z"/>
                <w:lang w:val="cs-CZ"/>
              </w:rPr>
            </w:pPr>
            <w:del w:id="6411" w:author="AbbVie1" w:date="2025-05-13T09:50:00Z">
              <w:r w:rsidRPr="001B4A02">
                <w:rPr>
                  <w:lang w:val="cs-CZ"/>
                </w:rPr>
                <w:tab/>
                <w:delText>Týden 24</w:delText>
              </w:r>
            </w:del>
          </w:p>
        </w:tc>
        <w:tc>
          <w:tcPr>
            <w:tcW w:w="1746" w:type="dxa"/>
            <w:tcBorders>
              <w:top w:val="nil"/>
              <w:left w:val="single" w:sz="4" w:space="0" w:color="auto"/>
              <w:bottom w:val="nil"/>
              <w:right w:val="single" w:sz="4" w:space="0" w:color="auto"/>
            </w:tcBorders>
          </w:tcPr>
          <w:p w14:paraId="6B20CE62" w14:textId="77777777" w:rsidR="00C318F8" w:rsidRPr="001B4A02" w:rsidRDefault="00000000" w:rsidP="009A65BD">
            <w:pPr>
              <w:pStyle w:val="EMEANormal"/>
              <w:keepNext/>
              <w:jc w:val="center"/>
              <w:rPr>
                <w:del w:id="6412" w:author="AbbVie1" w:date="2025-05-13T09:50:00Z"/>
                <w:lang w:val="cs-CZ"/>
              </w:rPr>
            </w:pPr>
            <w:del w:id="6413" w:author="AbbVie1" w:date="2025-05-13T09:50:00Z">
              <w:r w:rsidRPr="001B4A02">
                <w:rPr>
                  <w:lang w:val="cs-CZ"/>
                </w:rPr>
                <w:delText>6 %</w:delText>
              </w:r>
            </w:del>
          </w:p>
        </w:tc>
        <w:tc>
          <w:tcPr>
            <w:tcW w:w="1762" w:type="dxa"/>
            <w:tcBorders>
              <w:top w:val="nil"/>
              <w:left w:val="single" w:sz="4" w:space="0" w:color="auto"/>
              <w:bottom w:val="nil"/>
              <w:right w:val="nil"/>
            </w:tcBorders>
          </w:tcPr>
          <w:p w14:paraId="649A735F" w14:textId="77777777" w:rsidR="00C318F8" w:rsidRPr="001B4A02" w:rsidRDefault="00000000" w:rsidP="009A65BD">
            <w:pPr>
              <w:pStyle w:val="EMEANormal"/>
              <w:keepNext/>
              <w:jc w:val="center"/>
              <w:rPr>
                <w:del w:id="6414" w:author="AbbVie1" w:date="2025-05-13T09:50:00Z"/>
                <w:lang w:val="cs-CZ"/>
              </w:rPr>
            </w:pPr>
            <w:del w:id="6415" w:author="AbbVie1" w:date="2025-05-13T09:50:00Z">
              <w:r w:rsidRPr="001B4A02">
                <w:rPr>
                  <w:lang w:val="cs-CZ"/>
                </w:rPr>
                <w:delText>39 %</w:delText>
              </w:r>
              <w:r w:rsidRPr="001B4A02">
                <w:rPr>
                  <w:sz w:val="24"/>
                  <w:vertAlign w:val="superscript"/>
                  <w:lang w:val="cs-CZ"/>
                </w:rPr>
                <w:delText>***</w:delText>
              </w:r>
            </w:del>
          </w:p>
        </w:tc>
        <w:tc>
          <w:tcPr>
            <w:tcW w:w="1909" w:type="dxa"/>
            <w:tcBorders>
              <w:top w:val="nil"/>
              <w:left w:val="single" w:sz="4" w:space="0" w:color="auto"/>
              <w:bottom w:val="nil"/>
              <w:right w:val="single" w:sz="4" w:space="0" w:color="auto"/>
            </w:tcBorders>
          </w:tcPr>
          <w:p w14:paraId="1448E166" w14:textId="77777777" w:rsidR="00C318F8" w:rsidRPr="001B4A02" w:rsidRDefault="00000000" w:rsidP="009A65BD">
            <w:pPr>
              <w:pStyle w:val="EMEANormal"/>
              <w:keepNext/>
              <w:jc w:val="center"/>
              <w:rPr>
                <w:del w:id="6416" w:author="AbbVie1" w:date="2025-05-13T09:50:00Z"/>
                <w:lang w:val="cs-CZ"/>
              </w:rPr>
            </w:pPr>
            <w:del w:id="6417" w:author="AbbVie1" w:date="2025-05-13T09:50:00Z">
              <w:r w:rsidRPr="001B4A02">
                <w:rPr>
                  <w:lang w:val="cs-CZ"/>
                </w:rPr>
                <w:delText>N/A</w:delText>
              </w:r>
            </w:del>
          </w:p>
        </w:tc>
        <w:tc>
          <w:tcPr>
            <w:tcW w:w="1962" w:type="dxa"/>
            <w:tcBorders>
              <w:top w:val="nil"/>
              <w:left w:val="single" w:sz="4" w:space="0" w:color="auto"/>
              <w:bottom w:val="nil"/>
              <w:right w:val="single" w:sz="4" w:space="0" w:color="auto"/>
            </w:tcBorders>
          </w:tcPr>
          <w:p w14:paraId="4AFBD062" w14:textId="77777777" w:rsidR="00C318F8" w:rsidRPr="001B4A02" w:rsidRDefault="00000000" w:rsidP="009A65BD">
            <w:pPr>
              <w:pStyle w:val="EMEANormal"/>
              <w:keepNext/>
              <w:jc w:val="center"/>
              <w:rPr>
                <w:del w:id="6418" w:author="AbbVie1" w:date="2025-05-13T09:50:00Z"/>
                <w:lang w:val="cs-CZ"/>
              </w:rPr>
            </w:pPr>
            <w:del w:id="6419" w:author="AbbVie1" w:date="2025-05-13T09:50:00Z">
              <w:r w:rsidRPr="001B4A02">
                <w:rPr>
                  <w:lang w:val="cs-CZ"/>
                </w:rPr>
                <w:delText>N/A</w:delText>
              </w:r>
            </w:del>
          </w:p>
        </w:tc>
      </w:tr>
      <w:tr w:rsidR="00534A2D" w14:paraId="2884631C" w14:textId="77777777" w:rsidTr="000C0B0A">
        <w:trPr>
          <w:jc w:val="center"/>
          <w:del w:id="6420" w:author="AbbVie1" w:date="2025-05-13T09:50:00Z"/>
        </w:trPr>
        <w:tc>
          <w:tcPr>
            <w:tcW w:w="1832" w:type="dxa"/>
            <w:tcBorders>
              <w:top w:val="nil"/>
              <w:left w:val="single" w:sz="4" w:space="0" w:color="auto"/>
              <w:bottom w:val="nil"/>
              <w:right w:val="single" w:sz="4" w:space="0" w:color="auto"/>
            </w:tcBorders>
          </w:tcPr>
          <w:p w14:paraId="03CEC950" w14:textId="77777777" w:rsidR="00C318F8" w:rsidRPr="001B4A02" w:rsidRDefault="00000000" w:rsidP="009A65BD">
            <w:pPr>
              <w:pStyle w:val="EMEANormal"/>
              <w:keepNext/>
              <w:rPr>
                <w:del w:id="6421" w:author="AbbVie1" w:date="2025-05-13T09:50:00Z"/>
                <w:lang w:val="cs-CZ"/>
              </w:rPr>
            </w:pPr>
            <w:del w:id="6422" w:author="AbbVie1" w:date="2025-05-13T09:50:00Z">
              <w:r w:rsidRPr="001B4A02">
                <w:rPr>
                  <w:lang w:val="cs-CZ"/>
                </w:rPr>
                <w:delText xml:space="preserve">ACR 70 </w:delText>
              </w:r>
            </w:del>
          </w:p>
        </w:tc>
        <w:tc>
          <w:tcPr>
            <w:tcW w:w="1746" w:type="dxa"/>
            <w:tcBorders>
              <w:top w:val="nil"/>
              <w:left w:val="single" w:sz="4" w:space="0" w:color="auto"/>
              <w:bottom w:val="nil"/>
              <w:right w:val="single" w:sz="4" w:space="0" w:color="auto"/>
            </w:tcBorders>
          </w:tcPr>
          <w:p w14:paraId="2F0DA91A" w14:textId="77777777" w:rsidR="00C318F8" w:rsidRPr="001B4A02" w:rsidRDefault="00C318F8" w:rsidP="009A65BD">
            <w:pPr>
              <w:pStyle w:val="EMEANormal"/>
              <w:keepNext/>
              <w:jc w:val="center"/>
              <w:rPr>
                <w:del w:id="6423" w:author="AbbVie1" w:date="2025-05-13T09:50:00Z"/>
                <w:lang w:val="cs-CZ"/>
              </w:rPr>
            </w:pPr>
          </w:p>
        </w:tc>
        <w:tc>
          <w:tcPr>
            <w:tcW w:w="1762" w:type="dxa"/>
            <w:tcBorders>
              <w:top w:val="nil"/>
              <w:left w:val="single" w:sz="4" w:space="0" w:color="auto"/>
              <w:bottom w:val="nil"/>
              <w:right w:val="nil"/>
            </w:tcBorders>
          </w:tcPr>
          <w:p w14:paraId="3A1D1646" w14:textId="77777777" w:rsidR="00C318F8" w:rsidRPr="001B4A02" w:rsidRDefault="00C318F8" w:rsidP="009A65BD">
            <w:pPr>
              <w:pStyle w:val="EMEANormal"/>
              <w:keepNext/>
              <w:jc w:val="center"/>
              <w:rPr>
                <w:del w:id="6424" w:author="AbbVie1" w:date="2025-05-13T09:50:00Z"/>
                <w:lang w:val="cs-CZ"/>
              </w:rPr>
            </w:pPr>
          </w:p>
        </w:tc>
        <w:tc>
          <w:tcPr>
            <w:tcW w:w="1909" w:type="dxa"/>
            <w:tcBorders>
              <w:top w:val="nil"/>
              <w:left w:val="single" w:sz="4" w:space="0" w:color="auto"/>
              <w:bottom w:val="nil"/>
              <w:right w:val="single" w:sz="4" w:space="0" w:color="auto"/>
            </w:tcBorders>
          </w:tcPr>
          <w:p w14:paraId="08EC4E61" w14:textId="77777777" w:rsidR="00C318F8" w:rsidRPr="001B4A02" w:rsidRDefault="00C318F8" w:rsidP="009A65BD">
            <w:pPr>
              <w:pStyle w:val="EMEANormal"/>
              <w:keepNext/>
              <w:jc w:val="center"/>
              <w:rPr>
                <w:del w:id="6425" w:author="AbbVie1" w:date="2025-05-13T09:50:00Z"/>
                <w:lang w:val="cs-CZ"/>
              </w:rPr>
            </w:pPr>
          </w:p>
        </w:tc>
        <w:tc>
          <w:tcPr>
            <w:tcW w:w="1962" w:type="dxa"/>
            <w:tcBorders>
              <w:top w:val="nil"/>
              <w:left w:val="single" w:sz="4" w:space="0" w:color="auto"/>
              <w:bottom w:val="nil"/>
              <w:right w:val="single" w:sz="4" w:space="0" w:color="auto"/>
            </w:tcBorders>
          </w:tcPr>
          <w:p w14:paraId="6C8795A2" w14:textId="77777777" w:rsidR="00C318F8" w:rsidRPr="001B4A02" w:rsidRDefault="00C318F8" w:rsidP="009A65BD">
            <w:pPr>
              <w:pStyle w:val="EMEANormal"/>
              <w:keepNext/>
              <w:jc w:val="center"/>
              <w:rPr>
                <w:del w:id="6426" w:author="AbbVie1" w:date="2025-05-13T09:50:00Z"/>
                <w:lang w:val="cs-CZ"/>
              </w:rPr>
            </w:pPr>
          </w:p>
        </w:tc>
      </w:tr>
      <w:tr w:rsidR="00534A2D" w14:paraId="799F4A52" w14:textId="77777777" w:rsidTr="000C0B0A">
        <w:trPr>
          <w:jc w:val="center"/>
          <w:del w:id="6427" w:author="AbbVie1" w:date="2025-05-13T09:50:00Z"/>
        </w:trPr>
        <w:tc>
          <w:tcPr>
            <w:tcW w:w="1832" w:type="dxa"/>
            <w:tcBorders>
              <w:top w:val="nil"/>
              <w:left w:val="single" w:sz="4" w:space="0" w:color="auto"/>
              <w:bottom w:val="nil"/>
              <w:right w:val="single" w:sz="4" w:space="0" w:color="auto"/>
            </w:tcBorders>
          </w:tcPr>
          <w:p w14:paraId="79DAFB5D" w14:textId="77777777" w:rsidR="00C318F8" w:rsidRPr="001B4A02" w:rsidRDefault="00000000" w:rsidP="009A65BD">
            <w:pPr>
              <w:pStyle w:val="EMEANormal"/>
              <w:keepNext/>
              <w:rPr>
                <w:del w:id="6428" w:author="AbbVie1" w:date="2025-05-13T09:50:00Z"/>
                <w:lang w:val="cs-CZ"/>
              </w:rPr>
            </w:pPr>
            <w:del w:id="6429" w:author="AbbVie1" w:date="2025-05-13T09:50:00Z">
              <w:r w:rsidRPr="001B4A02">
                <w:rPr>
                  <w:lang w:val="cs-CZ"/>
                </w:rPr>
                <w:tab/>
                <w:delText>Týden 12</w:delText>
              </w:r>
            </w:del>
          </w:p>
        </w:tc>
        <w:tc>
          <w:tcPr>
            <w:tcW w:w="1746" w:type="dxa"/>
            <w:tcBorders>
              <w:top w:val="nil"/>
              <w:left w:val="single" w:sz="4" w:space="0" w:color="auto"/>
              <w:bottom w:val="nil"/>
              <w:right w:val="single" w:sz="4" w:space="0" w:color="auto"/>
            </w:tcBorders>
          </w:tcPr>
          <w:p w14:paraId="60EA28F4" w14:textId="77777777" w:rsidR="00C318F8" w:rsidRPr="001B4A02" w:rsidRDefault="00000000" w:rsidP="009A65BD">
            <w:pPr>
              <w:pStyle w:val="EMEANormal"/>
              <w:keepNext/>
              <w:jc w:val="center"/>
              <w:rPr>
                <w:del w:id="6430" w:author="AbbVie1" w:date="2025-05-13T09:50:00Z"/>
                <w:lang w:val="cs-CZ"/>
              </w:rPr>
            </w:pPr>
            <w:del w:id="6431" w:author="AbbVie1" w:date="2025-05-13T09:50:00Z">
              <w:r w:rsidRPr="001B4A02">
                <w:rPr>
                  <w:lang w:val="cs-CZ"/>
                </w:rPr>
                <w:delText>1 %</w:delText>
              </w:r>
            </w:del>
          </w:p>
        </w:tc>
        <w:tc>
          <w:tcPr>
            <w:tcW w:w="1762" w:type="dxa"/>
            <w:tcBorders>
              <w:top w:val="nil"/>
              <w:left w:val="single" w:sz="4" w:space="0" w:color="auto"/>
              <w:bottom w:val="nil"/>
              <w:right w:val="nil"/>
            </w:tcBorders>
          </w:tcPr>
          <w:p w14:paraId="1231F063" w14:textId="77777777" w:rsidR="00C318F8" w:rsidRPr="001B4A02" w:rsidRDefault="00000000" w:rsidP="009A65BD">
            <w:pPr>
              <w:pStyle w:val="EMEANormal"/>
              <w:keepNext/>
              <w:jc w:val="center"/>
              <w:rPr>
                <w:del w:id="6432" w:author="AbbVie1" w:date="2025-05-13T09:50:00Z"/>
                <w:lang w:val="cs-CZ"/>
              </w:rPr>
            </w:pPr>
            <w:del w:id="6433" w:author="AbbVie1" w:date="2025-05-13T09:50:00Z">
              <w:r w:rsidRPr="001B4A02">
                <w:rPr>
                  <w:lang w:val="cs-CZ"/>
                </w:rPr>
                <w:delText>20 %</w:delText>
              </w:r>
              <w:r w:rsidRPr="001B4A02">
                <w:rPr>
                  <w:sz w:val="24"/>
                  <w:vertAlign w:val="superscript"/>
                  <w:lang w:val="cs-CZ"/>
                </w:rPr>
                <w:delText>***</w:delText>
              </w:r>
            </w:del>
          </w:p>
        </w:tc>
        <w:tc>
          <w:tcPr>
            <w:tcW w:w="1909" w:type="dxa"/>
            <w:tcBorders>
              <w:top w:val="nil"/>
              <w:left w:val="single" w:sz="4" w:space="0" w:color="auto"/>
              <w:bottom w:val="nil"/>
              <w:right w:val="single" w:sz="4" w:space="0" w:color="auto"/>
            </w:tcBorders>
          </w:tcPr>
          <w:p w14:paraId="20DFADFB" w14:textId="77777777" w:rsidR="00C318F8" w:rsidRPr="001B4A02" w:rsidRDefault="00000000" w:rsidP="009A65BD">
            <w:pPr>
              <w:pStyle w:val="EMEANormal"/>
              <w:keepNext/>
              <w:jc w:val="center"/>
              <w:rPr>
                <w:del w:id="6434" w:author="AbbVie1" w:date="2025-05-13T09:50:00Z"/>
                <w:lang w:val="cs-CZ"/>
              </w:rPr>
            </w:pPr>
            <w:del w:id="6435" w:author="AbbVie1" w:date="2025-05-13T09:50:00Z">
              <w:r w:rsidRPr="001B4A02">
                <w:rPr>
                  <w:lang w:val="cs-CZ"/>
                </w:rPr>
                <w:delText>0 %</w:delText>
              </w:r>
            </w:del>
          </w:p>
        </w:tc>
        <w:tc>
          <w:tcPr>
            <w:tcW w:w="1962" w:type="dxa"/>
            <w:tcBorders>
              <w:top w:val="nil"/>
              <w:left w:val="single" w:sz="4" w:space="0" w:color="auto"/>
              <w:bottom w:val="nil"/>
              <w:right w:val="single" w:sz="4" w:space="0" w:color="auto"/>
            </w:tcBorders>
          </w:tcPr>
          <w:p w14:paraId="40222983" w14:textId="77777777" w:rsidR="00C318F8" w:rsidRPr="001B4A02" w:rsidRDefault="00000000" w:rsidP="009A65BD">
            <w:pPr>
              <w:pStyle w:val="EMEANormal"/>
              <w:keepNext/>
              <w:jc w:val="center"/>
              <w:rPr>
                <w:del w:id="6436" w:author="AbbVie1" w:date="2025-05-13T09:50:00Z"/>
                <w:lang w:val="cs-CZ"/>
              </w:rPr>
            </w:pPr>
            <w:del w:id="6437" w:author="AbbVie1" w:date="2025-05-13T09:50:00Z">
              <w:r w:rsidRPr="001B4A02">
                <w:rPr>
                  <w:lang w:val="cs-CZ"/>
                </w:rPr>
                <w:delText>14 %</w:delText>
              </w:r>
              <w:r w:rsidRPr="001B4A02">
                <w:rPr>
                  <w:sz w:val="24"/>
                  <w:vertAlign w:val="superscript"/>
                  <w:lang w:val="cs-CZ"/>
                </w:rPr>
                <w:delText xml:space="preserve"> *</w:delText>
              </w:r>
            </w:del>
          </w:p>
        </w:tc>
      </w:tr>
      <w:tr w:rsidR="00534A2D" w14:paraId="0459054C" w14:textId="77777777" w:rsidTr="000C0B0A">
        <w:trPr>
          <w:jc w:val="center"/>
          <w:del w:id="6438" w:author="AbbVie1" w:date="2025-05-13T09:50:00Z"/>
        </w:trPr>
        <w:tc>
          <w:tcPr>
            <w:tcW w:w="1832" w:type="dxa"/>
            <w:tcBorders>
              <w:top w:val="nil"/>
              <w:left w:val="single" w:sz="4" w:space="0" w:color="auto"/>
              <w:bottom w:val="single" w:sz="4" w:space="0" w:color="auto"/>
              <w:right w:val="single" w:sz="4" w:space="0" w:color="auto"/>
            </w:tcBorders>
          </w:tcPr>
          <w:p w14:paraId="6EF333C8" w14:textId="77777777" w:rsidR="00C318F8" w:rsidRPr="001B4A02" w:rsidRDefault="00000000" w:rsidP="009A65BD">
            <w:pPr>
              <w:pStyle w:val="EMEANormal"/>
              <w:keepNext/>
              <w:rPr>
                <w:del w:id="6439" w:author="AbbVie1" w:date="2025-05-13T09:50:00Z"/>
                <w:lang w:val="cs-CZ"/>
              </w:rPr>
            </w:pPr>
            <w:del w:id="6440" w:author="AbbVie1" w:date="2025-05-13T09:50:00Z">
              <w:r w:rsidRPr="001B4A02">
                <w:rPr>
                  <w:lang w:val="cs-CZ"/>
                </w:rPr>
                <w:tab/>
                <w:delText>Týden 24</w:delText>
              </w:r>
            </w:del>
          </w:p>
        </w:tc>
        <w:tc>
          <w:tcPr>
            <w:tcW w:w="1746" w:type="dxa"/>
            <w:tcBorders>
              <w:top w:val="nil"/>
              <w:left w:val="single" w:sz="4" w:space="0" w:color="auto"/>
              <w:bottom w:val="single" w:sz="4" w:space="0" w:color="auto"/>
              <w:right w:val="single" w:sz="4" w:space="0" w:color="auto"/>
            </w:tcBorders>
          </w:tcPr>
          <w:p w14:paraId="03167393" w14:textId="77777777" w:rsidR="00C318F8" w:rsidRPr="001B4A02" w:rsidRDefault="00000000" w:rsidP="009A65BD">
            <w:pPr>
              <w:pStyle w:val="EMEANormal"/>
              <w:keepNext/>
              <w:jc w:val="center"/>
              <w:rPr>
                <w:del w:id="6441" w:author="AbbVie1" w:date="2025-05-13T09:50:00Z"/>
                <w:lang w:val="cs-CZ"/>
              </w:rPr>
            </w:pPr>
            <w:del w:id="6442" w:author="AbbVie1" w:date="2025-05-13T09:50:00Z">
              <w:r w:rsidRPr="001B4A02">
                <w:rPr>
                  <w:lang w:val="cs-CZ"/>
                </w:rPr>
                <w:delText>1 %</w:delText>
              </w:r>
            </w:del>
          </w:p>
        </w:tc>
        <w:tc>
          <w:tcPr>
            <w:tcW w:w="1762" w:type="dxa"/>
            <w:tcBorders>
              <w:top w:val="nil"/>
              <w:left w:val="single" w:sz="4" w:space="0" w:color="auto"/>
              <w:bottom w:val="single" w:sz="4" w:space="0" w:color="auto"/>
              <w:right w:val="nil"/>
            </w:tcBorders>
          </w:tcPr>
          <w:p w14:paraId="0F5C81E2" w14:textId="77777777" w:rsidR="00C318F8" w:rsidRPr="001B4A02" w:rsidRDefault="00000000" w:rsidP="009A65BD">
            <w:pPr>
              <w:pStyle w:val="EMEANormal"/>
              <w:keepNext/>
              <w:jc w:val="center"/>
              <w:rPr>
                <w:del w:id="6443" w:author="AbbVie1" w:date="2025-05-13T09:50:00Z"/>
                <w:lang w:val="cs-CZ"/>
              </w:rPr>
            </w:pPr>
            <w:del w:id="6444" w:author="AbbVie1" w:date="2025-05-13T09:50:00Z">
              <w:r w:rsidRPr="001B4A02">
                <w:rPr>
                  <w:lang w:val="cs-CZ"/>
                </w:rPr>
                <w:delText>23 %</w:delText>
              </w:r>
              <w:r w:rsidRPr="001B4A02">
                <w:rPr>
                  <w:sz w:val="24"/>
                  <w:vertAlign w:val="superscript"/>
                  <w:lang w:val="cs-CZ"/>
                </w:rPr>
                <w:delText>***</w:delText>
              </w:r>
            </w:del>
          </w:p>
        </w:tc>
        <w:tc>
          <w:tcPr>
            <w:tcW w:w="1909" w:type="dxa"/>
            <w:tcBorders>
              <w:top w:val="nil"/>
              <w:left w:val="single" w:sz="4" w:space="0" w:color="auto"/>
              <w:bottom w:val="single" w:sz="4" w:space="0" w:color="auto"/>
              <w:right w:val="single" w:sz="4" w:space="0" w:color="auto"/>
            </w:tcBorders>
          </w:tcPr>
          <w:p w14:paraId="6AEF6669" w14:textId="77777777" w:rsidR="00C318F8" w:rsidRPr="001B4A02" w:rsidRDefault="00000000" w:rsidP="009A65BD">
            <w:pPr>
              <w:pStyle w:val="EMEANormal"/>
              <w:keepNext/>
              <w:jc w:val="center"/>
              <w:rPr>
                <w:del w:id="6445" w:author="AbbVie1" w:date="2025-05-13T09:50:00Z"/>
                <w:lang w:val="cs-CZ"/>
              </w:rPr>
            </w:pPr>
            <w:del w:id="6446" w:author="AbbVie1" w:date="2025-05-13T09:50:00Z">
              <w:r w:rsidRPr="001B4A02">
                <w:rPr>
                  <w:lang w:val="cs-CZ"/>
                </w:rPr>
                <w:delText>N/A</w:delText>
              </w:r>
            </w:del>
          </w:p>
        </w:tc>
        <w:tc>
          <w:tcPr>
            <w:tcW w:w="1962" w:type="dxa"/>
            <w:tcBorders>
              <w:top w:val="nil"/>
              <w:left w:val="single" w:sz="4" w:space="0" w:color="auto"/>
              <w:bottom w:val="single" w:sz="4" w:space="0" w:color="auto"/>
              <w:right w:val="single" w:sz="4" w:space="0" w:color="auto"/>
            </w:tcBorders>
          </w:tcPr>
          <w:p w14:paraId="7D38BA89" w14:textId="77777777" w:rsidR="00C318F8" w:rsidRPr="001B4A02" w:rsidRDefault="00000000" w:rsidP="009A65BD">
            <w:pPr>
              <w:pStyle w:val="EMEANormal"/>
              <w:keepNext/>
              <w:jc w:val="center"/>
              <w:rPr>
                <w:del w:id="6447" w:author="AbbVie1" w:date="2025-05-13T09:50:00Z"/>
                <w:lang w:val="cs-CZ"/>
              </w:rPr>
            </w:pPr>
            <w:del w:id="6448" w:author="AbbVie1" w:date="2025-05-13T09:50:00Z">
              <w:r w:rsidRPr="001B4A02">
                <w:rPr>
                  <w:lang w:val="cs-CZ"/>
                </w:rPr>
                <w:delText>N/A</w:delText>
              </w:r>
            </w:del>
          </w:p>
        </w:tc>
      </w:tr>
    </w:tbl>
    <w:p w14:paraId="662CDAE5" w14:textId="77777777" w:rsidR="00C318F8" w:rsidRPr="001B4A02" w:rsidRDefault="00000000" w:rsidP="00C318F8">
      <w:pPr>
        <w:pStyle w:val="EMEANormal"/>
        <w:keepNext/>
        <w:rPr>
          <w:del w:id="6449" w:author="AbbVie1" w:date="2025-05-13T09:50:00Z"/>
          <w:sz w:val="20"/>
          <w:lang w:val="cs-CZ"/>
        </w:rPr>
      </w:pPr>
      <w:del w:id="6450" w:author="AbbVie1" w:date="2025-05-13T09:50:00Z">
        <w:r w:rsidRPr="001B4A02">
          <w:rPr>
            <w:sz w:val="20"/>
            <w:lang w:val="cs-CZ"/>
          </w:rPr>
          <w:delText>***</w:delText>
        </w:r>
        <w:r w:rsidRPr="001B4A02">
          <w:rPr>
            <w:sz w:val="20"/>
            <w:lang w:val="cs-CZ"/>
          </w:rPr>
          <w:tab/>
          <w:delText>p&lt;0,001 pro všechna porovnání mezi přípravkem Humira</w:delText>
        </w:r>
        <w:r w:rsidR="002378E0">
          <w:rPr>
            <w:sz w:val="20"/>
            <w:lang w:val="cs-CZ"/>
          </w:rPr>
          <w:delText xml:space="preserve"> a </w:delText>
        </w:r>
        <w:r w:rsidRPr="001B4A02">
          <w:rPr>
            <w:sz w:val="20"/>
            <w:lang w:val="cs-CZ"/>
          </w:rPr>
          <w:delText>placebem</w:delText>
        </w:r>
      </w:del>
    </w:p>
    <w:p w14:paraId="61D67C6C" w14:textId="77777777" w:rsidR="00C318F8" w:rsidRPr="001B4A02" w:rsidRDefault="00000000" w:rsidP="00C318F8">
      <w:pPr>
        <w:pStyle w:val="EMEANormal"/>
        <w:keepNext/>
        <w:rPr>
          <w:del w:id="6451" w:author="AbbVie1" w:date="2025-05-13T09:50:00Z"/>
          <w:sz w:val="20"/>
          <w:lang w:val="cs-CZ"/>
        </w:rPr>
      </w:pPr>
      <w:del w:id="6452" w:author="AbbVie1" w:date="2025-05-13T09:50:00Z">
        <w:r w:rsidRPr="001B4A02">
          <w:rPr>
            <w:sz w:val="20"/>
            <w:lang w:val="cs-CZ"/>
          </w:rPr>
          <w:delText>*</w:delText>
        </w:r>
        <w:r w:rsidRPr="001B4A02">
          <w:rPr>
            <w:sz w:val="20"/>
            <w:lang w:val="cs-CZ"/>
          </w:rPr>
          <w:tab/>
          <w:delText>p&lt;0,05 pro všechna porovnání mezi přípravkem Humira</w:delText>
        </w:r>
        <w:r w:rsidR="002378E0">
          <w:rPr>
            <w:sz w:val="20"/>
            <w:lang w:val="cs-CZ"/>
          </w:rPr>
          <w:delText xml:space="preserve"> a </w:delText>
        </w:r>
        <w:r w:rsidRPr="001B4A02">
          <w:rPr>
            <w:sz w:val="20"/>
            <w:lang w:val="cs-CZ"/>
          </w:rPr>
          <w:delText xml:space="preserve">placebem </w:delText>
        </w:r>
      </w:del>
    </w:p>
    <w:p w14:paraId="7C703763" w14:textId="77777777" w:rsidR="00C318F8" w:rsidRDefault="00000000" w:rsidP="00C318F8">
      <w:pPr>
        <w:ind w:left="0" w:firstLine="0"/>
        <w:rPr>
          <w:del w:id="6453" w:author="AbbVie1" w:date="2025-05-13T09:50:00Z"/>
          <w:b/>
          <w:bCs/>
        </w:rPr>
      </w:pPr>
      <w:del w:id="6454" w:author="AbbVie1" w:date="2025-05-13T09:50:00Z">
        <w:r w:rsidRPr="001B4A02">
          <w:rPr>
            <w:sz w:val="20"/>
          </w:rPr>
          <w:delText>N/A neuplatňuje se</w:delText>
        </w:r>
      </w:del>
    </w:p>
    <w:p w14:paraId="7809D057" w14:textId="77777777" w:rsidR="00AE574B" w:rsidRPr="001B4A02" w:rsidRDefault="00AE574B" w:rsidP="00ED48A3">
      <w:pPr>
        <w:pStyle w:val="EMEANormal"/>
        <w:tabs>
          <w:tab w:val="clear" w:pos="562"/>
          <w:tab w:val="left" w:pos="708"/>
        </w:tabs>
        <w:suppressAutoHyphens w:val="0"/>
        <w:rPr>
          <w:del w:id="6455" w:author="AbbVie1" w:date="2025-05-13T09:50:00Z"/>
          <w:lang w:val="cs-CZ"/>
        </w:rPr>
      </w:pPr>
    </w:p>
    <w:p w14:paraId="2B8A91B8" w14:textId="77777777" w:rsidR="00AE574B" w:rsidRPr="001B4A02" w:rsidRDefault="00000000" w:rsidP="00ED48A3">
      <w:pPr>
        <w:pStyle w:val="EMEANormal"/>
        <w:tabs>
          <w:tab w:val="clear" w:pos="562"/>
          <w:tab w:val="left" w:pos="708"/>
        </w:tabs>
        <w:suppressAutoHyphens w:val="0"/>
        <w:rPr>
          <w:del w:id="6456" w:author="AbbVie1" w:date="2025-05-13T09:50:00Z"/>
          <w:lang w:val="cs-CZ"/>
        </w:rPr>
      </w:pPr>
      <w:del w:id="6457" w:author="AbbVie1" w:date="2025-05-13T09:50:00Z">
        <w:r w:rsidRPr="001B4A02">
          <w:rPr>
            <w:lang w:val="cs-CZ"/>
          </w:rPr>
          <w:delText>ACR odpověď ve studii PsA I byla obdobná při současné léčbě methotrexátem jako odpověď bez léčby touto látkou.</w:delText>
        </w:r>
      </w:del>
    </w:p>
    <w:p w14:paraId="7E04F9E9" w14:textId="77777777" w:rsidR="00AE574B" w:rsidRPr="001B4A02" w:rsidRDefault="00000000" w:rsidP="00ED48A3">
      <w:pPr>
        <w:ind w:left="0" w:firstLine="0"/>
        <w:rPr>
          <w:del w:id="6458" w:author="AbbVie1" w:date="2025-05-13T09:50:00Z"/>
        </w:rPr>
      </w:pPr>
      <w:del w:id="6459" w:author="AbbVie1" w:date="2025-05-13T09:50:00Z">
        <w:r w:rsidRPr="001B4A02">
          <w:delText>ACR odpovědi přetrvávaly v otevřené prodloužené fázi studie po dobu 136 týdnů.</w:delText>
        </w:r>
      </w:del>
    </w:p>
    <w:p w14:paraId="1FF45715" w14:textId="77777777" w:rsidR="00AE574B" w:rsidRPr="001B4A02" w:rsidRDefault="00AE574B" w:rsidP="00ED48A3">
      <w:pPr>
        <w:ind w:left="0" w:firstLine="0"/>
        <w:rPr>
          <w:del w:id="6460" w:author="AbbVie1" w:date="2025-05-13T09:50:00Z"/>
        </w:rPr>
      </w:pPr>
    </w:p>
    <w:p w14:paraId="7BBD88C8" w14:textId="77777777" w:rsidR="00AE574B" w:rsidRPr="001B4A02" w:rsidRDefault="00000000" w:rsidP="00ED48A3">
      <w:pPr>
        <w:ind w:left="0" w:firstLine="0"/>
        <w:rPr>
          <w:del w:id="6461" w:author="AbbVie1" w:date="2025-05-13T09:50:00Z"/>
        </w:rPr>
      </w:pPr>
      <w:del w:id="6462" w:author="AbbVie1" w:date="2025-05-13T09:50:00Z">
        <w:r w:rsidRPr="001B4A02">
          <w:delText>Radiografické změny byly hodnoceny ve studii s psoriatickou artritidou. Radiografie rukou, zápěstí</w:delText>
        </w:r>
        <w:r w:rsidR="002378E0">
          <w:delText xml:space="preserve"> a </w:delText>
        </w:r>
        <w:r w:rsidRPr="001B4A02">
          <w:delText>chodidel byly provedeny ve výchozím stavu</w:delText>
        </w:r>
        <w:r w:rsidR="002378E0">
          <w:delText xml:space="preserve"> a </w:delText>
        </w:r>
        <w:r w:rsidRPr="001B4A02">
          <w:delText xml:space="preserve">v týdnu 24 v průběhu dvojitě zaslepeného období, kdy pacienti </w:delText>
        </w:r>
        <w:r w:rsidR="0051758E" w:rsidRPr="001B4A02">
          <w:delText>po</w:delText>
        </w:r>
        <w:r w:rsidRPr="001B4A02">
          <w:delText>užívali buď přípravek Humira nebo placebo</w:delText>
        </w:r>
        <w:r w:rsidR="002378E0">
          <w:delText xml:space="preserve"> a </w:delText>
        </w:r>
        <w:r w:rsidRPr="001B4A02">
          <w:delText>poté v týdnu 48, kdy všichni pacienti přešli do otevřené fáze</w:delText>
        </w:r>
        <w:r w:rsidR="002378E0">
          <w:delText xml:space="preserve"> a </w:delText>
        </w:r>
        <w:r w:rsidR="0051758E" w:rsidRPr="001B4A02">
          <w:delText>po</w:delText>
        </w:r>
        <w:r w:rsidRPr="001B4A02">
          <w:delText xml:space="preserve">užívali přípravek Humira. Bylo použito modifikované celkové Sharpovo skóre (mTSS), které zahrnovalo distální interfalangeální klouby (tedy nikoli identické s TSS, které bylo </w:delText>
        </w:r>
        <w:r w:rsidR="00A01443" w:rsidRPr="001B4A02">
          <w:delText>po</w:delText>
        </w:r>
        <w:r w:rsidRPr="001B4A02">
          <w:delText>užito u</w:delText>
        </w:r>
        <w:r w:rsidR="00C048C3" w:rsidRPr="001B4A02">
          <w:delText> </w:delText>
        </w:r>
        <w:r w:rsidRPr="001B4A02">
          <w:delText>revmatoidní artritidy).</w:delText>
        </w:r>
      </w:del>
    </w:p>
    <w:p w14:paraId="31355DCA" w14:textId="77777777" w:rsidR="00AE574B" w:rsidRPr="001B4A02" w:rsidRDefault="00AE574B" w:rsidP="00ED48A3">
      <w:pPr>
        <w:ind w:left="0" w:firstLine="0"/>
        <w:rPr>
          <w:del w:id="6463" w:author="AbbVie1" w:date="2025-05-13T09:50:00Z"/>
        </w:rPr>
      </w:pPr>
    </w:p>
    <w:p w14:paraId="675BCF0B" w14:textId="77777777" w:rsidR="00AE574B" w:rsidRPr="001B4A02" w:rsidRDefault="00000000" w:rsidP="00ED48A3">
      <w:pPr>
        <w:ind w:left="0" w:firstLine="0"/>
        <w:rPr>
          <w:del w:id="6464" w:author="AbbVie1" w:date="2025-05-13T09:50:00Z"/>
        </w:rPr>
      </w:pPr>
      <w:del w:id="6465" w:author="AbbVie1" w:date="2025-05-13T09:50:00Z">
        <w:r w:rsidRPr="001B4A02">
          <w:delText>Léčba přípravkem Humira snížila, v porovnání s léčbou placebem, rychlost progrese poškození periferních kloubů, jež bylo měřeno jako změna oproti výchozímu mTSS (průměr ± SD) 0,8 ± 2,5 ve skupině léčené placebem (v</w:delText>
        </w:r>
        <w:r w:rsidR="009A3A47">
          <w:rPr>
            <w:rStyle w:val="normaltextrun"/>
            <w:shd w:val="clear" w:color="auto" w:fill="FFFFFF"/>
          </w:rPr>
          <w:delText> </w:delText>
        </w:r>
        <w:r w:rsidRPr="001B4A02">
          <w:delText>týdnu 24) v porovnání s 0,0 ± 1,9; (&lt;0</w:delText>
        </w:r>
        <w:r w:rsidR="007375A0" w:rsidRPr="001B4A02">
          <w:delText>,</w:delText>
        </w:r>
        <w:r w:rsidRPr="001B4A02">
          <w:delText xml:space="preserve">001) ve skupině léčené </w:delText>
        </w:r>
        <w:r w:rsidR="00C223B0" w:rsidRPr="001B4A02">
          <w:rPr>
            <w:szCs w:val="22"/>
          </w:rPr>
          <w:delText xml:space="preserve">přípravkem </w:delText>
        </w:r>
        <w:r w:rsidRPr="001B4A02">
          <w:delText>Humir</w:delText>
        </w:r>
        <w:r w:rsidR="00C223B0" w:rsidRPr="001B4A02">
          <w:delText>a</w:delText>
        </w:r>
        <w:r w:rsidRPr="001B4A02">
          <w:delText xml:space="preserve"> (v</w:delText>
        </w:r>
        <w:r w:rsidR="009A3A47">
          <w:rPr>
            <w:rStyle w:val="normaltextrun"/>
            <w:shd w:val="clear" w:color="auto" w:fill="FFFFFF"/>
          </w:rPr>
          <w:delText> </w:delText>
        </w:r>
        <w:r w:rsidRPr="001B4A02">
          <w:delText>týdnu 48).</w:delText>
        </w:r>
      </w:del>
    </w:p>
    <w:p w14:paraId="4822CFD5" w14:textId="77777777" w:rsidR="00AE574B" w:rsidRPr="001B4A02" w:rsidRDefault="00AE574B" w:rsidP="00ED48A3">
      <w:pPr>
        <w:ind w:left="0" w:firstLine="0"/>
        <w:rPr>
          <w:del w:id="6466" w:author="AbbVie1" w:date="2025-05-13T09:50:00Z"/>
        </w:rPr>
      </w:pPr>
    </w:p>
    <w:p w14:paraId="7A8BFB5D" w14:textId="77777777" w:rsidR="00AE574B" w:rsidRPr="001B4A02" w:rsidRDefault="00000000" w:rsidP="00ED48A3">
      <w:pPr>
        <w:ind w:left="0" w:firstLine="0"/>
        <w:rPr>
          <w:del w:id="6467" w:author="AbbVie1" w:date="2025-05-13T09:50:00Z"/>
        </w:rPr>
      </w:pPr>
      <w:del w:id="6468" w:author="AbbVie1" w:date="2025-05-13T09:50:00Z">
        <w:r w:rsidRPr="001B4A02">
          <w:delText>Ze subjektů bez radiografické progrese oproti výchozímu stavu do týdne 48 (n=102), léčených přípravkem Humira, 84</w:delText>
        </w:r>
        <w:r w:rsidR="001E10EB" w:rsidRPr="001B4A02">
          <w:delText> </w:delText>
        </w:r>
        <w:r w:rsidRPr="001B4A02">
          <w:delText>% nadále nevykazovalo radiografickou progresi v</w:delText>
        </w:r>
        <w:r w:rsidR="00255A0A" w:rsidRPr="001B4A02">
          <w:delText> </w:delText>
        </w:r>
        <w:r w:rsidRPr="001B4A02">
          <w:delText>průběhu 144 týdnů léčby.</w:delText>
        </w:r>
      </w:del>
    </w:p>
    <w:p w14:paraId="67370895" w14:textId="77777777" w:rsidR="00AE574B" w:rsidRPr="001B4A02" w:rsidRDefault="00AE574B" w:rsidP="00ED48A3">
      <w:pPr>
        <w:ind w:left="0" w:firstLine="0"/>
        <w:rPr>
          <w:del w:id="6469" w:author="AbbVie1" w:date="2025-05-13T09:50:00Z"/>
        </w:rPr>
      </w:pPr>
    </w:p>
    <w:p w14:paraId="45512840" w14:textId="77777777" w:rsidR="00AE574B" w:rsidRPr="001B4A02" w:rsidRDefault="00000000" w:rsidP="00ED48A3">
      <w:pPr>
        <w:ind w:left="0" w:firstLine="0"/>
        <w:rPr>
          <w:del w:id="6470" w:author="AbbVie1" w:date="2025-05-13T09:50:00Z"/>
        </w:rPr>
      </w:pPr>
      <w:del w:id="6471" w:author="AbbVie1" w:date="2025-05-13T09:50:00Z">
        <w:r w:rsidRPr="001B4A02">
          <w:delText>Pacienti léčení přípravkem Humira vykazovali statisticky signifikantní zlepšení fyzických funkcí hodnocených jako HAQ</w:delText>
        </w:r>
        <w:r w:rsidR="002378E0">
          <w:delText xml:space="preserve"> a </w:delText>
        </w:r>
        <w:r w:rsidRPr="001B4A02">
          <w:delText>Short Term Health Survey (SF 36) ve srovnání s placebem v týdnu 24. Zlepšení fyzických funkcí pokračovalo v průběhu otevřené prodloužené fáze studie až do týdne 136.</w:delText>
        </w:r>
      </w:del>
    </w:p>
    <w:p w14:paraId="5581FD36" w14:textId="77777777" w:rsidR="00073F8F" w:rsidRPr="001B4A02" w:rsidRDefault="00073F8F" w:rsidP="00ED48A3">
      <w:pPr>
        <w:ind w:left="0" w:firstLine="0"/>
        <w:rPr>
          <w:del w:id="6472" w:author="AbbVie1" w:date="2025-05-13T09:50:00Z"/>
        </w:rPr>
      </w:pPr>
    </w:p>
    <w:p w14:paraId="76DBD1E9" w14:textId="77777777" w:rsidR="00AE574B" w:rsidRPr="001B4A02" w:rsidRDefault="00000000" w:rsidP="00CE5DAE">
      <w:pPr>
        <w:pStyle w:val="EMEANormal"/>
        <w:keepNext/>
        <w:tabs>
          <w:tab w:val="clear" w:pos="562"/>
          <w:tab w:val="left" w:pos="708"/>
        </w:tabs>
        <w:suppressAutoHyphens w:val="0"/>
        <w:rPr>
          <w:del w:id="6473" w:author="AbbVie1" w:date="2025-05-13T09:50:00Z"/>
          <w:i/>
          <w:lang w:val="cs-CZ"/>
        </w:rPr>
      </w:pPr>
      <w:del w:id="6474" w:author="AbbVie1" w:date="2025-05-13T09:50:00Z">
        <w:r w:rsidRPr="001B4A02">
          <w:rPr>
            <w:i/>
            <w:lang w:val="cs-CZ"/>
          </w:rPr>
          <w:delText>Psoriáza</w:delText>
        </w:r>
      </w:del>
    </w:p>
    <w:p w14:paraId="6A10DAEB" w14:textId="77777777" w:rsidR="00AE574B" w:rsidRPr="001B4A02" w:rsidRDefault="00AE574B" w:rsidP="00CE5DAE">
      <w:pPr>
        <w:pStyle w:val="EMEANormal"/>
        <w:keepNext/>
        <w:tabs>
          <w:tab w:val="clear" w:pos="562"/>
          <w:tab w:val="left" w:pos="708"/>
        </w:tabs>
        <w:suppressAutoHyphens w:val="0"/>
        <w:rPr>
          <w:del w:id="6475" w:author="AbbVie1" w:date="2025-05-13T09:50:00Z"/>
          <w:u w:val="single"/>
          <w:lang w:val="cs-CZ"/>
        </w:rPr>
      </w:pPr>
    </w:p>
    <w:p w14:paraId="23AB4C34" w14:textId="77777777" w:rsidR="00AE574B" w:rsidRPr="001B4A02" w:rsidRDefault="00000000" w:rsidP="00ED48A3">
      <w:pPr>
        <w:pStyle w:val="EMEANormal"/>
        <w:tabs>
          <w:tab w:val="clear" w:pos="562"/>
          <w:tab w:val="left" w:pos="708"/>
        </w:tabs>
        <w:suppressAutoHyphens w:val="0"/>
        <w:rPr>
          <w:del w:id="6476" w:author="AbbVie1" w:date="2025-05-13T09:50:00Z"/>
          <w:lang w:val="cs-CZ"/>
        </w:rPr>
      </w:pPr>
      <w:del w:id="6477" w:author="AbbVie1" w:date="2025-05-13T09:50:00Z">
        <w:r w:rsidRPr="001B4A02">
          <w:rPr>
            <w:lang w:val="cs-CZ"/>
          </w:rPr>
          <w:delText>Bezpečnost</w:delText>
        </w:r>
        <w:r w:rsidR="002378E0">
          <w:rPr>
            <w:lang w:val="cs-CZ"/>
          </w:rPr>
          <w:delText xml:space="preserve"> a </w:delText>
        </w:r>
        <w:r w:rsidRPr="001B4A02">
          <w:rPr>
            <w:lang w:val="cs-CZ"/>
          </w:rPr>
          <w:delText>účinnost přípravku Humira byla studována u</w:delText>
        </w:r>
        <w:r w:rsidR="00C048C3" w:rsidRPr="001B4A02">
          <w:rPr>
            <w:lang w:val="cs-CZ"/>
          </w:rPr>
          <w:delText> </w:delText>
        </w:r>
        <w:r w:rsidRPr="001B4A02">
          <w:rPr>
            <w:lang w:val="cs-CZ"/>
          </w:rPr>
          <w:delText>dospělých pacientů s chronic</w:delText>
        </w:r>
        <w:r w:rsidR="002C1822" w:rsidRPr="001B4A02">
          <w:rPr>
            <w:lang w:val="cs-CZ"/>
          </w:rPr>
          <w:delText>kou ložiskovou psoriázou (</w:delText>
        </w:r>
        <w:r w:rsidR="009D2A3C" w:rsidRPr="001B4A02">
          <w:rPr>
            <w:rFonts w:ascii="Symbol" w:hAnsi="Symbol"/>
            <w:lang w:val="cs-CZ"/>
          </w:rPr>
          <w:sym w:font="Symbol" w:char="F0B3"/>
        </w:r>
        <w:r w:rsidRPr="001B4A02">
          <w:rPr>
            <w:lang w:val="cs-CZ"/>
          </w:rPr>
          <w:delText xml:space="preserve"> 10</w:delText>
        </w:r>
        <w:r w:rsidR="001E10EB" w:rsidRPr="001B4A02">
          <w:rPr>
            <w:lang w:val="cs-CZ"/>
          </w:rPr>
          <w:delText> </w:delText>
        </w:r>
        <w:r w:rsidRPr="001B4A02">
          <w:rPr>
            <w:lang w:val="cs-CZ"/>
          </w:rPr>
          <w:delText>% BSA</w:delText>
        </w:r>
        <w:r w:rsidR="002378E0">
          <w:rPr>
            <w:lang w:val="cs-CZ"/>
          </w:rPr>
          <w:delText xml:space="preserve"> a </w:delText>
        </w:r>
        <w:r w:rsidRPr="001B4A02">
          <w:rPr>
            <w:lang w:val="cs-CZ"/>
          </w:rPr>
          <w:delText xml:space="preserve">Psoriasis Area and Severity Index (PASI) </w:delText>
        </w:r>
        <w:r w:rsidR="009D2A3C" w:rsidRPr="001B4A02">
          <w:rPr>
            <w:rFonts w:ascii="Symbol" w:hAnsi="Symbol"/>
            <w:lang w:val="cs-CZ"/>
          </w:rPr>
          <w:sym w:font="Symbol" w:char="F0B3"/>
        </w:r>
        <w:r w:rsidRPr="001B4A02">
          <w:rPr>
            <w:lang w:val="cs-CZ"/>
          </w:rPr>
          <w:delText xml:space="preserve"> 12 nebo </w:delText>
        </w:r>
        <w:r w:rsidR="009D2A3C" w:rsidRPr="001B4A02">
          <w:rPr>
            <w:rFonts w:ascii="Symbol" w:hAnsi="Symbol"/>
            <w:lang w:val="cs-CZ"/>
          </w:rPr>
          <w:sym w:font="Symbol" w:char="F0B3"/>
        </w:r>
        <w:r w:rsidRPr="001B4A02">
          <w:rPr>
            <w:lang w:val="cs-CZ"/>
          </w:rPr>
          <w:delText xml:space="preserve"> 10), kteří byli kandidáty pro systémovou léčbu nebo fototerapii v randomizovaných, dvojitě zaslepených studiích. 73</w:delText>
        </w:r>
        <w:r w:rsidR="001E10EB" w:rsidRPr="001B4A02">
          <w:rPr>
            <w:lang w:val="cs-CZ"/>
          </w:rPr>
          <w:delText> </w:delText>
        </w:r>
        <w:r w:rsidRPr="001B4A02">
          <w:rPr>
            <w:lang w:val="cs-CZ"/>
          </w:rPr>
          <w:delText>% pacientů zahrnutých do psoriatických studií I</w:delText>
        </w:r>
        <w:r w:rsidR="002378E0">
          <w:rPr>
            <w:lang w:val="cs-CZ"/>
          </w:rPr>
          <w:delText xml:space="preserve"> a </w:delText>
        </w:r>
        <w:r w:rsidRPr="001B4A02">
          <w:rPr>
            <w:lang w:val="cs-CZ"/>
          </w:rPr>
          <w:delText>II podstoupilo předcházející systémovou léčbu nebo fototerapii.</w:delText>
        </w:r>
        <w:r w:rsidR="00C17BF6" w:rsidRPr="001B4A02">
          <w:rPr>
            <w:lang w:val="cs-CZ"/>
          </w:rPr>
          <w:delText xml:space="preserve"> Bezpečnost</w:delText>
        </w:r>
        <w:r w:rsidR="002378E0">
          <w:rPr>
            <w:lang w:val="cs-CZ"/>
          </w:rPr>
          <w:delText xml:space="preserve"> a </w:delText>
        </w:r>
        <w:r w:rsidR="00C17BF6" w:rsidRPr="001B4A02">
          <w:rPr>
            <w:lang w:val="cs-CZ"/>
          </w:rPr>
          <w:delText>účinnost přípravku Humira byla také studována u</w:delText>
        </w:r>
        <w:r w:rsidR="00AC7C92" w:rsidRPr="001B4A02">
          <w:rPr>
            <w:lang w:val="cs-CZ"/>
          </w:rPr>
          <w:delText> </w:delText>
        </w:r>
        <w:r w:rsidR="00C17BF6" w:rsidRPr="001B4A02">
          <w:rPr>
            <w:lang w:val="cs-CZ"/>
          </w:rPr>
          <w:delText xml:space="preserve">dospělých pacientů se středně </w:delText>
        </w:r>
        <w:r w:rsidR="00CC2F88" w:rsidRPr="001B4A02">
          <w:rPr>
            <w:lang w:val="cs-CZ"/>
          </w:rPr>
          <w:delText>těžkou až těžkou</w:delText>
        </w:r>
        <w:r w:rsidR="00C17BF6" w:rsidRPr="001B4A02">
          <w:rPr>
            <w:lang w:val="cs-CZ"/>
          </w:rPr>
          <w:delText xml:space="preserve"> ložiskovou psoriázou</w:delText>
        </w:r>
        <w:r w:rsidR="002378E0">
          <w:rPr>
            <w:lang w:val="cs-CZ"/>
          </w:rPr>
          <w:delText xml:space="preserve"> a </w:delText>
        </w:r>
        <w:r w:rsidR="00C17BF6" w:rsidRPr="001B4A02">
          <w:rPr>
            <w:lang w:val="cs-CZ"/>
          </w:rPr>
          <w:delText>současně s psoriázou na rukou a/nebo chodidlech, kteří byli kandidáty pro systémovou léčbu, v randomizované, dvojitě zaslepené studii (</w:delText>
        </w:r>
        <w:r w:rsidR="00DB3F69" w:rsidRPr="001B4A02">
          <w:rPr>
            <w:lang w:val="cs-CZ"/>
          </w:rPr>
          <w:delText>psoriatická</w:delText>
        </w:r>
        <w:r w:rsidR="00C17BF6" w:rsidRPr="001B4A02">
          <w:rPr>
            <w:lang w:val="cs-CZ"/>
          </w:rPr>
          <w:delText xml:space="preserve"> studie</w:delText>
        </w:r>
        <w:r w:rsidR="00DA1F84" w:rsidRPr="001B4A02">
          <w:rPr>
            <w:lang w:val="cs-CZ"/>
          </w:rPr>
          <w:delText xml:space="preserve"> </w:delText>
        </w:r>
        <w:r w:rsidR="00C17BF6" w:rsidRPr="001B4A02">
          <w:rPr>
            <w:lang w:val="cs-CZ"/>
          </w:rPr>
          <w:delText>III).</w:delText>
        </w:r>
      </w:del>
    </w:p>
    <w:p w14:paraId="7D9730C4" w14:textId="77777777" w:rsidR="00AE574B" w:rsidRPr="001B4A02" w:rsidRDefault="00AE574B" w:rsidP="00ED48A3">
      <w:pPr>
        <w:pStyle w:val="EMEANormal"/>
        <w:tabs>
          <w:tab w:val="clear" w:pos="562"/>
          <w:tab w:val="left" w:pos="708"/>
        </w:tabs>
        <w:suppressAutoHyphens w:val="0"/>
        <w:rPr>
          <w:del w:id="6478" w:author="AbbVie1" w:date="2025-05-13T09:50:00Z"/>
          <w:lang w:val="cs-CZ"/>
        </w:rPr>
      </w:pPr>
    </w:p>
    <w:p w14:paraId="2C36D327" w14:textId="77777777" w:rsidR="00AE574B" w:rsidRPr="001B4A02" w:rsidRDefault="00000000" w:rsidP="00ED48A3">
      <w:pPr>
        <w:pStyle w:val="EMEANormal"/>
        <w:tabs>
          <w:tab w:val="clear" w:pos="562"/>
          <w:tab w:val="left" w:pos="708"/>
        </w:tabs>
        <w:suppressAutoHyphens w:val="0"/>
        <w:rPr>
          <w:del w:id="6479" w:author="AbbVie1" w:date="2025-05-13T09:50:00Z"/>
          <w:lang w:val="cs-CZ"/>
        </w:rPr>
      </w:pPr>
      <w:del w:id="6480" w:author="AbbVie1" w:date="2025-05-13T09:50:00Z">
        <w:r w:rsidRPr="001B4A02">
          <w:rPr>
            <w:lang w:val="cs-CZ"/>
          </w:rPr>
          <w:delText>Psoriatická studie I (REVEAL) hodnotila 1</w:delText>
        </w:r>
        <w:r w:rsidR="00CD6D96" w:rsidRPr="001B4A02">
          <w:rPr>
            <w:lang w:val="cs-CZ"/>
          </w:rPr>
          <w:delText> </w:delText>
        </w:r>
        <w:r w:rsidRPr="001B4A02">
          <w:rPr>
            <w:lang w:val="cs-CZ"/>
          </w:rPr>
          <w:delText>212 pacientů ve třech fázích léčby. Ve fázi A užívali pacienti placebo nebo přípravek Humira v úvodní dávce 80</w:delText>
        </w:r>
        <w:r w:rsidR="00294902">
          <w:rPr>
            <w:lang w:val="cs-CZ"/>
          </w:rPr>
          <w:delText> mg</w:delText>
        </w:r>
        <w:r w:rsidRPr="001B4A02">
          <w:rPr>
            <w:lang w:val="cs-CZ"/>
          </w:rPr>
          <w:delText>, následované dávkou 40</w:delText>
        </w:r>
        <w:r w:rsidR="00294902">
          <w:rPr>
            <w:lang w:val="cs-CZ"/>
          </w:rPr>
          <w:delText> mg</w:delText>
        </w:r>
        <w:r w:rsidRPr="001B4A02">
          <w:rPr>
            <w:lang w:val="cs-CZ"/>
          </w:rPr>
          <w:delText xml:space="preserve"> každý druhý týden počínaje </w:delText>
        </w:r>
        <w:r w:rsidR="002C1822" w:rsidRPr="001B4A02">
          <w:rPr>
            <w:lang w:val="cs-CZ"/>
          </w:rPr>
          <w:delText xml:space="preserve">prvním týdnem po podání </w:delText>
        </w:r>
        <w:r w:rsidRPr="001B4A02">
          <w:rPr>
            <w:lang w:val="cs-CZ"/>
          </w:rPr>
          <w:delText>dávk</w:delText>
        </w:r>
        <w:r w:rsidR="002C1822" w:rsidRPr="001B4A02">
          <w:rPr>
            <w:lang w:val="cs-CZ"/>
          </w:rPr>
          <w:delText>y</w:delText>
        </w:r>
        <w:r w:rsidRPr="001B4A02">
          <w:rPr>
            <w:lang w:val="cs-CZ"/>
          </w:rPr>
          <w:delText xml:space="preserve"> úvodní. Po 16 týdnech léčby pacienti, kteří dosáhli odpovědi alespoň PASI 75 (PASI kritérium zlepšení alespoň 75</w:delText>
        </w:r>
        <w:r w:rsidR="001E10EB" w:rsidRPr="001B4A02">
          <w:rPr>
            <w:lang w:val="cs-CZ"/>
          </w:rPr>
          <w:delText> </w:delText>
        </w:r>
        <w:r w:rsidRPr="001B4A02">
          <w:rPr>
            <w:lang w:val="cs-CZ"/>
          </w:rPr>
          <w:delText>% ve vztahu k výchozímu stavu)</w:delText>
        </w:r>
        <w:r w:rsidR="00CD6D96" w:rsidRPr="001B4A02">
          <w:rPr>
            <w:lang w:val="cs-CZ"/>
          </w:rPr>
          <w:delText>,</w:delText>
        </w:r>
        <w:r w:rsidRPr="001B4A02">
          <w:rPr>
            <w:lang w:val="cs-CZ"/>
          </w:rPr>
          <w:delText xml:space="preserve"> postoupili do fáze B</w:delText>
        </w:r>
        <w:r w:rsidR="002378E0">
          <w:rPr>
            <w:lang w:val="cs-CZ"/>
          </w:rPr>
          <w:delText xml:space="preserve"> a </w:delText>
        </w:r>
        <w:r w:rsidR="0051758E" w:rsidRPr="001B4A02">
          <w:rPr>
            <w:lang w:val="cs-CZ"/>
          </w:rPr>
          <w:delText>po</w:delText>
        </w:r>
        <w:r w:rsidRPr="001B4A02">
          <w:rPr>
            <w:lang w:val="cs-CZ"/>
          </w:rPr>
          <w:delText>užívali 40</w:delText>
        </w:r>
        <w:r w:rsidR="00294902">
          <w:rPr>
            <w:lang w:val="cs-CZ"/>
          </w:rPr>
          <w:delText> mg</w:delText>
        </w:r>
        <w:r w:rsidRPr="001B4A02">
          <w:rPr>
            <w:lang w:val="cs-CZ"/>
          </w:rPr>
          <w:delText xml:space="preserve"> přípravku Humira</w:delText>
        </w:r>
        <w:r w:rsidR="00AC7C92" w:rsidRPr="001B4A02">
          <w:rPr>
            <w:lang w:val="cs-CZ"/>
          </w:rPr>
          <w:delText xml:space="preserve"> každý druhý týden. Pacienti, u </w:delText>
        </w:r>
        <w:r w:rsidRPr="001B4A02">
          <w:rPr>
            <w:lang w:val="cs-CZ"/>
          </w:rPr>
          <w:delText>kterých přetrvávala odpověď PASI ≥ 75 v týdnu 33</w:delText>
        </w:r>
        <w:r w:rsidR="002378E0">
          <w:rPr>
            <w:lang w:val="cs-CZ"/>
          </w:rPr>
          <w:delText xml:space="preserve"> a </w:delText>
        </w:r>
        <w:r w:rsidRPr="001B4A02">
          <w:rPr>
            <w:lang w:val="cs-CZ"/>
          </w:rPr>
          <w:delText>byli původně randomizováni k aktivní terapii ve fázi A, byli re-randomizováni do fáze C</w:delText>
        </w:r>
        <w:r w:rsidR="002378E0">
          <w:rPr>
            <w:lang w:val="cs-CZ"/>
          </w:rPr>
          <w:delText xml:space="preserve"> a </w:delText>
        </w:r>
        <w:r w:rsidR="0051758E" w:rsidRPr="001B4A02">
          <w:rPr>
            <w:lang w:val="cs-CZ"/>
          </w:rPr>
          <w:delText>po</w:delText>
        </w:r>
        <w:r w:rsidRPr="001B4A02">
          <w:rPr>
            <w:lang w:val="cs-CZ"/>
          </w:rPr>
          <w:delText>užívali 40</w:delText>
        </w:r>
        <w:r w:rsidR="00294902">
          <w:rPr>
            <w:lang w:val="cs-CZ"/>
          </w:rPr>
          <w:delText> mg</w:delText>
        </w:r>
        <w:r w:rsidRPr="001B4A02">
          <w:rPr>
            <w:lang w:val="cs-CZ"/>
          </w:rPr>
          <w:delText xml:space="preserve"> přípravku Humira každý druhý týden nebo placebo po dobu dalších 19 týdnů. Napříč všemi léčenými skupinami bylo průměrné výchozí skóre PASI 18,9</w:delText>
        </w:r>
        <w:r w:rsidR="002378E0">
          <w:rPr>
            <w:lang w:val="cs-CZ"/>
          </w:rPr>
          <w:delText xml:space="preserve"> a </w:delText>
        </w:r>
        <w:r w:rsidRPr="001B4A02">
          <w:rPr>
            <w:lang w:val="cs-CZ"/>
          </w:rPr>
          <w:delText>výchozí skóre Physician’s Global Assessment (PGA) se pohybovalo od „středně těžkého“ (53</w:delText>
        </w:r>
        <w:r w:rsidR="001E10EB" w:rsidRPr="001B4A02">
          <w:rPr>
            <w:lang w:val="cs-CZ"/>
          </w:rPr>
          <w:delText> </w:delText>
        </w:r>
        <w:r w:rsidRPr="001B4A02">
          <w:rPr>
            <w:lang w:val="cs-CZ"/>
          </w:rPr>
          <w:delText>% sledovaných subjektů) po</w:delText>
        </w:r>
        <w:r w:rsidR="007978AF">
          <w:rPr>
            <w:lang w:val="cs-CZ"/>
          </w:rPr>
          <w:delText xml:space="preserve"> </w:delText>
        </w:r>
        <w:r w:rsidRPr="001B4A02">
          <w:rPr>
            <w:lang w:val="cs-CZ"/>
          </w:rPr>
          <w:delText>„těžké“ (41</w:delText>
        </w:r>
        <w:r w:rsidR="001E10EB" w:rsidRPr="001B4A02">
          <w:rPr>
            <w:lang w:val="cs-CZ"/>
          </w:rPr>
          <w:delText> </w:delText>
        </w:r>
        <w:r w:rsidRPr="001B4A02">
          <w:rPr>
            <w:lang w:val="cs-CZ"/>
          </w:rPr>
          <w:delText>%) až „velmi těžké“ (6</w:delText>
        </w:r>
        <w:r w:rsidR="001E10EB" w:rsidRPr="001B4A02">
          <w:rPr>
            <w:lang w:val="cs-CZ"/>
          </w:rPr>
          <w:delText> </w:delText>
        </w:r>
        <w:r w:rsidRPr="001B4A02">
          <w:rPr>
            <w:lang w:val="cs-CZ"/>
          </w:rPr>
          <w:delText>%).</w:delText>
        </w:r>
      </w:del>
    </w:p>
    <w:p w14:paraId="4E4F5410" w14:textId="77777777" w:rsidR="00BB7890" w:rsidRPr="001B4A02" w:rsidRDefault="00BB7890" w:rsidP="00ED48A3">
      <w:pPr>
        <w:pStyle w:val="EMEANormal"/>
        <w:tabs>
          <w:tab w:val="clear" w:pos="562"/>
          <w:tab w:val="left" w:pos="708"/>
        </w:tabs>
        <w:suppressAutoHyphens w:val="0"/>
        <w:rPr>
          <w:del w:id="6481" w:author="AbbVie1" w:date="2025-05-13T09:50:00Z"/>
          <w:lang w:val="cs-CZ"/>
        </w:rPr>
      </w:pPr>
    </w:p>
    <w:p w14:paraId="5458BBEF" w14:textId="77777777" w:rsidR="00AE574B" w:rsidRPr="001B4A02" w:rsidRDefault="00000000" w:rsidP="00ED48A3">
      <w:pPr>
        <w:pStyle w:val="EMEANormal"/>
        <w:tabs>
          <w:tab w:val="clear" w:pos="562"/>
          <w:tab w:val="left" w:pos="708"/>
        </w:tabs>
        <w:suppressAutoHyphens w:val="0"/>
        <w:rPr>
          <w:del w:id="6482" w:author="AbbVie1" w:date="2025-05-13T09:50:00Z"/>
          <w:lang w:val="cs-CZ"/>
        </w:rPr>
      </w:pPr>
      <w:del w:id="6483" w:author="AbbVie1" w:date="2025-05-13T09:50:00Z">
        <w:r w:rsidRPr="001B4A02">
          <w:rPr>
            <w:lang w:val="cs-CZ"/>
          </w:rPr>
          <w:delText>Psoriatická studie II (CHAMPION) porovnávala účinnost</w:delText>
        </w:r>
        <w:r w:rsidR="002378E0">
          <w:rPr>
            <w:lang w:val="cs-CZ"/>
          </w:rPr>
          <w:delText xml:space="preserve"> a </w:delText>
        </w:r>
        <w:r w:rsidRPr="001B4A02">
          <w:rPr>
            <w:lang w:val="cs-CZ"/>
          </w:rPr>
          <w:delText xml:space="preserve">bezpečnost přípravku Humira </w:delText>
        </w:r>
        <w:r w:rsidRPr="001B4A02">
          <w:rPr>
            <w:iCs/>
            <w:lang w:val="cs-CZ"/>
          </w:rPr>
          <w:delText>oproti</w:delText>
        </w:r>
        <w:r w:rsidRPr="001B4A02">
          <w:rPr>
            <w:lang w:val="cs-CZ"/>
          </w:rPr>
          <w:delText xml:space="preserve"> methotrexátu</w:delText>
        </w:r>
        <w:r w:rsidR="002378E0">
          <w:rPr>
            <w:lang w:val="cs-CZ"/>
          </w:rPr>
          <w:delText xml:space="preserve"> a </w:delText>
        </w:r>
        <w:r w:rsidRPr="001B4A02">
          <w:rPr>
            <w:lang w:val="cs-CZ"/>
          </w:rPr>
          <w:delText>placebu u</w:delText>
        </w:r>
        <w:r w:rsidR="00C048C3" w:rsidRPr="001B4A02">
          <w:rPr>
            <w:lang w:val="cs-CZ"/>
          </w:rPr>
          <w:delText> </w:delText>
        </w:r>
        <w:r w:rsidRPr="001B4A02">
          <w:rPr>
            <w:lang w:val="cs-CZ"/>
          </w:rPr>
          <w:delText>271 pacientů. Pacienti užívali placebo</w:delText>
        </w:r>
        <w:r w:rsidR="002378E0">
          <w:rPr>
            <w:lang w:val="cs-CZ"/>
          </w:rPr>
          <w:delText xml:space="preserve"> a </w:delText>
        </w:r>
        <w:r w:rsidRPr="001B4A02">
          <w:rPr>
            <w:lang w:val="cs-CZ"/>
          </w:rPr>
          <w:delText>MTX v úvodní dávce 7,5</w:delText>
        </w:r>
        <w:r w:rsidR="00294902">
          <w:rPr>
            <w:lang w:val="cs-CZ"/>
          </w:rPr>
          <w:delText> mg</w:delText>
        </w:r>
        <w:r w:rsidRPr="001B4A02">
          <w:rPr>
            <w:lang w:val="cs-CZ"/>
          </w:rPr>
          <w:delText>, která se následně zvyšovala až do týdne 12 do maximální dávky 25</w:delText>
        </w:r>
        <w:r w:rsidR="00294902">
          <w:rPr>
            <w:lang w:val="cs-CZ"/>
          </w:rPr>
          <w:delText> mg</w:delText>
        </w:r>
        <w:r w:rsidRPr="001B4A02">
          <w:rPr>
            <w:lang w:val="cs-CZ"/>
          </w:rPr>
          <w:delText xml:space="preserve">, nebo </w:delText>
        </w:r>
        <w:r w:rsidR="0051758E" w:rsidRPr="001B4A02">
          <w:rPr>
            <w:lang w:val="cs-CZ"/>
          </w:rPr>
          <w:delText>po</w:delText>
        </w:r>
        <w:r w:rsidRPr="001B4A02">
          <w:rPr>
            <w:lang w:val="cs-CZ"/>
          </w:rPr>
          <w:delText xml:space="preserve">užívali </w:delText>
        </w:r>
        <w:r w:rsidR="00CF3348" w:rsidRPr="001B4A02">
          <w:rPr>
            <w:lang w:val="cs-CZ"/>
          </w:rPr>
          <w:delText>úvodní</w:delText>
        </w:r>
        <w:r w:rsidRPr="001B4A02">
          <w:rPr>
            <w:lang w:val="cs-CZ"/>
          </w:rPr>
          <w:delText xml:space="preserve"> dávku 80</w:delText>
        </w:r>
        <w:r w:rsidR="00294902">
          <w:rPr>
            <w:lang w:val="cs-CZ"/>
          </w:rPr>
          <w:delText> mg</w:delText>
        </w:r>
        <w:r w:rsidRPr="001B4A02">
          <w:rPr>
            <w:lang w:val="cs-CZ"/>
          </w:rPr>
          <w:delText xml:space="preserve"> přípravku Humira, následované dávkou 40</w:delText>
        </w:r>
        <w:r w:rsidR="00294902">
          <w:rPr>
            <w:lang w:val="cs-CZ"/>
          </w:rPr>
          <w:delText> mg</w:delText>
        </w:r>
        <w:r w:rsidRPr="001B4A02">
          <w:rPr>
            <w:lang w:val="cs-CZ"/>
          </w:rPr>
          <w:delText xml:space="preserve"> každý druhý týden (počínaje prvním týdnem po </w:delText>
        </w:r>
        <w:r w:rsidR="00CF3348" w:rsidRPr="001B4A02">
          <w:rPr>
            <w:lang w:val="cs-CZ"/>
          </w:rPr>
          <w:delText>úvodní</w:delText>
        </w:r>
        <w:r w:rsidRPr="001B4A02">
          <w:rPr>
            <w:lang w:val="cs-CZ"/>
          </w:rPr>
          <w:delText xml:space="preserve"> dávce) po dobu 16 týdnů. Nejsou dostupné žádné údaje o</w:delText>
        </w:r>
        <w:r w:rsidR="00923691" w:rsidRPr="001B4A02">
          <w:rPr>
            <w:lang w:val="cs-CZ"/>
          </w:rPr>
          <w:delText> </w:delText>
        </w:r>
        <w:r w:rsidRPr="001B4A02">
          <w:rPr>
            <w:lang w:val="cs-CZ"/>
          </w:rPr>
          <w:delText>porovnání př</w:delText>
        </w:r>
        <w:r w:rsidR="002C1822" w:rsidRPr="001B4A02">
          <w:rPr>
            <w:lang w:val="cs-CZ"/>
          </w:rPr>
          <w:delText>ípravku Humira</w:delText>
        </w:r>
        <w:r w:rsidR="002378E0">
          <w:rPr>
            <w:lang w:val="cs-CZ"/>
          </w:rPr>
          <w:delText xml:space="preserve"> a </w:delText>
        </w:r>
        <w:r w:rsidR="002C1822" w:rsidRPr="001B4A02">
          <w:rPr>
            <w:lang w:val="cs-CZ"/>
          </w:rPr>
          <w:delText>MTX po této 16</w:delText>
        </w:r>
        <w:r w:rsidRPr="001B4A02">
          <w:rPr>
            <w:lang w:val="cs-CZ"/>
          </w:rPr>
          <w:delText>týdenní léčbě. Pacientům, kteří užívali MTX</w:delText>
        </w:r>
        <w:r w:rsidR="002378E0">
          <w:rPr>
            <w:lang w:val="cs-CZ"/>
          </w:rPr>
          <w:delText xml:space="preserve"> a </w:delText>
        </w:r>
        <w:r w:rsidRPr="001B4A02">
          <w:rPr>
            <w:lang w:val="cs-CZ"/>
          </w:rPr>
          <w:delText>kteří dosáhli odpovědi PASI ≥ 50 v týdnu 8 a/nebo 12, nebyla dávka dále navyšována. Napříč všemi léčenými skupinami bylo prů</w:delText>
        </w:r>
        <w:r w:rsidR="002C1822" w:rsidRPr="001B4A02">
          <w:rPr>
            <w:lang w:val="cs-CZ"/>
          </w:rPr>
          <w:delText>měrné PASI skóre 19,7</w:delText>
        </w:r>
        <w:r w:rsidR="002378E0">
          <w:rPr>
            <w:lang w:val="cs-CZ"/>
          </w:rPr>
          <w:delText xml:space="preserve"> a </w:delText>
        </w:r>
        <w:r w:rsidR="002C1822" w:rsidRPr="001B4A02">
          <w:rPr>
            <w:lang w:val="cs-CZ"/>
          </w:rPr>
          <w:delText>výchozí</w:delText>
        </w:r>
        <w:r w:rsidRPr="001B4A02">
          <w:rPr>
            <w:lang w:val="cs-CZ"/>
          </w:rPr>
          <w:delText xml:space="preserve"> PGA skóre se pohybovalo od „mírného“ (&lt; 1</w:delText>
        </w:r>
        <w:r w:rsidR="001E10EB" w:rsidRPr="001B4A02">
          <w:rPr>
            <w:lang w:val="cs-CZ"/>
          </w:rPr>
          <w:delText> </w:delText>
        </w:r>
        <w:r w:rsidRPr="001B4A02">
          <w:rPr>
            <w:lang w:val="cs-CZ"/>
          </w:rPr>
          <w:delText>%) po „středně těžké“ (48</w:delText>
        </w:r>
        <w:r w:rsidR="001E10EB" w:rsidRPr="001B4A02">
          <w:rPr>
            <w:lang w:val="cs-CZ"/>
          </w:rPr>
          <w:delText> </w:delText>
        </w:r>
        <w:r w:rsidRPr="001B4A02">
          <w:rPr>
            <w:lang w:val="cs-CZ"/>
          </w:rPr>
          <w:delText>%), „těžké“</w:delText>
        </w:r>
        <w:r w:rsidR="002C1822" w:rsidRPr="001B4A02">
          <w:rPr>
            <w:lang w:val="cs-CZ"/>
          </w:rPr>
          <w:delText xml:space="preserve"> (46</w:delText>
        </w:r>
        <w:r w:rsidR="001E10EB" w:rsidRPr="001B4A02">
          <w:rPr>
            <w:lang w:val="cs-CZ"/>
          </w:rPr>
          <w:delText> </w:delText>
        </w:r>
        <w:r w:rsidR="002C1822" w:rsidRPr="001B4A02">
          <w:rPr>
            <w:lang w:val="cs-CZ"/>
          </w:rPr>
          <w:delText>%)</w:delText>
        </w:r>
        <w:r w:rsidRPr="001B4A02">
          <w:rPr>
            <w:lang w:val="cs-CZ"/>
          </w:rPr>
          <w:delText xml:space="preserve"> až „velmi těžké“ (6</w:delText>
        </w:r>
        <w:r w:rsidR="001E10EB" w:rsidRPr="001B4A02">
          <w:rPr>
            <w:lang w:val="cs-CZ"/>
          </w:rPr>
          <w:delText> </w:delText>
        </w:r>
        <w:r w:rsidRPr="001B4A02">
          <w:rPr>
            <w:lang w:val="cs-CZ"/>
          </w:rPr>
          <w:delText>%).</w:delText>
        </w:r>
      </w:del>
    </w:p>
    <w:p w14:paraId="6B2E9CA8" w14:textId="77777777" w:rsidR="00AE574B" w:rsidRPr="001B4A02" w:rsidRDefault="00AE574B" w:rsidP="00ED48A3">
      <w:pPr>
        <w:pStyle w:val="EMEANormal"/>
        <w:tabs>
          <w:tab w:val="clear" w:pos="562"/>
          <w:tab w:val="left" w:pos="708"/>
        </w:tabs>
        <w:suppressAutoHyphens w:val="0"/>
        <w:rPr>
          <w:del w:id="6484" w:author="AbbVie1" w:date="2025-05-13T09:50:00Z"/>
          <w:lang w:val="cs-CZ"/>
        </w:rPr>
      </w:pPr>
    </w:p>
    <w:p w14:paraId="763CDB41" w14:textId="77777777" w:rsidR="00AE574B" w:rsidRPr="001B4A02" w:rsidRDefault="00000000" w:rsidP="00ED48A3">
      <w:pPr>
        <w:pStyle w:val="EMEANormal"/>
        <w:tabs>
          <w:tab w:val="clear" w:pos="562"/>
          <w:tab w:val="left" w:pos="708"/>
        </w:tabs>
        <w:suppressAutoHyphens w:val="0"/>
        <w:rPr>
          <w:del w:id="6485" w:author="AbbVie1" w:date="2025-05-13T09:50:00Z"/>
          <w:lang w:val="cs-CZ"/>
        </w:rPr>
      </w:pPr>
      <w:del w:id="6486" w:author="AbbVie1" w:date="2025-05-13T09:50:00Z">
        <w:r w:rsidRPr="001B4A02">
          <w:rPr>
            <w:lang w:val="cs-CZ"/>
          </w:rPr>
          <w:delText xml:space="preserve">Pacienti, kteří se účastnili celé fáze </w:delText>
        </w:r>
        <w:r w:rsidR="00C114D7" w:rsidRPr="001B4A02">
          <w:rPr>
            <w:lang w:val="cs-CZ"/>
          </w:rPr>
          <w:delText>2</w:delText>
        </w:r>
        <w:r w:rsidR="002378E0">
          <w:rPr>
            <w:lang w:val="cs-CZ"/>
          </w:rPr>
          <w:delText xml:space="preserve"> a </w:delText>
        </w:r>
        <w:r w:rsidRPr="001B4A02">
          <w:rPr>
            <w:lang w:val="cs-CZ"/>
          </w:rPr>
          <w:delText xml:space="preserve">fáze </w:delText>
        </w:r>
        <w:r w:rsidR="00C114D7" w:rsidRPr="001B4A02">
          <w:rPr>
            <w:lang w:val="cs-CZ"/>
          </w:rPr>
          <w:delText>3</w:delText>
        </w:r>
        <w:r w:rsidRPr="001B4A02">
          <w:rPr>
            <w:lang w:val="cs-CZ"/>
          </w:rPr>
          <w:delText xml:space="preserve"> psoriatických studií, byli vhodní k tomu, aby byli zařazeni do otevřené fáze prodloužené studie, v níž byl přípravek Humira podáván minimálně po dobu dalších 108 týdnů.</w:delText>
        </w:r>
      </w:del>
    </w:p>
    <w:p w14:paraId="17B44121" w14:textId="77777777" w:rsidR="00AE574B" w:rsidRPr="001B4A02" w:rsidRDefault="00AE574B" w:rsidP="00ED48A3">
      <w:pPr>
        <w:pStyle w:val="EMEANormal"/>
        <w:tabs>
          <w:tab w:val="clear" w:pos="562"/>
          <w:tab w:val="left" w:pos="708"/>
        </w:tabs>
        <w:suppressAutoHyphens w:val="0"/>
        <w:rPr>
          <w:del w:id="6487" w:author="AbbVie1" w:date="2025-05-13T09:50:00Z"/>
          <w:lang w:val="cs-CZ"/>
        </w:rPr>
      </w:pPr>
    </w:p>
    <w:p w14:paraId="793353D8" w14:textId="77777777" w:rsidR="00AE574B" w:rsidRPr="001B4A02" w:rsidRDefault="00000000" w:rsidP="00ED48A3">
      <w:pPr>
        <w:pStyle w:val="EMEANormal"/>
        <w:tabs>
          <w:tab w:val="clear" w:pos="562"/>
          <w:tab w:val="left" w:pos="708"/>
        </w:tabs>
        <w:suppressAutoHyphens w:val="0"/>
        <w:rPr>
          <w:del w:id="6488" w:author="AbbVie1" w:date="2025-05-13T09:50:00Z"/>
          <w:lang w:val="cs-CZ"/>
        </w:rPr>
      </w:pPr>
      <w:del w:id="6489" w:author="AbbVie1" w:date="2025-05-13T09:50:00Z">
        <w:r w:rsidRPr="001B4A02">
          <w:rPr>
            <w:lang w:val="cs-CZ"/>
          </w:rPr>
          <w:delText>V psoriatických studiích I</w:delText>
        </w:r>
        <w:r w:rsidR="002378E0">
          <w:rPr>
            <w:lang w:val="cs-CZ"/>
          </w:rPr>
          <w:delText xml:space="preserve"> a </w:delText>
        </w:r>
        <w:r w:rsidRPr="001B4A02">
          <w:rPr>
            <w:lang w:val="cs-CZ"/>
          </w:rPr>
          <w:delText xml:space="preserve">II byl primárním </w:delText>
        </w:r>
        <w:r w:rsidR="002C1822" w:rsidRPr="001B4A02">
          <w:rPr>
            <w:lang w:val="cs-CZ"/>
          </w:rPr>
          <w:delText>cílovým parametrem</w:delText>
        </w:r>
        <w:r w:rsidRPr="001B4A02">
          <w:rPr>
            <w:lang w:val="cs-CZ"/>
          </w:rPr>
          <w:delText xml:space="preserve"> podíl pacientů, kteří dosáhli odpovědi PASI 75 v týdnu 16 od výchozího stavu (viz tabulky </w:delText>
        </w:r>
        <w:r w:rsidR="00CC1B29">
          <w:rPr>
            <w:lang w:val="cs-CZ"/>
          </w:rPr>
          <w:delText>16</w:delText>
        </w:r>
        <w:r w:rsidR="002378E0">
          <w:rPr>
            <w:lang w:val="cs-CZ"/>
          </w:rPr>
          <w:delText xml:space="preserve"> a </w:delText>
        </w:r>
        <w:r w:rsidR="00CC1B29">
          <w:rPr>
            <w:lang w:val="cs-CZ"/>
          </w:rPr>
          <w:delText>17</w:delText>
        </w:r>
        <w:r w:rsidRPr="001B4A02">
          <w:rPr>
            <w:lang w:val="cs-CZ"/>
          </w:rPr>
          <w:delText>).</w:delText>
        </w:r>
      </w:del>
    </w:p>
    <w:p w14:paraId="412482E6" w14:textId="77777777" w:rsidR="00AE574B" w:rsidRPr="001B4A02" w:rsidRDefault="00AE574B" w:rsidP="00ED48A3">
      <w:pPr>
        <w:pStyle w:val="EMEANormal"/>
        <w:tabs>
          <w:tab w:val="clear" w:pos="562"/>
          <w:tab w:val="left" w:pos="708"/>
        </w:tabs>
        <w:suppressAutoHyphens w:val="0"/>
        <w:rPr>
          <w:del w:id="6490" w:author="AbbVie1" w:date="2025-05-13T09:50:00Z"/>
          <w:u w:val="single"/>
          <w:lang w:val="cs-CZ"/>
        </w:rPr>
      </w:pPr>
    </w:p>
    <w:tbl>
      <w:tblPr>
        <w:tblW w:w="856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98"/>
        <w:gridCol w:w="2814"/>
        <w:gridCol w:w="3450"/>
      </w:tblGrid>
      <w:tr w:rsidR="00534A2D" w14:paraId="3DC723DF" w14:textId="77777777" w:rsidTr="008D783A">
        <w:trPr>
          <w:trHeight w:val="521"/>
          <w:jc w:val="center"/>
          <w:del w:id="6491" w:author="AbbVie1" w:date="2025-05-13T09:50:00Z"/>
        </w:trPr>
        <w:tc>
          <w:tcPr>
            <w:tcW w:w="8562" w:type="dxa"/>
            <w:gridSpan w:val="3"/>
            <w:tcBorders>
              <w:top w:val="nil"/>
              <w:left w:val="nil"/>
              <w:bottom w:val="single" w:sz="4" w:space="0" w:color="auto"/>
              <w:right w:val="nil"/>
            </w:tcBorders>
          </w:tcPr>
          <w:p w14:paraId="30BE8E18" w14:textId="77777777" w:rsidR="003F4B5B" w:rsidRPr="001B4A02" w:rsidRDefault="00000000" w:rsidP="00CE5DAE">
            <w:pPr>
              <w:pStyle w:val="DefaultText"/>
              <w:keepNext/>
              <w:jc w:val="center"/>
              <w:rPr>
                <w:del w:id="6492" w:author="AbbVie1" w:date="2025-05-13T09:50:00Z"/>
                <w:rFonts w:ascii="Times New Roman" w:hAnsi="Times New Roman"/>
                <w:b/>
                <w:bCs w:val="0"/>
                <w:szCs w:val="22"/>
                <w:lang w:val="cs-CZ"/>
              </w:rPr>
            </w:pPr>
            <w:del w:id="6493" w:author="AbbVie1" w:date="2025-05-13T09:50:00Z">
              <w:r w:rsidRPr="001B4A02">
                <w:rPr>
                  <w:rFonts w:ascii="Times New Roman" w:hAnsi="Times New Roman"/>
                  <w:b/>
                  <w:bCs w:val="0"/>
                  <w:szCs w:val="22"/>
                  <w:lang w:val="cs-CZ"/>
                </w:rPr>
                <w:delText xml:space="preserve">Tabulka </w:delText>
              </w:r>
              <w:r w:rsidR="00CC1B29">
                <w:rPr>
                  <w:rFonts w:ascii="Times New Roman" w:hAnsi="Times New Roman"/>
                  <w:b/>
                  <w:bCs w:val="0"/>
                  <w:szCs w:val="22"/>
                  <w:lang w:val="cs-CZ"/>
                </w:rPr>
                <w:delText>16</w:delText>
              </w:r>
            </w:del>
          </w:p>
          <w:p w14:paraId="195DEEB6" w14:textId="77777777" w:rsidR="00AE574B" w:rsidRPr="001B4A02" w:rsidRDefault="00000000" w:rsidP="00CE5DAE">
            <w:pPr>
              <w:pStyle w:val="DefaultText"/>
              <w:keepNext/>
              <w:jc w:val="center"/>
              <w:rPr>
                <w:del w:id="6494" w:author="AbbVie1" w:date="2025-05-13T09:50:00Z"/>
                <w:rFonts w:ascii="Times New Roman" w:hAnsi="Times New Roman"/>
                <w:b/>
                <w:bCs w:val="0"/>
                <w:szCs w:val="22"/>
                <w:lang w:val="cs-CZ"/>
              </w:rPr>
            </w:pPr>
            <w:del w:id="6495" w:author="AbbVie1" w:date="2025-05-13T09:50:00Z">
              <w:r w:rsidRPr="001B4A02">
                <w:rPr>
                  <w:rFonts w:ascii="Times New Roman" w:hAnsi="Times New Roman"/>
                  <w:b/>
                  <w:bCs w:val="0"/>
                  <w:szCs w:val="22"/>
                  <w:lang w:val="cs-CZ"/>
                </w:rPr>
                <w:delText>Studie Ps I (REVEAL)</w:delText>
              </w:r>
            </w:del>
          </w:p>
          <w:p w14:paraId="439B743D" w14:textId="77777777" w:rsidR="00AE574B" w:rsidRPr="001B4A02" w:rsidRDefault="00000000" w:rsidP="00CE5DAE">
            <w:pPr>
              <w:pStyle w:val="DefaultText"/>
              <w:keepNext/>
              <w:jc w:val="center"/>
              <w:rPr>
                <w:del w:id="6496" w:author="AbbVie1" w:date="2025-05-13T09:50:00Z"/>
                <w:rFonts w:ascii="Times New Roman" w:hAnsi="Times New Roman"/>
                <w:b/>
                <w:bCs w:val="0"/>
                <w:szCs w:val="22"/>
                <w:u w:val="single"/>
                <w:lang w:val="cs-CZ"/>
              </w:rPr>
            </w:pPr>
            <w:del w:id="6497" w:author="AbbVie1" w:date="2025-05-13T09:50:00Z">
              <w:r w:rsidRPr="001B4A02">
                <w:rPr>
                  <w:rFonts w:ascii="Times New Roman" w:hAnsi="Times New Roman"/>
                  <w:b/>
                  <w:bCs w:val="0"/>
                  <w:szCs w:val="22"/>
                  <w:lang w:val="cs-CZ"/>
                </w:rPr>
                <w:delText xml:space="preserve">Výsledky účinnosti za 16 týdnů </w:delText>
              </w:r>
            </w:del>
          </w:p>
        </w:tc>
      </w:tr>
      <w:tr w:rsidR="00534A2D" w14:paraId="09F6BEF2" w14:textId="77777777" w:rsidTr="008D783A">
        <w:trPr>
          <w:trHeight w:val="797"/>
          <w:jc w:val="center"/>
          <w:del w:id="6498" w:author="AbbVie1" w:date="2025-05-13T09:50:00Z"/>
        </w:trPr>
        <w:tc>
          <w:tcPr>
            <w:tcW w:w="2298" w:type="dxa"/>
            <w:tcBorders>
              <w:top w:val="single" w:sz="4" w:space="0" w:color="auto"/>
              <w:left w:val="single" w:sz="4" w:space="0" w:color="auto"/>
              <w:bottom w:val="single" w:sz="4" w:space="0" w:color="auto"/>
              <w:right w:val="single" w:sz="4" w:space="0" w:color="auto"/>
            </w:tcBorders>
            <w:vAlign w:val="center"/>
          </w:tcPr>
          <w:p w14:paraId="1BB80871" w14:textId="77777777" w:rsidR="00AE574B" w:rsidRPr="001B4A02" w:rsidRDefault="00AE574B" w:rsidP="00603F6E">
            <w:pPr>
              <w:pStyle w:val="DefaultText"/>
              <w:keepNext/>
              <w:rPr>
                <w:del w:id="6499" w:author="AbbVie1" w:date="2025-05-13T09:50:00Z"/>
                <w:rFonts w:ascii="Times New Roman" w:hAnsi="Times New Roman"/>
                <w:b/>
                <w:bCs w:val="0"/>
                <w:szCs w:val="22"/>
                <w:lang w:val="cs-CZ"/>
              </w:rPr>
            </w:pPr>
          </w:p>
        </w:tc>
        <w:tc>
          <w:tcPr>
            <w:tcW w:w="2814" w:type="dxa"/>
            <w:tcBorders>
              <w:top w:val="single" w:sz="4" w:space="0" w:color="auto"/>
              <w:left w:val="single" w:sz="4" w:space="0" w:color="auto"/>
              <w:bottom w:val="single" w:sz="4" w:space="0" w:color="auto"/>
              <w:right w:val="single" w:sz="4" w:space="0" w:color="auto"/>
            </w:tcBorders>
            <w:vAlign w:val="center"/>
          </w:tcPr>
          <w:p w14:paraId="7E289623" w14:textId="77777777" w:rsidR="00AE574B" w:rsidRPr="001B4A02" w:rsidRDefault="00000000" w:rsidP="00603F6E">
            <w:pPr>
              <w:pStyle w:val="DefaultText"/>
              <w:keepNext/>
              <w:jc w:val="center"/>
              <w:rPr>
                <w:del w:id="6500" w:author="AbbVie1" w:date="2025-05-13T09:50:00Z"/>
                <w:rFonts w:ascii="Times New Roman" w:hAnsi="Times New Roman"/>
                <w:b/>
                <w:bCs w:val="0"/>
                <w:szCs w:val="22"/>
                <w:lang w:val="cs-CZ"/>
              </w:rPr>
            </w:pPr>
            <w:del w:id="6501" w:author="AbbVie1" w:date="2025-05-13T09:50:00Z">
              <w:r w:rsidRPr="001B4A02">
                <w:rPr>
                  <w:rFonts w:ascii="Times New Roman" w:hAnsi="Times New Roman"/>
                  <w:b/>
                  <w:bCs w:val="0"/>
                  <w:szCs w:val="22"/>
                  <w:lang w:val="cs-CZ"/>
                </w:rPr>
                <w:delText>Placebo</w:delText>
              </w:r>
            </w:del>
          </w:p>
          <w:p w14:paraId="7614BAAB" w14:textId="77777777" w:rsidR="00AE574B" w:rsidRPr="001B4A02" w:rsidRDefault="00000000" w:rsidP="00603F6E">
            <w:pPr>
              <w:pStyle w:val="DefaultText"/>
              <w:keepNext/>
              <w:jc w:val="center"/>
              <w:rPr>
                <w:del w:id="6502" w:author="AbbVie1" w:date="2025-05-13T09:50:00Z"/>
                <w:rFonts w:ascii="Times New Roman" w:hAnsi="Times New Roman"/>
                <w:b/>
                <w:bCs w:val="0"/>
                <w:szCs w:val="22"/>
                <w:lang w:val="cs-CZ"/>
              </w:rPr>
            </w:pPr>
            <w:del w:id="6503" w:author="AbbVie1" w:date="2025-05-13T09:50:00Z">
              <w:r>
                <w:rPr>
                  <w:rFonts w:ascii="Times New Roman" w:hAnsi="Times New Roman"/>
                  <w:b/>
                  <w:bCs w:val="0"/>
                  <w:szCs w:val="22"/>
                  <w:lang w:val="cs-CZ"/>
                </w:rPr>
                <w:delText>n</w:delText>
              </w:r>
              <w:r w:rsidRPr="001B4A02">
                <w:rPr>
                  <w:rFonts w:ascii="Times New Roman" w:hAnsi="Times New Roman"/>
                  <w:b/>
                  <w:bCs w:val="0"/>
                  <w:szCs w:val="22"/>
                  <w:lang w:val="cs-CZ"/>
                </w:rPr>
                <w:delText>=398</w:delText>
              </w:r>
            </w:del>
          </w:p>
          <w:p w14:paraId="144A1900" w14:textId="77777777" w:rsidR="00AE574B" w:rsidRPr="001B4A02" w:rsidRDefault="00000000" w:rsidP="00603F6E">
            <w:pPr>
              <w:pStyle w:val="DefaultText"/>
              <w:keepNext/>
              <w:jc w:val="center"/>
              <w:rPr>
                <w:del w:id="6504" w:author="AbbVie1" w:date="2025-05-13T09:50:00Z"/>
                <w:rFonts w:ascii="Times New Roman" w:hAnsi="Times New Roman"/>
                <w:b/>
                <w:bCs w:val="0"/>
                <w:szCs w:val="22"/>
                <w:lang w:val="cs-CZ"/>
              </w:rPr>
            </w:pPr>
            <w:del w:id="6505" w:author="AbbVie1" w:date="2025-05-13T09:50:00Z">
              <w:r w:rsidRPr="001B4A02">
                <w:rPr>
                  <w:rFonts w:ascii="Times New Roman" w:hAnsi="Times New Roman"/>
                  <w:b/>
                  <w:bCs w:val="0"/>
                  <w:szCs w:val="22"/>
                  <w:lang w:val="cs-CZ"/>
                </w:rPr>
                <w:delText>n (%)</w:delText>
              </w:r>
            </w:del>
          </w:p>
        </w:tc>
        <w:tc>
          <w:tcPr>
            <w:tcW w:w="3450" w:type="dxa"/>
            <w:tcBorders>
              <w:top w:val="single" w:sz="4" w:space="0" w:color="auto"/>
              <w:left w:val="single" w:sz="4" w:space="0" w:color="auto"/>
              <w:bottom w:val="single" w:sz="4" w:space="0" w:color="auto"/>
              <w:right w:val="single" w:sz="4" w:space="0" w:color="auto"/>
            </w:tcBorders>
            <w:vAlign w:val="center"/>
          </w:tcPr>
          <w:p w14:paraId="79ADD79C" w14:textId="77777777" w:rsidR="00382986" w:rsidRPr="001B4A02" w:rsidRDefault="00000000" w:rsidP="00603F6E">
            <w:pPr>
              <w:pStyle w:val="DefaultText"/>
              <w:keepNext/>
              <w:jc w:val="center"/>
              <w:rPr>
                <w:del w:id="6506" w:author="AbbVie1" w:date="2025-05-13T09:50:00Z"/>
                <w:rFonts w:ascii="Times New Roman" w:hAnsi="Times New Roman"/>
                <w:b/>
                <w:bCs w:val="0"/>
                <w:szCs w:val="22"/>
                <w:lang w:val="cs-CZ"/>
              </w:rPr>
            </w:pPr>
            <w:del w:id="6507" w:author="AbbVie1" w:date="2025-05-13T09:50:00Z">
              <w:r w:rsidRPr="001B4A02">
                <w:rPr>
                  <w:rFonts w:ascii="Times New Roman" w:hAnsi="Times New Roman"/>
                  <w:b/>
                  <w:bCs w:val="0"/>
                  <w:szCs w:val="22"/>
                  <w:lang w:val="cs-CZ"/>
                </w:rPr>
                <w:delText>Humira 40</w:delText>
              </w:r>
              <w:r w:rsidR="00294902">
                <w:rPr>
                  <w:rFonts w:ascii="Times New Roman" w:hAnsi="Times New Roman"/>
                  <w:b/>
                  <w:bCs w:val="0"/>
                  <w:szCs w:val="22"/>
                  <w:lang w:val="cs-CZ"/>
                </w:rPr>
                <w:delText> mg</w:delText>
              </w:r>
              <w:r w:rsidRPr="001B4A02">
                <w:rPr>
                  <w:rFonts w:ascii="Times New Roman" w:hAnsi="Times New Roman"/>
                  <w:b/>
                  <w:bCs w:val="0"/>
                  <w:szCs w:val="22"/>
                  <w:lang w:val="cs-CZ"/>
                </w:rPr>
                <w:delText xml:space="preserve"> každý druhý týden</w:delText>
              </w:r>
            </w:del>
          </w:p>
          <w:p w14:paraId="1D3567DF" w14:textId="77777777" w:rsidR="00AE574B" w:rsidRPr="001B4A02" w:rsidRDefault="00000000" w:rsidP="00603F6E">
            <w:pPr>
              <w:pStyle w:val="DefaultText"/>
              <w:keepNext/>
              <w:jc w:val="center"/>
              <w:rPr>
                <w:del w:id="6508" w:author="AbbVie1" w:date="2025-05-13T09:50:00Z"/>
                <w:rFonts w:ascii="Times New Roman" w:hAnsi="Times New Roman"/>
                <w:b/>
                <w:bCs w:val="0"/>
                <w:szCs w:val="22"/>
                <w:lang w:val="cs-CZ"/>
              </w:rPr>
            </w:pPr>
            <w:del w:id="6509" w:author="AbbVie1" w:date="2025-05-13T09:50:00Z">
              <w:r>
                <w:rPr>
                  <w:rFonts w:ascii="Times New Roman" w:hAnsi="Times New Roman"/>
                  <w:b/>
                  <w:bCs w:val="0"/>
                  <w:szCs w:val="22"/>
                  <w:lang w:val="cs-CZ"/>
                </w:rPr>
                <w:delText>n</w:delText>
              </w:r>
              <w:r w:rsidRPr="001B4A02">
                <w:rPr>
                  <w:rFonts w:ascii="Times New Roman" w:hAnsi="Times New Roman"/>
                  <w:b/>
                  <w:bCs w:val="0"/>
                  <w:szCs w:val="22"/>
                  <w:lang w:val="cs-CZ"/>
                </w:rPr>
                <w:delText>=814</w:delText>
              </w:r>
            </w:del>
          </w:p>
          <w:p w14:paraId="24DE9494" w14:textId="77777777" w:rsidR="00AE574B" w:rsidRPr="001B4A02" w:rsidRDefault="00000000" w:rsidP="00603F6E">
            <w:pPr>
              <w:pStyle w:val="DefaultText"/>
              <w:keepNext/>
              <w:jc w:val="center"/>
              <w:rPr>
                <w:del w:id="6510" w:author="AbbVie1" w:date="2025-05-13T09:50:00Z"/>
                <w:rFonts w:ascii="Times New Roman" w:hAnsi="Times New Roman"/>
                <w:b/>
                <w:bCs w:val="0"/>
                <w:szCs w:val="22"/>
                <w:lang w:val="cs-CZ"/>
              </w:rPr>
            </w:pPr>
            <w:del w:id="6511" w:author="AbbVie1" w:date="2025-05-13T09:50:00Z">
              <w:r w:rsidRPr="001B4A02">
                <w:rPr>
                  <w:rFonts w:ascii="Times New Roman" w:hAnsi="Times New Roman"/>
                  <w:b/>
                  <w:bCs w:val="0"/>
                  <w:szCs w:val="22"/>
                  <w:lang w:val="cs-CZ"/>
                </w:rPr>
                <w:delText>n (%)</w:delText>
              </w:r>
            </w:del>
          </w:p>
        </w:tc>
      </w:tr>
      <w:tr w:rsidR="00534A2D" w14:paraId="776DB7E1" w14:textId="77777777" w:rsidTr="008D783A">
        <w:trPr>
          <w:trHeight w:val="261"/>
          <w:jc w:val="center"/>
          <w:del w:id="6512" w:author="AbbVie1" w:date="2025-05-13T09:50:00Z"/>
        </w:trPr>
        <w:tc>
          <w:tcPr>
            <w:tcW w:w="2298" w:type="dxa"/>
            <w:tcBorders>
              <w:top w:val="single" w:sz="4" w:space="0" w:color="auto"/>
              <w:left w:val="single" w:sz="4" w:space="0" w:color="auto"/>
              <w:bottom w:val="single" w:sz="4" w:space="0" w:color="auto"/>
              <w:right w:val="single" w:sz="4" w:space="0" w:color="auto"/>
            </w:tcBorders>
          </w:tcPr>
          <w:p w14:paraId="5A0800D6" w14:textId="77777777" w:rsidR="00AE574B" w:rsidRPr="001B4A02" w:rsidRDefault="00000000" w:rsidP="00603F6E">
            <w:pPr>
              <w:pStyle w:val="DefaultText"/>
              <w:keepNext/>
              <w:rPr>
                <w:del w:id="6513" w:author="AbbVie1" w:date="2025-05-13T09:50:00Z"/>
                <w:rFonts w:ascii="Times New Roman" w:hAnsi="Times New Roman"/>
                <w:b/>
                <w:bCs w:val="0"/>
                <w:szCs w:val="22"/>
                <w:lang w:val="cs-CZ"/>
              </w:rPr>
            </w:pPr>
            <w:del w:id="6514" w:author="AbbVie1" w:date="2025-05-13T09:50:00Z">
              <w:r w:rsidRPr="001B4A02">
                <w:rPr>
                  <w:rFonts w:ascii="Symbol" w:hAnsi="Symbol"/>
                  <w:b/>
                  <w:lang w:val="cs-CZ"/>
                </w:rPr>
                <w:sym w:font="Symbol" w:char="F0B3"/>
              </w:r>
              <w:r w:rsidRPr="001B4A02">
                <w:rPr>
                  <w:rFonts w:ascii="Times New Roman" w:hAnsi="Times New Roman"/>
                  <w:b/>
                  <w:lang w:val="cs-CZ"/>
                </w:rPr>
                <w:delText xml:space="preserve"> </w:delText>
              </w:r>
              <w:r w:rsidRPr="001B4A02">
                <w:rPr>
                  <w:rFonts w:ascii="Times New Roman" w:hAnsi="Times New Roman"/>
                  <w:b/>
                  <w:bCs w:val="0"/>
                  <w:szCs w:val="22"/>
                  <w:lang w:val="cs-CZ"/>
                </w:rPr>
                <w:delText>PASI 75</w:delText>
              </w:r>
              <w:r w:rsidRPr="001B4A02">
                <w:rPr>
                  <w:rFonts w:ascii="Times New Roman" w:hAnsi="Times New Roman"/>
                  <w:b/>
                  <w:bCs w:val="0"/>
                  <w:szCs w:val="22"/>
                  <w:vertAlign w:val="superscript"/>
                  <w:lang w:val="cs-CZ"/>
                </w:rPr>
                <w:delText>a</w:delText>
              </w:r>
            </w:del>
          </w:p>
        </w:tc>
        <w:tc>
          <w:tcPr>
            <w:tcW w:w="2814" w:type="dxa"/>
            <w:tcBorders>
              <w:top w:val="single" w:sz="4" w:space="0" w:color="auto"/>
              <w:left w:val="single" w:sz="4" w:space="0" w:color="auto"/>
              <w:bottom w:val="single" w:sz="4" w:space="0" w:color="auto"/>
              <w:right w:val="single" w:sz="4" w:space="0" w:color="auto"/>
            </w:tcBorders>
          </w:tcPr>
          <w:p w14:paraId="0014F10E" w14:textId="77777777" w:rsidR="00AE574B" w:rsidRPr="001B4A02" w:rsidRDefault="00000000" w:rsidP="00603F6E">
            <w:pPr>
              <w:pStyle w:val="DefaultText"/>
              <w:keepNext/>
              <w:jc w:val="center"/>
              <w:rPr>
                <w:del w:id="6515" w:author="AbbVie1" w:date="2025-05-13T09:50:00Z"/>
                <w:rFonts w:ascii="Times New Roman" w:hAnsi="Times New Roman"/>
                <w:szCs w:val="22"/>
                <w:lang w:val="cs-CZ"/>
              </w:rPr>
            </w:pPr>
            <w:del w:id="6516" w:author="AbbVie1" w:date="2025-05-13T09:50:00Z">
              <w:r w:rsidRPr="001B4A02">
                <w:rPr>
                  <w:rFonts w:ascii="Times New Roman" w:hAnsi="Times New Roman"/>
                  <w:szCs w:val="22"/>
                  <w:lang w:val="cs-CZ"/>
                </w:rPr>
                <w:delText>26 (6,5)</w:delText>
              </w:r>
            </w:del>
          </w:p>
        </w:tc>
        <w:tc>
          <w:tcPr>
            <w:tcW w:w="3450" w:type="dxa"/>
            <w:tcBorders>
              <w:top w:val="single" w:sz="4" w:space="0" w:color="auto"/>
              <w:left w:val="single" w:sz="4" w:space="0" w:color="auto"/>
              <w:bottom w:val="single" w:sz="4" w:space="0" w:color="auto"/>
              <w:right w:val="single" w:sz="4" w:space="0" w:color="auto"/>
            </w:tcBorders>
          </w:tcPr>
          <w:p w14:paraId="3E705B5C" w14:textId="77777777" w:rsidR="00AE574B" w:rsidRPr="001B4A02" w:rsidRDefault="00000000" w:rsidP="00603F6E">
            <w:pPr>
              <w:pStyle w:val="DefaultText"/>
              <w:keepNext/>
              <w:jc w:val="center"/>
              <w:rPr>
                <w:del w:id="6517" w:author="AbbVie1" w:date="2025-05-13T09:50:00Z"/>
                <w:rFonts w:ascii="Times New Roman" w:hAnsi="Times New Roman"/>
                <w:szCs w:val="22"/>
                <w:lang w:val="cs-CZ"/>
              </w:rPr>
            </w:pPr>
            <w:del w:id="6518" w:author="AbbVie1" w:date="2025-05-13T09:50:00Z">
              <w:r w:rsidRPr="001B4A02">
                <w:rPr>
                  <w:rFonts w:ascii="Times New Roman" w:hAnsi="Times New Roman"/>
                  <w:szCs w:val="22"/>
                  <w:lang w:val="cs-CZ"/>
                </w:rPr>
                <w:delText>578 (70,9)</w:delText>
              </w:r>
              <w:r w:rsidRPr="001B4A02">
                <w:rPr>
                  <w:rFonts w:ascii="Times New Roman" w:hAnsi="Times New Roman"/>
                  <w:szCs w:val="22"/>
                  <w:vertAlign w:val="superscript"/>
                  <w:lang w:val="cs-CZ"/>
                </w:rPr>
                <w:delText>b</w:delText>
              </w:r>
            </w:del>
          </w:p>
        </w:tc>
      </w:tr>
      <w:tr w:rsidR="00534A2D" w14:paraId="2D2253DE" w14:textId="77777777" w:rsidTr="008D783A">
        <w:trPr>
          <w:trHeight w:val="72"/>
          <w:jc w:val="center"/>
          <w:del w:id="6519" w:author="AbbVie1" w:date="2025-05-13T09:50:00Z"/>
        </w:trPr>
        <w:tc>
          <w:tcPr>
            <w:tcW w:w="2298" w:type="dxa"/>
            <w:tcBorders>
              <w:top w:val="single" w:sz="4" w:space="0" w:color="auto"/>
              <w:left w:val="single" w:sz="4" w:space="0" w:color="auto"/>
              <w:bottom w:val="single" w:sz="4" w:space="0" w:color="auto"/>
              <w:right w:val="single" w:sz="4" w:space="0" w:color="auto"/>
            </w:tcBorders>
          </w:tcPr>
          <w:p w14:paraId="473429F3" w14:textId="77777777" w:rsidR="00AE574B" w:rsidRPr="001B4A02" w:rsidRDefault="00000000" w:rsidP="00603F6E">
            <w:pPr>
              <w:pStyle w:val="DefaultText"/>
              <w:keepNext/>
              <w:rPr>
                <w:del w:id="6520" w:author="AbbVie1" w:date="2025-05-13T09:50:00Z"/>
                <w:rFonts w:ascii="Times New Roman" w:hAnsi="Times New Roman"/>
                <w:b/>
                <w:bCs w:val="0"/>
                <w:szCs w:val="22"/>
                <w:lang w:val="cs-CZ"/>
              </w:rPr>
            </w:pPr>
            <w:del w:id="6521" w:author="AbbVie1" w:date="2025-05-13T09:50:00Z">
              <w:r w:rsidRPr="001B4A02">
                <w:rPr>
                  <w:rFonts w:ascii="Times New Roman" w:hAnsi="Times New Roman"/>
                  <w:b/>
                  <w:bCs w:val="0"/>
                  <w:szCs w:val="22"/>
                  <w:lang w:val="cs-CZ"/>
                </w:rPr>
                <w:delText>PASI 100</w:delText>
              </w:r>
            </w:del>
          </w:p>
        </w:tc>
        <w:tc>
          <w:tcPr>
            <w:tcW w:w="2814" w:type="dxa"/>
            <w:tcBorders>
              <w:top w:val="single" w:sz="4" w:space="0" w:color="auto"/>
              <w:left w:val="single" w:sz="4" w:space="0" w:color="auto"/>
              <w:bottom w:val="single" w:sz="4" w:space="0" w:color="auto"/>
              <w:right w:val="single" w:sz="4" w:space="0" w:color="auto"/>
            </w:tcBorders>
          </w:tcPr>
          <w:p w14:paraId="373A28D1" w14:textId="77777777" w:rsidR="00AE574B" w:rsidRPr="001B4A02" w:rsidRDefault="00000000" w:rsidP="00603F6E">
            <w:pPr>
              <w:pStyle w:val="DefaultText"/>
              <w:keepNext/>
              <w:jc w:val="center"/>
              <w:rPr>
                <w:del w:id="6522" w:author="AbbVie1" w:date="2025-05-13T09:50:00Z"/>
                <w:rFonts w:ascii="Times New Roman" w:hAnsi="Times New Roman"/>
                <w:szCs w:val="22"/>
                <w:lang w:val="cs-CZ"/>
              </w:rPr>
            </w:pPr>
            <w:del w:id="6523" w:author="AbbVie1" w:date="2025-05-13T09:50:00Z">
              <w:r w:rsidRPr="001B4A02">
                <w:rPr>
                  <w:rFonts w:ascii="Times New Roman" w:hAnsi="Times New Roman"/>
                  <w:szCs w:val="22"/>
                  <w:lang w:val="cs-CZ"/>
                </w:rPr>
                <w:delText>3 (0,8)</w:delText>
              </w:r>
            </w:del>
          </w:p>
        </w:tc>
        <w:tc>
          <w:tcPr>
            <w:tcW w:w="3450" w:type="dxa"/>
            <w:tcBorders>
              <w:top w:val="single" w:sz="4" w:space="0" w:color="auto"/>
              <w:left w:val="single" w:sz="4" w:space="0" w:color="auto"/>
              <w:bottom w:val="single" w:sz="4" w:space="0" w:color="auto"/>
              <w:right w:val="single" w:sz="4" w:space="0" w:color="auto"/>
            </w:tcBorders>
          </w:tcPr>
          <w:p w14:paraId="4D3CB616" w14:textId="77777777" w:rsidR="00AE574B" w:rsidRPr="001B4A02" w:rsidRDefault="00000000" w:rsidP="00603F6E">
            <w:pPr>
              <w:pStyle w:val="DefaultText"/>
              <w:keepNext/>
              <w:jc w:val="center"/>
              <w:rPr>
                <w:del w:id="6524" w:author="AbbVie1" w:date="2025-05-13T09:50:00Z"/>
                <w:rFonts w:ascii="Times New Roman" w:hAnsi="Times New Roman"/>
                <w:szCs w:val="22"/>
                <w:lang w:val="cs-CZ"/>
              </w:rPr>
            </w:pPr>
            <w:del w:id="6525" w:author="AbbVie1" w:date="2025-05-13T09:50:00Z">
              <w:r w:rsidRPr="001B4A02">
                <w:rPr>
                  <w:rFonts w:ascii="Times New Roman" w:hAnsi="Times New Roman"/>
                  <w:szCs w:val="22"/>
                  <w:lang w:val="cs-CZ"/>
                </w:rPr>
                <w:delText>163 (20,0)</w:delText>
              </w:r>
              <w:r w:rsidRPr="001B4A02">
                <w:rPr>
                  <w:rFonts w:ascii="Times New Roman" w:hAnsi="Times New Roman"/>
                  <w:szCs w:val="22"/>
                  <w:vertAlign w:val="superscript"/>
                  <w:lang w:val="cs-CZ"/>
                </w:rPr>
                <w:delText>b</w:delText>
              </w:r>
            </w:del>
          </w:p>
        </w:tc>
      </w:tr>
      <w:tr w:rsidR="00534A2D" w14:paraId="2A2C6B8F" w14:textId="77777777" w:rsidTr="008D783A">
        <w:trPr>
          <w:trHeight w:val="261"/>
          <w:jc w:val="center"/>
          <w:del w:id="6526" w:author="AbbVie1" w:date="2025-05-13T09:50:00Z"/>
        </w:trPr>
        <w:tc>
          <w:tcPr>
            <w:tcW w:w="2298" w:type="dxa"/>
            <w:tcBorders>
              <w:top w:val="single" w:sz="4" w:space="0" w:color="auto"/>
              <w:left w:val="single" w:sz="4" w:space="0" w:color="auto"/>
              <w:bottom w:val="single" w:sz="4" w:space="0" w:color="auto"/>
              <w:right w:val="single" w:sz="4" w:space="0" w:color="auto"/>
            </w:tcBorders>
          </w:tcPr>
          <w:p w14:paraId="18F83861" w14:textId="77777777" w:rsidR="00AE574B" w:rsidRPr="001B4A02" w:rsidRDefault="00000000" w:rsidP="00603F6E">
            <w:pPr>
              <w:pStyle w:val="DefaultText"/>
              <w:keepNext/>
              <w:rPr>
                <w:del w:id="6527" w:author="AbbVie1" w:date="2025-05-13T09:50:00Z"/>
                <w:rFonts w:ascii="Times New Roman" w:hAnsi="Times New Roman"/>
                <w:b/>
                <w:bCs w:val="0"/>
                <w:szCs w:val="22"/>
                <w:lang w:val="cs-CZ"/>
              </w:rPr>
            </w:pPr>
            <w:del w:id="6528" w:author="AbbVie1" w:date="2025-05-13T09:50:00Z">
              <w:r w:rsidRPr="001B4A02">
                <w:rPr>
                  <w:rFonts w:ascii="Times New Roman" w:hAnsi="Times New Roman"/>
                  <w:b/>
                  <w:bCs w:val="0"/>
                  <w:szCs w:val="22"/>
                  <w:lang w:val="cs-CZ"/>
                </w:rPr>
                <w:delText>PGA: čistý/minimální</w:delText>
              </w:r>
            </w:del>
          </w:p>
        </w:tc>
        <w:tc>
          <w:tcPr>
            <w:tcW w:w="2814" w:type="dxa"/>
            <w:tcBorders>
              <w:top w:val="single" w:sz="4" w:space="0" w:color="auto"/>
              <w:left w:val="single" w:sz="4" w:space="0" w:color="auto"/>
              <w:bottom w:val="single" w:sz="4" w:space="0" w:color="auto"/>
              <w:right w:val="single" w:sz="4" w:space="0" w:color="auto"/>
            </w:tcBorders>
          </w:tcPr>
          <w:p w14:paraId="059794B8" w14:textId="77777777" w:rsidR="00AE574B" w:rsidRPr="001B4A02" w:rsidRDefault="00000000" w:rsidP="00603F6E">
            <w:pPr>
              <w:pStyle w:val="DefaultText"/>
              <w:keepNext/>
              <w:jc w:val="center"/>
              <w:rPr>
                <w:del w:id="6529" w:author="AbbVie1" w:date="2025-05-13T09:50:00Z"/>
                <w:rFonts w:ascii="Times New Roman" w:hAnsi="Times New Roman"/>
                <w:szCs w:val="22"/>
                <w:lang w:val="cs-CZ"/>
              </w:rPr>
            </w:pPr>
            <w:del w:id="6530" w:author="AbbVie1" w:date="2025-05-13T09:50:00Z">
              <w:r w:rsidRPr="001B4A02">
                <w:rPr>
                  <w:rFonts w:ascii="Times New Roman" w:hAnsi="Times New Roman"/>
                  <w:szCs w:val="22"/>
                  <w:lang w:val="cs-CZ"/>
                </w:rPr>
                <w:delText>17 (4</w:delText>
              </w:r>
              <w:r w:rsidR="00D1714F" w:rsidRPr="001B4A02">
                <w:rPr>
                  <w:rFonts w:ascii="Times New Roman" w:hAnsi="Times New Roman"/>
                  <w:szCs w:val="22"/>
                  <w:lang w:val="cs-CZ"/>
                </w:rPr>
                <w:delText>,</w:delText>
              </w:r>
              <w:r w:rsidRPr="001B4A02">
                <w:rPr>
                  <w:rFonts w:ascii="Times New Roman" w:hAnsi="Times New Roman"/>
                  <w:szCs w:val="22"/>
                  <w:lang w:val="cs-CZ"/>
                </w:rPr>
                <w:delText>3)</w:delText>
              </w:r>
            </w:del>
          </w:p>
        </w:tc>
        <w:tc>
          <w:tcPr>
            <w:tcW w:w="3450" w:type="dxa"/>
            <w:tcBorders>
              <w:top w:val="single" w:sz="4" w:space="0" w:color="auto"/>
              <w:left w:val="single" w:sz="4" w:space="0" w:color="auto"/>
              <w:bottom w:val="single" w:sz="4" w:space="0" w:color="auto"/>
              <w:right w:val="single" w:sz="4" w:space="0" w:color="auto"/>
            </w:tcBorders>
          </w:tcPr>
          <w:p w14:paraId="23310228" w14:textId="77777777" w:rsidR="00AE574B" w:rsidRPr="001B4A02" w:rsidRDefault="00000000" w:rsidP="00603F6E">
            <w:pPr>
              <w:pStyle w:val="DefaultText"/>
              <w:keepNext/>
              <w:jc w:val="center"/>
              <w:rPr>
                <w:del w:id="6531" w:author="AbbVie1" w:date="2025-05-13T09:50:00Z"/>
                <w:rFonts w:ascii="Times New Roman" w:hAnsi="Times New Roman"/>
                <w:szCs w:val="22"/>
                <w:lang w:val="cs-CZ"/>
              </w:rPr>
            </w:pPr>
            <w:del w:id="6532" w:author="AbbVie1" w:date="2025-05-13T09:50:00Z">
              <w:r w:rsidRPr="001B4A02">
                <w:rPr>
                  <w:rFonts w:ascii="Times New Roman" w:hAnsi="Times New Roman"/>
                  <w:szCs w:val="22"/>
                  <w:lang w:val="cs-CZ"/>
                </w:rPr>
                <w:delText>506 (62,2)</w:delText>
              </w:r>
              <w:r w:rsidRPr="001B4A02">
                <w:rPr>
                  <w:rFonts w:ascii="Times New Roman" w:hAnsi="Times New Roman"/>
                  <w:szCs w:val="22"/>
                  <w:vertAlign w:val="superscript"/>
                  <w:lang w:val="cs-CZ"/>
                </w:rPr>
                <w:delText>b</w:delText>
              </w:r>
            </w:del>
          </w:p>
        </w:tc>
      </w:tr>
      <w:tr w:rsidR="00534A2D" w14:paraId="6749066C" w14:textId="77777777" w:rsidTr="008D783A">
        <w:trPr>
          <w:trHeight w:val="20"/>
          <w:jc w:val="center"/>
          <w:del w:id="6533" w:author="AbbVie1" w:date="2025-05-13T09:50:00Z"/>
        </w:trPr>
        <w:tc>
          <w:tcPr>
            <w:tcW w:w="8562" w:type="dxa"/>
            <w:gridSpan w:val="3"/>
            <w:tcBorders>
              <w:top w:val="single" w:sz="4" w:space="0" w:color="auto"/>
              <w:left w:val="single" w:sz="4" w:space="0" w:color="auto"/>
              <w:bottom w:val="single" w:sz="4" w:space="0" w:color="auto"/>
              <w:right w:val="single" w:sz="4" w:space="0" w:color="auto"/>
            </w:tcBorders>
          </w:tcPr>
          <w:p w14:paraId="05271B2E" w14:textId="77777777" w:rsidR="00AE574B" w:rsidRPr="001B4A02" w:rsidRDefault="00000000" w:rsidP="00603F6E">
            <w:pPr>
              <w:pStyle w:val="DefaultText"/>
              <w:keepNext/>
              <w:rPr>
                <w:del w:id="6534" w:author="AbbVie1" w:date="2025-05-13T09:50:00Z"/>
                <w:rFonts w:ascii="Times New Roman" w:hAnsi="Times New Roman"/>
                <w:sz w:val="20"/>
                <w:lang w:val="cs-CZ"/>
              </w:rPr>
            </w:pPr>
            <w:del w:id="6535" w:author="AbbVie1" w:date="2025-05-13T09:50:00Z">
              <w:r w:rsidRPr="001B4A02">
                <w:rPr>
                  <w:rFonts w:ascii="Times New Roman" w:hAnsi="Times New Roman"/>
                  <w:sz w:val="20"/>
                  <w:vertAlign w:val="superscript"/>
                  <w:lang w:val="cs-CZ"/>
                </w:rPr>
                <w:delText>a</w:delText>
              </w:r>
              <w:r w:rsidRPr="001B4A02">
                <w:rPr>
                  <w:rFonts w:ascii="Times New Roman" w:hAnsi="Times New Roman"/>
                  <w:sz w:val="20"/>
                  <w:lang w:val="cs-CZ"/>
                </w:rPr>
                <w:delText xml:space="preserve"> Procento pacientů, kteří dosáhli PASI75, bylo vypočteno jako střední průměr hodnot</w:delText>
              </w:r>
            </w:del>
          </w:p>
          <w:p w14:paraId="484A591A" w14:textId="77777777" w:rsidR="00AE574B" w:rsidRPr="001B4A02" w:rsidRDefault="00000000" w:rsidP="00603F6E">
            <w:pPr>
              <w:pStyle w:val="DefaultText"/>
              <w:keepNext/>
              <w:rPr>
                <w:del w:id="6536" w:author="AbbVie1" w:date="2025-05-13T09:50:00Z"/>
                <w:rFonts w:ascii="Times New Roman" w:hAnsi="Times New Roman"/>
                <w:szCs w:val="22"/>
                <w:lang w:val="cs-CZ"/>
              </w:rPr>
            </w:pPr>
            <w:del w:id="6537" w:author="AbbVie1" w:date="2025-05-13T09:50:00Z">
              <w:r w:rsidRPr="001B4A02">
                <w:rPr>
                  <w:rFonts w:ascii="Times New Roman" w:hAnsi="Times New Roman"/>
                  <w:sz w:val="20"/>
                  <w:vertAlign w:val="superscript"/>
                  <w:lang w:val="cs-CZ"/>
                </w:rPr>
                <w:delText>b</w:delText>
              </w:r>
              <w:r w:rsidRPr="001B4A02">
                <w:rPr>
                  <w:rFonts w:ascii="Times New Roman" w:hAnsi="Times New Roman"/>
                  <w:sz w:val="20"/>
                  <w:lang w:val="cs-CZ"/>
                </w:rPr>
                <w:delText xml:space="preserve"> p&lt;0</w:delText>
              </w:r>
              <w:r w:rsidR="007375A0" w:rsidRPr="001B4A02">
                <w:rPr>
                  <w:rFonts w:ascii="Times New Roman" w:hAnsi="Times New Roman"/>
                  <w:sz w:val="20"/>
                  <w:lang w:val="cs-CZ"/>
                </w:rPr>
                <w:delText>,</w:delText>
              </w:r>
              <w:r w:rsidRPr="001B4A02">
                <w:rPr>
                  <w:rFonts w:ascii="Times New Roman" w:hAnsi="Times New Roman"/>
                  <w:sz w:val="20"/>
                  <w:lang w:val="cs-CZ"/>
                </w:rPr>
                <w:delText xml:space="preserve">001, </w:delText>
              </w:r>
              <w:r w:rsidR="004C58C9" w:rsidRPr="001B4A02">
                <w:rPr>
                  <w:rFonts w:ascii="Times New Roman" w:hAnsi="Times New Roman"/>
                  <w:sz w:val="20"/>
                  <w:lang w:val="cs-CZ"/>
                </w:rPr>
                <w:delText>p</w:delText>
              </w:r>
              <w:r w:rsidR="00F67928" w:rsidRPr="001B4A02">
                <w:rPr>
                  <w:rFonts w:ascii="Times New Roman" w:hAnsi="Times New Roman"/>
                  <w:sz w:val="20"/>
                  <w:lang w:val="cs-CZ"/>
                </w:rPr>
                <w:delText xml:space="preserve">řípravek </w:delText>
              </w:r>
              <w:r w:rsidRPr="001B4A02">
                <w:rPr>
                  <w:rFonts w:ascii="Times New Roman" w:hAnsi="Times New Roman"/>
                  <w:sz w:val="20"/>
                  <w:lang w:val="cs-CZ"/>
                </w:rPr>
                <w:delText xml:space="preserve">Humira vs. </w:delText>
              </w:r>
              <w:r w:rsidR="008B0D08" w:rsidRPr="001B4A02">
                <w:rPr>
                  <w:rFonts w:ascii="Times New Roman" w:hAnsi="Times New Roman"/>
                  <w:sz w:val="20"/>
                  <w:lang w:val="cs-CZ"/>
                </w:rPr>
                <w:delText>p</w:delText>
              </w:r>
              <w:r w:rsidRPr="001B4A02">
                <w:rPr>
                  <w:rFonts w:ascii="Times New Roman" w:hAnsi="Times New Roman"/>
                  <w:sz w:val="20"/>
                  <w:lang w:val="cs-CZ"/>
                </w:rPr>
                <w:delText>lacebo</w:delText>
              </w:r>
            </w:del>
          </w:p>
        </w:tc>
      </w:tr>
    </w:tbl>
    <w:p w14:paraId="77883E1D" w14:textId="77777777" w:rsidR="00D530FE" w:rsidRPr="001B4A02" w:rsidRDefault="00D530FE" w:rsidP="00ED48A3">
      <w:pPr>
        <w:rPr>
          <w:del w:id="6538" w:author="AbbVie1" w:date="2025-05-13T09:50:00Z"/>
        </w:rPr>
      </w:pPr>
    </w:p>
    <w:tbl>
      <w:tblPr>
        <w:tblW w:w="862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86"/>
        <w:gridCol w:w="1360"/>
        <w:gridCol w:w="1418"/>
        <w:gridCol w:w="3460"/>
      </w:tblGrid>
      <w:tr w:rsidR="00534A2D" w14:paraId="27A0FEE6" w14:textId="77777777" w:rsidTr="008D783A">
        <w:trPr>
          <w:trHeight w:val="527"/>
          <w:jc w:val="center"/>
          <w:del w:id="6539" w:author="AbbVie1" w:date="2025-05-13T09:50:00Z"/>
        </w:trPr>
        <w:tc>
          <w:tcPr>
            <w:tcW w:w="8624" w:type="dxa"/>
            <w:gridSpan w:val="4"/>
            <w:tcBorders>
              <w:top w:val="nil"/>
              <w:left w:val="nil"/>
              <w:bottom w:val="single" w:sz="4" w:space="0" w:color="auto"/>
              <w:right w:val="nil"/>
            </w:tcBorders>
          </w:tcPr>
          <w:p w14:paraId="40C3D96B" w14:textId="77777777" w:rsidR="003F4B5B" w:rsidRPr="001B4A02" w:rsidRDefault="00000000" w:rsidP="00CE5DAE">
            <w:pPr>
              <w:pStyle w:val="DefaultText"/>
              <w:keepNext/>
              <w:jc w:val="center"/>
              <w:rPr>
                <w:del w:id="6540" w:author="AbbVie1" w:date="2025-05-13T09:50:00Z"/>
                <w:rFonts w:ascii="Times New Roman" w:hAnsi="Times New Roman"/>
                <w:b/>
                <w:bCs w:val="0"/>
                <w:szCs w:val="22"/>
                <w:lang w:val="cs-CZ"/>
              </w:rPr>
            </w:pPr>
            <w:del w:id="6541" w:author="AbbVie1" w:date="2025-05-13T09:50:00Z">
              <w:r w:rsidRPr="001B4A02">
                <w:rPr>
                  <w:rFonts w:ascii="Times New Roman" w:hAnsi="Times New Roman"/>
                  <w:b/>
                  <w:bCs w:val="0"/>
                  <w:szCs w:val="22"/>
                  <w:lang w:val="cs-CZ"/>
                </w:rPr>
                <w:delText xml:space="preserve">Tabulka </w:delText>
              </w:r>
              <w:r w:rsidR="00CC1B29">
                <w:rPr>
                  <w:rFonts w:ascii="Times New Roman" w:hAnsi="Times New Roman"/>
                  <w:b/>
                  <w:bCs w:val="0"/>
                  <w:szCs w:val="22"/>
                  <w:lang w:val="cs-CZ"/>
                </w:rPr>
                <w:delText>17</w:delText>
              </w:r>
            </w:del>
          </w:p>
          <w:p w14:paraId="3478B384" w14:textId="77777777" w:rsidR="00AE574B" w:rsidRPr="001B4A02" w:rsidRDefault="00000000" w:rsidP="00CE5DAE">
            <w:pPr>
              <w:pStyle w:val="DefaultText"/>
              <w:keepNext/>
              <w:jc w:val="center"/>
              <w:rPr>
                <w:del w:id="6542" w:author="AbbVie1" w:date="2025-05-13T09:50:00Z"/>
                <w:rFonts w:ascii="Times New Roman" w:hAnsi="Times New Roman"/>
                <w:b/>
                <w:bCs w:val="0"/>
                <w:szCs w:val="22"/>
                <w:lang w:val="cs-CZ"/>
              </w:rPr>
            </w:pPr>
            <w:del w:id="6543" w:author="AbbVie1" w:date="2025-05-13T09:50:00Z">
              <w:r w:rsidRPr="001B4A02">
                <w:rPr>
                  <w:rFonts w:ascii="Times New Roman" w:hAnsi="Times New Roman"/>
                  <w:b/>
                  <w:bCs w:val="0"/>
                  <w:szCs w:val="22"/>
                  <w:lang w:val="cs-CZ"/>
                </w:rPr>
                <w:delText>Studie Ps II (CHAMPION)</w:delText>
              </w:r>
            </w:del>
          </w:p>
          <w:p w14:paraId="158B9A09" w14:textId="77777777" w:rsidR="00AE574B" w:rsidRPr="001B4A02" w:rsidRDefault="00000000" w:rsidP="00CE5DAE">
            <w:pPr>
              <w:pStyle w:val="DefaultText"/>
              <w:keepNext/>
              <w:jc w:val="center"/>
              <w:rPr>
                <w:del w:id="6544" w:author="AbbVie1" w:date="2025-05-13T09:50:00Z"/>
                <w:rFonts w:ascii="Times New Roman" w:hAnsi="Times New Roman"/>
                <w:szCs w:val="22"/>
                <w:u w:val="single"/>
                <w:lang w:val="cs-CZ"/>
              </w:rPr>
            </w:pPr>
            <w:del w:id="6545" w:author="AbbVie1" w:date="2025-05-13T09:50:00Z">
              <w:r w:rsidRPr="001B4A02">
                <w:rPr>
                  <w:rFonts w:ascii="Times New Roman" w:hAnsi="Times New Roman"/>
                  <w:b/>
                  <w:bCs w:val="0"/>
                  <w:szCs w:val="22"/>
                  <w:lang w:val="cs-CZ"/>
                </w:rPr>
                <w:delText>Výsledky účinnosti za 16 týdnů</w:delText>
              </w:r>
            </w:del>
          </w:p>
        </w:tc>
      </w:tr>
      <w:tr w:rsidR="00534A2D" w14:paraId="3ED49B91" w14:textId="77777777" w:rsidTr="008D783A">
        <w:trPr>
          <w:trHeight w:val="20"/>
          <w:jc w:val="center"/>
          <w:del w:id="6546" w:author="AbbVie1" w:date="2025-05-13T09:50:00Z"/>
        </w:trPr>
        <w:tc>
          <w:tcPr>
            <w:tcW w:w="2386" w:type="dxa"/>
            <w:tcBorders>
              <w:top w:val="single" w:sz="4" w:space="0" w:color="auto"/>
              <w:left w:val="single" w:sz="4" w:space="0" w:color="auto"/>
              <w:bottom w:val="single" w:sz="4" w:space="0" w:color="auto"/>
              <w:right w:val="single" w:sz="4" w:space="0" w:color="auto"/>
            </w:tcBorders>
          </w:tcPr>
          <w:p w14:paraId="665F76CC" w14:textId="77777777" w:rsidR="00AE574B" w:rsidRPr="001B4A02" w:rsidRDefault="00AE574B" w:rsidP="00ED48A3">
            <w:pPr>
              <w:pStyle w:val="DefaultText"/>
              <w:keepNext/>
              <w:jc w:val="center"/>
              <w:rPr>
                <w:del w:id="6547" w:author="AbbVie1" w:date="2025-05-13T09:50:00Z"/>
                <w:rFonts w:ascii="Times New Roman" w:hAnsi="Times New Roman"/>
                <w:b/>
                <w:bCs w:val="0"/>
                <w:szCs w:val="22"/>
                <w:lang w:val="cs-CZ"/>
              </w:rPr>
            </w:pPr>
          </w:p>
        </w:tc>
        <w:tc>
          <w:tcPr>
            <w:tcW w:w="1360" w:type="dxa"/>
            <w:tcBorders>
              <w:top w:val="single" w:sz="4" w:space="0" w:color="auto"/>
              <w:left w:val="single" w:sz="4" w:space="0" w:color="auto"/>
              <w:bottom w:val="single" w:sz="4" w:space="0" w:color="auto"/>
              <w:right w:val="single" w:sz="4" w:space="0" w:color="auto"/>
            </w:tcBorders>
            <w:vAlign w:val="center"/>
          </w:tcPr>
          <w:p w14:paraId="775D679E" w14:textId="77777777" w:rsidR="00AE574B" w:rsidRPr="001B4A02" w:rsidRDefault="00000000" w:rsidP="00ED48A3">
            <w:pPr>
              <w:pStyle w:val="DefaultText"/>
              <w:keepNext/>
              <w:jc w:val="center"/>
              <w:rPr>
                <w:del w:id="6548" w:author="AbbVie1" w:date="2025-05-13T09:50:00Z"/>
                <w:rFonts w:ascii="Times New Roman" w:hAnsi="Times New Roman"/>
                <w:b/>
                <w:bCs w:val="0"/>
                <w:szCs w:val="22"/>
                <w:lang w:val="cs-CZ"/>
              </w:rPr>
            </w:pPr>
            <w:del w:id="6549" w:author="AbbVie1" w:date="2025-05-13T09:50:00Z">
              <w:r w:rsidRPr="001B4A02">
                <w:rPr>
                  <w:rFonts w:ascii="Times New Roman" w:hAnsi="Times New Roman"/>
                  <w:b/>
                  <w:bCs w:val="0"/>
                  <w:szCs w:val="22"/>
                  <w:lang w:val="cs-CZ"/>
                </w:rPr>
                <w:delText>Placebo</w:delText>
              </w:r>
            </w:del>
          </w:p>
          <w:p w14:paraId="555D0DBC" w14:textId="77777777" w:rsidR="00AE574B" w:rsidRPr="001B4A02" w:rsidRDefault="00000000" w:rsidP="00ED48A3">
            <w:pPr>
              <w:pStyle w:val="DefaultText"/>
              <w:keepNext/>
              <w:jc w:val="center"/>
              <w:rPr>
                <w:del w:id="6550" w:author="AbbVie1" w:date="2025-05-13T09:50:00Z"/>
                <w:rFonts w:ascii="Times New Roman" w:hAnsi="Times New Roman"/>
                <w:b/>
                <w:bCs w:val="0"/>
                <w:szCs w:val="22"/>
                <w:lang w:val="cs-CZ"/>
              </w:rPr>
            </w:pPr>
            <w:del w:id="6551" w:author="AbbVie1" w:date="2025-05-13T09:50:00Z">
              <w:r>
                <w:rPr>
                  <w:rFonts w:ascii="Times New Roman" w:hAnsi="Times New Roman"/>
                  <w:b/>
                  <w:bCs w:val="0"/>
                  <w:szCs w:val="22"/>
                  <w:lang w:val="cs-CZ"/>
                </w:rPr>
                <w:delText>n</w:delText>
              </w:r>
              <w:r w:rsidRPr="001B4A02">
                <w:rPr>
                  <w:rFonts w:ascii="Times New Roman" w:hAnsi="Times New Roman"/>
                  <w:b/>
                  <w:bCs w:val="0"/>
                  <w:szCs w:val="22"/>
                  <w:lang w:val="cs-CZ"/>
                </w:rPr>
                <w:delText>=53</w:delText>
              </w:r>
            </w:del>
          </w:p>
          <w:p w14:paraId="6DE4D084" w14:textId="77777777" w:rsidR="00AE574B" w:rsidRPr="001B4A02" w:rsidRDefault="00000000" w:rsidP="00ED48A3">
            <w:pPr>
              <w:pStyle w:val="DefaultText"/>
              <w:keepNext/>
              <w:jc w:val="center"/>
              <w:rPr>
                <w:del w:id="6552" w:author="AbbVie1" w:date="2025-05-13T09:50:00Z"/>
                <w:rFonts w:ascii="Times New Roman" w:hAnsi="Times New Roman"/>
                <w:b/>
                <w:bCs w:val="0"/>
                <w:szCs w:val="22"/>
                <w:lang w:val="cs-CZ"/>
              </w:rPr>
            </w:pPr>
            <w:del w:id="6553" w:author="AbbVie1" w:date="2025-05-13T09:50:00Z">
              <w:r w:rsidRPr="001B4A02">
                <w:rPr>
                  <w:rFonts w:ascii="Times New Roman" w:hAnsi="Times New Roman"/>
                  <w:b/>
                  <w:bCs w:val="0"/>
                  <w:szCs w:val="22"/>
                  <w:lang w:val="cs-CZ"/>
                </w:rPr>
                <w:delText>n (%)</w:delText>
              </w:r>
            </w:del>
          </w:p>
        </w:tc>
        <w:tc>
          <w:tcPr>
            <w:tcW w:w="1418" w:type="dxa"/>
            <w:tcBorders>
              <w:top w:val="single" w:sz="4" w:space="0" w:color="auto"/>
              <w:left w:val="single" w:sz="4" w:space="0" w:color="auto"/>
              <w:bottom w:val="single" w:sz="4" w:space="0" w:color="auto"/>
              <w:right w:val="single" w:sz="4" w:space="0" w:color="auto"/>
            </w:tcBorders>
            <w:vAlign w:val="center"/>
          </w:tcPr>
          <w:p w14:paraId="7E205561" w14:textId="77777777" w:rsidR="00AE574B" w:rsidRPr="001B4A02" w:rsidRDefault="00000000" w:rsidP="00ED48A3">
            <w:pPr>
              <w:pStyle w:val="DefaultText"/>
              <w:keepNext/>
              <w:jc w:val="center"/>
              <w:rPr>
                <w:del w:id="6554" w:author="AbbVie1" w:date="2025-05-13T09:50:00Z"/>
                <w:rFonts w:ascii="Times New Roman" w:hAnsi="Times New Roman"/>
                <w:b/>
                <w:bCs w:val="0"/>
                <w:szCs w:val="22"/>
                <w:lang w:val="cs-CZ"/>
              </w:rPr>
            </w:pPr>
            <w:del w:id="6555" w:author="AbbVie1" w:date="2025-05-13T09:50:00Z">
              <w:r w:rsidRPr="001B4A02">
                <w:rPr>
                  <w:rFonts w:ascii="Times New Roman" w:hAnsi="Times New Roman"/>
                  <w:b/>
                  <w:bCs w:val="0"/>
                  <w:szCs w:val="22"/>
                  <w:lang w:val="cs-CZ"/>
                </w:rPr>
                <w:delText>MTX</w:delText>
              </w:r>
            </w:del>
          </w:p>
          <w:p w14:paraId="39786D24" w14:textId="77777777" w:rsidR="00AE574B" w:rsidRPr="001B4A02" w:rsidRDefault="00000000" w:rsidP="00ED48A3">
            <w:pPr>
              <w:pStyle w:val="DefaultText"/>
              <w:keepNext/>
              <w:jc w:val="center"/>
              <w:rPr>
                <w:del w:id="6556" w:author="AbbVie1" w:date="2025-05-13T09:50:00Z"/>
                <w:rFonts w:ascii="Times New Roman" w:hAnsi="Times New Roman"/>
                <w:b/>
                <w:bCs w:val="0"/>
                <w:szCs w:val="22"/>
                <w:lang w:val="cs-CZ"/>
              </w:rPr>
            </w:pPr>
            <w:del w:id="6557" w:author="AbbVie1" w:date="2025-05-13T09:50:00Z">
              <w:r>
                <w:rPr>
                  <w:rFonts w:ascii="Times New Roman" w:hAnsi="Times New Roman"/>
                  <w:b/>
                  <w:bCs w:val="0"/>
                  <w:szCs w:val="22"/>
                  <w:lang w:val="cs-CZ"/>
                </w:rPr>
                <w:delText>n</w:delText>
              </w:r>
              <w:r w:rsidRPr="001B4A02">
                <w:rPr>
                  <w:rFonts w:ascii="Times New Roman" w:hAnsi="Times New Roman"/>
                  <w:b/>
                  <w:bCs w:val="0"/>
                  <w:szCs w:val="22"/>
                  <w:lang w:val="cs-CZ"/>
                </w:rPr>
                <w:delText>=110</w:delText>
              </w:r>
            </w:del>
          </w:p>
          <w:p w14:paraId="5BFFBE24" w14:textId="77777777" w:rsidR="00AE574B" w:rsidRPr="001B4A02" w:rsidRDefault="00000000" w:rsidP="00ED48A3">
            <w:pPr>
              <w:pStyle w:val="DefaultText"/>
              <w:keepNext/>
              <w:jc w:val="center"/>
              <w:rPr>
                <w:del w:id="6558" w:author="AbbVie1" w:date="2025-05-13T09:50:00Z"/>
                <w:rFonts w:ascii="Times New Roman" w:hAnsi="Times New Roman"/>
                <w:b/>
                <w:bCs w:val="0"/>
                <w:szCs w:val="22"/>
                <w:lang w:val="cs-CZ"/>
              </w:rPr>
            </w:pPr>
            <w:del w:id="6559" w:author="AbbVie1" w:date="2025-05-13T09:50:00Z">
              <w:r w:rsidRPr="001B4A02">
                <w:rPr>
                  <w:rFonts w:ascii="Times New Roman" w:hAnsi="Times New Roman"/>
                  <w:b/>
                  <w:bCs w:val="0"/>
                  <w:szCs w:val="22"/>
                  <w:lang w:val="cs-CZ"/>
                </w:rPr>
                <w:delText>n (%)</w:delText>
              </w:r>
            </w:del>
          </w:p>
        </w:tc>
        <w:tc>
          <w:tcPr>
            <w:tcW w:w="3460" w:type="dxa"/>
            <w:tcBorders>
              <w:top w:val="single" w:sz="4" w:space="0" w:color="auto"/>
              <w:left w:val="single" w:sz="4" w:space="0" w:color="auto"/>
              <w:bottom w:val="single" w:sz="4" w:space="0" w:color="auto"/>
              <w:right w:val="single" w:sz="4" w:space="0" w:color="auto"/>
            </w:tcBorders>
            <w:vAlign w:val="center"/>
          </w:tcPr>
          <w:p w14:paraId="7D2E5087" w14:textId="77777777" w:rsidR="00382986" w:rsidRPr="001B4A02" w:rsidRDefault="00000000" w:rsidP="00ED48A3">
            <w:pPr>
              <w:pStyle w:val="DefaultText"/>
              <w:keepNext/>
              <w:jc w:val="center"/>
              <w:rPr>
                <w:del w:id="6560" w:author="AbbVie1" w:date="2025-05-13T09:50:00Z"/>
                <w:rFonts w:ascii="Times New Roman" w:hAnsi="Times New Roman"/>
                <w:b/>
                <w:bCs w:val="0"/>
                <w:szCs w:val="22"/>
                <w:lang w:val="cs-CZ"/>
              </w:rPr>
            </w:pPr>
            <w:del w:id="6561" w:author="AbbVie1" w:date="2025-05-13T09:50:00Z">
              <w:r w:rsidRPr="001B4A02">
                <w:rPr>
                  <w:rFonts w:ascii="Times New Roman" w:hAnsi="Times New Roman"/>
                  <w:b/>
                  <w:bCs w:val="0"/>
                  <w:szCs w:val="22"/>
                  <w:lang w:val="cs-CZ"/>
                </w:rPr>
                <w:delText>Humira 40</w:delText>
              </w:r>
              <w:r w:rsidR="00294902">
                <w:rPr>
                  <w:rFonts w:ascii="Times New Roman" w:hAnsi="Times New Roman"/>
                  <w:b/>
                  <w:bCs w:val="0"/>
                  <w:szCs w:val="22"/>
                  <w:lang w:val="cs-CZ"/>
                </w:rPr>
                <w:delText> mg</w:delText>
              </w:r>
              <w:r w:rsidRPr="001B4A02">
                <w:rPr>
                  <w:rFonts w:ascii="Times New Roman" w:hAnsi="Times New Roman"/>
                  <w:b/>
                  <w:bCs w:val="0"/>
                  <w:szCs w:val="22"/>
                  <w:lang w:val="cs-CZ"/>
                </w:rPr>
                <w:delText xml:space="preserve"> každý druhý týden</w:delText>
              </w:r>
            </w:del>
          </w:p>
          <w:p w14:paraId="74D448FF" w14:textId="77777777" w:rsidR="00AE574B" w:rsidRPr="001B4A02" w:rsidRDefault="00000000" w:rsidP="00ED48A3">
            <w:pPr>
              <w:pStyle w:val="DefaultText"/>
              <w:keepNext/>
              <w:jc w:val="center"/>
              <w:rPr>
                <w:del w:id="6562" w:author="AbbVie1" w:date="2025-05-13T09:50:00Z"/>
                <w:rFonts w:ascii="Times New Roman" w:hAnsi="Times New Roman"/>
                <w:b/>
                <w:bCs w:val="0"/>
                <w:szCs w:val="22"/>
                <w:lang w:val="cs-CZ"/>
              </w:rPr>
            </w:pPr>
            <w:del w:id="6563" w:author="AbbVie1" w:date="2025-05-13T09:50:00Z">
              <w:r>
                <w:rPr>
                  <w:rFonts w:ascii="Times New Roman" w:hAnsi="Times New Roman"/>
                  <w:b/>
                  <w:bCs w:val="0"/>
                  <w:szCs w:val="22"/>
                  <w:lang w:val="cs-CZ"/>
                </w:rPr>
                <w:delText>n</w:delText>
              </w:r>
              <w:r w:rsidRPr="001B4A02">
                <w:rPr>
                  <w:rFonts w:ascii="Times New Roman" w:hAnsi="Times New Roman"/>
                  <w:b/>
                  <w:bCs w:val="0"/>
                  <w:szCs w:val="22"/>
                  <w:lang w:val="cs-CZ"/>
                </w:rPr>
                <w:delText>=108</w:delText>
              </w:r>
            </w:del>
          </w:p>
          <w:p w14:paraId="0F014584" w14:textId="77777777" w:rsidR="00AE574B" w:rsidRPr="001B4A02" w:rsidRDefault="00000000" w:rsidP="00ED48A3">
            <w:pPr>
              <w:pStyle w:val="DefaultText"/>
              <w:keepNext/>
              <w:jc w:val="center"/>
              <w:rPr>
                <w:del w:id="6564" w:author="AbbVie1" w:date="2025-05-13T09:50:00Z"/>
                <w:rFonts w:ascii="Times New Roman" w:hAnsi="Times New Roman"/>
                <w:b/>
                <w:bCs w:val="0"/>
                <w:szCs w:val="22"/>
                <w:lang w:val="cs-CZ"/>
              </w:rPr>
            </w:pPr>
            <w:del w:id="6565" w:author="AbbVie1" w:date="2025-05-13T09:50:00Z">
              <w:r w:rsidRPr="001B4A02">
                <w:rPr>
                  <w:rFonts w:ascii="Times New Roman" w:hAnsi="Times New Roman"/>
                  <w:b/>
                  <w:bCs w:val="0"/>
                  <w:szCs w:val="22"/>
                  <w:lang w:val="cs-CZ"/>
                </w:rPr>
                <w:delText>n (%)</w:delText>
              </w:r>
            </w:del>
          </w:p>
        </w:tc>
      </w:tr>
      <w:tr w:rsidR="00534A2D" w14:paraId="0EFDF3D6" w14:textId="77777777" w:rsidTr="008D783A">
        <w:trPr>
          <w:trHeight w:val="20"/>
          <w:jc w:val="center"/>
          <w:del w:id="6566" w:author="AbbVie1" w:date="2025-05-13T09:50:00Z"/>
        </w:trPr>
        <w:tc>
          <w:tcPr>
            <w:tcW w:w="2386" w:type="dxa"/>
            <w:tcBorders>
              <w:top w:val="single" w:sz="4" w:space="0" w:color="auto"/>
              <w:left w:val="single" w:sz="4" w:space="0" w:color="auto"/>
              <w:bottom w:val="single" w:sz="4" w:space="0" w:color="auto"/>
              <w:right w:val="single" w:sz="4" w:space="0" w:color="auto"/>
            </w:tcBorders>
          </w:tcPr>
          <w:p w14:paraId="7D60CF81" w14:textId="77777777" w:rsidR="00AE574B" w:rsidRPr="001B4A02" w:rsidRDefault="00000000" w:rsidP="00ED48A3">
            <w:pPr>
              <w:pStyle w:val="DefaultText"/>
              <w:keepNext/>
              <w:rPr>
                <w:del w:id="6567" w:author="AbbVie1" w:date="2025-05-13T09:50:00Z"/>
                <w:rFonts w:ascii="Times New Roman" w:hAnsi="Times New Roman"/>
                <w:b/>
                <w:bCs w:val="0"/>
                <w:szCs w:val="22"/>
                <w:lang w:val="cs-CZ"/>
              </w:rPr>
            </w:pPr>
            <w:del w:id="6568" w:author="AbbVie1" w:date="2025-05-13T09:50:00Z">
              <w:r w:rsidRPr="001B4A02">
                <w:rPr>
                  <w:rFonts w:ascii="Symbol" w:hAnsi="Symbol"/>
                  <w:b/>
                  <w:lang w:val="cs-CZ"/>
                </w:rPr>
                <w:sym w:font="Symbol" w:char="F0B3"/>
              </w:r>
              <w:r w:rsidRPr="001B4A02">
                <w:rPr>
                  <w:rFonts w:ascii="Times New Roman" w:hAnsi="Times New Roman"/>
                  <w:b/>
                  <w:lang w:val="cs-CZ"/>
                </w:rPr>
                <w:delText xml:space="preserve"> </w:delText>
              </w:r>
              <w:r w:rsidRPr="001B4A02">
                <w:rPr>
                  <w:rFonts w:ascii="Times New Roman" w:hAnsi="Times New Roman"/>
                  <w:b/>
                  <w:bCs w:val="0"/>
                  <w:szCs w:val="22"/>
                  <w:lang w:val="cs-CZ"/>
                </w:rPr>
                <w:delText>PASI 75</w:delText>
              </w:r>
            </w:del>
          </w:p>
        </w:tc>
        <w:tc>
          <w:tcPr>
            <w:tcW w:w="1360" w:type="dxa"/>
            <w:tcBorders>
              <w:top w:val="single" w:sz="4" w:space="0" w:color="auto"/>
              <w:left w:val="single" w:sz="4" w:space="0" w:color="auto"/>
              <w:bottom w:val="single" w:sz="4" w:space="0" w:color="auto"/>
              <w:right w:val="single" w:sz="4" w:space="0" w:color="auto"/>
            </w:tcBorders>
          </w:tcPr>
          <w:p w14:paraId="06059329" w14:textId="77777777" w:rsidR="00AE574B" w:rsidRPr="001B4A02" w:rsidRDefault="00000000" w:rsidP="00ED48A3">
            <w:pPr>
              <w:pStyle w:val="DefaultText"/>
              <w:keepNext/>
              <w:jc w:val="center"/>
              <w:rPr>
                <w:del w:id="6569" w:author="AbbVie1" w:date="2025-05-13T09:50:00Z"/>
                <w:rFonts w:ascii="Times New Roman" w:hAnsi="Times New Roman"/>
                <w:szCs w:val="22"/>
                <w:lang w:val="cs-CZ"/>
              </w:rPr>
            </w:pPr>
            <w:del w:id="6570" w:author="AbbVie1" w:date="2025-05-13T09:50:00Z">
              <w:r w:rsidRPr="001B4A02">
                <w:rPr>
                  <w:rFonts w:ascii="Times New Roman" w:hAnsi="Times New Roman"/>
                  <w:szCs w:val="22"/>
                  <w:lang w:val="cs-CZ"/>
                </w:rPr>
                <w:delText>10 (18,9)</w:delText>
              </w:r>
            </w:del>
          </w:p>
        </w:tc>
        <w:tc>
          <w:tcPr>
            <w:tcW w:w="1418" w:type="dxa"/>
            <w:tcBorders>
              <w:top w:val="single" w:sz="4" w:space="0" w:color="auto"/>
              <w:left w:val="single" w:sz="4" w:space="0" w:color="auto"/>
              <w:bottom w:val="single" w:sz="4" w:space="0" w:color="auto"/>
              <w:right w:val="single" w:sz="4" w:space="0" w:color="auto"/>
            </w:tcBorders>
          </w:tcPr>
          <w:p w14:paraId="1EEB32C9" w14:textId="77777777" w:rsidR="00AE574B" w:rsidRPr="001B4A02" w:rsidRDefault="00000000" w:rsidP="00ED48A3">
            <w:pPr>
              <w:pStyle w:val="DefaultText"/>
              <w:keepNext/>
              <w:jc w:val="center"/>
              <w:rPr>
                <w:del w:id="6571" w:author="AbbVie1" w:date="2025-05-13T09:50:00Z"/>
                <w:rFonts w:ascii="Times New Roman" w:hAnsi="Times New Roman"/>
                <w:szCs w:val="22"/>
                <w:lang w:val="cs-CZ"/>
              </w:rPr>
            </w:pPr>
            <w:del w:id="6572" w:author="AbbVie1" w:date="2025-05-13T09:50:00Z">
              <w:r w:rsidRPr="001B4A02">
                <w:rPr>
                  <w:rFonts w:ascii="Times New Roman" w:hAnsi="Times New Roman"/>
                  <w:szCs w:val="22"/>
                  <w:lang w:val="cs-CZ"/>
                </w:rPr>
                <w:delText>39 (35</w:delText>
              </w:r>
              <w:r w:rsidR="00382986" w:rsidRPr="001B4A02">
                <w:rPr>
                  <w:rFonts w:ascii="Times New Roman" w:hAnsi="Times New Roman"/>
                  <w:szCs w:val="22"/>
                  <w:lang w:val="cs-CZ"/>
                </w:rPr>
                <w:delText>,</w:delText>
              </w:r>
              <w:r w:rsidRPr="001B4A02">
                <w:rPr>
                  <w:rFonts w:ascii="Times New Roman" w:hAnsi="Times New Roman"/>
                  <w:szCs w:val="22"/>
                  <w:lang w:val="cs-CZ"/>
                </w:rPr>
                <w:delText>5)</w:delText>
              </w:r>
            </w:del>
          </w:p>
        </w:tc>
        <w:tc>
          <w:tcPr>
            <w:tcW w:w="3460" w:type="dxa"/>
            <w:tcBorders>
              <w:top w:val="single" w:sz="4" w:space="0" w:color="auto"/>
              <w:left w:val="single" w:sz="4" w:space="0" w:color="auto"/>
              <w:bottom w:val="single" w:sz="4" w:space="0" w:color="auto"/>
              <w:right w:val="single" w:sz="4" w:space="0" w:color="auto"/>
            </w:tcBorders>
          </w:tcPr>
          <w:p w14:paraId="400806E9" w14:textId="77777777" w:rsidR="00AE574B" w:rsidRPr="001B4A02" w:rsidRDefault="00000000" w:rsidP="00ED48A3">
            <w:pPr>
              <w:pStyle w:val="DefaultText"/>
              <w:keepNext/>
              <w:jc w:val="center"/>
              <w:rPr>
                <w:del w:id="6573" w:author="AbbVie1" w:date="2025-05-13T09:50:00Z"/>
                <w:rFonts w:ascii="Times New Roman" w:hAnsi="Times New Roman"/>
                <w:szCs w:val="22"/>
                <w:lang w:val="cs-CZ"/>
              </w:rPr>
            </w:pPr>
            <w:del w:id="6574" w:author="AbbVie1" w:date="2025-05-13T09:50:00Z">
              <w:r w:rsidRPr="001B4A02">
                <w:rPr>
                  <w:rFonts w:ascii="Times New Roman" w:hAnsi="Times New Roman"/>
                  <w:szCs w:val="22"/>
                  <w:lang w:val="cs-CZ"/>
                </w:rPr>
                <w:delText>86 (79,6)</w:delText>
              </w:r>
              <w:r w:rsidRPr="001B4A02">
                <w:rPr>
                  <w:rFonts w:ascii="Times New Roman" w:hAnsi="Times New Roman"/>
                  <w:szCs w:val="22"/>
                  <w:vertAlign w:val="superscript"/>
                  <w:lang w:val="cs-CZ"/>
                </w:rPr>
                <w:delText xml:space="preserve"> a, b</w:delText>
              </w:r>
            </w:del>
          </w:p>
        </w:tc>
      </w:tr>
      <w:tr w:rsidR="00534A2D" w14:paraId="20013632" w14:textId="77777777" w:rsidTr="008D783A">
        <w:trPr>
          <w:trHeight w:val="20"/>
          <w:jc w:val="center"/>
          <w:del w:id="6575" w:author="AbbVie1" w:date="2025-05-13T09:50:00Z"/>
        </w:trPr>
        <w:tc>
          <w:tcPr>
            <w:tcW w:w="2386" w:type="dxa"/>
            <w:tcBorders>
              <w:top w:val="single" w:sz="4" w:space="0" w:color="auto"/>
              <w:left w:val="single" w:sz="4" w:space="0" w:color="auto"/>
              <w:bottom w:val="single" w:sz="4" w:space="0" w:color="auto"/>
              <w:right w:val="single" w:sz="4" w:space="0" w:color="auto"/>
            </w:tcBorders>
          </w:tcPr>
          <w:p w14:paraId="3F800E64" w14:textId="77777777" w:rsidR="00AE574B" w:rsidRPr="001B4A02" w:rsidRDefault="00000000" w:rsidP="00ED48A3">
            <w:pPr>
              <w:pStyle w:val="DefaultText"/>
              <w:keepNext/>
              <w:rPr>
                <w:del w:id="6576" w:author="AbbVie1" w:date="2025-05-13T09:50:00Z"/>
                <w:rFonts w:ascii="Times New Roman" w:hAnsi="Times New Roman"/>
                <w:b/>
                <w:bCs w:val="0"/>
                <w:szCs w:val="22"/>
                <w:lang w:val="cs-CZ"/>
              </w:rPr>
            </w:pPr>
            <w:del w:id="6577" w:author="AbbVie1" w:date="2025-05-13T09:50:00Z">
              <w:r w:rsidRPr="001B4A02">
                <w:rPr>
                  <w:rFonts w:ascii="Times New Roman" w:hAnsi="Times New Roman"/>
                  <w:b/>
                  <w:bCs w:val="0"/>
                  <w:szCs w:val="22"/>
                  <w:lang w:val="cs-CZ"/>
                </w:rPr>
                <w:delText>PASI 100</w:delText>
              </w:r>
            </w:del>
          </w:p>
        </w:tc>
        <w:tc>
          <w:tcPr>
            <w:tcW w:w="1360" w:type="dxa"/>
            <w:tcBorders>
              <w:top w:val="single" w:sz="4" w:space="0" w:color="auto"/>
              <w:left w:val="single" w:sz="4" w:space="0" w:color="auto"/>
              <w:bottom w:val="single" w:sz="4" w:space="0" w:color="auto"/>
              <w:right w:val="single" w:sz="4" w:space="0" w:color="auto"/>
            </w:tcBorders>
          </w:tcPr>
          <w:p w14:paraId="2EB4EE44" w14:textId="77777777" w:rsidR="00AE574B" w:rsidRPr="001B4A02" w:rsidRDefault="00000000" w:rsidP="00ED48A3">
            <w:pPr>
              <w:pStyle w:val="DefaultText"/>
              <w:keepNext/>
              <w:jc w:val="center"/>
              <w:rPr>
                <w:del w:id="6578" w:author="AbbVie1" w:date="2025-05-13T09:50:00Z"/>
                <w:rFonts w:ascii="Times New Roman" w:hAnsi="Times New Roman"/>
                <w:szCs w:val="22"/>
                <w:lang w:val="cs-CZ"/>
              </w:rPr>
            </w:pPr>
            <w:del w:id="6579" w:author="AbbVie1" w:date="2025-05-13T09:50:00Z">
              <w:r w:rsidRPr="001B4A02">
                <w:rPr>
                  <w:rFonts w:ascii="Times New Roman" w:hAnsi="Times New Roman"/>
                  <w:szCs w:val="22"/>
                  <w:lang w:val="cs-CZ"/>
                </w:rPr>
                <w:delText>1 (1,9)</w:delText>
              </w:r>
            </w:del>
          </w:p>
        </w:tc>
        <w:tc>
          <w:tcPr>
            <w:tcW w:w="1418" w:type="dxa"/>
            <w:tcBorders>
              <w:top w:val="single" w:sz="4" w:space="0" w:color="auto"/>
              <w:left w:val="single" w:sz="4" w:space="0" w:color="auto"/>
              <w:bottom w:val="single" w:sz="4" w:space="0" w:color="auto"/>
              <w:right w:val="single" w:sz="4" w:space="0" w:color="auto"/>
            </w:tcBorders>
          </w:tcPr>
          <w:p w14:paraId="6E257BAB" w14:textId="77777777" w:rsidR="00AE574B" w:rsidRPr="001B4A02" w:rsidRDefault="00000000" w:rsidP="00ED48A3">
            <w:pPr>
              <w:pStyle w:val="DefaultText"/>
              <w:keepNext/>
              <w:jc w:val="center"/>
              <w:rPr>
                <w:del w:id="6580" w:author="AbbVie1" w:date="2025-05-13T09:50:00Z"/>
                <w:rFonts w:ascii="Times New Roman" w:hAnsi="Times New Roman"/>
                <w:szCs w:val="22"/>
                <w:lang w:val="cs-CZ"/>
              </w:rPr>
            </w:pPr>
            <w:del w:id="6581" w:author="AbbVie1" w:date="2025-05-13T09:50:00Z">
              <w:r w:rsidRPr="001B4A02">
                <w:rPr>
                  <w:rFonts w:ascii="Times New Roman" w:hAnsi="Times New Roman"/>
                  <w:szCs w:val="22"/>
                  <w:lang w:val="cs-CZ"/>
                </w:rPr>
                <w:delText>8 (7,3)</w:delText>
              </w:r>
            </w:del>
          </w:p>
        </w:tc>
        <w:tc>
          <w:tcPr>
            <w:tcW w:w="3460" w:type="dxa"/>
            <w:tcBorders>
              <w:top w:val="single" w:sz="4" w:space="0" w:color="auto"/>
              <w:left w:val="single" w:sz="4" w:space="0" w:color="auto"/>
              <w:bottom w:val="single" w:sz="4" w:space="0" w:color="auto"/>
              <w:right w:val="single" w:sz="4" w:space="0" w:color="auto"/>
            </w:tcBorders>
          </w:tcPr>
          <w:p w14:paraId="2F064E93" w14:textId="77777777" w:rsidR="00AE574B" w:rsidRPr="001B4A02" w:rsidRDefault="00000000" w:rsidP="00ED48A3">
            <w:pPr>
              <w:pStyle w:val="DefaultText"/>
              <w:keepNext/>
              <w:jc w:val="center"/>
              <w:rPr>
                <w:del w:id="6582" w:author="AbbVie1" w:date="2025-05-13T09:50:00Z"/>
                <w:rFonts w:ascii="Times New Roman" w:hAnsi="Times New Roman"/>
                <w:szCs w:val="22"/>
                <w:lang w:val="cs-CZ"/>
              </w:rPr>
            </w:pPr>
            <w:del w:id="6583" w:author="AbbVie1" w:date="2025-05-13T09:50:00Z">
              <w:r w:rsidRPr="001B4A02">
                <w:rPr>
                  <w:rFonts w:ascii="Times New Roman" w:hAnsi="Times New Roman"/>
                  <w:szCs w:val="22"/>
                  <w:lang w:val="cs-CZ"/>
                </w:rPr>
                <w:delText>18</w:delText>
              </w:r>
              <w:r w:rsidR="00382986" w:rsidRPr="001B4A02">
                <w:rPr>
                  <w:rFonts w:ascii="Times New Roman" w:hAnsi="Times New Roman"/>
                  <w:szCs w:val="22"/>
                  <w:lang w:val="cs-CZ"/>
                </w:rPr>
                <w:delText xml:space="preserve"> (16,</w:delText>
              </w:r>
              <w:r w:rsidRPr="001B4A02">
                <w:rPr>
                  <w:rFonts w:ascii="Times New Roman" w:hAnsi="Times New Roman"/>
                  <w:szCs w:val="22"/>
                  <w:lang w:val="cs-CZ"/>
                </w:rPr>
                <w:delText>7)</w:delText>
              </w:r>
              <w:r w:rsidRPr="001B4A02">
                <w:rPr>
                  <w:rFonts w:ascii="Times New Roman" w:hAnsi="Times New Roman"/>
                  <w:szCs w:val="22"/>
                  <w:vertAlign w:val="superscript"/>
                  <w:lang w:val="cs-CZ"/>
                </w:rPr>
                <w:delText xml:space="preserve"> c, d</w:delText>
              </w:r>
            </w:del>
          </w:p>
        </w:tc>
      </w:tr>
      <w:tr w:rsidR="00534A2D" w14:paraId="3799F8B7" w14:textId="77777777" w:rsidTr="008D783A">
        <w:trPr>
          <w:trHeight w:val="20"/>
          <w:jc w:val="center"/>
          <w:del w:id="6584" w:author="AbbVie1" w:date="2025-05-13T09:50:00Z"/>
        </w:trPr>
        <w:tc>
          <w:tcPr>
            <w:tcW w:w="2386" w:type="dxa"/>
            <w:tcBorders>
              <w:top w:val="single" w:sz="4" w:space="0" w:color="auto"/>
              <w:left w:val="single" w:sz="4" w:space="0" w:color="auto"/>
              <w:bottom w:val="single" w:sz="4" w:space="0" w:color="auto"/>
              <w:right w:val="single" w:sz="4" w:space="0" w:color="auto"/>
            </w:tcBorders>
          </w:tcPr>
          <w:p w14:paraId="6988D901" w14:textId="77777777" w:rsidR="00AE574B" w:rsidRPr="001B4A02" w:rsidRDefault="00000000" w:rsidP="00ED48A3">
            <w:pPr>
              <w:pStyle w:val="DefaultText"/>
              <w:keepNext/>
              <w:rPr>
                <w:del w:id="6585" w:author="AbbVie1" w:date="2025-05-13T09:50:00Z"/>
                <w:rFonts w:ascii="Times New Roman" w:hAnsi="Times New Roman"/>
                <w:b/>
                <w:bCs w:val="0"/>
                <w:szCs w:val="22"/>
                <w:lang w:val="cs-CZ"/>
              </w:rPr>
            </w:pPr>
            <w:del w:id="6586" w:author="AbbVie1" w:date="2025-05-13T09:50:00Z">
              <w:r w:rsidRPr="001B4A02">
                <w:rPr>
                  <w:rFonts w:ascii="Times New Roman" w:hAnsi="Times New Roman"/>
                  <w:b/>
                  <w:bCs w:val="0"/>
                  <w:szCs w:val="22"/>
                  <w:lang w:val="cs-CZ"/>
                </w:rPr>
                <w:delText>PGA: čistý/minimální</w:delText>
              </w:r>
            </w:del>
          </w:p>
        </w:tc>
        <w:tc>
          <w:tcPr>
            <w:tcW w:w="1360" w:type="dxa"/>
            <w:tcBorders>
              <w:top w:val="single" w:sz="4" w:space="0" w:color="auto"/>
              <w:left w:val="single" w:sz="4" w:space="0" w:color="auto"/>
              <w:bottom w:val="single" w:sz="4" w:space="0" w:color="auto"/>
              <w:right w:val="single" w:sz="4" w:space="0" w:color="auto"/>
            </w:tcBorders>
          </w:tcPr>
          <w:p w14:paraId="41F9E816" w14:textId="77777777" w:rsidR="00AE574B" w:rsidRPr="001B4A02" w:rsidRDefault="00000000" w:rsidP="00ED48A3">
            <w:pPr>
              <w:pStyle w:val="DefaultText"/>
              <w:keepNext/>
              <w:jc w:val="center"/>
              <w:rPr>
                <w:del w:id="6587" w:author="AbbVie1" w:date="2025-05-13T09:50:00Z"/>
                <w:rFonts w:ascii="Times New Roman" w:hAnsi="Times New Roman"/>
                <w:szCs w:val="22"/>
                <w:lang w:val="cs-CZ"/>
              </w:rPr>
            </w:pPr>
            <w:del w:id="6588" w:author="AbbVie1" w:date="2025-05-13T09:50:00Z">
              <w:r w:rsidRPr="001B4A02">
                <w:rPr>
                  <w:rFonts w:ascii="Times New Roman" w:hAnsi="Times New Roman"/>
                  <w:szCs w:val="22"/>
                  <w:lang w:val="cs-CZ"/>
                </w:rPr>
                <w:delText>6 (11</w:delText>
              </w:r>
              <w:r w:rsidR="00382986" w:rsidRPr="001B4A02">
                <w:rPr>
                  <w:rFonts w:ascii="Times New Roman" w:hAnsi="Times New Roman"/>
                  <w:szCs w:val="22"/>
                  <w:lang w:val="cs-CZ"/>
                </w:rPr>
                <w:delText>,</w:delText>
              </w:r>
              <w:r w:rsidRPr="001B4A02">
                <w:rPr>
                  <w:rFonts w:ascii="Times New Roman" w:hAnsi="Times New Roman"/>
                  <w:szCs w:val="22"/>
                  <w:lang w:val="cs-CZ"/>
                </w:rPr>
                <w:delText>3)</w:delText>
              </w:r>
            </w:del>
          </w:p>
        </w:tc>
        <w:tc>
          <w:tcPr>
            <w:tcW w:w="1418" w:type="dxa"/>
            <w:tcBorders>
              <w:top w:val="single" w:sz="4" w:space="0" w:color="auto"/>
              <w:left w:val="single" w:sz="4" w:space="0" w:color="auto"/>
              <w:bottom w:val="single" w:sz="4" w:space="0" w:color="auto"/>
              <w:right w:val="single" w:sz="4" w:space="0" w:color="auto"/>
            </w:tcBorders>
          </w:tcPr>
          <w:p w14:paraId="2B495CF9" w14:textId="77777777" w:rsidR="00AE574B" w:rsidRPr="001B4A02" w:rsidRDefault="00000000" w:rsidP="00ED48A3">
            <w:pPr>
              <w:pStyle w:val="DefaultText"/>
              <w:keepNext/>
              <w:jc w:val="center"/>
              <w:rPr>
                <w:del w:id="6589" w:author="AbbVie1" w:date="2025-05-13T09:50:00Z"/>
                <w:rFonts w:ascii="Times New Roman" w:hAnsi="Times New Roman"/>
                <w:szCs w:val="22"/>
                <w:lang w:val="cs-CZ"/>
              </w:rPr>
            </w:pPr>
            <w:del w:id="6590" w:author="AbbVie1" w:date="2025-05-13T09:50:00Z">
              <w:r w:rsidRPr="001B4A02">
                <w:rPr>
                  <w:rFonts w:ascii="Times New Roman" w:hAnsi="Times New Roman"/>
                  <w:szCs w:val="22"/>
                  <w:lang w:val="cs-CZ"/>
                </w:rPr>
                <w:delText>33 (30,0)</w:delText>
              </w:r>
            </w:del>
          </w:p>
        </w:tc>
        <w:tc>
          <w:tcPr>
            <w:tcW w:w="3460" w:type="dxa"/>
            <w:tcBorders>
              <w:top w:val="single" w:sz="4" w:space="0" w:color="auto"/>
              <w:left w:val="single" w:sz="4" w:space="0" w:color="auto"/>
              <w:bottom w:val="single" w:sz="4" w:space="0" w:color="auto"/>
              <w:right w:val="single" w:sz="4" w:space="0" w:color="auto"/>
            </w:tcBorders>
          </w:tcPr>
          <w:p w14:paraId="38809326" w14:textId="77777777" w:rsidR="00AE574B" w:rsidRPr="001B4A02" w:rsidRDefault="00000000" w:rsidP="00ED48A3">
            <w:pPr>
              <w:pStyle w:val="DefaultText"/>
              <w:keepNext/>
              <w:jc w:val="center"/>
              <w:rPr>
                <w:del w:id="6591" w:author="AbbVie1" w:date="2025-05-13T09:50:00Z"/>
                <w:rFonts w:ascii="Times New Roman" w:hAnsi="Times New Roman"/>
                <w:szCs w:val="22"/>
                <w:lang w:val="cs-CZ"/>
              </w:rPr>
            </w:pPr>
            <w:del w:id="6592" w:author="AbbVie1" w:date="2025-05-13T09:50:00Z">
              <w:r w:rsidRPr="001B4A02">
                <w:rPr>
                  <w:rFonts w:ascii="Times New Roman" w:hAnsi="Times New Roman"/>
                  <w:szCs w:val="22"/>
                  <w:lang w:val="cs-CZ"/>
                </w:rPr>
                <w:delText>79 (73,1)</w:delText>
              </w:r>
              <w:r w:rsidRPr="001B4A02">
                <w:rPr>
                  <w:rFonts w:ascii="Times New Roman" w:hAnsi="Times New Roman"/>
                  <w:szCs w:val="22"/>
                  <w:vertAlign w:val="superscript"/>
                  <w:lang w:val="cs-CZ"/>
                </w:rPr>
                <w:delText xml:space="preserve"> a, b</w:delText>
              </w:r>
            </w:del>
          </w:p>
        </w:tc>
      </w:tr>
      <w:tr w:rsidR="00534A2D" w14:paraId="1E93EF2F" w14:textId="77777777" w:rsidTr="008D783A">
        <w:trPr>
          <w:trHeight w:val="20"/>
          <w:jc w:val="center"/>
          <w:del w:id="6593" w:author="AbbVie1" w:date="2025-05-13T09:50:00Z"/>
        </w:trPr>
        <w:tc>
          <w:tcPr>
            <w:tcW w:w="8624" w:type="dxa"/>
            <w:gridSpan w:val="4"/>
            <w:tcBorders>
              <w:top w:val="single" w:sz="4" w:space="0" w:color="auto"/>
              <w:left w:val="single" w:sz="4" w:space="0" w:color="auto"/>
              <w:bottom w:val="single" w:sz="4" w:space="0" w:color="auto"/>
              <w:right w:val="single" w:sz="4" w:space="0" w:color="auto"/>
            </w:tcBorders>
          </w:tcPr>
          <w:p w14:paraId="28E74B24" w14:textId="77777777" w:rsidR="00AE574B" w:rsidRPr="001B4A02" w:rsidRDefault="00000000" w:rsidP="00ED48A3">
            <w:pPr>
              <w:pStyle w:val="DefaultText"/>
              <w:keepNext/>
              <w:rPr>
                <w:del w:id="6594" w:author="AbbVie1" w:date="2025-05-13T09:50:00Z"/>
                <w:rFonts w:ascii="Times New Roman" w:hAnsi="Times New Roman"/>
                <w:sz w:val="20"/>
                <w:lang w:val="cs-CZ"/>
              </w:rPr>
            </w:pPr>
            <w:del w:id="6595" w:author="AbbVie1" w:date="2025-05-13T09:50:00Z">
              <w:r w:rsidRPr="001B4A02">
                <w:rPr>
                  <w:rFonts w:ascii="Times New Roman" w:hAnsi="Times New Roman"/>
                  <w:sz w:val="20"/>
                  <w:vertAlign w:val="superscript"/>
                  <w:lang w:val="cs-CZ"/>
                </w:rPr>
                <w:delText>a</w:delText>
              </w:r>
              <w:r w:rsidRPr="001B4A02">
                <w:rPr>
                  <w:rFonts w:ascii="Times New Roman" w:hAnsi="Times New Roman"/>
                  <w:sz w:val="20"/>
                  <w:lang w:val="cs-CZ"/>
                </w:rPr>
                <w:delText xml:space="preserve"> p&lt;0</w:delText>
              </w:r>
              <w:r w:rsidR="007375A0" w:rsidRPr="001B4A02">
                <w:rPr>
                  <w:rFonts w:ascii="Times New Roman" w:hAnsi="Times New Roman"/>
                  <w:sz w:val="20"/>
                  <w:lang w:val="cs-CZ"/>
                </w:rPr>
                <w:delText>,</w:delText>
              </w:r>
              <w:r w:rsidRPr="001B4A02">
                <w:rPr>
                  <w:rFonts w:ascii="Times New Roman" w:hAnsi="Times New Roman"/>
                  <w:sz w:val="20"/>
                  <w:lang w:val="cs-CZ"/>
                </w:rPr>
                <w:delText>001</w:delText>
              </w:r>
              <w:r w:rsidR="004C58C9" w:rsidRPr="001B4A02">
                <w:rPr>
                  <w:rFonts w:ascii="Times New Roman" w:hAnsi="Times New Roman"/>
                  <w:sz w:val="20"/>
                  <w:lang w:val="cs-CZ"/>
                </w:rPr>
                <w:delText>,</w:delText>
              </w:r>
              <w:r w:rsidRPr="001B4A02">
                <w:rPr>
                  <w:rFonts w:ascii="Times New Roman" w:hAnsi="Times New Roman"/>
                  <w:sz w:val="20"/>
                  <w:lang w:val="cs-CZ"/>
                </w:rPr>
                <w:delText xml:space="preserve"> </w:delText>
              </w:r>
              <w:r w:rsidR="004C58C9" w:rsidRPr="001B4A02">
                <w:rPr>
                  <w:rFonts w:ascii="Times New Roman" w:hAnsi="Times New Roman"/>
                  <w:sz w:val="20"/>
                  <w:lang w:val="cs-CZ"/>
                </w:rPr>
                <w:delText>p</w:delText>
              </w:r>
              <w:r w:rsidR="00F67928" w:rsidRPr="001B4A02">
                <w:rPr>
                  <w:rFonts w:ascii="Times New Roman" w:hAnsi="Times New Roman"/>
                  <w:sz w:val="20"/>
                  <w:lang w:val="cs-CZ"/>
                </w:rPr>
                <w:delText xml:space="preserve">řípravek </w:delText>
              </w:r>
              <w:r w:rsidRPr="001B4A02">
                <w:rPr>
                  <w:rFonts w:ascii="Times New Roman" w:hAnsi="Times New Roman"/>
                  <w:sz w:val="20"/>
                  <w:lang w:val="cs-CZ"/>
                </w:rPr>
                <w:delText xml:space="preserve">Humira vs. </w:delText>
              </w:r>
              <w:r w:rsidR="00C769FB" w:rsidRPr="001B4A02">
                <w:rPr>
                  <w:rFonts w:ascii="Times New Roman" w:hAnsi="Times New Roman"/>
                  <w:sz w:val="20"/>
                  <w:lang w:val="cs-CZ"/>
                </w:rPr>
                <w:delText>p</w:delText>
              </w:r>
              <w:r w:rsidRPr="001B4A02">
                <w:rPr>
                  <w:rFonts w:ascii="Times New Roman" w:hAnsi="Times New Roman"/>
                  <w:sz w:val="20"/>
                  <w:lang w:val="cs-CZ"/>
                </w:rPr>
                <w:delText>lacebo</w:delText>
              </w:r>
            </w:del>
          </w:p>
          <w:p w14:paraId="4C3A6291" w14:textId="77777777" w:rsidR="00AE574B" w:rsidRPr="001B4A02" w:rsidRDefault="00000000" w:rsidP="00ED48A3">
            <w:pPr>
              <w:pStyle w:val="DefaultText"/>
              <w:keepNext/>
              <w:rPr>
                <w:del w:id="6596" w:author="AbbVie1" w:date="2025-05-13T09:50:00Z"/>
                <w:rFonts w:ascii="Times New Roman" w:hAnsi="Times New Roman"/>
                <w:sz w:val="20"/>
                <w:lang w:val="cs-CZ"/>
              </w:rPr>
            </w:pPr>
            <w:del w:id="6597" w:author="AbbVie1" w:date="2025-05-13T09:50:00Z">
              <w:r w:rsidRPr="001B4A02">
                <w:rPr>
                  <w:rFonts w:ascii="Times New Roman" w:hAnsi="Times New Roman"/>
                  <w:sz w:val="20"/>
                  <w:vertAlign w:val="superscript"/>
                  <w:lang w:val="cs-CZ"/>
                </w:rPr>
                <w:delText>b</w:delText>
              </w:r>
              <w:r w:rsidRPr="001B4A02">
                <w:rPr>
                  <w:rFonts w:ascii="Times New Roman" w:hAnsi="Times New Roman"/>
                  <w:sz w:val="20"/>
                  <w:lang w:val="cs-CZ"/>
                </w:rPr>
                <w:delText xml:space="preserve"> p&lt;0</w:delText>
              </w:r>
              <w:r w:rsidR="007375A0" w:rsidRPr="001B4A02">
                <w:rPr>
                  <w:rFonts w:ascii="Times New Roman" w:hAnsi="Times New Roman"/>
                  <w:sz w:val="20"/>
                  <w:lang w:val="cs-CZ"/>
                </w:rPr>
                <w:delText>,</w:delText>
              </w:r>
              <w:r w:rsidRPr="001B4A02">
                <w:rPr>
                  <w:rFonts w:ascii="Times New Roman" w:hAnsi="Times New Roman"/>
                  <w:sz w:val="20"/>
                  <w:lang w:val="cs-CZ"/>
                </w:rPr>
                <w:delText>001</w:delText>
              </w:r>
              <w:r w:rsidR="004C58C9" w:rsidRPr="001B4A02">
                <w:rPr>
                  <w:rFonts w:ascii="Times New Roman" w:hAnsi="Times New Roman"/>
                  <w:sz w:val="20"/>
                  <w:lang w:val="cs-CZ"/>
                </w:rPr>
                <w:delText>,</w:delText>
              </w:r>
              <w:r w:rsidRPr="001B4A02">
                <w:rPr>
                  <w:rFonts w:ascii="Times New Roman" w:hAnsi="Times New Roman"/>
                  <w:sz w:val="20"/>
                  <w:lang w:val="cs-CZ"/>
                </w:rPr>
                <w:delText xml:space="preserve"> </w:delText>
              </w:r>
              <w:r w:rsidR="004C58C9" w:rsidRPr="001B4A02">
                <w:rPr>
                  <w:rFonts w:ascii="Times New Roman" w:hAnsi="Times New Roman"/>
                  <w:sz w:val="20"/>
                  <w:lang w:val="cs-CZ"/>
                </w:rPr>
                <w:delText>p</w:delText>
              </w:r>
              <w:r w:rsidR="00F67928" w:rsidRPr="001B4A02">
                <w:rPr>
                  <w:rFonts w:ascii="Times New Roman" w:hAnsi="Times New Roman"/>
                  <w:sz w:val="20"/>
                  <w:lang w:val="cs-CZ"/>
                </w:rPr>
                <w:delText xml:space="preserve">řípravek </w:delText>
              </w:r>
              <w:r w:rsidRPr="001B4A02">
                <w:rPr>
                  <w:rFonts w:ascii="Times New Roman" w:hAnsi="Times New Roman"/>
                  <w:sz w:val="20"/>
                  <w:lang w:val="cs-CZ"/>
                </w:rPr>
                <w:delText>Humira vs. methotrexát</w:delText>
              </w:r>
            </w:del>
          </w:p>
          <w:p w14:paraId="76E4413E" w14:textId="77777777" w:rsidR="00AE574B" w:rsidRPr="001B4A02" w:rsidRDefault="00000000" w:rsidP="00ED48A3">
            <w:pPr>
              <w:pStyle w:val="DefaultText"/>
              <w:keepNext/>
              <w:rPr>
                <w:del w:id="6598" w:author="AbbVie1" w:date="2025-05-13T09:50:00Z"/>
                <w:rFonts w:ascii="Times New Roman" w:hAnsi="Times New Roman"/>
                <w:sz w:val="20"/>
                <w:lang w:val="cs-CZ"/>
              </w:rPr>
            </w:pPr>
            <w:del w:id="6599" w:author="AbbVie1" w:date="2025-05-13T09:50:00Z">
              <w:r w:rsidRPr="001B4A02">
                <w:rPr>
                  <w:rFonts w:ascii="Times New Roman" w:hAnsi="Times New Roman"/>
                  <w:sz w:val="20"/>
                  <w:vertAlign w:val="superscript"/>
                  <w:lang w:val="cs-CZ"/>
                </w:rPr>
                <w:delText>c</w:delText>
              </w:r>
              <w:r w:rsidRPr="001B4A02">
                <w:rPr>
                  <w:rFonts w:ascii="Times New Roman" w:hAnsi="Times New Roman"/>
                  <w:sz w:val="20"/>
                  <w:lang w:val="cs-CZ"/>
                </w:rPr>
                <w:delText xml:space="preserve"> p&lt;0</w:delText>
              </w:r>
              <w:r w:rsidR="007375A0" w:rsidRPr="001B4A02">
                <w:rPr>
                  <w:rFonts w:ascii="Times New Roman" w:hAnsi="Times New Roman"/>
                  <w:sz w:val="20"/>
                  <w:lang w:val="cs-CZ"/>
                </w:rPr>
                <w:delText>,</w:delText>
              </w:r>
              <w:r w:rsidRPr="001B4A02">
                <w:rPr>
                  <w:rFonts w:ascii="Times New Roman" w:hAnsi="Times New Roman"/>
                  <w:sz w:val="20"/>
                  <w:lang w:val="cs-CZ"/>
                </w:rPr>
                <w:delText>01</w:delText>
              </w:r>
              <w:r w:rsidR="004C58C9" w:rsidRPr="001B4A02">
                <w:rPr>
                  <w:rFonts w:ascii="Times New Roman" w:hAnsi="Times New Roman"/>
                  <w:sz w:val="20"/>
                  <w:lang w:val="cs-CZ"/>
                </w:rPr>
                <w:delText>,</w:delText>
              </w:r>
              <w:r w:rsidRPr="001B4A02">
                <w:rPr>
                  <w:rFonts w:ascii="Times New Roman" w:hAnsi="Times New Roman"/>
                  <w:sz w:val="20"/>
                  <w:lang w:val="cs-CZ"/>
                </w:rPr>
                <w:delText xml:space="preserve"> </w:delText>
              </w:r>
              <w:r w:rsidR="004C58C9" w:rsidRPr="001B4A02">
                <w:rPr>
                  <w:rFonts w:ascii="Times New Roman" w:hAnsi="Times New Roman"/>
                  <w:sz w:val="20"/>
                  <w:lang w:val="cs-CZ"/>
                </w:rPr>
                <w:delText>p</w:delText>
              </w:r>
              <w:r w:rsidR="00F67928" w:rsidRPr="001B4A02">
                <w:rPr>
                  <w:rFonts w:ascii="Times New Roman" w:hAnsi="Times New Roman"/>
                  <w:sz w:val="20"/>
                  <w:lang w:val="cs-CZ"/>
                </w:rPr>
                <w:delText xml:space="preserve">řípravek </w:delText>
              </w:r>
              <w:r w:rsidRPr="001B4A02">
                <w:rPr>
                  <w:rFonts w:ascii="Times New Roman" w:hAnsi="Times New Roman"/>
                  <w:sz w:val="20"/>
                  <w:lang w:val="cs-CZ"/>
                </w:rPr>
                <w:delText>Humira vs. placebo</w:delText>
              </w:r>
            </w:del>
          </w:p>
          <w:p w14:paraId="2DA7EF4C" w14:textId="77777777" w:rsidR="00AE574B" w:rsidRPr="001B4A02" w:rsidRDefault="00000000" w:rsidP="004C58C9">
            <w:pPr>
              <w:pStyle w:val="DefaultText"/>
              <w:keepNext/>
              <w:rPr>
                <w:del w:id="6600" w:author="AbbVie1" w:date="2025-05-13T09:50:00Z"/>
                <w:rFonts w:ascii="Times New Roman" w:hAnsi="Times New Roman"/>
                <w:szCs w:val="22"/>
                <w:lang w:val="cs-CZ"/>
              </w:rPr>
            </w:pPr>
            <w:del w:id="6601" w:author="AbbVie1" w:date="2025-05-13T09:50:00Z">
              <w:r w:rsidRPr="001B4A02">
                <w:rPr>
                  <w:rFonts w:ascii="Times New Roman" w:hAnsi="Times New Roman"/>
                  <w:sz w:val="20"/>
                  <w:vertAlign w:val="superscript"/>
                  <w:lang w:val="cs-CZ"/>
                </w:rPr>
                <w:delText>d</w:delText>
              </w:r>
              <w:r w:rsidRPr="001B4A02">
                <w:rPr>
                  <w:rFonts w:ascii="Times New Roman" w:hAnsi="Times New Roman"/>
                  <w:sz w:val="20"/>
                  <w:lang w:val="cs-CZ"/>
                </w:rPr>
                <w:delText xml:space="preserve"> p&lt;0</w:delText>
              </w:r>
              <w:r w:rsidR="007375A0" w:rsidRPr="001B4A02">
                <w:rPr>
                  <w:rFonts w:ascii="Times New Roman" w:hAnsi="Times New Roman"/>
                  <w:sz w:val="20"/>
                  <w:lang w:val="cs-CZ"/>
                </w:rPr>
                <w:delText>,</w:delText>
              </w:r>
              <w:r w:rsidRPr="001B4A02">
                <w:rPr>
                  <w:rFonts w:ascii="Times New Roman" w:hAnsi="Times New Roman"/>
                  <w:sz w:val="20"/>
                  <w:lang w:val="cs-CZ"/>
                </w:rPr>
                <w:delText>05</w:delText>
              </w:r>
              <w:r w:rsidR="004C58C9" w:rsidRPr="001B4A02">
                <w:rPr>
                  <w:rFonts w:ascii="Times New Roman" w:hAnsi="Times New Roman"/>
                  <w:sz w:val="20"/>
                  <w:lang w:val="cs-CZ"/>
                </w:rPr>
                <w:delText>,</w:delText>
              </w:r>
              <w:r w:rsidRPr="001B4A02">
                <w:rPr>
                  <w:rFonts w:ascii="Times New Roman" w:hAnsi="Times New Roman"/>
                  <w:sz w:val="20"/>
                  <w:lang w:val="cs-CZ"/>
                </w:rPr>
                <w:delText xml:space="preserve"> </w:delText>
              </w:r>
              <w:r w:rsidR="004C58C9" w:rsidRPr="001B4A02">
                <w:rPr>
                  <w:rFonts w:ascii="Times New Roman" w:hAnsi="Times New Roman"/>
                  <w:sz w:val="20"/>
                  <w:lang w:val="cs-CZ"/>
                </w:rPr>
                <w:delText>p</w:delText>
              </w:r>
              <w:r w:rsidR="00F67928" w:rsidRPr="001B4A02">
                <w:rPr>
                  <w:rFonts w:ascii="Times New Roman" w:hAnsi="Times New Roman"/>
                  <w:sz w:val="20"/>
                  <w:lang w:val="cs-CZ"/>
                </w:rPr>
                <w:delText xml:space="preserve">řípravek </w:delText>
              </w:r>
              <w:r w:rsidRPr="001B4A02">
                <w:rPr>
                  <w:rFonts w:ascii="Times New Roman" w:hAnsi="Times New Roman"/>
                  <w:sz w:val="20"/>
                  <w:lang w:val="cs-CZ"/>
                </w:rPr>
                <w:delText xml:space="preserve">Humira vs. </w:delText>
              </w:r>
              <w:r w:rsidR="00C769FB" w:rsidRPr="001B4A02">
                <w:rPr>
                  <w:rFonts w:ascii="Times New Roman" w:hAnsi="Times New Roman"/>
                  <w:sz w:val="20"/>
                  <w:lang w:val="cs-CZ"/>
                </w:rPr>
                <w:delText>m</w:delText>
              </w:r>
              <w:r w:rsidRPr="001B4A02">
                <w:rPr>
                  <w:rFonts w:ascii="Times New Roman" w:hAnsi="Times New Roman"/>
                  <w:sz w:val="20"/>
                  <w:lang w:val="cs-CZ"/>
                </w:rPr>
                <w:delText>ethotrexát</w:delText>
              </w:r>
            </w:del>
          </w:p>
        </w:tc>
      </w:tr>
    </w:tbl>
    <w:p w14:paraId="2C4B96DF" w14:textId="77777777" w:rsidR="00AE574B" w:rsidRPr="001B4A02" w:rsidRDefault="00AE574B" w:rsidP="00CE5DAE">
      <w:pPr>
        <w:pStyle w:val="EMEANormal"/>
        <w:tabs>
          <w:tab w:val="clear" w:pos="562"/>
          <w:tab w:val="left" w:pos="708"/>
        </w:tabs>
        <w:suppressAutoHyphens w:val="0"/>
        <w:rPr>
          <w:del w:id="6602" w:author="AbbVie1" w:date="2025-05-13T09:50:00Z"/>
          <w:lang w:val="cs-CZ"/>
        </w:rPr>
      </w:pPr>
    </w:p>
    <w:p w14:paraId="6AE7B6B6" w14:textId="77777777" w:rsidR="00AE574B" w:rsidRPr="001B4A02" w:rsidRDefault="00000000" w:rsidP="00ED48A3">
      <w:pPr>
        <w:pStyle w:val="EMEANormal"/>
        <w:tabs>
          <w:tab w:val="clear" w:pos="562"/>
          <w:tab w:val="left" w:pos="708"/>
        </w:tabs>
        <w:suppressAutoHyphens w:val="0"/>
        <w:rPr>
          <w:del w:id="6603" w:author="AbbVie1" w:date="2025-05-13T09:50:00Z"/>
          <w:lang w:val="cs-CZ"/>
        </w:rPr>
      </w:pPr>
      <w:del w:id="6604" w:author="AbbVie1" w:date="2025-05-13T09:50:00Z">
        <w:r w:rsidRPr="001B4A02">
          <w:rPr>
            <w:lang w:val="cs-CZ"/>
          </w:rPr>
          <w:delText>V psoriatické studii I došlo u</w:delText>
        </w:r>
        <w:r w:rsidR="00C048C3" w:rsidRPr="001B4A02">
          <w:rPr>
            <w:lang w:val="cs-CZ"/>
          </w:rPr>
          <w:delText> </w:delText>
        </w:r>
        <w:r w:rsidRPr="001B4A02">
          <w:rPr>
            <w:lang w:val="cs-CZ"/>
          </w:rPr>
          <w:delText>28</w:delText>
        </w:r>
        <w:r w:rsidR="001E10EB" w:rsidRPr="001B4A02">
          <w:rPr>
            <w:lang w:val="cs-CZ"/>
          </w:rPr>
          <w:delText> </w:delText>
        </w:r>
        <w:r w:rsidRPr="001B4A02">
          <w:rPr>
            <w:lang w:val="cs-CZ"/>
          </w:rPr>
          <w:delText>% pacientů, kteří dosáhli odpovědi PASI 75</w:delText>
        </w:r>
        <w:r w:rsidR="002378E0">
          <w:rPr>
            <w:lang w:val="cs-CZ"/>
          </w:rPr>
          <w:delText xml:space="preserve"> a </w:delText>
        </w:r>
        <w:r w:rsidRPr="001B4A02">
          <w:rPr>
            <w:lang w:val="cs-CZ"/>
          </w:rPr>
          <w:delText>byli re-randomizováni na placebo v týdnu 33, ke „ztrátě adekvátní odpovědi“ (PASI skóre po týdnu 33</w:delText>
        </w:r>
        <w:r w:rsidR="002378E0">
          <w:rPr>
            <w:lang w:val="cs-CZ"/>
          </w:rPr>
          <w:delText xml:space="preserve"> a </w:delText>
        </w:r>
        <w:r w:rsidRPr="001B4A02">
          <w:rPr>
            <w:lang w:val="cs-CZ"/>
          </w:rPr>
          <w:delText>v</w:delText>
        </w:r>
        <w:r w:rsidR="00255A0A" w:rsidRPr="001B4A02">
          <w:rPr>
            <w:lang w:val="cs-CZ"/>
          </w:rPr>
          <w:delText> </w:delText>
        </w:r>
        <w:r w:rsidRPr="001B4A02">
          <w:rPr>
            <w:lang w:val="cs-CZ"/>
          </w:rPr>
          <w:delText>týdnu 52 nebo před ním, které vyústilo v</w:delText>
        </w:r>
        <w:r w:rsidR="00255A0A" w:rsidRPr="001B4A02">
          <w:rPr>
            <w:lang w:val="cs-CZ"/>
          </w:rPr>
          <w:delText> </w:delText>
        </w:r>
        <w:r w:rsidRPr="001B4A02">
          <w:rPr>
            <w:lang w:val="cs-CZ"/>
          </w:rPr>
          <w:delText>odpověď PASI &lt; 50 vzhledem k výchozímu stavu s minimálně 6bodovým vzestupem PASI skóre vzhledem k týdnu 33), v porovnání s 5</w:delText>
        </w:r>
        <w:r w:rsidR="001E10EB" w:rsidRPr="001B4A02">
          <w:rPr>
            <w:lang w:val="cs-CZ"/>
          </w:rPr>
          <w:delText> </w:delText>
        </w:r>
        <w:r w:rsidRPr="001B4A02">
          <w:rPr>
            <w:lang w:val="cs-CZ"/>
          </w:rPr>
          <w:delText>% těch, kteří pokračovali v léčbě přípravkem Humira, p&lt;0,001. Z pacientů, u</w:delText>
        </w:r>
        <w:r w:rsidR="00C048C3" w:rsidRPr="001B4A02">
          <w:rPr>
            <w:lang w:val="cs-CZ"/>
          </w:rPr>
          <w:delText> </w:delText>
        </w:r>
        <w:r w:rsidRPr="001B4A02">
          <w:rPr>
            <w:lang w:val="cs-CZ"/>
          </w:rPr>
          <w:delText>kte</w:delText>
        </w:r>
        <w:r w:rsidR="00CD6D96" w:rsidRPr="001B4A02">
          <w:rPr>
            <w:lang w:val="cs-CZ"/>
          </w:rPr>
          <w:delText>r</w:delText>
        </w:r>
        <w:r w:rsidRPr="001B4A02">
          <w:rPr>
            <w:lang w:val="cs-CZ"/>
          </w:rPr>
          <w:delText>ých došlo ke „ztrátě adekvátní odpovědi“ po re-randomizaci na placebo</w:delText>
        </w:r>
        <w:r w:rsidR="002378E0">
          <w:rPr>
            <w:lang w:val="cs-CZ"/>
          </w:rPr>
          <w:delText xml:space="preserve"> a </w:delText>
        </w:r>
        <w:r w:rsidRPr="001B4A02">
          <w:rPr>
            <w:lang w:val="cs-CZ"/>
          </w:rPr>
          <w:delText>kteří byli zařazeni do otevřené prodloužené fáze studie, došlo u</w:delText>
        </w:r>
        <w:r w:rsidR="00C048C3" w:rsidRPr="001B4A02">
          <w:rPr>
            <w:lang w:val="cs-CZ"/>
          </w:rPr>
          <w:delText> </w:delText>
        </w:r>
        <w:r w:rsidRPr="001B4A02">
          <w:rPr>
            <w:lang w:val="cs-CZ"/>
          </w:rPr>
          <w:delText>38</w:delText>
        </w:r>
        <w:r w:rsidR="001E10EB" w:rsidRPr="001B4A02">
          <w:rPr>
            <w:lang w:val="cs-CZ"/>
          </w:rPr>
          <w:delText> </w:delText>
        </w:r>
        <w:r w:rsidRPr="001B4A02">
          <w:rPr>
            <w:lang w:val="cs-CZ"/>
          </w:rPr>
          <w:delText>% pacientů (25 z</w:delText>
        </w:r>
        <w:r w:rsidR="0006352B" w:rsidRPr="001B4A02">
          <w:rPr>
            <w:lang w:val="cs-CZ"/>
          </w:rPr>
          <w:delText> </w:delText>
        </w:r>
        <w:r w:rsidRPr="001B4A02">
          <w:rPr>
            <w:lang w:val="cs-CZ"/>
          </w:rPr>
          <w:delText>66) k opětovnému návratu odpovědi PASI 75 po 12 týdnech léčby</w:delText>
        </w:r>
        <w:r w:rsidR="002378E0">
          <w:rPr>
            <w:lang w:val="cs-CZ"/>
          </w:rPr>
          <w:delText xml:space="preserve"> a </w:delText>
        </w:r>
        <w:r w:rsidRPr="001B4A02">
          <w:rPr>
            <w:lang w:val="cs-CZ"/>
          </w:rPr>
          <w:delText>u</w:delText>
        </w:r>
        <w:r w:rsidR="00C048C3" w:rsidRPr="001B4A02">
          <w:rPr>
            <w:lang w:val="cs-CZ"/>
          </w:rPr>
          <w:delText> </w:delText>
        </w:r>
        <w:r w:rsidRPr="001B4A02">
          <w:rPr>
            <w:lang w:val="cs-CZ"/>
          </w:rPr>
          <w:delText>55</w:delText>
        </w:r>
        <w:r w:rsidR="001E10EB" w:rsidRPr="001B4A02">
          <w:rPr>
            <w:lang w:val="cs-CZ"/>
          </w:rPr>
          <w:delText> </w:delText>
        </w:r>
        <w:r w:rsidRPr="001B4A02">
          <w:rPr>
            <w:lang w:val="cs-CZ"/>
          </w:rPr>
          <w:delText>% pacientů (36 z</w:delText>
        </w:r>
        <w:r w:rsidR="0006352B" w:rsidRPr="001B4A02">
          <w:rPr>
            <w:lang w:val="cs-CZ"/>
          </w:rPr>
          <w:delText> </w:delText>
        </w:r>
        <w:r w:rsidRPr="001B4A02">
          <w:rPr>
            <w:lang w:val="cs-CZ"/>
          </w:rPr>
          <w:delText>66) po 24 týdnech léčby.</w:delText>
        </w:r>
      </w:del>
    </w:p>
    <w:p w14:paraId="56594BD1" w14:textId="77777777" w:rsidR="00AE574B" w:rsidRPr="001B4A02" w:rsidRDefault="00AE574B" w:rsidP="00ED48A3">
      <w:pPr>
        <w:pStyle w:val="EMEANormal"/>
        <w:tabs>
          <w:tab w:val="clear" w:pos="562"/>
          <w:tab w:val="left" w:pos="708"/>
        </w:tabs>
        <w:suppressAutoHyphens w:val="0"/>
        <w:rPr>
          <w:del w:id="6605" w:author="AbbVie1" w:date="2025-05-13T09:50:00Z"/>
          <w:lang w:val="cs-CZ"/>
        </w:rPr>
      </w:pPr>
    </w:p>
    <w:p w14:paraId="3ABE79C0" w14:textId="77777777" w:rsidR="00AE574B" w:rsidRPr="001B4A02" w:rsidRDefault="00000000" w:rsidP="00ED48A3">
      <w:pPr>
        <w:pStyle w:val="EMEANormal"/>
        <w:tabs>
          <w:tab w:val="clear" w:pos="562"/>
          <w:tab w:val="left" w:pos="708"/>
        </w:tabs>
        <w:suppressAutoHyphens w:val="0"/>
        <w:rPr>
          <w:del w:id="6606" w:author="AbbVie1" w:date="2025-05-13T09:50:00Z"/>
          <w:lang w:val="cs-CZ"/>
        </w:rPr>
      </w:pPr>
      <w:del w:id="6607" w:author="AbbVie1" w:date="2025-05-13T09:50:00Z">
        <w:r w:rsidRPr="001B4A02">
          <w:rPr>
            <w:lang w:val="cs-CZ"/>
          </w:rPr>
          <w:delText>Celkem 233 pacientů, kteří dosáhli odpovědi PASI 75 v týdnu 16</w:delText>
        </w:r>
        <w:r w:rsidR="002378E0">
          <w:rPr>
            <w:lang w:val="cs-CZ"/>
          </w:rPr>
          <w:delText xml:space="preserve"> a </w:delText>
        </w:r>
        <w:r w:rsidRPr="001B4A02">
          <w:rPr>
            <w:lang w:val="cs-CZ"/>
          </w:rPr>
          <w:delText>v týdnu 33, pokračovalo v léčbě přípravkem Humira po dobu 52 týdnů v psoriatické s</w:delText>
        </w:r>
        <w:r w:rsidR="007978AF">
          <w:rPr>
            <w:lang w:val="cs-CZ"/>
          </w:rPr>
          <w:delText>t</w:delText>
        </w:r>
        <w:r w:rsidRPr="001B4A02">
          <w:rPr>
            <w:lang w:val="cs-CZ"/>
          </w:rPr>
          <w:delText>udii I</w:delText>
        </w:r>
        <w:r w:rsidR="002378E0">
          <w:rPr>
            <w:lang w:val="cs-CZ"/>
          </w:rPr>
          <w:delText xml:space="preserve"> a </w:delText>
        </w:r>
        <w:r w:rsidRPr="001B4A02">
          <w:rPr>
            <w:lang w:val="cs-CZ"/>
          </w:rPr>
          <w:delText>postoupilo do otevřené prodloužené fáze studie. Po dalších 108 týdnech otevřené fáze léčby (celkem 160 týdnů) dosáhlo 74,7</w:delText>
        </w:r>
        <w:r w:rsidR="001E10EB" w:rsidRPr="001B4A02">
          <w:rPr>
            <w:lang w:val="cs-CZ"/>
          </w:rPr>
          <w:delText> </w:delText>
        </w:r>
        <w:r w:rsidRPr="001B4A02">
          <w:rPr>
            <w:lang w:val="cs-CZ"/>
          </w:rPr>
          <w:delText>% z těchto pacientů jasné nebo minimální úrovně odpovědi v</w:delText>
        </w:r>
        <w:r w:rsidR="00255A0A" w:rsidRPr="001B4A02">
          <w:rPr>
            <w:lang w:val="cs-CZ"/>
          </w:rPr>
          <w:delText> </w:delText>
        </w:r>
        <w:r w:rsidRPr="001B4A02">
          <w:rPr>
            <w:lang w:val="cs-CZ"/>
          </w:rPr>
          <w:delText>PASI 75</w:delText>
        </w:r>
        <w:r w:rsidR="002378E0">
          <w:rPr>
            <w:lang w:val="cs-CZ"/>
          </w:rPr>
          <w:delText xml:space="preserve"> a </w:delText>
        </w:r>
        <w:r w:rsidRPr="001B4A02">
          <w:rPr>
            <w:lang w:val="cs-CZ"/>
          </w:rPr>
          <w:delText>59</w:delText>
        </w:r>
        <w:r w:rsidR="001E10EB" w:rsidRPr="001B4A02">
          <w:rPr>
            <w:lang w:val="cs-CZ"/>
          </w:rPr>
          <w:delText> </w:delText>
        </w:r>
        <w:r w:rsidRPr="001B4A02">
          <w:rPr>
            <w:lang w:val="cs-CZ"/>
          </w:rPr>
          <w:delText>% z nich dosáhlo stejné úrovně v</w:delText>
        </w:r>
        <w:r w:rsidR="00AC7C92" w:rsidRPr="001B4A02">
          <w:rPr>
            <w:lang w:val="cs-CZ"/>
          </w:rPr>
          <w:delText> </w:delText>
        </w:r>
        <w:r w:rsidRPr="001B4A02">
          <w:rPr>
            <w:lang w:val="cs-CZ"/>
          </w:rPr>
          <w:delText>PGA. V analýzách, v nichž byli všichni pacienti, kteří ze studie odstoupili z důvodu nežádoucích účinků či nedostatečné účinnosti nebo kteří vyžadovali navyšování dávky, považováni za neodpovídající na léčbu, bylo u</w:delText>
        </w:r>
        <w:r w:rsidR="00255A0A" w:rsidRPr="001B4A02">
          <w:rPr>
            <w:lang w:val="cs-CZ"/>
          </w:rPr>
          <w:delText> </w:delText>
        </w:r>
        <w:r w:rsidRPr="001B4A02">
          <w:rPr>
            <w:lang w:val="cs-CZ"/>
          </w:rPr>
          <w:delText>těchto pacientů po dalších 108 týdnech otevřené fáze léčby (celkem 160 týdnů) dosaženo jasné nebo minimální odpovědi v</w:delText>
        </w:r>
        <w:r w:rsidR="00255A0A" w:rsidRPr="001B4A02">
          <w:rPr>
            <w:lang w:val="cs-CZ"/>
          </w:rPr>
          <w:delText> </w:delText>
        </w:r>
        <w:r w:rsidRPr="001B4A02">
          <w:rPr>
            <w:lang w:val="cs-CZ"/>
          </w:rPr>
          <w:delText>PASI 75</w:delText>
        </w:r>
        <w:r w:rsidR="002378E0">
          <w:rPr>
            <w:lang w:val="cs-CZ"/>
          </w:rPr>
          <w:delText xml:space="preserve"> a </w:delText>
        </w:r>
        <w:r w:rsidRPr="001B4A02">
          <w:rPr>
            <w:lang w:val="cs-CZ"/>
          </w:rPr>
          <w:delText>PGA celkem u</w:delText>
        </w:r>
        <w:r w:rsidR="00255A0A" w:rsidRPr="001B4A02">
          <w:rPr>
            <w:lang w:val="cs-CZ"/>
          </w:rPr>
          <w:delText> </w:delText>
        </w:r>
        <w:r w:rsidRPr="001B4A02">
          <w:rPr>
            <w:lang w:val="cs-CZ"/>
          </w:rPr>
          <w:delText>69,9</w:delText>
        </w:r>
        <w:r w:rsidR="001E10EB" w:rsidRPr="001B4A02">
          <w:rPr>
            <w:lang w:val="cs-CZ"/>
          </w:rPr>
          <w:delText> </w:delText>
        </w:r>
        <w:r w:rsidRPr="001B4A02">
          <w:rPr>
            <w:lang w:val="cs-CZ"/>
          </w:rPr>
          <w:delText>% v případě PASI 75</w:delText>
        </w:r>
        <w:r w:rsidR="002378E0">
          <w:rPr>
            <w:lang w:val="cs-CZ"/>
          </w:rPr>
          <w:delText xml:space="preserve"> a </w:delText>
        </w:r>
        <w:r w:rsidRPr="001B4A02">
          <w:rPr>
            <w:lang w:val="cs-CZ"/>
          </w:rPr>
          <w:delText>55,7</w:delText>
        </w:r>
        <w:r w:rsidR="001E10EB" w:rsidRPr="001B4A02">
          <w:rPr>
            <w:lang w:val="cs-CZ"/>
          </w:rPr>
          <w:delText> </w:delText>
        </w:r>
        <w:r w:rsidRPr="001B4A02">
          <w:rPr>
            <w:lang w:val="cs-CZ"/>
          </w:rPr>
          <w:delText>% u</w:delText>
        </w:r>
        <w:r w:rsidR="00C048C3" w:rsidRPr="001B4A02">
          <w:rPr>
            <w:lang w:val="cs-CZ"/>
          </w:rPr>
          <w:delText> </w:delText>
        </w:r>
        <w:r w:rsidRPr="001B4A02">
          <w:rPr>
            <w:lang w:val="cs-CZ"/>
          </w:rPr>
          <w:delText>PGA.</w:delText>
        </w:r>
      </w:del>
    </w:p>
    <w:p w14:paraId="38519903" w14:textId="77777777" w:rsidR="00AE574B" w:rsidRPr="001B4A02" w:rsidRDefault="00AE574B" w:rsidP="00ED48A3">
      <w:pPr>
        <w:pStyle w:val="EMEANormal"/>
        <w:tabs>
          <w:tab w:val="clear" w:pos="562"/>
          <w:tab w:val="left" w:pos="708"/>
        </w:tabs>
        <w:suppressAutoHyphens w:val="0"/>
        <w:rPr>
          <w:del w:id="6608" w:author="AbbVie1" w:date="2025-05-13T09:50:00Z"/>
          <w:lang w:val="cs-CZ"/>
        </w:rPr>
      </w:pPr>
    </w:p>
    <w:p w14:paraId="2D67CEE6" w14:textId="77777777" w:rsidR="00AE574B" w:rsidRPr="001B4A02" w:rsidRDefault="00000000" w:rsidP="00ED48A3">
      <w:pPr>
        <w:pStyle w:val="EMEANormal"/>
        <w:tabs>
          <w:tab w:val="clear" w:pos="562"/>
          <w:tab w:val="left" w:pos="708"/>
        </w:tabs>
        <w:suppressAutoHyphens w:val="0"/>
        <w:rPr>
          <w:del w:id="6609" w:author="AbbVie1" w:date="2025-05-13T09:50:00Z"/>
          <w:lang w:val="cs-CZ"/>
        </w:rPr>
      </w:pPr>
      <w:del w:id="6610" w:author="AbbVie1" w:date="2025-05-13T09:50:00Z">
        <w:r w:rsidRPr="001B4A02">
          <w:rPr>
            <w:lang w:val="cs-CZ"/>
          </w:rPr>
          <w:delText>Celkem 347 na léčbu stabilně odpovídajících pacientů se účastnilo otevřené fáze studie, ve které byl adalimumab vysazen</w:delText>
        </w:r>
        <w:r w:rsidR="002378E0">
          <w:rPr>
            <w:lang w:val="cs-CZ"/>
          </w:rPr>
          <w:delText xml:space="preserve"> a </w:delText>
        </w:r>
        <w:r w:rsidRPr="001B4A02">
          <w:rPr>
            <w:lang w:val="cs-CZ"/>
          </w:rPr>
          <w:delText>opětovně nasazen. V</w:delText>
        </w:r>
        <w:r w:rsidR="0006352B" w:rsidRPr="001B4A02">
          <w:rPr>
            <w:lang w:val="cs-CZ"/>
          </w:rPr>
          <w:delText> </w:delText>
        </w:r>
        <w:r w:rsidRPr="001B4A02">
          <w:rPr>
            <w:lang w:val="cs-CZ"/>
          </w:rPr>
          <w:delText>průběhu období po vysazení se symptomy psoriázy vrátily po čase zpět s</w:delText>
        </w:r>
        <w:r w:rsidR="0006352B" w:rsidRPr="001B4A02">
          <w:rPr>
            <w:lang w:val="cs-CZ"/>
          </w:rPr>
          <w:delText> </w:delText>
        </w:r>
        <w:r w:rsidRPr="001B4A02">
          <w:rPr>
            <w:lang w:val="cs-CZ"/>
          </w:rPr>
          <w:delText>průměrnou dobou návratu (pokles v</w:delText>
        </w:r>
        <w:r w:rsidR="0006352B" w:rsidRPr="001B4A02">
          <w:rPr>
            <w:lang w:val="cs-CZ"/>
          </w:rPr>
          <w:delText> </w:delText>
        </w:r>
        <w:r w:rsidRPr="001B4A02">
          <w:rPr>
            <w:lang w:val="cs-CZ"/>
          </w:rPr>
          <w:delText>PGA na mírné nebo horší) při</w:delText>
        </w:r>
        <w:r w:rsidR="007978AF">
          <w:rPr>
            <w:lang w:val="cs-CZ"/>
          </w:rPr>
          <w:delText>b</w:delText>
        </w:r>
        <w:r w:rsidRPr="001B4A02">
          <w:rPr>
            <w:lang w:val="cs-CZ"/>
          </w:rPr>
          <w:delText>ližně 5 měsíců. U</w:delText>
        </w:r>
        <w:r w:rsidR="0006352B" w:rsidRPr="001B4A02">
          <w:rPr>
            <w:lang w:val="cs-CZ"/>
          </w:rPr>
          <w:delText> </w:delText>
        </w:r>
        <w:r w:rsidRPr="001B4A02">
          <w:rPr>
            <w:lang w:val="cs-CZ"/>
          </w:rPr>
          <w:delText>žádného z</w:delText>
        </w:r>
        <w:r w:rsidR="0006352B" w:rsidRPr="001B4A02">
          <w:rPr>
            <w:lang w:val="cs-CZ"/>
          </w:rPr>
          <w:delText> </w:delText>
        </w:r>
        <w:r w:rsidRPr="001B4A02">
          <w:rPr>
            <w:lang w:val="cs-CZ"/>
          </w:rPr>
          <w:delText>těchto pacientů nedošlo k</w:delText>
        </w:r>
        <w:r w:rsidR="0006352B" w:rsidRPr="001B4A02">
          <w:rPr>
            <w:lang w:val="cs-CZ"/>
          </w:rPr>
          <w:delText> </w:delText>
        </w:r>
        <w:r w:rsidRPr="001B4A02">
          <w:rPr>
            <w:lang w:val="cs-CZ"/>
          </w:rPr>
          <w:delText>rebound fenoménu po dobu vysazení léčby. Celkem 76,5</w:delText>
        </w:r>
        <w:r w:rsidR="001E10EB" w:rsidRPr="001B4A02">
          <w:rPr>
            <w:lang w:val="cs-CZ"/>
          </w:rPr>
          <w:delText> </w:delText>
        </w:r>
        <w:r w:rsidRPr="001B4A02">
          <w:rPr>
            <w:lang w:val="cs-CZ"/>
          </w:rPr>
          <w:delText>% pacientů (218 z</w:delText>
        </w:r>
        <w:r w:rsidR="0006352B" w:rsidRPr="001B4A02">
          <w:rPr>
            <w:lang w:val="cs-CZ"/>
          </w:rPr>
          <w:delText> </w:delText>
        </w:r>
        <w:r w:rsidRPr="001B4A02">
          <w:rPr>
            <w:lang w:val="cs-CZ"/>
          </w:rPr>
          <w:delText>285), kteří přešli do fáze znovunasazení adalimumabu, mělo po 16 týdnech léčby jasnou nebo minimální úroveň odpovědi v</w:delText>
        </w:r>
        <w:r w:rsidR="0006352B" w:rsidRPr="001B4A02">
          <w:rPr>
            <w:lang w:val="cs-CZ"/>
          </w:rPr>
          <w:delText> </w:delText>
        </w:r>
        <w:r w:rsidRPr="001B4A02">
          <w:rPr>
            <w:lang w:val="cs-CZ"/>
          </w:rPr>
          <w:delText>PGA, bez ohledu na to, zda se u</w:delText>
        </w:r>
        <w:r w:rsidR="0006352B" w:rsidRPr="001B4A02">
          <w:rPr>
            <w:lang w:val="cs-CZ"/>
          </w:rPr>
          <w:delText> </w:delText>
        </w:r>
        <w:r w:rsidRPr="001B4A02">
          <w:rPr>
            <w:lang w:val="cs-CZ"/>
          </w:rPr>
          <w:delText>nich v</w:delText>
        </w:r>
        <w:r w:rsidR="0006352B" w:rsidRPr="001B4A02">
          <w:rPr>
            <w:lang w:val="cs-CZ"/>
          </w:rPr>
          <w:delText> </w:delText>
        </w:r>
        <w:r w:rsidRPr="001B4A02">
          <w:rPr>
            <w:lang w:val="cs-CZ"/>
          </w:rPr>
          <w:delText>průběhu období, kdy byl lék vysazen, objevil relaps (u</w:delText>
        </w:r>
        <w:r w:rsidR="0006352B" w:rsidRPr="001B4A02">
          <w:rPr>
            <w:lang w:val="cs-CZ"/>
          </w:rPr>
          <w:delText> </w:delText>
        </w:r>
        <w:r w:rsidRPr="001B4A02">
          <w:rPr>
            <w:lang w:val="cs-CZ"/>
          </w:rPr>
          <w:delText>69,1</w:delText>
        </w:r>
        <w:r w:rsidR="001E10EB" w:rsidRPr="001B4A02">
          <w:rPr>
            <w:lang w:val="cs-CZ"/>
          </w:rPr>
          <w:delText> </w:delText>
        </w:r>
        <w:r w:rsidRPr="001B4A02">
          <w:rPr>
            <w:lang w:val="cs-CZ"/>
          </w:rPr>
          <w:delText>% [123 z</w:delText>
        </w:r>
        <w:r w:rsidR="0006352B" w:rsidRPr="001B4A02">
          <w:rPr>
            <w:lang w:val="cs-CZ"/>
          </w:rPr>
          <w:delText> </w:delText>
        </w:r>
        <w:r w:rsidRPr="001B4A02">
          <w:rPr>
            <w:lang w:val="cs-CZ"/>
          </w:rPr>
          <w:delText>178] se objevil relaps</w:delText>
        </w:r>
        <w:r w:rsidR="002378E0">
          <w:rPr>
            <w:lang w:val="cs-CZ"/>
          </w:rPr>
          <w:delText xml:space="preserve"> a </w:delText>
        </w:r>
        <w:r w:rsidRPr="001B4A02">
          <w:rPr>
            <w:lang w:val="cs-CZ"/>
          </w:rPr>
          <w:delText>88,8</w:delText>
        </w:r>
        <w:r w:rsidR="001E10EB" w:rsidRPr="001B4A02">
          <w:rPr>
            <w:lang w:val="cs-CZ"/>
          </w:rPr>
          <w:delText> </w:delText>
        </w:r>
        <w:r w:rsidRPr="001B4A02">
          <w:rPr>
            <w:lang w:val="cs-CZ"/>
          </w:rPr>
          <w:delText>% [95 ze 107] bylo v</w:delText>
        </w:r>
        <w:r w:rsidR="0006352B" w:rsidRPr="001B4A02">
          <w:rPr>
            <w:lang w:val="cs-CZ"/>
          </w:rPr>
          <w:delText> </w:delText>
        </w:r>
        <w:r w:rsidRPr="001B4A02">
          <w:rPr>
            <w:lang w:val="cs-CZ"/>
          </w:rPr>
          <w:delText>tomto období bez relapsu). V</w:delText>
        </w:r>
        <w:r w:rsidR="0006352B" w:rsidRPr="001B4A02">
          <w:rPr>
            <w:lang w:val="cs-CZ"/>
          </w:rPr>
          <w:delText> </w:delText>
        </w:r>
        <w:r w:rsidRPr="001B4A02">
          <w:rPr>
            <w:lang w:val="cs-CZ"/>
          </w:rPr>
          <w:delText>průběhu doby po znovunasazení léčby byl pozorován podobný bezpečnostní profil jako v</w:delText>
        </w:r>
        <w:r w:rsidR="0006352B" w:rsidRPr="001B4A02">
          <w:rPr>
            <w:lang w:val="cs-CZ"/>
          </w:rPr>
          <w:delText> </w:delText>
        </w:r>
        <w:r w:rsidRPr="001B4A02">
          <w:rPr>
            <w:lang w:val="cs-CZ"/>
          </w:rPr>
          <w:delText>období před vysazením léčby.</w:delText>
        </w:r>
      </w:del>
    </w:p>
    <w:p w14:paraId="027919FC" w14:textId="77777777" w:rsidR="00AE574B" w:rsidRPr="001B4A02" w:rsidRDefault="00AE574B" w:rsidP="00ED48A3">
      <w:pPr>
        <w:pStyle w:val="EMEANormal"/>
        <w:tabs>
          <w:tab w:val="clear" w:pos="562"/>
          <w:tab w:val="left" w:pos="708"/>
        </w:tabs>
        <w:suppressAutoHyphens w:val="0"/>
        <w:rPr>
          <w:del w:id="6611" w:author="AbbVie1" w:date="2025-05-13T09:50:00Z"/>
          <w:u w:val="single"/>
          <w:lang w:val="cs-CZ"/>
        </w:rPr>
      </w:pPr>
    </w:p>
    <w:p w14:paraId="7AE69682" w14:textId="77777777" w:rsidR="00AE574B" w:rsidRPr="001B4A02" w:rsidRDefault="00000000" w:rsidP="00ED48A3">
      <w:pPr>
        <w:pStyle w:val="EMEANormal"/>
        <w:tabs>
          <w:tab w:val="clear" w:pos="562"/>
          <w:tab w:val="left" w:pos="708"/>
        </w:tabs>
        <w:suppressAutoHyphens w:val="0"/>
        <w:rPr>
          <w:del w:id="6612" w:author="AbbVie1" w:date="2025-05-13T09:50:00Z"/>
          <w:lang w:val="cs-CZ"/>
        </w:rPr>
      </w:pPr>
      <w:del w:id="6613" w:author="AbbVie1" w:date="2025-05-13T09:50:00Z">
        <w:r w:rsidRPr="001B4A02">
          <w:rPr>
            <w:lang w:val="cs-CZ"/>
          </w:rPr>
          <w:delText>Významné zlepšení v týdnu 16 oproti výchozímu stavu v porovnání s léčbou placebem (studie I</w:delText>
        </w:r>
        <w:r w:rsidR="002378E0">
          <w:rPr>
            <w:lang w:val="cs-CZ"/>
          </w:rPr>
          <w:delText xml:space="preserve"> a </w:delText>
        </w:r>
        <w:r w:rsidRPr="001B4A02">
          <w:rPr>
            <w:lang w:val="cs-CZ"/>
          </w:rPr>
          <w:delText>II)</w:delText>
        </w:r>
        <w:r w:rsidR="002378E0">
          <w:rPr>
            <w:lang w:val="cs-CZ"/>
          </w:rPr>
          <w:delText xml:space="preserve"> a </w:delText>
        </w:r>
        <w:r w:rsidRPr="001B4A02">
          <w:rPr>
            <w:lang w:val="cs-CZ"/>
          </w:rPr>
          <w:delText>MTX (studie II) bylo prokázáno v DLQI (Dermatology Life Quality Index). Ve studii I došlo také k</w:delText>
        </w:r>
        <w:r w:rsidR="00AC7C92" w:rsidRPr="001B4A02">
          <w:rPr>
            <w:lang w:val="cs-CZ"/>
          </w:rPr>
          <w:delText> </w:delText>
        </w:r>
        <w:r w:rsidRPr="001B4A02">
          <w:rPr>
            <w:lang w:val="cs-CZ"/>
          </w:rPr>
          <w:delText>významnému zlepšení fyzické</w:delText>
        </w:r>
        <w:r w:rsidR="002378E0">
          <w:rPr>
            <w:lang w:val="cs-CZ"/>
          </w:rPr>
          <w:delText xml:space="preserve"> a </w:delText>
        </w:r>
        <w:r w:rsidRPr="001B4A02">
          <w:rPr>
            <w:lang w:val="cs-CZ"/>
          </w:rPr>
          <w:delText>mentální části celkového skóre SF-36 v porovnání s placebem.</w:delText>
        </w:r>
      </w:del>
    </w:p>
    <w:p w14:paraId="7B2901BF" w14:textId="77777777" w:rsidR="00AE574B" w:rsidRPr="001B4A02" w:rsidRDefault="00AE574B" w:rsidP="00ED48A3">
      <w:pPr>
        <w:pStyle w:val="EMEANormal"/>
        <w:tabs>
          <w:tab w:val="clear" w:pos="562"/>
          <w:tab w:val="left" w:pos="708"/>
        </w:tabs>
        <w:suppressAutoHyphens w:val="0"/>
        <w:rPr>
          <w:del w:id="6614" w:author="AbbVie1" w:date="2025-05-13T09:50:00Z"/>
          <w:lang w:val="cs-CZ"/>
        </w:rPr>
      </w:pPr>
    </w:p>
    <w:p w14:paraId="6F34EB5A" w14:textId="77777777" w:rsidR="001F6C51" w:rsidRPr="001B4A02" w:rsidRDefault="00000000" w:rsidP="00ED48A3">
      <w:pPr>
        <w:pStyle w:val="EMEANormal"/>
        <w:tabs>
          <w:tab w:val="clear" w:pos="562"/>
          <w:tab w:val="left" w:pos="708"/>
        </w:tabs>
        <w:suppressAutoHyphens w:val="0"/>
        <w:rPr>
          <w:del w:id="6615" w:author="AbbVie1" w:date="2025-05-13T09:50:00Z"/>
          <w:lang w:val="cs-CZ"/>
        </w:rPr>
      </w:pPr>
      <w:del w:id="6616" w:author="AbbVie1" w:date="2025-05-13T09:50:00Z">
        <w:r w:rsidRPr="001B4A02">
          <w:rPr>
            <w:lang w:val="cs-CZ"/>
          </w:rPr>
          <w:delText>V otevřené prodloužené studii u</w:delText>
        </w:r>
        <w:r w:rsidR="00C048C3" w:rsidRPr="001B4A02">
          <w:rPr>
            <w:lang w:val="cs-CZ"/>
          </w:rPr>
          <w:delText> </w:delText>
        </w:r>
        <w:r w:rsidRPr="001B4A02">
          <w:rPr>
            <w:lang w:val="cs-CZ"/>
          </w:rPr>
          <w:delText>pacientů, u</w:delText>
        </w:r>
        <w:r w:rsidR="00C048C3" w:rsidRPr="001B4A02">
          <w:rPr>
            <w:lang w:val="cs-CZ"/>
          </w:rPr>
          <w:delText> </w:delText>
        </w:r>
        <w:r w:rsidRPr="001B4A02">
          <w:rPr>
            <w:lang w:val="cs-CZ"/>
          </w:rPr>
          <w:delText>nichž byla z důvodu odpovědi PASI pod 50</w:delText>
        </w:r>
        <w:r w:rsidR="006008CB">
          <w:rPr>
            <w:lang w:val="cs-CZ"/>
          </w:rPr>
          <w:delText> %</w:delText>
        </w:r>
        <w:r w:rsidRPr="001B4A02">
          <w:rPr>
            <w:lang w:val="cs-CZ"/>
          </w:rPr>
          <w:delText xml:space="preserve"> dávka zvýšena ze 40</w:delText>
        </w:r>
        <w:r w:rsidR="00294902">
          <w:rPr>
            <w:lang w:val="cs-CZ"/>
          </w:rPr>
          <w:delText> mg</w:delText>
        </w:r>
        <w:r w:rsidRPr="001B4A02">
          <w:rPr>
            <w:lang w:val="cs-CZ"/>
          </w:rPr>
          <w:delText xml:space="preserve"> každý druhý týden na 40</w:delText>
        </w:r>
        <w:r w:rsidR="00294902">
          <w:rPr>
            <w:lang w:val="cs-CZ"/>
          </w:rPr>
          <w:delText> mg</w:delText>
        </w:r>
        <w:r w:rsidRPr="001B4A02">
          <w:rPr>
            <w:lang w:val="cs-CZ"/>
          </w:rPr>
          <w:delText xml:space="preserve"> týdně, dosáhlo opětovného návratu odpovědi PASI 75 celkem 26,4</w:delText>
        </w:r>
        <w:r w:rsidR="006008CB">
          <w:rPr>
            <w:lang w:val="cs-CZ"/>
          </w:rPr>
          <w:delText> %</w:delText>
        </w:r>
        <w:r w:rsidRPr="001B4A02">
          <w:rPr>
            <w:lang w:val="cs-CZ"/>
          </w:rPr>
          <w:delText xml:space="preserve"> pacientů (92</w:delText>
        </w:r>
        <w:r w:rsidR="00220665" w:rsidRPr="001B4A02">
          <w:rPr>
            <w:lang w:val="cs-CZ"/>
          </w:rPr>
          <w:delText xml:space="preserve"> z </w:delText>
        </w:r>
        <w:r w:rsidRPr="001B4A02">
          <w:rPr>
            <w:lang w:val="cs-CZ"/>
          </w:rPr>
          <w:delText>349) v týdnu 12</w:delText>
        </w:r>
        <w:r w:rsidR="002378E0">
          <w:rPr>
            <w:lang w:val="cs-CZ"/>
          </w:rPr>
          <w:delText xml:space="preserve"> a </w:delText>
        </w:r>
        <w:r w:rsidRPr="001B4A02">
          <w:rPr>
            <w:lang w:val="cs-CZ"/>
          </w:rPr>
          <w:delText>37,8</w:delText>
        </w:r>
        <w:r w:rsidR="006008CB">
          <w:rPr>
            <w:lang w:val="cs-CZ"/>
          </w:rPr>
          <w:delText> %</w:delText>
        </w:r>
        <w:r w:rsidRPr="001B4A02">
          <w:rPr>
            <w:lang w:val="cs-CZ"/>
          </w:rPr>
          <w:delText xml:space="preserve"> (132</w:delText>
        </w:r>
        <w:r w:rsidR="00220665" w:rsidRPr="001B4A02">
          <w:rPr>
            <w:lang w:val="cs-CZ"/>
          </w:rPr>
          <w:delText xml:space="preserve"> z </w:delText>
        </w:r>
        <w:r w:rsidRPr="001B4A02">
          <w:rPr>
            <w:lang w:val="cs-CZ"/>
          </w:rPr>
          <w:delText>349) v týdnu 24.</w:delText>
        </w:r>
      </w:del>
    </w:p>
    <w:p w14:paraId="5C35DC59" w14:textId="77777777" w:rsidR="00DA1F84" w:rsidRPr="001B4A02" w:rsidRDefault="00DA1F84" w:rsidP="00ED48A3">
      <w:pPr>
        <w:pStyle w:val="EMEANormal"/>
        <w:tabs>
          <w:tab w:val="clear" w:pos="562"/>
          <w:tab w:val="left" w:pos="708"/>
        </w:tabs>
        <w:suppressAutoHyphens w:val="0"/>
        <w:rPr>
          <w:del w:id="6617" w:author="AbbVie1" w:date="2025-05-13T09:50:00Z"/>
          <w:lang w:val="cs-CZ"/>
        </w:rPr>
      </w:pPr>
    </w:p>
    <w:p w14:paraId="19531787" w14:textId="77777777" w:rsidR="00DA1F84" w:rsidRPr="001B4A02" w:rsidRDefault="00000000" w:rsidP="00ED48A3">
      <w:pPr>
        <w:pStyle w:val="EMEANormal"/>
        <w:tabs>
          <w:tab w:val="left" w:pos="708"/>
        </w:tabs>
        <w:rPr>
          <w:del w:id="6618" w:author="AbbVie1" w:date="2025-05-13T09:50:00Z"/>
          <w:lang w:val="cs-CZ"/>
        </w:rPr>
      </w:pPr>
      <w:del w:id="6619" w:author="AbbVie1" w:date="2025-05-13T09:50:00Z">
        <w:r w:rsidRPr="001B4A02">
          <w:rPr>
            <w:lang w:val="cs-CZ"/>
          </w:rPr>
          <w:delText>Psoriatická studie III (</w:delText>
        </w:r>
        <w:r w:rsidR="002A2EDA" w:rsidRPr="001B4A02">
          <w:rPr>
            <w:lang w:val="cs-CZ"/>
          </w:rPr>
          <w:delText>REACH</w:delText>
        </w:r>
        <w:r w:rsidRPr="001B4A02">
          <w:rPr>
            <w:lang w:val="cs-CZ"/>
          </w:rPr>
          <w:delText>) srovnávala účinnost</w:delText>
        </w:r>
        <w:r w:rsidR="002378E0">
          <w:rPr>
            <w:lang w:val="cs-CZ"/>
          </w:rPr>
          <w:delText xml:space="preserve"> a </w:delText>
        </w:r>
        <w:r w:rsidRPr="001B4A02">
          <w:rPr>
            <w:lang w:val="cs-CZ"/>
          </w:rPr>
          <w:delText>bezpečnost přípravku Humira v porovnání s</w:delText>
        </w:r>
        <w:r w:rsidR="00AC7C92" w:rsidRPr="001B4A02">
          <w:rPr>
            <w:lang w:val="cs-CZ"/>
          </w:rPr>
          <w:delText> </w:delText>
        </w:r>
        <w:r w:rsidRPr="001B4A02">
          <w:rPr>
            <w:lang w:val="cs-CZ"/>
          </w:rPr>
          <w:delText>placebem u</w:delText>
        </w:r>
        <w:r w:rsidR="00C048C3" w:rsidRPr="001B4A02">
          <w:rPr>
            <w:lang w:val="cs-CZ"/>
          </w:rPr>
          <w:delText> </w:delText>
        </w:r>
        <w:r w:rsidR="00D705E0" w:rsidRPr="001B4A02">
          <w:rPr>
            <w:lang w:val="cs-CZ"/>
          </w:rPr>
          <w:delText xml:space="preserve">72 </w:delText>
        </w:r>
        <w:r w:rsidRPr="001B4A02">
          <w:rPr>
            <w:lang w:val="cs-CZ"/>
          </w:rPr>
          <w:delText>pacientů se středně těžkou až těžkou chronickou ložiskovou psoriázou</w:delText>
        </w:r>
        <w:r w:rsidR="002378E0">
          <w:rPr>
            <w:lang w:val="cs-CZ"/>
          </w:rPr>
          <w:delText xml:space="preserve"> a </w:delText>
        </w:r>
        <w:r w:rsidRPr="001B4A02">
          <w:rPr>
            <w:lang w:val="cs-CZ"/>
          </w:rPr>
          <w:delText>psoriázou na rukou a/nebo chodidlech. Pacienti dostávali úvodní dávku 80</w:delText>
        </w:r>
        <w:r w:rsidR="00294902">
          <w:rPr>
            <w:lang w:val="cs-CZ"/>
          </w:rPr>
          <w:delText> mg</w:delText>
        </w:r>
        <w:r w:rsidRPr="001B4A02">
          <w:rPr>
            <w:lang w:val="cs-CZ"/>
          </w:rPr>
          <w:delText xml:space="preserve"> </w:delText>
        </w:r>
        <w:r w:rsidR="00220665" w:rsidRPr="001B4A02">
          <w:rPr>
            <w:lang w:val="cs-CZ"/>
          </w:rPr>
          <w:delText xml:space="preserve">přípravku </w:delText>
        </w:r>
        <w:r w:rsidRPr="001B4A02">
          <w:rPr>
            <w:lang w:val="cs-CZ"/>
          </w:rPr>
          <w:delText>Humir</w:delText>
        </w:r>
        <w:r w:rsidR="00220665" w:rsidRPr="001B4A02">
          <w:rPr>
            <w:lang w:val="cs-CZ"/>
          </w:rPr>
          <w:delText>a</w:delText>
        </w:r>
        <w:r w:rsidRPr="001B4A02">
          <w:rPr>
            <w:lang w:val="cs-CZ"/>
          </w:rPr>
          <w:delText>, po níž následovala dávka 40</w:delText>
        </w:r>
        <w:r w:rsidR="00294902">
          <w:rPr>
            <w:lang w:val="cs-CZ"/>
          </w:rPr>
          <w:delText> mg</w:delText>
        </w:r>
        <w:r w:rsidRPr="001B4A02">
          <w:rPr>
            <w:lang w:val="cs-CZ"/>
          </w:rPr>
          <w:delText xml:space="preserve"> každý druhý týden (počínaje prvním týdnem po úvodní dávce)</w:delText>
        </w:r>
        <w:r w:rsidR="00B47250" w:rsidRPr="001B4A02">
          <w:rPr>
            <w:lang w:val="cs-CZ"/>
          </w:rPr>
          <w:delText>,</w:delText>
        </w:r>
        <w:r w:rsidRPr="001B4A02">
          <w:rPr>
            <w:lang w:val="cs-CZ"/>
          </w:rPr>
          <w:delText xml:space="preserve"> nebo placebo po dobu 16 týdnů. V týdnu 16 významně větší část pacientů, kteří byli léčeni přípravkem Humira, dosáhla PGA skóre (Physician´s Global Assessment) „čisté“ nebo „téměř čisté“ pro ruce a/nebo chodidla ve srovnání s pacienty, kteří dostávali placebo (30</w:delText>
        </w:r>
        <w:r w:rsidR="00B47250" w:rsidRPr="001B4A02">
          <w:rPr>
            <w:lang w:val="cs-CZ"/>
          </w:rPr>
          <w:delText>,</w:delText>
        </w:r>
        <w:r w:rsidRPr="001B4A02">
          <w:rPr>
            <w:lang w:val="cs-CZ"/>
          </w:rPr>
          <w:delText>6</w:delText>
        </w:r>
        <w:r w:rsidR="001E10EB" w:rsidRPr="001B4A02">
          <w:rPr>
            <w:lang w:val="cs-CZ"/>
          </w:rPr>
          <w:delText> </w:delText>
        </w:r>
        <w:r w:rsidRPr="001B4A02">
          <w:rPr>
            <w:lang w:val="cs-CZ"/>
          </w:rPr>
          <w:delText>% ve</w:delText>
        </w:r>
        <w:r w:rsidR="00062315" w:rsidRPr="001B4A02">
          <w:rPr>
            <w:lang w:val="cs-CZ"/>
          </w:rPr>
          <w:delText>rsus 4</w:delText>
        </w:r>
        <w:r w:rsidR="00220665" w:rsidRPr="001B4A02">
          <w:rPr>
            <w:lang w:val="cs-CZ"/>
          </w:rPr>
          <w:delText>,</w:delText>
        </w:r>
        <w:r w:rsidR="00062315" w:rsidRPr="001B4A02">
          <w:rPr>
            <w:lang w:val="cs-CZ"/>
          </w:rPr>
          <w:delText>3</w:delText>
        </w:r>
        <w:r w:rsidR="001E10EB" w:rsidRPr="001B4A02">
          <w:rPr>
            <w:lang w:val="cs-CZ"/>
          </w:rPr>
          <w:delText> </w:delText>
        </w:r>
        <w:r w:rsidR="00062315" w:rsidRPr="001B4A02">
          <w:rPr>
            <w:lang w:val="cs-CZ"/>
          </w:rPr>
          <w:delText>%, resp. [P = 0</w:delText>
        </w:r>
        <w:r w:rsidR="00220665" w:rsidRPr="001B4A02">
          <w:rPr>
            <w:lang w:val="cs-CZ"/>
          </w:rPr>
          <w:delText>,</w:delText>
        </w:r>
        <w:r w:rsidR="00062315" w:rsidRPr="001B4A02">
          <w:rPr>
            <w:lang w:val="cs-CZ"/>
          </w:rPr>
          <w:delText>014]).</w:delText>
        </w:r>
      </w:del>
    </w:p>
    <w:p w14:paraId="23BA5DAD" w14:textId="77777777" w:rsidR="00AE574B" w:rsidRPr="001B4A02" w:rsidRDefault="00AE574B" w:rsidP="00ED48A3">
      <w:pPr>
        <w:ind w:left="0" w:firstLine="0"/>
        <w:rPr>
          <w:del w:id="6620" w:author="AbbVie1" w:date="2025-05-13T09:50:00Z"/>
        </w:rPr>
      </w:pPr>
    </w:p>
    <w:p w14:paraId="3FA88233" w14:textId="77777777" w:rsidR="00181ED8" w:rsidRPr="001B4A02" w:rsidRDefault="00000000" w:rsidP="00ED48A3">
      <w:pPr>
        <w:pStyle w:val="EMEANormal"/>
        <w:tabs>
          <w:tab w:val="clear" w:pos="562"/>
          <w:tab w:val="left" w:pos="708"/>
        </w:tabs>
        <w:suppressAutoHyphens w:val="0"/>
        <w:rPr>
          <w:del w:id="6621" w:author="AbbVie1" w:date="2025-05-13T09:50:00Z"/>
          <w:lang w:val="cs-CZ"/>
        </w:rPr>
      </w:pPr>
      <w:del w:id="6622" w:author="AbbVie1" w:date="2025-05-13T09:50:00Z">
        <w:r w:rsidRPr="001B4A02">
          <w:rPr>
            <w:lang w:val="cs-CZ"/>
          </w:rPr>
          <w:delText>Psoriatická studie IV porovnávala účinnost</w:delText>
        </w:r>
        <w:r w:rsidR="002378E0">
          <w:rPr>
            <w:lang w:val="cs-CZ"/>
          </w:rPr>
          <w:delText xml:space="preserve"> a </w:delText>
        </w:r>
        <w:r w:rsidRPr="001B4A02">
          <w:rPr>
            <w:lang w:val="cs-CZ"/>
          </w:rPr>
          <w:delText>bezpečnost přípravku Humira oproti</w:delText>
        </w:r>
        <w:r w:rsidRPr="001B4A02">
          <w:rPr>
            <w:i/>
            <w:lang w:val="cs-CZ"/>
          </w:rPr>
          <w:delText xml:space="preserve"> </w:delText>
        </w:r>
        <w:r w:rsidRPr="001B4A02">
          <w:rPr>
            <w:lang w:val="cs-CZ"/>
          </w:rPr>
          <w:delText>placebu u</w:delText>
        </w:r>
        <w:r w:rsidR="00C048C3" w:rsidRPr="001B4A02">
          <w:rPr>
            <w:lang w:val="cs-CZ"/>
          </w:rPr>
          <w:delText> </w:delText>
        </w:r>
        <w:r w:rsidRPr="001B4A02">
          <w:rPr>
            <w:lang w:val="cs-CZ"/>
          </w:rPr>
          <w:delText>217 dospělých pacientů se středně těžkou až těžkou psoriázou nehtů. Pacienti d</w:delText>
        </w:r>
        <w:r w:rsidR="00AC7C92" w:rsidRPr="001B4A02">
          <w:rPr>
            <w:lang w:val="cs-CZ"/>
          </w:rPr>
          <w:delText>ostávali úvodní dávku 80</w:delText>
        </w:r>
        <w:r w:rsidR="00294902">
          <w:rPr>
            <w:lang w:val="cs-CZ"/>
          </w:rPr>
          <w:delText> mg</w:delText>
        </w:r>
        <w:r w:rsidRPr="001B4A02">
          <w:rPr>
            <w:lang w:val="cs-CZ"/>
          </w:rPr>
          <w:delText xml:space="preserve"> přípravku Humira následovanou dávkou 40</w:delText>
        </w:r>
        <w:r w:rsidR="00294902">
          <w:rPr>
            <w:lang w:val="cs-CZ"/>
          </w:rPr>
          <w:delText> mg</w:delText>
        </w:r>
        <w:r w:rsidRPr="001B4A02">
          <w:rPr>
            <w:lang w:val="cs-CZ"/>
          </w:rPr>
          <w:delText xml:space="preserve"> každý druhý týden (počínaje prvním týdnem po </w:delText>
        </w:r>
        <w:r w:rsidR="00CF3348" w:rsidRPr="001B4A02">
          <w:rPr>
            <w:lang w:val="cs-CZ"/>
          </w:rPr>
          <w:delText>úvodní</w:delText>
        </w:r>
        <w:r w:rsidRPr="001B4A02">
          <w:rPr>
            <w:lang w:val="cs-CZ"/>
          </w:rPr>
          <w:delText xml:space="preserve"> dávce)</w:delText>
        </w:r>
        <w:r w:rsidR="00EC661C" w:rsidRPr="001B4A02">
          <w:rPr>
            <w:lang w:val="cs-CZ"/>
          </w:rPr>
          <w:delText>,</w:delText>
        </w:r>
        <w:r w:rsidRPr="001B4A02">
          <w:rPr>
            <w:lang w:val="cs-CZ"/>
          </w:rPr>
          <w:delText xml:space="preserve"> nebo placebo po dobu 26 týdnů</w:delText>
        </w:r>
        <w:r w:rsidR="007E2F50" w:rsidRPr="001B4A02">
          <w:rPr>
            <w:lang w:val="cs-CZ"/>
          </w:rPr>
          <w:delText>,</w:delText>
        </w:r>
        <w:r w:rsidRPr="001B4A02">
          <w:rPr>
            <w:lang w:val="cs-CZ"/>
          </w:rPr>
          <w:delText xml:space="preserve"> následované otevřenou fází léčby přípravkem Humira po následujících 26 týdnů. Hodnocení psoriázy nehtů zahrnovalo „Modified Nail Psoriasis Severity Index“ (mNAPSI), „Physician´s Global Assessment of Fingernail Psoriasis“ (PGA-F)</w:delText>
        </w:r>
        <w:r w:rsidR="002378E0">
          <w:rPr>
            <w:lang w:val="cs-CZ"/>
          </w:rPr>
          <w:delText xml:space="preserve"> a </w:delText>
        </w:r>
        <w:r w:rsidRPr="001B4A02">
          <w:rPr>
            <w:lang w:val="cs-CZ"/>
          </w:rPr>
          <w:delText>„Nail Psoriasis Severity Index“ (NAPSI) (viz tabulka 1</w:delText>
        </w:r>
        <w:r w:rsidR="00910F04">
          <w:rPr>
            <w:lang w:val="cs-CZ"/>
          </w:rPr>
          <w:delText>8</w:delText>
        </w:r>
        <w:r w:rsidRPr="001B4A02">
          <w:rPr>
            <w:lang w:val="cs-CZ"/>
          </w:rPr>
          <w:delText>). Léčba pří</w:delText>
        </w:r>
        <w:r w:rsidR="00AC7C92" w:rsidRPr="001B4A02">
          <w:rPr>
            <w:lang w:val="cs-CZ"/>
          </w:rPr>
          <w:delText>pravkem Humira byla prospěšná u </w:delText>
        </w:r>
        <w:r w:rsidRPr="001B4A02">
          <w:rPr>
            <w:lang w:val="cs-CZ"/>
          </w:rPr>
          <w:delText>pacientů s psoriázou nehtů s různým rozsahem postižení kůže (</w:delText>
        </w:r>
        <w:r w:rsidRPr="001B4A02">
          <w:rPr>
            <w:szCs w:val="22"/>
            <w:lang w:val="cs-CZ"/>
          </w:rPr>
          <w:delText>BSA</w:delText>
        </w:r>
        <w:r w:rsidR="001E10EB" w:rsidRPr="001B4A02">
          <w:rPr>
            <w:szCs w:val="22"/>
            <w:lang w:val="cs-CZ"/>
          </w:rPr>
          <w:delText xml:space="preserve"> </w:delText>
        </w:r>
        <w:r w:rsidRPr="001B4A02">
          <w:rPr>
            <w:szCs w:val="22"/>
            <w:lang w:val="cs-CZ"/>
          </w:rPr>
          <w:delText>≥</w:delText>
        </w:r>
        <w:r w:rsidR="001E10EB" w:rsidRPr="001B4A02">
          <w:rPr>
            <w:lang w:val="cs-CZ"/>
          </w:rPr>
          <w:delText> </w:delText>
        </w:r>
        <w:r w:rsidRPr="001B4A02">
          <w:rPr>
            <w:szCs w:val="22"/>
            <w:lang w:val="cs-CZ"/>
          </w:rPr>
          <w:delText>10</w:delText>
        </w:r>
        <w:r w:rsidR="001E10EB" w:rsidRPr="001B4A02">
          <w:rPr>
            <w:lang w:val="cs-CZ"/>
          </w:rPr>
          <w:delText> </w:delText>
        </w:r>
        <w:r w:rsidRPr="001B4A02">
          <w:rPr>
            <w:szCs w:val="22"/>
            <w:lang w:val="cs-CZ"/>
          </w:rPr>
          <w:delText>% (60</w:delText>
        </w:r>
        <w:r w:rsidR="001E10EB" w:rsidRPr="001B4A02">
          <w:rPr>
            <w:lang w:val="cs-CZ"/>
          </w:rPr>
          <w:delText> </w:delText>
        </w:r>
        <w:r w:rsidRPr="001B4A02">
          <w:rPr>
            <w:szCs w:val="22"/>
            <w:lang w:val="cs-CZ"/>
          </w:rPr>
          <w:delText>% pacientů)</w:delText>
        </w:r>
        <w:r w:rsidR="002378E0">
          <w:rPr>
            <w:szCs w:val="22"/>
            <w:lang w:val="cs-CZ"/>
          </w:rPr>
          <w:delText xml:space="preserve"> a </w:delText>
        </w:r>
        <w:r w:rsidRPr="001B4A02">
          <w:rPr>
            <w:szCs w:val="22"/>
            <w:lang w:val="cs-CZ"/>
          </w:rPr>
          <w:delText>BSA</w:delText>
        </w:r>
        <w:r w:rsidR="001E10EB" w:rsidRPr="001B4A02">
          <w:rPr>
            <w:szCs w:val="22"/>
            <w:lang w:val="cs-CZ"/>
          </w:rPr>
          <w:delText xml:space="preserve"> </w:delText>
        </w:r>
        <w:r w:rsidRPr="001B4A02">
          <w:rPr>
            <w:szCs w:val="22"/>
            <w:lang w:val="cs-CZ"/>
          </w:rPr>
          <w:delText>&lt;</w:delText>
        </w:r>
        <w:r w:rsidR="001E10EB" w:rsidRPr="001B4A02">
          <w:rPr>
            <w:lang w:val="cs-CZ"/>
          </w:rPr>
          <w:delText> </w:delText>
        </w:r>
        <w:r w:rsidRPr="001B4A02">
          <w:rPr>
            <w:szCs w:val="22"/>
            <w:lang w:val="cs-CZ"/>
          </w:rPr>
          <w:delText>10</w:delText>
        </w:r>
        <w:r w:rsidR="001E10EB" w:rsidRPr="001B4A02">
          <w:rPr>
            <w:lang w:val="cs-CZ"/>
          </w:rPr>
          <w:delText> </w:delText>
        </w:r>
        <w:r w:rsidRPr="001B4A02">
          <w:rPr>
            <w:szCs w:val="22"/>
            <w:lang w:val="cs-CZ"/>
          </w:rPr>
          <w:delText>%</w:delText>
        </w:r>
        <w:r w:rsidR="002378E0">
          <w:rPr>
            <w:szCs w:val="22"/>
            <w:lang w:val="cs-CZ"/>
          </w:rPr>
          <w:delText xml:space="preserve"> a </w:delText>
        </w:r>
        <w:r w:rsidRPr="001B4A02">
          <w:rPr>
            <w:szCs w:val="22"/>
            <w:lang w:val="cs-CZ"/>
          </w:rPr>
          <w:delText>≥</w:delText>
        </w:r>
        <w:r w:rsidR="001E10EB" w:rsidRPr="001B4A02">
          <w:rPr>
            <w:lang w:val="cs-CZ"/>
          </w:rPr>
          <w:delText> </w:delText>
        </w:r>
        <w:r w:rsidRPr="001B4A02">
          <w:rPr>
            <w:szCs w:val="22"/>
            <w:lang w:val="cs-CZ"/>
          </w:rPr>
          <w:delText>5</w:delText>
        </w:r>
        <w:r w:rsidR="001E10EB" w:rsidRPr="001B4A02">
          <w:rPr>
            <w:lang w:val="cs-CZ"/>
          </w:rPr>
          <w:delText> </w:delText>
        </w:r>
        <w:r w:rsidRPr="001B4A02">
          <w:rPr>
            <w:szCs w:val="22"/>
            <w:lang w:val="cs-CZ"/>
          </w:rPr>
          <w:delText>% (40</w:delText>
        </w:r>
        <w:r w:rsidR="001E10EB" w:rsidRPr="001B4A02">
          <w:rPr>
            <w:lang w:val="cs-CZ"/>
          </w:rPr>
          <w:delText> </w:delText>
        </w:r>
        <w:r w:rsidRPr="001B4A02">
          <w:rPr>
            <w:szCs w:val="22"/>
            <w:lang w:val="cs-CZ"/>
          </w:rPr>
          <w:delText>% pacientů)).</w:delText>
        </w:r>
      </w:del>
    </w:p>
    <w:p w14:paraId="3E97BBE3" w14:textId="77777777" w:rsidR="00181ED8" w:rsidRPr="001B4A02" w:rsidRDefault="00181ED8" w:rsidP="00ED48A3">
      <w:pPr>
        <w:pStyle w:val="gtcbodytext"/>
        <w:spacing w:before="0" w:after="0" w:line="240" w:lineRule="auto"/>
        <w:rPr>
          <w:del w:id="6623" w:author="AbbVie1" w:date="2025-05-13T09:50:00Z"/>
          <w:sz w:val="22"/>
          <w:szCs w:val="22"/>
          <w:lang w:val="cs-CZ"/>
        </w:rPr>
      </w:pPr>
    </w:p>
    <w:p w14:paraId="5E0FD9BE" w14:textId="77777777" w:rsidR="00181ED8" w:rsidRPr="001B4A02" w:rsidRDefault="00000000" w:rsidP="00ED48A3">
      <w:pPr>
        <w:pStyle w:val="gtctabletitleotherwise"/>
        <w:keepNext/>
        <w:spacing w:before="0"/>
        <w:rPr>
          <w:del w:id="6624" w:author="AbbVie1" w:date="2025-05-13T09:50:00Z"/>
          <w:bCs w:val="0"/>
          <w:sz w:val="22"/>
          <w:szCs w:val="22"/>
          <w:lang w:val="cs-CZ"/>
        </w:rPr>
      </w:pPr>
      <w:del w:id="6625" w:author="AbbVie1" w:date="2025-05-13T09:50:00Z">
        <w:r w:rsidRPr="001B4A02">
          <w:rPr>
            <w:bCs w:val="0"/>
            <w:sz w:val="22"/>
            <w:szCs w:val="22"/>
            <w:lang w:val="cs-CZ"/>
          </w:rPr>
          <w:delText xml:space="preserve">Tabulka </w:delText>
        </w:r>
        <w:r w:rsidR="00CC1B29">
          <w:rPr>
            <w:bCs w:val="0"/>
            <w:sz w:val="22"/>
            <w:szCs w:val="22"/>
            <w:lang w:val="cs-CZ"/>
          </w:rPr>
          <w:delText>18</w:delText>
        </w:r>
      </w:del>
    </w:p>
    <w:p w14:paraId="2121258B" w14:textId="77777777" w:rsidR="00181ED8" w:rsidRPr="001B4A02" w:rsidRDefault="00000000" w:rsidP="00ED48A3">
      <w:pPr>
        <w:pStyle w:val="gtctabletitleotherwise"/>
        <w:keepNext/>
        <w:spacing w:before="0"/>
        <w:rPr>
          <w:del w:id="6626" w:author="AbbVie1" w:date="2025-05-13T09:50:00Z"/>
          <w:sz w:val="22"/>
          <w:szCs w:val="22"/>
          <w:lang w:val="cs-CZ"/>
        </w:rPr>
      </w:pPr>
      <w:del w:id="6627" w:author="AbbVie1" w:date="2025-05-13T09:50:00Z">
        <w:r w:rsidRPr="001B4A02">
          <w:rPr>
            <w:bCs w:val="0"/>
            <w:sz w:val="22"/>
            <w:szCs w:val="22"/>
            <w:lang w:val="cs-CZ"/>
          </w:rPr>
          <w:delText>Výsledky účinnosti v</w:delText>
        </w:r>
        <w:r w:rsidR="00255A0A" w:rsidRPr="001B4A02">
          <w:rPr>
            <w:bCs w:val="0"/>
            <w:sz w:val="22"/>
            <w:szCs w:val="22"/>
            <w:lang w:val="cs-CZ"/>
          </w:rPr>
          <w:delText> </w:delText>
        </w:r>
        <w:r w:rsidRPr="001B4A02">
          <w:rPr>
            <w:bCs w:val="0"/>
            <w:sz w:val="22"/>
            <w:szCs w:val="22"/>
            <w:lang w:val="cs-CZ"/>
          </w:rPr>
          <w:delText>týdnech 16, 26</w:delText>
        </w:r>
        <w:r w:rsidR="002378E0">
          <w:rPr>
            <w:bCs w:val="0"/>
            <w:sz w:val="22"/>
            <w:szCs w:val="22"/>
            <w:lang w:val="cs-CZ"/>
          </w:rPr>
          <w:delText xml:space="preserve"> a </w:delText>
        </w:r>
        <w:r w:rsidRPr="001B4A02">
          <w:rPr>
            <w:bCs w:val="0"/>
            <w:sz w:val="22"/>
            <w:szCs w:val="22"/>
            <w:lang w:val="cs-CZ"/>
          </w:rPr>
          <w:delText>52</w:delText>
        </w:r>
        <w:r w:rsidR="00C048C3" w:rsidRPr="001B4A02">
          <w:rPr>
            <w:bCs w:val="0"/>
            <w:sz w:val="22"/>
            <w:szCs w:val="22"/>
            <w:lang w:val="cs-CZ"/>
          </w:rPr>
          <w:delText xml:space="preserve"> </w:delText>
        </w:r>
        <w:r w:rsidRPr="001B4A02">
          <w:rPr>
            <w:bCs w:val="0"/>
            <w:sz w:val="22"/>
            <w:szCs w:val="22"/>
            <w:lang w:val="cs-CZ"/>
          </w:rPr>
          <w:delText>u</w:delText>
        </w:r>
        <w:r w:rsidR="00C048C3" w:rsidRPr="001B4A02">
          <w:rPr>
            <w:bCs w:val="0"/>
            <w:sz w:val="22"/>
            <w:szCs w:val="22"/>
            <w:lang w:val="cs-CZ"/>
          </w:rPr>
          <w:delText> </w:delText>
        </w:r>
        <w:r w:rsidRPr="001B4A02">
          <w:rPr>
            <w:bCs w:val="0"/>
            <w:sz w:val="22"/>
            <w:szCs w:val="22"/>
            <w:lang w:val="cs-CZ"/>
          </w:rPr>
          <w:delText>psoriatické studie IV</w:delText>
        </w:r>
      </w:del>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993"/>
        <w:gridCol w:w="1417"/>
        <w:gridCol w:w="992"/>
        <w:gridCol w:w="1560"/>
        <w:gridCol w:w="1417"/>
      </w:tblGrid>
      <w:tr w:rsidR="00534A2D" w14:paraId="691C7AAD" w14:textId="77777777" w:rsidTr="00255A0A">
        <w:trPr>
          <w:del w:id="6628" w:author="AbbVie1" w:date="2025-05-13T09:50:00Z"/>
        </w:trPr>
        <w:tc>
          <w:tcPr>
            <w:tcW w:w="2943" w:type="dxa"/>
            <w:vMerge w:val="restart"/>
            <w:shd w:val="clear" w:color="auto" w:fill="auto"/>
          </w:tcPr>
          <w:p w14:paraId="0FA9FEF8" w14:textId="77777777" w:rsidR="00181ED8" w:rsidRPr="001B4A02" w:rsidRDefault="00000000" w:rsidP="00ED48A3">
            <w:pPr>
              <w:pStyle w:val="gtctablespaceafter"/>
              <w:keepNext/>
              <w:spacing w:after="0"/>
              <w:rPr>
                <w:del w:id="6629" w:author="AbbVie1" w:date="2025-05-13T09:50:00Z"/>
                <w:sz w:val="22"/>
                <w:szCs w:val="22"/>
                <w:lang w:val="cs-CZ"/>
              </w:rPr>
            </w:pPr>
            <w:del w:id="6630" w:author="AbbVie1" w:date="2025-05-13T09:50:00Z">
              <w:r w:rsidRPr="001B4A02">
                <w:rPr>
                  <w:sz w:val="22"/>
                  <w:szCs w:val="22"/>
                  <w:lang w:val="cs-CZ"/>
                </w:rPr>
                <w:delText>Primární cílový parametr</w:delText>
              </w:r>
            </w:del>
          </w:p>
        </w:tc>
        <w:tc>
          <w:tcPr>
            <w:tcW w:w="2410" w:type="dxa"/>
            <w:gridSpan w:val="2"/>
            <w:shd w:val="clear" w:color="auto" w:fill="auto"/>
          </w:tcPr>
          <w:p w14:paraId="07A72FC9" w14:textId="77777777" w:rsidR="00181ED8" w:rsidRPr="001B4A02" w:rsidRDefault="00000000" w:rsidP="00ED48A3">
            <w:pPr>
              <w:pStyle w:val="gtctablespaceafter"/>
              <w:keepNext/>
              <w:spacing w:after="0"/>
              <w:jc w:val="center"/>
              <w:rPr>
                <w:del w:id="6631" w:author="AbbVie1" w:date="2025-05-13T09:50:00Z"/>
                <w:sz w:val="22"/>
                <w:szCs w:val="22"/>
                <w:lang w:val="cs-CZ"/>
              </w:rPr>
            </w:pPr>
            <w:del w:id="6632" w:author="AbbVie1" w:date="2025-05-13T09:50:00Z">
              <w:r w:rsidRPr="001B4A02">
                <w:rPr>
                  <w:sz w:val="22"/>
                  <w:szCs w:val="22"/>
                  <w:lang w:val="cs-CZ"/>
                </w:rPr>
                <w:delText>Týden 16</w:delText>
              </w:r>
            </w:del>
          </w:p>
          <w:p w14:paraId="33E0F4A2" w14:textId="77777777" w:rsidR="00181ED8" w:rsidRPr="001B4A02" w:rsidRDefault="00000000" w:rsidP="00ED48A3">
            <w:pPr>
              <w:pStyle w:val="gtctablespaceafter"/>
              <w:keepNext/>
              <w:spacing w:after="0"/>
              <w:jc w:val="center"/>
              <w:rPr>
                <w:del w:id="6633" w:author="AbbVie1" w:date="2025-05-13T09:50:00Z"/>
                <w:sz w:val="22"/>
                <w:szCs w:val="22"/>
                <w:lang w:val="cs-CZ"/>
              </w:rPr>
            </w:pPr>
            <w:del w:id="6634" w:author="AbbVie1" w:date="2025-05-13T09:50:00Z">
              <w:r w:rsidRPr="001B4A02">
                <w:rPr>
                  <w:sz w:val="22"/>
                  <w:szCs w:val="22"/>
                  <w:lang w:val="cs-CZ"/>
                </w:rPr>
                <w:delText>Placebem kontrolovaná</w:delText>
              </w:r>
            </w:del>
          </w:p>
        </w:tc>
        <w:tc>
          <w:tcPr>
            <w:tcW w:w="2552" w:type="dxa"/>
            <w:gridSpan w:val="2"/>
            <w:shd w:val="clear" w:color="auto" w:fill="auto"/>
          </w:tcPr>
          <w:p w14:paraId="5815B0AF" w14:textId="77777777" w:rsidR="00181ED8" w:rsidRPr="001B4A02" w:rsidRDefault="00000000" w:rsidP="00ED48A3">
            <w:pPr>
              <w:pStyle w:val="gtctablespaceafter"/>
              <w:keepNext/>
              <w:spacing w:after="0"/>
              <w:jc w:val="center"/>
              <w:rPr>
                <w:del w:id="6635" w:author="AbbVie1" w:date="2025-05-13T09:50:00Z"/>
                <w:sz w:val="22"/>
                <w:szCs w:val="22"/>
                <w:lang w:val="cs-CZ"/>
              </w:rPr>
            </w:pPr>
            <w:del w:id="6636" w:author="AbbVie1" w:date="2025-05-13T09:50:00Z">
              <w:r w:rsidRPr="001B4A02">
                <w:rPr>
                  <w:sz w:val="22"/>
                  <w:szCs w:val="22"/>
                  <w:lang w:val="cs-CZ"/>
                </w:rPr>
                <w:delText>Týden 26</w:delText>
              </w:r>
            </w:del>
          </w:p>
          <w:p w14:paraId="53280E80" w14:textId="77777777" w:rsidR="00181ED8" w:rsidRPr="001B4A02" w:rsidRDefault="00000000" w:rsidP="00ED48A3">
            <w:pPr>
              <w:pStyle w:val="gtctablespaceafter"/>
              <w:keepNext/>
              <w:spacing w:after="0"/>
              <w:jc w:val="center"/>
              <w:rPr>
                <w:del w:id="6637" w:author="AbbVie1" w:date="2025-05-13T09:50:00Z"/>
                <w:sz w:val="22"/>
                <w:szCs w:val="22"/>
                <w:lang w:val="cs-CZ"/>
              </w:rPr>
            </w:pPr>
            <w:del w:id="6638" w:author="AbbVie1" w:date="2025-05-13T09:50:00Z">
              <w:r w:rsidRPr="001B4A02">
                <w:rPr>
                  <w:sz w:val="22"/>
                  <w:szCs w:val="22"/>
                  <w:lang w:val="cs-CZ"/>
                </w:rPr>
                <w:delText>Placebem kontrolovaná</w:delText>
              </w:r>
            </w:del>
          </w:p>
        </w:tc>
        <w:tc>
          <w:tcPr>
            <w:tcW w:w="1417" w:type="dxa"/>
            <w:shd w:val="clear" w:color="auto" w:fill="auto"/>
          </w:tcPr>
          <w:p w14:paraId="42C1380A" w14:textId="77777777" w:rsidR="00181ED8" w:rsidRPr="001B4A02" w:rsidRDefault="00000000" w:rsidP="00ED48A3">
            <w:pPr>
              <w:pStyle w:val="gtctablespaceafter"/>
              <w:keepNext/>
              <w:spacing w:after="0"/>
              <w:jc w:val="center"/>
              <w:rPr>
                <w:del w:id="6639" w:author="AbbVie1" w:date="2025-05-13T09:50:00Z"/>
                <w:sz w:val="22"/>
                <w:szCs w:val="22"/>
                <w:lang w:val="cs-CZ"/>
              </w:rPr>
            </w:pPr>
            <w:del w:id="6640" w:author="AbbVie1" w:date="2025-05-13T09:50:00Z">
              <w:r w:rsidRPr="001B4A02">
                <w:rPr>
                  <w:sz w:val="22"/>
                  <w:szCs w:val="22"/>
                  <w:lang w:val="cs-CZ"/>
                </w:rPr>
                <w:delText>Týden 52</w:delText>
              </w:r>
            </w:del>
          </w:p>
          <w:p w14:paraId="098FB4EC" w14:textId="77777777" w:rsidR="00181ED8" w:rsidRPr="001B4A02" w:rsidRDefault="00000000" w:rsidP="00ED48A3">
            <w:pPr>
              <w:pStyle w:val="gtctablespaceafter"/>
              <w:keepNext/>
              <w:spacing w:after="0"/>
              <w:jc w:val="center"/>
              <w:rPr>
                <w:del w:id="6641" w:author="AbbVie1" w:date="2025-05-13T09:50:00Z"/>
                <w:sz w:val="22"/>
                <w:szCs w:val="22"/>
                <w:lang w:val="cs-CZ"/>
              </w:rPr>
            </w:pPr>
            <w:del w:id="6642" w:author="AbbVie1" w:date="2025-05-13T09:50:00Z">
              <w:r w:rsidRPr="001B4A02">
                <w:rPr>
                  <w:sz w:val="22"/>
                  <w:szCs w:val="22"/>
                  <w:lang w:val="cs-CZ"/>
                </w:rPr>
                <w:delText>Otevřená</w:delText>
              </w:r>
            </w:del>
          </w:p>
        </w:tc>
      </w:tr>
      <w:tr w:rsidR="00534A2D" w14:paraId="5C46016F" w14:textId="77777777" w:rsidTr="00255A0A">
        <w:trPr>
          <w:del w:id="6643" w:author="AbbVie1" w:date="2025-05-13T09:50:00Z"/>
        </w:trPr>
        <w:tc>
          <w:tcPr>
            <w:tcW w:w="2943" w:type="dxa"/>
            <w:vMerge/>
            <w:shd w:val="clear" w:color="auto" w:fill="auto"/>
          </w:tcPr>
          <w:p w14:paraId="049B40DA" w14:textId="77777777" w:rsidR="00181ED8" w:rsidRPr="001B4A02" w:rsidRDefault="00181ED8" w:rsidP="00ED48A3">
            <w:pPr>
              <w:pStyle w:val="gtctablespaceafter"/>
              <w:keepNext/>
              <w:spacing w:after="0"/>
              <w:rPr>
                <w:del w:id="6644" w:author="AbbVie1" w:date="2025-05-13T09:50:00Z"/>
                <w:sz w:val="22"/>
                <w:szCs w:val="22"/>
                <w:lang w:val="cs-CZ"/>
              </w:rPr>
            </w:pPr>
          </w:p>
        </w:tc>
        <w:tc>
          <w:tcPr>
            <w:tcW w:w="993" w:type="dxa"/>
            <w:shd w:val="clear" w:color="auto" w:fill="auto"/>
          </w:tcPr>
          <w:p w14:paraId="5313A44A" w14:textId="77777777" w:rsidR="00181ED8" w:rsidRPr="001B4A02" w:rsidRDefault="00000000" w:rsidP="00ED48A3">
            <w:pPr>
              <w:pStyle w:val="gtctablespaceafter"/>
              <w:keepNext/>
              <w:spacing w:after="0"/>
              <w:jc w:val="center"/>
              <w:rPr>
                <w:del w:id="6645" w:author="AbbVie1" w:date="2025-05-13T09:50:00Z"/>
                <w:sz w:val="22"/>
                <w:szCs w:val="22"/>
                <w:lang w:val="cs-CZ"/>
              </w:rPr>
            </w:pPr>
            <w:del w:id="6646" w:author="AbbVie1" w:date="2025-05-13T09:50:00Z">
              <w:r w:rsidRPr="001B4A02">
                <w:rPr>
                  <w:sz w:val="22"/>
                  <w:lang w:val="cs-CZ"/>
                </w:rPr>
                <w:delText>Placebo</w:delText>
              </w:r>
              <w:r w:rsidRPr="001B4A02">
                <w:rPr>
                  <w:sz w:val="22"/>
                  <w:lang w:val="cs-CZ"/>
                </w:rPr>
                <w:br/>
              </w:r>
              <w:r w:rsidR="00610431">
                <w:rPr>
                  <w:sz w:val="22"/>
                  <w:lang w:val="cs-CZ"/>
                </w:rPr>
                <w:delText>n</w:delText>
              </w:r>
              <w:r w:rsidRPr="001B4A02">
                <w:rPr>
                  <w:sz w:val="22"/>
                  <w:lang w:val="cs-CZ"/>
                </w:rPr>
                <w:delText>=108</w:delText>
              </w:r>
            </w:del>
          </w:p>
        </w:tc>
        <w:tc>
          <w:tcPr>
            <w:tcW w:w="1417" w:type="dxa"/>
            <w:shd w:val="clear" w:color="auto" w:fill="auto"/>
          </w:tcPr>
          <w:p w14:paraId="33929475" w14:textId="77777777" w:rsidR="00181ED8" w:rsidRPr="001B4A02" w:rsidRDefault="00000000" w:rsidP="00ED48A3">
            <w:pPr>
              <w:pStyle w:val="In-texttable"/>
              <w:spacing w:line="240" w:lineRule="auto"/>
              <w:jc w:val="center"/>
              <w:rPr>
                <w:del w:id="6647" w:author="AbbVie1" w:date="2025-05-13T09:50:00Z"/>
                <w:rFonts w:ascii="Times New Roman" w:hAnsi="Times New Roman"/>
                <w:sz w:val="22"/>
                <w:lang w:val="cs-CZ"/>
              </w:rPr>
            </w:pPr>
            <w:del w:id="6648" w:author="AbbVie1" w:date="2025-05-13T09:50:00Z">
              <w:r w:rsidRPr="001B4A02">
                <w:rPr>
                  <w:rFonts w:ascii="Times New Roman" w:hAnsi="Times New Roman"/>
                  <w:sz w:val="22"/>
                  <w:lang w:val="cs-CZ"/>
                </w:rPr>
                <w:delText>Humira</w:delText>
              </w:r>
            </w:del>
          </w:p>
          <w:p w14:paraId="195623B9" w14:textId="77777777" w:rsidR="00181ED8" w:rsidRPr="001B4A02" w:rsidRDefault="00000000" w:rsidP="00ED48A3">
            <w:pPr>
              <w:pStyle w:val="gtctablespaceafter"/>
              <w:keepNext/>
              <w:spacing w:after="0"/>
              <w:jc w:val="center"/>
              <w:rPr>
                <w:del w:id="6649" w:author="AbbVie1" w:date="2025-05-13T09:50:00Z"/>
                <w:sz w:val="22"/>
                <w:szCs w:val="22"/>
                <w:lang w:val="cs-CZ"/>
              </w:rPr>
            </w:pPr>
            <w:del w:id="6650" w:author="AbbVie1" w:date="2025-05-13T09:50:00Z">
              <w:r w:rsidRPr="001B4A02">
                <w:rPr>
                  <w:sz w:val="22"/>
                  <w:lang w:val="cs-CZ"/>
                </w:rPr>
                <w:delText xml:space="preserve">40 mg každý druhý týden </w:delText>
              </w:r>
              <w:r w:rsidRPr="001B4A02">
                <w:rPr>
                  <w:sz w:val="22"/>
                  <w:lang w:val="cs-CZ"/>
                </w:rPr>
                <w:br/>
              </w:r>
              <w:r w:rsidR="00610431">
                <w:rPr>
                  <w:sz w:val="22"/>
                  <w:lang w:val="cs-CZ"/>
                </w:rPr>
                <w:delText>n</w:delText>
              </w:r>
              <w:r w:rsidRPr="001B4A02">
                <w:rPr>
                  <w:sz w:val="22"/>
                  <w:lang w:val="cs-CZ"/>
                </w:rPr>
                <w:delText>=109</w:delText>
              </w:r>
            </w:del>
          </w:p>
        </w:tc>
        <w:tc>
          <w:tcPr>
            <w:tcW w:w="992" w:type="dxa"/>
            <w:shd w:val="clear" w:color="auto" w:fill="auto"/>
          </w:tcPr>
          <w:p w14:paraId="18A5342B" w14:textId="77777777" w:rsidR="00181ED8" w:rsidRPr="001B4A02" w:rsidRDefault="00000000" w:rsidP="00ED48A3">
            <w:pPr>
              <w:pStyle w:val="gtctablespaceafter"/>
              <w:keepNext/>
              <w:spacing w:after="0"/>
              <w:jc w:val="center"/>
              <w:rPr>
                <w:del w:id="6651" w:author="AbbVie1" w:date="2025-05-13T09:50:00Z"/>
                <w:sz w:val="22"/>
                <w:szCs w:val="22"/>
                <w:lang w:val="cs-CZ"/>
              </w:rPr>
            </w:pPr>
            <w:del w:id="6652" w:author="AbbVie1" w:date="2025-05-13T09:50:00Z">
              <w:r w:rsidRPr="001B4A02">
                <w:rPr>
                  <w:sz w:val="22"/>
                  <w:lang w:val="cs-CZ"/>
                </w:rPr>
                <w:delText>Placebo</w:delText>
              </w:r>
              <w:r w:rsidRPr="001B4A02">
                <w:rPr>
                  <w:sz w:val="22"/>
                  <w:lang w:val="cs-CZ"/>
                </w:rPr>
                <w:br/>
              </w:r>
              <w:r w:rsidR="00610431">
                <w:rPr>
                  <w:sz w:val="22"/>
                  <w:lang w:val="cs-CZ"/>
                </w:rPr>
                <w:delText>n</w:delText>
              </w:r>
              <w:r w:rsidRPr="001B4A02">
                <w:rPr>
                  <w:sz w:val="22"/>
                  <w:lang w:val="cs-CZ"/>
                </w:rPr>
                <w:delText>=108</w:delText>
              </w:r>
            </w:del>
          </w:p>
        </w:tc>
        <w:tc>
          <w:tcPr>
            <w:tcW w:w="1560" w:type="dxa"/>
            <w:shd w:val="clear" w:color="auto" w:fill="auto"/>
          </w:tcPr>
          <w:p w14:paraId="14CF25CC" w14:textId="77777777" w:rsidR="00181ED8" w:rsidRPr="001B4A02" w:rsidRDefault="00000000" w:rsidP="00ED48A3">
            <w:pPr>
              <w:pStyle w:val="In-texttable"/>
              <w:spacing w:line="240" w:lineRule="auto"/>
              <w:jc w:val="center"/>
              <w:rPr>
                <w:del w:id="6653" w:author="AbbVie1" w:date="2025-05-13T09:50:00Z"/>
                <w:rFonts w:ascii="Times New Roman" w:hAnsi="Times New Roman"/>
                <w:sz w:val="22"/>
                <w:lang w:val="cs-CZ"/>
              </w:rPr>
            </w:pPr>
            <w:del w:id="6654" w:author="AbbVie1" w:date="2025-05-13T09:50:00Z">
              <w:r w:rsidRPr="001B4A02">
                <w:rPr>
                  <w:rFonts w:ascii="Times New Roman" w:hAnsi="Times New Roman"/>
                  <w:sz w:val="22"/>
                  <w:lang w:val="cs-CZ"/>
                </w:rPr>
                <w:delText>Humira</w:delText>
              </w:r>
            </w:del>
          </w:p>
          <w:p w14:paraId="69E9C438" w14:textId="77777777" w:rsidR="00181ED8" w:rsidRPr="001B4A02" w:rsidRDefault="00000000" w:rsidP="00ED48A3">
            <w:pPr>
              <w:pStyle w:val="gtctablespaceafter"/>
              <w:keepNext/>
              <w:spacing w:after="0"/>
              <w:jc w:val="center"/>
              <w:rPr>
                <w:del w:id="6655" w:author="AbbVie1" w:date="2025-05-13T09:50:00Z"/>
                <w:sz w:val="22"/>
                <w:szCs w:val="22"/>
                <w:lang w:val="cs-CZ"/>
              </w:rPr>
            </w:pPr>
            <w:del w:id="6656" w:author="AbbVie1" w:date="2025-05-13T09:50:00Z">
              <w:r w:rsidRPr="001B4A02">
                <w:rPr>
                  <w:sz w:val="22"/>
                  <w:lang w:val="cs-CZ"/>
                </w:rPr>
                <w:delText xml:space="preserve">40 mg každý druhý týden </w:delText>
              </w:r>
              <w:r w:rsidRPr="001B4A02">
                <w:rPr>
                  <w:sz w:val="22"/>
                  <w:lang w:val="cs-CZ"/>
                </w:rPr>
                <w:br/>
              </w:r>
              <w:r w:rsidR="00610431">
                <w:rPr>
                  <w:sz w:val="22"/>
                  <w:lang w:val="cs-CZ"/>
                </w:rPr>
                <w:delText>n</w:delText>
              </w:r>
              <w:r w:rsidRPr="001B4A02">
                <w:rPr>
                  <w:sz w:val="22"/>
                  <w:lang w:val="cs-CZ"/>
                </w:rPr>
                <w:delText>=109</w:delText>
              </w:r>
            </w:del>
          </w:p>
        </w:tc>
        <w:tc>
          <w:tcPr>
            <w:tcW w:w="1417" w:type="dxa"/>
            <w:shd w:val="clear" w:color="auto" w:fill="auto"/>
          </w:tcPr>
          <w:p w14:paraId="481992A0" w14:textId="77777777" w:rsidR="00181ED8" w:rsidRPr="001B4A02" w:rsidRDefault="00000000" w:rsidP="00ED48A3">
            <w:pPr>
              <w:pStyle w:val="In-texttable"/>
              <w:spacing w:line="240" w:lineRule="auto"/>
              <w:jc w:val="center"/>
              <w:rPr>
                <w:del w:id="6657" w:author="AbbVie1" w:date="2025-05-13T09:50:00Z"/>
                <w:rFonts w:ascii="Times New Roman" w:hAnsi="Times New Roman"/>
                <w:sz w:val="22"/>
                <w:lang w:val="cs-CZ"/>
              </w:rPr>
            </w:pPr>
            <w:del w:id="6658" w:author="AbbVie1" w:date="2025-05-13T09:50:00Z">
              <w:r w:rsidRPr="001B4A02">
                <w:rPr>
                  <w:rFonts w:ascii="Times New Roman" w:hAnsi="Times New Roman"/>
                  <w:sz w:val="22"/>
                  <w:lang w:val="cs-CZ"/>
                </w:rPr>
                <w:delText>Humira</w:delText>
              </w:r>
            </w:del>
          </w:p>
          <w:p w14:paraId="181AEEC0" w14:textId="77777777" w:rsidR="00181ED8" w:rsidRPr="001B4A02" w:rsidRDefault="00000000" w:rsidP="00ED48A3">
            <w:pPr>
              <w:pStyle w:val="gtctablespaceafter"/>
              <w:keepNext/>
              <w:spacing w:after="0"/>
              <w:jc w:val="center"/>
              <w:rPr>
                <w:del w:id="6659" w:author="AbbVie1" w:date="2025-05-13T09:50:00Z"/>
                <w:sz w:val="22"/>
                <w:szCs w:val="22"/>
                <w:lang w:val="cs-CZ"/>
              </w:rPr>
            </w:pPr>
            <w:del w:id="6660" w:author="AbbVie1" w:date="2025-05-13T09:50:00Z">
              <w:r w:rsidRPr="001B4A02">
                <w:rPr>
                  <w:sz w:val="22"/>
                  <w:lang w:val="cs-CZ"/>
                </w:rPr>
                <w:delText xml:space="preserve">40 mg každý druhý týden </w:delText>
              </w:r>
              <w:r w:rsidRPr="001B4A02">
                <w:rPr>
                  <w:sz w:val="22"/>
                  <w:lang w:val="cs-CZ"/>
                </w:rPr>
                <w:br/>
              </w:r>
              <w:r w:rsidR="00610431">
                <w:rPr>
                  <w:sz w:val="22"/>
                  <w:lang w:val="cs-CZ"/>
                </w:rPr>
                <w:delText>n</w:delText>
              </w:r>
              <w:r w:rsidRPr="001B4A02">
                <w:rPr>
                  <w:sz w:val="22"/>
                  <w:lang w:val="cs-CZ"/>
                </w:rPr>
                <w:delText>=80</w:delText>
              </w:r>
            </w:del>
          </w:p>
        </w:tc>
      </w:tr>
      <w:tr w:rsidR="00534A2D" w14:paraId="2760D77B" w14:textId="77777777" w:rsidTr="00255A0A">
        <w:trPr>
          <w:del w:id="6661" w:author="AbbVie1" w:date="2025-05-13T09:50:00Z"/>
        </w:trPr>
        <w:tc>
          <w:tcPr>
            <w:tcW w:w="2943" w:type="dxa"/>
            <w:shd w:val="clear" w:color="auto" w:fill="auto"/>
          </w:tcPr>
          <w:p w14:paraId="04B1D652" w14:textId="77777777" w:rsidR="00181ED8" w:rsidRPr="001B4A02" w:rsidRDefault="00000000" w:rsidP="00ED48A3">
            <w:pPr>
              <w:pStyle w:val="gtctablespaceafter"/>
              <w:keepNext/>
              <w:spacing w:after="0"/>
              <w:rPr>
                <w:del w:id="6662" w:author="AbbVie1" w:date="2025-05-13T09:50:00Z"/>
                <w:sz w:val="22"/>
                <w:szCs w:val="22"/>
                <w:lang w:val="cs-CZ"/>
              </w:rPr>
            </w:pPr>
            <w:del w:id="6663" w:author="AbbVie1" w:date="2025-05-13T09:50:00Z">
              <w:r w:rsidRPr="001B4A02">
                <w:rPr>
                  <w:sz w:val="22"/>
                  <w:lang w:val="cs-CZ"/>
                </w:rPr>
                <w:delText>≥ mNAPSI 75 (%)</w:delText>
              </w:r>
            </w:del>
          </w:p>
        </w:tc>
        <w:tc>
          <w:tcPr>
            <w:tcW w:w="993" w:type="dxa"/>
            <w:shd w:val="clear" w:color="auto" w:fill="auto"/>
          </w:tcPr>
          <w:p w14:paraId="3577B6D8" w14:textId="77777777" w:rsidR="00181ED8" w:rsidRPr="001B4A02" w:rsidRDefault="00000000" w:rsidP="00ED48A3">
            <w:pPr>
              <w:pStyle w:val="gtctablespaceafter"/>
              <w:keepNext/>
              <w:spacing w:after="0"/>
              <w:jc w:val="center"/>
              <w:rPr>
                <w:del w:id="6664" w:author="AbbVie1" w:date="2025-05-13T09:50:00Z"/>
                <w:sz w:val="22"/>
                <w:szCs w:val="22"/>
                <w:lang w:val="cs-CZ"/>
              </w:rPr>
            </w:pPr>
            <w:del w:id="6665" w:author="AbbVie1" w:date="2025-05-13T09:50:00Z">
              <w:r w:rsidRPr="001B4A02">
                <w:rPr>
                  <w:sz w:val="22"/>
                  <w:szCs w:val="22"/>
                  <w:lang w:val="cs-CZ"/>
                </w:rPr>
                <w:delText>2,9</w:delText>
              </w:r>
            </w:del>
          </w:p>
        </w:tc>
        <w:tc>
          <w:tcPr>
            <w:tcW w:w="1417" w:type="dxa"/>
            <w:shd w:val="clear" w:color="auto" w:fill="auto"/>
          </w:tcPr>
          <w:p w14:paraId="4CAE5901" w14:textId="77777777" w:rsidR="00181ED8" w:rsidRPr="001B4A02" w:rsidRDefault="00000000" w:rsidP="00ED48A3">
            <w:pPr>
              <w:pStyle w:val="gtctablespaceafter"/>
              <w:keepNext/>
              <w:spacing w:after="0"/>
              <w:jc w:val="center"/>
              <w:rPr>
                <w:del w:id="6666" w:author="AbbVie1" w:date="2025-05-13T09:50:00Z"/>
                <w:sz w:val="22"/>
                <w:szCs w:val="22"/>
                <w:lang w:val="cs-CZ"/>
              </w:rPr>
            </w:pPr>
            <w:del w:id="6667" w:author="AbbVie1" w:date="2025-05-13T09:50:00Z">
              <w:r w:rsidRPr="001B4A02">
                <w:rPr>
                  <w:sz w:val="22"/>
                  <w:szCs w:val="22"/>
                  <w:lang w:val="cs-CZ"/>
                </w:rPr>
                <w:delText>26,0</w:delText>
              </w:r>
              <w:r w:rsidRPr="001B4A02">
                <w:rPr>
                  <w:sz w:val="22"/>
                  <w:szCs w:val="22"/>
                  <w:vertAlign w:val="superscript"/>
                  <w:lang w:val="cs-CZ"/>
                </w:rPr>
                <w:delText>a</w:delText>
              </w:r>
            </w:del>
          </w:p>
        </w:tc>
        <w:tc>
          <w:tcPr>
            <w:tcW w:w="992" w:type="dxa"/>
            <w:shd w:val="clear" w:color="auto" w:fill="auto"/>
          </w:tcPr>
          <w:p w14:paraId="579961B7" w14:textId="77777777" w:rsidR="00181ED8" w:rsidRPr="001B4A02" w:rsidRDefault="00000000" w:rsidP="00ED48A3">
            <w:pPr>
              <w:keepNext/>
              <w:jc w:val="center"/>
              <w:rPr>
                <w:del w:id="6668" w:author="AbbVie1" w:date="2025-05-13T09:50:00Z"/>
                <w:szCs w:val="22"/>
              </w:rPr>
            </w:pPr>
            <w:del w:id="6669" w:author="AbbVie1" w:date="2025-05-13T09:50:00Z">
              <w:r w:rsidRPr="001B4A02">
                <w:rPr>
                  <w:szCs w:val="22"/>
                </w:rPr>
                <w:delText>3,4</w:delText>
              </w:r>
            </w:del>
          </w:p>
        </w:tc>
        <w:tc>
          <w:tcPr>
            <w:tcW w:w="1560" w:type="dxa"/>
            <w:shd w:val="clear" w:color="auto" w:fill="auto"/>
          </w:tcPr>
          <w:p w14:paraId="324687F7" w14:textId="77777777" w:rsidR="00181ED8" w:rsidRPr="001B4A02" w:rsidRDefault="00000000" w:rsidP="00ED48A3">
            <w:pPr>
              <w:keepNext/>
              <w:jc w:val="center"/>
              <w:rPr>
                <w:del w:id="6670" w:author="AbbVie1" w:date="2025-05-13T09:50:00Z"/>
                <w:szCs w:val="22"/>
              </w:rPr>
            </w:pPr>
            <w:del w:id="6671" w:author="AbbVie1" w:date="2025-05-13T09:50:00Z">
              <w:r w:rsidRPr="001B4A02">
                <w:rPr>
                  <w:szCs w:val="22"/>
                </w:rPr>
                <w:delText>46,6</w:delText>
              </w:r>
              <w:r w:rsidRPr="001B4A02">
                <w:rPr>
                  <w:szCs w:val="22"/>
                  <w:vertAlign w:val="superscript"/>
                </w:rPr>
                <w:delText>a</w:delText>
              </w:r>
            </w:del>
          </w:p>
        </w:tc>
        <w:tc>
          <w:tcPr>
            <w:tcW w:w="1417" w:type="dxa"/>
            <w:shd w:val="clear" w:color="auto" w:fill="auto"/>
          </w:tcPr>
          <w:p w14:paraId="56DAEA71" w14:textId="77777777" w:rsidR="00181ED8" w:rsidRPr="001B4A02" w:rsidRDefault="00000000" w:rsidP="00ED48A3">
            <w:pPr>
              <w:pStyle w:val="gtctablespaceafter"/>
              <w:keepNext/>
              <w:spacing w:after="0"/>
              <w:jc w:val="center"/>
              <w:rPr>
                <w:del w:id="6672" w:author="AbbVie1" w:date="2025-05-13T09:50:00Z"/>
                <w:sz w:val="22"/>
                <w:szCs w:val="22"/>
                <w:lang w:val="cs-CZ"/>
              </w:rPr>
            </w:pPr>
            <w:del w:id="6673" w:author="AbbVie1" w:date="2025-05-13T09:50:00Z">
              <w:r w:rsidRPr="001B4A02">
                <w:rPr>
                  <w:sz w:val="22"/>
                  <w:szCs w:val="22"/>
                  <w:lang w:val="cs-CZ"/>
                </w:rPr>
                <w:delText>65,0</w:delText>
              </w:r>
            </w:del>
          </w:p>
        </w:tc>
      </w:tr>
      <w:tr w:rsidR="00534A2D" w14:paraId="2BC6A931" w14:textId="77777777" w:rsidTr="00255A0A">
        <w:trPr>
          <w:del w:id="6674" w:author="AbbVie1" w:date="2025-05-13T09:50:00Z"/>
        </w:trPr>
        <w:tc>
          <w:tcPr>
            <w:tcW w:w="2943" w:type="dxa"/>
            <w:shd w:val="clear" w:color="auto" w:fill="auto"/>
          </w:tcPr>
          <w:p w14:paraId="493748C6" w14:textId="77777777" w:rsidR="00181ED8" w:rsidRPr="001B4A02" w:rsidRDefault="00000000" w:rsidP="00ED48A3">
            <w:pPr>
              <w:pStyle w:val="gtctablespaceafter"/>
              <w:keepNext/>
              <w:spacing w:after="0"/>
              <w:rPr>
                <w:del w:id="6675" w:author="AbbVie1" w:date="2025-05-13T09:50:00Z"/>
                <w:sz w:val="22"/>
                <w:szCs w:val="22"/>
                <w:lang w:val="cs-CZ"/>
              </w:rPr>
            </w:pPr>
            <w:del w:id="6676" w:author="AbbVie1" w:date="2025-05-13T09:50:00Z">
              <w:r w:rsidRPr="001B4A02">
                <w:rPr>
                  <w:sz w:val="22"/>
                  <w:szCs w:val="22"/>
                  <w:lang w:val="cs-CZ"/>
                </w:rPr>
                <w:delText>PGA-F čistý/minimální</w:delText>
              </w:r>
              <w:r w:rsidR="002378E0">
                <w:rPr>
                  <w:sz w:val="22"/>
                  <w:szCs w:val="22"/>
                  <w:lang w:val="cs-CZ"/>
                </w:rPr>
                <w:delText xml:space="preserve"> a </w:delText>
              </w:r>
              <w:r w:rsidRPr="001B4A02">
                <w:rPr>
                  <w:sz w:val="22"/>
                  <w:szCs w:val="22"/>
                  <w:lang w:val="cs-CZ"/>
                </w:rPr>
                <w:delText>≥</w:delText>
              </w:r>
              <w:r w:rsidR="008E5C77" w:rsidRPr="001B4A02">
                <w:rPr>
                  <w:sz w:val="22"/>
                  <w:szCs w:val="22"/>
                  <w:lang w:val="cs-CZ"/>
                </w:rPr>
                <w:delText> </w:delText>
              </w:r>
              <w:r w:rsidRPr="001B4A02">
                <w:rPr>
                  <w:sz w:val="22"/>
                  <w:szCs w:val="22"/>
                  <w:lang w:val="cs-CZ"/>
                </w:rPr>
                <w:delText>2stupňové zlepšení (%)</w:delText>
              </w:r>
            </w:del>
          </w:p>
        </w:tc>
        <w:tc>
          <w:tcPr>
            <w:tcW w:w="993" w:type="dxa"/>
            <w:shd w:val="clear" w:color="auto" w:fill="auto"/>
          </w:tcPr>
          <w:p w14:paraId="68EFAB85" w14:textId="77777777" w:rsidR="00181ED8" w:rsidRPr="001B4A02" w:rsidRDefault="00000000" w:rsidP="00ED48A3">
            <w:pPr>
              <w:pStyle w:val="gtctablespaceafter"/>
              <w:keepNext/>
              <w:spacing w:after="0"/>
              <w:jc w:val="center"/>
              <w:rPr>
                <w:del w:id="6677" w:author="AbbVie1" w:date="2025-05-13T09:50:00Z"/>
                <w:sz w:val="22"/>
                <w:szCs w:val="22"/>
                <w:lang w:val="cs-CZ"/>
              </w:rPr>
            </w:pPr>
            <w:del w:id="6678" w:author="AbbVie1" w:date="2025-05-13T09:50:00Z">
              <w:r w:rsidRPr="001B4A02">
                <w:rPr>
                  <w:sz w:val="22"/>
                  <w:szCs w:val="22"/>
                  <w:lang w:val="cs-CZ"/>
                </w:rPr>
                <w:delText>2,9</w:delText>
              </w:r>
            </w:del>
          </w:p>
        </w:tc>
        <w:tc>
          <w:tcPr>
            <w:tcW w:w="1417" w:type="dxa"/>
            <w:shd w:val="clear" w:color="auto" w:fill="auto"/>
          </w:tcPr>
          <w:p w14:paraId="4D93F41E" w14:textId="77777777" w:rsidR="00181ED8" w:rsidRPr="001B4A02" w:rsidRDefault="00000000" w:rsidP="00ED48A3">
            <w:pPr>
              <w:pStyle w:val="gtctablespaceafter"/>
              <w:keepNext/>
              <w:spacing w:after="0"/>
              <w:jc w:val="center"/>
              <w:rPr>
                <w:del w:id="6679" w:author="AbbVie1" w:date="2025-05-13T09:50:00Z"/>
                <w:sz w:val="22"/>
                <w:szCs w:val="22"/>
                <w:lang w:val="cs-CZ"/>
              </w:rPr>
            </w:pPr>
            <w:del w:id="6680" w:author="AbbVie1" w:date="2025-05-13T09:50:00Z">
              <w:r w:rsidRPr="001B4A02">
                <w:rPr>
                  <w:sz w:val="22"/>
                  <w:szCs w:val="22"/>
                  <w:lang w:val="cs-CZ"/>
                </w:rPr>
                <w:delText>29,7</w:delText>
              </w:r>
              <w:r w:rsidRPr="001B4A02">
                <w:rPr>
                  <w:sz w:val="22"/>
                  <w:szCs w:val="22"/>
                  <w:vertAlign w:val="superscript"/>
                  <w:lang w:val="cs-CZ"/>
                </w:rPr>
                <w:delText>a</w:delText>
              </w:r>
            </w:del>
          </w:p>
        </w:tc>
        <w:tc>
          <w:tcPr>
            <w:tcW w:w="992" w:type="dxa"/>
            <w:shd w:val="clear" w:color="auto" w:fill="auto"/>
          </w:tcPr>
          <w:p w14:paraId="400904D4" w14:textId="77777777" w:rsidR="00181ED8" w:rsidRPr="001B4A02" w:rsidRDefault="00000000" w:rsidP="00ED48A3">
            <w:pPr>
              <w:keepNext/>
              <w:jc w:val="center"/>
              <w:rPr>
                <w:del w:id="6681" w:author="AbbVie1" w:date="2025-05-13T09:50:00Z"/>
                <w:szCs w:val="22"/>
              </w:rPr>
            </w:pPr>
            <w:del w:id="6682" w:author="AbbVie1" w:date="2025-05-13T09:50:00Z">
              <w:r w:rsidRPr="001B4A02">
                <w:rPr>
                  <w:szCs w:val="22"/>
                </w:rPr>
                <w:delText>6,9</w:delText>
              </w:r>
            </w:del>
          </w:p>
        </w:tc>
        <w:tc>
          <w:tcPr>
            <w:tcW w:w="1560" w:type="dxa"/>
            <w:shd w:val="clear" w:color="auto" w:fill="auto"/>
          </w:tcPr>
          <w:p w14:paraId="350B225E" w14:textId="77777777" w:rsidR="00181ED8" w:rsidRPr="001B4A02" w:rsidRDefault="00000000" w:rsidP="00ED48A3">
            <w:pPr>
              <w:keepNext/>
              <w:jc w:val="center"/>
              <w:rPr>
                <w:del w:id="6683" w:author="AbbVie1" w:date="2025-05-13T09:50:00Z"/>
                <w:szCs w:val="22"/>
              </w:rPr>
            </w:pPr>
            <w:del w:id="6684" w:author="AbbVie1" w:date="2025-05-13T09:50:00Z">
              <w:r w:rsidRPr="001B4A02">
                <w:rPr>
                  <w:szCs w:val="22"/>
                </w:rPr>
                <w:delText>48,9</w:delText>
              </w:r>
              <w:r w:rsidRPr="001B4A02">
                <w:rPr>
                  <w:szCs w:val="22"/>
                  <w:vertAlign w:val="superscript"/>
                </w:rPr>
                <w:delText>a</w:delText>
              </w:r>
            </w:del>
          </w:p>
        </w:tc>
        <w:tc>
          <w:tcPr>
            <w:tcW w:w="1417" w:type="dxa"/>
            <w:shd w:val="clear" w:color="auto" w:fill="auto"/>
          </w:tcPr>
          <w:p w14:paraId="07323277" w14:textId="77777777" w:rsidR="00181ED8" w:rsidRPr="001B4A02" w:rsidRDefault="00000000" w:rsidP="00ED48A3">
            <w:pPr>
              <w:pStyle w:val="gtctablespaceafter"/>
              <w:keepNext/>
              <w:spacing w:after="0"/>
              <w:jc w:val="center"/>
              <w:rPr>
                <w:del w:id="6685" w:author="AbbVie1" w:date="2025-05-13T09:50:00Z"/>
                <w:sz w:val="22"/>
                <w:szCs w:val="22"/>
                <w:lang w:val="cs-CZ"/>
              </w:rPr>
            </w:pPr>
            <w:del w:id="6686" w:author="AbbVie1" w:date="2025-05-13T09:50:00Z">
              <w:r w:rsidRPr="001B4A02">
                <w:rPr>
                  <w:sz w:val="22"/>
                  <w:szCs w:val="22"/>
                  <w:lang w:val="cs-CZ"/>
                </w:rPr>
                <w:delText>61,3</w:delText>
              </w:r>
            </w:del>
          </w:p>
        </w:tc>
      </w:tr>
      <w:tr w:rsidR="00534A2D" w14:paraId="6A5D96C1" w14:textId="77777777" w:rsidTr="00255A0A">
        <w:trPr>
          <w:del w:id="6687" w:author="AbbVie1" w:date="2025-05-13T09:50:00Z"/>
        </w:trPr>
        <w:tc>
          <w:tcPr>
            <w:tcW w:w="2943" w:type="dxa"/>
            <w:shd w:val="clear" w:color="auto" w:fill="auto"/>
          </w:tcPr>
          <w:p w14:paraId="7F558BD9" w14:textId="77777777" w:rsidR="00181ED8" w:rsidRPr="001B4A02" w:rsidRDefault="00000000" w:rsidP="00ED48A3">
            <w:pPr>
              <w:pStyle w:val="gtctablespaceafter"/>
              <w:keepNext/>
              <w:spacing w:after="0"/>
              <w:rPr>
                <w:del w:id="6688" w:author="AbbVie1" w:date="2025-05-13T09:50:00Z"/>
                <w:sz w:val="22"/>
                <w:szCs w:val="22"/>
                <w:lang w:val="cs-CZ"/>
              </w:rPr>
            </w:pPr>
            <w:del w:id="6689" w:author="AbbVie1" w:date="2025-05-13T09:50:00Z">
              <w:r w:rsidRPr="001B4A02">
                <w:rPr>
                  <w:sz w:val="22"/>
                  <w:szCs w:val="22"/>
                  <w:lang w:val="cs-CZ"/>
                </w:rPr>
                <w:delText>Procentuální změna v</w:delText>
              </w:r>
              <w:r w:rsidR="00255A0A" w:rsidRPr="001B4A02">
                <w:rPr>
                  <w:sz w:val="22"/>
                  <w:szCs w:val="22"/>
                  <w:lang w:val="cs-CZ"/>
                </w:rPr>
                <w:delText> </w:delText>
              </w:r>
              <w:r w:rsidRPr="001B4A02">
                <w:rPr>
                  <w:sz w:val="22"/>
                  <w:szCs w:val="22"/>
                  <w:lang w:val="cs-CZ"/>
                </w:rPr>
                <w:delText>celkovém NAPSI nehtů (%)</w:delText>
              </w:r>
            </w:del>
          </w:p>
        </w:tc>
        <w:tc>
          <w:tcPr>
            <w:tcW w:w="993" w:type="dxa"/>
            <w:shd w:val="clear" w:color="auto" w:fill="auto"/>
          </w:tcPr>
          <w:p w14:paraId="0FE2F5E0" w14:textId="77777777" w:rsidR="00181ED8" w:rsidRPr="001B4A02" w:rsidRDefault="00000000" w:rsidP="00ED48A3">
            <w:pPr>
              <w:pStyle w:val="gtctablespaceafter"/>
              <w:keepNext/>
              <w:spacing w:after="0"/>
              <w:jc w:val="center"/>
              <w:rPr>
                <w:del w:id="6690" w:author="AbbVie1" w:date="2025-05-13T09:50:00Z"/>
                <w:sz w:val="22"/>
                <w:szCs w:val="22"/>
                <w:lang w:val="cs-CZ"/>
              </w:rPr>
            </w:pPr>
            <w:del w:id="6691" w:author="AbbVie1" w:date="2025-05-13T09:50:00Z">
              <w:r w:rsidRPr="001B4A02">
                <w:rPr>
                  <w:sz w:val="22"/>
                  <w:szCs w:val="22"/>
                  <w:lang w:val="cs-CZ"/>
                </w:rPr>
                <w:delText>-7,8</w:delText>
              </w:r>
            </w:del>
          </w:p>
        </w:tc>
        <w:tc>
          <w:tcPr>
            <w:tcW w:w="1417" w:type="dxa"/>
            <w:shd w:val="clear" w:color="auto" w:fill="auto"/>
          </w:tcPr>
          <w:p w14:paraId="10FF5789" w14:textId="77777777" w:rsidR="00181ED8" w:rsidRPr="001B4A02" w:rsidRDefault="00000000" w:rsidP="00ED48A3">
            <w:pPr>
              <w:pStyle w:val="gtctablespaceafter"/>
              <w:keepNext/>
              <w:spacing w:after="0"/>
              <w:jc w:val="center"/>
              <w:rPr>
                <w:del w:id="6692" w:author="AbbVie1" w:date="2025-05-13T09:50:00Z"/>
                <w:sz w:val="22"/>
                <w:szCs w:val="22"/>
                <w:lang w:val="cs-CZ"/>
              </w:rPr>
            </w:pPr>
            <w:del w:id="6693" w:author="AbbVie1" w:date="2025-05-13T09:50:00Z">
              <w:r w:rsidRPr="001B4A02">
                <w:rPr>
                  <w:sz w:val="22"/>
                  <w:szCs w:val="22"/>
                  <w:lang w:val="cs-CZ"/>
                </w:rPr>
                <w:delText>-44,2</w:delText>
              </w:r>
              <w:r w:rsidRPr="001B4A02">
                <w:rPr>
                  <w:sz w:val="22"/>
                  <w:szCs w:val="22"/>
                  <w:vertAlign w:val="superscript"/>
                  <w:lang w:val="cs-CZ"/>
                </w:rPr>
                <w:delText xml:space="preserve"> a</w:delText>
              </w:r>
            </w:del>
          </w:p>
        </w:tc>
        <w:tc>
          <w:tcPr>
            <w:tcW w:w="992" w:type="dxa"/>
            <w:shd w:val="clear" w:color="auto" w:fill="auto"/>
          </w:tcPr>
          <w:p w14:paraId="2ECDEF59" w14:textId="77777777" w:rsidR="00181ED8" w:rsidRPr="001B4A02" w:rsidRDefault="00000000" w:rsidP="00ED48A3">
            <w:pPr>
              <w:keepNext/>
              <w:jc w:val="center"/>
              <w:rPr>
                <w:del w:id="6694" w:author="AbbVie1" w:date="2025-05-13T09:50:00Z"/>
                <w:szCs w:val="22"/>
              </w:rPr>
            </w:pPr>
            <w:del w:id="6695" w:author="AbbVie1" w:date="2025-05-13T09:50:00Z">
              <w:r w:rsidRPr="001B4A02">
                <w:rPr>
                  <w:szCs w:val="22"/>
                </w:rPr>
                <w:delText>-11,5</w:delText>
              </w:r>
            </w:del>
          </w:p>
        </w:tc>
        <w:tc>
          <w:tcPr>
            <w:tcW w:w="1560" w:type="dxa"/>
            <w:shd w:val="clear" w:color="auto" w:fill="auto"/>
          </w:tcPr>
          <w:p w14:paraId="2D63F53C" w14:textId="77777777" w:rsidR="00181ED8" w:rsidRPr="001B4A02" w:rsidRDefault="00000000" w:rsidP="00ED48A3">
            <w:pPr>
              <w:keepNext/>
              <w:jc w:val="center"/>
              <w:rPr>
                <w:del w:id="6696" w:author="AbbVie1" w:date="2025-05-13T09:50:00Z"/>
                <w:szCs w:val="22"/>
              </w:rPr>
            </w:pPr>
            <w:del w:id="6697" w:author="AbbVie1" w:date="2025-05-13T09:50:00Z">
              <w:r w:rsidRPr="001B4A02">
                <w:rPr>
                  <w:szCs w:val="22"/>
                </w:rPr>
                <w:delText>-56,2</w:delText>
              </w:r>
              <w:r w:rsidRPr="001B4A02">
                <w:rPr>
                  <w:szCs w:val="22"/>
                  <w:vertAlign w:val="superscript"/>
                </w:rPr>
                <w:delText>a</w:delText>
              </w:r>
            </w:del>
          </w:p>
        </w:tc>
        <w:tc>
          <w:tcPr>
            <w:tcW w:w="1417" w:type="dxa"/>
            <w:shd w:val="clear" w:color="auto" w:fill="auto"/>
          </w:tcPr>
          <w:p w14:paraId="6EC3D8B5" w14:textId="77777777" w:rsidR="00181ED8" w:rsidRPr="001B4A02" w:rsidRDefault="00000000" w:rsidP="00ED48A3">
            <w:pPr>
              <w:pStyle w:val="gtctablespaceafter"/>
              <w:keepNext/>
              <w:spacing w:after="0"/>
              <w:jc w:val="center"/>
              <w:rPr>
                <w:del w:id="6698" w:author="AbbVie1" w:date="2025-05-13T09:50:00Z"/>
                <w:sz w:val="22"/>
                <w:szCs w:val="22"/>
                <w:lang w:val="cs-CZ"/>
              </w:rPr>
            </w:pPr>
            <w:del w:id="6699" w:author="AbbVie1" w:date="2025-05-13T09:50:00Z">
              <w:r w:rsidRPr="001B4A02">
                <w:rPr>
                  <w:sz w:val="22"/>
                  <w:szCs w:val="22"/>
                  <w:lang w:val="cs-CZ"/>
                </w:rPr>
                <w:delText>-72,2</w:delText>
              </w:r>
            </w:del>
          </w:p>
        </w:tc>
      </w:tr>
      <w:tr w:rsidR="00534A2D" w14:paraId="36E7FEDC" w14:textId="77777777" w:rsidTr="008D783A">
        <w:trPr>
          <w:del w:id="6700" w:author="AbbVie1" w:date="2025-05-13T09:50:00Z"/>
        </w:trPr>
        <w:tc>
          <w:tcPr>
            <w:tcW w:w="9322" w:type="dxa"/>
            <w:gridSpan w:val="6"/>
            <w:shd w:val="clear" w:color="auto" w:fill="auto"/>
          </w:tcPr>
          <w:p w14:paraId="236D65D2" w14:textId="77777777" w:rsidR="00181ED8" w:rsidRPr="001B4A02" w:rsidRDefault="00000000" w:rsidP="00ED48A3">
            <w:pPr>
              <w:pStyle w:val="gtctablespaceafter"/>
              <w:keepNext/>
              <w:spacing w:after="0"/>
              <w:rPr>
                <w:del w:id="6701" w:author="AbbVie1" w:date="2025-05-13T09:50:00Z"/>
                <w:sz w:val="22"/>
                <w:szCs w:val="22"/>
                <w:lang w:val="cs-CZ"/>
              </w:rPr>
            </w:pPr>
            <w:del w:id="6702" w:author="AbbVie1" w:date="2025-05-13T09:50:00Z">
              <w:r w:rsidRPr="001B4A02">
                <w:rPr>
                  <w:sz w:val="22"/>
                  <w:szCs w:val="22"/>
                  <w:vertAlign w:val="superscript"/>
                  <w:lang w:val="cs-CZ"/>
                </w:rPr>
                <w:delText>a</w:delText>
              </w:r>
              <w:r w:rsidRPr="001B4A02">
                <w:rPr>
                  <w:sz w:val="22"/>
                  <w:szCs w:val="22"/>
                  <w:lang w:val="cs-CZ"/>
                </w:rPr>
                <w:delText xml:space="preserve"> p&lt;0,001, </w:delText>
              </w:r>
              <w:r w:rsidR="004C58C9" w:rsidRPr="001B4A02">
                <w:rPr>
                  <w:sz w:val="22"/>
                  <w:szCs w:val="22"/>
                  <w:lang w:val="cs-CZ"/>
                </w:rPr>
                <w:delText>p</w:delText>
              </w:r>
              <w:r w:rsidR="00F67928" w:rsidRPr="001B4A02">
                <w:rPr>
                  <w:sz w:val="22"/>
                  <w:szCs w:val="22"/>
                  <w:lang w:val="cs-CZ"/>
                </w:rPr>
                <w:delText xml:space="preserve">řípravek </w:delText>
              </w:r>
              <w:r w:rsidRPr="001B4A02">
                <w:rPr>
                  <w:sz w:val="22"/>
                  <w:szCs w:val="22"/>
                  <w:lang w:val="cs-CZ"/>
                </w:rPr>
                <w:delText xml:space="preserve">Humira vs. placebo </w:delText>
              </w:r>
            </w:del>
          </w:p>
        </w:tc>
      </w:tr>
    </w:tbl>
    <w:p w14:paraId="7D290207" w14:textId="77777777" w:rsidR="00181ED8" w:rsidRPr="001B4A02" w:rsidRDefault="00181ED8" w:rsidP="00ED48A3">
      <w:pPr>
        <w:rPr>
          <w:del w:id="6703" w:author="AbbVie1" w:date="2025-05-13T09:50:00Z"/>
        </w:rPr>
      </w:pPr>
    </w:p>
    <w:p w14:paraId="293FCB05" w14:textId="77777777" w:rsidR="00181ED8" w:rsidRPr="001B4A02" w:rsidRDefault="00000000" w:rsidP="00ED48A3">
      <w:pPr>
        <w:ind w:left="0" w:firstLine="0"/>
        <w:rPr>
          <w:del w:id="6704" w:author="AbbVie1" w:date="2025-05-13T09:50:00Z"/>
        </w:rPr>
      </w:pPr>
      <w:del w:id="6705" w:author="AbbVie1" w:date="2025-05-13T09:50:00Z">
        <w:r w:rsidRPr="001B4A02">
          <w:delText>U pacientů léčených přípravkem Humira bylo prokázáno statisticky významné zlepšení v</w:delText>
        </w:r>
        <w:r w:rsidR="008506F3" w:rsidRPr="001B4A02">
          <w:delText> </w:delText>
        </w:r>
        <w:r w:rsidRPr="001B4A02">
          <w:delText>týdnu 26 ve srovnání s</w:delText>
        </w:r>
        <w:r w:rsidR="008506F3" w:rsidRPr="001B4A02">
          <w:delText> </w:delText>
        </w:r>
        <w:r w:rsidRPr="001B4A02">
          <w:delText>placebem v</w:delText>
        </w:r>
        <w:r w:rsidR="008506F3" w:rsidRPr="001B4A02">
          <w:delText> </w:delText>
        </w:r>
        <w:r w:rsidRPr="001B4A02">
          <w:delText>DLQI.</w:delText>
        </w:r>
      </w:del>
    </w:p>
    <w:p w14:paraId="0F5C37B1" w14:textId="77777777" w:rsidR="00181ED8" w:rsidRPr="001B4A02" w:rsidRDefault="00181ED8" w:rsidP="00ED48A3">
      <w:pPr>
        <w:ind w:left="0" w:firstLine="0"/>
        <w:rPr>
          <w:del w:id="6706" w:author="AbbVie1" w:date="2025-05-13T09:50:00Z"/>
        </w:rPr>
      </w:pPr>
    </w:p>
    <w:p w14:paraId="5FD12F9B" w14:textId="77777777" w:rsidR="00A64779" w:rsidRPr="001B4A02" w:rsidRDefault="00000000" w:rsidP="00ED48A3">
      <w:pPr>
        <w:keepNext/>
        <w:ind w:left="0" w:firstLine="0"/>
        <w:rPr>
          <w:del w:id="6707" w:author="AbbVie1" w:date="2025-05-13T09:50:00Z"/>
          <w:rFonts w:eastAsia="Calibri"/>
          <w:i/>
          <w:szCs w:val="22"/>
        </w:rPr>
      </w:pPr>
      <w:del w:id="6708" w:author="AbbVie1" w:date="2025-05-13T09:50:00Z">
        <w:r w:rsidRPr="001B4A02">
          <w:rPr>
            <w:rFonts w:eastAsia="Calibri"/>
            <w:i/>
            <w:szCs w:val="22"/>
          </w:rPr>
          <w:delText>Hidradenitis suppurativa</w:delText>
        </w:r>
      </w:del>
    </w:p>
    <w:p w14:paraId="771C30E3" w14:textId="77777777" w:rsidR="00A64779" w:rsidRPr="001B4A02" w:rsidRDefault="00A64779" w:rsidP="00ED48A3">
      <w:pPr>
        <w:keepNext/>
        <w:ind w:left="0" w:firstLine="0"/>
        <w:rPr>
          <w:del w:id="6709" w:author="AbbVie1" w:date="2025-05-13T09:50:00Z"/>
          <w:rFonts w:eastAsia="Calibri"/>
          <w:szCs w:val="22"/>
        </w:rPr>
      </w:pPr>
    </w:p>
    <w:p w14:paraId="0F8C5DAB" w14:textId="77777777" w:rsidR="00161F6C" w:rsidRPr="001B4A02" w:rsidRDefault="00000000" w:rsidP="00CE5DAE">
      <w:pPr>
        <w:ind w:left="0" w:firstLine="0"/>
        <w:rPr>
          <w:del w:id="6710" w:author="AbbVie1" w:date="2025-05-13T09:50:00Z"/>
          <w:rFonts w:eastAsia="Calibri"/>
          <w:szCs w:val="22"/>
        </w:rPr>
      </w:pPr>
      <w:del w:id="6711" w:author="AbbVie1" w:date="2025-05-13T09:50:00Z">
        <w:r w:rsidRPr="001B4A02">
          <w:rPr>
            <w:rFonts w:eastAsia="Calibri"/>
            <w:szCs w:val="22"/>
          </w:rPr>
          <w:delText>Bezpečnost</w:delText>
        </w:r>
        <w:r w:rsidR="002378E0">
          <w:rPr>
            <w:rFonts w:eastAsia="Calibri"/>
            <w:szCs w:val="22"/>
          </w:rPr>
          <w:delText xml:space="preserve"> a </w:delText>
        </w:r>
        <w:r w:rsidRPr="001B4A02">
          <w:rPr>
            <w:rFonts w:eastAsia="Calibri"/>
            <w:szCs w:val="22"/>
          </w:rPr>
          <w:delText>účinnost přípravku Humira byla hodnocena v randomizovaných, dvojitě zaslepených, placebem kontrolovaných studiích</w:delText>
        </w:r>
        <w:r w:rsidR="002378E0">
          <w:rPr>
            <w:rFonts w:eastAsia="Calibri"/>
            <w:szCs w:val="22"/>
          </w:rPr>
          <w:delText xml:space="preserve"> a </w:delText>
        </w:r>
        <w:r w:rsidRPr="001B4A02">
          <w:rPr>
            <w:rFonts w:eastAsia="Calibri"/>
            <w:szCs w:val="22"/>
          </w:rPr>
          <w:delText>v otevřené prodloužené studii u</w:delText>
        </w:r>
        <w:r w:rsidR="00C048C3" w:rsidRPr="001B4A02">
          <w:rPr>
            <w:rFonts w:eastAsia="Calibri"/>
            <w:szCs w:val="22"/>
          </w:rPr>
          <w:delText> </w:delText>
        </w:r>
        <w:r w:rsidRPr="001B4A02">
          <w:rPr>
            <w:rFonts w:eastAsia="Calibri"/>
            <w:szCs w:val="22"/>
          </w:rPr>
          <w:delText>dospělých pacientů se středně těžkou až těžkou hidradenitis suppurativa (HS), kteří netolerovali, měli kontraindikace nebo nedostatečnou odpověď na nejméně 3 měsíce trvající systémovou léčbu antibiotiky. Pacienti ve studii HS-I</w:delText>
        </w:r>
        <w:r w:rsidR="002378E0">
          <w:rPr>
            <w:rFonts w:eastAsia="Calibri"/>
            <w:szCs w:val="22"/>
          </w:rPr>
          <w:delText xml:space="preserve"> a </w:delText>
        </w:r>
        <w:r w:rsidRPr="001B4A02">
          <w:rPr>
            <w:rFonts w:eastAsia="Calibri"/>
            <w:szCs w:val="22"/>
          </w:rPr>
          <w:delText>HS-II měli stupeň onemocnění II nebo III podle klasifikace Hurley s nejméně 3 abscesy nebo zánětlivými ložisky.</w:delText>
        </w:r>
      </w:del>
    </w:p>
    <w:p w14:paraId="16F21D80" w14:textId="77777777" w:rsidR="00A64779" w:rsidRPr="001B4A02" w:rsidRDefault="00A64779" w:rsidP="00CE5DAE">
      <w:pPr>
        <w:ind w:left="0" w:firstLine="0"/>
        <w:rPr>
          <w:del w:id="6712" w:author="AbbVie1" w:date="2025-05-13T09:50:00Z"/>
          <w:rFonts w:eastAsia="Calibri"/>
          <w:szCs w:val="22"/>
        </w:rPr>
      </w:pPr>
    </w:p>
    <w:p w14:paraId="616269B3" w14:textId="77777777" w:rsidR="00A64779" w:rsidRPr="001B4A02" w:rsidRDefault="00000000" w:rsidP="00CE5DAE">
      <w:pPr>
        <w:ind w:left="0" w:firstLine="0"/>
        <w:rPr>
          <w:del w:id="6713" w:author="AbbVie1" w:date="2025-05-13T09:50:00Z"/>
          <w:rFonts w:eastAsia="Calibri"/>
          <w:szCs w:val="22"/>
        </w:rPr>
      </w:pPr>
      <w:del w:id="6714" w:author="AbbVie1" w:date="2025-05-13T09:50:00Z">
        <w:r w:rsidRPr="001B4A02">
          <w:rPr>
            <w:rFonts w:eastAsia="Calibri"/>
            <w:szCs w:val="22"/>
          </w:rPr>
          <w:delText xml:space="preserve">Studie HS-I (PIONEER I) hodnotila 307 pacientů se dvěma léčebnými </w:delText>
        </w:r>
        <w:r w:rsidR="0074757B" w:rsidRPr="001B4A02">
          <w:rPr>
            <w:rFonts w:eastAsia="Calibri"/>
            <w:szCs w:val="22"/>
          </w:rPr>
          <w:delText>fázemi</w:delText>
        </w:r>
        <w:r w:rsidRPr="001B4A02">
          <w:rPr>
            <w:rFonts w:eastAsia="Calibri"/>
            <w:szCs w:val="22"/>
          </w:rPr>
          <w:delText xml:space="preserve">. Během </w:delText>
        </w:r>
        <w:r w:rsidR="0074757B" w:rsidRPr="001B4A02">
          <w:rPr>
            <w:rFonts w:eastAsia="Calibri"/>
            <w:szCs w:val="22"/>
          </w:rPr>
          <w:delText>fáze</w:delText>
        </w:r>
        <w:r w:rsidRPr="001B4A02">
          <w:rPr>
            <w:rFonts w:eastAsia="Calibri"/>
            <w:szCs w:val="22"/>
          </w:rPr>
          <w:delText xml:space="preserve"> A dostávali pacienti placebo nebo přípravek Humira v </w:delText>
        </w:r>
        <w:r w:rsidR="00CF3348" w:rsidRPr="001B4A02">
          <w:delText>úvodní</w:delText>
        </w:r>
        <w:r w:rsidRPr="001B4A02">
          <w:rPr>
            <w:rFonts w:eastAsia="Calibri"/>
            <w:szCs w:val="22"/>
          </w:rPr>
          <w:delText xml:space="preserve"> dávce 160</w:delText>
        </w:r>
        <w:r w:rsidR="00294902">
          <w:rPr>
            <w:rFonts w:eastAsia="Calibri"/>
            <w:szCs w:val="22"/>
          </w:rPr>
          <w:delText> mg</w:delText>
        </w:r>
        <w:r w:rsidRPr="001B4A02">
          <w:rPr>
            <w:rFonts w:eastAsia="Calibri"/>
            <w:szCs w:val="22"/>
          </w:rPr>
          <w:delText xml:space="preserve"> v týdnu 0, 80</w:delText>
        </w:r>
        <w:r w:rsidR="00294902">
          <w:rPr>
            <w:rFonts w:eastAsia="Calibri"/>
            <w:szCs w:val="22"/>
          </w:rPr>
          <w:delText> mg</w:delText>
        </w:r>
        <w:r w:rsidRPr="001B4A02">
          <w:rPr>
            <w:rFonts w:eastAsia="Calibri"/>
            <w:szCs w:val="22"/>
          </w:rPr>
          <w:delText xml:space="preserve"> v týdnu 2</w:delText>
        </w:r>
        <w:r w:rsidR="002378E0">
          <w:rPr>
            <w:rFonts w:eastAsia="Calibri"/>
            <w:szCs w:val="22"/>
          </w:rPr>
          <w:delText xml:space="preserve"> a </w:delText>
        </w:r>
        <w:r w:rsidRPr="001B4A02">
          <w:rPr>
            <w:rFonts w:eastAsia="Calibri"/>
            <w:szCs w:val="22"/>
          </w:rPr>
          <w:delText>40</w:delText>
        </w:r>
        <w:r w:rsidR="00294902">
          <w:rPr>
            <w:rFonts w:eastAsia="Calibri"/>
            <w:szCs w:val="22"/>
          </w:rPr>
          <w:delText> mg</w:delText>
        </w:r>
        <w:r w:rsidRPr="001B4A02">
          <w:rPr>
            <w:rFonts w:eastAsia="Calibri"/>
            <w:szCs w:val="22"/>
          </w:rPr>
          <w:delText xml:space="preserve"> každý týden počínaje týdnem 4 do týdne 11. Během studie nebyla dovolena současná léčba antibiotiky. Po 12 týdnech léčby byli pacienti, kteří dostávali v</w:delText>
        </w:r>
        <w:r w:rsidR="0074757B" w:rsidRPr="001B4A02">
          <w:rPr>
            <w:rFonts w:eastAsia="Calibri"/>
            <w:szCs w:val="22"/>
          </w:rPr>
          <w:delText>e</w:delText>
        </w:r>
        <w:r w:rsidRPr="001B4A02">
          <w:rPr>
            <w:rFonts w:eastAsia="Calibri"/>
            <w:szCs w:val="22"/>
          </w:rPr>
          <w:delText> </w:delText>
        </w:r>
        <w:r w:rsidR="0074757B" w:rsidRPr="001B4A02">
          <w:rPr>
            <w:rFonts w:eastAsia="Calibri"/>
            <w:szCs w:val="22"/>
          </w:rPr>
          <w:delText>fázi</w:delText>
        </w:r>
        <w:r w:rsidRPr="001B4A02">
          <w:rPr>
            <w:rFonts w:eastAsia="Calibri"/>
            <w:szCs w:val="22"/>
          </w:rPr>
          <w:delText xml:space="preserve"> A přípravek Humira, opětovně randomizováni </w:delText>
        </w:r>
        <w:r w:rsidR="0074757B" w:rsidRPr="001B4A02">
          <w:rPr>
            <w:rFonts w:eastAsia="Calibri"/>
            <w:szCs w:val="22"/>
          </w:rPr>
          <w:delText>ve</w:delText>
        </w:r>
        <w:r w:rsidRPr="001B4A02">
          <w:rPr>
            <w:rFonts w:eastAsia="Calibri"/>
            <w:szCs w:val="22"/>
          </w:rPr>
          <w:delText> </w:delText>
        </w:r>
        <w:r w:rsidR="0074757B" w:rsidRPr="001B4A02">
          <w:rPr>
            <w:rFonts w:eastAsia="Calibri"/>
            <w:szCs w:val="22"/>
          </w:rPr>
          <w:delText>fázi</w:delText>
        </w:r>
        <w:r w:rsidRPr="001B4A02">
          <w:rPr>
            <w:rFonts w:eastAsia="Calibri"/>
            <w:szCs w:val="22"/>
          </w:rPr>
          <w:delText xml:space="preserve"> B do 1 ze 3 léčebných skupin (</w:delText>
        </w:r>
        <w:r w:rsidR="00B86D3A" w:rsidRPr="001B4A02">
          <w:rPr>
            <w:rFonts w:eastAsia="Calibri"/>
            <w:szCs w:val="22"/>
          </w:rPr>
          <w:delText xml:space="preserve">přípravek </w:delText>
        </w:r>
        <w:r w:rsidRPr="001B4A02">
          <w:rPr>
            <w:rFonts w:eastAsia="Calibri"/>
            <w:szCs w:val="22"/>
          </w:rPr>
          <w:delText>Humira 40</w:delText>
        </w:r>
        <w:r w:rsidR="00294902">
          <w:rPr>
            <w:rFonts w:eastAsia="Calibri"/>
            <w:szCs w:val="22"/>
          </w:rPr>
          <w:delText> mg</w:delText>
        </w:r>
        <w:r w:rsidRPr="001B4A02">
          <w:rPr>
            <w:rFonts w:eastAsia="Calibri"/>
            <w:szCs w:val="22"/>
          </w:rPr>
          <w:delText xml:space="preserve"> jednou týdně, </w:delText>
        </w:r>
        <w:r w:rsidR="00B86D3A" w:rsidRPr="001B4A02">
          <w:rPr>
            <w:rFonts w:eastAsia="Calibri"/>
            <w:szCs w:val="22"/>
          </w:rPr>
          <w:delText xml:space="preserve">přípravek </w:delText>
        </w:r>
        <w:r w:rsidRPr="001B4A02">
          <w:rPr>
            <w:rFonts w:eastAsia="Calibri"/>
            <w:szCs w:val="22"/>
          </w:rPr>
          <w:delText>Humira 40</w:delText>
        </w:r>
        <w:r w:rsidR="00294902">
          <w:rPr>
            <w:rFonts w:eastAsia="Calibri"/>
            <w:szCs w:val="22"/>
          </w:rPr>
          <w:delText> mg</w:delText>
        </w:r>
        <w:r w:rsidRPr="001B4A02">
          <w:rPr>
            <w:rFonts w:eastAsia="Calibri"/>
            <w:szCs w:val="22"/>
          </w:rPr>
          <w:delText xml:space="preserve"> každý druhý týden nebo placebo od týdne 12 do týdne 35). Pacienti, kteří byli v</w:delText>
        </w:r>
        <w:r w:rsidR="0074757B" w:rsidRPr="001B4A02">
          <w:rPr>
            <w:rFonts w:eastAsia="Calibri"/>
            <w:szCs w:val="22"/>
          </w:rPr>
          <w:delText>e fázi</w:delText>
        </w:r>
        <w:r w:rsidRPr="001B4A02">
          <w:rPr>
            <w:rFonts w:eastAsia="Calibri"/>
            <w:szCs w:val="22"/>
          </w:rPr>
          <w:delText xml:space="preserve"> A randomizováni do skupiny placeba, byli v</w:delText>
        </w:r>
        <w:r w:rsidR="0074757B" w:rsidRPr="001B4A02">
          <w:rPr>
            <w:rFonts w:eastAsia="Calibri"/>
            <w:szCs w:val="22"/>
          </w:rPr>
          <w:delText>e</w:delText>
        </w:r>
        <w:r w:rsidRPr="001B4A02">
          <w:rPr>
            <w:rFonts w:eastAsia="Calibri"/>
            <w:szCs w:val="22"/>
          </w:rPr>
          <w:delText> </w:delText>
        </w:r>
        <w:r w:rsidR="0074757B" w:rsidRPr="001B4A02">
          <w:rPr>
            <w:rFonts w:eastAsia="Calibri"/>
            <w:szCs w:val="22"/>
          </w:rPr>
          <w:delText>fázi</w:delText>
        </w:r>
        <w:r w:rsidRPr="001B4A02">
          <w:rPr>
            <w:rFonts w:eastAsia="Calibri"/>
            <w:szCs w:val="22"/>
          </w:rPr>
          <w:delText xml:space="preserve"> B převedeni na přípravek Humira 40</w:delText>
        </w:r>
        <w:r w:rsidR="00294902">
          <w:rPr>
            <w:rFonts w:eastAsia="Calibri"/>
            <w:szCs w:val="22"/>
          </w:rPr>
          <w:delText> mg</w:delText>
        </w:r>
        <w:r w:rsidRPr="001B4A02">
          <w:rPr>
            <w:rFonts w:eastAsia="Calibri"/>
            <w:szCs w:val="22"/>
          </w:rPr>
          <w:delText xml:space="preserve"> jednou týdně.</w:delText>
        </w:r>
      </w:del>
    </w:p>
    <w:p w14:paraId="177DECB2" w14:textId="77777777" w:rsidR="00A64779" w:rsidRPr="001B4A02" w:rsidRDefault="00A64779" w:rsidP="00ED48A3">
      <w:pPr>
        <w:ind w:left="0" w:firstLine="0"/>
        <w:rPr>
          <w:del w:id="6715" w:author="AbbVie1" w:date="2025-05-13T09:50:00Z"/>
          <w:rFonts w:eastAsia="Calibri"/>
          <w:szCs w:val="22"/>
        </w:rPr>
      </w:pPr>
    </w:p>
    <w:p w14:paraId="54EE1505" w14:textId="77777777" w:rsidR="00A64779" w:rsidRPr="001B4A02" w:rsidRDefault="00000000" w:rsidP="00ED48A3">
      <w:pPr>
        <w:ind w:left="0" w:firstLine="0"/>
        <w:rPr>
          <w:del w:id="6716" w:author="AbbVie1" w:date="2025-05-13T09:50:00Z"/>
          <w:rFonts w:eastAsia="Calibri"/>
          <w:szCs w:val="22"/>
        </w:rPr>
      </w:pPr>
      <w:del w:id="6717" w:author="AbbVie1" w:date="2025-05-13T09:50:00Z">
        <w:r w:rsidRPr="001B4A02">
          <w:rPr>
            <w:rFonts w:eastAsia="Calibri"/>
            <w:szCs w:val="22"/>
          </w:rPr>
          <w:delText xml:space="preserve">Studie HS-II (PIONEER II) hodnotila 326 pacientů se dvěma léčebnými </w:delText>
        </w:r>
        <w:r w:rsidR="002F33B1" w:rsidRPr="001B4A02">
          <w:rPr>
            <w:rFonts w:eastAsia="Calibri"/>
            <w:szCs w:val="22"/>
          </w:rPr>
          <w:delText>fázemi</w:delText>
        </w:r>
        <w:r w:rsidRPr="001B4A02">
          <w:rPr>
            <w:rFonts w:eastAsia="Calibri"/>
            <w:szCs w:val="22"/>
          </w:rPr>
          <w:delText xml:space="preserve">. Během </w:delText>
        </w:r>
        <w:r w:rsidR="002F33B1" w:rsidRPr="001B4A02">
          <w:rPr>
            <w:rFonts w:eastAsia="Calibri"/>
            <w:szCs w:val="22"/>
          </w:rPr>
          <w:delText>fáze</w:delText>
        </w:r>
        <w:r w:rsidRPr="001B4A02">
          <w:rPr>
            <w:rFonts w:eastAsia="Calibri"/>
            <w:szCs w:val="22"/>
          </w:rPr>
          <w:delText xml:space="preserve"> A dostávali pacienti placebo nebo přípravek Humira v </w:delText>
        </w:r>
        <w:r w:rsidR="00CF3348" w:rsidRPr="001B4A02">
          <w:delText>úvodní</w:delText>
        </w:r>
        <w:r w:rsidRPr="001B4A02">
          <w:rPr>
            <w:rFonts w:eastAsia="Calibri"/>
            <w:szCs w:val="22"/>
          </w:rPr>
          <w:delText xml:space="preserve"> dávce 160</w:delText>
        </w:r>
        <w:r w:rsidR="00294902">
          <w:rPr>
            <w:rFonts w:eastAsia="Calibri"/>
            <w:szCs w:val="22"/>
          </w:rPr>
          <w:delText> mg</w:delText>
        </w:r>
        <w:r w:rsidRPr="001B4A02">
          <w:rPr>
            <w:rFonts w:eastAsia="Calibri"/>
            <w:szCs w:val="22"/>
          </w:rPr>
          <w:delText xml:space="preserve"> v týdnu 0</w:delText>
        </w:r>
        <w:r w:rsidR="002378E0">
          <w:rPr>
            <w:rFonts w:eastAsia="Calibri"/>
            <w:szCs w:val="22"/>
          </w:rPr>
          <w:delText xml:space="preserve"> a </w:delText>
        </w:r>
        <w:r w:rsidRPr="001B4A02">
          <w:rPr>
            <w:rFonts w:eastAsia="Calibri"/>
            <w:szCs w:val="22"/>
          </w:rPr>
          <w:delText>80</w:delText>
        </w:r>
        <w:r w:rsidR="00294902">
          <w:rPr>
            <w:rFonts w:eastAsia="Calibri"/>
            <w:szCs w:val="22"/>
          </w:rPr>
          <w:delText> mg</w:delText>
        </w:r>
        <w:r w:rsidRPr="001B4A02">
          <w:rPr>
            <w:rFonts w:eastAsia="Calibri"/>
            <w:szCs w:val="22"/>
          </w:rPr>
          <w:delText xml:space="preserve"> v týdnu 2</w:delText>
        </w:r>
        <w:r w:rsidR="002378E0">
          <w:rPr>
            <w:rFonts w:eastAsia="Calibri"/>
            <w:szCs w:val="22"/>
          </w:rPr>
          <w:delText xml:space="preserve"> a </w:delText>
        </w:r>
        <w:r w:rsidRPr="001B4A02">
          <w:rPr>
            <w:rFonts w:eastAsia="Calibri"/>
            <w:szCs w:val="22"/>
          </w:rPr>
          <w:delText>40</w:delText>
        </w:r>
        <w:r w:rsidR="00294902">
          <w:rPr>
            <w:rFonts w:eastAsia="Calibri"/>
            <w:szCs w:val="22"/>
          </w:rPr>
          <w:delText> mg</w:delText>
        </w:r>
        <w:r w:rsidRPr="001B4A02">
          <w:rPr>
            <w:rFonts w:eastAsia="Calibri"/>
            <w:szCs w:val="22"/>
          </w:rPr>
          <w:delText xml:space="preserve"> každý týden počínaje týdnem 4 do týdne 11. 19,3</w:delText>
        </w:r>
        <w:r w:rsidR="001E10EB" w:rsidRPr="001B4A02">
          <w:delText> </w:delText>
        </w:r>
        <w:r w:rsidRPr="001B4A02">
          <w:rPr>
            <w:rFonts w:eastAsia="Calibri"/>
            <w:szCs w:val="22"/>
          </w:rPr>
          <w:delText>% pacientů kontinuálně pokračovalo během studie v</w:delText>
        </w:r>
        <w:r w:rsidR="009355A5" w:rsidRPr="001B4A02">
          <w:rPr>
            <w:rFonts w:eastAsia="Calibri"/>
            <w:szCs w:val="22"/>
          </w:rPr>
          <w:delText xml:space="preserve"> perorální </w:delText>
        </w:r>
        <w:r w:rsidRPr="001B4A02">
          <w:rPr>
            <w:rFonts w:eastAsia="Calibri"/>
            <w:szCs w:val="22"/>
          </w:rPr>
          <w:delText>antibiotické léčbě. Po 12 týdnech léčby byli pacienti, kteří dostávali v</w:delText>
        </w:r>
        <w:r w:rsidR="002F33B1" w:rsidRPr="001B4A02">
          <w:rPr>
            <w:rFonts w:eastAsia="Calibri"/>
            <w:szCs w:val="22"/>
          </w:rPr>
          <w:delText>e fázi</w:delText>
        </w:r>
        <w:r w:rsidRPr="001B4A02">
          <w:rPr>
            <w:rFonts w:eastAsia="Calibri"/>
            <w:szCs w:val="22"/>
          </w:rPr>
          <w:delText xml:space="preserve"> A přípravek Humira, opětovně randomizováni v</w:delText>
        </w:r>
        <w:r w:rsidR="002F33B1" w:rsidRPr="001B4A02">
          <w:rPr>
            <w:rFonts w:eastAsia="Calibri"/>
            <w:szCs w:val="22"/>
          </w:rPr>
          <w:delText>e fázi</w:delText>
        </w:r>
        <w:r w:rsidRPr="001B4A02">
          <w:rPr>
            <w:rFonts w:eastAsia="Calibri"/>
            <w:szCs w:val="22"/>
          </w:rPr>
          <w:delText xml:space="preserve"> B do 1 ze 3 léčebných skupin (</w:delText>
        </w:r>
        <w:r w:rsidR="00B86D3A" w:rsidRPr="001B4A02">
          <w:rPr>
            <w:rFonts w:eastAsia="Calibri"/>
            <w:szCs w:val="22"/>
          </w:rPr>
          <w:delText xml:space="preserve">přípravek </w:delText>
        </w:r>
        <w:r w:rsidRPr="001B4A02">
          <w:rPr>
            <w:rFonts w:eastAsia="Calibri"/>
            <w:szCs w:val="22"/>
          </w:rPr>
          <w:delText>Humira 40</w:delText>
        </w:r>
        <w:r w:rsidR="00294902">
          <w:rPr>
            <w:rFonts w:eastAsia="Calibri"/>
            <w:szCs w:val="22"/>
          </w:rPr>
          <w:delText> mg</w:delText>
        </w:r>
        <w:r w:rsidRPr="001B4A02">
          <w:rPr>
            <w:rFonts w:eastAsia="Calibri"/>
            <w:szCs w:val="22"/>
          </w:rPr>
          <w:delText xml:space="preserve"> jednou týdně, </w:delText>
        </w:r>
        <w:r w:rsidR="00B86D3A" w:rsidRPr="001B4A02">
          <w:rPr>
            <w:rFonts w:eastAsia="Calibri"/>
            <w:szCs w:val="22"/>
          </w:rPr>
          <w:delText xml:space="preserve">přípravek </w:delText>
        </w:r>
        <w:r w:rsidRPr="001B4A02">
          <w:rPr>
            <w:rFonts w:eastAsia="Calibri"/>
            <w:szCs w:val="22"/>
          </w:rPr>
          <w:delText>Humira 40</w:delText>
        </w:r>
        <w:r w:rsidR="00294902">
          <w:rPr>
            <w:rFonts w:eastAsia="Calibri"/>
            <w:szCs w:val="22"/>
          </w:rPr>
          <w:delText> mg</w:delText>
        </w:r>
        <w:r w:rsidRPr="001B4A02">
          <w:rPr>
            <w:rFonts w:eastAsia="Calibri"/>
            <w:szCs w:val="22"/>
          </w:rPr>
          <w:delText xml:space="preserve"> každý druhý týden nebo placebo od týdne 12 do týdne 35). Pacienti, kteří byli v</w:delText>
        </w:r>
        <w:r w:rsidR="002F33B1" w:rsidRPr="001B4A02">
          <w:rPr>
            <w:rFonts w:eastAsia="Calibri"/>
            <w:szCs w:val="22"/>
          </w:rPr>
          <w:delText>e fázi</w:delText>
        </w:r>
        <w:r w:rsidRPr="001B4A02">
          <w:rPr>
            <w:rFonts w:eastAsia="Calibri"/>
            <w:szCs w:val="22"/>
          </w:rPr>
          <w:delText xml:space="preserve"> A randomizováni do skupiny placeba, dostávali placebo i v</w:delText>
        </w:r>
        <w:r w:rsidR="002F33B1" w:rsidRPr="001B4A02">
          <w:rPr>
            <w:rFonts w:eastAsia="Calibri"/>
            <w:szCs w:val="22"/>
          </w:rPr>
          <w:delText>e fázi</w:delText>
        </w:r>
        <w:r w:rsidRPr="001B4A02">
          <w:rPr>
            <w:rFonts w:eastAsia="Calibri"/>
            <w:szCs w:val="22"/>
          </w:rPr>
          <w:delText xml:space="preserve"> B.</w:delText>
        </w:r>
      </w:del>
    </w:p>
    <w:p w14:paraId="4CA94F09" w14:textId="77777777" w:rsidR="00A64779" w:rsidRPr="001B4A02" w:rsidRDefault="00A64779" w:rsidP="00ED48A3">
      <w:pPr>
        <w:ind w:left="0" w:firstLine="0"/>
        <w:rPr>
          <w:del w:id="6718" w:author="AbbVie1" w:date="2025-05-13T09:50:00Z"/>
          <w:rFonts w:eastAsia="Calibri"/>
          <w:szCs w:val="22"/>
        </w:rPr>
      </w:pPr>
    </w:p>
    <w:p w14:paraId="1649ED88" w14:textId="77777777" w:rsidR="00A64779" w:rsidRPr="001B4A02" w:rsidRDefault="00000000" w:rsidP="00ED48A3">
      <w:pPr>
        <w:ind w:left="0" w:firstLine="0"/>
        <w:rPr>
          <w:del w:id="6719" w:author="AbbVie1" w:date="2025-05-13T09:50:00Z"/>
          <w:rFonts w:eastAsia="Calibri"/>
          <w:szCs w:val="22"/>
        </w:rPr>
      </w:pPr>
      <w:del w:id="6720" w:author="AbbVie1" w:date="2025-05-13T09:50:00Z">
        <w:r w:rsidRPr="001B4A02">
          <w:rPr>
            <w:rFonts w:eastAsia="Calibri"/>
            <w:szCs w:val="22"/>
          </w:rPr>
          <w:delText>Pacienti, kteří se účastnili studií HS-I</w:delText>
        </w:r>
        <w:r w:rsidR="002378E0">
          <w:rPr>
            <w:rFonts w:eastAsia="Calibri"/>
            <w:szCs w:val="22"/>
          </w:rPr>
          <w:delText xml:space="preserve"> a </w:delText>
        </w:r>
        <w:r w:rsidRPr="001B4A02">
          <w:rPr>
            <w:rFonts w:eastAsia="Calibri"/>
            <w:szCs w:val="22"/>
          </w:rPr>
          <w:delText>HS-II, byli vhodní k tomu, aby byli zařazeni do otevřené fáze prodloužené studie, ve které byl přípravek Humira 40</w:delText>
        </w:r>
        <w:r w:rsidR="00294902">
          <w:rPr>
            <w:rFonts w:eastAsia="Calibri"/>
            <w:szCs w:val="22"/>
          </w:rPr>
          <w:delText> mg</w:delText>
        </w:r>
        <w:r w:rsidRPr="001B4A02">
          <w:rPr>
            <w:rFonts w:eastAsia="Calibri"/>
            <w:szCs w:val="22"/>
          </w:rPr>
          <w:delText xml:space="preserve"> podáván jednou týdně.</w:delText>
        </w:r>
        <w:r w:rsidR="004205D5" w:rsidRPr="001B4A02">
          <w:rPr>
            <w:rFonts w:eastAsia="Calibri"/>
            <w:szCs w:val="22"/>
          </w:rPr>
          <w:delText xml:space="preserve"> </w:delText>
        </w:r>
        <w:r w:rsidR="004205D5" w:rsidRPr="001B4A02">
          <w:rPr>
            <w:szCs w:val="22"/>
            <w:lang w:eastAsia="ja-JP"/>
          </w:rPr>
          <w:delText xml:space="preserve">Průměrná expozice </w:delText>
        </w:r>
        <w:r w:rsidR="000B5567" w:rsidRPr="001B4A02">
          <w:rPr>
            <w:szCs w:val="22"/>
            <w:lang w:eastAsia="ja-JP"/>
          </w:rPr>
          <w:delText>v</w:delText>
        </w:r>
        <w:r w:rsidR="00B86D3A" w:rsidRPr="001B4A02">
          <w:rPr>
            <w:szCs w:val="22"/>
            <w:lang w:eastAsia="ja-JP"/>
          </w:rPr>
          <w:delText> </w:delText>
        </w:r>
        <w:r w:rsidR="000B5567" w:rsidRPr="001B4A02">
          <w:rPr>
            <w:szCs w:val="22"/>
            <w:lang w:eastAsia="ja-JP"/>
          </w:rPr>
          <w:delText>celé</w:delText>
        </w:r>
        <w:r w:rsidR="004205D5" w:rsidRPr="001B4A02">
          <w:rPr>
            <w:szCs w:val="22"/>
            <w:lang w:eastAsia="ja-JP"/>
          </w:rPr>
          <w:delText xml:space="preserve"> populac</w:delText>
        </w:r>
        <w:r w:rsidR="000B5567" w:rsidRPr="001B4A02">
          <w:rPr>
            <w:szCs w:val="22"/>
            <w:lang w:eastAsia="ja-JP"/>
          </w:rPr>
          <w:delText>i</w:delText>
        </w:r>
        <w:r w:rsidR="004205D5" w:rsidRPr="001B4A02">
          <w:rPr>
            <w:szCs w:val="22"/>
            <w:lang w:eastAsia="ja-JP"/>
          </w:rPr>
          <w:delText xml:space="preserve"> </w:delText>
        </w:r>
        <w:r w:rsidR="00FE191F" w:rsidRPr="001B4A02">
          <w:rPr>
            <w:szCs w:val="22"/>
            <w:lang w:eastAsia="ja-JP"/>
          </w:rPr>
          <w:delText>užívající adalimumab</w:delText>
        </w:r>
        <w:r w:rsidR="004205D5" w:rsidRPr="001B4A02">
          <w:rPr>
            <w:szCs w:val="22"/>
            <w:lang w:eastAsia="ja-JP"/>
          </w:rPr>
          <w:delText xml:space="preserve"> byla 762 dnů.</w:delText>
        </w:r>
        <w:r w:rsidRPr="001B4A02">
          <w:rPr>
            <w:rFonts w:eastAsia="Calibri"/>
            <w:szCs w:val="22"/>
          </w:rPr>
          <w:delText xml:space="preserve"> Ve všech 3 studiích pacienti denně prováděli lokální antiseptické </w:delText>
        </w:r>
        <w:r w:rsidR="00161F6C" w:rsidRPr="001B4A02">
          <w:rPr>
            <w:rFonts w:eastAsia="Calibri"/>
            <w:szCs w:val="22"/>
          </w:rPr>
          <w:delText>ošetření</w:delText>
        </w:r>
        <w:r w:rsidRPr="001B4A02">
          <w:rPr>
            <w:rFonts w:eastAsia="Calibri"/>
            <w:szCs w:val="22"/>
          </w:rPr>
          <w:delText>.</w:delText>
        </w:r>
      </w:del>
    </w:p>
    <w:p w14:paraId="2D2A250B" w14:textId="77777777" w:rsidR="00A64779" w:rsidRPr="001B4A02" w:rsidRDefault="00A64779" w:rsidP="00ED48A3">
      <w:pPr>
        <w:ind w:left="0" w:firstLine="0"/>
        <w:rPr>
          <w:del w:id="6721" w:author="AbbVie1" w:date="2025-05-13T09:50:00Z"/>
          <w:rFonts w:eastAsia="Calibri"/>
          <w:szCs w:val="22"/>
        </w:rPr>
      </w:pPr>
    </w:p>
    <w:p w14:paraId="44DBD809" w14:textId="77777777" w:rsidR="00A64779" w:rsidRPr="001B4A02" w:rsidRDefault="00000000" w:rsidP="00603F6E">
      <w:pPr>
        <w:keepNext/>
        <w:ind w:left="0" w:firstLine="0"/>
        <w:rPr>
          <w:del w:id="6722" w:author="AbbVie1" w:date="2025-05-13T09:50:00Z"/>
          <w:rFonts w:eastAsia="Calibri"/>
          <w:i/>
          <w:szCs w:val="22"/>
          <w:u w:val="single"/>
        </w:rPr>
      </w:pPr>
      <w:del w:id="6723" w:author="AbbVie1" w:date="2025-05-13T09:50:00Z">
        <w:r w:rsidRPr="001B4A02">
          <w:rPr>
            <w:rFonts w:eastAsia="Calibri"/>
            <w:i/>
            <w:szCs w:val="22"/>
            <w:u w:val="single"/>
          </w:rPr>
          <w:delText>Klinická odpověď</w:delText>
        </w:r>
      </w:del>
    </w:p>
    <w:p w14:paraId="40FB9E39" w14:textId="77777777" w:rsidR="00A64779" w:rsidRPr="001B4A02" w:rsidRDefault="00A64779" w:rsidP="00603F6E">
      <w:pPr>
        <w:keepNext/>
        <w:ind w:left="0" w:firstLine="0"/>
        <w:rPr>
          <w:del w:id="6724" w:author="AbbVie1" w:date="2025-05-13T09:50:00Z"/>
          <w:rFonts w:eastAsia="Calibri"/>
          <w:szCs w:val="22"/>
        </w:rPr>
      </w:pPr>
    </w:p>
    <w:p w14:paraId="0FF1B917" w14:textId="77777777" w:rsidR="00A64779" w:rsidRPr="001B4A02" w:rsidRDefault="00000000" w:rsidP="00CE5DAE">
      <w:pPr>
        <w:ind w:left="0" w:firstLine="0"/>
        <w:rPr>
          <w:del w:id="6725" w:author="AbbVie1" w:date="2025-05-13T09:50:00Z"/>
          <w:rFonts w:eastAsia="Calibri"/>
          <w:szCs w:val="22"/>
        </w:rPr>
      </w:pPr>
      <w:del w:id="6726" w:author="AbbVie1" w:date="2025-05-13T09:50:00Z">
        <w:r w:rsidRPr="001B4A02">
          <w:rPr>
            <w:rFonts w:eastAsia="Calibri"/>
            <w:szCs w:val="22"/>
          </w:rPr>
          <w:delText>Redukce zánětlivých lézí</w:delText>
        </w:r>
        <w:r w:rsidR="002378E0">
          <w:rPr>
            <w:rFonts w:eastAsia="Calibri"/>
            <w:szCs w:val="22"/>
          </w:rPr>
          <w:delText xml:space="preserve"> a </w:delText>
        </w:r>
        <w:r w:rsidRPr="001B4A02">
          <w:rPr>
            <w:rFonts w:eastAsia="Calibri"/>
            <w:szCs w:val="22"/>
          </w:rPr>
          <w:delText>prevence zhoršení abscesů</w:delText>
        </w:r>
        <w:r w:rsidR="002378E0">
          <w:rPr>
            <w:rFonts w:eastAsia="Calibri"/>
            <w:szCs w:val="22"/>
          </w:rPr>
          <w:delText xml:space="preserve"> a </w:delText>
        </w:r>
        <w:r w:rsidR="00161F6C" w:rsidRPr="001B4A02">
          <w:delText>píštělí s výtokem</w:delText>
        </w:r>
        <w:r w:rsidRPr="001B4A02">
          <w:rPr>
            <w:rFonts w:eastAsia="Calibri"/>
            <w:szCs w:val="22"/>
          </w:rPr>
          <w:delText xml:space="preserve"> byl</w:delText>
        </w:r>
        <w:r w:rsidR="00F67928" w:rsidRPr="001B4A02">
          <w:rPr>
            <w:rFonts w:eastAsia="Calibri"/>
            <w:szCs w:val="22"/>
          </w:rPr>
          <w:delText>y</w:delText>
        </w:r>
        <w:r w:rsidRPr="001B4A02">
          <w:rPr>
            <w:rFonts w:eastAsia="Calibri"/>
            <w:szCs w:val="22"/>
          </w:rPr>
          <w:delText xml:space="preserve"> posuzován</w:delText>
        </w:r>
        <w:r w:rsidR="00F67928" w:rsidRPr="001B4A02">
          <w:rPr>
            <w:rFonts w:eastAsia="Calibri"/>
            <w:szCs w:val="22"/>
          </w:rPr>
          <w:delText>y</w:delText>
        </w:r>
        <w:r w:rsidRPr="001B4A02">
          <w:rPr>
            <w:rFonts w:eastAsia="Calibri"/>
            <w:szCs w:val="22"/>
          </w:rPr>
          <w:delText xml:space="preserve"> za použití klinické odpovědi „Hidradenitis Suppurativa Clinical Response“ (HiSCR; </w:delText>
        </w:r>
        <w:r w:rsidR="00F661CF" w:rsidRPr="001B4A02">
          <w:rPr>
            <w:rFonts w:eastAsia="Calibri"/>
            <w:szCs w:val="22"/>
          </w:rPr>
          <w:delText xml:space="preserve">minimálně </w:delText>
        </w:r>
        <w:r w:rsidRPr="001B4A02">
          <w:rPr>
            <w:rFonts w:eastAsia="Calibri"/>
            <w:szCs w:val="22"/>
          </w:rPr>
          <w:delText>50% snížení v celkov</w:delText>
        </w:r>
        <w:r w:rsidR="00062315" w:rsidRPr="001B4A02">
          <w:rPr>
            <w:rFonts w:eastAsia="Calibri"/>
            <w:szCs w:val="22"/>
          </w:rPr>
          <w:delText>ém počtu abscesů</w:delText>
        </w:r>
        <w:r w:rsidR="002378E0">
          <w:rPr>
            <w:rFonts w:eastAsia="Calibri"/>
            <w:szCs w:val="22"/>
          </w:rPr>
          <w:delText xml:space="preserve"> a </w:delText>
        </w:r>
        <w:r w:rsidR="00062315" w:rsidRPr="001B4A02">
          <w:rPr>
            <w:rFonts w:eastAsia="Calibri"/>
            <w:szCs w:val="22"/>
          </w:rPr>
          <w:delText xml:space="preserve">zánětlivých </w:delText>
        </w:r>
        <w:r w:rsidRPr="001B4A02">
          <w:rPr>
            <w:rFonts w:eastAsia="Calibri"/>
            <w:szCs w:val="22"/>
          </w:rPr>
          <w:delText>nodulů s nezvýšením počtu abscesů</w:delText>
        </w:r>
        <w:r w:rsidR="002378E0">
          <w:rPr>
            <w:rFonts w:eastAsia="Calibri"/>
            <w:szCs w:val="22"/>
          </w:rPr>
          <w:delText xml:space="preserve"> a </w:delText>
        </w:r>
        <w:r w:rsidRPr="001B4A02">
          <w:rPr>
            <w:rFonts w:eastAsia="Calibri"/>
            <w:szCs w:val="22"/>
          </w:rPr>
          <w:delText xml:space="preserve">nezvýšením počtu </w:delText>
        </w:r>
        <w:r w:rsidR="00161F6C" w:rsidRPr="001B4A02">
          <w:delText>píštělí s výtokem</w:delText>
        </w:r>
        <w:r w:rsidRPr="001B4A02">
          <w:rPr>
            <w:rFonts w:eastAsia="Calibri"/>
            <w:szCs w:val="22"/>
          </w:rPr>
          <w:delText xml:space="preserve"> proti výchozím hodnotám). Snížení bolesti kůže spojené s HS bylo posuzováno za použití číselné </w:delText>
        </w:r>
        <w:r w:rsidR="00377787" w:rsidRPr="001B4A02">
          <w:rPr>
            <w:rFonts w:eastAsia="Calibri"/>
            <w:szCs w:val="22"/>
          </w:rPr>
          <w:delText>škály</w:delText>
        </w:r>
        <w:r w:rsidRPr="001B4A02">
          <w:rPr>
            <w:rFonts w:eastAsia="Calibri"/>
            <w:szCs w:val="22"/>
          </w:rPr>
          <w:delText xml:space="preserve"> </w:delText>
        </w:r>
        <w:r w:rsidR="00724D25" w:rsidRPr="001B4A02">
          <w:rPr>
            <w:rFonts w:eastAsia="Calibri"/>
            <w:szCs w:val="22"/>
          </w:rPr>
          <w:delText xml:space="preserve">(Numeric Rating Scale) </w:delText>
        </w:r>
        <w:r w:rsidRPr="001B4A02">
          <w:rPr>
            <w:rFonts w:eastAsia="Calibri"/>
            <w:szCs w:val="22"/>
          </w:rPr>
          <w:delText>u</w:delText>
        </w:r>
        <w:r w:rsidR="00C048C3" w:rsidRPr="001B4A02">
          <w:rPr>
            <w:rFonts w:eastAsia="Calibri"/>
            <w:szCs w:val="22"/>
          </w:rPr>
          <w:delText> </w:delText>
        </w:r>
        <w:r w:rsidRPr="001B4A02">
          <w:rPr>
            <w:rFonts w:eastAsia="Calibri"/>
            <w:szCs w:val="22"/>
          </w:rPr>
          <w:delText xml:space="preserve">pacientů, kteří vstoupili do studie s počáteční </w:delText>
        </w:r>
        <w:r w:rsidR="00724D25" w:rsidRPr="001B4A02">
          <w:rPr>
            <w:rFonts w:eastAsia="Calibri"/>
            <w:szCs w:val="22"/>
          </w:rPr>
          <w:delText xml:space="preserve">bodovou </w:delText>
        </w:r>
        <w:r w:rsidRPr="001B4A02">
          <w:rPr>
            <w:rFonts w:eastAsia="Calibri"/>
            <w:szCs w:val="22"/>
          </w:rPr>
          <w:delText xml:space="preserve">hodnotou 3 nebo větší na </w:delText>
        </w:r>
        <w:r w:rsidR="00377787" w:rsidRPr="001B4A02">
          <w:rPr>
            <w:rFonts w:eastAsia="Calibri"/>
            <w:szCs w:val="22"/>
          </w:rPr>
          <w:delText xml:space="preserve">11 bodové </w:delText>
        </w:r>
        <w:r w:rsidR="00724D25" w:rsidRPr="001B4A02">
          <w:rPr>
            <w:rFonts w:eastAsia="Calibri"/>
            <w:szCs w:val="22"/>
          </w:rPr>
          <w:delText>škále</w:delText>
        </w:r>
        <w:r w:rsidRPr="001B4A02">
          <w:rPr>
            <w:rFonts w:eastAsia="Calibri"/>
            <w:szCs w:val="22"/>
          </w:rPr>
          <w:delText>.</w:delText>
        </w:r>
      </w:del>
    </w:p>
    <w:p w14:paraId="47566CAA" w14:textId="77777777" w:rsidR="00A64779" w:rsidRPr="001B4A02" w:rsidRDefault="00A64779" w:rsidP="00ED48A3">
      <w:pPr>
        <w:ind w:left="0" w:firstLine="0"/>
        <w:rPr>
          <w:del w:id="6727" w:author="AbbVie1" w:date="2025-05-13T09:50:00Z"/>
          <w:rFonts w:eastAsia="Calibri"/>
          <w:szCs w:val="22"/>
        </w:rPr>
      </w:pPr>
    </w:p>
    <w:p w14:paraId="59939045" w14:textId="77777777" w:rsidR="00A64779" w:rsidRPr="001B4A02" w:rsidRDefault="00000000" w:rsidP="00ED48A3">
      <w:pPr>
        <w:ind w:left="0" w:firstLine="0"/>
        <w:rPr>
          <w:del w:id="6728" w:author="AbbVie1" w:date="2025-05-13T09:50:00Z"/>
          <w:rFonts w:eastAsia="Calibri"/>
          <w:szCs w:val="22"/>
        </w:rPr>
      </w:pPr>
      <w:del w:id="6729" w:author="AbbVie1" w:date="2025-05-13T09:50:00Z">
        <w:r w:rsidRPr="001B4A02">
          <w:rPr>
            <w:rFonts w:eastAsia="Calibri"/>
            <w:szCs w:val="22"/>
          </w:rPr>
          <w:delText>V týdnu 12 dosáhla</w:delText>
        </w:r>
        <w:r w:rsidR="00CD0193" w:rsidRPr="001B4A02">
          <w:rPr>
            <w:rFonts w:eastAsia="Calibri"/>
            <w:szCs w:val="22"/>
          </w:rPr>
          <w:delText xml:space="preserve"> </w:delText>
        </w:r>
        <w:r w:rsidR="00CD0193" w:rsidRPr="001B4A02">
          <w:delText>odpovědi podle</w:delText>
        </w:r>
        <w:r w:rsidRPr="001B4A02">
          <w:rPr>
            <w:rFonts w:eastAsia="Calibri"/>
            <w:szCs w:val="22"/>
          </w:rPr>
          <w:delText xml:space="preserve"> HiSCR významně větší část pacientů léčených přípravkem Humira versus placebo. V týdnu 12 pocítila významně větší část pacientů ve studii HS-II klinicky relevantní snížení bolesti kůže spojené s HS (viz tabulka </w:delText>
        </w:r>
        <w:r w:rsidR="00CC1B29">
          <w:rPr>
            <w:rFonts w:eastAsia="Calibri"/>
            <w:szCs w:val="22"/>
          </w:rPr>
          <w:delText>19</w:delText>
        </w:r>
        <w:r w:rsidRPr="001B4A02">
          <w:rPr>
            <w:rFonts w:eastAsia="Calibri"/>
            <w:szCs w:val="22"/>
          </w:rPr>
          <w:delText>). U</w:delText>
        </w:r>
        <w:r w:rsidR="00C048C3" w:rsidRPr="001B4A02">
          <w:rPr>
            <w:rFonts w:eastAsia="Calibri"/>
            <w:szCs w:val="22"/>
          </w:rPr>
          <w:delText> </w:delText>
        </w:r>
        <w:r w:rsidRPr="001B4A02">
          <w:rPr>
            <w:rFonts w:eastAsia="Calibri"/>
            <w:szCs w:val="22"/>
          </w:rPr>
          <w:delText>pacientů léčených přípravkem Humira došlo během počátečních 12 týdnů léčby k významnému snížení rizika vzplanutí onemocnění.</w:delText>
        </w:r>
      </w:del>
    </w:p>
    <w:p w14:paraId="0D129118" w14:textId="77777777" w:rsidR="00A64779" w:rsidRPr="001B4A02" w:rsidRDefault="00A64779" w:rsidP="00ED48A3">
      <w:pPr>
        <w:ind w:left="0" w:firstLine="0"/>
        <w:rPr>
          <w:del w:id="6730" w:author="AbbVie1" w:date="2025-05-13T09:50:00Z"/>
          <w:rFonts w:eastAsia="Calibri"/>
          <w:szCs w:val="22"/>
        </w:rPr>
      </w:pPr>
    </w:p>
    <w:p w14:paraId="1C54FA05" w14:textId="77777777" w:rsidR="00A64779" w:rsidRPr="001B4A02" w:rsidRDefault="00000000" w:rsidP="00ED48A3">
      <w:pPr>
        <w:keepNext/>
        <w:keepLines/>
        <w:widowControl w:val="0"/>
        <w:ind w:left="360" w:firstLine="0"/>
        <w:jc w:val="center"/>
        <w:rPr>
          <w:del w:id="6731" w:author="AbbVie1" w:date="2025-05-13T09:50:00Z"/>
          <w:rFonts w:eastAsia="MS Mincho"/>
          <w:b/>
          <w:szCs w:val="22"/>
          <w:lang w:eastAsia="ja-JP"/>
        </w:rPr>
      </w:pPr>
      <w:del w:id="6732" w:author="AbbVie1" w:date="2025-05-13T09:50:00Z">
        <w:r w:rsidRPr="001B4A02">
          <w:rPr>
            <w:rFonts w:eastAsia="MS Mincho"/>
            <w:b/>
            <w:szCs w:val="22"/>
            <w:lang w:eastAsia="ja-JP"/>
          </w:rPr>
          <w:delText xml:space="preserve">Tabulka </w:delText>
        </w:r>
        <w:r w:rsidR="00CC1B29">
          <w:rPr>
            <w:rFonts w:eastAsia="MS Mincho"/>
            <w:b/>
            <w:szCs w:val="22"/>
            <w:lang w:eastAsia="ja-JP"/>
          </w:rPr>
          <w:delText>19</w:delText>
        </w:r>
        <w:r w:rsidR="00062315" w:rsidRPr="001B4A02">
          <w:rPr>
            <w:rFonts w:eastAsia="MS Mincho"/>
            <w:b/>
            <w:szCs w:val="22"/>
            <w:lang w:eastAsia="ja-JP"/>
          </w:rPr>
          <w:delText xml:space="preserve">: </w:delText>
        </w:r>
        <w:r w:rsidRPr="001B4A02">
          <w:rPr>
            <w:rFonts w:eastAsia="MS Mincho"/>
            <w:b/>
            <w:bCs/>
            <w:iCs/>
            <w:szCs w:val="22"/>
            <w:lang w:eastAsia="ja-JP"/>
          </w:rPr>
          <w:delText>Výsledky účinnosti v</w:delText>
        </w:r>
        <w:r w:rsidR="00255A0A" w:rsidRPr="001B4A02">
          <w:rPr>
            <w:rFonts w:eastAsia="MS Mincho"/>
            <w:b/>
            <w:bCs/>
            <w:iCs/>
            <w:szCs w:val="22"/>
            <w:lang w:eastAsia="ja-JP"/>
          </w:rPr>
          <w:delText> </w:delText>
        </w:r>
        <w:r w:rsidRPr="001B4A02">
          <w:rPr>
            <w:rFonts w:eastAsia="MS Mincho"/>
            <w:b/>
            <w:bCs/>
            <w:iCs/>
            <w:szCs w:val="22"/>
            <w:lang w:eastAsia="ja-JP"/>
          </w:rPr>
          <w:delText>týdnu 12, Studie HS I</w:delText>
        </w:r>
        <w:r w:rsidR="002378E0">
          <w:rPr>
            <w:rFonts w:eastAsia="MS Mincho"/>
            <w:b/>
            <w:bCs/>
            <w:iCs/>
            <w:szCs w:val="22"/>
            <w:lang w:eastAsia="ja-JP"/>
          </w:rPr>
          <w:delText xml:space="preserve"> a </w:delText>
        </w:r>
        <w:r w:rsidRPr="001B4A02">
          <w:rPr>
            <w:rFonts w:eastAsia="MS Mincho"/>
            <w:b/>
            <w:bCs/>
            <w:iCs/>
            <w:szCs w:val="22"/>
            <w:lang w:eastAsia="ja-JP"/>
          </w:rPr>
          <w:delText>II</w:delText>
        </w:r>
      </w:del>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534A2D" w14:paraId="2A203695" w14:textId="77777777" w:rsidTr="008D783A">
        <w:trPr>
          <w:trHeight w:val="20"/>
          <w:jc w:val="center"/>
          <w:del w:id="6733" w:author="AbbVie1" w:date="2025-05-13T09:50:00Z"/>
        </w:trPr>
        <w:tc>
          <w:tcPr>
            <w:tcW w:w="2847" w:type="dxa"/>
            <w:vMerge w:val="restart"/>
            <w:tcMar>
              <w:top w:w="0" w:type="dxa"/>
              <w:left w:w="115" w:type="dxa"/>
              <w:bottom w:w="0" w:type="dxa"/>
              <w:right w:w="115" w:type="dxa"/>
            </w:tcMar>
            <w:vAlign w:val="bottom"/>
          </w:tcPr>
          <w:p w14:paraId="0308636B" w14:textId="77777777" w:rsidR="00A64779" w:rsidRPr="001B4A02" w:rsidRDefault="00A64779" w:rsidP="00ED48A3">
            <w:pPr>
              <w:keepNext/>
              <w:widowControl w:val="0"/>
              <w:tabs>
                <w:tab w:val="left" w:pos="562"/>
              </w:tabs>
              <w:suppressAutoHyphens/>
              <w:ind w:left="0" w:firstLine="0"/>
              <w:rPr>
                <w:del w:id="6734" w:author="AbbVie1" w:date="2025-05-13T09:50:00Z"/>
                <w:b/>
                <w:szCs w:val="24"/>
              </w:rPr>
            </w:pPr>
          </w:p>
        </w:tc>
        <w:tc>
          <w:tcPr>
            <w:tcW w:w="3186" w:type="dxa"/>
            <w:gridSpan w:val="2"/>
            <w:tcMar>
              <w:top w:w="0" w:type="dxa"/>
              <w:left w:w="115" w:type="dxa"/>
              <w:bottom w:w="0" w:type="dxa"/>
              <w:right w:w="115" w:type="dxa"/>
            </w:tcMar>
            <w:vAlign w:val="bottom"/>
          </w:tcPr>
          <w:p w14:paraId="73DAABED" w14:textId="77777777" w:rsidR="00A64779" w:rsidRPr="001B4A02" w:rsidRDefault="00000000" w:rsidP="00ED48A3">
            <w:pPr>
              <w:keepNext/>
              <w:widowControl w:val="0"/>
              <w:tabs>
                <w:tab w:val="left" w:pos="562"/>
              </w:tabs>
              <w:suppressAutoHyphens/>
              <w:ind w:left="0" w:firstLine="0"/>
              <w:jc w:val="center"/>
              <w:rPr>
                <w:del w:id="6735" w:author="AbbVie1" w:date="2025-05-13T09:50:00Z"/>
                <w:b/>
                <w:bCs/>
                <w:szCs w:val="24"/>
              </w:rPr>
            </w:pPr>
            <w:del w:id="6736" w:author="AbbVie1" w:date="2025-05-13T09:50:00Z">
              <w:r w:rsidRPr="001B4A02">
                <w:rPr>
                  <w:b/>
                  <w:bCs/>
                  <w:szCs w:val="24"/>
                </w:rPr>
                <w:delText>HS Studie I</w:delText>
              </w:r>
            </w:del>
          </w:p>
        </w:tc>
        <w:tc>
          <w:tcPr>
            <w:tcW w:w="3260" w:type="dxa"/>
            <w:gridSpan w:val="2"/>
            <w:tcMar>
              <w:top w:w="0" w:type="dxa"/>
              <w:left w:w="115" w:type="dxa"/>
              <w:bottom w:w="0" w:type="dxa"/>
              <w:right w:w="115" w:type="dxa"/>
            </w:tcMar>
            <w:vAlign w:val="bottom"/>
          </w:tcPr>
          <w:p w14:paraId="27029BD0" w14:textId="77777777" w:rsidR="00A64779" w:rsidRPr="001B4A02" w:rsidRDefault="00000000" w:rsidP="00ED48A3">
            <w:pPr>
              <w:keepNext/>
              <w:widowControl w:val="0"/>
              <w:tabs>
                <w:tab w:val="left" w:pos="562"/>
              </w:tabs>
              <w:suppressAutoHyphens/>
              <w:ind w:left="0" w:firstLine="0"/>
              <w:jc w:val="center"/>
              <w:rPr>
                <w:del w:id="6737" w:author="AbbVie1" w:date="2025-05-13T09:50:00Z"/>
                <w:b/>
                <w:bCs/>
                <w:szCs w:val="24"/>
              </w:rPr>
            </w:pPr>
            <w:del w:id="6738" w:author="AbbVie1" w:date="2025-05-13T09:50:00Z">
              <w:r w:rsidRPr="001B4A02">
                <w:rPr>
                  <w:b/>
                  <w:bCs/>
                  <w:szCs w:val="24"/>
                </w:rPr>
                <w:delText>HS Studie II</w:delText>
              </w:r>
            </w:del>
          </w:p>
        </w:tc>
      </w:tr>
      <w:tr w:rsidR="00534A2D" w14:paraId="20CF38D5" w14:textId="77777777" w:rsidTr="008D783A">
        <w:trPr>
          <w:trHeight w:val="20"/>
          <w:jc w:val="center"/>
          <w:del w:id="6739" w:author="AbbVie1" w:date="2025-05-13T09:50:00Z"/>
        </w:trPr>
        <w:tc>
          <w:tcPr>
            <w:tcW w:w="2847" w:type="dxa"/>
            <w:vMerge/>
            <w:tcMar>
              <w:top w:w="0" w:type="dxa"/>
              <w:left w:w="115" w:type="dxa"/>
              <w:bottom w:w="0" w:type="dxa"/>
              <w:right w:w="115" w:type="dxa"/>
            </w:tcMar>
            <w:vAlign w:val="center"/>
            <w:hideMark/>
          </w:tcPr>
          <w:p w14:paraId="30DAB890" w14:textId="77777777" w:rsidR="00A64779" w:rsidRPr="001B4A02" w:rsidRDefault="00A64779" w:rsidP="00ED48A3">
            <w:pPr>
              <w:keepNext/>
              <w:widowControl w:val="0"/>
              <w:tabs>
                <w:tab w:val="left" w:pos="562"/>
              </w:tabs>
              <w:suppressAutoHyphens/>
              <w:ind w:left="0" w:firstLine="0"/>
              <w:rPr>
                <w:del w:id="6740" w:author="AbbVie1" w:date="2025-05-13T09:50:00Z"/>
                <w:szCs w:val="24"/>
              </w:rPr>
            </w:pPr>
          </w:p>
        </w:tc>
        <w:tc>
          <w:tcPr>
            <w:tcW w:w="1440" w:type="dxa"/>
            <w:tcMar>
              <w:top w:w="0" w:type="dxa"/>
              <w:left w:w="115" w:type="dxa"/>
              <w:bottom w:w="0" w:type="dxa"/>
              <w:right w:w="115" w:type="dxa"/>
            </w:tcMar>
            <w:vAlign w:val="center"/>
            <w:hideMark/>
          </w:tcPr>
          <w:p w14:paraId="51E73C43" w14:textId="77777777" w:rsidR="00A64779" w:rsidRPr="001B4A02" w:rsidRDefault="00000000" w:rsidP="00ED48A3">
            <w:pPr>
              <w:keepNext/>
              <w:widowControl w:val="0"/>
              <w:tabs>
                <w:tab w:val="left" w:pos="562"/>
              </w:tabs>
              <w:suppressAutoHyphens/>
              <w:ind w:left="0" w:firstLine="0"/>
              <w:jc w:val="center"/>
              <w:rPr>
                <w:del w:id="6741" w:author="AbbVie1" w:date="2025-05-13T09:50:00Z"/>
                <w:szCs w:val="24"/>
              </w:rPr>
            </w:pPr>
            <w:del w:id="6742" w:author="AbbVie1" w:date="2025-05-13T09:50:00Z">
              <w:r w:rsidRPr="001B4A02">
                <w:rPr>
                  <w:b/>
                  <w:bCs/>
                  <w:szCs w:val="24"/>
                </w:rPr>
                <w:delText>Placebo</w:delText>
              </w:r>
            </w:del>
          </w:p>
        </w:tc>
        <w:tc>
          <w:tcPr>
            <w:tcW w:w="1746" w:type="dxa"/>
            <w:tcMar>
              <w:top w:w="0" w:type="dxa"/>
              <w:left w:w="115" w:type="dxa"/>
              <w:bottom w:w="0" w:type="dxa"/>
              <w:right w:w="115" w:type="dxa"/>
            </w:tcMar>
            <w:vAlign w:val="center"/>
            <w:hideMark/>
          </w:tcPr>
          <w:p w14:paraId="2EFFA8EA" w14:textId="77777777" w:rsidR="00A64779" w:rsidRPr="001B4A02" w:rsidRDefault="00000000" w:rsidP="00ED48A3">
            <w:pPr>
              <w:keepNext/>
              <w:widowControl w:val="0"/>
              <w:tabs>
                <w:tab w:val="left" w:pos="562"/>
              </w:tabs>
              <w:suppressAutoHyphens/>
              <w:ind w:left="0" w:firstLine="0"/>
              <w:jc w:val="center"/>
              <w:rPr>
                <w:del w:id="6743" w:author="AbbVie1" w:date="2025-05-13T09:50:00Z"/>
                <w:b/>
                <w:bCs/>
                <w:szCs w:val="24"/>
              </w:rPr>
            </w:pPr>
            <w:del w:id="6744" w:author="AbbVie1" w:date="2025-05-13T09:50:00Z">
              <w:r w:rsidRPr="001B4A02">
                <w:rPr>
                  <w:b/>
                  <w:bCs/>
                  <w:szCs w:val="24"/>
                </w:rPr>
                <w:delText>Humira 40</w:delText>
              </w:r>
              <w:r w:rsidR="00294902">
                <w:rPr>
                  <w:b/>
                  <w:bCs/>
                  <w:szCs w:val="24"/>
                </w:rPr>
                <w:delText> mg</w:delText>
              </w:r>
              <w:r w:rsidRPr="001B4A02">
                <w:rPr>
                  <w:b/>
                  <w:bCs/>
                  <w:szCs w:val="24"/>
                </w:rPr>
                <w:delText xml:space="preserve"> jednou týdně</w:delText>
              </w:r>
            </w:del>
          </w:p>
        </w:tc>
        <w:tc>
          <w:tcPr>
            <w:tcW w:w="1404" w:type="dxa"/>
            <w:tcMar>
              <w:top w:w="0" w:type="dxa"/>
              <w:left w:w="115" w:type="dxa"/>
              <w:bottom w:w="0" w:type="dxa"/>
              <w:right w:w="115" w:type="dxa"/>
            </w:tcMar>
            <w:vAlign w:val="center"/>
            <w:hideMark/>
          </w:tcPr>
          <w:p w14:paraId="20FFD2EE" w14:textId="77777777" w:rsidR="00A64779" w:rsidRPr="001B4A02" w:rsidRDefault="00000000" w:rsidP="00ED48A3">
            <w:pPr>
              <w:keepNext/>
              <w:widowControl w:val="0"/>
              <w:tabs>
                <w:tab w:val="left" w:pos="562"/>
              </w:tabs>
              <w:suppressAutoHyphens/>
              <w:ind w:left="0" w:firstLine="0"/>
              <w:jc w:val="center"/>
              <w:rPr>
                <w:del w:id="6745" w:author="AbbVie1" w:date="2025-05-13T09:50:00Z"/>
                <w:b/>
                <w:bCs/>
                <w:szCs w:val="24"/>
              </w:rPr>
            </w:pPr>
            <w:del w:id="6746" w:author="AbbVie1" w:date="2025-05-13T09:50:00Z">
              <w:r w:rsidRPr="001B4A02">
                <w:rPr>
                  <w:b/>
                  <w:bCs/>
                  <w:szCs w:val="24"/>
                </w:rPr>
                <w:delText>Placebo</w:delText>
              </w:r>
            </w:del>
          </w:p>
        </w:tc>
        <w:tc>
          <w:tcPr>
            <w:tcW w:w="1856" w:type="dxa"/>
            <w:tcMar>
              <w:top w:w="0" w:type="dxa"/>
              <w:left w:w="115" w:type="dxa"/>
              <w:bottom w:w="0" w:type="dxa"/>
              <w:right w:w="115" w:type="dxa"/>
            </w:tcMar>
            <w:vAlign w:val="center"/>
            <w:hideMark/>
          </w:tcPr>
          <w:p w14:paraId="114BB79A" w14:textId="77777777" w:rsidR="00A64779" w:rsidRPr="001B4A02" w:rsidRDefault="00000000" w:rsidP="00ED48A3">
            <w:pPr>
              <w:keepNext/>
              <w:widowControl w:val="0"/>
              <w:tabs>
                <w:tab w:val="left" w:pos="562"/>
              </w:tabs>
              <w:suppressAutoHyphens/>
              <w:ind w:left="0" w:firstLine="0"/>
              <w:jc w:val="center"/>
              <w:rPr>
                <w:del w:id="6747" w:author="AbbVie1" w:date="2025-05-13T09:50:00Z"/>
                <w:b/>
                <w:bCs/>
                <w:szCs w:val="24"/>
              </w:rPr>
            </w:pPr>
            <w:del w:id="6748" w:author="AbbVie1" w:date="2025-05-13T09:50:00Z">
              <w:r w:rsidRPr="001B4A02">
                <w:rPr>
                  <w:b/>
                  <w:bCs/>
                  <w:szCs w:val="24"/>
                </w:rPr>
                <w:delText>Humira 40</w:delText>
              </w:r>
              <w:r w:rsidR="00294902">
                <w:rPr>
                  <w:b/>
                  <w:bCs/>
                  <w:szCs w:val="24"/>
                </w:rPr>
                <w:delText> mg</w:delText>
              </w:r>
              <w:r w:rsidRPr="001B4A02">
                <w:rPr>
                  <w:b/>
                  <w:bCs/>
                  <w:szCs w:val="24"/>
                </w:rPr>
                <w:delText xml:space="preserve"> jednou týdně</w:delText>
              </w:r>
            </w:del>
          </w:p>
        </w:tc>
      </w:tr>
      <w:tr w:rsidR="00534A2D" w14:paraId="6D87C439" w14:textId="77777777" w:rsidTr="008D783A">
        <w:trPr>
          <w:trHeight w:val="20"/>
          <w:jc w:val="center"/>
          <w:del w:id="6749" w:author="AbbVie1" w:date="2025-05-13T09:50:00Z"/>
        </w:trPr>
        <w:tc>
          <w:tcPr>
            <w:tcW w:w="2847" w:type="dxa"/>
            <w:tcMar>
              <w:top w:w="0" w:type="dxa"/>
              <w:left w:w="115" w:type="dxa"/>
              <w:bottom w:w="0" w:type="dxa"/>
              <w:right w:w="115" w:type="dxa"/>
            </w:tcMar>
            <w:vAlign w:val="center"/>
            <w:hideMark/>
          </w:tcPr>
          <w:p w14:paraId="48C40B76" w14:textId="77777777" w:rsidR="00A64779" w:rsidRPr="001B4A02" w:rsidRDefault="00000000" w:rsidP="00ED48A3">
            <w:pPr>
              <w:keepNext/>
              <w:widowControl w:val="0"/>
              <w:tabs>
                <w:tab w:val="left" w:pos="562"/>
              </w:tabs>
              <w:suppressAutoHyphens/>
              <w:ind w:left="0" w:firstLine="0"/>
              <w:rPr>
                <w:del w:id="6750" w:author="AbbVie1" w:date="2025-05-13T09:50:00Z"/>
                <w:szCs w:val="24"/>
              </w:rPr>
            </w:pPr>
            <w:del w:id="6751" w:author="AbbVie1" w:date="2025-05-13T09:50:00Z">
              <w:r w:rsidRPr="001B4A02">
                <w:rPr>
                  <w:szCs w:val="24"/>
                </w:rPr>
                <w:delText xml:space="preserve">Klinická odpověď </w:delText>
              </w:r>
              <w:r w:rsidR="00EF0AF7" w:rsidRPr="001B4A02">
                <w:rPr>
                  <w:szCs w:val="24"/>
                </w:rPr>
                <w:delText>„</w:delText>
              </w:r>
              <w:r w:rsidRPr="001B4A02">
                <w:rPr>
                  <w:szCs w:val="24"/>
                </w:rPr>
                <w:delText>Hidradenitis Suppurativa Clinical Response</w:delText>
              </w:r>
              <w:r w:rsidR="00EF0AF7" w:rsidRPr="001B4A02">
                <w:rPr>
                  <w:szCs w:val="24"/>
                </w:rPr>
                <w:delText>“</w:delText>
              </w:r>
              <w:r w:rsidRPr="001B4A02">
                <w:rPr>
                  <w:szCs w:val="24"/>
                </w:rPr>
                <w:delText xml:space="preserve"> (HiSCR)</w:delText>
              </w:r>
              <w:r w:rsidRPr="001B4A02">
                <w:rPr>
                  <w:szCs w:val="24"/>
                  <w:vertAlign w:val="superscript"/>
                </w:rPr>
                <w:delText>a</w:delText>
              </w:r>
              <w:r w:rsidRPr="001B4A02">
                <w:rPr>
                  <w:szCs w:val="24"/>
                </w:rPr>
                <w:delText xml:space="preserve"> </w:delText>
              </w:r>
            </w:del>
          </w:p>
        </w:tc>
        <w:tc>
          <w:tcPr>
            <w:tcW w:w="1440" w:type="dxa"/>
            <w:tcMar>
              <w:top w:w="0" w:type="dxa"/>
              <w:left w:w="115" w:type="dxa"/>
              <w:bottom w:w="0" w:type="dxa"/>
              <w:right w:w="115" w:type="dxa"/>
            </w:tcMar>
            <w:hideMark/>
          </w:tcPr>
          <w:p w14:paraId="23F87DAB" w14:textId="77777777" w:rsidR="00A64779" w:rsidRPr="001B4A02" w:rsidRDefault="00000000" w:rsidP="00ED48A3">
            <w:pPr>
              <w:keepNext/>
              <w:widowControl w:val="0"/>
              <w:tabs>
                <w:tab w:val="left" w:pos="562"/>
              </w:tabs>
              <w:suppressAutoHyphens/>
              <w:ind w:left="0" w:firstLine="0"/>
              <w:jc w:val="center"/>
              <w:rPr>
                <w:del w:id="6752" w:author="AbbVie1" w:date="2025-05-13T09:50:00Z"/>
                <w:szCs w:val="24"/>
              </w:rPr>
            </w:pPr>
            <w:del w:id="6753" w:author="AbbVie1" w:date="2025-05-13T09:50:00Z">
              <w:r>
                <w:rPr>
                  <w:szCs w:val="24"/>
                </w:rPr>
                <w:delText>n</w:delText>
              </w:r>
              <w:r w:rsidRPr="001B4A02">
                <w:rPr>
                  <w:szCs w:val="24"/>
                </w:rPr>
                <w:delText>=154</w:delText>
              </w:r>
              <w:r w:rsidRPr="001B4A02">
                <w:rPr>
                  <w:szCs w:val="24"/>
                </w:rPr>
                <w:br/>
                <w:delText>40 (26,0</w:delText>
              </w:r>
              <w:r w:rsidR="001E10EB" w:rsidRPr="001B4A02">
                <w:delText> </w:delText>
              </w:r>
              <w:r w:rsidRPr="001B4A02">
                <w:rPr>
                  <w:szCs w:val="24"/>
                </w:rPr>
                <w:delText>%)</w:delText>
              </w:r>
            </w:del>
          </w:p>
        </w:tc>
        <w:tc>
          <w:tcPr>
            <w:tcW w:w="1746" w:type="dxa"/>
            <w:tcMar>
              <w:top w:w="0" w:type="dxa"/>
              <w:left w:w="115" w:type="dxa"/>
              <w:bottom w:w="0" w:type="dxa"/>
              <w:right w:w="115" w:type="dxa"/>
            </w:tcMar>
            <w:hideMark/>
          </w:tcPr>
          <w:p w14:paraId="0EF9CDC2" w14:textId="77777777" w:rsidR="00A64779" w:rsidRPr="001B4A02" w:rsidRDefault="00000000" w:rsidP="00ED48A3">
            <w:pPr>
              <w:keepNext/>
              <w:widowControl w:val="0"/>
              <w:tabs>
                <w:tab w:val="left" w:pos="562"/>
              </w:tabs>
              <w:suppressAutoHyphens/>
              <w:ind w:left="0" w:firstLine="0"/>
              <w:jc w:val="center"/>
              <w:rPr>
                <w:del w:id="6754" w:author="AbbVie1" w:date="2025-05-13T09:50:00Z"/>
                <w:szCs w:val="24"/>
              </w:rPr>
            </w:pPr>
            <w:del w:id="6755" w:author="AbbVie1" w:date="2025-05-13T09:50:00Z">
              <w:r>
                <w:rPr>
                  <w:szCs w:val="24"/>
                </w:rPr>
                <w:delText>n</w:delText>
              </w:r>
              <w:r w:rsidRPr="001B4A02">
                <w:rPr>
                  <w:szCs w:val="24"/>
                </w:rPr>
                <w:delText>=153</w:delText>
              </w:r>
              <w:r w:rsidRPr="001B4A02">
                <w:rPr>
                  <w:szCs w:val="24"/>
                </w:rPr>
                <w:br/>
                <w:delText>64 (41,8</w:delText>
              </w:r>
              <w:r w:rsidR="001E10EB" w:rsidRPr="001B4A02">
                <w:delText> </w:delText>
              </w:r>
              <w:r w:rsidRPr="001B4A02">
                <w:rPr>
                  <w:szCs w:val="24"/>
                </w:rPr>
                <w:delText xml:space="preserve">%) </w:delText>
              </w:r>
              <w:r w:rsidRPr="001B4A02">
                <w:rPr>
                  <w:szCs w:val="24"/>
                  <w:vertAlign w:val="superscript"/>
                </w:rPr>
                <w:delText>*</w:delText>
              </w:r>
            </w:del>
          </w:p>
        </w:tc>
        <w:tc>
          <w:tcPr>
            <w:tcW w:w="1404" w:type="dxa"/>
            <w:tcMar>
              <w:top w:w="0" w:type="dxa"/>
              <w:left w:w="115" w:type="dxa"/>
              <w:bottom w:w="0" w:type="dxa"/>
              <w:right w:w="115" w:type="dxa"/>
            </w:tcMar>
          </w:tcPr>
          <w:p w14:paraId="20574DA4" w14:textId="77777777" w:rsidR="00A64779" w:rsidRPr="001B4A02" w:rsidRDefault="00000000" w:rsidP="00ED48A3">
            <w:pPr>
              <w:keepNext/>
              <w:widowControl w:val="0"/>
              <w:tabs>
                <w:tab w:val="left" w:pos="562"/>
              </w:tabs>
              <w:suppressAutoHyphens/>
              <w:ind w:left="0" w:firstLine="0"/>
              <w:jc w:val="center"/>
              <w:rPr>
                <w:del w:id="6756" w:author="AbbVie1" w:date="2025-05-13T09:50:00Z"/>
                <w:szCs w:val="24"/>
              </w:rPr>
            </w:pPr>
            <w:del w:id="6757" w:author="AbbVie1" w:date="2025-05-13T09:50:00Z">
              <w:r>
                <w:rPr>
                  <w:szCs w:val="24"/>
                </w:rPr>
                <w:delText>n</w:delText>
              </w:r>
              <w:r w:rsidRPr="001B4A02">
                <w:rPr>
                  <w:szCs w:val="24"/>
                </w:rPr>
                <w:delText>=163</w:delText>
              </w:r>
            </w:del>
          </w:p>
          <w:p w14:paraId="504A4EF7" w14:textId="77777777" w:rsidR="00A64779" w:rsidRPr="001B4A02" w:rsidRDefault="00000000" w:rsidP="00ED48A3">
            <w:pPr>
              <w:keepNext/>
              <w:widowControl w:val="0"/>
              <w:tabs>
                <w:tab w:val="left" w:pos="562"/>
              </w:tabs>
              <w:suppressAutoHyphens/>
              <w:ind w:left="0" w:firstLine="0"/>
              <w:jc w:val="center"/>
              <w:rPr>
                <w:del w:id="6758" w:author="AbbVie1" w:date="2025-05-13T09:50:00Z"/>
                <w:szCs w:val="24"/>
              </w:rPr>
            </w:pPr>
            <w:del w:id="6759" w:author="AbbVie1" w:date="2025-05-13T09:50:00Z">
              <w:r w:rsidRPr="001B4A02">
                <w:rPr>
                  <w:szCs w:val="24"/>
                </w:rPr>
                <w:delText>45 (27,6</w:delText>
              </w:r>
              <w:r w:rsidR="001E10EB" w:rsidRPr="001B4A02">
                <w:delText> </w:delText>
              </w:r>
              <w:r w:rsidRPr="001B4A02">
                <w:rPr>
                  <w:szCs w:val="24"/>
                </w:rPr>
                <w:delText>%)</w:delText>
              </w:r>
            </w:del>
          </w:p>
        </w:tc>
        <w:tc>
          <w:tcPr>
            <w:tcW w:w="1856" w:type="dxa"/>
            <w:tcMar>
              <w:top w:w="0" w:type="dxa"/>
              <w:left w:w="115" w:type="dxa"/>
              <w:bottom w:w="0" w:type="dxa"/>
              <w:right w:w="115" w:type="dxa"/>
            </w:tcMar>
          </w:tcPr>
          <w:p w14:paraId="4DC43105" w14:textId="77777777" w:rsidR="00A64779" w:rsidRPr="001B4A02" w:rsidRDefault="00000000" w:rsidP="00ED48A3">
            <w:pPr>
              <w:keepNext/>
              <w:widowControl w:val="0"/>
              <w:tabs>
                <w:tab w:val="left" w:pos="562"/>
              </w:tabs>
              <w:suppressAutoHyphens/>
              <w:ind w:left="0" w:firstLine="0"/>
              <w:jc w:val="center"/>
              <w:rPr>
                <w:del w:id="6760" w:author="AbbVie1" w:date="2025-05-13T09:50:00Z"/>
                <w:szCs w:val="24"/>
              </w:rPr>
            </w:pPr>
            <w:del w:id="6761" w:author="AbbVie1" w:date="2025-05-13T09:50:00Z">
              <w:r>
                <w:rPr>
                  <w:szCs w:val="24"/>
                </w:rPr>
                <w:delText>n</w:delText>
              </w:r>
              <w:r w:rsidRPr="001B4A02">
                <w:rPr>
                  <w:szCs w:val="24"/>
                </w:rPr>
                <w:delText>=163</w:delText>
              </w:r>
            </w:del>
          </w:p>
          <w:p w14:paraId="7A997E1B" w14:textId="77777777" w:rsidR="00A64779" w:rsidRPr="001B4A02" w:rsidRDefault="00000000" w:rsidP="00ED48A3">
            <w:pPr>
              <w:keepNext/>
              <w:widowControl w:val="0"/>
              <w:tabs>
                <w:tab w:val="left" w:pos="562"/>
              </w:tabs>
              <w:suppressAutoHyphens/>
              <w:ind w:left="0" w:firstLine="0"/>
              <w:jc w:val="center"/>
              <w:rPr>
                <w:del w:id="6762" w:author="AbbVie1" w:date="2025-05-13T09:50:00Z"/>
                <w:szCs w:val="24"/>
              </w:rPr>
            </w:pPr>
            <w:del w:id="6763" w:author="AbbVie1" w:date="2025-05-13T09:50:00Z">
              <w:r w:rsidRPr="001B4A02">
                <w:rPr>
                  <w:szCs w:val="24"/>
                </w:rPr>
                <w:delText>96 (58,9</w:delText>
              </w:r>
              <w:r w:rsidR="001E10EB" w:rsidRPr="001B4A02">
                <w:delText> </w:delText>
              </w:r>
              <w:r w:rsidRPr="001B4A02">
                <w:rPr>
                  <w:szCs w:val="24"/>
                </w:rPr>
                <w:delText xml:space="preserve">%) </w:delText>
              </w:r>
              <w:r w:rsidRPr="001B4A02">
                <w:rPr>
                  <w:szCs w:val="24"/>
                  <w:vertAlign w:val="superscript"/>
                </w:rPr>
                <w:delText>***</w:delText>
              </w:r>
            </w:del>
          </w:p>
        </w:tc>
      </w:tr>
      <w:tr w:rsidR="00534A2D" w14:paraId="0D12A297" w14:textId="77777777" w:rsidTr="008D783A">
        <w:trPr>
          <w:trHeight w:val="20"/>
          <w:jc w:val="center"/>
          <w:del w:id="6764" w:author="AbbVie1" w:date="2025-05-13T09:50:00Z"/>
        </w:trPr>
        <w:tc>
          <w:tcPr>
            <w:tcW w:w="2847" w:type="dxa"/>
            <w:tcMar>
              <w:top w:w="0" w:type="dxa"/>
              <w:left w:w="115" w:type="dxa"/>
              <w:bottom w:w="0" w:type="dxa"/>
              <w:right w:w="115" w:type="dxa"/>
            </w:tcMar>
            <w:vAlign w:val="center"/>
            <w:hideMark/>
          </w:tcPr>
          <w:p w14:paraId="0C7FA6A3" w14:textId="77777777" w:rsidR="00A64779" w:rsidRPr="001B4A02" w:rsidRDefault="00000000" w:rsidP="00ED48A3">
            <w:pPr>
              <w:keepNext/>
              <w:widowControl w:val="0"/>
              <w:tabs>
                <w:tab w:val="left" w:pos="562"/>
              </w:tabs>
              <w:suppressAutoHyphens/>
              <w:ind w:left="0" w:firstLine="0"/>
              <w:rPr>
                <w:del w:id="6765" w:author="AbbVie1" w:date="2025-05-13T09:50:00Z"/>
                <w:szCs w:val="24"/>
              </w:rPr>
            </w:pPr>
            <w:del w:id="6766" w:author="AbbVie1" w:date="2025-05-13T09:50:00Z">
              <w:r w:rsidRPr="001B4A02">
                <w:rPr>
                  <w:szCs w:val="24"/>
                </w:rPr>
                <w:delText>≥</w:delText>
              </w:r>
              <w:r w:rsidR="00D36F02" w:rsidRPr="001B4A02">
                <w:rPr>
                  <w:szCs w:val="24"/>
                </w:rPr>
                <w:delText> </w:delText>
              </w:r>
              <w:r w:rsidRPr="001B4A02">
                <w:rPr>
                  <w:szCs w:val="24"/>
                </w:rPr>
                <w:delText xml:space="preserve">30% </w:delText>
              </w:r>
              <w:r w:rsidR="00D36F02" w:rsidRPr="001B4A02">
                <w:rPr>
                  <w:szCs w:val="24"/>
                </w:rPr>
                <w:delText>s</w:delText>
              </w:r>
              <w:r w:rsidRPr="001B4A02">
                <w:rPr>
                  <w:szCs w:val="24"/>
                </w:rPr>
                <w:delText>nížení bolesti kůže</w:delText>
              </w:r>
              <w:r w:rsidRPr="001B4A02">
                <w:rPr>
                  <w:szCs w:val="24"/>
                  <w:vertAlign w:val="superscript"/>
                </w:rPr>
                <w:delText>b</w:delText>
              </w:r>
            </w:del>
          </w:p>
        </w:tc>
        <w:tc>
          <w:tcPr>
            <w:tcW w:w="1440" w:type="dxa"/>
            <w:tcMar>
              <w:top w:w="0" w:type="dxa"/>
              <w:left w:w="115" w:type="dxa"/>
              <w:bottom w:w="0" w:type="dxa"/>
              <w:right w:w="115" w:type="dxa"/>
            </w:tcMar>
            <w:hideMark/>
          </w:tcPr>
          <w:p w14:paraId="18286C4C" w14:textId="77777777" w:rsidR="00A64779" w:rsidRPr="001B4A02" w:rsidRDefault="00000000" w:rsidP="00ED48A3">
            <w:pPr>
              <w:keepNext/>
              <w:widowControl w:val="0"/>
              <w:tabs>
                <w:tab w:val="left" w:pos="562"/>
              </w:tabs>
              <w:suppressAutoHyphens/>
              <w:ind w:left="0" w:firstLine="0"/>
              <w:jc w:val="center"/>
              <w:rPr>
                <w:del w:id="6767" w:author="AbbVie1" w:date="2025-05-13T09:50:00Z"/>
                <w:szCs w:val="24"/>
              </w:rPr>
            </w:pPr>
            <w:del w:id="6768" w:author="AbbVie1" w:date="2025-05-13T09:50:00Z">
              <w:r>
                <w:rPr>
                  <w:szCs w:val="24"/>
                </w:rPr>
                <w:delText>n</w:delText>
              </w:r>
              <w:r w:rsidRPr="001B4A02">
                <w:rPr>
                  <w:szCs w:val="24"/>
                </w:rPr>
                <w:delText>=109</w:delText>
              </w:r>
              <w:r w:rsidRPr="001B4A02">
                <w:rPr>
                  <w:szCs w:val="24"/>
                </w:rPr>
                <w:br/>
                <w:delText>27 (24,8</w:delText>
              </w:r>
              <w:r w:rsidR="001E10EB" w:rsidRPr="001B4A02">
                <w:delText> </w:delText>
              </w:r>
              <w:r w:rsidRPr="001B4A02">
                <w:rPr>
                  <w:szCs w:val="24"/>
                </w:rPr>
                <w:delText>%)</w:delText>
              </w:r>
            </w:del>
          </w:p>
        </w:tc>
        <w:tc>
          <w:tcPr>
            <w:tcW w:w="1746" w:type="dxa"/>
            <w:tcMar>
              <w:top w:w="0" w:type="dxa"/>
              <w:left w:w="115" w:type="dxa"/>
              <w:bottom w:w="0" w:type="dxa"/>
              <w:right w:w="115" w:type="dxa"/>
            </w:tcMar>
            <w:hideMark/>
          </w:tcPr>
          <w:p w14:paraId="61CF521C" w14:textId="77777777" w:rsidR="00A64779" w:rsidRPr="001B4A02" w:rsidRDefault="00000000" w:rsidP="00ED48A3">
            <w:pPr>
              <w:keepNext/>
              <w:widowControl w:val="0"/>
              <w:tabs>
                <w:tab w:val="left" w:pos="562"/>
              </w:tabs>
              <w:suppressAutoHyphens/>
              <w:ind w:left="0" w:firstLine="0"/>
              <w:jc w:val="center"/>
              <w:rPr>
                <w:del w:id="6769" w:author="AbbVie1" w:date="2025-05-13T09:50:00Z"/>
                <w:szCs w:val="24"/>
              </w:rPr>
            </w:pPr>
            <w:del w:id="6770" w:author="AbbVie1" w:date="2025-05-13T09:50:00Z">
              <w:r>
                <w:rPr>
                  <w:szCs w:val="24"/>
                </w:rPr>
                <w:delText>n</w:delText>
              </w:r>
              <w:r w:rsidRPr="001B4A02">
                <w:rPr>
                  <w:szCs w:val="24"/>
                </w:rPr>
                <w:delText>=122</w:delText>
              </w:r>
              <w:r w:rsidRPr="001B4A02">
                <w:rPr>
                  <w:szCs w:val="24"/>
                </w:rPr>
                <w:br/>
                <w:delText>34 (27,9</w:delText>
              </w:r>
              <w:r w:rsidR="001E10EB" w:rsidRPr="001B4A02">
                <w:delText> </w:delText>
              </w:r>
              <w:r w:rsidRPr="001B4A02">
                <w:rPr>
                  <w:szCs w:val="24"/>
                </w:rPr>
                <w:delText>%)</w:delText>
              </w:r>
            </w:del>
          </w:p>
        </w:tc>
        <w:tc>
          <w:tcPr>
            <w:tcW w:w="1404" w:type="dxa"/>
            <w:tcMar>
              <w:top w:w="0" w:type="dxa"/>
              <w:left w:w="115" w:type="dxa"/>
              <w:bottom w:w="0" w:type="dxa"/>
              <w:right w:w="115" w:type="dxa"/>
            </w:tcMar>
          </w:tcPr>
          <w:p w14:paraId="698DE658" w14:textId="77777777" w:rsidR="00A64779" w:rsidRPr="001B4A02" w:rsidRDefault="00000000" w:rsidP="00ED48A3">
            <w:pPr>
              <w:keepNext/>
              <w:widowControl w:val="0"/>
              <w:tabs>
                <w:tab w:val="left" w:pos="562"/>
              </w:tabs>
              <w:suppressAutoHyphens/>
              <w:ind w:left="0" w:firstLine="0"/>
              <w:jc w:val="center"/>
              <w:rPr>
                <w:del w:id="6771" w:author="AbbVie1" w:date="2025-05-13T09:50:00Z"/>
                <w:szCs w:val="24"/>
              </w:rPr>
            </w:pPr>
            <w:del w:id="6772" w:author="AbbVie1" w:date="2025-05-13T09:50:00Z">
              <w:r>
                <w:rPr>
                  <w:szCs w:val="24"/>
                </w:rPr>
                <w:delText>n</w:delText>
              </w:r>
              <w:r w:rsidRPr="001B4A02">
                <w:rPr>
                  <w:szCs w:val="24"/>
                </w:rPr>
                <w:delText>=111</w:delText>
              </w:r>
            </w:del>
          </w:p>
          <w:p w14:paraId="03CAA693" w14:textId="77777777" w:rsidR="00A64779" w:rsidRPr="001B4A02" w:rsidRDefault="00000000" w:rsidP="00ED48A3">
            <w:pPr>
              <w:keepNext/>
              <w:widowControl w:val="0"/>
              <w:tabs>
                <w:tab w:val="left" w:pos="562"/>
              </w:tabs>
              <w:suppressAutoHyphens/>
              <w:ind w:left="0" w:firstLine="0"/>
              <w:jc w:val="center"/>
              <w:rPr>
                <w:del w:id="6773" w:author="AbbVie1" w:date="2025-05-13T09:50:00Z"/>
                <w:szCs w:val="24"/>
              </w:rPr>
            </w:pPr>
            <w:del w:id="6774" w:author="AbbVie1" w:date="2025-05-13T09:50:00Z">
              <w:r w:rsidRPr="001B4A02">
                <w:rPr>
                  <w:szCs w:val="24"/>
                </w:rPr>
                <w:delText>23 (20,7</w:delText>
              </w:r>
              <w:r w:rsidR="001E10EB" w:rsidRPr="001B4A02">
                <w:delText> </w:delText>
              </w:r>
              <w:r w:rsidRPr="001B4A02">
                <w:rPr>
                  <w:szCs w:val="24"/>
                </w:rPr>
                <w:delText>%)</w:delText>
              </w:r>
            </w:del>
          </w:p>
        </w:tc>
        <w:tc>
          <w:tcPr>
            <w:tcW w:w="1856" w:type="dxa"/>
            <w:tcMar>
              <w:top w:w="0" w:type="dxa"/>
              <w:left w:w="115" w:type="dxa"/>
              <w:bottom w:w="0" w:type="dxa"/>
              <w:right w:w="115" w:type="dxa"/>
            </w:tcMar>
          </w:tcPr>
          <w:p w14:paraId="1064F866" w14:textId="77777777" w:rsidR="00A64779" w:rsidRPr="001B4A02" w:rsidRDefault="00000000" w:rsidP="00ED48A3">
            <w:pPr>
              <w:keepNext/>
              <w:widowControl w:val="0"/>
              <w:tabs>
                <w:tab w:val="left" w:pos="562"/>
              </w:tabs>
              <w:suppressAutoHyphens/>
              <w:ind w:left="0" w:firstLine="0"/>
              <w:jc w:val="center"/>
              <w:rPr>
                <w:del w:id="6775" w:author="AbbVie1" w:date="2025-05-13T09:50:00Z"/>
                <w:szCs w:val="24"/>
              </w:rPr>
            </w:pPr>
            <w:del w:id="6776" w:author="AbbVie1" w:date="2025-05-13T09:50:00Z">
              <w:r>
                <w:rPr>
                  <w:szCs w:val="24"/>
                </w:rPr>
                <w:delText>n</w:delText>
              </w:r>
              <w:r w:rsidRPr="001B4A02">
                <w:rPr>
                  <w:szCs w:val="24"/>
                </w:rPr>
                <w:delText>=105</w:delText>
              </w:r>
            </w:del>
          </w:p>
          <w:p w14:paraId="0C9A0DDE" w14:textId="77777777" w:rsidR="00A64779" w:rsidRPr="001B4A02" w:rsidRDefault="00000000" w:rsidP="00ED48A3">
            <w:pPr>
              <w:keepNext/>
              <w:widowControl w:val="0"/>
              <w:tabs>
                <w:tab w:val="left" w:pos="562"/>
              </w:tabs>
              <w:suppressAutoHyphens/>
              <w:ind w:left="0" w:firstLine="0"/>
              <w:jc w:val="center"/>
              <w:rPr>
                <w:del w:id="6777" w:author="AbbVie1" w:date="2025-05-13T09:50:00Z"/>
                <w:szCs w:val="24"/>
              </w:rPr>
            </w:pPr>
            <w:del w:id="6778" w:author="AbbVie1" w:date="2025-05-13T09:50:00Z">
              <w:r w:rsidRPr="001B4A02">
                <w:rPr>
                  <w:szCs w:val="24"/>
                </w:rPr>
                <w:delText>48 (45,7</w:delText>
              </w:r>
              <w:r w:rsidR="001E10EB" w:rsidRPr="001B4A02">
                <w:delText> </w:delText>
              </w:r>
              <w:r w:rsidRPr="001B4A02">
                <w:rPr>
                  <w:szCs w:val="24"/>
                </w:rPr>
                <w:delText xml:space="preserve">%) </w:delText>
              </w:r>
              <w:r w:rsidRPr="001B4A02">
                <w:rPr>
                  <w:szCs w:val="24"/>
                  <w:vertAlign w:val="superscript"/>
                </w:rPr>
                <w:delText>***</w:delText>
              </w:r>
            </w:del>
          </w:p>
        </w:tc>
      </w:tr>
      <w:tr w:rsidR="00534A2D" w14:paraId="7FF7943C" w14:textId="77777777" w:rsidTr="008D783A">
        <w:trPr>
          <w:trHeight w:val="20"/>
          <w:jc w:val="center"/>
          <w:del w:id="6779" w:author="AbbVie1" w:date="2025-05-13T09:50:00Z"/>
        </w:trPr>
        <w:tc>
          <w:tcPr>
            <w:tcW w:w="9293" w:type="dxa"/>
            <w:gridSpan w:val="5"/>
            <w:tcMar>
              <w:top w:w="0" w:type="dxa"/>
              <w:left w:w="115" w:type="dxa"/>
              <w:bottom w:w="0" w:type="dxa"/>
              <w:right w:w="115" w:type="dxa"/>
            </w:tcMar>
            <w:vAlign w:val="center"/>
          </w:tcPr>
          <w:p w14:paraId="1EF44363" w14:textId="77777777" w:rsidR="00A64779" w:rsidRPr="001B4A02" w:rsidRDefault="00000000" w:rsidP="00ED48A3">
            <w:pPr>
              <w:keepNext/>
              <w:widowControl w:val="0"/>
              <w:tabs>
                <w:tab w:val="left" w:pos="562"/>
              </w:tabs>
              <w:suppressAutoHyphens/>
              <w:ind w:left="360" w:firstLine="0"/>
              <w:rPr>
                <w:del w:id="6780" w:author="AbbVie1" w:date="2025-05-13T09:50:00Z"/>
                <w:szCs w:val="24"/>
              </w:rPr>
            </w:pPr>
            <w:del w:id="6781" w:author="AbbVie1" w:date="2025-05-13T09:50:00Z">
              <w:r w:rsidRPr="001B4A02">
                <w:rPr>
                  <w:szCs w:val="24"/>
                </w:rPr>
                <w:delText xml:space="preserve">* </w:delText>
              </w:r>
              <w:r w:rsidRPr="001B4A02">
                <w:rPr>
                  <w:i/>
                  <w:szCs w:val="24"/>
                </w:rPr>
                <w:delText>P</w:delText>
              </w:r>
              <w:r w:rsidRPr="001B4A02">
                <w:rPr>
                  <w:szCs w:val="24"/>
                </w:rPr>
                <w:delText xml:space="preserve"> &lt; 0,05, ***</w:delText>
              </w:r>
              <w:r w:rsidRPr="001B4A02">
                <w:rPr>
                  <w:i/>
                  <w:szCs w:val="24"/>
                </w:rPr>
                <w:delText xml:space="preserve">P </w:delText>
              </w:r>
              <w:r w:rsidRPr="001B4A02">
                <w:rPr>
                  <w:szCs w:val="24"/>
                </w:rPr>
                <w:delText xml:space="preserve">&lt; 0,001, </w:delText>
              </w:r>
              <w:r w:rsidR="00B85453" w:rsidRPr="001B4A02">
                <w:rPr>
                  <w:szCs w:val="22"/>
                </w:rPr>
                <w:delText xml:space="preserve">přípravek </w:delText>
              </w:r>
              <w:r w:rsidRPr="001B4A02">
                <w:rPr>
                  <w:szCs w:val="24"/>
                </w:rPr>
                <w:delText xml:space="preserve">Humira versus placebo </w:delText>
              </w:r>
            </w:del>
          </w:p>
          <w:p w14:paraId="1BCA0036" w14:textId="77777777" w:rsidR="00A64779" w:rsidRPr="001B4A02" w:rsidRDefault="00000000" w:rsidP="007C5EA6">
            <w:pPr>
              <w:keepNext/>
              <w:keepLines/>
              <w:widowControl w:val="0"/>
              <w:numPr>
                <w:ilvl w:val="0"/>
                <w:numId w:val="116"/>
              </w:numPr>
              <w:suppressAutoHyphens/>
              <w:rPr>
                <w:del w:id="6782" w:author="AbbVie1" w:date="2025-05-13T09:50:00Z"/>
                <w:szCs w:val="24"/>
              </w:rPr>
            </w:pPr>
            <w:del w:id="6783" w:author="AbbVie1" w:date="2025-05-13T09:50:00Z">
              <w:r w:rsidRPr="001B4A02">
                <w:rPr>
                  <w:szCs w:val="24"/>
                </w:rPr>
                <w:delText>U všech randomizovaných pacientů.</w:delText>
              </w:r>
            </w:del>
          </w:p>
          <w:p w14:paraId="2F76E9E4" w14:textId="77777777" w:rsidR="00A64779" w:rsidRPr="001B4A02" w:rsidRDefault="00000000" w:rsidP="007C5EA6">
            <w:pPr>
              <w:keepNext/>
              <w:keepLines/>
              <w:widowControl w:val="0"/>
              <w:numPr>
                <w:ilvl w:val="0"/>
                <w:numId w:val="116"/>
              </w:numPr>
              <w:suppressAutoHyphens/>
              <w:rPr>
                <w:del w:id="6784" w:author="AbbVie1" w:date="2025-05-13T09:50:00Z"/>
                <w:szCs w:val="24"/>
              </w:rPr>
            </w:pPr>
            <w:del w:id="6785" w:author="AbbVie1" w:date="2025-05-13T09:50:00Z">
              <w:r w:rsidRPr="001B4A02">
                <w:rPr>
                  <w:szCs w:val="24"/>
                </w:rPr>
                <w:delText>U pacientů s</w:delText>
              </w:r>
              <w:r w:rsidR="008506F3" w:rsidRPr="001B4A02">
                <w:rPr>
                  <w:szCs w:val="24"/>
                </w:rPr>
                <w:delText> </w:delText>
              </w:r>
              <w:r w:rsidRPr="001B4A02">
                <w:rPr>
                  <w:szCs w:val="24"/>
                </w:rPr>
                <w:delText>výchozí hodn</w:delText>
              </w:r>
              <w:r w:rsidR="00062315" w:rsidRPr="001B4A02">
                <w:rPr>
                  <w:szCs w:val="24"/>
                </w:rPr>
                <w:delText>otou bolesti kůže spojené s</w:delText>
              </w:r>
              <w:r w:rsidR="008506F3" w:rsidRPr="001B4A02">
                <w:rPr>
                  <w:szCs w:val="24"/>
                </w:rPr>
                <w:delText> </w:delText>
              </w:r>
              <w:r w:rsidR="00062315" w:rsidRPr="001B4A02">
                <w:rPr>
                  <w:szCs w:val="24"/>
                </w:rPr>
                <w:delText xml:space="preserve">HS </w:delText>
              </w:r>
              <w:r w:rsidRPr="001B4A02">
                <w:rPr>
                  <w:szCs w:val="24"/>
                </w:rPr>
                <w:delText xml:space="preserve">≥ 3, na </w:delText>
              </w:r>
              <w:r w:rsidR="00C92394" w:rsidRPr="001B4A02">
                <w:rPr>
                  <w:szCs w:val="24"/>
                </w:rPr>
                <w:delText>podkladě</w:delText>
              </w:r>
              <w:r w:rsidRPr="001B4A02">
                <w:rPr>
                  <w:szCs w:val="24"/>
                </w:rPr>
                <w:delText xml:space="preserve"> číselné </w:delText>
              </w:r>
              <w:r w:rsidR="00C92394" w:rsidRPr="001B4A02">
                <w:rPr>
                  <w:szCs w:val="24"/>
                </w:rPr>
                <w:delText>škály</w:delText>
              </w:r>
              <w:r w:rsidRPr="001B4A02">
                <w:rPr>
                  <w:szCs w:val="24"/>
                </w:rPr>
                <w:delText xml:space="preserve"> 0–10; 0 = žádná bolest kůže, 10 = bolest kůže tak velká, jak si jen lze představit.</w:delText>
              </w:r>
            </w:del>
          </w:p>
        </w:tc>
      </w:tr>
    </w:tbl>
    <w:p w14:paraId="57FEBBC7" w14:textId="77777777" w:rsidR="00A64779" w:rsidRPr="001B4A02" w:rsidRDefault="00A64779" w:rsidP="00ED48A3">
      <w:pPr>
        <w:ind w:left="0" w:firstLine="0"/>
        <w:rPr>
          <w:del w:id="6786" w:author="AbbVie1" w:date="2025-05-13T09:50:00Z"/>
          <w:rFonts w:eastAsia="Calibri"/>
          <w:szCs w:val="22"/>
        </w:rPr>
      </w:pPr>
    </w:p>
    <w:p w14:paraId="6276B667" w14:textId="77777777" w:rsidR="00A64779" w:rsidRPr="001B4A02" w:rsidRDefault="00000000" w:rsidP="00ED48A3">
      <w:pPr>
        <w:ind w:left="0" w:firstLine="0"/>
        <w:rPr>
          <w:del w:id="6787" w:author="AbbVie1" w:date="2025-05-13T09:50:00Z"/>
          <w:rFonts w:eastAsia="Calibri"/>
          <w:szCs w:val="22"/>
        </w:rPr>
      </w:pPr>
      <w:del w:id="6788" w:author="AbbVie1" w:date="2025-05-13T09:50:00Z">
        <w:r w:rsidRPr="001B4A02">
          <w:rPr>
            <w:rFonts w:eastAsia="Calibri"/>
            <w:szCs w:val="22"/>
          </w:rPr>
          <w:delText>Léčba přípravkem Humira 40</w:delText>
        </w:r>
        <w:r w:rsidR="00294902">
          <w:rPr>
            <w:rFonts w:eastAsia="Calibri"/>
            <w:szCs w:val="22"/>
          </w:rPr>
          <w:delText> mg</w:delText>
        </w:r>
        <w:r w:rsidRPr="001B4A02">
          <w:rPr>
            <w:rFonts w:eastAsia="Calibri"/>
            <w:szCs w:val="22"/>
          </w:rPr>
          <w:delText xml:space="preserve"> jednou týdně významně snížila riziko zhoršení abscesů</w:delText>
        </w:r>
        <w:r w:rsidR="002378E0">
          <w:rPr>
            <w:rFonts w:eastAsia="Calibri"/>
            <w:szCs w:val="22"/>
          </w:rPr>
          <w:delText xml:space="preserve"> a </w:delText>
        </w:r>
        <w:r w:rsidRPr="001B4A02">
          <w:rPr>
            <w:rFonts w:eastAsia="Calibri"/>
            <w:szCs w:val="22"/>
          </w:rPr>
          <w:delText>píštělí</w:delText>
        </w:r>
        <w:r w:rsidR="00CD0193" w:rsidRPr="001B4A02">
          <w:rPr>
            <w:rFonts w:eastAsia="Calibri"/>
            <w:szCs w:val="22"/>
          </w:rPr>
          <w:delText xml:space="preserve"> s</w:delText>
        </w:r>
        <w:r w:rsidR="00AC7C92" w:rsidRPr="001B4A02">
          <w:rPr>
            <w:rFonts w:eastAsia="Calibri"/>
            <w:szCs w:val="22"/>
          </w:rPr>
          <w:delText> </w:delText>
        </w:r>
        <w:r w:rsidR="00CD0193" w:rsidRPr="001B4A02">
          <w:rPr>
            <w:rFonts w:eastAsia="Calibri"/>
            <w:szCs w:val="22"/>
          </w:rPr>
          <w:delText>výtokem</w:delText>
        </w:r>
        <w:r w:rsidRPr="001B4A02">
          <w:rPr>
            <w:rFonts w:eastAsia="Calibri"/>
            <w:szCs w:val="22"/>
          </w:rPr>
          <w:delText>. Přibližně dvakrát větší část pacientů ve skupině placeba během prvních 12 týdnů trvání studie HS-I</w:delText>
        </w:r>
        <w:r w:rsidR="002378E0">
          <w:rPr>
            <w:rFonts w:eastAsia="Calibri"/>
            <w:szCs w:val="22"/>
          </w:rPr>
          <w:delText xml:space="preserve"> a </w:delText>
        </w:r>
        <w:r w:rsidRPr="001B4A02">
          <w:rPr>
            <w:rFonts w:eastAsia="Calibri"/>
            <w:szCs w:val="22"/>
          </w:rPr>
          <w:delText>HS-II, ve srovnání s pacienty ve skupině s přípravkem Humira, pocítila zhoršení abscesů (23,0</w:delText>
        </w:r>
        <w:r w:rsidR="001E10EB" w:rsidRPr="001B4A02">
          <w:delText> </w:delText>
        </w:r>
        <w:r w:rsidRPr="001B4A02">
          <w:rPr>
            <w:rFonts w:eastAsia="Calibri"/>
            <w:szCs w:val="22"/>
          </w:rPr>
          <w:delText>% vs. 11,4</w:delText>
        </w:r>
        <w:r w:rsidR="001E10EB" w:rsidRPr="001B4A02">
          <w:delText> </w:delText>
        </w:r>
        <w:r w:rsidRPr="001B4A02">
          <w:rPr>
            <w:rFonts w:eastAsia="Calibri"/>
            <w:szCs w:val="22"/>
          </w:rPr>
          <w:delText>%, resp.)</w:delText>
        </w:r>
        <w:r w:rsidR="002378E0">
          <w:rPr>
            <w:rFonts w:eastAsia="Calibri"/>
            <w:szCs w:val="22"/>
          </w:rPr>
          <w:delText xml:space="preserve"> a </w:delText>
        </w:r>
        <w:r w:rsidRPr="001B4A02">
          <w:rPr>
            <w:rFonts w:eastAsia="Calibri"/>
            <w:szCs w:val="22"/>
          </w:rPr>
          <w:delText xml:space="preserve">píštělí </w:delText>
        </w:r>
        <w:r w:rsidR="00CD0193" w:rsidRPr="001B4A02">
          <w:rPr>
            <w:rFonts w:eastAsia="Calibri"/>
            <w:szCs w:val="22"/>
          </w:rPr>
          <w:delText xml:space="preserve">s výtokem </w:delText>
        </w:r>
        <w:r w:rsidRPr="001B4A02">
          <w:rPr>
            <w:rFonts w:eastAsia="Calibri"/>
            <w:szCs w:val="22"/>
          </w:rPr>
          <w:delText>(30,0</w:delText>
        </w:r>
        <w:r w:rsidR="001E10EB" w:rsidRPr="001B4A02">
          <w:delText> </w:delText>
        </w:r>
        <w:r w:rsidRPr="001B4A02">
          <w:rPr>
            <w:rFonts w:eastAsia="Calibri"/>
            <w:szCs w:val="22"/>
          </w:rPr>
          <w:delText>% vs. 13,9</w:delText>
        </w:r>
        <w:r w:rsidR="001E10EB" w:rsidRPr="001B4A02">
          <w:delText> </w:delText>
        </w:r>
        <w:r w:rsidRPr="001B4A02">
          <w:rPr>
            <w:rFonts w:eastAsia="Calibri"/>
            <w:szCs w:val="22"/>
          </w:rPr>
          <w:delText>%, resp.).</w:delText>
        </w:r>
      </w:del>
    </w:p>
    <w:p w14:paraId="7F4089F2" w14:textId="77777777" w:rsidR="00A64779" w:rsidRPr="001B4A02" w:rsidRDefault="00A64779" w:rsidP="00ED48A3">
      <w:pPr>
        <w:ind w:left="0" w:firstLine="0"/>
        <w:rPr>
          <w:del w:id="6789" w:author="AbbVie1" w:date="2025-05-13T09:50:00Z"/>
          <w:rFonts w:eastAsia="Calibri"/>
          <w:szCs w:val="22"/>
        </w:rPr>
      </w:pPr>
    </w:p>
    <w:p w14:paraId="69F904C5" w14:textId="77777777" w:rsidR="00A64779" w:rsidRPr="001B4A02" w:rsidRDefault="00000000" w:rsidP="00ED48A3">
      <w:pPr>
        <w:ind w:left="0" w:firstLine="0"/>
        <w:rPr>
          <w:del w:id="6790" w:author="AbbVie1" w:date="2025-05-13T09:50:00Z"/>
          <w:rFonts w:eastAsia="Calibri"/>
          <w:szCs w:val="22"/>
        </w:rPr>
      </w:pPr>
      <w:del w:id="6791" w:author="AbbVie1" w:date="2025-05-13T09:50:00Z">
        <w:r w:rsidRPr="001B4A02">
          <w:rPr>
            <w:rFonts w:eastAsia="Calibri"/>
            <w:szCs w:val="22"/>
          </w:rPr>
          <w:delText>Větší zlepšení v týdnu 12 oproti výchozím hodnotám ve srovnání s placebem bylo demonstrováno v kvalitě života týkající se zdraví</w:delText>
        </w:r>
        <w:r w:rsidR="002378E0">
          <w:rPr>
            <w:rFonts w:eastAsia="Calibri"/>
            <w:szCs w:val="22"/>
          </w:rPr>
          <w:delText xml:space="preserve"> a </w:delText>
        </w:r>
        <w:r w:rsidRPr="001B4A02">
          <w:rPr>
            <w:rFonts w:eastAsia="Calibri"/>
            <w:szCs w:val="22"/>
          </w:rPr>
          <w:delText xml:space="preserve">specificky kůže, dle měření Dermatologického </w:delText>
        </w:r>
        <w:r w:rsidR="00A3722F" w:rsidRPr="001B4A02">
          <w:rPr>
            <w:rFonts w:eastAsia="Calibri"/>
            <w:szCs w:val="22"/>
          </w:rPr>
          <w:delText>i</w:delText>
        </w:r>
        <w:r w:rsidRPr="001B4A02">
          <w:rPr>
            <w:rFonts w:eastAsia="Calibri"/>
            <w:szCs w:val="22"/>
          </w:rPr>
          <w:delText xml:space="preserve">ndexu </w:delText>
        </w:r>
        <w:r w:rsidR="00A3722F" w:rsidRPr="001B4A02">
          <w:rPr>
            <w:rFonts w:eastAsia="Calibri"/>
            <w:szCs w:val="22"/>
          </w:rPr>
          <w:delText>k</w:delText>
        </w:r>
        <w:r w:rsidRPr="001B4A02">
          <w:rPr>
            <w:rFonts w:eastAsia="Calibri"/>
            <w:szCs w:val="22"/>
          </w:rPr>
          <w:delText xml:space="preserve">vality </w:delText>
        </w:r>
        <w:r w:rsidR="002F33B1" w:rsidRPr="001B4A02">
          <w:rPr>
            <w:rFonts w:eastAsia="Calibri"/>
            <w:szCs w:val="22"/>
          </w:rPr>
          <w:delText>ž</w:delText>
        </w:r>
        <w:r w:rsidRPr="001B4A02">
          <w:rPr>
            <w:rFonts w:eastAsia="Calibri"/>
            <w:szCs w:val="22"/>
          </w:rPr>
          <w:delText>ivota (Dermatology Life Quality Index DLQI; Studie HS-I</w:delText>
        </w:r>
        <w:r w:rsidR="002378E0">
          <w:rPr>
            <w:rFonts w:eastAsia="Calibri"/>
            <w:szCs w:val="22"/>
          </w:rPr>
          <w:delText xml:space="preserve"> a </w:delText>
        </w:r>
        <w:r w:rsidRPr="001B4A02">
          <w:rPr>
            <w:rFonts w:eastAsia="Calibri"/>
            <w:szCs w:val="22"/>
          </w:rPr>
          <w:delText>HS-II), celkovou spokojeností pacienta s léčbou, dle měření Dotazníku spokojenosti s léčbou (Treatment Satisfaction Questionnaire – medication, TSQM; Studie HS-I</w:delText>
        </w:r>
        <w:r w:rsidR="002378E0">
          <w:rPr>
            <w:rFonts w:eastAsia="Calibri"/>
            <w:szCs w:val="22"/>
          </w:rPr>
          <w:delText xml:space="preserve"> a </w:delText>
        </w:r>
        <w:r w:rsidRPr="001B4A02">
          <w:rPr>
            <w:rFonts w:eastAsia="Calibri"/>
            <w:szCs w:val="22"/>
          </w:rPr>
          <w:delText>HS-II)</w:delText>
        </w:r>
        <w:r w:rsidR="002378E0">
          <w:rPr>
            <w:rFonts w:eastAsia="Calibri"/>
            <w:szCs w:val="22"/>
          </w:rPr>
          <w:delText xml:space="preserve"> a </w:delText>
        </w:r>
        <w:r w:rsidRPr="001B4A02">
          <w:rPr>
            <w:rFonts w:eastAsia="Calibri"/>
            <w:szCs w:val="22"/>
          </w:rPr>
          <w:delText>fyzickým zdravím dle měření skóre souhrnu tělesných komponent (physical component summary) SF-36 (Studie HS-I).</w:delText>
        </w:r>
      </w:del>
    </w:p>
    <w:p w14:paraId="1138DD26" w14:textId="77777777" w:rsidR="00A64779" w:rsidRPr="001B4A02" w:rsidRDefault="00A64779" w:rsidP="00ED48A3">
      <w:pPr>
        <w:ind w:left="0" w:firstLine="0"/>
        <w:rPr>
          <w:del w:id="6792" w:author="AbbVie1" w:date="2025-05-13T09:50:00Z"/>
          <w:rFonts w:eastAsia="Calibri"/>
          <w:szCs w:val="22"/>
        </w:rPr>
      </w:pPr>
    </w:p>
    <w:p w14:paraId="4D88BDA4" w14:textId="77777777" w:rsidR="00A64779" w:rsidRPr="001B4A02" w:rsidRDefault="00000000" w:rsidP="00ED48A3">
      <w:pPr>
        <w:ind w:left="0" w:firstLine="0"/>
        <w:rPr>
          <w:del w:id="6793" w:author="AbbVie1" w:date="2025-05-13T09:50:00Z"/>
          <w:rFonts w:eastAsia="Calibri"/>
          <w:szCs w:val="22"/>
        </w:rPr>
      </w:pPr>
      <w:del w:id="6794" w:author="AbbVie1" w:date="2025-05-13T09:50:00Z">
        <w:r w:rsidRPr="001B4A02">
          <w:rPr>
            <w:rFonts w:eastAsia="Calibri"/>
            <w:szCs w:val="22"/>
          </w:rPr>
          <w:delText>U pacientů s alespoň částečnou odpovědí na léčbu přípravkem Humira 40</w:delText>
        </w:r>
        <w:r w:rsidR="00294902">
          <w:rPr>
            <w:rFonts w:eastAsia="Calibri"/>
            <w:szCs w:val="22"/>
          </w:rPr>
          <w:delText> mg</w:delText>
        </w:r>
        <w:r w:rsidRPr="001B4A02">
          <w:rPr>
            <w:rFonts w:eastAsia="Calibri"/>
            <w:szCs w:val="22"/>
          </w:rPr>
          <w:delText xml:space="preserve"> jednou týdně v týdnu 12 byl</w:delText>
        </w:r>
        <w:r w:rsidR="00CD0193" w:rsidRPr="001B4A02">
          <w:rPr>
            <w:rFonts w:eastAsia="Calibri"/>
            <w:szCs w:val="22"/>
          </w:rPr>
          <w:delText>a</w:delText>
        </w:r>
        <w:r w:rsidRPr="001B4A02">
          <w:rPr>
            <w:rFonts w:eastAsia="Calibri"/>
            <w:szCs w:val="22"/>
          </w:rPr>
          <w:delText xml:space="preserve"> </w:delText>
        </w:r>
        <w:r w:rsidR="00CD0193" w:rsidRPr="001B4A02">
          <w:rPr>
            <w:rFonts w:eastAsia="Calibri"/>
            <w:szCs w:val="22"/>
          </w:rPr>
          <w:delText xml:space="preserve">hodnota </w:delText>
        </w:r>
        <w:r w:rsidRPr="001B4A02">
          <w:rPr>
            <w:rFonts w:eastAsia="Calibri"/>
            <w:szCs w:val="22"/>
          </w:rPr>
          <w:delText>HiSCR v týdnu 36 větší u</w:delText>
        </w:r>
        <w:r w:rsidR="00C048C3" w:rsidRPr="001B4A02">
          <w:rPr>
            <w:rFonts w:eastAsia="Calibri"/>
            <w:szCs w:val="22"/>
          </w:rPr>
          <w:delText> </w:delText>
        </w:r>
        <w:r w:rsidRPr="001B4A02">
          <w:rPr>
            <w:rFonts w:eastAsia="Calibri"/>
            <w:szCs w:val="22"/>
          </w:rPr>
          <w:delText>pacientů, kteří pokračovali v léčbě přípravkem Humira jednou týdně, než u</w:delText>
        </w:r>
        <w:r w:rsidR="00C048C3" w:rsidRPr="001B4A02">
          <w:rPr>
            <w:rFonts w:eastAsia="Calibri"/>
            <w:szCs w:val="22"/>
          </w:rPr>
          <w:delText> </w:delText>
        </w:r>
        <w:r w:rsidRPr="001B4A02">
          <w:rPr>
            <w:rFonts w:eastAsia="Calibri"/>
            <w:szCs w:val="22"/>
          </w:rPr>
          <w:delText>pacientů, u</w:delText>
        </w:r>
        <w:r w:rsidR="00C048C3" w:rsidRPr="001B4A02">
          <w:rPr>
            <w:rFonts w:eastAsia="Calibri"/>
            <w:szCs w:val="22"/>
          </w:rPr>
          <w:delText> </w:delText>
        </w:r>
        <w:r w:rsidRPr="001B4A02">
          <w:rPr>
            <w:rFonts w:eastAsia="Calibri"/>
            <w:szCs w:val="22"/>
          </w:rPr>
          <w:delText>kterých byla frekvence dávkování snížena na jednou za dva týdny nebo u</w:delText>
        </w:r>
        <w:r w:rsidR="00C048C3" w:rsidRPr="001B4A02">
          <w:rPr>
            <w:rFonts w:eastAsia="Calibri"/>
            <w:szCs w:val="22"/>
          </w:rPr>
          <w:delText> </w:delText>
        </w:r>
        <w:r w:rsidRPr="001B4A02">
          <w:rPr>
            <w:rFonts w:eastAsia="Calibri"/>
            <w:szCs w:val="22"/>
          </w:rPr>
          <w:delText xml:space="preserve">kterých byla léčba přerušena (viz tabulka </w:delText>
        </w:r>
        <w:r w:rsidR="00CC1B29">
          <w:rPr>
            <w:rFonts w:eastAsia="Calibri"/>
            <w:szCs w:val="22"/>
          </w:rPr>
          <w:delText>20</w:delText>
        </w:r>
        <w:r w:rsidRPr="001B4A02">
          <w:rPr>
            <w:rFonts w:eastAsia="Calibri"/>
            <w:szCs w:val="22"/>
          </w:rPr>
          <w:delText>).</w:delText>
        </w:r>
      </w:del>
    </w:p>
    <w:p w14:paraId="11E01752" w14:textId="77777777" w:rsidR="00A64779" w:rsidRPr="001B4A02" w:rsidRDefault="00A64779" w:rsidP="00ED48A3">
      <w:pPr>
        <w:ind w:left="0" w:firstLine="0"/>
        <w:rPr>
          <w:del w:id="6795" w:author="AbbVie1" w:date="2025-05-13T09:50:00Z"/>
          <w:rFonts w:eastAsia="Calibri"/>
          <w:szCs w:val="22"/>
        </w:rPr>
      </w:pPr>
    </w:p>
    <w:p w14:paraId="5CEB56FD" w14:textId="77777777" w:rsidR="00A64779" w:rsidRPr="001B4A02" w:rsidRDefault="00000000" w:rsidP="00603F6E">
      <w:pPr>
        <w:keepNext/>
        <w:ind w:left="0" w:firstLine="0"/>
        <w:jc w:val="center"/>
        <w:rPr>
          <w:del w:id="6796" w:author="AbbVie1" w:date="2025-05-13T09:50:00Z"/>
          <w:rFonts w:eastAsia="MS Mincho"/>
          <w:b/>
          <w:szCs w:val="22"/>
          <w:lang w:eastAsia="ja-JP"/>
        </w:rPr>
      </w:pPr>
      <w:del w:id="6797" w:author="AbbVie1" w:date="2025-05-13T09:50:00Z">
        <w:r w:rsidRPr="001B4A02">
          <w:rPr>
            <w:rFonts w:eastAsia="MS Mincho"/>
            <w:b/>
            <w:szCs w:val="22"/>
            <w:lang w:eastAsia="ja-JP"/>
          </w:rPr>
          <w:delText>Tabulka </w:delText>
        </w:r>
        <w:r w:rsidR="00CC1B29">
          <w:rPr>
            <w:rFonts w:eastAsia="MS Mincho"/>
            <w:b/>
            <w:szCs w:val="22"/>
            <w:lang w:eastAsia="ja-JP"/>
          </w:rPr>
          <w:delText>20</w:delText>
        </w:r>
        <w:r w:rsidRPr="001B4A02">
          <w:rPr>
            <w:rFonts w:eastAsia="MS Mincho"/>
            <w:b/>
            <w:szCs w:val="22"/>
            <w:lang w:eastAsia="ja-JP"/>
          </w:rPr>
          <w:delText>: Poměr pacientů</w:delText>
        </w:r>
        <w:r w:rsidRPr="001B4A02">
          <w:rPr>
            <w:rFonts w:eastAsia="MS Mincho"/>
            <w:b/>
            <w:szCs w:val="22"/>
            <w:vertAlign w:val="superscript"/>
            <w:lang w:eastAsia="ja-JP"/>
          </w:rPr>
          <w:delText>a</w:delText>
        </w:r>
        <w:r w:rsidRPr="001B4A02">
          <w:rPr>
            <w:rFonts w:eastAsia="MS Mincho"/>
            <w:b/>
            <w:szCs w:val="22"/>
            <w:lang w:eastAsia="ja-JP"/>
          </w:rPr>
          <w:delText>, kteří dosáhli HiSCR</w:delText>
        </w:r>
        <w:r w:rsidRPr="001B4A02">
          <w:rPr>
            <w:rFonts w:eastAsia="MS Mincho"/>
            <w:b/>
            <w:szCs w:val="22"/>
            <w:vertAlign w:val="superscript"/>
            <w:lang w:eastAsia="ja-JP"/>
          </w:rPr>
          <w:delText xml:space="preserve">b </w:delText>
        </w:r>
        <w:r w:rsidRPr="001B4A02">
          <w:rPr>
            <w:rFonts w:eastAsia="MS Mincho"/>
            <w:b/>
            <w:szCs w:val="22"/>
            <w:lang w:eastAsia="ja-JP"/>
          </w:rPr>
          <w:delText>v</w:delText>
        </w:r>
        <w:r w:rsidR="00255A0A" w:rsidRPr="001B4A02">
          <w:rPr>
            <w:rFonts w:eastAsia="MS Mincho"/>
            <w:b/>
            <w:szCs w:val="22"/>
            <w:lang w:eastAsia="ja-JP"/>
          </w:rPr>
          <w:delText> </w:delText>
        </w:r>
        <w:r w:rsidRPr="001B4A02">
          <w:rPr>
            <w:rFonts w:eastAsia="MS Mincho"/>
            <w:b/>
            <w:szCs w:val="22"/>
            <w:lang w:eastAsia="ja-JP"/>
          </w:rPr>
          <w:delText>týdnech 24</w:delText>
        </w:r>
        <w:r w:rsidR="002378E0">
          <w:rPr>
            <w:rFonts w:eastAsia="MS Mincho"/>
            <w:b/>
            <w:szCs w:val="22"/>
            <w:lang w:eastAsia="ja-JP"/>
          </w:rPr>
          <w:delText xml:space="preserve"> a </w:delText>
        </w:r>
        <w:r w:rsidRPr="001B4A02">
          <w:rPr>
            <w:rFonts w:eastAsia="MS Mincho"/>
            <w:b/>
            <w:szCs w:val="22"/>
            <w:lang w:eastAsia="ja-JP"/>
          </w:rPr>
          <w:delText xml:space="preserve">36 po </w:delText>
        </w:r>
        <w:r w:rsidR="00CD0193" w:rsidRPr="001B4A02">
          <w:rPr>
            <w:rFonts w:eastAsia="MS Mincho"/>
            <w:b/>
            <w:szCs w:val="22"/>
            <w:lang w:eastAsia="ja-JP"/>
          </w:rPr>
          <w:delText xml:space="preserve">opětovném </w:delText>
        </w:r>
        <w:r w:rsidRPr="001B4A02">
          <w:rPr>
            <w:rFonts w:eastAsia="MS Mincho"/>
            <w:b/>
            <w:szCs w:val="22"/>
            <w:lang w:eastAsia="ja-JP"/>
          </w:rPr>
          <w:delText>přeřazení léčby přípravkem Humira týdně v</w:delText>
        </w:r>
        <w:r w:rsidR="00255A0A" w:rsidRPr="001B4A02">
          <w:rPr>
            <w:rFonts w:eastAsia="MS Mincho"/>
            <w:b/>
            <w:szCs w:val="22"/>
            <w:lang w:eastAsia="ja-JP"/>
          </w:rPr>
          <w:delText> </w:delText>
        </w:r>
        <w:r w:rsidRPr="001B4A02">
          <w:rPr>
            <w:rFonts w:eastAsia="MS Mincho"/>
            <w:b/>
            <w:szCs w:val="22"/>
            <w:lang w:eastAsia="ja-JP"/>
          </w:rPr>
          <w:delText>týdnu 12</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8"/>
        <w:gridCol w:w="2312"/>
        <w:gridCol w:w="2268"/>
        <w:gridCol w:w="2082"/>
      </w:tblGrid>
      <w:tr w:rsidR="00534A2D" w14:paraId="2B7C2A8D" w14:textId="77777777" w:rsidTr="008D783A">
        <w:trPr>
          <w:tblHeader/>
          <w:jc w:val="center"/>
          <w:del w:id="6798" w:author="AbbVie1" w:date="2025-05-13T09:50:00Z"/>
        </w:trPr>
        <w:tc>
          <w:tcPr>
            <w:tcW w:w="1758" w:type="dxa"/>
            <w:shd w:val="clear" w:color="auto" w:fill="auto"/>
            <w:vAlign w:val="bottom"/>
          </w:tcPr>
          <w:p w14:paraId="4B751C93" w14:textId="77777777" w:rsidR="00A64779" w:rsidRPr="001B4A02" w:rsidRDefault="00A64779" w:rsidP="00603F6E">
            <w:pPr>
              <w:keepNext/>
              <w:ind w:left="0" w:firstLine="0"/>
              <w:rPr>
                <w:del w:id="6799" w:author="AbbVie1" w:date="2025-05-13T09:50:00Z"/>
                <w:rFonts w:eastAsia="Calibri"/>
                <w:b/>
                <w:szCs w:val="22"/>
                <w:lang w:eastAsia="ja-JP"/>
              </w:rPr>
            </w:pPr>
          </w:p>
        </w:tc>
        <w:tc>
          <w:tcPr>
            <w:tcW w:w="2312" w:type="dxa"/>
            <w:shd w:val="clear" w:color="auto" w:fill="auto"/>
            <w:vAlign w:val="bottom"/>
          </w:tcPr>
          <w:p w14:paraId="66D6061F" w14:textId="77777777" w:rsidR="00A64779" w:rsidRPr="001B4A02" w:rsidRDefault="00000000" w:rsidP="00603F6E">
            <w:pPr>
              <w:keepNext/>
              <w:ind w:left="0" w:firstLine="0"/>
              <w:jc w:val="center"/>
              <w:rPr>
                <w:del w:id="6800" w:author="AbbVie1" w:date="2025-05-13T09:50:00Z"/>
                <w:rFonts w:eastAsia="Calibri"/>
                <w:b/>
                <w:szCs w:val="22"/>
                <w:lang w:eastAsia="ja-JP"/>
              </w:rPr>
            </w:pPr>
            <w:del w:id="6801" w:author="AbbVie1" w:date="2025-05-13T09:50:00Z">
              <w:r w:rsidRPr="001B4A02">
                <w:rPr>
                  <w:rFonts w:eastAsia="Calibri"/>
                  <w:b/>
                  <w:szCs w:val="22"/>
                  <w:lang w:eastAsia="ja-JP"/>
                </w:rPr>
                <w:delText>Placebo</w:delText>
              </w:r>
              <w:r w:rsidRPr="001B4A02">
                <w:rPr>
                  <w:rFonts w:eastAsia="Calibri"/>
                  <w:b/>
                  <w:szCs w:val="22"/>
                  <w:lang w:eastAsia="ja-JP"/>
                </w:rPr>
                <w:br/>
                <w:delText>(ukončení léčby)</w:delText>
              </w:r>
              <w:r w:rsidRPr="001B4A02">
                <w:rPr>
                  <w:rFonts w:eastAsia="Calibri"/>
                  <w:b/>
                  <w:szCs w:val="22"/>
                  <w:lang w:eastAsia="ja-JP"/>
                </w:rPr>
                <w:br/>
              </w:r>
              <w:r w:rsidR="00610431">
                <w:rPr>
                  <w:rFonts w:eastAsia="Calibri"/>
                  <w:b/>
                  <w:szCs w:val="22"/>
                  <w:lang w:eastAsia="ja-JP"/>
                </w:rPr>
                <w:delText>n</w:delText>
              </w:r>
              <w:r w:rsidRPr="001B4A02">
                <w:rPr>
                  <w:rFonts w:eastAsia="Calibri"/>
                  <w:b/>
                  <w:szCs w:val="22"/>
                  <w:lang w:eastAsia="ja-JP"/>
                </w:rPr>
                <w:delText>=73</w:delText>
              </w:r>
            </w:del>
          </w:p>
        </w:tc>
        <w:tc>
          <w:tcPr>
            <w:tcW w:w="2268" w:type="dxa"/>
            <w:shd w:val="clear" w:color="auto" w:fill="auto"/>
            <w:vAlign w:val="bottom"/>
          </w:tcPr>
          <w:p w14:paraId="3BB5C17B" w14:textId="77777777" w:rsidR="00A64779" w:rsidRPr="001B4A02" w:rsidRDefault="00000000" w:rsidP="00603F6E">
            <w:pPr>
              <w:keepNext/>
              <w:ind w:left="0" w:firstLine="0"/>
              <w:jc w:val="center"/>
              <w:rPr>
                <w:del w:id="6802" w:author="AbbVie1" w:date="2025-05-13T09:50:00Z"/>
                <w:rFonts w:eastAsia="Calibri"/>
                <w:b/>
                <w:szCs w:val="22"/>
                <w:lang w:eastAsia="ja-JP"/>
              </w:rPr>
            </w:pPr>
            <w:del w:id="6803" w:author="AbbVie1" w:date="2025-05-13T09:50:00Z">
              <w:r w:rsidRPr="001B4A02">
                <w:rPr>
                  <w:rFonts w:eastAsia="Calibri"/>
                  <w:b/>
                  <w:szCs w:val="22"/>
                  <w:lang w:eastAsia="ja-JP"/>
                </w:rPr>
                <w:delText>Humira 40</w:delText>
              </w:r>
              <w:r w:rsidR="00294902">
                <w:rPr>
                  <w:rFonts w:eastAsia="Calibri"/>
                  <w:b/>
                  <w:szCs w:val="22"/>
                  <w:lang w:eastAsia="ja-JP"/>
                </w:rPr>
                <w:delText> mg</w:delText>
              </w:r>
              <w:r w:rsidRPr="001B4A02">
                <w:rPr>
                  <w:rFonts w:eastAsia="Calibri"/>
                  <w:b/>
                  <w:szCs w:val="22"/>
                  <w:lang w:eastAsia="ja-JP"/>
                </w:rPr>
                <w:br/>
                <w:delText>každý druhý týden</w:delText>
              </w:r>
              <w:r w:rsidRPr="001B4A02">
                <w:rPr>
                  <w:rFonts w:eastAsia="Calibri"/>
                  <w:b/>
                  <w:szCs w:val="22"/>
                  <w:lang w:eastAsia="ja-JP"/>
                </w:rPr>
                <w:br/>
              </w:r>
              <w:r w:rsidR="00610431">
                <w:rPr>
                  <w:rFonts w:eastAsia="Calibri"/>
                  <w:b/>
                  <w:szCs w:val="22"/>
                  <w:lang w:eastAsia="ja-JP"/>
                </w:rPr>
                <w:delText>n</w:delText>
              </w:r>
              <w:r w:rsidRPr="001B4A02">
                <w:rPr>
                  <w:rFonts w:eastAsia="Calibri"/>
                  <w:b/>
                  <w:szCs w:val="22"/>
                  <w:lang w:eastAsia="ja-JP"/>
                </w:rPr>
                <w:delText>=70</w:delText>
              </w:r>
            </w:del>
          </w:p>
        </w:tc>
        <w:tc>
          <w:tcPr>
            <w:tcW w:w="2082" w:type="dxa"/>
            <w:shd w:val="clear" w:color="auto" w:fill="auto"/>
            <w:vAlign w:val="bottom"/>
          </w:tcPr>
          <w:p w14:paraId="46CC6CF1" w14:textId="77777777" w:rsidR="00A64779" w:rsidRPr="001B4A02" w:rsidRDefault="00000000" w:rsidP="00603F6E">
            <w:pPr>
              <w:keepNext/>
              <w:ind w:left="0" w:firstLine="0"/>
              <w:jc w:val="center"/>
              <w:rPr>
                <w:del w:id="6804" w:author="AbbVie1" w:date="2025-05-13T09:50:00Z"/>
                <w:rFonts w:eastAsia="Calibri"/>
                <w:b/>
                <w:szCs w:val="22"/>
                <w:lang w:eastAsia="ja-JP"/>
              </w:rPr>
            </w:pPr>
            <w:del w:id="6805" w:author="AbbVie1" w:date="2025-05-13T09:50:00Z">
              <w:r w:rsidRPr="001B4A02">
                <w:rPr>
                  <w:rFonts w:eastAsia="Calibri"/>
                  <w:b/>
                  <w:szCs w:val="22"/>
                  <w:lang w:eastAsia="ja-JP"/>
                </w:rPr>
                <w:delText>Humira 40</w:delText>
              </w:r>
              <w:r w:rsidR="00294902">
                <w:rPr>
                  <w:rFonts w:eastAsia="Calibri"/>
                  <w:b/>
                  <w:szCs w:val="22"/>
                  <w:lang w:eastAsia="ja-JP"/>
                </w:rPr>
                <w:delText> mg</w:delText>
              </w:r>
              <w:r w:rsidRPr="001B4A02">
                <w:rPr>
                  <w:rFonts w:eastAsia="Calibri"/>
                  <w:b/>
                  <w:szCs w:val="22"/>
                  <w:lang w:eastAsia="ja-JP"/>
                </w:rPr>
                <w:br/>
                <w:delText>jednou týdně</w:delText>
              </w:r>
              <w:r w:rsidRPr="001B4A02">
                <w:rPr>
                  <w:rFonts w:eastAsia="Calibri"/>
                  <w:b/>
                  <w:szCs w:val="22"/>
                  <w:lang w:eastAsia="ja-JP"/>
                </w:rPr>
                <w:br/>
              </w:r>
              <w:r w:rsidR="00610431">
                <w:rPr>
                  <w:rFonts w:eastAsia="Calibri"/>
                  <w:b/>
                  <w:szCs w:val="22"/>
                  <w:lang w:eastAsia="ja-JP"/>
                </w:rPr>
                <w:delText>n</w:delText>
              </w:r>
              <w:r w:rsidRPr="001B4A02">
                <w:rPr>
                  <w:rFonts w:eastAsia="Calibri"/>
                  <w:b/>
                  <w:szCs w:val="22"/>
                  <w:lang w:eastAsia="ja-JP"/>
                </w:rPr>
                <w:delText>=70</w:delText>
              </w:r>
            </w:del>
          </w:p>
        </w:tc>
      </w:tr>
      <w:tr w:rsidR="00534A2D" w14:paraId="47EA219F" w14:textId="77777777" w:rsidTr="008D783A">
        <w:trPr>
          <w:jc w:val="center"/>
          <w:del w:id="6806" w:author="AbbVie1" w:date="2025-05-13T09:50:00Z"/>
        </w:trPr>
        <w:tc>
          <w:tcPr>
            <w:tcW w:w="1758" w:type="dxa"/>
            <w:shd w:val="clear" w:color="auto" w:fill="auto"/>
          </w:tcPr>
          <w:p w14:paraId="55792442" w14:textId="77777777" w:rsidR="00A64779" w:rsidRPr="001B4A02" w:rsidRDefault="00000000" w:rsidP="00603F6E">
            <w:pPr>
              <w:keepNext/>
              <w:ind w:left="0" w:firstLine="0"/>
              <w:rPr>
                <w:del w:id="6807" w:author="AbbVie1" w:date="2025-05-13T09:50:00Z"/>
                <w:rFonts w:eastAsia="Calibri"/>
                <w:szCs w:val="22"/>
                <w:lang w:eastAsia="ja-JP"/>
              </w:rPr>
            </w:pPr>
            <w:del w:id="6808" w:author="AbbVie1" w:date="2025-05-13T09:50:00Z">
              <w:r w:rsidRPr="001B4A02">
                <w:rPr>
                  <w:rFonts w:eastAsia="Calibri"/>
                  <w:szCs w:val="22"/>
                  <w:lang w:eastAsia="ja-JP"/>
                </w:rPr>
                <w:delText>Týden 24</w:delText>
              </w:r>
            </w:del>
          </w:p>
        </w:tc>
        <w:tc>
          <w:tcPr>
            <w:tcW w:w="2312" w:type="dxa"/>
            <w:shd w:val="clear" w:color="auto" w:fill="auto"/>
          </w:tcPr>
          <w:p w14:paraId="2370EB4B" w14:textId="77777777" w:rsidR="00A64779" w:rsidRPr="001B4A02" w:rsidRDefault="00000000" w:rsidP="00603F6E">
            <w:pPr>
              <w:keepNext/>
              <w:ind w:left="0" w:firstLine="0"/>
              <w:jc w:val="center"/>
              <w:rPr>
                <w:del w:id="6809" w:author="AbbVie1" w:date="2025-05-13T09:50:00Z"/>
                <w:rFonts w:eastAsia="Calibri"/>
                <w:szCs w:val="22"/>
                <w:lang w:eastAsia="ja-JP"/>
              </w:rPr>
            </w:pPr>
            <w:del w:id="6810" w:author="AbbVie1" w:date="2025-05-13T09:50:00Z">
              <w:r w:rsidRPr="001B4A02">
                <w:rPr>
                  <w:rFonts w:eastAsia="Calibri"/>
                  <w:szCs w:val="22"/>
                  <w:lang w:eastAsia="ja-JP"/>
                </w:rPr>
                <w:delText>24 (32,9</w:delText>
              </w:r>
              <w:r w:rsidR="001E10EB" w:rsidRPr="001B4A02">
                <w:delText> </w:delText>
              </w:r>
              <w:r w:rsidRPr="001B4A02">
                <w:rPr>
                  <w:rFonts w:eastAsia="Calibri"/>
                  <w:szCs w:val="22"/>
                  <w:lang w:eastAsia="ja-JP"/>
                </w:rPr>
                <w:delText>%)</w:delText>
              </w:r>
            </w:del>
          </w:p>
        </w:tc>
        <w:tc>
          <w:tcPr>
            <w:tcW w:w="2268" w:type="dxa"/>
            <w:shd w:val="clear" w:color="auto" w:fill="auto"/>
          </w:tcPr>
          <w:p w14:paraId="3DFF64A1" w14:textId="77777777" w:rsidR="00A64779" w:rsidRPr="001B4A02" w:rsidRDefault="00000000" w:rsidP="00603F6E">
            <w:pPr>
              <w:keepNext/>
              <w:ind w:left="0" w:firstLine="0"/>
              <w:jc w:val="center"/>
              <w:rPr>
                <w:del w:id="6811" w:author="AbbVie1" w:date="2025-05-13T09:50:00Z"/>
                <w:rFonts w:eastAsia="Calibri"/>
                <w:szCs w:val="22"/>
                <w:lang w:eastAsia="ja-JP"/>
              </w:rPr>
            </w:pPr>
            <w:del w:id="6812" w:author="AbbVie1" w:date="2025-05-13T09:50:00Z">
              <w:r w:rsidRPr="001B4A02">
                <w:rPr>
                  <w:rFonts w:eastAsia="Calibri"/>
                  <w:szCs w:val="22"/>
                  <w:lang w:eastAsia="ja-JP"/>
                </w:rPr>
                <w:delText>36 (51,4</w:delText>
              </w:r>
              <w:r w:rsidR="001E10EB" w:rsidRPr="001B4A02">
                <w:delText> </w:delText>
              </w:r>
              <w:r w:rsidRPr="001B4A02">
                <w:rPr>
                  <w:rFonts w:eastAsia="Calibri"/>
                  <w:szCs w:val="22"/>
                  <w:lang w:eastAsia="ja-JP"/>
                </w:rPr>
                <w:delText>%)</w:delText>
              </w:r>
            </w:del>
          </w:p>
        </w:tc>
        <w:tc>
          <w:tcPr>
            <w:tcW w:w="2082" w:type="dxa"/>
            <w:shd w:val="clear" w:color="auto" w:fill="auto"/>
          </w:tcPr>
          <w:p w14:paraId="09C439CD" w14:textId="77777777" w:rsidR="00A64779" w:rsidRPr="001B4A02" w:rsidRDefault="00000000" w:rsidP="00603F6E">
            <w:pPr>
              <w:keepNext/>
              <w:ind w:left="0" w:firstLine="0"/>
              <w:jc w:val="center"/>
              <w:rPr>
                <w:del w:id="6813" w:author="AbbVie1" w:date="2025-05-13T09:50:00Z"/>
                <w:rFonts w:eastAsia="Calibri"/>
                <w:szCs w:val="22"/>
                <w:lang w:eastAsia="ja-JP"/>
              </w:rPr>
            </w:pPr>
            <w:del w:id="6814" w:author="AbbVie1" w:date="2025-05-13T09:50:00Z">
              <w:r w:rsidRPr="001B4A02">
                <w:rPr>
                  <w:rFonts w:eastAsia="Calibri"/>
                  <w:szCs w:val="22"/>
                  <w:lang w:eastAsia="ja-JP"/>
                </w:rPr>
                <w:delText>40 (57,1</w:delText>
              </w:r>
              <w:r w:rsidR="001E10EB" w:rsidRPr="001B4A02">
                <w:delText> </w:delText>
              </w:r>
              <w:r w:rsidRPr="001B4A02">
                <w:rPr>
                  <w:rFonts w:eastAsia="Calibri"/>
                  <w:szCs w:val="22"/>
                  <w:lang w:eastAsia="ja-JP"/>
                </w:rPr>
                <w:delText>%)</w:delText>
              </w:r>
            </w:del>
          </w:p>
        </w:tc>
      </w:tr>
      <w:tr w:rsidR="00534A2D" w14:paraId="619E17E8" w14:textId="77777777" w:rsidTr="008D783A">
        <w:trPr>
          <w:jc w:val="center"/>
          <w:del w:id="6815" w:author="AbbVie1" w:date="2025-05-13T09:50:00Z"/>
        </w:trPr>
        <w:tc>
          <w:tcPr>
            <w:tcW w:w="1758" w:type="dxa"/>
            <w:shd w:val="clear" w:color="auto" w:fill="auto"/>
          </w:tcPr>
          <w:p w14:paraId="7C18BAC8" w14:textId="77777777" w:rsidR="00A64779" w:rsidRPr="001B4A02" w:rsidRDefault="00000000" w:rsidP="00603F6E">
            <w:pPr>
              <w:keepNext/>
              <w:ind w:left="0" w:firstLine="0"/>
              <w:rPr>
                <w:del w:id="6816" w:author="AbbVie1" w:date="2025-05-13T09:50:00Z"/>
                <w:rFonts w:eastAsia="Calibri"/>
                <w:szCs w:val="22"/>
                <w:lang w:eastAsia="ja-JP"/>
              </w:rPr>
            </w:pPr>
            <w:del w:id="6817" w:author="AbbVie1" w:date="2025-05-13T09:50:00Z">
              <w:r w:rsidRPr="001B4A02">
                <w:rPr>
                  <w:rFonts w:eastAsia="Calibri"/>
                  <w:szCs w:val="22"/>
                  <w:lang w:eastAsia="ja-JP"/>
                </w:rPr>
                <w:delText>Týden 36</w:delText>
              </w:r>
            </w:del>
          </w:p>
        </w:tc>
        <w:tc>
          <w:tcPr>
            <w:tcW w:w="2312" w:type="dxa"/>
            <w:shd w:val="clear" w:color="auto" w:fill="auto"/>
          </w:tcPr>
          <w:p w14:paraId="5BC28BAE" w14:textId="77777777" w:rsidR="00A64779" w:rsidRPr="001B4A02" w:rsidRDefault="00000000" w:rsidP="00603F6E">
            <w:pPr>
              <w:keepNext/>
              <w:ind w:left="0" w:firstLine="0"/>
              <w:jc w:val="center"/>
              <w:rPr>
                <w:del w:id="6818" w:author="AbbVie1" w:date="2025-05-13T09:50:00Z"/>
                <w:rFonts w:eastAsia="Calibri"/>
                <w:szCs w:val="22"/>
                <w:lang w:eastAsia="ja-JP"/>
              </w:rPr>
            </w:pPr>
            <w:del w:id="6819" w:author="AbbVie1" w:date="2025-05-13T09:50:00Z">
              <w:r w:rsidRPr="001B4A02">
                <w:rPr>
                  <w:rFonts w:eastAsia="Calibri"/>
                  <w:szCs w:val="22"/>
                  <w:lang w:eastAsia="ja-JP"/>
                </w:rPr>
                <w:delText>22 (30,1</w:delText>
              </w:r>
              <w:r w:rsidR="001E10EB" w:rsidRPr="001B4A02">
                <w:delText> </w:delText>
              </w:r>
              <w:r w:rsidRPr="001B4A02">
                <w:rPr>
                  <w:rFonts w:eastAsia="Calibri"/>
                  <w:szCs w:val="22"/>
                  <w:lang w:eastAsia="ja-JP"/>
                </w:rPr>
                <w:delText>%)</w:delText>
              </w:r>
            </w:del>
          </w:p>
        </w:tc>
        <w:tc>
          <w:tcPr>
            <w:tcW w:w="2268" w:type="dxa"/>
            <w:shd w:val="clear" w:color="auto" w:fill="auto"/>
          </w:tcPr>
          <w:p w14:paraId="51758A52" w14:textId="77777777" w:rsidR="00A64779" w:rsidRPr="001B4A02" w:rsidRDefault="00000000" w:rsidP="00603F6E">
            <w:pPr>
              <w:keepNext/>
              <w:ind w:left="0" w:firstLine="0"/>
              <w:jc w:val="center"/>
              <w:rPr>
                <w:del w:id="6820" w:author="AbbVie1" w:date="2025-05-13T09:50:00Z"/>
                <w:rFonts w:eastAsia="Calibri"/>
                <w:szCs w:val="22"/>
                <w:lang w:eastAsia="ja-JP"/>
              </w:rPr>
            </w:pPr>
            <w:del w:id="6821" w:author="AbbVie1" w:date="2025-05-13T09:50:00Z">
              <w:r w:rsidRPr="001B4A02">
                <w:rPr>
                  <w:rFonts w:eastAsia="Calibri"/>
                  <w:szCs w:val="22"/>
                  <w:lang w:eastAsia="ja-JP"/>
                </w:rPr>
                <w:delText>28 (40,0</w:delText>
              </w:r>
              <w:r w:rsidR="001E10EB" w:rsidRPr="001B4A02">
                <w:delText> </w:delText>
              </w:r>
              <w:r w:rsidRPr="001B4A02">
                <w:rPr>
                  <w:rFonts w:eastAsia="Calibri"/>
                  <w:szCs w:val="22"/>
                  <w:lang w:eastAsia="ja-JP"/>
                </w:rPr>
                <w:delText>%)</w:delText>
              </w:r>
            </w:del>
          </w:p>
        </w:tc>
        <w:tc>
          <w:tcPr>
            <w:tcW w:w="2082" w:type="dxa"/>
            <w:shd w:val="clear" w:color="auto" w:fill="auto"/>
          </w:tcPr>
          <w:p w14:paraId="25484C26" w14:textId="77777777" w:rsidR="00A64779" w:rsidRPr="001B4A02" w:rsidRDefault="00000000" w:rsidP="00603F6E">
            <w:pPr>
              <w:keepNext/>
              <w:ind w:left="0" w:firstLine="0"/>
              <w:jc w:val="center"/>
              <w:rPr>
                <w:del w:id="6822" w:author="AbbVie1" w:date="2025-05-13T09:50:00Z"/>
                <w:rFonts w:eastAsia="Calibri"/>
                <w:szCs w:val="22"/>
                <w:lang w:eastAsia="ja-JP"/>
              </w:rPr>
            </w:pPr>
            <w:del w:id="6823" w:author="AbbVie1" w:date="2025-05-13T09:50:00Z">
              <w:r w:rsidRPr="001B4A02">
                <w:rPr>
                  <w:rFonts w:eastAsia="Calibri"/>
                  <w:szCs w:val="22"/>
                  <w:lang w:eastAsia="ja-JP"/>
                </w:rPr>
                <w:delText>39 (55,7</w:delText>
              </w:r>
              <w:r w:rsidR="001E10EB" w:rsidRPr="001B4A02">
                <w:delText> </w:delText>
              </w:r>
              <w:r w:rsidRPr="001B4A02">
                <w:rPr>
                  <w:rFonts w:eastAsia="Calibri"/>
                  <w:szCs w:val="22"/>
                  <w:lang w:eastAsia="ja-JP"/>
                </w:rPr>
                <w:delText>%)</w:delText>
              </w:r>
            </w:del>
          </w:p>
        </w:tc>
      </w:tr>
      <w:tr w:rsidR="00534A2D" w14:paraId="01A21F3F" w14:textId="77777777" w:rsidTr="008D783A">
        <w:trPr>
          <w:jc w:val="center"/>
          <w:del w:id="6824" w:author="AbbVie1" w:date="2025-05-13T09:50:00Z"/>
        </w:trPr>
        <w:tc>
          <w:tcPr>
            <w:tcW w:w="8420" w:type="dxa"/>
            <w:gridSpan w:val="4"/>
            <w:shd w:val="clear" w:color="auto" w:fill="auto"/>
          </w:tcPr>
          <w:p w14:paraId="090811C6" w14:textId="77777777" w:rsidR="00A64779" w:rsidRPr="001B4A02" w:rsidRDefault="00000000" w:rsidP="00603F6E">
            <w:pPr>
              <w:keepNext/>
              <w:keepLines/>
              <w:numPr>
                <w:ilvl w:val="0"/>
                <w:numId w:val="119"/>
              </w:numPr>
              <w:ind w:left="284" w:hanging="284"/>
              <w:rPr>
                <w:del w:id="6825" w:author="AbbVie1" w:date="2025-05-13T09:50:00Z"/>
                <w:rFonts w:eastAsia="MS Mincho"/>
                <w:szCs w:val="22"/>
                <w:lang w:eastAsia="ja-JP"/>
              </w:rPr>
            </w:pPr>
            <w:del w:id="6826" w:author="AbbVie1" w:date="2025-05-13T09:50:00Z">
              <w:r w:rsidRPr="001B4A02">
                <w:rPr>
                  <w:rFonts w:eastAsia="MS Mincho"/>
                  <w:szCs w:val="22"/>
                  <w:lang w:eastAsia="ja-JP"/>
                </w:rPr>
                <w:delText>Pacienti s alespoň částečnou odpovědí na léčbu přípravkem Humira 40</w:delText>
              </w:r>
              <w:r w:rsidR="00294902">
                <w:rPr>
                  <w:rFonts w:eastAsia="MS Mincho"/>
                  <w:szCs w:val="22"/>
                  <w:lang w:eastAsia="ja-JP"/>
                </w:rPr>
                <w:delText> mg</w:delText>
              </w:r>
              <w:r w:rsidRPr="001B4A02">
                <w:rPr>
                  <w:rFonts w:eastAsia="MS Mincho"/>
                  <w:szCs w:val="22"/>
                  <w:lang w:eastAsia="ja-JP"/>
                </w:rPr>
                <w:delText xml:space="preserve"> jednou týdně po 12 týdnech léčby.</w:delText>
              </w:r>
            </w:del>
          </w:p>
          <w:p w14:paraId="159EA163" w14:textId="77777777" w:rsidR="00A64779" w:rsidRPr="001B4A02" w:rsidRDefault="00000000" w:rsidP="00603F6E">
            <w:pPr>
              <w:keepNext/>
              <w:keepLines/>
              <w:numPr>
                <w:ilvl w:val="0"/>
                <w:numId w:val="119"/>
              </w:numPr>
              <w:ind w:left="284" w:hanging="284"/>
              <w:rPr>
                <w:del w:id="6827" w:author="AbbVie1" w:date="2025-05-13T09:50:00Z"/>
                <w:rFonts w:eastAsia="MS Mincho"/>
                <w:szCs w:val="22"/>
                <w:lang w:eastAsia="ja-JP"/>
              </w:rPr>
            </w:pPr>
            <w:del w:id="6828" w:author="AbbVie1" w:date="2025-05-13T09:50:00Z">
              <w:r w:rsidRPr="001B4A02">
                <w:rPr>
                  <w:rFonts w:eastAsia="MS Mincho"/>
                  <w:szCs w:val="22"/>
                  <w:lang w:eastAsia="ja-JP"/>
                </w:rPr>
                <w:delText>U pacientů vyhovující</w:delText>
              </w:r>
              <w:r w:rsidR="00CA6ADE" w:rsidRPr="001B4A02">
                <w:rPr>
                  <w:rFonts w:eastAsia="MS Mincho"/>
                  <w:szCs w:val="22"/>
                  <w:lang w:eastAsia="ja-JP"/>
                </w:rPr>
                <w:delText>ch</w:delText>
              </w:r>
              <w:r w:rsidRPr="001B4A02">
                <w:rPr>
                  <w:rFonts w:eastAsia="MS Mincho"/>
                  <w:szCs w:val="22"/>
                  <w:lang w:eastAsia="ja-JP"/>
                </w:rPr>
                <w:delText xml:space="preserve"> kritériím stanoveným v</w:delText>
              </w:r>
              <w:r w:rsidR="00255A0A" w:rsidRPr="001B4A02">
                <w:rPr>
                  <w:rFonts w:eastAsia="MS Mincho"/>
                  <w:szCs w:val="22"/>
                  <w:lang w:eastAsia="ja-JP"/>
                </w:rPr>
                <w:delText> </w:delText>
              </w:r>
              <w:r w:rsidRPr="001B4A02">
                <w:rPr>
                  <w:rFonts w:eastAsia="MS Mincho"/>
                  <w:szCs w:val="22"/>
                  <w:lang w:eastAsia="ja-JP"/>
                </w:rPr>
                <w:delText>protokolu pro ztrátu odpovědi nebo žádné zlepšení bylo požadováno vyřazení ze studie</w:delText>
              </w:r>
              <w:r w:rsidR="002378E0">
                <w:rPr>
                  <w:rFonts w:eastAsia="MS Mincho"/>
                  <w:szCs w:val="22"/>
                  <w:lang w:eastAsia="ja-JP"/>
                </w:rPr>
                <w:delText xml:space="preserve"> a </w:delText>
              </w:r>
              <w:r w:rsidRPr="001B4A02">
                <w:rPr>
                  <w:rFonts w:eastAsia="MS Mincho"/>
                  <w:szCs w:val="22"/>
                  <w:lang w:eastAsia="ja-JP"/>
                </w:rPr>
                <w:delText>byli započteni jako pacienti, kteří neodpovídali na léčbu.</w:delText>
              </w:r>
            </w:del>
          </w:p>
        </w:tc>
      </w:tr>
    </w:tbl>
    <w:p w14:paraId="439563EA" w14:textId="77777777" w:rsidR="00A64779" w:rsidRPr="001B4A02" w:rsidRDefault="00A64779" w:rsidP="00ED48A3">
      <w:pPr>
        <w:ind w:left="0" w:firstLine="0"/>
        <w:rPr>
          <w:del w:id="6829" w:author="AbbVie1" w:date="2025-05-13T09:50:00Z"/>
          <w:rFonts w:eastAsia="Calibri"/>
          <w:szCs w:val="22"/>
        </w:rPr>
      </w:pPr>
    </w:p>
    <w:p w14:paraId="5526F268" w14:textId="77777777" w:rsidR="00A64779" w:rsidRPr="001B4A02" w:rsidRDefault="00000000" w:rsidP="00ED48A3">
      <w:pPr>
        <w:ind w:left="0" w:firstLine="0"/>
        <w:rPr>
          <w:del w:id="6830" w:author="AbbVie1" w:date="2025-05-13T09:50:00Z"/>
          <w:rFonts w:eastAsia="Calibri"/>
          <w:szCs w:val="22"/>
        </w:rPr>
      </w:pPr>
      <w:del w:id="6831" w:author="AbbVie1" w:date="2025-05-13T09:50:00Z">
        <w:r w:rsidRPr="001B4A02">
          <w:rPr>
            <w:rFonts w:eastAsia="Calibri"/>
            <w:szCs w:val="22"/>
          </w:rPr>
          <w:delText>U pacientů, kteří měli alespoň částečnou odpověď na léčbu v týdnu 12</w:delText>
        </w:r>
        <w:r w:rsidR="002378E0">
          <w:rPr>
            <w:rFonts w:eastAsia="Calibri"/>
            <w:szCs w:val="22"/>
          </w:rPr>
          <w:delText xml:space="preserve"> a </w:delText>
        </w:r>
        <w:r w:rsidRPr="001B4A02">
          <w:rPr>
            <w:rFonts w:eastAsia="Calibri"/>
            <w:szCs w:val="22"/>
          </w:rPr>
          <w:delText>kteří dostávali kontinuálně léčbu přípravkem Humira jednou týdně, byla</w:delText>
        </w:r>
        <w:r w:rsidR="002F33B1" w:rsidRPr="001B4A02">
          <w:rPr>
            <w:rFonts w:eastAsia="Calibri"/>
            <w:szCs w:val="22"/>
          </w:rPr>
          <w:delText xml:space="preserve"> v týdnu 48</w:delText>
        </w:r>
        <w:r w:rsidRPr="001B4A02">
          <w:rPr>
            <w:rFonts w:eastAsia="Calibri"/>
            <w:szCs w:val="22"/>
          </w:rPr>
          <w:delText xml:space="preserve"> </w:delText>
        </w:r>
        <w:r w:rsidR="00CD0193" w:rsidRPr="001B4A02">
          <w:rPr>
            <w:rFonts w:eastAsia="Calibri"/>
            <w:szCs w:val="22"/>
          </w:rPr>
          <w:delText xml:space="preserve">hodnota </w:delText>
        </w:r>
        <w:r w:rsidRPr="001B4A02">
          <w:rPr>
            <w:rFonts w:eastAsia="Calibri"/>
            <w:szCs w:val="22"/>
          </w:rPr>
          <w:delText xml:space="preserve">HiSCR </w:delText>
        </w:r>
        <w:r w:rsidR="004205D5" w:rsidRPr="001B4A02">
          <w:rPr>
            <w:szCs w:val="22"/>
          </w:rPr>
          <w:delText>68,3 %</w:delText>
        </w:r>
        <w:r w:rsidR="002378E0">
          <w:rPr>
            <w:szCs w:val="22"/>
          </w:rPr>
          <w:delText xml:space="preserve"> a </w:delText>
        </w:r>
        <w:r w:rsidR="004205D5" w:rsidRPr="001B4A02">
          <w:rPr>
            <w:szCs w:val="22"/>
          </w:rPr>
          <w:delText>v</w:delText>
        </w:r>
        <w:r w:rsidR="008506F3" w:rsidRPr="001B4A02">
          <w:rPr>
            <w:szCs w:val="22"/>
          </w:rPr>
          <w:delText> </w:delText>
        </w:r>
        <w:r w:rsidR="004205D5" w:rsidRPr="001B4A02">
          <w:rPr>
            <w:szCs w:val="22"/>
          </w:rPr>
          <w:delText xml:space="preserve">týdnu 96 byla 65,1 %. Při dlouhodobější léčbě přípravkem Humira </w:delText>
        </w:r>
        <w:r w:rsidR="00E97D9C" w:rsidRPr="001B4A02">
          <w:rPr>
            <w:szCs w:val="22"/>
          </w:rPr>
          <w:delText xml:space="preserve">v dávce </w:delText>
        </w:r>
        <w:r w:rsidR="00B947E9" w:rsidRPr="001B4A02">
          <w:rPr>
            <w:szCs w:val="22"/>
          </w:rPr>
          <w:delText>40</w:delText>
        </w:r>
        <w:r w:rsidR="00294902">
          <w:rPr>
            <w:szCs w:val="22"/>
          </w:rPr>
          <w:delText> mg</w:delText>
        </w:r>
        <w:r w:rsidR="00B947E9" w:rsidRPr="001B4A02">
          <w:rPr>
            <w:szCs w:val="22"/>
          </w:rPr>
          <w:delText xml:space="preserve"> </w:delText>
        </w:r>
        <w:r w:rsidR="00FE191F" w:rsidRPr="001B4A02">
          <w:rPr>
            <w:szCs w:val="22"/>
          </w:rPr>
          <w:delText xml:space="preserve">jednou </w:delText>
        </w:r>
        <w:r w:rsidR="004205D5" w:rsidRPr="001B4A02">
          <w:rPr>
            <w:szCs w:val="22"/>
          </w:rPr>
          <w:delText xml:space="preserve">týdně po dobu 96 týdnů nebyly identifikovány žádné nové </w:delText>
        </w:r>
        <w:r w:rsidR="000E342D" w:rsidRPr="001B4A02">
          <w:rPr>
            <w:szCs w:val="22"/>
          </w:rPr>
          <w:delText xml:space="preserve">bezpečnostní </w:delText>
        </w:r>
        <w:r w:rsidR="004205D5" w:rsidRPr="001B4A02">
          <w:rPr>
            <w:szCs w:val="22"/>
          </w:rPr>
          <w:delText>nálezy</w:delText>
        </w:r>
        <w:r w:rsidR="0099428A" w:rsidRPr="001B4A02">
          <w:rPr>
            <w:rFonts w:eastAsia="Calibri"/>
            <w:szCs w:val="22"/>
          </w:rPr>
          <w:delText>.</w:delText>
        </w:r>
        <w:r w:rsidRPr="001B4A02">
          <w:rPr>
            <w:rFonts w:eastAsia="Calibri"/>
            <w:szCs w:val="22"/>
          </w:rPr>
          <w:delText xml:space="preserve"> </w:delText>
        </w:r>
      </w:del>
    </w:p>
    <w:p w14:paraId="522E6263" w14:textId="77777777" w:rsidR="00A64779" w:rsidRPr="001B4A02" w:rsidRDefault="00A64779" w:rsidP="00ED48A3">
      <w:pPr>
        <w:ind w:left="0" w:firstLine="0"/>
        <w:rPr>
          <w:del w:id="6832" w:author="AbbVie1" w:date="2025-05-13T09:50:00Z"/>
          <w:rFonts w:eastAsia="Calibri"/>
          <w:szCs w:val="22"/>
        </w:rPr>
      </w:pPr>
    </w:p>
    <w:p w14:paraId="58814B4D" w14:textId="77777777" w:rsidR="00A64779" w:rsidRPr="001B4A02" w:rsidRDefault="00000000" w:rsidP="00ED48A3">
      <w:pPr>
        <w:ind w:left="0" w:firstLine="0"/>
        <w:rPr>
          <w:del w:id="6833" w:author="AbbVie1" w:date="2025-05-13T09:50:00Z"/>
          <w:rFonts w:eastAsia="Calibri"/>
          <w:szCs w:val="22"/>
        </w:rPr>
      </w:pPr>
      <w:del w:id="6834" w:author="AbbVie1" w:date="2025-05-13T09:50:00Z">
        <w:r w:rsidRPr="001B4A02">
          <w:rPr>
            <w:rFonts w:eastAsia="Calibri"/>
            <w:szCs w:val="22"/>
          </w:rPr>
          <w:delText>U pacientů, u</w:delText>
        </w:r>
        <w:r w:rsidR="008506F3" w:rsidRPr="001B4A02">
          <w:rPr>
            <w:rFonts w:eastAsia="Calibri"/>
            <w:szCs w:val="22"/>
          </w:rPr>
          <w:delText> </w:delText>
        </w:r>
        <w:r w:rsidRPr="001B4A02">
          <w:rPr>
            <w:rFonts w:eastAsia="Calibri"/>
            <w:szCs w:val="22"/>
          </w:rPr>
          <w:delText>kterých byla léčba přípravkem Humira přerušena v týdnu 12 ve studiích HS-I</w:delText>
        </w:r>
        <w:r w:rsidR="002378E0">
          <w:rPr>
            <w:rFonts w:eastAsia="Calibri"/>
            <w:szCs w:val="22"/>
          </w:rPr>
          <w:delText xml:space="preserve"> a </w:delText>
        </w:r>
        <w:r w:rsidRPr="001B4A02">
          <w:rPr>
            <w:rFonts w:eastAsia="Calibri"/>
            <w:szCs w:val="22"/>
          </w:rPr>
          <w:delText>HS-II, se hodnoty HiSCR 12 týdnů po opětovném nasazení přípravku Humira 40</w:delText>
        </w:r>
        <w:r w:rsidR="00294902">
          <w:rPr>
            <w:rFonts w:eastAsia="Calibri"/>
            <w:szCs w:val="22"/>
          </w:rPr>
          <w:delText> mg</w:delText>
        </w:r>
        <w:r w:rsidRPr="001B4A02">
          <w:rPr>
            <w:rFonts w:eastAsia="Calibri"/>
            <w:szCs w:val="22"/>
          </w:rPr>
          <w:delText xml:space="preserve"> jednou týdně vrátily na úroveň podobnou té, která byla pozorována před vysazením (56,0</w:delText>
        </w:r>
        <w:r w:rsidR="001E10EB" w:rsidRPr="001B4A02">
          <w:delText> </w:delText>
        </w:r>
        <w:r w:rsidRPr="001B4A02">
          <w:rPr>
            <w:rFonts w:eastAsia="Calibri"/>
            <w:szCs w:val="22"/>
          </w:rPr>
          <w:delText>%).</w:delText>
        </w:r>
      </w:del>
    </w:p>
    <w:p w14:paraId="7332B2EB" w14:textId="77777777" w:rsidR="009227A9" w:rsidRPr="001B4A02" w:rsidRDefault="009227A9" w:rsidP="00ED48A3">
      <w:pPr>
        <w:ind w:left="0" w:firstLine="0"/>
        <w:rPr>
          <w:del w:id="6835" w:author="AbbVie1" w:date="2025-05-13T09:50:00Z"/>
          <w:rFonts w:eastAsia="Calibri"/>
          <w:szCs w:val="22"/>
        </w:rPr>
      </w:pPr>
    </w:p>
    <w:p w14:paraId="7B06DB6D" w14:textId="77777777" w:rsidR="00073F8F" w:rsidRPr="001B4A02" w:rsidRDefault="00000000" w:rsidP="00ED48A3">
      <w:pPr>
        <w:keepNext/>
        <w:ind w:left="0" w:firstLine="0"/>
        <w:rPr>
          <w:del w:id="6836" w:author="AbbVie1" w:date="2025-05-13T09:50:00Z"/>
          <w:i/>
        </w:rPr>
      </w:pPr>
      <w:del w:id="6837" w:author="AbbVie1" w:date="2025-05-13T09:50:00Z">
        <w:r w:rsidRPr="001B4A02">
          <w:rPr>
            <w:i/>
          </w:rPr>
          <w:delText>Crohnova choroba</w:delText>
        </w:r>
      </w:del>
    </w:p>
    <w:p w14:paraId="511CE0C1" w14:textId="77777777" w:rsidR="00073F8F" w:rsidRPr="001B4A02" w:rsidRDefault="00073F8F" w:rsidP="00ED48A3">
      <w:pPr>
        <w:keepNext/>
        <w:ind w:left="0" w:firstLine="0"/>
        <w:rPr>
          <w:del w:id="6838" w:author="AbbVie1" w:date="2025-05-13T09:50:00Z"/>
        </w:rPr>
      </w:pPr>
    </w:p>
    <w:p w14:paraId="5BE72534" w14:textId="77777777" w:rsidR="00073F8F" w:rsidRPr="001B4A02" w:rsidRDefault="00000000" w:rsidP="00CE5DAE">
      <w:pPr>
        <w:pStyle w:val="EMEANormal"/>
        <w:tabs>
          <w:tab w:val="clear" w:pos="562"/>
        </w:tabs>
        <w:suppressAutoHyphens w:val="0"/>
        <w:rPr>
          <w:del w:id="6839" w:author="AbbVie1" w:date="2025-05-13T09:50:00Z"/>
          <w:lang w:val="cs-CZ"/>
        </w:rPr>
      </w:pPr>
      <w:del w:id="6840" w:author="AbbVie1" w:date="2025-05-13T09:50:00Z">
        <w:r w:rsidRPr="001B4A02">
          <w:rPr>
            <w:lang w:val="cs-CZ"/>
          </w:rPr>
          <w:delText>Bezpečnost</w:delText>
        </w:r>
        <w:r w:rsidR="002378E0">
          <w:rPr>
            <w:lang w:val="cs-CZ"/>
          </w:rPr>
          <w:delText xml:space="preserve"> a </w:delText>
        </w:r>
        <w:r w:rsidRPr="001B4A02">
          <w:rPr>
            <w:lang w:val="cs-CZ"/>
          </w:rPr>
          <w:delText>účinnost přípravku Humira byla ověřena u</w:delText>
        </w:r>
        <w:r w:rsidR="008506F3" w:rsidRPr="001B4A02">
          <w:rPr>
            <w:lang w:val="cs-CZ"/>
          </w:rPr>
          <w:delText> </w:delText>
        </w:r>
        <w:r w:rsidRPr="001B4A02">
          <w:rPr>
            <w:lang w:val="cs-CZ"/>
          </w:rPr>
          <w:delText>více než 1</w:delText>
        </w:r>
        <w:r w:rsidR="00272620" w:rsidRPr="001B4A02">
          <w:rPr>
            <w:lang w:val="cs-CZ"/>
          </w:rPr>
          <w:delText> </w:delText>
        </w:r>
        <w:r w:rsidR="006B7244" w:rsidRPr="001B4A02">
          <w:rPr>
            <w:lang w:val="cs-CZ"/>
          </w:rPr>
          <w:delText>5</w:delText>
        </w:r>
        <w:r w:rsidRPr="001B4A02">
          <w:rPr>
            <w:lang w:val="cs-CZ"/>
          </w:rPr>
          <w:delText xml:space="preserve">00 pacientů se středně těžkou až těžkou aktivní Crohnovou chorobou (index aktivity Crohnovy choroby (CDAI) </w:delText>
        </w:r>
        <w:r w:rsidR="009D2A3C" w:rsidRPr="001B4A02">
          <w:rPr>
            <w:rFonts w:ascii="Symbol" w:hAnsi="Symbol"/>
            <w:lang w:val="cs-CZ"/>
          </w:rPr>
          <w:sym w:font="Symbol" w:char="F0B3"/>
        </w:r>
        <w:r w:rsidRPr="001B4A02">
          <w:rPr>
            <w:lang w:val="cs-CZ"/>
          </w:rPr>
          <w:delText> 220</w:delText>
        </w:r>
        <w:r w:rsidR="002378E0">
          <w:rPr>
            <w:lang w:val="cs-CZ"/>
          </w:rPr>
          <w:delText xml:space="preserve"> a </w:delText>
        </w:r>
        <w:r w:rsidRPr="001B4A02">
          <w:rPr>
            <w:rFonts w:ascii="Symbol" w:hAnsi="Symbol"/>
            <w:lang w:val="cs-CZ"/>
          </w:rPr>
          <w:sym w:font="Symbol" w:char="F0A3"/>
        </w:r>
        <w:r w:rsidRPr="001B4A02">
          <w:rPr>
            <w:lang w:val="cs-CZ"/>
          </w:rPr>
          <w:delText xml:space="preserve"> 450) v randomizovaných, dvojitě zaslepených, placebem kontrolovaných studiích. Bylo povoleno současné podávání konstantních dávek aminosylicylátů, kortikosteroidů a/nebo imunomodulačních léků, přičemž </w:delText>
        </w:r>
        <w:r w:rsidR="00765B2C" w:rsidRPr="001B4A02">
          <w:rPr>
            <w:lang w:val="cs-CZ"/>
          </w:rPr>
          <w:delText>80</w:delText>
        </w:r>
        <w:r w:rsidR="006008CB">
          <w:rPr>
            <w:lang w:val="cs-CZ"/>
          </w:rPr>
          <w:delText> %</w:delText>
        </w:r>
        <w:r w:rsidRPr="001B4A02">
          <w:rPr>
            <w:lang w:val="cs-CZ"/>
          </w:rPr>
          <w:delText xml:space="preserve"> pacientů pokračovalo v užívání nejméně jednoho z těchto léků.</w:delText>
        </w:r>
      </w:del>
    </w:p>
    <w:p w14:paraId="4D8B149B" w14:textId="77777777" w:rsidR="00073F8F" w:rsidRPr="001B4A02" w:rsidRDefault="00073F8F" w:rsidP="00ED48A3">
      <w:pPr>
        <w:ind w:left="0" w:firstLine="0"/>
        <w:rPr>
          <w:del w:id="6841" w:author="AbbVie1" w:date="2025-05-13T09:50:00Z"/>
        </w:rPr>
      </w:pPr>
    </w:p>
    <w:p w14:paraId="6BA25A8B" w14:textId="77777777" w:rsidR="00073F8F" w:rsidRPr="001B4A02" w:rsidRDefault="00000000" w:rsidP="00ED48A3">
      <w:pPr>
        <w:ind w:left="0" w:firstLine="0"/>
        <w:rPr>
          <w:del w:id="6842" w:author="AbbVie1" w:date="2025-05-13T09:50:00Z"/>
        </w:rPr>
      </w:pPr>
      <w:del w:id="6843" w:author="AbbVie1" w:date="2025-05-13T09:50:00Z">
        <w:r w:rsidRPr="001B4A02">
          <w:delText xml:space="preserve">Indukce klinické remise (definovaná jako CDAI </w:delText>
        </w:r>
        <w:r w:rsidRPr="001B4A02">
          <w:rPr>
            <w:rFonts w:ascii="Symbol" w:hAnsi="Symbol"/>
          </w:rPr>
          <w:sym w:font="Symbol" w:char="F03C"/>
        </w:r>
        <w:r w:rsidRPr="001B4A02">
          <w:delText> 150) byla hodnocena ve dvou studiích, studii CD I (CLASSIC I)</w:delText>
        </w:r>
        <w:r w:rsidR="002378E0">
          <w:delText xml:space="preserve"> a </w:delText>
        </w:r>
        <w:r w:rsidRPr="001B4A02">
          <w:delText>studii CD II (GAIN). Ve studii CD I bylo 299 pacientů dosud neléčených TNF-antagonisty randomizováno do jedné ze čtyř terapeutických s</w:delText>
        </w:r>
        <w:r w:rsidR="007978AF">
          <w:delText>k</w:delText>
        </w:r>
        <w:r w:rsidRPr="001B4A02">
          <w:delText>upin; pacienti užívající placebo v týdnech 0</w:delText>
        </w:r>
        <w:r w:rsidR="002378E0">
          <w:delText xml:space="preserve"> a </w:delText>
        </w:r>
        <w:r w:rsidRPr="001B4A02">
          <w:delText xml:space="preserve">2, </w:delText>
        </w:r>
        <w:r w:rsidR="0051758E" w:rsidRPr="001B4A02">
          <w:delText>po</w:delText>
        </w:r>
        <w:r w:rsidRPr="001B4A02">
          <w:delText>užívající přípravek Humira v dávce 160 mg v týdnu 0</w:delText>
        </w:r>
        <w:r w:rsidR="002378E0">
          <w:delText xml:space="preserve"> a </w:delText>
        </w:r>
        <w:r w:rsidRPr="001B4A02">
          <w:delText>80 mg v týdnu 2, nebo 80 mg v</w:delText>
        </w:r>
        <w:r w:rsidR="00255A0A" w:rsidRPr="001B4A02">
          <w:delText> </w:delText>
        </w:r>
        <w:r w:rsidRPr="001B4A02">
          <w:delText>týdnu 0</w:delText>
        </w:r>
        <w:r w:rsidR="002378E0">
          <w:delText xml:space="preserve"> a </w:delText>
        </w:r>
        <w:r w:rsidRPr="001B4A02">
          <w:delText>40 mg v týdnu 2, případně 40 mg v týdnu 0</w:delText>
        </w:r>
        <w:r w:rsidR="002378E0">
          <w:delText xml:space="preserve"> a </w:delText>
        </w:r>
        <w:r w:rsidRPr="001B4A02">
          <w:delText>20 mg týdnu 2. Ve studii CD II bylo 325 pacientů, u</w:delText>
        </w:r>
        <w:r w:rsidR="00C048C3" w:rsidRPr="001B4A02">
          <w:delText> </w:delText>
        </w:r>
        <w:r w:rsidRPr="001B4A02">
          <w:delText xml:space="preserve">kterých došlo ke ztrátě odpovědi či k rozvoji intolerance na infliximab, randomizováno do skupin, kdy </w:delText>
        </w:r>
        <w:r w:rsidR="0051758E" w:rsidRPr="001B4A02">
          <w:delText>po</w:delText>
        </w:r>
        <w:r w:rsidRPr="001B4A02">
          <w:delText>užívali buď přípravek Humira v dávce 160 mg v týdnu 0</w:delText>
        </w:r>
        <w:r w:rsidR="002378E0">
          <w:delText xml:space="preserve"> a </w:delText>
        </w:r>
        <w:r w:rsidRPr="001B4A02">
          <w:delText>80 mg v týdnu 2</w:delText>
        </w:r>
        <w:r w:rsidR="00CA6ADE" w:rsidRPr="001B4A02">
          <w:delText>,</w:delText>
        </w:r>
        <w:r w:rsidRPr="001B4A02">
          <w:delText xml:space="preserve"> nebo placebo v týdnech 0</w:delText>
        </w:r>
        <w:r w:rsidR="002378E0">
          <w:delText xml:space="preserve"> a </w:delText>
        </w:r>
        <w:r w:rsidRPr="001B4A02">
          <w:delText>2. Primárně na léčbu neodpovídající pacienti byli ze studií vyřazení,</w:delText>
        </w:r>
        <w:r w:rsidR="002378E0">
          <w:delText xml:space="preserve"> a </w:delText>
        </w:r>
        <w:r w:rsidRPr="001B4A02">
          <w:delText>proto nebyli dále hodnoceni.</w:delText>
        </w:r>
      </w:del>
    </w:p>
    <w:p w14:paraId="4E787756" w14:textId="77777777" w:rsidR="00073F8F" w:rsidRPr="001B4A02" w:rsidRDefault="00073F8F" w:rsidP="00ED48A3">
      <w:pPr>
        <w:ind w:left="0" w:firstLine="0"/>
        <w:rPr>
          <w:del w:id="6844" w:author="AbbVie1" w:date="2025-05-13T09:50:00Z"/>
        </w:rPr>
      </w:pPr>
    </w:p>
    <w:p w14:paraId="7E870D5B" w14:textId="77777777" w:rsidR="00073F8F" w:rsidRPr="001B4A02" w:rsidRDefault="00000000" w:rsidP="00ED48A3">
      <w:pPr>
        <w:ind w:left="0" w:firstLine="0"/>
        <w:rPr>
          <w:del w:id="6845" w:author="AbbVie1" w:date="2025-05-13T09:50:00Z"/>
        </w:rPr>
      </w:pPr>
      <w:del w:id="6846" w:author="AbbVie1" w:date="2025-05-13T09:50:00Z">
        <w:r w:rsidRPr="001B4A02">
          <w:delText xml:space="preserve">Přetrvávání klinické remise bylo hodnoceno ve studii CD III (CHARM). V nezaslepené fázi studie CD III </w:delText>
        </w:r>
        <w:r w:rsidR="0051758E" w:rsidRPr="001B4A02">
          <w:delText>po</w:delText>
        </w:r>
        <w:r w:rsidRPr="001B4A02">
          <w:delText>užívalo 854 pacientů dávku 80 mg v týdnu 0</w:delText>
        </w:r>
        <w:r w:rsidR="002378E0">
          <w:delText xml:space="preserve"> a </w:delText>
        </w:r>
        <w:r w:rsidRPr="001B4A02">
          <w:delText xml:space="preserve">40 mg v týdnu 2. V týdnu 4 byli pacienti randomizováni do skupin, kdy </w:delText>
        </w:r>
        <w:r w:rsidR="0051758E" w:rsidRPr="001B4A02">
          <w:delText>po</w:delText>
        </w:r>
        <w:r w:rsidRPr="001B4A02">
          <w:delText xml:space="preserve">užívali buď 40 mg každý druhý týden, 40 mg každý týden nebo placebo při celkové délce trvání studie 56 týdnů. Pacienti s klinickou odpovědí na léčbu v týdnu 4 (pokles CDAI </w:delText>
        </w:r>
        <w:r w:rsidR="009D2A3C" w:rsidRPr="001B4A02">
          <w:rPr>
            <w:rFonts w:ascii="Symbol" w:hAnsi="Symbol"/>
          </w:rPr>
          <w:sym w:font="Symbol" w:char="F0B3"/>
        </w:r>
        <w:r w:rsidRPr="001B4A02">
          <w:delText> 70) byli stratifikováni</w:delText>
        </w:r>
        <w:r w:rsidR="002378E0">
          <w:delText xml:space="preserve"> a </w:delText>
        </w:r>
        <w:r w:rsidRPr="001B4A02">
          <w:delText>hodnoceni odděleně od těch, kteří v týdnu 4 klinické odpovědi nedosáhli. Snižování dávek kortikosteroidů bylo povoleno po týdnu 8.</w:delText>
        </w:r>
      </w:del>
    </w:p>
    <w:p w14:paraId="1E186A93" w14:textId="77777777" w:rsidR="00073F8F" w:rsidRPr="001B4A02" w:rsidRDefault="00073F8F" w:rsidP="00ED48A3">
      <w:pPr>
        <w:ind w:left="0" w:firstLine="0"/>
        <w:rPr>
          <w:del w:id="6847" w:author="AbbVie1" w:date="2025-05-13T09:50:00Z"/>
        </w:rPr>
      </w:pPr>
    </w:p>
    <w:p w14:paraId="29BD4F76" w14:textId="77777777" w:rsidR="00073F8F" w:rsidRPr="001B4A02" w:rsidRDefault="00000000" w:rsidP="00ED48A3">
      <w:pPr>
        <w:ind w:left="0" w:firstLine="0"/>
        <w:rPr>
          <w:del w:id="6848" w:author="AbbVie1" w:date="2025-05-13T09:50:00Z"/>
        </w:rPr>
      </w:pPr>
      <w:del w:id="6849" w:author="AbbVie1" w:date="2025-05-13T09:50:00Z">
        <w:r w:rsidRPr="001B4A02">
          <w:delText>Indukce remise</w:delText>
        </w:r>
        <w:r w:rsidR="002378E0">
          <w:delText xml:space="preserve"> a </w:delText>
        </w:r>
        <w:r w:rsidRPr="001B4A02">
          <w:delText>četnost odpovědí ve studiích CD I</w:delText>
        </w:r>
        <w:r w:rsidR="002378E0">
          <w:delText xml:space="preserve"> a </w:delText>
        </w:r>
        <w:r w:rsidRPr="001B4A02">
          <w:delText xml:space="preserve">CD II uvádí tabulka </w:delText>
        </w:r>
        <w:r w:rsidR="00CC1B29">
          <w:delText>21</w:delText>
        </w:r>
        <w:r w:rsidRPr="001B4A02">
          <w:delText>.</w:delText>
        </w:r>
      </w:del>
    </w:p>
    <w:p w14:paraId="5E9E3556" w14:textId="77777777" w:rsidR="00073F8F" w:rsidRPr="001B4A02" w:rsidRDefault="00073F8F" w:rsidP="00ED48A3">
      <w:pPr>
        <w:ind w:left="0" w:firstLine="0"/>
        <w:rPr>
          <w:del w:id="6850" w:author="AbbVie1" w:date="2025-05-13T09:50:00Z"/>
        </w:rPr>
      </w:pPr>
    </w:p>
    <w:p w14:paraId="76710B6A" w14:textId="77777777" w:rsidR="003F4B5B" w:rsidRPr="001B4A02" w:rsidRDefault="00000000" w:rsidP="00CE5DAE">
      <w:pPr>
        <w:keepNext/>
        <w:ind w:left="0" w:firstLine="0"/>
        <w:jc w:val="center"/>
        <w:rPr>
          <w:del w:id="6851" w:author="AbbVie1" w:date="2025-05-13T09:50:00Z"/>
          <w:b/>
          <w:bCs/>
        </w:rPr>
      </w:pPr>
      <w:del w:id="6852" w:author="AbbVie1" w:date="2025-05-13T09:50:00Z">
        <w:r w:rsidRPr="001B4A02">
          <w:rPr>
            <w:b/>
            <w:bCs/>
          </w:rPr>
          <w:delText xml:space="preserve">Tabulka </w:delText>
        </w:r>
        <w:r w:rsidR="00CC1B29">
          <w:rPr>
            <w:b/>
            <w:bCs/>
          </w:rPr>
          <w:delText>21</w:delText>
        </w:r>
      </w:del>
    </w:p>
    <w:p w14:paraId="69CFE647" w14:textId="77777777" w:rsidR="00073F8F" w:rsidRPr="001B4A02" w:rsidRDefault="00000000" w:rsidP="00CE5DAE">
      <w:pPr>
        <w:keepNext/>
        <w:ind w:left="0" w:firstLine="0"/>
        <w:jc w:val="center"/>
        <w:rPr>
          <w:del w:id="6853" w:author="AbbVie1" w:date="2025-05-13T09:50:00Z"/>
          <w:b/>
          <w:bCs/>
        </w:rPr>
      </w:pPr>
      <w:del w:id="6854" w:author="AbbVie1" w:date="2025-05-13T09:50:00Z">
        <w:r w:rsidRPr="001B4A02">
          <w:rPr>
            <w:b/>
            <w:bCs/>
          </w:rPr>
          <w:delText>Indukce klinické remise</w:delText>
        </w:r>
        <w:r w:rsidR="002378E0">
          <w:rPr>
            <w:b/>
            <w:bCs/>
          </w:rPr>
          <w:delText xml:space="preserve"> a </w:delText>
        </w:r>
        <w:r w:rsidRPr="001B4A02">
          <w:rPr>
            <w:b/>
            <w:bCs/>
          </w:rPr>
          <w:delText>odpověd</w:delText>
        </w:r>
        <w:r w:rsidR="00A34706">
          <w:rPr>
            <w:b/>
            <w:bCs/>
          </w:rPr>
          <w:delText>i</w:delText>
        </w:r>
      </w:del>
    </w:p>
    <w:p w14:paraId="67C22CE6" w14:textId="77777777" w:rsidR="00073F8F" w:rsidRPr="001B4A02" w:rsidRDefault="00000000" w:rsidP="003B2D93">
      <w:pPr>
        <w:keepNext/>
        <w:ind w:left="0" w:firstLine="0"/>
        <w:jc w:val="center"/>
        <w:rPr>
          <w:del w:id="6855" w:author="AbbVie1" w:date="2025-05-13T09:50:00Z"/>
        </w:rPr>
      </w:pPr>
      <w:del w:id="6856" w:author="AbbVie1" w:date="2025-05-13T09:50:00Z">
        <w:r w:rsidRPr="001B4A02">
          <w:rPr>
            <w:b/>
            <w:bCs/>
          </w:rPr>
          <w:delText>(Procento pacientů)</w:delText>
        </w:r>
      </w:del>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71"/>
        <w:gridCol w:w="1299"/>
        <w:gridCol w:w="1535"/>
        <w:gridCol w:w="1535"/>
        <w:gridCol w:w="1535"/>
        <w:gridCol w:w="1536"/>
      </w:tblGrid>
      <w:tr w:rsidR="00534A2D" w14:paraId="5CA383CA" w14:textId="77777777" w:rsidTr="008D783A">
        <w:trPr>
          <w:del w:id="6857" w:author="AbbVie1" w:date="2025-05-13T09:50:00Z"/>
        </w:trPr>
        <w:tc>
          <w:tcPr>
            <w:tcW w:w="1771" w:type="dxa"/>
            <w:tcBorders>
              <w:top w:val="single" w:sz="4" w:space="0" w:color="auto"/>
              <w:left w:val="single" w:sz="4" w:space="0" w:color="auto"/>
              <w:bottom w:val="single" w:sz="4" w:space="0" w:color="auto"/>
              <w:right w:val="single" w:sz="4" w:space="0" w:color="auto"/>
            </w:tcBorders>
          </w:tcPr>
          <w:p w14:paraId="1F415E1B" w14:textId="77777777" w:rsidR="00073F8F" w:rsidRPr="001B4A02" w:rsidRDefault="00073F8F" w:rsidP="00ED48A3">
            <w:pPr>
              <w:ind w:left="0" w:firstLine="0"/>
              <w:jc w:val="center"/>
              <w:rPr>
                <w:del w:id="6858" w:author="AbbVie1" w:date="2025-05-13T09:50:00Z"/>
              </w:rPr>
            </w:pPr>
          </w:p>
        </w:tc>
        <w:tc>
          <w:tcPr>
            <w:tcW w:w="4369" w:type="dxa"/>
            <w:gridSpan w:val="3"/>
            <w:tcBorders>
              <w:top w:val="single" w:sz="4" w:space="0" w:color="auto"/>
              <w:left w:val="single" w:sz="4" w:space="0" w:color="auto"/>
              <w:bottom w:val="single" w:sz="4" w:space="0" w:color="auto"/>
              <w:right w:val="single" w:sz="4" w:space="0" w:color="auto"/>
            </w:tcBorders>
          </w:tcPr>
          <w:p w14:paraId="29C3F086" w14:textId="77777777" w:rsidR="00073F8F" w:rsidRPr="001B4A02" w:rsidRDefault="00000000" w:rsidP="00ED48A3">
            <w:pPr>
              <w:pStyle w:val="EMEANormal"/>
              <w:tabs>
                <w:tab w:val="clear" w:pos="562"/>
                <w:tab w:val="left" w:pos="708"/>
              </w:tabs>
              <w:suppressAutoHyphens w:val="0"/>
              <w:jc w:val="center"/>
              <w:rPr>
                <w:del w:id="6859" w:author="AbbVie1" w:date="2025-05-13T09:50:00Z"/>
                <w:b/>
                <w:bCs/>
                <w:lang w:val="cs-CZ"/>
              </w:rPr>
            </w:pPr>
            <w:del w:id="6860" w:author="AbbVie1" w:date="2025-05-13T09:50:00Z">
              <w:r w:rsidRPr="001B4A02">
                <w:rPr>
                  <w:b/>
                  <w:bCs/>
                  <w:lang w:val="cs-CZ"/>
                </w:rPr>
                <w:delText>Studie CD I: Pacienti dosud neléčení infliximabem</w:delText>
              </w:r>
            </w:del>
          </w:p>
        </w:tc>
        <w:tc>
          <w:tcPr>
            <w:tcW w:w="3071" w:type="dxa"/>
            <w:gridSpan w:val="2"/>
            <w:tcBorders>
              <w:top w:val="single" w:sz="4" w:space="0" w:color="auto"/>
              <w:left w:val="single" w:sz="4" w:space="0" w:color="auto"/>
              <w:bottom w:val="single" w:sz="4" w:space="0" w:color="auto"/>
              <w:right w:val="single" w:sz="4" w:space="0" w:color="auto"/>
            </w:tcBorders>
          </w:tcPr>
          <w:p w14:paraId="5CEF1FCB" w14:textId="77777777" w:rsidR="00073F8F" w:rsidRPr="001B4A02" w:rsidRDefault="00000000" w:rsidP="00ED48A3">
            <w:pPr>
              <w:ind w:left="0" w:firstLine="0"/>
              <w:jc w:val="center"/>
              <w:rPr>
                <w:del w:id="6861" w:author="AbbVie1" w:date="2025-05-13T09:50:00Z"/>
                <w:b/>
                <w:bCs/>
              </w:rPr>
            </w:pPr>
            <w:del w:id="6862" w:author="AbbVie1" w:date="2025-05-13T09:50:00Z">
              <w:r w:rsidRPr="001B4A02">
                <w:rPr>
                  <w:b/>
                  <w:bCs/>
                </w:rPr>
                <w:delText>Studie CD: Pacienti dříve léčení infliximabem</w:delText>
              </w:r>
            </w:del>
          </w:p>
        </w:tc>
      </w:tr>
      <w:tr w:rsidR="00534A2D" w14:paraId="3BEB4220" w14:textId="77777777" w:rsidTr="008D783A">
        <w:trPr>
          <w:del w:id="6863" w:author="AbbVie1" w:date="2025-05-13T09:50:00Z"/>
        </w:trPr>
        <w:tc>
          <w:tcPr>
            <w:tcW w:w="1771" w:type="dxa"/>
            <w:tcBorders>
              <w:top w:val="single" w:sz="4" w:space="0" w:color="auto"/>
              <w:left w:val="single" w:sz="4" w:space="0" w:color="auto"/>
              <w:bottom w:val="single" w:sz="4" w:space="0" w:color="auto"/>
              <w:right w:val="single" w:sz="4" w:space="0" w:color="auto"/>
            </w:tcBorders>
          </w:tcPr>
          <w:p w14:paraId="0803BC72" w14:textId="77777777" w:rsidR="00073F8F" w:rsidRPr="001B4A02" w:rsidRDefault="00073F8F" w:rsidP="00ED48A3">
            <w:pPr>
              <w:ind w:left="0" w:firstLine="0"/>
              <w:jc w:val="center"/>
              <w:rPr>
                <w:del w:id="6864" w:author="AbbVie1" w:date="2025-05-13T09:50:00Z"/>
              </w:rPr>
            </w:pPr>
          </w:p>
        </w:tc>
        <w:tc>
          <w:tcPr>
            <w:tcW w:w="1299" w:type="dxa"/>
            <w:tcBorders>
              <w:top w:val="single" w:sz="4" w:space="0" w:color="auto"/>
              <w:left w:val="single" w:sz="4" w:space="0" w:color="auto"/>
              <w:bottom w:val="single" w:sz="4" w:space="0" w:color="auto"/>
              <w:right w:val="single" w:sz="4" w:space="0" w:color="auto"/>
            </w:tcBorders>
          </w:tcPr>
          <w:p w14:paraId="12610FA6" w14:textId="77777777" w:rsidR="00073F8F" w:rsidRPr="001B4A02" w:rsidRDefault="00000000" w:rsidP="00ED48A3">
            <w:pPr>
              <w:ind w:left="0" w:firstLine="0"/>
              <w:jc w:val="center"/>
              <w:rPr>
                <w:del w:id="6865" w:author="AbbVie1" w:date="2025-05-13T09:50:00Z"/>
                <w:b/>
                <w:bCs/>
              </w:rPr>
            </w:pPr>
            <w:del w:id="6866" w:author="AbbVie1" w:date="2025-05-13T09:50:00Z">
              <w:r w:rsidRPr="001B4A02">
                <w:rPr>
                  <w:b/>
                  <w:bCs/>
                </w:rPr>
                <w:delText>Placebo</w:delText>
              </w:r>
            </w:del>
          </w:p>
          <w:p w14:paraId="30A2098E" w14:textId="77777777" w:rsidR="00073F8F" w:rsidRPr="001B4A02" w:rsidRDefault="00000000" w:rsidP="00ED48A3">
            <w:pPr>
              <w:ind w:left="0" w:firstLine="0"/>
              <w:jc w:val="center"/>
              <w:rPr>
                <w:del w:id="6867" w:author="AbbVie1" w:date="2025-05-13T09:50:00Z"/>
                <w:b/>
                <w:bCs/>
              </w:rPr>
            </w:pPr>
            <w:del w:id="6868" w:author="AbbVie1" w:date="2025-05-13T09:50:00Z">
              <w:r>
                <w:rPr>
                  <w:b/>
                  <w:bCs/>
                </w:rPr>
                <w:delText>n</w:delText>
              </w:r>
              <w:r w:rsidRPr="001B4A02">
                <w:rPr>
                  <w:b/>
                  <w:bCs/>
                </w:rPr>
                <w:delText>=74</w:delText>
              </w:r>
            </w:del>
          </w:p>
        </w:tc>
        <w:tc>
          <w:tcPr>
            <w:tcW w:w="1535" w:type="dxa"/>
            <w:tcBorders>
              <w:top w:val="single" w:sz="4" w:space="0" w:color="auto"/>
              <w:left w:val="single" w:sz="4" w:space="0" w:color="auto"/>
              <w:bottom w:val="single" w:sz="4" w:space="0" w:color="auto"/>
              <w:right w:val="single" w:sz="4" w:space="0" w:color="auto"/>
            </w:tcBorders>
          </w:tcPr>
          <w:p w14:paraId="5355538B" w14:textId="77777777" w:rsidR="00073F8F" w:rsidRPr="001B4A02" w:rsidRDefault="00000000" w:rsidP="00ED48A3">
            <w:pPr>
              <w:ind w:left="0" w:firstLine="0"/>
              <w:jc w:val="center"/>
              <w:rPr>
                <w:del w:id="6869" w:author="AbbVie1" w:date="2025-05-13T09:50:00Z"/>
                <w:b/>
                <w:bCs/>
              </w:rPr>
            </w:pPr>
            <w:del w:id="6870" w:author="AbbVie1" w:date="2025-05-13T09:50:00Z">
              <w:r w:rsidRPr="001B4A02">
                <w:rPr>
                  <w:b/>
                  <w:bCs/>
                </w:rPr>
                <w:delText>Humira 80/40 mg</w:delText>
              </w:r>
            </w:del>
          </w:p>
          <w:p w14:paraId="0B72D5DD" w14:textId="77777777" w:rsidR="00073F8F" w:rsidRPr="001B4A02" w:rsidRDefault="00000000" w:rsidP="00ED48A3">
            <w:pPr>
              <w:ind w:left="0" w:firstLine="0"/>
              <w:jc w:val="center"/>
              <w:rPr>
                <w:del w:id="6871" w:author="AbbVie1" w:date="2025-05-13T09:50:00Z"/>
                <w:b/>
                <w:bCs/>
              </w:rPr>
            </w:pPr>
            <w:del w:id="6872" w:author="AbbVie1" w:date="2025-05-13T09:50:00Z">
              <w:r>
                <w:rPr>
                  <w:b/>
                  <w:bCs/>
                </w:rPr>
                <w:delText>n</w:delText>
              </w:r>
              <w:r w:rsidRPr="001B4A02">
                <w:rPr>
                  <w:b/>
                  <w:bCs/>
                </w:rPr>
                <w:delText>=75</w:delText>
              </w:r>
            </w:del>
          </w:p>
        </w:tc>
        <w:tc>
          <w:tcPr>
            <w:tcW w:w="1535" w:type="dxa"/>
            <w:tcBorders>
              <w:top w:val="single" w:sz="4" w:space="0" w:color="auto"/>
              <w:left w:val="single" w:sz="4" w:space="0" w:color="auto"/>
              <w:bottom w:val="single" w:sz="4" w:space="0" w:color="auto"/>
              <w:right w:val="single" w:sz="4" w:space="0" w:color="auto"/>
            </w:tcBorders>
          </w:tcPr>
          <w:p w14:paraId="4F833502" w14:textId="77777777" w:rsidR="00073F8F" w:rsidRPr="001B4A02" w:rsidRDefault="00000000" w:rsidP="00ED48A3">
            <w:pPr>
              <w:ind w:left="0" w:firstLine="0"/>
              <w:jc w:val="center"/>
              <w:rPr>
                <w:del w:id="6873" w:author="AbbVie1" w:date="2025-05-13T09:50:00Z"/>
                <w:b/>
                <w:bCs/>
              </w:rPr>
            </w:pPr>
            <w:del w:id="6874" w:author="AbbVie1" w:date="2025-05-13T09:50:00Z">
              <w:r w:rsidRPr="001B4A02">
                <w:rPr>
                  <w:b/>
                  <w:bCs/>
                </w:rPr>
                <w:delText>Humira 160/80 mg</w:delText>
              </w:r>
            </w:del>
          </w:p>
          <w:p w14:paraId="779570A1" w14:textId="77777777" w:rsidR="00073F8F" w:rsidRPr="001B4A02" w:rsidRDefault="00000000" w:rsidP="00ED48A3">
            <w:pPr>
              <w:ind w:left="0" w:firstLine="0"/>
              <w:jc w:val="center"/>
              <w:rPr>
                <w:del w:id="6875" w:author="AbbVie1" w:date="2025-05-13T09:50:00Z"/>
                <w:b/>
                <w:bCs/>
              </w:rPr>
            </w:pPr>
            <w:del w:id="6876" w:author="AbbVie1" w:date="2025-05-13T09:50:00Z">
              <w:r>
                <w:rPr>
                  <w:b/>
                  <w:bCs/>
                </w:rPr>
                <w:delText>n</w:delText>
              </w:r>
              <w:r w:rsidRPr="001B4A02">
                <w:rPr>
                  <w:b/>
                  <w:bCs/>
                </w:rPr>
                <w:delText>=76</w:delText>
              </w:r>
            </w:del>
          </w:p>
        </w:tc>
        <w:tc>
          <w:tcPr>
            <w:tcW w:w="1535" w:type="dxa"/>
            <w:tcBorders>
              <w:top w:val="single" w:sz="4" w:space="0" w:color="auto"/>
              <w:left w:val="single" w:sz="4" w:space="0" w:color="auto"/>
              <w:bottom w:val="single" w:sz="4" w:space="0" w:color="auto"/>
              <w:right w:val="single" w:sz="4" w:space="0" w:color="auto"/>
            </w:tcBorders>
          </w:tcPr>
          <w:p w14:paraId="3B0EC7B3" w14:textId="77777777" w:rsidR="00073F8F" w:rsidRPr="001B4A02" w:rsidRDefault="00000000" w:rsidP="00ED48A3">
            <w:pPr>
              <w:ind w:left="0" w:firstLine="0"/>
              <w:jc w:val="center"/>
              <w:rPr>
                <w:del w:id="6877" w:author="AbbVie1" w:date="2025-05-13T09:50:00Z"/>
                <w:b/>
                <w:bCs/>
              </w:rPr>
            </w:pPr>
            <w:del w:id="6878" w:author="AbbVie1" w:date="2025-05-13T09:50:00Z">
              <w:r w:rsidRPr="001B4A02">
                <w:rPr>
                  <w:b/>
                  <w:bCs/>
                </w:rPr>
                <w:delText>Placebo</w:delText>
              </w:r>
            </w:del>
          </w:p>
          <w:p w14:paraId="410FF791" w14:textId="77777777" w:rsidR="00073F8F" w:rsidRPr="001B4A02" w:rsidRDefault="00000000" w:rsidP="00ED48A3">
            <w:pPr>
              <w:ind w:left="0" w:firstLine="0"/>
              <w:jc w:val="center"/>
              <w:rPr>
                <w:del w:id="6879" w:author="AbbVie1" w:date="2025-05-13T09:50:00Z"/>
                <w:b/>
                <w:bCs/>
              </w:rPr>
            </w:pPr>
            <w:del w:id="6880" w:author="AbbVie1" w:date="2025-05-13T09:50:00Z">
              <w:r>
                <w:rPr>
                  <w:b/>
                  <w:bCs/>
                </w:rPr>
                <w:delText>n</w:delText>
              </w:r>
              <w:r w:rsidRPr="001B4A02">
                <w:rPr>
                  <w:b/>
                  <w:bCs/>
                </w:rPr>
                <w:delText>=166</w:delText>
              </w:r>
            </w:del>
          </w:p>
        </w:tc>
        <w:tc>
          <w:tcPr>
            <w:tcW w:w="1536" w:type="dxa"/>
            <w:tcBorders>
              <w:top w:val="single" w:sz="4" w:space="0" w:color="auto"/>
              <w:left w:val="single" w:sz="4" w:space="0" w:color="auto"/>
              <w:bottom w:val="single" w:sz="4" w:space="0" w:color="auto"/>
              <w:right w:val="single" w:sz="4" w:space="0" w:color="auto"/>
            </w:tcBorders>
          </w:tcPr>
          <w:p w14:paraId="1C9951D7" w14:textId="77777777" w:rsidR="00073F8F" w:rsidRPr="001B4A02" w:rsidRDefault="00000000" w:rsidP="00ED48A3">
            <w:pPr>
              <w:ind w:left="0" w:firstLine="0"/>
              <w:jc w:val="center"/>
              <w:rPr>
                <w:del w:id="6881" w:author="AbbVie1" w:date="2025-05-13T09:50:00Z"/>
                <w:b/>
                <w:bCs/>
              </w:rPr>
            </w:pPr>
            <w:del w:id="6882" w:author="AbbVie1" w:date="2025-05-13T09:50:00Z">
              <w:r w:rsidRPr="001B4A02">
                <w:rPr>
                  <w:b/>
                  <w:bCs/>
                </w:rPr>
                <w:delText>Humira 160/80 mg</w:delText>
              </w:r>
            </w:del>
          </w:p>
          <w:p w14:paraId="40E5689E" w14:textId="77777777" w:rsidR="00073F8F" w:rsidRPr="001B4A02" w:rsidRDefault="00000000" w:rsidP="00ED48A3">
            <w:pPr>
              <w:ind w:left="0" w:firstLine="0"/>
              <w:jc w:val="center"/>
              <w:rPr>
                <w:del w:id="6883" w:author="AbbVie1" w:date="2025-05-13T09:50:00Z"/>
                <w:b/>
                <w:bCs/>
              </w:rPr>
            </w:pPr>
            <w:del w:id="6884" w:author="AbbVie1" w:date="2025-05-13T09:50:00Z">
              <w:r>
                <w:rPr>
                  <w:b/>
                  <w:bCs/>
                </w:rPr>
                <w:delText>n</w:delText>
              </w:r>
              <w:r w:rsidRPr="001B4A02">
                <w:rPr>
                  <w:b/>
                  <w:bCs/>
                </w:rPr>
                <w:delText>=159</w:delText>
              </w:r>
            </w:del>
          </w:p>
        </w:tc>
      </w:tr>
      <w:tr w:rsidR="00534A2D" w14:paraId="757D2ACF" w14:textId="77777777" w:rsidTr="008D783A">
        <w:trPr>
          <w:del w:id="6885" w:author="AbbVie1" w:date="2025-05-13T09:50:00Z"/>
        </w:trPr>
        <w:tc>
          <w:tcPr>
            <w:tcW w:w="1771" w:type="dxa"/>
            <w:tcBorders>
              <w:top w:val="single" w:sz="4" w:space="0" w:color="auto"/>
              <w:left w:val="single" w:sz="4" w:space="0" w:color="auto"/>
              <w:bottom w:val="single" w:sz="4" w:space="0" w:color="auto"/>
              <w:right w:val="single" w:sz="4" w:space="0" w:color="auto"/>
            </w:tcBorders>
          </w:tcPr>
          <w:p w14:paraId="4B549F77" w14:textId="77777777" w:rsidR="00073F8F" w:rsidRPr="001B4A02" w:rsidRDefault="00000000" w:rsidP="00ED48A3">
            <w:pPr>
              <w:pStyle w:val="EMEANormal"/>
              <w:tabs>
                <w:tab w:val="clear" w:pos="562"/>
              </w:tabs>
              <w:suppressAutoHyphens w:val="0"/>
              <w:rPr>
                <w:del w:id="6886" w:author="AbbVie1" w:date="2025-05-13T09:50:00Z"/>
                <w:lang w:val="cs-CZ"/>
              </w:rPr>
            </w:pPr>
            <w:del w:id="6887" w:author="AbbVie1" w:date="2025-05-13T09:50:00Z">
              <w:r w:rsidRPr="001B4A02">
                <w:rPr>
                  <w:lang w:val="cs-CZ"/>
                </w:rPr>
                <w:delText>Týden 4</w:delText>
              </w:r>
            </w:del>
          </w:p>
        </w:tc>
        <w:tc>
          <w:tcPr>
            <w:tcW w:w="1299" w:type="dxa"/>
            <w:tcBorders>
              <w:top w:val="single" w:sz="4" w:space="0" w:color="auto"/>
              <w:left w:val="single" w:sz="4" w:space="0" w:color="auto"/>
              <w:bottom w:val="single" w:sz="4" w:space="0" w:color="auto"/>
              <w:right w:val="single" w:sz="4" w:space="0" w:color="auto"/>
            </w:tcBorders>
          </w:tcPr>
          <w:p w14:paraId="087669E8" w14:textId="77777777" w:rsidR="00073F8F" w:rsidRPr="001B4A02" w:rsidRDefault="00073F8F" w:rsidP="00ED48A3">
            <w:pPr>
              <w:ind w:left="0" w:firstLine="0"/>
              <w:jc w:val="center"/>
              <w:rPr>
                <w:del w:id="6888" w:author="AbbVie1" w:date="2025-05-13T09:50:00Z"/>
              </w:rPr>
            </w:pPr>
          </w:p>
        </w:tc>
        <w:tc>
          <w:tcPr>
            <w:tcW w:w="1535" w:type="dxa"/>
            <w:tcBorders>
              <w:top w:val="single" w:sz="4" w:space="0" w:color="auto"/>
              <w:left w:val="single" w:sz="4" w:space="0" w:color="auto"/>
              <w:bottom w:val="single" w:sz="4" w:space="0" w:color="auto"/>
              <w:right w:val="single" w:sz="4" w:space="0" w:color="auto"/>
            </w:tcBorders>
          </w:tcPr>
          <w:p w14:paraId="41C99C4F" w14:textId="77777777" w:rsidR="00073F8F" w:rsidRPr="001B4A02" w:rsidRDefault="00073F8F" w:rsidP="00ED48A3">
            <w:pPr>
              <w:ind w:left="0" w:firstLine="0"/>
              <w:jc w:val="center"/>
              <w:rPr>
                <w:del w:id="6889" w:author="AbbVie1" w:date="2025-05-13T09:50:00Z"/>
              </w:rPr>
            </w:pPr>
          </w:p>
        </w:tc>
        <w:tc>
          <w:tcPr>
            <w:tcW w:w="1535" w:type="dxa"/>
            <w:tcBorders>
              <w:top w:val="single" w:sz="4" w:space="0" w:color="auto"/>
              <w:left w:val="single" w:sz="4" w:space="0" w:color="auto"/>
              <w:bottom w:val="single" w:sz="4" w:space="0" w:color="auto"/>
              <w:right w:val="single" w:sz="4" w:space="0" w:color="auto"/>
            </w:tcBorders>
          </w:tcPr>
          <w:p w14:paraId="6E7E50EC" w14:textId="77777777" w:rsidR="00073F8F" w:rsidRPr="001B4A02" w:rsidRDefault="00073F8F" w:rsidP="00ED48A3">
            <w:pPr>
              <w:ind w:left="0" w:firstLine="0"/>
              <w:jc w:val="center"/>
              <w:rPr>
                <w:del w:id="6890" w:author="AbbVie1" w:date="2025-05-13T09:50:00Z"/>
              </w:rPr>
            </w:pPr>
          </w:p>
        </w:tc>
        <w:tc>
          <w:tcPr>
            <w:tcW w:w="1535" w:type="dxa"/>
            <w:tcBorders>
              <w:top w:val="single" w:sz="4" w:space="0" w:color="auto"/>
              <w:left w:val="single" w:sz="4" w:space="0" w:color="auto"/>
              <w:bottom w:val="single" w:sz="4" w:space="0" w:color="auto"/>
              <w:right w:val="single" w:sz="4" w:space="0" w:color="auto"/>
            </w:tcBorders>
          </w:tcPr>
          <w:p w14:paraId="7EF35FD9" w14:textId="77777777" w:rsidR="00073F8F" w:rsidRPr="001B4A02" w:rsidRDefault="00073F8F" w:rsidP="00ED48A3">
            <w:pPr>
              <w:ind w:left="0" w:firstLine="0"/>
              <w:jc w:val="center"/>
              <w:rPr>
                <w:del w:id="6891" w:author="AbbVie1" w:date="2025-05-13T09:50:00Z"/>
              </w:rPr>
            </w:pPr>
          </w:p>
        </w:tc>
        <w:tc>
          <w:tcPr>
            <w:tcW w:w="1536" w:type="dxa"/>
            <w:tcBorders>
              <w:top w:val="single" w:sz="4" w:space="0" w:color="auto"/>
              <w:left w:val="single" w:sz="4" w:space="0" w:color="auto"/>
              <w:bottom w:val="single" w:sz="4" w:space="0" w:color="auto"/>
              <w:right w:val="single" w:sz="4" w:space="0" w:color="auto"/>
            </w:tcBorders>
          </w:tcPr>
          <w:p w14:paraId="59B0FA3F" w14:textId="77777777" w:rsidR="00073F8F" w:rsidRPr="001B4A02" w:rsidRDefault="00073F8F" w:rsidP="00ED48A3">
            <w:pPr>
              <w:ind w:left="0" w:firstLine="0"/>
              <w:jc w:val="center"/>
              <w:rPr>
                <w:del w:id="6892" w:author="AbbVie1" w:date="2025-05-13T09:50:00Z"/>
              </w:rPr>
            </w:pPr>
          </w:p>
        </w:tc>
      </w:tr>
      <w:tr w:rsidR="00534A2D" w14:paraId="76F91E09" w14:textId="77777777" w:rsidTr="008D783A">
        <w:trPr>
          <w:del w:id="6893" w:author="AbbVie1" w:date="2025-05-13T09:50:00Z"/>
        </w:trPr>
        <w:tc>
          <w:tcPr>
            <w:tcW w:w="1771" w:type="dxa"/>
            <w:tcBorders>
              <w:top w:val="single" w:sz="4" w:space="0" w:color="auto"/>
              <w:left w:val="single" w:sz="4" w:space="0" w:color="auto"/>
              <w:bottom w:val="single" w:sz="4" w:space="0" w:color="auto"/>
              <w:right w:val="single" w:sz="4" w:space="0" w:color="auto"/>
            </w:tcBorders>
          </w:tcPr>
          <w:p w14:paraId="5DE044ED" w14:textId="77777777" w:rsidR="00073F8F" w:rsidRPr="001B4A02" w:rsidRDefault="00000000" w:rsidP="00ED48A3">
            <w:pPr>
              <w:ind w:left="0" w:firstLine="0"/>
              <w:rPr>
                <w:del w:id="6894" w:author="AbbVie1" w:date="2025-05-13T09:50:00Z"/>
              </w:rPr>
            </w:pPr>
            <w:del w:id="6895" w:author="AbbVie1" w:date="2025-05-13T09:50:00Z">
              <w:r w:rsidRPr="001B4A02">
                <w:delText>Klinická remise</w:delText>
              </w:r>
            </w:del>
          </w:p>
        </w:tc>
        <w:tc>
          <w:tcPr>
            <w:tcW w:w="1299" w:type="dxa"/>
            <w:tcBorders>
              <w:top w:val="single" w:sz="4" w:space="0" w:color="auto"/>
              <w:left w:val="single" w:sz="4" w:space="0" w:color="auto"/>
              <w:bottom w:val="single" w:sz="4" w:space="0" w:color="auto"/>
              <w:right w:val="single" w:sz="4" w:space="0" w:color="auto"/>
            </w:tcBorders>
          </w:tcPr>
          <w:p w14:paraId="7FC13081" w14:textId="77777777" w:rsidR="00073F8F" w:rsidRPr="001B4A02" w:rsidRDefault="00000000" w:rsidP="00ED48A3">
            <w:pPr>
              <w:ind w:left="0" w:firstLine="0"/>
              <w:jc w:val="center"/>
              <w:rPr>
                <w:del w:id="6896" w:author="AbbVie1" w:date="2025-05-13T09:50:00Z"/>
              </w:rPr>
            </w:pPr>
            <w:del w:id="6897" w:author="AbbVie1" w:date="2025-05-13T09:50:00Z">
              <w:r w:rsidRPr="001B4A02">
                <w:delText>12</w:delText>
              </w:r>
              <w:r w:rsidR="001E10EB" w:rsidRPr="001B4A02">
                <w:delText> </w:delText>
              </w:r>
              <w:r w:rsidRPr="001B4A02">
                <w:delText>%</w:delText>
              </w:r>
            </w:del>
          </w:p>
        </w:tc>
        <w:tc>
          <w:tcPr>
            <w:tcW w:w="1535" w:type="dxa"/>
            <w:tcBorders>
              <w:top w:val="single" w:sz="4" w:space="0" w:color="auto"/>
              <w:left w:val="single" w:sz="4" w:space="0" w:color="auto"/>
              <w:bottom w:val="single" w:sz="4" w:space="0" w:color="auto"/>
              <w:right w:val="single" w:sz="4" w:space="0" w:color="auto"/>
            </w:tcBorders>
          </w:tcPr>
          <w:p w14:paraId="316EC118" w14:textId="77777777" w:rsidR="00073F8F" w:rsidRPr="001B4A02" w:rsidRDefault="00000000" w:rsidP="00ED48A3">
            <w:pPr>
              <w:ind w:left="0" w:firstLine="0"/>
              <w:jc w:val="center"/>
              <w:rPr>
                <w:del w:id="6898" w:author="AbbVie1" w:date="2025-05-13T09:50:00Z"/>
              </w:rPr>
            </w:pPr>
            <w:del w:id="6899" w:author="AbbVie1" w:date="2025-05-13T09:50:00Z">
              <w:r w:rsidRPr="001B4A02">
                <w:delText>24</w:delText>
              </w:r>
              <w:r w:rsidR="001E10EB" w:rsidRPr="001B4A02">
                <w:delText> </w:delText>
              </w:r>
              <w:r w:rsidRPr="001B4A02">
                <w:delText>%</w:delText>
              </w:r>
            </w:del>
          </w:p>
        </w:tc>
        <w:tc>
          <w:tcPr>
            <w:tcW w:w="1535" w:type="dxa"/>
            <w:tcBorders>
              <w:top w:val="single" w:sz="4" w:space="0" w:color="auto"/>
              <w:left w:val="single" w:sz="4" w:space="0" w:color="auto"/>
              <w:bottom w:val="single" w:sz="4" w:space="0" w:color="auto"/>
              <w:right w:val="single" w:sz="4" w:space="0" w:color="auto"/>
            </w:tcBorders>
          </w:tcPr>
          <w:p w14:paraId="00F295DB" w14:textId="77777777" w:rsidR="00073F8F" w:rsidRPr="001B4A02" w:rsidRDefault="00000000" w:rsidP="00ED48A3">
            <w:pPr>
              <w:ind w:left="0" w:firstLine="0"/>
              <w:jc w:val="center"/>
              <w:rPr>
                <w:del w:id="6900" w:author="AbbVie1" w:date="2025-05-13T09:50:00Z"/>
              </w:rPr>
            </w:pPr>
            <w:del w:id="6901" w:author="AbbVie1" w:date="2025-05-13T09:50:00Z">
              <w:r w:rsidRPr="001B4A02">
                <w:delText>36</w:delText>
              </w:r>
              <w:r w:rsidR="001E10EB" w:rsidRPr="001B4A02">
                <w:delText> </w:delText>
              </w:r>
              <w:r w:rsidRPr="001B4A02">
                <w:delText>%</w:delText>
              </w:r>
              <w:r w:rsidRPr="001B4A02">
                <w:rPr>
                  <w:rFonts w:ascii="Symbol" w:hAnsi="Symbol"/>
                  <w:vertAlign w:val="superscript"/>
                </w:rPr>
                <w:sym w:font="Symbol" w:char="F02A"/>
              </w:r>
            </w:del>
          </w:p>
        </w:tc>
        <w:tc>
          <w:tcPr>
            <w:tcW w:w="1535" w:type="dxa"/>
            <w:tcBorders>
              <w:top w:val="single" w:sz="4" w:space="0" w:color="auto"/>
              <w:left w:val="single" w:sz="4" w:space="0" w:color="auto"/>
              <w:bottom w:val="single" w:sz="4" w:space="0" w:color="auto"/>
              <w:right w:val="single" w:sz="4" w:space="0" w:color="auto"/>
            </w:tcBorders>
          </w:tcPr>
          <w:p w14:paraId="756BA7C1" w14:textId="77777777" w:rsidR="00073F8F" w:rsidRPr="001B4A02" w:rsidRDefault="00000000" w:rsidP="00ED48A3">
            <w:pPr>
              <w:ind w:left="0" w:firstLine="0"/>
              <w:jc w:val="center"/>
              <w:rPr>
                <w:del w:id="6902" w:author="AbbVie1" w:date="2025-05-13T09:50:00Z"/>
              </w:rPr>
            </w:pPr>
            <w:del w:id="6903" w:author="AbbVie1" w:date="2025-05-13T09:50:00Z">
              <w:r w:rsidRPr="001B4A02">
                <w:delText>7</w:delText>
              </w:r>
              <w:r w:rsidR="001E10EB" w:rsidRPr="001B4A02">
                <w:delText> </w:delText>
              </w:r>
              <w:r w:rsidRPr="001B4A02">
                <w:delText>%</w:delText>
              </w:r>
            </w:del>
          </w:p>
        </w:tc>
        <w:tc>
          <w:tcPr>
            <w:tcW w:w="1536" w:type="dxa"/>
            <w:tcBorders>
              <w:top w:val="single" w:sz="4" w:space="0" w:color="auto"/>
              <w:left w:val="single" w:sz="4" w:space="0" w:color="auto"/>
              <w:bottom w:val="single" w:sz="4" w:space="0" w:color="auto"/>
              <w:right w:val="single" w:sz="4" w:space="0" w:color="auto"/>
            </w:tcBorders>
          </w:tcPr>
          <w:p w14:paraId="3E0F95F8" w14:textId="77777777" w:rsidR="00073F8F" w:rsidRPr="001B4A02" w:rsidRDefault="00000000" w:rsidP="00ED48A3">
            <w:pPr>
              <w:ind w:left="0" w:firstLine="0"/>
              <w:jc w:val="center"/>
              <w:rPr>
                <w:del w:id="6904" w:author="AbbVie1" w:date="2025-05-13T09:50:00Z"/>
              </w:rPr>
            </w:pPr>
            <w:del w:id="6905" w:author="AbbVie1" w:date="2025-05-13T09:50:00Z">
              <w:r w:rsidRPr="001B4A02">
                <w:delText>21</w:delText>
              </w:r>
              <w:r w:rsidR="001E10EB" w:rsidRPr="001B4A02">
                <w:delText> </w:delText>
              </w:r>
              <w:r w:rsidRPr="001B4A02">
                <w:delText>%</w:delText>
              </w:r>
              <w:r w:rsidRPr="001B4A02">
                <w:rPr>
                  <w:rFonts w:ascii="Symbol" w:hAnsi="Symbol"/>
                  <w:vertAlign w:val="superscript"/>
                </w:rPr>
                <w:sym w:font="Symbol" w:char="F02A"/>
              </w:r>
            </w:del>
          </w:p>
        </w:tc>
      </w:tr>
      <w:tr w:rsidR="00534A2D" w14:paraId="547056E6" w14:textId="77777777" w:rsidTr="008D783A">
        <w:trPr>
          <w:del w:id="6906" w:author="AbbVie1" w:date="2025-05-13T09:50:00Z"/>
        </w:trPr>
        <w:tc>
          <w:tcPr>
            <w:tcW w:w="1771" w:type="dxa"/>
            <w:tcBorders>
              <w:top w:val="single" w:sz="4" w:space="0" w:color="auto"/>
              <w:left w:val="single" w:sz="4" w:space="0" w:color="auto"/>
              <w:bottom w:val="single" w:sz="4" w:space="0" w:color="auto"/>
              <w:right w:val="single" w:sz="4" w:space="0" w:color="auto"/>
            </w:tcBorders>
          </w:tcPr>
          <w:p w14:paraId="4E024265" w14:textId="77777777" w:rsidR="00073F8F" w:rsidRPr="001B4A02" w:rsidRDefault="00000000" w:rsidP="00ED48A3">
            <w:pPr>
              <w:ind w:left="0" w:firstLine="0"/>
              <w:rPr>
                <w:del w:id="6907" w:author="AbbVie1" w:date="2025-05-13T09:50:00Z"/>
              </w:rPr>
            </w:pPr>
            <w:del w:id="6908" w:author="AbbVie1" w:date="2025-05-13T09:50:00Z">
              <w:r w:rsidRPr="001B4A02">
                <w:delText>Klinická odpověď (CR-100)</w:delText>
              </w:r>
            </w:del>
          </w:p>
        </w:tc>
        <w:tc>
          <w:tcPr>
            <w:tcW w:w="1299" w:type="dxa"/>
            <w:tcBorders>
              <w:top w:val="single" w:sz="4" w:space="0" w:color="auto"/>
              <w:left w:val="single" w:sz="4" w:space="0" w:color="auto"/>
              <w:bottom w:val="single" w:sz="4" w:space="0" w:color="auto"/>
              <w:right w:val="single" w:sz="4" w:space="0" w:color="auto"/>
            </w:tcBorders>
          </w:tcPr>
          <w:p w14:paraId="47B9F1BC" w14:textId="77777777" w:rsidR="00073F8F" w:rsidRPr="001B4A02" w:rsidRDefault="00000000" w:rsidP="00ED48A3">
            <w:pPr>
              <w:ind w:left="0" w:firstLine="0"/>
              <w:jc w:val="center"/>
              <w:rPr>
                <w:del w:id="6909" w:author="AbbVie1" w:date="2025-05-13T09:50:00Z"/>
              </w:rPr>
            </w:pPr>
            <w:del w:id="6910" w:author="AbbVie1" w:date="2025-05-13T09:50:00Z">
              <w:r w:rsidRPr="001B4A02">
                <w:delText>24</w:delText>
              </w:r>
              <w:r w:rsidR="001E10EB" w:rsidRPr="001B4A02">
                <w:delText> </w:delText>
              </w:r>
              <w:r w:rsidRPr="001B4A02">
                <w:delText>%</w:delText>
              </w:r>
            </w:del>
          </w:p>
        </w:tc>
        <w:tc>
          <w:tcPr>
            <w:tcW w:w="1535" w:type="dxa"/>
            <w:tcBorders>
              <w:top w:val="single" w:sz="4" w:space="0" w:color="auto"/>
              <w:left w:val="single" w:sz="4" w:space="0" w:color="auto"/>
              <w:bottom w:val="single" w:sz="4" w:space="0" w:color="auto"/>
              <w:right w:val="single" w:sz="4" w:space="0" w:color="auto"/>
            </w:tcBorders>
          </w:tcPr>
          <w:p w14:paraId="437B995B" w14:textId="77777777" w:rsidR="00073F8F" w:rsidRPr="001B4A02" w:rsidRDefault="00000000" w:rsidP="00ED48A3">
            <w:pPr>
              <w:ind w:left="0" w:firstLine="0"/>
              <w:jc w:val="center"/>
              <w:rPr>
                <w:del w:id="6911" w:author="AbbVie1" w:date="2025-05-13T09:50:00Z"/>
              </w:rPr>
            </w:pPr>
            <w:del w:id="6912" w:author="AbbVie1" w:date="2025-05-13T09:50:00Z">
              <w:r w:rsidRPr="001B4A02">
                <w:delText>37</w:delText>
              </w:r>
              <w:r w:rsidR="001E10EB" w:rsidRPr="001B4A02">
                <w:delText> </w:delText>
              </w:r>
              <w:r w:rsidRPr="001B4A02">
                <w:delText>%</w:delText>
              </w:r>
            </w:del>
          </w:p>
        </w:tc>
        <w:tc>
          <w:tcPr>
            <w:tcW w:w="1535" w:type="dxa"/>
            <w:tcBorders>
              <w:top w:val="single" w:sz="4" w:space="0" w:color="auto"/>
              <w:left w:val="single" w:sz="4" w:space="0" w:color="auto"/>
              <w:bottom w:val="single" w:sz="4" w:space="0" w:color="auto"/>
              <w:right w:val="single" w:sz="4" w:space="0" w:color="auto"/>
            </w:tcBorders>
          </w:tcPr>
          <w:p w14:paraId="77B70CA6" w14:textId="77777777" w:rsidR="00073F8F" w:rsidRPr="001B4A02" w:rsidRDefault="00000000" w:rsidP="00ED48A3">
            <w:pPr>
              <w:ind w:left="0" w:firstLine="0"/>
              <w:jc w:val="center"/>
              <w:rPr>
                <w:del w:id="6913" w:author="AbbVie1" w:date="2025-05-13T09:50:00Z"/>
              </w:rPr>
            </w:pPr>
            <w:del w:id="6914" w:author="AbbVie1" w:date="2025-05-13T09:50:00Z">
              <w:r w:rsidRPr="001B4A02">
                <w:delText>49</w:delText>
              </w:r>
              <w:r w:rsidR="001E10EB" w:rsidRPr="001B4A02">
                <w:delText> </w:delText>
              </w:r>
              <w:r w:rsidRPr="001B4A02">
                <w:delText>%</w:delText>
              </w:r>
              <w:r w:rsidRPr="001B4A02">
                <w:rPr>
                  <w:rFonts w:ascii="Symbol" w:hAnsi="Symbol"/>
                  <w:vertAlign w:val="superscript"/>
                </w:rPr>
                <w:sym w:font="Symbol" w:char="F02A"/>
              </w:r>
              <w:r w:rsidRPr="001B4A02">
                <w:rPr>
                  <w:rFonts w:ascii="Symbol" w:hAnsi="Symbol"/>
                  <w:vertAlign w:val="superscript"/>
                </w:rPr>
                <w:sym w:font="Symbol" w:char="F02A"/>
              </w:r>
            </w:del>
          </w:p>
        </w:tc>
        <w:tc>
          <w:tcPr>
            <w:tcW w:w="1535" w:type="dxa"/>
            <w:tcBorders>
              <w:top w:val="single" w:sz="4" w:space="0" w:color="auto"/>
              <w:left w:val="single" w:sz="4" w:space="0" w:color="auto"/>
              <w:bottom w:val="single" w:sz="4" w:space="0" w:color="auto"/>
              <w:right w:val="single" w:sz="4" w:space="0" w:color="auto"/>
            </w:tcBorders>
          </w:tcPr>
          <w:p w14:paraId="446D3F48" w14:textId="77777777" w:rsidR="00073F8F" w:rsidRPr="001B4A02" w:rsidRDefault="00000000" w:rsidP="00ED48A3">
            <w:pPr>
              <w:ind w:left="0" w:firstLine="0"/>
              <w:jc w:val="center"/>
              <w:rPr>
                <w:del w:id="6915" w:author="AbbVie1" w:date="2025-05-13T09:50:00Z"/>
              </w:rPr>
            </w:pPr>
            <w:del w:id="6916" w:author="AbbVie1" w:date="2025-05-13T09:50:00Z">
              <w:r w:rsidRPr="001B4A02">
                <w:delText>25</w:delText>
              </w:r>
              <w:r w:rsidR="001E10EB" w:rsidRPr="001B4A02">
                <w:delText> </w:delText>
              </w:r>
              <w:r w:rsidRPr="001B4A02">
                <w:delText>%</w:delText>
              </w:r>
            </w:del>
          </w:p>
        </w:tc>
        <w:tc>
          <w:tcPr>
            <w:tcW w:w="1536" w:type="dxa"/>
            <w:tcBorders>
              <w:top w:val="single" w:sz="4" w:space="0" w:color="auto"/>
              <w:left w:val="single" w:sz="4" w:space="0" w:color="auto"/>
              <w:bottom w:val="single" w:sz="4" w:space="0" w:color="auto"/>
              <w:right w:val="single" w:sz="4" w:space="0" w:color="auto"/>
            </w:tcBorders>
          </w:tcPr>
          <w:p w14:paraId="2E21741D" w14:textId="77777777" w:rsidR="00073F8F" w:rsidRPr="001B4A02" w:rsidRDefault="00000000" w:rsidP="00ED48A3">
            <w:pPr>
              <w:ind w:left="0" w:firstLine="0"/>
              <w:jc w:val="center"/>
              <w:rPr>
                <w:del w:id="6917" w:author="AbbVie1" w:date="2025-05-13T09:50:00Z"/>
              </w:rPr>
            </w:pPr>
            <w:del w:id="6918" w:author="AbbVie1" w:date="2025-05-13T09:50:00Z">
              <w:r w:rsidRPr="001B4A02">
                <w:delText>38</w:delText>
              </w:r>
              <w:r w:rsidR="001E10EB" w:rsidRPr="001B4A02">
                <w:delText> </w:delText>
              </w:r>
              <w:r w:rsidRPr="001B4A02">
                <w:delText>%</w:delText>
              </w:r>
              <w:r w:rsidRPr="001B4A02">
                <w:rPr>
                  <w:rFonts w:ascii="Symbol" w:hAnsi="Symbol"/>
                  <w:vertAlign w:val="superscript"/>
                </w:rPr>
                <w:sym w:font="Symbol" w:char="F02A"/>
              </w:r>
              <w:r w:rsidRPr="001B4A02">
                <w:rPr>
                  <w:rFonts w:ascii="Symbol" w:hAnsi="Symbol"/>
                  <w:vertAlign w:val="superscript"/>
                </w:rPr>
                <w:sym w:font="Symbol" w:char="F02A"/>
              </w:r>
            </w:del>
          </w:p>
        </w:tc>
      </w:tr>
    </w:tbl>
    <w:p w14:paraId="74C291A3" w14:textId="77777777" w:rsidR="00073F8F" w:rsidRPr="001B4A02" w:rsidRDefault="00000000" w:rsidP="00ED48A3">
      <w:pPr>
        <w:pStyle w:val="EMEANormal"/>
        <w:tabs>
          <w:tab w:val="clear" w:pos="562"/>
          <w:tab w:val="left" w:pos="708"/>
        </w:tabs>
        <w:suppressAutoHyphens w:val="0"/>
        <w:rPr>
          <w:del w:id="6919" w:author="AbbVie1" w:date="2025-05-13T09:50:00Z"/>
          <w:sz w:val="20"/>
          <w:lang w:val="cs-CZ"/>
        </w:rPr>
      </w:pPr>
      <w:del w:id="6920" w:author="AbbVie1" w:date="2025-05-13T09:50:00Z">
        <w:r w:rsidRPr="001B4A02">
          <w:rPr>
            <w:sz w:val="20"/>
            <w:lang w:val="cs-CZ"/>
          </w:rPr>
          <w:delText>Všechny hodnoty p slouží k párovému srovnání hodnot pro přípravek Humira versus placebo</w:delText>
        </w:r>
      </w:del>
    </w:p>
    <w:p w14:paraId="675A237B" w14:textId="77777777" w:rsidR="00073F8F" w:rsidRPr="001B4A02" w:rsidRDefault="00000000" w:rsidP="00ED48A3">
      <w:pPr>
        <w:pStyle w:val="EMEANormal"/>
        <w:tabs>
          <w:tab w:val="clear" w:pos="562"/>
          <w:tab w:val="left" w:pos="708"/>
        </w:tabs>
        <w:suppressAutoHyphens w:val="0"/>
        <w:rPr>
          <w:del w:id="6921" w:author="AbbVie1" w:date="2025-05-13T09:50:00Z"/>
          <w:sz w:val="20"/>
          <w:lang w:val="cs-CZ"/>
        </w:rPr>
      </w:pPr>
      <w:del w:id="6922" w:author="AbbVie1" w:date="2025-05-13T09:50:00Z">
        <w:r w:rsidRPr="001B4A02">
          <w:rPr>
            <w:rFonts w:ascii="Symbol" w:hAnsi="Symbol"/>
            <w:sz w:val="20"/>
            <w:vertAlign w:val="superscript"/>
            <w:lang w:val="cs-CZ"/>
          </w:rPr>
          <w:sym w:font="Symbol" w:char="F02A"/>
        </w:r>
        <w:r w:rsidRPr="001B4A02">
          <w:rPr>
            <w:sz w:val="20"/>
            <w:lang w:val="cs-CZ"/>
          </w:rPr>
          <w:delText xml:space="preserve"> p </w:delText>
        </w:r>
        <w:r w:rsidRPr="001B4A02">
          <w:rPr>
            <w:rFonts w:ascii="Symbol" w:hAnsi="Symbol"/>
            <w:sz w:val="20"/>
            <w:lang w:val="cs-CZ"/>
          </w:rPr>
          <w:sym w:font="Symbol" w:char="F03C"/>
        </w:r>
        <w:r w:rsidRPr="001B4A02">
          <w:rPr>
            <w:sz w:val="20"/>
            <w:lang w:val="cs-CZ"/>
          </w:rPr>
          <w:delText xml:space="preserve"> 0,001</w:delText>
        </w:r>
      </w:del>
    </w:p>
    <w:p w14:paraId="08101CE6" w14:textId="77777777" w:rsidR="00073F8F" w:rsidRPr="001B4A02" w:rsidRDefault="00000000" w:rsidP="00ED48A3">
      <w:pPr>
        <w:ind w:left="0" w:firstLine="0"/>
        <w:rPr>
          <w:del w:id="6923" w:author="AbbVie1" w:date="2025-05-13T09:50:00Z"/>
          <w:sz w:val="20"/>
        </w:rPr>
      </w:pPr>
      <w:del w:id="6924" w:author="AbbVie1" w:date="2025-05-13T09:50:00Z">
        <w:r w:rsidRPr="001B4A02">
          <w:rPr>
            <w:rFonts w:ascii="Symbol" w:hAnsi="Symbol"/>
            <w:sz w:val="20"/>
            <w:vertAlign w:val="superscript"/>
          </w:rPr>
          <w:sym w:font="Symbol" w:char="F02A"/>
        </w:r>
        <w:r w:rsidRPr="001B4A02">
          <w:rPr>
            <w:rFonts w:ascii="Symbol" w:hAnsi="Symbol"/>
            <w:sz w:val="20"/>
            <w:vertAlign w:val="superscript"/>
          </w:rPr>
          <w:sym w:font="Symbol" w:char="F02A"/>
        </w:r>
        <w:r w:rsidRPr="001B4A02">
          <w:rPr>
            <w:sz w:val="20"/>
          </w:rPr>
          <w:delText xml:space="preserve"> p </w:delText>
        </w:r>
        <w:r w:rsidRPr="001B4A02">
          <w:rPr>
            <w:rFonts w:ascii="Symbol" w:hAnsi="Symbol"/>
            <w:sz w:val="20"/>
          </w:rPr>
          <w:sym w:font="Symbol" w:char="F03C"/>
        </w:r>
        <w:r w:rsidRPr="001B4A02">
          <w:rPr>
            <w:sz w:val="20"/>
          </w:rPr>
          <w:delText xml:space="preserve"> 0,01</w:delText>
        </w:r>
      </w:del>
    </w:p>
    <w:p w14:paraId="6D3156A7" w14:textId="77777777" w:rsidR="00073F8F" w:rsidRPr="001B4A02" w:rsidRDefault="00073F8F" w:rsidP="00ED48A3">
      <w:pPr>
        <w:pStyle w:val="EMEANormal"/>
        <w:tabs>
          <w:tab w:val="clear" w:pos="562"/>
          <w:tab w:val="left" w:pos="708"/>
        </w:tabs>
        <w:suppressAutoHyphens w:val="0"/>
        <w:rPr>
          <w:del w:id="6925" w:author="AbbVie1" w:date="2025-05-13T09:50:00Z"/>
          <w:u w:val="single"/>
          <w:lang w:val="cs-CZ"/>
        </w:rPr>
      </w:pPr>
    </w:p>
    <w:p w14:paraId="18D6403A" w14:textId="77777777" w:rsidR="00073F8F" w:rsidRPr="001B4A02" w:rsidRDefault="00000000" w:rsidP="00ED48A3">
      <w:pPr>
        <w:pStyle w:val="EMEANormal"/>
        <w:tabs>
          <w:tab w:val="clear" w:pos="562"/>
          <w:tab w:val="left" w:pos="708"/>
        </w:tabs>
        <w:suppressAutoHyphens w:val="0"/>
        <w:rPr>
          <w:del w:id="6926" w:author="AbbVie1" w:date="2025-05-13T09:50:00Z"/>
          <w:lang w:val="cs-CZ"/>
        </w:rPr>
      </w:pPr>
      <w:del w:id="6927" w:author="AbbVie1" w:date="2025-05-13T09:50:00Z">
        <w:r w:rsidRPr="001B4A02">
          <w:rPr>
            <w:lang w:val="cs-CZ"/>
          </w:rPr>
          <w:delText>U obou úvodních dávkovacích schémat, u</w:delText>
        </w:r>
        <w:r w:rsidR="00C048C3" w:rsidRPr="001B4A02">
          <w:rPr>
            <w:lang w:val="cs-CZ"/>
          </w:rPr>
          <w:delText> </w:delText>
        </w:r>
        <w:r w:rsidRPr="001B4A02">
          <w:rPr>
            <w:lang w:val="cs-CZ"/>
          </w:rPr>
          <w:delText>160/80 mg i u</w:delText>
        </w:r>
        <w:r w:rsidR="00C048C3" w:rsidRPr="001B4A02">
          <w:rPr>
            <w:lang w:val="cs-CZ"/>
          </w:rPr>
          <w:delText> </w:delText>
        </w:r>
        <w:r w:rsidRPr="001B4A02">
          <w:rPr>
            <w:lang w:val="cs-CZ"/>
          </w:rPr>
          <w:delText xml:space="preserve">80/40 mg, byly v období do týdne 8 pozorovány podobné počty remisí, nežádoucí účinky byly častěji pozorovány ve skupině se 160/80 mg. </w:delText>
        </w:r>
      </w:del>
    </w:p>
    <w:p w14:paraId="6E6AB8C6" w14:textId="77777777" w:rsidR="00073F8F" w:rsidRPr="001B4A02" w:rsidRDefault="00073F8F" w:rsidP="00ED48A3">
      <w:pPr>
        <w:pStyle w:val="EMEANormal"/>
        <w:tabs>
          <w:tab w:val="clear" w:pos="562"/>
          <w:tab w:val="left" w:pos="708"/>
        </w:tabs>
        <w:suppressAutoHyphens w:val="0"/>
        <w:rPr>
          <w:del w:id="6928" w:author="AbbVie1" w:date="2025-05-13T09:50:00Z"/>
          <w:lang w:val="cs-CZ"/>
        </w:rPr>
      </w:pPr>
    </w:p>
    <w:p w14:paraId="0F3F7D9E" w14:textId="77777777" w:rsidR="00073F8F" w:rsidRPr="001B4A02" w:rsidRDefault="00000000" w:rsidP="00ED48A3">
      <w:pPr>
        <w:pStyle w:val="EMEANormal"/>
        <w:tabs>
          <w:tab w:val="clear" w:pos="562"/>
          <w:tab w:val="left" w:pos="708"/>
        </w:tabs>
        <w:suppressAutoHyphens w:val="0"/>
        <w:rPr>
          <w:del w:id="6929" w:author="AbbVie1" w:date="2025-05-13T09:50:00Z"/>
          <w:lang w:val="cs-CZ"/>
        </w:rPr>
      </w:pPr>
      <w:del w:id="6930" w:author="AbbVie1" w:date="2025-05-13T09:50:00Z">
        <w:r w:rsidRPr="001B4A02">
          <w:rPr>
            <w:lang w:val="cs-CZ"/>
          </w:rPr>
          <w:delText>Ve studii CD III dosáhlo v týdnu 4 58</w:delText>
        </w:r>
        <w:r w:rsidR="001E10EB" w:rsidRPr="001B4A02">
          <w:rPr>
            <w:lang w:val="cs-CZ"/>
          </w:rPr>
          <w:delText> </w:delText>
        </w:r>
        <w:r w:rsidRPr="001B4A02">
          <w:rPr>
            <w:lang w:val="cs-CZ"/>
          </w:rPr>
          <w:delText>% pacientů (499 z 854) klinické odpovědi</w:delText>
        </w:r>
        <w:r w:rsidR="002378E0">
          <w:rPr>
            <w:lang w:val="cs-CZ"/>
          </w:rPr>
          <w:delText xml:space="preserve"> a </w:delText>
        </w:r>
        <w:r w:rsidRPr="001B4A02">
          <w:rPr>
            <w:lang w:val="cs-CZ"/>
          </w:rPr>
          <w:delText>byli zařazeni do primárního hodnocení. Z těchto pacientů, jež v týdnu 4 dosáhli klinické odpovědi na léčbu, bylo 48</w:delText>
        </w:r>
        <w:r w:rsidR="001E10EB" w:rsidRPr="001B4A02">
          <w:rPr>
            <w:lang w:val="cs-CZ"/>
          </w:rPr>
          <w:delText> </w:delText>
        </w:r>
        <w:r w:rsidRPr="001B4A02">
          <w:rPr>
            <w:lang w:val="cs-CZ"/>
          </w:rPr>
          <w:delText xml:space="preserve">% už dříve vystaveno </w:delText>
        </w:r>
        <w:r w:rsidR="00AE574B" w:rsidRPr="001B4A02">
          <w:rPr>
            <w:lang w:val="cs-CZ"/>
          </w:rPr>
          <w:delText xml:space="preserve">antagonistům </w:delText>
        </w:r>
        <w:r w:rsidRPr="001B4A02">
          <w:rPr>
            <w:lang w:val="cs-CZ"/>
          </w:rPr>
          <w:delText>TNF. Doba trvání remise</w:delText>
        </w:r>
        <w:r w:rsidR="002378E0">
          <w:rPr>
            <w:lang w:val="cs-CZ"/>
          </w:rPr>
          <w:delText xml:space="preserve"> a </w:delText>
        </w:r>
        <w:r w:rsidRPr="001B4A02">
          <w:rPr>
            <w:lang w:val="cs-CZ"/>
          </w:rPr>
          <w:delText xml:space="preserve">počty odpovídajících pacientů jsou uvedeny v tabulce </w:delText>
        </w:r>
        <w:r w:rsidR="00CC1B29">
          <w:rPr>
            <w:lang w:val="cs-CZ"/>
          </w:rPr>
          <w:delText>22</w:delText>
        </w:r>
        <w:r w:rsidRPr="001B4A02">
          <w:rPr>
            <w:lang w:val="cs-CZ"/>
          </w:rPr>
          <w:delText>. Výsledky klinické odpovědi zůst</w:delText>
        </w:r>
        <w:r w:rsidR="00C242C5" w:rsidRPr="001B4A02">
          <w:rPr>
            <w:lang w:val="cs-CZ"/>
          </w:rPr>
          <w:delText>á</w:delText>
        </w:r>
        <w:r w:rsidRPr="001B4A02">
          <w:rPr>
            <w:lang w:val="cs-CZ"/>
          </w:rPr>
          <w:delText>valy konstantní bez ohledu na předchozí expozici TNF antagonistům.</w:delText>
        </w:r>
      </w:del>
    </w:p>
    <w:p w14:paraId="11C2C947" w14:textId="77777777" w:rsidR="00073F8F" w:rsidRPr="001B4A02" w:rsidRDefault="00073F8F" w:rsidP="00ED48A3">
      <w:pPr>
        <w:pStyle w:val="EMEANormal"/>
        <w:tabs>
          <w:tab w:val="clear" w:pos="562"/>
          <w:tab w:val="left" w:pos="708"/>
        </w:tabs>
        <w:suppressAutoHyphens w:val="0"/>
        <w:rPr>
          <w:del w:id="6931" w:author="AbbVie1" w:date="2025-05-13T09:50:00Z"/>
          <w:u w:val="single"/>
          <w:lang w:val="cs-CZ"/>
        </w:rPr>
      </w:pPr>
    </w:p>
    <w:p w14:paraId="78B06914" w14:textId="77777777" w:rsidR="00765B2C" w:rsidRPr="001B4A02" w:rsidRDefault="00000000" w:rsidP="00ED48A3">
      <w:pPr>
        <w:pStyle w:val="EMEANormal"/>
        <w:tabs>
          <w:tab w:val="clear" w:pos="562"/>
          <w:tab w:val="left" w:pos="708"/>
        </w:tabs>
        <w:suppressAutoHyphens w:val="0"/>
        <w:rPr>
          <w:del w:id="6932" w:author="AbbVie1" w:date="2025-05-13T09:50:00Z"/>
          <w:lang w:val="cs-CZ"/>
        </w:rPr>
      </w:pPr>
      <w:del w:id="6933" w:author="AbbVie1" w:date="2025-05-13T09:50:00Z">
        <w:r w:rsidRPr="001B4A02">
          <w:rPr>
            <w:lang w:val="cs-CZ"/>
          </w:rPr>
          <w:delText>Počet hospitalizací</w:delText>
        </w:r>
        <w:r w:rsidR="002378E0">
          <w:rPr>
            <w:lang w:val="cs-CZ"/>
          </w:rPr>
          <w:delText xml:space="preserve"> a </w:delText>
        </w:r>
        <w:r w:rsidRPr="001B4A02">
          <w:rPr>
            <w:lang w:val="cs-CZ"/>
          </w:rPr>
          <w:delText>chirurgických zákroků, spojených s tímto onemocněním, byl v týdnu 56 statisticky signifikantně snížen u</w:delText>
        </w:r>
        <w:r w:rsidR="00C048C3" w:rsidRPr="001B4A02">
          <w:rPr>
            <w:lang w:val="cs-CZ"/>
          </w:rPr>
          <w:delText> </w:delText>
        </w:r>
        <w:r w:rsidRPr="001B4A02">
          <w:rPr>
            <w:lang w:val="cs-CZ"/>
          </w:rPr>
          <w:delText xml:space="preserve">pacientů </w:delText>
        </w:r>
        <w:r w:rsidR="0045502F" w:rsidRPr="001B4A02">
          <w:rPr>
            <w:lang w:val="cs-CZ"/>
          </w:rPr>
          <w:delText>po</w:delText>
        </w:r>
        <w:r w:rsidRPr="001B4A02">
          <w:rPr>
            <w:lang w:val="cs-CZ"/>
          </w:rPr>
          <w:delText>užívajících adalimumab v</w:delText>
        </w:r>
        <w:r w:rsidR="00255A0A" w:rsidRPr="001B4A02">
          <w:rPr>
            <w:lang w:val="cs-CZ"/>
          </w:rPr>
          <w:delText> </w:delText>
        </w:r>
        <w:r w:rsidRPr="001B4A02">
          <w:rPr>
            <w:lang w:val="cs-CZ"/>
          </w:rPr>
          <w:delText>porovnání s placebem.</w:delText>
        </w:r>
      </w:del>
    </w:p>
    <w:p w14:paraId="22BC1EA0" w14:textId="77777777" w:rsidR="00765B2C" w:rsidRPr="001B4A02" w:rsidRDefault="00765B2C" w:rsidP="00ED48A3">
      <w:pPr>
        <w:pStyle w:val="EMEANormal"/>
        <w:tabs>
          <w:tab w:val="clear" w:pos="562"/>
          <w:tab w:val="left" w:pos="708"/>
        </w:tabs>
        <w:suppressAutoHyphens w:val="0"/>
        <w:rPr>
          <w:del w:id="6934" w:author="AbbVie1" w:date="2025-05-13T09:50:00Z"/>
          <w:u w:val="single"/>
          <w:lang w:val="cs-CZ"/>
        </w:rPr>
      </w:pPr>
    </w:p>
    <w:p w14:paraId="25EFAB6E" w14:textId="77777777" w:rsidR="003F4B5B" w:rsidRPr="001B4A02" w:rsidRDefault="00000000" w:rsidP="00ED48A3">
      <w:pPr>
        <w:pStyle w:val="EMEANormal"/>
        <w:keepNext/>
        <w:tabs>
          <w:tab w:val="clear" w:pos="562"/>
          <w:tab w:val="left" w:pos="708"/>
        </w:tabs>
        <w:suppressAutoHyphens w:val="0"/>
        <w:jc w:val="center"/>
        <w:rPr>
          <w:del w:id="6935" w:author="AbbVie1" w:date="2025-05-13T09:50:00Z"/>
          <w:b/>
          <w:bCs/>
          <w:lang w:val="cs-CZ"/>
        </w:rPr>
      </w:pPr>
      <w:del w:id="6936" w:author="AbbVie1" w:date="2025-05-13T09:50:00Z">
        <w:r w:rsidRPr="001B4A02">
          <w:rPr>
            <w:b/>
            <w:bCs/>
            <w:lang w:val="cs-CZ"/>
          </w:rPr>
          <w:delText xml:space="preserve">Tabulka </w:delText>
        </w:r>
        <w:r w:rsidR="00CC1B29">
          <w:rPr>
            <w:b/>
            <w:bCs/>
            <w:lang w:val="cs-CZ"/>
          </w:rPr>
          <w:delText>22</w:delText>
        </w:r>
      </w:del>
    </w:p>
    <w:p w14:paraId="7690637D" w14:textId="77777777" w:rsidR="00073F8F" w:rsidRPr="001B4A02" w:rsidRDefault="00000000" w:rsidP="00ED48A3">
      <w:pPr>
        <w:pStyle w:val="EMEANormal"/>
        <w:keepNext/>
        <w:tabs>
          <w:tab w:val="clear" w:pos="562"/>
          <w:tab w:val="left" w:pos="708"/>
        </w:tabs>
        <w:suppressAutoHyphens w:val="0"/>
        <w:jc w:val="center"/>
        <w:rPr>
          <w:del w:id="6937" w:author="AbbVie1" w:date="2025-05-13T09:50:00Z"/>
          <w:b/>
          <w:bCs/>
          <w:lang w:val="cs-CZ"/>
        </w:rPr>
      </w:pPr>
      <w:del w:id="6938" w:author="AbbVie1" w:date="2025-05-13T09:50:00Z">
        <w:r w:rsidRPr="001B4A02">
          <w:rPr>
            <w:b/>
            <w:bCs/>
            <w:lang w:val="cs-CZ"/>
          </w:rPr>
          <w:delText>Přetrvávání klinické remise</w:delText>
        </w:r>
        <w:r w:rsidR="002378E0">
          <w:rPr>
            <w:b/>
            <w:bCs/>
            <w:lang w:val="cs-CZ"/>
          </w:rPr>
          <w:delText xml:space="preserve"> a </w:delText>
        </w:r>
        <w:r w:rsidRPr="001B4A02">
          <w:rPr>
            <w:b/>
            <w:bCs/>
            <w:lang w:val="cs-CZ"/>
          </w:rPr>
          <w:delText>odpovědi</w:delText>
        </w:r>
      </w:del>
    </w:p>
    <w:p w14:paraId="1C45AC05" w14:textId="77777777" w:rsidR="00073F8F" w:rsidRPr="001B4A02" w:rsidRDefault="00000000" w:rsidP="003B2D93">
      <w:pPr>
        <w:pStyle w:val="EMEANormal"/>
        <w:keepNext/>
        <w:tabs>
          <w:tab w:val="clear" w:pos="562"/>
          <w:tab w:val="left" w:pos="708"/>
        </w:tabs>
        <w:suppressAutoHyphens w:val="0"/>
        <w:jc w:val="center"/>
        <w:rPr>
          <w:del w:id="6939" w:author="AbbVie1" w:date="2025-05-13T09:50:00Z"/>
          <w:lang w:val="cs-CZ"/>
        </w:rPr>
      </w:pPr>
      <w:del w:id="6940" w:author="AbbVie1" w:date="2025-05-13T09:50:00Z">
        <w:r w:rsidRPr="001B4A02">
          <w:rPr>
            <w:b/>
            <w:bCs/>
            <w:lang w:val="cs-CZ"/>
          </w:rPr>
          <w:delText>(Procento pacientů)</w:delText>
        </w:r>
      </w:del>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94"/>
        <w:gridCol w:w="1539"/>
        <w:gridCol w:w="2264"/>
        <w:gridCol w:w="2264"/>
      </w:tblGrid>
      <w:tr w:rsidR="00534A2D" w14:paraId="203D73F5" w14:textId="77777777" w:rsidTr="008D783A">
        <w:trPr>
          <w:del w:id="6941" w:author="AbbVie1" w:date="2025-05-13T09:50:00Z"/>
        </w:trPr>
        <w:tc>
          <w:tcPr>
            <w:tcW w:w="3047" w:type="dxa"/>
            <w:tcBorders>
              <w:top w:val="single" w:sz="4" w:space="0" w:color="auto"/>
              <w:left w:val="single" w:sz="4" w:space="0" w:color="auto"/>
              <w:bottom w:val="single" w:sz="4" w:space="0" w:color="auto"/>
              <w:right w:val="single" w:sz="4" w:space="0" w:color="auto"/>
            </w:tcBorders>
          </w:tcPr>
          <w:p w14:paraId="37E50E2A" w14:textId="77777777" w:rsidR="00073F8F" w:rsidRPr="001B4A02" w:rsidRDefault="00073F8F" w:rsidP="00ED48A3">
            <w:pPr>
              <w:pStyle w:val="EMEANormal"/>
              <w:keepNext/>
              <w:tabs>
                <w:tab w:val="clear" w:pos="562"/>
                <w:tab w:val="left" w:pos="708"/>
              </w:tabs>
              <w:suppressAutoHyphens w:val="0"/>
              <w:rPr>
                <w:del w:id="6942" w:author="AbbVie1" w:date="2025-05-13T09:50:00Z"/>
                <w:u w:val="single"/>
                <w:lang w:val="cs-CZ"/>
              </w:rPr>
            </w:pPr>
          </w:p>
        </w:tc>
        <w:tc>
          <w:tcPr>
            <w:tcW w:w="1558" w:type="dxa"/>
            <w:tcBorders>
              <w:top w:val="single" w:sz="4" w:space="0" w:color="auto"/>
              <w:left w:val="single" w:sz="4" w:space="0" w:color="auto"/>
              <w:bottom w:val="single" w:sz="4" w:space="0" w:color="auto"/>
              <w:right w:val="single" w:sz="4" w:space="0" w:color="auto"/>
            </w:tcBorders>
          </w:tcPr>
          <w:p w14:paraId="695D2CA2" w14:textId="77777777" w:rsidR="00073F8F" w:rsidRPr="001B4A02" w:rsidRDefault="00000000" w:rsidP="00ED48A3">
            <w:pPr>
              <w:pStyle w:val="EMEANormal"/>
              <w:keepNext/>
              <w:tabs>
                <w:tab w:val="clear" w:pos="562"/>
                <w:tab w:val="left" w:pos="708"/>
              </w:tabs>
              <w:suppressAutoHyphens w:val="0"/>
              <w:jc w:val="center"/>
              <w:rPr>
                <w:del w:id="6943" w:author="AbbVie1" w:date="2025-05-13T09:50:00Z"/>
                <w:b/>
                <w:bCs/>
                <w:lang w:val="cs-CZ"/>
              </w:rPr>
            </w:pPr>
            <w:del w:id="6944" w:author="AbbVie1" w:date="2025-05-13T09:50:00Z">
              <w:r w:rsidRPr="001B4A02">
                <w:rPr>
                  <w:b/>
                  <w:bCs/>
                  <w:lang w:val="cs-CZ"/>
                </w:rPr>
                <w:delText>Placebo</w:delText>
              </w:r>
            </w:del>
          </w:p>
        </w:tc>
        <w:tc>
          <w:tcPr>
            <w:tcW w:w="2303" w:type="dxa"/>
            <w:tcBorders>
              <w:top w:val="single" w:sz="4" w:space="0" w:color="auto"/>
              <w:left w:val="single" w:sz="4" w:space="0" w:color="auto"/>
              <w:bottom w:val="single" w:sz="4" w:space="0" w:color="auto"/>
              <w:right w:val="single" w:sz="4" w:space="0" w:color="auto"/>
            </w:tcBorders>
          </w:tcPr>
          <w:p w14:paraId="368638B7" w14:textId="77777777" w:rsidR="00073F8F" w:rsidRPr="001B4A02" w:rsidRDefault="00000000" w:rsidP="00ED48A3">
            <w:pPr>
              <w:pStyle w:val="EMEANormal"/>
              <w:keepNext/>
              <w:tabs>
                <w:tab w:val="clear" w:pos="562"/>
                <w:tab w:val="left" w:pos="708"/>
              </w:tabs>
              <w:suppressAutoHyphens w:val="0"/>
              <w:jc w:val="center"/>
              <w:rPr>
                <w:del w:id="6945" w:author="AbbVie1" w:date="2025-05-13T09:50:00Z"/>
                <w:b/>
                <w:bCs/>
                <w:lang w:val="cs-CZ"/>
              </w:rPr>
            </w:pPr>
            <w:del w:id="6946" w:author="AbbVie1" w:date="2025-05-13T09:50:00Z">
              <w:r w:rsidRPr="001B4A02">
                <w:rPr>
                  <w:b/>
                  <w:bCs/>
                  <w:lang w:val="cs-CZ"/>
                </w:rPr>
                <w:delText>Humira v dávce 40 mg každý druhý týden</w:delText>
              </w:r>
            </w:del>
          </w:p>
        </w:tc>
        <w:tc>
          <w:tcPr>
            <w:tcW w:w="2303" w:type="dxa"/>
            <w:tcBorders>
              <w:top w:val="single" w:sz="4" w:space="0" w:color="auto"/>
              <w:left w:val="single" w:sz="4" w:space="0" w:color="auto"/>
              <w:bottom w:val="single" w:sz="4" w:space="0" w:color="auto"/>
              <w:right w:val="single" w:sz="4" w:space="0" w:color="auto"/>
            </w:tcBorders>
          </w:tcPr>
          <w:p w14:paraId="563A939B" w14:textId="77777777" w:rsidR="00073F8F" w:rsidRPr="001B4A02" w:rsidRDefault="00000000" w:rsidP="00ED48A3">
            <w:pPr>
              <w:pStyle w:val="EMEANormal"/>
              <w:keepNext/>
              <w:tabs>
                <w:tab w:val="clear" w:pos="562"/>
                <w:tab w:val="left" w:pos="708"/>
              </w:tabs>
              <w:suppressAutoHyphens w:val="0"/>
              <w:jc w:val="center"/>
              <w:rPr>
                <w:del w:id="6947" w:author="AbbVie1" w:date="2025-05-13T09:50:00Z"/>
                <w:b/>
                <w:bCs/>
                <w:lang w:val="cs-CZ"/>
              </w:rPr>
            </w:pPr>
            <w:del w:id="6948" w:author="AbbVie1" w:date="2025-05-13T09:50:00Z">
              <w:r w:rsidRPr="001B4A02">
                <w:rPr>
                  <w:b/>
                  <w:bCs/>
                  <w:lang w:val="cs-CZ"/>
                </w:rPr>
                <w:delText>Humira v dávce 40 mg týdně</w:delText>
              </w:r>
            </w:del>
          </w:p>
        </w:tc>
      </w:tr>
      <w:tr w:rsidR="00534A2D" w14:paraId="7E78320E" w14:textId="77777777" w:rsidTr="008D783A">
        <w:trPr>
          <w:del w:id="6949" w:author="AbbVie1" w:date="2025-05-13T09:50:00Z"/>
        </w:trPr>
        <w:tc>
          <w:tcPr>
            <w:tcW w:w="3047" w:type="dxa"/>
            <w:tcBorders>
              <w:top w:val="single" w:sz="4" w:space="0" w:color="auto"/>
              <w:left w:val="single" w:sz="4" w:space="0" w:color="auto"/>
              <w:bottom w:val="single" w:sz="4" w:space="0" w:color="auto"/>
              <w:right w:val="single" w:sz="4" w:space="0" w:color="auto"/>
            </w:tcBorders>
          </w:tcPr>
          <w:p w14:paraId="70963EE4" w14:textId="77777777" w:rsidR="00073F8F" w:rsidRPr="001B4A02" w:rsidRDefault="00000000" w:rsidP="00ED48A3">
            <w:pPr>
              <w:pStyle w:val="EMEANormal"/>
              <w:keepNext/>
              <w:tabs>
                <w:tab w:val="clear" w:pos="562"/>
                <w:tab w:val="left" w:pos="708"/>
              </w:tabs>
              <w:suppressAutoHyphens w:val="0"/>
              <w:rPr>
                <w:del w:id="6950" w:author="AbbVie1" w:date="2025-05-13T09:50:00Z"/>
                <w:b/>
                <w:bCs/>
                <w:lang w:val="cs-CZ"/>
              </w:rPr>
            </w:pPr>
            <w:del w:id="6951" w:author="AbbVie1" w:date="2025-05-13T09:50:00Z">
              <w:r w:rsidRPr="001B4A02">
                <w:rPr>
                  <w:b/>
                  <w:bCs/>
                  <w:lang w:val="cs-CZ"/>
                </w:rPr>
                <w:delText>Týden 26</w:delText>
              </w:r>
            </w:del>
          </w:p>
        </w:tc>
        <w:tc>
          <w:tcPr>
            <w:tcW w:w="1558" w:type="dxa"/>
            <w:tcBorders>
              <w:top w:val="single" w:sz="4" w:space="0" w:color="auto"/>
              <w:left w:val="single" w:sz="4" w:space="0" w:color="auto"/>
              <w:bottom w:val="single" w:sz="4" w:space="0" w:color="auto"/>
              <w:right w:val="single" w:sz="4" w:space="0" w:color="auto"/>
            </w:tcBorders>
          </w:tcPr>
          <w:p w14:paraId="4EF79635" w14:textId="77777777" w:rsidR="00073F8F" w:rsidRPr="001B4A02" w:rsidRDefault="00000000" w:rsidP="00ED48A3">
            <w:pPr>
              <w:pStyle w:val="EMEANormal"/>
              <w:keepNext/>
              <w:tabs>
                <w:tab w:val="clear" w:pos="562"/>
                <w:tab w:val="left" w:pos="708"/>
              </w:tabs>
              <w:suppressAutoHyphens w:val="0"/>
              <w:jc w:val="center"/>
              <w:rPr>
                <w:del w:id="6952" w:author="AbbVie1" w:date="2025-05-13T09:50:00Z"/>
                <w:b/>
                <w:bCs/>
                <w:lang w:val="cs-CZ"/>
              </w:rPr>
            </w:pPr>
            <w:del w:id="6953" w:author="AbbVie1" w:date="2025-05-13T09:50:00Z">
              <w:r>
                <w:rPr>
                  <w:b/>
                  <w:bCs/>
                  <w:lang w:val="cs-CZ"/>
                </w:rPr>
                <w:delText>n</w:delText>
              </w:r>
              <w:r w:rsidRPr="001B4A02">
                <w:rPr>
                  <w:b/>
                  <w:bCs/>
                  <w:lang w:val="cs-CZ"/>
                </w:rPr>
                <w:delText>=170</w:delText>
              </w:r>
            </w:del>
          </w:p>
        </w:tc>
        <w:tc>
          <w:tcPr>
            <w:tcW w:w="2303" w:type="dxa"/>
            <w:tcBorders>
              <w:top w:val="single" w:sz="4" w:space="0" w:color="auto"/>
              <w:left w:val="single" w:sz="4" w:space="0" w:color="auto"/>
              <w:bottom w:val="single" w:sz="4" w:space="0" w:color="auto"/>
              <w:right w:val="single" w:sz="4" w:space="0" w:color="auto"/>
            </w:tcBorders>
          </w:tcPr>
          <w:p w14:paraId="0B4A3FF5" w14:textId="77777777" w:rsidR="00073F8F" w:rsidRPr="001B4A02" w:rsidRDefault="00000000" w:rsidP="00ED48A3">
            <w:pPr>
              <w:pStyle w:val="EMEANormal"/>
              <w:keepNext/>
              <w:tabs>
                <w:tab w:val="clear" w:pos="562"/>
                <w:tab w:val="left" w:pos="708"/>
              </w:tabs>
              <w:suppressAutoHyphens w:val="0"/>
              <w:jc w:val="center"/>
              <w:rPr>
                <w:del w:id="6954" w:author="AbbVie1" w:date="2025-05-13T09:50:00Z"/>
                <w:b/>
                <w:bCs/>
                <w:lang w:val="cs-CZ"/>
              </w:rPr>
            </w:pPr>
            <w:del w:id="6955" w:author="AbbVie1" w:date="2025-05-13T09:50:00Z">
              <w:r>
                <w:rPr>
                  <w:b/>
                  <w:bCs/>
                  <w:lang w:val="cs-CZ"/>
                </w:rPr>
                <w:delText>n</w:delText>
              </w:r>
              <w:r w:rsidRPr="001B4A02">
                <w:rPr>
                  <w:b/>
                  <w:bCs/>
                  <w:lang w:val="cs-CZ"/>
                </w:rPr>
                <w:delText>=172</w:delText>
              </w:r>
            </w:del>
          </w:p>
        </w:tc>
        <w:tc>
          <w:tcPr>
            <w:tcW w:w="2303" w:type="dxa"/>
            <w:tcBorders>
              <w:top w:val="single" w:sz="4" w:space="0" w:color="auto"/>
              <w:left w:val="single" w:sz="4" w:space="0" w:color="auto"/>
              <w:bottom w:val="single" w:sz="4" w:space="0" w:color="auto"/>
              <w:right w:val="single" w:sz="4" w:space="0" w:color="auto"/>
            </w:tcBorders>
          </w:tcPr>
          <w:p w14:paraId="3A843F2B" w14:textId="77777777" w:rsidR="00073F8F" w:rsidRPr="001B4A02" w:rsidRDefault="00000000" w:rsidP="00ED48A3">
            <w:pPr>
              <w:pStyle w:val="EMEANormal"/>
              <w:keepNext/>
              <w:tabs>
                <w:tab w:val="clear" w:pos="562"/>
                <w:tab w:val="left" w:pos="708"/>
              </w:tabs>
              <w:suppressAutoHyphens w:val="0"/>
              <w:jc w:val="center"/>
              <w:rPr>
                <w:del w:id="6956" w:author="AbbVie1" w:date="2025-05-13T09:50:00Z"/>
                <w:b/>
                <w:bCs/>
                <w:lang w:val="cs-CZ"/>
              </w:rPr>
            </w:pPr>
            <w:del w:id="6957" w:author="AbbVie1" w:date="2025-05-13T09:50:00Z">
              <w:r>
                <w:rPr>
                  <w:b/>
                  <w:bCs/>
                  <w:lang w:val="cs-CZ"/>
                </w:rPr>
                <w:delText>n</w:delText>
              </w:r>
              <w:r w:rsidRPr="001B4A02">
                <w:rPr>
                  <w:b/>
                  <w:bCs/>
                  <w:lang w:val="cs-CZ"/>
                </w:rPr>
                <w:delText>=157</w:delText>
              </w:r>
            </w:del>
          </w:p>
        </w:tc>
      </w:tr>
      <w:tr w:rsidR="00534A2D" w14:paraId="58B6E32A" w14:textId="77777777" w:rsidTr="008D783A">
        <w:trPr>
          <w:del w:id="6958" w:author="AbbVie1" w:date="2025-05-13T09:50:00Z"/>
        </w:trPr>
        <w:tc>
          <w:tcPr>
            <w:tcW w:w="3047" w:type="dxa"/>
            <w:tcBorders>
              <w:top w:val="single" w:sz="4" w:space="0" w:color="auto"/>
              <w:left w:val="single" w:sz="4" w:space="0" w:color="auto"/>
              <w:bottom w:val="single" w:sz="4" w:space="0" w:color="auto"/>
              <w:right w:val="single" w:sz="4" w:space="0" w:color="auto"/>
            </w:tcBorders>
          </w:tcPr>
          <w:p w14:paraId="64253054" w14:textId="77777777" w:rsidR="00073F8F" w:rsidRPr="001B4A02" w:rsidRDefault="00000000" w:rsidP="00ED48A3">
            <w:pPr>
              <w:pStyle w:val="EMEANormal"/>
              <w:keepNext/>
              <w:tabs>
                <w:tab w:val="clear" w:pos="562"/>
                <w:tab w:val="left" w:pos="708"/>
              </w:tabs>
              <w:suppressAutoHyphens w:val="0"/>
              <w:rPr>
                <w:del w:id="6959" w:author="AbbVie1" w:date="2025-05-13T09:50:00Z"/>
                <w:lang w:val="cs-CZ"/>
              </w:rPr>
            </w:pPr>
            <w:del w:id="6960" w:author="AbbVie1" w:date="2025-05-13T09:50:00Z">
              <w:r w:rsidRPr="001B4A02">
                <w:rPr>
                  <w:lang w:val="cs-CZ"/>
                </w:rPr>
                <w:delText>Klinická remise</w:delText>
              </w:r>
            </w:del>
          </w:p>
        </w:tc>
        <w:tc>
          <w:tcPr>
            <w:tcW w:w="1558" w:type="dxa"/>
            <w:tcBorders>
              <w:top w:val="single" w:sz="4" w:space="0" w:color="auto"/>
              <w:left w:val="single" w:sz="4" w:space="0" w:color="auto"/>
              <w:bottom w:val="single" w:sz="4" w:space="0" w:color="auto"/>
              <w:right w:val="single" w:sz="4" w:space="0" w:color="auto"/>
            </w:tcBorders>
          </w:tcPr>
          <w:p w14:paraId="01BC006E" w14:textId="77777777" w:rsidR="00073F8F" w:rsidRPr="001B4A02" w:rsidRDefault="00000000" w:rsidP="00ED48A3">
            <w:pPr>
              <w:pStyle w:val="EMEANormal"/>
              <w:keepNext/>
              <w:tabs>
                <w:tab w:val="clear" w:pos="562"/>
                <w:tab w:val="left" w:pos="708"/>
              </w:tabs>
              <w:suppressAutoHyphens w:val="0"/>
              <w:jc w:val="center"/>
              <w:rPr>
                <w:del w:id="6961" w:author="AbbVie1" w:date="2025-05-13T09:50:00Z"/>
                <w:lang w:val="cs-CZ"/>
              </w:rPr>
            </w:pPr>
            <w:del w:id="6962" w:author="AbbVie1" w:date="2025-05-13T09:50:00Z">
              <w:r w:rsidRPr="001B4A02">
                <w:rPr>
                  <w:lang w:val="cs-CZ"/>
                </w:rPr>
                <w:delText>17</w:delText>
              </w:r>
              <w:r w:rsidR="001E10EB" w:rsidRPr="001B4A02">
                <w:rPr>
                  <w:lang w:val="cs-CZ"/>
                </w:rPr>
                <w:delText> </w:delText>
              </w:r>
              <w:r w:rsidRPr="001B4A02">
                <w:rPr>
                  <w:lang w:val="cs-CZ"/>
                </w:rPr>
                <w:delText>%</w:delText>
              </w:r>
            </w:del>
          </w:p>
        </w:tc>
        <w:tc>
          <w:tcPr>
            <w:tcW w:w="2303" w:type="dxa"/>
            <w:tcBorders>
              <w:top w:val="single" w:sz="4" w:space="0" w:color="auto"/>
              <w:left w:val="single" w:sz="4" w:space="0" w:color="auto"/>
              <w:bottom w:val="single" w:sz="4" w:space="0" w:color="auto"/>
              <w:right w:val="single" w:sz="4" w:space="0" w:color="auto"/>
            </w:tcBorders>
          </w:tcPr>
          <w:p w14:paraId="24691D62" w14:textId="77777777" w:rsidR="00073F8F" w:rsidRPr="001B4A02" w:rsidRDefault="00000000" w:rsidP="00ED48A3">
            <w:pPr>
              <w:pStyle w:val="EMEANormal"/>
              <w:keepNext/>
              <w:tabs>
                <w:tab w:val="clear" w:pos="562"/>
                <w:tab w:val="left" w:pos="708"/>
              </w:tabs>
              <w:suppressAutoHyphens w:val="0"/>
              <w:jc w:val="center"/>
              <w:rPr>
                <w:del w:id="6963" w:author="AbbVie1" w:date="2025-05-13T09:50:00Z"/>
                <w:lang w:val="cs-CZ"/>
              </w:rPr>
            </w:pPr>
            <w:del w:id="6964" w:author="AbbVie1" w:date="2025-05-13T09:50:00Z">
              <w:r w:rsidRPr="001B4A02">
                <w:rPr>
                  <w:lang w:val="cs-CZ"/>
                </w:rPr>
                <w:delText>40</w:delText>
              </w:r>
              <w:r w:rsidR="001E10EB" w:rsidRPr="001B4A02">
                <w:rPr>
                  <w:lang w:val="cs-CZ"/>
                </w:rPr>
                <w:delText> </w:delText>
              </w:r>
              <w:r w:rsidRPr="001B4A02">
                <w:rPr>
                  <w:lang w:val="cs-CZ"/>
                </w:rPr>
                <w:delText>%</w:delText>
              </w:r>
              <w:r w:rsidRPr="001B4A02">
                <w:rPr>
                  <w:rFonts w:ascii="Symbol" w:hAnsi="Symbol"/>
                  <w:vertAlign w:val="superscript"/>
                  <w:lang w:val="cs-CZ"/>
                </w:rPr>
                <w:sym w:font="Symbol" w:char="F02A"/>
              </w:r>
            </w:del>
          </w:p>
        </w:tc>
        <w:tc>
          <w:tcPr>
            <w:tcW w:w="2303" w:type="dxa"/>
            <w:tcBorders>
              <w:top w:val="single" w:sz="4" w:space="0" w:color="auto"/>
              <w:left w:val="single" w:sz="4" w:space="0" w:color="auto"/>
              <w:bottom w:val="single" w:sz="4" w:space="0" w:color="auto"/>
              <w:right w:val="single" w:sz="4" w:space="0" w:color="auto"/>
            </w:tcBorders>
          </w:tcPr>
          <w:p w14:paraId="6F98EC87" w14:textId="77777777" w:rsidR="00073F8F" w:rsidRPr="001B4A02" w:rsidRDefault="00000000" w:rsidP="00ED48A3">
            <w:pPr>
              <w:pStyle w:val="EMEANormal"/>
              <w:keepNext/>
              <w:tabs>
                <w:tab w:val="clear" w:pos="562"/>
                <w:tab w:val="left" w:pos="708"/>
              </w:tabs>
              <w:suppressAutoHyphens w:val="0"/>
              <w:jc w:val="center"/>
              <w:rPr>
                <w:del w:id="6965" w:author="AbbVie1" w:date="2025-05-13T09:50:00Z"/>
                <w:lang w:val="cs-CZ"/>
              </w:rPr>
            </w:pPr>
            <w:del w:id="6966" w:author="AbbVie1" w:date="2025-05-13T09:50:00Z">
              <w:r w:rsidRPr="001B4A02">
                <w:rPr>
                  <w:lang w:val="cs-CZ"/>
                </w:rPr>
                <w:delText>47</w:delText>
              </w:r>
              <w:r w:rsidR="001E10EB" w:rsidRPr="001B4A02">
                <w:rPr>
                  <w:lang w:val="cs-CZ"/>
                </w:rPr>
                <w:delText> </w:delText>
              </w:r>
              <w:r w:rsidRPr="001B4A02">
                <w:rPr>
                  <w:lang w:val="cs-CZ"/>
                </w:rPr>
                <w:delText>%</w:delText>
              </w:r>
              <w:r w:rsidRPr="001B4A02">
                <w:rPr>
                  <w:rFonts w:ascii="Symbol" w:hAnsi="Symbol"/>
                  <w:vertAlign w:val="superscript"/>
                  <w:lang w:val="cs-CZ"/>
                </w:rPr>
                <w:sym w:font="Symbol" w:char="F02A"/>
              </w:r>
            </w:del>
          </w:p>
        </w:tc>
      </w:tr>
      <w:tr w:rsidR="00534A2D" w14:paraId="0042BE8F" w14:textId="77777777" w:rsidTr="008D783A">
        <w:trPr>
          <w:del w:id="6967" w:author="AbbVie1" w:date="2025-05-13T09:50:00Z"/>
        </w:trPr>
        <w:tc>
          <w:tcPr>
            <w:tcW w:w="3047" w:type="dxa"/>
            <w:tcBorders>
              <w:top w:val="single" w:sz="4" w:space="0" w:color="auto"/>
              <w:left w:val="single" w:sz="4" w:space="0" w:color="auto"/>
              <w:bottom w:val="single" w:sz="4" w:space="0" w:color="auto"/>
              <w:right w:val="single" w:sz="4" w:space="0" w:color="auto"/>
            </w:tcBorders>
          </w:tcPr>
          <w:p w14:paraId="7B35A04A" w14:textId="77777777" w:rsidR="00073F8F" w:rsidRPr="001B4A02" w:rsidRDefault="00000000" w:rsidP="00ED48A3">
            <w:pPr>
              <w:pStyle w:val="EMEANormal"/>
              <w:keepNext/>
              <w:tabs>
                <w:tab w:val="clear" w:pos="562"/>
                <w:tab w:val="left" w:pos="708"/>
              </w:tabs>
              <w:suppressAutoHyphens w:val="0"/>
              <w:rPr>
                <w:del w:id="6968" w:author="AbbVie1" w:date="2025-05-13T09:50:00Z"/>
                <w:lang w:val="cs-CZ"/>
              </w:rPr>
            </w:pPr>
            <w:del w:id="6969" w:author="AbbVie1" w:date="2025-05-13T09:50:00Z">
              <w:r w:rsidRPr="001B4A02">
                <w:rPr>
                  <w:lang w:val="cs-CZ"/>
                </w:rPr>
                <w:delText>Klinická odpověď (CR-100)</w:delText>
              </w:r>
            </w:del>
          </w:p>
        </w:tc>
        <w:tc>
          <w:tcPr>
            <w:tcW w:w="1558" w:type="dxa"/>
            <w:tcBorders>
              <w:top w:val="single" w:sz="4" w:space="0" w:color="auto"/>
              <w:left w:val="single" w:sz="4" w:space="0" w:color="auto"/>
              <w:bottom w:val="single" w:sz="4" w:space="0" w:color="auto"/>
              <w:right w:val="single" w:sz="4" w:space="0" w:color="auto"/>
            </w:tcBorders>
          </w:tcPr>
          <w:p w14:paraId="53533583" w14:textId="77777777" w:rsidR="00073F8F" w:rsidRPr="001B4A02" w:rsidRDefault="00000000" w:rsidP="00ED48A3">
            <w:pPr>
              <w:pStyle w:val="EMEANormal"/>
              <w:keepNext/>
              <w:tabs>
                <w:tab w:val="clear" w:pos="562"/>
                <w:tab w:val="left" w:pos="708"/>
              </w:tabs>
              <w:suppressAutoHyphens w:val="0"/>
              <w:jc w:val="center"/>
              <w:rPr>
                <w:del w:id="6970" w:author="AbbVie1" w:date="2025-05-13T09:50:00Z"/>
                <w:lang w:val="cs-CZ"/>
              </w:rPr>
            </w:pPr>
            <w:del w:id="6971" w:author="AbbVie1" w:date="2025-05-13T09:50:00Z">
              <w:r w:rsidRPr="001B4A02">
                <w:rPr>
                  <w:lang w:val="cs-CZ"/>
                </w:rPr>
                <w:delText>27</w:delText>
              </w:r>
              <w:r w:rsidR="001E10EB" w:rsidRPr="001B4A02">
                <w:rPr>
                  <w:lang w:val="cs-CZ"/>
                </w:rPr>
                <w:delText> </w:delText>
              </w:r>
              <w:r w:rsidRPr="001B4A02">
                <w:rPr>
                  <w:lang w:val="cs-CZ"/>
                </w:rPr>
                <w:delText>%</w:delText>
              </w:r>
            </w:del>
          </w:p>
        </w:tc>
        <w:tc>
          <w:tcPr>
            <w:tcW w:w="2303" w:type="dxa"/>
            <w:tcBorders>
              <w:top w:val="single" w:sz="4" w:space="0" w:color="auto"/>
              <w:left w:val="single" w:sz="4" w:space="0" w:color="auto"/>
              <w:bottom w:val="single" w:sz="4" w:space="0" w:color="auto"/>
              <w:right w:val="single" w:sz="4" w:space="0" w:color="auto"/>
            </w:tcBorders>
          </w:tcPr>
          <w:p w14:paraId="3A38BB88" w14:textId="77777777" w:rsidR="00073F8F" w:rsidRPr="001B4A02" w:rsidRDefault="00000000" w:rsidP="00ED48A3">
            <w:pPr>
              <w:pStyle w:val="EMEANormal"/>
              <w:keepNext/>
              <w:tabs>
                <w:tab w:val="clear" w:pos="562"/>
                <w:tab w:val="left" w:pos="708"/>
              </w:tabs>
              <w:suppressAutoHyphens w:val="0"/>
              <w:jc w:val="center"/>
              <w:rPr>
                <w:del w:id="6972" w:author="AbbVie1" w:date="2025-05-13T09:50:00Z"/>
                <w:lang w:val="cs-CZ"/>
              </w:rPr>
            </w:pPr>
            <w:del w:id="6973" w:author="AbbVie1" w:date="2025-05-13T09:50:00Z">
              <w:r w:rsidRPr="001B4A02">
                <w:rPr>
                  <w:lang w:val="cs-CZ"/>
                </w:rPr>
                <w:delText>52</w:delText>
              </w:r>
              <w:r w:rsidR="001E10EB" w:rsidRPr="001B4A02">
                <w:rPr>
                  <w:lang w:val="cs-CZ"/>
                </w:rPr>
                <w:delText> </w:delText>
              </w:r>
              <w:r w:rsidRPr="001B4A02">
                <w:rPr>
                  <w:lang w:val="cs-CZ"/>
                </w:rPr>
                <w:delText>%</w:delText>
              </w:r>
              <w:r w:rsidRPr="001B4A02">
                <w:rPr>
                  <w:rFonts w:ascii="Symbol" w:hAnsi="Symbol"/>
                  <w:vertAlign w:val="superscript"/>
                  <w:lang w:val="cs-CZ"/>
                </w:rPr>
                <w:sym w:font="Symbol" w:char="F02A"/>
              </w:r>
            </w:del>
          </w:p>
        </w:tc>
        <w:tc>
          <w:tcPr>
            <w:tcW w:w="2303" w:type="dxa"/>
            <w:tcBorders>
              <w:top w:val="single" w:sz="4" w:space="0" w:color="auto"/>
              <w:left w:val="single" w:sz="4" w:space="0" w:color="auto"/>
              <w:bottom w:val="single" w:sz="4" w:space="0" w:color="auto"/>
              <w:right w:val="single" w:sz="4" w:space="0" w:color="auto"/>
            </w:tcBorders>
          </w:tcPr>
          <w:p w14:paraId="2D7F1B30" w14:textId="77777777" w:rsidR="00073F8F" w:rsidRPr="001B4A02" w:rsidRDefault="00000000" w:rsidP="00ED48A3">
            <w:pPr>
              <w:pStyle w:val="EMEANormal"/>
              <w:keepNext/>
              <w:tabs>
                <w:tab w:val="clear" w:pos="562"/>
                <w:tab w:val="left" w:pos="708"/>
              </w:tabs>
              <w:suppressAutoHyphens w:val="0"/>
              <w:jc w:val="center"/>
              <w:rPr>
                <w:del w:id="6974" w:author="AbbVie1" w:date="2025-05-13T09:50:00Z"/>
                <w:lang w:val="cs-CZ"/>
              </w:rPr>
            </w:pPr>
            <w:del w:id="6975" w:author="AbbVie1" w:date="2025-05-13T09:50:00Z">
              <w:r w:rsidRPr="001B4A02">
                <w:rPr>
                  <w:lang w:val="cs-CZ"/>
                </w:rPr>
                <w:delText>52</w:delText>
              </w:r>
              <w:r w:rsidR="001E10EB" w:rsidRPr="001B4A02">
                <w:rPr>
                  <w:lang w:val="cs-CZ"/>
                </w:rPr>
                <w:delText> </w:delText>
              </w:r>
              <w:r w:rsidRPr="001B4A02">
                <w:rPr>
                  <w:lang w:val="cs-CZ"/>
                </w:rPr>
                <w:delText>%</w:delText>
              </w:r>
              <w:r w:rsidRPr="001B4A02">
                <w:rPr>
                  <w:rFonts w:ascii="Symbol" w:hAnsi="Symbol"/>
                  <w:vertAlign w:val="superscript"/>
                  <w:lang w:val="cs-CZ"/>
                </w:rPr>
                <w:sym w:font="Symbol" w:char="F02A"/>
              </w:r>
            </w:del>
          </w:p>
        </w:tc>
      </w:tr>
      <w:tr w:rsidR="00534A2D" w14:paraId="27D0E45C" w14:textId="77777777" w:rsidTr="008D783A">
        <w:trPr>
          <w:del w:id="6976" w:author="AbbVie1" w:date="2025-05-13T09:50:00Z"/>
        </w:trPr>
        <w:tc>
          <w:tcPr>
            <w:tcW w:w="3047" w:type="dxa"/>
            <w:tcBorders>
              <w:top w:val="single" w:sz="4" w:space="0" w:color="auto"/>
              <w:left w:val="single" w:sz="4" w:space="0" w:color="auto"/>
              <w:bottom w:val="single" w:sz="4" w:space="0" w:color="auto"/>
              <w:right w:val="single" w:sz="4" w:space="0" w:color="auto"/>
            </w:tcBorders>
          </w:tcPr>
          <w:p w14:paraId="1B951751" w14:textId="77777777" w:rsidR="00073F8F" w:rsidRPr="001B4A02" w:rsidRDefault="00000000" w:rsidP="00ED48A3">
            <w:pPr>
              <w:pStyle w:val="EMEANormal"/>
              <w:keepNext/>
              <w:tabs>
                <w:tab w:val="clear" w:pos="562"/>
                <w:tab w:val="left" w:pos="708"/>
              </w:tabs>
              <w:suppressAutoHyphens w:val="0"/>
              <w:ind w:left="284"/>
              <w:rPr>
                <w:del w:id="6977" w:author="AbbVie1" w:date="2025-05-13T09:50:00Z"/>
                <w:lang w:val="cs-CZ"/>
              </w:rPr>
            </w:pPr>
            <w:del w:id="6978" w:author="AbbVie1" w:date="2025-05-13T09:50:00Z">
              <w:r w:rsidRPr="001B4A02">
                <w:rPr>
                  <w:lang w:val="cs-CZ"/>
                </w:rPr>
                <w:delText xml:space="preserve">Pacienti v remisi bez užívání steroidů po dobu </w:delText>
              </w:r>
              <w:r w:rsidR="009D2A3C" w:rsidRPr="001B4A02">
                <w:rPr>
                  <w:rFonts w:ascii="Symbol" w:hAnsi="Symbol"/>
                  <w:lang w:val="cs-CZ"/>
                </w:rPr>
                <w:sym w:font="Symbol" w:char="F0B3"/>
              </w:r>
              <w:r w:rsidRPr="001B4A02">
                <w:rPr>
                  <w:lang w:val="cs-CZ"/>
                </w:rPr>
                <w:delText> 90 dní</w:delText>
              </w:r>
              <w:r w:rsidRPr="001B4A02">
                <w:rPr>
                  <w:vertAlign w:val="superscript"/>
                  <w:lang w:val="cs-CZ"/>
                </w:rPr>
                <w:delText>a</w:delText>
              </w:r>
            </w:del>
          </w:p>
        </w:tc>
        <w:tc>
          <w:tcPr>
            <w:tcW w:w="1558" w:type="dxa"/>
            <w:tcBorders>
              <w:top w:val="single" w:sz="4" w:space="0" w:color="auto"/>
              <w:left w:val="single" w:sz="4" w:space="0" w:color="auto"/>
              <w:bottom w:val="single" w:sz="4" w:space="0" w:color="auto"/>
              <w:right w:val="single" w:sz="4" w:space="0" w:color="auto"/>
            </w:tcBorders>
          </w:tcPr>
          <w:p w14:paraId="41AC4E14" w14:textId="77777777" w:rsidR="00073F8F" w:rsidRPr="001B4A02" w:rsidRDefault="00000000" w:rsidP="00ED48A3">
            <w:pPr>
              <w:pStyle w:val="EMEANormal"/>
              <w:keepNext/>
              <w:tabs>
                <w:tab w:val="clear" w:pos="562"/>
                <w:tab w:val="left" w:pos="708"/>
              </w:tabs>
              <w:suppressAutoHyphens w:val="0"/>
              <w:jc w:val="center"/>
              <w:rPr>
                <w:del w:id="6979" w:author="AbbVie1" w:date="2025-05-13T09:50:00Z"/>
                <w:lang w:val="cs-CZ"/>
              </w:rPr>
            </w:pPr>
            <w:del w:id="6980" w:author="AbbVie1" w:date="2025-05-13T09:50:00Z">
              <w:r w:rsidRPr="001B4A02">
                <w:rPr>
                  <w:lang w:val="cs-CZ"/>
                </w:rPr>
                <w:delText>3</w:delText>
              </w:r>
              <w:r w:rsidR="001E10EB" w:rsidRPr="001B4A02">
                <w:rPr>
                  <w:lang w:val="cs-CZ"/>
                </w:rPr>
                <w:delText> </w:delText>
              </w:r>
              <w:r w:rsidRPr="001B4A02">
                <w:rPr>
                  <w:lang w:val="cs-CZ"/>
                </w:rPr>
                <w:delText>% (2 z 66)</w:delText>
              </w:r>
            </w:del>
          </w:p>
        </w:tc>
        <w:tc>
          <w:tcPr>
            <w:tcW w:w="2303" w:type="dxa"/>
            <w:tcBorders>
              <w:top w:val="single" w:sz="4" w:space="0" w:color="auto"/>
              <w:left w:val="single" w:sz="4" w:space="0" w:color="auto"/>
              <w:bottom w:val="single" w:sz="4" w:space="0" w:color="auto"/>
              <w:right w:val="single" w:sz="4" w:space="0" w:color="auto"/>
            </w:tcBorders>
          </w:tcPr>
          <w:p w14:paraId="0A3C1A5A" w14:textId="77777777" w:rsidR="00073F8F" w:rsidRPr="001B4A02" w:rsidRDefault="00000000" w:rsidP="00ED48A3">
            <w:pPr>
              <w:pStyle w:val="EMEANormal"/>
              <w:keepNext/>
              <w:tabs>
                <w:tab w:val="clear" w:pos="562"/>
                <w:tab w:val="left" w:pos="708"/>
              </w:tabs>
              <w:suppressAutoHyphens w:val="0"/>
              <w:jc w:val="center"/>
              <w:rPr>
                <w:del w:id="6981" w:author="AbbVie1" w:date="2025-05-13T09:50:00Z"/>
                <w:lang w:val="cs-CZ"/>
              </w:rPr>
            </w:pPr>
            <w:del w:id="6982" w:author="AbbVie1" w:date="2025-05-13T09:50:00Z">
              <w:r w:rsidRPr="001B4A02">
                <w:rPr>
                  <w:lang w:val="cs-CZ"/>
                </w:rPr>
                <w:delText>19</w:delText>
              </w:r>
              <w:r w:rsidR="001E10EB" w:rsidRPr="001B4A02">
                <w:rPr>
                  <w:lang w:val="cs-CZ"/>
                </w:rPr>
                <w:delText> </w:delText>
              </w:r>
              <w:r w:rsidRPr="001B4A02">
                <w:rPr>
                  <w:lang w:val="cs-CZ"/>
                </w:rPr>
                <w:delText>% (11 z 58)</w:delText>
              </w:r>
              <w:r w:rsidRPr="001B4A02">
                <w:rPr>
                  <w:vertAlign w:val="superscript"/>
                  <w:lang w:val="cs-CZ"/>
                </w:rPr>
                <w:delText xml:space="preserve"> </w:delText>
              </w:r>
              <w:r w:rsidRPr="001B4A02">
                <w:rPr>
                  <w:rFonts w:ascii="Symbol" w:hAnsi="Symbol"/>
                  <w:vertAlign w:val="superscript"/>
                  <w:lang w:val="cs-CZ"/>
                </w:rPr>
                <w:sym w:font="Symbol" w:char="F02A"/>
              </w:r>
              <w:r w:rsidRPr="001B4A02">
                <w:rPr>
                  <w:rFonts w:ascii="Symbol" w:hAnsi="Symbol"/>
                  <w:vertAlign w:val="superscript"/>
                  <w:lang w:val="cs-CZ"/>
                </w:rPr>
                <w:sym w:font="Symbol" w:char="F02A"/>
              </w:r>
            </w:del>
          </w:p>
        </w:tc>
        <w:tc>
          <w:tcPr>
            <w:tcW w:w="2303" w:type="dxa"/>
            <w:tcBorders>
              <w:top w:val="single" w:sz="4" w:space="0" w:color="auto"/>
              <w:left w:val="single" w:sz="4" w:space="0" w:color="auto"/>
              <w:bottom w:val="single" w:sz="4" w:space="0" w:color="auto"/>
              <w:right w:val="single" w:sz="4" w:space="0" w:color="auto"/>
            </w:tcBorders>
          </w:tcPr>
          <w:p w14:paraId="3ECBB44E" w14:textId="77777777" w:rsidR="00073F8F" w:rsidRPr="001B4A02" w:rsidRDefault="00000000" w:rsidP="00ED48A3">
            <w:pPr>
              <w:pStyle w:val="EMEANormal"/>
              <w:keepNext/>
              <w:tabs>
                <w:tab w:val="clear" w:pos="562"/>
                <w:tab w:val="left" w:pos="708"/>
              </w:tabs>
              <w:suppressAutoHyphens w:val="0"/>
              <w:jc w:val="center"/>
              <w:rPr>
                <w:del w:id="6983" w:author="AbbVie1" w:date="2025-05-13T09:50:00Z"/>
                <w:lang w:val="cs-CZ"/>
              </w:rPr>
            </w:pPr>
            <w:del w:id="6984" w:author="AbbVie1" w:date="2025-05-13T09:50:00Z">
              <w:r w:rsidRPr="001B4A02">
                <w:rPr>
                  <w:lang w:val="cs-CZ"/>
                </w:rPr>
                <w:delText>15</w:delText>
              </w:r>
              <w:r w:rsidR="001E10EB" w:rsidRPr="001B4A02">
                <w:rPr>
                  <w:lang w:val="cs-CZ"/>
                </w:rPr>
                <w:delText> </w:delText>
              </w:r>
              <w:r w:rsidRPr="001B4A02">
                <w:rPr>
                  <w:lang w:val="cs-CZ"/>
                </w:rPr>
                <w:delText>% (11 ze 74)</w:delText>
              </w:r>
              <w:r w:rsidRPr="001B4A02">
                <w:rPr>
                  <w:vertAlign w:val="superscript"/>
                  <w:lang w:val="cs-CZ"/>
                </w:rPr>
                <w:delText xml:space="preserve"> </w:delText>
              </w:r>
              <w:r w:rsidRPr="001B4A02">
                <w:rPr>
                  <w:rFonts w:ascii="Symbol" w:hAnsi="Symbol"/>
                  <w:vertAlign w:val="superscript"/>
                  <w:lang w:val="cs-CZ"/>
                </w:rPr>
                <w:sym w:font="Symbol" w:char="F02A"/>
              </w:r>
              <w:r w:rsidRPr="001B4A02">
                <w:rPr>
                  <w:rFonts w:ascii="Symbol" w:hAnsi="Symbol"/>
                  <w:vertAlign w:val="superscript"/>
                  <w:lang w:val="cs-CZ"/>
                </w:rPr>
                <w:sym w:font="Symbol" w:char="F02A"/>
              </w:r>
            </w:del>
          </w:p>
        </w:tc>
      </w:tr>
      <w:tr w:rsidR="00534A2D" w14:paraId="6BF623CA" w14:textId="77777777" w:rsidTr="008D783A">
        <w:trPr>
          <w:del w:id="6985" w:author="AbbVie1" w:date="2025-05-13T09:50:00Z"/>
        </w:trPr>
        <w:tc>
          <w:tcPr>
            <w:tcW w:w="3047" w:type="dxa"/>
            <w:tcBorders>
              <w:top w:val="single" w:sz="4" w:space="0" w:color="auto"/>
              <w:left w:val="single" w:sz="4" w:space="0" w:color="auto"/>
              <w:bottom w:val="single" w:sz="4" w:space="0" w:color="auto"/>
              <w:right w:val="single" w:sz="4" w:space="0" w:color="auto"/>
            </w:tcBorders>
          </w:tcPr>
          <w:p w14:paraId="13D576F7" w14:textId="77777777" w:rsidR="00073F8F" w:rsidRPr="001B4A02" w:rsidRDefault="00000000" w:rsidP="00ED48A3">
            <w:pPr>
              <w:pStyle w:val="EMEANormal"/>
              <w:keepNext/>
              <w:tabs>
                <w:tab w:val="clear" w:pos="562"/>
                <w:tab w:val="left" w:pos="708"/>
              </w:tabs>
              <w:suppressAutoHyphens w:val="0"/>
              <w:rPr>
                <w:del w:id="6986" w:author="AbbVie1" w:date="2025-05-13T09:50:00Z"/>
                <w:b/>
                <w:bCs/>
                <w:lang w:val="cs-CZ"/>
              </w:rPr>
            </w:pPr>
            <w:del w:id="6987" w:author="AbbVie1" w:date="2025-05-13T09:50:00Z">
              <w:r w:rsidRPr="001B4A02">
                <w:rPr>
                  <w:b/>
                  <w:bCs/>
                  <w:lang w:val="cs-CZ"/>
                </w:rPr>
                <w:delText>Týden 56</w:delText>
              </w:r>
            </w:del>
          </w:p>
        </w:tc>
        <w:tc>
          <w:tcPr>
            <w:tcW w:w="1558" w:type="dxa"/>
            <w:tcBorders>
              <w:top w:val="single" w:sz="4" w:space="0" w:color="auto"/>
              <w:left w:val="single" w:sz="4" w:space="0" w:color="auto"/>
              <w:bottom w:val="single" w:sz="4" w:space="0" w:color="auto"/>
              <w:right w:val="single" w:sz="4" w:space="0" w:color="auto"/>
            </w:tcBorders>
          </w:tcPr>
          <w:p w14:paraId="7F419787" w14:textId="77777777" w:rsidR="00073F8F" w:rsidRPr="001B4A02" w:rsidRDefault="00000000" w:rsidP="00ED48A3">
            <w:pPr>
              <w:pStyle w:val="EMEANormal"/>
              <w:keepNext/>
              <w:tabs>
                <w:tab w:val="clear" w:pos="562"/>
                <w:tab w:val="left" w:pos="708"/>
              </w:tabs>
              <w:suppressAutoHyphens w:val="0"/>
              <w:jc w:val="center"/>
              <w:rPr>
                <w:del w:id="6988" w:author="AbbVie1" w:date="2025-05-13T09:50:00Z"/>
                <w:b/>
                <w:bCs/>
                <w:lang w:val="cs-CZ"/>
              </w:rPr>
            </w:pPr>
            <w:del w:id="6989" w:author="AbbVie1" w:date="2025-05-13T09:50:00Z">
              <w:r>
                <w:rPr>
                  <w:b/>
                  <w:bCs/>
                  <w:lang w:val="cs-CZ"/>
                </w:rPr>
                <w:delText>n</w:delText>
              </w:r>
              <w:r w:rsidRPr="001B4A02">
                <w:rPr>
                  <w:b/>
                  <w:bCs/>
                  <w:lang w:val="cs-CZ"/>
                </w:rPr>
                <w:delText>=170</w:delText>
              </w:r>
            </w:del>
          </w:p>
        </w:tc>
        <w:tc>
          <w:tcPr>
            <w:tcW w:w="2303" w:type="dxa"/>
            <w:tcBorders>
              <w:top w:val="single" w:sz="4" w:space="0" w:color="auto"/>
              <w:left w:val="single" w:sz="4" w:space="0" w:color="auto"/>
              <w:bottom w:val="single" w:sz="4" w:space="0" w:color="auto"/>
              <w:right w:val="single" w:sz="4" w:space="0" w:color="auto"/>
            </w:tcBorders>
          </w:tcPr>
          <w:p w14:paraId="125EFFEB" w14:textId="77777777" w:rsidR="00073F8F" w:rsidRPr="001B4A02" w:rsidRDefault="00000000" w:rsidP="00ED48A3">
            <w:pPr>
              <w:pStyle w:val="EMEANormal"/>
              <w:keepNext/>
              <w:tabs>
                <w:tab w:val="clear" w:pos="562"/>
                <w:tab w:val="left" w:pos="708"/>
              </w:tabs>
              <w:suppressAutoHyphens w:val="0"/>
              <w:jc w:val="center"/>
              <w:rPr>
                <w:del w:id="6990" w:author="AbbVie1" w:date="2025-05-13T09:50:00Z"/>
                <w:b/>
                <w:bCs/>
                <w:lang w:val="cs-CZ"/>
              </w:rPr>
            </w:pPr>
            <w:del w:id="6991" w:author="AbbVie1" w:date="2025-05-13T09:50:00Z">
              <w:r>
                <w:rPr>
                  <w:b/>
                  <w:bCs/>
                  <w:lang w:val="cs-CZ"/>
                </w:rPr>
                <w:delText>n</w:delText>
              </w:r>
              <w:r w:rsidRPr="001B4A02">
                <w:rPr>
                  <w:b/>
                  <w:bCs/>
                  <w:lang w:val="cs-CZ"/>
                </w:rPr>
                <w:delText>=172</w:delText>
              </w:r>
            </w:del>
          </w:p>
        </w:tc>
        <w:tc>
          <w:tcPr>
            <w:tcW w:w="2303" w:type="dxa"/>
            <w:tcBorders>
              <w:top w:val="single" w:sz="4" w:space="0" w:color="auto"/>
              <w:left w:val="single" w:sz="4" w:space="0" w:color="auto"/>
              <w:bottom w:val="single" w:sz="4" w:space="0" w:color="auto"/>
              <w:right w:val="single" w:sz="4" w:space="0" w:color="auto"/>
            </w:tcBorders>
          </w:tcPr>
          <w:p w14:paraId="618CA72C" w14:textId="77777777" w:rsidR="00073F8F" w:rsidRPr="001B4A02" w:rsidRDefault="00000000" w:rsidP="00ED48A3">
            <w:pPr>
              <w:pStyle w:val="EMEANormal"/>
              <w:keepNext/>
              <w:tabs>
                <w:tab w:val="clear" w:pos="562"/>
                <w:tab w:val="left" w:pos="708"/>
              </w:tabs>
              <w:suppressAutoHyphens w:val="0"/>
              <w:jc w:val="center"/>
              <w:rPr>
                <w:del w:id="6992" w:author="AbbVie1" w:date="2025-05-13T09:50:00Z"/>
                <w:b/>
                <w:bCs/>
                <w:lang w:val="cs-CZ"/>
              </w:rPr>
            </w:pPr>
            <w:del w:id="6993" w:author="AbbVie1" w:date="2025-05-13T09:50:00Z">
              <w:r>
                <w:rPr>
                  <w:b/>
                  <w:bCs/>
                  <w:lang w:val="cs-CZ"/>
                </w:rPr>
                <w:delText>n</w:delText>
              </w:r>
              <w:r w:rsidRPr="001B4A02">
                <w:rPr>
                  <w:b/>
                  <w:bCs/>
                  <w:lang w:val="cs-CZ"/>
                </w:rPr>
                <w:delText>=157</w:delText>
              </w:r>
            </w:del>
          </w:p>
        </w:tc>
      </w:tr>
      <w:tr w:rsidR="00534A2D" w14:paraId="0841F697" w14:textId="77777777" w:rsidTr="008D783A">
        <w:trPr>
          <w:del w:id="6994" w:author="AbbVie1" w:date="2025-05-13T09:50:00Z"/>
        </w:trPr>
        <w:tc>
          <w:tcPr>
            <w:tcW w:w="3047" w:type="dxa"/>
            <w:tcBorders>
              <w:top w:val="single" w:sz="4" w:space="0" w:color="auto"/>
              <w:left w:val="single" w:sz="4" w:space="0" w:color="auto"/>
              <w:bottom w:val="single" w:sz="4" w:space="0" w:color="auto"/>
              <w:right w:val="single" w:sz="4" w:space="0" w:color="auto"/>
            </w:tcBorders>
          </w:tcPr>
          <w:p w14:paraId="5CC7F04C" w14:textId="77777777" w:rsidR="00073F8F" w:rsidRPr="001B4A02" w:rsidRDefault="00000000" w:rsidP="00ED48A3">
            <w:pPr>
              <w:pStyle w:val="EMEANormal"/>
              <w:keepNext/>
              <w:tabs>
                <w:tab w:val="clear" w:pos="562"/>
                <w:tab w:val="left" w:pos="708"/>
              </w:tabs>
              <w:suppressAutoHyphens w:val="0"/>
              <w:rPr>
                <w:del w:id="6995" w:author="AbbVie1" w:date="2025-05-13T09:50:00Z"/>
                <w:lang w:val="cs-CZ"/>
              </w:rPr>
            </w:pPr>
            <w:del w:id="6996" w:author="AbbVie1" w:date="2025-05-13T09:50:00Z">
              <w:r w:rsidRPr="001B4A02">
                <w:rPr>
                  <w:lang w:val="cs-CZ"/>
                </w:rPr>
                <w:delText>Klinická remise</w:delText>
              </w:r>
            </w:del>
          </w:p>
        </w:tc>
        <w:tc>
          <w:tcPr>
            <w:tcW w:w="1558" w:type="dxa"/>
            <w:tcBorders>
              <w:top w:val="single" w:sz="4" w:space="0" w:color="auto"/>
              <w:left w:val="single" w:sz="4" w:space="0" w:color="auto"/>
              <w:bottom w:val="single" w:sz="4" w:space="0" w:color="auto"/>
              <w:right w:val="single" w:sz="4" w:space="0" w:color="auto"/>
            </w:tcBorders>
          </w:tcPr>
          <w:p w14:paraId="7D5A6D72" w14:textId="77777777" w:rsidR="00073F8F" w:rsidRPr="001B4A02" w:rsidRDefault="00000000" w:rsidP="00ED48A3">
            <w:pPr>
              <w:pStyle w:val="EMEANormal"/>
              <w:keepNext/>
              <w:tabs>
                <w:tab w:val="clear" w:pos="562"/>
                <w:tab w:val="left" w:pos="708"/>
              </w:tabs>
              <w:suppressAutoHyphens w:val="0"/>
              <w:jc w:val="center"/>
              <w:rPr>
                <w:del w:id="6997" w:author="AbbVie1" w:date="2025-05-13T09:50:00Z"/>
                <w:lang w:val="cs-CZ"/>
              </w:rPr>
            </w:pPr>
            <w:del w:id="6998" w:author="AbbVie1" w:date="2025-05-13T09:50:00Z">
              <w:r w:rsidRPr="001B4A02">
                <w:rPr>
                  <w:lang w:val="cs-CZ"/>
                </w:rPr>
                <w:delText>12</w:delText>
              </w:r>
              <w:r w:rsidR="001E10EB" w:rsidRPr="001B4A02">
                <w:rPr>
                  <w:lang w:val="cs-CZ"/>
                </w:rPr>
                <w:delText> </w:delText>
              </w:r>
              <w:r w:rsidRPr="001B4A02">
                <w:rPr>
                  <w:lang w:val="cs-CZ"/>
                </w:rPr>
                <w:delText>%</w:delText>
              </w:r>
            </w:del>
          </w:p>
        </w:tc>
        <w:tc>
          <w:tcPr>
            <w:tcW w:w="2303" w:type="dxa"/>
            <w:tcBorders>
              <w:top w:val="single" w:sz="4" w:space="0" w:color="auto"/>
              <w:left w:val="single" w:sz="4" w:space="0" w:color="auto"/>
              <w:bottom w:val="single" w:sz="4" w:space="0" w:color="auto"/>
              <w:right w:val="single" w:sz="4" w:space="0" w:color="auto"/>
            </w:tcBorders>
          </w:tcPr>
          <w:p w14:paraId="1125A674" w14:textId="77777777" w:rsidR="00073F8F" w:rsidRPr="001B4A02" w:rsidRDefault="00000000" w:rsidP="00ED48A3">
            <w:pPr>
              <w:pStyle w:val="EMEANormal"/>
              <w:keepNext/>
              <w:tabs>
                <w:tab w:val="clear" w:pos="562"/>
                <w:tab w:val="left" w:pos="708"/>
              </w:tabs>
              <w:suppressAutoHyphens w:val="0"/>
              <w:jc w:val="center"/>
              <w:rPr>
                <w:del w:id="6999" w:author="AbbVie1" w:date="2025-05-13T09:50:00Z"/>
                <w:lang w:val="cs-CZ"/>
              </w:rPr>
            </w:pPr>
            <w:del w:id="7000" w:author="AbbVie1" w:date="2025-05-13T09:50:00Z">
              <w:r w:rsidRPr="001B4A02">
                <w:rPr>
                  <w:lang w:val="cs-CZ"/>
                </w:rPr>
                <w:delText>36</w:delText>
              </w:r>
              <w:r w:rsidR="001E10EB" w:rsidRPr="001B4A02">
                <w:rPr>
                  <w:lang w:val="cs-CZ"/>
                </w:rPr>
                <w:delText> </w:delText>
              </w:r>
              <w:r w:rsidRPr="001B4A02">
                <w:rPr>
                  <w:lang w:val="cs-CZ"/>
                </w:rPr>
                <w:delText>%</w:delText>
              </w:r>
              <w:r w:rsidRPr="001B4A02">
                <w:rPr>
                  <w:rFonts w:ascii="Symbol" w:hAnsi="Symbol"/>
                  <w:vertAlign w:val="superscript"/>
                  <w:lang w:val="cs-CZ"/>
                </w:rPr>
                <w:sym w:font="Symbol" w:char="F02A"/>
              </w:r>
            </w:del>
          </w:p>
        </w:tc>
        <w:tc>
          <w:tcPr>
            <w:tcW w:w="2303" w:type="dxa"/>
            <w:tcBorders>
              <w:top w:val="single" w:sz="4" w:space="0" w:color="auto"/>
              <w:left w:val="single" w:sz="4" w:space="0" w:color="auto"/>
              <w:bottom w:val="single" w:sz="4" w:space="0" w:color="auto"/>
              <w:right w:val="single" w:sz="4" w:space="0" w:color="auto"/>
            </w:tcBorders>
          </w:tcPr>
          <w:p w14:paraId="6C6F6350" w14:textId="77777777" w:rsidR="00073F8F" w:rsidRPr="001B4A02" w:rsidRDefault="00000000" w:rsidP="00ED48A3">
            <w:pPr>
              <w:pStyle w:val="EMEANormal"/>
              <w:keepNext/>
              <w:tabs>
                <w:tab w:val="clear" w:pos="562"/>
                <w:tab w:val="left" w:pos="708"/>
              </w:tabs>
              <w:suppressAutoHyphens w:val="0"/>
              <w:jc w:val="center"/>
              <w:rPr>
                <w:del w:id="7001" w:author="AbbVie1" w:date="2025-05-13T09:50:00Z"/>
                <w:lang w:val="cs-CZ"/>
              </w:rPr>
            </w:pPr>
            <w:del w:id="7002" w:author="AbbVie1" w:date="2025-05-13T09:50:00Z">
              <w:r w:rsidRPr="001B4A02">
                <w:rPr>
                  <w:lang w:val="cs-CZ"/>
                </w:rPr>
                <w:delText>41</w:delText>
              </w:r>
              <w:r w:rsidR="001E10EB" w:rsidRPr="001B4A02">
                <w:rPr>
                  <w:lang w:val="cs-CZ"/>
                </w:rPr>
                <w:delText> </w:delText>
              </w:r>
              <w:r w:rsidRPr="001B4A02">
                <w:rPr>
                  <w:lang w:val="cs-CZ"/>
                </w:rPr>
                <w:delText>%</w:delText>
              </w:r>
              <w:r w:rsidRPr="001B4A02">
                <w:rPr>
                  <w:rFonts w:ascii="Symbol" w:hAnsi="Symbol"/>
                  <w:vertAlign w:val="superscript"/>
                  <w:lang w:val="cs-CZ"/>
                </w:rPr>
                <w:sym w:font="Symbol" w:char="F02A"/>
              </w:r>
            </w:del>
          </w:p>
        </w:tc>
      </w:tr>
      <w:tr w:rsidR="00534A2D" w14:paraId="0DABB0AB" w14:textId="77777777" w:rsidTr="008D783A">
        <w:trPr>
          <w:del w:id="7003" w:author="AbbVie1" w:date="2025-05-13T09:50:00Z"/>
        </w:trPr>
        <w:tc>
          <w:tcPr>
            <w:tcW w:w="3047" w:type="dxa"/>
            <w:tcBorders>
              <w:top w:val="single" w:sz="4" w:space="0" w:color="auto"/>
              <w:left w:val="single" w:sz="4" w:space="0" w:color="auto"/>
              <w:bottom w:val="single" w:sz="4" w:space="0" w:color="auto"/>
              <w:right w:val="single" w:sz="4" w:space="0" w:color="auto"/>
            </w:tcBorders>
          </w:tcPr>
          <w:p w14:paraId="659DC284" w14:textId="77777777" w:rsidR="00073F8F" w:rsidRPr="001B4A02" w:rsidRDefault="00000000" w:rsidP="00ED48A3">
            <w:pPr>
              <w:pStyle w:val="EMEANormal"/>
              <w:keepNext/>
              <w:tabs>
                <w:tab w:val="clear" w:pos="562"/>
                <w:tab w:val="left" w:pos="708"/>
              </w:tabs>
              <w:suppressAutoHyphens w:val="0"/>
              <w:rPr>
                <w:del w:id="7004" w:author="AbbVie1" w:date="2025-05-13T09:50:00Z"/>
                <w:lang w:val="cs-CZ"/>
              </w:rPr>
            </w:pPr>
            <w:del w:id="7005" w:author="AbbVie1" w:date="2025-05-13T09:50:00Z">
              <w:r w:rsidRPr="001B4A02">
                <w:rPr>
                  <w:lang w:val="cs-CZ"/>
                </w:rPr>
                <w:delText>Klinická odpověď (CR-100)</w:delText>
              </w:r>
            </w:del>
          </w:p>
        </w:tc>
        <w:tc>
          <w:tcPr>
            <w:tcW w:w="1558" w:type="dxa"/>
            <w:tcBorders>
              <w:top w:val="single" w:sz="4" w:space="0" w:color="auto"/>
              <w:left w:val="single" w:sz="4" w:space="0" w:color="auto"/>
              <w:bottom w:val="single" w:sz="4" w:space="0" w:color="auto"/>
              <w:right w:val="single" w:sz="4" w:space="0" w:color="auto"/>
            </w:tcBorders>
          </w:tcPr>
          <w:p w14:paraId="703C1C9D" w14:textId="77777777" w:rsidR="00073F8F" w:rsidRPr="001B4A02" w:rsidRDefault="00000000" w:rsidP="00ED48A3">
            <w:pPr>
              <w:pStyle w:val="EMEANormal"/>
              <w:keepNext/>
              <w:tabs>
                <w:tab w:val="clear" w:pos="562"/>
                <w:tab w:val="left" w:pos="708"/>
              </w:tabs>
              <w:suppressAutoHyphens w:val="0"/>
              <w:jc w:val="center"/>
              <w:rPr>
                <w:del w:id="7006" w:author="AbbVie1" w:date="2025-05-13T09:50:00Z"/>
                <w:lang w:val="cs-CZ"/>
              </w:rPr>
            </w:pPr>
            <w:del w:id="7007" w:author="AbbVie1" w:date="2025-05-13T09:50:00Z">
              <w:r w:rsidRPr="001B4A02">
                <w:rPr>
                  <w:lang w:val="cs-CZ"/>
                </w:rPr>
                <w:delText>17</w:delText>
              </w:r>
              <w:r w:rsidR="001E10EB" w:rsidRPr="001B4A02">
                <w:rPr>
                  <w:lang w:val="cs-CZ"/>
                </w:rPr>
                <w:delText> </w:delText>
              </w:r>
              <w:r w:rsidRPr="001B4A02">
                <w:rPr>
                  <w:lang w:val="cs-CZ"/>
                </w:rPr>
                <w:delText>%</w:delText>
              </w:r>
            </w:del>
          </w:p>
        </w:tc>
        <w:tc>
          <w:tcPr>
            <w:tcW w:w="2303" w:type="dxa"/>
            <w:tcBorders>
              <w:top w:val="single" w:sz="4" w:space="0" w:color="auto"/>
              <w:left w:val="single" w:sz="4" w:space="0" w:color="auto"/>
              <w:bottom w:val="single" w:sz="4" w:space="0" w:color="auto"/>
              <w:right w:val="single" w:sz="4" w:space="0" w:color="auto"/>
            </w:tcBorders>
          </w:tcPr>
          <w:p w14:paraId="4D22AAFF" w14:textId="77777777" w:rsidR="00073F8F" w:rsidRPr="001B4A02" w:rsidRDefault="00000000" w:rsidP="00ED48A3">
            <w:pPr>
              <w:pStyle w:val="EMEANormal"/>
              <w:keepNext/>
              <w:tabs>
                <w:tab w:val="clear" w:pos="562"/>
                <w:tab w:val="left" w:pos="708"/>
              </w:tabs>
              <w:suppressAutoHyphens w:val="0"/>
              <w:jc w:val="center"/>
              <w:rPr>
                <w:del w:id="7008" w:author="AbbVie1" w:date="2025-05-13T09:50:00Z"/>
                <w:lang w:val="cs-CZ"/>
              </w:rPr>
            </w:pPr>
            <w:del w:id="7009" w:author="AbbVie1" w:date="2025-05-13T09:50:00Z">
              <w:r w:rsidRPr="001B4A02">
                <w:rPr>
                  <w:lang w:val="cs-CZ"/>
                </w:rPr>
                <w:delText>41</w:delText>
              </w:r>
              <w:r w:rsidR="001E10EB" w:rsidRPr="001B4A02">
                <w:rPr>
                  <w:lang w:val="cs-CZ"/>
                </w:rPr>
                <w:delText> </w:delText>
              </w:r>
              <w:r w:rsidRPr="001B4A02">
                <w:rPr>
                  <w:lang w:val="cs-CZ"/>
                </w:rPr>
                <w:delText>%</w:delText>
              </w:r>
              <w:r w:rsidRPr="001B4A02">
                <w:rPr>
                  <w:rFonts w:ascii="Symbol" w:hAnsi="Symbol"/>
                  <w:vertAlign w:val="superscript"/>
                  <w:lang w:val="cs-CZ"/>
                </w:rPr>
                <w:sym w:font="Symbol" w:char="F02A"/>
              </w:r>
            </w:del>
          </w:p>
        </w:tc>
        <w:tc>
          <w:tcPr>
            <w:tcW w:w="2303" w:type="dxa"/>
            <w:tcBorders>
              <w:top w:val="single" w:sz="4" w:space="0" w:color="auto"/>
              <w:left w:val="single" w:sz="4" w:space="0" w:color="auto"/>
              <w:bottom w:val="single" w:sz="4" w:space="0" w:color="auto"/>
              <w:right w:val="single" w:sz="4" w:space="0" w:color="auto"/>
            </w:tcBorders>
          </w:tcPr>
          <w:p w14:paraId="4606CB22" w14:textId="77777777" w:rsidR="00073F8F" w:rsidRPr="001B4A02" w:rsidRDefault="00000000" w:rsidP="00ED48A3">
            <w:pPr>
              <w:pStyle w:val="EMEANormal"/>
              <w:keepNext/>
              <w:tabs>
                <w:tab w:val="clear" w:pos="562"/>
                <w:tab w:val="left" w:pos="708"/>
              </w:tabs>
              <w:suppressAutoHyphens w:val="0"/>
              <w:jc w:val="center"/>
              <w:rPr>
                <w:del w:id="7010" w:author="AbbVie1" w:date="2025-05-13T09:50:00Z"/>
                <w:lang w:val="cs-CZ"/>
              </w:rPr>
            </w:pPr>
            <w:del w:id="7011" w:author="AbbVie1" w:date="2025-05-13T09:50:00Z">
              <w:r w:rsidRPr="001B4A02">
                <w:rPr>
                  <w:lang w:val="cs-CZ"/>
                </w:rPr>
                <w:delText>48</w:delText>
              </w:r>
              <w:r w:rsidR="001E10EB" w:rsidRPr="001B4A02">
                <w:rPr>
                  <w:lang w:val="cs-CZ"/>
                </w:rPr>
                <w:delText> </w:delText>
              </w:r>
              <w:r w:rsidRPr="001B4A02">
                <w:rPr>
                  <w:lang w:val="cs-CZ"/>
                </w:rPr>
                <w:delText>%</w:delText>
              </w:r>
              <w:r w:rsidRPr="001B4A02">
                <w:rPr>
                  <w:rFonts w:ascii="Symbol" w:hAnsi="Symbol"/>
                  <w:vertAlign w:val="superscript"/>
                  <w:lang w:val="cs-CZ"/>
                </w:rPr>
                <w:sym w:font="Symbol" w:char="F02A"/>
              </w:r>
            </w:del>
          </w:p>
        </w:tc>
      </w:tr>
      <w:tr w:rsidR="00534A2D" w14:paraId="00F406F9" w14:textId="77777777" w:rsidTr="008D783A">
        <w:trPr>
          <w:del w:id="7012" w:author="AbbVie1" w:date="2025-05-13T09:50:00Z"/>
        </w:trPr>
        <w:tc>
          <w:tcPr>
            <w:tcW w:w="3047" w:type="dxa"/>
            <w:tcBorders>
              <w:top w:val="single" w:sz="4" w:space="0" w:color="auto"/>
              <w:left w:val="single" w:sz="4" w:space="0" w:color="auto"/>
              <w:bottom w:val="single" w:sz="4" w:space="0" w:color="auto"/>
              <w:right w:val="single" w:sz="4" w:space="0" w:color="auto"/>
            </w:tcBorders>
          </w:tcPr>
          <w:p w14:paraId="0EA55762" w14:textId="77777777" w:rsidR="00073F8F" w:rsidRPr="001B4A02" w:rsidRDefault="00000000" w:rsidP="00ED48A3">
            <w:pPr>
              <w:pStyle w:val="EMEANormal"/>
              <w:keepNext/>
              <w:tabs>
                <w:tab w:val="clear" w:pos="562"/>
                <w:tab w:val="left" w:pos="708"/>
              </w:tabs>
              <w:suppressAutoHyphens w:val="0"/>
              <w:ind w:left="284"/>
              <w:rPr>
                <w:del w:id="7013" w:author="AbbVie1" w:date="2025-05-13T09:50:00Z"/>
                <w:lang w:val="cs-CZ"/>
              </w:rPr>
            </w:pPr>
            <w:del w:id="7014" w:author="AbbVie1" w:date="2025-05-13T09:50:00Z">
              <w:r w:rsidRPr="001B4A02">
                <w:rPr>
                  <w:lang w:val="cs-CZ"/>
                </w:rPr>
                <w:delText xml:space="preserve">Pacienti v remisi bez užívání steroidů po dobu </w:delText>
              </w:r>
              <w:r w:rsidR="009D2A3C" w:rsidRPr="001B4A02">
                <w:rPr>
                  <w:rFonts w:ascii="Symbol" w:hAnsi="Symbol"/>
                  <w:lang w:val="cs-CZ"/>
                </w:rPr>
                <w:sym w:font="Symbol" w:char="F0B3"/>
              </w:r>
              <w:r w:rsidRPr="001B4A02">
                <w:rPr>
                  <w:lang w:val="cs-CZ"/>
                </w:rPr>
                <w:delText> 90 dní</w:delText>
              </w:r>
              <w:r w:rsidRPr="001B4A02">
                <w:rPr>
                  <w:vertAlign w:val="superscript"/>
                  <w:lang w:val="cs-CZ"/>
                </w:rPr>
                <w:delText>a</w:delText>
              </w:r>
            </w:del>
          </w:p>
        </w:tc>
        <w:tc>
          <w:tcPr>
            <w:tcW w:w="1558" w:type="dxa"/>
            <w:tcBorders>
              <w:top w:val="single" w:sz="4" w:space="0" w:color="auto"/>
              <w:left w:val="single" w:sz="4" w:space="0" w:color="auto"/>
              <w:bottom w:val="single" w:sz="4" w:space="0" w:color="auto"/>
              <w:right w:val="single" w:sz="4" w:space="0" w:color="auto"/>
            </w:tcBorders>
          </w:tcPr>
          <w:p w14:paraId="7815F41C" w14:textId="77777777" w:rsidR="00073F8F" w:rsidRPr="001B4A02" w:rsidRDefault="00000000" w:rsidP="00ED48A3">
            <w:pPr>
              <w:pStyle w:val="EMEANormal"/>
              <w:keepNext/>
              <w:tabs>
                <w:tab w:val="clear" w:pos="562"/>
                <w:tab w:val="left" w:pos="708"/>
              </w:tabs>
              <w:suppressAutoHyphens w:val="0"/>
              <w:jc w:val="center"/>
              <w:rPr>
                <w:del w:id="7015" w:author="AbbVie1" w:date="2025-05-13T09:50:00Z"/>
                <w:lang w:val="cs-CZ"/>
              </w:rPr>
            </w:pPr>
            <w:del w:id="7016" w:author="AbbVie1" w:date="2025-05-13T09:50:00Z">
              <w:r w:rsidRPr="001B4A02">
                <w:rPr>
                  <w:lang w:val="cs-CZ"/>
                </w:rPr>
                <w:delText>5</w:delText>
              </w:r>
              <w:r w:rsidR="001E10EB" w:rsidRPr="001B4A02">
                <w:rPr>
                  <w:lang w:val="cs-CZ"/>
                </w:rPr>
                <w:delText> </w:delText>
              </w:r>
              <w:r w:rsidRPr="001B4A02">
                <w:rPr>
                  <w:lang w:val="cs-CZ"/>
                </w:rPr>
                <w:delText>% (3 z 66)</w:delText>
              </w:r>
            </w:del>
          </w:p>
        </w:tc>
        <w:tc>
          <w:tcPr>
            <w:tcW w:w="2303" w:type="dxa"/>
            <w:tcBorders>
              <w:top w:val="single" w:sz="4" w:space="0" w:color="auto"/>
              <w:left w:val="single" w:sz="4" w:space="0" w:color="auto"/>
              <w:bottom w:val="single" w:sz="4" w:space="0" w:color="auto"/>
              <w:right w:val="single" w:sz="4" w:space="0" w:color="auto"/>
            </w:tcBorders>
          </w:tcPr>
          <w:p w14:paraId="7D42C822" w14:textId="77777777" w:rsidR="00073F8F" w:rsidRPr="001B4A02" w:rsidRDefault="00000000" w:rsidP="00ED48A3">
            <w:pPr>
              <w:pStyle w:val="EMEANormal"/>
              <w:keepNext/>
              <w:tabs>
                <w:tab w:val="clear" w:pos="562"/>
                <w:tab w:val="left" w:pos="708"/>
              </w:tabs>
              <w:suppressAutoHyphens w:val="0"/>
              <w:jc w:val="center"/>
              <w:rPr>
                <w:del w:id="7017" w:author="AbbVie1" w:date="2025-05-13T09:50:00Z"/>
                <w:lang w:val="cs-CZ"/>
              </w:rPr>
            </w:pPr>
            <w:del w:id="7018" w:author="AbbVie1" w:date="2025-05-13T09:50:00Z">
              <w:r w:rsidRPr="001B4A02">
                <w:rPr>
                  <w:lang w:val="cs-CZ"/>
                </w:rPr>
                <w:delText>29</w:delText>
              </w:r>
              <w:r w:rsidR="001E10EB" w:rsidRPr="001B4A02">
                <w:rPr>
                  <w:lang w:val="cs-CZ"/>
                </w:rPr>
                <w:delText> </w:delText>
              </w:r>
              <w:r w:rsidRPr="001B4A02">
                <w:rPr>
                  <w:lang w:val="cs-CZ"/>
                </w:rPr>
                <w:delText>% (17 z</w:delText>
              </w:r>
              <w:r w:rsidR="0006352B" w:rsidRPr="001B4A02">
                <w:rPr>
                  <w:lang w:val="cs-CZ"/>
                </w:rPr>
                <w:delText> </w:delText>
              </w:r>
              <w:r w:rsidRPr="001B4A02">
                <w:rPr>
                  <w:lang w:val="cs-CZ"/>
                </w:rPr>
                <w:delText>58)</w:delText>
              </w:r>
              <w:r w:rsidRPr="001B4A02">
                <w:rPr>
                  <w:vertAlign w:val="superscript"/>
                  <w:lang w:val="cs-CZ"/>
                </w:rPr>
                <w:delText xml:space="preserve"> </w:delText>
              </w:r>
              <w:r w:rsidRPr="001B4A02">
                <w:rPr>
                  <w:rFonts w:ascii="Symbol" w:hAnsi="Symbol"/>
                  <w:vertAlign w:val="superscript"/>
                  <w:lang w:val="cs-CZ"/>
                </w:rPr>
                <w:sym w:font="Symbol" w:char="F02A"/>
              </w:r>
            </w:del>
          </w:p>
        </w:tc>
        <w:tc>
          <w:tcPr>
            <w:tcW w:w="2303" w:type="dxa"/>
            <w:tcBorders>
              <w:top w:val="single" w:sz="4" w:space="0" w:color="auto"/>
              <w:left w:val="single" w:sz="4" w:space="0" w:color="auto"/>
              <w:bottom w:val="single" w:sz="4" w:space="0" w:color="auto"/>
              <w:right w:val="single" w:sz="4" w:space="0" w:color="auto"/>
            </w:tcBorders>
          </w:tcPr>
          <w:p w14:paraId="0604CB33" w14:textId="77777777" w:rsidR="00073F8F" w:rsidRPr="001B4A02" w:rsidRDefault="00000000" w:rsidP="00ED48A3">
            <w:pPr>
              <w:pStyle w:val="EMEANormal"/>
              <w:keepNext/>
              <w:tabs>
                <w:tab w:val="clear" w:pos="562"/>
                <w:tab w:val="left" w:pos="708"/>
              </w:tabs>
              <w:suppressAutoHyphens w:val="0"/>
              <w:jc w:val="center"/>
              <w:rPr>
                <w:del w:id="7019" w:author="AbbVie1" w:date="2025-05-13T09:50:00Z"/>
                <w:lang w:val="cs-CZ"/>
              </w:rPr>
            </w:pPr>
            <w:del w:id="7020" w:author="AbbVie1" w:date="2025-05-13T09:50:00Z">
              <w:r w:rsidRPr="001B4A02">
                <w:rPr>
                  <w:lang w:val="cs-CZ"/>
                </w:rPr>
                <w:delText>20</w:delText>
              </w:r>
              <w:r w:rsidR="001E10EB" w:rsidRPr="001B4A02">
                <w:rPr>
                  <w:lang w:val="cs-CZ"/>
                </w:rPr>
                <w:delText> </w:delText>
              </w:r>
              <w:r w:rsidRPr="001B4A02">
                <w:rPr>
                  <w:lang w:val="cs-CZ"/>
                </w:rPr>
                <w:delText>% (15 ze 74)</w:delText>
              </w:r>
              <w:r w:rsidRPr="001B4A02">
                <w:rPr>
                  <w:vertAlign w:val="superscript"/>
                  <w:lang w:val="cs-CZ"/>
                </w:rPr>
                <w:delText xml:space="preserve"> </w:delText>
              </w:r>
              <w:r w:rsidRPr="001B4A02">
                <w:rPr>
                  <w:rFonts w:ascii="Symbol" w:hAnsi="Symbol"/>
                  <w:vertAlign w:val="superscript"/>
                  <w:lang w:val="cs-CZ"/>
                </w:rPr>
                <w:sym w:font="Symbol" w:char="F02A"/>
              </w:r>
              <w:r w:rsidRPr="001B4A02">
                <w:rPr>
                  <w:rFonts w:ascii="Symbol" w:hAnsi="Symbol"/>
                  <w:vertAlign w:val="superscript"/>
                  <w:lang w:val="cs-CZ"/>
                </w:rPr>
                <w:sym w:font="Symbol" w:char="F02A"/>
              </w:r>
            </w:del>
          </w:p>
        </w:tc>
      </w:tr>
    </w:tbl>
    <w:p w14:paraId="2CBC2EB6" w14:textId="77777777" w:rsidR="00073F8F" w:rsidRPr="001B4A02" w:rsidRDefault="00000000" w:rsidP="00ED48A3">
      <w:pPr>
        <w:pStyle w:val="EMEANormal"/>
        <w:keepNext/>
        <w:tabs>
          <w:tab w:val="clear" w:pos="562"/>
          <w:tab w:val="left" w:pos="708"/>
        </w:tabs>
        <w:suppressAutoHyphens w:val="0"/>
        <w:rPr>
          <w:del w:id="7021" w:author="AbbVie1" w:date="2025-05-13T09:50:00Z"/>
          <w:bCs/>
          <w:sz w:val="20"/>
          <w:lang w:val="cs-CZ"/>
        </w:rPr>
      </w:pPr>
      <w:del w:id="7022" w:author="AbbVie1" w:date="2025-05-13T09:50:00Z">
        <w:r w:rsidRPr="001B4A02">
          <w:rPr>
            <w:rFonts w:ascii="Symbol" w:hAnsi="Symbol"/>
            <w:sz w:val="20"/>
            <w:vertAlign w:val="superscript"/>
            <w:lang w:val="cs-CZ"/>
          </w:rPr>
          <w:sym w:font="Symbol" w:char="F02A"/>
        </w:r>
        <w:r w:rsidRPr="001B4A02">
          <w:rPr>
            <w:sz w:val="20"/>
            <w:vertAlign w:val="superscript"/>
            <w:lang w:val="cs-CZ"/>
          </w:rPr>
          <w:delText xml:space="preserve"> </w:delText>
        </w:r>
        <w:r w:rsidRPr="001B4A02">
          <w:rPr>
            <w:sz w:val="20"/>
            <w:lang w:val="cs-CZ"/>
          </w:rPr>
          <w:delText xml:space="preserve">p </w:delText>
        </w:r>
        <w:r w:rsidRPr="001B4A02">
          <w:rPr>
            <w:rFonts w:ascii="Symbol" w:hAnsi="Symbol"/>
            <w:sz w:val="20"/>
            <w:lang w:val="cs-CZ"/>
          </w:rPr>
          <w:sym w:font="Symbol" w:char="F03C"/>
        </w:r>
        <w:r w:rsidRPr="001B4A02">
          <w:rPr>
            <w:sz w:val="20"/>
            <w:lang w:val="cs-CZ"/>
          </w:rPr>
          <w:delText xml:space="preserve"> 0,001 </w:delText>
        </w:r>
        <w:r w:rsidRPr="001B4A02">
          <w:rPr>
            <w:bCs/>
            <w:sz w:val="20"/>
            <w:lang w:val="cs-CZ"/>
          </w:rPr>
          <w:delText>párové srovnání hodnot pro přípravek Humira versus placebo</w:delText>
        </w:r>
      </w:del>
    </w:p>
    <w:p w14:paraId="4A58D50F" w14:textId="77777777" w:rsidR="00073F8F" w:rsidRPr="001B4A02" w:rsidRDefault="00000000" w:rsidP="00ED48A3">
      <w:pPr>
        <w:pStyle w:val="EMEANormal"/>
        <w:keepNext/>
        <w:tabs>
          <w:tab w:val="clear" w:pos="562"/>
          <w:tab w:val="left" w:pos="708"/>
        </w:tabs>
        <w:suppressAutoHyphens w:val="0"/>
        <w:rPr>
          <w:del w:id="7023" w:author="AbbVie1" w:date="2025-05-13T09:50:00Z"/>
          <w:bCs/>
          <w:sz w:val="20"/>
          <w:lang w:val="cs-CZ"/>
        </w:rPr>
      </w:pPr>
      <w:del w:id="7024" w:author="AbbVie1" w:date="2025-05-13T09:50:00Z">
        <w:r w:rsidRPr="001B4A02">
          <w:rPr>
            <w:rFonts w:ascii="Symbol" w:hAnsi="Symbol"/>
            <w:bCs/>
            <w:sz w:val="20"/>
            <w:vertAlign w:val="superscript"/>
            <w:lang w:val="cs-CZ"/>
          </w:rPr>
          <w:sym w:font="Symbol" w:char="F02A"/>
        </w:r>
        <w:r w:rsidRPr="001B4A02">
          <w:rPr>
            <w:rFonts w:ascii="Symbol" w:hAnsi="Symbol"/>
            <w:bCs/>
            <w:sz w:val="20"/>
            <w:vertAlign w:val="superscript"/>
            <w:lang w:val="cs-CZ"/>
          </w:rPr>
          <w:sym w:font="Symbol" w:char="F02A"/>
        </w:r>
        <w:r w:rsidRPr="001B4A02">
          <w:rPr>
            <w:bCs/>
            <w:sz w:val="20"/>
            <w:lang w:val="cs-CZ"/>
          </w:rPr>
          <w:delText xml:space="preserve"> p </w:delText>
        </w:r>
        <w:r w:rsidRPr="001B4A02">
          <w:rPr>
            <w:rFonts w:ascii="Symbol" w:hAnsi="Symbol"/>
            <w:bCs/>
            <w:sz w:val="20"/>
            <w:lang w:val="cs-CZ"/>
          </w:rPr>
          <w:sym w:font="Symbol" w:char="F03C"/>
        </w:r>
        <w:r w:rsidRPr="001B4A02">
          <w:rPr>
            <w:bCs/>
            <w:sz w:val="20"/>
            <w:lang w:val="cs-CZ"/>
          </w:rPr>
          <w:delText xml:space="preserve"> 0,02 párové srovnání hodnot pro přípravek Humira versus placebo</w:delText>
        </w:r>
      </w:del>
    </w:p>
    <w:p w14:paraId="4CF276BB" w14:textId="77777777" w:rsidR="00073F8F" w:rsidRPr="001B4A02" w:rsidRDefault="00000000" w:rsidP="00ED48A3">
      <w:pPr>
        <w:pStyle w:val="EMEANormal"/>
        <w:keepNext/>
        <w:tabs>
          <w:tab w:val="clear" w:pos="562"/>
          <w:tab w:val="left" w:pos="708"/>
        </w:tabs>
        <w:suppressAutoHyphens w:val="0"/>
        <w:rPr>
          <w:del w:id="7025" w:author="AbbVie1" w:date="2025-05-13T09:50:00Z"/>
          <w:sz w:val="20"/>
          <w:lang w:val="cs-CZ"/>
        </w:rPr>
      </w:pPr>
      <w:del w:id="7026" w:author="AbbVie1" w:date="2025-05-13T09:50:00Z">
        <w:r w:rsidRPr="001B4A02">
          <w:rPr>
            <w:sz w:val="20"/>
            <w:vertAlign w:val="superscript"/>
            <w:lang w:val="cs-CZ"/>
          </w:rPr>
          <w:delText xml:space="preserve">a </w:delText>
        </w:r>
        <w:r w:rsidRPr="001B4A02">
          <w:rPr>
            <w:sz w:val="20"/>
            <w:lang w:val="cs-CZ"/>
          </w:rPr>
          <w:delText>u těch, kteří užívali kortikosteroidy ve výchozí situaci</w:delText>
        </w:r>
      </w:del>
    </w:p>
    <w:p w14:paraId="0CC1B0AA" w14:textId="77777777" w:rsidR="00073F8F" w:rsidRPr="001B4A02" w:rsidRDefault="00073F8F" w:rsidP="00ED48A3">
      <w:pPr>
        <w:pStyle w:val="EMEANormal"/>
        <w:tabs>
          <w:tab w:val="clear" w:pos="562"/>
          <w:tab w:val="left" w:pos="708"/>
        </w:tabs>
        <w:suppressAutoHyphens w:val="0"/>
        <w:rPr>
          <w:del w:id="7027" w:author="AbbVie1" w:date="2025-05-13T09:50:00Z"/>
          <w:lang w:val="cs-CZ"/>
        </w:rPr>
      </w:pPr>
    </w:p>
    <w:p w14:paraId="7DA31D3B" w14:textId="77777777" w:rsidR="00073F8F" w:rsidRPr="001B4A02" w:rsidRDefault="00000000" w:rsidP="00ED48A3">
      <w:pPr>
        <w:pStyle w:val="EMEANormal"/>
        <w:tabs>
          <w:tab w:val="clear" w:pos="562"/>
          <w:tab w:val="left" w:pos="708"/>
        </w:tabs>
        <w:suppressAutoHyphens w:val="0"/>
        <w:rPr>
          <w:del w:id="7028" w:author="AbbVie1" w:date="2025-05-13T09:50:00Z"/>
          <w:lang w:val="cs-CZ"/>
        </w:rPr>
      </w:pPr>
      <w:del w:id="7029" w:author="AbbVie1" w:date="2025-05-13T09:50:00Z">
        <w:r w:rsidRPr="001B4A02">
          <w:rPr>
            <w:lang w:val="cs-CZ"/>
          </w:rPr>
          <w:delText xml:space="preserve">Z celkového množství pacientů, kteří </w:delText>
        </w:r>
        <w:r w:rsidR="00CA6ADE" w:rsidRPr="001B4A02">
          <w:rPr>
            <w:lang w:val="cs-CZ"/>
          </w:rPr>
          <w:delText xml:space="preserve">byli </w:delText>
        </w:r>
        <w:r w:rsidR="00965320">
          <w:rPr>
            <w:lang w:val="cs-CZ"/>
          </w:rPr>
          <w:delText>v </w:delText>
        </w:r>
        <w:r w:rsidRPr="001B4A02">
          <w:rPr>
            <w:lang w:val="cs-CZ"/>
          </w:rPr>
          <w:delText>týdnu 4 bez odpovědi na léčbu, dosáhlo v týdnu 12 odpovědi 43</w:delText>
        </w:r>
        <w:r w:rsidR="001E10EB" w:rsidRPr="001B4A02">
          <w:rPr>
            <w:lang w:val="cs-CZ"/>
          </w:rPr>
          <w:delText> </w:delText>
        </w:r>
        <w:r w:rsidRPr="001B4A02">
          <w:rPr>
            <w:lang w:val="cs-CZ"/>
          </w:rPr>
          <w:delText>% pacientů léčených přípravkem Humira, ve srovnání s 30</w:delText>
        </w:r>
        <w:r w:rsidR="001E10EB" w:rsidRPr="001B4A02">
          <w:rPr>
            <w:lang w:val="cs-CZ"/>
          </w:rPr>
          <w:delText> </w:delText>
        </w:r>
        <w:r w:rsidRPr="001B4A02">
          <w:rPr>
            <w:lang w:val="cs-CZ"/>
          </w:rPr>
          <w:delText>% pacientů, jež dostávali placebo. Tyto výsledky naznačují, že někteří pacienti, kteří nedosáhli odpovědi v týdnu 4</w:delText>
        </w:r>
        <w:r w:rsidR="007978AF">
          <w:rPr>
            <w:lang w:val="cs-CZ"/>
          </w:rPr>
          <w:delText>,</w:delText>
        </w:r>
        <w:r w:rsidRPr="001B4A02">
          <w:rPr>
            <w:lang w:val="cs-CZ"/>
          </w:rPr>
          <w:delText xml:space="preserve"> profitují z pokračování udržovací léčby do týdne 12. Léčba pokračující po 12 týdnu nevedla k významně více odpovědím (viz bod 4.2).</w:delText>
        </w:r>
      </w:del>
    </w:p>
    <w:p w14:paraId="75A55877" w14:textId="77777777" w:rsidR="00073F8F" w:rsidRPr="001B4A02" w:rsidRDefault="00073F8F" w:rsidP="00ED48A3">
      <w:pPr>
        <w:pStyle w:val="EMEANormal"/>
        <w:tabs>
          <w:tab w:val="clear" w:pos="562"/>
          <w:tab w:val="left" w:pos="708"/>
        </w:tabs>
        <w:suppressAutoHyphens w:val="0"/>
        <w:rPr>
          <w:del w:id="7030" w:author="AbbVie1" w:date="2025-05-13T09:50:00Z"/>
          <w:u w:val="single"/>
          <w:lang w:val="cs-CZ"/>
        </w:rPr>
      </w:pPr>
    </w:p>
    <w:p w14:paraId="633FCD22" w14:textId="77777777" w:rsidR="00765B2C" w:rsidRPr="001B4A02" w:rsidRDefault="00000000" w:rsidP="00ED48A3">
      <w:pPr>
        <w:pStyle w:val="EMEANormal"/>
        <w:tabs>
          <w:tab w:val="clear" w:pos="562"/>
          <w:tab w:val="left" w:pos="708"/>
        </w:tabs>
        <w:suppressAutoHyphens w:val="0"/>
        <w:rPr>
          <w:del w:id="7031" w:author="AbbVie1" w:date="2025-05-13T09:50:00Z"/>
          <w:lang w:val="cs-CZ"/>
        </w:rPr>
      </w:pPr>
      <w:del w:id="7032" w:author="AbbVie1" w:date="2025-05-13T09:50:00Z">
        <w:r w:rsidRPr="001B4A02">
          <w:rPr>
            <w:lang w:val="cs-CZ"/>
          </w:rPr>
          <w:delText>117 z 2</w:delText>
        </w:r>
        <w:r w:rsidR="00153468" w:rsidRPr="001B4A02">
          <w:rPr>
            <w:lang w:val="cs-CZ"/>
          </w:rPr>
          <w:delText>7</w:delText>
        </w:r>
        <w:r w:rsidRPr="001B4A02">
          <w:rPr>
            <w:lang w:val="cs-CZ"/>
          </w:rPr>
          <w:delText>6 pacientů účastnících se studie CD I</w:delText>
        </w:r>
        <w:r w:rsidR="002378E0">
          <w:rPr>
            <w:lang w:val="cs-CZ"/>
          </w:rPr>
          <w:delText xml:space="preserve"> a </w:delText>
        </w:r>
        <w:r w:rsidRPr="001B4A02">
          <w:rPr>
            <w:lang w:val="cs-CZ"/>
          </w:rPr>
          <w:delText>272 ze 777 pacientů účastnících se studie CD II</w:delText>
        </w:r>
        <w:r w:rsidR="002378E0">
          <w:rPr>
            <w:lang w:val="cs-CZ"/>
          </w:rPr>
          <w:delText xml:space="preserve"> a </w:delText>
        </w:r>
        <w:r w:rsidRPr="001B4A02">
          <w:rPr>
            <w:lang w:val="cs-CZ"/>
          </w:rPr>
          <w:delText>I</w:delText>
        </w:r>
        <w:r w:rsidR="007A7DFB" w:rsidRPr="001B4A02">
          <w:rPr>
            <w:lang w:val="cs-CZ"/>
          </w:rPr>
          <w:delText>I</w:delText>
        </w:r>
        <w:r w:rsidRPr="001B4A02">
          <w:rPr>
            <w:lang w:val="cs-CZ"/>
          </w:rPr>
          <w:delText>I pokračovalo v </w:delText>
        </w:r>
        <w:r w:rsidR="0045502F" w:rsidRPr="001B4A02">
          <w:rPr>
            <w:lang w:val="cs-CZ"/>
          </w:rPr>
          <w:delText>po</w:delText>
        </w:r>
        <w:r w:rsidRPr="001B4A02">
          <w:rPr>
            <w:lang w:val="cs-CZ"/>
          </w:rPr>
          <w:delText>užívání adalimumabu po dobu minimálně 3 let v otevřené fázi studie. 88 z těchto 117</w:delText>
        </w:r>
        <w:r w:rsidR="002378E0">
          <w:rPr>
            <w:lang w:val="cs-CZ"/>
          </w:rPr>
          <w:delText xml:space="preserve"> a </w:delText>
        </w:r>
        <w:r w:rsidRPr="001B4A02">
          <w:rPr>
            <w:lang w:val="cs-CZ"/>
          </w:rPr>
          <w:delText>189 z těchto 272 pacientů dospělo ke klinické remisi. Klinická odpověď (CR-100) přetrvávala u</w:delText>
        </w:r>
        <w:r w:rsidR="00C048C3" w:rsidRPr="001B4A02">
          <w:rPr>
            <w:lang w:val="cs-CZ"/>
          </w:rPr>
          <w:delText> </w:delText>
        </w:r>
        <w:r w:rsidRPr="001B4A02">
          <w:rPr>
            <w:lang w:val="cs-CZ"/>
          </w:rPr>
          <w:delText>102 pacientů z těchto 117</w:delText>
        </w:r>
        <w:r w:rsidR="002378E0">
          <w:rPr>
            <w:lang w:val="cs-CZ"/>
          </w:rPr>
          <w:delText xml:space="preserve"> a </w:delText>
        </w:r>
        <w:r w:rsidRPr="001B4A02">
          <w:rPr>
            <w:lang w:val="cs-CZ"/>
          </w:rPr>
          <w:delText>u</w:delText>
        </w:r>
        <w:r w:rsidR="00C048C3" w:rsidRPr="001B4A02">
          <w:rPr>
            <w:lang w:val="cs-CZ"/>
          </w:rPr>
          <w:delText> </w:delText>
        </w:r>
        <w:r w:rsidRPr="001B4A02">
          <w:rPr>
            <w:lang w:val="cs-CZ"/>
          </w:rPr>
          <w:delText>233 z těchto 272 pacientů.</w:delText>
        </w:r>
      </w:del>
    </w:p>
    <w:p w14:paraId="21AD6D97" w14:textId="77777777" w:rsidR="00765B2C" w:rsidRPr="001B4A02" w:rsidRDefault="00765B2C" w:rsidP="00ED48A3">
      <w:pPr>
        <w:pStyle w:val="EMEANormal"/>
        <w:tabs>
          <w:tab w:val="clear" w:pos="562"/>
          <w:tab w:val="left" w:pos="708"/>
        </w:tabs>
        <w:suppressAutoHyphens w:val="0"/>
        <w:rPr>
          <w:del w:id="7033" w:author="AbbVie1" w:date="2025-05-13T09:50:00Z"/>
          <w:u w:val="single"/>
          <w:lang w:val="cs-CZ"/>
        </w:rPr>
      </w:pPr>
    </w:p>
    <w:p w14:paraId="15520456" w14:textId="77777777" w:rsidR="00073F8F" w:rsidRPr="001B4A02" w:rsidRDefault="00000000" w:rsidP="00CE5DAE">
      <w:pPr>
        <w:pStyle w:val="EMEANormal"/>
        <w:keepNext/>
        <w:tabs>
          <w:tab w:val="clear" w:pos="562"/>
          <w:tab w:val="left" w:pos="708"/>
        </w:tabs>
        <w:suppressAutoHyphens w:val="0"/>
        <w:rPr>
          <w:del w:id="7034" w:author="AbbVie1" w:date="2025-05-13T09:50:00Z"/>
          <w:i/>
          <w:u w:val="single"/>
          <w:lang w:val="cs-CZ"/>
        </w:rPr>
      </w:pPr>
      <w:del w:id="7035" w:author="AbbVie1" w:date="2025-05-13T09:50:00Z">
        <w:r w:rsidRPr="001B4A02">
          <w:rPr>
            <w:i/>
            <w:u w:val="single"/>
            <w:lang w:val="cs-CZ"/>
          </w:rPr>
          <w:delText>Kvalita života</w:delText>
        </w:r>
      </w:del>
    </w:p>
    <w:p w14:paraId="067D1FDA" w14:textId="77777777" w:rsidR="00073F8F" w:rsidRPr="001B4A02" w:rsidRDefault="00073F8F" w:rsidP="00CE5DAE">
      <w:pPr>
        <w:pStyle w:val="EMEANormal"/>
        <w:keepNext/>
        <w:tabs>
          <w:tab w:val="clear" w:pos="562"/>
          <w:tab w:val="left" w:pos="708"/>
        </w:tabs>
        <w:suppressAutoHyphens w:val="0"/>
        <w:rPr>
          <w:del w:id="7036" w:author="AbbVie1" w:date="2025-05-13T09:50:00Z"/>
          <w:lang w:val="cs-CZ"/>
        </w:rPr>
      </w:pPr>
    </w:p>
    <w:p w14:paraId="093BA20D" w14:textId="77777777" w:rsidR="00073F8F" w:rsidRPr="001B4A02" w:rsidRDefault="00000000" w:rsidP="00ED48A3">
      <w:pPr>
        <w:pStyle w:val="EMEANormal"/>
        <w:tabs>
          <w:tab w:val="clear" w:pos="562"/>
          <w:tab w:val="left" w:pos="708"/>
        </w:tabs>
        <w:suppressAutoHyphens w:val="0"/>
        <w:rPr>
          <w:del w:id="7037" w:author="AbbVie1" w:date="2025-05-13T09:50:00Z"/>
          <w:lang w:val="cs-CZ"/>
        </w:rPr>
      </w:pPr>
      <w:del w:id="7038" w:author="AbbVie1" w:date="2025-05-13T09:50:00Z">
        <w:r w:rsidRPr="001B4A02">
          <w:rPr>
            <w:lang w:val="cs-CZ"/>
          </w:rPr>
          <w:delText>Ve studiích CD I</w:delText>
        </w:r>
        <w:r w:rsidR="002378E0">
          <w:rPr>
            <w:lang w:val="cs-CZ"/>
          </w:rPr>
          <w:delText xml:space="preserve"> a </w:delText>
        </w:r>
        <w:r w:rsidRPr="001B4A02">
          <w:rPr>
            <w:lang w:val="cs-CZ"/>
          </w:rPr>
          <w:delText>CD II bylo v týdnu 4 u</w:delText>
        </w:r>
        <w:r w:rsidR="00C048C3" w:rsidRPr="001B4A02">
          <w:rPr>
            <w:lang w:val="cs-CZ"/>
          </w:rPr>
          <w:delText> </w:delText>
        </w:r>
        <w:r w:rsidRPr="001B4A02">
          <w:rPr>
            <w:lang w:val="cs-CZ"/>
          </w:rPr>
          <w:delText xml:space="preserve">pacientů, randomizovaných do skupin </w:delText>
        </w:r>
        <w:r w:rsidR="0051758E" w:rsidRPr="001B4A02">
          <w:rPr>
            <w:lang w:val="cs-CZ"/>
          </w:rPr>
          <w:delText>po</w:delText>
        </w:r>
        <w:r w:rsidRPr="001B4A02">
          <w:rPr>
            <w:lang w:val="cs-CZ"/>
          </w:rPr>
          <w:delText>užívajících přípravek Humira v dávce 80/40 mg</w:delText>
        </w:r>
        <w:r w:rsidR="002378E0">
          <w:rPr>
            <w:lang w:val="cs-CZ"/>
          </w:rPr>
          <w:delText xml:space="preserve"> a </w:delText>
        </w:r>
        <w:r w:rsidRPr="001B4A02">
          <w:rPr>
            <w:lang w:val="cs-CZ"/>
          </w:rPr>
          <w:delText>160/80 mg, dosaženo, ve srovnání s placebem, úplného skóre ve specifickém, na chorobu zaměřeném dotazníku IBDQ (inflammatory bowel disease questionnaire), u studie CD III v týdnech 26</w:delText>
        </w:r>
        <w:r w:rsidR="002378E0">
          <w:rPr>
            <w:lang w:val="cs-CZ"/>
          </w:rPr>
          <w:delText xml:space="preserve"> a </w:delText>
        </w:r>
        <w:r w:rsidRPr="001B4A02">
          <w:rPr>
            <w:lang w:val="cs-CZ"/>
          </w:rPr>
          <w:delText>56 byly tyto výsledky rovněž pozorovány ve skupině léčené adalimumabem, v porovnání se skupinou léčenou placebem.</w:delText>
        </w:r>
      </w:del>
    </w:p>
    <w:p w14:paraId="4FC47482" w14:textId="77777777" w:rsidR="006E75F4" w:rsidRPr="001B4A02" w:rsidRDefault="006E75F4" w:rsidP="00ED48A3">
      <w:pPr>
        <w:ind w:left="0" w:firstLine="0"/>
        <w:rPr>
          <w:del w:id="7039" w:author="AbbVie1" w:date="2025-05-13T09:50:00Z"/>
          <w:u w:val="single"/>
        </w:rPr>
      </w:pPr>
    </w:p>
    <w:p w14:paraId="3EB68A60" w14:textId="77777777" w:rsidR="008F46CE" w:rsidRPr="001B4A02" w:rsidRDefault="00000000" w:rsidP="00CE5DAE">
      <w:pPr>
        <w:keepNext/>
        <w:ind w:left="0" w:firstLine="0"/>
        <w:rPr>
          <w:del w:id="7040" w:author="AbbVie1" w:date="2025-05-13T09:50:00Z"/>
          <w:i/>
        </w:rPr>
      </w:pPr>
      <w:del w:id="7041" w:author="AbbVie1" w:date="2025-05-13T09:50:00Z">
        <w:r w:rsidRPr="001B4A02">
          <w:rPr>
            <w:i/>
          </w:rPr>
          <w:delText>Ulcerózní kolitida</w:delText>
        </w:r>
      </w:del>
    </w:p>
    <w:p w14:paraId="7BE754F8" w14:textId="77777777" w:rsidR="008F46CE" w:rsidRPr="001B4A02" w:rsidRDefault="008F46CE" w:rsidP="00CE5DAE">
      <w:pPr>
        <w:keepNext/>
        <w:ind w:left="0" w:firstLine="0"/>
        <w:rPr>
          <w:del w:id="7042" w:author="AbbVie1" w:date="2025-05-13T09:50:00Z"/>
        </w:rPr>
      </w:pPr>
    </w:p>
    <w:p w14:paraId="74B3B4F6" w14:textId="77777777" w:rsidR="008F46CE" w:rsidRPr="001B4A02" w:rsidRDefault="00000000" w:rsidP="00ED48A3">
      <w:pPr>
        <w:pStyle w:val="EMEANormal"/>
        <w:tabs>
          <w:tab w:val="clear" w:pos="562"/>
          <w:tab w:val="left" w:pos="708"/>
        </w:tabs>
        <w:suppressAutoHyphens w:val="0"/>
        <w:rPr>
          <w:del w:id="7043" w:author="AbbVie1" w:date="2025-05-13T09:50:00Z"/>
          <w:lang w:val="cs-CZ"/>
        </w:rPr>
      </w:pPr>
      <w:del w:id="7044" w:author="AbbVie1" w:date="2025-05-13T09:50:00Z">
        <w:r w:rsidRPr="001B4A02">
          <w:rPr>
            <w:lang w:val="cs-CZ"/>
          </w:rPr>
          <w:delText>Bezpečnost</w:delText>
        </w:r>
        <w:r w:rsidR="002378E0">
          <w:rPr>
            <w:lang w:val="cs-CZ"/>
          </w:rPr>
          <w:delText xml:space="preserve"> a </w:delText>
        </w:r>
        <w:r w:rsidRPr="001B4A02">
          <w:rPr>
            <w:lang w:val="cs-CZ"/>
          </w:rPr>
          <w:delText>účinnost vícenásobného podání přípravku Humira byla ověřena u</w:delText>
        </w:r>
        <w:r w:rsidR="00C048C3" w:rsidRPr="001B4A02">
          <w:rPr>
            <w:lang w:val="cs-CZ"/>
          </w:rPr>
          <w:delText> </w:delText>
        </w:r>
        <w:r w:rsidRPr="001B4A02">
          <w:rPr>
            <w:lang w:val="cs-CZ"/>
          </w:rPr>
          <w:delText xml:space="preserve">dospělých pacientů se středně těžkou až těžkou aktivní </w:delText>
        </w:r>
        <w:r w:rsidR="008177B2" w:rsidRPr="001B4A02">
          <w:rPr>
            <w:lang w:val="cs-CZ"/>
          </w:rPr>
          <w:delText>ulcerózní</w:delText>
        </w:r>
        <w:r w:rsidRPr="001B4A02">
          <w:rPr>
            <w:lang w:val="cs-CZ"/>
          </w:rPr>
          <w:delText xml:space="preserve"> kolitidou (Mayo skóre 6 až 12 včetně endoskopického podskóre od 2 do 3) v randomizovaných dvojitě zaslepených placebem kontrolovaných studiích.</w:delText>
        </w:r>
      </w:del>
    </w:p>
    <w:p w14:paraId="2D323FC6" w14:textId="77777777" w:rsidR="008F46CE" w:rsidRPr="001B4A02" w:rsidRDefault="008F46CE" w:rsidP="00ED48A3">
      <w:pPr>
        <w:pStyle w:val="EMEANormal"/>
        <w:tabs>
          <w:tab w:val="clear" w:pos="562"/>
          <w:tab w:val="left" w:pos="708"/>
        </w:tabs>
        <w:suppressAutoHyphens w:val="0"/>
        <w:rPr>
          <w:del w:id="7045" w:author="AbbVie1" w:date="2025-05-13T09:50:00Z"/>
          <w:lang w:val="cs-CZ"/>
        </w:rPr>
      </w:pPr>
    </w:p>
    <w:p w14:paraId="7BC552E3" w14:textId="77777777" w:rsidR="008F46CE" w:rsidRPr="001B4A02" w:rsidRDefault="00000000" w:rsidP="00ED48A3">
      <w:pPr>
        <w:ind w:left="0" w:firstLine="0"/>
        <w:rPr>
          <w:del w:id="7046" w:author="AbbVie1" w:date="2025-05-13T09:50:00Z"/>
        </w:rPr>
      </w:pPr>
      <w:del w:id="7047" w:author="AbbVie1" w:date="2025-05-13T09:50:00Z">
        <w:r w:rsidRPr="001B4A02">
          <w:delText>Ve studii UC-I bylo zařazeno 390 pacientů v minulosti antagonisty TNF neléčených (naivních), kteří byli randomizováni do skupin, kdy jim bylo podáváno buď placebo v týdnu 0</w:delText>
        </w:r>
        <w:r w:rsidR="002378E0">
          <w:delText xml:space="preserve"> a </w:delText>
        </w:r>
        <w:r w:rsidRPr="001B4A02">
          <w:delText>2</w:delText>
        </w:r>
        <w:r w:rsidR="002378E0">
          <w:delText xml:space="preserve"> a </w:delText>
        </w:r>
        <w:r w:rsidRPr="001B4A02">
          <w:delText>160</w:delText>
        </w:r>
        <w:r w:rsidR="00294902">
          <w:delText> mg</w:delText>
        </w:r>
        <w:r w:rsidRPr="001B4A02">
          <w:delText xml:space="preserve"> přípravku Humira v týdnu 0</w:delText>
        </w:r>
        <w:r w:rsidR="002378E0">
          <w:delText xml:space="preserve"> a </w:delText>
        </w:r>
        <w:r w:rsidRPr="001B4A02">
          <w:delText>následně 80</w:delText>
        </w:r>
        <w:r w:rsidR="00294902">
          <w:delText> mg</w:delText>
        </w:r>
        <w:r w:rsidRPr="001B4A02">
          <w:delText xml:space="preserve"> v týdnu 2</w:delText>
        </w:r>
        <w:r w:rsidR="002D5668" w:rsidRPr="001B4A02">
          <w:delText>,</w:delText>
        </w:r>
        <w:r w:rsidRPr="001B4A02">
          <w:delText xml:space="preserve"> nebo 80</w:delText>
        </w:r>
        <w:r w:rsidR="00294902">
          <w:delText> mg</w:delText>
        </w:r>
        <w:r w:rsidRPr="001B4A02">
          <w:delText xml:space="preserve"> přípravku</w:delText>
        </w:r>
        <w:r w:rsidR="00AC7C92" w:rsidRPr="001B4A02">
          <w:delText xml:space="preserve"> Humira v týdnu 0</w:delText>
        </w:r>
        <w:r w:rsidR="002378E0">
          <w:delText xml:space="preserve"> a </w:delText>
        </w:r>
        <w:r w:rsidR="00AC7C92" w:rsidRPr="001B4A02">
          <w:delText>následně 40</w:delText>
        </w:r>
        <w:r w:rsidR="00294902">
          <w:delText> mg</w:delText>
        </w:r>
        <w:r w:rsidRPr="001B4A02">
          <w:delText xml:space="preserve"> v týdnu 2. Po týdnu 2 dostávali pacienti v obou ramenech s adalimumabem dávku 40</w:delText>
        </w:r>
        <w:r w:rsidR="00294902">
          <w:delText> mg</w:delText>
        </w:r>
        <w:r w:rsidRPr="001B4A02">
          <w:delText xml:space="preserve"> každý druhý týden. Klinická remise (definovaná jako Mayo skóre ≤ 2 bez podskóre &gt; 1) byla hodnocena v</w:delText>
        </w:r>
        <w:r w:rsidR="00AC7C92" w:rsidRPr="001B4A02">
          <w:delText> </w:delText>
        </w:r>
        <w:r w:rsidRPr="001B4A02">
          <w:delText>týdnu 8.</w:delText>
        </w:r>
      </w:del>
    </w:p>
    <w:p w14:paraId="5C09C500" w14:textId="77777777" w:rsidR="008F46CE" w:rsidRPr="001B4A02" w:rsidRDefault="008F46CE" w:rsidP="00ED48A3">
      <w:pPr>
        <w:ind w:left="0" w:firstLine="0"/>
        <w:rPr>
          <w:del w:id="7048" w:author="AbbVie1" w:date="2025-05-13T09:50:00Z"/>
        </w:rPr>
      </w:pPr>
    </w:p>
    <w:p w14:paraId="7DD7789F" w14:textId="77777777" w:rsidR="008F46CE" w:rsidRPr="001B4A02" w:rsidRDefault="00000000" w:rsidP="00ED48A3">
      <w:pPr>
        <w:ind w:left="0" w:firstLine="0"/>
        <w:rPr>
          <w:del w:id="7049" w:author="AbbVie1" w:date="2025-05-13T09:50:00Z"/>
        </w:rPr>
      </w:pPr>
      <w:del w:id="7050" w:author="AbbVie1" w:date="2025-05-13T09:50:00Z">
        <w:r w:rsidRPr="001B4A02">
          <w:delText>Ve studii UC-II dostávalo 248 pacientů dávku 160</w:delText>
        </w:r>
        <w:r w:rsidR="00294902">
          <w:delText> mg</w:delText>
        </w:r>
        <w:r w:rsidRPr="001B4A02">
          <w:delText xml:space="preserve"> přípravku Humira v týdnu 0, 80</w:delText>
        </w:r>
        <w:r w:rsidR="00294902">
          <w:delText> mg</w:delText>
        </w:r>
        <w:r w:rsidRPr="001B4A02">
          <w:delText xml:space="preserve"> v týdnu 2</w:delText>
        </w:r>
        <w:r w:rsidR="002378E0">
          <w:delText xml:space="preserve"> a </w:delText>
        </w:r>
        <w:r w:rsidRPr="001B4A02">
          <w:delText>následně 40</w:delText>
        </w:r>
        <w:r w:rsidR="00294902">
          <w:delText> mg</w:delText>
        </w:r>
        <w:r w:rsidRPr="001B4A02">
          <w:delText xml:space="preserve"> každý druhý týden</w:delText>
        </w:r>
        <w:r w:rsidR="002378E0">
          <w:delText xml:space="preserve"> a </w:delText>
        </w:r>
        <w:r w:rsidRPr="001B4A02">
          <w:delText>246 pacientů dostávalo placebo. U</w:delText>
        </w:r>
        <w:r w:rsidR="00C048C3" w:rsidRPr="001B4A02">
          <w:delText> </w:delText>
        </w:r>
        <w:r w:rsidRPr="001B4A02">
          <w:delText>klinických výsledků byla hodnocena indukce remise v týdnu 8</w:delText>
        </w:r>
        <w:r w:rsidR="002378E0">
          <w:delText xml:space="preserve"> a </w:delText>
        </w:r>
        <w:r w:rsidRPr="001B4A02">
          <w:delText xml:space="preserve">přetrvávání remise do týdne 52. </w:delText>
        </w:r>
      </w:del>
    </w:p>
    <w:p w14:paraId="4E3B73FB" w14:textId="77777777" w:rsidR="008F46CE" w:rsidRPr="001B4A02" w:rsidRDefault="008F46CE" w:rsidP="00ED48A3">
      <w:pPr>
        <w:ind w:left="0" w:firstLine="0"/>
        <w:rPr>
          <w:del w:id="7051" w:author="AbbVie1" w:date="2025-05-13T09:50:00Z"/>
        </w:rPr>
      </w:pPr>
    </w:p>
    <w:p w14:paraId="59DD46B7" w14:textId="77777777" w:rsidR="008F46CE" w:rsidRPr="001B4A02" w:rsidRDefault="00000000" w:rsidP="00ED48A3">
      <w:pPr>
        <w:ind w:left="0" w:firstLine="0"/>
        <w:rPr>
          <w:del w:id="7052" w:author="AbbVie1" w:date="2025-05-13T09:50:00Z"/>
        </w:rPr>
      </w:pPr>
      <w:del w:id="7053" w:author="AbbVie1" w:date="2025-05-13T09:50:00Z">
        <w:r w:rsidRPr="001B4A02">
          <w:delText>Pacienti, u</w:delText>
        </w:r>
        <w:r w:rsidR="00C048C3" w:rsidRPr="001B4A02">
          <w:delText> </w:delText>
        </w:r>
        <w:r w:rsidRPr="001B4A02">
          <w:delText>nichž byla léčba zahájena dávkou 160/80</w:delText>
        </w:r>
        <w:r w:rsidR="00294902">
          <w:delText> mg</w:delText>
        </w:r>
        <w:r w:rsidRPr="001B4A02">
          <w:delText xml:space="preserve"> přípravku Humira, dosáhli klinické remise v</w:delText>
        </w:r>
        <w:r w:rsidR="00AC7C92" w:rsidRPr="001B4A02">
          <w:delText> </w:delText>
        </w:r>
        <w:r w:rsidRPr="001B4A02">
          <w:delText>týdnu 8 v signifikantně vyšším procentu v porovnání s placebem,</w:delText>
        </w:r>
        <w:r w:rsidR="002378E0">
          <w:delText xml:space="preserve"> a </w:delText>
        </w:r>
        <w:r w:rsidRPr="001B4A02">
          <w:delText>to jak ve studii UC-I, kde remise dosáhlo 18</w:delText>
        </w:r>
        <w:r w:rsidR="001E10EB" w:rsidRPr="001B4A02">
          <w:delText> </w:delText>
        </w:r>
        <w:r w:rsidRPr="001B4A02">
          <w:delText>% pacientů léčených přípravkem Humira versus 9</w:delText>
        </w:r>
        <w:r w:rsidR="001E10EB" w:rsidRPr="001B4A02">
          <w:delText> </w:delText>
        </w:r>
        <w:r w:rsidRPr="001B4A02">
          <w:delText>% pacientů léčených placebem (p=0,031), tak ve studii UC-II, kde remise dosáhlo 17</w:delText>
        </w:r>
        <w:r w:rsidR="001E10EB" w:rsidRPr="001B4A02">
          <w:delText> </w:delText>
        </w:r>
        <w:r w:rsidRPr="001B4A02">
          <w:delText>% pacientů léčených přípravkem Humira versus 9% pacientů léčených placebem (p=0,019). U</w:delText>
        </w:r>
        <w:r w:rsidR="00C048C3" w:rsidRPr="001B4A02">
          <w:delText> </w:delText>
        </w:r>
        <w:r w:rsidRPr="001B4A02">
          <w:delText>21 ze 41 subjektů (51</w:delText>
        </w:r>
        <w:r w:rsidR="001E10EB" w:rsidRPr="001B4A02">
          <w:delText> </w:delText>
        </w:r>
        <w:r w:rsidRPr="001B4A02">
          <w:delText>%), jimž byl ve studii UC-II podáván přípravek Humira</w:delText>
        </w:r>
        <w:r w:rsidR="002378E0">
          <w:delText xml:space="preserve"> a </w:delText>
        </w:r>
        <w:r w:rsidRPr="001B4A02">
          <w:delText>kte</w:delText>
        </w:r>
        <w:r w:rsidR="009E024F">
          <w:delText>ré</w:delText>
        </w:r>
        <w:r w:rsidRPr="001B4A02">
          <w:delText xml:space="preserve"> dosáhl</w:delText>
        </w:r>
        <w:r w:rsidR="009E024F">
          <w:delText>y</w:delText>
        </w:r>
        <w:r w:rsidRPr="001B4A02">
          <w:delText xml:space="preserve"> remise v týdnu 8, bylo dosaženo remise i v týdnu 52.</w:delText>
        </w:r>
      </w:del>
    </w:p>
    <w:p w14:paraId="18EEAEDA" w14:textId="77777777" w:rsidR="008F46CE" w:rsidRPr="001B4A02" w:rsidRDefault="008F46CE" w:rsidP="00ED48A3">
      <w:pPr>
        <w:ind w:left="0" w:firstLine="0"/>
        <w:rPr>
          <w:del w:id="7054" w:author="AbbVie1" w:date="2025-05-13T09:50:00Z"/>
        </w:rPr>
      </w:pPr>
    </w:p>
    <w:p w14:paraId="17B6A8E8" w14:textId="77777777" w:rsidR="008F46CE" w:rsidRPr="001B4A02" w:rsidRDefault="00000000" w:rsidP="00ED48A3">
      <w:pPr>
        <w:ind w:left="0" w:firstLine="0"/>
        <w:rPr>
          <w:del w:id="7055" w:author="AbbVie1" w:date="2025-05-13T09:50:00Z"/>
        </w:rPr>
      </w:pPr>
      <w:del w:id="7056" w:author="AbbVie1" w:date="2025-05-13T09:50:00Z">
        <w:r w:rsidRPr="001B4A02">
          <w:delText xml:space="preserve">Výsledky z celé populace studie UC-II jsou zobrazeny v tabulce </w:delText>
        </w:r>
        <w:r w:rsidR="00CC1B29">
          <w:delText>23</w:delText>
        </w:r>
        <w:r w:rsidRPr="001B4A02">
          <w:delText>.</w:delText>
        </w:r>
      </w:del>
    </w:p>
    <w:p w14:paraId="557A793D" w14:textId="77777777" w:rsidR="0006722D" w:rsidRPr="001B4A02" w:rsidRDefault="0006722D" w:rsidP="00ED48A3">
      <w:pPr>
        <w:ind w:left="0" w:firstLine="0"/>
        <w:rPr>
          <w:del w:id="7057" w:author="AbbVie1" w:date="2025-05-13T09:50:00Z"/>
        </w:rPr>
      </w:pPr>
    </w:p>
    <w:p w14:paraId="5689F266" w14:textId="77777777" w:rsidR="0006722D" w:rsidRPr="001B4A02" w:rsidRDefault="00000000" w:rsidP="00ED48A3">
      <w:pPr>
        <w:keepNext/>
        <w:ind w:left="0" w:firstLine="0"/>
        <w:jc w:val="center"/>
        <w:rPr>
          <w:del w:id="7058" w:author="AbbVie1" w:date="2025-05-13T09:50:00Z"/>
          <w:b/>
        </w:rPr>
      </w:pPr>
      <w:del w:id="7059" w:author="AbbVie1" w:date="2025-05-13T09:50:00Z">
        <w:r w:rsidRPr="001B4A02">
          <w:rPr>
            <w:b/>
          </w:rPr>
          <w:delText xml:space="preserve">Tabulka </w:delText>
        </w:r>
        <w:r w:rsidR="00CC1B29">
          <w:rPr>
            <w:b/>
          </w:rPr>
          <w:delText>23</w:delText>
        </w:r>
      </w:del>
    </w:p>
    <w:p w14:paraId="052519B6" w14:textId="77777777" w:rsidR="0006722D" w:rsidRPr="001B4A02" w:rsidRDefault="00000000" w:rsidP="00ED48A3">
      <w:pPr>
        <w:keepNext/>
        <w:ind w:left="0" w:firstLine="0"/>
        <w:jc w:val="center"/>
        <w:rPr>
          <w:del w:id="7060" w:author="AbbVie1" w:date="2025-05-13T09:50:00Z"/>
          <w:b/>
        </w:rPr>
      </w:pPr>
      <w:del w:id="7061" w:author="AbbVie1" w:date="2025-05-13T09:50:00Z">
        <w:r w:rsidRPr="001B4A02">
          <w:rPr>
            <w:b/>
          </w:rPr>
          <w:delText>Odpovědi, remise</w:delText>
        </w:r>
        <w:r w:rsidR="002378E0">
          <w:rPr>
            <w:b/>
          </w:rPr>
          <w:delText xml:space="preserve"> a </w:delText>
        </w:r>
        <w:r w:rsidR="00455627" w:rsidRPr="001B4A02">
          <w:rPr>
            <w:b/>
          </w:rPr>
          <w:delText xml:space="preserve">slizniční </w:delText>
        </w:r>
        <w:r w:rsidRPr="001B4A02">
          <w:rPr>
            <w:b/>
          </w:rPr>
          <w:delText>hojení ve studii UC-II</w:delText>
        </w:r>
      </w:del>
    </w:p>
    <w:p w14:paraId="7B5808BF" w14:textId="77777777" w:rsidR="0006722D" w:rsidRPr="001B4A02" w:rsidRDefault="00000000" w:rsidP="00ED48A3">
      <w:pPr>
        <w:keepNext/>
        <w:ind w:left="0" w:firstLine="0"/>
        <w:jc w:val="center"/>
        <w:rPr>
          <w:del w:id="7062" w:author="AbbVie1" w:date="2025-05-13T09:50:00Z"/>
        </w:rPr>
      </w:pPr>
      <w:del w:id="7063" w:author="AbbVie1" w:date="2025-05-13T09:50:00Z">
        <w:r w:rsidRPr="001B4A02">
          <w:rPr>
            <w:b/>
          </w:rPr>
          <w:delText>(</w:delText>
        </w:r>
        <w:r w:rsidR="008B0D08" w:rsidRPr="001B4A02">
          <w:rPr>
            <w:b/>
          </w:rPr>
          <w:delText>P</w:delText>
        </w:r>
        <w:r w:rsidRPr="001B4A02">
          <w:rPr>
            <w:b/>
          </w:rPr>
          <w:delText>rocento pacientů)</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2902"/>
        <w:gridCol w:w="2903"/>
      </w:tblGrid>
      <w:tr w:rsidR="00534A2D" w14:paraId="1B09FEC9" w14:textId="77777777" w:rsidTr="000F1E90">
        <w:trPr>
          <w:del w:id="7064" w:author="AbbVie1" w:date="2025-05-13T09:50:00Z"/>
        </w:trPr>
        <w:tc>
          <w:tcPr>
            <w:tcW w:w="3256" w:type="dxa"/>
            <w:shd w:val="clear" w:color="auto" w:fill="auto"/>
          </w:tcPr>
          <w:p w14:paraId="7B5478FA" w14:textId="77777777" w:rsidR="000D4B6E" w:rsidRPr="001B4A02" w:rsidRDefault="000D4B6E" w:rsidP="00ED48A3">
            <w:pPr>
              <w:keepNext/>
              <w:ind w:left="0" w:firstLine="0"/>
              <w:jc w:val="center"/>
              <w:rPr>
                <w:del w:id="7065" w:author="AbbVie1" w:date="2025-05-13T09:50:00Z"/>
              </w:rPr>
            </w:pPr>
          </w:p>
        </w:tc>
        <w:tc>
          <w:tcPr>
            <w:tcW w:w="2902" w:type="dxa"/>
            <w:shd w:val="clear" w:color="auto" w:fill="auto"/>
          </w:tcPr>
          <w:p w14:paraId="72B1F6BE" w14:textId="77777777" w:rsidR="000D4B6E" w:rsidRPr="001B4A02" w:rsidRDefault="00000000" w:rsidP="00ED48A3">
            <w:pPr>
              <w:keepNext/>
              <w:ind w:left="0" w:firstLine="0"/>
              <w:jc w:val="center"/>
              <w:rPr>
                <w:del w:id="7066" w:author="AbbVie1" w:date="2025-05-13T09:50:00Z"/>
              </w:rPr>
            </w:pPr>
            <w:del w:id="7067" w:author="AbbVie1" w:date="2025-05-13T09:50:00Z">
              <w:r w:rsidRPr="001B4A02">
                <w:delText>Placebo</w:delText>
              </w:r>
            </w:del>
          </w:p>
        </w:tc>
        <w:tc>
          <w:tcPr>
            <w:tcW w:w="2903" w:type="dxa"/>
            <w:shd w:val="clear" w:color="auto" w:fill="auto"/>
          </w:tcPr>
          <w:p w14:paraId="3053D4D4" w14:textId="77777777" w:rsidR="000D4B6E" w:rsidRPr="001B4A02" w:rsidRDefault="00000000" w:rsidP="00ED48A3">
            <w:pPr>
              <w:keepNext/>
              <w:ind w:left="0" w:firstLine="0"/>
              <w:jc w:val="center"/>
              <w:rPr>
                <w:del w:id="7068" w:author="AbbVie1" w:date="2025-05-13T09:50:00Z"/>
              </w:rPr>
            </w:pPr>
            <w:del w:id="7069" w:author="AbbVie1" w:date="2025-05-13T09:50:00Z">
              <w:r w:rsidRPr="001B4A02">
                <w:delText>Humira 40</w:delText>
              </w:r>
              <w:r w:rsidR="00294902">
                <w:delText> mg</w:delText>
              </w:r>
              <w:r w:rsidRPr="001B4A02">
                <w:delText xml:space="preserve"> </w:delText>
              </w:r>
            </w:del>
          </w:p>
          <w:p w14:paraId="1B18A1F5" w14:textId="77777777" w:rsidR="000D4B6E" w:rsidRPr="001B4A02" w:rsidRDefault="00000000" w:rsidP="00ED48A3">
            <w:pPr>
              <w:keepNext/>
              <w:ind w:left="0" w:firstLine="0"/>
              <w:jc w:val="center"/>
              <w:rPr>
                <w:del w:id="7070" w:author="AbbVie1" w:date="2025-05-13T09:50:00Z"/>
              </w:rPr>
            </w:pPr>
            <w:del w:id="7071" w:author="AbbVie1" w:date="2025-05-13T09:50:00Z">
              <w:r w:rsidRPr="001B4A02">
                <w:delText>každý druhý týden</w:delText>
              </w:r>
            </w:del>
          </w:p>
        </w:tc>
      </w:tr>
      <w:tr w:rsidR="00534A2D" w14:paraId="71D26AF2" w14:textId="77777777" w:rsidTr="000F1E90">
        <w:trPr>
          <w:del w:id="7072" w:author="AbbVie1" w:date="2025-05-13T09:50:00Z"/>
        </w:trPr>
        <w:tc>
          <w:tcPr>
            <w:tcW w:w="3256" w:type="dxa"/>
            <w:shd w:val="clear" w:color="auto" w:fill="auto"/>
          </w:tcPr>
          <w:p w14:paraId="69802322" w14:textId="77777777" w:rsidR="0006722D" w:rsidRPr="001B4A02" w:rsidRDefault="00000000" w:rsidP="00ED48A3">
            <w:pPr>
              <w:keepNext/>
              <w:ind w:left="0" w:firstLine="0"/>
              <w:jc w:val="center"/>
              <w:rPr>
                <w:del w:id="7073" w:author="AbbVie1" w:date="2025-05-13T09:50:00Z"/>
                <w:b/>
              </w:rPr>
            </w:pPr>
            <w:del w:id="7074" w:author="AbbVie1" w:date="2025-05-13T09:50:00Z">
              <w:r w:rsidRPr="001B4A02">
                <w:rPr>
                  <w:b/>
                </w:rPr>
                <w:delText>Týden 52</w:delText>
              </w:r>
            </w:del>
          </w:p>
        </w:tc>
        <w:tc>
          <w:tcPr>
            <w:tcW w:w="2902" w:type="dxa"/>
            <w:shd w:val="clear" w:color="auto" w:fill="auto"/>
          </w:tcPr>
          <w:p w14:paraId="73D0BF71" w14:textId="77777777" w:rsidR="0006722D" w:rsidRPr="001B4A02" w:rsidRDefault="00000000" w:rsidP="00ED48A3">
            <w:pPr>
              <w:keepNext/>
              <w:ind w:left="0" w:firstLine="0"/>
              <w:jc w:val="center"/>
              <w:rPr>
                <w:del w:id="7075" w:author="AbbVie1" w:date="2025-05-13T09:50:00Z"/>
                <w:b/>
              </w:rPr>
            </w:pPr>
            <w:del w:id="7076" w:author="AbbVie1" w:date="2025-05-13T09:50:00Z">
              <w:r>
                <w:rPr>
                  <w:b/>
                </w:rPr>
                <w:delText>n</w:delText>
              </w:r>
              <w:r w:rsidR="0033328D" w:rsidRPr="001B4A02">
                <w:rPr>
                  <w:b/>
                </w:rPr>
                <w:delText>=246</w:delText>
              </w:r>
            </w:del>
          </w:p>
        </w:tc>
        <w:tc>
          <w:tcPr>
            <w:tcW w:w="2903" w:type="dxa"/>
            <w:shd w:val="clear" w:color="auto" w:fill="auto"/>
          </w:tcPr>
          <w:p w14:paraId="2A4D4811" w14:textId="77777777" w:rsidR="0006722D" w:rsidRPr="001B4A02" w:rsidRDefault="00000000" w:rsidP="00ED48A3">
            <w:pPr>
              <w:keepNext/>
              <w:ind w:left="0" w:firstLine="0"/>
              <w:jc w:val="center"/>
              <w:rPr>
                <w:del w:id="7077" w:author="AbbVie1" w:date="2025-05-13T09:50:00Z"/>
                <w:b/>
              </w:rPr>
            </w:pPr>
            <w:del w:id="7078" w:author="AbbVie1" w:date="2025-05-13T09:50:00Z">
              <w:r>
                <w:rPr>
                  <w:b/>
                </w:rPr>
                <w:delText>n</w:delText>
              </w:r>
              <w:r w:rsidR="0033328D" w:rsidRPr="001B4A02">
                <w:rPr>
                  <w:b/>
                </w:rPr>
                <w:delText>=248</w:delText>
              </w:r>
            </w:del>
          </w:p>
        </w:tc>
      </w:tr>
      <w:tr w:rsidR="00534A2D" w14:paraId="2560F70F" w14:textId="77777777" w:rsidTr="000F1E90">
        <w:trPr>
          <w:del w:id="7079" w:author="AbbVie1" w:date="2025-05-13T09:50:00Z"/>
        </w:trPr>
        <w:tc>
          <w:tcPr>
            <w:tcW w:w="3256" w:type="dxa"/>
            <w:shd w:val="clear" w:color="auto" w:fill="auto"/>
          </w:tcPr>
          <w:p w14:paraId="305DBDA7" w14:textId="77777777" w:rsidR="0006722D" w:rsidRPr="001B4A02" w:rsidRDefault="00000000" w:rsidP="00ED48A3">
            <w:pPr>
              <w:keepNext/>
              <w:ind w:left="0" w:firstLine="0"/>
              <w:rPr>
                <w:del w:id="7080" w:author="AbbVie1" w:date="2025-05-13T09:50:00Z"/>
              </w:rPr>
            </w:pPr>
            <w:del w:id="7081" w:author="AbbVie1" w:date="2025-05-13T09:50:00Z">
              <w:r w:rsidRPr="001B4A02">
                <w:delText>Klinická odpověď</w:delText>
              </w:r>
            </w:del>
          </w:p>
        </w:tc>
        <w:tc>
          <w:tcPr>
            <w:tcW w:w="2902" w:type="dxa"/>
            <w:shd w:val="clear" w:color="auto" w:fill="auto"/>
          </w:tcPr>
          <w:p w14:paraId="17416D56" w14:textId="77777777" w:rsidR="0006722D" w:rsidRPr="001B4A02" w:rsidRDefault="00000000" w:rsidP="00ED48A3">
            <w:pPr>
              <w:keepNext/>
              <w:ind w:left="0" w:firstLine="0"/>
              <w:jc w:val="center"/>
              <w:rPr>
                <w:del w:id="7082" w:author="AbbVie1" w:date="2025-05-13T09:50:00Z"/>
              </w:rPr>
            </w:pPr>
            <w:del w:id="7083" w:author="AbbVie1" w:date="2025-05-13T09:50:00Z">
              <w:r w:rsidRPr="001B4A02">
                <w:delText>18</w:delText>
              </w:r>
              <w:r w:rsidR="001E10EB" w:rsidRPr="001B4A02">
                <w:delText> </w:delText>
              </w:r>
              <w:r w:rsidRPr="001B4A02">
                <w:delText>%</w:delText>
              </w:r>
            </w:del>
          </w:p>
        </w:tc>
        <w:tc>
          <w:tcPr>
            <w:tcW w:w="2903" w:type="dxa"/>
            <w:shd w:val="clear" w:color="auto" w:fill="auto"/>
          </w:tcPr>
          <w:p w14:paraId="440C4286" w14:textId="77777777" w:rsidR="0006722D" w:rsidRPr="001B4A02" w:rsidRDefault="00000000" w:rsidP="00ED48A3">
            <w:pPr>
              <w:keepNext/>
              <w:ind w:left="0" w:firstLine="0"/>
              <w:jc w:val="center"/>
              <w:rPr>
                <w:del w:id="7084" w:author="AbbVie1" w:date="2025-05-13T09:50:00Z"/>
              </w:rPr>
            </w:pPr>
            <w:del w:id="7085" w:author="AbbVie1" w:date="2025-05-13T09:50:00Z">
              <w:r w:rsidRPr="001B4A02">
                <w:delText>30</w:delText>
              </w:r>
              <w:r w:rsidR="001E10EB" w:rsidRPr="001B4A02">
                <w:delText> </w:delText>
              </w:r>
              <w:r w:rsidRPr="001B4A02">
                <w:delText>%*</w:delText>
              </w:r>
            </w:del>
          </w:p>
        </w:tc>
      </w:tr>
      <w:tr w:rsidR="00534A2D" w14:paraId="7302DBDD" w14:textId="77777777" w:rsidTr="000F1E90">
        <w:trPr>
          <w:del w:id="7086" w:author="AbbVie1" w:date="2025-05-13T09:50:00Z"/>
        </w:trPr>
        <w:tc>
          <w:tcPr>
            <w:tcW w:w="3256" w:type="dxa"/>
            <w:shd w:val="clear" w:color="auto" w:fill="auto"/>
          </w:tcPr>
          <w:p w14:paraId="13F2AEE7" w14:textId="77777777" w:rsidR="0006722D" w:rsidRPr="001B4A02" w:rsidRDefault="00000000" w:rsidP="00ED48A3">
            <w:pPr>
              <w:keepNext/>
              <w:ind w:left="0" w:firstLine="0"/>
              <w:rPr>
                <w:del w:id="7087" w:author="AbbVie1" w:date="2025-05-13T09:50:00Z"/>
              </w:rPr>
            </w:pPr>
            <w:del w:id="7088" w:author="AbbVie1" w:date="2025-05-13T09:50:00Z">
              <w:r w:rsidRPr="001B4A02">
                <w:delText>Klinická remise</w:delText>
              </w:r>
            </w:del>
          </w:p>
        </w:tc>
        <w:tc>
          <w:tcPr>
            <w:tcW w:w="2902" w:type="dxa"/>
            <w:shd w:val="clear" w:color="auto" w:fill="auto"/>
          </w:tcPr>
          <w:p w14:paraId="602C8D16" w14:textId="77777777" w:rsidR="0006722D" w:rsidRPr="001B4A02" w:rsidRDefault="00000000" w:rsidP="00ED48A3">
            <w:pPr>
              <w:keepNext/>
              <w:ind w:left="0" w:firstLine="0"/>
              <w:jc w:val="center"/>
              <w:rPr>
                <w:del w:id="7089" w:author="AbbVie1" w:date="2025-05-13T09:50:00Z"/>
              </w:rPr>
            </w:pPr>
            <w:del w:id="7090" w:author="AbbVie1" w:date="2025-05-13T09:50:00Z">
              <w:r w:rsidRPr="001B4A02">
                <w:delText>9</w:delText>
              </w:r>
              <w:r w:rsidR="001E10EB" w:rsidRPr="001B4A02">
                <w:delText> </w:delText>
              </w:r>
              <w:r w:rsidRPr="001B4A02">
                <w:delText>%</w:delText>
              </w:r>
            </w:del>
          </w:p>
        </w:tc>
        <w:tc>
          <w:tcPr>
            <w:tcW w:w="2903" w:type="dxa"/>
            <w:shd w:val="clear" w:color="auto" w:fill="auto"/>
          </w:tcPr>
          <w:p w14:paraId="282D7589" w14:textId="77777777" w:rsidR="0006722D" w:rsidRPr="001B4A02" w:rsidRDefault="00000000" w:rsidP="00ED48A3">
            <w:pPr>
              <w:keepNext/>
              <w:ind w:left="0" w:firstLine="0"/>
              <w:jc w:val="center"/>
              <w:rPr>
                <w:del w:id="7091" w:author="AbbVie1" w:date="2025-05-13T09:50:00Z"/>
              </w:rPr>
            </w:pPr>
            <w:del w:id="7092" w:author="AbbVie1" w:date="2025-05-13T09:50:00Z">
              <w:r w:rsidRPr="001B4A02">
                <w:delText>17</w:delText>
              </w:r>
              <w:r w:rsidR="001E10EB" w:rsidRPr="001B4A02">
                <w:delText> </w:delText>
              </w:r>
              <w:r w:rsidRPr="001B4A02">
                <w:delText>%*</w:delText>
              </w:r>
            </w:del>
          </w:p>
        </w:tc>
      </w:tr>
      <w:tr w:rsidR="00534A2D" w14:paraId="1BD05CDA" w14:textId="77777777" w:rsidTr="000F1E90">
        <w:trPr>
          <w:del w:id="7093" w:author="AbbVie1" w:date="2025-05-13T09:50:00Z"/>
        </w:trPr>
        <w:tc>
          <w:tcPr>
            <w:tcW w:w="3256" w:type="dxa"/>
            <w:shd w:val="clear" w:color="auto" w:fill="auto"/>
          </w:tcPr>
          <w:p w14:paraId="4FB997FB" w14:textId="77777777" w:rsidR="0006722D" w:rsidRPr="001B4A02" w:rsidRDefault="00000000" w:rsidP="00ED48A3">
            <w:pPr>
              <w:keepNext/>
              <w:ind w:left="0" w:firstLine="0"/>
              <w:rPr>
                <w:del w:id="7094" w:author="AbbVie1" w:date="2025-05-13T09:50:00Z"/>
              </w:rPr>
            </w:pPr>
            <w:del w:id="7095" w:author="AbbVie1" w:date="2025-05-13T09:50:00Z">
              <w:r w:rsidRPr="001B4A02">
                <w:delText>Sliziniční h</w:delText>
              </w:r>
              <w:r w:rsidR="0033328D" w:rsidRPr="001B4A02">
                <w:delText>ojení</w:delText>
              </w:r>
            </w:del>
          </w:p>
        </w:tc>
        <w:tc>
          <w:tcPr>
            <w:tcW w:w="2902" w:type="dxa"/>
            <w:shd w:val="clear" w:color="auto" w:fill="auto"/>
          </w:tcPr>
          <w:p w14:paraId="1E086B33" w14:textId="77777777" w:rsidR="0006722D" w:rsidRPr="001B4A02" w:rsidRDefault="00000000" w:rsidP="00ED48A3">
            <w:pPr>
              <w:keepNext/>
              <w:ind w:left="0" w:firstLine="0"/>
              <w:jc w:val="center"/>
              <w:rPr>
                <w:del w:id="7096" w:author="AbbVie1" w:date="2025-05-13T09:50:00Z"/>
              </w:rPr>
            </w:pPr>
            <w:del w:id="7097" w:author="AbbVie1" w:date="2025-05-13T09:50:00Z">
              <w:r w:rsidRPr="001B4A02">
                <w:delText>15</w:delText>
              </w:r>
              <w:r w:rsidR="001E10EB" w:rsidRPr="001B4A02">
                <w:delText> </w:delText>
              </w:r>
              <w:r w:rsidRPr="001B4A02">
                <w:delText>%</w:delText>
              </w:r>
            </w:del>
          </w:p>
        </w:tc>
        <w:tc>
          <w:tcPr>
            <w:tcW w:w="2903" w:type="dxa"/>
            <w:shd w:val="clear" w:color="auto" w:fill="auto"/>
          </w:tcPr>
          <w:p w14:paraId="44055666" w14:textId="77777777" w:rsidR="0006722D" w:rsidRPr="001B4A02" w:rsidRDefault="00000000" w:rsidP="00ED48A3">
            <w:pPr>
              <w:keepNext/>
              <w:ind w:left="0" w:firstLine="0"/>
              <w:jc w:val="center"/>
              <w:rPr>
                <w:del w:id="7098" w:author="AbbVie1" w:date="2025-05-13T09:50:00Z"/>
              </w:rPr>
            </w:pPr>
            <w:del w:id="7099" w:author="AbbVie1" w:date="2025-05-13T09:50:00Z">
              <w:r w:rsidRPr="001B4A02">
                <w:delText>25</w:delText>
              </w:r>
              <w:r w:rsidR="001E10EB" w:rsidRPr="001B4A02">
                <w:delText> </w:delText>
              </w:r>
              <w:r w:rsidRPr="001B4A02">
                <w:delText>%*</w:delText>
              </w:r>
            </w:del>
          </w:p>
        </w:tc>
      </w:tr>
      <w:tr w:rsidR="00534A2D" w14:paraId="0E7F0646" w14:textId="77777777" w:rsidTr="000F1E90">
        <w:trPr>
          <w:del w:id="7100" w:author="AbbVie1" w:date="2025-05-13T09:50:00Z"/>
        </w:trPr>
        <w:tc>
          <w:tcPr>
            <w:tcW w:w="3256" w:type="dxa"/>
            <w:shd w:val="clear" w:color="auto" w:fill="auto"/>
          </w:tcPr>
          <w:p w14:paraId="2386C9D9" w14:textId="77777777" w:rsidR="0033328D" w:rsidRPr="001B4A02" w:rsidRDefault="00000000" w:rsidP="00ED48A3">
            <w:pPr>
              <w:keepNext/>
              <w:ind w:left="0" w:firstLine="0"/>
              <w:rPr>
                <w:del w:id="7101" w:author="AbbVie1" w:date="2025-05-13T09:50:00Z"/>
              </w:rPr>
            </w:pPr>
            <w:del w:id="7102" w:author="AbbVie1" w:date="2025-05-13T09:50:00Z">
              <w:r w:rsidRPr="001B4A02">
                <w:delText>Remise bez steroidů po ≥ 90 dní</w:delText>
              </w:r>
              <w:r w:rsidRPr="001B4A02">
                <w:rPr>
                  <w:vertAlign w:val="superscript"/>
                </w:rPr>
                <w:delText xml:space="preserve">a </w:delText>
              </w:r>
            </w:del>
          </w:p>
        </w:tc>
        <w:tc>
          <w:tcPr>
            <w:tcW w:w="2902" w:type="dxa"/>
            <w:shd w:val="clear" w:color="auto" w:fill="auto"/>
          </w:tcPr>
          <w:p w14:paraId="04FA5B95" w14:textId="77777777" w:rsidR="0006722D" w:rsidRPr="001B4A02" w:rsidRDefault="00000000" w:rsidP="00ED48A3">
            <w:pPr>
              <w:keepNext/>
              <w:ind w:left="0" w:firstLine="0"/>
              <w:jc w:val="center"/>
              <w:rPr>
                <w:del w:id="7103" w:author="AbbVie1" w:date="2025-05-13T09:50:00Z"/>
              </w:rPr>
            </w:pPr>
            <w:del w:id="7104" w:author="AbbVie1" w:date="2025-05-13T09:50:00Z">
              <w:r w:rsidRPr="001B4A02">
                <w:delText>6</w:delText>
              </w:r>
              <w:r w:rsidR="001E10EB" w:rsidRPr="001B4A02">
                <w:delText> </w:delText>
              </w:r>
              <w:r w:rsidRPr="001B4A02">
                <w:delText>%</w:delText>
              </w:r>
            </w:del>
          </w:p>
          <w:p w14:paraId="13981D20" w14:textId="77777777" w:rsidR="00626120" w:rsidRPr="001B4A02" w:rsidRDefault="00000000" w:rsidP="00ED48A3">
            <w:pPr>
              <w:keepNext/>
              <w:ind w:left="0" w:firstLine="0"/>
              <w:jc w:val="center"/>
              <w:rPr>
                <w:del w:id="7105" w:author="AbbVie1" w:date="2025-05-13T09:50:00Z"/>
              </w:rPr>
            </w:pPr>
            <w:del w:id="7106" w:author="AbbVie1" w:date="2025-05-13T09:50:00Z">
              <w:r w:rsidRPr="001B4A02">
                <w:delText>(</w:delText>
              </w:r>
              <w:r w:rsidR="00610431">
                <w:delText>n</w:delText>
              </w:r>
              <w:r w:rsidRPr="001B4A02">
                <w:delText>=140)</w:delText>
              </w:r>
            </w:del>
          </w:p>
        </w:tc>
        <w:tc>
          <w:tcPr>
            <w:tcW w:w="2903" w:type="dxa"/>
            <w:shd w:val="clear" w:color="auto" w:fill="auto"/>
          </w:tcPr>
          <w:p w14:paraId="4DA21EBB" w14:textId="77777777" w:rsidR="0006722D" w:rsidRPr="001B4A02" w:rsidRDefault="00000000" w:rsidP="00ED48A3">
            <w:pPr>
              <w:keepNext/>
              <w:ind w:left="0" w:firstLine="0"/>
              <w:jc w:val="center"/>
              <w:rPr>
                <w:del w:id="7107" w:author="AbbVie1" w:date="2025-05-13T09:50:00Z"/>
              </w:rPr>
            </w:pPr>
            <w:del w:id="7108" w:author="AbbVie1" w:date="2025-05-13T09:50:00Z">
              <w:r w:rsidRPr="001B4A02">
                <w:delText>13</w:delText>
              </w:r>
              <w:r w:rsidR="001E10EB" w:rsidRPr="001B4A02">
                <w:delText> </w:delText>
              </w:r>
              <w:r w:rsidRPr="001B4A02">
                <w:delText>%*</w:delText>
              </w:r>
            </w:del>
          </w:p>
          <w:p w14:paraId="5F81B80F" w14:textId="77777777" w:rsidR="002A1485" w:rsidRPr="001B4A02" w:rsidRDefault="00000000" w:rsidP="00ED48A3">
            <w:pPr>
              <w:keepNext/>
              <w:ind w:left="0" w:firstLine="0"/>
              <w:jc w:val="center"/>
              <w:rPr>
                <w:del w:id="7109" w:author="AbbVie1" w:date="2025-05-13T09:50:00Z"/>
              </w:rPr>
            </w:pPr>
            <w:del w:id="7110" w:author="AbbVie1" w:date="2025-05-13T09:50:00Z">
              <w:r w:rsidRPr="001B4A02">
                <w:delText>(</w:delText>
              </w:r>
              <w:r w:rsidR="00610431">
                <w:delText>n</w:delText>
              </w:r>
              <w:r w:rsidRPr="001B4A02">
                <w:delText>=150)</w:delText>
              </w:r>
            </w:del>
          </w:p>
        </w:tc>
      </w:tr>
      <w:tr w:rsidR="00534A2D" w14:paraId="3E9F7AD2" w14:textId="77777777" w:rsidTr="000F1E90">
        <w:trPr>
          <w:del w:id="7111" w:author="AbbVie1" w:date="2025-05-13T09:50:00Z"/>
        </w:trPr>
        <w:tc>
          <w:tcPr>
            <w:tcW w:w="3256" w:type="dxa"/>
            <w:shd w:val="clear" w:color="auto" w:fill="auto"/>
          </w:tcPr>
          <w:p w14:paraId="3A205158" w14:textId="77777777" w:rsidR="002A1485" w:rsidRPr="001B4A02" w:rsidRDefault="00000000" w:rsidP="00ED48A3">
            <w:pPr>
              <w:keepNext/>
              <w:ind w:left="0" w:firstLine="0"/>
              <w:jc w:val="center"/>
              <w:rPr>
                <w:del w:id="7112" w:author="AbbVie1" w:date="2025-05-13T09:50:00Z"/>
                <w:b/>
              </w:rPr>
            </w:pPr>
            <w:del w:id="7113" w:author="AbbVie1" w:date="2025-05-13T09:50:00Z">
              <w:r w:rsidRPr="001B4A02">
                <w:rPr>
                  <w:b/>
                </w:rPr>
                <w:delText>Týden 8</w:delText>
              </w:r>
              <w:r w:rsidR="002378E0">
                <w:rPr>
                  <w:b/>
                </w:rPr>
                <w:delText xml:space="preserve"> a </w:delText>
              </w:r>
              <w:r w:rsidRPr="001B4A02">
                <w:rPr>
                  <w:b/>
                </w:rPr>
                <w:delText>52</w:delText>
              </w:r>
            </w:del>
          </w:p>
        </w:tc>
        <w:tc>
          <w:tcPr>
            <w:tcW w:w="5805" w:type="dxa"/>
            <w:gridSpan w:val="2"/>
            <w:shd w:val="clear" w:color="auto" w:fill="auto"/>
          </w:tcPr>
          <w:p w14:paraId="04DD735D" w14:textId="77777777" w:rsidR="002A1485" w:rsidRPr="001B4A02" w:rsidRDefault="002A1485" w:rsidP="00ED48A3">
            <w:pPr>
              <w:keepNext/>
              <w:ind w:left="0" w:firstLine="0"/>
              <w:jc w:val="center"/>
              <w:rPr>
                <w:del w:id="7114" w:author="AbbVie1" w:date="2025-05-13T09:50:00Z"/>
              </w:rPr>
            </w:pPr>
          </w:p>
        </w:tc>
      </w:tr>
      <w:tr w:rsidR="00534A2D" w14:paraId="4EF4F105" w14:textId="77777777" w:rsidTr="000F1E90">
        <w:trPr>
          <w:del w:id="7115" w:author="AbbVie1" w:date="2025-05-13T09:50:00Z"/>
        </w:trPr>
        <w:tc>
          <w:tcPr>
            <w:tcW w:w="3256" w:type="dxa"/>
            <w:shd w:val="clear" w:color="auto" w:fill="auto"/>
          </w:tcPr>
          <w:p w14:paraId="0737A16F" w14:textId="77777777" w:rsidR="0006722D" w:rsidRPr="001B4A02" w:rsidRDefault="00000000" w:rsidP="00ED48A3">
            <w:pPr>
              <w:keepNext/>
              <w:ind w:left="0" w:firstLine="0"/>
              <w:rPr>
                <w:del w:id="7116" w:author="AbbVie1" w:date="2025-05-13T09:50:00Z"/>
              </w:rPr>
            </w:pPr>
            <w:del w:id="7117" w:author="AbbVie1" w:date="2025-05-13T09:50:00Z">
              <w:r w:rsidRPr="001B4A02">
                <w:delText>Udržení odpovědi</w:delText>
              </w:r>
            </w:del>
          </w:p>
        </w:tc>
        <w:tc>
          <w:tcPr>
            <w:tcW w:w="2902" w:type="dxa"/>
            <w:shd w:val="clear" w:color="auto" w:fill="auto"/>
          </w:tcPr>
          <w:p w14:paraId="7C38DC50" w14:textId="77777777" w:rsidR="0006722D" w:rsidRPr="001B4A02" w:rsidRDefault="00000000" w:rsidP="00ED48A3">
            <w:pPr>
              <w:keepNext/>
              <w:ind w:left="0" w:firstLine="0"/>
              <w:jc w:val="center"/>
              <w:rPr>
                <w:del w:id="7118" w:author="AbbVie1" w:date="2025-05-13T09:50:00Z"/>
              </w:rPr>
            </w:pPr>
            <w:del w:id="7119" w:author="AbbVie1" w:date="2025-05-13T09:50:00Z">
              <w:r w:rsidRPr="001B4A02">
                <w:delText>12</w:delText>
              </w:r>
              <w:r w:rsidR="001E10EB" w:rsidRPr="001B4A02">
                <w:delText> </w:delText>
              </w:r>
              <w:r w:rsidRPr="001B4A02">
                <w:delText>%</w:delText>
              </w:r>
            </w:del>
          </w:p>
        </w:tc>
        <w:tc>
          <w:tcPr>
            <w:tcW w:w="2903" w:type="dxa"/>
            <w:shd w:val="clear" w:color="auto" w:fill="auto"/>
          </w:tcPr>
          <w:p w14:paraId="2C68E3B9" w14:textId="77777777" w:rsidR="0006722D" w:rsidRPr="001B4A02" w:rsidRDefault="00000000" w:rsidP="00ED48A3">
            <w:pPr>
              <w:keepNext/>
              <w:ind w:left="0" w:firstLine="0"/>
              <w:jc w:val="center"/>
              <w:rPr>
                <w:del w:id="7120" w:author="AbbVie1" w:date="2025-05-13T09:50:00Z"/>
              </w:rPr>
            </w:pPr>
            <w:del w:id="7121" w:author="AbbVie1" w:date="2025-05-13T09:50:00Z">
              <w:r w:rsidRPr="001B4A02">
                <w:delText>24</w:delText>
              </w:r>
              <w:r w:rsidR="001E10EB" w:rsidRPr="001B4A02">
                <w:delText> </w:delText>
              </w:r>
              <w:r w:rsidRPr="001B4A02">
                <w:delText>%**</w:delText>
              </w:r>
            </w:del>
          </w:p>
        </w:tc>
      </w:tr>
      <w:tr w:rsidR="00534A2D" w14:paraId="6F13593F" w14:textId="77777777" w:rsidTr="000F1E90">
        <w:trPr>
          <w:del w:id="7122" w:author="AbbVie1" w:date="2025-05-13T09:50:00Z"/>
        </w:trPr>
        <w:tc>
          <w:tcPr>
            <w:tcW w:w="3256" w:type="dxa"/>
            <w:shd w:val="clear" w:color="auto" w:fill="auto"/>
          </w:tcPr>
          <w:p w14:paraId="25CF2B3A" w14:textId="77777777" w:rsidR="0006722D" w:rsidRPr="001B4A02" w:rsidRDefault="00000000" w:rsidP="00ED48A3">
            <w:pPr>
              <w:keepNext/>
              <w:ind w:left="0" w:firstLine="0"/>
              <w:rPr>
                <w:del w:id="7123" w:author="AbbVie1" w:date="2025-05-13T09:50:00Z"/>
              </w:rPr>
            </w:pPr>
            <w:del w:id="7124" w:author="AbbVie1" w:date="2025-05-13T09:50:00Z">
              <w:r w:rsidRPr="001B4A02">
                <w:delText>Udržení remise</w:delText>
              </w:r>
            </w:del>
          </w:p>
        </w:tc>
        <w:tc>
          <w:tcPr>
            <w:tcW w:w="2902" w:type="dxa"/>
            <w:shd w:val="clear" w:color="auto" w:fill="auto"/>
          </w:tcPr>
          <w:p w14:paraId="17BA24D1" w14:textId="77777777" w:rsidR="0006722D" w:rsidRPr="001B4A02" w:rsidRDefault="00000000" w:rsidP="00ED48A3">
            <w:pPr>
              <w:keepNext/>
              <w:ind w:left="0" w:firstLine="0"/>
              <w:jc w:val="center"/>
              <w:rPr>
                <w:del w:id="7125" w:author="AbbVie1" w:date="2025-05-13T09:50:00Z"/>
              </w:rPr>
            </w:pPr>
            <w:del w:id="7126" w:author="AbbVie1" w:date="2025-05-13T09:50:00Z">
              <w:r w:rsidRPr="001B4A02">
                <w:delText>4</w:delText>
              </w:r>
              <w:r w:rsidR="001E10EB" w:rsidRPr="001B4A02">
                <w:delText> </w:delText>
              </w:r>
              <w:r w:rsidRPr="001B4A02">
                <w:delText>%</w:delText>
              </w:r>
            </w:del>
          </w:p>
        </w:tc>
        <w:tc>
          <w:tcPr>
            <w:tcW w:w="2903" w:type="dxa"/>
            <w:shd w:val="clear" w:color="auto" w:fill="auto"/>
          </w:tcPr>
          <w:p w14:paraId="5B232A1C" w14:textId="77777777" w:rsidR="0006722D" w:rsidRPr="001B4A02" w:rsidRDefault="00000000" w:rsidP="00ED48A3">
            <w:pPr>
              <w:keepNext/>
              <w:ind w:left="0" w:firstLine="0"/>
              <w:jc w:val="center"/>
              <w:rPr>
                <w:del w:id="7127" w:author="AbbVie1" w:date="2025-05-13T09:50:00Z"/>
              </w:rPr>
            </w:pPr>
            <w:del w:id="7128" w:author="AbbVie1" w:date="2025-05-13T09:50:00Z">
              <w:r w:rsidRPr="001B4A02">
                <w:delText>8</w:delText>
              </w:r>
              <w:r w:rsidR="001E10EB" w:rsidRPr="001B4A02">
                <w:delText> </w:delText>
              </w:r>
              <w:r w:rsidRPr="001B4A02">
                <w:delText>%*</w:delText>
              </w:r>
            </w:del>
          </w:p>
        </w:tc>
      </w:tr>
      <w:tr w:rsidR="00534A2D" w14:paraId="7F98657E" w14:textId="77777777" w:rsidTr="000F1E90">
        <w:trPr>
          <w:del w:id="7129" w:author="AbbVie1" w:date="2025-05-13T09:50:00Z"/>
        </w:trPr>
        <w:tc>
          <w:tcPr>
            <w:tcW w:w="3256" w:type="dxa"/>
            <w:shd w:val="clear" w:color="auto" w:fill="auto"/>
          </w:tcPr>
          <w:p w14:paraId="5453C75D" w14:textId="77777777" w:rsidR="0006722D" w:rsidRPr="001B4A02" w:rsidRDefault="00000000" w:rsidP="00ED48A3">
            <w:pPr>
              <w:keepNext/>
              <w:ind w:left="0" w:firstLine="0"/>
              <w:rPr>
                <w:del w:id="7130" w:author="AbbVie1" w:date="2025-05-13T09:50:00Z"/>
              </w:rPr>
            </w:pPr>
            <w:del w:id="7131" w:author="AbbVie1" w:date="2025-05-13T09:50:00Z">
              <w:r w:rsidRPr="001B4A02">
                <w:delText xml:space="preserve">Udržení </w:delText>
              </w:r>
              <w:r w:rsidR="00455627" w:rsidRPr="001B4A02">
                <w:delText xml:space="preserve">slizničního </w:delText>
              </w:r>
              <w:r w:rsidRPr="001B4A02">
                <w:delText>hojení</w:delText>
              </w:r>
            </w:del>
          </w:p>
        </w:tc>
        <w:tc>
          <w:tcPr>
            <w:tcW w:w="2902" w:type="dxa"/>
            <w:shd w:val="clear" w:color="auto" w:fill="auto"/>
          </w:tcPr>
          <w:p w14:paraId="2D140FD5" w14:textId="77777777" w:rsidR="0006722D" w:rsidRPr="001B4A02" w:rsidRDefault="00000000" w:rsidP="00ED48A3">
            <w:pPr>
              <w:keepNext/>
              <w:ind w:left="0" w:firstLine="0"/>
              <w:jc w:val="center"/>
              <w:rPr>
                <w:del w:id="7132" w:author="AbbVie1" w:date="2025-05-13T09:50:00Z"/>
              </w:rPr>
            </w:pPr>
            <w:del w:id="7133" w:author="AbbVie1" w:date="2025-05-13T09:50:00Z">
              <w:r w:rsidRPr="001B4A02">
                <w:delText>11</w:delText>
              </w:r>
              <w:r w:rsidR="001E10EB" w:rsidRPr="001B4A02">
                <w:delText> </w:delText>
              </w:r>
              <w:r w:rsidRPr="001B4A02">
                <w:delText>%</w:delText>
              </w:r>
            </w:del>
          </w:p>
        </w:tc>
        <w:tc>
          <w:tcPr>
            <w:tcW w:w="2903" w:type="dxa"/>
            <w:shd w:val="clear" w:color="auto" w:fill="auto"/>
          </w:tcPr>
          <w:p w14:paraId="75B01812" w14:textId="77777777" w:rsidR="0006722D" w:rsidRPr="001B4A02" w:rsidRDefault="00000000" w:rsidP="00ED48A3">
            <w:pPr>
              <w:keepNext/>
              <w:ind w:left="0" w:firstLine="0"/>
              <w:jc w:val="center"/>
              <w:rPr>
                <w:del w:id="7134" w:author="AbbVie1" w:date="2025-05-13T09:50:00Z"/>
              </w:rPr>
            </w:pPr>
            <w:del w:id="7135" w:author="AbbVie1" w:date="2025-05-13T09:50:00Z">
              <w:r w:rsidRPr="001B4A02">
                <w:delText>19</w:delText>
              </w:r>
              <w:r w:rsidR="001E10EB" w:rsidRPr="001B4A02">
                <w:delText> </w:delText>
              </w:r>
              <w:r w:rsidRPr="001B4A02">
                <w:delText>%*</w:delText>
              </w:r>
            </w:del>
          </w:p>
        </w:tc>
      </w:tr>
    </w:tbl>
    <w:p w14:paraId="147A95D3" w14:textId="77777777" w:rsidR="0006722D" w:rsidRPr="001B4A02" w:rsidRDefault="00000000" w:rsidP="00ED48A3">
      <w:pPr>
        <w:keepNext/>
        <w:ind w:left="0" w:firstLine="0"/>
        <w:rPr>
          <w:del w:id="7136" w:author="AbbVie1" w:date="2025-05-13T09:50:00Z"/>
          <w:sz w:val="20"/>
        </w:rPr>
      </w:pPr>
      <w:del w:id="7137" w:author="AbbVie1" w:date="2025-05-13T09:50:00Z">
        <w:r w:rsidRPr="001B4A02">
          <w:rPr>
            <w:sz w:val="20"/>
          </w:rPr>
          <w:delText>Klinická remise je definován</w:delText>
        </w:r>
        <w:r w:rsidR="00F53F39" w:rsidRPr="001B4A02">
          <w:rPr>
            <w:sz w:val="20"/>
          </w:rPr>
          <w:delText>a</w:delText>
        </w:r>
        <w:r w:rsidRPr="001B4A02">
          <w:rPr>
            <w:sz w:val="20"/>
          </w:rPr>
          <w:delText xml:space="preserve"> jako Mayo skóre ≤ 2 bez podskóre &gt; 1;</w:delText>
        </w:r>
      </w:del>
    </w:p>
    <w:p w14:paraId="3DD28DA7" w14:textId="77777777" w:rsidR="00F53F39" w:rsidRPr="001B4A02" w:rsidRDefault="00000000" w:rsidP="00ED48A3">
      <w:pPr>
        <w:keepNext/>
        <w:ind w:left="0" w:firstLine="0"/>
        <w:rPr>
          <w:del w:id="7138" w:author="AbbVie1" w:date="2025-05-13T09:50:00Z"/>
          <w:sz w:val="20"/>
        </w:rPr>
      </w:pPr>
      <w:del w:id="7139" w:author="AbbVie1" w:date="2025-05-13T09:50:00Z">
        <w:r w:rsidRPr="001B4A02">
          <w:rPr>
            <w:sz w:val="20"/>
          </w:rPr>
          <w:delText>Klinická odpověď je snížení oproti výchozímu stavu v Mayo skóre</w:delText>
        </w:r>
        <w:r w:rsidR="00E16F37" w:rsidRPr="001B4A02">
          <w:rPr>
            <w:sz w:val="20"/>
          </w:rPr>
          <w:delText xml:space="preserve"> </w:delText>
        </w:r>
        <w:r w:rsidR="00E16F37" w:rsidRPr="001B4A02">
          <w:rPr>
            <w:rFonts w:eastAsia="Arial Unicode MS"/>
          </w:rPr>
          <w:delText xml:space="preserve">≥ </w:delText>
        </w:r>
        <w:r w:rsidR="00E16F37" w:rsidRPr="001B4A02">
          <w:rPr>
            <w:sz w:val="20"/>
          </w:rPr>
          <w:delText>3 body</w:delText>
        </w:r>
        <w:r w:rsidR="002378E0">
          <w:rPr>
            <w:sz w:val="20"/>
          </w:rPr>
          <w:delText xml:space="preserve"> a </w:delText>
        </w:r>
        <w:r w:rsidR="00E16F37" w:rsidRPr="001B4A02">
          <w:rPr>
            <w:rFonts w:eastAsia="Arial Unicode MS"/>
          </w:rPr>
          <w:delText xml:space="preserve">≥ </w:delText>
        </w:r>
        <w:r w:rsidR="00E16F37" w:rsidRPr="001B4A02">
          <w:rPr>
            <w:sz w:val="20"/>
          </w:rPr>
          <w:delText>30</w:delText>
        </w:r>
        <w:r w:rsidR="001E10EB" w:rsidRPr="001B4A02">
          <w:delText> </w:delText>
        </w:r>
        <w:r w:rsidR="00E16F37" w:rsidRPr="001B4A02">
          <w:rPr>
            <w:sz w:val="20"/>
          </w:rPr>
          <w:delText>% plus snížení</w:delText>
        </w:r>
        <w:r w:rsidR="007A11FF">
          <w:rPr>
            <w:sz w:val="20"/>
          </w:rPr>
          <w:delText xml:space="preserve"> pod</w:delText>
        </w:r>
        <w:r w:rsidR="00E16F37" w:rsidRPr="001B4A02">
          <w:rPr>
            <w:sz w:val="20"/>
          </w:rPr>
          <w:delText xml:space="preserve">skóre rektálního krvácení </w:delText>
        </w:r>
        <w:r w:rsidR="00E16F37" w:rsidRPr="001B4A02">
          <w:rPr>
            <w:rFonts w:eastAsia="Arial Unicode MS"/>
          </w:rPr>
          <w:delText>[RBS] ≥ 1</w:delText>
        </w:r>
        <w:r w:rsidR="00E16F37" w:rsidRPr="001B4A02">
          <w:rPr>
            <w:sz w:val="20"/>
          </w:rPr>
          <w:delText xml:space="preserve"> nebo absolutního RBS 0 nebo 1;</w:delText>
        </w:r>
      </w:del>
    </w:p>
    <w:p w14:paraId="51911CE1" w14:textId="77777777" w:rsidR="0033328D" w:rsidRPr="001B4A02" w:rsidRDefault="00000000" w:rsidP="00ED48A3">
      <w:pPr>
        <w:keepNext/>
        <w:ind w:left="0" w:firstLine="0"/>
        <w:rPr>
          <w:del w:id="7140" w:author="AbbVie1" w:date="2025-05-13T09:50:00Z"/>
          <w:sz w:val="20"/>
        </w:rPr>
      </w:pPr>
      <w:del w:id="7141" w:author="AbbVie1" w:date="2025-05-13T09:50:00Z">
        <w:r w:rsidRPr="001B4A02">
          <w:rPr>
            <w:sz w:val="20"/>
          </w:rPr>
          <w:delText>*p&lt;0,</w:delText>
        </w:r>
        <w:r w:rsidR="008F46CE" w:rsidRPr="001B4A02">
          <w:rPr>
            <w:sz w:val="20"/>
          </w:rPr>
          <w:delText>0</w:delText>
        </w:r>
        <w:r w:rsidRPr="001B4A02">
          <w:rPr>
            <w:sz w:val="20"/>
          </w:rPr>
          <w:delText xml:space="preserve">5 </w:delText>
        </w:r>
        <w:r w:rsidR="00684FEF" w:rsidRPr="001B4A02">
          <w:rPr>
            <w:sz w:val="20"/>
          </w:rPr>
          <w:delText>párovné porovnání hodnot u</w:delText>
        </w:r>
        <w:r w:rsidR="00C048C3" w:rsidRPr="001B4A02">
          <w:rPr>
            <w:sz w:val="20"/>
          </w:rPr>
          <w:delText> </w:delText>
        </w:r>
        <w:r w:rsidR="00684FEF" w:rsidRPr="001B4A02">
          <w:rPr>
            <w:sz w:val="20"/>
          </w:rPr>
          <w:delText>příp</w:delText>
        </w:r>
        <w:r w:rsidR="00FA069A" w:rsidRPr="001B4A02">
          <w:rPr>
            <w:sz w:val="20"/>
          </w:rPr>
          <w:delText>r</w:delText>
        </w:r>
        <w:r w:rsidR="00684FEF" w:rsidRPr="001B4A02">
          <w:rPr>
            <w:sz w:val="20"/>
          </w:rPr>
          <w:delText xml:space="preserve">avku Humira versus placebo. </w:delText>
        </w:r>
      </w:del>
    </w:p>
    <w:p w14:paraId="470DBC14" w14:textId="77777777" w:rsidR="0033328D" w:rsidRPr="001B4A02" w:rsidRDefault="00000000" w:rsidP="00ED48A3">
      <w:pPr>
        <w:keepNext/>
        <w:ind w:left="0" w:firstLine="0"/>
        <w:rPr>
          <w:del w:id="7142" w:author="AbbVie1" w:date="2025-05-13T09:50:00Z"/>
          <w:sz w:val="20"/>
        </w:rPr>
      </w:pPr>
      <w:del w:id="7143" w:author="AbbVie1" w:date="2025-05-13T09:50:00Z">
        <w:r w:rsidRPr="001B4A02">
          <w:rPr>
            <w:sz w:val="20"/>
          </w:rPr>
          <w:delText xml:space="preserve">**p&lt;0,001 </w:delText>
        </w:r>
        <w:r w:rsidR="00684FEF" w:rsidRPr="001B4A02">
          <w:rPr>
            <w:sz w:val="20"/>
          </w:rPr>
          <w:delText>párovné porovnání hodnot u</w:delText>
        </w:r>
        <w:r w:rsidR="00C048C3" w:rsidRPr="001B4A02">
          <w:rPr>
            <w:sz w:val="20"/>
          </w:rPr>
          <w:delText> </w:delText>
        </w:r>
        <w:r w:rsidR="00684FEF" w:rsidRPr="001B4A02">
          <w:rPr>
            <w:sz w:val="20"/>
          </w:rPr>
          <w:delText>příp</w:delText>
        </w:r>
        <w:r w:rsidR="00FA069A" w:rsidRPr="001B4A02">
          <w:rPr>
            <w:sz w:val="20"/>
          </w:rPr>
          <w:delText>r</w:delText>
        </w:r>
        <w:r w:rsidR="00684FEF" w:rsidRPr="001B4A02">
          <w:rPr>
            <w:sz w:val="20"/>
          </w:rPr>
          <w:delText>avku Humira versus placebo.</w:delText>
        </w:r>
      </w:del>
    </w:p>
    <w:p w14:paraId="74F52B05" w14:textId="77777777" w:rsidR="0033328D" w:rsidRPr="001B4A02" w:rsidRDefault="00000000" w:rsidP="00CE5DAE">
      <w:pPr>
        <w:ind w:left="0" w:firstLine="0"/>
        <w:rPr>
          <w:del w:id="7144" w:author="AbbVie1" w:date="2025-05-13T09:50:00Z"/>
          <w:sz w:val="20"/>
        </w:rPr>
      </w:pPr>
      <w:del w:id="7145" w:author="AbbVie1" w:date="2025-05-13T09:50:00Z">
        <w:r w:rsidRPr="001B4A02">
          <w:rPr>
            <w:sz w:val="20"/>
            <w:vertAlign w:val="superscript"/>
          </w:rPr>
          <w:delText>a</w:delText>
        </w:r>
        <w:r w:rsidRPr="001B4A02">
          <w:rPr>
            <w:sz w:val="20"/>
          </w:rPr>
          <w:delText xml:space="preserve"> Z těch, kterým byly původně podávány kortikosteroidy.</w:delText>
        </w:r>
      </w:del>
    </w:p>
    <w:p w14:paraId="7C806443" w14:textId="77777777" w:rsidR="00AE574B" w:rsidRPr="001B4A02" w:rsidRDefault="00AE574B" w:rsidP="00ED48A3">
      <w:pPr>
        <w:ind w:left="0" w:firstLine="0"/>
        <w:rPr>
          <w:del w:id="7146" w:author="AbbVie1" w:date="2025-05-13T09:50:00Z"/>
        </w:rPr>
      </w:pPr>
    </w:p>
    <w:p w14:paraId="64934B82" w14:textId="77777777" w:rsidR="00E16F37" w:rsidRPr="001B4A02" w:rsidRDefault="00000000" w:rsidP="00ED48A3">
      <w:pPr>
        <w:ind w:left="0" w:firstLine="0"/>
        <w:rPr>
          <w:del w:id="7147" w:author="AbbVie1" w:date="2025-05-13T09:50:00Z"/>
        </w:rPr>
      </w:pPr>
      <w:del w:id="7148" w:author="AbbVie1" w:date="2025-05-13T09:50:00Z">
        <w:r w:rsidRPr="001B4A02">
          <w:delText>Z pacientů, u</w:delText>
        </w:r>
        <w:r w:rsidR="008506F3" w:rsidRPr="001B4A02">
          <w:delText> </w:delText>
        </w:r>
        <w:r w:rsidRPr="001B4A02">
          <w:delText>kterých existovala odpověď v týdnu 8, došlo u</w:delText>
        </w:r>
        <w:r w:rsidR="008506F3" w:rsidRPr="001B4A02">
          <w:delText> </w:delText>
        </w:r>
        <w:r w:rsidRPr="001B4A02">
          <w:delText>47</w:delText>
        </w:r>
        <w:r w:rsidR="001E10EB" w:rsidRPr="001B4A02">
          <w:delText> </w:delText>
        </w:r>
        <w:r w:rsidRPr="001B4A02">
          <w:delText>% k</w:delText>
        </w:r>
        <w:r w:rsidR="008506F3" w:rsidRPr="001B4A02">
          <w:delText> </w:delText>
        </w:r>
        <w:r w:rsidRPr="001B4A02">
          <w:delText>odpovědi, 29</w:delText>
        </w:r>
        <w:r w:rsidR="001E10EB" w:rsidRPr="001B4A02">
          <w:delText> </w:delText>
        </w:r>
        <w:r w:rsidR="00AC7C92" w:rsidRPr="001B4A02">
          <w:delText>% bylo v remisi, u </w:delText>
        </w:r>
        <w:r w:rsidRPr="001B4A02">
          <w:delText>41</w:delText>
        </w:r>
        <w:r w:rsidR="001E10EB" w:rsidRPr="001B4A02">
          <w:delText> </w:delText>
        </w:r>
        <w:r w:rsidRPr="001B4A02">
          <w:delText>% došlo k</w:delText>
        </w:r>
        <w:r w:rsidR="00455627" w:rsidRPr="001B4A02">
          <w:delText>e slizničnímu</w:delText>
        </w:r>
        <w:r w:rsidRPr="001B4A02">
          <w:delText xml:space="preserve"> hojení</w:delText>
        </w:r>
        <w:r w:rsidR="002378E0">
          <w:delText xml:space="preserve"> a </w:delText>
        </w:r>
        <w:r w:rsidRPr="001B4A02">
          <w:delText>20</w:delText>
        </w:r>
        <w:r w:rsidR="001E10EB" w:rsidRPr="001B4A02">
          <w:delText> </w:delText>
        </w:r>
        <w:r w:rsidRPr="001B4A02">
          <w:delText xml:space="preserve">% bylo v remisi bez steroidů </w:delText>
        </w:r>
        <w:r w:rsidRPr="001B4A02">
          <w:rPr>
            <w:iCs/>
            <w:szCs w:val="22"/>
          </w:rPr>
          <w:delText>≥ 9</w:delText>
        </w:r>
        <w:r w:rsidRPr="001B4A02">
          <w:delText>0 dnů v týdnu 52.</w:delText>
        </w:r>
      </w:del>
    </w:p>
    <w:p w14:paraId="01C4AD19" w14:textId="77777777" w:rsidR="00E16F37" w:rsidRPr="001B4A02" w:rsidRDefault="00E16F37" w:rsidP="00ED48A3">
      <w:pPr>
        <w:ind w:left="0" w:firstLine="0"/>
        <w:rPr>
          <w:del w:id="7149" w:author="AbbVie1" w:date="2025-05-13T09:50:00Z"/>
        </w:rPr>
      </w:pPr>
    </w:p>
    <w:p w14:paraId="713136A6" w14:textId="77777777" w:rsidR="008F46CE" w:rsidRPr="001B4A02" w:rsidRDefault="00000000" w:rsidP="00ED48A3">
      <w:pPr>
        <w:ind w:left="0" w:firstLine="0"/>
        <w:rPr>
          <w:del w:id="7150" w:author="AbbVie1" w:date="2025-05-13T09:50:00Z"/>
        </w:rPr>
      </w:pPr>
      <w:del w:id="7151" w:author="AbbVie1" w:date="2025-05-13T09:50:00Z">
        <w:r w:rsidRPr="001B4A02">
          <w:delText>Přibližně u</w:delText>
        </w:r>
        <w:r w:rsidR="008506F3" w:rsidRPr="001B4A02">
          <w:delText> </w:delText>
        </w:r>
        <w:r w:rsidRPr="001B4A02">
          <w:delText>40</w:delText>
        </w:r>
        <w:r w:rsidR="001E10EB" w:rsidRPr="001B4A02">
          <w:delText> </w:delText>
        </w:r>
        <w:r w:rsidRPr="001B4A02">
          <w:delText>% pacientů ve studii UC-II selhala dřívější anti-TNF léčba infliximabem. Účinnost adalimumabu u</w:delText>
        </w:r>
        <w:r w:rsidR="008506F3" w:rsidRPr="001B4A02">
          <w:delText> </w:delText>
        </w:r>
        <w:r w:rsidRPr="001B4A02">
          <w:delText>těchto pacientů byla snížena v porovnání s anti-TNF naivními pacienty. Mezi pacienty, u</w:delText>
        </w:r>
        <w:r w:rsidR="008506F3" w:rsidRPr="001B4A02">
          <w:delText> </w:delText>
        </w:r>
        <w:r w:rsidRPr="001B4A02">
          <w:delText>nichž selhala předchozí anti-TNF terapie, dosáhl</w:delText>
        </w:r>
        <w:r w:rsidR="007E2F50" w:rsidRPr="001B4A02">
          <w:delText>y</w:delText>
        </w:r>
        <w:r w:rsidRPr="001B4A02">
          <w:delText xml:space="preserve"> v týdnu 52 remise 3</w:delText>
        </w:r>
        <w:r w:rsidR="001E10EB" w:rsidRPr="001B4A02">
          <w:delText> </w:delText>
        </w:r>
        <w:r w:rsidRPr="001B4A02">
          <w:delText>% pacientů na placebu</w:delText>
        </w:r>
        <w:r w:rsidR="002378E0">
          <w:delText xml:space="preserve"> a </w:delText>
        </w:r>
        <w:r w:rsidRPr="001B4A02">
          <w:delText>10</w:delText>
        </w:r>
        <w:r w:rsidR="001E10EB" w:rsidRPr="001B4A02">
          <w:delText> </w:delText>
        </w:r>
        <w:r w:rsidRPr="001B4A02">
          <w:delText xml:space="preserve">% pacientů na </w:delText>
        </w:r>
        <w:r w:rsidR="00AC7C92" w:rsidRPr="001B4A02">
          <w:delText>adalimumabu.</w:delText>
        </w:r>
      </w:del>
    </w:p>
    <w:p w14:paraId="080A82B6" w14:textId="77777777" w:rsidR="008F46CE" w:rsidRPr="001B4A02" w:rsidRDefault="008F46CE" w:rsidP="00ED48A3">
      <w:pPr>
        <w:ind w:left="0" w:firstLine="0"/>
        <w:rPr>
          <w:del w:id="7152" w:author="AbbVie1" w:date="2025-05-13T09:50:00Z"/>
        </w:rPr>
      </w:pPr>
    </w:p>
    <w:p w14:paraId="164522A9" w14:textId="77777777" w:rsidR="00684FEF" w:rsidRPr="001B4A02" w:rsidRDefault="00000000" w:rsidP="00ED48A3">
      <w:pPr>
        <w:ind w:left="0" w:firstLine="0"/>
        <w:rPr>
          <w:del w:id="7153" w:author="AbbVie1" w:date="2025-05-13T09:50:00Z"/>
        </w:rPr>
      </w:pPr>
      <w:del w:id="7154" w:author="AbbVie1" w:date="2025-05-13T09:50:00Z">
        <w:r w:rsidRPr="001B4A02">
          <w:delText>Pacienti ve studiích UC-I</w:delText>
        </w:r>
        <w:r w:rsidR="002378E0">
          <w:delText xml:space="preserve"> a </w:delText>
        </w:r>
        <w:r w:rsidRPr="001B4A02">
          <w:delText>UC-II měli možnost přejít do otevřené dlouhodobé prodloužené studie</w:delText>
        </w:r>
        <w:r w:rsidR="00E16F37" w:rsidRPr="001B4A02">
          <w:delText xml:space="preserve"> (UC-III)</w:delText>
        </w:r>
        <w:r w:rsidRPr="001B4A02">
          <w:delText xml:space="preserve">. </w:delText>
        </w:r>
        <w:r w:rsidR="00E16F37" w:rsidRPr="001B4A02">
          <w:delText>Po 3 letech terapie adalimumabem pokračovala u</w:delText>
        </w:r>
        <w:r w:rsidR="008506F3" w:rsidRPr="001B4A02">
          <w:delText> </w:delText>
        </w:r>
        <w:r w:rsidR="00E16F37" w:rsidRPr="001B4A02">
          <w:delText>75</w:delText>
        </w:r>
        <w:r w:rsidR="001E10EB" w:rsidRPr="001B4A02">
          <w:delText> </w:delText>
        </w:r>
        <w:r w:rsidR="00E16F37" w:rsidRPr="001B4A02">
          <w:delText>% (301</w:delText>
        </w:r>
        <w:r w:rsidR="00461AAA" w:rsidRPr="001B4A02">
          <w:delText xml:space="preserve"> z </w:delText>
        </w:r>
        <w:r w:rsidR="00E16F37" w:rsidRPr="001B4A02">
          <w:delText>402)</w:delText>
        </w:r>
        <w:r w:rsidR="006172D0" w:rsidRPr="001B4A02">
          <w:delText xml:space="preserve"> klinická remise dle částečného Mayo skóre.</w:delText>
        </w:r>
      </w:del>
    </w:p>
    <w:p w14:paraId="754F7D1E" w14:textId="77777777" w:rsidR="006172D0" w:rsidRPr="001B4A02" w:rsidRDefault="006172D0" w:rsidP="00ED48A3">
      <w:pPr>
        <w:ind w:left="0" w:firstLine="0"/>
        <w:rPr>
          <w:del w:id="7155" w:author="AbbVie1" w:date="2025-05-13T09:50:00Z"/>
        </w:rPr>
      </w:pPr>
    </w:p>
    <w:p w14:paraId="057FCBEE" w14:textId="77777777" w:rsidR="006172D0" w:rsidRPr="001B4A02" w:rsidRDefault="00000000" w:rsidP="00CE5DAE">
      <w:pPr>
        <w:keepNext/>
        <w:ind w:left="0" w:firstLine="0"/>
        <w:rPr>
          <w:del w:id="7156" w:author="AbbVie1" w:date="2025-05-13T09:50:00Z"/>
          <w:i/>
          <w:u w:val="single"/>
        </w:rPr>
      </w:pPr>
      <w:del w:id="7157" w:author="AbbVie1" w:date="2025-05-13T09:50:00Z">
        <w:r w:rsidRPr="001B4A02">
          <w:rPr>
            <w:i/>
            <w:u w:val="single"/>
          </w:rPr>
          <w:delText>Míra hospitalizace</w:delText>
        </w:r>
      </w:del>
    </w:p>
    <w:p w14:paraId="12BF2FD2" w14:textId="77777777" w:rsidR="006172D0" w:rsidRPr="001B4A02" w:rsidRDefault="006172D0" w:rsidP="00CE5DAE">
      <w:pPr>
        <w:keepNext/>
        <w:ind w:left="0" w:firstLine="0"/>
        <w:rPr>
          <w:del w:id="7158" w:author="AbbVie1" w:date="2025-05-13T09:50:00Z"/>
        </w:rPr>
      </w:pPr>
    </w:p>
    <w:p w14:paraId="4B9A5445" w14:textId="77777777" w:rsidR="006172D0" w:rsidRPr="001B4A02" w:rsidRDefault="00000000" w:rsidP="00ED48A3">
      <w:pPr>
        <w:ind w:left="0" w:firstLine="0"/>
        <w:rPr>
          <w:del w:id="7159" w:author="AbbVie1" w:date="2025-05-13T09:50:00Z"/>
        </w:rPr>
      </w:pPr>
      <w:del w:id="7160" w:author="AbbVie1" w:date="2025-05-13T09:50:00Z">
        <w:r w:rsidRPr="001B4A02">
          <w:delText>Během 52 týdnů studií</w:delText>
        </w:r>
        <w:r w:rsidR="00075281" w:rsidRPr="001B4A02">
          <w:delText xml:space="preserve"> UC-I</w:delText>
        </w:r>
        <w:r w:rsidR="002378E0">
          <w:delText xml:space="preserve"> a </w:delText>
        </w:r>
        <w:r w:rsidR="00075281" w:rsidRPr="001B4A02">
          <w:delText>UC-II byla pozorována nízká míra hospitalizace ze všech příčin</w:delText>
        </w:r>
        <w:r w:rsidR="002378E0">
          <w:delText xml:space="preserve"> a </w:delText>
        </w:r>
        <w:r w:rsidR="00075281" w:rsidRPr="001B4A02">
          <w:delText>hospitalizace z důvodu UC pro léčebné rameno adalimumabu ve srovnání s placebem.</w:delText>
        </w:r>
        <w:r w:rsidR="00D8146E" w:rsidRPr="001B4A02">
          <w:delText xml:space="preserve"> Počet hospitalizací z</w:delText>
        </w:r>
        <w:r w:rsidR="00075281" w:rsidRPr="001B4A02">
          <w:delText>e všech příčin v léčebné skupině adalimumabu bylo 0,18 na pacienta</w:delText>
        </w:r>
        <w:r w:rsidR="002378E0">
          <w:delText xml:space="preserve"> a </w:delText>
        </w:r>
        <w:r w:rsidR="00075281" w:rsidRPr="001B4A02">
          <w:delText>rok, vs. 0,26 na pacienta</w:delText>
        </w:r>
        <w:r w:rsidR="002378E0">
          <w:delText xml:space="preserve"> a </w:delText>
        </w:r>
        <w:r w:rsidR="00075281" w:rsidRPr="001B4A02">
          <w:delText>rok ve skupině placeba</w:delText>
        </w:r>
        <w:r w:rsidR="002378E0">
          <w:delText xml:space="preserve"> a </w:delText>
        </w:r>
        <w:r w:rsidR="00075281" w:rsidRPr="001B4A02">
          <w:delText xml:space="preserve">odpovídající počty </w:delText>
        </w:r>
        <w:r w:rsidR="002B32CF" w:rsidRPr="001B4A02">
          <w:delText>hospitalizací</w:delText>
        </w:r>
        <w:r w:rsidR="00075281" w:rsidRPr="001B4A02">
          <w:delText xml:space="preserve"> z důvodu UC byly 0,12 na pacienta</w:delText>
        </w:r>
        <w:r w:rsidR="002378E0">
          <w:delText xml:space="preserve"> a </w:delText>
        </w:r>
        <w:r w:rsidR="00075281" w:rsidRPr="001B4A02">
          <w:delText>rok vs. 0,22 na pacienta</w:delText>
        </w:r>
        <w:r w:rsidR="002378E0">
          <w:delText xml:space="preserve"> a </w:delText>
        </w:r>
        <w:r w:rsidR="00075281" w:rsidRPr="001B4A02">
          <w:delText>rok.</w:delText>
        </w:r>
      </w:del>
    </w:p>
    <w:p w14:paraId="7A9FB1C1" w14:textId="77777777" w:rsidR="00075281" w:rsidRPr="001B4A02" w:rsidRDefault="00075281" w:rsidP="00ED48A3">
      <w:pPr>
        <w:ind w:left="0" w:firstLine="0"/>
        <w:rPr>
          <w:del w:id="7161" w:author="AbbVie1" w:date="2025-05-13T09:50:00Z"/>
        </w:rPr>
      </w:pPr>
    </w:p>
    <w:p w14:paraId="5B733F62" w14:textId="77777777" w:rsidR="00075281" w:rsidRPr="001B4A02" w:rsidRDefault="00000000" w:rsidP="00CE5DAE">
      <w:pPr>
        <w:keepNext/>
        <w:ind w:left="0" w:firstLine="0"/>
        <w:rPr>
          <w:del w:id="7162" w:author="AbbVie1" w:date="2025-05-13T09:50:00Z"/>
          <w:i/>
          <w:u w:val="single"/>
        </w:rPr>
      </w:pPr>
      <w:del w:id="7163" w:author="AbbVie1" w:date="2025-05-13T09:50:00Z">
        <w:r w:rsidRPr="001B4A02">
          <w:rPr>
            <w:i/>
            <w:u w:val="single"/>
          </w:rPr>
          <w:delText>Kvalita života</w:delText>
        </w:r>
      </w:del>
    </w:p>
    <w:p w14:paraId="6F537F9F" w14:textId="77777777" w:rsidR="00075281" w:rsidRPr="001B4A02" w:rsidRDefault="00075281" w:rsidP="00CE5DAE">
      <w:pPr>
        <w:keepNext/>
        <w:ind w:left="0" w:firstLine="0"/>
        <w:rPr>
          <w:del w:id="7164" w:author="AbbVie1" w:date="2025-05-13T09:50:00Z"/>
        </w:rPr>
      </w:pPr>
    </w:p>
    <w:p w14:paraId="7153DB9D" w14:textId="77777777" w:rsidR="00075281" w:rsidRPr="001B4A02" w:rsidRDefault="00000000" w:rsidP="00ED48A3">
      <w:pPr>
        <w:ind w:left="0" w:firstLine="0"/>
        <w:rPr>
          <w:del w:id="7165" w:author="AbbVie1" w:date="2025-05-13T09:50:00Z"/>
        </w:rPr>
      </w:pPr>
      <w:del w:id="7166" w:author="AbbVie1" w:date="2025-05-13T09:50:00Z">
        <w:r w:rsidRPr="001B4A02">
          <w:delText>Ve studii UC-II vedla léčba adalimumabem ke zlepšení v IBDQ skóre (</w:delText>
        </w:r>
        <w:r w:rsidR="002B32CF" w:rsidRPr="001B4A02">
          <w:delText xml:space="preserve">Inflammatory Bowel Disease </w:delText>
        </w:r>
        <w:r w:rsidR="0062437D" w:rsidRPr="001B4A02">
          <w:delText>Questionnaire</w:delText>
        </w:r>
        <w:r w:rsidRPr="001B4A02">
          <w:delText>).</w:delText>
        </w:r>
      </w:del>
    </w:p>
    <w:p w14:paraId="391D02C2" w14:textId="77777777" w:rsidR="00684FEF" w:rsidRPr="001B4A02" w:rsidRDefault="00684FEF" w:rsidP="00ED48A3">
      <w:pPr>
        <w:ind w:left="0" w:firstLine="0"/>
        <w:rPr>
          <w:del w:id="7167" w:author="AbbVie1" w:date="2025-05-13T09:50:00Z"/>
        </w:rPr>
      </w:pPr>
    </w:p>
    <w:p w14:paraId="28FF9589" w14:textId="77777777" w:rsidR="00AD6614" w:rsidRPr="001B4A02" w:rsidRDefault="00000000" w:rsidP="00ED48A3">
      <w:pPr>
        <w:pStyle w:val="EMEANormal"/>
        <w:keepNext/>
        <w:rPr>
          <w:del w:id="7168" w:author="AbbVie1" w:date="2025-05-13T09:50:00Z"/>
          <w:bCs/>
          <w:i/>
          <w:szCs w:val="22"/>
          <w:lang w:val="cs-CZ"/>
        </w:rPr>
      </w:pPr>
      <w:del w:id="7169" w:author="AbbVie1" w:date="2025-05-13T09:50:00Z">
        <w:r w:rsidRPr="001B4A02">
          <w:rPr>
            <w:bCs/>
            <w:i/>
            <w:szCs w:val="22"/>
            <w:lang w:val="cs-CZ"/>
          </w:rPr>
          <w:delText>Uveitida</w:delText>
        </w:r>
      </w:del>
    </w:p>
    <w:p w14:paraId="70186010" w14:textId="77777777" w:rsidR="00AD6614" w:rsidRPr="001B4A02" w:rsidRDefault="00AD6614" w:rsidP="00ED48A3">
      <w:pPr>
        <w:pStyle w:val="EMEANormal"/>
        <w:keepNext/>
        <w:rPr>
          <w:del w:id="7170" w:author="AbbVie1" w:date="2025-05-13T09:50:00Z"/>
          <w:bCs/>
          <w:szCs w:val="22"/>
          <w:lang w:val="cs-CZ"/>
        </w:rPr>
      </w:pPr>
    </w:p>
    <w:p w14:paraId="722A47F6" w14:textId="77777777" w:rsidR="00AD6614" w:rsidRPr="001B4A02" w:rsidRDefault="00000000" w:rsidP="00ED48A3">
      <w:pPr>
        <w:pStyle w:val="EMEANormal"/>
        <w:rPr>
          <w:del w:id="7171" w:author="AbbVie1" w:date="2025-05-13T09:50:00Z"/>
          <w:szCs w:val="22"/>
          <w:lang w:val="cs-CZ"/>
        </w:rPr>
      </w:pPr>
      <w:del w:id="7172" w:author="AbbVie1" w:date="2025-05-13T09:50:00Z">
        <w:r w:rsidRPr="001B4A02">
          <w:rPr>
            <w:szCs w:val="22"/>
            <w:lang w:val="cs-CZ"/>
          </w:rPr>
          <w:delText>Bezpečnost</w:delText>
        </w:r>
        <w:r w:rsidR="002378E0">
          <w:rPr>
            <w:szCs w:val="22"/>
            <w:lang w:val="cs-CZ"/>
          </w:rPr>
          <w:delText xml:space="preserve"> a </w:delText>
        </w:r>
        <w:r w:rsidRPr="001B4A02">
          <w:rPr>
            <w:szCs w:val="22"/>
            <w:lang w:val="cs-CZ"/>
          </w:rPr>
          <w:delText>účinnost přípravku Humira byla hodnocena u</w:delText>
        </w:r>
        <w:r w:rsidR="008506F3" w:rsidRPr="001B4A02">
          <w:rPr>
            <w:szCs w:val="22"/>
            <w:lang w:val="cs-CZ"/>
          </w:rPr>
          <w:delText> </w:delText>
        </w:r>
        <w:r w:rsidRPr="001B4A02">
          <w:rPr>
            <w:szCs w:val="22"/>
            <w:lang w:val="cs-CZ"/>
          </w:rPr>
          <w:delText>dospělých pacientů s</w:delText>
        </w:r>
        <w:r w:rsidR="008506F3" w:rsidRPr="001B4A02">
          <w:rPr>
            <w:szCs w:val="22"/>
            <w:lang w:val="cs-CZ"/>
          </w:rPr>
          <w:delText> </w:delText>
        </w:r>
        <w:r w:rsidRPr="001B4A02">
          <w:rPr>
            <w:szCs w:val="22"/>
            <w:lang w:val="cs-CZ"/>
          </w:rPr>
          <w:delText>neinfekční intermediální</w:delText>
        </w:r>
        <w:r w:rsidR="002378E0">
          <w:rPr>
            <w:szCs w:val="22"/>
            <w:lang w:val="cs-CZ"/>
          </w:rPr>
          <w:delText xml:space="preserve"> a </w:delText>
        </w:r>
        <w:r w:rsidRPr="001B4A02">
          <w:rPr>
            <w:szCs w:val="22"/>
            <w:lang w:val="cs-CZ"/>
          </w:rPr>
          <w:delText>zadní uveitidou</w:delText>
        </w:r>
        <w:r w:rsidR="002378E0">
          <w:rPr>
            <w:szCs w:val="22"/>
            <w:lang w:val="cs-CZ"/>
          </w:rPr>
          <w:delText xml:space="preserve"> a </w:delText>
        </w:r>
        <w:r w:rsidRPr="001B4A02">
          <w:rPr>
            <w:szCs w:val="22"/>
            <w:lang w:val="cs-CZ"/>
          </w:rPr>
          <w:delText xml:space="preserve">panuveitidou, </w:delText>
        </w:r>
        <w:r w:rsidR="002B5258" w:rsidRPr="001B4A02">
          <w:rPr>
            <w:szCs w:val="22"/>
            <w:lang w:val="cs-CZ"/>
          </w:rPr>
          <w:delText>s</w:delText>
        </w:r>
        <w:r w:rsidR="008506F3" w:rsidRPr="001B4A02">
          <w:rPr>
            <w:szCs w:val="22"/>
            <w:lang w:val="cs-CZ"/>
          </w:rPr>
          <w:delText> </w:delText>
        </w:r>
        <w:r w:rsidR="00E97D9C" w:rsidRPr="001B4A02">
          <w:rPr>
            <w:szCs w:val="22"/>
            <w:lang w:val="cs-CZ"/>
          </w:rPr>
          <w:delText xml:space="preserve">vyloučením </w:delText>
        </w:r>
        <w:r w:rsidRPr="001B4A02">
          <w:rPr>
            <w:szCs w:val="22"/>
            <w:lang w:val="cs-CZ"/>
          </w:rPr>
          <w:delText>pacientů s</w:delText>
        </w:r>
        <w:r w:rsidR="008506F3" w:rsidRPr="001B4A02">
          <w:rPr>
            <w:szCs w:val="22"/>
            <w:lang w:val="cs-CZ"/>
          </w:rPr>
          <w:delText> </w:delText>
        </w:r>
        <w:r w:rsidRPr="001B4A02">
          <w:rPr>
            <w:szCs w:val="22"/>
            <w:lang w:val="cs-CZ"/>
          </w:rPr>
          <w:delText xml:space="preserve">izolovanou přední uveitidou, ve dvou randomizovaných, dvojitě </w:delText>
        </w:r>
        <w:r w:rsidR="00FF1CB8" w:rsidRPr="001B4A02">
          <w:rPr>
            <w:szCs w:val="22"/>
            <w:lang w:val="cs-CZ"/>
          </w:rPr>
          <w:delText>za</w:delText>
        </w:r>
        <w:r w:rsidR="002B588D" w:rsidRPr="001B4A02">
          <w:rPr>
            <w:szCs w:val="22"/>
            <w:lang w:val="cs-CZ"/>
          </w:rPr>
          <w:delText>slep</w:delText>
        </w:r>
        <w:r w:rsidR="00FF1CB8" w:rsidRPr="001B4A02">
          <w:rPr>
            <w:szCs w:val="22"/>
            <w:lang w:val="cs-CZ"/>
          </w:rPr>
          <w:delText>en</w:delText>
        </w:r>
        <w:r w:rsidR="002B588D" w:rsidRPr="001B4A02">
          <w:rPr>
            <w:szCs w:val="22"/>
            <w:lang w:val="cs-CZ"/>
          </w:rPr>
          <w:delText>ých</w:delText>
        </w:r>
        <w:r w:rsidRPr="001B4A02">
          <w:rPr>
            <w:szCs w:val="22"/>
            <w:lang w:val="cs-CZ"/>
          </w:rPr>
          <w:delText>, placebem kontrolovaných studiích (UV I</w:delText>
        </w:r>
        <w:r w:rsidR="002378E0">
          <w:rPr>
            <w:szCs w:val="22"/>
            <w:lang w:val="cs-CZ"/>
          </w:rPr>
          <w:delText xml:space="preserve"> a </w:delText>
        </w:r>
        <w:r w:rsidRPr="001B4A02">
          <w:rPr>
            <w:szCs w:val="22"/>
            <w:lang w:val="cs-CZ"/>
          </w:rPr>
          <w:delText>II). Pacienti dostávali placebo nebo přípravek Humira v</w:delText>
        </w:r>
        <w:r w:rsidR="008506F3" w:rsidRPr="001B4A02">
          <w:rPr>
            <w:szCs w:val="22"/>
            <w:lang w:val="cs-CZ"/>
          </w:rPr>
          <w:delText> </w:delText>
        </w:r>
        <w:r w:rsidRPr="001B4A02">
          <w:rPr>
            <w:szCs w:val="22"/>
            <w:lang w:val="cs-CZ"/>
          </w:rPr>
          <w:delText>úvodní dávce 80</w:delText>
        </w:r>
        <w:r w:rsidR="00294902">
          <w:rPr>
            <w:szCs w:val="22"/>
            <w:lang w:val="cs-CZ"/>
          </w:rPr>
          <w:delText> mg</w:delText>
        </w:r>
        <w:r w:rsidR="007E2F50" w:rsidRPr="001B4A02">
          <w:rPr>
            <w:szCs w:val="22"/>
            <w:lang w:val="cs-CZ"/>
          </w:rPr>
          <w:delText>,</w:delText>
        </w:r>
        <w:r w:rsidRPr="001B4A02">
          <w:rPr>
            <w:szCs w:val="22"/>
            <w:lang w:val="cs-CZ"/>
          </w:rPr>
          <w:delText xml:space="preserve"> následované 40</w:delText>
        </w:r>
        <w:r w:rsidR="00294902">
          <w:rPr>
            <w:szCs w:val="22"/>
            <w:lang w:val="cs-CZ"/>
          </w:rPr>
          <w:delText> mg</w:delText>
        </w:r>
        <w:r w:rsidRPr="001B4A02">
          <w:rPr>
            <w:szCs w:val="22"/>
            <w:lang w:val="cs-CZ"/>
          </w:rPr>
          <w:delText xml:space="preserve"> podávanými jednou za dva týdny počínaje </w:delText>
        </w:r>
        <w:r w:rsidR="00E97D9C" w:rsidRPr="001B4A02">
          <w:rPr>
            <w:szCs w:val="22"/>
            <w:lang w:val="cs-CZ"/>
          </w:rPr>
          <w:delText>jeden týden</w:delText>
        </w:r>
        <w:r w:rsidRPr="001B4A02">
          <w:rPr>
            <w:szCs w:val="22"/>
            <w:lang w:val="cs-CZ"/>
          </w:rPr>
          <w:delText xml:space="preserve"> po úvodní dávce. </w:delText>
        </w:r>
        <w:r w:rsidR="00E97D9C" w:rsidRPr="001B4A02">
          <w:rPr>
            <w:szCs w:val="22"/>
            <w:lang w:val="cs-CZ"/>
          </w:rPr>
          <w:delText xml:space="preserve">Současné </w:delText>
        </w:r>
        <w:r w:rsidRPr="001B4A02">
          <w:rPr>
            <w:szCs w:val="22"/>
            <w:lang w:val="cs-CZ"/>
          </w:rPr>
          <w:delText>podáv</w:delText>
        </w:r>
        <w:r w:rsidR="00E97D9C" w:rsidRPr="001B4A02">
          <w:rPr>
            <w:szCs w:val="22"/>
            <w:lang w:val="cs-CZ"/>
          </w:rPr>
          <w:delText>ání</w:delText>
        </w:r>
        <w:r w:rsidRPr="001B4A02">
          <w:rPr>
            <w:szCs w:val="22"/>
            <w:lang w:val="cs-CZ"/>
          </w:rPr>
          <w:delText xml:space="preserve"> stálé dávky jednoho nebiologického imunosupresiva </w:delText>
        </w:r>
        <w:r w:rsidR="00E97D9C" w:rsidRPr="001B4A02">
          <w:rPr>
            <w:szCs w:val="22"/>
            <w:lang w:val="cs-CZ"/>
          </w:rPr>
          <w:delText>bylo povoleno</w:delText>
        </w:r>
        <w:r w:rsidR="00AC7C92" w:rsidRPr="001B4A02">
          <w:rPr>
            <w:szCs w:val="22"/>
            <w:lang w:val="cs-CZ"/>
          </w:rPr>
          <w:delText>.</w:delText>
        </w:r>
      </w:del>
    </w:p>
    <w:p w14:paraId="5B1795D6" w14:textId="77777777" w:rsidR="00AD6614" w:rsidRPr="001B4A02" w:rsidRDefault="00AD6614" w:rsidP="00ED48A3">
      <w:pPr>
        <w:pStyle w:val="EMEANormal"/>
        <w:rPr>
          <w:del w:id="7173" w:author="AbbVie1" w:date="2025-05-13T09:50:00Z"/>
          <w:szCs w:val="22"/>
          <w:lang w:val="cs-CZ"/>
        </w:rPr>
      </w:pPr>
    </w:p>
    <w:p w14:paraId="32DC1B1E" w14:textId="77777777" w:rsidR="00AD6614" w:rsidRPr="001B4A02" w:rsidRDefault="00000000" w:rsidP="00ED48A3">
      <w:pPr>
        <w:pStyle w:val="EMEANormal"/>
        <w:rPr>
          <w:del w:id="7174" w:author="AbbVie1" w:date="2025-05-13T09:50:00Z"/>
          <w:szCs w:val="22"/>
          <w:lang w:val="cs-CZ"/>
        </w:rPr>
      </w:pPr>
      <w:del w:id="7175" w:author="AbbVie1" w:date="2025-05-13T09:50:00Z">
        <w:r w:rsidRPr="001B4A02">
          <w:rPr>
            <w:szCs w:val="22"/>
            <w:lang w:val="cs-CZ"/>
          </w:rPr>
          <w:delText>Studie UV I hodnotila 217 pacientů s</w:delText>
        </w:r>
        <w:r w:rsidR="008506F3" w:rsidRPr="001B4A02">
          <w:rPr>
            <w:szCs w:val="22"/>
            <w:lang w:val="cs-CZ"/>
          </w:rPr>
          <w:delText> </w:delText>
        </w:r>
        <w:r w:rsidRPr="001B4A02">
          <w:rPr>
            <w:szCs w:val="22"/>
            <w:lang w:val="cs-CZ"/>
          </w:rPr>
          <w:delText xml:space="preserve">aktivní uveitidou přetrvávající </w:delText>
        </w:r>
        <w:r w:rsidR="00D8118A" w:rsidRPr="001B4A02">
          <w:rPr>
            <w:szCs w:val="22"/>
            <w:lang w:val="cs-CZ"/>
          </w:rPr>
          <w:delText>i</w:delText>
        </w:r>
        <w:r w:rsidRPr="001B4A02">
          <w:rPr>
            <w:szCs w:val="22"/>
            <w:lang w:val="cs-CZ"/>
          </w:rPr>
          <w:delText xml:space="preserve"> přes léčbu kortikosteroidy (perorální prednison v</w:delText>
        </w:r>
        <w:r w:rsidR="008506F3" w:rsidRPr="001B4A02">
          <w:rPr>
            <w:szCs w:val="22"/>
            <w:lang w:val="cs-CZ"/>
          </w:rPr>
          <w:delText> </w:delText>
        </w:r>
        <w:r w:rsidRPr="001B4A02">
          <w:rPr>
            <w:szCs w:val="22"/>
            <w:lang w:val="cs-CZ"/>
          </w:rPr>
          <w:delText xml:space="preserve">dávce 10 až 60 mg/den). Všichni pacienti dostávali při vstupu do studie dvoutýdenní standardizovanou dávku prednisonu 60 mg/den. Tato dávka se pak podle závazného harmonogramu snižovala, přičemž do týdne 15 byly </w:delText>
        </w:r>
        <w:r w:rsidR="00AC7C92" w:rsidRPr="001B4A02">
          <w:rPr>
            <w:szCs w:val="22"/>
            <w:lang w:val="cs-CZ"/>
          </w:rPr>
          <w:delText>kortikosteroidy zcela vysazeny.</w:delText>
        </w:r>
      </w:del>
    </w:p>
    <w:p w14:paraId="410928B6" w14:textId="77777777" w:rsidR="00AD6614" w:rsidRPr="001B4A02" w:rsidRDefault="00AD6614" w:rsidP="00ED48A3">
      <w:pPr>
        <w:pStyle w:val="EMEANormal"/>
        <w:rPr>
          <w:del w:id="7176" w:author="AbbVie1" w:date="2025-05-13T09:50:00Z"/>
          <w:szCs w:val="22"/>
          <w:lang w:val="cs-CZ"/>
        </w:rPr>
      </w:pPr>
    </w:p>
    <w:p w14:paraId="176BADA7" w14:textId="77777777" w:rsidR="00AD6614" w:rsidRPr="001B4A02" w:rsidRDefault="00000000" w:rsidP="00ED48A3">
      <w:pPr>
        <w:pStyle w:val="EMEANormal"/>
        <w:rPr>
          <w:del w:id="7177" w:author="AbbVie1" w:date="2025-05-13T09:50:00Z"/>
          <w:szCs w:val="22"/>
          <w:lang w:val="cs-CZ"/>
        </w:rPr>
      </w:pPr>
      <w:del w:id="7178" w:author="AbbVie1" w:date="2025-05-13T09:50:00Z">
        <w:r w:rsidRPr="001B4A02">
          <w:rPr>
            <w:szCs w:val="22"/>
            <w:lang w:val="cs-CZ"/>
          </w:rPr>
          <w:delText>Studie UV II hodnotila 226 pacientů s</w:delText>
        </w:r>
        <w:r w:rsidR="008506F3" w:rsidRPr="001B4A02">
          <w:rPr>
            <w:szCs w:val="22"/>
            <w:lang w:val="cs-CZ"/>
          </w:rPr>
          <w:delText> </w:delText>
        </w:r>
        <w:r w:rsidR="0062437D" w:rsidRPr="001B4A02">
          <w:rPr>
            <w:szCs w:val="22"/>
            <w:lang w:val="cs-CZ"/>
          </w:rPr>
          <w:delText>neaktivní</w:delText>
        </w:r>
        <w:r w:rsidRPr="001B4A02">
          <w:rPr>
            <w:szCs w:val="22"/>
            <w:lang w:val="cs-CZ"/>
          </w:rPr>
          <w:delText xml:space="preserve"> uveitidou vyžadující ke kontrole onemocnění výchozí chronickou terapii kortikosteroidy (perorální prednison v</w:delText>
        </w:r>
        <w:r w:rsidR="00255A0A" w:rsidRPr="001B4A02">
          <w:rPr>
            <w:szCs w:val="22"/>
            <w:lang w:val="cs-CZ"/>
          </w:rPr>
          <w:delText> </w:delText>
        </w:r>
        <w:r w:rsidRPr="001B4A02">
          <w:rPr>
            <w:szCs w:val="22"/>
            <w:lang w:val="cs-CZ"/>
          </w:rPr>
          <w:delText xml:space="preserve">dávce 10 až 35 mg/den). </w:delText>
        </w:r>
        <w:r w:rsidR="00670F80" w:rsidRPr="001B4A02">
          <w:rPr>
            <w:szCs w:val="22"/>
            <w:lang w:val="cs-CZ"/>
          </w:rPr>
          <w:delText xml:space="preserve">Tato dávka se pak podle závazného harmonogramu snižovala, přičemž do týdne 19 byly </w:delText>
        </w:r>
        <w:r w:rsidR="00AC7C92" w:rsidRPr="001B4A02">
          <w:rPr>
            <w:szCs w:val="22"/>
            <w:lang w:val="cs-CZ"/>
          </w:rPr>
          <w:delText>kortikosteroidy zcela vysazeny.</w:delText>
        </w:r>
      </w:del>
    </w:p>
    <w:p w14:paraId="18F1A9DA" w14:textId="77777777" w:rsidR="00AD6614" w:rsidRPr="001B4A02" w:rsidRDefault="00AD6614" w:rsidP="00ED48A3">
      <w:pPr>
        <w:pStyle w:val="EMEANormal"/>
        <w:rPr>
          <w:del w:id="7179" w:author="AbbVie1" w:date="2025-05-13T09:50:00Z"/>
          <w:szCs w:val="22"/>
          <w:lang w:val="cs-CZ"/>
        </w:rPr>
      </w:pPr>
    </w:p>
    <w:p w14:paraId="0A0DBCEE" w14:textId="77777777" w:rsidR="00AD6614" w:rsidRPr="001B4A02" w:rsidRDefault="00000000" w:rsidP="00ED48A3">
      <w:pPr>
        <w:pStyle w:val="EMEANormal"/>
        <w:rPr>
          <w:del w:id="7180" w:author="AbbVie1" w:date="2025-05-13T09:50:00Z"/>
          <w:szCs w:val="22"/>
          <w:lang w:val="cs-CZ"/>
        </w:rPr>
      </w:pPr>
      <w:del w:id="7181" w:author="AbbVie1" w:date="2025-05-13T09:50:00Z">
        <w:r w:rsidRPr="001B4A02">
          <w:rPr>
            <w:szCs w:val="22"/>
            <w:lang w:val="cs-CZ"/>
          </w:rPr>
          <w:delText xml:space="preserve">Primárním </w:delText>
        </w:r>
        <w:r w:rsidR="00AF67F2" w:rsidRPr="001B4A02">
          <w:rPr>
            <w:szCs w:val="22"/>
            <w:lang w:val="cs-CZ"/>
          </w:rPr>
          <w:delText>cílovým parametrem</w:delText>
        </w:r>
        <w:r w:rsidRPr="001B4A02">
          <w:rPr>
            <w:szCs w:val="22"/>
            <w:lang w:val="cs-CZ"/>
          </w:rPr>
          <w:delText xml:space="preserve"> účinnosti v</w:delText>
        </w:r>
        <w:r w:rsidR="008506F3" w:rsidRPr="001B4A02">
          <w:rPr>
            <w:szCs w:val="22"/>
            <w:lang w:val="cs-CZ"/>
          </w:rPr>
          <w:delText> </w:delText>
        </w:r>
        <w:r w:rsidRPr="001B4A02">
          <w:rPr>
            <w:szCs w:val="22"/>
            <w:lang w:val="cs-CZ"/>
          </w:rPr>
          <w:delText xml:space="preserve">obou studiích byla </w:delText>
        </w:r>
        <w:r w:rsidR="00662E9B" w:rsidRPr="001B4A02">
          <w:rPr>
            <w:szCs w:val="22"/>
            <w:lang w:val="cs-CZ"/>
          </w:rPr>
          <w:delText>„</w:delText>
        </w:r>
        <w:r w:rsidRPr="001B4A02">
          <w:rPr>
            <w:szCs w:val="22"/>
            <w:lang w:val="cs-CZ"/>
          </w:rPr>
          <w:delText xml:space="preserve">doba do selhání </w:delText>
        </w:r>
        <w:r w:rsidR="00E97D9C" w:rsidRPr="001B4A02">
          <w:rPr>
            <w:szCs w:val="22"/>
            <w:lang w:val="cs-CZ"/>
          </w:rPr>
          <w:delText>léčby</w:delText>
        </w:r>
        <w:r w:rsidR="00662E9B" w:rsidRPr="001B4A02">
          <w:rPr>
            <w:szCs w:val="22"/>
            <w:lang w:val="cs-CZ"/>
          </w:rPr>
          <w:delText>“</w:delText>
        </w:r>
        <w:r w:rsidRPr="001B4A02">
          <w:rPr>
            <w:szCs w:val="22"/>
            <w:lang w:val="cs-CZ"/>
          </w:rPr>
          <w:delText>. Selhání léčby bylo definováno vícesložkovým výs</w:delText>
        </w:r>
        <w:r w:rsidR="00813C80" w:rsidRPr="001B4A02">
          <w:rPr>
            <w:szCs w:val="22"/>
            <w:lang w:val="cs-CZ"/>
          </w:rPr>
          <w:delText>tupem</w:delText>
        </w:r>
        <w:r w:rsidRPr="001B4A02">
          <w:rPr>
            <w:szCs w:val="22"/>
            <w:lang w:val="cs-CZ"/>
          </w:rPr>
          <w:delText xml:space="preserve"> založeným na zánětlivých chorioretinálních a/nebo zánětlivých retinálních vaskulárních lézích, </w:delText>
        </w:r>
        <w:r w:rsidR="00813C80" w:rsidRPr="001B4A02">
          <w:rPr>
            <w:szCs w:val="22"/>
            <w:lang w:val="cs-CZ"/>
          </w:rPr>
          <w:delText>počtu buněk v</w:delText>
        </w:r>
        <w:r w:rsidR="00AC7C92" w:rsidRPr="001B4A02">
          <w:rPr>
            <w:szCs w:val="22"/>
            <w:lang w:val="cs-CZ"/>
          </w:rPr>
          <w:delText> </w:delText>
        </w:r>
        <w:r w:rsidR="00813C80" w:rsidRPr="001B4A02">
          <w:rPr>
            <w:szCs w:val="22"/>
            <w:lang w:val="cs-CZ"/>
          </w:rPr>
          <w:delText xml:space="preserve">přední komoře </w:delText>
        </w:r>
        <w:r w:rsidRPr="001B4A02">
          <w:rPr>
            <w:szCs w:val="22"/>
            <w:lang w:val="cs-CZ"/>
          </w:rPr>
          <w:delText>(AC), stupni zákalu ve sklivci (VH)</w:delText>
        </w:r>
        <w:r w:rsidR="002378E0">
          <w:rPr>
            <w:szCs w:val="22"/>
            <w:lang w:val="cs-CZ"/>
          </w:rPr>
          <w:delText xml:space="preserve"> a </w:delText>
        </w:r>
        <w:r w:rsidRPr="001B4A02">
          <w:rPr>
            <w:szCs w:val="22"/>
            <w:lang w:val="cs-CZ"/>
          </w:rPr>
          <w:delText xml:space="preserve">nejlepší korigované zrakové ostrosti </w:delText>
        </w:r>
        <w:r w:rsidR="00AC7C92" w:rsidRPr="001B4A02">
          <w:rPr>
            <w:szCs w:val="22"/>
            <w:lang w:val="cs-CZ"/>
          </w:rPr>
          <w:delText>(BCVA).</w:delText>
        </w:r>
      </w:del>
    </w:p>
    <w:p w14:paraId="4C15BACC" w14:textId="77777777" w:rsidR="00AD6614" w:rsidRPr="001B4A02" w:rsidRDefault="00AD6614" w:rsidP="00ED48A3">
      <w:pPr>
        <w:pStyle w:val="EMEANormal"/>
        <w:rPr>
          <w:del w:id="7182" w:author="AbbVie1" w:date="2025-05-13T09:50:00Z"/>
          <w:szCs w:val="22"/>
          <w:lang w:val="cs-CZ"/>
        </w:rPr>
      </w:pPr>
    </w:p>
    <w:p w14:paraId="78ABF0C2" w14:textId="77777777" w:rsidR="00AD6614" w:rsidRPr="001B4A02" w:rsidRDefault="00000000" w:rsidP="00CE5DAE">
      <w:pPr>
        <w:pStyle w:val="EMEANormal"/>
        <w:keepNext/>
        <w:rPr>
          <w:del w:id="7183" w:author="AbbVie1" w:date="2025-05-13T09:50:00Z"/>
          <w:i/>
          <w:szCs w:val="22"/>
          <w:u w:val="single"/>
          <w:lang w:val="cs-CZ"/>
        </w:rPr>
      </w:pPr>
      <w:del w:id="7184" w:author="AbbVie1" w:date="2025-05-13T09:50:00Z">
        <w:r w:rsidRPr="001B4A02">
          <w:rPr>
            <w:i/>
            <w:szCs w:val="22"/>
            <w:u w:val="single"/>
            <w:lang w:val="cs-CZ"/>
          </w:rPr>
          <w:delText>Klinická odpověď</w:delText>
        </w:r>
      </w:del>
    </w:p>
    <w:p w14:paraId="77403BB5" w14:textId="77777777" w:rsidR="00AD6614" w:rsidRPr="001B4A02" w:rsidRDefault="00AD6614" w:rsidP="00CE5DAE">
      <w:pPr>
        <w:pStyle w:val="EMEANormal"/>
        <w:keepNext/>
        <w:rPr>
          <w:del w:id="7185" w:author="AbbVie1" w:date="2025-05-13T09:50:00Z"/>
          <w:i/>
          <w:szCs w:val="22"/>
          <w:u w:val="single"/>
          <w:lang w:val="cs-CZ"/>
        </w:rPr>
      </w:pPr>
    </w:p>
    <w:p w14:paraId="763F8B0F" w14:textId="77777777" w:rsidR="00AD6614" w:rsidRPr="001B4A02" w:rsidRDefault="00000000" w:rsidP="00ED48A3">
      <w:pPr>
        <w:pStyle w:val="EMEANormal"/>
        <w:rPr>
          <w:del w:id="7186" w:author="AbbVie1" w:date="2025-05-13T09:50:00Z"/>
          <w:szCs w:val="22"/>
          <w:lang w:val="cs-CZ"/>
        </w:rPr>
      </w:pPr>
      <w:del w:id="7187" w:author="AbbVie1" w:date="2025-05-13T09:50:00Z">
        <w:r w:rsidRPr="001B4A02">
          <w:rPr>
            <w:szCs w:val="22"/>
            <w:lang w:val="cs-CZ"/>
          </w:rPr>
          <w:delText>Výsledky z</w:delText>
        </w:r>
        <w:r w:rsidR="0006352B" w:rsidRPr="001B4A02">
          <w:rPr>
            <w:szCs w:val="22"/>
            <w:lang w:val="cs-CZ"/>
          </w:rPr>
          <w:delText> </w:delText>
        </w:r>
        <w:r w:rsidRPr="001B4A02">
          <w:rPr>
            <w:szCs w:val="22"/>
            <w:lang w:val="cs-CZ"/>
          </w:rPr>
          <w:delText>obou studií prokázaly statisticky významné snížení rizika selhání léčby u</w:delText>
        </w:r>
        <w:r w:rsidR="008506F3" w:rsidRPr="001B4A02">
          <w:rPr>
            <w:szCs w:val="22"/>
            <w:lang w:val="cs-CZ"/>
          </w:rPr>
          <w:delText> </w:delText>
        </w:r>
        <w:r w:rsidRPr="001B4A02">
          <w:rPr>
            <w:szCs w:val="22"/>
            <w:lang w:val="cs-CZ"/>
          </w:rPr>
          <w:delText xml:space="preserve">pacientů léčených přípravkem </w:delText>
        </w:r>
        <w:r w:rsidR="0062437D" w:rsidRPr="001B4A02">
          <w:rPr>
            <w:szCs w:val="22"/>
            <w:lang w:val="cs-CZ"/>
          </w:rPr>
          <w:delText>Humira</w:delText>
        </w:r>
        <w:r w:rsidRPr="001B4A02">
          <w:rPr>
            <w:szCs w:val="22"/>
            <w:lang w:val="cs-CZ"/>
          </w:rPr>
          <w:delText xml:space="preserve"> v</w:delText>
        </w:r>
        <w:r w:rsidR="00255A0A" w:rsidRPr="001B4A02">
          <w:rPr>
            <w:szCs w:val="22"/>
            <w:lang w:val="cs-CZ"/>
          </w:rPr>
          <w:delText> </w:delText>
        </w:r>
        <w:r w:rsidRPr="001B4A02">
          <w:rPr>
            <w:szCs w:val="22"/>
            <w:lang w:val="cs-CZ"/>
          </w:rPr>
          <w:delText>porovnání s</w:delText>
        </w:r>
        <w:r w:rsidR="008506F3" w:rsidRPr="001B4A02">
          <w:rPr>
            <w:szCs w:val="22"/>
            <w:lang w:val="cs-CZ"/>
          </w:rPr>
          <w:delText> </w:delText>
        </w:r>
        <w:r w:rsidRPr="001B4A02">
          <w:rPr>
            <w:szCs w:val="22"/>
            <w:lang w:val="cs-CZ"/>
          </w:rPr>
          <w:delText>pacienty dostávajícími placebo (</w:delText>
        </w:r>
        <w:r w:rsidR="00E97D9C" w:rsidRPr="001B4A02">
          <w:rPr>
            <w:szCs w:val="22"/>
            <w:lang w:val="cs-CZ"/>
          </w:rPr>
          <w:delText xml:space="preserve">viz </w:delText>
        </w:r>
        <w:r w:rsidRPr="001B4A02">
          <w:rPr>
            <w:szCs w:val="22"/>
            <w:lang w:val="cs-CZ"/>
          </w:rPr>
          <w:delText xml:space="preserve">tabulka </w:delText>
        </w:r>
        <w:r w:rsidR="00CC1B29">
          <w:rPr>
            <w:szCs w:val="22"/>
            <w:lang w:val="cs-CZ"/>
          </w:rPr>
          <w:delText>24</w:delText>
        </w:r>
        <w:r w:rsidRPr="001B4A02">
          <w:rPr>
            <w:szCs w:val="22"/>
            <w:lang w:val="cs-CZ"/>
          </w:rPr>
          <w:delText>). Obě studie prokázaly časný</w:delText>
        </w:r>
        <w:r w:rsidR="002378E0">
          <w:rPr>
            <w:szCs w:val="22"/>
            <w:lang w:val="cs-CZ"/>
          </w:rPr>
          <w:delText xml:space="preserve"> a </w:delText>
        </w:r>
        <w:r w:rsidRPr="001B4A02">
          <w:rPr>
            <w:szCs w:val="22"/>
            <w:lang w:val="cs-CZ"/>
          </w:rPr>
          <w:delText>setrvalý účinek přípravku Humira na četnost selhání léčby v</w:delText>
        </w:r>
        <w:r w:rsidR="008506F3" w:rsidRPr="001B4A02">
          <w:rPr>
            <w:szCs w:val="22"/>
            <w:lang w:val="cs-CZ"/>
          </w:rPr>
          <w:delText> </w:delText>
        </w:r>
        <w:r w:rsidRPr="001B4A02">
          <w:rPr>
            <w:szCs w:val="22"/>
            <w:lang w:val="cs-CZ"/>
          </w:rPr>
          <w:delText>porovnání s</w:delText>
        </w:r>
        <w:r w:rsidR="00AC7C92" w:rsidRPr="001B4A02">
          <w:rPr>
            <w:szCs w:val="22"/>
            <w:lang w:val="cs-CZ"/>
          </w:rPr>
          <w:delText> </w:delText>
        </w:r>
        <w:r w:rsidRPr="001B4A02">
          <w:rPr>
            <w:szCs w:val="22"/>
            <w:lang w:val="cs-CZ"/>
          </w:rPr>
          <w:delText>placebem (</w:delText>
        </w:r>
        <w:r w:rsidR="00E97D9C" w:rsidRPr="001B4A02">
          <w:rPr>
            <w:szCs w:val="22"/>
            <w:lang w:val="cs-CZ"/>
          </w:rPr>
          <w:delText xml:space="preserve">viz </w:delText>
        </w:r>
        <w:r w:rsidRPr="001B4A02">
          <w:rPr>
            <w:szCs w:val="22"/>
            <w:lang w:val="cs-CZ"/>
          </w:rPr>
          <w:delText xml:space="preserve">obrázek </w:delText>
        </w:r>
        <w:r w:rsidR="003B2D93">
          <w:rPr>
            <w:szCs w:val="22"/>
            <w:lang w:val="cs-CZ"/>
          </w:rPr>
          <w:delText>2</w:delText>
        </w:r>
        <w:r w:rsidRPr="001B4A02">
          <w:rPr>
            <w:szCs w:val="22"/>
            <w:lang w:val="cs-CZ"/>
          </w:rPr>
          <w:delText>).</w:delText>
        </w:r>
      </w:del>
    </w:p>
    <w:p w14:paraId="7EC6A579" w14:textId="77777777" w:rsidR="00AD6614" w:rsidRPr="00883A75" w:rsidRDefault="00AD6614" w:rsidP="00ED48A3">
      <w:pPr>
        <w:pStyle w:val="EMEANormal"/>
        <w:rPr>
          <w:del w:id="7188" w:author="AbbVie1" w:date="2025-05-13T09:50:00Z"/>
          <w:bCs/>
          <w:szCs w:val="22"/>
          <w:lang w:val="cs-CZ"/>
        </w:rPr>
      </w:pPr>
    </w:p>
    <w:p w14:paraId="25C709DF" w14:textId="77777777" w:rsidR="00AD6614" w:rsidRPr="001B4A02" w:rsidRDefault="00000000" w:rsidP="00CE5DAE">
      <w:pPr>
        <w:pStyle w:val="EMEANormal"/>
        <w:keepNext/>
        <w:jc w:val="center"/>
        <w:rPr>
          <w:del w:id="7189" w:author="AbbVie1" w:date="2025-05-13T09:50:00Z"/>
          <w:b/>
          <w:szCs w:val="22"/>
          <w:lang w:val="cs-CZ"/>
        </w:rPr>
      </w:pPr>
      <w:del w:id="7190" w:author="AbbVie1" w:date="2025-05-13T09:50:00Z">
        <w:r w:rsidRPr="001B4A02">
          <w:rPr>
            <w:b/>
            <w:szCs w:val="22"/>
            <w:lang w:val="cs-CZ"/>
          </w:rPr>
          <w:delText xml:space="preserve">Tabulka </w:delText>
        </w:r>
        <w:r w:rsidR="00CC1B29">
          <w:rPr>
            <w:b/>
            <w:szCs w:val="22"/>
            <w:lang w:val="cs-CZ"/>
          </w:rPr>
          <w:delText>24</w:delText>
        </w:r>
      </w:del>
    </w:p>
    <w:p w14:paraId="5FD26DAD" w14:textId="77777777" w:rsidR="00AD6614" w:rsidRPr="001B4A02" w:rsidRDefault="00000000" w:rsidP="00CE5DAE">
      <w:pPr>
        <w:pStyle w:val="EMEANormal"/>
        <w:keepNext/>
        <w:jc w:val="center"/>
        <w:rPr>
          <w:del w:id="7191" w:author="AbbVie1" w:date="2025-05-13T09:50:00Z"/>
          <w:b/>
          <w:szCs w:val="22"/>
          <w:lang w:val="cs-CZ"/>
        </w:rPr>
      </w:pPr>
      <w:del w:id="7192" w:author="AbbVie1" w:date="2025-05-13T09:50:00Z">
        <w:r w:rsidRPr="001B4A02">
          <w:rPr>
            <w:b/>
            <w:szCs w:val="22"/>
            <w:lang w:val="cs-CZ"/>
          </w:rPr>
          <w:delText xml:space="preserve">Doba do selhání </w:delText>
        </w:r>
        <w:r w:rsidR="00E97D9C" w:rsidRPr="001B4A02">
          <w:rPr>
            <w:b/>
            <w:szCs w:val="22"/>
            <w:lang w:val="cs-CZ"/>
          </w:rPr>
          <w:delText xml:space="preserve">léčby </w:delText>
        </w:r>
        <w:r w:rsidRPr="001B4A02">
          <w:rPr>
            <w:b/>
            <w:szCs w:val="22"/>
            <w:lang w:val="cs-CZ"/>
          </w:rPr>
          <w:delText>ve studiích UV I</w:delText>
        </w:r>
        <w:r w:rsidR="002378E0">
          <w:rPr>
            <w:b/>
            <w:szCs w:val="22"/>
            <w:lang w:val="cs-CZ"/>
          </w:rPr>
          <w:delText xml:space="preserve"> a </w:delText>
        </w:r>
        <w:r w:rsidRPr="001B4A02">
          <w:rPr>
            <w:b/>
            <w:szCs w:val="22"/>
            <w:lang w:val="cs-CZ"/>
          </w:rPr>
          <w:delText>UV II</w:delText>
        </w:r>
      </w:del>
    </w:p>
    <w:p w14:paraId="26C6727F" w14:textId="77777777" w:rsidR="00AD6614" w:rsidRPr="001B4A02" w:rsidRDefault="00AD6614" w:rsidP="00CE5DAE">
      <w:pPr>
        <w:pStyle w:val="EMEANormal"/>
        <w:keepNext/>
        <w:jc w:val="center"/>
        <w:rPr>
          <w:del w:id="7193" w:author="AbbVie1" w:date="2025-05-13T09:50:00Z"/>
          <w:b/>
          <w:szCs w:val="22"/>
          <w:lang w:val="cs-CZ"/>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534A2D" w14:paraId="2C1EB7AE" w14:textId="77777777" w:rsidTr="00AD6614">
        <w:trPr>
          <w:del w:id="7194" w:author="AbbVie1" w:date="2025-05-13T09:50:00Z"/>
        </w:trPr>
        <w:tc>
          <w:tcPr>
            <w:tcW w:w="2268" w:type="dxa"/>
            <w:tcBorders>
              <w:top w:val="single" w:sz="4" w:space="0" w:color="auto"/>
              <w:bottom w:val="single" w:sz="4" w:space="0" w:color="auto"/>
            </w:tcBorders>
            <w:shd w:val="clear" w:color="auto" w:fill="auto"/>
          </w:tcPr>
          <w:p w14:paraId="26233427" w14:textId="77777777" w:rsidR="00AD6614" w:rsidRPr="001B4A02" w:rsidRDefault="00000000" w:rsidP="00ED48A3">
            <w:pPr>
              <w:pStyle w:val="EMEANormal"/>
              <w:rPr>
                <w:del w:id="7195" w:author="AbbVie1" w:date="2025-05-13T09:50:00Z"/>
                <w:b/>
                <w:szCs w:val="22"/>
                <w:lang w:val="cs-CZ"/>
              </w:rPr>
            </w:pPr>
            <w:del w:id="7196" w:author="AbbVie1" w:date="2025-05-13T09:50:00Z">
              <w:r w:rsidRPr="001B4A02">
                <w:rPr>
                  <w:b/>
                  <w:szCs w:val="22"/>
                  <w:lang w:val="cs-CZ"/>
                </w:rPr>
                <w:delText>Anal</w:delText>
              </w:r>
              <w:r w:rsidR="00813C80" w:rsidRPr="001B4A02">
                <w:rPr>
                  <w:b/>
                  <w:szCs w:val="22"/>
                  <w:lang w:val="cs-CZ"/>
                </w:rPr>
                <w:delText>ýza</w:delText>
              </w:r>
            </w:del>
          </w:p>
          <w:p w14:paraId="2F94709E" w14:textId="77777777" w:rsidR="00AD6614" w:rsidRPr="001B4A02" w:rsidRDefault="00000000" w:rsidP="00ED48A3">
            <w:pPr>
              <w:pStyle w:val="EMEANormal"/>
              <w:rPr>
                <w:del w:id="7197" w:author="AbbVie1" w:date="2025-05-13T09:50:00Z"/>
                <w:b/>
                <w:szCs w:val="22"/>
                <w:lang w:val="cs-CZ"/>
              </w:rPr>
            </w:pPr>
            <w:del w:id="7198" w:author="AbbVie1" w:date="2025-05-13T09:50:00Z">
              <w:r w:rsidRPr="001B4A02">
                <w:rPr>
                  <w:b/>
                  <w:szCs w:val="22"/>
                  <w:lang w:val="cs-CZ"/>
                </w:rPr>
                <w:tab/>
              </w:r>
              <w:r w:rsidR="00813C80" w:rsidRPr="001B4A02">
                <w:rPr>
                  <w:b/>
                  <w:szCs w:val="22"/>
                  <w:lang w:val="cs-CZ"/>
                </w:rPr>
                <w:delText>Léčba</w:delText>
              </w:r>
            </w:del>
          </w:p>
        </w:tc>
        <w:tc>
          <w:tcPr>
            <w:tcW w:w="720" w:type="dxa"/>
            <w:tcBorders>
              <w:top w:val="single" w:sz="4" w:space="0" w:color="auto"/>
              <w:bottom w:val="single" w:sz="4" w:space="0" w:color="auto"/>
            </w:tcBorders>
            <w:shd w:val="clear" w:color="auto" w:fill="auto"/>
          </w:tcPr>
          <w:p w14:paraId="6CB13CEE" w14:textId="77777777" w:rsidR="00AD6614" w:rsidRPr="001B4A02" w:rsidRDefault="00000000" w:rsidP="00ED48A3">
            <w:pPr>
              <w:pStyle w:val="EMEANormal"/>
              <w:rPr>
                <w:del w:id="7199" w:author="AbbVie1" w:date="2025-05-13T09:50:00Z"/>
                <w:b/>
                <w:szCs w:val="22"/>
                <w:lang w:val="cs-CZ"/>
              </w:rPr>
            </w:pPr>
            <w:del w:id="7200" w:author="AbbVie1" w:date="2025-05-13T09:50:00Z">
              <w:r>
                <w:rPr>
                  <w:b/>
                  <w:szCs w:val="22"/>
                  <w:lang w:val="cs-CZ"/>
                </w:rPr>
                <w:delText>n</w:delText>
              </w:r>
            </w:del>
          </w:p>
        </w:tc>
        <w:tc>
          <w:tcPr>
            <w:tcW w:w="1170" w:type="dxa"/>
            <w:tcBorders>
              <w:top w:val="single" w:sz="4" w:space="0" w:color="auto"/>
              <w:bottom w:val="single" w:sz="4" w:space="0" w:color="auto"/>
            </w:tcBorders>
            <w:shd w:val="clear" w:color="auto" w:fill="auto"/>
          </w:tcPr>
          <w:p w14:paraId="667B6700" w14:textId="77777777" w:rsidR="00AD6614" w:rsidRPr="001B4A02" w:rsidRDefault="00000000" w:rsidP="00ED48A3">
            <w:pPr>
              <w:pStyle w:val="EMEANormal"/>
              <w:rPr>
                <w:del w:id="7201" w:author="AbbVie1" w:date="2025-05-13T09:50:00Z"/>
                <w:b/>
                <w:szCs w:val="22"/>
                <w:lang w:val="cs-CZ"/>
              </w:rPr>
            </w:pPr>
            <w:del w:id="7202" w:author="AbbVie1" w:date="2025-05-13T09:50:00Z">
              <w:r w:rsidRPr="001B4A02">
                <w:rPr>
                  <w:b/>
                  <w:szCs w:val="22"/>
                  <w:lang w:val="cs-CZ"/>
                </w:rPr>
                <w:delText>Selhání</w:delText>
              </w:r>
              <w:r w:rsidRPr="001B4A02">
                <w:rPr>
                  <w:b/>
                  <w:szCs w:val="22"/>
                  <w:lang w:val="cs-CZ"/>
                </w:rPr>
                <w:br/>
              </w:r>
              <w:r w:rsidR="0093374E">
                <w:rPr>
                  <w:b/>
                  <w:szCs w:val="22"/>
                  <w:lang w:val="cs-CZ"/>
                </w:rPr>
                <w:delText>n</w:delText>
              </w:r>
              <w:r w:rsidRPr="001B4A02">
                <w:rPr>
                  <w:b/>
                  <w:szCs w:val="22"/>
                  <w:lang w:val="cs-CZ"/>
                </w:rPr>
                <w:delText xml:space="preserve"> (%)</w:delText>
              </w:r>
            </w:del>
          </w:p>
        </w:tc>
        <w:tc>
          <w:tcPr>
            <w:tcW w:w="1890" w:type="dxa"/>
            <w:tcBorders>
              <w:top w:val="single" w:sz="4" w:space="0" w:color="auto"/>
              <w:bottom w:val="single" w:sz="4" w:space="0" w:color="auto"/>
            </w:tcBorders>
            <w:shd w:val="clear" w:color="auto" w:fill="auto"/>
          </w:tcPr>
          <w:p w14:paraId="272B649C" w14:textId="77777777" w:rsidR="00AD6614" w:rsidRPr="001B4A02" w:rsidRDefault="00000000" w:rsidP="00ED48A3">
            <w:pPr>
              <w:pStyle w:val="EMEANormal"/>
              <w:rPr>
                <w:del w:id="7203" w:author="AbbVie1" w:date="2025-05-13T09:50:00Z"/>
                <w:b/>
                <w:szCs w:val="22"/>
                <w:lang w:val="cs-CZ"/>
              </w:rPr>
            </w:pPr>
            <w:del w:id="7204" w:author="AbbVie1" w:date="2025-05-13T09:50:00Z">
              <w:r w:rsidRPr="001B4A02">
                <w:rPr>
                  <w:b/>
                  <w:szCs w:val="22"/>
                  <w:lang w:val="cs-CZ"/>
                </w:rPr>
                <w:delText>Střední doba do selhání (měsíce)</w:delText>
              </w:r>
            </w:del>
          </w:p>
        </w:tc>
        <w:tc>
          <w:tcPr>
            <w:tcW w:w="720" w:type="dxa"/>
            <w:tcBorders>
              <w:top w:val="single" w:sz="4" w:space="0" w:color="auto"/>
              <w:bottom w:val="single" w:sz="4" w:space="0" w:color="auto"/>
            </w:tcBorders>
            <w:shd w:val="clear" w:color="auto" w:fill="auto"/>
          </w:tcPr>
          <w:p w14:paraId="46BF86F1" w14:textId="77777777" w:rsidR="00AD6614" w:rsidRPr="001B4A02" w:rsidRDefault="00000000" w:rsidP="00ED48A3">
            <w:pPr>
              <w:pStyle w:val="EMEANormal"/>
              <w:rPr>
                <w:del w:id="7205" w:author="AbbVie1" w:date="2025-05-13T09:50:00Z"/>
                <w:b/>
                <w:szCs w:val="22"/>
                <w:lang w:val="cs-CZ"/>
              </w:rPr>
            </w:pPr>
            <w:del w:id="7206" w:author="AbbVie1" w:date="2025-05-13T09:50:00Z">
              <w:r w:rsidRPr="001B4A02">
                <w:rPr>
                  <w:b/>
                  <w:szCs w:val="22"/>
                  <w:lang w:val="cs-CZ"/>
                </w:rPr>
                <w:delText>HR</w:delText>
              </w:r>
              <w:r w:rsidRPr="001B4A02">
                <w:rPr>
                  <w:b/>
                  <w:szCs w:val="22"/>
                  <w:vertAlign w:val="superscript"/>
                  <w:lang w:val="cs-CZ"/>
                </w:rPr>
                <w:delText>a</w:delText>
              </w:r>
            </w:del>
          </w:p>
        </w:tc>
        <w:tc>
          <w:tcPr>
            <w:tcW w:w="1170" w:type="dxa"/>
            <w:tcBorders>
              <w:top w:val="single" w:sz="4" w:space="0" w:color="auto"/>
              <w:bottom w:val="single" w:sz="4" w:space="0" w:color="auto"/>
            </w:tcBorders>
            <w:shd w:val="clear" w:color="auto" w:fill="auto"/>
          </w:tcPr>
          <w:p w14:paraId="3CA8B653" w14:textId="77777777" w:rsidR="00AD6614" w:rsidRPr="001B4A02" w:rsidRDefault="00000000" w:rsidP="00ED48A3">
            <w:pPr>
              <w:pStyle w:val="EMEANormal"/>
              <w:rPr>
                <w:del w:id="7207" w:author="AbbVie1" w:date="2025-05-13T09:50:00Z"/>
                <w:b/>
                <w:szCs w:val="22"/>
                <w:lang w:val="cs-CZ"/>
              </w:rPr>
            </w:pPr>
            <w:del w:id="7208" w:author="AbbVie1" w:date="2025-05-13T09:50:00Z">
              <w:r w:rsidRPr="001B4A02">
                <w:rPr>
                  <w:b/>
                  <w:szCs w:val="22"/>
                  <w:lang w:val="cs-CZ"/>
                </w:rPr>
                <w:delText xml:space="preserve">CI 95% </w:delText>
              </w:r>
              <w:r w:rsidR="00813C80" w:rsidRPr="001B4A02">
                <w:rPr>
                  <w:b/>
                  <w:szCs w:val="22"/>
                  <w:lang w:val="cs-CZ"/>
                </w:rPr>
                <w:delText>pro</w:delText>
              </w:r>
              <w:r w:rsidRPr="001B4A02">
                <w:rPr>
                  <w:b/>
                  <w:szCs w:val="22"/>
                  <w:lang w:val="cs-CZ"/>
                </w:rPr>
                <w:delText xml:space="preserve"> HR</w:delText>
              </w:r>
              <w:r w:rsidRPr="001B4A02">
                <w:rPr>
                  <w:b/>
                  <w:szCs w:val="22"/>
                  <w:vertAlign w:val="superscript"/>
                  <w:lang w:val="cs-CZ"/>
                </w:rPr>
                <w:delText>a</w:delText>
              </w:r>
            </w:del>
          </w:p>
        </w:tc>
        <w:tc>
          <w:tcPr>
            <w:tcW w:w="1080" w:type="dxa"/>
            <w:tcBorders>
              <w:top w:val="single" w:sz="4" w:space="0" w:color="auto"/>
              <w:bottom w:val="single" w:sz="4" w:space="0" w:color="auto"/>
            </w:tcBorders>
            <w:shd w:val="clear" w:color="auto" w:fill="auto"/>
          </w:tcPr>
          <w:p w14:paraId="2F6761C6" w14:textId="77777777" w:rsidR="00AD6614" w:rsidRPr="001B4A02" w:rsidRDefault="00000000" w:rsidP="00ED48A3">
            <w:pPr>
              <w:pStyle w:val="EMEANormal"/>
              <w:rPr>
                <w:del w:id="7209" w:author="AbbVie1" w:date="2025-05-13T09:50:00Z"/>
                <w:b/>
                <w:szCs w:val="22"/>
                <w:lang w:val="cs-CZ"/>
              </w:rPr>
            </w:pPr>
            <w:del w:id="7210" w:author="AbbVie1" w:date="2025-05-13T09:50:00Z">
              <w:r w:rsidRPr="001B4A02">
                <w:rPr>
                  <w:b/>
                  <w:i/>
                  <w:szCs w:val="22"/>
                  <w:lang w:val="cs-CZ"/>
                </w:rPr>
                <w:delText>P</w:delText>
              </w:r>
              <w:r w:rsidRPr="001B4A02">
                <w:rPr>
                  <w:b/>
                  <w:szCs w:val="22"/>
                  <w:lang w:val="cs-CZ"/>
                </w:rPr>
                <w:delText xml:space="preserve"> </w:delText>
              </w:r>
              <w:r w:rsidR="00813C80" w:rsidRPr="001B4A02">
                <w:rPr>
                  <w:b/>
                  <w:szCs w:val="22"/>
                  <w:lang w:val="cs-CZ"/>
                </w:rPr>
                <w:delText>hodnota</w:delText>
              </w:r>
              <w:r w:rsidRPr="001B4A02">
                <w:rPr>
                  <w:szCs w:val="22"/>
                  <w:vertAlign w:val="superscript"/>
                  <w:lang w:val="cs-CZ"/>
                </w:rPr>
                <w:delText>b</w:delText>
              </w:r>
            </w:del>
          </w:p>
        </w:tc>
      </w:tr>
      <w:tr w:rsidR="00534A2D" w14:paraId="190CB2BC" w14:textId="77777777" w:rsidTr="00AD6614">
        <w:trPr>
          <w:del w:id="7211" w:author="AbbVie1" w:date="2025-05-13T09:50:00Z"/>
        </w:trPr>
        <w:tc>
          <w:tcPr>
            <w:tcW w:w="9018" w:type="dxa"/>
            <w:gridSpan w:val="7"/>
            <w:tcBorders>
              <w:top w:val="single" w:sz="4" w:space="0" w:color="auto"/>
              <w:bottom w:val="nil"/>
            </w:tcBorders>
            <w:shd w:val="clear" w:color="auto" w:fill="auto"/>
          </w:tcPr>
          <w:p w14:paraId="31796461" w14:textId="77777777" w:rsidR="00AD6614" w:rsidRPr="001B4A02" w:rsidRDefault="00000000" w:rsidP="00E97D9C">
            <w:pPr>
              <w:pStyle w:val="EMEANormal"/>
              <w:rPr>
                <w:del w:id="7212" w:author="AbbVie1" w:date="2025-05-13T09:50:00Z"/>
                <w:b/>
                <w:szCs w:val="22"/>
                <w:lang w:val="cs-CZ"/>
              </w:rPr>
            </w:pPr>
            <w:del w:id="7213" w:author="AbbVie1" w:date="2025-05-13T09:50:00Z">
              <w:r w:rsidRPr="001B4A02">
                <w:rPr>
                  <w:b/>
                  <w:szCs w:val="22"/>
                  <w:lang w:val="cs-CZ"/>
                </w:rPr>
                <w:delText xml:space="preserve">Doba do selhání </w:delText>
              </w:r>
              <w:r w:rsidR="00E97D9C" w:rsidRPr="001B4A02">
                <w:rPr>
                  <w:b/>
                  <w:szCs w:val="22"/>
                  <w:lang w:val="cs-CZ"/>
                </w:rPr>
                <w:delText xml:space="preserve">léčby </w:delText>
              </w:r>
              <w:r w:rsidRPr="001B4A02">
                <w:rPr>
                  <w:b/>
                  <w:szCs w:val="22"/>
                  <w:lang w:val="cs-CZ"/>
                </w:rPr>
                <w:delText>v</w:delText>
              </w:r>
              <w:r w:rsidR="00255A0A" w:rsidRPr="001B4A02">
                <w:rPr>
                  <w:b/>
                  <w:szCs w:val="22"/>
                  <w:lang w:val="cs-CZ"/>
                </w:rPr>
                <w:delText> </w:delText>
              </w:r>
              <w:r w:rsidRPr="001B4A02">
                <w:rPr>
                  <w:b/>
                  <w:szCs w:val="22"/>
                  <w:lang w:val="cs-CZ"/>
                </w:rPr>
                <w:delText>týdnu 6 nebo později ve studii</w:delText>
              </w:r>
              <w:r w:rsidR="00062315" w:rsidRPr="001B4A02">
                <w:rPr>
                  <w:b/>
                  <w:szCs w:val="22"/>
                  <w:lang w:val="cs-CZ"/>
                </w:rPr>
                <w:delText xml:space="preserve"> UV I</w:delText>
              </w:r>
            </w:del>
          </w:p>
        </w:tc>
      </w:tr>
      <w:tr w:rsidR="00534A2D" w14:paraId="10ED3083" w14:textId="77777777" w:rsidTr="00AD6614">
        <w:trPr>
          <w:del w:id="7214" w:author="AbbVie1" w:date="2025-05-13T09:50:00Z"/>
        </w:trPr>
        <w:tc>
          <w:tcPr>
            <w:tcW w:w="2988" w:type="dxa"/>
            <w:gridSpan w:val="2"/>
            <w:tcBorders>
              <w:top w:val="nil"/>
              <w:bottom w:val="nil"/>
            </w:tcBorders>
            <w:shd w:val="clear" w:color="auto" w:fill="auto"/>
          </w:tcPr>
          <w:p w14:paraId="17319371" w14:textId="77777777" w:rsidR="00AD6614" w:rsidRPr="001B4A02" w:rsidRDefault="00000000" w:rsidP="00ED48A3">
            <w:pPr>
              <w:pStyle w:val="EMEANormal"/>
              <w:rPr>
                <w:del w:id="7215" w:author="AbbVie1" w:date="2025-05-13T09:50:00Z"/>
                <w:szCs w:val="22"/>
                <w:lang w:val="cs-CZ"/>
              </w:rPr>
            </w:pPr>
            <w:del w:id="7216" w:author="AbbVie1" w:date="2025-05-13T09:50:00Z">
              <w:r w:rsidRPr="001B4A02">
                <w:rPr>
                  <w:szCs w:val="22"/>
                  <w:lang w:val="cs-CZ"/>
                </w:rPr>
                <w:delText>Primární analýza (ITT)</w:delText>
              </w:r>
            </w:del>
          </w:p>
        </w:tc>
        <w:tc>
          <w:tcPr>
            <w:tcW w:w="1170" w:type="dxa"/>
            <w:tcBorders>
              <w:top w:val="nil"/>
              <w:bottom w:val="nil"/>
            </w:tcBorders>
            <w:shd w:val="clear" w:color="auto" w:fill="auto"/>
          </w:tcPr>
          <w:p w14:paraId="63F211EB" w14:textId="77777777" w:rsidR="00AD6614" w:rsidRPr="001B4A02" w:rsidRDefault="00AD6614" w:rsidP="00ED48A3">
            <w:pPr>
              <w:pStyle w:val="EMEANormal"/>
              <w:rPr>
                <w:del w:id="7217" w:author="AbbVie1" w:date="2025-05-13T09:50:00Z"/>
                <w:szCs w:val="22"/>
                <w:lang w:val="cs-CZ"/>
              </w:rPr>
            </w:pPr>
          </w:p>
        </w:tc>
        <w:tc>
          <w:tcPr>
            <w:tcW w:w="1890" w:type="dxa"/>
            <w:tcBorders>
              <w:top w:val="nil"/>
              <w:bottom w:val="nil"/>
            </w:tcBorders>
            <w:shd w:val="clear" w:color="auto" w:fill="auto"/>
          </w:tcPr>
          <w:p w14:paraId="58A6433B" w14:textId="77777777" w:rsidR="00AD6614" w:rsidRPr="001B4A02" w:rsidRDefault="00AD6614" w:rsidP="00ED48A3">
            <w:pPr>
              <w:pStyle w:val="EMEANormal"/>
              <w:rPr>
                <w:del w:id="7218" w:author="AbbVie1" w:date="2025-05-13T09:50:00Z"/>
                <w:szCs w:val="22"/>
                <w:lang w:val="cs-CZ"/>
              </w:rPr>
            </w:pPr>
          </w:p>
        </w:tc>
        <w:tc>
          <w:tcPr>
            <w:tcW w:w="720" w:type="dxa"/>
            <w:tcBorders>
              <w:top w:val="nil"/>
              <w:bottom w:val="nil"/>
            </w:tcBorders>
            <w:shd w:val="clear" w:color="auto" w:fill="auto"/>
          </w:tcPr>
          <w:p w14:paraId="7D6E069F" w14:textId="77777777" w:rsidR="00AD6614" w:rsidRPr="001B4A02" w:rsidRDefault="00AD6614" w:rsidP="00ED48A3">
            <w:pPr>
              <w:pStyle w:val="EMEANormal"/>
              <w:rPr>
                <w:del w:id="7219" w:author="AbbVie1" w:date="2025-05-13T09:50:00Z"/>
                <w:szCs w:val="22"/>
                <w:lang w:val="cs-CZ"/>
              </w:rPr>
            </w:pPr>
          </w:p>
        </w:tc>
        <w:tc>
          <w:tcPr>
            <w:tcW w:w="1170" w:type="dxa"/>
            <w:tcBorders>
              <w:top w:val="nil"/>
              <w:bottom w:val="nil"/>
            </w:tcBorders>
            <w:shd w:val="clear" w:color="auto" w:fill="auto"/>
          </w:tcPr>
          <w:p w14:paraId="0100F9F3" w14:textId="77777777" w:rsidR="00AD6614" w:rsidRPr="001B4A02" w:rsidRDefault="00AD6614" w:rsidP="00ED48A3">
            <w:pPr>
              <w:pStyle w:val="EMEANormal"/>
              <w:rPr>
                <w:del w:id="7220" w:author="AbbVie1" w:date="2025-05-13T09:50:00Z"/>
                <w:szCs w:val="22"/>
                <w:lang w:val="cs-CZ"/>
              </w:rPr>
            </w:pPr>
          </w:p>
        </w:tc>
        <w:tc>
          <w:tcPr>
            <w:tcW w:w="1080" w:type="dxa"/>
            <w:tcBorders>
              <w:top w:val="nil"/>
              <w:bottom w:val="nil"/>
            </w:tcBorders>
            <w:shd w:val="clear" w:color="auto" w:fill="auto"/>
          </w:tcPr>
          <w:p w14:paraId="1D81A03E" w14:textId="77777777" w:rsidR="00AD6614" w:rsidRPr="001B4A02" w:rsidRDefault="00AD6614" w:rsidP="00ED48A3">
            <w:pPr>
              <w:pStyle w:val="EMEANormal"/>
              <w:rPr>
                <w:del w:id="7221" w:author="AbbVie1" w:date="2025-05-13T09:50:00Z"/>
                <w:szCs w:val="22"/>
                <w:lang w:val="cs-CZ"/>
              </w:rPr>
            </w:pPr>
          </w:p>
        </w:tc>
      </w:tr>
      <w:tr w:rsidR="00534A2D" w14:paraId="0422D34A" w14:textId="77777777" w:rsidTr="00AD6614">
        <w:trPr>
          <w:del w:id="7222" w:author="AbbVie1" w:date="2025-05-13T09:50:00Z"/>
        </w:trPr>
        <w:tc>
          <w:tcPr>
            <w:tcW w:w="2268" w:type="dxa"/>
            <w:tcBorders>
              <w:top w:val="nil"/>
              <w:bottom w:val="nil"/>
            </w:tcBorders>
            <w:shd w:val="clear" w:color="auto" w:fill="auto"/>
          </w:tcPr>
          <w:p w14:paraId="766AC33A" w14:textId="77777777" w:rsidR="00AD6614" w:rsidRPr="001B4A02" w:rsidRDefault="00000000" w:rsidP="00ED48A3">
            <w:pPr>
              <w:pStyle w:val="EMEANormal"/>
              <w:rPr>
                <w:del w:id="7223" w:author="AbbVie1" w:date="2025-05-13T09:50:00Z"/>
                <w:szCs w:val="22"/>
                <w:lang w:val="cs-CZ"/>
              </w:rPr>
            </w:pPr>
            <w:del w:id="7224" w:author="AbbVie1" w:date="2025-05-13T09:50:00Z">
              <w:r w:rsidRPr="001B4A02">
                <w:rPr>
                  <w:szCs w:val="22"/>
                  <w:lang w:val="cs-CZ"/>
                </w:rPr>
                <w:tab/>
                <w:delText>Placebo</w:delText>
              </w:r>
            </w:del>
          </w:p>
        </w:tc>
        <w:tc>
          <w:tcPr>
            <w:tcW w:w="720" w:type="dxa"/>
            <w:tcBorders>
              <w:top w:val="nil"/>
              <w:bottom w:val="nil"/>
            </w:tcBorders>
            <w:shd w:val="clear" w:color="auto" w:fill="auto"/>
          </w:tcPr>
          <w:p w14:paraId="78D08203" w14:textId="77777777" w:rsidR="00AD6614" w:rsidRPr="001B4A02" w:rsidRDefault="00000000" w:rsidP="00ED48A3">
            <w:pPr>
              <w:pStyle w:val="EMEANormal"/>
              <w:rPr>
                <w:del w:id="7225" w:author="AbbVie1" w:date="2025-05-13T09:50:00Z"/>
                <w:szCs w:val="22"/>
                <w:lang w:val="cs-CZ"/>
              </w:rPr>
            </w:pPr>
            <w:del w:id="7226" w:author="AbbVie1" w:date="2025-05-13T09:50:00Z">
              <w:r w:rsidRPr="001B4A02">
                <w:rPr>
                  <w:szCs w:val="22"/>
                  <w:lang w:val="cs-CZ"/>
                </w:rPr>
                <w:delText>107</w:delText>
              </w:r>
            </w:del>
          </w:p>
        </w:tc>
        <w:tc>
          <w:tcPr>
            <w:tcW w:w="1170" w:type="dxa"/>
            <w:tcBorders>
              <w:top w:val="nil"/>
              <w:bottom w:val="nil"/>
            </w:tcBorders>
            <w:shd w:val="clear" w:color="auto" w:fill="auto"/>
          </w:tcPr>
          <w:p w14:paraId="7218B1EF" w14:textId="77777777" w:rsidR="00AD6614" w:rsidRPr="001B4A02" w:rsidRDefault="00000000" w:rsidP="00ED48A3">
            <w:pPr>
              <w:pStyle w:val="EMEANormal"/>
              <w:rPr>
                <w:del w:id="7227" w:author="AbbVie1" w:date="2025-05-13T09:50:00Z"/>
                <w:szCs w:val="22"/>
                <w:lang w:val="cs-CZ"/>
              </w:rPr>
            </w:pPr>
            <w:del w:id="7228" w:author="AbbVie1" w:date="2025-05-13T09:50:00Z">
              <w:r w:rsidRPr="001B4A02">
                <w:rPr>
                  <w:szCs w:val="22"/>
                  <w:lang w:val="cs-CZ"/>
                </w:rPr>
                <w:delText>84 (78</w:delText>
              </w:r>
              <w:r w:rsidR="00813C80" w:rsidRPr="001B4A02">
                <w:rPr>
                  <w:szCs w:val="22"/>
                  <w:lang w:val="cs-CZ"/>
                </w:rPr>
                <w:delText>,</w:delText>
              </w:r>
              <w:r w:rsidRPr="001B4A02">
                <w:rPr>
                  <w:szCs w:val="22"/>
                  <w:lang w:val="cs-CZ"/>
                </w:rPr>
                <w:delText>5)</w:delText>
              </w:r>
            </w:del>
          </w:p>
        </w:tc>
        <w:tc>
          <w:tcPr>
            <w:tcW w:w="1890" w:type="dxa"/>
            <w:tcBorders>
              <w:top w:val="nil"/>
              <w:bottom w:val="nil"/>
            </w:tcBorders>
            <w:shd w:val="clear" w:color="auto" w:fill="auto"/>
          </w:tcPr>
          <w:p w14:paraId="386F1FFA" w14:textId="77777777" w:rsidR="00AD6614" w:rsidRPr="001B4A02" w:rsidRDefault="00000000" w:rsidP="00ED48A3">
            <w:pPr>
              <w:pStyle w:val="EMEANormal"/>
              <w:rPr>
                <w:del w:id="7229" w:author="AbbVie1" w:date="2025-05-13T09:50:00Z"/>
                <w:szCs w:val="22"/>
                <w:lang w:val="cs-CZ"/>
              </w:rPr>
            </w:pPr>
            <w:del w:id="7230" w:author="AbbVie1" w:date="2025-05-13T09:50:00Z">
              <w:r w:rsidRPr="001B4A02">
                <w:rPr>
                  <w:szCs w:val="22"/>
                  <w:lang w:val="cs-CZ"/>
                </w:rPr>
                <w:delText>3</w:delText>
              </w:r>
              <w:r w:rsidR="00813C80" w:rsidRPr="001B4A02">
                <w:rPr>
                  <w:szCs w:val="22"/>
                  <w:lang w:val="cs-CZ"/>
                </w:rPr>
                <w:delText>,</w:delText>
              </w:r>
              <w:r w:rsidRPr="001B4A02">
                <w:rPr>
                  <w:szCs w:val="22"/>
                  <w:lang w:val="cs-CZ"/>
                </w:rPr>
                <w:delText>0</w:delText>
              </w:r>
            </w:del>
          </w:p>
        </w:tc>
        <w:tc>
          <w:tcPr>
            <w:tcW w:w="720" w:type="dxa"/>
            <w:tcBorders>
              <w:top w:val="nil"/>
              <w:bottom w:val="nil"/>
            </w:tcBorders>
            <w:shd w:val="clear" w:color="auto" w:fill="auto"/>
          </w:tcPr>
          <w:p w14:paraId="1A2A80EE" w14:textId="77777777" w:rsidR="00AD6614" w:rsidRPr="001B4A02" w:rsidRDefault="00000000" w:rsidP="00ED48A3">
            <w:pPr>
              <w:pStyle w:val="EMEANormal"/>
              <w:rPr>
                <w:del w:id="7231" w:author="AbbVie1" w:date="2025-05-13T09:50:00Z"/>
                <w:szCs w:val="22"/>
                <w:lang w:val="cs-CZ"/>
              </w:rPr>
            </w:pPr>
            <w:del w:id="7232" w:author="AbbVie1" w:date="2025-05-13T09:50:00Z">
              <w:r w:rsidRPr="001B4A02">
                <w:rPr>
                  <w:szCs w:val="22"/>
                  <w:lang w:val="cs-CZ"/>
                </w:rPr>
                <w:delText>--</w:delText>
              </w:r>
            </w:del>
          </w:p>
        </w:tc>
        <w:tc>
          <w:tcPr>
            <w:tcW w:w="1170" w:type="dxa"/>
            <w:tcBorders>
              <w:top w:val="nil"/>
              <w:bottom w:val="nil"/>
            </w:tcBorders>
            <w:shd w:val="clear" w:color="auto" w:fill="auto"/>
          </w:tcPr>
          <w:p w14:paraId="6BA0EC65" w14:textId="77777777" w:rsidR="00AD6614" w:rsidRPr="001B4A02" w:rsidRDefault="00000000" w:rsidP="00ED48A3">
            <w:pPr>
              <w:pStyle w:val="EMEANormal"/>
              <w:rPr>
                <w:del w:id="7233" w:author="AbbVie1" w:date="2025-05-13T09:50:00Z"/>
                <w:szCs w:val="22"/>
                <w:lang w:val="cs-CZ"/>
              </w:rPr>
            </w:pPr>
            <w:del w:id="7234" w:author="AbbVie1" w:date="2025-05-13T09:50:00Z">
              <w:r w:rsidRPr="001B4A02">
                <w:rPr>
                  <w:szCs w:val="22"/>
                  <w:lang w:val="cs-CZ"/>
                </w:rPr>
                <w:delText>--</w:delText>
              </w:r>
            </w:del>
          </w:p>
        </w:tc>
        <w:tc>
          <w:tcPr>
            <w:tcW w:w="1080" w:type="dxa"/>
            <w:tcBorders>
              <w:top w:val="nil"/>
              <w:bottom w:val="nil"/>
            </w:tcBorders>
            <w:shd w:val="clear" w:color="auto" w:fill="auto"/>
          </w:tcPr>
          <w:p w14:paraId="1799D8E7" w14:textId="77777777" w:rsidR="00AD6614" w:rsidRPr="001B4A02" w:rsidRDefault="00000000" w:rsidP="00ED48A3">
            <w:pPr>
              <w:pStyle w:val="EMEANormal"/>
              <w:rPr>
                <w:del w:id="7235" w:author="AbbVie1" w:date="2025-05-13T09:50:00Z"/>
                <w:szCs w:val="22"/>
                <w:lang w:val="cs-CZ"/>
              </w:rPr>
            </w:pPr>
            <w:del w:id="7236" w:author="AbbVie1" w:date="2025-05-13T09:50:00Z">
              <w:r w:rsidRPr="001B4A02">
                <w:rPr>
                  <w:szCs w:val="22"/>
                  <w:lang w:val="cs-CZ"/>
                </w:rPr>
                <w:delText>--</w:delText>
              </w:r>
            </w:del>
          </w:p>
        </w:tc>
      </w:tr>
      <w:tr w:rsidR="00534A2D" w14:paraId="30DC2242" w14:textId="77777777" w:rsidTr="00AD6614">
        <w:trPr>
          <w:del w:id="7237" w:author="AbbVie1" w:date="2025-05-13T09:50:00Z"/>
        </w:trPr>
        <w:tc>
          <w:tcPr>
            <w:tcW w:w="2268" w:type="dxa"/>
            <w:tcBorders>
              <w:top w:val="nil"/>
              <w:bottom w:val="single" w:sz="4" w:space="0" w:color="auto"/>
            </w:tcBorders>
            <w:shd w:val="clear" w:color="auto" w:fill="auto"/>
          </w:tcPr>
          <w:p w14:paraId="4710684B" w14:textId="77777777" w:rsidR="00AD6614" w:rsidRPr="001B4A02" w:rsidRDefault="00000000" w:rsidP="00ED48A3">
            <w:pPr>
              <w:pStyle w:val="EMEANormal"/>
              <w:rPr>
                <w:del w:id="7238" w:author="AbbVie1" w:date="2025-05-13T09:50:00Z"/>
                <w:szCs w:val="22"/>
                <w:lang w:val="cs-CZ"/>
              </w:rPr>
            </w:pPr>
            <w:del w:id="7239" w:author="AbbVie1" w:date="2025-05-13T09:50:00Z">
              <w:r w:rsidRPr="001B4A02">
                <w:rPr>
                  <w:szCs w:val="22"/>
                  <w:lang w:val="cs-CZ"/>
                </w:rPr>
                <w:tab/>
                <w:delText>Adalimumab</w:delText>
              </w:r>
            </w:del>
          </w:p>
        </w:tc>
        <w:tc>
          <w:tcPr>
            <w:tcW w:w="720" w:type="dxa"/>
            <w:tcBorders>
              <w:top w:val="nil"/>
              <w:bottom w:val="single" w:sz="4" w:space="0" w:color="auto"/>
            </w:tcBorders>
            <w:shd w:val="clear" w:color="auto" w:fill="auto"/>
          </w:tcPr>
          <w:p w14:paraId="5B7DD7BE" w14:textId="77777777" w:rsidR="00AD6614" w:rsidRPr="001B4A02" w:rsidRDefault="00000000" w:rsidP="00ED48A3">
            <w:pPr>
              <w:pStyle w:val="EMEANormal"/>
              <w:rPr>
                <w:del w:id="7240" w:author="AbbVie1" w:date="2025-05-13T09:50:00Z"/>
                <w:szCs w:val="22"/>
                <w:lang w:val="cs-CZ"/>
              </w:rPr>
            </w:pPr>
            <w:del w:id="7241" w:author="AbbVie1" w:date="2025-05-13T09:50:00Z">
              <w:r w:rsidRPr="001B4A02">
                <w:rPr>
                  <w:szCs w:val="22"/>
                  <w:lang w:val="cs-CZ"/>
                </w:rPr>
                <w:delText>110</w:delText>
              </w:r>
            </w:del>
          </w:p>
        </w:tc>
        <w:tc>
          <w:tcPr>
            <w:tcW w:w="1170" w:type="dxa"/>
            <w:tcBorders>
              <w:top w:val="nil"/>
              <w:bottom w:val="single" w:sz="4" w:space="0" w:color="auto"/>
            </w:tcBorders>
            <w:shd w:val="clear" w:color="auto" w:fill="auto"/>
          </w:tcPr>
          <w:p w14:paraId="05CA6D58" w14:textId="77777777" w:rsidR="00AD6614" w:rsidRPr="001B4A02" w:rsidRDefault="00000000" w:rsidP="00ED48A3">
            <w:pPr>
              <w:pStyle w:val="EMEANormal"/>
              <w:rPr>
                <w:del w:id="7242" w:author="AbbVie1" w:date="2025-05-13T09:50:00Z"/>
                <w:szCs w:val="22"/>
                <w:lang w:val="cs-CZ"/>
              </w:rPr>
            </w:pPr>
            <w:del w:id="7243" w:author="AbbVie1" w:date="2025-05-13T09:50:00Z">
              <w:r w:rsidRPr="001B4A02">
                <w:rPr>
                  <w:szCs w:val="22"/>
                  <w:lang w:val="cs-CZ"/>
                </w:rPr>
                <w:delText>60 (54</w:delText>
              </w:r>
              <w:r w:rsidR="00813C80" w:rsidRPr="001B4A02">
                <w:rPr>
                  <w:szCs w:val="22"/>
                  <w:lang w:val="cs-CZ"/>
                </w:rPr>
                <w:delText>,</w:delText>
              </w:r>
              <w:r w:rsidRPr="001B4A02">
                <w:rPr>
                  <w:szCs w:val="22"/>
                  <w:lang w:val="cs-CZ"/>
                </w:rPr>
                <w:delText>5)</w:delText>
              </w:r>
            </w:del>
          </w:p>
        </w:tc>
        <w:tc>
          <w:tcPr>
            <w:tcW w:w="1890" w:type="dxa"/>
            <w:tcBorders>
              <w:top w:val="nil"/>
              <w:bottom w:val="single" w:sz="4" w:space="0" w:color="auto"/>
            </w:tcBorders>
            <w:shd w:val="clear" w:color="auto" w:fill="auto"/>
          </w:tcPr>
          <w:p w14:paraId="41D169DD" w14:textId="77777777" w:rsidR="00AD6614" w:rsidRPr="001B4A02" w:rsidRDefault="00000000" w:rsidP="00ED48A3">
            <w:pPr>
              <w:pStyle w:val="EMEANormal"/>
              <w:rPr>
                <w:del w:id="7244" w:author="AbbVie1" w:date="2025-05-13T09:50:00Z"/>
                <w:szCs w:val="22"/>
                <w:lang w:val="cs-CZ"/>
              </w:rPr>
            </w:pPr>
            <w:del w:id="7245" w:author="AbbVie1" w:date="2025-05-13T09:50:00Z">
              <w:r w:rsidRPr="001B4A02">
                <w:rPr>
                  <w:szCs w:val="22"/>
                  <w:lang w:val="cs-CZ"/>
                </w:rPr>
                <w:delText>5</w:delText>
              </w:r>
              <w:r w:rsidR="00813C80" w:rsidRPr="001B4A02">
                <w:rPr>
                  <w:szCs w:val="22"/>
                  <w:lang w:val="cs-CZ"/>
                </w:rPr>
                <w:delText>,</w:delText>
              </w:r>
              <w:r w:rsidRPr="001B4A02">
                <w:rPr>
                  <w:szCs w:val="22"/>
                  <w:lang w:val="cs-CZ"/>
                </w:rPr>
                <w:delText>6</w:delText>
              </w:r>
            </w:del>
          </w:p>
        </w:tc>
        <w:tc>
          <w:tcPr>
            <w:tcW w:w="720" w:type="dxa"/>
            <w:tcBorders>
              <w:top w:val="nil"/>
              <w:bottom w:val="single" w:sz="4" w:space="0" w:color="auto"/>
            </w:tcBorders>
            <w:shd w:val="clear" w:color="auto" w:fill="auto"/>
          </w:tcPr>
          <w:p w14:paraId="19D71329" w14:textId="77777777" w:rsidR="00AD6614" w:rsidRPr="001B4A02" w:rsidRDefault="00000000" w:rsidP="00ED48A3">
            <w:pPr>
              <w:pStyle w:val="EMEANormal"/>
              <w:rPr>
                <w:del w:id="7246" w:author="AbbVie1" w:date="2025-05-13T09:50:00Z"/>
                <w:szCs w:val="22"/>
                <w:lang w:val="cs-CZ"/>
              </w:rPr>
            </w:pPr>
            <w:del w:id="7247" w:author="AbbVie1" w:date="2025-05-13T09:50:00Z">
              <w:r w:rsidRPr="001B4A02">
                <w:rPr>
                  <w:szCs w:val="22"/>
                  <w:lang w:val="cs-CZ"/>
                </w:rPr>
                <w:delText>0</w:delText>
              </w:r>
              <w:r w:rsidR="00813C80" w:rsidRPr="001B4A02">
                <w:rPr>
                  <w:szCs w:val="22"/>
                  <w:lang w:val="cs-CZ"/>
                </w:rPr>
                <w:delText>,</w:delText>
              </w:r>
              <w:r w:rsidRPr="001B4A02">
                <w:rPr>
                  <w:szCs w:val="22"/>
                  <w:lang w:val="cs-CZ"/>
                </w:rPr>
                <w:delText>50</w:delText>
              </w:r>
            </w:del>
          </w:p>
        </w:tc>
        <w:tc>
          <w:tcPr>
            <w:tcW w:w="1170" w:type="dxa"/>
            <w:tcBorders>
              <w:top w:val="nil"/>
              <w:bottom w:val="single" w:sz="4" w:space="0" w:color="auto"/>
            </w:tcBorders>
            <w:shd w:val="clear" w:color="auto" w:fill="auto"/>
          </w:tcPr>
          <w:p w14:paraId="6B06D77F" w14:textId="77777777" w:rsidR="00AD6614" w:rsidRPr="001B4A02" w:rsidRDefault="00000000" w:rsidP="00ED48A3">
            <w:pPr>
              <w:pStyle w:val="EMEANormal"/>
              <w:rPr>
                <w:del w:id="7248" w:author="AbbVie1" w:date="2025-05-13T09:50:00Z"/>
                <w:szCs w:val="22"/>
                <w:lang w:val="cs-CZ"/>
              </w:rPr>
            </w:pPr>
            <w:del w:id="7249" w:author="AbbVie1" w:date="2025-05-13T09:50:00Z">
              <w:r w:rsidRPr="001B4A02">
                <w:rPr>
                  <w:szCs w:val="22"/>
                  <w:lang w:val="cs-CZ"/>
                </w:rPr>
                <w:delText>0</w:delText>
              </w:r>
              <w:r w:rsidR="00813C80" w:rsidRPr="001B4A02">
                <w:rPr>
                  <w:szCs w:val="22"/>
                  <w:lang w:val="cs-CZ"/>
                </w:rPr>
                <w:delText>,</w:delText>
              </w:r>
              <w:r w:rsidRPr="001B4A02">
                <w:rPr>
                  <w:szCs w:val="22"/>
                  <w:lang w:val="cs-CZ"/>
                </w:rPr>
                <w:delText>36, 0</w:delText>
              </w:r>
              <w:r w:rsidR="00813C80" w:rsidRPr="001B4A02">
                <w:rPr>
                  <w:szCs w:val="22"/>
                  <w:lang w:val="cs-CZ"/>
                </w:rPr>
                <w:delText>,</w:delText>
              </w:r>
              <w:r w:rsidRPr="001B4A02">
                <w:rPr>
                  <w:szCs w:val="22"/>
                  <w:lang w:val="cs-CZ"/>
                </w:rPr>
                <w:delText>70</w:delText>
              </w:r>
              <w:r w:rsidRPr="001B4A02">
                <w:rPr>
                  <w:szCs w:val="22"/>
                  <w:vertAlign w:val="superscript"/>
                  <w:lang w:val="cs-CZ"/>
                </w:rPr>
                <w:delText xml:space="preserve"> </w:delText>
              </w:r>
            </w:del>
          </w:p>
        </w:tc>
        <w:tc>
          <w:tcPr>
            <w:tcW w:w="1080" w:type="dxa"/>
            <w:tcBorders>
              <w:top w:val="nil"/>
              <w:bottom w:val="single" w:sz="4" w:space="0" w:color="auto"/>
            </w:tcBorders>
            <w:shd w:val="clear" w:color="auto" w:fill="auto"/>
          </w:tcPr>
          <w:p w14:paraId="0086078B" w14:textId="77777777" w:rsidR="00AD6614" w:rsidRPr="001B4A02" w:rsidRDefault="00000000" w:rsidP="00ED48A3">
            <w:pPr>
              <w:pStyle w:val="EMEANormal"/>
              <w:rPr>
                <w:del w:id="7250" w:author="AbbVie1" w:date="2025-05-13T09:50:00Z"/>
                <w:szCs w:val="22"/>
                <w:lang w:val="cs-CZ"/>
              </w:rPr>
            </w:pPr>
            <w:del w:id="7251" w:author="AbbVie1" w:date="2025-05-13T09:50:00Z">
              <w:r w:rsidRPr="001B4A02">
                <w:rPr>
                  <w:szCs w:val="22"/>
                  <w:lang w:val="cs-CZ"/>
                </w:rPr>
                <w:delText>&lt; 0</w:delText>
              </w:r>
              <w:r w:rsidR="00813C80" w:rsidRPr="001B4A02">
                <w:rPr>
                  <w:szCs w:val="22"/>
                  <w:lang w:val="cs-CZ"/>
                </w:rPr>
                <w:delText>,</w:delText>
              </w:r>
              <w:r w:rsidRPr="001B4A02">
                <w:rPr>
                  <w:szCs w:val="22"/>
                  <w:lang w:val="cs-CZ"/>
                </w:rPr>
                <w:delText>001</w:delText>
              </w:r>
            </w:del>
          </w:p>
        </w:tc>
      </w:tr>
      <w:tr w:rsidR="00534A2D" w14:paraId="1184B494" w14:textId="77777777" w:rsidTr="00AD6614">
        <w:tblPrEx>
          <w:tblBorders>
            <w:left w:val="single" w:sz="4" w:space="0" w:color="auto"/>
            <w:right w:val="single" w:sz="4" w:space="0" w:color="auto"/>
            <w:insideH w:val="single" w:sz="4" w:space="0" w:color="auto"/>
            <w:insideV w:val="single" w:sz="4" w:space="0" w:color="auto"/>
          </w:tblBorders>
        </w:tblPrEx>
        <w:trPr>
          <w:del w:id="7252" w:author="AbbVie1" w:date="2025-05-13T09:50:00Z"/>
        </w:trPr>
        <w:tc>
          <w:tcPr>
            <w:tcW w:w="9018" w:type="dxa"/>
            <w:gridSpan w:val="7"/>
            <w:tcBorders>
              <w:left w:val="nil"/>
              <w:bottom w:val="nil"/>
              <w:right w:val="nil"/>
            </w:tcBorders>
            <w:shd w:val="clear" w:color="auto" w:fill="auto"/>
          </w:tcPr>
          <w:p w14:paraId="081B11C0" w14:textId="77777777" w:rsidR="00AD6614" w:rsidRPr="001B4A02" w:rsidRDefault="00000000" w:rsidP="00E97D9C">
            <w:pPr>
              <w:pStyle w:val="EMEANormal"/>
              <w:rPr>
                <w:del w:id="7253" w:author="AbbVie1" w:date="2025-05-13T09:50:00Z"/>
                <w:b/>
                <w:szCs w:val="22"/>
                <w:lang w:val="cs-CZ"/>
              </w:rPr>
            </w:pPr>
            <w:del w:id="7254" w:author="AbbVie1" w:date="2025-05-13T09:50:00Z">
              <w:r w:rsidRPr="001B4A02">
                <w:rPr>
                  <w:b/>
                  <w:szCs w:val="22"/>
                  <w:lang w:val="cs-CZ"/>
                </w:rPr>
                <w:delText xml:space="preserve">Doba do selhání </w:delText>
              </w:r>
              <w:r w:rsidR="00E97D9C" w:rsidRPr="001B4A02">
                <w:rPr>
                  <w:b/>
                  <w:szCs w:val="22"/>
                  <w:lang w:val="cs-CZ"/>
                </w:rPr>
                <w:delText xml:space="preserve">léčby </w:delText>
              </w:r>
              <w:r w:rsidRPr="001B4A02">
                <w:rPr>
                  <w:b/>
                  <w:szCs w:val="22"/>
                  <w:lang w:val="cs-CZ"/>
                </w:rPr>
                <w:delText>v</w:delText>
              </w:r>
              <w:r w:rsidR="00255A0A" w:rsidRPr="001B4A02">
                <w:rPr>
                  <w:b/>
                  <w:szCs w:val="22"/>
                  <w:lang w:val="cs-CZ"/>
                </w:rPr>
                <w:delText> </w:delText>
              </w:r>
              <w:r w:rsidRPr="001B4A02">
                <w:rPr>
                  <w:b/>
                  <w:szCs w:val="22"/>
                  <w:lang w:val="cs-CZ"/>
                </w:rPr>
                <w:delText>týdnu 2</w:delText>
              </w:r>
              <w:r w:rsidR="004A45BD" w:rsidRPr="001B4A02">
                <w:rPr>
                  <w:b/>
                  <w:szCs w:val="22"/>
                  <w:lang w:val="cs-CZ"/>
                </w:rPr>
                <w:delText xml:space="preserve"> </w:delText>
              </w:r>
              <w:r w:rsidRPr="001B4A02">
                <w:rPr>
                  <w:b/>
                  <w:szCs w:val="22"/>
                  <w:lang w:val="cs-CZ"/>
                </w:rPr>
                <w:delText>nebo později ve studii UV II</w:delText>
              </w:r>
            </w:del>
          </w:p>
        </w:tc>
      </w:tr>
      <w:tr w:rsidR="00534A2D" w14:paraId="3D7AC5E2" w14:textId="77777777" w:rsidTr="00AD6614">
        <w:tblPrEx>
          <w:tblBorders>
            <w:left w:val="single" w:sz="4" w:space="0" w:color="auto"/>
            <w:right w:val="single" w:sz="4" w:space="0" w:color="auto"/>
            <w:insideH w:val="single" w:sz="4" w:space="0" w:color="auto"/>
            <w:insideV w:val="single" w:sz="4" w:space="0" w:color="auto"/>
          </w:tblBorders>
        </w:tblPrEx>
        <w:trPr>
          <w:del w:id="7255" w:author="AbbVie1" w:date="2025-05-13T09:50:00Z"/>
        </w:trPr>
        <w:tc>
          <w:tcPr>
            <w:tcW w:w="2988" w:type="dxa"/>
            <w:gridSpan w:val="2"/>
            <w:tcBorders>
              <w:top w:val="nil"/>
              <w:left w:val="nil"/>
              <w:bottom w:val="nil"/>
              <w:right w:val="nil"/>
            </w:tcBorders>
            <w:shd w:val="clear" w:color="auto" w:fill="auto"/>
          </w:tcPr>
          <w:p w14:paraId="2B1047FA" w14:textId="77777777" w:rsidR="00AD6614" w:rsidRPr="001B4A02" w:rsidRDefault="00000000" w:rsidP="00ED48A3">
            <w:pPr>
              <w:pStyle w:val="EMEANormal"/>
              <w:rPr>
                <w:del w:id="7256" w:author="AbbVie1" w:date="2025-05-13T09:50:00Z"/>
                <w:szCs w:val="22"/>
                <w:lang w:val="cs-CZ"/>
              </w:rPr>
            </w:pPr>
            <w:del w:id="7257" w:author="AbbVie1" w:date="2025-05-13T09:50:00Z">
              <w:r w:rsidRPr="001B4A02">
                <w:rPr>
                  <w:szCs w:val="22"/>
                  <w:lang w:val="cs-CZ"/>
                </w:rPr>
                <w:delText>Primární analýza (ITT)</w:delText>
              </w:r>
            </w:del>
          </w:p>
        </w:tc>
        <w:tc>
          <w:tcPr>
            <w:tcW w:w="1170" w:type="dxa"/>
            <w:tcBorders>
              <w:top w:val="nil"/>
              <w:left w:val="nil"/>
              <w:bottom w:val="nil"/>
              <w:right w:val="nil"/>
            </w:tcBorders>
            <w:shd w:val="clear" w:color="auto" w:fill="auto"/>
          </w:tcPr>
          <w:p w14:paraId="2AA6187A" w14:textId="77777777" w:rsidR="00AD6614" w:rsidRPr="001B4A02" w:rsidRDefault="00AD6614" w:rsidP="00ED48A3">
            <w:pPr>
              <w:pStyle w:val="EMEANormal"/>
              <w:rPr>
                <w:del w:id="7258" w:author="AbbVie1" w:date="2025-05-13T09:50:00Z"/>
                <w:szCs w:val="22"/>
                <w:lang w:val="cs-CZ"/>
              </w:rPr>
            </w:pPr>
          </w:p>
        </w:tc>
        <w:tc>
          <w:tcPr>
            <w:tcW w:w="1890" w:type="dxa"/>
            <w:tcBorders>
              <w:top w:val="nil"/>
              <w:left w:val="nil"/>
              <w:bottom w:val="nil"/>
              <w:right w:val="nil"/>
            </w:tcBorders>
            <w:shd w:val="clear" w:color="auto" w:fill="auto"/>
          </w:tcPr>
          <w:p w14:paraId="4105C990" w14:textId="77777777" w:rsidR="00AD6614" w:rsidRPr="001B4A02" w:rsidRDefault="00AD6614" w:rsidP="00ED48A3">
            <w:pPr>
              <w:pStyle w:val="EMEANormal"/>
              <w:rPr>
                <w:del w:id="7259" w:author="AbbVie1" w:date="2025-05-13T09:50:00Z"/>
                <w:szCs w:val="22"/>
                <w:lang w:val="cs-CZ"/>
              </w:rPr>
            </w:pPr>
          </w:p>
        </w:tc>
        <w:tc>
          <w:tcPr>
            <w:tcW w:w="720" w:type="dxa"/>
            <w:tcBorders>
              <w:top w:val="nil"/>
              <w:left w:val="nil"/>
              <w:bottom w:val="nil"/>
              <w:right w:val="nil"/>
            </w:tcBorders>
            <w:shd w:val="clear" w:color="auto" w:fill="auto"/>
          </w:tcPr>
          <w:p w14:paraId="16127537" w14:textId="77777777" w:rsidR="00AD6614" w:rsidRPr="001B4A02" w:rsidRDefault="00AD6614" w:rsidP="00ED48A3">
            <w:pPr>
              <w:pStyle w:val="EMEANormal"/>
              <w:rPr>
                <w:del w:id="7260" w:author="AbbVie1" w:date="2025-05-13T09:50:00Z"/>
                <w:szCs w:val="22"/>
                <w:lang w:val="cs-CZ"/>
              </w:rPr>
            </w:pPr>
          </w:p>
        </w:tc>
        <w:tc>
          <w:tcPr>
            <w:tcW w:w="1170" w:type="dxa"/>
            <w:tcBorders>
              <w:top w:val="nil"/>
              <w:left w:val="nil"/>
              <w:bottom w:val="nil"/>
              <w:right w:val="nil"/>
            </w:tcBorders>
            <w:shd w:val="clear" w:color="auto" w:fill="auto"/>
          </w:tcPr>
          <w:p w14:paraId="5D277D52" w14:textId="77777777" w:rsidR="00AD6614" w:rsidRPr="001B4A02" w:rsidRDefault="00AD6614" w:rsidP="00ED48A3">
            <w:pPr>
              <w:pStyle w:val="EMEANormal"/>
              <w:rPr>
                <w:del w:id="7261" w:author="AbbVie1" w:date="2025-05-13T09:50:00Z"/>
                <w:szCs w:val="22"/>
                <w:lang w:val="cs-CZ"/>
              </w:rPr>
            </w:pPr>
          </w:p>
        </w:tc>
        <w:tc>
          <w:tcPr>
            <w:tcW w:w="1080" w:type="dxa"/>
            <w:tcBorders>
              <w:top w:val="nil"/>
              <w:left w:val="nil"/>
              <w:bottom w:val="nil"/>
              <w:right w:val="nil"/>
            </w:tcBorders>
            <w:shd w:val="clear" w:color="auto" w:fill="auto"/>
          </w:tcPr>
          <w:p w14:paraId="4EFF916C" w14:textId="77777777" w:rsidR="00AD6614" w:rsidRPr="001B4A02" w:rsidRDefault="00AD6614" w:rsidP="00ED48A3">
            <w:pPr>
              <w:pStyle w:val="EMEANormal"/>
              <w:rPr>
                <w:del w:id="7262" w:author="AbbVie1" w:date="2025-05-13T09:50:00Z"/>
                <w:szCs w:val="22"/>
                <w:lang w:val="cs-CZ"/>
              </w:rPr>
            </w:pPr>
          </w:p>
        </w:tc>
      </w:tr>
      <w:tr w:rsidR="00534A2D" w14:paraId="5003B5B7" w14:textId="77777777" w:rsidTr="00AD6614">
        <w:tblPrEx>
          <w:tblBorders>
            <w:left w:val="single" w:sz="4" w:space="0" w:color="auto"/>
            <w:right w:val="single" w:sz="4" w:space="0" w:color="auto"/>
            <w:insideH w:val="single" w:sz="4" w:space="0" w:color="auto"/>
            <w:insideV w:val="single" w:sz="4" w:space="0" w:color="auto"/>
          </w:tblBorders>
        </w:tblPrEx>
        <w:trPr>
          <w:del w:id="7263" w:author="AbbVie1" w:date="2025-05-13T09:50:00Z"/>
        </w:trPr>
        <w:tc>
          <w:tcPr>
            <w:tcW w:w="2268" w:type="dxa"/>
            <w:tcBorders>
              <w:top w:val="nil"/>
              <w:left w:val="nil"/>
              <w:bottom w:val="nil"/>
              <w:right w:val="nil"/>
            </w:tcBorders>
            <w:shd w:val="clear" w:color="auto" w:fill="auto"/>
          </w:tcPr>
          <w:p w14:paraId="2A064D4A" w14:textId="77777777" w:rsidR="00AD6614" w:rsidRPr="001B4A02" w:rsidRDefault="00000000" w:rsidP="00ED48A3">
            <w:pPr>
              <w:pStyle w:val="EMEANormal"/>
              <w:rPr>
                <w:del w:id="7264" w:author="AbbVie1" w:date="2025-05-13T09:50:00Z"/>
                <w:szCs w:val="22"/>
                <w:lang w:val="cs-CZ"/>
              </w:rPr>
            </w:pPr>
            <w:del w:id="7265" w:author="AbbVie1" w:date="2025-05-13T09:50:00Z">
              <w:r w:rsidRPr="001B4A02">
                <w:rPr>
                  <w:szCs w:val="22"/>
                  <w:lang w:val="cs-CZ"/>
                </w:rPr>
                <w:tab/>
                <w:delText>Placebo</w:delText>
              </w:r>
            </w:del>
          </w:p>
        </w:tc>
        <w:tc>
          <w:tcPr>
            <w:tcW w:w="720" w:type="dxa"/>
            <w:tcBorders>
              <w:top w:val="nil"/>
              <w:left w:val="nil"/>
              <w:bottom w:val="nil"/>
              <w:right w:val="nil"/>
            </w:tcBorders>
            <w:shd w:val="clear" w:color="auto" w:fill="auto"/>
          </w:tcPr>
          <w:p w14:paraId="4ECFCFB9" w14:textId="77777777" w:rsidR="00AD6614" w:rsidRPr="001B4A02" w:rsidRDefault="00000000" w:rsidP="00ED48A3">
            <w:pPr>
              <w:pStyle w:val="EMEANormal"/>
              <w:rPr>
                <w:del w:id="7266" w:author="AbbVie1" w:date="2025-05-13T09:50:00Z"/>
                <w:szCs w:val="22"/>
                <w:lang w:val="cs-CZ"/>
              </w:rPr>
            </w:pPr>
            <w:del w:id="7267" w:author="AbbVie1" w:date="2025-05-13T09:50:00Z">
              <w:r w:rsidRPr="001B4A02">
                <w:rPr>
                  <w:szCs w:val="22"/>
                  <w:lang w:val="cs-CZ"/>
                </w:rPr>
                <w:delText>111</w:delText>
              </w:r>
            </w:del>
          </w:p>
        </w:tc>
        <w:tc>
          <w:tcPr>
            <w:tcW w:w="1170" w:type="dxa"/>
            <w:tcBorders>
              <w:top w:val="nil"/>
              <w:left w:val="nil"/>
              <w:bottom w:val="nil"/>
              <w:right w:val="nil"/>
            </w:tcBorders>
            <w:shd w:val="clear" w:color="auto" w:fill="auto"/>
          </w:tcPr>
          <w:p w14:paraId="1560BCC2" w14:textId="77777777" w:rsidR="00AD6614" w:rsidRPr="001B4A02" w:rsidRDefault="00000000" w:rsidP="00ED48A3">
            <w:pPr>
              <w:pStyle w:val="EMEANormal"/>
              <w:rPr>
                <w:del w:id="7268" w:author="AbbVie1" w:date="2025-05-13T09:50:00Z"/>
                <w:szCs w:val="22"/>
                <w:lang w:val="cs-CZ"/>
              </w:rPr>
            </w:pPr>
            <w:del w:id="7269" w:author="AbbVie1" w:date="2025-05-13T09:50:00Z">
              <w:r w:rsidRPr="001B4A02">
                <w:rPr>
                  <w:szCs w:val="22"/>
                  <w:lang w:val="cs-CZ"/>
                </w:rPr>
                <w:delText>61 (55</w:delText>
              </w:r>
              <w:r w:rsidR="00813C80" w:rsidRPr="001B4A02">
                <w:rPr>
                  <w:szCs w:val="22"/>
                  <w:lang w:val="cs-CZ"/>
                </w:rPr>
                <w:delText>,</w:delText>
              </w:r>
              <w:r w:rsidRPr="001B4A02">
                <w:rPr>
                  <w:szCs w:val="22"/>
                  <w:lang w:val="cs-CZ"/>
                </w:rPr>
                <w:delText>0)</w:delText>
              </w:r>
            </w:del>
          </w:p>
        </w:tc>
        <w:tc>
          <w:tcPr>
            <w:tcW w:w="1890" w:type="dxa"/>
            <w:tcBorders>
              <w:top w:val="nil"/>
              <w:left w:val="nil"/>
              <w:bottom w:val="nil"/>
              <w:right w:val="nil"/>
            </w:tcBorders>
            <w:shd w:val="clear" w:color="auto" w:fill="auto"/>
          </w:tcPr>
          <w:p w14:paraId="3B361C11" w14:textId="77777777" w:rsidR="00AD6614" w:rsidRPr="001B4A02" w:rsidRDefault="00000000" w:rsidP="00ED48A3">
            <w:pPr>
              <w:pStyle w:val="EMEANormal"/>
              <w:rPr>
                <w:del w:id="7270" w:author="AbbVie1" w:date="2025-05-13T09:50:00Z"/>
                <w:szCs w:val="22"/>
                <w:lang w:val="cs-CZ"/>
              </w:rPr>
            </w:pPr>
            <w:del w:id="7271" w:author="AbbVie1" w:date="2025-05-13T09:50:00Z">
              <w:r w:rsidRPr="001B4A02">
                <w:rPr>
                  <w:szCs w:val="22"/>
                  <w:lang w:val="cs-CZ"/>
                </w:rPr>
                <w:delText>8</w:delText>
              </w:r>
              <w:r w:rsidR="00813C80" w:rsidRPr="001B4A02">
                <w:rPr>
                  <w:szCs w:val="22"/>
                  <w:lang w:val="cs-CZ"/>
                </w:rPr>
                <w:delText>,</w:delText>
              </w:r>
              <w:r w:rsidRPr="001B4A02">
                <w:rPr>
                  <w:szCs w:val="22"/>
                  <w:lang w:val="cs-CZ"/>
                </w:rPr>
                <w:delText>3</w:delText>
              </w:r>
            </w:del>
          </w:p>
        </w:tc>
        <w:tc>
          <w:tcPr>
            <w:tcW w:w="720" w:type="dxa"/>
            <w:tcBorders>
              <w:top w:val="nil"/>
              <w:left w:val="nil"/>
              <w:bottom w:val="nil"/>
              <w:right w:val="nil"/>
            </w:tcBorders>
            <w:shd w:val="clear" w:color="auto" w:fill="auto"/>
          </w:tcPr>
          <w:p w14:paraId="25DF9DDB" w14:textId="77777777" w:rsidR="00AD6614" w:rsidRPr="001B4A02" w:rsidRDefault="00000000" w:rsidP="00ED48A3">
            <w:pPr>
              <w:pStyle w:val="EMEANormal"/>
              <w:rPr>
                <w:del w:id="7272" w:author="AbbVie1" w:date="2025-05-13T09:50:00Z"/>
                <w:szCs w:val="22"/>
                <w:lang w:val="cs-CZ"/>
              </w:rPr>
            </w:pPr>
            <w:del w:id="7273" w:author="AbbVie1" w:date="2025-05-13T09:50:00Z">
              <w:r w:rsidRPr="001B4A02">
                <w:rPr>
                  <w:szCs w:val="22"/>
                  <w:lang w:val="cs-CZ"/>
                </w:rPr>
                <w:delText>--</w:delText>
              </w:r>
            </w:del>
          </w:p>
        </w:tc>
        <w:tc>
          <w:tcPr>
            <w:tcW w:w="1170" w:type="dxa"/>
            <w:tcBorders>
              <w:top w:val="nil"/>
              <w:left w:val="nil"/>
              <w:bottom w:val="nil"/>
              <w:right w:val="nil"/>
            </w:tcBorders>
            <w:shd w:val="clear" w:color="auto" w:fill="auto"/>
          </w:tcPr>
          <w:p w14:paraId="0EB7A0B2" w14:textId="77777777" w:rsidR="00AD6614" w:rsidRPr="001B4A02" w:rsidRDefault="00000000" w:rsidP="00ED48A3">
            <w:pPr>
              <w:pStyle w:val="EMEANormal"/>
              <w:rPr>
                <w:del w:id="7274" w:author="AbbVie1" w:date="2025-05-13T09:50:00Z"/>
                <w:szCs w:val="22"/>
                <w:lang w:val="cs-CZ"/>
              </w:rPr>
            </w:pPr>
            <w:del w:id="7275" w:author="AbbVie1" w:date="2025-05-13T09:50:00Z">
              <w:r w:rsidRPr="001B4A02">
                <w:rPr>
                  <w:szCs w:val="22"/>
                  <w:lang w:val="cs-CZ"/>
                </w:rPr>
                <w:delText>--</w:delText>
              </w:r>
            </w:del>
          </w:p>
        </w:tc>
        <w:tc>
          <w:tcPr>
            <w:tcW w:w="1080" w:type="dxa"/>
            <w:tcBorders>
              <w:top w:val="nil"/>
              <w:left w:val="nil"/>
              <w:bottom w:val="nil"/>
              <w:right w:val="nil"/>
            </w:tcBorders>
            <w:shd w:val="clear" w:color="auto" w:fill="auto"/>
          </w:tcPr>
          <w:p w14:paraId="359C80BD" w14:textId="77777777" w:rsidR="00AD6614" w:rsidRPr="001B4A02" w:rsidRDefault="00000000" w:rsidP="00ED48A3">
            <w:pPr>
              <w:pStyle w:val="EMEANormal"/>
              <w:rPr>
                <w:del w:id="7276" w:author="AbbVie1" w:date="2025-05-13T09:50:00Z"/>
                <w:szCs w:val="22"/>
                <w:lang w:val="cs-CZ"/>
              </w:rPr>
            </w:pPr>
            <w:del w:id="7277" w:author="AbbVie1" w:date="2025-05-13T09:50:00Z">
              <w:r w:rsidRPr="001B4A02">
                <w:rPr>
                  <w:szCs w:val="22"/>
                  <w:lang w:val="cs-CZ"/>
                </w:rPr>
                <w:delText>--</w:delText>
              </w:r>
            </w:del>
          </w:p>
        </w:tc>
      </w:tr>
      <w:tr w:rsidR="00534A2D" w14:paraId="754F13F2" w14:textId="77777777" w:rsidTr="00AD6614">
        <w:tblPrEx>
          <w:tblBorders>
            <w:left w:val="single" w:sz="4" w:space="0" w:color="auto"/>
            <w:right w:val="single" w:sz="4" w:space="0" w:color="auto"/>
            <w:insideH w:val="single" w:sz="4" w:space="0" w:color="auto"/>
            <w:insideV w:val="single" w:sz="4" w:space="0" w:color="auto"/>
          </w:tblBorders>
        </w:tblPrEx>
        <w:trPr>
          <w:del w:id="7278" w:author="AbbVie1" w:date="2025-05-13T09:50:00Z"/>
        </w:trPr>
        <w:tc>
          <w:tcPr>
            <w:tcW w:w="2268" w:type="dxa"/>
            <w:tcBorders>
              <w:top w:val="nil"/>
              <w:left w:val="nil"/>
              <w:bottom w:val="single" w:sz="4" w:space="0" w:color="auto"/>
              <w:right w:val="nil"/>
            </w:tcBorders>
            <w:shd w:val="clear" w:color="auto" w:fill="auto"/>
          </w:tcPr>
          <w:p w14:paraId="395F0C44" w14:textId="77777777" w:rsidR="00AD6614" w:rsidRPr="001B4A02" w:rsidRDefault="00000000" w:rsidP="00ED48A3">
            <w:pPr>
              <w:pStyle w:val="EMEANormal"/>
              <w:rPr>
                <w:del w:id="7279" w:author="AbbVie1" w:date="2025-05-13T09:50:00Z"/>
                <w:szCs w:val="22"/>
                <w:lang w:val="cs-CZ"/>
              </w:rPr>
            </w:pPr>
            <w:del w:id="7280" w:author="AbbVie1" w:date="2025-05-13T09:50:00Z">
              <w:r w:rsidRPr="001B4A02">
                <w:rPr>
                  <w:szCs w:val="22"/>
                  <w:lang w:val="cs-CZ"/>
                </w:rPr>
                <w:tab/>
                <w:delText>Adalimumab</w:delText>
              </w:r>
            </w:del>
          </w:p>
        </w:tc>
        <w:tc>
          <w:tcPr>
            <w:tcW w:w="720" w:type="dxa"/>
            <w:tcBorders>
              <w:top w:val="nil"/>
              <w:left w:val="nil"/>
              <w:bottom w:val="single" w:sz="4" w:space="0" w:color="auto"/>
              <w:right w:val="nil"/>
            </w:tcBorders>
            <w:shd w:val="clear" w:color="auto" w:fill="auto"/>
          </w:tcPr>
          <w:p w14:paraId="0E665DEE" w14:textId="77777777" w:rsidR="00AD6614" w:rsidRPr="001B4A02" w:rsidRDefault="00000000" w:rsidP="00ED48A3">
            <w:pPr>
              <w:pStyle w:val="EMEANormal"/>
              <w:rPr>
                <w:del w:id="7281" w:author="AbbVie1" w:date="2025-05-13T09:50:00Z"/>
                <w:szCs w:val="22"/>
                <w:lang w:val="cs-CZ"/>
              </w:rPr>
            </w:pPr>
            <w:del w:id="7282" w:author="AbbVie1" w:date="2025-05-13T09:50:00Z">
              <w:r w:rsidRPr="001B4A02">
                <w:rPr>
                  <w:szCs w:val="22"/>
                  <w:lang w:val="cs-CZ"/>
                </w:rPr>
                <w:delText>115</w:delText>
              </w:r>
            </w:del>
          </w:p>
        </w:tc>
        <w:tc>
          <w:tcPr>
            <w:tcW w:w="1170" w:type="dxa"/>
            <w:tcBorders>
              <w:top w:val="nil"/>
              <w:left w:val="nil"/>
              <w:bottom w:val="single" w:sz="4" w:space="0" w:color="auto"/>
              <w:right w:val="nil"/>
            </w:tcBorders>
            <w:shd w:val="clear" w:color="auto" w:fill="auto"/>
          </w:tcPr>
          <w:p w14:paraId="082E230B" w14:textId="77777777" w:rsidR="00AD6614" w:rsidRPr="001B4A02" w:rsidRDefault="00000000" w:rsidP="00ED48A3">
            <w:pPr>
              <w:pStyle w:val="EMEANormal"/>
              <w:rPr>
                <w:del w:id="7283" w:author="AbbVie1" w:date="2025-05-13T09:50:00Z"/>
                <w:szCs w:val="22"/>
                <w:lang w:val="cs-CZ"/>
              </w:rPr>
            </w:pPr>
            <w:del w:id="7284" w:author="AbbVie1" w:date="2025-05-13T09:50:00Z">
              <w:r w:rsidRPr="001B4A02">
                <w:rPr>
                  <w:szCs w:val="22"/>
                  <w:lang w:val="cs-CZ"/>
                </w:rPr>
                <w:delText>45 (39</w:delText>
              </w:r>
              <w:r w:rsidR="00813C80" w:rsidRPr="001B4A02">
                <w:rPr>
                  <w:szCs w:val="22"/>
                  <w:lang w:val="cs-CZ"/>
                </w:rPr>
                <w:delText>,</w:delText>
              </w:r>
              <w:r w:rsidRPr="001B4A02">
                <w:rPr>
                  <w:szCs w:val="22"/>
                  <w:lang w:val="cs-CZ"/>
                </w:rPr>
                <w:delText>1)</w:delText>
              </w:r>
            </w:del>
          </w:p>
        </w:tc>
        <w:tc>
          <w:tcPr>
            <w:tcW w:w="1890" w:type="dxa"/>
            <w:tcBorders>
              <w:top w:val="nil"/>
              <w:left w:val="nil"/>
              <w:bottom w:val="single" w:sz="4" w:space="0" w:color="auto"/>
              <w:right w:val="nil"/>
            </w:tcBorders>
            <w:shd w:val="clear" w:color="auto" w:fill="auto"/>
          </w:tcPr>
          <w:p w14:paraId="6D031D95" w14:textId="77777777" w:rsidR="00AD6614" w:rsidRPr="001B4A02" w:rsidRDefault="00000000" w:rsidP="00ED48A3">
            <w:pPr>
              <w:pStyle w:val="EMEANormal"/>
              <w:rPr>
                <w:del w:id="7285" w:author="AbbVie1" w:date="2025-05-13T09:50:00Z"/>
                <w:szCs w:val="22"/>
                <w:lang w:val="cs-CZ"/>
              </w:rPr>
            </w:pPr>
            <w:del w:id="7286" w:author="AbbVie1" w:date="2025-05-13T09:50:00Z">
              <w:r w:rsidRPr="001B4A02">
                <w:rPr>
                  <w:szCs w:val="22"/>
                  <w:lang w:val="cs-CZ"/>
                </w:rPr>
                <w:delText>NE</w:delText>
              </w:r>
              <w:r w:rsidRPr="001B4A02">
                <w:rPr>
                  <w:szCs w:val="22"/>
                  <w:vertAlign w:val="superscript"/>
                  <w:lang w:val="cs-CZ"/>
                </w:rPr>
                <w:delText>c</w:delText>
              </w:r>
            </w:del>
          </w:p>
        </w:tc>
        <w:tc>
          <w:tcPr>
            <w:tcW w:w="720" w:type="dxa"/>
            <w:tcBorders>
              <w:top w:val="nil"/>
              <w:left w:val="nil"/>
              <w:bottom w:val="single" w:sz="4" w:space="0" w:color="auto"/>
              <w:right w:val="nil"/>
            </w:tcBorders>
            <w:shd w:val="clear" w:color="auto" w:fill="auto"/>
          </w:tcPr>
          <w:p w14:paraId="2B92CD00" w14:textId="77777777" w:rsidR="00AD6614" w:rsidRPr="001B4A02" w:rsidRDefault="00000000" w:rsidP="00ED48A3">
            <w:pPr>
              <w:pStyle w:val="EMEANormal"/>
              <w:rPr>
                <w:del w:id="7287" w:author="AbbVie1" w:date="2025-05-13T09:50:00Z"/>
                <w:szCs w:val="22"/>
                <w:lang w:val="cs-CZ"/>
              </w:rPr>
            </w:pPr>
            <w:del w:id="7288" w:author="AbbVie1" w:date="2025-05-13T09:50:00Z">
              <w:r w:rsidRPr="001B4A02">
                <w:rPr>
                  <w:szCs w:val="22"/>
                  <w:lang w:val="cs-CZ"/>
                </w:rPr>
                <w:delText>0</w:delText>
              </w:r>
              <w:r w:rsidR="00813C80" w:rsidRPr="001B4A02">
                <w:rPr>
                  <w:szCs w:val="22"/>
                  <w:lang w:val="cs-CZ"/>
                </w:rPr>
                <w:delText>,</w:delText>
              </w:r>
              <w:r w:rsidRPr="001B4A02">
                <w:rPr>
                  <w:szCs w:val="22"/>
                  <w:lang w:val="cs-CZ"/>
                </w:rPr>
                <w:delText>57</w:delText>
              </w:r>
            </w:del>
          </w:p>
        </w:tc>
        <w:tc>
          <w:tcPr>
            <w:tcW w:w="1170" w:type="dxa"/>
            <w:tcBorders>
              <w:top w:val="nil"/>
              <w:left w:val="nil"/>
              <w:bottom w:val="single" w:sz="4" w:space="0" w:color="auto"/>
              <w:right w:val="nil"/>
            </w:tcBorders>
            <w:shd w:val="clear" w:color="auto" w:fill="auto"/>
          </w:tcPr>
          <w:p w14:paraId="39CF33D2" w14:textId="77777777" w:rsidR="00AD6614" w:rsidRPr="001B4A02" w:rsidRDefault="00000000" w:rsidP="00ED48A3">
            <w:pPr>
              <w:pStyle w:val="EMEANormal"/>
              <w:rPr>
                <w:del w:id="7289" w:author="AbbVie1" w:date="2025-05-13T09:50:00Z"/>
                <w:szCs w:val="22"/>
                <w:lang w:val="cs-CZ"/>
              </w:rPr>
            </w:pPr>
            <w:del w:id="7290" w:author="AbbVie1" w:date="2025-05-13T09:50:00Z">
              <w:r w:rsidRPr="001B4A02">
                <w:rPr>
                  <w:szCs w:val="22"/>
                  <w:lang w:val="cs-CZ"/>
                </w:rPr>
                <w:delText>0</w:delText>
              </w:r>
              <w:r w:rsidR="00813C80" w:rsidRPr="001B4A02">
                <w:rPr>
                  <w:szCs w:val="22"/>
                  <w:lang w:val="cs-CZ"/>
                </w:rPr>
                <w:delText>,</w:delText>
              </w:r>
              <w:r w:rsidRPr="001B4A02">
                <w:rPr>
                  <w:szCs w:val="22"/>
                  <w:lang w:val="cs-CZ"/>
                </w:rPr>
                <w:delText>39, 0</w:delText>
              </w:r>
              <w:r w:rsidR="00813C80" w:rsidRPr="001B4A02">
                <w:rPr>
                  <w:szCs w:val="22"/>
                  <w:lang w:val="cs-CZ"/>
                </w:rPr>
                <w:delText>,</w:delText>
              </w:r>
              <w:r w:rsidRPr="001B4A02">
                <w:rPr>
                  <w:szCs w:val="22"/>
                  <w:lang w:val="cs-CZ"/>
                </w:rPr>
                <w:delText>84</w:delText>
              </w:r>
            </w:del>
          </w:p>
        </w:tc>
        <w:tc>
          <w:tcPr>
            <w:tcW w:w="1080" w:type="dxa"/>
            <w:tcBorders>
              <w:top w:val="nil"/>
              <w:left w:val="nil"/>
              <w:bottom w:val="single" w:sz="4" w:space="0" w:color="auto"/>
              <w:right w:val="nil"/>
            </w:tcBorders>
            <w:shd w:val="clear" w:color="auto" w:fill="auto"/>
          </w:tcPr>
          <w:p w14:paraId="5D03C951" w14:textId="77777777" w:rsidR="00AD6614" w:rsidRPr="001B4A02" w:rsidRDefault="00000000" w:rsidP="00ED48A3">
            <w:pPr>
              <w:pStyle w:val="EMEANormal"/>
              <w:rPr>
                <w:del w:id="7291" w:author="AbbVie1" w:date="2025-05-13T09:50:00Z"/>
                <w:szCs w:val="22"/>
                <w:lang w:val="cs-CZ"/>
              </w:rPr>
            </w:pPr>
            <w:del w:id="7292" w:author="AbbVie1" w:date="2025-05-13T09:50:00Z">
              <w:r w:rsidRPr="001B4A02">
                <w:rPr>
                  <w:szCs w:val="22"/>
                  <w:lang w:val="cs-CZ"/>
                </w:rPr>
                <w:delText>0</w:delText>
              </w:r>
              <w:r w:rsidR="00813C80" w:rsidRPr="001B4A02">
                <w:rPr>
                  <w:szCs w:val="22"/>
                  <w:lang w:val="cs-CZ"/>
                </w:rPr>
                <w:delText>,</w:delText>
              </w:r>
              <w:r w:rsidRPr="001B4A02">
                <w:rPr>
                  <w:szCs w:val="22"/>
                  <w:lang w:val="cs-CZ"/>
                </w:rPr>
                <w:delText>004</w:delText>
              </w:r>
            </w:del>
          </w:p>
        </w:tc>
      </w:tr>
    </w:tbl>
    <w:p w14:paraId="75BD1DDA" w14:textId="77777777" w:rsidR="00AD6614" w:rsidRPr="001B4A02" w:rsidRDefault="00000000" w:rsidP="00ED48A3">
      <w:pPr>
        <w:pStyle w:val="EMEANormal"/>
        <w:rPr>
          <w:del w:id="7293" w:author="AbbVie1" w:date="2025-05-13T09:50:00Z"/>
          <w:szCs w:val="22"/>
          <w:lang w:val="cs-CZ"/>
        </w:rPr>
      </w:pPr>
      <w:del w:id="7294" w:author="AbbVie1" w:date="2025-05-13T09:50:00Z">
        <w:r w:rsidRPr="001B4A02">
          <w:rPr>
            <w:szCs w:val="22"/>
            <w:lang w:val="cs-CZ"/>
          </w:rPr>
          <w:delText xml:space="preserve">Poznámka: </w:delText>
        </w:r>
        <w:r w:rsidR="00C735ED" w:rsidRPr="001B4A02">
          <w:rPr>
            <w:szCs w:val="22"/>
            <w:lang w:val="cs-CZ"/>
          </w:rPr>
          <w:delText>s</w:delText>
        </w:r>
        <w:r w:rsidRPr="001B4A02">
          <w:rPr>
            <w:szCs w:val="22"/>
            <w:lang w:val="cs-CZ"/>
          </w:rPr>
          <w:delText xml:space="preserve">elhání </w:delText>
        </w:r>
        <w:r w:rsidR="00E97D9C" w:rsidRPr="001B4A02">
          <w:rPr>
            <w:szCs w:val="22"/>
            <w:lang w:val="cs-CZ"/>
          </w:rPr>
          <w:delText xml:space="preserve">léčby </w:delText>
        </w:r>
        <w:r w:rsidRPr="001B4A02">
          <w:rPr>
            <w:szCs w:val="22"/>
            <w:lang w:val="cs-CZ"/>
          </w:rPr>
          <w:delText>v</w:delText>
        </w:r>
        <w:r w:rsidR="00AC7C92" w:rsidRPr="001B4A02">
          <w:rPr>
            <w:szCs w:val="22"/>
            <w:lang w:val="cs-CZ"/>
          </w:rPr>
          <w:delText> </w:delText>
        </w:r>
        <w:r w:rsidRPr="001B4A02">
          <w:rPr>
            <w:szCs w:val="22"/>
            <w:lang w:val="cs-CZ"/>
          </w:rPr>
          <w:delText>týdnu 6 nebo později (studie UV I) nebo v</w:delText>
        </w:r>
        <w:r w:rsidR="00AC7C92" w:rsidRPr="001B4A02">
          <w:rPr>
            <w:szCs w:val="22"/>
            <w:lang w:val="cs-CZ"/>
          </w:rPr>
          <w:delText> </w:delText>
        </w:r>
        <w:r w:rsidRPr="001B4A02">
          <w:rPr>
            <w:szCs w:val="22"/>
            <w:lang w:val="cs-CZ"/>
          </w:rPr>
          <w:delText>týdnu 2 či později (studie UV II) bylo počítáno jako příhoda. Ukončení studie z</w:delText>
        </w:r>
        <w:r w:rsidR="0006352B" w:rsidRPr="001B4A02">
          <w:rPr>
            <w:szCs w:val="22"/>
            <w:lang w:val="cs-CZ"/>
          </w:rPr>
          <w:delText> </w:delText>
        </w:r>
        <w:r w:rsidRPr="001B4A02">
          <w:rPr>
            <w:szCs w:val="22"/>
            <w:lang w:val="cs-CZ"/>
          </w:rPr>
          <w:delText xml:space="preserve">důvodů jiných než kvůli selhání </w:delText>
        </w:r>
        <w:r w:rsidR="00E97D9C" w:rsidRPr="001B4A02">
          <w:rPr>
            <w:szCs w:val="22"/>
            <w:lang w:val="cs-CZ"/>
          </w:rPr>
          <w:delText xml:space="preserve">léčby </w:delText>
        </w:r>
        <w:r w:rsidRPr="001B4A02">
          <w:rPr>
            <w:szCs w:val="22"/>
            <w:lang w:val="cs-CZ"/>
          </w:rPr>
          <w:delText xml:space="preserve">bylo </w:delText>
        </w:r>
        <w:r w:rsidR="00E97D9C" w:rsidRPr="001B4A02">
          <w:rPr>
            <w:szCs w:val="22"/>
            <w:lang w:val="cs-CZ"/>
          </w:rPr>
          <w:delText xml:space="preserve">zaznamenáno </w:delText>
        </w:r>
        <w:r w:rsidRPr="001B4A02">
          <w:rPr>
            <w:szCs w:val="22"/>
            <w:lang w:val="cs-CZ"/>
          </w:rPr>
          <w:delText>v</w:delText>
        </w:r>
        <w:r w:rsidR="00AC7C92" w:rsidRPr="001B4A02">
          <w:rPr>
            <w:szCs w:val="22"/>
            <w:lang w:val="cs-CZ"/>
          </w:rPr>
          <w:delText> </w:delText>
        </w:r>
        <w:r w:rsidRPr="001B4A02">
          <w:rPr>
            <w:szCs w:val="22"/>
            <w:lang w:val="cs-CZ"/>
          </w:rPr>
          <w:delText>době ukončení.</w:delText>
        </w:r>
      </w:del>
    </w:p>
    <w:p w14:paraId="732F269C" w14:textId="77777777" w:rsidR="00AD6614" w:rsidRPr="001B4A02" w:rsidRDefault="00000000" w:rsidP="00AA1CF3">
      <w:pPr>
        <w:pStyle w:val="EMEANormal"/>
        <w:numPr>
          <w:ilvl w:val="0"/>
          <w:numId w:val="241"/>
        </w:numPr>
        <w:tabs>
          <w:tab w:val="clear" w:pos="562"/>
        </w:tabs>
        <w:rPr>
          <w:del w:id="7295" w:author="AbbVie1" w:date="2025-05-13T09:50:00Z"/>
          <w:szCs w:val="22"/>
          <w:lang w:val="cs-CZ"/>
        </w:rPr>
      </w:pPr>
      <w:del w:id="7296" w:author="AbbVie1" w:date="2025-05-13T09:50:00Z">
        <w:r w:rsidRPr="001B4A02">
          <w:rPr>
            <w:szCs w:val="22"/>
            <w:lang w:val="cs-CZ"/>
          </w:rPr>
          <w:delText>HR adalimumab vs. placebo z</w:delText>
        </w:r>
        <w:r w:rsidR="00AC7C92" w:rsidRPr="001B4A02">
          <w:rPr>
            <w:szCs w:val="22"/>
            <w:lang w:val="cs-CZ"/>
          </w:rPr>
          <w:delText> </w:delText>
        </w:r>
        <w:r w:rsidRPr="001B4A02">
          <w:rPr>
            <w:szCs w:val="22"/>
            <w:lang w:val="cs-CZ"/>
          </w:rPr>
          <w:delText>regrese poměrných rizik faktorem</w:delText>
        </w:r>
        <w:r w:rsidR="008E65C9" w:rsidRPr="001B4A02">
          <w:rPr>
            <w:szCs w:val="22"/>
            <w:lang w:val="cs-CZ"/>
          </w:rPr>
          <w:delText>,</w:delText>
        </w:r>
        <w:r w:rsidR="00E97D9C" w:rsidRPr="001B4A02">
          <w:rPr>
            <w:szCs w:val="22"/>
            <w:lang w:val="cs-CZ"/>
          </w:rPr>
          <w:delText xml:space="preserve"> jako je léčba.</w:delText>
        </w:r>
      </w:del>
    </w:p>
    <w:p w14:paraId="72E91698" w14:textId="77777777" w:rsidR="00AD6614" w:rsidRPr="001B4A02" w:rsidRDefault="00000000" w:rsidP="00AA1CF3">
      <w:pPr>
        <w:pStyle w:val="EMEANormal"/>
        <w:numPr>
          <w:ilvl w:val="0"/>
          <w:numId w:val="241"/>
        </w:numPr>
        <w:tabs>
          <w:tab w:val="clear" w:pos="562"/>
        </w:tabs>
        <w:ind w:left="284" w:hanging="284"/>
        <w:rPr>
          <w:del w:id="7297" w:author="AbbVie1" w:date="2025-05-13T09:50:00Z"/>
          <w:szCs w:val="22"/>
          <w:lang w:val="cs-CZ"/>
        </w:rPr>
      </w:pPr>
      <w:del w:id="7298" w:author="AbbVie1" w:date="2025-05-13T09:50:00Z">
        <w:r w:rsidRPr="001B4A02">
          <w:rPr>
            <w:szCs w:val="22"/>
            <w:lang w:val="cs-CZ"/>
          </w:rPr>
          <w:delText>2</w:delText>
        </w:r>
        <w:r w:rsidR="00813C80" w:rsidRPr="001B4A02">
          <w:rPr>
            <w:szCs w:val="22"/>
            <w:lang w:val="cs-CZ"/>
          </w:rPr>
          <w:delText>stranná</w:delText>
        </w:r>
        <w:r w:rsidRPr="001B4A02">
          <w:rPr>
            <w:szCs w:val="22"/>
            <w:lang w:val="cs-CZ"/>
          </w:rPr>
          <w:delText xml:space="preserve"> </w:delText>
        </w:r>
        <w:r w:rsidRPr="001B4A02">
          <w:rPr>
            <w:i/>
            <w:szCs w:val="22"/>
            <w:lang w:val="cs-CZ"/>
          </w:rPr>
          <w:delText>P</w:delText>
        </w:r>
        <w:r w:rsidRPr="001B4A02">
          <w:rPr>
            <w:szCs w:val="22"/>
            <w:lang w:val="cs-CZ"/>
          </w:rPr>
          <w:delText xml:space="preserve"> </w:delText>
        </w:r>
        <w:r w:rsidR="00813C80" w:rsidRPr="001B4A02">
          <w:rPr>
            <w:szCs w:val="22"/>
            <w:lang w:val="cs-CZ"/>
          </w:rPr>
          <w:delText>hodnota z</w:delText>
        </w:r>
        <w:r w:rsidR="00AC7C92" w:rsidRPr="001B4A02">
          <w:rPr>
            <w:szCs w:val="22"/>
            <w:lang w:val="cs-CZ"/>
          </w:rPr>
          <w:delText> </w:delText>
        </w:r>
        <w:r w:rsidRPr="001B4A02">
          <w:rPr>
            <w:szCs w:val="22"/>
            <w:lang w:val="cs-CZ"/>
          </w:rPr>
          <w:delText xml:space="preserve">log </w:delText>
        </w:r>
        <w:r w:rsidR="00813C80" w:rsidRPr="001B4A02">
          <w:rPr>
            <w:szCs w:val="22"/>
            <w:lang w:val="cs-CZ"/>
          </w:rPr>
          <w:delText>rank testu</w:delText>
        </w:r>
        <w:r w:rsidR="00E97D9C" w:rsidRPr="001B4A02">
          <w:rPr>
            <w:szCs w:val="22"/>
            <w:lang w:val="cs-CZ"/>
          </w:rPr>
          <w:delText>.</w:delText>
        </w:r>
      </w:del>
    </w:p>
    <w:p w14:paraId="7314C305" w14:textId="77777777" w:rsidR="00AD6614" w:rsidRPr="001B4A02" w:rsidRDefault="00000000" w:rsidP="00AA1CF3">
      <w:pPr>
        <w:pStyle w:val="EMEANormal"/>
        <w:numPr>
          <w:ilvl w:val="0"/>
          <w:numId w:val="241"/>
        </w:numPr>
        <w:tabs>
          <w:tab w:val="clear" w:pos="562"/>
        </w:tabs>
        <w:ind w:left="284" w:hanging="284"/>
        <w:rPr>
          <w:del w:id="7299" w:author="AbbVie1" w:date="2025-05-13T09:50:00Z"/>
          <w:szCs w:val="22"/>
          <w:lang w:val="cs-CZ"/>
        </w:rPr>
      </w:pPr>
      <w:del w:id="7300" w:author="AbbVie1" w:date="2025-05-13T09:50:00Z">
        <w:r w:rsidRPr="001B4A02">
          <w:rPr>
            <w:szCs w:val="22"/>
            <w:lang w:val="cs-CZ"/>
          </w:rPr>
          <w:delText xml:space="preserve">NE = </w:delText>
        </w:r>
        <w:r w:rsidR="00813C80" w:rsidRPr="001B4A02">
          <w:rPr>
            <w:szCs w:val="22"/>
            <w:lang w:val="cs-CZ"/>
          </w:rPr>
          <w:delText>nehodnotitelný. K příhodě došlo u</w:delText>
        </w:r>
        <w:r w:rsidR="0006352B" w:rsidRPr="001B4A02">
          <w:rPr>
            <w:szCs w:val="22"/>
            <w:lang w:val="cs-CZ"/>
          </w:rPr>
          <w:delText> </w:delText>
        </w:r>
        <w:r w:rsidR="00813C80" w:rsidRPr="001B4A02">
          <w:rPr>
            <w:szCs w:val="22"/>
            <w:lang w:val="cs-CZ"/>
          </w:rPr>
          <w:delText>méně než poloviny rizikových subjektů</w:delText>
        </w:r>
        <w:r w:rsidR="00E97D9C" w:rsidRPr="001B4A02">
          <w:rPr>
            <w:szCs w:val="22"/>
            <w:lang w:val="cs-CZ"/>
          </w:rPr>
          <w:delText>.</w:delText>
        </w:r>
      </w:del>
    </w:p>
    <w:p w14:paraId="7E8A961E" w14:textId="77777777" w:rsidR="00AD6614" w:rsidRPr="001B4A02" w:rsidRDefault="00AD6614" w:rsidP="00ED48A3">
      <w:pPr>
        <w:pStyle w:val="EMEANormal"/>
        <w:rPr>
          <w:del w:id="7301" w:author="AbbVie1" w:date="2025-05-13T09:50:00Z"/>
          <w:szCs w:val="22"/>
          <w:lang w:val="cs-CZ"/>
        </w:rPr>
      </w:pPr>
    </w:p>
    <w:p w14:paraId="25ADEE1E" w14:textId="77777777" w:rsidR="00AD6614" w:rsidRPr="001B4A02" w:rsidRDefault="00000000" w:rsidP="00ED48A3">
      <w:pPr>
        <w:pStyle w:val="EMEANormal"/>
        <w:keepNext/>
        <w:jc w:val="center"/>
        <w:rPr>
          <w:del w:id="7302" w:author="AbbVie1" w:date="2025-05-13T09:50:00Z"/>
          <w:b/>
          <w:szCs w:val="22"/>
          <w:lang w:val="cs-CZ"/>
        </w:rPr>
      </w:pPr>
      <w:del w:id="7303" w:author="AbbVie1" w:date="2025-05-13T09:50:00Z">
        <w:r w:rsidRPr="001B4A02">
          <w:rPr>
            <w:b/>
            <w:szCs w:val="22"/>
            <w:lang w:val="cs-CZ"/>
          </w:rPr>
          <w:delText xml:space="preserve">Obrázek </w:delText>
        </w:r>
        <w:r w:rsidR="003B2D93">
          <w:rPr>
            <w:b/>
            <w:szCs w:val="22"/>
            <w:lang w:val="cs-CZ"/>
          </w:rPr>
          <w:delText>2</w:delText>
        </w:r>
        <w:r w:rsidRPr="001B4A02">
          <w:rPr>
            <w:b/>
            <w:szCs w:val="22"/>
            <w:lang w:val="cs-CZ"/>
          </w:rPr>
          <w:delText xml:space="preserve">: Kaplan-Meierovy křivky shrnující dobu do selhání </w:delText>
        </w:r>
        <w:r w:rsidR="00E97D9C" w:rsidRPr="001B4A02">
          <w:rPr>
            <w:b/>
            <w:szCs w:val="22"/>
            <w:lang w:val="cs-CZ"/>
          </w:rPr>
          <w:delText xml:space="preserve">léčby </w:delText>
        </w:r>
        <w:r w:rsidRPr="001B4A02">
          <w:rPr>
            <w:b/>
            <w:szCs w:val="22"/>
            <w:lang w:val="cs-CZ"/>
          </w:rPr>
          <w:delText>v</w:delText>
        </w:r>
        <w:r w:rsidR="00AC7C92" w:rsidRPr="001B4A02">
          <w:rPr>
            <w:b/>
            <w:szCs w:val="22"/>
            <w:lang w:val="cs-CZ"/>
          </w:rPr>
          <w:delText> </w:delText>
        </w:r>
        <w:r w:rsidRPr="001B4A02">
          <w:rPr>
            <w:b/>
            <w:szCs w:val="22"/>
            <w:lang w:val="cs-CZ"/>
          </w:rPr>
          <w:delText>týdnu 6 nebo později (studie UV I) nebo v</w:delText>
        </w:r>
        <w:r w:rsidR="00255A0A" w:rsidRPr="001B4A02">
          <w:rPr>
            <w:b/>
            <w:szCs w:val="22"/>
            <w:lang w:val="cs-CZ"/>
          </w:rPr>
          <w:delText> </w:delText>
        </w:r>
        <w:r w:rsidRPr="001B4A02">
          <w:rPr>
            <w:b/>
            <w:szCs w:val="22"/>
            <w:lang w:val="cs-CZ"/>
          </w:rPr>
          <w:delText>týdnu 2 nebo později (studie</w:delText>
        </w:r>
        <w:r w:rsidR="00AC7C92" w:rsidRPr="001B4A02">
          <w:rPr>
            <w:b/>
            <w:szCs w:val="22"/>
            <w:lang w:val="cs-CZ"/>
          </w:rPr>
          <w:delText xml:space="preserve"> UV II)</w:delText>
        </w:r>
      </w:del>
    </w:p>
    <w:p w14:paraId="1C94BA0F" w14:textId="77777777" w:rsidR="00AD6614" w:rsidRPr="001B4A02" w:rsidRDefault="00AD6614" w:rsidP="00ED48A3">
      <w:pPr>
        <w:pStyle w:val="EMEANormal"/>
        <w:keepNext/>
        <w:jc w:val="center"/>
        <w:rPr>
          <w:del w:id="7304" w:author="AbbVie1" w:date="2025-05-13T09:50:00Z"/>
          <w:b/>
          <w:szCs w:val="22"/>
          <w:lang w:val="cs-CZ"/>
        </w:rPr>
      </w:pPr>
    </w:p>
    <w:tbl>
      <w:tblPr>
        <w:tblW w:w="9481" w:type="dxa"/>
        <w:tblLayout w:type="fixed"/>
        <w:tblLook w:val="04A0" w:firstRow="1" w:lastRow="0" w:firstColumn="1" w:lastColumn="0" w:noHBand="0" w:noVBand="1"/>
      </w:tblPr>
      <w:tblGrid>
        <w:gridCol w:w="675"/>
        <w:gridCol w:w="3496"/>
        <w:gridCol w:w="1170"/>
        <w:gridCol w:w="1350"/>
        <w:gridCol w:w="900"/>
        <w:gridCol w:w="1731"/>
        <w:gridCol w:w="159"/>
      </w:tblGrid>
      <w:tr w:rsidR="00534A2D" w14:paraId="5A197554" w14:textId="77777777" w:rsidTr="00AA1CF3">
        <w:trPr>
          <w:cantSplit/>
          <w:trHeight w:val="3806"/>
          <w:del w:id="7305" w:author="AbbVie1" w:date="2025-05-13T09:50:00Z"/>
        </w:trPr>
        <w:tc>
          <w:tcPr>
            <w:tcW w:w="675" w:type="dxa"/>
            <w:shd w:val="clear" w:color="auto" w:fill="auto"/>
            <w:textDirection w:val="btLr"/>
            <w:vAlign w:val="bottom"/>
          </w:tcPr>
          <w:p w14:paraId="10B29E07" w14:textId="77777777" w:rsidR="00AD6614" w:rsidRPr="001B4A02" w:rsidRDefault="00000000" w:rsidP="00E97D9C">
            <w:pPr>
              <w:pStyle w:val="EMEANormal"/>
              <w:keepNext/>
              <w:ind w:left="113" w:right="113"/>
              <w:jc w:val="center"/>
              <w:rPr>
                <w:del w:id="7306" w:author="AbbVie1" w:date="2025-05-13T09:50:00Z"/>
                <w:b/>
                <w:szCs w:val="22"/>
                <w:lang w:val="cs-CZ"/>
              </w:rPr>
            </w:pPr>
            <w:del w:id="7307" w:author="AbbVie1" w:date="2025-05-13T09:50:00Z">
              <w:r w:rsidRPr="001B4A02">
                <w:rPr>
                  <w:b/>
                  <w:szCs w:val="22"/>
                  <w:lang w:val="cs-CZ"/>
                </w:rPr>
                <w:delText xml:space="preserve">ČETNOST SELHÁNÍ </w:delText>
              </w:r>
              <w:r w:rsidR="00E97D9C" w:rsidRPr="001B4A02">
                <w:rPr>
                  <w:b/>
                  <w:szCs w:val="22"/>
                  <w:lang w:val="cs-CZ"/>
                </w:rPr>
                <w:delText xml:space="preserve">LÉČBY </w:delText>
              </w:r>
              <w:r w:rsidRPr="001B4A02">
                <w:rPr>
                  <w:b/>
                  <w:szCs w:val="22"/>
                  <w:lang w:val="cs-CZ"/>
                </w:rPr>
                <w:delText>(%)</w:delText>
              </w:r>
            </w:del>
          </w:p>
        </w:tc>
        <w:tc>
          <w:tcPr>
            <w:tcW w:w="8806" w:type="dxa"/>
            <w:gridSpan w:val="6"/>
            <w:shd w:val="clear" w:color="auto" w:fill="auto"/>
            <w:vAlign w:val="bottom"/>
          </w:tcPr>
          <w:p w14:paraId="2F653E72" w14:textId="77777777" w:rsidR="00AD6614" w:rsidRPr="001B4A02" w:rsidRDefault="00000000" w:rsidP="00ED48A3">
            <w:pPr>
              <w:pStyle w:val="EMEANormal"/>
              <w:keepNext/>
              <w:rPr>
                <w:del w:id="7308" w:author="AbbVie1" w:date="2025-05-13T09:50:00Z"/>
                <w:szCs w:val="22"/>
                <w:lang w:val="cs-CZ"/>
              </w:rPr>
            </w:pPr>
            <w:del w:id="7309" w:author="AbbVie1" w:date="2025-05-13T09:50:00Z">
              <w:r w:rsidRPr="001B4A02">
                <w:rPr>
                  <w:noProof/>
                  <w:szCs w:val="22"/>
                </w:rPr>
                <w:drawing>
                  <wp:inline distT="0" distB="0" distL="0" distR="0" wp14:anchorId="547A12AA" wp14:editId="6A2AEE14">
                    <wp:extent cx="5305425" cy="2208530"/>
                    <wp:effectExtent l="0" t="0" r="9525" b="1270"/>
                    <wp:docPr id="479" name="obrázek 479"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Humira Uveitis Figure 5_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05425" cy="2208530"/>
                            </a:xfrm>
                            <a:prstGeom prst="rect">
                              <a:avLst/>
                            </a:prstGeom>
                            <a:noFill/>
                            <a:ln>
                              <a:noFill/>
                            </a:ln>
                          </pic:spPr>
                        </pic:pic>
                      </a:graphicData>
                    </a:graphic>
                  </wp:inline>
                </w:drawing>
              </w:r>
            </w:del>
          </w:p>
        </w:tc>
      </w:tr>
      <w:tr w:rsidR="00534A2D" w14:paraId="30269E13" w14:textId="77777777" w:rsidTr="00AA1CF3">
        <w:trPr>
          <w:del w:id="7310" w:author="AbbVie1" w:date="2025-05-13T09:50:00Z"/>
        </w:trPr>
        <w:tc>
          <w:tcPr>
            <w:tcW w:w="675" w:type="dxa"/>
            <w:shd w:val="clear" w:color="auto" w:fill="auto"/>
          </w:tcPr>
          <w:p w14:paraId="1DB6F029" w14:textId="77777777" w:rsidR="00AD6614" w:rsidRPr="001B4A02" w:rsidRDefault="00AD6614" w:rsidP="00ED48A3">
            <w:pPr>
              <w:pStyle w:val="EMEANormal"/>
              <w:rPr>
                <w:del w:id="7311" w:author="AbbVie1" w:date="2025-05-13T09:50:00Z"/>
                <w:szCs w:val="22"/>
                <w:lang w:val="cs-CZ"/>
              </w:rPr>
            </w:pPr>
          </w:p>
        </w:tc>
        <w:tc>
          <w:tcPr>
            <w:tcW w:w="8806" w:type="dxa"/>
            <w:gridSpan w:val="6"/>
            <w:shd w:val="clear" w:color="auto" w:fill="auto"/>
          </w:tcPr>
          <w:p w14:paraId="0E2803CE" w14:textId="77777777" w:rsidR="00AD6614" w:rsidRPr="001B4A02" w:rsidRDefault="00000000" w:rsidP="00ED48A3">
            <w:pPr>
              <w:pStyle w:val="EMEANormal"/>
              <w:jc w:val="center"/>
              <w:rPr>
                <w:del w:id="7312" w:author="AbbVie1" w:date="2025-05-13T09:50:00Z"/>
                <w:b/>
                <w:szCs w:val="22"/>
                <w:lang w:val="cs-CZ"/>
              </w:rPr>
            </w:pPr>
            <w:del w:id="7313" w:author="AbbVie1" w:date="2025-05-13T09:50:00Z">
              <w:r w:rsidRPr="001B4A02">
                <w:rPr>
                  <w:b/>
                  <w:szCs w:val="22"/>
                  <w:lang w:val="cs-CZ"/>
                </w:rPr>
                <w:delText>ČAS (MĚSÍCE)</w:delText>
              </w:r>
            </w:del>
          </w:p>
        </w:tc>
      </w:tr>
      <w:tr w:rsidR="00534A2D" w14:paraId="3ECACEA6" w14:textId="77777777" w:rsidTr="00AA1CF3">
        <w:trPr>
          <w:del w:id="7314" w:author="AbbVie1" w:date="2025-05-13T09:50:00Z"/>
        </w:trPr>
        <w:tc>
          <w:tcPr>
            <w:tcW w:w="675" w:type="dxa"/>
            <w:shd w:val="clear" w:color="auto" w:fill="auto"/>
          </w:tcPr>
          <w:p w14:paraId="548B0722" w14:textId="77777777" w:rsidR="00AD6614" w:rsidRPr="001B4A02" w:rsidRDefault="00AD6614" w:rsidP="00ED48A3">
            <w:pPr>
              <w:pStyle w:val="EMEANormal"/>
              <w:rPr>
                <w:del w:id="7315" w:author="AbbVie1" w:date="2025-05-13T09:50:00Z"/>
                <w:szCs w:val="22"/>
                <w:lang w:val="cs-CZ"/>
              </w:rPr>
            </w:pPr>
          </w:p>
        </w:tc>
        <w:tc>
          <w:tcPr>
            <w:tcW w:w="3496" w:type="dxa"/>
            <w:shd w:val="clear" w:color="auto" w:fill="auto"/>
          </w:tcPr>
          <w:p w14:paraId="749D8115" w14:textId="77777777" w:rsidR="00AD6614" w:rsidRPr="001B4A02" w:rsidRDefault="00000000" w:rsidP="00ED48A3">
            <w:pPr>
              <w:pStyle w:val="EMEANormal"/>
              <w:rPr>
                <w:del w:id="7316" w:author="AbbVie1" w:date="2025-05-13T09:50:00Z"/>
                <w:szCs w:val="22"/>
                <w:lang w:val="cs-CZ"/>
              </w:rPr>
            </w:pPr>
            <w:del w:id="7317" w:author="AbbVie1" w:date="2025-05-13T09:50:00Z">
              <w:r w:rsidRPr="001B4A02">
                <w:rPr>
                  <w:szCs w:val="22"/>
                  <w:lang w:val="cs-CZ"/>
                </w:rPr>
                <w:delText>Studie UV I                      Léčba</w:delText>
              </w:r>
            </w:del>
          </w:p>
        </w:tc>
        <w:tc>
          <w:tcPr>
            <w:tcW w:w="1170" w:type="dxa"/>
            <w:shd w:val="clear" w:color="auto" w:fill="auto"/>
          </w:tcPr>
          <w:p w14:paraId="596E0BBF" w14:textId="77777777" w:rsidR="00AD6614" w:rsidRPr="001B4A02" w:rsidRDefault="00000000" w:rsidP="00ED48A3">
            <w:pPr>
              <w:pStyle w:val="EMEANormal"/>
              <w:jc w:val="right"/>
              <w:rPr>
                <w:del w:id="7318" w:author="AbbVie1" w:date="2025-05-13T09:50:00Z"/>
                <w:szCs w:val="22"/>
                <w:lang w:val="cs-CZ"/>
              </w:rPr>
            </w:pPr>
            <w:del w:id="7319" w:author="AbbVie1" w:date="2025-05-13T09:50:00Z">
              <w:r w:rsidRPr="001B4A02">
                <w:rPr>
                  <w:noProof/>
                  <w:szCs w:val="22"/>
                </w:rPr>
                <w:drawing>
                  <wp:inline distT="0" distB="0" distL="0" distR="0" wp14:anchorId="0BFC6BCE" wp14:editId="6DC07EF2">
                    <wp:extent cx="405130" cy="180975"/>
                    <wp:effectExtent l="0" t="0" r="0" b="9525"/>
                    <wp:docPr id="480" name="obrázek 480"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Picture 480"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5130" cy="180975"/>
                            </a:xfrm>
                            <a:prstGeom prst="rect">
                              <a:avLst/>
                            </a:prstGeom>
                            <a:noFill/>
                            <a:ln>
                              <a:noFill/>
                            </a:ln>
                          </pic:spPr>
                        </pic:pic>
                      </a:graphicData>
                    </a:graphic>
                  </wp:inline>
                </w:drawing>
              </w:r>
            </w:del>
          </w:p>
        </w:tc>
        <w:tc>
          <w:tcPr>
            <w:tcW w:w="1350" w:type="dxa"/>
            <w:shd w:val="clear" w:color="auto" w:fill="auto"/>
          </w:tcPr>
          <w:p w14:paraId="6DC587CF" w14:textId="77777777" w:rsidR="00AD6614" w:rsidRPr="001B4A02" w:rsidRDefault="00000000" w:rsidP="00ED48A3">
            <w:pPr>
              <w:pStyle w:val="EMEANormal"/>
              <w:rPr>
                <w:del w:id="7320" w:author="AbbVie1" w:date="2025-05-13T09:50:00Z"/>
                <w:szCs w:val="22"/>
                <w:lang w:val="cs-CZ"/>
              </w:rPr>
            </w:pPr>
            <w:del w:id="7321" w:author="AbbVie1" w:date="2025-05-13T09:50:00Z">
              <w:r w:rsidRPr="001B4A02">
                <w:rPr>
                  <w:szCs w:val="22"/>
                  <w:lang w:val="cs-CZ"/>
                </w:rPr>
                <w:delText>Placebo</w:delText>
              </w:r>
            </w:del>
          </w:p>
        </w:tc>
        <w:tc>
          <w:tcPr>
            <w:tcW w:w="900" w:type="dxa"/>
            <w:shd w:val="clear" w:color="auto" w:fill="auto"/>
          </w:tcPr>
          <w:p w14:paraId="4DF7FFD8" w14:textId="77777777" w:rsidR="00AD6614" w:rsidRPr="001B4A02" w:rsidRDefault="00000000" w:rsidP="00ED48A3">
            <w:pPr>
              <w:pStyle w:val="EMEANormal"/>
              <w:jc w:val="right"/>
              <w:rPr>
                <w:del w:id="7322" w:author="AbbVie1" w:date="2025-05-13T09:50:00Z"/>
                <w:szCs w:val="22"/>
                <w:lang w:val="cs-CZ"/>
              </w:rPr>
            </w:pPr>
            <w:del w:id="7323" w:author="AbbVie1" w:date="2025-05-13T09:50:00Z">
              <w:r w:rsidRPr="001B4A02">
                <w:rPr>
                  <w:noProof/>
                  <w:szCs w:val="22"/>
                </w:rPr>
                <w:drawing>
                  <wp:inline distT="0" distB="0" distL="0" distR="0" wp14:anchorId="0CD30433" wp14:editId="1654DCCA">
                    <wp:extent cx="569595" cy="180975"/>
                    <wp:effectExtent l="0" t="0" r="1905" b="9525"/>
                    <wp:docPr id="481" name="obrázek 48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9595" cy="180975"/>
                            </a:xfrm>
                            <a:prstGeom prst="rect">
                              <a:avLst/>
                            </a:prstGeom>
                            <a:noFill/>
                            <a:ln>
                              <a:noFill/>
                            </a:ln>
                          </pic:spPr>
                        </pic:pic>
                      </a:graphicData>
                    </a:graphic>
                  </wp:inline>
                </w:drawing>
              </w:r>
            </w:del>
          </w:p>
        </w:tc>
        <w:tc>
          <w:tcPr>
            <w:tcW w:w="1890" w:type="dxa"/>
            <w:gridSpan w:val="2"/>
            <w:shd w:val="clear" w:color="auto" w:fill="auto"/>
          </w:tcPr>
          <w:p w14:paraId="3E1ECDD2" w14:textId="77777777" w:rsidR="00AD6614" w:rsidRPr="001B4A02" w:rsidRDefault="00000000" w:rsidP="00ED48A3">
            <w:pPr>
              <w:pStyle w:val="EMEANormal"/>
              <w:rPr>
                <w:del w:id="7324" w:author="AbbVie1" w:date="2025-05-13T09:50:00Z"/>
                <w:szCs w:val="22"/>
                <w:lang w:val="cs-CZ"/>
              </w:rPr>
            </w:pPr>
            <w:del w:id="7325" w:author="AbbVie1" w:date="2025-05-13T09:50:00Z">
              <w:r w:rsidRPr="001B4A02">
                <w:rPr>
                  <w:szCs w:val="22"/>
                  <w:lang w:val="cs-CZ"/>
                </w:rPr>
                <w:delText>Adalimumab</w:delText>
              </w:r>
            </w:del>
          </w:p>
        </w:tc>
      </w:tr>
      <w:tr w:rsidR="00534A2D" w14:paraId="3FC5F5FB" w14:textId="77777777" w:rsidTr="00AA1CF3">
        <w:trPr>
          <w:trHeight w:val="3869"/>
          <w:del w:id="7326" w:author="AbbVie1" w:date="2025-05-13T09:50:00Z"/>
        </w:trPr>
        <w:tc>
          <w:tcPr>
            <w:tcW w:w="675" w:type="dxa"/>
            <w:shd w:val="clear" w:color="auto" w:fill="auto"/>
            <w:textDirection w:val="btLr"/>
            <w:vAlign w:val="bottom"/>
          </w:tcPr>
          <w:p w14:paraId="05669C96" w14:textId="77777777" w:rsidR="00AD6614" w:rsidRPr="001B4A02" w:rsidRDefault="00000000" w:rsidP="00E97D9C">
            <w:pPr>
              <w:pStyle w:val="EMEANormal"/>
              <w:jc w:val="center"/>
              <w:rPr>
                <w:del w:id="7327" w:author="AbbVie1" w:date="2025-05-13T09:50:00Z"/>
                <w:szCs w:val="22"/>
                <w:lang w:val="cs-CZ"/>
              </w:rPr>
            </w:pPr>
            <w:del w:id="7328" w:author="AbbVie1" w:date="2025-05-13T09:50:00Z">
              <w:r w:rsidRPr="001B4A02">
                <w:rPr>
                  <w:b/>
                  <w:szCs w:val="22"/>
                  <w:lang w:val="cs-CZ"/>
                </w:rPr>
                <w:delText xml:space="preserve">ČETNOST SELHÁNÍ </w:delText>
              </w:r>
              <w:r w:rsidR="00E97D9C" w:rsidRPr="001B4A02">
                <w:rPr>
                  <w:b/>
                  <w:szCs w:val="22"/>
                  <w:lang w:val="cs-CZ"/>
                </w:rPr>
                <w:delText xml:space="preserve">LÉČBY </w:delText>
              </w:r>
              <w:r w:rsidRPr="001B4A02">
                <w:rPr>
                  <w:b/>
                  <w:szCs w:val="22"/>
                  <w:lang w:val="cs-CZ"/>
                </w:rPr>
                <w:delText>(%)</w:delText>
              </w:r>
            </w:del>
          </w:p>
        </w:tc>
        <w:tc>
          <w:tcPr>
            <w:tcW w:w="8806" w:type="dxa"/>
            <w:gridSpan w:val="6"/>
            <w:shd w:val="clear" w:color="auto" w:fill="auto"/>
            <w:vAlign w:val="bottom"/>
          </w:tcPr>
          <w:p w14:paraId="4C91D7A5" w14:textId="77777777" w:rsidR="00AD6614" w:rsidRPr="001B4A02" w:rsidRDefault="00AD6614" w:rsidP="00ED48A3">
            <w:pPr>
              <w:pStyle w:val="EMEANormal"/>
              <w:rPr>
                <w:del w:id="7329" w:author="AbbVie1" w:date="2025-05-13T09:50:00Z"/>
                <w:szCs w:val="22"/>
                <w:lang w:val="cs-CZ"/>
              </w:rPr>
            </w:pPr>
          </w:p>
          <w:p w14:paraId="120AB4C7" w14:textId="77777777" w:rsidR="00761827" w:rsidRPr="001B4A02" w:rsidRDefault="00000000" w:rsidP="00ED48A3">
            <w:pPr>
              <w:pStyle w:val="EMEANormal"/>
              <w:rPr>
                <w:del w:id="7330" w:author="AbbVie1" w:date="2025-05-13T09:50:00Z"/>
                <w:szCs w:val="22"/>
                <w:lang w:val="cs-CZ"/>
              </w:rPr>
            </w:pPr>
            <w:del w:id="7331" w:author="AbbVie1" w:date="2025-05-13T09:50:00Z">
              <w:r w:rsidRPr="001B4A02">
                <w:rPr>
                  <w:noProof/>
                  <w:szCs w:val="22"/>
                </w:rPr>
                <w:drawing>
                  <wp:inline distT="0" distB="0" distL="0" distR="0" wp14:anchorId="50A6F711" wp14:editId="30611E2B">
                    <wp:extent cx="5305425" cy="2182495"/>
                    <wp:effectExtent l="0" t="0" r="9525" b="8255"/>
                    <wp:docPr id="482" name="obrázek 482"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icture 482" descr="Humira Uveitis Figure 5_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305425" cy="2182495"/>
                            </a:xfrm>
                            <a:prstGeom prst="rect">
                              <a:avLst/>
                            </a:prstGeom>
                            <a:noFill/>
                            <a:ln>
                              <a:noFill/>
                            </a:ln>
                          </pic:spPr>
                        </pic:pic>
                      </a:graphicData>
                    </a:graphic>
                  </wp:inline>
                </w:drawing>
              </w:r>
            </w:del>
          </w:p>
        </w:tc>
      </w:tr>
      <w:tr w:rsidR="00534A2D" w14:paraId="36A2C580" w14:textId="77777777" w:rsidTr="00AA1CF3">
        <w:trPr>
          <w:del w:id="7332" w:author="AbbVie1" w:date="2025-05-13T09:50:00Z"/>
        </w:trPr>
        <w:tc>
          <w:tcPr>
            <w:tcW w:w="675" w:type="dxa"/>
            <w:shd w:val="clear" w:color="auto" w:fill="auto"/>
          </w:tcPr>
          <w:p w14:paraId="287A8729" w14:textId="77777777" w:rsidR="00AD6614" w:rsidRPr="001B4A02" w:rsidRDefault="00AD6614" w:rsidP="00ED48A3">
            <w:pPr>
              <w:pStyle w:val="EMEANormal"/>
              <w:rPr>
                <w:del w:id="7333" w:author="AbbVie1" w:date="2025-05-13T09:50:00Z"/>
                <w:szCs w:val="22"/>
                <w:lang w:val="cs-CZ"/>
              </w:rPr>
            </w:pPr>
          </w:p>
        </w:tc>
        <w:tc>
          <w:tcPr>
            <w:tcW w:w="8806" w:type="dxa"/>
            <w:gridSpan w:val="6"/>
            <w:shd w:val="clear" w:color="auto" w:fill="auto"/>
          </w:tcPr>
          <w:p w14:paraId="7F9FF5B9" w14:textId="77777777" w:rsidR="00AD6614" w:rsidRPr="001B4A02" w:rsidRDefault="00000000" w:rsidP="00ED48A3">
            <w:pPr>
              <w:pStyle w:val="EMEANormal"/>
              <w:jc w:val="center"/>
              <w:rPr>
                <w:del w:id="7334" w:author="AbbVie1" w:date="2025-05-13T09:50:00Z"/>
                <w:b/>
                <w:szCs w:val="22"/>
                <w:lang w:val="cs-CZ"/>
              </w:rPr>
            </w:pPr>
            <w:del w:id="7335" w:author="AbbVie1" w:date="2025-05-13T09:50:00Z">
              <w:r w:rsidRPr="001B4A02">
                <w:rPr>
                  <w:b/>
                  <w:szCs w:val="22"/>
                  <w:lang w:val="cs-CZ"/>
                </w:rPr>
                <w:delText>ČAS (MĚSÍCE)</w:delText>
              </w:r>
            </w:del>
          </w:p>
        </w:tc>
      </w:tr>
      <w:tr w:rsidR="00534A2D" w14:paraId="727497CA" w14:textId="77777777" w:rsidTr="00AA1CF3">
        <w:trPr>
          <w:trHeight w:val="369"/>
          <w:del w:id="7336" w:author="AbbVie1" w:date="2025-05-13T09:50:00Z"/>
        </w:trPr>
        <w:tc>
          <w:tcPr>
            <w:tcW w:w="675" w:type="dxa"/>
            <w:shd w:val="clear" w:color="auto" w:fill="auto"/>
          </w:tcPr>
          <w:p w14:paraId="1D7F8CC1" w14:textId="77777777" w:rsidR="00AD6614" w:rsidRPr="001B4A02" w:rsidRDefault="00AD6614" w:rsidP="00ED48A3">
            <w:pPr>
              <w:pStyle w:val="EMEANormal"/>
              <w:rPr>
                <w:del w:id="7337" w:author="AbbVie1" w:date="2025-05-13T09:50:00Z"/>
                <w:szCs w:val="22"/>
                <w:lang w:val="cs-CZ"/>
              </w:rPr>
            </w:pPr>
          </w:p>
        </w:tc>
        <w:tc>
          <w:tcPr>
            <w:tcW w:w="3496" w:type="dxa"/>
            <w:shd w:val="clear" w:color="auto" w:fill="auto"/>
          </w:tcPr>
          <w:p w14:paraId="41478601" w14:textId="77777777" w:rsidR="00AD6614" w:rsidRPr="001B4A02" w:rsidRDefault="00000000" w:rsidP="00ED48A3">
            <w:pPr>
              <w:pStyle w:val="EMEANormal"/>
              <w:rPr>
                <w:del w:id="7338" w:author="AbbVie1" w:date="2025-05-13T09:50:00Z"/>
                <w:szCs w:val="22"/>
                <w:lang w:val="cs-CZ"/>
              </w:rPr>
            </w:pPr>
            <w:del w:id="7339" w:author="AbbVie1" w:date="2025-05-13T09:50:00Z">
              <w:r w:rsidRPr="001B4A02">
                <w:rPr>
                  <w:szCs w:val="22"/>
                  <w:lang w:val="cs-CZ"/>
                </w:rPr>
                <w:delText>Stud</w:delText>
              </w:r>
              <w:r w:rsidR="0084566C" w:rsidRPr="001B4A02">
                <w:rPr>
                  <w:szCs w:val="22"/>
                  <w:lang w:val="cs-CZ"/>
                </w:rPr>
                <w:delText>ie</w:delText>
              </w:r>
              <w:r w:rsidRPr="001B4A02">
                <w:rPr>
                  <w:szCs w:val="22"/>
                  <w:lang w:val="cs-CZ"/>
                </w:rPr>
                <w:delText xml:space="preserve"> UV II                   </w:delText>
              </w:r>
              <w:r w:rsidR="0084566C" w:rsidRPr="001B4A02">
                <w:rPr>
                  <w:szCs w:val="22"/>
                  <w:lang w:val="cs-CZ"/>
                </w:rPr>
                <w:delText>Léčba</w:delText>
              </w:r>
            </w:del>
          </w:p>
        </w:tc>
        <w:tc>
          <w:tcPr>
            <w:tcW w:w="1170" w:type="dxa"/>
            <w:shd w:val="clear" w:color="auto" w:fill="auto"/>
          </w:tcPr>
          <w:p w14:paraId="6FECAF8C" w14:textId="77777777" w:rsidR="00AD6614" w:rsidRPr="001B4A02" w:rsidRDefault="00000000" w:rsidP="00ED48A3">
            <w:pPr>
              <w:pStyle w:val="EMEANormal"/>
              <w:jc w:val="right"/>
              <w:rPr>
                <w:del w:id="7340" w:author="AbbVie1" w:date="2025-05-13T09:50:00Z"/>
                <w:szCs w:val="22"/>
                <w:lang w:val="cs-CZ"/>
              </w:rPr>
            </w:pPr>
            <w:del w:id="7341" w:author="AbbVie1" w:date="2025-05-13T09:50:00Z">
              <w:r w:rsidRPr="001B4A02">
                <w:rPr>
                  <w:noProof/>
                  <w:szCs w:val="22"/>
                </w:rPr>
                <w:drawing>
                  <wp:inline distT="0" distB="0" distL="0" distR="0" wp14:anchorId="18CF2D0B" wp14:editId="5EFFB52B">
                    <wp:extent cx="405130" cy="180975"/>
                    <wp:effectExtent l="0" t="0" r="0" b="9525"/>
                    <wp:docPr id="483" name="obrázek 48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483"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5130" cy="180975"/>
                            </a:xfrm>
                            <a:prstGeom prst="rect">
                              <a:avLst/>
                            </a:prstGeom>
                            <a:noFill/>
                            <a:ln>
                              <a:noFill/>
                            </a:ln>
                          </pic:spPr>
                        </pic:pic>
                      </a:graphicData>
                    </a:graphic>
                  </wp:inline>
                </w:drawing>
              </w:r>
            </w:del>
          </w:p>
        </w:tc>
        <w:tc>
          <w:tcPr>
            <w:tcW w:w="1350" w:type="dxa"/>
            <w:shd w:val="clear" w:color="auto" w:fill="auto"/>
          </w:tcPr>
          <w:p w14:paraId="6617903C" w14:textId="77777777" w:rsidR="00AD6614" w:rsidRPr="001B4A02" w:rsidRDefault="00000000" w:rsidP="00ED48A3">
            <w:pPr>
              <w:pStyle w:val="EMEANormal"/>
              <w:rPr>
                <w:del w:id="7342" w:author="AbbVie1" w:date="2025-05-13T09:50:00Z"/>
                <w:szCs w:val="22"/>
                <w:lang w:val="cs-CZ"/>
              </w:rPr>
            </w:pPr>
            <w:del w:id="7343" w:author="AbbVie1" w:date="2025-05-13T09:50:00Z">
              <w:r w:rsidRPr="001B4A02">
                <w:rPr>
                  <w:szCs w:val="22"/>
                  <w:lang w:val="cs-CZ"/>
                </w:rPr>
                <w:delText>Placebo</w:delText>
              </w:r>
            </w:del>
          </w:p>
        </w:tc>
        <w:tc>
          <w:tcPr>
            <w:tcW w:w="900" w:type="dxa"/>
            <w:shd w:val="clear" w:color="auto" w:fill="auto"/>
          </w:tcPr>
          <w:p w14:paraId="310529BC" w14:textId="77777777" w:rsidR="00AD6614" w:rsidRPr="001B4A02" w:rsidRDefault="00000000" w:rsidP="00ED48A3">
            <w:pPr>
              <w:pStyle w:val="EMEANormal"/>
              <w:jc w:val="right"/>
              <w:rPr>
                <w:del w:id="7344" w:author="AbbVie1" w:date="2025-05-13T09:50:00Z"/>
                <w:szCs w:val="22"/>
                <w:lang w:val="cs-CZ"/>
              </w:rPr>
            </w:pPr>
            <w:del w:id="7345" w:author="AbbVie1" w:date="2025-05-13T09:50:00Z">
              <w:r w:rsidRPr="001B4A02">
                <w:rPr>
                  <w:noProof/>
                  <w:szCs w:val="22"/>
                </w:rPr>
                <w:drawing>
                  <wp:inline distT="0" distB="0" distL="0" distR="0" wp14:anchorId="12D618FA" wp14:editId="3A88E6F1">
                    <wp:extent cx="569595" cy="180975"/>
                    <wp:effectExtent l="0" t="0" r="1905" b="9525"/>
                    <wp:docPr id="484" name="obrázek 48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484"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9595" cy="180975"/>
                            </a:xfrm>
                            <a:prstGeom prst="rect">
                              <a:avLst/>
                            </a:prstGeom>
                            <a:noFill/>
                            <a:ln>
                              <a:noFill/>
                            </a:ln>
                          </pic:spPr>
                        </pic:pic>
                      </a:graphicData>
                    </a:graphic>
                  </wp:inline>
                </w:drawing>
              </w:r>
            </w:del>
          </w:p>
        </w:tc>
        <w:tc>
          <w:tcPr>
            <w:tcW w:w="1890" w:type="dxa"/>
            <w:gridSpan w:val="2"/>
            <w:shd w:val="clear" w:color="auto" w:fill="auto"/>
          </w:tcPr>
          <w:p w14:paraId="2E1EE644" w14:textId="77777777" w:rsidR="00AD6614" w:rsidRPr="001B4A02" w:rsidRDefault="00000000" w:rsidP="00ED48A3">
            <w:pPr>
              <w:pStyle w:val="EMEANormal"/>
              <w:rPr>
                <w:del w:id="7346" w:author="AbbVie1" w:date="2025-05-13T09:50:00Z"/>
                <w:szCs w:val="22"/>
                <w:lang w:val="cs-CZ"/>
              </w:rPr>
            </w:pPr>
            <w:del w:id="7347" w:author="AbbVie1" w:date="2025-05-13T09:50:00Z">
              <w:r w:rsidRPr="001B4A02">
                <w:rPr>
                  <w:szCs w:val="22"/>
                  <w:lang w:val="cs-CZ"/>
                </w:rPr>
                <w:delText>Adalimumab</w:delText>
              </w:r>
            </w:del>
          </w:p>
        </w:tc>
      </w:tr>
      <w:tr w:rsidR="00534A2D" w14:paraId="7FF3CE1A" w14:textId="77777777" w:rsidTr="008506F3">
        <w:trPr>
          <w:gridAfter w:val="1"/>
          <w:wAfter w:w="159" w:type="dxa"/>
          <w:trHeight w:val="629"/>
          <w:del w:id="7348" w:author="AbbVie1" w:date="2025-05-13T09:50:00Z"/>
        </w:trPr>
        <w:tc>
          <w:tcPr>
            <w:tcW w:w="9322" w:type="dxa"/>
            <w:gridSpan w:val="6"/>
            <w:shd w:val="clear" w:color="auto" w:fill="auto"/>
            <w:vAlign w:val="center"/>
          </w:tcPr>
          <w:p w14:paraId="7DF01F75" w14:textId="77777777" w:rsidR="00AD6614" w:rsidRPr="001B4A02" w:rsidRDefault="00000000" w:rsidP="00E97D9C">
            <w:pPr>
              <w:pStyle w:val="EMEANormal"/>
              <w:rPr>
                <w:del w:id="7349" w:author="AbbVie1" w:date="2025-05-13T09:50:00Z"/>
                <w:szCs w:val="22"/>
                <w:lang w:val="cs-CZ"/>
              </w:rPr>
            </w:pPr>
            <w:del w:id="7350" w:author="AbbVie1" w:date="2025-05-13T09:50:00Z">
              <w:r w:rsidRPr="001B4A02">
                <w:rPr>
                  <w:szCs w:val="22"/>
                  <w:lang w:val="cs-CZ"/>
                </w:rPr>
                <w:delText xml:space="preserve">Poznámka: P# = </w:delText>
              </w:r>
              <w:r w:rsidR="00662E9B" w:rsidRPr="001B4A02">
                <w:rPr>
                  <w:szCs w:val="22"/>
                  <w:lang w:val="cs-CZ"/>
                </w:rPr>
                <w:delText>p</w:delText>
              </w:r>
              <w:r w:rsidRPr="001B4A02">
                <w:rPr>
                  <w:szCs w:val="22"/>
                  <w:lang w:val="cs-CZ"/>
                </w:rPr>
                <w:delText xml:space="preserve">lacebo (počet příhod/počet </w:delText>
              </w:r>
              <w:r w:rsidR="00E97D9C" w:rsidRPr="001B4A02">
                <w:rPr>
                  <w:szCs w:val="22"/>
                  <w:lang w:val="cs-CZ"/>
                </w:rPr>
                <w:delText>v</w:delText>
              </w:r>
              <w:r w:rsidR="008506F3" w:rsidRPr="001B4A02">
                <w:rPr>
                  <w:szCs w:val="22"/>
                  <w:lang w:val="cs-CZ"/>
                </w:rPr>
                <w:delText> </w:delText>
              </w:r>
              <w:r w:rsidR="00E97D9C" w:rsidRPr="001B4A02">
                <w:rPr>
                  <w:szCs w:val="22"/>
                  <w:lang w:val="cs-CZ"/>
                </w:rPr>
                <w:delText>riziku</w:delText>
              </w:r>
              <w:r w:rsidRPr="001B4A02">
                <w:rPr>
                  <w:szCs w:val="22"/>
                  <w:lang w:val="cs-CZ"/>
                </w:rPr>
                <w:delText xml:space="preserve">); A# = </w:delText>
              </w:r>
              <w:r w:rsidR="00B85453" w:rsidRPr="001B4A02">
                <w:rPr>
                  <w:szCs w:val="22"/>
                  <w:lang w:val="cs-CZ"/>
                </w:rPr>
                <w:delText xml:space="preserve">přípravek </w:delText>
              </w:r>
              <w:r w:rsidRPr="001B4A02">
                <w:rPr>
                  <w:szCs w:val="22"/>
                  <w:lang w:val="cs-CZ"/>
                </w:rPr>
                <w:delText xml:space="preserve">HUMIRA (počet příhod/ počet </w:delText>
              </w:r>
              <w:r w:rsidR="00E97D9C" w:rsidRPr="001B4A02">
                <w:rPr>
                  <w:szCs w:val="22"/>
                  <w:lang w:val="cs-CZ"/>
                </w:rPr>
                <w:delText>v</w:delText>
              </w:r>
              <w:r w:rsidR="008506F3" w:rsidRPr="001B4A02">
                <w:rPr>
                  <w:szCs w:val="22"/>
                  <w:lang w:val="cs-CZ"/>
                </w:rPr>
                <w:delText> </w:delText>
              </w:r>
              <w:r w:rsidR="00E97D9C" w:rsidRPr="001B4A02">
                <w:rPr>
                  <w:szCs w:val="22"/>
                  <w:lang w:val="cs-CZ"/>
                </w:rPr>
                <w:delText>riziku</w:delText>
              </w:r>
              <w:r w:rsidRPr="001B4A02">
                <w:rPr>
                  <w:szCs w:val="22"/>
                  <w:lang w:val="cs-CZ"/>
                </w:rPr>
                <w:delText>)</w:delText>
              </w:r>
            </w:del>
          </w:p>
        </w:tc>
      </w:tr>
    </w:tbl>
    <w:p w14:paraId="4736AC5D" w14:textId="77777777" w:rsidR="00AD6614" w:rsidRPr="001B4A02" w:rsidRDefault="00AD6614" w:rsidP="00ED48A3">
      <w:pPr>
        <w:pStyle w:val="EMEANormal"/>
        <w:rPr>
          <w:del w:id="7351" w:author="AbbVie1" w:date="2025-05-13T09:50:00Z"/>
          <w:lang w:val="cs-CZ"/>
        </w:rPr>
      </w:pPr>
    </w:p>
    <w:p w14:paraId="177F3B70" w14:textId="77777777" w:rsidR="00AD6614" w:rsidRPr="001B4A02" w:rsidRDefault="00000000" w:rsidP="00ED48A3">
      <w:pPr>
        <w:pStyle w:val="EMEANormal"/>
        <w:rPr>
          <w:del w:id="7352" w:author="AbbVie1" w:date="2025-05-13T09:50:00Z"/>
          <w:lang w:val="cs-CZ"/>
        </w:rPr>
      </w:pPr>
      <w:del w:id="7353" w:author="AbbVie1" w:date="2025-05-13T09:50:00Z">
        <w:r w:rsidRPr="001B4A02">
          <w:rPr>
            <w:lang w:val="cs-CZ"/>
          </w:rPr>
          <w:delText>Ve studii UV</w:delText>
        </w:r>
        <w:r w:rsidR="00A218FA" w:rsidRPr="001B4A02">
          <w:rPr>
            <w:lang w:val="cs-CZ"/>
          </w:rPr>
          <w:delText xml:space="preserve"> I</w:delText>
        </w:r>
        <w:r w:rsidRPr="001B4A02">
          <w:rPr>
            <w:lang w:val="cs-CZ"/>
          </w:rPr>
          <w:delText xml:space="preserve"> byly pozorovány statisticky významné rozdíly ve prospěch adalimumabu v</w:delText>
        </w:r>
        <w:r w:rsidR="008506F3" w:rsidRPr="001B4A02">
          <w:rPr>
            <w:lang w:val="cs-CZ"/>
          </w:rPr>
          <w:delText> </w:delText>
        </w:r>
        <w:r w:rsidRPr="001B4A02">
          <w:rPr>
            <w:lang w:val="cs-CZ"/>
          </w:rPr>
          <w:delText>porovnání</w:delText>
        </w:r>
        <w:r w:rsidR="002B28FC" w:rsidRPr="001B4A02">
          <w:rPr>
            <w:lang w:val="cs-CZ"/>
          </w:rPr>
          <w:delText xml:space="preserve"> </w:delText>
        </w:r>
        <w:r w:rsidRPr="001B4A02">
          <w:rPr>
            <w:lang w:val="cs-CZ"/>
          </w:rPr>
          <w:delText>s</w:delText>
        </w:r>
        <w:r w:rsidR="008506F3" w:rsidRPr="001B4A02">
          <w:rPr>
            <w:lang w:val="cs-CZ"/>
          </w:rPr>
          <w:delText> </w:delText>
        </w:r>
        <w:r w:rsidRPr="001B4A02">
          <w:rPr>
            <w:lang w:val="cs-CZ"/>
          </w:rPr>
          <w:delText>placebem u</w:delText>
        </w:r>
        <w:r w:rsidR="008506F3" w:rsidRPr="001B4A02">
          <w:rPr>
            <w:lang w:val="cs-CZ"/>
          </w:rPr>
          <w:delText> </w:delText>
        </w:r>
        <w:r w:rsidRPr="001B4A02">
          <w:rPr>
            <w:lang w:val="cs-CZ"/>
          </w:rPr>
          <w:delText>každé</w:delText>
        </w:r>
        <w:r w:rsidR="00E97D9C" w:rsidRPr="001B4A02">
          <w:rPr>
            <w:lang w:val="cs-CZ"/>
          </w:rPr>
          <w:delText>ho důvodu</w:delText>
        </w:r>
        <w:r w:rsidRPr="001B4A02">
          <w:rPr>
            <w:lang w:val="cs-CZ"/>
          </w:rPr>
          <w:delText xml:space="preserve"> selhání terapie. Ve studii UV II byly pozorovány statisticky významné rozdíly jen u</w:delText>
        </w:r>
        <w:r w:rsidR="008506F3" w:rsidRPr="001B4A02">
          <w:rPr>
            <w:lang w:val="cs-CZ"/>
          </w:rPr>
          <w:delText> </w:delText>
        </w:r>
        <w:r w:rsidRPr="001B4A02">
          <w:rPr>
            <w:lang w:val="cs-CZ"/>
          </w:rPr>
          <w:delText xml:space="preserve">zrakové ostrosti, ale ostatní </w:delText>
        </w:r>
        <w:r w:rsidR="00E97D9C" w:rsidRPr="001B4A02">
          <w:rPr>
            <w:lang w:val="cs-CZ"/>
          </w:rPr>
          <w:delText>důvody byly početně</w:delText>
        </w:r>
        <w:r w:rsidRPr="001B4A02">
          <w:rPr>
            <w:lang w:val="cs-CZ"/>
          </w:rPr>
          <w:delText xml:space="preserve"> ve prospěch adalimumab</w:delText>
        </w:r>
        <w:r w:rsidR="00662E9B" w:rsidRPr="001B4A02">
          <w:rPr>
            <w:lang w:val="cs-CZ"/>
          </w:rPr>
          <w:delText>u</w:delText>
        </w:r>
        <w:r w:rsidRPr="001B4A02">
          <w:rPr>
            <w:lang w:val="cs-CZ"/>
          </w:rPr>
          <w:delText>.</w:delText>
        </w:r>
      </w:del>
    </w:p>
    <w:p w14:paraId="0717EE64" w14:textId="77777777" w:rsidR="00BB401D" w:rsidRPr="001B4A02" w:rsidRDefault="00BB401D" w:rsidP="00ED48A3">
      <w:pPr>
        <w:pStyle w:val="EMEANormal"/>
        <w:rPr>
          <w:del w:id="7354" w:author="AbbVie1" w:date="2025-05-13T09:50:00Z"/>
          <w:lang w:val="cs-CZ"/>
        </w:rPr>
      </w:pPr>
    </w:p>
    <w:p w14:paraId="3C21165F" w14:textId="77777777" w:rsidR="00BB401D" w:rsidRPr="001B4A02" w:rsidRDefault="00000000" w:rsidP="00BB401D">
      <w:pPr>
        <w:ind w:left="0" w:firstLine="0"/>
        <w:rPr>
          <w:del w:id="7355" w:author="AbbVie1" w:date="2025-05-13T09:50:00Z"/>
        </w:rPr>
      </w:pPr>
      <w:del w:id="7356" w:author="AbbVie1" w:date="2025-05-13T09:50:00Z">
        <w:r w:rsidRPr="001B4A02">
          <w:delText>Ze 417</w:delText>
        </w:r>
        <w:r w:rsidR="009663D1" w:rsidRPr="001B4A02">
          <w:delText xml:space="preserve"> </w:delText>
        </w:r>
        <w:r w:rsidR="00723D64" w:rsidRPr="001B4A02">
          <w:delText>subjektů</w:delText>
        </w:r>
        <w:r w:rsidRPr="001B4A02">
          <w:delText xml:space="preserve"> zařazených do nekontrolovaných dlouhodobých prodloužení studií UV I</w:delText>
        </w:r>
        <w:r w:rsidR="002378E0">
          <w:delText xml:space="preserve"> a </w:delText>
        </w:r>
        <w:r w:rsidRPr="001B4A02">
          <w:delText>UV II bylo 46</w:delText>
        </w:r>
        <w:r w:rsidR="009663D1" w:rsidRPr="001B4A02">
          <w:delText xml:space="preserve"> </w:delText>
        </w:r>
        <w:r w:rsidR="00723D64" w:rsidRPr="001B4A02">
          <w:delText>subjektů</w:delText>
        </w:r>
        <w:r w:rsidRPr="001B4A02">
          <w:delText xml:space="preserve"> považováno za nezpůsobilé (např. vyvinuly se sekundární komplikace diabetické retinopatie v důsledku katarakty nebo vitrektomie)</w:delText>
        </w:r>
        <w:r w:rsidR="002378E0">
          <w:delText xml:space="preserve"> a </w:delText>
        </w:r>
        <w:r w:rsidRPr="001B4A02">
          <w:delText>byl</w:delText>
        </w:r>
        <w:r w:rsidR="00723D64" w:rsidRPr="001B4A02">
          <w:delText>o</w:delText>
        </w:r>
        <w:r w:rsidRPr="001B4A02">
          <w:delText xml:space="preserve"> vyřazen</w:delText>
        </w:r>
        <w:r w:rsidR="00723D64" w:rsidRPr="001B4A02">
          <w:delText>o</w:delText>
        </w:r>
        <w:r w:rsidRPr="001B4A02">
          <w:delText xml:space="preserve"> z primární analýzy </w:delText>
        </w:r>
        <w:r w:rsidR="00FD6A84" w:rsidRPr="001B4A02">
          <w:delText>účinnosti. Z</w:delText>
        </w:r>
        <w:r w:rsidR="0006352B" w:rsidRPr="001B4A02">
          <w:delText> </w:delText>
        </w:r>
        <w:r w:rsidRPr="001B4A02">
          <w:delText>371</w:delText>
        </w:r>
        <w:r w:rsidR="009663D1" w:rsidRPr="001B4A02">
          <w:delText xml:space="preserve"> </w:delText>
        </w:r>
        <w:r w:rsidRPr="001B4A02">
          <w:delText xml:space="preserve">zbývajících pacientů dosáhlo 276 hodnotitelných </w:delText>
        </w:r>
        <w:r w:rsidR="009663D1" w:rsidRPr="001B4A02">
          <w:delText xml:space="preserve">pacientů </w:delText>
        </w:r>
        <w:r w:rsidRPr="001B4A02">
          <w:delText xml:space="preserve">78 týdnů otevřené léčby adalimumabem. Na základě přístupu pozorovaných dat bylo 222 (80,4 %) </w:delText>
        </w:r>
        <w:r w:rsidR="009663D1" w:rsidRPr="001B4A02">
          <w:delText xml:space="preserve">pacientů </w:delText>
        </w:r>
        <w:r w:rsidRPr="001B4A02">
          <w:delText>v klidu (bez aktivních zánětlivých lézí, stupeň AC buněk ≤</w:delText>
        </w:r>
        <w:r w:rsidR="008E5C77" w:rsidRPr="001B4A02">
          <w:delText> </w:delText>
        </w:r>
        <w:r w:rsidRPr="001B4A02">
          <w:delText>0,5+, VH stupeň ≤</w:delText>
        </w:r>
        <w:r w:rsidR="008E5C77" w:rsidRPr="001B4A02">
          <w:delText> </w:delText>
        </w:r>
        <w:r w:rsidRPr="001B4A02">
          <w:delText xml:space="preserve">0,5+) </w:delText>
        </w:r>
        <w:r w:rsidR="009663D1" w:rsidRPr="001B4A02">
          <w:delText>na současné dávce</w:delText>
        </w:r>
        <w:r w:rsidRPr="001B4A02">
          <w:delText xml:space="preserve"> steroidů ≤</w:delText>
        </w:r>
        <w:r w:rsidR="008E5C77" w:rsidRPr="001B4A02">
          <w:delText> </w:delText>
        </w:r>
        <w:r w:rsidRPr="001B4A02">
          <w:delText>7,5 mg denně</w:delText>
        </w:r>
        <w:r w:rsidR="002378E0">
          <w:delText xml:space="preserve"> a </w:delText>
        </w:r>
        <w:r w:rsidRPr="001B4A02">
          <w:delText xml:space="preserve">184 (66,7 %) </w:delText>
        </w:r>
        <w:r w:rsidR="009663D1" w:rsidRPr="001B4A02">
          <w:delText xml:space="preserve">pacientů </w:delText>
        </w:r>
        <w:r w:rsidRPr="001B4A02">
          <w:delText>bylo v klidu bez podávání steroidů. BCVA se buď zlepšila</w:delText>
        </w:r>
        <w:r w:rsidR="00723D64" w:rsidRPr="001B4A02">
          <w:delText>,</w:delText>
        </w:r>
        <w:r w:rsidRPr="001B4A02">
          <w:delText xml:space="preserve"> nebo udržela (zhoršení o</w:delText>
        </w:r>
        <w:r w:rsidR="00923691" w:rsidRPr="001B4A02">
          <w:delText> </w:delText>
        </w:r>
        <w:r w:rsidRPr="001B4A02">
          <w:delText>&lt;</w:delText>
        </w:r>
        <w:r w:rsidR="007375A0" w:rsidRPr="001B4A02">
          <w:delText> </w:delText>
        </w:r>
        <w:r w:rsidRPr="001B4A02">
          <w:delText>5 písmen) u</w:delText>
        </w:r>
        <w:r w:rsidR="00C048C3" w:rsidRPr="001B4A02">
          <w:delText> </w:delText>
        </w:r>
        <w:r w:rsidRPr="001B4A02">
          <w:delText>88,4 % očí v týdnu 78. Z</w:delText>
        </w:r>
        <w:r w:rsidR="0006352B" w:rsidRPr="001B4A02">
          <w:delText> </w:delText>
        </w:r>
        <w:r w:rsidRPr="001B4A02">
          <w:delText xml:space="preserve">pacientů, kteří ukončili studii před týdnem 78, 11 % ukončilo studii </w:delText>
        </w:r>
        <w:r w:rsidR="00FD6A84" w:rsidRPr="001B4A02">
          <w:delText>z</w:delText>
        </w:r>
        <w:r w:rsidR="0006352B" w:rsidRPr="001B4A02">
          <w:delText> </w:delText>
        </w:r>
        <w:r w:rsidR="00FD6A84" w:rsidRPr="001B4A02">
          <w:delText>důvodu</w:delText>
        </w:r>
        <w:r w:rsidRPr="001B4A02">
          <w:delText xml:space="preserve"> nežádoucích příhod</w:delText>
        </w:r>
        <w:r w:rsidR="002378E0">
          <w:delText xml:space="preserve"> a </w:delText>
        </w:r>
        <w:r w:rsidRPr="001B4A02">
          <w:delText>5 % v důsledku nedostatečné odpovědi na léčbu adalimumabem.</w:delText>
        </w:r>
      </w:del>
    </w:p>
    <w:p w14:paraId="5C63FC26" w14:textId="77777777" w:rsidR="00BB401D" w:rsidRPr="001B4A02" w:rsidRDefault="00BB401D" w:rsidP="00ED48A3">
      <w:pPr>
        <w:pStyle w:val="EMEANormal"/>
        <w:rPr>
          <w:del w:id="7357" w:author="AbbVie1" w:date="2025-05-13T09:50:00Z"/>
          <w:lang w:val="cs-CZ"/>
        </w:rPr>
      </w:pPr>
    </w:p>
    <w:p w14:paraId="02CD1C25" w14:textId="77777777" w:rsidR="00AD6614" w:rsidRPr="001B4A02" w:rsidRDefault="00000000" w:rsidP="00CE5DAE">
      <w:pPr>
        <w:pStyle w:val="EMEANormal"/>
        <w:keepNext/>
        <w:rPr>
          <w:del w:id="7358" w:author="AbbVie1" w:date="2025-05-13T09:50:00Z"/>
          <w:i/>
          <w:szCs w:val="22"/>
          <w:u w:val="single"/>
          <w:lang w:val="cs-CZ"/>
        </w:rPr>
      </w:pPr>
      <w:del w:id="7359" w:author="AbbVie1" w:date="2025-05-13T09:50:00Z">
        <w:r w:rsidRPr="001B4A02">
          <w:rPr>
            <w:i/>
            <w:szCs w:val="22"/>
            <w:u w:val="single"/>
            <w:lang w:val="cs-CZ"/>
          </w:rPr>
          <w:delText>Kvalita života</w:delText>
        </w:r>
      </w:del>
    </w:p>
    <w:p w14:paraId="11BD5EDB" w14:textId="77777777" w:rsidR="00AD6614" w:rsidRPr="001B4A02" w:rsidRDefault="00AD6614" w:rsidP="00CE5DAE">
      <w:pPr>
        <w:pStyle w:val="EMEANormal"/>
        <w:keepNext/>
        <w:rPr>
          <w:del w:id="7360" w:author="AbbVie1" w:date="2025-05-13T09:50:00Z"/>
          <w:i/>
          <w:szCs w:val="22"/>
          <w:u w:val="single"/>
          <w:lang w:val="cs-CZ"/>
        </w:rPr>
      </w:pPr>
    </w:p>
    <w:p w14:paraId="28ECBFDE" w14:textId="77777777" w:rsidR="00AD6614" w:rsidRPr="001B4A02" w:rsidRDefault="00000000" w:rsidP="00ED48A3">
      <w:pPr>
        <w:pStyle w:val="EMEANormal"/>
        <w:rPr>
          <w:del w:id="7361" w:author="AbbVie1" w:date="2025-05-13T09:50:00Z"/>
          <w:lang w:val="cs-CZ"/>
        </w:rPr>
      </w:pPr>
      <w:del w:id="7362" w:author="AbbVie1" w:date="2025-05-13T09:50:00Z">
        <w:r w:rsidRPr="001B4A02">
          <w:rPr>
            <w:lang w:val="cs-CZ"/>
          </w:rPr>
          <w:delText xml:space="preserve">Pacienty hlášené </w:delText>
        </w:r>
        <w:r w:rsidR="00E97D9C" w:rsidRPr="001B4A02">
          <w:rPr>
            <w:lang w:val="cs-CZ"/>
          </w:rPr>
          <w:delText xml:space="preserve">výsledky zahrnující </w:delText>
        </w:r>
        <w:r w:rsidRPr="001B4A02">
          <w:rPr>
            <w:lang w:val="cs-CZ"/>
          </w:rPr>
          <w:delText>zrakové funkce byly hodnoceny v</w:delText>
        </w:r>
        <w:r w:rsidR="008506F3" w:rsidRPr="001B4A02">
          <w:rPr>
            <w:lang w:val="cs-CZ"/>
          </w:rPr>
          <w:delText> </w:delText>
        </w:r>
        <w:r w:rsidR="00D40DF7" w:rsidRPr="001B4A02">
          <w:rPr>
            <w:lang w:val="cs-CZ"/>
          </w:rPr>
          <w:delText>obou klinických studiích za pomoci NEI VFQ-25</w:delText>
        </w:r>
        <w:r w:rsidRPr="001B4A02">
          <w:rPr>
            <w:lang w:val="cs-CZ"/>
          </w:rPr>
          <w:delText>.</w:delText>
        </w:r>
        <w:r w:rsidR="00D40DF7" w:rsidRPr="001B4A02">
          <w:rPr>
            <w:lang w:val="cs-CZ"/>
          </w:rPr>
          <w:delText xml:space="preserve"> Přípravek </w:delText>
        </w:r>
        <w:r w:rsidRPr="001B4A02">
          <w:rPr>
            <w:lang w:val="cs-CZ"/>
          </w:rPr>
          <w:delText xml:space="preserve">Humira </w:delText>
        </w:r>
        <w:r w:rsidR="00D40DF7" w:rsidRPr="001B4A02">
          <w:rPr>
            <w:lang w:val="cs-CZ"/>
          </w:rPr>
          <w:delText xml:space="preserve">měl </w:delText>
        </w:r>
        <w:r w:rsidR="00E97D9C" w:rsidRPr="001B4A02">
          <w:rPr>
            <w:lang w:val="cs-CZ"/>
          </w:rPr>
          <w:delText xml:space="preserve">početně </w:delText>
        </w:r>
        <w:r w:rsidR="00D40DF7" w:rsidRPr="001B4A02">
          <w:rPr>
            <w:lang w:val="cs-CZ"/>
          </w:rPr>
          <w:delText xml:space="preserve">lepší výsledky ve většině podskóre, přičemž ve studii UV I byl statisticky významný střední rozdíl zaznamenán </w:delText>
        </w:r>
        <w:r w:rsidR="00E97D9C" w:rsidRPr="001B4A02">
          <w:rPr>
            <w:lang w:val="cs-CZ"/>
          </w:rPr>
          <w:delText>všeobecně u</w:delText>
        </w:r>
        <w:r w:rsidR="008506F3" w:rsidRPr="001B4A02">
          <w:rPr>
            <w:lang w:val="cs-CZ"/>
          </w:rPr>
          <w:delText> </w:delText>
        </w:r>
        <w:r w:rsidR="00E97D9C" w:rsidRPr="001B4A02">
          <w:rPr>
            <w:lang w:val="cs-CZ"/>
          </w:rPr>
          <w:delText>zraku</w:delText>
        </w:r>
        <w:r w:rsidR="00D40DF7" w:rsidRPr="001B4A02">
          <w:rPr>
            <w:lang w:val="cs-CZ"/>
          </w:rPr>
          <w:delText>, bolesti oka</w:delText>
        </w:r>
        <w:r w:rsidRPr="001B4A02">
          <w:rPr>
            <w:lang w:val="cs-CZ"/>
          </w:rPr>
          <w:delText xml:space="preserve">, </w:delText>
        </w:r>
        <w:r w:rsidR="00D40DF7" w:rsidRPr="001B4A02">
          <w:rPr>
            <w:lang w:val="cs-CZ"/>
          </w:rPr>
          <w:delText xml:space="preserve">vidění na </w:delText>
        </w:r>
        <w:r w:rsidR="0062437D" w:rsidRPr="001B4A02">
          <w:rPr>
            <w:lang w:val="cs-CZ"/>
          </w:rPr>
          <w:delText>blízko</w:delText>
        </w:r>
        <w:r w:rsidRPr="001B4A02">
          <w:rPr>
            <w:lang w:val="cs-CZ"/>
          </w:rPr>
          <w:delText xml:space="preserve">, </w:delText>
        </w:r>
        <w:r w:rsidR="00D40DF7" w:rsidRPr="001B4A02">
          <w:rPr>
            <w:lang w:val="cs-CZ"/>
          </w:rPr>
          <w:delText>duševního zdraví</w:delText>
        </w:r>
        <w:r w:rsidR="002378E0">
          <w:rPr>
            <w:lang w:val="cs-CZ"/>
          </w:rPr>
          <w:delText xml:space="preserve"> a </w:delText>
        </w:r>
        <w:r w:rsidR="00D40DF7" w:rsidRPr="001B4A02">
          <w:rPr>
            <w:lang w:val="cs-CZ"/>
          </w:rPr>
          <w:delText>celkového skóre</w:delText>
        </w:r>
        <w:r w:rsidRPr="001B4A02">
          <w:rPr>
            <w:lang w:val="cs-CZ"/>
          </w:rPr>
          <w:delText>,</w:delText>
        </w:r>
        <w:r w:rsidR="002378E0">
          <w:rPr>
            <w:lang w:val="cs-CZ"/>
          </w:rPr>
          <w:delText xml:space="preserve"> a </w:delText>
        </w:r>
        <w:r w:rsidR="00D40DF7" w:rsidRPr="001B4A02">
          <w:rPr>
            <w:lang w:val="cs-CZ"/>
          </w:rPr>
          <w:delText xml:space="preserve">ve studii UV II </w:delText>
        </w:r>
        <w:r w:rsidR="00E97D9C" w:rsidRPr="001B4A02">
          <w:rPr>
            <w:lang w:val="cs-CZ"/>
          </w:rPr>
          <w:delText>všeobecně u</w:delText>
        </w:r>
        <w:r w:rsidR="008506F3" w:rsidRPr="001B4A02">
          <w:rPr>
            <w:lang w:val="cs-CZ"/>
          </w:rPr>
          <w:delText> </w:delText>
        </w:r>
        <w:r w:rsidR="00E97D9C" w:rsidRPr="001B4A02">
          <w:rPr>
            <w:lang w:val="cs-CZ"/>
          </w:rPr>
          <w:delText>zraku</w:delText>
        </w:r>
        <w:r w:rsidR="002378E0">
          <w:rPr>
            <w:lang w:val="cs-CZ"/>
          </w:rPr>
          <w:delText xml:space="preserve"> a </w:delText>
        </w:r>
        <w:r w:rsidR="00D40DF7" w:rsidRPr="001B4A02">
          <w:rPr>
            <w:lang w:val="cs-CZ"/>
          </w:rPr>
          <w:delText>duševního zdraví</w:delText>
        </w:r>
        <w:r w:rsidRPr="001B4A02">
          <w:rPr>
            <w:lang w:val="cs-CZ"/>
          </w:rPr>
          <w:delText xml:space="preserve">. </w:delText>
        </w:r>
        <w:r w:rsidR="00E97D9C" w:rsidRPr="001B4A02">
          <w:rPr>
            <w:lang w:val="cs-CZ"/>
          </w:rPr>
          <w:delText xml:space="preserve">Početně nebylo </w:delText>
        </w:r>
        <w:r w:rsidR="0062437D" w:rsidRPr="001B4A02">
          <w:rPr>
            <w:lang w:val="cs-CZ"/>
          </w:rPr>
          <w:delText>zlepšení zraku vlivem přípravku Humira ve studii UV I pozorováno u barevné</w:delText>
        </w:r>
        <w:r w:rsidR="00DF1B81" w:rsidRPr="001B4A02">
          <w:rPr>
            <w:lang w:val="cs-CZ"/>
          </w:rPr>
          <w:delText>ho</w:delText>
        </w:r>
        <w:r w:rsidR="0062437D" w:rsidRPr="001B4A02">
          <w:rPr>
            <w:lang w:val="cs-CZ"/>
          </w:rPr>
          <w:delText xml:space="preserve"> vidění</w:delText>
        </w:r>
        <w:r w:rsidR="002378E0">
          <w:rPr>
            <w:lang w:val="cs-CZ"/>
          </w:rPr>
          <w:delText xml:space="preserve"> a </w:delText>
        </w:r>
        <w:r w:rsidR="0062437D" w:rsidRPr="001B4A02">
          <w:rPr>
            <w:lang w:val="cs-CZ"/>
          </w:rPr>
          <w:delText>ve studii UV II u</w:delText>
        </w:r>
        <w:r w:rsidR="00AC7C92" w:rsidRPr="001B4A02">
          <w:rPr>
            <w:lang w:val="cs-CZ"/>
          </w:rPr>
          <w:delText> </w:delText>
        </w:r>
        <w:r w:rsidR="0062437D" w:rsidRPr="001B4A02">
          <w:rPr>
            <w:lang w:val="cs-CZ"/>
          </w:rPr>
          <w:delText>barevného vidění, periferního vidění</w:delText>
        </w:r>
        <w:r w:rsidR="002378E0">
          <w:rPr>
            <w:lang w:val="cs-CZ"/>
          </w:rPr>
          <w:delText xml:space="preserve"> a </w:delText>
        </w:r>
        <w:r w:rsidR="0062437D" w:rsidRPr="001B4A02">
          <w:rPr>
            <w:lang w:val="cs-CZ"/>
          </w:rPr>
          <w:delText>vidění na blízko</w:delText>
        </w:r>
        <w:r w:rsidRPr="001B4A02">
          <w:rPr>
            <w:lang w:val="cs-CZ"/>
          </w:rPr>
          <w:delText>.</w:delText>
        </w:r>
      </w:del>
    </w:p>
    <w:p w14:paraId="1D897CFF" w14:textId="77777777" w:rsidR="00017038" w:rsidRPr="001B4A02" w:rsidRDefault="00017038" w:rsidP="00ED48A3">
      <w:pPr>
        <w:pStyle w:val="EMEANormal"/>
        <w:rPr>
          <w:del w:id="7363" w:author="AbbVie1" w:date="2025-05-13T09:50:00Z"/>
          <w:lang w:val="cs-CZ"/>
        </w:rPr>
      </w:pPr>
    </w:p>
    <w:p w14:paraId="3E8CF1D8" w14:textId="77777777" w:rsidR="00073F8F" w:rsidRPr="001B4A02" w:rsidRDefault="00000000" w:rsidP="00ED48A3">
      <w:pPr>
        <w:pStyle w:val="EMEANormal"/>
        <w:keepNext/>
        <w:tabs>
          <w:tab w:val="clear" w:pos="562"/>
        </w:tabs>
        <w:suppressAutoHyphens w:val="0"/>
        <w:rPr>
          <w:del w:id="7364" w:author="AbbVie1" w:date="2025-05-13T09:50:00Z"/>
          <w:u w:val="single"/>
          <w:lang w:val="cs-CZ"/>
        </w:rPr>
      </w:pPr>
      <w:del w:id="7365" w:author="AbbVie1" w:date="2025-05-13T09:50:00Z">
        <w:r w:rsidRPr="001B4A02">
          <w:rPr>
            <w:u w:val="single"/>
            <w:lang w:val="cs-CZ"/>
          </w:rPr>
          <w:delText>Imunogenita</w:delText>
        </w:r>
      </w:del>
    </w:p>
    <w:p w14:paraId="4026AF94" w14:textId="77777777" w:rsidR="00073F8F" w:rsidRPr="001B4A02" w:rsidRDefault="00073F8F" w:rsidP="00ED48A3">
      <w:pPr>
        <w:keepNext/>
        <w:ind w:left="0" w:firstLine="0"/>
        <w:rPr>
          <w:del w:id="7366" w:author="AbbVie1" w:date="2025-05-13T09:50:00Z"/>
        </w:rPr>
      </w:pPr>
    </w:p>
    <w:p w14:paraId="272A9EE1" w14:textId="77777777" w:rsidR="00073F8F" w:rsidRPr="001B4A02" w:rsidRDefault="00000000" w:rsidP="00AC7C92">
      <w:pPr>
        <w:ind w:left="0" w:firstLine="0"/>
        <w:rPr>
          <w:del w:id="7367" w:author="AbbVie1" w:date="2025-05-13T09:50:00Z"/>
        </w:rPr>
      </w:pPr>
      <w:del w:id="7368" w:author="AbbVie1" w:date="2025-05-13T09:50:00Z">
        <w:r w:rsidRPr="001B4A02">
          <w:delText>Tvorba protilátek proti adalimumabu je spojena se zvýšenou clearance</w:delText>
        </w:r>
        <w:r w:rsidR="002378E0">
          <w:delText xml:space="preserve"> a </w:delText>
        </w:r>
        <w:r w:rsidRPr="001B4A02">
          <w:delText>sníženou účinností adalimumabu. Mezi přítomností protilátek proti adalimumabu</w:delText>
        </w:r>
        <w:r w:rsidR="002378E0">
          <w:delText xml:space="preserve"> a </w:delText>
        </w:r>
        <w:r w:rsidRPr="001B4A02">
          <w:delText>výskytem nežádoucích účinků neexistuje žádná zjevná korelace.</w:delText>
        </w:r>
      </w:del>
    </w:p>
    <w:p w14:paraId="291DD69C" w14:textId="77777777" w:rsidR="00073F8F" w:rsidRPr="001B4A02" w:rsidRDefault="00073F8F" w:rsidP="00ED48A3">
      <w:pPr>
        <w:ind w:left="0" w:firstLine="0"/>
        <w:rPr>
          <w:del w:id="7369" w:author="AbbVie1" w:date="2025-05-13T09:50:00Z"/>
          <w:color w:val="000000"/>
        </w:rPr>
      </w:pPr>
    </w:p>
    <w:p w14:paraId="78BEF356" w14:textId="77777777" w:rsidR="00073F8F" w:rsidRPr="001B4A02" w:rsidRDefault="00000000" w:rsidP="00ED48A3">
      <w:pPr>
        <w:ind w:left="0" w:firstLine="0"/>
        <w:rPr>
          <w:del w:id="7370" w:author="AbbVie1" w:date="2025-05-13T09:50:00Z"/>
        </w:rPr>
      </w:pPr>
      <w:del w:id="7371" w:author="AbbVie1" w:date="2025-05-13T09:50:00Z">
        <w:r w:rsidRPr="001B4A02">
          <w:delText>Pacientům v</w:delText>
        </w:r>
        <w:r w:rsidR="00772903" w:rsidRPr="001B4A02">
          <w:delText>e</w:delText>
        </w:r>
        <w:r w:rsidRPr="001B4A02">
          <w:delText xml:space="preserve"> studiích</w:delText>
        </w:r>
        <w:r w:rsidR="00772903" w:rsidRPr="001B4A02">
          <w:delText xml:space="preserve"> v</w:delText>
        </w:r>
        <w:r w:rsidR="00255A0A" w:rsidRPr="001B4A02">
          <w:delText> </w:delText>
        </w:r>
        <w:r w:rsidR="00772903" w:rsidRPr="001B4A02">
          <w:delText>indikaci</w:delText>
        </w:r>
        <w:r w:rsidR="00255A0A" w:rsidRPr="001B4A02">
          <w:delText xml:space="preserve"> </w:delText>
        </w:r>
        <w:r w:rsidR="00772903" w:rsidRPr="001B4A02">
          <w:delText>revmatoidní artritida</w:delText>
        </w:r>
        <w:r w:rsidRPr="001B4A02">
          <w:delText xml:space="preserve"> I, II</w:delText>
        </w:r>
        <w:r w:rsidR="002378E0">
          <w:delText xml:space="preserve"> a </w:delText>
        </w:r>
        <w:r w:rsidRPr="001B4A02">
          <w:delText>III byly v různých časových okamžicích prováděny testy na přítomnost protilátek proti adalimumabu,</w:delText>
        </w:r>
        <w:r w:rsidR="002378E0">
          <w:delText xml:space="preserve"> a </w:delText>
        </w:r>
        <w:r w:rsidRPr="001B4A02">
          <w:delText>to během 6 až 12měsíčního období léčby. V klíčových studiích byly detekovány protilátky proti adalimumabu u </w:delText>
        </w:r>
        <w:r w:rsidR="00772903" w:rsidRPr="001B4A02">
          <w:delText>5,5</w:delText>
        </w:r>
        <w:r w:rsidR="001E10EB" w:rsidRPr="001B4A02">
          <w:delText> </w:delText>
        </w:r>
        <w:r w:rsidR="00772903" w:rsidRPr="001B4A02">
          <w:delText>% (</w:delText>
        </w:r>
        <w:r w:rsidRPr="001B4A02">
          <w:delText>58 z</w:delText>
        </w:r>
        <w:r w:rsidR="00772903" w:rsidRPr="001B4A02">
          <w:delText> </w:delText>
        </w:r>
        <w:r w:rsidRPr="001B4A02">
          <w:delText>1</w:delText>
        </w:r>
        <w:r w:rsidR="00F67928" w:rsidRPr="001B4A02">
          <w:delText> </w:delText>
        </w:r>
        <w:r w:rsidRPr="001B4A02">
          <w:delText>053</w:delText>
        </w:r>
        <w:r w:rsidR="00772903" w:rsidRPr="001B4A02">
          <w:delText>)</w:delText>
        </w:r>
        <w:r w:rsidRPr="001B4A02">
          <w:delText> pacientů léčených adalimumabem v porovnání s</w:delText>
        </w:r>
        <w:r w:rsidR="00AD3DCC" w:rsidRPr="001B4A02">
          <w:delText> </w:delText>
        </w:r>
        <w:r w:rsidR="00043C57" w:rsidRPr="001B4A02">
          <w:delText>0,5</w:delText>
        </w:r>
        <w:r w:rsidR="001E10EB" w:rsidRPr="001B4A02">
          <w:delText> </w:delText>
        </w:r>
        <w:r w:rsidR="00043C57" w:rsidRPr="001B4A02">
          <w:delText>%</w:delText>
        </w:r>
        <w:r w:rsidRPr="001B4A02">
          <w:delText xml:space="preserve"> </w:delText>
        </w:r>
        <w:r w:rsidR="00043C57" w:rsidRPr="001B4A02">
          <w:delText>(</w:delText>
        </w:r>
        <w:r w:rsidRPr="001B4A02">
          <w:delText>2 ze 370</w:delText>
        </w:r>
        <w:r w:rsidR="00043C57" w:rsidRPr="001B4A02">
          <w:delText>)</w:delText>
        </w:r>
        <w:r w:rsidRPr="001B4A02">
          <w:delText> pacientů léčených placebem. U pacientů, kteří nebyli souběžně léčeni methotrexátem, byl tento výskyt 12,4</w:delText>
        </w:r>
        <w:r w:rsidR="001E10EB" w:rsidRPr="001B4A02">
          <w:delText> </w:delText>
        </w:r>
        <w:r w:rsidRPr="001B4A02">
          <w:delText>% v porovnání s 0,6</w:delText>
        </w:r>
        <w:r w:rsidR="001E10EB" w:rsidRPr="001B4A02">
          <w:delText> </w:delText>
        </w:r>
        <w:r w:rsidRPr="001B4A02">
          <w:delText>% v případech, kdy byl adalimumab podáván spolu s léčbou methotrexátem.</w:delText>
        </w:r>
      </w:del>
    </w:p>
    <w:p w14:paraId="508A342F" w14:textId="77777777" w:rsidR="00073F8F" w:rsidRPr="001B4A02" w:rsidRDefault="00073F8F" w:rsidP="00ED48A3">
      <w:pPr>
        <w:ind w:left="0" w:firstLine="0"/>
        <w:rPr>
          <w:del w:id="7372" w:author="AbbVie1" w:date="2025-05-13T09:50:00Z"/>
        </w:rPr>
      </w:pPr>
    </w:p>
    <w:p w14:paraId="6100D859" w14:textId="77777777" w:rsidR="00073F8F" w:rsidRPr="001B4A02" w:rsidRDefault="00000000" w:rsidP="00ED48A3">
      <w:pPr>
        <w:ind w:left="0" w:firstLine="0"/>
        <w:rPr>
          <w:del w:id="7373" w:author="AbbVie1" w:date="2025-05-13T09:50:00Z"/>
        </w:rPr>
      </w:pPr>
      <w:del w:id="7374" w:author="AbbVie1" w:date="2025-05-13T09:50:00Z">
        <w:r w:rsidRPr="001B4A02">
          <w:delText xml:space="preserve">U pacientů s polyartikulární juvenilní idiopatickou artritidou </w:delText>
        </w:r>
        <w:r w:rsidR="00043C57" w:rsidRPr="001B4A02">
          <w:delText xml:space="preserve">ve věku 4 </w:delText>
        </w:r>
        <w:r w:rsidR="00451F21" w:rsidRPr="001B4A02">
          <w:rPr>
            <w:shd w:val="clear" w:color="auto" w:fill="FFFFFF"/>
          </w:rPr>
          <w:delText>až</w:delText>
        </w:r>
        <w:r w:rsidR="00043C57" w:rsidRPr="001B4A02">
          <w:delText xml:space="preserve"> 17 let </w:delText>
        </w:r>
        <w:r w:rsidRPr="001B4A02">
          <w:delText xml:space="preserve">byly protilátky </w:delText>
        </w:r>
        <w:r w:rsidR="00043C57" w:rsidRPr="001B4A02">
          <w:delText xml:space="preserve">proti adalimumabu </w:delText>
        </w:r>
        <w:r w:rsidRPr="001B4A02">
          <w:delText>identifikovány u</w:delText>
        </w:r>
        <w:r w:rsidR="0006352B" w:rsidRPr="001B4A02">
          <w:delText> </w:delText>
        </w:r>
        <w:r w:rsidR="00043C57" w:rsidRPr="001B4A02">
          <w:delText>15,8</w:delText>
        </w:r>
        <w:r w:rsidR="001E10EB" w:rsidRPr="001B4A02">
          <w:delText> </w:delText>
        </w:r>
        <w:r w:rsidR="00043C57" w:rsidRPr="001B4A02">
          <w:delText>% (</w:delText>
        </w:r>
        <w:r w:rsidRPr="001B4A02">
          <w:delText>27 z</w:delText>
        </w:r>
        <w:r w:rsidR="005C2685" w:rsidRPr="001B4A02">
          <w:delText>e</w:delText>
        </w:r>
        <w:r w:rsidR="00043C57" w:rsidRPr="001B4A02">
          <w:delText> </w:delText>
        </w:r>
        <w:r w:rsidRPr="001B4A02">
          <w:delText>171</w:delText>
        </w:r>
        <w:r w:rsidR="00043C57" w:rsidRPr="001B4A02">
          <w:delText>)</w:delText>
        </w:r>
        <w:r w:rsidRPr="001B4A02">
          <w:delText xml:space="preserve"> </w:delText>
        </w:r>
        <w:r w:rsidR="00043C57" w:rsidRPr="001B4A02">
          <w:delText>pacientů</w:delText>
        </w:r>
        <w:r w:rsidRPr="001B4A02">
          <w:delText xml:space="preserve"> léčených adalimumabem. U</w:delText>
        </w:r>
        <w:r w:rsidR="0006352B" w:rsidRPr="001B4A02">
          <w:delText> </w:delText>
        </w:r>
        <w:r w:rsidRPr="001B4A02">
          <w:delText>pacientů, kteří nedostávali současně methotrexát, byla incidence</w:delText>
        </w:r>
        <w:r w:rsidR="00043C57" w:rsidRPr="001B4A02">
          <w:delText xml:space="preserve"> 25,6</w:delText>
        </w:r>
        <w:r w:rsidR="001E10EB" w:rsidRPr="001B4A02">
          <w:delText> </w:delText>
        </w:r>
        <w:r w:rsidR="00043C57" w:rsidRPr="001B4A02">
          <w:delText>%</w:delText>
        </w:r>
        <w:r w:rsidRPr="001B4A02">
          <w:delText xml:space="preserve"> </w:delText>
        </w:r>
        <w:r w:rsidR="00043C57" w:rsidRPr="001B4A02">
          <w:delText>(</w:delText>
        </w:r>
        <w:r w:rsidRPr="001B4A02">
          <w:delText>22 z</w:delText>
        </w:r>
        <w:r w:rsidR="00043C57" w:rsidRPr="001B4A02">
          <w:delText> </w:delText>
        </w:r>
        <w:r w:rsidRPr="001B4A02">
          <w:delText>86</w:delText>
        </w:r>
        <w:r w:rsidR="00043C57" w:rsidRPr="001B4A02">
          <w:delText>)</w:delText>
        </w:r>
        <w:r w:rsidRPr="001B4A02">
          <w:delText xml:space="preserve"> ve srovnání s</w:delText>
        </w:r>
        <w:r w:rsidR="0006352B" w:rsidRPr="001B4A02">
          <w:delText> </w:delText>
        </w:r>
        <w:r w:rsidR="00043C57" w:rsidRPr="001B4A02">
          <w:delText>5,9</w:delText>
        </w:r>
        <w:r w:rsidR="001E10EB" w:rsidRPr="001B4A02">
          <w:delText> </w:delText>
        </w:r>
        <w:r w:rsidR="00043C57" w:rsidRPr="001B4A02">
          <w:delText>%</w:delText>
        </w:r>
        <w:r w:rsidR="006008CB">
          <w:delText xml:space="preserve"> </w:delText>
        </w:r>
        <w:r w:rsidR="00043C57" w:rsidRPr="001B4A02">
          <w:delText>(</w:delText>
        </w:r>
        <w:r w:rsidRPr="001B4A02">
          <w:delText>5 z</w:delText>
        </w:r>
        <w:r w:rsidR="00043C57" w:rsidRPr="001B4A02">
          <w:delText> </w:delText>
        </w:r>
        <w:r w:rsidRPr="001B4A02">
          <w:delText>85</w:delText>
        </w:r>
        <w:r w:rsidR="00043C57" w:rsidRPr="001B4A02">
          <w:delText>)</w:delText>
        </w:r>
        <w:r w:rsidR="00062315" w:rsidRPr="001B4A02">
          <w:delText xml:space="preserve"> </w:delText>
        </w:r>
        <w:r w:rsidRPr="001B4A02">
          <w:delText xml:space="preserve">v případě, kdy byl adalimumab </w:delText>
        </w:r>
        <w:r w:rsidR="00F30DA9" w:rsidRPr="001B4A02">
          <w:delText>po</w:delText>
        </w:r>
        <w:r w:rsidRPr="001B4A02">
          <w:delText>užíván jako doplňková léčba k</w:delText>
        </w:r>
        <w:r w:rsidR="0006352B" w:rsidRPr="001B4A02">
          <w:delText> </w:delText>
        </w:r>
        <w:r w:rsidRPr="001B4A02">
          <w:delText>methotrexátu.</w:delText>
        </w:r>
        <w:r w:rsidR="00BB401D" w:rsidRPr="001B4A02">
          <w:delText xml:space="preserve"> U</w:delText>
        </w:r>
        <w:r w:rsidR="0006352B" w:rsidRPr="001B4A02">
          <w:delText> </w:delText>
        </w:r>
        <w:r w:rsidR="00BB401D" w:rsidRPr="001B4A02">
          <w:delText>pacientů s polyartikulární juvenilní idiopatick</w:delText>
        </w:r>
        <w:r w:rsidR="00A367AA" w:rsidRPr="001B4A02">
          <w:delText>o</w:delText>
        </w:r>
        <w:r w:rsidR="00BB401D" w:rsidRPr="001B4A02">
          <w:delText xml:space="preserve">u artritidou ve věku </w:delText>
        </w:r>
        <w:r w:rsidR="00BB401D" w:rsidRPr="001B4A02">
          <w:rPr>
            <w:szCs w:val="22"/>
          </w:rPr>
          <w:delText>2 až &lt;</w:delText>
        </w:r>
        <w:r w:rsidR="007375A0" w:rsidRPr="001B4A02">
          <w:rPr>
            <w:szCs w:val="22"/>
          </w:rPr>
          <w:delText> </w:delText>
        </w:r>
        <w:r w:rsidR="00BB401D" w:rsidRPr="001B4A02">
          <w:rPr>
            <w:szCs w:val="22"/>
          </w:rPr>
          <w:delText xml:space="preserve">4 roky </w:delText>
        </w:r>
        <w:r w:rsidR="00E83257" w:rsidRPr="001B4A02">
          <w:rPr>
            <w:szCs w:val="22"/>
          </w:rPr>
          <w:delText>nebo</w:delText>
        </w:r>
        <w:r w:rsidR="00BB401D" w:rsidRPr="001B4A02">
          <w:rPr>
            <w:szCs w:val="22"/>
          </w:rPr>
          <w:delText xml:space="preserve"> ve věku 4 roky</w:delText>
        </w:r>
        <w:r w:rsidR="002378E0">
          <w:rPr>
            <w:szCs w:val="22"/>
          </w:rPr>
          <w:delText xml:space="preserve"> a </w:delText>
        </w:r>
        <w:r w:rsidR="00E83257" w:rsidRPr="001B4A02">
          <w:rPr>
            <w:szCs w:val="22"/>
          </w:rPr>
          <w:delText>starší</w:delText>
        </w:r>
        <w:r w:rsidR="00BB401D" w:rsidRPr="001B4A02">
          <w:rPr>
            <w:szCs w:val="22"/>
          </w:rPr>
          <w:delText xml:space="preserve"> s tělesnou hmotností &lt;</w:delText>
        </w:r>
        <w:r w:rsidR="007375A0" w:rsidRPr="001B4A02">
          <w:rPr>
            <w:szCs w:val="22"/>
          </w:rPr>
          <w:delText> </w:delText>
        </w:r>
        <w:r w:rsidR="00BB401D" w:rsidRPr="001B4A02">
          <w:rPr>
            <w:szCs w:val="22"/>
          </w:rPr>
          <w:delText>15</w:delText>
        </w:r>
        <w:r w:rsidR="002767FC">
          <w:rPr>
            <w:szCs w:val="22"/>
          </w:rPr>
          <w:delText> kg</w:delText>
        </w:r>
        <w:r w:rsidR="00BB401D" w:rsidRPr="001B4A02">
          <w:rPr>
            <w:szCs w:val="22"/>
          </w:rPr>
          <w:delText xml:space="preserve"> byly protilátky proti adalimumabu identifikovány u</w:delText>
        </w:r>
        <w:r w:rsidR="0006352B" w:rsidRPr="001B4A02">
          <w:rPr>
            <w:szCs w:val="22"/>
          </w:rPr>
          <w:delText> </w:delText>
        </w:r>
        <w:r w:rsidR="00BB401D" w:rsidRPr="001B4A02">
          <w:rPr>
            <w:szCs w:val="22"/>
          </w:rPr>
          <w:delText>7 % (1 z</w:delText>
        </w:r>
        <w:r w:rsidR="0006352B" w:rsidRPr="001B4A02">
          <w:rPr>
            <w:szCs w:val="22"/>
          </w:rPr>
          <w:delText> </w:delText>
        </w:r>
        <w:r w:rsidR="00BB401D" w:rsidRPr="001B4A02">
          <w:rPr>
            <w:szCs w:val="22"/>
          </w:rPr>
          <w:delText>15) pacientů</w:delText>
        </w:r>
        <w:r w:rsidR="002378E0">
          <w:rPr>
            <w:szCs w:val="22"/>
          </w:rPr>
          <w:delText xml:space="preserve"> a </w:delText>
        </w:r>
        <w:r w:rsidR="00BB401D" w:rsidRPr="001B4A02">
          <w:rPr>
            <w:szCs w:val="22"/>
          </w:rPr>
          <w:delText>jeden pacient dostával současně methotrexát.</w:delText>
        </w:r>
      </w:del>
    </w:p>
    <w:p w14:paraId="7878B009" w14:textId="77777777" w:rsidR="00043C57" w:rsidRPr="001B4A02" w:rsidRDefault="00043C57" w:rsidP="00ED48A3">
      <w:pPr>
        <w:ind w:left="0" w:firstLine="0"/>
        <w:rPr>
          <w:del w:id="7375" w:author="AbbVie1" w:date="2025-05-13T09:50:00Z"/>
        </w:rPr>
      </w:pPr>
    </w:p>
    <w:p w14:paraId="49064414" w14:textId="77777777" w:rsidR="00043C57" w:rsidRPr="001B4A02" w:rsidRDefault="00000000" w:rsidP="00ED48A3">
      <w:pPr>
        <w:ind w:left="0" w:firstLine="0"/>
        <w:rPr>
          <w:del w:id="7376" w:author="AbbVie1" w:date="2025-05-13T09:50:00Z"/>
        </w:rPr>
      </w:pPr>
      <w:del w:id="7377" w:author="AbbVie1" w:date="2025-05-13T09:50:00Z">
        <w:r w:rsidRPr="001B4A02">
          <w:delText>U pacientů s ente</w:delText>
        </w:r>
        <w:r w:rsidR="00E44CD4" w:rsidRPr="001B4A02">
          <w:delText>zopatickou</w:delText>
        </w:r>
        <w:r w:rsidR="0006352B" w:rsidRPr="001B4A02">
          <w:delText xml:space="preserve"> </w:delText>
        </w:r>
        <w:r w:rsidRPr="001B4A02">
          <w:delText>artritidou byly protilátky proti adalimumabu identifikovány u</w:delText>
        </w:r>
        <w:r w:rsidR="0006352B" w:rsidRPr="001B4A02">
          <w:delText> </w:delText>
        </w:r>
        <w:r w:rsidRPr="001B4A02">
          <w:delText>10,9</w:delText>
        </w:r>
        <w:r w:rsidR="001E10EB" w:rsidRPr="001B4A02">
          <w:delText> </w:delText>
        </w:r>
        <w:r w:rsidRPr="001B4A02">
          <w:delText>% (5 ze 46) pacientů léčených adalimumabem. U</w:delText>
        </w:r>
        <w:r w:rsidR="0006352B" w:rsidRPr="001B4A02">
          <w:delText> </w:delText>
        </w:r>
        <w:r w:rsidRPr="001B4A02">
          <w:delText xml:space="preserve">pacientů, kteří nebyli současně léčeni </w:delText>
        </w:r>
        <w:r w:rsidR="00B104CE" w:rsidRPr="001B4A02">
          <w:delText>methotrexát</w:delText>
        </w:r>
        <w:r w:rsidRPr="001B4A02">
          <w:delText>em, byla incidence 13,6</w:delText>
        </w:r>
        <w:r w:rsidR="001E10EB" w:rsidRPr="001B4A02">
          <w:delText> </w:delText>
        </w:r>
        <w:r w:rsidRPr="001B4A02">
          <w:delText>% (3 z 22), ve srovnání s 8,3</w:delText>
        </w:r>
        <w:r w:rsidR="001E10EB" w:rsidRPr="001B4A02">
          <w:delText> </w:delText>
        </w:r>
        <w:r w:rsidRPr="001B4A02">
          <w:delText>% (2 z 24), pokud byl adalimumab přidán k </w:delText>
        </w:r>
        <w:r w:rsidR="00B104CE" w:rsidRPr="001B4A02">
          <w:delText>methotrexát</w:delText>
        </w:r>
        <w:r w:rsidRPr="001B4A02">
          <w:delText>u.</w:delText>
        </w:r>
      </w:del>
    </w:p>
    <w:p w14:paraId="106E8205" w14:textId="77777777" w:rsidR="00043C57" w:rsidRPr="001B4A02" w:rsidRDefault="00043C57" w:rsidP="00ED48A3">
      <w:pPr>
        <w:ind w:left="0" w:firstLine="0"/>
        <w:rPr>
          <w:del w:id="7378" w:author="AbbVie1" w:date="2025-05-13T09:50:00Z"/>
        </w:rPr>
      </w:pPr>
    </w:p>
    <w:p w14:paraId="7A7EA99E" w14:textId="77777777" w:rsidR="00073F8F" w:rsidRPr="001B4A02" w:rsidRDefault="00000000" w:rsidP="00ED48A3">
      <w:pPr>
        <w:ind w:left="0" w:firstLine="0"/>
        <w:rPr>
          <w:del w:id="7379" w:author="AbbVie1" w:date="2025-05-13T09:50:00Z"/>
        </w:rPr>
      </w:pPr>
      <w:del w:id="7380" w:author="AbbVie1" w:date="2025-05-13T09:50:00Z">
        <w:r w:rsidRPr="001B4A02">
          <w:delText>U pacientů s psoriatickou artritidou byly protilátky proti adalimumabu identifikovány u 38 ze 376 subjektů (10</w:delText>
        </w:r>
        <w:r w:rsidR="001E10EB" w:rsidRPr="001B4A02">
          <w:delText> </w:delText>
        </w:r>
        <w:r w:rsidRPr="001B4A02">
          <w:delText>%) léčených adalimumabem. U pacientů, kterým nebyl současně podáván methotrexát, byla incidence 13,5</w:delText>
        </w:r>
        <w:r w:rsidR="001E10EB" w:rsidRPr="001B4A02">
          <w:delText> </w:delText>
        </w:r>
        <w:r w:rsidRPr="001B4A02">
          <w:delText>% (24 ze 178 subjektů), ve srovnání s incidencí 7</w:delText>
        </w:r>
        <w:r w:rsidR="001E10EB" w:rsidRPr="001B4A02">
          <w:delText> </w:delText>
        </w:r>
        <w:r w:rsidRPr="001B4A02">
          <w:delText xml:space="preserve">% (14 ze 198 subjektů), kdy byl adalimumab </w:delText>
        </w:r>
        <w:r w:rsidR="00F30DA9" w:rsidRPr="001B4A02">
          <w:delText>po</w:delText>
        </w:r>
        <w:r w:rsidRPr="001B4A02">
          <w:delText>užíván jako doplňkové léčivo k methotrexátu.</w:delText>
        </w:r>
      </w:del>
    </w:p>
    <w:p w14:paraId="683E0E41" w14:textId="77777777" w:rsidR="00073F8F" w:rsidRPr="001B4A02" w:rsidRDefault="00073F8F" w:rsidP="00ED48A3">
      <w:pPr>
        <w:ind w:left="0" w:firstLine="0"/>
        <w:rPr>
          <w:del w:id="7381" w:author="AbbVie1" w:date="2025-05-13T09:50:00Z"/>
        </w:rPr>
      </w:pPr>
    </w:p>
    <w:p w14:paraId="2FB5B732" w14:textId="77777777" w:rsidR="00073F8F" w:rsidRPr="001B4A02" w:rsidRDefault="00000000" w:rsidP="00ED48A3">
      <w:pPr>
        <w:ind w:left="0" w:firstLine="0"/>
        <w:rPr>
          <w:del w:id="7382" w:author="AbbVie1" w:date="2025-05-13T09:50:00Z"/>
        </w:rPr>
      </w:pPr>
      <w:del w:id="7383" w:author="AbbVie1" w:date="2025-05-13T09:50:00Z">
        <w:r w:rsidRPr="001B4A02">
          <w:delText>U pacientů s ankylozující spondylitidou byly protilátky proti adalimumabu identifikovány u 17 ze 204 subjektů (8,3</w:delText>
        </w:r>
        <w:r w:rsidR="001E10EB" w:rsidRPr="001B4A02">
          <w:delText> </w:delText>
        </w:r>
        <w:r w:rsidRPr="001B4A02">
          <w:delText xml:space="preserve">%) </w:delText>
        </w:r>
        <w:r w:rsidR="00927B56" w:rsidRPr="001B4A02">
          <w:delText>léčených</w:delText>
        </w:r>
        <w:r w:rsidRPr="001B4A02">
          <w:delText xml:space="preserve"> adalimumabem. U pacientů, kterým nebyl současně podáván methotrexát, byla incidence 16 ze 185 subjektů (8,6</w:delText>
        </w:r>
        <w:r w:rsidR="001E10EB" w:rsidRPr="001B4A02">
          <w:delText> </w:delText>
        </w:r>
        <w:r w:rsidRPr="001B4A02">
          <w:delText>%), ve srovnání s incidencí 1 z 19 subjektů (5,3</w:delText>
        </w:r>
        <w:r w:rsidR="001E10EB" w:rsidRPr="001B4A02">
          <w:delText> </w:delText>
        </w:r>
        <w:r w:rsidRPr="001B4A02">
          <w:delText xml:space="preserve">%), kdy byl adalimumab </w:delText>
        </w:r>
        <w:r w:rsidR="00F30DA9" w:rsidRPr="001B4A02">
          <w:delText>po</w:delText>
        </w:r>
        <w:r w:rsidRPr="001B4A02">
          <w:delText>užíván jako doplňkové léčivo k methotrexátu.</w:delText>
        </w:r>
      </w:del>
    </w:p>
    <w:p w14:paraId="6941BBFF" w14:textId="77777777" w:rsidR="00073F8F" w:rsidRDefault="00073F8F" w:rsidP="00ED48A3">
      <w:pPr>
        <w:ind w:left="0" w:firstLine="0"/>
        <w:rPr>
          <w:del w:id="7384" w:author="AbbVie1" w:date="2025-05-13T09:50:00Z"/>
        </w:rPr>
      </w:pPr>
    </w:p>
    <w:p w14:paraId="19D626BE" w14:textId="77777777" w:rsidR="009A65BD" w:rsidRDefault="00000000" w:rsidP="00ED48A3">
      <w:pPr>
        <w:ind w:left="0" w:firstLine="0"/>
        <w:rPr>
          <w:del w:id="7385" w:author="AbbVie1" w:date="2025-05-13T09:50:00Z"/>
        </w:rPr>
      </w:pPr>
      <w:del w:id="7386" w:author="AbbVie1" w:date="2025-05-13T09:50:00Z">
        <w:r>
          <w:delText xml:space="preserve">U pacientů s axiální spondylartritidou </w:delText>
        </w:r>
        <w:r>
          <w:rPr>
            <w:szCs w:val="22"/>
          </w:rPr>
          <w:delText>bez radiologického průkazu</w:delText>
        </w:r>
        <w:r>
          <w:delText xml:space="preserve"> byly protilátky proti adalimumabu identifikovány u 8 ze 152 subjektů (5,3</w:delText>
        </w:r>
        <w:r w:rsidR="006008CB">
          <w:delText> %</w:delText>
        </w:r>
        <w:r>
          <w:delText xml:space="preserve">) léčených </w:delText>
        </w:r>
        <w:r w:rsidR="004C629D">
          <w:delText xml:space="preserve">kontinuálně </w:delText>
        </w:r>
        <w:r>
          <w:delText>adalimumabem.</w:delText>
        </w:r>
      </w:del>
    </w:p>
    <w:p w14:paraId="4798F93A" w14:textId="77777777" w:rsidR="00FD6C45" w:rsidRPr="001B4A02" w:rsidRDefault="00FD6C45" w:rsidP="00ED48A3">
      <w:pPr>
        <w:ind w:left="0" w:firstLine="0"/>
        <w:rPr>
          <w:del w:id="7387" w:author="AbbVie1" w:date="2025-05-13T09:50:00Z"/>
        </w:rPr>
      </w:pPr>
    </w:p>
    <w:p w14:paraId="529DF45F" w14:textId="77777777" w:rsidR="00073F8F" w:rsidRPr="001B4A02" w:rsidRDefault="00000000" w:rsidP="00ED48A3">
      <w:pPr>
        <w:ind w:left="0" w:firstLine="0"/>
        <w:rPr>
          <w:del w:id="7388" w:author="AbbVie1" w:date="2025-05-13T09:50:00Z"/>
        </w:rPr>
      </w:pPr>
      <w:del w:id="7389" w:author="AbbVie1" w:date="2025-05-13T09:50:00Z">
        <w:r w:rsidRPr="001B4A02">
          <w:delText>U pacientů s Crohnovou chorobou byly protilátky proti adalimumabu identifikovány u</w:delText>
        </w:r>
        <w:r w:rsidR="0006352B" w:rsidRPr="001B4A02">
          <w:delText> </w:delText>
        </w:r>
        <w:r w:rsidRPr="001B4A02">
          <w:delText>7 z 269 subjektů (2,6</w:delText>
        </w:r>
        <w:r w:rsidR="001E10EB" w:rsidRPr="001B4A02">
          <w:delText> </w:delText>
        </w:r>
        <w:r w:rsidRPr="001B4A02">
          <w:delText>%)</w:delText>
        </w:r>
        <w:r w:rsidR="002378E0">
          <w:delText xml:space="preserve"> a </w:delText>
        </w:r>
        <w:r w:rsidR="00BC3C3A" w:rsidRPr="001B4A02">
          <w:delText>u pacientů s ulcerózní kolitidou byly protilátky proti adalimumabu identifikovány u 19 z 487 subjektů (3,9 %)</w:delText>
        </w:r>
        <w:r w:rsidRPr="001B4A02">
          <w:delText>.</w:delText>
        </w:r>
      </w:del>
    </w:p>
    <w:p w14:paraId="10B4B33C" w14:textId="77777777" w:rsidR="00073F8F" w:rsidRPr="001B4A02" w:rsidRDefault="00073F8F" w:rsidP="00ED48A3">
      <w:pPr>
        <w:ind w:left="0" w:firstLine="0"/>
        <w:rPr>
          <w:del w:id="7390" w:author="AbbVie1" w:date="2025-05-13T09:50:00Z"/>
        </w:rPr>
      </w:pPr>
    </w:p>
    <w:p w14:paraId="7F4CCCA6" w14:textId="77777777" w:rsidR="00073F8F" w:rsidRPr="001B4A02" w:rsidRDefault="00000000" w:rsidP="00ED48A3">
      <w:pPr>
        <w:pStyle w:val="EMEANormal"/>
        <w:tabs>
          <w:tab w:val="clear" w:pos="562"/>
        </w:tabs>
        <w:suppressAutoHyphens w:val="0"/>
        <w:rPr>
          <w:del w:id="7391" w:author="AbbVie1" w:date="2025-05-13T09:50:00Z"/>
          <w:lang w:val="cs-CZ"/>
        </w:rPr>
      </w:pPr>
      <w:del w:id="7392" w:author="AbbVie1" w:date="2025-05-13T09:50:00Z">
        <w:r w:rsidRPr="001B4A02">
          <w:rPr>
            <w:lang w:val="cs-CZ"/>
          </w:rPr>
          <w:delText xml:space="preserve">U </w:delText>
        </w:r>
        <w:r w:rsidR="00483076" w:rsidRPr="001B4A02">
          <w:rPr>
            <w:lang w:val="cs-CZ"/>
          </w:rPr>
          <w:delText xml:space="preserve">dospělých </w:delText>
        </w:r>
        <w:r w:rsidRPr="001B4A02">
          <w:rPr>
            <w:lang w:val="cs-CZ"/>
          </w:rPr>
          <w:delText>pacientů s psoriázou byly protilátky proti adalimumabu identifikovány u</w:delText>
        </w:r>
        <w:r w:rsidR="0006352B" w:rsidRPr="001B4A02">
          <w:rPr>
            <w:lang w:val="cs-CZ"/>
          </w:rPr>
          <w:delText> </w:delText>
        </w:r>
        <w:r w:rsidRPr="001B4A02">
          <w:rPr>
            <w:lang w:val="cs-CZ"/>
          </w:rPr>
          <w:delText>77 z</w:delText>
        </w:r>
        <w:r w:rsidR="0006352B" w:rsidRPr="001B4A02">
          <w:rPr>
            <w:lang w:val="cs-CZ"/>
          </w:rPr>
          <w:delText> </w:delText>
        </w:r>
        <w:r w:rsidRPr="001B4A02">
          <w:rPr>
            <w:lang w:val="cs-CZ"/>
          </w:rPr>
          <w:delText>920 subjektů (8,4</w:delText>
        </w:r>
        <w:r w:rsidR="001E10EB" w:rsidRPr="001B4A02">
          <w:rPr>
            <w:lang w:val="cs-CZ"/>
          </w:rPr>
          <w:delText> </w:delText>
        </w:r>
        <w:r w:rsidRPr="001B4A02">
          <w:rPr>
            <w:lang w:val="cs-CZ"/>
          </w:rPr>
          <w:delText>%)</w:delText>
        </w:r>
        <w:r w:rsidR="002525FD" w:rsidRPr="002525FD">
          <w:rPr>
            <w:lang w:val="cs-CZ"/>
          </w:rPr>
          <w:delText xml:space="preserve"> </w:delText>
        </w:r>
        <w:r w:rsidR="002525FD">
          <w:rPr>
            <w:lang w:val="cs-CZ"/>
          </w:rPr>
          <w:delText>léčených adalimumabem v monoterapii</w:delText>
        </w:r>
        <w:r w:rsidRPr="001B4A02">
          <w:rPr>
            <w:lang w:val="cs-CZ"/>
          </w:rPr>
          <w:delText>.</w:delText>
        </w:r>
      </w:del>
    </w:p>
    <w:p w14:paraId="405403ED" w14:textId="77777777" w:rsidR="00EC31FC" w:rsidRPr="001B4A02" w:rsidRDefault="00EC31FC" w:rsidP="00ED48A3">
      <w:pPr>
        <w:pStyle w:val="EMEANormal"/>
        <w:tabs>
          <w:tab w:val="clear" w:pos="562"/>
        </w:tabs>
        <w:suppressAutoHyphens w:val="0"/>
        <w:rPr>
          <w:del w:id="7393" w:author="AbbVie1" w:date="2025-05-13T09:50:00Z"/>
          <w:lang w:val="cs-CZ"/>
        </w:rPr>
      </w:pPr>
    </w:p>
    <w:p w14:paraId="72276C3E" w14:textId="77777777" w:rsidR="00073F8F" w:rsidRPr="001B4A02" w:rsidRDefault="00000000" w:rsidP="00ED48A3">
      <w:pPr>
        <w:ind w:left="0" w:firstLine="0"/>
        <w:rPr>
          <w:del w:id="7394" w:author="AbbVie1" w:date="2025-05-13T09:50:00Z"/>
        </w:rPr>
      </w:pPr>
      <w:del w:id="7395" w:author="AbbVie1" w:date="2025-05-13T09:50:00Z">
        <w:r w:rsidRPr="001B4A02">
          <w:delText xml:space="preserve">U </w:delText>
        </w:r>
        <w:r w:rsidR="00483076" w:rsidRPr="001B4A02">
          <w:delText xml:space="preserve">dospělých </w:delText>
        </w:r>
        <w:r w:rsidRPr="001B4A02">
          <w:delText>pacientů s</w:delText>
        </w:r>
        <w:r w:rsidR="0006352B" w:rsidRPr="001B4A02">
          <w:delText> </w:delText>
        </w:r>
        <w:r w:rsidRPr="001B4A02">
          <w:delText>ložiskovou psoriázou, léčených dlouhodobě adalimumabem v monoterapii, kteří se účastnili studie, ve které byl adalimumab vysazen</w:delText>
        </w:r>
        <w:r w:rsidR="002378E0">
          <w:delText xml:space="preserve"> a </w:delText>
        </w:r>
        <w:r w:rsidRPr="001B4A02">
          <w:delText xml:space="preserve">opětovně nasazen, byl počet protilátek </w:delText>
        </w:r>
        <w:r w:rsidR="001E6DA3" w:rsidRPr="001B4A02">
          <w:delText>proti</w:delText>
        </w:r>
        <w:r w:rsidRPr="001B4A02">
          <w:delText xml:space="preserve"> adalimumab</w:delText>
        </w:r>
        <w:r w:rsidR="001E6DA3" w:rsidRPr="001B4A02">
          <w:delText>u</w:delText>
        </w:r>
        <w:r w:rsidRPr="001B4A02">
          <w:delText xml:space="preserve"> po znovunasazení (</w:delText>
        </w:r>
        <w:r w:rsidR="00743767" w:rsidRPr="001B4A02">
          <w:delText>u</w:delText>
        </w:r>
        <w:r w:rsidR="0006352B" w:rsidRPr="001B4A02">
          <w:delText> </w:delText>
        </w:r>
        <w:r w:rsidR="00743767" w:rsidRPr="001B4A02">
          <w:delText>11 z</w:delText>
        </w:r>
        <w:r w:rsidR="0006352B" w:rsidRPr="001B4A02">
          <w:delText> </w:delText>
        </w:r>
        <w:r w:rsidR="00743767" w:rsidRPr="001B4A02">
          <w:delText>482 pacientů</w:delText>
        </w:r>
        <w:r w:rsidR="006307E1" w:rsidRPr="001B4A02">
          <w:delText xml:space="preserve">, </w:delText>
        </w:r>
        <w:r w:rsidR="006307E1">
          <w:delText>2,3</w:delText>
        </w:r>
        <w:r w:rsidR="006307E1" w:rsidRPr="001B4A02">
          <w:delText> %</w:delText>
        </w:r>
        <w:r w:rsidRPr="001B4A02">
          <w:delText>) podobný jako jejich počet pozorovaný před vysazením lé</w:delText>
        </w:r>
        <w:r w:rsidR="001E6DA3" w:rsidRPr="001B4A02">
          <w:delText>čiva (</w:delText>
        </w:r>
        <w:r w:rsidR="00AA419E" w:rsidRPr="001B4A02">
          <w:delText>u</w:delText>
        </w:r>
        <w:r w:rsidR="0006352B" w:rsidRPr="001B4A02">
          <w:delText> </w:delText>
        </w:r>
        <w:r w:rsidR="00AA419E" w:rsidRPr="001B4A02">
          <w:delText>11 z</w:delText>
        </w:r>
        <w:r w:rsidR="0006352B" w:rsidRPr="001B4A02">
          <w:delText> </w:delText>
        </w:r>
        <w:r w:rsidR="00AA419E" w:rsidRPr="001B4A02">
          <w:delText>590 pacientů</w:delText>
        </w:r>
        <w:r w:rsidR="001E6DA3" w:rsidRPr="001B4A02">
          <w:delText xml:space="preserve">, </w:delText>
        </w:r>
        <w:r w:rsidRPr="001B4A02">
          <w:delText>1,9</w:delText>
        </w:r>
        <w:r w:rsidR="001E10EB" w:rsidRPr="001B4A02">
          <w:delText> </w:delText>
        </w:r>
        <w:r w:rsidRPr="001B4A02">
          <w:delText>%).</w:delText>
        </w:r>
      </w:del>
    </w:p>
    <w:p w14:paraId="6D707BDC" w14:textId="77777777" w:rsidR="00EC31FC" w:rsidRPr="001B4A02" w:rsidRDefault="00EC31FC" w:rsidP="00ED48A3">
      <w:pPr>
        <w:ind w:left="0" w:firstLine="0"/>
        <w:rPr>
          <w:del w:id="7396" w:author="AbbVie1" w:date="2025-05-13T09:50:00Z"/>
        </w:rPr>
      </w:pPr>
    </w:p>
    <w:p w14:paraId="0F4C9226" w14:textId="77777777" w:rsidR="00C93136" w:rsidRPr="001B4A02" w:rsidRDefault="00000000" w:rsidP="00ED48A3">
      <w:pPr>
        <w:ind w:left="0" w:firstLine="0"/>
        <w:rPr>
          <w:del w:id="7397" w:author="AbbVie1" w:date="2025-05-13T09:50:00Z"/>
        </w:rPr>
      </w:pPr>
      <w:del w:id="7398" w:author="AbbVie1" w:date="2025-05-13T09:50:00Z">
        <w:r w:rsidRPr="001B4A02">
          <w:delText>U pediatrických pacientů s psoriázou byly protilátky proti adalimumabu identifikovány u</w:delText>
        </w:r>
        <w:r w:rsidR="0006352B" w:rsidRPr="001B4A02">
          <w:delText> </w:delText>
        </w:r>
        <w:r w:rsidRPr="001B4A02">
          <w:delText>5 ze 38 subjektů (13</w:delText>
        </w:r>
        <w:r w:rsidR="001E10EB" w:rsidRPr="001B4A02">
          <w:delText> </w:delText>
        </w:r>
        <w:r w:rsidRPr="001B4A02">
          <w:delText>%) léčených 0,8</w:delText>
        </w:r>
        <w:r w:rsidR="00294902">
          <w:delText> mg</w:delText>
        </w:r>
        <w:r w:rsidRPr="001B4A02">
          <w:delText>/kg adalimumabu v monoterapii.</w:delText>
        </w:r>
      </w:del>
    </w:p>
    <w:p w14:paraId="078F6C96" w14:textId="77777777" w:rsidR="00C93136" w:rsidRPr="001B4A02" w:rsidRDefault="00C93136" w:rsidP="00ED48A3">
      <w:pPr>
        <w:ind w:left="0" w:firstLine="0"/>
        <w:rPr>
          <w:del w:id="7399" w:author="AbbVie1" w:date="2025-05-13T09:50:00Z"/>
        </w:rPr>
      </w:pPr>
    </w:p>
    <w:p w14:paraId="2445737C" w14:textId="77777777" w:rsidR="00CA1F06" w:rsidRPr="001B4A02" w:rsidRDefault="00000000" w:rsidP="00ED48A3">
      <w:pPr>
        <w:ind w:left="0" w:firstLine="0"/>
        <w:rPr>
          <w:del w:id="7400" w:author="AbbVie1" w:date="2025-05-13T09:50:00Z"/>
        </w:rPr>
      </w:pPr>
      <w:del w:id="7401" w:author="AbbVie1" w:date="2025-05-13T09:50:00Z">
        <w:r w:rsidRPr="001B4A02">
          <w:delText xml:space="preserve">U pacientů se středně </w:delText>
        </w:r>
        <w:r w:rsidR="00CC2F88" w:rsidRPr="001B4A02">
          <w:delText>těžkou až těžkou</w:delText>
        </w:r>
        <w:r w:rsidRPr="001B4A02">
          <w:delText xml:space="preserve"> hidradenitis suppurativa byly protilátky proti adalimumabu identifikovány u</w:delText>
        </w:r>
        <w:r w:rsidR="0006352B" w:rsidRPr="001B4A02">
          <w:delText> </w:delText>
        </w:r>
        <w:r w:rsidRPr="001B4A02">
          <w:delText>10 z</w:delText>
        </w:r>
        <w:r w:rsidR="0006352B" w:rsidRPr="001B4A02">
          <w:delText> </w:delText>
        </w:r>
        <w:r w:rsidRPr="001B4A02">
          <w:delText>99 subjektů (10,1</w:delText>
        </w:r>
        <w:r w:rsidR="001E10EB" w:rsidRPr="001B4A02">
          <w:delText> </w:delText>
        </w:r>
        <w:r w:rsidRPr="001B4A02">
          <w:delText>%) léčených adalimumabem.</w:delText>
        </w:r>
      </w:del>
    </w:p>
    <w:p w14:paraId="176C3058" w14:textId="77777777" w:rsidR="00CA1F06" w:rsidRPr="001B4A02" w:rsidRDefault="00CA1F06" w:rsidP="00ED48A3">
      <w:pPr>
        <w:ind w:left="0" w:firstLine="0"/>
        <w:rPr>
          <w:del w:id="7402" w:author="AbbVie1" w:date="2025-05-13T09:50:00Z"/>
        </w:rPr>
      </w:pPr>
    </w:p>
    <w:p w14:paraId="2C8760B5" w14:textId="77777777" w:rsidR="00D705E0" w:rsidRPr="001B4A02" w:rsidRDefault="00000000" w:rsidP="00ED48A3">
      <w:pPr>
        <w:ind w:left="0" w:firstLine="0"/>
        <w:rPr>
          <w:del w:id="7403" w:author="AbbVie1" w:date="2025-05-13T09:50:00Z"/>
        </w:rPr>
      </w:pPr>
      <w:del w:id="7404" w:author="AbbVie1" w:date="2025-05-13T09:50:00Z">
        <w:r w:rsidRPr="001B4A02">
          <w:delText>U pediatrických pacientů se středně těžkou až těžkou aktivní Crohnovou chorobou byl u</w:delText>
        </w:r>
        <w:r w:rsidR="0006352B" w:rsidRPr="001B4A02">
          <w:delText> </w:delText>
        </w:r>
        <w:r w:rsidRPr="001B4A02">
          <w:delText>pacientů, kteří dostávali adalimumab, počet protilátek proti adalimumabu 3,3</w:delText>
        </w:r>
        <w:r w:rsidR="001E10EB" w:rsidRPr="001B4A02">
          <w:delText> </w:delText>
        </w:r>
        <w:r w:rsidRPr="001B4A02">
          <w:delText>%.</w:delText>
        </w:r>
      </w:del>
    </w:p>
    <w:p w14:paraId="6095D732" w14:textId="77777777" w:rsidR="00D705E0" w:rsidRPr="001B4A02" w:rsidRDefault="00D705E0" w:rsidP="00ED48A3">
      <w:pPr>
        <w:ind w:left="0" w:firstLine="0"/>
        <w:rPr>
          <w:del w:id="7405" w:author="AbbVie1" w:date="2025-05-13T09:50:00Z"/>
        </w:rPr>
      </w:pPr>
    </w:p>
    <w:p w14:paraId="6F6D7207" w14:textId="77777777" w:rsidR="00347436" w:rsidRPr="001B4A02" w:rsidRDefault="00000000" w:rsidP="00ED48A3">
      <w:pPr>
        <w:tabs>
          <w:tab w:val="left" w:pos="1294"/>
        </w:tabs>
        <w:autoSpaceDE w:val="0"/>
        <w:autoSpaceDN w:val="0"/>
        <w:adjustRightInd w:val="0"/>
        <w:ind w:left="0" w:firstLine="0"/>
        <w:rPr>
          <w:del w:id="7406" w:author="AbbVie1" w:date="2025-05-13T09:50:00Z"/>
          <w:bCs/>
          <w:iCs/>
        </w:rPr>
      </w:pPr>
      <w:del w:id="7407" w:author="AbbVie1" w:date="2025-05-13T09:50:00Z">
        <w:r w:rsidRPr="001B4A02">
          <w:rPr>
            <w:bCs/>
            <w:iCs/>
          </w:rPr>
          <w:delText xml:space="preserve">U </w:delText>
        </w:r>
        <w:r w:rsidR="00DB677C" w:rsidRPr="001B4A02">
          <w:rPr>
            <w:bCs/>
            <w:iCs/>
          </w:rPr>
          <w:delText xml:space="preserve">dospělých </w:delText>
        </w:r>
        <w:r w:rsidRPr="001B4A02">
          <w:rPr>
            <w:bCs/>
            <w:iCs/>
          </w:rPr>
          <w:delText xml:space="preserve">pacientů s neinfekční uveitidou </w:delText>
        </w:r>
        <w:r w:rsidRPr="001B4A02">
          <w:delText>byly protilátky proti adalimumabu identifikovány u </w:delText>
        </w:r>
        <w:r w:rsidRPr="001B4A02">
          <w:rPr>
            <w:bCs/>
            <w:iCs/>
          </w:rPr>
          <w:delText>4,8 % (12</w:delText>
        </w:r>
        <w:r w:rsidR="00C3486C" w:rsidRPr="001B4A02">
          <w:rPr>
            <w:bCs/>
            <w:iCs/>
          </w:rPr>
          <w:delText xml:space="preserve"> z </w:delText>
        </w:r>
        <w:r w:rsidRPr="001B4A02">
          <w:rPr>
            <w:bCs/>
            <w:iCs/>
          </w:rPr>
          <w:delText>249) pacientů léčených adalimumabem.</w:delText>
        </w:r>
      </w:del>
    </w:p>
    <w:p w14:paraId="54BC60B7" w14:textId="77777777" w:rsidR="00347436" w:rsidRDefault="00347436" w:rsidP="00ED48A3">
      <w:pPr>
        <w:ind w:left="0" w:firstLine="0"/>
        <w:rPr>
          <w:del w:id="7408" w:author="AbbVie1" w:date="2025-05-13T09:50:00Z"/>
        </w:rPr>
      </w:pPr>
    </w:p>
    <w:p w14:paraId="59D73527" w14:textId="77777777" w:rsidR="00645A20" w:rsidRDefault="00000000" w:rsidP="00645A20">
      <w:pPr>
        <w:ind w:left="0" w:firstLine="0"/>
        <w:rPr>
          <w:del w:id="7409" w:author="AbbVie1" w:date="2025-05-13T09:50:00Z"/>
        </w:rPr>
      </w:pPr>
      <w:del w:id="7410" w:author="AbbVie1" w:date="2025-05-13T09:50:00Z">
        <w:r>
          <w:delText>U </w:delText>
        </w:r>
        <w:r w:rsidR="00457856" w:rsidRPr="001B4A02">
          <w:delText xml:space="preserve">pediatrických </w:delText>
        </w:r>
        <w:r>
          <w:delText>pacientů se středně těžkou až těžkou aktivní ulcerózní kolitidou byl u</w:delText>
        </w:r>
        <w:r w:rsidR="006F04BD" w:rsidRPr="001B4A02">
          <w:rPr>
            <w:szCs w:val="22"/>
          </w:rPr>
          <w:delText> </w:delText>
        </w:r>
        <w:r>
          <w:delText>pacientů, kteří dostávali adalimumab, počet protilátek proti adalimumabu 3</w:delText>
        </w:r>
        <w:r w:rsidR="006F04BD" w:rsidRPr="001B4A02">
          <w:rPr>
            <w:szCs w:val="22"/>
          </w:rPr>
          <w:delText> </w:delText>
        </w:r>
        <w:r>
          <w:delText>%.</w:delText>
        </w:r>
      </w:del>
    </w:p>
    <w:p w14:paraId="301F0FDB" w14:textId="77777777" w:rsidR="00CC1B29" w:rsidRPr="001B4A02" w:rsidRDefault="00CC1B29" w:rsidP="00ED48A3">
      <w:pPr>
        <w:ind w:left="0" w:firstLine="0"/>
        <w:rPr>
          <w:del w:id="7411" w:author="AbbVie1" w:date="2025-05-13T09:50:00Z"/>
        </w:rPr>
      </w:pPr>
    </w:p>
    <w:p w14:paraId="32B0139C" w14:textId="77777777" w:rsidR="00073F8F" w:rsidRPr="001B4A02" w:rsidRDefault="00000000" w:rsidP="00ED48A3">
      <w:pPr>
        <w:ind w:left="0" w:firstLine="0"/>
        <w:rPr>
          <w:del w:id="7412" w:author="AbbVie1" w:date="2025-05-13T09:50:00Z"/>
        </w:rPr>
      </w:pPr>
      <w:del w:id="7413" w:author="AbbVie1" w:date="2025-05-13T09:50:00Z">
        <w:r w:rsidRPr="001B4A02">
          <w:delText>Protože imunogenní analýzy jsou specifické pro příslušný přípravek, není možné kvantitativní srovnání proti jiným přípravkům.</w:delText>
        </w:r>
      </w:del>
    </w:p>
    <w:p w14:paraId="27ED135A" w14:textId="77777777" w:rsidR="00E411FD" w:rsidRPr="001B4A02" w:rsidRDefault="00E411FD" w:rsidP="00ED48A3">
      <w:pPr>
        <w:ind w:left="0" w:firstLine="0"/>
        <w:rPr>
          <w:del w:id="7414" w:author="AbbVie1" w:date="2025-05-13T09:50:00Z"/>
        </w:rPr>
      </w:pPr>
    </w:p>
    <w:p w14:paraId="4D0C28B4" w14:textId="77777777" w:rsidR="007108D9" w:rsidRPr="001B4A02" w:rsidRDefault="00000000" w:rsidP="00ED48A3">
      <w:pPr>
        <w:keepNext/>
        <w:ind w:left="0" w:firstLine="0"/>
        <w:rPr>
          <w:del w:id="7415" w:author="AbbVie1" w:date="2025-05-13T09:50:00Z"/>
          <w:u w:val="single"/>
        </w:rPr>
      </w:pPr>
      <w:del w:id="7416" w:author="AbbVie1" w:date="2025-05-13T09:50:00Z">
        <w:r w:rsidRPr="001B4A02">
          <w:rPr>
            <w:u w:val="single"/>
          </w:rPr>
          <w:delText>Pediatrická populace</w:delText>
        </w:r>
      </w:del>
    </w:p>
    <w:p w14:paraId="66826664" w14:textId="77777777" w:rsidR="007108D9" w:rsidRDefault="007108D9" w:rsidP="00ED48A3">
      <w:pPr>
        <w:keepNext/>
        <w:ind w:left="0" w:firstLine="0"/>
        <w:rPr>
          <w:del w:id="7417" w:author="AbbVie1" w:date="2025-05-13T09:50:00Z"/>
        </w:rPr>
      </w:pPr>
    </w:p>
    <w:p w14:paraId="339F04D6" w14:textId="77777777" w:rsidR="00A26519" w:rsidRPr="001B4A02" w:rsidRDefault="00000000" w:rsidP="00A26519">
      <w:pPr>
        <w:keepNext/>
        <w:ind w:left="0" w:firstLine="0"/>
        <w:rPr>
          <w:del w:id="7418" w:author="AbbVie1" w:date="2025-05-13T09:50:00Z"/>
          <w:i/>
        </w:rPr>
      </w:pPr>
      <w:del w:id="7419" w:author="AbbVie1" w:date="2025-05-13T09:50:00Z">
        <w:r w:rsidRPr="001B4A02">
          <w:rPr>
            <w:i/>
          </w:rPr>
          <w:delText>Juvenilní idiopatická artritida (JIA)</w:delText>
        </w:r>
      </w:del>
    </w:p>
    <w:p w14:paraId="76895EE7" w14:textId="77777777" w:rsidR="00A26519" w:rsidRPr="001B4A02" w:rsidRDefault="00A26519" w:rsidP="00A26519">
      <w:pPr>
        <w:keepNext/>
        <w:ind w:left="0" w:firstLine="0"/>
        <w:rPr>
          <w:del w:id="7420" w:author="AbbVie1" w:date="2025-05-13T09:50:00Z"/>
        </w:rPr>
      </w:pPr>
    </w:p>
    <w:p w14:paraId="0F0AC9F8" w14:textId="77777777" w:rsidR="00A26519" w:rsidRPr="001B4A02" w:rsidRDefault="00000000" w:rsidP="00A26519">
      <w:pPr>
        <w:pStyle w:val="EMEAHeadingUnderline"/>
        <w:keepNext/>
        <w:tabs>
          <w:tab w:val="clear" w:pos="562"/>
          <w:tab w:val="left" w:pos="708"/>
        </w:tabs>
        <w:suppressAutoHyphens w:val="0"/>
        <w:spacing w:beforeLines="0" w:before="0" w:afterLines="0" w:after="0"/>
        <w:rPr>
          <w:del w:id="7421" w:author="AbbVie1" w:date="2025-05-13T09:50:00Z"/>
          <w:i/>
          <w:lang w:val="cs-CZ"/>
        </w:rPr>
      </w:pPr>
      <w:del w:id="7422" w:author="AbbVie1" w:date="2025-05-13T09:50:00Z">
        <w:r w:rsidRPr="001B4A02">
          <w:rPr>
            <w:i/>
            <w:lang w:val="cs-CZ"/>
          </w:rPr>
          <w:delText>Polyartikulární juvenilní idiopatická artritida (pJIA)</w:delText>
        </w:r>
      </w:del>
    </w:p>
    <w:p w14:paraId="2BF2E0EC" w14:textId="77777777" w:rsidR="00A26519" w:rsidRPr="001B4A02" w:rsidRDefault="00A26519" w:rsidP="00A26519">
      <w:pPr>
        <w:keepNext/>
        <w:ind w:left="0" w:firstLine="0"/>
        <w:rPr>
          <w:del w:id="7423" w:author="AbbVie1" w:date="2025-05-13T09:50:00Z"/>
        </w:rPr>
      </w:pPr>
    </w:p>
    <w:p w14:paraId="1FAB8F8F" w14:textId="77777777" w:rsidR="00A26519" w:rsidRPr="001B4A02" w:rsidRDefault="00000000" w:rsidP="00A26519">
      <w:pPr>
        <w:ind w:left="0" w:firstLine="0"/>
        <w:rPr>
          <w:del w:id="7424" w:author="AbbVie1" w:date="2025-05-13T09:50:00Z"/>
        </w:rPr>
      </w:pPr>
      <w:del w:id="7425" w:author="AbbVie1" w:date="2025-05-13T09:50:00Z">
        <w:r w:rsidRPr="001B4A02">
          <w:delText>Bezpečnost</w:delText>
        </w:r>
        <w:r w:rsidR="002378E0">
          <w:delText xml:space="preserve"> a </w:delText>
        </w:r>
        <w:r w:rsidRPr="001B4A02">
          <w:delText>účinnost přípravku Humira byla hodnocena ve dvou studiích (pJIA I</w:delText>
        </w:r>
        <w:r w:rsidR="002378E0">
          <w:delText xml:space="preserve"> a </w:delText>
        </w:r>
        <w:r w:rsidRPr="001B4A02">
          <w:delText>pJIA II) u dětí s aktivní polyartikulární nebo polyartikulárním průběhem juvenilní idiopatické artritidy, které trpěly různými typy výskytu JIA (nejčastěji revmatoidní faktor negativní nebo pozitivní polyartritida</w:delText>
        </w:r>
        <w:r w:rsidR="002378E0">
          <w:delText xml:space="preserve"> a </w:delText>
        </w:r>
        <w:r w:rsidRPr="001B4A02">
          <w:delText>rozšířená oligartritida).</w:delText>
        </w:r>
      </w:del>
    </w:p>
    <w:p w14:paraId="13AF21EA" w14:textId="77777777" w:rsidR="00A26519" w:rsidRPr="001B4A02" w:rsidRDefault="00A26519" w:rsidP="00A26519">
      <w:pPr>
        <w:ind w:left="0" w:firstLine="0"/>
        <w:rPr>
          <w:del w:id="7426" w:author="AbbVie1" w:date="2025-05-13T09:50:00Z"/>
        </w:rPr>
      </w:pPr>
    </w:p>
    <w:p w14:paraId="40B4D3FE" w14:textId="77777777" w:rsidR="00A26519" w:rsidRPr="001B4A02" w:rsidRDefault="00000000" w:rsidP="00A26519">
      <w:pPr>
        <w:keepNext/>
        <w:ind w:left="0" w:firstLine="0"/>
        <w:rPr>
          <w:del w:id="7427" w:author="AbbVie1" w:date="2025-05-13T09:50:00Z"/>
        </w:rPr>
      </w:pPr>
      <w:del w:id="7428" w:author="AbbVie1" w:date="2025-05-13T09:50:00Z">
        <w:r w:rsidRPr="001B4A02">
          <w:delText>pJIA I</w:delText>
        </w:r>
      </w:del>
    </w:p>
    <w:p w14:paraId="743583C6" w14:textId="77777777" w:rsidR="00A26519" w:rsidRPr="001B4A02" w:rsidRDefault="00A26519" w:rsidP="00A26519">
      <w:pPr>
        <w:keepNext/>
        <w:ind w:left="0" w:firstLine="0"/>
        <w:rPr>
          <w:del w:id="7429" w:author="AbbVie1" w:date="2025-05-13T09:50:00Z"/>
        </w:rPr>
      </w:pPr>
    </w:p>
    <w:p w14:paraId="440D2E3A" w14:textId="77777777" w:rsidR="00A26519" w:rsidRPr="001B4A02" w:rsidRDefault="00000000" w:rsidP="00A26519">
      <w:pPr>
        <w:ind w:left="0" w:firstLine="0"/>
        <w:rPr>
          <w:del w:id="7430" w:author="AbbVie1" w:date="2025-05-13T09:50:00Z"/>
        </w:rPr>
      </w:pPr>
      <w:del w:id="7431" w:author="AbbVie1" w:date="2025-05-13T09:50:00Z">
        <w:r w:rsidRPr="001B4A02">
          <w:delText>Bezpečnost</w:delText>
        </w:r>
        <w:r w:rsidR="002378E0">
          <w:delText xml:space="preserve"> a </w:delText>
        </w:r>
        <w:r w:rsidRPr="001B4A02">
          <w:delText>účinnost přípravku Humira byla hodnocena v multicentrické, randomizované, dvojitě zaslepené studii paralelních skupin u 171 dětí (ve věku 4 až 17 let) s polyartikulární JIA. V otevřené úvodní fázi (OL LI, open-label lead in phase) studie byli pacienti rozděleni do dvou skupin, na pacienty léčené MTX (methotrexátem)</w:delText>
        </w:r>
        <w:r w:rsidR="002378E0">
          <w:delText xml:space="preserve"> a </w:delText>
        </w:r>
        <w:r w:rsidRPr="001B4A02">
          <w:delText>pacienty neléčené MTX. Pacienti ve skupině neléčené MTX byli buď dosud neléčení, nebo jim byl MTX vysazen minimálně dva týdny před zahájením léčby sledovaným přípravkem. Pacienti, kteří zůstali na stabilních dávkách NSAID</w:delText>
        </w:r>
        <w:r w:rsidR="002378E0">
          <w:delText xml:space="preserve"> a </w:delText>
        </w:r>
        <w:r w:rsidRPr="001B4A02">
          <w:delText>prednisonu (</w:delText>
        </w:r>
        <w:r w:rsidRPr="001B4A02">
          <w:rPr>
            <w:rFonts w:ascii="Symbol" w:hAnsi="Symbol"/>
          </w:rPr>
          <w:sym w:font="Symbol" w:char="F0A3"/>
        </w:r>
        <w:r>
          <w:delText> </w:delText>
        </w:r>
        <w:r w:rsidRPr="001B4A02">
          <w:delText>0,2</w:delText>
        </w:r>
        <w:r>
          <w:delText> </w:delText>
        </w:r>
        <w:r w:rsidRPr="001B4A02">
          <w:delText>mg/kg/den nebo při maximu 10</w:delText>
        </w:r>
        <w:r w:rsidR="00294902" w:rsidRPr="00005EC2">
          <w:rPr>
            <w:szCs w:val="22"/>
          </w:rPr>
          <w:delText> </w:delText>
        </w:r>
        <w:r w:rsidRPr="001B4A02">
          <w:delText>mg/den). V OL LI fázi dostávali všichni pacienti dávku 24</w:delText>
        </w:r>
        <w:r w:rsidR="00294902" w:rsidRPr="00005EC2">
          <w:rPr>
            <w:szCs w:val="22"/>
          </w:rPr>
          <w:delText> </w:delText>
        </w:r>
        <w:r w:rsidRPr="001B4A02">
          <w:delText>mg/m</w:delText>
        </w:r>
        <w:r w:rsidRPr="001B4A02">
          <w:rPr>
            <w:vertAlign w:val="superscript"/>
          </w:rPr>
          <w:delText xml:space="preserve">2 </w:delText>
        </w:r>
        <w:r w:rsidRPr="001B4A02">
          <w:delText>až do maxima 40</w:delText>
        </w:r>
        <w:r w:rsidR="00294902" w:rsidRPr="00005EC2">
          <w:rPr>
            <w:szCs w:val="22"/>
          </w:rPr>
          <w:delText> </w:delText>
        </w:r>
        <w:r w:rsidRPr="001B4A02">
          <w:delText>mg přípravku Humira každé dva týdny po dobu 16 týdnů. Distribuce pacientů podle věku</w:delText>
        </w:r>
        <w:r w:rsidR="002378E0">
          <w:delText xml:space="preserve"> a </w:delText>
        </w:r>
        <w:r w:rsidRPr="001B4A02">
          <w:delText xml:space="preserve">dále dle toho, zda dostávali minimální, střední nebo maximální dávku v průběhu OL LI fáze studie je znázorněna v tabulce </w:delText>
        </w:r>
        <w:r w:rsidR="00CC1B29">
          <w:delText>25</w:delText>
        </w:r>
        <w:r w:rsidRPr="001B4A02">
          <w:delText>.</w:delText>
        </w:r>
      </w:del>
    </w:p>
    <w:p w14:paraId="48B3451B" w14:textId="77777777" w:rsidR="00A26519" w:rsidRPr="001B4A02" w:rsidRDefault="00A26519" w:rsidP="00A26519">
      <w:pPr>
        <w:ind w:left="0" w:firstLine="0"/>
        <w:rPr>
          <w:del w:id="7432" w:author="AbbVie1" w:date="2025-05-13T09:50:00Z"/>
        </w:rPr>
      </w:pPr>
    </w:p>
    <w:p w14:paraId="206EF514" w14:textId="77777777" w:rsidR="00A26519" w:rsidRPr="001B4A02" w:rsidRDefault="00000000" w:rsidP="00A26519">
      <w:pPr>
        <w:pStyle w:val="BodyTextIndent"/>
        <w:keepNext/>
        <w:ind w:left="110" w:right="53" w:firstLine="0"/>
        <w:jc w:val="center"/>
        <w:rPr>
          <w:del w:id="7433" w:author="AbbVie1" w:date="2025-05-13T09:50:00Z"/>
          <w:bCs/>
          <w:color w:val="auto"/>
          <w:lang w:val="cs-CZ"/>
        </w:rPr>
      </w:pPr>
      <w:del w:id="7434" w:author="AbbVie1" w:date="2025-05-13T09:50:00Z">
        <w:r w:rsidRPr="001B4A02">
          <w:rPr>
            <w:bCs/>
            <w:color w:val="auto"/>
            <w:lang w:val="cs-CZ"/>
          </w:rPr>
          <w:delText xml:space="preserve">Tabulka </w:delText>
        </w:r>
        <w:r w:rsidR="00CC1B29">
          <w:rPr>
            <w:bCs/>
            <w:color w:val="auto"/>
            <w:lang w:val="cs-CZ"/>
          </w:rPr>
          <w:delText>25</w:delText>
        </w:r>
        <w:r w:rsidRPr="001B4A02">
          <w:rPr>
            <w:bCs/>
            <w:color w:val="auto"/>
            <w:lang w:val="cs-CZ"/>
          </w:rPr>
          <w:delText xml:space="preserve"> </w:delText>
        </w:r>
      </w:del>
    </w:p>
    <w:p w14:paraId="5BBCB2B1" w14:textId="77777777" w:rsidR="00A26519" w:rsidRPr="001B4A02" w:rsidRDefault="00000000" w:rsidP="00A26519">
      <w:pPr>
        <w:pStyle w:val="BodyTextIndent"/>
        <w:keepNext/>
        <w:ind w:left="110" w:right="53" w:firstLine="0"/>
        <w:jc w:val="center"/>
        <w:rPr>
          <w:del w:id="7435" w:author="AbbVie1" w:date="2025-05-13T09:50:00Z"/>
          <w:bCs/>
          <w:color w:val="auto"/>
          <w:lang w:val="cs-CZ"/>
        </w:rPr>
      </w:pPr>
      <w:del w:id="7436" w:author="AbbVie1" w:date="2025-05-13T09:50:00Z">
        <w:r w:rsidRPr="001B4A02">
          <w:rPr>
            <w:bCs/>
            <w:color w:val="auto"/>
            <w:lang w:val="cs-CZ"/>
          </w:rPr>
          <w:delText>Distribuce pacientů podle věku</w:delText>
        </w:r>
        <w:r w:rsidR="002378E0">
          <w:rPr>
            <w:bCs/>
            <w:color w:val="auto"/>
            <w:lang w:val="cs-CZ"/>
          </w:rPr>
          <w:delText xml:space="preserve"> a </w:delText>
        </w:r>
        <w:r w:rsidRPr="001B4A02">
          <w:rPr>
            <w:bCs/>
            <w:color w:val="auto"/>
            <w:lang w:val="cs-CZ"/>
          </w:rPr>
          <w:delText>dávky adalimumabu podávané v průběhu OL LI fáze</w:delText>
        </w:r>
      </w:del>
    </w:p>
    <w:p w14:paraId="71201381" w14:textId="77777777" w:rsidR="00A26519" w:rsidRPr="001B4A02" w:rsidRDefault="00A26519" w:rsidP="00A26519">
      <w:pPr>
        <w:pStyle w:val="BodyTextIndent"/>
        <w:keepNext/>
        <w:ind w:left="110" w:right="53" w:firstLine="0"/>
        <w:jc w:val="center"/>
        <w:rPr>
          <w:del w:id="7437" w:author="AbbVie1" w:date="2025-05-13T09:50:00Z"/>
          <w:b w:val="0"/>
          <w:bCs/>
          <w:color w:val="auto"/>
          <w:lang w:val="cs-CZ"/>
        </w:rPr>
      </w:pPr>
    </w:p>
    <w:tbl>
      <w:tblPr>
        <w:tblW w:w="0" w:type="auto"/>
        <w:tblInd w:w="11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62"/>
        <w:gridCol w:w="3425"/>
        <w:gridCol w:w="3164"/>
      </w:tblGrid>
      <w:tr w:rsidR="00534A2D" w14:paraId="40E3850D" w14:textId="77777777" w:rsidTr="00E571F5">
        <w:trPr>
          <w:del w:id="7438" w:author="AbbVie1" w:date="2025-05-13T09:50:00Z"/>
        </w:trPr>
        <w:tc>
          <w:tcPr>
            <w:tcW w:w="2418" w:type="dxa"/>
            <w:tcBorders>
              <w:top w:val="single" w:sz="4" w:space="0" w:color="auto"/>
              <w:left w:val="single" w:sz="4" w:space="0" w:color="auto"/>
              <w:bottom w:val="single" w:sz="4" w:space="0" w:color="auto"/>
              <w:right w:val="single" w:sz="4" w:space="0" w:color="auto"/>
            </w:tcBorders>
          </w:tcPr>
          <w:p w14:paraId="76992895" w14:textId="77777777" w:rsidR="00A26519" w:rsidRPr="001B4A02" w:rsidRDefault="00000000" w:rsidP="00E571F5">
            <w:pPr>
              <w:pStyle w:val="BodyTextIndent"/>
              <w:keepNext/>
              <w:ind w:left="0" w:right="53" w:firstLine="0"/>
              <w:rPr>
                <w:del w:id="7439" w:author="AbbVie1" w:date="2025-05-13T09:50:00Z"/>
                <w:b w:val="0"/>
                <w:bCs/>
                <w:color w:val="auto"/>
                <w:lang w:val="cs-CZ"/>
              </w:rPr>
            </w:pPr>
            <w:del w:id="7440" w:author="AbbVie1" w:date="2025-05-13T09:50:00Z">
              <w:r w:rsidRPr="001B4A02">
                <w:rPr>
                  <w:b w:val="0"/>
                  <w:bCs/>
                  <w:color w:val="auto"/>
                  <w:lang w:val="cs-CZ"/>
                </w:rPr>
                <w:delText>Skupina dle věku</w:delText>
              </w:r>
            </w:del>
          </w:p>
        </w:tc>
        <w:tc>
          <w:tcPr>
            <w:tcW w:w="3520" w:type="dxa"/>
            <w:tcBorders>
              <w:top w:val="single" w:sz="4" w:space="0" w:color="auto"/>
              <w:left w:val="single" w:sz="4" w:space="0" w:color="auto"/>
              <w:bottom w:val="single" w:sz="4" w:space="0" w:color="auto"/>
              <w:right w:val="single" w:sz="4" w:space="0" w:color="auto"/>
            </w:tcBorders>
          </w:tcPr>
          <w:p w14:paraId="6CB6CB8B" w14:textId="77777777" w:rsidR="00A26519" w:rsidRPr="001B4A02" w:rsidRDefault="00000000" w:rsidP="00E571F5">
            <w:pPr>
              <w:pStyle w:val="BodyTextIndent"/>
              <w:keepNext/>
              <w:ind w:left="0" w:right="53" w:firstLine="0"/>
              <w:jc w:val="center"/>
              <w:rPr>
                <w:del w:id="7441" w:author="AbbVie1" w:date="2025-05-13T09:50:00Z"/>
                <w:b w:val="0"/>
                <w:bCs/>
                <w:color w:val="auto"/>
                <w:lang w:val="cs-CZ"/>
              </w:rPr>
            </w:pPr>
            <w:del w:id="7442" w:author="AbbVie1" w:date="2025-05-13T09:50:00Z">
              <w:r w:rsidRPr="001B4A02">
                <w:rPr>
                  <w:b w:val="0"/>
                  <w:bCs/>
                  <w:color w:val="auto"/>
                  <w:lang w:val="cs-CZ"/>
                </w:rPr>
                <w:delText>Počet pacientů ve výchozím stavu n (%)</w:delText>
              </w:r>
            </w:del>
          </w:p>
        </w:tc>
        <w:tc>
          <w:tcPr>
            <w:tcW w:w="3239" w:type="dxa"/>
            <w:tcBorders>
              <w:top w:val="single" w:sz="4" w:space="0" w:color="auto"/>
              <w:left w:val="single" w:sz="4" w:space="0" w:color="auto"/>
              <w:bottom w:val="single" w:sz="4" w:space="0" w:color="auto"/>
              <w:right w:val="single" w:sz="4" w:space="0" w:color="auto"/>
            </w:tcBorders>
          </w:tcPr>
          <w:p w14:paraId="3BAB9798" w14:textId="77777777" w:rsidR="00A26519" w:rsidRPr="001B4A02" w:rsidRDefault="00000000" w:rsidP="00E571F5">
            <w:pPr>
              <w:pStyle w:val="BodyTextIndent"/>
              <w:keepNext/>
              <w:ind w:left="0" w:right="53" w:firstLine="0"/>
              <w:jc w:val="center"/>
              <w:rPr>
                <w:del w:id="7443" w:author="AbbVie1" w:date="2025-05-13T09:50:00Z"/>
                <w:b w:val="0"/>
                <w:bCs/>
                <w:color w:val="auto"/>
                <w:lang w:val="cs-CZ"/>
              </w:rPr>
            </w:pPr>
            <w:del w:id="7444" w:author="AbbVie1" w:date="2025-05-13T09:50:00Z">
              <w:r w:rsidRPr="001B4A02">
                <w:rPr>
                  <w:b w:val="0"/>
                  <w:bCs/>
                  <w:color w:val="auto"/>
                  <w:lang w:val="cs-CZ"/>
                </w:rPr>
                <w:delText>Minimální, střední</w:delText>
              </w:r>
              <w:r w:rsidR="002378E0">
                <w:rPr>
                  <w:b w:val="0"/>
                  <w:bCs/>
                  <w:color w:val="auto"/>
                  <w:lang w:val="cs-CZ"/>
                </w:rPr>
                <w:delText xml:space="preserve"> a </w:delText>
              </w:r>
              <w:r w:rsidRPr="001B4A02">
                <w:rPr>
                  <w:b w:val="0"/>
                  <w:bCs/>
                  <w:color w:val="auto"/>
                  <w:lang w:val="cs-CZ"/>
                </w:rPr>
                <w:delText>maximální dávka</w:delText>
              </w:r>
            </w:del>
          </w:p>
        </w:tc>
      </w:tr>
      <w:tr w:rsidR="00534A2D" w14:paraId="2DBE7418" w14:textId="77777777" w:rsidTr="00E571F5">
        <w:trPr>
          <w:del w:id="7445" w:author="AbbVie1" w:date="2025-05-13T09:50:00Z"/>
        </w:trPr>
        <w:tc>
          <w:tcPr>
            <w:tcW w:w="2418" w:type="dxa"/>
            <w:tcBorders>
              <w:top w:val="single" w:sz="4" w:space="0" w:color="auto"/>
              <w:left w:val="single" w:sz="4" w:space="0" w:color="auto"/>
              <w:bottom w:val="single" w:sz="4" w:space="0" w:color="auto"/>
              <w:right w:val="single" w:sz="4" w:space="0" w:color="auto"/>
            </w:tcBorders>
          </w:tcPr>
          <w:p w14:paraId="73740D99" w14:textId="77777777" w:rsidR="00A26519" w:rsidRPr="001B4A02" w:rsidRDefault="00000000" w:rsidP="00E571F5">
            <w:pPr>
              <w:pStyle w:val="BodyTextIndent"/>
              <w:keepNext/>
              <w:ind w:left="0" w:right="53" w:firstLine="0"/>
              <w:rPr>
                <w:del w:id="7446" w:author="AbbVie1" w:date="2025-05-13T09:50:00Z"/>
                <w:b w:val="0"/>
                <w:bCs/>
                <w:color w:val="auto"/>
                <w:lang w:val="cs-CZ"/>
              </w:rPr>
            </w:pPr>
            <w:del w:id="7447" w:author="AbbVie1" w:date="2025-05-13T09:50:00Z">
              <w:r w:rsidRPr="001B4A02">
                <w:rPr>
                  <w:b w:val="0"/>
                  <w:bCs/>
                  <w:color w:val="auto"/>
                  <w:lang w:val="cs-CZ"/>
                </w:rPr>
                <w:delText>4 až 7 let</w:delText>
              </w:r>
            </w:del>
          </w:p>
        </w:tc>
        <w:tc>
          <w:tcPr>
            <w:tcW w:w="3520" w:type="dxa"/>
            <w:tcBorders>
              <w:top w:val="single" w:sz="4" w:space="0" w:color="auto"/>
              <w:left w:val="single" w:sz="4" w:space="0" w:color="auto"/>
              <w:bottom w:val="single" w:sz="4" w:space="0" w:color="auto"/>
              <w:right w:val="single" w:sz="4" w:space="0" w:color="auto"/>
            </w:tcBorders>
          </w:tcPr>
          <w:p w14:paraId="463AAA88" w14:textId="77777777" w:rsidR="00A26519" w:rsidRPr="001B4A02" w:rsidRDefault="00000000" w:rsidP="00E571F5">
            <w:pPr>
              <w:pStyle w:val="BodyTextIndent"/>
              <w:keepNext/>
              <w:ind w:left="0" w:right="53" w:firstLine="0"/>
              <w:jc w:val="center"/>
              <w:rPr>
                <w:del w:id="7448" w:author="AbbVie1" w:date="2025-05-13T09:50:00Z"/>
                <w:b w:val="0"/>
                <w:bCs/>
                <w:color w:val="auto"/>
                <w:lang w:val="cs-CZ"/>
              </w:rPr>
            </w:pPr>
            <w:del w:id="7449" w:author="AbbVie1" w:date="2025-05-13T09:50:00Z">
              <w:r w:rsidRPr="001B4A02">
                <w:rPr>
                  <w:b w:val="0"/>
                  <w:bCs/>
                  <w:color w:val="auto"/>
                  <w:lang w:val="cs-CZ"/>
                </w:rPr>
                <w:delText>31 (18,1)</w:delText>
              </w:r>
            </w:del>
          </w:p>
        </w:tc>
        <w:tc>
          <w:tcPr>
            <w:tcW w:w="3239" w:type="dxa"/>
            <w:tcBorders>
              <w:top w:val="single" w:sz="4" w:space="0" w:color="auto"/>
              <w:left w:val="single" w:sz="4" w:space="0" w:color="auto"/>
              <w:bottom w:val="single" w:sz="4" w:space="0" w:color="auto"/>
              <w:right w:val="single" w:sz="4" w:space="0" w:color="auto"/>
            </w:tcBorders>
          </w:tcPr>
          <w:p w14:paraId="53ACF84D" w14:textId="77777777" w:rsidR="00A26519" w:rsidRPr="001B4A02" w:rsidRDefault="00000000" w:rsidP="00E571F5">
            <w:pPr>
              <w:pStyle w:val="BodyTextIndent"/>
              <w:keepNext/>
              <w:ind w:left="0" w:right="53" w:firstLine="0"/>
              <w:jc w:val="center"/>
              <w:rPr>
                <w:del w:id="7450" w:author="AbbVie1" w:date="2025-05-13T09:50:00Z"/>
                <w:b w:val="0"/>
                <w:bCs/>
                <w:color w:val="auto"/>
                <w:lang w:val="cs-CZ"/>
              </w:rPr>
            </w:pPr>
            <w:del w:id="7451" w:author="AbbVie1" w:date="2025-05-13T09:50:00Z">
              <w:r w:rsidRPr="001B4A02">
                <w:rPr>
                  <w:b w:val="0"/>
                  <w:bCs/>
                  <w:color w:val="auto"/>
                  <w:lang w:val="cs-CZ"/>
                </w:rPr>
                <w:delText>10, 20</w:delText>
              </w:r>
              <w:r w:rsidR="002378E0">
                <w:rPr>
                  <w:b w:val="0"/>
                  <w:bCs/>
                  <w:color w:val="auto"/>
                  <w:lang w:val="cs-CZ"/>
                </w:rPr>
                <w:delText xml:space="preserve"> a </w:delText>
              </w:r>
              <w:r w:rsidRPr="001B4A02">
                <w:rPr>
                  <w:b w:val="0"/>
                  <w:bCs/>
                  <w:color w:val="auto"/>
                  <w:lang w:val="cs-CZ"/>
                </w:rPr>
                <w:delText>25</w:delText>
              </w:r>
              <w:r w:rsidR="00294902" w:rsidRPr="00005EC2">
                <w:rPr>
                  <w:szCs w:val="22"/>
                </w:rPr>
                <w:delText> </w:delText>
              </w:r>
              <w:r w:rsidRPr="001B4A02">
                <w:rPr>
                  <w:b w:val="0"/>
                  <w:bCs/>
                  <w:color w:val="auto"/>
                  <w:lang w:val="cs-CZ"/>
                </w:rPr>
                <w:delText>mg</w:delText>
              </w:r>
            </w:del>
          </w:p>
        </w:tc>
      </w:tr>
      <w:tr w:rsidR="00534A2D" w14:paraId="53F72C52" w14:textId="77777777" w:rsidTr="00E571F5">
        <w:trPr>
          <w:del w:id="7452" w:author="AbbVie1" w:date="2025-05-13T09:50:00Z"/>
        </w:trPr>
        <w:tc>
          <w:tcPr>
            <w:tcW w:w="2418" w:type="dxa"/>
            <w:tcBorders>
              <w:top w:val="single" w:sz="4" w:space="0" w:color="auto"/>
              <w:left w:val="single" w:sz="4" w:space="0" w:color="auto"/>
              <w:bottom w:val="single" w:sz="4" w:space="0" w:color="auto"/>
              <w:right w:val="single" w:sz="4" w:space="0" w:color="auto"/>
            </w:tcBorders>
          </w:tcPr>
          <w:p w14:paraId="7E78998D" w14:textId="77777777" w:rsidR="00A26519" w:rsidRPr="001B4A02" w:rsidRDefault="00000000" w:rsidP="00E571F5">
            <w:pPr>
              <w:pStyle w:val="BodyTextIndent"/>
              <w:keepNext/>
              <w:ind w:left="0" w:right="53" w:firstLine="0"/>
              <w:rPr>
                <w:del w:id="7453" w:author="AbbVie1" w:date="2025-05-13T09:50:00Z"/>
                <w:b w:val="0"/>
                <w:bCs/>
                <w:color w:val="auto"/>
                <w:lang w:val="cs-CZ"/>
              </w:rPr>
            </w:pPr>
            <w:del w:id="7454" w:author="AbbVie1" w:date="2025-05-13T09:50:00Z">
              <w:r w:rsidRPr="001B4A02">
                <w:rPr>
                  <w:b w:val="0"/>
                  <w:bCs/>
                  <w:color w:val="auto"/>
                  <w:lang w:val="cs-CZ"/>
                </w:rPr>
                <w:delText>8 až 12 let</w:delText>
              </w:r>
            </w:del>
          </w:p>
        </w:tc>
        <w:tc>
          <w:tcPr>
            <w:tcW w:w="3520" w:type="dxa"/>
            <w:tcBorders>
              <w:top w:val="single" w:sz="4" w:space="0" w:color="auto"/>
              <w:left w:val="single" w:sz="4" w:space="0" w:color="auto"/>
              <w:bottom w:val="single" w:sz="4" w:space="0" w:color="auto"/>
              <w:right w:val="single" w:sz="4" w:space="0" w:color="auto"/>
            </w:tcBorders>
          </w:tcPr>
          <w:p w14:paraId="73A7B872" w14:textId="77777777" w:rsidR="00A26519" w:rsidRPr="001B4A02" w:rsidRDefault="00000000" w:rsidP="00E571F5">
            <w:pPr>
              <w:pStyle w:val="BodyTextIndent"/>
              <w:keepNext/>
              <w:ind w:left="0" w:right="53" w:firstLine="0"/>
              <w:jc w:val="center"/>
              <w:rPr>
                <w:del w:id="7455" w:author="AbbVie1" w:date="2025-05-13T09:50:00Z"/>
                <w:b w:val="0"/>
                <w:bCs/>
                <w:color w:val="auto"/>
                <w:lang w:val="cs-CZ"/>
              </w:rPr>
            </w:pPr>
            <w:del w:id="7456" w:author="AbbVie1" w:date="2025-05-13T09:50:00Z">
              <w:r w:rsidRPr="001B4A02">
                <w:rPr>
                  <w:b w:val="0"/>
                  <w:bCs/>
                  <w:color w:val="auto"/>
                  <w:lang w:val="cs-CZ"/>
                </w:rPr>
                <w:delText>71 (41,5)</w:delText>
              </w:r>
            </w:del>
          </w:p>
        </w:tc>
        <w:tc>
          <w:tcPr>
            <w:tcW w:w="3239" w:type="dxa"/>
            <w:tcBorders>
              <w:top w:val="single" w:sz="4" w:space="0" w:color="auto"/>
              <w:left w:val="single" w:sz="4" w:space="0" w:color="auto"/>
              <w:bottom w:val="single" w:sz="4" w:space="0" w:color="auto"/>
              <w:right w:val="single" w:sz="4" w:space="0" w:color="auto"/>
            </w:tcBorders>
          </w:tcPr>
          <w:p w14:paraId="045BE1EE" w14:textId="77777777" w:rsidR="00A26519" w:rsidRPr="001B4A02" w:rsidRDefault="00000000" w:rsidP="00E571F5">
            <w:pPr>
              <w:pStyle w:val="BodyTextIndent"/>
              <w:keepNext/>
              <w:ind w:left="0" w:right="53" w:firstLine="0"/>
              <w:jc w:val="center"/>
              <w:rPr>
                <w:del w:id="7457" w:author="AbbVie1" w:date="2025-05-13T09:50:00Z"/>
                <w:b w:val="0"/>
                <w:bCs/>
                <w:color w:val="auto"/>
                <w:lang w:val="cs-CZ"/>
              </w:rPr>
            </w:pPr>
            <w:del w:id="7458" w:author="AbbVie1" w:date="2025-05-13T09:50:00Z">
              <w:r w:rsidRPr="001B4A02">
                <w:rPr>
                  <w:b w:val="0"/>
                  <w:bCs/>
                  <w:color w:val="auto"/>
                  <w:lang w:val="cs-CZ"/>
                </w:rPr>
                <w:delText>20, 25</w:delText>
              </w:r>
              <w:r w:rsidR="002378E0">
                <w:rPr>
                  <w:b w:val="0"/>
                  <w:bCs/>
                  <w:color w:val="auto"/>
                  <w:lang w:val="cs-CZ"/>
                </w:rPr>
                <w:delText xml:space="preserve"> a </w:delText>
              </w:r>
              <w:r w:rsidRPr="001B4A02">
                <w:rPr>
                  <w:b w:val="0"/>
                  <w:bCs/>
                  <w:color w:val="auto"/>
                  <w:lang w:val="cs-CZ"/>
                </w:rPr>
                <w:delText>40</w:delText>
              </w:r>
              <w:r w:rsidR="00294902" w:rsidRPr="00005EC2">
                <w:rPr>
                  <w:szCs w:val="22"/>
                </w:rPr>
                <w:delText> </w:delText>
              </w:r>
              <w:r w:rsidRPr="001B4A02">
                <w:rPr>
                  <w:b w:val="0"/>
                  <w:bCs/>
                  <w:color w:val="auto"/>
                  <w:lang w:val="cs-CZ"/>
                </w:rPr>
                <w:delText>mg</w:delText>
              </w:r>
            </w:del>
          </w:p>
        </w:tc>
      </w:tr>
      <w:tr w:rsidR="00534A2D" w14:paraId="70AB0A3D" w14:textId="77777777" w:rsidTr="00E571F5">
        <w:trPr>
          <w:del w:id="7459" w:author="AbbVie1" w:date="2025-05-13T09:50:00Z"/>
        </w:trPr>
        <w:tc>
          <w:tcPr>
            <w:tcW w:w="2418" w:type="dxa"/>
            <w:tcBorders>
              <w:top w:val="single" w:sz="4" w:space="0" w:color="auto"/>
              <w:left w:val="single" w:sz="4" w:space="0" w:color="auto"/>
              <w:bottom w:val="single" w:sz="4" w:space="0" w:color="auto"/>
              <w:right w:val="single" w:sz="4" w:space="0" w:color="auto"/>
            </w:tcBorders>
          </w:tcPr>
          <w:p w14:paraId="4C6C1CDB" w14:textId="77777777" w:rsidR="00A26519" w:rsidRPr="001B4A02" w:rsidRDefault="00000000" w:rsidP="00E571F5">
            <w:pPr>
              <w:pStyle w:val="BodyTextIndent"/>
              <w:keepNext/>
              <w:ind w:left="0" w:right="53" w:firstLine="0"/>
              <w:rPr>
                <w:del w:id="7460" w:author="AbbVie1" w:date="2025-05-13T09:50:00Z"/>
                <w:b w:val="0"/>
                <w:bCs/>
                <w:color w:val="auto"/>
                <w:lang w:val="cs-CZ"/>
              </w:rPr>
            </w:pPr>
            <w:del w:id="7461" w:author="AbbVie1" w:date="2025-05-13T09:50:00Z">
              <w:r w:rsidRPr="001B4A02">
                <w:rPr>
                  <w:b w:val="0"/>
                  <w:bCs/>
                  <w:color w:val="auto"/>
                  <w:lang w:val="cs-CZ"/>
                </w:rPr>
                <w:delText>13 až 17 let</w:delText>
              </w:r>
            </w:del>
          </w:p>
        </w:tc>
        <w:tc>
          <w:tcPr>
            <w:tcW w:w="3520" w:type="dxa"/>
            <w:tcBorders>
              <w:top w:val="single" w:sz="4" w:space="0" w:color="auto"/>
              <w:left w:val="single" w:sz="4" w:space="0" w:color="auto"/>
              <w:bottom w:val="single" w:sz="4" w:space="0" w:color="auto"/>
              <w:right w:val="single" w:sz="4" w:space="0" w:color="auto"/>
            </w:tcBorders>
          </w:tcPr>
          <w:p w14:paraId="6A9BD9F1" w14:textId="77777777" w:rsidR="00A26519" w:rsidRPr="001B4A02" w:rsidRDefault="00000000" w:rsidP="00E571F5">
            <w:pPr>
              <w:pStyle w:val="BodyTextIndent"/>
              <w:keepNext/>
              <w:ind w:left="0" w:right="53" w:firstLine="0"/>
              <w:jc w:val="center"/>
              <w:rPr>
                <w:del w:id="7462" w:author="AbbVie1" w:date="2025-05-13T09:50:00Z"/>
                <w:b w:val="0"/>
                <w:bCs/>
                <w:color w:val="auto"/>
                <w:lang w:val="cs-CZ"/>
              </w:rPr>
            </w:pPr>
            <w:del w:id="7463" w:author="AbbVie1" w:date="2025-05-13T09:50:00Z">
              <w:r w:rsidRPr="001B4A02">
                <w:rPr>
                  <w:b w:val="0"/>
                  <w:bCs/>
                  <w:color w:val="auto"/>
                  <w:lang w:val="cs-CZ"/>
                </w:rPr>
                <w:delText>69 (40,4)</w:delText>
              </w:r>
            </w:del>
          </w:p>
        </w:tc>
        <w:tc>
          <w:tcPr>
            <w:tcW w:w="3239" w:type="dxa"/>
            <w:tcBorders>
              <w:top w:val="single" w:sz="4" w:space="0" w:color="auto"/>
              <w:left w:val="single" w:sz="4" w:space="0" w:color="auto"/>
              <w:bottom w:val="single" w:sz="4" w:space="0" w:color="auto"/>
              <w:right w:val="single" w:sz="4" w:space="0" w:color="auto"/>
            </w:tcBorders>
          </w:tcPr>
          <w:p w14:paraId="7804F154" w14:textId="77777777" w:rsidR="00A26519" w:rsidRPr="001B4A02" w:rsidRDefault="00000000" w:rsidP="00E571F5">
            <w:pPr>
              <w:pStyle w:val="BodyTextIndent"/>
              <w:keepNext/>
              <w:ind w:left="0" w:right="53" w:firstLine="0"/>
              <w:jc w:val="center"/>
              <w:rPr>
                <w:del w:id="7464" w:author="AbbVie1" w:date="2025-05-13T09:50:00Z"/>
                <w:b w:val="0"/>
                <w:bCs/>
                <w:color w:val="auto"/>
                <w:lang w:val="cs-CZ"/>
              </w:rPr>
            </w:pPr>
            <w:del w:id="7465" w:author="AbbVie1" w:date="2025-05-13T09:50:00Z">
              <w:r w:rsidRPr="001B4A02">
                <w:rPr>
                  <w:b w:val="0"/>
                  <w:bCs/>
                  <w:color w:val="auto"/>
                  <w:lang w:val="cs-CZ"/>
                </w:rPr>
                <w:delText>25, 40</w:delText>
              </w:r>
              <w:r w:rsidR="002378E0">
                <w:rPr>
                  <w:b w:val="0"/>
                  <w:bCs/>
                  <w:color w:val="auto"/>
                  <w:lang w:val="cs-CZ"/>
                </w:rPr>
                <w:delText xml:space="preserve"> a </w:delText>
              </w:r>
              <w:r w:rsidRPr="001B4A02">
                <w:rPr>
                  <w:b w:val="0"/>
                  <w:bCs/>
                  <w:color w:val="auto"/>
                  <w:lang w:val="cs-CZ"/>
                </w:rPr>
                <w:delText>40</w:delText>
              </w:r>
              <w:r w:rsidR="00294902" w:rsidRPr="00005EC2">
                <w:rPr>
                  <w:szCs w:val="22"/>
                </w:rPr>
                <w:delText> </w:delText>
              </w:r>
              <w:r w:rsidRPr="001B4A02">
                <w:rPr>
                  <w:b w:val="0"/>
                  <w:bCs/>
                  <w:color w:val="auto"/>
                  <w:lang w:val="cs-CZ"/>
                </w:rPr>
                <w:delText>mg</w:delText>
              </w:r>
            </w:del>
          </w:p>
        </w:tc>
      </w:tr>
    </w:tbl>
    <w:p w14:paraId="6CB4C78F" w14:textId="77777777" w:rsidR="00A26519" w:rsidRPr="001B4A02" w:rsidRDefault="00A26519" w:rsidP="00A26519">
      <w:pPr>
        <w:ind w:left="0" w:firstLine="0"/>
        <w:rPr>
          <w:del w:id="7466" w:author="AbbVie1" w:date="2025-05-13T09:50:00Z"/>
          <w:bCs/>
        </w:rPr>
      </w:pPr>
    </w:p>
    <w:p w14:paraId="6E58AD76" w14:textId="77777777" w:rsidR="00A26519" w:rsidRPr="001B4A02" w:rsidRDefault="00000000" w:rsidP="00A26519">
      <w:pPr>
        <w:tabs>
          <w:tab w:val="left" w:pos="0"/>
          <w:tab w:val="left" w:pos="6840"/>
        </w:tabs>
        <w:suppressAutoHyphens/>
        <w:autoSpaceDE w:val="0"/>
        <w:autoSpaceDN w:val="0"/>
        <w:adjustRightInd w:val="0"/>
        <w:ind w:left="0" w:right="51" w:firstLine="0"/>
        <w:rPr>
          <w:del w:id="7467" w:author="AbbVie1" w:date="2025-05-13T09:50:00Z"/>
        </w:rPr>
      </w:pPr>
      <w:del w:id="7468" w:author="AbbVie1" w:date="2025-05-13T09:50:00Z">
        <w:r w:rsidRPr="001B4A02">
          <w:delText>Pacienti, kteří vykazovali v týdnu 16 odpověď v pediatrickém (Ped) ACR 30,byli vhodní k randomizaci do dvojitě zaslepené (DB) fáze, kdy dostávali buď přípravek Humira v dávce 24</w:delText>
        </w:r>
        <w:r w:rsidR="00294902" w:rsidRPr="00005EC2">
          <w:rPr>
            <w:szCs w:val="22"/>
          </w:rPr>
          <w:delText> </w:delText>
        </w:r>
        <w:r w:rsidRPr="001B4A02">
          <w:delText>mg/m</w:delText>
        </w:r>
        <w:r w:rsidRPr="001B4A02">
          <w:rPr>
            <w:vertAlign w:val="superscript"/>
          </w:rPr>
          <w:delText xml:space="preserve">2 </w:delText>
        </w:r>
        <w:r w:rsidRPr="001B4A02">
          <w:delText>až do maximální dávky 40</w:delText>
        </w:r>
        <w:r w:rsidR="00294902" w:rsidRPr="00005EC2">
          <w:rPr>
            <w:szCs w:val="22"/>
          </w:rPr>
          <w:delText> </w:delText>
        </w:r>
        <w:r w:rsidRPr="001B4A02">
          <w:delText>mg, či placebo každý druhý týden po dobu dalších 32 týdnů nebo do doby vzplanutí onemocnění. Kritéria vzplanutí byla definována jako zhoršení o </w:delText>
        </w:r>
        <w:r w:rsidRPr="001B4A02">
          <w:rPr>
            <w:rFonts w:ascii="Symbol" w:hAnsi="Symbol"/>
          </w:rPr>
          <w:sym w:font="Symbol" w:char="F0B3"/>
        </w:r>
        <w:r w:rsidRPr="001B4A02">
          <w:delText> 30 % v porovnání s výchozím stavem u </w:delText>
        </w:r>
        <w:r w:rsidRPr="001B4A02">
          <w:rPr>
            <w:rFonts w:ascii="Symbol" w:hAnsi="Symbol"/>
          </w:rPr>
          <w:sym w:font="Symbol" w:char="F0B3"/>
        </w:r>
        <w:r w:rsidRPr="001B4A02">
          <w:delText xml:space="preserve"> 3 ze 6 hlavních kritérií pediatrického ACR, přítomnost </w:delText>
        </w:r>
        <w:r w:rsidRPr="001B4A02">
          <w:rPr>
            <w:rFonts w:ascii="Symbol" w:hAnsi="Symbol"/>
          </w:rPr>
          <w:sym w:font="Symbol" w:char="F0B3"/>
        </w:r>
        <w:r w:rsidRPr="001B4A02">
          <w:delText> 2 aktivních kloubů</w:delText>
        </w:r>
        <w:r w:rsidR="002378E0">
          <w:delText xml:space="preserve"> a </w:delText>
        </w:r>
        <w:r w:rsidRPr="001B4A02">
          <w:delText>zlepšení o </w:delText>
        </w:r>
        <w:r w:rsidRPr="001B4A02">
          <w:rPr>
            <w:rFonts w:ascii="Symbol" w:hAnsi="Symbol"/>
          </w:rPr>
          <w:sym w:font="Symbol" w:char="F03E"/>
        </w:r>
        <w:r w:rsidRPr="001B4A02">
          <w:delText xml:space="preserve"> 30 % u ne více než 1 ze 6 kritérií. Po 32 týdnech léčby nebo při vzplanutí onemocnění byli pacienti vhodní k zařazení do otevřené prodloužené fáze. </w:delText>
        </w:r>
      </w:del>
    </w:p>
    <w:p w14:paraId="5B037317" w14:textId="77777777" w:rsidR="00A26519" w:rsidRPr="001B4A02" w:rsidRDefault="00A26519" w:rsidP="00A26519">
      <w:pPr>
        <w:ind w:left="0" w:firstLine="0"/>
        <w:rPr>
          <w:del w:id="7469" w:author="AbbVie1" w:date="2025-05-13T09:50:00Z"/>
          <w:bCs/>
        </w:rPr>
      </w:pPr>
    </w:p>
    <w:p w14:paraId="2E631080" w14:textId="77777777" w:rsidR="00A26519" w:rsidRPr="001B4A02" w:rsidRDefault="00000000" w:rsidP="00A26519">
      <w:pPr>
        <w:pStyle w:val="BodyTextIndent"/>
        <w:keepNext/>
        <w:ind w:left="110" w:right="53" w:firstLine="0"/>
        <w:jc w:val="center"/>
        <w:rPr>
          <w:del w:id="7470" w:author="AbbVie1" w:date="2025-05-13T09:50:00Z"/>
          <w:bCs/>
          <w:color w:val="auto"/>
          <w:lang w:val="cs-CZ"/>
        </w:rPr>
      </w:pPr>
      <w:del w:id="7471" w:author="AbbVie1" w:date="2025-05-13T09:50:00Z">
        <w:r w:rsidRPr="001B4A02">
          <w:rPr>
            <w:bCs/>
            <w:color w:val="auto"/>
            <w:lang w:val="cs-CZ"/>
          </w:rPr>
          <w:delText xml:space="preserve">Tabulka </w:delText>
        </w:r>
        <w:r w:rsidR="00CC1B29">
          <w:rPr>
            <w:bCs/>
            <w:color w:val="auto"/>
            <w:lang w:val="cs-CZ"/>
          </w:rPr>
          <w:delText>26</w:delText>
        </w:r>
      </w:del>
    </w:p>
    <w:p w14:paraId="297CBB7E" w14:textId="77777777" w:rsidR="00A26519" w:rsidRPr="001B4A02" w:rsidRDefault="00000000" w:rsidP="00A26519">
      <w:pPr>
        <w:pStyle w:val="BodyTextIndent"/>
        <w:keepNext/>
        <w:ind w:left="110" w:right="53" w:firstLine="0"/>
        <w:jc w:val="center"/>
        <w:rPr>
          <w:del w:id="7472" w:author="AbbVie1" w:date="2025-05-13T09:50:00Z"/>
          <w:bCs/>
          <w:color w:val="auto"/>
          <w:lang w:val="cs-CZ"/>
        </w:rPr>
      </w:pPr>
      <w:del w:id="7473" w:author="AbbVie1" w:date="2025-05-13T09:50:00Z">
        <w:r w:rsidRPr="001B4A02">
          <w:rPr>
            <w:bCs/>
            <w:color w:val="auto"/>
            <w:lang w:val="cs-CZ"/>
          </w:rPr>
          <w:delText>Odpovědi v Ped ACR 30 ve studii s JIA</w:delText>
        </w:r>
      </w:del>
    </w:p>
    <w:p w14:paraId="3131A512" w14:textId="77777777" w:rsidR="00A26519" w:rsidRPr="001B4A02" w:rsidRDefault="00A26519" w:rsidP="00A26519">
      <w:pPr>
        <w:pStyle w:val="BodyTextIndent"/>
        <w:keepNext/>
        <w:ind w:left="110" w:right="53" w:firstLine="0"/>
        <w:jc w:val="center"/>
        <w:rPr>
          <w:del w:id="7474" w:author="AbbVie1" w:date="2025-05-13T09:50:00Z"/>
          <w:b w:val="0"/>
          <w:bCs/>
          <w:color w:val="auto"/>
          <w:lang w:val="cs-CZ"/>
        </w:rPr>
      </w:pPr>
    </w:p>
    <w:tbl>
      <w:tblPr>
        <w:tblW w:w="0" w:type="auto"/>
        <w:tblInd w:w="11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731"/>
        <w:gridCol w:w="1554"/>
        <w:gridCol w:w="1555"/>
        <w:gridCol w:w="1505"/>
        <w:gridCol w:w="1606"/>
      </w:tblGrid>
      <w:tr w:rsidR="00534A2D" w14:paraId="35278292" w14:textId="77777777" w:rsidTr="00E571F5">
        <w:trPr>
          <w:del w:id="7475" w:author="AbbVie1" w:date="2025-05-13T09:50:00Z"/>
        </w:trPr>
        <w:tc>
          <w:tcPr>
            <w:tcW w:w="2833" w:type="dxa"/>
            <w:tcBorders>
              <w:top w:val="single" w:sz="4" w:space="0" w:color="auto"/>
              <w:left w:val="single" w:sz="4" w:space="0" w:color="auto"/>
              <w:bottom w:val="single" w:sz="4" w:space="0" w:color="auto"/>
              <w:right w:val="single" w:sz="4" w:space="0" w:color="auto"/>
            </w:tcBorders>
          </w:tcPr>
          <w:p w14:paraId="58966447" w14:textId="77777777" w:rsidR="00A26519" w:rsidRPr="001B4A02" w:rsidRDefault="00000000" w:rsidP="00E571F5">
            <w:pPr>
              <w:pStyle w:val="BodyTextIndent"/>
              <w:keepNext/>
              <w:ind w:left="0" w:right="53" w:firstLine="0"/>
              <w:rPr>
                <w:del w:id="7476" w:author="AbbVie1" w:date="2025-05-13T09:50:00Z"/>
                <w:b w:val="0"/>
                <w:bCs/>
                <w:color w:val="auto"/>
                <w:lang w:val="cs-CZ"/>
              </w:rPr>
            </w:pPr>
            <w:del w:id="7477" w:author="AbbVie1" w:date="2025-05-13T09:50:00Z">
              <w:r w:rsidRPr="001B4A02">
                <w:rPr>
                  <w:b w:val="0"/>
                  <w:bCs/>
                  <w:color w:val="auto"/>
                  <w:lang w:val="cs-CZ"/>
                </w:rPr>
                <w:delText>Skupina</w:delText>
              </w:r>
            </w:del>
          </w:p>
        </w:tc>
        <w:tc>
          <w:tcPr>
            <w:tcW w:w="3119" w:type="dxa"/>
            <w:gridSpan w:val="2"/>
            <w:tcBorders>
              <w:top w:val="single" w:sz="4" w:space="0" w:color="auto"/>
              <w:left w:val="single" w:sz="4" w:space="0" w:color="auto"/>
              <w:bottom w:val="single" w:sz="4" w:space="0" w:color="auto"/>
              <w:right w:val="single" w:sz="4" w:space="0" w:color="auto"/>
            </w:tcBorders>
          </w:tcPr>
          <w:p w14:paraId="1C91CF3D" w14:textId="77777777" w:rsidR="00A26519" w:rsidRPr="001B4A02" w:rsidRDefault="00000000" w:rsidP="00E571F5">
            <w:pPr>
              <w:pStyle w:val="BodyTextIndent"/>
              <w:keepNext/>
              <w:ind w:left="0" w:right="53" w:firstLine="0"/>
              <w:jc w:val="center"/>
              <w:rPr>
                <w:del w:id="7478" w:author="AbbVie1" w:date="2025-05-13T09:50:00Z"/>
                <w:b w:val="0"/>
                <w:bCs/>
                <w:color w:val="auto"/>
                <w:lang w:val="cs-CZ"/>
              </w:rPr>
            </w:pPr>
            <w:del w:id="7479" w:author="AbbVie1" w:date="2025-05-13T09:50:00Z">
              <w:r w:rsidRPr="001B4A02">
                <w:rPr>
                  <w:b w:val="0"/>
                  <w:bCs/>
                  <w:color w:val="auto"/>
                  <w:lang w:val="cs-CZ"/>
                </w:rPr>
                <w:delText>MTX</w:delText>
              </w:r>
            </w:del>
          </w:p>
        </w:tc>
        <w:tc>
          <w:tcPr>
            <w:tcW w:w="3225" w:type="dxa"/>
            <w:gridSpan w:val="2"/>
            <w:tcBorders>
              <w:top w:val="single" w:sz="4" w:space="0" w:color="auto"/>
              <w:left w:val="single" w:sz="4" w:space="0" w:color="auto"/>
              <w:bottom w:val="single" w:sz="4" w:space="0" w:color="auto"/>
              <w:right w:val="single" w:sz="4" w:space="0" w:color="auto"/>
            </w:tcBorders>
          </w:tcPr>
          <w:p w14:paraId="20C809AA" w14:textId="77777777" w:rsidR="00A26519" w:rsidRPr="001B4A02" w:rsidRDefault="00000000" w:rsidP="00E571F5">
            <w:pPr>
              <w:pStyle w:val="BodyTextIndent"/>
              <w:keepNext/>
              <w:ind w:left="0" w:right="53" w:firstLine="0"/>
              <w:jc w:val="center"/>
              <w:rPr>
                <w:del w:id="7480" w:author="AbbVie1" w:date="2025-05-13T09:50:00Z"/>
                <w:b w:val="0"/>
                <w:bCs/>
                <w:color w:val="auto"/>
                <w:lang w:val="cs-CZ"/>
              </w:rPr>
            </w:pPr>
            <w:del w:id="7481" w:author="AbbVie1" w:date="2025-05-13T09:50:00Z">
              <w:r w:rsidRPr="001B4A02">
                <w:rPr>
                  <w:b w:val="0"/>
                  <w:bCs/>
                  <w:color w:val="auto"/>
                  <w:lang w:val="cs-CZ"/>
                </w:rPr>
                <w:delText>Bez MTX</w:delText>
              </w:r>
            </w:del>
          </w:p>
        </w:tc>
      </w:tr>
      <w:tr w:rsidR="00534A2D" w14:paraId="0EF61C47" w14:textId="77777777" w:rsidTr="00E571F5">
        <w:trPr>
          <w:del w:id="7482" w:author="AbbVie1" w:date="2025-05-13T09:50:00Z"/>
        </w:trPr>
        <w:tc>
          <w:tcPr>
            <w:tcW w:w="2833" w:type="dxa"/>
            <w:tcBorders>
              <w:top w:val="single" w:sz="4" w:space="0" w:color="auto"/>
              <w:left w:val="single" w:sz="4" w:space="0" w:color="auto"/>
              <w:bottom w:val="single" w:sz="4" w:space="0" w:color="auto"/>
              <w:right w:val="single" w:sz="4" w:space="0" w:color="auto"/>
            </w:tcBorders>
          </w:tcPr>
          <w:p w14:paraId="47C8DD47" w14:textId="77777777" w:rsidR="00A26519" w:rsidRPr="001B4A02" w:rsidRDefault="00000000" w:rsidP="00E571F5">
            <w:pPr>
              <w:pStyle w:val="BodyTextIndent"/>
              <w:keepNext/>
              <w:ind w:left="0" w:right="53" w:firstLine="0"/>
              <w:rPr>
                <w:del w:id="7483" w:author="AbbVie1" w:date="2025-05-13T09:50:00Z"/>
                <w:b w:val="0"/>
                <w:bCs/>
                <w:color w:val="auto"/>
                <w:lang w:val="cs-CZ"/>
              </w:rPr>
            </w:pPr>
            <w:del w:id="7484" w:author="AbbVie1" w:date="2025-05-13T09:50:00Z">
              <w:r w:rsidRPr="001B4A02">
                <w:rPr>
                  <w:b w:val="0"/>
                  <w:bCs/>
                  <w:color w:val="auto"/>
                  <w:lang w:val="cs-CZ"/>
                </w:rPr>
                <w:delText>Fáze</w:delText>
              </w:r>
            </w:del>
          </w:p>
        </w:tc>
        <w:tc>
          <w:tcPr>
            <w:tcW w:w="3119" w:type="dxa"/>
            <w:gridSpan w:val="2"/>
            <w:tcBorders>
              <w:top w:val="single" w:sz="4" w:space="0" w:color="auto"/>
              <w:left w:val="single" w:sz="4" w:space="0" w:color="auto"/>
              <w:bottom w:val="single" w:sz="4" w:space="0" w:color="auto"/>
              <w:right w:val="single" w:sz="4" w:space="0" w:color="auto"/>
            </w:tcBorders>
          </w:tcPr>
          <w:p w14:paraId="7FDDB625" w14:textId="77777777" w:rsidR="00A26519" w:rsidRPr="001B4A02" w:rsidRDefault="00A26519" w:rsidP="00E571F5">
            <w:pPr>
              <w:pStyle w:val="BodyTextIndent"/>
              <w:keepNext/>
              <w:ind w:left="0" w:right="53" w:firstLine="0"/>
              <w:jc w:val="center"/>
              <w:rPr>
                <w:del w:id="7485" w:author="AbbVie1" w:date="2025-05-13T09:50:00Z"/>
                <w:b w:val="0"/>
                <w:bCs/>
                <w:color w:val="auto"/>
                <w:lang w:val="cs-CZ"/>
              </w:rPr>
            </w:pPr>
          </w:p>
        </w:tc>
        <w:tc>
          <w:tcPr>
            <w:tcW w:w="3225" w:type="dxa"/>
            <w:gridSpan w:val="2"/>
            <w:tcBorders>
              <w:top w:val="single" w:sz="4" w:space="0" w:color="auto"/>
              <w:left w:val="single" w:sz="4" w:space="0" w:color="auto"/>
              <w:bottom w:val="single" w:sz="4" w:space="0" w:color="auto"/>
              <w:right w:val="single" w:sz="4" w:space="0" w:color="auto"/>
            </w:tcBorders>
          </w:tcPr>
          <w:p w14:paraId="77A1A2F9" w14:textId="77777777" w:rsidR="00A26519" w:rsidRPr="001B4A02" w:rsidRDefault="00A26519" w:rsidP="00E571F5">
            <w:pPr>
              <w:pStyle w:val="BodyTextIndent"/>
              <w:keepNext/>
              <w:ind w:left="0" w:right="53" w:firstLine="0"/>
              <w:jc w:val="center"/>
              <w:rPr>
                <w:del w:id="7486" w:author="AbbVie1" w:date="2025-05-13T09:50:00Z"/>
                <w:b w:val="0"/>
                <w:bCs/>
                <w:color w:val="auto"/>
                <w:lang w:val="cs-CZ"/>
              </w:rPr>
            </w:pPr>
          </w:p>
        </w:tc>
      </w:tr>
      <w:tr w:rsidR="00534A2D" w14:paraId="6EC1EB06" w14:textId="77777777" w:rsidTr="00E571F5">
        <w:trPr>
          <w:del w:id="7487" w:author="AbbVie1" w:date="2025-05-13T09:50:00Z"/>
        </w:trPr>
        <w:tc>
          <w:tcPr>
            <w:tcW w:w="2833" w:type="dxa"/>
            <w:tcBorders>
              <w:top w:val="single" w:sz="4" w:space="0" w:color="auto"/>
              <w:left w:val="single" w:sz="4" w:space="0" w:color="auto"/>
              <w:bottom w:val="single" w:sz="4" w:space="0" w:color="auto"/>
              <w:right w:val="single" w:sz="4" w:space="0" w:color="auto"/>
            </w:tcBorders>
          </w:tcPr>
          <w:p w14:paraId="12A77FFA" w14:textId="77777777" w:rsidR="00A26519" w:rsidRPr="001B4A02" w:rsidRDefault="00000000" w:rsidP="00E571F5">
            <w:pPr>
              <w:pStyle w:val="BodyTextIndent"/>
              <w:keepNext/>
              <w:ind w:left="0" w:right="53" w:firstLine="0"/>
              <w:rPr>
                <w:del w:id="7488" w:author="AbbVie1" w:date="2025-05-13T09:50:00Z"/>
                <w:b w:val="0"/>
                <w:bCs/>
                <w:color w:val="auto"/>
                <w:lang w:val="cs-CZ"/>
              </w:rPr>
            </w:pPr>
            <w:del w:id="7489" w:author="AbbVie1" w:date="2025-05-13T09:50:00Z">
              <w:r w:rsidRPr="001B4A02">
                <w:rPr>
                  <w:b w:val="0"/>
                  <w:bCs/>
                  <w:color w:val="auto"/>
                  <w:lang w:val="cs-CZ"/>
                </w:rPr>
                <w:delText>OL-LI 16 týdnů</w:delText>
              </w:r>
            </w:del>
          </w:p>
        </w:tc>
        <w:tc>
          <w:tcPr>
            <w:tcW w:w="3119" w:type="dxa"/>
            <w:gridSpan w:val="2"/>
            <w:tcBorders>
              <w:top w:val="single" w:sz="4" w:space="0" w:color="auto"/>
              <w:left w:val="single" w:sz="4" w:space="0" w:color="auto"/>
              <w:bottom w:val="single" w:sz="4" w:space="0" w:color="auto"/>
              <w:right w:val="single" w:sz="4" w:space="0" w:color="auto"/>
            </w:tcBorders>
          </w:tcPr>
          <w:p w14:paraId="3EE5456E" w14:textId="77777777" w:rsidR="00A26519" w:rsidRPr="001B4A02" w:rsidRDefault="00A26519" w:rsidP="00E571F5">
            <w:pPr>
              <w:pStyle w:val="BodyTextIndent"/>
              <w:keepNext/>
              <w:ind w:left="0" w:right="53" w:firstLine="0"/>
              <w:jc w:val="center"/>
              <w:rPr>
                <w:del w:id="7490" w:author="AbbVie1" w:date="2025-05-13T09:50:00Z"/>
                <w:b w:val="0"/>
                <w:bCs/>
                <w:color w:val="auto"/>
                <w:lang w:val="cs-CZ"/>
              </w:rPr>
            </w:pPr>
          </w:p>
        </w:tc>
        <w:tc>
          <w:tcPr>
            <w:tcW w:w="3225" w:type="dxa"/>
            <w:gridSpan w:val="2"/>
            <w:tcBorders>
              <w:top w:val="single" w:sz="4" w:space="0" w:color="auto"/>
              <w:left w:val="single" w:sz="4" w:space="0" w:color="auto"/>
              <w:bottom w:val="single" w:sz="4" w:space="0" w:color="auto"/>
              <w:right w:val="single" w:sz="4" w:space="0" w:color="auto"/>
            </w:tcBorders>
          </w:tcPr>
          <w:p w14:paraId="7CA55BDB" w14:textId="77777777" w:rsidR="00A26519" w:rsidRPr="001B4A02" w:rsidRDefault="00A26519" w:rsidP="00E571F5">
            <w:pPr>
              <w:pStyle w:val="BodyTextIndent"/>
              <w:keepNext/>
              <w:ind w:left="0" w:right="53" w:firstLine="0"/>
              <w:jc w:val="center"/>
              <w:rPr>
                <w:del w:id="7491" w:author="AbbVie1" w:date="2025-05-13T09:50:00Z"/>
                <w:b w:val="0"/>
                <w:bCs/>
                <w:color w:val="auto"/>
                <w:lang w:val="cs-CZ"/>
              </w:rPr>
            </w:pPr>
          </w:p>
        </w:tc>
      </w:tr>
      <w:tr w:rsidR="00534A2D" w14:paraId="4A44EE7D" w14:textId="77777777" w:rsidTr="00E571F5">
        <w:trPr>
          <w:del w:id="7492" w:author="AbbVie1" w:date="2025-05-13T09:50:00Z"/>
        </w:trPr>
        <w:tc>
          <w:tcPr>
            <w:tcW w:w="2833" w:type="dxa"/>
            <w:tcBorders>
              <w:top w:val="single" w:sz="4" w:space="0" w:color="auto"/>
              <w:left w:val="single" w:sz="4" w:space="0" w:color="auto"/>
              <w:bottom w:val="single" w:sz="4" w:space="0" w:color="auto"/>
              <w:right w:val="single" w:sz="4" w:space="0" w:color="auto"/>
            </w:tcBorders>
          </w:tcPr>
          <w:p w14:paraId="206238CC" w14:textId="77777777" w:rsidR="00A26519" w:rsidRPr="001B4A02" w:rsidRDefault="00000000" w:rsidP="00E571F5">
            <w:pPr>
              <w:pStyle w:val="BodyTextIndent"/>
              <w:keepNext/>
              <w:ind w:left="316" w:right="53" w:firstLine="0"/>
              <w:rPr>
                <w:del w:id="7493" w:author="AbbVie1" w:date="2025-05-13T09:50:00Z"/>
                <w:b w:val="0"/>
                <w:bCs/>
                <w:color w:val="auto"/>
                <w:lang w:val="cs-CZ"/>
              </w:rPr>
            </w:pPr>
            <w:del w:id="7494" w:author="AbbVie1" w:date="2025-05-13T09:50:00Z">
              <w:r w:rsidRPr="001B4A02">
                <w:rPr>
                  <w:b w:val="0"/>
                  <w:bCs/>
                  <w:color w:val="auto"/>
                  <w:lang w:val="cs-CZ"/>
                </w:rPr>
                <w:delText>Odpovědi Ped ACR 30 (n/N)</w:delText>
              </w:r>
            </w:del>
          </w:p>
        </w:tc>
        <w:tc>
          <w:tcPr>
            <w:tcW w:w="3119" w:type="dxa"/>
            <w:gridSpan w:val="2"/>
            <w:tcBorders>
              <w:top w:val="single" w:sz="4" w:space="0" w:color="auto"/>
              <w:left w:val="single" w:sz="4" w:space="0" w:color="auto"/>
              <w:bottom w:val="single" w:sz="4" w:space="0" w:color="auto"/>
              <w:right w:val="single" w:sz="4" w:space="0" w:color="auto"/>
            </w:tcBorders>
          </w:tcPr>
          <w:p w14:paraId="7329A813" w14:textId="77777777" w:rsidR="00A26519" w:rsidRPr="001B4A02" w:rsidRDefault="00000000" w:rsidP="00E571F5">
            <w:pPr>
              <w:pStyle w:val="BodyTextIndent"/>
              <w:keepNext/>
              <w:ind w:left="0" w:right="53" w:firstLine="0"/>
              <w:jc w:val="center"/>
              <w:rPr>
                <w:del w:id="7495" w:author="AbbVie1" w:date="2025-05-13T09:50:00Z"/>
                <w:b w:val="0"/>
                <w:bCs/>
                <w:color w:val="auto"/>
                <w:lang w:val="cs-CZ"/>
              </w:rPr>
            </w:pPr>
            <w:del w:id="7496" w:author="AbbVie1" w:date="2025-05-13T09:50:00Z">
              <w:r w:rsidRPr="001B4A02">
                <w:rPr>
                  <w:b w:val="0"/>
                  <w:bCs/>
                  <w:color w:val="auto"/>
                  <w:lang w:val="cs-CZ"/>
                </w:rPr>
                <w:delText>94,1</w:delText>
              </w:r>
              <w:r w:rsidRPr="001B4A02">
                <w:rPr>
                  <w:lang w:val="cs-CZ"/>
                </w:rPr>
                <w:delText> </w:delText>
              </w:r>
              <w:r w:rsidRPr="001B4A02">
                <w:rPr>
                  <w:b w:val="0"/>
                  <w:bCs/>
                  <w:color w:val="auto"/>
                  <w:lang w:val="cs-CZ"/>
                </w:rPr>
                <w:delText>% (80/85)</w:delText>
              </w:r>
            </w:del>
          </w:p>
        </w:tc>
        <w:tc>
          <w:tcPr>
            <w:tcW w:w="3225" w:type="dxa"/>
            <w:gridSpan w:val="2"/>
            <w:tcBorders>
              <w:top w:val="single" w:sz="4" w:space="0" w:color="auto"/>
              <w:left w:val="single" w:sz="4" w:space="0" w:color="auto"/>
              <w:bottom w:val="single" w:sz="4" w:space="0" w:color="auto"/>
              <w:right w:val="single" w:sz="4" w:space="0" w:color="auto"/>
            </w:tcBorders>
          </w:tcPr>
          <w:p w14:paraId="2021C310" w14:textId="77777777" w:rsidR="00A26519" w:rsidRPr="001B4A02" w:rsidRDefault="00000000" w:rsidP="00E571F5">
            <w:pPr>
              <w:pStyle w:val="BodyTextIndent"/>
              <w:keepNext/>
              <w:ind w:left="0" w:right="53" w:firstLine="0"/>
              <w:jc w:val="center"/>
              <w:rPr>
                <w:del w:id="7497" w:author="AbbVie1" w:date="2025-05-13T09:50:00Z"/>
                <w:b w:val="0"/>
                <w:bCs/>
                <w:color w:val="auto"/>
                <w:lang w:val="cs-CZ"/>
              </w:rPr>
            </w:pPr>
            <w:del w:id="7498" w:author="AbbVie1" w:date="2025-05-13T09:50:00Z">
              <w:r w:rsidRPr="001B4A02">
                <w:rPr>
                  <w:b w:val="0"/>
                  <w:bCs/>
                  <w:color w:val="auto"/>
                  <w:lang w:val="cs-CZ"/>
                </w:rPr>
                <w:delText>74,4</w:delText>
              </w:r>
              <w:r w:rsidRPr="001B4A02">
                <w:rPr>
                  <w:lang w:val="cs-CZ"/>
                </w:rPr>
                <w:delText> </w:delText>
              </w:r>
              <w:r w:rsidRPr="001B4A02">
                <w:rPr>
                  <w:b w:val="0"/>
                  <w:bCs/>
                  <w:color w:val="auto"/>
                  <w:lang w:val="cs-CZ"/>
                </w:rPr>
                <w:delText>% (64/86)</w:delText>
              </w:r>
            </w:del>
          </w:p>
        </w:tc>
      </w:tr>
      <w:tr w:rsidR="00534A2D" w14:paraId="6DF7EB99" w14:textId="77777777" w:rsidTr="00E571F5">
        <w:trPr>
          <w:del w:id="7499" w:author="AbbVie1" w:date="2025-05-13T09:50:00Z"/>
        </w:trPr>
        <w:tc>
          <w:tcPr>
            <w:tcW w:w="9177" w:type="dxa"/>
            <w:gridSpan w:val="5"/>
            <w:tcBorders>
              <w:top w:val="single" w:sz="4" w:space="0" w:color="auto"/>
              <w:left w:val="single" w:sz="4" w:space="0" w:color="auto"/>
              <w:bottom w:val="single" w:sz="4" w:space="0" w:color="auto"/>
              <w:right w:val="single" w:sz="4" w:space="0" w:color="auto"/>
            </w:tcBorders>
          </w:tcPr>
          <w:p w14:paraId="517E1BA8" w14:textId="77777777" w:rsidR="00A26519" w:rsidRPr="001B4A02" w:rsidRDefault="00000000" w:rsidP="00E571F5">
            <w:pPr>
              <w:pStyle w:val="BodyTextIndent"/>
              <w:keepNext/>
              <w:ind w:left="0" w:right="53" w:firstLine="0"/>
              <w:jc w:val="center"/>
              <w:rPr>
                <w:del w:id="7500" w:author="AbbVie1" w:date="2025-05-13T09:50:00Z"/>
                <w:b w:val="0"/>
                <w:bCs/>
                <w:color w:val="auto"/>
                <w:lang w:val="cs-CZ"/>
              </w:rPr>
            </w:pPr>
            <w:del w:id="7501" w:author="AbbVie1" w:date="2025-05-13T09:50:00Z">
              <w:r w:rsidRPr="001B4A02">
                <w:rPr>
                  <w:b w:val="0"/>
                  <w:bCs/>
                  <w:color w:val="auto"/>
                  <w:lang w:val="cs-CZ"/>
                </w:rPr>
                <w:delText>Výsledky účinnosti</w:delText>
              </w:r>
            </w:del>
          </w:p>
        </w:tc>
      </w:tr>
      <w:tr w:rsidR="00534A2D" w14:paraId="7B090463" w14:textId="77777777" w:rsidTr="00E571F5">
        <w:trPr>
          <w:del w:id="7502" w:author="AbbVie1" w:date="2025-05-13T09:50:00Z"/>
        </w:trPr>
        <w:tc>
          <w:tcPr>
            <w:tcW w:w="2833" w:type="dxa"/>
            <w:tcBorders>
              <w:top w:val="single" w:sz="4" w:space="0" w:color="auto"/>
              <w:left w:val="single" w:sz="4" w:space="0" w:color="auto"/>
              <w:bottom w:val="single" w:sz="4" w:space="0" w:color="auto"/>
              <w:right w:val="single" w:sz="4" w:space="0" w:color="auto"/>
            </w:tcBorders>
          </w:tcPr>
          <w:p w14:paraId="5B16382D" w14:textId="77777777" w:rsidR="00A26519" w:rsidRPr="001B4A02" w:rsidRDefault="00000000" w:rsidP="00E571F5">
            <w:pPr>
              <w:pStyle w:val="BodyTextIndent"/>
              <w:keepNext/>
              <w:ind w:left="0" w:right="53" w:firstLine="0"/>
              <w:rPr>
                <w:del w:id="7503" w:author="AbbVie1" w:date="2025-05-13T09:50:00Z"/>
                <w:b w:val="0"/>
                <w:bCs/>
                <w:color w:val="auto"/>
                <w:lang w:val="cs-CZ"/>
              </w:rPr>
            </w:pPr>
            <w:del w:id="7504" w:author="AbbVie1" w:date="2025-05-13T09:50:00Z">
              <w:r w:rsidRPr="001B4A02">
                <w:rPr>
                  <w:b w:val="0"/>
                  <w:bCs/>
                  <w:color w:val="auto"/>
                  <w:lang w:val="cs-CZ"/>
                </w:rPr>
                <w:delText>Dvojitě zaslepených 32 týdnů</w:delText>
              </w:r>
            </w:del>
          </w:p>
        </w:tc>
        <w:tc>
          <w:tcPr>
            <w:tcW w:w="1560" w:type="dxa"/>
            <w:tcBorders>
              <w:top w:val="single" w:sz="4" w:space="0" w:color="auto"/>
              <w:left w:val="single" w:sz="4" w:space="0" w:color="auto"/>
              <w:bottom w:val="single" w:sz="4" w:space="0" w:color="auto"/>
              <w:right w:val="single" w:sz="4" w:space="0" w:color="auto"/>
            </w:tcBorders>
          </w:tcPr>
          <w:p w14:paraId="7E761041" w14:textId="77777777" w:rsidR="00A26519" w:rsidRPr="001B4A02" w:rsidRDefault="00000000" w:rsidP="00E571F5">
            <w:pPr>
              <w:pStyle w:val="BodyTextIndent"/>
              <w:keepNext/>
              <w:ind w:left="0" w:right="53" w:firstLine="0"/>
              <w:jc w:val="center"/>
              <w:rPr>
                <w:del w:id="7505" w:author="AbbVie1" w:date="2025-05-13T09:50:00Z"/>
                <w:b w:val="0"/>
                <w:bCs/>
                <w:color w:val="auto"/>
                <w:lang w:val="cs-CZ"/>
              </w:rPr>
            </w:pPr>
            <w:del w:id="7506" w:author="AbbVie1" w:date="2025-05-13T09:50:00Z">
              <w:r w:rsidRPr="001B4A02">
                <w:rPr>
                  <w:b w:val="0"/>
                  <w:bCs/>
                  <w:color w:val="auto"/>
                  <w:lang w:val="cs-CZ"/>
                </w:rPr>
                <w:delText>Humira/MTX</w:delText>
              </w:r>
            </w:del>
          </w:p>
          <w:p w14:paraId="125A7BC3" w14:textId="77777777" w:rsidR="00A26519" w:rsidRPr="001B4A02" w:rsidRDefault="00000000" w:rsidP="00E571F5">
            <w:pPr>
              <w:pStyle w:val="BodyTextIndent"/>
              <w:keepNext/>
              <w:ind w:left="0" w:right="53" w:firstLine="0"/>
              <w:jc w:val="center"/>
              <w:rPr>
                <w:del w:id="7507" w:author="AbbVie1" w:date="2025-05-13T09:50:00Z"/>
                <w:b w:val="0"/>
                <w:bCs/>
                <w:color w:val="auto"/>
                <w:lang w:val="cs-CZ"/>
              </w:rPr>
            </w:pPr>
            <w:del w:id="7508" w:author="AbbVie1" w:date="2025-05-13T09:50:00Z">
              <w:r w:rsidRPr="001B4A02">
                <w:rPr>
                  <w:b w:val="0"/>
                  <w:bCs/>
                  <w:color w:val="auto"/>
                  <w:lang w:val="cs-CZ"/>
                </w:rPr>
                <w:delText>(</w:delText>
              </w:r>
              <w:r>
                <w:rPr>
                  <w:b w:val="0"/>
                  <w:bCs/>
                  <w:color w:val="auto"/>
                  <w:lang w:val="cs-CZ"/>
                </w:rPr>
                <w:delText>n</w:delText>
              </w:r>
              <w:r w:rsidRPr="001B4A02">
                <w:rPr>
                  <w:b w:val="0"/>
                  <w:bCs/>
                  <w:color w:val="auto"/>
                  <w:lang w:val="cs-CZ"/>
                </w:rPr>
                <w:delText>=38)</w:delText>
              </w:r>
            </w:del>
          </w:p>
        </w:tc>
        <w:tc>
          <w:tcPr>
            <w:tcW w:w="1559" w:type="dxa"/>
            <w:tcBorders>
              <w:top w:val="single" w:sz="4" w:space="0" w:color="auto"/>
              <w:left w:val="single" w:sz="4" w:space="0" w:color="auto"/>
              <w:bottom w:val="single" w:sz="4" w:space="0" w:color="auto"/>
              <w:right w:val="single" w:sz="4" w:space="0" w:color="auto"/>
            </w:tcBorders>
          </w:tcPr>
          <w:p w14:paraId="344A9BEB" w14:textId="77777777" w:rsidR="00A26519" w:rsidRPr="001B4A02" w:rsidRDefault="00000000" w:rsidP="00E571F5">
            <w:pPr>
              <w:pStyle w:val="BodyTextIndent"/>
              <w:keepNext/>
              <w:ind w:left="0" w:right="53" w:firstLine="0"/>
              <w:jc w:val="center"/>
              <w:rPr>
                <w:del w:id="7509" w:author="AbbVie1" w:date="2025-05-13T09:50:00Z"/>
                <w:b w:val="0"/>
                <w:bCs/>
                <w:color w:val="auto"/>
                <w:lang w:val="cs-CZ"/>
              </w:rPr>
            </w:pPr>
            <w:del w:id="7510" w:author="AbbVie1" w:date="2025-05-13T09:50:00Z">
              <w:r w:rsidRPr="001B4A02">
                <w:rPr>
                  <w:b w:val="0"/>
                  <w:bCs/>
                  <w:color w:val="auto"/>
                  <w:lang w:val="cs-CZ"/>
                </w:rPr>
                <w:delText>Placebo/MTX</w:delText>
              </w:r>
            </w:del>
          </w:p>
          <w:p w14:paraId="2D4C4311" w14:textId="77777777" w:rsidR="00A26519" w:rsidRPr="001B4A02" w:rsidRDefault="00000000" w:rsidP="00E571F5">
            <w:pPr>
              <w:pStyle w:val="BodyTextIndent"/>
              <w:keepNext/>
              <w:ind w:left="0" w:right="53" w:firstLine="0"/>
              <w:jc w:val="center"/>
              <w:rPr>
                <w:del w:id="7511" w:author="AbbVie1" w:date="2025-05-13T09:50:00Z"/>
                <w:b w:val="0"/>
                <w:bCs/>
                <w:color w:val="auto"/>
                <w:lang w:val="cs-CZ"/>
              </w:rPr>
            </w:pPr>
            <w:del w:id="7512" w:author="AbbVie1" w:date="2025-05-13T09:50:00Z">
              <w:r w:rsidRPr="001B4A02">
                <w:rPr>
                  <w:b w:val="0"/>
                  <w:bCs/>
                  <w:color w:val="auto"/>
                  <w:lang w:val="cs-CZ"/>
                </w:rPr>
                <w:delText>(</w:delText>
              </w:r>
              <w:r>
                <w:rPr>
                  <w:b w:val="0"/>
                  <w:bCs/>
                  <w:color w:val="auto"/>
                  <w:lang w:val="cs-CZ"/>
                </w:rPr>
                <w:delText>n</w:delText>
              </w:r>
              <w:r w:rsidRPr="001B4A02">
                <w:rPr>
                  <w:b w:val="0"/>
                  <w:bCs/>
                  <w:color w:val="auto"/>
                  <w:lang w:val="cs-CZ"/>
                </w:rPr>
                <w:delText>=37)</w:delText>
              </w:r>
            </w:del>
          </w:p>
        </w:tc>
        <w:tc>
          <w:tcPr>
            <w:tcW w:w="1559" w:type="dxa"/>
            <w:tcBorders>
              <w:top w:val="single" w:sz="4" w:space="0" w:color="auto"/>
              <w:left w:val="single" w:sz="4" w:space="0" w:color="auto"/>
              <w:bottom w:val="single" w:sz="4" w:space="0" w:color="auto"/>
              <w:right w:val="single" w:sz="4" w:space="0" w:color="auto"/>
            </w:tcBorders>
          </w:tcPr>
          <w:p w14:paraId="61B59B98" w14:textId="77777777" w:rsidR="00A26519" w:rsidRPr="001B4A02" w:rsidRDefault="00000000" w:rsidP="00E571F5">
            <w:pPr>
              <w:pStyle w:val="BodyTextIndent"/>
              <w:keepNext/>
              <w:ind w:left="0" w:right="53" w:firstLine="0"/>
              <w:jc w:val="center"/>
              <w:rPr>
                <w:del w:id="7513" w:author="AbbVie1" w:date="2025-05-13T09:50:00Z"/>
                <w:b w:val="0"/>
                <w:bCs/>
                <w:color w:val="auto"/>
                <w:lang w:val="cs-CZ"/>
              </w:rPr>
            </w:pPr>
            <w:del w:id="7514" w:author="AbbVie1" w:date="2025-05-13T09:50:00Z">
              <w:r w:rsidRPr="001B4A02">
                <w:rPr>
                  <w:b w:val="0"/>
                  <w:bCs/>
                  <w:color w:val="auto"/>
                  <w:lang w:val="cs-CZ"/>
                </w:rPr>
                <w:delText>Humira</w:delText>
              </w:r>
            </w:del>
          </w:p>
          <w:p w14:paraId="0F1F0DCF" w14:textId="77777777" w:rsidR="00A26519" w:rsidRPr="001B4A02" w:rsidRDefault="00000000" w:rsidP="00E571F5">
            <w:pPr>
              <w:pStyle w:val="BodyTextIndent"/>
              <w:keepNext/>
              <w:ind w:left="0" w:right="53" w:firstLine="0"/>
              <w:jc w:val="center"/>
              <w:rPr>
                <w:del w:id="7515" w:author="AbbVie1" w:date="2025-05-13T09:50:00Z"/>
                <w:b w:val="0"/>
                <w:bCs/>
                <w:color w:val="auto"/>
                <w:lang w:val="cs-CZ"/>
              </w:rPr>
            </w:pPr>
            <w:del w:id="7516" w:author="AbbVie1" w:date="2025-05-13T09:50:00Z">
              <w:r w:rsidRPr="001B4A02">
                <w:rPr>
                  <w:b w:val="0"/>
                  <w:bCs/>
                  <w:color w:val="auto"/>
                  <w:lang w:val="cs-CZ"/>
                </w:rPr>
                <w:delText>(</w:delText>
              </w:r>
              <w:r>
                <w:rPr>
                  <w:b w:val="0"/>
                  <w:bCs/>
                  <w:color w:val="auto"/>
                  <w:lang w:val="cs-CZ"/>
                </w:rPr>
                <w:delText>n</w:delText>
              </w:r>
              <w:r w:rsidRPr="001B4A02">
                <w:rPr>
                  <w:b w:val="0"/>
                  <w:bCs/>
                  <w:color w:val="auto"/>
                  <w:lang w:val="cs-CZ"/>
                </w:rPr>
                <w:delText>=30)</w:delText>
              </w:r>
            </w:del>
          </w:p>
        </w:tc>
        <w:tc>
          <w:tcPr>
            <w:tcW w:w="1666" w:type="dxa"/>
            <w:tcBorders>
              <w:top w:val="single" w:sz="4" w:space="0" w:color="auto"/>
              <w:left w:val="single" w:sz="4" w:space="0" w:color="auto"/>
              <w:bottom w:val="single" w:sz="4" w:space="0" w:color="auto"/>
              <w:right w:val="single" w:sz="4" w:space="0" w:color="auto"/>
            </w:tcBorders>
          </w:tcPr>
          <w:p w14:paraId="35616DC8" w14:textId="77777777" w:rsidR="00A26519" w:rsidRPr="001B4A02" w:rsidRDefault="00000000" w:rsidP="00E571F5">
            <w:pPr>
              <w:pStyle w:val="BodyTextIndent"/>
              <w:keepNext/>
              <w:ind w:left="0" w:right="53" w:firstLine="0"/>
              <w:jc w:val="center"/>
              <w:rPr>
                <w:del w:id="7517" w:author="AbbVie1" w:date="2025-05-13T09:50:00Z"/>
                <w:b w:val="0"/>
                <w:bCs/>
                <w:color w:val="auto"/>
                <w:lang w:val="cs-CZ"/>
              </w:rPr>
            </w:pPr>
            <w:del w:id="7518" w:author="AbbVie1" w:date="2025-05-13T09:50:00Z">
              <w:r w:rsidRPr="001B4A02">
                <w:rPr>
                  <w:b w:val="0"/>
                  <w:bCs/>
                  <w:color w:val="auto"/>
                  <w:lang w:val="cs-CZ"/>
                </w:rPr>
                <w:delText>Placebo</w:delText>
              </w:r>
            </w:del>
          </w:p>
          <w:p w14:paraId="75BD523E" w14:textId="77777777" w:rsidR="00A26519" w:rsidRPr="001B4A02" w:rsidRDefault="00000000" w:rsidP="00E571F5">
            <w:pPr>
              <w:pStyle w:val="BodyTextIndent"/>
              <w:keepNext/>
              <w:ind w:left="0" w:right="53" w:firstLine="0"/>
              <w:jc w:val="center"/>
              <w:rPr>
                <w:del w:id="7519" w:author="AbbVie1" w:date="2025-05-13T09:50:00Z"/>
                <w:b w:val="0"/>
                <w:bCs/>
                <w:color w:val="auto"/>
                <w:lang w:val="cs-CZ"/>
              </w:rPr>
            </w:pPr>
            <w:del w:id="7520" w:author="AbbVie1" w:date="2025-05-13T09:50:00Z">
              <w:r w:rsidRPr="001B4A02">
                <w:rPr>
                  <w:b w:val="0"/>
                  <w:bCs/>
                  <w:color w:val="auto"/>
                  <w:lang w:val="cs-CZ"/>
                </w:rPr>
                <w:delText>(</w:delText>
              </w:r>
              <w:r>
                <w:rPr>
                  <w:b w:val="0"/>
                  <w:bCs/>
                  <w:color w:val="auto"/>
                  <w:lang w:val="cs-CZ"/>
                </w:rPr>
                <w:delText>n</w:delText>
              </w:r>
              <w:r w:rsidRPr="001B4A02">
                <w:rPr>
                  <w:b w:val="0"/>
                  <w:bCs/>
                  <w:color w:val="auto"/>
                  <w:lang w:val="cs-CZ"/>
                </w:rPr>
                <w:delText>=28)</w:delText>
              </w:r>
            </w:del>
          </w:p>
        </w:tc>
      </w:tr>
      <w:tr w:rsidR="00534A2D" w14:paraId="0C8AA72B" w14:textId="77777777" w:rsidTr="00E571F5">
        <w:trPr>
          <w:del w:id="7521" w:author="AbbVie1" w:date="2025-05-13T09:50:00Z"/>
        </w:trPr>
        <w:tc>
          <w:tcPr>
            <w:tcW w:w="2833" w:type="dxa"/>
            <w:tcBorders>
              <w:top w:val="single" w:sz="4" w:space="0" w:color="auto"/>
              <w:left w:val="single" w:sz="4" w:space="0" w:color="auto"/>
              <w:bottom w:val="single" w:sz="4" w:space="0" w:color="auto"/>
              <w:right w:val="single" w:sz="4" w:space="0" w:color="auto"/>
            </w:tcBorders>
          </w:tcPr>
          <w:p w14:paraId="23FA5183" w14:textId="77777777" w:rsidR="00A26519" w:rsidRPr="001B4A02" w:rsidRDefault="00000000" w:rsidP="00E571F5">
            <w:pPr>
              <w:pStyle w:val="BodyTextIndent"/>
              <w:keepNext/>
              <w:ind w:left="316" w:right="53" w:firstLine="0"/>
              <w:rPr>
                <w:del w:id="7522" w:author="AbbVie1" w:date="2025-05-13T09:50:00Z"/>
                <w:b w:val="0"/>
                <w:bCs/>
                <w:color w:val="auto"/>
                <w:lang w:val="cs-CZ"/>
              </w:rPr>
            </w:pPr>
            <w:del w:id="7523" w:author="AbbVie1" w:date="2025-05-13T09:50:00Z">
              <w:r w:rsidRPr="001B4A02">
                <w:rPr>
                  <w:b w:val="0"/>
                  <w:bCs/>
                  <w:color w:val="auto"/>
                  <w:lang w:val="cs-CZ"/>
                </w:rPr>
                <w:delText>Vzplanutí onemocnění na konci 32 týdnů</w:delText>
              </w:r>
              <w:r w:rsidRPr="001B4A02">
                <w:rPr>
                  <w:b w:val="0"/>
                  <w:bCs/>
                  <w:color w:val="auto"/>
                  <w:vertAlign w:val="superscript"/>
                  <w:lang w:val="cs-CZ"/>
                </w:rPr>
                <w:delText>a</w:delText>
              </w:r>
              <w:r w:rsidRPr="001B4A02">
                <w:rPr>
                  <w:b w:val="0"/>
                  <w:bCs/>
                  <w:color w:val="auto"/>
                  <w:lang w:val="cs-CZ"/>
                </w:rPr>
                <w:delText xml:space="preserve"> (n/N)</w:delText>
              </w:r>
            </w:del>
          </w:p>
        </w:tc>
        <w:tc>
          <w:tcPr>
            <w:tcW w:w="1560" w:type="dxa"/>
            <w:tcBorders>
              <w:top w:val="single" w:sz="4" w:space="0" w:color="auto"/>
              <w:left w:val="single" w:sz="4" w:space="0" w:color="auto"/>
              <w:bottom w:val="single" w:sz="4" w:space="0" w:color="auto"/>
              <w:right w:val="single" w:sz="4" w:space="0" w:color="auto"/>
            </w:tcBorders>
          </w:tcPr>
          <w:p w14:paraId="5515D8B1" w14:textId="77777777" w:rsidR="00A26519" w:rsidRPr="001B4A02" w:rsidRDefault="00000000" w:rsidP="00E571F5">
            <w:pPr>
              <w:pStyle w:val="BodyTextIndent"/>
              <w:keepNext/>
              <w:ind w:left="0" w:right="53" w:firstLine="0"/>
              <w:jc w:val="center"/>
              <w:rPr>
                <w:del w:id="7524" w:author="AbbVie1" w:date="2025-05-13T09:50:00Z"/>
                <w:b w:val="0"/>
                <w:bCs/>
                <w:color w:val="auto"/>
                <w:lang w:val="cs-CZ"/>
              </w:rPr>
            </w:pPr>
            <w:del w:id="7525" w:author="AbbVie1" w:date="2025-05-13T09:50:00Z">
              <w:r w:rsidRPr="001B4A02">
                <w:rPr>
                  <w:b w:val="0"/>
                  <w:bCs/>
                  <w:color w:val="auto"/>
                  <w:lang w:val="cs-CZ"/>
                </w:rPr>
                <w:delText>36,8</w:delText>
              </w:r>
              <w:r w:rsidRPr="001B4A02">
                <w:rPr>
                  <w:b w:val="0"/>
                  <w:lang w:val="cs-CZ"/>
                </w:rPr>
                <w:delText> </w:delText>
              </w:r>
              <w:r w:rsidRPr="001B4A02">
                <w:rPr>
                  <w:b w:val="0"/>
                  <w:bCs/>
                  <w:color w:val="auto"/>
                  <w:lang w:val="cs-CZ"/>
                </w:rPr>
                <w:delText>% (14/38)</w:delText>
              </w:r>
            </w:del>
          </w:p>
        </w:tc>
        <w:tc>
          <w:tcPr>
            <w:tcW w:w="1559" w:type="dxa"/>
            <w:tcBorders>
              <w:top w:val="single" w:sz="4" w:space="0" w:color="auto"/>
              <w:left w:val="single" w:sz="4" w:space="0" w:color="auto"/>
              <w:bottom w:val="single" w:sz="4" w:space="0" w:color="auto"/>
              <w:right w:val="single" w:sz="4" w:space="0" w:color="auto"/>
            </w:tcBorders>
          </w:tcPr>
          <w:p w14:paraId="4226F0CB" w14:textId="77777777" w:rsidR="00A26519" w:rsidRPr="001B4A02" w:rsidRDefault="00000000" w:rsidP="00E571F5">
            <w:pPr>
              <w:pStyle w:val="BodyTextIndent"/>
              <w:keepNext/>
              <w:ind w:left="0" w:right="53" w:firstLine="0"/>
              <w:jc w:val="center"/>
              <w:rPr>
                <w:del w:id="7526" w:author="AbbVie1" w:date="2025-05-13T09:50:00Z"/>
                <w:b w:val="0"/>
                <w:bCs/>
                <w:color w:val="auto"/>
                <w:lang w:val="cs-CZ"/>
              </w:rPr>
            </w:pPr>
            <w:del w:id="7527" w:author="AbbVie1" w:date="2025-05-13T09:50:00Z">
              <w:r w:rsidRPr="001B4A02">
                <w:rPr>
                  <w:b w:val="0"/>
                  <w:bCs/>
                  <w:color w:val="auto"/>
                  <w:lang w:val="cs-CZ"/>
                </w:rPr>
                <w:delText>64,9</w:delText>
              </w:r>
              <w:r w:rsidRPr="001B4A02">
                <w:rPr>
                  <w:lang w:val="cs-CZ"/>
                </w:rPr>
                <w:delText> </w:delText>
              </w:r>
              <w:r w:rsidRPr="001B4A02">
                <w:rPr>
                  <w:b w:val="0"/>
                  <w:bCs/>
                  <w:color w:val="auto"/>
                  <w:lang w:val="cs-CZ"/>
                </w:rPr>
                <w:delText>% (24/37)</w:delText>
              </w:r>
              <w:r w:rsidRPr="001B4A02">
                <w:rPr>
                  <w:b w:val="0"/>
                  <w:bCs/>
                  <w:color w:val="auto"/>
                  <w:vertAlign w:val="superscript"/>
                  <w:lang w:val="cs-CZ"/>
                </w:rPr>
                <w:delText>b</w:delText>
              </w:r>
            </w:del>
          </w:p>
        </w:tc>
        <w:tc>
          <w:tcPr>
            <w:tcW w:w="1559" w:type="dxa"/>
            <w:tcBorders>
              <w:top w:val="single" w:sz="4" w:space="0" w:color="auto"/>
              <w:left w:val="single" w:sz="4" w:space="0" w:color="auto"/>
              <w:bottom w:val="single" w:sz="4" w:space="0" w:color="auto"/>
              <w:right w:val="single" w:sz="4" w:space="0" w:color="auto"/>
            </w:tcBorders>
          </w:tcPr>
          <w:p w14:paraId="6AF06433" w14:textId="77777777" w:rsidR="00A26519" w:rsidRPr="001B4A02" w:rsidRDefault="00000000" w:rsidP="00E571F5">
            <w:pPr>
              <w:pStyle w:val="BodyTextIndent"/>
              <w:keepNext/>
              <w:ind w:left="0" w:right="53" w:firstLine="0"/>
              <w:jc w:val="center"/>
              <w:rPr>
                <w:del w:id="7528" w:author="AbbVie1" w:date="2025-05-13T09:50:00Z"/>
                <w:b w:val="0"/>
                <w:bCs/>
                <w:color w:val="auto"/>
                <w:lang w:val="cs-CZ"/>
              </w:rPr>
            </w:pPr>
            <w:del w:id="7529" w:author="AbbVie1" w:date="2025-05-13T09:50:00Z">
              <w:r w:rsidRPr="001B4A02">
                <w:rPr>
                  <w:b w:val="0"/>
                  <w:bCs/>
                  <w:color w:val="auto"/>
                  <w:lang w:val="cs-CZ"/>
                </w:rPr>
                <w:delText>43,3</w:delText>
              </w:r>
              <w:r w:rsidRPr="001B4A02">
                <w:rPr>
                  <w:lang w:val="cs-CZ"/>
                </w:rPr>
                <w:delText> </w:delText>
              </w:r>
              <w:r w:rsidRPr="001B4A02">
                <w:rPr>
                  <w:b w:val="0"/>
                  <w:bCs/>
                  <w:color w:val="auto"/>
                  <w:lang w:val="cs-CZ"/>
                </w:rPr>
                <w:delText>% (13/30)</w:delText>
              </w:r>
            </w:del>
          </w:p>
        </w:tc>
        <w:tc>
          <w:tcPr>
            <w:tcW w:w="1666" w:type="dxa"/>
            <w:tcBorders>
              <w:top w:val="single" w:sz="4" w:space="0" w:color="auto"/>
              <w:left w:val="single" w:sz="4" w:space="0" w:color="auto"/>
              <w:bottom w:val="single" w:sz="4" w:space="0" w:color="auto"/>
              <w:right w:val="single" w:sz="4" w:space="0" w:color="auto"/>
            </w:tcBorders>
          </w:tcPr>
          <w:p w14:paraId="2340EB2B" w14:textId="77777777" w:rsidR="00A26519" w:rsidRPr="001B4A02" w:rsidRDefault="00000000" w:rsidP="00E571F5">
            <w:pPr>
              <w:pStyle w:val="BodyTextIndent"/>
              <w:keepNext/>
              <w:ind w:left="0" w:right="53" w:firstLine="0"/>
              <w:jc w:val="center"/>
              <w:rPr>
                <w:del w:id="7530" w:author="AbbVie1" w:date="2025-05-13T09:50:00Z"/>
                <w:b w:val="0"/>
                <w:bCs/>
                <w:color w:val="auto"/>
                <w:lang w:val="cs-CZ"/>
              </w:rPr>
            </w:pPr>
            <w:del w:id="7531" w:author="AbbVie1" w:date="2025-05-13T09:50:00Z">
              <w:r w:rsidRPr="001B4A02">
                <w:rPr>
                  <w:b w:val="0"/>
                  <w:bCs/>
                  <w:color w:val="auto"/>
                  <w:lang w:val="cs-CZ"/>
                </w:rPr>
                <w:delText>71,4</w:delText>
              </w:r>
              <w:r w:rsidRPr="001B4A02">
                <w:rPr>
                  <w:lang w:val="cs-CZ"/>
                </w:rPr>
                <w:delText> </w:delText>
              </w:r>
              <w:r w:rsidRPr="001B4A02">
                <w:rPr>
                  <w:b w:val="0"/>
                  <w:bCs/>
                  <w:color w:val="auto"/>
                  <w:lang w:val="cs-CZ"/>
                </w:rPr>
                <w:delText>% (20/28)</w:delText>
              </w:r>
              <w:r w:rsidRPr="001B4A02">
                <w:rPr>
                  <w:b w:val="0"/>
                  <w:bCs/>
                  <w:color w:val="auto"/>
                  <w:vertAlign w:val="superscript"/>
                  <w:lang w:val="cs-CZ"/>
                </w:rPr>
                <w:delText>c</w:delText>
              </w:r>
            </w:del>
          </w:p>
        </w:tc>
      </w:tr>
      <w:tr w:rsidR="00534A2D" w14:paraId="7F9A86F8" w14:textId="77777777" w:rsidTr="00E571F5">
        <w:trPr>
          <w:del w:id="7532" w:author="AbbVie1" w:date="2025-05-13T09:50:00Z"/>
        </w:trPr>
        <w:tc>
          <w:tcPr>
            <w:tcW w:w="2833" w:type="dxa"/>
            <w:tcBorders>
              <w:top w:val="single" w:sz="4" w:space="0" w:color="auto"/>
              <w:left w:val="single" w:sz="4" w:space="0" w:color="auto"/>
              <w:bottom w:val="single" w:sz="4" w:space="0" w:color="auto"/>
              <w:right w:val="single" w:sz="4" w:space="0" w:color="auto"/>
            </w:tcBorders>
          </w:tcPr>
          <w:p w14:paraId="3E3BC83B" w14:textId="77777777" w:rsidR="00A26519" w:rsidRPr="001B4A02" w:rsidRDefault="00000000" w:rsidP="00E571F5">
            <w:pPr>
              <w:pStyle w:val="BodyTextIndent"/>
              <w:keepNext/>
              <w:ind w:left="316" w:right="53" w:firstLine="0"/>
              <w:rPr>
                <w:del w:id="7533" w:author="AbbVie1" w:date="2025-05-13T09:50:00Z"/>
                <w:b w:val="0"/>
                <w:bCs/>
                <w:color w:val="auto"/>
                <w:lang w:val="cs-CZ"/>
              </w:rPr>
            </w:pPr>
            <w:del w:id="7534" w:author="AbbVie1" w:date="2025-05-13T09:50:00Z">
              <w:r w:rsidRPr="001B4A02">
                <w:rPr>
                  <w:b w:val="0"/>
                  <w:bCs/>
                  <w:color w:val="auto"/>
                  <w:lang w:val="cs-CZ"/>
                </w:rPr>
                <w:delText>Medián doby do vzplanutí onemocnění</w:delText>
              </w:r>
            </w:del>
          </w:p>
        </w:tc>
        <w:tc>
          <w:tcPr>
            <w:tcW w:w="1560" w:type="dxa"/>
            <w:tcBorders>
              <w:top w:val="single" w:sz="4" w:space="0" w:color="auto"/>
              <w:left w:val="single" w:sz="4" w:space="0" w:color="auto"/>
              <w:bottom w:val="single" w:sz="4" w:space="0" w:color="auto"/>
              <w:right w:val="single" w:sz="4" w:space="0" w:color="auto"/>
            </w:tcBorders>
          </w:tcPr>
          <w:p w14:paraId="167D4E56" w14:textId="77777777" w:rsidR="00A26519" w:rsidRPr="001B4A02" w:rsidRDefault="00000000" w:rsidP="00E571F5">
            <w:pPr>
              <w:pStyle w:val="BodyTextIndent"/>
              <w:keepNext/>
              <w:ind w:left="0" w:right="53" w:firstLine="0"/>
              <w:jc w:val="center"/>
              <w:rPr>
                <w:del w:id="7535" w:author="AbbVie1" w:date="2025-05-13T09:50:00Z"/>
                <w:b w:val="0"/>
                <w:bCs/>
                <w:color w:val="auto"/>
                <w:lang w:val="cs-CZ"/>
              </w:rPr>
            </w:pPr>
            <w:del w:id="7536" w:author="AbbVie1" w:date="2025-05-13T09:50:00Z">
              <w:r w:rsidRPr="001B4A02">
                <w:rPr>
                  <w:b w:val="0"/>
                  <w:bCs/>
                  <w:color w:val="auto"/>
                  <w:lang w:val="cs-CZ"/>
                </w:rPr>
                <w:delText>&gt; 32 týdnů</w:delText>
              </w:r>
            </w:del>
          </w:p>
        </w:tc>
        <w:tc>
          <w:tcPr>
            <w:tcW w:w="1559" w:type="dxa"/>
            <w:tcBorders>
              <w:top w:val="single" w:sz="4" w:space="0" w:color="auto"/>
              <w:left w:val="single" w:sz="4" w:space="0" w:color="auto"/>
              <w:bottom w:val="single" w:sz="4" w:space="0" w:color="auto"/>
              <w:right w:val="single" w:sz="4" w:space="0" w:color="auto"/>
            </w:tcBorders>
          </w:tcPr>
          <w:p w14:paraId="6032F6FB" w14:textId="77777777" w:rsidR="00A26519" w:rsidRPr="001B4A02" w:rsidRDefault="00000000" w:rsidP="00E571F5">
            <w:pPr>
              <w:pStyle w:val="BodyTextIndent"/>
              <w:keepNext/>
              <w:ind w:left="0" w:right="53" w:firstLine="0"/>
              <w:jc w:val="center"/>
              <w:rPr>
                <w:del w:id="7537" w:author="AbbVie1" w:date="2025-05-13T09:50:00Z"/>
                <w:b w:val="0"/>
                <w:bCs/>
                <w:color w:val="auto"/>
                <w:lang w:val="cs-CZ"/>
              </w:rPr>
            </w:pPr>
            <w:del w:id="7538" w:author="AbbVie1" w:date="2025-05-13T09:50:00Z">
              <w:r w:rsidRPr="001B4A02">
                <w:rPr>
                  <w:b w:val="0"/>
                  <w:bCs/>
                  <w:color w:val="auto"/>
                  <w:lang w:val="cs-CZ"/>
                </w:rPr>
                <w:delText>20 týdnů</w:delText>
              </w:r>
            </w:del>
          </w:p>
        </w:tc>
        <w:tc>
          <w:tcPr>
            <w:tcW w:w="1559" w:type="dxa"/>
            <w:tcBorders>
              <w:top w:val="single" w:sz="4" w:space="0" w:color="auto"/>
              <w:left w:val="single" w:sz="4" w:space="0" w:color="auto"/>
              <w:bottom w:val="single" w:sz="4" w:space="0" w:color="auto"/>
              <w:right w:val="single" w:sz="4" w:space="0" w:color="auto"/>
            </w:tcBorders>
          </w:tcPr>
          <w:p w14:paraId="1E39EECD" w14:textId="77777777" w:rsidR="00A26519" w:rsidRPr="001B4A02" w:rsidRDefault="00000000" w:rsidP="00E571F5">
            <w:pPr>
              <w:pStyle w:val="BodyTextIndent"/>
              <w:keepNext/>
              <w:ind w:left="0" w:right="53" w:firstLine="0"/>
              <w:jc w:val="center"/>
              <w:rPr>
                <w:del w:id="7539" w:author="AbbVie1" w:date="2025-05-13T09:50:00Z"/>
                <w:b w:val="0"/>
                <w:bCs/>
                <w:color w:val="auto"/>
                <w:lang w:val="cs-CZ"/>
              </w:rPr>
            </w:pPr>
            <w:del w:id="7540" w:author="AbbVie1" w:date="2025-05-13T09:50:00Z">
              <w:r w:rsidRPr="001B4A02">
                <w:rPr>
                  <w:b w:val="0"/>
                  <w:bCs/>
                  <w:color w:val="auto"/>
                  <w:lang w:val="cs-CZ"/>
                </w:rPr>
                <w:delText>&gt; 32 týdnů</w:delText>
              </w:r>
            </w:del>
          </w:p>
        </w:tc>
        <w:tc>
          <w:tcPr>
            <w:tcW w:w="1666" w:type="dxa"/>
            <w:tcBorders>
              <w:top w:val="single" w:sz="4" w:space="0" w:color="auto"/>
              <w:left w:val="single" w:sz="4" w:space="0" w:color="auto"/>
              <w:bottom w:val="single" w:sz="4" w:space="0" w:color="auto"/>
              <w:right w:val="single" w:sz="4" w:space="0" w:color="auto"/>
            </w:tcBorders>
          </w:tcPr>
          <w:p w14:paraId="2F8AEC5D" w14:textId="77777777" w:rsidR="00A26519" w:rsidRPr="001B4A02" w:rsidRDefault="00000000" w:rsidP="00E571F5">
            <w:pPr>
              <w:pStyle w:val="BodyTextIndent"/>
              <w:keepNext/>
              <w:ind w:left="0" w:right="53" w:firstLine="0"/>
              <w:jc w:val="center"/>
              <w:rPr>
                <w:del w:id="7541" w:author="AbbVie1" w:date="2025-05-13T09:50:00Z"/>
                <w:b w:val="0"/>
                <w:bCs/>
                <w:color w:val="auto"/>
                <w:lang w:val="cs-CZ"/>
              </w:rPr>
            </w:pPr>
            <w:del w:id="7542" w:author="AbbVie1" w:date="2025-05-13T09:50:00Z">
              <w:r w:rsidRPr="001B4A02">
                <w:rPr>
                  <w:b w:val="0"/>
                  <w:bCs/>
                  <w:color w:val="auto"/>
                  <w:lang w:val="cs-CZ"/>
                </w:rPr>
                <w:delText>14 týdnů</w:delText>
              </w:r>
            </w:del>
          </w:p>
        </w:tc>
      </w:tr>
    </w:tbl>
    <w:p w14:paraId="6638DA78" w14:textId="77777777" w:rsidR="00A26519" w:rsidRPr="001B4A02" w:rsidRDefault="00A26519" w:rsidP="00A26519">
      <w:pPr>
        <w:pStyle w:val="BodyTextIndent"/>
        <w:keepNext/>
        <w:ind w:left="110" w:right="53" w:firstLine="0"/>
        <w:rPr>
          <w:del w:id="7543" w:author="AbbVie1" w:date="2025-05-13T09:50:00Z"/>
          <w:b w:val="0"/>
          <w:bCs/>
          <w:color w:val="auto"/>
          <w:sz w:val="20"/>
          <w:vertAlign w:val="superscript"/>
          <w:lang w:val="cs-CZ"/>
        </w:rPr>
      </w:pPr>
    </w:p>
    <w:p w14:paraId="2E220988" w14:textId="77777777" w:rsidR="00A26519" w:rsidRPr="001B4A02" w:rsidRDefault="00000000" w:rsidP="00A26519">
      <w:pPr>
        <w:pStyle w:val="BodyTextIndent"/>
        <w:keepNext/>
        <w:ind w:left="110" w:right="53" w:firstLine="0"/>
        <w:rPr>
          <w:del w:id="7544" w:author="AbbVie1" w:date="2025-05-13T09:50:00Z"/>
          <w:b w:val="0"/>
          <w:bCs/>
          <w:i/>
          <w:iCs/>
          <w:color w:val="auto"/>
          <w:sz w:val="20"/>
          <w:lang w:val="cs-CZ"/>
        </w:rPr>
      </w:pPr>
      <w:del w:id="7545" w:author="AbbVie1" w:date="2025-05-13T09:50:00Z">
        <w:r w:rsidRPr="001B4A02">
          <w:rPr>
            <w:b w:val="0"/>
            <w:bCs/>
            <w:color w:val="auto"/>
            <w:sz w:val="20"/>
            <w:vertAlign w:val="superscript"/>
            <w:lang w:val="cs-CZ"/>
          </w:rPr>
          <w:delText xml:space="preserve">a </w:delText>
        </w:r>
        <w:r w:rsidRPr="001B4A02">
          <w:rPr>
            <w:b w:val="0"/>
            <w:bCs/>
            <w:color w:val="auto"/>
            <w:sz w:val="20"/>
            <w:lang w:val="cs-CZ"/>
          </w:rPr>
          <w:delText>Odpovědi Ped ACR 30/50/70 v týdnu 48 byly významně vyšší než ty u pacientů léčených placebem</w:delText>
        </w:r>
      </w:del>
    </w:p>
    <w:p w14:paraId="6AD47B5F" w14:textId="77777777" w:rsidR="00A26519" w:rsidRPr="001B4A02" w:rsidRDefault="00000000" w:rsidP="00A26519">
      <w:pPr>
        <w:pStyle w:val="BodyTextIndent"/>
        <w:keepNext/>
        <w:ind w:left="110" w:right="53" w:firstLine="0"/>
        <w:rPr>
          <w:del w:id="7546" w:author="AbbVie1" w:date="2025-05-13T09:50:00Z"/>
          <w:b w:val="0"/>
          <w:bCs/>
          <w:color w:val="auto"/>
          <w:sz w:val="20"/>
          <w:lang w:val="cs-CZ"/>
        </w:rPr>
      </w:pPr>
      <w:del w:id="7547" w:author="AbbVie1" w:date="2025-05-13T09:50:00Z">
        <w:r w:rsidRPr="001B4A02">
          <w:rPr>
            <w:b w:val="0"/>
            <w:bCs/>
            <w:color w:val="auto"/>
            <w:sz w:val="20"/>
            <w:vertAlign w:val="superscript"/>
            <w:lang w:val="cs-CZ"/>
          </w:rPr>
          <w:delText>b</w:delText>
        </w:r>
        <w:r w:rsidRPr="001B4A02">
          <w:rPr>
            <w:b w:val="0"/>
            <w:bCs/>
            <w:color w:val="auto"/>
            <w:sz w:val="20"/>
            <w:lang w:val="cs-CZ"/>
          </w:rPr>
          <w:delText xml:space="preserve"> p = 0,015</w:delText>
        </w:r>
      </w:del>
    </w:p>
    <w:p w14:paraId="748DEAF6" w14:textId="77777777" w:rsidR="00A26519" w:rsidRPr="001B4A02" w:rsidRDefault="00000000" w:rsidP="00883A75">
      <w:pPr>
        <w:pStyle w:val="BodyTextIndent"/>
        <w:ind w:left="108" w:right="51" w:firstLine="0"/>
        <w:rPr>
          <w:del w:id="7548" w:author="AbbVie1" w:date="2025-05-13T09:50:00Z"/>
          <w:b w:val="0"/>
          <w:bCs/>
          <w:color w:val="auto"/>
          <w:sz w:val="20"/>
          <w:lang w:val="cs-CZ"/>
        </w:rPr>
      </w:pPr>
      <w:del w:id="7549" w:author="AbbVie1" w:date="2025-05-13T09:50:00Z">
        <w:r w:rsidRPr="001B4A02">
          <w:rPr>
            <w:b w:val="0"/>
            <w:bCs/>
            <w:color w:val="auto"/>
            <w:sz w:val="20"/>
            <w:vertAlign w:val="superscript"/>
            <w:lang w:val="cs-CZ"/>
          </w:rPr>
          <w:delText>c</w:delText>
        </w:r>
        <w:r w:rsidRPr="001B4A02">
          <w:rPr>
            <w:b w:val="0"/>
            <w:bCs/>
            <w:color w:val="auto"/>
            <w:sz w:val="20"/>
            <w:lang w:val="cs-CZ"/>
          </w:rPr>
          <w:delText xml:space="preserve"> p = 0,031</w:delText>
        </w:r>
      </w:del>
    </w:p>
    <w:p w14:paraId="037BDE86" w14:textId="77777777" w:rsidR="00A26519" w:rsidRPr="001B4A02" w:rsidRDefault="00A26519" w:rsidP="00A26519">
      <w:pPr>
        <w:ind w:left="0" w:firstLine="0"/>
        <w:rPr>
          <w:del w:id="7550" w:author="AbbVie1" w:date="2025-05-13T09:50:00Z"/>
        </w:rPr>
      </w:pPr>
    </w:p>
    <w:p w14:paraId="42147799" w14:textId="77777777" w:rsidR="00A26519" w:rsidRPr="001B4A02" w:rsidRDefault="00000000" w:rsidP="00A26519">
      <w:pPr>
        <w:ind w:left="0" w:firstLine="0"/>
        <w:rPr>
          <w:del w:id="7551" w:author="AbbVie1" w:date="2025-05-13T09:50:00Z"/>
        </w:rPr>
      </w:pPr>
      <w:del w:id="7552" w:author="AbbVie1" w:date="2025-05-13T09:50:00Z">
        <w:r w:rsidRPr="001B4A02">
          <w:delText>Mezi těmi, jež dosáhli odpovědi v týdnu 16 (n=144), byly odpovědi pediatrického ACR v OLE fázi udržovány na hodnotách 30/50/70/90 po dobu až šesti let u těch pacientů, jež byli léčeni přípravkem Humira po celou dobu studie. Krom toho všech 19 subjektů, z nichž 11 bylo při zahájení studie ve věku 4 až 12 let</w:delText>
        </w:r>
        <w:r w:rsidR="002378E0">
          <w:delText xml:space="preserve"> a </w:delText>
        </w:r>
        <w:r w:rsidRPr="001B4A02">
          <w:delText>8 ve věku 13 až 17 let, bylo léčeno 6 let nebo déle.</w:delText>
        </w:r>
      </w:del>
    </w:p>
    <w:p w14:paraId="263CF5E9" w14:textId="77777777" w:rsidR="00A26519" w:rsidRPr="001B4A02" w:rsidRDefault="00A26519" w:rsidP="00A26519">
      <w:pPr>
        <w:ind w:left="0" w:firstLine="0"/>
        <w:rPr>
          <w:del w:id="7553" w:author="AbbVie1" w:date="2025-05-13T09:50:00Z"/>
        </w:rPr>
      </w:pPr>
    </w:p>
    <w:p w14:paraId="0BB2B082" w14:textId="77777777" w:rsidR="00A26519" w:rsidRPr="001B4A02" w:rsidRDefault="00000000" w:rsidP="00A26519">
      <w:pPr>
        <w:ind w:left="0" w:firstLine="0"/>
        <w:rPr>
          <w:del w:id="7554" w:author="AbbVie1" w:date="2025-05-13T09:50:00Z"/>
        </w:rPr>
      </w:pPr>
      <w:del w:id="7555" w:author="AbbVie1" w:date="2025-05-13T09:50:00Z">
        <w:r w:rsidRPr="001B4A02">
          <w:delText>Celkově byly odpovědi obecně lepší</w:delText>
        </w:r>
        <w:r w:rsidR="002378E0">
          <w:delText xml:space="preserve"> a </w:delText>
        </w:r>
        <w:r w:rsidRPr="001B4A02">
          <w:delText>u menšího množství pacientů došlo k vývinu protilátek, pokud byli léčeni kombinací přípravku Humira</w:delText>
        </w:r>
        <w:r w:rsidR="002378E0">
          <w:delText xml:space="preserve"> a </w:delText>
        </w:r>
        <w:r w:rsidRPr="001B4A02">
          <w:delText xml:space="preserve">MTX ve srovnání s monoterapií </w:delText>
        </w:r>
        <w:r w:rsidRPr="001B4A02">
          <w:rPr>
            <w:szCs w:val="22"/>
          </w:rPr>
          <w:delText xml:space="preserve">přípravkem </w:delText>
        </w:r>
        <w:r w:rsidRPr="001B4A02">
          <w:delText>Humira. Uvážíme-li tyto výsledky, doporučuje se, aby byl přípravek Humira používán v kombinaci s MTX</w:delText>
        </w:r>
        <w:r w:rsidR="002378E0">
          <w:delText xml:space="preserve"> a </w:delText>
        </w:r>
        <w:r w:rsidRPr="001B4A02">
          <w:delText>v monoterapii jen u těch pacientů, u nichž není užití MTX vhodné (viz bod 4.2).</w:delText>
        </w:r>
      </w:del>
    </w:p>
    <w:p w14:paraId="612A1BEE" w14:textId="77777777" w:rsidR="00A26519" w:rsidRPr="001B4A02" w:rsidRDefault="00A26519" w:rsidP="00A26519">
      <w:pPr>
        <w:ind w:left="0" w:firstLine="0"/>
        <w:rPr>
          <w:del w:id="7556" w:author="AbbVie1" w:date="2025-05-13T09:50:00Z"/>
          <w:u w:val="single"/>
        </w:rPr>
      </w:pPr>
    </w:p>
    <w:p w14:paraId="277E55D9" w14:textId="77777777" w:rsidR="00A26519" w:rsidRPr="001B4A02" w:rsidRDefault="00000000" w:rsidP="00A26519">
      <w:pPr>
        <w:keepNext/>
        <w:ind w:left="0" w:firstLine="0"/>
        <w:rPr>
          <w:del w:id="7557" w:author="AbbVie1" w:date="2025-05-13T09:50:00Z"/>
        </w:rPr>
      </w:pPr>
      <w:del w:id="7558" w:author="AbbVie1" w:date="2025-05-13T09:50:00Z">
        <w:r w:rsidRPr="001B4A02">
          <w:delText>pJIA II</w:delText>
        </w:r>
      </w:del>
    </w:p>
    <w:p w14:paraId="34B03E40" w14:textId="77777777" w:rsidR="00A26519" w:rsidRPr="001B4A02" w:rsidRDefault="00A26519" w:rsidP="00A26519">
      <w:pPr>
        <w:keepNext/>
        <w:ind w:left="0" w:firstLine="0"/>
        <w:rPr>
          <w:del w:id="7559" w:author="AbbVie1" w:date="2025-05-13T09:50:00Z"/>
          <w:u w:val="single"/>
        </w:rPr>
      </w:pPr>
    </w:p>
    <w:p w14:paraId="6850DD9C" w14:textId="77777777" w:rsidR="00A26519" w:rsidRPr="001B4A02" w:rsidRDefault="00000000" w:rsidP="00A26519">
      <w:pPr>
        <w:ind w:left="0" w:firstLine="0"/>
        <w:rPr>
          <w:del w:id="7560" w:author="AbbVie1" w:date="2025-05-13T09:50:00Z"/>
        </w:rPr>
      </w:pPr>
      <w:del w:id="7561" w:author="AbbVie1" w:date="2025-05-13T09:50:00Z">
        <w:r w:rsidRPr="001B4A02">
          <w:delText>Bezpečnost</w:delText>
        </w:r>
        <w:r w:rsidR="002378E0">
          <w:delText xml:space="preserve"> a </w:delText>
        </w:r>
        <w:r w:rsidRPr="001B4A02">
          <w:delText>účinnost přípravku Humira byla hodnocena v multicentrické otevřené studii se 32 dětmi (ve věku 2 až &lt; 4 roky nebo ve věku 4 roky</w:delText>
        </w:r>
        <w:r w:rsidR="002378E0">
          <w:delText xml:space="preserve"> a </w:delText>
        </w:r>
        <w:r w:rsidRPr="001B4A02">
          <w:delText>více s tělesnou hmotností &lt; 15</w:delText>
        </w:r>
        <w:r w:rsidR="002767FC">
          <w:delText> kg</w:delText>
        </w:r>
        <w:r w:rsidRPr="001B4A02">
          <w:delText>) se středně těžkou až těžkou polyartikulární JIA. Pacienti dostávali přípravek Humira v dávce 24</w:delText>
        </w:r>
        <w:r w:rsidR="00294902" w:rsidRPr="00005EC2">
          <w:rPr>
            <w:szCs w:val="22"/>
          </w:rPr>
          <w:delText> </w:delText>
        </w:r>
        <w:r w:rsidRPr="001B4A02">
          <w:delText>mg/m</w:delText>
        </w:r>
        <w:r w:rsidRPr="001B4A02">
          <w:rPr>
            <w:vertAlign w:val="superscript"/>
          </w:rPr>
          <w:delText>2</w:delText>
        </w:r>
        <w:r w:rsidRPr="001B4A02">
          <w:delText xml:space="preserve"> tělesného povrchu (BSA) až do maximální dávky 20</w:delText>
        </w:r>
        <w:r w:rsidR="00294902" w:rsidRPr="00005EC2">
          <w:rPr>
            <w:szCs w:val="22"/>
          </w:rPr>
          <w:delText> </w:delText>
        </w:r>
        <w:r w:rsidRPr="001B4A02">
          <w:delText>mg každý druhý týden subkutánní injekcí po dobu 24 týdnů. V průběhu studie užívala většina su</w:delText>
        </w:r>
        <w:r>
          <w:delText>b</w:delText>
        </w:r>
        <w:r w:rsidRPr="001B4A02">
          <w:delText>jektů současně methotrexát</w:delText>
        </w:r>
        <w:r w:rsidR="002378E0">
          <w:delText xml:space="preserve"> a </w:delText>
        </w:r>
        <w:r w:rsidRPr="001B4A02">
          <w:delText>u menšího množství případů bylo hlášeno užívání kortikosteroidů nebo NSAID.</w:delText>
        </w:r>
      </w:del>
    </w:p>
    <w:p w14:paraId="0152AB01" w14:textId="77777777" w:rsidR="00A26519" w:rsidRPr="001B4A02" w:rsidRDefault="00A26519" w:rsidP="00A26519">
      <w:pPr>
        <w:ind w:left="0" w:firstLine="0"/>
        <w:rPr>
          <w:del w:id="7562" w:author="AbbVie1" w:date="2025-05-13T09:50:00Z"/>
        </w:rPr>
      </w:pPr>
    </w:p>
    <w:p w14:paraId="5B76E61B" w14:textId="77777777" w:rsidR="00A26519" w:rsidRPr="001B4A02" w:rsidRDefault="00000000" w:rsidP="00A26519">
      <w:pPr>
        <w:ind w:left="0" w:firstLine="0"/>
        <w:rPr>
          <w:del w:id="7563" w:author="AbbVie1" w:date="2025-05-13T09:50:00Z"/>
        </w:rPr>
      </w:pPr>
      <w:del w:id="7564" w:author="AbbVie1" w:date="2025-05-13T09:50:00Z">
        <w:r w:rsidRPr="001B4A02">
          <w:delText>Z pozorovaných údajů vyplývá, že v týdnu 12 bylo dosaženo odpovědi PedACR 30 u 93,5 % subjektů</w:delText>
        </w:r>
        <w:r w:rsidR="002378E0">
          <w:delText xml:space="preserve"> a </w:delText>
        </w:r>
        <w:r w:rsidRPr="001B4A02">
          <w:delText>v týdnu 24 bylo této odpovědi dosaženo u 90,0</w:delText>
        </w:r>
        <w:r w:rsidRPr="001B4A02">
          <w:rPr>
            <w:b/>
          </w:rPr>
          <w:delText> </w:delText>
        </w:r>
        <w:r w:rsidRPr="001B4A02">
          <w:delText>% subjektů. Poměr subjektů s odpovědí PedACR 50/70/90 v týdnu 12 byl 90,3</w:delText>
        </w:r>
        <w:r>
          <w:delText> %</w:delText>
        </w:r>
        <w:r w:rsidRPr="001B4A02">
          <w:delText>/61,3</w:delText>
        </w:r>
        <w:r>
          <w:delText> %</w:delText>
        </w:r>
        <w:r w:rsidRPr="001B4A02">
          <w:delText>/38,7</w:delText>
        </w:r>
        <w:r>
          <w:delText> %</w:delText>
        </w:r>
        <w:r w:rsidR="002378E0">
          <w:delText xml:space="preserve"> a </w:delText>
        </w:r>
        <w:r w:rsidRPr="001B4A02">
          <w:delText>poměr subjektů s touto odpovědí v týdnu 24 byl 83,3</w:delText>
        </w:r>
        <w:r>
          <w:delText> %</w:delText>
        </w:r>
        <w:r w:rsidRPr="001B4A02">
          <w:delText>/73,3</w:delText>
        </w:r>
        <w:r>
          <w:delText> %</w:delText>
        </w:r>
        <w:r w:rsidRPr="001B4A02">
          <w:delText>/36,7</w:delText>
        </w:r>
        <w:r>
          <w:delText> %</w:delText>
        </w:r>
        <w:r w:rsidRPr="001B4A02">
          <w:delText>. Mezi pacienty, kteří dosáhli odpovědi PedACR 30 v týdnu 24 (n=27 ze 30 pacientů), přetrvávala v OLE fázi odpověď PedACR 30 u těch, kterým byl podáván přípravek Humira po celou dobu studie. Celkově bylo 20 subjektů léčeno po dobu 60 týdnů nebo déle.</w:delText>
        </w:r>
      </w:del>
    </w:p>
    <w:p w14:paraId="7B66821B" w14:textId="77777777" w:rsidR="00A26519" w:rsidRPr="001B4A02" w:rsidRDefault="00A26519" w:rsidP="00A26519">
      <w:pPr>
        <w:pStyle w:val="EMEANormal"/>
        <w:tabs>
          <w:tab w:val="clear" w:pos="562"/>
        </w:tabs>
        <w:suppressAutoHyphens w:val="0"/>
        <w:rPr>
          <w:del w:id="7565" w:author="AbbVie1" w:date="2025-05-13T09:50:00Z"/>
          <w:lang w:val="cs-CZ"/>
        </w:rPr>
      </w:pPr>
    </w:p>
    <w:p w14:paraId="269A4B7C" w14:textId="77777777" w:rsidR="00A26519" w:rsidRPr="001B4A02" w:rsidRDefault="00000000" w:rsidP="00A26519">
      <w:pPr>
        <w:keepNext/>
        <w:ind w:left="0" w:firstLine="0"/>
        <w:rPr>
          <w:del w:id="7566" w:author="AbbVie1" w:date="2025-05-13T09:50:00Z"/>
          <w:i/>
          <w:u w:val="single"/>
        </w:rPr>
      </w:pPr>
      <w:del w:id="7567" w:author="AbbVie1" w:date="2025-05-13T09:50:00Z">
        <w:r w:rsidRPr="001B4A02">
          <w:rPr>
            <w:i/>
            <w:u w:val="single"/>
          </w:rPr>
          <w:delText>Entezopatická artritida</w:delText>
        </w:r>
      </w:del>
    </w:p>
    <w:p w14:paraId="084E8953" w14:textId="77777777" w:rsidR="00A26519" w:rsidRPr="001B4A02" w:rsidRDefault="00A26519" w:rsidP="00A26519">
      <w:pPr>
        <w:keepNext/>
        <w:ind w:left="0" w:firstLine="0"/>
        <w:rPr>
          <w:del w:id="7568" w:author="AbbVie1" w:date="2025-05-13T09:50:00Z"/>
          <w:u w:val="single"/>
        </w:rPr>
      </w:pPr>
    </w:p>
    <w:p w14:paraId="47F6EE3F" w14:textId="77777777" w:rsidR="00A26519" w:rsidRPr="001B4A02" w:rsidRDefault="00000000" w:rsidP="00A26519">
      <w:pPr>
        <w:ind w:left="0" w:firstLine="0"/>
        <w:rPr>
          <w:del w:id="7569" w:author="AbbVie1" w:date="2025-05-13T09:50:00Z"/>
          <w:u w:val="single"/>
        </w:rPr>
      </w:pPr>
      <w:del w:id="7570" w:author="AbbVie1" w:date="2025-05-13T09:50:00Z">
        <w:r w:rsidRPr="001B4A02">
          <w:delText>Bezpečnost</w:delText>
        </w:r>
        <w:r w:rsidR="002378E0">
          <w:delText xml:space="preserve"> a </w:delText>
        </w:r>
        <w:r w:rsidRPr="001B4A02">
          <w:delText xml:space="preserve">účinnost přípravku Humira byla hodnocena v multicentrické, randomizované, dvojitě zaslepené studii u 46 pediatrických pacientů (ve věku 6 </w:delText>
        </w:r>
        <w:r w:rsidRPr="001B4A02">
          <w:rPr>
            <w:shd w:val="clear" w:color="auto" w:fill="FFFFFF"/>
          </w:rPr>
          <w:delText>až</w:delText>
        </w:r>
        <w:r w:rsidRPr="001B4A02">
          <w:delText xml:space="preserve"> 17 let) se středně těžkou entezopatickou artritidou. Pacienti byli randomizováni do skupiny dostávající buď 24</w:delText>
        </w:r>
        <w:r w:rsidR="00294902" w:rsidRPr="00005EC2">
          <w:rPr>
            <w:szCs w:val="22"/>
          </w:rPr>
          <w:delText> </w:delText>
        </w:r>
        <w:r w:rsidRPr="001B4A02">
          <w:delText>mg/m</w:delText>
        </w:r>
        <w:r w:rsidRPr="001B4A02">
          <w:rPr>
            <w:vertAlign w:val="superscript"/>
          </w:rPr>
          <w:delText>2</w:delText>
        </w:r>
        <w:r w:rsidRPr="001B4A02">
          <w:delText xml:space="preserve"> tělesného povrchu (BSA) přípravku Humira do maximální dávky 40</w:delText>
        </w:r>
        <w:r w:rsidR="00294902" w:rsidRPr="00005EC2">
          <w:rPr>
            <w:szCs w:val="22"/>
          </w:rPr>
          <w:delText> </w:delText>
        </w:r>
        <w:r w:rsidRPr="001B4A02">
          <w:delText>mg, nebo placebo každý druhý týden po dobu 12 týdnů. Po dvojitě zaslepeném období následovalo otevřené období (OL), během kterého pacienti dostávali 24</w:delText>
        </w:r>
        <w:r w:rsidR="00294902" w:rsidRPr="00005EC2">
          <w:rPr>
            <w:szCs w:val="22"/>
          </w:rPr>
          <w:delText> </w:delText>
        </w:r>
        <w:r w:rsidRPr="001B4A02">
          <w:delText>mg/m</w:delText>
        </w:r>
        <w:r w:rsidRPr="001B4A02">
          <w:rPr>
            <w:vertAlign w:val="superscript"/>
          </w:rPr>
          <w:delText>2</w:delText>
        </w:r>
        <w:r w:rsidRPr="001B4A02">
          <w:delText xml:space="preserve"> BSA přípravku Humira do maximální dávky 40</w:delText>
        </w:r>
        <w:r w:rsidR="00294902" w:rsidRPr="00005EC2">
          <w:rPr>
            <w:szCs w:val="22"/>
          </w:rPr>
          <w:delText> </w:delText>
        </w:r>
        <w:r w:rsidRPr="001B4A02">
          <w:delText>mg každý druhý týden subkutánně až po dobu do maximálně 192 týdnů. Primárním cílovým parametrem byla procentuální změna v počtu aktivních kloubů s artritidou (otok nezpůsoben deformitou nebo klouby s úbytkem pohyblivosti plus bolest a/nebo citlivost) od počátku do týdne 12, které bylo dosaženo průměrným procentuálním snížením -62,6</w:delText>
        </w:r>
        <w:r w:rsidRPr="001B4A02">
          <w:rPr>
            <w:b/>
          </w:rPr>
          <w:delText> </w:delText>
        </w:r>
        <w:r w:rsidRPr="001B4A02">
          <w:delText>% (střední procentuální změna -88,9</w:delText>
        </w:r>
        <w:r w:rsidRPr="001B4A02">
          <w:rPr>
            <w:b/>
          </w:rPr>
          <w:delText> </w:delText>
        </w:r>
        <w:r w:rsidRPr="001B4A02">
          <w:delText>%) u pacientů ve skupině s </w:delText>
        </w:r>
        <w:r w:rsidRPr="001B4A02">
          <w:rPr>
            <w:szCs w:val="22"/>
          </w:rPr>
          <w:delText xml:space="preserve">přípravkem </w:delText>
        </w:r>
        <w:r w:rsidRPr="001B4A02">
          <w:delText>Humira ve srovnání s -11,6</w:delText>
        </w:r>
        <w:r w:rsidRPr="001B4A02">
          <w:rPr>
            <w:b/>
          </w:rPr>
          <w:delText> </w:delText>
        </w:r>
        <w:r w:rsidRPr="001B4A02">
          <w:delText>% (střední procentuální změna -50,0</w:delText>
        </w:r>
        <w:r w:rsidRPr="001B4A02">
          <w:rPr>
            <w:b/>
          </w:rPr>
          <w:delText> </w:delText>
        </w:r>
        <w:r w:rsidRPr="001B4A02">
          <w:delText>%) u pacientů ve skupině s placebem. Zlepšení v počtu aktivních kloubů s artritidou bylo během OL období do týdne 156 udrženo u 26 z 31 (84 %) pacientů ve skupině s přípravkem Humira, kteří setrvávali ve studii. Ačkoli to nebylo statisticky významné, u většiny pacientů bylo prokázáno klinické zlepšení sekundárních cílových parametrů, jako počet míst s entesitidou, počet citlivých kloubů (TJC), počet oteklých kloubů (SJC), pediatrická ACR 50 odpověď</w:delText>
        </w:r>
        <w:r w:rsidR="002378E0">
          <w:delText xml:space="preserve"> a </w:delText>
        </w:r>
        <w:r w:rsidRPr="001B4A02">
          <w:delText>pediatrická ACR 70 odpověď.</w:delText>
        </w:r>
      </w:del>
    </w:p>
    <w:p w14:paraId="671ED075" w14:textId="77777777" w:rsidR="00A26519" w:rsidRPr="001B4A02" w:rsidRDefault="00A26519" w:rsidP="00A26519">
      <w:pPr>
        <w:pStyle w:val="EMEANormal"/>
        <w:tabs>
          <w:tab w:val="clear" w:pos="562"/>
        </w:tabs>
        <w:suppressAutoHyphens w:val="0"/>
        <w:rPr>
          <w:del w:id="7571" w:author="AbbVie1" w:date="2025-05-13T09:50:00Z"/>
          <w:lang w:val="cs-CZ"/>
        </w:rPr>
      </w:pPr>
    </w:p>
    <w:p w14:paraId="24301616" w14:textId="77777777" w:rsidR="00A26519" w:rsidRPr="001B4A02" w:rsidRDefault="00000000" w:rsidP="00A26519">
      <w:pPr>
        <w:pStyle w:val="EMEANormal"/>
        <w:keepNext/>
        <w:tabs>
          <w:tab w:val="clear" w:pos="562"/>
        </w:tabs>
        <w:suppressAutoHyphens w:val="0"/>
        <w:rPr>
          <w:del w:id="7572" w:author="AbbVie1" w:date="2025-05-13T09:50:00Z"/>
          <w:i/>
          <w:lang w:val="cs-CZ"/>
        </w:rPr>
      </w:pPr>
      <w:del w:id="7573" w:author="AbbVie1" w:date="2025-05-13T09:50:00Z">
        <w:r w:rsidRPr="001B4A02">
          <w:rPr>
            <w:i/>
            <w:lang w:val="cs-CZ"/>
          </w:rPr>
          <w:delText>Ložisková psoriáza u pediatrických pacientů</w:delText>
        </w:r>
      </w:del>
    </w:p>
    <w:p w14:paraId="63CC0DF3" w14:textId="77777777" w:rsidR="00A26519" w:rsidRPr="001B4A02" w:rsidRDefault="00A26519" w:rsidP="00A26519">
      <w:pPr>
        <w:pStyle w:val="EMEANormal"/>
        <w:keepNext/>
        <w:tabs>
          <w:tab w:val="clear" w:pos="562"/>
        </w:tabs>
        <w:suppressAutoHyphens w:val="0"/>
        <w:rPr>
          <w:del w:id="7574" w:author="AbbVie1" w:date="2025-05-13T09:50:00Z"/>
          <w:u w:val="single"/>
          <w:lang w:val="cs-CZ"/>
        </w:rPr>
      </w:pPr>
    </w:p>
    <w:p w14:paraId="264019D1" w14:textId="77777777" w:rsidR="00A26519" w:rsidRPr="001B4A02" w:rsidRDefault="00000000" w:rsidP="00A26519">
      <w:pPr>
        <w:pStyle w:val="EMEANormal"/>
        <w:tabs>
          <w:tab w:val="clear" w:pos="562"/>
        </w:tabs>
        <w:suppressAutoHyphens w:val="0"/>
        <w:rPr>
          <w:del w:id="7575" w:author="AbbVie1" w:date="2025-05-13T09:50:00Z"/>
          <w:szCs w:val="22"/>
          <w:lang w:val="cs-CZ"/>
        </w:rPr>
      </w:pPr>
      <w:del w:id="7576" w:author="AbbVie1" w:date="2025-05-13T09:50:00Z">
        <w:r w:rsidRPr="001B4A02">
          <w:rPr>
            <w:lang w:val="cs-CZ"/>
          </w:rPr>
          <w:delText>Účinnost přípravku Humira byla hodnocena v randomizované, dvojitě zaslepené, kontrolované studii u 114 pediatrických pacientů ve věku od 4 let s těžkou chronickou ložiskovou psoriázou (definovanou jako PGA</w:delText>
        </w:r>
        <w:r w:rsidRPr="001B4A02">
          <w:rPr>
            <w:szCs w:val="22"/>
            <w:lang w:val="cs-CZ"/>
          </w:rPr>
          <w:delText xml:space="preserve"> ≥ 4 nebo &gt; 20</w:delText>
        </w:r>
        <w:r w:rsidRPr="001B4A02">
          <w:rPr>
            <w:lang w:val="cs-CZ"/>
          </w:rPr>
          <w:delText> </w:delText>
        </w:r>
        <w:r w:rsidRPr="001B4A02">
          <w:rPr>
            <w:szCs w:val="22"/>
            <w:lang w:val="cs-CZ"/>
          </w:rPr>
          <w:delText>% BSA nebo &gt; 10</w:delText>
        </w:r>
        <w:r w:rsidRPr="001B4A02">
          <w:rPr>
            <w:lang w:val="cs-CZ"/>
          </w:rPr>
          <w:delText> </w:delText>
        </w:r>
        <w:r w:rsidRPr="001B4A02">
          <w:rPr>
            <w:szCs w:val="22"/>
            <w:lang w:val="cs-CZ"/>
          </w:rPr>
          <w:delText>% BSA s velmi tenkými lézemi nebo PASI ≥ 20 nebo ≥ 10 s klinicky relevantním postižením obličeje, genitálií nebo rukou/chodidel), kteří neadekvátně reagovali na lokální terapii</w:delText>
        </w:r>
        <w:r w:rsidR="002378E0">
          <w:rPr>
            <w:szCs w:val="22"/>
            <w:lang w:val="cs-CZ"/>
          </w:rPr>
          <w:delText xml:space="preserve"> a </w:delText>
        </w:r>
        <w:r w:rsidRPr="001B4A02">
          <w:rPr>
            <w:szCs w:val="22"/>
            <w:lang w:val="cs-CZ"/>
          </w:rPr>
          <w:delText>helioterapii nebo fototerapii.</w:delText>
        </w:r>
      </w:del>
    </w:p>
    <w:p w14:paraId="042B280B" w14:textId="77777777" w:rsidR="00A26519" w:rsidRPr="001B4A02" w:rsidRDefault="00A26519" w:rsidP="00A26519">
      <w:pPr>
        <w:pStyle w:val="EMEANormal"/>
        <w:tabs>
          <w:tab w:val="clear" w:pos="562"/>
        </w:tabs>
        <w:suppressAutoHyphens w:val="0"/>
        <w:rPr>
          <w:del w:id="7577" w:author="AbbVie1" w:date="2025-05-13T09:50:00Z"/>
          <w:szCs w:val="22"/>
          <w:lang w:val="cs-CZ"/>
        </w:rPr>
      </w:pPr>
    </w:p>
    <w:p w14:paraId="06ABDB8E" w14:textId="77777777" w:rsidR="00A26519" w:rsidRPr="001B4A02" w:rsidRDefault="00000000" w:rsidP="00A26519">
      <w:pPr>
        <w:pStyle w:val="EMEANormal"/>
        <w:tabs>
          <w:tab w:val="clear" w:pos="562"/>
        </w:tabs>
        <w:suppressAutoHyphens w:val="0"/>
        <w:rPr>
          <w:del w:id="7578" w:author="AbbVie1" w:date="2025-05-13T09:50:00Z"/>
          <w:szCs w:val="22"/>
          <w:lang w:val="cs-CZ"/>
        </w:rPr>
      </w:pPr>
      <w:del w:id="7579" w:author="AbbVie1" w:date="2025-05-13T09:50:00Z">
        <w:r w:rsidRPr="001B4A02">
          <w:rPr>
            <w:szCs w:val="22"/>
            <w:lang w:val="cs-CZ"/>
          </w:rPr>
          <w:delText>Pacienti dostávali přípravek Humira 0,8</w:delText>
        </w:r>
        <w:r w:rsidR="00294902" w:rsidRPr="00294902">
          <w:rPr>
            <w:szCs w:val="22"/>
            <w:lang w:val="cs-CZ"/>
          </w:rPr>
          <w:delText> </w:delText>
        </w:r>
        <w:r w:rsidRPr="001B4A02">
          <w:rPr>
            <w:szCs w:val="22"/>
            <w:lang w:val="cs-CZ"/>
          </w:rPr>
          <w:delText>mg/kg každý druhý týden (do maximální dávky 40</w:delText>
        </w:r>
        <w:r w:rsidR="00294902" w:rsidRPr="00294902">
          <w:rPr>
            <w:szCs w:val="22"/>
            <w:lang w:val="cs-CZ"/>
          </w:rPr>
          <w:delText> </w:delText>
        </w:r>
        <w:r w:rsidRPr="001B4A02">
          <w:rPr>
            <w:szCs w:val="22"/>
            <w:lang w:val="cs-CZ"/>
          </w:rPr>
          <w:delText>mg), 0,4</w:delText>
        </w:r>
        <w:r w:rsidR="00294902" w:rsidRPr="00294902">
          <w:rPr>
            <w:szCs w:val="22"/>
            <w:lang w:val="cs-CZ"/>
          </w:rPr>
          <w:delText> </w:delText>
        </w:r>
        <w:r w:rsidRPr="001B4A02">
          <w:rPr>
            <w:szCs w:val="22"/>
            <w:lang w:val="cs-CZ"/>
          </w:rPr>
          <w:delText>mg/kg každý druhý týden (do maximální dávky 20</w:delText>
        </w:r>
        <w:r w:rsidR="00294902" w:rsidRPr="00294902">
          <w:rPr>
            <w:szCs w:val="22"/>
            <w:lang w:val="cs-CZ"/>
          </w:rPr>
          <w:delText> </w:delText>
        </w:r>
        <w:r w:rsidRPr="001B4A02">
          <w:rPr>
            <w:szCs w:val="22"/>
            <w:lang w:val="cs-CZ"/>
          </w:rPr>
          <w:delText>mg) nebo methotrexát 0,1–0,4</w:delText>
        </w:r>
        <w:r w:rsidR="00294902" w:rsidRPr="00294902">
          <w:rPr>
            <w:szCs w:val="22"/>
            <w:lang w:val="cs-CZ"/>
          </w:rPr>
          <w:delText> </w:delText>
        </w:r>
        <w:r w:rsidRPr="001B4A02">
          <w:rPr>
            <w:szCs w:val="22"/>
            <w:lang w:val="cs-CZ"/>
          </w:rPr>
          <w:delText>mg/kg týdně (do maximální dávky 25</w:delText>
        </w:r>
        <w:r w:rsidR="00294902" w:rsidRPr="00294902">
          <w:rPr>
            <w:szCs w:val="22"/>
            <w:lang w:val="cs-CZ"/>
          </w:rPr>
          <w:delText> </w:delText>
        </w:r>
        <w:r w:rsidRPr="001B4A02">
          <w:rPr>
            <w:szCs w:val="22"/>
            <w:lang w:val="cs-CZ"/>
          </w:rPr>
          <w:delText>mg). V týdnu 16 dosáhlo pozitivní odpovědi týkající se účinnosti více pacientů randomizovaných do skupiny používající přípravek Humira v dávce 0,8</w:delText>
        </w:r>
        <w:r w:rsidR="00294902" w:rsidRPr="00294902">
          <w:rPr>
            <w:szCs w:val="22"/>
            <w:lang w:val="cs-CZ"/>
          </w:rPr>
          <w:delText> </w:delText>
        </w:r>
        <w:r w:rsidRPr="001B4A02">
          <w:rPr>
            <w:szCs w:val="22"/>
            <w:lang w:val="cs-CZ"/>
          </w:rPr>
          <w:delText>mg/kg (např. PASI 75) než pacienti, kteří byli randomizováni do skupiny používající 0,4</w:delText>
        </w:r>
        <w:r w:rsidR="00294902" w:rsidRPr="00294902">
          <w:rPr>
            <w:szCs w:val="22"/>
            <w:lang w:val="cs-CZ"/>
          </w:rPr>
          <w:delText> </w:delText>
        </w:r>
        <w:r w:rsidRPr="001B4A02">
          <w:rPr>
            <w:szCs w:val="22"/>
            <w:lang w:val="cs-CZ"/>
          </w:rPr>
          <w:delText>mg/kg každý druhý týden nebo methotrexát.</w:delText>
        </w:r>
      </w:del>
    </w:p>
    <w:p w14:paraId="0A129AD9" w14:textId="77777777" w:rsidR="00A26519" w:rsidRPr="001B4A02" w:rsidRDefault="00A26519" w:rsidP="00A26519">
      <w:pPr>
        <w:pStyle w:val="EMEANormal"/>
        <w:tabs>
          <w:tab w:val="clear" w:pos="562"/>
        </w:tabs>
        <w:suppressAutoHyphens w:val="0"/>
        <w:rPr>
          <w:del w:id="7580" w:author="AbbVie1" w:date="2025-05-13T09:50:00Z"/>
          <w:szCs w:val="22"/>
          <w:lang w:val="cs-CZ"/>
        </w:rPr>
      </w:pPr>
    </w:p>
    <w:tbl>
      <w:tblPr>
        <w:tblW w:w="4721"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396"/>
        <w:gridCol w:w="1621"/>
        <w:gridCol w:w="3548"/>
      </w:tblGrid>
      <w:tr w:rsidR="00534A2D" w14:paraId="725C9B54" w14:textId="77777777" w:rsidTr="00E571F5">
        <w:trPr>
          <w:jc w:val="center"/>
          <w:del w:id="7581" w:author="AbbVie1" w:date="2025-05-13T09:50:00Z"/>
        </w:trPr>
        <w:tc>
          <w:tcPr>
            <w:tcW w:w="5000" w:type="pct"/>
            <w:gridSpan w:val="3"/>
            <w:tcBorders>
              <w:top w:val="nil"/>
              <w:left w:val="nil"/>
              <w:bottom w:val="nil"/>
              <w:right w:val="nil"/>
            </w:tcBorders>
            <w:vAlign w:val="center"/>
          </w:tcPr>
          <w:p w14:paraId="06CB3C85" w14:textId="77777777" w:rsidR="00A26519" w:rsidRPr="001B4A02" w:rsidRDefault="00000000" w:rsidP="00E571F5">
            <w:pPr>
              <w:keepNext/>
              <w:autoSpaceDE w:val="0"/>
              <w:autoSpaceDN w:val="0"/>
              <w:adjustRightInd w:val="0"/>
              <w:jc w:val="center"/>
              <w:rPr>
                <w:del w:id="7582" w:author="AbbVie1" w:date="2025-05-13T09:50:00Z"/>
                <w:b/>
                <w:bCs/>
                <w:szCs w:val="22"/>
              </w:rPr>
            </w:pPr>
            <w:del w:id="7583" w:author="AbbVie1" w:date="2025-05-13T09:50:00Z">
              <w:r w:rsidRPr="001B4A02">
                <w:rPr>
                  <w:rStyle w:val="gtcbold9"/>
                  <w:bCs w:val="0"/>
                  <w:szCs w:val="22"/>
                </w:rPr>
                <w:delText xml:space="preserve">Tabulka </w:delText>
              </w:r>
              <w:r w:rsidR="00CC1B29">
                <w:rPr>
                  <w:rStyle w:val="gtcbold9"/>
                  <w:bCs w:val="0"/>
                  <w:szCs w:val="22"/>
                </w:rPr>
                <w:delText>2</w:delText>
              </w:r>
              <w:r w:rsidR="00CC1B29">
                <w:rPr>
                  <w:rStyle w:val="gtcbold9"/>
                  <w:szCs w:val="22"/>
                </w:rPr>
                <w:delText>7</w:delText>
              </w:r>
              <w:r w:rsidRPr="001B4A02">
                <w:rPr>
                  <w:rStyle w:val="gtcbold9"/>
                  <w:bCs w:val="0"/>
                  <w:szCs w:val="22"/>
                </w:rPr>
                <w:delText xml:space="preserve">: </w:delText>
              </w:r>
              <w:r w:rsidRPr="001B4A02">
                <w:rPr>
                  <w:b/>
                  <w:bCs/>
                  <w:szCs w:val="22"/>
                </w:rPr>
                <w:delText>Výsledky účinnosti v týdnu 16 u ložiskové psoriázy u pediatrických pacientů</w:delText>
              </w:r>
            </w:del>
          </w:p>
          <w:p w14:paraId="3DDD6AF2" w14:textId="77777777" w:rsidR="00A26519" w:rsidRPr="001B4A02" w:rsidRDefault="00A26519" w:rsidP="00E571F5">
            <w:pPr>
              <w:jc w:val="center"/>
              <w:rPr>
                <w:del w:id="7584" w:author="AbbVie1" w:date="2025-05-13T09:50:00Z"/>
                <w:b/>
                <w:szCs w:val="22"/>
              </w:rPr>
            </w:pPr>
          </w:p>
        </w:tc>
      </w:tr>
      <w:tr w:rsidR="00534A2D" w14:paraId="2C567B68" w14:textId="77777777" w:rsidTr="00E571F5">
        <w:trPr>
          <w:jc w:val="center"/>
          <w:del w:id="7585" w:author="AbbVie1" w:date="2025-05-13T09:50:00Z"/>
        </w:trPr>
        <w:tc>
          <w:tcPr>
            <w:tcW w:w="0" w:type="auto"/>
            <w:tcBorders>
              <w:top w:val="single" w:sz="6" w:space="0" w:color="000000"/>
              <w:left w:val="single" w:sz="6" w:space="0" w:color="000000"/>
              <w:bottom w:val="outset" w:sz="6" w:space="0" w:color="auto"/>
              <w:right w:val="outset" w:sz="6" w:space="0" w:color="auto"/>
            </w:tcBorders>
            <w:vAlign w:val="center"/>
          </w:tcPr>
          <w:p w14:paraId="65BFE86A" w14:textId="77777777" w:rsidR="00A26519" w:rsidRPr="001B4A02" w:rsidRDefault="00A26519" w:rsidP="00E571F5">
            <w:pPr>
              <w:ind w:left="0" w:firstLine="0"/>
              <w:rPr>
                <w:del w:id="7586" w:author="AbbVie1" w:date="2025-05-13T09:50:00Z"/>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0E4410F0" w14:textId="77777777" w:rsidR="00A26519" w:rsidRPr="001B4A02" w:rsidRDefault="00000000" w:rsidP="00E571F5">
            <w:pPr>
              <w:ind w:left="0" w:firstLine="0"/>
              <w:jc w:val="center"/>
              <w:rPr>
                <w:del w:id="7587" w:author="AbbVie1" w:date="2025-05-13T09:50:00Z"/>
                <w:szCs w:val="22"/>
              </w:rPr>
            </w:pPr>
            <w:del w:id="7588" w:author="AbbVie1" w:date="2025-05-13T09:50:00Z">
              <w:r w:rsidRPr="001B4A02">
                <w:rPr>
                  <w:szCs w:val="22"/>
                </w:rPr>
                <w:delText>MTX</w:delText>
              </w:r>
              <w:r w:rsidRPr="001B4A02">
                <w:rPr>
                  <w:szCs w:val="22"/>
                  <w:vertAlign w:val="superscript"/>
                </w:rPr>
                <w:delText>a</w:delText>
              </w:r>
            </w:del>
          </w:p>
          <w:p w14:paraId="644A8646" w14:textId="77777777" w:rsidR="00A26519" w:rsidRPr="001B4A02" w:rsidRDefault="00000000" w:rsidP="00E571F5">
            <w:pPr>
              <w:ind w:left="0" w:firstLine="0"/>
              <w:jc w:val="center"/>
              <w:rPr>
                <w:del w:id="7589" w:author="AbbVie1" w:date="2025-05-13T09:50:00Z"/>
                <w:szCs w:val="22"/>
              </w:rPr>
            </w:pPr>
            <w:del w:id="7590" w:author="AbbVie1" w:date="2025-05-13T09:50:00Z">
              <w:r>
                <w:rPr>
                  <w:szCs w:val="22"/>
                </w:rPr>
                <w:delText>n</w:delText>
              </w:r>
              <w:r w:rsidRPr="001B4A02">
                <w:rPr>
                  <w:szCs w:val="22"/>
                </w:rPr>
                <w:delText>=37</w:delText>
              </w:r>
            </w:del>
          </w:p>
        </w:tc>
        <w:tc>
          <w:tcPr>
            <w:tcW w:w="2071" w:type="pct"/>
            <w:tcBorders>
              <w:top w:val="single" w:sz="6" w:space="0" w:color="000000"/>
              <w:left w:val="single" w:sz="6" w:space="0" w:color="000000"/>
              <w:bottom w:val="outset" w:sz="6" w:space="0" w:color="auto"/>
              <w:right w:val="single" w:sz="6" w:space="0" w:color="000000"/>
            </w:tcBorders>
            <w:vAlign w:val="center"/>
          </w:tcPr>
          <w:p w14:paraId="1A0E2963" w14:textId="77777777" w:rsidR="00A26519" w:rsidRPr="001B4A02" w:rsidRDefault="00000000" w:rsidP="00E571F5">
            <w:pPr>
              <w:ind w:left="0" w:firstLine="0"/>
              <w:jc w:val="center"/>
              <w:rPr>
                <w:del w:id="7591" w:author="AbbVie1" w:date="2025-05-13T09:50:00Z"/>
                <w:szCs w:val="22"/>
              </w:rPr>
            </w:pPr>
            <w:del w:id="7592" w:author="AbbVie1" w:date="2025-05-13T09:50:00Z">
              <w:r w:rsidRPr="001B4A02">
                <w:rPr>
                  <w:szCs w:val="22"/>
                </w:rPr>
                <w:delText>Humira 0,8 mg/kg každý druhý týden</w:delText>
              </w:r>
              <w:r w:rsidRPr="001B4A02">
                <w:rPr>
                  <w:szCs w:val="22"/>
                </w:rPr>
                <w:br/>
              </w:r>
              <w:r>
                <w:rPr>
                  <w:szCs w:val="22"/>
                </w:rPr>
                <w:delText>n</w:delText>
              </w:r>
              <w:r w:rsidRPr="001B4A02">
                <w:rPr>
                  <w:szCs w:val="22"/>
                </w:rPr>
                <w:delText xml:space="preserve">=38 </w:delText>
              </w:r>
            </w:del>
          </w:p>
        </w:tc>
      </w:tr>
      <w:tr w:rsidR="00534A2D" w14:paraId="32A57ACA" w14:textId="77777777" w:rsidTr="00E571F5">
        <w:trPr>
          <w:jc w:val="center"/>
          <w:del w:id="7593" w:author="AbbVie1" w:date="2025-05-13T09:50:00Z"/>
        </w:trPr>
        <w:tc>
          <w:tcPr>
            <w:tcW w:w="0" w:type="auto"/>
            <w:tcBorders>
              <w:top w:val="single" w:sz="6" w:space="0" w:color="000000"/>
              <w:left w:val="single" w:sz="6" w:space="0" w:color="000000"/>
              <w:bottom w:val="outset" w:sz="6" w:space="0" w:color="auto"/>
              <w:right w:val="outset" w:sz="6" w:space="0" w:color="auto"/>
            </w:tcBorders>
            <w:vAlign w:val="center"/>
          </w:tcPr>
          <w:p w14:paraId="0CC9005A" w14:textId="77777777" w:rsidR="00A26519" w:rsidRPr="001B4A02" w:rsidRDefault="00000000" w:rsidP="00E571F5">
            <w:pPr>
              <w:ind w:left="0" w:firstLine="0"/>
              <w:rPr>
                <w:del w:id="7594" w:author="AbbVie1" w:date="2025-05-13T09:50:00Z"/>
                <w:szCs w:val="22"/>
              </w:rPr>
            </w:pPr>
            <w:del w:id="7595" w:author="AbbVie1" w:date="2025-05-13T09:50:00Z">
              <w:r w:rsidRPr="001B4A02">
                <w:rPr>
                  <w:szCs w:val="22"/>
                </w:rPr>
                <w:delText> </w:delText>
              </w:r>
              <w:r w:rsidRPr="001B4A02">
                <w:rPr>
                  <w:szCs w:val="22"/>
                </w:rPr>
                <w:delText>PASI 75</w:delText>
              </w:r>
              <w:r w:rsidRPr="001B4A02">
                <w:rPr>
                  <w:szCs w:val="22"/>
                  <w:vertAlign w:val="superscript"/>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14:paraId="161F3FAF" w14:textId="77777777" w:rsidR="00A26519" w:rsidRPr="001B4A02" w:rsidRDefault="00000000" w:rsidP="00E571F5">
            <w:pPr>
              <w:ind w:left="0" w:firstLine="0"/>
              <w:jc w:val="center"/>
              <w:rPr>
                <w:del w:id="7596" w:author="AbbVie1" w:date="2025-05-13T09:50:00Z"/>
                <w:szCs w:val="22"/>
              </w:rPr>
            </w:pPr>
            <w:del w:id="7597" w:author="AbbVie1" w:date="2025-05-13T09:50:00Z">
              <w:r w:rsidRPr="001B4A02">
                <w:rPr>
                  <w:szCs w:val="22"/>
                </w:rPr>
                <w:delText>12 (32,4</w:delText>
              </w:r>
              <w:r w:rsidRPr="001B4A02">
                <w:delText> </w:delText>
              </w:r>
              <w:r w:rsidRPr="001B4A02">
                <w:rPr>
                  <w:szCs w:val="22"/>
                </w:rPr>
                <w:delText>%)</w:delText>
              </w:r>
            </w:del>
          </w:p>
        </w:tc>
        <w:tc>
          <w:tcPr>
            <w:tcW w:w="2071" w:type="pct"/>
            <w:tcBorders>
              <w:top w:val="single" w:sz="6" w:space="0" w:color="000000"/>
              <w:left w:val="single" w:sz="6" w:space="0" w:color="000000"/>
              <w:bottom w:val="outset" w:sz="6" w:space="0" w:color="auto"/>
              <w:right w:val="single" w:sz="6" w:space="0" w:color="000000"/>
            </w:tcBorders>
            <w:vAlign w:val="center"/>
          </w:tcPr>
          <w:p w14:paraId="47DADEE3" w14:textId="77777777" w:rsidR="00A26519" w:rsidRPr="001B4A02" w:rsidRDefault="00000000" w:rsidP="00E571F5">
            <w:pPr>
              <w:ind w:left="0" w:firstLine="0"/>
              <w:jc w:val="center"/>
              <w:rPr>
                <w:del w:id="7598" w:author="AbbVie1" w:date="2025-05-13T09:50:00Z"/>
                <w:szCs w:val="22"/>
              </w:rPr>
            </w:pPr>
            <w:del w:id="7599" w:author="AbbVie1" w:date="2025-05-13T09:50:00Z">
              <w:r w:rsidRPr="001B4A02">
                <w:rPr>
                  <w:szCs w:val="22"/>
                </w:rPr>
                <w:delText>22 (57,9</w:delText>
              </w:r>
              <w:r w:rsidRPr="001B4A02">
                <w:delText> </w:delText>
              </w:r>
              <w:r w:rsidRPr="001B4A02">
                <w:rPr>
                  <w:szCs w:val="22"/>
                </w:rPr>
                <w:delText>%)</w:delText>
              </w:r>
            </w:del>
          </w:p>
        </w:tc>
      </w:tr>
      <w:tr w:rsidR="00534A2D" w14:paraId="48A5DC84" w14:textId="77777777" w:rsidTr="00E571F5">
        <w:trPr>
          <w:jc w:val="center"/>
          <w:del w:id="7600" w:author="AbbVie1" w:date="2025-05-13T09:50:00Z"/>
        </w:trPr>
        <w:tc>
          <w:tcPr>
            <w:tcW w:w="0" w:type="auto"/>
            <w:tcBorders>
              <w:top w:val="single" w:sz="6" w:space="0" w:color="000000"/>
              <w:left w:val="single" w:sz="6" w:space="0" w:color="000000"/>
              <w:bottom w:val="single" w:sz="6" w:space="0" w:color="000000"/>
              <w:right w:val="outset" w:sz="6" w:space="0" w:color="auto"/>
            </w:tcBorders>
            <w:vAlign w:val="center"/>
          </w:tcPr>
          <w:p w14:paraId="1164666F" w14:textId="77777777" w:rsidR="00A26519" w:rsidRPr="001B4A02" w:rsidRDefault="00000000" w:rsidP="00E571F5">
            <w:pPr>
              <w:ind w:left="0" w:firstLine="0"/>
              <w:rPr>
                <w:del w:id="7601" w:author="AbbVie1" w:date="2025-05-13T09:50:00Z"/>
                <w:szCs w:val="22"/>
              </w:rPr>
            </w:pPr>
            <w:del w:id="7602" w:author="AbbVie1" w:date="2025-05-13T09:50:00Z">
              <w:r w:rsidRPr="001B4A02">
                <w:rPr>
                  <w:szCs w:val="22"/>
                </w:rPr>
                <w:delText> </w:delText>
              </w:r>
              <w:r w:rsidRPr="001B4A02">
                <w:rPr>
                  <w:szCs w:val="22"/>
                </w:rPr>
                <w:delText>PGA: čistý/minimální</w:delText>
              </w:r>
              <w:r w:rsidRPr="001B4A02">
                <w:rPr>
                  <w:szCs w:val="22"/>
                  <w:vertAlign w:val="superscript"/>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14:paraId="53BA7C00" w14:textId="77777777" w:rsidR="00A26519" w:rsidRPr="001B4A02" w:rsidRDefault="00000000" w:rsidP="00E571F5">
            <w:pPr>
              <w:ind w:left="0" w:firstLine="0"/>
              <w:jc w:val="center"/>
              <w:rPr>
                <w:del w:id="7603" w:author="AbbVie1" w:date="2025-05-13T09:50:00Z"/>
                <w:szCs w:val="22"/>
              </w:rPr>
            </w:pPr>
            <w:del w:id="7604" w:author="AbbVie1" w:date="2025-05-13T09:50:00Z">
              <w:r w:rsidRPr="001B4A02">
                <w:rPr>
                  <w:szCs w:val="22"/>
                </w:rPr>
                <w:delText>15 (40,5</w:delText>
              </w:r>
              <w:r w:rsidRPr="001B4A02">
                <w:delText> </w:delText>
              </w:r>
              <w:r w:rsidRPr="001B4A02">
                <w:rPr>
                  <w:szCs w:val="22"/>
                </w:rPr>
                <w:delText>%)</w:delText>
              </w:r>
            </w:del>
          </w:p>
        </w:tc>
        <w:tc>
          <w:tcPr>
            <w:tcW w:w="2071" w:type="pct"/>
            <w:tcBorders>
              <w:top w:val="single" w:sz="6" w:space="0" w:color="000000"/>
              <w:left w:val="single" w:sz="6" w:space="0" w:color="000000"/>
              <w:bottom w:val="single" w:sz="6" w:space="0" w:color="000000"/>
              <w:right w:val="single" w:sz="6" w:space="0" w:color="000000"/>
            </w:tcBorders>
            <w:vAlign w:val="center"/>
          </w:tcPr>
          <w:p w14:paraId="3433F760" w14:textId="77777777" w:rsidR="00A26519" w:rsidRPr="001B4A02" w:rsidRDefault="00000000" w:rsidP="00E571F5">
            <w:pPr>
              <w:ind w:left="0" w:firstLine="0"/>
              <w:jc w:val="center"/>
              <w:rPr>
                <w:del w:id="7605" w:author="AbbVie1" w:date="2025-05-13T09:50:00Z"/>
                <w:szCs w:val="22"/>
              </w:rPr>
            </w:pPr>
            <w:del w:id="7606" w:author="AbbVie1" w:date="2025-05-13T09:50:00Z">
              <w:r w:rsidRPr="001B4A02">
                <w:rPr>
                  <w:szCs w:val="22"/>
                </w:rPr>
                <w:delText>23 (60,5</w:delText>
              </w:r>
              <w:r w:rsidRPr="001B4A02">
                <w:delText> </w:delText>
              </w:r>
              <w:r w:rsidRPr="001B4A02">
                <w:rPr>
                  <w:szCs w:val="22"/>
                </w:rPr>
                <w:delText>%)</w:delText>
              </w:r>
            </w:del>
          </w:p>
        </w:tc>
      </w:tr>
      <w:tr w:rsidR="00534A2D" w14:paraId="4ACCC93B" w14:textId="77777777" w:rsidTr="00E571F5">
        <w:trPr>
          <w:jc w:val="center"/>
          <w:del w:id="7607" w:author="AbbVie1" w:date="2025-05-13T09:50: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1E09881A" w14:textId="77777777" w:rsidR="00A26519" w:rsidRPr="001B4A02" w:rsidRDefault="00000000" w:rsidP="00E571F5">
            <w:pPr>
              <w:ind w:left="0" w:firstLine="0"/>
              <w:rPr>
                <w:del w:id="7608" w:author="AbbVie1" w:date="2025-05-13T09:50:00Z"/>
                <w:szCs w:val="22"/>
              </w:rPr>
            </w:pPr>
            <w:del w:id="7609" w:author="AbbVie1" w:date="2025-05-13T09:50:00Z">
              <w:r w:rsidRPr="001B4A02">
                <w:rPr>
                  <w:szCs w:val="22"/>
                  <w:vertAlign w:val="superscript"/>
                </w:rPr>
                <w:delText xml:space="preserve">a </w:delText>
              </w:r>
              <w:r w:rsidRPr="001B4A02">
                <w:rPr>
                  <w:szCs w:val="22"/>
                </w:rPr>
                <w:delText>MTX = methotrexát</w:delText>
              </w:r>
            </w:del>
          </w:p>
          <w:p w14:paraId="6EB7003F" w14:textId="77777777" w:rsidR="00A26519" w:rsidRPr="001B4A02" w:rsidRDefault="00000000" w:rsidP="00E571F5">
            <w:pPr>
              <w:ind w:left="0" w:firstLine="0"/>
              <w:rPr>
                <w:del w:id="7610" w:author="AbbVie1" w:date="2025-05-13T09:50:00Z"/>
                <w:szCs w:val="22"/>
              </w:rPr>
            </w:pPr>
            <w:del w:id="7611" w:author="AbbVie1" w:date="2025-05-13T09:50:00Z">
              <w:r w:rsidRPr="001B4A02">
                <w:rPr>
                  <w:szCs w:val="22"/>
                  <w:vertAlign w:val="superscript"/>
                </w:rPr>
                <w:delText>b</w:delText>
              </w:r>
              <w:r w:rsidRPr="001B4A02">
                <w:rPr>
                  <w:szCs w:val="22"/>
                </w:rPr>
                <w:delText xml:space="preserve"> P=0,027, přípravek</w:delText>
              </w:r>
              <w:r w:rsidRPr="001B4A02">
                <w:rPr>
                  <w:sz w:val="20"/>
                </w:rPr>
                <w:delText xml:space="preserve"> </w:delText>
              </w:r>
              <w:r w:rsidRPr="001B4A02">
                <w:rPr>
                  <w:szCs w:val="22"/>
                </w:rPr>
                <w:delText>Humira 0,8</w:delText>
              </w:r>
              <w:r w:rsidR="00294902" w:rsidRPr="00005EC2">
                <w:rPr>
                  <w:szCs w:val="22"/>
                </w:rPr>
                <w:delText> </w:delText>
              </w:r>
              <w:r w:rsidRPr="001B4A02">
                <w:rPr>
                  <w:szCs w:val="22"/>
                </w:rPr>
                <w:delText>mg/kg versus MTX</w:delText>
              </w:r>
            </w:del>
          </w:p>
          <w:p w14:paraId="7D915091" w14:textId="77777777" w:rsidR="00A26519" w:rsidRPr="001B4A02" w:rsidRDefault="00000000" w:rsidP="00E571F5">
            <w:pPr>
              <w:ind w:left="0" w:firstLine="0"/>
              <w:rPr>
                <w:del w:id="7612" w:author="AbbVie1" w:date="2025-05-13T09:50:00Z"/>
                <w:szCs w:val="22"/>
              </w:rPr>
            </w:pPr>
            <w:del w:id="7613" w:author="AbbVie1" w:date="2025-05-13T09:50:00Z">
              <w:r w:rsidRPr="001B4A02">
                <w:rPr>
                  <w:szCs w:val="22"/>
                  <w:vertAlign w:val="superscript"/>
                </w:rPr>
                <w:delText>c</w:delText>
              </w:r>
              <w:r w:rsidRPr="001B4A02">
                <w:rPr>
                  <w:szCs w:val="22"/>
                </w:rPr>
                <w:delText xml:space="preserve"> P=0,083, přípravek</w:delText>
              </w:r>
              <w:r w:rsidRPr="001B4A02">
                <w:rPr>
                  <w:sz w:val="20"/>
                </w:rPr>
                <w:delText xml:space="preserve"> </w:delText>
              </w:r>
              <w:r w:rsidRPr="001B4A02">
                <w:rPr>
                  <w:szCs w:val="22"/>
                </w:rPr>
                <w:delText>Humira 0,8</w:delText>
              </w:r>
              <w:r w:rsidR="00294902" w:rsidRPr="00005EC2">
                <w:rPr>
                  <w:szCs w:val="22"/>
                </w:rPr>
                <w:delText> </w:delText>
              </w:r>
              <w:r w:rsidRPr="001B4A02">
                <w:rPr>
                  <w:szCs w:val="22"/>
                </w:rPr>
                <w:delText>mg/kg versus MTX</w:delText>
              </w:r>
            </w:del>
          </w:p>
        </w:tc>
      </w:tr>
    </w:tbl>
    <w:p w14:paraId="2D50AE55" w14:textId="77777777" w:rsidR="00A26519" w:rsidRPr="001B4A02" w:rsidRDefault="00A26519" w:rsidP="00A26519">
      <w:pPr>
        <w:pStyle w:val="EMEANormal"/>
        <w:tabs>
          <w:tab w:val="clear" w:pos="562"/>
        </w:tabs>
        <w:suppressAutoHyphens w:val="0"/>
        <w:rPr>
          <w:del w:id="7614" w:author="AbbVie1" w:date="2025-05-13T09:50:00Z"/>
          <w:lang w:val="cs-CZ"/>
        </w:rPr>
      </w:pPr>
    </w:p>
    <w:p w14:paraId="0B3CBAD0" w14:textId="77777777" w:rsidR="00A26519" w:rsidRPr="001B4A02" w:rsidRDefault="00000000" w:rsidP="00A26519">
      <w:pPr>
        <w:pStyle w:val="EMEANormal"/>
        <w:tabs>
          <w:tab w:val="clear" w:pos="562"/>
        </w:tabs>
        <w:suppressAutoHyphens w:val="0"/>
        <w:rPr>
          <w:del w:id="7615" w:author="AbbVie1" w:date="2025-05-13T09:50:00Z"/>
          <w:lang w:val="cs-CZ"/>
        </w:rPr>
      </w:pPr>
      <w:del w:id="7616" w:author="AbbVie1" w:date="2025-05-13T09:50:00Z">
        <w:r w:rsidRPr="001B4A02">
          <w:rPr>
            <w:lang w:val="cs-CZ"/>
          </w:rPr>
          <w:delText>Pacienti, kteří dosáhli skóre PASI 75</w:delText>
        </w:r>
        <w:r w:rsidR="002378E0">
          <w:rPr>
            <w:lang w:val="cs-CZ"/>
          </w:rPr>
          <w:delText xml:space="preserve"> a </w:delText>
        </w:r>
        <w:r w:rsidRPr="001B4A02">
          <w:rPr>
            <w:lang w:val="cs-CZ"/>
          </w:rPr>
          <w:delText>PGA čisté nebo minimální, byli z léčby vyřazeni na dobu do 36 týdnů</w:delText>
        </w:r>
        <w:r w:rsidR="002378E0">
          <w:rPr>
            <w:lang w:val="cs-CZ"/>
          </w:rPr>
          <w:delText xml:space="preserve"> a </w:delText>
        </w:r>
        <w:r w:rsidRPr="001B4A02">
          <w:rPr>
            <w:lang w:val="cs-CZ"/>
          </w:rPr>
          <w:delText>monitorováni kvůli „ztrátě kontroly nad nemocí“ (tj. zhoršení PGA skóre nejméně o 2 stupně). Pacientům byl poté znovu nasazen adalimumab 0,8</w:delText>
        </w:r>
        <w:r w:rsidR="00294902" w:rsidRPr="00CB523F">
          <w:rPr>
            <w:szCs w:val="22"/>
            <w:lang w:val="cs-CZ"/>
          </w:rPr>
          <w:delText> </w:delText>
        </w:r>
        <w:r w:rsidRPr="001B4A02">
          <w:rPr>
            <w:lang w:val="cs-CZ"/>
          </w:rPr>
          <w:delText>mg/kg každý druhý týden po dobu dalších 16 týdnů</w:delText>
        </w:r>
        <w:r w:rsidR="002378E0">
          <w:rPr>
            <w:lang w:val="cs-CZ"/>
          </w:rPr>
          <w:delText xml:space="preserve"> a </w:delText>
        </w:r>
        <w:r w:rsidRPr="001B4A02">
          <w:rPr>
            <w:lang w:val="cs-CZ"/>
          </w:rPr>
          <w:delText>odpovědi na léčbu pozorované během opětovné léčby byly podobné jako v předchozí dvojitě zaslepené fázi: odpověď PASI 75 byla u 78,9 % (15 z 19 subjektů)</w:delText>
        </w:r>
        <w:r w:rsidR="002378E0">
          <w:rPr>
            <w:lang w:val="cs-CZ"/>
          </w:rPr>
          <w:delText xml:space="preserve"> a </w:delText>
        </w:r>
        <w:r w:rsidRPr="001B4A02">
          <w:rPr>
            <w:lang w:val="cs-CZ"/>
          </w:rPr>
          <w:delText>PGA čisté nebo minimální u 52,6 % (10 z 19 subjektů).</w:delText>
        </w:r>
      </w:del>
    </w:p>
    <w:p w14:paraId="33D77F6D" w14:textId="77777777" w:rsidR="00A26519" w:rsidRPr="001B4A02" w:rsidRDefault="00A26519" w:rsidP="00A26519">
      <w:pPr>
        <w:pStyle w:val="EMEANormal"/>
        <w:tabs>
          <w:tab w:val="clear" w:pos="562"/>
        </w:tabs>
        <w:suppressAutoHyphens w:val="0"/>
        <w:rPr>
          <w:del w:id="7617" w:author="AbbVie1" w:date="2025-05-13T09:50:00Z"/>
          <w:lang w:val="cs-CZ"/>
        </w:rPr>
      </w:pPr>
    </w:p>
    <w:p w14:paraId="6D404579" w14:textId="77777777" w:rsidR="00A26519" w:rsidRPr="001B4A02" w:rsidRDefault="00000000" w:rsidP="00A26519">
      <w:pPr>
        <w:pStyle w:val="EMEANormal"/>
        <w:tabs>
          <w:tab w:val="clear" w:pos="562"/>
        </w:tabs>
        <w:suppressAutoHyphens w:val="0"/>
        <w:rPr>
          <w:del w:id="7618" w:author="AbbVie1" w:date="2025-05-13T09:50:00Z"/>
          <w:lang w:val="cs-CZ"/>
        </w:rPr>
      </w:pPr>
      <w:del w:id="7619" w:author="AbbVie1" w:date="2025-05-13T09:50:00Z">
        <w:r w:rsidRPr="001B4A02">
          <w:rPr>
            <w:lang w:val="cs-CZ"/>
          </w:rPr>
          <w:delText>V otevřené fázi studie byly odpovědi PASI 75</w:delText>
        </w:r>
        <w:r w:rsidR="002378E0">
          <w:rPr>
            <w:lang w:val="cs-CZ"/>
          </w:rPr>
          <w:delText xml:space="preserve"> a </w:delText>
        </w:r>
        <w:r w:rsidRPr="001B4A02">
          <w:rPr>
            <w:lang w:val="cs-CZ"/>
          </w:rPr>
          <w:delText>PGA čisté nebo minimální udrženy až po dobu dalších 52 týdnů s žádnými novými bezpečnostními nálezy.</w:delText>
        </w:r>
      </w:del>
    </w:p>
    <w:p w14:paraId="55B61ABB" w14:textId="77777777" w:rsidR="00A26519" w:rsidRPr="001B4A02" w:rsidRDefault="00A26519" w:rsidP="00A26519">
      <w:pPr>
        <w:ind w:left="0" w:firstLine="0"/>
        <w:rPr>
          <w:del w:id="7620" w:author="AbbVie1" w:date="2025-05-13T09:50:00Z"/>
        </w:rPr>
      </w:pPr>
    </w:p>
    <w:p w14:paraId="462C67CD" w14:textId="77777777" w:rsidR="00A26519" w:rsidRPr="001B4A02" w:rsidRDefault="00000000" w:rsidP="00A26519">
      <w:pPr>
        <w:pStyle w:val="EMEANormal"/>
        <w:keepNext/>
        <w:rPr>
          <w:del w:id="7621" w:author="AbbVie1" w:date="2025-05-13T09:50:00Z"/>
          <w:i/>
          <w:lang w:val="cs-CZ"/>
        </w:rPr>
      </w:pPr>
      <w:del w:id="7622" w:author="AbbVie1" w:date="2025-05-13T09:50:00Z">
        <w:r w:rsidRPr="001B4A02">
          <w:rPr>
            <w:i/>
            <w:iCs/>
            <w:szCs w:val="22"/>
            <w:lang w:val="cs-CZ"/>
          </w:rPr>
          <w:delText>Hidradenitis suppurativa u dospívajících</w:delText>
        </w:r>
      </w:del>
    </w:p>
    <w:p w14:paraId="30970495" w14:textId="77777777" w:rsidR="00A26519" w:rsidRPr="001B4A02" w:rsidRDefault="00A26519" w:rsidP="00A26519">
      <w:pPr>
        <w:pStyle w:val="EMEANormal"/>
        <w:keepNext/>
        <w:rPr>
          <w:del w:id="7623" w:author="AbbVie1" w:date="2025-05-13T09:50:00Z"/>
          <w:i/>
          <w:lang w:val="cs-CZ"/>
        </w:rPr>
      </w:pPr>
    </w:p>
    <w:p w14:paraId="2C978B31" w14:textId="77777777" w:rsidR="00A26519" w:rsidRPr="001B4A02" w:rsidRDefault="00000000" w:rsidP="00A26519">
      <w:pPr>
        <w:pStyle w:val="EMEANormal"/>
        <w:rPr>
          <w:del w:id="7624" w:author="AbbVie1" w:date="2025-05-13T09:50:00Z"/>
          <w:lang w:val="cs-CZ"/>
        </w:rPr>
      </w:pPr>
      <w:del w:id="7625" w:author="AbbVie1" w:date="2025-05-13T09:50:00Z">
        <w:r w:rsidRPr="001B4A02">
          <w:rPr>
            <w:szCs w:val="22"/>
            <w:lang w:val="cs-CZ"/>
          </w:rPr>
          <w:delText>U dospívajících pacientů s HS nejsou k dispozici žádné klinické studie u přípravku Humira. Účinnost adalimumabu v léčbě dospívajících pacientů s HS je predikována na základě prokázané účinnosti</w:delText>
        </w:r>
        <w:r w:rsidR="002378E0">
          <w:rPr>
            <w:szCs w:val="22"/>
            <w:lang w:val="cs-CZ"/>
          </w:rPr>
          <w:delText xml:space="preserve"> a </w:delText>
        </w:r>
        <w:r w:rsidRPr="001B4A02">
          <w:rPr>
            <w:szCs w:val="22"/>
            <w:lang w:val="cs-CZ"/>
          </w:rPr>
          <w:delText>vztahu expozice-odpověď u dospělých pacientů s HS</w:delText>
        </w:r>
        <w:r w:rsidR="002378E0">
          <w:rPr>
            <w:szCs w:val="22"/>
            <w:lang w:val="cs-CZ"/>
          </w:rPr>
          <w:delText xml:space="preserve"> a </w:delText>
        </w:r>
        <w:r w:rsidRPr="001B4A02">
          <w:rPr>
            <w:szCs w:val="22"/>
            <w:lang w:val="cs-CZ"/>
          </w:rPr>
          <w:delText>pravděpodobnosti, že průběh onemocnění, patofyziologie</w:delText>
        </w:r>
        <w:r w:rsidR="002378E0">
          <w:rPr>
            <w:szCs w:val="22"/>
            <w:lang w:val="cs-CZ"/>
          </w:rPr>
          <w:delText xml:space="preserve"> a </w:delText>
        </w:r>
        <w:r w:rsidRPr="001B4A02">
          <w:rPr>
            <w:szCs w:val="22"/>
            <w:lang w:val="cs-CZ"/>
          </w:rPr>
          <w:delText>účinky léku budou značně podobné jako u dospělých se stejnými úrovněmi expozice. Bezpečnost doporučené dávky adalimumabu u dospívající populace s HS vychází z bezpečnostního profilu adalimumabu napříč indikacemi jak u dospělých, tak u pediatrických pacientů při podobných nebo častějších dávkách (viz bod 5.2).</w:delText>
        </w:r>
      </w:del>
    </w:p>
    <w:p w14:paraId="4CC3A015" w14:textId="77777777" w:rsidR="00A26519" w:rsidRPr="001B4A02" w:rsidRDefault="00A26519" w:rsidP="00A26519">
      <w:pPr>
        <w:ind w:left="0" w:firstLine="0"/>
        <w:rPr>
          <w:del w:id="7626" w:author="AbbVie1" w:date="2025-05-13T09:50:00Z"/>
          <w:rFonts w:eastAsia="Calibri"/>
          <w:szCs w:val="22"/>
        </w:rPr>
      </w:pPr>
    </w:p>
    <w:p w14:paraId="07E111D6" w14:textId="77777777" w:rsidR="00A26519" w:rsidRPr="001B4A02" w:rsidRDefault="00000000" w:rsidP="00A26519">
      <w:pPr>
        <w:keepNext/>
        <w:ind w:left="0" w:firstLine="0"/>
        <w:rPr>
          <w:del w:id="7627" w:author="AbbVie1" w:date="2025-05-13T09:50:00Z"/>
          <w:i/>
        </w:rPr>
      </w:pPr>
      <w:del w:id="7628" w:author="AbbVie1" w:date="2025-05-13T09:50:00Z">
        <w:r w:rsidRPr="001B4A02">
          <w:rPr>
            <w:i/>
          </w:rPr>
          <w:delText>Crohnova choroba u pediatrických pacientů</w:delText>
        </w:r>
      </w:del>
    </w:p>
    <w:p w14:paraId="6075E7CD" w14:textId="77777777" w:rsidR="00A26519" w:rsidRPr="001B4A02" w:rsidRDefault="00A26519" w:rsidP="00A26519">
      <w:pPr>
        <w:keepNext/>
        <w:ind w:left="0" w:firstLine="0"/>
        <w:rPr>
          <w:del w:id="7629" w:author="AbbVie1" w:date="2025-05-13T09:50:00Z"/>
        </w:rPr>
      </w:pPr>
    </w:p>
    <w:p w14:paraId="264A91FE" w14:textId="77777777" w:rsidR="00A26519" w:rsidRPr="001B4A02" w:rsidRDefault="00000000" w:rsidP="00A26519">
      <w:pPr>
        <w:ind w:left="0" w:firstLine="0"/>
        <w:rPr>
          <w:del w:id="7630" w:author="AbbVie1" w:date="2025-05-13T09:50:00Z"/>
        </w:rPr>
      </w:pPr>
      <w:del w:id="7631" w:author="AbbVie1" w:date="2025-05-13T09:50:00Z">
        <w:r w:rsidRPr="001B4A02">
          <w:delText>Přípravek Humira byl hodnocen v multicentrické, randomizované, dvojitě zaslepené klinické studii, zaměřené na hodnocení účinnosti</w:delText>
        </w:r>
        <w:r w:rsidR="002378E0">
          <w:delText xml:space="preserve"> a </w:delText>
        </w:r>
        <w:r w:rsidRPr="001B4A02">
          <w:delText>bezpečnosti úvodní</w:delText>
        </w:r>
        <w:r w:rsidR="002378E0">
          <w:delText xml:space="preserve"> a </w:delText>
        </w:r>
        <w:r w:rsidRPr="001B4A02">
          <w:delText>udržovací léčby s dávkováním v závislosti na tělesné hmotnosti (&lt; 40</w:delText>
        </w:r>
        <w:r w:rsidR="002767FC">
          <w:delText> kg</w:delText>
        </w:r>
        <w:r w:rsidRPr="001B4A02">
          <w:delText xml:space="preserve"> nebo ≥ 40</w:delText>
        </w:r>
        <w:r w:rsidR="002767FC">
          <w:delText> kg</w:delText>
        </w:r>
        <w:r w:rsidRPr="001B4A02">
          <w:delText>) u 192 pediatrických subjektů ve věkovém roz</w:delText>
        </w:r>
        <w:r>
          <w:delText>m</w:delText>
        </w:r>
        <w:r w:rsidRPr="001B4A02">
          <w:delText>ezí 6 až 17 let (včetně) se středně těžkou až těžkou Crohnovou chorobou (</w:delText>
        </w:r>
        <w:r w:rsidRPr="001B4A02">
          <w:rPr>
            <w:szCs w:val="22"/>
          </w:rPr>
          <w:delText>Crohn's Disease</w:delText>
        </w:r>
        <w:r w:rsidRPr="001B4A02">
          <w:delText>, CD), definovanou pediatrickým indexem aktivity Crohnovy choroby (PCDAI) se skóre &gt; 3</w:delText>
        </w:r>
        <w:r>
          <w:delText>0</w:delText>
        </w:r>
        <w:r w:rsidRPr="001B4A02">
          <w:delText>. Subjekty musely splňovat tato kritéria: musela u nich selhat konvenční léčba Crohnovy choroby (včetně kortikosteroidů a/nebo imunomodulátorů). Dále u nich muselo dojít ke ztrátě odpovědi na léčbu, nebo netolerovaly infliximab.</w:delText>
        </w:r>
      </w:del>
    </w:p>
    <w:p w14:paraId="15CF940B" w14:textId="77777777" w:rsidR="00A26519" w:rsidRPr="001B4A02" w:rsidRDefault="00A26519" w:rsidP="00A26519">
      <w:pPr>
        <w:ind w:left="0" w:firstLine="0"/>
        <w:rPr>
          <w:del w:id="7632" w:author="AbbVie1" w:date="2025-05-13T09:50:00Z"/>
        </w:rPr>
      </w:pPr>
    </w:p>
    <w:p w14:paraId="576F2A82" w14:textId="77777777" w:rsidR="00A26519" w:rsidRPr="001B4A02" w:rsidRDefault="00000000" w:rsidP="00A26519">
      <w:pPr>
        <w:ind w:left="0" w:firstLine="0"/>
        <w:rPr>
          <w:del w:id="7633" w:author="AbbVie1" w:date="2025-05-13T09:50:00Z"/>
        </w:rPr>
      </w:pPr>
      <w:del w:id="7634" w:author="AbbVie1" w:date="2025-05-13T09:50:00Z">
        <w:r w:rsidRPr="001B4A02">
          <w:delText>Všechny subjekty dostaly v otevřené fázi úvodní dávku v závislosti na jejich výchozí tělesné hmotnosti: 160</w:delText>
        </w:r>
        <w:r w:rsidR="00F365E7" w:rsidRPr="00005EC2">
          <w:rPr>
            <w:szCs w:val="22"/>
          </w:rPr>
          <w:delText> </w:delText>
        </w:r>
        <w:r w:rsidRPr="001B4A02">
          <w:delText>mg v týdnu 0</w:delText>
        </w:r>
        <w:r w:rsidR="002378E0">
          <w:delText xml:space="preserve"> a </w:delText>
        </w:r>
        <w:r w:rsidRPr="001B4A02">
          <w:delText>80</w:delText>
        </w:r>
        <w:r w:rsidR="00F365E7" w:rsidRPr="00005EC2">
          <w:rPr>
            <w:szCs w:val="22"/>
          </w:rPr>
          <w:delText> </w:delText>
        </w:r>
        <w:r w:rsidRPr="001B4A02">
          <w:delText>mg v týdnu 2 u subjektů ≥</w:delText>
        </w:r>
        <w:r w:rsidR="00F365E7" w:rsidRPr="00005EC2">
          <w:rPr>
            <w:szCs w:val="22"/>
          </w:rPr>
          <w:delText> </w:delText>
        </w:r>
        <w:r w:rsidRPr="001B4A02">
          <w:delText>40</w:delText>
        </w:r>
        <w:r w:rsidR="002767FC">
          <w:rPr>
            <w:szCs w:val="22"/>
          </w:rPr>
          <w:delText> kg</w:delText>
        </w:r>
        <w:r w:rsidR="002378E0">
          <w:delText xml:space="preserve"> a </w:delText>
        </w:r>
        <w:r w:rsidRPr="001B4A02">
          <w:delText>80</w:delText>
        </w:r>
        <w:r w:rsidR="00F365E7" w:rsidRPr="00005EC2">
          <w:rPr>
            <w:szCs w:val="22"/>
          </w:rPr>
          <w:delText> </w:delText>
        </w:r>
        <w:r w:rsidRPr="001B4A02">
          <w:delText>mg v týdnu 0</w:delText>
        </w:r>
        <w:r w:rsidR="002378E0">
          <w:delText xml:space="preserve"> a </w:delText>
        </w:r>
        <w:r w:rsidRPr="001B4A02">
          <w:delText>40</w:delText>
        </w:r>
        <w:r w:rsidR="00F365E7" w:rsidRPr="00005EC2">
          <w:rPr>
            <w:szCs w:val="22"/>
          </w:rPr>
          <w:delText> </w:delText>
        </w:r>
        <w:r w:rsidRPr="001B4A02">
          <w:delText>mg v týdnu 2 u subjektů &lt;</w:delText>
        </w:r>
        <w:r w:rsidR="00F365E7" w:rsidRPr="00005EC2">
          <w:rPr>
            <w:szCs w:val="22"/>
          </w:rPr>
          <w:delText> </w:delText>
        </w:r>
        <w:r w:rsidRPr="001B4A02">
          <w:delText>40</w:delText>
        </w:r>
        <w:r w:rsidR="002767FC">
          <w:rPr>
            <w:szCs w:val="22"/>
          </w:rPr>
          <w:delText> kg</w:delText>
        </w:r>
        <w:r w:rsidRPr="001B4A02">
          <w:delText>.</w:delText>
        </w:r>
      </w:del>
    </w:p>
    <w:p w14:paraId="5EBEA620" w14:textId="77777777" w:rsidR="00A26519" w:rsidRPr="001B4A02" w:rsidRDefault="00A26519" w:rsidP="00A26519">
      <w:pPr>
        <w:ind w:left="0" w:firstLine="0"/>
        <w:rPr>
          <w:del w:id="7635" w:author="AbbVie1" w:date="2025-05-13T09:50:00Z"/>
        </w:rPr>
      </w:pPr>
    </w:p>
    <w:p w14:paraId="52F7FEDA" w14:textId="77777777" w:rsidR="00A26519" w:rsidRPr="001B4A02" w:rsidRDefault="00000000" w:rsidP="00A26519">
      <w:pPr>
        <w:ind w:left="0" w:firstLine="0"/>
        <w:rPr>
          <w:del w:id="7636" w:author="AbbVie1" w:date="2025-05-13T09:50:00Z"/>
        </w:rPr>
      </w:pPr>
      <w:del w:id="7637" w:author="AbbVie1" w:date="2025-05-13T09:50:00Z">
        <w:r w:rsidRPr="001B4A02">
          <w:delText>V týdnu 4 byly subjekty randomizovány v poměru 1:1 v závislosti na jejich tělesné hmotnosti v daném čase</w:delText>
        </w:r>
        <w:r w:rsidR="002378E0">
          <w:delText xml:space="preserve"> a </w:delText>
        </w:r>
        <w:r w:rsidRPr="001B4A02">
          <w:delText xml:space="preserve">byla jim v režimu udržovací léčby podávána buď snížená dávka, nebo dávka standardní, jak je patrno v tabulce </w:delText>
        </w:r>
        <w:r w:rsidR="00CC1B29">
          <w:delText>28</w:delText>
        </w:r>
        <w:r w:rsidRPr="001B4A02">
          <w:delText>.</w:delText>
        </w:r>
      </w:del>
    </w:p>
    <w:p w14:paraId="0EF8DA40" w14:textId="77777777" w:rsidR="00A26519" w:rsidRPr="001B4A02" w:rsidRDefault="00A26519" w:rsidP="00A26519">
      <w:pPr>
        <w:pStyle w:val="EMEANormal"/>
        <w:rPr>
          <w:del w:id="7638" w:author="AbbVie1" w:date="2025-05-13T09:50:00Z"/>
          <w:lang w:val="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5"/>
        <w:gridCol w:w="2852"/>
        <w:gridCol w:w="2782"/>
      </w:tblGrid>
      <w:tr w:rsidR="00534A2D" w14:paraId="6196D3F0" w14:textId="77777777" w:rsidTr="00E571F5">
        <w:trPr>
          <w:trHeight w:val="263"/>
          <w:jc w:val="center"/>
          <w:del w:id="7639" w:author="AbbVie1" w:date="2025-05-13T09:50:00Z"/>
        </w:trPr>
        <w:tc>
          <w:tcPr>
            <w:tcW w:w="8739" w:type="dxa"/>
            <w:gridSpan w:val="3"/>
            <w:tcBorders>
              <w:top w:val="single" w:sz="4" w:space="0" w:color="auto"/>
              <w:left w:val="single" w:sz="4" w:space="0" w:color="auto"/>
              <w:bottom w:val="single" w:sz="4" w:space="0" w:color="auto"/>
              <w:right w:val="single" w:sz="4" w:space="0" w:color="auto"/>
            </w:tcBorders>
          </w:tcPr>
          <w:p w14:paraId="7BD96FAF" w14:textId="77777777" w:rsidR="00A26519" w:rsidRPr="001B4A02" w:rsidRDefault="00000000" w:rsidP="00E571F5">
            <w:pPr>
              <w:pStyle w:val="EMEANormal"/>
              <w:ind w:left="567" w:hanging="567"/>
              <w:jc w:val="center"/>
              <w:rPr>
                <w:del w:id="7640" w:author="AbbVie1" w:date="2025-05-13T09:50:00Z"/>
                <w:b/>
                <w:szCs w:val="24"/>
                <w:lang w:val="cs-CZ"/>
              </w:rPr>
            </w:pPr>
            <w:del w:id="7641" w:author="AbbVie1" w:date="2025-05-13T09:50:00Z">
              <w:r w:rsidRPr="001B4A02">
                <w:rPr>
                  <w:b/>
                  <w:szCs w:val="24"/>
                  <w:lang w:val="cs-CZ"/>
                </w:rPr>
                <w:delText xml:space="preserve">Tabulka </w:delText>
              </w:r>
              <w:r w:rsidR="00CC1B29">
                <w:rPr>
                  <w:b/>
                  <w:szCs w:val="24"/>
                  <w:lang w:val="cs-CZ"/>
                </w:rPr>
                <w:delText>28</w:delText>
              </w:r>
            </w:del>
          </w:p>
          <w:p w14:paraId="5F9E93BE" w14:textId="77777777" w:rsidR="00A26519" w:rsidRPr="001B4A02" w:rsidRDefault="00000000" w:rsidP="00E571F5">
            <w:pPr>
              <w:pStyle w:val="EMEANormal"/>
              <w:ind w:left="567" w:hanging="567"/>
              <w:jc w:val="center"/>
              <w:rPr>
                <w:del w:id="7642" w:author="AbbVie1" w:date="2025-05-13T09:50:00Z"/>
                <w:szCs w:val="24"/>
                <w:lang w:val="cs-CZ"/>
              </w:rPr>
            </w:pPr>
            <w:del w:id="7643" w:author="AbbVie1" w:date="2025-05-13T09:50:00Z">
              <w:r w:rsidRPr="001B4A02">
                <w:rPr>
                  <w:b/>
                  <w:szCs w:val="24"/>
                  <w:lang w:val="cs-CZ"/>
                </w:rPr>
                <w:delText>Režim udržovací dávky</w:delText>
              </w:r>
            </w:del>
          </w:p>
        </w:tc>
      </w:tr>
      <w:tr w:rsidR="00534A2D" w14:paraId="55F19B67" w14:textId="77777777" w:rsidTr="00E571F5">
        <w:trPr>
          <w:jc w:val="center"/>
          <w:del w:id="7644" w:author="AbbVie1" w:date="2025-05-13T09:50:00Z"/>
        </w:trPr>
        <w:tc>
          <w:tcPr>
            <w:tcW w:w="3105" w:type="dxa"/>
            <w:tcBorders>
              <w:top w:val="single" w:sz="4" w:space="0" w:color="auto"/>
              <w:left w:val="single" w:sz="4" w:space="0" w:color="auto"/>
              <w:bottom w:val="single" w:sz="4" w:space="0" w:color="auto"/>
              <w:right w:val="single" w:sz="4" w:space="0" w:color="auto"/>
            </w:tcBorders>
          </w:tcPr>
          <w:p w14:paraId="724D77F3" w14:textId="77777777" w:rsidR="00A26519" w:rsidRPr="001B4A02" w:rsidRDefault="00000000" w:rsidP="00E571F5">
            <w:pPr>
              <w:pStyle w:val="EMEANormal"/>
              <w:rPr>
                <w:del w:id="7645" w:author="AbbVie1" w:date="2025-05-13T09:50:00Z"/>
                <w:b/>
                <w:szCs w:val="24"/>
                <w:lang w:val="cs-CZ"/>
              </w:rPr>
            </w:pPr>
            <w:del w:id="7646" w:author="AbbVie1" w:date="2025-05-13T09:50:00Z">
              <w:r w:rsidRPr="001B4A02">
                <w:rPr>
                  <w:b/>
                  <w:szCs w:val="24"/>
                  <w:lang w:val="cs-CZ"/>
                </w:rPr>
                <w:delText>Hmotnost pacienta</w:delText>
              </w:r>
            </w:del>
          </w:p>
        </w:tc>
        <w:tc>
          <w:tcPr>
            <w:tcW w:w="2852" w:type="dxa"/>
            <w:tcBorders>
              <w:top w:val="single" w:sz="4" w:space="0" w:color="auto"/>
              <w:left w:val="single" w:sz="4" w:space="0" w:color="auto"/>
              <w:bottom w:val="single" w:sz="4" w:space="0" w:color="auto"/>
              <w:right w:val="single" w:sz="4" w:space="0" w:color="auto"/>
            </w:tcBorders>
          </w:tcPr>
          <w:p w14:paraId="20FF9659" w14:textId="77777777" w:rsidR="00A26519" w:rsidRPr="001B4A02" w:rsidRDefault="00000000" w:rsidP="00E571F5">
            <w:pPr>
              <w:pStyle w:val="EMEANormal"/>
              <w:jc w:val="center"/>
              <w:rPr>
                <w:del w:id="7647" w:author="AbbVie1" w:date="2025-05-13T09:50:00Z"/>
                <w:b/>
                <w:szCs w:val="24"/>
                <w:lang w:val="cs-CZ"/>
              </w:rPr>
            </w:pPr>
            <w:del w:id="7648" w:author="AbbVie1" w:date="2025-05-13T09:50:00Z">
              <w:r w:rsidRPr="001B4A02">
                <w:rPr>
                  <w:b/>
                  <w:szCs w:val="24"/>
                  <w:lang w:val="cs-CZ"/>
                </w:rPr>
                <w:delText>Snížená dávka</w:delText>
              </w:r>
            </w:del>
          </w:p>
        </w:tc>
        <w:tc>
          <w:tcPr>
            <w:tcW w:w="2782" w:type="dxa"/>
            <w:tcBorders>
              <w:top w:val="single" w:sz="4" w:space="0" w:color="auto"/>
              <w:left w:val="single" w:sz="4" w:space="0" w:color="auto"/>
              <w:bottom w:val="single" w:sz="4" w:space="0" w:color="auto"/>
              <w:right w:val="single" w:sz="4" w:space="0" w:color="auto"/>
            </w:tcBorders>
          </w:tcPr>
          <w:p w14:paraId="08378B8F" w14:textId="77777777" w:rsidR="00A26519" w:rsidRPr="001B4A02" w:rsidRDefault="00000000" w:rsidP="00E571F5">
            <w:pPr>
              <w:pStyle w:val="EMEANormal"/>
              <w:jc w:val="center"/>
              <w:rPr>
                <w:del w:id="7649" w:author="AbbVie1" w:date="2025-05-13T09:50:00Z"/>
                <w:b/>
                <w:szCs w:val="24"/>
                <w:lang w:val="cs-CZ"/>
              </w:rPr>
            </w:pPr>
            <w:del w:id="7650" w:author="AbbVie1" w:date="2025-05-13T09:50:00Z">
              <w:r w:rsidRPr="001B4A02">
                <w:rPr>
                  <w:b/>
                  <w:szCs w:val="24"/>
                  <w:lang w:val="cs-CZ"/>
                </w:rPr>
                <w:delText>Standardní dávka</w:delText>
              </w:r>
            </w:del>
          </w:p>
        </w:tc>
      </w:tr>
      <w:tr w:rsidR="00534A2D" w14:paraId="422BC4F7" w14:textId="77777777" w:rsidTr="00E571F5">
        <w:trPr>
          <w:jc w:val="center"/>
          <w:del w:id="7651" w:author="AbbVie1" w:date="2025-05-13T09:50:00Z"/>
        </w:trPr>
        <w:tc>
          <w:tcPr>
            <w:tcW w:w="3105" w:type="dxa"/>
            <w:tcBorders>
              <w:top w:val="single" w:sz="4" w:space="0" w:color="auto"/>
              <w:left w:val="single" w:sz="4" w:space="0" w:color="auto"/>
              <w:bottom w:val="single" w:sz="4" w:space="0" w:color="auto"/>
              <w:right w:val="single" w:sz="4" w:space="0" w:color="auto"/>
            </w:tcBorders>
          </w:tcPr>
          <w:p w14:paraId="30E3AFF0" w14:textId="77777777" w:rsidR="00A26519" w:rsidRPr="001B4A02" w:rsidRDefault="00000000" w:rsidP="00E571F5">
            <w:pPr>
              <w:pStyle w:val="EMEANormal"/>
              <w:ind w:left="567" w:hanging="567"/>
              <w:jc w:val="center"/>
              <w:rPr>
                <w:del w:id="7652" w:author="AbbVie1" w:date="2025-05-13T09:50:00Z"/>
                <w:szCs w:val="24"/>
                <w:lang w:val="cs-CZ"/>
              </w:rPr>
            </w:pPr>
            <w:del w:id="7653" w:author="AbbVie1" w:date="2025-05-13T09:50:00Z">
              <w:r w:rsidRPr="001B4A02">
                <w:rPr>
                  <w:szCs w:val="24"/>
                  <w:lang w:val="cs-CZ"/>
                </w:rPr>
                <w:delText>&lt; 40</w:delText>
              </w:r>
              <w:r w:rsidR="002767FC" w:rsidRPr="00063CB5">
                <w:rPr>
                  <w:szCs w:val="22"/>
                  <w:lang w:val="cs-CZ"/>
                  <w:rPrChange w:id="7654" w:author="Abbvie02" w:date="2025-05-16T11:13:00Z">
                    <w:rPr>
                      <w:szCs w:val="22"/>
                    </w:rPr>
                  </w:rPrChange>
                </w:rPr>
                <w:delText> kg</w:delText>
              </w:r>
            </w:del>
          </w:p>
        </w:tc>
        <w:tc>
          <w:tcPr>
            <w:tcW w:w="2852" w:type="dxa"/>
            <w:tcBorders>
              <w:top w:val="single" w:sz="4" w:space="0" w:color="auto"/>
              <w:left w:val="single" w:sz="4" w:space="0" w:color="auto"/>
              <w:bottom w:val="single" w:sz="4" w:space="0" w:color="auto"/>
              <w:right w:val="single" w:sz="4" w:space="0" w:color="auto"/>
            </w:tcBorders>
          </w:tcPr>
          <w:p w14:paraId="29E144C8" w14:textId="77777777" w:rsidR="00A26519" w:rsidRPr="001B4A02" w:rsidRDefault="00000000" w:rsidP="00E571F5">
            <w:pPr>
              <w:pStyle w:val="EMEANormal"/>
              <w:jc w:val="center"/>
              <w:rPr>
                <w:del w:id="7655" w:author="AbbVie1" w:date="2025-05-13T09:50:00Z"/>
                <w:szCs w:val="24"/>
                <w:lang w:val="cs-CZ"/>
              </w:rPr>
            </w:pPr>
            <w:del w:id="7656" w:author="AbbVie1" w:date="2025-05-13T09:50:00Z">
              <w:r w:rsidRPr="001B4A02">
                <w:rPr>
                  <w:szCs w:val="24"/>
                  <w:lang w:val="cs-CZ"/>
                </w:rPr>
                <w:delText>10</w:delText>
              </w:r>
              <w:r w:rsidR="00F365E7" w:rsidRPr="00063CB5">
                <w:rPr>
                  <w:szCs w:val="22"/>
                  <w:lang w:val="cs-CZ"/>
                  <w:rPrChange w:id="7657" w:author="Abbvie02" w:date="2025-05-16T11:13:00Z">
                    <w:rPr>
                      <w:szCs w:val="22"/>
                    </w:rPr>
                  </w:rPrChange>
                </w:rPr>
                <w:delText> </w:delText>
              </w:r>
              <w:r w:rsidRPr="001B4A02">
                <w:rPr>
                  <w:szCs w:val="24"/>
                  <w:lang w:val="cs-CZ"/>
                </w:rPr>
                <w:delText>mg každý druhý týden</w:delText>
              </w:r>
            </w:del>
          </w:p>
        </w:tc>
        <w:tc>
          <w:tcPr>
            <w:tcW w:w="2782" w:type="dxa"/>
            <w:tcBorders>
              <w:top w:val="single" w:sz="4" w:space="0" w:color="auto"/>
              <w:left w:val="single" w:sz="4" w:space="0" w:color="auto"/>
              <w:bottom w:val="single" w:sz="4" w:space="0" w:color="auto"/>
              <w:right w:val="single" w:sz="4" w:space="0" w:color="auto"/>
            </w:tcBorders>
          </w:tcPr>
          <w:p w14:paraId="42188825" w14:textId="77777777" w:rsidR="00A26519" w:rsidRPr="001B4A02" w:rsidRDefault="00000000" w:rsidP="00E571F5">
            <w:pPr>
              <w:pStyle w:val="EMEANormal"/>
              <w:ind w:left="567" w:hanging="567"/>
              <w:jc w:val="center"/>
              <w:rPr>
                <w:del w:id="7658" w:author="AbbVie1" w:date="2025-05-13T09:50:00Z"/>
                <w:szCs w:val="24"/>
                <w:lang w:val="cs-CZ"/>
              </w:rPr>
            </w:pPr>
            <w:del w:id="7659" w:author="AbbVie1" w:date="2025-05-13T09:50:00Z">
              <w:r w:rsidRPr="001B4A02">
                <w:rPr>
                  <w:szCs w:val="24"/>
                  <w:lang w:val="cs-CZ"/>
                </w:rPr>
                <w:delText>20</w:delText>
              </w:r>
              <w:r w:rsidR="00F365E7" w:rsidRPr="00063CB5">
                <w:rPr>
                  <w:szCs w:val="22"/>
                  <w:lang w:val="cs-CZ"/>
                  <w:rPrChange w:id="7660" w:author="Abbvie02" w:date="2025-05-16T11:13:00Z">
                    <w:rPr>
                      <w:szCs w:val="22"/>
                    </w:rPr>
                  </w:rPrChange>
                </w:rPr>
                <w:delText> </w:delText>
              </w:r>
              <w:r w:rsidRPr="001B4A02">
                <w:rPr>
                  <w:szCs w:val="24"/>
                  <w:lang w:val="cs-CZ"/>
                </w:rPr>
                <w:delText>mg každý druhý týden</w:delText>
              </w:r>
            </w:del>
          </w:p>
        </w:tc>
      </w:tr>
      <w:tr w:rsidR="00534A2D" w14:paraId="72F17C85" w14:textId="77777777" w:rsidTr="00E571F5">
        <w:trPr>
          <w:jc w:val="center"/>
          <w:del w:id="7661" w:author="AbbVie1" w:date="2025-05-13T09:50:00Z"/>
        </w:trPr>
        <w:tc>
          <w:tcPr>
            <w:tcW w:w="3105" w:type="dxa"/>
            <w:tcBorders>
              <w:top w:val="single" w:sz="4" w:space="0" w:color="auto"/>
              <w:left w:val="single" w:sz="4" w:space="0" w:color="auto"/>
              <w:bottom w:val="single" w:sz="4" w:space="0" w:color="auto"/>
              <w:right w:val="single" w:sz="4" w:space="0" w:color="auto"/>
            </w:tcBorders>
          </w:tcPr>
          <w:p w14:paraId="2430032F" w14:textId="77777777" w:rsidR="00A26519" w:rsidRPr="001B4A02" w:rsidRDefault="00000000" w:rsidP="00E571F5">
            <w:pPr>
              <w:pStyle w:val="EMEANormal"/>
              <w:ind w:left="567" w:hanging="567"/>
              <w:jc w:val="center"/>
              <w:rPr>
                <w:del w:id="7662" w:author="AbbVie1" w:date="2025-05-13T09:50:00Z"/>
                <w:szCs w:val="24"/>
                <w:lang w:val="cs-CZ"/>
              </w:rPr>
            </w:pPr>
            <w:del w:id="7663" w:author="AbbVie1" w:date="2025-05-13T09:50:00Z">
              <w:r w:rsidRPr="001B4A02">
                <w:rPr>
                  <w:szCs w:val="24"/>
                  <w:lang w:val="cs-CZ"/>
                </w:rPr>
                <w:delText>≥ 40</w:delText>
              </w:r>
              <w:r w:rsidR="002767FC" w:rsidRPr="00063CB5">
                <w:rPr>
                  <w:szCs w:val="22"/>
                  <w:lang w:val="cs-CZ"/>
                  <w:rPrChange w:id="7664" w:author="Abbvie02" w:date="2025-05-16T11:13:00Z">
                    <w:rPr>
                      <w:szCs w:val="22"/>
                    </w:rPr>
                  </w:rPrChange>
                </w:rPr>
                <w:delText> kg</w:delText>
              </w:r>
            </w:del>
          </w:p>
        </w:tc>
        <w:tc>
          <w:tcPr>
            <w:tcW w:w="2852" w:type="dxa"/>
            <w:tcBorders>
              <w:top w:val="single" w:sz="4" w:space="0" w:color="auto"/>
              <w:left w:val="single" w:sz="4" w:space="0" w:color="auto"/>
              <w:bottom w:val="single" w:sz="4" w:space="0" w:color="auto"/>
              <w:right w:val="single" w:sz="4" w:space="0" w:color="auto"/>
            </w:tcBorders>
          </w:tcPr>
          <w:p w14:paraId="60F6F88A" w14:textId="77777777" w:rsidR="00A26519" w:rsidRPr="001B4A02" w:rsidRDefault="00000000" w:rsidP="00E571F5">
            <w:pPr>
              <w:pStyle w:val="EMEANormal"/>
              <w:jc w:val="center"/>
              <w:rPr>
                <w:del w:id="7665" w:author="AbbVie1" w:date="2025-05-13T09:50:00Z"/>
                <w:szCs w:val="24"/>
                <w:lang w:val="cs-CZ"/>
              </w:rPr>
            </w:pPr>
            <w:del w:id="7666" w:author="AbbVie1" w:date="2025-05-13T09:50:00Z">
              <w:r w:rsidRPr="001B4A02">
                <w:rPr>
                  <w:szCs w:val="24"/>
                  <w:lang w:val="cs-CZ"/>
                </w:rPr>
                <w:delText>20</w:delText>
              </w:r>
              <w:r w:rsidR="00F365E7" w:rsidRPr="00063CB5">
                <w:rPr>
                  <w:szCs w:val="22"/>
                  <w:lang w:val="cs-CZ"/>
                  <w:rPrChange w:id="7667" w:author="Abbvie02" w:date="2025-05-16T11:13:00Z">
                    <w:rPr>
                      <w:szCs w:val="22"/>
                    </w:rPr>
                  </w:rPrChange>
                </w:rPr>
                <w:delText> </w:delText>
              </w:r>
              <w:r w:rsidRPr="001B4A02">
                <w:rPr>
                  <w:szCs w:val="24"/>
                  <w:lang w:val="cs-CZ"/>
                </w:rPr>
                <w:delText>mg každý druhý týden</w:delText>
              </w:r>
            </w:del>
          </w:p>
        </w:tc>
        <w:tc>
          <w:tcPr>
            <w:tcW w:w="2782" w:type="dxa"/>
            <w:tcBorders>
              <w:top w:val="single" w:sz="4" w:space="0" w:color="auto"/>
              <w:left w:val="single" w:sz="4" w:space="0" w:color="auto"/>
              <w:bottom w:val="single" w:sz="4" w:space="0" w:color="auto"/>
              <w:right w:val="single" w:sz="4" w:space="0" w:color="auto"/>
            </w:tcBorders>
          </w:tcPr>
          <w:p w14:paraId="7DA9B77F" w14:textId="77777777" w:rsidR="00A26519" w:rsidRPr="001B4A02" w:rsidRDefault="00000000" w:rsidP="00E571F5">
            <w:pPr>
              <w:pStyle w:val="EMEANormal"/>
              <w:ind w:left="567" w:hanging="567"/>
              <w:jc w:val="center"/>
              <w:rPr>
                <w:del w:id="7668" w:author="AbbVie1" w:date="2025-05-13T09:50:00Z"/>
                <w:szCs w:val="24"/>
                <w:lang w:val="cs-CZ"/>
              </w:rPr>
            </w:pPr>
            <w:del w:id="7669" w:author="AbbVie1" w:date="2025-05-13T09:50:00Z">
              <w:r w:rsidRPr="001B4A02">
                <w:rPr>
                  <w:szCs w:val="24"/>
                  <w:lang w:val="cs-CZ"/>
                </w:rPr>
                <w:delText>40</w:delText>
              </w:r>
              <w:r w:rsidR="00F365E7" w:rsidRPr="00063CB5">
                <w:rPr>
                  <w:szCs w:val="22"/>
                  <w:lang w:val="cs-CZ"/>
                  <w:rPrChange w:id="7670" w:author="Abbvie02" w:date="2025-05-16T11:13:00Z">
                    <w:rPr>
                      <w:szCs w:val="22"/>
                    </w:rPr>
                  </w:rPrChange>
                </w:rPr>
                <w:delText> </w:delText>
              </w:r>
              <w:r w:rsidRPr="001B4A02">
                <w:rPr>
                  <w:szCs w:val="24"/>
                  <w:lang w:val="cs-CZ"/>
                </w:rPr>
                <w:delText>mg každý druhý týden</w:delText>
              </w:r>
            </w:del>
          </w:p>
        </w:tc>
      </w:tr>
    </w:tbl>
    <w:p w14:paraId="3542DE0C" w14:textId="77777777" w:rsidR="00A26519" w:rsidRPr="001B4A02" w:rsidRDefault="00A26519" w:rsidP="00A26519">
      <w:pPr>
        <w:pStyle w:val="EMEANormal"/>
        <w:rPr>
          <w:del w:id="7671" w:author="AbbVie1" w:date="2025-05-13T09:50:00Z"/>
          <w:szCs w:val="24"/>
          <w:lang w:val="cs-CZ"/>
        </w:rPr>
      </w:pPr>
    </w:p>
    <w:p w14:paraId="614D4335" w14:textId="77777777" w:rsidR="00A26519" w:rsidRPr="001B4A02" w:rsidRDefault="00000000" w:rsidP="00A26519">
      <w:pPr>
        <w:keepNext/>
        <w:ind w:left="0" w:firstLine="0"/>
        <w:rPr>
          <w:del w:id="7672" w:author="AbbVie1" w:date="2025-05-13T09:50:00Z"/>
          <w:i/>
          <w:u w:val="single"/>
        </w:rPr>
      </w:pPr>
      <w:del w:id="7673" w:author="AbbVie1" w:date="2025-05-13T09:50:00Z">
        <w:r w:rsidRPr="001B4A02">
          <w:rPr>
            <w:i/>
            <w:u w:val="single"/>
          </w:rPr>
          <w:delText>Výsledky hodnocení účinnosti</w:delText>
        </w:r>
      </w:del>
    </w:p>
    <w:p w14:paraId="6C1821B7" w14:textId="77777777" w:rsidR="00A26519" w:rsidRPr="001B4A02" w:rsidRDefault="00A26519" w:rsidP="00A26519">
      <w:pPr>
        <w:keepNext/>
        <w:ind w:left="0" w:firstLine="0"/>
        <w:rPr>
          <w:del w:id="7674" w:author="AbbVie1" w:date="2025-05-13T09:50:00Z"/>
        </w:rPr>
      </w:pPr>
    </w:p>
    <w:p w14:paraId="74D26509" w14:textId="77777777" w:rsidR="00A26519" w:rsidRPr="001B4A02" w:rsidRDefault="00000000" w:rsidP="00A26519">
      <w:pPr>
        <w:ind w:left="0" w:firstLine="0"/>
        <w:rPr>
          <w:del w:id="7675" w:author="AbbVie1" w:date="2025-05-13T09:50:00Z"/>
        </w:rPr>
      </w:pPr>
      <w:del w:id="7676" w:author="AbbVie1" w:date="2025-05-13T09:50:00Z">
        <w:r w:rsidRPr="001B4A02">
          <w:delText>Primárním cílem studie bylo dosažení klinické remise v týdnu 26, definované jako skóre PCDAI ≤ 10.</w:delText>
        </w:r>
      </w:del>
    </w:p>
    <w:p w14:paraId="467AF857" w14:textId="77777777" w:rsidR="00A26519" w:rsidRPr="001B4A02" w:rsidRDefault="00A26519" w:rsidP="00A26519">
      <w:pPr>
        <w:ind w:left="0" w:firstLine="0"/>
        <w:rPr>
          <w:del w:id="7677" w:author="AbbVie1" w:date="2025-05-13T09:50:00Z"/>
        </w:rPr>
      </w:pPr>
    </w:p>
    <w:p w14:paraId="7695F4FF" w14:textId="77777777" w:rsidR="00A26519" w:rsidRPr="001B4A02" w:rsidRDefault="00000000" w:rsidP="00A26519">
      <w:pPr>
        <w:ind w:left="0" w:firstLine="0"/>
        <w:rPr>
          <w:del w:id="7678" w:author="AbbVie1" w:date="2025-05-13T09:50:00Z"/>
        </w:rPr>
      </w:pPr>
      <w:del w:id="7679" w:author="AbbVie1" w:date="2025-05-13T09:50:00Z">
        <w:r w:rsidRPr="001B4A02">
          <w:delText>Rozsah klinické remise</w:delText>
        </w:r>
        <w:r w:rsidR="002378E0">
          <w:delText xml:space="preserve"> a </w:delText>
        </w:r>
        <w:r w:rsidRPr="001B4A02">
          <w:delText xml:space="preserve">klinické odpovědi (definované jako snížení skóre PCDAI o minimálně 15 bodů v porovnání s výchozím stavem) je prezentován v tabulce </w:delText>
        </w:r>
        <w:r w:rsidR="00CC1B29">
          <w:delText>29</w:delText>
        </w:r>
        <w:r w:rsidRPr="001B4A02">
          <w:delText xml:space="preserve">. Rozsah míry vysazení kortikosteroidů nebo imunomodulátorů je prezentován v tabulce </w:delText>
        </w:r>
        <w:r w:rsidR="00CC1B29">
          <w:delText>30</w:delText>
        </w:r>
        <w:r w:rsidRPr="001B4A02">
          <w:delText>.</w:delText>
        </w:r>
      </w:del>
    </w:p>
    <w:p w14:paraId="71E4E135" w14:textId="77777777" w:rsidR="00A26519" w:rsidRPr="001B4A02" w:rsidRDefault="00A26519" w:rsidP="00A26519">
      <w:pPr>
        <w:tabs>
          <w:tab w:val="left" w:pos="1294"/>
        </w:tabs>
        <w:autoSpaceDE w:val="0"/>
        <w:autoSpaceDN w:val="0"/>
        <w:adjustRightInd w:val="0"/>
        <w:rPr>
          <w:del w:id="7680" w:author="AbbVie1" w:date="2025-05-13T09:50:00Z"/>
          <w:szCs w:val="22"/>
        </w:rPr>
      </w:pPr>
    </w:p>
    <w:tbl>
      <w:tblPr>
        <w:tblW w:w="5000" w:type="pct"/>
        <w:jc w:val="center"/>
        <w:tblCellMar>
          <w:left w:w="0" w:type="dxa"/>
          <w:right w:w="0" w:type="dxa"/>
        </w:tblCellMar>
        <w:tblLook w:val="00A0" w:firstRow="1" w:lastRow="0" w:firstColumn="1" w:lastColumn="0" w:noHBand="0" w:noVBand="0"/>
      </w:tblPr>
      <w:tblGrid>
        <w:gridCol w:w="2691"/>
        <w:gridCol w:w="2483"/>
        <w:gridCol w:w="2442"/>
        <w:gridCol w:w="1439"/>
      </w:tblGrid>
      <w:tr w:rsidR="00534A2D" w14:paraId="4048455A" w14:textId="77777777" w:rsidTr="00F365E7">
        <w:trPr>
          <w:jc w:val="center"/>
          <w:del w:id="7681" w:author="AbbVie1" w:date="2025-05-13T09:50:00Z"/>
        </w:trPr>
        <w:tc>
          <w:tcPr>
            <w:tcW w:w="8933" w:type="dxa"/>
            <w:gridSpan w:val="4"/>
            <w:tcBorders>
              <w:top w:val="single" w:sz="6" w:space="0" w:color="000000"/>
              <w:left w:val="single" w:sz="6" w:space="0" w:color="000000"/>
              <w:bottom w:val="single" w:sz="6" w:space="0" w:color="000000"/>
              <w:right w:val="single" w:sz="6" w:space="0" w:color="000000"/>
            </w:tcBorders>
          </w:tcPr>
          <w:p w14:paraId="74A090C8" w14:textId="77777777" w:rsidR="00A26519" w:rsidRPr="001B4A02" w:rsidRDefault="00000000" w:rsidP="00E571F5">
            <w:pPr>
              <w:keepNext/>
              <w:tabs>
                <w:tab w:val="left" w:pos="-878"/>
              </w:tabs>
              <w:autoSpaceDE w:val="0"/>
              <w:autoSpaceDN w:val="0"/>
              <w:adjustRightInd w:val="0"/>
              <w:jc w:val="center"/>
              <w:rPr>
                <w:del w:id="7682" w:author="AbbVie1" w:date="2025-05-13T09:50:00Z"/>
                <w:b/>
                <w:bCs/>
                <w:szCs w:val="22"/>
              </w:rPr>
            </w:pPr>
            <w:del w:id="7683" w:author="AbbVie1" w:date="2025-05-13T09:50:00Z">
              <w:r w:rsidRPr="001B4A02">
                <w:rPr>
                  <w:b/>
                  <w:bCs/>
                  <w:szCs w:val="22"/>
                </w:rPr>
                <w:delText xml:space="preserve">Tabulka </w:delText>
              </w:r>
              <w:r w:rsidR="00CC1B29">
                <w:rPr>
                  <w:b/>
                  <w:bCs/>
                  <w:szCs w:val="22"/>
                </w:rPr>
                <w:delText>29</w:delText>
              </w:r>
            </w:del>
          </w:p>
          <w:p w14:paraId="4EDF4377" w14:textId="77777777" w:rsidR="00A26519" w:rsidRPr="001B4A02" w:rsidRDefault="00000000" w:rsidP="00E571F5">
            <w:pPr>
              <w:keepNext/>
              <w:tabs>
                <w:tab w:val="left" w:pos="-878"/>
              </w:tabs>
              <w:autoSpaceDE w:val="0"/>
              <w:autoSpaceDN w:val="0"/>
              <w:adjustRightInd w:val="0"/>
              <w:jc w:val="center"/>
              <w:rPr>
                <w:del w:id="7684" w:author="AbbVie1" w:date="2025-05-13T09:50:00Z"/>
                <w:b/>
                <w:bCs/>
                <w:szCs w:val="22"/>
              </w:rPr>
            </w:pPr>
            <w:del w:id="7685" w:author="AbbVie1" w:date="2025-05-13T09:50:00Z">
              <w:r w:rsidRPr="001B4A02">
                <w:rPr>
                  <w:b/>
                  <w:bCs/>
                  <w:szCs w:val="22"/>
                </w:rPr>
                <w:delText>Studie u pediatrických pacientů s Crohnovou chorobou</w:delText>
              </w:r>
            </w:del>
          </w:p>
          <w:p w14:paraId="662BFAFA" w14:textId="77777777" w:rsidR="00A26519" w:rsidRPr="001B4A02" w:rsidRDefault="00000000" w:rsidP="00E571F5">
            <w:pPr>
              <w:keepNext/>
              <w:tabs>
                <w:tab w:val="left" w:pos="-878"/>
              </w:tabs>
              <w:autoSpaceDE w:val="0"/>
              <w:autoSpaceDN w:val="0"/>
              <w:adjustRightInd w:val="0"/>
              <w:jc w:val="center"/>
              <w:rPr>
                <w:del w:id="7686" w:author="AbbVie1" w:date="2025-05-13T09:50:00Z"/>
                <w:b/>
                <w:bCs/>
                <w:szCs w:val="22"/>
              </w:rPr>
            </w:pPr>
            <w:del w:id="7687" w:author="AbbVie1" w:date="2025-05-13T09:50:00Z">
              <w:r w:rsidRPr="001B4A02">
                <w:rPr>
                  <w:b/>
                  <w:bCs/>
                  <w:szCs w:val="22"/>
                </w:rPr>
                <w:delText>PCDAI klinická remise</w:delText>
              </w:r>
              <w:r w:rsidR="002378E0">
                <w:rPr>
                  <w:b/>
                  <w:bCs/>
                  <w:szCs w:val="22"/>
                </w:rPr>
                <w:delText xml:space="preserve"> a </w:delText>
              </w:r>
              <w:r w:rsidRPr="001B4A02">
                <w:rPr>
                  <w:b/>
                  <w:bCs/>
                  <w:szCs w:val="22"/>
                </w:rPr>
                <w:delText>odpověď</w:delText>
              </w:r>
            </w:del>
          </w:p>
        </w:tc>
      </w:tr>
      <w:tr w:rsidR="00534A2D" w14:paraId="068BA2AD" w14:textId="77777777" w:rsidTr="00F365E7">
        <w:trPr>
          <w:jc w:val="center"/>
          <w:del w:id="7688" w:author="AbbVie1" w:date="2025-05-13T09:50:00Z"/>
        </w:trPr>
        <w:tc>
          <w:tcPr>
            <w:tcW w:w="2654" w:type="dxa"/>
            <w:tcBorders>
              <w:top w:val="single" w:sz="6" w:space="0" w:color="000000"/>
              <w:left w:val="single" w:sz="6" w:space="0" w:color="000000"/>
              <w:bottom w:val="single" w:sz="6" w:space="0" w:color="000000"/>
              <w:right w:val="single" w:sz="6" w:space="0" w:color="000000"/>
            </w:tcBorders>
          </w:tcPr>
          <w:p w14:paraId="2F996331" w14:textId="77777777" w:rsidR="00A26519" w:rsidRPr="001B4A02" w:rsidRDefault="00A26519" w:rsidP="00E571F5">
            <w:pPr>
              <w:keepNext/>
              <w:keepLines/>
              <w:tabs>
                <w:tab w:val="left" w:pos="-1080"/>
              </w:tabs>
              <w:autoSpaceDE w:val="0"/>
              <w:autoSpaceDN w:val="0"/>
              <w:adjustRightInd w:val="0"/>
              <w:jc w:val="center"/>
              <w:rPr>
                <w:del w:id="7689" w:author="AbbVie1" w:date="2025-05-13T09:50:00Z"/>
                <w:b/>
                <w:bCs/>
                <w:szCs w:val="22"/>
              </w:rPr>
            </w:pPr>
          </w:p>
        </w:tc>
        <w:tc>
          <w:tcPr>
            <w:tcW w:w="2450" w:type="dxa"/>
            <w:tcBorders>
              <w:top w:val="single" w:sz="6" w:space="0" w:color="000000"/>
              <w:left w:val="single" w:sz="6" w:space="0" w:color="000000"/>
              <w:bottom w:val="single" w:sz="6" w:space="0" w:color="000000"/>
              <w:right w:val="single" w:sz="6" w:space="0" w:color="000000"/>
            </w:tcBorders>
          </w:tcPr>
          <w:p w14:paraId="2A7F0BF2" w14:textId="77777777" w:rsidR="00A26519" w:rsidRPr="001B4A02" w:rsidRDefault="00000000" w:rsidP="00E571F5">
            <w:pPr>
              <w:keepNext/>
              <w:keepLines/>
              <w:tabs>
                <w:tab w:val="left" w:pos="-1080"/>
              </w:tabs>
              <w:autoSpaceDE w:val="0"/>
              <w:autoSpaceDN w:val="0"/>
              <w:adjustRightInd w:val="0"/>
              <w:ind w:left="0" w:firstLine="0"/>
              <w:jc w:val="center"/>
              <w:rPr>
                <w:del w:id="7690" w:author="AbbVie1" w:date="2025-05-13T09:50:00Z"/>
                <w:b/>
                <w:bCs/>
                <w:szCs w:val="22"/>
              </w:rPr>
            </w:pPr>
            <w:del w:id="7691" w:author="AbbVie1" w:date="2025-05-13T09:50:00Z">
              <w:r w:rsidRPr="001B4A02">
                <w:rPr>
                  <w:b/>
                  <w:bCs/>
                  <w:szCs w:val="22"/>
                </w:rPr>
                <w:delText>Standardní dávka</w:delText>
              </w:r>
            </w:del>
          </w:p>
          <w:p w14:paraId="66F9FEC8" w14:textId="77777777" w:rsidR="00A26519" w:rsidRPr="001B4A02" w:rsidRDefault="00000000" w:rsidP="00E571F5">
            <w:pPr>
              <w:keepNext/>
              <w:keepLines/>
              <w:tabs>
                <w:tab w:val="left" w:pos="-1080"/>
              </w:tabs>
              <w:autoSpaceDE w:val="0"/>
              <w:autoSpaceDN w:val="0"/>
              <w:adjustRightInd w:val="0"/>
              <w:ind w:left="0" w:firstLine="0"/>
              <w:jc w:val="center"/>
              <w:rPr>
                <w:del w:id="7692" w:author="AbbVie1" w:date="2025-05-13T09:50:00Z"/>
                <w:b/>
                <w:bCs/>
                <w:szCs w:val="22"/>
              </w:rPr>
            </w:pPr>
            <w:del w:id="7693" w:author="AbbVie1" w:date="2025-05-13T09:50:00Z">
              <w:r w:rsidRPr="001B4A02">
                <w:rPr>
                  <w:b/>
                  <w:bCs/>
                  <w:szCs w:val="22"/>
                </w:rPr>
                <w:delText>40/20</w:delText>
              </w:r>
              <w:r w:rsidR="00F365E7" w:rsidRPr="00005EC2">
                <w:rPr>
                  <w:szCs w:val="22"/>
                </w:rPr>
                <w:delText> </w:delText>
              </w:r>
              <w:r w:rsidRPr="001B4A02">
                <w:rPr>
                  <w:b/>
                  <w:bCs/>
                  <w:szCs w:val="22"/>
                </w:rPr>
                <w:delText>mg</w:delText>
              </w:r>
            </w:del>
          </w:p>
          <w:p w14:paraId="1FB01D85" w14:textId="77777777" w:rsidR="00A26519" w:rsidRPr="001B4A02" w:rsidRDefault="00000000" w:rsidP="00E571F5">
            <w:pPr>
              <w:keepNext/>
              <w:keepLines/>
              <w:tabs>
                <w:tab w:val="left" w:pos="-1080"/>
              </w:tabs>
              <w:autoSpaceDE w:val="0"/>
              <w:autoSpaceDN w:val="0"/>
              <w:adjustRightInd w:val="0"/>
              <w:ind w:left="0" w:firstLine="0"/>
              <w:jc w:val="center"/>
              <w:rPr>
                <w:del w:id="7694" w:author="AbbVie1" w:date="2025-05-13T09:50:00Z"/>
                <w:b/>
                <w:bCs/>
                <w:szCs w:val="22"/>
              </w:rPr>
            </w:pPr>
            <w:del w:id="7695" w:author="AbbVie1" w:date="2025-05-13T09:50:00Z">
              <w:r w:rsidRPr="001B4A02">
                <w:rPr>
                  <w:b/>
                  <w:bCs/>
                  <w:szCs w:val="22"/>
                </w:rPr>
                <w:delText>každý druhý týden</w:delText>
              </w:r>
            </w:del>
          </w:p>
          <w:p w14:paraId="42692925" w14:textId="77777777" w:rsidR="00A26519" w:rsidRPr="001B4A02" w:rsidRDefault="00000000" w:rsidP="00E571F5">
            <w:pPr>
              <w:keepNext/>
              <w:keepLines/>
              <w:tabs>
                <w:tab w:val="left" w:pos="-1080"/>
              </w:tabs>
              <w:autoSpaceDE w:val="0"/>
              <w:autoSpaceDN w:val="0"/>
              <w:adjustRightInd w:val="0"/>
              <w:ind w:left="0" w:firstLine="0"/>
              <w:jc w:val="center"/>
              <w:rPr>
                <w:del w:id="7696" w:author="AbbVie1" w:date="2025-05-13T09:50:00Z"/>
                <w:b/>
                <w:bCs/>
                <w:szCs w:val="22"/>
              </w:rPr>
            </w:pPr>
            <w:del w:id="7697" w:author="AbbVie1" w:date="2025-05-13T09:50:00Z">
              <w:r>
                <w:rPr>
                  <w:b/>
                  <w:bCs/>
                  <w:szCs w:val="22"/>
                </w:rPr>
                <w:delText>n</w:delText>
              </w:r>
              <w:r w:rsidRPr="001B4A02">
                <w:rPr>
                  <w:b/>
                  <w:bCs/>
                  <w:szCs w:val="22"/>
                </w:rPr>
                <w:delText>=93</w:delText>
              </w:r>
            </w:del>
          </w:p>
        </w:tc>
        <w:tc>
          <w:tcPr>
            <w:tcW w:w="2409" w:type="dxa"/>
            <w:tcBorders>
              <w:top w:val="single" w:sz="6" w:space="0" w:color="000000"/>
              <w:left w:val="single" w:sz="6" w:space="0" w:color="000000"/>
              <w:bottom w:val="single" w:sz="6" w:space="0" w:color="000000"/>
              <w:right w:val="single" w:sz="6" w:space="0" w:color="000000"/>
            </w:tcBorders>
          </w:tcPr>
          <w:p w14:paraId="575C4243" w14:textId="77777777" w:rsidR="00A26519" w:rsidRPr="001B4A02" w:rsidRDefault="00000000" w:rsidP="00E571F5">
            <w:pPr>
              <w:keepNext/>
              <w:keepLines/>
              <w:tabs>
                <w:tab w:val="left" w:pos="-1080"/>
              </w:tabs>
              <w:autoSpaceDE w:val="0"/>
              <w:autoSpaceDN w:val="0"/>
              <w:adjustRightInd w:val="0"/>
              <w:ind w:left="0" w:firstLine="0"/>
              <w:jc w:val="center"/>
              <w:rPr>
                <w:del w:id="7698" w:author="AbbVie1" w:date="2025-05-13T09:50:00Z"/>
                <w:b/>
                <w:bCs/>
                <w:szCs w:val="22"/>
              </w:rPr>
            </w:pPr>
            <w:del w:id="7699" w:author="AbbVie1" w:date="2025-05-13T09:50:00Z">
              <w:r w:rsidRPr="001B4A02">
                <w:rPr>
                  <w:b/>
                  <w:bCs/>
                  <w:szCs w:val="22"/>
                </w:rPr>
                <w:delText>Snížená dávka</w:delText>
              </w:r>
            </w:del>
          </w:p>
          <w:p w14:paraId="0966EBAB" w14:textId="77777777" w:rsidR="00A26519" w:rsidRPr="001B4A02" w:rsidRDefault="00000000" w:rsidP="00E571F5">
            <w:pPr>
              <w:keepNext/>
              <w:keepLines/>
              <w:tabs>
                <w:tab w:val="left" w:pos="-1080"/>
              </w:tabs>
              <w:autoSpaceDE w:val="0"/>
              <w:autoSpaceDN w:val="0"/>
              <w:adjustRightInd w:val="0"/>
              <w:ind w:left="0" w:firstLine="0"/>
              <w:jc w:val="center"/>
              <w:rPr>
                <w:del w:id="7700" w:author="AbbVie1" w:date="2025-05-13T09:50:00Z"/>
                <w:b/>
                <w:bCs/>
                <w:szCs w:val="22"/>
              </w:rPr>
            </w:pPr>
            <w:del w:id="7701" w:author="AbbVie1" w:date="2025-05-13T09:50:00Z">
              <w:r w:rsidRPr="001B4A02">
                <w:rPr>
                  <w:b/>
                  <w:bCs/>
                  <w:szCs w:val="22"/>
                </w:rPr>
                <w:delText>20/10</w:delText>
              </w:r>
              <w:r w:rsidR="00F365E7" w:rsidRPr="00005EC2">
                <w:rPr>
                  <w:szCs w:val="22"/>
                </w:rPr>
                <w:delText> </w:delText>
              </w:r>
              <w:r w:rsidRPr="001B4A02">
                <w:rPr>
                  <w:b/>
                  <w:bCs/>
                  <w:szCs w:val="22"/>
                </w:rPr>
                <w:delText>mg</w:delText>
              </w:r>
            </w:del>
          </w:p>
          <w:p w14:paraId="4C6BC51B" w14:textId="77777777" w:rsidR="00A26519" w:rsidRPr="001B4A02" w:rsidRDefault="00000000" w:rsidP="00E571F5">
            <w:pPr>
              <w:keepNext/>
              <w:keepLines/>
              <w:tabs>
                <w:tab w:val="left" w:pos="-1080"/>
              </w:tabs>
              <w:autoSpaceDE w:val="0"/>
              <w:autoSpaceDN w:val="0"/>
              <w:adjustRightInd w:val="0"/>
              <w:ind w:left="0" w:firstLine="0"/>
              <w:jc w:val="center"/>
              <w:rPr>
                <w:del w:id="7702" w:author="AbbVie1" w:date="2025-05-13T09:50:00Z"/>
                <w:b/>
                <w:bCs/>
                <w:szCs w:val="22"/>
              </w:rPr>
            </w:pPr>
            <w:del w:id="7703" w:author="AbbVie1" w:date="2025-05-13T09:50:00Z">
              <w:r w:rsidRPr="001B4A02">
                <w:rPr>
                  <w:b/>
                  <w:bCs/>
                  <w:szCs w:val="22"/>
                </w:rPr>
                <w:delText>každý druhý týden</w:delText>
              </w:r>
            </w:del>
          </w:p>
          <w:p w14:paraId="5D75694F" w14:textId="77777777" w:rsidR="00A26519" w:rsidRPr="001B4A02" w:rsidRDefault="00000000" w:rsidP="00E571F5">
            <w:pPr>
              <w:keepNext/>
              <w:keepLines/>
              <w:tabs>
                <w:tab w:val="left" w:pos="-1080"/>
              </w:tabs>
              <w:autoSpaceDE w:val="0"/>
              <w:autoSpaceDN w:val="0"/>
              <w:adjustRightInd w:val="0"/>
              <w:ind w:left="0" w:firstLine="0"/>
              <w:jc w:val="center"/>
              <w:rPr>
                <w:del w:id="7704" w:author="AbbVie1" w:date="2025-05-13T09:50:00Z"/>
                <w:b/>
                <w:bCs/>
                <w:szCs w:val="22"/>
              </w:rPr>
            </w:pPr>
            <w:del w:id="7705" w:author="AbbVie1" w:date="2025-05-13T09:50:00Z">
              <w:r>
                <w:rPr>
                  <w:b/>
                  <w:bCs/>
                  <w:szCs w:val="22"/>
                </w:rPr>
                <w:delText>n</w:delText>
              </w:r>
              <w:r w:rsidRPr="001B4A02">
                <w:rPr>
                  <w:b/>
                  <w:bCs/>
                  <w:szCs w:val="22"/>
                </w:rPr>
                <w:delText>=9</w:delText>
              </w:r>
              <w:r>
                <w:rPr>
                  <w:b/>
                  <w:bCs/>
                  <w:szCs w:val="22"/>
                </w:rPr>
                <w:delText>5</w:delText>
              </w:r>
            </w:del>
          </w:p>
        </w:tc>
        <w:tc>
          <w:tcPr>
            <w:tcW w:w="1420" w:type="dxa"/>
            <w:tcBorders>
              <w:top w:val="single" w:sz="6" w:space="0" w:color="000000"/>
              <w:left w:val="single" w:sz="6" w:space="0" w:color="000000"/>
              <w:bottom w:val="single" w:sz="6" w:space="0" w:color="000000"/>
              <w:right w:val="single" w:sz="6" w:space="0" w:color="000000"/>
            </w:tcBorders>
          </w:tcPr>
          <w:p w14:paraId="7C55E6FE" w14:textId="77777777" w:rsidR="00A26519" w:rsidRPr="001B4A02" w:rsidRDefault="00000000" w:rsidP="00E571F5">
            <w:pPr>
              <w:keepNext/>
              <w:keepLines/>
              <w:tabs>
                <w:tab w:val="left" w:pos="-1080"/>
              </w:tabs>
              <w:autoSpaceDE w:val="0"/>
              <w:autoSpaceDN w:val="0"/>
              <w:adjustRightInd w:val="0"/>
              <w:ind w:left="0" w:firstLine="0"/>
              <w:jc w:val="center"/>
              <w:rPr>
                <w:del w:id="7706" w:author="AbbVie1" w:date="2025-05-13T09:50:00Z"/>
                <w:b/>
                <w:bCs/>
                <w:szCs w:val="22"/>
              </w:rPr>
            </w:pPr>
            <w:del w:id="7707" w:author="AbbVie1" w:date="2025-05-13T09:50:00Z">
              <w:r w:rsidRPr="001B4A02">
                <w:rPr>
                  <w:b/>
                  <w:bCs/>
                  <w:szCs w:val="22"/>
                </w:rPr>
                <w:delText>P hodnota*</w:delText>
              </w:r>
            </w:del>
          </w:p>
        </w:tc>
      </w:tr>
      <w:tr w:rsidR="00534A2D" w14:paraId="02EABE15" w14:textId="77777777" w:rsidTr="00F365E7">
        <w:trPr>
          <w:jc w:val="center"/>
          <w:del w:id="7708" w:author="AbbVie1" w:date="2025-05-13T09:50:00Z"/>
        </w:trPr>
        <w:tc>
          <w:tcPr>
            <w:tcW w:w="2654" w:type="dxa"/>
            <w:tcBorders>
              <w:top w:val="single" w:sz="6" w:space="0" w:color="000000"/>
              <w:left w:val="single" w:sz="6" w:space="0" w:color="000000"/>
              <w:bottom w:val="single" w:sz="6" w:space="0" w:color="000000"/>
              <w:right w:val="single" w:sz="6" w:space="0" w:color="000000"/>
            </w:tcBorders>
            <w:vAlign w:val="bottom"/>
          </w:tcPr>
          <w:p w14:paraId="35EC78D3" w14:textId="77777777" w:rsidR="00A26519" w:rsidRPr="001B4A02" w:rsidRDefault="00000000" w:rsidP="00E571F5">
            <w:pPr>
              <w:keepNext/>
              <w:keepLines/>
              <w:tabs>
                <w:tab w:val="left" w:pos="-1080"/>
              </w:tabs>
              <w:autoSpaceDE w:val="0"/>
              <w:autoSpaceDN w:val="0"/>
              <w:adjustRightInd w:val="0"/>
              <w:rPr>
                <w:del w:id="7709" w:author="AbbVie1" w:date="2025-05-13T09:50:00Z"/>
                <w:b/>
                <w:szCs w:val="22"/>
              </w:rPr>
            </w:pPr>
            <w:del w:id="7710" w:author="AbbVie1" w:date="2025-05-13T09:50:00Z">
              <w:r w:rsidRPr="001B4A02">
                <w:rPr>
                  <w:b/>
                  <w:szCs w:val="22"/>
                </w:rPr>
                <w:delText>Týden 26</w:delText>
              </w:r>
            </w:del>
          </w:p>
        </w:tc>
        <w:tc>
          <w:tcPr>
            <w:tcW w:w="2450" w:type="dxa"/>
            <w:tcBorders>
              <w:top w:val="single" w:sz="6" w:space="0" w:color="000000"/>
              <w:left w:val="single" w:sz="6" w:space="0" w:color="000000"/>
              <w:bottom w:val="single" w:sz="6" w:space="0" w:color="000000"/>
              <w:right w:val="single" w:sz="6" w:space="0" w:color="000000"/>
            </w:tcBorders>
            <w:vAlign w:val="bottom"/>
          </w:tcPr>
          <w:p w14:paraId="4BE41669" w14:textId="77777777" w:rsidR="00A26519" w:rsidRPr="001B4A02" w:rsidRDefault="00A26519" w:rsidP="00E571F5">
            <w:pPr>
              <w:keepNext/>
              <w:keepLines/>
              <w:tabs>
                <w:tab w:val="left" w:pos="-1080"/>
              </w:tabs>
              <w:autoSpaceDE w:val="0"/>
              <w:autoSpaceDN w:val="0"/>
              <w:adjustRightInd w:val="0"/>
              <w:ind w:left="0" w:firstLine="0"/>
              <w:jc w:val="center"/>
              <w:rPr>
                <w:del w:id="7711" w:author="AbbVie1" w:date="2025-05-13T09:50:00Z"/>
                <w:b/>
                <w:szCs w:val="22"/>
              </w:rPr>
            </w:pPr>
          </w:p>
        </w:tc>
        <w:tc>
          <w:tcPr>
            <w:tcW w:w="2409" w:type="dxa"/>
            <w:tcBorders>
              <w:top w:val="single" w:sz="6" w:space="0" w:color="000000"/>
              <w:left w:val="single" w:sz="6" w:space="0" w:color="000000"/>
              <w:bottom w:val="single" w:sz="6" w:space="0" w:color="000000"/>
              <w:right w:val="single" w:sz="6" w:space="0" w:color="000000"/>
            </w:tcBorders>
            <w:vAlign w:val="bottom"/>
          </w:tcPr>
          <w:p w14:paraId="083C993B" w14:textId="77777777" w:rsidR="00A26519" w:rsidRPr="001B4A02" w:rsidRDefault="00A26519" w:rsidP="00E571F5">
            <w:pPr>
              <w:keepNext/>
              <w:keepLines/>
              <w:tabs>
                <w:tab w:val="left" w:pos="-1080"/>
              </w:tabs>
              <w:autoSpaceDE w:val="0"/>
              <w:autoSpaceDN w:val="0"/>
              <w:adjustRightInd w:val="0"/>
              <w:ind w:left="0" w:firstLine="0"/>
              <w:jc w:val="center"/>
              <w:rPr>
                <w:del w:id="7712" w:author="AbbVie1" w:date="2025-05-13T09:50:00Z"/>
                <w:b/>
                <w:szCs w:val="22"/>
              </w:rPr>
            </w:pPr>
          </w:p>
        </w:tc>
        <w:tc>
          <w:tcPr>
            <w:tcW w:w="1420" w:type="dxa"/>
            <w:tcBorders>
              <w:top w:val="single" w:sz="6" w:space="0" w:color="000000"/>
              <w:left w:val="single" w:sz="6" w:space="0" w:color="000000"/>
              <w:bottom w:val="single" w:sz="6" w:space="0" w:color="000000"/>
              <w:right w:val="single" w:sz="6" w:space="0" w:color="000000"/>
            </w:tcBorders>
            <w:vAlign w:val="bottom"/>
          </w:tcPr>
          <w:p w14:paraId="17CF332B" w14:textId="77777777" w:rsidR="00A26519" w:rsidRPr="001B4A02" w:rsidRDefault="00A26519" w:rsidP="00E571F5">
            <w:pPr>
              <w:keepNext/>
              <w:autoSpaceDE w:val="0"/>
              <w:autoSpaceDN w:val="0"/>
              <w:adjustRightInd w:val="0"/>
              <w:ind w:left="0" w:firstLine="0"/>
              <w:jc w:val="center"/>
              <w:rPr>
                <w:del w:id="7713" w:author="AbbVie1" w:date="2025-05-13T09:50:00Z"/>
                <w:szCs w:val="22"/>
              </w:rPr>
            </w:pPr>
          </w:p>
        </w:tc>
      </w:tr>
      <w:tr w:rsidR="00534A2D" w14:paraId="50686989" w14:textId="77777777" w:rsidTr="00F365E7">
        <w:trPr>
          <w:jc w:val="center"/>
          <w:del w:id="7714" w:author="AbbVie1" w:date="2025-05-13T09:50:00Z"/>
        </w:trPr>
        <w:tc>
          <w:tcPr>
            <w:tcW w:w="2654" w:type="dxa"/>
            <w:tcBorders>
              <w:top w:val="single" w:sz="6" w:space="0" w:color="000000"/>
              <w:left w:val="single" w:sz="6" w:space="0" w:color="000000"/>
              <w:bottom w:val="single" w:sz="6" w:space="0" w:color="000000"/>
              <w:right w:val="single" w:sz="6" w:space="0" w:color="000000"/>
            </w:tcBorders>
            <w:vAlign w:val="bottom"/>
          </w:tcPr>
          <w:p w14:paraId="028AEDB8" w14:textId="77777777" w:rsidR="00A26519" w:rsidRPr="001B4A02" w:rsidRDefault="00000000" w:rsidP="00E571F5">
            <w:pPr>
              <w:keepNext/>
              <w:keepLines/>
              <w:tabs>
                <w:tab w:val="left" w:pos="-1080"/>
              </w:tabs>
              <w:autoSpaceDE w:val="0"/>
              <w:autoSpaceDN w:val="0"/>
              <w:adjustRightInd w:val="0"/>
              <w:ind w:left="0" w:firstLine="0"/>
              <w:rPr>
                <w:del w:id="7715" w:author="AbbVie1" w:date="2025-05-13T09:50:00Z"/>
                <w:bCs/>
                <w:szCs w:val="22"/>
              </w:rPr>
            </w:pPr>
            <w:del w:id="7716" w:author="AbbVie1" w:date="2025-05-13T09:50:00Z">
              <w:r w:rsidRPr="001B4A02">
                <w:rPr>
                  <w:bCs/>
                  <w:szCs w:val="22"/>
                </w:rPr>
                <w:delText>Klinická remise</w:delText>
              </w:r>
            </w:del>
          </w:p>
        </w:tc>
        <w:tc>
          <w:tcPr>
            <w:tcW w:w="2450" w:type="dxa"/>
            <w:tcBorders>
              <w:top w:val="single" w:sz="6" w:space="0" w:color="000000"/>
              <w:left w:val="single" w:sz="6" w:space="0" w:color="000000"/>
              <w:bottom w:val="single" w:sz="6" w:space="0" w:color="000000"/>
              <w:right w:val="single" w:sz="6" w:space="0" w:color="000000"/>
            </w:tcBorders>
            <w:vAlign w:val="bottom"/>
          </w:tcPr>
          <w:p w14:paraId="26CE6744" w14:textId="77777777" w:rsidR="00A26519" w:rsidRPr="001B4A02" w:rsidRDefault="00000000" w:rsidP="00E571F5">
            <w:pPr>
              <w:keepNext/>
              <w:keepLines/>
              <w:tabs>
                <w:tab w:val="left" w:pos="-1080"/>
              </w:tabs>
              <w:autoSpaceDE w:val="0"/>
              <w:autoSpaceDN w:val="0"/>
              <w:adjustRightInd w:val="0"/>
              <w:ind w:left="0" w:firstLine="0"/>
              <w:jc w:val="center"/>
              <w:rPr>
                <w:del w:id="7717" w:author="AbbVie1" w:date="2025-05-13T09:50:00Z"/>
                <w:szCs w:val="22"/>
              </w:rPr>
            </w:pPr>
            <w:del w:id="7718" w:author="AbbVie1" w:date="2025-05-13T09:50:00Z">
              <w:r w:rsidRPr="001B4A02">
                <w:rPr>
                  <w:szCs w:val="22"/>
                </w:rPr>
                <w:delText>38,7</w:delText>
              </w:r>
              <w:r>
                <w:rPr>
                  <w:szCs w:val="22"/>
                </w:rPr>
                <w:delText> %</w:delText>
              </w:r>
            </w:del>
          </w:p>
        </w:tc>
        <w:tc>
          <w:tcPr>
            <w:tcW w:w="2409" w:type="dxa"/>
            <w:tcBorders>
              <w:top w:val="single" w:sz="6" w:space="0" w:color="000000"/>
              <w:left w:val="single" w:sz="6" w:space="0" w:color="000000"/>
              <w:bottom w:val="single" w:sz="6" w:space="0" w:color="000000"/>
              <w:right w:val="single" w:sz="6" w:space="0" w:color="000000"/>
            </w:tcBorders>
            <w:vAlign w:val="bottom"/>
          </w:tcPr>
          <w:p w14:paraId="575C67C0" w14:textId="77777777" w:rsidR="00A26519" w:rsidRPr="001B4A02" w:rsidRDefault="00000000" w:rsidP="00E571F5">
            <w:pPr>
              <w:keepNext/>
              <w:keepLines/>
              <w:tabs>
                <w:tab w:val="left" w:pos="-1080"/>
              </w:tabs>
              <w:autoSpaceDE w:val="0"/>
              <w:autoSpaceDN w:val="0"/>
              <w:adjustRightInd w:val="0"/>
              <w:ind w:left="0" w:firstLine="0"/>
              <w:jc w:val="center"/>
              <w:rPr>
                <w:del w:id="7719" w:author="AbbVie1" w:date="2025-05-13T09:50:00Z"/>
                <w:szCs w:val="22"/>
              </w:rPr>
            </w:pPr>
            <w:del w:id="7720" w:author="AbbVie1" w:date="2025-05-13T09:50:00Z">
              <w:r w:rsidRPr="001B4A02">
                <w:rPr>
                  <w:szCs w:val="22"/>
                </w:rPr>
                <w:delText>28,4</w:delText>
              </w:r>
              <w:r>
                <w:rPr>
                  <w:szCs w:val="22"/>
                </w:rPr>
                <w:delText> %</w:delText>
              </w:r>
            </w:del>
          </w:p>
        </w:tc>
        <w:tc>
          <w:tcPr>
            <w:tcW w:w="1420" w:type="dxa"/>
            <w:tcBorders>
              <w:top w:val="single" w:sz="6" w:space="0" w:color="000000"/>
              <w:left w:val="single" w:sz="6" w:space="0" w:color="000000"/>
              <w:bottom w:val="single" w:sz="6" w:space="0" w:color="000000"/>
              <w:right w:val="single" w:sz="6" w:space="0" w:color="000000"/>
            </w:tcBorders>
            <w:vAlign w:val="bottom"/>
          </w:tcPr>
          <w:p w14:paraId="0F0510F6" w14:textId="77777777" w:rsidR="00A26519" w:rsidRPr="001B4A02" w:rsidRDefault="00000000" w:rsidP="00E571F5">
            <w:pPr>
              <w:keepNext/>
              <w:keepLines/>
              <w:tabs>
                <w:tab w:val="left" w:pos="-1080"/>
              </w:tabs>
              <w:autoSpaceDE w:val="0"/>
              <w:autoSpaceDN w:val="0"/>
              <w:adjustRightInd w:val="0"/>
              <w:ind w:left="0" w:firstLine="0"/>
              <w:jc w:val="center"/>
              <w:rPr>
                <w:del w:id="7721" w:author="AbbVie1" w:date="2025-05-13T09:50:00Z"/>
                <w:szCs w:val="22"/>
              </w:rPr>
            </w:pPr>
            <w:del w:id="7722" w:author="AbbVie1" w:date="2025-05-13T09:50:00Z">
              <w:r w:rsidRPr="001B4A02">
                <w:rPr>
                  <w:szCs w:val="22"/>
                </w:rPr>
                <w:delText>0,075</w:delText>
              </w:r>
            </w:del>
          </w:p>
        </w:tc>
      </w:tr>
      <w:tr w:rsidR="00534A2D" w14:paraId="6E428E1E" w14:textId="77777777" w:rsidTr="00F365E7">
        <w:trPr>
          <w:jc w:val="center"/>
          <w:del w:id="7723" w:author="AbbVie1" w:date="2025-05-13T09:50:00Z"/>
        </w:trPr>
        <w:tc>
          <w:tcPr>
            <w:tcW w:w="2654" w:type="dxa"/>
            <w:tcBorders>
              <w:top w:val="single" w:sz="6" w:space="0" w:color="000000"/>
              <w:left w:val="single" w:sz="6" w:space="0" w:color="000000"/>
              <w:bottom w:val="single" w:sz="6" w:space="0" w:color="000000"/>
              <w:right w:val="single" w:sz="6" w:space="0" w:color="000000"/>
            </w:tcBorders>
            <w:vAlign w:val="bottom"/>
          </w:tcPr>
          <w:p w14:paraId="50A58123" w14:textId="77777777" w:rsidR="00A26519" w:rsidRPr="001B4A02" w:rsidRDefault="00000000" w:rsidP="00E571F5">
            <w:pPr>
              <w:keepNext/>
              <w:keepLines/>
              <w:tabs>
                <w:tab w:val="left" w:pos="-1080"/>
              </w:tabs>
              <w:autoSpaceDE w:val="0"/>
              <w:autoSpaceDN w:val="0"/>
              <w:adjustRightInd w:val="0"/>
              <w:rPr>
                <w:del w:id="7724" w:author="AbbVie1" w:date="2025-05-13T09:50:00Z"/>
                <w:bCs/>
                <w:szCs w:val="22"/>
              </w:rPr>
            </w:pPr>
            <w:del w:id="7725" w:author="AbbVie1" w:date="2025-05-13T09:50:00Z">
              <w:r w:rsidRPr="001B4A02">
                <w:rPr>
                  <w:bCs/>
                  <w:szCs w:val="22"/>
                </w:rPr>
                <w:delText>Klinická odpověď</w:delText>
              </w:r>
            </w:del>
          </w:p>
        </w:tc>
        <w:tc>
          <w:tcPr>
            <w:tcW w:w="2450" w:type="dxa"/>
            <w:tcBorders>
              <w:top w:val="single" w:sz="6" w:space="0" w:color="000000"/>
              <w:left w:val="single" w:sz="6" w:space="0" w:color="000000"/>
              <w:bottom w:val="single" w:sz="6" w:space="0" w:color="000000"/>
              <w:right w:val="single" w:sz="6" w:space="0" w:color="000000"/>
            </w:tcBorders>
          </w:tcPr>
          <w:p w14:paraId="785809C8" w14:textId="77777777" w:rsidR="00A26519" w:rsidRPr="001B4A02" w:rsidRDefault="00000000" w:rsidP="00E571F5">
            <w:pPr>
              <w:keepNext/>
              <w:keepLines/>
              <w:tabs>
                <w:tab w:val="left" w:pos="-1080"/>
              </w:tabs>
              <w:autoSpaceDE w:val="0"/>
              <w:autoSpaceDN w:val="0"/>
              <w:adjustRightInd w:val="0"/>
              <w:ind w:left="0" w:firstLine="0"/>
              <w:jc w:val="center"/>
              <w:rPr>
                <w:del w:id="7726" w:author="AbbVie1" w:date="2025-05-13T09:50:00Z"/>
                <w:szCs w:val="22"/>
              </w:rPr>
            </w:pPr>
            <w:del w:id="7727" w:author="AbbVie1" w:date="2025-05-13T09:50:00Z">
              <w:r w:rsidRPr="001B4A02">
                <w:rPr>
                  <w:szCs w:val="22"/>
                </w:rPr>
                <w:delText>59,1</w:delText>
              </w:r>
              <w:r>
                <w:rPr>
                  <w:szCs w:val="22"/>
                </w:rPr>
                <w:delText> %</w:delText>
              </w:r>
            </w:del>
          </w:p>
        </w:tc>
        <w:tc>
          <w:tcPr>
            <w:tcW w:w="2409" w:type="dxa"/>
            <w:tcBorders>
              <w:top w:val="single" w:sz="6" w:space="0" w:color="000000"/>
              <w:left w:val="single" w:sz="6" w:space="0" w:color="000000"/>
              <w:bottom w:val="single" w:sz="6" w:space="0" w:color="000000"/>
              <w:right w:val="single" w:sz="6" w:space="0" w:color="000000"/>
            </w:tcBorders>
          </w:tcPr>
          <w:p w14:paraId="647C3757" w14:textId="77777777" w:rsidR="00A26519" w:rsidRPr="001B4A02" w:rsidRDefault="00000000" w:rsidP="00E571F5">
            <w:pPr>
              <w:keepNext/>
              <w:keepLines/>
              <w:tabs>
                <w:tab w:val="left" w:pos="-1080"/>
              </w:tabs>
              <w:autoSpaceDE w:val="0"/>
              <w:autoSpaceDN w:val="0"/>
              <w:adjustRightInd w:val="0"/>
              <w:ind w:left="0" w:firstLine="0"/>
              <w:jc w:val="center"/>
              <w:rPr>
                <w:del w:id="7728" w:author="AbbVie1" w:date="2025-05-13T09:50:00Z"/>
                <w:szCs w:val="22"/>
              </w:rPr>
            </w:pPr>
            <w:del w:id="7729" w:author="AbbVie1" w:date="2025-05-13T09:50:00Z">
              <w:r w:rsidRPr="001B4A02">
                <w:rPr>
                  <w:szCs w:val="22"/>
                </w:rPr>
                <w:delText>48,4</w:delText>
              </w:r>
              <w:r>
                <w:rPr>
                  <w:szCs w:val="22"/>
                </w:rPr>
                <w:delText> %</w:delText>
              </w:r>
            </w:del>
          </w:p>
        </w:tc>
        <w:tc>
          <w:tcPr>
            <w:tcW w:w="1420" w:type="dxa"/>
            <w:tcBorders>
              <w:top w:val="single" w:sz="6" w:space="0" w:color="000000"/>
              <w:left w:val="single" w:sz="6" w:space="0" w:color="000000"/>
              <w:bottom w:val="single" w:sz="6" w:space="0" w:color="000000"/>
              <w:right w:val="single" w:sz="6" w:space="0" w:color="000000"/>
            </w:tcBorders>
            <w:vAlign w:val="bottom"/>
          </w:tcPr>
          <w:p w14:paraId="0C63DDD9" w14:textId="77777777" w:rsidR="00A26519" w:rsidRPr="001B4A02" w:rsidRDefault="00000000" w:rsidP="00E571F5">
            <w:pPr>
              <w:keepNext/>
              <w:keepLines/>
              <w:tabs>
                <w:tab w:val="left" w:pos="-1080"/>
              </w:tabs>
              <w:autoSpaceDE w:val="0"/>
              <w:autoSpaceDN w:val="0"/>
              <w:adjustRightInd w:val="0"/>
              <w:ind w:left="0" w:firstLine="0"/>
              <w:jc w:val="center"/>
              <w:rPr>
                <w:del w:id="7730" w:author="AbbVie1" w:date="2025-05-13T09:50:00Z"/>
                <w:szCs w:val="22"/>
              </w:rPr>
            </w:pPr>
            <w:del w:id="7731" w:author="AbbVie1" w:date="2025-05-13T09:50:00Z">
              <w:r w:rsidRPr="001B4A02">
                <w:rPr>
                  <w:szCs w:val="22"/>
                </w:rPr>
                <w:delText>0,073</w:delText>
              </w:r>
            </w:del>
          </w:p>
        </w:tc>
      </w:tr>
      <w:tr w:rsidR="00534A2D" w14:paraId="1A30B06C" w14:textId="77777777" w:rsidTr="00F365E7">
        <w:trPr>
          <w:jc w:val="center"/>
          <w:del w:id="7732" w:author="AbbVie1" w:date="2025-05-13T09:50:00Z"/>
        </w:trPr>
        <w:tc>
          <w:tcPr>
            <w:tcW w:w="2654" w:type="dxa"/>
            <w:tcBorders>
              <w:top w:val="single" w:sz="6" w:space="0" w:color="000000"/>
              <w:left w:val="single" w:sz="6" w:space="0" w:color="000000"/>
              <w:bottom w:val="single" w:sz="6" w:space="0" w:color="000000"/>
              <w:right w:val="single" w:sz="6" w:space="0" w:color="000000"/>
            </w:tcBorders>
            <w:vAlign w:val="bottom"/>
          </w:tcPr>
          <w:p w14:paraId="0A530F43" w14:textId="77777777" w:rsidR="00A26519" w:rsidRPr="001B4A02" w:rsidRDefault="00000000" w:rsidP="00E571F5">
            <w:pPr>
              <w:keepNext/>
              <w:keepLines/>
              <w:tabs>
                <w:tab w:val="left" w:pos="-1080"/>
              </w:tabs>
              <w:autoSpaceDE w:val="0"/>
              <w:autoSpaceDN w:val="0"/>
              <w:adjustRightInd w:val="0"/>
              <w:rPr>
                <w:del w:id="7733" w:author="AbbVie1" w:date="2025-05-13T09:50:00Z"/>
                <w:b/>
                <w:szCs w:val="22"/>
              </w:rPr>
            </w:pPr>
            <w:del w:id="7734" w:author="AbbVie1" w:date="2025-05-13T09:50:00Z">
              <w:r w:rsidRPr="001B4A02">
                <w:rPr>
                  <w:b/>
                  <w:szCs w:val="22"/>
                </w:rPr>
                <w:delText>Týden 52</w:delText>
              </w:r>
            </w:del>
          </w:p>
        </w:tc>
        <w:tc>
          <w:tcPr>
            <w:tcW w:w="2450" w:type="dxa"/>
            <w:tcBorders>
              <w:top w:val="single" w:sz="6" w:space="0" w:color="000000"/>
              <w:left w:val="single" w:sz="6" w:space="0" w:color="000000"/>
              <w:bottom w:val="single" w:sz="6" w:space="0" w:color="000000"/>
              <w:right w:val="single" w:sz="6" w:space="0" w:color="000000"/>
            </w:tcBorders>
            <w:vAlign w:val="bottom"/>
          </w:tcPr>
          <w:p w14:paraId="2F7D2248" w14:textId="77777777" w:rsidR="00A26519" w:rsidRPr="001B4A02" w:rsidRDefault="00A26519" w:rsidP="00E571F5">
            <w:pPr>
              <w:keepNext/>
              <w:keepLines/>
              <w:tabs>
                <w:tab w:val="left" w:pos="-1080"/>
              </w:tabs>
              <w:autoSpaceDE w:val="0"/>
              <w:autoSpaceDN w:val="0"/>
              <w:adjustRightInd w:val="0"/>
              <w:ind w:left="0" w:firstLine="0"/>
              <w:jc w:val="center"/>
              <w:rPr>
                <w:del w:id="7735" w:author="AbbVie1" w:date="2025-05-13T09:50:00Z"/>
                <w:b/>
                <w:szCs w:val="22"/>
              </w:rPr>
            </w:pPr>
          </w:p>
        </w:tc>
        <w:tc>
          <w:tcPr>
            <w:tcW w:w="2409" w:type="dxa"/>
            <w:tcBorders>
              <w:top w:val="single" w:sz="6" w:space="0" w:color="000000"/>
              <w:left w:val="single" w:sz="6" w:space="0" w:color="000000"/>
              <w:bottom w:val="single" w:sz="6" w:space="0" w:color="000000"/>
              <w:right w:val="single" w:sz="6" w:space="0" w:color="000000"/>
            </w:tcBorders>
            <w:vAlign w:val="bottom"/>
          </w:tcPr>
          <w:p w14:paraId="6E98ECAF" w14:textId="77777777" w:rsidR="00A26519" w:rsidRPr="001B4A02" w:rsidRDefault="00A26519" w:rsidP="00E571F5">
            <w:pPr>
              <w:keepNext/>
              <w:keepLines/>
              <w:tabs>
                <w:tab w:val="left" w:pos="-1080"/>
              </w:tabs>
              <w:autoSpaceDE w:val="0"/>
              <w:autoSpaceDN w:val="0"/>
              <w:adjustRightInd w:val="0"/>
              <w:ind w:left="0" w:firstLine="0"/>
              <w:jc w:val="center"/>
              <w:rPr>
                <w:del w:id="7736" w:author="AbbVie1" w:date="2025-05-13T09:50:00Z"/>
                <w:b/>
                <w:szCs w:val="22"/>
              </w:rPr>
            </w:pPr>
          </w:p>
        </w:tc>
        <w:tc>
          <w:tcPr>
            <w:tcW w:w="1420" w:type="dxa"/>
            <w:tcBorders>
              <w:top w:val="single" w:sz="6" w:space="0" w:color="000000"/>
              <w:left w:val="single" w:sz="6" w:space="0" w:color="000000"/>
              <w:bottom w:val="single" w:sz="6" w:space="0" w:color="000000"/>
              <w:right w:val="single" w:sz="6" w:space="0" w:color="000000"/>
            </w:tcBorders>
            <w:vAlign w:val="bottom"/>
          </w:tcPr>
          <w:p w14:paraId="7BBCEF2E" w14:textId="77777777" w:rsidR="00A26519" w:rsidRPr="001B4A02" w:rsidRDefault="00A26519" w:rsidP="00E571F5">
            <w:pPr>
              <w:keepNext/>
              <w:autoSpaceDE w:val="0"/>
              <w:autoSpaceDN w:val="0"/>
              <w:adjustRightInd w:val="0"/>
              <w:ind w:left="0" w:firstLine="0"/>
              <w:jc w:val="center"/>
              <w:rPr>
                <w:del w:id="7737" w:author="AbbVie1" w:date="2025-05-13T09:50:00Z"/>
                <w:b/>
                <w:szCs w:val="22"/>
              </w:rPr>
            </w:pPr>
          </w:p>
        </w:tc>
      </w:tr>
      <w:tr w:rsidR="00534A2D" w14:paraId="0D40C55E" w14:textId="77777777" w:rsidTr="00F365E7">
        <w:trPr>
          <w:jc w:val="center"/>
          <w:del w:id="7738" w:author="AbbVie1" w:date="2025-05-13T09:50:00Z"/>
        </w:trPr>
        <w:tc>
          <w:tcPr>
            <w:tcW w:w="2654" w:type="dxa"/>
            <w:tcBorders>
              <w:top w:val="single" w:sz="6" w:space="0" w:color="000000"/>
              <w:left w:val="single" w:sz="6" w:space="0" w:color="000000"/>
              <w:bottom w:val="single" w:sz="6" w:space="0" w:color="000000"/>
              <w:right w:val="single" w:sz="6" w:space="0" w:color="000000"/>
            </w:tcBorders>
            <w:vAlign w:val="bottom"/>
          </w:tcPr>
          <w:p w14:paraId="58ECEAB0" w14:textId="77777777" w:rsidR="00A26519" w:rsidRPr="001B4A02" w:rsidRDefault="00000000" w:rsidP="00E571F5">
            <w:pPr>
              <w:keepNext/>
              <w:keepLines/>
              <w:tabs>
                <w:tab w:val="left" w:pos="-1080"/>
              </w:tabs>
              <w:autoSpaceDE w:val="0"/>
              <w:autoSpaceDN w:val="0"/>
              <w:adjustRightInd w:val="0"/>
              <w:rPr>
                <w:del w:id="7739" w:author="AbbVie1" w:date="2025-05-13T09:50:00Z"/>
                <w:bCs/>
                <w:szCs w:val="22"/>
              </w:rPr>
            </w:pPr>
            <w:del w:id="7740" w:author="AbbVie1" w:date="2025-05-13T09:50:00Z">
              <w:r w:rsidRPr="001B4A02">
                <w:rPr>
                  <w:bCs/>
                  <w:szCs w:val="22"/>
                </w:rPr>
                <w:delText>Klinická remise</w:delText>
              </w:r>
            </w:del>
          </w:p>
        </w:tc>
        <w:tc>
          <w:tcPr>
            <w:tcW w:w="2450" w:type="dxa"/>
            <w:tcBorders>
              <w:top w:val="single" w:sz="6" w:space="0" w:color="000000"/>
              <w:left w:val="single" w:sz="6" w:space="0" w:color="000000"/>
              <w:bottom w:val="single" w:sz="6" w:space="0" w:color="000000"/>
              <w:right w:val="single" w:sz="6" w:space="0" w:color="000000"/>
            </w:tcBorders>
          </w:tcPr>
          <w:p w14:paraId="13F43868" w14:textId="77777777" w:rsidR="00A26519" w:rsidRPr="001B4A02" w:rsidRDefault="00000000" w:rsidP="00E571F5">
            <w:pPr>
              <w:keepNext/>
              <w:keepLines/>
              <w:tabs>
                <w:tab w:val="left" w:pos="-1080"/>
              </w:tabs>
              <w:autoSpaceDE w:val="0"/>
              <w:autoSpaceDN w:val="0"/>
              <w:adjustRightInd w:val="0"/>
              <w:ind w:left="0" w:firstLine="0"/>
              <w:jc w:val="center"/>
              <w:rPr>
                <w:del w:id="7741" w:author="AbbVie1" w:date="2025-05-13T09:50:00Z"/>
                <w:szCs w:val="22"/>
              </w:rPr>
            </w:pPr>
            <w:del w:id="7742" w:author="AbbVie1" w:date="2025-05-13T09:50:00Z">
              <w:r w:rsidRPr="001B4A02">
                <w:rPr>
                  <w:szCs w:val="22"/>
                </w:rPr>
                <w:delText>33,3</w:delText>
              </w:r>
              <w:r>
                <w:rPr>
                  <w:szCs w:val="22"/>
                </w:rPr>
                <w:delText> %</w:delText>
              </w:r>
            </w:del>
          </w:p>
        </w:tc>
        <w:tc>
          <w:tcPr>
            <w:tcW w:w="2409" w:type="dxa"/>
            <w:tcBorders>
              <w:top w:val="single" w:sz="6" w:space="0" w:color="000000"/>
              <w:left w:val="single" w:sz="6" w:space="0" w:color="000000"/>
              <w:bottom w:val="single" w:sz="6" w:space="0" w:color="000000"/>
              <w:right w:val="single" w:sz="6" w:space="0" w:color="000000"/>
            </w:tcBorders>
          </w:tcPr>
          <w:p w14:paraId="1B24B8C9" w14:textId="77777777" w:rsidR="00A26519" w:rsidRPr="001B4A02" w:rsidRDefault="00000000" w:rsidP="00E571F5">
            <w:pPr>
              <w:keepNext/>
              <w:keepLines/>
              <w:tabs>
                <w:tab w:val="left" w:pos="-1080"/>
              </w:tabs>
              <w:autoSpaceDE w:val="0"/>
              <w:autoSpaceDN w:val="0"/>
              <w:adjustRightInd w:val="0"/>
              <w:ind w:left="0" w:firstLine="0"/>
              <w:jc w:val="center"/>
              <w:rPr>
                <w:del w:id="7743" w:author="AbbVie1" w:date="2025-05-13T09:50:00Z"/>
                <w:szCs w:val="22"/>
              </w:rPr>
            </w:pPr>
            <w:del w:id="7744" w:author="AbbVie1" w:date="2025-05-13T09:50:00Z">
              <w:r w:rsidRPr="001B4A02">
                <w:rPr>
                  <w:szCs w:val="22"/>
                </w:rPr>
                <w:delText>23,2</w:delText>
              </w:r>
              <w:r>
                <w:rPr>
                  <w:szCs w:val="22"/>
                </w:rPr>
                <w:delText> %</w:delText>
              </w:r>
            </w:del>
          </w:p>
        </w:tc>
        <w:tc>
          <w:tcPr>
            <w:tcW w:w="1420" w:type="dxa"/>
            <w:tcBorders>
              <w:top w:val="single" w:sz="6" w:space="0" w:color="000000"/>
              <w:left w:val="single" w:sz="6" w:space="0" w:color="000000"/>
              <w:bottom w:val="single" w:sz="6" w:space="0" w:color="000000"/>
              <w:right w:val="single" w:sz="6" w:space="0" w:color="000000"/>
            </w:tcBorders>
          </w:tcPr>
          <w:p w14:paraId="6AD1CA0A" w14:textId="77777777" w:rsidR="00A26519" w:rsidRPr="001B4A02" w:rsidRDefault="00000000" w:rsidP="00E571F5">
            <w:pPr>
              <w:keepNext/>
              <w:keepLines/>
              <w:tabs>
                <w:tab w:val="left" w:pos="-1080"/>
              </w:tabs>
              <w:autoSpaceDE w:val="0"/>
              <w:autoSpaceDN w:val="0"/>
              <w:adjustRightInd w:val="0"/>
              <w:ind w:left="0" w:firstLine="0"/>
              <w:jc w:val="center"/>
              <w:rPr>
                <w:del w:id="7745" w:author="AbbVie1" w:date="2025-05-13T09:50:00Z"/>
                <w:szCs w:val="22"/>
              </w:rPr>
            </w:pPr>
            <w:del w:id="7746" w:author="AbbVie1" w:date="2025-05-13T09:50:00Z">
              <w:r w:rsidRPr="001B4A02">
                <w:rPr>
                  <w:szCs w:val="22"/>
                </w:rPr>
                <w:delText>0,100</w:delText>
              </w:r>
            </w:del>
          </w:p>
        </w:tc>
      </w:tr>
      <w:tr w:rsidR="00534A2D" w14:paraId="2C8FB70B" w14:textId="77777777" w:rsidTr="00F365E7">
        <w:trPr>
          <w:jc w:val="center"/>
          <w:del w:id="7747" w:author="AbbVie1" w:date="2025-05-13T09:50:00Z"/>
        </w:trPr>
        <w:tc>
          <w:tcPr>
            <w:tcW w:w="2654" w:type="dxa"/>
            <w:tcBorders>
              <w:top w:val="single" w:sz="6" w:space="0" w:color="000000"/>
              <w:left w:val="single" w:sz="6" w:space="0" w:color="000000"/>
              <w:bottom w:val="single" w:sz="6" w:space="0" w:color="000000"/>
              <w:right w:val="single" w:sz="6" w:space="0" w:color="000000"/>
            </w:tcBorders>
            <w:vAlign w:val="bottom"/>
          </w:tcPr>
          <w:p w14:paraId="08E051A3" w14:textId="77777777" w:rsidR="00A26519" w:rsidRPr="001B4A02" w:rsidRDefault="00000000" w:rsidP="00E571F5">
            <w:pPr>
              <w:keepNext/>
              <w:keepLines/>
              <w:tabs>
                <w:tab w:val="left" w:pos="-1080"/>
              </w:tabs>
              <w:autoSpaceDE w:val="0"/>
              <w:autoSpaceDN w:val="0"/>
              <w:adjustRightInd w:val="0"/>
              <w:rPr>
                <w:del w:id="7748" w:author="AbbVie1" w:date="2025-05-13T09:50:00Z"/>
                <w:b/>
                <w:bCs/>
                <w:szCs w:val="22"/>
              </w:rPr>
            </w:pPr>
            <w:del w:id="7749" w:author="AbbVie1" w:date="2025-05-13T09:50:00Z">
              <w:r w:rsidRPr="001B4A02">
                <w:rPr>
                  <w:bCs/>
                  <w:szCs w:val="22"/>
                </w:rPr>
                <w:delText>Klinická odpověď</w:delText>
              </w:r>
            </w:del>
          </w:p>
        </w:tc>
        <w:tc>
          <w:tcPr>
            <w:tcW w:w="2450" w:type="dxa"/>
            <w:tcBorders>
              <w:top w:val="single" w:sz="6" w:space="0" w:color="000000"/>
              <w:left w:val="single" w:sz="6" w:space="0" w:color="000000"/>
              <w:bottom w:val="single" w:sz="6" w:space="0" w:color="000000"/>
              <w:right w:val="single" w:sz="6" w:space="0" w:color="000000"/>
            </w:tcBorders>
          </w:tcPr>
          <w:p w14:paraId="20A88D51" w14:textId="77777777" w:rsidR="00A26519" w:rsidRPr="001B4A02" w:rsidRDefault="00000000" w:rsidP="00E571F5">
            <w:pPr>
              <w:keepNext/>
              <w:keepLines/>
              <w:tabs>
                <w:tab w:val="left" w:pos="-1080"/>
              </w:tabs>
              <w:autoSpaceDE w:val="0"/>
              <w:autoSpaceDN w:val="0"/>
              <w:adjustRightInd w:val="0"/>
              <w:ind w:left="0" w:firstLine="0"/>
              <w:jc w:val="center"/>
              <w:rPr>
                <w:del w:id="7750" w:author="AbbVie1" w:date="2025-05-13T09:50:00Z"/>
                <w:szCs w:val="22"/>
              </w:rPr>
            </w:pPr>
            <w:del w:id="7751" w:author="AbbVie1" w:date="2025-05-13T09:50:00Z">
              <w:r w:rsidRPr="001B4A02">
                <w:rPr>
                  <w:szCs w:val="22"/>
                </w:rPr>
                <w:delText>41,9</w:delText>
              </w:r>
              <w:r>
                <w:rPr>
                  <w:szCs w:val="22"/>
                </w:rPr>
                <w:delText> %</w:delText>
              </w:r>
            </w:del>
          </w:p>
        </w:tc>
        <w:tc>
          <w:tcPr>
            <w:tcW w:w="2409" w:type="dxa"/>
            <w:tcBorders>
              <w:top w:val="single" w:sz="6" w:space="0" w:color="000000"/>
              <w:left w:val="single" w:sz="6" w:space="0" w:color="000000"/>
              <w:bottom w:val="single" w:sz="6" w:space="0" w:color="000000"/>
              <w:right w:val="single" w:sz="6" w:space="0" w:color="000000"/>
            </w:tcBorders>
          </w:tcPr>
          <w:p w14:paraId="7D42319E" w14:textId="77777777" w:rsidR="00A26519" w:rsidRPr="001B4A02" w:rsidRDefault="00000000" w:rsidP="00E571F5">
            <w:pPr>
              <w:keepNext/>
              <w:keepLines/>
              <w:tabs>
                <w:tab w:val="left" w:pos="-1080"/>
              </w:tabs>
              <w:autoSpaceDE w:val="0"/>
              <w:autoSpaceDN w:val="0"/>
              <w:adjustRightInd w:val="0"/>
              <w:ind w:left="0" w:firstLine="0"/>
              <w:jc w:val="center"/>
              <w:rPr>
                <w:del w:id="7752" w:author="AbbVie1" w:date="2025-05-13T09:50:00Z"/>
                <w:szCs w:val="22"/>
              </w:rPr>
            </w:pPr>
            <w:del w:id="7753" w:author="AbbVie1" w:date="2025-05-13T09:50:00Z">
              <w:r w:rsidRPr="001B4A02">
                <w:rPr>
                  <w:szCs w:val="22"/>
                </w:rPr>
                <w:delText>28,4</w:delText>
              </w:r>
              <w:r>
                <w:rPr>
                  <w:szCs w:val="22"/>
                </w:rPr>
                <w:delText> %</w:delText>
              </w:r>
            </w:del>
          </w:p>
        </w:tc>
        <w:tc>
          <w:tcPr>
            <w:tcW w:w="1420" w:type="dxa"/>
            <w:tcBorders>
              <w:top w:val="single" w:sz="6" w:space="0" w:color="000000"/>
              <w:left w:val="single" w:sz="6" w:space="0" w:color="000000"/>
              <w:bottom w:val="single" w:sz="6" w:space="0" w:color="000000"/>
              <w:right w:val="single" w:sz="6" w:space="0" w:color="000000"/>
            </w:tcBorders>
          </w:tcPr>
          <w:p w14:paraId="6F766864" w14:textId="77777777" w:rsidR="00A26519" w:rsidRPr="001B4A02" w:rsidRDefault="00000000" w:rsidP="00E571F5">
            <w:pPr>
              <w:keepNext/>
              <w:keepLines/>
              <w:tabs>
                <w:tab w:val="left" w:pos="-1080"/>
              </w:tabs>
              <w:autoSpaceDE w:val="0"/>
              <w:autoSpaceDN w:val="0"/>
              <w:adjustRightInd w:val="0"/>
              <w:ind w:left="0" w:firstLine="0"/>
              <w:jc w:val="center"/>
              <w:rPr>
                <w:del w:id="7754" w:author="AbbVie1" w:date="2025-05-13T09:50:00Z"/>
                <w:szCs w:val="22"/>
              </w:rPr>
            </w:pPr>
            <w:del w:id="7755" w:author="AbbVie1" w:date="2025-05-13T09:50:00Z">
              <w:r w:rsidRPr="001B4A02">
                <w:rPr>
                  <w:szCs w:val="22"/>
                </w:rPr>
                <w:delText>0,038</w:delText>
              </w:r>
            </w:del>
          </w:p>
        </w:tc>
      </w:tr>
      <w:tr w:rsidR="00534A2D" w14:paraId="36C6AF35" w14:textId="77777777" w:rsidTr="00F365E7">
        <w:trPr>
          <w:jc w:val="center"/>
          <w:del w:id="7756" w:author="AbbVie1" w:date="2025-05-13T09:50:00Z"/>
        </w:trPr>
        <w:tc>
          <w:tcPr>
            <w:tcW w:w="8933" w:type="dxa"/>
            <w:gridSpan w:val="4"/>
            <w:tcBorders>
              <w:top w:val="single" w:sz="6" w:space="0" w:color="000000"/>
              <w:left w:val="single" w:sz="6" w:space="0" w:color="000000"/>
              <w:bottom w:val="single" w:sz="6" w:space="0" w:color="000000"/>
              <w:right w:val="single" w:sz="6" w:space="0" w:color="000000"/>
            </w:tcBorders>
          </w:tcPr>
          <w:p w14:paraId="206DFE6F" w14:textId="77777777" w:rsidR="00A26519" w:rsidRPr="001B4A02" w:rsidRDefault="00000000" w:rsidP="00E571F5">
            <w:pPr>
              <w:keepNext/>
              <w:keepLines/>
              <w:tabs>
                <w:tab w:val="left" w:pos="-1080"/>
              </w:tabs>
              <w:autoSpaceDE w:val="0"/>
              <w:autoSpaceDN w:val="0"/>
              <w:adjustRightInd w:val="0"/>
              <w:rPr>
                <w:del w:id="7757" w:author="AbbVie1" w:date="2025-05-13T09:50:00Z"/>
                <w:sz w:val="20"/>
              </w:rPr>
            </w:pPr>
            <w:del w:id="7758" w:author="AbbVie1" w:date="2025-05-13T09:50:00Z">
              <w:r w:rsidRPr="001B4A02">
                <w:rPr>
                  <w:sz w:val="20"/>
                </w:rPr>
                <w:delText>* p hodnota pro standardní dávku v porovnání se sníženou dávkou</w:delText>
              </w:r>
            </w:del>
          </w:p>
        </w:tc>
      </w:tr>
    </w:tbl>
    <w:p w14:paraId="7F3C57A5" w14:textId="77777777" w:rsidR="00A26519" w:rsidRPr="001B4A02" w:rsidRDefault="00A26519" w:rsidP="00A26519">
      <w:pPr>
        <w:rPr>
          <w:del w:id="7759" w:author="AbbVie1" w:date="2025-05-13T09:50:00Z"/>
        </w:rPr>
      </w:pPr>
    </w:p>
    <w:tbl>
      <w:tblPr>
        <w:tblW w:w="5000" w:type="pct"/>
        <w:jc w:val="center"/>
        <w:tblCellMar>
          <w:left w:w="0" w:type="dxa"/>
          <w:right w:w="0" w:type="dxa"/>
        </w:tblCellMar>
        <w:tblLook w:val="00A0" w:firstRow="1" w:lastRow="0" w:firstColumn="1" w:lastColumn="0" w:noHBand="0" w:noVBand="0"/>
      </w:tblPr>
      <w:tblGrid>
        <w:gridCol w:w="3183"/>
        <w:gridCol w:w="2366"/>
        <w:gridCol w:w="2150"/>
        <w:gridCol w:w="1356"/>
      </w:tblGrid>
      <w:tr w:rsidR="00534A2D" w14:paraId="1F706EB6" w14:textId="77777777" w:rsidTr="00F365E7">
        <w:trPr>
          <w:jc w:val="center"/>
          <w:del w:id="7760" w:author="AbbVie1" w:date="2025-05-13T09:50:00Z"/>
        </w:trPr>
        <w:tc>
          <w:tcPr>
            <w:tcW w:w="9300" w:type="dxa"/>
            <w:gridSpan w:val="4"/>
            <w:tcBorders>
              <w:top w:val="single" w:sz="6" w:space="0" w:color="000000"/>
              <w:left w:val="single" w:sz="6" w:space="0" w:color="000000"/>
              <w:bottom w:val="single" w:sz="6" w:space="0" w:color="000000"/>
              <w:right w:val="single" w:sz="6" w:space="0" w:color="000000"/>
            </w:tcBorders>
          </w:tcPr>
          <w:p w14:paraId="48FB5B83" w14:textId="77777777" w:rsidR="00A26519" w:rsidRPr="001B4A02" w:rsidRDefault="00000000" w:rsidP="00E571F5">
            <w:pPr>
              <w:keepNext/>
              <w:tabs>
                <w:tab w:val="left" w:pos="-878"/>
              </w:tabs>
              <w:autoSpaceDE w:val="0"/>
              <w:autoSpaceDN w:val="0"/>
              <w:adjustRightInd w:val="0"/>
              <w:jc w:val="center"/>
              <w:rPr>
                <w:del w:id="7761" w:author="AbbVie1" w:date="2025-05-13T09:50:00Z"/>
                <w:b/>
                <w:bCs/>
                <w:szCs w:val="22"/>
              </w:rPr>
            </w:pPr>
            <w:del w:id="7762" w:author="AbbVie1" w:date="2025-05-13T09:50:00Z">
              <w:r w:rsidRPr="001B4A02">
                <w:rPr>
                  <w:b/>
                  <w:bCs/>
                  <w:szCs w:val="22"/>
                </w:rPr>
                <w:delText xml:space="preserve">Tabulka </w:delText>
              </w:r>
              <w:r w:rsidR="00CC1B29">
                <w:rPr>
                  <w:b/>
                  <w:bCs/>
                  <w:szCs w:val="22"/>
                </w:rPr>
                <w:delText>30</w:delText>
              </w:r>
            </w:del>
          </w:p>
          <w:p w14:paraId="6DF2931E" w14:textId="77777777" w:rsidR="00A26519" w:rsidRPr="001B4A02" w:rsidRDefault="00000000" w:rsidP="00E571F5">
            <w:pPr>
              <w:keepNext/>
              <w:tabs>
                <w:tab w:val="left" w:pos="-878"/>
              </w:tabs>
              <w:autoSpaceDE w:val="0"/>
              <w:autoSpaceDN w:val="0"/>
              <w:adjustRightInd w:val="0"/>
              <w:jc w:val="center"/>
              <w:rPr>
                <w:del w:id="7763" w:author="AbbVie1" w:date="2025-05-13T09:50:00Z"/>
                <w:b/>
                <w:bCs/>
                <w:szCs w:val="22"/>
              </w:rPr>
            </w:pPr>
            <w:del w:id="7764" w:author="AbbVie1" w:date="2025-05-13T09:50:00Z">
              <w:r w:rsidRPr="001B4A02">
                <w:rPr>
                  <w:b/>
                  <w:bCs/>
                  <w:szCs w:val="22"/>
                </w:rPr>
                <w:delText>Studie u pediatrických pacientů s Crohnovou chorobou</w:delText>
              </w:r>
            </w:del>
          </w:p>
          <w:p w14:paraId="0E02E0A2" w14:textId="77777777" w:rsidR="00A26519" w:rsidRPr="001B4A02" w:rsidRDefault="00000000" w:rsidP="00E571F5">
            <w:pPr>
              <w:keepNext/>
              <w:tabs>
                <w:tab w:val="left" w:pos="-878"/>
              </w:tabs>
              <w:autoSpaceDE w:val="0"/>
              <w:autoSpaceDN w:val="0"/>
              <w:adjustRightInd w:val="0"/>
              <w:jc w:val="center"/>
              <w:rPr>
                <w:del w:id="7765" w:author="AbbVie1" w:date="2025-05-13T09:50:00Z"/>
                <w:b/>
                <w:bCs/>
                <w:szCs w:val="22"/>
              </w:rPr>
            </w:pPr>
            <w:del w:id="7766" w:author="AbbVie1" w:date="2025-05-13T09:50:00Z">
              <w:r w:rsidRPr="001B4A02">
                <w:rPr>
                  <w:b/>
                  <w:bCs/>
                  <w:szCs w:val="22"/>
                </w:rPr>
                <w:delText>Vysazení kortikosteroidů nebo imunomodulátorů</w:delText>
              </w:r>
              <w:r w:rsidR="002378E0">
                <w:rPr>
                  <w:b/>
                  <w:bCs/>
                  <w:szCs w:val="22"/>
                </w:rPr>
                <w:delText xml:space="preserve"> a </w:delText>
              </w:r>
              <w:r w:rsidRPr="001B4A02">
                <w:rPr>
                  <w:b/>
                  <w:bCs/>
                  <w:szCs w:val="22"/>
                </w:rPr>
                <w:delText>remise píštělí</w:delText>
              </w:r>
            </w:del>
          </w:p>
        </w:tc>
      </w:tr>
      <w:tr w:rsidR="00534A2D" w14:paraId="2BC19114" w14:textId="77777777" w:rsidTr="00F365E7">
        <w:trPr>
          <w:jc w:val="center"/>
          <w:del w:id="7767" w:author="AbbVie1" w:date="2025-05-13T09:50:00Z"/>
        </w:trPr>
        <w:tc>
          <w:tcPr>
            <w:tcW w:w="3234" w:type="dxa"/>
            <w:tcBorders>
              <w:top w:val="single" w:sz="6" w:space="0" w:color="000000"/>
              <w:left w:val="single" w:sz="6" w:space="0" w:color="000000"/>
              <w:bottom w:val="single" w:sz="6" w:space="0" w:color="000000"/>
              <w:right w:val="single" w:sz="6" w:space="0" w:color="000000"/>
            </w:tcBorders>
          </w:tcPr>
          <w:p w14:paraId="3753F703" w14:textId="77777777" w:rsidR="00A26519" w:rsidRPr="001B4A02" w:rsidRDefault="00A26519" w:rsidP="00E571F5">
            <w:pPr>
              <w:keepNext/>
              <w:keepLines/>
              <w:tabs>
                <w:tab w:val="left" w:pos="-1080"/>
              </w:tabs>
              <w:autoSpaceDE w:val="0"/>
              <w:autoSpaceDN w:val="0"/>
              <w:adjustRightInd w:val="0"/>
              <w:jc w:val="center"/>
              <w:rPr>
                <w:del w:id="7768" w:author="AbbVie1" w:date="2025-05-13T09:50:00Z"/>
                <w:b/>
                <w:bCs/>
                <w:szCs w:val="22"/>
              </w:rPr>
            </w:pPr>
          </w:p>
        </w:tc>
        <w:tc>
          <w:tcPr>
            <w:tcW w:w="2447" w:type="dxa"/>
            <w:tcBorders>
              <w:top w:val="single" w:sz="6" w:space="0" w:color="000000"/>
              <w:left w:val="single" w:sz="6" w:space="0" w:color="000000"/>
              <w:bottom w:val="single" w:sz="6" w:space="0" w:color="000000"/>
              <w:right w:val="single" w:sz="6" w:space="0" w:color="000000"/>
            </w:tcBorders>
          </w:tcPr>
          <w:p w14:paraId="2B37FF17" w14:textId="77777777" w:rsidR="00A26519" w:rsidRPr="001B4A02" w:rsidRDefault="00000000" w:rsidP="00E571F5">
            <w:pPr>
              <w:keepNext/>
              <w:keepLines/>
              <w:tabs>
                <w:tab w:val="left" w:pos="-1080"/>
              </w:tabs>
              <w:autoSpaceDE w:val="0"/>
              <w:autoSpaceDN w:val="0"/>
              <w:adjustRightInd w:val="0"/>
              <w:ind w:left="0" w:firstLine="0"/>
              <w:jc w:val="center"/>
              <w:rPr>
                <w:del w:id="7769" w:author="AbbVie1" w:date="2025-05-13T09:50:00Z"/>
                <w:b/>
                <w:bCs/>
                <w:szCs w:val="22"/>
              </w:rPr>
            </w:pPr>
            <w:del w:id="7770" w:author="AbbVie1" w:date="2025-05-13T09:50:00Z">
              <w:r w:rsidRPr="001B4A02">
                <w:rPr>
                  <w:b/>
                  <w:bCs/>
                  <w:szCs w:val="22"/>
                </w:rPr>
                <w:delText>Standardní dávka</w:delText>
              </w:r>
            </w:del>
          </w:p>
          <w:p w14:paraId="1E41D665" w14:textId="77777777" w:rsidR="00A26519" w:rsidRPr="001B4A02" w:rsidRDefault="00000000" w:rsidP="00E571F5">
            <w:pPr>
              <w:keepNext/>
              <w:keepLines/>
              <w:tabs>
                <w:tab w:val="left" w:pos="-1080"/>
              </w:tabs>
              <w:autoSpaceDE w:val="0"/>
              <w:autoSpaceDN w:val="0"/>
              <w:adjustRightInd w:val="0"/>
              <w:ind w:left="0" w:firstLine="0"/>
              <w:jc w:val="center"/>
              <w:rPr>
                <w:del w:id="7771" w:author="AbbVie1" w:date="2025-05-13T09:50:00Z"/>
                <w:b/>
                <w:bCs/>
                <w:szCs w:val="22"/>
              </w:rPr>
            </w:pPr>
            <w:del w:id="7772" w:author="AbbVie1" w:date="2025-05-13T09:50:00Z">
              <w:r w:rsidRPr="001B4A02">
                <w:rPr>
                  <w:b/>
                  <w:bCs/>
                  <w:szCs w:val="22"/>
                </w:rPr>
                <w:delText>40/20</w:delText>
              </w:r>
              <w:r w:rsidR="00F365E7" w:rsidRPr="00005EC2">
                <w:rPr>
                  <w:szCs w:val="22"/>
                </w:rPr>
                <w:delText> </w:delText>
              </w:r>
              <w:r w:rsidRPr="001B4A02">
                <w:rPr>
                  <w:b/>
                  <w:bCs/>
                  <w:szCs w:val="22"/>
                </w:rPr>
                <w:delText>mg</w:delText>
              </w:r>
            </w:del>
          </w:p>
          <w:p w14:paraId="5ECAADA4" w14:textId="77777777" w:rsidR="00A26519" w:rsidRPr="001B4A02" w:rsidRDefault="00000000" w:rsidP="00E571F5">
            <w:pPr>
              <w:keepNext/>
              <w:keepLines/>
              <w:tabs>
                <w:tab w:val="left" w:pos="-1080"/>
              </w:tabs>
              <w:autoSpaceDE w:val="0"/>
              <w:autoSpaceDN w:val="0"/>
              <w:adjustRightInd w:val="0"/>
              <w:ind w:left="0" w:firstLine="0"/>
              <w:jc w:val="center"/>
              <w:rPr>
                <w:del w:id="7773" w:author="AbbVie1" w:date="2025-05-13T09:50:00Z"/>
                <w:b/>
                <w:bCs/>
                <w:szCs w:val="22"/>
              </w:rPr>
            </w:pPr>
            <w:del w:id="7774" w:author="AbbVie1" w:date="2025-05-13T09:50:00Z">
              <w:r w:rsidRPr="001B4A02">
                <w:rPr>
                  <w:b/>
                  <w:bCs/>
                  <w:szCs w:val="22"/>
                </w:rPr>
                <w:delText>každý druhý týden</w:delText>
              </w:r>
            </w:del>
          </w:p>
        </w:tc>
        <w:tc>
          <w:tcPr>
            <w:tcW w:w="2231" w:type="dxa"/>
            <w:tcBorders>
              <w:top w:val="single" w:sz="6" w:space="0" w:color="000000"/>
              <w:left w:val="single" w:sz="6" w:space="0" w:color="000000"/>
              <w:bottom w:val="single" w:sz="6" w:space="0" w:color="000000"/>
              <w:right w:val="single" w:sz="6" w:space="0" w:color="000000"/>
            </w:tcBorders>
          </w:tcPr>
          <w:p w14:paraId="20745B53" w14:textId="77777777" w:rsidR="00A26519" w:rsidRPr="001B4A02" w:rsidRDefault="00000000" w:rsidP="00E571F5">
            <w:pPr>
              <w:keepNext/>
              <w:keepLines/>
              <w:tabs>
                <w:tab w:val="left" w:pos="-1080"/>
              </w:tabs>
              <w:autoSpaceDE w:val="0"/>
              <w:autoSpaceDN w:val="0"/>
              <w:adjustRightInd w:val="0"/>
              <w:ind w:left="0" w:firstLine="0"/>
              <w:jc w:val="center"/>
              <w:rPr>
                <w:del w:id="7775" w:author="AbbVie1" w:date="2025-05-13T09:50:00Z"/>
                <w:b/>
                <w:bCs/>
                <w:szCs w:val="22"/>
              </w:rPr>
            </w:pPr>
            <w:del w:id="7776" w:author="AbbVie1" w:date="2025-05-13T09:50:00Z">
              <w:r w:rsidRPr="001B4A02">
                <w:rPr>
                  <w:b/>
                  <w:bCs/>
                  <w:szCs w:val="22"/>
                </w:rPr>
                <w:delText>Snížená dávka</w:delText>
              </w:r>
            </w:del>
          </w:p>
          <w:p w14:paraId="2AE04476" w14:textId="77777777" w:rsidR="00A26519" w:rsidRPr="001B4A02" w:rsidRDefault="00000000" w:rsidP="00E571F5">
            <w:pPr>
              <w:keepNext/>
              <w:keepLines/>
              <w:tabs>
                <w:tab w:val="left" w:pos="-1080"/>
              </w:tabs>
              <w:autoSpaceDE w:val="0"/>
              <w:autoSpaceDN w:val="0"/>
              <w:adjustRightInd w:val="0"/>
              <w:ind w:left="0" w:firstLine="0"/>
              <w:jc w:val="center"/>
              <w:rPr>
                <w:del w:id="7777" w:author="AbbVie1" w:date="2025-05-13T09:50:00Z"/>
                <w:b/>
                <w:bCs/>
                <w:szCs w:val="22"/>
              </w:rPr>
            </w:pPr>
            <w:del w:id="7778" w:author="AbbVie1" w:date="2025-05-13T09:50:00Z">
              <w:r w:rsidRPr="001B4A02">
                <w:rPr>
                  <w:b/>
                  <w:bCs/>
                  <w:szCs w:val="22"/>
                </w:rPr>
                <w:delText>20/10</w:delText>
              </w:r>
              <w:r w:rsidR="00F365E7" w:rsidRPr="00005EC2">
                <w:rPr>
                  <w:szCs w:val="22"/>
                </w:rPr>
                <w:delText> </w:delText>
              </w:r>
              <w:r w:rsidRPr="001B4A02">
                <w:rPr>
                  <w:b/>
                  <w:bCs/>
                  <w:szCs w:val="22"/>
                </w:rPr>
                <w:delText>mg</w:delText>
              </w:r>
            </w:del>
          </w:p>
          <w:p w14:paraId="78AF3D61" w14:textId="77777777" w:rsidR="00A26519" w:rsidRPr="001B4A02" w:rsidRDefault="00000000" w:rsidP="00E571F5">
            <w:pPr>
              <w:keepNext/>
              <w:keepLines/>
              <w:tabs>
                <w:tab w:val="left" w:pos="-1080"/>
              </w:tabs>
              <w:autoSpaceDE w:val="0"/>
              <w:autoSpaceDN w:val="0"/>
              <w:adjustRightInd w:val="0"/>
              <w:ind w:left="0" w:firstLine="0"/>
              <w:jc w:val="center"/>
              <w:rPr>
                <w:del w:id="7779" w:author="AbbVie1" w:date="2025-05-13T09:50:00Z"/>
                <w:b/>
                <w:bCs/>
                <w:szCs w:val="22"/>
              </w:rPr>
            </w:pPr>
            <w:del w:id="7780" w:author="AbbVie1" w:date="2025-05-13T09:50:00Z">
              <w:r w:rsidRPr="001B4A02">
                <w:rPr>
                  <w:b/>
                  <w:bCs/>
                  <w:szCs w:val="22"/>
                </w:rPr>
                <w:delText>každý druhý týden</w:delText>
              </w:r>
            </w:del>
          </w:p>
        </w:tc>
        <w:tc>
          <w:tcPr>
            <w:tcW w:w="1388" w:type="dxa"/>
            <w:tcBorders>
              <w:top w:val="single" w:sz="6" w:space="0" w:color="000000"/>
              <w:left w:val="single" w:sz="6" w:space="0" w:color="000000"/>
              <w:bottom w:val="single" w:sz="6" w:space="0" w:color="000000"/>
              <w:right w:val="single" w:sz="6" w:space="0" w:color="000000"/>
            </w:tcBorders>
          </w:tcPr>
          <w:p w14:paraId="75D29C42" w14:textId="77777777" w:rsidR="00A26519" w:rsidRPr="001B4A02" w:rsidRDefault="00000000" w:rsidP="00E571F5">
            <w:pPr>
              <w:keepNext/>
              <w:keepLines/>
              <w:tabs>
                <w:tab w:val="left" w:pos="-1080"/>
              </w:tabs>
              <w:autoSpaceDE w:val="0"/>
              <w:autoSpaceDN w:val="0"/>
              <w:adjustRightInd w:val="0"/>
              <w:ind w:left="0" w:firstLine="0"/>
              <w:jc w:val="center"/>
              <w:rPr>
                <w:del w:id="7781" w:author="AbbVie1" w:date="2025-05-13T09:50:00Z"/>
                <w:b/>
                <w:bCs/>
                <w:szCs w:val="22"/>
              </w:rPr>
            </w:pPr>
            <w:del w:id="7782" w:author="AbbVie1" w:date="2025-05-13T09:50:00Z">
              <w:r w:rsidRPr="001B4A02">
                <w:rPr>
                  <w:b/>
                  <w:bCs/>
                  <w:szCs w:val="22"/>
                </w:rPr>
                <w:delText>P hodnota</w:delText>
              </w:r>
              <w:r w:rsidRPr="001B4A02">
                <w:rPr>
                  <w:b/>
                  <w:bCs/>
                  <w:szCs w:val="22"/>
                  <w:vertAlign w:val="superscript"/>
                </w:rPr>
                <w:delText>1</w:delText>
              </w:r>
            </w:del>
          </w:p>
        </w:tc>
      </w:tr>
      <w:tr w:rsidR="00534A2D" w14:paraId="1E2031D7" w14:textId="77777777" w:rsidTr="00F365E7">
        <w:trPr>
          <w:jc w:val="center"/>
          <w:del w:id="7783" w:author="AbbVie1" w:date="2025-05-13T09:50:00Z"/>
        </w:trPr>
        <w:tc>
          <w:tcPr>
            <w:tcW w:w="3234" w:type="dxa"/>
            <w:tcBorders>
              <w:top w:val="single" w:sz="6" w:space="0" w:color="000000"/>
              <w:left w:val="single" w:sz="6" w:space="0" w:color="000000"/>
              <w:bottom w:val="single" w:sz="6" w:space="0" w:color="000000"/>
              <w:right w:val="single" w:sz="6" w:space="0" w:color="000000"/>
            </w:tcBorders>
            <w:vAlign w:val="bottom"/>
          </w:tcPr>
          <w:p w14:paraId="3BE784E8" w14:textId="77777777" w:rsidR="00A26519" w:rsidRPr="001B4A02" w:rsidRDefault="00000000" w:rsidP="00E571F5">
            <w:pPr>
              <w:keepNext/>
              <w:keepLines/>
              <w:tabs>
                <w:tab w:val="left" w:pos="-1080"/>
              </w:tabs>
              <w:autoSpaceDE w:val="0"/>
              <w:autoSpaceDN w:val="0"/>
              <w:adjustRightInd w:val="0"/>
              <w:rPr>
                <w:del w:id="7784" w:author="AbbVie1" w:date="2025-05-13T09:50:00Z"/>
                <w:b/>
                <w:szCs w:val="22"/>
              </w:rPr>
            </w:pPr>
            <w:del w:id="7785" w:author="AbbVie1" w:date="2025-05-13T09:50:00Z">
              <w:r w:rsidRPr="001B4A02">
                <w:rPr>
                  <w:b/>
                  <w:szCs w:val="22"/>
                </w:rPr>
                <w:delText>Vysazení kortikosteroidů</w:delText>
              </w:r>
            </w:del>
          </w:p>
        </w:tc>
        <w:tc>
          <w:tcPr>
            <w:tcW w:w="2447" w:type="dxa"/>
            <w:tcBorders>
              <w:top w:val="single" w:sz="6" w:space="0" w:color="000000"/>
              <w:left w:val="single" w:sz="6" w:space="0" w:color="000000"/>
              <w:bottom w:val="single" w:sz="6" w:space="0" w:color="000000"/>
              <w:right w:val="single" w:sz="6" w:space="0" w:color="000000"/>
            </w:tcBorders>
            <w:vAlign w:val="bottom"/>
          </w:tcPr>
          <w:p w14:paraId="3BE28D8D" w14:textId="77777777" w:rsidR="00A26519" w:rsidRPr="001B4A02" w:rsidRDefault="00000000" w:rsidP="00E571F5">
            <w:pPr>
              <w:keepNext/>
              <w:keepLines/>
              <w:tabs>
                <w:tab w:val="left" w:pos="-1080"/>
              </w:tabs>
              <w:autoSpaceDE w:val="0"/>
              <w:autoSpaceDN w:val="0"/>
              <w:adjustRightInd w:val="0"/>
              <w:ind w:left="0" w:firstLine="0"/>
              <w:jc w:val="center"/>
              <w:rPr>
                <w:del w:id="7786" w:author="AbbVie1" w:date="2025-05-13T09:50:00Z"/>
                <w:b/>
                <w:szCs w:val="22"/>
              </w:rPr>
            </w:pPr>
            <w:del w:id="7787" w:author="AbbVie1" w:date="2025-05-13T09:50:00Z">
              <w:r>
                <w:rPr>
                  <w:b/>
                  <w:szCs w:val="22"/>
                </w:rPr>
                <w:delText>n</w:delText>
              </w:r>
              <w:r w:rsidRPr="001B4A02">
                <w:rPr>
                  <w:b/>
                  <w:szCs w:val="22"/>
                </w:rPr>
                <w:delText>=33</w:delText>
              </w:r>
            </w:del>
          </w:p>
        </w:tc>
        <w:tc>
          <w:tcPr>
            <w:tcW w:w="2231" w:type="dxa"/>
            <w:tcBorders>
              <w:top w:val="single" w:sz="6" w:space="0" w:color="000000"/>
              <w:left w:val="single" w:sz="6" w:space="0" w:color="000000"/>
              <w:bottom w:val="single" w:sz="6" w:space="0" w:color="000000"/>
              <w:right w:val="single" w:sz="6" w:space="0" w:color="000000"/>
            </w:tcBorders>
            <w:vAlign w:val="bottom"/>
          </w:tcPr>
          <w:p w14:paraId="7D5D28D2" w14:textId="77777777" w:rsidR="00A26519" w:rsidRPr="001B4A02" w:rsidRDefault="00000000" w:rsidP="00E571F5">
            <w:pPr>
              <w:keepNext/>
              <w:keepLines/>
              <w:tabs>
                <w:tab w:val="left" w:pos="-1080"/>
              </w:tabs>
              <w:autoSpaceDE w:val="0"/>
              <w:autoSpaceDN w:val="0"/>
              <w:adjustRightInd w:val="0"/>
              <w:ind w:left="0" w:firstLine="0"/>
              <w:jc w:val="center"/>
              <w:rPr>
                <w:del w:id="7788" w:author="AbbVie1" w:date="2025-05-13T09:50:00Z"/>
                <w:b/>
                <w:szCs w:val="22"/>
              </w:rPr>
            </w:pPr>
            <w:del w:id="7789" w:author="AbbVie1" w:date="2025-05-13T09:50:00Z">
              <w:r>
                <w:rPr>
                  <w:b/>
                  <w:szCs w:val="22"/>
                </w:rPr>
                <w:delText>n</w:delText>
              </w:r>
              <w:r w:rsidRPr="001B4A02">
                <w:rPr>
                  <w:b/>
                  <w:szCs w:val="22"/>
                </w:rPr>
                <w:delText>=38</w:delText>
              </w:r>
            </w:del>
          </w:p>
        </w:tc>
        <w:tc>
          <w:tcPr>
            <w:tcW w:w="1388" w:type="dxa"/>
            <w:tcBorders>
              <w:top w:val="single" w:sz="6" w:space="0" w:color="000000"/>
              <w:left w:val="single" w:sz="6" w:space="0" w:color="000000"/>
              <w:bottom w:val="single" w:sz="6" w:space="0" w:color="000000"/>
              <w:right w:val="single" w:sz="6" w:space="0" w:color="000000"/>
            </w:tcBorders>
            <w:vAlign w:val="bottom"/>
          </w:tcPr>
          <w:p w14:paraId="79F3EEE1" w14:textId="77777777" w:rsidR="00A26519" w:rsidRPr="001B4A02" w:rsidRDefault="00A26519" w:rsidP="00E571F5">
            <w:pPr>
              <w:keepNext/>
              <w:autoSpaceDE w:val="0"/>
              <w:autoSpaceDN w:val="0"/>
              <w:adjustRightInd w:val="0"/>
              <w:ind w:left="0" w:firstLine="0"/>
              <w:jc w:val="center"/>
              <w:rPr>
                <w:del w:id="7790" w:author="AbbVie1" w:date="2025-05-13T09:50:00Z"/>
                <w:b/>
                <w:szCs w:val="22"/>
              </w:rPr>
            </w:pPr>
          </w:p>
        </w:tc>
      </w:tr>
      <w:tr w:rsidR="00534A2D" w14:paraId="0917E7A0" w14:textId="77777777" w:rsidTr="00F365E7">
        <w:trPr>
          <w:jc w:val="center"/>
          <w:del w:id="7791" w:author="AbbVie1" w:date="2025-05-13T09:50:00Z"/>
        </w:trPr>
        <w:tc>
          <w:tcPr>
            <w:tcW w:w="3234" w:type="dxa"/>
            <w:tcBorders>
              <w:top w:val="single" w:sz="6" w:space="0" w:color="000000"/>
              <w:left w:val="single" w:sz="6" w:space="0" w:color="000000"/>
              <w:bottom w:val="single" w:sz="6" w:space="0" w:color="000000"/>
              <w:right w:val="single" w:sz="6" w:space="0" w:color="000000"/>
            </w:tcBorders>
            <w:vAlign w:val="bottom"/>
          </w:tcPr>
          <w:p w14:paraId="5424C192" w14:textId="77777777" w:rsidR="00A26519" w:rsidRPr="001B4A02" w:rsidRDefault="00000000" w:rsidP="00E571F5">
            <w:pPr>
              <w:keepNext/>
              <w:keepLines/>
              <w:tabs>
                <w:tab w:val="left" w:pos="-1080"/>
              </w:tabs>
              <w:autoSpaceDE w:val="0"/>
              <w:autoSpaceDN w:val="0"/>
              <w:adjustRightInd w:val="0"/>
              <w:rPr>
                <w:del w:id="7792" w:author="AbbVie1" w:date="2025-05-13T09:50:00Z"/>
                <w:bCs/>
                <w:szCs w:val="22"/>
              </w:rPr>
            </w:pPr>
            <w:del w:id="7793" w:author="AbbVie1" w:date="2025-05-13T09:50:00Z">
              <w:r w:rsidRPr="001B4A02">
                <w:rPr>
                  <w:bCs/>
                  <w:szCs w:val="22"/>
                </w:rPr>
                <w:delText>Týden 26</w:delText>
              </w:r>
            </w:del>
          </w:p>
        </w:tc>
        <w:tc>
          <w:tcPr>
            <w:tcW w:w="2447" w:type="dxa"/>
            <w:tcBorders>
              <w:top w:val="single" w:sz="6" w:space="0" w:color="000000"/>
              <w:left w:val="single" w:sz="6" w:space="0" w:color="000000"/>
              <w:bottom w:val="single" w:sz="6" w:space="0" w:color="000000"/>
              <w:right w:val="single" w:sz="6" w:space="0" w:color="000000"/>
            </w:tcBorders>
            <w:vAlign w:val="bottom"/>
          </w:tcPr>
          <w:p w14:paraId="2122EE49" w14:textId="77777777" w:rsidR="00A26519" w:rsidRPr="001B4A02" w:rsidRDefault="00000000" w:rsidP="00E571F5">
            <w:pPr>
              <w:keepNext/>
              <w:keepLines/>
              <w:tabs>
                <w:tab w:val="left" w:pos="-1080"/>
              </w:tabs>
              <w:autoSpaceDE w:val="0"/>
              <w:autoSpaceDN w:val="0"/>
              <w:adjustRightInd w:val="0"/>
              <w:ind w:left="0" w:firstLine="0"/>
              <w:jc w:val="center"/>
              <w:rPr>
                <w:del w:id="7794" w:author="AbbVie1" w:date="2025-05-13T09:50:00Z"/>
                <w:szCs w:val="22"/>
              </w:rPr>
            </w:pPr>
            <w:del w:id="7795" w:author="AbbVie1" w:date="2025-05-13T09:50:00Z">
              <w:r w:rsidRPr="001B4A02">
                <w:rPr>
                  <w:szCs w:val="22"/>
                </w:rPr>
                <w:delText>84,8</w:delText>
              </w:r>
              <w:r>
                <w:rPr>
                  <w:szCs w:val="22"/>
                </w:rPr>
                <w:delText> %</w:delText>
              </w:r>
            </w:del>
          </w:p>
        </w:tc>
        <w:tc>
          <w:tcPr>
            <w:tcW w:w="2231" w:type="dxa"/>
            <w:tcBorders>
              <w:top w:val="single" w:sz="6" w:space="0" w:color="000000"/>
              <w:left w:val="single" w:sz="6" w:space="0" w:color="000000"/>
              <w:bottom w:val="single" w:sz="6" w:space="0" w:color="000000"/>
              <w:right w:val="single" w:sz="6" w:space="0" w:color="000000"/>
            </w:tcBorders>
            <w:vAlign w:val="bottom"/>
          </w:tcPr>
          <w:p w14:paraId="541C1DBE" w14:textId="77777777" w:rsidR="00A26519" w:rsidRPr="001B4A02" w:rsidRDefault="00000000" w:rsidP="00E571F5">
            <w:pPr>
              <w:keepNext/>
              <w:keepLines/>
              <w:tabs>
                <w:tab w:val="left" w:pos="-1080"/>
              </w:tabs>
              <w:autoSpaceDE w:val="0"/>
              <w:autoSpaceDN w:val="0"/>
              <w:adjustRightInd w:val="0"/>
              <w:ind w:left="0" w:firstLine="0"/>
              <w:jc w:val="center"/>
              <w:rPr>
                <w:del w:id="7796" w:author="AbbVie1" w:date="2025-05-13T09:50:00Z"/>
                <w:szCs w:val="22"/>
              </w:rPr>
            </w:pPr>
            <w:del w:id="7797" w:author="AbbVie1" w:date="2025-05-13T09:50:00Z">
              <w:r w:rsidRPr="001B4A02">
                <w:rPr>
                  <w:szCs w:val="22"/>
                </w:rPr>
                <w:delText>65,8</w:delText>
              </w:r>
              <w:r>
                <w:rPr>
                  <w:szCs w:val="22"/>
                </w:rPr>
                <w:delText> %</w:delText>
              </w:r>
            </w:del>
          </w:p>
        </w:tc>
        <w:tc>
          <w:tcPr>
            <w:tcW w:w="1388" w:type="dxa"/>
            <w:tcBorders>
              <w:top w:val="single" w:sz="6" w:space="0" w:color="000000"/>
              <w:left w:val="single" w:sz="6" w:space="0" w:color="000000"/>
              <w:bottom w:val="single" w:sz="6" w:space="0" w:color="000000"/>
              <w:right w:val="single" w:sz="6" w:space="0" w:color="000000"/>
            </w:tcBorders>
            <w:vAlign w:val="bottom"/>
          </w:tcPr>
          <w:p w14:paraId="55ADD6D7" w14:textId="77777777" w:rsidR="00A26519" w:rsidRPr="001B4A02" w:rsidRDefault="00000000" w:rsidP="00E571F5">
            <w:pPr>
              <w:keepNext/>
              <w:keepLines/>
              <w:tabs>
                <w:tab w:val="left" w:pos="-1080"/>
              </w:tabs>
              <w:autoSpaceDE w:val="0"/>
              <w:autoSpaceDN w:val="0"/>
              <w:adjustRightInd w:val="0"/>
              <w:ind w:left="0" w:firstLine="0"/>
              <w:jc w:val="center"/>
              <w:rPr>
                <w:del w:id="7798" w:author="AbbVie1" w:date="2025-05-13T09:50:00Z"/>
                <w:szCs w:val="22"/>
              </w:rPr>
            </w:pPr>
            <w:del w:id="7799" w:author="AbbVie1" w:date="2025-05-13T09:50:00Z">
              <w:r w:rsidRPr="001B4A02">
                <w:rPr>
                  <w:szCs w:val="22"/>
                </w:rPr>
                <w:delText>0,066</w:delText>
              </w:r>
            </w:del>
          </w:p>
        </w:tc>
      </w:tr>
      <w:tr w:rsidR="00534A2D" w14:paraId="5A1A305E" w14:textId="77777777" w:rsidTr="00F365E7">
        <w:trPr>
          <w:jc w:val="center"/>
          <w:del w:id="7800" w:author="AbbVie1" w:date="2025-05-13T09:50:00Z"/>
        </w:trPr>
        <w:tc>
          <w:tcPr>
            <w:tcW w:w="3234" w:type="dxa"/>
            <w:tcBorders>
              <w:top w:val="single" w:sz="6" w:space="0" w:color="000000"/>
              <w:left w:val="single" w:sz="6" w:space="0" w:color="000000"/>
              <w:bottom w:val="single" w:sz="6" w:space="0" w:color="000000"/>
              <w:right w:val="single" w:sz="6" w:space="0" w:color="000000"/>
            </w:tcBorders>
            <w:vAlign w:val="bottom"/>
          </w:tcPr>
          <w:p w14:paraId="751D9FB7" w14:textId="77777777" w:rsidR="00A26519" w:rsidRPr="001B4A02" w:rsidRDefault="00000000" w:rsidP="00E571F5">
            <w:pPr>
              <w:keepNext/>
              <w:keepLines/>
              <w:tabs>
                <w:tab w:val="left" w:pos="-1080"/>
              </w:tabs>
              <w:autoSpaceDE w:val="0"/>
              <w:autoSpaceDN w:val="0"/>
              <w:adjustRightInd w:val="0"/>
              <w:rPr>
                <w:del w:id="7801" w:author="AbbVie1" w:date="2025-05-13T09:50:00Z"/>
                <w:bCs/>
                <w:szCs w:val="22"/>
              </w:rPr>
            </w:pPr>
            <w:del w:id="7802" w:author="AbbVie1" w:date="2025-05-13T09:50:00Z">
              <w:r w:rsidRPr="001B4A02">
                <w:rPr>
                  <w:bCs/>
                  <w:szCs w:val="22"/>
                </w:rPr>
                <w:delText>Týden 52</w:delText>
              </w:r>
            </w:del>
          </w:p>
        </w:tc>
        <w:tc>
          <w:tcPr>
            <w:tcW w:w="2447" w:type="dxa"/>
            <w:tcBorders>
              <w:top w:val="single" w:sz="6" w:space="0" w:color="000000"/>
              <w:left w:val="single" w:sz="6" w:space="0" w:color="000000"/>
              <w:bottom w:val="single" w:sz="6" w:space="0" w:color="000000"/>
              <w:right w:val="single" w:sz="6" w:space="0" w:color="000000"/>
            </w:tcBorders>
          </w:tcPr>
          <w:p w14:paraId="0C853156" w14:textId="77777777" w:rsidR="00A26519" w:rsidRPr="001B4A02" w:rsidRDefault="00000000" w:rsidP="00E571F5">
            <w:pPr>
              <w:keepNext/>
              <w:keepLines/>
              <w:tabs>
                <w:tab w:val="left" w:pos="-1080"/>
              </w:tabs>
              <w:autoSpaceDE w:val="0"/>
              <w:autoSpaceDN w:val="0"/>
              <w:adjustRightInd w:val="0"/>
              <w:ind w:left="0" w:firstLine="0"/>
              <w:jc w:val="center"/>
              <w:rPr>
                <w:del w:id="7803" w:author="AbbVie1" w:date="2025-05-13T09:50:00Z"/>
                <w:szCs w:val="22"/>
              </w:rPr>
            </w:pPr>
            <w:del w:id="7804" w:author="AbbVie1" w:date="2025-05-13T09:50:00Z">
              <w:r w:rsidRPr="001B4A02">
                <w:rPr>
                  <w:szCs w:val="22"/>
                </w:rPr>
                <w:delText>69,7</w:delText>
              </w:r>
              <w:r>
                <w:rPr>
                  <w:szCs w:val="22"/>
                </w:rPr>
                <w:delText> %</w:delText>
              </w:r>
            </w:del>
          </w:p>
        </w:tc>
        <w:tc>
          <w:tcPr>
            <w:tcW w:w="2231" w:type="dxa"/>
            <w:tcBorders>
              <w:top w:val="single" w:sz="6" w:space="0" w:color="000000"/>
              <w:left w:val="single" w:sz="6" w:space="0" w:color="000000"/>
              <w:bottom w:val="single" w:sz="6" w:space="0" w:color="000000"/>
              <w:right w:val="single" w:sz="6" w:space="0" w:color="000000"/>
            </w:tcBorders>
          </w:tcPr>
          <w:p w14:paraId="6CC25B79" w14:textId="77777777" w:rsidR="00A26519" w:rsidRPr="001B4A02" w:rsidRDefault="00000000" w:rsidP="00E571F5">
            <w:pPr>
              <w:keepNext/>
              <w:keepLines/>
              <w:tabs>
                <w:tab w:val="left" w:pos="-1080"/>
              </w:tabs>
              <w:autoSpaceDE w:val="0"/>
              <w:autoSpaceDN w:val="0"/>
              <w:adjustRightInd w:val="0"/>
              <w:ind w:left="0" w:firstLine="0"/>
              <w:jc w:val="center"/>
              <w:rPr>
                <w:del w:id="7805" w:author="AbbVie1" w:date="2025-05-13T09:50:00Z"/>
                <w:szCs w:val="22"/>
              </w:rPr>
            </w:pPr>
            <w:del w:id="7806" w:author="AbbVie1" w:date="2025-05-13T09:50:00Z">
              <w:r w:rsidRPr="001B4A02">
                <w:rPr>
                  <w:szCs w:val="22"/>
                </w:rPr>
                <w:delText>60,5</w:delText>
              </w:r>
              <w:r>
                <w:rPr>
                  <w:szCs w:val="22"/>
                </w:rPr>
                <w:delText> %</w:delText>
              </w:r>
            </w:del>
          </w:p>
        </w:tc>
        <w:tc>
          <w:tcPr>
            <w:tcW w:w="1388" w:type="dxa"/>
            <w:tcBorders>
              <w:top w:val="single" w:sz="6" w:space="0" w:color="000000"/>
              <w:left w:val="single" w:sz="6" w:space="0" w:color="000000"/>
              <w:bottom w:val="single" w:sz="6" w:space="0" w:color="000000"/>
              <w:right w:val="single" w:sz="6" w:space="0" w:color="000000"/>
            </w:tcBorders>
            <w:vAlign w:val="bottom"/>
          </w:tcPr>
          <w:p w14:paraId="773C29BD" w14:textId="77777777" w:rsidR="00A26519" w:rsidRPr="001B4A02" w:rsidRDefault="00000000" w:rsidP="00E571F5">
            <w:pPr>
              <w:keepNext/>
              <w:keepLines/>
              <w:tabs>
                <w:tab w:val="left" w:pos="-1080"/>
              </w:tabs>
              <w:autoSpaceDE w:val="0"/>
              <w:autoSpaceDN w:val="0"/>
              <w:adjustRightInd w:val="0"/>
              <w:ind w:left="0" w:firstLine="0"/>
              <w:jc w:val="center"/>
              <w:rPr>
                <w:del w:id="7807" w:author="AbbVie1" w:date="2025-05-13T09:50:00Z"/>
                <w:szCs w:val="22"/>
              </w:rPr>
            </w:pPr>
            <w:del w:id="7808" w:author="AbbVie1" w:date="2025-05-13T09:50:00Z">
              <w:r w:rsidRPr="001B4A02">
                <w:rPr>
                  <w:szCs w:val="22"/>
                </w:rPr>
                <w:delText>0,420</w:delText>
              </w:r>
            </w:del>
          </w:p>
        </w:tc>
      </w:tr>
      <w:tr w:rsidR="00534A2D" w14:paraId="5C8CAD53" w14:textId="77777777" w:rsidTr="00F365E7">
        <w:trPr>
          <w:jc w:val="center"/>
          <w:del w:id="7809" w:author="AbbVie1" w:date="2025-05-13T09:50:00Z"/>
        </w:trPr>
        <w:tc>
          <w:tcPr>
            <w:tcW w:w="3234" w:type="dxa"/>
            <w:tcBorders>
              <w:top w:val="single" w:sz="6" w:space="0" w:color="000000"/>
              <w:left w:val="single" w:sz="6" w:space="0" w:color="000000"/>
              <w:bottom w:val="single" w:sz="6" w:space="0" w:color="000000"/>
              <w:right w:val="single" w:sz="6" w:space="0" w:color="000000"/>
            </w:tcBorders>
            <w:vAlign w:val="bottom"/>
          </w:tcPr>
          <w:p w14:paraId="39BE77F7" w14:textId="77777777" w:rsidR="00A26519" w:rsidRPr="001B4A02" w:rsidRDefault="00000000" w:rsidP="00E571F5">
            <w:pPr>
              <w:keepNext/>
              <w:keepLines/>
              <w:tabs>
                <w:tab w:val="left" w:pos="-1080"/>
              </w:tabs>
              <w:autoSpaceDE w:val="0"/>
              <w:autoSpaceDN w:val="0"/>
              <w:adjustRightInd w:val="0"/>
              <w:rPr>
                <w:del w:id="7810" w:author="AbbVie1" w:date="2025-05-13T09:50:00Z"/>
                <w:b/>
                <w:szCs w:val="22"/>
              </w:rPr>
            </w:pPr>
            <w:del w:id="7811" w:author="AbbVie1" w:date="2025-05-13T09:50:00Z">
              <w:r w:rsidRPr="001B4A02">
                <w:rPr>
                  <w:b/>
                  <w:szCs w:val="22"/>
                </w:rPr>
                <w:delText>Vysazení imunomodulátorů</w:delText>
              </w:r>
              <w:r w:rsidRPr="001B4A02">
                <w:rPr>
                  <w:b/>
                  <w:szCs w:val="22"/>
                  <w:vertAlign w:val="superscript"/>
                </w:rPr>
                <w:delText>2</w:delText>
              </w:r>
            </w:del>
          </w:p>
        </w:tc>
        <w:tc>
          <w:tcPr>
            <w:tcW w:w="2447" w:type="dxa"/>
            <w:tcBorders>
              <w:top w:val="single" w:sz="6" w:space="0" w:color="000000"/>
              <w:left w:val="single" w:sz="6" w:space="0" w:color="000000"/>
              <w:bottom w:val="single" w:sz="6" w:space="0" w:color="000000"/>
              <w:right w:val="single" w:sz="6" w:space="0" w:color="000000"/>
            </w:tcBorders>
            <w:vAlign w:val="bottom"/>
          </w:tcPr>
          <w:p w14:paraId="5B0D1532" w14:textId="77777777" w:rsidR="00A26519" w:rsidRPr="001B4A02" w:rsidRDefault="00000000" w:rsidP="00E571F5">
            <w:pPr>
              <w:keepNext/>
              <w:keepLines/>
              <w:tabs>
                <w:tab w:val="left" w:pos="-1080"/>
              </w:tabs>
              <w:autoSpaceDE w:val="0"/>
              <w:autoSpaceDN w:val="0"/>
              <w:adjustRightInd w:val="0"/>
              <w:ind w:left="0" w:firstLine="0"/>
              <w:jc w:val="center"/>
              <w:rPr>
                <w:del w:id="7812" w:author="AbbVie1" w:date="2025-05-13T09:50:00Z"/>
                <w:b/>
                <w:szCs w:val="22"/>
              </w:rPr>
            </w:pPr>
            <w:del w:id="7813" w:author="AbbVie1" w:date="2025-05-13T09:50:00Z">
              <w:r>
                <w:rPr>
                  <w:b/>
                  <w:szCs w:val="22"/>
                </w:rPr>
                <w:delText>n</w:delText>
              </w:r>
              <w:r w:rsidRPr="001B4A02">
                <w:rPr>
                  <w:b/>
                  <w:szCs w:val="22"/>
                </w:rPr>
                <w:delText>=60</w:delText>
              </w:r>
            </w:del>
          </w:p>
        </w:tc>
        <w:tc>
          <w:tcPr>
            <w:tcW w:w="2231" w:type="dxa"/>
            <w:tcBorders>
              <w:top w:val="single" w:sz="6" w:space="0" w:color="000000"/>
              <w:left w:val="single" w:sz="6" w:space="0" w:color="000000"/>
              <w:bottom w:val="single" w:sz="6" w:space="0" w:color="000000"/>
              <w:right w:val="single" w:sz="6" w:space="0" w:color="000000"/>
            </w:tcBorders>
            <w:vAlign w:val="bottom"/>
          </w:tcPr>
          <w:p w14:paraId="1FF31088" w14:textId="77777777" w:rsidR="00A26519" w:rsidRPr="001B4A02" w:rsidRDefault="00000000" w:rsidP="00E571F5">
            <w:pPr>
              <w:keepNext/>
              <w:keepLines/>
              <w:tabs>
                <w:tab w:val="left" w:pos="-1080"/>
              </w:tabs>
              <w:autoSpaceDE w:val="0"/>
              <w:autoSpaceDN w:val="0"/>
              <w:adjustRightInd w:val="0"/>
              <w:ind w:left="0" w:firstLine="0"/>
              <w:jc w:val="center"/>
              <w:rPr>
                <w:del w:id="7814" w:author="AbbVie1" w:date="2025-05-13T09:50:00Z"/>
                <w:b/>
                <w:szCs w:val="22"/>
              </w:rPr>
            </w:pPr>
            <w:del w:id="7815" w:author="AbbVie1" w:date="2025-05-13T09:50:00Z">
              <w:r>
                <w:rPr>
                  <w:b/>
                  <w:szCs w:val="22"/>
                </w:rPr>
                <w:delText>n</w:delText>
              </w:r>
              <w:r w:rsidRPr="001B4A02">
                <w:rPr>
                  <w:b/>
                  <w:szCs w:val="22"/>
                </w:rPr>
                <w:delText>=57</w:delText>
              </w:r>
            </w:del>
          </w:p>
        </w:tc>
        <w:tc>
          <w:tcPr>
            <w:tcW w:w="1388" w:type="dxa"/>
            <w:tcBorders>
              <w:top w:val="single" w:sz="6" w:space="0" w:color="000000"/>
              <w:left w:val="single" w:sz="6" w:space="0" w:color="000000"/>
              <w:bottom w:val="single" w:sz="6" w:space="0" w:color="000000"/>
              <w:right w:val="single" w:sz="6" w:space="0" w:color="000000"/>
            </w:tcBorders>
            <w:vAlign w:val="bottom"/>
          </w:tcPr>
          <w:p w14:paraId="4ACE046D" w14:textId="77777777" w:rsidR="00A26519" w:rsidRPr="001B4A02" w:rsidRDefault="00A26519" w:rsidP="00E571F5">
            <w:pPr>
              <w:keepNext/>
              <w:autoSpaceDE w:val="0"/>
              <w:autoSpaceDN w:val="0"/>
              <w:adjustRightInd w:val="0"/>
              <w:ind w:left="0" w:firstLine="0"/>
              <w:jc w:val="center"/>
              <w:rPr>
                <w:del w:id="7816" w:author="AbbVie1" w:date="2025-05-13T09:50:00Z"/>
                <w:b/>
                <w:szCs w:val="22"/>
              </w:rPr>
            </w:pPr>
          </w:p>
        </w:tc>
      </w:tr>
      <w:tr w:rsidR="00534A2D" w14:paraId="2E700358" w14:textId="77777777" w:rsidTr="00F365E7">
        <w:trPr>
          <w:jc w:val="center"/>
          <w:del w:id="7817" w:author="AbbVie1" w:date="2025-05-13T09:50:00Z"/>
        </w:trPr>
        <w:tc>
          <w:tcPr>
            <w:tcW w:w="3234" w:type="dxa"/>
            <w:tcBorders>
              <w:top w:val="single" w:sz="6" w:space="0" w:color="000000"/>
              <w:left w:val="single" w:sz="6" w:space="0" w:color="000000"/>
              <w:bottom w:val="single" w:sz="6" w:space="0" w:color="000000"/>
              <w:right w:val="single" w:sz="6" w:space="0" w:color="000000"/>
            </w:tcBorders>
          </w:tcPr>
          <w:p w14:paraId="1BE2404A" w14:textId="77777777" w:rsidR="00A26519" w:rsidRPr="001B4A02" w:rsidRDefault="00000000" w:rsidP="00E571F5">
            <w:pPr>
              <w:keepNext/>
              <w:keepLines/>
              <w:tabs>
                <w:tab w:val="left" w:pos="-1080"/>
              </w:tabs>
              <w:autoSpaceDE w:val="0"/>
              <w:autoSpaceDN w:val="0"/>
              <w:adjustRightInd w:val="0"/>
              <w:rPr>
                <w:del w:id="7818" w:author="AbbVie1" w:date="2025-05-13T09:50:00Z"/>
                <w:bCs/>
                <w:szCs w:val="22"/>
              </w:rPr>
            </w:pPr>
            <w:del w:id="7819" w:author="AbbVie1" w:date="2025-05-13T09:50:00Z">
              <w:r w:rsidRPr="001B4A02">
                <w:rPr>
                  <w:bCs/>
                  <w:szCs w:val="22"/>
                </w:rPr>
                <w:delText>Týden 52</w:delText>
              </w:r>
            </w:del>
          </w:p>
        </w:tc>
        <w:tc>
          <w:tcPr>
            <w:tcW w:w="2447" w:type="dxa"/>
            <w:tcBorders>
              <w:top w:val="single" w:sz="6" w:space="0" w:color="000000"/>
              <w:left w:val="single" w:sz="6" w:space="0" w:color="000000"/>
              <w:bottom w:val="single" w:sz="6" w:space="0" w:color="000000"/>
              <w:right w:val="single" w:sz="6" w:space="0" w:color="000000"/>
            </w:tcBorders>
          </w:tcPr>
          <w:p w14:paraId="51C92961" w14:textId="77777777" w:rsidR="00A26519" w:rsidRPr="001B4A02" w:rsidRDefault="00000000" w:rsidP="00E571F5">
            <w:pPr>
              <w:keepNext/>
              <w:keepLines/>
              <w:tabs>
                <w:tab w:val="left" w:pos="-1080"/>
              </w:tabs>
              <w:autoSpaceDE w:val="0"/>
              <w:autoSpaceDN w:val="0"/>
              <w:adjustRightInd w:val="0"/>
              <w:ind w:left="0" w:firstLine="0"/>
              <w:jc w:val="center"/>
              <w:rPr>
                <w:del w:id="7820" w:author="AbbVie1" w:date="2025-05-13T09:50:00Z"/>
                <w:szCs w:val="22"/>
              </w:rPr>
            </w:pPr>
            <w:del w:id="7821" w:author="AbbVie1" w:date="2025-05-13T09:50:00Z">
              <w:r w:rsidRPr="001B4A02">
                <w:rPr>
                  <w:szCs w:val="22"/>
                </w:rPr>
                <w:delText>30,0</w:delText>
              </w:r>
              <w:r>
                <w:rPr>
                  <w:szCs w:val="22"/>
                </w:rPr>
                <w:delText> %</w:delText>
              </w:r>
            </w:del>
          </w:p>
        </w:tc>
        <w:tc>
          <w:tcPr>
            <w:tcW w:w="2231" w:type="dxa"/>
            <w:tcBorders>
              <w:top w:val="single" w:sz="6" w:space="0" w:color="000000"/>
              <w:left w:val="single" w:sz="6" w:space="0" w:color="000000"/>
              <w:bottom w:val="single" w:sz="6" w:space="0" w:color="000000"/>
              <w:right w:val="single" w:sz="6" w:space="0" w:color="000000"/>
            </w:tcBorders>
          </w:tcPr>
          <w:p w14:paraId="2D45478E" w14:textId="77777777" w:rsidR="00A26519" w:rsidRPr="001B4A02" w:rsidRDefault="00000000" w:rsidP="00E571F5">
            <w:pPr>
              <w:keepNext/>
              <w:keepLines/>
              <w:tabs>
                <w:tab w:val="left" w:pos="-1080"/>
              </w:tabs>
              <w:autoSpaceDE w:val="0"/>
              <w:autoSpaceDN w:val="0"/>
              <w:adjustRightInd w:val="0"/>
              <w:ind w:left="0" w:firstLine="0"/>
              <w:jc w:val="center"/>
              <w:rPr>
                <w:del w:id="7822" w:author="AbbVie1" w:date="2025-05-13T09:50:00Z"/>
                <w:szCs w:val="22"/>
              </w:rPr>
            </w:pPr>
            <w:del w:id="7823" w:author="AbbVie1" w:date="2025-05-13T09:50:00Z">
              <w:r w:rsidRPr="001B4A02">
                <w:rPr>
                  <w:szCs w:val="22"/>
                </w:rPr>
                <w:delText>29,8</w:delText>
              </w:r>
              <w:r>
                <w:rPr>
                  <w:szCs w:val="22"/>
                </w:rPr>
                <w:delText> %</w:delText>
              </w:r>
            </w:del>
          </w:p>
        </w:tc>
        <w:tc>
          <w:tcPr>
            <w:tcW w:w="1388" w:type="dxa"/>
            <w:tcBorders>
              <w:top w:val="single" w:sz="6" w:space="0" w:color="000000"/>
              <w:left w:val="single" w:sz="6" w:space="0" w:color="000000"/>
              <w:bottom w:val="single" w:sz="6" w:space="0" w:color="000000"/>
              <w:right w:val="single" w:sz="6" w:space="0" w:color="000000"/>
            </w:tcBorders>
          </w:tcPr>
          <w:p w14:paraId="55D6D9D7" w14:textId="77777777" w:rsidR="00A26519" w:rsidRPr="001B4A02" w:rsidRDefault="00000000" w:rsidP="00E571F5">
            <w:pPr>
              <w:keepNext/>
              <w:keepLines/>
              <w:tabs>
                <w:tab w:val="left" w:pos="-1080"/>
              </w:tabs>
              <w:autoSpaceDE w:val="0"/>
              <w:autoSpaceDN w:val="0"/>
              <w:adjustRightInd w:val="0"/>
              <w:ind w:left="0" w:firstLine="0"/>
              <w:jc w:val="center"/>
              <w:rPr>
                <w:del w:id="7824" w:author="AbbVie1" w:date="2025-05-13T09:50:00Z"/>
                <w:szCs w:val="22"/>
              </w:rPr>
            </w:pPr>
            <w:del w:id="7825" w:author="AbbVie1" w:date="2025-05-13T09:50:00Z">
              <w:r w:rsidRPr="001B4A02">
                <w:rPr>
                  <w:szCs w:val="22"/>
                </w:rPr>
                <w:delText>0,983</w:delText>
              </w:r>
            </w:del>
          </w:p>
        </w:tc>
      </w:tr>
      <w:tr w:rsidR="00534A2D" w14:paraId="226F8896" w14:textId="77777777" w:rsidTr="00F365E7">
        <w:trPr>
          <w:jc w:val="center"/>
          <w:del w:id="7826" w:author="AbbVie1" w:date="2025-05-13T09:50:00Z"/>
        </w:trPr>
        <w:tc>
          <w:tcPr>
            <w:tcW w:w="3234" w:type="dxa"/>
            <w:tcBorders>
              <w:top w:val="single" w:sz="6" w:space="0" w:color="000000"/>
              <w:left w:val="single" w:sz="6" w:space="0" w:color="000000"/>
              <w:bottom w:val="single" w:sz="6" w:space="0" w:color="000000"/>
              <w:right w:val="single" w:sz="6" w:space="0" w:color="000000"/>
            </w:tcBorders>
          </w:tcPr>
          <w:p w14:paraId="1A3D1293" w14:textId="77777777" w:rsidR="00A26519" w:rsidRPr="001B4A02" w:rsidRDefault="00000000" w:rsidP="00E571F5">
            <w:pPr>
              <w:keepNext/>
              <w:keepLines/>
              <w:tabs>
                <w:tab w:val="left" w:pos="-1080"/>
              </w:tabs>
              <w:autoSpaceDE w:val="0"/>
              <w:autoSpaceDN w:val="0"/>
              <w:adjustRightInd w:val="0"/>
              <w:rPr>
                <w:del w:id="7827" w:author="AbbVie1" w:date="2025-05-13T09:50:00Z"/>
                <w:b/>
                <w:bCs/>
                <w:szCs w:val="22"/>
              </w:rPr>
            </w:pPr>
            <w:del w:id="7828" w:author="AbbVie1" w:date="2025-05-13T09:50:00Z">
              <w:r w:rsidRPr="001B4A02">
                <w:rPr>
                  <w:b/>
                </w:rPr>
                <w:delText>Remise píštělí</w:delText>
              </w:r>
              <w:r w:rsidRPr="001B4A02">
                <w:rPr>
                  <w:b/>
                  <w:vertAlign w:val="superscript"/>
                </w:rPr>
                <w:delText>3</w:delText>
              </w:r>
            </w:del>
          </w:p>
        </w:tc>
        <w:tc>
          <w:tcPr>
            <w:tcW w:w="2447" w:type="dxa"/>
            <w:tcBorders>
              <w:top w:val="single" w:sz="6" w:space="0" w:color="000000"/>
              <w:left w:val="single" w:sz="6" w:space="0" w:color="000000"/>
              <w:bottom w:val="single" w:sz="6" w:space="0" w:color="000000"/>
              <w:right w:val="single" w:sz="6" w:space="0" w:color="000000"/>
            </w:tcBorders>
          </w:tcPr>
          <w:p w14:paraId="33FE4F72" w14:textId="77777777" w:rsidR="00A26519" w:rsidRPr="001B4A02" w:rsidRDefault="00000000" w:rsidP="00E571F5">
            <w:pPr>
              <w:keepNext/>
              <w:keepLines/>
              <w:tabs>
                <w:tab w:val="left" w:pos="-1080"/>
              </w:tabs>
              <w:autoSpaceDE w:val="0"/>
              <w:autoSpaceDN w:val="0"/>
              <w:adjustRightInd w:val="0"/>
              <w:ind w:left="0" w:firstLine="0"/>
              <w:jc w:val="center"/>
              <w:rPr>
                <w:del w:id="7829" w:author="AbbVie1" w:date="2025-05-13T09:50:00Z"/>
                <w:b/>
                <w:szCs w:val="22"/>
              </w:rPr>
            </w:pPr>
            <w:del w:id="7830" w:author="AbbVie1" w:date="2025-05-13T09:50:00Z">
              <w:r>
                <w:rPr>
                  <w:b/>
                  <w:szCs w:val="22"/>
                </w:rPr>
                <w:delText>n</w:delText>
              </w:r>
              <w:r w:rsidRPr="001B4A02">
                <w:rPr>
                  <w:b/>
                  <w:szCs w:val="22"/>
                </w:rPr>
                <w:delText>=15</w:delText>
              </w:r>
            </w:del>
          </w:p>
        </w:tc>
        <w:tc>
          <w:tcPr>
            <w:tcW w:w="2231" w:type="dxa"/>
            <w:tcBorders>
              <w:top w:val="single" w:sz="6" w:space="0" w:color="000000"/>
              <w:left w:val="single" w:sz="6" w:space="0" w:color="000000"/>
              <w:bottom w:val="single" w:sz="6" w:space="0" w:color="000000"/>
              <w:right w:val="single" w:sz="6" w:space="0" w:color="000000"/>
            </w:tcBorders>
          </w:tcPr>
          <w:p w14:paraId="3E3A8B2D" w14:textId="77777777" w:rsidR="00A26519" w:rsidRPr="001B4A02" w:rsidRDefault="00000000" w:rsidP="00E571F5">
            <w:pPr>
              <w:keepNext/>
              <w:keepLines/>
              <w:tabs>
                <w:tab w:val="left" w:pos="-1080"/>
              </w:tabs>
              <w:autoSpaceDE w:val="0"/>
              <w:autoSpaceDN w:val="0"/>
              <w:adjustRightInd w:val="0"/>
              <w:ind w:left="0" w:firstLine="0"/>
              <w:jc w:val="center"/>
              <w:rPr>
                <w:del w:id="7831" w:author="AbbVie1" w:date="2025-05-13T09:50:00Z"/>
                <w:b/>
                <w:szCs w:val="22"/>
              </w:rPr>
            </w:pPr>
            <w:del w:id="7832" w:author="AbbVie1" w:date="2025-05-13T09:50:00Z">
              <w:r>
                <w:rPr>
                  <w:b/>
                  <w:szCs w:val="22"/>
                </w:rPr>
                <w:delText>n</w:delText>
              </w:r>
              <w:r w:rsidRPr="001B4A02">
                <w:rPr>
                  <w:b/>
                  <w:szCs w:val="22"/>
                </w:rPr>
                <w:delText>=21</w:delText>
              </w:r>
            </w:del>
          </w:p>
        </w:tc>
        <w:tc>
          <w:tcPr>
            <w:tcW w:w="1388" w:type="dxa"/>
            <w:tcBorders>
              <w:top w:val="single" w:sz="6" w:space="0" w:color="000000"/>
              <w:left w:val="single" w:sz="6" w:space="0" w:color="000000"/>
              <w:bottom w:val="single" w:sz="6" w:space="0" w:color="000000"/>
              <w:right w:val="single" w:sz="6" w:space="0" w:color="000000"/>
            </w:tcBorders>
          </w:tcPr>
          <w:p w14:paraId="66FA111E" w14:textId="77777777" w:rsidR="00A26519" w:rsidRPr="001B4A02" w:rsidRDefault="00A26519" w:rsidP="00E571F5">
            <w:pPr>
              <w:keepNext/>
              <w:keepLines/>
              <w:tabs>
                <w:tab w:val="left" w:pos="-1080"/>
              </w:tabs>
              <w:autoSpaceDE w:val="0"/>
              <w:autoSpaceDN w:val="0"/>
              <w:adjustRightInd w:val="0"/>
              <w:ind w:left="0" w:firstLine="0"/>
              <w:jc w:val="center"/>
              <w:rPr>
                <w:del w:id="7833" w:author="AbbVie1" w:date="2025-05-13T09:50:00Z"/>
                <w:szCs w:val="22"/>
              </w:rPr>
            </w:pPr>
          </w:p>
        </w:tc>
      </w:tr>
      <w:tr w:rsidR="00534A2D" w14:paraId="47757F6C" w14:textId="77777777" w:rsidTr="00F365E7">
        <w:trPr>
          <w:jc w:val="center"/>
          <w:del w:id="7834" w:author="AbbVie1" w:date="2025-05-13T09:50:00Z"/>
        </w:trPr>
        <w:tc>
          <w:tcPr>
            <w:tcW w:w="3234" w:type="dxa"/>
            <w:tcBorders>
              <w:top w:val="single" w:sz="6" w:space="0" w:color="000000"/>
              <w:left w:val="single" w:sz="6" w:space="0" w:color="000000"/>
              <w:bottom w:val="single" w:sz="6" w:space="0" w:color="000000"/>
              <w:right w:val="single" w:sz="6" w:space="0" w:color="000000"/>
            </w:tcBorders>
          </w:tcPr>
          <w:p w14:paraId="2BD7B06B" w14:textId="77777777" w:rsidR="00A26519" w:rsidRPr="001B4A02" w:rsidRDefault="00000000" w:rsidP="00E571F5">
            <w:pPr>
              <w:keepNext/>
              <w:keepLines/>
              <w:tabs>
                <w:tab w:val="left" w:pos="-1080"/>
              </w:tabs>
              <w:autoSpaceDE w:val="0"/>
              <w:autoSpaceDN w:val="0"/>
              <w:adjustRightInd w:val="0"/>
              <w:rPr>
                <w:del w:id="7835" w:author="AbbVie1" w:date="2025-05-13T09:50:00Z"/>
                <w:bCs/>
                <w:szCs w:val="22"/>
              </w:rPr>
            </w:pPr>
            <w:del w:id="7836" w:author="AbbVie1" w:date="2025-05-13T09:50:00Z">
              <w:r w:rsidRPr="001B4A02">
                <w:rPr>
                  <w:bCs/>
                  <w:szCs w:val="22"/>
                </w:rPr>
                <w:delText>Týden 26</w:delText>
              </w:r>
            </w:del>
          </w:p>
        </w:tc>
        <w:tc>
          <w:tcPr>
            <w:tcW w:w="2447" w:type="dxa"/>
            <w:tcBorders>
              <w:top w:val="single" w:sz="6" w:space="0" w:color="000000"/>
              <w:left w:val="single" w:sz="6" w:space="0" w:color="000000"/>
              <w:bottom w:val="single" w:sz="6" w:space="0" w:color="000000"/>
              <w:right w:val="single" w:sz="6" w:space="0" w:color="000000"/>
            </w:tcBorders>
          </w:tcPr>
          <w:p w14:paraId="0C97CF1E" w14:textId="77777777" w:rsidR="00A26519" w:rsidRPr="001B4A02" w:rsidRDefault="00000000" w:rsidP="00E571F5">
            <w:pPr>
              <w:keepNext/>
              <w:keepLines/>
              <w:tabs>
                <w:tab w:val="left" w:pos="-1080"/>
              </w:tabs>
              <w:autoSpaceDE w:val="0"/>
              <w:autoSpaceDN w:val="0"/>
              <w:adjustRightInd w:val="0"/>
              <w:ind w:left="0" w:firstLine="0"/>
              <w:jc w:val="center"/>
              <w:rPr>
                <w:del w:id="7837" w:author="AbbVie1" w:date="2025-05-13T09:50:00Z"/>
                <w:szCs w:val="22"/>
              </w:rPr>
            </w:pPr>
            <w:del w:id="7838" w:author="AbbVie1" w:date="2025-05-13T09:50:00Z">
              <w:r w:rsidRPr="001B4A02">
                <w:delText>46,7</w:delText>
              </w:r>
              <w:r>
                <w:delText> %</w:delText>
              </w:r>
            </w:del>
          </w:p>
        </w:tc>
        <w:tc>
          <w:tcPr>
            <w:tcW w:w="2231" w:type="dxa"/>
            <w:tcBorders>
              <w:top w:val="single" w:sz="6" w:space="0" w:color="000000"/>
              <w:left w:val="single" w:sz="6" w:space="0" w:color="000000"/>
              <w:bottom w:val="single" w:sz="6" w:space="0" w:color="000000"/>
              <w:right w:val="single" w:sz="6" w:space="0" w:color="000000"/>
            </w:tcBorders>
          </w:tcPr>
          <w:p w14:paraId="36F167FF" w14:textId="77777777" w:rsidR="00A26519" w:rsidRPr="001B4A02" w:rsidRDefault="00000000" w:rsidP="00E571F5">
            <w:pPr>
              <w:keepNext/>
              <w:keepLines/>
              <w:tabs>
                <w:tab w:val="left" w:pos="-1080"/>
              </w:tabs>
              <w:autoSpaceDE w:val="0"/>
              <w:autoSpaceDN w:val="0"/>
              <w:adjustRightInd w:val="0"/>
              <w:ind w:left="0" w:firstLine="0"/>
              <w:jc w:val="center"/>
              <w:rPr>
                <w:del w:id="7839" w:author="AbbVie1" w:date="2025-05-13T09:50:00Z"/>
                <w:szCs w:val="22"/>
              </w:rPr>
            </w:pPr>
            <w:del w:id="7840" w:author="AbbVie1" w:date="2025-05-13T09:50:00Z">
              <w:r w:rsidRPr="001B4A02">
                <w:delText>38,1</w:delText>
              </w:r>
              <w:r>
                <w:delText> %</w:delText>
              </w:r>
            </w:del>
          </w:p>
        </w:tc>
        <w:tc>
          <w:tcPr>
            <w:tcW w:w="1388" w:type="dxa"/>
            <w:tcBorders>
              <w:top w:val="single" w:sz="6" w:space="0" w:color="000000"/>
              <w:left w:val="single" w:sz="6" w:space="0" w:color="000000"/>
              <w:bottom w:val="single" w:sz="6" w:space="0" w:color="000000"/>
              <w:right w:val="single" w:sz="6" w:space="0" w:color="000000"/>
            </w:tcBorders>
          </w:tcPr>
          <w:p w14:paraId="662F8105" w14:textId="77777777" w:rsidR="00A26519" w:rsidRPr="001B4A02" w:rsidRDefault="00000000" w:rsidP="00E571F5">
            <w:pPr>
              <w:keepNext/>
              <w:keepLines/>
              <w:tabs>
                <w:tab w:val="left" w:pos="-1080"/>
              </w:tabs>
              <w:autoSpaceDE w:val="0"/>
              <w:autoSpaceDN w:val="0"/>
              <w:adjustRightInd w:val="0"/>
              <w:ind w:left="0" w:firstLine="0"/>
              <w:jc w:val="center"/>
              <w:rPr>
                <w:del w:id="7841" w:author="AbbVie1" w:date="2025-05-13T09:50:00Z"/>
                <w:szCs w:val="22"/>
              </w:rPr>
            </w:pPr>
            <w:del w:id="7842" w:author="AbbVie1" w:date="2025-05-13T09:50:00Z">
              <w:r w:rsidRPr="001B4A02">
                <w:delText>0,608</w:delText>
              </w:r>
            </w:del>
          </w:p>
        </w:tc>
      </w:tr>
      <w:tr w:rsidR="00534A2D" w14:paraId="2EE28ECE" w14:textId="77777777" w:rsidTr="00F365E7">
        <w:trPr>
          <w:jc w:val="center"/>
          <w:del w:id="7843" w:author="AbbVie1" w:date="2025-05-13T09:50:00Z"/>
        </w:trPr>
        <w:tc>
          <w:tcPr>
            <w:tcW w:w="3234" w:type="dxa"/>
            <w:tcBorders>
              <w:top w:val="single" w:sz="6" w:space="0" w:color="000000"/>
              <w:left w:val="single" w:sz="6" w:space="0" w:color="000000"/>
              <w:bottom w:val="single" w:sz="4" w:space="0" w:color="auto"/>
              <w:right w:val="single" w:sz="6" w:space="0" w:color="000000"/>
            </w:tcBorders>
          </w:tcPr>
          <w:p w14:paraId="01A62D93" w14:textId="77777777" w:rsidR="00A26519" w:rsidRPr="001B4A02" w:rsidRDefault="00000000" w:rsidP="00E571F5">
            <w:pPr>
              <w:keepNext/>
              <w:keepLines/>
              <w:tabs>
                <w:tab w:val="left" w:pos="-1080"/>
              </w:tabs>
              <w:autoSpaceDE w:val="0"/>
              <w:autoSpaceDN w:val="0"/>
              <w:adjustRightInd w:val="0"/>
              <w:rPr>
                <w:del w:id="7844" w:author="AbbVie1" w:date="2025-05-13T09:50:00Z"/>
                <w:bCs/>
                <w:szCs w:val="22"/>
              </w:rPr>
            </w:pPr>
            <w:del w:id="7845" w:author="AbbVie1" w:date="2025-05-13T09:50:00Z">
              <w:r w:rsidRPr="001B4A02">
                <w:delText>Týden 52</w:delText>
              </w:r>
            </w:del>
          </w:p>
        </w:tc>
        <w:tc>
          <w:tcPr>
            <w:tcW w:w="2447" w:type="dxa"/>
            <w:tcBorders>
              <w:top w:val="single" w:sz="6" w:space="0" w:color="000000"/>
              <w:left w:val="single" w:sz="6" w:space="0" w:color="000000"/>
              <w:bottom w:val="single" w:sz="4" w:space="0" w:color="auto"/>
              <w:right w:val="single" w:sz="6" w:space="0" w:color="000000"/>
            </w:tcBorders>
          </w:tcPr>
          <w:p w14:paraId="5F2F23FC" w14:textId="77777777" w:rsidR="00A26519" w:rsidRPr="001B4A02" w:rsidRDefault="00000000" w:rsidP="00E571F5">
            <w:pPr>
              <w:keepNext/>
              <w:keepLines/>
              <w:tabs>
                <w:tab w:val="left" w:pos="-1080"/>
              </w:tabs>
              <w:autoSpaceDE w:val="0"/>
              <w:autoSpaceDN w:val="0"/>
              <w:adjustRightInd w:val="0"/>
              <w:ind w:left="0" w:firstLine="0"/>
              <w:jc w:val="center"/>
              <w:rPr>
                <w:del w:id="7846" w:author="AbbVie1" w:date="2025-05-13T09:50:00Z"/>
              </w:rPr>
            </w:pPr>
            <w:del w:id="7847" w:author="AbbVie1" w:date="2025-05-13T09:50:00Z">
              <w:r w:rsidRPr="001B4A02">
                <w:delText>40,0</w:delText>
              </w:r>
              <w:r>
                <w:delText> %</w:delText>
              </w:r>
            </w:del>
          </w:p>
        </w:tc>
        <w:tc>
          <w:tcPr>
            <w:tcW w:w="2231" w:type="dxa"/>
            <w:tcBorders>
              <w:top w:val="single" w:sz="6" w:space="0" w:color="000000"/>
              <w:left w:val="single" w:sz="6" w:space="0" w:color="000000"/>
              <w:bottom w:val="single" w:sz="4" w:space="0" w:color="auto"/>
              <w:right w:val="single" w:sz="6" w:space="0" w:color="000000"/>
            </w:tcBorders>
          </w:tcPr>
          <w:p w14:paraId="2E84749C" w14:textId="77777777" w:rsidR="00A26519" w:rsidRPr="001B4A02" w:rsidRDefault="00000000" w:rsidP="00E571F5">
            <w:pPr>
              <w:keepNext/>
              <w:keepLines/>
              <w:tabs>
                <w:tab w:val="left" w:pos="-1080"/>
              </w:tabs>
              <w:autoSpaceDE w:val="0"/>
              <w:autoSpaceDN w:val="0"/>
              <w:adjustRightInd w:val="0"/>
              <w:ind w:left="0" w:firstLine="0"/>
              <w:jc w:val="center"/>
              <w:rPr>
                <w:del w:id="7848" w:author="AbbVie1" w:date="2025-05-13T09:50:00Z"/>
              </w:rPr>
            </w:pPr>
            <w:del w:id="7849" w:author="AbbVie1" w:date="2025-05-13T09:50:00Z">
              <w:r w:rsidRPr="001B4A02">
                <w:delText>23,8</w:delText>
              </w:r>
              <w:r>
                <w:delText> %</w:delText>
              </w:r>
            </w:del>
          </w:p>
        </w:tc>
        <w:tc>
          <w:tcPr>
            <w:tcW w:w="1388" w:type="dxa"/>
            <w:tcBorders>
              <w:top w:val="single" w:sz="6" w:space="0" w:color="000000"/>
              <w:left w:val="single" w:sz="6" w:space="0" w:color="000000"/>
              <w:bottom w:val="single" w:sz="4" w:space="0" w:color="auto"/>
              <w:right w:val="single" w:sz="6" w:space="0" w:color="000000"/>
            </w:tcBorders>
          </w:tcPr>
          <w:p w14:paraId="2A7A3F7E" w14:textId="77777777" w:rsidR="00A26519" w:rsidRPr="001B4A02" w:rsidRDefault="00000000" w:rsidP="00E571F5">
            <w:pPr>
              <w:keepNext/>
              <w:keepLines/>
              <w:tabs>
                <w:tab w:val="left" w:pos="-1080"/>
              </w:tabs>
              <w:autoSpaceDE w:val="0"/>
              <w:autoSpaceDN w:val="0"/>
              <w:adjustRightInd w:val="0"/>
              <w:ind w:left="0" w:firstLine="0"/>
              <w:jc w:val="center"/>
              <w:rPr>
                <w:del w:id="7850" w:author="AbbVie1" w:date="2025-05-13T09:50:00Z"/>
              </w:rPr>
            </w:pPr>
            <w:del w:id="7851" w:author="AbbVie1" w:date="2025-05-13T09:50:00Z">
              <w:r w:rsidRPr="001B4A02">
                <w:delText>0,303</w:delText>
              </w:r>
            </w:del>
          </w:p>
        </w:tc>
      </w:tr>
      <w:tr w:rsidR="00534A2D" w14:paraId="78B77516" w14:textId="77777777" w:rsidTr="00F365E7">
        <w:trPr>
          <w:trHeight w:val="177"/>
          <w:jc w:val="center"/>
          <w:del w:id="7852" w:author="AbbVie1" w:date="2025-05-13T09:50:00Z"/>
        </w:trPr>
        <w:tc>
          <w:tcPr>
            <w:tcW w:w="9300" w:type="dxa"/>
            <w:gridSpan w:val="4"/>
            <w:tcBorders>
              <w:top w:val="single" w:sz="4" w:space="0" w:color="auto"/>
              <w:left w:val="nil"/>
              <w:bottom w:val="nil"/>
              <w:right w:val="nil"/>
            </w:tcBorders>
          </w:tcPr>
          <w:p w14:paraId="448D39FF" w14:textId="77777777" w:rsidR="00A26519" w:rsidRPr="001B4A02" w:rsidRDefault="00000000" w:rsidP="00E571F5">
            <w:pPr>
              <w:keepNext/>
              <w:keepLines/>
              <w:tabs>
                <w:tab w:val="left" w:pos="-1080"/>
              </w:tabs>
              <w:autoSpaceDE w:val="0"/>
              <w:autoSpaceDN w:val="0"/>
              <w:adjustRightInd w:val="0"/>
              <w:ind w:left="0" w:firstLine="0"/>
              <w:rPr>
                <w:del w:id="7853" w:author="AbbVie1" w:date="2025-05-13T09:50:00Z"/>
                <w:sz w:val="20"/>
              </w:rPr>
            </w:pPr>
            <w:del w:id="7854" w:author="AbbVie1" w:date="2025-05-13T09:50:00Z">
              <w:r w:rsidRPr="001B4A02">
                <w:rPr>
                  <w:sz w:val="20"/>
                  <w:vertAlign w:val="superscript"/>
                </w:rPr>
                <w:delText>1</w:delText>
              </w:r>
              <w:r w:rsidRPr="001B4A02">
                <w:rPr>
                  <w:sz w:val="20"/>
                </w:rPr>
                <w:delText xml:space="preserve"> p hodnota pro standardní dávku v porovnání se sníženou dávkou</w:delText>
              </w:r>
            </w:del>
          </w:p>
          <w:p w14:paraId="78F6B836" w14:textId="77777777" w:rsidR="00A26519" w:rsidRPr="001B4A02" w:rsidRDefault="00000000" w:rsidP="00E571F5">
            <w:pPr>
              <w:keepNext/>
              <w:keepLines/>
              <w:tabs>
                <w:tab w:val="left" w:pos="-1080"/>
              </w:tabs>
              <w:autoSpaceDE w:val="0"/>
              <w:autoSpaceDN w:val="0"/>
              <w:adjustRightInd w:val="0"/>
              <w:ind w:left="257" w:hanging="257"/>
              <w:rPr>
                <w:del w:id="7855" w:author="AbbVie1" w:date="2025-05-13T09:50:00Z"/>
                <w:sz w:val="20"/>
              </w:rPr>
            </w:pPr>
            <w:del w:id="7856" w:author="AbbVie1" w:date="2025-05-13T09:50:00Z">
              <w:r w:rsidRPr="001B4A02">
                <w:rPr>
                  <w:sz w:val="20"/>
                  <w:vertAlign w:val="superscript"/>
                </w:rPr>
                <w:delText>2</w:delText>
              </w:r>
              <w:r w:rsidRPr="001B4A02">
                <w:rPr>
                  <w:sz w:val="20"/>
                </w:rPr>
                <w:delText xml:space="preserve"> Léčba imunosupresivy může být vysazena teprve až v týdnu 26 dle úsudku investigátora, pokud subjekt splňuje kritér</w:delText>
              </w:r>
              <w:r>
                <w:rPr>
                  <w:sz w:val="20"/>
                </w:rPr>
                <w:delText>i</w:delText>
              </w:r>
              <w:r w:rsidRPr="001B4A02">
                <w:rPr>
                  <w:sz w:val="20"/>
                </w:rPr>
                <w:delText>a považovaná za odpověď</w:delText>
              </w:r>
            </w:del>
          </w:p>
          <w:p w14:paraId="2C05E1E2" w14:textId="77777777" w:rsidR="00A26519" w:rsidRPr="001B4A02" w:rsidRDefault="00000000" w:rsidP="00E571F5">
            <w:pPr>
              <w:keepNext/>
              <w:keepLines/>
              <w:tabs>
                <w:tab w:val="left" w:pos="-1080"/>
              </w:tabs>
              <w:autoSpaceDE w:val="0"/>
              <w:autoSpaceDN w:val="0"/>
              <w:adjustRightInd w:val="0"/>
              <w:ind w:left="257" w:hanging="257"/>
              <w:rPr>
                <w:del w:id="7857" w:author="AbbVie1" w:date="2025-05-13T09:50:00Z"/>
                <w:szCs w:val="22"/>
              </w:rPr>
            </w:pPr>
            <w:del w:id="7858" w:author="AbbVie1" w:date="2025-05-13T09:50:00Z">
              <w:r w:rsidRPr="001B4A02">
                <w:rPr>
                  <w:sz w:val="20"/>
                  <w:vertAlign w:val="superscript"/>
                </w:rPr>
                <w:delText>3</w:delText>
              </w:r>
              <w:r w:rsidRPr="001B4A02">
                <w:rPr>
                  <w:sz w:val="20"/>
                </w:rPr>
                <w:delText xml:space="preserve"> Přetrvávání uzavření všech píštělí po dobu 2 po sobě jdoucích vizit, které byly ve výchozím stavu secernující</w:delText>
              </w:r>
            </w:del>
          </w:p>
        </w:tc>
      </w:tr>
    </w:tbl>
    <w:p w14:paraId="3113D2F7" w14:textId="77777777" w:rsidR="00A26519" w:rsidRPr="001B4A02" w:rsidRDefault="00A26519" w:rsidP="00A26519">
      <w:pPr>
        <w:pStyle w:val="EMEANormal"/>
        <w:rPr>
          <w:del w:id="7859" w:author="AbbVie1" w:date="2025-05-13T09:50:00Z"/>
          <w:lang w:val="cs-CZ"/>
        </w:rPr>
      </w:pPr>
    </w:p>
    <w:p w14:paraId="60911EE0" w14:textId="77777777" w:rsidR="00A26519" w:rsidRPr="001B4A02" w:rsidRDefault="00000000" w:rsidP="00A26519">
      <w:pPr>
        <w:ind w:left="0" w:firstLine="0"/>
        <w:rPr>
          <w:del w:id="7860" w:author="AbbVie1" w:date="2025-05-13T09:50:00Z"/>
        </w:rPr>
      </w:pPr>
      <w:del w:id="7861" w:author="AbbVie1" w:date="2025-05-13T09:50:00Z">
        <w:r w:rsidRPr="001B4A02">
          <w:delText>Bylo pozorováno statisticky významné zvýšení (zlepšení) Body Mass Indexu</w:delText>
        </w:r>
        <w:r w:rsidR="002378E0">
          <w:delText xml:space="preserve"> a </w:delText>
        </w:r>
        <w:r w:rsidRPr="001B4A02">
          <w:delText>rychlosti růstu v týdnu 26</w:delText>
        </w:r>
        <w:r w:rsidR="002378E0">
          <w:delText xml:space="preserve"> a </w:delText>
        </w:r>
        <w:r w:rsidRPr="001B4A02">
          <w:delText>52 v porovnání s výchozím stavem.</w:delText>
        </w:r>
      </w:del>
    </w:p>
    <w:p w14:paraId="3A5A6CB7" w14:textId="77777777" w:rsidR="00A26519" w:rsidRPr="001B4A02" w:rsidRDefault="00A26519" w:rsidP="00A26519">
      <w:pPr>
        <w:ind w:left="0" w:firstLine="0"/>
        <w:rPr>
          <w:del w:id="7862" w:author="AbbVie1" w:date="2025-05-13T09:50:00Z"/>
        </w:rPr>
      </w:pPr>
    </w:p>
    <w:p w14:paraId="3A096D31" w14:textId="77777777" w:rsidR="00A26519" w:rsidRPr="001B4A02" w:rsidRDefault="00000000" w:rsidP="00A26519">
      <w:pPr>
        <w:ind w:left="0" w:firstLine="0"/>
        <w:rPr>
          <w:del w:id="7863" w:author="AbbVie1" w:date="2025-05-13T09:50:00Z"/>
        </w:rPr>
      </w:pPr>
      <w:del w:id="7864" w:author="AbbVie1" w:date="2025-05-13T09:50:00Z">
        <w:r w:rsidRPr="001B4A02">
          <w:delText>Statisticky</w:delText>
        </w:r>
        <w:r w:rsidR="002378E0">
          <w:delText xml:space="preserve"> a </w:delText>
        </w:r>
        <w:r w:rsidRPr="001B4A02">
          <w:delText>klinicky významné zlepšení v parametrech kvality života (včetně IMPACT III) v porovnání s výchozím stavem bylo také pozorováno v obou terapeutických skupinách.</w:delText>
        </w:r>
      </w:del>
    </w:p>
    <w:p w14:paraId="16AEB9EF" w14:textId="77777777" w:rsidR="00A26519" w:rsidRPr="001B4A02" w:rsidRDefault="00A26519" w:rsidP="00A26519">
      <w:pPr>
        <w:ind w:left="0" w:firstLine="0"/>
        <w:rPr>
          <w:del w:id="7865" w:author="AbbVie1" w:date="2025-05-13T09:50:00Z"/>
        </w:rPr>
      </w:pPr>
    </w:p>
    <w:p w14:paraId="481FC417" w14:textId="77777777" w:rsidR="00A26519" w:rsidRPr="001B4A02" w:rsidRDefault="00000000" w:rsidP="00A26519">
      <w:pPr>
        <w:ind w:left="0" w:firstLine="0"/>
        <w:rPr>
          <w:del w:id="7866" w:author="AbbVie1" w:date="2025-05-13T09:50:00Z"/>
        </w:rPr>
      </w:pPr>
      <w:del w:id="7867" w:author="AbbVie1" w:date="2025-05-13T09:50:00Z">
        <w:r w:rsidRPr="001B4A02">
          <w:delText>Sto pacientů (n=100) ze studie s Crohnovou chorobou u pediatrických pacientů bylo zařazeno do otevřené dlouhodobé prodloužené fáze studie. Po 5 letech léčby adalimumabem přetrvávala klinická remise u 74% (37 z 50) pacientů setrvávajících ve studii</w:delText>
        </w:r>
        <w:r w:rsidR="002378E0">
          <w:delText xml:space="preserve"> a </w:delText>
        </w:r>
        <w:r w:rsidRPr="001B4A02">
          <w:delText>u 92 % (46z 50) pacientů přetrvávala klinická odpověď podle PCDAI.</w:delText>
        </w:r>
      </w:del>
    </w:p>
    <w:p w14:paraId="05B27E07" w14:textId="77777777" w:rsidR="00A26519" w:rsidRPr="001B4A02" w:rsidRDefault="00A26519" w:rsidP="00A26519">
      <w:pPr>
        <w:ind w:left="0" w:firstLine="0"/>
        <w:rPr>
          <w:del w:id="7868" w:author="AbbVie1" w:date="2025-05-13T09:50:00Z"/>
        </w:rPr>
      </w:pPr>
    </w:p>
    <w:p w14:paraId="2B997397" w14:textId="77777777" w:rsidR="000A79CD" w:rsidRDefault="00000000" w:rsidP="000A79CD">
      <w:pPr>
        <w:keepNext/>
        <w:rPr>
          <w:del w:id="7869" w:author="AbbVie1" w:date="2025-05-13T09:50:00Z"/>
          <w:bCs/>
          <w:i/>
        </w:rPr>
      </w:pPr>
      <w:del w:id="7870" w:author="AbbVie1" w:date="2025-05-13T09:50:00Z">
        <w:r>
          <w:rPr>
            <w:i/>
          </w:rPr>
          <w:delText>Ulcerózní kolitida u pediatrických pacientů</w:delText>
        </w:r>
      </w:del>
    </w:p>
    <w:p w14:paraId="38F41F4E" w14:textId="77777777" w:rsidR="000A79CD" w:rsidRPr="00D01607" w:rsidRDefault="000A79CD" w:rsidP="000A79CD">
      <w:pPr>
        <w:keepNext/>
        <w:rPr>
          <w:del w:id="7871" w:author="AbbVie1" w:date="2025-05-13T09:50:00Z"/>
          <w:bCs/>
          <w:i/>
        </w:rPr>
      </w:pPr>
    </w:p>
    <w:p w14:paraId="0861B6B3" w14:textId="77777777" w:rsidR="000A79CD" w:rsidRDefault="00000000" w:rsidP="000A79CD">
      <w:pPr>
        <w:ind w:left="0" w:firstLine="0"/>
        <w:rPr>
          <w:del w:id="7872" w:author="AbbVie1" w:date="2025-05-13T09:50:00Z"/>
        </w:rPr>
      </w:pPr>
      <w:del w:id="7873" w:author="AbbVie1" w:date="2025-05-13T09:50:00Z">
        <w:r>
          <w:delText>Bezpečnost</w:delText>
        </w:r>
        <w:r w:rsidR="002378E0">
          <w:delText xml:space="preserve"> a </w:delText>
        </w:r>
        <w:r>
          <w:delText>účinnost přípravku Humira byla hodnocena v multicentrické, randomizované, dvojitě zaslepené studii u 93 pediatrických pacientů ve věku od 5 do 17 let se středně těžkou až těžkou ulcerózní kolitidou (Mayo skóre 6 až 12 s podskóre endoskopie 2 až 3 body, potvrzeno centrálně odečtenou endoskopií), kteří měli nedostatečnou odpověď nebo intoleranci na konvenční terapii. V</w:delText>
        </w:r>
        <w:r w:rsidR="007863F2">
          <w:delText> </w:delText>
        </w:r>
        <w:r>
          <w:delText>této studii u</w:delText>
        </w:r>
        <w:r w:rsidR="007863F2">
          <w:rPr>
            <w:rStyle w:val="normaltextrun"/>
          </w:rPr>
          <w:delText> </w:delText>
        </w:r>
        <w:r>
          <w:delText>přibližně 16</w:delText>
        </w:r>
        <w:r w:rsidR="007863F2">
          <w:rPr>
            <w:rStyle w:val="normaltextrun"/>
          </w:rPr>
          <w:delText> </w:delText>
        </w:r>
        <w:r>
          <w:delText>% pacientů selhala dřívější anti-TNF léčba. Pacienti, kteří dostávali kortikosteroidy při zařazení do studie, mohli po týdnu 4 začít svoji léčbu kortikosteroidy</w:delText>
        </w:r>
        <w:r w:rsidRPr="00CC48C6">
          <w:delText xml:space="preserve"> </w:delText>
        </w:r>
        <w:r>
          <w:delText>snižovat.</w:delText>
        </w:r>
      </w:del>
    </w:p>
    <w:p w14:paraId="27AAAFD2" w14:textId="77777777" w:rsidR="000A79CD" w:rsidRPr="00D01607" w:rsidRDefault="000A79CD" w:rsidP="000A79CD">
      <w:pPr>
        <w:ind w:left="0" w:firstLine="0"/>
        <w:rPr>
          <w:del w:id="7874" w:author="AbbVie1" w:date="2025-05-13T09:50:00Z"/>
        </w:rPr>
      </w:pPr>
    </w:p>
    <w:p w14:paraId="5A27C701" w14:textId="77777777" w:rsidR="000A79CD" w:rsidRDefault="00000000" w:rsidP="000A79CD">
      <w:pPr>
        <w:ind w:left="0" w:firstLine="0"/>
        <w:rPr>
          <w:del w:id="7875" w:author="AbbVie1" w:date="2025-05-13T09:50:00Z"/>
          <w:rStyle w:val="eop"/>
          <w:shd w:val="clear" w:color="auto" w:fill="FFFFFF"/>
        </w:rPr>
      </w:pPr>
      <w:del w:id="7876" w:author="AbbVie1" w:date="2025-05-13T09:50:00Z">
        <w:r>
          <w:rPr>
            <w:rStyle w:val="normaltextrun"/>
            <w:shd w:val="clear" w:color="auto" w:fill="FFFFFF"/>
          </w:rPr>
          <w:delText>V</w:delText>
        </w:r>
        <w:r w:rsidR="007863F2">
          <w:rPr>
            <w:rStyle w:val="normaltextrun"/>
            <w:shd w:val="clear" w:color="auto" w:fill="FFFFFF"/>
          </w:rPr>
          <w:delText> </w:delText>
        </w:r>
        <w:r>
          <w:rPr>
            <w:rStyle w:val="normaltextrun"/>
            <w:shd w:val="clear" w:color="auto" w:fill="FFFFFF"/>
          </w:rPr>
          <w:delText>indukčním období studie bylo randomizováno 77 pacientů v poměru 3:2 k užívání dvojitě zaslepené léčby přípravkem Humira v indukční dávce 2,4</w:delText>
        </w:r>
        <w:r w:rsidR="00F365E7" w:rsidRPr="00005EC2">
          <w:rPr>
            <w:szCs w:val="22"/>
          </w:rPr>
          <w:delText> </w:delText>
        </w:r>
        <w:r>
          <w:rPr>
            <w:rStyle w:val="normaltextrun"/>
            <w:shd w:val="clear" w:color="auto" w:fill="FFFFFF"/>
          </w:rPr>
          <w:delText>mg/kg (maximální dávka 160</w:delText>
        </w:r>
        <w:r w:rsidR="007863F2">
          <w:rPr>
            <w:rStyle w:val="normaltextrun"/>
          </w:rPr>
          <w:delText> </w:delText>
        </w:r>
        <w:r>
          <w:rPr>
            <w:rStyle w:val="normaltextrun"/>
            <w:shd w:val="clear" w:color="auto" w:fill="FFFFFF"/>
          </w:rPr>
          <w:delText>mg) v </w:delText>
        </w:r>
        <w:r w:rsidRPr="00BC5CBC">
          <w:rPr>
            <w:rStyle w:val="normaltextrun"/>
            <w:shd w:val="clear" w:color="auto" w:fill="FFFFFF"/>
          </w:rPr>
          <w:delText>týdnech 0</w:delText>
        </w:r>
        <w:r w:rsidR="002378E0">
          <w:rPr>
            <w:rStyle w:val="normaltextrun"/>
            <w:shd w:val="clear" w:color="auto" w:fill="FFFFFF"/>
          </w:rPr>
          <w:delText xml:space="preserve"> a </w:delText>
        </w:r>
        <w:r w:rsidRPr="00BC5CBC">
          <w:rPr>
            <w:rStyle w:val="normaltextrun"/>
            <w:shd w:val="clear" w:color="auto" w:fill="FFFFFF"/>
          </w:rPr>
          <w:delText>1</w:delText>
        </w:r>
        <w:r w:rsidR="002378E0">
          <w:rPr>
            <w:rStyle w:val="normaltextrun"/>
            <w:shd w:val="clear" w:color="auto" w:fill="FFFFFF"/>
          </w:rPr>
          <w:delText xml:space="preserve"> a </w:delText>
        </w:r>
        <w:r>
          <w:rPr>
            <w:rStyle w:val="normaltextrun"/>
            <w:shd w:val="clear" w:color="auto" w:fill="FFFFFF"/>
          </w:rPr>
          <w:delText>1,2</w:delText>
        </w:r>
        <w:r w:rsidR="00F365E7" w:rsidRPr="00005EC2">
          <w:rPr>
            <w:szCs w:val="22"/>
          </w:rPr>
          <w:delText> </w:delText>
        </w:r>
        <w:r>
          <w:rPr>
            <w:rStyle w:val="normaltextrun"/>
            <w:shd w:val="clear" w:color="auto" w:fill="FFFFFF"/>
          </w:rPr>
          <w:delText>mg/kg (maximální dávka 80</w:delText>
        </w:r>
        <w:r w:rsidR="007863F2">
          <w:rPr>
            <w:rStyle w:val="normaltextrun"/>
          </w:rPr>
          <w:delText> </w:delText>
        </w:r>
        <w:r>
          <w:rPr>
            <w:rStyle w:val="normaltextrun"/>
            <w:shd w:val="clear" w:color="auto" w:fill="FFFFFF"/>
          </w:rPr>
          <w:delText>mg) v</w:delText>
        </w:r>
        <w:r w:rsidR="007863F2">
          <w:rPr>
            <w:rStyle w:val="normaltextrun"/>
            <w:shd w:val="clear" w:color="auto" w:fill="FFFFFF"/>
          </w:rPr>
          <w:delText> </w:delText>
        </w:r>
        <w:r>
          <w:rPr>
            <w:rStyle w:val="normaltextrun"/>
            <w:shd w:val="clear" w:color="auto" w:fill="FFFFFF"/>
          </w:rPr>
          <w:delText>týdnu 2;</w:delText>
        </w:r>
        <w:r w:rsidR="007863F2">
          <w:rPr>
            <w:rStyle w:val="normaltextrun"/>
            <w:shd w:val="clear" w:color="auto" w:fill="FFFFFF"/>
          </w:rPr>
          <w:delText xml:space="preserve"> </w:delText>
        </w:r>
        <w:r>
          <w:rPr>
            <w:rStyle w:val="normaltextrun"/>
            <w:shd w:val="clear" w:color="auto" w:fill="FFFFFF"/>
          </w:rPr>
          <w:delText>nebo indukční dávce 2,4</w:delText>
        </w:r>
        <w:r w:rsidR="007863F2">
          <w:rPr>
            <w:rStyle w:val="normaltextrun"/>
          </w:rPr>
          <w:delText> </w:delText>
        </w:r>
        <w:r>
          <w:rPr>
            <w:rStyle w:val="normaltextrun"/>
            <w:shd w:val="clear" w:color="auto" w:fill="FFFFFF"/>
          </w:rPr>
          <w:delText>mg/kg (maximální dávka 160</w:delText>
        </w:r>
        <w:r w:rsidR="00F365E7" w:rsidRPr="00005EC2">
          <w:rPr>
            <w:szCs w:val="22"/>
          </w:rPr>
          <w:delText> </w:delText>
        </w:r>
        <w:r>
          <w:rPr>
            <w:rStyle w:val="normaltextrun"/>
            <w:shd w:val="clear" w:color="auto" w:fill="FFFFFF"/>
          </w:rPr>
          <w:delText>mg) v týdnu 0, placebo v </w:delText>
        </w:r>
        <w:r w:rsidRPr="00BC5CBC">
          <w:rPr>
            <w:rStyle w:val="normaltextrun"/>
            <w:shd w:val="clear" w:color="auto" w:fill="FFFFFF"/>
          </w:rPr>
          <w:delText>týdnu 1</w:delText>
        </w:r>
        <w:r w:rsidR="002378E0">
          <w:rPr>
            <w:rStyle w:val="normaltextrun"/>
            <w:shd w:val="clear" w:color="auto" w:fill="FFFFFF"/>
          </w:rPr>
          <w:delText xml:space="preserve"> a </w:delText>
        </w:r>
        <w:r>
          <w:rPr>
            <w:rStyle w:val="normaltextrun"/>
            <w:shd w:val="clear" w:color="auto" w:fill="FFFFFF"/>
          </w:rPr>
          <w:delText>1,2</w:delText>
        </w:r>
        <w:r w:rsidR="007863F2">
          <w:rPr>
            <w:rStyle w:val="normaltextrun"/>
          </w:rPr>
          <w:delText> </w:delText>
        </w:r>
        <w:r>
          <w:rPr>
            <w:rStyle w:val="normaltextrun"/>
            <w:shd w:val="clear" w:color="auto" w:fill="FFFFFF"/>
          </w:rPr>
          <w:delText>mg/kg (maximální dávka 80</w:delText>
        </w:r>
        <w:r w:rsidR="007863F2">
          <w:rPr>
            <w:rStyle w:val="normaltextrun"/>
          </w:rPr>
          <w:delText> </w:delText>
        </w:r>
        <w:r>
          <w:rPr>
            <w:rStyle w:val="normaltextrun"/>
            <w:shd w:val="clear" w:color="auto" w:fill="FFFFFF"/>
          </w:rPr>
          <w:delText>mg) v</w:delText>
        </w:r>
        <w:r w:rsidR="007863F2">
          <w:rPr>
            <w:rStyle w:val="normaltextrun"/>
            <w:shd w:val="clear" w:color="auto" w:fill="FFFFFF"/>
          </w:rPr>
          <w:delText> </w:delText>
        </w:r>
        <w:r>
          <w:rPr>
            <w:rStyle w:val="normaltextrun"/>
            <w:shd w:val="clear" w:color="auto" w:fill="FFFFFF"/>
          </w:rPr>
          <w:delText>týdnu 2.</w:delText>
        </w:r>
        <w:r w:rsidR="007863F2">
          <w:rPr>
            <w:shd w:val="clear" w:color="auto" w:fill="FFFFFF"/>
          </w:rPr>
          <w:delText xml:space="preserve"> </w:delText>
        </w:r>
        <w:r>
          <w:rPr>
            <w:rStyle w:val="normaltextrun"/>
            <w:shd w:val="clear" w:color="auto" w:fill="FFFFFF"/>
          </w:rPr>
          <w:delText>Obě skupiny dostávaly 0,6</w:delText>
        </w:r>
        <w:r w:rsidR="007863F2">
          <w:rPr>
            <w:rStyle w:val="normaltextrun"/>
          </w:rPr>
          <w:delText> </w:delText>
        </w:r>
        <w:r>
          <w:rPr>
            <w:rStyle w:val="normaltextrun"/>
            <w:shd w:val="clear" w:color="auto" w:fill="FFFFFF"/>
          </w:rPr>
          <w:delText>mg/kg (maximální dávka 40</w:delText>
        </w:r>
        <w:r w:rsidR="007863F2">
          <w:rPr>
            <w:rStyle w:val="normaltextrun"/>
          </w:rPr>
          <w:delText> </w:delText>
        </w:r>
        <w:r>
          <w:rPr>
            <w:rStyle w:val="normaltextrun"/>
            <w:shd w:val="clear" w:color="auto" w:fill="FFFFFF"/>
          </w:rPr>
          <w:delText>mg) v</w:delText>
        </w:r>
        <w:r w:rsidR="007863F2">
          <w:rPr>
            <w:rStyle w:val="normaltextrun"/>
            <w:shd w:val="clear" w:color="auto" w:fill="FFFFFF"/>
          </w:rPr>
          <w:delText> </w:delText>
        </w:r>
        <w:r>
          <w:rPr>
            <w:rStyle w:val="normaltextrun"/>
            <w:shd w:val="clear" w:color="auto" w:fill="FFFFFF"/>
          </w:rPr>
          <w:delText>týdnech 4</w:delText>
        </w:r>
        <w:r w:rsidR="002378E0">
          <w:rPr>
            <w:rStyle w:val="normaltextrun"/>
            <w:shd w:val="clear" w:color="auto" w:fill="FFFFFF"/>
          </w:rPr>
          <w:delText xml:space="preserve"> a </w:delText>
        </w:r>
        <w:r>
          <w:rPr>
            <w:rStyle w:val="normaltextrun"/>
            <w:shd w:val="clear" w:color="auto" w:fill="FFFFFF"/>
          </w:rPr>
          <w:delText>6.</w:delText>
        </w:r>
        <w:r w:rsidR="007863F2">
          <w:rPr>
            <w:shd w:val="clear" w:color="auto" w:fill="FFFFFF"/>
          </w:rPr>
          <w:delText xml:space="preserve"> </w:delText>
        </w:r>
        <w:r>
          <w:rPr>
            <w:rStyle w:val="normaltextrun"/>
            <w:shd w:val="clear" w:color="auto" w:fill="FFFFFF"/>
          </w:rPr>
          <w:delText>Po změně designu studie dostalo zbývajících 16 pacientů zařazených do indukčního období otevřenou léčbu přípravkem Humira v indukční dávce 2,4</w:delText>
        </w:r>
        <w:r w:rsidR="007863F2">
          <w:rPr>
            <w:rStyle w:val="normaltextrun"/>
          </w:rPr>
          <w:delText> </w:delText>
        </w:r>
        <w:r>
          <w:rPr>
            <w:rStyle w:val="normaltextrun"/>
            <w:shd w:val="clear" w:color="auto" w:fill="FFFFFF"/>
          </w:rPr>
          <w:delText>mg/kg (maximální dávka 160</w:delText>
        </w:r>
        <w:r w:rsidR="007863F2">
          <w:rPr>
            <w:rStyle w:val="normaltextrun"/>
          </w:rPr>
          <w:delText> </w:delText>
        </w:r>
        <w:r>
          <w:rPr>
            <w:rStyle w:val="normaltextrun"/>
            <w:shd w:val="clear" w:color="auto" w:fill="FFFFFF"/>
          </w:rPr>
          <w:delText>mg) v </w:delText>
        </w:r>
        <w:r w:rsidRPr="00BC5CBC">
          <w:rPr>
            <w:rStyle w:val="normaltextrun"/>
            <w:shd w:val="clear" w:color="auto" w:fill="FFFFFF"/>
          </w:rPr>
          <w:delText>týdnech 0</w:delText>
        </w:r>
        <w:r w:rsidR="002378E0">
          <w:rPr>
            <w:rStyle w:val="normaltextrun"/>
            <w:shd w:val="clear" w:color="auto" w:fill="FFFFFF"/>
          </w:rPr>
          <w:delText xml:space="preserve"> a </w:delText>
        </w:r>
        <w:r w:rsidRPr="00BC5CBC">
          <w:rPr>
            <w:rStyle w:val="normaltextrun"/>
            <w:shd w:val="clear" w:color="auto" w:fill="FFFFFF"/>
          </w:rPr>
          <w:delText>1</w:delText>
        </w:r>
        <w:r w:rsidR="002378E0">
          <w:rPr>
            <w:rStyle w:val="normaltextrun"/>
            <w:shd w:val="clear" w:color="auto" w:fill="FFFFFF"/>
          </w:rPr>
          <w:delText xml:space="preserve"> a </w:delText>
        </w:r>
        <w:r>
          <w:rPr>
            <w:rStyle w:val="normaltextrun"/>
            <w:shd w:val="clear" w:color="auto" w:fill="FFFFFF"/>
          </w:rPr>
          <w:delText>1,2</w:delText>
        </w:r>
        <w:r w:rsidR="007863F2">
          <w:rPr>
            <w:rStyle w:val="normaltextrun"/>
          </w:rPr>
          <w:delText> </w:delText>
        </w:r>
        <w:r>
          <w:rPr>
            <w:rStyle w:val="normaltextrun"/>
            <w:shd w:val="clear" w:color="auto" w:fill="FFFFFF"/>
          </w:rPr>
          <w:delText>mg/kg (maximální dávka 80</w:delText>
        </w:r>
        <w:r w:rsidR="007863F2">
          <w:rPr>
            <w:rStyle w:val="normaltextrun"/>
          </w:rPr>
          <w:delText> </w:delText>
        </w:r>
        <w:r>
          <w:rPr>
            <w:rStyle w:val="normaltextrun"/>
            <w:shd w:val="clear" w:color="auto" w:fill="FFFFFF"/>
          </w:rPr>
          <w:delText>mg) v</w:delText>
        </w:r>
        <w:r w:rsidR="007863F2">
          <w:rPr>
            <w:rStyle w:val="normaltextrun"/>
            <w:shd w:val="clear" w:color="auto" w:fill="FFFFFF"/>
          </w:rPr>
          <w:delText> </w:delText>
        </w:r>
        <w:r>
          <w:rPr>
            <w:rStyle w:val="normaltextrun"/>
            <w:shd w:val="clear" w:color="auto" w:fill="FFFFFF"/>
          </w:rPr>
          <w:delText>týdnu 2.</w:delText>
        </w:r>
      </w:del>
    </w:p>
    <w:p w14:paraId="430A68A6" w14:textId="77777777" w:rsidR="000A79CD" w:rsidRPr="00D01607" w:rsidRDefault="000A79CD" w:rsidP="000A79CD">
      <w:pPr>
        <w:ind w:left="0" w:firstLine="0"/>
        <w:rPr>
          <w:del w:id="7877" w:author="AbbVie1" w:date="2025-05-13T09:50:00Z"/>
        </w:rPr>
      </w:pPr>
    </w:p>
    <w:p w14:paraId="015D88BE" w14:textId="77777777" w:rsidR="000A79CD" w:rsidRDefault="00000000" w:rsidP="000A79CD">
      <w:pPr>
        <w:ind w:left="0" w:firstLine="0"/>
        <w:rPr>
          <w:del w:id="7878" w:author="AbbVie1" w:date="2025-05-13T09:50:00Z"/>
          <w:rStyle w:val="normaltextrun"/>
          <w:shd w:val="clear" w:color="auto" w:fill="FFFFFF"/>
        </w:rPr>
      </w:pPr>
      <w:del w:id="7879" w:author="AbbVie1" w:date="2025-05-13T09:50:00Z">
        <w:r>
          <w:rPr>
            <w:rStyle w:val="normaltextrun"/>
            <w:shd w:val="clear" w:color="auto" w:fill="FFFFFF"/>
          </w:rPr>
          <w:delText>V</w:delText>
        </w:r>
        <w:r w:rsidR="007863F2">
          <w:rPr>
            <w:rStyle w:val="normaltextrun"/>
            <w:shd w:val="clear" w:color="auto" w:fill="FFFFFF"/>
          </w:rPr>
          <w:delText> </w:delText>
        </w:r>
        <w:r w:rsidRPr="00BC5CBC">
          <w:rPr>
            <w:rStyle w:val="normaltextrun"/>
            <w:shd w:val="clear" w:color="auto" w:fill="FFFFFF"/>
          </w:rPr>
          <w:delText>týdnu 8</w:delText>
        </w:r>
        <w:r>
          <w:rPr>
            <w:rStyle w:val="normaltextrun"/>
            <w:shd w:val="clear" w:color="auto" w:fill="FFFFFF"/>
          </w:rPr>
          <w:delText xml:space="preserve"> bylo 62 pacientů, kteří prokázali klinickou odpověď na parciálním Mayo skóre (PMS; definováno jako pokles PMS ≥ 2 body</w:delText>
        </w:r>
        <w:r w:rsidR="002378E0">
          <w:rPr>
            <w:rStyle w:val="normaltextrun"/>
            <w:shd w:val="clear" w:color="auto" w:fill="FFFFFF"/>
          </w:rPr>
          <w:delText xml:space="preserve"> a </w:delText>
        </w:r>
        <w:r>
          <w:rPr>
            <w:rStyle w:val="normaltextrun"/>
            <w:shd w:val="clear" w:color="auto" w:fill="FFFFFF"/>
          </w:rPr>
          <w:delText>≥ 30</w:delText>
        </w:r>
        <w:r w:rsidR="007863F2">
          <w:rPr>
            <w:rStyle w:val="normaltextrun"/>
          </w:rPr>
          <w:delText> </w:delText>
        </w:r>
        <w:r>
          <w:rPr>
            <w:rStyle w:val="normaltextrun"/>
            <w:shd w:val="clear" w:color="auto" w:fill="FFFFFF"/>
          </w:rPr>
          <w:delText>% oproti výchozí hodnotě), randomizováno rovnoměrně do dvojitě zaslepené udržovací léčby přípravkem Humira s dávkou 0,6</w:delText>
        </w:r>
        <w:r w:rsidR="007863F2">
          <w:rPr>
            <w:rStyle w:val="normaltextrun"/>
          </w:rPr>
          <w:delText> </w:delText>
        </w:r>
        <w:r>
          <w:rPr>
            <w:rStyle w:val="normaltextrun"/>
            <w:shd w:val="clear" w:color="auto" w:fill="FFFFFF"/>
          </w:rPr>
          <w:delText>mg/kg (maximální dávka 40</w:delText>
        </w:r>
        <w:r w:rsidR="007863F2">
          <w:rPr>
            <w:rStyle w:val="normaltextrun"/>
          </w:rPr>
          <w:delText> </w:delText>
        </w:r>
        <w:r>
          <w:rPr>
            <w:rStyle w:val="normaltextrun"/>
            <w:shd w:val="clear" w:color="auto" w:fill="FFFFFF"/>
          </w:rPr>
          <w:delText>mg) každý týden nebo udržovací dávkou 0,6</w:delText>
        </w:r>
        <w:r w:rsidR="007863F2">
          <w:rPr>
            <w:rStyle w:val="normaltextrun"/>
          </w:rPr>
          <w:delText> </w:delText>
        </w:r>
        <w:r>
          <w:rPr>
            <w:rStyle w:val="normaltextrun"/>
            <w:shd w:val="clear" w:color="auto" w:fill="FFFFFF"/>
          </w:rPr>
          <w:delText>mg/kg (maximální dávka 40</w:delText>
        </w:r>
        <w:r w:rsidR="007863F2">
          <w:rPr>
            <w:rStyle w:val="normaltextrun"/>
          </w:rPr>
          <w:delText> </w:delText>
        </w:r>
        <w:r>
          <w:rPr>
            <w:rStyle w:val="normaltextrun"/>
            <w:shd w:val="clear" w:color="auto" w:fill="FFFFFF"/>
          </w:rPr>
          <w:delText xml:space="preserve">mg) </w:delText>
        </w:r>
        <w:r w:rsidR="00CC333F" w:rsidRPr="001B4A02">
          <w:delText>jednou za dva týdny</w:delText>
        </w:r>
        <w:r>
          <w:rPr>
            <w:rStyle w:val="normaltextrun"/>
            <w:shd w:val="clear" w:color="auto" w:fill="FFFFFF"/>
          </w:rPr>
          <w:delText>.</w:delText>
        </w:r>
        <w:r w:rsidR="007863F2">
          <w:rPr>
            <w:shd w:val="clear" w:color="auto" w:fill="FFFFFF"/>
          </w:rPr>
          <w:delText xml:space="preserve"> </w:delText>
        </w:r>
        <w:r>
          <w:rPr>
            <w:rStyle w:val="normaltextrun"/>
            <w:shd w:val="clear" w:color="auto" w:fill="FFFFFF"/>
          </w:rPr>
          <w:delText>Před změnou designu studie bylo dalších 12 pacientů, kteří prokázali klinickou odpověď podle PMS, randomizováno k</w:delText>
        </w:r>
        <w:r w:rsidR="007863F2">
          <w:rPr>
            <w:rStyle w:val="normaltextrun"/>
            <w:shd w:val="clear" w:color="auto" w:fill="FFFFFF"/>
          </w:rPr>
          <w:delText> </w:delText>
        </w:r>
        <w:r>
          <w:rPr>
            <w:rStyle w:val="normaltextrun"/>
            <w:shd w:val="clear" w:color="auto" w:fill="FFFFFF"/>
          </w:rPr>
          <w:delText>užívání placeba, ale nebyli zahrnuti do potvrzující analýzy účinnosti.</w:delText>
        </w:r>
      </w:del>
    </w:p>
    <w:p w14:paraId="7C538BBB" w14:textId="77777777" w:rsidR="000A79CD" w:rsidRPr="00D01607" w:rsidRDefault="000A79CD" w:rsidP="000A79CD">
      <w:pPr>
        <w:ind w:left="0" w:firstLine="0"/>
        <w:rPr>
          <w:del w:id="7880" w:author="AbbVie1" w:date="2025-05-13T09:50:00Z"/>
          <w:shd w:val="clear" w:color="auto" w:fill="FFFFFF"/>
        </w:rPr>
      </w:pPr>
    </w:p>
    <w:p w14:paraId="2C24734E" w14:textId="77777777" w:rsidR="000A79CD" w:rsidRDefault="00000000" w:rsidP="000A79CD">
      <w:pPr>
        <w:ind w:left="0" w:firstLine="0"/>
        <w:rPr>
          <w:del w:id="7881" w:author="AbbVie1" w:date="2025-05-13T09:50:00Z"/>
        </w:rPr>
      </w:pPr>
      <w:del w:id="7882" w:author="AbbVie1" w:date="2025-05-13T09:50:00Z">
        <w:r>
          <w:delText>Vzplanutí nemoci bylo definováno jako zvýšení PMS nejméně o 3 body (u pacientů s PMS 0 až 2 v </w:delText>
        </w:r>
        <w:r w:rsidRPr="00BC5CBC">
          <w:delText>týdnu 8</w:delText>
        </w:r>
        <w:r>
          <w:delText>), nejméně 2 body (u pacientů s PMS 3 až 4 v </w:delText>
        </w:r>
        <w:r w:rsidRPr="00BC5CBC">
          <w:delText>týdnu 8</w:delText>
        </w:r>
        <w:r>
          <w:delText>) nebo alespoň o 1 bod (u pacientů s PMS 5 až 6 v </w:delText>
        </w:r>
        <w:r w:rsidRPr="00BC5CBC">
          <w:delText>týdnu 8</w:delText>
        </w:r>
        <w:r>
          <w:delText>).</w:delText>
        </w:r>
      </w:del>
    </w:p>
    <w:p w14:paraId="0D684BC9" w14:textId="77777777" w:rsidR="000A79CD" w:rsidRPr="00D01607" w:rsidRDefault="000A79CD" w:rsidP="000A79CD">
      <w:pPr>
        <w:ind w:left="0" w:firstLine="0"/>
        <w:rPr>
          <w:del w:id="7883" w:author="AbbVie1" w:date="2025-05-13T09:50:00Z"/>
        </w:rPr>
      </w:pPr>
    </w:p>
    <w:p w14:paraId="75300654" w14:textId="77777777" w:rsidR="000A79CD" w:rsidRPr="00D01607" w:rsidRDefault="00000000" w:rsidP="000A79CD">
      <w:pPr>
        <w:ind w:left="0" w:firstLine="0"/>
        <w:rPr>
          <w:del w:id="7884" w:author="AbbVie1" w:date="2025-05-13T09:50:00Z"/>
        </w:rPr>
      </w:pPr>
      <w:del w:id="7885" w:author="AbbVie1" w:date="2025-05-13T09:50:00Z">
        <w:r>
          <w:delText>Pacienti, kteří splnili kritéria pro vzplanutí nemoci v</w:delText>
        </w:r>
        <w:r w:rsidR="00561F56">
          <w:delText> </w:delText>
        </w:r>
        <w:r>
          <w:delText>týdnu 12 nebo později, byli randomizováni do skupiny, která dostávala opětovně indukční dávku 2,4</w:delText>
        </w:r>
        <w:r w:rsidR="00561F56">
          <w:rPr>
            <w:rStyle w:val="normaltextrun"/>
          </w:rPr>
          <w:delText> </w:delText>
        </w:r>
        <w:r>
          <w:delText>mg/kg (maximální dávka 160</w:delText>
        </w:r>
        <w:r w:rsidR="00561F56">
          <w:rPr>
            <w:rStyle w:val="normaltextrun"/>
          </w:rPr>
          <w:delText> </w:delText>
        </w:r>
        <w:r>
          <w:delText>mg) nebo dávku 0,6</w:delText>
        </w:r>
        <w:r w:rsidR="00561F56">
          <w:rPr>
            <w:rStyle w:val="normaltextrun"/>
          </w:rPr>
          <w:delText> </w:delText>
        </w:r>
        <w:r>
          <w:delText>mg/kg (maximální dávka 40</w:delText>
        </w:r>
        <w:r w:rsidR="00561F56">
          <w:rPr>
            <w:rStyle w:val="normaltextrun"/>
          </w:rPr>
          <w:delText> </w:delText>
        </w:r>
        <w:r>
          <w:delText>mg),</w:delText>
        </w:r>
        <w:r w:rsidR="002378E0">
          <w:delText xml:space="preserve"> a </w:delText>
        </w:r>
        <w:r>
          <w:delText>pokračovali v léčbě svým příslušným režimem udržovací dávky.</w:delText>
        </w:r>
      </w:del>
    </w:p>
    <w:p w14:paraId="4E6FBA14" w14:textId="77777777" w:rsidR="000A79CD" w:rsidRPr="001D2137" w:rsidRDefault="00000000" w:rsidP="000A79CD">
      <w:pPr>
        <w:pStyle w:val="gtcbodytext"/>
        <w:keepNext/>
        <w:spacing w:after="0" w:line="240" w:lineRule="auto"/>
        <w:rPr>
          <w:del w:id="7886" w:author="AbbVie1" w:date="2025-05-13T09:50:00Z"/>
          <w:i/>
          <w:sz w:val="22"/>
          <w:szCs w:val="22"/>
          <w:lang w:val="cs-CZ"/>
        </w:rPr>
      </w:pPr>
      <w:del w:id="7887" w:author="AbbVie1" w:date="2025-05-13T09:50:00Z">
        <w:r w:rsidRPr="001D2137">
          <w:rPr>
            <w:i/>
            <w:sz w:val="22"/>
            <w:lang w:val="cs-CZ"/>
          </w:rPr>
          <w:delText xml:space="preserve">Výsledky </w:delText>
        </w:r>
        <w:r>
          <w:rPr>
            <w:i/>
            <w:sz w:val="22"/>
            <w:lang w:val="cs-CZ"/>
          </w:rPr>
          <w:delText xml:space="preserve">hodnocení </w:delText>
        </w:r>
        <w:r w:rsidRPr="001D2137">
          <w:rPr>
            <w:i/>
            <w:sz w:val="22"/>
            <w:lang w:val="cs-CZ"/>
          </w:rPr>
          <w:delText>účinnosti</w:delText>
        </w:r>
      </w:del>
    </w:p>
    <w:p w14:paraId="2F426AF5" w14:textId="77777777" w:rsidR="000A79CD" w:rsidRPr="001D2137" w:rsidRDefault="000A79CD" w:rsidP="000A79CD">
      <w:pPr>
        <w:pStyle w:val="gtcbodytext"/>
        <w:keepNext/>
        <w:spacing w:before="0" w:after="0" w:line="240" w:lineRule="auto"/>
        <w:rPr>
          <w:del w:id="7888" w:author="AbbVie1" w:date="2025-05-13T09:50:00Z"/>
          <w:i/>
          <w:sz w:val="22"/>
          <w:szCs w:val="22"/>
          <w:lang w:val="cs-CZ"/>
        </w:rPr>
      </w:pPr>
    </w:p>
    <w:p w14:paraId="220DFCBE" w14:textId="77777777" w:rsidR="000A79CD" w:rsidRDefault="00000000" w:rsidP="000A79CD">
      <w:pPr>
        <w:ind w:left="0" w:firstLine="0"/>
        <w:textAlignment w:val="baseline"/>
        <w:rPr>
          <w:del w:id="7889" w:author="AbbVie1" w:date="2025-05-13T09:50:00Z"/>
        </w:rPr>
      </w:pPr>
      <w:del w:id="7890" w:author="AbbVie1" w:date="2025-05-13T09:50:00Z">
        <w:r>
          <w:delText>Společnými primárními cílovými parametry studie byla klinická remise podle PMS (definovaná jako PMS ≤ 2</w:delText>
        </w:r>
        <w:r w:rsidR="002378E0">
          <w:delText xml:space="preserve"> a </w:delText>
        </w:r>
        <w:r>
          <w:delText>žádné individuální podskóre &gt; 1) v </w:delText>
        </w:r>
        <w:r w:rsidRPr="00BC5CBC">
          <w:delText>týdnu 8</w:delText>
        </w:r>
        <w:r w:rsidR="002378E0">
          <w:delText xml:space="preserve"> a </w:delText>
        </w:r>
        <w:r>
          <w:delText>klinická remise podle FMS (úplné Mayo skóre) (definovaná jako Mayo skóre ≤ 2</w:delText>
        </w:r>
        <w:r w:rsidR="002378E0">
          <w:delText xml:space="preserve"> a </w:delText>
        </w:r>
        <w:r>
          <w:delText>žádné individuální podskóre &gt; 1) v</w:delText>
        </w:r>
        <w:r w:rsidR="00022A9A">
          <w:delText> </w:delText>
        </w:r>
        <w:r>
          <w:delText>týdnu 52 u pacientů, kteří dosáhli klinické odpovědi podle PMS v </w:delText>
        </w:r>
        <w:r w:rsidRPr="00BC5CBC">
          <w:delText>týdnu 8</w:delText>
        </w:r>
        <w:r>
          <w:delText>.</w:delText>
        </w:r>
      </w:del>
    </w:p>
    <w:p w14:paraId="0DA5C04C" w14:textId="77777777" w:rsidR="000A79CD" w:rsidRPr="00D01607" w:rsidRDefault="000A79CD" w:rsidP="000A79CD">
      <w:pPr>
        <w:ind w:left="0" w:firstLine="0"/>
        <w:textAlignment w:val="baseline"/>
        <w:rPr>
          <w:del w:id="7891" w:author="AbbVie1" w:date="2025-05-13T09:50:00Z"/>
          <w:lang w:eastAsia="en-GB"/>
        </w:rPr>
      </w:pPr>
    </w:p>
    <w:p w14:paraId="2ACECAB9" w14:textId="77777777" w:rsidR="000A79CD" w:rsidRDefault="00000000" w:rsidP="000A79CD">
      <w:pPr>
        <w:ind w:left="0" w:firstLine="0"/>
        <w:textAlignment w:val="baseline"/>
        <w:rPr>
          <w:del w:id="7892" w:author="AbbVie1" w:date="2025-05-13T09:50:00Z"/>
        </w:rPr>
      </w:pPr>
      <w:del w:id="7893" w:author="AbbVie1" w:date="2025-05-13T09:50:00Z">
        <w:r>
          <w:delText>Míry klinické remise podle PMS v </w:delText>
        </w:r>
        <w:r w:rsidRPr="00BC5CBC">
          <w:delText>týdnu 8</w:delText>
        </w:r>
        <w:r>
          <w:delText xml:space="preserve"> u pacientů v každé z dvojitě zaslepených indukčních skupin přípravku Humira jsou shrnuty v</w:delText>
        </w:r>
        <w:r w:rsidR="00022A9A">
          <w:delText> </w:delText>
        </w:r>
        <w:r>
          <w:delText xml:space="preserve">tabulce </w:delText>
        </w:r>
        <w:r w:rsidR="00561F56">
          <w:delText>31</w:delText>
        </w:r>
        <w:r>
          <w:delText>.</w:delText>
        </w:r>
      </w:del>
    </w:p>
    <w:p w14:paraId="5A43EE00" w14:textId="77777777" w:rsidR="00022A9A" w:rsidRPr="00D01607" w:rsidRDefault="00022A9A" w:rsidP="000A79CD">
      <w:pPr>
        <w:ind w:left="0" w:firstLine="0"/>
        <w:textAlignment w:val="baseline"/>
        <w:rPr>
          <w:del w:id="7894" w:author="AbbVie1" w:date="2025-05-13T09:50:00Z"/>
        </w:rPr>
      </w:pPr>
    </w:p>
    <w:p w14:paraId="7B0E6B2F" w14:textId="77777777" w:rsidR="000A79CD" w:rsidRPr="001D2137" w:rsidRDefault="00000000" w:rsidP="00022A9A">
      <w:pPr>
        <w:pStyle w:val="gtcbodytext"/>
        <w:keepNext/>
        <w:spacing w:before="0" w:after="0" w:line="240" w:lineRule="auto"/>
        <w:jc w:val="center"/>
        <w:rPr>
          <w:del w:id="7895" w:author="AbbVie1" w:date="2025-05-13T09:50:00Z"/>
          <w:sz w:val="22"/>
          <w:szCs w:val="22"/>
          <w:lang w:val="cs-CZ"/>
        </w:rPr>
      </w:pPr>
      <w:del w:id="7896" w:author="AbbVie1" w:date="2025-05-13T09:50:00Z">
        <w:r w:rsidRPr="001D2137">
          <w:rPr>
            <w:b/>
            <w:sz w:val="22"/>
            <w:lang w:val="cs-CZ"/>
          </w:rPr>
          <w:delText xml:space="preserve">Tabulka </w:delText>
        </w:r>
        <w:r w:rsidR="00977638">
          <w:rPr>
            <w:b/>
            <w:sz w:val="22"/>
            <w:lang w:val="cs-CZ"/>
          </w:rPr>
          <w:delText>31</w:delText>
        </w:r>
        <w:r w:rsidRPr="001D2137">
          <w:rPr>
            <w:b/>
            <w:sz w:val="22"/>
            <w:lang w:val="cs-CZ"/>
          </w:rPr>
          <w:delText>: Klinická remise podle PMS po 8 týdnech</w:delText>
        </w:r>
      </w:del>
    </w:p>
    <w:tbl>
      <w:tblPr>
        <w:tblW w:w="5000" w:type="pct"/>
        <w:jc w:val="center"/>
        <w:tblLook w:val="04A0" w:firstRow="1" w:lastRow="0" w:firstColumn="1" w:lastColumn="0" w:noHBand="0" w:noVBand="1"/>
      </w:tblPr>
      <w:tblGrid>
        <w:gridCol w:w="2242"/>
        <w:gridCol w:w="3376"/>
        <w:gridCol w:w="3437"/>
      </w:tblGrid>
      <w:tr w:rsidR="00534A2D" w14:paraId="6E870657" w14:textId="77777777" w:rsidTr="00022A9A">
        <w:trPr>
          <w:jc w:val="center"/>
          <w:del w:id="7897" w:author="AbbVie1" w:date="2025-05-13T09:50: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332ED92" w14:textId="77777777" w:rsidR="000A79CD" w:rsidRPr="00D01607" w:rsidRDefault="000A79CD" w:rsidP="00022A9A">
            <w:pPr>
              <w:keepNext/>
              <w:ind w:left="0" w:firstLine="0"/>
              <w:rPr>
                <w:del w:id="7898" w:author="AbbVie1" w:date="2025-05-13T09:50:00Z"/>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3D0F1DA" w14:textId="77777777" w:rsidR="000A79CD" w:rsidRPr="00D01607" w:rsidRDefault="00000000" w:rsidP="00022A9A">
            <w:pPr>
              <w:pStyle w:val="paragraph0"/>
              <w:keepNext/>
              <w:spacing w:before="0" w:beforeAutospacing="0" w:after="0" w:afterAutospacing="0"/>
              <w:jc w:val="center"/>
              <w:textAlignment w:val="baseline"/>
              <w:rPr>
                <w:del w:id="7899" w:author="AbbVie1" w:date="2025-05-13T09:50:00Z"/>
                <w:sz w:val="22"/>
                <w:szCs w:val="22"/>
              </w:rPr>
            </w:pPr>
            <w:del w:id="7900" w:author="AbbVie1" w:date="2025-05-13T09:50:00Z">
              <w:r>
                <w:rPr>
                  <w:rStyle w:val="spellingerror"/>
                  <w:b/>
                </w:rPr>
                <w:delText>Humira</w:delText>
              </w:r>
              <w:r>
                <w:rPr>
                  <w:rStyle w:val="spellingerror"/>
                  <w:b/>
                  <w:vertAlign w:val="superscript"/>
                </w:rPr>
                <w:delText>a</w:delText>
              </w:r>
              <w:r>
                <w:rPr>
                  <w:rStyle w:val="eop"/>
                </w:rPr>
                <w:delText> </w:delText>
              </w:r>
            </w:del>
          </w:p>
          <w:p w14:paraId="01DAFCC2" w14:textId="77777777" w:rsidR="000A79CD" w:rsidRPr="00950D86" w:rsidRDefault="00000000" w:rsidP="00022A9A">
            <w:pPr>
              <w:keepNext/>
              <w:ind w:left="0" w:firstLine="0"/>
              <w:jc w:val="center"/>
              <w:rPr>
                <w:del w:id="7901" w:author="AbbVie1" w:date="2025-05-13T09:50:00Z"/>
                <w:rStyle w:val="eop"/>
                <w:b/>
                <w:bCs/>
              </w:rPr>
            </w:pPr>
            <w:del w:id="7902" w:author="AbbVie1" w:date="2025-05-13T09:50:00Z">
              <w:r w:rsidRPr="00950D86">
                <w:rPr>
                  <w:rStyle w:val="normaltextrun"/>
                  <w:b/>
                  <w:bCs/>
                </w:rPr>
                <w:delText>Maximálně 160</w:delText>
              </w:r>
              <w:r w:rsidR="00F365E7" w:rsidRPr="00005EC2">
                <w:rPr>
                  <w:szCs w:val="22"/>
                </w:rPr>
                <w:delText> </w:delText>
              </w:r>
              <w:r w:rsidRPr="00950D86">
                <w:rPr>
                  <w:rStyle w:val="normaltextrun"/>
                  <w:b/>
                  <w:bCs/>
                </w:rPr>
                <w:delText>mg v týdnu 0 / placebo v týdnu 1</w:delText>
              </w:r>
              <w:r w:rsidRPr="00950D86">
                <w:rPr>
                  <w:rStyle w:val="eop"/>
                  <w:b/>
                  <w:bCs/>
                </w:rPr>
                <w:delText xml:space="preserve"> </w:delText>
              </w:r>
            </w:del>
          </w:p>
          <w:p w14:paraId="491F59AB" w14:textId="77777777" w:rsidR="000A79CD" w:rsidRPr="00D01607" w:rsidRDefault="00000000" w:rsidP="00022A9A">
            <w:pPr>
              <w:keepNext/>
              <w:ind w:left="0" w:firstLine="0"/>
              <w:jc w:val="center"/>
              <w:rPr>
                <w:del w:id="7903" w:author="AbbVie1" w:date="2025-05-13T09:50:00Z"/>
              </w:rPr>
            </w:pPr>
            <w:del w:id="7904" w:author="AbbVie1" w:date="2025-05-13T09:50:00Z">
              <w:r>
                <w:rPr>
                  <w:rStyle w:val="eop"/>
                </w:rPr>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2BFE1FE" w14:textId="77777777" w:rsidR="000A79CD" w:rsidRPr="00D01607" w:rsidRDefault="00000000" w:rsidP="00022A9A">
            <w:pPr>
              <w:pStyle w:val="paragraph0"/>
              <w:keepNext/>
              <w:spacing w:before="0" w:beforeAutospacing="0" w:after="0" w:afterAutospacing="0"/>
              <w:jc w:val="center"/>
              <w:textAlignment w:val="baseline"/>
              <w:rPr>
                <w:del w:id="7905" w:author="AbbVie1" w:date="2025-05-13T09:50:00Z"/>
                <w:sz w:val="22"/>
                <w:szCs w:val="22"/>
              </w:rPr>
            </w:pPr>
            <w:del w:id="7906" w:author="AbbVie1" w:date="2025-05-13T09:50:00Z">
              <w:r>
                <w:rPr>
                  <w:rStyle w:val="spellingerror"/>
                  <w:b/>
                </w:rPr>
                <w:delText>Humira</w:delText>
              </w:r>
              <w:r>
                <w:rPr>
                  <w:rStyle w:val="spellingerror"/>
                  <w:b/>
                  <w:vertAlign w:val="superscript"/>
                </w:rPr>
                <w:delText>b</w:delText>
              </w:r>
              <w:r>
                <w:rPr>
                  <w:rStyle w:val="normaltextrun"/>
                  <w:sz w:val="22"/>
                  <w:vertAlign w:val="superscript"/>
                </w:rPr>
                <w:delText>, c</w:delText>
              </w:r>
              <w:r>
                <w:rPr>
                  <w:rStyle w:val="eop"/>
                </w:rPr>
                <w:delText> </w:delText>
              </w:r>
            </w:del>
          </w:p>
          <w:p w14:paraId="264DBB32" w14:textId="77777777" w:rsidR="000A79CD" w:rsidRPr="00950D86" w:rsidRDefault="00000000" w:rsidP="00022A9A">
            <w:pPr>
              <w:keepNext/>
              <w:ind w:left="0" w:firstLine="0"/>
              <w:jc w:val="center"/>
              <w:rPr>
                <w:del w:id="7907" w:author="AbbVie1" w:date="2025-05-13T09:50:00Z"/>
                <w:rStyle w:val="eop"/>
                <w:b/>
                <w:bCs/>
              </w:rPr>
            </w:pPr>
            <w:del w:id="7908" w:author="AbbVie1" w:date="2025-05-13T09:50:00Z">
              <w:r w:rsidRPr="00950D86">
                <w:rPr>
                  <w:rStyle w:val="normaltextrun"/>
                  <w:b/>
                  <w:bCs/>
                </w:rPr>
                <w:delText>Maximálně 160</w:delText>
              </w:r>
              <w:r w:rsidR="00F365E7" w:rsidRPr="00005EC2">
                <w:rPr>
                  <w:szCs w:val="22"/>
                </w:rPr>
                <w:delText> </w:delText>
              </w:r>
              <w:r w:rsidRPr="00950D86">
                <w:rPr>
                  <w:rStyle w:val="normaltextrun"/>
                  <w:b/>
                  <w:bCs/>
                </w:rPr>
                <w:delText>mg v týdnech 0</w:delText>
              </w:r>
              <w:r w:rsidR="002378E0">
                <w:rPr>
                  <w:rStyle w:val="normaltextrun"/>
                  <w:b/>
                  <w:bCs/>
                </w:rPr>
                <w:delText xml:space="preserve"> a </w:delText>
              </w:r>
              <w:r w:rsidRPr="00950D86">
                <w:rPr>
                  <w:rStyle w:val="normaltextrun"/>
                  <w:b/>
                  <w:bCs/>
                </w:rPr>
                <w:delText>1</w:delText>
              </w:r>
            </w:del>
          </w:p>
          <w:p w14:paraId="0F13328D" w14:textId="77777777" w:rsidR="000A79CD" w:rsidRPr="00D01607" w:rsidRDefault="00000000" w:rsidP="00022A9A">
            <w:pPr>
              <w:keepNext/>
              <w:ind w:left="0" w:firstLine="0"/>
              <w:jc w:val="center"/>
              <w:rPr>
                <w:del w:id="7909" w:author="AbbVie1" w:date="2025-05-13T09:50:00Z"/>
              </w:rPr>
            </w:pPr>
            <w:del w:id="7910" w:author="AbbVie1" w:date="2025-05-13T09:50:00Z">
              <w:r>
                <w:rPr>
                  <w:rStyle w:val="eop"/>
                </w:rPr>
                <w:delText>n=47</w:delText>
              </w:r>
            </w:del>
          </w:p>
        </w:tc>
      </w:tr>
      <w:tr w:rsidR="00534A2D" w14:paraId="48FA1379" w14:textId="77777777" w:rsidTr="00022A9A">
        <w:trPr>
          <w:jc w:val="center"/>
          <w:del w:id="7911" w:author="AbbVie1" w:date="2025-05-13T09:50: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D0B1D82" w14:textId="77777777" w:rsidR="000A79CD" w:rsidRPr="00D01607" w:rsidRDefault="00000000" w:rsidP="00022A9A">
            <w:pPr>
              <w:keepNext/>
              <w:ind w:left="0" w:firstLine="0"/>
              <w:rPr>
                <w:del w:id="7912" w:author="AbbVie1" w:date="2025-05-13T09:50:00Z"/>
              </w:rPr>
            </w:pPr>
            <w:del w:id="7913" w:author="AbbVie1" w:date="2025-05-13T09:50:00Z">
              <w:r>
                <w:delText>Klinická remise</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E77DF44" w14:textId="77777777" w:rsidR="000A79CD" w:rsidRPr="00D01607" w:rsidRDefault="00000000" w:rsidP="00022A9A">
            <w:pPr>
              <w:keepNext/>
              <w:ind w:left="0" w:firstLine="0"/>
              <w:jc w:val="center"/>
              <w:rPr>
                <w:del w:id="7914" w:author="AbbVie1" w:date="2025-05-13T09:50:00Z"/>
              </w:rPr>
            </w:pPr>
            <w:del w:id="7915" w:author="AbbVie1" w:date="2025-05-13T09:50:00Z">
              <w:r>
                <w:delText>13/30 (43,3 %)</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7BD01C8" w14:textId="77777777" w:rsidR="000A79CD" w:rsidRPr="00D01607" w:rsidRDefault="00000000" w:rsidP="00022A9A">
            <w:pPr>
              <w:keepNext/>
              <w:ind w:left="0" w:firstLine="0"/>
              <w:jc w:val="center"/>
              <w:rPr>
                <w:del w:id="7916" w:author="AbbVie1" w:date="2025-05-13T09:50:00Z"/>
                <w:vertAlign w:val="superscript"/>
              </w:rPr>
            </w:pPr>
            <w:del w:id="7917" w:author="AbbVie1" w:date="2025-05-13T09:50:00Z">
              <w:r>
                <w:delText>28/47 (59,6 %)</w:delText>
              </w:r>
            </w:del>
          </w:p>
        </w:tc>
      </w:tr>
      <w:tr w:rsidR="00534A2D" w14:paraId="23833045" w14:textId="77777777" w:rsidTr="00022A9A">
        <w:trPr>
          <w:trHeight w:val="2517"/>
          <w:jc w:val="center"/>
          <w:del w:id="7918" w:author="AbbVie1" w:date="2025-05-13T09:50: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CC9DD2D" w14:textId="77777777" w:rsidR="000A79CD" w:rsidRPr="00FF6D96" w:rsidRDefault="00000000" w:rsidP="008401F1">
            <w:pPr>
              <w:pStyle w:val="paragraph0"/>
              <w:spacing w:before="0" w:beforeAutospacing="0" w:after="0" w:afterAutospacing="0"/>
              <w:textAlignment w:val="baseline"/>
              <w:rPr>
                <w:del w:id="7919" w:author="AbbVie1" w:date="2025-05-13T09:50:00Z"/>
                <w:sz w:val="22"/>
                <w:szCs w:val="22"/>
              </w:rPr>
            </w:pPr>
            <w:del w:id="7920" w:author="AbbVie1" w:date="2025-05-13T09:50:00Z">
              <w:r>
                <w:rPr>
                  <w:rStyle w:val="normaltextrun"/>
                  <w:sz w:val="22"/>
                  <w:vertAlign w:val="superscript"/>
                </w:rPr>
                <w:delText>a</w:delText>
              </w:r>
              <w:r w:rsidR="00012979">
                <w:rPr>
                  <w:rStyle w:val="normaltextrun"/>
                  <w:sz w:val="22"/>
                  <w:vertAlign w:val="superscript"/>
                </w:rPr>
                <w:delText xml:space="preserve"> </w:delText>
              </w:r>
              <w:r w:rsidRPr="00FF6D96">
                <w:rPr>
                  <w:rStyle w:val="normaltextrun"/>
                  <w:sz w:val="22"/>
                  <w:szCs w:val="22"/>
                </w:rPr>
                <w:delText>Humira 2,4</w:delText>
              </w:r>
              <w:r w:rsidR="00F365E7" w:rsidRPr="00005EC2">
                <w:rPr>
                  <w:sz w:val="22"/>
                  <w:szCs w:val="22"/>
                </w:rPr>
                <w:delText> </w:delText>
              </w:r>
              <w:r w:rsidRPr="00FF6D96">
                <w:rPr>
                  <w:rStyle w:val="normaltextrun"/>
                  <w:sz w:val="22"/>
                  <w:szCs w:val="22"/>
                </w:rPr>
                <w:delText>mg/kg (maximální dávka 160</w:delText>
              </w:r>
              <w:r w:rsidR="00561F56" w:rsidRPr="00FF6D96">
                <w:rPr>
                  <w:rStyle w:val="normaltextrun"/>
                  <w:sz w:val="22"/>
                  <w:szCs w:val="22"/>
                </w:rPr>
                <w:delText> </w:delText>
              </w:r>
              <w:r w:rsidRPr="00FF6D96">
                <w:rPr>
                  <w:rStyle w:val="normaltextrun"/>
                  <w:sz w:val="22"/>
                  <w:szCs w:val="22"/>
                </w:rPr>
                <w:delText>mg) v týdnu 0, placebo v týdnu 1</w:delText>
              </w:r>
              <w:r w:rsidR="002378E0">
                <w:rPr>
                  <w:rStyle w:val="normaltextrun"/>
                  <w:sz w:val="22"/>
                  <w:szCs w:val="22"/>
                </w:rPr>
                <w:delText xml:space="preserve"> a </w:delText>
              </w:r>
              <w:r w:rsidRPr="00FF6D96">
                <w:rPr>
                  <w:rStyle w:val="normaltextrun"/>
                  <w:sz w:val="22"/>
                  <w:szCs w:val="22"/>
                </w:rPr>
                <w:delText>1,2</w:delText>
              </w:r>
              <w:r w:rsidR="00561F56" w:rsidRPr="00FF6D96">
                <w:rPr>
                  <w:rStyle w:val="normaltextrun"/>
                  <w:sz w:val="22"/>
                  <w:szCs w:val="22"/>
                </w:rPr>
                <w:delText> </w:delText>
              </w:r>
              <w:r w:rsidRPr="00FF6D96">
                <w:rPr>
                  <w:rStyle w:val="normaltextrun"/>
                  <w:sz w:val="22"/>
                  <w:szCs w:val="22"/>
                </w:rPr>
                <w:delText>mg/kg (maximální dávka 80</w:delText>
              </w:r>
              <w:r w:rsidR="00F365E7" w:rsidRPr="00005EC2">
                <w:rPr>
                  <w:sz w:val="22"/>
                  <w:szCs w:val="22"/>
                </w:rPr>
                <w:delText> </w:delText>
              </w:r>
              <w:r w:rsidRPr="00FF6D96">
                <w:rPr>
                  <w:rStyle w:val="normaltextrun"/>
                  <w:sz w:val="22"/>
                  <w:szCs w:val="22"/>
                </w:rPr>
                <w:delText>mg) v</w:delText>
              </w:r>
              <w:r w:rsidR="00561F56" w:rsidRPr="00FF6D96">
                <w:rPr>
                  <w:rStyle w:val="normaltextrun"/>
                  <w:sz w:val="22"/>
                  <w:szCs w:val="22"/>
                </w:rPr>
                <w:delText> </w:delText>
              </w:r>
              <w:r w:rsidRPr="00FF6D96">
                <w:rPr>
                  <w:rStyle w:val="normaltextrun"/>
                  <w:sz w:val="22"/>
                  <w:szCs w:val="22"/>
                </w:rPr>
                <w:delText>týdnu</w:delText>
              </w:r>
              <w:r w:rsidRPr="00FF6D96">
                <w:rPr>
                  <w:rStyle w:val="eop"/>
                  <w:sz w:val="22"/>
                  <w:szCs w:val="22"/>
                </w:rPr>
                <w:delText xml:space="preserve"> 2</w:delText>
              </w:r>
            </w:del>
          </w:p>
          <w:p w14:paraId="2736E77C" w14:textId="77777777" w:rsidR="000A79CD" w:rsidRPr="00FF6D96" w:rsidRDefault="00000000" w:rsidP="008401F1">
            <w:pPr>
              <w:pStyle w:val="paragraph0"/>
              <w:spacing w:before="0" w:beforeAutospacing="0" w:after="0" w:afterAutospacing="0"/>
              <w:textAlignment w:val="baseline"/>
              <w:rPr>
                <w:del w:id="7921" w:author="AbbVie1" w:date="2025-05-13T09:50:00Z"/>
                <w:sz w:val="22"/>
                <w:szCs w:val="22"/>
              </w:rPr>
            </w:pPr>
            <w:del w:id="7922" w:author="AbbVie1" w:date="2025-05-13T09:50:00Z">
              <w:r w:rsidRPr="00FF6D96">
                <w:rPr>
                  <w:rStyle w:val="normaltextrun"/>
                  <w:sz w:val="22"/>
                  <w:szCs w:val="22"/>
                  <w:vertAlign w:val="superscript"/>
                </w:rPr>
                <w:delText>b</w:delText>
              </w:r>
              <w:r w:rsidR="00012979" w:rsidRPr="00FF6D96">
                <w:rPr>
                  <w:rStyle w:val="normaltextrun"/>
                  <w:sz w:val="22"/>
                  <w:szCs w:val="22"/>
                  <w:vertAlign w:val="superscript"/>
                </w:rPr>
                <w:delText xml:space="preserve"> </w:delText>
              </w:r>
              <w:r w:rsidRPr="00FF6D96">
                <w:rPr>
                  <w:rStyle w:val="normaltextrun"/>
                  <w:sz w:val="22"/>
                  <w:szCs w:val="22"/>
                </w:rPr>
                <w:delText>Humira 2,4</w:delText>
              </w:r>
              <w:r w:rsidR="00F365E7" w:rsidRPr="00005EC2">
                <w:rPr>
                  <w:sz w:val="22"/>
                  <w:szCs w:val="22"/>
                </w:rPr>
                <w:delText> </w:delText>
              </w:r>
              <w:r w:rsidRPr="00FF6D96">
                <w:rPr>
                  <w:rStyle w:val="normaltextrun"/>
                  <w:sz w:val="22"/>
                  <w:szCs w:val="22"/>
                </w:rPr>
                <w:delText>mg/kg (maximální dávka 160</w:delText>
              </w:r>
              <w:r w:rsidR="00561F56" w:rsidRPr="00FF6D96">
                <w:rPr>
                  <w:rStyle w:val="normaltextrun"/>
                  <w:sz w:val="22"/>
                  <w:szCs w:val="22"/>
                </w:rPr>
                <w:delText> </w:delText>
              </w:r>
              <w:r w:rsidRPr="00FF6D96">
                <w:rPr>
                  <w:rStyle w:val="normaltextrun"/>
                  <w:sz w:val="22"/>
                  <w:szCs w:val="22"/>
                </w:rPr>
                <w:delText>mg) v týdnech 0</w:delText>
              </w:r>
              <w:r w:rsidR="002378E0">
                <w:rPr>
                  <w:rStyle w:val="normaltextrun"/>
                  <w:sz w:val="22"/>
                  <w:szCs w:val="22"/>
                </w:rPr>
                <w:delText xml:space="preserve"> a </w:delText>
              </w:r>
              <w:r w:rsidRPr="00FF6D96">
                <w:rPr>
                  <w:rStyle w:val="normaltextrun"/>
                  <w:sz w:val="22"/>
                  <w:szCs w:val="22"/>
                </w:rPr>
                <w:delText>1</w:delText>
              </w:r>
              <w:r w:rsidR="002378E0">
                <w:rPr>
                  <w:rStyle w:val="normaltextrun"/>
                  <w:sz w:val="22"/>
                  <w:szCs w:val="22"/>
                </w:rPr>
                <w:delText xml:space="preserve"> a </w:delText>
              </w:r>
              <w:r w:rsidRPr="00FF6D96">
                <w:rPr>
                  <w:rStyle w:val="normaltextrun"/>
                  <w:sz w:val="22"/>
                  <w:szCs w:val="22"/>
                </w:rPr>
                <w:delText>1,2</w:delText>
              </w:r>
              <w:r w:rsidR="00561F56" w:rsidRPr="00FF6D96">
                <w:rPr>
                  <w:rStyle w:val="normaltextrun"/>
                  <w:sz w:val="22"/>
                  <w:szCs w:val="22"/>
                </w:rPr>
                <w:delText> </w:delText>
              </w:r>
              <w:r w:rsidRPr="00FF6D96">
                <w:rPr>
                  <w:rStyle w:val="normaltextrun"/>
                  <w:sz w:val="22"/>
                  <w:szCs w:val="22"/>
                </w:rPr>
                <w:delText>mg/kg (maximální dávka 80</w:delText>
              </w:r>
              <w:r w:rsidR="00F365E7" w:rsidRPr="00005EC2">
                <w:rPr>
                  <w:sz w:val="22"/>
                  <w:szCs w:val="22"/>
                </w:rPr>
                <w:delText> </w:delText>
              </w:r>
              <w:r w:rsidRPr="00FF6D96">
                <w:rPr>
                  <w:rStyle w:val="normaltextrun"/>
                  <w:sz w:val="22"/>
                  <w:szCs w:val="22"/>
                </w:rPr>
                <w:delText>mg) v</w:delText>
              </w:r>
              <w:r w:rsidR="00561F56" w:rsidRPr="00FF6D96">
                <w:rPr>
                  <w:rStyle w:val="normaltextrun"/>
                  <w:sz w:val="22"/>
                  <w:szCs w:val="22"/>
                </w:rPr>
                <w:delText> </w:delText>
              </w:r>
              <w:r w:rsidRPr="00FF6D96">
                <w:rPr>
                  <w:rStyle w:val="normaltextrun"/>
                  <w:sz w:val="22"/>
                  <w:szCs w:val="22"/>
                </w:rPr>
                <w:delText>týdnu</w:delText>
              </w:r>
              <w:r w:rsidRPr="00FF6D96">
                <w:rPr>
                  <w:rStyle w:val="eop"/>
                  <w:sz w:val="22"/>
                  <w:szCs w:val="22"/>
                </w:rPr>
                <w:delText xml:space="preserve"> 2</w:delText>
              </w:r>
            </w:del>
          </w:p>
          <w:p w14:paraId="005B3540" w14:textId="77777777" w:rsidR="000A79CD" w:rsidRPr="00FF6D96" w:rsidRDefault="00000000" w:rsidP="008401F1">
            <w:pPr>
              <w:pStyle w:val="paragraph0"/>
              <w:spacing w:before="0" w:beforeAutospacing="0" w:after="0" w:afterAutospacing="0"/>
              <w:textAlignment w:val="baseline"/>
              <w:rPr>
                <w:del w:id="7923" w:author="AbbVie1" w:date="2025-05-13T09:50:00Z"/>
                <w:sz w:val="22"/>
                <w:szCs w:val="22"/>
              </w:rPr>
            </w:pPr>
            <w:del w:id="7924" w:author="AbbVie1" w:date="2025-05-13T09:50:00Z">
              <w:r w:rsidRPr="00FF6D96">
                <w:rPr>
                  <w:rStyle w:val="normaltextrun"/>
                  <w:sz w:val="22"/>
                  <w:szCs w:val="22"/>
                  <w:vertAlign w:val="superscript"/>
                </w:rPr>
                <w:delText>c</w:delText>
              </w:r>
              <w:r w:rsidR="00012979" w:rsidRPr="00FF6D96">
                <w:rPr>
                  <w:rStyle w:val="normaltextrun"/>
                  <w:sz w:val="22"/>
                  <w:szCs w:val="22"/>
                  <w:vertAlign w:val="superscript"/>
                </w:rPr>
                <w:delText xml:space="preserve"> </w:delText>
              </w:r>
              <w:r w:rsidRPr="00FF6D96">
                <w:rPr>
                  <w:rStyle w:val="normaltextrun"/>
                  <w:sz w:val="22"/>
                  <w:szCs w:val="22"/>
                </w:rPr>
                <w:delText>Nezahrnuje nezaslepenou indukční dávku přípravku Humira 2,4</w:delText>
              </w:r>
              <w:r w:rsidR="00F365E7" w:rsidRPr="00005EC2">
                <w:rPr>
                  <w:sz w:val="22"/>
                  <w:szCs w:val="22"/>
                </w:rPr>
                <w:delText> </w:delText>
              </w:r>
              <w:r w:rsidRPr="00FF6D96">
                <w:rPr>
                  <w:rStyle w:val="normaltextrun"/>
                  <w:sz w:val="22"/>
                  <w:szCs w:val="22"/>
                </w:rPr>
                <w:delText>mg/kg (maximální dávka 160</w:delText>
              </w:r>
              <w:r w:rsidR="00F365E7" w:rsidRPr="00005EC2">
                <w:rPr>
                  <w:sz w:val="22"/>
                  <w:szCs w:val="22"/>
                </w:rPr>
                <w:delText> </w:delText>
              </w:r>
              <w:r w:rsidRPr="00FF6D96">
                <w:rPr>
                  <w:rStyle w:val="normaltextrun"/>
                  <w:sz w:val="22"/>
                  <w:szCs w:val="22"/>
                </w:rPr>
                <w:delText>mg) v týdnech 0</w:delText>
              </w:r>
              <w:r w:rsidR="002378E0">
                <w:rPr>
                  <w:rStyle w:val="normaltextrun"/>
                  <w:sz w:val="22"/>
                  <w:szCs w:val="22"/>
                </w:rPr>
                <w:delText xml:space="preserve"> a </w:delText>
              </w:r>
              <w:r w:rsidRPr="00FF6D96">
                <w:rPr>
                  <w:rStyle w:val="normaltextrun"/>
                  <w:sz w:val="22"/>
                  <w:szCs w:val="22"/>
                </w:rPr>
                <w:delText>1</w:delText>
              </w:r>
              <w:r w:rsidR="002378E0">
                <w:rPr>
                  <w:rStyle w:val="normaltextrun"/>
                  <w:sz w:val="22"/>
                  <w:szCs w:val="22"/>
                </w:rPr>
                <w:delText xml:space="preserve"> a </w:delText>
              </w:r>
              <w:r w:rsidRPr="00FF6D96">
                <w:rPr>
                  <w:rStyle w:val="normaltextrun"/>
                  <w:sz w:val="22"/>
                  <w:szCs w:val="22"/>
                </w:rPr>
                <w:delText>1,2</w:delText>
              </w:r>
              <w:r w:rsidR="00F365E7" w:rsidRPr="00005EC2">
                <w:rPr>
                  <w:sz w:val="22"/>
                  <w:szCs w:val="22"/>
                </w:rPr>
                <w:delText> </w:delText>
              </w:r>
              <w:r w:rsidRPr="00FF6D96">
                <w:rPr>
                  <w:rStyle w:val="normaltextrun"/>
                  <w:sz w:val="22"/>
                  <w:szCs w:val="22"/>
                </w:rPr>
                <w:delText>mg/kg (maximální dávka 80</w:delText>
              </w:r>
              <w:r w:rsidR="00561F56" w:rsidRPr="00FF6D96">
                <w:rPr>
                  <w:rStyle w:val="normaltextrun"/>
                  <w:sz w:val="22"/>
                  <w:szCs w:val="22"/>
                </w:rPr>
                <w:delText> </w:delText>
              </w:r>
              <w:r w:rsidRPr="00FF6D96">
                <w:rPr>
                  <w:rStyle w:val="normaltextrun"/>
                  <w:sz w:val="22"/>
                  <w:szCs w:val="22"/>
                </w:rPr>
                <w:delText>mg) v</w:delText>
              </w:r>
              <w:r w:rsidR="00561F56" w:rsidRPr="00FF6D96">
                <w:rPr>
                  <w:rStyle w:val="normaltextrun"/>
                  <w:sz w:val="22"/>
                  <w:szCs w:val="22"/>
                </w:rPr>
                <w:delText> </w:delText>
              </w:r>
              <w:r w:rsidRPr="00FF6D96">
                <w:rPr>
                  <w:rStyle w:val="normaltextrun"/>
                  <w:sz w:val="22"/>
                  <w:szCs w:val="22"/>
                </w:rPr>
                <w:delText>týdnu 2</w:delText>
              </w:r>
            </w:del>
          </w:p>
          <w:p w14:paraId="46168A61" w14:textId="77777777" w:rsidR="000A79CD" w:rsidRPr="00FF6D96" w:rsidRDefault="00000000" w:rsidP="008401F1">
            <w:pPr>
              <w:pStyle w:val="paragraph0"/>
              <w:spacing w:before="0" w:beforeAutospacing="0" w:after="0" w:afterAutospacing="0"/>
              <w:textAlignment w:val="baseline"/>
              <w:rPr>
                <w:del w:id="7925" w:author="AbbVie1" w:date="2025-05-13T09:50:00Z"/>
                <w:sz w:val="22"/>
                <w:szCs w:val="22"/>
              </w:rPr>
            </w:pPr>
            <w:del w:id="7926" w:author="AbbVie1" w:date="2025-05-13T09:50:00Z">
              <w:r w:rsidRPr="00FF6D96">
                <w:rPr>
                  <w:rStyle w:val="normaltextrun"/>
                  <w:sz w:val="22"/>
                  <w:szCs w:val="22"/>
                </w:rPr>
                <w:delText>Pozn. 1:</w:delText>
              </w:r>
              <w:r w:rsidRPr="00FF6D96">
                <w:rPr>
                  <w:sz w:val="22"/>
                  <w:szCs w:val="22"/>
                </w:rPr>
                <w:delText xml:space="preserve"> </w:delText>
              </w:r>
              <w:r w:rsidRPr="00FF6D96">
                <w:rPr>
                  <w:rStyle w:val="normaltextrun"/>
                  <w:sz w:val="22"/>
                  <w:szCs w:val="22"/>
                </w:rPr>
                <w:delText>Obě indukční skupiny dostávaly 0,6</w:delText>
              </w:r>
              <w:r w:rsidR="00561F56" w:rsidRPr="00FF6D96">
                <w:rPr>
                  <w:rStyle w:val="normaltextrun"/>
                  <w:sz w:val="22"/>
                  <w:szCs w:val="22"/>
                </w:rPr>
                <w:delText> </w:delText>
              </w:r>
              <w:r w:rsidRPr="00FF6D96">
                <w:rPr>
                  <w:rStyle w:val="normaltextrun"/>
                  <w:sz w:val="22"/>
                  <w:szCs w:val="22"/>
                </w:rPr>
                <w:delText>mg/kg (maximální dávka 40</w:delText>
              </w:r>
              <w:r w:rsidR="00F365E7" w:rsidRPr="00005EC2">
                <w:rPr>
                  <w:sz w:val="22"/>
                  <w:szCs w:val="22"/>
                </w:rPr>
                <w:delText> </w:delText>
              </w:r>
              <w:r w:rsidRPr="00FF6D96">
                <w:rPr>
                  <w:rStyle w:val="normaltextrun"/>
                  <w:sz w:val="22"/>
                  <w:szCs w:val="22"/>
                </w:rPr>
                <w:delText>mg) v</w:delText>
              </w:r>
              <w:r w:rsidR="00561F56" w:rsidRPr="00FF6D96">
                <w:rPr>
                  <w:rStyle w:val="normaltextrun"/>
                  <w:sz w:val="22"/>
                  <w:szCs w:val="22"/>
                </w:rPr>
                <w:delText> </w:delText>
              </w:r>
              <w:r w:rsidRPr="00FF6D96">
                <w:rPr>
                  <w:rStyle w:val="normaltextrun"/>
                  <w:sz w:val="22"/>
                  <w:szCs w:val="22"/>
                </w:rPr>
                <w:delText>týdnech</w:delText>
              </w:r>
              <w:r w:rsidRPr="00FF6D96">
                <w:rPr>
                  <w:rStyle w:val="eop"/>
                  <w:sz w:val="22"/>
                  <w:szCs w:val="22"/>
                </w:rPr>
                <w:delText xml:space="preserve"> 4</w:delText>
              </w:r>
              <w:r w:rsidR="002378E0">
                <w:rPr>
                  <w:rStyle w:val="eop"/>
                  <w:sz w:val="22"/>
                  <w:szCs w:val="22"/>
                </w:rPr>
                <w:delText xml:space="preserve"> a </w:delText>
              </w:r>
              <w:r w:rsidRPr="00FF6D96">
                <w:rPr>
                  <w:rStyle w:val="eop"/>
                  <w:sz w:val="22"/>
                  <w:szCs w:val="22"/>
                </w:rPr>
                <w:delText xml:space="preserve">6 </w:delText>
              </w:r>
            </w:del>
          </w:p>
          <w:p w14:paraId="69C77292" w14:textId="77777777" w:rsidR="000A79CD" w:rsidRPr="00D01607" w:rsidRDefault="00000000" w:rsidP="008401F1">
            <w:pPr>
              <w:pStyle w:val="paragraph0"/>
              <w:spacing w:before="0" w:beforeAutospacing="0" w:after="0" w:afterAutospacing="0"/>
              <w:textAlignment w:val="baseline"/>
              <w:rPr>
                <w:del w:id="7927" w:author="AbbVie1" w:date="2025-05-13T09:50:00Z"/>
                <w:sz w:val="22"/>
                <w:szCs w:val="22"/>
              </w:rPr>
            </w:pPr>
            <w:del w:id="7928" w:author="AbbVie1" w:date="2025-05-13T09:50:00Z">
              <w:r w:rsidRPr="00FF6D96">
                <w:rPr>
                  <w:rStyle w:val="normaltextrun"/>
                  <w:sz w:val="22"/>
                  <w:szCs w:val="22"/>
                </w:rPr>
                <w:delText>Pozn. 2:</w:delText>
              </w:r>
              <w:r w:rsidRPr="00FF6D96">
                <w:rPr>
                  <w:sz w:val="22"/>
                  <w:szCs w:val="22"/>
                </w:rPr>
                <w:delText xml:space="preserve"> </w:delText>
              </w:r>
              <w:r w:rsidRPr="00FF6D96">
                <w:rPr>
                  <w:rStyle w:val="normaltextrun"/>
                  <w:sz w:val="22"/>
                  <w:szCs w:val="22"/>
                </w:rPr>
                <w:delText>Pacienti s chybějícími hodnotami v týdnu 8 byli považováni za pacienty, kteří nesplnili cílový parametr</w:delText>
              </w:r>
              <w:r>
                <w:rPr>
                  <w:rStyle w:val="eop"/>
                </w:rPr>
                <w:delText xml:space="preserve"> </w:delText>
              </w:r>
            </w:del>
          </w:p>
        </w:tc>
      </w:tr>
    </w:tbl>
    <w:p w14:paraId="7ADF89C0" w14:textId="77777777" w:rsidR="000A79CD" w:rsidRPr="00D01607" w:rsidRDefault="000A79CD" w:rsidP="000A79CD">
      <w:pPr>
        <w:rPr>
          <w:del w:id="7929" w:author="AbbVie1" w:date="2025-05-13T09:50:00Z"/>
          <w:rStyle w:val="normaltextrun"/>
          <w:shd w:val="clear" w:color="auto" w:fill="FFFFFF"/>
        </w:rPr>
      </w:pPr>
    </w:p>
    <w:p w14:paraId="6CB47DEA" w14:textId="77777777" w:rsidR="000A79CD" w:rsidRPr="00D01607" w:rsidRDefault="00000000" w:rsidP="000A79CD">
      <w:pPr>
        <w:ind w:left="0" w:firstLine="0"/>
        <w:rPr>
          <w:del w:id="7930" w:author="AbbVie1" w:date="2025-05-13T09:50:00Z"/>
        </w:rPr>
      </w:pPr>
      <w:del w:id="7931" w:author="AbbVie1" w:date="2025-05-13T09:50:00Z">
        <w:r>
          <w:rPr>
            <w:rStyle w:val="normaltextrun"/>
            <w:shd w:val="clear" w:color="auto" w:fill="FFFFFF"/>
          </w:rPr>
          <w:delText>V</w:delText>
        </w:r>
        <w:r w:rsidR="00561F56">
          <w:rPr>
            <w:rStyle w:val="normaltextrun"/>
            <w:shd w:val="clear" w:color="auto" w:fill="FFFFFF"/>
          </w:rPr>
          <w:delText> </w:delText>
        </w:r>
        <w:r>
          <w:rPr>
            <w:rStyle w:val="normaltextrun"/>
            <w:shd w:val="clear" w:color="auto" w:fill="FFFFFF"/>
          </w:rPr>
          <w:delText>týdnu 52 byly klinická remise podle FMS u pacientů s odpovědí v </w:delText>
        </w:r>
        <w:r w:rsidRPr="00BC5CBC">
          <w:rPr>
            <w:rStyle w:val="normaltextrun"/>
            <w:shd w:val="clear" w:color="auto" w:fill="FFFFFF"/>
          </w:rPr>
          <w:delText>týdnu 8</w:delText>
        </w:r>
        <w:r>
          <w:rPr>
            <w:rStyle w:val="normaltextrun"/>
            <w:shd w:val="clear" w:color="auto" w:fill="FFFFFF"/>
          </w:rPr>
          <w:delText>, klinická odpověď podle FMS (definovaná jako snížení Mayo skóre o ≥ 3 body</w:delText>
        </w:r>
        <w:r w:rsidR="002378E0">
          <w:rPr>
            <w:rStyle w:val="normaltextrun"/>
            <w:shd w:val="clear" w:color="auto" w:fill="FFFFFF"/>
          </w:rPr>
          <w:delText xml:space="preserve"> a </w:delText>
        </w:r>
        <w:r>
          <w:rPr>
            <w:rStyle w:val="normaltextrun"/>
            <w:shd w:val="clear" w:color="auto" w:fill="FFFFFF"/>
          </w:rPr>
          <w:delText>≥ 30</w:delText>
        </w:r>
        <w:r w:rsidR="00561F56">
          <w:rPr>
            <w:rStyle w:val="normaltextrun"/>
          </w:rPr>
          <w:delText> </w:delText>
        </w:r>
        <w:r>
          <w:rPr>
            <w:rStyle w:val="normaltextrun"/>
            <w:shd w:val="clear" w:color="auto" w:fill="FFFFFF"/>
          </w:rPr>
          <w:delText>% oproti výchozím hodnotám) u pacientů s odpovědí v </w:delText>
        </w:r>
        <w:r w:rsidRPr="00BC5CBC">
          <w:rPr>
            <w:rStyle w:val="normaltextrun"/>
            <w:shd w:val="clear" w:color="auto" w:fill="FFFFFF"/>
          </w:rPr>
          <w:delText>týdnu 8</w:delText>
        </w:r>
        <w:r>
          <w:rPr>
            <w:rStyle w:val="normaltextrun"/>
            <w:shd w:val="clear" w:color="auto" w:fill="FFFFFF"/>
          </w:rPr>
          <w:delText xml:space="preserve">, zhojení sliznice (definováno jako Mayo </w:delText>
        </w:r>
        <w:r w:rsidR="007A11FF">
          <w:rPr>
            <w:rStyle w:val="normaltextrun"/>
            <w:shd w:val="clear" w:color="auto" w:fill="FFFFFF"/>
          </w:rPr>
          <w:delText>pod</w:delText>
        </w:r>
        <w:r>
          <w:rPr>
            <w:rStyle w:val="normaltextrun"/>
            <w:shd w:val="clear" w:color="auto" w:fill="FFFFFF"/>
          </w:rPr>
          <w:delText>skóre endoskopie ≤ 1) u pacientů s odpovědí v </w:delText>
        </w:r>
        <w:r w:rsidRPr="00BC5CBC">
          <w:rPr>
            <w:rStyle w:val="normaltextrun"/>
            <w:shd w:val="clear" w:color="auto" w:fill="FFFFFF"/>
          </w:rPr>
          <w:delText>týdnu 8</w:delText>
        </w:r>
        <w:r>
          <w:rPr>
            <w:rStyle w:val="normaltextrun"/>
            <w:shd w:val="clear" w:color="auto" w:fill="FFFFFF"/>
          </w:rPr>
          <w:delText>, klinická remise podle FMS u pacientů s remisí v </w:delText>
        </w:r>
        <w:r w:rsidRPr="00BC5CBC">
          <w:rPr>
            <w:rStyle w:val="normaltextrun"/>
            <w:shd w:val="clear" w:color="auto" w:fill="FFFFFF"/>
          </w:rPr>
          <w:delText>týdnu 8</w:delText>
        </w:r>
        <w:r w:rsidR="002378E0">
          <w:rPr>
            <w:rStyle w:val="normaltextrun"/>
            <w:shd w:val="clear" w:color="auto" w:fill="FFFFFF"/>
          </w:rPr>
          <w:delText xml:space="preserve"> a </w:delText>
        </w:r>
        <w:r>
          <w:rPr>
            <w:rStyle w:val="normaltextrun"/>
            <w:shd w:val="clear" w:color="auto" w:fill="FFFFFF"/>
          </w:rPr>
          <w:delText>podíl subjektů v remisi bez kortikosteroidů podle FMS v </w:delText>
        </w:r>
        <w:r w:rsidRPr="00BC5CBC">
          <w:rPr>
            <w:rStyle w:val="normaltextrun"/>
            <w:shd w:val="clear" w:color="auto" w:fill="FFFFFF"/>
          </w:rPr>
          <w:delText>týdnu 8</w:delText>
        </w:r>
        <w:r>
          <w:rPr>
            <w:rStyle w:val="normaltextrun"/>
            <w:shd w:val="clear" w:color="auto" w:fill="FFFFFF"/>
          </w:rPr>
          <w:delText xml:space="preserve"> hodnoceny u pacientů, kteří dostávali přípravek Humira v dvojitě zaslepené maximální udržovací dávce 40</w:delText>
        </w:r>
        <w:r w:rsidR="00561F56">
          <w:rPr>
            <w:rStyle w:val="normaltextrun"/>
          </w:rPr>
          <w:delText> </w:delText>
        </w:r>
        <w:r>
          <w:rPr>
            <w:rStyle w:val="normaltextrun"/>
            <w:shd w:val="clear" w:color="auto" w:fill="FFFFFF"/>
          </w:rPr>
          <w:delText xml:space="preserve">mg </w:delText>
        </w:r>
        <w:r w:rsidR="00107A9D">
          <w:delText>jednou za dva týdny</w:delText>
        </w:r>
        <w:r w:rsidR="00107A9D">
          <w:rPr>
            <w:rStyle w:val="spellingerror"/>
            <w:shd w:val="clear" w:color="auto" w:fill="FFFFFF"/>
          </w:rPr>
          <w:delText xml:space="preserve"> </w:delText>
        </w:r>
        <w:r>
          <w:rPr>
            <w:rStyle w:val="normaltextrun"/>
            <w:shd w:val="clear" w:color="auto" w:fill="FFFFFF"/>
          </w:rPr>
          <w:delText>(0,6</w:delText>
        </w:r>
        <w:r w:rsidR="00561F56">
          <w:rPr>
            <w:rStyle w:val="normaltextrun"/>
          </w:rPr>
          <w:delText> </w:delText>
        </w:r>
        <w:r>
          <w:rPr>
            <w:rStyle w:val="normaltextrun"/>
            <w:shd w:val="clear" w:color="auto" w:fill="FFFFFF"/>
          </w:rPr>
          <w:delText>mg/kg)</w:delText>
        </w:r>
        <w:r w:rsidR="002378E0">
          <w:rPr>
            <w:rStyle w:val="normaltextrun"/>
            <w:shd w:val="clear" w:color="auto" w:fill="FFFFFF"/>
          </w:rPr>
          <w:delText xml:space="preserve"> a </w:delText>
        </w:r>
        <w:r>
          <w:rPr>
            <w:rStyle w:val="normaltextrun"/>
            <w:shd w:val="clear" w:color="auto" w:fill="FFFFFF"/>
          </w:rPr>
          <w:delText>maximální udržovací dávce 40</w:delText>
        </w:r>
        <w:r w:rsidR="00561F56">
          <w:rPr>
            <w:rStyle w:val="normaltextrun"/>
          </w:rPr>
          <w:delText> </w:delText>
        </w:r>
        <w:r>
          <w:rPr>
            <w:rStyle w:val="normaltextrun"/>
            <w:shd w:val="clear" w:color="auto" w:fill="FFFFFF"/>
          </w:rPr>
          <w:delText xml:space="preserve">mg </w:delText>
        </w:r>
        <w:r w:rsidR="009428F1">
          <w:rPr>
            <w:rStyle w:val="normaltextrun"/>
            <w:shd w:val="clear" w:color="auto" w:fill="FFFFFF"/>
          </w:rPr>
          <w:delText xml:space="preserve">každý týden </w:delText>
        </w:r>
        <w:r>
          <w:rPr>
            <w:rStyle w:val="normaltextrun"/>
            <w:shd w:val="clear" w:color="auto" w:fill="FFFFFF"/>
          </w:rPr>
          <w:delText>(0,6</w:delText>
        </w:r>
        <w:r w:rsidR="00561F56">
          <w:rPr>
            <w:rStyle w:val="normaltextrun"/>
          </w:rPr>
          <w:delText> </w:delText>
        </w:r>
        <w:r>
          <w:rPr>
            <w:rStyle w:val="normaltextrun"/>
            <w:shd w:val="clear" w:color="auto" w:fill="FFFFFF"/>
          </w:rPr>
          <w:delText xml:space="preserve">mg/kg) (tabulka </w:delText>
        </w:r>
        <w:r w:rsidR="00B4761D">
          <w:rPr>
            <w:rStyle w:val="normaltextrun"/>
            <w:shd w:val="clear" w:color="auto" w:fill="FFFFFF"/>
          </w:rPr>
          <w:delText>3</w:delText>
        </w:r>
        <w:r>
          <w:rPr>
            <w:rStyle w:val="normaltextrun"/>
            <w:shd w:val="clear" w:color="auto" w:fill="FFFFFF"/>
          </w:rPr>
          <w:delText>2).</w:delText>
        </w:r>
      </w:del>
    </w:p>
    <w:p w14:paraId="634F5AE3" w14:textId="77777777" w:rsidR="000A79CD" w:rsidRPr="00D01607" w:rsidRDefault="000A79CD" w:rsidP="000A79CD">
      <w:pPr>
        <w:rPr>
          <w:del w:id="7932" w:author="AbbVie1" w:date="2025-05-13T09:50:00Z"/>
        </w:rPr>
      </w:pPr>
    </w:p>
    <w:p w14:paraId="765EB16B" w14:textId="77777777" w:rsidR="000A79CD" w:rsidRPr="00D01607" w:rsidRDefault="00000000" w:rsidP="008102BE">
      <w:pPr>
        <w:keepNext/>
        <w:ind w:left="0" w:firstLine="0"/>
        <w:jc w:val="center"/>
        <w:textAlignment w:val="baseline"/>
        <w:rPr>
          <w:del w:id="7933" w:author="AbbVie1" w:date="2025-05-13T09:50:00Z"/>
        </w:rPr>
      </w:pPr>
      <w:del w:id="7934" w:author="AbbVie1" w:date="2025-05-13T09:50:00Z">
        <w:r>
          <w:rPr>
            <w:b/>
          </w:rPr>
          <w:delText xml:space="preserve">Tabulka </w:delText>
        </w:r>
        <w:r w:rsidR="00977638">
          <w:rPr>
            <w:b/>
          </w:rPr>
          <w:delText>3</w:delText>
        </w:r>
        <w:r>
          <w:rPr>
            <w:b/>
          </w:rPr>
          <w:delText>2:</w:delText>
        </w:r>
        <w:r>
          <w:delText xml:space="preserve"> </w:delText>
        </w:r>
        <w:r>
          <w:rPr>
            <w:b/>
          </w:rPr>
          <w:delText>Výsledky účinnosti po 52 týdnech</w:delText>
        </w:r>
      </w:del>
    </w:p>
    <w:p w14:paraId="29C958D9" w14:textId="77777777" w:rsidR="000A79CD" w:rsidRPr="00D01607" w:rsidRDefault="000A79CD" w:rsidP="008102BE">
      <w:pPr>
        <w:keepNext/>
        <w:ind w:left="0" w:firstLine="0"/>
        <w:jc w:val="center"/>
        <w:textAlignment w:val="baseline"/>
        <w:rPr>
          <w:del w:id="7935" w:author="AbbVie1" w:date="2025-05-13T09:50:00Z"/>
          <w:lang w:eastAsia="en-GB"/>
        </w:rPr>
      </w:pP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7"/>
        <w:gridCol w:w="2904"/>
        <w:gridCol w:w="2904"/>
      </w:tblGrid>
      <w:tr w:rsidR="00534A2D" w14:paraId="555224F8" w14:textId="77777777" w:rsidTr="007714F6">
        <w:trPr>
          <w:trHeight w:val="912"/>
          <w:jc w:val="center"/>
          <w:del w:id="7936" w:author="AbbVie1" w:date="2025-05-13T09:50:00Z"/>
        </w:trPr>
        <w:tc>
          <w:tcPr>
            <w:tcW w:w="3247" w:type="dxa"/>
            <w:tcBorders>
              <w:top w:val="single" w:sz="6" w:space="0" w:color="auto"/>
              <w:left w:val="single" w:sz="6" w:space="0" w:color="auto"/>
              <w:bottom w:val="single" w:sz="6" w:space="0" w:color="auto"/>
              <w:right w:val="single" w:sz="6" w:space="0" w:color="auto"/>
            </w:tcBorders>
            <w:shd w:val="clear" w:color="auto" w:fill="auto"/>
            <w:hideMark/>
          </w:tcPr>
          <w:p w14:paraId="2C6243CA" w14:textId="77777777" w:rsidR="000A79CD" w:rsidRPr="00D01607" w:rsidRDefault="000A79CD" w:rsidP="008401F1">
            <w:pPr>
              <w:jc w:val="center"/>
              <w:textAlignment w:val="baseline"/>
              <w:rPr>
                <w:del w:id="7937" w:author="AbbVie1" w:date="2025-05-13T09:50:00Z"/>
                <w:lang w:eastAsia="en-GB"/>
              </w:rPr>
            </w:pPr>
          </w:p>
        </w:tc>
        <w:tc>
          <w:tcPr>
            <w:tcW w:w="2904" w:type="dxa"/>
            <w:tcBorders>
              <w:top w:val="single" w:sz="6" w:space="0" w:color="auto"/>
              <w:left w:val="nil"/>
              <w:bottom w:val="single" w:sz="6" w:space="0" w:color="auto"/>
              <w:right w:val="single" w:sz="6" w:space="0" w:color="auto"/>
            </w:tcBorders>
            <w:shd w:val="clear" w:color="auto" w:fill="auto"/>
            <w:vAlign w:val="center"/>
            <w:hideMark/>
          </w:tcPr>
          <w:p w14:paraId="50CF76BF" w14:textId="77777777" w:rsidR="000A79CD" w:rsidRPr="00D01607" w:rsidRDefault="00000000" w:rsidP="00ED5CFE">
            <w:pPr>
              <w:ind w:left="0" w:firstLine="0"/>
              <w:jc w:val="center"/>
              <w:textAlignment w:val="baseline"/>
              <w:rPr>
                <w:del w:id="7938" w:author="AbbVie1" w:date="2025-05-13T09:50:00Z"/>
              </w:rPr>
            </w:pPr>
            <w:del w:id="7939" w:author="AbbVie1" w:date="2025-05-13T09:50:00Z">
              <w:r>
                <w:rPr>
                  <w:b/>
                </w:rPr>
                <w:delText>Humira</w:delText>
              </w:r>
              <w:r>
                <w:rPr>
                  <w:b/>
                  <w:vertAlign w:val="superscript"/>
                </w:rPr>
                <w:delText>a</w:delText>
              </w:r>
            </w:del>
          </w:p>
          <w:p w14:paraId="420B5979" w14:textId="77777777" w:rsidR="000A79CD" w:rsidRPr="00D01607" w:rsidRDefault="00000000" w:rsidP="00ED5CFE">
            <w:pPr>
              <w:ind w:left="0" w:firstLine="0"/>
              <w:jc w:val="center"/>
              <w:textAlignment w:val="baseline"/>
              <w:rPr>
                <w:del w:id="7940" w:author="AbbVie1" w:date="2025-05-13T09:50:00Z"/>
              </w:rPr>
            </w:pPr>
            <w:del w:id="7941" w:author="AbbVie1" w:date="2025-05-13T09:50:00Z">
              <w:r>
                <w:rPr>
                  <w:b/>
                </w:rPr>
                <w:delText>Maximálně 40</w:delText>
              </w:r>
              <w:r w:rsidR="00F365E7" w:rsidRPr="00005EC2">
                <w:rPr>
                  <w:szCs w:val="22"/>
                </w:rPr>
                <w:delText> </w:delText>
              </w:r>
              <w:r>
                <w:rPr>
                  <w:b/>
                </w:rPr>
                <w:delText>mg</w:delText>
              </w:r>
              <w:r>
                <w:delText xml:space="preserve"> </w:delText>
              </w:r>
              <w:r>
                <w:rPr>
                  <w:b/>
                </w:rPr>
                <w:delText>jednou za dva týdny</w:delText>
              </w:r>
              <w:r>
                <w:delText> </w:delText>
              </w:r>
            </w:del>
          </w:p>
          <w:p w14:paraId="487459DD" w14:textId="77777777" w:rsidR="000A79CD" w:rsidRPr="00D01607" w:rsidRDefault="00000000" w:rsidP="00ED5CFE">
            <w:pPr>
              <w:ind w:left="0" w:firstLine="0"/>
              <w:jc w:val="center"/>
              <w:textAlignment w:val="baseline"/>
              <w:rPr>
                <w:del w:id="7942" w:author="AbbVie1" w:date="2025-05-13T09:50:00Z"/>
              </w:rPr>
            </w:pPr>
            <w:del w:id="7943" w:author="AbbVie1" w:date="2025-05-13T09:50:00Z">
              <w:r>
                <w:delText>n=31</w:delText>
              </w:r>
            </w:del>
          </w:p>
        </w:tc>
        <w:tc>
          <w:tcPr>
            <w:tcW w:w="2904" w:type="dxa"/>
            <w:tcBorders>
              <w:top w:val="single" w:sz="6" w:space="0" w:color="auto"/>
              <w:left w:val="nil"/>
              <w:bottom w:val="single" w:sz="6" w:space="0" w:color="auto"/>
              <w:right w:val="single" w:sz="6" w:space="0" w:color="auto"/>
            </w:tcBorders>
            <w:shd w:val="clear" w:color="auto" w:fill="auto"/>
            <w:vAlign w:val="center"/>
            <w:hideMark/>
          </w:tcPr>
          <w:p w14:paraId="32A84422" w14:textId="77777777" w:rsidR="000A79CD" w:rsidRPr="00D01607" w:rsidRDefault="00000000" w:rsidP="00ED5CFE">
            <w:pPr>
              <w:ind w:left="0" w:firstLine="0"/>
              <w:jc w:val="center"/>
              <w:textAlignment w:val="baseline"/>
              <w:rPr>
                <w:del w:id="7944" w:author="AbbVie1" w:date="2025-05-13T09:50:00Z"/>
              </w:rPr>
            </w:pPr>
            <w:del w:id="7945" w:author="AbbVie1" w:date="2025-05-13T09:50:00Z">
              <w:r>
                <w:rPr>
                  <w:b/>
                </w:rPr>
                <w:delText>Humira</w:delText>
              </w:r>
              <w:r>
                <w:rPr>
                  <w:b/>
                  <w:vertAlign w:val="superscript"/>
                </w:rPr>
                <w:delText>b</w:delText>
              </w:r>
            </w:del>
          </w:p>
          <w:p w14:paraId="7C4AA5D0" w14:textId="77777777" w:rsidR="000A79CD" w:rsidRPr="00D01607" w:rsidRDefault="00000000" w:rsidP="00ED5CFE">
            <w:pPr>
              <w:ind w:left="0" w:firstLine="0"/>
              <w:jc w:val="center"/>
              <w:textAlignment w:val="baseline"/>
              <w:rPr>
                <w:del w:id="7946" w:author="AbbVie1" w:date="2025-05-13T09:50:00Z"/>
              </w:rPr>
            </w:pPr>
            <w:del w:id="7947" w:author="AbbVie1" w:date="2025-05-13T09:50:00Z">
              <w:r>
                <w:rPr>
                  <w:b/>
                </w:rPr>
                <w:delText>Maximálně 40</w:delText>
              </w:r>
              <w:r w:rsidR="00F365E7" w:rsidRPr="00005EC2">
                <w:rPr>
                  <w:szCs w:val="22"/>
                </w:rPr>
                <w:delText> </w:delText>
              </w:r>
              <w:r>
                <w:rPr>
                  <w:b/>
                </w:rPr>
                <w:delText>mg</w:delText>
              </w:r>
              <w:r>
                <w:delText xml:space="preserve"> </w:delText>
              </w:r>
              <w:r>
                <w:rPr>
                  <w:b/>
                </w:rPr>
                <w:delText>jednou týdně</w:delText>
              </w:r>
              <w:r>
                <w:delText> </w:delText>
              </w:r>
            </w:del>
          </w:p>
          <w:p w14:paraId="56C8181E" w14:textId="77777777" w:rsidR="000A79CD" w:rsidRPr="00D01607" w:rsidRDefault="00000000" w:rsidP="00ED5CFE">
            <w:pPr>
              <w:ind w:left="0" w:firstLine="0"/>
              <w:jc w:val="center"/>
              <w:textAlignment w:val="baseline"/>
              <w:rPr>
                <w:del w:id="7948" w:author="AbbVie1" w:date="2025-05-13T09:50:00Z"/>
              </w:rPr>
            </w:pPr>
            <w:del w:id="7949" w:author="AbbVie1" w:date="2025-05-13T09:50:00Z">
              <w:r>
                <w:delText>n=31</w:delText>
              </w:r>
            </w:del>
          </w:p>
        </w:tc>
      </w:tr>
      <w:tr w:rsidR="00534A2D" w14:paraId="78D329A0" w14:textId="77777777" w:rsidTr="007714F6">
        <w:trPr>
          <w:trHeight w:val="570"/>
          <w:jc w:val="center"/>
          <w:del w:id="7950" w:author="AbbVie1" w:date="2025-05-13T09:50:00Z"/>
        </w:trPr>
        <w:tc>
          <w:tcPr>
            <w:tcW w:w="3247" w:type="dxa"/>
            <w:tcBorders>
              <w:top w:val="nil"/>
              <w:left w:val="single" w:sz="6" w:space="0" w:color="auto"/>
              <w:bottom w:val="single" w:sz="6" w:space="0" w:color="auto"/>
              <w:right w:val="single" w:sz="6" w:space="0" w:color="auto"/>
            </w:tcBorders>
            <w:shd w:val="clear" w:color="auto" w:fill="auto"/>
            <w:vAlign w:val="center"/>
            <w:hideMark/>
          </w:tcPr>
          <w:p w14:paraId="4B61116A" w14:textId="77777777" w:rsidR="000A79CD" w:rsidRPr="00D01607" w:rsidRDefault="00000000" w:rsidP="008401F1">
            <w:pPr>
              <w:ind w:left="130" w:firstLine="0"/>
              <w:textAlignment w:val="baseline"/>
              <w:rPr>
                <w:del w:id="7951" w:author="AbbVie1" w:date="2025-05-13T09:50:00Z"/>
              </w:rPr>
            </w:pPr>
            <w:del w:id="7952" w:author="AbbVie1" w:date="2025-05-13T09:50:00Z">
              <w:r>
                <w:delText>Klinická remise u pacientů s odpovědí s PMS v </w:delText>
              </w:r>
              <w:r w:rsidRPr="00BC5CBC">
                <w:delText>týdnu 8</w:delText>
              </w:r>
              <w:r>
                <w:delText> </w:delText>
              </w:r>
            </w:del>
          </w:p>
        </w:tc>
        <w:tc>
          <w:tcPr>
            <w:tcW w:w="2904" w:type="dxa"/>
            <w:tcBorders>
              <w:top w:val="nil"/>
              <w:left w:val="nil"/>
              <w:bottom w:val="single" w:sz="6" w:space="0" w:color="auto"/>
              <w:right w:val="single" w:sz="6" w:space="0" w:color="auto"/>
            </w:tcBorders>
            <w:shd w:val="clear" w:color="auto" w:fill="auto"/>
            <w:vAlign w:val="center"/>
            <w:hideMark/>
          </w:tcPr>
          <w:p w14:paraId="65E5E8BF" w14:textId="77777777" w:rsidR="000A79CD" w:rsidRPr="00D01607" w:rsidRDefault="00000000" w:rsidP="008401F1">
            <w:pPr>
              <w:jc w:val="center"/>
              <w:textAlignment w:val="baseline"/>
              <w:rPr>
                <w:del w:id="7953" w:author="AbbVie1" w:date="2025-05-13T09:50:00Z"/>
              </w:rPr>
            </w:pPr>
            <w:del w:id="7954" w:author="AbbVie1" w:date="2025-05-13T09:50:00Z">
              <w:r>
                <w:delText>9/31 (29,0 %) </w:delText>
              </w:r>
            </w:del>
          </w:p>
        </w:tc>
        <w:tc>
          <w:tcPr>
            <w:tcW w:w="2904" w:type="dxa"/>
            <w:tcBorders>
              <w:top w:val="nil"/>
              <w:left w:val="nil"/>
              <w:bottom w:val="single" w:sz="6" w:space="0" w:color="auto"/>
              <w:right w:val="single" w:sz="6" w:space="0" w:color="auto"/>
            </w:tcBorders>
            <w:shd w:val="clear" w:color="auto" w:fill="auto"/>
            <w:vAlign w:val="center"/>
            <w:hideMark/>
          </w:tcPr>
          <w:p w14:paraId="401ECE0A" w14:textId="77777777" w:rsidR="000A79CD" w:rsidRPr="00D01607" w:rsidRDefault="00000000" w:rsidP="008401F1">
            <w:pPr>
              <w:jc w:val="center"/>
              <w:textAlignment w:val="baseline"/>
              <w:rPr>
                <w:del w:id="7955" w:author="AbbVie1" w:date="2025-05-13T09:50:00Z"/>
              </w:rPr>
            </w:pPr>
            <w:del w:id="7956" w:author="AbbVie1" w:date="2025-05-13T09:50:00Z">
              <w:r>
                <w:delText>14/31 (45,2 %)</w:delText>
              </w:r>
            </w:del>
          </w:p>
        </w:tc>
      </w:tr>
      <w:tr w:rsidR="00534A2D" w14:paraId="3B7620B4" w14:textId="77777777" w:rsidTr="007714F6">
        <w:trPr>
          <w:trHeight w:val="555"/>
          <w:jc w:val="center"/>
          <w:del w:id="7957" w:author="AbbVie1" w:date="2025-05-13T09:50:00Z"/>
        </w:trPr>
        <w:tc>
          <w:tcPr>
            <w:tcW w:w="3247" w:type="dxa"/>
            <w:tcBorders>
              <w:top w:val="nil"/>
              <w:left w:val="single" w:sz="6" w:space="0" w:color="auto"/>
              <w:bottom w:val="single" w:sz="6" w:space="0" w:color="auto"/>
              <w:right w:val="single" w:sz="6" w:space="0" w:color="auto"/>
            </w:tcBorders>
            <w:shd w:val="clear" w:color="auto" w:fill="auto"/>
            <w:vAlign w:val="center"/>
            <w:hideMark/>
          </w:tcPr>
          <w:p w14:paraId="57F0D0B7" w14:textId="77777777" w:rsidR="000A79CD" w:rsidRPr="00D01607" w:rsidRDefault="00000000" w:rsidP="008401F1">
            <w:pPr>
              <w:ind w:left="130" w:firstLine="0"/>
              <w:textAlignment w:val="baseline"/>
              <w:rPr>
                <w:del w:id="7958" w:author="AbbVie1" w:date="2025-05-13T09:50:00Z"/>
              </w:rPr>
            </w:pPr>
            <w:del w:id="7959" w:author="AbbVie1" w:date="2025-05-13T09:50:00Z">
              <w:r>
                <w:delText>Klinická odpověď u pacientů s odpovědí s PMS v </w:delText>
              </w:r>
              <w:r w:rsidRPr="00BC5CBC">
                <w:delText>týdnu 8</w:delText>
              </w:r>
              <w:r>
                <w:delText> </w:delText>
              </w:r>
            </w:del>
          </w:p>
        </w:tc>
        <w:tc>
          <w:tcPr>
            <w:tcW w:w="2904" w:type="dxa"/>
            <w:tcBorders>
              <w:top w:val="nil"/>
              <w:left w:val="nil"/>
              <w:bottom w:val="single" w:sz="6" w:space="0" w:color="auto"/>
              <w:right w:val="single" w:sz="6" w:space="0" w:color="auto"/>
            </w:tcBorders>
            <w:shd w:val="clear" w:color="auto" w:fill="auto"/>
            <w:vAlign w:val="center"/>
            <w:hideMark/>
          </w:tcPr>
          <w:p w14:paraId="4C83E468" w14:textId="77777777" w:rsidR="000A79CD" w:rsidRPr="00D01607" w:rsidRDefault="00000000" w:rsidP="008401F1">
            <w:pPr>
              <w:jc w:val="center"/>
              <w:textAlignment w:val="baseline"/>
              <w:rPr>
                <w:del w:id="7960" w:author="AbbVie1" w:date="2025-05-13T09:50:00Z"/>
              </w:rPr>
            </w:pPr>
            <w:del w:id="7961" w:author="AbbVie1" w:date="2025-05-13T09:50:00Z">
              <w:r>
                <w:delText>19/31 (61,3 %) </w:delText>
              </w:r>
            </w:del>
          </w:p>
        </w:tc>
        <w:tc>
          <w:tcPr>
            <w:tcW w:w="2904" w:type="dxa"/>
            <w:tcBorders>
              <w:top w:val="nil"/>
              <w:left w:val="nil"/>
              <w:bottom w:val="single" w:sz="6" w:space="0" w:color="auto"/>
              <w:right w:val="single" w:sz="6" w:space="0" w:color="auto"/>
            </w:tcBorders>
            <w:shd w:val="clear" w:color="auto" w:fill="auto"/>
            <w:vAlign w:val="center"/>
            <w:hideMark/>
          </w:tcPr>
          <w:p w14:paraId="7ADE4125" w14:textId="77777777" w:rsidR="000A79CD" w:rsidRPr="00D01607" w:rsidRDefault="00000000" w:rsidP="008401F1">
            <w:pPr>
              <w:jc w:val="center"/>
              <w:textAlignment w:val="baseline"/>
              <w:rPr>
                <w:del w:id="7962" w:author="AbbVie1" w:date="2025-05-13T09:50:00Z"/>
              </w:rPr>
            </w:pPr>
            <w:del w:id="7963" w:author="AbbVie1" w:date="2025-05-13T09:50:00Z">
              <w:r>
                <w:delText>21/31 (67,7 %) </w:delText>
              </w:r>
            </w:del>
          </w:p>
        </w:tc>
      </w:tr>
      <w:tr w:rsidR="00534A2D" w14:paraId="59F9037E" w14:textId="77777777" w:rsidTr="007714F6">
        <w:trPr>
          <w:jc w:val="center"/>
          <w:del w:id="7964" w:author="AbbVie1" w:date="2025-05-13T09:50:00Z"/>
        </w:trPr>
        <w:tc>
          <w:tcPr>
            <w:tcW w:w="3247" w:type="dxa"/>
            <w:tcBorders>
              <w:top w:val="nil"/>
              <w:left w:val="single" w:sz="6" w:space="0" w:color="auto"/>
              <w:bottom w:val="single" w:sz="6" w:space="0" w:color="auto"/>
              <w:right w:val="single" w:sz="6" w:space="0" w:color="auto"/>
            </w:tcBorders>
            <w:shd w:val="clear" w:color="auto" w:fill="auto"/>
            <w:vAlign w:val="center"/>
            <w:hideMark/>
          </w:tcPr>
          <w:p w14:paraId="3DD16166" w14:textId="77777777" w:rsidR="000A79CD" w:rsidRPr="00D01607" w:rsidRDefault="00000000" w:rsidP="008401F1">
            <w:pPr>
              <w:ind w:left="130" w:firstLine="0"/>
              <w:textAlignment w:val="baseline"/>
              <w:rPr>
                <w:del w:id="7965" w:author="AbbVie1" w:date="2025-05-13T09:50:00Z"/>
              </w:rPr>
            </w:pPr>
            <w:del w:id="7966" w:author="AbbVie1" w:date="2025-05-13T09:50:00Z">
              <w:r>
                <w:delText>Zhojení sliznice u pacientů s odpovědí s PMS v </w:delText>
              </w:r>
              <w:r w:rsidRPr="00BC5CBC">
                <w:delText>týdnu 8</w:delText>
              </w:r>
              <w:r>
                <w:delText> </w:delText>
              </w:r>
            </w:del>
          </w:p>
        </w:tc>
        <w:tc>
          <w:tcPr>
            <w:tcW w:w="2904" w:type="dxa"/>
            <w:tcBorders>
              <w:top w:val="nil"/>
              <w:left w:val="nil"/>
              <w:bottom w:val="single" w:sz="6" w:space="0" w:color="auto"/>
              <w:right w:val="single" w:sz="6" w:space="0" w:color="auto"/>
            </w:tcBorders>
            <w:shd w:val="clear" w:color="auto" w:fill="auto"/>
            <w:vAlign w:val="center"/>
            <w:hideMark/>
          </w:tcPr>
          <w:p w14:paraId="24924EE3" w14:textId="77777777" w:rsidR="000A79CD" w:rsidRPr="00D01607" w:rsidRDefault="00000000" w:rsidP="008401F1">
            <w:pPr>
              <w:jc w:val="center"/>
              <w:textAlignment w:val="baseline"/>
              <w:rPr>
                <w:del w:id="7967" w:author="AbbVie1" w:date="2025-05-13T09:50:00Z"/>
              </w:rPr>
            </w:pPr>
            <w:del w:id="7968" w:author="AbbVie1" w:date="2025-05-13T09:50:00Z">
              <w:r>
                <w:delText>12/31 (38,7 %) </w:delText>
              </w:r>
            </w:del>
          </w:p>
        </w:tc>
        <w:tc>
          <w:tcPr>
            <w:tcW w:w="2904" w:type="dxa"/>
            <w:tcBorders>
              <w:top w:val="nil"/>
              <w:left w:val="nil"/>
              <w:bottom w:val="single" w:sz="6" w:space="0" w:color="auto"/>
              <w:right w:val="single" w:sz="6" w:space="0" w:color="auto"/>
            </w:tcBorders>
            <w:shd w:val="clear" w:color="auto" w:fill="auto"/>
            <w:vAlign w:val="center"/>
            <w:hideMark/>
          </w:tcPr>
          <w:p w14:paraId="1BE92339" w14:textId="77777777" w:rsidR="000A79CD" w:rsidRPr="00D01607" w:rsidRDefault="00000000" w:rsidP="008401F1">
            <w:pPr>
              <w:jc w:val="center"/>
              <w:textAlignment w:val="baseline"/>
              <w:rPr>
                <w:del w:id="7969" w:author="AbbVie1" w:date="2025-05-13T09:50:00Z"/>
              </w:rPr>
            </w:pPr>
            <w:del w:id="7970" w:author="AbbVie1" w:date="2025-05-13T09:50:00Z">
              <w:r>
                <w:delText>16/31 (51,6 %) </w:delText>
              </w:r>
            </w:del>
          </w:p>
        </w:tc>
      </w:tr>
      <w:tr w:rsidR="00534A2D" w14:paraId="569B128C" w14:textId="77777777" w:rsidTr="007714F6">
        <w:trPr>
          <w:jc w:val="center"/>
          <w:del w:id="7971" w:author="AbbVie1" w:date="2025-05-13T09:50:00Z"/>
        </w:trPr>
        <w:tc>
          <w:tcPr>
            <w:tcW w:w="3247" w:type="dxa"/>
            <w:tcBorders>
              <w:top w:val="nil"/>
              <w:left w:val="single" w:sz="6" w:space="0" w:color="auto"/>
              <w:bottom w:val="single" w:sz="6" w:space="0" w:color="auto"/>
              <w:right w:val="single" w:sz="6" w:space="0" w:color="auto"/>
            </w:tcBorders>
            <w:shd w:val="clear" w:color="auto" w:fill="auto"/>
            <w:vAlign w:val="center"/>
            <w:hideMark/>
          </w:tcPr>
          <w:p w14:paraId="4107E50C" w14:textId="77777777" w:rsidR="000A79CD" w:rsidRPr="00D01607" w:rsidRDefault="00000000" w:rsidP="008401F1">
            <w:pPr>
              <w:ind w:left="130" w:firstLine="0"/>
              <w:textAlignment w:val="baseline"/>
              <w:rPr>
                <w:del w:id="7972" w:author="AbbVie1" w:date="2025-05-13T09:50:00Z"/>
              </w:rPr>
            </w:pPr>
            <w:del w:id="7973" w:author="AbbVie1" w:date="2025-05-13T09:50:00Z">
              <w:r>
                <w:delText>Klinická remise u pacientů s remisí s PMS v </w:delText>
              </w:r>
              <w:r w:rsidRPr="00BC5CBC">
                <w:delText>týdnu 8</w:delText>
              </w:r>
              <w:r>
                <w:delText> </w:delText>
              </w:r>
            </w:del>
          </w:p>
        </w:tc>
        <w:tc>
          <w:tcPr>
            <w:tcW w:w="2904" w:type="dxa"/>
            <w:tcBorders>
              <w:top w:val="nil"/>
              <w:left w:val="nil"/>
              <w:bottom w:val="single" w:sz="6" w:space="0" w:color="auto"/>
              <w:right w:val="single" w:sz="6" w:space="0" w:color="auto"/>
            </w:tcBorders>
            <w:shd w:val="clear" w:color="auto" w:fill="auto"/>
            <w:vAlign w:val="center"/>
            <w:hideMark/>
          </w:tcPr>
          <w:p w14:paraId="66EAC2E4" w14:textId="77777777" w:rsidR="000A79CD" w:rsidRPr="00D01607" w:rsidRDefault="00000000" w:rsidP="008401F1">
            <w:pPr>
              <w:jc w:val="center"/>
              <w:textAlignment w:val="baseline"/>
              <w:rPr>
                <w:del w:id="7974" w:author="AbbVie1" w:date="2025-05-13T09:50:00Z"/>
              </w:rPr>
            </w:pPr>
            <w:del w:id="7975" w:author="AbbVie1" w:date="2025-05-13T09:50:00Z">
              <w:r>
                <w:delText>9/21 (42,9 %) </w:delText>
              </w:r>
            </w:del>
          </w:p>
        </w:tc>
        <w:tc>
          <w:tcPr>
            <w:tcW w:w="2904" w:type="dxa"/>
            <w:tcBorders>
              <w:top w:val="nil"/>
              <w:left w:val="nil"/>
              <w:bottom w:val="single" w:sz="6" w:space="0" w:color="auto"/>
              <w:right w:val="single" w:sz="6" w:space="0" w:color="auto"/>
            </w:tcBorders>
            <w:shd w:val="clear" w:color="auto" w:fill="auto"/>
            <w:vAlign w:val="center"/>
            <w:hideMark/>
          </w:tcPr>
          <w:p w14:paraId="5743943F" w14:textId="77777777" w:rsidR="000A79CD" w:rsidRPr="00D01607" w:rsidRDefault="00000000" w:rsidP="008401F1">
            <w:pPr>
              <w:jc w:val="center"/>
              <w:textAlignment w:val="baseline"/>
              <w:rPr>
                <w:del w:id="7976" w:author="AbbVie1" w:date="2025-05-13T09:50:00Z"/>
              </w:rPr>
            </w:pPr>
            <w:del w:id="7977" w:author="AbbVie1" w:date="2025-05-13T09:50:00Z">
              <w:r>
                <w:delText>10/22 (45,5 %) </w:delText>
              </w:r>
            </w:del>
          </w:p>
        </w:tc>
      </w:tr>
      <w:tr w:rsidR="00534A2D" w14:paraId="2E23125F" w14:textId="77777777" w:rsidTr="007714F6">
        <w:trPr>
          <w:jc w:val="center"/>
          <w:del w:id="7978" w:author="AbbVie1" w:date="2025-05-13T09:50:00Z"/>
        </w:trPr>
        <w:tc>
          <w:tcPr>
            <w:tcW w:w="3247" w:type="dxa"/>
            <w:tcBorders>
              <w:top w:val="nil"/>
              <w:left w:val="single" w:sz="6" w:space="0" w:color="auto"/>
              <w:bottom w:val="single" w:sz="6" w:space="0" w:color="auto"/>
              <w:right w:val="single" w:sz="6" w:space="0" w:color="auto"/>
            </w:tcBorders>
            <w:shd w:val="clear" w:color="auto" w:fill="auto"/>
            <w:vAlign w:val="center"/>
            <w:hideMark/>
          </w:tcPr>
          <w:p w14:paraId="162360A6" w14:textId="77777777" w:rsidR="000A79CD" w:rsidRPr="00D01607" w:rsidRDefault="00000000" w:rsidP="008401F1">
            <w:pPr>
              <w:ind w:left="130" w:firstLine="0"/>
              <w:textAlignment w:val="baseline"/>
              <w:rPr>
                <w:del w:id="7979" w:author="AbbVie1" w:date="2025-05-13T09:50:00Z"/>
              </w:rPr>
            </w:pPr>
            <w:del w:id="7980" w:author="AbbVie1" w:date="2025-05-13T09:50:00Z">
              <w:r>
                <w:delText>Remise bez kortikosteroidů v </w:delText>
              </w:r>
              <w:r w:rsidRPr="00BC5CBC">
                <w:delText>týdnu 8</w:delText>
              </w:r>
              <w:r>
                <w:delText xml:space="preserve"> u pacientů s odpovědí s PMS </w:delText>
              </w:r>
              <w:r>
                <w:rPr>
                  <w:vertAlign w:val="superscript"/>
                </w:rPr>
                <w:delText>c</w:delText>
              </w:r>
            </w:del>
          </w:p>
        </w:tc>
        <w:tc>
          <w:tcPr>
            <w:tcW w:w="2904" w:type="dxa"/>
            <w:tcBorders>
              <w:top w:val="nil"/>
              <w:left w:val="nil"/>
              <w:bottom w:val="single" w:sz="6" w:space="0" w:color="auto"/>
              <w:right w:val="single" w:sz="6" w:space="0" w:color="auto"/>
            </w:tcBorders>
            <w:shd w:val="clear" w:color="auto" w:fill="auto"/>
            <w:vAlign w:val="center"/>
            <w:hideMark/>
          </w:tcPr>
          <w:p w14:paraId="663F8756" w14:textId="77777777" w:rsidR="000A79CD" w:rsidRPr="00D01607" w:rsidRDefault="00000000" w:rsidP="008401F1">
            <w:pPr>
              <w:jc w:val="center"/>
              <w:textAlignment w:val="baseline"/>
              <w:rPr>
                <w:del w:id="7981" w:author="AbbVie1" w:date="2025-05-13T09:50:00Z"/>
              </w:rPr>
            </w:pPr>
            <w:del w:id="7982" w:author="AbbVie1" w:date="2025-05-13T09:50:00Z">
              <w:r>
                <w:delText>4/13 (30,8 %) </w:delText>
              </w:r>
            </w:del>
          </w:p>
        </w:tc>
        <w:tc>
          <w:tcPr>
            <w:tcW w:w="2904" w:type="dxa"/>
            <w:tcBorders>
              <w:top w:val="nil"/>
              <w:left w:val="nil"/>
              <w:bottom w:val="single" w:sz="6" w:space="0" w:color="auto"/>
              <w:right w:val="single" w:sz="6" w:space="0" w:color="auto"/>
            </w:tcBorders>
            <w:shd w:val="clear" w:color="auto" w:fill="auto"/>
            <w:vAlign w:val="center"/>
            <w:hideMark/>
          </w:tcPr>
          <w:p w14:paraId="2E37CF93" w14:textId="77777777" w:rsidR="000A79CD" w:rsidRPr="00D01607" w:rsidRDefault="00000000" w:rsidP="008401F1">
            <w:pPr>
              <w:jc w:val="center"/>
              <w:textAlignment w:val="baseline"/>
              <w:rPr>
                <w:del w:id="7983" w:author="AbbVie1" w:date="2025-05-13T09:50:00Z"/>
              </w:rPr>
            </w:pPr>
            <w:del w:id="7984" w:author="AbbVie1" w:date="2025-05-13T09:50:00Z">
              <w:r>
                <w:delText>5/16 (31,3 %) </w:delText>
              </w:r>
            </w:del>
          </w:p>
        </w:tc>
      </w:tr>
      <w:tr w:rsidR="00534A2D" w14:paraId="44DABD35" w14:textId="77777777" w:rsidTr="007714F6">
        <w:trPr>
          <w:jc w:val="center"/>
          <w:del w:id="7985" w:author="AbbVie1" w:date="2025-05-13T09:50:00Z"/>
        </w:trPr>
        <w:tc>
          <w:tcPr>
            <w:tcW w:w="9055" w:type="dxa"/>
            <w:gridSpan w:val="3"/>
            <w:tcBorders>
              <w:top w:val="nil"/>
              <w:left w:val="single" w:sz="6" w:space="0" w:color="auto"/>
              <w:bottom w:val="single" w:sz="6" w:space="0" w:color="auto"/>
              <w:right w:val="single" w:sz="6" w:space="0" w:color="auto"/>
            </w:tcBorders>
            <w:shd w:val="clear" w:color="auto" w:fill="auto"/>
            <w:hideMark/>
          </w:tcPr>
          <w:p w14:paraId="1284836E" w14:textId="77777777" w:rsidR="000A79CD" w:rsidRPr="00D01607" w:rsidRDefault="00000000" w:rsidP="008401F1">
            <w:pPr>
              <w:textAlignment w:val="baseline"/>
              <w:rPr>
                <w:del w:id="7986" w:author="AbbVie1" w:date="2025-05-13T09:50:00Z"/>
              </w:rPr>
            </w:pPr>
            <w:del w:id="7987" w:author="AbbVie1" w:date="2025-05-13T09:50:00Z">
              <w:r>
                <w:rPr>
                  <w:vertAlign w:val="superscript"/>
                </w:rPr>
                <w:delText>a</w:delText>
              </w:r>
              <w:r>
                <w:delText> Humira 0,6</w:delText>
              </w:r>
              <w:r w:rsidR="00F365E7" w:rsidRPr="00005EC2">
                <w:rPr>
                  <w:szCs w:val="22"/>
                </w:rPr>
                <w:delText> </w:delText>
              </w:r>
              <w:r>
                <w:delText>mg/kg</w:delText>
              </w:r>
              <w:r w:rsidR="00F365E7">
                <w:delText xml:space="preserve"> </w:delText>
              </w:r>
              <w:r>
                <w:delText>(maximální dávka 40</w:delText>
              </w:r>
              <w:r w:rsidR="00F365E7" w:rsidRPr="00005EC2">
                <w:rPr>
                  <w:szCs w:val="22"/>
                </w:rPr>
                <w:delText> </w:delText>
              </w:r>
              <w:r>
                <w:delText>mg)</w:delText>
              </w:r>
              <w:r w:rsidR="00F365E7">
                <w:delText xml:space="preserve"> </w:delText>
              </w:r>
              <w:r>
                <w:delText>jednou za dva týdny</w:delText>
              </w:r>
            </w:del>
          </w:p>
          <w:p w14:paraId="00B2E04B" w14:textId="77777777" w:rsidR="000A79CD" w:rsidRPr="00D01607" w:rsidRDefault="00000000" w:rsidP="008401F1">
            <w:pPr>
              <w:textAlignment w:val="baseline"/>
              <w:rPr>
                <w:del w:id="7988" w:author="AbbVie1" w:date="2025-05-13T09:50:00Z"/>
              </w:rPr>
            </w:pPr>
            <w:del w:id="7989" w:author="AbbVie1" w:date="2025-05-13T09:50:00Z">
              <w:r>
                <w:rPr>
                  <w:vertAlign w:val="superscript"/>
                </w:rPr>
                <w:delText>b</w:delText>
              </w:r>
              <w:r>
                <w:delText xml:space="preserve"> Humira 0,6</w:delText>
              </w:r>
              <w:r w:rsidR="00F365E7" w:rsidRPr="00005EC2">
                <w:rPr>
                  <w:szCs w:val="22"/>
                </w:rPr>
                <w:delText> </w:delText>
              </w:r>
              <w:r>
                <w:delText>mg/kg</w:delText>
              </w:r>
              <w:r w:rsidR="00F365E7">
                <w:delText xml:space="preserve"> </w:delText>
              </w:r>
              <w:r>
                <w:delText>(maximální dávka 40</w:delText>
              </w:r>
              <w:r w:rsidR="00F365E7" w:rsidRPr="00005EC2">
                <w:rPr>
                  <w:szCs w:val="22"/>
                </w:rPr>
                <w:delText> </w:delText>
              </w:r>
              <w:r>
                <w:delText>mg)</w:delText>
              </w:r>
              <w:r w:rsidR="00F365E7">
                <w:delText xml:space="preserve"> </w:delText>
              </w:r>
              <w:r>
                <w:delText>jednou týdně</w:delText>
              </w:r>
            </w:del>
          </w:p>
          <w:p w14:paraId="69533BBD" w14:textId="77777777" w:rsidR="000A79CD" w:rsidRPr="00D01607" w:rsidRDefault="00000000" w:rsidP="008401F1">
            <w:pPr>
              <w:textAlignment w:val="baseline"/>
              <w:rPr>
                <w:del w:id="7990" w:author="AbbVie1" w:date="2025-05-13T09:50:00Z"/>
              </w:rPr>
            </w:pPr>
            <w:del w:id="7991" w:author="AbbVie1" w:date="2025-05-13T09:50:00Z">
              <w:r>
                <w:rPr>
                  <w:vertAlign w:val="superscript"/>
                </w:rPr>
                <w:delText>c</w:delText>
              </w:r>
              <w:r>
                <w:delText xml:space="preserve"> U pacientů, kteří na počátku dostávali souběžně kortikosteroidy</w:delText>
              </w:r>
            </w:del>
          </w:p>
          <w:p w14:paraId="3927BF18" w14:textId="77777777" w:rsidR="000A79CD" w:rsidRPr="00D01607" w:rsidRDefault="00000000" w:rsidP="00950D86">
            <w:pPr>
              <w:ind w:left="0" w:firstLine="0"/>
              <w:textAlignment w:val="baseline"/>
              <w:rPr>
                <w:del w:id="7992" w:author="AbbVie1" w:date="2025-05-13T09:50:00Z"/>
              </w:rPr>
            </w:pPr>
            <w:del w:id="7993" w:author="AbbVie1" w:date="2025-05-13T09:50:00Z">
              <w:r>
                <w:delText>Pozn.: Pacienti s chybějícími hodnotami v</w:delText>
              </w:r>
              <w:r w:rsidR="007714F6">
                <w:delText> </w:delText>
              </w:r>
              <w:r>
                <w:delText>týdnu 52 nebo randomizovaní k opětovné indukční nebo udržovací léčbě byli považováni za pacienty bez odpovědi pro cílové parametry v</w:delText>
              </w:r>
              <w:r w:rsidR="007714F6">
                <w:delText> </w:delText>
              </w:r>
              <w:r>
                <w:delText>týdnu 52</w:delText>
              </w:r>
            </w:del>
          </w:p>
        </w:tc>
      </w:tr>
    </w:tbl>
    <w:p w14:paraId="16996AA8" w14:textId="77777777" w:rsidR="000A79CD" w:rsidRPr="00D01607" w:rsidRDefault="000A79CD" w:rsidP="000A79CD">
      <w:pPr>
        <w:rPr>
          <w:del w:id="7994" w:author="AbbVie1" w:date="2025-05-13T09:50:00Z"/>
        </w:rPr>
      </w:pPr>
    </w:p>
    <w:p w14:paraId="169D5EB0" w14:textId="77777777" w:rsidR="000A79CD" w:rsidRPr="00D01607" w:rsidRDefault="00000000" w:rsidP="000A79CD">
      <w:pPr>
        <w:ind w:left="0" w:firstLine="0"/>
        <w:rPr>
          <w:del w:id="7995" w:author="AbbVie1" w:date="2025-05-13T09:50:00Z"/>
        </w:rPr>
      </w:pPr>
      <w:del w:id="7996" w:author="AbbVie1" w:date="2025-05-13T09:50:00Z">
        <w:r>
          <w:delText>Mezi další výzkumné cílové parametry účinnosti patřil</w:delText>
        </w:r>
        <w:r w:rsidR="00012979">
          <w:delText>y</w:delText>
        </w:r>
        <w:r>
          <w:delText xml:space="preserve"> klinická odpověď podle indexu aktivity pediatrické ulcerózní kolitidy (PUCAI) (definovaná jako pokles PUCAI o ≥ 20 bodů oproti výchozí hodnotě)</w:delText>
        </w:r>
        <w:r w:rsidR="002378E0">
          <w:delText xml:space="preserve"> a </w:delText>
        </w:r>
        <w:r>
          <w:delText>klinická remise podle PUCAI (definovaná jako PUCAI &lt;10) v </w:delText>
        </w:r>
        <w:r w:rsidRPr="00BC5CBC">
          <w:delText>týdnu 8</w:delText>
        </w:r>
        <w:r w:rsidR="002378E0">
          <w:delText xml:space="preserve"> a </w:delText>
        </w:r>
        <w:r>
          <w:delText xml:space="preserve">týdnu 52 (tabulka </w:delText>
        </w:r>
        <w:r w:rsidR="00B4761D">
          <w:delText>33</w:delText>
        </w:r>
        <w:r>
          <w:delText>).</w:delText>
        </w:r>
      </w:del>
    </w:p>
    <w:p w14:paraId="2E464D7F" w14:textId="77777777" w:rsidR="000A79CD" w:rsidRPr="00D01607" w:rsidRDefault="000A79CD" w:rsidP="000A79CD">
      <w:pPr>
        <w:rPr>
          <w:del w:id="7997" w:author="AbbVie1" w:date="2025-05-13T09:50:00Z"/>
        </w:rPr>
      </w:pPr>
    </w:p>
    <w:tbl>
      <w:tblPr>
        <w:tblW w:w="5000" w:type="pct"/>
        <w:jc w:val="center"/>
        <w:tblCellMar>
          <w:left w:w="0" w:type="dxa"/>
          <w:right w:w="0" w:type="dxa"/>
        </w:tblCellMar>
        <w:tblLook w:val="04A0" w:firstRow="1" w:lastRow="0" w:firstColumn="1" w:lastColumn="0" w:noHBand="0" w:noVBand="1"/>
      </w:tblPr>
      <w:tblGrid>
        <w:gridCol w:w="3261"/>
        <w:gridCol w:w="3118"/>
        <w:gridCol w:w="2692"/>
      </w:tblGrid>
      <w:tr w:rsidR="00534A2D" w14:paraId="5D27BDCC" w14:textId="77777777" w:rsidTr="00240790">
        <w:trPr>
          <w:trHeight w:val="60"/>
          <w:jc w:val="center"/>
          <w:del w:id="7998" w:author="AbbVie1" w:date="2025-05-13T09:50:00Z"/>
        </w:trPr>
        <w:tc>
          <w:tcPr>
            <w:tcW w:w="9071" w:type="dxa"/>
            <w:gridSpan w:val="3"/>
            <w:tcMar>
              <w:top w:w="0" w:type="dxa"/>
              <w:left w:w="108" w:type="dxa"/>
              <w:bottom w:w="0" w:type="dxa"/>
              <w:right w:w="108" w:type="dxa"/>
            </w:tcMar>
            <w:hideMark/>
          </w:tcPr>
          <w:p w14:paraId="5A17C685" w14:textId="77777777" w:rsidR="000A79CD" w:rsidRPr="00D01607" w:rsidRDefault="00000000" w:rsidP="007714F6">
            <w:pPr>
              <w:keepNext/>
              <w:jc w:val="center"/>
              <w:rPr>
                <w:del w:id="7999" w:author="AbbVie1" w:date="2025-05-13T09:50:00Z"/>
                <w:b/>
                <w:bCs/>
              </w:rPr>
            </w:pPr>
            <w:del w:id="8000" w:author="AbbVie1" w:date="2025-05-13T09:50:00Z">
              <w:r>
                <w:rPr>
                  <w:b/>
                </w:rPr>
                <w:delText xml:space="preserve">Tabulka </w:delText>
              </w:r>
              <w:r w:rsidR="00977638">
                <w:rPr>
                  <w:b/>
                </w:rPr>
                <w:delText>33</w:delText>
              </w:r>
              <w:r>
                <w:rPr>
                  <w:b/>
                </w:rPr>
                <w:delText>: Výsledky výzkumných cílových parametrů podle PUCAI</w:delText>
              </w:r>
            </w:del>
          </w:p>
        </w:tc>
      </w:tr>
      <w:tr w:rsidR="00534A2D" w14:paraId="01A2FF11" w14:textId="77777777" w:rsidTr="00240790">
        <w:trPr>
          <w:trHeight w:val="265"/>
          <w:jc w:val="center"/>
          <w:del w:id="8001" w:author="AbbVie1" w:date="2025-05-13T09:50:00Z"/>
        </w:trPr>
        <w:tc>
          <w:tcPr>
            <w:tcW w:w="3261"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58A92103" w14:textId="77777777" w:rsidR="000A79CD" w:rsidRPr="00D01607" w:rsidRDefault="000A79CD" w:rsidP="007714F6">
            <w:pPr>
              <w:keepNext/>
              <w:rPr>
                <w:del w:id="8002" w:author="AbbVie1" w:date="2025-05-13T09:50:00Z"/>
              </w:rPr>
            </w:pPr>
          </w:p>
        </w:tc>
        <w:tc>
          <w:tcPr>
            <w:tcW w:w="58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644B20" w14:textId="77777777" w:rsidR="000A79CD" w:rsidRPr="00D01607" w:rsidRDefault="00000000" w:rsidP="007714F6">
            <w:pPr>
              <w:keepNext/>
              <w:jc w:val="center"/>
              <w:rPr>
                <w:del w:id="8003" w:author="AbbVie1" w:date="2025-05-13T09:50:00Z"/>
                <w:b/>
                <w:bCs/>
              </w:rPr>
            </w:pPr>
            <w:del w:id="8004" w:author="AbbVie1" w:date="2025-05-13T09:50:00Z">
              <w:r>
                <w:rPr>
                  <w:b/>
                </w:rPr>
                <w:delText>Týden 8</w:delText>
              </w:r>
            </w:del>
          </w:p>
        </w:tc>
      </w:tr>
      <w:tr w:rsidR="00534A2D" w14:paraId="63FC2C4D" w14:textId="77777777" w:rsidTr="00240790">
        <w:trPr>
          <w:trHeight w:val="1042"/>
          <w:jc w:val="center"/>
          <w:del w:id="8005" w:author="AbbVie1" w:date="2025-05-13T09:50:00Z"/>
        </w:trPr>
        <w:tc>
          <w:tcPr>
            <w:tcW w:w="3261" w:type="dxa"/>
            <w:vMerge/>
            <w:tcBorders>
              <w:top w:val="single" w:sz="4" w:space="0" w:color="auto"/>
              <w:left w:val="single" w:sz="8" w:space="0" w:color="auto"/>
              <w:bottom w:val="single" w:sz="8" w:space="0" w:color="auto"/>
              <w:right w:val="single" w:sz="4" w:space="0" w:color="auto"/>
            </w:tcBorders>
            <w:vAlign w:val="center"/>
            <w:hideMark/>
          </w:tcPr>
          <w:p w14:paraId="651FED24" w14:textId="77777777" w:rsidR="000A79CD" w:rsidRPr="00D01607" w:rsidRDefault="000A79CD" w:rsidP="00F9384F">
            <w:pPr>
              <w:keepNext/>
              <w:rPr>
                <w:del w:id="8006" w:author="AbbVie1" w:date="2025-05-13T09:50:00Z"/>
              </w:rPr>
            </w:pPr>
          </w:p>
        </w:tc>
        <w:tc>
          <w:tcPr>
            <w:tcW w:w="31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D9603D" w14:textId="77777777" w:rsidR="000A79CD" w:rsidRPr="00D01607" w:rsidRDefault="00000000" w:rsidP="00F9384F">
            <w:pPr>
              <w:keepNext/>
              <w:ind w:left="0" w:firstLine="0"/>
              <w:jc w:val="center"/>
              <w:rPr>
                <w:del w:id="8007" w:author="AbbVie1" w:date="2025-05-13T09:50:00Z"/>
                <w:b/>
                <w:bCs/>
                <w:vertAlign w:val="superscript"/>
              </w:rPr>
            </w:pPr>
            <w:del w:id="8008" w:author="AbbVie1" w:date="2025-05-13T09:50:00Z">
              <w:r>
                <w:rPr>
                  <w:b/>
                </w:rPr>
                <w:delText>Humira</w:delText>
              </w:r>
              <w:r>
                <w:rPr>
                  <w:b/>
                  <w:vertAlign w:val="superscript"/>
                </w:rPr>
                <w:delText>a</w:delText>
              </w:r>
            </w:del>
          </w:p>
          <w:p w14:paraId="724DC126" w14:textId="77777777" w:rsidR="000A79CD" w:rsidRPr="00ED5CFE" w:rsidRDefault="00000000" w:rsidP="00F9384F">
            <w:pPr>
              <w:keepNext/>
              <w:ind w:left="0" w:firstLine="0"/>
              <w:jc w:val="center"/>
              <w:rPr>
                <w:del w:id="8009" w:author="AbbVie1" w:date="2025-05-13T09:50:00Z"/>
                <w:b/>
              </w:rPr>
            </w:pPr>
            <w:del w:id="8010" w:author="AbbVie1" w:date="2025-05-13T09:50:00Z">
              <w:r w:rsidRPr="00ED5CFE">
                <w:rPr>
                  <w:b/>
                </w:rPr>
                <w:delText>Maximálně 160</w:delText>
              </w:r>
              <w:r w:rsidR="00F365E7" w:rsidRPr="00005EC2">
                <w:rPr>
                  <w:szCs w:val="22"/>
                </w:rPr>
                <w:delText> </w:delText>
              </w:r>
              <w:r w:rsidRPr="00ED5CFE">
                <w:rPr>
                  <w:b/>
                </w:rPr>
                <w:delText>mg v týdnu 0/ placebo v týdnu 1</w:delText>
              </w:r>
            </w:del>
          </w:p>
          <w:p w14:paraId="2BF7C977" w14:textId="77777777" w:rsidR="000A79CD" w:rsidRPr="00D01607" w:rsidRDefault="00000000" w:rsidP="00F9384F">
            <w:pPr>
              <w:keepNext/>
              <w:ind w:left="0" w:firstLine="0"/>
              <w:jc w:val="center"/>
              <w:rPr>
                <w:del w:id="8011" w:author="AbbVie1" w:date="2025-05-13T09:50:00Z"/>
              </w:rPr>
            </w:pPr>
            <w:del w:id="8012" w:author="AbbVie1" w:date="2025-05-13T09:50:00Z">
              <w:r>
                <w:delText>n=30</w:delText>
              </w:r>
            </w:del>
          </w:p>
        </w:tc>
        <w:tc>
          <w:tcPr>
            <w:tcW w:w="26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F89B0B" w14:textId="77777777" w:rsidR="000A79CD" w:rsidRPr="00D01607" w:rsidRDefault="00000000" w:rsidP="00F9384F">
            <w:pPr>
              <w:keepNext/>
              <w:ind w:left="0" w:firstLine="0"/>
              <w:jc w:val="center"/>
              <w:rPr>
                <w:del w:id="8013" w:author="AbbVie1" w:date="2025-05-13T09:50:00Z"/>
                <w:b/>
                <w:bCs/>
                <w:vertAlign w:val="superscript"/>
              </w:rPr>
            </w:pPr>
            <w:del w:id="8014" w:author="AbbVie1" w:date="2025-05-13T09:50:00Z">
              <w:r>
                <w:rPr>
                  <w:b/>
                </w:rPr>
                <w:delText>Humira</w:delText>
              </w:r>
              <w:r>
                <w:rPr>
                  <w:b/>
                  <w:vertAlign w:val="superscript"/>
                </w:rPr>
                <w:delText>b,c</w:delText>
              </w:r>
            </w:del>
          </w:p>
          <w:p w14:paraId="6B60D367" w14:textId="77777777" w:rsidR="000A79CD" w:rsidRPr="00D01607" w:rsidRDefault="00000000" w:rsidP="00F9384F">
            <w:pPr>
              <w:keepNext/>
              <w:ind w:left="0" w:firstLine="0"/>
              <w:jc w:val="center"/>
              <w:rPr>
                <w:del w:id="8015" w:author="AbbVie1" w:date="2025-05-13T09:50:00Z"/>
                <w:b/>
                <w:bCs/>
              </w:rPr>
            </w:pPr>
            <w:del w:id="8016" w:author="AbbVie1" w:date="2025-05-13T09:50:00Z">
              <w:r>
                <w:rPr>
                  <w:b/>
                </w:rPr>
                <w:delText>Maximálně 160</w:delText>
              </w:r>
              <w:r w:rsidR="00F365E7" w:rsidRPr="00005EC2">
                <w:rPr>
                  <w:szCs w:val="22"/>
                </w:rPr>
                <w:delText> </w:delText>
              </w:r>
              <w:r>
                <w:rPr>
                  <w:b/>
                </w:rPr>
                <w:delText>mg v týdnech 0</w:delText>
              </w:r>
              <w:r w:rsidR="002378E0">
                <w:rPr>
                  <w:b/>
                </w:rPr>
                <w:delText xml:space="preserve"> a </w:delText>
              </w:r>
              <w:r>
                <w:rPr>
                  <w:b/>
                </w:rPr>
                <w:delText xml:space="preserve">1 </w:delText>
              </w:r>
            </w:del>
          </w:p>
          <w:p w14:paraId="7C9B1186" w14:textId="77777777" w:rsidR="000A79CD" w:rsidRPr="00D01607" w:rsidRDefault="00000000" w:rsidP="00F9384F">
            <w:pPr>
              <w:keepNext/>
              <w:ind w:left="0" w:firstLine="0"/>
              <w:jc w:val="center"/>
              <w:rPr>
                <w:del w:id="8017" w:author="AbbVie1" w:date="2025-05-13T09:50:00Z"/>
              </w:rPr>
            </w:pPr>
            <w:del w:id="8018" w:author="AbbVie1" w:date="2025-05-13T09:50:00Z">
              <w:r>
                <w:delText>n=47</w:delText>
              </w:r>
            </w:del>
          </w:p>
        </w:tc>
      </w:tr>
      <w:tr w:rsidR="00534A2D" w14:paraId="2B620C24" w14:textId="77777777" w:rsidTr="00240790">
        <w:trPr>
          <w:trHeight w:val="202"/>
          <w:jc w:val="center"/>
          <w:del w:id="8019" w:author="AbbVie1" w:date="2025-05-13T09:50:00Z"/>
        </w:trPr>
        <w:tc>
          <w:tcPr>
            <w:tcW w:w="32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C7218" w14:textId="77777777" w:rsidR="000A79CD" w:rsidRPr="00D01607" w:rsidRDefault="00000000" w:rsidP="008401F1">
            <w:pPr>
              <w:rPr>
                <w:del w:id="8020" w:author="AbbVie1" w:date="2025-05-13T09:50:00Z"/>
              </w:rPr>
            </w:pPr>
            <w:del w:id="8021" w:author="AbbVie1" w:date="2025-05-13T09:50:00Z">
              <w:r>
                <w:delText>Klinická remise podle PUCAI</w:delText>
              </w:r>
            </w:del>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15F1E0AF" w14:textId="77777777" w:rsidR="000A79CD" w:rsidRPr="00D01607" w:rsidRDefault="00000000" w:rsidP="008401F1">
            <w:pPr>
              <w:jc w:val="center"/>
              <w:rPr>
                <w:del w:id="8022" w:author="AbbVie1" w:date="2025-05-13T09:50:00Z"/>
              </w:rPr>
            </w:pPr>
            <w:del w:id="8023" w:author="AbbVie1" w:date="2025-05-13T09:50:00Z">
              <w:r>
                <w:delText>10/30 (33,3 %)</w:delText>
              </w:r>
            </w:del>
          </w:p>
        </w:tc>
        <w:tc>
          <w:tcPr>
            <w:tcW w:w="2692" w:type="dxa"/>
            <w:tcBorders>
              <w:top w:val="nil"/>
              <w:left w:val="nil"/>
              <w:bottom w:val="single" w:sz="8" w:space="0" w:color="auto"/>
              <w:right w:val="single" w:sz="8" w:space="0" w:color="auto"/>
            </w:tcBorders>
            <w:tcMar>
              <w:top w:w="0" w:type="dxa"/>
              <w:left w:w="108" w:type="dxa"/>
              <w:bottom w:w="0" w:type="dxa"/>
              <w:right w:w="108" w:type="dxa"/>
            </w:tcMar>
            <w:hideMark/>
          </w:tcPr>
          <w:p w14:paraId="7B454481" w14:textId="77777777" w:rsidR="000A79CD" w:rsidRPr="00D01607" w:rsidRDefault="00000000" w:rsidP="008401F1">
            <w:pPr>
              <w:jc w:val="center"/>
              <w:rPr>
                <w:del w:id="8024" w:author="AbbVie1" w:date="2025-05-13T09:50:00Z"/>
              </w:rPr>
            </w:pPr>
            <w:del w:id="8025" w:author="AbbVie1" w:date="2025-05-13T09:50:00Z">
              <w:r>
                <w:delText>22/47 (46,8 %)</w:delText>
              </w:r>
            </w:del>
          </w:p>
        </w:tc>
      </w:tr>
      <w:tr w:rsidR="00534A2D" w14:paraId="4F6BCA72" w14:textId="77777777" w:rsidTr="00240790">
        <w:trPr>
          <w:trHeight w:val="238"/>
          <w:jc w:val="center"/>
          <w:del w:id="8026" w:author="AbbVie1" w:date="2025-05-13T09:50:00Z"/>
        </w:trPr>
        <w:tc>
          <w:tcPr>
            <w:tcW w:w="326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B787D8B" w14:textId="77777777" w:rsidR="000A79CD" w:rsidRPr="00D01607" w:rsidRDefault="00000000" w:rsidP="008401F1">
            <w:pPr>
              <w:rPr>
                <w:del w:id="8027" w:author="AbbVie1" w:date="2025-05-13T09:50:00Z"/>
              </w:rPr>
            </w:pPr>
            <w:del w:id="8028" w:author="AbbVie1" w:date="2025-05-13T09:50:00Z">
              <w:r>
                <w:delText>Klinická odpověď podle PUCAI</w:delText>
              </w:r>
            </w:del>
          </w:p>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08752DBE" w14:textId="77777777" w:rsidR="000A79CD" w:rsidRPr="00D01607" w:rsidRDefault="00000000" w:rsidP="008401F1">
            <w:pPr>
              <w:jc w:val="center"/>
              <w:rPr>
                <w:del w:id="8029" w:author="AbbVie1" w:date="2025-05-13T09:50:00Z"/>
              </w:rPr>
            </w:pPr>
            <w:del w:id="8030" w:author="AbbVie1" w:date="2025-05-13T09:50:00Z">
              <w:r>
                <w:delText>15/30 (50,0 %)</w:delText>
              </w:r>
            </w:del>
          </w:p>
        </w:tc>
        <w:tc>
          <w:tcPr>
            <w:tcW w:w="2692" w:type="dxa"/>
            <w:tcBorders>
              <w:top w:val="nil"/>
              <w:left w:val="nil"/>
              <w:bottom w:val="single" w:sz="4" w:space="0" w:color="auto"/>
              <w:right w:val="single" w:sz="8" w:space="0" w:color="auto"/>
            </w:tcBorders>
            <w:tcMar>
              <w:top w:w="0" w:type="dxa"/>
              <w:left w:w="108" w:type="dxa"/>
              <w:bottom w:w="0" w:type="dxa"/>
              <w:right w:w="108" w:type="dxa"/>
            </w:tcMar>
            <w:hideMark/>
          </w:tcPr>
          <w:p w14:paraId="12688966" w14:textId="77777777" w:rsidR="000A79CD" w:rsidRPr="00D01607" w:rsidRDefault="00000000" w:rsidP="008401F1">
            <w:pPr>
              <w:jc w:val="center"/>
              <w:rPr>
                <w:del w:id="8031" w:author="AbbVie1" w:date="2025-05-13T09:50:00Z"/>
              </w:rPr>
            </w:pPr>
            <w:del w:id="8032" w:author="AbbVie1" w:date="2025-05-13T09:50:00Z">
              <w:r>
                <w:delText>32/47 (68,1 %)</w:delText>
              </w:r>
            </w:del>
          </w:p>
        </w:tc>
      </w:tr>
      <w:tr w:rsidR="00534A2D" w14:paraId="7E0B8B62" w14:textId="77777777" w:rsidTr="00240790">
        <w:trPr>
          <w:trHeight w:val="238"/>
          <w:jc w:val="center"/>
          <w:del w:id="8033" w:author="AbbVie1" w:date="2025-05-13T09:50:00Z"/>
        </w:trPr>
        <w:tc>
          <w:tcPr>
            <w:tcW w:w="3261"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754260AF" w14:textId="77777777" w:rsidR="000A79CD" w:rsidRPr="00D01607" w:rsidRDefault="000A79CD" w:rsidP="008401F1">
            <w:pPr>
              <w:rPr>
                <w:del w:id="8034" w:author="AbbVie1" w:date="2025-05-13T09:50:00Z"/>
              </w:rPr>
            </w:pPr>
          </w:p>
        </w:tc>
        <w:tc>
          <w:tcPr>
            <w:tcW w:w="5810"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0E8421A6" w14:textId="77777777" w:rsidR="000A79CD" w:rsidRPr="00D01607" w:rsidRDefault="00000000" w:rsidP="008401F1">
            <w:pPr>
              <w:jc w:val="center"/>
              <w:rPr>
                <w:del w:id="8035" w:author="AbbVie1" w:date="2025-05-13T09:50:00Z"/>
                <w:b/>
                <w:bCs/>
              </w:rPr>
            </w:pPr>
            <w:del w:id="8036" w:author="AbbVie1" w:date="2025-05-13T09:50:00Z">
              <w:r>
                <w:rPr>
                  <w:b/>
                </w:rPr>
                <w:delText>Týden 52</w:delText>
              </w:r>
            </w:del>
          </w:p>
        </w:tc>
      </w:tr>
      <w:tr w:rsidR="00534A2D" w14:paraId="1F0A7113" w14:textId="77777777" w:rsidTr="00240790">
        <w:trPr>
          <w:trHeight w:val="238"/>
          <w:jc w:val="center"/>
          <w:del w:id="8037" w:author="AbbVie1" w:date="2025-05-13T09:50:00Z"/>
        </w:trPr>
        <w:tc>
          <w:tcPr>
            <w:tcW w:w="3261" w:type="dxa"/>
            <w:vMerge/>
            <w:tcBorders>
              <w:top w:val="nil"/>
              <w:left w:val="single" w:sz="8" w:space="0" w:color="auto"/>
              <w:bottom w:val="single" w:sz="4" w:space="0" w:color="auto"/>
              <w:right w:val="single" w:sz="8" w:space="0" w:color="auto"/>
            </w:tcBorders>
            <w:vAlign w:val="center"/>
            <w:hideMark/>
          </w:tcPr>
          <w:p w14:paraId="1BEF23A4" w14:textId="77777777" w:rsidR="000A79CD" w:rsidRPr="00D01607" w:rsidRDefault="000A79CD" w:rsidP="008401F1">
            <w:pPr>
              <w:rPr>
                <w:del w:id="8038" w:author="AbbVie1" w:date="2025-05-13T09:50:00Z"/>
              </w:rPr>
            </w:pPr>
          </w:p>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403719ED" w14:textId="77777777" w:rsidR="000A79CD" w:rsidRPr="00D01607" w:rsidRDefault="00000000" w:rsidP="00ED5CFE">
            <w:pPr>
              <w:ind w:left="0" w:firstLine="0"/>
              <w:jc w:val="center"/>
              <w:rPr>
                <w:del w:id="8039" w:author="AbbVie1" w:date="2025-05-13T09:50:00Z"/>
                <w:b/>
                <w:bCs/>
                <w:vertAlign w:val="superscript"/>
              </w:rPr>
            </w:pPr>
            <w:del w:id="8040" w:author="AbbVie1" w:date="2025-05-13T09:50:00Z">
              <w:r>
                <w:rPr>
                  <w:b/>
                </w:rPr>
                <w:delText>Humira</w:delText>
              </w:r>
              <w:r>
                <w:rPr>
                  <w:b/>
                  <w:vertAlign w:val="superscript"/>
                </w:rPr>
                <w:delText>d</w:delText>
              </w:r>
            </w:del>
          </w:p>
          <w:p w14:paraId="1CEA80A7" w14:textId="77777777" w:rsidR="000A79CD" w:rsidRPr="00D01607" w:rsidRDefault="00000000" w:rsidP="00ED5CFE">
            <w:pPr>
              <w:ind w:left="0" w:firstLine="0"/>
              <w:jc w:val="center"/>
              <w:rPr>
                <w:del w:id="8041" w:author="AbbVie1" w:date="2025-05-13T09:50:00Z"/>
                <w:b/>
                <w:bCs/>
              </w:rPr>
            </w:pPr>
            <w:del w:id="8042" w:author="AbbVie1" w:date="2025-05-13T09:50:00Z">
              <w:r>
                <w:rPr>
                  <w:b/>
                </w:rPr>
                <w:delText>Maximálně 40</w:delText>
              </w:r>
              <w:r w:rsidR="00F365E7" w:rsidRPr="00005EC2">
                <w:rPr>
                  <w:szCs w:val="22"/>
                </w:rPr>
                <w:delText> </w:delText>
              </w:r>
              <w:r>
                <w:rPr>
                  <w:b/>
                </w:rPr>
                <w:delText>mg jednou za</w:delText>
              </w:r>
              <w:r w:rsidR="00F365E7" w:rsidRPr="00005EC2">
                <w:rPr>
                  <w:szCs w:val="22"/>
                </w:rPr>
                <w:delText> </w:delText>
              </w:r>
              <w:r>
                <w:rPr>
                  <w:b/>
                </w:rPr>
                <w:delText>dva týdny</w:delText>
              </w:r>
            </w:del>
          </w:p>
          <w:p w14:paraId="6B563B31" w14:textId="77777777" w:rsidR="000A79CD" w:rsidRPr="00D01607" w:rsidRDefault="00000000" w:rsidP="00ED5CFE">
            <w:pPr>
              <w:ind w:left="0" w:firstLine="0"/>
              <w:jc w:val="center"/>
              <w:rPr>
                <w:del w:id="8043" w:author="AbbVie1" w:date="2025-05-13T09:50:00Z"/>
              </w:rPr>
            </w:pPr>
            <w:del w:id="8044" w:author="AbbVie1" w:date="2025-05-13T09:50:00Z">
              <w:r>
                <w:delText>n=31</w:delText>
              </w:r>
            </w:del>
          </w:p>
        </w:tc>
        <w:tc>
          <w:tcPr>
            <w:tcW w:w="2692" w:type="dxa"/>
            <w:tcBorders>
              <w:top w:val="nil"/>
              <w:left w:val="nil"/>
              <w:bottom w:val="single" w:sz="4" w:space="0" w:color="auto"/>
              <w:right w:val="single" w:sz="8" w:space="0" w:color="auto"/>
            </w:tcBorders>
            <w:tcMar>
              <w:top w:w="0" w:type="dxa"/>
              <w:left w:w="108" w:type="dxa"/>
              <w:bottom w:w="0" w:type="dxa"/>
              <w:right w:w="108" w:type="dxa"/>
            </w:tcMar>
            <w:hideMark/>
          </w:tcPr>
          <w:p w14:paraId="6629AD4D" w14:textId="77777777" w:rsidR="000A79CD" w:rsidRPr="00D01607" w:rsidRDefault="00000000" w:rsidP="00ED5CFE">
            <w:pPr>
              <w:ind w:left="0" w:firstLine="0"/>
              <w:jc w:val="center"/>
              <w:rPr>
                <w:del w:id="8045" w:author="AbbVie1" w:date="2025-05-13T09:50:00Z"/>
                <w:b/>
                <w:bCs/>
                <w:vertAlign w:val="superscript"/>
              </w:rPr>
            </w:pPr>
            <w:del w:id="8046" w:author="AbbVie1" w:date="2025-05-13T09:50:00Z">
              <w:r>
                <w:rPr>
                  <w:b/>
                </w:rPr>
                <w:delText>Humira</w:delText>
              </w:r>
              <w:r>
                <w:rPr>
                  <w:b/>
                  <w:vertAlign w:val="superscript"/>
                </w:rPr>
                <w:delText>e</w:delText>
              </w:r>
            </w:del>
          </w:p>
          <w:p w14:paraId="67EA4F64" w14:textId="77777777" w:rsidR="000A79CD" w:rsidRPr="00D01607" w:rsidRDefault="00000000" w:rsidP="00ED5CFE">
            <w:pPr>
              <w:ind w:left="0" w:firstLine="0"/>
              <w:jc w:val="center"/>
              <w:rPr>
                <w:del w:id="8047" w:author="AbbVie1" w:date="2025-05-13T09:50:00Z"/>
                <w:b/>
                <w:bCs/>
              </w:rPr>
            </w:pPr>
            <w:del w:id="8048" w:author="AbbVie1" w:date="2025-05-13T09:50:00Z">
              <w:r>
                <w:rPr>
                  <w:b/>
                </w:rPr>
                <w:delText>Maximálně 40</w:delText>
              </w:r>
              <w:r w:rsidR="00F365E7" w:rsidRPr="00005EC2">
                <w:rPr>
                  <w:szCs w:val="22"/>
                </w:rPr>
                <w:delText> </w:delText>
              </w:r>
              <w:r>
                <w:rPr>
                  <w:b/>
                </w:rPr>
                <w:delText>mg jednou týdně</w:delText>
              </w:r>
            </w:del>
          </w:p>
          <w:p w14:paraId="22F4A92A" w14:textId="77777777" w:rsidR="000A79CD" w:rsidRPr="00D01607" w:rsidRDefault="00000000" w:rsidP="00ED5CFE">
            <w:pPr>
              <w:ind w:left="0" w:firstLine="0"/>
              <w:jc w:val="center"/>
              <w:rPr>
                <w:del w:id="8049" w:author="AbbVie1" w:date="2025-05-13T09:50:00Z"/>
              </w:rPr>
            </w:pPr>
            <w:del w:id="8050" w:author="AbbVie1" w:date="2025-05-13T09:50:00Z">
              <w:r>
                <w:delText>n=31</w:delText>
              </w:r>
            </w:del>
          </w:p>
        </w:tc>
      </w:tr>
      <w:tr w:rsidR="00534A2D" w14:paraId="3748FEBC" w14:textId="77777777" w:rsidTr="00240790">
        <w:trPr>
          <w:trHeight w:val="238"/>
          <w:jc w:val="center"/>
          <w:del w:id="8051" w:author="AbbVie1" w:date="2025-05-13T09:50:00Z"/>
        </w:trPr>
        <w:tc>
          <w:tcPr>
            <w:tcW w:w="326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EA09DF2" w14:textId="77777777" w:rsidR="000A79CD" w:rsidRPr="00D01607" w:rsidRDefault="00000000" w:rsidP="008401F1">
            <w:pPr>
              <w:tabs>
                <w:tab w:val="left" w:pos="36"/>
              </w:tabs>
              <w:ind w:left="36" w:hanging="36"/>
              <w:rPr>
                <w:del w:id="8052" w:author="AbbVie1" w:date="2025-05-13T09:50:00Z"/>
              </w:rPr>
            </w:pPr>
            <w:del w:id="8053" w:author="AbbVie1" w:date="2025-05-13T09:50:00Z">
              <w:r>
                <w:delText>Klinická remise podle PUCAI v </w:delText>
              </w:r>
              <w:r w:rsidRPr="00BC5CBC">
                <w:delText>týdnu 8</w:delText>
              </w:r>
              <w:r>
                <w:delText xml:space="preserve"> u pacientů s odpovědí s PMS</w:delText>
              </w:r>
            </w:del>
          </w:p>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22D84806" w14:textId="77777777" w:rsidR="000A79CD" w:rsidRPr="00D01607" w:rsidRDefault="00000000" w:rsidP="008401F1">
            <w:pPr>
              <w:jc w:val="center"/>
              <w:rPr>
                <w:del w:id="8054" w:author="AbbVie1" w:date="2025-05-13T09:50:00Z"/>
              </w:rPr>
            </w:pPr>
            <w:del w:id="8055" w:author="AbbVie1" w:date="2025-05-13T09:50:00Z">
              <w:r>
                <w:delText>14/31 (45,2 %)</w:delText>
              </w:r>
            </w:del>
          </w:p>
        </w:tc>
        <w:tc>
          <w:tcPr>
            <w:tcW w:w="2692" w:type="dxa"/>
            <w:tcBorders>
              <w:top w:val="nil"/>
              <w:left w:val="nil"/>
              <w:bottom w:val="single" w:sz="4" w:space="0" w:color="auto"/>
              <w:right w:val="single" w:sz="8" w:space="0" w:color="auto"/>
            </w:tcBorders>
            <w:tcMar>
              <w:top w:w="0" w:type="dxa"/>
              <w:left w:w="108" w:type="dxa"/>
              <w:bottom w:w="0" w:type="dxa"/>
              <w:right w:w="108" w:type="dxa"/>
            </w:tcMar>
            <w:hideMark/>
          </w:tcPr>
          <w:p w14:paraId="5E4FD270" w14:textId="77777777" w:rsidR="000A79CD" w:rsidRPr="00D01607" w:rsidRDefault="00000000" w:rsidP="008401F1">
            <w:pPr>
              <w:jc w:val="center"/>
              <w:rPr>
                <w:del w:id="8056" w:author="AbbVie1" w:date="2025-05-13T09:50:00Z"/>
              </w:rPr>
            </w:pPr>
            <w:del w:id="8057" w:author="AbbVie1" w:date="2025-05-13T09:50:00Z">
              <w:r>
                <w:delText>18/31 (58,1 %)</w:delText>
              </w:r>
            </w:del>
          </w:p>
        </w:tc>
      </w:tr>
      <w:tr w:rsidR="00534A2D" w14:paraId="61142894" w14:textId="77777777" w:rsidTr="00240790">
        <w:trPr>
          <w:trHeight w:val="238"/>
          <w:jc w:val="center"/>
          <w:del w:id="8058" w:author="AbbVie1" w:date="2025-05-13T09:50:00Z"/>
        </w:trPr>
        <w:tc>
          <w:tcPr>
            <w:tcW w:w="326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661494B" w14:textId="77777777" w:rsidR="000A79CD" w:rsidRPr="00D01607" w:rsidRDefault="00000000" w:rsidP="008401F1">
            <w:pPr>
              <w:tabs>
                <w:tab w:val="left" w:pos="36"/>
              </w:tabs>
              <w:ind w:left="36" w:hanging="36"/>
              <w:rPr>
                <w:del w:id="8059" w:author="AbbVie1" w:date="2025-05-13T09:50:00Z"/>
              </w:rPr>
            </w:pPr>
            <w:del w:id="8060" w:author="AbbVie1" w:date="2025-05-13T09:50:00Z">
              <w:r>
                <w:delText>Klinická odpověď podle PUCAI v </w:delText>
              </w:r>
              <w:r w:rsidRPr="00BC5CBC">
                <w:delText>týdnu 8</w:delText>
              </w:r>
              <w:r>
                <w:delText xml:space="preserve"> u pacientů s odpovědí s PMS</w:delText>
              </w:r>
            </w:del>
          </w:p>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5D45714D" w14:textId="77777777" w:rsidR="000A79CD" w:rsidRPr="00D01607" w:rsidRDefault="00000000" w:rsidP="008401F1">
            <w:pPr>
              <w:jc w:val="center"/>
              <w:rPr>
                <w:del w:id="8061" w:author="AbbVie1" w:date="2025-05-13T09:50:00Z"/>
              </w:rPr>
            </w:pPr>
            <w:del w:id="8062" w:author="AbbVie1" w:date="2025-05-13T09:50:00Z">
              <w:r>
                <w:delText>18/31 (58,1 %)</w:delText>
              </w:r>
            </w:del>
          </w:p>
        </w:tc>
        <w:tc>
          <w:tcPr>
            <w:tcW w:w="2692" w:type="dxa"/>
            <w:tcBorders>
              <w:top w:val="nil"/>
              <w:left w:val="nil"/>
              <w:bottom w:val="single" w:sz="4" w:space="0" w:color="auto"/>
              <w:right w:val="single" w:sz="8" w:space="0" w:color="auto"/>
            </w:tcBorders>
            <w:tcMar>
              <w:top w:w="0" w:type="dxa"/>
              <w:left w:w="108" w:type="dxa"/>
              <w:bottom w:w="0" w:type="dxa"/>
              <w:right w:w="108" w:type="dxa"/>
            </w:tcMar>
            <w:hideMark/>
          </w:tcPr>
          <w:p w14:paraId="4C187382" w14:textId="77777777" w:rsidR="000A79CD" w:rsidRPr="00D01607" w:rsidRDefault="00000000" w:rsidP="008401F1">
            <w:pPr>
              <w:jc w:val="center"/>
              <w:rPr>
                <w:del w:id="8063" w:author="AbbVie1" w:date="2025-05-13T09:50:00Z"/>
              </w:rPr>
            </w:pPr>
            <w:del w:id="8064" w:author="AbbVie1" w:date="2025-05-13T09:50:00Z">
              <w:r>
                <w:delText>16/31 (51,6 %)</w:delText>
              </w:r>
            </w:del>
          </w:p>
        </w:tc>
      </w:tr>
      <w:tr w:rsidR="00534A2D" w14:paraId="77C3D492" w14:textId="77777777" w:rsidTr="00240790">
        <w:trPr>
          <w:trHeight w:val="533"/>
          <w:jc w:val="center"/>
          <w:del w:id="8065" w:author="AbbVie1" w:date="2025-05-13T09:50:00Z"/>
        </w:trPr>
        <w:tc>
          <w:tcPr>
            <w:tcW w:w="9071"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D659440" w14:textId="77777777" w:rsidR="000A79CD" w:rsidRPr="00D01607" w:rsidRDefault="00000000" w:rsidP="008401F1">
            <w:pPr>
              <w:ind w:left="0" w:firstLine="0"/>
              <w:rPr>
                <w:del w:id="8066" w:author="AbbVie1" w:date="2025-05-13T09:50:00Z"/>
                <w:rStyle w:val="eop"/>
              </w:rPr>
            </w:pPr>
            <w:del w:id="8067" w:author="AbbVie1" w:date="2025-05-13T09:50:00Z">
              <w:r>
                <w:rPr>
                  <w:vertAlign w:val="superscript"/>
                </w:rPr>
                <w:delText xml:space="preserve">a </w:delText>
              </w:r>
              <w:r>
                <w:rPr>
                  <w:rStyle w:val="normaltextrun"/>
                </w:rPr>
                <w:delText>Humira 2,4</w:delText>
              </w:r>
              <w:r w:rsidR="00F365E7" w:rsidRPr="00005EC2">
                <w:rPr>
                  <w:szCs w:val="22"/>
                </w:rPr>
                <w:delText> </w:delText>
              </w:r>
              <w:r>
                <w:rPr>
                  <w:rStyle w:val="normaltextrun"/>
                </w:rPr>
                <w:delText>mg/kg (maximální dávka 160</w:delText>
              </w:r>
              <w:r w:rsidR="00F365E7" w:rsidRPr="00005EC2">
                <w:rPr>
                  <w:szCs w:val="22"/>
                </w:rPr>
                <w:delText> </w:delText>
              </w:r>
              <w:r>
                <w:rPr>
                  <w:rStyle w:val="normaltextrun"/>
                </w:rPr>
                <w:delText>mg) v </w:delText>
              </w:r>
              <w:r w:rsidRPr="00BC5CBC">
                <w:rPr>
                  <w:rStyle w:val="normaltextrun"/>
                </w:rPr>
                <w:delText>týdnu 0</w:delText>
              </w:r>
              <w:r>
                <w:rPr>
                  <w:rStyle w:val="normaltextrun"/>
                </w:rPr>
                <w:delText>, placebo v týdnu 1</w:delText>
              </w:r>
              <w:r w:rsidR="002378E0">
                <w:rPr>
                  <w:rStyle w:val="normaltextrun"/>
                </w:rPr>
                <w:delText xml:space="preserve"> a </w:delText>
              </w:r>
              <w:r>
                <w:rPr>
                  <w:rStyle w:val="normaltextrun"/>
                </w:rPr>
                <w:delText>1,2</w:delText>
              </w:r>
              <w:r w:rsidR="00F365E7" w:rsidRPr="00005EC2">
                <w:rPr>
                  <w:szCs w:val="22"/>
                </w:rPr>
                <w:delText> </w:delText>
              </w:r>
              <w:r>
                <w:rPr>
                  <w:rStyle w:val="normaltextrun"/>
                </w:rPr>
                <w:delText>mg/kg (maximální dávka 80</w:delText>
              </w:r>
              <w:r w:rsidR="00F365E7" w:rsidRPr="00005EC2">
                <w:rPr>
                  <w:szCs w:val="22"/>
                </w:rPr>
                <w:delText> </w:delText>
              </w:r>
              <w:r>
                <w:rPr>
                  <w:rStyle w:val="normaltextrun"/>
                </w:rPr>
                <w:delText>mg) v</w:delText>
              </w:r>
              <w:r w:rsidR="007714F6">
                <w:rPr>
                  <w:rStyle w:val="normaltextrun"/>
                </w:rPr>
                <w:delText> </w:delText>
              </w:r>
              <w:r>
                <w:rPr>
                  <w:rStyle w:val="normaltextrun"/>
                </w:rPr>
                <w:delText>týdnu</w:delText>
              </w:r>
              <w:r>
                <w:rPr>
                  <w:rStyle w:val="eop"/>
                </w:rPr>
                <w:delText xml:space="preserve"> 2</w:delText>
              </w:r>
            </w:del>
          </w:p>
          <w:p w14:paraId="1CF536F7" w14:textId="77777777" w:rsidR="000A79CD" w:rsidRPr="00D01607" w:rsidRDefault="00000000" w:rsidP="008401F1">
            <w:pPr>
              <w:pStyle w:val="paragraph0"/>
              <w:spacing w:before="0" w:beforeAutospacing="0" w:after="0" w:afterAutospacing="0"/>
              <w:textAlignment w:val="baseline"/>
              <w:rPr>
                <w:del w:id="8068" w:author="AbbVie1" w:date="2025-05-13T09:50:00Z"/>
                <w:rStyle w:val="eop"/>
                <w:szCs w:val="22"/>
              </w:rPr>
            </w:pPr>
            <w:del w:id="8069" w:author="AbbVie1" w:date="2025-05-13T09:50:00Z">
              <w:r>
                <w:rPr>
                  <w:sz w:val="22"/>
                  <w:vertAlign w:val="superscript"/>
                </w:rPr>
                <w:delText xml:space="preserve">b </w:delText>
              </w:r>
              <w:r>
                <w:rPr>
                  <w:rStyle w:val="normaltextrun"/>
                  <w:sz w:val="22"/>
                </w:rPr>
                <w:delText>Humira 2,4</w:delText>
              </w:r>
              <w:r w:rsidR="00F365E7" w:rsidRPr="00005EC2">
                <w:rPr>
                  <w:sz w:val="22"/>
                  <w:szCs w:val="22"/>
                </w:rPr>
                <w:delText> </w:delText>
              </w:r>
              <w:r>
                <w:rPr>
                  <w:rStyle w:val="normaltextrun"/>
                  <w:sz w:val="22"/>
                </w:rPr>
                <w:delText>mg/kg (maximální dávka 160</w:delText>
              </w:r>
              <w:r w:rsidR="00F365E7" w:rsidRPr="00005EC2">
                <w:rPr>
                  <w:sz w:val="22"/>
                  <w:szCs w:val="22"/>
                </w:rPr>
                <w:delText> </w:delText>
              </w:r>
              <w:r>
                <w:rPr>
                  <w:rStyle w:val="normaltextrun"/>
                  <w:sz w:val="22"/>
                </w:rPr>
                <w:delText>mg) v týdnech 0</w:delText>
              </w:r>
              <w:r w:rsidR="002378E0">
                <w:rPr>
                  <w:rStyle w:val="normaltextrun"/>
                  <w:sz w:val="22"/>
                </w:rPr>
                <w:delText xml:space="preserve"> a </w:delText>
              </w:r>
              <w:r>
                <w:rPr>
                  <w:rStyle w:val="normaltextrun"/>
                  <w:sz w:val="22"/>
                </w:rPr>
                <w:delText>1</w:delText>
              </w:r>
              <w:r w:rsidR="002378E0">
                <w:rPr>
                  <w:rStyle w:val="normaltextrun"/>
                  <w:sz w:val="22"/>
                </w:rPr>
                <w:delText xml:space="preserve"> a </w:delText>
              </w:r>
              <w:r>
                <w:rPr>
                  <w:rStyle w:val="normaltextrun"/>
                  <w:sz w:val="22"/>
                </w:rPr>
                <w:delText>1,2</w:delText>
              </w:r>
              <w:r w:rsidR="00F365E7" w:rsidRPr="00005EC2">
                <w:rPr>
                  <w:sz w:val="22"/>
                  <w:szCs w:val="22"/>
                </w:rPr>
                <w:delText> </w:delText>
              </w:r>
              <w:r>
                <w:rPr>
                  <w:rStyle w:val="normaltextrun"/>
                  <w:sz w:val="22"/>
                </w:rPr>
                <w:delText>mg/kg (maximální dávka 80</w:delText>
              </w:r>
              <w:r w:rsidR="007714F6">
                <w:rPr>
                  <w:rStyle w:val="normaltextrun"/>
                  <w:sz w:val="22"/>
                </w:rPr>
                <w:delText> </w:delText>
              </w:r>
              <w:r>
                <w:rPr>
                  <w:rStyle w:val="normaltextrun"/>
                  <w:sz w:val="22"/>
                </w:rPr>
                <w:delText>mg) v</w:delText>
              </w:r>
              <w:r w:rsidR="007714F6">
                <w:rPr>
                  <w:rStyle w:val="normaltextrun"/>
                  <w:sz w:val="22"/>
                </w:rPr>
                <w:delText> </w:delText>
              </w:r>
              <w:r>
                <w:rPr>
                  <w:rStyle w:val="normaltextrun"/>
                  <w:sz w:val="22"/>
                </w:rPr>
                <w:delText>týdnu 2</w:delText>
              </w:r>
              <w:r>
                <w:rPr>
                  <w:rStyle w:val="eop"/>
                </w:rPr>
                <w:delText xml:space="preserve"> </w:delText>
              </w:r>
            </w:del>
          </w:p>
          <w:p w14:paraId="064A61CC" w14:textId="77777777" w:rsidR="000A79CD" w:rsidRPr="00D01607" w:rsidRDefault="00000000" w:rsidP="008401F1">
            <w:pPr>
              <w:pStyle w:val="paragraph0"/>
              <w:spacing w:before="0" w:beforeAutospacing="0" w:after="0" w:afterAutospacing="0"/>
              <w:textAlignment w:val="baseline"/>
              <w:rPr>
                <w:del w:id="8070" w:author="AbbVie1" w:date="2025-05-13T09:50:00Z"/>
                <w:rStyle w:val="normaltextrun"/>
                <w:sz w:val="22"/>
                <w:szCs w:val="22"/>
              </w:rPr>
            </w:pPr>
            <w:del w:id="8071" w:author="AbbVie1" w:date="2025-05-13T09:50:00Z">
              <w:r>
                <w:rPr>
                  <w:rStyle w:val="normaltextrun"/>
                  <w:sz w:val="22"/>
                  <w:vertAlign w:val="superscript"/>
                </w:rPr>
                <w:delText xml:space="preserve">c </w:delText>
              </w:r>
              <w:r>
                <w:rPr>
                  <w:rStyle w:val="normaltextrun"/>
                  <w:sz w:val="22"/>
                </w:rPr>
                <w:delText>Nezahrnuje nezaslepenou indukční dávku přípravku Humira 2,4</w:delText>
              </w:r>
              <w:r w:rsidR="00F365E7" w:rsidRPr="00005EC2">
                <w:rPr>
                  <w:sz w:val="22"/>
                  <w:szCs w:val="22"/>
                </w:rPr>
                <w:delText> </w:delText>
              </w:r>
              <w:r>
                <w:rPr>
                  <w:rStyle w:val="normaltextrun"/>
                  <w:sz w:val="22"/>
                </w:rPr>
                <w:delText>mg/kg (maximální dávka 160</w:delText>
              </w:r>
              <w:r w:rsidR="00F365E7" w:rsidRPr="00005EC2">
                <w:rPr>
                  <w:sz w:val="22"/>
                  <w:szCs w:val="22"/>
                </w:rPr>
                <w:delText> </w:delText>
              </w:r>
              <w:r>
                <w:rPr>
                  <w:rStyle w:val="normaltextrun"/>
                  <w:sz w:val="22"/>
                </w:rPr>
                <w:delText>mg) v týdnech 0</w:delText>
              </w:r>
              <w:r w:rsidR="002378E0">
                <w:rPr>
                  <w:rStyle w:val="normaltextrun"/>
                  <w:sz w:val="22"/>
                </w:rPr>
                <w:delText xml:space="preserve"> a </w:delText>
              </w:r>
              <w:r>
                <w:rPr>
                  <w:rStyle w:val="normaltextrun"/>
                  <w:sz w:val="22"/>
                </w:rPr>
                <w:delText>1</w:delText>
              </w:r>
              <w:r w:rsidR="002378E0">
                <w:rPr>
                  <w:rStyle w:val="normaltextrun"/>
                  <w:sz w:val="22"/>
                </w:rPr>
                <w:delText xml:space="preserve"> a </w:delText>
              </w:r>
              <w:r>
                <w:rPr>
                  <w:rStyle w:val="normaltextrun"/>
                  <w:sz w:val="22"/>
                </w:rPr>
                <w:delText>1,2</w:delText>
              </w:r>
              <w:r w:rsidR="00F365E7" w:rsidRPr="00005EC2">
                <w:rPr>
                  <w:sz w:val="22"/>
                  <w:szCs w:val="22"/>
                </w:rPr>
                <w:delText> </w:delText>
              </w:r>
              <w:r>
                <w:rPr>
                  <w:rStyle w:val="normaltextrun"/>
                  <w:sz w:val="22"/>
                </w:rPr>
                <w:delText>mg/kg (maximální dávka 80</w:delText>
              </w:r>
              <w:r w:rsidR="00F365E7" w:rsidRPr="00005EC2">
                <w:rPr>
                  <w:sz w:val="22"/>
                  <w:szCs w:val="22"/>
                </w:rPr>
                <w:delText> </w:delText>
              </w:r>
              <w:r>
                <w:rPr>
                  <w:rStyle w:val="normaltextrun"/>
                  <w:sz w:val="22"/>
                </w:rPr>
                <w:delText>mg) v</w:delText>
              </w:r>
              <w:r w:rsidR="007714F6">
                <w:rPr>
                  <w:rStyle w:val="normaltextrun"/>
                  <w:sz w:val="22"/>
                </w:rPr>
                <w:delText> </w:delText>
              </w:r>
              <w:r>
                <w:rPr>
                  <w:rStyle w:val="normaltextrun"/>
                  <w:sz w:val="22"/>
                </w:rPr>
                <w:delText xml:space="preserve">týdnu 2 </w:delText>
              </w:r>
            </w:del>
          </w:p>
          <w:p w14:paraId="6E968E32" w14:textId="77777777" w:rsidR="000A79CD" w:rsidRPr="00D01607" w:rsidRDefault="00000000" w:rsidP="008401F1">
            <w:pPr>
              <w:pStyle w:val="paragraph0"/>
              <w:spacing w:before="0" w:beforeAutospacing="0" w:after="0" w:afterAutospacing="0"/>
              <w:textAlignment w:val="baseline"/>
              <w:rPr>
                <w:del w:id="8072" w:author="AbbVie1" w:date="2025-05-13T09:50:00Z"/>
                <w:sz w:val="22"/>
                <w:szCs w:val="22"/>
              </w:rPr>
            </w:pPr>
            <w:del w:id="8073" w:author="AbbVie1" w:date="2025-05-13T09:50:00Z">
              <w:r>
                <w:rPr>
                  <w:rStyle w:val="normaltextrun"/>
                  <w:sz w:val="22"/>
                  <w:vertAlign w:val="superscript"/>
                </w:rPr>
                <w:delText>d</w:delText>
              </w:r>
              <w:r>
                <w:rPr>
                  <w:sz w:val="22"/>
                </w:rPr>
                <w:delText xml:space="preserve"> Humira 0,6</w:delText>
              </w:r>
              <w:r w:rsidR="00F365E7" w:rsidRPr="00005EC2">
                <w:rPr>
                  <w:sz w:val="22"/>
                  <w:szCs w:val="22"/>
                </w:rPr>
                <w:delText> </w:delText>
              </w:r>
              <w:r>
                <w:rPr>
                  <w:sz w:val="22"/>
                </w:rPr>
                <w:delText>mg/kg</w:delText>
              </w:r>
              <w:r w:rsidR="00950D86">
                <w:rPr>
                  <w:sz w:val="22"/>
                </w:rPr>
                <w:delText xml:space="preserve"> </w:delText>
              </w:r>
              <w:r>
                <w:rPr>
                  <w:sz w:val="22"/>
                </w:rPr>
                <w:delText>(maximální dávka 40</w:delText>
              </w:r>
              <w:r w:rsidR="00F365E7" w:rsidRPr="00005EC2">
                <w:rPr>
                  <w:sz w:val="22"/>
                  <w:szCs w:val="22"/>
                </w:rPr>
                <w:delText> </w:delText>
              </w:r>
              <w:r>
                <w:rPr>
                  <w:sz w:val="22"/>
                </w:rPr>
                <w:delText>mg)</w:delText>
              </w:r>
              <w:r w:rsidR="00950D86">
                <w:rPr>
                  <w:sz w:val="22"/>
                </w:rPr>
                <w:delText xml:space="preserve"> </w:delText>
              </w:r>
              <w:r>
                <w:rPr>
                  <w:sz w:val="22"/>
                </w:rPr>
                <w:delText>jednou za dva týdny</w:delText>
              </w:r>
            </w:del>
          </w:p>
          <w:p w14:paraId="20DA121F" w14:textId="77777777" w:rsidR="000A79CD" w:rsidRPr="00950D86" w:rsidRDefault="00000000" w:rsidP="008401F1">
            <w:pPr>
              <w:ind w:left="0" w:firstLine="0"/>
              <w:rPr>
                <w:del w:id="8074" w:author="AbbVie1" w:date="2025-05-13T09:50:00Z"/>
                <w:szCs w:val="22"/>
              </w:rPr>
            </w:pPr>
            <w:del w:id="8075" w:author="AbbVie1" w:date="2025-05-13T09:50:00Z">
              <w:r>
                <w:rPr>
                  <w:vertAlign w:val="superscript"/>
                </w:rPr>
                <w:delText>e</w:delText>
              </w:r>
              <w:r>
                <w:delText xml:space="preserve"> </w:delText>
              </w:r>
              <w:r w:rsidRPr="00950D86">
                <w:rPr>
                  <w:szCs w:val="22"/>
                </w:rPr>
                <w:delText>Humira 0,6</w:delText>
              </w:r>
              <w:r w:rsidR="00F365E7" w:rsidRPr="00005EC2">
                <w:rPr>
                  <w:szCs w:val="22"/>
                </w:rPr>
                <w:delText> </w:delText>
              </w:r>
              <w:r w:rsidRPr="00950D86">
                <w:rPr>
                  <w:szCs w:val="22"/>
                </w:rPr>
                <w:delText>mg/kg</w:delText>
              </w:r>
              <w:r w:rsidR="00950D86" w:rsidRPr="00950D86">
                <w:rPr>
                  <w:szCs w:val="22"/>
                </w:rPr>
                <w:delText xml:space="preserve"> </w:delText>
              </w:r>
              <w:r w:rsidRPr="00950D86">
                <w:rPr>
                  <w:szCs w:val="22"/>
                </w:rPr>
                <w:delText>(maximální dávka 40</w:delText>
              </w:r>
              <w:r w:rsidR="00F365E7" w:rsidRPr="00005EC2">
                <w:rPr>
                  <w:szCs w:val="22"/>
                </w:rPr>
                <w:delText> </w:delText>
              </w:r>
              <w:r w:rsidRPr="00950D86">
                <w:rPr>
                  <w:szCs w:val="22"/>
                </w:rPr>
                <w:delText>mg)</w:delText>
              </w:r>
              <w:r w:rsidR="00950D86" w:rsidRPr="00950D86">
                <w:rPr>
                  <w:szCs w:val="22"/>
                </w:rPr>
                <w:delText xml:space="preserve"> </w:delText>
              </w:r>
              <w:r w:rsidRPr="00950D86">
                <w:rPr>
                  <w:szCs w:val="22"/>
                </w:rPr>
                <w:delText>jednou týdně</w:delText>
              </w:r>
            </w:del>
          </w:p>
          <w:p w14:paraId="68F5EFC6" w14:textId="77777777" w:rsidR="000A79CD" w:rsidRPr="00950D86" w:rsidRDefault="00000000" w:rsidP="008401F1">
            <w:pPr>
              <w:pStyle w:val="paragraph0"/>
              <w:spacing w:before="0" w:beforeAutospacing="0" w:after="0" w:afterAutospacing="0"/>
              <w:textAlignment w:val="baseline"/>
              <w:rPr>
                <w:del w:id="8076" w:author="AbbVie1" w:date="2025-05-13T09:50:00Z"/>
                <w:sz w:val="22"/>
                <w:szCs w:val="22"/>
              </w:rPr>
            </w:pPr>
            <w:del w:id="8077" w:author="AbbVie1" w:date="2025-05-13T09:50:00Z">
              <w:r w:rsidRPr="00950D86">
                <w:rPr>
                  <w:rStyle w:val="normaltextrun"/>
                  <w:sz w:val="22"/>
                  <w:szCs w:val="22"/>
                </w:rPr>
                <w:delText>Pozn. 1:</w:delText>
              </w:r>
              <w:r w:rsidRPr="00950D86">
                <w:rPr>
                  <w:sz w:val="22"/>
                  <w:szCs w:val="22"/>
                </w:rPr>
                <w:delText xml:space="preserve"> </w:delText>
              </w:r>
              <w:r w:rsidRPr="00950D86">
                <w:rPr>
                  <w:rStyle w:val="normaltextrun"/>
                  <w:sz w:val="22"/>
                  <w:szCs w:val="22"/>
                </w:rPr>
                <w:delText>Obě indukční skupiny dostávaly 0,6</w:delText>
              </w:r>
              <w:r w:rsidR="00F365E7" w:rsidRPr="00005EC2">
                <w:rPr>
                  <w:sz w:val="22"/>
                  <w:szCs w:val="22"/>
                </w:rPr>
                <w:delText> </w:delText>
              </w:r>
              <w:r w:rsidRPr="00950D86">
                <w:rPr>
                  <w:rStyle w:val="normaltextrun"/>
                  <w:sz w:val="22"/>
                  <w:szCs w:val="22"/>
                </w:rPr>
                <w:delText>mg/kg (maximální dávka 40</w:delText>
              </w:r>
              <w:r w:rsidR="00F365E7" w:rsidRPr="00005EC2">
                <w:rPr>
                  <w:sz w:val="22"/>
                  <w:szCs w:val="22"/>
                </w:rPr>
                <w:delText> </w:delText>
              </w:r>
              <w:r w:rsidRPr="00950D86">
                <w:rPr>
                  <w:rStyle w:val="normaltextrun"/>
                  <w:sz w:val="22"/>
                  <w:szCs w:val="22"/>
                </w:rPr>
                <w:delText>mg) v</w:delText>
              </w:r>
              <w:r w:rsidR="007714F6" w:rsidRPr="00950D86">
                <w:rPr>
                  <w:rStyle w:val="normaltextrun"/>
                  <w:sz w:val="22"/>
                  <w:szCs w:val="22"/>
                </w:rPr>
                <w:delText> </w:delText>
              </w:r>
              <w:r w:rsidRPr="00950D86">
                <w:rPr>
                  <w:rStyle w:val="normaltextrun"/>
                  <w:sz w:val="22"/>
                  <w:szCs w:val="22"/>
                </w:rPr>
                <w:delText>týdnu 4</w:delText>
              </w:r>
              <w:r w:rsidR="002378E0">
                <w:rPr>
                  <w:rStyle w:val="normaltextrun"/>
                  <w:sz w:val="22"/>
                  <w:szCs w:val="22"/>
                </w:rPr>
                <w:delText xml:space="preserve"> a </w:delText>
              </w:r>
              <w:r w:rsidRPr="00950D86">
                <w:rPr>
                  <w:rStyle w:val="normaltextrun"/>
                  <w:sz w:val="22"/>
                  <w:szCs w:val="22"/>
                </w:rPr>
                <w:delText>6</w:delText>
              </w:r>
              <w:r w:rsidRPr="00950D86">
                <w:rPr>
                  <w:rStyle w:val="eop"/>
                  <w:sz w:val="22"/>
                  <w:szCs w:val="22"/>
                </w:rPr>
                <w:delText xml:space="preserve"> </w:delText>
              </w:r>
            </w:del>
          </w:p>
          <w:p w14:paraId="3DFC67D4" w14:textId="77777777" w:rsidR="000A79CD" w:rsidRPr="00950D86" w:rsidRDefault="00000000" w:rsidP="008401F1">
            <w:pPr>
              <w:pStyle w:val="paragraph0"/>
              <w:spacing w:before="0" w:beforeAutospacing="0" w:after="0" w:afterAutospacing="0"/>
              <w:textAlignment w:val="baseline"/>
              <w:rPr>
                <w:del w:id="8078" w:author="AbbVie1" w:date="2025-05-13T09:50:00Z"/>
                <w:rStyle w:val="eop"/>
                <w:sz w:val="22"/>
                <w:szCs w:val="22"/>
              </w:rPr>
            </w:pPr>
            <w:del w:id="8079" w:author="AbbVie1" w:date="2025-05-13T09:50:00Z">
              <w:r w:rsidRPr="00950D86">
                <w:rPr>
                  <w:rStyle w:val="normaltextrun"/>
                  <w:sz w:val="22"/>
                  <w:szCs w:val="22"/>
                </w:rPr>
                <w:delText>Pozn. 2:</w:delText>
              </w:r>
              <w:r w:rsidRPr="00950D86">
                <w:rPr>
                  <w:sz w:val="22"/>
                  <w:szCs w:val="22"/>
                </w:rPr>
                <w:delText xml:space="preserve"> </w:delText>
              </w:r>
              <w:r w:rsidRPr="00950D86">
                <w:rPr>
                  <w:rStyle w:val="normaltextrun"/>
                  <w:sz w:val="22"/>
                  <w:szCs w:val="22"/>
                </w:rPr>
                <w:delText>Pacienti s chybějícími hodnotami v týdnu 8 byli považováni za pacienty, kteří nesplnili cílové parametry</w:delText>
              </w:r>
              <w:r w:rsidRPr="00950D86">
                <w:rPr>
                  <w:rStyle w:val="eop"/>
                  <w:sz w:val="22"/>
                  <w:szCs w:val="22"/>
                </w:rPr>
                <w:delText xml:space="preserve"> </w:delText>
              </w:r>
            </w:del>
          </w:p>
          <w:p w14:paraId="1728153F" w14:textId="77777777" w:rsidR="000A79CD" w:rsidRPr="00D01607" w:rsidRDefault="00000000" w:rsidP="008401F1">
            <w:pPr>
              <w:pStyle w:val="paragraph0"/>
              <w:spacing w:before="0" w:beforeAutospacing="0" w:after="0" w:afterAutospacing="0"/>
              <w:textAlignment w:val="baseline"/>
              <w:rPr>
                <w:del w:id="8080" w:author="AbbVie1" w:date="2025-05-13T09:50:00Z"/>
                <w:sz w:val="22"/>
                <w:szCs w:val="22"/>
              </w:rPr>
            </w:pPr>
            <w:del w:id="8081" w:author="AbbVie1" w:date="2025-05-13T09:50:00Z">
              <w:r w:rsidRPr="00950D86">
                <w:rPr>
                  <w:rStyle w:val="eop"/>
                  <w:sz w:val="22"/>
                  <w:szCs w:val="22"/>
                </w:rPr>
                <w:delText>Pozn. 3:</w:delText>
              </w:r>
              <w:r w:rsidRPr="00950D86">
                <w:rPr>
                  <w:sz w:val="22"/>
                  <w:szCs w:val="22"/>
                </w:rPr>
                <w:delText xml:space="preserve"> Pacienti s chybějícími hodnotami v</w:delText>
              </w:r>
              <w:r w:rsidR="007714F6" w:rsidRPr="00950D86">
                <w:rPr>
                  <w:sz w:val="22"/>
                  <w:szCs w:val="22"/>
                </w:rPr>
                <w:delText> </w:delText>
              </w:r>
              <w:r w:rsidRPr="00950D86">
                <w:rPr>
                  <w:sz w:val="22"/>
                  <w:szCs w:val="22"/>
                </w:rPr>
                <w:delText>týdnu 52 nebo randomizovaní k opětovné indukční nebo udržovací léčbě byli považováni za pacienty bez odpovědi pro cílové parametry v</w:delText>
              </w:r>
              <w:r w:rsidR="007714F6" w:rsidRPr="00950D86">
                <w:rPr>
                  <w:sz w:val="22"/>
                  <w:szCs w:val="22"/>
                </w:rPr>
                <w:delText> </w:delText>
              </w:r>
              <w:r w:rsidRPr="00950D86">
                <w:rPr>
                  <w:sz w:val="22"/>
                  <w:szCs w:val="22"/>
                </w:rPr>
                <w:delText>týdnu 52</w:delText>
              </w:r>
            </w:del>
          </w:p>
        </w:tc>
      </w:tr>
    </w:tbl>
    <w:p w14:paraId="2EBED835" w14:textId="77777777" w:rsidR="000A79CD" w:rsidRPr="00D01607" w:rsidRDefault="000A79CD" w:rsidP="000A79CD">
      <w:pPr>
        <w:rPr>
          <w:del w:id="8082" w:author="AbbVie1" w:date="2025-05-13T09:50:00Z"/>
        </w:rPr>
      </w:pPr>
    </w:p>
    <w:p w14:paraId="6A7923C5" w14:textId="77777777" w:rsidR="000A79CD" w:rsidRDefault="00000000" w:rsidP="000A79CD">
      <w:pPr>
        <w:ind w:left="0" w:firstLine="0"/>
        <w:rPr>
          <w:del w:id="8083" w:author="AbbVie1" w:date="2025-05-13T09:50:00Z"/>
        </w:rPr>
      </w:pPr>
      <w:del w:id="8084" w:author="AbbVie1" w:date="2025-05-13T09:50:00Z">
        <w:r>
          <w:delText>Z</w:delText>
        </w:r>
        <w:r w:rsidR="00950D86">
          <w:delText> </w:delText>
        </w:r>
        <w:r>
          <w:delText>pacientů léčených přípravkem Humira, kteří během udržovacího období podstoupili opětovnou indukční léčbu, dosáhlo 2/6 (33</w:delText>
        </w:r>
        <w:r w:rsidR="007714F6">
          <w:rPr>
            <w:rStyle w:val="normaltextrun"/>
          </w:rPr>
          <w:delText> </w:delText>
        </w:r>
        <w:r>
          <w:delText>%) klinické odpovědi podle FMS v</w:delText>
        </w:r>
        <w:r w:rsidR="007714F6">
          <w:delText> </w:delText>
        </w:r>
        <w:r>
          <w:delText>týdnu 52.</w:delText>
        </w:r>
      </w:del>
    </w:p>
    <w:p w14:paraId="445E3773" w14:textId="77777777" w:rsidR="000A79CD" w:rsidRPr="00D01607" w:rsidRDefault="000A79CD" w:rsidP="000A79CD">
      <w:pPr>
        <w:ind w:left="0" w:firstLine="0"/>
        <w:rPr>
          <w:del w:id="8085" w:author="AbbVie1" w:date="2025-05-13T09:50:00Z"/>
        </w:rPr>
      </w:pPr>
    </w:p>
    <w:p w14:paraId="6D820C6B" w14:textId="77777777" w:rsidR="000A79CD" w:rsidRDefault="00000000" w:rsidP="000A79CD">
      <w:pPr>
        <w:keepNext/>
        <w:ind w:left="0" w:firstLine="0"/>
        <w:rPr>
          <w:del w:id="8086" w:author="AbbVie1" w:date="2025-05-13T09:50:00Z"/>
          <w:bCs/>
          <w:i/>
          <w:u w:val="single"/>
        </w:rPr>
      </w:pPr>
      <w:del w:id="8087" w:author="AbbVie1" w:date="2025-05-13T09:50:00Z">
        <w:r>
          <w:rPr>
            <w:i/>
            <w:u w:val="single"/>
          </w:rPr>
          <w:delText>Kvalita života</w:delText>
        </w:r>
      </w:del>
    </w:p>
    <w:p w14:paraId="31235650" w14:textId="77777777" w:rsidR="000A79CD" w:rsidRPr="00D01607" w:rsidRDefault="000A79CD" w:rsidP="000A79CD">
      <w:pPr>
        <w:keepNext/>
        <w:ind w:left="0" w:firstLine="0"/>
        <w:rPr>
          <w:del w:id="8088" w:author="AbbVie1" w:date="2025-05-13T09:50:00Z"/>
          <w:bCs/>
          <w:i/>
          <w:u w:val="single"/>
        </w:rPr>
      </w:pPr>
    </w:p>
    <w:p w14:paraId="33B31534" w14:textId="77777777" w:rsidR="000A79CD" w:rsidRPr="00D01607" w:rsidRDefault="00000000" w:rsidP="000A79CD">
      <w:pPr>
        <w:keepNext/>
        <w:ind w:left="0" w:firstLine="0"/>
        <w:rPr>
          <w:del w:id="8089" w:author="AbbVie1" w:date="2025-05-13T09:50:00Z"/>
        </w:rPr>
      </w:pPr>
      <w:del w:id="8090" w:author="AbbVie1" w:date="2025-05-13T09:50:00Z">
        <w:r>
          <w:delText>U skupin léčených přípravkem Humira bylo pozorováno klinicky významné zlepšení v</w:delText>
        </w:r>
        <w:r w:rsidR="007714F6">
          <w:delText> </w:delText>
        </w:r>
        <w:r w:rsidRPr="001B4A02">
          <w:delText xml:space="preserve">parametrech kvality života (včetně </w:delText>
        </w:r>
        <w:r w:rsidRPr="00986E88">
          <w:rPr>
            <w:szCs w:val="22"/>
          </w:rPr>
          <w:delText>WPAI</w:delText>
        </w:r>
        <w:r w:rsidRPr="001B4A02">
          <w:delText xml:space="preserve"> </w:delText>
        </w:r>
        <w:r>
          <w:delText>skóre</w:delText>
        </w:r>
        <w:r w:rsidR="002378E0">
          <w:delText xml:space="preserve"> a </w:delText>
        </w:r>
        <w:r w:rsidRPr="001B4A02">
          <w:delText>IMPACT III</w:delText>
        </w:r>
        <w:r>
          <w:delText>).</w:delText>
        </w:r>
      </w:del>
    </w:p>
    <w:p w14:paraId="78413312" w14:textId="77777777" w:rsidR="000A79CD" w:rsidRDefault="000A79CD" w:rsidP="000A79CD">
      <w:pPr>
        <w:ind w:left="0" w:firstLine="0"/>
        <w:rPr>
          <w:del w:id="8091" w:author="AbbVie1" w:date="2025-05-13T09:50:00Z"/>
        </w:rPr>
      </w:pPr>
    </w:p>
    <w:p w14:paraId="785128CE" w14:textId="77777777" w:rsidR="000A79CD" w:rsidRDefault="00000000" w:rsidP="000A79CD">
      <w:pPr>
        <w:ind w:left="0" w:firstLine="0"/>
        <w:rPr>
          <w:del w:id="8092" w:author="AbbVie1" w:date="2025-05-13T09:50:00Z"/>
        </w:rPr>
      </w:pPr>
      <w:del w:id="8093" w:author="AbbVie1" w:date="2025-05-13T09:50:00Z">
        <w:r w:rsidRPr="001F29A6">
          <w:delText>U skupin léčených adalimumabem vysokou udržovací dávkou maximálně 40</w:delText>
        </w:r>
        <w:r>
          <w:delText> </w:delText>
        </w:r>
        <w:r w:rsidRPr="001F29A6">
          <w:delText>mg (0,6</w:delText>
        </w:r>
        <w:r>
          <w:delText> </w:delText>
        </w:r>
        <w:r w:rsidRPr="001F29A6">
          <w:delText>mg/kg) týdně bylo pozorováno klinicky významné zvýšení (zlepšení) rychlosti růstu</w:delText>
        </w:r>
        <w:r w:rsidR="002378E0">
          <w:delText xml:space="preserve"> a </w:delText>
        </w:r>
        <w:r w:rsidRPr="001F29A6">
          <w:delText>klinicky významné zvýšení (zlepšení) Body Mass Indexu v porovnání s výchozím stavem</w:delText>
        </w:r>
        <w:r>
          <w:delText>.</w:delText>
        </w:r>
      </w:del>
    </w:p>
    <w:p w14:paraId="5C975CFF" w14:textId="77777777" w:rsidR="00A26519" w:rsidRDefault="00A26519" w:rsidP="00ED48A3">
      <w:pPr>
        <w:keepNext/>
        <w:ind w:left="0" w:firstLine="0"/>
        <w:rPr>
          <w:del w:id="8094" w:author="AbbVie1" w:date="2025-05-13T09:50:00Z"/>
        </w:rPr>
      </w:pPr>
    </w:p>
    <w:p w14:paraId="35D78DB6" w14:textId="77777777" w:rsidR="00700074" w:rsidRPr="001B4A02" w:rsidRDefault="00000000" w:rsidP="00700074">
      <w:pPr>
        <w:keepNext/>
        <w:rPr>
          <w:del w:id="8095" w:author="AbbVie1" w:date="2025-05-13T09:50:00Z"/>
          <w:i/>
          <w:color w:val="000000"/>
        </w:rPr>
      </w:pPr>
      <w:del w:id="8096" w:author="AbbVie1" w:date="2025-05-13T09:50:00Z">
        <w:r w:rsidRPr="001B4A02">
          <w:rPr>
            <w:i/>
            <w:color w:val="000000"/>
          </w:rPr>
          <w:delText>Uveitida u pediatrických pacientů</w:delText>
        </w:r>
      </w:del>
    </w:p>
    <w:p w14:paraId="29644840" w14:textId="77777777" w:rsidR="00700074" w:rsidRPr="001B4A02" w:rsidRDefault="00700074" w:rsidP="00700074">
      <w:pPr>
        <w:keepNext/>
        <w:rPr>
          <w:del w:id="8097" w:author="AbbVie1" w:date="2025-05-13T09:50:00Z"/>
          <w:color w:val="000000"/>
        </w:rPr>
      </w:pPr>
    </w:p>
    <w:p w14:paraId="07347D85" w14:textId="77777777" w:rsidR="00700074" w:rsidRPr="001B4A02" w:rsidRDefault="00000000" w:rsidP="00700074">
      <w:pPr>
        <w:pStyle w:val="gtcbodytext"/>
        <w:spacing w:before="0" w:after="0" w:line="240" w:lineRule="auto"/>
        <w:rPr>
          <w:del w:id="8098" w:author="AbbVie1" w:date="2025-05-13T09:50:00Z"/>
          <w:bCs/>
          <w:sz w:val="22"/>
          <w:szCs w:val="20"/>
          <w:lang w:val="cs-CZ"/>
        </w:rPr>
      </w:pPr>
      <w:del w:id="8099" w:author="AbbVie1" w:date="2025-05-13T09:50:00Z">
        <w:r w:rsidRPr="001B4A02">
          <w:rPr>
            <w:bCs/>
            <w:sz w:val="22"/>
            <w:szCs w:val="22"/>
            <w:lang w:val="cs-CZ"/>
          </w:rPr>
          <w:delText>Bezpečnost</w:delText>
        </w:r>
        <w:r w:rsidR="002378E0">
          <w:rPr>
            <w:bCs/>
            <w:sz w:val="22"/>
            <w:szCs w:val="22"/>
            <w:lang w:val="cs-CZ"/>
          </w:rPr>
          <w:delText xml:space="preserve"> a </w:delText>
        </w:r>
        <w:r w:rsidRPr="001B4A02">
          <w:rPr>
            <w:bCs/>
            <w:sz w:val="22"/>
            <w:szCs w:val="22"/>
            <w:lang w:val="cs-CZ"/>
          </w:rPr>
          <w:delText>účinnost přípravku Humira byla hodnocena v randomizované, dvojitě zaslepené, kontrolované studii u 90 pediatrických pacientů ve věku od 2 do &lt; 18 let s neinfekční přední uveitidou související s JIA, kteří byli refrakterní na nejméně 12týdenní léčbu methotrexátem. Pacienti dostávali buď placebo, nebo 20 mg adalimumabu (pokud měli tělesnou hmotnost &lt; 30</w:delText>
        </w:r>
        <w:r w:rsidR="002767FC">
          <w:rPr>
            <w:bCs/>
            <w:sz w:val="22"/>
            <w:szCs w:val="22"/>
            <w:lang w:val="cs-CZ"/>
          </w:rPr>
          <w:delText> kg</w:delText>
        </w:r>
        <w:r w:rsidRPr="001B4A02">
          <w:rPr>
            <w:bCs/>
            <w:sz w:val="22"/>
            <w:szCs w:val="22"/>
            <w:lang w:val="cs-CZ"/>
          </w:rPr>
          <w:delText>) nebo 40 mg adalimumabu (pokud měli tělesnou hmotnost ≥ 30</w:delText>
        </w:r>
        <w:r w:rsidR="002767FC">
          <w:rPr>
            <w:bCs/>
            <w:sz w:val="22"/>
            <w:szCs w:val="22"/>
            <w:lang w:val="cs-CZ"/>
          </w:rPr>
          <w:delText> kg</w:delText>
        </w:r>
        <w:r w:rsidRPr="001B4A02">
          <w:rPr>
            <w:bCs/>
            <w:sz w:val="22"/>
            <w:szCs w:val="22"/>
            <w:lang w:val="cs-CZ"/>
          </w:rPr>
          <w:delText xml:space="preserve">) každý druhý týden v kombinaci se svou úvodní dávkou methotrexátu. </w:delText>
        </w:r>
      </w:del>
    </w:p>
    <w:p w14:paraId="03C008A0" w14:textId="77777777" w:rsidR="00700074" w:rsidRPr="001B4A02" w:rsidRDefault="00700074" w:rsidP="00700074">
      <w:pPr>
        <w:pStyle w:val="gtcbodytext"/>
        <w:spacing w:before="0" w:after="0" w:line="240" w:lineRule="auto"/>
        <w:rPr>
          <w:del w:id="8100" w:author="AbbVie1" w:date="2025-05-13T09:50:00Z"/>
          <w:bCs/>
          <w:sz w:val="22"/>
          <w:szCs w:val="20"/>
          <w:lang w:val="cs-CZ"/>
        </w:rPr>
      </w:pPr>
    </w:p>
    <w:p w14:paraId="7917832A" w14:textId="77777777" w:rsidR="00700074" w:rsidRPr="001B4A02" w:rsidRDefault="00000000" w:rsidP="00700074">
      <w:pPr>
        <w:pStyle w:val="gtcbodytext"/>
        <w:spacing w:before="0" w:after="0" w:line="240" w:lineRule="auto"/>
        <w:rPr>
          <w:del w:id="8101" w:author="AbbVie1" w:date="2025-05-13T09:50:00Z"/>
          <w:bCs/>
          <w:sz w:val="22"/>
          <w:szCs w:val="20"/>
          <w:lang w:val="cs-CZ"/>
        </w:rPr>
      </w:pPr>
      <w:del w:id="8102" w:author="AbbVie1" w:date="2025-05-13T09:50:00Z">
        <w:r w:rsidRPr="001B4A02">
          <w:rPr>
            <w:bCs/>
            <w:sz w:val="22"/>
            <w:szCs w:val="22"/>
            <w:lang w:val="cs-CZ"/>
          </w:rPr>
          <w:delText>Primárním cílovým ukazatelem byla doba do selhání léčby. Kritériem pro stanovení selhání léčby bylo zhoršení nebo trvalé nezlepšení očního zánětu, částečné zlepšení s rozvojem trvalých očních komorbidit nebo zhoršení očních komorbidit, nepovolené použití souběžné léčby</w:delText>
        </w:r>
        <w:r w:rsidR="002378E0">
          <w:rPr>
            <w:bCs/>
            <w:sz w:val="22"/>
            <w:szCs w:val="22"/>
            <w:lang w:val="cs-CZ"/>
          </w:rPr>
          <w:delText xml:space="preserve"> a </w:delText>
        </w:r>
        <w:r w:rsidRPr="001B4A02">
          <w:rPr>
            <w:bCs/>
            <w:sz w:val="22"/>
            <w:szCs w:val="22"/>
            <w:lang w:val="cs-CZ"/>
          </w:rPr>
          <w:delText>přerušení léčby po delší časové období.</w:delText>
        </w:r>
      </w:del>
    </w:p>
    <w:p w14:paraId="160FE66F" w14:textId="77777777" w:rsidR="00700074" w:rsidRPr="001B4A02" w:rsidRDefault="00700074" w:rsidP="00700074">
      <w:pPr>
        <w:pStyle w:val="gtcbodytext"/>
        <w:spacing w:before="0" w:after="0" w:line="240" w:lineRule="auto"/>
        <w:rPr>
          <w:del w:id="8103" w:author="AbbVie1" w:date="2025-05-13T09:50:00Z"/>
          <w:bCs/>
          <w:sz w:val="22"/>
          <w:szCs w:val="20"/>
          <w:lang w:val="cs-CZ"/>
        </w:rPr>
      </w:pPr>
    </w:p>
    <w:p w14:paraId="7B07F3AE" w14:textId="77777777" w:rsidR="00700074" w:rsidRPr="001B4A02" w:rsidRDefault="00000000" w:rsidP="00700074">
      <w:pPr>
        <w:pStyle w:val="EMEAHeadingUnderline"/>
        <w:keepNext/>
        <w:spacing w:beforeLines="0" w:before="0" w:afterLines="0" w:after="0"/>
        <w:rPr>
          <w:del w:id="8104" w:author="AbbVie1" w:date="2025-05-13T09:50:00Z"/>
          <w:i/>
          <w:lang w:val="cs-CZ"/>
        </w:rPr>
      </w:pPr>
      <w:del w:id="8105" w:author="AbbVie1" w:date="2025-05-13T09:50:00Z">
        <w:r w:rsidRPr="001B4A02">
          <w:rPr>
            <w:i/>
            <w:iCs/>
            <w:szCs w:val="22"/>
            <w:lang w:val="cs-CZ"/>
          </w:rPr>
          <w:delText>Klinická odpověď</w:delText>
        </w:r>
      </w:del>
    </w:p>
    <w:p w14:paraId="7B1C65B9" w14:textId="77777777" w:rsidR="00700074" w:rsidRPr="001B4A02" w:rsidRDefault="00700074" w:rsidP="00700074">
      <w:pPr>
        <w:pStyle w:val="gtcbodytext"/>
        <w:keepNext/>
        <w:spacing w:before="0" w:after="0" w:line="240" w:lineRule="auto"/>
        <w:rPr>
          <w:del w:id="8106" w:author="AbbVie1" w:date="2025-05-13T09:50:00Z"/>
          <w:i/>
          <w:u w:val="single"/>
          <w:lang w:val="cs-CZ"/>
        </w:rPr>
      </w:pPr>
    </w:p>
    <w:p w14:paraId="0B7772CE" w14:textId="77777777" w:rsidR="00700074" w:rsidRPr="001B4A02" w:rsidRDefault="00000000" w:rsidP="00700074">
      <w:pPr>
        <w:pStyle w:val="EMEANormal"/>
        <w:rPr>
          <w:del w:id="8107" w:author="AbbVie1" w:date="2025-05-13T09:50:00Z"/>
          <w:bCs/>
          <w:szCs w:val="22"/>
          <w:bdr w:val="nil"/>
          <w:lang w:val="cs-CZ"/>
        </w:rPr>
      </w:pPr>
      <w:del w:id="8108" w:author="AbbVie1" w:date="2025-05-13T09:50:00Z">
        <w:r w:rsidRPr="001B4A02">
          <w:rPr>
            <w:bCs/>
            <w:szCs w:val="22"/>
            <w:lang w:val="cs-CZ"/>
          </w:rPr>
          <w:delText xml:space="preserve">Adalimumab významně prodloužil dobu do selhání léčby v porovnání s placebem (viz obrázek </w:delText>
        </w:r>
        <w:r>
          <w:rPr>
            <w:bCs/>
            <w:szCs w:val="22"/>
            <w:lang w:val="cs-CZ"/>
          </w:rPr>
          <w:delText>3</w:delText>
        </w:r>
        <w:r w:rsidRPr="001B4A02">
          <w:rPr>
            <w:bCs/>
            <w:szCs w:val="22"/>
            <w:lang w:val="cs-CZ"/>
          </w:rPr>
          <w:delText>, P &lt; 0,0001 z log rank testu). Medián doby do selhání léčby byl 24,1 týdnů u pacientů s placebem, zatímco medián doby do selhání léčby nebylo možné odhadnout u pacientů léčených adalimumabem, protože léčba selhala u méně než poloviny těchto pacientů. Adalimumab významně snížil riziko selhání léčby o 75 % v porovnání s placebem, jak je uvedeno podle hodnoty poměru rizik (HR = 0,25 [95% CI: 0,12; 0,49]).</w:delText>
        </w:r>
      </w:del>
    </w:p>
    <w:p w14:paraId="007C0169" w14:textId="77777777" w:rsidR="00700074" w:rsidRPr="001B4A02" w:rsidRDefault="00700074" w:rsidP="00700074">
      <w:pPr>
        <w:pStyle w:val="EMEANormal"/>
        <w:rPr>
          <w:del w:id="8109" w:author="AbbVie1" w:date="2025-05-13T09:50:00Z"/>
          <w:bCs/>
          <w:szCs w:val="22"/>
          <w:bdr w:val="nil"/>
          <w:lang w:val="cs-CZ"/>
        </w:rPr>
      </w:pPr>
    </w:p>
    <w:p w14:paraId="304ED1F1" w14:textId="77777777" w:rsidR="00700074" w:rsidRPr="001B4A02" w:rsidRDefault="00000000" w:rsidP="00700074">
      <w:pPr>
        <w:pStyle w:val="EMEANormal"/>
        <w:keepNext/>
        <w:jc w:val="center"/>
        <w:rPr>
          <w:del w:id="8110" w:author="AbbVie1" w:date="2025-05-13T09:50:00Z"/>
          <w:b/>
          <w:bCs/>
          <w:szCs w:val="22"/>
          <w:bdr w:val="nil"/>
          <w:lang w:val="cs-CZ"/>
        </w:rPr>
      </w:pPr>
      <w:del w:id="8111" w:author="AbbVie1" w:date="2025-05-13T09:50:00Z">
        <w:r w:rsidRPr="001B4A02">
          <w:rPr>
            <w:b/>
            <w:bCs/>
            <w:szCs w:val="22"/>
            <w:lang w:val="cs-CZ"/>
          </w:rPr>
          <w:delText xml:space="preserve">Obrázek </w:delText>
        </w:r>
        <w:r>
          <w:rPr>
            <w:b/>
            <w:bCs/>
            <w:szCs w:val="22"/>
            <w:lang w:val="cs-CZ"/>
          </w:rPr>
          <w:delText>3</w:delText>
        </w:r>
        <w:r w:rsidRPr="001B4A02">
          <w:rPr>
            <w:b/>
            <w:bCs/>
            <w:szCs w:val="22"/>
            <w:lang w:val="cs-CZ"/>
          </w:rPr>
          <w:delText>: Kaplan-Meierovy křivky shrnující dobu do selhání léčby ve studii u pediatrických pacientů s uveitidou</w:delText>
        </w:r>
      </w:del>
    </w:p>
    <w:p w14:paraId="5AD8D840" w14:textId="77777777" w:rsidR="00700074" w:rsidRPr="001B4A02" w:rsidRDefault="00700074" w:rsidP="00700074">
      <w:pPr>
        <w:pStyle w:val="EMEANormal"/>
        <w:keepNext/>
        <w:jc w:val="center"/>
        <w:rPr>
          <w:del w:id="8112" w:author="AbbVie1" w:date="2025-05-13T09:50:00Z"/>
          <w:b/>
          <w:bCs/>
          <w:szCs w:val="22"/>
          <w:bdr w:val="nil"/>
          <w:lang w:val="cs-CZ"/>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534A2D" w14:paraId="06301EFE" w14:textId="77777777" w:rsidTr="00E571F5">
        <w:trPr>
          <w:cantSplit/>
          <w:trHeight w:val="3806"/>
          <w:del w:id="8113" w:author="AbbVie1" w:date="2025-05-13T09:50:00Z"/>
        </w:trPr>
        <w:tc>
          <w:tcPr>
            <w:tcW w:w="468" w:type="dxa"/>
            <w:shd w:val="clear" w:color="auto" w:fill="auto"/>
            <w:textDirection w:val="btLr"/>
            <w:vAlign w:val="bottom"/>
          </w:tcPr>
          <w:p w14:paraId="4BED0274" w14:textId="77777777" w:rsidR="00700074" w:rsidRPr="001B4A02" w:rsidRDefault="00000000" w:rsidP="00E571F5">
            <w:pPr>
              <w:pStyle w:val="EMEANormal"/>
              <w:keepNext/>
              <w:ind w:left="113" w:right="113"/>
              <w:jc w:val="center"/>
              <w:rPr>
                <w:del w:id="8114" w:author="AbbVie1" w:date="2025-05-13T09:50:00Z"/>
                <w:b/>
                <w:szCs w:val="22"/>
                <w:lang w:val="cs-CZ"/>
              </w:rPr>
            </w:pPr>
            <w:del w:id="8115" w:author="AbbVie1" w:date="2025-05-13T09:50:00Z">
              <w:r w:rsidRPr="001B4A02">
                <w:rPr>
                  <w:b/>
                  <w:szCs w:val="22"/>
                  <w:lang w:val="cs-CZ"/>
                </w:rPr>
                <w:delText>PRAVDĚPODOBNOST SELHÁNÍ LÉČBY</w:delText>
              </w:r>
            </w:del>
          </w:p>
        </w:tc>
        <w:tc>
          <w:tcPr>
            <w:tcW w:w="8820" w:type="dxa"/>
            <w:gridSpan w:val="5"/>
            <w:shd w:val="clear" w:color="auto" w:fill="auto"/>
            <w:vAlign w:val="bottom"/>
          </w:tcPr>
          <w:p w14:paraId="5E83ED36" w14:textId="77777777" w:rsidR="00700074" w:rsidRPr="001B4A02" w:rsidRDefault="00000000" w:rsidP="00E571F5">
            <w:pPr>
              <w:pStyle w:val="EMEANormal"/>
              <w:keepNext/>
              <w:rPr>
                <w:del w:id="8116" w:author="AbbVie1" w:date="2025-05-13T09:50:00Z"/>
                <w:szCs w:val="22"/>
                <w:lang w:val="cs-CZ"/>
              </w:rPr>
            </w:pPr>
            <w:del w:id="8117" w:author="AbbVie1" w:date="2025-05-13T09:50:00Z">
              <w:r w:rsidRPr="001B4A02">
                <w:rPr>
                  <w:noProof/>
                  <w:szCs w:val="22"/>
                </w:rPr>
                <w:drawing>
                  <wp:inline distT="0" distB="0" distL="0" distR="0" wp14:anchorId="31108744" wp14:editId="6221FBC4">
                    <wp:extent cx="5486400" cy="4545965"/>
                    <wp:effectExtent l="0" t="0" r="0" b="6985"/>
                    <wp:docPr id="30" name="obrázek 485"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485" descr="Humira PED UV KM Curve REVISED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4545965"/>
                            </a:xfrm>
                            <a:prstGeom prst="rect">
                              <a:avLst/>
                            </a:prstGeom>
                            <a:noFill/>
                            <a:ln>
                              <a:noFill/>
                            </a:ln>
                          </pic:spPr>
                        </pic:pic>
                      </a:graphicData>
                    </a:graphic>
                  </wp:inline>
                </w:drawing>
              </w:r>
            </w:del>
          </w:p>
        </w:tc>
      </w:tr>
      <w:tr w:rsidR="00534A2D" w14:paraId="1F65AF85" w14:textId="77777777" w:rsidTr="00E571F5">
        <w:trPr>
          <w:del w:id="8118" w:author="AbbVie1" w:date="2025-05-13T09:50:00Z"/>
        </w:trPr>
        <w:tc>
          <w:tcPr>
            <w:tcW w:w="468" w:type="dxa"/>
            <w:shd w:val="clear" w:color="auto" w:fill="auto"/>
          </w:tcPr>
          <w:p w14:paraId="7F2198BD" w14:textId="77777777" w:rsidR="00700074" w:rsidRPr="001B4A02" w:rsidRDefault="00700074" w:rsidP="00E571F5">
            <w:pPr>
              <w:pStyle w:val="EMEANormal"/>
              <w:keepNext/>
              <w:rPr>
                <w:del w:id="8119" w:author="AbbVie1" w:date="2025-05-13T09:50:00Z"/>
                <w:szCs w:val="22"/>
                <w:lang w:val="cs-CZ"/>
              </w:rPr>
            </w:pPr>
          </w:p>
        </w:tc>
        <w:tc>
          <w:tcPr>
            <w:tcW w:w="8820" w:type="dxa"/>
            <w:gridSpan w:val="5"/>
            <w:shd w:val="clear" w:color="auto" w:fill="auto"/>
          </w:tcPr>
          <w:p w14:paraId="46ED79C7" w14:textId="77777777" w:rsidR="00700074" w:rsidRPr="001B4A02" w:rsidRDefault="00000000" w:rsidP="00E571F5">
            <w:pPr>
              <w:pStyle w:val="EMEANormal"/>
              <w:keepNext/>
              <w:jc w:val="center"/>
              <w:rPr>
                <w:del w:id="8120" w:author="AbbVie1" w:date="2025-05-13T09:50:00Z"/>
                <w:b/>
                <w:szCs w:val="22"/>
                <w:lang w:val="cs-CZ"/>
              </w:rPr>
            </w:pPr>
            <w:del w:id="8121" w:author="AbbVie1" w:date="2025-05-13T09:50:00Z">
              <w:r w:rsidRPr="001B4A02">
                <w:rPr>
                  <w:b/>
                  <w:szCs w:val="22"/>
                  <w:lang w:val="cs-CZ"/>
                </w:rPr>
                <w:delText>ČAS (TÝDNY)</w:delText>
              </w:r>
            </w:del>
          </w:p>
        </w:tc>
      </w:tr>
      <w:tr w:rsidR="00534A2D" w14:paraId="18C1946F" w14:textId="77777777" w:rsidTr="00E571F5">
        <w:trPr>
          <w:del w:id="8122" w:author="AbbVie1" w:date="2025-05-13T09:50:00Z"/>
        </w:trPr>
        <w:tc>
          <w:tcPr>
            <w:tcW w:w="468" w:type="dxa"/>
            <w:shd w:val="clear" w:color="auto" w:fill="auto"/>
          </w:tcPr>
          <w:p w14:paraId="1B0B4E32" w14:textId="77777777" w:rsidR="00700074" w:rsidRPr="001B4A02" w:rsidRDefault="00700074" w:rsidP="00E571F5">
            <w:pPr>
              <w:pStyle w:val="EMEANormal"/>
              <w:keepNext/>
              <w:rPr>
                <w:del w:id="8123" w:author="AbbVie1" w:date="2025-05-13T09:50:00Z"/>
                <w:szCs w:val="22"/>
                <w:lang w:val="cs-CZ"/>
              </w:rPr>
            </w:pPr>
          </w:p>
        </w:tc>
        <w:tc>
          <w:tcPr>
            <w:tcW w:w="3510" w:type="dxa"/>
            <w:shd w:val="clear" w:color="auto" w:fill="auto"/>
          </w:tcPr>
          <w:p w14:paraId="1BC39594" w14:textId="77777777" w:rsidR="00700074" w:rsidRPr="001B4A02" w:rsidRDefault="00000000" w:rsidP="00E571F5">
            <w:pPr>
              <w:pStyle w:val="EMEANormal"/>
              <w:keepNext/>
              <w:rPr>
                <w:del w:id="8124" w:author="AbbVie1" w:date="2025-05-13T09:50:00Z"/>
                <w:szCs w:val="22"/>
                <w:lang w:val="cs-CZ"/>
              </w:rPr>
            </w:pPr>
            <w:del w:id="8125" w:author="AbbVie1" w:date="2025-05-13T09:50:00Z">
              <w:r w:rsidRPr="001B4A02">
                <w:rPr>
                  <w:szCs w:val="22"/>
                  <w:lang w:val="cs-CZ"/>
                </w:rPr>
                <w:delText>Léčba</w:delText>
              </w:r>
            </w:del>
          </w:p>
        </w:tc>
        <w:tc>
          <w:tcPr>
            <w:tcW w:w="1170" w:type="dxa"/>
            <w:shd w:val="clear" w:color="auto" w:fill="auto"/>
            <w:vAlign w:val="bottom"/>
          </w:tcPr>
          <w:p w14:paraId="394E1832" w14:textId="77777777" w:rsidR="00700074" w:rsidRPr="001B4A02" w:rsidRDefault="00000000" w:rsidP="00E571F5">
            <w:pPr>
              <w:pStyle w:val="EMEANormal"/>
              <w:keepNext/>
              <w:jc w:val="center"/>
              <w:rPr>
                <w:del w:id="8126" w:author="AbbVie1" w:date="2025-05-13T09:50:00Z"/>
                <w:szCs w:val="22"/>
                <w:lang w:val="cs-CZ"/>
              </w:rPr>
            </w:pPr>
            <w:del w:id="8127" w:author="AbbVie1" w:date="2025-05-13T09:50:00Z">
              <w:r w:rsidRPr="001B4A02">
                <w:rPr>
                  <w:noProof/>
                  <w:szCs w:val="22"/>
                </w:rPr>
                <w:drawing>
                  <wp:inline distT="0" distB="0" distL="0" distR="0" wp14:anchorId="4CC473A8" wp14:editId="2795CBA0">
                    <wp:extent cx="457200" cy="120650"/>
                    <wp:effectExtent l="0" t="0" r="0" b="0"/>
                    <wp:docPr id="31" name="obrázek 486"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486" descr="Humira PED UV KM Curve 1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57200" cy="120650"/>
                            </a:xfrm>
                            <a:prstGeom prst="rect">
                              <a:avLst/>
                            </a:prstGeom>
                            <a:noFill/>
                            <a:ln>
                              <a:noFill/>
                            </a:ln>
                          </pic:spPr>
                        </pic:pic>
                      </a:graphicData>
                    </a:graphic>
                  </wp:inline>
                </w:drawing>
              </w:r>
            </w:del>
          </w:p>
        </w:tc>
        <w:tc>
          <w:tcPr>
            <w:tcW w:w="1350" w:type="dxa"/>
            <w:shd w:val="clear" w:color="auto" w:fill="auto"/>
          </w:tcPr>
          <w:p w14:paraId="0403104F" w14:textId="77777777" w:rsidR="00700074" w:rsidRPr="001B4A02" w:rsidRDefault="00000000" w:rsidP="00E571F5">
            <w:pPr>
              <w:pStyle w:val="EMEANormal"/>
              <w:keepNext/>
              <w:rPr>
                <w:del w:id="8128" w:author="AbbVie1" w:date="2025-05-13T09:50:00Z"/>
                <w:szCs w:val="22"/>
                <w:lang w:val="cs-CZ"/>
              </w:rPr>
            </w:pPr>
            <w:del w:id="8129" w:author="AbbVie1" w:date="2025-05-13T09:50:00Z">
              <w:r w:rsidRPr="001B4A02">
                <w:rPr>
                  <w:szCs w:val="22"/>
                  <w:lang w:val="cs-CZ"/>
                </w:rPr>
                <w:delText>Placebo</w:delText>
              </w:r>
            </w:del>
          </w:p>
        </w:tc>
        <w:tc>
          <w:tcPr>
            <w:tcW w:w="900" w:type="dxa"/>
            <w:shd w:val="clear" w:color="auto" w:fill="auto"/>
            <w:vAlign w:val="center"/>
          </w:tcPr>
          <w:p w14:paraId="04954786" w14:textId="77777777" w:rsidR="00700074" w:rsidRPr="001B4A02" w:rsidRDefault="00000000" w:rsidP="00E571F5">
            <w:pPr>
              <w:pStyle w:val="EMEANormal"/>
              <w:keepNext/>
              <w:rPr>
                <w:del w:id="8130" w:author="AbbVie1" w:date="2025-05-13T09:50:00Z"/>
                <w:szCs w:val="22"/>
                <w:lang w:val="cs-CZ"/>
              </w:rPr>
            </w:pPr>
            <w:del w:id="8131" w:author="AbbVie1" w:date="2025-05-13T09:50:00Z">
              <w:r w:rsidRPr="001B4A02">
                <w:rPr>
                  <w:noProof/>
                  <w:szCs w:val="22"/>
                </w:rPr>
                <w:drawing>
                  <wp:inline distT="0" distB="0" distL="0" distR="0" wp14:anchorId="38B17990" wp14:editId="0B916B3F">
                    <wp:extent cx="457200" cy="86360"/>
                    <wp:effectExtent l="0" t="0" r="0" b="8890"/>
                    <wp:docPr id="33" name="obrázek 487"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487"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86360"/>
                            </a:xfrm>
                            <a:prstGeom prst="rect">
                              <a:avLst/>
                            </a:prstGeom>
                            <a:noFill/>
                            <a:ln>
                              <a:noFill/>
                            </a:ln>
                          </pic:spPr>
                        </pic:pic>
                      </a:graphicData>
                    </a:graphic>
                  </wp:inline>
                </w:drawing>
              </w:r>
            </w:del>
          </w:p>
        </w:tc>
        <w:tc>
          <w:tcPr>
            <w:tcW w:w="1890" w:type="dxa"/>
            <w:shd w:val="clear" w:color="auto" w:fill="auto"/>
          </w:tcPr>
          <w:p w14:paraId="6DE58238" w14:textId="77777777" w:rsidR="00700074" w:rsidRPr="001B4A02" w:rsidRDefault="00000000" w:rsidP="00E571F5">
            <w:pPr>
              <w:pStyle w:val="EMEANormal"/>
              <w:keepNext/>
              <w:rPr>
                <w:del w:id="8132" w:author="AbbVie1" w:date="2025-05-13T09:50:00Z"/>
                <w:szCs w:val="22"/>
                <w:lang w:val="cs-CZ"/>
              </w:rPr>
            </w:pPr>
            <w:del w:id="8133" w:author="AbbVie1" w:date="2025-05-13T09:50:00Z">
              <w:r w:rsidRPr="001B4A02">
                <w:rPr>
                  <w:szCs w:val="22"/>
                  <w:lang w:val="cs-CZ"/>
                </w:rPr>
                <w:delText>Adalimumab</w:delText>
              </w:r>
            </w:del>
          </w:p>
        </w:tc>
      </w:tr>
      <w:tr w:rsidR="00534A2D" w14:paraId="15F868F7" w14:textId="77777777" w:rsidTr="00E571F5">
        <w:trPr>
          <w:del w:id="8134" w:author="AbbVie1" w:date="2025-05-13T09:50:00Z"/>
        </w:trPr>
        <w:tc>
          <w:tcPr>
            <w:tcW w:w="468" w:type="dxa"/>
            <w:shd w:val="clear" w:color="auto" w:fill="auto"/>
          </w:tcPr>
          <w:p w14:paraId="556823FD" w14:textId="77777777" w:rsidR="00700074" w:rsidRPr="001B4A02" w:rsidRDefault="00700074" w:rsidP="00E571F5">
            <w:pPr>
              <w:pStyle w:val="EMEANormal"/>
              <w:rPr>
                <w:del w:id="8135" w:author="AbbVie1" w:date="2025-05-13T09:50:00Z"/>
                <w:szCs w:val="22"/>
                <w:lang w:val="cs-CZ"/>
              </w:rPr>
            </w:pPr>
          </w:p>
        </w:tc>
        <w:tc>
          <w:tcPr>
            <w:tcW w:w="8820" w:type="dxa"/>
            <w:gridSpan w:val="5"/>
            <w:shd w:val="clear" w:color="auto" w:fill="auto"/>
          </w:tcPr>
          <w:p w14:paraId="17398D8F" w14:textId="77777777" w:rsidR="00700074" w:rsidRPr="001B4A02" w:rsidRDefault="00000000" w:rsidP="00E571F5">
            <w:pPr>
              <w:pStyle w:val="EMEANormal"/>
              <w:rPr>
                <w:del w:id="8136" w:author="AbbVie1" w:date="2025-05-13T09:50:00Z"/>
                <w:szCs w:val="22"/>
                <w:lang w:val="cs-CZ"/>
              </w:rPr>
            </w:pPr>
            <w:del w:id="8137" w:author="AbbVie1" w:date="2025-05-13T09:50:00Z">
              <w:r w:rsidRPr="001B4A02">
                <w:rPr>
                  <w:szCs w:val="22"/>
                  <w:lang w:val="cs-CZ"/>
                </w:rPr>
                <w:delText>Poznámka: P = Placebo (počet v riziku); H = přípravek HUMIRA (počet v riziku).</w:delText>
              </w:r>
            </w:del>
          </w:p>
        </w:tc>
      </w:tr>
    </w:tbl>
    <w:p w14:paraId="75DF802D" w14:textId="77777777" w:rsidR="00700074" w:rsidRPr="001B4A02" w:rsidRDefault="00700074" w:rsidP="00ED48A3">
      <w:pPr>
        <w:keepNext/>
        <w:ind w:left="0" w:firstLine="0"/>
        <w:rPr>
          <w:del w:id="8138" w:author="AbbVie1" w:date="2025-05-13T09:50:00Z"/>
        </w:rPr>
      </w:pPr>
    </w:p>
    <w:p w14:paraId="1A45443F" w14:textId="77777777" w:rsidR="00073F8F" w:rsidRPr="001B4A02" w:rsidRDefault="00000000" w:rsidP="003E092A">
      <w:pPr>
        <w:keepNext/>
        <w:tabs>
          <w:tab w:val="num" w:pos="567"/>
        </w:tabs>
        <w:ind w:left="0" w:firstLine="0"/>
        <w:outlineLvl w:val="1"/>
        <w:rPr>
          <w:del w:id="8139" w:author="AbbVie1" w:date="2025-05-13T09:50:00Z"/>
          <w:b/>
        </w:rPr>
      </w:pPr>
      <w:del w:id="8140" w:author="AbbVie1" w:date="2025-05-13T09:50:00Z">
        <w:r>
          <w:rPr>
            <w:b/>
          </w:rPr>
          <w:delText>5.2</w:delText>
        </w:r>
        <w:r>
          <w:rPr>
            <w:b/>
          </w:rPr>
          <w:tab/>
        </w:r>
        <w:r w:rsidRPr="001B4A02">
          <w:rPr>
            <w:b/>
          </w:rPr>
          <w:delText>Farmakokinetické vlastnosti</w:delText>
        </w:r>
      </w:del>
    </w:p>
    <w:p w14:paraId="6E57EF23" w14:textId="77777777" w:rsidR="00073F8F" w:rsidRPr="001B4A02" w:rsidRDefault="00073F8F" w:rsidP="00CE5DAE">
      <w:pPr>
        <w:keepNext/>
        <w:ind w:left="0" w:firstLine="0"/>
        <w:rPr>
          <w:del w:id="8141" w:author="AbbVie1" w:date="2025-05-13T09:50:00Z"/>
        </w:rPr>
      </w:pPr>
    </w:p>
    <w:p w14:paraId="3E7E1224" w14:textId="77777777" w:rsidR="003D272F" w:rsidRPr="001B4A02" w:rsidRDefault="00000000" w:rsidP="00CE5DAE">
      <w:pPr>
        <w:keepNext/>
        <w:ind w:left="0" w:firstLine="0"/>
        <w:rPr>
          <w:del w:id="8142" w:author="AbbVie1" w:date="2025-05-13T09:50:00Z"/>
          <w:u w:val="single"/>
        </w:rPr>
      </w:pPr>
      <w:del w:id="8143" w:author="AbbVie1" w:date="2025-05-13T09:50:00Z">
        <w:r w:rsidRPr="001B4A02">
          <w:rPr>
            <w:u w:val="single"/>
          </w:rPr>
          <w:delText>Absorpce</w:delText>
        </w:r>
        <w:r w:rsidR="002378E0">
          <w:rPr>
            <w:u w:val="single"/>
          </w:rPr>
          <w:delText xml:space="preserve"> a </w:delText>
        </w:r>
        <w:r w:rsidRPr="001B4A02">
          <w:rPr>
            <w:u w:val="single"/>
          </w:rPr>
          <w:delText>distribuce</w:delText>
        </w:r>
      </w:del>
    </w:p>
    <w:p w14:paraId="058AD5CF" w14:textId="77777777" w:rsidR="003D272F" w:rsidRPr="001B4A02" w:rsidRDefault="003D272F" w:rsidP="00CE5DAE">
      <w:pPr>
        <w:keepNext/>
        <w:ind w:left="0" w:firstLine="0"/>
        <w:rPr>
          <w:del w:id="8144" w:author="AbbVie1" w:date="2025-05-13T09:50:00Z"/>
        </w:rPr>
      </w:pPr>
    </w:p>
    <w:p w14:paraId="3A391ACD" w14:textId="77777777" w:rsidR="00073F8F" w:rsidRPr="001B4A02" w:rsidRDefault="00000000" w:rsidP="00ED48A3">
      <w:pPr>
        <w:ind w:left="0" w:firstLine="0"/>
        <w:rPr>
          <w:del w:id="8145" w:author="AbbVie1" w:date="2025-05-13T09:50:00Z"/>
        </w:rPr>
      </w:pPr>
      <w:del w:id="8146" w:author="AbbVie1" w:date="2025-05-13T09:50:00Z">
        <w:r w:rsidRPr="001B4A02">
          <w:delText>Po jednorázovém subkutánním podání dávky 40 mg byla absorpce</w:delText>
        </w:r>
        <w:r w:rsidR="002378E0">
          <w:delText xml:space="preserve"> a </w:delText>
        </w:r>
        <w:r w:rsidRPr="001B4A02">
          <w:delText>distribuce adalimumabu pomalá</w:delText>
        </w:r>
        <w:r w:rsidR="002378E0">
          <w:delText xml:space="preserve"> a </w:delText>
        </w:r>
        <w:r w:rsidRPr="001B4A02">
          <w:delText>vrcholové sérové koncentrace byly dosaženy zhruba za 5 dní po jeho podání. Průměrná biologická dostupnost adalimumabu se odhaduje na 64</w:delText>
        </w:r>
        <w:r w:rsidR="001E10EB" w:rsidRPr="001B4A02">
          <w:delText> </w:delText>
        </w:r>
        <w:r w:rsidRPr="001B4A02">
          <w:delText>%,</w:delText>
        </w:r>
        <w:r w:rsidR="002378E0">
          <w:delText xml:space="preserve"> a </w:delText>
        </w:r>
        <w:r w:rsidRPr="001B4A02">
          <w:delText>to na základě výsledků ze tří studií s podáním jednorázové dávky 40 mg subkutánně. Po jednorázových intravenózních dávkách v rozmezí 0,25</w:delText>
        </w:r>
        <w:r w:rsidR="006D1214" w:rsidRPr="001B4A02">
          <w:delText>–</w:delText>
        </w:r>
        <w:r w:rsidRPr="001B4A02">
          <w:delText>10 mg/kg byly koncentrace léku úměrné podané dávce. Po dávkách 0,5 mg/kg (cca 40 mg) se clearance pohybovala mezi 11</w:delText>
        </w:r>
        <w:r w:rsidR="006D1214" w:rsidRPr="001B4A02">
          <w:delText>–</w:delText>
        </w:r>
        <w:r w:rsidRPr="001B4A02">
          <w:delText>15 ml/hod, distribuční objem (V</w:delText>
        </w:r>
        <w:r w:rsidRPr="001B4A02">
          <w:rPr>
            <w:vertAlign w:val="subscript"/>
          </w:rPr>
          <w:delText>ss</w:delText>
        </w:r>
        <w:r w:rsidRPr="001B4A02">
          <w:delText>) se pohyboval mezi 5</w:delText>
        </w:r>
        <w:r w:rsidR="006D1214" w:rsidRPr="001B4A02">
          <w:delText>–</w:delText>
        </w:r>
        <w:r w:rsidRPr="001B4A02">
          <w:delText>6 l</w:delText>
        </w:r>
        <w:r w:rsidR="002378E0">
          <w:delText xml:space="preserve"> a </w:delText>
        </w:r>
        <w:r w:rsidRPr="001B4A02">
          <w:delText>průměrný terminální poločas byl přibližně 2 týdny. Koncentrace adalimumabu v synoviální tekutině u několika pacientů s revmatoidní artritidou představovala 31</w:delText>
        </w:r>
        <w:r w:rsidR="001E10EB" w:rsidRPr="001B4A02">
          <w:delText>–</w:delText>
        </w:r>
        <w:r w:rsidRPr="001B4A02">
          <w:delText>96</w:delText>
        </w:r>
        <w:r w:rsidR="001E10EB" w:rsidRPr="001B4A02">
          <w:delText> </w:delText>
        </w:r>
        <w:r w:rsidRPr="001B4A02">
          <w:delText>% sérové koncentrace léku.</w:delText>
        </w:r>
      </w:del>
    </w:p>
    <w:p w14:paraId="3BC5F195" w14:textId="77777777" w:rsidR="00073F8F" w:rsidRPr="001B4A02" w:rsidRDefault="00073F8F" w:rsidP="00ED48A3">
      <w:pPr>
        <w:ind w:left="0" w:firstLine="0"/>
        <w:rPr>
          <w:del w:id="8147" w:author="AbbVie1" w:date="2025-05-13T09:50:00Z"/>
        </w:rPr>
      </w:pPr>
    </w:p>
    <w:p w14:paraId="33D1A311" w14:textId="77777777" w:rsidR="00073F8F" w:rsidRPr="001B4A02" w:rsidRDefault="00000000" w:rsidP="00ED48A3">
      <w:pPr>
        <w:ind w:left="0" w:firstLine="0"/>
        <w:rPr>
          <w:del w:id="8148" w:author="AbbVie1" w:date="2025-05-13T09:50:00Z"/>
        </w:rPr>
      </w:pPr>
      <w:del w:id="8149" w:author="AbbVie1" w:date="2025-05-13T09:50:00Z">
        <w:r w:rsidRPr="001B4A02">
          <w:delText xml:space="preserve">Po subkutánním podání 40 mg </w:delText>
        </w:r>
        <w:r w:rsidR="00FD5FBE" w:rsidRPr="001B4A02">
          <w:delText>adalimumabu</w:delText>
        </w:r>
        <w:r w:rsidRPr="001B4A02">
          <w:delText xml:space="preserve"> každý druhý týden byla průměrná</w:delText>
        </w:r>
        <w:r w:rsidR="003060EC" w:rsidRPr="001B4A02">
          <w:delText xml:space="preserve"> nejnižší</w:delText>
        </w:r>
        <w:r w:rsidRPr="001B4A02">
          <w:delText xml:space="preserve"> koncentrace v ustáleném stavu přibližně 5 μg/ml (bez souběžného podávání methotrexátu)</w:delText>
        </w:r>
        <w:r w:rsidR="002378E0">
          <w:delText xml:space="preserve"> a </w:delText>
        </w:r>
        <w:r w:rsidRPr="001B4A02">
          <w:delText>8</w:delText>
        </w:r>
        <w:r w:rsidR="006D1214" w:rsidRPr="001B4A02">
          <w:delText>–</w:delText>
        </w:r>
        <w:r w:rsidRPr="001B4A02">
          <w:delText xml:space="preserve">9 μg/ml (při současném podávání methotrexátu). </w:delText>
        </w:r>
        <w:r w:rsidR="003060EC" w:rsidRPr="001B4A02">
          <w:delText>Nejnižší s</w:delText>
        </w:r>
        <w:r w:rsidRPr="001B4A02">
          <w:delText>érové koncentrace adalimumabu v ustáleném stavu stoupaly u pacientů s revmatoidní artritidou (RA) přibližně proporcionálně s dávkou při subkutánním podávání 20, 40</w:delText>
        </w:r>
        <w:r w:rsidR="002378E0">
          <w:delText xml:space="preserve"> a </w:delText>
        </w:r>
        <w:r w:rsidRPr="001B4A02">
          <w:delText>80 mg každý druhý týden i každý týden.</w:delText>
        </w:r>
      </w:del>
    </w:p>
    <w:p w14:paraId="0C699706" w14:textId="77777777" w:rsidR="00073F8F" w:rsidRPr="001B4A02" w:rsidRDefault="00073F8F" w:rsidP="00ED48A3">
      <w:pPr>
        <w:ind w:left="0" w:firstLine="0"/>
        <w:rPr>
          <w:del w:id="8150" w:author="AbbVie1" w:date="2025-05-13T09:50:00Z"/>
        </w:rPr>
      </w:pPr>
    </w:p>
    <w:p w14:paraId="49D37E79" w14:textId="77777777" w:rsidR="00073F8F" w:rsidRPr="001B4A02" w:rsidRDefault="00000000" w:rsidP="00ED48A3">
      <w:pPr>
        <w:ind w:left="0" w:firstLine="0"/>
        <w:rPr>
          <w:del w:id="8151" w:author="AbbVie1" w:date="2025-05-13T09:50:00Z"/>
        </w:rPr>
      </w:pPr>
      <w:del w:id="8152" w:author="AbbVie1" w:date="2025-05-13T09:50:00Z">
        <w:r w:rsidRPr="001B4A02">
          <w:delText xml:space="preserve">Po </w:delText>
        </w:r>
        <w:r w:rsidR="00134F0E" w:rsidRPr="001B4A02">
          <w:delText>podání</w:delText>
        </w:r>
        <w:r w:rsidRPr="001B4A02">
          <w:delText xml:space="preserve"> dávky 24</w:delText>
        </w:r>
        <w:r w:rsidR="00F365E7">
          <w:delText> mg</w:delText>
        </w:r>
        <w:r w:rsidRPr="001B4A02">
          <w:delText>/m</w:delText>
        </w:r>
        <w:r w:rsidRPr="001B4A02">
          <w:rPr>
            <w:vertAlign w:val="superscript"/>
          </w:rPr>
          <w:delText xml:space="preserve">2 </w:delText>
        </w:r>
        <w:r w:rsidRPr="001B4A02">
          <w:delText>(maxim</w:delText>
        </w:r>
        <w:r w:rsidR="005911EE" w:rsidRPr="001B4A02">
          <w:delText xml:space="preserve">ální </w:delText>
        </w:r>
        <w:r w:rsidR="00700074" w:rsidRPr="001B4A02">
          <w:delText>dávk</w:delText>
        </w:r>
        <w:r w:rsidR="00700074">
          <w:delText>a</w:delText>
        </w:r>
        <w:r w:rsidR="00700074" w:rsidRPr="001B4A02">
          <w:delText xml:space="preserve"> </w:delText>
        </w:r>
        <w:r w:rsidRPr="001B4A02">
          <w:delText>40</w:delText>
        </w:r>
        <w:r w:rsidR="00F365E7">
          <w:delText> mg</w:delText>
        </w:r>
        <w:r w:rsidRPr="001B4A02">
          <w:delText>) subkutánně každý druhý týden u</w:delText>
        </w:r>
        <w:r w:rsidR="00C048C3" w:rsidRPr="001B4A02">
          <w:delText> </w:delText>
        </w:r>
        <w:r w:rsidRPr="001B4A02">
          <w:delText>pacientů s polyartikulární juvenilní idiopatickou artritidou (JIA)</w:delText>
        </w:r>
        <w:r w:rsidR="003D272F" w:rsidRPr="001B4A02">
          <w:delText xml:space="preserve"> ve věku 4 až 17 let</w:delText>
        </w:r>
        <w:r w:rsidRPr="001B4A02">
          <w:delText xml:space="preserve"> byly průměrné</w:delText>
        </w:r>
        <w:r w:rsidR="003060EC" w:rsidRPr="001B4A02">
          <w:delText xml:space="preserve"> nejnižší</w:delText>
        </w:r>
        <w:r w:rsidRPr="001B4A02">
          <w:delText xml:space="preserve"> sérové koncentrace adalimumabu v ustáleném stavu (hodnoty naměřené v</w:delText>
        </w:r>
        <w:r w:rsidR="00255A0A" w:rsidRPr="001B4A02">
          <w:delText> </w:delText>
        </w:r>
        <w:r w:rsidRPr="001B4A02">
          <w:delText>době od týdne 20 do týdne 48) 5,6 ± 5,6 µg/ml (102</w:delText>
        </w:r>
        <w:r w:rsidR="001E10EB" w:rsidRPr="001B4A02">
          <w:delText> </w:delText>
        </w:r>
        <w:r w:rsidRPr="001B4A02">
          <w:delText xml:space="preserve">% CV) </w:delText>
        </w:r>
        <w:r w:rsidR="00FD5FBE" w:rsidRPr="001B4A02">
          <w:delText xml:space="preserve">při </w:delText>
        </w:r>
        <w:r w:rsidR="00A507B3" w:rsidRPr="001B4A02">
          <w:delText>po</w:delText>
        </w:r>
        <w:r w:rsidR="00FD5FBE" w:rsidRPr="001B4A02">
          <w:delText xml:space="preserve">užívání adalimumabu bez současného podávání </w:delText>
        </w:r>
        <w:r w:rsidR="00B104CE" w:rsidRPr="001B4A02">
          <w:delText>methotrexát</w:delText>
        </w:r>
        <w:r w:rsidR="00FD5FBE" w:rsidRPr="001B4A02">
          <w:delText>u</w:delText>
        </w:r>
        <w:r w:rsidR="002378E0">
          <w:delText xml:space="preserve"> a </w:delText>
        </w:r>
        <w:r w:rsidRPr="001B4A02">
          <w:delText>10,9 ± 5,2 µg/m</w:delText>
        </w:r>
        <w:r w:rsidR="007978AF">
          <w:delText>l</w:delText>
        </w:r>
        <w:r w:rsidRPr="001B4A02">
          <w:delText xml:space="preserve"> (47,7</w:delText>
        </w:r>
        <w:r w:rsidR="001E10EB" w:rsidRPr="001B4A02">
          <w:delText> </w:delText>
        </w:r>
        <w:r w:rsidRPr="001B4A02">
          <w:delText xml:space="preserve">% CV) při </w:delText>
        </w:r>
        <w:r w:rsidR="00A507B3" w:rsidRPr="001B4A02">
          <w:delText>po</w:delText>
        </w:r>
        <w:r w:rsidRPr="001B4A02">
          <w:delText>užití současně s methotrexátem.</w:delText>
        </w:r>
      </w:del>
    </w:p>
    <w:p w14:paraId="51A7B1C3" w14:textId="77777777" w:rsidR="003D272F" w:rsidRPr="001B4A02" w:rsidRDefault="003D272F" w:rsidP="00ED48A3">
      <w:pPr>
        <w:ind w:left="0" w:firstLine="0"/>
        <w:rPr>
          <w:del w:id="8153" w:author="AbbVie1" w:date="2025-05-13T09:50:00Z"/>
        </w:rPr>
      </w:pPr>
    </w:p>
    <w:p w14:paraId="295B5C75" w14:textId="77777777" w:rsidR="00073F8F" w:rsidRPr="001B4A02" w:rsidRDefault="00000000" w:rsidP="00ED48A3">
      <w:pPr>
        <w:ind w:left="0" w:firstLine="0"/>
        <w:rPr>
          <w:del w:id="8154" w:author="AbbVie1" w:date="2025-05-13T09:50:00Z"/>
        </w:rPr>
      </w:pPr>
      <w:del w:id="8155" w:author="AbbVie1" w:date="2025-05-13T09:50:00Z">
        <w:r w:rsidRPr="001B4A02">
          <w:delText>U pacientů s</w:delText>
        </w:r>
        <w:r w:rsidR="00FD5FBE" w:rsidRPr="001B4A02">
          <w:delText xml:space="preserve"> polyartikulární </w:delText>
        </w:r>
        <w:r w:rsidRPr="001B4A02">
          <w:delText>JIA ve věku 2 až &lt; 4 roky nebo ve věku 4 roky</w:delText>
        </w:r>
        <w:r w:rsidR="002378E0">
          <w:delText xml:space="preserve"> a </w:delText>
        </w:r>
        <w:r w:rsidRPr="001B4A02">
          <w:delText>starší s tělesnou hmotností &lt; 15</w:delText>
        </w:r>
        <w:r w:rsidR="002767FC">
          <w:delText> kg</w:delText>
        </w:r>
        <w:r w:rsidRPr="001B4A02">
          <w:delText>, léčených</w:delText>
        </w:r>
        <w:r w:rsidR="00FD5FBE" w:rsidRPr="001B4A02">
          <w:delText xml:space="preserve"> adalimumabem</w:delText>
        </w:r>
        <w:r w:rsidRPr="001B4A02">
          <w:delText xml:space="preserve"> v dávce 24</w:delText>
        </w:r>
        <w:r w:rsidR="00F365E7">
          <w:delText> mg</w:delText>
        </w:r>
        <w:r w:rsidRPr="001B4A02">
          <w:delText>/m</w:delText>
        </w:r>
        <w:r w:rsidRPr="001B4A02">
          <w:rPr>
            <w:vertAlign w:val="superscript"/>
          </w:rPr>
          <w:delText>2</w:delText>
        </w:r>
        <w:r w:rsidRPr="001B4A02">
          <w:delText xml:space="preserve">, byly průměrné </w:delText>
        </w:r>
        <w:r w:rsidR="00371B37" w:rsidRPr="001B4A02">
          <w:delText xml:space="preserve">nejnižší </w:delText>
        </w:r>
        <w:r w:rsidRPr="001B4A02">
          <w:delText>sérové koncentrace adalimumabu v ustáleném stavu 6,0 ± 6,1 µg/ml (101</w:delText>
        </w:r>
        <w:r w:rsidR="006008CB">
          <w:delText> %</w:delText>
        </w:r>
        <w:r w:rsidRPr="001B4A02">
          <w:delText xml:space="preserve"> CV) u</w:delText>
        </w:r>
        <w:r w:rsidR="00C048C3" w:rsidRPr="001B4A02">
          <w:delText> </w:delText>
        </w:r>
        <w:r w:rsidRPr="001B4A02">
          <w:delText xml:space="preserve">těch pacientů, kteří </w:delText>
        </w:r>
        <w:r w:rsidR="00A507B3" w:rsidRPr="001B4A02">
          <w:delText>po</w:delText>
        </w:r>
        <w:r w:rsidRPr="001B4A02">
          <w:delText>užívali</w:delText>
        </w:r>
        <w:r w:rsidR="00BB7890" w:rsidRPr="001B4A02">
          <w:delText xml:space="preserve"> </w:delText>
        </w:r>
        <w:r w:rsidR="00FD5FBE" w:rsidRPr="001B4A02">
          <w:delText xml:space="preserve">adalimumab bez </w:delText>
        </w:r>
        <w:r w:rsidR="00B104CE" w:rsidRPr="001B4A02">
          <w:delText>methotrexát</w:delText>
        </w:r>
        <w:r w:rsidR="00FD5FBE" w:rsidRPr="001B4A02">
          <w:delText>u</w:delText>
        </w:r>
        <w:r w:rsidR="002378E0">
          <w:delText xml:space="preserve"> a </w:delText>
        </w:r>
        <w:r w:rsidRPr="001B4A02">
          <w:delText>7,9 ± 5,6 µg/ml (71,2</w:delText>
        </w:r>
        <w:r w:rsidR="006008CB">
          <w:delText> %</w:delText>
        </w:r>
        <w:r w:rsidRPr="001B4A02">
          <w:delText xml:space="preserve"> CV) u</w:delText>
        </w:r>
        <w:r w:rsidR="00C048C3" w:rsidRPr="001B4A02">
          <w:delText> </w:delText>
        </w:r>
        <w:r w:rsidRPr="001B4A02">
          <w:delText>těch, kteří současně užíva</w:delText>
        </w:r>
        <w:r w:rsidR="00FD5FBE" w:rsidRPr="001B4A02">
          <w:delText>li</w:delText>
        </w:r>
        <w:r w:rsidRPr="001B4A02">
          <w:delText xml:space="preserve"> methotrexát.</w:delText>
        </w:r>
      </w:del>
    </w:p>
    <w:p w14:paraId="30F6CD72" w14:textId="77777777" w:rsidR="003D272F" w:rsidRPr="001B4A02" w:rsidRDefault="003D272F" w:rsidP="00ED48A3">
      <w:pPr>
        <w:ind w:left="0" w:firstLine="0"/>
        <w:rPr>
          <w:del w:id="8156" w:author="AbbVie1" w:date="2025-05-13T09:50:00Z"/>
        </w:rPr>
      </w:pPr>
    </w:p>
    <w:p w14:paraId="07345932" w14:textId="77777777" w:rsidR="00AA4C8D" w:rsidRPr="001B4A02" w:rsidRDefault="00000000" w:rsidP="00ED48A3">
      <w:pPr>
        <w:ind w:left="0" w:firstLine="0"/>
        <w:rPr>
          <w:del w:id="8157" w:author="AbbVie1" w:date="2025-05-13T09:50:00Z"/>
        </w:rPr>
      </w:pPr>
      <w:del w:id="8158" w:author="AbbVie1" w:date="2025-05-13T09:50:00Z">
        <w:r w:rsidRPr="001B4A02">
          <w:delText>Po podání</w:delText>
        </w:r>
        <w:r w:rsidR="00FD6C45">
          <w:delText xml:space="preserve"> </w:delText>
        </w:r>
        <w:r w:rsidRPr="001B4A02">
          <w:delText>dáv</w:delText>
        </w:r>
        <w:r w:rsidR="00134F0E" w:rsidRPr="001B4A02">
          <w:delText>ky</w:delText>
        </w:r>
        <w:r w:rsidRPr="001B4A02">
          <w:delText xml:space="preserve"> 24</w:delText>
        </w:r>
        <w:r w:rsidR="00F365E7">
          <w:delText> mg</w:delText>
        </w:r>
        <w:r w:rsidRPr="001B4A02">
          <w:delText>/m</w:delText>
        </w:r>
        <w:r w:rsidRPr="001B4A02">
          <w:rPr>
            <w:vertAlign w:val="superscript"/>
          </w:rPr>
          <w:delText>2</w:delText>
        </w:r>
        <w:r w:rsidRPr="001B4A02">
          <w:delText xml:space="preserve"> (maximální </w:delText>
        </w:r>
        <w:r w:rsidR="00700074" w:rsidRPr="001B4A02">
          <w:delText>dávk</w:delText>
        </w:r>
        <w:r w:rsidR="00700074">
          <w:delText>a</w:delText>
        </w:r>
        <w:r w:rsidR="00700074" w:rsidRPr="001B4A02">
          <w:delText xml:space="preserve"> </w:delText>
        </w:r>
        <w:r w:rsidRPr="001B4A02">
          <w:delText>40</w:delText>
        </w:r>
        <w:r w:rsidR="00F365E7">
          <w:delText> mg</w:delText>
        </w:r>
        <w:r w:rsidRPr="001B4A02">
          <w:delText>) subkutánně každý druhý týden pacientům s</w:delText>
        </w:r>
        <w:r w:rsidR="00E44CD4" w:rsidRPr="001B4A02">
          <w:delText> </w:delText>
        </w:r>
        <w:r w:rsidRPr="001B4A02">
          <w:delText>ente</w:delText>
        </w:r>
        <w:r w:rsidR="00E44CD4" w:rsidRPr="001B4A02">
          <w:delText xml:space="preserve">zopatickou </w:delText>
        </w:r>
        <w:r w:rsidRPr="001B4A02">
          <w:delText xml:space="preserve">artritidou ve věku 6 až 17 let byly průměrné </w:delText>
        </w:r>
        <w:r w:rsidR="00371B37" w:rsidRPr="001B4A02">
          <w:delText xml:space="preserve">nejnižší </w:delText>
        </w:r>
        <w:r w:rsidRPr="001B4A02">
          <w:delText xml:space="preserve">sérové koncentrace (hodnoty naměřené v týdnu 24) adalimumabu v ustáleném stavu 8,8 ± 6,6 µg/ml při podávání adalimumabu bez současného podávání </w:delText>
        </w:r>
        <w:r w:rsidR="00B104CE" w:rsidRPr="001B4A02">
          <w:delText>methotrexát</w:delText>
        </w:r>
        <w:r w:rsidRPr="001B4A02">
          <w:delText>u</w:delText>
        </w:r>
        <w:r w:rsidR="002378E0">
          <w:delText xml:space="preserve"> a </w:delText>
        </w:r>
        <w:r w:rsidRPr="001B4A02">
          <w:delText xml:space="preserve">11,8 ± 4,3 µg/ml při současném podávání </w:delText>
        </w:r>
        <w:r w:rsidR="00134F0E" w:rsidRPr="001B4A02">
          <w:delText>methotrexátu</w:delText>
        </w:r>
        <w:r w:rsidRPr="001B4A02">
          <w:delText>.</w:delText>
        </w:r>
      </w:del>
    </w:p>
    <w:p w14:paraId="7E4E9147" w14:textId="77777777" w:rsidR="00AA4C8D" w:rsidRDefault="00AA4C8D" w:rsidP="00ED48A3">
      <w:pPr>
        <w:ind w:left="0" w:firstLine="0"/>
        <w:rPr>
          <w:del w:id="8159" w:author="AbbVie1" w:date="2025-05-13T09:50:00Z"/>
        </w:rPr>
      </w:pPr>
    </w:p>
    <w:p w14:paraId="272840E3" w14:textId="77777777" w:rsidR="00B04C1D" w:rsidRPr="00F261A6" w:rsidRDefault="00000000" w:rsidP="00ED48A3">
      <w:pPr>
        <w:ind w:left="0" w:firstLine="0"/>
        <w:rPr>
          <w:del w:id="8160" w:author="AbbVie1" w:date="2025-05-13T09:50:00Z"/>
        </w:rPr>
      </w:pPr>
      <w:del w:id="8161" w:author="AbbVie1" w:date="2025-05-13T09:50:00Z">
        <w:r>
          <w:delText>Po podání dávky 40</w:delText>
        </w:r>
        <w:r w:rsidR="00F365E7">
          <w:delText> mg</w:delText>
        </w:r>
        <w:r>
          <w:delText xml:space="preserve"> adalimumabu subkutánně každý druhý týden dospělým pacientům s axiální spondylartritidou bez radiologického průkazu dosahovaly průměrné </w:delText>
        </w:r>
        <w:r w:rsidRPr="00F261A6">
          <w:delText xml:space="preserve">(±SD) </w:delText>
        </w:r>
        <w:r>
          <w:delText>n</w:delText>
        </w:r>
        <w:r w:rsidR="00965320">
          <w:delText xml:space="preserve">ejnižší sérové koncentrace </w:delText>
        </w:r>
        <w:r>
          <w:delText>v týdnu 68 hodnoty 8,0 ± 4,6 </w:delText>
        </w:r>
        <w:r w:rsidRPr="00F261A6">
          <w:rPr>
            <w:rFonts w:ascii="Symbol" w:hAnsi="Symbol"/>
          </w:rPr>
          <w:sym w:font="Symbol" w:char="F06D"/>
        </w:r>
        <w:r w:rsidRPr="00F261A6">
          <w:delText>g/ml.</w:delText>
        </w:r>
      </w:del>
    </w:p>
    <w:p w14:paraId="4E4E141D" w14:textId="77777777" w:rsidR="00FD6C45" w:rsidRPr="001B4A02" w:rsidRDefault="00FD6C45" w:rsidP="00ED48A3">
      <w:pPr>
        <w:ind w:left="0" w:firstLine="0"/>
        <w:rPr>
          <w:del w:id="8162" w:author="AbbVie1" w:date="2025-05-13T09:50:00Z"/>
        </w:rPr>
      </w:pPr>
    </w:p>
    <w:p w14:paraId="24667999" w14:textId="77777777" w:rsidR="00F07891" w:rsidRPr="001B4A02" w:rsidRDefault="00000000" w:rsidP="00ED48A3">
      <w:pPr>
        <w:ind w:left="0" w:firstLine="0"/>
        <w:rPr>
          <w:del w:id="8163" w:author="AbbVie1" w:date="2025-05-13T09:50:00Z"/>
        </w:rPr>
      </w:pPr>
      <w:del w:id="8164" w:author="AbbVie1" w:date="2025-05-13T09:50:00Z">
        <w:r w:rsidRPr="001B4A02">
          <w:delText xml:space="preserve">U </w:delText>
        </w:r>
        <w:r w:rsidR="000C29B0" w:rsidRPr="001B4A02">
          <w:rPr>
            <w:rFonts w:eastAsia="Calibri"/>
            <w:szCs w:val="22"/>
          </w:rPr>
          <w:delText xml:space="preserve">dospělých </w:delText>
        </w:r>
        <w:r w:rsidRPr="001B4A02">
          <w:delText xml:space="preserve">pacientů s psoriázou </w:delText>
        </w:r>
        <w:r w:rsidR="00645B94" w:rsidRPr="001B4A02">
          <w:delText>léčených</w:delText>
        </w:r>
        <w:r w:rsidR="0034629B" w:rsidRPr="001B4A02">
          <w:delText xml:space="preserve"> adalimumabem</w:delText>
        </w:r>
        <w:r w:rsidRPr="001B4A02">
          <w:delText xml:space="preserve"> v monoterapii v dávce 40</w:delText>
        </w:r>
        <w:r w:rsidR="00F365E7">
          <w:delText> mg</w:delText>
        </w:r>
        <w:r w:rsidRPr="001B4A02">
          <w:delText xml:space="preserve"> každý druhý týden </w:delText>
        </w:r>
        <w:r w:rsidR="00645B94" w:rsidRPr="001B4A02">
          <w:delText xml:space="preserve">byly </w:delText>
        </w:r>
        <w:r w:rsidRPr="001B4A02">
          <w:delText>průměrné nejnižší koncent</w:delText>
        </w:r>
        <w:r w:rsidR="00AC7C92" w:rsidRPr="001B4A02">
          <w:delText>race v ustáleném stavu 5</w:delText>
        </w:r>
        <w:r w:rsidR="00883A75">
          <w:delText> </w:delText>
        </w:r>
        <w:r w:rsidR="00AC7C92" w:rsidRPr="001B4A02">
          <w:delText>μg/ml.</w:delText>
        </w:r>
      </w:del>
    </w:p>
    <w:p w14:paraId="0A53ACFD" w14:textId="77777777" w:rsidR="00F07891" w:rsidRPr="001B4A02" w:rsidRDefault="00F07891" w:rsidP="00ED48A3">
      <w:pPr>
        <w:ind w:left="0" w:firstLine="0"/>
        <w:rPr>
          <w:del w:id="8165" w:author="AbbVie1" w:date="2025-05-13T09:50:00Z"/>
        </w:rPr>
      </w:pPr>
    </w:p>
    <w:p w14:paraId="4720278C" w14:textId="77777777" w:rsidR="00C93136" w:rsidRPr="001B4A02" w:rsidRDefault="00000000" w:rsidP="00ED48A3">
      <w:pPr>
        <w:ind w:left="0" w:firstLine="0"/>
        <w:rPr>
          <w:del w:id="8166" w:author="AbbVie1" w:date="2025-05-13T09:50:00Z"/>
        </w:rPr>
      </w:pPr>
      <w:del w:id="8167" w:author="AbbVie1" w:date="2025-05-13T09:50:00Z">
        <w:r w:rsidRPr="001B4A02">
          <w:delText xml:space="preserve">Po podání </w:delText>
        </w:r>
        <w:r w:rsidR="00134F0E" w:rsidRPr="001B4A02">
          <w:delText xml:space="preserve">dávky </w:delText>
        </w:r>
        <w:r w:rsidRPr="001B4A02">
          <w:delText>0,8</w:delText>
        </w:r>
        <w:r w:rsidR="00F365E7">
          <w:delText> mg</w:delText>
        </w:r>
        <w:r w:rsidRPr="001B4A02">
          <w:delText xml:space="preserve">/kg (maximální </w:delText>
        </w:r>
        <w:r w:rsidR="00700074" w:rsidRPr="001B4A02">
          <w:delText>dávk</w:delText>
        </w:r>
        <w:r w:rsidR="00700074">
          <w:delText>a</w:delText>
        </w:r>
        <w:r w:rsidR="00700074" w:rsidRPr="001B4A02">
          <w:delText xml:space="preserve"> </w:delText>
        </w:r>
        <w:r w:rsidRPr="001B4A02">
          <w:delText>40</w:delText>
        </w:r>
        <w:r w:rsidR="00F365E7">
          <w:delText> mg</w:delText>
        </w:r>
        <w:r w:rsidRPr="001B4A02">
          <w:delText xml:space="preserve">) subkutánně každý druhý týden pediatrickým pacientům s chronickou ložiskovou psoriázou byla </w:delText>
        </w:r>
        <w:r w:rsidR="00BB7890" w:rsidRPr="001B4A02">
          <w:delText>průměrná</w:delText>
        </w:r>
        <w:r w:rsidR="00371B37" w:rsidRPr="001B4A02">
          <w:delText xml:space="preserve"> nejnižší</w:delText>
        </w:r>
        <w:r w:rsidRPr="001B4A02">
          <w:delText xml:space="preserve"> ± SD koncentrace adalimumabu v ustáleném stavu přibližně 7,4 ± 5,8</w:delText>
        </w:r>
        <w:r w:rsidR="00883A75">
          <w:delText> </w:delText>
        </w:r>
        <w:r w:rsidRPr="001B4A02">
          <w:delText>µg/ml (79</w:delText>
        </w:r>
        <w:r w:rsidR="006008CB">
          <w:delText> %</w:delText>
        </w:r>
        <w:r w:rsidRPr="001B4A02">
          <w:delText xml:space="preserve"> CV).</w:delText>
        </w:r>
      </w:del>
    </w:p>
    <w:p w14:paraId="379A0432" w14:textId="77777777" w:rsidR="00C93136" w:rsidRPr="001B4A02" w:rsidRDefault="00C93136" w:rsidP="00ED48A3">
      <w:pPr>
        <w:ind w:left="0" w:firstLine="0"/>
        <w:rPr>
          <w:del w:id="8168" w:author="AbbVie1" w:date="2025-05-13T09:50:00Z"/>
        </w:rPr>
      </w:pPr>
    </w:p>
    <w:p w14:paraId="2A9FBFF1" w14:textId="77777777" w:rsidR="00351E94" w:rsidRPr="001B4A02" w:rsidRDefault="00000000" w:rsidP="00ED48A3">
      <w:pPr>
        <w:ind w:left="0" w:firstLine="0"/>
        <w:rPr>
          <w:del w:id="8169" w:author="AbbVie1" w:date="2025-05-13T09:50:00Z"/>
          <w:rFonts w:eastAsia="Calibri"/>
          <w:szCs w:val="22"/>
        </w:rPr>
      </w:pPr>
      <w:del w:id="8170" w:author="AbbVie1" w:date="2025-05-13T09:50:00Z">
        <w:r w:rsidRPr="001B4A02">
          <w:rPr>
            <w:rFonts w:eastAsia="Calibri"/>
            <w:szCs w:val="22"/>
          </w:rPr>
          <w:delText xml:space="preserve">Při </w:delText>
        </w:r>
        <w:r w:rsidR="00BE2F59" w:rsidRPr="001B4A02">
          <w:rPr>
            <w:rFonts w:eastAsia="Calibri"/>
            <w:szCs w:val="22"/>
          </w:rPr>
          <w:delText>po</w:delText>
        </w:r>
        <w:r w:rsidRPr="001B4A02">
          <w:rPr>
            <w:rFonts w:eastAsia="Calibri"/>
            <w:szCs w:val="22"/>
          </w:rPr>
          <w:delText>užití dávky 160</w:delText>
        </w:r>
        <w:r w:rsidR="00F365E7">
          <w:rPr>
            <w:rFonts w:eastAsia="Calibri"/>
            <w:szCs w:val="22"/>
          </w:rPr>
          <w:delText> mg</w:delText>
        </w:r>
        <w:r w:rsidRPr="001B4A02">
          <w:rPr>
            <w:rFonts w:eastAsia="Calibri"/>
            <w:szCs w:val="22"/>
          </w:rPr>
          <w:delText xml:space="preserve"> přípravku Humira v týdnu 0</w:delText>
        </w:r>
        <w:r w:rsidR="007E2F50" w:rsidRPr="001B4A02">
          <w:rPr>
            <w:rFonts w:eastAsia="Calibri"/>
            <w:szCs w:val="22"/>
          </w:rPr>
          <w:delText>,</w:delText>
        </w:r>
        <w:r w:rsidRPr="001B4A02">
          <w:rPr>
            <w:rFonts w:eastAsia="Calibri"/>
            <w:szCs w:val="22"/>
          </w:rPr>
          <w:delText xml:space="preserve"> následované dávkou 80</w:delText>
        </w:r>
        <w:r w:rsidR="00F365E7">
          <w:rPr>
            <w:rFonts w:eastAsia="Calibri"/>
            <w:szCs w:val="22"/>
          </w:rPr>
          <w:delText> mg</w:delText>
        </w:r>
        <w:r w:rsidRPr="001B4A02">
          <w:rPr>
            <w:rFonts w:eastAsia="Calibri"/>
            <w:szCs w:val="22"/>
          </w:rPr>
          <w:delText xml:space="preserve"> v týdnu 2</w:delText>
        </w:r>
        <w:r w:rsidR="006F2326" w:rsidRPr="001B4A02">
          <w:rPr>
            <w:rFonts w:eastAsia="Calibri"/>
            <w:szCs w:val="22"/>
          </w:rPr>
          <w:delText>.</w:delText>
        </w:r>
        <w:r w:rsidRPr="001B4A02">
          <w:rPr>
            <w:rFonts w:eastAsia="Calibri"/>
            <w:szCs w:val="22"/>
          </w:rPr>
          <w:delText xml:space="preserve"> bylo u</w:delText>
        </w:r>
        <w:r w:rsidR="006F2326" w:rsidRPr="001B4A02">
          <w:rPr>
            <w:rFonts w:eastAsia="Calibri"/>
            <w:szCs w:val="22"/>
          </w:rPr>
          <w:delText> </w:delText>
        </w:r>
        <w:r w:rsidR="00A4182B" w:rsidRPr="001B4A02">
          <w:rPr>
            <w:rFonts w:eastAsia="Calibri"/>
            <w:szCs w:val="22"/>
          </w:rPr>
          <w:delText xml:space="preserve">dospělých </w:delText>
        </w:r>
        <w:r w:rsidRPr="001B4A02">
          <w:rPr>
            <w:rFonts w:eastAsia="Calibri"/>
            <w:szCs w:val="22"/>
          </w:rPr>
          <w:delText>pacientů s hidradenitis suppurativa dosaženo nejnižších sérových koncentrac</w:delText>
        </w:r>
        <w:r w:rsidR="00F413FA" w:rsidRPr="001B4A02">
          <w:rPr>
            <w:rFonts w:eastAsia="Calibri"/>
            <w:szCs w:val="22"/>
          </w:rPr>
          <w:delText>í</w:delText>
        </w:r>
        <w:r w:rsidRPr="001B4A02">
          <w:rPr>
            <w:rFonts w:eastAsia="Calibri"/>
            <w:szCs w:val="22"/>
          </w:rPr>
          <w:delText xml:space="preserve"> adalimumabu přibližně 7–8</w:delText>
        </w:r>
        <w:r w:rsidR="00883A75">
          <w:delText> </w:delText>
        </w:r>
        <w:r w:rsidR="00883A75" w:rsidRPr="001B4A02">
          <w:delText>µg</w:delText>
        </w:r>
        <w:r w:rsidR="00062315" w:rsidRPr="001B4A02">
          <w:rPr>
            <w:rFonts w:eastAsia="Calibri"/>
            <w:szCs w:val="22"/>
          </w:rPr>
          <w:delText>/ml v týdnu 2</w:delText>
        </w:r>
        <w:r w:rsidR="002378E0">
          <w:rPr>
            <w:rFonts w:eastAsia="Calibri"/>
            <w:szCs w:val="22"/>
          </w:rPr>
          <w:delText xml:space="preserve"> a </w:delText>
        </w:r>
        <w:r w:rsidR="00062315" w:rsidRPr="001B4A02">
          <w:rPr>
            <w:rFonts w:eastAsia="Calibri"/>
            <w:szCs w:val="22"/>
          </w:rPr>
          <w:delText xml:space="preserve">4. </w:delText>
        </w:r>
        <w:r w:rsidRPr="001B4A02">
          <w:rPr>
            <w:rFonts w:eastAsia="Calibri"/>
            <w:szCs w:val="22"/>
          </w:rPr>
          <w:delText>Průměrné nejnižší ustálené koncentrace v týdnu 12 do týdne 36 byly přibližně 8–10</w:delText>
        </w:r>
        <w:r w:rsidR="00883A75">
          <w:delText> </w:delText>
        </w:r>
        <w:r w:rsidR="00883A75" w:rsidRPr="001B4A02">
          <w:delText>µg</w:delText>
        </w:r>
        <w:r w:rsidRPr="001B4A02">
          <w:rPr>
            <w:rFonts w:eastAsia="Calibri"/>
            <w:szCs w:val="22"/>
          </w:rPr>
          <w:delText>/ml při léčbě dávkou adalimumabu 40</w:delText>
        </w:r>
        <w:r w:rsidR="00F365E7">
          <w:rPr>
            <w:rFonts w:eastAsia="Calibri"/>
            <w:szCs w:val="22"/>
          </w:rPr>
          <w:delText> mg</w:delText>
        </w:r>
        <w:r w:rsidRPr="001B4A02">
          <w:rPr>
            <w:rFonts w:eastAsia="Calibri"/>
            <w:szCs w:val="22"/>
          </w:rPr>
          <w:delText xml:space="preserve"> jednou týdně.</w:delText>
        </w:r>
      </w:del>
    </w:p>
    <w:p w14:paraId="4D9348DB" w14:textId="77777777" w:rsidR="00A4182B" w:rsidRPr="001B4A02" w:rsidRDefault="00A4182B" w:rsidP="00ED48A3">
      <w:pPr>
        <w:ind w:left="0" w:firstLine="0"/>
        <w:rPr>
          <w:del w:id="8171" w:author="AbbVie1" w:date="2025-05-13T09:50:00Z"/>
          <w:rFonts w:eastAsia="Calibri"/>
          <w:szCs w:val="22"/>
        </w:rPr>
      </w:pPr>
    </w:p>
    <w:p w14:paraId="265EDE44" w14:textId="77777777" w:rsidR="00A4182B" w:rsidRPr="001B4A02" w:rsidRDefault="00000000" w:rsidP="00ED48A3">
      <w:pPr>
        <w:pStyle w:val="EMEANormal"/>
        <w:rPr>
          <w:del w:id="8172" w:author="AbbVie1" w:date="2025-05-13T09:50:00Z"/>
          <w:iCs/>
          <w:lang w:val="cs-CZ"/>
        </w:rPr>
      </w:pPr>
      <w:del w:id="8173" w:author="AbbVie1" w:date="2025-05-13T09:50:00Z">
        <w:r w:rsidRPr="001B4A02">
          <w:rPr>
            <w:iCs/>
            <w:szCs w:val="22"/>
            <w:lang w:val="cs-CZ"/>
          </w:rPr>
          <w:delText>Expozice adalimumabu u</w:delText>
        </w:r>
        <w:r w:rsidR="00C048C3" w:rsidRPr="001B4A02">
          <w:rPr>
            <w:iCs/>
            <w:szCs w:val="22"/>
            <w:lang w:val="cs-CZ"/>
          </w:rPr>
          <w:delText> </w:delText>
        </w:r>
        <w:r w:rsidRPr="001B4A02">
          <w:rPr>
            <w:iCs/>
            <w:szCs w:val="22"/>
            <w:lang w:val="cs-CZ"/>
          </w:rPr>
          <w:delText>dospívajících pacientů s</w:delText>
        </w:r>
        <w:r w:rsidR="00AD3DCC" w:rsidRPr="001B4A02">
          <w:rPr>
            <w:iCs/>
            <w:szCs w:val="22"/>
            <w:lang w:val="cs-CZ"/>
          </w:rPr>
          <w:delText> </w:delText>
        </w:r>
        <w:r w:rsidRPr="001B4A02">
          <w:rPr>
            <w:iCs/>
            <w:szCs w:val="22"/>
            <w:lang w:val="cs-CZ"/>
          </w:rPr>
          <w:delText>HS byla predikována pomocí populačního farmakokinetického modelování</w:delText>
        </w:r>
        <w:r w:rsidR="002378E0">
          <w:rPr>
            <w:iCs/>
            <w:szCs w:val="22"/>
            <w:lang w:val="cs-CZ"/>
          </w:rPr>
          <w:delText xml:space="preserve"> a </w:delText>
        </w:r>
        <w:r w:rsidRPr="001B4A02">
          <w:rPr>
            <w:iCs/>
            <w:szCs w:val="22"/>
            <w:lang w:val="cs-CZ"/>
          </w:rPr>
          <w:delText>simulace na základě farmakokinetiky napříč indikacemi u</w:delText>
        </w:r>
        <w:r w:rsidR="00C048C3" w:rsidRPr="001B4A02">
          <w:rPr>
            <w:iCs/>
            <w:szCs w:val="22"/>
            <w:lang w:val="cs-CZ"/>
          </w:rPr>
          <w:delText> </w:delText>
        </w:r>
        <w:r w:rsidRPr="001B4A02">
          <w:rPr>
            <w:iCs/>
            <w:szCs w:val="22"/>
            <w:lang w:val="cs-CZ"/>
          </w:rPr>
          <w:delText>dalších pediatrických pacientů (pediatrická psoriáza, juvenilní idiopatická artritida, pediatrická Crohnova choroba</w:delText>
        </w:r>
        <w:r w:rsidR="002378E0">
          <w:rPr>
            <w:iCs/>
            <w:szCs w:val="22"/>
            <w:lang w:val="cs-CZ"/>
          </w:rPr>
          <w:delText xml:space="preserve"> a </w:delText>
        </w:r>
        <w:r w:rsidRPr="001B4A02">
          <w:rPr>
            <w:iCs/>
            <w:szCs w:val="22"/>
            <w:lang w:val="cs-CZ"/>
          </w:rPr>
          <w:delText xml:space="preserve">entezopatická artritida). Doporučený </w:delText>
        </w:r>
        <w:r w:rsidR="009663D1" w:rsidRPr="001B4A02">
          <w:rPr>
            <w:iCs/>
            <w:szCs w:val="22"/>
            <w:lang w:val="cs-CZ"/>
          </w:rPr>
          <w:delText>režim</w:delText>
        </w:r>
        <w:r w:rsidRPr="001B4A02">
          <w:rPr>
            <w:iCs/>
            <w:szCs w:val="22"/>
            <w:lang w:val="cs-CZ"/>
          </w:rPr>
          <w:delText xml:space="preserve"> dávkování u</w:delText>
        </w:r>
        <w:r w:rsidR="00C048C3" w:rsidRPr="001B4A02">
          <w:rPr>
            <w:iCs/>
            <w:szCs w:val="22"/>
            <w:lang w:val="cs-CZ"/>
          </w:rPr>
          <w:delText> </w:delText>
        </w:r>
        <w:r w:rsidRPr="001B4A02">
          <w:rPr>
            <w:iCs/>
            <w:szCs w:val="22"/>
            <w:lang w:val="cs-CZ"/>
          </w:rPr>
          <w:delText>dospívajících s</w:delText>
        </w:r>
        <w:r w:rsidR="00253ABE" w:rsidRPr="001B4A02">
          <w:rPr>
            <w:iCs/>
            <w:szCs w:val="22"/>
            <w:lang w:val="cs-CZ"/>
          </w:rPr>
          <w:delText> </w:delText>
        </w:r>
        <w:r w:rsidRPr="001B4A02">
          <w:rPr>
            <w:iCs/>
            <w:szCs w:val="22"/>
            <w:lang w:val="cs-CZ"/>
          </w:rPr>
          <w:delText>HS je 40</w:delText>
        </w:r>
        <w:r w:rsidR="00F365E7">
          <w:rPr>
            <w:iCs/>
            <w:szCs w:val="22"/>
            <w:lang w:val="cs-CZ"/>
          </w:rPr>
          <w:delText> mg</w:delText>
        </w:r>
        <w:r w:rsidRPr="001B4A02">
          <w:rPr>
            <w:iCs/>
            <w:szCs w:val="22"/>
            <w:lang w:val="cs-CZ"/>
          </w:rPr>
          <w:delText xml:space="preserve"> každý druhý týden. Vzhledem k tomu, že expozice adalimumabu může být ovlivněna </w:delText>
        </w:r>
        <w:r w:rsidR="001D0946" w:rsidRPr="001B4A02">
          <w:rPr>
            <w:iCs/>
            <w:szCs w:val="22"/>
            <w:lang w:val="cs-CZ"/>
          </w:rPr>
          <w:delText>tělesnou hmotností</w:delText>
        </w:r>
        <w:r w:rsidRPr="001B4A02">
          <w:rPr>
            <w:iCs/>
            <w:szCs w:val="22"/>
            <w:lang w:val="cs-CZ"/>
          </w:rPr>
          <w:delText>, může být u</w:delText>
        </w:r>
        <w:r w:rsidR="00C048C3" w:rsidRPr="001B4A02">
          <w:rPr>
            <w:iCs/>
            <w:szCs w:val="22"/>
            <w:lang w:val="cs-CZ"/>
          </w:rPr>
          <w:delText> </w:delText>
        </w:r>
        <w:r w:rsidR="007633DC" w:rsidRPr="007D438D">
          <w:rPr>
            <w:lang w:val="cs-CZ"/>
          </w:rPr>
          <w:delText>dospívajících</w:delText>
        </w:r>
        <w:r w:rsidRPr="001B4A02">
          <w:rPr>
            <w:iCs/>
            <w:szCs w:val="22"/>
            <w:lang w:val="cs-CZ"/>
          </w:rPr>
          <w:delText xml:space="preserve"> s vyšší tělesnou hmotností</w:delText>
        </w:r>
        <w:r w:rsidR="002378E0">
          <w:rPr>
            <w:iCs/>
            <w:szCs w:val="22"/>
            <w:lang w:val="cs-CZ"/>
          </w:rPr>
          <w:delText xml:space="preserve"> a </w:delText>
        </w:r>
        <w:r w:rsidRPr="001B4A02">
          <w:rPr>
            <w:iCs/>
            <w:szCs w:val="22"/>
            <w:lang w:val="cs-CZ"/>
          </w:rPr>
          <w:delText>nedostatečnou odpovědí prospěšné dávkování 40</w:delText>
        </w:r>
        <w:r w:rsidR="00F365E7">
          <w:rPr>
            <w:iCs/>
            <w:szCs w:val="22"/>
            <w:lang w:val="cs-CZ"/>
          </w:rPr>
          <w:delText> mg</w:delText>
        </w:r>
        <w:r w:rsidRPr="001B4A02">
          <w:rPr>
            <w:iCs/>
            <w:szCs w:val="22"/>
            <w:lang w:val="cs-CZ"/>
          </w:rPr>
          <w:delText xml:space="preserve"> jednou týdně.</w:delText>
        </w:r>
      </w:del>
    </w:p>
    <w:p w14:paraId="20818EFA" w14:textId="77777777" w:rsidR="00FA4CFB" w:rsidRPr="001B4A02" w:rsidRDefault="00FA4CFB" w:rsidP="00ED48A3">
      <w:pPr>
        <w:ind w:left="0" w:firstLine="0"/>
        <w:rPr>
          <w:del w:id="8174" w:author="AbbVie1" w:date="2025-05-13T09:50:00Z"/>
        </w:rPr>
      </w:pPr>
    </w:p>
    <w:p w14:paraId="2556D01C" w14:textId="77777777" w:rsidR="00073F8F" w:rsidRPr="001B4A02" w:rsidRDefault="00000000" w:rsidP="00ED48A3">
      <w:pPr>
        <w:ind w:left="0" w:firstLine="0"/>
        <w:rPr>
          <w:del w:id="8175" w:author="AbbVie1" w:date="2025-05-13T09:50:00Z"/>
        </w:rPr>
      </w:pPr>
      <w:del w:id="8176" w:author="AbbVie1" w:date="2025-05-13T09:50:00Z">
        <w:r w:rsidRPr="001B4A02">
          <w:delText xml:space="preserve">Při </w:delText>
        </w:r>
        <w:r w:rsidR="00BE2F59" w:rsidRPr="001B4A02">
          <w:delText>po</w:delText>
        </w:r>
        <w:r w:rsidRPr="001B4A02">
          <w:delText xml:space="preserve">užití </w:delText>
        </w:r>
        <w:r w:rsidR="006F2326" w:rsidRPr="001B4A02">
          <w:delText>úvodní</w:delText>
        </w:r>
        <w:r w:rsidRPr="001B4A02">
          <w:delText xml:space="preserve"> dávky 80 mg přípravku Humira v</w:delText>
        </w:r>
        <w:r w:rsidR="00253ABE" w:rsidRPr="001B4A02">
          <w:delText> </w:delText>
        </w:r>
        <w:r w:rsidRPr="001B4A02">
          <w:delText>týdnu 0, následované dávkou 40 mg v týdnu 2, bylo u</w:delText>
        </w:r>
        <w:r w:rsidR="00C048C3" w:rsidRPr="001B4A02">
          <w:delText> </w:delText>
        </w:r>
        <w:r w:rsidRPr="001B4A02">
          <w:delText>pacientů s Crohnovou</w:delText>
        </w:r>
        <w:r w:rsidR="00AA419E" w:rsidRPr="001B4A02">
          <w:delText>chorobou</w:delText>
        </w:r>
        <w:r w:rsidRPr="001B4A02">
          <w:delText xml:space="preserve"> během indukční</w:delText>
        </w:r>
        <w:r w:rsidR="009663D1" w:rsidRPr="001B4A02">
          <w:delText xml:space="preserve"> fáze léčby</w:delText>
        </w:r>
        <w:r w:rsidRPr="001B4A02">
          <w:delText xml:space="preserve"> dosaženo </w:delText>
        </w:r>
        <w:r w:rsidR="00371B37" w:rsidRPr="001B4A02">
          <w:delText>nejnižších</w:delText>
        </w:r>
        <w:r w:rsidR="00BB7890" w:rsidRPr="001B4A02">
          <w:delText xml:space="preserve"> </w:delText>
        </w:r>
        <w:r w:rsidRPr="001B4A02">
          <w:delText>sérových koncentrací adalimumabu přibližně 5,5 </w:delText>
        </w:r>
        <w:r w:rsidR="00883A75" w:rsidRPr="001B4A02">
          <w:delText>µg</w:delText>
        </w:r>
        <w:r w:rsidRPr="001B4A02">
          <w:delText xml:space="preserve">/ml. Při </w:delText>
        </w:r>
        <w:r w:rsidR="006F2326" w:rsidRPr="001B4A02">
          <w:delText>úvodní</w:delText>
        </w:r>
        <w:r w:rsidRPr="001B4A02">
          <w:delText xml:space="preserve"> dávce 160 mg přípravku Humira v týdnu 0, následované dávkou 80 mg přípravku Humira v týdnu 2, došlo v průběhu indukční</w:delText>
        </w:r>
        <w:r w:rsidR="00A86BA6" w:rsidRPr="001B4A02">
          <w:delText xml:space="preserve"> fáze léčby</w:delText>
        </w:r>
        <w:r w:rsidRPr="001B4A02">
          <w:delText xml:space="preserve"> k dosažení </w:delText>
        </w:r>
        <w:r w:rsidR="00371B37" w:rsidRPr="001B4A02">
          <w:delText>nejnižších</w:delText>
        </w:r>
        <w:r w:rsidR="00BB7890" w:rsidRPr="001B4A02">
          <w:delText xml:space="preserve"> </w:delText>
        </w:r>
        <w:r w:rsidRPr="001B4A02">
          <w:delText>sérových koncentrací adalimumabu přibližně 12 </w:delText>
        </w:r>
        <w:r w:rsidR="00883A75" w:rsidRPr="001B4A02">
          <w:delText>µg</w:delText>
        </w:r>
        <w:r w:rsidRPr="001B4A02">
          <w:delText>/ml. U</w:delText>
        </w:r>
        <w:r w:rsidR="006F2326" w:rsidRPr="001B4A02">
          <w:delText> </w:delText>
        </w:r>
        <w:r w:rsidRPr="001B4A02">
          <w:delText xml:space="preserve">pacientů s Crohnovou chorobou, kteří dostávali udržovací dávku přípravku Humira 40 mg každý druhý týden, byly pozorovány průměrné </w:delText>
        </w:r>
        <w:r w:rsidR="00371B37" w:rsidRPr="001B4A02">
          <w:delText xml:space="preserve">nejnižší </w:delText>
        </w:r>
        <w:r w:rsidRPr="001B4A02">
          <w:delText>ustálené hladiny přibližně 7 </w:delText>
        </w:r>
        <w:r w:rsidR="00883A75" w:rsidRPr="001B4A02">
          <w:delText>µg</w:delText>
        </w:r>
        <w:r w:rsidRPr="001B4A02">
          <w:delText>/ml.</w:delText>
        </w:r>
      </w:del>
    </w:p>
    <w:p w14:paraId="0E7A79FF" w14:textId="77777777" w:rsidR="006E75F4" w:rsidRPr="001B4A02" w:rsidRDefault="006E75F4" w:rsidP="00ED48A3">
      <w:pPr>
        <w:ind w:left="0" w:firstLine="0"/>
        <w:rPr>
          <w:del w:id="8177" w:author="AbbVie1" w:date="2025-05-13T09:50:00Z"/>
        </w:rPr>
      </w:pPr>
    </w:p>
    <w:p w14:paraId="0BA6EB7B" w14:textId="77777777" w:rsidR="006E75F4" w:rsidRPr="001B4A02" w:rsidRDefault="00000000" w:rsidP="00ED48A3">
      <w:pPr>
        <w:ind w:left="0" w:firstLine="0"/>
        <w:rPr>
          <w:del w:id="8178" w:author="AbbVie1" w:date="2025-05-13T09:50:00Z"/>
        </w:rPr>
      </w:pPr>
      <w:del w:id="8179" w:author="AbbVie1" w:date="2025-05-13T09:50:00Z">
        <w:r w:rsidRPr="001B4A02">
          <w:delText xml:space="preserve">U pediatrických </w:delText>
        </w:r>
        <w:r w:rsidR="002E78E2" w:rsidRPr="001B4A02">
          <w:delText xml:space="preserve">pacientů </w:delText>
        </w:r>
        <w:r w:rsidRPr="001B4A02">
          <w:delText>se středně těžkou až těžkou Crohnovou chorobou v otevřené fázi studie byly úvodní dávky adalimumabu v týdnech 0</w:delText>
        </w:r>
        <w:r w:rsidR="002378E0">
          <w:delText xml:space="preserve"> a </w:delText>
        </w:r>
        <w:r w:rsidRPr="001B4A02">
          <w:delText>2 buď 160/80</w:delText>
        </w:r>
        <w:r w:rsidR="00F365E7">
          <w:delText> mg</w:delText>
        </w:r>
        <w:r w:rsidR="00436CE4" w:rsidRPr="001B4A02">
          <w:delText>,</w:delText>
        </w:r>
        <w:r w:rsidRPr="001B4A02">
          <w:delText xml:space="preserve"> nebo 80/40</w:delText>
        </w:r>
        <w:r w:rsidR="00F365E7">
          <w:delText> mg</w:delText>
        </w:r>
        <w:r w:rsidRPr="001B4A02">
          <w:delText>, v</w:delText>
        </w:r>
        <w:r w:rsidR="00255A0A" w:rsidRPr="001B4A02">
          <w:delText> </w:delText>
        </w:r>
        <w:r w:rsidRPr="001B4A02">
          <w:delText>závislosti na tělesné hmotnosti, přičemž hranicí byla hmotnost 40</w:delText>
        </w:r>
        <w:r w:rsidR="002767FC">
          <w:delText> kg</w:delText>
        </w:r>
        <w:r w:rsidRPr="001B4A02">
          <w:delText>. V týdnu 4 byl</w:delText>
        </w:r>
        <w:r w:rsidR="002E78E2" w:rsidRPr="001B4A02">
          <w:delText>i</w:delText>
        </w:r>
        <w:r w:rsidRPr="001B4A02">
          <w:delText xml:space="preserve"> </w:delText>
        </w:r>
        <w:r w:rsidR="002E78E2" w:rsidRPr="001B4A02">
          <w:delText xml:space="preserve">pacienti </w:delText>
        </w:r>
        <w:r w:rsidRPr="001B4A02">
          <w:delText>randomizován</w:delText>
        </w:r>
        <w:r w:rsidR="002E78E2" w:rsidRPr="001B4A02">
          <w:delText>i</w:delText>
        </w:r>
        <w:r w:rsidRPr="001B4A02">
          <w:delText xml:space="preserve"> v poměru 1:1</w:delText>
        </w:r>
        <w:r w:rsidR="002378E0">
          <w:delText xml:space="preserve"> a </w:delText>
        </w:r>
        <w:r w:rsidRPr="001B4A02">
          <w:delText>dostával</w:delText>
        </w:r>
        <w:r w:rsidR="002E78E2" w:rsidRPr="001B4A02">
          <w:delText>i</w:delText>
        </w:r>
        <w:r w:rsidRPr="001B4A02">
          <w:delText xml:space="preserve"> v pokračovací léčbě buď standardní dávku (40/20</w:delText>
        </w:r>
        <w:r w:rsidR="00F365E7">
          <w:delText> mg</w:delText>
        </w:r>
        <w:r w:rsidRPr="001B4A02">
          <w:delText xml:space="preserve"> každý druhý týden)</w:delText>
        </w:r>
        <w:r w:rsidR="00436CE4" w:rsidRPr="001B4A02">
          <w:delText>,</w:delText>
        </w:r>
        <w:r w:rsidRPr="001B4A02">
          <w:delText xml:space="preserve"> nebo sníženou dávku (20/10</w:delText>
        </w:r>
        <w:r w:rsidR="00F365E7">
          <w:delText> mg</w:delText>
        </w:r>
        <w:r w:rsidRPr="001B4A02">
          <w:delText xml:space="preserve"> každý druhý týden) v závislosti na jejich tělesné hmotnosti. Průměrné </w:delText>
        </w:r>
        <w:r w:rsidR="00371B37" w:rsidRPr="001B4A02">
          <w:delText xml:space="preserve">nejnižší </w:delText>
        </w:r>
        <w:r w:rsidRPr="001B4A02">
          <w:rPr>
            <w:szCs w:val="22"/>
            <w:lang w:eastAsia="en-GB"/>
          </w:rPr>
          <w:delText>(</w:delText>
        </w:r>
        <w:r w:rsidRPr="001B4A02">
          <w:rPr>
            <w:rFonts w:eastAsia="Arial Unicode MS"/>
          </w:rPr>
          <w:delText>±SD) sérové koncentrace adalimumabu, kterých dosáhl</w:delText>
        </w:r>
        <w:r w:rsidR="002E78E2" w:rsidRPr="001B4A02">
          <w:rPr>
            <w:rFonts w:eastAsia="Arial Unicode MS"/>
          </w:rPr>
          <w:delText>i</w:delText>
        </w:r>
        <w:r w:rsidRPr="001B4A02">
          <w:rPr>
            <w:rFonts w:eastAsia="Arial Unicode MS"/>
          </w:rPr>
          <w:delText xml:space="preserve"> </w:delText>
        </w:r>
        <w:r w:rsidR="002E78E2" w:rsidRPr="001B4A02">
          <w:rPr>
            <w:rFonts w:eastAsia="Arial Unicode MS"/>
          </w:rPr>
          <w:delText xml:space="preserve">pacienti </w:delText>
        </w:r>
        <w:r w:rsidRPr="001B4A02">
          <w:rPr>
            <w:rFonts w:eastAsia="Arial Unicode MS"/>
          </w:rPr>
          <w:delText>v týdnu 4</w:delText>
        </w:r>
        <w:r w:rsidR="00436CE4" w:rsidRPr="001B4A02">
          <w:rPr>
            <w:rFonts w:eastAsia="Arial Unicode MS"/>
          </w:rPr>
          <w:delText>,</w:delText>
        </w:r>
        <w:r w:rsidRPr="001B4A02">
          <w:rPr>
            <w:rFonts w:eastAsia="Arial Unicode MS"/>
          </w:rPr>
          <w:delText xml:space="preserve"> byly 15,7 ± 6,6 </w:delText>
        </w:r>
        <w:r w:rsidRPr="001B4A02">
          <w:rPr>
            <w:rFonts w:ascii="Symbol" w:hAnsi="Symbol"/>
          </w:rPr>
          <w:sym w:font="Symbol" w:char="F06D"/>
        </w:r>
        <w:r w:rsidRPr="001B4A02">
          <w:delText>g/ml u</w:delText>
        </w:r>
        <w:r w:rsidR="00C048C3" w:rsidRPr="001B4A02">
          <w:delText> </w:delText>
        </w:r>
        <w:r w:rsidR="002E78E2" w:rsidRPr="001B4A02">
          <w:delText xml:space="preserve">pacientů </w:delText>
        </w:r>
        <w:r w:rsidRPr="001B4A02">
          <w:delText>≥ 40</w:delText>
        </w:r>
        <w:r w:rsidR="002767FC">
          <w:delText> kg</w:delText>
        </w:r>
        <w:r w:rsidRPr="001B4A02">
          <w:delText xml:space="preserve"> (160/80</w:delText>
        </w:r>
        <w:r w:rsidR="00F365E7">
          <w:delText> mg</w:delText>
        </w:r>
        <w:r w:rsidRPr="001B4A02">
          <w:delText>)</w:delText>
        </w:r>
        <w:r w:rsidR="002378E0">
          <w:delText xml:space="preserve"> a </w:delText>
        </w:r>
        <w:r w:rsidRPr="001B4A02">
          <w:delText xml:space="preserve">10,6 ± 6,1 </w:delText>
        </w:r>
        <w:r w:rsidRPr="001B4A02">
          <w:rPr>
            <w:rFonts w:ascii="Symbol" w:hAnsi="Symbol"/>
          </w:rPr>
          <w:sym w:font="Symbol" w:char="F06D"/>
        </w:r>
        <w:r w:rsidRPr="001B4A02">
          <w:delText>g/ml u</w:delText>
        </w:r>
        <w:r w:rsidR="00C048C3" w:rsidRPr="001B4A02">
          <w:delText> </w:delText>
        </w:r>
        <w:r w:rsidR="002E78E2" w:rsidRPr="001B4A02">
          <w:delText xml:space="preserve">pacientů </w:delText>
        </w:r>
        <w:r w:rsidRPr="001B4A02">
          <w:delText>&lt; 40</w:delText>
        </w:r>
        <w:r w:rsidR="00F365E7">
          <w:delText> mg</w:delText>
        </w:r>
        <w:r w:rsidRPr="001B4A02">
          <w:delText xml:space="preserve"> (80/40</w:delText>
        </w:r>
        <w:r w:rsidR="00F365E7">
          <w:delText> mg</w:delText>
        </w:r>
        <w:r w:rsidRPr="001B4A02">
          <w:delText>).</w:delText>
        </w:r>
      </w:del>
    </w:p>
    <w:p w14:paraId="1DA477DF" w14:textId="77777777" w:rsidR="006E75F4" w:rsidRPr="001B4A02" w:rsidRDefault="006E75F4" w:rsidP="00ED48A3">
      <w:pPr>
        <w:ind w:left="0" w:firstLine="0"/>
        <w:rPr>
          <w:del w:id="8180" w:author="AbbVie1" w:date="2025-05-13T09:50:00Z"/>
        </w:rPr>
      </w:pPr>
    </w:p>
    <w:p w14:paraId="4997639A" w14:textId="77777777" w:rsidR="006E75F4" w:rsidRPr="001B4A02" w:rsidRDefault="00000000" w:rsidP="00ED48A3">
      <w:pPr>
        <w:ind w:left="0" w:firstLine="0"/>
        <w:rPr>
          <w:del w:id="8181" w:author="AbbVie1" w:date="2025-05-13T09:50:00Z"/>
        </w:rPr>
      </w:pPr>
      <w:del w:id="8182" w:author="AbbVie1" w:date="2025-05-13T09:50:00Z">
        <w:r w:rsidRPr="001B4A02">
          <w:delText xml:space="preserve">U </w:delText>
        </w:r>
        <w:r w:rsidR="00897970" w:rsidRPr="001B4A02">
          <w:delText>pacientů</w:delText>
        </w:r>
        <w:r w:rsidRPr="001B4A02">
          <w:delText>, k</w:delText>
        </w:r>
        <w:r w:rsidR="0076777A" w:rsidRPr="001B4A02">
          <w:delText>t</w:delText>
        </w:r>
        <w:r w:rsidRPr="001B4A02">
          <w:delText xml:space="preserve">eří setrvávali na léčbě tak, jak byli randomizováni, byly </w:delText>
        </w:r>
        <w:r w:rsidR="00BB7890" w:rsidRPr="001B4A02">
          <w:delText>průměrné</w:delText>
        </w:r>
        <w:r w:rsidR="00DE3E78" w:rsidRPr="001B4A02">
          <w:delText xml:space="preserve"> nejnižší</w:delText>
        </w:r>
        <w:r w:rsidR="00BB7890" w:rsidRPr="001B4A02">
          <w:delText xml:space="preserve"> (±SD) </w:delText>
        </w:r>
        <w:r w:rsidRPr="001B4A02">
          <w:delText xml:space="preserve">koncentrace v týdnu 52 9,5 ± 5,6 </w:delText>
        </w:r>
        <w:r w:rsidRPr="001B4A02">
          <w:rPr>
            <w:rFonts w:ascii="Symbol" w:hAnsi="Symbol"/>
          </w:rPr>
          <w:sym w:font="Symbol" w:char="F06D"/>
        </w:r>
        <w:r w:rsidRPr="001B4A02">
          <w:delText>g/ml u</w:delText>
        </w:r>
        <w:r w:rsidR="00C048C3" w:rsidRPr="001B4A02">
          <w:delText> </w:delText>
        </w:r>
        <w:r w:rsidRPr="001B4A02">
          <w:delText xml:space="preserve">skupiny, která </w:delText>
        </w:r>
        <w:r w:rsidR="00A507B3" w:rsidRPr="001B4A02">
          <w:delText>po</w:delText>
        </w:r>
        <w:r w:rsidRPr="001B4A02">
          <w:delText>užívala standardní dávku</w:delText>
        </w:r>
        <w:r w:rsidR="00436CE4" w:rsidRPr="001B4A02">
          <w:delText>,</w:delText>
        </w:r>
        <w:r w:rsidR="002378E0">
          <w:delText xml:space="preserve"> a </w:delText>
        </w:r>
        <w:r w:rsidRPr="001B4A02">
          <w:delText xml:space="preserve">3,5 ± 2,2 </w:delText>
        </w:r>
        <w:r w:rsidRPr="001B4A02">
          <w:rPr>
            <w:rFonts w:ascii="Symbol" w:hAnsi="Symbol"/>
          </w:rPr>
          <w:sym w:font="Symbol" w:char="F06D"/>
        </w:r>
        <w:r w:rsidRPr="001B4A02">
          <w:delText>g/ml u</w:delText>
        </w:r>
        <w:r w:rsidR="00D15A04" w:rsidRPr="001B4A02">
          <w:delText> </w:delText>
        </w:r>
        <w:r w:rsidRPr="001B4A02">
          <w:delText>skupiny</w:delText>
        </w:r>
        <w:r w:rsidR="00436CE4" w:rsidRPr="001B4A02">
          <w:delText>,</w:delText>
        </w:r>
        <w:r w:rsidRPr="001B4A02">
          <w:delText xml:space="preserve"> která </w:delText>
        </w:r>
        <w:r w:rsidR="00A507B3" w:rsidRPr="001B4A02">
          <w:delText>po</w:delText>
        </w:r>
        <w:r w:rsidRPr="001B4A02">
          <w:delText xml:space="preserve">užívala sníženou dávku. Průměrné </w:delText>
        </w:r>
        <w:r w:rsidR="00DE3E78" w:rsidRPr="001B4A02">
          <w:delText xml:space="preserve">nejnižší </w:delText>
        </w:r>
        <w:r w:rsidRPr="001B4A02">
          <w:delText>koncentrace adalimumabu se udržely u</w:delText>
        </w:r>
        <w:r w:rsidR="00D15A04" w:rsidRPr="001B4A02">
          <w:delText> </w:delText>
        </w:r>
        <w:r w:rsidRPr="001B4A02">
          <w:delText xml:space="preserve">těch </w:delText>
        </w:r>
        <w:r w:rsidR="00897970" w:rsidRPr="001B4A02">
          <w:delText>pacientů</w:delText>
        </w:r>
        <w:r w:rsidRPr="001B4A02">
          <w:delText>, u</w:delText>
        </w:r>
        <w:r w:rsidR="00D15A04" w:rsidRPr="001B4A02">
          <w:delText> </w:delText>
        </w:r>
        <w:r w:rsidRPr="001B4A02">
          <w:delText>nichž se s podáváním adalimumabu každý druhý týden pokračovalo 52 týdnů. U</w:delText>
        </w:r>
        <w:r w:rsidR="00D15A04" w:rsidRPr="001B4A02">
          <w:delText> </w:delText>
        </w:r>
        <w:r w:rsidR="00897970" w:rsidRPr="001B4A02">
          <w:delText>pacientů</w:delText>
        </w:r>
        <w:r w:rsidRPr="001B4A02">
          <w:delText>, u</w:delText>
        </w:r>
        <w:r w:rsidR="00D15A04" w:rsidRPr="001B4A02">
          <w:delText> </w:delText>
        </w:r>
        <w:r w:rsidRPr="001B4A02">
          <w:delText>kterých byla dávka zvýšena z podávání každý druhý týden na jednou týdně, byly průměrné (±SD) sérové koncentrace a</w:delText>
        </w:r>
        <w:r w:rsidR="0076777A" w:rsidRPr="001B4A02">
          <w:delText>dalimumabu v týdnu 52 15,3 ± 11,4</w:delText>
        </w:r>
        <w:r w:rsidRPr="001B4A02">
          <w:delText xml:space="preserve"> </w:delText>
        </w:r>
        <w:r w:rsidRPr="001B4A02">
          <w:rPr>
            <w:rFonts w:ascii="Symbol" w:hAnsi="Symbol"/>
          </w:rPr>
          <w:sym w:font="Symbol" w:char="F06D"/>
        </w:r>
        <w:r w:rsidRPr="001B4A02">
          <w:delText>g/ml (40/2</w:delText>
        </w:r>
        <w:r w:rsidR="00436CE4" w:rsidRPr="001B4A02">
          <w:delText>0</w:delText>
        </w:r>
        <w:r w:rsidR="00F365E7">
          <w:delText> mg</w:delText>
        </w:r>
        <w:r w:rsidRPr="001B4A02">
          <w:delText>, jednou týdně)</w:delText>
        </w:r>
        <w:r w:rsidR="002378E0">
          <w:delText xml:space="preserve"> a </w:delText>
        </w:r>
        <w:r w:rsidRPr="001B4A02">
          <w:delText xml:space="preserve">6,7 ± 3,5 </w:delText>
        </w:r>
        <w:r w:rsidRPr="001B4A02">
          <w:rPr>
            <w:rFonts w:ascii="Symbol" w:hAnsi="Symbol"/>
          </w:rPr>
          <w:sym w:font="Symbol" w:char="F06D"/>
        </w:r>
        <w:r w:rsidRPr="001B4A02">
          <w:delText>g/ml (20/10</w:delText>
        </w:r>
        <w:r w:rsidR="00F365E7">
          <w:delText> mg</w:delText>
        </w:r>
        <w:r w:rsidRPr="001B4A02">
          <w:delText>, jednou týdně).</w:delText>
        </w:r>
      </w:del>
    </w:p>
    <w:p w14:paraId="4FD4F09F" w14:textId="77777777" w:rsidR="00073F8F" w:rsidRPr="001B4A02" w:rsidRDefault="00073F8F" w:rsidP="00ED48A3">
      <w:pPr>
        <w:ind w:left="0" w:firstLine="0"/>
        <w:rPr>
          <w:del w:id="8183" w:author="AbbVie1" w:date="2025-05-13T09:50:00Z"/>
        </w:rPr>
      </w:pPr>
    </w:p>
    <w:p w14:paraId="371FF042" w14:textId="77777777" w:rsidR="00645B94" w:rsidRPr="001B4A02" w:rsidRDefault="00000000" w:rsidP="00ED48A3">
      <w:pPr>
        <w:ind w:left="0" w:firstLine="0"/>
        <w:rPr>
          <w:del w:id="8184" w:author="AbbVie1" w:date="2025-05-13T09:50:00Z"/>
        </w:rPr>
      </w:pPr>
      <w:del w:id="8185" w:author="AbbVie1" w:date="2025-05-13T09:50:00Z">
        <w:r w:rsidRPr="001B4A02">
          <w:delText>U pacientů s </w:delText>
        </w:r>
        <w:r w:rsidR="008177B2" w:rsidRPr="001B4A02">
          <w:delText>ulcerózní</w:delText>
        </w:r>
        <w:r w:rsidRPr="001B4A02">
          <w:delText xml:space="preserve"> kolitidou, jimž byla podána úvodní dávka </w:delText>
        </w:r>
        <w:r w:rsidRPr="00FA0236">
          <w:delText>160</w:delText>
        </w:r>
        <w:r w:rsidR="00F365E7">
          <w:delText> mg</w:delText>
        </w:r>
        <w:r w:rsidR="00DA6955" w:rsidRPr="00FA0236">
          <w:delText xml:space="preserve"> v týdnu 0</w:delText>
        </w:r>
        <w:r w:rsidRPr="00FA0236">
          <w:delText>,</w:delText>
        </w:r>
        <w:r w:rsidRPr="001B4A02">
          <w:delText xml:space="preserve"> následov</w:delText>
        </w:r>
        <w:r w:rsidR="00436CE4" w:rsidRPr="001B4A02">
          <w:delText>a</w:delText>
        </w:r>
        <w:r w:rsidRPr="001B4A02">
          <w:delText>n</w:delText>
        </w:r>
        <w:r w:rsidR="00436CE4" w:rsidRPr="001B4A02">
          <w:delText>á</w:delText>
        </w:r>
        <w:r w:rsidRPr="001B4A02">
          <w:delText xml:space="preserve"> dávkou 80</w:delText>
        </w:r>
        <w:r w:rsidR="00F365E7">
          <w:delText> mg</w:delText>
        </w:r>
        <w:r w:rsidRPr="001B4A02">
          <w:delText xml:space="preserve"> v týdnu 2, byly dosaženy nejnižší koncentrace adalimumabu </w:delText>
        </w:r>
        <w:r w:rsidR="00436CE4" w:rsidRPr="001B4A02">
          <w:delText xml:space="preserve">přibližně </w:delText>
        </w:r>
        <w:r w:rsidRPr="001B4A02">
          <w:delText xml:space="preserve">12 μg/ml během období indukce. Průměrné nejnižší hladiny v ustáleném </w:delText>
        </w:r>
        <w:r w:rsidR="00AF0CE5" w:rsidRPr="001B4A02">
          <w:delText xml:space="preserve">stavu </w:delText>
        </w:r>
        <w:r w:rsidRPr="001B4A02">
          <w:delText>p</w:delText>
        </w:r>
        <w:r w:rsidR="009E6275" w:rsidRPr="001B4A02">
          <w:delText>řibližně 8 μg/ml byly pozorová</w:delText>
        </w:r>
        <w:r w:rsidRPr="001B4A02">
          <w:delText>ny u</w:delText>
        </w:r>
        <w:r w:rsidR="00D15A04" w:rsidRPr="001B4A02">
          <w:delText> </w:delText>
        </w:r>
        <w:r w:rsidRPr="001B4A02">
          <w:delText>pacientů s</w:delText>
        </w:r>
        <w:r w:rsidR="007375A0" w:rsidRPr="001B4A02">
          <w:delText> </w:delText>
        </w:r>
        <w:r w:rsidR="008177B2" w:rsidRPr="001B4A02">
          <w:delText>ulcerózní</w:delText>
        </w:r>
        <w:r w:rsidRPr="001B4A02">
          <w:delText xml:space="preserve"> kolitidou, kterým byla podávána udržovací dávka 40</w:delText>
        </w:r>
        <w:r w:rsidR="00F365E7">
          <w:delText> mg</w:delText>
        </w:r>
        <w:r w:rsidRPr="001B4A02">
          <w:delText xml:space="preserve"> přípravku Humira každý druhý týden.</w:delText>
        </w:r>
      </w:del>
    </w:p>
    <w:p w14:paraId="5F50EE6A" w14:textId="77777777" w:rsidR="00645B94" w:rsidRPr="001B4A02" w:rsidRDefault="00645B94" w:rsidP="00ED48A3">
      <w:pPr>
        <w:ind w:left="0" w:firstLine="0"/>
        <w:rPr>
          <w:del w:id="8186" w:author="AbbVie1" w:date="2025-05-13T09:50:00Z"/>
        </w:rPr>
      </w:pPr>
    </w:p>
    <w:p w14:paraId="3ED73B90" w14:textId="77777777" w:rsidR="009428F1" w:rsidRDefault="00000000" w:rsidP="009428F1">
      <w:pPr>
        <w:ind w:left="0" w:firstLine="0"/>
        <w:rPr>
          <w:del w:id="8187" w:author="AbbVie1" w:date="2025-05-13T09:50:00Z"/>
        </w:rPr>
      </w:pPr>
      <w:del w:id="8188" w:author="AbbVie1" w:date="2025-05-13T09:50:00Z">
        <w:r>
          <w:delText>Po subkutánním podání dávky 0,6</w:delText>
        </w:r>
        <w:r>
          <w:rPr>
            <w:rStyle w:val="normaltextrun"/>
          </w:rPr>
          <w:delText> </w:delText>
        </w:r>
        <w:r>
          <w:delText>mg/kg (maximální dávka 40</w:delText>
        </w:r>
        <w:r>
          <w:rPr>
            <w:rStyle w:val="normaltextrun"/>
          </w:rPr>
          <w:delText> </w:delText>
        </w:r>
        <w:r>
          <w:delText>mg) jednou za dva týdny na základě tělesné hmotnosti pediatrickým pacientům s ulcerózní kolitidou byla nejnižší sérová koncentrace v ustáleném stavu v 52. týdnu 5,01 ± 3,28</w:delText>
        </w:r>
        <w:r>
          <w:rPr>
            <w:rStyle w:val="normaltextrun"/>
          </w:rPr>
          <w:delText> </w:delText>
        </w:r>
        <w:r>
          <w:delText>µg/ml. U</w:delText>
        </w:r>
        <w:r>
          <w:rPr>
            <w:rStyle w:val="normaltextrun"/>
          </w:rPr>
          <w:delText> </w:delText>
        </w:r>
        <w:r>
          <w:delText>pacientů, kteří dostávali 0,6</w:delText>
        </w:r>
        <w:r>
          <w:rPr>
            <w:rStyle w:val="normaltextrun"/>
          </w:rPr>
          <w:delText> </w:delText>
        </w:r>
        <w:r>
          <w:delText>mg/kg (maximální dávka 40</w:delText>
        </w:r>
        <w:r>
          <w:rPr>
            <w:rStyle w:val="normaltextrun"/>
          </w:rPr>
          <w:delText> </w:delText>
        </w:r>
        <w:r>
          <w:delText>mg) každý týden, byla průměrná (±SD) nejnižší sérová koncentrace adalimumabu v ustáleném stavu v 52. týdnu 15,7 ± 5,60</w:delText>
        </w:r>
        <w:r>
          <w:rPr>
            <w:rStyle w:val="normaltextrun"/>
          </w:rPr>
          <w:delText> </w:delText>
        </w:r>
        <w:r>
          <w:delText>μg/ml.</w:delText>
        </w:r>
      </w:del>
    </w:p>
    <w:p w14:paraId="6214E218" w14:textId="77777777" w:rsidR="008401F1" w:rsidRDefault="008401F1" w:rsidP="00ED48A3">
      <w:pPr>
        <w:autoSpaceDE w:val="0"/>
        <w:autoSpaceDN w:val="0"/>
        <w:adjustRightInd w:val="0"/>
        <w:ind w:left="0" w:firstLine="0"/>
        <w:rPr>
          <w:del w:id="8189" w:author="AbbVie1" w:date="2025-05-13T09:50:00Z"/>
          <w:szCs w:val="22"/>
        </w:rPr>
      </w:pPr>
    </w:p>
    <w:p w14:paraId="5632AA4E" w14:textId="77777777" w:rsidR="004A2E43" w:rsidRPr="001B4A02" w:rsidRDefault="00000000" w:rsidP="00ED48A3">
      <w:pPr>
        <w:autoSpaceDE w:val="0"/>
        <w:autoSpaceDN w:val="0"/>
        <w:adjustRightInd w:val="0"/>
        <w:ind w:left="0" w:firstLine="0"/>
        <w:rPr>
          <w:del w:id="8190" w:author="AbbVie1" w:date="2025-05-13T09:50:00Z"/>
          <w:szCs w:val="22"/>
        </w:rPr>
      </w:pPr>
      <w:del w:id="8191" w:author="AbbVie1" w:date="2025-05-13T09:50:00Z">
        <w:r w:rsidRPr="001B4A02">
          <w:rPr>
            <w:szCs w:val="22"/>
          </w:rPr>
          <w:delText xml:space="preserve">U </w:delText>
        </w:r>
        <w:r w:rsidR="00DB677C" w:rsidRPr="001B4A02">
          <w:rPr>
            <w:szCs w:val="22"/>
          </w:rPr>
          <w:delText xml:space="preserve">dospělých </w:delText>
        </w:r>
        <w:r w:rsidRPr="001B4A02">
          <w:rPr>
            <w:szCs w:val="22"/>
          </w:rPr>
          <w:delText xml:space="preserve">pacientů s uveitidou, </w:delText>
        </w:r>
        <w:r w:rsidRPr="001B4A02">
          <w:delText>jimž byla podána úvodní dávka 80</w:delText>
        </w:r>
        <w:r w:rsidR="00F365E7">
          <w:delText> mg</w:delText>
        </w:r>
        <w:r w:rsidRPr="001B4A02">
          <w:delText xml:space="preserve"> adalimumabu v týdnu 0, následov</w:delText>
        </w:r>
        <w:r w:rsidR="00436CE4" w:rsidRPr="001B4A02">
          <w:delText>a</w:delText>
        </w:r>
        <w:r w:rsidRPr="001B4A02">
          <w:delText>ná dávkou 40</w:delText>
        </w:r>
        <w:r w:rsidR="00F365E7">
          <w:delText> mg</w:delText>
        </w:r>
        <w:r w:rsidRPr="001B4A02">
          <w:delText xml:space="preserve"> každý druhý týden počínaje týdnem 1, byly zjištěny střední hladiny v ustáleném stavu přibližně </w:delText>
        </w:r>
        <w:r w:rsidRPr="001B4A02">
          <w:rPr>
            <w:szCs w:val="22"/>
          </w:rPr>
          <w:delText>8 až 10 </w:delText>
        </w:r>
        <w:r w:rsidRPr="001B4A02">
          <w:rPr>
            <w:rFonts w:ascii="Symbol" w:hAnsi="Symbol"/>
            <w:szCs w:val="22"/>
          </w:rPr>
          <w:sym w:font="Symbol" w:char="F06D"/>
        </w:r>
        <w:r w:rsidRPr="001B4A02">
          <w:rPr>
            <w:szCs w:val="22"/>
          </w:rPr>
          <w:delText>g/ml.</w:delText>
        </w:r>
      </w:del>
    </w:p>
    <w:p w14:paraId="70BC4847" w14:textId="77777777" w:rsidR="00A5592A" w:rsidRPr="001B4A02" w:rsidRDefault="00A5592A" w:rsidP="00ED48A3">
      <w:pPr>
        <w:autoSpaceDE w:val="0"/>
        <w:autoSpaceDN w:val="0"/>
        <w:adjustRightInd w:val="0"/>
        <w:ind w:left="0" w:firstLine="0"/>
        <w:rPr>
          <w:del w:id="8192" w:author="AbbVie1" w:date="2025-05-13T09:50:00Z"/>
          <w:szCs w:val="22"/>
        </w:rPr>
      </w:pPr>
    </w:p>
    <w:p w14:paraId="022DB2C0" w14:textId="77777777" w:rsidR="00A5592A" w:rsidRPr="001B4A02" w:rsidRDefault="00000000" w:rsidP="00ED48A3">
      <w:pPr>
        <w:autoSpaceDE w:val="0"/>
        <w:autoSpaceDN w:val="0"/>
        <w:adjustRightInd w:val="0"/>
        <w:ind w:left="0" w:firstLine="0"/>
        <w:rPr>
          <w:del w:id="8193" w:author="AbbVie1" w:date="2025-05-13T09:50:00Z"/>
          <w:iCs/>
          <w:szCs w:val="22"/>
          <w:bdr w:val="nil"/>
        </w:rPr>
      </w:pPr>
      <w:del w:id="8194" w:author="AbbVie1" w:date="2025-05-13T09:50:00Z">
        <w:r w:rsidRPr="001B4A02">
          <w:rPr>
            <w:iCs/>
            <w:szCs w:val="22"/>
          </w:rPr>
          <w:delText>Expozice adalimumabu u</w:delText>
        </w:r>
        <w:r w:rsidR="00D15A04" w:rsidRPr="001B4A02">
          <w:rPr>
            <w:iCs/>
            <w:szCs w:val="22"/>
          </w:rPr>
          <w:delText> </w:delText>
        </w:r>
        <w:r w:rsidR="006E7A5C" w:rsidRPr="001B4A02">
          <w:rPr>
            <w:iCs/>
            <w:szCs w:val="22"/>
          </w:rPr>
          <w:delText xml:space="preserve">pediatrických </w:delText>
        </w:r>
        <w:r w:rsidRPr="001B4A02">
          <w:rPr>
            <w:iCs/>
            <w:szCs w:val="22"/>
          </w:rPr>
          <w:delText>pacientů s</w:delText>
        </w:r>
        <w:r w:rsidR="00AD3DCC" w:rsidRPr="001B4A02">
          <w:rPr>
            <w:iCs/>
            <w:szCs w:val="22"/>
          </w:rPr>
          <w:delText> </w:delText>
        </w:r>
        <w:r w:rsidRPr="001B4A02">
          <w:rPr>
            <w:iCs/>
            <w:szCs w:val="22"/>
          </w:rPr>
          <w:delText>uveitidou byla predikována pomocí populačního farmakokinetického modelování</w:delText>
        </w:r>
        <w:r w:rsidR="002378E0">
          <w:rPr>
            <w:iCs/>
            <w:szCs w:val="22"/>
          </w:rPr>
          <w:delText xml:space="preserve"> a </w:delText>
        </w:r>
        <w:r w:rsidRPr="001B4A02">
          <w:rPr>
            <w:iCs/>
            <w:szCs w:val="22"/>
          </w:rPr>
          <w:delText>simulace na základě farmakokinetiky se zkříženou indikací u</w:delText>
        </w:r>
        <w:r w:rsidR="007375A0" w:rsidRPr="001B4A02">
          <w:rPr>
            <w:iCs/>
            <w:szCs w:val="22"/>
          </w:rPr>
          <w:delText> </w:delText>
        </w:r>
        <w:r w:rsidRPr="001B4A02">
          <w:rPr>
            <w:iCs/>
            <w:szCs w:val="22"/>
          </w:rPr>
          <w:delText>dalších pediatrických pacientů (psoriáza</w:delText>
        </w:r>
        <w:r w:rsidR="007451B2" w:rsidRPr="001B4A02">
          <w:rPr>
            <w:iCs/>
            <w:szCs w:val="22"/>
          </w:rPr>
          <w:delText xml:space="preserve"> u</w:delText>
        </w:r>
        <w:r w:rsidR="00D15A04" w:rsidRPr="001B4A02">
          <w:rPr>
            <w:iCs/>
            <w:szCs w:val="22"/>
          </w:rPr>
          <w:delText> </w:delText>
        </w:r>
        <w:r w:rsidR="007451B2" w:rsidRPr="001B4A02">
          <w:rPr>
            <w:iCs/>
            <w:szCs w:val="22"/>
          </w:rPr>
          <w:delText>dětí</w:delText>
        </w:r>
        <w:r w:rsidRPr="001B4A02">
          <w:rPr>
            <w:iCs/>
            <w:szCs w:val="22"/>
          </w:rPr>
          <w:delText>, juvenilní idiopatická artritida, Crohnova nemoc</w:delText>
        </w:r>
        <w:r w:rsidR="007451B2" w:rsidRPr="001B4A02">
          <w:rPr>
            <w:iCs/>
            <w:szCs w:val="22"/>
          </w:rPr>
          <w:delText xml:space="preserve"> u</w:delText>
        </w:r>
        <w:r w:rsidR="00D15A04" w:rsidRPr="001B4A02">
          <w:rPr>
            <w:iCs/>
            <w:szCs w:val="22"/>
          </w:rPr>
          <w:delText> </w:delText>
        </w:r>
        <w:r w:rsidR="007451B2" w:rsidRPr="001B4A02">
          <w:rPr>
            <w:iCs/>
            <w:szCs w:val="22"/>
          </w:rPr>
          <w:delText>dětí</w:delText>
        </w:r>
        <w:r w:rsidR="002378E0">
          <w:rPr>
            <w:iCs/>
            <w:szCs w:val="22"/>
          </w:rPr>
          <w:delText xml:space="preserve"> a </w:delText>
        </w:r>
        <w:r w:rsidRPr="001B4A02">
          <w:rPr>
            <w:iCs/>
            <w:szCs w:val="22"/>
          </w:rPr>
          <w:delText>entezopatická artritida). Nejsou k</w:delText>
        </w:r>
        <w:r w:rsidR="00B66B89" w:rsidRPr="001B4A02">
          <w:rPr>
            <w:iCs/>
            <w:szCs w:val="22"/>
          </w:rPr>
          <w:delText> </w:delText>
        </w:r>
        <w:r w:rsidRPr="001B4A02">
          <w:rPr>
            <w:iCs/>
            <w:szCs w:val="22"/>
          </w:rPr>
          <w:delText>dispozici žádné klinické údaje o</w:delText>
        </w:r>
        <w:r w:rsidR="00923691" w:rsidRPr="001B4A02">
          <w:rPr>
            <w:iCs/>
            <w:szCs w:val="22"/>
          </w:rPr>
          <w:delText> </w:delText>
        </w:r>
        <w:r w:rsidRPr="001B4A02">
          <w:rPr>
            <w:iCs/>
            <w:szCs w:val="22"/>
          </w:rPr>
          <w:delText xml:space="preserve">použití </w:delText>
        </w:r>
        <w:r w:rsidR="006E7A5C" w:rsidRPr="001B4A02">
          <w:rPr>
            <w:iCs/>
            <w:szCs w:val="22"/>
          </w:rPr>
          <w:delText>úvodní</w:delText>
        </w:r>
        <w:r w:rsidRPr="001B4A02">
          <w:rPr>
            <w:iCs/>
            <w:szCs w:val="22"/>
          </w:rPr>
          <w:delText xml:space="preserve"> dávky u</w:delText>
        </w:r>
        <w:r w:rsidR="00D15A04" w:rsidRPr="001B4A02">
          <w:rPr>
            <w:iCs/>
            <w:szCs w:val="22"/>
          </w:rPr>
          <w:delText> </w:delText>
        </w:r>
        <w:r w:rsidRPr="001B4A02">
          <w:rPr>
            <w:iCs/>
            <w:szCs w:val="22"/>
          </w:rPr>
          <w:delText>dětí ve věku &lt;</w:delText>
        </w:r>
        <w:r w:rsidR="000C196B" w:rsidRPr="001B4A02">
          <w:rPr>
            <w:iCs/>
            <w:szCs w:val="22"/>
          </w:rPr>
          <w:delText> </w:delText>
        </w:r>
        <w:r w:rsidRPr="001B4A02">
          <w:rPr>
            <w:iCs/>
            <w:szCs w:val="22"/>
          </w:rPr>
          <w:delText xml:space="preserve">6 let. </w:delText>
        </w:r>
        <w:r w:rsidR="007451B2" w:rsidRPr="001B4A02">
          <w:rPr>
            <w:iCs/>
            <w:szCs w:val="22"/>
          </w:rPr>
          <w:delText>Předpokládané</w:delText>
        </w:r>
        <w:r w:rsidRPr="001B4A02">
          <w:rPr>
            <w:iCs/>
            <w:szCs w:val="22"/>
          </w:rPr>
          <w:delText xml:space="preserve"> expozice ukazují, že bez methotrexátu může </w:delText>
        </w:r>
        <w:r w:rsidR="006E7A5C" w:rsidRPr="001B4A02">
          <w:rPr>
            <w:iCs/>
            <w:szCs w:val="22"/>
          </w:rPr>
          <w:delText>úvodní</w:delText>
        </w:r>
        <w:r w:rsidRPr="001B4A02">
          <w:rPr>
            <w:iCs/>
            <w:szCs w:val="22"/>
          </w:rPr>
          <w:delText xml:space="preserve"> dávka vést k</w:delText>
        </w:r>
        <w:r w:rsidR="007375A0" w:rsidRPr="001B4A02">
          <w:rPr>
            <w:iCs/>
            <w:szCs w:val="22"/>
          </w:rPr>
          <w:delText> </w:delText>
        </w:r>
        <w:r w:rsidR="006E7A5C" w:rsidRPr="001B4A02">
          <w:rPr>
            <w:iCs/>
            <w:szCs w:val="22"/>
          </w:rPr>
          <w:delText>počátečnímu</w:delText>
        </w:r>
        <w:r w:rsidRPr="001B4A02">
          <w:rPr>
            <w:iCs/>
            <w:szCs w:val="22"/>
          </w:rPr>
          <w:delText xml:space="preserve"> zvýšení systémové expozice.</w:delText>
        </w:r>
      </w:del>
    </w:p>
    <w:p w14:paraId="2E2F130B" w14:textId="77777777" w:rsidR="00DB677C" w:rsidRPr="001B4A02" w:rsidRDefault="00DB677C" w:rsidP="00ED48A3">
      <w:pPr>
        <w:autoSpaceDE w:val="0"/>
        <w:autoSpaceDN w:val="0"/>
        <w:adjustRightInd w:val="0"/>
        <w:ind w:left="0" w:firstLine="0"/>
        <w:rPr>
          <w:del w:id="8195" w:author="AbbVie1" w:date="2025-05-13T09:50:00Z"/>
          <w:iCs/>
          <w:szCs w:val="22"/>
          <w:bdr w:val="nil"/>
        </w:rPr>
      </w:pPr>
    </w:p>
    <w:p w14:paraId="5EFA55AD" w14:textId="77777777" w:rsidR="00AD7C75" w:rsidRPr="001B4A02" w:rsidRDefault="00000000" w:rsidP="00AD7C75">
      <w:pPr>
        <w:tabs>
          <w:tab w:val="left" w:pos="0"/>
        </w:tabs>
        <w:autoSpaceDE w:val="0"/>
        <w:autoSpaceDN w:val="0"/>
        <w:adjustRightInd w:val="0"/>
        <w:ind w:left="0" w:firstLine="0"/>
        <w:rPr>
          <w:del w:id="8196" w:author="AbbVie1" w:date="2025-05-13T09:50:00Z"/>
        </w:rPr>
      </w:pPr>
      <w:del w:id="8197" w:author="AbbVie1" w:date="2025-05-13T09:50:00Z">
        <w:r w:rsidRPr="001B4A02">
          <w:delText>Populační farmakokinetické</w:delText>
        </w:r>
        <w:r w:rsidR="002378E0">
          <w:delText xml:space="preserve"> a </w:delText>
        </w:r>
        <w:r w:rsidRPr="001B4A02">
          <w:delText>farmakokineticko/farmakodynamické modelování</w:delText>
        </w:r>
        <w:r w:rsidR="002378E0">
          <w:delText xml:space="preserve"> a </w:delText>
        </w:r>
        <w:r w:rsidRPr="001B4A02">
          <w:delText>simulace předpověděly srovnatelné expozice</w:delText>
        </w:r>
        <w:r w:rsidR="002378E0">
          <w:delText xml:space="preserve"> a </w:delText>
        </w:r>
        <w:r w:rsidRPr="001B4A02">
          <w:delText>účinnost adalimumabu u</w:delText>
        </w:r>
        <w:r w:rsidR="00CE5DAE" w:rsidRPr="001B4A02">
          <w:delText> </w:delText>
        </w:r>
        <w:r w:rsidRPr="001B4A02">
          <w:delText>pacientů léčených dávkou 80</w:delText>
        </w:r>
        <w:r w:rsidR="00F365E7">
          <w:delText> mg</w:delText>
        </w:r>
        <w:r w:rsidRPr="001B4A02">
          <w:delText xml:space="preserve"> jednou za dva týdny při srovnání s dávkou 40</w:delText>
        </w:r>
        <w:r w:rsidR="00F365E7">
          <w:delText> mg</w:delText>
        </w:r>
        <w:r w:rsidRPr="001B4A02">
          <w:delText xml:space="preserve"> jednou týdně (včetně dospělých pacientů s RA, HS, UC, CD nebo psoriázou, dospívajících pacientů s HS</w:delText>
        </w:r>
        <w:r w:rsidR="002378E0">
          <w:delText xml:space="preserve"> a </w:delText>
        </w:r>
        <w:r w:rsidRPr="001B4A02">
          <w:delText>pediatrických pacientů ≥ 40</w:delText>
        </w:r>
        <w:r w:rsidR="002767FC">
          <w:delText> kg</w:delText>
        </w:r>
        <w:r w:rsidRPr="001B4A02">
          <w:delText xml:space="preserve"> s</w:delText>
        </w:r>
        <w:r w:rsidR="00323325">
          <w:delText> </w:delText>
        </w:r>
        <w:r w:rsidRPr="001B4A02">
          <w:delText>CD</w:delText>
        </w:r>
        <w:r w:rsidR="002378E0">
          <w:delText xml:space="preserve"> a </w:delText>
        </w:r>
        <w:r w:rsidR="00323325">
          <w:delText>UC</w:delText>
        </w:r>
        <w:r w:rsidRPr="001B4A02">
          <w:delText>).</w:delText>
        </w:r>
      </w:del>
    </w:p>
    <w:p w14:paraId="44B5C608" w14:textId="77777777" w:rsidR="00AD7C75" w:rsidRPr="001B4A02" w:rsidRDefault="00AD7C75" w:rsidP="00ED48A3">
      <w:pPr>
        <w:autoSpaceDE w:val="0"/>
        <w:autoSpaceDN w:val="0"/>
        <w:adjustRightInd w:val="0"/>
        <w:ind w:left="0" w:firstLine="0"/>
        <w:rPr>
          <w:del w:id="8198" w:author="AbbVie1" w:date="2025-05-13T09:50:00Z"/>
          <w:iCs/>
          <w:szCs w:val="22"/>
          <w:bdr w:val="nil"/>
        </w:rPr>
      </w:pPr>
    </w:p>
    <w:p w14:paraId="0C7B083C" w14:textId="77777777" w:rsidR="00DB677C" w:rsidRPr="007E416D" w:rsidRDefault="00000000" w:rsidP="00CE5DAE">
      <w:pPr>
        <w:keepNext/>
        <w:autoSpaceDE w:val="0"/>
        <w:autoSpaceDN w:val="0"/>
        <w:adjustRightInd w:val="0"/>
        <w:rPr>
          <w:del w:id="8199" w:author="AbbVie1" w:date="2025-05-13T09:50:00Z"/>
          <w:u w:val="single"/>
        </w:rPr>
      </w:pPr>
      <w:del w:id="8200" w:author="AbbVie1" w:date="2025-05-13T09:50:00Z">
        <w:r w:rsidRPr="007E416D">
          <w:rPr>
            <w:u w:val="single"/>
          </w:rPr>
          <w:delText>Vztah expozice-odpověď u pediatrické populace</w:delText>
        </w:r>
      </w:del>
    </w:p>
    <w:p w14:paraId="66F7ABC7" w14:textId="77777777" w:rsidR="00DB677C" w:rsidRPr="001B4A02" w:rsidRDefault="00DB677C" w:rsidP="00CE5DAE">
      <w:pPr>
        <w:keepNext/>
        <w:autoSpaceDE w:val="0"/>
        <w:autoSpaceDN w:val="0"/>
        <w:adjustRightInd w:val="0"/>
        <w:rPr>
          <w:del w:id="8201" w:author="AbbVie1" w:date="2025-05-13T09:50:00Z"/>
        </w:rPr>
      </w:pPr>
    </w:p>
    <w:p w14:paraId="4685E428" w14:textId="77777777" w:rsidR="00DB677C" w:rsidRPr="001B4A02" w:rsidRDefault="00000000" w:rsidP="00DB677C">
      <w:pPr>
        <w:autoSpaceDE w:val="0"/>
        <w:autoSpaceDN w:val="0"/>
        <w:adjustRightInd w:val="0"/>
        <w:ind w:left="0" w:firstLine="0"/>
        <w:rPr>
          <w:del w:id="8202" w:author="AbbVie1" w:date="2025-05-13T09:50:00Z"/>
        </w:rPr>
      </w:pPr>
      <w:del w:id="8203" w:author="AbbVie1" w:date="2025-05-13T09:50:00Z">
        <w:r w:rsidRPr="001B4A02">
          <w:delText>Na základě dat z</w:delText>
        </w:r>
        <w:r w:rsidR="0006352B" w:rsidRPr="001B4A02">
          <w:delText> </w:delText>
        </w:r>
        <w:r w:rsidRPr="001B4A02">
          <w:delText>klinické studie u</w:delText>
        </w:r>
        <w:r w:rsidR="0006352B" w:rsidRPr="001B4A02">
          <w:delText> </w:delText>
        </w:r>
        <w:r w:rsidRPr="001B4A02">
          <w:delText>pacientů s</w:delText>
        </w:r>
        <w:r w:rsidR="0006352B" w:rsidRPr="001B4A02">
          <w:delText> </w:delText>
        </w:r>
        <w:r w:rsidRPr="001B4A02">
          <w:delText>JIA (pJIA</w:delText>
        </w:r>
        <w:r w:rsidR="002378E0">
          <w:delText xml:space="preserve"> a </w:delText>
        </w:r>
        <w:r w:rsidRPr="001B4A02">
          <w:delText xml:space="preserve">ERA) byl stanoven </w:delText>
        </w:r>
        <w:r w:rsidR="00AA419E" w:rsidRPr="001B4A02">
          <w:delText>vztah expozice</w:delText>
        </w:r>
        <w:r w:rsidRPr="001B4A02">
          <w:delText>-odpověď mezi plazmatickými koncentracemi</w:delText>
        </w:r>
        <w:r w:rsidR="002378E0">
          <w:delText xml:space="preserve"> a </w:delText>
        </w:r>
        <w:r w:rsidRPr="001B4A02">
          <w:delText>PedACR 50 odpovědí. Zjevná plazmatická koncentrace adalimumabu, která vede k</w:delText>
        </w:r>
        <w:r w:rsidR="00B66B89" w:rsidRPr="001B4A02">
          <w:delText> </w:delText>
        </w:r>
        <w:r w:rsidRPr="001B4A02">
          <w:delText xml:space="preserve">poloviční maximální pravděpodobnosti </w:delText>
        </w:r>
        <w:r w:rsidR="000D6934" w:rsidRPr="001B4A02">
          <w:delText>PedACR 50 odpovědi (EC50), byla</w:delText>
        </w:r>
        <w:r w:rsidR="00CE5DAE" w:rsidRPr="001B4A02">
          <w:delText xml:space="preserve"> 3 μg/ml (95% CI: 1–6 μg/ml).</w:delText>
        </w:r>
      </w:del>
    </w:p>
    <w:p w14:paraId="198EBDD5" w14:textId="77777777" w:rsidR="00DB677C" w:rsidRPr="001B4A02" w:rsidRDefault="00DB677C" w:rsidP="00DB677C">
      <w:pPr>
        <w:autoSpaceDE w:val="0"/>
        <w:autoSpaceDN w:val="0"/>
        <w:adjustRightInd w:val="0"/>
        <w:ind w:left="0" w:firstLine="0"/>
        <w:rPr>
          <w:del w:id="8204" w:author="AbbVie1" w:date="2025-05-13T09:50:00Z"/>
        </w:rPr>
      </w:pPr>
    </w:p>
    <w:p w14:paraId="14154C0E" w14:textId="77777777" w:rsidR="00DB677C" w:rsidRPr="001B4A02" w:rsidRDefault="00000000" w:rsidP="00DB677C">
      <w:pPr>
        <w:autoSpaceDE w:val="0"/>
        <w:autoSpaceDN w:val="0"/>
        <w:adjustRightInd w:val="0"/>
        <w:ind w:left="0" w:firstLine="0"/>
        <w:rPr>
          <w:del w:id="8205" w:author="AbbVie1" w:date="2025-05-13T09:50:00Z"/>
        </w:rPr>
      </w:pPr>
      <w:del w:id="8206" w:author="AbbVie1" w:date="2025-05-13T09:50:00Z">
        <w:r w:rsidRPr="001B4A02">
          <w:delText>Vztah expozice-odpověď mezi koncentrací adalimumabu</w:delText>
        </w:r>
        <w:r w:rsidR="002378E0">
          <w:delText xml:space="preserve"> a </w:delText>
        </w:r>
        <w:r w:rsidRPr="001B4A02">
          <w:delText>účinností u</w:delText>
        </w:r>
        <w:r w:rsidR="00D15A04" w:rsidRPr="001B4A02">
          <w:delText> </w:delText>
        </w:r>
        <w:r w:rsidRPr="001B4A02">
          <w:delText>pediatrických pacientů se závažnou chronickou ložiskovou psoriázou byl stanoven pro PASI 75</w:delText>
        </w:r>
        <w:r w:rsidR="002378E0">
          <w:delText xml:space="preserve"> a </w:delText>
        </w:r>
        <w:r w:rsidRPr="001B4A02">
          <w:delText>PGA jasný nebo minimální, v</w:delText>
        </w:r>
        <w:r w:rsidR="007375A0" w:rsidRPr="001B4A02">
          <w:delText> </w:delText>
        </w:r>
        <w:r w:rsidRPr="001B4A02">
          <w:delText>uvedeném pořadí. PASI 75</w:delText>
        </w:r>
        <w:r w:rsidR="002378E0">
          <w:delText xml:space="preserve"> a </w:delText>
        </w:r>
        <w:r w:rsidRPr="001B4A02">
          <w:delText>PGA jasný nebo minimální se zvyšoval se zvyšujícími se koncentracemi adalimumabu s</w:delText>
        </w:r>
        <w:r w:rsidR="00AD3DCC" w:rsidRPr="001B4A02">
          <w:delText> </w:delText>
        </w:r>
        <w:r w:rsidRPr="001B4A02">
          <w:delText>podobnou zjevnou EC50 přibližně 4,5 μg/ml (95% CI 0,4–47,6</w:delText>
        </w:r>
        <w:r w:rsidR="002378E0">
          <w:delText xml:space="preserve"> a </w:delText>
        </w:r>
        <w:r w:rsidRPr="001B4A02">
          <w:delText>1,9–10,5, v</w:delText>
        </w:r>
        <w:r w:rsidR="007375A0" w:rsidRPr="001B4A02">
          <w:delText> </w:delText>
        </w:r>
        <w:r w:rsidRPr="001B4A02">
          <w:delText>uvedeném pořadí).</w:delText>
        </w:r>
      </w:del>
    </w:p>
    <w:p w14:paraId="101366FE" w14:textId="77777777" w:rsidR="004A2E43" w:rsidRPr="001B4A02" w:rsidRDefault="004A2E43" w:rsidP="00ED48A3">
      <w:pPr>
        <w:ind w:left="0" w:firstLine="0"/>
        <w:rPr>
          <w:del w:id="8207" w:author="AbbVie1" w:date="2025-05-13T09:50:00Z"/>
          <w:u w:val="single"/>
        </w:rPr>
      </w:pPr>
    </w:p>
    <w:p w14:paraId="5362D0B3" w14:textId="77777777" w:rsidR="003D272F" w:rsidRPr="001B4A02" w:rsidRDefault="00000000" w:rsidP="00CE5DAE">
      <w:pPr>
        <w:keepNext/>
        <w:ind w:left="0" w:firstLine="0"/>
        <w:rPr>
          <w:del w:id="8208" w:author="AbbVie1" w:date="2025-05-13T09:50:00Z"/>
          <w:u w:val="single"/>
        </w:rPr>
      </w:pPr>
      <w:del w:id="8209" w:author="AbbVie1" w:date="2025-05-13T09:50:00Z">
        <w:r w:rsidRPr="001B4A02">
          <w:rPr>
            <w:u w:val="single"/>
          </w:rPr>
          <w:delText>Eliminace</w:delText>
        </w:r>
      </w:del>
    </w:p>
    <w:p w14:paraId="10ED463C" w14:textId="77777777" w:rsidR="003D272F" w:rsidRPr="001B4A02" w:rsidRDefault="003D272F" w:rsidP="00CE5DAE">
      <w:pPr>
        <w:keepNext/>
        <w:ind w:left="0" w:firstLine="0"/>
        <w:rPr>
          <w:del w:id="8210" w:author="AbbVie1" w:date="2025-05-13T09:50:00Z"/>
        </w:rPr>
      </w:pPr>
    </w:p>
    <w:p w14:paraId="79AC3227" w14:textId="77777777" w:rsidR="00073F8F" w:rsidRPr="001B4A02" w:rsidRDefault="00000000" w:rsidP="00ED48A3">
      <w:pPr>
        <w:ind w:left="0" w:firstLine="0"/>
        <w:rPr>
          <w:del w:id="8211" w:author="AbbVie1" w:date="2025-05-13T09:50:00Z"/>
        </w:rPr>
      </w:pPr>
      <w:del w:id="8212" w:author="AbbVie1" w:date="2025-05-13T09:50:00Z">
        <w:r w:rsidRPr="001B4A02">
          <w:delText>Populační farmakokinetické analýzy s údaji od více než 1</w:delText>
        </w:r>
        <w:r w:rsidR="000E3459" w:rsidRPr="001B4A02">
          <w:delText> </w:delText>
        </w:r>
        <w:r w:rsidRPr="001B4A02">
          <w:delText>300 pacientů s RA zjistily trend směrem k vyšší zdánlivé clearance adalimumabu s rostoucí tělesnou váhou. Po úpravě váhových rozdílů, pohlaví</w:delText>
        </w:r>
        <w:r w:rsidR="002378E0">
          <w:delText xml:space="preserve"> a </w:delText>
        </w:r>
        <w:r w:rsidRPr="001B4A02">
          <w:delText>věku byl zřejmý minimální efekt na clearance adalimumabu. Koncentrace volného adalimumabu v séru (nevázaného na protilátky proti adalimumabu, AAA) byly nižší u</w:delText>
        </w:r>
        <w:r w:rsidR="00AD3DCC" w:rsidRPr="001B4A02">
          <w:delText> </w:delText>
        </w:r>
        <w:r w:rsidRPr="001B4A02">
          <w:delText xml:space="preserve">pacientů s detekovanými </w:delText>
        </w:r>
        <w:r w:rsidR="00AC7C92" w:rsidRPr="001B4A02">
          <w:delText>protilátkami proti adalimumabu.</w:delText>
        </w:r>
      </w:del>
    </w:p>
    <w:p w14:paraId="5E0CF183" w14:textId="77777777" w:rsidR="003D272F" w:rsidRPr="001B4A02" w:rsidRDefault="003D272F" w:rsidP="00ED48A3">
      <w:pPr>
        <w:ind w:left="0" w:firstLine="0"/>
        <w:rPr>
          <w:del w:id="8213" w:author="AbbVie1" w:date="2025-05-13T09:50:00Z"/>
        </w:rPr>
      </w:pPr>
    </w:p>
    <w:p w14:paraId="319A056F" w14:textId="77777777" w:rsidR="003D272F" w:rsidRPr="001B4A02" w:rsidRDefault="00000000" w:rsidP="00CE5DAE">
      <w:pPr>
        <w:keepNext/>
        <w:ind w:left="0" w:firstLine="0"/>
        <w:rPr>
          <w:del w:id="8214" w:author="AbbVie1" w:date="2025-05-13T09:50:00Z"/>
          <w:u w:val="single"/>
        </w:rPr>
      </w:pPr>
      <w:del w:id="8215" w:author="AbbVie1" w:date="2025-05-13T09:50:00Z">
        <w:r w:rsidRPr="001B4A02">
          <w:rPr>
            <w:u w:val="single"/>
          </w:rPr>
          <w:delText>Po</w:delText>
        </w:r>
        <w:r w:rsidR="00696488" w:rsidRPr="001B4A02">
          <w:rPr>
            <w:u w:val="single"/>
          </w:rPr>
          <w:delText>rucha funkce</w:delText>
        </w:r>
        <w:r w:rsidRPr="001B4A02">
          <w:rPr>
            <w:u w:val="single"/>
          </w:rPr>
          <w:delText xml:space="preserve"> jater nebo ledvin</w:delText>
        </w:r>
      </w:del>
    </w:p>
    <w:p w14:paraId="7CCF3ACD" w14:textId="77777777" w:rsidR="003D272F" w:rsidRPr="001B4A02" w:rsidRDefault="003D272F" w:rsidP="00CE5DAE">
      <w:pPr>
        <w:keepNext/>
        <w:ind w:left="0" w:firstLine="0"/>
        <w:rPr>
          <w:del w:id="8216" w:author="AbbVie1" w:date="2025-05-13T09:50:00Z"/>
        </w:rPr>
      </w:pPr>
    </w:p>
    <w:p w14:paraId="350FD59E" w14:textId="77777777" w:rsidR="00073F8F" w:rsidRPr="001B4A02" w:rsidRDefault="00000000" w:rsidP="00ED48A3">
      <w:pPr>
        <w:ind w:left="0" w:firstLine="0"/>
        <w:rPr>
          <w:del w:id="8217" w:author="AbbVie1" w:date="2025-05-13T09:50:00Z"/>
        </w:rPr>
      </w:pPr>
      <w:del w:id="8218" w:author="AbbVie1" w:date="2025-05-13T09:50:00Z">
        <w:r>
          <w:delText>Pou</w:delText>
        </w:r>
        <w:r w:rsidR="003D272F" w:rsidRPr="001B4A02">
          <w:delText>žití přípravku Humira nebylo studováno u</w:delText>
        </w:r>
        <w:r w:rsidR="00D15A04" w:rsidRPr="001B4A02">
          <w:delText> </w:delText>
        </w:r>
        <w:r w:rsidR="003D272F" w:rsidRPr="001B4A02">
          <w:delText>pacientů s</w:delText>
        </w:r>
        <w:r w:rsidR="00696488" w:rsidRPr="001B4A02">
          <w:delText> </w:delText>
        </w:r>
        <w:r w:rsidR="003D272F" w:rsidRPr="001B4A02">
          <w:delText>po</w:delText>
        </w:r>
        <w:r w:rsidR="00696488" w:rsidRPr="001B4A02">
          <w:delText>ruchou funkce</w:delText>
        </w:r>
        <w:r w:rsidR="003D272F" w:rsidRPr="001B4A02">
          <w:delText xml:space="preserve"> jater nebo ledvin.</w:delText>
        </w:r>
      </w:del>
    </w:p>
    <w:p w14:paraId="3B82CDB7" w14:textId="77777777" w:rsidR="003D272F" w:rsidRPr="001B4A02" w:rsidRDefault="003D272F" w:rsidP="00ED48A3">
      <w:pPr>
        <w:ind w:left="0" w:firstLine="0"/>
        <w:rPr>
          <w:del w:id="8219" w:author="AbbVie1" w:date="2025-05-13T09:50:00Z"/>
        </w:rPr>
      </w:pPr>
    </w:p>
    <w:p w14:paraId="241AAB9E" w14:textId="77777777" w:rsidR="00073F8F" w:rsidRPr="001B4A02" w:rsidRDefault="00000000" w:rsidP="003E092A">
      <w:pPr>
        <w:keepNext/>
        <w:outlineLvl w:val="1"/>
        <w:rPr>
          <w:del w:id="8220" w:author="AbbVie1" w:date="2025-05-13T09:50:00Z"/>
          <w:b/>
        </w:rPr>
      </w:pPr>
      <w:del w:id="8221" w:author="AbbVie1" w:date="2025-05-13T09:50:00Z">
        <w:r w:rsidRPr="001B4A02">
          <w:rPr>
            <w:b/>
          </w:rPr>
          <w:delText>5.3</w:delText>
        </w:r>
        <w:r w:rsidRPr="001B4A02">
          <w:rPr>
            <w:b/>
          </w:rPr>
          <w:tab/>
          <w:delText>Předklinické údaje vztahující se k bezpečnosti</w:delText>
        </w:r>
      </w:del>
    </w:p>
    <w:p w14:paraId="2E36807A" w14:textId="77777777" w:rsidR="00073F8F" w:rsidRPr="001B4A02" w:rsidRDefault="00073F8F" w:rsidP="00CE5DAE">
      <w:pPr>
        <w:keepNext/>
        <w:ind w:left="0" w:firstLine="0"/>
        <w:rPr>
          <w:del w:id="8222" w:author="AbbVie1" w:date="2025-05-13T09:50:00Z"/>
        </w:rPr>
      </w:pPr>
    </w:p>
    <w:p w14:paraId="7BEB8502" w14:textId="77777777" w:rsidR="00073F8F" w:rsidRPr="001B4A02" w:rsidRDefault="00000000" w:rsidP="00ED48A3">
      <w:pPr>
        <w:ind w:left="0" w:firstLine="0"/>
        <w:rPr>
          <w:del w:id="8223" w:author="AbbVie1" w:date="2025-05-13T09:50:00Z"/>
        </w:rPr>
      </w:pPr>
      <w:del w:id="8224" w:author="AbbVie1" w:date="2025-05-13T09:50:00Z">
        <w:r w:rsidRPr="001B4A02">
          <w:delText>Neklinické údaje získané na základě studií toxicity po jednorázovém podání, toxicity po opakovaném podání</w:delText>
        </w:r>
        <w:r w:rsidR="002378E0">
          <w:delText xml:space="preserve"> a </w:delText>
        </w:r>
        <w:r w:rsidRPr="001B4A02">
          <w:delText>genotoxicity neodhalily žád</w:delText>
        </w:r>
        <w:r w:rsidR="00AC7C92" w:rsidRPr="001B4A02">
          <w:delText>né zvláštní riziko pro člověka.</w:delText>
        </w:r>
      </w:del>
    </w:p>
    <w:p w14:paraId="155AA2E1" w14:textId="77777777" w:rsidR="00073F8F" w:rsidRPr="001B4A02" w:rsidRDefault="00073F8F" w:rsidP="00ED48A3">
      <w:pPr>
        <w:pStyle w:val="EndnoteText"/>
        <w:ind w:left="0" w:firstLine="0"/>
        <w:rPr>
          <w:del w:id="8225" w:author="AbbVie1" w:date="2025-05-13T09:50:00Z"/>
          <w:lang w:val="cs-CZ"/>
        </w:rPr>
      </w:pPr>
    </w:p>
    <w:p w14:paraId="51273CAC" w14:textId="77777777" w:rsidR="00073F8F" w:rsidRPr="001B4A02" w:rsidRDefault="00000000" w:rsidP="00ED48A3">
      <w:pPr>
        <w:ind w:left="0" w:firstLine="0"/>
        <w:rPr>
          <w:del w:id="8226" w:author="AbbVie1" w:date="2025-05-13T09:50:00Z"/>
        </w:rPr>
      </w:pPr>
      <w:del w:id="8227" w:author="AbbVie1" w:date="2025-05-13T09:50:00Z">
        <w:r w:rsidRPr="001B4A02">
          <w:delText xml:space="preserve">Ve studii u opic makaka jávského </w:delText>
        </w:r>
        <w:r w:rsidRPr="001B4A02">
          <w:rPr>
            <w:i/>
            <w:iCs/>
          </w:rPr>
          <w:delText>(Macaca fascicularis)</w:delText>
        </w:r>
        <w:r w:rsidRPr="001B4A02">
          <w:delText>, kterým byly podávány dávky adalimumabu 0, 30</w:delText>
        </w:r>
        <w:r w:rsidR="002378E0">
          <w:delText xml:space="preserve"> a </w:delText>
        </w:r>
        <w:r w:rsidRPr="001B4A02">
          <w:delText>100 mg/kg (9</w:delText>
        </w:r>
        <w:r w:rsidR="006D1214" w:rsidRPr="001B4A02">
          <w:delText>–</w:delText>
        </w:r>
        <w:r w:rsidRPr="001B4A02">
          <w:delText>17 opic ve skupině) sledující embryofetální toxicitu</w:delText>
        </w:r>
        <w:r w:rsidR="002378E0">
          <w:delText xml:space="preserve"> a </w:delText>
        </w:r>
        <w:r w:rsidRPr="001B4A02">
          <w:delText>perinatální vývoj, nebyl zjištěn žádný faktor naznačující poškození plodů</w:delText>
        </w:r>
        <w:r w:rsidR="00634C67">
          <w:delText xml:space="preserve"> vlivem adalimumabu</w:delText>
        </w:r>
        <w:r w:rsidRPr="001B4A02">
          <w:delText>. Ani studie karcinogenity, ani standardní hodnocení toxického vlivu na fertilitu</w:delText>
        </w:r>
        <w:r w:rsidR="002378E0">
          <w:delText xml:space="preserve"> a </w:delText>
        </w:r>
        <w:r w:rsidRPr="001B4A02">
          <w:delText>studie postnatální toxicity s adalimumabem nebyly prováděny, protože neexistuje vhodný model pro protilátky s omezenou zkříženou reaktivitou na TNF hlodavců</w:delText>
        </w:r>
        <w:r w:rsidR="002378E0">
          <w:delText xml:space="preserve"> a </w:delText>
        </w:r>
        <w:r w:rsidRPr="001B4A02">
          <w:delText>na rozvoj neutralizačních protilátek u hlodavců.</w:delText>
        </w:r>
      </w:del>
    </w:p>
    <w:p w14:paraId="694F6F65" w14:textId="77777777" w:rsidR="00073F8F" w:rsidRPr="001B4A02" w:rsidRDefault="00073F8F" w:rsidP="00ED48A3">
      <w:pPr>
        <w:ind w:left="0" w:firstLine="0"/>
        <w:rPr>
          <w:del w:id="8228" w:author="AbbVie1" w:date="2025-05-13T09:50:00Z"/>
        </w:rPr>
      </w:pPr>
    </w:p>
    <w:p w14:paraId="27715886" w14:textId="77777777" w:rsidR="00073F8F" w:rsidRPr="001B4A02" w:rsidRDefault="00073F8F" w:rsidP="00ED48A3">
      <w:pPr>
        <w:ind w:left="0" w:firstLine="0"/>
        <w:rPr>
          <w:del w:id="8229" w:author="AbbVie1" w:date="2025-05-13T09:50:00Z"/>
        </w:rPr>
      </w:pPr>
    </w:p>
    <w:p w14:paraId="425DD68F" w14:textId="77777777" w:rsidR="00073F8F" w:rsidRPr="001B4A02" w:rsidRDefault="00000000" w:rsidP="003E092A">
      <w:pPr>
        <w:keepNext/>
        <w:outlineLvl w:val="0"/>
        <w:rPr>
          <w:del w:id="8230" w:author="AbbVie1" w:date="2025-05-13T09:50:00Z"/>
          <w:b/>
        </w:rPr>
      </w:pPr>
      <w:del w:id="8231" w:author="AbbVie1" w:date="2025-05-13T09:50:00Z">
        <w:r w:rsidRPr="001B4A02">
          <w:rPr>
            <w:b/>
          </w:rPr>
          <w:delText>6.</w:delText>
        </w:r>
        <w:r w:rsidRPr="001B4A02">
          <w:rPr>
            <w:b/>
          </w:rPr>
          <w:tab/>
          <w:delText>FARMACEUTICKÉ ÚDAJE</w:delText>
        </w:r>
      </w:del>
    </w:p>
    <w:p w14:paraId="24FD0989" w14:textId="77777777" w:rsidR="00073F8F" w:rsidRPr="001B4A02" w:rsidRDefault="00073F8F" w:rsidP="00ED48A3">
      <w:pPr>
        <w:keepNext/>
        <w:ind w:left="0" w:firstLine="0"/>
        <w:rPr>
          <w:del w:id="8232" w:author="AbbVie1" w:date="2025-05-13T09:50:00Z"/>
          <w:b/>
        </w:rPr>
      </w:pPr>
    </w:p>
    <w:p w14:paraId="1A63A197" w14:textId="77777777" w:rsidR="00073F8F" w:rsidRPr="001B4A02" w:rsidRDefault="00000000" w:rsidP="003E092A">
      <w:pPr>
        <w:keepNext/>
        <w:tabs>
          <w:tab w:val="num" w:pos="567"/>
        </w:tabs>
        <w:ind w:left="0" w:firstLine="0"/>
        <w:outlineLvl w:val="1"/>
        <w:rPr>
          <w:del w:id="8233" w:author="AbbVie1" w:date="2025-05-13T09:50:00Z"/>
          <w:b/>
        </w:rPr>
      </w:pPr>
      <w:del w:id="8234" w:author="AbbVie1" w:date="2025-05-13T09:50:00Z">
        <w:r>
          <w:rPr>
            <w:b/>
          </w:rPr>
          <w:delText>6.1</w:delText>
        </w:r>
        <w:r>
          <w:rPr>
            <w:b/>
          </w:rPr>
          <w:tab/>
        </w:r>
        <w:r w:rsidRPr="001B4A02">
          <w:rPr>
            <w:b/>
          </w:rPr>
          <w:delText>Seznam pomocných látek</w:delText>
        </w:r>
      </w:del>
    </w:p>
    <w:p w14:paraId="7B3AE901" w14:textId="77777777" w:rsidR="00073F8F" w:rsidRPr="001B4A02" w:rsidRDefault="00073F8F" w:rsidP="00ED48A3">
      <w:pPr>
        <w:keepNext/>
        <w:ind w:left="0" w:firstLine="0"/>
        <w:rPr>
          <w:del w:id="8235" w:author="AbbVie1" w:date="2025-05-13T09:50:00Z"/>
        </w:rPr>
      </w:pPr>
    </w:p>
    <w:p w14:paraId="1E09D2B0" w14:textId="77777777" w:rsidR="00073F8F" w:rsidRPr="001B4A02" w:rsidRDefault="00000000" w:rsidP="00ED48A3">
      <w:pPr>
        <w:pStyle w:val="EndnoteText"/>
        <w:ind w:left="0" w:firstLine="0"/>
        <w:rPr>
          <w:del w:id="8236" w:author="AbbVie1" w:date="2025-05-13T09:50:00Z"/>
          <w:lang w:val="cs-CZ"/>
        </w:rPr>
      </w:pPr>
      <w:del w:id="8237" w:author="AbbVie1" w:date="2025-05-13T09:50:00Z">
        <w:r w:rsidRPr="001B4A02">
          <w:rPr>
            <w:lang w:val="cs-CZ"/>
          </w:rPr>
          <w:delText>Mannitol</w:delText>
        </w:r>
      </w:del>
    </w:p>
    <w:p w14:paraId="79E45F35" w14:textId="77777777" w:rsidR="00073F8F" w:rsidRPr="001B4A02" w:rsidRDefault="00000000" w:rsidP="00ED48A3">
      <w:pPr>
        <w:ind w:left="0" w:firstLine="0"/>
        <w:rPr>
          <w:del w:id="8238" w:author="AbbVie1" w:date="2025-05-13T09:50:00Z"/>
        </w:rPr>
      </w:pPr>
      <w:del w:id="8239" w:author="AbbVie1" w:date="2025-05-13T09:50:00Z">
        <w:r w:rsidRPr="001B4A02">
          <w:delText>Monohydrát kyseliny citronové</w:delText>
        </w:r>
      </w:del>
    </w:p>
    <w:p w14:paraId="49257A13" w14:textId="77777777" w:rsidR="00073F8F" w:rsidRPr="001B4A02" w:rsidRDefault="00000000" w:rsidP="00ED48A3">
      <w:pPr>
        <w:ind w:left="0" w:firstLine="0"/>
        <w:rPr>
          <w:del w:id="8240" w:author="AbbVie1" w:date="2025-05-13T09:50:00Z"/>
        </w:rPr>
      </w:pPr>
      <w:del w:id="8241" w:author="AbbVie1" w:date="2025-05-13T09:50:00Z">
        <w:r w:rsidRPr="001B4A02">
          <w:delText xml:space="preserve">Dihydrát </w:delText>
        </w:r>
        <w:r w:rsidR="007A4774" w:rsidRPr="001B4A02">
          <w:delText>natrium-citrátu</w:delText>
        </w:r>
      </w:del>
    </w:p>
    <w:p w14:paraId="3DC914A0" w14:textId="77777777" w:rsidR="00073F8F" w:rsidRPr="001B4A02" w:rsidRDefault="00000000" w:rsidP="00ED48A3">
      <w:pPr>
        <w:ind w:left="0" w:firstLine="0"/>
        <w:rPr>
          <w:del w:id="8242" w:author="AbbVie1" w:date="2025-05-13T09:50:00Z"/>
        </w:rPr>
      </w:pPr>
      <w:del w:id="8243" w:author="AbbVie1" w:date="2025-05-13T09:50:00Z">
        <w:r w:rsidRPr="001B4A02">
          <w:delText>Dihydrát</w:delText>
        </w:r>
        <w:r w:rsidR="00AC7C92" w:rsidRPr="001B4A02">
          <w:delText xml:space="preserve"> dihydrogenfosforečnanu sodného</w:delText>
        </w:r>
      </w:del>
    </w:p>
    <w:p w14:paraId="66292347" w14:textId="77777777" w:rsidR="00073F8F" w:rsidRPr="001B4A02" w:rsidRDefault="00000000" w:rsidP="00ED48A3">
      <w:pPr>
        <w:ind w:left="0" w:firstLine="0"/>
        <w:rPr>
          <w:del w:id="8244" w:author="AbbVie1" w:date="2025-05-13T09:50:00Z"/>
        </w:rPr>
      </w:pPr>
      <w:del w:id="8245" w:author="AbbVie1" w:date="2025-05-13T09:50:00Z">
        <w:r w:rsidRPr="001B4A02">
          <w:delText>Dihydr</w:delText>
        </w:r>
        <w:r w:rsidR="00AC7C92" w:rsidRPr="001B4A02">
          <w:delText>át hydrogenfosforečnanu sodného</w:delText>
        </w:r>
      </w:del>
    </w:p>
    <w:p w14:paraId="533B3CE0" w14:textId="77777777" w:rsidR="00073F8F" w:rsidRPr="001B4A02" w:rsidRDefault="00000000" w:rsidP="00ED48A3">
      <w:pPr>
        <w:ind w:left="0" w:firstLine="0"/>
        <w:rPr>
          <w:del w:id="8246" w:author="AbbVie1" w:date="2025-05-13T09:50:00Z"/>
        </w:rPr>
      </w:pPr>
      <w:del w:id="8247" w:author="AbbVie1" w:date="2025-05-13T09:50:00Z">
        <w:r w:rsidRPr="001B4A02">
          <w:delText>Chlorid sodný</w:delText>
        </w:r>
      </w:del>
    </w:p>
    <w:p w14:paraId="229B2E4D" w14:textId="77777777" w:rsidR="00073F8F" w:rsidRPr="001B4A02" w:rsidRDefault="00000000" w:rsidP="00ED48A3">
      <w:pPr>
        <w:ind w:left="0" w:firstLine="0"/>
        <w:rPr>
          <w:del w:id="8248" w:author="AbbVie1" w:date="2025-05-13T09:50:00Z"/>
        </w:rPr>
      </w:pPr>
      <w:del w:id="8249" w:author="AbbVie1" w:date="2025-05-13T09:50:00Z">
        <w:r w:rsidRPr="001B4A02">
          <w:delText>Polysorbát 80</w:delText>
        </w:r>
      </w:del>
    </w:p>
    <w:p w14:paraId="364BFA0B" w14:textId="77777777" w:rsidR="00073F8F" w:rsidRPr="001B4A02" w:rsidRDefault="00000000" w:rsidP="00ED48A3">
      <w:pPr>
        <w:ind w:left="0" w:firstLine="0"/>
        <w:rPr>
          <w:del w:id="8250" w:author="AbbVie1" w:date="2025-05-13T09:50:00Z"/>
        </w:rPr>
      </w:pPr>
      <w:del w:id="8251" w:author="AbbVie1" w:date="2025-05-13T09:50:00Z">
        <w:r w:rsidRPr="001B4A02">
          <w:delText>Hydroxid sodný</w:delText>
        </w:r>
      </w:del>
    </w:p>
    <w:p w14:paraId="1BC44912" w14:textId="77777777" w:rsidR="00073F8F" w:rsidRPr="001B4A02" w:rsidRDefault="00000000" w:rsidP="00ED48A3">
      <w:pPr>
        <w:pStyle w:val="EndnoteText"/>
        <w:ind w:left="0" w:firstLine="0"/>
        <w:rPr>
          <w:del w:id="8252" w:author="AbbVie1" w:date="2025-05-13T09:50:00Z"/>
          <w:lang w:val="cs-CZ"/>
        </w:rPr>
      </w:pPr>
      <w:del w:id="8253" w:author="AbbVie1" w:date="2025-05-13T09:50:00Z">
        <w:r w:rsidRPr="001B4A02">
          <w:rPr>
            <w:lang w:val="cs-CZ"/>
          </w:rPr>
          <w:delText xml:space="preserve">Voda </w:delText>
        </w:r>
        <w:r w:rsidR="00202301" w:rsidRPr="001B4A02">
          <w:rPr>
            <w:lang w:val="cs-CZ"/>
          </w:rPr>
          <w:delText>pro</w:delText>
        </w:r>
        <w:r w:rsidRPr="001B4A02">
          <w:rPr>
            <w:lang w:val="cs-CZ"/>
          </w:rPr>
          <w:delText xml:space="preserve"> injekci</w:delText>
        </w:r>
      </w:del>
    </w:p>
    <w:p w14:paraId="5433FF8B" w14:textId="77777777" w:rsidR="00073F8F" w:rsidRPr="001B4A02" w:rsidRDefault="00073F8F" w:rsidP="00ED48A3">
      <w:pPr>
        <w:rPr>
          <w:del w:id="8254" w:author="AbbVie1" w:date="2025-05-13T09:50:00Z"/>
        </w:rPr>
      </w:pPr>
    </w:p>
    <w:p w14:paraId="69DF66B0" w14:textId="77777777" w:rsidR="00073F8F" w:rsidRPr="001B4A02" w:rsidRDefault="00000000" w:rsidP="003E092A">
      <w:pPr>
        <w:keepNext/>
        <w:outlineLvl w:val="1"/>
        <w:rPr>
          <w:del w:id="8255" w:author="AbbVie1" w:date="2025-05-13T09:50:00Z"/>
          <w:b/>
        </w:rPr>
      </w:pPr>
      <w:del w:id="8256" w:author="AbbVie1" w:date="2025-05-13T09:50:00Z">
        <w:r w:rsidRPr="001B4A02">
          <w:rPr>
            <w:b/>
          </w:rPr>
          <w:delText>6.2</w:delText>
        </w:r>
        <w:r w:rsidRPr="001B4A02">
          <w:rPr>
            <w:b/>
          </w:rPr>
          <w:tab/>
          <w:delText>Inkompatibility</w:delText>
        </w:r>
      </w:del>
    </w:p>
    <w:p w14:paraId="3A735D0F" w14:textId="77777777" w:rsidR="00073F8F" w:rsidRPr="001B4A02" w:rsidRDefault="00073F8F" w:rsidP="00CE5DAE">
      <w:pPr>
        <w:keepNext/>
        <w:ind w:left="0" w:firstLine="0"/>
        <w:rPr>
          <w:del w:id="8257" w:author="AbbVie1" w:date="2025-05-13T09:50:00Z"/>
        </w:rPr>
      </w:pPr>
    </w:p>
    <w:p w14:paraId="76C5CA3C" w14:textId="77777777" w:rsidR="00073F8F" w:rsidRPr="001B4A02" w:rsidRDefault="00000000" w:rsidP="00ED48A3">
      <w:pPr>
        <w:ind w:left="0" w:firstLine="0"/>
        <w:rPr>
          <w:del w:id="8258" w:author="AbbVie1" w:date="2025-05-13T09:50:00Z"/>
        </w:rPr>
      </w:pPr>
      <w:del w:id="8259" w:author="AbbVie1" w:date="2025-05-13T09:50:00Z">
        <w:r w:rsidRPr="001B4A02">
          <w:delText>Studie kompatibility nejsou k dispozici,</w:delText>
        </w:r>
        <w:r w:rsidR="002378E0">
          <w:delText xml:space="preserve"> a </w:delText>
        </w:r>
        <w:r w:rsidRPr="001B4A02">
          <w:delText>proto tento léčivý přípravek nesmí být mísen s </w:delText>
        </w:r>
        <w:r w:rsidR="003E27EB">
          <w:delText>jinými</w:delText>
        </w:r>
        <w:r w:rsidRPr="001B4A02">
          <w:delText xml:space="preserve"> léčivými přípravky.</w:delText>
        </w:r>
      </w:del>
    </w:p>
    <w:p w14:paraId="1CEC4C12" w14:textId="77777777" w:rsidR="00E82959" w:rsidRPr="001B4A02" w:rsidRDefault="00E82959" w:rsidP="00ED48A3">
      <w:pPr>
        <w:ind w:left="0" w:firstLine="0"/>
        <w:rPr>
          <w:del w:id="8260" w:author="AbbVie1" w:date="2025-05-13T09:50:00Z"/>
          <w:b/>
        </w:rPr>
      </w:pPr>
    </w:p>
    <w:p w14:paraId="302F1426" w14:textId="77777777" w:rsidR="00073F8F" w:rsidRPr="001B4A02" w:rsidRDefault="00000000" w:rsidP="003E092A">
      <w:pPr>
        <w:keepNext/>
        <w:outlineLvl w:val="1"/>
        <w:rPr>
          <w:del w:id="8261" w:author="AbbVie1" w:date="2025-05-13T09:50:00Z"/>
          <w:b/>
        </w:rPr>
      </w:pPr>
      <w:del w:id="8262" w:author="AbbVie1" w:date="2025-05-13T09:50:00Z">
        <w:r w:rsidRPr="001B4A02">
          <w:rPr>
            <w:b/>
          </w:rPr>
          <w:delText>6.3</w:delText>
        </w:r>
        <w:r w:rsidRPr="001B4A02">
          <w:rPr>
            <w:b/>
          </w:rPr>
          <w:tab/>
          <w:delText>Doba použitelnosti</w:delText>
        </w:r>
      </w:del>
    </w:p>
    <w:p w14:paraId="1924C5D5" w14:textId="77777777" w:rsidR="00073F8F" w:rsidRPr="001B4A02" w:rsidRDefault="00073F8F" w:rsidP="00CE5DAE">
      <w:pPr>
        <w:keepNext/>
        <w:ind w:left="0" w:firstLine="0"/>
        <w:rPr>
          <w:del w:id="8263" w:author="AbbVie1" w:date="2025-05-13T09:50:00Z"/>
        </w:rPr>
      </w:pPr>
    </w:p>
    <w:p w14:paraId="32C62F8E" w14:textId="77777777" w:rsidR="00073F8F" w:rsidRPr="001B4A02" w:rsidRDefault="00000000" w:rsidP="00ED48A3">
      <w:pPr>
        <w:ind w:left="0" w:firstLine="0"/>
        <w:rPr>
          <w:del w:id="8264" w:author="AbbVie1" w:date="2025-05-13T09:50:00Z"/>
        </w:rPr>
      </w:pPr>
      <w:del w:id="8265" w:author="AbbVie1" w:date="2025-05-13T09:50:00Z">
        <w:r w:rsidRPr="001B4A02">
          <w:delText>2</w:delText>
        </w:r>
        <w:r w:rsidR="00E200CA" w:rsidRPr="001B4A02">
          <w:delText xml:space="preserve"> roky</w:delText>
        </w:r>
      </w:del>
    </w:p>
    <w:p w14:paraId="781B36BF" w14:textId="77777777" w:rsidR="00073F8F" w:rsidRPr="001B4A02" w:rsidRDefault="00073F8F" w:rsidP="00ED48A3">
      <w:pPr>
        <w:ind w:left="0" w:firstLine="0"/>
        <w:rPr>
          <w:del w:id="8266" w:author="AbbVie1" w:date="2025-05-13T09:50:00Z"/>
        </w:rPr>
      </w:pPr>
    </w:p>
    <w:p w14:paraId="47102743" w14:textId="77777777" w:rsidR="00073F8F" w:rsidRPr="001B4A02" w:rsidRDefault="00000000" w:rsidP="003E092A">
      <w:pPr>
        <w:keepNext/>
        <w:outlineLvl w:val="1"/>
        <w:rPr>
          <w:del w:id="8267" w:author="AbbVie1" w:date="2025-05-13T09:50:00Z"/>
          <w:b/>
        </w:rPr>
      </w:pPr>
      <w:del w:id="8268" w:author="AbbVie1" w:date="2025-05-13T09:50:00Z">
        <w:r w:rsidRPr="001B4A02">
          <w:rPr>
            <w:b/>
          </w:rPr>
          <w:delText>6.4</w:delText>
        </w:r>
        <w:r w:rsidRPr="001B4A02">
          <w:rPr>
            <w:b/>
          </w:rPr>
          <w:tab/>
          <w:delText>Zvláštní opatření pro uchovávání</w:delText>
        </w:r>
      </w:del>
    </w:p>
    <w:p w14:paraId="51BF0224" w14:textId="77777777" w:rsidR="00073F8F" w:rsidRPr="001B4A02" w:rsidRDefault="00073F8F" w:rsidP="00CE5DAE">
      <w:pPr>
        <w:keepNext/>
        <w:ind w:left="0" w:firstLine="0"/>
        <w:rPr>
          <w:del w:id="8269" w:author="AbbVie1" w:date="2025-05-13T09:50:00Z"/>
        </w:rPr>
      </w:pPr>
    </w:p>
    <w:p w14:paraId="27C1FFE3" w14:textId="77777777" w:rsidR="00073F8F" w:rsidRPr="001B4A02" w:rsidRDefault="00000000" w:rsidP="00ED48A3">
      <w:pPr>
        <w:ind w:left="0" w:firstLine="0"/>
        <w:rPr>
          <w:del w:id="8270" w:author="AbbVie1" w:date="2025-05-13T09:50:00Z"/>
        </w:rPr>
      </w:pPr>
      <w:del w:id="8271" w:author="AbbVie1" w:date="2025-05-13T09:50:00Z">
        <w:r w:rsidRPr="001B4A02">
          <w:delText>Uchovávejte v chladničce (2</w:delText>
        </w:r>
        <w:r w:rsidR="00867D37" w:rsidRPr="001B4A02">
          <w:delText xml:space="preserve"> </w:delText>
        </w:r>
        <w:r w:rsidRPr="001B4A02">
          <w:rPr>
            <w:rFonts w:ascii="Symbol" w:hAnsi="Symbol"/>
          </w:rPr>
          <w:sym w:font="Symbol" w:char="F0B0"/>
        </w:r>
        <w:r w:rsidRPr="001B4A02">
          <w:delText>C</w:delText>
        </w:r>
        <w:r w:rsidR="00DF4EAF">
          <w:delText xml:space="preserve"> </w:delText>
        </w:r>
        <w:r w:rsidR="006D1214" w:rsidRPr="001B4A02">
          <w:delText>–</w:delText>
        </w:r>
        <w:r w:rsidR="00DF4EAF">
          <w:delText xml:space="preserve"> </w:delText>
        </w:r>
        <w:r w:rsidRPr="001B4A02">
          <w:delText>8</w:delText>
        </w:r>
        <w:r w:rsidR="00867D37" w:rsidRPr="001B4A02">
          <w:delText xml:space="preserve"> </w:delText>
        </w:r>
        <w:r w:rsidRPr="001B4A02">
          <w:delText>°C). Chraňte před mrazem. Uchovávejte</w:delText>
        </w:r>
        <w:r w:rsidR="00181ED8" w:rsidRPr="001B4A02">
          <w:delText xml:space="preserve"> předplněnou</w:delText>
        </w:r>
        <w:r w:rsidRPr="001B4A02">
          <w:delText xml:space="preserve"> injekční stříkačku </w:delText>
        </w:r>
        <w:r w:rsidR="00181ED8" w:rsidRPr="001B4A02">
          <w:delText xml:space="preserve">nebo předplněné pero </w:delText>
        </w:r>
        <w:r w:rsidRPr="001B4A02">
          <w:delText>v</w:delText>
        </w:r>
        <w:r w:rsidR="00CD48DD" w:rsidRPr="001B4A02">
          <w:delText> </w:delText>
        </w:r>
        <w:r w:rsidRPr="001B4A02">
          <w:delText>krabičce</w:delText>
        </w:r>
        <w:r w:rsidR="00CD48DD" w:rsidRPr="001B4A02">
          <w:delText>, aby byl přípravek chráněn před světlem</w:delText>
        </w:r>
        <w:r w:rsidR="00AC7C92" w:rsidRPr="001B4A02">
          <w:delText>.</w:delText>
        </w:r>
      </w:del>
    </w:p>
    <w:p w14:paraId="58827504" w14:textId="77777777" w:rsidR="00CD48DD" w:rsidRPr="001B4A02" w:rsidRDefault="00CD48DD" w:rsidP="00ED48A3">
      <w:pPr>
        <w:ind w:left="0" w:firstLine="0"/>
        <w:rPr>
          <w:del w:id="8272" w:author="AbbVie1" w:date="2025-05-13T09:50:00Z"/>
        </w:rPr>
      </w:pPr>
    </w:p>
    <w:p w14:paraId="1FCFF438" w14:textId="77777777" w:rsidR="00073F8F" w:rsidRPr="001B4A02" w:rsidRDefault="00000000" w:rsidP="00ED48A3">
      <w:pPr>
        <w:ind w:left="0" w:firstLine="0"/>
        <w:rPr>
          <w:del w:id="8273" w:author="AbbVie1" w:date="2025-05-13T09:50:00Z"/>
        </w:rPr>
      </w:pPr>
      <w:del w:id="8274" w:author="AbbVie1" w:date="2025-05-13T09:50:00Z">
        <w:r w:rsidRPr="001B4A02">
          <w:delText>Jednotlivé předplněné injekční stříkačky</w:delText>
        </w:r>
        <w:r w:rsidR="00181ED8" w:rsidRPr="001B4A02">
          <w:delText xml:space="preserve"> nebo předplněná pera</w:delText>
        </w:r>
        <w:r w:rsidRPr="001B4A02">
          <w:delText xml:space="preserve"> přípravku Humira </w:delText>
        </w:r>
        <w:r w:rsidR="00EC661C" w:rsidRPr="001B4A02">
          <w:delText>mají být uchovávány</w:delText>
        </w:r>
        <w:r w:rsidRPr="001B4A02">
          <w:delText xml:space="preserve"> při teplotě do </w:delText>
        </w:r>
        <w:r w:rsidR="00EC661C" w:rsidRPr="001B4A02">
          <w:delText xml:space="preserve">maximálně </w:delText>
        </w:r>
        <w:r w:rsidRPr="001B4A02">
          <w:delText>25</w:delText>
        </w:r>
        <w:r w:rsidR="00867D37" w:rsidRPr="001B4A02">
          <w:delText xml:space="preserve"> </w:delText>
        </w:r>
        <w:r w:rsidRPr="001B4A02">
          <w:delText>°C po dobu až 14 dní. Injekční stříkačka</w:delText>
        </w:r>
        <w:r w:rsidR="00181ED8" w:rsidRPr="001B4A02">
          <w:delText xml:space="preserve"> nebo pero</w:delText>
        </w:r>
        <w:r w:rsidRPr="001B4A02">
          <w:delText xml:space="preserve"> musí být </w:delText>
        </w:r>
        <w:r w:rsidR="00181ED8" w:rsidRPr="001B4A02">
          <w:delText xml:space="preserve">chráněny </w:delText>
        </w:r>
        <w:r w:rsidRPr="001B4A02">
          <w:delText>před světlem</w:delText>
        </w:r>
        <w:r w:rsidR="002378E0">
          <w:delText xml:space="preserve"> a </w:delText>
        </w:r>
        <w:r w:rsidR="00181ED8" w:rsidRPr="001B4A02">
          <w:delText>znehodnoceny</w:delText>
        </w:r>
        <w:r w:rsidRPr="001B4A02">
          <w:delText xml:space="preserve">, pokud </w:delText>
        </w:r>
        <w:r w:rsidR="00181ED8" w:rsidRPr="001B4A02">
          <w:delText>nejsou použity</w:delText>
        </w:r>
        <w:r w:rsidRPr="001B4A02">
          <w:delText xml:space="preserve"> v průběhu těchto 14 dní.</w:delText>
        </w:r>
      </w:del>
    </w:p>
    <w:p w14:paraId="07D8D30D" w14:textId="77777777" w:rsidR="00CD48DD" w:rsidRPr="001B4A02" w:rsidRDefault="00CD48DD" w:rsidP="00ED48A3">
      <w:pPr>
        <w:ind w:left="0" w:firstLine="0"/>
        <w:rPr>
          <w:del w:id="8275" w:author="AbbVie1" w:date="2025-05-13T09:50:00Z"/>
        </w:rPr>
      </w:pPr>
    </w:p>
    <w:p w14:paraId="242550DF" w14:textId="77777777" w:rsidR="00073F8F" w:rsidRPr="001B4A02" w:rsidRDefault="00000000" w:rsidP="003E092A">
      <w:pPr>
        <w:keepNext/>
        <w:outlineLvl w:val="1"/>
        <w:rPr>
          <w:del w:id="8276" w:author="AbbVie1" w:date="2025-05-13T09:50:00Z"/>
          <w:b/>
        </w:rPr>
      </w:pPr>
      <w:del w:id="8277" w:author="AbbVie1" w:date="2025-05-13T09:50:00Z">
        <w:r w:rsidRPr="001B4A02">
          <w:rPr>
            <w:b/>
          </w:rPr>
          <w:delText>6.5</w:delText>
        </w:r>
        <w:r w:rsidRPr="001B4A02">
          <w:rPr>
            <w:b/>
          </w:rPr>
          <w:tab/>
          <w:delText>Druh obalu</w:delText>
        </w:r>
        <w:r w:rsidR="002378E0">
          <w:rPr>
            <w:b/>
          </w:rPr>
          <w:delText xml:space="preserve"> a </w:delText>
        </w:r>
        <w:r w:rsidR="002746D0" w:rsidRPr="001B4A02">
          <w:rPr>
            <w:b/>
          </w:rPr>
          <w:delText xml:space="preserve">obsah </w:delText>
        </w:r>
        <w:r w:rsidRPr="001B4A02">
          <w:rPr>
            <w:b/>
          </w:rPr>
          <w:delText>balení</w:delText>
        </w:r>
      </w:del>
    </w:p>
    <w:p w14:paraId="469C48DD" w14:textId="77777777" w:rsidR="00073F8F" w:rsidRPr="001B4A02" w:rsidRDefault="00073F8F" w:rsidP="00CE5DAE">
      <w:pPr>
        <w:keepNext/>
        <w:ind w:left="0" w:firstLine="0"/>
        <w:rPr>
          <w:del w:id="8278" w:author="AbbVie1" w:date="2025-05-13T09:50:00Z"/>
        </w:rPr>
      </w:pPr>
    </w:p>
    <w:p w14:paraId="74A4158E" w14:textId="77777777" w:rsidR="00181ED8" w:rsidRPr="001B4A02" w:rsidRDefault="00000000" w:rsidP="00CE5DAE">
      <w:pPr>
        <w:keepNext/>
        <w:ind w:left="0" w:firstLine="0"/>
        <w:rPr>
          <w:del w:id="8279" w:author="AbbVie1" w:date="2025-05-13T09:50:00Z"/>
          <w:u w:val="single"/>
        </w:rPr>
      </w:pPr>
      <w:del w:id="8280" w:author="AbbVie1" w:date="2025-05-13T09:50:00Z">
        <w:r w:rsidRPr="001B4A02">
          <w:rPr>
            <w:u w:val="single"/>
          </w:rPr>
          <w:delText>Humira 40 mg injekční roztok v předplněné injekční stříkačce</w:delText>
        </w:r>
      </w:del>
    </w:p>
    <w:p w14:paraId="55DBEF88" w14:textId="77777777" w:rsidR="00073F8F" w:rsidRPr="001B4A02" w:rsidRDefault="00000000" w:rsidP="00ED48A3">
      <w:pPr>
        <w:ind w:left="0" w:firstLine="0"/>
        <w:rPr>
          <w:del w:id="8281" w:author="AbbVie1" w:date="2025-05-13T09:50:00Z"/>
        </w:rPr>
      </w:pPr>
      <w:del w:id="8282" w:author="AbbVie1" w:date="2025-05-13T09:50:00Z">
        <w:r w:rsidRPr="001B4A02">
          <w:delText xml:space="preserve">Humira 40 mg injekční roztok v předplněné injekční stříkačce na jedno použití (injekční stříkačka ze skla </w:delText>
        </w:r>
        <w:r w:rsidR="007E3412">
          <w:delText>třídy</w:delText>
        </w:r>
        <w:r w:rsidRPr="001B4A02">
          <w:delText xml:space="preserve"> I)</w:delText>
        </w:r>
        <w:r w:rsidR="00B0333D" w:rsidRPr="001B4A02">
          <w:delText xml:space="preserve">, která dále obsahuje píst (bromobutylová </w:delText>
        </w:r>
        <w:r w:rsidR="00EC661C" w:rsidRPr="001B4A02">
          <w:delText>pryž</w:delText>
        </w:r>
        <w:r w:rsidR="00B0333D" w:rsidRPr="001B4A02">
          <w:delText>), jehlu</w:delText>
        </w:r>
        <w:r w:rsidR="002378E0">
          <w:delText xml:space="preserve"> a </w:delText>
        </w:r>
        <w:r w:rsidR="00B0333D" w:rsidRPr="001B4A02">
          <w:delText>kryt jehly (termoplastický elastomer)</w:delText>
        </w:r>
        <w:r w:rsidRPr="001B4A02">
          <w:delText>.</w:delText>
        </w:r>
      </w:del>
    </w:p>
    <w:p w14:paraId="7181137D" w14:textId="77777777" w:rsidR="0034629B" w:rsidRPr="001B4A02" w:rsidRDefault="0034629B" w:rsidP="00ED48A3">
      <w:pPr>
        <w:ind w:left="0" w:firstLine="0"/>
        <w:rPr>
          <w:del w:id="8283" w:author="AbbVie1" w:date="2025-05-13T09:50:00Z"/>
        </w:rPr>
      </w:pPr>
    </w:p>
    <w:p w14:paraId="7FD58F81" w14:textId="77777777" w:rsidR="00073F8F" w:rsidRPr="001B4A02" w:rsidRDefault="00000000" w:rsidP="00CE5DAE">
      <w:pPr>
        <w:keepNext/>
        <w:ind w:left="0" w:firstLine="0"/>
        <w:rPr>
          <w:del w:id="8284" w:author="AbbVie1" w:date="2025-05-13T09:50:00Z"/>
        </w:rPr>
      </w:pPr>
      <w:del w:id="8285" w:author="AbbVie1" w:date="2025-05-13T09:50:00Z">
        <w:r w:rsidRPr="001B4A02">
          <w:delText>Balení:</w:delText>
        </w:r>
      </w:del>
    </w:p>
    <w:p w14:paraId="3EEF33AF" w14:textId="77777777" w:rsidR="00073F8F" w:rsidRPr="001B4A02" w:rsidRDefault="00000000" w:rsidP="00ED48A3">
      <w:pPr>
        <w:numPr>
          <w:ilvl w:val="0"/>
          <w:numId w:val="28"/>
        </w:numPr>
        <w:tabs>
          <w:tab w:val="clear" w:pos="720"/>
          <w:tab w:val="num" w:pos="540"/>
        </w:tabs>
        <w:ind w:left="567" w:hanging="567"/>
        <w:rPr>
          <w:del w:id="8286" w:author="AbbVie1" w:date="2025-05-13T09:50:00Z"/>
        </w:rPr>
      </w:pPr>
      <w:del w:id="8287" w:author="AbbVie1" w:date="2025-05-13T09:50:00Z">
        <w:r w:rsidRPr="001B4A02">
          <w:delText>1 předplněná injekční stříkačka (0,8 ml sterilního roztoku) s 1 tampónem napuštěným alkoholem, v blistru.</w:delText>
        </w:r>
      </w:del>
    </w:p>
    <w:p w14:paraId="799EA919" w14:textId="77777777" w:rsidR="00073F8F" w:rsidRPr="001B4A02" w:rsidRDefault="00000000" w:rsidP="00ED48A3">
      <w:pPr>
        <w:pStyle w:val="EndnoteText"/>
        <w:numPr>
          <w:ilvl w:val="0"/>
          <w:numId w:val="28"/>
        </w:numPr>
        <w:tabs>
          <w:tab w:val="clear" w:pos="720"/>
          <w:tab w:val="num" w:pos="540"/>
        </w:tabs>
        <w:ind w:left="567" w:hanging="567"/>
        <w:rPr>
          <w:del w:id="8288" w:author="AbbVie1" w:date="2025-05-13T09:50:00Z"/>
          <w:lang w:val="cs-CZ"/>
        </w:rPr>
      </w:pPr>
      <w:del w:id="8289" w:author="AbbVie1" w:date="2025-05-13T09:50:00Z">
        <w:r w:rsidRPr="001B4A02">
          <w:rPr>
            <w:lang w:val="cs-CZ"/>
          </w:rPr>
          <w:delText>2 předplněné injekční stříkačky (0,8 ml sterilního roztoku), každá s 1 tampónem napuštěným alkoholem, v blistru.</w:delText>
        </w:r>
      </w:del>
    </w:p>
    <w:p w14:paraId="56CA0CD5" w14:textId="77777777" w:rsidR="00073F8F" w:rsidRPr="001B4A02" w:rsidRDefault="00000000" w:rsidP="00ED48A3">
      <w:pPr>
        <w:numPr>
          <w:ilvl w:val="0"/>
          <w:numId w:val="28"/>
        </w:numPr>
        <w:tabs>
          <w:tab w:val="clear" w:pos="720"/>
          <w:tab w:val="num" w:pos="540"/>
        </w:tabs>
        <w:ind w:left="567" w:hanging="567"/>
        <w:rPr>
          <w:del w:id="8290" w:author="AbbVie1" w:date="2025-05-13T09:50:00Z"/>
        </w:rPr>
      </w:pPr>
      <w:del w:id="8291" w:author="AbbVie1" w:date="2025-05-13T09:50:00Z">
        <w:r w:rsidRPr="001B4A02">
          <w:delText>4 předplněné injekční stříkačky (0,8 ml sterilního roztoku), každá s 1 tampónem napuštěným alkoholem, v blistru.</w:delText>
        </w:r>
      </w:del>
    </w:p>
    <w:p w14:paraId="205B1ED3" w14:textId="77777777" w:rsidR="00073F8F" w:rsidRPr="001B4A02" w:rsidRDefault="00000000" w:rsidP="00ED48A3">
      <w:pPr>
        <w:numPr>
          <w:ilvl w:val="0"/>
          <w:numId w:val="28"/>
        </w:numPr>
        <w:tabs>
          <w:tab w:val="clear" w:pos="720"/>
          <w:tab w:val="num" w:pos="540"/>
        </w:tabs>
        <w:ind w:left="567" w:hanging="567"/>
        <w:rPr>
          <w:del w:id="8292" w:author="AbbVie1" w:date="2025-05-13T09:50:00Z"/>
        </w:rPr>
      </w:pPr>
      <w:del w:id="8293" w:author="AbbVie1" w:date="2025-05-13T09:50:00Z">
        <w:r w:rsidRPr="001B4A02">
          <w:delText>6 předplněných injekčních stříkaček (0,8 ml sterilního roztoku), každá s 1 tampónem napuštěným alkoholem, v blistru.</w:delText>
        </w:r>
      </w:del>
    </w:p>
    <w:p w14:paraId="62BA3727" w14:textId="77777777" w:rsidR="00073F8F" w:rsidRPr="001B4A02" w:rsidRDefault="00073F8F" w:rsidP="00ED48A3">
      <w:pPr>
        <w:ind w:left="0" w:firstLine="0"/>
        <w:rPr>
          <w:del w:id="8294" w:author="AbbVie1" w:date="2025-05-13T09:50:00Z"/>
        </w:rPr>
      </w:pPr>
    </w:p>
    <w:p w14:paraId="1CE2BD58" w14:textId="77777777" w:rsidR="00181ED8" w:rsidRPr="001B4A02" w:rsidRDefault="00000000" w:rsidP="00D427E8">
      <w:pPr>
        <w:keepNext/>
        <w:ind w:left="0" w:firstLine="0"/>
        <w:rPr>
          <w:del w:id="8295" w:author="AbbVie1" w:date="2025-05-13T09:50:00Z"/>
        </w:rPr>
      </w:pPr>
      <w:del w:id="8296" w:author="AbbVie1" w:date="2025-05-13T09:50:00Z">
        <w:r w:rsidRPr="001B4A02">
          <w:rPr>
            <w:u w:val="single"/>
          </w:rPr>
          <w:delText>Humira 40 mg injekční roztok v předplněné injekční stříkačce s ochranným krytem jehly</w:delText>
        </w:r>
      </w:del>
    </w:p>
    <w:p w14:paraId="41869B35" w14:textId="77777777" w:rsidR="00181ED8" w:rsidRPr="001B4A02" w:rsidRDefault="00000000" w:rsidP="00D427E8">
      <w:pPr>
        <w:ind w:left="0" w:firstLine="0"/>
        <w:rPr>
          <w:del w:id="8297" w:author="AbbVie1" w:date="2025-05-13T09:50:00Z"/>
        </w:rPr>
      </w:pPr>
      <w:del w:id="8298" w:author="AbbVie1" w:date="2025-05-13T09:50:00Z">
        <w:r w:rsidRPr="001B4A02">
          <w:delText xml:space="preserve">Humira 40 mg injekční roztok v předplněné injekční stříkačce na jedno použití (injekční stříkačka ze skla </w:delText>
        </w:r>
        <w:r w:rsidR="007E3412">
          <w:delText>třídy</w:delText>
        </w:r>
        <w:r w:rsidRPr="001B4A02">
          <w:delText xml:space="preserve"> I) s ochranným krytem jehly pro použití v nemocničních</w:delText>
        </w:r>
        <w:r w:rsidR="002378E0">
          <w:delText xml:space="preserve"> a </w:delText>
        </w:r>
        <w:r w:rsidRPr="001B4A02">
          <w:delText xml:space="preserve">zdravotnických zařízeních. Stříkačka je vyrobena ze skla </w:delText>
        </w:r>
        <w:r w:rsidR="007E3412">
          <w:delText>třídy</w:delText>
        </w:r>
        <w:r w:rsidRPr="001B4A02">
          <w:delText xml:space="preserve"> I</w:delText>
        </w:r>
        <w:r w:rsidR="002378E0">
          <w:delText xml:space="preserve"> a </w:delText>
        </w:r>
        <w:r w:rsidRPr="001B4A02">
          <w:delText xml:space="preserve">dále obsahuje píst (bromobutylová </w:delText>
        </w:r>
        <w:r w:rsidR="006E04F0" w:rsidRPr="001B4A02">
          <w:delText>pryž</w:delText>
        </w:r>
        <w:r w:rsidRPr="001B4A02">
          <w:delText>)</w:delText>
        </w:r>
        <w:r w:rsidR="002378E0">
          <w:delText xml:space="preserve"> a </w:delText>
        </w:r>
        <w:r w:rsidRPr="001B4A02">
          <w:delText>jehlu s krytem (termoplastický elastomer).</w:delText>
        </w:r>
      </w:del>
    </w:p>
    <w:p w14:paraId="63FD099B" w14:textId="77777777" w:rsidR="00181ED8" w:rsidRPr="001B4A02" w:rsidRDefault="00181ED8" w:rsidP="00D427E8">
      <w:pPr>
        <w:ind w:left="0" w:firstLine="0"/>
        <w:rPr>
          <w:del w:id="8299" w:author="AbbVie1" w:date="2025-05-13T09:50:00Z"/>
        </w:rPr>
      </w:pPr>
    </w:p>
    <w:p w14:paraId="7D6678D7" w14:textId="77777777" w:rsidR="00181ED8" w:rsidRPr="001B4A02" w:rsidRDefault="00000000" w:rsidP="00CE5DAE">
      <w:pPr>
        <w:keepNext/>
        <w:ind w:left="0" w:firstLine="0"/>
        <w:rPr>
          <w:del w:id="8300" w:author="AbbVie1" w:date="2025-05-13T09:50:00Z"/>
        </w:rPr>
      </w:pPr>
      <w:del w:id="8301" w:author="AbbVie1" w:date="2025-05-13T09:50:00Z">
        <w:r w:rsidRPr="001B4A02">
          <w:delText>Balení:</w:delText>
        </w:r>
      </w:del>
    </w:p>
    <w:p w14:paraId="5F36C1C5" w14:textId="77777777" w:rsidR="00181ED8" w:rsidRPr="001B4A02" w:rsidRDefault="00000000" w:rsidP="00D427E8">
      <w:pPr>
        <w:ind w:left="0" w:firstLine="0"/>
        <w:rPr>
          <w:del w:id="8302" w:author="AbbVie1" w:date="2025-05-13T09:50:00Z"/>
        </w:rPr>
      </w:pPr>
      <w:del w:id="8303" w:author="AbbVie1" w:date="2025-05-13T09:50:00Z">
        <w:r w:rsidRPr="001B4A02">
          <w:delText>1 předplněná injekční stříkačka s ochranným krytem jehly (0,8 ml sterilního roztoku) v blistru</w:delText>
        </w:r>
        <w:r w:rsidR="002378E0">
          <w:delText xml:space="preserve"> a </w:delText>
        </w:r>
        <w:r w:rsidRPr="001B4A02">
          <w:delText>1 tampón napuštěný alkoholem.</w:delText>
        </w:r>
      </w:del>
    </w:p>
    <w:p w14:paraId="52B49189" w14:textId="77777777" w:rsidR="00181ED8" w:rsidRPr="001B4A02" w:rsidRDefault="00181ED8" w:rsidP="00D427E8">
      <w:pPr>
        <w:ind w:left="0" w:firstLine="0"/>
        <w:rPr>
          <w:del w:id="8304" w:author="AbbVie1" w:date="2025-05-13T09:50:00Z"/>
        </w:rPr>
      </w:pPr>
    </w:p>
    <w:p w14:paraId="74400EFB" w14:textId="77777777" w:rsidR="00181ED8" w:rsidRPr="001B4A02" w:rsidRDefault="00000000" w:rsidP="00CE5DAE">
      <w:pPr>
        <w:keepNext/>
        <w:ind w:left="0" w:firstLine="0"/>
        <w:rPr>
          <w:del w:id="8305" w:author="AbbVie1" w:date="2025-05-13T09:50:00Z"/>
          <w:u w:val="single"/>
        </w:rPr>
      </w:pPr>
      <w:del w:id="8306" w:author="AbbVie1" w:date="2025-05-13T09:50:00Z">
        <w:r w:rsidRPr="001B4A02">
          <w:rPr>
            <w:u w:val="single"/>
          </w:rPr>
          <w:delText>Humira 40 mg injekční roztok v předplněném peru</w:delText>
        </w:r>
      </w:del>
    </w:p>
    <w:p w14:paraId="588BA7B2" w14:textId="77777777" w:rsidR="00181ED8" w:rsidRPr="001B4A02" w:rsidRDefault="00000000" w:rsidP="00D427E8">
      <w:pPr>
        <w:ind w:left="0" w:firstLine="0"/>
        <w:rPr>
          <w:del w:id="8307" w:author="AbbVie1" w:date="2025-05-13T09:50:00Z"/>
        </w:rPr>
      </w:pPr>
      <w:del w:id="8308" w:author="AbbVie1" w:date="2025-05-13T09:50:00Z">
        <w:r w:rsidRPr="001B4A02">
          <w:delText xml:space="preserve">Humira 40 mg injekční roztok v předplněném peru na jedno použití, určeném pro použití pacientem, uvnitř kterého se nachází předplněná injekční stříkačka. Stříkačka uvnitř pera je vyrobena ze skla </w:delText>
        </w:r>
        <w:r w:rsidR="00B07F2E">
          <w:delText>třídy I</w:delText>
        </w:r>
        <w:r w:rsidR="002378E0">
          <w:delText xml:space="preserve"> a </w:delText>
        </w:r>
        <w:r w:rsidRPr="001B4A02">
          <w:delText xml:space="preserve">dále obsahuje píst (bromobutylová </w:delText>
        </w:r>
        <w:r w:rsidR="006E04F0" w:rsidRPr="001B4A02">
          <w:delText>pryž</w:delText>
        </w:r>
        <w:r w:rsidRPr="001B4A02">
          <w:delText>), jehlu</w:delText>
        </w:r>
        <w:r w:rsidR="002378E0">
          <w:delText xml:space="preserve"> a </w:delText>
        </w:r>
        <w:r w:rsidRPr="001B4A02">
          <w:delText>kryt jehly (termoplastický elastomer).</w:delText>
        </w:r>
      </w:del>
    </w:p>
    <w:p w14:paraId="00AD42E4" w14:textId="77777777" w:rsidR="00181ED8" w:rsidRPr="001B4A02" w:rsidRDefault="00181ED8" w:rsidP="00D427E8">
      <w:pPr>
        <w:ind w:left="0" w:firstLine="0"/>
        <w:rPr>
          <w:del w:id="8309" w:author="AbbVie1" w:date="2025-05-13T09:50:00Z"/>
        </w:rPr>
      </w:pPr>
    </w:p>
    <w:p w14:paraId="11EBD589" w14:textId="77777777" w:rsidR="00181ED8" w:rsidRPr="001B4A02" w:rsidRDefault="00000000" w:rsidP="00CE5DAE">
      <w:pPr>
        <w:keepNext/>
        <w:ind w:left="0" w:firstLine="0"/>
        <w:rPr>
          <w:del w:id="8310" w:author="AbbVie1" w:date="2025-05-13T09:50:00Z"/>
        </w:rPr>
      </w:pPr>
      <w:del w:id="8311" w:author="AbbVie1" w:date="2025-05-13T09:50:00Z">
        <w:r w:rsidRPr="001B4A02">
          <w:delText>Balení:</w:delText>
        </w:r>
      </w:del>
    </w:p>
    <w:p w14:paraId="1F6B9ECC" w14:textId="77777777" w:rsidR="00181ED8" w:rsidRPr="001B4A02" w:rsidRDefault="00000000" w:rsidP="00D427E8">
      <w:pPr>
        <w:numPr>
          <w:ilvl w:val="0"/>
          <w:numId w:val="28"/>
        </w:numPr>
        <w:tabs>
          <w:tab w:val="clear" w:pos="720"/>
          <w:tab w:val="num" w:pos="540"/>
        </w:tabs>
        <w:ind w:left="567" w:hanging="567"/>
        <w:rPr>
          <w:del w:id="8312" w:author="AbbVie1" w:date="2025-05-13T09:50:00Z"/>
        </w:rPr>
      </w:pPr>
      <w:del w:id="8313" w:author="AbbVie1" w:date="2025-05-13T09:50:00Z">
        <w:r w:rsidRPr="001B4A02">
          <w:delText>1 předplněné pero (0,8</w:delText>
        </w:r>
        <w:r w:rsidR="00443CD1" w:rsidRPr="001B4A02">
          <w:delText> </w:delText>
        </w:r>
        <w:r w:rsidRPr="001B4A02">
          <w:delText>ml sterilního roztoku) se 2 tampóny napuštěnými alkoholem, vše v blistru.</w:delText>
        </w:r>
      </w:del>
    </w:p>
    <w:p w14:paraId="7EB7B5A9" w14:textId="77777777" w:rsidR="00181ED8" w:rsidRPr="001B4A02" w:rsidRDefault="00000000" w:rsidP="00D427E8">
      <w:pPr>
        <w:pStyle w:val="EndnoteText"/>
        <w:numPr>
          <w:ilvl w:val="0"/>
          <w:numId w:val="28"/>
        </w:numPr>
        <w:tabs>
          <w:tab w:val="clear" w:pos="720"/>
          <w:tab w:val="num" w:pos="540"/>
        </w:tabs>
        <w:ind w:left="567" w:hanging="567"/>
        <w:rPr>
          <w:del w:id="8314" w:author="AbbVie1" w:date="2025-05-13T09:50:00Z"/>
          <w:lang w:val="cs-CZ"/>
        </w:rPr>
      </w:pPr>
      <w:del w:id="8315" w:author="AbbVie1" w:date="2025-05-13T09:50:00Z">
        <w:r w:rsidRPr="001B4A02">
          <w:rPr>
            <w:lang w:val="cs-CZ"/>
          </w:rPr>
          <w:delText>2 předplněná pera (0,8</w:delText>
        </w:r>
        <w:r w:rsidR="00443CD1" w:rsidRPr="001B4A02">
          <w:delText> </w:delText>
        </w:r>
        <w:r w:rsidRPr="001B4A02">
          <w:rPr>
            <w:lang w:val="cs-CZ"/>
          </w:rPr>
          <w:delText>ml sterilního roztoku), každé s 1 tampónem napuštěným alkoholem, vše v blistru.</w:delText>
        </w:r>
      </w:del>
    </w:p>
    <w:p w14:paraId="68C109C4" w14:textId="77777777" w:rsidR="00181ED8" w:rsidRPr="001B4A02" w:rsidRDefault="00000000" w:rsidP="00D427E8">
      <w:pPr>
        <w:numPr>
          <w:ilvl w:val="0"/>
          <w:numId w:val="28"/>
        </w:numPr>
        <w:tabs>
          <w:tab w:val="clear" w:pos="720"/>
          <w:tab w:val="num" w:pos="540"/>
        </w:tabs>
        <w:ind w:left="567" w:hanging="567"/>
        <w:rPr>
          <w:del w:id="8316" w:author="AbbVie1" w:date="2025-05-13T09:50:00Z"/>
        </w:rPr>
      </w:pPr>
      <w:del w:id="8317" w:author="AbbVie1" w:date="2025-05-13T09:50:00Z">
        <w:r w:rsidRPr="001B4A02">
          <w:delText>4 předplněná pera (0,8</w:delText>
        </w:r>
        <w:r w:rsidR="00443CD1" w:rsidRPr="001B4A02">
          <w:delText> </w:delText>
        </w:r>
        <w:r w:rsidRPr="001B4A02">
          <w:delText>ml sterilního roztoku), každé s 1 tampónem napuštěným alkoholem, vše v blistru.</w:delText>
        </w:r>
      </w:del>
    </w:p>
    <w:p w14:paraId="50A0A60E" w14:textId="77777777" w:rsidR="00181ED8" w:rsidRPr="001B4A02" w:rsidRDefault="00000000" w:rsidP="00D427E8">
      <w:pPr>
        <w:numPr>
          <w:ilvl w:val="0"/>
          <w:numId w:val="28"/>
        </w:numPr>
        <w:tabs>
          <w:tab w:val="clear" w:pos="720"/>
          <w:tab w:val="num" w:pos="540"/>
        </w:tabs>
        <w:ind w:left="567" w:hanging="567"/>
        <w:rPr>
          <w:del w:id="8318" w:author="AbbVie1" w:date="2025-05-13T09:50:00Z"/>
        </w:rPr>
      </w:pPr>
      <w:del w:id="8319" w:author="AbbVie1" w:date="2025-05-13T09:50:00Z">
        <w:r w:rsidRPr="001B4A02">
          <w:delText>6 předplněných per (0,8</w:delText>
        </w:r>
        <w:r w:rsidR="00443CD1" w:rsidRPr="001B4A02">
          <w:delText> </w:delText>
        </w:r>
        <w:r w:rsidRPr="001B4A02">
          <w:delText>ml sterilního roztoku), každé s 1 tampónem napuštěným alkoholem, vše v blistru.</w:delText>
        </w:r>
      </w:del>
    </w:p>
    <w:p w14:paraId="3E0F389C" w14:textId="77777777" w:rsidR="00181ED8" w:rsidRPr="001B4A02" w:rsidRDefault="00181ED8" w:rsidP="00D427E8">
      <w:pPr>
        <w:ind w:left="0" w:firstLine="0"/>
        <w:rPr>
          <w:del w:id="8320" w:author="AbbVie1" w:date="2025-05-13T09:50:00Z"/>
        </w:rPr>
      </w:pPr>
    </w:p>
    <w:p w14:paraId="68FB841F" w14:textId="77777777" w:rsidR="00073F8F" w:rsidRPr="001B4A02" w:rsidRDefault="00000000" w:rsidP="00D427E8">
      <w:pPr>
        <w:ind w:left="0" w:firstLine="0"/>
        <w:rPr>
          <w:del w:id="8321" w:author="AbbVie1" w:date="2025-05-13T09:50:00Z"/>
        </w:rPr>
      </w:pPr>
      <w:del w:id="8322" w:author="AbbVie1" w:date="2025-05-13T09:50:00Z">
        <w:r w:rsidRPr="001B4A02">
          <w:delText>Na trhu nemusí být všechny velikosti balení.</w:delText>
        </w:r>
      </w:del>
    </w:p>
    <w:p w14:paraId="14089618" w14:textId="77777777" w:rsidR="00073F8F" w:rsidRPr="001B4A02" w:rsidRDefault="00073F8F" w:rsidP="00D427E8">
      <w:pPr>
        <w:ind w:left="0" w:firstLine="0"/>
        <w:rPr>
          <w:del w:id="8323" w:author="AbbVie1" w:date="2025-05-13T09:50:00Z"/>
        </w:rPr>
      </w:pPr>
    </w:p>
    <w:p w14:paraId="2872E1B9" w14:textId="77777777" w:rsidR="00073F8F" w:rsidRPr="001B4A02" w:rsidRDefault="00000000" w:rsidP="003E092A">
      <w:pPr>
        <w:keepNext/>
        <w:ind w:left="0" w:firstLine="0"/>
        <w:outlineLvl w:val="1"/>
        <w:rPr>
          <w:del w:id="8324" w:author="AbbVie1" w:date="2025-05-13T09:50:00Z"/>
          <w:b/>
        </w:rPr>
      </w:pPr>
      <w:del w:id="8325" w:author="AbbVie1" w:date="2025-05-13T09:50:00Z">
        <w:r>
          <w:rPr>
            <w:b/>
          </w:rPr>
          <w:delText>6.6</w:delText>
        </w:r>
        <w:r>
          <w:rPr>
            <w:b/>
          </w:rPr>
          <w:tab/>
        </w:r>
        <w:r w:rsidRPr="001B4A02">
          <w:rPr>
            <w:b/>
          </w:rPr>
          <w:delText>Zvláštní opatření pro likvidaci přípravku</w:delText>
        </w:r>
      </w:del>
    </w:p>
    <w:p w14:paraId="5A4A493A" w14:textId="77777777" w:rsidR="00073F8F" w:rsidRPr="001B4A02" w:rsidRDefault="00073F8F" w:rsidP="00CE5DAE">
      <w:pPr>
        <w:keepNext/>
        <w:ind w:left="0" w:firstLine="0"/>
        <w:rPr>
          <w:del w:id="8326" w:author="AbbVie1" w:date="2025-05-13T09:50:00Z"/>
        </w:rPr>
      </w:pPr>
    </w:p>
    <w:p w14:paraId="6EE819CC" w14:textId="77777777" w:rsidR="00073F8F" w:rsidRPr="001B4A02" w:rsidRDefault="00000000" w:rsidP="00ED48A3">
      <w:pPr>
        <w:ind w:left="0" w:firstLine="0"/>
        <w:rPr>
          <w:del w:id="8327" w:author="AbbVie1" w:date="2025-05-13T09:50:00Z"/>
        </w:rPr>
      </w:pPr>
      <w:del w:id="8328" w:author="AbbVie1" w:date="2025-05-13T09:50:00Z">
        <w:r w:rsidRPr="001B4A02">
          <w:delText>Všechen nepoužitý přípravek nebo odpadní materiál musí být zlikvidován v souladu s místními požadavky.</w:delText>
        </w:r>
      </w:del>
    </w:p>
    <w:p w14:paraId="59329E3F" w14:textId="77777777" w:rsidR="00073F8F" w:rsidRPr="001B4A02" w:rsidRDefault="00073F8F" w:rsidP="00ED48A3">
      <w:pPr>
        <w:ind w:left="0" w:firstLine="0"/>
        <w:rPr>
          <w:del w:id="8329" w:author="AbbVie1" w:date="2025-05-13T09:50:00Z"/>
        </w:rPr>
      </w:pPr>
    </w:p>
    <w:p w14:paraId="05EDA989" w14:textId="77777777" w:rsidR="00073F8F" w:rsidRPr="001B4A02" w:rsidRDefault="00073F8F" w:rsidP="00ED48A3">
      <w:pPr>
        <w:ind w:left="0" w:firstLine="0"/>
        <w:rPr>
          <w:del w:id="8330" w:author="AbbVie1" w:date="2025-05-13T09:50:00Z"/>
        </w:rPr>
      </w:pPr>
    </w:p>
    <w:p w14:paraId="098DADA9" w14:textId="77777777" w:rsidR="00073F8F" w:rsidRPr="001B4A02" w:rsidRDefault="00000000" w:rsidP="003E092A">
      <w:pPr>
        <w:keepNext/>
        <w:outlineLvl w:val="0"/>
        <w:rPr>
          <w:del w:id="8331" w:author="AbbVie1" w:date="2025-05-13T09:50:00Z"/>
          <w:b/>
        </w:rPr>
      </w:pPr>
      <w:del w:id="8332" w:author="AbbVie1" w:date="2025-05-13T09:50:00Z">
        <w:r w:rsidRPr="001B4A02">
          <w:rPr>
            <w:b/>
          </w:rPr>
          <w:delText>7.</w:delText>
        </w:r>
        <w:r w:rsidRPr="001B4A02">
          <w:rPr>
            <w:b/>
          </w:rPr>
          <w:tab/>
          <w:delText>DRŽITEL ROZHODNUTÍ O REGISTRACI</w:delText>
        </w:r>
      </w:del>
    </w:p>
    <w:p w14:paraId="1B4BEB69" w14:textId="77777777" w:rsidR="00073F8F" w:rsidRPr="001B4A02" w:rsidRDefault="00073F8F" w:rsidP="00ED48A3">
      <w:pPr>
        <w:keepNext/>
        <w:ind w:left="0" w:firstLine="0"/>
        <w:rPr>
          <w:del w:id="8333" w:author="AbbVie1" w:date="2025-05-13T09:50:00Z"/>
        </w:rPr>
      </w:pPr>
    </w:p>
    <w:p w14:paraId="4A92EBC4" w14:textId="77777777" w:rsidR="00556E01" w:rsidRPr="001B4A02" w:rsidRDefault="00000000" w:rsidP="00556E01">
      <w:pPr>
        <w:keepNext/>
        <w:autoSpaceDE w:val="0"/>
        <w:autoSpaceDN w:val="0"/>
        <w:adjustRightInd w:val="0"/>
        <w:spacing w:line="240" w:lineRule="atLeast"/>
        <w:rPr>
          <w:del w:id="8334" w:author="AbbVie1" w:date="2025-05-13T09:50:00Z"/>
          <w:szCs w:val="22"/>
          <w:lang w:eastAsia="en-GB"/>
        </w:rPr>
      </w:pPr>
      <w:del w:id="8335" w:author="AbbVie1" w:date="2025-05-13T09:50:00Z">
        <w:r w:rsidRPr="001B4A02">
          <w:rPr>
            <w:szCs w:val="22"/>
            <w:lang w:eastAsia="en-GB"/>
          </w:rPr>
          <w:delText>AbbVie Deutschland GmbH &amp; Co. KG</w:delText>
        </w:r>
      </w:del>
    </w:p>
    <w:p w14:paraId="016BA921" w14:textId="77777777" w:rsidR="00556E01" w:rsidRPr="001B4A02" w:rsidRDefault="00000000" w:rsidP="00556E01">
      <w:pPr>
        <w:keepNext/>
        <w:autoSpaceDE w:val="0"/>
        <w:autoSpaceDN w:val="0"/>
        <w:adjustRightInd w:val="0"/>
        <w:spacing w:line="240" w:lineRule="atLeast"/>
        <w:rPr>
          <w:del w:id="8336" w:author="AbbVie1" w:date="2025-05-13T09:50:00Z"/>
          <w:szCs w:val="22"/>
          <w:lang w:eastAsia="en-GB"/>
        </w:rPr>
      </w:pPr>
      <w:del w:id="8337" w:author="AbbVie1" w:date="2025-05-13T09:50:00Z">
        <w:r w:rsidRPr="001B4A02">
          <w:rPr>
            <w:szCs w:val="22"/>
            <w:lang w:eastAsia="en-GB"/>
          </w:rPr>
          <w:delText>Knollstrasse</w:delText>
        </w:r>
      </w:del>
    </w:p>
    <w:p w14:paraId="1A44122F" w14:textId="77777777" w:rsidR="00556E01" w:rsidRPr="001B4A02" w:rsidRDefault="00000000" w:rsidP="00556E01">
      <w:pPr>
        <w:keepNext/>
        <w:autoSpaceDE w:val="0"/>
        <w:autoSpaceDN w:val="0"/>
        <w:adjustRightInd w:val="0"/>
        <w:spacing w:line="240" w:lineRule="atLeast"/>
        <w:rPr>
          <w:del w:id="8338" w:author="AbbVie1" w:date="2025-05-13T09:50:00Z"/>
          <w:szCs w:val="22"/>
          <w:lang w:eastAsia="en-GB"/>
        </w:rPr>
      </w:pPr>
      <w:del w:id="8339" w:author="AbbVie1" w:date="2025-05-13T09:50:00Z">
        <w:r w:rsidRPr="001B4A02">
          <w:rPr>
            <w:szCs w:val="22"/>
            <w:lang w:eastAsia="en-GB"/>
          </w:rPr>
          <w:delText>67061 Ludwigshafen</w:delText>
        </w:r>
      </w:del>
    </w:p>
    <w:p w14:paraId="407A5B95" w14:textId="77777777" w:rsidR="00073F8F" w:rsidRPr="001B4A02" w:rsidRDefault="00000000" w:rsidP="00AC111A">
      <w:pPr>
        <w:ind w:left="0" w:firstLine="0"/>
        <w:rPr>
          <w:del w:id="8340" w:author="AbbVie1" w:date="2025-05-13T09:50:00Z"/>
        </w:rPr>
      </w:pPr>
      <w:del w:id="8341" w:author="AbbVie1" w:date="2025-05-13T09:50:00Z">
        <w:r w:rsidRPr="001B4A02">
          <w:rPr>
            <w:szCs w:val="22"/>
            <w:lang w:eastAsia="en-GB"/>
          </w:rPr>
          <w:delText>Německo</w:delText>
        </w:r>
      </w:del>
    </w:p>
    <w:p w14:paraId="3118458C" w14:textId="77777777" w:rsidR="00073F8F" w:rsidRPr="001B4A02" w:rsidRDefault="00073F8F" w:rsidP="00ED48A3">
      <w:pPr>
        <w:ind w:left="0" w:firstLine="0"/>
        <w:rPr>
          <w:del w:id="8342" w:author="AbbVie1" w:date="2025-05-13T09:50:00Z"/>
        </w:rPr>
      </w:pPr>
    </w:p>
    <w:p w14:paraId="0B30E8ED" w14:textId="77777777" w:rsidR="001E77C0" w:rsidRPr="001B4A02" w:rsidRDefault="001E77C0" w:rsidP="00ED48A3">
      <w:pPr>
        <w:ind w:left="0" w:firstLine="0"/>
        <w:rPr>
          <w:del w:id="8343" w:author="AbbVie1" w:date="2025-05-13T09:50:00Z"/>
        </w:rPr>
      </w:pPr>
    </w:p>
    <w:p w14:paraId="6E647023" w14:textId="77777777" w:rsidR="00073F8F" w:rsidRPr="001B4A02" w:rsidRDefault="00000000" w:rsidP="003E092A">
      <w:pPr>
        <w:keepNext/>
        <w:outlineLvl w:val="0"/>
        <w:rPr>
          <w:del w:id="8344" w:author="AbbVie1" w:date="2025-05-13T09:50:00Z"/>
          <w:b/>
        </w:rPr>
      </w:pPr>
      <w:del w:id="8345" w:author="AbbVie1" w:date="2025-05-13T09:50:00Z">
        <w:r w:rsidRPr="001B4A02">
          <w:rPr>
            <w:b/>
          </w:rPr>
          <w:delText>8.</w:delText>
        </w:r>
        <w:r w:rsidRPr="001B4A02">
          <w:rPr>
            <w:b/>
          </w:rPr>
          <w:tab/>
          <w:delText>REGISTRAČNÍ ČÍSL</w:delText>
        </w:r>
        <w:r w:rsidR="00A90937" w:rsidRPr="001B4A02">
          <w:rPr>
            <w:b/>
          </w:rPr>
          <w:delText>A</w:delText>
        </w:r>
      </w:del>
    </w:p>
    <w:p w14:paraId="1E2ED6B8" w14:textId="77777777" w:rsidR="00073F8F" w:rsidRPr="001B4A02" w:rsidRDefault="00073F8F" w:rsidP="00CE5DAE">
      <w:pPr>
        <w:keepNext/>
        <w:ind w:left="0" w:firstLine="0"/>
        <w:rPr>
          <w:del w:id="8346" w:author="AbbVie1" w:date="2025-05-13T09:50:00Z"/>
        </w:rPr>
      </w:pPr>
    </w:p>
    <w:p w14:paraId="05F008D2" w14:textId="77777777" w:rsidR="00181ED8" w:rsidRPr="001B4A02" w:rsidRDefault="00000000" w:rsidP="00CE5DAE">
      <w:pPr>
        <w:keepNext/>
        <w:ind w:left="0" w:firstLine="0"/>
        <w:rPr>
          <w:del w:id="8347" w:author="AbbVie1" w:date="2025-05-13T09:50:00Z"/>
          <w:u w:val="single"/>
        </w:rPr>
      </w:pPr>
      <w:del w:id="8348" w:author="AbbVie1" w:date="2025-05-13T09:50:00Z">
        <w:r w:rsidRPr="001B4A02">
          <w:rPr>
            <w:u w:val="single"/>
          </w:rPr>
          <w:delText>Humira 40 mg injekční roztok v předplněné injekční stříkačce</w:delText>
        </w:r>
      </w:del>
    </w:p>
    <w:p w14:paraId="648F07B3" w14:textId="77777777" w:rsidR="00181ED8" w:rsidRPr="001B4A02" w:rsidRDefault="00181ED8" w:rsidP="00CE5DAE">
      <w:pPr>
        <w:keepNext/>
        <w:ind w:left="0" w:firstLine="0"/>
        <w:rPr>
          <w:del w:id="8349" w:author="AbbVie1" w:date="2025-05-13T09:50:00Z"/>
          <w:bCs/>
        </w:rPr>
      </w:pPr>
    </w:p>
    <w:p w14:paraId="5E274CB2" w14:textId="77777777" w:rsidR="00073F8F" w:rsidRPr="001B4A02" w:rsidRDefault="00000000" w:rsidP="00ED48A3">
      <w:pPr>
        <w:ind w:left="0" w:firstLine="0"/>
        <w:rPr>
          <w:del w:id="8350" w:author="AbbVie1" w:date="2025-05-13T09:50:00Z"/>
          <w:bCs/>
        </w:rPr>
      </w:pPr>
      <w:del w:id="8351" w:author="AbbVie1" w:date="2025-05-13T09:50:00Z">
        <w:r w:rsidRPr="001B4A02">
          <w:rPr>
            <w:bCs/>
          </w:rPr>
          <w:delText>EU/1/03/256/002</w:delText>
        </w:r>
      </w:del>
    </w:p>
    <w:p w14:paraId="24B62D5F" w14:textId="77777777" w:rsidR="00073F8F" w:rsidRPr="001B4A02" w:rsidRDefault="00000000" w:rsidP="00ED48A3">
      <w:pPr>
        <w:ind w:left="0" w:firstLine="0"/>
        <w:rPr>
          <w:del w:id="8352" w:author="AbbVie1" w:date="2025-05-13T09:50:00Z"/>
          <w:bCs/>
        </w:rPr>
      </w:pPr>
      <w:del w:id="8353" w:author="AbbVie1" w:date="2025-05-13T09:50:00Z">
        <w:r w:rsidRPr="001B4A02">
          <w:rPr>
            <w:bCs/>
          </w:rPr>
          <w:delText>EU/1/03/256/003</w:delText>
        </w:r>
      </w:del>
    </w:p>
    <w:p w14:paraId="7BF74DC8" w14:textId="77777777" w:rsidR="00073F8F" w:rsidRPr="001B4A02" w:rsidRDefault="00000000" w:rsidP="00ED48A3">
      <w:pPr>
        <w:ind w:left="0" w:firstLine="0"/>
        <w:rPr>
          <w:del w:id="8354" w:author="AbbVie1" w:date="2025-05-13T09:50:00Z"/>
          <w:bCs/>
        </w:rPr>
      </w:pPr>
      <w:del w:id="8355" w:author="AbbVie1" w:date="2025-05-13T09:50:00Z">
        <w:r w:rsidRPr="001B4A02">
          <w:rPr>
            <w:bCs/>
          </w:rPr>
          <w:delText>EU/1/03/256/004</w:delText>
        </w:r>
      </w:del>
    </w:p>
    <w:p w14:paraId="596FDB4E" w14:textId="77777777" w:rsidR="00073F8F" w:rsidRPr="001B4A02" w:rsidRDefault="00000000" w:rsidP="00ED48A3">
      <w:pPr>
        <w:ind w:left="0" w:firstLine="0"/>
        <w:rPr>
          <w:del w:id="8356" w:author="AbbVie1" w:date="2025-05-13T09:50:00Z"/>
          <w:b/>
        </w:rPr>
      </w:pPr>
      <w:del w:id="8357" w:author="AbbVie1" w:date="2025-05-13T09:50:00Z">
        <w:r w:rsidRPr="001B4A02">
          <w:rPr>
            <w:bCs/>
          </w:rPr>
          <w:delText>EU/1/03/256/005</w:delText>
        </w:r>
      </w:del>
    </w:p>
    <w:p w14:paraId="333D1DAC" w14:textId="77777777" w:rsidR="00073F8F" w:rsidRPr="001B4A02" w:rsidRDefault="00073F8F" w:rsidP="00D427E8">
      <w:pPr>
        <w:ind w:left="0" w:firstLine="0"/>
        <w:rPr>
          <w:del w:id="8358" w:author="AbbVie1" w:date="2025-05-13T09:50:00Z"/>
        </w:rPr>
      </w:pPr>
    </w:p>
    <w:p w14:paraId="4AA81D42" w14:textId="77777777" w:rsidR="00181ED8" w:rsidRPr="001B4A02" w:rsidRDefault="00000000" w:rsidP="00D427E8">
      <w:pPr>
        <w:keepNext/>
        <w:ind w:left="0" w:firstLine="0"/>
        <w:rPr>
          <w:del w:id="8359" w:author="AbbVie1" w:date="2025-05-13T09:50:00Z"/>
        </w:rPr>
      </w:pPr>
      <w:del w:id="8360" w:author="AbbVie1" w:date="2025-05-13T09:50:00Z">
        <w:r w:rsidRPr="001B4A02">
          <w:rPr>
            <w:u w:val="single"/>
          </w:rPr>
          <w:delText>Humira 40 mg injekční roztok v předplněné injekční stříkačce s ochranným krytem jehly</w:delText>
        </w:r>
        <w:r w:rsidRPr="001B4A02">
          <w:delText xml:space="preserve"> </w:delText>
        </w:r>
      </w:del>
    </w:p>
    <w:p w14:paraId="2E775BA6" w14:textId="77777777" w:rsidR="00181ED8" w:rsidRPr="001B4A02" w:rsidRDefault="00000000" w:rsidP="00CE5DAE">
      <w:pPr>
        <w:ind w:left="0" w:firstLine="0"/>
        <w:rPr>
          <w:del w:id="8361" w:author="AbbVie1" w:date="2025-05-13T09:50:00Z"/>
          <w:b/>
        </w:rPr>
      </w:pPr>
      <w:del w:id="8362" w:author="AbbVie1" w:date="2025-05-13T09:50:00Z">
        <w:r w:rsidRPr="001B4A02">
          <w:rPr>
            <w:bCs/>
          </w:rPr>
          <w:delText>EU/1/03/256/006</w:delText>
        </w:r>
      </w:del>
    </w:p>
    <w:p w14:paraId="3403ADA5" w14:textId="77777777" w:rsidR="00181ED8" w:rsidRPr="001B4A02" w:rsidRDefault="00181ED8" w:rsidP="00D427E8">
      <w:pPr>
        <w:ind w:left="0" w:firstLine="0"/>
        <w:rPr>
          <w:del w:id="8363" w:author="AbbVie1" w:date="2025-05-13T09:50:00Z"/>
        </w:rPr>
      </w:pPr>
    </w:p>
    <w:p w14:paraId="0C297194" w14:textId="77777777" w:rsidR="00181ED8" w:rsidRPr="001B4A02" w:rsidRDefault="00000000" w:rsidP="00CE5DAE">
      <w:pPr>
        <w:keepNext/>
        <w:ind w:left="0" w:firstLine="0"/>
        <w:rPr>
          <w:del w:id="8364" w:author="AbbVie1" w:date="2025-05-13T09:50:00Z"/>
          <w:u w:val="single"/>
        </w:rPr>
      </w:pPr>
      <w:del w:id="8365" w:author="AbbVie1" w:date="2025-05-13T09:50:00Z">
        <w:r w:rsidRPr="001B4A02">
          <w:rPr>
            <w:u w:val="single"/>
          </w:rPr>
          <w:delText>Humira 40 mg injekční roztok v předplněném peru</w:delText>
        </w:r>
      </w:del>
    </w:p>
    <w:p w14:paraId="2CF6FE0D" w14:textId="77777777" w:rsidR="00181ED8" w:rsidRPr="001B4A02" w:rsidRDefault="00000000" w:rsidP="00D427E8">
      <w:pPr>
        <w:pStyle w:val="EMEANormal"/>
        <w:rPr>
          <w:del w:id="8366" w:author="AbbVie1" w:date="2025-05-13T09:50:00Z"/>
          <w:lang w:val="cs-CZ"/>
        </w:rPr>
      </w:pPr>
      <w:del w:id="8367" w:author="AbbVie1" w:date="2025-05-13T09:50:00Z">
        <w:r w:rsidRPr="001B4A02">
          <w:rPr>
            <w:lang w:val="cs-CZ"/>
          </w:rPr>
          <w:delText>EU/1/03/256/007</w:delText>
        </w:r>
      </w:del>
    </w:p>
    <w:p w14:paraId="1A7D16E9" w14:textId="77777777" w:rsidR="00181ED8" w:rsidRPr="001B4A02" w:rsidRDefault="00000000" w:rsidP="00D427E8">
      <w:pPr>
        <w:pStyle w:val="EMEANormal"/>
        <w:rPr>
          <w:del w:id="8368" w:author="AbbVie1" w:date="2025-05-13T09:50:00Z"/>
          <w:lang w:val="cs-CZ"/>
        </w:rPr>
      </w:pPr>
      <w:del w:id="8369" w:author="AbbVie1" w:date="2025-05-13T09:50:00Z">
        <w:r w:rsidRPr="001B4A02">
          <w:rPr>
            <w:lang w:val="cs-CZ"/>
          </w:rPr>
          <w:delText>EU/1/03/256/008</w:delText>
        </w:r>
      </w:del>
    </w:p>
    <w:p w14:paraId="4BE4A87C" w14:textId="77777777" w:rsidR="00181ED8" w:rsidRPr="001B4A02" w:rsidRDefault="00000000" w:rsidP="00D427E8">
      <w:pPr>
        <w:pStyle w:val="EMEANormal"/>
        <w:rPr>
          <w:del w:id="8370" w:author="AbbVie1" w:date="2025-05-13T09:50:00Z"/>
          <w:lang w:val="cs-CZ"/>
        </w:rPr>
      </w:pPr>
      <w:del w:id="8371" w:author="AbbVie1" w:date="2025-05-13T09:50:00Z">
        <w:r w:rsidRPr="001B4A02">
          <w:rPr>
            <w:lang w:val="cs-CZ"/>
          </w:rPr>
          <w:delText>EU/1/03/256/009</w:delText>
        </w:r>
      </w:del>
    </w:p>
    <w:p w14:paraId="1E206D99" w14:textId="77777777" w:rsidR="00181ED8" w:rsidRPr="001B4A02" w:rsidRDefault="00000000" w:rsidP="00D427E8">
      <w:pPr>
        <w:ind w:left="0" w:firstLine="0"/>
        <w:rPr>
          <w:del w:id="8372" w:author="AbbVie1" w:date="2025-05-13T09:50:00Z"/>
          <w:b/>
        </w:rPr>
      </w:pPr>
      <w:del w:id="8373" w:author="AbbVie1" w:date="2025-05-13T09:50:00Z">
        <w:r w:rsidRPr="001B4A02">
          <w:delText>EU/1/03/256/010</w:delText>
        </w:r>
      </w:del>
    </w:p>
    <w:p w14:paraId="5D19442C" w14:textId="77777777" w:rsidR="00181ED8" w:rsidRPr="001B4A02" w:rsidRDefault="00181ED8" w:rsidP="00D427E8">
      <w:pPr>
        <w:ind w:left="0" w:firstLine="0"/>
        <w:rPr>
          <w:del w:id="8374" w:author="AbbVie1" w:date="2025-05-13T09:50:00Z"/>
        </w:rPr>
      </w:pPr>
    </w:p>
    <w:p w14:paraId="2D5931AA" w14:textId="77777777" w:rsidR="00073F8F" w:rsidRPr="001B4A02" w:rsidRDefault="00073F8F" w:rsidP="00D427E8">
      <w:pPr>
        <w:ind w:left="0" w:firstLine="0"/>
        <w:rPr>
          <w:del w:id="8375" w:author="AbbVie1" w:date="2025-05-13T09:50:00Z"/>
        </w:rPr>
      </w:pPr>
    </w:p>
    <w:p w14:paraId="51D30CE4" w14:textId="77777777" w:rsidR="00073F8F" w:rsidRPr="001B4A02" w:rsidRDefault="00000000" w:rsidP="003E092A">
      <w:pPr>
        <w:keepNext/>
        <w:outlineLvl w:val="0"/>
        <w:rPr>
          <w:del w:id="8376" w:author="AbbVie1" w:date="2025-05-13T09:50:00Z"/>
          <w:b/>
        </w:rPr>
      </w:pPr>
      <w:del w:id="8377" w:author="AbbVie1" w:date="2025-05-13T09:50:00Z">
        <w:r w:rsidRPr="001B4A02">
          <w:rPr>
            <w:b/>
          </w:rPr>
          <w:delText>9.</w:delText>
        </w:r>
        <w:r w:rsidRPr="001B4A02">
          <w:rPr>
            <w:b/>
          </w:rPr>
          <w:tab/>
          <w:delText>DATUM PRVNÍ REGISTRACE/PRODLOUŽENÍ REGISTRACE</w:delText>
        </w:r>
      </w:del>
    </w:p>
    <w:p w14:paraId="28A26145" w14:textId="77777777" w:rsidR="00073F8F" w:rsidRPr="001B4A02" w:rsidRDefault="00073F8F" w:rsidP="00CE5DAE">
      <w:pPr>
        <w:keepNext/>
        <w:ind w:left="0" w:firstLine="0"/>
        <w:rPr>
          <w:del w:id="8378" w:author="AbbVie1" w:date="2025-05-13T09:50:00Z"/>
          <w:b/>
        </w:rPr>
      </w:pPr>
    </w:p>
    <w:p w14:paraId="787A50C1" w14:textId="77777777" w:rsidR="00EE3ADC" w:rsidRPr="001B4A02" w:rsidRDefault="00000000" w:rsidP="00ED48A3">
      <w:pPr>
        <w:textAlignment w:val="top"/>
        <w:rPr>
          <w:del w:id="8379" w:author="AbbVie1" w:date="2025-05-13T09:50:00Z"/>
          <w:szCs w:val="22"/>
        </w:rPr>
      </w:pPr>
      <w:del w:id="8380" w:author="AbbVie1" w:date="2025-05-13T09:50:00Z">
        <w:r w:rsidRPr="001B4A02">
          <w:rPr>
            <w:szCs w:val="22"/>
          </w:rPr>
          <w:delText>Datum první registrace: 8</w:delText>
        </w:r>
        <w:r w:rsidR="00AA283F" w:rsidRPr="001B4A02">
          <w:rPr>
            <w:szCs w:val="22"/>
          </w:rPr>
          <w:delText>.</w:delText>
        </w:r>
        <w:r w:rsidRPr="001B4A02">
          <w:rPr>
            <w:szCs w:val="22"/>
          </w:rPr>
          <w:delText xml:space="preserve"> </w:delText>
        </w:r>
        <w:r w:rsidR="00AA283F" w:rsidRPr="001B4A02">
          <w:rPr>
            <w:szCs w:val="22"/>
          </w:rPr>
          <w:delText>z</w:delText>
        </w:r>
        <w:r w:rsidRPr="001B4A02">
          <w:rPr>
            <w:rStyle w:val="hps"/>
            <w:szCs w:val="22"/>
          </w:rPr>
          <w:delText>áří 2003</w:delText>
        </w:r>
      </w:del>
    </w:p>
    <w:p w14:paraId="07790144" w14:textId="77777777" w:rsidR="00EE3ADC" w:rsidRPr="001B4A02" w:rsidRDefault="00000000" w:rsidP="00ED48A3">
      <w:pPr>
        <w:textAlignment w:val="top"/>
        <w:rPr>
          <w:del w:id="8381" w:author="AbbVie1" w:date="2025-05-13T09:50:00Z"/>
          <w:szCs w:val="22"/>
        </w:rPr>
      </w:pPr>
      <w:del w:id="8382" w:author="AbbVie1" w:date="2025-05-13T09:50:00Z">
        <w:r w:rsidRPr="001B4A02">
          <w:rPr>
            <w:szCs w:val="22"/>
          </w:rPr>
          <w:delText>Datum posledního prodloužení</w:delText>
        </w:r>
        <w:r w:rsidR="0043226A" w:rsidRPr="0043226A">
          <w:rPr>
            <w:szCs w:val="22"/>
          </w:rPr>
          <w:delText xml:space="preserve"> registrace</w:delText>
        </w:r>
        <w:r w:rsidRPr="001B4A02">
          <w:rPr>
            <w:szCs w:val="22"/>
          </w:rPr>
          <w:delText>: 8</w:delText>
        </w:r>
        <w:r w:rsidR="00AA283F" w:rsidRPr="001B4A02">
          <w:rPr>
            <w:szCs w:val="22"/>
          </w:rPr>
          <w:delText>.</w:delText>
        </w:r>
        <w:r w:rsidRPr="001B4A02">
          <w:rPr>
            <w:szCs w:val="22"/>
          </w:rPr>
          <w:delText xml:space="preserve"> </w:delText>
        </w:r>
        <w:r w:rsidR="00AA283F" w:rsidRPr="001B4A02">
          <w:rPr>
            <w:rStyle w:val="hps"/>
            <w:szCs w:val="22"/>
          </w:rPr>
          <w:delText>z</w:delText>
        </w:r>
        <w:r w:rsidRPr="001B4A02">
          <w:rPr>
            <w:rStyle w:val="hps"/>
            <w:szCs w:val="22"/>
          </w:rPr>
          <w:delText>áří 2008</w:delText>
        </w:r>
      </w:del>
    </w:p>
    <w:p w14:paraId="483238A3" w14:textId="77777777" w:rsidR="00073F8F" w:rsidRPr="001B4A02" w:rsidRDefault="00073F8F" w:rsidP="00ED48A3">
      <w:pPr>
        <w:ind w:left="0" w:firstLine="0"/>
        <w:rPr>
          <w:del w:id="8383" w:author="AbbVie1" w:date="2025-05-13T09:50:00Z"/>
        </w:rPr>
      </w:pPr>
    </w:p>
    <w:p w14:paraId="49B3A220" w14:textId="77777777" w:rsidR="00073F8F" w:rsidRPr="001B4A02" w:rsidRDefault="00073F8F" w:rsidP="00ED48A3">
      <w:pPr>
        <w:ind w:left="0" w:firstLine="0"/>
        <w:rPr>
          <w:del w:id="8384" w:author="AbbVie1" w:date="2025-05-13T09:50:00Z"/>
        </w:rPr>
      </w:pPr>
    </w:p>
    <w:p w14:paraId="0B5F8875" w14:textId="77777777" w:rsidR="00073F8F" w:rsidRPr="001B4A02" w:rsidRDefault="00000000" w:rsidP="003E092A">
      <w:pPr>
        <w:pStyle w:val="EndnoteText"/>
        <w:keepNext/>
        <w:outlineLvl w:val="0"/>
        <w:rPr>
          <w:del w:id="8385" w:author="AbbVie1" w:date="2025-05-13T09:50:00Z"/>
          <w:b/>
          <w:lang w:val="cs-CZ"/>
        </w:rPr>
      </w:pPr>
      <w:del w:id="8386" w:author="AbbVie1" w:date="2025-05-13T09:50:00Z">
        <w:r w:rsidRPr="001B4A02">
          <w:rPr>
            <w:b/>
            <w:lang w:val="cs-CZ"/>
          </w:rPr>
          <w:delText>10.</w:delText>
        </w:r>
        <w:r w:rsidRPr="001B4A02">
          <w:rPr>
            <w:b/>
            <w:lang w:val="cs-CZ"/>
          </w:rPr>
          <w:tab/>
          <w:delText>DATUM REVIZE TEXTU</w:delText>
        </w:r>
      </w:del>
    </w:p>
    <w:p w14:paraId="6B02BA62" w14:textId="77777777" w:rsidR="003D272F" w:rsidRPr="001B4A02" w:rsidRDefault="003D272F" w:rsidP="00CE5DAE">
      <w:pPr>
        <w:keepNext/>
        <w:ind w:left="0" w:firstLine="0"/>
        <w:rPr>
          <w:del w:id="8387" w:author="AbbVie1" w:date="2025-05-13T09:50:00Z"/>
        </w:rPr>
      </w:pPr>
    </w:p>
    <w:p w14:paraId="62B51F2F" w14:textId="77777777" w:rsidR="003D272F" w:rsidRPr="001B4A02" w:rsidRDefault="00000000" w:rsidP="00ED48A3">
      <w:pPr>
        <w:ind w:left="0" w:firstLine="0"/>
        <w:rPr>
          <w:del w:id="8388" w:author="AbbVie1" w:date="2025-05-13T09:50:00Z"/>
        </w:rPr>
      </w:pPr>
      <w:del w:id="8389" w:author="AbbVie1" w:date="2025-05-13T09:50:00Z">
        <w:r w:rsidRPr="001B4A02">
          <w:delText>Podrobné informace o</w:delText>
        </w:r>
        <w:r w:rsidR="00923691" w:rsidRPr="001B4A02">
          <w:delText> </w:delText>
        </w:r>
        <w:r w:rsidRPr="001B4A02">
          <w:delText>tomto léčivém přípravku jsou k dispozici na webových stránkách Evropské agentury pro léčivé přípravky http://www.ema.europa.eu</w:delText>
        </w:r>
      </w:del>
    </w:p>
    <w:p w14:paraId="597A4954" w14:textId="77777777" w:rsidR="00ED3511" w:rsidRPr="001B4A02" w:rsidRDefault="00000000" w:rsidP="00A15B7A">
      <w:pPr>
        <w:keepNext/>
        <w:outlineLvl w:val="0"/>
        <w:rPr>
          <w:b/>
        </w:rPr>
      </w:pPr>
      <w:r w:rsidRPr="001B4A02">
        <w:br w:type="page"/>
      </w:r>
      <w:r w:rsidRPr="001B4A02">
        <w:rPr>
          <w:b/>
        </w:rPr>
        <w:t>1.</w:t>
      </w:r>
      <w:r w:rsidRPr="001B4A02">
        <w:rPr>
          <w:b/>
        </w:rPr>
        <w:tab/>
        <w:t>NÁZEV PŘÍPRAVKU</w:t>
      </w:r>
    </w:p>
    <w:p w14:paraId="435C1400" w14:textId="77777777" w:rsidR="00ED3511" w:rsidRPr="001B4A02" w:rsidRDefault="00ED3511" w:rsidP="00A12A04">
      <w:pPr>
        <w:keepNext/>
        <w:ind w:left="0" w:firstLine="0"/>
      </w:pPr>
    </w:p>
    <w:p w14:paraId="3E7820D6" w14:textId="77777777" w:rsidR="00ED3511" w:rsidRPr="00DF4EAF" w:rsidRDefault="00000000" w:rsidP="00D427E8">
      <w:pPr>
        <w:ind w:left="0" w:firstLine="0"/>
      </w:pPr>
      <w:r w:rsidRPr="001B4A02">
        <w:t xml:space="preserve">Humira 40 mg injekční </w:t>
      </w:r>
      <w:r w:rsidRPr="00DF4EAF">
        <w:t>roztok v předplněné injekční stříkačce</w:t>
      </w:r>
    </w:p>
    <w:p w14:paraId="21908D9B" w14:textId="77777777" w:rsidR="00126AE9" w:rsidRPr="001B4A02" w:rsidRDefault="00000000" w:rsidP="00D427E8">
      <w:pPr>
        <w:ind w:left="0" w:firstLine="0"/>
      </w:pPr>
      <w:r w:rsidRPr="00F62725">
        <w:t>Humira 40 mg injekční roztok v předplněném peru</w:t>
      </w:r>
    </w:p>
    <w:p w14:paraId="4195414F" w14:textId="77777777" w:rsidR="00ED3511" w:rsidRPr="001B4A02" w:rsidRDefault="00ED3511" w:rsidP="00D427E8">
      <w:pPr>
        <w:ind w:left="0" w:firstLine="0"/>
      </w:pPr>
    </w:p>
    <w:p w14:paraId="15F750EA" w14:textId="77777777" w:rsidR="00ED3511" w:rsidRPr="001B4A02" w:rsidRDefault="00ED3511" w:rsidP="00D427E8">
      <w:pPr>
        <w:ind w:left="0" w:firstLine="0"/>
      </w:pPr>
    </w:p>
    <w:p w14:paraId="4BE7D2FC" w14:textId="77777777" w:rsidR="00ED3511" w:rsidRPr="001B4A02" w:rsidRDefault="00000000" w:rsidP="00A15B7A">
      <w:pPr>
        <w:keepNext/>
        <w:outlineLvl w:val="0"/>
        <w:rPr>
          <w:b/>
        </w:rPr>
      </w:pPr>
      <w:r w:rsidRPr="001B4A02">
        <w:rPr>
          <w:b/>
        </w:rPr>
        <w:t>2.</w:t>
      </w:r>
      <w:r w:rsidRPr="001B4A02">
        <w:rPr>
          <w:b/>
        </w:rPr>
        <w:tab/>
        <w:t>KVALITATIVNÍ A KVANTITATIVNÍ SLOŽENÍ</w:t>
      </w:r>
    </w:p>
    <w:p w14:paraId="1795ED4F" w14:textId="77777777" w:rsidR="00ED3511" w:rsidRPr="001B4A02" w:rsidRDefault="00ED3511" w:rsidP="00A12A04">
      <w:pPr>
        <w:keepNext/>
        <w:ind w:left="0" w:firstLine="0"/>
      </w:pPr>
    </w:p>
    <w:p w14:paraId="6DBDA86B" w14:textId="77777777" w:rsidR="00126AE9" w:rsidRPr="001B4A02" w:rsidRDefault="00000000" w:rsidP="00A12A04">
      <w:pPr>
        <w:keepNext/>
        <w:ind w:left="0" w:firstLine="0"/>
        <w:rPr>
          <w:u w:val="single"/>
        </w:rPr>
      </w:pPr>
      <w:r w:rsidRPr="001B4A02">
        <w:rPr>
          <w:u w:val="single"/>
        </w:rPr>
        <w:t>Humira 40 mg injekční roztok v předplněné injekční stříkačce</w:t>
      </w:r>
    </w:p>
    <w:p w14:paraId="1FF2FDF8" w14:textId="77777777" w:rsidR="00ED3511" w:rsidRPr="001B4A02" w:rsidRDefault="00000000" w:rsidP="00D427E8">
      <w:pPr>
        <w:ind w:left="0" w:firstLine="0"/>
      </w:pPr>
      <w:r w:rsidRPr="001B4A02">
        <w:t>Jedna předplněná injekční stříkačka na jedno použití o objemu 0,</w:t>
      </w:r>
      <w:r w:rsidR="00977D5D" w:rsidRPr="001B4A02">
        <w:t>4</w:t>
      </w:r>
      <w:r w:rsidRPr="001B4A02">
        <w:t xml:space="preserve"> ml obsahuje </w:t>
      </w:r>
      <w:del w:id="8390" w:author="Abbvie02" w:date="2025-05-16T11:20:00Z">
        <w:r w:rsidRPr="001B4A02">
          <w:delText xml:space="preserve">adalimumabum </w:delText>
        </w:r>
      </w:del>
      <w:r w:rsidRPr="001B4A02">
        <w:t>40</w:t>
      </w:r>
      <w:r w:rsidR="00790DEF" w:rsidRPr="001B4A02">
        <w:t> </w:t>
      </w:r>
      <w:r w:rsidRPr="001B4A02">
        <w:t>mg</w:t>
      </w:r>
      <w:ins w:id="8391" w:author="Abbvie02" w:date="2025-05-16T11:20:00Z">
        <w:r w:rsidR="005B1CF3" w:rsidRPr="005B1CF3">
          <w:t xml:space="preserve"> </w:t>
        </w:r>
        <w:r w:rsidR="005B1CF3" w:rsidRPr="001B4A02">
          <w:t>adalimumabu</w:t>
        </w:r>
      </w:ins>
      <w:r w:rsidRPr="001B4A02">
        <w:t>.</w:t>
      </w:r>
    </w:p>
    <w:p w14:paraId="4805D88D" w14:textId="77777777" w:rsidR="00AC2B34" w:rsidRDefault="00AC2B34" w:rsidP="00D427E8">
      <w:pPr>
        <w:ind w:left="0" w:firstLine="0"/>
      </w:pPr>
    </w:p>
    <w:p w14:paraId="235181AD" w14:textId="77777777" w:rsidR="00126AE9" w:rsidRPr="001B4A02" w:rsidRDefault="00000000" w:rsidP="00A12A04">
      <w:pPr>
        <w:keepNext/>
        <w:ind w:left="0" w:firstLine="0"/>
        <w:rPr>
          <w:u w:val="single"/>
        </w:rPr>
      </w:pPr>
      <w:r w:rsidRPr="001B4A02">
        <w:rPr>
          <w:u w:val="single"/>
        </w:rPr>
        <w:t>Humira 40 mg injekční roztok v předplněném peru</w:t>
      </w:r>
    </w:p>
    <w:p w14:paraId="08E88545" w14:textId="77777777" w:rsidR="00126AE9" w:rsidRPr="001B4A02" w:rsidRDefault="00000000" w:rsidP="00D427E8">
      <w:pPr>
        <w:ind w:left="0" w:firstLine="0"/>
      </w:pPr>
      <w:r w:rsidRPr="001B4A02">
        <w:t xml:space="preserve">Jedno předplněné pero na jedno použití o objemu 0,4 ml obsahuje </w:t>
      </w:r>
      <w:del w:id="8392" w:author="Abbvie02" w:date="2025-05-16T11:21:00Z">
        <w:r w:rsidRPr="001B4A02">
          <w:delText xml:space="preserve">adalimumabum </w:delText>
        </w:r>
      </w:del>
      <w:r w:rsidRPr="001B4A02">
        <w:t>40</w:t>
      </w:r>
      <w:r w:rsidR="00443CD1" w:rsidRPr="001B4A02">
        <w:t> </w:t>
      </w:r>
      <w:r w:rsidRPr="001B4A02">
        <w:t>mg</w:t>
      </w:r>
      <w:ins w:id="8393" w:author="Abbvie02" w:date="2025-05-16T11:21:00Z">
        <w:r w:rsidR="00421BD2" w:rsidRPr="00421BD2">
          <w:t xml:space="preserve"> </w:t>
        </w:r>
        <w:r w:rsidR="00421BD2" w:rsidRPr="001B4A02">
          <w:t>adalimumabu</w:t>
        </w:r>
      </w:ins>
      <w:r w:rsidRPr="001B4A02">
        <w:t>.</w:t>
      </w:r>
    </w:p>
    <w:p w14:paraId="5B4D5D1D" w14:textId="77777777" w:rsidR="00ED3511" w:rsidRPr="001B4A02" w:rsidRDefault="00ED3511" w:rsidP="00D427E8">
      <w:pPr>
        <w:ind w:left="0" w:firstLine="0"/>
      </w:pPr>
    </w:p>
    <w:p w14:paraId="41FA1274" w14:textId="77777777" w:rsidR="00ED3511" w:rsidRPr="001B4A02" w:rsidRDefault="00000000" w:rsidP="00D427E8">
      <w:pPr>
        <w:ind w:left="0" w:firstLine="0"/>
      </w:pPr>
      <w:r w:rsidRPr="001B4A02">
        <w:t>Adalimumab</w:t>
      </w:r>
      <w:del w:id="8394" w:author="Abbvie02" w:date="2025-05-16T11:24:00Z">
        <w:r w:rsidRPr="001B4A02">
          <w:delText>um</w:delText>
        </w:r>
      </w:del>
      <w:r w:rsidRPr="001B4A02">
        <w:t xml:space="preserve"> je rekombinantní lidská monoklonální protilátka produkovaná ovariálními buňkami čínských křeč</w:t>
      </w:r>
      <w:r w:rsidR="00F71FE4" w:rsidRPr="001B4A02">
        <w:t>í</w:t>
      </w:r>
      <w:r w:rsidRPr="001B4A02">
        <w:t>ků.</w:t>
      </w:r>
    </w:p>
    <w:p w14:paraId="31A2BBB7" w14:textId="77777777" w:rsidR="00ED3511" w:rsidRDefault="00ED3511" w:rsidP="00D427E8">
      <w:pPr>
        <w:pStyle w:val="EndnoteText"/>
        <w:ind w:left="0" w:firstLine="0"/>
        <w:rPr>
          <w:ins w:id="8395" w:author="AbbVie1" w:date="2025-05-13T09:53:00Z"/>
          <w:lang w:val="cs-CZ"/>
        </w:rPr>
      </w:pPr>
    </w:p>
    <w:p w14:paraId="4B083193" w14:textId="77777777" w:rsidR="008E3F98" w:rsidRPr="00D96CB3" w:rsidRDefault="00000000" w:rsidP="008E3F98">
      <w:pPr>
        <w:keepNext/>
        <w:rPr>
          <w:ins w:id="8396" w:author="AbbVie1" w:date="2025-05-13T09:53:00Z"/>
          <w:noProof/>
          <w:szCs w:val="22"/>
          <w:u w:val="single"/>
        </w:rPr>
      </w:pPr>
      <w:ins w:id="8397" w:author="AbbVie1" w:date="2025-05-13T09:53:00Z">
        <w:r w:rsidRPr="00D96CB3">
          <w:rPr>
            <w:szCs w:val="22"/>
            <w:u w:val="single"/>
          </w:rPr>
          <w:t>Pomocné látky se známým účinkem</w:t>
        </w:r>
      </w:ins>
    </w:p>
    <w:p w14:paraId="1462A2EE" w14:textId="77777777" w:rsidR="008E3F98" w:rsidRDefault="008E3F98" w:rsidP="002A029A">
      <w:pPr>
        <w:keepNext/>
        <w:rPr>
          <w:ins w:id="8398" w:author="AbbVie1" w:date="2025-05-13T09:53:00Z"/>
          <w:szCs w:val="22"/>
        </w:rPr>
      </w:pPr>
    </w:p>
    <w:p w14:paraId="271145BA" w14:textId="77777777" w:rsidR="008E3F98" w:rsidRPr="00653460" w:rsidRDefault="00000000" w:rsidP="008E3F98">
      <w:pPr>
        <w:rPr>
          <w:ins w:id="8399" w:author="AbbVie1" w:date="2025-05-13T09:53:00Z"/>
        </w:rPr>
      </w:pPr>
      <w:ins w:id="8400" w:author="AbbVie1" w:date="2025-05-13T09:53:00Z">
        <w:r>
          <w:rPr>
            <w:szCs w:val="22"/>
          </w:rPr>
          <w:t>Tento léčivý přípravek</w:t>
        </w:r>
        <w:r w:rsidRPr="00F767A1">
          <w:rPr>
            <w:szCs w:val="22"/>
          </w:rPr>
          <w:t xml:space="preserve"> obsahuje </w:t>
        </w:r>
        <w:r>
          <w:rPr>
            <w:szCs w:val="22"/>
          </w:rPr>
          <w:t>0,4</w:t>
        </w:r>
        <w:r w:rsidRPr="00F767A1">
          <w:rPr>
            <w:szCs w:val="22"/>
          </w:rPr>
          <w:t> mg polysorbátu 80</w:t>
        </w:r>
        <w:r>
          <w:rPr>
            <w:szCs w:val="22"/>
          </w:rPr>
          <w:t xml:space="preserve"> v jedné 40mg dávce</w:t>
        </w:r>
        <w:r w:rsidRPr="00F767A1">
          <w:rPr>
            <w:szCs w:val="22"/>
          </w:rPr>
          <w:t>.</w:t>
        </w:r>
      </w:ins>
    </w:p>
    <w:p w14:paraId="5CACAC10" w14:textId="77777777" w:rsidR="008E3F98" w:rsidRPr="008E3F98" w:rsidRDefault="008E3F98" w:rsidP="00D96CB3"/>
    <w:p w14:paraId="6751C431" w14:textId="77777777" w:rsidR="00ED3511" w:rsidRPr="001B4A02" w:rsidRDefault="00000000" w:rsidP="00D427E8">
      <w:pPr>
        <w:ind w:left="0" w:firstLine="0"/>
      </w:pPr>
      <w:r w:rsidRPr="001B4A02">
        <w:t>Úplný seznam pomocných látek viz bod 6.1</w:t>
      </w:r>
      <w:r w:rsidR="006D1214" w:rsidRPr="001B4A02">
        <w:t>.</w:t>
      </w:r>
    </w:p>
    <w:p w14:paraId="46E07899" w14:textId="77777777" w:rsidR="00ED3511" w:rsidRPr="001B4A02" w:rsidRDefault="00ED3511" w:rsidP="00D427E8">
      <w:pPr>
        <w:ind w:left="0" w:firstLine="0"/>
      </w:pPr>
    </w:p>
    <w:p w14:paraId="2C7F5588" w14:textId="77777777" w:rsidR="00ED3511" w:rsidRPr="001B4A02" w:rsidRDefault="00ED3511" w:rsidP="00D427E8">
      <w:pPr>
        <w:ind w:left="0" w:firstLine="0"/>
      </w:pPr>
    </w:p>
    <w:p w14:paraId="2C0114FB" w14:textId="77777777" w:rsidR="00ED3511" w:rsidRPr="001B4A02" w:rsidRDefault="00000000" w:rsidP="00A15B7A">
      <w:pPr>
        <w:keepNext/>
        <w:outlineLvl w:val="0"/>
        <w:rPr>
          <w:b/>
          <w:caps/>
        </w:rPr>
      </w:pPr>
      <w:r w:rsidRPr="001B4A02">
        <w:rPr>
          <w:b/>
        </w:rPr>
        <w:t>3.</w:t>
      </w:r>
      <w:r w:rsidRPr="001B4A02">
        <w:rPr>
          <w:b/>
        </w:rPr>
        <w:tab/>
        <w:t>LÉKOVÁ FORMA</w:t>
      </w:r>
    </w:p>
    <w:p w14:paraId="408E9B1A" w14:textId="77777777" w:rsidR="00ED3511" w:rsidRPr="001B4A02" w:rsidRDefault="00ED3511" w:rsidP="00A12A04">
      <w:pPr>
        <w:keepNext/>
        <w:ind w:left="0" w:firstLine="0"/>
      </w:pPr>
    </w:p>
    <w:p w14:paraId="39E11DF2" w14:textId="77777777" w:rsidR="00ED3511" w:rsidRPr="001B4A02" w:rsidRDefault="00000000" w:rsidP="00ED48A3">
      <w:pPr>
        <w:pStyle w:val="EndnoteText"/>
        <w:ind w:left="0" w:firstLine="0"/>
        <w:rPr>
          <w:lang w:val="cs-CZ"/>
        </w:rPr>
      </w:pPr>
      <w:r w:rsidRPr="00DF4EAF">
        <w:rPr>
          <w:lang w:val="cs-CZ"/>
        </w:rPr>
        <w:t>Injekční roztok</w:t>
      </w:r>
      <w:r w:rsidR="00DB677C" w:rsidRPr="00DF4EAF">
        <w:rPr>
          <w:lang w:val="cs-CZ"/>
        </w:rPr>
        <w:t xml:space="preserve"> (injekce)</w:t>
      </w:r>
    </w:p>
    <w:p w14:paraId="0C469D2A" w14:textId="77777777" w:rsidR="00ED3511" w:rsidRPr="001B4A02" w:rsidRDefault="00ED3511" w:rsidP="00ED48A3">
      <w:pPr>
        <w:pStyle w:val="EndnoteText"/>
        <w:ind w:left="0" w:firstLine="0"/>
        <w:rPr>
          <w:lang w:val="cs-CZ"/>
        </w:rPr>
      </w:pPr>
    </w:p>
    <w:p w14:paraId="0C081C58" w14:textId="77777777" w:rsidR="00ED3511" w:rsidRPr="001B4A02" w:rsidRDefault="00000000" w:rsidP="00ED48A3">
      <w:pPr>
        <w:pStyle w:val="EndnoteText"/>
        <w:ind w:left="0" w:firstLine="0"/>
        <w:rPr>
          <w:lang w:val="cs-CZ"/>
        </w:rPr>
      </w:pPr>
      <w:r w:rsidRPr="001B4A02">
        <w:rPr>
          <w:lang w:val="cs-CZ"/>
        </w:rPr>
        <w:t>Čirý, bezbarvý roztok</w:t>
      </w:r>
      <w:r w:rsidR="00DB677C" w:rsidRPr="001B4A02">
        <w:rPr>
          <w:lang w:val="cs-CZ"/>
        </w:rPr>
        <w:t>.</w:t>
      </w:r>
    </w:p>
    <w:p w14:paraId="2E340568" w14:textId="77777777" w:rsidR="00ED3511" w:rsidRPr="001B4A02" w:rsidRDefault="00ED3511" w:rsidP="00ED48A3">
      <w:pPr>
        <w:ind w:left="0" w:firstLine="0"/>
      </w:pPr>
    </w:p>
    <w:p w14:paraId="1CC02B6B" w14:textId="77777777" w:rsidR="00ED3511" w:rsidRPr="001B4A02" w:rsidRDefault="00ED3511" w:rsidP="00ED48A3">
      <w:pPr>
        <w:ind w:left="0" w:firstLine="0"/>
      </w:pPr>
    </w:p>
    <w:p w14:paraId="134E6A09" w14:textId="77777777" w:rsidR="00ED3511" w:rsidRPr="001B4A02" w:rsidRDefault="00000000" w:rsidP="00A15B7A">
      <w:pPr>
        <w:keepNext/>
        <w:outlineLvl w:val="0"/>
        <w:rPr>
          <w:b/>
          <w:caps/>
        </w:rPr>
      </w:pPr>
      <w:r w:rsidRPr="001B4A02">
        <w:rPr>
          <w:b/>
          <w:caps/>
        </w:rPr>
        <w:t>4.</w:t>
      </w:r>
      <w:r w:rsidRPr="001B4A02">
        <w:rPr>
          <w:b/>
          <w:caps/>
        </w:rPr>
        <w:tab/>
        <w:t>KLINICKÉ ÚDAJE</w:t>
      </w:r>
    </w:p>
    <w:p w14:paraId="42469DA8" w14:textId="77777777" w:rsidR="00ED3511" w:rsidRPr="001B4A02" w:rsidRDefault="00ED3511" w:rsidP="00A12A04">
      <w:pPr>
        <w:keepNext/>
        <w:ind w:left="0" w:firstLine="0"/>
      </w:pPr>
    </w:p>
    <w:p w14:paraId="2A1B0D53" w14:textId="77777777" w:rsidR="00ED3511" w:rsidRPr="001B4A02" w:rsidRDefault="00000000" w:rsidP="00A15B7A">
      <w:pPr>
        <w:keepNext/>
        <w:outlineLvl w:val="1"/>
      </w:pPr>
      <w:r w:rsidRPr="001B4A02">
        <w:rPr>
          <w:b/>
        </w:rPr>
        <w:t>4.1</w:t>
      </w:r>
      <w:r w:rsidRPr="001B4A02">
        <w:rPr>
          <w:b/>
        </w:rPr>
        <w:tab/>
        <w:t>Terapeutické indikace</w:t>
      </w:r>
    </w:p>
    <w:p w14:paraId="6ADAF414" w14:textId="77777777" w:rsidR="00ED3511" w:rsidRPr="001B4A02" w:rsidRDefault="00ED3511" w:rsidP="00A12A04">
      <w:pPr>
        <w:keepNext/>
        <w:ind w:left="0" w:firstLine="0"/>
      </w:pPr>
    </w:p>
    <w:p w14:paraId="6CD295AE" w14:textId="77777777" w:rsidR="00ED3511" w:rsidRPr="001B4A02" w:rsidRDefault="00000000" w:rsidP="00A12A04">
      <w:pPr>
        <w:pStyle w:val="EMEAHeadingUnderline"/>
        <w:keepNext/>
        <w:tabs>
          <w:tab w:val="clear" w:pos="562"/>
        </w:tabs>
        <w:suppressAutoHyphens w:val="0"/>
        <w:spacing w:beforeLines="0" w:before="0" w:afterLines="0" w:after="0"/>
        <w:rPr>
          <w:lang w:val="cs-CZ"/>
        </w:rPr>
      </w:pPr>
      <w:r w:rsidRPr="001B4A02">
        <w:rPr>
          <w:lang w:val="cs-CZ"/>
        </w:rPr>
        <w:t>Revmatoidní artritida</w:t>
      </w:r>
    </w:p>
    <w:p w14:paraId="65C51C22" w14:textId="77777777" w:rsidR="00ED3511" w:rsidRPr="001B4A02" w:rsidRDefault="00ED3511" w:rsidP="00A12A04">
      <w:pPr>
        <w:keepNext/>
        <w:ind w:left="0" w:firstLine="0"/>
        <w:rPr>
          <w:u w:val="single"/>
        </w:rPr>
      </w:pPr>
    </w:p>
    <w:p w14:paraId="55D54228" w14:textId="77777777" w:rsidR="00ED3511" w:rsidRPr="001B4A02" w:rsidRDefault="00000000" w:rsidP="00A12A04">
      <w:pPr>
        <w:pStyle w:val="EMEANormal"/>
        <w:keepNext/>
        <w:tabs>
          <w:tab w:val="clear" w:pos="562"/>
        </w:tabs>
        <w:suppressAutoHyphens w:val="0"/>
        <w:rPr>
          <w:lang w:val="cs-CZ"/>
        </w:rPr>
      </w:pPr>
      <w:r w:rsidRPr="001B4A02">
        <w:rPr>
          <w:lang w:val="cs-CZ"/>
        </w:rPr>
        <w:t>Přípravek Humira je v kombinaci s methotrexátem indikován:</w:t>
      </w:r>
    </w:p>
    <w:p w14:paraId="7157D165" w14:textId="77777777" w:rsidR="00ED3511" w:rsidRPr="001B4A02" w:rsidRDefault="00ED3511" w:rsidP="00A12A04">
      <w:pPr>
        <w:keepNext/>
        <w:ind w:left="0" w:firstLine="0"/>
      </w:pPr>
    </w:p>
    <w:p w14:paraId="5108F9DD" w14:textId="77777777" w:rsidR="00ED3511" w:rsidRPr="001B4A02" w:rsidRDefault="00000000" w:rsidP="00ED48A3">
      <w:pPr>
        <w:numPr>
          <w:ilvl w:val="0"/>
          <w:numId w:val="40"/>
        </w:numPr>
        <w:tabs>
          <w:tab w:val="clear" w:pos="720"/>
          <w:tab w:val="num" w:pos="567"/>
        </w:tabs>
        <w:ind w:left="567" w:hanging="567"/>
      </w:pPr>
      <w:r w:rsidRPr="001B4A02">
        <w:t>k léčbě středně těžké až těžké aktivní revmatoidní artritidy u dospělých pacientů, jestliže odpověď na chorobu modifikující antirevmatické léky včetně methotrexátu není dostatečná.</w:t>
      </w:r>
    </w:p>
    <w:p w14:paraId="60667BF5" w14:textId="77777777" w:rsidR="00ED3511" w:rsidRPr="001B4A02" w:rsidRDefault="00000000" w:rsidP="00ED48A3">
      <w:pPr>
        <w:pStyle w:val="EndnoteText"/>
        <w:numPr>
          <w:ilvl w:val="0"/>
          <w:numId w:val="39"/>
        </w:numPr>
        <w:tabs>
          <w:tab w:val="clear" w:pos="720"/>
          <w:tab w:val="num" w:pos="567"/>
        </w:tabs>
        <w:ind w:left="567" w:hanging="567"/>
        <w:rPr>
          <w:lang w:val="cs-CZ"/>
        </w:rPr>
      </w:pPr>
      <w:r w:rsidRPr="001B4A02">
        <w:rPr>
          <w:lang w:val="cs-CZ"/>
        </w:rPr>
        <w:t>k léčbě těžké aktivní</w:t>
      </w:r>
      <w:r w:rsidR="002378E0">
        <w:rPr>
          <w:lang w:val="cs-CZ"/>
        </w:rPr>
        <w:t xml:space="preserve"> a </w:t>
      </w:r>
      <w:r w:rsidRPr="001B4A02">
        <w:rPr>
          <w:lang w:val="cs-CZ"/>
        </w:rPr>
        <w:t xml:space="preserve">progresivní revmatoidní artritidy u dospělých pacientů, kteří nebyli v minulosti léčeni methotrexátem. </w:t>
      </w:r>
    </w:p>
    <w:p w14:paraId="56AE5CB0" w14:textId="77777777" w:rsidR="00ED3511" w:rsidRPr="001B4A02" w:rsidRDefault="00ED3511" w:rsidP="00ED48A3">
      <w:pPr>
        <w:ind w:left="0" w:firstLine="0"/>
      </w:pPr>
    </w:p>
    <w:p w14:paraId="7A26C159" w14:textId="77777777" w:rsidR="00ED3511" w:rsidRPr="001B4A02" w:rsidRDefault="00000000" w:rsidP="00ED48A3">
      <w:pPr>
        <w:ind w:left="0" w:firstLine="0"/>
      </w:pPr>
      <w:r w:rsidRPr="001B4A02">
        <w:t xml:space="preserve">Přípravek Humira je možné podávat v monoterapii při </w:t>
      </w:r>
      <w:r w:rsidR="00C22CBF" w:rsidRPr="004A0D2A">
        <w:t>intoleranci</w:t>
      </w:r>
      <w:r w:rsidRPr="001B4A02">
        <w:t xml:space="preserve"> methotrexátu nebo v případech, kdy pokračování v léčbě methotrexátem není vhodné. </w:t>
      </w:r>
    </w:p>
    <w:p w14:paraId="3BD46560" w14:textId="77777777" w:rsidR="00ED3511" w:rsidRPr="001B4A02" w:rsidRDefault="00ED3511" w:rsidP="00ED48A3">
      <w:pPr>
        <w:ind w:left="0" w:firstLine="0"/>
      </w:pPr>
    </w:p>
    <w:p w14:paraId="5E41D908" w14:textId="77777777" w:rsidR="00ED3511" w:rsidRPr="001B4A02" w:rsidRDefault="00000000" w:rsidP="00ED48A3">
      <w:pPr>
        <w:ind w:left="0" w:firstLine="0"/>
      </w:pPr>
      <w:r w:rsidRPr="001B4A02">
        <w:t>RTG vyšetř</w:t>
      </w:r>
      <w:r w:rsidR="00C22CBF">
        <w:t>e</w:t>
      </w:r>
      <w:r w:rsidRPr="001B4A02">
        <w:t>ním bylo prokázáno, že přípravek Humira snižuje rychlost progrese poškození kloubů</w:t>
      </w:r>
      <w:r w:rsidR="002378E0">
        <w:t xml:space="preserve"> a </w:t>
      </w:r>
      <w:r w:rsidRPr="001B4A02">
        <w:t>zlepšuje fyzické funkce, pokud je podáván v kombinaci s methotrexátem.</w:t>
      </w:r>
    </w:p>
    <w:p w14:paraId="1F2FFAD9" w14:textId="77777777" w:rsidR="00ED3511" w:rsidRPr="001B4A02" w:rsidRDefault="00ED3511" w:rsidP="00ED48A3">
      <w:pPr>
        <w:ind w:left="0" w:firstLine="0"/>
      </w:pPr>
    </w:p>
    <w:p w14:paraId="0EB722BD" w14:textId="77777777" w:rsidR="00ED3511" w:rsidRPr="001B4A02" w:rsidRDefault="00000000" w:rsidP="00A12A04">
      <w:pPr>
        <w:keepNext/>
        <w:ind w:left="0" w:firstLine="0"/>
        <w:rPr>
          <w:u w:val="single"/>
        </w:rPr>
      </w:pPr>
      <w:r w:rsidRPr="001B4A02">
        <w:rPr>
          <w:u w:val="single"/>
        </w:rPr>
        <w:t>Juvenilní idiopatická artritida</w:t>
      </w:r>
    </w:p>
    <w:p w14:paraId="22BC6037" w14:textId="77777777" w:rsidR="00ED3511" w:rsidRPr="001B4A02" w:rsidRDefault="00ED3511" w:rsidP="00A12A04">
      <w:pPr>
        <w:keepNext/>
        <w:ind w:left="0" w:firstLine="0"/>
      </w:pPr>
    </w:p>
    <w:p w14:paraId="2FC3D042" w14:textId="77777777" w:rsidR="00ED3511" w:rsidRPr="001B4A02" w:rsidRDefault="00000000" w:rsidP="00A12A04">
      <w:pPr>
        <w:pStyle w:val="EMEAHeadingUnderline"/>
        <w:keepNext/>
        <w:tabs>
          <w:tab w:val="clear" w:pos="562"/>
          <w:tab w:val="left" w:pos="708"/>
        </w:tabs>
        <w:suppressAutoHyphens w:val="0"/>
        <w:spacing w:beforeLines="0" w:before="0" w:afterLines="0" w:after="0"/>
        <w:rPr>
          <w:i/>
          <w:u w:val="none"/>
          <w:lang w:val="cs-CZ"/>
        </w:rPr>
      </w:pPr>
      <w:r w:rsidRPr="001B4A02">
        <w:rPr>
          <w:i/>
          <w:u w:val="none"/>
          <w:lang w:val="cs-CZ"/>
        </w:rPr>
        <w:t>Polyartikulární juvenilní idiopatická artritida</w:t>
      </w:r>
    </w:p>
    <w:p w14:paraId="06194940" w14:textId="77777777" w:rsidR="00ED3511" w:rsidRPr="001B4A02" w:rsidRDefault="00ED3511" w:rsidP="00A12A04">
      <w:pPr>
        <w:keepNext/>
        <w:ind w:left="0" w:firstLine="0"/>
      </w:pPr>
    </w:p>
    <w:p w14:paraId="131BC47D" w14:textId="77777777" w:rsidR="00ED3511" w:rsidRPr="001B4A02" w:rsidRDefault="00000000" w:rsidP="00ED48A3">
      <w:pPr>
        <w:pStyle w:val="EMEANormal"/>
        <w:tabs>
          <w:tab w:val="clear" w:pos="562"/>
          <w:tab w:val="left" w:pos="708"/>
        </w:tabs>
        <w:suppressAutoHyphens w:val="0"/>
        <w:rPr>
          <w:lang w:val="cs-CZ"/>
        </w:rPr>
      </w:pPr>
      <w:r w:rsidRPr="001B4A02">
        <w:rPr>
          <w:lang w:val="cs-CZ"/>
        </w:rPr>
        <w:t>Přípravek Humira je indikován, v kombinaci s methotrexátem, k léčbě aktivní polyartikulární juvenilní idiopatické artritidy u</w:t>
      </w:r>
      <w:r w:rsidR="00214AE3" w:rsidRPr="001B4A02">
        <w:rPr>
          <w:lang w:val="cs-CZ"/>
        </w:rPr>
        <w:t> </w:t>
      </w:r>
      <w:r w:rsidRPr="001B4A02">
        <w:rPr>
          <w:lang w:val="cs-CZ"/>
        </w:rPr>
        <w:t>pacientů od 2 let, u</w:t>
      </w:r>
      <w:r w:rsidR="00214AE3" w:rsidRPr="001B4A02">
        <w:rPr>
          <w:lang w:val="cs-CZ"/>
        </w:rPr>
        <w:t> </w:t>
      </w:r>
      <w:r w:rsidRPr="001B4A02">
        <w:rPr>
          <w:lang w:val="cs-CZ"/>
        </w:rPr>
        <w:t>kterých odpověď na léčbu jedním nebo více chorobu modifikujícími antirevmatiky (DMARD) nebyla dostatečná. Při nesnášenlivosti methotrexátu nebo v případě, kdy pokračování v</w:t>
      </w:r>
      <w:r w:rsidR="00214AE3" w:rsidRPr="001B4A02">
        <w:rPr>
          <w:lang w:val="cs-CZ"/>
        </w:rPr>
        <w:t> </w:t>
      </w:r>
      <w:r w:rsidRPr="001B4A02">
        <w:rPr>
          <w:lang w:val="cs-CZ"/>
        </w:rPr>
        <w:t>léčbě methotrexátem není vhodné, může být přípravek Humira podáván samostatně (účinnost při monoterapii viz bod 5.1). Přípravek Humira nebyl studován u</w:t>
      </w:r>
      <w:r w:rsidR="00214AE3" w:rsidRPr="001B4A02">
        <w:rPr>
          <w:lang w:val="cs-CZ"/>
        </w:rPr>
        <w:t> </w:t>
      </w:r>
      <w:r w:rsidRPr="001B4A02">
        <w:rPr>
          <w:lang w:val="cs-CZ"/>
        </w:rPr>
        <w:t>pacientů mladších 2 let.</w:t>
      </w:r>
    </w:p>
    <w:p w14:paraId="2B4DB7A5" w14:textId="77777777" w:rsidR="00ED3511" w:rsidRPr="001B4A02" w:rsidRDefault="00ED3511" w:rsidP="00ED48A3">
      <w:pPr>
        <w:ind w:left="0" w:firstLine="0"/>
      </w:pPr>
    </w:p>
    <w:p w14:paraId="5F8AEC50" w14:textId="77777777" w:rsidR="00ED3511" w:rsidRPr="001B4A02" w:rsidRDefault="00000000" w:rsidP="00ED48A3">
      <w:pPr>
        <w:keepNext/>
        <w:ind w:left="0" w:firstLine="0"/>
        <w:rPr>
          <w:i/>
        </w:rPr>
      </w:pPr>
      <w:r w:rsidRPr="001B4A02">
        <w:rPr>
          <w:i/>
        </w:rPr>
        <w:t>Entezopatická artritida</w:t>
      </w:r>
    </w:p>
    <w:p w14:paraId="6F989BD1" w14:textId="77777777" w:rsidR="00ED3511" w:rsidRPr="001B4A02" w:rsidRDefault="00ED3511" w:rsidP="00ED48A3">
      <w:pPr>
        <w:pStyle w:val="EMEANormal"/>
        <w:keepNext/>
        <w:tabs>
          <w:tab w:val="clear" w:pos="562"/>
          <w:tab w:val="left" w:pos="708"/>
        </w:tabs>
        <w:suppressAutoHyphens w:val="0"/>
        <w:rPr>
          <w:lang w:val="cs-CZ"/>
        </w:rPr>
      </w:pPr>
    </w:p>
    <w:p w14:paraId="4C9E8A33" w14:textId="77777777" w:rsidR="00ED3511" w:rsidRPr="001B4A02" w:rsidRDefault="00000000" w:rsidP="00A12A04">
      <w:pPr>
        <w:pStyle w:val="EMEANormal"/>
        <w:tabs>
          <w:tab w:val="clear" w:pos="562"/>
          <w:tab w:val="left" w:pos="708"/>
        </w:tabs>
        <w:suppressAutoHyphens w:val="0"/>
        <w:rPr>
          <w:lang w:val="cs-CZ"/>
        </w:rPr>
      </w:pPr>
      <w:r w:rsidRPr="007928B5">
        <w:rPr>
          <w:lang w:val="cs-CZ"/>
        </w:rPr>
        <w:t xml:space="preserve">Přípravek </w:t>
      </w:r>
      <w:r w:rsidRPr="001B4A02">
        <w:rPr>
          <w:lang w:val="cs-CZ"/>
        </w:rPr>
        <w:t>Humira je indikován k</w:t>
      </w:r>
      <w:r w:rsidR="00B66B89" w:rsidRPr="001B4A02">
        <w:rPr>
          <w:lang w:val="cs-CZ"/>
        </w:rPr>
        <w:t> </w:t>
      </w:r>
      <w:r w:rsidRPr="001B4A02">
        <w:rPr>
          <w:lang w:val="cs-CZ"/>
        </w:rPr>
        <w:t>léčbě aktivní entezopatické artritidy u</w:t>
      </w:r>
      <w:r w:rsidR="00D15A04" w:rsidRPr="001B4A02">
        <w:rPr>
          <w:lang w:val="cs-CZ"/>
        </w:rPr>
        <w:t> </w:t>
      </w:r>
      <w:r w:rsidRPr="001B4A02">
        <w:rPr>
          <w:lang w:val="cs-CZ"/>
        </w:rPr>
        <w:t>pacientů ve věku od 6 let, u</w:t>
      </w:r>
      <w:r w:rsidR="00D15A04" w:rsidRPr="001B4A02">
        <w:rPr>
          <w:lang w:val="cs-CZ"/>
        </w:rPr>
        <w:t> </w:t>
      </w:r>
      <w:r w:rsidRPr="001B4A02">
        <w:rPr>
          <w:lang w:val="cs-CZ"/>
        </w:rPr>
        <w:t>nichž nebylo dosaženo adekvátní odpovědi na konvenční léčbu, nebo u</w:t>
      </w:r>
      <w:r w:rsidR="00D15A04" w:rsidRPr="001B4A02">
        <w:rPr>
          <w:lang w:val="cs-CZ"/>
        </w:rPr>
        <w:t> </w:t>
      </w:r>
      <w:r w:rsidRPr="001B4A02">
        <w:rPr>
          <w:lang w:val="cs-CZ"/>
        </w:rPr>
        <w:t xml:space="preserve">nichž léčba nebyla tolerována (viz bod 5.1). </w:t>
      </w:r>
    </w:p>
    <w:p w14:paraId="7928A84E" w14:textId="77777777" w:rsidR="00ED3511" w:rsidRPr="001B4A02" w:rsidRDefault="00ED3511" w:rsidP="00ED48A3">
      <w:pPr>
        <w:ind w:left="0" w:firstLine="0"/>
      </w:pPr>
    </w:p>
    <w:p w14:paraId="27CDBA1D" w14:textId="77777777" w:rsidR="00ED3511" w:rsidRPr="001B4A02" w:rsidRDefault="00000000" w:rsidP="00A12A04">
      <w:pPr>
        <w:keepNext/>
        <w:ind w:left="0" w:firstLine="0"/>
        <w:rPr>
          <w:u w:val="single"/>
        </w:rPr>
      </w:pPr>
      <w:r w:rsidRPr="001B4A02">
        <w:rPr>
          <w:u w:val="single"/>
        </w:rPr>
        <w:t>Axiální spondylartritida</w:t>
      </w:r>
    </w:p>
    <w:p w14:paraId="1A69B517" w14:textId="77777777" w:rsidR="00ED3511" w:rsidRPr="001B4A02" w:rsidRDefault="00ED3511" w:rsidP="00A12A04">
      <w:pPr>
        <w:keepNext/>
        <w:ind w:left="0" w:firstLine="0"/>
        <w:rPr>
          <w:u w:val="single"/>
        </w:rPr>
      </w:pPr>
    </w:p>
    <w:p w14:paraId="645502ED" w14:textId="77777777" w:rsidR="00ED3511" w:rsidRPr="001B4A02" w:rsidRDefault="00000000" w:rsidP="00A12A04">
      <w:pPr>
        <w:keepNext/>
        <w:ind w:left="0" w:firstLine="0"/>
        <w:rPr>
          <w:i/>
        </w:rPr>
      </w:pPr>
      <w:r w:rsidRPr="001B4A02">
        <w:rPr>
          <w:i/>
        </w:rPr>
        <w:t>Ankylozující spondylitida (AS)</w:t>
      </w:r>
    </w:p>
    <w:p w14:paraId="2C5E3A8E" w14:textId="77777777" w:rsidR="00ED3511" w:rsidRPr="001B4A02" w:rsidRDefault="00ED3511" w:rsidP="00A12A04">
      <w:pPr>
        <w:keepNext/>
        <w:ind w:left="0" w:firstLine="0"/>
      </w:pPr>
    </w:p>
    <w:p w14:paraId="35F9281D" w14:textId="77777777" w:rsidR="00ED3511" w:rsidRPr="001B4A02" w:rsidRDefault="00000000" w:rsidP="00ED48A3">
      <w:pPr>
        <w:pStyle w:val="EMEANormal"/>
        <w:tabs>
          <w:tab w:val="clear" w:pos="562"/>
          <w:tab w:val="left" w:pos="708"/>
        </w:tabs>
        <w:suppressAutoHyphens w:val="0"/>
        <w:rPr>
          <w:lang w:val="cs-CZ"/>
        </w:rPr>
      </w:pPr>
      <w:r w:rsidRPr="007928B5">
        <w:rPr>
          <w:lang w:val="cs-CZ"/>
        </w:rPr>
        <w:t xml:space="preserve">Přípravek </w:t>
      </w:r>
      <w:r w:rsidRPr="001B4A02">
        <w:rPr>
          <w:lang w:val="cs-CZ"/>
        </w:rPr>
        <w:t>Humira je indikován k léčbě dospělých pacientů s těžkou aktivní ankylozující spondylitidou, u kterých nebyla dostatečná odpověď na konvenční léčbu.</w:t>
      </w:r>
    </w:p>
    <w:p w14:paraId="3284A1CD" w14:textId="77777777" w:rsidR="00ED3511" w:rsidRPr="001B4A02" w:rsidRDefault="00ED3511" w:rsidP="00ED48A3">
      <w:pPr>
        <w:ind w:left="0" w:firstLine="0"/>
        <w:rPr>
          <w:szCs w:val="22"/>
          <w:u w:val="single"/>
        </w:rPr>
      </w:pPr>
    </w:p>
    <w:p w14:paraId="253FF0F8" w14:textId="77777777" w:rsidR="00ED3511" w:rsidRPr="001B4A02" w:rsidRDefault="00000000" w:rsidP="00A12A04">
      <w:pPr>
        <w:keepNext/>
        <w:ind w:left="0" w:firstLine="0"/>
        <w:rPr>
          <w:i/>
          <w:szCs w:val="22"/>
        </w:rPr>
      </w:pPr>
      <w:r w:rsidRPr="001B4A02">
        <w:rPr>
          <w:i/>
          <w:szCs w:val="22"/>
        </w:rPr>
        <w:t>Axiální spondylartritida bez radiologického průkazu AS</w:t>
      </w:r>
    </w:p>
    <w:p w14:paraId="210C161D" w14:textId="77777777" w:rsidR="00ED3511" w:rsidRPr="001B4A02" w:rsidRDefault="00ED3511" w:rsidP="00A12A04">
      <w:pPr>
        <w:keepNext/>
        <w:ind w:left="0" w:firstLine="0"/>
        <w:rPr>
          <w:szCs w:val="22"/>
          <w:u w:val="single"/>
        </w:rPr>
      </w:pPr>
    </w:p>
    <w:p w14:paraId="67B91CF7" w14:textId="77777777" w:rsidR="00ED3511" w:rsidRPr="001B4A02" w:rsidRDefault="00000000" w:rsidP="00ED48A3">
      <w:pPr>
        <w:pStyle w:val="EMEANormal"/>
        <w:tabs>
          <w:tab w:val="clear" w:pos="562"/>
          <w:tab w:val="left" w:pos="708"/>
        </w:tabs>
        <w:suppressAutoHyphens w:val="0"/>
        <w:rPr>
          <w:szCs w:val="22"/>
          <w:lang w:val="cs-CZ"/>
        </w:rPr>
      </w:pPr>
      <w:r w:rsidRPr="007928B5">
        <w:rPr>
          <w:lang w:val="cs-CZ"/>
        </w:rPr>
        <w:t xml:space="preserve">Přípravek </w:t>
      </w:r>
      <w:r w:rsidRPr="001B4A02">
        <w:rPr>
          <w:lang w:val="cs-CZ"/>
        </w:rPr>
        <w:t>Humira je indikován k léčbě dospělých pacientů s těžkou spondylartritidou bez radiologického průkazu AS, ale s objektivními známkami zánětu (jako je zvýšené CRP a/nebo známky na MRI), kteří nedosáhli dostatečné odpovědi na nesteroidní protizánětlivé léčivé přípravky</w:t>
      </w:r>
      <w:r w:rsidR="001541C6">
        <w:rPr>
          <w:lang w:val="cs-CZ"/>
        </w:rPr>
        <w:t xml:space="preserve"> (NSAID)</w:t>
      </w:r>
      <w:r w:rsidRPr="001B4A02">
        <w:rPr>
          <w:lang w:val="cs-CZ"/>
        </w:rPr>
        <w:t xml:space="preserve"> nebo je netolerují.</w:t>
      </w:r>
    </w:p>
    <w:p w14:paraId="4399260B" w14:textId="77777777" w:rsidR="00ED3511" w:rsidRPr="001B4A02" w:rsidRDefault="00ED3511" w:rsidP="00ED48A3">
      <w:pPr>
        <w:ind w:left="0" w:firstLine="0"/>
      </w:pPr>
    </w:p>
    <w:p w14:paraId="65554691" w14:textId="77777777" w:rsidR="00ED3511" w:rsidRPr="001B4A02" w:rsidRDefault="00000000" w:rsidP="00A12A04">
      <w:pPr>
        <w:keepNext/>
        <w:ind w:left="0" w:firstLine="0"/>
      </w:pPr>
      <w:r w:rsidRPr="001B4A02">
        <w:rPr>
          <w:u w:val="single"/>
        </w:rPr>
        <w:t>Psoriatická artritida</w:t>
      </w:r>
    </w:p>
    <w:p w14:paraId="138108F6" w14:textId="77777777" w:rsidR="00ED3511" w:rsidRPr="001B4A02" w:rsidRDefault="00ED3511" w:rsidP="00A12A04">
      <w:pPr>
        <w:keepNext/>
        <w:ind w:left="0" w:firstLine="0"/>
        <w:rPr>
          <w:u w:val="single"/>
        </w:rPr>
      </w:pPr>
    </w:p>
    <w:p w14:paraId="58418880" w14:textId="77777777" w:rsidR="00ED3511" w:rsidRPr="001B4A02" w:rsidRDefault="00000000" w:rsidP="00ED48A3">
      <w:pPr>
        <w:ind w:left="0" w:firstLine="0"/>
      </w:pPr>
      <w:r w:rsidRPr="001B4A02">
        <w:t>Přípravek Humira je indikován k léčbě aktivní</w:t>
      </w:r>
      <w:r w:rsidR="002378E0">
        <w:t xml:space="preserve"> a </w:t>
      </w:r>
      <w:r w:rsidRPr="001B4A02">
        <w:t>progresivní psoriatické artritidy u dospělých pacientů, u kterých odpověď na předchozí léčbu chorobu modifikujícím antirevmatickým přípravkem nebyla dostatečná. U</w:t>
      </w:r>
      <w:r w:rsidR="00D15A04" w:rsidRPr="001B4A02">
        <w:t> </w:t>
      </w:r>
      <w:r w:rsidRPr="001B4A02">
        <w:t>přípravku Humira bylo prokázáno snížení rychlosti progrese poškození periferních kloubů, jež bylo měřeno pomocí RTG u</w:t>
      </w:r>
      <w:r w:rsidR="00D15A04" w:rsidRPr="001B4A02">
        <w:t> </w:t>
      </w:r>
      <w:r w:rsidRPr="001B4A02">
        <w:t>pacientů se symetrickým polyartikulárním subtypem onemocnění (viz bod 5.1)</w:t>
      </w:r>
      <w:r w:rsidR="002378E0">
        <w:t xml:space="preserve"> a </w:t>
      </w:r>
      <w:r w:rsidRPr="001B4A02">
        <w:t>zlepšení fyzických funkcí.</w:t>
      </w:r>
    </w:p>
    <w:p w14:paraId="651E8D1C" w14:textId="77777777" w:rsidR="00ED3511" w:rsidRPr="001B4A02" w:rsidRDefault="00ED3511" w:rsidP="00ED48A3">
      <w:pPr>
        <w:ind w:left="0" w:firstLine="0"/>
      </w:pPr>
    </w:p>
    <w:p w14:paraId="6018599D" w14:textId="77777777" w:rsidR="00ED3511" w:rsidRPr="001B4A02" w:rsidRDefault="00000000" w:rsidP="00A12A04">
      <w:pPr>
        <w:pStyle w:val="EMEANormal"/>
        <w:keepNext/>
        <w:tabs>
          <w:tab w:val="clear" w:pos="562"/>
          <w:tab w:val="left" w:pos="708"/>
        </w:tabs>
        <w:suppressAutoHyphens w:val="0"/>
        <w:rPr>
          <w:u w:val="single"/>
          <w:lang w:val="cs-CZ"/>
        </w:rPr>
      </w:pPr>
      <w:r w:rsidRPr="001B4A02">
        <w:rPr>
          <w:u w:val="single"/>
          <w:lang w:val="cs-CZ"/>
        </w:rPr>
        <w:t>Psoriáza</w:t>
      </w:r>
    </w:p>
    <w:p w14:paraId="2132D233" w14:textId="77777777" w:rsidR="00ED3511" w:rsidRPr="001B4A02" w:rsidRDefault="00ED3511" w:rsidP="00A12A04">
      <w:pPr>
        <w:pStyle w:val="EMEANormal"/>
        <w:keepNext/>
        <w:tabs>
          <w:tab w:val="clear" w:pos="562"/>
          <w:tab w:val="left" w:pos="708"/>
        </w:tabs>
        <w:suppressAutoHyphens w:val="0"/>
        <w:rPr>
          <w:lang w:val="cs-CZ"/>
        </w:rPr>
      </w:pPr>
    </w:p>
    <w:p w14:paraId="35B6B32A" w14:textId="77777777" w:rsidR="00E15847" w:rsidRPr="001B4A02" w:rsidRDefault="00000000" w:rsidP="00ED48A3">
      <w:pPr>
        <w:pStyle w:val="EMEANormal"/>
        <w:tabs>
          <w:tab w:val="clear" w:pos="562"/>
          <w:tab w:val="left" w:pos="708"/>
        </w:tabs>
        <w:suppressAutoHyphens w:val="0"/>
        <w:rPr>
          <w:lang w:val="cs-CZ"/>
        </w:rPr>
      </w:pPr>
      <w:r w:rsidRPr="001B4A02">
        <w:rPr>
          <w:lang w:val="cs-CZ"/>
        </w:rPr>
        <w:t>Přípravek Humira je indikován k léčbě středně těžké až těžké chronické ložiskové psoriázy u</w:t>
      </w:r>
      <w:r w:rsidR="00790DEF" w:rsidRPr="001B4A02">
        <w:rPr>
          <w:lang w:val="cs-CZ"/>
        </w:rPr>
        <w:t> </w:t>
      </w:r>
      <w:r w:rsidRPr="001B4A02">
        <w:rPr>
          <w:lang w:val="cs-CZ"/>
        </w:rPr>
        <w:t xml:space="preserve">dospělých pacientů, kteří jsou kandidáty </w:t>
      </w:r>
      <w:r w:rsidR="003F477E" w:rsidRPr="001B4A02">
        <w:rPr>
          <w:lang w:val="cs-CZ"/>
        </w:rPr>
        <w:t>pro</w:t>
      </w:r>
      <w:r w:rsidRPr="001B4A02">
        <w:rPr>
          <w:lang w:val="cs-CZ"/>
        </w:rPr>
        <w:t xml:space="preserve"> systémovou léčbu.</w:t>
      </w:r>
    </w:p>
    <w:p w14:paraId="3D04146C" w14:textId="77777777" w:rsidR="00ED3511" w:rsidRPr="001B4A02" w:rsidRDefault="00ED3511" w:rsidP="00ED48A3">
      <w:pPr>
        <w:pStyle w:val="EMEANormal"/>
        <w:tabs>
          <w:tab w:val="clear" w:pos="562"/>
          <w:tab w:val="left" w:pos="708"/>
        </w:tabs>
        <w:suppressAutoHyphens w:val="0"/>
        <w:rPr>
          <w:lang w:val="cs-CZ"/>
        </w:rPr>
      </w:pPr>
    </w:p>
    <w:p w14:paraId="6090359F" w14:textId="77777777" w:rsidR="00ED3511" w:rsidRPr="001B4A02" w:rsidRDefault="00000000" w:rsidP="00A12A04">
      <w:pPr>
        <w:pStyle w:val="EMEANormal"/>
        <w:keepNext/>
        <w:tabs>
          <w:tab w:val="clear" w:pos="562"/>
          <w:tab w:val="left" w:pos="708"/>
        </w:tabs>
        <w:suppressAutoHyphens w:val="0"/>
        <w:rPr>
          <w:u w:val="single"/>
          <w:lang w:val="cs-CZ"/>
        </w:rPr>
      </w:pPr>
      <w:r w:rsidRPr="001B4A02">
        <w:rPr>
          <w:u w:val="single"/>
          <w:lang w:val="cs-CZ"/>
        </w:rPr>
        <w:t>Ložisková psoriáza u pediatrických pacientů</w:t>
      </w:r>
    </w:p>
    <w:p w14:paraId="1765EC0E" w14:textId="77777777" w:rsidR="00ED3511" w:rsidRPr="001B4A02" w:rsidRDefault="00ED3511" w:rsidP="00A12A04">
      <w:pPr>
        <w:pStyle w:val="EMEANormal"/>
        <w:keepNext/>
        <w:tabs>
          <w:tab w:val="clear" w:pos="562"/>
          <w:tab w:val="left" w:pos="708"/>
        </w:tabs>
        <w:suppressAutoHyphens w:val="0"/>
        <w:rPr>
          <w:u w:val="single"/>
          <w:lang w:val="cs-CZ"/>
        </w:rPr>
      </w:pPr>
    </w:p>
    <w:p w14:paraId="3C1DA004" w14:textId="77777777" w:rsidR="00ED3511" w:rsidRPr="001B4A02" w:rsidRDefault="00000000" w:rsidP="00ED48A3">
      <w:pPr>
        <w:pStyle w:val="EMEANormal"/>
        <w:tabs>
          <w:tab w:val="clear" w:pos="562"/>
          <w:tab w:val="left" w:pos="708"/>
        </w:tabs>
        <w:suppressAutoHyphens w:val="0"/>
        <w:rPr>
          <w:lang w:val="cs-CZ"/>
        </w:rPr>
      </w:pPr>
      <w:r w:rsidRPr="001B4A02">
        <w:rPr>
          <w:lang w:val="cs-CZ"/>
        </w:rPr>
        <w:t>Přípravek Humira je indikován k léčbě těžké chronické ložiskové psoriázy u</w:t>
      </w:r>
      <w:r w:rsidR="00D15A04" w:rsidRPr="001B4A02">
        <w:rPr>
          <w:lang w:val="cs-CZ"/>
        </w:rPr>
        <w:t> </w:t>
      </w:r>
      <w:r w:rsidRPr="001B4A02">
        <w:rPr>
          <w:lang w:val="cs-CZ"/>
        </w:rPr>
        <w:t>dětí</w:t>
      </w:r>
      <w:r w:rsidR="002378E0">
        <w:rPr>
          <w:lang w:val="cs-CZ"/>
        </w:rPr>
        <w:t xml:space="preserve"> a </w:t>
      </w:r>
      <w:r w:rsidRPr="001B4A02">
        <w:rPr>
          <w:lang w:val="cs-CZ"/>
        </w:rPr>
        <w:t>dospívajících od 4 let, u</w:t>
      </w:r>
      <w:r w:rsidR="00D15A04" w:rsidRPr="001B4A02">
        <w:rPr>
          <w:lang w:val="cs-CZ"/>
        </w:rPr>
        <w:t> </w:t>
      </w:r>
      <w:r w:rsidRPr="001B4A02">
        <w:rPr>
          <w:lang w:val="cs-CZ"/>
        </w:rPr>
        <w:t>kterých reakce na lokální terapii</w:t>
      </w:r>
      <w:r w:rsidR="002378E0">
        <w:rPr>
          <w:lang w:val="cs-CZ"/>
        </w:rPr>
        <w:t xml:space="preserve"> a </w:t>
      </w:r>
      <w:r w:rsidRPr="001B4A02">
        <w:rPr>
          <w:lang w:val="cs-CZ"/>
        </w:rPr>
        <w:t>fototerapie nebyla dostatečná nebo nejsou pro tuto léčbu vhodnými kandidáty.</w:t>
      </w:r>
    </w:p>
    <w:p w14:paraId="57908581" w14:textId="77777777" w:rsidR="00ED3511" w:rsidRPr="001B4A02" w:rsidRDefault="00ED3511" w:rsidP="00ED48A3">
      <w:pPr>
        <w:pStyle w:val="EMEANormal"/>
        <w:tabs>
          <w:tab w:val="clear" w:pos="562"/>
          <w:tab w:val="left" w:pos="708"/>
        </w:tabs>
        <w:suppressAutoHyphens w:val="0"/>
        <w:rPr>
          <w:lang w:val="cs-CZ"/>
        </w:rPr>
      </w:pPr>
    </w:p>
    <w:p w14:paraId="5E5E8DB6" w14:textId="77777777" w:rsidR="00A065E2" w:rsidRPr="001B4A02" w:rsidRDefault="00000000" w:rsidP="00710A27">
      <w:pPr>
        <w:pStyle w:val="EMEANormal"/>
        <w:keepNext/>
        <w:tabs>
          <w:tab w:val="left" w:pos="708"/>
        </w:tabs>
        <w:rPr>
          <w:u w:val="single"/>
          <w:lang w:val="cs-CZ"/>
        </w:rPr>
      </w:pPr>
      <w:r w:rsidRPr="001B4A02">
        <w:rPr>
          <w:u w:val="single"/>
          <w:lang w:val="cs-CZ"/>
        </w:rPr>
        <w:t>Hidradenitis suppurativa (HS)</w:t>
      </w:r>
    </w:p>
    <w:p w14:paraId="6C6F75E0" w14:textId="77777777" w:rsidR="00A065E2" w:rsidRPr="001B4A02" w:rsidRDefault="00A065E2" w:rsidP="00710A27">
      <w:pPr>
        <w:pStyle w:val="EMEANormal"/>
        <w:keepNext/>
        <w:tabs>
          <w:tab w:val="left" w:pos="708"/>
        </w:tabs>
        <w:rPr>
          <w:lang w:val="cs-CZ"/>
        </w:rPr>
      </w:pPr>
    </w:p>
    <w:p w14:paraId="0B0A0EC2" w14:textId="77777777" w:rsidR="00A065E2" w:rsidRPr="001B4A02" w:rsidRDefault="00000000" w:rsidP="00ED48A3">
      <w:pPr>
        <w:pStyle w:val="EMEANormal"/>
        <w:tabs>
          <w:tab w:val="clear" w:pos="562"/>
          <w:tab w:val="left" w:pos="708"/>
        </w:tabs>
        <w:suppressAutoHyphens w:val="0"/>
        <w:rPr>
          <w:lang w:val="cs-CZ"/>
        </w:rPr>
      </w:pPr>
      <w:r w:rsidRPr="001B4A02">
        <w:rPr>
          <w:lang w:val="cs-CZ"/>
        </w:rPr>
        <w:t>Přípravek Humira je indikován k</w:t>
      </w:r>
      <w:r w:rsidR="003F1951">
        <w:rPr>
          <w:lang w:val="cs-CZ"/>
        </w:rPr>
        <w:t> </w:t>
      </w:r>
      <w:r w:rsidRPr="001B4A02">
        <w:rPr>
          <w:lang w:val="cs-CZ"/>
        </w:rPr>
        <w:t>léčbě aktivní středně těžké až těžké hidradenitis suppurativa (acne inversa) u</w:t>
      </w:r>
      <w:r w:rsidR="00D15A04" w:rsidRPr="001B4A02">
        <w:rPr>
          <w:lang w:val="cs-CZ"/>
        </w:rPr>
        <w:t> </w:t>
      </w:r>
      <w:r w:rsidRPr="001B4A02">
        <w:rPr>
          <w:lang w:val="cs-CZ"/>
        </w:rPr>
        <w:t>dospělých</w:t>
      </w:r>
      <w:r w:rsidR="002378E0">
        <w:rPr>
          <w:lang w:val="cs-CZ"/>
        </w:rPr>
        <w:t xml:space="preserve"> a </w:t>
      </w:r>
      <w:r w:rsidR="00C14B8F" w:rsidRPr="001B4A02">
        <w:rPr>
          <w:lang w:val="cs-CZ"/>
        </w:rPr>
        <w:t xml:space="preserve">dospívajících od 12 let </w:t>
      </w:r>
      <w:r w:rsidRPr="001B4A02">
        <w:rPr>
          <w:lang w:val="cs-CZ"/>
        </w:rPr>
        <w:t>při nedostatečné odpovědi na jinou konvenční systémovou léčbu HS</w:t>
      </w:r>
      <w:r w:rsidR="00C14B8F" w:rsidRPr="001B4A02">
        <w:rPr>
          <w:lang w:val="cs-CZ"/>
        </w:rPr>
        <w:t xml:space="preserve"> (viz body 5.1</w:t>
      </w:r>
      <w:r w:rsidR="002378E0">
        <w:rPr>
          <w:lang w:val="cs-CZ"/>
        </w:rPr>
        <w:t xml:space="preserve"> a </w:t>
      </w:r>
      <w:r w:rsidR="00C14B8F" w:rsidRPr="001B4A02">
        <w:rPr>
          <w:lang w:val="cs-CZ"/>
        </w:rPr>
        <w:t>5.2)</w:t>
      </w:r>
      <w:r w:rsidRPr="001B4A02">
        <w:rPr>
          <w:lang w:val="cs-CZ"/>
        </w:rPr>
        <w:t>.</w:t>
      </w:r>
    </w:p>
    <w:p w14:paraId="1BE4F009" w14:textId="77777777" w:rsidR="00A065E2" w:rsidRPr="001B4A02" w:rsidRDefault="00A065E2" w:rsidP="00ED48A3">
      <w:pPr>
        <w:pStyle w:val="EMEANormal"/>
        <w:tabs>
          <w:tab w:val="clear" w:pos="562"/>
          <w:tab w:val="left" w:pos="708"/>
        </w:tabs>
        <w:suppressAutoHyphens w:val="0"/>
        <w:rPr>
          <w:lang w:val="cs-CZ"/>
        </w:rPr>
      </w:pPr>
    </w:p>
    <w:p w14:paraId="38D94EA7" w14:textId="77777777" w:rsidR="00ED3511" w:rsidRPr="001B4A02" w:rsidRDefault="00000000" w:rsidP="00710A27">
      <w:pPr>
        <w:pStyle w:val="EMEANormal"/>
        <w:keepNext/>
        <w:tabs>
          <w:tab w:val="clear" w:pos="562"/>
          <w:tab w:val="left" w:pos="708"/>
        </w:tabs>
        <w:suppressAutoHyphens w:val="0"/>
        <w:rPr>
          <w:u w:val="single"/>
          <w:lang w:val="cs-CZ"/>
        </w:rPr>
      </w:pPr>
      <w:r w:rsidRPr="001B4A02">
        <w:rPr>
          <w:u w:val="single"/>
          <w:lang w:val="cs-CZ"/>
        </w:rPr>
        <w:t>Crohnova choroba</w:t>
      </w:r>
    </w:p>
    <w:p w14:paraId="03AB3E27" w14:textId="77777777" w:rsidR="00ED3511" w:rsidRPr="001B4A02" w:rsidRDefault="00ED3511" w:rsidP="00710A27">
      <w:pPr>
        <w:pStyle w:val="EMEANormal"/>
        <w:keepNext/>
        <w:tabs>
          <w:tab w:val="clear" w:pos="562"/>
          <w:tab w:val="left" w:pos="708"/>
        </w:tabs>
        <w:suppressAutoHyphens w:val="0"/>
        <w:rPr>
          <w:lang w:val="cs-CZ"/>
        </w:rPr>
      </w:pPr>
    </w:p>
    <w:p w14:paraId="5B7C1DB5" w14:textId="77777777" w:rsidR="00ED3511" w:rsidRPr="001B4A02" w:rsidRDefault="00000000" w:rsidP="00ED48A3">
      <w:pPr>
        <w:pStyle w:val="EMEANormal"/>
        <w:tabs>
          <w:tab w:val="clear" w:pos="562"/>
          <w:tab w:val="left" w:pos="708"/>
        </w:tabs>
        <w:suppressAutoHyphens w:val="0"/>
        <w:rPr>
          <w:lang w:val="cs-CZ"/>
        </w:rPr>
      </w:pPr>
      <w:r w:rsidRPr="001B4A02">
        <w:rPr>
          <w:lang w:val="cs-CZ"/>
        </w:rPr>
        <w:t>Přípravek Humira je indikován k léčbě středně těžké až těžké aktivní Crohnovy choroby u</w:t>
      </w:r>
      <w:r w:rsidR="00D15A04" w:rsidRPr="001B4A02">
        <w:rPr>
          <w:lang w:val="cs-CZ"/>
        </w:rPr>
        <w:t> </w:t>
      </w:r>
      <w:r w:rsidRPr="001B4A02">
        <w:rPr>
          <w:lang w:val="cs-CZ"/>
        </w:rPr>
        <w:t>dospělých pacientů, kteří i přes plnou</w:t>
      </w:r>
      <w:r w:rsidR="002378E0">
        <w:rPr>
          <w:lang w:val="cs-CZ"/>
        </w:rPr>
        <w:t xml:space="preserve"> a </w:t>
      </w:r>
      <w:r w:rsidRPr="001B4A02">
        <w:rPr>
          <w:lang w:val="cs-CZ"/>
        </w:rPr>
        <w:t>adekvátní léčbu kortikosteroidy a/nebo imunosupresivy na tuto léčbu neodpovídali</w:t>
      </w:r>
      <w:r w:rsidR="00FC14B8" w:rsidRPr="001B4A02">
        <w:rPr>
          <w:lang w:val="cs-CZ"/>
        </w:rPr>
        <w:t>; nebo</w:t>
      </w:r>
      <w:r w:rsidRPr="001B4A02">
        <w:rPr>
          <w:lang w:val="cs-CZ"/>
        </w:rPr>
        <w:t xml:space="preserve"> kteří ji netolerují nebo je u</w:t>
      </w:r>
      <w:r w:rsidR="00D15A04" w:rsidRPr="001B4A02">
        <w:rPr>
          <w:lang w:val="cs-CZ"/>
        </w:rPr>
        <w:t> </w:t>
      </w:r>
      <w:r w:rsidRPr="001B4A02">
        <w:rPr>
          <w:lang w:val="cs-CZ"/>
        </w:rPr>
        <w:t>nich</w:t>
      </w:r>
      <w:r w:rsidR="00354218" w:rsidRPr="001B4A02">
        <w:rPr>
          <w:lang w:val="cs-CZ"/>
        </w:rPr>
        <w:t xml:space="preserve"> tato léčba</w:t>
      </w:r>
      <w:r w:rsidRPr="001B4A02">
        <w:rPr>
          <w:lang w:val="cs-CZ"/>
        </w:rPr>
        <w:t xml:space="preserve"> kontrai</w:t>
      </w:r>
      <w:r w:rsidR="00BC3547" w:rsidRPr="001B4A02">
        <w:rPr>
          <w:lang w:val="cs-CZ"/>
        </w:rPr>
        <w:t>n</w:t>
      </w:r>
      <w:r w:rsidRPr="001B4A02">
        <w:rPr>
          <w:lang w:val="cs-CZ"/>
        </w:rPr>
        <w:t>dikována.</w:t>
      </w:r>
    </w:p>
    <w:p w14:paraId="438C83CB" w14:textId="77777777" w:rsidR="00ED3511" w:rsidRPr="001B4A02" w:rsidRDefault="00ED3511" w:rsidP="00ED48A3">
      <w:pPr>
        <w:pStyle w:val="EMEANormal"/>
        <w:tabs>
          <w:tab w:val="clear" w:pos="562"/>
          <w:tab w:val="left" w:pos="708"/>
        </w:tabs>
        <w:suppressAutoHyphens w:val="0"/>
        <w:rPr>
          <w:lang w:val="cs-CZ"/>
        </w:rPr>
      </w:pPr>
    </w:p>
    <w:p w14:paraId="00A8D0D3" w14:textId="77777777" w:rsidR="00ED3511" w:rsidRPr="001B4A02" w:rsidRDefault="00000000" w:rsidP="00790DEF">
      <w:pPr>
        <w:pStyle w:val="EMEANormal"/>
        <w:keepNext/>
        <w:tabs>
          <w:tab w:val="clear" w:pos="562"/>
          <w:tab w:val="left" w:pos="708"/>
        </w:tabs>
        <w:suppressAutoHyphens w:val="0"/>
        <w:rPr>
          <w:u w:val="single"/>
          <w:lang w:val="cs-CZ"/>
        </w:rPr>
      </w:pPr>
      <w:r w:rsidRPr="001B4A02">
        <w:rPr>
          <w:u w:val="single"/>
          <w:lang w:val="cs-CZ"/>
        </w:rPr>
        <w:t>Crohnova choroba u pediatrických pacientů</w:t>
      </w:r>
    </w:p>
    <w:p w14:paraId="675FEC77" w14:textId="77777777" w:rsidR="00ED3511" w:rsidRPr="001B4A02" w:rsidRDefault="00ED3511" w:rsidP="00790DEF">
      <w:pPr>
        <w:pStyle w:val="EMEANormal"/>
        <w:keepNext/>
        <w:tabs>
          <w:tab w:val="clear" w:pos="562"/>
          <w:tab w:val="left" w:pos="708"/>
        </w:tabs>
        <w:suppressAutoHyphens w:val="0"/>
        <w:rPr>
          <w:lang w:val="cs-CZ"/>
        </w:rPr>
      </w:pPr>
    </w:p>
    <w:p w14:paraId="65FF8BD0" w14:textId="77777777" w:rsidR="00ED3511" w:rsidRPr="001B4A02" w:rsidRDefault="00000000" w:rsidP="00ED48A3">
      <w:pPr>
        <w:pStyle w:val="EMEANormal"/>
        <w:tabs>
          <w:tab w:val="clear" w:pos="562"/>
          <w:tab w:val="left" w:pos="708"/>
        </w:tabs>
        <w:suppressAutoHyphens w:val="0"/>
        <w:rPr>
          <w:lang w:val="cs-CZ"/>
        </w:rPr>
      </w:pPr>
      <w:r w:rsidRPr="001B4A02">
        <w:rPr>
          <w:lang w:val="cs-CZ"/>
        </w:rPr>
        <w:t xml:space="preserve">Přípravek Humira je indikován k léčbě </w:t>
      </w:r>
      <w:r w:rsidR="00ED4266" w:rsidRPr="001B4A02">
        <w:rPr>
          <w:lang w:val="cs-CZ"/>
        </w:rPr>
        <w:t xml:space="preserve">středně těžké až </w:t>
      </w:r>
      <w:r w:rsidRPr="001B4A02">
        <w:rPr>
          <w:lang w:val="cs-CZ"/>
        </w:rPr>
        <w:t>těžké aktivní Crohnovy choroby u</w:t>
      </w:r>
      <w:r w:rsidR="00790DEF" w:rsidRPr="001B4A02">
        <w:rPr>
          <w:lang w:val="cs-CZ"/>
        </w:rPr>
        <w:t> </w:t>
      </w:r>
      <w:r w:rsidRPr="001B4A02">
        <w:rPr>
          <w:lang w:val="cs-CZ"/>
        </w:rPr>
        <w:t>pediatrických pacientů (od 6 let), u</w:t>
      </w:r>
      <w:r w:rsidR="00D15A04" w:rsidRPr="001B4A02">
        <w:rPr>
          <w:lang w:val="cs-CZ"/>
        </w:rPr>
        <w:t> </w:t>
      </w:r>
      <w:r w:rsidRPr="001B4A02">
        <w:rPr>
          <w:lang w:val="cs-CZ"/>
        </w:rPr>
        <w:t>kterých reakce na konvenční léčbu včetně primární nutriční léčby</w:t>
      </w:r>
      <w:r w:rsidR="002378E0">
        <w:rPr>
          <w:lang w:val="cs-CZ"/>
        </w:rPr>
        <w:t xml:space="preserve"> a </w:t>
      </w:r>
      <w:r w:rsidRPr="001B4A02">
        <w:rPr>
          <w:lang w:val="cs-CZ"/>
        </w:rPr>
        <w:t>kortikosteroidů a/nebo imunosupresiv nebyla dostatečná</w:t>
      </w:r>
      <w:r w:rsidR="00FC14B8" w:rsidRPr="001B4A02">
        <w:rPr>
          <w:lang w:val="cs-CZ"/>
        </w:rPr>
        <w:t>,</w:t>
      </w:r>
      <w:r w:rsidRPr="001B4A02">
        <w:rPr>
          <w:lang w:val="cs-CZ"/>
        </w:rPr>
        <w:t xml:space="preserve"> nebo kteří ji netolerují nebo je u</w:t>
      </w:r>
      <w:r w:rsidR="00D15A04" w:rsidRPr="001B4A02">
        <w:rPr>
          <w:lang w:val="cs-CZ"/>
        </w:rPr>
        <w:t> </w:t>
      </w:r>
      <w:r w:rsidRPr="001B4A02">
        <w:rPr>
          <w:lang w:val="cs-CZ"/>
        </w:rPr>
        <w:t>nich tato léčba kontrai</w:t>
      </w:r>
      <w:r w:rsidR="00BC3547" w:rsidRPr="001B4A02">
        <w:rPr>
          <w:lang w:val="cs-CZ"/>
        </w:rPr>
        <w:t>n</w:t>
      </w:r>
      <w:r w:rsidRPr="001B4A02">
        <w:rPr>
          <w:lang w:val="cs-CZ"/>
        </w:rPr>
        <w:t>dikována.</w:t>
      </w:r>
    </w:p>
    <w:p w14:paraId="17A3962A" w14:textId="77777777" w:rsidR="00ED3511" w:rsidRPr="001B4A02" w:rsidRDefault="00ED3511" w:rsidP="00ED48A3">
      <w:pPr>
        <w:pStyle w:val="EMEANormal"/>
        <w:tabs>
          <w:tab w:val="clear" w:pos="562"/>
          <w:tab w:val="left" w:pos="708"/>
        </w:tabs>
        <w:suppressAutoHyphens w:val="0"/>
        <w:rPr>
          <w:lang w:val="cs-CZ"/>
        </w:rPr>
      </w:pPr>
    </w:p>
    <w:p w14:paraId="79C47670" w14:textId="77777777" w:rsidR="00ED3511" w:rsidRPr="001B4A02" w:rsidRDefault="00000000" w:rsidP="00A12A04">
      <w:pPr>
        <w:pStyle w:val="EMEANormal"/>
        <w:keepNext/>
        <w:tabs>
          <w:tab w:val="clear" w:pos="562"/>
          <w:tab w:val="left" w:pos="708"/>
        </w:tabs>
        <w:suppressAutoHyphens w:val="0"/>
        <w:rPr>
          <w:u w:val="single"/>
          <w:lang w:val="cs-CZ"/>
        </w:rPr>
      </w:pPr>
      <w:r w:rsidRPr="001B4A02">
        <w:rPr>
          <w:u w:val="single"/>
          <w:lang w:val="cs-CZ"/>
        </w:rPr>
        <w:t>Ulcerózní kolitida</w:t>
      </w:r>
    </w:p>
    <w:p w14:paraId="010094D6" w14:textId="77777777" w:rsidR="00ED3511" w:rsidRPr="001B4A02" w:rsidRDefault="00ED3511" w:rsidP="00A12A04">
      <w:pPr>
        <w:pStyle w:val="EMEANormal"/>
        <w:keepNext/>
        <w:tabs>
          <w:tab w:val="clear" w:pos="562"/>
          <w:tab w:val="left" w:pos="708"/>
        </w:tabs>
        <w:suppressAutoHyphens w:val="0"/>
        <w:rPr>
          <w:lang w:val="cs-CZ"/>
        </w:rPr>
      </w:pPr>
    </w:p>
    <w:p w14:paraId="0E5A89D2" w14:textId="77777777" w:rsidR="00ED3511" w:rsidRPr="001B4A02" w:rsidRDefault="00000000" w:rsidP="00ED48A3">
      <w:pPr>
        <w:pStyle w:val="EMEANormal"/>
        <w:tabs>
          <w:tab w:val="clear" w:pos="562"/>
          <w:tab w:val="left" w:pos="708"/>
        </w:tabs>
        <w:suppressAutoHyphens w:val="0"/>
        <w:rPr>
          <w:lang w:val="cs-CZ"/>
        </w:rPr>
      </w:pPr>
      <w:r w:rsidRPr="001B4A02">
        <w:rPr>
          <w:lang w:val="cs-CZ"/>
        </w:rPr>
        <w:t>Přípravek Humira je indikován k léčbě středně těžké až těžké aktivní ulcerózní kolitidy u</w:t>
      </w:r>
      <w:r w:rsidR="00D15A04" w:rsidRPr="001B4A02">
        <w:rPr>
          <w:lang w:val="cs-CZ"/>
        </w:rPr>
        <w:t> </w:t>
      </w:r>
      <w:r w:rsidRPr="001B4A02">
        <w:rPr>
          <w:lang w:val="cs-CZ"/>
        </w:rPr>
        <w:t xml:space="preserve">dospělých pacientů, u kterých </w:t>
      </w:r>
      <w:r w:rsidR="00672AB1" w:rsidRPr="00672AB1">
        <w:rPr>
          <w:lang w:val="cs-CZ"/>
        </w:rPr>
        <w:t xml:space="preserve">reakce </w:t>
      </w:r>
      <w:r w:rsidRPr="001B4A02">
        <w:rPr>
          <w:lang w:val="cs-CZ"/>
        </w:rPr>
        <w:t>na konvenční léčbu včetně kortikosteroidů</w:t>
      </w:r>
      <w:r w:rsidR="002378E0">
        <w:rPr>
          <w:lang w:val="cs-CZ"/>
        </w:rPr>
        <w:t xml:space="preserve"> a </w:t>
      </w:r>
      <w:r w:rsidRPr="001B4A02">
        <w:rPr>
          <w:lang w:val="cs-CZ"/>
        </w:rPr>
        <w:t xml:space="preserve">6-merkaptopurinu (6-MP) nebo azathioprinu (AZA) nebyla dostatečná, nebo kteří </w:t>
      </w:r>
      <w:r w:rsidR="00FC14B8" w:rsidRPr="001B4A02">
        <w:rPr>
          <w:lang w:val="cs-CZ"/>
        </w:rPr>
        <w:t>ji netolerují nebo je u</w:t>
      </w:r>
      <w:r w:rsidR="00D15A04" w:rsidRPr="001B4A02">
        <w:rPr>
          <w:lang w:val="cs-CZ"/>
        </w:rPr>
        <w:t> </w:t>
      </w:r>
      <w:r w:rsidR="00FC14B8" w:rsidRPr="001B4A02">
        <w:rPr>
          <w:lang w:val="cs-CZ"/>
        </w:rPr>
        <w:t>nich tato léčba kontrai</w:t>
      </w:r>
      <w:r w:rsidR="00BC3547" w:rsidRPr="001B4A02">
        <w:rPr>
          <w:lang w:val="cs-CZ"/>
        </w:rPr>
        <w:t>n</w:t>
      </w:r>
      <w:r w:rsidR="00FC14B8" w:rsidRPr="001B4A02">
        <w:rPr>
          <w:lang w:val="cs-CZ"/>
        </w:rPr>
        <w:t>dikována</w:t>
      </w:r>
      <w:r w:rsidRPr="001B4A02">
        <w:rPr>
          <w:lang w:val="cs-CZ"/>
        </w:rPr>
        <w:t>.</w:t>
      </w:r>
    </w:p>
    <w:p w14:paraId="4265F9FB" w14:textId="77777777" w:rsidR="00ED3511" w:rsidRPr="001B4A02" w:rsidRDefault="00ED3511" w:rsidP="00ED48A3">
      <w:pPr>
        <w:ind w:left="0" w:firstLine="0"/>
      </w:pPr>
    </w:p>
    <w:p w14:paraId="5D33FC78" w14:textId="77777777" w:rsidR="00F565BA" w:rsidRPr="001B4A02" w:rsidRDefault="00000000" w:rsidP="00ED48A3">
      <w:pPr>
        <w:keepNext/>
        <w:rPr>
          <w:u w:val="single"/>
        </w:rPr>
      </w:pPr>
      <w:r w:rsidRPr="001B4A02">
        <w:rPr>
          <w:u w:val="single"/>
        </w:rPr>
        <w:t>Uveitida</w:t>
      </w:r>
    </w:p>
    <w:p w14:paraId="2E696781" w14:textId="77777777" w:rsidR="00F565BA" w:rsidRPr="001B4A02" w:rsidRDefault="00F565BA" w:rsidP="00ED48A3">
      <w:pPr>
        <w:keepNext/>
        <w:rPr>
          <w:u w:val="single"/>
        </w:rPr>
      </w:pPr>
    </w:p>
    <w:p w14:paraId="1CB48686" w14:textId="77777777" w:rsidR="00F565BA" w:rsidRPr="001B4A02" w:rsidRDefault="00000000" w:rsidP="00ED48A3">
      <w:pPr>
        <w:pStyle w:val="EMEANormal"/>
        <w:rPr>
          <w:lang w:val="cs-CZ"/>
        </w:rPr>
      </w:pPr>
      <w:r w:rsidRPr="001B4A02">
        <w:rPr>
          <w:lang w:val="cs-CZ"/>
        </w:rPr>
        <w:t>Přípravek Humira je indikován k léčbě neinfekční intermediální</w:t>
      </w:r>
      <w:r w:rsidR="002378E0">
        <w:rPr>
          <w:lang w:val="cs-CZ"/>
        </w:rPr>
        <w:t xml:space="preserve"> a </w:t>
      </w:r>
      <w:r w:rsidRPr="001B4A02">
        <w:rPr>
          <w:lang w:val="cs-CZ"/>
        </w:rPr>
        <w:t>zadní uveitidy</w:t>
      </w:r>
      <w:r w:rsidR="002378E0">
        <w:rPr>
          <w:lang w:val="cs-CZ"/>
        </w:rPr>
        <w:t xml:space="preserve"> a </w:t>
      </w:r>
      <w:r w:rsidRPr="001B4A02">
        <w:rPr>
          <w:lang w:val="cs-CZ"/>
        </w:rPr>
        <w:t>panuveitidy u dospělých pacientů, u</w:t>
      </w:r>
      <w:r w:rsidR="00D15A04" w:rsidRPr="001B4A02">
        <w:rPr>
          <w:lang w:val="cs-CZ"/>
        </w:rPr>
        <w:t> </w:t>
      </w:r>
      <w:r w:rsidRPr="001B4A02">
        <w:rPr>
          <w:lang w:val="cs-CZ"/>
        </w:rPr>
        <w:t xml:space="preserve">kterých reakce na </w:t>
      </w:r>
      <w:r w:rsidR="00263A56" w:rsidRPr="001B4A02">
        <w:rPr>
          <w:lang w:val="cs-CZ"/>
        </w:rPr>
        <w:t xml:space="preserve">terapii </w:t>
      </w:r>
      <w:r w:rsidRPr="001B4A02">
        <w:rPr>
          <w:lang w:val="cs-CZ"/>
        </w:rPr>
        <w:t>kortikosteroidy nebyla dostatečná, u</w:t>
      </w:r>
      <w:r w:rsidR="00D15A04" w:rsidRPr="001B4A02">
        <w:rPr>
          <w:lang w:val="cs-CZ"/>
        </w:rPr>
        <w:t> </w:t>
      </w:r>
      <w:r w:rsidRPr="001B4A02">
        <w:rPr>
          <w:lang w:val="cs-CZ"/>
        </w:rPr>
        <w:t>pacientů vyžadujících kortikosteroidy šetřící terapii, nebo u</w:t>
      </w:r>
      <w:r w:rsidR="00D15A04" w:rsidRPr="001B4A02">
        <w:rPr>
          <w:lang w:val="cs-CZ"/>
        </w:rPr>
        <w:t> </w:t>
      </w:r>
      <w:r w:rsidRPr="001B4A02">
        <w:rPr>
          <w:lang w:val="cs-CZ"/>
        </w:rPr>
        <w:t>pacientů, pro něž terapie kortikosteroidy není vhodná.</w:t>
      </w:r>
    </w:p>
    <w:p w14:paraId="5499812B" w14:textId="77777777" w:rsidR="008738EE" w:rsidRPr="001B4A02" w:rsidRDefault="008738EE" w:rsidP="00672AB1">
      <w:pPr>
        <w:pStyle w:val="EMEANormal"/>
        <w:tabs>
          <w:tab w:val="clear" w:pos="562"/>
        </w:tabs>
        <w:rPr>
          <w:lang w:val="cs-CZ"/>
        </w:rPr>
      </w:pPr>
    </w:p>
    <w:p w14:paraId="1FFD3B32" w14:textId="77777777" w:rsidR="00645A20" w:rsidRPr="00D01607" w:rsidRDefault="00000000" w:rsidP="00672AB1">
      <w:pPr>
        <w:keepNext/>
        <w:ind w:left="0" w:firstLine="0"/>
        <w:rPr>
          <w:u w:val="single"/>
        </w:rPr>
      </w:pPr>
      <w:r>
        <w:rPr>
          <w:u w:val="single"/>
        </w:rPr>
        <w:t>Ulcerózní kolitida u pediatrických pacientů</w:t>
      </w:r>
    </w:p>
    <w:p w14:paraId="50D4A835" w14:textId="77777777" w:rsidR="00645A20" w:rsidRDefault="00645A20" w:rsidP="00672AB1">
      <w:pPr>
        <w:keepNext/>
        <w:ind w:left="0" w:firstLine="0"/>
      </w:pPr>
    </w:p>
    <w:p w14:paraId="0945D831" w14:textId="77777777" w:rsidR="0086098A" w:rsidRDefault="00000000" w:rsidP="00672AB1">
      <w:pPr>
        <w:ind w:left="0" w:firstLine="0"/>
      </w:pPr>
      <w:r w:rsidRPr="003901D8">
        <w:t>Přípravek Humira je indikován k</w:t>
      </w:r>
      <w:r w:rsidR="00025179">
        <w:t> </w:t>
      </w:r>
      <w:r w:rsidRPr="003901D8">
        <w:t>léčbě středně těžké až těž</w:t>
      </w:r>
      <w:r>
        <w:t>ké aktivní ulcerózní kolitidy u </w:t>
      </w:r>
      <w:r w:rsidRPr="003901D8">
        <w:t>pediatrických pacientů (od 6 let), u</w:t>
      </w:r>
      <w:r w:rsidR="00025179">
        <w:t> </w:t>
      </w:r>
      <w:r w:rsidRPr="003901D8">
        <w:t xml:space="preserve">kterých reakce na konvenční léčbu </w:t>
      </w:r>
      <w:r w:rsidR="00764394" w:rsidRPr="001B4A02">
        <w:t xml:space="preserve">včetně </w:t>
      </w:r>
      <w:r w:rsidRPr="003901D8">
        <w:t>kortikosteroid</w:t>
      </w:r>
      <w:r w:rsidR="00764394">
        <w:t>ů</w:t>
      </w:r>
      <w:r w:rsidRPr="003901D8">
        <w:t xml:space="preserve"> a/nebo 6-merkaptopurin</w:t>
      </w:r>
      <w:r w:rsidR="00764394">
        <w:t>u</w:t>
      </w:r>
      <w:r w:rsidRPr="003901D8">
        <w:t xml:space="preserve"> (6-MP) nebo azathioprin</w:t>
      </w:r>
      <w:r w:rsidR="00764394">
        <w:t>u</w:t>
      </w:r>
      <w:r w:rsidRPr="003901D8">
        <w:t xml:space="preserve"> (AZA) nebyla dostatečná, nebo kteří ji netolerují nebo je u</w:t>
      </w:r>
      <w:r w:rsidR="00025179">
        <w:t> </w:t>
      </w:r>
      <w:r w:rsidRPr="003901D8">
        <w:t>nich tato léčba kontraindikována.</w:t>
      </w:r>
    </w:p>
    <w:p w14:paraId="57838898" w14:textId="77777777" w:rsidR="00323325" w:rsidRPr="00672AB1" w:rsidRDefault="00323325" w:rsidP="00672AB1">
      <w:pPr>
        <w:pStyle w:val="BodyText"/>
        <w:ind w:left="0" w:firstLine="0"/>
        <w:rPr>
          <w:b w:val="0"/>
          <w:i w:val="0"/>
          <w:szCs w:val="22"/>
          <w:bdr w:val="nil"/>
          <w:lang w:val="cs-CZ"/>
        </w:rPr>
      </w:pPr>
    </w:p>
    <w:p w14:paraId="6C1C2348" w14:textId="77777777" w:rsidR="009B0C0F" w:rsidRPr="001B4A02" w:rsidRDefault="00000000" w:rsidP="00A12A04">
      <w:pPr>
        <w:pStyle w:val="BodyText"/>
        <w:keepNext/>
        <w:rPr>
          <w:b w:val="0"/>
          <w:i w:val="0"/>
          <w:szCs w:val="22"/>
          <w:u w:val="single"/>
          <w:lang w:val="cs-CZ"/>
        </w:rPr>
      </w:pPr>
      <w:r w:rsidRPr="001B4A02">
        <w:rPr>
          <w:b w:val="0"/>
          <w:i w:val="0"/>
          <w:szCs w:val="22"/>
          <w:u w:val="single"/>
          <w:lang w:val="cs-CZ"/>
        </w:rPr>
        <w:t>Uveitida u pediatrických pacientů</w:t>
      </w:r>
    </w:p>
    <w:p w14:paraId="0E8268DC" w14:textId="77777777" w:rsidR="009B0C0F" w:rsidRPr="001B4A02" w:rsidRDefault="009B0C0F" w:rsidP="00A12A04">
      <w:pPr>
        <w:keepNext/>
      </w:pPr>
    </w:p>
    <w:p w14:paraId="3BFD8262" w14:textId="77777777" w:rsidR="008738EE" w:rsidRPr="001B4A02" w:rsidRDefault="00000000" w:rsidP="00ED48A3">
      <w:pPr>
        <w:pStyle w:val="EMEANormal"/>
        <w:tabs>
          <w:tab w:val="clear" w:pos="562"/>
          <w:tab w:val="left" w:pos="708"/>
        </w:tabs>
        <w:suppressAutoHyphens w:val="0"/>
        <w:rPr>
          <w:lang w:val="cs-CZ"/>
        </w:rPr>
      </w:pPr>
      <w:r w:rsidRPr="001B4A02">
        <w:rPr>
          <w:szCs w:val="22"/>
          <w:lang w:val="cs-CZ"/>
        </w:rPr>
        <w:t>Přípravek Humira je indikován k</w:t>
      </w:r>
      <w:r w:rsidR="00D15A04" w:rsidRPr="001B4A02">
        <w:rPr>
          <w:szCs w:val="22"/>
          <w:lang w:val="cs-CZ"/>
        </w:rPr>
        <w:t> </w:t>
      </w:r>
      <w:r w:rsidRPr="001B4A02">
        <w:rPr>
          <w:szCs w:val="22"/>
          <w:lang w:val="cs-CZ"/>
        </w:rPr>
        <w:t>léčbě chronické neinfekční přední uveitidy u</w:t>
      </w:r>
      <w:r w:rsidR="00D15A04" w:rsidRPr="001B4A02">
        <w:rPr>
          <w:szCs w:val="22"/>
          <w:lang w:val="cs-CZ"/>
        </w:rPr>
        <w:t> </w:t>
      </w:r>
      <w:r w:rsidRPr="001B4A02">
        <w:rPr>
          <w:szCs w:val="22"/>
          <w:lang w:val="cs-CZ"/>
        </w:rPr>
        <w:t xml:space="preserve">pediatrických pacientů ve věku od 2 let, </w:t>
      </w:r>
      <w:r w:rsidRPr="001B4A02">
        <w:rPr>
          <w:lang w:val="cs-CZ"/>
        </w:rPr>
        <w:t>u</w:t>
      </w:r>
      <w:r w:rsidR="00D15A04" w:rsidRPr="001B4A02">
        <w:rPr>
          <w:lang w:val="cs-CZ"/>
        </w:rPr>
        <w:t> </w:t>
      </w:r>
      <w:r w:rsidRPr="001B4A02">
        <w:rPr>
          <w:lang w:val="cs-CZ"/>
        </w:rPr>
        <w:t>kterých reakce na konvenční léčbu nebyla dostatečná, nebo kteří ji netolerují nebo u</w:t>
      </w:r>
      <w:r w:rsidR="00D15A04" w:rsidRPr="001B4A02">
        <w:rPr>
          <w:lang w:val="cs-CZ"/>
        </w:rPr>
        <w:t> </w:t>
      </w:r>
      <w:r w:rsidRPr="001B4A02">
        <w:rPr>
          <w:lang w:val="cs-CZ"/>
        </w:rPr>
        <w:t>nich</w:t>
      </w:r>
      <w:r w:rsidR="0022057B" w:rsidRPr="001B4A02">
        <w:rPr>
          <w:lang w:val="cs-CZ"/>
        </w:rPr>
        <w:t>ž</w:t>
      </w:r>
      <w:r w:rsidRPr="001B4A02">
        <w:rPr>
          <w:lang w:val="cs-CZ"/>
        </w:rPr>
        <w:t xml:space="preserve"> tato léčba není vhodná.</w:t>
      </w:r>
    </w:p>
    <w:p w14:paraId="077FC7DD" w14:textId="77777777" w:rsidR="00F565BA" w:rsidRPr="001B4A02" w:rsidRDefault="00F565BA" w:rsidP="00ED48A3">
      <w:pPr>
        <w:pStyle w:val="EMEANormal"/>
        <w:rPr>
          <w:lang w:val="cs-CZ"/>
        </w:rPr>
      </w:pPr>
    </w:p>
    <w:p w14:paraId="4C233018" w14:textId="77777777" w:rsidR="00ED3511" w:rsidRPr="001B4A02" w:rsidRDefault="00000000" w:rsidP="00A15B7A">
      <w:pPr>
        <w:keepNext/>
        <w:outlineLvl w:val="1"/>
        <w:rPr>
          <w:b/>
        </w:rPr>
      </w:pPr>
      <w:r w:rsidRPr="001B4A02">
        <w:rPr>
          <w:b/>
        </w:rPr>
        <w:t>4.2</w:t>
      </w:r>
      <w:r w:rsidRPr="001B4A02">
        <w:rPr>
          <w:b/>
        </w:rPr>
        <w:tab/>
        <w:t>Dávkování</w:t>
      </w:r>
      <w:r w:rsidR="002378E0">
        <w:rPr>
          <w:b/>
        </w:rPr>
        <w:t xml:space="preserve"> a </w:t>
      </w:r>
      <w:r w:rsidRPr="001B4A02">
        <w:rPr>
          <w:b/>
        </w:rPr>
        <w:t>způsob podání</w:t>
      </w:r>
    </w:p>
    <w:p w14:paraId="7CF8D524" w14:textId="77777777" w:rsidR="00ED3511" w:rsidRPr="001B4A02" w:rsidRDefault="00ED3511" w:rsidP="00A12A04">
      <w:pPr>
        <w:keepNext/>
        <w:ind w:left="0" w:firstLine="0"/>
      </w:pPr>
    </w:p>
    <w:p w14:paraId="7115D0C5" w14:textId="77777777" w:rsidR="00ED3511" w:rsidRPr="001B4A02" w:rsidRDefault="00000000" w:rsidP="00ED48A3">
      <w:pPr>
        <w:ind w:left="0" w:firstLine="0"/>
      </w:pPr>
      <w:r w:rsidRPr="001B4A02">
        <w:t>Léčba přípravkem Humira má být zahájena</w:t>
      </w:r>
      <w:r w:rsidR="002378E0">
        <w:t xml:space="preserve"> a </w:t>
      </w:r>
      <w:r w:rsidRPr="001B4A02">
        <w:t>sledována odborným lékařem se zkušenostmi v diagnostice</w:t>
      </w:r>
      <w:r w:rsidR="002378E0">
        <w:t xml:space="preserve"> a </w:t>
      </w:r>
      <w:r w:rsidRPr="001B4A02">
        <w:t xml:space="preserve">léčbě těch typů onemocnění, pro něž je přípravek Humira indikován. </w:t>
      </w:r>
      <w:r w:rsidR="00F565BA" w:rsidRPr="001B4A02">
        <w:t xml:space="preserve">Oftalmologům se doporučuje terapii přípravkem Humira před </w:t>
      </w:r>
      <w:r w:rsidR="008B623D" w:rsidRPr="001B4A02">
        <w:t xml:space="preserve">jejím </w:t>
      </w:r>
      <w:r w:rsidR="00F565BA" w:rsidRPr="001B4A02">
        <w:t>zahájením zkonzultovat s příslušným odborným lékařem</w:t>
      </w:r>
      <w:r w:rsidR="00F565BA" w:rsidRPr="001B4A02">
        <w:rPr>
          <w:szCs w:val="22"/>
        </w:rPr>
        <w:t xml:space="preserve"> (viz bod 4.4). </w:t>
      </w:r>
      <w:r w:rsidRPr="001B4A02">
        <w:t>Pacienti léčení přípravkem Humira musí být vybaveni speciální informační kartičkou.</w:t>
      </w:r>
    </w:p>
    <w:p w14:paraId="6CF6F7CC" w14:textId="77777777" w:rsidR="00ED3511" w:rsidRPr="001B4A02" w:rsidRDefault="00ED3511" w:rsidP="00ED48A3">
      <w:pPr>
        <w:ind w:left="0" w:firstLine="0"/>
      </w:pPr>
    </w:p>
    <w:p w14:paraId="598D2C0B" w14:textId="77777777" w:rsidR="00ED3511" w:rsidRPr="001B4A02" w:rsidRDefault="00000000" w:rsidP="00ED48A3">
      <w:pPr>
        <w:ind w:left="0" w:firstLine="0"/>
      </w:pPr>
      <w:r w:rsidRPr="001B4A02">
        <w:t>Po řádném proškolení v podávání injekce si pacienti mohou přípravek Humira aplikovat sami, jestliže jejich lékař rozhodne, že je to vhodné,</w:t>
      </w:r>
      <w:r w:rsidR="002378E0">
        <w:t xml:space="preserve"> a </w:t>
      </w:r>
      <w:r w:rsidRPr="001B4A02">
        <w:t>je-li zajištěn podle potřeby lékařský dohled.</w:t>
      </w:r>
    </w:p>
    <w:p w14:paraId="17DF813C" w14:textId="77777777" w:rsidR="00ED3511" w:rsidRPr="001B4A02" w:rsidRDefault="00ED3511" w:rsidP="00ED48A3">
      <w:pPr>
        <w:ind w:left="0" w:firstLine="0"/>
      </w:pPr>
    </w:p>
    <w:p w14:paraId="746D891A" w14:textId="77777777" w:rsidR="00ED3511" w:rsidRPr="001B4A02" w:rsidRDefault="00000000" w:rsidP="00ED48A3">
      <w:pPr>
        <w:ind w:left="0" w:firstLine="0"/>
      </w:pPr>
      <w:r w:rsidRPr="001B4A02">
        <w:t>Po dobu léčby přípravkem Humira je třeba upravit dávky ostatních současně užívaných léčiv (např. kortikosteroidů a/nebo imunomodulační</w:t>
      </w:r>
      <w:r w:rsidR="0051758E" w:rsidRPr="001B4A02">
        <w:t>ch</w:t>
      </w:r>
      <w:r w:rsidRPr="001B4A02">
        <w:t xml:space="preserve"> léků).</w:t>
      </w:r>
    </w:p>
    <w:p w14:paraId="29318E07" w14:textId="77777777" w:rsidR="00ED3511" w:rsidRPr="001B4A02" w:rsidRDefault="00ED3511" w:rsidP="00ED48A3">
      <w:pPr>
        <w:ind w:left="0" w:firstLine="0"/>
        <w:rPr>
          <w:u w:val="single"/>
        </w:rPr>
      </w:pPr>
    </w:p>
    <w:p w14:paraId="6D226574" w14:textId="77777777" w:rsidR="00ED3511" w:rsidRPr="001B4A02" w:rsidRDefault="00000000" w:rsidP="00A12A04">
      <w:pPr>
        <w:keepNext/>
        <w:ind w:left="0" w:firstLine="0"/>
        <w:rPr>
          <w:u w:val="single"/>
        </w:rPr>
      </w:pPr>
      <w:r w:rsidRPr="001B4A02">
        <w:rPr>
          <w:u w:val="single"/>
        </w:rPr>
        <w:t>Dávkování</w:t>
      </w:r>
    </w:p>
    <w:p w14:paraId="5B9AF4D9" w14:textId="77777777" w:rsidR="00ED3511" w:rsidRPr="001B4A02" w:rsidRDefault="00ED3511" w:rsidP="00A12A04">
      <w:pPr>
        <w:keepNext/>
        <w:ind w:left="0" w:firstLine="0"/>
      </w:pPr>
    </w:p>
    <w:p w14:paraId="62AFFD46" w14:textId="77777777" w:rsidR="00ED3511" w:rsidRPr="001B4A02" w:rsidRDefault="00000000" w:rsidP="00A12A04">
      <w:pPr>
        <w:pStyle w:val="EMEAHeadingUnderline"/>
        <w:keepNext/>
        <w:tabs>
          <w:tab w:val="clear" w:pos="562"/>
        </w:tabs>
        <w:suppressAutoHyphens w:val="0"/>
        <w:spacing w:beforeLines="0" w:before="0" w:afterLines="0" w:after="0"/>
        <w:rPr>
          <w:i/>
          <w:u w:val="none"/>
          <w:lang w:val="cs-CZ"/>
        </w:rPr>
      </w:pPr>
      <w:r w:rsidRPr="001B4A02">
        <w:rPr>
          <w:i/>
          <w:u w:val="none"/>
          <w:lang w:val="cs-CZ"/>
        </w:rPr>
        <w:t>Revmatoidní artritida</w:t>
      </w:r>
    </w:p>
    <w:p w14:paraId="14945B78" w14:textId="77777777" w:rsidR="00ED3511" w:rsidRPr="001B4A02" w:rsidRDefault="00ED3511" w:rsidP="00A12A04">
      <w:pPr>
        <w:keepNext/>
        <w:ind w:left="0" w:firstLine="0"/>
      </w:pPr>
    </w:p>
    <w:p w14:paraId="1A85D9CC" w14:textId="77777777" w:rsidR="00ED3511" w:rsidRPr="001B4A02" w:rsidRDefault="00000000" w:rsidP="00ED48A3">
      <w:pPr>
        <w:ind w:left="0" w:firstLine="0"/>
      </w:pPr>
      <w:r w:rsidRPr="001B4A02">
        <w:t>Doporučená dávka přípravku Humira u</w:t>
      </w:r>
      <w:r w:rsidR="00D15A04" w:rsidRPr="001B4A02">
        <w:t> </w:t>
      </w:r>
      <w:r w:rsidRPr="001B4A02">
        <w:t>dospělých pacientů s revmatoidní artritidou je 40 mg adalimumabu podávaného jako jedna dávka subkutánně každý druhý týden. Během léčby přípravkem Humira je doporučeno pokračovat v léčbě methotrexátem.</w:t>
      </w:r>
    </w:p>
    <w:p w14:paraId="1C011A5D" w14:textId="77777777" w:rsidR="00ED3511" w:rsidRPr="001B4A02" w:rsidRDefault="00ED3511" w:rsidP="00ED48A3">
      <w:pPr>
        <w:ind w:left="0" w:firstLine="0"/>
      </w:pPr>
    </w:p>
    <w:p w14:paraId="715D1E8D" w14:textId="77777777" w:rsidR="00ED3511" w:rsidRPr="001B4A02" w:rsidRDefault="00000000" w:rsidP="00ED48A3">
      <w:pPr>
        <w:ind w:left="0" w:firstLine="0"/>
      </w:pPr>
      <w:r w:rsidRPr="001B4A02">
        <w:t>Během léčby přípravkem Humira se může pokračovat v podávání glukokortikoidů, salicylátů, nesteroidních antiflogistik či analgetik. Pro kombinaci s chorobu modifikujícími antirevmatickými léky, s výjimkou methotrexátu, viz body 4.4</w:t>
      </w:r>
      <w:r w:rsidR="002378E0">
        <w:t xml:space="preserve"> a </w:t>
      </w:r>
      <w:r w:rsidRPr="001B4A02">
        <w:t>5.1.</w:t>
      </w:r>
    </w:p>
    <w:p w14:paraId="1C69ECFA" w14:textId="77777777" w:rsidR="00ED3511" w:rsidRPr="001B4A02" w:rsidRDefault="00ED3511" w:rsidP="00ED48A3">
      <w:pPr>
        <w:ind w:left="0" w:firstLine="0"/>
      </w:pPr>
    </w:p>
    <w:p w14:paraId="26B50013" w14:textId="77777777" w:rsidR="00ED3511" w:rsidRPr="001B4A02" w:rsidRDefault="00000000" w:rsidP="00ED48A3">
      <w:pPr>
        <w:ind w:left="0" w:firstLine="0"/>
      </w:pPr>
      <w:r w:rsidRPr="001B4A02">
        <w:t>Pokud u některých pacientů na monoterapii adalimumabem dojde ke snížení odpovědi na léčbu</w:t>
      </w:r>
      <w:r w:rsidR="00AC29BB" w:rsidRPr="001B4A02">
        <w:t xml:space="preserve"> přípravkem Humira 40</w:t>
      </w:r>
      <w:r w:rsidR="00F365E7">
        <w:t> mg</w:t>
      </w:r>
      <w:r w:rsidR="00AC29BB" w:rsidRPr="001B4A02">
        <w:t xml:space="preserve"> jednou za dva týdny</w:t>
      </w:r>
      <w:r w:rsidRPr="001B4A02">
        <w:t xml:space="preserve">, může být u těchto pacientů prospěšné zvýšení </w:t>
      </w:r>
      <w:r w:rsidR="00AC29BB" w:rsidRPr="001B4A02">
        <w:t xml:space="preserve">dávkování </w:t>
      </w:r>
      <w:r w:rsidRPr="001B4A02">
        <w:t>na 40 mg jednou týdně</w:t>
      </w:r>
      <w:r w:rsidR="00AC29BB" w:rsidRPr="001B4A02">
        <w:t xml:space="preserve"> nebo 80</w:t>
      </w:r>
      <w:r w:rsidR="00F365E7">
        <w:t> mg</w:t>
      </w:r>
      <w:r w:rsidR="00AC29BB" w:rsidRPr="001B4A02">
        <w:t xml:space="preserve"> jednou za dva týdny</w:t>
      </w:r>
      <w:r w:rsidRPr="001B4A02">
        <w:t>.</w:t>
      </w:r>
    </w:p>
    <w:p w14:paraId="08D096CC" w14:textId="77777777" w:rsidR="00D427E8" w:rsidRPr="001B4A02" w:rsidRDefault="00D427E8" w:rsidP="00D427E8">
      <w:pPr>
        <w:rPr>
          <w:color w:val="000000"/>
        </w:rPr>
      </w:pPr>
    </w:p>
    <w:p w14:paraId="4535C4EF" w14:textId="77777777" w:rsidR="00E15847" w:rsidRPr="001B4A02" w:rsidRDefault="00000000" w:rsidP="00ED48A3">
      <w:pPr>
        <w:pStyle w:val="EMEANormal"/>
        <w:tabs>
          <w:tab w:val="clear" w:pos="562"/>
        </w:tabs>
        <w:suppressAutoHyphens w:val="0"/>
        <w:rPr>
          <w:lang w:val="cs-CZ"/>
        </w:rPr>
      </w:pPr>
      <w:r w:rsidRPr="001B4A02">
        <w:rPr>
          <w:lang w:val="cs-CZ"/>
        </w:rPr>
        <w:t>Dostupné údaje nasvědčují tomu, že klinické odpovědi na léčbu je dosaženo obvykle během 12 týdnů léčby. U</w:t>
      </w:r>
      <w:r w:rsidR="00D15A04" w:rsidRPr="001B4A02">
        <w:rPr>
          <w:lang w:val="cs-CZ"/>
        </w:rPr>
        <w:t> </w:t>
      </w:r>
      <w:r w:rsidRPr="001B4A02">
        <w:rPr>
          <w:lang w:val="cs-CZ"/>
        </w:rPr>
        <w:t>pacientů, u</w:t>
      </w:r>
      <w:r w:rsidR="00D15A04" w:rsidRPr="001B4A02">
        <w:rPr>
          <w:lang w:val="cs-CZ"/>
        </w:rPr>
        <w:t> </w:t>
      </w:r>
      <w:r w:rsidRPr="001B4A02">
        <w:rPr>
          <w:lang w:val="cs-CZ"/>
        </w:rPr>
        <w:t>kterých nedošlo k odpovědi během této doby, je nutné zvážit její pokračování.</w:t>
      </w:r>
    </w:p>
    <w:p w14:paraId="3AD0E0D6" w14:textId="77777777" w:rsidR="00E15847" w:rsidRPr="001B4A02" w:rsidRDefault="00E15847" w:rsidP="00ED48A3"/>
    <w:p w14:paraId="7A4E4DAD" w14:textId="77777777" w:rsidR="00AC29BB" w:rsidRPr="001B4A02" w:rsidRDefault="00000000" w:rsidP="00A12A04">
      <w:pPr>
        <w:ind w:left="0" w:firstLine="0"/>
      </w:pPr>
      <w:r w:rsidRPr="001B4A02">
        <w:t xml:space="preserve">Přípravek Humira je k dispozici v dalších silách a/nebo </w:t>
      </w:r>
      <w:r w:rsidR="00A43DB3">
        <w:t>typech balení</w:t>
      </w:r>
      <w:r w:rsidRPr="001B4A02">
        <w:t xml:space="preserve"> v závislosti na individuálních potřebách léčby.</w:t>
      </w:r>
    </w:p>
    <w:p w14:paraId="2906E12E" w14:textId="77777777" w:rsidR="00AC29BB" w:rsidRPr="001B4A02" w:rsidRDefault="00AC29BB" w:rsidP="00ED48A3"/>
    <w:p w14:paraId="07F97AF4" w14:textId="77777777" w:rsidR="00ED3511" w:rsidRPr="001B4A02" w:rsidRDefault="00000000" w:rsidP="00A12A04">
      <w:pPr>
        <w:keepNext/>
        <w:rPr>
          <w:i/>
          <w:u w:val="single"/>
        </w:rPr>
      </w:pPr>
      <w:r w:rsidRPr="001B4A02">
        <w:rPr>
          <w:i/>
          <w:u w:val="single"/>
        </w:rPr>
        <w:t>Přerušení podávání</w:t>
      </w:r>
    </w:p>
    <w:p w14:paraId="08EEA2EF" w14:textId="77777777" w:rsidR="00022A37" w:rsidRPr="001B4A02" w:rsidRDefault="00022A37" w:rsidP="00A12A04">
      <w:pPr>
        <w:keepNext/>
        <w:ind w:left="0" w:firstLine="0"/>
      </w:pPr>
    </w:p>
    <w:p w14:paraId="45ED5875" w14:textId="77777777" w:rsidR="00ED3511" w:rsidRPr="001B4A02" w:rsidRDefault="00000000" w:rsidP="00ED48A3">
      <w:pPr>
        <w:ind w:left="0" w:firstLine="0"/>
      </w:pPr>
      <w:r w:rsidRPr="001B4A02">
        <w:t>Je-li to potřeba, lze podávání přípravku přerušit, například před operací ne</w:t>
      </w:r>
      <w:r w:rsidR="00790DEF" w:rsidRPr="001B4A02">
        <w:t>bo při výskytu závažné infekce.</w:t>
      </w:r>
    </w:p>
    <w:p w14:paraId="3D674BBB" w14:textId="77777777" w:rsidR="00ED3511" w:rsidRPr="001B4A02" w:rsidRDefault="00ED3511" w:rsidP="00ED48A3">
      <w:pPr>
        <w:ind w:left="0" w:firstLine="0"/>
      </w:pPr>
    </w:p>
    <w:p w14:paraId="3ED12CDC" w14:textId="77777777" w:rsidR="00ED3511" w:rsidRPr="001B4A02" w:rsidRDefault="00000000" w:rsidP="00ED48A3">
      <w:pPr>
        <w:ind w:left="0" w:firstLine="0"/>
        <w:rPr>
          <w:u w:val="single"/>
        </w:rPr>
      </w:pPr>
      <w:r w:rsidRPr="001B4A02">
        <w:t>Dostupné údaje naznačují, že znovuzavedení léčby přípravkem Humira po jejím přerušení na dobu 70 dní nebo déle vedlo ke stejně významné klinické odpovědi</w:t>
      </w:r>
      <w:r w:rsidR="002378E0">
        <w:t xml:space="preserve"> a </w:t>
      </w:r>
      <w:r w:rsidRPr="001B4A02">
        <w:t>podobnému bezpečnostnímu profilu jako před přerušením podávání.</w:t>
      </w:r>
    </w:p>
    <w:p w14:paraId="79B2CB49" w14:textId="77777777" w:rsidR="00ED3511" w:rsidRPr="001B4A02" w:rsidRDefault="00ED3511" w:rsidP="00ED48A3">
      <w:pPr>
        <w:rPr>
          <w:u w:val="single"/>
        </w:rPr>
      </w:pPr>
    </w:p>
    <w:p w14:paraId="5B2DA7C7" w14:textId="77777777" w:rsidR="00ED3511" w:rsidRPr="001B4A02" w:rsidRDefault="00000000" w:rsidP="00ED48A3">
      <w:pPr>
        <w:keepNext/>
        <w:ind w:left="0" w:firstLine="0"/>
        <w:rPr>
          <w:i/>
        </w:rPr>
      </w:pPr>
      <w:r w:rsidRPr="001B4A02">
        <w:rPr>
          <w:i/>
        </w:rPr>
        <w:t xml:space="preserve">Ankylozující spondylitida, </w:t>
      </w:r>
      <w:r w:rsidRPr="001B4A02">
        <w:rPr>
          <w:i/>
          <w:szCs w:val="22"/>
        </w:rPr>
        <w:t>axiální spondylartritida bez radiologického průkazu AS</w:t>
      </w:r>
      <w:r w:rsidR="002378E0">
        <w:rPr>
          <w:i/>
          <w:szCs w:val="22"/>
        </w:rPr>
        <w:t xml:space="preserve"> a </w:t>
      </w:r>
      <w:r w:rsidRPr="001B4A02">
        <w:rPr>
          <w:i/>
          <w:szCs w:val="22"/>
        </w:rPr>
        <w:t>p</w:t>
      </w:r>
      <w:r w:rsidRPr="001B4A02">
        <w:rPr>
          <w:i/>
        </w:rPr>
        <w:t>soriatická artritida</w:t>
      </w:r>
    </w:p>
    <w:p w14:paraId="018A6BAB" w14:textId="77777777" w:rsidR="00ED3511" w:rsidRPr="001B4A02" w:rsidRDefault="00ED3511" w:rsidP="00ED48A3">
      <w:pPr>
        <w:keepNext/>
        <w:rPr>
          <w:u w:val="single"/>
        </w:rPr>
      </w:pPr>
    </w:p>
    <w:p w14:paraId="36512197" w14:textId="77777777" w:rsidR="00ED3511" w:rsidRPr="001B4A02" w:rsidRDefault="00000000" w:rsidP="00790DEF">
      <w:pPr>
        <w:pStyle w:val="EMEANormal"/>
        <w:tabs>
          <w:tab w:val="clear" w:pos="562"/>
        </w:tabs>
        <w:suppressAutoHyphens w:val="0"/>
        <w:rPr>
          <w:u w:val="single"/>
          <w:lang w:val="cs-CZ"/>
        </w:rPr>
      </w:pPr>
      <w:r w:rsidRPr="001B4A02">
        <w:rPr>
          <w:lang w:val="cs-CZ"/>
        </w:rPr>
        <w:t xml:space="preserve">Doporučená dávka přípravku Humira u pacientů s ankylozující spondylitidou, </w:t>
      </w:r>
      <w:r w:rsidRPr="001B4A02">
        <w:rPr>
          <w:szCs w:val="22"/>
          <w:lang w:val="cs-CZ"/>
        </w:rPr>
        <w:t>axiální spondylartritidou bez radiologického průkazu AS</w:t>
      </w:r>
      <w:r w:rsidR="002378E0">
        <w:rPr>
          <w:szCs w:val="22"/>
          <w:lang w:val="cs-CZ"/>
        </w:rPr>
        <w:t xml:space="preserve"> a </w:t>
      </w:r>
      <w:r w:rsidRPr="001B4A02">
        <w:rPr>
          <w:szCs w:val="22"/>
          <w:lang w:val="cs-CZ"/>
        </w:rPr>
        <w:t>u</w:t>
      </w:r>
      <w:r w:rsidR="00214AE3" w:rsidRPr="001B4A02">
        <w:rPr>
          <w:szCs w:val="22"/>
          <w:lang w:val="cs-CZ"/>
        </w:rPr>
        <w:t> </w:t>
      </w:r>
      <w:r w:rsidRPr="001B4A02">
        <w:rPr>
          <w:szCs w:val="22"/>
          <w:lang w:val="cs-CZ"/>
        </w:rPr>
        <w:t>pacientů s</w:t>
      </w:r>
      <w:r w:rsidR="00214AE3" w:rsidRPr="001B4A02">
        <w:rPr>
          <w:szCs w:val="22"/>
          <w:lang w:val="cs-CZ"/>
        </w:rPr>
        <w:t> </w:t>
      </w:r>
      <w:r w:rsidRPr="001B4A02">
        <w:rPr>
          <w:lang w:val="cs-CZ"/>
        </w:rPr>
        <w:t>psoriatickou artritidou je 40 mg adalimumabu podávaného každé dva týdny v jedné dávce subkutánně.</w:t>
      </w:r>
    </w:p>
    <w:p w14:paraId="6182669C" w14:textId="77777777" w:rsidR="00ED3511" w:rsidRPr="001B4A02" w:rsidRDefault="00ED3511" w:rsidP="00ED48A3">
      <w:pPr>
        <w:ind w:left="0" w:firstLine="0"/>
        <w:rPr>
          <w:u w:val="single"/>
        </w:rPr>
      </w:pPr>
    </w:p>
    <w:p w14:paraId="62A76249" w14:textId="77777777" w:rsidR="00ED3511" w:rsidRPr="001B4A02" w:rsidRDefault="00000000" w:rsidP="00ED48A3">
      <w:pPr>
        <w:pStyle w:val="EMEANormal"/>
        <w:tabs>
          <w:tab w:val="clear" w:pos="562"/>
        </w:tabs>
        <w:suppressAutoHyphens w:val="0"/>
        <w:rPr>
          <w:lang w:val="cs-CZ"/>
        </w:rPr>
      </w:pPr>
      <w:r w:rsidRPr="001B4A02">
        <w:rPr>
          <w:lang w:val="cs-CZ"/>
        </w:rPr>
        <w:t>Dostupné údaje nasvědčují tomu, že klinické odpovědi na léčbu je dosaženo obvykle během 12 týdnů léčby. U</w:t>
      </w:r>
      <w:r w:rsidR="00214AE3" w:rsidRPr="001B4A02">
        <w:rPr>
          <w:lang w:val="cs-CZ"/>
        </w:rPr>
        <w:t> </w:t>
      </w:r>
      <w:r w:rsidRPr="001B4A02">
        <w:rPr>
          <w:lang w:val="cs-CZ"/>
        </w:rPr>
        <w:t>pacientů, u</w:t>
      </w:r>
      <w:r w:rsidR="00214AE3" w:rsidRPr="001B4A02">
        <w:rPr>
          <w:lang w:val="cs-CZ"/>
        </w:rPr>
        <w:t> </w:t>
      </w:r>
      <w:r w:rsidRPr="001B4A02">
        <w:rPr>
          <w:lang w:val="cs-CZ"/>
        </w:rPr>
        <w:t>kterých nedošlo k odpovědi během této doby, je nutné zvážit její pokračování.</w:t>
      </w:r>
    </w:p>
    <w:p w14:paraId="4A726EC6" w14:textId="77777777" w:rsidR="00ED3511" w:rsidRPr="001B4A02" w:rsidRDefault="00ED3511" w:rsidP="00ED48A3">
      <w:pPr>
        <w:pStyle w:val="EMEANormal"/>
        <w:tabs>
          <w:tab w:val="clear" w:pos="562"/>
        </w:tabs>
        <w:suppressAutoHyphens w:val="0"/>
        <w:rPr>
          <w:lang w:val="cs-CZ"/>
        </w:rPr>
      </w:pPr>
    </w:p>
    <w:p w14:paraId="23107D1F" w14:textId="77777777" w:rsidR="00ED3511" w:rsidRPr="001B4A02" w:rsidRDefault="00000000" w:rsidP="00A12A04">
      <w:pPr>
        <w:keepNext/>
        <w:rPr>
          <w:i/>
        </w:rPr>
      </w:pPr>
      <w:r w:rsidRPr="001B4A02">
        <w:rPr>
          <w:i/>
        </w:rPr>
        <w:t>Psoriáza</w:t>
      </w:r>
    </w:p>
    <w:p w14:paraId="4A9CC3E9" w14:textId="77777777" w:rsidR="00ED3511" w:rsidRPr="001B4A02" w:rsidRDefault="00ED3511" w:rsidP="00A12A04">
      <w:pPr>
        <w:keepNext/>
        <w:rPr>
          <w:u w:val="single"/>
        </w:rPr>
      </w:pPr>
    </w:p>
    <w:p w14:paraId="7B149D94" w14:textId="77777777" w:rsidR="00ED3511" w:rsidRPr="001B4A02" w:rsidRDefault="00000000" w:rsidP="00ED48A3">
      <w:pPr>
        <w:ind w:left="0" w:firstLine="0"/>
      </w:pPr>
      <w:r w:rsidRPr="001B4A02">
        <w:t>Doporučená úvodní dávka přípravku Humira pro dospělé pacienty je 80</w:t>
      </w:r>
      <w:r w:rsidR="00F365E7">
        <w:t> mg</w:t>
      </w:r>
      <w:r w:rsidRPr="001B4A02">
        <w:t xml:space="preserve"> podaných subkutánně, po níž následuje dávka 40</w:t>
      </w:r>
      <w:r w:rsidR="00F365E7">
        <w:t> mg</w:t>
      </w:r>
      <w:r w:rsidRPr="001B4A02">
        <w:t xml:space="preserve"> subkutánně každý druhý týden, počínaje prvním týdnem po úvodní dávce.</w:t>
      </w:r>
    </w:p>
    <w:p w14:paraId="60EE3219" w14:textId="77777777" w:rsidR="00ED3511" w:rsidRPr="001B4A02" w:rsidRDefault="00ED3511" w:rsidP="00ED48A3"/>
    <w:p w14:paraId="2D04C253" w14:textId="77777777" w:rsidR="00ED3511" w:rsidRPr="001B4A02" w:rsidRDefault="00000000" w:rsidP="00ED48A3">
      <w:pPr>
        <w:pStyle w:val="EMEANormal"/>
        <w:tabs>
          <w:tab w:val="clear" w:pos="562"/>
          <w:tab w:val="left" w:pos="708"/>
        </w:tabs>
        <w:suppressAutoHyphens w:val="0"/>
        <w:rPr>
          <w:lang w:val="cs-CZ"/>
        </w:rPr>
      </w:pPr>
      <w:r w:rsidRPr="001B4A02">
        <w:rPr>
          <w:lang w:val="cs-CZ"/>
        </w:rPr>
        <w:t>Pokračování v léčbě po dobu delší než 16 týdnů je nutno pečlivě zvážit u</w:t>
      </w:r>
      <w:r w:rsidR="00214AE3" w:rsidRPr="001B4A02">
        <w:rPr>
          <w:lang w:val="cs-CZ"/>
        </w:rPr>
        <w:t> </w:t>
      </w:r>
      <w:r w:rsidRPr="001B4A02">
        <w:rPr>
          <w:lang w:val="cs-CZ"/>
        </w:rPr>
        <w:t>těch pacientů, u</w:t>
      </w:r>
      <w:r w:rsidR="00214AE3" w:rsidRPr="001B4A02">
        <w:rPr>
          <w:lang w:val="cs-CZ"/>
        </w:rPr>
        <w:t> </w:t>
      </w:r>
      <w:r w:rsidRPr="001B4A02">
        <w:rPr>
          <w:lang w:val="cs-CZ"/>
        </w:rPr>
        <w:t>kterých nedošlo k během této doby k odpovědi.</w:t>
      </w:r>
    </w:p>
    <w:p w14:paraId="2A9FAA71" w14:textId="77777777" w:rsidR="00ED3511" w:rsidRPr="001B4A02" w:rsidRDefault="00ED3511" w:rsidP="00ED48A3">
      <w:pPr>
        <w:pStyle w:val="EMEANormal"/>
        <w:tabs>
          <w:tab w:val="clear" w:pos="562"/>
        </w:tabs>
        <w:suppressAutoHyphens w:val="0"/>
        <w:rPr>
          <w:lang w:val="cs-CZ"/>
        </w:rPr>
      </w:pPr>
    </w:p>
    <w:p w14:paraId="4A5A850C" w14:textId="77777777" w:rsidR="001F6C51" w:rsidRPr="001B4A02" w:rsidRDefault="00000000" w:rsidP="00ED48A3">
      <w:pPr>
        <w:pStyle w:val="EMEANormal"/>
        <w:tabs>
          <w:tab w:val="clear" w:pos="562"/>
          <w:tab w:val="left" w:pos="708"/>
        </w:tabs>
        <w:suppressAutoHyphens w:val="0"/>
        <w:rPr>
          <w:lang w:val="cs-CZ"/>
        </w:rPr>
      </w:pPr>
      <w:r w:rsidRPr="001B4A02">
        <w:rPr>
          <w:lang w:val="cs-CZ"/>
        </w:rPr>
        <w:t>Pacienti s nedostatečnou odpovědí</w:t>
      </w:r>
      <w:r w:rsidR="00AC29BB" w:rsidRPr="001B4A02">
        <w:rPr>
          <w:lang w:val="cs-CZ"/>
        </w:rPr>
        <w:t xml:space="preserve"> na léčbu přípravkem Humira 40</w:t>
      </w:r>
      <w:r w:rsidR="00F365E7">
        <w:rPr>
          <w:lang w:val="cs-CZ"/>
        </w:rPr>
        <w:t> mg</w:t>
      </w:r>
      <w:r w:rsidR="00AC29BB" w:rsidRPr="001B4A02">
        <w:rPr>
          <w:lang w:val="cs-CZ"/>
        </w:rPr>
        <w:t xml:space="preserve"> jednou za dva týdny</w:t>
      </w:r>
      <w:r w:rsidRPr="001B4A02">
        <w:rPr>
          <w:lang w:val="cs-CZ"/>
        </w:rPr>
        <w:t xml:space="preserve"> mohou mít kdykoli po </w:t>
      </w:r>
      <w:r w:rsidR="00D00F8F">
        <w:rPr>
          <w:lang w:val="cs-CZ"/>
        </w:rPr>
        <w:t>týdnu 16</w:t>
      </w:r>
      <w:r w:rsidRPr="001B4A02">
        <w:rPr>
          <w:lang w:val="cs-CZ"/>
        </w:rPr>
        <w:t xml:space="preserve"> léčby přínos ze zvýšení dávkování na 40</w:t>
      </w:r>
      <w:r w:rsidR="00F365E7">
        <w:rPr>
          <w:lang w:val="cs-CZ"/>
        </w:rPr>
        <w:t> mg</w:t>
      </w:r>
      <w:r w:rsidRPr="001B4A02">
        <w:rPr>
          <w:lang w:val="cs-CZ"/>
        </w:rPr>
        <w:t xml:space="preserve"> jednou týdně</w:t>
      </w:r>
      <w:r w:rsidR="00AC29BB" w:rsidRPr="001B4A02">
        <w:rPr>
          <w:lang w:val="cs-CZ"/>
        </w:rPr>
        <w:t xml:space="preserve"> nebo 80</w:t>
      </w:r>
      <w:r w:rsidR="00F365E7">
        <w:rPr>
          <w:lang w:val="cs-CZ"/>
        </w:rPr>
        <w:t> mg</w:t>
      </w:r>
      <w:r w:rsidR="00AC29BB" w:rsidRPr="001B4A02">
        <w:rPr>
          <w:lang w:val="cs-CZ"/>
        </w:rPr>
        <w:t xml:space="preserve"> jednou za dva týdny</w:t>
      </w:r>
      <w:r w:rsidRPr="001B4A02">
        <w:rPr>
          <w:lang w:val="cs-CZ"/>
        </w:rPr>
        <w:t>. Přínos</w:t>
      </w:r>
      <w:r w:rsidR="002378E0">
        <w:rPr>
          <w:lang w:val="cs-CZ"/>
        </w:rPr>
        <w:t xml:space="preserve"> a </w:t>
      </w:r>
      <w:r w:rsidRPr="001B4A02">
        <w:rPr>
          <w:lang w:val="cs-CZ"/>
        </w:rPr>
        <w:t xml:space="preserve">rizika pokračování léčby </w:t>
      </w:r>
      <w:r w:rsidR="00AC29BB" w:rsidRPr="001B4A02">
        <w:rPr>
          <w:lang w:val="cs-CZ"/>
        </w:rPr>
        <w:t>40</w:t>
      </w:r>
      <w:r w:rsidR="00F365E7">
        <w:rPr>
          <w:lang w:val="cs-CZ"/>
        </w:rPr>
        <w:t> mg</w:t>
      </w:r>
      <w:r w:rsidRPr="001B4A02">
        <w:rPr>
          <w:lang w:val="cs-CZ"/>
        </w:rPr>
        <w:t xml:space="preserve"> jednou týdně</w:t>
      </w:r>
      <w:r w:rsidR="00AC29BB" w:rsidRPr="001B4A02">
        <w:rPr>
          <w:lang w:val="cs-CZ"/>
        </w:rPr>
        <w:t xml:space="preserve"> nebo 80</w:t>
      </w:r>
      <w:r w:rsidR="00F365E7">
        <w:rPr>
          <w:lang w:val="cs-CZ"/>
        </w:rPr>
        <w:t> mg</w:t>
      </w:r>
      <w:r w:rsidR="00AC29BB" w:rsidRPr="001B4A02">
        <w:rPr>
          <w:lang w:val="cs-CZ"/>
        </w:rPr>
        <w:t xml:space="preserve"> jednou za dva týdny</w:t>
      </w:r>
      <w:r w:rsidRPr="001B4A02">
        <w:rPr>
          <w:lang w:val="cs-CZ"/>
        </w:rPr>
        <w:t xml:space="preserve"> by měly být pečlivě zváženy u</w:t>
      </w:r>
      <w:r w:rsidR="00214AE3" w:rsidRPr="001B4A02">
        <w:rPr>
          <w:lang w:val="cs-CZ"/>
        </w:rPr>
        <w:t> </w:t>
      </w:r>
      <w:r w:rsidRPr="001B4A02">
        <w:rPr>
          <w:lang w:val="cs-CZ"/>
        </w:rPr>
        <w:t>pacientů, u</w:t>
      </w:r>
      <w:r w:rsidR="00214AE3" w:rsidRPr="001B4A02">
        <w:rPr>
          <w:lang w:val="cs-CZ"/>
        </w:rPr>
        <w:t> </w:t>
      </w:r>
      <w:r w:rsidRPr="001B4A02">
        <w:rPr>
          <w:lang w:val="cs-CZ"/>
        </w:rPr>
        <w:t xml:space="preserve">kterých nedošlo po zvýšení dávkování k adekvátní odpovědi (viz bod 5.1). V případě dosažení adekvátní odpovědi při </w:t>
      </w:r>
      <w:r w:rsidR="00AC29BB" w:rsidRPr="001B4A02">
        <w:rPr>
          <w:lang w:val="cs-CZ"/>
        </w:rPr>
        <w:t>dávkování 40</w:t>
      </w:r>
      <w:r w:rsidR="00F365E7">
        <w:rPr>
          <w:lang w:val="cs-CZ"/>
        </w:rPr>
        <w:t> mg</w:t>
      </w:r>
      <w:r w:rsidR="00AC29BB" w:rsidRPr="001B4A02">
        <w:rPr>
          <w:lang w:val="cs-CZ"/>
        </w:rPr>
        <w:t xml:space="preserve"> jednou týdně nebo 80</w:t>
      </w:r>
      <w:r w:rsidR="00F365E7">
        <w:rPr>
          <w:lang w:val="cs-CZ"/>
        </w:rPr>
        <w:t> mg</w:t>
      </w:r>
      <w:r w:rsidR="00AC29BB" w:rsidRPr="001B4A02">
        <w:rPr>
          <w:lang w:val="cs-CZ"/>
        </w:rPr>
        <w:t xml:space="preserve"> jednou za dva týdny</w:t>
      </w:r>
      <w:r w:rsidRPr="001B4A02">
        <w:rPr>
          <w:lang w:val="cs-CZ"/>
        </w:rPr>
        <w:t xml:space="preserve"> může být </w:t>
      </w:r>
      <w:r w:rsidR="00AC29BB" w:rsidRPr="001B4A02">
        <w:rPr>
          <w:lang w:val="cs-CZ"/>
        </w:rPr>
        <w:t xml:space="preserve">dávkování </w:t>
      </w:r>
      <w:r w:rsidRPr="001B4A02">
        <w:rPr>
          <w:lang w:val="cs-CZ"/>
        </w:rPr>
        <w:t xml:space="preserve">následně </w:t>
      </w:r>
      <w:r w:rsidR="00AC29BB" w:rsidRPr="001B4A02">
        <w:rPr>
          <w:lang w:val="cs-CZ"/>
        </w:rPr>
        <w:t xml:space="preserve">sníženo </w:t>
      </w:r>
      <w:r w:rsidRPr="001B4A02">
        <w:rPr>
          <w:lang w:val="cs-CZ"/>
        </w:rPr>
        <w:t>na 40</w:t>
      </w:r>
      <w:r w:rsidR="00F365E7">
        <w:rPr>
          <w:lang w:val="cs-CZ"/>
        </w:rPr>
        <w:t> mg</w:t>
      </w:r>
      <w:r w:rsidRPr="001B4A02">
        <w:rPr>
          <w:lang w:val="cs-CZ"/>
        </w:rPr>
        <w:t xml:space="preserve"> každý druhý týden.</w:t>
      </w:r>
    </w:p>
    <w:p w14:paraId="0DAEE897" w14:textId="77777777" w:rsidR="001F6C51" w:rsidRPr="001B4A02" w:rsidRDefault="001F6C51" w:rsidP="00ED48A3">
      <w:pPr>
        <w:pStyle w:val="EMEANormal"/>
        <w:tabs>
          <w:tab w:val="clear" w:pos="562"/>
        </w:tabs>
        <w:suppressAutoHyphens w:val="0"/>
        <w:rPr>
          <w:lang w:val="cs-CZ"/>
        </w:rPr>
      </w:pPr>
    </w:p>
    <w:p w14:paraId="0A1DAA6C" w14:textId="77777777" w:rsidR="00AC29BB" w:rsidRPr="001B4A02" w:rsidRDefault="00000000" w:rsidP="00A12A04">
      <w:pPr>
        <w:ind w:left="0" w:firstLine="0"/>
      </w:pPr>
      <w:r w:rsidRPr="001B4A02">
        <w:t xml:space="preserve">Přípravek Humira je k dispozici v dalších silách a/nebo </w:t>
      </w:r>
      <w:r w:rsidR="00A43DB3">
        <w:t>typech balení</w:t>
      </w:r>
      <w:r w:rsidRPr="001B4A02">
        <w:t xml:space="preserve"> v závislosti na individuálních potřebách léčby.</w:t>
      </w:r>
    </w:p>
    <w:p w14:paraId="2F1FA23D" w14:textId="77777777" w:rsidR="00AC29BB" w:rsidRPr="001B4A02" w:rsidRDefault="00AC29BB" w:rsidP="00ED48A3">
      <w:pPr>
        <w:pStyle w:val="EMEANormal"/>
        <w:tabs>
          <w:tab w:val="clear" w:pos="562"/>
        </w:tabs>
        <w:suppressAutoHyphens w:val="0"/>
        <w:rPr>
          <w:lang w:val="cs-CZ"/>
        </w:rPr>
      </w:pPr>
    </w:p>
    <w:p w14:paraId="6B9FD00E" w14:textId="77777777" w:rsidR="00A065E2" w:rsidRPr="001B4A02" w:rsidRDefault="00000000" w:rsidP="006F09FB">
      <w:pPr>
        <w:pStyle w:val="EMEANormal"/>
        <w:keepNext/>
        <w:rPr>
          <w:i/>
          <w:lang w:val="cs-CZ"/>
        </w:rPr>
      </w:pPr>
      <w:r w:rsidRPr="001B4A02">
        <w:rPr>
          <w:i/>
          <w:lang w:val="cs-CZ"/>
        </w:rPr>
        <w:t xml:space="preserve">Hidradenitis suppurativa </w:t>
      </w:r>
    </w:p>
    <w:p w14:paraId="6CFD9761" w14:textId="77777777" w:rsidR="00A065E2" w:rsidRPr="001B4A02" w:rsidRDefault="00A065E2" w:rsidP="006F09FB">
      <w:pPr>
        <w:pStyle w:val="EMEANormal"/>
        <w:keepNext/>
        <w:rPr>
          <w:lang w:val="cs-CZ"/>
        </w:rPr>
      </w:pPr>
    </w:p>
    <w:p w14:paraId="57A54C76" w14:textId="77777777" w:rsidR="00A065E2" w:rsidRPr="001B4A02" w:rsidRDefault="00000000" w:rsidP="00ED48A3">
      <w:pPr>
        <w:pStyle w:val="EMEANormal"/>
        <w:rPr>
          <w:lang w:val="cs-CZ"/>
        </w:rPr>
      </w:pPr>
      <w:r w:rsidRPr="001B4A02">
        <w:rPr>
          <w:lang w:val="cs-CZ"/>
        </w:rPr>
        <w:t xml:space="preserve">Doporučená </w:t>
      </w:r>
      <w:r w:rsidR="00CF3348" w:rsidRPr="001B4A02">
        <w:rPr>
          <w:lang w:val="cs-CZ"/>
        </w:rPr>
        <w:t>úvodní</w:t>
      </w:r>
      <w:r w:rsidRPr="001B4A02">
        <w:rPr>
          <w:lang w:val="cs-CZ"/>
        </w:rPr>
        <w:t xml:space="preserve"> dávka u</w:t>
      </w:r>
      <w:r w:rsidR="00214AE3" w:rsidRPr="001B4A02">
        <w:rPr>
          <w:lang w:val="cs-CZ"/>
        </w:rPr>
        <w:t> </w:t>
      </w:r>
      <w:r w:rsidRPr="001B4A02">
        <w:rPr>
          <w:lang w:val="cs-CZ"/>
        </w:rPr>
        <w:t>dospělých pacientů s</w:t>
      </w:r>
      <w:r w:rsidR="00214AE3" w:rsidRPr="001B4A02">
        <w:rPr>
          <w:lang w:val="cs-CZ"/>
        </w:rPr>
        <w:t> </w:t>
      </w:r>
      <w:r w:rsidRPr="001B4A02">
        <w:rPr>
          <w:lang w:val="cs-CZ"/>
        </w:rPr>
        <w:t>hidradenitis suppurativa (HS) je 160</w:t>
      </w:r>
      <w:r w:rsidR="00F365E7">
        <w:rPr>
          <w:lang w:val="cs-CZ"/>
        </w:rPr>
        <w:t> mg</w:t>
      </w:r>
      <w:r w:rsidRPr="001B4A02">
        <w:rPr>
          <w:lang w:val="cs-CZ"/>
        </w:rPr>
        <w:t xml:space="preserve"> ve dni 1 (podaná jako čtyři injekce 40</w:t>
      </w:r>
      <w:r w:rsidR="00F365E7">
        <w:rPr>
          <w:lang w:val="cs-CZ"/>
        </w:rPr>
        <w:t> mg</w:t>
      </w:r>
      <w:r w:rsidRPr="001B4A02">
        <w:rPr>
          <w:lang w:val="cs-CZ"/>
        </w:rPr>
        <w:t xml:space="preserve"> ve dni 1 nebo jako dvě injekce 40</w:t>
      </w:r>
      <w:r w:rsidR="00F365E7">
        <w:rPr>
          <w:lang w:val="cs-CZ"/>
        </w:rPr>
        <w:t> mg</w:t>
      </w:r>
      <w:r w:rsidRPr="001B4A02">
        <w:rPr>
          <w:lang w:val="cs-CZ"/>
        </w:rPr>
        <w:t xml:space="preserve"> denně po dva</w:t>
      </w:r>
      <w:r w:rsidR="003B0C97" w:rsidRPr="001B4A02">
        <w:rPr>
          <w:lang w:val="cs-CZ"/>
        </w:rPr>
        <w:t xml:space="preserve"> po sobě</w:t>
      </w:r>
      <w:r w:rsidRPr="001B4A02">
        <w:rPr>
          <w:lang w:val="cs-CZ"/>
        </w:rPr>
        <w:t xml:space="preserve"> </w:t>
      </w:r>
      <w:r w:rsidR="00FE5873" w:rsidRPr="00FE5873">
        <w:rPr>
          <w:lang w:val="cs-CZ"/>
        </w:rPr>
        <w:t>jdoucí</w:t>
      </w:r>
      <w:r w:rsidRPr="001B4A02">
        <w:rPr>
          <w:lang w:val="cs-CZ"/>
        </w:rPr>
        <w:t>dny), následovaná za dva týdny dávkou 80</w:t>
      </w:r>
      <w:r w:rsidR="00F365E7">
        <w:rPr>
          <w:lang w:val="cs-CZ"/>
        </w:rPr>
        <w:t> mg</w:t>
      </w:r>
      <w:r w:rsidRPr="001B4A02">
        <w:rPr>
          <w:lang w:val="cs-CZ"/>
        </w:rPr>
        <w:t xml:space="preserve"> ve dni 15 (podanou jako dvě injekce 40</w:t>
      </w:r>
      <w:r w:rsidR="00F365E7">
        <w:rPr>
          <w:lang w:val="cs-CZ"/>
        </w:rPr>
        <w:t> mg</w:t>
      </w:r>
      <w:r w:rsidRPr="001B4A02">
        <w:rPr>
          <w:lang w:val="cs-CZ"/>
        </w:rPr>
        <w:t xml:space="preserve"> v</w:t>
      </w:r>
      <w:r w:rsidR="00214AE3" w:rsidRPr="001B4A02">
        <w:rPr>
          <w:lang w:val="cs-CZ"/>
        </w:rPr>
        <w:t> </w:t>
      </w:r>
      <w:r w:rsidRPr="001B4A02">
        <w:rPr>
          <w:lang w:val="cs-CZ"/>
        </w:rPr>
        <w:t>jednom dni). O</w:t>
      </w:r>
      <w:r w:rsidR="00214AE3" w:rsidRPr="001B4A02">
        <w:rPr>
          <w:lang w:val="cs-CZ"/>
        </w:rPr>
        <w:t> </w:t>
      </w:r>
      <w:r w:rsidRPr="001B4A02">
        <w:rPr>
          <w:lang w:val="cs-CZ"/>
        </w:rPr>
        <w:t>dva týdny později (den 29) se pokračuje dávkou 40</w:t>
      </w:r>
      <w:r w:rsidR="00F365E7">
        <w:rPr>
          <w:lang w:val="cs-CZ"/>
        </w:rPr>
        <w:t> mg</w:t>
      </w:r>
      <w:r w:rsidRPr="001B4A02">
        <w:rPr>
          <w:lang w:val="cs-CZ"/>
        </w:rPr>
        <w:t xml:space="preserve"> jednou týdně</w:t>
      </w:r>
      <w:r w:rsidR="00BB38AA" w:rsidRPr="001B4A02">
        <w:rPr>
          <w:lang w:val="cs-CZ"/>
        </w:rPr>
        <w:t xml:space="preserve"> nebo 80</w:t>
      </w:r>
      <w:r w:rsidR="00F365E7">
        <w:rPr>
          <w:lang w:val="cs-CZ"/>
        </w:rPr>
        <w:t> mg</w:t>
      </w:r>
      <w:r w:rsidR="00BB38AA" w:rsidRPr="001B4A02">
        <w:rPr>
          <w:lang w:val="cs-CZ"/>
        </w:rPr>
        <w:t xml:space="preserve"> jednou za dva týdny (</w:t>
      </w:r>
      <w:r w:rsidR="00551DE7" w:rsidRPr="001B4A02">
        <w:rPr>
          <w:lang w:val="cs-CZ"/>
        </w:rPr>
        <w:t>podanou jako dvě injekce 40</w:t>
      </w:r>
      <w:r w:rsidR="00F365E7">
        <w:rPr>
          <w:lang w:val="cs-CZ"/>
        </w:rPr>
        <w:t> mg</w:t>
      </w:r>
      <w:r w:rsidR="00551DE7" w:rsidRPr="001B4A02">
        <w:rPr>
          <w:lang w:val="cs-CZ"/>
        </w:rPr>
        <w:t xml:space="preserve"> v jednom dni)</w:t>
      </w:r>
      <w:r w:rsidRPr="001B4A02">
        <w:rPr>
          <w:lang w:val="cs-CZ"/>
        </w:rPr>
        <w:t>. Je-li to nutné, léčba antibiotiky může během léčby přípravkem Humira pokračovat. Pacientům se během léčby přípravkem Humira doporučuje provádět denně lokální antiseptické ošetření na místech s</w:t>
      </w:r>
      <w:r w:rsidR="00214AE3" w:rsidRPr="001B4A02">
        <w:rPr>
          <w:lang w:val="cs-CZ"/>
        </w:rPr>
        <w:t> </w:t>
      </w:r>
      <w:r w:rsidRPr="001B4A02">
        <w:rPr>
          <w:lang w:val="cs-CZ"/>
        </w:rPr>
        <w:t>HS léz</w:t>
      </w:r>
      <w:r w:rsidR="000D4B6E" w:rsidRPr="001B4A02">
        <w:rPr>
          <w:lang w:val="cs-CZ"/>
        </w:rPr>
        <w:t>emi</w:t>
      </w:r>
      <w:r w:rsidRPr="001B4A02">
        <w:rPr>
          <w:lang w:val="cs-CZ"/>
        </w:rPr>
        <w:t>.</w:t>
      </w:r>
    </w:p>
    <w:p w14:paraId="7B733E2E" w14:textId="77777777" w:rsidR="00A065E2" w:rsidRPr="001B4A02" w:rsidRDefault="00A065E2" w:rsidP="00ED48A3">
      <w:pPr>
        <w:pStyle w:val="EMEANormal"/>
        <w:rPr>
          <w:lang w:val="cs-CZ"/>
        </w:rPr>
      </w:pPr>
    </w:p>
    <w:p w14:paraId="0F255975" w14:textId="77777777" w:rsidR="001D562D" w:rsidRPr="001B4A02" w:rsidRDefault="00000000" w:rsidP="00ED48A3">
      <w:pPr>
        <w:pStyle w:val="EMEANormal"/>
        <w:rPr>
          <w:lang w:val="cs-CZ"/>
        </w:rPr>
      </w:pPr>
      <w:r w:rsidRPr="001B4A02">
        <w:rPr>
          <w:lang w:val="cs-CZ"/>
        </w:rPr>
        <w:t>Pokračování léčby nad 12 týdnů by mělo být pečlivě zváženo u</w:t>
      </w:r>
      <w:r w:rsidR="00214AE3" w:rsidRPr="001B4A02">
        <w:rPr>
          <w:lang w:val="cs-CZ"/>
        </w:rPr>
        <w:t> </w:t>
      </w:r>
      <w:r w:rsidRPr="001B4A02">
        <w:rPr>
          <w:lang w:val="cs-CZ"/>
        </w:rPr>
        <w:t>pacientů, u</w:t>
      </w:r>
      <w:r w:rsidR="00214AE3" w:rsidRPr="001B4A02">
        <w:rPr>
          <w:lang w:val="cs-CZ"/>
        </w:rPr>
        <w:t> </w:t>
      </w:r>
      <w:r w:rsidRPr="001B4A02">
        <w:rPr>
          <w:lang w:val="cs-CZ"/>
        </w:rPr>
        <w:t>kterých během tohoto obd</w:t>
      </w:r>
      <w:r w:rsidR="00790DEF" w:rsidRPr="001B4A02">
        <w:rPr>
          <w:lang w:val="cs-CZ"/>
        </w:rPr>
        <w:t>obí nedošlo k</w:t>
      </w:r>
      <w:r w:rsidR="00214AE3" w:rsidRPr="001B4A02">
        <w:rPr>
          <w:lang w:val="cs-CZ"/>
        </w:rPr>
        <w:t> </w:t>
      </w:r>
      <w:r w:rsidR="00790DEF" w:rsidRPr="001B4A02">
        <w:rPr>
          <w:lang w:val="cs-CZ"/>
        </w:rPr>
        <w:t>žádnému zlepšení.</w:t>
      </w:r>
    </w:p>
    <w:p w14:paraId="26E5A2F7" w14:textId="77777777" w:rsidR="001D562D" w:rsidRPr="001B4A02" w:rsidRDefault="001D562D" w:rsidP="00ED48A3">
      <w:pPr>
        <w:pStyle w:val="EMEANormal"/>
        <w:rPr>
          <w:lang w:val="cs-CZ"/>
        </w:rPr>
      </w:pPr>
    </w:p>
    <w:p w14:paraId="52A99FD1" w14:textId="77777777" w:rsidR="001D562D" w:rsidRPr="001B4A02" w:rsidRDefault="00000000" w:rsidP="00ED48A3">
      <w:pPr>
        <w:pStyle w:val="EMEANormal"/>
        <w:tabs>
          <w:tab w:val="clear" w:pos="562"/>
        </w:tabs>
        <w:suppressAutoHyphens w:val="0"/>
        <w:rPr>
          <w:lang w:val="cs-CZ"/>
        </w:rPr>
      </w:pPr>
      <w:r w:rsidRPr="001B4A02">
        <w:rPr>
          <w:lang w:val="cs-CZ"/>
        </w:rPr>
        <w:t>Pokud je třeba léčbu přerušit, lze ji znovu zahájit dávkou přípravku Humira 40</w:t>
      </w:r>
      <w:r w:rsidR="00F365E7">
        <w:rPr>
          <w:lang w:val="cs-CZ"/>
        </w:rPr>
        <w:t> mg</w:t>
      </w:r>
      <w:r w:rsidRPr="001B4A02">
        <w:rPr>
          <w:lang w:val="cs-CZ"/>
        </w:rPr>
        <w:t xml:space="preserve"> jednou týdně</w:t>
      </w:r>
      <w:r w:rsidR="00551DE7" w:rsidRPr="001B4A02">
        <w:rPr>
          <w:lang w:val="cs-CZ"/>
        </w:rPr>
        <w:t xml:space="preserve"> nebo 80</w:t>
      </w:r>
      <w:r w:rsidR="00F365E7">
        <w:rPr>
          <w:lang w:val="cs-CZ"/>
        </w:rPr>
        <w:t> mg</w:t>
      </w:r>
      <w:r w:rsidR="00551DE7" w:rsidRPr="001B4A02">
        <w:rPr>
          <w:lang w:val="cs-CZ"/>
        </w:rPr>
        <w:t xml:space="preserve"> jednou za dva týdny</w:t>
      </w:r>
      <w:r w:rsidRPr="001B4A02">
        <w:rPr>
          <w:lang w:val="cs-CZ"/>
        </w:rPr>
        <w:t xml:space="preserve"> (viz bod 5.1).</w:t>
      </w:r>
    </w:p>
    <w:p w14:paraId="5064F6B5" w14:textId="77777777" w:rsidR="001D562D" w:rsidRPr="001B4A02" w:rsidRDefault="001D562D" w:rsidP="00ED48A3">
      <w:pPr>
        <w:pStyle w:val="EMEANormal"/>
        <w:tabs>
          <w:tab w:val="clear" w:pos="562"/>
        </w:tabs>
        <w:suppressAutoHyphens w:val="0"/>
        <w:rPr>
          <w:lang w:val="cs-CZ"/>
        </w:rPr>
      </w:pPr>
    </w:p>
    <w:p w14:paraId="4C59592A" w14:textId="77777777" w:rsidR="001D562D" w:rsidRPr="001B4A02" w:rsidRDefault="00000000" w:rsidP="00ED48A3">
      <w:pPr>
        <w:pStyle w:val="EMEANormal"/>
        <w:tabs>
          <w:tab w:val="clear" w:pos="562"/>
        </w:tabs>
        <w:suppressAutoHyphens w:val="0"/>
        <w:rPr>
          <w:lang w:val="cs-CZ"/>
        </w:rPr>
      </w:pPr>
      <w:r w:rsidRPr="001B4A02">
        <w:rPr>
          <w:lang w:val="cs-CZ"/>
        </w:rPr>
        <w:t>Přínos</w:t>
      </w:r>
      <w:r w:rsidR="002378E0">
        <w:rPr>
          <w:lang w:val="cs-CZ"/>
        </w:rPr>
        <w:t xml:space="preserve"> a </w:t>
      </w:r>
      <w:r w:rsidRPr="001B4A02">
        <w:rPr>
          <w:lang w:val="cs-CZ"/>
        </w:rPr>
        <w:t xml:space="preserve">rizika </w:t>
      </w:r>
      <w:r w:rsidR="003B0C97" w:rsidRPr="001B4A02">
        <w:rPr>
          <w:lang w:val="cs-CZ"/>
        </w:rPr>
        <w:t xml:space="preserve">nepřetržité </w:t>
      </w:r>
      <w:r w:rsidRPr="001B4A02">
        <w:rPr>
          <w:lang w:val="cs-CZ"/>
        </w:rPr>
        <w:t>dlouhodobé léčby mají být pravidelně přehodnocovány (viz bod 5.1).</w:t>
      </w:r>
    </w:p>
    <w:p w14:paraId="1ABE912D" w14:textId="77777777" w:rsidR="00A065E2" w:rsidRPr="001B4A02" w:rsidRDefault="00A065E2" w:rsidP="00ED48A3">
      <w:pPr>
        <w:pStyle w:val="EMEANormal"/>
        <w:tabs>
          <w:tab w:val="clear" w:pos="562"/>
        </w:tabs>
        <w:suppressAutoHyphens w:val="0"/>
        <w:rPr>
          <w:lang w:val="cs-CZ"/>
        </w:rPr>
      </w:pPr>
    </w:p>
    <w:p w14:paraId="1BD43AED" w14:textId="77777777" w:rsidR="00551DE7" w:rsidRPr="001B4A02" w:rsidRDefault="00000000" w:rsidP="00A12A04">
      <w:pPr>
        <w:ind w:left="0" w:firstLine="0"/>
      </w:pPr>
      <w:r w:rsidRPr="001B4A02">
        <w:t xml:space="preserve">Přípravek Humira je k dispozici v dalších silách a/nebo </w:t>
      </w:r>
      <w:r w:rsidR="00A43DB3">
        <w:t>typech balení</w:t>
      </w:r>
      <w:r w:rsidRPr="001B4A02">
        <w:t xml:space="preserve"> v závislosti na individuálních potřebách léčby.</w:t>
      </w:r>
    </w:p>
    <w:p w14:paraId="37E545D4" w14:textId="77777777" w:rsidR="00551DE7" w:rsidRPr="001B4A02" w:rsidRDefault="00551DE7" w:rsidP="00ED48A3">
      <w:pPr>
        <w:pStyle w:val="EMEANormal"/>
        <w:tabs>
          <w:tab w:val="clear" w:pos="562"/>
        </w:tabs>
        <w:suppressAutoHyphens w:val="0"/>
        <w:rPr>
          <w:lang w:val="cs-CZ"/>
        </w:rPr>
      </w:pPr>
    </w:p>
    <w:p w14:paraId="71B4A48A" w14:textId="77777777" w:rsidR="00ED3511" w:rsidRPr="001B4A02" w:rsidRDefault="00000000" w:rsidP="00790DEF">
      <w:pPr>
        <w:pStyle w:val="EMEANormal"/>
        <w:keepNext/>
        <w:tabs>
          <w:tab w:val="clear" w:pos="562"/>
          <w:tab w:val="left" w:pos="708"/>
        </w:tabs>
        <w:suppressAutoHyphens w:val="0"/>
        <w:rPr>
          <w:i/>
          <w:lang w:val="cs-CZ"/>
        </w:rPr>
      </w:pPr>
      <w:r w:rsidRPr="001B4A02">
        <w:rPr>
          <w:i/>
          <w:lang w:val="cs-CZ"/>
        </w:rPr>
        <w:t>Crohnova choroba</w:t>
      </w:r>
    </w:p>
    <w:p w14:paraId="3A1929C2" w14:textId="77777777" w:rsidR="00ED3511" w:rsidRPr="001B4A02" w:rsidRDefault="00ED3511" w:rsidP="00790DEF">
      <w:pPr>
        <w:pStyle w:val="EMEANormal"/>
        <w:keepNext/>
        <w:tabs>
          <w:tab w:val="clear" w:pos="562"/>
          <w:tab w:val="left" w:pos="708"/>
        </w:tabs>
        <w:suppressAutoHyphens w:val="0"/>
        <w:rPr>
          <w:lang w:val="cs-CZ"/>
        </w:rPr>
      </w:pPr>
    </w:p>
    <w:p w14:paraId="7263D968" w14:textId="77777777" w:rsidR="00ED3511" w:rsidRPr="001B4A02" w:rsidRDefault="00000000" w:rsidP="00ED48A3">
      <w:pPr>
        <w:pStyle w:val="EMEANormal"/>
        <w:tabs>
          <w:tab w:val="clear" w:pos="562"/>
          <w:tab w:val="left" w:pos="708"/>
        </w:tabs>
        <w:suppressAutoHyphens w:val="0"/>
        <w:rPr>
          <w:lang w:val="cs-CZ"/>
        </w:rPr>
      </w:pPr>
      <w:r w:rsidRPr="001B4A02">
        <w:rPr>
          <w:lang w:val="cs-CZ"/>
        </w:rPr>
        <w:t>Doporučená úvodní dávka přípravku Humira u dospělých pacientů se středně těžkou až těžkou aktivní Crohnovou chorobou je 80</w:t>
      </w:r>
      <w:r w:rsidR="00F365E7">
        <w:rPr>
          <w:lang w:val="cs-CZ"/>
        </w:rPr>
        <w:t> mg</w:t>
      </w:r>
      <w:r w:rsidRPr="001B4A02">
        <w:rPr>
          <w:lang w:val="cs-CZ"/>
        </w:rPr>
        <w:t xml:space="preserve"> v týdnu 0, dále pak 40</w:t>
      </w:r>
      <w:r w:rsidR="00F365E7">
        <w:rPr>
          <w:lang w:val="cs-CZ"/>
        </w:rPr>
        <w:t> mg</w:t>
      </w:r>
      <w:r w:rsidRPr="001B4A02">
        <w:rPr>
          <w:lang w:val="cs-CZ"/>
        </w:rPr>
        <w:t xml:space="preserve"> v týdnu 2. V případě nutnosti rychlejšího nástupu odpovědi na léčbu je možno </w:t>
      </w:r>
      <w:r w:rsidR="00A507B3" w:rsidRPr="001B4A02">
        <w:rPr>
          <w:lang w:val="cs-CZ"/>
        </w:rPr>
        <w:t>po</w:t>
      </w:r>
      <w:r w:rsidRPr="001B4A02">
        <w:rPr>
          <w:lang w:val="cs-CZ"/>
        </w:rPr>
        <w:t>užít dávkovací schéma se 160</w:t>
      </w:r>
      <w:r w:rsidR="00F365E7">
        <w:rPr>
          <w:lang w:val="cs-CZ"/>
        </w:rPr>
        <w:t> mg</w:t>
      </w:r>
      <w:r w:rsidRPr="001B4A02">
        <w:rPr>
          <w:lang w:val="cs-CZ"/>
        </w:rPr>
        <w:t xml:space="preserve"> v týdnu 0 (</w:t>
      </w:r>
      <w:r w:rsidR="00551DE7" w:rsidRPr="001B4A02">
        <w:rPr>
          <w:lang w:val="cs-CZ"/>
        </w:rPr>
        <w:t>podáno</w:t>
      </w:r>
      <w:r w:rsidRPr="001B4A02">
        <w:rPr>
          <w:lang w:val="cs-CZ"/>
        </w:rPr>
        <w:t xml:space="preserve"> jako </w:t>
      </w:r>
      <w:r w:rsidR="00551DE7" w:rsidRPr="001B4A02">
        <w:rPr>
          <w:lang w:val="cs-CZ"/>
        </w:rPr>
        <w:t>čtyři</w:t>
      </w:r>
      <w:r w:rsidRPr="001B4A02">
        <w:rPr>
          <w:lang w:val="cs-CZ"/>
        </w:rPr>
        <w:t xml:space="preserve"> injekce</w:t>
      </w:r>
      <w:r w:rsidR="00551DE7" w:rsidRPr="001B4A02">
        <w:rPr>
          <w:lang w:val="cs-CZ"/>
        </w:rPr>
        <w:t xml:space="preserve"> 40</w:t>
      </w:r>
      <w:r w:rsidR="00F365E7">
        <w:rPr>
          <w:lang w:val="cs-CZ"/>
        </w:rPr>
        <w:t> mg</w:t>
      </w:r>
      <w:r w:rsidRPr="001B4A02">
        <w:rPr>
          <w:lang w:val="cs-CZ"/>
        </w:rPr>
        <w:t xml:space="preserve"> v jednom dni nebo dvě injekce</w:t>
      </w:r>
      <w:r w:rsidR="00551DE7" w:rsidRPr="001B4A02">
        <w:rPr>
          <w:lang w:val="cs-CZ"/>
        </w:rPr>
        <w:t xml:space="preserve"> 40</w:t>
      </w:r>
      <w:r w:rsidR="00F365E7">
        <w:rPr>
          <w:lang w:val="cs-CZ"/>
        </w:rPr>
        <w:t> mg</w:t>
      </w:r>
      <w:r w:rsidRPr="001B4A02">
        <w:rPr>
          <w:lang w:val="cs-CZ"/>
        </w:rPr>
        <w:t xml:space="preserve"> za den ve dvou následujících dnech)</w:t>
      </w:r>
      <w:r w:rsidR="002378E0">
        <w:rPr>
          <w:lang w:val="cs-CZ"/>
        </w:rPr>
        <w:t xml:space="preserve"> a </w:t>
      </w:r>
      <w:r w:rsidR="00323325">
        <w:rPr>
          <w:lang w:val="cs-CZ"/>
        </w:rPr>
        <w:t xml:space="preserve">poté </w:t>
      </w:r>
      <w:r w:rsidRPr="001B4A02">
        <w:rPr>
          <w:lang w:val="cs-CZ"/>
        </w:rPr>
        <w:t>80</w:t>
      </w:r>
      <w:r w:rsidR="00F365E7">
        <w:rPr>
          <w:lang w:val="cs-CZ"/>
        </w:rPr>
        <w:t> mg</w:t>
      </w:r>
      <w:r w:rsidRPr="001B4A02">
        <w:rPr>
          <w:lang w:val="cs-CZ"/>
        </w:rPr>
        <w:t xml:space="preserve"> v týdnu 2</w:t>
      </w:r>
      <w:r w:rsidR="00551DE7" w:rsidRPr="001B4A02">
        <w:rPr>
          <w:lang w:val="cs-CZ"/>
        </w:rPr>
        <w:t xml:space="preserve"> (podáno jako dvě injekce 40</w:t>
      </w:r>
      <w:r w:rsidR="00F365E7">
        <w:rPr>
          <w:lang w:val="cs-CZ"/>
        </w:rPr>
        <w:t> mg</w:t>
      </w:r>
      <w:r w:rsidR="00551DE7" w:rsidRPr="001B4A02">
        <w:rPr>
          <w:lang w:val="cs-CZ"/>
        </w:rPr>
        <w:t xml:space="preserve"> v jednom dni)</w:t>
      </w:r>
      <w:r w:rsidRPr="001B4A02">
        <w:rPr>
          <w:lang w:val="cs-CZ"/>
        </w:rPr>
        <w:t>, je však nutno si uvědomit vyšší riziko nežádoucích účinků, které při zahájení léčby hrozí.</w:t>
      </w:r>
    </w:p>
    <w:p w14:paraId="7B985421" w14:textId="77777777" w:rsidR="00ED3511" w:rsidRPr="001B4A02" w:rsidRDefault="00ED3511" w:rsidP="00ED48A3">
      <w:pPr>
        <w:pStyle w:val="EMEANormal"/>
        <w:tabs>
          <w:tab w:val="clear" w:pos="562"/>
          <w:tab w:val="left" w:pos="708"/>
        </w:tabs>
        <w:suppressAutoHyphens w:val="0"/>
        <w:rPr>
          <w:lang w:val="cs-CZ"/>
        </w:rPr>
      </w:pPr>
    </w:p>
    <w:p w14:paraId="1DE05ED1" w14:textId="77777777" w:rsidR="00ED3511" w:rsidRPr="001B4A02" w:rsidRDefault="00000000" w:rsidP="00ED48A3">
      <w:pPr>
        <w:pStyle w:val="EMEANormal"/>
        <w:tabs>
          <w:tab w:val="clear" w:pos="562"/>
          <w:tab w:val="left" w:pos="708"/>
        </w:tabs>
        <w:suppressAutoHyphens w:val="0"/>
        <w:rPr>
          <w:lang w:val="cs-CZ"/>
        </w:rPr>
      </w:pPr>
      <w:r w:rsidRPr="001B4A02">
        <w:rPr>
          <w:lang w:val="cs-CZ"/>
        </w:rPr>
        <w:t>Po zahájení léčby je doporučená dávka 40</w:t>
      </w:r>
      <w:r w:rsidR="00F365E7">
        <w:rPr>
          <w:lang w:val="cs-CZ"/>
        </w:rPr>
        <w:t> mg</w:t>
      </w:r>
      <w:r w:rsidRPr="001B4A02">
        <w:rPr>
          <w:lang w:val="cs-CZ"/>
        </w:rPr>
        <w:t xml:space="preserve"> každé dva týdny, podávané subkutánní injekcí. Také v případě, kdy pacient </w:t>
      </w:r>
      <w:r w:rsidR="00A507B3" w:rsidRPr="001B4A02">
        <w:rPr>
          <w:lang w:val="cs-CZ"/>
        </w:rPr>
        <w:t>po</w:t>
      </w:r>
      <w:r w:rsidRPr="001B4A02">
        <w:rPr>
          <w:lang w:val="cs-CZ"/>
        </w:rPr>
        <w:t>užívání přípravku Humira ukončil</w:t>
      </w:r>
      <w:r w:rsidR="002378E0">
        <w:rPr>
          <w:lang w:val="cs-CZ"/>
        </w:rPr>
        <w:t xml:space="preserve"> a </w:t>
      </w:r>
      <w:r w:rsidRPr="001B4A02">
        <w:rPr>
          <w:lang w:val="cs-CZ"/>
        </w:rPr>
        <w:t>příznaky</w:t>
      </w:r>
      <w:r w:rsidR="002378E0">
        <w:rPr>
          <w:lang w:val="cs-CZ"/>
        </w:rPr>
        <w:t xml:space="preserve"> a </w:t>
      </w:r>
      <w:r w:rsidRPr="001B4A02">
        <w:rPr>
          <w:lang w:val="cs-CZ"/>
        </w:rPr>
        <w:t>projevy nemoci se objeví znova, může být přípravek Humira opětovně nasazen. Zkušenost se znovunasazením léčby po více než 8 týdnech</w:t>
      </w:r>
      <w:r w:rsidR="00790DEF" w:rsidRPr="001B4A02">
        <w:rPr>
          <w:lang w:val="cs-CZ"/>
        </w:rPr>
        <w:t xml:space="preserve"> od předchozí dávky je omezená.</w:t>
      </w:r>
    </w:p>
    <w:p w14:paraId="43A22FE6" w14:textId="77777777" w:rsidR="00F13344" w:rsidRPr="001B4A02" w:rsidRDefault="00F13344" w:rsidP="00ED48A3">
      <w:pPr>
        <w:pStyle w:val="EMEANormal"/>
        <w:tabs>
          <w:tab w:val="clear" w:pos="562"/>
          <w:tab w:val="left" w:pos="708"/>
        </w:tabs>
        <w:suppressAutoHyphens w:val="0"/>
        <w:rPr>
          <w:lang w:val="cs-CZ"/>
        </w:rPr>
      </w:pPr>
    </w:p>
    <w:p w14:paraId="40145855" w14:textId="77777777" w:rsidR="003776FC" w:rsidRPr="001B4A02" w:rsidRDefault="00000000" w:rsidP="00ED48A3">
      <w:pPr>
        <w:pStyle w:val="EMEANormal"/>
        <w:tabs>
          <w:tab w:val="clear" w:pos="562"/>
          <w:tab w:val="left" w:pos="708"/>
        </w:tabs>
        <w:suppressAutoHyphens w:val="0"/>
        <w:rPr>
          <w:lang w:val="cs-CZ"/>
        </w:rPr>
      </w:pPr>
      <w:r w:rsidRPr="001B4A02">
        <w:rPr>
          <w:lang w:val="cs-CZ"/>
        </w:rPr>
        <w:t>V průběhu udržovací léčby by měly být dávky kortikosteroidů postupně snižovány ve shodě se zavedenými postupy klinické praxe.</w:t>
      </w:r>
    </w:p>
    <w:p w14:paraId="678D7D2F" w14:textId="77777777" w:rsidR="003776FC" w:rsidRPr="001B4A02" w:rsidRDefault="003776FC" w:rsidP="00ED48A3">
      <w:pPr>
        <w:pStyle w:val="EMEANormal"/>
        <w:tabs>
          <w:tab w:val="clear" w:pos="562"/>
          <w:tab w:val="left" w:pos="708"/>
        </w:tabs>
        <w:suppressAutoHyphens w:val="0"/>
        <w:rPr>
          <w:lang w:val="cs-CZ"/>
        </w:rPr>
      </w:pPr>
    </w:p>
    <w:p w14:paraId="3A0858C7" w14:textId="77777777" w:rsidR="00ED3511" w:rsidRPr="001B4A02" w:rsidRDefault="00000000" w:rsidP="00ED48A3">
      <w:pPr>
        <w:pStyle w:val="EMEANormal"/>
        <w:tabs>
          <w:tab w:val="clear" w:pos="562"/>
          <w:tab w:val="left" w:pos="708"/>
        </w:tabs>
        <w:suppressAutoHyphens w:val="0"/>
        <w:rPr>
          <w:lang w:val="cs-CZ"/>
        </w:rPr>
      </w:pPr>
      <w:r w:rsidRPr="001B4A02">
        <w:rPr>
          <w:lang w:val="cs-CZ"/>
        </w:rPr>
        <w:t xml:space="preserve">Někteří </w:t>
      </w:r>
      <w:r w:rsidR="006C5D05" w:rsidRPr="001B4A02">
        <w:rPr>
          <w:lang w:val="cs-CZ"/>
        </w:rPr>
        <w:t>pacienti</w:t>
      </w:r>
      <w:r w:rsidRPr="001B4A02">
        <w:rPr>
          <w:lang w:val="cs-CZ"/>
        </w:rPr>
        <w:t>, u</w:t>
      </w:r>
      <w:r w:rsidR="00D15A04" w:rsidRPr="001B4A02">
        <w:rPr>
          <w:lang w:val="cs-CZ"/>
        </w:rPr>
        <w:t> </w:t>
      </w:r>
      <w:r w:rsidRPr="001B4A02">
        <w:rPr>
          <w:lang w:val="cs-CZ"/>
        </w:rPr>
        <w:t>kterých dojde k poklesu odpovědi na léčbu</w:t>
      </w:r>
      <w:r w:rsidR="00551DE7" w:rsidRPr="001B4A02">
        <w:rPr>
          <w:lang w:val="cs-CZ"/>
        </w:rPr>
        <w:t xml:space="preserve"> přípravkem Humira 40</w:t>
      </w:r>
      <w:r w:rsidR="00CC333F" w:rsidRPr="001B4A02">
        <w:rPr>
          <w:lang w:val="cs-CZ"/>
        </w:rPr>
        <w:t> </w:t>
      </w:r>
      <w:r w:rsidR="00551DE7" w:rsidRPr="001B4A02">
        <w:rPr>
          <w:lang w:val="cs-CZ"/>
        </w:rPr>
        <w:t>mg jednou za dva týdny</w:t>
      </w:r>
      <w:r w:rsidRPr="001B4A02">
        <w:rPr>
          <w:lang w:val="cs-CZ"/>
        </w:rPr>
        <w:t xml:space="preserve">, mohou profitovat ze zvýšení </w:t>
      </w:r>
      <w:r w:rsidR="00551DE7" w:rsidRPr="001B4A02">
        <w:rPr>
          <w:lang w:val="cs-CZ"/>
        </w:rPr>
        <w:t>dávkování</w:t>
      </w:r>
      <w:r w:rsidRPr="001B4A02">
        <w:rPr>
          <w:lang w:val="cs-CZ"/>
        </w:rPr>
        <w:t xml:space="preserve"> na 40 mg přípravku Humira každý týden</w:t>
      </w:r>
      <w:r w:rsidR="00551DE7" w:rsidRPr="001B4A02">
        <w:rPr>
          <w:lang w:val="cs-CZ"/>
        </w:rPr>
        <w:t xml:space="preserve"> nebo 80</w:t>
      </w:r>
      <w:r w:rsidR="00CC333F" w:rsidRPr="001B4A02">
        <w:rPr>
          <w:lang w:val="cs-CZ"/>
        </w:rPr>
        <w:t> </w:t>
      </w:r>
      <w:r w:rsidR="00551DE7" w:rsidRPr="001B4A02">
        <w:rPr>
          <w:lang w:val="cs-CZ"/>
        </w:rPr>
        <w:t>mg jednou za dva týdny</w:t>
      </w:r>
      <w:r w:rsidRPr="001B4A02">
        <w:rPr>
          <w:lang w:val="cs-CZ"/>
        </w:rPr>
        <w:t>.</w:t>
      </w:r>
    </w:p>
    <w:p w14:paraId="6D42A8ED" w14:textId="77777777" w:rsidR="00ED3511" w:rsidRPr="001B4A02" w:rsidRDefault="00ED3511" w:rsidP="00ED48A3">
      <w:pPr>
        <w:pStyle w:val="EMEANormal"/>
        <w:tabs>
          <w:tab w:val="clear" w:pos="562"/>
          <w:tab w:val="left" w:pos="708"/>
        </w:tabs>
        <w:suppressAutoHyphens w:val="0"/>
        <w:rPr>
          <w:lang w:val="cs-CZ"/>
        </w:rPr>
      </w:pPr>
    </w:p>
    <w:p w14:paraId="315775BF" w14:textId="77777777" w:rsidR="00ED3511" w:rsidRPr="001B4A02" w:rsidRDefault="00000000" w:rsidP="00ED48A3">
      <w:pPr>
        <w:pStyle w:val="EMEANormal"/>
        <w:tabs>
          <w:tab w:val="clear" w:pos="562"/>
          <w:tab w:val="left" w:pos="708"/>
        </w:tabs>
        <w:suppressAutoHyphens w:val="0"/>
        <w:rPr>
          <w:lang w:val="cs-CZ"/>
        </w:rPr>
      </w:pPr>
      <w:r w:rsidRPr="001B4A02">
        <w:rPr>
          <w:lang w:val="cs-CZ"/>
        </w:rPr>
        <w:t>Někteří pacienti, u</w:t>
      </w:r>
      <w:r w:rsidR="00D15A04" w:rsidRPr="001B4A02">
        <w:rPr>
          <w:lang w:val="cs-CZ"/>
        </w:rPr>
        <w:t> </w:t>
      </w:r>
      <w:r w:rsidRPr="001B4A02">
        <w:rPr>
          <w:lang w:val="cs-CZ"/>
        </w:rPr>
        <w:t>nichž se odpověď na léčbu nerozvinula do týdne 4, mohou profitovat, pokud v udržovací léčbě pokračují až do týdne 12. U</w:t>
      </w:r>
      <w:r w:rsidR="00255A0A" w:rsidRPr="001B4A02">
        <w:rPr>
          <w:lang w:val="cs-CZ"/>
        </w:rPr>
        <w:t> </w:t>
      </w:r>
      <w:r w:rsidRPr="001B4A02">
        <w:rPr>
          <w:lang w:val="cs-CZ"/>
        </w:rPr>
        <w:t>pacientů, u</w:t>
      </w:r>
      <w:r w:rsidR="00255A0A" w:rsidRPr="001B4A02">
        <w:rPr>
          <w:lang w:val="cs-CZ"/>
        </w:rPr>
        <w:t> </w:t>
      </w:r>
      <w:r w:rsidRPr="001B4A02">
        <w:rPr>
          <w:lang w:val="cs-CZ"/>
        </w:rPr>
        <w:t>kterých se v průběhu tohoto období odpověď na léčbu nerozvine, musí být další pokračování v léčbě pečlivě zváženo.</w:t>
      </w:r>
    </w:p>
    <w:p w14:paraId="034CFEBA" w14:textId="77777777" w:rsidR="00ED3511" w:rsidRPr="001B4A02" w:rsidRDefault="00ED3511" w:rsidP="00ED48A3">
      <w:pPr>
        <w:ind w:left="0" w:firstLine="0"/>
        <w:rPr>
          <w:u w:val="single"/>
        </w:rPr>
      </w:pPr>
    </w:p>
    <w:p w14:paraId="3BD4CCFC" w14:textId="77777777" w:rsidR="00551DE7" w:rsidRPr="001B4A02" w:rsidRDefault="00000000" w:rsidP="00A12A04">
      <w:pPr>
        <w:ind w:left="0" w:firstLine="0"/>
      </w:pPr>
      <w:r w:rsidRPr="001B4A02">
        <w:t xml:space="preserve">Přípravek Humira je k dispozici v dalších silách a/nebo </w:t>
      </w:r>
      <w:r w:rsidR="00A43DB3">
        <w:t>typech balení</w:t>
      </w:r>
      <w:r w:rsidRPr="001B4A02">
        <w:t xml:space="preserve"> v závislosti na individuálních potřebách léčby.</w:t>
      </w:r>
    </w:p>
    <w:p w14:paraId="6DC8A7DA" w14:textId="77777777" w:rsidR="00551DE7" w:rsidRPr="001B4A02" w:rsidRDefault="00551DE7" w:rsidP="00ED48A3">
      <w:pPr>
        <w:ind w:left="0" w:firstLine="0"/>
        <w:rPr>
          <w:u w:val="single"/>
        </w:rPr>
      </w:pPr>
    </w:p>
    <w:p w14:paraId="45DC51E7" w14:textId="77777777" w:rsidR="00ED3511" w:rsidRPr="001B4A02" w:rsidRDefault="00000000" w:rsidP="00ED48A3">
      <w:pPr>
        <w:keepNext/>
        <w:ind w:left="0" w:firstLine="0"/>
        <w:rPr>
          <w:i/>
        </w:rPr>
      </w:pPr>
      <w:r w:rsidRPr="001B4A02">
        <w:rPr>
          <w:i/>
        </w:rPr>
        <w:t>Ulcerózní kolitida</w:t>
      </w:r>
    </w:p>
    <w:p w14:paraId="303EE090" w14:textId="77777777" w:rsidR="00ED3511" w:rsidRPr="001B4A02" w:rsidRDefault="00ED3511" w:rsidP="00ED48A3">
      <w:pPr>
        <w:keepNext/>
        <w:ind w:left="0" w:firstLine="0"/>
        <w:rPr>
          <w:u w:val="single"/>
        </w:rPr>
      </w:pPr>
    </w:p>
    <w:p w14:paraId="7739BF63" w14:textId="77777777" w:rsidR="00ED3511" w:rsidRPr="001B4A02" w:rsidRDefault="00000000" w:rsidP="00790DEF">
      <w:pPr>
        <w:ind w:left="0" w:firstLine="0"/>
      </w:pPr>
      <w:r w:rsidRPr="001B4A02">
        <w:t>Doporučená úvodní dávka přípravku Humira u dospělých pacientů se středně těžkou až těžkou ulcerózní kolitidou je 160 mg v týdnu 0 (</w:t>
      </w:r>
      <w:r w:rsidR="00551DE7" w:rsidRPr="001B4A02">
        <w:t>podáno jako čtyři</w:t>
      </w:r>
      <w:r w:rsidRPr="001B4A02">
        <w:t xml:space="preserve"> injekce</w:t>
      </w:r>
      <w:r w:rsidR="00551DE7" w:rsidRPr="001B4A02">
        <w:t xml:space="preserve"> 40</w:t>
      </w:r>
      <w:r w:rsidR="00F365E7">
        <w:t> mg</w:t>
      </w:r>
      <w:r w:rsidRPr="001B4A02">
        <w:t xml:space="preserve"> v jednom dni nebo </w:t>
      </w:r>
      <w:r w:rsidR="00551DE7" w:rsidRPr="001B4A02">
        <w:t xml:space="preserve">dvě </w:t>
      </w:r>
      <w:r w:rsidRPr="001B4A02">
        <w:t xml:space="preserve">injekce </w:t>
      </w:r>
      <w:r w:rsidR="00551DE7" w:rsidRPr="001B4A02">
        <w:t>40</w:t>
      </w:r>
      <w:r w:rsidR="00F365E7">
        <w:t> mg</w:t>
      </w:r>
      <w:r w:rsidR="00551DE7" w:rsidRPr="001B4A02">
        <w:t xml:space="preserve"> </w:t>
      </w:r>
      <w:r w:rsidRPr="001B4A02">
        <w:t xml:space="preserve">denně ve dvou po sobě </w:t>
      </w:r>
      <w:r w:rsidR="00FE5873">
        <w:t>jdoucích</w:t>
      </w:r>
      <w:r w:rsidRPr="001B4A02">
        <w:t>dnech), dále pak 80</w:t>
      </w:r>
      <w:r w:rsidR="00F365E7">
        <w:t> mg</w:t>
      </w:r>
      <w:r w:rsidR="00551DE7" w:rsidRPr="001B4A02">
        <w:t xml:space="preserve"> </w:t>
      </w:r>
      <w:r w:rsidRPr="001B4A02">
        <w:t>v týdnu 2</w:t>
      </w:r>
      <w:r w:rsidR="00551DE7" w:rsidRPr="001B4A02">
        <w:t xml:space="preserve"> (podáno jako dvě injekce 40</w:t>
      </w:r>
      <w:r w:rsidR="00F365E7">
        <w:t> mg</w:t>
      </w:r>
      <w:r w:rsidR="00551DE7" w:rsidRPr="001B4A02">
        <w:t xml:space="preserve"> v jednom dni)</w:t>
      </w:r>
      <w:r w:rsidRPr="001B4A02">
        <w:t>. Po úvodní léčbě je doporučená dávka 40</w:t>
      </w:r>
      <w:r w:rsidR="00F365E7">
        <w:t> mg</w:t>
      </w:r>
      <w:r w:rsidRPr="001B4A02">
        <w:t xml:space="preserve"> ka</w:t>
      </w:r>
      <w:r w:rsidR="00790DEF" w:rsidRPr="001B4A02">
        <w:t>ždý druhý týden subkutánně.</w:t>
      </w:r>
    </w:p>
    <w:p w14:paraId="7D703950" w14:textId="77777777" w:rsidR="00ED3511" w:rsidRPr="001B4A02" w:rsidRDefault="00ED3511" w:rsidP="00ED48A3">
      <w:pPr>
        <w:ind w:left="0" w:firstLine="0"/>
      </w:pPr>
    </w:p>
    <w:p w14:paraId="5553B81C" w14:textId="77777777" w:rsidR="00ED3511" w:rsidRPr="001B4A02" w:rsidRDefault="00000000" w:rsidP="00ED48A3">
      <w:pPr>
        <w:ind w:left="0" w:firstLine="0"/>
      </w:pPr>
      <w:r w:rsidRPr="001B4A02">
        <w:t>V průběhu udržovací léčby lze snižovat dávky kortikosteroidů v souladu s místními doporučeními pro klinickou praxi.</w:t>
      </w:r>
    </w:p>
    <w:p w14:paraId="07CAE25E" w14:textId="77777777" w:rsidR="00ED3511" w:rsidRPr="001B4A02" w:rsidRDefault="00ED3511" w:rsidP="00ED48A3">
      <w:pPr>
        <w:ind w:left="0" w:firstLine="0"/>
      </w:pPr>
    </w:p>
    <w:p w14:paraId="0D5ADB9C" w14:textId="77777777" w:rsidR="00ED3511" w:rsidRPr="001B4A02" w:rsidRDefault="00000000" w:rsidP="00ED48A3">
      <w:pPr>
        <w:ind w:left="0" w:firstLine="0"/>
      </w:pPr>
      <w:r w:rsidRPr="001B4A02">
        <w:t>Někteří pacienti, u</w:t>
      </w:r>
      <w:r w:rsidR="00D15A04" w:rsidRPr="001B4A02">
        <w:t> </w:t>
      </w:r>
      <w:r w:rsidRPr="001B4A02">
        <w:t>nichž odpověď na léčbu</w:t>
      </w:r>
      <w:r w:rsidR="00551DE7" w:rsidRPr="001B4A02">
        <w:t xml:space="preserve"> přípravkem Humira 40</w:t>
      </w:r>
      <w:r w:rsidR="00F365E7">
        <w:t> mg</w:t>
      </w:r>
      <w:r w:rsidR="00551DE7" w:rsidRPr="001B4A02">
        <w:t xml:space="preserve"> jednou za dva týdny</w:t>
      </w:r>
      <w:r w:rsidRPr="001B4A02">
        <w:t xml:space="preserve"> nebyla adekvátní, </w:t>
      </w:r>
      <w:r w:rsidR="00551DE7" w:rsidRPr="001B4A02">
        <w:t xml:space="preserve">mohou profitovat </w:t>
      </w:r>
      <w:r w:rsidRPr="001B4A02">
        <w:t xml:space="preserve">ze zvýšení </w:t>
      </w:r>
      <w:r w:rsidR="00551DE7" w:rsidRPr="001B4A02">
        <w:t>dávkování</w:t>
      </w:r>
      <w:r w:rsidRPr="001B4A02">
        <w:t xml:space="preserve"> na 40</w:t>
      </w:r>
      <w:r w:rsidR="00F365E7">
        <w:t> mg</w:t>
      </w:r>
      <w:r w:rsidRPr="001B4A02">
        <w:t xml:space="preserve"> přípravku Humira každý týden</w:t>
      </w:r>
      <w:r w:rsidR="00551DE7" w:rsidRPr="001B4A02">
        <w:t xml:space="preserve"> nebo 80</w:t>
      </w:r>
      <w:r w:rsidR="00CC333F" w:rsidRPr="001B4A02">
        <w:t> </w:t>
      </w:r>
      <w:r w:rsidR="00551DE7" w:rsidRPr="001B4A02">
        <w:t>mg jednou za dva týdny</w:t>
      </w:r>
      <w:r w:rsidRPr="001B4A02">
        <w:t>.</w:t>
      </w:r>
    </w:p>
    <w:p w14:paraId="71A7B0A2" w14:textId="77777777" w:rsidR="00ED3511" w:rsidRPr="001B4A02" w:rsidRDefault="00ED3511" w:rsidP="00ED48A3">
      <w:pPr>
        <w:ind w:left="0" w:firstLine="0"/>
      </w:pPr>
    </w:p>
    <w:p w14:paraId="49302333" w14:textId="77777777" w:rsidR="00ED3511" w:rsidRPr="001B4A02" w:rsidRDefault="00000000" w:rsidP="00ED48A3">
      <w:pPr>
        <w:ind w:left="0" w:firstLine="0"/>
      </w:pPr>
      <w:r w:rsidRPr="001B4A02">
        <w:t>Dostupné údaje naznačují, že klinické odpovědi je obvykle dosaženo v průběhu 2</w:t>
      </w:r>
      <w:r w:rsidR="00C3486C" w:rsidRPr="001B4A02">
        <w:t>–</w:t>
      </w:r>
      <w:r w:rsidR="00790DEF" w:rsidRPr="001B4A02">
        <w:t>8 týdnů léčby.</w:t>
      </w:r>
    </w:p>
    <w:p w14:paraId="56C3282E" w14:textId="77777777" w:rsidR="00ED3511" w:rsidRPr="001B4A02" w:rsidRDefault="00000000" w:rsidP="00ED48A3">
      <w:pPr>
        <w:ind w:left="0" w:firstLine="0"/>
        <w:rPr>
          <w:u w:val="single"/>
        </w:rPr>
      </w:pPr>
      <w:r w:rsidRPr="001B4A02">
        <w:t>V</w:t>
      </w:r>
      <w:r w:rsidR="00CC333F">
        <w:t> </w:t>
      </w:r>
      <w:r w:rsidRPr="001B4A02">
        <w:t>léčbě přípravkem Humira se nedoporučuje pokračovat u</w:t>
      </w:r>
      <w:r w:rsidR="00D15A04" w:rsidRPr="001B4A02">
        <w:t> </w:t>
      </w:r>
      <w:r w:rsidRPr="001B4A02">
        <w:t>těch pacientů, u</w:t>
      </w:r>
      <w:r w:rsidR="00D15A04" w:rsidRPr="001B4A02">
        <w:t> </w:t>
      </w:r>
      <w:r w:rsidRPr="001B4A02">
        <w:t>nichž došlo během tohoto období k selhání odpovědi na léčbu.</w:t>
      </w:r>
    </w:p>
    <w:p w14:paraId="17E93F96" w14:textId="77777777" w:rsidR="00ED3511" w:rsidRPr="001B4A02" w:rsidRDefault="00ED3511" w:rsidP="00ED48A3">
      <w:pPr>
        <w:ind w:left="0" w:firstLine="0"/>
        <w:rPr>
          <w:u w:val="single"/>
        </w:rPr>
      </w:pPr>
    </w:p>
    <w:p w14:paraId="6A390CEB" w14:textId="77777777" w:rsidR="00551DE7" w:rsidRPr="001B4A02" w:rsidRDefault="00000000" w:rsidP="00A12A04">
      <w:pPr>
        <w:ind w:left="0" w:firstLine="0"/>
      </w:pPr>
      <w:r w:rsidRPr="001B4A02">
        <w:t xml:space="preserve">Přípravek Humira je k dispozici v dalších silách a/nebo </w:t>
      </w:r>
      <w:r w:rsidR="00A43DB3">
        <w:t>typech balení</w:t>
      </w:r>
      <w:r w:rsidRPr="001B4A02">
        <w:t xml:space="preserve"> v závislosti na individuálních potřebách léčby.</w:t>
      </w:r>
    </w:p>
    <w:p w14:paraId="29B192C0" w14:textId="77777777" w:rsidR="00551DE7" w:rsidRPr="001B4A02" w:rsidRDefault="00551DE7" w:rsidP="00ED48A3">
      <w:pPr>
        <w:ind w:left="0" w:firstLine="0"/>
        <w:rPr>
          <w:u w:val="single"/>
        </w:rPr>
      </w:pPr>
    </w:p>
    <w:p w14:paraId="1C57A180" w14:textId="77777777" w:rsidR="00F565BA" w:rsidRPr="001B4A02" w:rsidRDefault="00000000" w:rsidP="00A12A04">
      <w:pPr>
        <w:pStyle w:val="DefaultText"/>
        <w:keepNext/>
        <w:rPr>
          <w:rFonts w:ascii="Times New Roman" w:hAnsi="Times New Roman"/>
          <w:i/>
          <w:lang w:val="cs-CZ"/>
        </w:rPr>
      </w:pPr>
      <w:r w:rsidRPr="001B4A02">
        <w:rPr>
          <w:rFonts w:ascii="Times New Roman" w:hAnsi="Times New Roman"/>
          <w:i/>
          <w:lang w:val="cs-CZ"/>
        </w:rPr>
        <w:t>Uveitida</w:t>
      </w:r>
    </w:p>
    <w:p w14:paraId="68DB657E" w14:textId="77777777" w:rsidR="00F565BA" w:rsidRPr="001B4A02" w:rsidRDefault="00F565BA" w:rsidP="00A12A04">
      <w:pPr>
        <w:pStyle w:val="EMEANormal"/>
        <w:keepNext/>
        <w:rPr>
          <w:szCs w:val="22"/>
          <w:lang w:val="cs-CZ"/>
        </w:rPr>
      </w:pPr>
    </w:p>
    <w:p w14:paraId="43D1833E" w14:textId="77777777" w:rsidR="00F565BA" w:rsidRPr="001B4A02" w:rsidRDefault="00000000" w:rsidP="00ED48A3">
      <w:pPr>
        <w:pStyle w:val="EMEANormal"/>
        <w:rPr>
          <w:szCs w:val="22"/>
          <w:lang w:val="cs-CZ"/>
        </w:rPr>
      </w:pPr>
      <w:r w:rsidRPr="001B4A02">
        <w:rPr>
          <w:lang w:val="cs-CZ"/>
        </w:rPr>
        <w:t>Doporučená úvodní dávka přípravku Humira u dospělých pacientů s</w:t>
      </w:r>
      <w:r w:rsidR="00214AE3" w:rsidRPr="001B4A02">
        <w:rPr>
          <w:lang w:val="cs-CZ"/>
        </w:rPr>
        <w:t> </w:t>
      </w:r>
      <w:r w:rsidRPr="001B4A02">
        <w:rPr>
          <w:lang w:val="cs-CZ"/>
        </w:rPr>
        <w:t xml:space="preserve">uveitidou je </w:t>
      </w:r>
      <w:r w:rsidRPr="001B4A02">
        <w:rPr>
          <w:szCs w:val="22"/>
          <w:lang w:val="cs-CZ"/>
        </w:rPr>
        <w:t>80</w:t>
      </w:r>
      <w:r w:rsidR="00F365E7">
        <w:rPr>
          <w:szCs w:val="22"/>
          <w:lang w:val="cs-CZ"/>
        </w:rPr>
        <w:t> mg</w:t>
      </w:r>
      <w:r w:rsidRPr="001B4A02">
        <w:rPr>
          <w:szCs w:val="22"/>
          <w:lang w:val="cs-CZ"/>
        </w:rPr>
        <w:t>, následovaná jeden týden po úvodní dávce dávkou 40</w:t>
      </w:r>
      <w:r w:rsidR="00F365E7">
        <w:rPr>
          <w:szCs w:val="22"/>
          <w:lang w:val="cs-CZ"/>
        </w:rPr>
        <w:t> mg</w:t>
      </w:r>
      <w:r w:rsidRPr="001B4A02">
        <w:rPr>
          <w:szCs w:val="22"/>
          <w:lang w:val="cs-CZ"/>
        </w:rPr>
        <w:t xml:space="preserve"> podávanou jednou za dva týdny. Zkušenosti se zahájením léčby samotným přípravkem Humira jsou omezené. Terapii přípravkem Humira lze zahájit v</w:t>
      </w:r>
      <w:r w:rsidR="00790DEF" w:rsidRPr="001B4A02">
        <w:rPr>
          <w:szCs w:val="22"/>
          <w:lang w:val="cs-CZ"/>
        </w:rPr>
        <w:t> </w:t>
      </w:r>
      <w:r w:rsidRPr="001B4A02">
        <w:rPr>
          <w:szCs w:val="22"/>
          <w:lang w:val="cs-CZ"/>
        </w:rPr>
        <w:t>kombinaci s</w:t>
      </w:r>
      <w:r w:rsidR="00214AE3" w:rsidRPr="001B4A02">
        <w:rPr>
          <w:szCs w:val="22"/>
          <w:lang w:val="cs-CZ"/>
        </w:rPr>
        <w:t> </w:t>
      </w:r>
      <w:r w:rsidRPr="001B4A02">
        <w:rPr>
          <w:szCs w:val="22"/>
          <w:lang w:val="cs-CZ"/>
        </w:rPr>
        <w:t xml:space="preserve">kortikosteroidy a/nebo jinými nebiologickými imunomodulačními látkami. Dávku současně podávaných kortikosteroidů je možno </w:t>
      </w:r>
      <w:r w:rsidR="000275CA" w:rsidRPr="001B4A02">
        <w:rPr>
          <w:szCs w:val="22"/>
          <w:lang w:val="cs-CZ"/>
        </w:rPr>
        <w:t xml:space="preserve">v souladu s klinickou praxí </w:t>
      </w:r>
      <w:r w:rsidRPr="001B4A02">
        <w:rPr>
          <w:szCs w:val="22"/>
          <w:lang w:val="cs-CZ"/>
        </w:rPr>
        <w:t xml:space="preserve">začít snižovat dva týdny po zahájení terapie přípravkem </w:t>
      </w:r>
      <w:r w:rsidR="00790DEF" w:rsidRPr="001B4A02">
        <w:rPr>
          <w:szCs w:val="22"/>
          <w:lang w:val="cs-CZ"/>
        </w:rPr>
        <w:t>Humira.</w:t>
      </w:r>
    </w:p>
    <w:p w14:paraId="57A4ADA6" w14:textId="77777777" w:rsidR="00F565BA" w:rsidRPr="001B4A02" w:rsidRDefault="00F565BA" w:rsidP="00ED48A3">
      <w:pPr>
        <w:pStyle w:val="EMEANormal"/>
        <w:rPr>
          <w:szCs w:val="22"/>
          <w:lang w:val="cs-CZ"/>
        </w:rPr>
      </w:pPr>
    </w:p>
    <w:p w14:paraId="63A6A81F" w14:textId="77777777" w:rsidR="00F565BA" w:rsidRPr="001B4A02" w:rsidRDefault="00000000" w:rsidP="00ED48A3">
      <w:pPr>
        <w:pStyle w:val="EMEANormal"/>
        <w:rPr>
          <w:szCs w:val="22"/>
          <w:lang w:val="cs-CZ"/>
        </w:rPr>
      </w:pPr>
      <w:r w:rsidRPr="001B4A02">
        <w:rPr>
          <w:szCs w:val="22"/>
          <w:lang w:val="cs-CZ"/>
        </w:rPr>
        <w:t>Doporučuje se jednou ročně posoudit přínosy</w:t>
      </w:r>
      <w:r w:rsidR="002378E0">
        <w:rPr>
          <w:szCs w:val="22"/>
          <w:lang w:val="cs-CZ"/>
        </w:rPr>
        <w:t xml:space="preserve"> a </w:t>
      </w:r>
      <w:r w:rsidRPr="001B4A02">
        <w:rPr>
          <w:szCs w:val="22"/>
          <w:lang w:val="cs-CZ"/>
        </w:rPr>
        <w:t>rizika pokračující dlouhodobé léčby (viz bod 5.1).</w:t>
      </w:r>
    </w:p>
    <w:p w14:paraId="0B8C9FE8" w14:textId="77777777" w:rsidR="00F565BA" w:rsidRPr="001B4A02" w:rsidRDefault="00F565BA" w:rsidP="00ED48A3">
      <w:pPr>
        <w:rPr>
          <w:u w:val="single"/>
        </w:rPr>
      </w:pPr>
    </w:p>
    <w:p w14:paraId="2CDF3750" w14:textId="77777777" w:rsidR="00551DE7" w:rsidRPr="001B4A02" w:rsidRDefault="00000000" w:rsidP="00A12A04">
      <w:pPr>
        <w:ind w:left="0" w:firstLine="0"/>
      </w:pPr>
      <w:r w:rsidRPr="001B4A02">
        <w:t xml:space="preserve">Přípravek Humira je k dispozici v dalších silách a/nebo </w:t>
      </w:r>
      <w:r w:rsidR="00A43DB3">
        <w:t>typech balení</w:t>
      </w:r>
      <w:r w:rsidRPr="001B4A02">
        <w:t xml:space="preserve"> v závislosti na individuálních potřebách léčby.</w:t>
      </w:r>
    </w:p>
    <w:p w14:paraId="0A59BC1A" w14:textId="77777777" w:rsidR="00551DE7" w:rsidRPr="001B4A02" w:rsidRDefault="00551DE7" w:rsidP="00ED48A3">
      <w:pPr>
        <w:rPr>
          <w:u w:val="single"/>
        </w:rPr>
      </w:pPr>
    </w:p>
    <w:p w14:paraId="2F91E23A" w14:textId="77777777" w:rsidR="00C052DC" w:rsidRPr="001B4A02" w:rsidRDefault="00000000" w:rsidP="00A12A04">
      <w:pPr>
        <w:keepNext/>
        <w:rPr>
          <w:u w:val="single"/>
        </w:rPr>
      </w:pPr>
      <w:r w:rsidRPr="001B4A02">
        <w:rPr>
          <w:u w:val="single"/>
        </w:rPr>
        <w:t xml:space="preserve">Zvláštní </w:t>
      </w:r>
      <w:r w:rsidR="00BB1FE9">
        <w:rPr>
          <w:u w:val="single"/>
        </w:rPr>
        <w:t>skupiny pacientů</w:t>
      </w:r>
    </w:p>
    <w:p w14:paraId="0AA08811" w14:textId="77777777" w:rsidR="00C052DC" w:rsidRPr="001B4A02" w:rsidRDefault="00C052DC" w:rsidP="00A12A04">
      <w:pPr>
        <w:keepNext/>
        <w:rPr>
          <w:u w:val="single"/>
        </w:rPr>
      </w:pPr>
    </w:p>
    <w:p w14:paraId="4B90A21B" w14:textId="77777777" w:rsidR="00ED3511" w:rsidRPr="001B4A02" w:rsidRDefault="00000000" w:rsidP="00A12A04">
      <w:pPr>
        <w:keepNext/>
      </w:pPr>
      <w:r w:rsidRPr="001B4A02">
        <w:t>Starší pacienti</w:t>
      </w:r>
    </w:p>
    <w:p w14:paraId="06A7CCEA" w14:textId="77777777" w:rsidR="00ED3511" w:rsidRPr="001B4A02" w:rsidRDefault="00ED3511" w:rsidP="00A12A04">
      <w:pPr>
        <w:keepNext/>
        <w:ind w:left="0" w:firstLine="0"/>
      </w:pPr>
    </w:p>
    <w:p w14:paraId="6E6CDE15" w14:textId="77777777" w:rsidR="00ED3511" w:rsidRPr="001B4A02" w:rsidRDefault="00000000" w:rsidP="00ED48A3">
      <w:pPr>
        <w:ind w:left="0" w:firstLine="0"/>
      </w:pPr>
      <w:r w:rsidRPr="001B4A02">
        <w:t>Není zapotřebí žádná úprava dávky.</w:t>
      </w:r>
    </w:p>
    <w:p w14:paraId="6190CADB" w14:textId="77777777" w:rsidR="00ED3511" w:rsidRPr="001B4A02" w:rsidRDefault="00ED3511" w:rsidP="00ED48A3">
      <w:pPr>
        <w:ind w:left="0" w:firstLine="0"/>
      </w:pPr>
    </w:p>
    <w:p w14:paraId="0AC31DE3" w14:textId="77777777" w:rsidR="00ED3511" w:rsidRPr="001B4A02" w:rsidRDefault="00000000" w:rsidP="00ED48A3">
      <w:pPr>
        <w:keepNext/>
        <w:ind w:left="0" w:firstLine="0"/>
      </w:pPr>
      <w:r w:rsidRPr="001B4A02">
        <w:t>Po</w:t>
      </w:r>
      <w:r w:rsidR="00696488" w:rsidRPr="001B4A02">
        <w:t>rucha</w:t>
      </w:r>
      <w:r w:rsidRPr="001B4A02">
        <w:t xml:space="preserve"> funkce jater a/nebo ledvin</w:t>
      </w:r>
    </w:p>
    <w:p w14:paraId="7A5E3746" w14:textId="77777777" w:rsidR="00ED3511" w:rsidRPr="001B4A02" w:rsidRDefault="00ED3511" w:rsidP="00ED48A3">
      <w:pPr>
        <w:keepNext/>
        <w:ind w:left="0" w:firstLine="0"/>
      </w:pPr>
    </w:p>
    <w:p w14:paraId="0B7B5FE9" w14:textId="77777777" w:rsidR="00ED3511" w:rsidRPr="001B4A02" w:rsidRDefault="00000000" w:rsidP="00790DEF">
      <w:pPr>
        <w:ind w:left="0" w:firstLine="0"/>
      </w:pPr>
      <w:r>
        <w:t>Po</w:t>
      </w:r>
      <w:r w:rsidR="007E226E">
        <w:t>u</w:t>
      </w:r>
      <w:r w:rsidRPr="001B4A02">
        <w:t>žití přípravku Humira nebylo u</w:t>
      </w:r>
      <w:r w:rsidR="00D15A04" w:rsidRPr="001B4A02">
        <w:t> </w:t>
      </w:r>
      <w:r w:rsidRPr="001B4A02">
        <w:t>těchto skupin pacientů studováno. Nelze učinit žádná doporučení pro dávkování.</w:t>
      </w:r>
    </w:p>
    <w:p w14:paraId="171B1B47" w14:textId="77777777" w:rsidR="00ED3511" w:rsidRPr="001B4A02" w:rsidRDefault="00ED3511" w:rsidP="00ED48A3">
      <w:pPr>
        <w:ind w:left="0" w:firstLine="0"/>
      </w:pPr>
    </w:p>
    <w:p w14:paraId="05F23E06" w14:textId="77777777" w:rsidR="00ED3511" w:rsidRPr="001B4A02" w:rsidRDefault="00000000" w:rsidP="00A12A04">
      <w:pPr>
        <w:keepNext/>
      </w:pPr>
      <w:r w:rsidRPr="001B4A02">
        <w:t>Pediatrická populace</w:t>
      </w:r>
    </w:p>
    <w:p w14:paraId="39422DBE" w14:textId="77777777" w:rsidR="00ED3511" w:rsidRPr="001B4A02" w:rsidRDefault="00ED3511" w:rsidP="00A12A04">
      <w:pPr>
        <w:keepNext/>
        <w:ind w:left="0" w:firstLine="0"/>
      </w:pPr>
    </w:p>
    <w:p w14:paraId="3AE1A964" w14:textId="77777777" w:rsidR="00ED3511" w:rsidRPr="001B4A02" w:rsidRDefault="00000000" w:rsidP="00A12A04">
      <w:pPr>
        <w:pStyle w:val="EMEAHeadingUnderline"/>
        <w:keepNext/>
        <w:tabs>
          <w:tab w:val="clear" w:pos="562"/>
          <w:tab w:val="left" w:pos="708"/>
        </w:tabs>
        <w:suppressAutoHyphens w:val="0"/>
        <w:spacing w:beforeLines="0" w:before="0" w:afterLines="0" w:after="0"/>
        <w:rPr>
          <w:i/>
          <w:u w:val="none"/>
          <w:lang w:val="cs-CZ"/>
        </w:rPr>
      </w:pPr>
      <w:r w:rsidRPr="001B4A02">
        <w:rPr>
          <w:i/>
          <w:u w:val="none"/>
          <w:lang w:val="cs-CZ"/>
        </w:rPr>
        <w:t>Juvenilní idiopatická artritida</w:t>
      </w:r>
    </w:p>
    <w:p w14:paraId="7E2C3339" w14:textId="77777777" w:rsidR="00ED3511" w:rsidRPr="001B4A02" w:rsidRDefault="00ED3511" w:rsidP="00A12A04">
      <w:pPr>
        <w:pStyle w:val="EMEANormal"/>
        <w:keepNext/>
        <w:rPr>
          <w:lang w:val="cs-CZ"/>
        </w:rPr>
      </w:pPr>
    </w:p>
    <w:p w14:paraId="00B60001" w14:textId="77777777" w:rsidR="00ED3511" w:rsidRPr="001B4A02" w:rsidRDefault="00000000" w:rsidP="00603F6E">
      <w:pPr>
        <w:pStyle w:val="EMEANormal"/>
        <w:keepNext/>
        <w:rPr>
          <w:i/>
          <w:u w:val="single"/>
          <w:lang w:val="cs-CZ"/>
        </w:rPr>
      </w:pPr>
      <w:r w:rsidRPr="001B4A02">
        <w:rPr>
          <w:i/>
          <w:u w:val="single"/>
          <w:lang w:val="cs-CZ"/>
        </w:rPr>
        <w:t>Polyartikulární juvenilní idiopatická artritida od 2 let</w:t>
      </w:r>
    </w:p>
    <w:p w14:paraId="612AE839" w14:textId="77777777" w:rsidR="00ED3511" w:rsidRPr="001B4A02" w:rsidRDefault="00ED3511" w:rsidP="00603F6E">
      <w:pPr>
        <w:keepNext/>
        <w:ind w:left="0" w:firstLine="0"/>
      </w:pPr>
    </w:p>
    <w:p w14:paraId="461BC5F3" w14:textId="77777777" w:rsidR="00CB41F2" w:rsidRPr="001B4A02" w:rsidRDefault="00000000" w:rsidP="00A12A04">
      <w:pPr>
        <w:ind w:left="0" w:firstLine="0"/>
      </w:pPr>
      <w:r w:rsidRPr="001B4A02">
        <w:t xml:space="preserve">Doporučená dávka přípravku Humira pro pacienty s polyartikulární juvenilní idiopatickou artritidou, ve věku </w:t>
      </w:r>
      <w:r w:rsidR="00DB677C" w:rsidRPr="001B4A02">
        <w:t xml:space="preserve">od </w:t>
      </w:r>
      <w:r w:rsidRPr="001B4A02">
        <w:t xml:space="preserve">2 let, </w:t>
      </w:r>
      <w:r w:rsidR="00DB677C" w:rsidRPr="001B4A02">
        <w:t xml:space="preserve">vychází z tělesné hmotnosti (tabulka 1). </w:t>
      </w:r>
      <w:r w:rsidR="0024278A" w:rsidRPr="001B4A02">
        <w:t xml:space="preserve">Přípravek </w:t>
      </w:r>
      <w:r w:rsidR="00DB677C" w:rsidRPr="001B4A02">
        <w:t>Humira se podává jednou za dva týdny</w:t>
      </w:r>
      <w:r w:rsidRPr="001B4A02">
        <w:t xml:space="preserve"> subkutánní injekcí. </w:t>
      </w:r>
    </w:p>
    <w:p w14:paraId="3285C828" w14:textId="77777777" w:rsidR="00DB677C" w:rsidRPr="001B4A02" w:rsidRDefault="00DB677C" w:rsidP="00ED48A3">
      <w:pPr>
        <w:ind w:left="0" w:firstLine="0"/>
      </w:pPr>
    </w:p>
    <w:p w14:paraId="515C67F1" w14:textId="77777777" w:rsidR="00DB677C" w:rsidRPr="001B4A02" w:rsidRDefault="00000000" w:rsidP="00DB677C">
      <w:pPr>
        <w:ind w:left="0" w:firstLine="0"/>
        <w:jc w:val="center"/>
        <w:rPr>
          <w:b/>
        </w:rPr>
      </w:pPr>
      <w:r w:rsidRPr="001B4A02">
        <w:rPr>
          <w:b/>
        </w:rPr>
        <w:t>Tabulka 1. Dávka přípravku Humira u</w:t>
      </w:r>
      <w:r w:rsidR="00D15A04" w:rsidRPr="001B4A02">
        <w:rPr>
          <w:b/>
        </w:rPr>
        <w:t> </w:t>
      </w:r>
      <w:r w:rsidRPr="001B4A02">
        <w:rPr>
          <w:b/>
        </w:rPr>
        <w:t>pacientů s polyartikulární juvenilní idiopatickou artritidou</w:t>
      </w:r>
    </w:p>
    <w:p w14:paraId="610C7858" w14:textId="77777777" w:rsidR="00DB677C" w:rsidRPr="001B4A02" w:rsidRDefault="00DB677C" w:rsidP="00DB677C">
      <w:pPr>
        <w:ind w:left="0" w:firstLine="0"/>
        <w:jc w:val="center"/>
        <w:rPr>
          <w:b/>
        </w:rPr>
      </w:pPr>
    </w:p>
    <w:tbl>
      <w:tblPr>
        <w:tblW w:w="7509" w:type="dxa"/>
        <w:jc w:val="center"/>
        <w:tblLayout w:type="fixed"/>
        <w:tblLook w:val="0000" w:firstRow="0" w:lastRow="0" w:firstColumn="0" w:lastColumn="0" w:noHBand="0" w:noVBand="0"/>
      </w:tblPr>
      <w:tblGrid>
        <w:gridCol w:w="3401"/>
        <w:gridCol w:w="4108"/>
      </w:tblGrid>
      <w:tr w:rsidR="00534A2D" w14:paraId="770D12F6" w14:textId="77777777" w:rsidTr="001E322F">
        <w:trPr>
          <w:tblHeader/>
          <w:jc w:val="center"/>
        </w:trPr>
        <w:tc>
          <w:tcPr>
            <w:tcW w:w="3401" w:type="dxa"/>
            <w:tcBorders>
              <w:top w:val="single" w:sz="4" w:space="0" w:color="auto"/>
              <w:bottom w:val="single" w:sz="4" w:space="0" w:color="auto"/>
            </w:tcBorders>
            <w:shd w:val="clear" w:color="auto" w:fill="auto"/>
          </w:tcPr>
          <w:p w14:paraId="3671A21C" w14:textId="77777777" w:rsidR="00DB677C" w:rsidRPr="001B4A02" w:rsidRDefault="00000000" w:rsidP="00090145">
            <w:pPr>
              <w:pStyle w:val="TableLeft"/>
              <w:jc w:val="center"/>
              <w:rPr>
                <w:b/>
                <w:sz w:val="22"/>
                <w:szCs w:val="22"/>
                <w:lang w:val="cs-CZ"/>
              </w:rPr>
            </w:pPr>
            <w:r w:rsidRPr="001B4A02">
              <w:rPr>
                <w:b/>
                <w:sz w:val="22"/>
                <w:szCs w:val="22"/>
                <w:lang w:val="cs-CZ"/>
              </w:rPr>
              <w:t>Hmotnost pacienta</w:t>
            </w:r>
          </w:p>
        </w:tc>
        <w:tc>
          <w:tcPr>
            <w:tcW w:w="4108" w:type="dxa"/>
            <w:tcBorders>
              <w:top w:val="single" w:sz="4" w:space="0" w:color="auto"/>
              <w:bottom w:val="single" w:sz="4" w:space="0" w:color="auto"/>
            </w:tcBorders>
            <w:shd w:val="clear" w:color="auto" w:fill="auto"/>
          </w:tcPr>
          <w:p w14:paraId="4064D35B" w14:textId="77777777" w:rsidR="00DB677C" w:rsidRPr="001B4A02" w:rsidRDefault="00000000" w:rsidP="00090145">
            <w:pPr>
              <w:pStyle w:val="TableLeft"/>
              <w:jc w:val="center"/>
              <w:rPr>
                <w:b/>
                <w:sz w:val="22"/>
                <w:szCs w:val="22"/>
                <w:lang w:val="cs-CZ"/>
              </w:rPr>
            </w:pPr>
            <w:r w:rsidRPr="001B4A02">
              <w:rPr>
                <w:b/>
                <w:sz w:val="22"/>
                <w:szCs w:val="22"/>
                <w:lang w:val="cs-CZ"/>
              </w:rPr>
              <w:t>Režim dávkování</w:t>
            </w:r>
          </w:p>
        </w:tc>
      </w:tr>
      <w:tr w:rsidR="00534A2D" w14:paraId="62ADD144" w14:textId="77777777" w:rsidTr="001E322F">
        <w:trPr>
          <w:tblHeader/>
          <w:jc w:val="center"/>
        </w:trPr>
        <w:tc>
          <w:tcPr>
            <w:tcW w:w="3401" w:type="dxa"/>
            <w:tcBorders>
              <w:top w:val="single" w:sz="4" w:space="0" w:color="auto"/>
              <w:bottom w:val="single" w:sz="4" w:space="0" w:color="auto"/>
            </w:tcBorders>
            <w:shd w:val="clear" w:color="auto" w:fill="auto"/>
          </w:tcPr>
          <w:p w14:paraId="4B9D5D74" w14:textId="77777777" w:rsidR="00DB677C" w:rsidRPr="001B4A02" w:rsidRDefault="00000000" w:rsidP="00090145">
            <w:pPr>
              <w:pStyle w:val="TableLeft"/>
              <w:jc w:val="center"/>
              <w:rPr>
                <w:b/>
                <w:sz w:val="22"/>
                <w:szCs w:val="22"/>
                <w:lang w:val="cs-CZ"/>
              </w:rPr>
            </w:pPr>
            <w:r w:rsidRPr="001B4A02">
              <w:rPr>
                <w:sz w:val="22"/>
                <w:szCs w:val="22"/>
                <w:lang w:val="cs-CZ"/>
              </w:rPr>
              <w:t>10</w:t>
            </w:r>
            <w:r w:rsidR="002767FC">
              <w:rPr>
                <w:sz w:val="22"/>
                <w:szCs w:val="22"/>
                <w:lang w:val="cs-CZ"/>
              </w:rPr>
              <w:t> kg</w:t>
            </w:r>
            <w:r w:rsidRPr="001B4A02">
              <w:rPr>
                <w:sz w:val="22"/>
                <w:szCs w:val="22"/>
                <w:lang w:val="cs-CZ"/>
              </w:rPr>
              <w:t xml:space="preserve"> až &lt;</w:t>
            </w:r>
            <w:r w:rsidR="007375A0" w:rsidRPr="001B4A02">
              <w:rPr>
                <w:sz w:val="22"/>
                <w:szCs w:val="22"/>
                <w:lang w:val="cs-CZ"/>
              </w:rPr>
              <w:t> </w:t>
            </w:r>
            <w:r w:rsidRPr="001B4A02">
              <w:rPr>
                <w:sz w:val="22"/>
                <w:szCs w:val="22"/>
                <w:lang w:val="cs-CZ"/>
              </w:rPr>
              <w:t>30</w:t>
            </w:r>
            <w:r w:rsidR="002767FC">
              <w:rPr>
                <w:sz w:val="22"/>
                <w:szCs w:val="22"/>
                <w:lang w:val="cs-CZ"/>
              </w:rPr>
              <w:t> kg</w:t>
            </w:r>
          </w:p>
        </w:tc>
        <w:tc>
          <w:tcPr>
            <w:tcW w:w="4108" w:type="dxa"/>
            <w:tcBorders>
              <w:top w:val="single" w:sz="4" w:space="0" w:color="auto"/>
              <w:bottom w:val="single" w:sz="4" w:space="0" w:color="auto"/>
            </w:tcBorders>
            <w:shd w:val="clear" w:color="auto" w:fill="auto"/>
          </w:tcPr>
          <w:p w14:paraId="6F170F2B" w14:textId="77777777" w:rsidR="00DB677C" w:rsidRPr="001B4A02" w:rsidRDefault="00000000" w:rsidP="00090145">
            <w:pPr>
              <w:pStyle w:val="TableLeft"/>
              <w:jc w:val="center"/>
              <w:rPr>
                <w:b/>
                <w:sz w:val="22"/>
                <w:szCs w:val="22"/>
                <w:lang w:val="cs-CZ"/>
              </w:rPr>
            </w:pPr>
            <w:r w:rsidRPr="001B4A02">
              <w:rPr>
                <w:sz w:val="22"/>
                <w:szCs w:val="22"/>
                <w:lang w:val="cs-CZ"/>
              </w:rPr>
              <w:t>20</w:t>
            </w:r>
            <w:r w:rsidR="00F365E7">
              <w:rPr>
                <w:sz w:val="22"/>
                <w:szCs w:val="22"/>
                <w:lang w:val="cs-CZ"/>
              </w:rPr>
              <w:t> mg</w:t>
            </w:r>
            <w:r w:rsidRPr="001B4A02">
              <w:rPr>
                <w:sz w:val="22"/>
                <w:szCs w:val="22"/>
                <w:lang w:val="cs-CZ"/>
              </w:rPr>
              <w:t xml:space="preserve"> jednou za dva týdny</w:t>
            </w:r>
          </w:p>
        </w:tc>
      </w:tr>
      <w:tr w:rsidR="00534A2D" w14:paraId="1BFF9A95" w14:textId="77777777" w:rsidTr="001E322F">
        <w:trPr>
          <w:tblHeader/>
          <w:jc w:val="center"/>
        </w:trPr>
        <w:tc>
          <w:tcPr>
            <w:tcW w:w="3401" w:type="dxa"/>
            <w:tcBorders>
              <w:top w:val="single" w:sz="4" w:space="0" w:color="auto"/>
              <w:bottom w:val="single" w:sz="4" w:space="0" w:color="auto"/>
            </w:tcBorders>
            <w:shd w:val="clear" w:color="auto" w:fill="auto"/>
          </w:tcPr>
          <w:p w14:paraId="4142063A" w14:textId="77777777" w:rsidR="00DB677C" w:rsidRPr="001B4A02" w:rsidRDefault="00000000" w:rsidP="00090145">
            <w:pPr>
              <w:pStyle w:val="TableLeft"/>
              <w:jc w:val="center"/>
              <w:rPr>
                <w:b/>
                <w:sz w:val="22"/>
                <w:szCs w:val="22"/>
                <w:lang w:val="cs-CZ"/>
              </w:rPr>
            </w:pPr>
            <w:r w:rsidRPr="001B4A02">
              <w:rPr>
                <w:sz w:val="22"/>
                <w:szCs w:val="22"/>
                <w:lang w:val="cs-CZ"/>
              </w:rPr>
              <w:t>≥</w:t>
            </w:r>
            <w:r w:rsidR="007375A0" w:rsidRPr="001B4A02">
              <w:rPr>
                <w:sz w:val="22"/>
                <w:szCs w:val="22"/>
                <w:lang w:val="cs-CZ"/>
              </w:rPr>
              <w:t> </w:t>
            </w:r>
            <w:r w:rsidRPr="001B4A02">
              <w:rPr>
                <w:sz w:val="22"/>
                <w:szCs w:val="22"/>
                <w:lang w:val="cs-CZ"/>
              </w:rPr>
              <w:t>30</w:t>
            </w:r>
            <w:r w:rsidR="002767FC">
              <w:rPr>
                <w:sz w:val="22"/>
                <w:szCs w:val="22"/>
                <w:lang w:val="cs-CZ"/>
              </w:rPr>
              <w:t> kg</w:t>
            </w:r>
          </w:p>
        </w:tc>
        <w:tc>
          <w:tcPr>
            <w:tcW w:w="4108" w:type="dxa"/>
            <w:tcBorders>
              <w:top w:val="single" w:sz="4" w:space="0" w:color="auto"/>
              <w:bottom w:val="single" w:sz="4" w:space="0" w:color="auto"/>
            </w:tcBorders>
            <w:shd w:val="clear" w:color="auto" w:fill="auto"/>
          </w:tcPr>
          <w:p w14:paraId="1CF5C7D3" w14:textId="77777777" w:rsidR="00DB677C" w:rsidRPr="001B4A02" w:rsidRDefault="00000000" w:rsidP="00090145">
            <w:pPr>
              <w:pStyle w:val="TableLeft"/>
              <w:jc w:val="center"/>
              <w:rPr>
                <w:b/>
                <w:sz w:val="22"/>
                <w:szCs w:val="22"/>
                <w:lang w:val="cs-CZ"/>
              </w:rPr>
            </w:pPr>
            <w:r w:rsidRPr="001B4A02">
              <w:rPr>
                <w:sz w:val="22"/>
                <w:szCs w:val="22"/>
                <w:lang w:val="cs-CZ"/>
              </w:rPr>
              <w:t>40</w:t>
            </w:r>
            <w:r w:rsidR="00F365E7">
              <w:rPr>
                <w:sz w:val="22"/>
                <w:szCs w:val="22"/>
                <w:lang w:val="cs-CZ"/>
              </w:rPr>
              <w:t> mg</w:t>
            </w:r>
            <w:r w:rsidRPr="001B4A02">
              <w:rPr>
                <w:sz w:val="22"/>
                <w:szCs w:val="22"/>
                <w:lang w:val="cs-CZ"/>
              </w:rPr>
              <w:t xml:space="preserve"> jednou za dva týdny</w:t>
            </w:r>
          </w:p>
        </w:tc>
      </w:tr>
    </w:tbl>
    <w:p w14:paraId="37DA110F" w14:textId="77777777" w:rsidR="00ED3511" w:rsidRPr="001B4A02" w:rsidRDefault="00ED3511" w:rsidP="00ED48A3"/>
    <w:p w14:paraId="43CD3880" w14:textId="77777777" w:rsidR="00ED3511" w:rsidRPr="001B4A02" w:rsidRDefault="00000000" w:rsidP="00ED48A3">
      <w:pPr>
        <w:ind w:left="0" w:firstLine="0"/>
      </w:pPr>
      <w:r w:rsidRPr="001B4A02">
        <w:t>Dostupné údaje naznačují, že klinické odpovědi je obvykle dosaženo v průběhu 12 týdnů léčby. Pokračování v léčbě je nutno pečlivě zvážit u</w:t>
      </w:r>
      <w:r w:rsidR="00255A0A" w:rsidRPr="001B4A02">
        <w:t> </w:t>
      </w:r>
      <w:r w:rsidRPr="001B4A02">
        <w:t>těch pacientů, u</w:t>
      </w:r>
      <w:r w:rsidR="00255A0A" w:rsidRPr="001B4A02">
        <w:t> </w:t>
      </w:r>
      <w:r w:rsidRPr="001B4A02">
        <w:t>kterých nedo</w:t>
      </w:r>
      <w:r w:rsidR="00790DEF" w:rsidRPr="001B4A02">
        <w:t>šlo během této doby k odpovědi.</w:t>
      </w:r>
    </w:p>
    <w:p w14:paraId="32FD6E5A" w14:textId="77777777" w:rsidR="00ED3511" w:rsidRPr="001B4A02" w:rsidRDefault="00ED3511" w:rsidP="00ED48A3">
      <w:pPr>
        <w:ind w:left="0" w:firstLine="0"/>
      </w:pPr>
    </w:p>
    <w:p w14:paraId="3F7F4318" w14:textId="77777777" w:rsidR="000A2071" w:rsidRPr="001B4A02" w:rsidRDefault="00000000" w:rsidP="00ED48A3">
      <w:pPr>
        <w:rPr>
          <w:color w:val="000000"/>
        </w:rPr>
      </w:pPr>
      <w:r w:rsidRPr="001B4A02">
        <w:rPr>
          <w:color w:val="000000"/>
        </w:rPr>
        <w:t>Použití přípravku Humira u</w:t>
      </w:r>
      <w:r w:rsidR="00D15A04" w:rsidRPr="001B4A02">
        <w:rPr>
          <w:color w:val="000000"/>
        </w:rPr>
        <w:t> </w:t>
      </w:r>
      <w:r w:rsidRPr="001B4A02">
        <w:rPr>
          <w:color w:val="000000"/>
        </w:rPr>
        <w:t>pacientů mladších než 2 roky není v této indikaci relevantní.</w:t>
      </w:r>
    </w:p>
    <w:p w14:paraId="103DC5BD" w14:textId="77777777" w:rsidR="00ED3511" w:rsidRPr="001B4A02" w:rsidRDefault="00ED3511" w:rsidP="00ED48A3">
      <w:pPr>
        <w:ind w:left="0" w:firstLine="0"/>
        <w:rPr>
          <w:u w:val="single"/>
        </w:rPr>
      </w:pPr>
    </w:p>
    <w:p w14:paraId="2CD7AB38" w14:textId="77777777" w:rsidR="00551DE7" w:rsidRPr="001B4A02" w:rsidRDefault="00000000" w:rsidP="00A12A04">
      <w:pPr>
        <w:ind w:left="0" w:firstLine="0"/>
      </w:pPr>
      <w:r w:rsidRPr="001B4A02">
        <w:t xml:space="preserve">Přípravek Humira je k dispozici v dalších silách a/nebo </w:t>
      </w:r>
      <w:r w:rsidR="00A43DB3">
        <w:t>typech balení</w:t>
      </w:r>
      <w:r w:rsidRPr="001B4A02">
        <w:t xml:space="preserve"> v závislosti na individuálních potřebách léčby.</w:t>
      </w:r>
    </w:p>
    <w:p w14:paraId="68D048BA" w14:textId="77777777" w:rsidR="00551DE7" w:rsidRPr="001B4A02" w:rsidRDefault="00551DE7" w:rsidP="00ED48A3">
      <w:pPr>
        <w:ind w:left="0" w:firstLine="0"/>
        <w:rPr>
          <w:u w:val="single"/>
        </w:rPr>
      </w:pPr>
    </w:p>
    <w:p w14:paraId="1982E90E" w14:textId="77777777" w:rsidR="00ED3511" w:rsidRPr="001B4A02" w:rsidRDefault="00000000" w:rsidP="00ED48A3">
      <w:pPr>
        <w:keepNext/>
        <w:ind w:left="0" w:firstLine="0"/>
        <w:rPr>
          <w:i/>
          <w:u w:val="single"/>
        </w:rPr>
      </w:pPr>
      <w:r w:rsidRPr="001B4A02">
        <w:rPr>
          <w:i/>
          <w:u w:val="single"/>
        </w:rPr>
        <w:t>Entezopatická artritida</w:t>
      </w:r>
    </w:p>
    <w:p w14:paraId="4E337DA0" w14:textId="77777777" w:rsidR="00ED3511" w:rsidRPr="001B4A02" w:rsidRDefault="00ED3511" w:rsidP="00ED48A3">
      <w:pPr>
        <w:keepNext/>
        <w:ind w:left="0" w:firstLine="0"/>
      </w:pPr>
    </w:p>
    <w:p w14:paraId="28673E2A" w14:textId="77777777" w:rsidR="00DB677C" w:rsidRPr="001B4A02" w:rsidRDefault="00000000" w:rsidP="00DB677C">
      <w:pPr>
        <w:ind w:left="0" w:firstLine="0"/>
      </w:pPr>
      <w:r w:rsidRPr="001B4A02">
        <w:t xml:space="preserve">Doporučená dávka </w:t>
      </w:r>
      <w:r w:rsidR="00F67928" w:rsidRPr="001B4A02">
        <w:t xml:space="preserve">přípravku </w:t>
      </w:r>
      <w:r w:rsidRPr="001B4A02">
        <w:t>Humir</w:t>
      </w:r>
      <w:r w:rsidR="00F67928" w:rsidRPr="001B4A02">
        <w:t>a</w:t>
      </w:r>
      <w:r w:rsidRPr="001B4A02">
        <w:t xml:space="preserve"> u</w:t>
      </w:r>
      <w:r w:rsidR="00D15A04" w:rsidRPr="001B4A02">
        <w:t> </w:t>
      </w:r>
      <w:r w:rsidRPr="001B4A02">
        <w:t xml:space="preserve">pacientů s entezopatickou artritidou ve věku od 6 let vychází z tělesné hmotnosti (tabulka 2). </w:t>
      </w:r>
      <w:r w:rsidR="0024278A" w:rsidRPr="001B4A02">
        <w:t xml:space="preserve">Přípravek </w:t>
      </w:r>
      <w:r w:rsidRPr="001B4A02">
        <w:t xml:space="preserve">Humira se podává jednou za dva týdny subkutánní injekcí. </w:t>
      </w:r>
    </w:p>
    <w:p w14:paraId="1BC89F56" w14:textId="77777777" w:rsidR="00DB677C" w:rsidRPr="001B4A02" w:rsidRDefault="00DB677C" w:rsidP="00DB677C">
      <w:pPr>
        <w:ind w:left="0" w:firstLine="0"/>
      </w:pPr>
    </w:p>
    <w:p w14:paraId="7A95640E" w14:textId="77777777" w:rsidR="00DB677C" w:rsidRPr="001B4A02" w:rsidRDefault="00000000" w:rsidP="00A12A04">
      <w:pPr>
        <w:keepNext/>
        <w:ind w:left="0" w:firstLine="0"/>
        <w:jc w:val="center"/>
        <w:rPr>
          <w:b/>
        </w:rPr>
      </w:pPr>
      <w:r w:rsidRPr="001B4A02">
        <w:rPr>
          <w:b/>
        </w:rPr>
        <w:t>Tabulka 2. Dávka přípravku Humira u</w:t>
      </w:r>
      <w:r w:rsidR="00255A0A" w:rsidRPr="001B4A02">
        <w:rPr>
          <w:b/>
        </w:rPr>
        <w:t> </w:t>
      </w:r>
      <w:r w:rsidRPr="001B4A02">
        <w:rPr>
          <w:b/>
        </w:rPr>
        <w:t>pacientů s entezopatickou artritidou</w:t>
      </w:r>
    </w:p>
    <w:p w14:paraId="502C67AB" w14:textId="77777777" w:rsidR="00DB677C" w:rsidRPr="001B4A02" w:rsidRDefault="00DB677C" w:rsidP="00A12A04">
      <w:pPr>
        <w:keepNext/>
        <w:ind w:left="0" w:firstLine="0"/>
        <w:jc w:val="center"/>
        <w:rPr>
          <w:b/>
        </w:rPr>
      </w:pPr>
    </w:p>
    <w:tbl>
      <w:tblPr>
        <w:tblW w:w="6795" w:type="dxa"/>
        <w:jc w:val="center"/>
        <w:tblLayout w:type="fixed"/>
        <w:tblLook w:val="0000" w:firstRow="0" w:lastRow="0" w:firstColumn="0" w:lastColumn="0" w:noHBand="0" w:noVBand="0"/>
      </w:tblPr>
      <w:tblGrid>
        <w:gridCol w:w="3401"/>
        <w:gridCol w:w="3394"/>
      </w:tblGrid>
      <w:tr w:rsidR="00534A2D" w14:paraId="310FAED7" w14:textId="77777777" w:rsidTr="00090145">
        <w:trPr>
          <w:tblHeader/>
          <w:jc w:val="center"/>
        </w:trPr>
        <w:tc>
          <w:tcPr>
            <w:tcW w:w="3401" w:type="dxa"/>
            <w:tcBorders>
              <w:top w:val="single" w:sz="4" w:space="0" w:color="auto"/>
              <w:bottom w:val="single" w:sz="4" w:space="0" w:color="auto"/>
            </w:tcBorders>
            <w:shd w:val="clear" w:color="auto" w:fill="auto"/>
          </w:tcPr>
          <w:p w14:paraId="5291EB41" w14:textId="77777777" w:rsidR="00DB677C" w:rsidRPr="001B4A02" w:rsidRDefault="00000000" w:rsidP="00090145">
            <w:pPr>
              <w:pStyle w:val="TableLeft"/>
              <w:jc w:val="center"/>
              <w:rPr>
                <w:b/>
                <w:sz w:val="22"/>
                <w:szCs w:val="22"/>
                <w:lang w:val="cs-CZ"/>
              </w:rPr>
            </w:pPr>
            <w:r w:rsidRPr="001B4A02">
              <w:rPr>
                <w:b/>
                <w:sz w:val="22"/>
                <w:szCs w:val="22"/>
                <w:lang w:val="cs-CZ"/>
              </w:rPr>
              <w:t>Hmotnost pacienta</w:t>
            </w:r>
          </w:p>
        </w:tc>
        <w:tc>
          <w:tcPr>
            <w:tcW w:w="3394" w:type="dxa"/>
            <w:tcBorders>
              <w:top w:val="single" w:sz="4" w:space="0" w:color="auto"/>
              <w:bottom w:val="single" w:sz="4" w:space="0" w:color="auto"/>
            </w:tcBorders>
            <w:shd w:val="clear" w:color="auto" w:fill="auto"/>
          </w:tcPr>
          <w:p w14:paraId="42FAF82D" w14:textId="77777777" w:rsidR="00DB677C" w:rsidRPr="001B4A02" w:rsidRDefault="00000000" w:rsidP="00090145">
            <w:pPr>
              <w:pStyle w:val="TableLeft"/>
              <w:jc w:val="center"/>
              <w:rPr>
                <w:b/>
                <w:sz w:val="22"/>
                <w:szCs w:val="22"/>
                <w:lang w:val="cs-CZ"/>
              </w:rPr>
            </w:pPr>
            <w:r w:rsidRPr="001B4A02">
              <w:rPr>
                <w:b/>
                <w:sz w:val="22"/>
                <w:szCs w:val="22"/>
                <w:lang w:val="cs-CZ"/>
              </w:rPr>
              <w:t>Režim dávkování</w:t>
            </w:r>
          </w:p>
        </w:tc>
      </w:tr>
      <w:tr w:rsidR="00534A2D" w14:paraId="495388E3" w14:textId="77777777" w:rsidTr="00090145">
        <w:trPr>
          <w:tblHeader/>
          <w:jc w:val="center"/>
        </w:trPr>
        <w:tc>
          <w:tcPr>
            <w:tcW w:w="3401" w:type="dxa"/>
            <w:tcBorders>
              <w:top w:val="single" w:sz="4" w:space="0" w:color="auto"/>
              <w:bottom w:val="single" w:sz="4" w:space="0" w:color="auto"/>
            </w:tcBorders>
            <w:shd w:val="clear" w:color="auto" w:fill="auto"/>
          </w:tcPr>
          <w:p w14:paraId="41B33570" w14:textId="77777777" w:rsidR="00DB677C" w:rsidRPr="001B4A02" w:rsidRDefault="00000000" w:rsidP="00090145">
            <w:pPr>
              <w:pStyle w:val="TableLeft"/>
              <w:jc w:val="center"/>
              <w:rPr>
                <w:b/>
                <w:sz w:val="22"/>
                <w:szCs w:val="22"/>
                <w:lang w:val="cs-CZ"/>
              </w:rPr>
            </w:pPr>
            <w:r w:rsidRPr="001B4A02">
              <w:rPr>
                <w:sz w:val="22"/>
                <w:szCs w:val="22"/>
                <w:lang w:val="cs-CZ"/>
              </w:rPr>
              <w:t>15</w:t>
            </w:r>
            <w:r w:rsidR="002767FC">
              <w:rPr>
                <w:sz w:val="22"/>
                <w:szCs w:val="22"/>
                <w:lang w:val="cs-CZ"/>
              </w:rPr>
              <w:t> kg</w:t>
            </w:r>
            <w:r w:rsidRPr="001B4A02">
              <w:rPr>
                <w:sz w:val="22"/>
                <w:szCs w:val="22"/>
                <w:lang w:val="cs-CZ"/>
              </w:rPr>
              <w:t xml:space="preserve"> až &lt;</w:t>
            </w:r>
            <w:r w:rsidR="007375A0" w:rsidRPr="001B4A02">
              <w:rPr>
                <w:sz w:val="22"/>
                <w:szCs w:val="22"/>
                <w:lang w:val="cs-CZ"/>
              </w:rPr>
              <w:t> </w:t>
            </w:r>
            <w:r w:rsidRPr="001B4A02">
              <w:rPr>
                <w:sz w:val="22"/>
                <w:szCs w:val="22"/>
                <w:lang w:val="cs-CZ"/>
              </w:rPr>
              <w:t>30</w:t>
            </w:r>
            <w:r w:rsidR="002767FC">
              <w:rPr>
                <w:sz w:val="22"/>
                <w:szCs w:val="22"/>
                <w:lang w:val="cs-CZ"/>
              </w:rPr>
              <w:t> kg</w:t>
            </w:r>
          </w:p>
        </w:tc>
        <w:tc>
          <w:tcPr>
            <w:tcW w:w="3394" w:type="dxa"/>
            <w:tcBorders>
              <w:top w:val="single" w:sz="4" w:space="0" w:color="auto"/>
              <w:bottom w:val="single" w:sz="4" w:space="0" w:color="auto"/>
            </w:tcBorders>
            <w:shd w:val="clear" w:color="auto" w:fill="auto"/>
          </w:tcPr>
          <w:p w14:paraId="1315E088" w14:textId="77777777" w:rsidR="00DB677C" w:rsidRPr="001B4A02" w:rsidRDefault="00000000" w:rsidP="00090145">
            <w:pPr>
              <w:pStyle w:val="TableLeft"/>
              <w:jc w:val="center"/>
              <w:rPr>
                <w:b/>
                <w:sz w:val="22"/>
                <w:szCs w:val="22"/>
                <w:lang w:val="cs-CZ"/>
              </w:rPr>
            </w:pPr>
            <w:r w:rsidRPr="001B4A02">
              <w:rPr>
                <w:sz w:val="22"/>
                <w:szCs w:val="22"/>
                <w:lang w:val="cs-CZ"/>
              </w:rPr>
              <w:t>20</w:t>
            </w:r>
            <w:r w:rsidR="00F365E7">
              <w:rPr>
                <w:sz w:val="22"/>
                <w:szCs w:val="22"/>
                <w:lang w:val="cs-CZ"/>
              </w:rPr>
              <w:t> mg</w:t>
            </w:r>
            <w:r w:rsidRPr="001B4A02">
              <w:rPr>
                <w:sz w:val="22"/>
                <w:szCs w:val="22"/>
                <w:lang w:val="cs-CZ"/>
              </w:rPr>
              <w:t xml:space="preserve"> jednou za dva týdny</w:t>
            </w:r>
          </w:p>
        </w:tc>
      </w:tr>
      <w:tr w:rsidR="00534A2D" w14:paraId="56FCBA27" w14:textId="77777777" w:rsidTr="00090145">
        <w:trPr>
          <w:tblHeader/>
          <w:jc w:val="center"/>
        </w:trPr>
        <w:tc>
          <w:tcPr>
            <w:tcW w:w="3401" w:type="dxa"/>
            <w:tcBorders>
              <w:top w:val="single" w:sz="4" w:space="0" w:color="auto"/>
              <w:bottom w:val="single" w:sz="4" w:space="0" w:color="auto"/>
            </w:tcBorders>
            <w:shd w:val="clear" w:color="auto" w:fill="auto"/>
          </w:tcPr>
          <w:p w14:paraId="24B7513F" w14:textId="77777777" w:rsidR="00DB677C" w:rsidRPr="001B4A02" w:rsidRDefault="00000000" w:rsidP="00090145">
            <w:pPr>
              <w:pStyle w:val="TableLeft"/>
              <w:jc w:val="center"/>
              <w:rPr>
                <w:b/>
                <w:sz w:val="22"/>
                <w:szCs w:val="22"/>
                <w:lang w:val="cs-CZ"/>
              </w:rPr>
            </w:pPr>
            <w:r w:rsidRPr="001B4A02">
              <w:rPr>
                <w:sz w:val="22"/>
                <w:szCs w:val="22"/>
                <w:lang w:val="cs-CZ"/>
              </w:rPr>
              <w:t>≥</w:t>
            </w:r>
            <w:r w:rsidR="007375A0" w:rsidRPr="001B4A02">
              <w:rPr>
                <w:sz w:val="22"/>
                <w:szCs w:val="22"/>
                <w:lang w:val="cs-CZ"/>
              </w:rPr>
              <w:t> </w:t>
            </w:r>
            <w:r w:rsidRPr="001B4A02">
              <w:rPr>
                <w:sz w:val="22"/>
                <w:szCs w:val="22"/>
                <w:lang w:val="cs-CZ"/>
              </w:rPr>
              <w:t>30</w:t>
            </w:r>
            <w:r w:rsidR="002767FC">
              <w:rPr>
                <w:sz w:val="22"/>
                <w:szCs w:val="22"/>
                <w:lang w:val="cs-CZ"/>
              </w:rPr>
              <w:t> kg</w:t>
            </w:r>
          </w:p>
        </w:tc>
        <w:tc>
          <w:tcPr>
            <w:tcW w:w="3394" w:type="dxa"/>
            <w:tcBorders>
              <w:top w:val="single" w:sz="4" w:space="0" w:color="auto"/>
              <w:bottom w:val="single" w:sz="4" w:space="0" w:color="auto"/>
            </w:tcBorders>
            <w:shd w:val="clear" w:color="auto" w:fill="auto"/>
          </w:tcPr>
          <w:p w14:paraId="27B49D21" w14:textId="77777777" w:rsidR="00DB677C" w:rsidRPr="001B4A02" w:rsidRDefault="00000000" w:rsidP="00090145">
            <w:pPr>
              <w:pStyle w:val="TableLeft"/>
              <w:jc w:val="center"/>
              <w:rPr>
                <w:b/>
                <w:sz w:val="22"/>
                <w:szCs w:val="22"/>
                <w:lang w:val="cs-CZ"/>
              </w:rPr>
            </w:pPr>
            <w:r w:rsidRPr="001B4A02">
              <w:rPr>
                <w:sz w:val="22"/>
                <w:szCs w:val="22"/>
                <w:lang w:val="cs-CZ"/>
              </w:rPr>
              <w:t>40</w:t>
            </w:r>
            <w:r w:rsidR="00F365E7">
              <w:rPr>
                <w:sz w:val="22"/>
                <w:szCs w:val="22"/>
                <w:lang w:val="cs-CZ"/>
              </w:rPr>
              <w:t> mg</w:t>
            </w:r>
            <w:r w:rsidRPr="001B4A02">
              <w:rPr>
                <w:sz w:val="22"/>
                <w:szCs w:val="22"/>
                <w:lang w:val="cs-CZ"/>
              </w:rPr>
              <w:t xml:space="preserve"> jednou za dva týdny</w:t>
            </w:r>
          </w:p>
        </w:tc>
      </w:tr>
    </w:tbl>
    <w:p w14:paraId="387E48BA" w14:textId="77777777" w:rsidR="00ED3511" w:rsidRPr="001B4A02" w:rsidRDefault="00ED3511" w:rsidP="00ED48A3">
      <w:pPr>
        <w:ind w:left="0" w:firstLine="0"/>
      </w:pPr>
    </w:p>
    <w:p w14:paraId="5FB8EA40" w14:textId="77777777" w:rsidR="00ED3511" w:rsidRPr="001B4A02" w:rsidRDefault="00000000" w:rsidP="00ED48A3">
      <w:pPr>
        <w:ind w:left="0" w:firstLine="0"/>
      </w:pPr>
      <w:r w:rsidRPr="001B4A02">
        <w:t>Přípravek Humira nebyl studován u pacientů s entezopatickou artritidou mladších než 6 let.</w:t>
      </w:r>
    </w:p>
    <w:p w14:paraId="53FF7B8E" w14:textId="77777777" w:rsidR="00ED3511" w:rsidRPr="001B4A02" w:rsidRDefault="00ED3511" w:rsidP="00ED48A3">
      <w:pPr>
        <w:ind w:left="0" w:firstLine="0"/>
        <w:rPr>
          <w:u w:val="single"/>
        </w:rPr>
      </w:pPr>
    </w:p>
    <w:p w14:paraId="0B33DC6B" w14:textId="77777777" w:rsidR="00551DE7" w:rsidRPr="001B4A02" w:rsidRDefault="00000000" w:rsidP="00ED48A3">
      <w:pPr>
        <w:ind w:left="0" w:firstLine="0"/>
      </w:pPr>
      <w:r w:rsidRPr="001B4A02">
        <w:t xml:space="preserve">Přípravek Humira je k dispozici v dalších silách a/nebo </w:t>
      </w:r>
      <w:r w:rsidR="00A43DB3">
        <w:t>typech balení</w:t>
      </w:r>
      <w:r w:rsidRPr="001B4A02">
        <w:t xml:space="preserve"> v závislosti na individuálních potřebách léčby.</w:t>
      </w:r>
    </w:p>
    <w:p w14:paraId="5F9BA293" w14:textId="77777777" w:rsidR="00551DE7" w:rsidRPr="001B4A02" w:rsidRDefault="00551DE7" w:rsidP="00ED48A3">
      <w:pPr>
        <w:ind w:left="0" w:firstLine="0"/>
        <w:rPr>
          <w:u w:val="single"/>
        </w:rPr>
      </w:pPr>
    </w:p>
    <w:p w14:paraId="70B8D9F6" w14:textId="77777777" w:rsidR="00323325" w:rsidRPr="001B4A02" w:rsidRDefault="00000000" w:rsidP="00323325">
      <w:pPr>
        <w:keepNext/>
        <w:ind w:left="0" w:firstLine="0"/>
        <w:rPr>
          <w:i/>
        </w:rPr>
      </w:pPr>
      <w:r w:rsidRPr="001B4A02">
        <w:rPr>
          <w:i/>
        </w:rPr>
        <w:t>Psoriatická artritida</w:t>
      </w:r>
      <w:r w:rsidR="002378E0">
        <w:rPr>
          <w:i/>
        </w:rPr>
        <w:t xml:space="preserve"> a </w:t>
      </w:r>
      <w:r w:rsidRPr="001B4A02">
        <w:rPr>
          <w:i/>
        </w:rPr>
        <w:t>axiální spondylartritida včetně ankylozující spondylitidy</w:t>
      </w:r>
    </w:p>
    <w:p w14:paraId="7E8E962B" w14:textId="77777777" w:rsidR="00323325" w:rsidRPr="001B4A02" w:rsidRDefault="00323325" w:rsidP="00323325">
      <w:pPr>
        <w:keepNext/>
        <w:ind w:left="0" w:firstLine="0"/>
      </w:pPr>
    </w:p>
    <w:p w14:paraId="3F23EDBA" w14:textId="77777777" w:rsidR="00323325" w:rsidRPr="001B4A02" w:rsidRDefault="00000000" w:rsidP="00323325">
      <w:pPr>
        <w:ind w:left="0" w:firstLine="0"/>
      </w:pPr>
      <w:r w:rsidRPr="001B4A02">
        <w:t>Použití přípravku Humira u pediatrické populace není v indikaci ankylozující spondylartritidy nebo psoriatické artritidy relevantní.</w:t>
      </w:r>
    </w:p>
    <w:p w14:paraId="6063C705" w14:textId="77777777" w:rsidR="00323325" w:rsidRPr="001B4A02" w:rsidRDefault="00323325" w:rsidP="00323325">
      <w:pPr>
        <w:ind w:left="0" w:firstLine="0"/>
        <w:rPr>
          <w:u w:val="single"/>
        </w:rPr>
      </w:pPr>
    </w:p>
    <w:p w14:paraId="6ED6EB79" w14:textId="77777777" w:rsidR="00ED3511" w:rsidRPr="001B4A02" w:rsidRDefault="00000000" w:rsidP="00ED48A3">
      <w:pPr>
        <w:keepNext/>
        <w:ind w:left="0" w:firstLine="0"/>
        <w:rPr>
          <w:i/>
        </w:rPr>
      </w:pPr>
      <w:r w:rsidRPr="001B4A02">
        <w:rPr>
          <w:i/>
        </w:rPr>
        <w:t>Ložisková psoriáza u pediatrických pacientů</w:t>
      </w:r>
    </w:p>
    <w:p w14:paraId="461466EF" w14:textId="77777777" w:rsidR="00ED3511" w:rsidRPr="001B4A02" w:rsidRDefault="00ED3511" w:rsidP="00ED48A3">
      <w:pPr>
        <w:keepNext/>
        <w:ind w:left="0" w:firstLine="0"/>
      </w:pPr>
    </w:p>
    <w:p w14:paraId="17BDC0E8" w14:textId="77777777" w:rsidR="00090145" w:rsidRDefault="00000000" w:rsidP="00790DEF">
      <w:pPr>
        <w:ind w:left="0" w:firstLine="0"/>
      </w:pPr>
      <w:r w:rsidRPr="001B4A02">
        <w:t xml:space="preserve">Doporučená dávka </w:t>
      </w:r>
      <w:r w:rsidR="00F67928" w:rsidRPr="001B4A02">
        <w:t xml:space="preserve">přípravku </w:t>
      </w:r>
      <w:r w:rsidRPr="001B4A02">
        <w:t>Humir</w:t>
      </w:r>
      <w:r w:rsidR="00F67928" w:rsidRPr="001B4A02">
        <w:t>a</w:t>
      </w:r>
      <w:r w:rsidRPr="001B4A02">
        <w:t xml:space="preserve"> u</w:t>
      </w:r>
      <w:r w:rsidR="00D15A04" w:rsidRPr="001B4A02">
        <w:t> </w:t>
      </w:r>
      <w:r w:rsidRPr="001B4A02">
        <w:t>pacientů s ložiskovou psoriázou ve věku o</w:t>
      </w:r>
      <w:r w:rsidR="00490910" w:rsidRPr="001B4A02">
        <w:t>d</w:t>
      </w:r>
      <w:r w:rsidRPr="001B4A02">
        <w:t xml:space="preserve"> 4 do 17 let vychází z tělesné hmotnosti (tabulka 3). </w:t>
      </w:r>
      <w:r w:rsidR="0024278A" w:rsidRPr="001B4A02">
        <w:t xml:space="preserve">Přípravek </w:t>
      </w:r>
      <w:r w:rsidRPr="001B4A02">
        <w:t xml:space="preserve">Humira se podává subkutánní injekcí. </w:t>
      </w:r>
    </w:p>
    <w:p w14:paraId="659E5534" w14:textId="77777777" w:rsidR="00A43DB3" w:rsidRPr="001B4A02" w:rsidRDefault="00A43DB3" w:rsidP="00790DEF">
      <w:pPr>
        <w:ind w:left="0" w:firstLine="0"/>
      </w:pPr>
    </w:p>
    <w:p w14:paraId="06378C54" w14:textId="77777777" w:rsidR="00090145" w:rsidRPr="001B4A02" w:rsidRDefault="00000000" w:rsidP="00A12A04">
      <w:pPr>
        <w:keepNext/>
        <w:jc w:val="center"/>
        <w:rPr>
          <w:b/>
          <w:szCs w:val="22"/>
        </w:rPr>
      </w:pPr>
      <w:r w:rsidRPr="001B4A02">
        <w:rPr>
          <w:b/>
          <w:szCs w:val="22"/>
        </w:rPr>
        <w:t>Tabulka 3. Dávka přípravku Humira u</w:t>
      </w:r>
      <w:r w:rsidR="00D15A04" w:rsidRPr="001B4A02">
        <w:rPr>
          <w:b/>
          <w:szCs w:val="22"/>
        </w:rPr>
        <w:t> </w:t>
      </w:r>
      <w:r w:rsidRPr="001B4A02">
        <w:rPr>
          <w:b/>
          <w:szCs w:val="22"/>
        </w:rPr>
        <w:t xml:space="preserve">pediatrických pacientů s ložiskovou psoriázou </w:t>
      </w:r>
    </w:p>
    <w:p w14:paraId="1C0F1D3A" w14:textId="77777777" w:rsidR="00090145" w:rsidRPr="001B4A02" w:rsidRDefault="00090145" w:rsidP="00A12A04">
      <w:pPr>
        <w:keepNext/>
        <w:rPr>
          <w:szCs w:val="22"/>
        </w:rPr>
      </w:pPr>
    </w:p>
    <w:tbl>
      <w:tblPr>
        <w:tblW w:w="7509" w:type="dxa"/>
        <w:jc w:val="center"/>
        <w:tblLayout w:type="fixed"/>
        <w:tblLook w:val="0000" w:firstRow="0" w:lastRow="0" w:firstColumn="0" w:lastColumn="0" w:noHBand="0" w:noVBand="0"/>
      </w:tblPr>
      <w:tblGrid>
        <w:gridCol w:w="3401"/>
        <w:gridCol w:w="4108"/>
      </w:tblGrid>
      <w:tr w:rsidR="00534A2D" w14:paraId="6EA0C1D6" w14:textId="77777777" w:rsidTr="00490910">
        <w:trPr>
          <w:tblHeader/>
          <w:jc w:val="center"/>
        </w:trPr>
        <w:tc>
          <w:tcPr>
            <w:tcW w:w="3401" w:type="dxa"/>
            <w:tcBorders>
              <w:top w:val="single" w:sz="4" w:space="0" w:color="auto"/>
              <w:bottom w:val="single" w:sz="4" w:space="0" w:color="auto"/>
            </w:tcBorders>
            <w:shd w:val="clear" w:color="auto" w:fill="auto"/>
          </w:tcPr>
          <w:p w14:paraId="0AE10214" w14:textId="77777777" w:rsidR="00090145" w:rsidRPr="001B4A02" w:rsidRDefault="00000000" w:rsidP="00090145">
            <w:pPr>
              <w:pStyle w:val="TableLeft"/>
              <w:jc w:val="center"/>
              <w:rPr>
                <w:b/>
                <w:sz w:val="22"/>
                <w:szCs w:val="22"/>
                <w:lang w:val="cs-CZ"/>
              </w:rPr>
            </w:pPr>
            <w:r w:rsidRPr="001B4A02">
              <w:rPr>
                <w:b/>
                <w:sz w:val="22"/>
                <w:szCs w:val="22"/>
                <w:lang w:val="cs-CZ"/>
              </w:rPr>
              <w:t>Hmotnost pacienta</w:t>
            </w:r>
          </w:p>
        </w:tc>
        <w:tc>
          <w:tcPr>
            <w:tcW w:w="4108" w:type="dxa"/>
            <w:tcBorders>
              <w:top w:val="single" w:sz="4" w:space="0" w:color="auto"/>
              <w:bottom w:val="single" w:sz="4" w:space="0" w:color="auto"/>
            </w:tcBorders>
            <w:shd w:val="clear" w:color="auto" w:fill="auto"/>
          </w:tcPr>
          <w:p w14:paraId="75198218" w14:textId="77777777" w:rsidR="00090145" w:rsidRPr="001B4A02" w:rsidRDefault="00000000" w:rsidP="00090145">
            <w:pPr>
              <w:pStyle w:val="TableLeft"/>
              <w:jc w:val="center"/>
              <w:rPr>
                <w:b/>
                <w:sz w:val="22"/>
                <w:szCs w:val="22"/>
                <w:lang w:val="cs-CZ"/>
              </w:rPr>
            </w:pPr>
            <w:r w:rsidRPr="001B4A02">
              <w:rPr>
                <w:b/>
                <w:sz w:val="22"/>
                <w:szCs w:val="22"/>
                <w:lang w:val="cs-CZ"/>
              </w:rPr>
              <w:t>Režim dávkování</w:t>
            </w:r>
          </w:p>
        </w:tc>
      </w:tr>
      <w:tr w:rsidR="00534A2D" w14:paraId="0AEF95BE" w14:textId="77777777" w:rsidTr="00490910">
        <w:trPr>
          <w:tblHeader/>
          <w:jc w:val="center"/>
        </w:trPr>
        <w:tc>
          <w:tcPr>
            <w:tcW w:w="3401" w:type="dxa"/>
            <w:tcBorders>
              <w:top w:val="single" w:sz="4" w:space="0" w:color="auto"/>
              <w:bottom w:val="single" w:sz="4" w:space="0" w:color="auto"/>
            </w:tcBorders>
            <w:shd w:val="clear" w:color="auto" w:fill="auto"/>
          </w:tcPr>
          <w:p w14:paraId="283916F8" w14:textId="77777777" w:rsidR="00090145" w:rsidRPr="001B4A02" w:rsidRDefault="00000000" w:rsidP="00090145">
            <w:pPr>
              <w:pStyle w:val="TableLeft"/>
              <w:jc w:val="center"/>
              <w:rPr>
                <w:b/>
                <w:sz w:val="22"/>
                <w:szCs w:val="22"/>
                <w:lang w:val="cs-CZ"/>
              </w:rPr>
            </w:pPr>
            <w:r w:rsidRPr="001B4A02">
              <w:rPr>
                <w:sz w:val="22"/>
                <w:szCs w:val="22"/>
                <w:lang w:val="cs-CZ"/>
              </w:rPr>
              <w:t>15</w:t>
            </w:r>
            <w:r w:rsidR="002767FC">
              <w:rPr>
                <w:sz w:val="22"/>
                <w:szCs w:val="22"/>
                <w:lang w:val="cs-CZ"/>
              </w:rPr>
              <w:t> kg</w:t>
            </w:r>
            <w:r w:rsidRPr="001B4A02">
              <w:rPr>
                <w:sz w:val="22"/>
                <w:szCs w:val="22"/>
                <w:lang w:val="cs-CZ"/>
              </w:rPr>
              <w:t xml:space="preserve"> až &lt;</w:t>
            </w:r>
            <w:r w:rsidR="007375A0" w:rsidRPr="001B4A02">
              <w:rPr>
                <w:sz w:val="22"/>
                <w:szCs w:val="22"/>
                <w:lang w:val="cs-CZ"/>
              </w:rPr>
              <w:t> </w:t>
            </w:r>
            <w:r w:rsidRPr="001B4A02">
              <w:rPr>
                <w:sz w:val="22"/>
                <w:szCs w:val="22"/>
                <w:lang w:val="cs-CZ"/>
              </w:rPr>
              <w:t>30</w:t>
            </w:r>
            <w:r w:rsidR="002767FC">
              <w:rPr>
                <w:sz w:val="22"/>
                <w:szCs w:val="22"/>
                <w:lang w:val="cs-CZ"/>
              </w:rPr>
              <w:t> kg</w:t>
            </w:r>
          </w:p>
        </w:tc>
        <w:tc>
          <w:tcPr>
            <w:tcW w:w="4108" w:type="dxa"/>
            <w:tcBorders>
              <w:top w:val="single" w:sz="4" w:space="0" w:color="auto"/>
              <w:bottom w:val="single" w:sz="4" w:space="0" w:color="auto"/>
            </w:tcBorders>
            <w:shd w:val="clear" w:color="auto" w:fill="auto"/>
          </w:tcPr>
          <w:p w14:paraId="3132F50C" w14:textId="77777777" w:rsidR="00090145" w:rsidRPr="001B4A02" w:rsidRDefault="00000000" w:rsidP="00090145">
            <w:pPr>
              <w:pStyle w:val="TableLeft"/>
              <w:jc w:val="center"/>
              <w:rPr>
                <w:b/>
                <w:sz w:val="22"/>
                <w:szCs w:val="22"/>
                <w:lang w:val="cs-CZ"/>
              </w:rPr>
            </w:pPr>
            <w:r w:rsidRPr="001B4A02">
              <w:rPr>
                <w:sz w:val="22"/>
                <w:szCs w:val="22"/>
                <w:lang w:val="cs-CZ"/>
              </w:rPr>
              <w:t>Úvodní dávka 20 mg s</w:t>
            </w:r>
            <w:r w:rsidR="00214AE3" w:rsidRPr="001B4A02">
              <w:rPr>
                <w:sz w:val="22"/>
                <w:szCs w:val="22"/>
                <w:lang w:val="cs-CZ"/>
              </w:rPr>
              <w:t> </w:t>
            </w:r>
            <w:r w:rsidRPr="001B4A02">
              <w:rPr>
                <w:sz w:val="22"/>
                <w:szCs w:val="22"/>
                <w:lang w:val="cs-CZ"/>
              </w:rPr>
              <w:t>následným podáváním 20 mg jednou za dva týdny od jednoho týdne po úvodní dávce</w:t>
            </w:r>
          </w:p>
        </w:tc>
      </w:tr>
      <w:tr w:rsidR="00534A2D" w14:paraId="7A0F5859" w14:textId="77777777" w:rsidTr="00490910">
        <w:trPr>
          <w:tblHeader/>
          <w:jc w:val="center"/>
        </w:trPr>
        <w:tc>
          <w:tcPr>
            <w:tcW w:w="3401" w:type="dxa"/>
            <w:tcBorders>
              <w:top w:val="single" w:sz="4" w:space="0" w:color="auto"/>
              <w:bottom w:val="single" w:sz="4" w:space="0" w:color="auto"/>
            </w:tcBorders>
            <w:shd w:val="clear" w:color="auto" w:fill="auto"/>
          </w:tcPr>
          <w:p w14:paraId="24505F56" w14:textId="77777777" w:rsidR="00090145" w:rsidRPr="001B4A02" w:rsidRDefault="00000000" w:rsidP="00090145">
            <w:pPr>
              <w:pStyle w:val="TableLeft"/>
              <w:jc w:val="center"/>
              <w:rPr>
                <w:b/>
                <w:sz w:val="22"/>
                <w:szCs w:val="22"/>
                <w:lang w:val="cs-CZ"/>
              </w:rPr>
            </w:pPr>
            <w:r w:rsidRPr="001B4A02">
              <w:rPr>
                <w:sz w:val="22"/>
                <w:szCs w:val="22"/>
                <w:lang w:val="cs-CZ"/>
              </w:rPr>
              <w:t>≥</w:t>
            </w:r>
            <w:r w:rsidR="007375A0" w:rsidRPr="001B4A02">
              <w:rPr>
                <w:sz w:val="22"/>
                <w:szCs w:val="22"/>
                <w:lang w:val="cs-CZ"/>
              </w:rPr>
              <w:t> </w:t>
            </w:r>
            <w:r w:rsidRPr="001B4A02">
              <w:rPr>
                <w:sz w:val="22"/>
                <w:szCs w:val="22"/>
                <w:lang w:val="cs-CZ"/>
              </w:rPr>
              <w:t>30</w:t>
            </w:r>
            <w:r w:rsidR="002767FC">
              <w:rPr>
                <w:sz w:val="22"/>
                <w:szCs w:val="22"/>
                <w:lang w:val="cs-CZ"/>
              </w:rPr>
              <w:t> kg</w:t>
            </w:r>
          </w:p>
        </w:tc>
        <w:tc>
          <w:tcPr>
            <w:tcW w:w="4108" w:type="dxa"/>
            <w:tcBorders>
              <w:top w:val="single" w:sz="4" w:space="0" w:color="auto"/>
              <w:bottom w:val="single" w:sz="4" w:space="0" w:color="auto"/>
            </w:tcBorders>
            <w:shd w:val="clear" w:color="auto" w:fill="auto"/>
          </w:tcPr>
          <w:p w14:paraId="3A661A65" w14:textId="77777777" w:rsidR="00090145" w:rsidRPr="001B4A02" w:rsidRDefault="00000000" w:rsidP="00090145">
            <w:pPr>
              <w:pStyle w:val="TableLeft"/>
              <w:jc w:val="center"/>
              <w:rPr>
                <w:b/>
                <w:sz w:val="22"/>
                <w:szCs w:val="22"/>
                <w:lang w:val="cs-CZ"/>
              </w:rPr>
            </w:pPr>
            <w:r w:rsidRPr="001B4A02">
              <w:rPr>
                <w:sz w:val="22"/>
                <w:szCs w:val="22"/>
                <w:lang w:val="cs-CZ"/>
              </w:rPr>
              <w:t>Úvodní dávka 40 mg s</w:t>
            </w:r>
            <w:r w:rsidR="00214AE3" w:rsidRPr="001B4A02">
              <w:rPr>
                <w:sz w:val="22"/>
                <w:szCs w:val="22"/>
                <w:lang w:val="cs-CZ"/>
              </w:rPr>
              <w:t> </w:t>
            </w:r>
            <w:r w:rsidRPr="001B4A02">
              <w:rPr>
                <w:sz w:val="22"/>
                <w:szCs w:val="22"/>
                <w:lang w:val="cs-CZ"/>
              </w:rPr>
              <w:t>následným podáváním 40 mg jednou za dva týdny od jednoho týdne po úvodní dávce</w:t>
            </w:r>
          </w:p>
        </w:tc>
      </w:tr>
    </w:tbl>
    <w:p w14:paraId="39BD4F5C" w14:textId="77777777" w:rsidR="006105BD" w:rsidRPr="001B4A02" w:rsidRDefault="006105BD" w:rsidP="00790DEF">
      <w:pPr>
        <w:ind w:left="0" w:firstLine="0"/>
      </w:pPr>
    </w:p>
    <w:p w14:paraId="2E9A4E2C" w14:textId="77777777" w:rsidR="00ED3511" w:rsidRPr="001B4A02" w:rsidRDefault="00000000" w:rsidP="00790DEF">
      <w:pPr>
        <w:ind w:left="0" w:firstLine="0"/>
      </w:pPr>
      <w:r w:rsidRPr="001B4A02">
        <w:t>Pokračování terapie déle než 16 týdnů by mělo být pečlivě zváženo u</w:t>
      </w:r>
      <w:r w:rsidR="00D15A04" w:rsidRPr="001B4A02">
        <w:t> </w:t>
      </w:r>
      <w:r w:rsidRPr="001B4A02">
        <w:t>pacientů, kteří během této doby na léčbu neodpovídají.</w:t>
      </w:r>
    </w:p>
    <w:p w14:paraId="70B5A7FA" w14:textId="77777777" w:rsidR="00ED3511" w:rsidRPr="001B4A02" w:rsidRDefault="00ED3511" w:rsidP="00ED48A3">
      <w:pPr>
        <w:ind w:left="0" w:firstLine="0"/>
      </w:pPr>
    </w:p>
    <w:p w14:paraId="03FA124B" w14:textId="77777777" w:rsidR="00ED3511" w:rsidRPr="001B4A02" w:rsidRDefault="00000000" w:rsidP="00090145">
      <w:pPr>
        <w:ind w:left="0" w:firstLine="0"/>
      </w:pPr>
      <w:r w:rsidRPr="001B4A02">
        <w:t>Je-li léčba přípravkem Humira indikována opětovně, měl by být dodržen výše uvedený postup dávkování</w:t>
      </w:r>
      <w:r w:rsidR="002378E0">
        <w:t xml:space="preserve"> a </w:t>
      </w:r>
      <w:r w:rsidRPr="001B4A02">
        <w:t>trvání léčby.</w:t>
      </w:r>
    </w:p>
    <w:p w14:paraId="2B9C6D16" w14:textId="77777777" w:rsidR="00ED3511" w:rsidRPr="001B4A02" w:rsidRDefault="00ED3511" w:rsidP="00ED48A3">
      <w:pPr>
        <w:ind w:left="0" w:firstLine="0"/>
      </w:pPr>
    </w:p>
    <w:p w14:paraId="2B11B46B" w14:textId="77777777" w:rsidR="00ED3511" w:rsidRPr="001B4A02" w:rsidRDefault="00000000" w:rsidP="00ED48A3">
      <w:pPr>
        <w:ind w:left="0" w:firstLine="0"/>
      </w:pPr>
      <w:r w:rsidRPr="001B4A02">
        <w:t>Bezpečnost přípravku Humira u</w:t>
      </w:r>
      <w:r w:rsidR="00D15A04" w:rsidRPr="001B4A02">
        <w:t> </w:t>
      </w:r>
      <w:r w:rsidRPr="001B4A02">
        <w:t>pediatrických pacientů s ložiskovou psoriázou byla hodnocena průměrně 13 měsíců.</w:t>
      </w:r>
    </w:p>
    <w:p w14:paraId="61433506" w14:textId="77777777" w:rsidR="00ED3511" w:rsidRPr="001B4A02" w:rsidRDefault="00ED3511" w:rsidP="00ED48A3">
      <w:pPr>
        <w:ind w:left="0" w:firstLine="0"/>
      </w:pPr>
    </w:p>
    <w:p w14:paraId="6A56244F" w14:textId="77777777" w:rsidR="00ED3511" w:rsidRPr="001B4A02" w:rsidRDefault="00000000" w:rsidP="00ED48A3">
      <w:pPr>
        <w:ind w:left="0" w:firstLine="0"/>
      </w:pPr>
      <w:r w:rsidRPr="001B4A02">
        <w:t>Použití přípravku Humira u</w:t>
      </w:r>
      <w:r w:rsidR="00D15A04" w:rsidRPr="001B4A02">
        <w:t> </w:t>
      </w:r>
      <w:r w:rsidRPr="001B4A02">
        <w:t>dětí mladších než 4 roky není v této indikaci relevantní.</w:t>
      </w:r>
    </w:p>
    <w:p w14:paraId="05BBD194" w14:textId="77777777" w:rsidR="00ED3511" w:rsidRPr="001B4A02" w:rsidRDefault="00ED3511" w:rsidP="00ED48A3">
      <w:pPr>
        <w:ind w:left="0" w:firstLine="0"/>
      </w:pPr>
    </w:p>
    <w:p w14:paraId="1163DD4E" w14:textId="77777777" w:rsidR="00551DE7" w:rsidRPr="001B4A02" w:rsidRDefault="00000000" w:rsidP="00551DE7">
      <w:pPr>
        <w:ind w:left="0" w:firstLine="0"/>
      </w:pPr>
      <w:r w:rsidRPr="001B4A02">
        <w:t xml:space="preserve">Přípravek Humira je k dispozici v dalších silách a/nebo </w:t>
      </w:r>
      <w:r w:rsidR="00A43DB3">
        <w:t>typech balení</w:t>
      </w:r>
      <w:r w:rsidRPr="001B4A02">
        <w:t xml:space="preserve"> v závislosti na individuálních potřebách léčby.</w:t>
      </w:r>
    </w:p>
    <w:p w14:paraId="3F2DB833" w14:textId="77777777" w:rsidR="00551DE7" w:rsidRPr="001B4A02" w:rsidRDefault="00551DE7" w:rsidP="00ED48A3">
      <w:pPr>
        <w:ind w:left="0" w:firstLine="0"/>
      </w:pPr>
    </w:p>
    <w:p w14:paraId="58006593" w14:textId="77777777" w:rsidR="00B04A4B" w:rsidRPr="001B4A02" w:rsidRDefault="00000000" w:rsidP="00ED48A3">
      <w:pPr>
        <w:keepNext/>
        <w:rPr>
          <w:i/>
        </w:rPr>
      </w:pPr>
      <w:r w:rsidRPr="001B4A02">
        <w:rPr>
          <w:i/>
          <w:iCs/>
          <w:szCs w:val="22"/>
        </w:rPr>
        <w:t>Hidradenitis suppurativa u</w:t>
      </w:r>
      <w:r w:rsidR="00D15A04" w:rsidRPr="001B4A02">
        <w:rPr>
          <w:i/>
          <w:iCs/>
          <w:szCs w:val="22"/>
        </w:rPr>
        <w:t> </w:t>
      </w:r>
      <w:r w:rsidRPr="001B4A02">
        <w:rPr>
          <w:i/>
          <w:iCs/>
          <w:szCs w:val="22"/>
        </w:rPr>
        <w:t>dospívajících (od 12 let s</w:t>
      </w:r>
      <w:r w:rsidR="00214AE3" w:rsidRPr="001B4A02">
        <w:rPr>
          <w:i/>
          <w:iCs/>
          <w:szCs w:val="22"/>
        </w:rPr>
        <w:t> </w:t>
      </w:r>
      <w:r w:rsidRPr="001B4A02">
        <w:rPr>
          <w:i/>
          <w:iCs/>
          <w:szCs w:val="22"/>
        </w:rPr>
        <w:t>tělesnou hmotností nejméně 30</w:t>
      </w:r>
      <w:r w:rsidR="002767FC">
        <w:rPr>
          <w:i/>
          <w:iCs/>
          <w:szCs w:val="22"/>
        </w:rPr>
        <w:t> kg</w:t>
      </w:r>
      <w:r w:rsidRPr="001B4A02">
        <w:rPr>
          <w:i/>
          <w:iCs/>
          <w:szCs w:val="22"/>
        </w:rPr>
        <w:t>)</w:t>
      </w:r>
    </w:p>
    <w:p w14:paraId="2245AB92" w14:textId="77777777" w:rsidR="00B04A4B" w:rsidRPr="001B4A02" w:rsidRDefault="00B04A4B" w:rsidP="00ED48A3">
      <w:pPr>
        <w:keepNext/>
        <w:rPr>
          <w:i/>
        </w:rPr>
      </w:pPr>
    </w:p>
    <w:p w14:paraId="65D3BA7B" w14:textId="77777777" w:rsidR="00B04A4B" w:rsidRPr="001B4A02" w:rsidRDefault="00000000" w:rsidP="00ED48A3">
      <w:pPr>
        <w:ind w:left="0" w:firstLine="0"/>
        <w:rPr>
          <w:shd w:val="clear" w:color="auto" w:fill="FFFFFF"/>
        </w:rPr>
      </w:pPr>
      <w:r w:rsidRPr="001B4A02">
        <w:rPr>
          <w:szCs w:val="22"/>
        </w:rPr>
        <w:t>U dospívajících pacientů s</w:t>
      </w:r>
      <w:r w:rsidR="00214AE3" w:rsidRPr="001B4A02">
        <w:rPr>
          <w:szCs w:val="22"/>
        </w:rPr>
        <w:t> </w:t>
      </w:r>
      <w:r w:rsidRPr="001B4A02">
        <w:rPr>
          <w:szCs w:val="22"/>
        </w:rPr>
        <w:t>HS nejsou provedeny žádné klini</w:t>
      </w:r>
      <w:r w:rsidR="00062315" w:rsidRPr="001B4A02">
        <w:rPr>
          <w:szCs w:val="22"/>
        </w:rPr>
        <w:t>cké studie u</w:t>
      </w:r>
      <w:r w:rsidR="00214AE3" w:rsidRPr="001B4A02">
        <w:rPr>
          <w:szCs w:val="22"/>
        </w:rPr>
        <w:t> </w:t>
      </w:r>
      <w:r w:rsidR="00062315" w:rsidRPr="001B4A02">
        <w:rPr>
          <w:szCs w:val="22"/>
        </w:rPr>
        <w:t xml:space="preserve">přípravku Humira. </w:t>
      </w:r>
      <w:r w:rsidRPr="001B4A02">
        <w:rPr>
          <w:szCs w:val="22"/>
        </w:rPr>
        <w:t>Dávkování přípravku Humira u</w:t>
      </w:r>
      <w:r w:rsidR="00214AE3" w:rsidRPr="001B4A02">
        <w:rPr>
          <w:szCs w:val="22"/>
        </w:rPr>
        <w:t> </w:t>
      </w:r>
      <w:r w:rsidRPr="001B4A02">
        <w:rPr>
          <w:szCs w:val="22"/>
        </w:rPr>
        <w:t>těchto pacientů bylo stanoveno na základě farmakokinetického modelování</w:t>
      </w:r>
      <w:r w:rsidR="002378E0">
        <w:rPr>
          <w:szCs w:val="22"/>
        </w:rPr>
        <w:t xml:space="preserve"> a </w:t>
      </w:r>
      <w:r w:rsidRPr="001B4A02">
        <w:rPr>
          <w:szCs w:val="22"/>
        </w:rPr>
        <w:t>simu</w:t>
      </w:r>
      <w:r w:rsidR="0039759D" w:rsidRPr="001B4A02">
        <w:rPr>
          <w:szCs w:val="22"/>
        </w:rPr>
        <w:t>la</w:t>
      </w:r>
      <w:r w:rsidRPr="001B4A02">
        <w:rPr>
          <w:szCs w:val="22"/>
        </w:rPr>
        <w:t>ce (viz bod 5.2).</w:t>
      </w:r>
    </w:p>
    <w:p w14:paraId="06A5F49A" w14:textId="77777777" w:rsidR="00B04A4B" w:rsidRPr="001B4A02" w:rsidRDefault="00B04A4B" w:rsidP="00ED48A3">
      <w:pPr>
        <w:pStyle w:val="EMEANormal"/>
        <w:rPr>
          <w:lang w:val="cs-CZ"/>
        </w:rPr>
      </w:pPr>
    </w:p>
    <w:p w14:paraId="27A56B59" w14:textId="77777777" w:rsidR="00090145" w:rsidRPr="001B4A02" w:rsidRDefault="00000000" w:rsidP="00090145">
      <w:pPr>
        <w:pStyle w:val="EMEANormal"/>
        <w:rPr>
          <w:lang w:val="cs-CZ"/>
        </w:rPr>
      </w:pPr>
      <w:r w:rsidRPr="001B4A02">
        <w:rPr>
          <w:szCs w:val="22"/>
          <w:lang w:val="cs-CZ"/>
        </w:rPr>
        <w:t>Doporučená dávka přípravku Humira je 80</w:t>
      </w:r>
      <w:r w:rsidR="00F365E7">
        <w:rPr>
          <w:szCs w:val="22"/>
          <w:lang w:val="cs-CZ"/>
        </w:rPr>
        <w:t> mg</w:t>
      </w:r>
      <w:r w:rsidRPr="001B4A02">
        <w:rPr>
          <w:szCs w:val="22"/>
          <w:lang w:val="cs-CZ"/>
        </w:rPr>
        <w:t xml:space="preserve"> v</w:t>
      </w:r>
      <w:r w:rsidR="00214AE3" w:rsidRPr="001B4A02">
        <w:rPr>
          <w:szCs w:val="22"/>
          <w:lang w:val="cs-CZ"/>
        </w:rPr>
        <w:t> </w:t>
      </w:r>
      <w:r w:rsidRPr="001B4A02">
        <w:rPr>
          <w:szCs w:val="22"/>
          <w:lang w:val="cs-CZ"/>
        </w:rPr>
        <w:t>týdnu 0 následovaná dávkou</w:t>
      </w:r>
      <w:r w:rsidR="00B04A4B" w:rsidRPr="001B4A02">
        <w:rPr>
          <w:szCs w:val="22"/>
          <w:lang w:val="cs-CZ"/>
        </w:rPr>
        <w:t xml:space="preserve"> 40</w:t>
      </w:r>
      <w:r w:rsidR="00F365E7">
        <w:rPr>
          <w:szCs w:val="22"/>
          <w:lang w:val="cs-CZ"/>
        </w:rPr>
        <w:t> mg</w:t>
      </w:r>
      <w:r w:rsidR="00B04A4B" w:rsidRPr="001B4A02">
        <w:rPr>
          <w:szCs w:val="22"/>
          <w:lang w:val="cs-CZ"/>
        </w:rPr>
        <w:t xml:space="preserve"> podávanou každý druhý týden od týdne 1 ve formě subkutánní injekce.</w:t>
      </w:r>
      <w:r w:rsidRPr="001B4A02">
        <w:rPr>
          <w:szCs w:val="22"/>
          <w:lang w:val="cs-CZ"/>
        </w:rPr>
        <w:t xml:space="preserve"> </w:t>
      </w:r>
    </w:p>
    <w:p w14:paraId="1014000A" w14:textId="77777777" w:rsidR="00B04A4B" w:rsidRPr="001B4A02" w:rsidRDefault="00B04A4B" w:rsidP="00ED48A3">
      <w:pPr>
        <w:pStyle w:val="EMEANormal"/>
        <w:rPr>
          <w:lang w:val="cs-CZ"/>
        </w:rPr>
      </w:pPr>
    </w:p>
    <w:p w14:paraId="6A5236C7" w14:textId="77777777" w:rsidR="00B04A4B" w:rsidRPr="001B4A02" w:rsidRDefault="00000000" w:rsidP="00ED48A3">
      <w:pPr>
        <w:ind w:left="0" w:firstLine="0"/>
      </w:pPr>
      <w:r w:rsidRPr="001B4A02">
        <w:rPr>
          <w:szCs w:val="22"/>
        </w:rPr>
        <w:t>U dospívajících pacientů s</w:t>
      </w:r>
      <w:r w:rsidR="00214AE3" w:rsidRPr="001B4A02">
        <w:rPr>
          <w:szCs w:val="22"/>
        </w:rPr>
        <w:t> </w:t>
      </w:r>
      <w:r w:rsidRPr="001B4A02">
        <w:rPr>
          <w:szCs w:val="22"/>
        </w:rPr>
        <w:t>nedostatečnou odpovědí na dávku 40</w:t>
      </w:r>
      <w:r w:rsidR="00F365E7">
        <w:rPr>
          <w:szCs w:val="22"/>
        </w:rPr>
        <w:t> mg</w:t>
      </w:r>
      <w:r w:rsidRPr="001B4A02">
        <w:rPr>
          <w:szCs w:val="22"/>
        </w:rPr>
        <w:t xml:space="preserve"> přípravku Humira podávanou každé dva týdny může být zváženo zvýšení dávkování na 40</w:t>
      </w:r>
      <w:r w:rsidR="00F365E7">
        <w:rPr>
          <w:szCs w:val="22"/>
        </w:rPr>
        <w:t> mg</w:t>
      </w:r>
      <w:r w:rsidRPr="001B4A02">
        <w:rPr>
          <w:szCs w:val="22"/>
        </w:rPr>
        <w:t xml:space="preserve"> jednou týdně</w:t>
      </w:r>
      <w:r w:rsidR="00551DE7" w:rsidRPr="001B4A02">
        <w:rPr>
          <w:szCs w:val="22"/>
        </w:rPr>
        <w:t xml:space="preserve"> nebo 80</w:t>
      </w:r>
      <w:r w:rsidR="00F365E7">
        <w:rPr>
          <w:szCs w:val="22"/>
        </w:rPr>
        <w:t> mg</w:t>
      </w:r>
      <w:r w:rsidR="00551DE7" w:rsidRPr="001B4A02">
        <w:rPr>
          <w:szCs w:val="22"/>
        </w:rPr>
        <w:t xml:space="preserve"> jednou za dva týdny</w:t>
      </w:r>
      <w:r w:rsidRPr="001B4A02">
        <w:rPr>
          <w:szCs w:val="22"/>
        </w:rPr>
        <w:t>.</w:t>
      </w:r>
    </w:p>
    <w:p w14:paraId="6F0C6481" w14:textId="77777777" w:rsidR="00B04A4B" w:rsidRPr="001B4A02" w:rsidRDefault="00B04A4B" w:rsidP="00ED48A3">
      <w:pPr>
        <w:pStyle w:val="EMEANormal"/>
        <w:rPr>
          <w:lang w:val="cs-CZ"/>
        </w:rPr>
      </w:pPr>
    </w:p>
    <w:p w14:paraId="49789E80" w14:textId="77777777" w:rsidR="00B04A4B" w:rsidRPr="001B4A02" w:rsidRDefault="00000000" w:rsidP="00ED48A3">
      <w:pPr>
        <w:pStyle w:val="EMEANormal"/>
        <w:rPr>
          <w:lang w:val="cs-CZ"/>
        </w:rPr>
      </w:pPr>
      <w:r w:rsidRPr="001B4A02">
        <w:rPr>
          <w:szCs w:val="22"/>
          <w:lang w:val="cs-CZ"/>
        </w:rPr>
        <w:t>Je-li to nutné, léčba antibiotiky může během léčby přípravkem Humira pokračovat. Pacientům se během léčby přípravkem Humira doporučuje provádět denně lokální antiseptické ošetření na místech s</w:t>
      </w:r>
      <w:r w:rsidR="00790DEF" w:rsidRPr="001B4A02">
        <w:rPr>
          <w:szCs w:val="22"/>
          <w:lang w:val="cs-CZ"/>
        </w:rPr>
        <w:t> </w:t>
      </w:r>
      <w:r w:rsidRPr="001B4A02">
        <w:rPr>
          <w:szCs w:val="22"/>
          <w:lang w:val="cs-CZ"/>
        </w:rPr>
        <w:t>HS léz</w:t>
      </w:r>
      <w:r w:rsidR="000D4B6E" w:rsidRPr="001B4A02">
        <w:rPr>
          <w:szCs w:val="22"/>
          <w:lang w:val="cs-CZ"/>
        </w:rPr>
        <w:t>emi</w:t>
      </w:r>
      <w:r w:rsidRPr="001B4A02">
        <w:rPr>
          <w:szCs w:val="22"/>
          <w:lang w:val="cs-CZ"/>
        </w:rPr>
        <w:t>.</w:t>
      </w:r>
    </w:p>
    <w:p w14:paraId="3365753C" w14:textId="77777777" w:rsidR="00B04A4B" w:rsidRPr="001B4A02" w:rsidRDefault="00B04A4B" w:rsidP="00ED48A3">
      <w:pPr>
        <w:pStyle w:val="EMEANormal"/>
        <w:rPr>
          <w:lang w:val="cs-CZ"/>
        </w:rPr>
      </w:pPr>
    </w:p>
    <w:p w14:paraId="564F4561" w14:textId="77777777" w:rsidR="00B04A4B" w:rsidRPr="001B4A02" w:rsidRDefault="00000000" w:rsidP="00ED48A3">
      <w:pPr>
        <w:pStyle w:val="EMEANormal"/>
        <w:rPr>
          <w:lang w:val="cs-CZ"/>
        </w:rPr>
      </w:pPr>
      <w:r w:rsidRPr="001B4A02">
        <w:rPr>
          <w:szCs w:val="22"/>
          <w:lang w:val="cs-CZ"/>
        </w:rPr>
        <w:t>Pokračování léčby nad 12 týdnů by mělo být pečlivě zváženo u</w:t>
      </w:r>
      <w:r w:rsidR="00D15A04" w:rsidRPr="001B4A02">
        <w:rPr>
          <w:szCs w:val="22"/>
          <w:lang w:val="cs-CZ"/>
        </w:rPr>
        <w:t> </w:t>
      </w:r>
      <w:r w:rsidRPr="001B4A02">
        <w:rPr>
          <w:szCs w:val="22"/>
          <w:lang w:val="cs-CZ"/>
        </w:rPr>
        <w:t>pacientů, u</w:t>
      </w:r>
      <w:r w:rsidR="00D15A04" w:rsidRPr="001B4A02">
        <w:rPr>
          <w:szCs w:val="22"/>
          <w:lang w:val="cs-CZ"/>
        </w:rPr>
        <w:t> </w:t>
      </w:r>
      <w:r w:rsidRPr="001B4A02">
        <w:rPr>
          <w:szCs w:val="22"/>
          <w:lang w:val="cs-CZ"/>
        </w:rPr>
        <w:t>kterých během tohoto období nedošlo k</w:t>
      </w:r>
      <w:r w:rsidR="00B66B89" w:rsidRPr="001B4A02">
        <w:rPr>
          <w:szCs w:val="22"/>
          <w:lang w:val="cs-CZ"/>
        </w:rPr>
        <w:t> </w:t>
      </w:r>
      <w:r w:rsidRPr="001B4A02">
        <w:rPr>
          <w:szCs w:val="22"/>
          <w:lang w:val="cs-CZ"/>
        </w:rPr>
        <w:t>žádnému zlepšení.</w:t>
      </w:r>
    </w:p>
    <w:p w14:paraId="3A257820" w14:textId="77777777" w:rsidR="00B04A4B" w:rsidRPr="001B4A02" w:rsidRDefault="00B04A4B" w:rsidP="00ED48A3">
      <w:pPr>
        <w:rPr>
          <w:i/>
        </w:rPr>
      </w:pPr>
    </w:p>
    <w:p w14:paraId="4A7E2DF4" w14:textId="77777777" w:rsidR="00B04A4B" w:rsidRPr="001B4A02" w:rsidRDefault="00000000" w:rsidP="00ED48A3">
      <w:pPr>
        <w:pStyle w:val="EMEANormal"/>
        <w:rPr>
          <w:lang w:val="cs-CZ"/>
        </w:rPr>
      </w:pPr>
      <w:r w:rsidRPr="001B4A02">
        <w:rPr>
          <w:szCs w:val="22"/>
          <w:lang w:val="cs-CZ"/>
        </w:rPr>
        <w:t>Pokud je třeba léčbu přerušit, může být léčba přípravkem Humira podle potřeby znovu zahájena.</w:t>
      </w:r>
    </w:p>
    <w:p w14:paraId="65B5CAAC" w14:textId="77777777" w:rsidR="00B04A4B" w:rsidRPr="001B4A02" w:rsidRDefault="00B04A4B" w:rsidP="00ED48A3">
      <w:pPr>
        <w:pStyle w:val="EMEANormal"/>
        <w:rPr>
          <w:lang w:val="cs-CZ"/>
        </w:rPr>
      </w:pPr>
    </w:p>
    <w:p w14:paraId="0A2D0AF2" w14:textId="77777777" w:rsidR="00B04A4B" w:rsidRPr="001B4A02" w:rsidRDefault="00000000" w:rsidP="00ED48A3">
      <w:pPr>
        <w:pStyle w:val="EMEANormal"/>
        <w:rPr>
          <w:lang w:val="cs-CZ"/>
        </w:rPr>
      </w:pPr>
      <w:r w:rsidRPr="001B4A02">
        <w:rPr>
          <w:szCs w:val="22"/>
          <w:lang w:val="cs-CZ"/>
        </w:rPr>
        <w:t>Přínos</w:t>
      </w:r>
      <w:r w:rsidR="002378E0">
        <w:rPr>
          <w:szCs w:val="22"/>
          <w:lang w:val="cs-CZ"/>
        </w:rPr>
        <w:t xml:space="preserve"> a </w:t>
      </w:r>
      <w:r w:rsidRPr="001B4A02">
        <w:rPr>
          <w:szCs w:val="22"/>
          <w:lang w:val="cs-CZ"/>
        </w:rPr>
        <w:t>rizika nepřetržité dlouhodobé léčby mají být pravid</w:t>
      </w:r>
      <w:r w:rsidR="00790DEF" w:rsidRPr="001B4A02">
        <w:rPr>
          <w:szCs w:val="22"/>
          <w:lang w:val="cs-CZ"/>
        </w:rPr>
        <w:t>elně přehodnocovány (viz data u </w:t>
      </w:r>
      <w:r w:rsidRPr="001B4A02">
        <w:rPr>
          <w:szCs w:val="22"/>
          <w:lang w:val="cs-CZ"/>
        </w:rPr>
        <w:t>dospělých v</w:t>
      </w:r>
      <w:r w:rsidR="00255A0A" w:rsidRPr="001B4A02">
        <w:rPr>
          <w:szCs w:val="22"/>
          <w:lang w:val="cs-CZ"/>
        </w:rPr>
        <w:t> </w:t>
      </w:r>
      <w:r w:rsidRPr="001B4A02">
        <w:rPr>
          <w:szCs w:val="22"/>
          <w:lang w:val="cs-CZ"/>
        </w:rPr>
        <w:t>bodě 5.1).</w:t>
      </w:r>
    </w:p>
    <w:p w14:paraId="7D098CF3" w14:textId="77777777" w:rsidR="00B04A4B" w:rsidRPr="001B4A02" w:rsidRDefault="00B04A4B" w:rsidP="00ED48A3">
      <w:pPr>
        <w:pStyle w:val="EMEANormal"/>
        <w:rPr>
          <w:lang w:val="cs-CZ"/>
        </w:rPr>
      </w:pPr>
    </w:p>
    <w:p w14:paraId="72713877" w14:textId="77777777" w:rsidR="00C73AF6" w:rsidRPr="001B4A02" w:rsidRDefault="00000000" w:rsidP="00ED48A3">
      <w:pPr>
        <w:ind w:left="0" w:firstLine="0"/>
      </w:pPr>
      <w:r w:rsidRPr="001B4A02">
        <w:rPr>
          <w:szCs w:val="22"/>
        </w:rPr>
        <w:t>Použití přípravku Humira u</w:t>
      </w:r>
      <w:r w:rsidR="00214AE3" w:rsidRPr="001B4A02">
        <w:rPr>
          <w:szCs w:val="22"/>
        </w:rPr>
        <w:t> </w:t>
      </w:r>
      <w:r w:rsidRPr="001B4A02">
        <w:rPr>
          <w:szCs w:val="22"/>
        </w:rPr>
        <w:t xml:space="preserve">dětí </w:t>
      </w:r>
      <w:r w:rsidR="00B60555" w:rsidRPr="001B4A02">
        <w:rPr>
          <w:szCs w:val="22"/>
        </w:rPr>
        <w:t>mladších než</w:t>
      </w:r>
      <w:r w:rsidRPr="001B4A02">
        <w:rPr>
          <w:szCs w:val="22"/>
        </w:rPr>
        <w:t xml:space="preserve"> 12 let není </w:t>
      </w:r>
      <w:r w:rsidR="00B60555" w:rsidRPr="001B4A02">
        <w:rPr>
          <w:szCs w:val="22"/>
        </w:rPr>
        <w:t xml:space="preserve">v této indikaci </w:t>
      </w:r>
      <w:r w:rsidRPr="001B4A02">
        <w:rPr>
          <w:szCs w:val="22"/>
        </w:rPr>
        <w:t>relevantní.</w:t>
      </w:r>
    </w:p>
    <w:p w14:paraId="7C902689" w14:textId="77777777" w:rsidR="00ED3511" w:rsidRPr="001B4A02" w:rsidRDefault="00ED3511" w:rsidP="00ED48A3">
      <w:pPr>
        <w:ind w:left="0" w:firstLine="0"/>
      </w:pPr>
    </w:p>
    <w:p w14:paraId="412358F8" w14:textId="77777777" w:rsidR="00551DE7" w:rsidRPr="001B4A02" w:rsidRDefault="00000000" w:rsidP="00551DE7">
      <w:pPr>
        <w:pStyle w:val="EMEANormal"/>
        <w:rPr>
          <w:lang w:val="cs-CZ"/>
        </w:rPr>
      </w:pPr>
      <w:r w:rsidRPr="001B4A02">
        <w:rPr>
          <w:lang w:val="cs-CZ"/>
        </w:rPr>
        <w:t xml:space="preserve">Přípravek Humira je k dispozici v dalších silách a/nebo </w:t>
      </w:r>
      <w:r w:rsidR="00A43DB3" w:rsidRPr="00F261A6">
        <w:rPr>
          <w:lang w:val="cs-CZ"/>
        </w:rPr>
        <w:t>typech balení</w:t>
      </w:r>
      <w:r w:rsidRPr="001B4A02">
        <w:rPr>
          <w:lang w:val="cs-CZ"/>
        </w:rPr>
        <w:t xml:space="preserve"> v závislosti na individuálních potřebách léčby.</w:t>
      </w:r>
    </w:p>
    <w:p w14:paraId="0418FE09" w14:textId="77777777" w:rsidR="00551DE7" w:rsidRPr="001B4A02" w:rsidRDefault="00551DE7" w:rsidP="00ED48A3">
      <w:pPr>
        <w:ind w:left="0" w:firstLine="0"/>
      </w:pPr>
    </w:p>
    <w:p w14:paraId="4DD64DE0" w14:textId="77777777" w:rsidR="00ED3511" w:rsidRPr="001B4A02" w:rsidRDefault="00000000" w:rsidP="00ED48A3">
      <w:pPr>
        <w:ind w:left="0" w:firstLine="0"/>
        <w:rPr>
          <w:i/>
        </w:rPr>
      </w:pPr>
      <w:r w:rsidRPr="001B4A02">
        <w:rPr>
          <w:i/>
        </w:rPr>
        <w:t>Crohnova choroba u pediatrických pacientů</w:t>
      </w:r>
    </w:p>
    <w:p w14:paraId="31766377" w14:textId="77777777" w:rsidR="00ED3511" w:rsidRPr="001B4A02" w:rsidRDefault="00ED3511" w:rsidP="00ED48A3">
      <w:pPr>
        <w:ind w:left="0" w:firstLine="0"/>
      </w:pPr>
    </w:p>
    <w:p w14:paraId="25D2A4F3" w14:textId="77777777" w:rsidR="00090145" w:rsidRDefault="00000000" w:rsidP="00090145">
      <w:pPr>
        <w:ind w:left="0" w:firstLine="0"/>
      </w:pPr>
      <w:r w:rsidRPr="001B4A02">
        <w:t>Doporučen</w:t>
      </w:r>
      <w:r w:rsidR="003941F6" w:rsidRPr="001B4A02">
        <w:t>á</w:t>
      </w:r>
      <w:r w:rsidRPr="001B4A02">
        <w:t xml:space="preserve"> dávk</w:t>
      </w:r>
      <w:r w:rsidR="003941F6" w:rsidRPr="001B4A02">
        <w:t>a</w:t>
      </w:r>
      <w:r w:rsidRPr="001B4A02">
        <w:t xml:space="preserve"> přípravku Humira u pacientů s</w:t>
      </w:r>
      <w:r w:rsidR="00214AE3" w:rsidRPr="001B4A02">
        <w:t> </w:t>
      </w:r>
      <w:r w:rsidRPr="001B4A02">
        <w:t xml:space="preserve">Crohnovou chorobou ve věku od 6 do 17 let vychází z tělesné hmotnosti (tabulka 4). </w:t>
      </w:r>
      <w:r w:rsidR="0024278A" w:rsidRPr="001B4A02">
        <w:t xml:space="preserve">Přípravek </w:t>
      </w:r>
      <w:r w:rsidRPr="001B4A02">
        <w:t xml:space="preserve">Humira se podává subkutánní injekcí. </w:t>
      </w:r>
    </w:p>
    <w:p w14:paraId="1D0EB427" w14:textId="77777777" w:rsidR="00A43DB3" w:rsidRPr="001B4A02" w:rsidRDefault="00A43DB3" w:rsidP="00090145">
      <w:pPr>
        <w:ind w:left="0" w:firstLine="0"/>
      </w:pPr>
    </w:p>
    <w:p w14:paraId="582206A5" w14:textId="77777777" w:rsidR="00090145" w:rsidRPr="001B4A02" w:rsidRDefault="00000000" w:rsidP="00090145">
      <w:pPr>
        <w:keepNext/>
        <w:jc w:val="center"/>
        <w:rPr>
          <w:b/>
          <w:szCs w:val="22"/>
        </w:rPr>
      </w:pPr>
      <w:r w:rsidRPr="001B4A02">
        <w:rPr>
          <w:b/>
          <w:szCs w:val="22"/>
        </w:rPr>
        <w:t>Tabulka 4. Dávka přípravku Humira u</w:t>
      </w:r>
      <w:r w:rsidR="00214AE3" w:rsidRPr="001B4A02">
        <w:rPr>
          <w:b/>
          <w:szCs w:val="22"/>
        </w:rPr>
        <w:t> </w:t>
      </w:r>
      <w:r w:rsidRPr="001B4A02">
        <w:rPr>
          <w:b/>
          <w:szCs w:val="22"/>
        </w:rPr>
        <w:t>pediatrických pacientů s Crohnovou chorobou</w:t>
      </w:r>
    </w:p>
    <w:p w14:paraId="2C65D6E9" w14:textId="77777777" w:rsidR="00090145" w:rsidRPr="001B4A02" w:rsidRDefault="00090145" w:rsidP="00090145">
      <w:pPr>
        <w:keepNext/>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2"/>
        <w:gridCol w:w="5527"/>
        <w:gridCol w:w="1976"/>
      </w:tblGrid>
      <w:tr w:rsidR="00534A2D" w14:paraId="7074EED9" w14:textId="77777777" w:rsidTr="00DC6AFE">
        <w:trPr>
          <w:tblHeader/>
        </w:trPr>
        <w:tc>
          <w:tcPr>
            <w:tcW w:w="857" w:type="pct"/>
            <w:tcBorders>
              <w:top w:val="single" w:sz="6" w:space="0" w:color="000000"/>
              <w:left w:val="single" w:sz="6" w:space="0" w:color="000000"/>
              <w:bottom w:val="single" w:sz="6" w:space="0" w:color="000000"/>
              <w:right w:val="single" w:sz="6" w:space="0" w:color="000000"/>
            </w:tcBorders>
            <w:hideMark/>
          </w:tcPr>
          <w:p w14:paraId="59F282DB" w14:textId="77777777" w:rsidR="00090145" w:rsidRPr="001B4A02" w:rsidRDefault="00000000" w:rsidP="00253ABE">
            <w:pPr>
              <w:keepNext/>
              <w:ind w:left="0" w:firstLine="0"/>
              <w:jc w:val="center"/>
            </w:pPr>
            <w:r w:rsidRPr="001B4A02">
              <w:rPr>
                <w:b/>
              </w:rPr>
              <w:t>Hmotnost pacienta</w:t>
            </w:r>
          </w:p>
        </w:tc>
        <w:tc>
          <w:tcPr>
            <w:tcW w:w="3052" w:type="pct"/>
            <w:tcBorders>
              <w:top w:val="single" w:sz="6" w:space="0" w:color="000000"/>
              <w:left w:val="single" w:sz="6" w:space="0" w:color="000000"/>
              <w:bottom w:val="single" w:sz="6" w:space="0" w:color="000000"/>
              <w:right w:val="single" w:sz="6" w:space="0" w:color="000000"/>
            </w:tcBorders>
            <w:hideMark/>
          </w:tcPr>
          <w:p w14:paraId="47930012" w14:textId="77777777" w:rsidR="00090145" w:rsidRPr="001B4A02" w:rsidRDefault="00000000" w:rsidP="00253ABE">
            <w:pPr>
              <w:keepNext/>
              <w:ind w:left="0" w:firstLine="0"/>
              <w:jc w:val="center"/>
            </w:pPr>
            <w:r w:rsidRPr="001B4A02">
              <w:rPr>
                <w:b/>
              </w:rPr>
              <w:t>Indukční dávka</w:t>
            </w:r>
          </w:p>
        </w:tc>
        <w:tc>
          <w:tcPr>
            <w:tcW w:w="1091" w:type="pct"/>
            <w:tcBorders>
              <w:top w:val="single" w:sz="6" w:space="0" w:color="000000"/>
              <w:left w:val="single" w:sz="6" w:space="0" w:color="000000"/>
              <w:bottom w:val="single" w:sz="6" w:space="0" w:color="000000"/>
              <w:right w:val="single" w:sz="6" w:space="0" w:color="000000"/>
            </w:tcBorders>
            <w:hideMark/>
          </w:tcPr>
          <w:p w14:paraId="6D769DAF" w14:textId="77777777" w:rsidR="00090145" w:rsidRPr="001B4A02" w:rsidRDefault="00000000" w:rsidP="00253ABE">
            <w:pPr>
              <w:keepNext/>
              <w:ind w:left="0" w:firstLine="0"/>
              <w:jc w:val="center"/>
              <w:rPr>
                <w:b/>
              </w:rPr>
            </w:pPr>
            <w:r w:rsidRPr="001B4A02">
              <w:rPr>
                <w:b/>
              </w:rPr>
              <w:t xml:space="preserve">Udržovací dávka </w:t>
            </w:r>
          </w:p>
          <w:p w14:paraId="7A8C3908" w14:textId="77777777" w:rsidR="00090145" w:rsidRPr="001B4A02" w:rsidRDefault="00000000" w:rsidP="00253ABE">
            <w:pPr>
              <w:keepNext/>
              <w:ind w:left="0" w:firstLine="0"/>
              <w:jc w:val="center"/>
            </w:pPr>
            <w:r w:rsidRPr="001B4A02">
              <w:rPr>
                <w:b/>
              </w:rPr>
              <w:t>od týdne 4</w:t>
            </w:r>
          </w:p>
        </w:tc>
      </w:tr>
      <w:tr w:rsidR="00534A2D" w14:paraId="147E68B3" w14:textId="77777777" w:rsidTr="00DC6AFE">
        <w:tc>
          <w:tcPr>
            <w:tcW w:w="857" w:type="pct"/>
            <w:tcBorders>
              <w:top w:val="single" w:sz="6" w:space="0" w:color="000000"/>
              <w:left w:val="single" w:sz="6" w:space="0" w:color="000000"/>
              <w:bottom w:val="single" w:sz="6" w:space="0" w:color="000000"/>
              <w:right w:val="single" w:sz="6" w:space="0" w:color="000000"/>
            </w:tcBorders>
            <w:hideMark/>
          </w:tcPr>
          <w:p w14:paraId="50FC0047" w14:textId="77777777" w:rsidR="00090145" w:rsidRPr="001B4A02" w:rsidRDefault="00000000" w:rsidP="00253ABE">
            <w:pPr>
              <w:keepNext/>
              <w:ind w:left="0" w:firstLine="0"/>
              <w:jc w:val="center"/>
            </w:pPr>
            <w:r w:rsidRPr="001B4A02">
              <w:t>&lt;</w:t>
            </w:r>
            <w:r w:rsidR="007375A0" w:rsidRPr="001B4A02">
              <w:t> </w:t>
            </w:r>
            <w:r w:rsidRPr="001B4A02">
              <w:t>40</w:t>
            </w:r>
            <w:r w:rsidR="002767FC">
              <w:t> kg</w:t>
            </w:r>
          </w:p>
        </w:tc>
        <w:tc>
          <w:tcPr>
            <w:tcW w:w="3052" w:type="pct"/>
            <w:tcBorders>
              <w:top w:val="single" w:sz="6" w:space="0" w:color="000000"/>
              <w:left w:val="single" w:sz="6" w:space="0" w:color="000000"/>
              <w:bottom w:val="single" w:sz="6" w:space="0" w:color="000000"/>
              <w:right w:val="single" w:sz="6" w:space="0" w:color="000000"/>
            </w:tcBorders>
            <w:hideMark/>
          </w:tcPr>
          <w:p w14:paraId="6EA390F6" w14:textId="77777777" w:rsidR="00090145" w:rsidRPr="001B4A02" w:rsidRDefault="00000000" w:rsidP="00090145">
            <w:pPr>
              <w:keepNext/>
              <w:numPr>
                <w:ilvl w:val="0"/>
                <w:numId w:val="242"/>
              </w:numPr>
              <w:ind w:left="203" w:hanging="14"/>
              <w:rPr>
                <w:szCs w:val="22"/>
              </w:rPr>
            </w:pPr>
            <w:r w:rsidRPr="001B4A02">
              <w:rPr>
                <w:szCs w:val="22"/>
              </w:rPr>
              <w:t>40 mg v týdnu 0</w:t>
            </w:r>
            <w:r w:rsidR="002378E0">
              <w:rPr>
                <w:szCs w:val="22"/>
              </w:rPr>
              <w:t xml:space="preserve"> a </w:t>
            </w:r>
            <w:r w:rsidRPr="001B4A02">
              <w:rPr>
                <w:szCs w:val="22"/>
              </w:rPr>
              <w:t>20 mg v týdnu 2</w:t>
            </w:r>
          </w:p>
          <w:p w14:paraId="13FD2029" w14:textId="77777777" w:rsidR="00090145" w:rsidRPr="001B4A02" w:rsidRDefault="00090145" w:rsidP="00090145">
            <w:pPr>
              <w:keepNext/>
              <w:ind w:left="203" w:hanging="14"/>
              <w:rPr>
                <w:szCs w:val="22"/>
              </w:rPr>
            </w:pPr>
          </w:p>
          <w:p w14:paraId="70C782DC" w14:textId="77777777" w:rsidR="00090145" w:rsidRPr="001B4A02" w:rsidRDefault="00000000" w:rsidP="00090145">
            <w:pPr>
              <w:keepNext/>
              <w:ind w:left="203" w:hanging="14"/>
              <w:rPr>
                <w:szCs w:val="22"/>
              </w:rPr>
            </w:pPr>
            <w:r w:rsidRPr="001B4A02">
              <w:rPr>
                <w:szCs w:val="22"/>
              </w:rPr>
              <w:t>V případě, že je nutná rychlejší odpověď s vědomím, že riziko nežádoucích účinků může být vyšší při použití vyšší indukční dávky, může být použita následující dávka:</w:t>
            </w:r>
          </w:p>
          <w:p w14:paraId="30F41414" w14:textId="77777777" w:rsidR="00090145" w:rsidRPr="001B4A02" w:rsidRDefault="00000000" w:rsidP="00090145">
            <w:pPr>
              <w:keepNext/>
              <w:numPr>
                <w:ilvl w:val="0"/>
                <w:numId w:val="244"/>
              </w:numPr>
              <w:ind w:left="203" w:hanging="14"/>
              <w:rPr>
                <w:iCs/>
                <w:szCs w:val="22"/>
              </w:rPr>
            </w:pPr>
            <w:r w:rsidRPr="001B4A02">
              <w:rPr>
                <w:szCs w:val="22"/>
              </w:rPr>
              <w:t>80 mg v týdnu 0</w:t>
            </w:r>
            <w:r w:rsidR="002378E0">
              <w:rPr>
                <w:szCs w:val="22"/>
              </w:rPr>
              <w:t xml:space="preserve"> a </w:t>
            </w:r>
            <w:r w:rsidRPr="001B4A02">
              <w:rPr>
                <w:szCs w:val="22"/>
              </w:rPr>
              <w:t>40 mg v týdnu 2</w:t>
            </w:r>
          </w:p>
        </w:tc>
        <w:tc>
          <w:tcPr>
            <w:tcW w:w="1091" w:type="pct"/>
            <w:tcBorders>
              <w:top w:val="single" w:sz="6" w:space="0" w:color="000000"/>
              <w:left w:val="single" w:sz="6" w:space="0" w:color="000000"/>
              <w:bottom w:val="single" w:sz="6" w:space="0" w:color="000000"/>
              <w:right w:val="single" w:sz="6" w:space="0" w:color="000000"/>
            </w:tcBorders>
            <w:hideMark/>
          </w:tcPr>
          <w:p w14:paraId="1EB31B4F" w14:textId="77777777" w:rsidR="00090145" w:rsidRPr="001B4A02" w:rsidRDefault="00000000" w:rsidP="00253ABE">
            <w:pPr>
              <w:keepNext/>
              <w:ind w:left="0" w:firstLine="0"/>
              <w:jc w:val="center"/>
            </w:pPr>
            <w:r w:rsidRPr="001B4A02">
              <w:t xml:space="preserve">20 mg jednou </w:t>
            </w:r>
          </w:p>
          <w:p w14:paraId="582B6995" w14:textId="77777777" w:rsidR="00090145" w:rsidRPr="001B4A02" w:rsidRDefault="00000000" w:rsidP="00253ABE">
            <w:pPr>
              <w:keepNext/>
              <w:ind w:left="0" w:firstLine="0"/>
              <w:jc w:val="center"/>
            </w:pPr>
            <w:r w:rsidRPr="001B4A02">
              <w:t>za dva týdny</w:t>
            </w:r>
          </w:p>
        </w:tc>
      </w:tr>
      <w:tr w:rsidR="00534A2D" w14:paraId="60F563B5" w14:textId="77777777" w:rsidTr="00DC6AFE">
        <w:tc>
          <w:tcPr>
            <w:tcW w:w="857" w:type="pct"/>
            <w:tcBorders>
              <w:top w:val="single" w:sz="6" w:space="0" w:color="000000"/>
              <w:left w:val="single" w:sz="6" w:space="0" w:color="000000"/>
              <w:bottom w:val="single" w:sz="6" w:space="0" w:color="000000"/>
              <w:right w:val="single" w:sz="6" w:space="0" w:color="000000"/>
            </w:tcBorders>
            <w:hideMark/>
          </w:tcPr>
          <w:p w14:paraId="50836043" w14:textId="77777777" w:rsidR="00090145" w:rsidRPr="001B4A02" w:rsidRDefault="00000000" w:rsidP="00253ABE">
            <w:pPr>
              <w:keepNext/>
              <w:ind w:left="0" w:firstLine="0"/>
              <w:jc w:val="center"/>
            </w:pPr>
            <w:r w:rsidRPr="001B4A02">
              <w:t>≥</w:t>
            </w:r>
            <w:r w:rsidR="007375A0" w:rsidRPr="001B4A02">
              <w:t> </w:t>
            </w:r>
            <w:r w:rsidRPr="001B4A02">
              <w:t>40</w:t>
            </w:r>
            <w:r w:rsidR="002767FC">
              <w:t> kg</w:t>
            </w:r>
          </w:p>
        </w:tc>
        <w:tc>
          <w:tcPr>
            <w:tcW w:w="3052" w:type="pct"/>
            <w:tcBorders>
              <w:top w:val="single" w:sz="6" w:space="0" w:color="000000"/>
              <w:left w:val="single" w:sz="6" w:space="0" w:color="000000"/>
              <w:bottom w:val="single" w:sz="6" w:space="0" w:color="000000"/>
              <w:right w:val="single" w:sz="6" w:space="0" w:color="000000"/>
            </w:tcBorders>
            <w:hideMark/>
          </w:tcPr>
          <w:p w14:paraId="5B10BDE2" w14:textId="77777777" w:rsidR="00090145" w:rsidRPr="001B4A02" w:rsidRDefault="00000000" w:rsidP="00090145">
            <w:pPr>
              <w:keepNext/>
              <w:numPr>
                <w:ilvl w:val="0"/>
                <w:numId w:val="245"/>
              </w:numPr>
              <w:ind w:left="203" w:hanging="14"/>
              <w:rPr>
                <w:szCs w:val="22"/>
              </w:rPr>
            </w:pPr>
            <w:r w:rsidRPr="001B4A02">
              <w:rPr>
                <w:szCs w:val="22"/>
              </w:rPr>
              <w:t>80 mg v týdnu 0</w:t>
            </w:r>
            <w:r w:rsidR="002378E0">
              <w:rPr>
                <w:szCs w:val="22"/>
              </w:rPr>
              <w:t xml:space="preserve"> a </w:t>
            </w:r>
            <w:r w:rsidRPr="001B4A02">
              <w:rPr>
                <w:szCs w:val="22"/>
              </w:rPr>
              <w:t>40 mg v týdnu 2</w:t>
            </w:r>
          </w:p>
          <w:p w14:paraId="2C51753F" w14:textId="77777777" w:rsidR="00090145" w:rsidRPr="001B4A02" w:rsidRDefault="00090145" w:rsidP="00090145">
            <w:pPr>
              <w:keepNext/>
              <w:ind w:left="203" w:hanging="14"/>
              <w:rPr>
                <w:szCs w:val="22"/>
              </w:rPr>
            </w:pPr>
          </w:p>
          <w:p w14:paraId="4C0BCC2D" w14:textId="77777777" w:rsidR="00090145" w:rsidRPr="001B4A02" w:rsidRDefault="00000000" w:rsidP="00090145">
            <w:pPr>
              <w:keepNext/>
              <w:ind w:left="203" w:hanging="14"/>
              <w:rPr>
                <w:iCs/>
                <w:szCs w:val="22"/>
              </w:rPr>
            </w:pPr>
            <w:r w:rsidRPr="001B4A02">
              <w:rPr>
                <w:szCs w:val="22"/>
              </w:rPr>
              <w:t>V případě, že je nutná rychlejší odpověď s vědomím, že riziko nežádoucích účinků může být vyšší při použití vyšší indukční dávky, může být použita následující dávka:</w:t>
            </w:r>
          </w:p>
          <w:p w14:paraId="7BA4AF76" w14:textId="77777777" w:rsidR="00090145" w:rsidRPr="001B4A02" w:rsidRDefault="00000000" w:rsidP="00090145">
            <w:pPr>
              <w:keepNext/>
              <w:numPr>
                <w:ilvl w:val="0"/>
                <w:numId w:val="243"/>
              </w:numPr>
              <w:ind w:left="203" w:hanging="14"/>
              <w:rPr>
                <w:szCs w:val="22"/>
              </w:rPr>
            </w:pPr>
            <w:r w:rsidRPr="001B4A02">
              <w:rPr>
                <w:szCs w:val="22"/>
              </w:rPr>
              <w:t>160 mg v týdnu 0</w:t>
            </w:r>
            <w:r w:rsidR="002378E0">
              <w:rPr>
                <w:szCs w:val="22"/>
              </w:rPr>
              <w:t xml:space="preserve"> a </w:t>
            </w:r>
            <w:r w:rsidRPr="001B4A02">
              <w:rPr>
                <w:szCs w:val="22"/>
              </w:rPr>
              <w:t>80 mg v týdnu 2</w:t>
            </w:r>
          </w:p>
        </w:tc>
        <w:tc>
          <w:tcPr>
            <w:tcW w:w="1091" w:type="pct"/>
            <w:tcBorders>
              <w:top w:val="single" w:sz="6" w:space="0" w:color="000000"/>
              <w:left w:val="single" w:sz="6" w:space="0" w:color="000000"/>
              <w:bottom w:val="single" w:sz="6" w:space="0" w:color="000000"/>
              <w:right w:val="single" w:sz="6" w:space="0" w:color="000000"/>
            </w:tcBorders>
            <w:hideMark/>
          </w:tcPr>
          <w:p w14:paraId="77EC4F41" w14:textId="77777777" w:rsidR="00090145" w:rsidRPr="001B4A02" w:rsidRDefault="00000000" w:rsidP="00253ABE">
            <w:pPr>
              <w:keepNext/>
              <w:ind w:left="0" w:firstLine="0"/>
              <w:jc w:val="center"/>
            </w:pPr>
            <w:r w:rsidRPr="001B4A02">
              <w:t xml:space="preserve">40 mg jednou </w:t>
            </w:r>
          </w:p>
          <w:p w14:paraId="3FA96786" w14:textId="77777777" w:rsidR="00090145" w:rsidRPr="001B4A02" w:rsidRDefault="00000000" w:rsidP="00253ABE">
            <w:pPr>
              <w:keepNext/>
              <w:ind w:left="0" w:firstLine="0"/>
              <w:jc w:val="center"/>
            </w:pPr>
            <w:r w:rsidRPr="001B4A02">
              <w:t>za dva týdny</w:t>
            </w:r>
          </w:p>
        </w:tc>
      </w:tr>
    </w:tbl>
    <w:p w14:paraId="40FF0366" w14:textId="77777777" w:rsidR="00090145" w:rsidRPr="001B4A02" w:rsidRDefault="00090145" w:rsidP="00090145">
      <w:pPr>
        <w:ind w:left="0" w:firstLine="0"/>
      </w:pPr>
    </w:p>
    <w:p w14:paraId="1232486F" w14:textId="77777777" w:rsidR="00090145" w:rsidRPr="001B4A02" w:rsidRDefault="00000000" w:rsidP="00090145">
      <w:pPr>
        <w:pStyle w:val="EMEANormal"/>
        <w:tabs>
          <w:tab w:val="clear" w:pos="562"/>
          <w:tab w:val="left" w:pos="708"/>
        </w:tabs>
        <w:suppressAutoHyphens w:val="0"/>
        <w:rPr>
          <w:lang w:val="cs-CZ"/>
        </w:rPr>
      </w:pPr>
      <w:r w:rsidRPr="001B4A02">
        <w:rPr>
          <w:lang w:val="cs-CZ"/>
        </w:rPr>
        <w:t>Pacienti s nedostatečnou odpovědí mohou mít přínos ze zvýšení dávkování:</w:t>
      </w:r>
    </w:p>
    <w:p w14:paraId="2E117EC7" w14:textId="77777777" w:rsidR="00090145" w:rsidRPr="001B4A02" w:rsidRDefault="00000000" w:rsidP="00090145">
      <w:pPr>
        <w:keepNext/>
        <w:numPr>
          <w:ilvl w:val="0"/>
          <w:numId w:val="246"/>
        </w:numPr>
        <w:tabs>
          <w:tab w:val="left" w:pos="540"/>
        </w:tabs>
        <w:suppressAutoHyphens/>
      </w:pPr>
      <w:r w:rsidRPr="001B4A02">
        <w:t>&lt; 40</w:t>
      </w:r>
      <w:r w:rsidR="002767FC">
        <w:t> kg</w:t>
      </w:r>
      <w:r w:rsidRPr="001B4A02">
        <w:t>: 20 mg týdně</w:t>
      </w:r>
    </w:p>
    <w:p w14:paraId="70395176" w14:textId="77777777" w:rsidR="00090145" w:rsidRPr="001B4A02" w:rsidRDefault="00000000" w:rsidP="00A03600">
      <w:pPr>
        <w:numPr>
          <w:ilvl w:val="0"/>
          <w:numId w:val="246"/>
        </w:numPr>
        <w:tabs>
          <w:tab w:val="left" w:pos="540"/>
        </w:tabs>
        <w:suppressAutoHyphens/>
        <w:ind w:left="714" w:hanging="357"/>
      </w:pPr>
      <w:r w:rsidRPr="001B4A02">
        <w:t>≥ 40</w:t>
      </w:r>
      <w:r w:rsidR="002767FC">
        <w:t> kg</w:t>
      </w:r>
      <w:r w:rsidRPr="001B4A02">
        <w:t>: 40</w:t>
      </w:r>
      <w:r w:rsidR="00F365E7">
        <w:t> mg</w:t>
      </w:r>
      <w:r w:rsidRPr="001B4A02">
        <w:t xml:space="preserve"> týdně</w:t>
      </w:r>
      <w:r w:rsidR="00551DE7" w:rsidRPr="001B4A02">
        <w:t xml:space="preserve"> nebo 80</w:t>
      </w:r>
      <w:r w:rsidR="00F365E7">
        <w:t> mg</w:t>
      </w:r>
      <w:r w:rsidR="00551DE7" w:rsidRPr="001B4A02">
        <w:t xml:space="preserve"> jednou za dva týdny</w:t>
      </w:r>
    </w:p>
    <w:p w14:paraId="61F70C68" w14:textId="77777777" w:rsidR="00ED3511" w:rsidRPr="001B4A02" w:rsidRDefault="00ED3511" w:rsidP="00ED48A3">
      <w:pPr>
        <w:pStyle w:val="EMEANormal"/>
        <w:tabs>
          <w:tab w:val="clear" w:pos="562"/>
          <w:tab w:val="left" w:pos="708"/>
        </w:tabs>
        <w:suppressAutoHyphens w:val="0"/>
        <w:rPr>
          <w:lang w:val="cs-CZ"/>
        </w:rPr>
      </w:pPr>
    </w:p>
    <w:p w14:paraId="5DA3EB63" w14:textId="77777777" w:rsidR="00ED3511" w:rsidRPr="001B4A02" w:rsidRDefault="00000000" w:rsidP="00ED48A3">
      <w:pPr>
        <w:pStyle w:val="EMEANormal"/>
        <w:tabs>
          <w:tab w:val="clear" w:pos="562"/>
          <w:tab w:val="left" w:pos="708"/>
        </w:tabs>
        <w:suppressAutoHyphens w:val="0"/>
        <w:rPr>
          <w:lang w:val="cs-CZ"/>
        </w:rPr>
      </w:pPr>
      <w:r w:rsidRPr="001B4A02">
        <w:rPr>
          <w:lang w:val="cs-CZ"/>
        </w:rPr>
        <w:t>Pokračování v léčbě je třeba pečlivě zvážit u</w:t>
      </w:r>
      <w:r w:rsidR="00255A0A" w:rsidRPr="001B4A02">
        <w:rPr>
          <w:lang w:val="cs-CZ"/>
        </w:rPr>
        <w:t> </w:t>
      </w:r>
      <w:r w:rsidRPr="001B4A02">
        <w:rPr>
          <w:lang w:val="cs-CZ"/>
        </w:rPr>
        <w:t>pacientů, u</w:t>
      </w:r>
      <w:r w:rsidR="00255A0A" w:rsidRPr="001B4A02">
        <w:rPr>
          <w:lang w:val="cs-CZ"/>
        </w:rPr>
        <w:t> </w:t>
      </w:r>
      <w:r w:rsidRPr="001B4A02">
        <w:rPr>
          <w:lang w:val="cs-CZ"/>
        </w:rPr>
        <w:t xml:space="preserve">nichž se nerozvine odpověď na léčbu do 12. týdne. </w:t>
      </w:r>
    </w:p>
    <w:p w14:paraId="748A2D99" w14:textId="77777777" w:rsidR="00ED3511" w:rsidRPr="001B4A02" w:rsidRDefault="00ED3511" w:rsidP="00ED48A3">
      <w:pPr>
        <w:pStyle w:val="EMEANormal"/>
        <w:tabs>
          <w:tab w:val="clear" w:pos="562"/>
          <w:tab w:val="left" w:pos="708"/>
        </w:tabs>
        <w:suppressAutoHyphens w:val="0"/>
        <w:rPr>
          <w:lang w:val="cs-CZ"/>
        </w:rPr>
      </w:pPr>
    </w:p>
    <w:p w14:paraId="7404315A" w14:textId="77777777" w:rsidR="000A2071" w:rsidRPr="001B4A02" w:rsidRDefault="00000000" w:rsidP="00ED48A3">
      <w:pPr>
        <w:rPr>
          <w:color w:val="000000"/>
        </w:rPr>
      </w:pPr>
      <w:r w:rsidRPr="001B4A02">
        <w:rPr>
          <w:color w:val="000000"/>
        </w:rPr>
        <w:t>Použití přípravku Humira u</w:t>
      </w:r>
      <w:r w:rsidR="00255A0A" w:rsidRPr="001B4A02">
        <w:rPr>
          <w:color w:val="000000"/>
        </w:rPr>
        <w:t> </w:t>
      </w:r>
      <w:r w:rsidRPr="001B4A02">
        <w:rPr>
          <w:color w:val="000000"/>
        </w:rPr>
        <w:t>dětí mladších než 6 let není v této indikaci relevantní.</w:t>
      </w:r>
    </w:p>
    <w:p w14:paraId="5FE643C0" w14:textId="77777777" w:rsidR="003121CF" w:rsidRPr="001B4A02" w:rsidRDefault="003121CF" w:rsidP="00ED48A3">
      <w:pPr>
        <w:rPr>
          <w:color w:val="000000"/>
        </w:rPr>
      </w:pPr>
    </w:p>
    <w:p w14:paraId="1FC218E9" w14:textId="77777777" w:rsidR="00551DE7" w:rsidRPr="001B4A02" w:rsidRDefault="00000000" w:rsidP="00551DE7">
      <w:pPr>
        <w:ind w:left="0" w:firstLine="0"/>
      </w:pPr>
      <w:r w:rsidRPr="001B4A02">
        <w:t xml:space="preserve">Přípravek Humira je k dispozici v dalších silách a/nebo </w:t>
      </w:r>
      <w:r w:rsidR="00A43DB3">
        <w:t>typech balení</w:t>
      </w:r>
      <w:r w:rsidRPr="001B4A02">
        <w:t xml:space="preserve"> v závislosti na individuálních potřebách léčby.</w:t>
      </w:r>
    </w:p>
    <w:p w14:paraId="7442554B" w14:textId="77777777" w:rsidR="00551DE7" w:rsidRPr="001B4A02" w:rsidRDefault="00551DE7" w:rsidP="00ED48A3">
      <w:pPr>
        <w:rPr>
          <w:color w:val="000000"/>
        </w:rPr>
      </w:pPr>
    </w:p>
    <w:p w14:paraId="2FCF165C" w14:textId="77777777" w:rsidR="00323325" w:rsidRPr="00A05542" w:rsidRDefault="00000000" w:rsidP="003B0274">
      <w:pPr>
        <w:keepNext/>
        <w:ind w:left="0" w:firstLine="0"/>
        <w:rPr>
          <w:i/>
        </w:rPr>
      </w:pPr>
      <w:r w:rsidRPr="00A05542">
        <w:rPr>
          <w:i/>
        </w:rPr>
        <w:t>Ulcerózní kolitida u </w:t>
      </w:r>
      <w:r w:rsidR="00771305" w:rsidRPr="00A05542">
        <w:rPr>
          <w:i/>
        </w:rPr>
        <w:t>pediatrických pacientů</w:t>
      </w:r>
    </w:p>
    <w:p w14:paraId="3699817E" w14:textId="77777777" w:rsidR="00323325" w:rsidRDefault="00323325" w:rsidP="003B0274">
      <w:pPr>
        <w:keepNext/>
        <w:ind w:left="0" w:firstLine="0"/>
      </w:pPr>
    </w:p>
    <w:p w14:paraId="3A098FD9" w14:textId="77777777" w:rsidR="00323325" w:rsidRPr="00D01607" w:rsidRDefault="00000000" w:rsidP="001D2137">
      <w:pPr>
        <w:ind w:left="0" w:firstLine="0"/>
      </w:pPr>
      <w:r>
        <w:t xml:space="preserve">Doporučená dávka přípravku Humira u pacientů ve věku 6 až 17 let s ulcerózní kolitidou vychází z tělesné hmotnosti (tabulka </w:t>
      </w:r>
      <w:r w:rsidR="00910F04">
        <w:t>5</w:t>
      </w:r>
      <w:r>
        <w:t>). Přípravek Humira se podává subkutánní injekcí.</w:t>
      </w:r>
    </w:p>
    <w:p w14:paraId="1BE03FD7" w14:textId="77777777" w:rsidR="00323325" w:rsidRPr="00D01607" w:rsidRDefault="00323325" w:rsidP="001D2137">
      <w:pPr>
        <w:ind w:left="0" w:firstLine="0"/>
      </w:pPr>
    </w:p>
    <w:p w14:paraId="04FDE3F1" w14:textId="77777777" w:rsidR="00323325" w:rsidRPr="00D01607" w:rsidRDefault="00000000" w:rsidP="00323325">
      <w:pPr>
        <w:keepNext/>
        <w:jc w:val="center"/>
      </w:pPr>
      <w:r>
        <w:rPr>
          <w:b/>
        </w:rPr>
        <w:t xml:space="preserve">Tabulka </w:t>
      </w:r>
      <w:r w:rsidR="00910F04">
        <w:rPr>
          <w:b/>
        </w:rPr>
        <w:t>5</w:t>
      </w:r>
      <w:r>
        <w:rPr>
          <w:b/>
        </w:rPr>
        <w:t>. Dávka přípravku Humira u pediatrických pacientů s ulcerózní kolitidou</w:t>
      </w:r>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2"/>
        <w:gridCol w:w="5527"/>
        <w:gridCol w:w="1976"/>
      </w:tblGrid>
      <w:tr w:rsidR="00534A2D" w14:paraId="47D7AD95" w14:textId="77777777" w:rsidTr="00DC6AFE">
        <w:trPr>
          <w:jc w:val="center"/>
        </w:trPr>
        <w:tc>
          <w:tcPr>
            <w:tcW w:w="857" w:type="pct"/>
            <w:tcBorders>
              <w:top w:val="single" w:sz="6" w:space="0" w:color="000000"/>
              <w:left w:val="single" w:sz="6" w:space="0" w:color="000000"/>
              <w:bottom w:val="single" w:sz="6" w:space="0" w:color="000000"/>
              <w:right w:val="single" w:sz="6" w:space="0" w:color="000000"/>
            </w:tcBorders>
            <w:vAlign w:val="center"/>
            <w:hideMark/>
          </w:tcPr>
          <w:p w14:paraId="1B1E36F2" w14:textId="77777777" w:rsidR="00323325" w:rsidRPr="00D01607" w:rsidRDefault="00000000" w:rsidP="003B0274">
            <w:pPr>
              <w:ind w:left="0" w:firstLine="0"/>
              <w:jc w:val="center"/>
              <w:rPr>
                <w:b/>
              </w:rPr>
            </w:pPr>
            <w:r>
              <w:rPr>
                <w:b/>
              </w:rPr>
              <w:t>Hmotnost pacienta</w:t>
            </w:r>
          </w:p>
        </w:tc>
        <w:tc>
          <w:tcPr>
            <w:tcW w:w="3052" w:type="pct"/>
            <w:tcBorders>
              <w:top w:val="single" w:sz="6" w:space="0" w:color="000000"/>
              <w:left w:val="single" w:sz="6" w:space="0" w:color="000000"/>
              <w:bottom w:val="single" w:sz="6" w:space="0" w:color="000000"/>
              <w:right w:val="single" w:sz="6" w:space="0" w:color="000000"/>
            </w:tcBorders>
            <w:vAlign w:val="center"/>
            <w:hideMark/>
          </w:tcPr>
          <w:p w14:paraId="712EA3B3" w14:textId="77777777" w:rsidR="00323325" w:rsidRPr="00D01607" w:rsidRDefault="00000000" w:rsidP="003B0274">
            <w:pPr>
              <w:ind w:left="0" w:firstLine="0"/>
              <w:jc w:val="center"/>
              <w:rPr>
                <w:b/>
              </w:rPr>
            </w:pPr>
            <w:r>
              <w:rPr>
                <w:b/>
              </w:rPr>
              <w:t>Indukční dávka</w:t>
            </w:r>
          </w:p>
        </w:tc>
        <w:tc>
          <w:tcPr>
            <w:tcW w:w="1091" w:type="pct"/>
            <w:tcBorders>
              <w:top w:val="single" w:sz="6" w:space="0" w:color="000000"/>
              <w:left w:val="single" w:sz="6" w:space="0" w:color="000000"/>
              <w:bottom w:val="single" w:sz="6" w:space="0" w:color="000000"/>
              <w:right w:val="single" w:sz="6" w:space="0" w:color="000000"/>
            </w:tcBorders>
            <w:hideMark/>
          </w:tcPr>
          <w:p w14:paraId="254AF64D" w14:textId="77777777" w:rsidR="00323325" w:rsidRPr="00D01607" w:rsidRDefault="00000000" w:rsidP="003B0274">
            <w:pPr>
              <w:ind w:left="0" w:firstLine="0"/>
              <w:jc w:val="center"/>
              <w:rPr>
                <w:b/>
              </w:rPr>
            </w:pPr>
            <w:r>
              <w:rPr>
                <w:b/>
              </w:rPr>
              <w:t>Udržovací dávka</w:t>
            </w:r>
            <w:r>
              <w:rPr>
                <w:b/>
              </w:rPr>
              <w:br/>
            </w:r>
            <w:r w:rsidR="00A96BEC">
              <w:rPr>
                <w:b/>
              </w:rPr>
              <w:t>od týdne 4</w:t>
            </w:r>
            <w:r>
              <w:rPr>
                <w:b/>
              </w:rPr>
              <w:t>*</w:t>
            </w:r>
          </w:p>
        </w:tc>
      </w:tr>
      <w:tr w:rsidR="00534A2D" w14:paraId="01F491D5" w14:textId="77777777" w:rsidTr="00DC6AFE">
        <w:trPr>
          <w:jc w:val="center"/>
        </w:trPr>
        <w:tc>
          <w:tcPr>
            <w:tcW w:w="857" w:type="pct"/>
            <w:tcBorders>
              <w:top w:val="single" w:sz="6" w:space="0" w:color="000000"/>
              <w:left w:val="single" w:sz="6" w:space="0" w:color="000000"/>
              <w:bottom w:val="single" w:sz="6" w:space="0" w:color="000000"/>
              <w:right w:val="single" w:sz="6" w:space="0" w:color="000000"/>
            </w:tcBorders>
            <w:hideMark/>
          </w:tcPr>
          <w:p w14:paraId="382AFD27" w14:textId="77777777" w:rsidR="00323325" w:rsidRPr="00D01607" w:rsidRDefault="00000000" w:rsidP="00E571F5">
            <w:pPr>
              <w:jc w:val="center"/>
            </w:pPr>
            <w:r>
              <w:t>&lt; 40</w:t>
            </w:r>
            <w:r w:rsidR="002767FC">
              <w:rPr>
                <w:szCs w:val="22"/>
              </w:rPr>
              <w:t> kg</w:t>
            </w:r>
          </w:p>
        </w:tc>
        <w:tc>
          <w:tcPr>
            <w:tcW w:w="3052" w:type="pct"/>
            <w:tcBorders>
              <w:top w:val="single" w:sz="6" w:space="0" w:color="000000"/>
              <w:left w:val="single" w:sz="6" w:space="0" w:color="000000"/>
              <w:bottom w:val="single" w:sz="6" w:space="0" w:color="000000"/>
              <w:right w:val="single" w:sz="6" w:space="0" w:color="000000"/>
            </w:tcBorders>
            <w:hideMark/>
          </w:tcPr>
          <w:p w14:paraId="643E9AB5" w14:textId="77777777" w:rsidR="00323325" w:rsidRPr="00D01607" w:rsidRDefault="00000000" w:rsidP="00323325">
            <w:pPr>
              <w:numPr>
                <w:ilvl w:val="0"/>
                <w:numId w:val="272"/>
              </w:numPr>
              <w:ind w:left="360" w:hanging="210"/>
            </w:pPr>
            <w:r>
              <w:t>80</w:t>
            </w:r>
            <w:r w:rsidR="00F365E7" w:rsidRPr="00005EC2">
              <w:rPr>
                <w:szCs w:val="22"/>
              </w:rPr>
              <w:t> </w:t>
            </w:r>
            <w:r>
              <w:t>mg v</w:t>
            </w:r>
            <w:r w:rsidR="00CA4765">
              <w:t> </w:t>
            </w:r>
            <w:r w:rsidR="00BC5CBC" w:rsidRPr="00BC5CBC">
              <w:t>týdnu 0</w:t>
            </w:r>
            <w:r>
              <w:t xml:space="preserve"> (podáváno jako jedna injekce 80</w:t>
            </w:r>
            <w:r w:rsidR="00F365E7" w:rsidRPr="00005EC2">
              <w:rPr>
                <w:szCs w:val="22"/>
              </w:rPr>
              <w:t> </w:t>
            </w:r>
            <w:r>
              <w:t>mg)</w:t>
            </w:r>
            <w:r w:rsidR="002378E0">
              <w:t xml:space="preserve"> a </w:t>
            </w:r>
          </w:p>
          <w:p w14:paraId="50C1EDEA" w14:textId="77777777" w:rsidR="00323325" w:rsidRPr="00D01607" w:rsidRDefault="00000000" w:rsidP="00645A20">
            <w:pPr>
              <w:numPr>
                <w:ilvl w:val="0"/>
                <w:numId w:val="272"/>
              </w:numPr>
              <w:ind w:left="360" w:hanging="210"/>
            </w:pPr>
            <w:r>
              <w:t>40</w:t>
            </w:r>
            <w:r w:rsidR="00F365E7" w:rsidRPr="00005EC2">
              <w:rPr>
                <w:szCs w:val="22"/>
              </w:rPr>
              <w:t> </w:t>
            </w:r>
            <w:r>
              <w:t>mg v</w:t>
            </w:r>
            <w:r w:rsidR="00CA4765">
              <w:t> </w:t>
            </w:r>
            <w:r>
              <w:t>týdnu</w:t>
            </w:r>
            <w:r w:rsidR="00645A20">
              <w:t xml:space="preserve"> 2</w:t>
            </w:r>
            <w:r>
              <w:t xml:space="preserve"> (podáváno jako jedna injekce 40</w:t>
            </w:r>
            <w:r w:rsidR="00F365E7" w:rsidRPr="00005EC2">
              <w:rPr>
                <w:szCs w:val="22"/>
              </w:rPr>
              <w:t> </w:t>
            </w:r>
            <w:r>
              <w:t>mg)</w:t>
            </w:r>
          </w:p>
        </w:tc>
        <w:tc>
          <w:tcPr>
            <w:tcW w:w="1091" w:type="pct"/>
            <w:tcBorders>
              <w:top w:val="single" w:sz="6" w:space="0" w:color="000000"/>
              <w:left w:val="single" w:sz="6" w:space="0" w:color="000000"/>
              <w:bottom w:val="single" w:sz="6" w:space="0" w:color="000000"/>
              <w:right w:val="single" w:sz="6" w:space="0" w:color="000000"/>
            </w:tcBorders>
            <w:hideMark/>
          </w:tcPr>
          <w:p w14:paraId="3AD113E2" w14:textId="77777777" w:rsidR="00323325" w:rsidRPr="00D01607" w:rsidRDefault="00000000" w:rsidP="00323325">
            <w:pPr>
              <w:numPr>
                <w:ilvl w:val="0"/>
                <w:numId w:val="272"/>
              </w:numPr>
              <w:ind w:left="360" w:hanging="210"/>
            </w:pPr>
            <w:r>
              <w:t>40</w:t>
            </w:r>
            <w:r w:rsidR="00F365E7" w:rsidRPr="00005EC2">
              <w:rPr>
                <w:szCs w:val="22"/>
              </w:rPr>
              <w:t> </w:t>
            </w:r>
            <w:r>
              <w:t>mg jednou za dva týdny</w:t>
            </w:r>
          </w:p>
        </w:tc>
      </w:tr>
      <w:tr w:rsidR="00534A2D" w14:paraId="4AE355ED" w14:textId="77777777" w:rsidTr="00DC6AFE">
        <w:trPr>
          <w:jc w:val="center"/>
        </w:trPr>
        <w:tc>
          <w:tcPr>
            <w:tcW w:w="857" w:type="pct"/>
            <w:tcBorders>
              <w:top w:val="single" w:sz="6" w:space="0" w:color="000000"/>
              <w:left w:val="single" w:sz="6" w:space="0" w:color="000000"/>
              <w:bottom w:val="single" w:sz="4" w:space="0" w:color="auto"/>
              <w:right w:val="single" w:sz="6" w:space="0" w:color="000000"/>
            </w:tcBorders>
            <w:hideMark/>
          </w:tcPr>
          <w:p w14:paraId="1E8B4BDB" w14:textId="77777777" w:rsidR="00323325" w:rsidRPr="00D01607" w:rsidRDefault="00000000" w:rsidP="00E571F5">
            <w:pPr>
              <w:jc w:val="center"/>
            </w:pPr>
            <w:r>
              <w:t>≥ 40</w:t>
            </w:r>
            <w:r w:rsidR="002767FC">
              <w:rPr>
                <w:szCs w:val="22"/>
              </w:rPr>
              <w:t> kg</w:t>
            </w:r>
          </w:p>
        </w:tc>
        <w:tc>
          <w:tcPr>
            <w:tcW w:w="3052" w:type="pct"/>
            <w:tcBorders>
              <w:top w:val="single" w:sz="6" w:space="0" w:color="000000"/>
              <w:left w:val="single" w:sz="6" w:space="0" w:color="000000"/>
              <w:bottom w:val="single" w:sz="4" w:space="0" w:color="auto"/>
              <w:right w:val="single" w:sz="6" w:space="0" w:color="000000"/>
            </w:tcBorders>
            <w:hideMark/>
          </w:tcPr>
          <w:p w14:paraId="60E9E23B" w14:textId="77777777" w:rsidR="00323325" w:rsidRPr="00D01607" w:rsidRDefault="00000000" w:rsidP="00323325">
            <w:pPr>
              <w:numPr>
                <w:ilvl w:val="0"/>
                <w:numId w:val="273"/>
              </w:numPr>
              <w:ind w:left="360" w:hanging="210"/>
            </w:pPr>
            <w:r>
              <w:t>160</w:t>
            </w:r>
            <w:r w:rsidR="00F365E7" w:rsidRPr="00005EC2">
              <w:rPr>
                <w:szCs w:val="22"/>
              </w:rPr>
              <w:t> </w:t>
            </w:r>
            <w:r>
              <w:t>mg v </w:t>
            </w:r>
            <w:r w:rsidR="00BC5CBC" w:rsidRPr="00BC5CBC">
              <w:t>týdnu 0</w:t>
            </w:r>
            <w:r>
              <w:t xml:space="preserve"> (podáváno jako dvě injekce 80</w:t>
            </w:r>
            <w:r w:rsidR="00F365E7" w:rsidRPr="00005EC2">
              <w:rPr>
                <w:szCs w:val="22"/>
              </w:rPr>
              <w:t> </w:t>
            </w:r>
            <w:r>
              <w:t>mg jednou denně nebo jedna injekce 80</w:t>
            </w:r>
            <w:r w:rsidR="00F365E7" w:rsidRPr="00005EC2">
              <w:rPr>
                <w:szCs w:val="22"/>
              </w:rPr>
              <w:t> </w:t>
            </w:r>
            <w:r>
              <w:t xml:space="preserve">mg denně </w:t>
            </w:r>
            <w:r w:rsidR="00B70F64">
              <w:t xml:space="preserve">ve dvou po sobě </w:t>
            </w:r>
            <w:r w:rsidR="00FE5873">
              <w:t xml:space="preserve">jdoucích </w:t>
            </w:r>
            <w:r w:rsidR="00B70F64">
              <w:t>dnech</w:t>
            </w:r>
            <w:r>
              <w:t>)</w:t>
            </w:r>
            <w:r w:rsidR="002378E0">
              <w:t xml:space="preserve"> a </w:t>
            </w:r>
          </w:p>
          <w:p w14:paraId="0798E1D4" w14:textId="77777777" w:rsidR="00323325" w:rsidRPr="00D01607" w:rsidRDefault="00000000" w:rsidP="00645A20">
            <w:pPr>
              <w:numPr>
                <w:ilvl w:val="0"/>
                <w:numId w:val="273"/>
              </w:numPr>
              <w:ind w:left="360" w:hanging="210"/>
            </w:pPr>
            <w:r>
              <w:t>80</w:t>
            </w:r>
            <w:r w:rsidR="00F365E7" w:rsidRPr="00005EC2">
              <w:rPr>
                <w:szCs w:val="22"/>
              </w:rPr>
              <w:t> </w:t>
            </w:r>
            <w:r>
              <w:t>mg v</w:t>
            </w:r>
            <w:r w:rsidR="00CA4765">
              <w:t> </w:t>
            </w:r>
            <w:r>
              <w:t>týdnu</w:t>
            </w:r>
            <w:r w:rsidR="00645A20">
              <w:t xml:space="preserve"> 2</w:t>
            </w:r>
            <w:r>
              <w:t xml:space="preserve"> (podáváno jako jedna injekce 80</w:t>
            </w:r>
            <w:r w:rsidR="00F365E7" w:rsidRPr="00005EC2">
              <w:rPr>
                <w:szCs w:val="22"/>
              </w:rPr>
              <w:t> </w:t>
            </w:r>
            <w:r>
              <w:t>mg)</w:t>
            </w:r>
          </w:p>
        </w:tc>
        <w:tc>
          <w:tcPr>
            <w:tcW w:w="1091" w:type="pct"/>
            <w:tcBorders>
              <w:top w:val="single" w:sz="6" w:space="0" w:color="000000"/>
              <w:left w:val="single" w:sz="6" w:space="0" w:color="000000"/>
              <w:bottom w:val="single" w:sz="4" w:space="0" w:color="auto"/>
              <w:right w:val="single" w:sz="6" w:space="0" w:color="000000"/>
            </w:tcBorders>
            <w:hideMark/>
          </w:tcPr>
          <w:p w14:paraId="0F1C472E" w14:textId="77777777" w:rsidR="00323325" w:rsidRPr="00D01607" w:rsidRDefault="00000000" w:rsidP="00323325">
            <w:pPr>
              <w:numPr>
                <w:ilvl w:val="0"/>
                <w:numId w:val="272"/>
              </w:numPr>
              <w:ind w:left="360" w:hanging="210"/>
            </w:pPr>
            <w:r>
              <w:t>80</w:t>
            </w:r>
            <w:r w:rsidR="00F365E7" w:rsidRPr="00005EC2">
              <w:rPr>
                <w:szCs w:val="22"/>
              </w:rPr>
              <w:t> </w:t>
            </w:r>
            <w:r>
              <w:t>mg jednou za dva týdny</w:t>
            </w:r>
          </w:p>
        </w:tc>
      </w:tr>
      <w:tr w:rsidR="00534A2D" w14:paraId="34B8A6EA" w14:textId="77777777" w:rsidTr="00DC6AFE">
        <w:trPr>
          <w:jc w:val="center"/>
        </w:trPr>
        <w:tc>
          <w:tcPr>
            <w:tcW w:w="5000" w:type="pct"/>
            <w:gridSpan w:val="3"/>
            <w:tcBorders>
              <w:top w:val="single" w:sz="4" w:space="0" w:color="auto"/>
              <w:left w:val="nil"/>
              <w:bottom w:val="nil"/>
              <w:right w:val="nil"/>
            </w:tcBorders>
          </w:tcPr>
          <w:p w14:paraId="0E643101" w14:textId="77777777" w:rsidR="00323325" w:rsidRPr="00D01607" w:rsidRDefault="00000000" w:rsidP="00A05542">
            <w:pPr>
              <w:ind w:left="0" w:firstLine="0"/>
            </w:pPr>
            <w:r>
              <w:rPr>
                <w:vertAlign w:val="superscript"/>
              </w:rPr>
              <w:t>*</w:t>
            </w:r>
            <w:r>
              <w:t xml:space="preserve"> Pediatričtí pacienti, </w:t>
            </w:r>
            <w:r w:rsidR="00D423FA">
              <w:t>kteří dosáhnou</w:t>
            </w:r>
            <w:r w:rsidR="00C86311">
              <w:t xml:space="preserve"> během</w:t>
            </w:r>
            <w:r>
              <w:t xml:space="preserve"> léčby přípravkem Humira 18 let, by měli nadále </w:t>
            </w:r>
            <w:r w:rsidR="006B77BF">
              <w:t>po</w:t>
            </w:r>
            <w:r>
              <w:t>užívat předepsanou udržovací dávku.</w:t>
            </w:r>
          </w:p>
        </w:tc>
      </w:tr>
    </w:tbl>
    <w:p w14:paraId="2AE837A6" w14:textId="77777777" w:rsidR="00323325" w:rsidRPr="001D2137" w:rsidRDefault="00323325" w:rsidP="00323325">
      <w:pPr>
        <w:pStyle w:val="gtctablespaceafter"/>
        <w:numPr>
          <w:ilvl w:val="0"/>
          <w:numId w:val="274"/>
        </w:numPr>
        <w:spacing w:after="0"/>
        <w:rPr>
          <w:sz w:val="22"/>
          <w:szCs w:val="22"/>
          <w:lang w:val="cs-CZ"/>
        </w:rPr>
      </w:pPr>
    </w:p>
    <w:p w14:paraId="29ABB093" w14:textId="77777777" w:rsidR="00323325" w:rsidRPr="00D01607" w:rsidRDefault="00000000" w:rsidP="001D2137">
      <w:pPr>
        <w:ind w:left="0" w:firstLine="0"/>
      </w:pPr>
      <w:r>
        <w:t xml:space="preserve">U pacientů, u kterých se během této doby neobjeví známky odpovědi, je třeba pečlivě zvážit pokračování léčby nad rámec </w:t>
      </w:r>
      <w:r w:rsidR="00DA3B29">
        <w:t xml:space="preserve">8 </w:t>
      </w:r>
      <w:r>
        <w:t>týdnů.</w:t>
      </w:r>
    </w:p>
    <w:p w14:paraId="3AA1C601" w14:textId="77777777" w:rsidR="00323325" w:rsidRDefault="00323325" w:rsidP="001D2137">
      <w:pPr>
        <w:ind w:left="0" w:firstLine="0"/>
      </w:pPr>
    </w:p>
    <w:p w14:paraId="6B35DC98" w14:textId="77777777" w:rsidR="00323325" w:rsidRPr="00D01607" w:rsidRDefault="00000000" w:rsidP="001D2137">
      <w:pPr>
        <w:ind w:left="0" w:firstLine="0"/>
      </w:pPr>
      <w:r>
        <w:t>Použití přípravku Humira u</w:t>
      </w:r>
      <w:r w:rsidR="00CA4765">
        <w:t> </w:t>
      </w:r>
      <w:r>
        <w:t>dětí mladších než 6 let není v</w:t>
      </w:r>
      <w:r w:rsidR="00CA4765">
        <w:t> </w:t>
      </w:r>
      <w:r>
        <w:t>této indikaci relevantní.</w:t>
      </w:r>
    </w:p>
    <w:p w14:paraId="0C5C90F5" w14:textId="77777777" w:rsidR="00323325" w:rsidRDefault="00323325" w:rsidP="001D2137">
      <w:pPr>
        <w:ind w:left="0" w:firstLine="0"/>
      </w:pPr>
    </w:p>
    <w:p w14:paraId="5631C378" w14:textId="77777777" w:rsidR="00323325" w:rsidRPr="00D01607" w:rsidRDefault="00000000" w:rsidP="001D2137">
      <w:pPr>
        <w:ind w:left="0" w:firstLine="0"/>
      </w:pPr>
      <w:r>
        <w:t>Přípravek Humira je k dispozici v dalších silách a/nebo typech balení v závislosti na individuálních potřebách léčby.</w:t>
      </w:r>
    </w:p>
    <w:p w14:paraId="4E24C2D6" w14:textId="77777777" w:rsidR="00323325" w:rsidRDefault="00323325" w:rsidP="00323325">
      <w:pPr>
        <w:rPr>
          <w:rStyle w:val="normaltextrun"/>
          <w:shd w:val="clear" w:color="auto" w:fill="FFFFFF"/>
        </w:rPr>
      </w:pPr>
    </w:p>
    <w:p w14:paraId="73536953" w14:textId="77777777" w:rsidR="00D427E8" w:rsidRPr="001B4A02" w:rsidRDefault="00000000" w:rsidP="00D427E8">
      <w:pPr>
        <w:keepNext/>
        <w:rPr>
          <w:i/>
          <w:color w:val="000000"/>
          <w:u w:val="single"/>
        </w:rPr>
      </w:pPr>
      <w:r w:rsidRPr="001B4A02">
        <w:rPr>
          <w:i/>
          <w:color w:val="000000"/>
          <w:u w:val="single"/>
        </w:rPr>
        <w:t>Uveitida u pediatrických pacientů</w:t>
      </w:r>
    </w:p>
    <w:p w14:paraId="61FC9055" w14:textId="77777777" w:rsidR="00D427E8" w:rsidRPr="001B4A02" w:rsidRDefault="00D427E8" w:rsidP="00D427E8">
      <w:pPr>
        <w:keepNext/>
        <w:rPr>
          <w:color w:val="000000"/>
        </w:rPr>
      </w:pPr>
    </w:p>
    <w:p w14:paraId="3139FE66" w14:textId="77777777" w:rsidR="00090145" w:rsidRPr="001B4A02" w:rsidRDefault="00000000" w:rsidP="00090145">
      <w:pPr>
        <w:ind w:left="0" w:firstLine="0"/>
      </w:pPr>
      <w:r w:rsidRPr="001B4A02">
        <w:rPr>
          <w:szCs w:val="22"/>
        </w:rPr>
        <w:t>Doporučená dávka přípravku Humira u</w:t>
      </w:r>
      <w:r w:rsidR="00D15A04" w:rsidRPr="001B4A02">
        <w:rPr>
          <w:szCs w:val="22"/>
        </w:rPr>
        <w:t> </w:t>
      </w:r>
      <w:r w:rsidRPr="001B4A02">
        <w:rPr>
          <w:szCs w:val="22"/>
        </w:rPr>
        <w:t xml:space="preserve">pediatrických pacientů s uveitidou od 2 let vychází z tělesné hmotnosti (tabulka </w:t>
      </w:r>
      <w:r w:rsidR="00F9716C">
        <w:rPr>
          <w:szCs w:val="22"/>
        </w:rPr>
        <w:t>6</w:t>
      </w:r>
      <w:r w:rsidRPr="001B4A02">
        <w:rPr>
          <w:szCs w:val="22"/>
        </w:rPr>
        <w:t xml:space="preserve">). </w:t>
      </w:r>
      <w:r w:rsidR="0024278A" w:rsidRPr="001B4A02">
        <w:t xml:space="preserve">Přípravek </w:t>
      </w:r>
      <w:r w:rsidRPr="001B4A02">
        <w:t xml:space="preserve">Humira se podává subkutánní injekcí. </w:t>
      </w:r>
    </w:p>
    <w:p w14:paraId="18E149A7" w14:textId="77777777" w:rsidR="00090145" w:rsidRPr="001B4A02" w:rsidRDefault="00090145" w:rsidP="00ED48A3">
      <w:pPr>
        <w:pStyle w:val="EMEANormal"/>
        <w:rPr>
          <w:szCs w:val="22"/>
          <w:bdr w:val="nil"/>
          <w:lang w:val="cs-CZ"/>
        </w:rPr>
      </w:pPr>
    </w:p>
    <w:p w14:paraId="15D340CC" w14:textId="77777777" w:rsidR="009B0C0F" w:rsidRPr="001B4A02" w:rsidRDefault="00000000" w:rsidP="00ED48A3">
      <w:pPr>
        <w:pStyle w:val="EMEANormal"/>
        <w:rPr>
          <w:szCs w:val="22"/>
          <w:bdr w:val="nil"/>
          <w:lang w:val="cs-CZ"/>
        </w:rPr>
      </w:pPr>
      <w:r w:rsidRPr="001B4A02">
        <w:rPr>
          <w:szCs w:val="22"/>
          <w:lang w:val="cs-CZ"/>
        </w:rPr>
        <w:t xml:space="preserve">U pediatrických pacientů </w:t>
      </w:r>
      <w:r w:rsidR="008B623D" w:rsidRPr="001B4A02">
        <w:rPr>
          <w:szCs w:val="22"/>
          <w:lang w:val="cs-CZ"/>
        </w:rPr>
        <w:t xml:space="preserve">s uveitidou </w:t>
      </w:r>
      <w:r w:rsidRPr="001B4A02">
        <w:rPr>
          <w:szCs w:val="22"/>
          <w:lang w:val="cs-CZ"/>
        </w:rPr>
        <w:t>nejsou k</w:t>
      </w:r>
      <w:r w:rsidR="00214AE3" w:rsidRPr="001B4A02">
        <w:rPr>
          <w:szCs w:val="22"/>
          <w:lang w:val="cs-CZ"/>
        </w:rPr>
        <w:t> </w:t>
      </w:r>
      <w:r w:rsidRPr="001B4A02">
        <w:rPr>
          <w:szCs w:val="22"/>
          <w:lang w:val="cs-CZ"/>
        </w:rPr>
        <w:t>dispozici žádné zkušenosti s</w:t>
      </w:r>
      <w:r w:rsidR="00214AE3" w:rsidRPr="001B4A02">
        <w:rPr>
          <w:szCs w:val="22"/>
          <w:lang w:val="cs-CZ"/>
        </w:rPr>
        <w:t> </w:t>
      </w:r>
      <w:r w:rsidRPr="001B4A02">
        <w:rPr>
          <w:szCs w:val="22"/>
          <w:lang w:val="cs-CZ"/>
        </w:rPr>
        <w:t>léčbou přípravkem Humira bez současné léčby methotrexátem.</w:t>
      </w:r>
    </w:p>
    <w:p w14:paraId="64697D44" w14:textId="77777777" w:rsidR="00090145" w:rsidRPr="001B4A02" w:rsidRDefault="00090145" w:rsidP="00ED48A3">
      <w:pPr>
        <w:pStyle w:val="EMEANormal"/>
        <w:rPr>
          <w:szCs w:val="22"/>
          <w:bdr w:val="nil"/>
          <w:lang w:val="cs-CZ"/>
        </w:rPr>
      </w:pPr>
    </w:p>
    <w:p w14:paraId="3DF78B85" w14:textId="77777777" w:rsidR="00090145" w:rsidRPr="001B4A02" w:rsidRDefault="00000000" w:rsidP="00A05542">
      <w:pPr>
        <w:keepNext/>
        <w:ind w:left="0" w:firstLine="0"/>
        <w:jc w:val="center"/>
        <w:rPr>
          <w:b/>
          <w:szCs w:val="22"/>
        </w:rPr>
      </w:pPr>
      <w:r w:rsidRPr="001B4A02">
        <w:rPr>
          <w:b/>
          <w:szCs w:val="22"/>
        </w:rPr>
        <w:t xml:space="preserve">Tabulka </w:t>
      </w:r>
      <w:r w:rsidR="00F9716C">
        <w:rPr>
          <w:b/>
          <w:szCs w:val="22"/>
        </w:rPr>
        <w:t>6</w:t>
      </w:r>
      <w:r w:rsidRPr="001B4A02">
        <w:rPr>
          <w:b/>
          <w:szCs w:val="22"/>
        </w:rPr>
        <w:t>. Dávka přípravku Humira u</w:t>
      </w:r>
      <w:r w:rsidR="00214AE3" w:rsidRPr="001B4A02">
        <w:rPr>
          <w:b/>
          <w:szCs w:val="22"/>
        </w:rPr>
        <w:t> </w:t>
      </w:r>
      <w:r w:rsidRPr="001B4A02">
        <w:rPr>
          <w:b/>
          <w:szCs w:val="22"/>
        </w:rPr>
        <w:t>pediatrických pacientů s</w:t>
      </w:r>
      <w:r w:rsidR="00214AE3" w:rsidRPr="001B4A02">
        <w:rPr>
          <w:b/>
          <w:szCs w:val="22"/>
        </w:rPr>
        <w:t> </w:t>
      </w:r>
      <w:r w:rsidRPr="001B4A02">
        <w:rPr>
          <w:b/>
          <w:szCs w:val="22"/>
        </w:rPr>
        <w:t>uveitidou</w:t>
      </w:r>
    </w:p>
    <w:p w14:paraId="5CB043C8" w14:textId="77777777" w:rsidR="00090145" w:rsidRPr="001B4A02" w:rsidRDefault="00090145" w:rsidP="00A05542">
      <w:pPr>
        <w:keepNext/>
        <w:ind w:left="0" w:firstLine="0"/>
        <w:jc w:val="center"/>
      </w:pPr>
    </w:p>
    <w:tbl>
      <w:tblPr>
        <w:tblW w:w="7509" w:type="dxa"/>
        <w:jc w:val="center"/>
        <w:tblLayout w:type="fixed"/>
        <w:tblLook w:val="0000" w:firstRow="0" w:lastRow="0" w:firstColumn="0" w:lastColumn="0" w:noHBand="0" w:noVBand="0"/>
      </w:tblPr>
      <w:tblGrid>
        <w:gridCol w:w="3401"/>
        <w:gridCol w:w="4108"/>
      </w:tblGrid>
      <w:tr w:rsidR="00534A2D" w14:paraId="4EC3C642" w14:textId="77777777" w:rsidTr="00253ABE">
        <w:trPr>
          <w:tblHeader/>
          <w:jc w:val="center"/>
        </w:trPr>
        <w:tc>
          <w:tcPr>
            <w:tcW w:w="3401" w:type="dxa"/>
            <w:tcBorders>
              <w:top w:val="single" w:sz="4" w:space="0" w:color="auto"/>
              <w:bottom w:val="single" w:sz="4" w:space="0" w:color="auto"/>
            </w:tcBorders>
            <w:shd w:val="clear" w:color="auto" w:fill="auto"/>
          </w:tcPr>
          <w:p w14:paraId="71254105" w14:textId="77777777" w:rsidR="00090145" w:rsidRPr="001B4A02" w:rsidRDefault="00000000" w:rsidP="00090145">
            <w:pPr>
              <w:pStyle w:val="TableLeft"/>
              <w:jc w:val="center"/>
              <w:rPr>
                <w:b/>
                <w:sz w:val="22"/>
                <w:szCs w:val="22"/>
                <w:lang w:val="cs-CZ"/>
              </w:rPr>
            </w:pPr>
            <w:r w:rsidRPr="001B4A02">
              <w:rPr>
                <w:b/>
                <w:sz w:val="22"/>
                <w:szCs w:val="22"/>
                <w:lang w:val="cs-CZ"/>
              </w:rPr>
              <w:t>Hmotnost pacienta</w:t>
            </w:r>
          </w:p>
        </w:tc>
        <w:tc>
          <w:tcPr>
            <w:tcW w:w="4108" w:type="dxa"/>
            <w:tcBorders>
              <w:top w:val="single" w:sz="4" w:space="0" w:color="auto"/>
              <w:bottom w:val="single" w:sz="4" w:space="0" w:color="auto"/>
            </w:tcBorders>
            <w:shd w:val="clear" w:color="auto" w:fill="auto"/>
          </w:tcPr>
          <w:p w14:paraId="3D3C5633" w14:textId="77777777" w:rsidR="00090145" w:rsidRPr="001B4A02" w:rsidRDefault="00000000" w:rsidP="00090145">
            <w:pPr>
              <w:pStyle w:val="TableLeft"/>
              <w:jc w:val="center"/>
              <w:rPr>
                <w:b/>
                <w:sz w:val="22"/>
                <w:szCs w:val="22"/>
                <w:lang w:val="cs-CZ"/>
              </w:rPr>
            </w:pPr>
            <w:r w:rsidRPr="001B4A02">
              <w:rPr>
                <w:b/>
                <w:sz w:val="22"/>
                <w:szCs w:val="22"/>
                <w:lang w:val="cs-CZ"/>
              </w:rPr>
              <w:t>Režim dávkování</w:t>
            </w:r>
          </w:p>
        </w:tc>
      </w:tr>
      <w:tr w:rsidR="00534A2D" w14:paraId="27FCB434" w14:textId="77777777" w:rsidTr="00253ABE">
        <w:trPr>
          <w:tblHeader/>
          <w:jc w:val="center"/>
        </w:trPr>
        <w:tc>
          <w:tcPr>
            <w:tcW w:w="3401" w:type="dxa"/>
            <w:tcBorders>
              <w:top w:val="single" w:sz="4" w:space="0" w:color="auto"/>
              <w:bottom w:val="single" w:sz="4" w:space="0" w:color="auto"/>
            </w:tcBorders>
            <w:shd w:val="clear" w:color="auto" w:fill="auto"/>
          </w:tcPr>
          <w:p w14:paraId="4799A2C0" w14:textId="77777777" w:rsidR="00090145" w:rsidRPr="001B4A02" w:rsidRDefault="00000000" w:rsidP="00090145">
            <w:pPr>
              <w:pStyle w:val="TableLeft"/>
              <w:jc w:val="center"/>
              <w:rPr>
                <w:b/>
                <w:sz w:val="22"/>
                <w:szCs w:val="22"/>
                <w:lang w:val="cs-CZ"/>
              </w:rPr>
            </w:pPr>
            <w:r w:rsidRPr="001B4A02">
              <w:rPr>
                <w:sz w:val="22"/>
                <w:szCs w:val="22"/>
                <w:lang w:val="cs-CZ"/>
              </w:rPr>
              <w:t>&lt;</w:t>
            </w:r>
            <w:r w:rsidR="007375A0" w:rsidRPr="001B4A02">
              <w:rPr>
                <w:sz w:val="22"/>
                <w:szCs w:val="22"/>
                <w:lang w:val="cs-CZ"/>
              </w:rPr>
              <w:t> </w:t>
            </w:r>
            <w:r w:rsidRPr="001B4A02">
              <w:rPr>
                <w:sz w:val="22"/>
                <w:szCs w:val="22"/>
                <w:lang w:val="cs-CZ"/>
              </w:rPr>
              <w:t>30</w:t>
            </w:r>
            <w:r w:rsidR="002767FC">
              <w:rPr>
                <w:sz w:val="22"/>
                <w:szCs w:val="22"/>
                <w:lang w:val="cs-CZ"/>
              </w:rPr>
              <w:t> kg</w:t>
            </w:r>
          </w:p>
        </w:tc>
        <w:tc>
          <w:tcPr>
            <w:tcW w:w="4108" w:type="dxa"/>
            <w:tcBorders>
              <w:top w:val="single" w:sz="4" w:space="0" w:color="auto"/>
              <w:bottom w:val="single" w:sz="4" w:space="0" w:color="auto"/>
            </w:tcBorders>
            <w:shd w:val="clear" w:color="auto" w:fill="auto"/>
          </w:tcPr>
          <w:p w14:paraId="6C05723E" w14:textId="77777777" w:rsidR="00090145" w:rsidRPr="001B4A02" w:rsidRDefault="00000000" w:rsidP="00090145">
            <w:pPr>
              <w:pStyle w:val="TableLeft"/>
              <w:jc w:val="center"/>
              <w:rPr>
                <w:b/>
                <w:sz w:val="22"/>
                <w:szCs w:val="22"/>
                <w:lang w:val="cs-CZ"/>
              </w:rPr>
            </w:pPr>
            <w:r w:rsidRPr="001B4A02">
              <w:rPr>
                <w:sz w:val="22"/>
                <w:szCs w:val="22"/>
                <w:lang w:val="cs-CZ"/>
              </w:rPr>
              <w:t>20 mg jednou za dva týdny v</w:t>
            </w:r>
            <w:r w:rsidR="00253ABE" w:rsidRPr="001B4A02">
              <w:rPr>
                <w:sz w:val="22"/>
                <w:szCs w:val="22"/>
                <w:lang w:val="cs-CZ"/>
              </w:rPr>
              <w:t> </w:t>
            </w:r>
            <w:r w:rsidRPr="001B4A02">
              <w:rPr>
                <w:sz w:val="22"/>
                <w:szCs w:val="22"/>
                <w:lang w:val="cs-CZ"/>
              </w:rPr>
              <w:t>kombinaci s</w:t>
            </w:r>
            <w:r w:rsidR="00253ABE" w:rsidRPr="001B4A02">
              <w:rPr>
                <w:sz w:val="22"/>
                <w:szCs w:val="22"/>
                <w:lang w:val="cs-CZ"/>
              </w:rPr>
              <w:t> </w:t>
            </w:r>
            <w:r w:rsidRPr="001B4A02">
              <w:rPr>
                <w:sz w:val="22"/>
                <w:szCs w:val="22"/>
                <w:lang w:val="cs-CZ"/>
              </w:rPr>
              <w:t>methotrexátem</w:t>
            </w:r>
          </w:p>
        </w:tc>
      </w:tr>
      <w:tr w:rsidR="00534A2D" w14:paraId="2185E1D1" w14:textId="77777777" w:rsidTr="00253ABE">
        <w:trPr>
          <w:tblHeader/>
          <w:jc w:val="center"/>
        </w:trPr>
        <w:tc>
          <w:tcPr>
            <w:tcW w:w="3401" w:type="dxa"/>
            <w:tcBorders>
              <w:top w:val="single" w:sz="4" w:space="0" w:color="auto"/>
              <w:bottom w:val="single" w:sz="4" w:space="0" w:color="auto"/>
            </w:tcBorders>
            <w:shd w:val="clear" w:color="auto" w:fill="auto"/>
          </w:tcPr>
          <w:p w14:paraId="2499F626" w14:textId="77777777" w:rsidR="00090145" w:rsidRPr="001B4A02" w:rsidRDefault="00000000" w:rsidP="00090145">
            <w:pPr>
              <w:pStyle w:val="TableLeft"/>
              <w:jc w:val="center"/>
              <w:rPr>
                <w:b/>
                <w:sz w:val="22"/>
                <w:szCs w:val="22"/>
                <w:lang w:val="cs-CZ"/>
              </w:rPr>
            </w:pPr>
            <w:r w:rsidRPr="001B4A02">
              <w:rPr>
                <w:sz w:val="22"/>
                <w:szCs w:val="22"/>
                <w:lang w:val="cs-CZ"/>
              </w:rPr>
              <w:t>≥</w:t>
            </w:r>
            <w:r w:rsidR="007375A0" w:rsidRPr="001B4A02">
              <w:rPr>
                <w:sz w:val="22"/>
                <w:szCs w:val="22"/>
                <w:lang w:val="cs-CZ"/>
              </w:rPr>
              <w:t> </w:t>
            </w:r>
            <w:r w:rsidRPr="001B4A02">
              <w:rPr>
                <w:sz w:val="22"/>
                <w:szCs w:val="22"/>
                <w:lang w:val="cs-CZ"/>
              </w:rPr>
              <w:t>30</w:t>
            </w:r>
            <w:r w:rsidR="002767FC">
              <w:rPr>
                <w:sz w:val="22"/>
                <w:szCs w:val="22"/>
                <w:lang w:val="cs-CZ"/>
              </w:rPr>
              <w:t> kg</w:t>
            </w:r>
          </w:p>
        </w:tc>
        <w:tc>
          <w:tcPr>
            <w:tcW w:w="4108" w:type="dxa"/>
            <w:tcBorders>
              <w:top w:val="single" w:sz="4" w:space="0" w:color="auto"/>
              <w:bottom w:val="single" w:sz="4" w:space="0" w:color="auto"/>
            </w:tcBorders>
            <w:shd w:val="clear" w:color="auto" w:fill="auto"/>
          </w:tcPr>
          <w:p w14:paraId="4184DFAE" w14:textId="77777777" w:rsidR="00090145" w:rsidRPr="001B4A02" w:rsidRDefault="00000000" w:rsidP="00090145">
            <w:pPr>
              <w:pStyle w:val="TableLeft"/>
              <w:jc w:val="center"/>
              <w:rPr>
                <w:b/>
                <w:sz w:val="22"/>
                <w:szCs w:val="22"/>
                <w:lang w:val="cs-CZ"/>
              </w:rPr>
            </w:pPr>
            <w:r w:rsidRPr="001B4A02">
              <w:rPr>
                <w:sz w:val="22"/>
                <w:szCs w:val="22"/>
                <w:lang w:val="cs-CZ"/>
              </w:rPr>
              <w:t>40 mg jednou za dva týdny v</w:t>
            </w:r>
            <w:r w:rsidR="00253ABE" w:rsidRPr="001B4A02">
              <w:rPr>
                <w:sz w:val="22"/>
                <w:szCs w:val="22"/>
                <w:lang w:val="cs-CZ"/>
              </w:rPr>
              <w:t> </w:t>
            </w:r>
            <w:r w:rsidRPr="001B4A02">
              <w:rPr>
                <w:sz w:val="22"/>
                <w:szCs w:val="22"/>
                <w:lang w:val="cs-CZ"/>
              </w:rPr>
              <w:t>kombinaci s</w:t>
            </w:r>
            <w:r w:rsidR="00253ABE" w:rsidRPr="001B4A02">
              <w:rPr>
                <w:sz w:val="22"/>
                <w:szCs w:val="22"/>
                <w:lang w:val="cs-CZ"/>
              </w:rPr>
              <w:t> </w:t>
            </w:r>
            <w:r w:rsidRPr="001B4A02">
              <w:rPr>
                <w:sz w:val="22"/>
                <w:szCs w:val="22"/>
                <w:lang w:val="cs-CZ"/>
              </w:rPr>
              <w:t>methotrexátem</w:t>
            </w:r>
          </w:p>
        </w:tc>
      </w:tr>
    </w:tbl>
    <w:p w14:paraId="2834CCF8" w14:textId="77777777" w:rsidR="00090145" w:rsidRPr="001B4A02" w:rsidRDefault="00090145" w:rsidP="00ED48A3">
      <w:pPr>
        <w:pStyle w:val="EMEANormal"/>
        <w:rPr>
          <w:lang w:val="cs-CZ"/>
        </w:rPr>
      </w:pPr>
    </w:p>
    <w:p w14:paraId="0CA808DC" w14:textId="77777777" w:rsidR="009B0C0F" w:rsidRPr="001B4A02" w:rsidRDefault="00000000" w:rsidP="00ED48A3">
      <w:pPr>
        <w:ind w:left="0" w:firstLine="0"/>
      </w:pPr>
      <w:r w:rsidRPr="001B4A02">
        <w:rPr>
          <w:szCs w:val="22"/>
        </w:rPr>
        <w:t xml:space="preserve">Při zahájení léčby přípravkem Humira může být podána úvodní dávka </w:t>
      </w:r>
      <w:r w:rsidR="0022057B" w:rsidRPr="001B4A02">
        <w:rPr>
          <w:szCs w:val="22"/>
        </w:rPr>
        <w:t xml:space="preserve">40 mg </w:t>
      </w:r>
      <w:r w:rsidR="00090145" w:rsidRPr="001B4A02">
        <w:rPr>
          <w:szCs w:val="22"/>
        </w:rPr>
        <w:t xml:space="preserve">pacientům s tělesnou hmotností </w:t>
      </w:r>
      <w:r w:rsidR="00090145" w:rsidRPr="001B4A02">
        <w:t>&lt; 30</w:t>
      </w:r>
      <w:r w:rsidR="002767FC">
        <w:t> kg</w:t>
      </w:r>
      <w:r w:rsidR="00090145" w:rsidRPr="001B4A02">
        <w:t xml:space="preserve"> nebo 80 mg pacientům s tělesnou hmotností ≥</w:t>
      </w:r>
      <w:r w:rsidR="007375A0" w:rsidRPr="001B4A02">
        <w:t> </w:t>
      </w:r>
      <w:r w:rsidR="00090145" w:rsidRPr="001B4A02">
        <w:t>30</w:t>
      </w:r>
      <w:r w:rsidR="002767FC">
        <w:t> kg</w:t>
      </w:r>
      <w:r w:rsidR="00090145" w:rsidRPr="001B4A02">
        <w:rPr>
          <w:szCs w:val="22"/>
        </w:rPr>
        <w:t xml:space="preserve"> </w:t>
      </w:r>
      <w:r w:rsidRPr="001B4A02">
        <w:rPr>
          <w:szCs w:val="22"/>
        </w:rPr>
        <w:t>jeden týden před zahájením udržovací léčby. Nejsou k</w:t>
      </w:r>
      <w:r w:rsidR="00B66B89" w:rsidRPr="001B4A02">
        <w:rPr>
          <w:szCs w:val="22"/>
        </w:rPr>
        <w:t> </w:t>
      </w:r>
      <w:r w:rsidRPr="001B4A02">
        <w:rPr>
          <w:szCs w:val="22"/>
        </w:rPr>
        <w:t>dispozici žádné klinické údaje o</w:t>
      </w:r>
      <w:r w:rsidR="00923691" w:rsidRPr="001B4A02">
        <w:rPr>
          <w:szCs w:val="22"/>
        </w:rPr>
        <w:t> </w:t>
      </w:r>
      <w:r w:rsidRPr="001B4A02">
        <w:rPr>
          <w:szCs w:val="22"/>
        </w:rPr>
        <w:t>použití úvodní dávky přípravku Humira u</w:t>
      </w:r>
      <w:r w:rsidR="00923691" w:rsidRPr="001B4A02">
        <w:rPr>
          <w:szCs w:val="22"/>
        </w:rPr>
        <w:t> </w:t>
      </w:r>
      <w:r w:rsidRPr="001B4A02">
        <w:rPr>
          <w:szCs w:val="22"/>
        </w:rPr>
        <w:t>dětí ve věku &lt;</w:t>
      </w:r>
      <w:r w:rsidR="00E03B01" w:rsidRPr="001B4A02">
        <w:rPr>
          <w:szCs w:val="22"/>
        </w:rPr>
        <w:t> </w:t>
      </w:r>
      <w:r w:rsidRPr="001B4A02">
        <w:rPr>
          <w:szCs w:val="22"/>
        </w:rPr>
        <w:t>6 let (viz bod 5.2).</w:t>
      </w:r>
    </w:p>
    <w:p w14:paraId="25688D55" w14:textId="77777777" w:rsidR="009B0C0F" w:rsidRPr="001B4A02" w:rsidRDefault="009B0C0F" w:rsidP="00ED48A3"/>
    <w:p w14:paraId="3702AC34" w14:textId="77777777" w:rsidR="009B0C0F" w:rsidRPr="001B4A02" w:rsidRDefault="00000000" w:rsidP="00ED48A3">
      <w:pPr>
        <w:pStyle w:val="EMEANormal"/>
        <w:rPr>
          <w:lang w:val="cs-CZ"/>
        </w:rPr>
      </w:pPr>
      <w:r w:rsidRPr="001B4A02">
        <w:rPr>
          <w:szCs w:val="22"/>
          <w:lang w:val="cs-CZ"/>
        </w:rPr>
        <w:t>Použití přípravku Humira u</w:t>
      </w:r>
      <w:r w:rsidR="00D15A04" w:rsidRPr="001B4A02">
        <w:rPr>
          <w:szCs w:val="22"/>
          <w:lang w:val="cs-CZ"/>
        </w:rPr>
        <w:t> </w:t>
      </w:r>
      <w:r w:rsidRPr="001B4A02">
        <w:rPr>
          <w:szCs w:val="22"/>
          <w:lang w:val="cs-CZ"/>
        </w:rPr>
        <w:t>dětí mladších než 2 roky není v</w:t>
      </w:r>
      <w:r w:rsidR="00255A0A" w:rsidRPr="001B4A02">
        <w:rPr>
          <w:szCs w:val="22"/>
          <w:lang w:val="cs-CZ"/>
        </w:rPr>
        <w:t> </w:t>
      </w:r>
      <w:r w:rsidRPr="001B4A02">
        <w:rPr>
          <w:szCs w:val="22"/>
          <w:lang w:val="cs-CZ"/>
        </w:rPr>
        <w:t>této indikaci relevantní.</w:t>
      </w:r>
    </w:p>
    <w:p w14:paraId="7C9514D0" w14:textId="77777777" w:rsidR="009B0C0F" w:rsidRPr="001B4A02" w:rsidRDefault="009B0C0F" w:rsidP="00AC4985">
      <w:pPr>
        <w:pStyle w:val="EMEANormal"/>
        <w:rPr>
          <w:lang w:val="cs-CZ"/>
        </w:rPr>
      </w:pPr>
    </w:p>
    <w:p w14:paraId="7E4C6C2A" w14:textId="77777777" w:rsidR="009B0C0F" w:rsidRPr="001B4A02" w:rsidRDefault="00000000" w:rsidP="00AC4985">
      <w:pPr>
        <w:ind w:left="0" w:firstLine="0"/>
        <w:rPr>
          <w:color w:val="000000"/>
        </w:rPr>
      </w:pPr>
      <w:r w:rsidRPr="001B4A02">
        <w:rPr>
          <w:szCs w:val="22"/>
        </w:rPr>
        <w:t xml:space="preserve">Je doporučeno, aby byl každý rok </w:t>
      </w:r>
      <w:r w:rsidR="008B623D" w:rsidRPr="001B4A02">
        <w:rPr>
          <w:szCs w:val="22"/>
        </w:rPr>
        <w:t>vyhodnocen poměr přínosu</w:t>
      </w:r>
      <w:r w:rsidR="002378E0">
        <w:rPr>
          <w:szCs w:val="22"/>
        </w:rPr>
        <w:t xml:space="preserve"> a </w:t>
      </w:r>
      <w:r w:rsidRPr="001B4A02">
        <w:rPr>
          <w:szCs w:val="22"/>
        </w:rPr>
        <w:t>rizik</w:t>
      </w:r>
      <w:r w:rsidR="008B623D" w:rsidRPr="001B4A02">
        <w:rPr>
          <w:szCs w:val="22"/>
        </w:rPr>
        <w:t>a</w:t>
      </w:r>
      <w:r w:rsidRPr="001B4A02">
        <w:rPr>
          <w:szCs w:val="22"/>
        </w:rPr>
        <w:t xml:space="preserve"> pokračování dlouhodobé léčby (viz bod 5.1).</w:t>
      </w:r>
    </w:p>
    <w:p w14:paraId="54DE8A28" w14:textId="77777777" w:rsidR="00910B96" w:rsidRPr="001B4A02" w:rsidRDefault="00910B96" w:rsidP="00AC4985">
      <w:pPr>
        <w:ind w:left="0" w:firstLine="0"/>
      </w:pPr>
    </w:p>
    <w:p w14:paraId="786706F5" w14:textId="77777777" w:rsidR="00551DE7" w:rsidRPr="001B4A02" w:rsidRDefault="00000000" w:rsidP="00551DE7">
      <w:pPr>
        <w:ind w:left="0" w:firstLine="0"/>
      </w:pPr>
      <w:r w:rsidRPr="001B4A02">
        <w:t xml:space="preserve">Přípravek Humira je k dispozici v dalších silách a/nebo </w:t>
      </w:r>
      <w:r w:rsidR="00A43DB3">
        <w:t>typech balení</w:t>
      </w:r>
      <w:r w:rsidRPr="001B4A02">
        <w:t xml:space="preserve"> v závislosti na individuálních potřebách léčby.</w:t>
      </w:r>
    </w:p>
    <w:p w14:paraId="2382CA75" w14:textId="77777777" w:rsidR="00551DE7" w:rsidRPr="001B4A02" w:rsidRDefault="00551DE7" w:rsidP="00AC4985">
      <w:pPr>
        <w:ind w:left="0" w:firstLine="0"/>
      </w:pPr>
    </w:p>
    <w:p w14:paraId="6B9DC23E" w14:textId="77777777" w:rsidR="00ED3511" w:rsidRPr="001B4A02" w:rsidRDefault="00000000" w:rsidP="00A03600">
      <w:pPr>
        <w:keepNext/>
        <w:ind w:left="0" w:firstLine="0"/>
        <w:rPr>
          <w:u w:val="single"/>
        </w:rPr>
      </w:pPr>
      <w:r w:rsidRPr="001B4A02">
        <w:rPr>
          <w:u w:val="single"/>
        </w:rPr>
        <w:t>Způsob podání</w:t>
      </w:r>
    </w:p>
    <w:p w14:paraId="1E31B944" w14:textId="77777777" w:rsidR="00ED3511" w:rsidRPr="001B4A02" w:rsidRDefault="00ED3511" w:rsidP="00A03600">
      <w:pPr>
        <w:keepNext/>
        <w:ind w:left="0" w:firstLine="0"/>
        <w:rPr>
          <w:u w:val="single"/>
        </w:rPr>
      </w:pPr>
    </w:p>
    <w:p w14:paraId="749D192D" w14:textId="77777777" w:rsidR="00ED3511" w:rsidRPr="001B4A02" w:rsidRDefault="00000000" w:rsidP="00ED48A3">
      <w:pPr>
        <w:ind w:left="0" w:firstLine="0"/>
        <w:rPr>
          <w:u w:val="single"/>
        </w:rPr>
      </w:pPr>
      <w:r w:rsidRPr="001B4A02">
        <w:t>Přípravek Humira se podává subkutánní injekcí. Podrobný návod k</w:t>
      </w:r>
      <w:r w:rsidR="00255A0A" w:rsidRPr="001B4A02">
        <w:t> </w:t>
      </w:r>
      <w:r w:rsidR="00BE2F59" w:rsidRPr="001B4A02">
        <w:t>po</w:t>
      </w:r>
      <w:r w:rsidRPr="001B4A02">
        <w:t>užití je uveden v</w:t>
      </w:r>
      <w:r w:rsidR="00255A0A" w:rsidRPr="001B4A02">
        <w:t> </w:t>
      </w:r>
      <w:r w:rsidRPr="001B4A02">
        <w:t>příbalové informaci.</w:t>
      </w:r>
    </w:p>
    <w:p w14:paraId="49DBCB62" w14:textId="77777777" w:rsidR="00ED3511" w:rsidRPr="001B4A02" w:rsidRDefault="00ED3511" w:rsidP="00ED48A3">
      <w:pPr>
        <w:ind w:left="0" w:firstLine="0"/>
      </w:pPr>
    </w:p>
    <w:p w14:paraId="10164825" w14:textId="77777777" w:rsidR="00AE57C8" w:rsidRPr="001B4A02" w:rsidRDefault="00000000" w:rsidP="00AE57C8">
      <w:pPr>
        <w:ind w:left="0" w:firstLine="0"/>
      </w:pPr>
      <w:r w:rsidRPr="001B4A02">
        <w:t>Přípravek Humira je k dispozici v dalších silách</w:t>
      </w:r>
      <w:r w:rsidR="002378E0">
        <w:t xml:space="preserve"> a </w:t>
      </w:r>
      <w:r w:rsidR="00A43DB3">
        <w:t>typech balení</w:t>
      </w:r>
      <w:r w:rsidRPr="001B4A02">
        <w:t>.</w:t>
      </w:r>
    </w:p>
    <w:p w14:paraId="41DA693D" w14:textId="77777777" w:rsidR="00ED3511" w:rsidRPr="001B4A02" w:rsidRDefault="00ED3511" w:rsidP="00ED48A3">
      <w:pPr>
        <w:ind w:left="0" w:firstLine="0"/>
      </w:pPr>
    </w:p>
    <w:p w14:paraId="73043308" w14:textId="77777777" w:rsidR="00ED3511" w:rsidRPr="001B4A02" w:rsidRDefault="00000000" w:rsidP="00A15B7A">
      <w:pPr>
        <w:keepNext/>
        <w:outlineLvl w:val="1"/>
      </w:pPr>
      <w:r w:rsidRPr="001B4A02">
        <w:rPr>
          <w:b/>
        </w:rPr>
        <w:t>4.3</w:t>
      </w:r>
      <w:r w:rsidRPr="001B4A02">
        <w:rPr>
          <w:b/>
        </w:rPr>
        <w:tab/>
        <w:t>Kontraindikace</w:t>
      </w:r>
    </w:p>
    <w:p w14:paraId="0326AD00" w14:textId="77777777" w:rsidR="00ED3511" w:rsidRPr="001B4A02" w:rsidRDefault="00ED3511" w:rsidP="00A03600">
      <w:pPr>
        <w:keepNext/>
        <w:ind w:left="0" w:firstLine="0"/>
      </w:pPr>
    </w:p>
    <w:p w14:paraId="7DC78C79" w14:textId="77777777" w:rsidR="00ED3511" w:rsidRPr="001B4A02" w:rsidRDefault="00000000" w:rsidP="00ED48A3">
      <w:pPr>
        <w:ind w:left="0" w:firstLine="0"/>
      </w:pPr>
      <w:r w:rsidRPr="001B4A02">
        <w:t>Hypersenzitivita na léčivou látku nebo na kteroukoli pomocnou látku uvedenou v bodě 6.1.</w:t>
      </w:r>
    </w:p>
    <w:p w14:paraId="6B64F5FE" w14:textId="77777777" w:rsidR="00ED3511" w:rsidRPr="001B4A02" w:rsidRDefault="00ED3511" w:rsidP="00ED48A3">
      <w:pPr>
        <w:ind w:left="0" w:firstLine="0"/>
      </w:pPr>
    </w:p>
    <w:p w14:paraId="1B3E01BE" w14:textId="77777777" w:rsidR="00ED3511" w:rsidRPr="001B4A02" w:rsidRDefault="00000000" w:rsidP="00ED48A3">
      <w:pPr>
        <w:ind w:left="0" w:firstLine="0"/>
      </w:pPr>
      <w:r w:rsidRPr="001B4A02">
        <w:t>Aktivní tuberkulóza nebo jiné závažné infekce, jako je sepse</w:t>
      </w:r>
      <w:r w:rsidR="002378E0">
        <w:t xml:space="preserve"> a </w:t>
      </w:r>
      <w:r w:rsidRPr="001B4A02">
        <w:t>oportunní infekce (viz bod 4.4).</w:t>
      </w:r>
    </w:p>
    <w:p w14:paraId="34D5A23A" w14:textId="77777777" w:rsidR="00ED3511" w:rsidRPr="001B4A02" w:rsidRDefault="00ED3511" w:rsidP="00ED48A3">
      <w:pPr>
        <w:ind w:left="0" w:firstLine="0"/>
      </w:pPr>
    </w:p>
    <w:p w14:paraId="02BD5A80" w14:textId="77777777" w:rsidR="00ED3511" w:rsidRPr="001B4A02" w:rsidRDefault="00000000" w:rsidP="00ED48A3">
      <w:pPr>
        <w:ind w:left="0" w:firstLine="0"/>
      </w:pPr>
      <w:r w:rsidRPr="001B4A02">
        <w:t>Středně těžké až těžké srdeční selhání (NYHA třída III/IV) (viz bod 4.4).</w:t>
      </w:r>
    </w:p>
    <w:p w14:paraId="3545824B" w14:textId="77777777" w:rsidR="00ED3511" w:rsidRPr="001B4A02" w:rsidRDefault="00ED3511" w:rsidP="00ED48A3">
      <w:pPr>
        <w:ind w:left="0" w:firstLine="0"/>
      </w:pPr>
    </w:p>
    <w:p w14:paraId="46A44E04" w14:textId="77777777" w:rsidR="00ED3511" w:rsidRPr="001B4A02" w:rsidRDefault="00000000" w:rsidP="00A15B7A">
      <w:pPr>
        <w:keepNext/>
        <w:outlineLvl w:val="1"/>
        <w:rPr>
          <w:b/>
        </w:rPr>
      </w:pPr>
      <w:r w:rsidRPr="001B4A02">
        <w:rPr>
          <w:b/>
        </w:rPr>
        <w:t>4.4</w:t>
      </w:r>
      <w:r w:rsidRPr="001B4A02">
        <w:rPr>
          <w:b/>
        </w:rPr>
        <w:tab/>
        <w:t>Zvláštní upozornění</w:t>
      </w:r>
      <w:r w:rsidR="002378E0">
        <w:rPr>
          <w:b/>
        </w:rPr>
        <w:t xml:space="preserve"> a </w:t>
      </w:r>
      <w:r w:rsidRPr="001B4A02">
        <w:rPr>
          <w:b/>
        </w:rPr>
        <w:t>opatření pro použití</w:t>
      </w:r>
    </w:p>
    <w:p w14:paraId="2851C6F9" w14:textId="77777777" w:rsidR="00ED3511" w:rsidRPr="001B4A02" w:rsidRDefault="00ED3511" w:rsidP="00A03600">
      <w:pPr>
        <w:keepNext/>
        <w:ind w:left="0" w:firstLine="0"/>
      </w:pPr>
    </w:p>
    <w:p w14:paraId="644AF7ED" w14:textId="77777777" w:rsidR="00314211" w:rsidRPr="001B4A02" w:rsidRDefault="00000000" w:rsidP="00A03600">
      <w:pPr>
        <w:keepNext/>
        <w:ind w:left="0" w:firstLine="0"/>
        <w:rPr>
          <w:u w:val="single"/>
        </w:rPr>
      </w:pPr>
      <w:r w:rsidRPr="001B4A02">
        <w:rPr>
          <w:u w:val="single"/>
        </w:rPr>
        <w:t>Sledovatelnost</w:t>
      </w:r>
    </w:p>
    <w:p w14:paraId="2B162527" w14:textId="77777777" w:rsidR="00314211" w:rsidRPr="001B4A02" w:rsidRDefault="00314211" w:rsidP="00A03600">
      <w:pPr>
        <w:keepNext/>
        <w:ind w:left="0" w:firstLine="0"/>
      </w:pPr>
    </w:p>
    <w:p w14:paraId="0B9C0BC8" w14:textId="77777777" w:rsidR="00ED3511" w:rsidRPr="001B4A02" w:rsidRDefault="00000000" w:rsidP="00ED48A3">
      <w:pPr>
        <w:ind w:left="0" w:firstLine="0"/>
      </w:pPr>
      <w:r w:rsidRPr="001B4A02">
        <w:t>Z důvodu zlepšení sledovatelnosti biologických léčivých přípravků musí být přesně zaznamenáván název</w:t>
      </w:r>
      <w:r w:rsidR="002378E0">
        <w:t xml:space="preserve"> a </w:t>
      </w:r>
      <w:r w:rsidRPr="001B4A02">
        <w:t>číslo šarže podaného přípravku.</w:t>
      </w:r>
    </w:p>
    <w:p w14:paraId="7C7CBD7C" w14:textId="77777777" w:rsidR="00ED3511" w:rsidRPr="001B4A02" w:rsidRDefault="00ED3511" w:rsidP="00ED48A3">
      <w:pPr>
        <w:ind w:left="0" w:firstLine="0"/>
      </w:pPr>
    </w:p>
    <w:p w14:paraId="587E4956" w14:textId="77777777" w:rsidR="00ED3511" w:rsidRPr="001B4A02" w:rsidRDefault="00000000" w:rsidP="00ED48A3">
      <w:pPr>
        <w:keepNext/>
        <w:rPr>
          <w:u w:val="single"/>
        </w:rPr>
      </w:pPr>
      <w:r w:rsidRPr="001B4A02">
        <w:rPr>
          <w:u w:val="single"/>
        </w:rPr>
        <w:t>Infekce</w:t>
      </w:r>
    </w:p>
    <w:p w14:paraId="7FD05BDA" w14:textId="77777777" w:rsidR="00ED3511" w:rsidRPr="001B4A02" w:rsidRDefault="00ED3511" w:rsidP="00ED48A3">
      <w:pPr>
        <w:keepNext/>
        <w:ind w:left="0" w:firstLine="0"/>
      </w:pPr>
    </w:p>
    <w:p w14:paraId="7760C4CF" w14:textId="77777777" w:rsidR="00ED3511" w:rsidRPr="001B4A02" w:rsidRDefault="00000000" w:rsidP="00A03600">
      <w:pPr>
        <w:ind w:left="0" w:firstLine="0"/>
      </w:pPr>
      <w:r w:rsidRPr="001B4A02">
        <w:t>Pacienti užívající TNF-antagonisty jsou více náchylní k závažným infekcím. Riziko rozvoje infekcí může stoupat při porušené funkci plic. Pacienti musí být proto pečlivě sledováni z hlediska výskytu infekcí včetně tuberkulózy,</w:t>
      </w:r>
      <w:r w:rsidR="002378E0">
        <w:t xml:space="preserve"> a </w:t>
      </w:r>
      <w:r w:rsidRPr="001B4A02">
        <w:t>to před léčbou, během léčby i po ukončení léčby přípravkem Humira. Vzhledem k tomu, že eliminace adalimumabu z organismu může trvat až čtyři měsíce, sledování musí trvat po celou tuto dobu.</w:t>
      </w:r>
    </w:p>
    <w:p w14:paraId="566B3AE6" w14:textId="77777777" w:rsidR="00ED3511" w:rsidRPr="001B4A02" w:rsidRDefault="00ED3511" w:rsidP="00ED48A3">
      <w:pPr>
        <w:ind w:left="0" w:firstLine="0"/>
      </w:pPr>
    </w:p>
    <w:p w14:paraId="6ABF7393" w14:textId="77777777" w:rsidR="00ED3511" w:rsidRPr="001B4A02" w:rsidRDefault="00000000" w:rsidP="00ED48A3">
      <w:pPr>
        <w:ind w:left="0" w:firstLine="0"/>
      </w:pPr>
      <w:r w:rsidRPr="001B4A02">
        <w:t>Léčba přípravkem Humira nesmí být zahájena u pacientů s aktivní infekcí včetně chronické nebo lokalizované infekce do té doby, než jsou tyto infekce terapeuticky zvládnuty. U</w:t>
      </w:r>
      <w:r w:rsidR="00D15A04" w:rsidRPr="001B4A02">
        <w:t> </w:t>
      </w:r>
      <w:r w:rsidRPr="001B4A02">
        <w:t>pacientů, kteří přišli do styku s</w:t>
      </w:r>
      <w:r w:rsidR="00757CB8" w:rsidRPr="001B4A02">
        <w:t> </w:t>
      </w:r>
      <w:r w:rsidRPr="001B4A02">
        <w:t>tuberkulózou</w:t>
      </w:r>
      <w:r w:rsidR="00757CB8" w:rsidRPr="001B4A02">
        <w:t>,</w:t>
      </w:r>
      <w:r w:rsidR="002378E0">
        <w:t xml:space="preserve"> a </w:t>
      </w:r>
      <w:r w:rsidRPr="001B4A02">
        <w:t>pacientů, kteří cestovali do oblastí s vysokým rizikem výskytu tuberkulózy nebo endemických mykóz, jako například histoplasmóza, kokcidiomykóza, nebo blastomykóza, by měl být zvážen poměr rizika</w:t>
      </w:r>
      <w:r w:rsidR="002378E0">
        <w:t xml:space="preserve"> a </w:t>
      </w:r>
      <w:r w:rsidRPr="001B4A02">
        <w:t xml:space="preserve">přínosu léčby přípravkem Humira ještě před zahájením léčby (viz </w:t>
      </w:r>
      <w:r w:rsidR="007E2F50" w:rsidRPr="001B4A02">
        <w:rPr>
          <w:i/>
        </w:rPr>
        <w:t>Jiné o</w:t>
      </w:r>
      <w:r w:rsidRPr="001B4A02">
        <w:rPr>
          <w:i/>
        </w:rPr>
        <w:t>portunní infekce</w:t>
      </w:r>
      <w:r w:rsidRPr="001B4A02">
        <w:t>).</w:t>
      </w:r>
    </w:p>
    <w:p w14:paraId="4DC1CF6E" w14:textId="77777777" w:rsidR="00ED3511" w:rsidRPr="001B4A02" w:rsidRDefault="00ED3511" w:rsidP="00ED48A3">
      <w:pPr>
        <w:ind w:left="0" w:firstLine="0"/>
      </w:pPr>
    </w:p>
    <w:p w14:paraId="1F3F808F" w14:textId="77777777" w:rsidR="00ED3511" w:rsidRPr="001B4A02" w:rsidRDefault="00000000" w:rsidP="00ED48A3">
      <w:pPr>
        <w:ind w:left="0" w:firstLine="0"/>
      </w:pPr>
      <w:r w:rsidRPr="001B4A02">
        <w:t xml:space="preserve">Ti pacienti, u nichž dojde během léčby přípravkem Humira k rozvoji nové infekce, </w:t>
      </w:r>
      <w:r w:rsidR="00072C2B">
        <w:t xml:space="preserve">mají </w:t>
      </w:r>
      <w:r w:rsidRPr="001B4A02">
        <w:t>být pečlivě sledováni</w:t>
      </w:r>
      <w:r w:rsidR="002378E0">
        <w:t xml:space="preserve"> a </w:t>
      </w:r>
      <w:r w:rsidR="00072C2B">
        <w:t xml:space="preserve">mají </w:t>
      </w:r>
      <w:r w:rsidRPr="001B4A02">
        <w:t>podstoupit kompletní diagnostické vyšetření. Pokud u pacienta dojde k rozvoji nové závažné infekce nebo sepse, podávání přípravku Humira se přeruší</w:t>
      </w:r>
      <w:r w:rsidR="002378E0">
        <w:t xml:space="preserve"> a </w:t>
      </w:r>
      <w:r w:rsidRPr="001B4A02">
        <w:t>je nutno zahájit vhodnou antimikrobiální či antifungální léčbu do doby, než je infekce terapeuticky zvládnuta. Lékaři musí být opatrní při zvažování léčby přípravkem Humira u pacientů s anamnézou recidivující infekce nebo u pacientů, jejichž celkový zdravotní stav k infekcím predisponuje, včetně těch, kteří současně užívají imunosupresivní medikaci.</w:t>
      </w:r>
    </w:p>
    <w:p w14:paraId="6233C05E" w14:textId="77777777" w:rsidR="00ED3511" w:rsidRPr="001B4A02" w:rsidRDefault="00ED3511" w:rsidP="00ED48A3">
      <w:pPr>
        <w:ind w:left="0" w:firstLine="0"/>
        <w:rPr>
          <w:i/>
          <w:iCs/>
          <w:u w:val="single"/>
        </w:rPr>
      </w:pPr>
    </w:p>
    <w:p w14:paraId="7667CEDB" w14:textId="77777777" w:rsidR="00ED3511" w:rsidRPr="001B4A02" w:rsidRDefault="00000000" w:rsidP="00603F6E">
      <w:pPr>
        <w:keepNext/>
        <w:ind w:left="0" w:firstLine="0"/>
        <w:rPr>
          <w:i/>
          <w:iCs/>
        </w:rPr>
      </w:pPr>
      <w:r w:rsidRPr="001B4A02">
        <w:rPr>
          <w:i/>
          <w:iCs/>
        </w:rPr>
        <w:t>Závažné infekce</w:t>
      </w:r>
    </w:p>
    <w:p w14:paraId="0777994E" w14:textId="77777777" w:rsidR="00ED3511" w:rsidRPr="001B4A02" w:rsidRDefault="00ED3511" w:rsidP="00603F6E">
      <w:pPr>
        <w:keepNext/>
        <w:ind w:left="0" w:firstLine="0"/>
      </w:pPr>
    </w:p>
    <w:p w14:paraId="1240EEA0" w14:textId="77777777" w:rsidR="00ED3511" w:rsidRPr="001B4A02" w:rsidRDefault="00000000" w:rsidP="00A03600">
      <w:pPr>
        <w:ind w:left="0" w:firstLine="0"/>
      </w:pPr>
      <w:r w:rsidRPr="001B4A02">
        <w:t xml:space="preserve">U pacientů </w:t>
      </w:r>
      <w:r w:rsidR="00A507B3" w:rsidRPr="001B4A02">
        <w:t>po</w:t>
      </w:r>
      <w:r w:rsidRPr="001B4A02">
        <w:t>užívajících přípravek Humira byly hlášeny závažné infekce, včetně sepse způsobené bakteriemi, mykobakteriemi, invazivními plísněmi, parazity, viry či jiné oportunní infekce jako například listerióza, legionelóza</w:t>
      </w:r>
      <w:r w:rsidR="002378E0">
        <w:t xml:space="preserve"> a </w:t>
      </w:r>
      <w:r w:rsidRPr="001B4A02">
        <w:t>pneumocystóza.</w:t>
      </w:r>
    </w:p>
    <w:p w14:paraId="600F26D2" w14:textId="77777777" w:rsidR="00ED3511" w:rsidRPr="001B4A02" w:rsidRDefault="00ED3511" w:rsidP="00ED48A3">
      <w:pPr>
        <w:ind w:left="0" w:firstLine="0"/>
      </w:pPr>
    </w:p>
    <w:p w14:paraId="4051370E" w14:textId="77777777" w:rsidR="00ED3511" w:rsidRPr="001B4A02" w:rsidRDefault="00000000" w:rsidP="00ED48A3">
      <w:pPr>
        <w:ind w:left="0" w:firstLine="0"/>
      </w:pPr>
      <w:r w:rsidRPr="001B4A02">
        <w:t xml:space="preserve">Jiné závažné infekce pozorované v klinických studiích zahrnují pneumonii, </w:t>
      </w:r>
      <w:r w:rsidR="000D4191" w:rsidRPr="001B4A02">
        <w:t>pyelonefriti</w:t>
      </w:r>
      <w:r w:rsidR="000D4191">
        <w:t>du</w:t>
      </w:r>
      <w:r w:rsidRPr="001B4A02">
        <w:t xml:space="preserve">, septickou </w:t>
      </w:r>
      <w:r w:rsidR="000D4191" w:rsidRPr="001B4A02">
        <w:t>artriti</w:t>
      </w:r>
      <w:r w:rsidR="000D4191">
        <w:t>du</w:t>
      </w:r>
      <w:r w:rsidR="002378E0">
        <w:t xml:space="preserve"> a </w:t>
      </w:r>
      <w:r w:rsidRPr="001B4A02">
        <w:t>septikémii. V souvislosti s těmito infekcemi byly hlášeny případy hospitalizace i fatálního zakončení.</w:t>
      </w:r>
    </w:p>
    <w:p w14:paraId="06B9FC17" w14:textId="77777777" w:rsidR="00ED3511" w:rsidRPr="001B4A02" w:rsidRDefault="00ED3511" w:rsidP="00ED48A3">
      <w:pPr>
        <w:ind w:left="0" w:firstLine="0"/>
        <w:rPr>
          <w:i/>
          <w:iCs/>
        </w:rPr>
      </w:pPr>
    </w:p>
    <w:p w14:paraId="2808B654" w14:textId="77777777" w:rsidR="00ED3511" w:rsidRPr="001B4A02" w:rsidRDefault="00000000" w:rsidP="00A03600">
      <w:pPr>
        <w:keepNext/>
        <w:ind w:left="0" w:firstLine="0"/>
      </w:pPr>
      <w:r w:rsidRPr="001B4A02">
        <w:rPr>
          <w:i/>
          <w:iCs/>
        </w:rPr>
        <w:t>Tuberkulóza</w:t>
      </w:r>
    </w:p>
    <w:p w14:paraId="7147824A" w14:textId="77777777" w:rsidR="00ED3511" w:rsidRPr="001B4A02" w:rsidRDefault="00ED3511" w:rsidP="00A03600">
      <w:pPr>
        <w:keepNext/>
        <w:ind w:left="0" w:firstLine="0"/>
      </w:pPr>
    </w:p>
    <w:p w14:paraId="5F5E3F8D" w14:textId="77777777" w:rsidR="00ED3511" w:rsidRPr="001B4A02" w:rsidRDefault="00000000" w:rsidP="00ED48A3">
      <w:pPr>
        <w:ind w:left="0" w:firstLine="0"/>
      </w:pPr>
      <w:r w:rsidRPr="001B4A02">
        <w:t>U pacientů, léčených přípravkem Humira, byly hlášeny případy tuberkulózy včetně reaktivace i nového vzniku infekce. Hlášení zahrnovala jak pulmonální, tak extrapulmonální (</w:t>
      </w:r>
      <w:r w:rsidR="00790DEF" w:rsidRPr="001B4A02">
        <w:t>tj. diseminovanou) tuberkulózu.</w:t>
      </w:r>
    </w:p>
    <w:p w14:paraId="3DB8E900" w14:textId="77777777" w:rsidR="00ED3511" w:rsidRPr="001B4A02" w:rsidRDefault="00ED3511" w:rsidP="00ED48A3">
      <w:pPr>
        <w:ind w:left="0" w:firstLine="0"/>
      </w:pPr>
    </w:p>
    <w:p w14:paraId="79CF8A99" w14:textId="77777777" w:rsidR="00ED3511" w:rsidRPr="001B4A02" w:rsidRDefault="00000000" w:rsidP="00ED48A3">
      <w:pPr>
        <w:ind w:left="0" w:firstLine="0"/>
      </w:pPr>
      <w:r w:rsidRPr="001B4A02">
        <w:t>Před zahájením léčby přípravkem Humira musí být všichni pacienti vyšetřeni na přítomnost aktivní či inaktivní („latentní“) tuberkulózy. Toto vyšetření má spočívat v podrobném posouzení osobní anamnézy pacienta cílené na výskyt tuberkulózy v minulosti, či na možné dřívější kontakty s osobami s aktivní tuberkulózou</w:t>
      </w:r>
      <w:r w:rsidR="002378E0">
        <w:t xml:space="preserve"> a </w:t>
      </w:r>
      <w:r w:rsidRPr="001B4A02">
        <w:t>na dřívější a/nebo současnou imunosupresivní léčbu. U všech pacientů musí být provedena příslušná orientační vyšetření (tj. kožní tuberkulinový test</w:t>
      </w:r>
      <w:r w:rsidR="002378E0">
        <w:t xml:space="preserve"> a </w:t>
      </w:r>
      <w:r w:rsidRPr="001B4A02">
        <w:t>RTG vyšetření hrudníku), přičemž se lze řídit místními doporučeními. Doporučuje se, aby provedení těchto testů</w:t>
      </w:r>
      <w:r w:rsidR="002378E0">
        <w:t xml:space="preserve"> a </w:t>
      </w:r>
      <w:r w:rsidRPr="001B4A02">
        <w:t>jejich výsledky byly zaznamenány v informační kartičce pacienta. Předepisujícím lékařům připomínáme riziko falešně negativních výsledků kožního tuberkulinového testu,</w:t>
      </w:r>
      <w:r w:rsidR="002378E0">
        <w:t xml:space="preserve"> a </w:t>
      </w:r>
      <w:r w:rsidRPr="001B4A02">
        <w:t>to zejména u těžce nemocných nebo pacientů se sníženou imunitní odpovědí.</w:t>
      </w:r>
    </w:p>
    <w:p w14:paraId="2A051B7A" w14:textId="77777777" w:rsidR="00ED3511" w:rsidRPr="001B4A02" w:rsidRDefault="00ED3511" w:rsidP="00ED48A3">
      <w:pPr>
        <w:ind w:left="0" w:firstLine="0"/>
      </w:pPr>
    </w:p>
    <w:p w14:paraId="20FBCF98" w14:textId="77777777" w:rsidR="00ED3511" w:rsidRPr="001B4A02" w:rsidRDefault="00000000" w:rsidP="00ED48A3">
      <w:pPr>
        <w:ind w:left="0" w:firstLine="0"/>
      </w:pPr>
      <w:r w:rsidRPr="001B4A02">
        <w:t>Léčba přípravkem Humira nesmí být zahájena u pacientů s diagnostikovanou aktivní tuberkulózou (viz bod 4.3).</w:t>
      </w:r>
    </w:p>
    <w:p w14:paraId="7757BD80" w14:textId="77777777" w:rsidR="00ED3511" w:rsidRPr="001B4A02" w:rsidRDefault="00ED3511" w:rsidP="00ED48A3">
      <w:pPr>
        <w:ind w:left="0" w:firstLine="0"/>
      </w:pPr>
    </w:p>
    <w:p w14:paraId="7C0DDC0B" w14:textId="77777777" w:rsidR="00ED3511" w:rsidRPr="001B4A02" w:rsidRDefault="00000000" w:rsidP="00ED48A3">
      <w:pPr>
        <w:ind w:left="0" w:firstLine="0"/>
      </w:pPr>
      <w:r w:rsidRPr="001B4A02">
        <w:t>Ve všech níže popsaných situacích by měl být velmi pečlivě posouzen poměr přínosu</w:t>
      </w:r>
      <w:r w:rsidR="002378E0">
        <w:t xml:space="preserve"> a </w:t>
      </w:r>
      <w:r w:rsidRPr="001B4A02">
        <w:t>rizika léčby.</w:t>
      </w:r>
    </w:p>
    <w:p w14:paraId="3ABF9EA3" w14:textId="77777777" w:rsidR="00ED3511" w:rsidRPr="001B4A02" w:rsidRDefault="00ED3511" w:rsidP="00ED48A3">
      <w:pPr>
        <w:ind w:left="0" w:firstLine="0"/>
      </w:pPr>
    </w:p>
    <w:p w14:paraId="6435AACE" w14:textId="77777777" w:rsidR="00ED3511" w:rsidRPr="001B4A02" w:rsidRDefault="00000000" w:rsidP="00ED48A3">
      <w:pPr>
        <w:ind w:left="0" w:firstLine="0"/>
      </w:pPr>
      <w:r w:rsidRPr="001B4A02">
        <w:t>Jestliže existuje podezření na latentní tuberkulózu, je třeba uvědomit lékaře, jež má z</w:t>
      </w:r>
      <w:r w:rsidR="00790DEF" w:rsidRPr="001B4A02">
        <w:t>kušenosti s léčbou tuberkulózy.</w:t>
      </w:r>
    </w:p>
    <w:p w14:paraId="79E687A2" w14:textId="77777777" w:rsidR="00ED3511" w:rsidRPr="001B4A02" w:rsidRDefault="00ED3511" w:rsidP="00ED48A3">
      <w:pPr>
        <w:ind w:left="0" w:firstLine="0"/>
      </w:pPr>
    </w:p>
    <w:p w14:paraId="1BEE5A26" w14:textId="77777777" w:rsidR="00ED3511" w:rsidRPr="001B4A02" w:rsidRDefault="00000000" w:rsidP="00ED48A3">
      <w:pPr>
        <w:ind w:left="0" w:firstLine="0"/>
      </w:pPr>
      <w:r w:rsidRPr="001B4A02">
        <w:t>V případě diagnózy latentní tuberkulózy musí být odpovídající profylaktická antituberkulózní léčba započata ještě před zah</w:t>
      </w:r>
      <w:r w:rsidR="00062315" w:rsidRPr="001B4A02">
        <w:t>ájením léčby přípravkem Humira</w:t>
      </w:r>
      <w:r w:rsidR="002378E0">
        <w:t xml:space="preserve"> a </w:t>
      </w:r>
      <w:r w:rsidRPr="001B4A02">
        <w:t>musí být v s</w:t>
      </w:r>
      <w:r w:rsidR="00790DEF" w:rsidRPr="001B4A02">
        <w:t>ouladu s místními doporučeními.</w:t>
      </w:r>
    </w:p>
    <w:p w14:paraId="220526DE" w14:textId="77777777" w:rsidR="00ED3511" w:rsidRPr="001B4A02" w:rsidRDefault="00ED3511" w:rsidP="00ED48A3">
      <w:pPr>
        <w:ind w:left="0" w:firstLine="0"/>
      </w:pPr>
    </w:p>
    <w:p w14:paraId="3AB0DBEE" w14:textId="77777777" w:rsidR="00ED3511" w:rsidRPr="001B4A02" w:rsidRDefault="00000000" w:rsidP="00ED48A3">
      <w:pPr>
        <w:ind w:left="0" w:firstLine="0"/>
      </w:pPr>
      <w:r w:rsidRPr="001B4A02">
        <w:t>Použití profylaktické antituberkulózní léčby je třeba zvážit před zahájením léčby přípravkem Humira také u</w:t>
      </w:r>
      <w:r w:rsidR="00214AE3" w:rsidRPr="001B4A02">
        <w:t> </w:t>
      </w:r>
      <w:r w:rsidRPr="001B4A02">
        <w:t>pacientů, u</w:t>
      </w:r>
      <w:r w:rsidR="00214AE3" w:rsidRPr="001B4A02">
        <w:t> </w:t>
      </w:r>
      <w:r w:rsidRPr="001B4A02">
        <w:t>kterých se, i přes negativní testy na tuberkulózu, vyskytují závažné nebo významné rizikové faktory pro její rozvoj nebo mají dřívější anamnézu latentní či aktivní tuberkulózy</w:t>
      </w:r>
      <w:r w:rsidR="002378E0">
        <w:t xml:space="preserve"> a </w:t>
      </w:r>
      <w:r w:rsidRPr="001B4A02">
        <w:t>nelze u</w:t>
      </w:r>
      <w:r w:rsidR="00790DEF" w:rsidRPr="001B4A02">
        <w:t> </w:t>
      </w:r>
      <w:r w:rsidRPr="001B4A02">
        <w:t>nich zaručit adekvátní postup léčby. U</w:t>
      </w:r>
      <w:r w:rsidR="00214AE3" w:rsidRPr="001B4A02">
        <w:t> </w:t>
      </w:r>
      <w:r w:rsidRPr="001B4A02">
        <w:t>pacientů léčených přípravkem Humira se i přes profylaktickou léčbu tuberkulózy objevily případy reaktivace tuberkulózy. U</w:t>
      </w:r>
      <w:r w:rsidR="00DD02A9" w:rsidRPr="001B4A02">
        <w:t> </w:t>
      </w:r>
      <w:r w:rsidRPr="001B4A02">
        <w:t>některých pacientů, kteří byli v minulosti úspěšně léčeni na aktivní tuberkulózu, se během léčby přípravkem Humira znovu rozvinula aktivní tuberkulóza.</w:t>
      </w:r>
    </w:p>
    <w:p w14:paraId="2DF205AA" w14:textId="77777777" w:rsidR="00ED3511" w:rsidRPr="001B4A02" w:rsidRDefault="00ED3511" w:rsidP="00ED48A3">
      <w:pPr>
        <w:ind w:left="0" w:firstLine="0"/>
      </w:pPr>
    </w:p>
    <w:p w14:paraId="38D01A2F" w14:textId="77777777" w:rsidR="00ED3511" w:rsidRPr="001B4A02" w:rsidRDefault="00000000" w:rsidP="00ED48A3">
      <w:pPr>
        <w:ind w:left="0" w:firstLine="0"/>
      </w:pPr>
      <w:r w:rsidRPr="001B4A02">
        <w:t>Pacienty je třeba poučit, aby vyhledali lékaře, pokud se objeví během léčby přípravkem Humira nebo po jejím ukončení příznaky suspektní pro tuberkulózu (např. přetrvávající kašel, vyčerpání</w:t>
      </w:r>
      <w:r w:rsidR="0050645A">
        <w:t>/</w:t>
      </w:r>
      <w:r w:rsidR="007633DC">
        <w:t>snížení tělesné hmotnosti</w:t>
      </w:r>
      <w:r w:rsidRPr="001B4A02">
        <w:t>, mírně zvýšená teplota, malátnost).</w:t>
      </w:r>
    </w:p>
    <w:p w14:paraId="2289453B" w14:textId="77777777" w:rsidR="00ED3511" w:rsidRPr="001B4A02" w:rsidRDefault="00ED3511" w:rsidP="00ED48A3">
      <w:pPr>
        <w:ind w:left="0" w:firstLine="0"/>
      </w:pPr>
    </w:p>
    <w:p w14:paraId="0731BF34" w14:textId="77777777" w:rsidR="00ED3511" w:rsidRPr="001B4A02" w:rsidRDefault="00000000" w:rsidP="00ED48A3">
      <w:pPr>
        <w:keepNext/>
        <w:rPr>
          <w:i/>
          <w:iCs/>
        </w:rPr>
      </w:pPr>
      <w:r w:rsidRPr="001B4A02">
        <w:rPr>
          <w:i/>
          <w:iCs/>
        </w:rPr>
        <w:t>Jiné oportunní infekce</w:t>
      </w:r>
    </w:p>
    <w:p w14:paraId="1A80EE68" w14:textId="77777777" w:rsidR="00ED3511" w:rsidRPr="001B4A02" w:rsidRDefault="00ED3511" w:rsidP="00ED48A3">
      <w:pPr>
        <w:keepNext/>
        <w:rPr>
          <w:u w:val="single"/>
        </w:rPr>
      </w:pPr>
    </w:p>
    <w:p w14:paraId="5F46CE51" w14:textId="77777777" w:rsidR="00ED3511" w:rsidRPr="001B4A02" w:rsidRDefault="00000000" w:rsidP="00A03600">
      <w:pPr>
        <w:ind w:left="0" w:firstLine="0"/>
      </w:pPr>
      <w:r w:rsidRPr="001B4A02">
        <w:t xml:space="preserve">U pacientů </w:t>
      </w:r>
      <w:r w:rsidR="00A507B3" w:rsidRPr="001B4A02">
        <w:t>po</w:t>
      </w:r>
      <w:r w:rsidRPr="001B4A02">
        <w:t>užívajících přípravek Humira byly hlášeny oportunní infekce, včetně invazivních fungálních infekcí. Tyto infekce nebyly u</w:t>
      </w:r>
      <w:r w:rsidR="00D15A04" w:rsidRPr="001B4A02">
        <w:t> </w:t>
      </w:r>
      <w:r w:rsidRPr="001B4A02">
        <w:t>pacientů užívajících TNF-antagonisty vždy rozpoznány, což mělo za následek opožděné nasazení vhodné léčby</w:t>
      </w:r>
      <w:r w:rsidR="002378E0">
        <w:t xml:space="preserve"> a </w:t>
      </w:r>
      <w:r w:rsidRPr="001B4A02">
        <w:t>v některých případech vedlo až k fatálnímu zakončení.</w:t>
      </w:r>
    </w:p>
    <w:p w14:paraId="3A65DEA8" w14:textId="77777777" w:rsidR="00ED3511" w:rsidRPr="001B4A02" w:rsidRDefault="00ED3511" w:rsidP="00ED48A3">
      <w:pPr>
        <w:ind w:left="0" w:firstLine="0"/>
      </w:pPr>
    </w:p>
    <w:p w14:paraId="711B95B7" w14:textId="77777777" w:rsidR="00ED3511" w:rsidRPr="001B4A02" w:rsidRDefault="00000000" w:rsidP="00ED48A3">
      <w:pPr>
        <w:ind w:left="0" w:firstLine="0"/>
      </w:pPr>
      <w:r w:rsidRPr="001B4A02">
        <w:t>U pacientů, u</w:t>
      </w:r>
      <w:r w:rsidR="00D15A04" w:rsidRPr="001B4A02">
        <w:t> </w:t>
      </w:r>
      <w:r w:rsidRPr="001B4A02">
        <w:t>nichž se rozvinou známky</w:t>
      </w:r>
      <w:r w:rsidR="002378E0">
        <w:t xml:space="preserve"> a </w:t>
      </w:r>
      <w:r w:rsidRPr="001B4A02">
        <w:t>příznaky</w:t>
      </w:r>
      <w:r w:rsidR="00E91CB6" w:rsidRPr="001B4A02">
        <w:t>,</w:t>
      </w:r>
      <w:r w:rsidRPr="001B4A02">
        <w:t xml:space="preserve"> jako je horečka, malátnost, úbytek hmotnosti, pocení, kašel, dyspnoe a/nebo plicní infiltráty či jiné závažné systémové onemocnění s nebo bez doprovodného šoku, je třeba pomýšlet na možnost invazivní plísňové infekce; </w:t>
      </w:r>
      <w:r w:rsidR="00A507B3" w:rsidRPr="001B4A02">
        <w:t>po</w:t>
      </w:r>
      <w:r w:rsidRPr="001B4A02">
        <w:t>užívání přípravku Humira by mělo být ihned přerušeno. Diagnóza onemocnění</w:t>
      </w:r>
      <w:r w:rsidR="002378E0">
        <w:t xml:space="preserve"> a </w:t>
      </w:r>
      <w:r w:rsidRPr="001B4A02">
        <w:t>zahájení empirické antifungální terapie u</w:t>
      </w:r>
      <w:r w:rsidR="00D15A04" w:rsidRPr="001B4A02">
        <w:t> </w:t>
      </w:r>
      <w:r w:rsidRPr="001B4A02">
        <w:t>těchto pacientů by mělo být učiněno po konzultaci s lékařem, který má zkušenost s léčbou pacientů s invazivními plísňovými infekcemi.</w:t>
      </w:r>
    </w:p>
    <w:p w14:paraId="4A4B80A5" w14:textId="77777777" w:rsidR="00ED3511" w:rsidRPr="001B4A02" w:rsidRDefault="00ED3511" w:rsidP="00ED48A3">
      <w:pPr>
        <w:ind w:left="0" w:firstLine="0"/>
      </w:pPr>
    </w:p>
    <w:p w14:paraId="4D931AD3" w14:textId="77777777" w:rsidR="00ED3511" w:rsidRPr="001B4A02" w:rsidRDefault="00000000" w:rsidP="00A03600">
      <w:pPr>
        <w:pStyle w:val="EMEANormal"/>
        <w:keepNext/>
        <w:tabs>
          <w:tab w:val="clear" w:pos="562"/>
        </w:tabs>
        <w:suppressAutoHyphens w:val="0"/>
        <w:rPr>
          <w:u w:val="single"/>
          <w:lang w:val="cs-CZ"/>
        </w:rPr>
      </w:pPr>
      <w:r w:rsidRPr="001B4A02">
        <w:rPr>
          <w:u w:val="single"/>
          <w:lang w:val="cs-CZ"/>
        </w:rPr>
        <w:t xml:space="preserve">Reaktivace </w:t>
      </w:r>
      <w:r w:rsidR="000D4191" w:rsidRPr="001B4A02">
        <w:rPr>
          <w:u w:val="single"/>
          <w:lang w:val="cs-CZ"/>
        </w:rPr>
        <w:t>hepatiti</w:t>
      </w:r>
      <w:r w:rsidR="000D4191">
        <w:rPr>
          <w:u w:val="single"/>
          <w:lang w:val="cs-CZ"/>
        </w:rPr>
        <w:t>dy</w:t>
      </w:r>
      <w:r w:rsidR="000D4191" w:rsidRPr="001B4A02">
        <w:rPr>
          <w:u w:val="single"/>
          <w:lang w:val="cs-CZ"/>
        </w:rPr>
        <w:t xml:space="preserve"> </w:t>
      </w:r>
      <w:r w:rsidRPr="001B4A02">
        <w:rPr>
          <w:u w:val="single"/>
          <w:lang w:val="cs-CZ"/>
        </w:rPr>
        <w:t>B</w:t>
      </w:r>
    </w:p>
    <w:p w14:paraId="1F78E52C" w14:textId="77777777" w:rsidR="00ED3511" w:rsidRPr="001B4A02" w:rsidRDefault="00ED3511" w:rsidP="00A03600">
      <w:pPr>
        <w:keepNext/>
        <w:ind w:left="0" w:firstLine="0"/>
        <w:rPr>
          <w:b/>
          <w:bCs/>
          <w:szCs w:val="22"/>
        </w:rPr>
      </w:pPr>
    </w:p>
    <w:p w14:paraId="7BFC9EA0" w14:textId="77777777" w:rsidR="00ED3511" w:rsidRPr="001B4A02" w:rsidRDefault="00000000" w:rsidP="00ED48A3">
      <w:pPr>
        <w:ind w:left="0" w:firstLine="0"/>
        <w:rPr>
          <w:szCs w:val="22"/>
          <w:lang w:eastAsia="de-DE"/>
        </w:rPr>
      </w:pPr>
      <w:r w:rsidRPr="001B4A02">
        <w:rPr>
          <w:szCs w:val="22"/>
          <w:lang w:eastAsia="de-DE"/>
        </w:rPr>
        <w:t>Reaktivace hepatiti</w:t>
      </w:r>
      <w:r w:rsidR="000D4191">
        <w:rPr>
          <w:szCs w:val="22"/>
          <w:lang w:eastAsia="de-DE"/>
        </w:rPr>
        <w:t>dy</w:t>
      </w:r>
      <w:r w:rsidRPr="001B4A02">
        <w:rPr>
          <w:szCs w:val="22"/>
          <w:lang w:eastAsia="de-DE"/>
        </w:rPr>
        <w:t xml:space="preserve"> B se objevila u těch pacientů, užívajících TNF</w:t>
      </w:r>
      <w:r w:rsidRPr="001B4A02">
        <w:rPr>
          <w:szCs w:val="22"/>
          <w:lang w:eastAsia="de-DE"/>
        </w:rPr>
        <w:noBreakHyphen/>
        <w:t>antagonisty včetně přípravku Humira, kteří jsou chronickými nositeli tohoto viru (tedy surface antigen pozitivní). Některé z případů byly fatální. Pacienti by měli být testováni na přítomnost možné nákazy HBV ještě před zap</w:t>
      </w:r>
      <w:r w:rsidR="00790DEF" w:rsidRPr="001B4A02">
        <w:rPr>
          <w:szCs w:val="22"/>
          <w:lang w:eastAsia="de-DE"/>
        </w:rPr>
        <w:t>očetím léčby přípravkem Humira.</w:t>
      </w:r>
    </w:p>
    <w:p w14:paraId="255E5192" w14:textId="77777777" w:rsidR="00ED3511" w:rsidRPr="001B4A02" w:rsidRDefault="00000000" w:rsidP="00ED48A3">
      <w:pPr>
        <w:ind w:left="0" w:firstLine="0"/>
        <w:rPr>
          <w:szCs w:val="22"/>
          <w:lang w:eastAsia="de-DE"/>
        </w:rPr>
      </w:pPr>
      <w:r w:rsidRPr="001B4A02">
        <w:rPr>
          <w:szCs w:val="22"/>
          <w:lang w:eastAsia="de-DE"/>
        </w:rPr>
        <w:t>Pacientům, u</w:t>
      </w:r>
      <w:r w:rsidR="00D15A04" w:rsidRPr="001B4A02">
        <w:rPr>
          <w:szCs w:val="22"/>
          <w:lang w:eastAsia="de-DE"/>
        </w:rPr>
        <w:t> </w:t>
      </w:r>
      <w:r w:rsidRPr="001B4A02">
        <w:rPr>
          <w:szCs w:val="22"/>
          <w:lang w:eastAsia="de-DE"/>
        </w:rPr>
        <w:t xml:space="preserve">kterých byl test na infekci </w:t>
      </w:r>
      <w:r w:rsidR="005363C8" w:rsidRPr="001B4A02">
        <w:rPr>
          <w:szCs w:val="22"/>
          <w:lang w:eastAsia="de-DE"/>
        </w:rPr>
        <w:t>hepatiti</w:t>
      </w:r>
      <w:r w:rsidR="005363C8">
        <w:rPr>
          <w:szCs w:val="22"/>
          <w:lang w:eastAsia="de-DE"/>
        </w:rPr>
        <w:t>dy </w:t>
      </w:r>
      <w:r w:rsidRPr="001B4A02">
        <w:rPr>
          <w:szCs w:val="22"/>
          <w:lang w:eastAsia="de-DE"/>
        </w:rPr>
        <w:t xml:space="preserve">B pozitivní, je třeba doporučit, aby vyhledali pomoc lékaře, který má zkušenosti s léčbou </w:t>
      </w:r>
      <w:r w:rsidR="005363C8" w:rsidRPr="001B4A02">
        <w:rPr>
          <w:szCs w:val="22"/>
          <w:lang w:eastAsia="de-DE"/>
        </w:rPr>
        <w:t>hepatiti</w:t>
      </w:r>
      <w:r w:rsidR="005363C8">
        <w:rPr>
          <w:szCs w:val="22"/>
          <w:lang w:eastAsia="de-DE"/>
        </w:rPr>
        <w:t>dy </w:t>
      </w:r>
      <w:r w:rsidRPr="001B4A02">
        <w:rPr>
          <w:szCs w:val="22"/>
          <w:lang w:eastAsia="de-DE"/>
        </w:rPr>
        <w:t>B.</w:t>
      </w:r>
    </w:p>
    <w:p w14:paraId="2E6C01D1" w14:textId="77777777" w:rsidR="00ED3511" w:rsidRPr="001B4A02" w:rsidRDefault="00ED3511" w:rsidP="00ED48A3">
      <w:pPr>
        <w:ind w:left="0" w:firstLine="0"/>
        <w:rPr>
          <w:szCs w:val="22"/>
          <w:lang w:eastAsia="de-DE"/>
        </w:rPr>
      </w:pPr>
    </w:p>
    <w:p w14:paraId="008E761D" w14:textId="77777777" w:rsidR="00ED3511" w:rsidRPr="001B4A02" w:rsidRDefault="00000000" w:rsidP="00ED48A3">
      <w:pPr>
        <w:ind w:left="0" w:firstLine="0"/>
        <w:rPr>
          <w:szCs w:val="22"/>
          <w:lang w:eastAsia="de-DE"/>
        </w:rPr>
      </w:pPr>
      <w:r w:rsidRPr="001B4A02">
        <w:rPr>
          <w:szCs w:val="22"/>
          <w:lang w:eastAsia="de-DE"/>
        </w:rPr>
        <w:t xml:space="preserve">Nositelé HBV, kteří vyžadují léčbu přípravkem Humira, </w:t>
      </w:r>
      <w:r w:rsidR="000D4191">
        <w:rPr>
          <w:szCs w:val="22"/>
          <w:lang w:eastAsia="de-DE"/>
        </w:rPr>
        <w:t>mají</w:t>
      </w:r>
      <w:r w:rsidR="000D4191" w:rsidRPr="001B4A02">
        <w:rPr>
          <w:szCs w:val="22"/>
          <w:lang w:eastAsia="de-DE"/>
        </w:rPr>
        <w:t xml:space="preserve"> </w:t>
      </w:r>
      <w:r w:rsidRPr="001B4A02">
        <w:rPr>
          <w:szCs w:val="22"/>
          <w:lang w:eastAsia="de-DE"/>
        </w:rPr>
        <w:t>být v průběhu léčby</w:t>
      </w:r>
      <w:r w:rsidR="002378E0">
        <w:rPr>
          <w:szCs w:val="22"/>
          <w:lang w:eastAsia="de-DE"/>
        </w:rPr>
        <w:t xml:space="preserve"> a </w:t>
      </w:r>
      <w:r w:rsidRPr="001B4A02">
        <w:rPr>
          <w:szCs w:val="22"/>
          <w:lang w:eastAsia="de-DE"/>
        </w:rPr>
        <w:t xml:space="preserve">několik dalších měsíců po jejím ukončení pečlivě sledováni z hlediska výskytu známek či projevů aktivní HBV infekce. </w:t>
      </w:r>
      <w:r w:rsidRPr="001B4A02">
        <w:t>Adekvátní údaje, vypovídající o léčbě pacientů, nositelů HBV, kombinací TNF</w:t>
      </w:r>
      <w:r w:rsidRPr="001B4A02">
        <w:noBreakHyphen/>
        <w:t>antagonisty</w:t>
      </w:r>
      <w:r w:rsidR="002378E0">
        <w:t xml:space="preserve"> a </w:t>
      </w:r>
      <w:r w:rsidRPr="001B4A02">
        <w:t xml:space="preserve">antivirotika z důvodu zabránění reaktivace HBV, nejsou k dispozici. </w:t>
      </w:r>
      <w:r w:rsidRPr="001B4A02">
        <w:rPr>
          <w:szCs w:val="22"/>
          <w:lang w:eastAsia="de-DE"/>
        </w:rPr>
        <w:t>U pacientů, u kterých dojde k rozvoji HBV reaktivace, musí být přípravek Humira vysazen</w:t>
      </w:r>
      <w:r w:rsidR="002378E0">
        <w:rPr>
          <w:szCs w:val="22"/>
          <w:lang w:eastAsia="de-DE"/>
        </w:rPr>
        <w:t xml:space="preserve"> a </w:t>
      </w:r>
      <w:r w:rsidRPr="001B4A02">
        <w:rPr>
          <w:szCs w:val="22"/>
          <w:lang w:eastAsia="de-DE"/>
        </w:rPr>
        <w:t>je třeba zahájit účinnou antivirovou terapii</w:t>
      </w:r>
      <w:r w:rsidR="002378E0">
        <w:rPr>
          <w:szCs w:val="22"/>
          <w:lang w:eastAsia="de-DE"/>
        </w:rPr>
        <w:t xml:space="preserve"> a </w:t>
      </w:r>
      <w:r w:rsidRPr="001B4A02">
        <w:rPr>
          <w:szCs w:val="22"/>
          <w:lang w:eastAsia="de-DE"/>
        </w:rPr>
        <w:t>další podpůrnou léčbu.</w:t>
      </w:r>
    </w:p>
    <w:p w14:paraId="7455D913" w14:textId="77777777" w:rsidR="00ED3511" w:rsidRPr="001B4A02" w:rsidRDefault="00ED3511" w:rsidP="00ED48A3">
      <w:pPr>
        <w:ind w:left="0" w:firstLine="0"/>
      </w:pPr>
    </w:p>
    <w:p w14:paraId="1C75A3FE" w14:textId="77777777" w:rsidR="00ED3511" w:rsidRPr="001B4A02" w:rsidRDefault="00000000" w:rsidP="00ED48A3">
      <w:pPr>
        <w:keepNext/>
        <w:rPr>
          <w:u w:val="single"/>
        </w:rPr>
      </w:pPr>
      <w:r w:rsidRPr="001B4A02">
        <w:rPr>
          <w:u w:val="single"/>
        </w:rPr>
        <w:t>Neurologické příhody</w:t>
      </w:r>
    </w:p>
    <w:p w14:paraId="6821107A" w14:textId="77777777" w:rsidR="00ED3511" w:rsidRPr="001B4A02" w:rsidRDefault="00ED3511" w:rsidP="00ED48A3">
      <w:pPr>
        <w:keepNext/>
        <w:ind w:left="0" w:firstLine="0"/>
      </w:pPr>
    </w:p>
    <w:p w14:paraId="578203EB" w14:textId="77777777" w:rsidR="00ED3511" w:rsidRPr="001B4A02" w:rsidRDefault="00000000" w:rsidP="00A03600">
      <w:pPr>
        <w:ind w:left="0" w:firstLine="0"/>
      </w:pPr>
      <w:r w:rsidRPr="001B4A02">
        <w:t>V souvislosti s podáváním antagonistů TNF včetně přípravku Humira se vzácně vyskytly případy nového vzniku nebo exacerbace klinických symptomů a/nebo radiografického průkazu demyelinizačního onemocnění centrálního nervového systému, včetně roztroušené sklerózy</w:t>
      </w:r>
      <w:r w:rsidR="002378E0">
        <w:t xml:space="preserve"> a </w:t>
      </w:r>
      <w:r w:rsidRPr="001B4A02">
        <w:t>optické neuritidy</w:t>
      </w:r>
      <w:r w:rsidR="002378E0">
        <w:t xml:space="preserve"> a </w:t>
      </w:r>
      <w:r w:rsidRPr="001B4A02">
        <w:t>periferního nervového systému, včetně Guillain-Barré syndromu. Předepisující lékaři by měli s opatrností zvážit použití přípravku Humira u</w:t>
      </w:r>
      <w:r w:rsidR="00D15A04" w:rsidRPr="001B4A02">
        <w:t> </w:t>
      </w:r>
      <w:r w:rsidRPr="001B4A02">
        <w:t>pacientů s preexistujícími nebo v nedávné době vzniklými demyelinizačními poruchami centrálního nebo periferního nervového systému</w:t>
      </w:r>
      <w:r w:rsidR="00F565BA" w:rsidRPr="001B4A02">
        <w:t>; pokud se některá z uvedených poruch objeví, je třeba zvážit vysazení přípravku Humira</w:t>
      </w:r>
      <w:r w:rsidR="00F565BA" w:rsidRPr="001B4A02">
        <w:rPr>
          <w:bCs/>
        </w:rPr>
        <w:t>. Je známo, že existuje spojení mezi intermediální uveitidou</w:t>
      </w:r>
      <w:r w:rsidR="002378E0">
        <w:rPr>
          <w:bCs/>
        </w:rPr>
        <w:t xml:space="preserve"> a </w:t>
      </w:r>
      <w:r w:rsidR="00F565BA" w:rsidRPr="001B4A02">
        <w:t>demyelinizačními poruchami centrálního nervového systému. U pacientů s neinfekční intermediální uveitidou je třeba před zahájením terapie přípravkem Humira</w:t>
      </w:r>
      <w:r w:rsidR="002378E0">
        <w:t xml:space="preserve"> a </w:t>
      </w:r>
      <w:r w:rsidR="00F565BA" w:rsidRPr="001B4A02">
        <w:t>pravidelně během léčby provádět neurologické vyšetření k</w:t>
      </w:r>
      <w:r w:rsidR="00B66B89" w:rsidRPr="001B4A02">
        <w:t> </w:t>
      </w:r>
      <w:r w:rsidR="00F565BA" w:rsidRPr="001B4A02">
        <w:t>posouzení preexistujících nebo vyvíjejících se demyelinizačních poruch centrálního nervového systému</w:t>
      </w:r>
      <w:r w:rsidR="00790DEF" w:rsidRPr="001B4A02">
        <w:t>.</w:t>
      </w:r>
    </w:p>
    <w:p w14:paraId="31DD21EB" w14:textId="77777777" w:rsidR="00ED3511" w:rsidRPr="001B4A02" w:rsidRDefault="00ED3511" w:rsidP="00ED48A3">
      <w:pPr>
        <w:ind w:left="0" w:firstLine="0"/>
      </w:pPr>
    </w:p>
    <w:p w14:paraId="0B6AFC28" w14:textId="77777777" w:rsidR="00ED3511" w:rsidRPr="001B4A02" w:rsidRDefault="00000000" w:rsidP="00A03600">
      <w:pPr>
        <w:keepNext/>
        <w:ind w:left="0" w:firstLine="0"/>
        <w:rPr>
          <w:u w:val="single"/>
        </w:rPr>
      </w:pPr>
      <w:r w:rsidRPr="001B4A02">
        <w:rPr>
          <w:u w:val="single"/>
        </w:rPr>
        <w:t>Alergické reakce</w:t>
      </w:r>
    </w:p>
    <w:p w14:paraId="22583E75" w14:textId="77777777" w:rsidR="00ED3511" w:rsidRPr="001B4A02" w:rsidRDefault="00ED3511" w:rsidP="00A03600">
      <w:pPr>
        <w:keepNext/>
        <w:ind w:left="0" w:firstLine="0"/>
      </w:pPr>
    </w:p>
    <w:p w14:paraId="2E60E3A0" w14:textId="77777777" w:rsidR="00ED3511" w:rsidRPr="001B4A02" w:rsidRDefault="00000000" w:rsidP="00ED48A3">
      <w:pPr>
        <w:ind w:left="0" w:firstLine="0"/>
      </w:pPr>
      <w:r w:rsidRPr="001B4A02">
        <w:t>Při podávání přípravku Humira v klinických studiíchbyly závažné alergické reakce, spojené s jeho podáním, pozorovány pouze vzácně. V klinických studiích s přípravkem Humira se občas vyskytly nezávažné alergické reakce. Hlášení z praxe uvádějí výskyt závažných alergických reakcí, včetně anafylaxe, po podání přípravku Humira. Pokud se objeví anafylaktická reakce nebo jiná závažná alergická reakce, musí být ihned ukončeno podávání přípravku Humira</w:t>
      </w:r>
      <w:r w:rsidR="002378E0">
        <w:t xml:space="preserve"> a </w:t>
      </w:r>
      <w:r w:rsidRPr="001B4A02">
        <w:t>zahájená příslušná léčba.</w:t>
      </w:r>
    </w:p>
    <w:p w14:paraId="560931C9" w14:textId="77777777" w:rsidR="00ED3511" w:rsidRPr="001B4A02" w:rsidRDefault="00ED3511" w:rsidP="00ED48A3">
      <w:pPr>
        <w:ind w:left="0" w:firstLine="0"/>
      </w:pPr>
    </w:p>
    <w:p w14:paraId="39C7E2DB" w14:textId="77777777" w:rsidR="00ED3511" w:rsidRPr="001B4A02" w:rsidRDefault="00000000" w:rsidP="00A03600">
      <w:pPr>
        <w:keepNext/>
        <w:ind w:left="0" w:firstLine="0"/>
      </w:pPr>
      <w:r w:rsidRPr="001B4A02">
        <w:rPr>
          <w:u w:val="single"/>
        </w:rPr>
        <w:t>Imunosuprese</w:t>
      </w:r>
    </w:p>
    <w:p w14:paraId="4456C88B" w14:textId="77777777" w:rsidR="00ED3511" w:rsidRPr="001B4A02" w:rsidRDefault="00ED3511" w:rsidP="00A03600">
      <w:pPr>
        <w:keepNext/>
        <w:ind w:left="0" w:firstLine="0"/>
      </w:pPr>
    </w:p>
    <w:p w14:paraId="5058664B" w14:textId="77777777" w:rsidR="00ED3511" w:rsidRPr="001B4A02" w:rsidRDefault="00000000" w:rsidP="00ED48A3">
      <w:pPr>
        <w:ind w:left="0" w:firstLine="0"/>
      </w:pPr>
      <w:r w:rsidRPr="001B4A02">
        <w:t>Ve studii u 64 pacientů s revmatoidní artritidou, kteří byli léčeni přípravkem Humira, nebylo prokázáno snížení hypersenzitivity opožděného typu, snížení hladin imunoglobulinů nebo změna v počtu efektorových T, B</w:t>
      </w:r>
      <w:r w:rsidR="002378E0">
        <w:t xml:space="preserve"> a </w:t>
      </w:r>
      <w:r w:rsidRPr="001B4A02">
        <w:t>NK buněk, monocytů/makrofágů</w:t>
      </w:r>
      <w:r w:rsidR="002378E0">
        <w:t xml:space="preserve"> a </w:t>
      </w:r>
      <w:r w:rsidRPr="001B4A02">
        <w:t>neutrofilů.</w:t>
      </w:r>
    </w:p>
    <w:p w14:paraId="6A59375E" w14:textId="77777777" w:rsidR="00ED3511" w:rsidRPr="001B4A02" w:rsidRDefault="00ED3511" w:rsidP="00ED48A3">
      <w:pPr>
        <w:ind w:left="0" w:firstLine="0"/>
      </w:pPr>
    </w:p>
    <w:p w14:paraId="7BADEF1B" w14:textId="77777777" w:rsidR="00ED3511" w:rsidRPr="001B4A02" w:rsidRDefault="00000000" w:rsidP="00ED48A3">
      <w:pPr>
        <w:pStyle w:val="EMEAHeadingUnderline"/>
        <w:keepNext/>
        <w:tabs>
          <w:tab w:val="clear" w:pos="562"/>
        </w:tabs>
        <w:suppressAutoHyphens w:val="0"/>
        <w:spacing w:beforeLines="0" w:before="0" w:afterLines="0" w:after="0"/>
        <w:rPr>
          <w:szCs w:val="24"/>
          <w:lang w:val="cs-CZ"/>
        </w:rPr>
      </w:pPr>
      <w:r w:rsidRPr="001B4A02">
        <w:rPr>
          <w:szCs w:val="24"/>
          <w:lang w:val="cs-CZ"/>
        </w:rPr>
        <w:t>Maligní onemocněn</w:t>
      </w:r>
      <w:r w:rsidR="00790DEF" w:rsidRPr="001B4A02">
        <w:rPr>
          <w:szCs w:val="24"/>
          <w:lang w:val="cs-CZ"/>
        </w:rPr>
        <w:t>í</w:t>
      </w:r>
      <w:r w:rsidR="002378E0">
        <w:rPr>
          <w:szCs w:val="24"/>
          <w:lang w:val="cs-CZ"/>
        </w:rPr>
        <w:t xml:space="preserve"> a </w:t>
      </w:r>
      <w:r w:rsidR="00790DEF" w:rsidRPr="001B4A02">
        <w:rPr>
          <w:szCs w:val="24"/>
          <w:lang w:val="cs-CZ"/>
        </w:rPr>
        <w:t>lymfoproliferativní poruchy</w:t>
      </w:r>
    </w:p>
    <w:p w14:paraId="5ABAD678" w14:textId="77777777" w:rsidR="00ED3511" w:rsidRPr="001B4A02" w:rsidRDefault="00ED3511" w:rsidP="00ED48A3">
      <w:pPr>
        <w:pStyle w:val="EMEANormal"/>
        <w:keepNext/>
        <w:tabs>
          <w:tab w:val="clear" w:pos="562"/>
        </w:tabs>
        <w:suppressAutoHyphens w:val="0"/>
        <w:rPr>
          <w:szCs w:val="24"/>
          <w:lang w:val="cs-CZ"/>
        </w:rPr>
      </w:pPr>
    </w:p>
    <w:p w14:paraId="4CC29694" w14:textId="77777777" w:rsidR="00ED3511" w:rsidRPr="001B4A02" w:rsidRDefault="00000000" w:rsidP="00A03600">
      <w:pPr>
        <w:pStyle w:val="EMEANormal"/>
        <w:tabs>
          <w:tab w:val="clear" w:pos="562"/>
        </w:tabs>
        <w:suppressAutoHyphens w:val="0"/>
        <w:rPr>
          <w:szCs w:val="24"/>
          <w:lang w:val="cs-CZ"/>
        </w:rPr>
      </w:pPr>
      <w:r w:rsidRPr="001B4A02">
        <w:rPr>
          <w:szCs w:val="24"/>
          <w:lang w:val="cs-CZ"/>
        </w:rPr>
        <w:t>V kontrolovaných částech klinických studií s antagonisty TNF bylo u pacientů léčených antagonisty TNF pozorováno v porovnání s kontrolní skupinou pacientů více případů malignit včetně lymfomů. Jejich výskyt byl však vzácný. V postmarketingovém období byly u</w:t>
      </w:r>
      <w:r w:rsidR="00D15A04" w:rsidRPr="001B4A02">
        <w:rPr>
          <w:szCs w:val="24"/>
          <w:lang w:val="cs-CZ"/>
        </w:rPr>
        <w:t> </w:t>
      </w:r>
      <w:r w:rsidRPr="001B4A02">
        <w:rPr>
          <w:szCs w:val="24"/>
          <w:lang w:val="cs-CZ"/>
        </w:rPr>
        <w:t>pacientů léčených TNF-antagonisty hlášeny případy leukémie. U pacientů s revmatoidní artritidou s dlouhodobým vysoce aktivním zánětlivým onemocněním existuje zvýšené riziko vzniku lymfomu</w:t>
      </w:r>
      <w:r w:rsidR="002378E0">
        <w:rPr>
          <w:szCs w:val="24"/>
          <w:lang w:val="cs-CZ"/>
        </w:rPr>
        <w:t xml:space="preserve"> a </w:t>
      </w:r>
      <w:r w:rsidRPr="001B4A02">
        <w:rPr>
          <w:szCs w:val="24"/>
          <w:lang w:val="cs-CZ"/>
        </w:rPr>
        <w:t>leukémie, což komplikuje odhad rizika. Podle současného stavu znalostí nelze u pacientů léčených antagonisty TNF vyloučit možné riziko rozvoje lymfomů, leukémie</w:t>
      </w:r>
      <w:r w:rsidR="002378E0">
        <w:rPr>
          <w:szCs w:val="24"/>
          <w:lang w:val="cs-CZ"/>
        </w:rPr>
        <w:t xml:space="preserve"> a </w:t>
      </w:r>
      <w:r w:rsidRPr="001B4A02">
        <w:rPr>
          <w:szCs w:val="24"/>
          <w:lang w:val="cs-CZ"/>
        </w:rPr>
        <w:t>jiných maligních onemocnění.</w:t>
      </w:r>
    </w:p>
    <w:p w14:paraId="60179590" w14:textId="77777777" w:rsidR="00ED3511" w:rsidRPr="001B4A02" w:rsidRDefault="00ED3511" w:rsidP="00ED48A3">
      <w:pPr>
        <w:ind w:left="0" w:firstLine="0"/>
      </w:pPr>
    </w:p>
    <w:p w14:paraId="03D1A170" w14:textId="77777777" w:rsidR="00ED3511" w:rsidRPr="001B4A02" w:rsidRDefault="00000000" w:rsidP="00ED48A3">
      <w:pPr>
        <w:ind w:left="0" w:firstLine="0"/>
      </w:pPr>
      <w:r w:rsidRPr="001B4A02">
        <w:t>V postmarketingovém období byly u</w:t>
      </w:r>
      <w:r w:rsidR="00255A0A" w:rsidRPr="001B4A02">
        <w:t> </w:t>
      </w:r>
      <w:r w:rsidRPr="001B4A02">
        <w:t xml:space="preserve">dětí, </w:t>
      </w:r>
      <w:r w:rsidR="007633DC">
        <w:t>dospívajících</w:t>
      </w:r>
      <w:r w:rsidR="002378E0">
        <w:t xml:space="preserve"> a </w:t>
      </w:r>
      <w:r w:rsidRPr="001B4A02">
        <w:t>mladých dospělých (do 22 let) užívajících TNF-blokátory (zahájení léčby v</w:t>
      </w:r>
      <w:r w:rsidR="00255A0A" w:rsidRPr="001B4A02">
        <w:t> </w:t>
      </w:r>
      <w:r w:rsidRPr="001B4A02">
        <w:t>≤ 18 letech věku), včetně adalimumabu, hlášeny malignity, z nichž některé byly fatální. Přibližně polovina případů byly lymfomy. Jiné případy představovaly různé druhy malignit</w:t>
      </w:r>
      <w:r w:rsidR="002378E0">
        <w:t xml:space="preserve"> a </w:t>
      </w:r>
      <w:r w:rsidRPr="001B4A02">
        <w:t>zahrnovaly vzácné malignity, které jsou obvykle spojeny s imunosupresí. Riziko rozvoje malignit u</w:t>
      </w:r>
      <w:r w:rsidR="00D15A04" w:rsidRPr="001B4A02">
        <w:t> </w:t>
      </w:r>
      <w:r w:rsidRPr="001B4A02">
        <w:t>dětí</w:t>
      </w:r>
      <w:r w:rsidR="002378E0">
        <w:t xml:space="preserve"> a </w:t>
      </w:r>
      <w:r w:rsidR="007633DC">
        <w:t>dospívajících</w:t>
      </w:r>
      <w:r w:rsidRPr="001B4A02">
        <w:t xml:space="preserve"> léčených TNF-blokátory nelze vyloučit.</w:t>
      </w:r>
    </w:p>
    <w:p w14:paraId="1C2AFD49" w14:textId="77777777" w:rsidR="00ED3511" w:rsidRPr="001B4A02" w:rsidRDefault="00ED3511" w:rsidP="00ED48A3"/>
    <w:p w14:paraId="3843AAD1" w14:textId="77777777" w:rsidR="00ED3511" w:rsidRPr="001B4A02" w:rsidRDefault="00000000" w:rsidP="00ED48A3">
      <w:pPr>
        <w:pStyle w:val="EMEANormal"/>
        <w:tabs>
          <w:tab w:val="clear" w:pos="562"/>
        </w:tabs>
        <w:suppressAutoHyphens w:val="0"/>
        <w:rPr>
          <w:lang w:val="cs-CZ"/>
        </w:rPr>
      </w:pPr>
      <w:r w:rsidRPr="001B4A02">
        <w:rPr>
          <w:lang w:val="cs-CZ"/>
        </w:rPr>
        <w:t>Z postmarketingové praxe u</w:t>
      </w:r>
      <w:r w:rsidR="00DD02A9" w:rsidRPr="001B4A02">
        <w:rPr>
          <w:lang w:val="cs-CZ"/>
        </w:rPr>
        <w:t> </w:t>
      </w:r>
      <w:r w:rsidRPr="001B4A02">
        <w:rPr>
          <w:lang w:val="cs-CZ"/>
        </w:rPr>
        <w:t>pacientů léčených adalimumabem byly hlášeny vzácné případy hepatosplenického T-buněčného lymfomu. Tento vzácný typ T-buněčného lymfomu se vyznačuje velmi agresívním průběhem onemocnění</w:t>
      </w:r>
      <w:r w:rsidR="002378E0">
        <w:rPr>
          <w:lang w:val="cs-CZ"/>
        </w:rPr>
        <w:t xml:space="preserve"> a </w:t>
      </w:r>
      <w:r w:rsidRPr="001B4A02">
        <w:rPr>
          <w:lang w:val="cs-CZ"/>
        </w:rPr>
        <w:t>je obvykle fatální. Některé z těchto T-buněčných lymfomů, spojované s</w:t>
      </w:r>
      <w:r w:rsidR="00DD02A9" w:rsidRPr="001B4A02">
        <w:rPr>
          <w:lang w:val="cs-CZ"/>
        </w:rPr>
        <w:t> </w:t>
      </w:r>
      <w:r w:rsidRPr="001B4A02">
        <w:rPr>
          <w:lang w:val="cs-CZ"/>
        </w:rPr>
        <w:t>přípravkem Humira, se vyskytly u</w:t>
      </w:r>
      <w:r w:rsidR="00D15A04" w:rsidRPr="001B4A02">
        <w:rPr>
          <w:lang w:val="cs-CZ"/>
        </w:rPr>
        <w:t> </w:t>
      </w:r>
      <w:r w:rsidRPr="001B4A02">
        <w:rPr>
          <w:lang w:val="cs-CZ"/>
        </w:rPr>
        <w:t>mladých pacientů léčených současně azathioprinem nebo 6-merkaptopurinem pro zánětlivé střevní onemocnění. Možné riziko kombinace azathioprinu nebo 6-merkaptopurinu</w:t>
      </w:r>
      <w:r w:rsidR="002378E0">
        <w:rPr>
          <w:lang w:val="cs-CZ"/>
        </w:rPr>
        <w:t xml:space="preserve"> a </w:t>
      </w:r>
      <w:r w:rsidRPr="001B4A02">
        <w:rPr>
          <w:lang w:val="cs-CZ"/>
        </w:rPr>
        <w:t>přípravku Humira je třeba pečlivě zvážit. Riziko rozvoje hepatosplenického T-buněčného lymfomu nelze u</w:t>
      </w:r>
      <w:r w:rsidR="00DD02A9" w:rsidRPr="001B4A02">
        <w:rPr>
          <w:lang w:val="cs-CZ"/>
        </w:rPr>
        <w:t> </w:t>
      </w:r>
      <w:r w:rsidRPr="001B4A02">
        <w:rPr>
          <w:lang w:val="cs-CZ"/>
        </w:rPr>
        <w:t>pacientů léčených přípravkem Humira vyloučit (viz bod 4.8).</w:t>
      </w:r>
    </w:p>
    <w:p w14:paraId="16FCF0D7" w14:textId="77777777" w:rsidR="00ED3511" w:rsidRPr="001B4A02" w:rsidRDefault="00ED3511" w:rsidP="00ED48A3"/>
    <w:p w14:paraId="00B02494" w14:textId="77777777" w:rsidR="00ED3511" w:rsidRPr="001B4A02" w:rsidRDefault="00000000" w:rsidP="00ED48A3">
      <w:pPr>
        <w:ind w:left="0" w:firstLine="0"/>
      </w:pPr>
      <w:r w:rsidRPr="001B4A02">
        <w:t>Nebyly provedeny žádné studie u pacientů s anamnézou maligního onemocnění nebo v</w:t>
      </w:r>
      <w:r w:rsidR="00255A0A" w:rsidRPr="001B4A02">
        <w:t> </w:t>
      </w:r>
      <w:r w:rsidRPr="001B4A02">
        <w:t>případech, kde by léčba přípravkem Humira dále pokračovala i u pacientů, u kterých došlo k</w:t>
      </w:r>
      <w:r w:rsidR="00B66B89" w:rsidRPr="001B4A02">
        <w:t> </w:t>
      </w:r>
      <w:r w:rsidRPr="001B4A02">
        <w:t>rozvoji maligního onemocnění. Je proto zapotřebí ještě větší opatrnost při úvaze o léčbě přípravkem Humira u těchto pacientů (viz bod 4.8).</w:t>
      </w:r>
    </w:p>
    <w:p w14:paraId="0077E549" w14:textId="77777777" w:rsidR="00ED3511" w:rsidRPr="001B4A02" w:rsidRDefault="00ED3511" w:rsidP="00ED48A3">
      <w:pPr>
        <w:ind w:left="0" w:firstLine="0"/>
      </w:pPr>
    </w:p>
    <w:p w14:paraId="12A3D8BF" w14:textId="77777777" w:rsidR="00ED3511" w:rsidRPr="001B4A02" w:rsidRDefault="00000000" w:rsidP="00ED48A3">
      <w:pPr>
        <w:ind w:left="0" w:firstLine="0"/>
      </w:pPr>
      <w:r w:rsidRPr="001B4A02">
        <w:t>Všechny pacienty, zvláště pacienty s anamnézou rozsáhlé imunosupres</w:t>
      </w:r>
      <w:r w:rsidR="00B60555" w:rsidRPr="001B4A02">
        <w:t>i</w:t>
      </w:r>
      <w:r w:rsidRPr="001B4A02">
        <w:t>vní léčby nebo pacienty s psoriázou, kteří byli v minulosti léčeni PUVA, je třeba vyšetřit na přítomnost nemelanomového kožního karcinomu ještě před</w:t>
      </w:r>
      <w:r w:rsidR="002378E0">
        <w:t xml:space="preserve"> a </w:t>
      </w:r>
      <w:r w:rsidRPr="001B4A02">
        <w:t>během léčby přípravkem Humira. U</w:t>
      </w:r>
      <w:r w:rsidR="00D15A04" w:rsidRPr="001B4A02">
        <w:t> </w:t>
      </w:r>
      <w:r w:rsidRPr="001B4A02">
        <w:t>pacientů užívajících TNF-antagonisty, včetně přípravku Humira, byl také hlášen výskyt melanomu</w:t>
      </w:r>
      <w:r w:rsidR="002378E0">
        <w:t xml:space="preserve"> a </w:t>
      </w:r>
      <w:r w:rsidRPr="001B4A02">
        <w:t>karcinomu z Merkelových buněk (viz bod 4.8).</w:t>
      </w:r>
    </w:p>
    <w:p w14:paraId="32BED158" w14:textId="77777777" w:rsidR="00ED3511" w:rsidRPr="001B4A02" w:rsidRDefault="00ED3511" w:rsidP="00ED48A3">
      <w:pPr>
        <w:ind w:left="0" w:firstLine="0"/>
      </w:pPr>
    </w:p>
    <w:p w14:paraId="5D71DFC4" w14:textId="77777777" w:rsidR="00ED3511" w:rsidRPr="001B4A02" w:rsidRDefault="00000000" w:rsidP="00ED48A3">
      <w:pPr>
        <w:pStyle w:val="EMEANormal"/>
        <w:tabs>
          <w:tab w:val="clear" w:pos="562"/>
        </w:tabs>
        <w:suppressAutoHyphens w:val="0"/>
        <w:rPr>
          <w:bCs/>
          <w:szCs w:val="22"/>
          <w:lang w:val="cs-CZ"/>
        </w:rPr>
      </w:pPr>
      <w:r w:rsidRPr="001B4A02">
        <w:rPr>
          <w:bCs/>
          <w:szCs w:val="22"/>
          <w:lang w:val="cs-CZ"/>
        </w:rPr>
        <w:t>V ověřovací klinické studii, zkoumající užívání jiné</w:t>
      </w:r>
      <w:r w:rsidR="00315FB3" w:rsidRPr="001B4A02">
        <w:rPr>
          <w:bCs/>
          <w:szCs w:val="22"/>
          <w:lang w:val="cs-CZ"/>
        </w:rPr>
        <w:t>ho</w:t>
      </w:r>
      <w:r w:rsidRPr="001B4A02">
        <w:rPr>
          <w:bCs/>
          <w:szCs w:val="22"/>
          <w:lang w:val="cs-CZ"/>
        </w:rPr>
        <w:t xml:space="preserve"> antagonisty TNF, infliximabu, u pacientů se středně </w:t>
      </w:r>
      <w:r w:rsidR="00CC2F88" w:rsidRPr="001B4A02">
        <w:rPr>
          <w:bCs/>
          <w:szCs w:val="22"/>
          <w:lang w:val="cs-CZ"/>
        </w:rPr>
        <w:t xml:space="preserve">těžkou </w:t>
      </w:r>
      <w:r w:rsidRPr="001B4A02">
        <w:rPr>
          <w:bCs/>
          <w:szCs w:val="22"/>
          <w:lang w:val="cs-CZ"/>
        </w:rPr>
        <w:t>až těžkou chronickou obstrukční chorobou plicní (CHOPN), bylo u pacientů léčených infliximabem pozorováno více malignit, převážně plic, hlavy</w:t>
      </w:r>
      <w:r w:rsidR="002378E0">
        <w:rPr>
          <w:bCs/>
          <w:szCs w:val="22"/>
          <w:lang w:val="cs-CZ"/>
        </w:rPr>
        <w:t xml:space="preserve"> a </w:t>
      </w:r>
      <w:r w:rsidRPr="001B4A02">
        <w:rPr>
          <w:bCs/>
          <w:szCs w:val="22"/>
          <w:lang w:val="cs-CZ"/>
        </w:rPr>
        <w:t>krku v porovnání s kontrolní skupinou pacientů. Všichni pacienti byli v minulosti těžcí kuřáci. Z tohoto důvodu je zapotřebí opatrnosti při užívání jakéhokoli TNF-antagonisty u pacientů s CHOPN, stejně jako u pacientů s vyšším rizikem vzniku malignit v důsledku jejich těžkého kuřáctví.</w:t>
      </w:r>
    </w:p>
    <w:p w14:paraId="74A24CA3" w14:textId="77777777" w:rsidR="00ED3511" w:rsidRPr="001B4A02" w:rsidRDefault="00ED3511" w:rsidP="00ED48A3">
      <w:pPr>
        <w:ind w:left="0" w:firstLine="0"/>
      </w:pPr>
    </w:p>
    <w:p w14:paraId="1162F710" w14:textId="77777777" w:rsidR="00ED3511" w:rsidRPr="001B4A02" w:rsidRDefault="00000000" w:rsidP="00ED48A3">
      <w:pPr>
        <w:ind w:left="0" w:firstLine="0"/>
      </w:pPr>
      <w:r w:rsidRPr="001B4A02">
        <w:t>Podle současných údajů není známo, zda léčba adalimumabem ovlivňuje riziko vzniku dyspl</w:t>
      </w:r>
      <w:r w:rsidR="00D149F4">
        <w:t>a</w:t>
      </w:r>
      <w:r w:rsidRPr="001B4A02">
        <w:t>zie nebo kolorektálního karcinomu. Všichni pacienti s ulcerózní kolitidou, u</w:t>
      </w:r>
      <w:r w:rsidR="00D15A04" w:rsidRPr="001B4A02">
        <w:t> </w:t>
      </w:r>
      <w:r w:rsidRPr="001B4A02">
        <w:t>nichž existuje riziko pro vznik dyspl</w:t>
      </w:r>
      <w:r w:rsidR="00D149F4">
        <w:t>a</w:t>
      </w:r>
      <w:r w:rsidRPr="001B4A02">
        <w:t>zie nebo kolorektálního karcinomu (např. pacienti s dlouhotrvající ulcerózní kolitidou nebo primární sklerotizující cholangitidou), u</w:t>
      </w:r>
      <w:r w:rsidR="00D15A04" w:rsidRPr="001B4A02">
        <w:t> </w:t>
      </w:r>
      <w:r w:rsidRPr="001B4A02">
        <w:t>kterých se v minulosti vyskytla dyspl</w:t>
      </w:r>
      <w:r w:rsidR="00D149F4">
        <w:t>a</w:t>
      </w:r>
      <w:r w:rsidRPr="001B4A02">
        <w:t>zie nebo kolorektální karcinom</w:t>
      </w:r>
      <w:r w:rsidR="00301A37" w:rsidRPr="001B4A02">
        <w:t>,</w:t>
      </w:r>
      <w:r w:rsidRPr="001B4A02">
        <w:t xml:space="preserve"> </w:t>
      </w:r>
      <w:r w:rsidR="0029088C">
        <w:t>mají</w:t>
      </w:r>
      <w:r w:rsidRPr="001B4A02">
        <w:t xml:space="preserve"> být vyšetřeni na možný rozvoj dyspl</w:t>
      </w:r>
      <w:r w:rsidR="00D149F4">
        <w:t>a</w:t>
      </w:r>
      <w:r w:rsidRPr="001B4A02">
        <w:t>zie nebo kolorektálního karcinomu ještě před zahájením léčby</w:t>
      </w:r>
      <w:r w:rsidR="002378E0">
        <w:t xml:space="preserve"> a </w:t>
      </w:r>
      <w:r w:rsidRPr="001B4A02">
        <w:t>dále v pravidelných intervalech v jejím průběhu. Toto vyšetření má, v souladu s místními požadavky, zahrnovat kolonoskopii</w:t>
      </w:r>
      <w:r w:rsidR="002378E0">
        <w:t xml:space="preserve"> a </w:t>
      </w:r>
      <w:r w:rsidRPr="001B4A02">
        <w:t>biopsii.</w:t>
      </w:r>
    </w:p>
    <w:p w14:paraId="1CACDF61" w14:textId="77777777" w:rsidR="00ED3511" w:rsidRPr="001B4A02" w:rsidRDefault="00ED3511" w:rsidP="00ED48A3">
      <w:pPr>
        <w:tabs>
          <w:tab w:val="left" w:pos="426"/>
        </w:tabs>
        <w:jc w:val="both"/>
        <w:rPr>
          <w:bCs/>
          <w:szCs w:val="22"/>
          <w:u w:val="single"/>
        </w:rPr>
      </w:pPr>
    </w:p>
    <w:p w14:paraId="2F02596A" w14:textId="77777777" w:rsidR="00ED3511" w:rsidRPr="001B4A02" w:rsidRDefault="00000000" w:rsidP="00A03600">
      <w:pPr>
        <w:keepNext/>
        <w:tabs>
          <w:tab w:val="left" w:pos="426"/>
        </w:tabs>
        <w:jc w:val="both"/>
        <w:rPr>
          <w:bCs/>
          <w:szCs w:val="22"/>
          <w:u w:val="single"/>
        </w:rPr>
      </w:pPr>
      <w:r w:rsidRPr="001B4A02">
        <w:rPr>
          <w:bCs/>
          <w:szCs w:val="22"/>
          <w:u w:val="single"/>
        </w:rPr>
        <w:t>Hematologické reakce</w:t>
      </w:r>
    </w:p>
    <w:p w14:paraId="082D14CC" w14:textId="77777777" w:rsidR="00ED3511" w:rsidRPr="001B4A02" w:rsidRDefault="00ED3511" w:rsidP="00A03600">
      <w:pPr>
        <w:keepNext/>
        <w:tabs>
          <w:tab w:val="left" w:pos="426"/>
        </w:tabs>
        <w:jc w:val="both"/>
        <w:rPr>
          <w:bCs/>
          <w:szCs w:val="22"/>
          <w:u w:val="single"/>
        </w:rPr>
      </w:pPr>
    </w:p>
    <w:p w14:paraId="44838F0E" w14:textId="77777777" w:rsidR="00ED3511" w:rsidRPr="001B4A02" w:rsidRDefault="00000000" w:rsidP="00ED48A3">
      <w:pPr>
        <w:ind w:left="0" w:firstLine="0"/>
        <w:rPr>
          <w:u w:val="single"/>
        </w:rPr>
      </w:pPr>
      <w:r w:rsidRPr="001B4A02">
        <w:rPr>
          <w:bCs/>
          <w:szCs w:val="22"/>
        </w:rPr>
        <w:t>Při užívání antagonistů TNF byly vzácně hlášeny případy pancytopenie včetně aplastické anémie. U přípravku Humira byly hlášeny nežádoucí příhody v oblasti hematologického systému, včetně medicínsky významné cytopenie (např. trombocytopenie, leukopenie). Všem pacientům je nutné doporučit, aby ihned vyhledali lékařskou pomoc, pokud se při léčbě přípravkem Humira vyvinou příznaky</w:t>
      </w:r>
      <w:r w:rsidR="002378E0">
        <w:rPr>
          <w:bCs/>
          <w:szCs w:val="22"/>
        </w:rPr>
        <w:t xml:space="preserve"> a </w:t>
      </w:r>
      <w:r w:rsidRPr="001B4A02">
        <w:rPr>
          <w:bCs/>
          <w:szCs w:val="22"/>
        </w:rPr>
        <w:t>projevy podezřelé z krevní dyskrasie (např. přetrvávající horečka, hematomy, krvácení, bledost). U pacientů s potvrzenými významnými hematologickými abnormalitami je nutné zvážit vysazení léčby.</w:t>
      </w:r>
    </w:p>
    <w:p w14:paraId="0613E7BA" w14:textId="77777777" w:rsidR="00ED3511" w:rsidRPr="001B4A02" w:rsidRDefault="00ED3511" w:rsidP="00ED48A3">
      <w:pPr>
        <w:ind w:left="0" w:firstLine="0"/>
      </w:pPr>
    </w:p>
    <w:p w14:paraId="44AD83AA" w14:textId="77777777" w:rsidR="00ED3511" w:rsidRPr="001B4A02" w:rsidRDefault="00000000" w:rsidP="00603F6E">
      <w:pPr>
        <w:keepNext/>
        <w:ind w:left="0" w:firstLine="0"/>
      </w:pPr>
      <w:r w:rsidRPr="001B4A02">
        <w:rPr>
          <w:u w:val="single"/>
        </w:rPr>
        <w:t>Očkování</w:t>
      </w:r>
    </w:p>
    <w:p w14:paraId="4FA0FA55" w14:textId="77777777" w:rsidR="00ED3511" w:rsidRPr="001B4A02" w:rsidRDefault="00ED3511" w:rsidP="00603F6E">
      <w:pPr>
        <w:keepNext/>
        <w:ind w:left="0" w:firstLine="0"/>
      </w:pPr>
    </w:p>
    <w:p w14:paraId="6DB06618" w14:textId="77777777" w:rsidR="00ED3511" w:rsidRPr="001B4A02" w:rsidRDefault="00000000" w:rsidP="00A03600">
      <w:pPr>
        <w:pStyle w:val="EMEANormal"/>
        <w:tabs>
          <w:tab w:val="clear" w:pos="562"/>
        </w:tabs>
        <w:suppressAutoHyphens w:val="0"/>
        <w:rPr>
          <w:lang w:val="cs-CZ"/>
        </w:rPr>
      </w:pPr>
      <w:r w:rsidRPr="001B4A02">
        <w:rPr>
          <w:lang w:val="cs-CZ"/>
        </w:rPr>
        <w:t>Obdobná protilátková odpověď na standardní 23složkovou pneumokokovou vakcínu</w:t>
      </w:r>
      <w:r w:rsidR="002378E0">
        <w:rPr>
          <w:lang w:val="cs-CZ"/>
        </w:rPr>
        <w:t xml:space="preserve"> a </w:t>
      </w:r>
      <w:r w:rsidRPr="001B4A02">
        <w:rPr>
          <w:lang w:val="cs-CZ"/>
        </w:rPr>
        <w:t>třísložkovou virovou vakcínu proti chřipce byla pozorována ve studii s 226 dospělými subjekty s revmatoidní artritidou, kte</w:t>
      </w:r>
      <w:r w:rsidR="002A321C">
        <w:rPr>
          <w:lang w:val="cs-CZ"/>
        </w:rPr>
        <w:t>ré</w:t>
      </w:r>
      <w:r w:rsidRPr="001B4A02">
        <w:rPr>
          <w:lang w:val="cs-CZ"/>
        </w:rPr>
        <w:t xml:space="preserve"> byl</w:t>
      </w:r>
      <w:r w:rsidR="002A321C">
        <w:rPr>
          <w:lang w:val="cs-CZ"/>
        </w:rPr>
        <w:t>y</w:t>
      </w:r>
      <w:r w:rsidRPr="001B4A02">
        <w:rPr>
          <w:lang w:val="cs-CZ"/>
        </w:rPr>
        <w:t xml:space="preserve"> léčen</w:t>
      </w:r>
      <w:r w:rsidR="002A321C">
        <w:rPr>
          <w:lang w:val="cs-CZ"/>
        </w:rPr>
        <w:t>y</w:t>
      </w:r>
      <w:r w:rsidRPr="001B4A02">
        <w:rPr>
          <w:lang w:val="cs-CZ"/>
        </w:rPr>
        <w:t xml:space="preserve"> adalimumabem nebo placebem. Nejsou k dispozici žádné údaje, týkající se sekundárního přenosu infekce v důsledku živé vakcíny u pacientů léčených přípravkem Humira.</w:t>
      </w:r>
    </w:p>
    <w:p w14:paraId="2349910B" w14:textId="77777777" w:rsidR="00ED3511" w:rsidRPr="001B4A02" w:rsidRDefault="00ED3511" w:rsidP="00ED48A3">
      <w:pPr>
        <w:ind w:left="0" w:firstLine="0"/>
        <w:rPr>
          <w:u w:val="single"/>
        </w:rPr>
      </w:pPr>
    </w:p>
    <w:p w14:paraId="584E233E" w14:textId="77777777" w:rsidR="00ED3511" w:rsidRPr="001B4A02" w:rsidRDefault="00000000" w:rsidP="00ED48A3">
      <w:pPr>
        <w:ind w:left="0" w:firstLine="0"/>
      </w:pPr>
      <w:r w:rsidRPr="001B4A02">
        <w:t>Doporučuje se, aby pediatričtí pacienti absolvovali pokud možno všechna doporučená očkování v souladu se současnými vakcinačními směrnicemi ještě před zahájením léčby přípravkem Humira.</w:t>
      </w:r>
    </w:p>
    <w:p w14:paraId="48AAEFF8" w14:textId="77777777" w:rsidR="00ED3511" w:rsidRPr="001B4A02" w:rsidRDefault="00ED3511" w:rsidP="00ED48A3">
      <w:pPr>
        <w:ind w:left="0" w:firstLine="0"/>
      </w:pPr>
    </w:p>
    <w:p w14:paraId="60C4CCE4" w14:textId="77777777" w:rsidR="00ED3511" w:rsidRPr="001B4A02" w:rsidRDefault="00000000" w:rsidP="00ED48A3">
      <w:pPr>
        <w:ind w:left="0" w:firstLine="0"/>
      </w:pPr>
      <w:r w:rsidRPr="001B4A02">
        <w:t xml:space="preserve">Pacienti léčení přípravkem Humira mohou být souběžně očkováni, s výjimkou očkování živými vakcínami. Podávání živých vakcín </w:t>
      </w:r>
      <w:r w:rsidR="00BA3861">
        <w:t xml:space="preserve">(např. BCG vakcín) </w:t>
      </w:r>
      <w:r w:rsidRPr="001B4A02">
        <w:t>se nedoporučuje u</w:t>
      </w:r>
      <w:r w:rsidR="003315BB" w:rsidRPr="001B4A02">
        <w:t> </w:t>
      </w:r>
      <w:r w:rsidRPr="001B4A02">
        <w:t>dětí, které byly adalimumabu vystaveny in utero,</w:t>
      </w:r>
      <w:r w:rsidR="002378E0">
        <w:t xml:space="preserve"> a </w:t>
      </w:r>
      <w:r w:rsidRPr="001B4A02">
        <w:t>to po dobu 5 měsíců od poslední dávky adalimumabu, jež byla matce během těhotenství podána.</w:t>
      </w:r>
    </w:p>
    <w:p w14:paraId="78F531D3" w14:textId="77777777" w:rsidR="00ED3511" w:rsidRPr="001B4A02" w:rsidRDefault="00ED3511" w:rsidP="00ED48A3">
      <w:pPr>
        <w:ind w:left="0" w:firstLine="0"/>
        <w:rPr>
          <w:u w:val="single"/>
        </w:rPr>
      </w:pPr>
    </w:p>
    <w:p w14:paraId="7185542D" w14:textId="77777777" w:rsidR="00ED3511" w:rsidRPr="001B4A02" w:rsidRDefault="00000000" w:rsidP="00790DEF">
      <w:pPr>
        <w:keepNext/>
        <w:ind w:left="0" w:firstLine="0"/>
      </w:pPr>
      <w:r w:rsidRPr="001B4A02">
        <w:rPr>
          <w:u w:val="single"/>
        </w:rPr>
        <w:t>Městnavé srdeční selhání</w:t>
      </w:r>
    </w:p>
    <w:p w14:paraId="22FB2B2D" w14:textId="77777777" w:rsidR="00ED3511" w:rsidRPr="001B4A02" w:rsidRDefault="00ED3511" w:rsidP="00790DEF">
      <w:pPr>
        <w:keepNext/>
        <w:ind w:left="0" w:firstLine="0"/>
      </w:pPr>
    </w:p>
    <w:p w14:paraId="18B41552" w14:textId="77777777" w:rsidR="00ED3511" w:rsidRPr="001B4A02" w:rsidRDefault="00000000" w:rsidP="00ED48A3">
      <w:pPr>
        <w:ind w:left="0" w:firstLine="0"/>
      </w:pPr>
      <w:r w:rsidRPr="001B4A02">
        <w:t>V klinické studii s jiným antagonistou TNF bylo pozorováno zhoršení městnavého srdečního selhání</w:t>
      </w:r>
      <w:r w:rsidR="002378E0">
        <w:t xml:space="preserve"> a </w:t>
      </w:r>
      <w:r w:rsidRPr="001B4A02">
        <w:t>zvýšení mortality na městnavé srdeční selhání. Případy zhoršení městnavého srdečního selhání byly rovněž popsány u pacientů léčených přípravkem Humira. U pacientů s mírným srdečním selháním (třída I/II podle NYHA) se musí přípravek Humira podávat s opatrností. Přípravek Humira je kontraindikován u středně těžkého až těžkého srdečního selhání (viz bod 4.3). U pacientů, u</w:t>
      </w:r>
      <w:r w:rsidR="003315BB" w:rsidRPr="001B4A02">
        <w:t> </w:t>
      </w:r>
      <w:r w:rsidRPr="001B4A02">
        <w:t>kterých dojde k rozvoji nebo zhoršení příznaků městnavého srdečního selhání, musí být léčba přípravkem Humira ukončena.</w:t>
      </w:r>
    </w:p>
    <w:p w14:paraId="4FA2B890" w14:textId="77777777" w:rsidR="00ED3511" w:rsidRPr="001B4A02" w:rsidRDefault="00ED3511" w:rsidP="00ED48A3">
      <w:pPr>
        <w:ind w:left="0" w:firstLine="0"/>
        <w:rPr>
          <w:u w:val="single"/>
        </w:rPr>
      </w:pPr>
    </w:p>
    <w:p w14:paraId="308F5AFC" w14:textId="77777777" w:rsidR="00ED3511" w:rsidRPr="001B4A02" w:rsidRDefault="00000000" w:rsidP="00A03600">
      <w:pPr>
        <w:keepNext/>
        <w:ind w:left="0" w:firstLine="0"/>
      </w:pPr>
      <w:r w:rsidRPr="001B4A02">
        <w:rPr>
          <w:u w:val="single"/>
        </w:rPr>
        <w:t>Autoimunitní procesy</w:t>
      </w:r>
    </w:p>
    <w:p w14:paraId="06A233E4" w14:textId="77777777" w:rsidR="00ED3511" w:rsidRPr="001B4A02" w:rsidRDefault="00ED3511" w:rsidP="00A03600">
      <w:pPr>
        <w:keepNext/>
        <w:ind w:left="0" w:firstLine="0"/>
      </w:pPr>
    </w:p>
    <w:p w14:paraId="17AD6A1A" w14:textId="77777777" w:rsidR="00ED3511" w:rsidRPr="001B4A02" w:rsidRDefault="00000000" w:rsidP="00ED48A3">
      <w:pPr>
        <w:ind w:left="0" w:firstLine="0"/>
      </w:pPr>
      <w:r w:rsidRPr="001B4A02">
        <w:t>Léčba přípravkem Humira může vést ke tvorbě autoimunitních protilátek. Dopad dlouhodobé léčby přípravkem Humira na rozvoj autoimunitních onemocnění není znám. Jestliže se u pacienta v souvislosti s léčbou přípravkem Humira vyvinou symptomy, svědčící pro lupus-like syndrom</w:t>
      </w:r>
      <w:r w:rsidR="002378E0">
        <w:t xml:space="preserve"> a </w:t>
      </w:r>
      <w:r w:rsidRPr="001B4A02">
        <w:t>má-li pozitivní protilátky proti dvoušroubovici DNA, pak u něj léčba přípravkem Humira nesmí dále pokračovat (viz bod 4.8).</w:t>
      </w:r>
    </w:p>
    <w:p w14:paraId="72CC2ABA" w14:textId="77777777" w:rsidR="00ED3511" w:rsidRPr="001B4A02" w:rsidRDefault="00ED3511" w:rsidP="00ED48A3">
      <w:pPr>
        <w:ind w:left="0" w:firstLine="0"/>
      </w:pPr>
    </w:p>
    <w:p w14:paraId="1D90261F" w14:textId="77777777" w:rsidR="00ED3511" w:rsidRPr="001B4A02" w:rsidRDefault="00000000" w:rsidP="00A03600">
      <w:pPr>
        <w:keepNext/>
        <w:ind w:left="0" w:firstLine="0"/>
      </w:pPr>
      <w:r w:rsidRPr="001B4A02">
        <w:rPr>
          <w:u w:val="single"/>
        </w:rPr>
        <w:t>Současné podávání biologických DMARD nebo antagonistů TNF</w:t>
      </w:r>
    </w:p>
    <w:p w14:paraId="3E13332D" w14:textId="77777777" w:rsidR="00ED3511" w:rsidRPr="001B4A02" w:rsidRDefault="00ED3511" w:rsidP="00A03600">
      <w:pPr>
        <w:keepNext/>
        <w:ind w:left="0" w:firstLine="0"/>
      </w:pPr>
    </w:p>
    <w:p w14:paraId="019F1CDE" w14:textId="77777777" w:rsidR="00ED3511" w:rsidRPr="001B4A02" w:rsidRDefault="00000000" w:rsidP="00ED48A3">
      <w:pPr>
        <w:ind w:left="0" w:firstLine="0"/>
        <w:rPr>
          <w:szCs w:val="24"/>
        </w:rPr>
      </w:pPr>
      <w:r w:rsidRPr="001B4A02">
        <w:rPr>
          <w:szCs w:val="24"/>
        </w:rPr>
        <w:t>V klinických studiích sledujících současné podávání anakinry</w:t>
      </w:r>
      <w:r w:rsidR="002378E0">
        <w:rPr>
          <w:szCs w:val="24"/>
        </w:rPr>
        <w:t xml:space="preserve"> a </w:t>
      </w:r>
      <w:r w:rsidRPr="001B4A02">
        <w:rPr>
          <w:szCs w:val="24"/>
        </w:rPr>
        <w:t>dalšího antagonisty TNF – etanerceptu, byly pozorovány závažné infekce, přičemž nebyl zjištěn žádný další klinický přínos v porovnání s monoterapií etanerceptem. Vzhledem k původu nežádoucích účinků pozorovaných při kombinované léčbě etanerceptem</w:t>
      </w:r>
      <w:r w:rsidR="002378E0">
        <w:rPr>
          <w:szCs w:val="24"/>
        </w:rPr>
        <w:t xml:space="preserve"> a </w:t>
      </w:r>
      <w:r w:rsidRPr="001B4A02">
        <w:rPr>
          <w:szCs w:val="24"/>
        </w:rPr>
        <w:t>anakinrou se mohou vyskytnout obdobné toxické projevy při podávání kombinace anakinry</w:t>
      </w:r>
      <w:r w:rsidR="002378E0">
        <w:rPr>
          <w:szCs w:val="24"/>
        </w:rPr>
        <w:t xml:space="preserve"> a </w:t>
      </w:r>
      <w:r w:rsidRPr="001B4A02">
        <w:rPr>
          <w:szCs w:val="24"/>
        </w:rPr>
        <w:t>jiných antagonistů TNF. Proto se nedoporučuje používat kombinaci adalimumabu</w:t>
      </w:r>
      <w:r w:rsidR="002378E0">
        <w:rPr>
          <w:szCs w:val="24"/>
        </w:rPr>
        <w:t xml:space="preserve"> a </w:t>
      </w:r>
      <w:r w:rsidRPr="001B4A02">
        <w:rPr>
          <w:szCs w:val="24"/>
        </w:rPr>
        <w:t>anakinry (viz bod 4.5).</w:t>
      </w:r>
    </w:p>
    <w:p w14:paraId="50232A1E" w14:textId="77777777" w:rsidR="00ED3511" w:rsidRPr="001B4A02" w:rsidRDefault="00ED3511" w:rsidP="00ED48A3">
      <w:pPr>
        <w:ind w:left="0" w:firstLine="0"/>
        <w:rPr>
          <w:u w:val="single"/>
        </w:rPr>
      </w:pPr>
    </w:p>
    <w:p w14:paraId="7013A6F3" w14:textId="77777777" w:rsidR="00ED3511" w:rsidRPr="001B4A02" w:rsidRDefault="00000000" w:rsidP="00ED48A3">
      <w:pPr>
        <w:pStyle w:val="EMEANormal"/>
        <w:tabs>
          <w:tab w:val="clear" w:pos="562"/>
        </w:tabs>
        <w:suppressAutoHyphens w:val="0"/>
        <w:rPr>
          <w:lang w:val="cs-CZ"/>
        </w:rPr>
      </w:pPr>
      <w:r w:rsidRPr="001B4A02">
        <w:rPr>
          <w:lang w:val="cs-CZ"/>
        </w:rPr>
        <w:t xml:space="preserve">Současné </w:t>
      </w:r>
      <w:r w:rsidR="005858A7" w:rsidRPr="001B4A02">
        <w:rPr>
          <w:lang w:val="cs-CZ"/>
        </w:rPr>
        <w:t>po</w:t>
      </w:r>
      <w:r w:rsidRPr="001B4A02">
        <w:rPr>
          <w:lang w:val="cs-CZ"/>
        </w:rPr>
        <w:t>užívání adalimumabu spolu s jinými biologickými DMARD (např. anakinra</w:t>
      </w:r>
      <w:r w:rsidR="002378E0">
        <w:rPr>
          <w:lang w:val="cs-CZ"/>
        </w:rPr>
        <w:t xml:space="preserve"> a </w:t>
      </w:r>
      <w:r w:rsidRPr="001B4A02">
        <w:rPr>
          <w:lang w:val="cs-CZ"/>
        </w:rPr>
        <w:t>abatacept) nebo jinými antagonisty TNF se nedoporučuje na základě možného zvýšení rizika infekcí včetně závažných infekcí, ale i možných farmakologických interakcí (viz bod 4.5).</w:t>
      </w:r>
    </w:p>
    <w:p w14:paraId="3CF8ACB7" w14:textId="77777777" w:rsidR="00ED3511" w:rsidRPr="001B4A02" w:rsidRDefault="00ED3511" w:rsidP="00ED48A3">
      <w:pPr>
        <w:ind w:left="0" w:firstLine="0"/>
      </w:pPr>
    </w:p>
    <w:p w14:paraId="2B06CCD0" w14:textId="77777777" w:rsidR="00ED3511" w:rsidRPr="001B4A02" w:rsidRDefault="00000000" w:rsidP="00A03600">
      <w:pPr>
        <w:keepNext/>
        <w:rPr>
          <w:u w:val="single"/>
        </w:rPr>
      </w:pPr>
      <w:r w:rsidRPr="001B4A02">
        <w:rPr>
          <w:u w:val="single"/>
        </w:rPr>
        <w:t>Chirurgické výkony</w:t>
      </w:r>
    </w:p>
    <w:p w14:paraId="3EEC035B" w14:textId="77777777" w:rsidR="00ED3511" w:rsidRPr="001B4A02" w:rsidRDefault="00ED3511" w:rsidP="00A03600">
      <w:pPr>
        <w:keepNext/>
        <w:rPr>
          <w:u w:val="single"/>
        </w:rPr>
      </w:pPr>
    </w:p>
    <w:p w14:paraId="7F4991F2" w14:textId="77777777" w:rsidR="00ED3511" w:rsidRPr="001B4A02" w:rsidRDefault="00000000" w:rsidP="00ED48A3">
      <w:pPr>
        <w:ind w:left="0" w:firstLine="0"/>
      </w:pPr>
      <w:r w:rsidRPr="001B4A02">
        <w:t>U pacientů léčených přípravkem Humira existují jen omezené zkušenosti týkající se bezpečnosti přípravku v souvislosti s chirurgickými výkony. Při plánování chirurgického výkonu je třeba vzít v úvahu dlouhý poločas adalimumabu. Pacient, u kterého je nutná operace během léčby přípravkem Humira, musí být pečlivě sledován z hlediska vzniku infekcí</w:t>
      </w:r>
      <w:r w:rsidR="002378E0">
        <w:t xml:space="preserve"> a </w:t>
      </w:r>
      <w:r w:rsidRPr="001B4A02">
        <w:t>musí být provedena příslušná opatření. U pacientů léčených přípravkem Humira, u kterých byla provedena arthroplastika, existují jen omezené zkušenosti týkající se bezpečnosti přípravku.</w:t>
      </w:r>
    </w:p>
    <w:p w14:paraId="4470F397" w14:textId="77777777" w:rsidR="00ED3511" w:rsidRPr="001B4A02" w:rsidRDefault="00ED3511" w:rsidP="00ED48A3">
      <w:pPr>
        <w:ind w:left="0" w:firstLine="0"/>
      </w:pPr>
    </w:p>
    <w:p w14:paraId="3C3DB94E" w14:textId="77777777" w:rsidR="00ED3511" w:rsidRPr="001B4A02" w:rsidRDefault="00000000" w:rsidP="00603F6E">
      <w:pPr>
        <w:keepNext/>
        <w:ind w:left="0" w:firstLine="0"/>
        <w:rPr>
          <w:u w:val="single"/>
        </w:rPr>
      </w:pPr>
      <w:r w:rsidRPr="001B4A02">
        <w:rPr>
          <w:u w:val="single"/>
        </w:rPr>
        <w:t>Obstrukce tenkého střeva</w:t>
      </w:r>
    </w:p>
    <w:p w14:paraId="26FAA9D2" w14:textId="77777777" w:rsidR="00ED3511" w:rsidRPr="001B4A02" w:rsidRDefault="00ED3511" w:rsidP="00603F6E">
      <w:pPr>
        <w:keepNext/>
        <w:ind w:left="0" w:firstLine="0"/>
      </w:pPr>
    </w:p>
    <w:p w14:paraId="7951B7E0" w14:textId="77777777" w:rsidR="00ED3511" w:rsidRPr="001B4A02" w:rsidRDefault="00000000" w:rsidP="00A03600">
      <w:pPr>
        <w:ind w:left="0" w:firstLine="0"/>
      </w:pPr>
      <w:r w:rsidRPr="001B4A02">
        <w:t>Selhání odpovědi na léčbu u</w:t>
      </w:r>
      <w:r w:rsidR="003315BB" w:rsidRPr="001B4A02">
        <w:t> </w:t>
      </w:r>
      <w:r w:rsidRPr="001B4A02">
        <w:t>Crohnovy choroby může signalizovat výskyt fixované fibrotické striktury, která si může vyžádat chirurgickou léčbu. Dostupné údaje naznačují, že přípravek Humira nezhoršuje ani nezpůsobuje striktury.</w:t>
      </w:r>
    </w:p>
    <w:p w14:paraId="4F07FD5E" w14:textId="77777777" w:rsidR="00ED3511" w:rsidRPr="001B4A02" w:rsidRDefault="00ED3511" w:rsidP="00ED48A3">
      <w:pPr>
        <w:ind w:left="0" w:firstLine="0"/>
      </w:pPr>
    </w:p>
    <w:p w14:paraId="008FD5B2" w14:textId="77777777" w:rsidR="00ED3511" w:rsidRPr="001B4A02" w:rsidRDefault="00000000" w:rsidP="00A03600">
      <w:pPr>
        <w:keepNext/>
        <w:ind w:left="0" w:firstLine="0"/>
        <w:rPr>
          <w:u w:val="single"/>
        </w:rPr>
      </w:pPr>
      <w:r w:rsidRPr="001B4A02">
        <w:rPr>
          <w:u w:val="single"/>
        </w:rPr>
        <w:t>Starší pacienti</w:t>
      </w:r>
    </w:p>
    <w:p w14:paraId="2905B946" w14:textId="77777777" w:rsidR="00ED3511" w:rsidRPr="001B4A02" w:rsidRDefault="00ED3511" w:rsidP="00A03600">
      <w:pPr>
        <w:keepNext/>
        <w:ind w:left="0" w:firstLine="0"/>
      </w:pPr>
    </w:p>
    <w:p w14:paraId="5BA18154" w14:textId="77777777" w:rsidR="00ED3511" w:rsidRPr="001B4A02" w:rsidRDefault="00000000" w:rsidP="00ED48A3">
      <w:pPr>
        <w:ind w:left="0" w:firstLine="0"/>
      </w:pPr>
      <w:r w:rsidRPr="001B4A02">
        <w:t>Frekvence závažných infekcí u</w:t>
      </w:r>
      <w:r w:rsidR="00DD02A9" w:rsidRPr="001B4A02">
        <w:t> </w:t>
      </w:r>
      <w:r w:rsidRPr="001B4A02">
        <w:t>pacientů ve věku nad 65 let (</w:t>
      </w:r>
      <w:r w:rsidR="00F565BA" w:rsidRPr="001B4A02">
        <w:t>3,7</w:t>
      </w:r>
      <w:r w:rsidR="006008CB">
        <w:t> %</w:t>
      </w:r>
      <w:r w:rsidRPr="001B4A02">
        <w:t>), léčených přípravkem Humira, byla vyšší než u</w:t>
      </w:r>
      <w:r w:rsidR="00DD02A9" w:rsidRPr="001B4A02">
        <w:t> </w:t>
      </w:r>
      <w:r w:rsidRPr="001B4A02">
        <w:t>pacientů ve věku do 65 let (</w:t>
      </w:r>
      <w:r w:rsidR="00F565BA" w:rsidRPr="001B4A02">
        <w:t>1,5</w:t>
      </w:r>
      <w:r w:rsidR="006008CB">
        <w:t> %</w:t>
      </w:r>
      <w:r w:rsidRPr="001B4A02">
        <w:t>). Některé z těchto infekcí měly fatální zakončení. Při léčbě starších pacientů je zapotřebí věnovat obzvláštní pozornost riziku vzniku infekcí.</w:t>
      </w:r>
    </w:p>
    <w:p w14:paraId="5DEB631F" w14:textId="77777777" w:rsidR="00ED3511" w:rsidRPr="001B4A02" w:rsidRDefault="00ED3511" w:rsidP="00ED48A3">
      <w:pPr>
        <w:ind w:left="0" w:firstLine="0"/>
      </w:pPr>
    </w:p>
    <w:p w14:paraId="2A467820" w14:textId="77777777" w:rsidR="00ED3511" w:rsidRPr="001B4A02" w:rsidRDefault="00000000" w:rsidP="00A03600">
      <w:pPr>
        <w:keepNext/>
        <w:ind w:left="0" w:firstLine="0"/>
        <w:rPr>
          <w:u w:val="single"/>
        </w:rPr>
      </w:pPr>
      <w:r w:rsidRPr="001B4A02">
        <w:rPr>
          <w:u w:val="single"/>
        </w:rPr>
        <w:t>Pediatrická populace</w:t>
      </w:r>
    </w:p>
    <w:p w14:paraId="6C7B319F" w14:textId="77777777" w:rsidR="00ED3511" w:rsidRPr="001B4A02" w:rsidRDefault="00ED3511" w:rsidP="00A03600">
      <w:pPr>
        <w:keepNext/>
        <w:ind w:left="0" w:firstLine="0"/>
      </w:pPr>
    </w:p>
    <w:p w14:paraId="4D2BA456" w14:textId="77777777" w:rsidR="00ED3511" w:rsidRPr="001B4A02" w:rsidRDefault="00000000" w:rsidP="00ED48A3">
      <w:pPr>
        <w:ind w:left="0" w:firstLine="0"/>
      </w:pPr>
      <w:r w:rsidRPr="001B4A02">
        <w:t>Viz Očkování výše.</w:t>
      </w:r>
    </w:p>
    <w:p w14:paraId="1E4C4F96" w14:textId="77777777" w:rsidR="00ED3511" w:rsidRDefault="00ED3511" w:rsidP="00ED48A3">
      <w:pPr>
        <w:ind w:left="0" w:firstLine="0"/>
      </w:pPr>
    </w:p>
    <w:p w14:paraId="7095E6E2" w14:textId="77777777" w:rsidR="005B2E23" w:rsidRPr="00D96CB3" w:rsidRDefault="00000000" w:rsidP="005B2E23">
      <w:pPr>
        <w:keepNext/>
        <w:rPr>
          <w:ins w:id="8401" w:author="Abbvie02" w:date="2025-05-16T11:44:00Z"/>
          <w:noProof/>
          <w:szCs w:val="22"/>
          <w:u w:val="single"/>
        </w:rPr>
      </w:pPr>
      <w:ins w:id="8402" w:author="Abbvie02" w:date="2025-05-16T11:44:00Z">
        <w:r w:rsidRPr="00D96CB3">
          <w:rPr>
            <w:szCs w:val="22"/>
            <w:u w:val="single"/>
          </w:rPr>
          <w:t>Pomocné látky se známým účinkem</w:t>
        </w:r>
      </w:ins>
    </w:p>
    <w:p w14:paraId="41C7718D" w14:textId="77777777" w:rsidR="005B2E23" w:rsidRDefault="005B2E23" w:rsidP="005B2E23">
      <w:pPr>
        <w:keepNext/>
        <w:rPr>
          <w:ins w:id="8403" w:author="Abbvie02" w:date="2025-05-16T11:44:00Z"/>
          <w:szCs w:val="22"/>
        </w:rPr>
      </w:pPr>
    </w:p>
    <w:p w14:paraId="1B5BF508" w14:textId="52FB7083" w:rsidR="005B2E23" w:rsidRPr="00653460" w:rsidRDefault="00000000">
      <w:pPr>
        <w:ind w:left="0" w:firstLine="0"/>
        <w:rPr>
          <w:ins w:id="8404" w:author="Abbvie02" w:date="2025-05-16T11:44:00Z"/>
        </w:rPr>
        <w:pPrChange w:id="8405" w:author="AbbVie1" w:date="2025-09-08T12:48:00Z">
          <w:pPr/>
        </w:pPrChange>
      </w:pPr>
      <w:ins w:id="8406" w:author="Abbvie02" w:date="2025-05-16T11:44:00Z">
        <w:r>
          <w:rPr>
            <w:szCs w:val="22"/>
          </w:rPr>
          <w:t>Tento léčivý přípravek</w:t>
        </w:r>
        <w:r w:rsidRPr="00F767A1">
          <w:rPr>
            <w:szCs w:val="22"/>
          </w:rPr>
          <w:t xml:space="preserve"> obsahuje </w:t>
        </w:r>
        <w:r>
          <w:rPr>
            <w:szCs w:val="22"/>
          </w:rPr>
          <w:t>0,4</w:t>
        </w:r>
        <w:r w:rsidRPr="00F767A1">
          <w:rPr>
            <w:szCs w:val="22"/>
          </w:rPr>
          <w:t> mg polysorbátu 80</w:t>
        </w:r>
        <w:r>
          <w:rPr>
            <w:szCs w:val="22"/>
          </w:rPr>
          <w:t xml:space="preserve"> v jedné 40mg dávce</w:t>
        </w:r>
        <w:r w:rsidRPr="00F767A1">
          <w:rPr>
            <w:szCs w:val="22"/>
          </w:rPr>
          <w:t>.</w:t>
        </w:r>
      </w:ins>
      <w:ins w:id="8407" w:author="AbbVie1" w:date="2025-09-08T12:48:00Z">
        <w:r w:rsidR="00C35ACC">
          <w:rPr>
            <w:szCs w:val="22"/>
          </w:rPr>
          <w:t xml:space="preserve"> Polysorbáty mohou způsobit alergické reakce.</w:t>
        </w:r>
      </w:ins>
    </w:p>
    <w:p w14:paraId="31D40056" w14:textId="77777777" w:rsidR="007A019D" w:rsidRPr="001B4A02" w:rsidRDefault="007A019D" w:rsidP="00ED48A3">
      <w:pPr>
        <w:ind w:left="0" w:firstLine="0"/>
      </w:pPr>
    </w:p>
    <w:p w14:paraId="2D1DA136" w14:textId="77777777" w:rsidR="00ED3511" w:rsidRPr="001B4A02" w:rsidRDefault="00000000" w:rsidP="00A15B7A">
      <w:pPr>
        <w:keepNext/>
        <w:outlineLvl w:val="1"/>
        <w:rPr>
          <w:b/>
        </w:rPr>
      </w:pPr>
      <w:r w:rsidRPr="001B4A02">
        <w:rPr>
          <w:b/>
        </w:rPr>
        <w:t>4.5</w:t>
      </w:r>
      <w:r w:rsidRPr="001B4A02">
        <w:rPr>
          <w:b/>
        </w:rPr>
        <w:tab/>
        <w:t>Interakce s jinými léčivými přípravky</w:t>
      </w:r>
      <w:r w:rsidR="002378E0">
        <w:rPr>
          <w:b/>
        </w:rPr>
        <w:t xml:space="preserve"> a </w:t>
      </w:r>
      <w:r w:rsidRPr="001B4A02">
        <w:rPr>
          <w:b/>
        </w:rPr>
        <w:t>jiné formy interakce</w:t>
      </w:r>
    </w:p>
    <w:p w14:paraId="64BE5068" w14:textId="77777777" w:rsidR="00ED3511" w:rsidRPr="004713BE" w:rsidRDefault="00ED3511" w:rsidP="00ED48A3">
      <w:pPr>
        <w:keepNext/>
        <w:ind w:left="0" w:firstLine="0"/>
        <w:rPr>
          <w:bCs/>
        </w:rPr>
      </w:pPr>
    </w:p>
    <w:p w14:paraId="741FA408" w14:textId="77777777" w:rsidR="00ED3511" w:rsidRPr="001B4A02" w:rsidRDefault="00000000" w:rsidP="00A03600">
      <w:pPr>
        <w:ind w:left="0" w:firstLine="0"/>
      </w:pPr>
      <w:r w:rsidRPr="001B4A02">
        <w:t>Přípravek Humira byl studován u</w:t>
      </w:r>
      <w:r w:rsidR="00DD02A9" w:rsidRPr="001B4A02">
        <w:t> </w:t>
      </w:r>
      <w:r w:rsidRPr="001B4A02">
        <w:t>pacientů s revmatoidní artritidou polyartikulární juvenilní idiopatickou artritidou</w:t>
      </w:r>
      <w:r w:rsidR="002378E0">
        <w:t xml:space="preserve"> a </w:t>
      </w:r>
      <w:r w:rsidRPr="001B4A02">
        <w:t>psoriatickou artritidou, u</w:t>
      </w:r>
      <w:r w:rsidR="003315BB" w:rsidRPr="001B4A02">
        <w:t> </w:t>
      </w:r>
      <w:r w:rsidRPr="001B4A02">
        <w:t>kterých byl podáván v monoterapii nebo v kombinaci s methotrexátem. Při podávání přípravku Humira v kombinaci s methotrexátem byla v porovnání s monoterapií tvorba protilátek nižší. Podávání přípravku Humira bez methotrexátu vedlo ke zvýšené tvorbě protilátek, zvýšené clearance</w:t>
      </w:r>
      <w:r w:rsidR="002378E0">
        <w:t xml:space="preserve"> a </w:t>
      </w:r>
      <w:r w:rsidRPr="001B4A02">
        <w:t>snížené účinnosti adalimumabu (viz bod 5.1).</w:t>
      </w:r>
    </w:p>
    <w:p w14:paraId="7CE4C994" w14:textId="77777777" w:rsidR="00ED3511" w:rsidRPr="001B4A02" w:rsidRDefault="00ED3511" w:rsidP="00ED48A3">
      <w:pPr>
        <w:ind w:left="0" w:firstLine="0"/>
      </w:pPr>
    </w:p>
    <w:p w14:paraId="70162A93" w14:textId="77777777" w:rsidR="00ED3511" w:rsidRPr="001B4A02" w:rsidRDefault="00000000" w:rsidP="00ED48A3">
      <w:pPr>
        <w:ind w:left="0" w:firstLine="0"/>
      </w:pPr>
      <w:r w:rsidRPr="001B4A02">
        <w:t>Kombinovat přípravek Humira s</w:t>
      </w:r>
      <w:r w:rsidR="00DD02A9" w:rsidRPr="001B4A02">
        <w:t> </w:t>
      </w:r>
      <w:r w:rsidRPr="001B4A02">
        <w:t xml:space="preserve">anakinrou se nedoporučuje (viz bod 4.4 „Současné podávání biologických </w:t>
      </w:r>
      <w:r w:rsidR="005858A7" w:rsidRPr="001B4A02">
        <w:t xml:space="preserve">DMARD </w:t>
      </w:r>
      <w:r w:rsidRPr="001B4A02">
        <w:t>nebo antagonistů TNF“).</w:t>
      </w:r>
    </w:p>
    <w:p w14:paraId="1D6C3454" w14:textId="77777777" w:rsidR="00ED3511" w:rsidRPr="001B4A02" w:rsidRDefault="00ED3511" w:rsidP="00ED48A3">
      <w:pPr>
        <w:pStyle w:val="EMEANormal"/>
        <w:tabs>
          <w:tab w:val="clear" w:pos="562"/>
        </w:tabs>
        <w:suppressAutoHyphens w:val="0"/>
        <w:rPr>
          <w:lang w:val="cs-CZ"/>
        </w:rPr>
      </w:pPr>
    </w:p>
    <w:p w14:paraId="5B2035C8" w14:textId="77777777" w:rsidR="00ED3511" w:rsidRPr="001B4A02" w:rsidRDefault="00000000" w:rsidP="00ED48A3">
      <w:pPr>
        <w:ind w:left="0" w:firstLine="0"/>
      </w:pPr>
      <w:r w:rsidRPr="001B4A02">
        <w:t>Kombinovat přípravek Humira s</w:t>
      </w:r>
      <w:r w:rsidR="00DD02A9" w:rsidRPr="001B4A02">
        <w:t> </w:t>
      </w:r>
      <w:r w:rsidRPr="001B4A02">
        <w:t xml:space="preserve">abataceptem se nedoporučuje (viz bod 4.4 „Současné </w:t>
      </w:r>
      <w:r w:rsidR="00E662F3" w:rsidRPr="001B4A02">
        <w:t>podávání</w:t>
      </w:r>
      <w:r w:rsidRPr="001B4A02">
        <w:t xml:space="preserve"> biologických </w:t>
      </w:r>
      <w:r w:rsidR="005858A7" w:rsidRPr="001B4A02">
        <w:t xml:space="preserve">DMARD </w:t>
      </w:r>
      <w:r w:rsidRPr="001B4A02">
        <w:t>nebo antagonistů TNF“).</w:t>
      </w:r>
    </w:p>
    <w:p w14:paraId="7DBC2D7E" w14:textId="77777777" w:rsidR="00ED3511" w:rsidRPr="001B4A02" w:rsidRDefault="00ED3511" w:rsidP="00ED48A3">
      <w:pPr>
        <w:ind w:left="0" w:firstLine="0"/>
      </w:pPr>
    </w:p>
    <w:p w14:paraId="372A33EF" w14:textId="77777777" w:rsidR="00ED3511" w:rsidRPr="001B4A02" w:rsidRDefault="00000000" w:rsidP="00A15B7A">
      <w:pPr>
        <w:keepNext/>
        <w:outlineLvl w:val="1"/>
        <w:rPr>
          <w:b/>
        </w:rPr>
      </w:pPr>
      <w:r w:rsidRPr="001B4A02">
        <w:rPr>
          <w:b/>
        </w:rPr>
        <w:t>4.6</w:t>
      </w:r>
      <w:r w:rsidRPr="001B4A02">
        <w:rPr>
          <w:b/>
        </w:rPr>
        <w:tab/>
        <w:t>Fertilita, těhotenství</w:t>
      </w:r>
      <w:r w:rsidR="002378E0">
        <w:rPr>
          <w:b/>
        </w:rPr>
        <w:t xml:space="preserve"> a </w:t>
      </w:r>
      <w:r w:rsidRPr="001B4A02">
        <w:rPr>
          <w:b/>
        </w:rPr>
        <w:t>kojení</w:t>
      </w:r>
    </w:p>
    <w:p w14:paraId="691726B9" w14:textId="77777777" w:rsidR="00ED3511" w:rsidRPr="001B4A02" w:rsidRDefault="00ED3511" w:rsidP="00A03600">
      <w:pPr>
        <w:keepNext/>
        <w:ind w:left="0" w:firstLine="0"/>
      </w:pPr>
    </w:p>
    <w:p w14:paraId="38356B50" w14:textId="77777777" w:rsidR="00ED3511" w:rsidRPr="001B4A02" w:rsidRDefault="00000000" w:rsidP="00A03600">
      <w:pPr>
        <w:keepNext/>
        <w:ind w:left="0" w:firstLine="0"/>
        <w:rPr>
          <w:u w:val="single"/>
        </w:rPr>
      </w:pPr>
      <w:r w:rsidRPr="001B4A02">
        <w:rPr>
          <w:u w:val="single"/>
        </w:rPr>
        <w:t>Ženy ve fertilním věku</w:t>
      </w:r>
    </w:p>
    <w:p w14:paraId="7462A950" w14:textId="77777777" w:rsidR="00ED3511" w:rsidRPr="001B4A02" w:rsidRDefault="00ED3511" w:rsidP="00A03600">
      <w:pPr>
        <w:keepNext/>
        <w:ind w:left="0" w:firstLine="0"/>
      </w:pPr>
    </w:p>
    <w:p w14:paraId="08064652" w14:textId="77777777" w:rsidR="00ED3511" w:rsidRPr="001B4A02" w:rsidRDefault="00000000" w:rsidP="00ED48A3">
      <w:pPr>
        <w:ind w:left="0" w:firstLine="0"/>
      </w:pPr>
      <w:r w:rsidRPr="001B4A02">
        <w:t>Žen</w:t>
      </w:r>
      <w:r w:rsidR="00BA3861">
        <w:t>y</w:t>
      </w:r>
      <w:r w:rsidRPr="001B4A02">
        <w:t xml:space="preserve"> ve fertilním věku </w:t>
      </w:r>
      <w:r w:rsidR="00BA3861">
        <w:t>mají zvážit použití vhodné antikoncepce k prevenci těhotenství</w:t>
      </w:r>
      <w:r w:rsidR="002378E0">
        <w:t xml:space="preserve"> a </w:t>
      </w:r>
      <w:r w:rsidR="00BA3861">
        <w:t>pokračovat v jejím užívání</w:t>
      </w:r>
      <w:r w:rsidRPr="001B4A02">
        <w:t xml:space="preserve"> po dobu nejméně pěti měsíců po posledním podání přípravku Humira.</w:t>
      </w:r>
    </w:p>
    <w:p w14:paraId="73C46CC3" w14:textId="77777777" w:rsidR="00ED3511" w:rsidRPr="001B4A02" w:rsidRDefault="00ED3511" w:rsidP="00ED48A3">
      <w:pPr>
        <w:ind w:left="0" w:firstLine="0"/>
        <w:rPr>
          <w:u w:val="single"/>
        </w:rPr>
      </w:pPr>
    </w:p>
    <w:p w14:paraId="518D5ECA" w14:textId="77777777" w:rsidR="00ED3511" w:rsidRPr="001B4A02" w:rsidRDefault="00000000" w:rsidP="00A03600">
      <w:pPr>
        <w:keepNext/>
        <w:ind w:left="0" w:firstLine="0"/>
        <w:rPr>
          <w:u w:val="single"/>
        </w:rPr>
      </w:pPr>
      <w:r w:rsidRPr="001B4A02">
        <w:rPr>
          <w:u w:val="single"/>
        </w:rPr>
        <w:t>Těhotenství</w:t>
      </w:r>
    </w:p>
    <w:p w14:paraId="377A3F3A" w14:textId="77777777" w:rsidR="00950929" w:rsidRPr="001B4A02" w:rsidRDefault="00950929" w:rsidP="00A03600">
      <w:pPr>
        <w:keepNext/>
        <w:ind w:left="0" w:firstLine="0"/>
      </w:pPr>
    </w:p>
    <w:p w14:paraId="67D877B9" w14:textId="77777777" w:rsidR="00CB04A0" w:rsidRDefault="00000000" w:rsidP="00CB04A0">
      <w:pPr>
        <w:ind w:left="0" w:firstLine="0"/>
      </w:pPr>
      <w:r w:rsidRPr="0051408F">
        <w:t>Z</w:t>
      </w:r>
      <w:r>
        <w:t> </w:t>
      </w:r>
      <w:r w:rsidRPr="0051408F">
        <w:t>velkého počtu přibližně 2</w:t>
      </w:r>
      <w:r>
        <w:t> </w:t>
      </w:r>
      <w:r w:rsidRPr="0051408F">
        <w:t xml:space="preserve">100 do konce gravidity prospektivně sledovaných těhotenství </w:t>
      </w:r>
      <w:r w:rsidR="00D43B94" w:rsidRPr="0051408F">
        <w:t>vedoucích k</w:t>
      </w:r>
      <w:r w:rsidR="00D43B94">
        <w:t> </w:t>
      </w:r>
      <w:r w:rsidR="00D43B94" w:rsidRPr="0051408F">
        <w:t xml:space="preserve">porodům </w:t>
      </w:r>
      <w:r w:rsidR="00D43B94">
        <w:t xml:space="preserve">živých </w:t>
      </w:r>
      <w:r w:rsidR="00D43B94" w:rsidRPr="0051408F">
        <w:t xml:space="preserve">dětí </w:t>
      </w:r>
      <w:r w:rsidRPr="0051408F">
        <w:t>u</w:t>
      </w:r>
      <w:r>
        <w:t> </w:t>
      </w:r>
      <w:r w:rsidRPr="0051408F">
        <w:t>žen léčených adalimumabem</w:t>
      </w:r>
      <w:r w:rsidR="00D43B94">
        <w:t>,</w:t>
      </w:r>
      <w:r w:rsidRPr="0051408F">
        <w:t xml:space="preserve"> z</w:t>
      </w:r>
      <w:r>
        <w:t> </w:t>
      </w:r>
      <w:r w:rsidRPr="0051408F">
        <w:t>nichž více než 1</w:t>
      </w:r>
      <w:r>
        <w:t> </w:t>
      </w:r>
      <w:r w:rsidRPr="0051408F">
        <w:t>500</w:t>
      </w:r>
      <w:r>
        <w:t xml:space="preserve"> bylo</w:t>
      </w:r>
      <w:r w:rsidRPr="0051408F">
        <w:t xml:space="preserve"> léčen</w:t>
      </w:r>
      <w:r>
        <w:t>o</w:t>
      </w:r>
      <w:r w:rsidRPr="0051408F">
        <w:t xml:space="preserve"> adalimumabem v</w:t>
      </w:r>
      <w:r>
        <w:t> </w:t>
      </w:r>
      <w:r w:rsidRPr="0051408F">
        <w:t>1. trimestru, nevyplývá zvýšené riziko vrozených malformací u</w:t>
      </w:r>
      <w:r>
        <w:t> </w:t>
      </w:r>
      <w:r w:rsidRPr="0051408F">
        <w:t>novorozence.</w:t>
      </w:r>
    </w:p>
    <w:p w14:paraId="7675E45F" w14:textId="77777777" w:rsidR="00CB04A0" w:rsidRDefault="00CB04A0" w:rsidP="00CB04A0">
      <w:pPr>
        <w:ind w:left="0" w:firstLine="0"/>
      </w:pPr>
    </w:p>
    <w:p w14:paraId="23C70D7F" w14:textId="77777777" w:rsidR="00CB04A0" w:rsidRDefault="00000000" w:rsidP="00CB04A0">
      <w:pPr>
        <w:ind w:left="0" w:firstLine="0"/>
      </w:pPr>
      <w:r>
        <w:t>Do</w:t>
      </w:r>
      <w:r w:rsidRPr="004A21D8">
        <w:t xml:space="preserve"> prospektivní</w:t>
      </w:r>
      <w:r>
        <w:t>ho</w:t>
      </w:r>
      <w:r w:rsidRPr="004A21D8">
        <w:t xml:space="preserve"> kohortové</w:t>
      </w:r>
      <w:r>
        <w:t>ho</w:t>
      </w:r>
      <w:r w:rsidRPr="004A21D8">
        <w:t xml:space="preserve"> registru bylo zařazeno 257 žen s</w:t>
      </w:r>
      <w:r>
        <w:t> </w:t>
      </w:r>
      <w:r w:rsidRPr="004A21D8">
        <w:t>revmatoidní artritidou (RA) nebo Crohnovou chorobou (CD) léčených adalimumabem alespoň během prvního trimestru</w:t>
      </w:r>
      <w:r w:rsidR="002378E0">
        <w:t xml:space="preserve"> a </w:t>
      </w:r>
      <w:r w:rsidRPr="004A21D8">
        <w:t>120 žen s</w:t>
      </w:r>
      <w:r>
        <w:t> </w:t>
      </w:r>
      <w:r w:rsidRPr="004A21D8">
        <w:t>RA nebo CD neléčený</w:t>
      </w:r>
      <w:r>
        <w:t>ch</w:t>
      </w:r>
      <w:r w:rsidRPr="004A21D8">
        <w:t xml:space="preserve"> adalimumabem. Primárním </w:t>
      </w:r>
      <w:r w:rsidR="00F76D5E">
        <w:t>cílovým parametrem</w:t>
      </w:r>
      <w:r w:rsidRPr="004A21D8">
        <w:t xml:space="preserve"> byl</w:t>
      </w:r>
      <w:r>
        <w:t>a prevalence vrozených</w:t>
      </w:r>
      <w:r w:rsidRPr="004A21D8">
        <w:t xml:space="preserve"> vad.</w:t>
      </w:r>
      <w:r>
        <w:t xml:space="preserve"> </w:t>
      </w:r>
      <w:r w:rsidRPr="005F4842">
        <w:t xml:space="preserve">Míra těhotenství ukončená alespoň jedním </w:t>
      </w:r>
      <w:r>
        <w:t>porodem živého dítěte</w:t>
      </w:r>
      <w:r w:rsidRPr="005F4842">
        <w:t xml:space="preserve"> s</w:t>
      </w:r>
      <w:r>
        <w:t> </w:t>
      </w:r>
      <w:r w:rsidRPr="005F4842">
        <w:t>významnou vrozenou vadou byla 6/69 (8,7</w:t>
      </w:r>
      <w:r w:rsidR="006008CB">
        <w:t> %</w:t>
      </w:r>
      <w:r w:rsidRPr="005F4842">
        <w:t>) u</w:t>
      </w:r>
      <w:r>
        <w:t> </w:t>
      </w:r>
      <w:r w:rsidRPr="005F4842">
        <w:t>žen léčených adalimumabem s</w:t>
      </w:r>
      <w:r>
        <w:t> </w:t>
      </w:r>
      <w:r w:rsidRPr="005F4842">
        <w:t>RA</w:t>
      </w:r>
      <w:r w:rsidR="002378E0">
        <w:t xml:space="preserve"> a </w:t>
      </w:r>
      <w:r w:rsidRPr="005F4842">
        <w:t>5/74 (6,8</w:t>
      </w:r>
      <w:r w:rsidR="006008CB">
        <w:t> %</w:t>
      </w:r>
      <w:r w:rsidRPr="005F4842">
        <w:t>) u</w:t>
      </w:r>
      <w:r>
        <w:t> </w:t>
      </w:r>
      <w:r w:rsidRPr="005F4842">
        <w:t>neléčených žen s</w:t>
      </w:r>
      <w:r>
        <w:t> </w:t>
      </w:r>
      <w:r w:rsidRPr="005F4842">
        <w:t>RA (neupravená OR 1,31, 95% CI 0,38</w:t>
      </w:r>
      <w:r>
        <w:t>–</w:t>
      </w:r>
      <w:r w:rsidRPr="005F4842">
        <w:t>4,52)</w:t>
      </w:r>
      <w:r w:rsidR="002378E0">
        <w:t xml:space="preserve"> a </w:t>
      </w:r>
      <w:r w:rsidRPr="005F4842">
        <w:t>16/152 (10,5</w:t>
      </w:r>
      <w:r w:rsidR="006008CB">
        <w:t> %</w:t>
      </w:r>
      <w:r w:rsidRPr="005F4842">
        <w:t>) u</w:t>
      </w:r>
      <w:r>
        <w:t> </w:t>
      </w:r>
      <w:r w:rsidRPr="005F4842">
        <w:t>žen léčených adalimumabem s</w:t>
      </w:r>
      <w:r>
        <w:t> </w:t>
      </w:r>
      <w:r w:rsidRPr="005F4842">
        <w:t>CD</w:t>
      </w:r>
      <w:r w:rsidR="002378E0">
        <w:t xml:space="preserve"> a </w:t>
      </w:r>
      <w:r w:rsidRPr="005F4842">
        <w:t>3/32 (9,4</w:t>
      </w:r>
      <w:r w:rsidR="006008CB">
        <w:t> %</w:t>
      </w:r>
      <w:r w:rsidRPr="005F4842">
        <w:t>) u</w:t>
      </w:r>
      <w:r>
        <w:t> </w:t>
      </w:r>
      <w:r w:rsidRPr="005F4842">
        <w:t>neléčených žen s</w:t>
      </w:r>
      <w:r>
        <w:t> </w:t>
      </w:r>
      <w:r w:rsidRPr="005F4842">
        <w:t>CD (neupraven</w:t>
      </w:r>
      <w:r>
        <w:t>á OR 1,14, 95% CI 0,31–4,16). U</w:t>
      </w:r>
      <w:r w:rsidRPr="005F4842">
        <w:t>praven</w:t>
      </w:r>
      <w:r>
        <w:t>á</w:t>
      </w:r>
      <w:r w:rsidRPr="005F4842">
        <w:t xml:space="preserve"> OR (vypočten</w:t>
      </w:r>
      <w:r>
        <w:t>á</w:t>
      </w:r>
      <w:r w:rsidRPr="005F4842">
        <w:t xml:space="preserve"> pro rozdíly při výchozím stavu) byl</w:t>
      </w:r>
      <w:r>
        <w:t>a</w:t>
      </w:r>
      <w:r w:rsidRPr="005F4842">
        <w:t xml:space="preserve"> 1,10 (95% CI 0,45</w:t>
      </w:r>
      <w:r>
        <w:t>–</w:t>
      </w:r>
      <w:r w:rsidRPr="005F4842">
        <w:t>2,73) s</w:t>
      </w:r>
      <w:r>
        <w:t> </w:t>
      </w:r>
      <w:r w:rsidRPr="005F4842">
        <w:t>kombinací RA</w:t>
      </w:r>
      <w:r w:rsidR="002378E0">
        <w:t xml:space="preserve"> a </w:t>
      </w:r>
      <w:r w:rsidRPr="005F4842">
        <w:t>CD. Mezi sekundárním</w:t>
      </w:r>
      <w:r>
        <w:t>i</w:t>
      </w:r>
      <w:r w:rsidRPr="005F4842">
        <w:t xml:space="preserve"> </w:t>
      </w:r>
      <w:r w:rsidR="00F76D5E">
        <w:t>cílovými parametry</w:t>
      </w:r>
      <w:r>
        <w:t xml:space="preserve"> (spontánní potraty, menší vrozené vady, předčasný porod, porod s vážnými nebo oportunními infekcemi)</w:t>
      </w:r>
      <w:r w:rsidRPr="005F4842">
        <w:t xml:space="preserve"> nebyly </w:t>
      </w:r>
      <w:r>
        <w:t xml:space="preserve">hlášeny </w:t>
      </w:r>
      <w:r w:rsidRPr="005F4842">
        <w:t xml:space="preserve">žádné </w:t>
      </w:r>
      <w:r>
        <w:t>výrazné</w:t>
      </w:r>
      <w:r w:rsidRPr="005F4842">
        <w:t xml:space="preserve"> rozdíly mezi ženami léčenými adalimumabem</w:t>
      </w:r>
      <w:r w:rsidR="002378E0">
        <w:t xml:space="preserve"> a </w:t>
      </w:r>
      <w:r>
        <w:t>neléčenými ženami,</w:t>
      </w:r>
      <w:r w:rsidR="002378E0">
        <w:t xml:space="preserve"> a </w:t>
      </w:r>
      <w:r>
        <w:t>zároveň</w:t>
      </w:r>
      <w:r w:rsidRPr="005F4842">
        <w:t xml:space="preserve"> nebyly hlášeny žádné porody mrtvého plodu nebo maligní stavy. Interpretace údajů může být ovlivněna metodologickými</w:t>
      </w:r>
      <w:r>
        <w:t xml:space="preserve"> limity </w:t>
      </w:r>
      <w:r w:rsidRPr="005F4842">
        <w:t xml:space="preserve">studie, včetně malé velikosti </w:t>
      </w:r>
      <w:r>
        <w:t>sledovaného soubor</w:t>
      </w:r>
      <w:r w:rsidRPr="005F4842">
        <w:t>u</w:t>
      </w:r>
      <w:r>
        <w:t xml:space="preserve"> pacientek</w:t>
      </w:r>
      <w:r w:rsidR="002378E0">
        <w:t xml:space="preserve"> a </w:t>
      </w:r>
      <w:r w:rsidRPr="005F4842">
        <w:t xml:space="preserve">nerandomizovaného </w:t>
      </w:r>
      <w:r>
        <w:t>designu studie</w:t>
      </w:r>
      <w:r w:rsidRPr="005F4842">
        <w:t>.</w:t>
      </w:r>
    </w:p>
    <w:p w14:paraId="265D73B7" w14:textId="77777777" w:rsidR="00ED3511" w:rsidRPr="001B4A02" w:rsidRDefault="00ED3511" w:rsidP="00ED48A3">
      <w:pPr>
        <w:ind w:left="0" w:firstLine="0"/>
      </w:pPr>
    </w:p>
    <w:p w14:paraId="6A2CFE42" w14:textId="77777777" w:rsidR="00ED3511" w:rsidRPr="001B4A02" w:rsidRDefault="00000000" w:rsidP="00ED48A3">
      <w:pPr>
        <w:ind w:left="0" w:firstLine="0"/>
      </w:pPr>
      <w:r w:rsidRPr="001B4A02">
        <w:t>Ve vývojové toxikologické studii prováděné na opicích nebyly zjištěny známky toxicity u matek, embryotoxicity či teratogenity. Preklinická data o účinku adalimumabu na postnatální toxicitu nejsou k dispozici (viz bod 5.3).</w:t>
      </w:r>
    </w:p>
    <w:p w14:paraId="5B230E74" w14:textId="77777777" w:rsidR="00ED3511" w:rsidRPr="001B4A02" w:rsidRDefault="00ED3511" w:rsidP="00ED48A3">
      <w:pPr>
        <w:ind w:left="0" w:firstLine="0"/>
      </w:pPr>
    </w:p>
    <w:p w14:paraId="6AEE683B" w14:textId="77777777" w:rsidR="00BA3861" w:rsidRDefault="00000000" w:rsidP="00BA3861">
      <w:pPr>
        <w:ind w:left="0" w:firstLine="0"/>
      </w:pPr>
      <w:r w:rsidRPr="001B4A02">
        <w:t xml:space="preserve">Adalimumab podávaný v těhotenství může vzhledem k inhibici TNFα ovlivnit normální imunologickou odpověď u novorozenců. </w:t>
      </w:r>
    </w:p>
    <w:p w14:paraId="57219572" w14:textId="77777777" w:rsidR="00BA3861" w:rsidRPr="001B4A02" w:rsidRDefault="00000000" w:rsidP="00BA3861">
      <w:pPr>
        <w:ind w:left="0" w:firstLine="0"/>
      </w:pPr>
      <w:r>
        <w:t>Adalimumab má být užíván během těhotenství pouze tehdy, pokud je to nezb</w:t>
      </w:r>
      <w:r w:rsidR="00965320">
        <w:t xml:space="preserve">ytně </w:t>
      </w:r>
      <w:r>
        <w:t>nutné.</w:t>
      </w:r>
    </w:p>
    <w:p w14:paraId="3E6F138D" w14:textId="77777777" w:rsidR="00BA3861" w:rsidRDefault="00BA3861" w:rsidP="00ED48A3">
      <w:pPr>
        <w:ind w:left="0" w:firstLine="0"/>
      </w:pPr>
    </w:p>
    <w:p w14:paraId="464DD998" w14:textId="77777777" w:rsidR="00ED3511" w:rsidRPr="001B4A02" w:rsidRDefault="00000000" w:rsidP="00ED48A3">
      <w:pPr>
        <w:ind w:left="0" w:firstLine="0"/>
      </w:pPr>
      <w:r w:rsidRPr="001B4A02">
        <w:t xml:space="preserve">Adalimumab může přecházet přes placentu do séra dětí narozeným matkám, které byly v těhotenství adalimumabem léčeny. V důsledku toho mohou být tyto děti náchylnější k infekcím. Podávání živých vakcín </w:t>
      </w:r>
      <w:r w:rsidR="00914D06">
        <w:t xml:space="preserve">(např. BCG vakcín) </w:t>
      </w:r>
      <w:r w:rsidRPr="001B4A02">
        <w:t xml:space="preserve">dětem, které byly in utero adalimumabu vystaveny, se nedoporučuje po dobu 5 měsíců po poslední injekci adalimumabu, kterou matka v průběhu těhotenství dostala. </w:t>
      </w:r>
    </w:p>
    <w:p w14:paraId="33A18019" w14:textId="77777777" w:rsidR="00ED3511" w:rsidRPr="001B4A02" w:rsidRDefault="00ED3511" w:rsidP="00ED48A3">
      <w:pPr>
        <w:ind w:left="0" w:firstLine="0"/>
      </w:pPr>
    </w:p>
    <w:p w14:paraId="55BC1DCA" w14:textId="77777777" w:rsidR="00ED3511" w:rsidRPr="001B4A02" w:rsidRDefault="00000000" w:rsidP="00A03600">
      <w:pPr>
        <w:keepNext/>
        <w:ind w:left="0" w:firstLine="0"/>
        <w:rPr>
          <w:u w:val="single"/>
        </w:rPr>
      </w:pPr>
      <w:r w:rsidRPr="001B4A02">
        <w:rPr>
          <w:u w:val="single"/>
        </w:rPr>
        <w:t>Kojení</w:t>
      </w:r>
    </w:p>
    <w:p w14:paraId="2CCFBF00" w14:textId="77777777" w:rsidR="00950929" w:rsidRPr="001B4A02" w:rsidRDefault="00950929" w:rsidP="00A03600">
      <w:pPr>
        <w:keepNext/>
        <w:ind w:left="0" w:firstLine="0"/>
      </w:pPr>
    </w:p>
    <w:p w14:paraId="38DF3D11" w14:textId="77777777" w:rsidR="004F3DCB" w:rsidRDefault="00000000" w:rsidP="004F3DCB">
      <w:pPr>
        <w:ind w:left="0" w:firstLine="0"/>
      </w:pPr>
      <w:r>
        <w:t>Z omezených (limitovaných) informací v publikované literatuře vyplývá, že adalimumab je vylučován do mateřského mléka ve velmi nízkých koncentracích s přítomností adalimumabu v mateřském mléce v koncentracích od 0,1</w:t>
      </w:r>
      <w:r w:rsidR="006008CB">
        <w:t> %</w:t>
      </w:r>
      <w:r>
        <w:t xml:space="preserve"> do 1</w:t>
      </w:r>
      <w:r w:rsidR="006008CB">
        <w:t> %</w:t>
      </w:r>
      <w:r>
        <w:t xml:space="preserve"> sérové hladiny matky. Při perorálním podávání proteinů imunoglobulinu G probíhá jejich proteolýza ve střevech</w:t>
      </w:r>
      <w:r w:rsidR="002378E0">
        <w:t xml:space="preserve"> a </w:t>
      </w:r>
      <w:r>
        <w:t>jejich biologická dostupnost je nízká. Nepředpokládá se žádný vliv na kojené novorozence/</w:t>
      </w:r>
      <w:r w:rsidR="00D43B94">
        <w:t>kojence</w:t>
      </w:r>
      <w:r>
        <w:t>. Proto lze přípravek Humira podávat během kojení.</w:t>
      </w:r>
    </w:p>
    <w:p w14:paraId="67367563" w14:textId="77777777" w:rsidR="00ED3511" w:rsidRPr="001B4A02" w:rsidRDefault="00ED3511" w:rsidP="00ED48A3">
      <w:pPr>
        <w:ind w:left="0" w:firstLine="0"/>
      </w:pPr>
    </w:p>
    <w:p w14:paraId="2F424A5B" w14:textId="77777777" w:rsidR="00ED3511" w:rsidRPr="001B4A02" w:rsidRDefault="00000000" w:rsidP="00A03600">
      <w:pPr>
        <w:keepNext/>
        <w:ind w:left="0" w:firstLine="0"/>
        <w:rPr>
          <w:u w:val="single"/>
        </w:rPr>
      </w:pPr>
      <w:r w:rsidRPr="001B4A02">
        <w:rPr>
          <w:u w:val="single"/>
        </w:rPr>
        <w:t>Fertilita</w:t>
      </w:r>
    </w:p>
    <w:p w14:paraId="1D2B5469" w14:textId="77777777" w:rsidR="00950929" w:rsidRPr="001B4A02" w:rsidRDefault="00950929" w:rsidP="00A03600">
      <w:pPr>
        <w:keepNext/>
        <w:ind w:left="0" w:firstLine="0"/>
      </w:pPr>
    </w:p>
    <w:p w14:paraId="22520156" w14:textId="77777777" w:rsidR="00ED3511" w:rsidRPr="001B4A02" w:rsidRDefault="00000000" w:rsidP="00ED48A3">
      <w:pPr>
        <w:ind w:left="0" w:firstLine="0"/>
      </w:pPr>
      <w:r w:rsidRPr="001B4A02">
        <w:t>Preklinické studie zaměřené na vliv adalimumabu na fertilitu nejsou k dispozici.</w:t>
      </w:r>
    </w:p>
    <w:p w14:paraId="3F09F4C4" w14:textId="77777777" w:rsidR="00ED3511" w:rsidRPr="001B4A02" w:rsidRDefault="00ED3511" w:rsidP="00ED48A3">
      <w:pPr>
        <w:ind w:left="0" w:firstLine="0"/>
        <w:rPr>
          <w:b/>
        </w:rPr>
      </w:pPr>
    </w:p>
    <w:p w14:paraId="7BFFE9B4" w14:textId="77777777" w:rsidR="00ED3511" w:rsidRPr="001B4A02" w:rsidRDefault="00000000" w:rsidP="00A15B7A">
      <w:pPr>
        <w:keepNext/>
        <w:outlineLvl w:val="1"/>
        <w:rPr>
          <w:b/>
        </w:rPr>
      </w:pPr>
      <w:r w:rsidRPr="001B4A02">
        <w:rPr>
          <w:b/>
        </w:rPr>
        <w:t>4.7</w:t>
      </w:r>
      <w:r w:rsidRPr="001B4A02">
        <w:rPr>
          <w:b/>
        </w:rPr>
        <w:tab/>
        <w:t>Účinky na schopnost řídit</w:t>
      </w:r>
      <w:r w:rsidR="002378E0">
        <w:rPr>
          <w:b/>
        </w:rPr>
        <w:t xml:space="preserve"> a </w:t>
      </w:r>
      <w:r w:rsidRPr="001B4A02">
        <w:rPr>
          <w:b/>
        </w:rPr>
        <w:t>obsluhovat stroje</w:t>
      </w:r>
    </w:p>
    <w:p w14:paraId="23B58AD0" w14:textId="77777777" w:rsidR="00ED3511" w:rsidRPr="001B4A02" w:rsidRDefault="00ED3511" w:rsidP="00A03600">
      <w:pPr>
        <w:keepNext/>
        <w:ind w:left="0" w:firstLine="0"/>
      </w:pPr>
    </w:p>
    <w:p w14:paraId="069B211D" w14:textId="77777777" w:rsidR="00ED3511" w:rsidRPr="001B4A02" w:rsidRDefault="00000000" w:rsidP="00ED48A3">
      <w:pPr>
        <w:ind w:left="0" w:firstLine="0"/>
      </w:pPr>
      <w:r w:rsidRPr="001B4A02">
        <w:t xml:space="preserve">Přípravek Humira </w:t>
      </w:r>
      <w:r w:rsidR="00C43387">
        <w:t xml:space="preserve">má malý </w:t>
      </w:r>
      <w:r w:rsidRPr="001B4A02">
        <w:t>vliv na schopnost řídit</w:t>
      </w:r>
      <w:r w:rsidR="002378E0">
        <w:t xml:space="preserve"> a </w:t>
      </w:r>
      <w:r w:rsidRPr="001B4A02">
        <w:t xml:space="preserve">obsluhovat stroje. Po </w:t>
      </w:r>
      <w:r w:rsidR="00BE2F59" w:rsidRPr="001B4A02">
        <w:t>po</w:t>
      </w:r>
      <w:r w:rsidRPr="001B4A02">
        <w:t>užití přípravku Humira se může objevit vertigo</w:t>
      </w:r>
      <w:r w:rsidR="002378E0">
        <w:t xml:space="preserve"> a </w:t>
      </w:r>
      <w:r w:rsidRPr="001B4A02">
        <w:t>zrakové poruchy (viz bod 4.8).</w:t>
      </w:r>
    </w:p>
    <w:p w14:paraId="0851F6F5" w14:textId="77777777" w:rsidR="00ED3511" w:rsidRPr="001B4A02" w:rsidRDefault="00ED3511" w:rsidP="00ED48A3">
      <w:pPr>
        <w:ind w:left="0" w:firstLine="0"/>
      </w:pPr>
    </w:p>
    <w:p w14:paraId="4B7BC8EE" w14:textId="77777777" w:rsidR="00ED3511" w:rsidRPr="001B4A02" w:rsidRDefault="00000000" w:rsidP="00A15B7A">
      <w:pPr>
        <w:keepNext/>
        <w:outlineLvl w:val="1"/>
        <w:rPr>
          <w:b/>
        </w:rPr>
      </w:pPr>
      <w:r w:rsidRPr="001B4A02">
        <w:rPr>
          <w:b/>
        </w:rPr>
        <w:t>4.8</w:t>
      </w:r>
      <w:r w:rsidRPr="001B4A02">
        <w:rPr>
          <w:b/>
        </w:rPr>
        <w:tab/>
        <w:t>Nežádoucí účinky</w:t>
      </w:r>
    </w:p>
    <w:p w14:paraId="66D82794" w14:textId="77777777" w:rsidR="00ED3511" w:rsidRPr="001B4A02" w:rsidRDefault="00ED3511" w:rsidP="00ED48A3">
      <w:pPr>
        <w:keepNext/>
        <w:ind w:left="0" w:firstLine="0"/>
      </w:pPr>
    </w:p>
    <w:p w14:paraId="0D733FCC" w14:textId="77777777" w:rsidR="00ED3511" w:rsidRPr="001B4A02" w:rsidRDefault="00000000" w:rsidP="00A03600">
      <w:pPr>
        <w:keepNext/>
        <w:ind w:left="0" w:firstLine="0"/>
        <w:rPr>
          <w:u w:val="single"/>
        </w:rPr>
      </w:pPr>
      <w:r w:rsidRPr="001B4A02">
        <w:rPr>
          <w:u w:val="single"/>
        </w:rPr>
        <w:t>Souhrnný bezpečnostní profil</w:t>
      </w:r>
    </w:p>
    <w:p w14:paraId="19631F39" w14:textId="77777777" w:rsidR="00ED3511" w:rsidRPr="001B4A02" w:rsidRDefault="00ED3511" w:rsidP="00ED48A3">
      <w:pPr>
        <w:keepNext/>
        <w:ind w:left="0" w:firstLine="0"/>
        <w:rPr>
          <w:szCs w:val="22"/>
        </w:rPr>
      </w:pPr>
    </w:p>
    <w:p w14:paraId="0AB18455" w14:textId="77777777" w:rsidR="00ED3511" w:rsidRPr="001B4A02" w:rsidRDefault="00000000" w:rsidP="00A03600">
      <w:pPr>
        <w:ind w:left="0" w:firstLine="0"/>
      </w:pPr>
      <w:r w:rsidRPr="001B4A02">
        <w:rPr>
          <w:szCs w:val="22"/>
        </w:rPr>
        <w:t>Přípravek Humira byl hodnocen u </w:t>
      </w:r>
      <w:r w:rsidR="00F565BA" w:rsidRPr="001B4A02">
        <w:rPr>
          <w:szCs w:val="22"/>
        </w:rPr>
        <w:t>9 506</w:t>
      </w:r>
      <w:r w:rsidRPr="001B4A02">
        <w:rPr>
          <w:szCs w:val="22"/>
        </w:rPr>
        <w:t xml:space="preserve"> pacientů v kontrolovaných</w:t>
      </w:r>
      <w:r w:rsidR="002378E0">
        <w:rPr>
          <w:szCs w:val="22"/>
        </w:rPr>
        <w:t xml:space="preserve"> a </w:t>
      </w:r>
      <w:r w:rsidRPr="001B4A02">
        <w:rPr>
          <w:szCs w:val="22"/>
        </w:rPr>
        <w:t>otevřených pivotních studiích po dobu až 60 měsíců nebo déle. Tyto studie zahrnovaly pacienty s revmatoidní artritidou s krátkým</w:t>
      </w:r>
      <w:r w:rsidR="002378E0">
        <w:rPr>
          <w:szCs w:val="22"/>
        </w:rPr>
        <w:t xml:space="preserve"> a </w:t>
      </w:r>
      <w:r w:rsidRPr="001B4A02">
        <w:rPr>
          <w:szCs w:val="22"/>
        </w:rPr>
        <w:t>dlouhým trváním, pacienty s</w:t>
      </w:r>
      <w:r w:rsidR="00DD02A9" w:rsidRPr="001B4A02">
        <w:rPr>
          <w:szCs w:val="22"/>
        </w:rPr>
        <w:t> </w:t>
      </w:r>
      <w:r w:rsidRPr="001B4A02">
        <w:t xml:space="preserve">juvenilní idiopatickou artritidou </w:t>
      </w:r>
      <w:r w:rsidRPr="001B4A02">
        <w:rPr>
          <w:szCs w:val="22"/>
        </w:rPr>
        <w:t>(polyartikulární juvenilní idiopatickou artritidou</w:t>
      </w:r>
      <w:r w:rsidR="002378E0">
        <w:rPr>
          <w:szCs w:val="22"/>
        </w:rPr>
        <w:t xml:space="preserve"> a </w:t>
      </w:r>
      <w:r w:rsidRPr="001B4A02">
        <w:rPr>
          <w:szCs w:val="22"/>
        </w:rPr>
        <w:t>entezopatickou artritidou), stejně jako</w:t>
      </w:r>
      <w:r w:rsidRPr="001B4A02">
        <w:t xml:space="preserve"> </w:t>
      </w:r>
      <w:r w:rsidRPr="001B4A02">
        <w:rPr>
          <w:szCs w:val="22"/>
        </w:rPr>
        <w:t>pacienty s</w:t>
      </w:r>
      <w:r w:rsidR="00DD02A9" w:rsidRPr="001B4A02">
        <w:rPr>
          <w:szCs w:val="22"/>
        </w:rPr>
        <w:t> </w:t>
      </w:r>
      <w:r w:rsidRPr="001B4A02">
        <w:rPr>
          <w:szCs w:val="22"/>
        </w:rPr>
        <w:t>axiální spondylartritidou (ankylozující spondylitidou</w:t>
      </w:r>
      <w:r w:rsidR="002378E0">
        <w:rPr>
          <w:szCs w:val="22"/>
        </w:rPr>
        <w:t xml:space="preserve"> a </w:t>
      </w:r>
      <w:r w:rsidRPr="001B4A02">
        <w:rPr>
          <w:szCs w:val="22"/>
        </w:rPr>
        <w:t>axiální spondylartritidou bez radiologického průkazu AS), psoriatickou artritidou, pacienty s Crohnovou chorobou, ulcerózní kolitidou</w:t>
      </w:r>
      <w:r w:rsidR="00910B96" w:rsidRPr="001B4A02">
        <w:rPr>
          <w:szCs w:val="22"/>
        </w:rPr>
        <w:t>,</w:t>
      </w:r>
      <w:r w:rsidRPr="001B4A02">
        <w:rPr>
          <w:szCs w:val="22"/>
        </w:rPr>
        <w:t xml:space="preserve"> </w:t>
      </w:r>
      <w:r w:rsidR="00910B96" w:rsidRPr="001B4A02">
        <w:rPr>
          <w:szCs w:val="22"/>
        </w:rPr>
        <w:t>psoriázou</w:t>
      </w:r>
      <w:r w:rsidR="002378E0">
        <w:rPr>
          <w:szCs w:val="22"/>
        </w:rPr>
        <w:t xml:space="preserve"> a </w:t>
      </w:r>
      <w:r w:rsidRPr="001B4A02">
        <w:rPr>
          <w:szCs w:val="22"/>
        </w:rPr>
        <w:t>pacienty s</w:t>
      </w:r>
      <w:r w:rsidR="00910B96" w:rsidRPr="001B4A02">
        <w:rPr>
          <w:szCs w:val="22"/>
        </w:rPr>
        <w:t> hidradenitis suppurativa</w:t>
      </w:r>
      <w:r w:rsidR="002378E0">
        <w:rPr>
          <w:szCs w:val="22"/>
        </w:rPr>
        <w:t xml:space="preserve"> a </w:t>
      </w:r>
      <w:r w:rsidR="00F565BA" w:rsidRPr="001B4A02">
        <w:rPr>
          <w:szCs w:val="22"/>
        </w:rPr>
        <w:t>uveitidou</w:t>
      </w:r>
      <w:r w:rsidRPr="001B4A02">
        <w:rPr>
          <w:szCs w:val="22"/>
        </w:rPr>
        <w:t xml:space="preserve">. Pivotní kontrolované studie zahrnovaly </w:t>
      </w:r>
      <w:r w:rsidR="00F565BA" w:rsidRPr="001B4A02">
        <w:rPr>
          <w:szCs w:val="22"/>
        </w:rPr>
        <w:t>6 089</w:t>
      </w:r>
      <w:r w:rsidRPr="001B4A02">
        <w:rPr>
          <w:szCs w:val="22"/>
        </w:rPr>
        <w:t> pacientů léčených přípravkem Humira</w:t>
      </w:r>
      <w:r w:rsidR="002378E0">
        <w:rPr>
          <w:szCs w:val="22"/>
        </w:rPr>
        <w:t xml:space="preserve"> a </w:t>
      </w:r>
      <w:r w:rsidR="00F565BA" w:rsidRPr="001B4A02">
        <w:rPr>
          <w:szCs w:val="22"/>
        </w:rPr>
        <w:t>3 801</w:t>
      </w:r>
      <w:r w:rsidRPr="001B4A02">
        <w:rPr>
          <w:szCs w:val="22"/>
        </w:rPr>
        <w:t> pacientů, kteří v kontrolovaném období studií dostávali placebo nebo aktivní srovnávací lék.</w:t>
      </w:r>
    </w:p>
    <w:p w14:paraId="572E7450" w14:textId="77777777" w:rsidR="00ED3511" w:rsidRPr="001B4A02" w:rsidRDefault="00ED3511" w:rsidP="00ED48A3">
      <w:pPr>
        <w:ind w:left="0" w:firstLine="0"/>
      </w:pPr>
    </w:p>
    <w:p w14:paraId="2C310D30" w14:textId="77777777" w:rsidR="00ED3511" w:rsidRPr="001B4A02" w:rsidRDefault="00000000" w:rsidP="00ED48A3">
      <w:pPr>
        <w:ind w:left="0" w:firstLine="0"/>
      </w:pPr>
      <w:r w:rsidRPr="001B4A02">
        <w:t>Podíl pacientů, kteří předčasně ukončili léčbu pro nežádoucí účinky ve dvojitě zaslepené kontrolované části klíčových studií</w:t>
      </w:r>
      <w:r w:rsidR="00013321" w:rsidRPr="001B4A02">
        <w:t>,</w:t>
      </w:r>
      <w:r w:rsidRPr="001B4A02">
        <w:t xml:space="preserve"> byl </w:t>
      </w:r>
      <w:r w:rsidR="00F565BA" w:rsidRPr="001B4A02">
        <w:t>5,9</w:t>
      </w:r>
      <w:r w:rsidR="006008CB">
        <w:t> %</w:t>
      </w:r>
      <w:r w:rsidRPr="001B4A02">
        <w:t xml:space="preserve"> pacientů léčených přípravkem Humira</w:t>
      </w:r>
      <w:r w:rsidR="002378E0">
        <w:t xml:space="preserve"> a </w:t>
      </w:r>
      <w:r w:rsidR="00910B96" w:rsidRPr="001B4A02">
        <w:t>5,4</w:t>
      </w:r>
      <w:r w:rsidR="006008CB">
        <w:t> %</w:t>
      </w:r>
      <w:r w:rsidRPr="001B4A02">
        <w:t xml:space="preserve"> u pacientů užívajících kontrolní léčbu.</w:t>
      </w:r>
    </w:p>
    <w:p w14:paraId="70D3A208" w14:textId="77777777" w:rsidR="00ED3511" w:rsidRPr="001B4A02" w:rsidRDefault="00ED3511" w:rsidP="00ED48A3">
      <w:pPr>
        <w:pStyle w:val="EMEAHeadingUnderline"/>
        <w:tabs>
          <w:tab w:val="clear" w:pos="562"/>
          <w:tab w:val="left" w:pos="708"/>
        </w:tabs>
        <w:suppressAutoHyphens w:val="0"/>
        <w:spacing w:beforeLines="0" w:before="0" w:afterLines="0" w:after="0"/>
        <w:rPr>
          <w:lang w:val="cs-CZ"/>
        </w:rPr>
      </w:pPr>
    </w:p>
    <w:p w14:paraId="01FC0492" w14:textId="77777777" w:rsidR="00ED3511" w:rsidRPr="001B4A02" w:rsidRDefault="00000000" w:rsidP="00ED48A3">
      <w:pPr>
        <w:ind w:left="0" w:firstLine="0"/>
      </w:pPr>
      <w:r w:rsidRPr="001B4A02">
        <w:t>Nejčastěji hlášenými nežádoucími účinky jsou infekce (jako je nasofaryngitida, infekce horních dýchacích cest</w:t>
      </w:r>
      <w:r w:rsidR="002378E0">
        <w:t xml:space="preserve"> a </w:t>
      </w:r>
      <w:r w:rsidRPr="001B4A02">
        <w:t>sinusitida), reakce v místě injekčního vpichu (erytém, svědění, krvácení, bolest nebo otoky), bolest hlavy</w:t>
      </w:r>
      <w:r w:rsidR="002378E0">
        <w:t xml:space="preserve"> a </w:t>
      </w:r>
      <w:r w:rsidRPr="001B4A02">
        <w:t>muskuloskeletální bolest.</w:t>
      </w:r>
    </w:p>
    <w:p w14:paraId="3C480BAA" w14:textId="77777777" w:rsidR="00ED3511" w:rsidRPr="001B4A02" w:rsidRDefault="00ED3511" w:rsidP="00ED48A3">
      <w:pPr>
        <w:ind w:left="0" w:firstLine="0"/>
      </w:pPr>
    </w:p>
    <w:p w14:paraId="32F43C32" w14:textId="77777777" w:rsidR="00ED3511" w:rsidRPr="001B4A02" w:rsidRDefault="00000000" w:rsidP="00ED48A3">
      <w:pPr>
        <w:ind w:left="0" w:firstLine="0"/>
      </w:pPr>
      <w:r w:rsidRPr="001B4A02">
        <w:t xml:space="preserve">U přípravku Humira byly hlášeny závažné nežádoucí účinky. TNF antagonisté, jako například </w:t>
      </w:r>
      <w:r w:rsidR="00E662F3" w:rsidRPr="001B4A02">
        <w:t xml:space="preserve">přípravek </w:t>
      </w:r>
      <w:r w:rsidRPr="001B4A02">
        <w:t>Humira, ovlivňují imunitní systém</w:t>
      </w:r>
      <w:r w:rsidR="002378E0">
        <w:t xml:space="preserve"> a </w:t>
      </w:r>
      <w:r w:rsidRPr="001B4A02">
        <w:t>jejich užití může ovlivňovat schopnost obranyschopnosti organismu vůči infekci</w:t>
      </w:r>
      <w:r w:rsidR="002378E0">
        <w:t xml:space="preserve"> a </w:t>
      </w:r>
      <w:r w:rsidRPr="001B4A02">
        <w:t>rakovinnému bujení. U</w:t>
      </w:r>
      <w:r w:rsidR="00DD02A9" w:rsidRPr="001B4A02">
        <w:t> </w:t>
      </w:r>
      <w:r w:rsidRPr="001B4A02">
        <w:t>přípravku Humira byly také hlášeny fatální</w:t>
      </w:r>
      <w:r w:rsidR="002378E0">
        <w:t xml:space="preserve"> a </w:t>
      </w:r>
      <w:r w:rsidRPr="001B4A02">
        <w:t>život ohrožující infekce (včetně sepse, oportunních infekcí TBC), HBV reaktivace</w:t>
      </w:r>
      <w:r w:rsidR="002378E0">
        <w:t xml:space="preserve"> a </w:t>
      </w:r>
      <w:r w:rsidRPr="001B4A02">
        <w:t>různé malignity (včetně leukémie, lymfomů</w:t>
      </w:r>
      <w:r w:rsidR="002378E0">
        <w:t xml:space="preserve"> a </w:t>
      </w:r>
      <w:r w:rsidRPr="001B4A02">
        <w:t>HSTCL).</w:t>
      </w:r>
    </w:p>
    <w:p w14:paraId="5EB626EC" w14:textId="77777777" w:rsidR="00ED3511" w:rsidRPr="001B4A02" w:rsidRDefault="00ED3511" w:rsidP="00ED48A3">
      <w:pPr>
        <w:ind w:left="0" w:firstLine="0"/>
      </w:pPr>
    </w:p>
    <w:p w14:paraId="0D0026FF" w14:textId="77777777" w:rsidR="00ED3511" w:rsidRPr="001B4A02" w:rsidRDefault="00000000" w:rsidP="00ED48A3">
      <w:pPr>
        <w:ind w:left="0" w:firstLine="0"/>
        <w:rPr>
          <w:u w:val="single"/>
        </w:rPr>
      </w:pPr>
      <w:r w:rsidRPr="001B4A02">
        <w:t>Byly také hlášeny závažné hematologické, neurologické</w:t>
      </w:r>
      <w:r w:rsidR="002378E0">
        <w:t xml:space="preserve"> a </w:t>
      </w:r>
      <w:r w:rsidRPr="001B4A02">
        <w:t xml:space="preserve">autoimunní reakce. Tyto zahrnují vzácně se vyskytující případy pancytopenie, </w:t>
      </w:r>
      <w:r w:rsidR="00B67724" w:rsidRPr="001B4A02">
        <w:t>a</w:t>
      </w:r>
      <w:r w:rsidRPr="001B4A02">
        <w:t>plastické anémie, centrálních</w:t>
      </w:r>
      <w:r w:rsidR="002378E0">
        <w:t xml:space="preserve"> a </w:t>
      </w:r>
      <w:r w:rsidRPr="001B4A02">
        <w:t>periferních demyelinizačních chorob, případy lupus erythematodes</w:t>
      </w:r>
      <w:r w:rsidR="002378E0">
        <w:t xml:space="preserve"> a </w:t>
      </w:r>
      <w:r w:rsidRPr="001B4A02">
        <w:t>stavů podobných lupusu</w:t>
      </w:r>
      <w:r w:rsidR="002378E0">
        <w:t xml:space="preserve"> a </w:t>
      </w:r>
      <w:r w:rsidRPr="001B4A02">
        <w:t>Stevens</w:t>
      </w:r>
      <w:r w:rsidR="00C43387">
        <w:t>ův</w:t>
      </w:r>
      <w:r w:rsidRPr="001B4A02">
        <w:t>-Johnsonův syndrom.</w:t>
      </w:r>
    </w:p>
    <w:p w14:paraId="59E4B065" w14:textId="77777777" w:rsidR="00ED3511" w:rsidRPr="001B4A02" w:rsidRDefault="00ED3511" w:rsidP="00ED48A3">
      <w:pPr>
        <w:pStyle w:val="EMEAHeadingUnderline"/>
        <w:tabs>
          <w:tab w:val="clear" w:pos="562"/>
          <w:tab w:val="left" w:pos="708"/>
        </w:tabs>
        <w:suppressAutoHyphens w:val="0"/>
        <w:spacing w:beforeLines="0" w:before="0" w:afterLines="0" w:after="0"/>
        <w:rPr>
          <w:i/>
          <w:u w:val="none"/>
          <w:lang w:val="cs-CZ"/>
        </w:rPr>
      </w:pPr>
    </w:p>
    <w:p w14:paraId="354FEF87" w14:textId="77777777" w:rsidR="00ED3511" w:rsidRPr="001B4A02" w:rsidRDefault="00000000" w:rsidP="00A03600">
      <w:pPr>
        <w:pStyle w:val="EMEAHeadingUnderline"/>
        <w:keepNext/>
        <w:tabs>
          <w:tab w:val="clear" w:pos="562"/>
          <w:tab w:val="left" w:pos="708"/>
        </w:tabs>
        <w:suppressAutoHyphens w:val="0"/>
        <w:spacing w:beforeLines="0" w:before="0" w:afterLines="0" w:after="0"/>
        <w:rPr>
          <w:lang w:val="cs-CZ"/>
        </w:rPr>
      </w:pPr>
      <w:r w:rsidRPr="001B4A02">
        <w:rPr>
          <w:lang w:val="cs-CZ"/>
        </w:rPr>
        <w:t>Pediatrická populace</w:t>
      </w:r>
    </w:p>
    <w:p w14:paraId="56A4E9E7" w14:textId="77777777" w:rsidR="00ED3511" w:rsidRPr="001B4A02" w:rsidRDefault="00ED3511" w:rsidP="00A03600">
      <w:pPr>
        <w:keepNext/>
        <w:ind w:left="0" w:firstLine="0"/>
      </w:pPr>
    </w:p>
    <w:p w14:paraId="0FAE3749" w14:textId="77777777" w:rsidR="00ED3511" w:rsidRPr="001B4A02" w:rsidRDefault="00000000" w:rsidP="00ED48A3">
      <w:pPr>
        <w:ind w:left="0" w:firstLine="0"/>
      </w:pPr>
      <w:r w:rsidRPr="001B4A02">
        <w:t>Obecně byly nežádoucí účinky u</w:t>
      </w:r>
      <w:r w:rsidR="003315BB" w:rsidRPr="001B4A02">
        <w:t> </w:t>
      </w:r>
      <w:r w:rsidRPr="001B4A02">
        <w:t>pediatrických pacientů, pokud jde o</w:t>
      </w:r>
      <w:r w:rsidR="00923691" w:rsidRPr="001B4A02">
        <w:t> </w:t>
      </w:r>
      <w:r w:rsidRPr="001B4A02">
        <w:t>typ</w:t>
      </w:r>
      <w:r w:rsidR="002378E0">
        <w:t xml:space="preserve"> a </w:t>
      </w:r>
      <w:r w:rsidRPr="001B4A02">
        <w:t>četnost výskytu, podobné těm, které byly p</w:t>
      </w:r>
      <w:r w:rsidR="00790DEF" w:rsidRPr="001B4A02">
        <w:t>ozorovány u</w:t>
      </w:r>
      <w:r w:rsidR="003315BB" w:rsidRPr="001B4A02">
        <w:t> </w:t>
      </w:r>
      <w:r w:rsidR="00790DEF" w:rsidRPr="001B4A02">
        <w:t>dospělých pacientů.</w:t>
      </w:r>
    </w:p>
    <w:p w14:paraId="298BA25E" w14:textId="77777777" w:rsidR="00ED3511" w:rsidRPr="001B4A02" w:rsidRDefault="00ED3511" w:rsidP="00ED48A3">
      <w:pPr>
        <w:ind w:left="0" w:firstLine="0"/>
        <w:rPr>
          <w:u w:val="single"/>
        </w:rPr>
      </w:pPr>
    </w:p>
    <w:p w14:paraId="6CE0C87D" w14:textId="77777777" w:rsidR="00ED3511" w:rsidRPr="001B4A02" w:rsidRDefault="00000000" w:rsidP="00A03600">
      <w:pPr>
        <w:keepNext/>
        <w:ind w:left="0" w:firstLine="0"/>
        <w:rPr>
          <w:u w:val="single"/>
        </w:rPr>
      </w:pPr>
      <w:r w:rsidRPr="001B4A02">
        <w:rPr>
          <w:u w:val="single"/>
        </w:rPr>
        <w:t>Tabulkový seznam nežádoucích účinků</w:t>
      </w:r>
    </w:p>
    <w:p w14:paraId="0678432C" w14:textId="77777777" w:rsidR="00ED3511" w:rsidRPr="001B4A02" w:rsidRDefault="00ED3511" w:rsidP="00A03600">
      <w:pPr>
        <w:keepNext/>
        <w:ind w:left="0" w:firstLine="0"/>
      </w:pPr>
    </w:p>
    <w:p w14:paraId="4EB5A7DB" w14:textId="77777777" w:rsidR="00ED3511" w:rsidRPr="001B4A02" w:rsidRDefault="00000000" w:rsidP="00ED48A3">
      <w:pPr>
        <w:ind w:left="0" w:firstLine="0"/>
      </w:pPr>
      <w:r w:rsidRPr="001B4A02">
        <w:t>Následující výčet nežádoucích účinků je založen na zkušenosti z klinických studií</w:t>
      </w:r>
      <w:r w:rsidR="002378E0">
        <w:t xml:space="preserve"> a </w:t>
      </w:r>
      <w:r w:rsidRPr="001B4A02">
        <w:t>z období postmarketingu, účinky jsou seřazeny podle orgánových systémů</w:t>
      </w:r>
      <w:r w:rsidR="002378E0">
        <w:t xml:space="preserve"> a </w:t>
      </w:r>
      <w:r w:rsidRPr="001B4A02">
        <w:t>frekvence výskytu v </w:t>
      </w:r>
      <w:r w:rsidR="0026588C" w:rsidRPr="001B4A02">
        <w:t>t</w:t>
      </w:r>
      <w:r w:rsidRPr="001B4A02">
        <w:t xml:space="preserve">abulce </w:t>
      </w:r>
      <w:r w:rsidR="00F9716C">
        <w:t>7</w:t>
      </w:r>
      <w:r w:rsidR="00F9716C" w:rsidRPr="001B4A02">
        <w:t xml:space="preserve"> </w:t>
      </w:r>
      <w:r w:rsidRPr="001B4A02">
        <w:t>níže: velmi časté (</w:t>
      </w:r>
      <w:r w:rsidRPr="001B4A02">
        <w:rPr>
          <w:rFonts w:ascii="Symbol" w:hAnsi="Symbol"/>
        </w:rPr>
        <w:sym w:font="Symbol" w:char="F0B3"/>
      </w:r>
      <w:r w:rsidRPr="001B4A02">
        <w:t> 1/10); časté (</w:t>
      </w:r>
      <w:r w:rsidRPr="001B4A02">
        <w:rPr>
          <w:rFonts w:ascii="Symbol" w:hAnsi="Symbol"/>
        </w:rPr>
        <w:sym w:font="Symbol" w:char="F0B3"/>
      </w:r>
      <w:r w:rsidRPr="001B4A02">
        <w:t xml:space="preserve"> 1/100 do </w:t>
      </w:r>
      <w:r w:rsidR="009B56B1" w:rsidRPr="001B4A02">
        <w:rPr>
          <w:rFonts w:ascii="Symbol" w:hAnsi="Symbol"/>
        </w:rPr>
        <w:sym w:font="Symbol" w:char="F03C"/>
      </w:r>
      <w:r w:rsidRPr="001B4A02">
        <w:t> 1/10); méně časté (</w:t>
      </w:r>
      <w:r w:rsidRPr="001B4A02">
        <w:rPr>
          <w:rFonts w:ascii="Symbol" w:hAnsi="Symbol"/>
        </w:rPr>
        <w:sym w:font="Symbol" w:char="F0B3"/>
      </w:r>
      <w:r w:rsidRPr="001B4A02">
        <w:t> 1/1</w:t>
      </w:r>
      <w:r w:rsidR="009F584E" w:rsidRPr="001B4A02">
        <w:t> </w:t>
      </w:r>
      <w:r w:rsidRPr="001B4A02">
        <w:t xml:space="preserve">000 do </w:t>
      </w:r>
      <w:r w:rsidRPr="001B4A02">
        <w:rPr>
          <w:rFonts w:ascii="Symbol" w:hAnsi="Symbol"/>
        </w:rPr>
        <w:sym w:font="Symbol" w:char="F03C"/>
      </w:r>
      <w:r w:rsidRPr="001B4A02">
        <w:t> 1/100); vzácné (</w:t>
      </w:r>
      <w:r w:rsidR="009D2A3C" w:rsidRPr="001B4A02">
        <w:rPr>
          <w:rFonts w:ascii="Symbol" w:hAnsi="Symbol"/>
        </w:rPr>
        <w:sym w:font="Symbol" w:char="F0B3"/>
      </w:r>
      <w:r w:rsidR="009F584E" w:rsidRPr="001B4A02">
        <w:t> </w:t>
      </w:r>
      <w:r w:rsidRPr="001B4A02">
        <w:t xml:space="preserve">1/10 000 do </w:t>
      </w:r>
      <w:r w:rsidRPr="001B4A02">
        <w:rPr>
          <w:rFonts w:ascii="Symbol" w:hAnsi="Symbol"/>
        </w:rPr>
        <w:sym w:font="Symbol" w:char="F03C"/>
      </w:r>
      <w:r w:rsidRPr="001B4A02">
        <w:t> 1/1</w:t>
      </w:r>
      <w:r w:rsidR="009F584E" w:rsidRPr="001B4A02">
        <w:t> </w:t>
      </w:r>
      <w:r w:rsidRPr="001B4A02">
        <w:t>000)</w:t>
      </w:r>
      <w:r w:rsidR="002378E0">
        <w:t xml:space="preserve"> a </w:t>
      </w:r>
      <w:r w:rsidRPr="001B4A02">
        <w:t>není známo (z dostupných údajů nelze určit). V každé skupině četností jsou nežádoucí účinky řazeny podle klesající závažnosti. Jsou zde zahrnuty účinky, které se, napříč jednotlivými indikacemi, vyskytovaly s</w:t>
      </w:r>
      <w:r w:rsidR="00DD02A9" w:rsidRPr="001B4A02">
        <w:t> </w:t>
      </w:r>
      <w:r w:rsidRPr="001B4A02">
        <w:t>nejvyšší frekvencí. Hvězdička (*) se ve sloupci tříd orgánových systémů vyskytuje tehdy, pokud lze další informace nalézt na jiných místech textu, v bodech 4.3, 4.4</w:t>
      </w:r>
      <w:r w:rsidR="002378E0">
        <w:t xml:space="preserve"> a </w:t>
      </w:r>
      <w:r w:rsidRPr="001B4A02">
        <w:t>4.8.</w:t>
      </w:r>
    </w:p>
    <w:p w14:paraId="29F5513B" w14:textId="77777777" w:rsidR="00ED3511" w:rsidRPr="001B4A02" w:rsidRDefault="00ED3511" w:rsidP="00ED48A3">
      <w:pPr>
        <w:pStyle w:val="BodyText"/>
        <w:ind w:left="0" w:firstLine="0"/>
        <w:rPr>
          <w:lang w:val="cs-CZ"/>
        </w:rPr>
      </w:pPr>
    </w:p>
    <w:p w14:paraId="433A01A6" w14:textId="77777777" w:rsidR="00ED3511" w:rsidRPr="001B4A02" w:rsidRDefault="00000000" w:rsidP="00790DEF">
      <w:pPr>
        <w:keepNext/>
        <w:ind w:left="0" w:firstLine="0"/>
        <w:jc w:val="center"/>
        <w:rPr>
          <w:b/>
        </w:rPr>
      </w:pPr>
      <w:r w:rsidRPr="001B4A02">
        <w:rPr>
          <w:b/>
        </w:rPr>
        <w:t xml:space="preserve">Tabulka </w:t>
      </w:r>
      <w:r w:rsidR="00F9716C">
        <w:rPr>
          <w:b/>
        </w:rPr>
        <w:t>7</w:t>
      </w:r>
    </w:p>
    <w:p w14:paraId="235E2682" w14:textId="77777777" w:rsidR="00ED3511" w:rsidRPr="001B4A02" w:rsidRDefault="00000000" w:rsidP="00790DEF">
      <w:pPr>
        <w:pStyle w:val="EndnoteText"/>
        <w:keepNext/>
        <w:ind w:left="0" w:firstLine="0"/>
        <w:jc w:val="center"/>
        <w:rPr>
          <w:b/>
          <w:lang w:val="cs-CZ"/>
        </w:rPr>
      </w:pPr>
      <w:r w:rsidRPr="001B4A02">
        <w:rPr>
          <w:b/>
          <w:lang w:val="cs-CZ"/>
        </w:rPr>
        <w:t>Nežádoucí účinky</w:t>
      </w:r>
    </w:p>
    <w:p w14:paraId="6DF7FD99" w14:textId="77777777" w:rsidR="00ED3511" w:rsidRPr="001B4A02" w:rsidRDefault="00ED3511" w:rsidP="00790DEF">
      <w:pPr>
        <w:keepNext/>
        <w:ind w:left="0"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1440"/>
        <w:gridCol w:w="4689"/>
      </w:tblGrid>
      <w:tr w:rsidR="00534A2D" w14:paraId="2B0CF603" w14:textId="77777777" w:rsidTr="00187CC8">
        <w:trPr>
          <w:jc w:val="center"/>
        </w:trPr>
        <w:tc>
          <w:tcPr>
            <w:tcW w:w="2880" w:type="dxa"/>
            <w:tcBorders>
              <w:top w:val="single" w:sz="4" w:space="0" w:color="auto"/>
              <w:left w:val="single" w:sz="4" w:space="0" w:color="auto"/>
              <w:bottom w:val="single" w:sz="4" w:space="0" w:color="auto"/>
              <w:right w:val="single" w:sz="4" w:space="0" w:color="auto"/>
            </w:tcBorders>
          </w:tcPr>
          <w:p w14:paraId="5DC8D582" w14:textId="77777777" w:rsidR="00ED3511" w:rsidRPr="001B4A02" w:rsidRDefault="00000000" w:rsidP="00790DEF">
            <w:pPr>
              <w:pStyle w:val="EMEANormal"/>
              <w:keepNext/>
              <w:tabs>
                <w:tab w:val="left" w:pos="0"/>
              </w:tabs>
              <w:rPr>
                <w:b/>
                <w:bCs/>
                <w:szCs w:val="22"/>
                <w:lang w:val="cs-CZ"/>
              </w:rPr>
            </w:pPr>
            <w:r w:rsidRPr="001B4A02">
              <w:rPr>
                <w:b/>
                <w:bCs/>
                <w:szCs w:val="22"/>
                <w:lang w:val="cs-CZ"/>
              </w:rPr>
              <w:t>Třídy orgánových systémů</w:t>
            </w:r>
          </w:p>
        </w:tc>
        <w:tc>
          <w:tcPr>
            <w:tcW w:w="1440" w:type="dxa"/>
            <w:tcBorders>
              <w:top w:val="single" w:sz="4" w:space="0" w:color="auto"/>
              <w:left w:val="single" w:sz="4" w:space="0" w:color="auto"/>
              <w:bottom w:val="single" w:sz="4" w:space="0" w:color="auto"/>
              <w:right w:val="single" w:sz="4" w:space="0" w:color="auto"/>
            </w:tcBorders>
          </w:tcPr>
          <w:p w14:paraId="7CB3D109" w14:textId="77777777" w:rsidR="00ED3511" w:rsidRPr="001B4A02" w:rsidRDefault="00000000" w:rsidP="00790DEF">
            <w:pPr>
              <w:pStyle w:val="EMEANormal"/>
              <w:keepNext/>
              <w:ind w:left="112"/>
              <w:rPr>
                <w:b/>
                <w:bCs/>
                <w:szCs w:val="22"/>
                <w:lang w:val="cs-CZ"/>
              </w:rPr>
            </w:pPr>
            <w:r w:rsidRPr="001B4A02">
              <w:rPr>
                <w:b/>
                <w:bCs/>
                <w:szCs w:val="22"/>
                <w:lang w:val="cs-CZ"/>
              </w:rPr>
              <w:t>Frekvence</w:t>
            </w:r>
          </w:p>
        </w:tc>
        <w:tc>
          <w:tcPr>
            <w:tcW w:w="4689" w:type="dxa"/>
            <w:tcBorders>
              <w:top w:val="single" w:sz="4" w:space="0" w:color="auto"/>
              <w:left w:val="single" w:sz="4" w:space="0" w:color="auto"/>
              <w:bottom w:val="single" w:sz="4" w:space="0" w:color="auto"/>
              <w:right w:val="single" w:sz="4" w:space="0" w:color="auto"/>
            </w:tcBorders>
          </w:tcPr>
          <w:p w14:paraId="19674D4B" w14:textId="77777777" w:rsidR="00ED3511" w:rsidRPr="001B4A02" w:rsidRDefault="00000000" w:rsidP="00790DEF">
            <w:pPr>
              <w:pStyle w:val="EMEANormal"/>
              <w:keepNext/>
              <w:rPr>
                <w:b/>
                <w:bCs/>
                <w:szCs w:val="22"/>
                <w:lang w:val="cs-CZ"/>
              </w:rPr>
            </w:pPr>
            <w:r w:rsidRPr="001B4A02">
              <w:rPr>
                <w:b/>
                <w:bCs/>
                <w:szCs w:val="22"/>
                <w:lang w:val="cs-CZ"/>
              </w:rPr>
              <w:t>Nežádoucí účinek</w:t>
            </w:r>
          </w:p>
        </w:tc>
      </w:tr>
      <w:tr w:rsidR="00534A2D" w14:paraId="6A350DEE" w14:textId="77777777" w:rsidTr="00961CF6">
        <w:trPr>
          <w:cantSplit/>
          <w:trHeight w:val="343"/>
          <w:jc w:val="center"/>
        </w:trPr>
        <w:tc>
          <w:tcPr>
            <w:tcW w:w="2880" w:type="dxa"/>
            <w:vMerge w:val="restart"/>
            <w:tcBorders>
              <w:top w:val="single" w:sz="4" w:space="0" w:color="auto"/>
              <w:left w:val="single" w:sz="4" w:space="0" w:color="auto"/>
              <w:bottom w:val="single" w:sz="4" w:space="0" w:color="auto"/>
              <w:right w:val="single" w:sz="4" w:space="0" w:color="auto"/>
            </w:tcBorders>
          </w:tcPr>
          <w:p w14:paraId="2B469AAC" w14:textId="77777777" w:rsidR="00ED3511" w:rsidRPr="001B4A02" w:rsidRDefault="00000000" w:rsidP="00ED48A3">
            <w:pPr>
              <w:pStyle w:val="EMEANormal"/>
              <w:tabs>
                <w:tab w:val="left" w:pos="0"/>
              </w:tabs>
              <w:rPr>
                <w:szCs w:val="22"/>
                <w:lang w:val="cs-CZ"/>
              </w:rPr>
            </w:pPr>
            <w:r w:rsidRPr="001B4A02">
              <w:rPr>
                <w:szCs w:val="22"/>
                <w:lang w:val="cs-CZ"/>
              </w:rPr>
              <w:t>Infekce</w:t>
            </w:r>
            <w:r w:rsidR="002378E0">
              <w:rPr>
                <w:szCs w:val="22"/>
                <w:lang w:val="cs-CZ"/>
              </w:rPr>
              <w:t xml:space="preserve"> a </w:t>
            </w:r>
            <w:r w:rsidRPr="001B4A02">
              <w:rPr>
                <w:szCs w:val="22"/>
                <w:lang w:val="cs-CZ"/>
              </w:rPr>
              <w:t>infestace*</w:t>
            </w:r>
          </w:p>
        </w:tc>
        <w:tc>
          <w:tcPr>
            <w:tcW w:w="1440" w:type="dxa"/>
            <w:tcBorders>
              <w:top w:val="single" w:sz="4" w:space="0" w:color="auto"/>
              <w:left w:val="single" w:sz="4" w:space="0" w:color="auto"/>
              <w:bottom w:val="single" w:sz="4" w:space="0" w:color="auto"/>
              <w:right w:val="single" w:sz="4" w:space="0" w:color="auto"/>
            </w:tcBorders>
          </w:tcPr>
          <w:p w14:paraId="4EA87A32" w14:textId="77777777" w:rsidR="00ED3511" w:rsidRPr="001B4A02" w:rsidRDefault="00000000" w:rsidP="00ED48A3">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3064B578" w14:textId="77777777" w:rsidR="00ED3511" w:rsidRPr="001B4A02" w:rsidRDefault="00000000" w:rsidP="00ED48A3">
            <w:pPr>
              <w:pStyle w:val="EMEANormal"/>
              <w:rPr>
                <w:szCs w:val="22"/>
                <w:lang w:val="cs-CZ"/>
              </w:rPr>
            </w:pPr>
            <w:r w:rsidRPr="001B4A02">
              <w:rPr>
                <w:szCs w:val="22"/>
                <w:lang w:val="cs-CZ"/>
              </w:rPr>
              <w:t>Infekce dýchacích cest (včetně infekce dolních</w:t>
            </w:r>
            <w:r w:rsidR="002378E0">
              <w:rPr>
                <w:szCs w:val="22"/>
                <w:lang w:val="cs-CZ"/>
              </w:rPr>
              <w:t xml:space="preserve"> a </w:t>
            </w:r>
            <w:r w:rsidRPr="001B4A02">
              <w:rPr>
                <w:szCs w:val="22"/>
                <w:lang w:val="cs-CZ"/>
              </w:rPr>
              <w:t>horních cest dýchacích, pneumonie, sinusitidy, faryngitidy, nazofaryngitidy</w:t>
            </w:r>
            <w:r w:rsidR="002378E0">
              <w:rPr>
                <w:szCs w:val="22"/>
                <w:lang w:val="cs-CZ"/>
              </w:rPr>
              <w:t xml:space="preserve"> a </w:t>
            </w:r>
            <w:r w:rsidRPr="001B4A02">
              <w:rPr>
                <w:szCs w:val="22"/>
                <w:lang w:val="cs-CZ"/>
              </w:rPr>
              <w:t>pneumonie vyvolané herpetickými viry)</w:t>
            </w:r>
          </w:p>
          <w:p w14:paraId="22928640" w14:textId="77777777" w:rsidR="00ED3511" w:rsidRPr="001B4A02" w:rsidRDefault="00ED3511" w:rsidP="00ED48A3">
            <w:pPr>
              <w:pStyle w:val="EMEANormal"/>
              <w:rPr>
                <w:szCs w:val="22"/>
                <w:lang w:val="cs-CZ"/>
              </w:rPr>
            </w:pPr>
          </w:p>
        </w:tc>
      </w:tr>
      <w:tr w:rsidR="00534A2D" w14:paraId="1E3B91DE" w14:textId="77777777" w:rsidTr="00961CF6">
        <w:trPr>
          <w:cantSplit/>
          <w:trHeight w:val="342"/>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06444A5"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71AA37F8" w14:textId="77777777" w:rsidR="00ED351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2A32109E" w14:textId="77777777" w:rsidR="00ED3511" w:rsidRPr="001B4A02" w:rsidRDefault="00000000" w:rsidP="00ED48A3">
            <w:pPr>
              <w:pStyle w:val="EMEANormal"/>
              <w:rPr>
                <w:szCs w:val="22"/>
                <w:lang w:val="cs-CZ"/>
              </w:rPr>
            </w:pPr>
            <w:r w:rsidRPr="001B4A02">
              <w:rPr>
                <w:szCs w:val="22"/>
                <w:lang w:val="cs-CZ"/>
              </w:rPr>
              <w:t>Systémové infekce (včetně sepse, kandidózy</w:t>
            </w:r>
            <w:r w:rsidR="002378E0">
              <w:rPr>
                <w:szCs w:val="22"/>
                <w:lang w:val="cs-CZ"/>
              </w:rPr>
              <w:t xml:space="preserve"> a </w:t>
            </w:r>
            <w:r w:rsidRPr="001B4A02">
              <w:rPr>
                <w:szCs w:val="22"/>
                <w:lang w:val="cs-CZ"/>
              </w:rPr>
              <w:t>chřipky),</w:t>
            </w:r>
          </w:p>
          <w:p w14:paraId="5DB44A0C" w14:textId="77777777" w:rsidR="00ED3511" w:rsidRPr="001B4A02" w:rsidRDefault="00000000" w:rsidP="00ED48A3">
            <w:pPr>
              <w:pStyle w:val="EMEANormal"/>
              <w:rPr>
                <w:szCs w:val="22"/>
                <w:lang w:val="cs-CZ"/>
              </w:rPr>
            </w:pPr>
            <w:r w:rsidRPr="001B4A02">
              <w:rPr>
                <w:szCs w:val="22"/>
                <w:lang w:val="cs-CZ"/>
              </w:rPr>
              <w:t>střevní infekce (včetně virové gastroenteritidy),</w:t>
            </w:r>
          </w:p>
          <w:p w14:paraId="6889A797" w14:textId="77777777" w:rsidR="00ED3511" w:rsidRPr="001B4A02" w:rsidRDefault="00000000" w:rsidP="00ED48A3">
            <w:pPr>
              <w:pStyle w:val="EMEANormal"/>
              <w:rPr>
                <w:szCs w:val="22"/>
                <w:lang w:val="cs-CZ"/>
              </w:rPr>
            </w:pPr>
            <w:r w:rsidRPr="001B4A02">
              <w:rPr>
                <w:szCs w:val="22"/>
                <w:lang w:val="cs-CZ"/>
              </w:rPr>
              <w:t>infekce kůže</w:t>
            </w:r>
            <w:r w:rsidR="002378E0">
              <w:rPr>
                <w:szCs w:val="22"/>
                <w:lang w:val="cs-CZ"/>
              </w:rPr>
              <w:t xml:space="preserve"> a </w:t>
            </w:r>
            <w:r w:rsidRPr="001B4A02">
              <w:rPr>
                <w:szCs w:val="22"/>
                <w:lang w:val="cs-CZ"/>
              </w:rPr>
              <w:t>měkkých tkání (včetně paronychia, celulitidy, impetiga, nekrotizující fasciitidy</w:t>
            </w:r>
            <w:r w:rsidR="002378E0">
              <w:rPr>
                <w:szCs w:val="22"/>
                <w:lang w:val="cs-CZ"/>
              </w:rPr>
              <w:t xml:space="preserve"> a </w:t>
            </w:r>
            <w:r w:rsidRPr="001B4A02">
              <w:rPr>
                <w:szCs w:val="22"/>
                <w:lang w:val="cs-CZ"/>
              </w:rPr>
              <w:t>herpes zoster),</w:t>
            </w:r>
          </w:p>
          <w:p w14:paraId="03EF4804" w14:textId="77777777" w:rsidR="00ED3511" w:rsidRPr="001B4A02" w:rsidRDefault="00000000" w:rsidP="00ED48A3">
            <w:pPr>
              <w:pStyle w:val="EMEANormal"/>
              <w:rPr>
                <w:szCs w:val="22"/>
                <w:lang w:val="cs-CZ"/>
              </w:rPr>
            </w:pPr>
            <w:r w:rsidRPr="001B4A02">
              <w:rPr>
                <w:szCs w:val="22"/>
                <w:lang w:val="cs-CZ"/>
              </w:rPr>
              <w:t>ušní infekce,</w:t>
            </w:r>
          </w:p>
          <w:p w14:paraId="0DAA741C" w14:textId="77777777" w:rsidR="00ED3511" w:rsidRPr="001B4A02" w:rsidRDefault="00000000" w:rsidP="00ED48A3">
            <w:pPr>
              <w:pStyle w:val="EMEANormal"/>
              <w:rPr>
                <w:szCs w:val="22"/>
                <w:shd w:val="clear" w:color="auto" w:fill="FFFF00"/>
                <w:lang w:val="cs-CZ"/>
              </w:rPr>
            </w:pPr>
            <w:r w:rsidRPr="001B4A02">
              <w:rPr>
                <w:szCs w:val="22"/>
                <w:lang w:val="cs-CZ"/>
              </w:rPr>
              <w:t>orální infekce (včetně herpes simplex, orální</w:t>
            </w:r>
            <w:r w:rsidR="00936E7B">
              <w:rPr>
                <w:szCs w:val="22"/>
                <w:lang w:val="cs-CZ"/>
              </w:rPr>
              <w:t>ho</w:t>
            </w:r>
            <w:r w:rsidRPr="001B4A02">
              <w:rPr>
                <w:szCs w:val="22"/>
                <w:lang w:val="cs-CZ"/>
              </w:rPr>
              <w:t xml:space="preserve"> herpes</w:t>
            </w:r>
            <w:r w:rsidR="002378E0">
              <w:rPr>
                <w:szCs w:val="22"/>
                <w:lang w:val="cs-CZ"/>
              </w:rPr>
              <w:t xml:space="preserve"> a </w:t>
            </w:r>
            <w:r w:rsidRPr="001B4A02">
              <w:rPr>
                <w:szCs w:val="22"/>
                <w:lang w:val="cs-CZ"/>
              </w:rPr>
              <w:t>zubních infekcí),</w:t>
            </w:r>
            <w:r w:rsidRPr="001B4A02">
              <w:rPr>
                <w:szCs w:val="22"/>
                <w:shd w:val="clear" w:color="auto" w:fill="FFFF00"/>
                <w:lang w:val="cs-CZ"/>
              </w:rPr>
              <w:t xml:space="preserve"> </w:t>
            </w:r>
          </w:p>
          <w:p w14:paraId="5F35018E" w14:textId="77777777" w:rsidR="00ED3511" w:rsidRPr="001B4A02" w:rsidRDefault="00000000" w:rsidP="00ED48A3">
            <w:pPr>
              <w:pStyle w:val="EMEANormal"/>
              <w:rPr>
                <w:szCs w:val="22"/>
                <w:lang w:val="cs-CZ"/>
              </w:rPr>
            </w:pPr>
            <w:r w:rsidRPr="001B4A02">
              <w:rPr>
                <w:szCs w:val="22"/>
                <w:lang w:val="cs-CZ"/>
              </w:rPr>
              <w:t>infekce reprodukčního systému (včetně vulvovaginální myotické infekce),</w:t>
            </w:r>
          </w:p>
          <w:p w14:paraId="0F8984F2" w14:textId="77777777" w:rsidR="00ED3511" w:rsidRPr="001B4A02" w:rsidRDefault="00000000" w:rsidP="00ED48A3">
            <w:pPr>
              <w:pStyle w:val="EMEANormal"/>
              <w:rPr>
                <w:szCs w:val="22"/>
                <w:lang w:val="cs-CZ"/>
              </w:rPr>
            </w:pPr>
            <w:r w:rsidRPr="001B4A02">
              <w:rPr>
                <w:szCs w:val="22"/>
                <w:lang w:val="cs-CZ"/>
              </w:rPr>
              <w:t>infekce močových cest (včetně pyelonefritidy),</w:t>
            </w:r>
          </w:p>
          <w:p w14:paraId="29BE0205" w14:textId="77777777" w:rsidR="00ED3511" w:rsidRPr="001B4A02" w:rsidRDefault="00000000" w:rsidP="00ED48A3">
            <w:pPr>
              <w:pStyle w:val="EMEANormal"/>
              <w:rPr>
                <w:szCs w:val="22"/>
                <w:lang w:val="cs-CZ"/>
              </w:rPr>
            </w:pPr>
            <w:r w:rsidRPr="001B4A02">
              <w:rPr>
                <w:szCs w:val="22"/>
                <w:lang w:val="cs-CZ"/>
              </w:rPr>
              <w:t>plísňové infekce,</w:t>
            </w:r>
          </w:p>
          <w:p w14:paraId="796045F1" w14:textId="77777777" w:rsidR="00ED3511" w:rsidRPr="001B4A02" w:rsidRDefault="00000000" w:rsidP="00ED48A3">
            <w:pPr>
              <w:pStyle w:val="EMEANormal"/>
              <w:rPr>
                <w:szCs w:val="22"/>
                <w:lang w:val="cs-CZ"/>
              </w:rPr>
            </w:pPr>
            <w:r w:rsidRPr="001B4A02">
              <w:rPr>
                <w:szCs w:val="22"/>
                <w:lang w:val="cs-CZ"/>
              </w:rPr>
              <w:t xml:space="preserve">kloubní infekce </w:t>
            </w:r>
          </w:p>
          <w:p w14:paraId="7D681D5E" w14:textId="77777777" w:rsidR="00ED3511" w:rsidRPr="001B4A02" w:rsidRDefault="00ED3511" w:rsidP="00ED48A3">
            <w:pPr>
              <w:pStyle w:val="EMEANormal"/>
              <w:rPr>
                <w:szCs w:val="22"/>
                <w:lang w:val="cs-CZ"/>
              </w:rPr>
            </w:pPr>
          </w:p>
        </w:tc>
      </w:tr>
      <w:tr w:rsidR="00534A2D" w14:paraId="16313428" w14:textId="77777777" w:rsidTr="00961CF6">
        <w:trPr>
          <w:cantSplit/>
          <w:trHeight w:val="342"/>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E57A8B8"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33F08817" w14:textId="77777777" w:rsidR="00ED3511"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2DA1ADE7" w14:textId="77777777" w:rsidR="00ED3511" w:rsidRPr="001B4A02" w:rsidRDefault="00000000" w:rsidP="00ED48A3">
            <w:pPr>
              <w:pStyle w:val="EMEANormal"/>
              <w:rPr>
                <w:szCs w:val="22"/>
                <w:lang w:val="cs-CZ"/>
              </w:rPr>
            </w:pPr>
            <w:r w:rsidRPr="001B4A02">
              <w:rPr>
                <w:szCs w:val="22"/>
                <w:lang w:val="cs-CZ"/>
              </w:rPr>
              <w:t>Neurologické infekce (včetně virové meningitidy),</w:t>
            </w:r>
          </w:p>
          <w:p w14:paraId="2E993EB3" w14:textId="77777777" w:rsidR="00ED3511" w:rsidRPr="001B4A02" w:rsidRDefault="00000000" w:rsidP="00ED48A3">
            <w:pPr>
              <w:pStyle w:val="EMEANormal"/>
              <w:rPr>
                <w:szCs w:val="22"/>
                <w:lang w:val="cs-CZ"/>
              </w:rPr>
            </w:pPr>
            <w:r w:rsidRPr="001B4A02">
              <w:rPr>
                <w:szCs w:val="22"/>
                <w:lang w:val="cs-CZ"/>
              </w:rPr>
              <w:t>oportunní infekce</w:t>
            </w:r>
            <w:r w:rsidR="002378E0">
              <w:rPr>
                <w:szCs w:val="22"/>
                <w:lang w:val="cs-CZ"/>
              </w:rPr>
              <w:t xml:space="preserve"> a </w:t>
            </w:r>
            <w:r w:rsidRPr="001B4A02">
              <w:rPr>
                <w:szCs w:val="22"/>
                <w:lang w:val="cs-CZ"/>
              </w:rPr>
              <w:t>tuberkulóza (včetně kokcidiomykózy, histoplasmózy</w:t>
            </w:r>
            <w:r w:rsidR="002378E0">
              <w:rPr>
                <w:szCs w:val="22"/>
                <w:lang w:val="cs-CZ"/>
              </w:rPr>
              <w:t xml:space="preserve"> a </w:t>
            </w:r>
            <w:r w:rsidRPr="001B4A02">
              <w:rPr>
                <w:szCs w:val="22"/>
                <w:lang w:val="cs-CZ"/>
              </w:rPr>
              <w:t>infekcí způsobených mycobacterium avium complex),</w:t>
            </w:r>
          </w:p>
          <w:p w14:paraId="48073351" w14:textId="77777777" w:rsidR="00ED3511" w:rsidRPr="001B4A02" w:rsidRDefault="00000000" w:rsidP="00ED48A3">
            <w:pPr>
              <w:pStyle w:val="EMEANormal"/>
              <w:rPr>
                <w:szCs w:val="22"/>
                <w:lang w:val="cs-CZ"/>
              </w:rPr>
            </w:pPr>
            <w:r w:rsidRPr="001B4A02">
              <w:rPr>
                <w:szCs w:val="22"/>
                <w:lang w:val="cs-CZ"/>
              </w:rPr>
              <w:t>bakteriální infekce,</w:t>
            </w:r>
          </w:p>
          <w:p w14:paraId="57487F8B" w14:textId="77777777" w:rsidR="00ED3511" w:rsidRPr="001B4A02" w:rsidRDefault="00000000" w:rsidP="00ED48A3">
            <w:pPr>
              <w:pStyle w:val="EMEANormal"/>
              <w:rPr>
                <w:szCs w:val="22"/>
                <w:lang w:val="cs-CZ"/>
              </w:rPr>
            </w:pPr>
            <w:r w:rsidRPr="001B4A02">
              <w:rPr>
                <w:szCs w:val="22"/>
                <w:lang w:val="cs-CZ"/>
              </w:rPr>
              <w:t>oční infekce,</w:t>
            </w:r>
          </w:p>
          <w:p w14:paraId="1351DE87" w14:textId="77777777" w:rsidR="00ED3511" w:rsidRPr="001B4A02" w:rsidRDefault="00000000" w:rsidP="00ED48A3">
            <w:pPr>
              <w:pStyle w:val="EMEANormal"/>
              <w:rPr>
                <w:szCs w:val="22"/>
                <w:lang w:val="cs-CZ"/>
              </w:rPr>
            </w:pPr>
            <w:r w:rsidRPr="001B4A02">
              <w:rPr>
                <w:szCs w:val="22"/>
                <w:lang w:val="cs-CZ"/>
              </w:rPr>
              <w:t>divertikulitida</w:t>
            </w:r>
            <w:r w:rsidRPr="001B4A02">
              <w:rPr>
                <w:szCs w:val="22"/>
                <w:vertAlign w:val="superscript"/>
                <w:lang w:val="cs-CZ"/>
              </w:rPr>
              <w:t>1)</w:t>
            </w:r>
          </w:p>
          <w:p w14:paraId="46D28B27" w14:textId="77777777" w:rsidR="00ED3511" w:rsidRPr="001B4A02" w:rsidRDefault="00ED3511" w:rsidP="00ED48A3">
            <w:pPr>
              <w:pStyle w:val="EMEANormal"/>
              <w:rPr>
                <w:szCs w:val="22"/>
                <w:lang w:val="cs-CZ"/>
              </w:rPr>
            </w:pPr>
          </w:p>
        </w:tc>
      </w:tr>
      <w:tr w:rsidR="00534A2D" w14:paraId="11304835" w14:textId="77777777" w:rsidTr="00961CF6">
        <w:trPr>
          <w:cantSplit/>
          <w:trHeight w:val="274"/>
          <w:jc w:val="center"/>
        </w:trPr>
        <w:tc>
          <w:tcPr>
            <w:tcW w:w="2880" w:type="dxa"/>
            <w:vMerge w:val="restart"/>
            <w:tcBorders>
              <w:top w:val="single" w:sz="4" w:space="0" w:color="auto"/>
              <w:left w:val="single" w:sz="4" w:space="0" w:color="auto"/>
              <w:right w:val="single" w:sz="4" w:space="0" w:color="auto"/>
            </w:tcBorders>
          </w:tcPr>
          <w:p w14:paraId="78AAA5F7" w14:textId="77777777" w:rsidR="00ED3511" w:rsidRPr="001B4A02" w:rsidRDefault="00000000" w:rsidP="00ED48A3">
            <w:pPr>
              <w:pStyle w:val="EMEANormal"/>
              <w:tabs>
                <w:tab w:val="left" w:pos="0"/>
              </w:tabs>
              <w:suppressAutoHyphens w:val="0"/>
              <w:rPr>
                <w:szCs w:val="22"/>
                <w:lang w:val="cs-CZ"/>
              </w:rPr>
            </w:pPr>
            <w:r w:rsidRPr="001B4A02">
              <w:rPr>
                <w:szCs w:val="22"/>
                <w:lang w:val="cs-CZ"/>
              </w:rPr>
              <w:t>Novotvary benigní, maligní</w:t>
            </w:r>
            <w:r w:rsidR="002378E0">
              <w:rPr>
                <w:szCs w:val="22"/>
                <w:lang w:val="cs-CZ"/>
              </w:rPr>
              <w:t xml:space="preserve"> a </w:t>
            </w:r>
            <w:r w:rsidRPr="001B4A02">
              <w:rPr>
                <w:szCs w:val="22"/>
                <w:lang w:val="cs-CZ"/>
              </w:rPr>
              <w:t>blíže neurčené (zahrnující cysty</w:t>
            </w:r>
            <w:r w:rsidR="002378E0">
              <w:rPr>
                <w:szCs w:val="22"/>
                <w:lang w:val="cs-CZ"/>
              </w:rPr>
              <w:t xml:space="preserve"> a </w:t>
            </w:r>
            <w:r w:rsidRPr="001B4A02">
              <w:rPr>
                <w:szCs w:val="22"/>
                <w:lang w:val="cs-CZ"/>
              </w:rPr>
              <w:t>polypy)*</w:t>
            </w:r>
          </w:p>
        </w:tc>
        <w:tc>
          <w:tcPr>
            <w:tcW w:w="1440" w:type="dxa"/>
            <w:tcBorders>
              <w:top w:val="single" w:sz="4" w:space="0" w:color="auto"/>
              <w:left w:val="single" w:sz="4" w:space="0" w:color="auto"/>
              <w:bottom w:val="single" w:sz="4" w:space="0" w:color="auto"/>
              <w:right w:val="single" w:sz="4" w:space="0" w:color="auto"/>
            </w:tcBorders>
          </w:tcPr>
          <w:p w14:paraId="45ADE0DA" w14:textId="77777777" w:rsidR="00ED351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3A97E93B" w14:textId="77777777" w:rsidR="00ED3511" w:rsidRPr="001B4A02" w:rsidRDefault="00000000" w:rsidP="00ED48A3">
            <w:pPr>
              <w:pStyle w:val="EMEANormal"/>
              <w:rPr>
                <w:szCs w:val="22"/>
                <w:lang w:val="cs-CZ"/>
              </w:rPr>
            </w:pPr>
            <w:r w:rsidRPr="001B4A02">
              <w:rPr>
                <w:szCs w:val="22"/>
                <w:lang w:val="cs-CZ"/>
              </w:rPr>
              <w:t>Karcinom kůže vyjma melanomu (včetně karcinomu z bazálních buněk</w:t>
            </w:r>
            <w:r w:rsidR="002378E0">
              <w:rPr>
                <w:szCs w:val="22"/>
                <w:lang w:val="cs-CZ"/>
              </w:rPr>
              <w:t xml:space="preserve"> a </w:t>
            </w:r>
            <w:r w:rsidRPr="001B4A02">
              <w:rPr>
                <w:szCs w:val="22"/>
                <w:lang w:val="cs-CZ"/>
              </w:rPr>
              <w:t>skvamózního buněčného karcinomu),</w:t>
            </w:r>
          </w:p>
          <w:p w14:paraId="70DB54B2" w14:textId="77777777" w:rsidR="00ED3511" w:rsidRPr="001B4A02" w:rsidRDefault="00000000" w:rsidP="00ED48A3">
            <w:pPr>
              <w:pStyle w:val="EMEANormal"/>
              <w:rPr>
                <w:szCs w:val="22"/>
                <w:lang w:val="cs-CZ"/>
              </w:rPr>
            </w:pPr>
            <w:r w:rsidRPr="001B4A02">
              <w:rPr>
                <w:szCs w:val="22"/>
                <w:lang w:val="cs-CZ"/>
              </w:rPr>
              <w:t>benigní neoplázie</w:t>
            </w:r>
          </w:p>
          <w:p w14:paraId="294D2FD2" w14:textId="77777777" w:rsidR="00ED3511" w:rsidRPr="001B4A02" w:rsidRDefault="00ED3511" w:rsidP="00ED48A3">
            <w:pPr>
              <w:pStyle w:val="EMEANormal"/>
              <w:rPr>
                <w:szCs w:val="22"/>
                <w:lang w:val="cs-CZ"/>
              </w:rPr>
            </w:pPr>
          </w:p>
        </w:tc>
      </w:tr>
      <w:tr w:rsidR="00534A2D" w14:paraId="5DFAEBCB" w14:textId="77777777" w:rsidTr="00961CF6">
        <w:trPr>
          <w:cantSplit/>
          <w:trHeight w:val="432"/>
          <w:jc w:val="center"/>
        </w:trPr>
        <w:tc>
          <w:tcPr>
            <w:tcW w:w="0" w:type="auto"/>
            <w:vMerge/>
            <w:tcBorders>
              <w:left w:val="single" w:sz="4" w:space="0" w:color="auto"/>
              <w:right w:val="single" w:sz="4" w:space="0" w:color="auto"/>
            </w:tcBorders>
            <w:vAlign w:val="center"/>
          </w:tcPr>
          <w:p w14:paraId="044EE695"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61F0A6FC" w14:textId="77777777" w:rsidR="00ED3511"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68430EFA" w14:textId="77777777" w:rsidR="00ED3511" w:rsidRPr="001B4A02" w:rsidRDefault="00000000" w:rsidP="00ED48A3">
            <w:pPr>
              <w:pStyle w:val="EMEANormal"/>
              <w:rPr>
                <w:szCs w:val="22"/>
                <w:lang w:val="cs-CZ"/>
              </w:rPr>
            </w:pPr>
            <w:r w:rsidRPr="001B4A02">
              <w:rPr>
                <w:szCs w:val="22"/>
                <w:lang w:val="cs-CZ"/>
              </w:rPr>
              <w:t>Lymfom**,</w:t>
            </w:r>
          </w:p>
          <w:p w14:paraId="6FA26934" w14:textId="77777777" w:rsidR="00ED3511" w:rsidRPr="001B4A02" w:rsidRDefault="00000000" w:rsidP="00ED48A3">
            <w:pPr>
              <w:pStyle w:val="EMEANormal"/>
              <w:rPr>
                <w:szCs w:val="22"/>
                <w:lang w:val="cs-CZ"/>
              </w:rPr>
            </w:pPr>
            <w:r w:rsidRPr="001B4A02">
              <w:rPr>
                <w:szCs w:val="22"/>
                <w:lang w:val="cs-CZ"/>
              </w:rPr>
              <w:t>novotvary solidních orgánů (včetně karcinomu prsu, plicní neoplázie</w:t>
            </w:r>
            <w:r w:rsidR="002378E0">
              <w:rPr>
                <w:szCs w:val="22"/>
                <w:lang w:val="cs-CZ"/>
              </w:rPr>
              <w:t xml:space="preserve"> a </w:t>
            </w:r>
            <w:r w:rsidRPr="001B4A02">
              <w:rPr>
                <w:szCs w:val="22"/>
                <w:lang w:val="cs-CZ"/>
              </w:rPr>
              <w:t>neoplázie štítné žlázy),</w:t>
            </w:r>
          </w:p>
          <w:p w14:paraId="44AAEEAB" w14:textId="77777777" w:rsidR="00ED3511" w:rsidRPr="001B4A02" w:rsidRDefault="00000000" w:rsidP="00ED48A3">
            <w:pPr>
              <w:pStyle w:val="EMEANormal"/>
              <w:rPr>
                <w:szCs w:val="22"/>
                <w:lang w:val="cs-CZ"/>
              </w:rPr>
            </w:pPr>
            <w:r w:rsidRPr="001B4A02">
              <w:rPr>
                <w:szCs w:val="22"/>
                <w:lang w:val="cs-CZ"/>
              </w:rPr>
              <w:t>melanom**</w:t>
            </w:r>
          </w:p>
          <w:p w14:paraId="6C92FCD8" w14:textId="77777777" w:rsidR="00ED3511" w:rsidRPr="001B4A02" w:rsidRDefault="00ED3511" w:rsidP="00ED48A3">
            <w:pPr>
              <w:pStyle w:val="EMEANormal"/>
              <w:rPr>
                <w:szCs w:val="22"/>
                <w:lang w:val="cs-CZ"/>
              </w:rPr>
            </w:pPr>
          </w:p>
        </w:tc>
      </w:tr>
      <w:tr w:rsidR="00534A2D" w14:paraId="77B1F45A" w14:textId="77777777" w:rsidTr="00961CF6">
        <w:trPr>
          <w:cantSplit/>
          <w:trHeight w:val="432"/>
          <w:jc w:val="center"/>
        </w:trPr>
        <w:tc>
          <w:tcPr>
            <w:tcW w:w="0" w:type="auto"/>
            <w:vMerge/>
            <w:tcBorders>
              <w:left w:val="single" w:sz="4" w:space="0" w:color="auto"/>
              <w:right w:val="single" w:sz="4" w:space="0" w:color="auto"/>
            </w:tcBorders>
            <w:vAlign w:val="center"/>
          </w:tcPr>
          <w:p w14:paraId="7E34B85D"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4791BE06" w14:textId="77777777" w:rsidR="00ED3511" w:rsidRPr="001B4A02" w:rsidRDefault="00000000" w:rsidP="00ED48A3">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3D33B7EF" w14:textId="77777777" w:rsidR="00ED3511" w:rsidRDefault="00000000" w:rsidP="00ED48A3">
            <w:pPr>
              <w:pStyle w:val="EMEANormal"/>
              <w:rPr>
                <w:szCs w:val="22"/>
                <w:lang w:val="cs-CZ"/>
              </w:rPr>
            </w:pPr>
            <w:r w:rsidRPr="001B4A02">
              <w:rPr>
                <w:szCs w:val="22"/>
                <w:lang w:val="cs-CZ"/>
              </w:rPr>
              <w:t>Leukémie</w:t>
            </w:r>
            <w:r w:rsidRPr="001B4A02">
              <w:rPr>
                <w:szCs w:val="22"/>
                <w:vertAlign w:val="superscript"/>
                <w:lang w:val="cs-CZ"/>
              </w:rPr>
              <w:t>1)</w:t>
            </w:r>
          </w:p>
          <w:p w14:paraId="042417CE" w14:textId="77777777" w:rsidR="00C416F7" w:rsidRPr="00C416F7" w:rsidRDefault="00C416F7" w:rsidP="00ED48A3">
            <w:pPr>
              <w:pStyle w:val="EMEANormal"/>
              <w:rPr>
                <w:szCs w:val="22"/>
                <w:lang w:val="cs-CZ"/>
              </w:rPr>
            </w:pPr>
          </w:p>
        </w:tc>
      </w:tr>
      <w:tr w:rsidR="00534A2D" w14:paraId="1421C2C4" w14:textId="77777777" w:rsidTr="00961CF6">
        <w:trPr>
          <w:cantSplit/>
          <w:trHeight w:val="432"/>
          <w:jc w:val="center"/>
        </w:trPr>
        <w:tc>
          <w:tcPr>
            <w:tcW w:w="0" w:type="auto"/>
            <w:vMerge/>
            <w:tcBorders>
              <w:left w:val="single" w:sz="4" w:space="0" w:color="auto"/>
              <w:bottom w:val="single" w:sz="4" w:space="0" w:color="auto"/>
              <w:right w:val="single" w:sz="4" w:space="0" w:color="auto"/>
            </w:tcBorders>
            <w:vAlign w:val="center"/>
          </w:tcPr>
          <w:p w14:paraId="00F81B95"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4946D269" w14:textId="77777777" w:rsidR="00ED3511" w:rsidRPr="001B4A02" w:rsidRDefault="00000000" w:rsidP="00ED48A3">
            <w:pPr>
              <w:pStyle w:val="EMEANormal"/>
              <w:rPr>
                <w:szCs w:val="22"/>
                <w:lang w:val="cs-CZ"/>
              </w:rPr>
            </w:pPr>
            <w:r w:rsidRPr="001B4A02">
              <w:rPr>
                <w:szCs w:val="22"/>
                <w:lang w:val="cs-CZ"/>
              </w:rPr>
              <w:t>Není známo</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3D02D139" w14:textId="77777777" w:rsidR="00ED3511" w:rsidRPr="009A21A5" w:rsidRDefault="00000000" w:rsidP="00ED48A3">
            <w:pPr>
              <w:pStyle w:val="EMEANormal"/>
              <w:rPr>
                <w:szCs w:val="22"/>
                <w:lang w:val="cs-CZ"/>
              </w:rPr>
            </w:pPr>
            <w:r w:rsidRPr="001B4A02">
              <w:rPr>
                <w:szCs w:val="22"/>
                <w:lang w:val="cs-CZ"/>
              </w:rPr>
              <w:t>Hepatosplenický T-buněčný lymfom</w:t>
            </w:r>
            <w:r w:rsidRPr="001B4A02">
              <w:rPr>
                <w:szCs w:val="22"/>
                <w:vertAlign w:val="superscript"/>
                <w:lang w:val="cs-CZ"/>
              </w:rPr>
              <w:t>1)</w:t>
            </w:r>
            <w:r w:rsidR="009A21A5">
              <w:rPr>
                <w:szCs w:val="22"/>
                <w:lang w:val="cs-CZ"/>
              </w:rPr>
              <w:t>,</w:t>
            </w:r>
          </w:p>
          <w:p w14:paraId="30215D29" w14:textId="77777777" w:rsidR="009A21A5" w:rsidRDefault="00000000" w:rsidP="009A21A5">
            <w:pPr>
              <w:pStyle w:val="EMEANormal"/>
              <w:rPr>
                <w:lang w:val="cs-CZ"/>
              </w:rPr>
            </w:pPr>
            <w:r w:rsidRPr="001B4A02">
              <w:rPr>
                <w:lang w:val="cs-CZ"/>
              </w:rPr>
              <w:t>karcinom z Merkelových buněk (neuroendokrinní karcinom kůže)</w:t>
            </w:r>
            <w:r w:rsidRPr="001B4A02">
              <w:rPr>
                <w:vertAlign w:val="superscript"/>
                <w:lang w:val="cs-CZ"/>
              </w:rPr>
              <w:t>1</w:t>
            </w:r>
            <w:r>
              <w:rPr>
                <w:lang w:val="cs-CZ"/>
              </w:rPr>
              <w:t>,</w:t>
            </w:r>
          </w:p>
          <w:p w14:paraId="0AFFC57D" w14:textId="77777777" w:rsidR="00ED3511" w:rsidRPr="009A21A5" w:rsidRDefault="00000000" w:rsidP="009A21A5">
            <w:pPr>
              <w:pStyle w:val="EMEANormal"/>
              <w:rPr>
                <w:lang w:val="cs-CZ"/>
              </w:rPr>
            </w:pPr>
            <w:r>
              <w:rPr>
                <w:lang w:val="cs-CZ"/>
              </w:rPr>
              <w:t>Kaposiho sarkom</w:t>
            </w:r>
          </w:p>
          <w:p w14:paraId="11480CDA" w14:textId="77777777" w:rsidR="00ED3511" w:rsidRPr="001B4A02" w:rsidRDefault="00ED3511" w:rsidP="00ED48A3">
            <w:pPr>
              <w:pStyle w:val="EMEANormal"/>
              <w:rPr>
                <w:szCs w:val="22"/>
                <w:lang w:val="cs-CZ"/>
              </w:rPr>
            </w:pPr>
          </w:p>
        </w:tc>
      </w:tr>
      <w:tr w:rsidR="00534A2D" w14:paraId="063363EE" w14:textId="77777777" w:rsidTr="00961CF6">
        <w:trPr>
          <w:cantSplit/>
          <w:trHeight w:val="127"/>
          <w:jc w:val="center"/>
        </w:trPr>
        <w:tc>
          <w:tcPr>
            <w:tcW w:w="2880" w:type="dxa"/>
            <w:vMerge w:val="restart"/>
            <w:tcBorders>
              <w:top w:val="single" w:sz="4" w:space="0" w:color="auto"/>
              <w:left w:val="single" w:sz="4" w:space="0" w:color="auto"/>
              <w:bottom w:val="single" w:sz="4" w:space="0" w:color="auto"/>
              <w:right w:val="single" w:sz="4" w:space="0" w:color="auto"/>
            </w:tcBorders>
          </w:tcPr>
          <w:p w14:paraId="6E399C30" w14:textId="77777777" w:rsidR="00ED3511" w:rsidRPr="001B4A02" w:rsidRDefault="00000000" w:rsidP="00ED48A3">
            <w:pPr>
              <w:pStyle w:val="EMEANormal"/>
              <w:tabs>
                <w:tab w:val="left" w:pos="0"/>
              </w:tabs>
              <w:rPr>
                <w:szCs w:val="22"/>
                <w:lang w:val="cs-CZ"/>
              </w:rPr>
            </w:pPr>
            <w:r w:rsidRPr="001B4A02">
              <w:rPr>
                <w:szCs w:val="22"/>
                <w:lang w:val="cs-CZ"/>
              </w:rPr>
              <w:t>Poruchy krve</w:t>
            </w:r>
            <w:r w:rsidR="002378E0">
              <w:rPr>
                <w:szCs w:val="22"/>
                <w:lang w:val="cs-CZ"/>
              </w:rPr>
              <w:t xml:space="preserve"> a </w:t>
            </w:r>
            <w:r w:rsidRPr="001B4A02">
              <w:rPr>
                <w:szCs w:val="22"/>
                <w:lang w:val="cs-CZ"/>
              </w:rPr>
              <w:t>lymfatického systému*</w:t>
            </w:r>
          </w:p>
        </w:tc>
        <w:tc>
          <w:tcPr>
            <w:tcW w:w="1440" w:type="dxa"/>
            <w:tcBorders>
              <w:top w:val="single" w:sz="4" w:space="0" w:color="auto"/>
              <w:left w:val="single" w:sz="4" w:space="0" w:color="auto"/>
              <w:bottom w:val="single" w:sz="4" w:space="0" w:color="auto"/>
              <w:right w:val="single" w:sz="4" w:space="0" w:color="auto"/>
            </w:tcBorders>
          </w:tcPr>
          <w:p w14:paraId="3329C61D" w14:textId="77777777" w:rsidR="00ED3511" w:rsidRPr="001B4A02" w:rsidRDefault="00000000" w:rsidP="00ED48A3">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64A216EE" w14:textId="77777777" w:rsidR="00ED3511" w:rsidRPr="001B4A02" w:rsidRDefault="00000000" w:rsidP="00ED48A3">
            <w:pPr>
              <w:pStyle w:val="EMEANormal"/>
              <w:rPr>
                <w:szCs w:val="22"/>
                <w:lang w:val="cs-CZ"/>
              </w:rPr>
            </w:pPr>
            <w:r w:rsidRPr="001B4A02">
              <w:rPr>
                <w:szCs w:val="22"/>
                <w:lang w:val="cs-CZ"/>
              </w:rPr>
              <w:t>Leukopenie (včetně neutropenie</w:t>
            </w:r>
            <w:r w:rsidR="002378E0">
              <w:rPr>
                <w:szCs w:val="22"/>
                <w:lang w:val="cs-CZ"/>
              </w:rPr>
              <w:t xml:space="preserve"> a </w:t>
            </w:r>
            <w:r w:rsidRPr="001B4A02">
              <w:rPr>
                <w:szCs w:val="22"/>
                <w:lang w:val="cs-CZ"/>
              </w:rPr>
              <w:t>agranulocytózy),</w:t>
            </w:r>
          </w:p>
          <w:p w14:paraId="3956A4D8" w14:textId="77777777" w:rsidR="00ED3511" w:rsidRPr="001B4A02" w:rsidRDefault="00000000" w:rsidP="00ED48A3">
            <w:pPr>
              <w:pStyle w:val="EMEANormal"/>
              <w:rPr>
                <w:szCs w:val="22"/>
                <w:lang w:val="cs-CZ"/>
              </w:rPr>
            </w:pPr>
            <w:r w:rsidRPr="001B4A02">
              <w:rPr>
                <w:szCs w:val="22"/>
                <w:lang w:val="cs-CZ"/>
              </w:rPr>
              <w:t>anémie</w:t>
            </w:r>
          </w:p>
          <w:p w14:paraId="4BFEBA06" w14:textId="77777777" w:rsidR="00ED3511" w:rsidRPr="001B4A02" w:rsidRDefault="00ED3511" w:rsidP="00ED48A3">
            <w:pPr>
              <w:pStyle w:val="EMEANormal"/>
              <w:rPr>
                <w:szCs w:val="22"/>
                <w:lang w:val="cs-CZ"/>
              </w:rPr>
            </w:pPr>
          </w:p>
        </w:tc>
      </w:tr>
      <w:tr w:rsidR="00534A2D" w14:paraId="7A783F63" w14:textId="77777777" w:rsidTr="00961CF6">
        <w:trPr>
          <w:cantSplit/>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C8D5C93"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56257FAB" w14:textId="77777777" w:rsidR="00ED351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779F9E28" w14:textId="77777777" w:rsidR="00ED3511" w:rsidRPr="001B4A02" w:rsidRDefault="00000000" w:rsidP="00ED48A3">
            <w:pPr>
              <w:pStyle w:val="EMEANormal"/>
              <w:rPr>
                <w:szCs w:val="22"/>
                <w:lang w:val="cs-CZ"/>
              </w:rPr>
            </w:pPr>
            <w:r w:rsidRPr="001B4A02">
              <w:rPr>
                <w:szCs w:val="22"/>
                <w:lang w:val="cs-CZ"/>
              </w:rPr>
              <w:t>Leukocytóza,</w:t>
            </w:r>
          </w:p>
          <w:p w14:paraId="418358F8" w14:textId="77777777" w:rsidR="00ED3511" w:rsidRPr="001B4A02" w:rsidRDefault="00000000" w:rsidP="00ED48A3">
            <w:pPr>
              <w:pStyle w:val="EMEANormal"/>
              <w:rPr>
                <w:szCs w:val="22"/>
                <w:lang w:val="cs-CZ"/>
              </w:rPr>
            </w:pPr>
            <w:r w:rsidRPr="001B4A02">
              <w:rPr>
                <w:szCs w:val="22"/>
                <w:lang w:val="cs-CZ"/>
              </w:rPr>
              <w:t>trombocytopenie</w:t>
            </w:r>
          </w:p>
          <w:p w14:paraId="66F9066C" w14:textId="77777777" w:rsidR="00ED3511" w:rsidRPr="001B4A02" w:rsidRDefault="00ED3511" w:rsidP="00ED48A3">
            <w:pPr>
              <w:pStyle w:val="EMEANormal"/>
              <w:rPr>
                <w:szCs w:val="22"/>
                <w:lang w:val="cs-CZ"/>
              </w:rPr>
            </w:pPr>
          </w:p>
        </w:tc>
      </w:tr>
      <w:tr w:rsidR="00534A2D" w14:paraId="1EECA24E" w14:textId="77777777" w:rsidTr="00961CF6">
        <w:trPr>
          <w:cantSplit/>
          <w:trHeight w:val="8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4B737"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595BBBC" w14:textId="77777777" w:rsidR="00ED3511"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5C4FCD6C" w14:textId="77777777" w:rsidR="00ED3511" w:rsidRPr="001B4A02" w:rsidRDefault="00000000" w:rsidP="00ED48A3">
            <w:pPr>
              <w:pStyle w:val="EMEANormal"/>
              <w:rPr>
                <w:szCs w:val="22"/>
                <w:lang w:val="cs-CZ"/>
              </w:rPr>
            </w:pPr>
            <w:r w:rsidRPr="001B4A02">
              <w:rPr>
                <w:szCs w:val="22"/>
                <w:lang w:val="cs-CZ"/>
              </w:rPr>
              <w:t>Idiopatická trombocytopenická purpura</w:t>
            </w:r>
          </w:p>
          <w:p w14:paraId="7C8895ED" w14:textId="77777777" w:rsidR="00ED3511" w:rsidRPr="001B4A02" w:rsidRDefault="00ED3511" w:rsidP="00ED48A3">
            <w:pPr>
              <w:pStyle w:val="EMEANormal"/>
              <w:rPr>
                <w:szCs w:val="22"/>
                <w:lang w:val="cs-CZ"/>
              </w:rPr>
            </w:pPr>
          </w:p>
        </w:tc>
      </w:tr>
      <w:tr w:rsidR="00534A2D" w14:paraId="4261A00E" w14:textId="77777777" w:rsidTr="00961CF6">
        <w:trPr>
          <w:cantSplit/>
          <w:trHeight w:val="8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71B51E4"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6E218393" w14:textId="77777777" w:rsidR="00ED3511" w:rsidRPr="001B4A02" w:rsidRDefault="00000000" w:rsidP="00ED48A3">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16C18009" w14:textId="77777777" w:rsidR="00ED3511" w:rsidRPr="001B4A02" w:rsidRDefault="00000000" w:rsidP="00ED48A3">
            <w:pPr>
              <w:pStyle w:val="EMEANormal"/>
              <w:rPr>
                <w:szCs w:val="22"/>
                <w:lang w:val="cs-CZ"/>
              </w:rPr>
            </w:pPr>
            <w:r w:rsidRPr="001B4A02">
              <w:rPr>
                <w:szCs w:val="22"/>
                <w:lang w:val="cs-CZ"/>
              </w:rPr>
              <w:t>Pancytopenie</w:t>
            </w:r>
          </w:p>
          <w:p w14:paraId="1859A6D3" w14:textId="77777777" w:rsidR="00ED3511" w:rsidRPr="001B4A02" w:rsidRDefault="00ED3511" w:rsidP="00ED48A3">
            <w:pPr>
              <w:pStyle w:val="EMEANormal"/>
              <w:rPr>
                <w:szCs w:val="22"/>
                <w:lang w:val="cs-CZ"/>
              </w:rPr>
            </w:pPr>
          </w:p>
        </w:tc>
      </w:tr>
      <w:tr w:rsidR="00534A2D" w14:paraId="7B8C7B0D" w14:textId="77777777" w:rsidTr="00961CF6">
        <w:trPr>
          <w:cantSplit/>
          <w:trHeight w:val="260"/>
          <w:jc w:val="center"/>
        </w:trPr>
        <w:tc>
          <w:tcPr>
            <w:tcW w:w="2880" w:type="dxa"/>
            <w:vMerge w:val="restart"/>
            <w:tcBorders>
              <w:top w:val="single" w:sz="4" w:space="0" w:color="auto"/>
              <w:left w:val="single" w:sz="4" w:space="0" w:color="auto"/>
              <w:right w:val="single" w:sz="4" w:space="0" w:color="auto"/>
            </w:tcBorders>
          </w:tcPr>
          <w:p w14:paraId="364603CA" w14:textId="77777777" w:rsidR="00ED3511" w:rsidRPr="001B4A02" w:rsidRDefault="00000000" w:rsidP="00ED48A3">
            <w:pPr>
              <w:tabs>
                <w:tab w:val="left" w:pos="0"/>
              </w:tabs>
              <w:ind w:left="0" w:firstLine="0"/>
              <w:rPr>
                <w:szCs w:val="22"/>
              </w:rPr>
            </w:pPr>
            <w:r w:rsidRPr="001B4A02">
              <w:rPr>
                <w:szCs w:val="22"/>
              </w:rPr>
              <w:t>Poruchy imunitního systému*</w:t>
            </w:r>
          </w:p>
        </w:tc>
        <w:tc>
          <w:tcPr>
            <w:tcW w:w="1440" w:type="dxa"/>
            <w:tcBorders>
              <w:top w:val="single" w:sz="4" w:space="0" w:color="auto"/>
              <w:left w:val="single" w:sz="4" w:space="0" w:color="auto"/>
              <w:bottom w:val="single" w:sz="4" w:space="0" w:color="auto"/>
              <w:right w:val="single" w:sz="4" w:space="0" w:color="auto"/>
            </w:tcBorders>
          </w:tcPr>
          <w:p w14:paraId="370C39E5" w14:textId="77777777" w:rsidR="00ED351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6B15D40A" w14:textId="77777777" w:rsidR="00ED3511" w:rsidRPr="001B4A02" w:rsidRDefault="00000000" w:rsidP="00ED48A3">
            <w:pPr>
              <w:pStyle w:val="EMEANormal"/>
              <w:rPr>
                <w:szCs w:val="22"/>
                <w:lang w:val="cs-CZ"/>
              </w:rPr>
            </w:pPr>
            <w:r w:rsidRPr="001B4A02">
              <w:rPr>
                <w:szCs w:val="22"/>
                <w:lang w:val="cs-CZ"/>
              </w:rPr>
              <w:t>Hypersenzitivita,</w:t>
            </w:r>
          </w:p>
          <w:p w14:paraId="3F747945" w14:textId="77777777" w:rsidR="00ED3511" w:rsidRPr="001B4A02" w:rsidRDefault="00000000" w:rsidP="00ED48A3">
            <w:pPr>
              <w:pStyle w:val="EMEANormal"/>
              <w:rPr>
                <w:szCs w:val="22"/>
                <w:lang w:val="cs-CZ"/>
              </w:rPr>
            </w:pPr>
            <w:r w:rsidRPr="001B4A02">
              <w:rPr>
                <w:szCs w:val="22"/>
                <w:lang w:val="cs-CZ"/>
              </w:rPr>
              <w:t>alergie (včetně sezónní alergie)</w:t>
            </w:r>
          </w:p>
          <w:p w14:paraId="725D2CCC" w14:textId="77777777" w:rsidR="00ED3511" w:rsidRPr="001B4A02" w:rsidRDefault="00ED3511" w:rsidP="00ED48A3">
            <w:pPr>
              <w:pStyle w:val="EMEANormal"/>
              <w:rPr>
                <w:szCs w:val="22"/>
                <w:lang w:val="cs-CZ"/>
              </w:rPr>
            </w:pPr>
          </w:p>
        </w:tc>
      </w:tr>
      <w:tr w:rsidR="00534A2D" w14:paraId="6343490D" w14:textId="77777777" w:rsidTr="00961CF6">
        <w:trPr>
          <w:cantSplit/>
          <w:trHeight w:val="260"/>
          <w:jc w:val="center"/>
        </w:trPr>
        <w:tc>
          <w:tcPr>
            <w:tcW w:w="2880" w:type="dxa"/>
            <w:vMerge/>
            <w:tcBorders>
              <w:left w:val="single" w:sz="4" w:space="0" w:color="auto"/>
              <w:right w:val="single" w:sz="4" w:space="0" w:color="auto"/>
            </w:tcBorders>
          </w:tcPr>
          <w:p w14:paraId="5759A61F" w14:textId="77777777" w:rsidR="00ED3511" w:rsidRPr="001B4A02" w:rsidRDefault="00ED3511" w:rsidP="00ED48A3">
            <w:pPr>
              <w:tabs>
                <w:tab w:val="left" w:pos="0"/>
              </w:tabs>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546CB9B" w14:textId="77777777" w:rsidR="00ED3511"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27FDB2B5" w14:textId="77777777" w:rsidR="00ED3511" w:rsidRDefault="00000000" w:rsidP="00ED48A3">
            <w:pPr>
              <w:pStyle w:val="EMEANormal"/>
              <w:rPr>
                <w:szCs w:val="22"/>
                <w:lang w:val="cs-CZ"/>
              </w:rPr>
            </w:pPr>
            <w:r w:rsidRPr="001B4A02">
              <w:rPr>
                <w:szCs w:val="22"/>
                <w:lang w:val="cs-CZ"/>
              </w:rPr>
              <w:t>Sarkoidóza</w:t>
            </w:r>
            <w:r w:rsidRPr="001B4A02">
              <w:rPr>
                <w:szCs w:val="22"/>
                <w:vertAlign w:val="superscript"/>
                <w:lang w:val="cs-CZ"/>
              </w:rPr>
              <w:t>1)</w:t>
            </w:r>
            <w:r w:rsidRPr="001B4A02">
              <w:rPr>
                <w:szCs w:val="22"/>
                <w:lang w:val="cs-CZ"/>
              </w:rPr>
              <w:t>, vaskulitida</w:t>
            </w:r>
          </w:p>
          <w:p w14:paraId="4ABD8279" w14:textId="77777777" w:rsidR="00A20953" w:rsidRPr="001B4A02" w:rsidRDefault="00A20953" w:rsidP="00ED48A3">
            <w:pPr>
              <w:pStyle w:val="EMEANormal"/>
              <w:rPr>
                <w:szCs w:val="22"/>
                <w:lang w:val="cs-CZ"/>
              </w:rPr>
            </w:pPr>
          </w:p>
        </w:tc>
      </w:tr>
      <w:tr w:rsidR="00534A2D" w14:paraId="2967BDD2" w14:textId="77777777" w:rsidTr="00961CF6">
        <w:trPr>
          <w:cantSplit/>
          <w:trHeight w:val="260"/>
          <w:jc w:val="center"/>
        </w:trPr>
        <w:tc>
          <w:tcPr>
            <w:tcW w:w="2880" w:type="dxa"/>
            <w:vMerge/>
            <w:tcBorders>
              <w:left w:val="single" w:sz="4" w:space="0" w:color="auto"/>
              <w:bottom w:val="single" w:sz="4" w:space="0" w:color="auto"/>
              <w:right w:val="single" w:sz="4" w:space="0" w:color="auto"/>
            </w:tcBorders>
          </w:tcPr>
          <w:p w14:paraId="2756638C" w14:textId="77777777" w:rsidR="00ED3511" w:rsidRPr="001B4A02" w:rsidRDefault="00ED3511" w:rsidP="00ED48A3">
            <w:pPr>
              <w:tabs>
                <w:tab w:val="left" w:pos="0"/>
              </w:tabs>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3835B3F2" w14:textId="77777777" w:rsidR="00D95B9A" w:rsidRPr="001B4A02" w:rsidRDefault="00000000" w:rsidP="00A20953">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7F452CB1" w14:textId="77777777" w:rsidR="00ED3511" w:rsidRDefault="00000000" w:rsidP="00ED48A3">
            <w:pPr>
              <w:pStyle w:val="EMEANormal"/>
              <w:rPr>
                <w:szCs w:val="22"/>
                <w:lang w:val="cs-CZ"/>
              </w:rPr>
            </w:pPr>
            <w:r w:rsidRPr="001B4A02">
              <w:rPr>
                <w:szCs w:val="22"/>
                <w:lang w:val="cs-CZ"/>
              </w:rPr>
              <w:t>anafylaxe</w:t>
            </w:r>
            <w:r w:rsidRPr="001B4A02">
              <w:rPr>
                <w:szCs w:val="22"/>
                <w:vertAlign w:val="superscript"/>
                <w:lang w:val="cs-CZ"/>
              </w:rPr>
              <w:t>1)</w:t>
            </w:r>
          </w:p>
          <w:p w14:paraId="1BD08414" w14:textId="77777777" w:rsidR="00A20953" w:rsidRPr="00A20953" w:rsidRDefault="00A20953" w:rsidP="00ED48A3">
            <w:pPr>
              <w:pStyle w:val="EMEANormal"/>
              <w:rPr>
                <w:szCs w:val="22"/>
                <w:lang w:val="cs-CZ"/>
              </w:rPr>
            </w:pPr>
          </w:p>
        </w:tc>
      </w:tr>
      <w:tr w:rsidR="00534A2D" w14:paraId="7EF15A29" w14:textId="77777777" w:rsidTr="00961CF6">
        <w:trPr>
          <w:cantSplit/>
          <w:trHeight w:val="127"/>
          <w:jc w:val="center"/>
        </w:trPr>
        <w:tc>
          <w:tcPr>
            <w:tcW w:w="2880" w:type="dxa"/>
            <w:vMerge w:val="restart"/>
            <w:tcBorders>
              <w:top w:val="single" w:sz="4" w:space="0" w:color="auto"/>
              <w:left w:val="single" w:sz="4" w:space="0" w:color="auto"/>
              <w:bottom w:val="single" w:sz="4" w:space="0" w:color="auto"/>
              <w:right w:val="single" w:sz="4" w:space="0" w:color="auto"/>
            </w:tcBorders>
          </w:tcPr>
          <w:p w14:paraId="0BE9F0DE" w14:textId="77777777" w:rsidR="00ED3511" w:rsidRPr="001B4A02" w:rsidRDefault="00000000" w:rsidP="00ED48A3">
            <w:pPr>
              <w:pStyle w:val="EMEANormal"/>
              <w:tabs>
                <w:tab w:val="left" w:pos="0"/>
              </w:tabs>
              <w:rPr>
                <w:szCs w:val="22"/>
                <w:lang w:val="cs-CZ"/>
              </w:rPr>
            </w:pPr>
            <w:r w:rsidRPr="001B4A02">
              <w:rPr>
                <w:szCs w:val="22"/>
                <w:lang w:val="cs-CZ"/>
              </w:rPr>
              <w:t>Poruchy metabolismu</w:t>
            </w:r>
            <w:r w:rsidR="002378E0">
              <w:rPr>
                <w:szCs w:val="22"/>
                <w:lang w:val="cs-CZ"/>
              </w:rPr>
              <w:t xml:space="preserve"> a </w:t>
            </w:r>
            <w:r w:rsidRPr="001B4A02">
              <w:rPr>
                <w:szCs w:val="22"/>
                <w:lang w:val="cs-CZ"/>
              </w:rPr>
              <w:t>výživy</w:t>
            </w:r>
          </w:p>
        </w:tc>
        <w:tc>
          <w:tcPr>
            <w:tcW w:w="1440" w:type="dxa"/>
            <w:tcBorders>
              <w:top w:val="single" w:sz="4" w:space="0" w:color="auto"/>
              <w:left w:val="single" w:sz="4" w:space="0" w:color="auto"/>
              <w:bottom w:val="single" w:sz="4" w:space="0" w:color="auto"/>
              <w:right w:val="single" w:sz="4" w:space="0" w:color="auto"/>
            </w:tcBorders>
          </w:tcPr>
          <w:p w14:paraId="28CA2461" w14:textId="77777777" w:rsidR="00ED3511" w:rsidRPr="001B4A02" w:rsidRDefault="00000000" w:rsidP="00ED48A3">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6DE26BC3" w14:textId="77777777" w:rsidR="00ED3511" w:rsidRPr="001B4A02" w:rsidRDefault="00000000" w:rsidP="00ED48A3">
            <w:pPr>
              <w:pStyle w:val="EMEANormal"/>
              <w:rPr>
                <w:szCs w:val="22"/>
                <w:lang w:val="cs-CZ"/>
              </w:rPr>
            </w:pPr>
            <w:r w:rsidRPr="001B4A02">
              <w:rPr>
                <w:szCs w:val="22"/>
                <w:lang w:val="cs-CZ"/>
              </w:rPr>
              <w:t>Zvýšení lipidů</w:t>
            </w:r>
          </w:p>
          <w:p w14:paraId="224CFF78" w14:textId="77777777" w:rsidR="00ED3511" w:rsidRPr="001B4A02" w:rsidRDefault="00ED3511" w:rsidP="00ED48A3">
            <w:pPr>
              <w:pStyle w:val="EMEANormal"/>
              <w:rPr>
                <w:szCs w:val="22"/>
                <w:lang w:val="cs-CZ"/>
              </w:rPr>
            </w:pPr>
          </w:p>
        </w:tc>
      </w:tr>
      <w:tr w:rsidR="00534A2D" w14:paraId="5E06CD2B" w14:textId="77777777" w:rsidTr="00961CF6">
        <w:trPr>
          <w:cantSplit/>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1CC03F"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4607F359" w14:textId="77777777" w:rsidR="00ED351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3A0F7B98" w14:textId="77777777" w:rsidR="00ED3511" w:rsidRPr="001B4A02" w:rsidRDefault="00000000" w:rsidP="00ED48A3">
            <w:pPr>
              <w:pStyle w:val="EMEANormal"/>
              <w:rPr>
                <w:szCs w:val="22"/>
                <w:lang w:val="cs-CZ"/>
              </w:rPr>
            </w:pPr>
            <w:r w:rsidRPr="001B4A02">
              <w:rPr>
                <w:szCs w:val="22"/>
                <w:lang w:val="cs-CZ"/>
              </w:rPr>
              <w:t>Hypokal</w:t>
            </w:r>
            <w:r w:rsidR="006E7ECF">
              <w:rPr>
                <w:szCs w:val="22"/>
                <w:lang w:val="cs-CZ"/>
              </w:rPr>
              <w:t>e</w:t>
            </w:r>
            <w:r w:rsidRPr="001B4A02">
              <w:rPr>
                <w:szCs w:val="22"/>
                <w:lang w:val="cs-CZ"/>
              </w:rPr>
              <w:t>mie,</w:t>
            </w:r>
          </w:p>
          <w:p w14:paraId="7F053D06" w14:textId="77777777" w:rsidR="00ED3511" w:rsidRPr="001B4A02" w:rsidRDefault="00000000" w:rsidP="00ED48A3">
            <w:pPr>
              <w:pStyle w:val="EMEANormal"/>
              <w:rPr>
                <w:szCs w:val="22"/>
                <w:lang w:val="cs-CZ"/>
              </w:rPr>
            </w:pPr>
            <w:r w:rsidRPr="001B4A02">
              <w:rPr>
                <w:szCs w:val="22"/>
                <w:lang w:val="cs-CZ"/>
              </w:rPr>
              <w:t>zvýšení kyseliny močové,</w:t>
            </w:r>
          </w:p>
          <w:p w14:paraId="070301F9" w14:textId="77777777" w:rsidR="00ED3511" w:rsidRPr="001B4A02" w:rsidRDefault="00000000" w:rsidP="00ED48A3">
            <w:pPr>
              <w:pStyle w:val="EMEANormal"/>
              <w:rPr>
                <w:szCs w:val="22"/>
                <w:lang w:val="cs-CZ"/>
              </w:rPr>
            </w:pPr>
            <w:r w:rsidRPr="001B4A02">
              <w:rPr>
                <w:szCs w:val="22"/>
                <w:lang w:val="cs-CZ"/>
              </w:rPr>
              <w:t>abnormální hladina sodíku v</w:t>
            </w:r>
            <w:r w:rsidR="00255A0A" w:rsidRPr="001B4A02">
              <w:rPr>
                <w:szCs w:val="22"/>
                <w:lang w:val="cs-CZ"/>
              </w:rPr>
              <w:t> </w:t>
            </w:r>
            <w:r w:rsidRPr="001B4A02">
              <w:rPr>
                <w:szCs w:val="22"/>
                <w:lang w:val="cs-CZ"/>
              </w:rPr>
              <w:t>krvi,</w:t>
            </w:r>
          </w:p>
          <w:p w14:paraId="196F6B6D" w14:textId="77777777" w:rsidR="00ED3511" w:rsidRPr="001B4A02" w:rsidRDefault="00000000" w:rsidP="00ED48A3">
            <w:pPr>
              <w:pStyle w:val="EMEANormal"/>
              <w:rPr>
                <w:szCs w:val="22"/>
                <w:lang w:val="cs-CZ"/>
              </w:rPr>
            </w:pPr>
            <w:r w:rsidRPr="001B4A02">
              <w:rPr>
                <w:szCs w:val="22"/>
                <w:lang w:val="cs-CZ"/>
              </w:rPr>
              <w:t>hypokalc</w:t>
            </w:r>
            <w:r w:rsidR="006E7ECF">
              <w:rPr>
                <w:szCs w:val="22"/>
                <w:lang w:val="cs-CZ"/>
              </w:rPr>
              <w:t>e</w:t>
            </w:r>
            <w:r w:rsidRPr="001B4A02">
              <w:rPr>
                <w:szCs w:val="22"/>
                <w:lang w:val="cs-CZ"/>
              </w:rPr>
              <w:t>mie,</w:t>
            </w:r>
          </w:p>
          <w:p w14:paraId="6278F063" w14:textId="77777777" w:rsidR="00ED3511" w:rsidRPr="001B4A02" w:rsidRDefault="00000000" w:rsidP="00ED48A3">
            <w:pPr>
              <w:pStyle w:val="EMEANormal"/>
              <w:rPr>
                <w:szCs w:val="22"/>
                <w:lang w:val="cs-CZ"/>
              </w:rPr>
            </w:pPr>
            <w:r w:rsidRPr="001B4A02">
              <w:rPr>
                <w:szCs w:val="22"/>
                <w:lang w:val="cs-CZ"/>
              </w:rPr>
              <w:t>hyperglyk</w:t>
            </w:r>
            <w:r w:rsidR="006E7ECF">
              <w:rPr>
                <w:szCs w:val="22"/>
                <w:lang w:val="cs-CZ"/>
              </w:rPr>
              <w:t>e</w:t>
            </w:r>
            <w:r w:rsidRPr="001B4A02">
              <w:rPr>
                <w:szCs w:val="22"/>
                <w:lang w:val="cs-CZ"/>
              </w:rPr>
              <w:t>mie,</w:t>
            </w:r>
          </w:p>
          <w:p w14:paraId="54AB0438" w14:textId="77777777" w:rsidR="00ED3511" w:rsidRPr="001B4A02" w:rsidRDefault="00000000" w:rsidP="00ED48A3">
            <w:pPr>
              <w:pStyle w:val="EMEANormal"/>
              <w:rPr>
                <w:szCs w:val="22"/>
                <w:lang w:val="cs-CZ"/>
              </w:rPr>
            </w:pPr>
            <w:r w:rsidRPr="001B4A02">
              <w:rPr>
                <w:szCs w:val="22"/>
                <w:lang w:val="cs-CZ"/>
              </w:rPr>
              <w:t>hypofosfat</w:t>
            </w:r>
            <w:r w:rsidR="006E7ECF">
              <w:rPr>
                <w:szCs w:val="22"/>
                <w:lang w:val="cs-CZ"/>
              </w:rPr>
              <w:t>e</w:t>
            </w:r>
            <w:r w:rsidRPr="001B4A02">
              <w:rPr>
                <w:szCs w:val="22"/>
                <w:lang w:val="cs-CZ"/>
              </w:rPr>
              <w:t>mie,</w:t>
            </w:r>
          </w:p>
          <w:p w14:paraId="3FCDB4A8" w14:textId="77777777" w:rsidR="00ED3511" w:rsidRDefault="00000000" w:rsidP="00ED48A3">
            <w:pPr>
              <w:pStyle w:val="EMEANormal"/>
              <w:rPr>
                <w:szCs w:val="22"/>
                <w:lang w:val="cs-CZ"/>
              </w:rPr>
            </w:pPr>
            <w:r w:rsidRPr="001B4A02">
              <w:rPr>
                <w:szCs w:val="22"/>
                <w:lang w:val="cs-CZ"/>
              </w:rPr>
              <w:t>dehydratace</w:t>
            </w:r>
          </w:p>
          <w:p w14:paraId="5198627A" w14:textId="77777777" w:rsidR="00701677" w:rsidRPr="001B4A02" w:rsidRDefault="00701677" w:rsidP="00ED48A3">
            <w:pPr>
              <w:pStyle w:val="EMEANormal"/>
              <w:rPr>
                <w:szCs w:val="22"/>
                <w:lang w:val="cs-CZ"/>
              </w:rPr>
            </w:pPr>
          </w:p>
        </w:tc>
      </w:tr>
      <w:tr w:rsidR="00534A2D" w14:paraId="5B5196B9" w14:textId="77777777" w:rsidTr="00187CC8">
        <w:trPr>
          <w:cantSplit/>
          <w:trHeight w:val="782"/>
          <w:jc w:val="center"/>
        </w:trPr>
        <w:tc>
          <w:tcPr>
            <w:tcW w:w="2880" w:type="dxa"/>
            <w:tcBorders>
              <w:top w:val="single" w:sz="4" w:space="0" w:color="auto"/>
              <w:left w:val="single" w:sz="4" w:space="0" w:color="auto"/>
              <w:bottom w:val="single" w:sz="4" w:space="0" w:color="auto"/>
              <w:right w:val="single" w:sz="4" w:space="0" w:color="auto"/>
            </w:tcBorders>
          </w:tcPr>
          <w:p w14:paraId="45F9C536" w14:textId="77777777" w:rsidR="00ED3511" w:rsidRPr="001B4A02" w:rsidRDefault="00000000" w:rsidP="00ED48A3">
            <w:pPr>
              <w:pStyle w:val="EMEANormal"/>
              <w:tabs>
                <w:tab w:val="left" w:pos="0"/>
              </w:tabs>
              <w:rPr>
                <w:szCs w:val="22"/>
                <w:lang w:val="cs-CZ"/>
              </w:rPr>
            </w:pPr>
            <w:r w:rsidRPr="001B4A02">
              <w:rPr>
                <w:szCs w:val="22"/>
                <w:lang w:val="cs-CZ"/>
              </w:rPr>
              <w:t>Psychiatrické poruchy</w:t>
            </w:r>
          </w:p>
        </w:tc>
        <w:tc>
          <w:tcPr>
            <w:tcW w:w="1440" w:type="dxa"/>
            <w:tcBorders>
              <w:top w:val="single" w:sz="4" w:space="0" w:color="auto"/>
              <w:left w:val="single" w:sz="4" w:space="0" w:color="auto"/>
              <w:bottom w:val="single" w:sz="4" w:space="0" w:color="auto"/>
              <w:right w:val="single" w:sz="4" w:space="0" w:color="auto"/>
            </w:tcBorders>
          </w:tcPr>
          <w:p w14:paraId="1A0F7340" w14:textId="77777777" w:rsidR="00ED351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5DC50E6D" w14:textId="77777777" w:rsidR="00ED3511" w:rsidRPr="001B4A02" w:rsidRDefault="00000000" w:rsidP="00ED48A3">
            <w:pPr>
              <w:pStyle w:val="EMEANormal"/>
              <w:rPr>
                <w:szCs w:val="22"/>
                <w:lang w:val="cs-CZ"/>
              </w:rPr>
            </w:pPr>
            <w:r w:rsidRPr="001B4A02">
              <w:rPr>
                <w:szCs w:val="22"/>
                <w:lang w:val="cs-CZ"/>
              </w:rPr>
              <w:t>Alterace nálady (včetně deprese),</w:t>
            </w:r>
          </w:p>
          <w:p w14:paraId="6BC763EE" w14:textId="77777777" w:rsidR="00ED3511" w:rsidRPr="001B4A02" w:rsidRDefault="00000000" w:rsidP="00ED48A3">
            <w:pPr>
              <w:pStyle w:val="EMEANormal"/>
              <w:rPr>
                <w:szCs w:val="22"/>
                <w:lang w:val="cs-CZ"/>
              </w:rPr>
            </w:pPr>
            <w:r w:rsidRPr="001B4A02">
              <w:rPr>
                <w:szCs w:val="22"/>
                <w:lang w:val="cs-CZ"/>
              </w:rPr>
              <w:t>úzkost, nespavost</w:t>
            </w:r>
          </w:p>
        </w:tc>
      </w:tr>
      <w:tr w:rsidR="00534A2D" w14:paraId="2282266B" w14:textId="77777777" w:rsidTr="00DB7D9B">
        <w:trPr>
          <w:cantSplit/>
          <w:trHeight w:val="127"/>
          <w:jc w:val="center"/>
        </w:trPr>
        <w:tc>
          <w:tcPr>
            <w:tcW w:w="2880" w:type="dxa"/>
            <w:vMerge w:val="restart"/>
            <w:tcBorders>
              <w:top w:val="single" w:sz="4" w:space="0" w:color="auto"/>
              <w:left w:val="single" w:sz="4" w:space="0" w:color="auto"/>
              <w:bottom w:val="single" w:sz="4" w:space="0" w:color="auto"/>
              <w:right w:val="single" w:sz="4" w:space="0" w:color="auto"/>
            </w:tcBorders>
          </w:tcPr>
          <w:p w14:paraId="64101B62" w14:textId="77777777" w:rsidR="00ED3511" w:rsidRPr="001B4A02" w:rsidRDefault="00000000" w:rsidP="00ED48A3">
            <w:pPr>
              <w:pStyle w:val="EMEANormal"/>
              <w:tabs>
                <w:tab w:val="left" w:pos="0"/>
              </w:tabs>
              <w:rPr>
                <w:szCs w:val="22"/>
                <w:lang w:val="cs-CZ"/>
              </w:rPr>
            </w:pPr>
            <w:r w:rsidRPr="001B4A02">
              <w:rPr>
                <w:szCs w:val="22"/>
                <w:lang w:val="cs-CZ"/>
              </w:rPr>
              <w:t>Poruchy nervového systému*</w:t>
            </w:r>
          </w:p>
        </w:tc>
        <w:tc>
          <w:tcPr>
            <w:tcW w:w="1440" w:type="dxa"/>
            <w:tcBorders>
              <w:top w:val="single" w:sz="4" w:space="0" w:color="auto"/>
              <w:left w:val="single" w:sz="4" w:space="0" w:color="auto"/>
              <w:bottom w:val="single" w:sz="4" w:space="0" w:color="auto"/>
              <w:right w:val="single" w:sz="4" w:space="0" w:color="auto"/>
            </w:tcBorders>
          </w:tcPr>
          <w:p w14:paraId="58F7792F" w14:textId="77777777" w:rsidR="00ED3511" w:rsidRPr="001B4A02" w:rsidRDefault="00000000" w:rsidP="00ED48A3">
            <w:pPr>
              <w:pStyle w:val="EMEANormal"/>
              <w:ind w:left="112" w:hanging="112"/>
              <w:jc w:val="both"/>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28F0E035" w14:textId="77777777" w:rsidR="00ED3511" w:rsidRPr="001B4A02" w:rsidRDefault="00000000" w:rsidP="00ED48A3">
            <w:pPr>
              <w:pStyle w:val="EMEANormal"/>
              <w:rPr>
                <w:szCs w:val="22"/>
                <w:lang w:val="cs-CZ"/>
              </w:rPr>
            </w:pPr>
            <w:r w:rsidRPr="001B4A02">
              <w:rPr>
                <w:szCs w:val="22"/>
                <w:lang w:val="cs-CZ"/>
              </w:rPr>
              <w:t>Bolest hlavy</w:t>
            </w:r>
          </w:p>
          <w:p w14:paraId="3BD62CD1" w14:textId="77777777" w:rsidR="00ED3511" w:rsidRPr="001B4A02" w:rsidRDefault="00ED3511" w:rsidP="00ED48A3">
            <w:pPr>
              <w:pStyle w:val="EMEANormal"/>
              <w:rPr>
                <w:szCs w:val="22"/>
                <w:lang w:val="cs-CZ"/>
              </w:rPr>
            </w:pPr>
          </w:p>
        </w:tc>
      </w:tr>
      <w:tr w:rsidR="00534A2D" w14:paraId="3AF94EE4" w14:textId="77777777" w:rsidTr="00DB7D9B">
        <w:trPr>
          <w:cantSplit/>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6089E33"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43AA07BC" w14:textId="77777777" w:rsidR="00ED3511" w:rsidRPr="001B4A02" w:rsidRDefault="00000000" w:rsidP="00ED48A3">
            <w:pPr>
              <w:pStyle w:val="EMEANormal"/>
              <w:ind w:left="112" w:hanging="112"/>
              <w:jc w:val="both"/>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6CF77EDA" w14:textId="77777777" w:rsidR="00ED3511" w:rsidRPr="001B4A02" w:rsidRDefault="00000000" w:rsidP="00ED48A3">
            <w:pPr>
              <w:pStyle w:val="EMEANormal"/>
              <w:rPr>
                <w:szCs w:val="22"/>
                <w:lang w:val="cs-CZ"/>
              </w:rPr>
            </w:pPr>
            <w:r w:rsidRPr="001B4A02">
              <w:rPr>
                <w:szCs w:val="22"/>
                <w:lang w:val="cs-CZ"/>
              </w:rPr>
              <w:t>Parestezie (včetně hypest</w:t>
            </w:r>
            <w:r w:rsidR="006E7ECF">
              <w:rPr>
                <w:szCs w:val="22"/>
                <w:lang w:val="cs-CZ"/>
              </w:rPr>
              <w:t>e</w:t>
            </w:r>
            <w:r w:rsidRPr="001B4A02">
              <w:rPr>
                <w:szCs w:val="22"/>
                <w:lang w:val="cs-CZ"/>
              </w:rPr>
              <w:t>zie),</w:t>
            </w:r>
          </w:p>
          <w:p w14:paraId="6DCA5CF1" w14:textId="77777777" w:rsidR="00ED3511" w:rsidRPr="001B4A02" w:rsidRDefault="00000000" w:rsidP="00ED48A3">
            <w:pPr>
              <w:pStyle w:val="EMEANormal"/>
              <w:rPr>
                <w:szCs w:val="22"/>
                <w:lang w:val="cs-CZ"/>
              </w:rPr>
            </w:pPr>
            <w:r w:rsidRPr="001B4A02">
              <w:rPr>
                <w:szCs w:val="22"/>
                <w:lang w:val="cs-CZ"/>
              </w:rPr>
              <w:t>migréna,</w:t>
            </w:r>
          </w:p>
          <w:p w14:paraId="075C6B30" w14:textId="77777777" w:rsidR="00ED3511" w:rsidRPr="001B4A02" w:rsidRDefault="00000000" w:rsidP="00ED48A3">
            <w:pPr>
              <w:pStyle w:val="EMEANormal"/>
              <w:rPr>
                <w:szCs w:val="22"/>
                <w:lang w:val="cs-CZ"/>
              </w:rPr>
            </w:pPr>
            <w:r w:rsidRPr="001B4A02">
              <w:rPr>
                <w:szCs w:val="22"/>
                <w:lang w:val="cs-CZ"/>
              </w:rPr>
              <w:t>útlak nervových kořenů</w:t>
            </w:r>
          </w:p>
          <w:p w14:paraId="7F88B79F" w14:textId="77777777" w:rsidR="00ED3511" w:rsidRPr="001B4A02" w:rsidRDefault="00ED3511" w:rsidP="00ED48A3">
            <w:pPr>
              <w:pStyle w:val="EMEANormal"/>
              <w:rPr>
                <w:szCs w:val="22"/>
                <w:lang w:val="cs-CZ"/>
              </w:rPr>
            </w:pPr>
          </w:p>
        </w:tc>
      </w:tr>
      <w:tr w:rsidR="00534A2D" w14:paraId="13CCB07D" w14:textId="77777777" w:rsidTr="00DB7D9B">
        <w:trPr>
          <w:cantSplit/>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9544BAF"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1E83DAA" w14:textId="77777777" w:rsidR="00ED3511" w:rsidRPr="001B4A02" w:rsidRDefault="00000000" w:rsidP="00DB7D9B">
            <w:pPr>
              <w:pStyle w:val="EMEANormal"/>
              <w:ind w:left="113" w:hanging="113"/>
              <w:jc w:val="both"/>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45924201" w14:textId="77777777" w:rsidR="00ED3511" w:rsidRPr="001B4A02" w:rsidRDefault="00000000" w:rsidP="00ED48A3">
            <w:pPr>
              <w:pStyle w:val="EMEANormal"/>
              <w:rPr>
                <w:szCs w:val="22"/>
                <w:lang w:val="cs-CZ"/>
              </w:rPr>
            </w:pPr>
            <w:r w:rsidRPr="001B4A02">
              <w:rPr>
                <w:szCs w:val="22"/>
                <w:lang w:val="cs-CZ"/>
              </w:rPr>
              <w:t>Cévní mozková příhoda</w:t>
            </w:r>
            <w:r w:rsidRPr="001B4A02">
              <w:rPr>
                <w:szCs w:val="22"/>
                <w:vertAlign w:val="superscript"/>
                <w:lang w:val="cs-CZ"/>
              </w:rPr>
              <w:t>1)</w:t>
            </w:r>
            <w:r w:rsidRPr="001B4A02">
              <w:rPr>
                <w:szCs w:val="22"/>
                <w:lang w:val="cs-CZ"/>
              </w:rPr>
              <w:t>,</w:t>
            </w:r>
          </w:p>
          <w:p w14:paraId="16FAF064" w14:textId="77777777" w:rsidR="00ED3511" w:rsidRPr="001B4A02" w:rsidRDefault="00000000" w:rsidP="00ED48A3">
            <w:pPr>
              <w:pStyle w:val="EMEANormal"/>
              <w:rPr>
                <w:szCs w:val="22"/>
                <w:lang w:val="cs-CZ"/>
              </w:rPr>
            </w:pPr>
            <w:r w:rsidRPr="001B4A02">
              <w:rPr>
                <w:szCs w:val="22"/>
                <w:lang w:val="cs-CZ"/>
              </w:rPr>
              <w:t>třes,</w:t>
            </w:r>
          </w:p>
          <w:p w14:paraId="33E4F682" w14:textId="77777777" w:rsidR="00ED3511" w:rsidRPr="001B4A02" w:rsidRDefault="00000000" w:rsidP="00ED48A3">
            <w:pPr>
              <w:pStyle w:val="EMEANormal"/>
              <w:rPr>
                <w:szCs w:val="22"/>
                <w:lang w:val="cs-CZ"/>
              </w:rPr>
            </w:pPr>
            <w:r w:rsidRPr="001B4A02">
              <w:rPr>
                <w:szCs w:val="22"/>
                <w:lang w:val="cs-CZ"/>
              </w:rPr>
              <w:t>neuropatie</w:t>
            </w:r>
          </w:p>
          <w:p w14:paraId="71D1AC52" w14:textId="77777777" w:rsidR="00ED3511" w:rsidRPr="001B4A02" w:rsidRDefault="00ED3511" w:rsidP="00ED48A3">
            <w:pPr>
              <w:pStyle w:val="EMEANormal"/>
              <w:rPr>
                <w:szCs w:val="22"/>
                <w:lang w:val="cs-CZ"/>
              </w:rPr>
            </w:pPr>
          </w:p>
        </w:tc>
      </w:tr>
      <w:tr w:rsidR="00534A2D" w14:paraId="446351B9" w14:textId="77777777" w:rsidTr="00DB7D9B">
        <w:trPr>
          <w:cantSplit/>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E9B7810"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1D59D0B0" w14:textId="77777777" w:rsidR="00ED3511" w:rsidRPr="001B4A02" w:rsidRDefault="00000000" w:rsidP="00ED48A3">
            <w:pPr>
              <w:pStyle w:val="EMEANormal"/>
              <w:ind w:left="112" w:hanging="112"/>
              <w:jc w:val="both"/>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19A79F5F" w14:textId="77777777" w:rsidR="00ED3511" w:rsidRPr="001B4A02" w:rsidRDefault="00000000" w:rsidP="00ED48A3">
            <w:pPr>
              <w:pStyle w:val="EMEANormal"/>
              <w:rPr>
                <w:szCs w:val="22"/>
                <w:lang w:val="cs-CZ"/>
              </w:rPr>
            </w:pPr>
            <w:r w:rsidRPr="001B4A02">
              <w:rPr>
                <w:szCs w:val="22"/>
                <w:lang w:val="cs-CZ"/>
              </w:rPr>
              <w:t>Roztroušená skleróza,</w:t>
            </w:r>
          </w:p>
          <w:p w14:paraId="4E99B22A" w14:textId="77777777" w:rsidR="00ED3511" w:rsidRPr="001B4A02" w:rsidRDefault="00000000" w:rsidP="00ED48A3">
            <w:pPr>
              <w:pStyle w:val="EMEANormal"/>
              <w:rPr>
                <w:szCs w:val="22"/>
                <w:lang w:val="cs-CZ"/>
              </w:rPr>
            </w:pPr>
            <w:r w:rsidRPr="001B4A02">
              <w:rPr>
                <w:szCs w:val="22"/>
                <w:lang w:val="cs-CZ"/>
              </w:rPr>
              <w:t>demyelinizační poruchy (např. optická neuritida, Guillain-Barré syndrom)</w:t>
            </w:r>
            <w:r w:rsidRPr="001B4A02">
              <w:rPr>
                <w:szCs w:val="22"/>
                <w:vertAlign w:val="superscript"/>
                <w:lang w:val="cs-CZ"/>
              </w:rPr>
              <w:t>1)</w:t>
            </w:r>
          </w:p>
          <w:p w14:paraId="7954C700" w14:textId="77777777" w:rsidR="00ED3511" w:rsidRPr="001B4A02" w:rsidRDefault="00ED3511" w:rsidP="00ED48A3">
            <w:pPr>
              <w:pStyle w:val="EMEANormal"/>
              <w:rPr>
                <w:szCs w:val="22"/>
                <w:lang w:val="cs-CZ"/>
              </w:rPr>
            </w:pPr>
          </w:p>
        </w:tc>
      </w:tr>
      <w:tr w:rsidR="00534A2D" w14:paraId="0D5739C2" w14:textId="77777777" w:rsidTr="00DB7D9B">
        <w:trPr>
          <w:cantSplit/>
          <w:trHeight w:val="259"/>
          <w:jc w:val="center"/>
        </w:trPr>
        <w:tc>
          <w:tcPr>
            <w:tcW w:w="2880" w:type="dxa"/>
            <w:vMerge w:val="restart"/>
            <w:tcBorders>
              <w:top w:val="single" w:sz="4" w:space="0" w:color="auto"/>
              <w:left w:val="single" w:sz="4" w:space="0" w:color="auto"/>
              <w:bottom w:val="single" w:sz="4" w:space="0" w:color="auto"/>
              <w:right w:val="single" w:sz="4" w:space="0" w:color="auto"/>
            </w:tcBorders>
          </w:tcPr>
          <w:p w14:paraId="3142F076" w14:textId="77777777" w:rsidR="00ED3511" w:rsidRPr="001B4A02" w:rsidRDefault="00000000" w:rsidP="00ED48A3">
            <w:pPr>
              <w:pStyle w:val="EMEANormal"/>
              <w:tabs>
                <w:tab w:val="left" w:pos="0"/>
              </w:tabs>
              <w:rPr>
                <w:szCs w:val="22"/>
                <w:lang w:val="cs-CZ"/>
              </w:rPr>
            </w:pPr>
            <w:r w:rsidRPr="001B4A02">
              <w:rPr>
                <w:szCs w:val="22"/>
                <w:lang w:val="cs-CZ"/>
              </w:rPr>
              <w:t>Poruchy oka</w:t>
            </w:r>
          </w:p>
        </w:tc>
        <w:tc>
          <w:tcPr>
            <w:tcW w:w="1440" w:type="dxa"/>
            <w:tcBorders>
              <w:top w:val="single" w:sz="4" w:space="0" w:color="auto"/>
              <w:left w:val="single" w:sz="4" w:space="0" w:color="auto"/>
              <w:bottom w:val="single" w:sz="4" w:space="0" w:color="auto"/>
              <w:right w:val="single" w:sz="4" w:space="0" w:color="auto"/>
            </w:tcBorders>
          </w:tcPr>
          <w:p w14:paraId="700FB8EE" w14:textId="77777777" w:rsidR="00ED351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2636690A" w14:textId="77777777" w:rsidR="00ED3511" w:rsidRPr="001B4A02" w:rsidRDefault="00000000" w:rsidP="00ED48A3">
            <w:pPr>
              <w:pStyle w:val="EMEANormal"/>
              <w:rPr>
                <w:szCs w:val="22"/>
                <w:lang w:val="cs-CZ"/>
              </w:rPr>
            </w:pPr>
            <w:r w:rsidRPr="001B4A02">
              <w:rPr>
                <w:szCs w:val="22"/>
                <w:lang w:val="cs-CZ"/>
              </w:rPr>
              <w:t>Poruchy zraku,</w:t>
            </w:r>
          </w:p>
          <w:p w14:paraId="106871BD" w14:textId="77777777" w:rsidR="00ED3511" w:rsidRPr="001B4A02" w:rsidRDefault="00000000" w:rsidP="00ED48A3">
            <w:pPr>
              <w:pStyle w:val="EMEANormal"/>
              <w:rPr>
                <w:szCs w:val="22"/>
                <w:lang w:val="cs-CZ"/>
              </w:rPr>
            </w:pPr>
            <w:r w:rsidRPr="001B4A02">
              <w:rPr>
                <w:szCs w:val="22"/>
                <w:lang w:val="cs-CZ"/>
              </w:rPr>
              <w:t>konjunktivitida,</w:t>
            </w:r>
          </w:p>
          <w:p w14:paraId="11E00F9E" w14:textId="77777777" w:rsidR="00ED3511" w:rsidRPr="001B4A02" w:rsidRDefault="00000000" w:rsidP="00ED48A3">
            <w:pPr>
              <w:pStyle w:val="EMEANormal"/>
              <w:rPr>
                <w:szCs w:val="22"/>
                <w:lang w:val="cs-CZ"/>
              </w:rPr>
            </w:pPr>
            <w:r w:rsidRPr="001B4A02">
              <w:rPr>
                <w:szCs w:val="22"/>
                <w:lang w:val="cs-CZ"/>
              </w:rPr>
              <w:t>blefaritida,</w:t>
            </w:r>
          </w:p>
          <w:p w14:paraId="5BC3DD77" w14:textId="77777777" w:rsidR="00ED3511" w:rsidRPr="001B4A02" w:rsidRDefault="00000000" w:rsidP="00ED48A3">
            <w:pPr>
              <w:pStyle w:val="EMEANormal"/>
              <w:rPr>
                <w:szCs w:val="22"/>
                <w:lang w:val="cs-CZ"/>
              </w:rPr>
            </w:pPr>
            <w:r w:rsidRPr="001B4A02">
              <w:rPr>
                <w:szCs w:val="22"/>
                <w:lang w:val="cs-CZ"/>
              </w:rPr>
              <w:t>otoky oka</w:t>
            </w:r>
          </w:p>
          <w:p w14:paraId="0413F97F" w14:textId="77777777" w:rsidR="00ED3511" w:rsidRPr="001B4A02" w:rsidRDefault="00ED3511" w:rsidP="00ED48A3">
            <w:pPr>
              <w:pStyle w:val="EMEANormal"/>
              <w:rPr>
                <w:szCs w:val="22"/>
                <w:lang w:val="cs-CZ"/>
              </w:rPr>
            </w:pPr>
          </w:p>
        </w:tc>
      </w:tr>
      <w:tr w:rsidR="00534A2D" w14:paraId="273924F1" w14:textId="77777777" w:rsidTr="00DB7D9B">
        <w:trPr>
          <w:cantSplit/>
          <w:trHeight w:val="25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64F78ED"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11DF17CF" w14:textId="77777777" w:rsidR="00ED3511"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36A10F68" w14:textId="77777777" w:rsidR="00ED3511" w:rsidRPr="001B4A02" w:rsidRDefault="00000000" w:rsidP="00ED48A3">
            <w:pPr>
              <w:pStyle w:val="EMEANormal"/>
              <w:rPr>
                <w:szCs w:val="22"/>
                <w:lang w:val="cs-CZ"/>
              </w:rPr>
            </w:pPr>
            <w:r w:rsidRPr="001B4A02">
              <w:rPr>
                <w:szCs w:val="22"/>
                <w:lang w:val="cs-CZ"/>
              </w:rPr>
              <w:t>Diplopie</w:t>
            </w:r>
          </w:p>
          <w:p w14:paraId="5BD8CCE4" w14:textId="77777777" w:rsidR="00ED3511" w:rsidRPr="001B4A02" w:rsidRDefault="00ED3511" w:rsidP="00ED48A3">
            <w:pPr>
              <w:pStyle w:val="EMEANormal"/>
              <w:rPr>
                <w:szCs w:val="22"/>
                <w:lang w:val="cs-CZ"/>
              </w:rPr>
            </w:pPr>
          </w:p>
        </w:tc>
      </w:tr>
      <w:tr w:rsidR="00534A2D" w14:paraId="5F3BACFB" w14:textId="77777777" w:rsidTr="00DB7D9B">
        <w:trPr>
          <w:cantSplit/>
          <w:trHeight w:val="96"/>
          <w:jc w:val="center"/>
        </w:trPr>
        <w:tc>
          <w:tcPr>
            <w:tcW w:w="2880" w:type="dxa"/>
            <w:vMerge w:val="restart"/>
            <w:tcBorders>
              <w:top w:val="single" w:sz="4" w:space="0" w:color="auto"/>
              <w:left w:val="single" w:sz="4" w:space="0" w:color="auto"/>
              <w:bottom w:val="single" w:sz="4" w:space="0" w:color="auto"/>
              <w:right w:val="single" w:sz="4" w:space="0" w:color="auto"/>
            </w:tcBorders>
            <w:shd w:val="clear" w:color="auto" w:fill="FFFFFF"/>
          </w:tcPr>
          <w:p w14:paraId="564AEA6C" w14:textId="77777777" w:rsidR="00ED3511" w:rsidRPr="001B4A02" w:rsidRDefault="00000000" w:rsidP="00ED48A3">
            <w:pPr>
              <w:pStyle w:val="EMEANormal"/>
              <w:tabs>
                <w:tab w:val="left" w:pos="0"/>
              </w:tabs>
              <w:rPr>
                <w:szCs w:val="22"/>
                <w:lang w:val="cs-CZ"/>
              </w:rPr>
            </w:pPr>
            <w:r w:rsidRPr="001B4A02">
              <w:rPr>
                <w:szCs w:val="22"/>
                <w:lang w:val="cs-CZ"/>
              </w:rPr>
              <w:t>Poruchy ucha</w:t>
            </w:r>
            <w:r w:rsidR="002378E0">
              <w:rPr>
                <w:szCs w:val="22"/>
                <w:lang w:val="cs-CZ"/>
              </w:rPr>
              <w:t xml:space="preserve"> a </w:t>
            </w:r>
            <w:r w:rsidRPr="001B4A02">
              <w:rPr>
                <w:szCs w:val="22"/>
                <w:lang w:val="cs-CZ"/>
              </w:rPr>
              <w:t>labyrintu</w:t>
            </w:r>
          </w:p>
        </w:tc>
        <w:tc>
          <w:tcPr>
            <w:tcW w:w="1440" w:type="dxa"/>
            <w:tcBorders>
              <w:top w:val="single" w:sz="4" w:space="0" w:color="auto"/>
              <w:left w:val="single" w:sz="4" w:space="0" w:color="auto"/>
              <w:bottom w:val="single" w:sz="4" w:space="0" w:color="auto"/>
              <w:right w:val="single" w:sz="4" w:space="0" w:color="auto"/>
            </w:tcBorders>
          </w:tcPr>
          <w:p w14:paraId="131005E8" w14:textId="77777777" w:rsidR="00ED351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68BF527F" w14:textId="77777777" w:rsidR="00ED3511" w:rsidRPr="001B4A02" w:rsidRDefault="00000000" w:rsidP="00ED48A3">
            <w:pPr>
              <w:pStyle w:val="EMEANormal"/>
              <w:rPr>
                <w:szCs w:val="22"/>
                <w:lang w:val="cs-CZ"/>
              </w:rPr>
            </w:pPr>
            <w:r w:rsidRPr="001B4A02">
              <w:rPr>
                <w:szCs w:val="22"/>
                <w:lang w:val="cs-CZ"/>
              </w:rPr>
              <w:t>Vertigo</w:t>
            </w:r>
          </w:p>
          <w:p w14:paraId="0ECCBB57" w14:textId="77777777" w:rsidR="00ED3511" w:rsidRPr="001B4A02" w:rsidRDefault="00ED3511" w:rsidP="00ED48A3">
            <w:pPr>
              <w:pStyle w:val="EMEANormal"/>
              <w:rPr>
                <w:szCs w:val="22"/>
                <w:lang w:val="cs-CZ"/>
              </w:rPr>
            </w:pPr>
          </w:p>
        </w:tc>
      </w:tr>
      <w:tr w:rsidR="00534A2D" w14:paraId="5C59E826" w14:textId="77777777" w:rsidTr="00DB7D9B">
        <w:trPr>
          <w:cantSplit/>
          <w:trHeight w:val="40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F67F1C1"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1B2210D" w14:textId="77777777" w:rsidR="00ED3511"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49AAC271" w14:textId="77777777" w:rsidR="00ED3511" w:rsidRPr="001B4A02" w:rsidRDefault="00000000" w:rsidP="00ED48A3">
            <w:pPr>
              <w:pStyle w:val="EMEANormal"/>
              <w:rPr>
                <w:szCs w:val="22"/>
                <w:lang w:val="cs-CZ"/>
              </w:rPr>
            </w:pPr>
            <w:r w:rsidRPr="001B4A02">
              <w:rPr>
                <w:szCs w:val="22"/>
                <w:lang w:val="cs-CZ"/>
              </w:rPr>
              <w:t>Ztráta sluchu,</w:t>
            </w:r>
          </w:p>
          <w:p w14:paraId="36F25745" w14:textId="77777777" w:rsidR="00ED3511" w:rsidRPr="001B4A02" w:rsidRDefault="00000000" w:rsidP="00ED48A3">
            <w:pPr>
              <w:pStyle w:val="EMEANormal"/>
              <w:rPr>
                <w:szCs w:val="22"/>
                <w:lang w:val="cs-CZ"/>
              </w:rPr>
            </w:pPr>
            <w:r w:rsidRPr="001B4A02">
              <w:rPr>
                <w:szCs w:val="22"/>
                <w:lang w:val="cs-CZ"/>
              </w:rPr>
              <w:t>tinitus</w:t>
            </w:r>
          </w:p>
          <w:p w14:paraId="0A0AD354" w14:textId="77777777" w:rsidR="00ED3511" w:rsidRPr="001B4A02" w:rsidRDefault="00ED3511" w:rsidP="00ED48A3">
            <w:pPr>
              <w:pStyle w:val="EMEANormal"/>
              <w:rPr>
                <w:szCs w:val="22"/>
                <w:lang w:val="cs-CZ"/>
              </w:rPr>
            </w:pPr>
          </w:p>
        </w:tc>
      </w:tr>
      <w:tr w:rsidR="00534A2D" w14:paraId="5743A870" w14:textId="77777777" w:rsidTr="00DB7D9B">
        <w:trPr>
          <w:cantSplit/>
          <w:trHeight w:val="127"/>
          <w:jc w:val="center"/>
        </w:trPr>
        <w:tc>
          <w:tcPr>
            <w:tcW w:w="2880" w:type="dxa"/>
            <w:vMerge w:val="restart"/>
            <w:tcBorders>
              <w:top w:val="single" w:sz="4" w:space="0" w:color="auto"/>
              <w:left w:val="single" w:sz="4" w:space="0" w:color="auto"/>
              <w:bottom w:val="single" w:sz="4" w:space="0" w:color="auto"/>
              <w:right w:val="single" w:sz="4" w:space="0" w:color="auto"/>
            </w:tcBorders>
          </w:tcPr>
          <w:p w14:paraId="002BE136" w14:textId="77777777" w:rsidR="00ED3511" w:rsidRPr="001B4A02" w:rsidRDefault="00000000" w:rsidP="00ED48A3">
            <w:pPr>
              <w:pStyle w:val="EMEANormal"/>
              <w:tabs>
                <w:tab w:val="left" w:pos="0"/>
              </w:tabs>
              <w:rPr>
                <w:szCs w:val="22"/>
                <w:lang w:val="cs-CZ"/>
              </w:rPr>
            </w:pPr>
            <w:r w:rsidRPr="001B4A02">
              <w:rPr>
                <w:szCs w:val="22"/>
                <w:lang w:val="cs-CZ"/>
              </w:rPr>
              <w:t>Srdeční poruchy*</w:t>
            </w:r>
          </w:p>
        </w:tc>
        <w:tc>
          <w:tcPr>
            <w:tcW w:w="1440" w:type="dxa"/>
            <w:tcBorders>
              <w:top w:val="single" w:sz="4" w:space="0" w:color="auto"/>
              <w:left w:val="single" w:sz="4" w:space="0" w:color="auto"/>
              <w:bottom w:val="single" w:sz="4" w:space="0" w:color="auto"/>
              <w:right w:val="single" w:sz="4" w:space="0" w:color="auto"/>
            </w:tcBorders>
          </w:tcPr>
          <w:p w14:paraId="2E6B7B35" w14:textId="77777777" w:rsidR="00ED351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6C6268A2" w14:textId="77777777" w:rsidR="00ED3511" w:rsidRPr="001B4A02" w:rsidRDefault="00000000" w:rsidP="00ED48A3">
            <w:pPr>
              <w:pStyle w:val="EMEANormal"/>
              <w:rPr>
                <w:szCs w:val="22"/>
                <w:lang w:val="cs-CZ"/>
              </w:rPr>
            </w:pPr>
            <w:r w:rsidRPr="001B4A02">
              <w:rPr>
                <w:szCs w:val="22"/>
                <w:lang w:val="cs-CZ"/>
              </w:rPr>
              <w:t>Tachykardie</w:t>
            </w:r>
          </w:p>
          <w:p w14:paraId="165508EA" w14:textId="77777777" w:rsidR="00ED3511" w:rsidRPr="001B4A02" w:rsidRDefault="00ED3511" w:rsidP="00ED48A3">
            <w:pPr>
              <w:pStyle w:val="EMEANormal"/>
              <w:rPr>
                <w:szCs w:val="22"/>
                <w:lang w:val="cs-CZ"/>
              </w:rPr>
            </w:pPr>
          </w:p>
        </w:tc>
      </w:tr>
      <w:tr w:rsidR="00534A2D" w14:paraId="29691DBB" w14:textId="77777777" w:rsidTr="00DB7D9B">
        <w:trPr>
          <w:cantSplit/>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9A1A9B3"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9F83024" w14:textId="77777777" w:rsidR="00ED3511"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315B8F13" w14:textId="77777777" w:rsidR="00ED3511" w:rsidRPr="001B4A02" w:rsidRDefault="00000000" w:rsidP="00ED48A3">
            <w:pPr>
              <w:pStyle w:val="EMEANormal"/>
              <w:rPr>
                <w:szCs w:val="22"/>
                <w:lang w:val="cs-CZ"/>
              </w:rPr>
            </w:pPr>
            <w:r w:rsidRPr="001B4A02">
              <w:rPr>
                <w:szCs w:val="22"/>
                <w:lang w:val="cs-CZ"/>
              </w:rPr>
              <w:t>Infarkt myokardu</w:t>
            </w:r>
            <w:r w:rsidRPr="001B4A02">
              <w:rPr>
                <w:szCs w:val="22"/>
                <w:vertAlign w:val="superscript"/>
                <w:lang w:val="cs-CZ"/>
              </w:rPr>
              <w:t>1)</w:t>
            </w:r>
            <w:r w:rsidRPr="001B4A02">
              <w:rPr>
                <w:szCs w:val="22"/>
                <w:lang w:val="cs-CZ"/>
              </w:rPr>
              <w:t>,</w:t>
            </w:r>
          </w:p>
          <w:p w14:paraId="208C9602" w14:textId="77777777" w:rsidR="00ED3511" w:rsidRPr="001B4A02" w:rsidRDefault="00000000" w:rsidP="00ED48A3">
            <w:pPr>
              <w:pStyle w:val="EMEANormal"/>
              <w:rPr>
                <w:szCs w:val="22"/>
                <w:lang w:val="cs-CZ"/>
              </w:rPr>
            </w:pPr>
            <w:r w:rsidRPr="001B4A02">
              <w:rPr>
                <w:szCs w:val="22"/>
                <w:lang w:val="cs-CZ"/>
              </w:rPr>
              <w:t>arytmie,</w:t>
            </w:r>
          </w:p>
          <w:p w14:paraId="4C6396DA" w14:textId="77777777" w:rsidR="00ED3511" w:rsidRPr="001B4A02" w:rsidRDefault="00000000" w:rsidP="00ED48A3">
            <w:pPr>
              <w:pStyle w:val="EMEANormal"/>
              <w:rPr>
                <w:szCs w:val="22"/>
                <w:lang w:val="cs-CZ"/>
              </w:rPr>
            </w:pPr>
            <w:r w:rsidRPr="001B4A02">
              <w:rPr>
                <w:szCs w:val="22"/>
                <w:lang w:val="cs-CZ"/>
              </w:rPr>
              <w:t>městnavé srdeční selhání</w:t>
            </w:r>
          </w:p>
          <w:p w14:paraId="239F1804" w14:textId="77777777" w:rsidR="00ED3511" w:rsidRPr="001B4A02" w:rsidRDefault="00ED3511" w:rsidP="00ED48A3">
            <w:pPr>
              <w:pStyle w:val="EMEANormal"/>
              <w:rPr>
                <w:szCs w:val="22"/>
                <w:lang w:val="cs-CZ"/>
              </w:rPr>
            </w:pPr>
          </w:p>
        </w:tc>
      </w:tr>
      <w:tr w:rsidR="00534A2D" w14:paraId="3730CF60" w14:textId="77777777" w:rsidTr="00DB7D9B">
        <w:trPr>
          <w:cantSplit/>
          <w:trHeight w:val="25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0A66554"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4A8A0B8D" w14:textId="77777777" w:rsidR="00ED3511" w:rsidRPr="001B4A02" w:rsidRDefault="00000000" w:rsidP="00ED48A3">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2CE9F75E" w14:textId="77777777" w:rsidR="00ED3511" w:rsidRPr="001B4A02" w:rsidRDefault="00000000" w:rsidP="00ED48A3">
            <w:pPr>
              <w:pStyle w:val="EMEANormal"/>
              <w:rPr>
                <w:szCs w:val="22"/>
                <w:lang w:val="cs-CZ"/>
              </w:rPr>
            </w:pPr>
            <w:r w:rsidRPr="001B4A02">
              <w:rPr>
                <w:szCs w:val="22"/>
                <w:lang w:val="cs-CZ"/>
              </w:rPr>
              <w:t>Srdeční zástava</w:t>
            </w:r>
          </w:p>
          <w:p w14:paraId="26C38E24" w14:textId="77777777" w:rsidR="00ED3511" w:rsidRPr="001B4A02" w:rsidRDefault="00ED3511" w:rsidP="00ED48A3">
            <w:pPr>
              <w:pStyle w:val="EMEANormal"/>
              <w:rPr>
                <w:szCs w:val="22"/>
                <w:lang w:val="cs-CZ"/>
              </w:rPr>
            </w:pPr>
          </w:p>
        </w:tc>
      </w:tr>
      <w:tr w:rsidR="00534A2D" w14:paraId="589E2D5F" w14:textId="77777777" w:rsidTr="00DB7D9B">
        <w:trPr>
          <w:cantSplit/>
          <w:trHeight w:val="143"/>
          <w:jc w:val="center"/>
        </w:trPr>
        <w:tc>
          <w:tcPr>
            <w:tcW w:w="2880" w:type="dxa"/>
            <w:vMerge w:val="restart"/>
            <w:tcBorders>
              <w:top w:val="single" w:sz="4" w:space="0" w:color="auto"/>
              <w:left w:val="single" w:sz="4" w:space="0" w:color="auto"/>
              <w:bottom w:val="single" w:sz="4" w:space="0" w:color="auto"/>
              <w:right w:val="single" w:sz="4" w:space="0" w:color="auto"/>
            </w:tcBorders>
          </w:tcPr>
          <w:p w14:paraId="6690569C" w14:textId="77777777" w:rsidR="00ED3511" w:rsidRPr="001B4A02" w:rsidRDefault="00000000" w:rsidP="00ED48A3">
            <w:pPr>
              <w:pStyle w:val="EMEANormal"/>
              <w:tabs>
                <w:tab w:val="left" w:pos="0"/>
              </w:tabs>
              <w:rPr>
                <w:szCs w:val="22"/>
                <w:lang w:val="cs-CZ"/>
              </w:rPr>
            </w:pPr>
            <w:r w:rsidRPr="001B4A02">
              <w:rPr>
                <w:szCs w:val="22"/>
                <w:lang w:val="cs-CZ"/>
              </w:rPr>
              <w:t>Cévní poruchy</w:t>
            </w:r>
          </w:p>
        </w:tc>
        <w:tc>
          <w:tcPr>
            <w:tcW w:w="1440" w:type="dxa"/>
            <w:tcBorders>
              <w:top w:val="single" w:sz="4" w:space="0" w:color="auto"/>
              <w:left w:val="single" w:sz="4" w:space="0" w:color="auto"/>
              <w:bottom w:val="single" w:sz="4" w:space="0" w:color="auto"/>
              <w:right w:val="single" w:sz="4" w:space="0" w:color="auto"/>
            </w:tcBorders>
          </w:tcPr>
          <w:p w14:paraId="4A579C7A" w14:textId="77777777" w:rsidR="00ED351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1E1ACD30" w14:textId="77777777" w:rsidR="00ED3511" w:rsidRPr="001B4A02" w:rsidRDefault="00000000" w:rsidP="00ED48A3">
            <w:pPr>
              <w:pStyle w:val="EMEANormal"/>
              <w:rPr>
                <w:szCs w:val="22"/>
                <w:lang w:val="cs-CZ"/>
              </w:rPr>
            </w:pPr>
            <w:r w:rsidRPr="001B4A02">
              <w:rPr>
                <w:szCs w:val="22"/>
                <w:lang w:val="cs-CZ"/>
              </w:rPr>
              <w:t>Hypertenze,</w:t>
            </w:r>
          </w:p>
          <w:p w14:paraId="053E6E40" w14:textId="77777777" w:rsidR="00ED3511" w:rsidRPr="001B4A02" w:rsidRDefault="00000000" w:rsidP="00ED48A3">
            <w:pPr>
              <w:pStyle w:val="EMEANormal"/>
              <w:rPr>
                <w:szCs w:val="22"/>
                <w:lang w:val="cs-CZ"/>
              </w:rPr>
            </w:pPr>
            <w:r w:rsidRPr="001B4A02">
              <w:rPr>
                <w:szCs w:val="22"/>
                <w:lang w:val="cs-CZ"/>
              </w:rPr>
              <w:t>záchvaty zrudnutí,</w:t>
            </w:r>
          </w:p>
          <w:p w14:paraId="47184F7D" w14:textId="77777777" w:rsidR="00ED3511" w:rsidRPr="001B4A02" w:rsidRDefault="00000000" w:rsidP="00ED48A3">
            <w:pPr>
              <w:pStyle w:val="EMEANormal"/>
              <w:rPr>
                <w:szCs w:val="22"/>
                <w:lang w:val="cs-CZ"/>
              </w:rPr>
            </w:pPr>
            <w:r w:rsidRPr="001B4A02">
              <w:rPr>
                <w:szCs w:val="22"/>
                <w:lang w:val="cs-CZ"/>
              </w:rPr>
              <w:t>hematomy</w:t>
            </w:r>
          </w:p>
          <w:p w14:paraId="0AAE37C5" w14:textId="77777777" w:rsidR="00ED3511" w:rsidRPr="001B4A02" w:rsidRDefault="00ED3511" w:rsidP="00ED48A3">
            <w:pPr>
              <w:pStyle w:val="EMEANormal"/>
              <w:rPr>
                <w:szCs w:val="22"/>
                <w:lang w:val="cs-CZ"/>
              </w:rPr>
            </w:pPr>
          </w:p>
        </w:tc>
      </w:tr>
      <w:tr w:rsidR="00534A2D" w14:paraId="12997340" w14:textId="77777777" w:rsidTr="00DB7D9B">
        <w:trPr>
          <w:cantSplit/>
          <w:trHeight w:val="14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73F872E"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6B31B83D" w14:textId="77777777" w:rsidR="00ED3511"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6D75F5C4" w14:textId="77777777" w:rsidR="00ED3511" w:rsidRPr="001B4A02" w:rsidRDefault="00000000" w:rsidP="00ED48A3">
            <w:pPr>
              <w:pStyle w:val="EMEANormal"/>
              <w:rPr>
                <w:szCs w:val="22"/>
                <w:lang w:val="cs-CZ"/>
              </w:rPr>
            </w:pPr>
            <w:r w:rsidRPr="001B4A02">
              <w:rPr>
                <w:szCs w:val="22"/>
                <w:lang w:val="cs-CZ"/>
              </w:rPr>
              <w:t>Aneurysma aorty,</w:t>
            </w:r>
          </w:p>
          <w:p w14:paraId="616258E9" w14:textId="77777777" w:rsidR="00ED3511" w:rsidRPr="001B4A02" w:rsidRDefault="00000000" w:rsidP="00ED48A3">
            <w:pPr>
              <w:pStyle w:val="EMEANormal"/>
              <w:rPr>
                <w:szCs w:val="22"/>
                <w:lang w:val="cs-CZ"/>
              </w:rPr>
            </w:pPr>
            <w:r w:rsidRPr="001B4A02">
              <w:rPr>
                <w:szCs w:val="22"/>
                <w:lang w:val="cs-CZ"/>
              </w:rPr>
              <w:t>cévní arteriální okluze,</w:t>
            </w:r>
          </w:p>
          <w:p w14:paraId="14F9D477" w14:textId="77777777" w:rsidR="00ED3511" w:rsidRPr="001B4A02" w:rsidRDefault="00000000" w:rsidP="00ED48A3">
            <w:pPr>
              <w:pStyle w:val="EMEANormal"/>
              <w:rPr>
                <w:szCs w:val="22"/>
                <w:lang w:val="cs-CZ"/>
              </w:rPr>
            </w:pPr>
            <w:r w:rsidRPr="001B4A02">
              <w:rPr>
                <w:szCs w:val="22"/>
                <w:lang w:val="cs-CZ"/>
              </w:rPr>
              <w:t>tromoflebitida</w:t>
            </w:r>
          </w:p>
          <w:p w14:paraId="4F588955" w14:textId="77777777" w:rsidR="00ED3511" w:rsidRPr="001B4A02" w:rsidRDefault="00ED3511" w:rsidP="00ED48A3">
            <w:pPr>
              <w:pStyle w:val="EMEANormal"/>
              <w:rPr>
                <w:szCs w:val="22"/>
                <w:lang w:val="cs-CZ"/>
              </w:rPr>
            </w:pPr>
          </w:p>
        </w:tc>
      </w:tr>
      <w:tr w:rsidR="00534A2D" w14:paraId="1FA535C3" w14:textId="77777777" w:rsidTr="00DB7D9B">
        <w:trPr>
          <w:cantSplit/>
          <w:trHeight w:val="391"/>
          <w:jc w:val="center"/>
        </w:trPr>
        <w:tc>
          <w:tcPr>
            <w:tcW w:w="2880" w:type="dxa"/>
            <w:vMerge w:val="restart"/>
            <w:tcBorders>
              <w:top w:val="single" w:sz="4" w:space="0" w:color="auto"/>
              <w:left w:val="single" w:sz="4" w:space="0" w:color="auto"/>
              <w:right w:val="single" w:sz="4" w:space="0" w:color="auto"/>
            </w:tcBorders>
          </w:tcPr>
          <w:p w14:paraId="23E70AE9" w14:textId="77777777" w:rsidR="00ED3511" w:rsidRPr="001B4A02" w:rsidRDefault="00000000" w:rsidP="00ED48A3">
            <w:pPr>
              <w:pStyle w:val="EMEANormal"/>
              <w:tabs>
                <w:tab w:val="left" w:pos="0"/>
              </w:tabs>
              <w:rPr>
                <w:szCs w:val="22"/>
                <w:lang w:val="cs-CZ"/>
              </w:rPr>
            </w:pPr>
            <w:r w:rsidRPr="001B4A02">
              <w:rPr>
                <w:szCs w:val="22"/>
                <w:lang w:val="cs-CZ"/>
              </w:rPr>
              <w:t>Respirační, hrudní</w:t>
            </w:r>
            <w:r w:rsidR="002378E0">
              <w:rPr>
                <w:szCs w:val="22"/>
                <w:lang w:val="cs-CZ"/>
              </w:rPr>
              <w:t xml:space="preserve"> a </w:t>
            </w:r>
            <w:r w:rsidRPr="001B4A02">
              <w:rPr>
                <w:szCs w:val="22"/>
                <w:lang w:val="cs-CZ"/>
              </w:rPr>
              <w:t>mediastinální poruchy*</w:t>
            </w:r>
          </w:p>
        </w:tc>
        <w:tc>
          <w:tcPr>
            <w:tcW w:w="1440" w:type="dxa"/>
            <w:tcBorders>
              <w:top w:val="single" w:sz="4" w:space="0" w:color="auto"/>
              <w:left w:val="single" w:sz="4" w:space="0" w:color="auto"/>
              <w:bottom w:val="single" w:sz="4" w:space="0" w:color="auto"/>
              <w:right w:val="single" w:sz="4" w:space="0" w:color="auto"/>
            </w:tcBorders>
          </w:tcPr>
          <w:p w14:paraId="719A4A02" w14:textId="77777777" w:rsidR="00ED351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471625DD" w14:textId="77777777" w:rsidR="00ED3511" w:rsidRPr="001B4A02" w:rsidRDefault="00000000" w:rsidP="00ED48A3">
            <w:pPr>
              <w:pStyle w:val="EMEANormal"/>
              <w:rPr>
                <w:szCs w:val="22"/>
                <w:lang w:val="cs-CZ"/>
              </w:rPr>
            </w:pPr>
            <w:r w:rsidRPr="001B4A02">
              <w:rPr>
                <w:szCs w:val="22"/>
                <w:lang w:val="cs-CZ"/>
              </w:rPr>
              <w:t>Astma,</w:t>
            </w:r>
          </w:p>
          <w:p w14:paraId="37B761EF" w14:textId="77777777" w:rsidR="00ED3511" w:rsidRPr="001B4A02" w:rsidRDefault="00000000" w:rsidP="00ED48A3">
            <w:pPr>
              <w:pStyle w:val="EMEANormal"/>
              <w:rPr>
                <w:szCs w:val="22"/>
                <w:lang w:val="cs-CZ"/>
              </w:rPr>
            </w:pPr>
            <w:r w:rsidRPr="001B4A02">
              <w:rPr>
                <w:szCs w:val="22"/>
                <w:lang w:val="cs-CZ"/>
              </w:rPr>
              <w:t>dyspnoe,</w:t>
            </w:r>
          </w:p>
          <w:p w14:paraId="1134CEB7" w14:textId="77777777" w:rsidR="00ED3511" w:rsidRPr="001B4A02" w:rsidRDefault="00000000" w:rsidP="00ED48A3">
            <w:pPr>
              <w:pStyle w:val="EMEANormal"/>
              <w:rPr>
                <w:szCs w:val="22"/>
                <w:lang w:val="cs-CZ"/>
              </w:rPr>
            </w:pPr>
            <w:r w:rsidRPr="001B4A02">
              <w:rPr>
                <w:szCs w:val="22"/>
                <w:lang w:val="cs-CZ"/>
              </w:rPr>
              <w:t>kašel</w:t>
            </w:r>
          </w:p>
          <w:p w14:paraId="31EB017F" w14:textId="77777777" w:rsidR="00ED3511" w:rsidRPr="001B4A02" w:rsidRDefault="00ED3511" w:rsidP="00ED48A3">
            <w:pPr>
              <w:pStyle w:val="EMEANormal"/>
              <w:rPr>
                <w:szCs w:val="22"/>
                <w:lang w:val="cs-CZ"/>
              </w:rPr>
            </w:pPr>
          </w:p>
        </w:tc>
      </w:tr>
      <w:tr w:rsidR="00534A2D" w14:paraId="2247BE92" w14:textId="77777777" w:rsidTr="00DB7D9B">
        <w:trPr>
          <w:cantSplit/>
          <w:trHeight w:val="234"/>
          <w:jc w:val="center"/>
        </w:trPr>
        <w:tc>
          <w:tcPr>
            <w:tcW w:w="0" w:type="auto"/>
            <w:vMerge/>
            <w:tcBorders>
              <w:left w:val="single" w:sz="4" w:space="0" w:color="auto"/>
              <w:right w:val="single" w:sz="4" w:space="0" w:color="auto"/>
            </w:tcBorders>
            <w:vAlign w:val="center"/>
          </w:tcPr>
          <w:p w14:paraId="200C3E67"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10C2B09D" w14:textId="77777777" w:rsidR="00ED3511"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17FE3D8C" w14:textId="77777777" w:rsidR="00ED3511" w:rsidRPr="001B4A02" w:rsidRDefault="00000000" w:rsidP="00ED48A3">
            <w:pPr>
              <w:pStyle w:val="EMEANormal"/>
              <w:rPr>
                <w:szCs w:val="22"/>
                <w:lang w:val="cs-CZ"/>
              </w:rPr>
            </w:pPr>
            <w:r w:rsidRPr="001B4A02">
              <w:rPr>
                <w:szCs w:val="22"/>
                <w:lang w:val="cs-CZ"/>
              </w:rPr>
              <w:t>Plicní embolie,</w:t>
            </w:r>
            <w:r w:rsidRPr="001B4A02">
              <w:rPr>
                <w:szCs w:val="22"/>
                <w:vertAlign w:val="superscript"/>
                <w:lang w:val="cs-CZ"/>
              </w:rPr>
              <w:t>1)</w:t>
            </w:r>
          </w:p>
          <w:p w14:paraId="0F8BD46B" w14:textId="77777777" w:rsidR="00ED3511" w:rsidRPr="001B4A02" w:rsidRDefault="00000000" w:rsidP="00ED48A3">
            <w:pPr>
              <w:pStyle w:val="EMEANormal"/>
              <w:rPr>
                <w:szCs w:val="22"/>
                <w:lang w:val="cs-CZ"/>
              </w:rPr>
            </w:pPr>
            <w:r w:rsidRPr="001B4A02">
              <w:rPr>
                <w:szCs w:val="22"/>
                <w:lang w:val="cs-CZ"/>
              </w:rPr>
              <w:t>intersticiální plicní choroba,</w:t>
            </w:r>
          </w:p>
          <w:p w14:paraId="0260B4F6" w14:textId="77777777" w:rsidR="00ED3511" w:rsidRPr="001B4A02" w:rsidRDefault="00000000" w:rsidP="00ED48A3">
            <w:pPr>
              <w:pStyle w:val="EMEANormal"/>
              <w:rPr>
                <w:szCs w:val="22"/>
                <w:lang w:val="cs-CZ"/>
              </w:rPr>
            </w:pPr>
            <w:r w:rsidRPr="001B4A02">
              <w:rPr>
                <w:szCs w:val="22"/>
                <w:lang w:val="cs-CZ"/>
              </w:rPr>
              <w:t>chronická obstrukční plicní nemoc,</w:t>
            </w:r>
          </w:p>
          <w:p w14:paraId="530AFBA9" w14:textId="77777777" w:rsidR="00ED3511" w:rsidRPr="001B4A02" w:rsidRDefault="00000000" w:rsidP="00ED48A3">
            <w:pPr>
              <w:pStyle w:val="EMEANormal"/>
              <w:rPr>
                <w:szCs w:val="22"/>
                <w:lang w:val="cs-CZ"/>
              </w:rPr>
            </w:pPr>
            <w:r w:rsidRPr="001B4A02">
              <w:rPr>
                <w:szCs w:val="22"/>
                <w:lang w:val="cs-CZ"/>
              </w:rPr>
              <w:t>pneumonitida,</w:t>
            </w:r>
          </w:p>
          <w:p w14:paraId="6765685F" w14:textId="77777777" w:rsidR="00ED3511" w:rsidRPr="001B4A02" w:rsidRDefault="00000000" w:rsidP="00ED48A3">
            <w:pPr>
              <w:pStyle w:val="EMEANormal"/>
              <w:rPr>
                <w:szCs w:val="22"/>
                <w:lang w:val="cs-CZ"/>
              </w:rPr>
            </w:pPr>
            <w:r w:rsidRPr="001B4A02">
              <w:rPr>
                <w:szCs w:val="22"/>
                <w:lang w:val="cs-CZ"/>
              </w:rPr>
              <w:t>pleurální výpotek</w:t>
            </w:r>
            <w:r w:rsidRPr="001B4A02">
              <w:rPr>
                <w:szCs w:val="22"/>
                <w:vertAlign w:val="superscript"/>
                <w:lang w:val="cs-CZ"/>
              </w:rPr>
              <w:t>1)</w:t>
            </w:r>
          </w:p>
          <w:p w14:paraId="3861FD86" w14:textId="77777777" w:rsidR="00ED3511" w:rsidRPr="001B4A02" w:rsidRDefault="00ED3511" w:rsidP="00ED48A3">
            <w:pPr>
              <w:pStyle w:val="EMEANormal"/>
              <w:rPr>
                <w:szCs w:val="22"/>
                <w:lang w:val="cs-CZ"/>
              </w:rPr>
            </w:pPr>
          </w:p>
        </w:tc>
      </w:tr>
      <w:tr w:rsidR="00534A2D" w14:paraId="70851F49" w14:textId="77777777" w:rsidTr="00DB7D9B">
        <w:trPr>
          <w:cantSplit/>
          <w:trHeight w:val="234"/>
          <w:jc w:val="center"/>
        </w:trPr>
        <w:tc>
          <w:tcPr>
            <w:tcW w:w="0" w:type="auto"/>
            <w:vMerge/>
            <w:tcBorders>
              <w:left w:val="single" w:sz="4" w:space="0" w:color="auto"/>
              <w:bottom w:val="single" w:sz="4" w:space="0" w:color="auto"/>
              <w:right w:val="single" w:sz="4" w:space="0" w:color="auto"/>
            </w:tcBorders>
            <w:vAlign w:val="center"/>
          </w:tcPr>
          <w:p w14:paraId="3566A60E"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3DFD37B6" w14:textId="77777777" w:rsidR="00ED3511" w:rsidRPr="001B4A02" w:rsidRDefault="00000000" w:rsidP="00ED48A3">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364F05AD" w14:textId="77777777" w:rsidR="00ED3511" w:rsidRPr="001B4A02" w:rsidRDefault="00000000" w:rsidP="00ED48A3">
            <w:pPr>
              <w:pStyle w:val="EMEANormal"/>
              <w:rPr>
                <w:szCs w:val="22"/>
                <w:lang w:val="cs-CZ"/>
              </w:rPr>
            </w:pPr>
            <w:r w:rsidRPr="001B4A02">
              <w:rPr>
                <w:szCs w:val="22"/>
                <w:lang w:val="cs-CZ"/>
              </w:rPr>
              <w:t>Plicní fibróza</w:t>
            </w:r>
            <w:r w:rsidRPr="001B4A02">
              <w:rPr>
                <w:szCs w:val="22"/>
                <w:vertAlign w:val="superscript"/>
                <w:lang w:val="cs-CZ"/>
              </w:rPr>
              <w:t>1)</w:t>
            </w:r>
          </w:p>
          <w:p w14:paraId="10999F68" w14:textId="77777777" w:rsidR="00ED3511" w:rsidRPr="001B4A02" w:rsidRDefault="00ED3511" w:rsidP="00ED48A3">
            <w:pPr>
              <w:pStyle w:val="EMEANormal"/>
              <w:rPr>
                <w:szCs w:val="22"/>
                <w:lang w:val="cs-CZ"/>
              </w:rPr>
            </w:pPr>
          </w:p>
        </w:tc>
      </w:tr>
      <w:tr w:rsidR="00534A2D" w14:paraId="57AA61DE" w14:textId="77777777" w:rsidTr="00DB7D9B">
        <w:trPr>
          <w:cantSplit/>
          <w:trHeight w:val="261"/>
          <w:jc w:val="center"/>
        </w:trPr>
        <w:tc>
          <w:tcPr>
            <w:tcW w:w="2880" w:type="dxa"/>
            <w:vMerge w:val="restart"/>
            <w:tcBorders>
              <w:top w:val="single" w:sz="4" w:space="0" w:color="auto"/>
              <w:left w:val="single" w:sz="4" w:space="0" w:color="auto"/>
              <w:right w:val="single" w:sz="4" w:space="0" w:color="auto"/>
            </w:tcBorders>
          </w:tcPr>
          <w:p w14:paraId="3E0E30CD" w14:textId="77777777" w:rsidR="00ED3511" w:rsidRPr="001B4A02" w:rsidRDefault="00000000" w:rsidP="00ED48A3">
            <w:pPr>
              <w:pStyle w:val="EMEANormal"/>
              <w:tabs>
                <w:tab w:val="left" w:pos="0"/>
              </w:tabs>
              <w:rPr>
                <w:szCs w:val="22"/>
                <w:lang w:val="cs-CZ"/>
              </w:rPr>
            </w:pPr>
            <w:r w:rsidRPr="001B4A02">
              <w:rPr>
                <w:szCs w:val="22"/>
                <w:lang w:val="cs-CZ"/>
              </w:rPr>
              <w:t>Gastrointestinální poruchy</w:t>
            </w:r>
          </w:p>
        </w:tc>
        <w:tc>
          <w:tcPr>
            <w:tcW w:w="1440" w:type="dxa"/>
            <w:tcBorders>
              <w:top w:val="single" w:sz="4" w:space="0" w:color="auto"/>
              <w:left w:val="single" w:sz="4" w:space="0" w:color="auto"/>
              <w:bottom w:val="single" w:sz="4" w:space="0" w:color="auto"/>
              <w:right w:val="single" w:sz="4" w:space="0" w:color="auto"/>
            </w:tcBorders>
          </w:tcPr>
          <w:p w14:paraId="4172F6EC" w14:textId="77777777" w:rsidR="00ED3511" w:rsidRPr="001B4A02" w:rsidRDefault="00000000" w:rsidP="00ED48A3">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72779C64" w14:textId="77777777" w:rsidR="00ED3511" w:rsidRPr="001B4A02" w:rsidRDefault="00000000" w:rsidP="00ED48A3">
            <w:pPr>
              <w:pStyle w:val="EMEANormal"/>
              <w:rPr>
                <w:szCs w:val="22"/>
                <w:lang w:val="cs-CZ"/>
              </w:rPr>
            </w:pPr>
            <w:r w:rsidRPr="001B4A02">
              <w:rPr>
                <w:szCs w:val="22"/>
                <w:lang w:val="cs-CZ"/>
              </w:rPr>
              <w:t>Bolest břicha,</w:t>
            </w:r>
          </w:p>
          <w:p w14:paraId="71B78E4E" w14:textId="77777777" w:rsidR="00ED3511" w:rsidRPr="001B4A02" w:rsidRDefault="00000000" w:rsidP="00ED48A3">
            <w:pPr>
              <w:pStyle w:val="EMEANormal"/>
              <w:rPr>
                <w:szCs w:val="22"/>
                <w:lang w:val="cs-CZ"/>
              </w:rPr>
            </w:pPr>
            <w:r w:rsidRPr="001B4A02">
              <w:rPr>
                <w:szCs w:val="22"/>
                <w:lang w:val="cs-CZ"/>
              </w:rPr>
              <w:t>nau</w:t>
            </w:r>
            <w:r w:rsidR="00664E8D">
              <w:rPr>
                <w:szCs w:val="22"/>
                <w:lang w:val="cs-CZ"/>
              </w:rPr>
              <w:t>z</w:t>
            </w:r>
            <w:r w:rsidRPr="001B4A02">
              <w:rPr>
                <w:szCs w:val="22"/>
                <w:lang w:val="cs-CZ"/>
              </w:rPr>
              <w:t>ea</w:t>
            </w:r>
            <w:r w:rsidR="002378E0">
              <w:rPr>
                <w:szCs w:val="22"/>
                <w:lang w:val="cs-CZ"/>
              </w:rPr>
              <w:t xml:space="preserve"> a </w:t>
            </w:r>
            <w:r w:rsidRPr="001B4A02">
              <w:rPr>
                <w:szCs w:val="22"/>
                <w:lang w:val="cs-CZ"/>
              </w:rPr>
              <w:t>zvracení</w:t>
            </w:r>
          </w:p>
          <w:p w14:paraId="29DB286B" w14:textId="77777777" w:rsidR="00ED3511" w:rsidRPr="001B4A02" w:rsidRDefault="00ED3511" w:rsidP="00ED48A3">
            <w:pPr>
              <w:pStyle w:val="EMEANormal"/>
              <w:rPr>
                <w:szCs w:val="22"/>
                <w:lang w:val="cs-CZ"/>
              </w:rPr>
            </w:pPr>
          </w:p>
        </w:tc>
      </w:tr>
      <w:tr w:rsidR="00534A2D" w14:paraId="42B584E4" w14:textId="77777777" w:rsidTr="00DB7D9B">
        <w:trPr>
          <w:cantSplit/>
          <w:trHeight w:val="260"/>
          <w:jc w:val="center"/>
        </w:trPr>
        <w:tc>
          <w:tcPr>
            <w:tcW w:w="0" w:type="auto"/>
            <w:vMerge/>
            <w:tcBorders>
              <w:left w:val="single" w:sz="4" w:space="0" w:color="auto"/>
              <w:right w:val="single" w:sz="4" w:space="0" w:color="auto"/>
            </w:tcBorders>
            <w:vAlign w:val="center"/>
          </w:tcPr>
          <w:p w14:paraId="3E79690D"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52BFE4AC" w14:textId="77777777" w:rsidR="00ED3511" w:rsidRPr="001B4A02" w:rsidRDefault="00000000" w:rsidP="00ED48A3">
            <w:pPr>
              <w:pStyle w:val="EMEANormal"/>
              <w:tabs>
                <w:tab w:val="left" w:pos="100"/>
              </w:tabs>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26B4893B" w14:textId="77777777" w:rsidR="00ED3511" w:rsidRPr="001B4A02" w:rsidRDefault="00000000" w:rsidP="00ED48A3">
            <w:pPr>
              <w:pStyle w:val="EMEANormal"/>
              <w:rPr>
                <w:szCs w:val="22"/>
                <w:lang w:val="cs-CZ"/>
              </w:rPr>
            </w:pPr>
            <w:r w:rsidRPr="001B4A02">
              <w:rPr>
                <w:szCs w:val="22"/>
                <w:lang w:val="cs-CZ"/>
              </w:rPr>
              <w:t>Krvácení z GI traktu,</w:t>
            </w:r>
          </w:p>
          <w:p w14:paraId="770161BD" w14:textId="77777777" w:rsidR="00ED3511" w:rsidRPr="001B4A02" w:rsidRDefault="00000000" w:rsidP="00ED48A3">
            <w:pPr>
              <w:pStyle w:val="EMEANormal"/>
              <w:rPr>
                <w:szCs w:val="22"/>
                <w:lang w:val="cs-CZ"/>
              </w:rPr>
            </w:pPr>
            <w:r w:rsidRPr="001B4A02">
              <w:rPr>
                <w:szCs w:val="22"/>
                <w:lang w:val="cs-CZ"/>
              </w:rPr>
              <w:t>dyspepsie,</w:t>
            </w:r>
          </w:p>
          <w:p w14:paraId="0B0F908A" w14:textId="77777777" w:rsidR="00ED3511" w:rsidRPr="001B4A02" w:rsidRDefault="00000000" w:rsidP="00ED48A3">
            <w:pPr>
              <w:pStyle w:val="EMEANormal"/>
              <w:rPr>
                <w:szCs w:val="22"/>
                <w:lang w:val="cs-CZ"/>
              </w:rPr>
            </w:pPr>
            <w:r w:rsidRPr="001B4A02">
              <w:rPr>
                <w:szCs w:val="22"/>
                <w:lang w:val="cs-CZ"/>
              </w:rPr>
              <w:t>gastroesofageální refl</w:t>
            </w:r>
            <w:r w:rsidR="00936E7B">
              <w:rPr>
                <w:szCs w:val="22"/>
                <w:lang w:val="cs-CZ"/>
              </w:rPr>
              <w:t>u</w:t>
            </w:r>
            <w:r w:rsidRPr="001B4A02">
              <w:rPr>
                <w:szCs w:val="22"/>
                <w:lang w:val="cs-CZ"/>
              </w:rPr>
              <w:t>xní choroba,</w:t>
            </w:r>
          </w:p>
          <w:p w14:paraId="6F28C1CA" w14:textId="77777777" w:rsidR="00ED3511" w:rsidRPr="001B4A02" w:rsidRDefault="00000000" w:rsidP="00ED48A3">
            <w:pPr>
              <w:pStyle w:val="EMEANormal"/>
              <w:rPr>
                <w:szCs w:val="22"/>
                <w:lang w:val="cs-CZ"/>
              </w:rPr>
            </w:pPr>
            <w:r w:rsidRPr="001B4A02">
              <w:rPr>
                <w:szCs w:val="22"/>
                <w:lang w:val="cs-CZ"/>
              </w:rPr>
              <w:t>sicca syndrom</w:t>
            </w:r>
          </w:p>
          <w:p w14:paraId="099F636A" w14:textId="77777777" w:rsidR="00ED3511" w:rsidRPr="001B4A02" w:rsidRDefault="00ED3511" w:rsidP="00ED48A3">
            <w:pPr>
              <w:pStyle w:val="EMEANormal"/>
              <w:rPr>
                <w:szCs w:val="22"/>
                <w:lang w:val="cs-CZ"/>
              </w:rPr>
            </w:pPr>
          </w:p>
        </w:tc>
      </w:tr>
      <w:tr w:rsidR="00534A2D" w14:paraId="08B98E63" w14:textId="77777777" w:rsidTr="00DB7D9B">
        <w:trPr>
          <w:cantSplit/>
          <w:trHeight w:val="260"/>
          <w:jc w:val="center"/>
        </w:trPr>
        <w:tc>
          <w:tcPr>
            <w:tcW w:w="0" w:type="auto"/>
            <w:vMerge/>
            <w:tcBorders>
              <w:left w:val="single" w:sz="4" w:space="0" w:color="auto"/>
              <w:right w:val="single" w:sz="4" w:space="0" w:color="auto"/>
            </w:tcBorders>
            <w:vAlign w:val="center"/>
          </w:tcPr>
          <w:p w14:paraId="48B7FF30"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55C59E8A" w14:textId="77777777" w:rsidR="00ED3511"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196006A0" w14:textId="77777777" w:rsidR="00ED3511" w:rsidRPr="001B4A02" w:rsidRDefault="00000000" w:rsidP="00ED48A3">
            <w:pPr>
              <w:pStyle w:val="EMEANormal"/>
              <w:rPr>
                <w:szCs w:val="22"/>
                <w:lang w:val="cs-CZ"/>
              </w:rPr>
            </w:pPr>
            <w:r w:rsidRPr="001B4A02">
              <w:rPr>
                <w:szCs w:val="22"/>
                <w:lang w:val="cs-CZ"/>
              </w:rPr>
              <w:t>Pankreatitida,</w:t>
            </w:r>
          </w:p>
          <w:p w14:paraId="13EAF095" w14:textId="77777777" w:rsidR="00ED3511" w:rsidRPr="001B4A02" w:rsidRDefault="00000000" w:rsidP="00ED48A3">
            <w:pPr>
              <w:pStyle w:val="EMEANormal"/>
              <w:rPr>
                <w:szCs w:val="22"/>
                <w:lang w:val="cs-CZ"/>
              </w:rPr>
            </w:pPr>
            <w:r w:rsidRPr="001B4A02">
              <w:rPr>
                <w:szCs w:val="22"/>
                <w:lang w:val="cs-CZ"/>
              </w:rPr>
              <w:t>dysfagie,</w:t>
            </w:r>
          </w:p>
          <w:p w14:paraId="371C5068" w14:textId="77777777" w:rsidR="00ED3511" w:rsidRPr="001B4A02" w:rsidRDefault="00000000" w:rsidP="00ED48A3">
            <w:pPr>
              <w:pStyle w:val="EMEANormal"/>
              <w:rPr>
                <w:szCs w:val="22"/>
                <w:lang w:val="cs-CZ"/>
              </w:rPr>
            </w:pPr>
            <w:r w:rsidRPr="001B4A02">
              <w:rPr>
                <w:szCs w:val="22"/>
                <w:lang w:val="cs-CZ"/>
              </w:rPr>
              <w:t>edém obličeje</w:t>
            </w:r>
          </w:p>
          <w:p w14:paraId="54457C2C" w14:textId="77777777" w:rsidR="00ED3511" w:rsidRPr="001B4A02" w:rsidRDefault="00ED3511" w:rsidP="00ED48A3">
            <w:pPr>
              <w:pStyle w:val="EMEANormal"/>
              <w:rPr>
                <w:szCs w:val="22"/>
                <w:lang w:val="cs-CZ"/>
              </w:rPr>
            </w:pPr>
          </w:p>
        </w:tc>
      </w:tr>
      <w:tr w:rsidR="00534A2D" w14:paraId="422E27AB" w14:textId="77777777" w:rsidTr="00DB7D9B">
        <w:trPr>
          <w:cantSplit/>
          <w:trHeight w:val="260"/>
          <w:jc w:val="center"/>
        </w:trPr>
        <w:tc>
          <w:tcPr>
            <w:tcW w:w="0" w:type="auto"/>
            <w:vMerge/>
            <w:tcBorders>
              <w:left w:val="single" w:sz="4" w:space="0" w:color="auto"/>
              <w:bottom w:val="single" w:sz="4" w:space="0" w:color="auto"/>
              <w:right w:val="single" w:sz="4" w:space="0" w:color="auto"/>
            </w:tcBorders>
            <w:vAlign w:val="center"/>
          </w:tcPr>
          <w:p w14:paraId="51981CBE"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53938861" w14:textId="77777777" w:rsidR="00ED3511" w:rsidRPr="001B4A02" w:rsidRDefault="00000000" w:rsidP="00ED48A3">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5DE3C588" w14:textId="77777777" w:rsidR="00ED3511" w:rsidRPr="001B4A02" w:rsidRDefault="00000000" w:rsidP="00ED48A3">
            <w:pPr>
              <w:pStyle w:val="EMEANormal"/>
              <w:rPr>
                <w:szCs w:val="22"/>
                <w:lang w:val="cs-CZ"/>
              </w:rPr>
            </w:pPr>
            <w:r w:rsidRPr="001B4A02">
              <w:rPr>
                <w:szCs w:val="22"/>
                <w:lang w:val="cs-CZ"/>
              </w:rPr>
              <w:t>Perforace střeva</w:t>
            </w:r>
            <w:r w:rsidRPr="001B4A02">
              <w:rPr>
                <w:szCs w:val="22"/>
                <w:vertAlign w:val="superscript"/>
                <w:lang w:val="cs-CZ"/>
              </w:rPr>
              <w:t>1)</w:t>
            </w:r>
          </w:p>
          <w:p w14:paraId="061DD983" w14:textId="77777777" w:rsidR="00ED3511" w:rsidRPr="001B4A02" w:rsidRDefault="00ED3511" w:rsidP="00ED48A3">
            <w:pPr>
              <w:pStyle w:val="EMEANormal"/>
              <w:rPr>
                <w:szCs w:val="22"/>
                <w:lang w:val="cs-CZ"/>
              </w:rPr>
            </w:pPr>
          </w:p>
        </w:tc>
      </w:tr>
      <w:tr w:rsidR="00534A2D" w14:paraId="53096FA0" w14:textId="77777777" w:rsidTr="00DB7D9B">
        <w:trPr>
          <w:trHeight w:val="138"/>
          <w:jc w:val="center"/>
        </w:trPr>
        <w:tc>
          <w:tcPr>
            <w:tcW w:w="2880" w:type="dxa"/>
            <w:vMerge w:val="restart"/>
            <w:tcBorders>
              <w:top w:val="single" w:sz="4" w:space="0" w:color="auto"/>
              <w:left w:val="single" w:sz="4" w:space="0" w:color="auto"/>
              <w:right w:val="single" w:sz="4" w:space="0" w:color="auto"/>
            </w:tcBorders>
          </w:tcPr>
          <w:p w14:paraId="7FB4A3FC" w14:textId="77777777" w:rsidR="00ED3511" w:rsidRPr="001B4A02" w:rsidRDefault="00000000" w:rsidP="00ED48A3">
            <w:pPr>
              <w:keepNext/>
              <w:tabs>
                <w:tab w:val="left" w:pos="0"/>
              </w:tabs>
              <w:ind w:left="0" w:firstLine="0"/>
              <w:rPr>
                <w:szCs w:val="22"/>
              </w:rPr>
            </w:pPr>
            <w:r w:rsidRPr="001B4A02">
              <w:rPr>
                <w:szCs w:val="22"/>
              </w:rPr>
              <w:t>Poruchy jater</w:t>
            </w:r>
            <w:r w:rsidR="002378E0">
              <w:rPr>
                <w:szCs w:val="22"/>
              </w:rPr>
              <w:t xml:space="preserve"> a </w:t>
            </w:r>
            <w:r w:rsidRPr="001B4A02">
              <w:rPr>
                <w:szCs w:val="22"/>
              </w:rPr>
              <w:t>žlučových cest*</w:t>
            </w:r>
          </w:p>
        </w:tc>
        <w:tc>
          <w:tcPr>
            <w:tcW w:w="1440" w:type="dxa"/>
            <w:tcBorders>
              <w:top w:val="single" w:sz="4" w:space="0" w:color="auto"/>
              <w:left w:val="single" w:sz="4" w:space="0" w:color="auto"/>
              <w:bottom w:val="single" w:sz="4" w:space="0" w:color="auto"/>
              <w:right w:val="single" w:sz="4" w:space="0" w:color="auto"/>
            </w:tcBorders>
          </w:tcPr>
          <w:p w14:paraId="5003E4B8" w14:textId="77777777" w:rsidR="00ED3511" w:rsidRPr="001B4A02" w:rsidRDefault="00000000" w:rsidP="00ED48A3">
            <w:pPr>
              <w:pStyle w:val="EMEANormal"/>
              <w:keepNext/>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406A4F85" w14:textId="77777777" w:rsidR="00ED3511" w:rsidRPr="001B4A02" w:rsidRDefault="00000000" w:rsidP="00ED48A3">
            <w:pPr>
              <w:pStyle w:val="EMEANormal"/>
              <w:keepNext/>
              <w:rPr>
                <w:szCs w:val="22"/>
                <w:lang w:val="cs-CZ"/>
              </w:rPr>
            </w:pPr>
            <w:r w:rsidRPr="001B4A02">
              <w:rPr>
                <w:szCs w:val="22"/>
                <w:lang w:val="cs-CZ"/>
              </w:rPr>
              <w:t>Zvýšení jaterních enzymů</w:t>
            </w:r>
          </w:p>
          <w:p w14:paraId="497971A4" w14:textId="77777777" w:rsidR="00ED3511" w:rsidRPr="001B4A02" w:rsidRDefault="00ED3511" w:rsidP="00ED48A3">
            <w:pPr>
              <w:pStyle w:val="EMEANormal"/>
              <w:keepNext/>
              <w:rPr>
                <w:szCs w:val="22"/>
                <w:lang w:val="cs-CZ"/>
              </w:rPr>
            </w:pPr>
          </w:p>
        </w:tc>
      </w:tr>
      <w:tr w:rsidR="00534A2D" w14:paraId="24736226" w14:textId="77777777" w:rsidTr="00DB7D9B">
        <w:trPr>
          <w:trHeight w:val="137"/>
          <w:jc w:val="center"/>
        </w:trPr>
        <w:tc>
          <w:tcPr>
            <w:tcW w:w="0" w:type="auto"/>
            <w:vMerge/>
            <w:tcBorders>
              <w:left w:val="single" w:sz="4" w:space="0" w:color="auto"/>
              <w:right w:val="single" w:sz="4" w:space="0" w:color="auto"/>
            </w:tcBorders>
            <w:vAlign w:val="center"/>
          </w:tcPr>
          <w:p w14:paraId="2C0C3F2B" w14:textId="77777777" w:rsidR="00ED3511" w:rsidRPr="001B4A02" w:rsidRDefault="00ED3511" w:rsidP="00ED48A3">
            <w:pPr>
              <w:keepNext/>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6CE019A1" w14:textId="77777777" w:rsidR="00ED3511" w:rsidRPr="001B4A02" w:rsidRDefault="00000000" w:rsidP="00ED48A3">
            <w:pPr>
              <w:pStyle w:val="EMEANormal"/>
              <w:keepNext/>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6C441A7D" w14:textId="77777777" w:rsidR="00ED3511" w:rsidRPr="001B4A02" w:rsidRDefault="00000000" w:rsidP="00ED48A3">
            <w:pPr>
              <w:pStyle w:val="EMEANormal"/>
              <w:keepNext/>
              <w:rPr>
                <w:szCs w:val="22"/>
                <w:lang w:val="cs-CZ"/>
              </w:rPr>
            </w:pPr>
            <w:r w:rsidRPr="001B4A02">
              <w:rPr>
                <w:szCs w:val="22"/>
                <w:lang w:val="cs-CZ"/>
              </w:rPr>
              <w:t>Steatóza jater,</w:t>
            </w:r>
          </w:p>
          <w:p w14:paraId="0BB927EC" w14:textId="77777777" w:rsidR="00ED3511" w:rsidRPr="001B4A02" w:rsidRDefault="00000000" w:rsidP="00ED48A3">
            <w:pPr>
              <w:pStyle w:val="EMEANormal"/>
              <w:keepNext/>
              <w:rPr>
                <w:szCs w:val="22"/>
                <w:lang w:val="cs-CZ"/>
              </w:rPr>
            </w:pPr>
            <w:r w:rsidRPr="001B4A02">
              <w:rPr>
                <w:szCs w:val="22"/>
                <w:lang w:val="cs-CZ"/>
              </w:rPr>
              <w:t>cholecystitida</w:t>
            </w:r>
            <w:r w:rsidR="002378E0">
              <w:rPr>
                <w:szCs w:val="22"/>
                <w:lang w:val="cs-CZ"/>
              </w:rPr>
              <w:t xml:space="preserve"> a </w:t>
            </w:r>
            <w:r w:rsidRPr="001B4A02">
              <w:rPr>
                <w:szCs w:val="22"/>
                <w:lang w:val="cs-CZ"/>
              </w:rPr>
              <w:t>cholelithiáza,</w:t>
            </w:r>
          </w:p>
          <w:p w14:paraId="593D3B9C" w14:textId="77777777" w:rsidR="00ED3511" w:rsidRPr="001B4A02" w:rsidRDefault="00000000" w:rsidP="00ED48A3">
            <w:pPr>
              <w:pStyle w:val="EMEANormal"/>
              <w:keepNext/>
              <w:rPr>
                <w:szCs w:val="22"/>
                <w:lang w:val="cs-CZ"/>
              </w:rPr>
            </w:pPr>
            <w:r w:rsidRPr="001B4A02">
              <w:rPr>
                <w:szCs w:val="22"/>
                <w:lang w:val="cs-CZ"/>
              </w:rPr>
              <w:t>zvýšení bilirubinu</w:t>
            </w:r>
          </w:p>
          <w:p w14:paraId="1D24B653" w14:textId="77777777" w:rsidR="00ED3511" w:rsidRPr="001B4A02" w:rsidRDefault="00ED3511" w:rsidP="00ED48A3">
            <w:pPr>
              <w:pStyle w:val="EMEANormal"/>
              <w:keepNext/>
              <w:rPr>
                <w:szCs w:val="22"/>
                <w:lang w:val="cs-CZ"/>
              </w:rPr>
            </w:pPr>
          </w:p>
        </w:tc>
      </w:tr>
      <w:tr w:rsidR="00534A2D" w14:paraId="49593E9C" w14:textId="77777777" w:rsidTr="00DB7D9B">
        <w:trPr>
          <w:trHeight w:val="390"/>
          <w:jc w:val="center"/>
        </w:trPr>
        <w:tc>
          <w:tcPr>
            <w:tcW w:w="0" w:type="auto"/>
            <w:vMerge/>
            <w:tcBorders>
              <w:left w:val="single" w:sz="4" w:space="0" w:color="auto"/>
              <w:right w:val="single" w:sz="4" w:space="0" w:color="auto"/>
            </w:tcBorders>
            <w:vAlign w:val="center"/>
          </w:tcPr>
          <w:p w14:paraId="79891708" w14:textId="77777777" w:rsidR="00ED3511" w:rsidRPr="001B4A02" w:rsidRDefault="00ED3511" w:rsidP="00ED48A3">
            <w:pPr>
              <w:keepNext/>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1B4575D6" w14:textId="77777777" w:rsidR="00ED3511" w:rsidRPr="001B4A02" w:rsidRDefault="00000000" w:rsidP="00ED48A3">
            <w:pPr>
              <w:pStyle w:val="EMEANormal"/>
              <w:keepNext/>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52C643D2" w14:textId="77777777" w:rsidR="00ED3511" w:rsidRPr="001B4A02" w:rsidRDefault="00000000" w:rsidP="00ED48A3">
            <w:pPr>
              <w:pStyle w:val="EMEANormal"/>
              <w:keepNext/>
              <w:rPr>
                <w:szCs w:val="22"/>
                <w:lang w:val="cs-CZ"/>
              </w:rPr>
            </w:pPr>
            <w:r w:rsidRPr="001B4A02">
              <w:rPr>
                <w:szCs w:val="22"/>
                <w:lang w:val="cs-CZ"/>
              </w:rPr>
              <w:t>Hepatitida,</w:t>
            </w:r>
          </w:p>
          <w:p w14:paraId="1B24A828" w14:textId="77777777" w:rsidR="00ED3511" w:rsidRPr="001B4A02" w:rsidRDefault="00000000" w:rsidP="00ED48A3">
            <w:pPr>
              <w:pStyle w:val="EMEANormal"/>
              <w:keepNext/>
              <w:rPr>
                <w:szCs w:val="22"/>
                <w:lang w:val="cs-CZ"/>
              </w:rPr>
            </w:pPr>
            <w:r w:rsidRPr="001B4A02">
              <w:rPr>
                <w:szCs w:val="22"/>
                <w:lang w:val="cs-CZ"/>
              </w:rPr>
              <w:t>reaktivace hepatitidy B</w:t>
            </w:r>
            <w:r w:rsidRPr="001B4A02">
              <w:rPr>
                <w:szCs w:val="22"/>
                <w:vertAlign w:val="superscript"/>
                <w:lang w:val="cs-CZ"/>
              </w:rPr>
              <w:t>1)</w:t>
            </w:r>
            <w:r w:rsidR="00D95B9A" w:rsidRPr="001B4A02">
              <w:rPr>
                <w:szCs w:val="22"/>
                <w:lang w:val="cs-CZ"/>
              </w:rPr>
              <w:t>,</w:t>
            </w:r>
          </w:p>
          <w:p w14:paraId="6853CA57" w14:textId="77777777" w:rsidR="00ED3511" w:rsidRPr="001B4A02" w:rsidRDefault="00000000" w:rsidP="00ED48A3">
            <w:pPr>
              <w:pStyle w:val="EMEANormal"/>
              <w:keepNext/>
              <w:rPr>
                <w:szCs w:val="22"/>
                <w:lang w:val="cs-CZ"/>
              </w:rPr>
            </w:pPr>
            <w:r w:rsidRPr="001B4A02">
              <w:rPr>
                <w:szCs w:val="22"/>
                <w:lang w:val="cs-CZ"/>
              </w:rPr>
              <w:t>autoimunní hepatitida</w:t>
            </w:r>
            <w:r w:rsidRPr="001B4A02">
              <w:rPr>
                <w:szCs w:val="22"/>
                <w:vertAlign w:val="superscript"/>
                <w:lang w:val="cs-CZ"/>
              </w:rPr>
              <w:t>1)</w:t>
            </w:r>
          </w:p>
          <w:p w14:paraId="71865434" w14:textId="77777777" w:rsidR="00ED3511" w:rsidRPr="001B4A02" w:rsidRDefault="00ED3511" w:rsidP="00ED48A3">
            <w:pPr>
              <w:pStyle w:val="EMEANormal"/>
              <w:keepNext/>
              <w:rPr>
                <w:szCs w:val="22"/>
                <w:lang w:val="cs-CZ"/>
              </w:rPr>
            </w:pPr>
          </w:p>
        </w:tc>
      </w:tr>
      <w:tr w:rsidR="00534A2D" w14:paraId="60BBFA1B" w14:textId="77777777" w:rsidTr="00DB7D9B">
        <w:trPr>
          <w:trHeight w:val="390"/>
          <w:jc w:val="center"/>
        </w:trPr>
        <w:tc>
          <w:tcPr>
            <w:tcW w:w="0" w:type="auto"/>
            <w:vMerge/>
            <w:tcBorders>
              <w:left w:val="single" w:sz="4" w:space="0" w:color="auto"/>
              <w:bottom w:val="nil"/>
              <w:right w:val="single" w:sz="4" w:space="0" w:color="auto"/>
            </w:tcBorders>
            <w:vAlign w:val="center"/>
          </w:tcPr>
          <w:p w14:paraId="7FC3B9EA" w14:textId="77777777" w:rsidR="00ED3511" w:rsidRPr="001B4A02" w:rsidRDefault="00ED3511" w:rsidP="00ED48A3">
            <w:pPr>
              <w:keepNext/>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12C03EA5" w14:textId="77777777" w:rsidR="00ED3511" w:rsidRPr="001B4A02" w:rsidRDefault="00000000" w:rsidP="00ED48A3">
            <w:pPr>
              <w:pStyle w:val="EMEANormal"/>
              <w:keepNext/>
              <w:rPr>
                <w:szCs w:val="22"/>
                <w:lang w:val="cs-CZ"/>
              </w:rPr>
            </w:pPr>
            <w:r w:rsidRPr="001B4A02">
              <w:rPr>
                <w:szCs w:val="22"/>
                <w:lang w:val="cs-CZ"/>
              </w:rPr>
              <w:t>Není známo</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7430047F" w14:textId="77777777" w:rsidR="00ED3511" w:rsidRPr="001B4A02" w:rsidRDefault="00000000" w:rsidP="00ED48A3">
            <w:pPr>
              <w:pStyle w:val="EMEANormal"/>
              <w:keepNext/>
              <w:rPr>
                <w:szCs w:val="22"/>
                <w:lang w:val="cs-CZ"/>
              </w:rPr>
            </w:pPr>
            <w:r w:rsidRPr="001B4A02">
              <w:rPr>
                <w:szCs w:val="22"/>
                <w:lang w:val="cs-CZ"/>
              </w:rPr>
              <w:t>Selhání jater</w:t>
            </w:r>
            <w:r w:rsidRPr="001B4A02">
              <w:rPr>
                <w:szCs w:val="22"/>
                <w:vertAlign w:val="superscript"/>
                <w:lang w:val="cs-CZ"/>
              </w:rPr>
              <w:t>1)</w:t>
            </w:r>
          </w:p>
          <w:p w14:paraId="7129840E" w14:textId="77777777" w:rsidR="00A507B3" w:rsidRPr="001B4A02" w:rsidRDefault="00A507B3" w:rsidP="00ED48A3">
            <w:pPr>
              <w:pStyle w:val="EMEANormal"/>
              <w:keepNext/>
              <w:rPr>
                <w:szCs w:val="22"/>
                <w:lang w:val="cs-CZ"/>
              </w:rPr>
            </w:pPr>
          </w:p>
        </w:tc>
      </w:tr>
      <w:tr w:rsidR="00534A2D" w14:paraId="77E089D4" w14:textId="77777777" w:rsidTr="00DB7D9B">
        <w:trPr>
          <w:cantSplit/>
          <w:trHeight w:val="127"/>
          <w:jc w:val="center"/>
        </w:trPr>
        <w:tc>
          <w:tcPr>
            <w:tcW w:w="2880" w:type="dxa"/>
            <w:vMerge w:val="restart"/>
            <w:tcBorders>
              <w:top w:val="single" w:sz="4" w:space="0" w:color="auto"/>
              <w:left w:val="single" w:sz="4" w:space="0" w:color="auto"/>
              <w:right w:val="single" w:sz="4" w:space="0" w:color="auto"/>
            </w:tcBorders>
          </w:tcPr>
          <w:p w14:paraId="2676C2BD" w14:textId="77777777" w:rsidR="006855DE" w:rsidRPr="001B4A02" w:rsidRDefault="00000000" w:rsidP="00ED48A3">
            <w:pPr>
              <w:pStyle w:val="EMEANormal"/>
              <w:tabs>
                <w:tab w:val="left" w:pos="0"/>
              </w:tabs>
              <w:rPr>
                <w:szCs w:val="22"/>
                <w:lang w:val="cs-CZ"/>
              </w:rPr>
            </w:pPr>
            <w:r w:rsidRPr="001B4A02">
              <w:rPr>
                <w:szCs w:val="22"/>
                <w:lang w:val="cs-CZ"/>
              </w:rPr>
              <w:t>Poruchy kůže</w:t>
            </w:r>
            <w:r>
              <w:rPr>
                <w:szCs w:val="22"/>
                <w:lang w:val="cs-CZ"/>
              </w:rPr>
              <w:t xml:space="preserve"> a </w:t>
            </w:r>
            <w:r w:rsidRPr="001B4A02">
              <w:rPr>
                <w:szCs w:val="22"/>
                <w:lang w:val="cs-CZ"/>
              </w:rPr>
              <w:t>podkožní tkáně</w:t>
            </w:r>
          </w:p>
        </w:tc>
        <w:tc>
          <w:tcPr>
            <w:tcW w:w="1440" w:type="dxa"/>
            <w:tcBorders>
              <w:top w:val="single" w:sz="4" w:space="0" w:color="auto"/>
              <w:left w:val="single" w:sz="4" w:space="0" w:color="auto"/>
              <w:bottom w:val="single" w:sz="4" w:space="0" w:color="auto"/>
              <w:right w:val="single" w:sz="4" w:space="0" w:color="auto"/>
            </w:tcBorders>
          </w:tcPr>
          <w:p w14:paraId="351999D6" w14:textId="77777777" w:rsidR="006855DE" w:rsidRPr="001B4A02" w:rsidRDefault="00000000" w:rsidP="00ED48A3">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322F8407" w14:textId="77777777" w:rsidR="006855DE" w:rsidRPr="001B4A02" w:rsidRDefault="00000000" w:rsidP="00ED48A3">
            <w:pPr>
              <w:pStyle w:val="EMEANormal"/>
              <w:rPr>
                <w:szCs w:val="22"/>
                <w:lang w:val="cs-CZ"/>
              </w:rPr>
            </w:pPr>
            <w:r w:rsidRPr="001B4A02">
              <w:rPr>
                <w:szCs w:val="22"/>
                <w:lang w:val="cs-CZ"/>
              </w:rPr>
              <w:t>Rash (včetně exfoliativního rashe)</w:t>
            </w:r>
          </w:p>
          <w:p w14:paraId="63E8DFDA" w14:textId="77777777" w:rsidR="006855DE" w:rsidRPr="001B4A02" w:rsidRDefault="006855DE" w:rsidP="00ED48A3">
            <w:pPr>
              <w:pStyle w:val="EMEANormal"/>
              <w:rPr>
                <w:szCs w:val="22"/>
                <w:lang w:val="cs-CZ"/>
              </w:rPr>
            </w:pPr>
          </w:p>
        </w:tc>
      </w:tr>
      <w:tr w:rsidR="00534A2D" w14:paraId="544CE093" w14:textId="77777777" w:rsidTr="00DB7D9B">
        <w:trPr>
          <w:cantSplit/>
          <w:trHeight w:val="127"/>
          <w:jc w:val="center"/>
        </w:trPr>
        <w:tc>
          <w:tcPr>
            <w:tcW w:w="0" w:type="auto"/>
            <w:vMerge/>
            <w:tcBorders>
              <w:left w:val="single" w:sz="4" w:space="0" w:color="auto"/>
              <w:right w:val="single" w:sz="4" w:space="0" w:color="auto"/>
            </w:tcBorders>
            <w:vAlign w:val="center"/>
          </w:tcPr>
          <w:p w14:paraId="7C148FD6" w14:textId="77777777" w:rsidR="006855DE" w:rsidRPr="001B4A02" w:rsidRDefault="006855DE"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3BDEEE77" w14:textId="77777777" w:rsidR="006855DE"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726F3075" w14:textId="77777777" w:rsidR="006855DE" w:rsidRPr="001B4A02" w:rsidRDefault="00000000" w:rsidP="00ED48A3">
            <w:pPr>
              <w:pStyle w:val="EMEANormal"/>
              <w:rPr>
                <w:lang w:val="cs-CZ"/>
              </w:rPr>
            </w:pPr>
            <w:r w:rsidRPr="001B4A02">
              <w:rPr>
                <w:lang w:val="cs-CZ"/>
              </w:rPr>
              <w:t>Nový výskyt nebo zhoršení psoriázy (včetně palmoplantární pustulózní psoriázy)</w:t>
            </w:r>
            <w:r w:rsidRPr="001B4A02">
              <w:rPr>
                <w:szCs w:val="22"/>
                <w:vertAlign w:val="superscript"/>
                <w:lang w:val="cs-CZ"/>
              </w:rPr>
              <w:t>1)</w:t>
            </w:r>
            <w:r w:rsidRPr="001B4A02">
              <w:rPr>
                <w:lang w:val="cs-CZ"/>
              </w:rPr>
              <w:t>,</w:t>
            </w:r>
          </w:p>
          <w:p w14:paraId="2EA2E18E" w14:textId="77777777" w:rsidR="006855DE" w:rsidRPr="001B4A02" w:rsidRDefault="00000000" w:rsidP="00ED48A3">
            <w:pPr>
              <w:pStyle w:val="EMEANormal"/>
              <w:rPr>
                <w:szCs w:val="22"/>
                <w:lang w:val="cs-CZ"/>
              </w:rPr>
            </w:pPr>
            <w:r w:rsidRPr="001B4A02">
              <w:rPr>
                <w:szCs w:val="22"/>
                <w:lang w:val="cs-CZ"/>
              </w:rPr>
              <w:t>urtikarie,</w:t>
            </w:r>
          </w:p>
          <w:p w14:paraId="39B3D18A" w14:textId="77777777" w:rsidR="006855DE" w:rsidRPr="001B4A02" w:rsidRDefault="00000000" w:rsidP="00ED48A3">
            <w:pPr>
              <w:pStyle w:val="EMEANormal"/>
              <w:rPr>
                <w:szCs w:val="22"/>
                <w:lang w:val="cs-CZ"/>
              </w:rPr>
            </w:pPr>
            <w:r w:rsidRPr="001B4A02">
              <w:rPr>
                <w:szCs w:val="22"/>
                <w:lang w:val="cs-CZ"/>
              </w:rPr>
              <w:t>tvorba modřin (včetně purpury),</w:t>
            </w:r>
          </w:p>
          <w:p w14:paraId="427A6384" w14:textId="77777777" w:rsidR="006855DE" w:rsidRPr="001B4A02" w:rsidRDefault="00000000" w:rsidP="00ED48A3">
            <w:pPr>
              <w:pStyle w:val="EMEANormal"/>
              <w:rPr>
                <w:szCs w:val="22"/>
                <w:lang w:val="cs-CZ"/>
              </w:rPr>
            </w:pPr>
            <w:r w:rsidRPr="001B4A02">
              <w:rPr>
                <w:szCs w:val="22"/>
                <w:lang w:val="cs-CZ"/>
              </w:rPr>
              <w:t>dermatitida (včetně ekzému),</w:t>
            </w:r>
          </w:p>
          <w:p w14:paraId="6C488442" w14:textId="77777777" w:rsidR="006855DE" w:rsidRPr="001B4A02" w:rsidRDefault="00000000" w:rsidP="00ED48A3">
            <w:pPr>
              <w:pStyle w:val="EMEANormal"/>
              <w:rPr>
                <w:szCs w:val="22"/>
                <w:lang w:val="cs-CZ"/>
              </w:rPr>
            </w:pPr>
            <w:r w:rsidRPr="001B4A02">
              <w:rPr>
                <w:szCs w:val="22"/>
                <w:lang w:val="cs-CZ"/>
              </w:rPr>
              <w:t>onychoklázie,</w:t>
            </w:r>
          </w:p>
          <w:p w14:paraId="3506D8DB" w14:textId="77777777" w:rsidR="006855DE" w:rsidRPr="001B4A02" w:rsidRDefault="00000000" w:rsidP="00ED48A3">
            <w:pPr>
              <w:pStyle w:val="EMEANormal"/>
              <w:rPr>
                <w:szCs w:val="22"/>
                <w:lang w:val="cs-CZ"/>
              </w:rPr>
            </w:pPr>
            <w:r w:rsidRPr="001B4A02">
              <w:rPr>
                <w:szCs w:val="22"/>
                <w:lang w:val="cs-CZ"/>
              </w:rPr>
              <w:t>hyperhidróza,</w:t>
            </w:r>
          </w:p>
          <w:p w14:paraId="62BA0D38" w14:textId="77777777" w:rsidR="006855DE" w:rsidRPr="001B4A02" w:rsidRDefault="00000000" w:rsidP="00ED48A3">
            <w:pPr>
              <w:pStyle w:val="EMEANormal"/>
              <w:rPr>
                <w:szCs w:val="22"/>
                <w:lang w:val="cs-CZ"/>
              </w:rPr>
            </w:pPr>
            <w:r w:rsidRPr="001B4A02">
              <w:rPr>
                <w:szCs w:val="22"/>
                <w:lang w:val="cs-CZ"/>
              </w:rPr>
              <w:t>alopecie</w:t>
            </w:r>
            <w:r w:rsidRPr="001B4A02">
              <w:rPr>
                <w:szCs w:val="22"/>
                <w:vertAlign w:val="superscript"/>
                <w:lang w:val="cs-CZ"/>
              </w:rPr>
              <w:t>1)</w:t>
            </w:r>
            <w:r w:rsidRPr="001B4A02">
              <w:rPr>
                <w:szCs w:val="22"/>
                <w:lang w:val="cs-CZ"/>
              </w:rPr>
              <w:t>,</w:t>
            </w:r>
          </w:p>
          <w:p w14:paraId="1699F803" w14:textId="77777777" w:rsidR="006855DE" w:rsidRPr="001B4A02" w:rsidRDefault="00000000" w:rsidP="00ED48A3">
            <w:pPr>
              <w:pStyle w:val="EMEANormal"/>
              <w:rPr>
                <w:szCs w:val="22"/>
                <w:lang w:val="cs-CZ"/>
              </w:rPr>
            </w:pPr>
            <w:r w:rsidRPr="001B4A02">
              <w:rPr>
                <w:szCs w:val="22"/>
                <w:lang w:val="cs-CZ"/>
              </w:rPr>
              <w:t>pruritus</w:t>
            </w:r>
          </w:p>
          <w:p w14:paraId="2BCC3653" w14:textId="77777777" w:rsidR="006855DE" w:rsidRPr="001B4A02" w:rsidRDefault="006855DE" w:rsidP="00ED48A3">
            <w:pPr>
              <w:pStyle w:val="EMEANormal"/>
              <w:rPr>
                <w:szCs w:val="22"/>
                <w:lang w:val="cs-CZ"/>
              </w:rPr>
            </w:pPr>
          </w:p>
        </w:tc>
      </w:tr>
      <w:tr w:rsidR="00534A2D" w14:paraId="39C3C0C2" w14:textId="77777777" w:rsidTr="00DB7D9B">
        <w:trPr>
          <w:cantSplit/>
          <w:trHeight w:val="132"/>
          <w:jc w:val="center"/>
        </w:trPr>
        <w:tc>
          <w:tcPr>
            <w:tcW w:w="0" w:type="auto"/>
            <w:vMerge/>
            <w:tcBorders>
              <w:left w:val="single" w:sz="4" w:space="0" w:color="auto"/>
              <w:right w:val="single" w:sz="4" w:space="0" w:color="auto"/>
            </w:tcBorders>
            <w:vAlign w:val="center"/>
          </w:tcPr>
          <w:p w14:paraId="245039C0" w14:textId="77777777" w:rsidR="006855DE" w:rsidRPr="001B4A02" w:rsidRDefault="006855DE"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34C44621" w14:textId="77777777" w:rsidR="006855DE"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68C32F7C" w14:textId="77777777" w:rsidR="006855DE" w:rsidRPr="001B4A02" w:rsidRDefault="00000000" w:rsidP="00ED48A3">
            <w:pPr>
              <w:pStyle w:val="EMEANormal"/>
              <w:rPr>
                <w:szCs w:val="22"/>
                <w:lang w:val="cs-CZ"/>
              </w:rPr>
            </w:pPr>
            <w:r w:rsidRPr="001B4A02">
              <w:rPr>
                <w:szCs w:val="22"/>
                <w:lang w:val="cs-CZ"/>
              </w:rPr>
              <w:t>Noční pocení,</w:t>
            </w:r>
          </w:p>
          <w:p w14:paraId="23019D89" w14:textId="77777777" w:rsidR="006855DE" w:rsidRPr="001B4A02" w:rsidRDefault="00000000" w:rsidP="00ED48A3">
            <w:pPr>
              <w:pStyle w:val="EMEANormal"/>
              <w:rPr>
                <w:szCs w:val="22"/>
                <w:lang w:val="cs-CZ"/>
              </w:rPr>
            </w:pPr>
            <w:r w:rsidRPr="001B4A02">
              <w:rPr>
                <w:szCs w:val="22"/>
                <w:lang w:val="cs-CZ"/>
              </w:rPr>
              <w:t>zjizvení</w:t>
            </w:r>
          </w:p>
          <w:p w14:paraId="1005636B" w14:textId="77777777" w:rsidR="006855DE" w:rsidRPr="001B4A02" w:rsidRDefault="006855DE" w:rsidP="00ED48A3">
            <w:pPr>
              <w:pStyle w:val="EMEANormal"/>
              <w:rPr>
                <w:szCs w:val="22"/>
                <w:lang w:val="cs-CZ"/>
              </w:rPr>
            </w:pPr>
          </w:p>
        </w:tc>
      </w:tr>
      <w:tr w:rsidR="00534A2D" w14:paraId="306F981A" w14:textId="77777777" w:rsidTr="00DB7D9B">
        <w:trPr>
          <w:cantSplit/>
          <w:trHeight w:val="132"/>
          <w:jc w:val="center"/>
        </w:trPr>
        <w:tc>
          <w:tcPr>
            <w:tcW w:w="0" w:type="auto"/>
            <w:vMerge/>
            <w:tcBorders>
              <w:left w:val="single" w:sz="4" w:space="0" w:color="auto"/>
              <w:right w:val="single" w:sz="4" w:space="0" w:color="auto"/>
            </w:tcBorders>
            <w:vAlign w:val="center"/>
          </w:tcPr>
          <w:p w14:paraId="25C6B7DB" w14:textId="77777777" w:rsidR="006855DE" w:rsidRPr="001B4A02" w:rsidRDefault="006855DE"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53881D2E" w14:textId="77777777" w:rsidR="006855DE" w:rsidRPr="001B4A02" w:rsidRDefault="00000000" w:rsidP="006855DE">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27D458A3" w14:textId="77777777" w:rsidR="006855DE" w:rsidRPr="001B4A02" w:rsidRDefault="00000000" w:rsidP="00ED48A3">
            <w:pPr>
              <w:pStyle w:val="EMEANormal"/>
              <w:rPr>
                <w:lang w:val="cs-CZ"/>
              </w:rPr>
            </w:pPr>
            <w:r w:rsidRPr="001B4A02">
              <w:rPr>
                <w:lang w:val="cs-CZ"/>
              </w:rPr>
              <w:t>Erythema multiforme</w:t>
            </w:r>
            <w:r w:rsidRPr="001B4A02">
              <w:rPr>
                <w:szCs w:val="22"/>
                <w:vertAlign w:val="superscript"/>
                <w:lang w:val="cs-CZ"/>
              </w:rPr>
              <w:t>1)</w:t>
            </w:r>
            <w:r w:rsidRPr="001B4A02">
              <w:rPr>
                <w:lang w:val="cs-CZ"/>
              </w:rPr>
              <w:t>,</w:t>
            </w:r>
          </w:p>
          <w:p w14:paraId="18592069" w14:textId="77777777" w:rsidR="006855DE" w:rsidRPr="001B4A02" w:rsidRDefault="00000000" w:rsidP="00ED48A3">
            <w:pPr>
              <w:pStyle w:val="EMEANormal"/>
              <w:rPr>
                <w:lang w:val="cs-CZ"/>
              </w:rPr>
            </w:pPr>
            <w:r w:rsidRPr="001B4A02">
              <w:rPr>
                <w:lang w:val="cs-CZ"/>
              </w:rPr>
              <w:t>Stevens</w:t>
            </w:r>
            <w:r>
              <w:rPr>
                <w:lang w:val="cs-CZ"/>
              </w:rPr>
              <w:t>ův</w:t>
            </w:r>
            <w:r w:rsidRPr="001B4A02">
              <w:rPr>
                <w:lang w:val="cs-CZ"/>
              </w:rPr>
              <w:t>-Johnsonův syndrom</w:t>
            </w:r>
            <w:r w:rsidRPr="001B4A02">
              <w:rPr>
                <w:szCs w:val="22"/>
                <w:vertAlign w:val="superscript"/>
                <w:lang w:val="cs-CZ"/>
              </w:rPr>
              <w:t>1)</w:t>
            </w:r>
            <w:r w:rsidRPr="001B4A02">
              <w:rPr>
                <w:lang w:val="cs-CZ"/>
              </w:rPr>
              <w:t>,</w:t>
            </w:r>
          </w:p>
          <w:p w14:paraId="2E3D22A7" w14:textId="77777777" w:rsidR="006855DE" w:rsidRPr="001B4A02" w:rsidRDefault="00000000" w:rsidP="00ED48A3">
            <w:pPr>
              <w:pStyle w:val="EMEANormal"/>
              <w:rPr>
                <w:lang w:val="cs-CZ"/>
              </w:rPr>
            </w:pPr>
            <w:r w:rsidRPr="001B4A02">
              <w:rPr>
                <w:lang w:val="cs-CZ"/>
              </w:rPr>
              <w:t>angioedém</w:t>
            </w:r>
            <w:r w:rsidRPr="001B4A02">
              <w:rPr>
                <w:szCs w:val="22"/>
                <w:vertAlign w:val="superscript"/>
                <w:lang w:val="cs-CZ"/>
              </w:rPr>
              <w:t>1)</w:t>
            </w:r>
            <w:r w:rsidRPr="001B4A02">
              <w:rPr>
                <w:lang w:val="cs-CZ"/>
              </w:rPr>
              <w:t>,</w:t>
            </w:r>
          </w:p>
          <w:p w14:paraId="7A673795" w14:textId="77777777" w:rsidR="006855DE" w:rsidRPr="00AA3D24" w:rsidRDefault="00000000" w:rsidP="00ED48A3">
            <w:pPr>
              <w:pStyle w:val="EMEANormal"/>
              <w:rPr>
                <w:szCs w:val="22"/>
                <w:lang w:val="cs-CZ"/>
              </w:rPr>
            </w:pPr>
            <w:r w:rsidRPr="001B4A02">
              <w:rPr>
                <w:szCs w:val="22"/>
                <w:lang w:val="cs-CZ"/>
              </w:rPr>
              <w:t>kožní vaskulitida</w:t>
            </w:r>
            <w:r w:rsidRPr="001B4A02">
              <w:rPr>
                <w:szCs w:val="22"/>
                <w:vertAlign w:val="superscript"/>
                <w:lang w:val="cs-CZ"/>
              </w:rPr>
              <w:t>1)</w:t>
            </w:r>
            <w:r>
              <w:rPr>
                <w:szCs w:val="22"/>
                <w:lang w:val="cs-CZ"/>
              </w:rPr>
              <w:t>,</w:t>
            </w:r>
          </w:p>
          <w:p w14:paraId="64CC43F1" w14:textId="77777777" w:rsidR="006855DE" w:rsidRDefault="00000000" w:rsidP="00CA3763">
            <w:pPr>
              <w:pStyle w:val="EMEANormal"/>
              <w:rPr>
                <w:szCs w:val="22"/>
                <w:lang w:val="cs-CZ"/>
              </w:rPr>
            </w:pPr>
            <w:r>
              <w:rPr>
                <w:szCs w:val="22"/>
                <w:lang w:val="cs-CZ"/>
              </w:rPr>
              <w:t>lichenoidní kožní reakce</w:t>
            </w:r>
            <w:r w:rsidRPr="001B4A02">
              <w:rPr>
                <w:szCs w:val="22"/>
                <w:vertAlign w:val="superscript"/>
                <w:lang w:val="cs-CZ"/>
              </w:rPr>
              <w:t>1</w:t>
            </w:r>
            <w:r>
              <w:rPr>
                <w:szCs w:val="22"/>
                <w:vertAlign w:val="superscript"/>
                <w:lang w:val="cs-CZ"/>
              </w:rPr>
              <w:t>)</w:t>
            </w:r>
          </w:p>
          <w:p w14:paraId="0B575549" w14:textId="77777777" w:rsidR="006855DE" w:rsidRPr="001B4A02" w:rsidRDefault="006855DE" w:rsidP="00ED48A3">
            <w:pPr>
              <w:pStyle w:val="EMEANormal"/>
              <w:rPr>
                <w:szCs w:val="22"/>
                <w:lang w:val="cs-CZ"/>
              </w:rPr>
            </w:pPr>
          </w:p>
        </w:tc>
      </w:tr>
      <w:tr w:rsidR="00534A2D" w14:paraId="5C73FE38" w14:textId="77777777" w:rsidTr="00336B48">
        <w:trPr>
          <w:cantSplit/>
          <w:trHeight w:val="132"/>
          <w:jc w:val="center"/>
        </w:trPr>
        <w:tc>
          <w:tcPr>
            <w:tcW w:w="0" w:type="auto"/>
            <w:vMerge/>
            <w:tcBorders>
              <w:left w:val="single" w:sz="4" w:space="0" w:color="auto"/>
              <w:bottom w:val="single" w:sz="4" w:space="0" w:color="auto"/>
              <w:right w:val="single" w:sz="4" w:space="0" w:color="auto"/>
            </w:tcBorders>
            <w:vAlign w:val="center"/>
          </w:tcPr>
          <w:p w14:paraId="442AFB55" w14:textId="77777777" w:rsidR="006855DE" w:rsidRPr="001B4A02" w:rsidRDefault="006855DE"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3FF8B635" w14:textId="77777777" w:rsidR="006855DE" w:rsidRPr="001B4A02" w:rsidRDefault="00000000" w:rsidP="00ED48A3">
            <w:pPr>
              <w:pStyle w:val="EMEANormal"/>
              <w:rPr>
                <w:szCs w:val="22"/>
                <w:lang w:val="cs-CZ"/>
              </w:rPr>
            </w:pPr>
            <w:r w:rsidRPr="001B4A02">
              <w:rPr>
                <w:szCs w:val="22"/>
                <w:lang w:val="cs-CZ"/>
              </w:rPr>
              <w:t>Není známo</w:t>
            </w:r>
          </w:p>
        </w:tc>
        <w:tc>
          <w:tcPr>
            <w:tcW w:w="4689" w:type="dxa"/>
            <w:tcBorders>
              <w:top w:val="single" w:sz="4" w:space="0" w:color="auto"/>
              <w:left w:val="single" w:sz="4" w:space="0" w:color="auto"/>
              <w:bottom w:val="single" w:sz="4" w:space="0" w:color="auto"/>
              <w:right w:val="single" w:sz="4" w:space="0" w:color="auto"/>
            </w:tcBorders>
          </w:tcPr>
          <w:p w14:paraId="4372F049" w14:textId="77777777" w:rsidR="006855DE" w:rsidRPr="001B4A02" w:rsidRDefault="00000000" w:rsidP="006855DE">
            <w:pPr>
              <w:pStyle w:val="EMEANormal"/>
              <w:rPr>
                <w:szCs w:val="22"/>
                <w:lang w:val="cs-CZ"/>
              </w:rPr>
            </w:pPr>
            <w:r w:rsidRPr="001B4A02">
              <w:rPr>
                <w:szCs w:val="22"/>
                <w:lang w:val="cs-CZ"/>
              </w:rPr>
              <w:t>Zhoršení příznaků dermatomyozitidy</w:t>
            </w:r>
            <w:r w:rsidRPr="001B4A02">
              <w:rPr>
                <w:szCs w:val="22"/>
                <w:vertAlign w:val="superscript"/>
                <w:lang w:val="cs-CZ"/>
              </w:rPr>
              <w:t>1)</w:t>
            </w:r>
          </w:p>
          <w:p w14:paraId="2B7902FA" w14:textId="77777777" w:rsidR="006855DE" w:rsidRPr="001B4A02" w:rsidRDefault="006855DE" w:rsidP="006855DE">
            <w:pPr>
              <w:pStyle w:val="EMEANormal"/>
              <w:rPr>
                <w:lang w:val="cs-CZ"/>
              </w:rPr>
            </w:pPr>
          </w:p>
        </w:tc>
      </w:tr>
      <w:tr w:rsidR="00534A2D" w14:paraId="622C8CFE" w14:textId="77777777" w:rsidTr="00DB7D9B">
        <w:trPr>
          <w:cantSplit/>
          <w:trHeight w:val="86"/>
          <w:jc w:val="center"/>
        </w:trPr>
        <w:tc>
          <w:tcPr>
            <w:tcW w:w="2880" w:type="dxa"/>
            <w:vMerge w:val="restart"/>
            <w:tcBorders>
              <w:top w:val="single" w:sz="4" w:space="0" w:color="auto"/>
              <w:left w:val="single" w:sz="4" w:space="0" w:color="auto"/>
              <w:bottom w:val="single" w:sz="4" w:space="0" w:color="auto"/>
              <w:right w:val="single" w:sz="4" w:space="0" w:color="auto"/>
            </w:tcBorders>
          </w:tcPr>
          <w:p w14:paraId="68EC9C88" w14:textId="77777777" w:rsidR="00ED3511" w:rsidRPr="001B4A02" w:rsidRDefault="00000000" w:rsidP="00ED48A3">
            <w:pPr>
              <w:tabs>
                <w:tab w:val="left" w:pos="0"/>
              </w:tabs>
              <w:ind w:left="0" w:firstLine="0"/>
              <w:rPr>
                <w:szCs w:val="22"/>
              </w:rPr>
            </w:pPr>
            <w:r w:rsidRPr="001B4A02">
              <w:rPr>
                <w:szCs w:val="22"/>
              </w:rPr>
              <w:t xml:space="preserve">Poruchy </w:t>
            </w:r>
            <w:r w:rsidR="007C35FF" w:rsidRPr="001B4A02">
              <w:rPr>
                <w:szCs w:val="22"/>
              </w:rPr>
              <w:t>svalové</w:t>
            </w:r>
            <w:r w:rsidR="002378E0">
              <w:rPr>
                <w:szCs w:val="22"/>
              </w:rPr>
              <w:t xml:space="preserve"> a </w:t>
            </w:r>
            <w:r w:rsidR="007C35FF" w:rsidRPr="001B4A02">
              <w:rPr>
                <w:szCs w:val="22"/>
              </w:rPr>
              <w:t>kosterní soustavy</w:t>
            </w:r>
            <w:r w:rsidR="002378E0">
              <w:rPr>
                <w:szCs w:val="22"/>
              </w:rPr>
              <w:t xml:space="preserve"> a </w:t>
            </w:r>
            <w:r w:rsidRPr="001B4A02">
              <w:rPr>
                <w:szCs w:val="22"/>
              </w:rPr>
              <w:t>pojivové tkáně</w:t>
            </w:r>
          </w:p>
        </w:tc>
        <w:tc>
          <w:tcPr>
            <w:tcW w:w="1440" w:type="dxa"/>
            <w:tcBorders>
              <w:top w:val="single" w:sz="4" w:space="0" w:color="auto"/>
              <w:left w:val="single" w:sz="4" w:space="0" w:color="auto"/>
              <w:bottom w:val="single" w:sz="4" w:space="0" w:color="auto"/>
              <w:right w:val="single" w:sz="4" w:space="0" w:color="auto"/>
            </w:tcBorders>
          </w:tcPr>
          <w:p w14:paraId="583E06B7" w14:textId="77777777" w:rsidR="00ED3511" w:rsidRPr="001B4A02" w:rsidRDefault="00000000" w:rsidP="00ED48A3">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5E94773D" w14:textId="77777777" w:rsidR="00ED3511" w:rsidRPr="001B4A02" w:rsidRDefault="00000000" w:rsidP="00ED48A3">
            <w:pPr>
              <w:pStyle w:val="EMEANormal"/>
              <w:tabs>
                <w:tab w:val="clear" w:pos="562"/>
                <w:tab w:val="left" w:pos="708"/>
              </w:tabs>
              <w:suppressAutoHyphens w:val="0"/>
              <w:rPr>
                <w:lang w:val="cs-CZ"/>
              </w:rPr>
            </w:pPr>
            <w:r w:rsidRPr="001B4A02">
              <w:rPr>
                <w:lang w:val="cs-CZ"/>
              </w:rPr>
              <w:t>Muskuloskeletální bolest</w:t>
            </w:r>
          </w:p>
          <w:p w14:paraId="00AF5A6C" w14:textId="77777777" w:rsidR="00ED3511" w:rsidRPr="001B4A02" w:rsidRDefault="00ED3511" w:rsidP="00ED48A3">
            <w:pPr>
              <w:pStyle w:val="EMEANormal"/>
              <w:tabs>
                <w:tab w:val="clear" w:pos="562"/>
                <w:tab w:val="left" w:pos="708"/>
              </w:tabs>
              <w:suppressAutoHyphens w:val="0"/>
              <w:rPr>
                <w:lang w:val="cs-CZ"/>
              </w:rPr>
            </w:pPr>
          </w:p>
        </w:tc>
      </w:tr>
      <w:tr w:rsidR="00534A2D" w14:paraId="1F080CE6" w14:textId="77777777" w:rsidTr="00DB7D9B">
        <w:trPr>
          <w:cantSplit/>
          <w:trHeight w:val="8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229C91C"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78151E7F" w14:textId="77777777" w:rsidR="00ED351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5D3FDA7B" w14:textId="77777777" w:rsidR="00ED3511" w:rsidRPr="001B4A02" w:rsidRDefault="00000000" w:rsidP="00ED48A3">
            <w:pPr>
              <w:pStyle w:val="EMEANormal"/>
              <w:tabs>
                <w:tab w:val="clear" w:pos="562"/>
                <w:tab w:val="left" w:pos="708"/>
              </w:tabs>
              <w:suppressAutoHyphens w:val="0"/>
              <w:rPr>
                <w:lang w:val="cs-CZ"/>
              </w:rPr>
            </w:pPr>
            <w:r w:rsidRPr="001B4A02">
              <w:rPr>
                <w:lang w:val="cs-CZ"/>
              </w:rPr>
              <w:t>Svalové spasmy (včetně zvýšení kreatinfosfokinázy v krvi)</w:t>
            </w:r>
          </w:p>
          <w:p w14:paraId="75AD93B2" w14:textId="77777777" w:rsidR="00ED3511" w:rsidRPr="001B4A02" w:rsidRDefault="00ED3511" w:rsidP="00ED48A3">
            <w:pPr>
              <w:pStyle w:val="EMEANormal"/>
              <w:tabs>
                <w:tab w:val="clear" w:pos="562"/>
                <w:tab w:val="left" w:pos="708"/>
              </w:tabs>
              <w:suppressAutoHyphens w:val="0"/>
              <w:rPr>
                <w:lang w:val="cs-CZ"/>
              </w:rPr>
            </w:pPr>
          </w:p>
        </w:tc>
      </w:tr>
      <w:tr w:rsidR="00534A2D" w14:paraId="585A105F" w14:textId="77777777" w:rsidTr="00DB7D9B">
        <w:trPr>
          <w:cantSplit/>
          <w:trHeight w:val="8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2E3A980"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42EA5417" w14:textId="77777777" w:rsidR="00ED3511"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32A8BFDC" w14:textId="77777777" w:rsidR="00ED3511" w:rsidRPr="001B4A02" w:rsidRDefault="00000000" w:rsidP="00ED48A3">
            <w:pPr>
              <w:pStyle w:val="EMEANormal"/>
              <w:tabs>
                <w:tab w:val="clear" w:pos="562"/>
                <w:tab w:val="left" w:pos="708"/>
              </w:tabs>
              <w:suppressAutoHyphens w:val="0"/>
              <w:rPr>
                <w:lang w:val="cs-CZ"/>
              </w:rPr>
            </w:pPr>
            <w:r w:rsidRPr="001B4A02">
              <w:rPr>
                <w:lang w:val="cs-CZ"/>
              </w:rPr>
              <w:t>Rhabdomyolýza,</w:t>
            </w:r>
          </w:p>
          <w:p w14:paraId="0ED53C08" w14:textId="77777777" w:rsidR="00ED3511" w:rsidRPr="001B4A02" w:rsidRDefault="00000000" w:rsidP="00ED48A3">
            <w:pPr>
              <w:pStyle w:val="EMEANormal"/>
              <w:tabs>
                <w:tab w:val="clear" w:pos="562"/>
                <w:tab w:val="left" w:pos="708"/>
              </w:tabs>
              <w:suppressAutoHyphens w:val="0"/>
              <w:rPr>
                <w:lang w:val="cs-CZ"/>
              </w:rPr>
            </w:pPr>
            <w:r w:rsidRPr="001B4A02">
              <w:rPr>
                <w:lang w:val="cs-CZ"/>
              </w:rPr>
              <w:t>systémový lupus eryt</w:t>
            </w:r>
            <w:r w:rsidR="00936E7B">
              <w:rPr>
                <w:lang w:val="cs-CZ"/>
              </w:rPr>
              <w:t>h</w:t>
            </w:r>
            <w:r w:rsidR="00936E7B" w:rsidRPr="001B4A02">
              <w:rPr>
                <w:lang w:val="cs-CZ"/>
              </w:rPr>
              <w:t>emato</w:t>
            </w:r>
            <w:r w:rsidR="00936E7B">
              <w:rPr>
                <w:lang w:val="cs-CZ"/>
              </w:rPr>
              <w:t>des</w:t>
            </w:r>
          </w:p>
          <w:p w14:paraId="256CC1F8" w14:textId="77777777" w:rsidR="00ED3511" w:rsidRPr="001B4A02" w:rsidRDefault="00ED3511" w:rsidP="00ED48A3">
            <w:pPr>
              <w:pStyle w:val="EMEANormal"/>
              <w:tabs>
                <w:tab w:val="clear" w:pos="562"/>
                <w:tab w:val="left" w:pos="708"/>
              </w:tabs>
              <w:suppressAutoHyphens w:val="0"/>
              <w:rPr>
                <w:lang w:val="cs-CZ"/>
              </w:rPr>
            </w:pPr>
          </w:p>
        </w:tc>
      </w:tr>
      <w:tr w:rsidR="00534A2D" w14:paraId="6A263417" w14:textId="77777777" w:rsidTr="00DB7D9B">
        <w:trPr>
          <w:cantSplit/>
          <w:trHeight w:val="14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232FF15"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497071B0" w14:textId="77777777" w:rsidR="00ED3511" w:rsidRPr="001B4A02" w:rsidRDefault="00000000" w:rsidP="00ED48A3">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79C65B74" w14:textId="77777777" w:rsidR="00ED3511" w:rsidRPr="001B4A02" w:rsidRDefault="00000000" w:rsidP="00ED48A3">
            <w:pPr>
              <w:pStyle w:val="EMEANormal"/>
              <w:tabs>
                <w:tab w:val="clear" w:pos="562"/>
                <w:tab w:val="left" w:pos="708"/>
              </w:tabs>
              <w:suppressAutoHyphens w:val="0"/>
              <w:rPr>
                <w:lang w:val="cs-CZ"/>
              </w:rPr>
            </w:pPr>
            <w:r w:rsidRPr="001B4A02">
              <w:rPr>
                <w:lang w:val="cs-CZ"/>
              </w:rPr>
              <w:t>Lupus-like syndrom</w:t>
            </w:r>
            <w:r w:rsidRPr="001B4A02">
              <w:rPr>
                <w:szCs w:val="22"/>
                <w:vertAlign w:val="superscript"/>
                <w:lang w:val="cs-CZ"/>
              </w:rPr>
              <w:t>1)</w:t>
            </w:r>
          </w:p>
          <w:p w14:paraId="49AF6E45" w14:textId="77777777" w:rsidR="00ED3511" w:rsidRPr="001B4A02" w:rsidRDefault="00ED3511" w:rsidP="00ED48A3">
            <w:pPr>
              <w:pStyle w:val="EMEANormal"/>
              <w:tabs>
                <w:tab w:val="clear" w:pos="562"/>
                <w:tab w:val="left" w:pos="708"/>
              </w:tabs>
              <w:suppressAutoHyphens w:val="0"/>
              <w:rPr>
                <w:lang w:val="cs-CZ"/>
              </w:rPr>
            </w:pPr>
          </w:p>
        </w:tc>
      </w:tr>
      <w:tr w:rsidR="00534A2D" w14:paraId="3DF84FF5" w14:textId="77777777" w:rsidTr="00DB7D9B">
        <w:trPr>
          <w:cantSplit/>
          <w:trHeight w:val="392"/>
          <w:jc w:val="center"/>
        </w:trPr>
        <w:tc>
          <w:tcPr>
            <w:tcW w:w="2880" w:type="dxa"/>
            <w:vMerge w:val="restart"/>
            <w:tcBorders>
              <w:top w:val="single" w:sz="4" w:space="0" w:color="auto"/>
              <w:left w:val="single" w:sz="4" w:space="0" w:color="auto"/>
              <w:bottom w:val="single" w:sz="4" w:space="0" w:color="auto"/>
              <w:right w:val="single" w:sz="4" w:space="0" w:color="auto"/>
            </w:tcBorders>
          </w:tcPr>
          <w:p w14:paraId="56A94D31" w14:textId="77777777" w:rsidR="00ED3511" w:rsidRPr="001B4A02" w:rsidRDefault="00000000" w:rsidP="00ED48A3">
            <w:pPr>
              <w:pStyle w:val="EMEANormal"/>
              <w:tabs>
                <w:tab w:val="left" w:pos="0"/>
              </w:tabs>
              <w:rPr>
                <w:szCs w:val="22"/>
                <w:lang w:val="cs-CZ"/>
              </w:rPr>
            </w:pPr>
            <w:r w:rsidRPr="001B4A02">
              <w:rPr>
                <w:szCs w:val="22"/>
                <w:lang w:val="cs-CZ"/>
              </w:rPr>
              <w:t>Poruchy ledvin</w:t>
            </w:r>
            <w:r w:rsidR="002378E0">
              <w:rPr>
                <w:szCs w:val="22"/>
                <w:lang w:val="cs-CZ"/>
              </w:rPr>
              <w:t xml:space="preserve"> a </w:t>
            </w:r>
            <w:r w:rsidRPr="001B4A02">
              <w:rPr>
                <w:szCs w:val="22"/>
                <w:lang w:val="cs-CZ"/>
              </w:rPr>
              <w:t>močových cest</w:t>
            </w:r>
          </w:p>
        </w:tc>
        <w:tc>
          <w:tcPr>
            <w:tcW w:w="1440" w:type="dxa"/>
            <w:tcBorders>
              <w:top w:val="single" w:sz="4" w:space="0" w:color="auto"/>
              <w:left w:val="single" w:sz="4" w:space="0" w:color="auto"/>
              <w:bottom w:val="single" w:sz="4" w:space="0" w:color="auto"/>
              <w:right w:val="single" w:sz="4" w:space="0" w:color="auto"/>
            </w:tcBorders>
          </w:tcPr>
          <w:p w14:paraId="38032DCA" w14:textId="77777777" w:rsidR="00ED351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6D0061D1" w14:textId="77777777" w:rsidR="00ED3511" w:rsidRPr="001B4A02" w:rsidRDefault="00000000" w:rsidP="00ED48A3">
            <w:pPr>
              <w:pStyle w:val="EMEANormal"/>
              <w:rPr>
                <w:szCs w:val="22"/>
                <w:lang w:val="cs-CZ"/>
              </w:rPr>
            </w:pPr>
            <w:r w:rsidRPr="001B4A02">
              <w:rPr>
                <w:szCs w:val="22"/>
                <w:lang w:val="cs-CZ"/>
              </w:rPr>
              <w:t>Poškození ledvin,</w:t>
            </w:r>
          </w:p>
          <w:p w14:paraId="42B57B0C" w14:textId="77777777" w:rsidR="00ED3511" w:rsidRPr="001B4A02" w:rsidRDefault="00000000" w:rsidP="00ED48A3">
            <w:pPr>
              <w:pStyle w:val="EMEANormal"/>
              <w:rPr>
                <w:szCs w:val="22"/>
                <w:lang w:val="cs-CZ"/>
              </w:rPr>
            </w:pPr>
            <w:r w:rsidRPr="001B4A02">
              <w:rPr>
                <w:szCs w:val="22"/>
                <w:lang w:val="cs-CZ"/>
              </w:rPr>
              <w:t>hematurie</w:t>
            </w:r>
          </w:p>
          <w:p w14:paraId="473E5965" w14:textId="77777777" w:rsidR="00ED3511" w:rsidRPr="001B4A02" w:rsidRDefault="00ED3511" w:rsidP="00ED48A3">
            <w:pPr>
              <w:pStyle w:val="EMEANormal"/>
              <w:rPr>
                <w:szCs w:val="22"/>
                <w:lang w:val="cs-CZ"/>
              </w:rPr>
            </w:pPr>
          </w:p>
        </w:tc>
      </w:tr>
      <w:tr w:rsidR="00534A2D" w14:paraId="1A2BD2E1" w14:textId="77777777" w:rsidTr="00DB7D9B">
        <w:trPr>
          <w:cantSplit/>
          <w:trHeight w:val="392"/>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A2042CA" w14:textId="77777777" w:rsidR="00ED3511" w:rsidRPr="001B4A02" w:rsidRDefault="00ED3511"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42AF48F4" w14:textId="77777777" w:rsidR="00ED3511"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598E7EFF" w14:textId="77777777" w:rsidR="00ED3511" w:rsidRPr="001B4A02" w:rsidRDefault="00000000" w:rsidP="00ED48A3">
            <w:pPr>
              <w:pStyle w:val="EMEANormal"/>
              <w:rPr>
                <w:szCs w:val="22"/>
                <w:lang w:val="cs-CZ"/>
              </w:rPr>
            </w:pPr>
            <w:r w:rsidRPr="001B4A02">
              <w:rPr>
                <w:szCs w:val="22"/>
                <w:lang w:val="cs-CZ"/>
              </w:rPr>
              <w:t>Nykturie</w:t>
            </w:r>
          </w:p>
          <w:p w14:paraId="4AAAEBFB" w14:textId="77777777" w:rsidR="00ED3511" w:rsidRPr="001B4A02" w:rsidRDefault="00ED3511" w:rsidP="00ED48A3">
            <w:pPr>
              <w:pStyle w:val="EMEANormal"/>
              <w:rPr>
                <w:szCs w:val="22"/>
                <w:lang w:val="cs-CZ"/>
              </w:rPr>
            </w:pPr>
          </w:p>
        </w:tc>
      </w:tr>
      <w:tr w:rsidR="00534A2D" w14:paraId="6670463A" w14:textId="77777777" w:rsidTr="00187CC8">
        <w:trPr>
          <w:cantSplit/>
          <w:trHeight w:val="518"/>
          <w:jc w:val="center"/>
        </w:trPr>
        <w:tc>
          <w:tcPr>
            <w:tcW w:w="2880" w:type="dxa"/>
            <w:tcBorders>
              <w:top w:val="single" w:sz="4" w:space="0" w:color="auto"/>
              <w:left w:val="single" w:sz="4" w:space="0" w:color="auto"/>
              <w:bottom w:val="single" w:sz="4" w:space="0" w:color="auto"/>
              <w:right w:val="single" w:sz="4" w:space="0" w:color="auto"/>
            </w:tcBorders>
          </w:tcPr>
          <w:p w14:paraId="1E45BB49" w14:textId="77777777" w:rsidR="00ED3511" w:rsidRPr="001B4A02" w:rsidRDefault="00000000" w:rsidP="00ED48A3">
            <w:pPr>
              <w:pStyle w:val="EMEANormal"/>
              <w:tabs>
                <w:tab w:val="left" w:pos="0"/>
              </w:tabs>
              <w:rPr>
                <w:szCs w:val="22"/>
                <w:lang w:val="cs-CZ"/>
              </w:rPr>
            </w:pPr>
            <w:r w:rsidRPr="001B4A02">
              <w:rPr>
                <w:szCs w:val="22"/>
                <w:lang w:val="cs-CZ"/>
              </w:rPr>
              <w:t>Poruchy reprodukčního systému</w:t>
            </w:r>
            <w:r w:rsidR="002378E0">
              <w:rPr>
                <w:szCs w:val="22"/>
                <w:lang w:val="cs-CZ"/>
              </w:rPr>
              <w:t xml:space="preserve"> a </w:t>
            </w:r>
            <w:r w:rsidRPr="001B4A02">
              <w:rPr>
                <w:szCs w:val="22"/>
                <w:lang w:val="cs-CZ"/>
              </w:rPr>
              <w:t xml:space="preserve">prsu </w:t>
            </w:r>
          </w:p>
          <w:p w14:paraId="742EA62D" w14:textId="77777777" w:rsidR="00ED3511" w:rsidRPr="001B4A02" w:rsidRDefault="00ED3511" w:rsidP="00ED48A3">
            <w:pPr>
              <w:pStyle w:val="EMEANormal"/>
              <w:tabs>
                <w:tab w:val="left" w:pos="0"/>
              </w:tabs>
              <w:rPr>
                <w:szCs w:val="22"/>
                <w:lang w:val="cs-CZ"/>
              </w:rPr>
            </w:pPr>
          </w:p>
        </w:tc>
        <w:tc>
          <w:tcPr>
            <w:tcW w:w="1440" w:type="dxa"/>
            <w:tcBorders>
              <w:top w:val="single" w:sz="4" w:space="0" w:color="auto"/>
              <w:left w:val="single" w:sz="4" w:space="0" w:color="auto"/>
              <w:bottom w:val="single" w:sz="4" w:space="0" w:color="auto"/>
              <w:right w:val="single" w:sz="4" w:space="0" w:color="auto"/>
            </w:tcBorders>
          </w:tcPr>
          <w:p w14:paraId="3CA9F134" w14:textId="77777777" w:rsidR="00ED3511"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5E971E3F" w14:textId="77777777" w:rsidR="00ED3511" w:rsidRPr="001B4A02" w:rsidRDefault="00000000" w:rsidP="00ED48A3">
            <w:pPr>
              <w:pStyle w:val="EMEANormal"/>
              <w:rPr>
                <w:szCs w:val="22"/>
                <w:lang w:val="cs-CZ"/>
              </w:rPr>
            </w:pPr>
            <w:r w:rsidRPr="001B4A02">
              <w:rPr>
                <w:szCs w:val="22"/>
                <w:lang w:val="cs-CZ"/>
              </w:rPr>
              <w:t>Erektilní dysfunkce</w:t>
            </w:r>
          </w:p>
        </w:tc>
      </w:tr>
      <w:tr w:rsidR="00534A2D" w14:paraId="1A12AB5A" w14:textId="77777777" w:rsidTr="00DB7D9B">
        <w:trPr>
          <w:cantSplit/>
          <w:trHeight w:val="127"/>
          <w:jc w:val="center"/>
        </w:trPr>
        <w:tc>
          <w:tcPr>
            <w:tcW w:w="2880" w:type="dxa"/>
            <w:vMerge w:val="restart"/>
            <w:tcBorders>
              <w:top w:val="single" w:sz="4" w:space="0" w:color="auto"/>
              <w:left w:val="single" w:sz="4" w:space="0" w:color="auto"/>
              <w:bottom w:val="single" w:sz="4" w:space="0" w:color="auto"/>
              <w:right w:val="single" w:sz="4" w:space="0" w:color="auto"/>
            </w:tcBorders>
          </w:tcPr>
          <w:p w14:paraId="7C431C1F" w14:textId="77777777" w:rsidR="00ED3511" w:rsidRPr="001B4A02" w:rsidRDefault="00000000" w:rsidP="00ED48A3">
            <w:pPr>
              <w:pStyle w:val="EMEANormal"/>
              <w:keepNext/>
              <w:tabs>
                <w:tab w:val="left" w:pos="0"/>
              </w:tabs>
              <w:rPr>
                <w:szCs w:val="22"/>
                <w:lang w:val="cs-CZ"/>
              </w:rPr>
            </w:pPr>
            <w:r w:rsidRPr="001B4A02">
              <w:rPr>
                <w:szCs w:val="22"/>
                <w:lang w:val="cs-CZ"/>
              </w:rPr>
              <w:t>Celkové poruchy</w:t>
            </w:r>
            <w:r w:rsidR="002378E0">
              <w:rPr>
                <w:szCs w:val="22"/>
                <w:lang w:val="cs-CZ"/>
              </w:rPr>
              <w:t xml:space="preserve"> a </w:t>
            </w:r>
            <w:r w:rsidRPr="001B4A02">
              <w:rPr>
                <w:szCs w:val="22"/>
                <w:lang w:val="cs-CZ"/>
              </w:rPr>
              <w:t>reakce v</w:t>
            </w:r>
            <w:r w:rsidR="00255A0A" w:rsidRPr="001B4A02">
              <w:rPr>
                <w:szCs w:val="22"/>
                <w:lang w:val="cs-CZ"/>
              </w:rPr>
              <w:t> </w:t>
            </w:r>
            <w:r w:rsidRPr="001B4A02">
              <w:rPr>
                <w:szCs w:val="22"/>
                <w:lang w:val="cs-CZ"/>
              </w:rPr>
              <w:t>místě aplikace*</w:t>
            </w:r>
          </w:p>
        </w:tc>
        <w:tc>
          <w:tcPr>
            <w:tcW w:w="1440" w:type="dxa"/>
            <w:tcBorders>
              <w:top w:val="single" w:sz="4" w:space="0" w:color="auto"/>
              <w:left w:val="single" w:sz="4" w:space="0" w:color="auto"/>
              <w:bottom w:val="single" w:sz="4" w:space="0" w:color="auto"/>
              <w:right w:val="single" w:sz="4" w:space="0" w:color="auto"/>
            </w:tcBorders>
          </w:tcPr>
          <w:p w14:paraId="359AD789" w14:textId="77777777" w:rsidR="00ED3511" w:rsidRPr="001B4A02" w:rsidRDefault="00000000" w:rsidP="00ED48A3">
            <w:pPr>
              <w:pStyle w:val="EMEANormal"/>
              <w:keepNext/>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104B696E" w14:textId="77777777" w:rsidR="00ED3511" w:rsidRPr="001B4A02" w:rsidRDefault="00000000" w:rsidP="00ED48A3">
            <w:pPr>
              <w:pStyle w:val="EMEANormal"/>
              <w:keepNext/>
              <w:rPr>
                <w:szCs w:val="22"/>
                <w:lang w:val="cs-CZ"/>
              </w:rPr>
            </w:pPr>
            <w:r w:rsidRPr="001B4A02">
              <w:rPr>
                <w:szCs w:val="22"/>
                <w:lang w:val="cs-CZ"/>
              </w:rPr>
              <w:t>Reakce v místě injekčního vpichu (včetně erytému v místě vpichu injekce)</w:t>
            </w:r>
          </w:p>
          <w:p w14:paraId="38185F74" w14:textId="77777777" w:rsidR="00ED3511" w:rsidRPr="001B4A02" w:rsidRDefault="00ED3511" w:rsidP="00ED48A3">
            <w:pPr>
              <w:pStyle w:val="EMEANormal"/>
              <w:keepNext/>
              <w:rPr>
                <w:szCs w:val="22"/>
                <w:lang w:val="cs-CZ"/>
              </w:rPr>
            </w:pPr>
          </w:p>
        </w:tc>
      </w:tr>
      <w:tr w:rsidR="00534A2D" w14:paraId="24DE5325" w14:textId="77777777" w:rsidTr="00DB7D9B">
        <w:trPr>
          <w:cantSplit/>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94456BD" w14:textId="77777777" w:rsidR="00ED3511" w:rsidRPr="001B4A02" w:rsidRDefault="00ED3511" w:rsidP="00ED48A3">
            <w:pPr>
              <w:keepNext/>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DC06F99" w14:textId="77777777" w:rsidR="00ED3511" w:rsidRPr="001B4A02" w:rsidRDefault="00000000" w:rsidP="00ED48A3">
            <w:pPr>
              <w:pStyle w:val="EMEANormal"/>
              <w:keepNext/>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4A85F961" w14:textId="77777777" w:rsidR="00ED3511" w:rsidRPr="001B4A02" w:rsidRDefault="00000000" w:rsidP="00ED48A3">
            <w:pPr>
              <w:pStyle w:val="EMEANormal"/>
              <w:keepNext/>
              <w:rPr>
                <w:szCs w:val="22"/>
                <w:lang w:val="cs-CZ"/>
              </w:rPr>
            </w:pPr>
            <w:r w:rsidRPr="001B4A02">
              <w:rPr>
                <w:szCs w:val="22"/>
                <w:lang w:val="cs-CZ"/>
              </w:rPr>
              <w:t>Bolest na hrudi,</w:t>
            </w:r>
          </w:p>
          <w:p w14:paraId="10BCCBF1" w14:textId="77777777" w:rsidR="00ED3511" w:rsidRPr="001B4A02" w:rsidRDefault="00000000" w:rsidP="00ED48A3">
            <w:pPr>
              <w:pStyle w:val="EMEANormal"/>
              <w:keepNext/>
              <w:rPr>
                <w:szCs w:val="22"/>
                <w:lang w:val="cs-CZ"/>
              </w:rPr>
            </w:pPr>
            <w:r w:rsidRPr="001B4A02">
              <w:rPr>
                <w:szCs w:val="22"/>
                <w:lang w:val="cs-CZ"/>
              </w:rPr>
              <w:t>edém,</w:t>
            </w:r>
          </w:p>
          <w:p w14:paraId="35E89DE4" w14:textId="77777777" w:rsidR="00ED3511" w:rsidRPr="001B4A02" w:rsidRDefault="00000000" w:rsidP="00ED48A3">
            <w:pPr>
              <w:pStyle w:val="EMEANormal"/>
              <w:keepNext/>
              <w:rPr>
                <w:szCs w:val="22"/>
                <w:lang w:val="cs-CZ"/>
              </w:rPr>
            </w:pPr>
            <w:r w:rsidRPr="001B4A02">
              <w:rPr>
                <w:szCs w:val="22"/>
                <w:lang w:val="cs-CZ"/>
              </w:rPr>
              <w:t>pyrexie</w:t>
            </w:r>
            <w:r w:rsidRPr="001B4A02">
              <w:rPr>
                <w:szCs w:val="22"/>
                <w:vertAlign w:val="superscript"/>
                <w:lang w:val="cs-CZ"/>
              </w:rPr>
              <w:t>1)</w:t>
            </w:r>
          </w:p>
          <w:p w14:paraId="37FDF64A" w14:textId="77777777" w:rsidR="00ED3511" w:rsidRPr="001B4A02" w:rsidRDefault="00ED3511" w:rsidP="00ED48A3">
            <w:pPr>
              <w:pStyle w:val="EMEANormal"/>
              <w:keepNext/>
              <w:rPr>
                <w:szCs w:val="22"/>
                <w:lang w:val="cs-CZ"/>
              </w:rPr>
            </w:pPr>
          </w:p>
        </w:tc>
      </w:tr>
      <w:tr w:rsidR="00534A2D" w14:paraId="6D7204EC" w14:textId="77777777" w:rsidTr="00DB7D9B">
        <w:trPr>
          <w:cantSplit/>
          <w:trHeight w:val="25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287941" w14:textId="77777777" w:rsidR="00ED3511" w:rsidRPr="001B4A02" w:rsidRDefault="00ED3511" w:rsidP="00ED48A3">
            <w:pPr>
              <w:keepNext/>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BC058AE" w14:textId="77777777" w:rsidR="00ED3511" w:rsidRPr="001B4A02" w:rsidRDefault="00000000" w:rsidP="00ED48A3">
            <w:pPr>
              <w:pStyle w:val="EMEANormal"/>
              <w:keepNext/>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0D16C92E" w14:textId="77777777" w:rsidR="00ED3511" w:rsidRPr="001B4A02" w:rsidRDefault="00000000" w:rsidP="00ED48A3">
            <w:pPr>
              <w:pStyle w:val="EMEANormal"/>
              <w:keepNext/>
              <w:rPr>
                <w:szCs w:val="22"/>
                <w:lang w:val="cs-CZ"/>
              </w:rPr>
            </w:pPr>
            <w:r w:rsidRPr="001B4A02">
              <w:rPr>
                <w:szCs w:val="22"/>
                <w:lang w:val="cs-CZ"/>
              </w:rPr>
              <w:t>Záněty</w:t>
            </w:r>
          </w:p>
          <w:p w14:paraId="3E30B3E4" w14:textId="77777777" w:rsidR="00ED3511" w:rsidRPr="001B4A02" w:rsidRDefault="00ED3511" w:rsidP="00ED48A3">
            <w:pPr>
              <w:pStyle w:val="EMEANormal"/>
              <w:keepNext/>
              <w:rPr>
                <w:szCs w:val="22"/>
                <w:lang w:val="cs-CZ"/>
              </w:rPr>
            </w:pPr>
          </w:p>
        </w:tc>
      </w:tr>
      <w:tr w:rsidR="00534A2D" w14:paraId="5AE21C5A" w14:textId="77777777" w:rsidTr="00DB7D9B">
        <w:trPr>
          <w:trHeight w:val="296"/>
          <w:jc w:val="center"/>
        </w:trPr>
        <w:tc>
          <w:tcPr>
            <w:tcW w:w="2880" w:type="dxa"/>
            <w:vMerge w:val="restart"/>
            <w:tcBorders>
              <w:top w:val="single" w:sz="4" w:space="0" w:color="auto"/>
              <w:left w:val="single" w:sz="4" w:space="0" w:color="auto"/>
              <w:right w:val="single" w:sz="4" w:space="0" w:color="auto"/>
            </w:tcBorders>
          </w:tcPr>
          <w:p w14:paraId="4A33BC6F" w14:textId="77777777" w:rsidR="00390971" w:rsidRPr="001B4A02" w:rsidRDefault="00000000" w:rsidP="00ED48A3">
            <w:pPr>
              <w:pStyle w:val="EMEANormal"/>
              <w:tabs>
                <w:tab w:val="left" w:pos="0"/>
              </w:tabs>
              <w:rPr>
                <w:szCs w:val="22"/>
                <w:lang w:val="cs-CZ"/>
              </w:rPr>
            </w:pPr>
            <w:r w:rsidRPr="001B4A02">
              <w:rPr>
                <w:szCs w:val="22"/>
                <w:lang w:val="cs-CZ"/>
              </w:rPr>
              <w:t>Vyšetření*</w:t>
            </w:r>
          </w:p>
        </w:tc>
        <w:tc>
          <w:tcPr>
            <w:tcW w:w="1440" w:type="dxa"/>
            <w:tcBorders>
              <w:top w:val="single" w:sz="4" w:space="0" w:color="auto"/>
              <w:left w:val="single" w:sz="4" w:space="0" w:color="auto"/>
              <w:bottom w:val="nil"/>
              <w:right w:val="single" w:sz="4" w:space="0" w:color="auto"/>
            </w:tcBorders>
          </w:tcPr>
          <w:p w14:paraId="3DD0BAFA" w14:textId="77777777" w:rsidR="0039097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nil"/>
              <w:right w:val="single" w:sz="4" w:space="0" w:color="auto"/>
            </w:tcBorders>
          </w:tcPr>
          <w:p w14:paraId="0BA1DBB2" w14:textId="77777777" w:rsidR="00390971" w:rsidRPr="001B4A02" w:rsidRDefault="00000000" w:rsidP="00ED48A3">
            <w:pPr>
              <w:pStyle w:val="EMEANormal"/>
              <w:rPr>
                <w:szCs w:val="22"/>
                <w:lang w:val="cs-CZ"/>
              </w:rPr>
            </w:pPr>
            <w:r w:rsidRPr="001B4A02">
              <w:rPr>
                <w:szCs w:val="22"/>
                <w:lang w:val="cs-CZ"/>
              </w:rPr>
              <w:t>Poruchy koagulace</w:t>
            </w:r>
            <w:r>
              <w:rPr>
                <w:szCs w:val="22"/>
                <w:lang w:val="cs-CZ"/>
              </w:rPr>
              <w:t xml:space="preserve"> a </w:t>
            </w:r>
            <w:r w:rsidRPr="001B4A02">
              <w:rPr>
                <w:szCs w:val="22"/>
                <w:lang w:val="cs-CZ"/>
              </w:rPr>
              <w:t>krvácení (včetně prodloužení aktivovaného parciálního tromboplastinového času),</w:t>
            </w:r>
          </w:p>
          <w:p w14:paraId="5B75EB18" w14:textId="77777777" w:rsidR="00390971" w:rsidRPr="001B4A02" w:rsidRDefault="00000000" w:rsidP="00ED48A3">
            <w:pPr>
              <w:pStyle w:val="EMEANormal"/>
              <w:rPr>
                <w:szCs w:val="22"/>
                <w:lang w:val="cs-CZ"/>
              </w:rPr>
            </w:pPr>
            <w:r w:rsidRPr="001B4A02">
              <w:rPr>
                <w:szCs w:val="22"/>
                <w:lang w:val="cs-CZ"/>
              </w:rPr>
              <w:t>pozitivní test autoprotilátek (včetně protilátek proti dvoušroubovici DNA),</w:t>
            </w:r>
          </w:p>
          <w:p w14:paraId="55C8D0BC" w14:textId="77777777" w:rsidR="00390971" w:rsidRPr="001B4A02" w:rsidRDefault="00000000" w:rsidP="00ED48A3">
            <w:pPr>
              <w:pStyle w:val="EMEANormal"/>
              <w:rPr>
                <w:szCs w:val="22"/>
                <w:lang w:val="cs-CZ"/>
              </w:rPr>
            </w:pPr>
            <w:r w:rsidRPr="001B4A02">
              <w:rPr>
                <w:szCs w:val="22"/>
                <w:lang w:val="cs-CZ"/>
              </w:rPr>
              <w:t>zvýšení laktátdehydrogenázy v krvi</w:t>
            </w:r>
          </w:p>
          <w:p w14:paraId="13FC8E0C" w14:textId="77777777" w:rsidR="00390971" w:rsidRPr="001B4A02" w:rsidRDefault="00390971" w:rsidP="00ED48A3">
            <w:pPr>
              <w:pStyle w:val="EMEANormal"/>
              <w:rPr>
                <w:szCs w:val="22"/>
                <w:lang w:val="cs-CZ"/>
              </w:rPr>
            </w:pPr>
          </w:p>
        </w:tc>
      </w:tr>
      <w:tr w:rsidR="00534A2D" w14:paraId="50E810FB" w14:textId="77777777" w:rsidTr="00390971">
        <w:trPr>
          <w:trHeight w:val="296"/>
          <w:jc w:val="center"/>
        </w:trPr>
        <w:tc>
          <w:tcPr>
            <w:tcW w:w="2880" w:type="dxa"/>
            <w:vMerge/>
            <w:tcBorders>
              <w:left w:val="single" w:sz="4" w:space="0" w:color="auto"/>
              <w:bottom w:val="nil"/>
              <w:right w:val="single" w:sz="4" w:space="0" w:color="auto"/>
            </w:tcBorders>
          </w:tcPr>
          <w:p w14:paraId="2F66992A" w14:textId="77777777" w:rsidR="00390971" w:rsidRPr="001B4A02" w:rsidRDefault="00390971" w:rsidP="00390971">
            <w:pPr>
              <w:pStyle w:val="EMEANormal"/>
              <w:tabs>
                <w:tab w:val="left" w:pos="0"/>
              </w:tabs>
              <w:rPr>
                <w:szCs w:val="22"/>
                <w:lang w:val="cs-CZ"/>
              </w:rPr>
            </w:pPr>
          </w:p>
        </w:tc>
        <w:tc>
          <w:tcPr>
            <w:tcW w:w="1440" w:type="dxa"/>
            <w:tcBorders>
              <w:top w:val="single" w:sz="4" w:space="0" w:color="auto"/>
              <w:left w:val="single" w:sz="4" w:space="0" w:color="auto"/>
              <w:bottom w:val="nil"/>
              <w:right w:val="single" w:sz="4" w:space="0" w:color="auto"/>
            </w:tcBorders>
          </w:tcPr>
          <w:p w14:paraId="0E0EAC63" w14:textId="77777777" w:rsidR="00390971" w:rsidRPr="001B4A02" w:rsidRDefault="00000000" w:rsidP="00390971">
            <w:pPr>
              <w:pStyle w:val="EMEANormal"/>
              <w:rPr>
                <w:szCs w:val="22"/>
                <w:lang w:val="cs-CZ"/>
              </w:rPr>
            </w:pPr>
            <w:r w:rsidRPr="001B4A02">
              <w:rPr>
                <w:szCs w:val="22"/>
                <w:lang w:val="cs-CZ"/>
              </w:rPr>
              <w:t>Není známo</w:t>
            </w:r>
          </w:p>
        </w:tc>
        <w:tc>
          <w:tcPr>
            <w:tcW w:w="4689" w:type="dxa"/>
            <w:tcBorders>
              <w:top w:val="single" w:sz="4" w:space="0" w:color="auto"/>
              <w:left w:val="single" w:sz="4" w:space="0" w:color="auto"/>
              <w:bottom w:val="nil"/>
              <w:right w:val="single" w:sz="4" w:space="0" w:color="auto"/>
            </w:tcBorders>
          </w:tcPr>
          <w:p w14:paraId="63F81A6B" w14:textId="77777777" w:rsidR="00390971" w:rsidRDefault="00000000" w:rsidP="00390971">
            <w:pPr>
              <w:pStyle w:val="EMEANormal"/>
              <w:rPr>
                <w:color w:val="000000"/>
                <w:szCs w:val="22"/>
                <w:lang w:val="cs-CZ" w:eastAsia="cs-CZ"/>
              </w:rPr>
            </w:pPr>
            <w:r w:rsidRPr="0027760D">
              <w:rPr>
                <w:color w:val="000000"/>
                <w:szCs w:val="22"/>
                <w:lang w:val="cs-CZ" w:eastAsia="cs-CZ"/>
              </w:rPr>
              <w:t>Zvýšení tělesné hmotnosti</w:t>
            </w:r>
            <w:r w:rsidRPr="0027760D">
              <w:rPr>
                <w:color w:val="000000"/>
                <w:szCs w:val="22"/>
                <w:vertAlign w:val="superscript"/>
                <w:lang w:val="cs-CZ" w:eastAsia="cs-CZ"/>
              </w:rPr>
              <w:t>2)</w:t>
            </w:r>
          </w:p>
          <w:p w14:paraId="401A6D83" w14:textId="77777777" w:rsidR="00390971" w:rsidRPr="001B4A02" w:rsidRDefault="00390971" w:rsidP="00390971">
            <w:pPr>
              <w:pStyle w:val="EMEANormal"/>
              <w:rPr>
                <w:szCs w:val="22"/>
                <w:lang w:val="cs-CZ"/>
              </w:rPr>
            </w:pPr>
          </w:p>
        </w:tc>
      </w:tr>
      <w:tr w:rsidR="00534A2D" w14:paraId="6FE20B08" w14:textId="77777777" w:rsidTr="00187CC8">
        <w:trPr>
          <w:jc w:val="center"/>
        </w:trPr>
        <w:tc>
          <w:tcPr>
            <w:tcW w:w="2880" w:type="dxa"/>
            <w:tcBorders>
              <w:top w:val="single" w:sz="4" w:space="0" w:color="auto"/>
              <w:left w:val="single" w:sz="4" w:space="0" w:color="auto"/>
              <w:bottom w:val="single" w:sz="4" w:space="0" w:color="auto"/>
              <w:right w:val="single" w:sz="4" w:space="0" w:color="auto"/>
            </w:tcBorders>
          </w:tcPr>
          <w:p w14:paraId="71E05794" w14:textId="77777777" w:rsidR="00ED3511" w:rsidRPr="001B4A02" w:rsidRDefault="00000000" w:rsidP="00ED48A3">
            <w:pPr>
              <w:pStyle w:val="EMEANormal"/>
              <w:tabs>
                <w:tab w:val="left" w:pos="0"/>
              </w:tabs>
              <w:rPr>
                <w:szCs w:val="22"/>
                <w:lang w:val="cs-CZ"/>
              </w:rPr>
            </w:pPr>
            <w:r w:rsidRPr="001B4A02">
              <w:rPr>
                <w:szCs w:val="22"/>
                <w:lang w:val="cs-CZ"/>
              </w:rPr>
              <w:t>Poranění, otravy</w:t>
            </w:r>
            <w:r w:rsidR="002378E0">
              <w:rPr>
                <w:szCs w:val="22"/>
                <w:lang w:val="cs-CZ"/>
              </w:rPr>
              <w:t xml:space="preserve"> a </w:t>
            </w:r>
            <w:r w:rsidRPr="001B4A02">
              <w:rPr>
                <w:szCs w:val="22"/>
                <w:lang w:val="cs-CZ"/>
              </w:rPr>
              <w:t>procedurální komplikace</w:t>
            </w:r>
          </w:p>
          <w:p w14:paraId="468CC645" w14:textId="77777777" w:rsidR="00D95B9A" w:rsidRPr="001B4A02" w:rsidRDefault="00D95B9A" w:rsidP="00ED48A3">
            <w:pPr>
              <w:pStyle w:val="EMEANormal"/>
              <w:tabs>
                <w:tab w:val="left" w:pos="0"/>
              </w:tabs>
              <w:rPr>
                <w:szCs w:val="22"/>
                <w:lang w:val="cs-CZ"/>
              </w:rPr>
            </w:pPr>
          </w:p>
        </w:tc>
        <w:tc>
          <w:tcPr>
            <w:tcW w:w="1440" w:type="dxa"/>
            <w:tcBorders>
              <w:top w:val="single" w:sz="4" w:space="0" w:color="auto"/>
              <w:left w:val="single" w:sz="4" w:space="0" w:color="auto"/>
              <w:bottom w:val="single" w:sz="4" w:space="0" w:color="auto"/>
              <w:right w:val="single" w:sz="4" w:space="0" w:color="auto"/>
            </w:tcBorders>
          </w:tcPr>
          <w:p w14:paraId="219F2880" w14:textId="77777777" w:rsidR="00ED351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71E16B66" w14:textId="77777777" w:rsidR="00ED3511" w:rsidRPr="001B4A02" w:rsidRDefault="00000000" w:rsidP="00ED48A3">
            <w:pPr>
              <w:pStyle w:val="EMEANormal"/>
              <w:rPr>
                <w:szCs w:val="22"/>
                <w:lang w:val="cs-CZ"/>
              </w:rPr>
            </w:pPr>
            <w:r w:rsidRPr="001B4A02">
              <w:rPr>
                <w:szCs w:val="22"/>
                <w:lang w:val="cs-CZ"/>
              </w:rPr>
              <w:t>Poruchy hojení</w:t>
            </w:r>
          </w:p>
        </w:tc>
      </w:tr>
    </w:tbl>
    <w:p w14:paraId="4DCE3029" w14:textId="77777777" w:rsidR="00F23BB2" w:rsidRPr="001B4A02" w:rsidRDefault="00F23BB2" w:rsidP="00ED48A3">
      <w:pPr>
        <w:rPr>
          <w:szCs w:val="22"/>
        </w:rPr>
      </w:pPr>
    </w:p>
    <w:p w14:paraId="7A1A7147" w14:textId="77777777" w:rsidR="00ED3511" w:rsidRPr="001B4A02" w:rsidRDefault="00000000" w:rsidP="00ED48A3">
      <w:pPr>
        <w:rPr>
          <w:szCs w:val="22"/>
        </w:rPr>
      </w:pPr>
      <w:r w:rsidRPr="001B4A02">
        <w:rPr>
          <w:szCs w:val="22"/>
        </w:rPr>
        <w:t>*</w:t>
      </w:r>
      <w:r w:rsidR="00545FBD" w:rsidRPr="001B4A02">
        <w:rPr>
          <w:szCs w:val="22"/>
        </w:rPr>
        <w:t> </w:t>
      </w:r>
      <w:r w:rsidRPr="001B4A02">
        <w:rPr>
          <w:szCs w:val="22"/>
        </w:rPr>
        <w:t>další informace lze nalézt na jiných místech textu, v bodech 4.3, 4.</w:t>
      </w:r>
      <w:r w:rsidR="00545FBD" w:rsidRPr="001B4A02">
        <w:rPr>
          <w:szCs w:val="22"/>
        </w:rPr>
        <w:t>4</w:t>
      </w:r>
      <w:r w:rsidR="002378E0">
        <w:rPr>
          <w:szCs w:val="22"/>
        </w:rPr>
        <w:t xml:space="preserve"> a </w:t>
      </w:r>
      <w:r w:rsidRPr="001B4A02">
        <w:rPr>
          <w:szCs w:val="22"/>
        </w:rPr>
        <w:t>4.8</w:t>
      </w:r>
    </w:p>
    <w:p w14:paraId="6378AF92" w14:textId="77777777" w:rsidR="00ED3511" w:rsidRPr="001B4A02" w:rsidRDefault="00000000" w:rsidP="00ED48A3">
      <w:pPr>
        <w:rPr>
          <w:szCs w:val="22"/>
        </w:rPr>
      </w:pPr>
      <w:r w:rsidRPr="001B4A02">
        <w:rPr>
          <w:szCs w:val="22"/>
        </w:rPr>
        <w:t>**</w:t>
      </w:r>
      <w:r w:rsidR="00545FBD" w:rsidRPr="001B4A02">
        <w:rPr>
          <w:szCs w:val="22"/>
        </w:rPr>
        <w:t> </w:t>
      </w:r>
      <w:r w:rsidRPr="001B4A02">
        <w:rPr>
          <w:szCs w:val="22"/>
        </w:rPr>
        <w:t>včetně otevřené fáze prodloužených studií</w:t>
      </w:r>
    </w:p>
    <w:p w14:paraId="27F45AC4" w14:textId="77777777" w:rsidR="00ED3511" w:rsidRPr="001B4A02" w:rsidRDefault="00000000" w:rsidP="00ED48A3">
      <w:pPr>
        <w:rPr>
          <w:szCs w:val="22"/>
        </w:rPr>
      </w:pPr>
      <w:r w:rsidRPr="001B4A02">
        <w:rPr>
          <w:szCs w:val="22"/>
          <w:vertAlign w:val="superscript"/>
        </w:rPr>
        <w:t>1)</w:t>
      </w:r>
      <w:r w:rsidR="00545FBD" w:rsidRPr="001B4A02">
        <w:rPr>
          <w:szCs w:val="22"/>
        </w:rPr>
        <w:t> </w:t>
      </w:r>
      <w:r w:rsidRPr="001B4A02">
        <w:rPr>
          <w:bCs/>
          <w:szCs w:val="22"/>
        </w:rPr>
        <w:t>včetně údajů ze spontánního hlášení</w:t>
      </w:r>
    </w:p>
    <w:p w14:paraId="644AEC2A" w14:textId="77777777" w:rsidR="00390971" w:rsidRPr="008D2E61" w:rsidRDefault="00000000" w:rsidP="00390971">
      <w:pPr>
        <w:pStyle w:val="Default"/>
        <w:rPr>
          <w:rFonts w:eastAsia="Times New Roman"/>
          <w:sz w:val="22"/>
          <w:szCs w:val="22"/>
          <w:lang w:val="cs-CZ" w:eastAsia="cs-CZ"/>
        </w:rPr>
      </w:pPr>
      <w:r w:rsidRPr="008D2E61">
        <w:rPr>
          <w:sz w:val="22"/>
          <w:szCs w:val="22"/>
          <w:vertAlign w:val="superscript"/>
          <w:lang w:val="cs-CZ"/>
        </w:rPr>
        <w:t>2)</w:t>
      </w:r>
      <w:r w:rsidRPr="008D2E61">
        <w:rPr>
          <w:sz w:val="22"/>
          <w:szCs w:val="22"/>
          <w:lang w:val="cs-CZ"/>
        </w:rPr>
        <w:t> </w:t>
      </w:r>
      <w:r w:rsidRPr="008D2E61">
        <w:rPr>
          <w:sz w:val="22"/>
          <w:szCs w:val="22"/>
          <w:lang w:val="cs-CZ" w:eastAsia="cs-CZ"/>
        </w:rPr>
        <w:t>Průměrná změna tělesné hmotnosti od výchozí hodnoty se v</w:t>
      </w:r>
      <w:r>
        <w:rPr>
          <w:sz w:val="22"/>
          <w:szCs w:val="22"/>
          <w:lang w:val="cs-CZ" w:eastAsia="cs-CZ"/>
        </w:rPr>
        <w:t> </w:t>
      </w:r>
      <w:r w:rsidRPr="008D2E61">
        <w:rPr>
          <w:sz w:val="22"/>
          <w:szCs w:val="22"/>
          <w:lang w:val="cs-CZ" w:eastAsia="cs-CZ"/>
        </w:rPr>
        <w:t>případě adalimumabu pohybovala od 0,3 do 1,0</w:t>
      </w:r>
      <w:r>
        <w:rPr>
          <w:sz w:val="22"/>
          <w:szCs w:val="22"/>
          <w:lang w:val="cs-CZ" w:eastAsia="cs-CZ"/>
        </w:rPr>
        <w:t> </w:t>
      </w:r>
      <w:r w:rsidRPr="008D2E61">
        <w:rPr>
          <w:sz w:val="22"/>
          <w:szCs w:val="22"/>
          <w:lang w:val="cs-CZ" w:eastAsia="cs-CZ"/>
        </w:rPr>
        <w:t>kg v</w:t>
      </w:r>
      <w:r>
        <w:rPr>
          <w:sz w:val="22"/>
          <w:szCs w:val="22"/>
          <w:lang w:val="cs-CZ" w:eastAsia="cs-CZ"/>
        </w:rPr>
        <w:t> </w:t>
      </w:r>
      <w:r w:rsidRPr="008D2E61">
        <w:rPr>
          <w:sz w:val="22"/>
          <w:szCs w:val="22"/>
          <w:lang w:val="cs-CZ" w:eastAsia="cs-CZ"/>
        </w:rPr>
        <w:t>indikacích pro dospělé v</w:t>
      </w:r>
      <w:r>
        <w:rPr>
          <w:sz w:val="22"/>
          <w:szCs w:val="22"/>
          <w:lang w:val="cs-CZ" w:eastAsia="cs-CZ"/>
        </w:rPr>
        <w:t> </w:t>
      </w:r>
      <w:r w:rsidRPr="008D2E61">
        <w:rPr>
          <w:sz w:val="22"/>
          <w:szCs w:val="22"/>
          <w:lang w:val="cs-CZ" w:eastAsia="cs-CZ"/>
        </w:rPr>
        <w:t>porovnání s</w:t>
      </w:r>
      <w:r>
        <w:rPr>
          <w:sz w:val="22"/>
          <w:szCs w:val="22"/>
          <w:lang w:val="cs-CZ" w:eastAsia="cs-CZ"/>
        </w:rPr>
        <w:t> </w:t>
      </w:r>
      <w:r w:rsidRPr="008D2E61">
        <w:rPr>
          <w:sz w:val="22"/>
          <w:szCs w:val="22"/>
          <w:lang w:val="cs-CZ" w:eastAsia="cs-CZ"/>
        </w:rPr>
        <w:t>(mínus) -0,4</w:t>
      </w:r>
      <w:r>
        <w:rPr>
          <w:sz w:val="22"/>
          <w:szCs w:val="22"/>
          <w:lang w:val="cs-CZ" w:eastAsia="cs-CZ"/>
        </w:rPr>
        <w:t> </w:t>
      </w:r>
      <w:r w:rsidRPr="008D2E61">
        <w:rPr>
          <w:sz w:val="22"/>
          <w:szCs w:val="22"/>
          <w:lang w:val="cs-CZ" w:eastAsia="cs-CZ"/>
        </w:rPr>
        <w:t>kg až 0,4</w:t>
      </w:r>
      <w:r>
        <w:rPr>
          <w:sz w:val="22"/>
          <w:szCs w:val="22"/>
          <w:lang w:val="cs-CZ" w:eastAsia="cs-CZ"/>
        </w:rPr>
        <w:t> </w:t>
      </w:r>
      <w:r w:rsidRPr="008D2E61">
        <w:rPr>
          <w:sz w:val="22"/>
          <w:szCs w:val="22"/>
          <w:lang w:val="cs-CZ" w:eastAsia="cs-CZ"/>
        </w:rPr>
        <w:t>kg v</w:t>
      </w:r>
      <w:r>
        <w:rPr>
          <w:sz w:val="22"/>
          <w:szCs w:val="22"/>
          <w:lang w:val="cs-CZ" w:eastAsia="cs-CZ"/>
        </w:rPr>
        <w:t> </w:t>
      </w:r>
      <w:r w:rsidRPr="008D2E61">
        <w:rPr>
          <w:sz w:val="22"/>
          <w:szCs w:val="22"/>
          <w:lang w:val="cs-CZ" w:eastAsia="cs-CZ"/>
        </w:rPr>
        <w:t>případě placeba během léčby po dobu 4–6 měsíců. Zvýšení tělesné hmotnosti o</w:t>
      </w:r>
      <w:r>
        <w:rPr>
          <w:sz w:val="22"/>
          <w:szCs w:val="22"/>
          <w:lang w:val="cs-CZ" w:eastAsia="cs-CZ"/>
        </w:rPr>
        <w:t> </w:t>
      </w:r>
      <w:r w:rsidRPr="008D2E61">
        <w:rPr>
          <w:sz w:val="22"/>
          <w:szCs w:val="22"/>
          <w:lang w:val="cs-CZ" w:eastAsia="cs-CZ"/>
        </w:rPr>
        <w:t>5–6</w:t>
      </w:r>
      <w:r>
        <w:rPr>
          <w:sz w:val="22"/>
          <w:szCs w:val="22"/>
          <w:lang w:val="cs-CZ" w:eastAsia="cs-CZ"/>
        </w:rPr>
        <w:t> </w:t>
      </w:r>
      <w:r w:rsidRPr="008D2E61">
        <w:rPr>
          <w:sz w:val="22"/>
          <w:szCs w:val="22"/>
          <w:lang w:val="cs-CZ" w:eastAsia="cs-CZ"/>
        </w:rPr>
        <w:t>kg bylo pozorováno rovněž v</w:t>
      </w:r>
      <w:r>
        <w:rPr>
          <w:sz w:val="22"/>
          <w:szCs w:val="22"/>
          <w:lang w:val="cs-CZ" w:eastAsia="cs-CZ"/>
        </w:rPr>
        <w:t> </w:t>
      </w:r>
      <w:r w:rsidRPr="008D2E61">
        <w:rPr>
          <w:sz w:val="22"/>
          <w:szCs w:val="22"/>
          <w:lang w:val="cs-CZ" w:eastAsia="cs-CZ"/>
        </w:rPr>
        <w:t>dlouhodobých prodloužených studiích, které nezahrnovaly kontrolní skupinu, s</w:t>
      </w:r>
      <w:r>
        <w:rPr>
          <w:sz w:val="22"/>
          <w:szCs w:val="22"/>
          <w:lang w:val="cs-CZ" w:eastAsia="cs-CZ"/>
        </w:rPr>
        <w:t> </w:t>
      </w:r>
      <w:r w:rsidRPr="008D2E61">
        <w:rPr>
          <w:sz w:val="22"/>
          <w:szCs w:val="22"/>
          <w:lang w:val="cs-CZ" w:eastAsia="cs-CZ"/>
        </w:rPr>
        <w:t>průměrnou expozicí přípravku přibližně 1–2 roky, zejména u</w:t>
      </w:r>
      <w:r>
        <w:rPr>
          <w:sz w:val="22"/>
          <w:szCs w:val="22"/>
          <w:lang w:val="cs-CZ" w:eastAsia="cs-CZ"/>
        </w:rPr>
        <w:t> </w:t>
      </w:r>
      <w:r w:rsidRPr="008D2E61">
        <w:rPr>
          <w:sz w:val="22"/>
          <w:szCs w:val="22"/>
          <w:lang w:val="cs-CZ" w:eastAsia="cs-CZ"/>
        </w:rPr>
        <w:t>pacientů s</w:t>
      </w:r>
      <w:r>
        <w:rPr>
          <w:sz w:val="22"/>
          <w:szCs w:val="22"/>
          <w:lang w:val="cs-CZ" w:eastAsia="cs-CZ"/>
        </w:rPr>
        <w:t> </w:t>
      </w:r>
      <w:r w:rsidRPr="008D2E61">
        <w:rPr>
          <w:sz w:val="22"/>
          <w:szCs w:val="22"/>
          <w:lang w:val="cs-CZ" w:eastAsia="cs-CZ"/>
        </w:rPr>
        <w:t>Crohnovou chorobou a</w:t>
      </w:r>
      <w:r>
        <w:rPr>
          <w:sz w:val="22"/>
          <w:szCs w:val="22"/>
          <w:lang w:val="cs-CZ" w:eastAsia="cs-CZ"/>
        </w:rPr>
        <w:t> </w:t>
      </w:r>
      <w:r w:rsidRPr="008D2E61">
        <w:rPr>
          <w:sz w:val="22"/>
          <w:szCs w:val="22"/>
          <w:lang w:val="cs-CZ" w:eastAsia="cs-CZ"/>
        </w:rPr>
        <w:t>ulcerózní kolitidou. Mechanismus tohoto účinku není jasný, mohl by však souviset s</w:t>
      </w:r>
      <w:r>
        <w:rPr>
          <w:sz w:val="22"/>
          <w:szCs w:val="22"/>
          <w:lang w:val="cs-CZ" w:eastAsia="cs-CZ"/>
        </w:rPr>
        <w:t> </w:t>
      </w:r>
      <w:r w:rsidRPr="008D2E61">
        <w:rPr>
          <w:sz w:val="22"/>
          <w:szCs w:val="22"/>
          <w:lang w:val="cs-CZ" w:eastAsia="cs-CZ"/>
        </w:rPr>
        <w:t>protizánětlivým účinkem adalimumabu.</w:t>
      </w:r>
    </w:p>
    <w:p w14:paraId="2952F4BB" w14:textId="77777777" w:rsidR="00ED3511" w:rsidRPr="001B4A02" w:rsidRDefault="00ED3511" w:rsidP="00ED48A3">
      <w:pPr>
        <w:ind w:left="0" w:firstLine="0"/>
      </w:pPr>
    </w:p>
    <w:p w14:paraId="6E836BDE" w14:textId="77777777" w:rsidR="00910B96" w:rsidRPr="001B4A02" w:rsidRDefault="00000000" w:rsidP="00A03600">
      <w:pPr>
        <w:keepNext/>
        <w:ind w:left="0" w:firstLine="0"/>
        <w:rPr>
          <w:u w:val="single"/>
        </w:rPr>
      </w:pPr>
      <w:r w:rsidRPr="001B4A02">
        <w:rPr>
          <w:u w:val="single"/>
        </w:rPr>
        <w:t>Hidradenitis suppurativa</w:t>
      </w:r>
    </w:p>
    <w:p w14:paraId="42CE1DDB" w14:textId="77777777" w:rsidR="00910B96" w:rsidRPr="001B4A02" w:rsidRDefault="00910B96" w:rsidP="00A03600">
      <w:pPr>
        <w:keepNext/>
        <w:ind w:left="0" w:firstLine="0"/>
      </w:pPr>
    </w:p>
    <w:p w14:paraId="785C3E49" w14:textId="77777777" w:rsidR="00910B96" w:rsidRPr="001B4A02" w:rsidRDefault="00000000" w:rsidP="00ED48A3">
      <w:pPr>
        <w:ind w:left="0" w:firstLine="0"/>
      </w:pPr>
      <w:r w:rsidRPr="001B4A02">
        <w:t>Bezpečnostní profil u</w:t>
      </w:r>
      <w:r w:rsidR="00DD02A9" w:rsidRPr="001B4A02">
        <w:t> </w:t>
      </w:r>
      <w:r w:rsidRPr="001B4A02">
        <w:t>pacientů s</w:t>
      </w:r>
      <w:r w:rsidR="00DD02A9" w:rsidRPr="001B4A02">
        <w:t> </w:t>
      </w:r>
      <w:r w:rsidRPr="001B4A02">
        <w:t>hidradenitis suppurativa léčených přípravkem Humira jednou týdně byl v</w:t>
      </w:r>
      <w:r w:rsidR="00255A0A" w:rsidRPr="001B4A02">
        <w:t> </w:t>
      </w:r>
      <w:r w:rsidRPr="001B4A02">
        <w:t>souladu se známým bezpečnostním profilem přípravku Humira.</w:t>
      </w:r>
    </w:p>
    <w:p w14:paraId="05CE6DA9" w14:textId="77777777" w:rsidR="00910B96" w:rsidRPr="001B4A02" w:rsidRDefault="00910B96" w:rsidP="00ED48A3">
      <w:pPr>
        <w:ind w:left="0" w:firstLine="0"/>
      </w:pPr>
    </w:p>
    <w:p w14:paraId="5B5198AD" w14:textId="77777777" w:rsidR="00F565BA" w:rsidRPr="001B4A02" w:rsidRDefault="00000000" w:rsidP="00ED48A3">
      <w:pPr>
        <w:keepNext/>
        <w:rPr>
          <w:szCs w:val="22"/>
          <w:u w:val="single"/>
        </w:rPr>
      </w:pPr>
      <w:r w:rsidRPr="001B4A02">
        <w:rPr>
          <w:szCs w:val="22"/>
          <w:u w:val="single"/>
        </w:rPr>
        <w:t>Uveitida</w:t>
      </w:r>
    </w:p>
    <w:p w14:paraId="645B0C19" w14:textId="77777777" w:rsidR="00F565BA" w:rsidRPr="001B4A02" w:rsidRDefault="00F565BA" w:rsidP="00ED48A3">
      <w:pPr>
        <w:keepNext/>
        <w:rPr>
          <w:szCs w:val="22"/>
          <w:u w:val="single"/>
        </w:rPr>
      </w:pPr>
    </w:p>
    <w:p w14:paraId="13EC0077" w14:textId="77777777" w:rsidR="00F565BA" w:rsidRPr="001B4A02" w:rsidRDefault="00000000" w:rsidP="00790DEF">
      <w:pPr>
        <w:ind w:left="0" w:firstLine="0"/>
        <w:rPr>
          <w:szCs w:val="22"/>
        </w:rPr>
      </w:pPr>
      <w:r w:rsidRPr="001B4A02">
        <w:t>Bezpečnostní profil u</w:t>
      </w:r>
      <w:r w:rsidR="00DD02A9" w:rsidRPr="001B4A02">
        <w:t> </w:t>
      </w:r>
      <w:r w:rsidRPr="001B4A02">
        <w:t>pacientů s</w:t>
      </w:r>
      <w:r w:rsidR="00DD02A9" w:rsidRPr="001B4A02">
        <w:t> </w:t>
      </w:r>
      <w:r w:rsidRPr="001B4A02">
        <w:t>uveitidou léčených přípravkem Humira jednou za dva týdny byl v souladu se známým bezpečnostním profilem přípravku Humira.</w:t>
      </w:r>
    </w:p>
    <w:p w14:paraId="5FDA7F7D" w14:textId="77777777" w:rsidR="00F565BA" w:rsidRPr="001B4A02" w:rsidRDefault="00F565BA" w:rsidP="00ED48A3">
      <w:pPr>
        <w:ind w:left="0" w:firstLine="0"/>
        <w:rPr>
          <w:u w:val="single"/>
        </w:rPr>
      </w:pPr>
    </w:p>
    <w:p w14:paraId="5C59C955" w14:textId="77777777" w:rsidR="00ED3511" w:rsidRPr="001B4A02" w:rsidRDefault="00000000" w:rsidP="00A03600">
      <w:pPr>
        <w:keepNext/>
        <w:ind w:left="0" w:firstLine="0"/>
        <w:rPr>
          <w:u w:val="single"/>
        </w:rPr>
      </w:pPr>
      <w:r w:rsidRPr="001B4A02">
        <w:rPr>
          <w:u w:val="single"/>
        </w:rPr>
        <w:t>Popis vybraných nežádoucích účinků</w:t>
      </w:r>
    </w:p>
    <w:p w14:paraId="7B8DA36F" w14:textId="77777777" w:rsidR="00ED3511" w:rsidRPr="001B4A02" w:rsidRDefault="00ED3511" w:rsidP="00A03600">
      <w:pPr>
        <w:keepNext/>
        <w:ind w:left="0" w:firstLine="0"/>
        <w:rPr>
          <w:u w:val="single"/>
        </w:rPr>
      </w:pPr>
    </w:p>
    <w:p w14:paraId="03C3C633" w14:textId="77777777" w:rsidR="00ED3511" w:rsidRPr="001B4A02" w:rsidRDefault="00000000" w:rsidP="00A03600">
      <w:pPr>
        <w:keepNext/>
        <w:ind w:left="0" w:firstLine="0"/>
        <w:rPr>
          <w:i/>
        </w:rPr>
      </w:pPr>
      <w:r w:rsidRPr="001B4A02">
        <w:rPr>
          <w:i/>
        </w:rPr>
        <w:t>Reakce v místě injekčního vpichu</w:t>
      </w:r>
    </w:p>
    <w:p w14:paraId="08974329" w14:textId="77777777" w:rsidR="00ED3511" w:rsidRPr="001B4A02" w:rsidRDefault="00ED3511" w:rsidP="00A03600">
      <w:pPr>
        <w:keepNext/>
        <w:ind w:left="0" w:firstLine="0"/>
      </w:pPr>
    </w:p>
    <w:p w14:paraId="2DF82AF3" w14:textId="77777777" w:rsidR="00ED3511" w:rsidRPr="001B4A02" w:rsidRDefault="00000000" w:rsidP="00ED48A3">
      <w:pPr>
        <w:ind w:left="0" w:firstLine="0"/>
      </w:pPr>
      <w:r w:rsidRPr="001B4A02">
        <w:t>V klíčových kontrolovaných studiích se u </w:t>
      </w:r>
      <w:r w:rsidR="00910B96" w:rsidRPr="001B4A02">
        <w:t>12,9</w:t>
      </w:r>
      <w:r w:rsidR="006008CB">
        <w:t> %</w:t>
      </w:r>
      <w:r w:rsidRPr="001B4A02">
        <w:t xml:space="preserve"> dětských</w:t>
      </w:r>
      <w:r w:rsidR="002378E0">
        <w:t xml:space="preserve"> a </w:t>
      </w:r>
      <w:r w:rsidRPr="001B4A02">
        <w:t>dospělých pacientů léčených přípravkem Humira vyvinuly reakce v místě vpichu (erytém a/nebo svědění, krvácení, bolest nebo otok) v porovnání s</w:t>
      </w:r>
      <w:r w:rsidR="004A45BD" w:rsidRPr="001B4A02">
        <w:t>e</w:t>
      </w:r>
      <w:r w:rsidR="00F565BA" w:rsidRPr="001B4A02">
        <w:t> 7,2</w:t>
      </w:r>
      <w:r w:rsidR="006008CB">
        <w:t> %</w:t>
      </w:r>
      <w:r w:rsidRPr="001B4A02">
        <w:t xml:space="preserve"> pacientů léčených placebem nebo aktivní kontrolou. Reakce v místě injekčního vpichu nevyžadovaly přerušení podávání léčivého přípravku.</w:t>
      </w:r>
    </w:p>
    <w:p w14:paraId="249488D1" w14:textId="77777777" w:rsidR="00ED3511" w:rsidRPr="001B4A02" w:rsidRDefault="00ED3511" w:rsidP="00ED48A3">
      <w:pPr>
        <w:ind w:left="0" w:firstLine="0"/>
      </w:pPr>
    </w:p>
    <w:p w14:paraId="715179E9" w14:textId="77777777" w:rsidR="00ED3511" w:rsidRPr="001B4A02" w:rsidRDefault="00000000" w:rsidP="00A03600">
      <w:pPr>
        <w:keepNext/>
        <w:ind w:left="0" w:firstLine="0"/>
        <w:rPr>
          <w:i/>
        </w:rPr>
      </w:pPr>
      <w:r w:rsidRPr="001B4A02">
        <w:rPr>
          <w:i/>
        </w:rPr>
        <w:t>Infekce</w:t>
      </w:r>
    </w:p>
    <w:p w14:paraId="5DBEE47E" w14:textId="77777777" w:rsidR="00ED3511" w:rsidRPr="001B4A02" w:rsidRDefault="00ED3511" w:rsidP="00A03600">
      <w:pPr>
        <w:keepNext/>
        <w:ind w:left="0" w:firstLine="0"/>
      </w:pPr>
    </w:p>
    <w:p w14:paraId="7F50918F" w14:textId="77777777" w:rsidR="00ED3511" w:rsidRPr="001B4A02" w:rsidRDefault="00000000" w:rsidP="00ED48A3">
      <w:pPr>
        <w:ind w:left="0" w:firstLine="0"/>
        <w:rPr>
          <w:szCs w:val="22"/>
        </w:rPr>
      </w:pPr>
      <w:r w:rsidRPr="001B4A02">
        <w:t>V klíčových kontrolovaných studiích se u dětských</w:t>
      </w:r>
      <w:r w:rsidR="002378E0">
        <w:t xml:space="preserve"> a </w:t>
      </w:r>
      <w:r w:rsidRPr="001B4A02">
        <w:t>dospělých pacientů léčených přípravkem Humira vyskytla infekce ve frekvenci 1,51</w:t>
      </w:r>
      <w:r w:rsidR="002378E0">
        <w:t xml:space="preserve"> a </w:t>
      </w:r>
      <w:r w:rsidRPr="001B4A02">
        <w:t>u pacientů léčených placebem nebo aktivní kontrolou ve frekvenci 1,4</w:t>
      </w:r>
      <w:r w:rsidR="00BF4426" w:rsidRPr="001B4A02">
        <w:t>6</w:t>
      </w:r>
      <w:r w:rsidRPr="001B4A02">
        <w:t xml:space="preserve"> případů na pacienta léčeného po dobu jednoho roku (případ/pacient/rok). </w:t>
      </w:r>
      <w:r w:rsidRPr="001B4A02">
        <w:rPr>
          <w:szCs w:val="22"/>
        </w:rPr>
        <w:t>Jednalo se především o nazofaryngitidu, infekci horních cest dýchacích</w:t>
      </w:r>
      <w:r w:rsidR="002378E0">
        <w:rPr>
          <w:szCs w:val="22"/>
        </w:rPr>
        <w:t xml:space="preserve"> a </w:t>
      </w:r>
      <w:r w:rsidR="00BF4426" w:rsidRPr="001B4A02">
        <w:rPr>
          <w:szCs w:val="22"/>
        </w:rPr>
        <w:t>sinusitidu</w:t>
      </w:r>
      <w:r w:rsidRPr="001B4A02">
        <w:rPr>
          <w:szCs w:val="22"/>
        </w:rPr>
        <w:t>. Většina pacientů pokračovala po vyléčení inf</w:t>
      </w:r>
      <w:r w:rsidR="00790DEF" w:rsidRPr="001B4A02">
        <w:rPr>
          <w:szCs w:val="22"/>
        </w:rPr>
        <w:t>ekce v léčbě přípravkem Humira.</w:t>
      </w:r>
    </w:p>
    <w:p w14:paraId="50ED0858" w14:textId="77777777" w:rsidR="00ED3511" w:rsidRPr="001B4A02" w:rsidRDefault="00ED3511" w:rsidP="00ED48A3">
      <w:pPr>
        <w:ind w:left="0" w:firstLine="0"/>
        <w:rPr>
          <w:szCs w:val="22"/>
        </w:rPr>
      </w:pPr>
    </w:p>
    <w:p w14:paraId="3065F94D" w14:textId="77777777" w:rsidR="00ED3511" w:rsidRPr="001B4A02" w:rsidRDefault="00000000" w:rsidP="00ED48A3">
      <w:pPr>
        <w:ind w:left="0" w:firstLine="0"/>
      </w:pPr>
      <w:r w:rsidRPr="001B4A02">
        <w:t>Výskyt závažných infekcí u</w:t>
      </w:r>
      <w:r w:rsidR="007C35FF" w:rsidRPr="001B4A02">
        <w:t> </w:t>
      </w:r>
      <w:r w:rsidRPr="001B4A02">
        <w:t>pacientů léčených přípravkem Humira činil 0,0</w:t>
      </w:r>
      <w:r w:rsidR="00545FBD" w:rsidRPr="001B4A02">
        <w:t>4</w:t>
      </w:r>
      <w:r w:rsidRPr="001B4A02">
        <w:t> případů/pacient/rok</w:t>
      </w:r>
      <w:r w:rsidR="002378E0">
        <w:t xml:space="preserve"> a </w:t>
      </w:r>
      <w:r w:rsidRPr="001B4A02">
        <w:t>u pacientů léčených placebem nebo aktivní kontrolou 0,0</w:t>
      </w:r>
      <w:r w:rsidR="00545FBD" w:rsidRPr="001B4A02">
        <w:t>3</w:t>
      </w:r>
      <w:r w:rsidR="00790DEF" w:rsidRPr="001B4A02">
        <w:t> případů/pacient/rok.</w:t>
      </w:r>
    </w:p>
    <w:p w14:paraId="5319D6F0" w14:textId="77777777" w:rsidR="00ED3511" w:rsidRPr="001B4A02" w:rsidRDefault="00ED3511" w:rsidP="00ED48A3">
      <w:pPr>
        <w:ind w:left="0" w:firstLine="0"/>
      </w:pPr>
    </w:p>
    <w:p w14:paraId="21579878" w14:textId="77777777" w:rsidR="00ED3511" w:rsidRPr="001B4A02" w:rsidRDefault="00000000" w:rsidP="00ED48A3">
      <w:pPr>
        <w:ind w:left="0" w:firstLine="0"/>
      </w:pPr>
      <w:r w:rsidRPr="001B4A02">
        <w:rPr>
          <w:szCs w:val="22"/>
        </w:rPr>
        <w:t>V kontrolovaných</w:t>
      </w:r>
      <w:r w:rsidR="002378E0">
        <w:rPr>
          <w:szCs w:val="22"/>
        </w:rPr>
        <w:t xml:space="preserve"> a </w:t>
      </w:r>
      <w:r w:rsidRPr="001B4A02">
        <w:rPr>
          <w:szCs w:val="22"/>
        </w:rPr>
        <w:t>otevřených studiích u</w:t>
      </w:r>
      <w:r w:rsidR="003315BB" w:rsidRPr="001B4A02">
        <w:rPr>
          <w:szCs w:val="22"/>
        </w:rPr>
        <w:t> </w:t>
      </w:r>
      <w:r w:rsidRPr="001B4A02">
        <w:rPr>
          <w:szCs w:val="22"/>
        </w:rPr>
        <w:t>dospělých i pediatrických pacientů s přípravkem Humira byly hlášeny závažné infekce (včetně fat</w:t>
      </w:r>
      <w:r w:rsidR="007C35FF" w:rsidRPr="001B4A02">
        <w:rPr>
          <w:szCs w:val="22"/>
        </w:rPr>
        <w:t>á</w:t>
      </w:r>
      <w:r w:rsidRPr="001B4A02">
        <w:rPr>
          <w:szCs w:val="22"/>
        </w:rPr>
        <w:t>lních infekcí, které se vyskytovaly vzácně), jako jsou tuberkulóza (včetně miliární</w:t>
      </w:r>
      <w:r w:rsidR="002378E0">
        <w:rPr>
          <w:szCs w:val="22"/>
        </w:rPr>
        <w:t xml:space="preserve"> a </w:t>
      </w:r>
      <w:r w:rsidRPr="001B4A02">
        <w:rPr>
          <w:szCs w:val="22"/>
        </w:rPr>
        <w:t>mimoplicní tuberkulózy)</w:t>
      </w:r>
      <w:r w:rsidR="002378E0">
        <w:rPr>
          <w:szCs w:val="22"/>
        </w:rPr>
        <w:t xml:space="preserve"> a </w:t>
      </w:r>
      <w:r w:rsidRPr="001B4A02">
        <w:rPr>
          <w:szCs w:val="22"/>
        </w:rPr>
        <w:t>invazivní oportunní infekce (např. diseminov</w:t>
      </w:r>
      <w:r w:rsidR="007C35FF" w:rsidRPr="001B4A02">
        <w:rPr>
          <w:szCs w:val="22"/>
        </w:rPr>
        <w:t>an</w:t>
      </w:r>
      <w:r w:rsidRPr="001B4A02">
        <w:rPr>
          <w:szCs w:val="22"/>
        </w:rPr>
        <w:t>á nebo mimoplicní histoplasmóza, blastocystóza, kokcidiomykóza, pneumocystóza, kandidóza, aspergilóza</w:t>
      </w:r>
      <w:r w:rsidR="002378E0">
        <w:rPr>
          <w:szCs w:val="22"/>
        </w:rPr>
        <w:t xml:space="preserve"> a </w:t>
      </w:r>
      <w:r w:rsidRPr="001B4A02">
        <w:rPr>
          <w:szCs w:val="22"/>
        </w:rPr>
        <w:t>listerióza). Většina případů tuberkulózy se vyskytla v prvních osmi měsících po zahájení léčby</w:t>
      </w:r>
      <w:r w:rsidR="002378E0">
        <w:rPr>
          <w:szCs w:val="22"/>
        </w:rPr>
        <w:t xml:space="preserve"> a </w:t>
      </w:r>
      <w:r w:rsidRPr="001B4A02">
        <w:rPr>
          <w:szCs w:val="22"/>
        </w:rPr>
        <w:t>mohlo se jednat o opětovné vzplanutí latentního onemocnění.</w:t>
      </w:r>
    </w:p>
    <w:p w14:paraId="388100EC" w14:textId="77777777" w:rsidR="00ED3511" w:rsidRPr="001B4A02" w:rsidRDefault="00ED3511" w:rsidP="00ED48A3">
      <w:pPr>
        <w:ind w:left="0" w:firstLine="0"/>
      </w:pPr>
    </w:p>
    <w:p w14:paraId="480D2298" w14:textId="77777777" w:rsidR="00ED3511" w:rsidRPr="001B4A02" w:rsidRDefault="00000000" w:rsidP="00ED48A3">
      <w:pPr>
        <w:pStyle w:val="EMEAHeadingUnderline"/>
        <w:keepNext/>
        <w:tabs>
          <w:tab w:val="clear" w:pos="562"/>
        </w:tabs>
        <w:suppressAutoHyphens w:val="0"/>
        <w:spacing w:beforeLines="0" w:before="0" w:afterLines="0" w:after="0"/>
        <w:rPr>
          <w:i/>
          <w:szCs w:val="24"/>
          <w:u w:val="none"/>
          <w:lang w:val="cs-CZ"/>
        </w:rPr>
      </w:pPr>
      <w:r w:rsidRPr="001B4A02">
        <w:rPr>
          <w:i/>
          <w:szCs w:val="24"/>
          <w:u w:val="none"/>
          <w:lang w:val="cs-CZ"/>
        </w:rPr>
        <w:t>Maligní onemocnění</w:t>
      </w:r>
      <w:r w:rsidR="002378E0">
        <w:rPr>
          <w:i/>
          <w:szCs w:val="24"/>
          <w:u w:val="none"/>
          <w:lang w:val="cs-CZ"/>
        </w:rPr>
        <w:t xml:space="preserve"> a </w:t>
      </w:r>
      <w:r w:rsidRPr="001B4A02">
        <w:rPr>
          <w:i/>
          <w:szCs w:val="24"/>
          <w:u w:val="none"/>
          <w:lang w:val="cs-CZ"/>
        </w:rPr>
        <w:t xml:space="preserve">lymfoproliferativní poruchy </w:t>
      </w:r>
    </w:p>
    <w:p w14:paraId="3AF4F849" w14:textId="77777777" w:rsidR="00ED3511" w:rsidRPr="001B4A02" w:rsidRDefault="00ED3511" w:rsidP="00ED48A3">
      <w:pPr>
        <w:keepNext/>
      </w:pPr>
    </w:p>
    <w:p w14:paraId="62E5E4E8" w14:textId="77777777" w:rsidR="00ED3511" w:rsidRPr="001B4A02" w:rsidRDefault="00000000" w:rsidP="00790DEF">
      <w:pPr>
        <w:pStyle w:val="EMEANormal"/>
        <w:tabs>
          <w:tab w:val="clear" w:pos="562"/>
        </w:tabs>
        <w:suppressAutoHyphens w:val="0"/>
        <w:rPr>
          <w:lang w:val="cs-CZ"/>
        </w:rPr>
      </w:pPr>
      <w:r w:rsidRPr="001B4A02">
        <w:rPr>
          <w:lang w:val="cs-CZ"/>
        </w:rPr>
        <w:t xml:space="preserve">Ve </w:t>
      </w:r>
      <w:r w:rsidR="006C5D05" w:rsidRPr="001B4A02">
        <w:rPr>
          <w:lang w:val="cs-CZ"/>
        </w:rPr>
        <w:t xml:space="preserve">studiích </w:t>
      </w:r>
      <w:r w:rsidRPr="001B4A02">
        <w:rPr>
          <w:lang w:val="cs-CZ"/>
        </w:rPr>
        <w:t>s přípravkem Humira nebyly u 249 pediatrických pacientů s juvenilní idiopatickou artritidou (polyartikulární juvenilní idiopatickou artritidou</w:t>
      </w:r>
      <w:r w:rsidR="002378E0">
        <w:rPr>
          <w:lang w:val="cs-CZ"/>
        </w:rPr>
        <w:t xml:space="preserve"> a </w:t>
      </w:r>
      <w:r w:rsidRPr="001B4A02">
        <w:rPr>
          <w:lang w:val="cs-CZ"/>
        </w:rPr>
        <w:t>entezopatickou artritidou) pozorovány žádné malignity při expozici odpovídající 655,6 pacientorokům léčby</w:t>
      </w:r>
      <w:r w:rsidR="00062315" w:rsidRPr="001B4A02">
        <w:rPr>
          <w:lang w:val="cs-CZ"/>
        </w:rPr>
        <w:t xml:space="preserve">. Žádné malignity nebyly navíc </w:t>
      </w:r>
      <w:r w:rsidRPr="001B4A02">
        <w:rPr>
          <w:lang w:val="cs-CZ"/>
        </w:rPr>
        <w:t>pozorovány ani u</w:t>
      </w:r>
      <w:r w:rsidR="003315BB" w:rsidRPr="001B4A02">
        <w:rPr>
          <w:lang w:val="cs-CZ"/>
        </w:rPr>
        <w:t> </w:t>
      </w:r>
      <w:r w:rsidRPr="001B4A02">
        <w:rPr>
          <w:lang w:val="cs-CZ"/>
        </w:rPr>
        <w:t xml:space="preserve">192 pediatrických pacientů při expozici </w:t>
      </w:r>
      <w:r w:rsidR="00477CAC" w:rsidRPr="001B4A02">
        <w:rPr>
          <w:lang w:val="cs-CZ"/>
        </w:rPr>
        <w:t>498,1</w:t>
      </w:r>
      <w:r w:rsidRPr="001B4A02">
        <w:rPr>
          <w:lang w:val="cs-CZ"/>
        </w:rPr>
        <w:t xml:space="preserve"> pacientoroků léčby v průběhu </w:t>
      </w:r>
      <w:r w:rsidR="006C5D05" w:rsidRPr="001B4A02">
        <w:rPr>
          <w:lang w:val="cs-CZ"/>
        </w:rPr>
        <w:t xml:space="preserve">studií </w:t>
      </w:r>
      <w:r w:rsidRPr="001B4A02">
        <w:rPr>
          <w:lang w:val="cs-CZ"/>
        </w:rPr>
        <w:t xml:space="preserve">s přípravkem Humira, </w:t>
      </w:r>
      <w:r w:rsidR="006C5D05" w:rsidRPr="001B4A02">
        <w:rPr>
          <w:lang w:val="cs-CZ"/>
        </w:rPr>
        <w:t xml:space="preserve">zaměřených </w:t>
      </w:r>
      <w:r w:rsidRPr="001B4A02">
        <w:rPr>
          <w:lang w:val="cs-CZ"/>
        </w:rPr>
        <w:t>na pediatrické pacienty s Crohnovou chorobou. Žádné malignity nebyly pozorovány u</w:t>
      </w:r>
      <w:r w:rsidR="003315BB" w:rsidRPr="001B4A02">
        <w:rPr>
          <w:lang w:val="cs-CZ"/>
        </w:rPr>
        <w:t> </w:t>
      </w:r>
      <w:r w:rsidRPr="001B4A02">
        <w:rPr>
          <w:lang w:val="cs-CZ"/>
        </w:rPr>
        <w:t>77 pediatrických pacientů při expozici 80 pacientoroků léčby v průběhu studie s přípravkem Humira u</w:t>
      </w:r>
      <w:r w:rsidR="003315BB" w:rsidRPr="001B4A02">
        <w:rPr>
          <w:lang w:val="cs-CZ"/>
        </w:rPr>
        <w:t> </w:t>
      </w:r>
      <w:r w:rsidRPr="001B4A02">
        <w:rPr>
          <w:lang w:val="cs-CZ"/>
        </w:rPr>
        <w:t>pediatrických pacientů s chronickou ložiskovou psoriázou.</w:t>
      </w:r>
      <w:r w:rsidR="00174239" w:rsidRPr="001B4A02">
        <w:rPr>
          <w:lang w:val="cs-CZ"/>
        </w:rPr>
        <w:t xml:space="preserve"> </w:t>
      </w:r>
      <w:r w:rsidR="00FA04EC" w:rsidRPr="00295D4C">
        <w:rPr>
          <w:lang w:val="cs-CZ"/>
        </w:rPr>
        <w:t>Žádné malignity nebyly pozorovány u</w:t>
      </w:r>
      <w:r w:rsidR="00390F17" w:rsidRPr="001B4A02">
        <w:rPr>
          <w:lang w:val="cs-CZ"/>
        </w:rPr>
        <w:t> </w:t>
      </w:r>
      <w:r w:rsidR="00FA04EC" w:rsidRPr="00295D4C">
        <w:rPr>
          <w:lang w:val="cs-CZ"/>
        </w:rPr>
        <w:t>93 pediatrických pacientů při expozici 65,3 pacientoroků léčby v</w:t>
      </w:r>
      <w:r w:rsidR="00390F17">
        <w:rPr>
          <w:lang w:val="cs-CZ"/>
        </w:rPr>
        <w:t> </w:t>
      </w:r>
      <w:r w:rsidR="00FA04EC" w:rsidRPr="00295D4C">
        <w:rPr>
          <w:lang w:val="cs-CZ"/>
        </w:rPr>
        <w:t>průběhu studie s</w:t>
      </w:r>
      <w:r w:rsidR="00390F17">
        <w:rPr>
          <w:lang w:val="cs-CZ"/>
        </w:rPr>
        <w:t> </w:t>
      </w:r>
      <w:r w:rsidR="00FA04EC" w:rsidRPr="00295D4C">
        <w:rPr>
          <w:lang w:val="cs-CZ"/>
        </w:rPr>
        <w:t>přípravkem Humira u</w:t>
      </w:r>
      <w:r w:rsidR="00390F17" w:rsidRPr="001B4A02">
        <w:rPr>
          <w:lang w:val="cs-CZ"/>
        </w:rPr>
        <w:t> </w:t>
      </w:r>
      <w:r w:rsidR="00FA04EC" w:rsidRPr="00295D4C">
        <w:rPr>
          <w:lang w:val="cs-CZ"/>
        </w:rPr>
        <w:t>pediatrických pacientů s</w:t>
      </w:r>
      <w:r w:rsidR="00390F17">
        <w:rPr>
          <w:lang w:val="cs-CZ"/>
        </w:rPr>
        <w:t> </w:t>
      </w:r>
      <w:r w:rsidR="00FA04EC" w:rsidRPr="00295D4C">
        <w:rPr>
          <w:lang w:val="cs-CZ"/>
        </w:rPr>
        <w:t>ulcerózní kolitidou</w:t>
      </w:r>
      <w:r w:rsidR="00C76DCD" w:rsidRPr="001D2137">
        <w:rPr>
          <w:rStyle w:val="normaltextrun"/>
          <w:shd w:val="clear" w:color="auto" w:fill="FFFFFF"/>
          <w:lang w:val="cs-CZ"/>
        </w:rPr>
        <w:t xml:space="preserve">. </w:t>
      </w:r>
      <w:r w:rsidR="00174239" w:rsidRPr="001B4A02">
        <w:rPr>
          <w:szCs w:val="22"/>
          <w:lang w:val="cs-CZ"/>
        </w:rPr>
        <w:t>U</w:t>
      </w:r>
      <w:r w:rsidR="003315BB" w:rsidRPr="001B4A02">
        <w:rPr>
          <w:szCs w:val="22"/>
          <w:lang w:val="cs-CZ"/>
        </w:rPr>
        <w:t> </w:t>
      </w:r>
      <w:r w:rsidR="00174239" w:rsidRPr="001B4A02">
        <w:rPr>
          <w:szCs w:val="22"/>
          <w:lang w:val="cs-CZ"/>
        </w:rPr>
        <w:t>60</w:t>
      </w:r>
      <w:r w:rsidR="003315BB" w:rsidRPr="001B4A02">
        <w:rPr>
          <w:szCs w:val="22"/>
          <w:lang w:val="cs-CZ"/>
        </w:rPr>
        <w:t xml:space="preserve"> </w:t>
      </w:r>
      <w:r w:rsidR="00174239" w:rsidRPr="001B4A02">
        <w:rPr>
          <w:szCs w:val="22"/>
          <w:lang w:val="cs-CZ"/>
        </w:rPr>
        <w:t>pediatrických pacientů s</w:t>
      </w:r>
      <w:r w:rsidR="00DD02A9" w:rsidRPr="001B4A02">
        <w:rPr>
          <w:szCs w:val="22"/>
          <w:lang w:val="cs-CZ"/>
        </w:rPr>
        <w:t> </w:t>
      </w:r>
      <w:r w:rsidR="00174239" w:rsidRPr="001B4A02">
        <w:rPr>
          <w:szCs w:val="22"/>
          <w:lang w:val="cs-CZ"/>
        </w:rPr>
        <w:t xml:space="preserve">expozicí 58,4 pacientoroků </w:t>
      </w:r>
      <w:r w:rsidR="008B623D" w:rsidRPr="001B4A02">
        <w:rPr>
          <w:szCs w:val="22"/>
          <w:lang w:val="cs-CZ"/>
        </w:rPr>
        <w:t xml:space="preserve">nebyly pozorovány žádné malignity </w:t>
      </w:r>
      <w:r w:rsidR="00174239" w:rsidRPr="001B4A02">
        <w:rPr>
          <w:szCs w:val="22"/>
          <w:lang w:val="cs-CZ"/>
        </w:rPr>
        <w:t>během klinického hodnocení s</w:t>
      </w:r>
      <w:r w:rsidR="00DD02A9" w:rsidRPr="001B4A02">
        <w:rPr>
          <w:szCs w:val="22"/>
          <w:lang w:val="cs-CZ"/>
        </w:rPr>
        <w:t> </w:t>
      </w:r>
      <w:r w:rsidR="00174239" w:rsidRPr="001B4A02">
        <w:rPr>
          <w:szCs w:val="22"/>
          <w:lang w:val="cs-CZ"/>
        </w:rPr>
        <w:t>přípravkem Humira u</w:t>
      </w:r>
      <w:r w:rsidR="003315BB" w:rsidRPr="001B4A02">
        <w:rPr>
          <w:szCs w:val="22"/>
          <w:lang w:val="cs-CZ"/>
        </w:rPr>
        <w:t> </w:t>
      </w:r>
      <w:r w:rsidR="00174239" w:rsidRPr="001B4A02">
        <w:rPr>
          <w:szCs w:val="22"/>
          <w:lang w:val="cs-CZ"/>
        </w:rPr>
        <w:t>pediatrických pacientů s</w:t>
      </w:r>
      <w:r w:rsidR="00DD02A9" w:rsidRPr="001B4A02">
        <w:rPr>
          <w:szCs w:val="22"/>
          <w:lang w:val="cs-CZ"/>
        </w:rPr>
        <w:t> </w:t>
      </w:r>
      <w:r w:rsidR="00174239" w:rsidRPr="001B4A02">
        <w:rPr>
          <w:szCs w:val="22"/>
          <w:lang w:val="cs-CZ"/>
        </w:rPr>
        <w:t>uveitidou.</w:t>
      </w:r>
    </w:p>
    <w:p w14:paraId="288B70B3" w14:textId="77777777" w:rsidR="00ED3511" w:rsidRPr="001B4A02" w:rsidRDefault="00ED3511" w:rsidP="00ED48A3">
      <w:pPr>
        <w:pStyle w:val="EMEANormal"/>
        <w:tabs>
          <w:tab w:val="clear" w:pos="562"/>
          <w:tab w:val="left" w:pos="708"/>
        </w:tabs>
        <w:suppressAutoHyphens w:val="0"/>
        <w:rPr>
          <w:lang w:val="cs-CZ"/>
        </w:rPr>
      </w:pPr>
    </w:p>
    <w:p w14:paraId="086F4365" w14:textId="77777777" w:rsidR="00ED3511" w:rsidRPr="001B4A02" w:rsidRDefault="00000000" w:rsidP="00ED48A3">
      <w:pPr>
        <w:pStyle w:val="EMEANormal"/>
        <w:tabs>
          <w:tab w:val="clear" w:pos="562"/>
        </w:tabs>
        <w:suppressAutoHyphens w:val="0"/>
        <w:rPr>
          <w:lang w:val="cs-CZ"/>
        </w:rPr>
      </w:pPr>
      <w:r w:rsidRPr="001B4A02">
        <w:rPr>
          <w:lang w:val="cs-CZ"/>
        </w:rPr>
        <w:t>V průběhu kontrolovaného období klíčových klinických studií u</w:t>
      </w:r>
      <w:r w:rsidR="003315BB" w:rsidRPr="001B4A02">
        <w:rPr>
          <w:lang w:val="cs-CZ"/>
        </w:rPr>
        <w:t> </w:t>
      </w:r>
      <w:r w:rsidRPr="001B4A02">
        <w:rPr>
          <w:lang w:val="cs-CZ"/>
        </w:rPr>
        <w:t>dospělých pacientů s přípravkem Humira, v trvání nejméně 12 týdnů</w:t>
      </w:r>
      <w:r w:rsidR="00C223B0" w:rsidRPr="001B4A02">
        <w:rPr>
          <w:lang w:val="cs-CZ"/>
        </w:rPr>
        <w:t>,</w:t>
      </w:r>
      <w:r w:rsidRPr="001B4A02">
        <w:rPr>
          <w:lang w:val="cs-CZ"/>
        </w:rPr>
        <w:t xml:space="preserve"> byly u pacientů se středně těžkou až těžkou aktivní revmatoidní artritidou, ankylozující spondylitidou, </w:t>
      </w:r>
      <w:r w:rsidRPr="001B4A02">
        <w:rPr>
          <w:szCs w:val="22"/>
          <w:lang w:val="cs-CZ"/>
        </w:rPr>
        <w:t>axiální spondylartritidou bez radiologického průkazu AS,</w:t>
      </w:r>
      <w:r w:rsidRPr="001B4A02">
        <w:rPr>
          <w:lang w:val="cs-CZ"/>
        </w:rPr>
        <w:t xml:space="preserve"> psoriatickou artritidou, psoriázou, </w:t>
      </w:r>
      <w:r w:rsidR="00BF4426" w:rsidRPr="001B4A02">
        <w:rPr>
          <w:lang w:val="cs-CZ"/>
        </w:rPr>
        <w:t xml:space="preserve">hidradenitis suppurativa, </w:t>
      </w:r>
      <w:r w:rsidRPr="001B4A02">
        <w:rPr>
          <w:lang w:val="cs-CZ"/>
        </w:rPr>
        <w:t>Crohnovou chorobou</w:t>
      </w:r>
      <w:r w:rsidR="00F565BA" w:rsidRPr="001B4A02">
        <w:rPr>
          <w:lang w:val="cs-CZ"/>
        </w:rPr>
        <w:t>,</w:t>
      </w:r>
      <w:r w:rsidRPr="001B4A02">
        <w:rPr>
          <w:lang w:val="cs-CZ"/>
        </w:rPr>
        <w:t xml:space="preserve"> ulcerózní kolitidou</w:t>
      </w:r>
      <w:r w:rsidR="002378E0">
        <w:rPr>
          <w:lang w:val="cs-CZ"/>
        </w:rPr>
        <w:t xml:space="preserve"> a </w:t>
      </w:r>
      <w:r w:rsidR="00F565BA" w:rsidRPr="001B4A02">
        <w:rPr>
          <w:lang w:val="cs-CZ"/>
        </w:rPr>
        <w:t xml:space="preserve">uveitidou </w:t>
      </w:r>
      <w:r w:rsidRPr="001B4A02">
        <w:rPr>
          <w:lang w:val="cs-CZ"/>
        </w:rPr>
        <w:t xml:space="preserve">pozorovány případy malignit jiného druhu, než jsou lymfomy či nemelanomový karcinom kůže, s četností výskytu </w:t>
      </w:r>
      <w:r w:rsidR="00F565BA" w:rsidRPr="001B4A02">
        <w:rPr>
          <w:lang w:val="cs-CZ"/>
        </w:rPr>
        <w:t>6,8 (4,4</w:t>
      </w:r>
      <w:r w:rsidR="002378E0">
        <w:rPr>
          <w:lang w:val="cs-CZ"/>
        </w:rPr>
        <w:t xml:space="preserve"> a </w:t>
      </w:r>
      <w:r w:rsidR="00F565BA" w:rsidRPr="001B4A02">
        <w:rPr>
          <w:lang w:val="cs-CZ"/>
        </w:rPr>
        <w:t>10,5)</w:t>
      </w:r>
      <w:r w:rsidRPr="001B4A02">
        <w:rPr>
          <w:lang w:val="cs-CZ"/>
        </w:rPr>
        <w:t xml:space="preserve"> (na 1</w:t>
      </w:r>
      <w:r w:rsidR="009F584E" w:rsidRPr="001B4A02">
        <w:rPr>
          <w:lang w:val="cs-CZ"/>
        </w:rPr>
        <w:t> </w:t>
      </w:r>
      <w:r w:rsidRPr="001B4A02">
        <w:rPr>
          <w:lang w:val="cs-CZ"/>
        </w:rPr>
        <w:t xml:space="preserve">000 pacientoroků při 95% intervalu spolehlivosti, </w:t>
      </w:r>
      <w:r w:rsidRPr="001B4A02">
        <w:rPr>
          <w:iCs/>
          <w:lang w:val="cs-CZ"/>
        </w:rPr>
        <w:t>v</w:t>
      </w:r>
      <w:r w:rsidR="0045502F" w:rsidRPr="001B4A02">
        <w:rPr>
          <w:iCs/>
          <w:lang w:val="cs-CZ"/>
        </w:rPr>
        <w:t> </w:t>
      </w:r>
      <w:r w:rsidRPr="001B4A02">
        <w:rPr>
          <w:iCs/>
          <w:lang w:val="cs-CZ"/>
        </w:rPr>
        <w:t>porovnání</w:t>
      </w:r>
      <w:r w:rsidRPr="001B4A02">
        <w:rPr>
          <w:lang w:val="cs-CZ"/>
        </w:rPr>
        <w:t xml:space="preserve"> s četností jejich výskytu </w:t>
      </w:r>
      <w:r w:rsidR="00F565BA" w:rsidRPr="001B4A02">
        <w:rPr>
          <w:lang w:val="cs-CZ"/>
        </w:rPr>
        <w:t>6,3 (3,4</w:t>
      </w:r>
      <w:r w:rsidR="002378E0">
        <w:rPr>
          <w:lang w:val="cs-CZ"/>
        </w:rPr>
        <w:t xml:space="preserve"> a </w:t>
      </w:r>
      <w:r w:rsidR="00F565BA" w:rsidRPr="001B4A02">
        <w:rPr>
          <w:lang w:val="cs-CZ"/>
        </w:rPr>
        <w:t>11,8)</w:t>
      </w:r>
      <w:r w:rsidRPr="001B4A02">
        <w:rPr>
          <w:lang w:val="cs-CZ"/>
        </w:rPr>
        <w:t xml:space="preserve"> na 1</w:t>
      </w:r>
      <w:r w:rsidR="009F584E" w:rsidRPr="001B4A02">
        <w:rPr>
          <w:lang w:val="cs-CZ"/>
        </w:rPr>
        <w:t> </w:t>
      </w:r>
      <w:r w:rsidRPr="001B4A02">
        <w:rPr>
          <w:lang w:val="cs-CZ"/>
        </w:rPr>
        <w:t xml:space="preserve">000 pacientoroků u kontrolní skupiny. Skupina s přípravkem Humira zahrnovala </w:t>
      </w:r>
      <w:r w:rsidR="00F565BA" w:rsidRPr="001B4A02">
        <w:rPr>
          <w:lang w:val="cs-CZ"/>
        </w:rPr>
        <w:t>5 291</w:t>
      </w:r>
      <w:r w:rsidRPr="001B4A02">
        <w:rPr>
          <w:lang w:val="cs-CZ"/>
        </w:rPr>
        <w:t xml:space="preserve"> pacientů</w:t>
      </w:r>
      <w:r w:rsidR="002378E0">
        <w:rPr>
          <w:lang w:val="cs-CZ"/>
        </w:rPr>
        <w:t xml:space="preserve"> a </w:t>
      </w:r>
      <w:r w:rsidR="00F565BA" w:rsidRPr="001B4A02">
        <w:rPr>
          <w:lang w:val="cs-CZ"/>
        </w:rPr>
        <w:t>3 444</w:t>
      </w:r>
      <w:r w:rsidRPr="001B4A02">
        <w:rPr>
          <w:lang w:val="cs-CZ"/>
        </w:rPr>
        <w:t xml:space="preserve"> pacientů bylo v kontrolní skupině (průměrná doba trvání léčby byla </w:t>
      </w:r>
      <w:r w:rsidR="00BF4426" w:rsidRPr="001B4A02">
        <w:rPr>
          <w:lang w:val="cs-CZ"/>
        </w:rPr>
        <w:t>4,0</w:t>
      </w:r>
      <w:r w:rsidRPr="001B4A02">
        <w:rPr>
          <w:lang w:val="cs-CZ"/>
        </w:rPr>
        <w:t xml:space="preserve"> měsíc</w:t>
      </w:r>
      <w:r w:rsidR="00B14CF7" w:rsidRPr="001B4A02">
        <w:rPr>
          <w:lang w:val="cs-CZ"/>
        </w:rPr>
        <w:t>e</w:t>
      </w:r>
      <w:r w:rsidRPr="001B4A02">
        <w:rPr>
          <w:lang w:val="cs-CZ"/>
        </w:rPr>
        <w:t xml:space="preserve"> u</w:t>
      </w:r>
      <w:r w:rsidR="003315BB" w:rsidRPr="001B4A02">
        <w:rPr>
          <w:lang w:val="cs-CZ"/>
        </w:rPr>
        <w:t> </w:t>
      </w:r>
      <w:r w:rsidRPr="001B4A02">
        <w:rPr>
          <w:lang w:val="cs-CZ"/>
        </w:rPr>
        <w:t>přípravku Humira</w:t>
      </w:r>
      <w:r w:rsidR="002378E0">
        <w:rPr>
          <w:lang w:val="cs-CZ"/>
        </w:rPr>
        <w:t xml:space="preserve"> a </w:t>
      </w:r>
      <w:r w:rsidR="00B14CF7" w:rsidRPr="001B4A02">
        <w:rPr>
          <w:lang w:val="cs-CZ"/>
        </w:rPr>
        <w:t>3,8</w:t>
      </w:r>
      <w:r w:rsidRPr="001B4A02">
        <w:rPr>
          <w:lang w:val="cs-CZ"/>
        </w:rPr>
        <w:t xml:space="preserve"> měsíc</w:t>
      </w:r>
      <w:r w:rsidR="00B14CF7" w:rsidRPr="001B4A02">
        <w:rPr>
          <w:lang w:val="cs-CZ"/>
        </w:rPr>
        <w:t>e</w:t>
      </w:r>
      <w:r w:rsidRPr="001B4A02">
        <w:rPr>
          <w:lang w:val="cs-CZ"/>
        </w:rPr>
        <w:t xml:space="preserve"> u pacientů léčených kontrolou). Četnost výskytu kožních karcinomů nemelanomového typu (95% interval spolehlivosti) byla </w:t>
      </w:r>
      <w:r w:rsidR="00B14CF7" w:rsidRPr="001B4A02">
        <w:rPr>
          <w:lang w:val="cs-CZ"/>
        </w:rPr>
        <w:t>8,8 (6,0</w:t>
      </w:r>
      <w:r w:rsidR="002378E0">
        <w:rPr>
          <w:lang w:val="cs-CZ"/>
        </w:rPr>
        <w:t xml:space="preserve"> a </w:t>
      </w:r>
      <w:r w:rsidR="00B14CF7" w:rsidRPr="001B4A02">
        <w:rPr>
          <w:lang w:val="cs-CZ"/>
        </w:rPr>
        <w:t>13,0)</w:t>
      </w:r>
      <w:r w:rsidRPr="001B4A02">
        <w:rPr>
          <w:lang w:val="cs-CZ"/>
        </w:rPr>
        <w:t xml:space="preserve"> na 1</w:t>
      </w:r>
      <w:r w:rsidR="009F584E" w:rsidRPr="001B4A02">
        <w:rPr>
          <w:lang w:val="cs-CZ"/>
        </w:rPr>
        <w:t> </w:t>
      </w:r>
      <w:r w:rsidRPr="001B4A02">
        <w:rPr>
          <w:lang w:val="cs-CZ"/>
        </w:rPr>
        <w:t>000 pacientoroků u</w:t>
      </w:r>
      <w:r w:rsidR="003315BB" w:rsidRPr="001B4A02">
        <w:rPr>
          <w:lang w:val="cs-CZ"/>
        </w:rPr>
        <w:t> </w:t>
      </w:r>
      <w:r w:rsidRPr="001B4A02">
        <w:rPr>
          <w:lang w:val="cs-CZ"/>
        </w:rPr>
        <w:t>pacientů léčených přípravkem Humira</w:t>
      </w:r>
      <w:r w:rsidR="002378E0">
        <w:rPr>
          <w:lang w:val="cs-CZ"/>
        </w:rPr>
        <w:t xml:space="preserve"> a </w:t>
      </w:r>
      <w:r w:rsidR="00B14CF7" w:rsidRPr="001B4A02">
        <w:rPr>
          <w:lang w:val="cs-CZ"/>
        </w:rPr>
        <w:t>3,2 (1,3</w:t>
      </w:r>
      <w:r w:rsidR="002378E0">
        <w:rPr>
          <w:lang w:val="cs-CZ"/>
        </w:rPr>
        <w:t xml:space="preserve"> a </w:t>
      </w:r>
      <w:r w:rsidR="00B14CF7" w:rsidRPr="001B4A02">
        <w:rPr>
          <w:lang w:val="cs-CZ"/>
        </w:rPr>
        <w:t>7,6)</w:t>
      </w:r>
      <w:r w:rsidRPr="001B4A02">
        <w:rPr>
          <w:lang w:val="cs-CZ"/>
        </w:rPr>
        <w:t xml:space="preserve"> na 1</w:t>
      </w:r>
      <w:r w:rsidR="009F584E" w:rsidRPr="001B4A02">
        <w:rPr>
          <w:lang w:val="cs-CZ"/>
        </w:rPr>
        <w:t> </w:t>
      </w:r>
      <w:r w:rsidRPr="001B4A02">
        <w:rPr>
          <w:lang w:val="cs-CZ"/>
        </w:rPr>
        <w:t xml:space="preserve">000 pacientoroků v kontrolní skupině. Z těchto kožních karcinomů se skvamózní buněčný karcinom vyskytoval s četností </w:t>
      </w:r>
      <w:r w:rsidR="00B14CF7" w:rsidRPr="001B4A02">
        <w:rPr>
          <w:lang w:val="cs-CZ"/>
        </w:rPr>
        <w:t>2,7 (1,4</w:t>
      </w:r>
      <w:r w:rsidR="002378E0">
        <w:rPr>
          <w:lang w:val="cs-CZ"/>
        </w:rPr>
        <w:t xml:space="preserve"> a </w:t>
      </w:r>
      <w:r w:rsidR="00B14CF7" w:rsidRPr="001B4A02">
        <w:rPr>
          <w:lang w:val="cs-CZ"/>
        </w:rPr>
        <w:t>5,4)</w:t>
      </w:r>
      <w:r w:rsidRPr="001B4A02">
        <w:rPr>
          <w:lang w:val="cs-CZ"/>
        </w:rPr>
        <w:t xml:space="preserve"> na 1</w:t>
      </w:r>
      <w:r w:rsidR="009F584E" w:rsidRPr="001B4A02">
        <w:rPr>
          <w:lang w:val="cs-CZ"/>
        </w:rPr>
        <w:t> </w:t>
      </w:r>
      <w:r w:rsidRPr="001B4A02">
        <w:rPr>
          <w:lang w:val="cs-CZ"/>
        </w:rPr>
        <w:t>000 pacient</w:t>
      </w:r>
      <w:r w:rsidR="00545FBD" w:rsidRPr="001B4A02">
        <w:rPr>
          <w:lang w:val="cs-CZ"/>
        </w:rPr>
        <w:t>oroků</w:t>
      </w:r>
      <w:r w:rsidRPr="001B4A02">
        <w:rPr>
          <w:lang w:val="cs-CZ"/>
        </w:rPr>
        <w:t xml:space="preserve"> při 95% intervalu spolehlivosti u</w:t>
      </w:r>
      <w:r w:rsidR="00790DEF" w:rsidRPr="001B4A02">
        <w:rPr>
          <w:lang w:val="cs-CZ"/>
        </w:rPr>
        <w:t> </w:t>
      </w:r>
      <w:r w:rsidRPr="001B4A02">
        <w:rPr>
          <w:lang w:val="cs-CZ"/>
        </w:rPr>
        <w:t>pacientů léčených přípravkem Humira</w:t>
      </w:r>
      <w:r w:rsidR="002378E0">
        <w:rPr>
          <w:lang w:val="cs-CZ"/>
        </w:rPr>
        <w:t xml:space="preserve"> a </w:t>
      </w:r>
      <w:r w:rsidR="00B14CF7" w:rsidRPr="001B4A02">
        <w:rPr>
          <w:lang w:val="cs-CZ"/>
        </w:rPr>
        <w:t>0,6 (0,1</w:t>
      </w:r>
      <w:r w:rsidR="002378E0">
        <w:rPr>
          <w:lang w:val="cs-CZ"/>
        </w:rPr>
        <w:t xml:space="preserve"> a </w:t>
      </w:r>
      <w:r w:rsidR="00B14CF7" w:rsidRPr="001B4A02">
        <w:rPr>
          <w:lang w:val="cs-CZ"/>
        </w:rPr>
        <w:t>4,5)</w:t>
      </w:r>
      <w:r w:rsidRPr="001B4A02">
        <w:rPr>
          <w:lang w:val="cs-CZ"/>
        </w:rPr>
        <w:t xml:space="preserve"> na 1</w:t>
      </w:r>
      <w:r w:rsidR="009F584E" w:rsidRPr="001B4A02">
        <w:rPr>
          <w:lang w:val="cs-CZ"/>
        </w:rPr>
        <w:t> </w:t>
      </w:r>
      <w:r w:rsidRPr="001B4A02">
        <w:rPr>
          <w:lang w:val="cs-CZ"/>
        </w:rPr>
        <w:t>000 pacientoroků u kontrolních pacientů. Četnost výskytu lymfomů (95% interval spolehlivosti) byla 0,7 (</w:t>
      </w:r>
      <w:r w:rsidR="00B14CF7" w:rsidRPr="001B4A02">
        <w:rPr>
          <w:lang w:val="cs-CZ"/>
        </w:rPr>
        <w:t>0,2</w:t>
      </w:r>
      <w:r w:rsidR="002378E0">
        <w:rPr>
          <w:lang w:val="cs-CZ"/>
        </w:rPr>
        <w:t xml:space="preserve"> a </w:t>
      </w:r>
      <w:r w:rsidR="00B14CF7" w:rsidRPr="001B4A02">
        <w:rPr>
          <w:lang w:val="cs-CZ"/>
        </w:rPr>
        <w:t>2,7</w:t>
      </w:r>
      <w:r w:rsidRPr="001B4A02">
        <w:rPr>
          <w:lang w:val="cs-CZ"/>
        </w:rPr>
        <w:t>) na 1</w:t>
      </w:r>
      <w:r w:rsidR="00545FBD" w:rsidRPr="001B4A02">
        <w:rPr>
          <w:lang w:val="cs-CZ"/>
        </w:rPr>
        <w:t> </w:t>
      </w:r>
      <w:r w:rsidRPr="001B4A02">
        <w:rPr>
          <w:lang w:val="cs-CZ"/>
        </w:rPr>
        <w:t>000</w:t>
      </w:r>
      <w:r w:rsidR="00545FBD" w:rsidRPr="001B4A02">
        <w:rPr>
          <w:lang w:val="cs-CZ"/>
        </w:rPr>
        <w:t xml:space="preserve"> </w:t>
      </w:r>
      <w:r w:rsidRPr="001B4A02">
        <w:rPr>
          <w:lang w:val="cs-CZ"/>
        </w:rPr>
        <w:t>pacientoroků u</w:t>
      </w:r>
      <w:r w:rsidR="003315BB" w:rsidRPr="001B4A02">
        <w:rPr>
          <w:lang w:val="cs-CZ"/>
        </w:rPr>
        <w:t> </w:t>
      </w:r>
      <w:r w:rsidRPr="001B4A02">
        <w:rPr>
          <w:lang w:val="cs-CZ"/>
        </w:rPr>
        <w:t>pacientů léčených přípravkem Humira</w:t>
      </w:r>
      <w:r w:rsidR="002378E0">
        <w:rPr>
          <w:lang w:val="cs-CZ"/>
        </w:rPr>
        <w:t xml:space="preserve"> a </w:t>
      </w:r>
      <w:r w:rsidR="00B14CF7" w:rsidRPr="001B4A02">
        <w:rPr>
          <w:lang w:val="cs-CZ"/>
        </w:rPr>
        <w:t>0,6 (0,1</w:t>
      </w:r>
      <w:r w:rsidR="002378E0">
        <w:rPr>
          <w:lang w:val="cs-CZ"/>
        </w:rPr>
        <w:t xml:space="preserve"> a </w:t>
      </w:r>
      <w:r w:rsidR="00B14CF7" w:rsidRPr="001B4A02">
        <w:rPr>
          <w:lang w:val="cs-CZ"/>
        </w:rPr>
        <w:t>4,5)</w:t>
      </w:r>
      <w:r w:rsidRPr="001B4A02">
        <w:rPr>
          <w:lang w:val="cs-CZ"/>
        </w:rPr>
        <w:t xml:space="preserve"> na 1</w:t>
      </w:r>
      <w:r w:rsidR="00545FBD" w:rsidRPr="001B4A02">
        <w:rPr>
          <w:lang w:val="cs-CZ"/>
        </w:rPr>
        <w:t> </w:t>
      </w:r>
      <w:r w:rsidRPr="001B4A02">
        <w:rPr>
          <w:lang w:val="cs-CZ"/>
        </w:rPr>
        <w:t>000</w:t>
      </w:r>
      <w:r w:rsidR="00545FBD" w:rsidRPr="001B4A02">
        <w:rPr>
          <w:lang w:val="cs-CZ"/>
        </w:rPr>
        <w:t xml:space="preserve"> </w:t>
      </w:r>
      <w:r w:rsidRPr="001B4A02">
        <w:rPr>
          <w:lang w:val="cs-CZ"/>
        </w:rPr>
        <w:t>pacient</w:t>
      </w:r>
      <w:r w:rsidR="00545FBD" w:rsidRPr="001B4A02">
        <w:rPr>
          <w:lang w:val="cs-CZ"/>
        </w:rPr>
        <w:t>oroků</w:t>
      </w:r>
      <w:r w:rsidR="00062315" w:rsidRPr="001B4A02">
        <w:rPr>
          <w:lang w:val="cs-CZ"/>
        </w:rPr>
        <w:t xml:space="preserve"> u kontrolních pacientů.</w:t>
      </w:r>
    </w:p>
    <w:p w14:paraId="2F792E4B" w14:textId="77777777" w:rsidR="00ED3511" w:rsidRPr="001B4A02" w:rsidRDefault="00ED3511" w:rsidP="00ED48A3">
      <w:pPr>
        <w:pStyle w:val="EMEANormal"/>
        <w:tabs>
          <w:tab w:val="clear" w:pos="562"/>
        </w:tabs>
        <w:suppressAutoHyphens w:val="0"/>
        <w:rPr>
          <w:szCs w:val="22"/>
          <w:lang w:val="cs-CZ"/>
        </w:rPr>
      </w:pPr>
    </w:p>
    <w:p w14:paraId="56F1BA5A" w14:textId="77777777" w:rsidR="00ED3511" w:rsidRPr="001B4A02" w:rsidRDefault="00000000" w:rsidP="00ED48A3">
      <w:pPr>
        <w:pStyle w:val="EMEANormal"/>
        <w:tabs>
          <w:tab w:val="clear" w:pos="562"/>
        </w:tabs>
        <w:suppressAutoHyphens w:val="0"/>
        <w:rPr>
          <w:szCs w:val="22"/>
          <w:lang w:val="cs-CZ"/>
        </w:rPr>
      </w:pPr>
      <w:r w:rsidRPr="001B4A02">
        <w:rPr>
          <w:szCs w:val="22"/>
          <w:lang w:val="cs-CZ"/>
        </w:rPr>
        <w:t>Když se zkombinují kontrolovaná období těchto studií</w:t>
      </w:r>
      <w:r w:rsidR="002378E0">
        <w:rPr>
          <w:szCs w:val="22"/>
          <w:lang w:val="cs-CZ"/>
        </w:rPr>
        <w:t xml:space="preserve"> a </w:t>
      </w:r>
      <w:r w:rsidRPr="001B4A02">
        <w:rPr>
          <w:szCs w:val="22"/>
          <w:lang w:val="cs-CZ"/>
        </w:rPr>
        <w:t>probíhající</w:t>
      </w:r>
      <w:r w:rsidR="002378E0">
        <w:rPr>
          <w:szCs w:val="22"/>
          <w:lang w:val="cs-CZ"/>
        </w:rPr>
        <w:t xml:space="preserve"> a </w:t>
      </w:r>
      <w:r w:rsidRPr="001B4A02">
        <w:rPr>
          <w:szCs w:val="22"/>
          <w:lang w:val="cs-CZ"/>
        </w:rPr>
        <w:t xml:space="preserve">ukončené otevřené rozšířené fáze studií s průměrnou délkou trvání přibližně </w:t>
      </w:r>
      <w:r w:rsidR="00B14CF7" w:rsidRPr="001B4A02">
        <w:rPr>
          <w:szCs w:val="22"/>
          <w:lang w:val="cs-CZ"/>
        </w:rPr>
        <w:t>3,3 roku</w:t>
      </w:r>
      <w:r w:rsidRPr="001B4A02">
        <w:rPr>
          <w:szCs w:val="22"/>
          <w:lang w:val="cs-CZ"/>
        </w:rPr>
        <w:t xml:space="preserve">, zahrnující </w:t>
      </w:r>
      <w:r w:rsidR="00B14CF7" w:rsidRPr="001B4A02">
        <w:rPr>
          <w:szCs w:val="22"/>
          <w:lang w:val="cs-CZ"/>
        </w:rPr>
        <w:t>6 427</w:t>
      </w:r>
      <w:r w:rsidRPr="001B4A02">
        <w:rPr>
          <w:szCs w:val="22"/>
          <w:lang w:val="cs-CZ"/>
        </w:rPr>
        <w:t> pacientů</w:t>
      </w:r>
      <w:r w:rsidR="002378E0">
        <w:rPr>
          <w:szCs w:val="22"/>
          <w:lang w:val="cs-CZ"/>
        </w:rPr>
        <w:t xml:space="preserve"> a </w:t>
      </w:r>
      <w:r w:rsidRPr="001B4A02">
        <w:rPr>
          <w:szCs w:val="22"/>
          <w:lang w:val="cs-CZ"/>
        </w:rPr>
        <w:t xml:space="preserve">více než </w:t>
      </w:r>
      <w:r w:rsidR="00B14CF7" w:rsidRPr="001B4A02">
        <w:rPr>
          <w:szCs w:val="22"/>
          <w:lang w:val="cs-CZ"/>
        </w:rPr>
        <w:t>26 439</w:t>
      </w:r>
      <w:r w:rsidRPr="001B4A02">
        <w:rPr>
          <w:szCs w:val="22"/>
          <w:lang w:val="cs-CZ"/>
        </w:rPr>
        <w:t> pacient</w:t>
      </w:r>
      <w:r w:rsidRPr="001B4A02">
        <w:rPr>
          <w:lang w:val="cs-CZ"/>
        </w:rPr>
        <w:t>oroků</w:t>
      </w:r>
      <w:r w:rsidRPr="001B4A02">
        <w:rPr>
          <w:szCs w:val="22"/>
          <w:lang w:val="cs-CZ"/>
        </w:rPr>
        <w:t xml:space="preserve"> léčby, pak pozorovaná četnost výskytu malignit jiného typu, než jsou lymfomy</w:t>
      </w:r>
      <w:r w:rsidR="002378E0">
        <w:rPr>
          <w:szCs w:val="22"/>
          <w:lang w:val="cs-CZ"/>
        </w:rPr>
        <w:t xml:space="preserve"> a </w:t>
      </w:r>
      <w:r w:rsidRPr="001B4A02">
        <w:rPr>
          <w:szCs w:val="22"/>
          <w:lang w:val="cs-CZ"/>
        </w:rPr>
        <w:t>nemelanomové karcinomy kůže, činí přibližně 8,</w:t>
      </w:r>
      <w:r w:rsidR="00372E74" w:rsidRPr="001B4A02">
        <w:rPr>
          <w:szCs w:val="22"/>
          <w:lang w:val="cs-CZ"/>
        </w:rPr>
        <w:t>5</w:t>
      </w:r>
      <w:r w:rsidRPr="001B4A02">
        <w:rPr>
          <w:szCs w:val="22"/>
          <w:shd w:val="clear" w:color="auto" w:fill="FFFFFF"/>
          <w:lang w:val="cs-CZ"/>
        </w:rPr>
        <w:t xml:space="preserve"> na 1</w:t>
      </w:r>
      <w:r w:rsidR="009F584E" w:rsidRPr="001B4A02">
        <w:rPr>
          <w:szCs w:val="22"/>
          <w:shd w:val="clear" w:color="auto" w:fill="FFFFFF"/>
          <w:lang w:val="cs-CZ"/>
        </w:rPr>
        <w:t> </w:t>
      </w:r>
      <w:r w:rsidRPr="001B4A02">
        <w:rPr>
          <w:szCs w:val="22"/>
          <w:shd w:val="clear" w:color="auto" w:fill="FFFFFF"/>
          <w:lang w:val="cs-CZ"/>
        </w:rPr>
        <w:t>000</w:t>
      </w:r>
      <w:r w:rsidRPr="001B4A02">
        <w:rPr>
          <w:szCs w:val="22"/>
          <w:lang w:val="cs-CZ"/>
        </w:rPr>
        <w:t> pacient</w:t>
      </w:r>
      <w:r w:rsidRPr="001B4A02">
        <w:rPr>
          <w:lang w:val="cs-CZ"/>
        </w:rPr>
        <w:t>oroků</w:t>
      </w:r>
      <w:r w:rsidRPr="001B4A02">
        <w:rPr>
          <w:szCs w:val="22"/>
          <w:lang w:val="cs-CZ"/>
        </w:rPr>
        <w:t xml:space="preserve">. Pozorovaná četnost výskytu nemelanomového typu kožního karcinomu činí přibližně </w:t>
      </w:r>
      <w:r w:rsidR="00B14CF7" w:rsidRPr="001B4A02">
        <w:rPr>
          <w:szCs w:val="22"/>
          <w:lang w:val="cs-CZ"/>
        </w:rPr>
        <w:t>9,6</w:t>
      </w:r>
      <w:r w:rsidR="00372E74" w:rsidRPr="001B4A02">
        <w:rPr>
          <w:szCs w:val="22"/>
          <w:shd w:val="clear" w:color="auto" w:fill="FFFFFF"/>
          <w:lang w:val="cs-CZ"/>
        </w:rPr>
        <w:t xml:space="preserve"> </w:t>
      </w:r>
      <w:r w:rsidRPr="001B4A02">
        <w:rPr>
          <w:szCs w:val="22"/>
          <w:shd w:val="clear" w:color="auto" w:fill="FFFFFF"/>
          <w:lang w:val="cs-CZ"/>
        </w:rPr>
        <w:t>na 1</w:t>
      </w:r>
      <w:r w:rsidR="009F584E" w:rsidRPr="001B4A02">
        <w:rPr>
          <w:szCs w:val="22"/>
          <w:shd w:val="clear" w:color="auto" w:fill="FFFFFF"/>
          <w:lang w:val="cs-CZ"/>
        </w:rPr>
        <w:t> </w:t>
      </w:r>
      <w:r w:rsidRPr="001B4A02">
        <w:rPr>
          <w:szCs w:val="22"/>
          <w:shd w:val="clear" w:color="auto" w:fill="FFFFFF"/>
          <w:lang w:val="cs-CZ"/>
        </w:rPr>
        <w:t>000</w:t>
      </w:r>
      <w:r w:rsidRPr="001B4A02">
        <w:rPr>
          <w:szCs w:val="22"/>
          <w:lang w:val="cs-CZ"/>
        </w:rPr>
        <w:t> pacient</w:t>
      </w:r>
      <w:r w:rsidRPr="001B4A02">
        <w:rPr>
          <w:lang w:val="cs-CZ"/>
        </w:rPr>
        <w:t>oroků</w:t>
      </w:r>
      <w:r w:rsidR="002378E0">
        <w:rPr>
          <w:szCs w:val="22"/>
          <w:lang w:val="cs-CZ"/>
        </w:rPr>
        <w:t xml:space="preserve"> a </w:t>
      </w:r>
      <w:r w:rsidRPr="001B4A02">
        <w:rPr>
          <w:szCs w:val="22"/>
          <w:lang w:val="cs-CZ"/>
        </w:rPr>
        <w:t>pozorovaná četnost lymfomů je přibližně 1,</w:t>
      </w:r>
      <w:r w:rsidR="00372E74" w:rsidRPr="001B4A02">
        <w:rPr>
          <w:szCs w:val="22"/>
          <w:lang w:val="cs-CZ"/>
        </w:rPr>
        <w:t>3</w:t>
      </w:r>
      <w:r w:rsidRPr="001B4A02">
        <w:rPr>
          <w:szCs w:val="22"/>
          <w:lang w:val="cs-CZ"/>
        </w:rPr>
        <w:t xml:space="preserve"> na 1</w:t>
      </w:r>
      <w:r w:rsidR="009F584E" w:rsidRPr="001B4A02">
        <w:rPr>
          <w:szCs w:val="22"/>
          <w:lang w:val="cs-CZ"/>
        </w:rPr>
        <w:t> </w:t>
      </w:r>
      <w:r w:rsidRPr="001B4A02">
        <w:rPr>
          <w:szCs w:val="22"/>
          <w:lang w:val="cs-CZ"/>
        </w:rPr>
        <w:t>000 pacient</w:t>
      </w:r>
      <w:r w:rsidRPr="001B4A02">
        <w:rPr>
          <w:lang w:val="cs-CZ"/>
        </w:rPr>
        <w:t>oroků</w:t>
      </w:r>
      <w:r w:rsidRPr="001B4A02">
        <w:rPr>
          <w:szCs w:val="22"/>
          <w:lang w:val="cs-CZ"/>
        </w:rPr>
        <w:t>.</w:t>
      </w:r>
    </w:p>
    <w:p w14:paraId="1286F700" w14:textId="77777777" w:rsidR="00ED3511" w:rsidRPr="001B4A02" w:rsidRDefault="00ED3511" w:rsidP="00ED48A3">
      <w:pPr>
        <w:ind w:left="0" w:firstLine="0"/>
      </w:pPr>
    </w:p>
    <w:p w14:paraId="5EBE687B" w14:textId="77777777" w:rsidR="00ED3511" w:rsidRPr="001B4A02" w:rsidRDefault="00000000" w:rsidP="00ED48A3">
      <w:pPr>
        <w:ind w:left="0" w:firstLine="0"/>
      </w:pPr>
      <w:r w:rsidRPr="001B4A02">
        <w:t>Ve sledování po uvedení přípravku na trh v období od ledna 2003 do prosince 2010,</w:t>
      </w:r>
      <w:r w:rsidR="002378E0">
        <w:t xml:space="preserve"> a </w:t>
      </w:r>
      <w:r w:rsidRPr="001B4A02">
        <w:t xml:space="preserve">to především u pacientů s revmatoidní artritidou, činil výskyt </w:t>
      </w:r>
      <w:r w:rsidRPr="001B4A02">
        <w:rPr>
          <w:szCs w:val="22"/>
          <w:shd w:val="clear" w:color="auto" w:fill="FFFFFF"/>
        </w:rPr>
        <w:t xml:space="preserve">všech </w:t>
      </w:r>
      <w:r w:rsidR="00DF7C66">
        <w:rPr>
          <w:szCs w:val="22"/>
          <w:shd w:val="clear" w:color="auto" w:fill="FFFFFF"/>
        </w:rPr>
        <w:t xml:space="preserve">spontánně </w:t>
      </w:r>
      <w:r w:rsidRPr="001B4A02">
        <w:rPr>
          <w:szCs w:val="22"/>
          <w:shd w:val="clear" w:color="auto" w:fill="FFFFFF"/>
        </w:rPr>
        <w:t>hlášených malignit přibližně 2,7 na 1</w:t>
      </w:r>
      <w:r w:rsidR="009F584E" w:rsidRPr="001B4A02">
        <w:rPr>
          <w:szCs w:val="22"/>
          <w:shd w:val="clear" w:color="auto" w:fill="FFFFFF"/>
        </w:rPr>
        <w:t> </w:t>
      </w:r>
      <w:r w:rsidRPr="001B4A02">
        <w:rPr>
          <w:szCs w:val="22"/>
          <w:shd w:val="clear" w:color="auto" w:fill="FFFFFF"/>
        </w:rPr>
        <w:t>000 </w:t>
      </w:r>
      <w:r w:rsidRPr="001B4A02">
        <w:rPr>
          <w:szCs w:val="22"/>
        </w:rPr>
        <w:t>pacient</w:t>
      </w:r>
      <w:r w:rsidR="00545FBD" w:rsidRPr="001B4A02">
        <w:rPr>
          <w:szCs w:val="22"/>
        </w:rPr>
        <w:t>oroků</w:t>
      </w:r>
      <w:r w:rsidRPr="001B4A02">
        <w:rPr>
          <w:szCs w:val="22"/>
        </w:rPr>
        <w:t xml:space="preserve"> léčby. </w:t>
      </w:r>
      <w:r w:rsidR="00DF7C66">
        <w:rPr>
          <w:szCs w:val="22"/>
        </w:rPr>
        <w:t>Spontánně h</w:t>
      </w:r>
      <w:r w:rsidRPr="001B4A02">
        <w:rPr>
          <w:szCs w:val="22"/>
        </w:rPr>
        <w:t>lášená četnost výskytu u kožního karcinomu nemelanomového typu činila přibližně 0,2</w:t>
      </w:r>
      <w:r w:rsidR="002378E0">
        <w:rPr>
          <w:szCs w:val="22"/>
        </w:rPr>
        <w:t xml:space="preserve"> a </w:t>
      </w:r>
      <w:r w:rsidRPr="001B4A02">
        <w:rPr>
          <w:szCs w:val="22"/>
        </w:rPr>
        <w:t>u lymfomů přibližně 0,3 na 1</w:t>
      </w:r>
      <w:r w:rsidR="009F584E" w:rsidRPr="001B4A02">
        <w:rPr>
          <w:szCs w:val="22"/>
        </w:rPr>
        <w:t> </w:t>
      </w:r>
      <w:r w:rsidRPr="001B4A02">
        <w:rPr>
          <w:szCs w:val="22"/>
        </w:rPr>
        <w:t>000 pacient</w:t>
      </w:r>
      <w:r w:rsidRPr="001B4A02">
        <w:t>oroků</w:t>
      </w:r>
      <w:r w:rsidRPr="001B4A02">
        <w:rPr>
          <w:szCs w:val="22"/>
        </w:rPr>
        <w:t xml:space="preserve"> léčby (viz bod 4.4).</w:t>
      </w:r>
    </w:p>
    <w:p w14:paraId="49BB1A57" w14:textId="77777777" w:rsidR="00ED3511" w:rsidRPr="001B4A02" w:rsidRDefault="00ED3511" w:rsidP="00ED48A3">
      <w:pPr>
        <w:ind w:left="0" w:firstLine="0"/>
        <w:rPr>
          <w:u w:val="single"/>
        </w:rPr>
      </w:pPr>
    </w:p>
    <w:p w14:paraId="29EE4569" w14:textId="77777777" w:rsidR="00ED3511" w:rsidRPr="001B4A02" w:rsidRDefault="00000000" w:rsidP="00ED48A3">
      <w:pPr>
        <w:ind w:left="0" w:firstLine="0"/>
        <w:rPr>
          <w:u w:val="single"/>
        </w:rPr>
      </w:pPr>
      <w:r w:rsidRPr="001B4A02">
        <w:t>U pacientů léčených adalimumabem byly hlášeny vzácné postmarketingové případy hepatosplenického T-buněčného lymfomu (viz bod 4.4).</w:t>
      </w:r>
    </w:p>
    <w:p w14:paraId="34E9A3C3" w14:textId="77777777" w:rsidR="00ED3511" w:rsidRPr="001B4A02" w:rsidRDefault="00ED3511" w:rsidP="00ED48A3">
      <w:pPr>
        <w:ind w:left="0" w:firstLine="0"/>
        <w:rPr>
          <w:u w:val="single"/>
        </w:rPr>
      </w:pPr>
    </w:p>
    <w:p w14:paraId="023C48C9" w14:textId="77777777" w:rsidR="00ED3511" w:rsidRPr="001B4A02" w:rsidRDefault="00000000" w:rsidP="00A03600">
      <w:pPr>
        <w:keepNext/>
        <w:ind w:left="0" w:firstLine="0"/>
        <w:rPr>
          <w:i/>
        </w:rPr>
      </w:pPr>
      <w:r w:rsidRPr="001B4A02">
        <w:rPr>
          <w:i/>
        </w:rPr>
        <w:t>Autoprotilátky</w:t>
      </w:r>
    </w:p>
    <w:p w14:paraId="5DC0EB6F" w14:textId="77777777" w:rsidR="00ED3511" w:rsidRPr="001B4A02" w:rsidRDefault="00ED3511" w:rsidP="00A03600">
      <w:pPr>
        <w:keepNext/>
        <w:ind w:left="0" w:firstLine="0"/>
      </w:pPr>
    </w:p>
    <w:p w14:paraId="4D14E5CE" w14:textId="77777777" w:rsidR="00ED3511" w:rsidRPr="001B4A02" w:rsidRDefault="00000000" w:rsidP="00ED48A3">
      <w:pPr>
        <w:ind w:left="0" w:firstLine="0"/>
      </w:pPr>
      <w:r w:rsidRPr="001B4A02">
        <w:t>U pacientů bylo prováděno vyšetření na autoprotilátky v různých časových intervalech studií I–V s revmatoidní artritidou. V těchto studiích byly u 11,9</w:t>
      </w:r>
      <w:r w:rsidR="006008CB">
        <w:t> %</w:t>
      </w:r>
      <w:r w:rsidRPr="001B4A02">
        <w:t xml:space="preserve"> pacientů léčených přípravkem Humira</w:t>
      </w:r>
      <w:r w:rsidR="002378E0">
        <w:t xml:space="preserve"> a </w:t>
      </w:r>
      <w:r w:rsidRPr="001B4A02">
        <w:t>u 8,1</w:t>
      </w:r>
      <w:r w:rsidR="006008CB">
        <w:t> %</w:t>
      </w:r>
      <w:r w:rsidRPr="001B4A02">
        <w:t xml:space="preserve"> pacientů léčených placebem</w:t>
      </w:r>
      <w:r w:rsidR="002378E0">
        <w:t xml:space="preserve"> a </w:t>
      </w:r>
      <w:r w:rsidRPr="001B4A02">
        <w:t xml:space="preserve">aktivní kontrolou, kteří měli negativní výchozí titry antinukleárních protilátek, zjištěny pozitivní titry </w:t>
      </w:r>
      <w:r w:rsidR="00D00F8F">
        <w:t>v</w:t>
      </w:r>
      <w:r w:rsidR="009A3A47">
        <w:rPr>
          <w:rStyle w:val="normaltextrun"/>
          <w:shd w:val="clear" w:color="auto" w:fill="FFFFFF"/>
        </w:rPr>
        <w:t> </w:t>
      </w:r>
      <w:r w:rsidR="00D00F8F">
        <w:t>týdnu 24</w:t>
      </w:r>
      <w:r w:rsidRPr="001B4A02">
        <w:t xml:space="preserve"> léčby. U dvou pacientů z 3</w:t>
      </w:r>
      <w:r w:rsidR="00A417AC" w:rsidRPr="001B4A02">
        <w:t> </w:t>
      </w:r>
      <w:r w:rsidRPr="001B4A02">
        <w:t>441 nemocných léčených přípravkem Humira ve všech studiích s revmatoidní</w:t>
      </w:r>
      <w:r w:rsidR="002378E0">
        <w:t xml:space="preserve"> a </w:t>
      </w:r>
      <w:r w:rsidRPr="001B4A02">
        <w:t>psoriatickou artritidou došlo k rozvoji klinických příznaků naznačujících možnost nového vzniku syndromu podobnému lupusu. Po vysazení léčby došlo u</w:t>
      </w:r>
      <w:r w:rsidR="003315BB" w:rsidRPr="001B4A02">
        <w:t> </w:t>
      </w:r>
      <w:r w:rsidRPr="001B4A02">
        <w:t>těchto pacientů ke zlepšení. U žádného pacienta nedošlo k rozvoji lupózní nefritidy či symptomů postižení centrálního nervového systému.</w:t>
      </w:r>
    </w:p>
    <w:p w14:paraId="35C0F092" w14:textId="77777777" w:rsidR="00ED3511" w:rsidRPr="001B4A02" w:rsidRDefault="00ED3511" w:rsidP="00ED48A3">
      <w:pPr>
        <w:ind w:left="0" w:firstLine="0"/>
      </w:pPr>
    </w:p>
    <w:p w14:paraId="45D9D79F" w14:textId="77777777" w:rsidR="00ED3511" w:rsidRPr="001B4A02" w:rsidRDefault="00000000" w:rsidP="00ED48A3">
      <w:pPr>
        <w:keepNext/>
        <w:jc w:val="both"/>
        <w:rPr>
          <w:i/>
          <w:szCs w:val="22"/>
        </w:rPr>
      </w:pPr>
      <w:r w:rsidRPr="001B4A02">
        <w:rPr>
          <w:i/>
          <w:szCs w:val="22"/>
        </w:rPr>
        <w:t>Hepatobiliá</w:t>
      </w:r>
      <w:r w:rsidR="00C114D7" w:rsidRPr="001B4A02">
        <w:rPr>
          <w:i/>
          <w:szCs w:val="22"/>
        </w:rPr>
        <w:t>r</w:t>
      </w:r>
      <w:r w:rsidRPr="001B4A02">
        <w:rPr>
          <w:i/>
          <w:szCs w:val="22"/>
        </w:rPr>
        <w:t>ní poruchy</w:t>
      </w:r>
    </w:p>
    <w:p w14:paraId="5131CCA5" w14:textId="77777777" w:rsidR="00ED3511" w:rsidRPr="001B4A02" w:rsidRDefault="00ED3511" w:rsidP="00ED48A3">
      <w:pPr>
        <w:keepNext/>
        <w:jc w:val="both"/>
        <w:rPr>
          <w:szCs w:val="22"/>
          <w:u w:val="single"/>
        </w:rPr>
      </w:pPr>
    </w:p>
    <w:p w14:paraId="7E84C6A1" w14:textId="77777777" w:rsidR="00ED3511" w:rsidRPr="001B4A02" w:rsidRDefault="00000000" w:rsidP="00A03600">
      <w:pPr>
        <w:pStyle w:val="EMEANormal"/>
        <w:tabs>
          <w:tab w:val="clear" w:pos="562"/>
          <w:tab w:val="left" w:pos="708"/>
        </w:tabs>
        <w:suppressAutoHyphens w:val="0"/>
        <w:rPr>
          <w:iCs/>
          <w:shd w:val="clear" w:color="auto" w:fill="FFFFFF"/>
          <w:lang w:val="cs-CZ"/>
        </w:rPr>
      </w:pPr>
      <w:r w:rsidRPr="001B4A02">
        <w:rPr>
          <w:szCs w:val="22"/>
          <w:lang w:val="cs-CZ"/>
        </w:rPr>
        <w:t xml:space="preserve">V kontrolovaných klinických studiích fáze </w:t>
      </w:r>
      <w:r w:rsidR="00C223B0" w:rsidRPr="001B4A02">
        <w:rPr>
          <w:szCs w:val="22"/>
          <w:lang w:val="cs-CZ"/>
        </w:rPr>
        <w:t>3</w:t>
      </w:r>
      <w:r w:rsidRPr="001B4A02">
        <w:rPr>
          <w:szCs w:val="22"/>
          <w:lang w:val="cs-CZ"/>
        </w:rPr>
        <w:t xml:space="preserve"> s přípravkem Humira, </w:t>
      </w:r>
      <w:r w:rsidRPr="001B4A02">
        <w:rPr>
          <w:szCs w:val="22"/>
          <w:shd w:val="clear" w:color="auto" w:fill="FFFFFF"/>
          <w:lang w:val="cs-CZ"/>
        </w:rPr>
        <w:t>zaměřených na revmatoidní artritidu</w:t>
      </w:r>
      <w:r w:rsidR="002378E0">
        <w:rPr>
          <w:szCs w:val="22"/>
          <w:shd w:val="clear" w:color="auto" w:fill="FFFFFF"/>
          <w:lang w:val="cs-CZ"/>
        </w:rPr>
        <w:t xml:space="preserve"> a </w:t>
      </w:r>
      <w:r w:rsidRPr="001B4A02">
        <w:rPr>
          <w:szCs w:val="22"/>
          <w:shd w:val="clear" w:color="auto" w:fill="FFFFFF"/>
          <w:lang w:val="cs-CZ"/>
        </w:rPr>
        <w:t xml:space="preserve">psoriatickou artritidu, se po sledovanou dobu trvání v rozmezí od 4 do 104 týdnů objevilo zvýšení ALT </w:t>
      </w:r>
      <w:r w:rsidRPr="001B4A02">
        <w:rPr>
          <w:lang w:val="cs-CZ"/>
        </w:rPr>
        <w:t>≥</w:t>
      </w:r>
      <w:r w:rsidR="003315BB" w:rsidRPr="001B4A02">
        <w:rPr>
          <w:lang w:val="cs-CZ"/>
        </w:rPr>
        <w:t> </w:t>
      </w:r>
      <w:r w:rsidRPr="001B4A02">
        <w:rPr>
          <w:lang w:val="cs-CZ"/>
        </w:rPr>
        <w:t>3 x ULN</w:t>
      </w:r>
      <w:r w:rsidRPr="001B4A02">
        <w:rPr>
          <w:szCs w:val="22"/>
          <w:shd w:val="clear" w:color="auto" w:fill="FFFFFF"/>
          <w:lang w:val="cs-CZ"/>
        </w:rPr>
        <w:t xml:space="preserve"> u</w:t>
      </w:r>
      <w:r w:rsidR="003315BB" w:rsidRPr="001B4A02">
        <w:rPr>
          <w:szCs w:val="22"/>
          <w:shd w:val="clear" w:color="auto" w:fill="FFFFFF"/>
          <w:lang w:val="cs-CZ"/>
        </w:rPr>
        <w:t> </w:t>
      </w:r>
      <w:r w:rsidRPr="001B4A02">
        <w:rPr>
          <w:szCs w:val="22"/>
          <w:shd w:val="clear" w:color="auto" w:fill="FFFFFF"/>
          <w:lang w:val="cs-CZ"/>
        </w:rPr>
        <w:t>3,7</w:t>
      </w:r>
      <w:r w:rsidR="006008CB">
        <w:rPr>
          <w:szCs w:val="22"/>
          <w:shd w:val="clear" w:color="auto" w:fill="FFFFFF"/>
          <w:lang w:val="cs-CZ"/>
        </w:rPr>
        <w:t> %</w:t>
      </w:r>
      <w:r w:rsidRPr="001B4A02">
        <w:rPr>
          <w:szCs w:val="22"/>
          <w:shd w:val="clear" w:color="auto" w:fill="FFFFFF"/>
          <w:lang w:val="cs-CZ"/>
        </w:rPr>
        <w:t xml:space="preserve"> pacientů léčených přípravkem Humira</w:t>
      </w:r>
      <w:r w:rsidR="002378E0">
        <w:rPr>
          <w:szCs w:val="22"/>
          <w:shd w:val="clear" w:color="auto" w:fill="FFFFFF"/>
          <w:lang w:val="cs-CZ"/>
        </w:rPr>
        <w:t xml:space="preserve"> a </w:t>
      </w:r>
      <w:r w:rsidRPr="001B4A02">
        <w:rPr>
          <w:szCs w:val="22"/>
          <w:shd w:val="clear" w:color="auto" w:fill="FFFFFF"/>
          <w:lang w:val="cs-CZ"/>
        </w:rPr>
        <w:t>u</w:t>
      </w:r>
      <w:r w:rsidR="00DD02A9" w:rsidRPr="001B4A02">
        <w:rPr>
          <w:szCs w:val="22"/>
          <w:shd w:val="clear" w:color="auto" w:fill="FFFFFF"/>
          <w:lang w:val="cs-CZ"/>
        </w:rPr>
        <w:t> </w:t>
      </w:r>
      <w:r w:rsidRPr="001B4A02">
        <w:rPr>
          <w:szCs w:val="22"/>
          <w:shd w:val="clear" w:color="auto" w:fill="FFFFFF"/>
          <w:lang w:val="cs-CZ"/>
        </w:rPr>
        <w:t>1,6</w:t>
      </w:r>
      <w:r w:rsidR="006008CB">
        <w:rPr>
          <w:szCs w:val="22"/>
          <w:shd w:val="clear" w:color="auto" w:fill="FFFFFF"/>
          <w:lang w:val="cs-CZ"/>
        </w:rPr>
        <w:t> %</w:t>
      </w:r>
      <w:r w:rsidRPr="001B4A02">
        <w:rPr>
          <w:szCs w:val="22"/>
          <w:shd w:val="clear" w:color="auto" w:fill="FFFFFF"/>
          <w:lang w:val="cs-CZ"/>
        </w:rPr>
        <w:t xml:space="preserve"> pacientů léčených kontrolním přípravkem.</w:t>
      </w:r>
    </w:p>
    <w:p w14:paraId="46C515E2" w14:textId="77777777" w:rsidR="00ED3511" w:rsidRPr="001B4A02" w:rsidRDefault="00ED3511" w:rsidP="00ED48A3">
      <w:pPr>
        <w:pStyle w:val="EMEANormal"/>
        <w:shd w:val="clear" w:color="auto" w:fill="FFFFFF"/>
        <w:rPr>
          <w:szCs w:val="22"/>
          <w:shd w:val="clear" w:color="auto" w:fill="FFFFFF"/>
          <w:lang w:val="cs-CZ"/>
        </w:rPr>
      </w:pPr>
    </w:p>
    <w:p w14:paraId="11E561A3" w14:textId="77777777" w:rsidR="00ED3511" w:rsidRPr="001B4A02" w:rsidRDefault="00000000" w:rsidP="00ED48A3">
      <w:pPr>
        <w:pStyle w:val="EMEANormal"/>
        <w:shd w:val="clear" w:color="auto" w:fill="FFFFFF"/>
        <w:rPr>
          <w:shd w:val="clear" w:color="auto" w:fill="FFFFFF"/>
          <w:lang w:val="cs-CZ"/>
        </w:rPr>
      </w:pPr>
      <w:r w:rsidRPr="001B4A02">
        <w:rPr>
          <w:shd w:val="clear" w:color="auto" w:fill="FFFFFF"/>
          <w:lang w:val="cs-CZ"/>
        </w:rPr>
        <w:t xml:space="preserve">V kontrolovaných </w:t>
      </w:r>
      <w:r w:rsidR="00C223B0" w:rsidRPr="001B4A02">
        <w:rPr>
          <w:shd w:val="clear" w:color="auto" w:fill="FFFFFF"/>
          <w:lang w:val="cs-CZ"/>
        </w:rPr>
        <w:t xml:space="preserve">klinických </w:t>
      </w:r>
      <w:r w:rsidRPr="001B4A02">
        <w:rPr>
          <w:shd w:val="clear" w:color="auto" w:fill="FFFFFF"/>
          <w:lang w:val="cs-CZ"/>
        </w:rPr>
        <w:t>studiích fáze 3 s </w:t>
      </w:r>
      <w:r w:rsidR="00C223B0" w:rsidRPr="001B4A02">
        <w:rPr>
          <w:szCs w:val="22"/>
          <w:lang w:val="cs-CZ"/>
        </w:rPr>
        <w:t xml:space="preserve">přípravkem </w:t>
      </w:r>
      <w:r w:rsidRPr="001B4A02">
        <w:rPr>
          <w:shd w:val="clear" w:color="auto" w:fill="FFFFFF"/>
          <w:lang w:val="cs-CZ"/>
        </w:rPr>
        <w:t>Humir</w:t>
      </w:r>
      <w:r w:rsidR="00C223B0" w:rsidRPr="001B4A02">
        <w:rPr>
          <w:shd w:val="clear" w:color="auto" w:fill="FFFFFF"/>
          <w:lang w:val="cs-CZ"/>
        </w:rPr>
        <w:t>a</w:t>
      </w:r>
      <w:r w:rsidRPr="001B4A02">
        <w:rPr>
          <w:shd w:val="clear" w:color="auto" w:fill="FFFFFF"/>
          <w:lang w:val="cs-CZ"/>
        </w:rPr>
        <w:t xml:space="preserve"> u</w:t>
      </w:r>
      <w:r w:rsidR="003315BB" w:rsidRPr="001B4A02">
        <w:rPr>
          <w:shd w:val="clear" w:color="auto" w:fill="FFFFFF"/>
          <w:lang w:val="cs-CZ"/>
        </w:rPr>
        <w:t> </w:t>
      </w:r>
      <w:r w:rsidRPr="001B4A02">
        <w:rPr>
          <w:shd w:val="clear" w:color="auto" w:fill="FFFFFF"/>
          <w:lang w:val="cs-CZ"/>
        </w:rPr>
        <w:t xml:space="preserve">pacientů s polyartikulární juvenilní idiopatickou artritidou ve věku 4 </w:t>
      </w:r>
      <w:r w:rsidR="00451F21" w:rsidRPr="001B4A02">
        <w:rPr>
          <w:shd w:val="clear" w:color="auto" w:fill="FFFFFF"/>
          <w:lang w:val="cs-CZ"/>
        </w:rPr>
        <w:t>až</w:t>
      </w:r>
      <w:r w:rsidRPr="001B4A02">
        <w:rPr>
          <w:shd w:val="clear" w:color="auto" w:fill="FFFFFF"/>
          <w:lang w:val="cs-CZ"/>
        </w:rPr>
        <w:t xml:space="preserve"> 17 let</w:t>
      </w:r>
      <w:r w:rsidR="002378E0">
        <w:rPr>
          <w:shd w:val="clear" w:color="auto" w:fill="FFFFFF"/>
          <w:lang w:val="cs-CZ"/>
        </w:rPr>
        <w:t xml:space="preserve"> a </w:t>
      </w:r>
      <w:r w:rsidRPr="001B4A02">
        <w:rPr>
          <w:shd w:val="clear" w:color="auto" w:fill="FFFFFF"/>
          <w:lang w:val="cs-CZ"/>
        </w:rPr>
        <w:t xml:space="preserve">entezopatickou artritidou ve věku 6 </w:t>
      </w:r>
      <w:r w:rsidR="00451F21" w:rsidRPr="001B4A02">
        <w:rPr>
          <w:shd w:val="clear" w:color="auto" w:fill="FFFFFF"/>
          <w:lang w:val="cs-CZ"/>
        </w:rPr>
        <w:t>až</w:t>
      </w:r>
      <w:r w:rsidRPr="001B4A02">
        <w:rPr>
          <w:shd w:val="clear" w:color="auto" w:fill="FFFFFF"/>
          <w:lang w:val="cs-CZ"/>
        </w:rPr>
        <w:t xml:space="preserve"> 17 let se </w:t>
      </w:r>
      <w:r w:rsidR="00C114D7" w:rsidRPr="001B4A02">
        <w:rPr>
          <w:szCs w:val="22"/>
          <w:shd w:val="clear" w:color="auto" w:fill="FFFFFF"/>
          <w:lang w:val="cs-CZ"/>
        </w:rPr>
        <w:t>objevilo zvýšení</w:t>
      </w:r>
      <w:r w:rsidRPr="001B4A02">
        <w:rPr>
          <w:shd w:val="clear" w:color="auto" w:fill="FFFFFF"/>
          <w:lang w:val="cs-CZ"/>
        </w:rPr>
        <w:t xml:space="preserve"> ALT </w:t>
      </w:r>
      <w:r w:rsidRPr="001B4A02">
        <w:rPr>
          <w:iCs/>
          <w:lang w:val="cs-CZ"/>
        </w:rPr>
        <w:t>≥</w:t>
      </w:r>
      <w:r w:rsidR="003315BB" w:rsidRPr="001B4A02">
        <w:rPr>
          <w:iCs/>
          <w:lang w:val="cs-CZ"/>
        </w:rPr>
        <w:t> </w:t>
      </w:r>
      <w:r w:rsidRPr="001B4A02">
        <w:rPr>
          <w:iCs/>
          <w:lang w:val="cs-CZ"/>
        </w:rPr>
        <w:t>3 x ULN u</w:t>
      </w:r>
      <w:r w:rsidR="00DD02A9" w:rsidRPr="001B4A02">
        <w:rPr>
          <w:iCs/>
          <w:lang w:val="cs-CZ"/>
        </w:rPr>
        <w:t> </w:t>
      </w:r>
      <w:r w:rsidRPr="001B4A02">
        <w:rPr>
          <w:iCs/>
          <w:lang w:val="cs-CZ"/>
        </w:rPr>
        <w:t>6,1</w:t>
      </w:r>
      <w:r w:rsidR="006008CB">
        <w:rPr>
          <w:iCs/>
          <w:lang w:val="cs-CZ"/>
        </w:rPr>
        <w:t> %</w:t>
      </w:r>
      <w:r w:rsidRPr="001B4A02">
        <w:rPr>
          <w:iCs/>
          <w:lang w:val="cs-CZ"/>
        </w:rPr>
        <w:t xml:space="preserve"> pacientů léčených </w:t>
      </w:r>
      <w:r w:rsidR="00C223B0" w:rsidRPr="001B4A02">
        <w:rPr>
          <w:szCs w:val="22"/>
          <w:lang w:val="cs-CZ"/>
        </w:rPr>
        <w:t xml:space="preserve">přípravkem </w:t>
      </w:r>
      <w:r w:rsidRPr="001B4A02">
        <w:rPr>
          <w:iCs/>
          <w:lang w:val="cs-CZ"/>
        </w:rPr>
        <w:t>Humir</w:t>
      </w:r>
      <w:r w:rsidR="00C223B0" w:rsidRPr="001B4A02">
        <w:rPr>
          <w:iCs/>
          <w:lang w:val="cs-CZ"/>
        </w:rPr>
        <w:t>a</w:t>
      </w:r>
      <w:r w:rsidR="002378E0">
        <w:rPr>
          <w:iCs/>
          <w:lang w:val="cs-CZ"/>
        </w:rPr>
        <w:t xml:space="preserve"> a </w:t>
      </w:r>
      <w:r w:rsidRPr="001B4A02">
        <w:rPr>
          <w:iCs/>
          <w:lang w:val="cs-CZ"/>
        </w:rPr>
        <w:t>u</w:t>
      </w:r>
      <w:r w:rsidR="00DD02A9" w:rsidRPr="001B4A02">
        <w:rPr>
          <w:iCs/>
          <w:lang w:val="cs-CZ"/>
        </w:rPr>
        <w:t> </w:t>
      </w:r>
      <w:r w:rsidRPr="001B4A02">
        <w:rPr>
          <w:iCs/>
          <w:lang w:val="cs-CZ"/>
        </w:rPr>
        <w:t>1,3</w:t>
      </w:r>
      <w:r w:rsidR="00673D53" w:rsidRPr="001B4A02">
        <w:rPr>
          <w:iCs/>
          <w:lang w:val="cs-CZ"/>
        </w:rPr>
        <w:t> </w:t>
      </w:r>
      <w:r w:rsidRPr="001B4A02">
        <w:rPr>
          <w:iCs/>
          <w:lang w:val="cs-CZ"/>
        </w:rPr>
        <w:t>% pacientů léčených v</w:t>
      </w:r>
      <w:r w:rsidR="00DD02A9" w:rsidRPr="001B4A02">
        <w:rPr>
          <w:iCs/>
          <w:lang w:val="cs-CZ"/>
        </w:rPr>
        <w:t> </w:t>
      </w:r>
      <w:r w:rsidRPr="001B4A02">
        <w:rPr>
          <w:iCs/>
          <w:lang w:val="cs-CZ"/>
        </w:rPr>
        <w:t xml:space="preserve">kontrolní skupině. Ve většině případů se zvýšení ALT vyskytlo při současném podávání methotrexátu. Žádné zvýšení ALT ≥ 3 x ULN se nevyskytlo ve fázi </w:t>
      </w:r>
      <w:r w:rsidR="00C223B0" w:rsidRPr="001B4A02">
        <w:rPr>
          <w:iCs/>
          <w:lang w:val="cs-CZ"/>
        </w:rPr>
        <w:t>3</w:t>
      </w:r>
      <w:r w:rsidRPr="001B4A02">
        <w:rPr>
          <w:iCs/>
          <w:lang w:val="cs-CZ"/>
        </w:rPr>
        <w:t xml:space="preserve"> klinické studie s</w:t>
      </w:r>
      <w:r w:rsidR="00C223B0" w:rsidRPr="001B4A02">
        <w:rPr>
          <w:iCs/>
          <w:lang w:val="cs-CZ"/>
        </w:rPr>
        <w:t> </w:t>
      </w:r>
      <w:r w:rsidR="00C223B0" w:rsidRPr="001B4A02">
        <w:rPr>
          <w:szCs w:val="22"/>
          <w:lang w:val="cs-CZ"/>
        </w:rPr>
        <w:t xml:space="preserve">přípravkem </w:t>
      </w:r>
      <w:r w:rsidRPr="001B4A02">
        <w:rPr>
          <w:iCs/>
          <w:lang w:val="cs-CZ"/>
        </w:rPr>
        <w:t>Humir</w:t>
      </w:r>
      <w:r w:rsidR="00C223B0" w:rsidRPr="001B4A02">
        <w:rPr>
          <w:iCs/>
          <w:lang w:val="cs-CZ"/>
        </w:rPr>
        <w:t>a</w:t>
      </w:r>
      <w:r w:rsidRPr="001B4A02">
        <w:rPr>
          <w:iCs/>
          <w:lang w:val="cs-CZ"/>
        </w:rPr>
        <w:t xml:space="preserve"> u</w:t>
      </w:r>
      <w:r w:rsidR="00DD02A9" w:rsidRPr="001B4A02">
        <w:rPr>
          <w:iCs/>
          <w:lang w:val="cs-CZ"/>
        </w:rPr>
        <w:t> </w:t>
      </w:r>
      <w:r w:rsidRPr="001B4A02">
        <w:rPr>
          <w:iCs/>
          <w:lang w:val="cs-CZ"/>
        </w:rPr>
        <w:t>pacientů s</w:t>
      </w:r>
      <w:r w:rsidR="00DD02A9" w:rsidRPr="001B4A02">
        <w:rPr>
          <w:iCs/>
          <w:lang w:val="cs-CZ"/>
        </w:rPr>
        <w:t> </w:t>
      </w:r>
      <w:r w:rsidRPr="001B4A02">
        <w:rPr>
          <w:iCs/>
          <w:lang w:val="cs-CZ"/>
        </w:rPr>
        <w:t xml:space="preserve">polyartikulární juvenilní idiopatickou artritidou ve věku 2 </w:t>
      </w:r>
      <w:r w:rsidR="00451F21" w:rsidRPr="001B4A02">
        <w:rPr>
          <w:shd w:val="clear" w:color="auto" w:fill="FFFFFF"/>
          <w:lang w:val="cs-CZ"/>
        </w:rPr>
        <w:t>až</w:t>
      </w:r>
      <w:r w:rsidRPr="001B4A02">
        <w:rPr>
          <w:iCs/>
          <w:lang w:val="cs-CZ"/>
        </w:rPr>
        <w:t xml:space="preserve"> </w:t>
      </w:r>
      <w:r w:rsidRPr="001B4A02">
        <w:rPr>
          <w:lang w:val="cs-CZ"/>
        </w:rPr>
        <w:t xml:space="preserve">&lt; </w:t>
      </w:r>
      <w:r w:rsidRPr="001B4A02">
        <w:rPr>
          <w:iCs/>
          <w:lang w:val="cs-CZ"/>
        </w:rPr>
        <w:t>4 let.</w:t>
      </w:r>
    </w:p>
    <w:p w14:paraId="27DF5839" w14:textId="77777777" w:rsidR="00451F21" w:rsidRPr="001B4A02" w:rsidRDefault="00451F21" w:rsidP="00ED48A3">
      <w:pPr>
        <w:pStyle w:val="EMEANormal"/>
        <w:shd w:val="clear" w:color="auto" w:fill="FFFFFF"/>
        <w:rPr>
          <w:shd w:val="clear" w:color="auto" w:fill="FFFFFF"/>
          <w:lang w:val="cs-CZ"/>
        </w:rPr>
      </w:pPr>
    </w:p>
    <w:p w14:paraId="3E484A6A" w14:textId="77777777" w:rsidR="00ED3511" w:rsidRPr="001B4A02" w:rsidRDefault="00000000" w:rsidP="00ED48A3">
      <w:pPr>
        <w:pStyle w:val="EMEANormal"/>
        <w:shd w:val="clear" w:color="auto" w:fill="FFFFFF"/>
        <w:rPr>
          <w:shd w:val="clear" w:color="auto" w:fill="FFFFFF"/>
          <w:lang w:val="cs-CZ"/>
        </w:rPr>
      </w:pPr>
      <w:r w:rsidRPr="001B4A02">
        <w:rPr>
          <w:shd w:val="clear" w:color="auto" w:fill="FFFFFF"/>
          <w:lang w:val="cs-CZ"/>
        </w:rPr>
        <w:t xml:space="preserve">V kontrolovaných klinických studiích fáze </w:t>
      </w:r>
      <w:r w:rsidR="00C223B0" w:rsidRPr="001B4A02">
        <w:rPr>
          <w:shd w:val="clear" w:color="auto" w:fill="FFFFFF"/>
          <w:lang w:val="cs-CZ"/>
        </w:rPr>
        <w:t>3</w:t>
      </w:r>
      <w:r w:rsidRPr="001B4A02">
        <w:rPr>
          <w:shd w:val="clear" w:color="auto" w:fill="FFFFFF"/>
          <w:lang w:val="cs-CZ"/>
        </w:rPr>
        <w:t xml:space="preserve"> s přípravkem Humira u</w:t>
      </w:r>
      <w:r w:rsidR="00DD02A9" w:rsidRPr="001B4A02">
        <w:rPr>
          <w:shd w:val="clear" w:color="auto" w:fill="FFFFFF"/>
          <w:lang w:val="cs-CZ"/>
        </w:rPr>
        <w:t> </w:t>
      </w:r>
      <w:r w:rsidRPr="001B4A02">
        <w:rPr>
          <w:shd w:val="clear" w:color="auto" w:fill="FFFFFF"/>
          <w:lang w:val="cs-CZ"/>
        </w:rPr>
        <w:t>pacientů s Crohnovou chorobou</w:t>
      </w:r>
      <w:r w:rsidR="002378E0">
        <w:rPr>
          <w:shd w:val="clear" w:color="auto" w:fill="FFFFFF"/>
          <w:lang w:val="cs-CZ"/>
        </w:rPr>
        <w:t xml:space="preserve"> a </w:t>
      </w:r>
      <w:r w:rsidRPr="001B4A02">
        <w:rPr>
          <w:shd w:val="clear" w:color="auto" w:fill="FFFFFF"/>
          <w:lang w:val="cs-CZ"/>
        </w:rPr>
        <w:t xml:space="preserve">ulcerózní kolitidou se po sledovanou dobu trvání v rozmezí od 4 do 52 týdnů objevilo zvýšení </w:t>
      </w:r>
      <w:r w:rsidRPr="001B4A02">
        <w:rPr>
          <w:szCs w:val="22"/>
          <w:shd w:val="clear" w:color="auto" w:fill="FFFFFF"/>
          <w:lang w:val="cs-CZ"/>
        </w:rPr>
        <w:t xml:space="preserve">ALT </w:t>
      </w:r>
      <w:r w:rsidRPr="001B4A02">
        <w:rPr>
          <w:lang w:val="cs-CZ"/>
        </w:rPr>
        <w:t>≥ 3 x ULN</w:t>
      </w:r>
      <w:r w:rsidRPr="001B4A02">
        <w:rPr>
          <w:szCs w:val="22"/>
          <w:shd w:val="clear" w:color="auto" w:fill="FFFFFF"/>
          <w:lang w:val="cs-CZ"/>
        </w:rPr>
        <w:t xml:space="preserve"> u</w:t>
      </w:r>
      <w:r w:rsidR="00DD02A9" w:rsidRPr="001B4A02">
        <w:rPr>
          <w:szCs w:val="22"/>
          <w:shd w:val="clear" w:color="auto" w:fill="FFFFFF"/>
          <w:lang w:val="cs-CZ"/>
        </w:rPr>
        <w:t> </w:t>
      </w:r>
      <w:r w:rsidRPr="001B4A02">
        <w:rPr>
          <w:szCs w:val="22"/>
          <w:shd w:val="clear" w:color="auto" w:fill="FFFFFF"/>
          <w:lang w:val="cs-CZ"/>
        </w:rPr>
        <w:t>0,9</w:t>
      </w:r>
      <w:r w:rsidR="006008CB">
        <w:rPr>
          <w:szCs w:val="22"/>
          <w:shd w:val="clear" w:color="auto" w:fill="FFFFFF"/>
          <w:lang w:val="cs-CZ"/>
        </w:rPr>
        <w:t> %</w:t>
      </w:r>
      <w:r w:rsidRPr="001B4A02">
        <w:rPr>
          <w:szCs w:val="22"/>
          <w:shd w:val="clear" w:color="auto" w:fill="FFFFFF"/>
          <w:lang w:val="cs-CZ"/>
        </w:rPr>
        <w:t xml:space="preserve"> pacientů léčených přípravkem Humira</w:t>
      </w:r>
      <w:r w:rsidR="002378E0">
        <w:rPr>
          <w:szCs w:val="22"/>
          <w:shd w:val="clear" w:color="auto" w:fill="FFFFFF"/>
          <w:lang w:val="cs-CZ"/>
        </w:rPr>
        <w:t xml:space="preserve"> a </w:t>
      </w:r>
      <w:r w:rsidRPr="001B4A02">
        <w:rPr>
          <w:szCs w:val="22"/>
          <w:shd w:val="clear" w:color="auto" w:fill="FFFFFF"/>
          <w:lang w:val="cs-CZ"/>
        </w:rPr>
        <w:t>u</w:t>
      </w:r>
      <w:r w:rsidR="00DD02A9" w:rsidRPr="001B4A02">
        <w:rPr>
          <w:szCs w:val="22"/>
          <w:shd w:val="clear" w:color="auto" w:fill="FFFFFF"/>
          <w:lang w:val="cs-CZ"/>
        </w:rPr>
        <w:t> </w:t>
      </w:r>
      <w:r w:rsidRPr="001B4A02">
        <w:rPr>
          <w:szCs w:val="22"/>
          <w:shd w:val="clear" w:color="auto" w:fill="FFFFFF"/>
          <w:lang w:val="cs-CZ"/>
        </w:rPr>
        <w:t>0,9</w:t>
      </w:r>
      <w:r w:rsidR="006008CB">
        <w:rPr>
          <w:szCs w:val="22"/>
          <w:shd w:val="clear" w:color="auto" w:fill="FFFFFF"/>
          <w:lang w:val="cs-CZ"/>
        </w:rPr>
        <w:t> %</w:t>
      </w:r>
      <w:r w:rsidRPr="001B4A02">
        <w:rPr>
          <w:szCs w:val="22"/>
          <w:shd w:val="clear" w:color="auto" w:fill="FFFFFF"/>
          <w:lang w:val="cs-CZ"/>
        </w:rPr>
        <w:t xml:space="preserve"> pacientů léčených kontrolním přípravkem</w:t>
      </w:r>
      <w:r w:rsidRPr="001B4A02">
        <w:rPr>
          <w:shd w:val="clear" w:color="auto" w:fill="FFFFFF"/>
          <w:lang w:val="cs-CZ"/>
        </w:rPr>
        <w:t>.</w:t>
      </w:r>
    </w:p>
    <w:p w14:paraId="765B97D3" w14:textId="77777777" w:rsidR="00ED3511" w:rsidRPr="001B4A02" w:rsidRDefault="00ED3511" w:rsidP="00ED48A3">
      <w:pPr>
        <w:pStyle w:val="EMEANormal"/>
        <w:shd w:val="clear" w:color="auto" w:fill="FFFFFF"/>
        <w:rPr>
          <w:shd w:val="clear" w:color="auto" w:fill="FFFFFF"/>
          <w:lang w:val="cs-CZ"/>
        </w:rPr>
      </w:pPr>
    </w:p>
    <w:p w14:paraId="32DC7942" w14:textId="77777777" w:rsidR="00ED3511" w:rsidRPr="001B4A02" w:rsidRDefault="00000000" w:rsidP="00ED48A3">
      <w:pPr>
        <w:pStyle w:val="EMEANormal"/>
        <w:shd w:val="clear" w:color="auto" w:fill="FFFFFF"/>
        <w:rPr>
          <w:iCs/>
          <w:lang w:val="cs-CZ"/>
        </w:rPr>
      </w:pPr>
      <w:r w:rsidRPr="001B4A02">
        <w:rPr>
          <w:shd w:val="clear" w:color="auto" w:fill="FFFFFF"/>
          <w:lang w:val="cs-CZ"/>
        </w:rPr>
        <w:t xml:space="preserve">V klinické studii fáze </w:t>
      </w:r>
      <w:r w:rsidR="00C223B0" w:rsidRPr="001B4A02">
        <w:rPr>
          <w:shd w:val="clear" w:color="auto" w:fill="FFFFFF"/>
          <w:lang w:val="cs-CZ"/>
        </w:rPr>
        <w:t>3</w:t>
      </w:r>
      <w:r w:rsidRPr="001B4A02">
        <w:rPr>
          <w:shd w:val="clear" w:color="auto" w:fill="FFFFFF"/>
          <w:lang w:val="cs-CZ"/>
        </w:rPr>
        <w:t xml:space="preserve"> s přípravkem Humira u</w:t>
      </w:r>
      <w:r w:rsidR="00DD02A9" w:rsidRPr="001B4A02">
        <w:rPr>
          <w:shd w:val="clear" w:color="auto" w:fill="FFFFFF"/>
          <w:lang w:val="cs-CZ"/>
        </w:rPr>
        <w:t> </w:t>
      </w:r>
      <w:r w:rsidRPr="001B4A02">
        <w:rPr>
          <w:shd w:val="clear" w:color="auto" w:fill="FFFFFF"/>
          <w:lang w:val="cs-CZ"/>
        </w:rPr>
        <w:t>pediatrických pacientů s Crohnovou chorobou, která hodnotila účinnost</w:t>
      </w:r>
      <w:r w:rsidR="002378E0">
        <w:rPr>
          <w:shd w:val="clear" w:color="auto" w:fill="FFFFFF"/>
          <w:lang w:val="cs-CZ"/>
        </w:rPr>
        <w:t xml:space="preserve"> a </w:t>
      </w:r>
      <w:r w:rsidRPr="001B4A02">
        <w:rPr>
          <w:shd w:val="clear" w:color="auto" w:fill="FFFFFF"/>
          <w:lang w:val="cs-CZ"/>
        </w:rPr>
        <w:t xml:space="preserve">bezpečnost dvou udržovacích dávkovacích režimů upravených dle hmotnosti po hmotnostně upravené indukční léčbě do 52 týdnů léčby, se </w:t>
      </w:r>
      <w:r w:rsidR="00C114D7" w:rsidRPr="001B4A02">
        <w:rPr>
          <w:szCs w:val="22"/>
          <w:shd w:val="clear" w:color="auto" w:fill="FFFFFF"/>
          <w:lang w:val="cs-CZ"/>
        </w:rPr>
        <w:t>objevilo zvýšení</w:t>
      </w:r>
      <w:r w:rsidRPr="001B4A02">
        <w:rPr>
          <w:shd w:val="clear" w:color="auto" w:fill="FFFFFF"/>
          <w:lang w:val="cs-CZ"/>
        </w:rPr>
        <w:t xml:space="preserve"> ALT </w:t>
      </w:r>
      <w:r w:rsidRPr="001B4A02">
        <w:rPr>
          <w:iCs/>
          <w:lang w:val="cs-CZ"/>
        </w:rPr>
        <w:t>≥</w:t>
      </w:r>
      <w:r w:rsidR="0006352B" w:rsidRPr="001B4A02">
        <w:rPr>
          <w:iCs/>
          <w:lang w:val="cs-CZ"/>
        </w:rPr>
        <w:t> </w:t>
      </w:r>
      <w:r w:rsidRPr="001B4A02">
        <w:rPr>
          <w:iCs/>
          <w:lang w:val="cs-CZ"/>
        </w:rPr>
        <w:t>3 x ULN u</w:t>
      </w:r>
      <w:r w:rsidR="0006352B" w:rsidRPr="001B4A02">
        <w:rPr>
          <w:iCs/>
          <w:lang w:val="cs-CZ"/>
        </w:rPr>
        <w:t> </w:t>
      </w:r>
      <w:r w:rsidRPr="001B4A02">
        <w:rPr>
          <w:iCs/>
          <w:lang w:val="cs-CZ"/>
        </w:rPr>
        <w:t>2,6</w:t>
      </w:r>
      <w:r w:rsidR="00673D53" w:rsidRPr="001B4A02">
        <w:rPr>
          <w:iCs/>
          <w:lang w:val="cs-CZ"/>
        </w:rPr>
        <w:t> </w:t>
      </w:r>
      <w:r w:rsidRPr="001B4A02">
        <w:rPr>
          <w:iCs/>
          <w:lang w:val="cs-CZ"/>
        </w:rPr>
        <w:t>%</w:t>
      </w:r>
      <w:r w:rsidR="00372E74" w:rsidRPr="001B4A02">
        <w:rPr>
          <w:iCs/>
          <w:lang w:val="cs-CZ"/>
        </w:rPr>
        <w:t xml:space="preserve"> (5</w:t>
      </w:r>
      <w:r w:rsidR="00022A37" w:rsidRPr="001B4A02">
        <w:rPr>
          <w:iCs/>
          <w:lang w:val="cs-CZ"/>
        </w:rPr>
        <w:t xml:space="preserve"> ze</w:t>
      </w:r>
      <w:r w:rsidR="00C114D7" w:rsidRPr="001B4A02">
        <w:rPr>
          <w:iCs/>
          <w:lang w:val="cs-CZ"/>
        </w:rPr>
        <w:t xml:space="preserve"> </w:t>
      </w:r>
      <w:r w:rsidR="00372E74" w:rsidRPr="001B4A02">
        <w:rPr>
          <w:iCs/>
          <w:lang w:val="cs-CZ"/>
        </w:rPr>
        <w:t xml:space="preserve">192) </w:t>
      </w:r>
      <w:r w:rsidRPr="001B4A02">
        <w:rPr>
          <w:iCs/>
          <w:lang w:val="cs-CZ"/>
        </w:rPr>
        <w:t>pacientů,</w:t>
      </w:r>
      <w:r w:rsidR="00372E74" w:rsidRPr="001B4A02">
        <w:rPr>
          <w:iCs/>
          <w:lang w:val="cs-CZ"/>
        </w:rPr>
        <w:t xml:space="preserve"> z</w:t>
      </w:r>
      <w:r w:rsidR="0006352B" w:rsidRPr="001B4A02">
        <w:rPr>
          <w:iCs/>
          <w:lang w:val="cs-CZ"/>
        </w:rPr>
        <w:t> </w:t>
      </w:r>
      <w:r w:rsidR="00372E74" w:rsidRPr="001B4A02">
        <w:rPr>
          <w:iCs/>
          <w:lang w:val="cs-CZ"/>
        </w:rPr>
        <w:t>nichž 4 byli</w:t>
      </w:r>
      <w:r w:rsidRPr="001B4A02">
        <w:rPr>
          <w:iCs/>
          <w:lang w:val="cs-CZ"/>
        </w:rPr>
        <w:t xml:space="preserve"> vystaveni současné léčbě imunosupresiv.</w:t>
      </w:r>
    </w:p>
    <w:p w14:paraId="4F249957" w14:textId="77777777" w:rsidR="00ED3511" w:rsidRPr="001B4A02" w:rsidRDefault="00ED3511" w:rsidP="00ED48A3">
      <w:pPr>
        <w:pStyle w:val="EMEANormal"/>
        <w:shd w:val="clear" w:color="auto" w:fill="FFFFFF"/>
        <w:rPr>
          <w:shd w:val="clear" w:color="auto" w:fill="FFFFFF"/>
          <w:lang w:val="cs-CZ"/>
        </w:rPr>
      </w:pPr>
    </w:p>
    <w:p w14:paraId="4A1B7991" w14:textId="77777777" w:rsidR="00ED3511" w:rsidRPr="001B4A02" w:rsidRDefault="00000000" w:rsidP="00ED48A3">
      <w:pPr>
        <w:pStyle w:val="EMEANormal"/>
        <w:shd w:val="clear" w:color="auto" w:fill="FFFFFF"/>
        <w:rPr>
          <w:szCs w:val="22"/>
          <w:shd w:val="clear" w:color="auto" w:fill="FFFFFF"/>
          <w:lang w:val="cs-CZ"/>
        </w:rPr>
      </w:pPr>
      <w:r w:rsidRPr="001B4A02">
        <w:rPr>
          <w:iCs/>
          <w:shd w:val="clear" w:color="auto" w:fill="FFFFFF"/>
          <w:lang w:val="cs-CZ"/>
        </w:rPr>
        <w:t xml:space="preserve">V kontrolovaných klinických studiích fáze </w:t>
      </w:r>
      <w:r w:rsidR="00C223B0" w:rsidRPr="001B4A02">
        <w:rPr>
          <w:iCs/>
          <w:shd w:val="clear" w:color="auto" w:fill="FFFFFF"/>
          <w:lang w:val="cs-CZ"/>
        </w:rPr>
        <w:t>3</w:t>
      </w:r>
      <w:r w:rsidRPr="001B4A02">
        <w:rPr>
          <w:iCs/>
          <w:shd w:val="clear" w:color="auto" w:fill="FFFFFF"/>
          <w:lang w:val="cs-CZ"/>
        </w:rPr>
        <w:t xml:space="preserve"> s přípravkem Humira u</w:t>
      </w:r>
      <w:r w:rsidR="00DD02A9" w:rsidRPr="001B4A02">
        <w:rPr>
          <w:iCs/>
          <w:shd w:val="clear" w:color="auto" w:fill="FFFFFF"/>
          <w:lang w:val="cs-CZ"/>
        </w:rPr>
        <w:t> </w:t>
      </w:r>
      <w:r w:rsidRPr="001B4A02">
        <w:rPr>
          <w:iCs/>
          <w:shd w:val="clear" w:color="auto" w:fill="FFFFFF"/>
          <w:lang w:val="cs-CZ"/>
        </w:rPr>
        <w:t>pacientů s ložiskovou psoriázou se po sledovanou dobu trvání v rozmezí od 12 do 24 týdnů objevilo</w:t>
      </w:r>
      <w:r w:rsidRPr="001B4A02">
        <w:rPr>
          <w:szCs w:val="22"/>
          <w:shd w:val="clear" w:color="auto" w:fill="FFFFFF"/>
          <w:lang w:val="cs-CZ"/>
        </w:rPr>
        <w:t xml:space="preserve"> zvýšení ALT </w:t>
      </w:r>
      <w:r w:rsidRPr="001B4A02">
        <w:rPr>
          <w:lang w:val="cs-CZ"/>
        </w:rPr>
        <w:t>≥</w:t>
      </w:r>
      <w:r w:rsidR="0006352B" w:rsidRPr="001B4A02">
        <w:rPr>
          <w:lang w:val="cs-CZ"/>
        </w:rPr>
        <w:t> </w:t>
      </w:r>
      <w:r w:rsidRPr="001B4A02">
        <w:rPr>
          <w:lang w:val="cs-CZ"/>
        </w:rPr>
        <w:t>3 x ULN</w:t>
      </w:r>
      <w:r w:rsidRPr="001B4A02">
        <w:rPr>
          <w:szCs w:val="22"/>
          <w:shd w:val="clear" w:color="auto" w:fill="FFFFFF"/>
          <w:lang w:val="cs-CZ"/>
        </w:rPr>
        <w:t xml:space="preserve"> u</w:t>
      </w:r>
      <w:r w:rsidR="0006352B" w:rsidRPr="001B4A02">
        <w:rPr>
          <w:szCs w:val="22"/>
          <w:shd w:val="clear" w:color="auto" w:fill="FFFFFF"/>
          <w:lang w:val="cs-CZ"/>
        </w:rPr>
        <w:t> </w:t>
      </w:r>
      <w:r w:rsidRPr="001B4A02">
        <w:rPr>
          <w:szCs w:val="22"/>
          <w:shd w:val="clear" w:color="auto" w:fill="FFFFFF"/>
          <w:lang w:val="cs-CZ"/>
        </w:rPr>
        <w:t>1,8</w:t>
      </w:r>
      <w:r w:rsidR="006008CB">
        <w:rPr>
          <w:szCs w:val="22"/>
          <w:shd w:val="clear" w:color="auto" w:fill="FFFFFF"/>
          <w:lang w:val="cs-CZ"/>
        </w:rPr>
        <w:t> %</w:t>
      </w:r>
      <w:r w:rsidRPr="001B4A02">
        <w:rPr>
          <w:szCs w:val="22"/>
          <w:shd w:val="clear" w:color="auto" w:fill="FFFFFF"/>
          <w:lang w:val="cs-CZ"/>
        </w:rPr>
        <w:t xml:space="preserve"> pacientů léč</w:t>
      </w:r>
      <w:r w:rsidR="00062315" w:rsidRPr="001B4A02">
        <w:rPr>
          <w:szCs w:val="22"/>
          <w:shd w:val="clear" w:color="auto" w:fill="FFFFFF"/>
          <w:lang w:val="cs-CZ"/>
        </w:rPr>
        <w:t>ených přípravkem Humira</w:t>
      </w:r>
      <w:r w:rsidR="002378E0">
        <w:rPr>
          <w:szCs w:val="22"/>
          <w:shd w:val="clear" w:color="auto" w:fill="FFFFFF"/>
          <w:lang w:val="cs-CZ"/>
        </w:rPr>
        <w:t xml:space="preserve"> a </w:t>
      </w:r>
      <w:r w:rsidR="00062315" w:rsidRPr="001B4A02">
        <w:rPr>
          <w:szCs w:val="22"/>
          <w:shd w:val="clear" w:color="auto" w:fill="FFFFFF"/>
          <w:lang w:val="cs-CZ"/>
        </w:rPr>
        <w:t>u</w:t>
      </w:r>
      <w:r w:rsidR="0006352B" w:rsidRPr="001B4A02">
        <w:rPr>
          <w:szCs w:val="22"/>
          <w:shd w:val="clear" w:color="auto" w:fill="FFFFFF"/>
          <w:lang w:val="cs-CZ"/>
        </w:rPr>
        <w:t> </w:t>
      </w:r>
      <w:r w:rsidR="00062315" w:rsidRPr="001B4A02">
        <w:rPr>
          <w:szCs w:val="22"/>
          <w:shd w:val="clear" w:color="auto" w:fill="FFFFFF"/>
          <w:lang w:val="cs-CZ"/>
        </w:rPr>
        <w:t>1,8</w:t>
      </w:r>
      <w:r w:rsidR="006008CB">
        <w:rPr>
          <w:szCs w:val="22"/>
          <w:shd w:val="clear" w:color="auto" w:fill="FFFFFF"/>
          <w:lang w:val="cs-CZ"/>
        </w:rPr>
        <w:t> %</w:t>
      </w:r>
      <w:r w:rsidRPr="001B4A02">
        <w:rPr>
          <w:szCs w:val="22"/>
          <w:shd w:val="clear" w:color="auto" w:fill="FFFFFF"/>
          <w:lang w:val="cs-CZ"/>
        </w:rPr>
        <w:t xml:space="preserve"> pacientů </w:t>
      </w:r>
      <w:r w:rsidR="00790DEF" w:rsidRPr="001B4A02">
        <w:rPr>
          <w:szCs w:val="22"/>
          <w:shd w:val="clear" w:color="auto" w:fill="FFFFFF"/>
          <w:lang w:val="cs-CZ"/>
        </w:rPr>
        <w:t>léčených kontrolním přípravkem.</w:t>
      </w:r>
    </w:p>
    <w:p w14:paraId="1B139D26" w14:textId="77777777" w:rsidR="00ED3511" w:rsidRPr="001B4A02" w:rsidRDefault="00ED3511" w:rsidP="00ED48A3">
      <w:pPr>
        <w:pStyle w:val="EMEANormal"/>
        <w:shd w:val="clear" w:color="auto" w:fill="FFFFFF"/>
        <w:rPr>
          <w:shd w:val="clear" w:color="auto" w:fill="FFFFFF"/>
          <w:lang w:val="cs-CZ"/>
        </w:rPr>
      </w:pPr>
    </w:p>
    <w:p w14:paraId="5A807CBE" w14:textId="77777777" w:rsidR="00ED3511" w:rsidRPr="001B4A02" w:rsidRDefault="00000000" w:rsidP="00ED48A3">
      <w:pPr>
        <w:pStyle w:val="EMEANormal"/>
        <w:shd w:val="clear" w:color="auto" w:fill="FFFFFF"/>
        <w:rPr>
          <w:lang w:val="cs-CZ"/>
        </w:rPr>
      </w:pPr>
      <w:r w:rsidRPr="001B4A02">
        <w:rPr>
          <w:shd w:val="clear" w:color="auto" w:fill="FFFFFF"/>
          <w:lang w:val="cs-CZ"/>
        </w:rPr>
        <w:t xml:space="preserve">Žádné zvýšení ALT </w:t>
      </w:r>
      <w:r w:rsidRPr="001B4A02">
        <w:rPr>
          <w:lang w:val="cs-CZ"/>
        </w:rPr>
        <w:t>≥</w:t>
      </w:r>
      <w:r w:rsidR="00272620" w:rsidRPr="001B4A02">
        <w:rPr>
          <w:lang w:val="cs-CZ"/>
        </w:rPr>
        <w:t> </w:t>
      </w:r>
      <w:r w:rsidRPr="001B4A02">
        <w:rPr>
          <w:lang w:val="cs-CZ"/>
        </w:rPr>
        <w:t>3 x ULN se nevyskytlo v</w:t>
      </w:r>
      <w:r w:rsidR="0006352B" w:rsidRPr="001B4A02">
        <w:rPr>
          <w:lang w:val="cs-CZ"/>
        </w:rPr>
        <w:t> </w:t>
      </w:r>
      <w:r w:rsidRPr="001B4A02">
        <w:rPr>
          <w:lang w:val="cs-CZ"/>
        </w:rPr>
        <w:t xml:space="preserve">klinické studii fáze </w:t>
      </w:r>
      <w:r w:rsidR="00C223B0" w:rsidRPr="001B4A02">
        <w:rPr>
          <w:lang w:val="cs-CZ"/>
        </w:rPr>
        <w:t>3</w:t>
      </w:r>
      <w:r w:rsidRPr="001B4A02">
        <w:rPr>
          <w:lang w:val="cs-CZ"/>
        </w:rPr>
        <w:t xml:space="preserve"> s přípravkem Humira u</w:t>
      </w:r>
      <w:r w:rsidR="00790DEF" w:rsidRPr="001B4A02">
        <w:rPr>
          <w:lang w:val="cs-CZ"/>
        </w:rPr>
        <w:t> </w:t>
      </w:r>
      <w:r w:rsidRPr="001B4A02">
        <w:rPr>
          <w:lang w:val="cs-CZ"/>
        </w:rPr>
        <w:t>pediatrických pacientů s ložiskovou psoriázou.</w:t>
      </w:r>
    </w:p>
    <w:p w14:paraId="0E3E58DF" w14:textId="77777777" w:rsidR="00ED3511" w:rsidRPr="001B4A02" w:rsidRDefault="00ED3511" w:rsidP="00ED48A3">
      <w:pPr>
        <w:pStyle w:val="EMEANormal"/>
        <w:shd w:val="clear" w:color="auto" w:fill="FFFFFF"/>
        <w:rPr>
          <w:shd w:val="clear" w:color="auto" w:fill="FFFFFF"/>
          <w:lang w:val="cs-CZ"/>
        </w:rPr>
      </w:pPr>
    </w:p>
    <w:p w14:paraId="08E4204F" w14:textId="77777777" w:rsidR="00372E74" w:rsidRPr="001B4A02" w:rsidRDefault="00000000" w:rsidP="00ED48A3">
      <w:pPr>
        <w:pStyle w:val="EMEANormal"/>
        <w:shd w:val="clear" w:color="auto" w:fill="FFFFFF"/>
        <w:rPr>
          <w:shd w:val="clear" w:color="auto" w:fill="FFFFFF"/>
          <w:lang w:val="cs-CZ"/>
        </w:rPr>
      </w:pPr>
      <w:r w:rsidRPr="001B4A02">
        <w:rPr>
          <w:shd w:val="clear" w:color="auto" w:fill="FFFFFF"/>
          <w:lang w:val="cs-CZ"/>
        </w:rPr>
        <w:t>V</w:t>
      </w:r>
      <w:r w:rsidR="00A03600" w:rsidRPr="001B4A02">
        <w:rPr>
          <w:shd w:val="clear" w:color="auto" w:fill="FFFFFF"/>
          <w:lang w:val="cs-CZ"/>
        </w:rPr>
        <w:t> </w:t>
      </w:r>
      <w:r w:rsidRPr="001B4A02">
        <w:rPr>
          <w:shd w:val="clear" w:color="auto" w:fill="FFFFFF"/>
          <w:lang w:val="cs-CZ"/>
        </w:rPr>
        <w:t>kontrolovaných klinických studiích s</w:t>
      </w:r>
      <w:r w:rsidR="0006352B" w:rsidRPr="001B4A02">
        <w:rPr>
          <w:shd w:val="clear" w:color="auto" w:fill="FFFFFF"/>
          <w:lang w:val="cs-CZ"/>
        </w:rPr>
        <w:t> </w:t>
      </w:r>
      <w:r w:rsidRPr="001B4A02">
        <w:rPr>
          <w:shd w:val="clear" w:color="auto" w:fill="FFFFFF"/>
          <w:lang w:val="cs-CZ"/>
        </w:rPr>
        <w:t>přípravkem Humira (úvodní dávky 160</w:t>
      </w:r>
      <w:r w:rsidR="00F365E7">
        <w:rPr>
          <w:shd w:val="clear" w:color="auto" w:fill="FFFFFF"/>
          <w:lang w:val="cs-CZ"/>
        </w:rPr>
        <w:t> mg</w:t>
      </w:r>
      <w:r w:rsidRPr="001B4A02">
        <w:rPr>
          <w:shd w:val="clear" w:color="auto" w:fill="FFFFFF"/>
          <w:lang w:val="cs-CZ"/>
        </w:rPr>
        <w:t xml:space="preserve"> v</w:t>
      </w:r>
      <w:r w:rsidR="0006352B" w:rsidRPr="001B4A02">
        <w:rPr>
          <w:shd w:val="clear" w:color="auto" w:fill="FFFFFF"/>
          <w:lang w:val="cs-CZ"/>
        </w:rPr>
        <w:t> </w:t>
      </w:r>
      <w:r w:rsidRPr="001B4A02">
        <w:rPr>
          <w:shd w:val="clear" w:color="auto" w:fill="FFFFFF"/>
          <w:lang w:val="cs-CZ"/>
        </w:rPr>
        <w:t>týdnu 0</w:t>
      </w:r>
      <w:r w:rsidR="002378E0">
        <w:rPr>
          <w:shd w:val="clear" w:color="auto" w:fill="FFFFFF"/>
          <w:lang w:val="cs-CZ"/>
        </w:rPr>
        <w:t xml:space="preserve"> a </w:t>
      </w:r>
      <w:r w:rsidRPr="001B4A02">
        <w:rPr>
          <w:shd w:val="clear" w:color="auto" w:fill="FFFFFF"/>
          <w:lang w:val="cs-CZ"/>
        </w:rPr>
        <w:t>80</w:t>
      </w:r>
      <w:r w:rsidR="00F365E7">
        <w:rPr>
          <w:shd w:val="clear" w:color="auto" w:fill="FFFFFF"/>
          <w:lang w:val="cs-CZ"/>
        </w:rPr>
        <w:t> mg</w:t>
      </w:r>
      <w:r w:rsidRPr="001B4A02">
        <w:rPr>
          <w:shd w:val="clear" w:color="auto" w:fill="FFFFFF"/>
          <w:lang w:val="cs-CZ"/>
        </w:rPr>
        <w:t xml:space="preserve"> v</w:t>
      </w:r>
      <w:r w:rsidR="0006352B" w:rsidRPr="001B4A02">
        <w:rPr>
          <w:shd w:val="clear" w:color="auto" w:fill="FFFFFF"/>
          <w:lang w:val="cs-CZ"/>
        </w:rPr>
        <w:t> </w:t>
      </w:r>
      <w:r w:rsidRPr="001B4A02">
        <w:rPr>
          <w:shd w:val="clear" w:color="auto" w:fill="FFFFFF"/>
          <w:lang w:val="cs-CZ"/>
        </w:rPr>
        <w:t>týdnu 2, následované 40</w:t>
      </w:r>
      <w:r w:rsidR="00F365E7">
        <w:rPr>
          <w:shd w:val="clear" w:color="auto" w:fill="FFFFFF"/>
          <w:lang w:val="cs-CZ"/>
        </w:rPr>
        <w:t> mg</w:t>
      </w:r>
      <w:r w:rsidRPr="001B4A02">
        <w:rPr>
          <w:shd w:val="clear" w:color="auto" w:fill="FFFFFF"/>
          <w:lang w:val="cs-CZ"/>
        </w:rPr>
        <w:t xml:space="preserve"> jednou týdně počínaje týdnem 4) u</w:t>
      </w:r>
      <w:r w:rsidR="0006352B" w:rsidRPr="001B4A02">
        <w:rPr>
          <w:shd w:val="clear" w:color="auto" w:fill="FFFFFF"/>
          <w:lang w:val="cs-CZ"/>
        </w:rPr>
        <w:t> </w:t>
      </w:r>
      <w:r w:rsidRPr="001B4A02">
        <w:rPr>
          <w:shd w:val="clear" w:color="auto" w:fill="FFFFFF"/>
          <w:lang w:val="cs-CZ"/>
        </w:rPr>
        <w:t>pacientů s</w:t>
      </w:r>
      <w:r w:rsidR="0006352B" w:rsidRPr="001B4A02">
        <w:rPr>
          <w:shd w:val="clear" w:color="auto" w:fill="FFFFFF"/>
          <w:lang w:val="cs-CZ"/>
        </w:rPr>
        <w:t> </w:t>
      </w:r>
      <w:r w:rsidRPr="001B4A02">
        <w:rPr>
          <w:shd w:val="clear" w:color="auto" w:fill="FFFFFF"/>
          <w:lang w:val="cs-CZ"/>
        </w:rPr>
        <w:t>hidradenitis suppurativa se sledovanou dobou trvání v</w:t>
      </w:r>
      <w:r w:rsidR="0006352B" w:rsidRPr="001B4A02">
        <w:rPr>
          <w:shd w:val="clear" w:color="auto" w:fill="FFFFFF"/>
          <w:lang w:val="cs-CZ"/>
        </w:rPr>
        <w:t> </w:t>
      </w:r>
      <w:r w:rsidRPr="001B4A02">
        <w:rPr>
          <w:shd w:val="clear" w:color="auto" w:fill="FFFFFF"/>
          <w:lang w:val="cs-CZ"/>
        </w:rPr>
        <w:t>rozmezí od 12 do 16 týdnů se objevilo zvýšení ALT ≥</w:t>
      </w:r>
      <w:r w:rsidR="0006352B" w:rsidRPr="001B4A02">
        <w:rPr>
          <w:shd w:val="clear" w:color="auto" w:fill="FFFFFF"/>
          <w:lang w:val="cs-CZ"/>
        </w:rPr>
        <w:t> </w:t>
      </w:r>
      <w:r w:rsidRPr="001B4A02">
        <w:rPr>
          <w:shd w:val="clear" w:color="auto" w:fill="FFFFFF"/>
          <w:lang w:val="cs-CZ"/>
        </w:rPr>
        <w:t>3 x ULN u</w:t>
      </w:r>
      <w:r w:rsidR="0006352B" w:rsidRPr="001B4A02">
        <w:rPr>
          <w:shd w:val="clear" w:color="auto" w:fill="FFFFFF"/>
          <w:lang w:val="cs-CZ"/>
        </w:rPr>
        <w:t> </w:t>
      </w:r>
      <w:r w:rsidRPr="001B4A02">
        <w:rPr>
          <w:shd w:val="clear" w:color="auto" w:fill="FFFFFF"/>
          <w:lang w:val="cs-CZ"/>
        </w:rPr>
        <w:t>0,3</w:t>
      </w:r>
      <w:r w:rsidR="00673D53" w:rsidRPr="001B4A02">
        <w:rPr>
          <w:shd w:val="clear" w:color="auto" w:fill="FFFFFF"/>
          <w:lang w:val="cs-CZ"/>
        </w:rPr>
        <w:t> </w:t>
      </w:r>
      <w:r w:rsidRPr="001B4A02">
        <w:rPr>
          <w:shd w:val="clear" w:color="auto" w:fill="FFFFFF"/>
          <w:lang w:val="cs-CZ"/>
        </w:rPr>
        <w:t>% pacientů léčen</w:t>
      </w:r>
      <w:r w:rsidR="00062315" w:rsidRPr="001B4A02">
        <w:rPr>
          <w:shd w:val="clear" w:color="auto" w:fill="FFFFFF"/>
          <w:lang w:val="cs-CZ"/>
        </w:rPr>
        <w:t>ých přípravkem Humira</w:t>
      </w:r>
      <w:r w:rsidR="002378E0">
        <w:rPr>
          <w:shd w:val="clear" w:color="auto" w:fill="FFFFFF"/>
          <w:lang w:val="cs-CZ"/>
        </w:rPr>
        <w:t xml:space="preserve"> a </w:t>
      </w:r>
      <w:r w:rsidR="00062315" w:rsidRPr="001B4A02">
        <w:rPr>
          <w:shd w:val="clear" w:color="auto" w:fill="FFFFFF"/>
          <w:lang w:val="cs-CZ"/>
        </w:rPr>
        <w:t>u</w:t>
      </w:r>
      <w:r w:rsidR="0006352B" w:rsidRPr="001B4A02">
        <w:rPr>
          <w:shd w:val="clear" w:color="auto" w:fill="FFFFFF"/>
          <w:lang w:val="cs-CZ"/>
        </w:rPr>
        <w:t> </w:t>
      </w:r>
      <w:r w:rsidR="00062315" w:rsidRPr="001B4A02">
        <w:rPr>
          <w:shd w:val="clear" w:color="auto" w:fill="FFFFFF"/>
          <w:lang w:val="cs-CZ"/>
        </w:rPr>
        <w:t>0,6</w:t>
      </w:r>
      <w:r w:rsidR="00673D53" w:rsidRPr="001B4A02">
        <w:rPr>
          <w:shd w:val="clear" w:color="auto" w:fill="FFFFFF"/>
          <w:lang w:val="cs-CZ"/>
        </w:rPr>
        <w:t> </w:t>
      </w:r>
      <w:r w:rsidR="00062315" w:rsidRPr="001B4A02">
        <w:rPr>
          <w:shd w:val="clear" w:color="auto" w:fill="FFFFFF"/>
          <w:lang w:val="cs-CZ"/>
        </w:rPr>
        <w:t xml:space="preserve">% </w:t>
      </w:r>
      <w:r w:rsidRPr="001B4A02">
        <w:rPr>
          <w:shd w:val="clear" w:color="auto" w:fill="FFFFFF"/>
          <w:lang w:val="cs-CZ"/>
        </w:rPr>
        <w:t>pacientů léčených kontrolním přípravkem.</w:t>
      </w:r>
    </w:p>
    <w:p w14:paraId="32B81A24" w14:textId="77777777" w:rsidR="00372E74" w:rsidRPr="001B4A02" w:rsidRDefault="00372E74" w:rsidP="00ED48A3">
      <w:pPr>
        <w:pStyle w:val="EMEANormal"/>
        <w:shd w:val="clear" w:color="auto" w:fill="FFFFFF"/>
        <w:rPr>
          <w:shd w:val="clear" w:color="auto" w:fill="FFFFFF"/>
          <w:lang w:val="cs-CZ"/>
        </w:rPr>
      </w:pPr>
    </w:p>
    <w:p w14:paraId="5BCFADB2" w14:textId="77777777" w:rsidR="00B14CF7" w:rsidRPr="001B4A02" w:rsidRDefault="00000000" w:rsidP="00ED48A3">
      <w:pPr>
        <w:autoSpaceDE w:val="0"/>
        <w:autoSpaceDN w:val="0"/>
        <w:adjustRightInd w:val="0"/>
        <w:ind w:left="0" w:firstLine="0"/>
        <w:rPr>
          <w:iCs/>
        </w:rPr>
      </w:pPr>
      <w:r w:rsidRPr="001B4A02">
        <w:rPr>
          <w:shd w:val="clear" w:color="auto" w:fill="FFFFFF"/>
        </w:rPr>
        <w:t>V</w:t>
      </w:r>
      <w:r w:rsidR="00A03600" w:rsidRPr="001B4A02">
        <w:rPr>
          <w:shd w:val="clear" w:color="auto" w:fill="FFFFFF"/>
        </w:rPr>
        <w:t> </w:t>
      </w:r>
      <w:r w:rsidRPr="001B4A02">
        <w:rPr>
          <w:shd w:val="clear" w:color="auto" w:fill="FFFFFF"/>
        </w:rPr>
        <w:t>kontrolovaných klinických studiích s</w:t>
      </w:r>
      <w:r w:rsidR="0006352B" w:rsidRPr="001B4A02">
        <w:rPr>
          <w:shd w:val="clear" w:color="auto" w:fill="FFFFFF"/>
        </w:rPr>
        <w:t> </w:t>
      </w:r>
      <w:r w:rsidRPr="001B4A02">
        <w:rPr>
          <w:shd w:val="clear" w:color="auto" w:fill="FFFFFF"/>
        </w:rPr>
        <w:t>přípravkem Humira (úvodní dávky 80</w:t>
      </w:r>
      <w:r w:rsidR="00F365E7">
        <w:rPr>
          <w:shd w:val="clear" w:color="auto" w:fill="FFFFFF"/>
        </w:rPr>
        <w:t> mg</w:t>
      </w:r>
      <w:r w:rsidRPr="001B4A02">
        <w:rPr>
          <w:shd w:val="clear" w:color="auto" w:fill="FFFFFF"/>
        </w:rPr>
        <w:t xml:space="preserve"> v</w:t>
      </w:r>
      <w:r w:rsidR="0006352B" w:rsidRPr="001B4A02">
        <w:rPr>
          <w:shd w:val="clear" w:color="auto" w:fill="FFFFFF"/>
        </w:rPr>
        <w:t> </w:t>
      </w:r>
      <w:r w:rsidRPr="001B4A02">
        <w:rPr>
          <w:shd w:val="clear" w:color="auto" w:fill="FFFFFF"/>
        </w:rPr>
        <w:t>týdnu 0, následované 40</w:t>
      </w:r>
      <w:r w:rsidR="00F365E7">
        <w:rPr>
          <w:shd w:val="clear" w:color="auto" w:fill="FFFFFF"/>
        </w:rPr>
        <w:t> mg</w:t>
      </w:r>
      <w:r w:rsidRPr="001B4A02">
        <w:rPr>
          <w:shd w:val="clear" w:color="auto" w:fill="FFFFFF"/>
        </w:rPr>
        <w:t xml:space="preserve"> jednou za dva týdny počínaje týdnem 1) se u</w:t>
      </w:r>
      <w:r w:rsidR="00DD02A9" w:rsidRPr="001B4A02">
        <w:rPr>
          <w:shd w:val="clear" w:color="auto" w:fill="FFFFFF"/>
        </w:rPr>
        <w:t> </w:t>
      </w:r>
      <w:r w:rsidR="00F23BB2" w:rsidRPr="001B4A02">
        <w:rPr>
          <w:shd w:val="clear" w:color="auto" w:fill="FFFFFF"/>
        </w:rPr>
        <w:t xml:space="preserve">dospělých </w:t>
      </w:r>
      <w:r w:rsidRPr="001B4A02">
        <w:rPr>
          <w:shd w:val="clear" w:color="auto" w:fill="FFFFFF"/>
        </w:rPr>
        <w:t>pacientů s uveitidou léčených až po dobu 80 týdnů se střední expozicí 166,5 dne v případě terapie přípravkem Humira</w:t>
      </w:r>
      <w:r w:rsidR="002378E0">
        <w:rPr>
          <w:shd w:val="clear" w:color="auto" w:fill="FFFFFF"/>
        </w:rPr>
        <w:t xml:space="preserve"> a </w:t>
      </w:r>
      <w:r w:rsidRPr="001B4A02">
        <w:rPr>
          <w:shd w:val="clear" w:color="auto" w:fill="FFFFFF"/>
        </w:rPr>
        <w:t>105,0 dne v případě terapie kontrolním přípravkem objevilo zvýšení ALT ≥</w:t>
      </w:r>
      <w:r w:rsidR="00272620" w:rsidRPr="001B4A02">
        <w:rPr>
          <w:shd w:val="clear" w:color="auto" w:fill="FFFFFF"/>
        </w:rPr>
        <w:t> </w:t>
      </w:r>
      <w:r w:rsidRPr="001B4A02">
        <w:rPr>
          <w:shd w:val="clear" w:color="auto" w:fill="FFFFFF"/>
        </w:rPr>
        <w:t>3 x ULN u</w:t>
      </w:r>
      <w:r w:rsidR="00272620" w:rsidRPr="001B4A02">
        <w:rPr>
          <w:shd w:val="clear" w:color="auto" w:fill="FFFFFF"/>
        </w:rPr>
        <w:t> </w:t>
      </w:r>
      <w:r w:rsidRPr="001B4A02">
        <w:rPr>
          <w:shd w:val="clear" w:color="auto" w:fill="FFFFFF"/>
        </w:rPr>
        <w:t>2,4</w:t>
      </w:r>
      <w:r w:rsidR="006008CB">
        <w:rPr>
          <w:shd w:val="clear" w:color="auto" w:fill="FFFFFF"/>
        </w:rPr>
        <w:t> %</w:t>
      </w:r>
      <w:r w:rsidRPr="001B4A02">
        <w:rPr>
          <w:shd w:val="clear" w:color="auto" w:fill="FFFFFF"/>
        </w:rPr>
        <w:t xml:space="preserve"> pacientů léčených přípravkem Humira</w:t>
      </w:r>
      <w:r w:rsidR="002378E0">
        <w:rPr>
          <w:shd w:val="clear" w:color="auto" w:fill="FFFFFF"/>
        </w:rPr>
        <w:t xml:space="preserve"> a </w:t>
      </w:r>
      <w:r w:rsidRPr="001B4A02">
        <w:rPr>
          <w:shd w:val="clear" w:color="auto" w:fill="FFFFFF"/>
        </w:rPr>
        <w:t>u</w:t>
      </w:r>
      <w:r w:rsidR="00272620" w:rsidRPr="001B4A02">
        <w:rPr>
          <w:shd w:val="clear" w:color="auto" w:fill="FFFFFF"/>
        </w:rPr>
        <w:t> </w:t>
      </w:r>
      <w:r w:rsidRPr="001B4A02">
        <w:rPr>
          <w:shd w:val="clear" w:color="auto" w:fill="FFFFFF"/>
        </w:rPr>
        <w:t>2,4</w:t>
      </w:r>
      <w:r w:rsidR="006008CB">
        <w:rPr>
          <w:shd w:val="clear" w:color="auto" w:fill="FFFFFF"/>
        </w:rPr>
        <w:t> %</w:t>
      </w:r>
      <w:r w:rsidRPr="001B4A02">
        <w:rPr>
          <w:shd w:val="clear" w:color="auto" w:fill="FFFFFF"/>
        </w:rPr>
        <w:t xml:space="preserve"> pacientů léčených kontrolním přípravkem.</w:t>
      </w:r>
    </w:p>
    <w:p w14:paraId="49475E9B" w14:textId="77777777" w:rsidR="00B14CF7" w:rsidRPr="001B4A02" w:rsidRDefault="00B14CF7" w:rsidP="00ED48A3">
      <w:pPr>
        <w:ind w:left="0" w:firstLine="0"/>
        <w:rPr>
          <w:shd w:val="clear" w:color="auto" w:fill="FFFFFF"/>
        </w:rPr>
      </w:pPr>
    </w:p>
    <w:p w14:paraId="52052B16" w14:textId="77777777" w:rsidR="000A79CD" w:rsidRPr="001D2137" w:rsidRDefault="00000000" w:rsidP="000A79CD">
      <w:pPr>
        <w:ind w:left="0" w:firstLine="0"/>
        <w:rPr>
          <w:rStyle w:val="normaltextrun"/>
          <w:shd w:val="clear" w:color="auto" w:fill="FFFFFF"/>
        </w:rPr>
      </w:pPr>
      <w:r>
        <w:rPr>
          <w:rStyle w:val="normaltextrun"/>
          <w:shd w:val="clear" w:color="auto" w:fill="FFFFFF"/>
        </w:rPr>
        <w:t>V kontrolované klinické studii fáze 3 s</w:t>
      </w:r>
      <w:r w:rsidR="009A3A47">
        <w:rPr>
          <w:rStyle w:val="normaltextrun"/>
          <w:shd w:val="clear" w:color="auto" w:fill="FFFFFF"/>
        </w:rPr>
        <w:t> </w:t>
      </w:r>
      <w:r>
        <w:rPr>
          <w:rStyle w:val="normaltextrun"/>
          <w:shd w:val="clear" w:color="auto" w:fill="FFFFFF"/>
        </w:rPr>
        <w:t>přípravkem Humira u pediatrických pacientů s ulcerózní kolitidou (n=93), která hodnotila účinnost</w:t>
      </w:r>
      <w:r w:rsidR="002378E0">
        <w:rPr>
          <w:rStyle w:val="normaltextrun"/>
          <w:shd w:val="clear" w:color="auto" w:fill="FFFFFF"/>
        </w:rPr>
        <w:t xml:space="preserve"> a </w:t>
      </w:r>
      <w:r>
        <w:rPr>
          <w:rStyle w:val="normaltextrun"/>
          <w:shd w:val="clear" w:color="auto" w:fill="FFFFFF"/>
        </w:rPr>
        <w:t xml:space="preserve">bezpečnost udržovací dávky 0,6 mg/kg (maximální dávka 40 mg) </w:t>
      </w:r>
      <w:r w:rsidR="00CC333F" w:rsidRPr="001B4A02">
        <w:t>jednou za dva týdny</w:t>
      </w:r>
      <w:r w:rsidR="00CC333F">
        <w:rPr>
          <w:rStyle w:val="normaltextrun"/>
          <w:shd w:val="clear" w:color="auto" w:fill="FFFFFF"/>
        </w:rPr>
        <w:t xml:space="preserve"> </w:t>
      </w:r>
      <w:r>
        <w:rPr>
          <w:rStyle w:val="normaltextrun"/>
          <w:shd w:val="clear" w:color="auto" w:fill="FFFFFF"/>
        </w:rPr>
        <w:t>(n=31)</w:t>
      </w:r>
      <w:r w:rsidR="002378E0">
        <w:rPr>
          <w:rStyle w:val="normaltextrun"/>
          <w:shd w:val="clear" w:color="auto" w:fill="FFFFFF"/>
        </w:rPr>
        <w:t xml:space="preserve"> a </w:t>
      </w:r>
      <w:r>
        <w:rPr>
          <w:rStyle w:val="normaltextrun"/>
          <w:shd w:val="clear" w:color="auto" w:fill="FFFFFF"/>
        </w:rPr>
        <w:t>udržovací dávky 0,6 mg/kg (maximální dávka 40 mg) každý týden (n=32) po indukční dávce upravené podle tělesné hmotnosti 2,4 mg/kg (maximální dávka 160 mg) v týdnech 0</w:t>
      </w:r>
      <w:r w:rsidR="002378E0">
        <w:rPr>
          <w:rStyle w:val="normaltextrun"/>
          <w:shd w:val="clear" w:color="auto" w:fill="FFFFFF"/>
        </w:rPr>
        <w:t xml:space="preserve"> a </w:t>
      </w:r>
      <w:r>
        <w:rPr>
          <w:rStyle w:val="normaltextrun"/>
          <w:shd w:val="clear" w:color="auto" w:fill="FFFFFF"/>
        </w:rPr>
        <w:t>1,</w:t>
      </w:r>
      <w:r w:rsidR="002378E0">
        <w:rPr>
          <w:rStyle w:val="normaltextrun"/>
          <w:shd w:val="clear" w:color="auto" w:fill="FFFFFF"/>
        </w:rPr>
        <w:t xml:space="preserve"> a </w:t>
      </w:r>
      <w:r>
        <w:rPr>
          <w:rStyle w:val="normaltextrun"/>
          <w:shd w:val="clear" w:color="auto" w:fill="FFFFFF"/>
        </w:rPr>
        <w:t>1,2 mg/kg (maximální dávka 80 mg) v</w:t>
      </w:r>
      <w:r w:rsidR="009A3A47">
        <w:rPr>
          <w:rStyle w:val="normaltextrun"/>
          <w:shd w:val="clear" w:color="auto" w:fill="FFFFFF"/>
        </w:rPr>
        <w:t> </w:t>
      </w:r>
      <w:r>
        <w:rPr>
          <w:rStyle w:val="normaltextrun"/>
          <w:shd w:val="clear" w:color="auto" w:fill="FFFFFF"/>
        </w:rPr>
        <w:t xml:space="preserve">týdnu 2 (n=63) nebo </w:t>
      </w:r>
      <w:r w:rsidRPr="0031470C">
        <w:rPr>
          <w:rStyle w:val="normaltextrun"/>
          <w:shd w:val="clear" w:color="auto" w:fill="FFFFFF"/>
        </w:rPr>
        <w:t>indukční dávce 2,</w:t>
      </w:r>
      <w:r>
        <w:rPr>
          <w:rStyle w:val="normaltextrun"/>
          <w:shd w:val="clear" w:color="auto" w:fill="FFFFFF"/>
        </w:rPr>
        <w:t>4 mg/kg (maximální dávka 160 mg) v týdnu 0, placebo v týdnu 1</w:t>
      </w:r>
      <w:r w:rsidR="002378E0">
        <w:rPr>
          <w:rStyle w:val="normaltextrun"/>
          <w:shd w:val="clear" w:color="auto" w:fill="FFFFFF"/>
        </w:rPr>
        <w:t xml:space="preserve"> a </w:t>
      </w:r>
      <w:r>
        <w:rPr>
          <w:rStyle w:val="normaltextrun"/>
          <w:shd w:val="clear" w:color="auto" w:fill="FFFFFF"/>
        </w:rPr>
        <w:t>1,2 mg/kg (maximální dávka 80 mg) v</w:t>
      </w:r>
      <w:r w:rsidR="009A3A47">
        <w:rPr>
          <w:rStyle w:val="normaltextrun"/>
          <w:shd w:val="clear" w:color="auto" w:fill="FFFFFF"/>
        </w:rPr>
        <w:t> </w:t>
      </w:r>
      <w:r>
        <w:rPr>
          <w:rStyle w:val="normaltextrun"/>
          <w:shd w:val="clear" w:color="auto" w:fill="FFFFFF"/>
        </w:rPr>
        <w:t>týdnu 2 (n=30), se objevilo zvýšení ALT ≥ 3x ULN u 1,1</w:t>
      </w:r>
      <w:r w:rsidR="009A3A47">
        <w:rPr>
          <w:rStyle w:val="normaltextrun"/>
          <w:shd w:val="clear" w:color="auto" w:fill="FFFFFF"/>
        </w:rPr>
        <w:t> </w:t>
      </w:r>
      <w:r>
        <w:rPr>
          <w:rStyle w:val="normaltextrun"/>
          <w:shd w:val="clear" w:color="auto" w:fill="FFFFFF"/>
        </w:rPr>
        <w:t>% (1/93) pacientů.</w:t>
      </w:r>
    </w:p>
    <w:p w14:paraId="2B52CF79" w14:textId="77777777" w:rsidR="000A79CD" w:rsidRDefault="000A79CD" w:rsidP="00ED48A3">
      <w:pPr>
        <w:ind w:left="0" w:firstLine="0"/>
        <w:rPr>
          <w:shd w:val="clear" w:color="auto" w:fill="FFFFFF"/>
        </w:rPr>
      </w:pPr>
    </w:p>
    <w:p w14:paraId="22EE1EB0" w14:textId="77777777" w:rsidR="00ED3511" w:rsidRPr="001B4A02" w:rsidRDefault="00000000" w:rsidP="00ED48A3">
      <w:pPr>
        <w:ind w:left="0" w:firstLine="0"/>
        <w:rPr>
          <w:shd w:val="clear" w:color="auto" w:fill="FFFFFF"/>
        </w:rPr>
      </w:pPr>
      <w:r w:rsidRPr="001B4A02">
        <w:rPr>
          <w:shd w:val="clear" w:color="auto" w:fill="FFFFFF"/>
        </w:rPr>
        <w:t>V klinických studiích napříč všemi indikacemi byli pacienti se zvýšeným ALT asymptomatičtí</w:t>
      </w:r>
      <w:r w:rsidR="002378E0">
        <w:rPr>
          <w:shd w:val="clear" w:color="auto" w:fill="FFFFFF"/>
        </w:rPr>
        <w:t xml:space="preserve"> a </w:t>
      </w:r>
      <w:r w:rsidRPr="001B4A02">
        <w:rPr>
          <w:shd w:val="clear" w:color="auto" w:fill="FFFFFF"/>
        </w:rPr>
        <w:t>ve většině případů bylo zvýšení ALT přechodné</w:t>
      </w:r>
      <w:r w:rsidR="002378E0">
        <w:rPr>
          <w:shd w:val="clear" w:color="auto" w:fill="FFFFFF"/>
        </w:rPr>
        <w:t xml:space="preserve"> a </w:t>
      </w:r>
      <w:r w:rsidRPr="001B4A02">
        <w:rPr>
          <w:shd w:val="clear" w:color="auto" w:fill="FFFFFF"/>
        </w:rPr>
        <w:t>vymizelo s pokračováním léčby. Nicméně po uvedení přípravku na trh byly u</w:t>
      </w:r>
      <w:r w:rsidR="00272620" w:rsidRPr="001B4A02">
        <w:rPr>
          <w:shd w:val="clear" w:color="auto" w:fill="FFFFFF"/>
        </w:rPr>
        <w:t> </w:t>
      </w:r>
      <w:r w:rsidRPr="001B4A02">
        <w:rPr>
          <w:shd w:val="clear" w:color="auto" w:fill="FFFFFF"/>
        </w:rPr>
        <w:t>pacientů, jimž byl podáván adalimumab, hlášeny případy selhání jater, stejně jako případy méně závažných poruch jater, které mohou selhání jater předcházet, jako je hepatitida, včetně autoimunní hepatitidy.</w:t>
      </w:r>
    </w:p>
    <w:p w14:paraId="241C1597" w14:textId="77777777" w:rsidR="00ED3511" w:rsidRPr="001B4A02" w:rsidRDefault="00ED3511" w:rsidP="00ED48A3">
      <w:pPr>
        <w:ind w:left="0" w:firstLine="0"/>
        <w:rPr>
          <w:u w:val="single"/>
        </w:rPr>
      </w:pPr>
    </w:p>
    <w:p w14:paraId="6474F88D" w14:textId="77777777" w:rsidR="00ED3511" w:rsidRPr="001B4A02" w:rsidRDefault="00000000" w:rsidP="00A03600">
      <w:pPr>
        <w:pStyle w:val="EMEANormal"/>
        <w:keepNext/>
        <w:shd w:val="clear" w:color="auto" w:fill="FFFFFF"/>
        <w:rPr>
          <w:u w:val="single"/>
          <w:shd w:val="clear" w:color="auto" w:fill="FFFFFF"/>
          <w:lang w:val="cs-CZ"/>
        </w:rPr>
      </w:pPr>
      <w:r w:rsidRPr="001B4A02">
        <w:rPr>
          <w:u w:val="single"/>
          <w:shd w:val="clear" w:color="auto" w:fill="FFFFFF"/>
          <w:lang w:val="cs-CZ"/>
        </w:rPr>
        <w:t>Současná léčba azathioprinem/</w:t>
      </w:r>
      <w:r w:rsidR="005E4D79" w:rsidRPr="001B4A02">
        <w:rPr>
          <w:u w:val="single"/>
          <w:shd w:val="clear" w:color="auto" w:fill="FFFFFF"/>
          <w:lang w:val="cs-CZ"/>
        </w:rPr>
        <w:t>6-</w:t>
      </w:r>
      <w:r w:rsidRPr="001B4A02">
        <w:rPr>
          <w:u w:val="single"/>
          <w:shd w:val="clear" w:color="auto" w:fill="FFFFFF"/>
          <w:lang w:val="cs-CZ"/>
        </w:rPr>
        <w:t>merkaptopurinem</w:t>
      </w:r>
    </w:p>
    <w:p w14:paraId="767029FD" w14:textId="77777777" w:rsidR="00ED3511" w:rsidRPr="001B4A02" w:rsidRDefault="00ED3511" w:rsidP="00A03600">
      <w:pPr>
        <w:pStyle w:val="EMEANormal"/>
        <w:keepNext/>
        <w:tabs>
          <w:tab w:val="clear" w:pos="562"/>
        </w:tabs>
        <w:suppressAutoHyphens w:val="0"/>
        <w:rPr>
          <w:shd w:val="clear" w:color="auto" w:fill="FFFFFF"/>
          <w:lang w:val="cs-CZ"/>
        </w:rPr>
      </w:pPr>
    </w:p>
    <w:p w14:paraId="4807B6E9" w14:textId="77777777" w:rsidR="00ED3511" w:rsidRPr="001B4A02" w:rsidRDefault="00000000" w:rsidP="00ED48A3">
      <w:pPr>
        <w:pStyle w:val="EMEANormal"/>
        <w:tabs>
          <w:tab w:val="clear" w:pos="562"/>
        </w:tabs>
        <w:suppressAutoHyphens w:val="0"/>
        <w:rPr>
          <w:shd w:val="clear" w:color="auto" w:fill="FFFFFF"/>
          <w:lang w:val="cs-CZ"/>
        </w:rPr>
      </w:pPr>
      <w:r w:rsidRPr="001B4A02">
        <w:rPr>
          <w:shd w:val="clear" w:color="auto" w:fill="FFFFFF"/>
          <w:lang w:val="cs-CZ"/>
        </w:rPr>
        <w:t>Ve studiích s Crohnovou chorobou byla u</w:t>
      </w:r>
      <w:r w:rsidR="003315BB" w:rsidRPr="001B4A02">
        <w:rPr>
          <w:shd w:val="clear" w:color="auto" w:fill="FFFFFF"/>
          <w:lang w:val="cs-CZ"/>
        </w:rPr>
        <w:t> </w:t>
      </w:r>
      <w:r w:rsidRPr="001B4A02">
        <w:rPr>
          <w:shd w:val="clear" w:color="auto" w:fill="FFFFFF"/>
          <w:lang w:val="cs-CZ"/>
        </w:rPr>
        <w:t>dospělých pacientů léčených kombinací přípravku Humira spolu s azathioprinem/</w:t>
      </w:r>
      <w:r w:rsidR="00C806C1" w:rsidRPr="001B4A02">
        <w:rPr>
          <w:shd w:val="clear" w:color="auto" w:fill="FFFFFF"/>
          <w:lang w:val="cs-CZ"/>
        </w:rPr>
        <w:t>6-</w:t>
      </w:r>
      <w:r w:rsidRPr="001B4A02">
        <w:rPr>
          <w:shd w:val="clear" w:color="auto" w:fill="FFFFFF"/>
          <w:lang w:val="cs-CZ"/>
        </w:rPr>
        <w:t>merkaptopurinem pozorována vyšší incidence malignit</w:t>
      </w:r>
      <w:r w:rsidR="002378E0">
        <w:rPr>
          <w:shd w:val="clear" w:color="auto" w:fill="FFFFFF"/>
          <w:lang w:val="cs-CZ"/>
        </w:rPr>
        <w:t xml:space="preserve"> a </w:t>
      </w:r>
      <w:r w:rsidRPr="001B4A02">
        <w:rPr>
          <w:shd w:val="clear" w:color="auto" w:fill="FFFFFF"/>
          <w:lang w:val="cs-CZ"/>
        </w:rPr>
        <w:t>závažných nežádoucích účinků souvisejících s infekcemi v porovnání s pacienty, kteří byli léčeni pouze přípravkem Humira.</w:t>
      </w:r>
    </w:p>
    <w:p w14:paraId="6B00E6FA" w14:textId="77777777" w:rsidR="00ED3511" w:rsidRPr="001B4A02" w:rsidRDefault="00ED3511" w:rsidP="00ED48A3">
      <w:pPr>
        <w:pStyle w:val="EMEANormal"/>
        <w:tabs>
          <w:tab w:val="clear" w:pos="562"/>
        </w:tabs>
        <w:suppressAutoHyphens w:val="0"/>
        <w:rPr>
          <w:bCs/>
          <w:lang w:val="cs-CZ"/>
        </w:rPr>
      </w:pPr>
    </w:p>
    <w:p w14:paraId="1CA9F8F6" w14:textId="77777777" w:rsidR="00ED3511" w:rsidRPr="001B4A02" w:rsidRDefault="00000000" w:rsidP="00A03600">
      <w:pPr>
        <w:pStyle w:val="EMEANormal"/>
        <w:keepNext/>
        <w:shd w:val="clear" w:color="auto" w:fill="FFFFFF"/>
        <w:rPr>
          <w:u w:val="single"/>
          <w:shd w:val="clear" w:color="auto" w:fill="FFFFFF"/>
          <w:lang w:val="cs-CZ"/>
        </w:rPr>
      </w:pPr>
      <w:r w:rsidRPr="001B4A02">
        <w:rPr>
          <w:u w:val="single"/>
          <w:shd w:val="clear" w:color="auto" w:fill="FFFFFF"/>
          <w:lang w:val="cs-CZ"/>
        </w:rPr>
        <w:t>Hlášení podezření na nežádoucí účinky</w:t>
      </w:r>
    </w:p>
    <w:p w14:paraId="3FC0BDD3" w14:textId="77777777" w:rsidR="00ED3511" w:rsidRPr="001B4A02" w:rsidRDefault="00ED3511" w:rsidP="00A03600">
      <w:pPr>
        <w:pStyle w:val="EMEANormal"/>
        <w:keepNext/>
        <w:shd w:val="clear" w:color="auto" w:fill="FFFFFF"/>
        <w:rPr>
          <w:shd w:val="clear" w:color="auto" w:fill="FFFFFF"/>
          <w:lang w:val="cs-CZ"/>
        </w:rPr>
      </w:pPr>
    </w:p>
    <w:p w14:paraId="603F13ED" w14:textId="77777777" w:rsidR="00ED3511" w:rsidRPr="001B4A02" w:rsidRDefault="00000000" w:rsidP="00ED48A3">
      <w:pPr>
        <w:pStyle w:val="EMEANormal"/>
        <w:shd w:val="clear" w:color="auto" w:fill="FFFFFF"/>
        <w:rPr>
          <w:lang w:val="cs-CZ"/>
        </w:rPr>
      </w:pPr>
      <w:r w:rsidRPr="001B4A02">
        <w:rPr>
          <w:shd w:val="clear" w:color="auto" w:fill="FFFFFF"/>
          <w:lang w:val="cs-CZ"/>
        </w:rPr>
        <w:t>Hlášení podezření na nežádoucí účinky po registraci léčivého přípravku je důležité. Umožňuje to pokračovat ve sledování poměru přínosů</w:t>
      </w:r>
      <w:r w:rsidR="002378E0">
        <w:rPr>
          <w:shd w:val="clear" w:color="auto" w:fill="FFFFFF"/>
          <w:lang w:val="cs-CZ"/>
        </w:rPr>
        <w:t xml:space="preserve"> a </w:t>
      </w:r>
      <w:r w:rsidRPr="001B4A02">
        <w:rPr>
          <w:shd w:val="clear" w:color="auto" w:fill="FFFFFF"/>
          <w:lang w:val="cs-CZ"/>
        </w:rPr>
        <w:t xml:space="preserve">rizik léčivého přípravku. Žádáme zdravotnické pracovníky, aby hlásili podezření na nežádoucí účinky prostřednictvím </w:t>
      </w:r>
      <w:r w:rsidRPr="001B4A02">
        <w:rPr>
          <w:shd w:val="clear" w:color="auto" w:fill="A6A6A6"/>
          <w:lang w:val="cs-CZ"/>
        </w:rPr>
        <w:t>národního systému hlášení nežádoucích účinků uvedeného v </w:t>
      </w:r>
      <w:hyperlink r:id="rId19" w:history="1">
        <w:r w:rsidR="00ED3511" w:rsidRPr="001B4A02">
          <w:rPr>
            <w:rStyle w:val="Hyperlink"/>
            <w:shd w:val="clear" w:color="auto" w:fill="A6A6A6"/>
            <w:lang w:val="cs-CZ"/>
          </w:rPr>
          <w:t>Dodatku V</w:t>
        </w:r>
      </w:hyperlink>
      <w:r w:rsidRPr="001B4A02">
        <w:rPr>
          <w:shd w:val="clear" w:color="auto" w:fill="FFFFFF"/>
          <w:lang w:val="cs-CZ"/>
        </w:rPr>
        <w:t>.</w:t>
      </w:r>
    </w:p>
    <w:p w14:paraId="6EEC67DA" w14:textId="77777777" w:rsidR="00ED3511" w:rsidRPr="001B4A02" w:rsidRDefault="00ED3511" w:rsidP="00ED48A3">
      <w:pPr>
        <w:pStyle w:val="EMEANormal"/>
        <w:shd w:val="clear" w:color="auto" w:fill="FFFFFF"/>
        <w:rPr>
          <w:bCs/>
          <w:lang w:val="cs-CZ"/>
        </w:rPr>
      </w:pPr>
    </w:p>
    <w:p w14:paraId="7E590097" w14:textId="77777777" w:rsidR="00ED3511" w:rsidRPr="001B4A02" w:rsidRDefault="00000000" w:rsidP="00A15B7A">
      <w:pPr>
        <w:keepNext/>
        <w:ind w:left="0" w:firstLine="0"/>
        <w:outlineLvl w:val="1"/>
      </w:pPr>
      <w:r w:rsidRPr="001B4A02">
        <w:rPr>
          <w:b/>
        </w:rPr>
        <w:t>4.9</w:t>
      </w:r>
      <w:r w:rsidRPr="001B4A02">
        <w:rPr>
          <w:b/>
        </w:rPr>
        <w:tab/>
        <w:t>Předávkování</w:t>
      </w:r>
    </w:p>
    <w:p w14:paraId="37789E5C" w14:textId="77777777" w:rsidR="00ED3511" w:rsidRPr="001B4A02" w:rsidRDefault="00ED3511" w:rsidP="00A03600">
      <w:pPr>
        <w:keepNext/>
        <w:ind w:left="0" w:firstLine="0"/>
      </w:pPr>
    </w:p>
    <w:p w14:paraId="296012DA" w14:textId="77777777" w:rsidR="00ED3511" w:rsidRPr="001B4A02" w:rsidRDefault="00000000" w:rsidP="00ED48A3">
      <w:pPr>
        <w:ind w:left="0" w:firstLine="0"/>
      </w:pPr>
      <w:r w:rsidRPr="001B4A02">
        <w:t>V klinických studiích nebyla pozorována toxicita omezující dávku léku. Nejvyšší hodnocenou dávkou bylo opakované intravenózní podávání 10 mg/kg, což je přibližně 15násobek doporučené dávky.</w:t>
      </w:r>
    </w:p>
    <w:p w14:paraId="65C01075" w14:textId="77777777" w:rsidR="00ED3511" w:rsidRPr="001B4A02" w:rsidRDefault="00ED3511" w:rsidP="00ED48A3">
      <w:pPr>
        <w:ind w:left="0" w:firstLine="0"/>
      </w:pPr>
    </w:p>
    <w:p w14:paraId="14443B7D" w14:textId="77777777" w:rsidR="00ED3511" w:rsidRPr="001B4A02" w:rsidRDefault="00ED3511" w:rsidP="00ED48A3">
      <w:pPr>
        <w:ind w:left="0" w:firstLine="0"/>
      </w:pPr>
    </w:p>
    <w:p w14:paraId="18AADBDE" w14:textId="77777777" w:rsidR="00ED3511" w:rsidRPr="001B4A02" w:rsidRDefault="00000000" w:rsidP="00A15B7A">
      <w:pPr>
        <w:keepNext/>
        <w:tabs>
          <w:tab w:val="left" w:pos="567"/>
        </w:tabs>
        <w:outlineLvl w:val="0"/>
        <w:rPr>
          <w:b/>
        </w:rPr>
      </w:pPr>
      <w:r w:rsidRPr="001B4A02">
        <w:rPr>
          <w:b/>
        </w:rPr>
        <w:t>5.</w:t>
      </w:r>
      <w:r w:rsidRPr="001B4A02">
        <w:rPr>
          <w:b/>
        </w:rPr>
        <w:tab/>
        <w:t>FARMAKOLOGICKÉ VLASTNOSTI</w:t>
      </w:r>
    </w:p>
    <w:p w14:paraId="6DC182A0" w14:textId="77777777" w:rsidR="00ED3511" w:rsidRPr="001B4A02" w:rsidRDefault="00ED3511" w:rsidP="00603F6E">
      <w:pPr>
        <w:keepNext/>
        <w:ind w:left="0" w:firstLine="0"/>
        <w:rPr>
          <w:b/>
        </w:rPr>
      </w:pPr>
    </w:p>
    <w:p w14:paraId="33BD300F" w14:textId="77777777" w:rsidR="00ED3511" w:rsidRPr="001B4A02" w:rsidRDefault="00000000" w:rsidP="00A15B7A">
      <w:pPr>
        <w:keepNext/>
        <w:ind w:left="0" w:firstLine="0"/>
        <w:outlineLvl w:val="1"/>
      </w:pPr>
      <w:r w:rsidRPr="001B4A02">
        <w:rPr>
          <w:b/>
        </w:rPr>
        <w:t>5.1</w:t>
      </w:r>
      <w:r w:rsidRPr="001B4A02">
        <w:rPr>
          <w:b/>
        </w:rPr>
        <w:tab/>
        <w:t>Farmakodynamické vlastnosti</w:t>
      </w:r>
    </w:p>
    <w:p w14:paraId="7BE973B5" w14:textId="77777777" w:rsidR="00ED3511" w:rsidRPr="001B4A02" w:rsidRDefault="00ED3511" w:rsidP="00603F6E">
      <w:pPr>
        <w:pStyle w:val="EndnoteText"/>
        <w:keepNext/>
        <w:ind w:left="0" w:firstLine="0"/>
        <w:rPr>
          <w:lang w:val="cs-CZ"/>
        </w:rPr>
      </w:pPr>
    </w:p>
    <w:p w14:paraId="4608D2CD" w14:textId="77777777" w:rsidR="00ED3511" w:rsidRPr="001B4A02" w:rsidRDefault="00000000" w:rsidP="00A03600">
      <w:pPr>
        <w:ind w:left="0" w:firstLine="0"/>
      </w:pPr>
      <w:r w:rsidRPr="001B4A02">
        <w:t>Farmakoterapeutická skup</w:t>
      </w:r>
      <w:r w:rsidR="00062315" w:rsidRPr="001B4A02">
        <w:t>ina: Imunosupresiva, Inhibitory</w:t>
      </w:r>
      <w:r w:rsidRPr="001B4A02">
        <w:t xml:space="preserve"> tumor nekrotizujícího faktoru alfa (TNF-</w:t>
      </w:r>
      <w:r w:rsidR="004A3A99" w:rsidRPr="004A3A99">
        <w:t>α</w:t>
      </w:r>
      <w:r w:rsidRPr="001B4A02">
        <w:t>), ATC kód: L04AB04</w:t>
      </w:r>
    </w:p>
    <w:p w14:paraId="5B8BD99D" w14:textId="77777777" w:rsidR="00ED3511" w:rsidRPr="001B4A02" w:rsidRDefault="00ED3511" w:rsidP="00ED48A3">
      <w:pPr>
        <w:ind w:left="0" w:firstLine="0"/>
        <w:rPr>
          <w:u w:val="single"/>
        </w:rPr>
      </w:pPr>
    </w:p>
    <w:p w14:paraId="1F283F64" w14:textId="77777777" w:rsidR="00ED3511" w:rsidRPr="001B4A02" w:rsidRDefault="00000000" w:rsidP="00ED48A3">
      <w:pPr>
        <w:keepNext/>
        <w:ind w:left="0" w:firstLine="0"/>
      </w:pPr>
      <w:r w:rsidRPr="001B4A02">
        <w:rPr>
          <w:u w:val="single"/>
        </w:rPr>
        <w:t>Mechanismus účinku</w:t>
      </w:r>
    </w:p>
    <w:p w14:paraId="6614B39F" w14:textId="77777777" w:rsidR="00ED3511" w:rsidRPr="001B4A02" w:rsidRDefault="00ED3511" w:rsidP="00ED48A3">
      <w:pPr>
        <w:keepNext/>
        <w:ind w:left="0" w:firstLine="0"/>
      </w:pPr>
    </w:p>
    <w:p w14:paraId="433BC1DD" w14:textId="77777777" w:rsidR="00ED3511" w:rsidRPr="001B4A02" w:rsidRDefault="00000000" w:rsidP="00A03600">
      <w:pPr>
        <w:ind w:left="0" w:firstLine="0"/>
      </w:pPr>
      <w:r w:rsidRPr="001B4A02">
        <w:t>Adalimumab se specificky váže na TNF</w:t>
      </w:r>
      <w:r w:rsidR="002378E0">
        <w:t xml:space="preserve"> a </w:t>
      </w:r>
      <w:r w:rsidRPr="001B4A02">
        <w:t>neutralizuje biologickou funkci TNF blokováním jeho interakce s p55</w:t>
      </w:r>
      <w:r w:rsidR="002378E0">
        <w:t xml:space="preserve"> a </w:t>
      </w:r>
      <w:r w:rsidRPr="001B4A02">
        <w:t>p75 TNF receptorů na povrchu buněk.</w:t>
      </w:r>
    </w:p>
    <w:p w14:paraId="668912B9" w14:textId="77777777" w:rsidR="00ED3511" w:rsidRPr="001B4A02" w:rsidRDefault="00ED3511" w:rsidP="00ED48A3">
      <w:pPr>
        <w:ind w:left="0" w:firstLine="0"/>
      </w:pPr>
    </w:p>
    <w:p w14:paraId="33A04270" w14:textId="77777777" w:rsidR="00ED3511" w:rsidRPr="001B4A02" w:rsidRDefault="00000000" w:rsidP="00ED48A3">
      <w:pPr>
        <w:ind w:left="0" w:firstLine="0"/>
      </w:pPr>
      <w:r w:rsidRPr="001B4A02">
        <w:t>Adalimumab rovněž moduluje biologickou odpověď, která je indukována nebo regulována TNF, včetně změn hladin adhezních molekul zodpovědných za migraci leukocytů (ELAM-1, VACM-1</w:t>
      </w:r>
      <w:r w:rsidR="002378E0">
        <w:t xml:space="preserve"> a </w:t>
      </w:r>
      <w:r w:rsidRPr="001B4A02">
        <w:t>ICAM-1 při IC</w:t>
      </w:r>
      <w:r w:rsidRPr="001B4A02">
        <w:rPr>
          <w:vertAlign w:val="subscript"/>
        </w:rPr>
        <w:t>50</w:t>
      </w:r>
      <w:r w:rsidRPr="001B4A02">
        <w:t xml:space="preserve"> 0,1</w:t>
      </w:r>
      <w:r w:rsidR="00C3486C" w:rsidRPr="001B4A02">
        <w:t>–</w:t>
      </w:r>
      <w:r w:rsidRPr="001B4A02">
        <w:t>0,2 nM).</w:t>
      </w:r>
    </w:p>
    <w:p w14:paraId="26218680" w14:textId="77777777" w:rsidR="00ED3511" w:rsidRPr="001B4A02" w:rsidRDefault="00ED3511" w:rsidP="00ED48A3">
      <w:pPr>
        <w:ind w:left="0" w:firstLine="0"/>
      </w:pPr>
    </w:p>
    <w:p w14:paraId="6F319EBC" w14:textId="77777777" w:rsidR="00ED3511" w:rsidRPr="001B4A02" w:rsidRDefault="00000000" w:rsidP="00ED48A3">
      <w:pPr>
        <w:keepNext/>
        <w:ind w:left="0" w:firstLine="0"/>
        <w:rPr>
          <w:u w:val="single"/>
        </w:rPr>
      </w:pPr>
      <w:r w:rsidRPr="001B4A02">
        <w:rPr>
          <w:u w:val="single"/>
        </w:rPr>
        <w:t>Farmakodynamické účinky</w:t>
      </w:r>
    </w:p>
    <w:p w14:paraId="5DA38203" w14:textId="77777777" w:rsidR="00ED3511" w:rsidRPr="001B4A02" w:rsidRDefault="00ED3511" w:rsidP="00ED48A3">
      <w:pPr>
        <w:keepNext/>
        <w:ind w:left="0" w:firstLine="0"/>
      </w:pPr>
    </w:p>
    <w:p w14:paraId="64BFA6B2" w14:textId="77777777" w:rsidR="00ED3511" w:rsidRPr="001B4A02" w:rsidRDefault="00000000" w:rsidP="00A03600">
      <w:pPr>
        <w:ind w:left="0" w:firstLine="0"/>
      </w:pPr>
      <w:r w:rsidRPr="001B4A02">
        <w:t>Po léčbě přípravkem Humira byl u pacientů s revmatoidní artritidou v porovnání s výchozím stavem pozorován rychlý pokles hladin ukazatelů akutní fáze zánětu (C-reaktivní protein (CRP)</w:t>
      </w:r>
      <w:r w:rsidR="002378E0">
        <w:t xml:space="preserve"> a </w:t>
      </w:r>
      <w:r w:rsidRPr="001B4A02">
        <w:t>sedimentace erytrocytů (FW)</w:t>
      </w:r>
      <w:r w:rsidR="00CD6D96" w:rsidRPr="001B4A02">
        <w:t>)</w:t>
      </w:r>
      <w:r w:rsidR="002378E0">
        <w:t xml:space="preserve"> a </w:t>
      </w:r>
      <w:r w:rsidRPr="001B4A02">
        <w:t>sérových cytokinů (IL-6). Po podání přípravku Humira byly rovněž sníženy sérové koncentrace matrixových metaloproteináz (MMP-1</w:t>
      </w:r>
      <w:r w:rsidR="002378E0">
        <w:t xml:space="preserve"> a </w:t>
      </w:r>
      <w:r w:rsidRPr="001B4A02">
        <w:t>MMP-3), které vyvolávají přestavbu tkání způsobující destrukci chrupavek. U</w:t>
      </w:r>
      <w:r w:rsidR="008A5E18" w:rsidRPr="001B4A02">
        <w:t> </w:t>
      </w:r>
      <w:r w:rsidRPr="001B4A02">
        <w:t>pacientů léčených přípravkem Humira obvykle došlo ke zlepšení hematologických známek chronického zánětu.</w:t>
      </w:r>
    </w:p>
    <w:p w14:paraId="276AF34D" w14:textId="77777777" w:rsidR="00ED3511" w:rsidRPr="001B4A02" w:rsidRDefault="00ED3511" w:rsidP="00ED48A3">
      <w:pPr>
        <w:ind w:left="0" w:firstLine="0"/>
        <w:rPr>
          <w:u w:val="single"/>
        </w:rPr>
      </w:pPr>
    </w:p>
    <w:p w14:paraId="4D049562" w14:textId="77777777" w:rsidR="00ED3511" w:rsidRPr="001B4A02" w:rsidRDefault="00000000" w:rsidP="00ED48A3">
      <w:pPr>
        <w:pStyle w:val="EMEANormal"/>
        <w:tabs>
          <w:tab w:val="clear" w:pos="562"/>
        </w:tabs>
        <w:suppressAutoHyphens w:val="0"/>
        <w:rPr>
          <w:lang w:val="cs-CZ"/>
        </w:rPr>
      </w:pPr>
      <w:r w:rsidRPr="001B4A02">
        <w:rPr>
          <w:lang w:val="cs-CZ"/>
        </w:rPr>
        <w:t>Rychlý pokles hladin CRP během léčby přípravkem Humira byl také pozorován u</w:t>
      </w:r>
      <w:r w:rsidR="008A5E18" w:rsidRPr="001B4A02">
        <w:rPr>
          <w:lang w:val="cs-CZ"/>
        </w:rPr>
        <w:t> </w:t>
      </w:r>
      <w:r w:rsidRPr="001B4A02">
        <w:rPr>
          <w:lang w:val="cs-CZ"/>
        </w:rPr>
        <w:t>pacientů s polyartikulární juvenilní idiopatickou artritidou, Crohnovou chorobou</w:t>
      </w:r>
      <w:r w:rsidR="00372E74" w:rsidRPr="001B4A02">
        <w:rPr>
          <w:lang w:val="cs-CZ"/>
        </w:rPr>
        <w:t>,</w:t>
      </w:r>
      <w:r w:rsidRPr="001B4A02">
        <w:rPr>
          <w:lang w:val="cs-CZ"/>
        </w:rPr>
        <w:t xml:space="preserve"> ulcerózní kolitidou</w:t>
      </w:r>
      <w:r w:rsidR="002378E0">
        <w:rPr>
          <w:lang w:val="cs-CZ"/>
        </w:rPr>
        <w:t xml:space="preserve"> a </w:t>
      </w:r>
      <w:r w:rsidR="00372E74" w:rsidRPr="001B4A02">
        <w:rPr>
          <w:lang w:val="cs-CZ"/>
        </w:rPr>
        <w:t>hidradenitis suppurativa</w:t>
      </w:r>
      <w:r w:rsidRPr="001B4A02">
        <w:rPr>
          <w:lang w:val="cs-CZ"/>
        </w:rPr>
        <w:t>. U</w:t>
      </w:r>
      <w:r w:rsidR="008A5E18" w:rsidRPr="001B4A02">
        <w:rPr>
          <w:lang w:val="cs-CZ"/>
        </w:rPr>
        <w:t> </w:t>
      </w:r>
      <w:r w:rsidRPr="001B4A02">
        <w:rPr>
          <w:lang w:val="cs-CZ"/>
        </w:rPr>
        <w:t>pacientů s Crohnovou chorobou bylo také pozorováno snížení počtu buněk exprimujících markery zánětlivých faktorů v tlustém střevě, což zahrnovalo i významný pokles exprese TNFα. Endoskopické zkoumání střevní sliznice jednoznačně prokázalo slizniční hojení u pacientů léčených adalimumabem.</w:t>
      </w:r>
    </w:p>
    <w:p w14:paraId="43E3A439" w14:textId="77777777" w:rsidR="00ED3511" w:rsidRPr="001B4A02" w:rsidRDefault="00ED3511" w:rsidP="00ED48A3">
      <w:pPr>
        <w:ind w:left="0" w:firstLine="0"/>
      </w:pPr>
    </w:p>
    <w:p w14:paraId="0F1FED76" w14:textId="77777777" w:rsidR="00ED3511" w:rsidRPr="001B4A02" w:rsidRDefault="00000000" w:rsidP="00A03600">
      <w:pPr>
        <w:keepNext/>
        <w:ind w:left="0" w:firstLine="0"/>
        <w:rPr>
          <w:u w:val="single"/>
        </w:rPr>
      </w:pPr>
      <w:r w:rsidRPr="001B4A02">
        <w:rPr>
          <w:u w:val="single"/>
        </w:rPr>
        <w:t>Klinick</w:t>
      </w:r>
      <w:r w:rsidR="00BB4EAF" w:rsidRPr="001B4A02">
        <w:rPr>
          <w:u w:val="single"/>
        </w:rPr>
        <w:t>á</w:t>
      </w:r>
      <w:r w:rsidRPr="001B4A02">
        <w:rPr>
          <w:u w:val="single"/>
        </w:rPr>
        <w:t xml:space="preserve"> </w:t>
      </w:r>
      <w:r w:rsidR="00BB4EAF" w:rsidRPr="001B4A02">
        <w:rPr>
          <w:u w:val="single"/>
        </w:rPr>
        <w:t>účinnost</w:t>
      </w:r>
      <w:r w:rsidR="002378E0">
        <w:rPr>
          <w:u w:val="single"/>
        </w:rPr>
        <w:t xml:space="preserve"> a </w:t>
      </w:r>
      <w:r w:rsidR="00BB4EAF" w:rsidRPr="001B4A02">
        <w:rPr>
          <w:u w:val="single"/>
        </w:rPr>
        <w:t>bezpečnost</w:t>
      </w:r>
    </w:p>
    <w:p w14:paraId="56E577AC" w14:textId="77777777" w:rsidR="00F422CC" w:rsidRPr="001B4A02" w:rsidRDefault="00F422CC" w:rsidP="00A03600">
      <w:pPr>
        <w:pStyle w:val="EMEAHeadingUnderline"/>
        <w:keepNext/>
        <w:tabs>
          <w:tab w:val="clear" w:pos="562"/>
        </w:tabs>
        <w:suppressAutoHyphens w:val="0"/>
        <w:spacing w:beforeLines="0" w:before="0" w:afterLines="0" w:after="0"/>
        <w:rPr>
          <w:i/>
          <w:u w:val="none"/>
          <w:lang w:val="cs-CZ"/>
        </w:rPr>
      </w:pPr>
    </w:p>
    <w:p w14:paraId="3C2CD6FA" w14:textId="77777777" w:rsidR="00ED3511" w:rsidRPr="001B4A02" w:rsidRDefault="00000000" w:rsidP="00A03600">
      <w:pPr>
        <w:pStyle w:val="EMEAHeadingUnderline"/>
        <w:keepNext/>
        <w:tabs>
          <w:tab w:val="clear" w:pos="562"/>
        </w:tabs>
        <w:suppressAutoHyphens w:val="0"/>
        <w:spacing w:beforeLines="0" w:before="0" w:afterLines="0" w:after="0"/>
        <w:rPr>
          <w:i/>
          <w:u w:val="none"/>
          <w:lang w:val="cs-CZ"/>
        </w:rPr>
      </w:pPr>
      <w:r w:rsidRPr="001B4A02">
        <w:rPr>
          <w:i/>
          <w:u w:val="none"/>
          <w:lang w:val="cs-CZ"/>
        </w:rPr>
        <w:t>Revmatoidní artritida</w:t>
      </w:r>
    </w:p>
    <w:p w14:paraId="1F401854" w14:textId="77777777" w:rsidR="00ED3511" w:rsidRPr="001B4A02" w:rsidRDefault="00ED3511" w:rsidP="00A03600">
      <w:pPr>
        <w:keepNext/>
        <w:ind w:left="0" w:firstLine="0"/>
      </w:pPr>
    </w:p>
    <w:p w14:paraId="78F20A61" w14:textId="77777777" w:rsidR="00ED3511" w:rsidRPr="001B4A02" w:rsidRDefault="00000000" w:rsidP="00ED48A3">
      <w:pPr>
        <w:ind w:left="0" w:firstLine="0"/>
      </w:pPr>
      <w:r w:rsidRPr="001B4A02">
        <w:t>Přípravek Humira byl hodnocen u více než 3</w:t>
      </w:r>
      <w:r w:rsidR="009C5EAC" w:rsidRPr="001B4A02">
        <w:t> </w:t>
      </w:r>
      <w:r w:rsidRPr="001B4A02">
        <w:t>000 pacientů ve všech klinických studiích s revmatoidní artritidou. Účinnost</w:t>
      </w:r>
      <w:r w:rsidR="002378E0">
        <w:t xml:space="preserve"> a </w:t>
      </w:r>
      <w:r w:rsidRPr="001B4A02">
        <w:t>bezpečnost přípravku Humira byly hodnoceny v 5 randomizovaných, dvojitě zaslepených</w:t>
      </w:r>
      <w:r w:rsidR="002378E0">
        <w:t xml:space="preserve"> a </w:t>
      </w:r>
      <w:r w:rsidRPr="001B4A02">
        <w:t xml:space="preserve">dobře kontrolovaných studiích. Někteří pacienti byli léčeni </w:t>
      </w:r>
      <w:r w:rsidRPr="001B4A02">
        <w:rPr>
          <w:szCs w:val="22"/>
        </w:rPr>
        <w:t>po dobu až 120 </w:t>
      </w:r>
      <w:r w:rsidRPr="001B4A02">
        <w:t xml:space="preserve">měsíců. </w:t>
      </w:r>
      <w:r w:rsidR="00F87C34" w:rsidRPr="001B4A02">
        <w:t>Bolest v místě injekčního vpichu přípravku Humira 40</w:t>
      </w:r>
      <w:r w:rsidR="00F365E7">
        <w:t> mg</w:t>
      </w:r>
      <w:r w:rsidR="00F87C34" w:rsidRPr="001B4A02">
        <w:t>/0,4</w:t>
      </w:r>
      <w:r w:rsidR="00443CD1" w:rsidRPr="001B4A02">
        <w:t> </w:t>
      </w:r>
      <w:r w:rsidR="00F87C34" w:rsidRPr="001B4A02">
        <w:t>ml byla ho</w:t>
      </w:r>
      <w:r w:rsidR="00C64A9D" w:rsidRPr="001B4A02">
        <w:t xml:space="preserve">dnocena ve dvou randomizovaných, aktivně kontrolovaných, dvojitě zaslepených, </w:t>
      </w:r>
      <w:r w:rsidR="009D2DE7">
        <w:t>zk</w:t>
      </w:r>
      <w:r w:rsidR="00C64A9D" w:rsidRPr="001B4A02">
        <w:t>řížených studiích ve dvou obdobích.</w:t>
      </w:r>
    </w:p>
    <w:p w14:paraId="78853075" w14:textId="77777777" w:rsidR="00ED3511" w:rsidRPr="001B4A02" w:rsidRDefault="00ED3511" w:rsidP="00ED48A3">
      <w:pPr>
        <w:ind w:left="0" w:firstLine="0"/>
      </w:pPr>
    </w:p>
    <w:p w14:paraId="28A0F736" w14:textId="77777777" w:rsidR="00ED3511" w:rsidRPr="001B4A02" w:rsidRDefault="00000000" w:rsidP="00ED48A3">
      <w:pPr>
        <w:ind w:left="0" w:firstLine="0"/>
      </w:pPr>
      <w:r w:rsidRPr="001B4A02">
        <w:t>Ve studii RA I bylo hodnoceno 271 pacientů se středně těžkou až těžkou aktivní revmatoidní artritidou, kteří byli ve věku 18 let</w:t>
      </w:r>
      <w:r w:rsidR="002378E0">
        <w:t xml:space="preserve"> a </w:t>
      </w:r>
      <w:r w:rsidRPr="001B4A02">
        <w:t>starší</w:t>
      </w:r>
      <w:r w:rsidR="002378E0">
        <w:t xml:space="preserve"> a </w:t>
      </w:r>
      <w:r w:rsidRPr="001B4A02">
        <w:t>selhala u nich léčba nejméně jedním chorobu modifikujícím antirevmatickým lékem</w:t>
      </w:r>
      <w:r w:rsidR="002378E0">
        <w:t xml:space="preserve"> a </w:t>
      </w:r>
      <w:r w:rsidRPr="001B4A02">
        <w:t>léčba methotrexátem v dávkách 12,5</w:t>
      </w:r>
      <w:r w:rsidR="00C3486C" w:rsidRPr="001B4A02">
        <w:t>–</w:t>
      </w:r>
      <w:r w:rsidRPr="001B4A02">
        <w:t>25 mg (10 mg v případě nesnášenlivosti methotrexátu) jednou týdně nebyla dostatečně účinná, při konstantní dávce 10</w:t>
      </w:r>
      <w:r w:rsidR="00C3486C" w:rsidRPr="001B4A02">
        <w:t>–</w:t>
      </w:r>
      <w:r w:rsidRPr="001B4A02">
        <w:t>25 mg methotrexátu jednou týdně. Pacienti dostávali dávky 20, 40 nebo 80 mg přípravku Humira nebo placebo každý druhý týden po dobu 24 týdnů.</w:t>
      </w:r>
    </w:p>
    <w:p w14:paraId="42388C16" w14:textId="77777777" w:rsidR="00ED3511" w:rsidRPr="001B4A02" w:rsidRDefault="00ED3511" w:rsidP="00ED48A3">
      <w:pPr>
        <w:ind w:left="0" w:firstLine="0"/>
      </w:pPr>
    </w:p>
    <w:p w14:paraId="0E630E0C" w14:textId="77777777" w:rsidR="00ED3511" w:rsidRPr="001B4A02" w:rsidRDefault="00000000" w:rsidP="00ED48A3">
      <w:pPr>
        <w:ind w:left="0" w:firstLine="0"/>
      </w:pPr>
      <w:r w:rsidRPr="001B4A02">
        <w:t>Ve studii RA II bylo hodnoceno 544 pacientů se středně těžkou až těžkou aktivní revmatoidní artritidou, kteří byli ve věku 18 let</w:t>
      </w:r>
      <w:r w:rsidR="002378E0">
        <w:t xml:space="preserve"> a </w:t>
      </w:r>
      <w:r w:rsidRPr="001B4A02">
        <w:t>starší</w:t>
      </w:r>
      <w:r w:rsidR="002378E0">
        <w:t xml:space="preserve"> a </w:t>
      </w:r>
      <w:r w:rsidRPr="001B4A02">
        <w:t>selhala u nich léčba nejméně jedním chorobu modifikujícím antirevmatickým lékem. Pacientům byla po dobu 26 týdnů podávána subkutánně dávka 20 nebo 40 mg přípravku Humira každý druhý týden</w:t>
      </w:r>
      <w:r w:rsidR="002378E0">
        <w:t xml:space="preserve"> a </w:t>
      </w:r>
      <w:r w:rsidRPr="001B4A02">
        <w:t>placebo v týdnu bez podání aktivní léčby nebo placebo bylo podáváno jednou týdně po stejnou dobu. Ve studii nebyly povoleny žádné jiné chorobu modifikující antirevmatické léky.</w:t>
      </w:r>
    </w:p>
    <w:p w14:paraId="091EA4F9" w14:textId="77777777" w:rsidR="00ED3511" w:rsidRPr="001B4A02" w:rsidRDefault="00ED3511" w:rsidP="00ED48A3">
      <w:pPr>
        <w:ind w:left="0" w:firstLine="0"/>
      </w:pPr>
    </w:p>
    <w:p w14:paraId="77ABAA4A" w14:textId="77777777" w:rsidR="00ED3511" w:rsidRPr="001B4A02" w:rsidRDefault="00000000" w:rsidP="00ED48A3">
      <w:pPr>
        <w:ind w:left="0" w:firstLine="0"/>
      </w:pPr>
      <w:r w:rsidRPr="001B4A02">
        <w:t>Ve studii RA III bylo hodnoceno 619 pacientů se středně těžkou až těžkou aktivní revmatoidní artritidou, kteří byli ve věku 18 let</w:t>
      </w:r>
      <w:r w:rsidR="002378E0">
        <w:t xml:space="preserve"> a </w:t>
      </w:r>
      <w:r w:rsidRPr="001B4A02">
        <w:t>starší</w:t>
      </w:r>
      <w:r w:rsidR="002378E0">
        <w:t xml:space="preserve"> a </w:t>
      </w:r>
      <w:r w:rsidRPr="001B4A02">
        <w:t>u</w:t>
      </w:r>
      <w:r w:rsidR="008A5E18" w:rsidRPr="001B4A02">
        <w:t> </w:t>
      </w:r>
      <w:r w:rsidRPr="001B4A02">
        <w:t>kterých nebyla odpověď na léčbu methotrexátem v dávkách 12,5</w:t>
      </w:r>
      <w:r w:rsidR="00C3486C" w:rsidRPr="001B4A02">
        <w:t>–</w:t>
      </w:r>
      <w:r w:rsidRPr="001B4A02">
        <w:t>25 mg dostatečná nebo v případě nesnášenlivosti methotrexátu v dávce 10</w:t>
      </w:r>
      <w:r w:rsidR="00F365E7">
        <w:t> mg</w:t>
      </w:r>
      <w:r w:rsidRPr="001B4A02">
        <w:t xml:space="preserve"> týdně. Ve studii byly tři skupiny. První skupina dostávala injekce placeba jednou týdně po dobu 52 týdnů. Druhá skupina dostávala přípravek Humira 20 mg jednou týdně po dobu 52 týdnů. Třetí skupina byla léčena přípravkem Humira 40 mg každý druhý týden, přičemž v týdnu bez podávání aktivní látky dostávali pacienti placebo</w:t>
      </w:r>
      <w:r w:rsidR="00062315" w:rsidRPr="001B4A02">
        <w:t xml:space="preserve">. Po ukončení prvních 52 týdnů </w:t>
      </w:r>
      <w:r w:rsidRPr="001B4A02">
        <w:t>bylo 457 pacientů zařazeno do otevřené prodloužené fáze studie, kdy bylo podáváno 40</w:t>
      </w:r>
      <w:r w:rsidR="00F365E7">
        <w:t xml:space="preserve"> mg </w:t>
      </w:r>
      <w:r w:rsidRPr="001B4A02">
        <w:t>přípravku Humira/MTX každý druhý týden</w:t>
      </w:r>
      <w:r w:rsidRPr="001B4A02">
        <w:rPr>
          <w:szCs w:val="22"/>
        </w:rPr>
        <w:t xml:space="preserve"> po dobu až 10 let</w:t>
      </w:r>
      <w:r w:rsidRPr="001B4A02">
        <w:t>.</w:t>
      </w:r>
    </w:p>
    <w:p w14:paraId="0FB0BDD1" w14:textId="77777777" w:rsidR="00ED3511" w:rsidRPr="001B4A02" w:rsidRDefault="00ED3511" w:rsidP="00ED48A3">
      <w:pPr>
        <w:ind w:left="0" w:firstLine="0"/>
      </w:pPr>
    </w:p>
    <w:p w14:paraId="0A6EA1D1" w14:textId="77777777" w:rsidR="00ED3511" w:rsidRPr="001B4A02" w:rsidRDefault="00000000" w:rsidP="00ED48A3">
      <w:pPr>
        <w:ind w:left="0" w:firstLine="0"/>
      </w:pPr>
      <w:r w:rsidRPr="001B4A02">
        <w:t>Studie RA IV primárně hodnotila bezpečnost léčby u 636 pacientů se středně těžkou až těžkou aktivní revmatoidní artritidou, kteří byli ve věku 18 let</w:t>
      </w:r>
      <w:r w:rsidR="002378E0">
        <w:t xml:space="preserve"> a </w:t>
      </w:r>
      <w:r w:rsidRPr="001B4A02">
        <w:t>starší. Studie se mohli zúčastnit pacienti, kteří dosud neužívali chorobu modifikující antirevmatické léky</w:t>
      </w:r>
      <w:r w:rsidR="00461AAA" w:rsidRPr="001B4A02">
        <w:t>,</w:t>
      </w:r>
      <w:r w:rsidRPr="001B4A02">
        <w:t xml:space="preserve"> i pacienti, kteří byli i v průběhu studie léčeni revmatologickou léčbou za předpokladu, že tato terapie byla stabilní po dobu nejméně 28 dní. Jednalo se o léčbu methotrexátem, leflunomidem, hydroxychlorochinem, sulfasalazinem a/nebo solemi zlata. Pacienti byli randomizováni na léčbu 40 mg přípravku Humira nebo placeba každý druhý týden po dobu 24 týdnů.</w:t>
      </w:r>
    </w:p>
    <w:p w14:paraId="51428CD1" w14:textId="77777777" w:rsidR="00ED3511" w:rsidRPr="001B4A02" w:rsidRDefault="00ED3511" w:rsidP="00ED48A3">
      <w:pPr>
        <w:ind w:left="0" w:firstLine="0"/>
      </w:pPr>
    </w:p>
    <w:p w14:paraId="0121091E" w14:textId="77777777" w:rsidR="00ED3511" w:rsidRPr="001B4A02" w:rsidRDefault="00000000" w:rsidP="00ED48A3">
      <w:pPr>
        <w:ind w:left="0" w:firstLine="0"/>
      </w:pPr>
      <w:r w:rsidRPr="001B4A02">
        <w:t>Studie RA V</w:t>
      </w:r>
      <w:r w:rsidR="00272620" w:rsidRPr="001B4A02">
        <w:t xml:space="preserve"> </w:t>
      </w:r>
      <w:r w:rsidRPr="001B4A02">
        <w:t>hodnotila 799 dospělých pacientů se středně až výrazně aktivní časnou revmatoidní artritidou dosud neléčených methotrexátem (průměrné trvání nemoci méně než 9 měsíců). Tato studie hodnotila účinnost přípravku Humira 40 mg podávaného každý druhý týden/v kombin</w:t>
      </w:r>
      <w:r w:rsidR="009271A3">
        <w:t>ované</w:t>
      </w:r>
      <w:r w:rsidRPr="001B4A02">
        <w:t xml:space="preserve"> terapii s methotrexátem, přípravku Humira 40 mg každý druhý týden v monoterapii</w:t>
      </w:r>
      <w:r w:rsidR="002378E0">
        <w:t xml:space="preserve"> a </w:t>
      </w:r>
      <w:r w:rsidRPr="001B4A02">
        <w:t xml:space="preserve">methotrexátu v monoterapii na snížení </w:t>
      </w:r>
      <w:r w:rsidR="007D2CA3">
        <w:t>známek</w:t>
      </w:r>
      <w:r w:rsidR="002378E0">
        <w:t xml:space="preserve"> a </w:t>
      </w:r>
      <w:r w:rsidRPr="001B4A02">
        <w:t>příznaků</w:t>
      </w:r>
      <w:r w:rsidR="002378E0">
        <w:t xml:space="preserve"> a </w:t>
      </w:r>
      <w:r w:rsidRPr="001B4A02">
        <w:t xml:space="preserve">rychlost progrese poškození kloubů u revmatoidní artritidy po dobu 104 týdnů. </w:t>
      </w:r>
      <w:r w:rsidR="00A93B82" w:rsidRPr="001B4A02">
        <w:t>Po ukončení prvních 104 týdnů bylo 497 pacientů zařazeno do otevřené prodloužené fáze, ve které bylo 40</w:t>
      </w:r>
      <w:r w:rsidR="00F365E7">
        <w:t> mg</w:t>
      </w:r>
      <w:r w:rsidR="00A93B82" w:rsidRPr="001B4A02">
        <w:t xml:space="preserve"> přípravku Humira podáváno každý druhý týden po dobu 10 let.</w:t>
      </w:r>
    </w:p>
    <w:p w14:paraId="6B67798B" w14:textId="77777777" w:rsidR="00ED3511" w:rsidRPr="001B4A02" w:rsidRDefault="00ED3511" w:rsidP="00ED48A3">
      <w:pPr>
        <w:ind w:left="0" w:firstLine="0"/>
      </w:pPr>
    </w:p>
    <w:p w14:paraId="7BAECBCB" w14:textId="77777777" w:rsidR="0050236F" w:rsidRPr="001B4A02" w:rsidRDefault="00000000" w:rsidP="00ED48A3">
      <w:pPr>
        <w:ind w:left="0" w:firstLine="0"/>
      </w:pPr>
      <w:r w:rsidRPr="001B4A02">
        <w:t>Každá z</w:t>
      </w:r>
      <w:r w:rsidR="00272620" w:rsidRPr="001B4A02">
        <w:t> </w:t>
      </w:r>
      <w:r w:rsidRPr="001B4A02">
        <w:t>RA studií VI</w:t>
      </w:r>
      <w:r w:rsidR="002378E0">
        <w:t xml:space="preserve"> a </w:t>
      </w:r>
      <w:r w:rsidRPr="001B4A02">
        <w:t xml:space="preserve">VII hodnotila 60 pacientů </w:t>
      </w:r>
      <w:r w:rsidRPr="001B4A02">
        <w:rPr>
          <w:szCs w:val="22"/>
        </w:rPr>
        <w:t>≥</w:t>
      </w:r>
      <w:r w:rsidR="00272620" w:rsidRPr="001B4A02">
        <w:rPr>
          <w:szCs w:val="22"/>
        </w:rPr>
        <w:t> </w:t>
      </w:r>
      <w:r w:rsidRPr="001B4A02">
        <w:rPr>
          <w:szCs w:val="22"/>
        </w:rPr>
        <w:t xml:space="preserve">18 let </w:t>
      </w:r>
      <w:r w:rsidRPr="001B4A02">
        <w:t xml:space="preserve">se středně těžkou až těžkou aktivní revmatoidní artritidou. Zahrnutí pacienti buď již </w:t>
      </w:r>
      <w:r w:rsidR="0037494F" w:rsidRPr="001B4A02">
        <w:t>po</w:t>
      </w:r>
      <w:r w:rsidR="00730867" w:rsidRPr="001B4A02">
        <w:t>užívali přípravek</w:t>
      </w:r>
      <w:r w:rsidRPr="001B4A02">
        <w:t xml:space="preserve"> Humira 40</w:t>
      </w:r>
      <w:r w:rsidR="00F365E7">
        <w:t> mg</w:t>
      </w:r>
      <w:r w:rsidRPr="001B4A02">
        <w:t>/0,8</w:t>
      </w:r>
      <w:r w:rsidR="00B76F26" w:rsidRPr="00005EC2">
        <w:rPr>
          <w:szCs w:val="22"/>
        </w:rPr>
        <w:t> </w:t>
      </w:r>
      <w:r w:rsidRPr="001B4A02">
        <w:t>ml</w:t>
      </w:r>
      <w:r w:rsidR="002378E0">
        <w:t xml:space="preserve"> a </w:t>
      </w:r>
      <w:r w:rsidRPr="001B4A02">
        <w:t>hodnotili svoji průměrnou bolest v místě injekčního vpichu jako nejméně 3</w:t>
      </w:r>
      <w:r w:rsidR="00B76F26" w:rsidRPr="00005EC2">
        <w:rPr>
          <w:szCs w:val="22"/>
        </w:rPr>
        <w:t> </w:t>
      </w:r>
      <w:r w:rsidRPr="001B4A02">
        <w:t>cm (na škále 0–10</w:t>
      </w:r>
      <w:r w:rsidR="00B76F26" w:rsidRPr="00005EC2">
        <w:rPr>
          <w:szCs w:val="22"/>
        </w:rPr>
        <w:t> </w:t>
      </w:r>
      <w:r w:rsidRPr="001B4A02">
        <w:t>cm VAS)</w:t>
      </w:r>
      <w:r w:rsidR="00E93420" w:rsidRPr="001B4A02">
        <w:t>,</w:t>
      </w:r>
      <w:r w:rsidRPr="001B4A02">
        <w:t xml:space="preserve"> nebo se jednalo o</w:t>
      </w:r>
      <w:r w:rsidR="00923691" w:rsidRPr="001B4A02">
        <w:t> </w:t>
      </w:r>
      <w:r w:rsidRPr="001B4A02">
        <w:t xml:space="preserve">pacienty dosud neléčené biologickou léčbou, kteří </w:t>
      </w:r>
      <w:r w:rsidR="0037494F" w:rsidRPr="001B4A02">
        <w:t>po</w:t>
      </w:r>
      <w:r w:rsidRPr="001B4A02">
        <w:t>užívání přípravku Humira 40</w:t>
      </w:r>
      <w:r w:rsidR="00E93420" w:rsidRPr="001B4A02">
        <w:t> </w:t>
      </w:r>
      <w:r w:rsidRPr="001B4A02">
        <w:t>mg/0,8</w:t>
      </w:r>
      <w:r w:rsidR="00E93420" w:rsidRPr="001B4A02">
        <w:t> </w:t>
      </w:r>
      <w:r w:rsidRPr="001B4A02">
        <w:t>ml</w:t>
      </w:r>
      <w:r w:rsidR="009D0EC8" w:rsidRPr="001B4A02">
        <w:t xml:space="preserve"> zahájili</w:t>
      </w:r>
      <w:r w:rsidRPr="001B4A02">
        <w:t>. Pacienti byli randomizováni do skupiny, která dostávala jednorázovou dávku přípravku Humira 40</w:t>
      </w:r>
      <w:r w:rsidR="00F365E7">
        <w:t> mg</w:t>
      </w:r>
      <w:r w:rsidRPr="001B4A02">
        <w:t>/0,8</w:t>
      </w:r>
      <w:r w:rsidR="00F365E7" w:rsidRPr="00005EC2">
        <w:rPr>
          <w:szCs w:val="22"/>
        </w:rPr>
        <w:t> </w:t>
      </w:r>
      <w:r w:rsidRPr="001B4A02">
        <w:t>ml nebo přípravku Humira 40</w:t>
      </w:r>
      <w:r w:rsidR="00F365E7">
        <w:t> mg</w:t>
      </w:r>
      <w:r w:rsidRPr="001B4A02">
        <w:t>/0,4</w:t>
      </w:r>
      <w:r w:rsidR="00F365E7" w:rsidRPr="00005EC2">
        <w:rPr>
          <w:szCs w:val="22"/>
        </w:rPr>
        <w:t> </w:t>
      </w:r>
      <w:r w:rsidRPr="001B4A02">
        <w:t>ml, následovanou jednorázovou injekcí opačné léčby při další dávce.</w:t>
      </w:r>
    </w:p>
    <w:p w14:paraId="7BCD31B0" w14:textId="77777777" w:rsidR="0050236F" w:rsidRPr="001B4A02" w:rsidRDefault="0050236F" w:rsidP="00ED48A3">
      <w:pPr>
        <w:ind w:left="0" w:firstLine="0"/>
      </w:pPr>
    </w:p>
    <w:p w14:paraId="09F83263" w14:textId="77777777" w:rsidR="00ED3511" w:rsidRPr="001B4A02" w:rsidRDefault="00000000" w:rsidP="00ED48A3">
      <w:pPr>
        <w:ind w:left="0" w:firstLine="0"/>
      </w:pPr>
      <w:r w:rsidRPr="001B4A02">
        <w:t xml:space="preserve">Primárním </w:t>
      </w:r>
      <w:r w:rsidR="00D32AC5" w:rsidRPr="001B4A02">
        <w:t>cílovým parametrem</w:t>
      </w:r>
      <w:r w:rsidRPr="001B4A02">
        <w:t xml:space="preserve"> ve studiích RA I, II</w:t>
      </w:r>
      <w:r w:rsidR="002378E0">
        <w:t xml:space="preserve"> a </w:t>
      </w:r>
      <w:r w:rsidRPr="001B4A02">
        <w:t>III</w:t>
      </w:r>
      <w:r w:rsidR="002378E0">
        <w:t xml:space="preserve"> a </w:t>
      </w:r>
      <w:r w:rsidRPr="001B4A02">
        <w:t xml:space="preserve">sekundárním </w:t>
      </w:r>
      <w:r w:rsidR="00D32AC5" w:rsidRPr="001B4A02">
        <w:t>cílovým parametrem</w:t>
      </w:r>
      <w:r w:rsidRPr="001B4A02">
        <w:t xml:space="preserve"> ve studii RA IV bylo procento pacientů, kteří dosáhli odpověď ACR 20 </w:t>
      </w:r>
      <w:r w:rsidR="00D00F8F">
        <w:t>v</w:t>
      </w:r>
      <w:r w:rsidR="005D2EB7">
        <w:t> </w:t>
      </w:r>
      <w:r w:rsidR="00D00F8F">
        <w:t>týdnu 24 nebo 26</w:t>
      </w:r>
      <w:r w:rsidRPr="001B4A02">
        <w:t xml:space="preserve">. Primárním </w:t>
      </w:r>
      <w:r w:rsidR="00D32AC5" w:rsidRPr="001B4A02">
        <w:t xml:space="preserve">cílovým parametrem </w:t>
      </w:r>
      <w:r w:rsidRPr="001B4A02">
        <w:t>ve studii RA V</w:t>
      </w:r>
      <w:r w:rsidR="00D41D1A" w:rsidRPr="001B4A02">
        <w:t xml:space="preserve"> </w:t>
      </w:r>
      <w:r w:rsidRPr="001B4A02">
        <w:t>bylo procento pacientů, kteří dosáhli odpověď ACR 50 v týdnu 52. Ve studiích RA III</w:t>
      </w:r>
      <w:r w:rsidR="002378E0">
        <w:t xml:space="preserve"> a </w:t>
      </w:r>
      <w:r w:rsidRPr="001B4A02">
        <w:t xml:space="preserve">V bylo dalším primárním </w:t>
      </w:r>
      <w:r w:rsidR="00D32AC5" w:rsidRPr="001B4A02">
        <w:t xml:space="preserve">cílovým parametrem </w:t>
      </w:r>
      <w:r w:rsidR="00D00F8F">
        <w:t>v</w:t>
      </w:r>
      <w:r w:rsidR="005D2EB7">
        <w:t> </w:t>
      </w:r>
      <w:r w:rsidR="00D00F8F">
        <w:t>týdnu 52</w:t>
      </w:r>
      <w:r w:rsidRPr="001B4A02">
        <w:t xml:space="preserve"> zpomalení progrese onemocnění (stanovené pomocí RTG vyšetření). Studie RA III měla také primární</w:t>
      </w:r>
      <w:r w:rsidR="00E36C76" w:rsidRPr="001B4A02">
        <w:t>m</w:t>
      </w:r>
      <w:r w:rsidRPr="001B4A02">
        <w:t xml:space="preserve"> </w:t>
      </w:r>
      <w:r w:rsidR="00D32AC5" w:rsidRPr="001B4A02">
        <w:t xml:space="preserve">cílovým parametrem </w:t>
      </w:r>
      <w:r w:rsidRPr="001B4A02">
        <w:t>změnu kvality života.</w:t>
      </w:r>
      <w:r w:rsidR="0050236F" w:rsidRPr="001B4A02">
        <w:t xml:space="preserve"> Primárním </w:t>
      </w:r>
      <w:r w:rsidR="00D32AC5" w:rsidRPr="001B4A02">
        <w:t>cílovým parametrem</w:t>
      </w:r>
      <w:r w:rsidR="0050236F" w:rsidRPr="001B4A02">
        <w:t xml:space="preserve"> RA studií VI</w:t>
      </w:r>
      <w:r w:rsidR="002378E0">
        <w:t xml:space="preserve"> a </w:t>
      </w:r>
      <w:r w:rsidR="0050236F" w:rsidRPr="001B4A02">
        <w:t>VII</w:t>
      </w:r>
      <w:r w:rsidR="00E36C76" w:rsidRPr="001B4A02">
        <w:t xml:space="preserve"> byla bolest v místě injekčního </w:t>
      </w:r>
      <w:r w:rsidR="0050236F" w:rsidRPr="001B4A02">
        <w:t>vpichu ihned po podání injekce, měřeno za použití škály 0–10</w:t>
      </w:r>
      <w:r w:rsidR="00B76F26" w:rsidRPr="00005EC2">
        <w:rPr>
          <w:szCs w:val="22"/>
        </w:rPr>
        <w:t> </w:t>
      </w:r>
      <w:r w:rsidR="0050236F" w:rsidRPr="001B4A02">
        <w:t>cm VAS.</w:t>
      </w:r>
    </w:p>
    <w:p w14:paraId="11B1C6C6" w14:textId="77777777" w:rsidR="00ED3511" w:rsidRPr="001B4A02" w:rsidRDefault="00ED3511" w:rsidP="00ED48A3">
      <w:pPr>
        <w:ind w:left="0" w:firstLine="0"/>
      </w:pPr>
    </w:p>
    <w:p w14:paraId="6C23665B" w14:textId="77777777" w:rsidR="00ED3511" w:rsidRPr="001B4A02" w:rsidRDefault="00000000" w:rsidP="00A03600">
      <w:pPr>
        <w:keepNext/>
        <w:ind w:left="0" w:firstLine="0"/>
        <w:rPr>
          <w:i/>
          <w:u w:val="single"/>
        </w:rPr>
      </w:pPr>
      <w:r w:rsidRPr="001B4A02">
        <w:rPr>
          <w:i/>
          <w:u w:val="single"/>
        </w:rPr>
        <w:t>ACR odpověď</w:t>
      </w:r>
    </w:p>
    <w:p w14:paraId="251A9564" w14:textId="77777777" w:rsidR="00ED3511" w:rsidRPr="001B4A02" w:rsidRDefault="00ED3511" w:rsidP="00A03600">
      <w:pPr>
        <w:keepNext/>
        <w:ind w:left="0" w:firstLine="0"/>
      </w:pPr>
    </w:p>
    <w:p w14:paraId="07E1D933" w14:textId="77777777" w:rsidR="00ED3511" w:rsidRPr="001B4A02" w:rsidRDefault="00000000" w:rsidP="00ED48A3">
      <w:pPr>
        <w:ind w:left="0" w:firstLine="0"/>
      </w:pPr>
      <w:r w:rsidRPr="001B4A02">
        <w:t>Procento pacientů léčených přípravkem Humira, kteří dosáhli odpověď ACR 20, 50</w:t>
      </w:r>
      <w:r w:rsidR="002378E0">
        <w:t xml:space="preserve"> a </w:t>
      </w:r>
      <w:r w:rsidRPr="001B4A02">
        <w:t>70</w:t>
      </w:r>
      <w:r w:rsidR="003E6E02" w:rsidRPr="001B4A02">
        <w:t>,</w:t>
      </w:r>
      <w:r w:rsidRPr="001B4A02">
        <w:t xml:space="preserve"> bylo ve studiích RA I, II</w:t>
      </w:r>
      <w:r w:rsidR="002378E0">
        <w:t xml:space="preserve"> a </w:t>
      </w:r>
      <w:r w:rsidRPr="001B4A02">
        <w:t>III shodné. Výsledky při podávání dávky 40</w:t>
      </w:r>
      <w:r w:rsidR="00F365E7">
        <w:t> mg</w:t>
      </w:r>
      <w:r w:rsidRPr="001B4A02">
        <w:t xml:space="preserve"> každý druhý týden jsou shrnuty v tabulce </w:t>
      </w:r>
      <w:r w:rsidR="00C76DCD">
        <w:t>8</w:t>
      </w:r>
      <w:r w:rsidRPr="001B4A02">
        <w:t>.</w:t>
      </w:r>
    </w:p>
    <w:p w14:paraId="7E563205" w14:textId="77777777" w:rsidR="00A03600" w:rsidRPr="001B4A02" w:rsidRDefault="00A03600" w:rsidP="00ED48A3">
      <w:pPr>
        <w:ind w:left="0" w:firstLine="0"/>
      </w:pPr>
    </w:p>
    <w:p w14:paraId="4BC9E85F" w14:textId="77777777" w:rsidR="00ED3511" w:rsidRPr="001B4A02" w:rsidRDefault="00000000" w:rsidP="00ED48A3">
      <w:pPr>
        <w:keepNext/>
        <w:ind w:left="0" w:firstLine="0"/>
        <w:jc w:val="center"/>
        <w:rPr>
          <w:b/>
          <w:szCs w:val="22"/>
        </w:rPr>
      </w:pPr>
      <w:r w:rsidRPr="001B4A02">
        <w:rPr>
          <w:b/>
          <w:szCs w:val="22"/>
        </w:rPr>
        <w:t xml:space="preserve">Tabulka </w:t>
      </w:r>
      <w:r w:rsidR="00C76DCD">
        <w:rPr>
          <w:b/>
          <w:szCs w:val="22"/>
        </w:rPr>
        <w:t>8</w:t>
      </w:r>
      <w:r w:rsidR="00C76DCD" w:rsidRPr="001B4A02">
        <w:rPr>
          <w:b/>
          <w:szCs w:val="22"/>
        </w:rPr>
        <w:t xml:space="preserve"> </w:t>
      </w:r>
    </w:p>
    <w:p w14:paraId="1BE45669" w14:textId="77777777" w:rsidR="00ED3511" w:rsidRPr="001B4A02" w:rsidRDefault="00000000" w:rsidP="00ED48A3">
      <w:pPr>
        <w:keepNext/>
        <w:ind w:left="0" w:firstLine="0"/>
        <w:jc w:val="center"/>
        <w:rPr>
          <w:b/>
          <w:szCs w:val="22"/>
        </w:rPr>
      </w:pPr>
      <w:r w:rsidRPr="001B4A02">
        <w:rPr>
          <w:b/>
          <w:szCs w:val="22"/>
        </w:rPr>
        <w:t>ACR odpověď v placebem kontrolovaných studiích</w:t>
      </w:r>
    </w:p>
    <w:p w14:paraId="21D3C214" w14:textId="77777777" w:rsidR="00ED3511" w:rsidRPr="001B4A02" w:rsidRDefault="00000000" w:rsidP="00ED48A3">
      <w:pPr>
        <w:keepNext/>
        <w:ind w:left="0" w:firstLine="0"/>
        <w:jc w:val="center"/>
        <w:rPr>
          <w:b/>
          <w:szCs w:val="22"/>
        </w:rPr>
      </w:pPr>
      <w:r w:rsidRPr="001B4A02">
        <w:rPr>
          <w:b/>
          <w:szCs w:val="22"/>
        </w:rPr>
        <w:t>(</w:t>
      </w:r>
      <w:r w:rsidR="008B0D08" w:rsidRPr="001B4A02">
        <w:rPr>
          <w:b/>
          <w:szCs w:val="22"/>
        </w:rPr>
        <w:t>P</w:t>
      </w:r>
      <w:r w:rsidRPr="001B4A02">
        <w:rPr>
          <w:b/>
          <w:szCs w:val="22"/>
        </w:rPr>
        <w:t>rocento pacientů)</w:t>
      </w:r>
    </w:p>
    <w:tbl>
      <w:tblPr>
        <w:tblW w:w="9124" w:type="dxa"/>
        <w:tblInd w:w="16" w:type="dxa"/>
        <w:tblLayout w:type="fixed"/>
        <w:tblCellMar>
          <w:left w:w="0" w:type="dxa"/>
          <w:right w:w="0" w:type="dxa"/>
        </w:tblCellMar>
        <w:tblLook w:val="0000" w:firstRow="0" w:lastRow="0" w:firstColumn="0" w:lastColumn="0" w:noHBand="0" w:noVBand="0"/>
      </w:tblPr>
      <w:tblGrid>
        <w:gridCol w:w="1080"/>
        <w:gridCol w:w="1456"/>
        <w:gridCol w:w="1559"/>
        <w:gridCol w:w="992"/>
        <w:gridCol w:w="993"/>
        <w:gridCol w:w="1417"/>
        <w:gridCol w:w="1627"/>
      </w:tblGrid>
      <w:tr w:rsidR="00534A2D" w14:paraId="69EE2DDD" w14:textId="77777777" w:rsidTr="008D783A">
        <w:tc>
          <w:tcPr>
            <w:tcW w:w="9124" w:type="dxa"/>
            <w:gridSpan w:val="7"/>
            <w:tcBorders>
              <w:bottom w:val="single" w:sz="4" w:space="0" w:color="auto"/>
            </w:tcBorders>
          </w:tcPr>
          <w:p w14:paraId="53C93B20" w14:textId="77777777" w:rsidR="00ED3511" w:rsidRPr="001B4A02" w:rsidRDefault="00ED3511" w:rsidP="00ED48A3">
            <w:pPr>
              <w:keepNext/>
              <w:ind w:left="0" w:firstLine="0"/>
              <w:rPr>
                <w:szCs w:val="22"/>
              </w:rPr>
            </w:pPr>
          </w:p>
        </w:tc>
      </w:tr>
      <w:tr w:rsidR="00534A2D" w14:paraId="67012C3A" w14:textId="77777777" w:rsidTr="008D783A">
        <w:trPr>
          <w:cantSplit/>
        </w:trPr>
        <w:tc>
          <w:tcPr>
            <w:tcW w:w="1080" w:type="dxa"/>
            <w:tcBorders>
              <w:top w:val="single" w:sz="4" w:space="0" w:color="auto"/>
              <w:left w:val="single" w:sz="4" w:space="0" w:color="auto"/>
              <w:right w:val="single" w:sz="6" w:space="0" w:color="auto"/>
            </w:tcBorders>
          </w:tcPr>
          <w:p w14:paraId="71625F0F" w14:textId="77777777" w:rsidR="00ED3511" w:rsidRPr="001B4A02" w:rsidRDefault="00000000" w:rsidP="00ED48A3">
            <w:pPr>
              <w:keepNext/>
              <w:ind w:left="0" w:firstLine="0"/>
              <w:rPr>
                <w:szCs w:val="22"/>
              </w:rPr>
            </w:pPr>
            <w:r w:rsidRPr="001B4A02">
              <w:rPr>
                <w:szCs w:val="22"/>
              </w:rPr>
              <w:t>Odpověď</w:t>
            </w:r>
          </w:p>
        </w:tc>
        <w:tc>
          <w:tcPr>
            <w:tcW w:w="3015" w:type="dxa"/>
            <w:gridSpan w:val="2"/>
            <w:tcBorders>
              <w:top w:val="single" w:sz="4" w:space="0" w:color="auto"/>
              <w:left w:val="single" w:sz="6" w:space="0" w:color="auto"/>
              <w:bottom w:val="single" w:sz="4" w:space="0" w:color="auto"/>
              <w:right w:val="single" w:sz="6" w:space="0" w:color="auto"/>
            </w:tcBorders>
          </w:tcPr>
          <w:p w14:paraId="65E5B23E" w14:textId="77777777" w:rsidR="00ED3511" w:rsidRPr="001B4A02" w:rsidRDefault="00000000" w:rsidP="00ED48A3">
            <w:pPr>
              <w:keepNext/>
              <w:ind w:left="0" w:firstLine="0"/>
              <w:jc w:val="center"/>
              <w:rPr>
                <w:szCs w:val="22"/>
              </w:rPr>
            </w:pPr>
            <w:r w:rsidRPr="001B4A02">
              <w:rPr>
                <w:szCs w:val="22"/>
              </w:rPr>
              <w:t>Studie RA I</w:t>
            </w:r>
            <w:r w:rsidRPr="001B4A02">
              <w:rPr>
                <w:szCs w:val="22"/>
                <w:vertAlign w:val="superscript"/>
              </w:rPr>
              <w:t>a</w:t>
            </w:r>
            <w:r w:rsidRPr="001B4A02">
              <w:rPr>
                <w:szCs w:val="22"/>
              </w:rPr>
              <w:t>**</w:t>
            </w:r>
          </w:p>
        </w:tc>
        <w:tc>
          <w:tcPr>
            <w:tcW w:w="1985" w:type="dxa"/>
            <w:gridSpan w:val="2"/>
            <w:tcBorders>
              <w:top w:val="single" w:sz="4" w:space="0" w:color="auto"/>
              <w:left w:val="single" w:sz="6" w:space="0" w:color="auto"/>
              <w:bottom w:val="single" w:sz="4" w:space="0" w:color="auto"/>
              <w:right w:val="single" w:sz="6" w:space="0" w:color="auto"/>
            </w:tcBorders>
          </w:tcPr>
          <w:p w14:paraId="37F3CEAA" w14:textId="77777777" w:rsidR="00ED3511" w:rsidRPr="001B4A02" w:rsidRDefault="00000000" w:rsidP="00ED48A3">
            <w:pPr>
              <w:keepNext/>
              <w:ind w:left="0" w:firstLine="0"/>
              <w:jc w:val="center"/>
              <w:rPr>
                <w:szCs w:val="22"/>
              </w:rPr>
            </w:pPr>
            <w:r w:rsidRPr="001B4A02">
              <w:rPr>
                <w:szCs w:val="22"/>
              </w:rPr>
              <w:t>Studie RA II</w:t>
            </w:r>
            <w:r w:rsidRPr="001B4A02">
              <w:rPr>
                <w:szCs w:val="22"/>
                <w:vertAlign w:val="superscript"/>
              </w:rPr>
              <w:t>a</w:t>
            </w:r>
            <w:r w:rsidRPr="001B4A02">
              <w:rPr>
                <w:szCs w:val="22"/>
              </w:rPr>
              <w:t>**</w:t>
            </w:r>
          </w:p>
        </w:tc>
        <w:tc>
          <w:tcPr>
            <w:tcW w:w="3044" w:type="dxa"/>
            <w:gridSpan w:val="2"/>
            <w:tcBorders>
              <w:top w:val="single" w:sz="4" w:space="0" w:color="auto"/>
              <w:left w:val="single" w:sz="6" w:space="0" w:color="auto"/>
              <w:bottom w:val="single" w:sz="4" w:space="0" w:color="auto"/>
              <w:right w:val="single" w:sz="4" w:space="0" w:color="auto"/>
            </w:tcBorders>
          </w:tcPr>
          <w:p w14:paraId="1F4C16F1" w14:textId="77777777" w:rsidR="00ED3511" w:rsidRPr="001B4A02" w:rsidRDefault="00000000" w:rsidP="00ED48A3">
            <w:pPr>
              <w:keepNext/>
              <w:ind w:left="0" w:firstLine="0"/>
              <w:jc w:val="center"/>
              <w:rPr>
                <w:szCs w:val="22"/>
              </w:rPr>
            </w:pPr>
            <w:r w:rsidRPr="001B4A02">
              <w:rPr>
                <w:szCs w:val="22"/>
              </w:rPr>
              <w:t>Studie RA III</w:t>
            </w:r>
            <w:r w:rsidRPr="001B4A02">
              <w:rPr>
                <w:szCs w:val="22"/>
                <w:vertAlign w:val="superscript"/>
              </w:rPr>
              <w:t>a</w:t>
            </w:r>
            <w:r w:rsidRPr="001B4A02">
              <w:rPr>
                <w:szCs w:val="22"/>
              </w:rPr>
              <w:t>**</w:t>
            </w:r>
          </w:p>
          <w:p w14:paraId="4518E475" w14:textId="77777777" w:rsidR="00ED3511" w:rsidRPr="001B4A02" w:rsidRDefault="00ED3511" w:rsidP="00ED48A3">
            <w:pPr>
              <w:keepNext/>
              <w:ind w:left="0" w:firstLine="0"/>
              <w:jc w:val="center"/>
              <w:rPr>
                <w:szCs w:val="22"/>
              </w:rPr>
            </w:pPr>
          </w:p>
        </w:tc>
      </w:tr>
      <w:tr w:rsidR="00534A2D" w14:paraId="7C110826" w14:textId="77777777" w:rsidTr="008D783A">
        <w:trPr>
          <w:cantSplit/>
        </w:trPr>
        <w:tc>
          <w:tcPr>
            <w:tcW w:w="1080" w:type="dxa"/>
            <w:tcBorders>
              <w:left w:val="single" w:sz="4" w:space="0" w:color="auto"/>
              <w:bottom w:val="single" w:sz="4" w:space="0" w:color="auto"/>
              <w:right w:val="single" w:sz="4" w:space="0" w:color="auto"/>
            </w:tcBorders>
          </w:tcPr>
          <w:p w14:paraId="330A911A" w14:textId="77777777" w:rsidR="00ED3511" w:rsidRPr="001B4A02" w:rsidRDefault="00ED3511" w:rsidP="00ED48A3">
            <w:pPr>
              <w:keepNext/>
              <w:ind w:left="0" w:firstLine="0"/>
              <w:rPr>
                <w:szCs w:val="22"/>
              </w:rPr>
            </w:pPr>
          </w:p>
        </w:tc>
        <w:tc>
          <w:tcPr>
            <w:tcW w:w="1456" w:type="dxa"/>
            <w:tcBorders>
              <w:top w:val="single" w:sz="4" w:space="0" w:color="auto"/>
              <w:left w:val="single" w:sz="4" w:space="0" w:color="auto"/>
              <w:bottom w:val="single" w:sz="4" w:space="0" w:color="auto"/>
              <w:right w:val="single" w:sz="4" w:space="0" w:color="auto"/>
            </w:tcBorders>
          </w:tcPr>
          <w:p w14:paraId="376D58BB" w14:textId="77777777" w:rsidR="00ED3511" w:rsidRPr="001B4A02" w:rsidRDefault="00000000" w:rsidP="00ED48A3">
            <w:pPr>
              <w:keepNext/>
              <w:ind w:left="0" w:firstLine="0"/>
              <w:jc w:val="center"/>
              <w:rPr>
                <w:szCs w:val="22"/>
              </w:rPr>
            </w:pPr>
            <w:r w:rsidRPr="001B4A02">
              <w:rPr>
                <w:szCs w:val="22"/>
              </w:rPr>
              <w:t>Placebo/MTX</w:t>
            </w:r>
            <w:r w:rsidRPr="001B4A02">
              <w:rPr>
                <w:szCs w:val="22"/>
                <w:vertAlign w:val="superscript"/>
              </w:rPr>
              <w:t>c</w:t>
            </w:r>
          </w:p>
          <w:p w14:paraId="78F1BFF1" w14:textId="77777777" w:rsidR="00ED3511" w:rsidRPr="001B4A02" w:rsidRDefault="00000000" w:rsidP="00ED48A3">
            <w:pPr>
              <w:keepNext/>
              <w:ind w:left="0" w:firstLine="0"/>
              <w:jc w:val="center"/>
              <w:rPr>
                <w:szCs w:val="22"/>
              </w:rPr>
            </w:pPr>
            <w:r w:rsidRPr="001B4A02">
              <w:rPr>
                <w:szCs w:val="22"/>
              </w:rPr>
              <w:t>n=60</w:t>
            </w:r>
          </w:p>
        </w:tc>
        <w:tc>
          <w:tcPr>
            <w:tcW w:w="1559" w:type="dxa"/>
            <w:tcBorders>
              <w:top w:val="single" w:sz="4" w:space="0" w:color="auto"/>
              <w:left w:val="single" w:sz="4" w:space="0" w:color="auto"/>
              <w:bottom w:val="single" w:sz="4" w:space="0" w:color="auto"/>
              <w:right w:val="single" w:sz="4" w:space="0" w:color="auto"/>
            </w:tcBorders>
          </w:tcPr>
          <w:p w14:paraId="6D5D81BA" w14:textId="77777777" w:rsidR="00ED3511" w:rsidRPr="001B4A02" w:rsidRDefault="00000000" w:rsidP="00ED48A3">
            <w:pPr>
              <w:keepNext/>
              <w:ind w:left="0" w:firstLine="0"/>
              <w:jc w:val="center"/>
              <w:rPr>
                <w:szCs w:val="22"/>
              </w:rPr>
            </w:pPr>
            <w:r w:rsidRPr="001B4A02">
              <w:rPr>
                <w:szCs w:val="22"/>
              </w:rPr>
              <w:t>Humira</w:t>
            </w:r>
            <w:r w:rsidRPr="001B4A02">
              <w:rPr>
                <w:szCs w:val="22"/>
                <w:vertAlign w:val="superscript"/>
              </w:rPr>
              <w:t>b</w:t>
            </w:r>
            <w:r w:rsidRPr="001B4A02">
              <w:rPr>
                <w:szCs w:val="22"/>
              </w:rPr>
              <w:t>/MTX</w:t>
            </w:r>
            <w:r w:rsidRPr="001B4A02">
              <w:rPr>
                <w:szCs w:val="22"/>
                <w:vertAlign w:val="superscript"/>
              </w:rPr>
              <w:t>c</w:t>
            </w:r>
          </w:p>
          <w:p w14:paraId="37469C1B" w14:textId="77777777" w:rsidR="00ED3511" w:rsidRPr="001B4A02" w:rsidRDefault="00000000" w:rsidP="00ED48A3">
            <w:pPr>
              <w:keepNext/>
              <w:ind w:left="0" w:firstLine="0"/>
              <w:jc w:val="center"/>
              <w:rPr>
                <w:szCs w:val="22"/>
              </w:rPr>
            </w:pPr>
            <w:r w:rsidRPr="001B4A02">
              <w:rPr>
                <w:szCs w:val="22"/>
              </w:rPr>
              <w:t>n=63</w:t>
            </w:r>
          </w:p>
        </w:tc>
        <w:tc>
          <w:tcPr>
            <w:tcW w:w="992" w:type="dxa"/>
            <w:tcBorders>
              <w:top w:val="single" w:sz="4" w:space="0" w:color="auto"/>
              <w:left w:val="single" w:sz="4" w:space="0" w:color="auto"/>
              <w:bottom w:val="single" w:sz="4" w:space="0" w:color="auto"/>
              <w:right w:val="single" w:sz="4" w:space="0" w:color="auto"/>
            </w:tcBorders>
          </w:tcPr>
          <w:p w14:paraId="2ADF8210" w14:textId="77777777" w:rsidR="00ED3511" w:rsidRPr="001B4A02" w:rsidRDefault="00000000" w:rsidP="00ED48A3">
            <w:pPr>
              <w:keepNext/>
              <w:ind w:left="0" w:firstLine="0"/>
              <w:jc w:val="center"/>
              <w:rPr>
                <w:szCs w:val="22"/>
              </w:rPr>
            </w:pPr>
            <w:r w:rsidRPr="001B4A02">
              <w:rPr>
                <w:szCs w:val="22"/>
              </w:rPr>
              <w:t>Placebo</w:t>
            </w:r>
          </w:p>
          <w:p w14:paraId="5B8D79E0" w14:textId="77777777" w:rsidR="00ED3511" w:rsidRPr="001B4A02" w:rsidRDefault="00000000" w:rsidP="00ED48A3">
            <w:pPr>
              <w:keepNext/>
              <w:ind w:left="0" w:firstLine="0"/>
              <w:jc w:val="center"/>
              <w:rPr>
                <w:szCs w:val="22"/>
              </w:rPr>
            </w:pPr>
            <w:r w:rsidRPr="001B4A02">
              <w:rPr>
                <w:szCs w:val="22"/>
              </w:rPr>
              <w:t>n=110</w:t>
            </w:r>
          </w:p>
        </w:tc>
        <w:tc>
          <w:tcPr>
            <w:tcW w:w="993" w:type="dxa"/>
            <w:tcBorders>
              <w:top w:val="single" w:sz="4" w:space="0" w:color="auto"/>
              <w:left w:val="single" w:sz="4" w:space="0" w:color="auto"/>
              <w:bottom w:val="single" w:sz="4" w:space="0" w:color="auto"/>
              <w:right w:val="single" w:sz="4" w:space="0" w:color="auto"/>
            </w:tcBorders>
          </w:tcPr>
          <w:p w14:paraId="5D896CF3" w14:textId="77777777" w:rsidR="00ED3511" w:rsidRPr="001B4A02" w:rsidRDefault="00000000" w:rsidP="00ED48A3">
            <w:pPr>
              <w:keepNext/>
              <w:ind w:left="0" w:firstLine="0"/>
              <w:jc w:val="center"/>
              <w:rPr>
                <w:szCs w:val="22"/>
              </w:rPr>
            </w:pPr>
            <w:r w:rsidRPr="001B4A02">
              <w:rPr>
                <w:szCs w:val="22"/>
              </w:rPr>
              <w:t>Humira</w:t>
            </w:r>
            <w:r w:rsidRPr="001B4A02">
              <w:rPr>
                <w:szCs w:val="22"/>
                <w:vertAlign w:val="superscript"/>
              </w:rPr>
              <w:t>b</w:t>
            </w:r>
          </w:p>
          <w:p w14:paraId="7C2599AA" w14:textId="77777777" w:rsidR="00ED3511" w:rsidRPr="001B4A02" w:rsidRDefault="00000000" w:rsidP="00ED48A3">
            <w:pPr>
              <w:keepNext/>
              <w:ind w:left="0" w:firstLine="0"/>
              <w:jc w:val="center"/>
              <w:rPr>
                <w:szCs w:val="22"/>
              </w:rPr>
            </w:pPr>
            <w:r w:rsidRPr="001B4A02">
              <w:rPr>
                <w:szCs w:val="22"/>
              </w:rPr>
              <w:t>n=113</w:t>
            </w:r>
          </w:p>
        </w:tc>
        <w:tc>
          <w:tcPr>
            <w:tcW w:w="1417" w:type="dxa"/>
            <w:tcBorders>
              <w:top w:val="single" w:sz="4" w:space="0" w:color="auto"/>
              <w:left w:val="single" w:sz="4" w:space="0" w:color="auto"/>
              <w:bottom w:val="single" w:sz="4" w:space="0" w:color="auto"/>
              <w:right w:val="single" w:sz="4" w:space="0" w:color="auto"/>
            </w:tcBorders>
          </w:tcPr>
          <w:p w14:paraId="49850478" w14:textId="77777777" w:rsidR="00ED3511" w:rsidRPr="001B4A02" w:rsidRDefault="00000000" w:rsidP="00ED48A3">
            <w:pPr>
              <w:keepNext/>
              <w:ind w:left="0" w:firstLine="0"/>
              <w:jc w:val="center"/>
              <w:rPr>
                <w:szCs w:val="22"/>
              </w:rPr>
            </w:pPr>
            <w:r w:rsidRPr="001B4A02">
              <w:rPr>
                <w:szCs w:val="22"/>
              </w:rPr>
              <w:t>Placebo/MTX</w:t>
            </w:r>
            <w:r w:rsidRPr="001B4A02">
              <w:rPr>
                <w:szCs w:val="22"/>
                <w:vertAlign w:val="superscript"/>
              </w:rPr>
              <w:t>c</w:t>
            </w:r>
          </w:p>
          <w:p w14:paraId="0F095739" w14:textId="77777777" w:rsidR="00ED3511" w:rsidRPr="001B4A02" w:rsidRDefault="00000000" w:rsidP="00ED48A3">
            <w:pPr>
              <w:keepNext/>
              <w:ind w:left="0" w:firstLine="0"/>
              <w:jc w:val="center"/>
              <w:rPr>
                <w:szCs w:val="22"/>
              </w:rPr>
            </w:pPr>
            <w:r w:rsidRPr="001B4A02">
              <w:rPr>
                <w:szCs w:val="22"/>
              </w:rPr>
              <w:t>n=200</w:t>
            </w:r>
          </w:p>
        </w:tc>
        <w:tc>
          <w:tcPr>
            <w:tcW w:w="1627" w:type="dxa"/>
            <w:tcBorders>
              <w:top w:val="single" w:sz="4" w:space="0" w:color="auto"/>
              <w:left w:val="single" w:sz="4" w:space="0" w:color="auto"/>
              <w:bottom w:val="single" w:sz="4" w:space="0" w:color="auto"/>
              <w:right w:val="single" w:sz="4" w:space="0" w:color="auto"/>
            </w:tcBorders>
          </w:tcPr>
          <w:p w14:paraId="7463E132" w14:textId="77777777" w:rsidR="00ED3511" w:rsidRPr="001B4A02" w:rsidRDefault="00000000" w:rsidP="00ED48A3">
            <w:pPr>
              <w:keepNext/>
              <w:ind w:left="0" w:firstLine="0"/>
              <w:jc w:val="center"/>
              <w:rPr>
                <w:szCs w:val="22"/>
              </w:rPr>
            </w:pPr>
            <w:r w:rsidRPr="001B4A02">
              <w:rPr>
                <w:szCs w:val="22"/>
              </w:rPr>
              <w:t>Humira</w:t>
            </w:r>
            <w:r w:rsidRPr="001B4A02">
              <w:rPr>
                <w:szCs w:val="22"/>
                <w:vertAlign w:val="superscript"/>
              </w:rPr>
              <w:t>b</w:t>
            </w:r>
            <w:r w:rsidRPr="001B4A02">
              <w:rPr>
                <w:szCs w:val="22"/>
              </w:rPr>
              <w:t>/MTX</w:t>
            </w:r>
            <w:r w:rsidRPr="001B4A02">
              <w:rPr>
                <w:szCs w:val="22"/>
                <w:vertAlign w:val="superscript"/>
              </w:rPr>
              <w:t>c</w:t>
            </w:r>
          </w:p>
          <w:p w14:paraId="36C343E9" w14:textId="77777777" w:rsidR="00ED3511" w:rsidRPr="001B4A02" w:rsidRDefault="00000000" w:rsidP="00ED48A3">
            <w:pPr>
              <w:keepNext/>
              <w:ind w:left="0" w:firstLine="0"/>
              <w:jc w:val="center"/>
              <w:rPr>
                <w:szCs w:val="22"/>
              </w:rPr>
            </w:pPr>
            <w:r w:rsidRPr="001B4A02">
              <w:rPr>
                <w:szCs w:val="22"/>
              </w:rPr>
              <w:t>n=207</w:t>
            </w:r>
          </w:p>
        </w:tc>
      </w:tr>
      <w:tr w:rsidR="00534A2D" w14:paraId="687CF570" w14:textId="77777777" w:rsidTr="008D783A">
        <w:trPr>
          <w:cantSplit/>
        </w:trPr>
        <w:tc>
          <w:tcPr>
            <w:tcW w:w="1080" w:type="dxa"/>
            <w:tcBorders>
              <w:top w:val="single" w:sz="4" w:space="0" w:color="auto"/>
              <w:left w:val="single" w:sz="4" w:space="0" w:color="auto"/>
              <w:bottom w:val="single" w:sz="4" w:space="0" w:color="auto"/>
              <w:right w:val="single" w:sz="4" w:space="0" w:color="auto"/>
            </w:tcBorders>
          </w:tcPr>
          <w:p w14:paraId="34729716" w14:textId="77777777" w:rsidR="00ED3511" w:rsidRPr="001B4A02" w:rsidRDefault="00000000" w:rsidP="00ED48A3">
            <w:pPr>
              <w:keepNext/>
              <w:ind w:left="0" w:firstLine="0"/>
              <w:rPr>
                <w:szCs w:val="22"/>
              </w:rPr>
            </w:pPr>
            <w:r w:rsidRPr="001B4A02">
              <w:rPr>
                <w:szCs w:val="22"/>
              </w:rPr>
              <w:t>ACR 20</w:t>
            </w:r>
          </w:p>
        </w:tc>
        <w:tc>
          <w:tcPr>
            <w:tcW w:w="1456" w:type="dxa"/>
            <w:tcBorders>
              <w:top w:val="single" w:sz="4" w:space="0" w:color="auto"/>
              <w:left w:val="single" w:sz="4" w:space="0" w:color="auto"/>
              <w:bottom w:val="single" w:sz="4" w:space="0" w:color="auto"/>
              <w:right w:val="single" w:sz="4" w:space="0" w:color="auto"/>
            </w:tcBorders>
          </w:tcPr>
          <w:p w14:paraId="2B1AF572" w14:textId="77777777" w:rsidR="00ED3511" w:rsidRPr="001B4A02" w:rsidRDefault="00ED3511" w:rsidP="00ED48A3">
            <w:pPr>
              <w:keepNext/>
              <w:ind w:left="0" w:firstLine="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14:paraId="4446D0B5" w14:textId="77777777" w:rsidR="00ED3511" w:rsidRPr="001B4A02" w:rsidRDefault="00ED3511" w:rsidP="00ED48A3">
            <w:pPr>
              <w:keepNext/>
              <w:ind w:left="0" w:firstLine="0"/>
              <w:jc w:val="center"/>
              <w:rPr>
                <w:szCs w:val="22"/>
              </w:rPr>
            </w:pPr>
          </w:p>
        </w:tc>
        <w:tc>
          <w:tcPr>
            <w:tcW w:w="992" w:type="dxa"/>
            <w:tcBorders>
              <w:top w:val="single" w:sz="4" w:space="0" w:color="auto"/>
              <w:left w:val="single" w:sz="4" w:space="0" w:color="auto"/>
              <w:bottom w:val="single" w:sz="4" w:space="0" w:color="auto"/>
              <w:right w:val="single" w:sz="4" w:space="0" w:color="auto"/>
            </w:tcBorders>
          </w:tcPr>
          <w:p w14:paraId="6BC195BB" w14:textId="77777777" w:rsidR="00ED3511" w:rsidRPr="001B4A02" w:rsidRDefault="00ED3511" w:rsidP="00ED48A3">
            <w:pPr>
              <w:keepNext/>
              <w:ind w:left="0" w:firstLine="0"/>
              <w:jc w:val="center"/>
              <w:rPr>
                <w:szCs w:val="22"/>
              </w:rPr>
            </w:pPr>
          </w:p>
        </w:tc>
        <w:tc>
          <w:tcPr>
            <w:tcW w:w="993" w:type="dxa"/>
            <w:tcBorders>
              <w:top w:val="single" w:sz="4" w:space="0" w:color="auto"/>
              <w:left w:val="single" w:sz="4" w:space="0" w:color="auto"/>
              <w:bottom w:val="single" w:sz="4" w:space="0" w:color="auto"/>
              <w:right w:val="single" w:sz="4" w:space="0" w:color="auto"/>
            </w:tcBorders>
          </w:tcPr>
          <w:p w14:paraId="7C9A08F0" w14:textId="77777777" w:rsidR="00ED3511" w:rsidRPr="001B4A02" w:rsidRDefault="00ED3511" w:rsidP="00ED48A3">
            <w:pPr>
              <w:keepNext/>
              <w:ind w:left="0" w:firstLine="0"/>
              <w:jc w:val="center"/>
              <w:rPr>
                <w:szCs w:val="22"/>
              </w:rPr>
            </w:pPr>
          </w:p>
        </w:tc>
        <w:tc>
          <w:tcPr>
            <w:tcW w:w="1417" w:type="dxa"/>
            <w:tcBorders>
              <w:top w:val="single" w:sz="4" w:space="0" w:color="auto"/>
              <w:left w:val="single" w:sz="4" w:space="0" w:color="auto"/>
              <w:bottom w:val="single" w:sz="4" w:space="0" w:color="auto"/>
              <w:right w:val="single" w:sz="4" w:space="0" w:color="auto"/>
            </w:tcBorders>
          </w:tcPr>
          <w:p w14:paraId="3C55CF81" w14:textId="77777777" w:rsidR="00ED3511" w:rsidRPr="001B4A02" w:rsidRDefault="00ED3511" w:rsidP="00ED48A3">
            <w:pPr>
              <w:keepNext/>
              <w:ind w:left="0" w:firstLine="0"/>
              <w:jc w:val="center"/>
              <w:rPr>
                <w:szCs w:val="22"/>
              </w:rPr>
            </w:pPr>
          </w:p>
        </w:tc>
        <w:tc>
          <w:tcPr>
            <w:tcW w:w="1627" w:type="dxa"/>
            <w:tcBorders>
              <w:top w:val="single" w:sz="4" w:space="0" w:color="auto"/>
              <w:left w:val="single" w:sz="4" w:space="0" w:color="auto"/>
              <w:bottom w:val="single" w:sz="4" w:space="0" w:color="auto"/>
              <w:right w:val="single" w:sz="4" w:space="0" w:color="auto"/>
            </w:tcBorders>
          </w:tcPr>
          <w:p w14:paraId="43066C7E" w14:textId="77777777" w:rsidR="00ED3511" w:rsidRPr="001B4A02" w:rsidRDefault="00ED3511" w:rsidP="00ED48A3">
            <w:pPr>
              <w:keepNext/>
              <w:ind w:left="0" w:firstLine="0"/>
              <w:jc w:val="center"/>
              <w:rPr>
                <w:szCs w:val="22"/>
              </w:rPr>
            </w:pPr>
          </w:p>
        </w:tc>
      </w:tr>
      <w:tr w:rsidR="00534A2D" w14:paraId="4ECB992D" w14:textId="77777777" w:rsidTr="008D783A">
        <w:trPr>
          <w:cantSplit/>
        </w:trPr>
        <w:tc>
          <w:tcPr>
            <w:tcW w:w="1080" w:type="dxa"/>
            <w:tcBorders>
              <w:top w:val="single" w:sz="4" w:space="0" w:color="auto"/>
              <w:left w:val="single" w:sz="4" w:space="0" w:color="auto"/>
              <w:bottom w:val="single" w:sz="4" w:space="0" w:color="auto"/>
              <w:right w:val="single" w:sz="4" w:space="0" w:color="auto"/>
            </w:tcBorders>
          </w:tcPr>
          <w:p w14:paraId="1CE0B776" w14:textId="77777777" w:rsidR="00ED3511" w:rsidRPr="001B4A02" w:rsidRDefault="00000000" w:rsidP="00ED48A3">
            <w:pPr>
              <w:keepNext/>
              <w:ind w:left="0" w:firstLine="0"/>
              <w:rPr>
                <w:szCs w:val="22"/>
              </w:rPr>
            </w:pPr>
            <w:r w:rsidRPr="001B4A02">
              <w:rPr>
                <w:szCs w:val="22"/>
              </w:rPr>
              <w:t xml:space="preserve">  6 měsíců</w:t>
            </w:r>
          </w:p>
        </w:tc>
        <w:tc>
          <w:tcPr>
            <w:tcW w:w="1456" w:type="dxa"/>
            <w:tcBorders>
              <w:top w:val="single" w:sz="4" w:space="0" w:color="auto"/>
              <w:left w:val="single" w:sz="4" w:space="0" w:color="auto"/>
              <w:bottom w:val="single" w:sz="4" w:space="0" w:color="auto"/>
              <w:right w:val="single" w:sz="4" w:space="0" w:color="auto"/>
            </w:tcBorders>
          </w:tcPr>
          <w:p w14:paraId="73EAE150" w14:textId="77777777" w:rsidR="00ED3511" w:rsidRPr="001B4A02" w:rsidRDefault="00000000" w:rsidP="00ED48A3">
            <w:pPr>
              <w:keepNext/>
              <w:ind w:left="0" w:firstLine="0"/>
              <w:jc w:val="center"/>
              <w:rPr>
                <w:szCs w:val="22"/>
              </w:rPr>
            </w:pPr>
            <w:r w:rsidRPr="001B4A02">
              <w:rPr>
                <w:szCs w:val="22"/>
              </w:rPr>
              <w:t>13,3</w:t>
            </w:r>
            <w:r w:rsidR="00673D53" w:rsidRPr="001B4A02">
              <w:rPr>
                <w:szCs w:val="22"/>
              </w:rPr>
              <w:t> </w:t>
            </w:r>
            <w:r w:rsidRPr="001B4A02">
              <w:rPr>
                <w:szCs w:val="22"/>
              </w:rPr>
              <w:t>%</w:t>
            </w:r>
          </w:p>
        </w:tc>
        <w:tc>
          <w:tcPr>
            <w:tcW w:w="1559" w:type="dxa"/>
            <w:tcBorders>
              <w:top w:val="single" w:sz="4" w:space="0" w:color="auto"/>
              <w:left w:val="single" w:sz="4" w:space="0" w:color="auto"/>
              <w:bottom w:val="single" w:sz="4" w:space="0" w:color="auto"/>
              <w:right w:val="single" w:sz="4" w:space="0" w:color="auto"/>
            </w:tcBorders>
          </w:tcPr>
          <w:p w14:paraId="14D2A3CA" w14:textId="77777777" w:rsidR="00ED3511" w:rsidRPr="001B4A02" w:rsidRDefault="00000000" w:rsidP="00ED48A3">
            <w:pPr>
              <w:keepNext/>
              <w:ind w:left="0" w:firstLine="0"/>
              <w:jc w:val="center"/>
              <w:rPr>
                <w:szCs w:val="22"/>
              </w:rPr>
            </w:pPr>
            <w:r w:rsidRPr="001B4A02">
              <w:rPr>
                <w:szCs w:val="22"/>
              </w:rPr>
              <w:t>65,1</w:t>
            </w:r>
            <w:r w:rsidR="00673D53" w:rsidRPr="001B4A02">
              <w:rPr>
                <w:szCs w:val="22"/>
              </w:rPr>
              <w:t> </w:t>
            </w:r>
            <w:r w:rsidRPr="001B4A02">
              <w:rPr>
                <w:szCs w:val="22"/>
              </w:rPr>
              <w:t>%</w:t>
            </w:r>
          </w:p>
        </w:tc>
        <w:tc>
          <w:tcPr>
            <w:tcW w:w="992" w:type="dxa"/>
            <w:tcBorders>
              <w:top w:val="single" w:sz="4" w:space="0" w:color="auto"/>
              <w:left w:val="single" w:sz="4" w:space="0" w:color="auto"/>
              <w:bottom w:val="single" w:sz="4" w:space="0" w:color="auto"/>
              <w:right w:val="single" w:sz="4" w:space="0" w:color="auto"/>
            </w:tcBorders>
          </w:tcPr>
          <w:p w14:paraId="6FE23B3F" w14:textId="77777777" w:rsidR="00ED3511" w:rsidRPr="001B4A02" w:rsidRDefault="00000000" w:rsidP="00ED48A3">
            <w:pPr>
              <w:keepNext/>
              <w:ind w:left="0" w:firstLine="0"/>
              <w:jc w:val="center"/>
              <w:rPr>
                <w:szCs w:val="22"/>
              </w:rPr>
            </w:pPr>
            <w:r w:rsidRPr="001B4A02">
              <w:rPr>
                <w:szCs w:val="22"/>
              </w:rPr>
              <w:t>19,1</w:t>
            </w:r>
            <w:r w:rsidR="00673D53" w:rsidRPr="001B4A02">
              <w:rPr>
                <w:szCs w:val="22"/>
              </w:rPr>
              <w:t> </w:t>
            </w:r>
            <w:r w:rsidRPr="001B4A02">
              <w:rPr>
                <w:szCs w:val="22"/>
              </w:rPr>
              <w:t>%</w:t>
            </w:r>
          </w:p>
        </w:tc>
        <w:tc>
          <w:tcPr>
            <w:tcW w:w="993" w:type="dxa"/>
            <w:tcBorders>
              <w:top w:val="single" w:sz="4" w:space="0" w:color="auto"/>
              <w:left w:val="single" w:sz="4" w:space="0" w:color="auto"/>
              <w:bottom w:val="single" w:sz="4" w:space="0" w:color="auto"/>
              <w:right w:val="single" w:sz="4" w:space="0" w:color="auto"/>
            </w:tcBorders>
          </w:tcPr>
          <w:p w14:paraId="5507C8EF" w14:textId="77777777" w:rsidR="00ED3511" w:rsidRPr="001B4A02" w:rsidRDefault="00000000" w:rsidP="00ED48A3">
            <w:pPr>
              <w:pStyle w:val="CommentText"/>
              <w:keepNext/>
              <w:ind w:left="0" w:firstLine="0"/>
              <w:jc w:val="center"/>
              <w:rPr>
                <w:sz w:val="22"/>
                <w:szCs w:val="22"/>
                <w:lang w:val="cs-CZ"/>
              </w:rPr>
            </w:pPr>
            <w:r w:rsidRPr="001B4A02">
              <w:rPr>
                <w:sz w:val="22"/>
                <w:szCs w:val="22"/>
                <w:lang w:val="cs-CZ"/>
              </w:rPr>
              <w:t>46,0</w:t>
            </w:r>
            <w:r w:rsidR="00673D53" w:rsidRPr="001B4A02">
              <w:rPr>
                <w:sz w:val="22"/>
                <w:szCs w:val="22"/>
                <w:lang w:val="cs-CZ"/>
              </w:rPr>
              <w:t> </w:t>
            </w:r>
            <w:r w:rsidRPr="001B4A02">
              <w:rPr>
                <w:sz w:val="22"/>
                <w:szCs w:val="22"/>
                <w:lang w:val="cs-CZ"/>
              </w:rPr>
              <w:t>%</w:t>
            </w:r>
          </w:p>
        </w:tc>
        <w:tc>
          <w:tcPr>
            <w:tcW w:w="1417" w:type="dxa"/>
            <w:tcBorders>
              <w:top w:val="single" w:sz="4" w:space="0" w:color="auto"/>
              <w:left w:val="single" w:sz="4" w:space="0" w:color="auto"/>
              <w:bottom w:val="single" w:sz="4" w:space="0" w:color="auto"/>
              <w:right w:val="single" w:sz="4" w:space="0" w:color="auto"/>
            </w:tcBorders>
          </w:tcPr>
          <w:p w14:paraId="26B46C24" w14:textId="77777777" w:rsidR="00ED3511" w:rsidRPr="001B4A02" w:rsidRDefault="00000000" w:rsidP="00ED48A3">
            <w:pPr>
              <w:keepNext/>
              <w:ind w:left="0" w:firstLine="0"/>
              <w:jc w:val="center"/>
              <w:rPr>
                <w:szCs w:val="22"/>
              </w:rPr>
            </w:pPr>
            <w:r w:rsidRPr="001B4A02">
              <w:rPr>
                <w:szCs w:val="22"/>
              </w:rPr>
              <w:t>29,5</w:t>
            </w:r>
            <w:r w:rsidR="00673D53" w:rsidRPr="001B4A02">
              <w:rPr>
                <w:szCs w:val="22"/>
              </w:rPr>
              <w:t> </w:t>
            </w:r>
            <w:r w:rsidRPr="001B4A02">
              <w:rPr>
                <w:szCs w:val="22"/>
              </w:rPr>
              <w:t>%</w:t>
            </w:r>
          </w:p>
        </w:tc>
        <w:tc>
          <w:tcPr>
            <w:tcW w:w="1627" w:type="dxa"/>
            <w:tcBorders>
              <w:top w:val="single" w:sz="4" w:space="0" w:color="auto"/>
              <w:left w:val="single" w:sz="4" w:space="0" w:color="auto"/>
              <w:bottom w:val="single" w:sz="4" w:space="0" w:color="auto"/>
              <w:right w:val="single" w:sz="4" w:space="0" w:color="auto"/>
            </w:tcBorders>
          </w:tcPr>
          <w:p w14:paraId="72A56975" w14:textId="77777777" w:rsidR="00ED3511" w:rsidRPr="001B4A02" w:rsidRDefault="00000000" w:rsidP="00ED48A3">
            <w:pPr>
              <w:keepNext/>
              <w:ind w:left="0" w:firstLine="0"/>
              <w:jc w:val="center"/>
              <w:rPr>
                <w:szCs w:val="22"/>
              </w:rPr>
            </w:pPr>
            <w:r w:rsidRPr="001B4A02">
              <w:rPr>
                <w:szCs w:val="22"/>
              </w:rPr>
              <w:t>63,3</w:t>
            </w:r>
            <w:r w:rsidR="00673D53" w:rsidRPr="001B4A02">
              <w:rPr>
                <w:szCs w:val="22"/>
              </w:rPr>
              <w:t> </w:t>
            </w:r>
            <w:r w:rsidRPr="001B4A02">
              <w:rPr>
                <w:szCs w:val="22"/>
              </w:rPr>
              <w:t>%</w:t>
            </w:r>
          </w:p>
        </w:tc>
      </w:tr>
      <w:tr w:rsidR="00534A2D" w14:paraId="5D427393" w14:textId="77777777" w:rsidTr="008D783A">
        <w:trPr>
          <w:cantSplit/>
        </w:trPr>
        <w:tc>
          <w:tcPr>
            <w:tcW w:w="1080" w:type="dxa"/>
            <w:tcBorders>
              <w:top w:val="single" w:sz="4" w:space="0" w:color="auto"/>
              <w:left w:val="single" w:sz="4" w:space="0" w:color="auto"/>
              <w:bottom w:val="single" w:sz="4" w:space="0" w:color="auto"/>
              <w:right w:val="single" w:sz="4" w:space="0" w:color="auto"/>
            </w:tcBorders>
          </w:tcPr>
          <w:p w14:paraId="73C02DEF" w14:textId="77777777" w:rsidR="00ED3511" w:rsidRPr="001B4A02" w:rsidRDefault="00000000" w:rsidP="00ED48A3">
            <w:pPr>
              <w:keepNext/>
              <w:ind w:left="0" w:firstLine="0"/>
              <w:rPr>
                <w:szCs w:val="22"/>
              </w:rPr>
            </w:pPr>
            <w:r w:rsidRPr="001B4A02">
              <w:rPr>
                <w:szCs w:val="22"/>
              </w:rPr>
              <w:t xml:space="preserve">  12 měsíců</w:t>
            </w:r>
          </w:p>
        </w:tc>
        <w:tc>
          <w:tcPr>
            <w:tcW w:w="1456" w:type="dxa"/>
            <w:tcBorders>
              <w:top w:val="single" w:sz="4" w:space="0" w:color="auto"/>
              <w:left w:val="single" w:sz="4" w:space="0" w:color="auto"/>
              <w:bottom w:val="single" w:sz="4" w:space="0" w:color="auto"/>
              <w:right w:val="single" w:sz="4" w:space="0" w:color="auto"/>
            </w:tcBorders>
          </w:tcPr>
          <w:p w14:paraId="2EAF1AD1" w14:textId="77777777" w:rsidR="00ED3511" w:rsidRPr="001B4A02" w:rsidRDefault="00000000" w:rsidP="00ED48A3">
            <w:pPr>
              <w:keepNext/>
              <w:ind w:left="0" w:firstLine="0"/>
              <w:jc w:val="center"/>
              <w:rPr>
                <w:szCs w:val="22"/>
              </w:rPr>
            </w:pPr>
            <w:r w:rsidRPr="001B4A02">
              <w:rPr>
                <w:szCs w:val="22"/>
              </w:rPr>
              <w:t>NA</w:t>
            </w:r>
          </w:p>
        </w:tc>
        <w:tc>
          <w:tcPr>
            <w:tcW w:w="1559" w:type="dxa"/>
            <w:tcBorders>
              <w:top w:val="single" w:sz="4" w:space="0" w:color="auto"/>
              <w:left w:val="single" w:sz="4" w:space="0" w:color="auto"/>
              <w:bottom w:val="single" w:sz="4" w:space="0" w:color="auto"/>
              <w:right w:val="single" w:sz="4" w:space="0" w:color="auto"/>
            </w:tcBorders>
          </w:tcPr>
          <w:p w14:paraId="0EA49A79" w14:textId="77777777" w:rsidR="00ED3511" w:rsidRPr="001B4A02" w:rsidRDefault="00000000" w:rsidP="00ED48A3">
            <w:pPr>
              <w:keepNext/>
              <w:ind w:left="0" w:firstLine="0"/>
              <w:jc w:val="center"/>
              <w:rPr>
                <w:szCs w:val="22"/>
              </w:rPr>
            </w:pPr>
            <w:r w:rsidRPr="001B4A02">
              <w:rPr>
                <w:szCs w:val="22"/>
              </w:rPr>
              <w:t>NA</w:t>
            </w:r>
          </w:p>
        </w:tc>
        <w:tc>
          <w:tcPr>
            <w:tcW w:w="992" w:type="dxa"/>
            <w:tcBorders>
              <w:top w:val="single" w:sz="4" w:space="0" w:color="auto"/>
              <w:left w:val="single" w:sz="4" w:space="0" w:color="auto"/>
              <w:bottom w:val="single" w:sz="4" w:space="0" w:color="auto"/>
              <w:right w:val="single" w:sz="4" w:space="0" w:color="auto"/>
            </w:tcBorders>
          </w:tcPr>
          <w:p w14:paraId="5BC6BF90" w14:textId="77777777" w:rsidR="00ED3511" w:rsidRPr="001B4A02" w:rsidRDefault="00000000" w:rsidP="00ED48A3">
            <w:pPr>
              <w:keepNext/>
              <w:ind w:left="0" w:firstLine="0"/>
              <w:jc w:val="center"/>
              <w:rPr>
                <w:szCs w:val="22"/>
              </w:rPr>
            </w:pPr>
            <w:r w:rsidRPr="001B4A02">
              <w:rPr>
                <w:szCs w:val="22"/>
              </w:rPr>
              <w:t>NA</w:t>
            </w:r>
          </w:p>
        </w:tc>
        <w:tc>
          <w:tcPr>
            <w:tcW w:w="993" w:type="dxa"/>
            <w:tcBorders>
              <w:top w:val="single" w:sz="4" w:space="0" w:color="auto"/>
              <w:left w:val="single" w:sz="4" w:space="0" w:color="auto"/>
              <w:bottom w:val="single" w:sz="4" w:space="0" w:color="auto"/>
              <w:right w:val="single" w:sz="4" w:space="0" w:color="auto"/>
            </w:tcBorders>
          </w:tcPr>
          <w:p w14:paraId="72AFEC93" w14:textId="77777777" w:rsidR="00ED3511" w:rsidRPr="001B4A02" w:rsidRDefault="00000000" w:rsidP="00ED48A3">
            <w:pPr>
              <w:keepNext/>
              <w:ind w:left="0" w:firstLine="0"/>
              <w:jc w:val="center"/>
              <w:rPr>
                <w:szCs w:val="22"/>
              </w:rPr>
            </w:pPr>
            <w:r w:rsidRPr="001B4A02">
              <w:rPr>
                <w:szCs w:val="22"/>
              </w:rPr>
              <w:t>NA</w:t>
            </w:r>
          </w:p>
        </w:tc>
        <w:tc>
          <w:tcPr>
            <w:tcW w:w="1417" w:type="dxa"/>
            <w:tcBorders>
              <w:top w:val="single" w:sz="4" w:space="0" w:color="auto"/>
              <w:left w:val="single" w:sz="4" w:space="0" w:color="auto"/>
              <w:bottom w:val="single" w:sz="4" w:space="0" w:color="auto"/>
              <w:right w:val="single" w:sz="4" w:space="0" w:color="auto"/>
            </w:tcBorders>
          </w:tcPr>
          <w:p w14:paraId="6213A781" w14:textId="77777777" w:rsidR="00ED3511" w:rsidRPr="001B4A02" w:rsidRDefault="00000000" w:rsidP="00ED48A3">
            <w:pPr>
              <w:keepNext/>
              <w:ind w:left="0" w:firstLine="0"/>
              <w:jc w:val="center"/>
              <w:rPr>
                <w:szCs w:val="22"/>
              </w:rPr>
            </w:pPr>
            <w:r w:rsidRPr="001B4A02">
              <w:rPr>
                <w:szCs w:val="22"/>
              </w:rPr>
              <w:t>24,0</w:t>
            </w:r>
            <w:r w:rsidR="00673D53" w:rsidRPr="001B4A02">
              <w:rPr>
                <w:szCs w:val="22"/>
              </w:rPr>
              <w:t> </w:t>
            </w:r>
            <w:r w:rsidRPr="001B4A02">
              <w:rPr>
                <w:szCs w:val="22"/>
              </w:rPr>
              <w:t>%</w:t>
            </w:r>
          </w:p>
        </w:tc>
        <w:tc>
          <w:tcPr>
            <w:tcW w:w="1627" w:type="dxa"/>
            <w:tcBorders>
              <w:top w:val="single" w:sz="4" w:space="0" w:color="auto"/>
              <w:left w:val="single" w:sz="4" w:space="0" w:color="auto"/>
              <w:bottom w:val="single" w:sz="4" w:space="0" w:color="auto"/>
              <w:right w:val="single" w:sz="4" w:space="0" w:color="auto"/>
            </w:tcBorders>
          </w:tcPr>
          <w:p w14:paraId="270DF37B" w14:textId="77777777" w:rsidR="00ED3511" w:rsidRPr="001B4A02" w:rsidRDefault="00000000" w:rsidP="00ED48A3">
            <w:pPr>
              <w:keepNext/>
              <w:ind w:left="0" w:firstLine="0"/>
              <w:jc w:val="center"/>
              <w:rPr>
                <w:szCs w:val="22"/>
              </w:rPr>
            </w:pPr>
            <w:r w:rsidRPr="001B4A02">
              <w:rPr>
                <w:szCs w:val="22"/>
              </w:rPr>
              <w:t>58,9</w:t>
            </w:r>
            <w:r w:rsidR="00673D53" w:rsidRPr="001B4A02">
              <w:rPr>
                <w:szCs w:val="22"/>
              </w:rPr>
              <w:t> </w:t>
            </w:r>
            <w:r w:rsidRPr="001B4A02">
              <w:rPr>
                <w:szCs w:val="22"/>
              </w:rPr>
              <w:t>%</w:t>
            </w:r>
          </w:p>
        </w:tc>
      </w:tr>
      <w:tr w:rsidR="00534A2D" w14:paraId="64D3E583" w14:textId="77777777" w:rsidTr="008D783A">
        <w:trPr>
          <w:cantSplit/>
        </w:trPr>
        <w:tc>
          <w:tcPr>
            <w:tcW w:w="1080" w:type="dxa"/>
            <w:tcBorders>
              <w:top w:val="single" w:sz="4" w:space="0" w:color="auto"/>
              <w:left w:val="single" w:sz="4" w:space="0" w:color="auto"/>
              <w:bottom w:val="single" w:sz="4" w:space="0" w:color="auto"/>
              <w:right w:val="single" w:sz="4" w:space="0" w:color="auto"/>
            </w:tcBorders>
          </w:tcPr>
          <w:p w14:paraId="5958A997" w14:textId="77777777" w:rsidR="00ED3511" w:rsidRPr="001B4A02" w:rsidRDefault="00000000" w:rsidP="00ED48A3">
            <w:pPr>
              <w:keepNext/>
              <w:ind w:left="0" w:firstLine="0"/>
              <w:rPr>
                <w:szCs w:val="22"/>
              </w:rPr>
            </w:pPr>
            <w:r w:rsidRPr="001B4A02">
              <w:rPr>
                <w:szCs w:val="22"/>
              </w:rPr>
              <w:t>ACR 50</w:t>
            </w:r>
          </w:p>
        </w:tc>
        <w:tc>
          <w:tcPr>
            <w:tcW w:w="1456" w:type="dxa"/>
            <w:tcBorders>
              <w:top w:val="single" w:sz="4" w:space="0" w:color="auto"/>
              <w:left w:val="single" w:sz="4" w:space="0" w:color="auto"/>
              <w:bottom w:val="single" w:sz="4" w:space="0" w:color="auto"/>
              <w:right w:val="single" w:sz="4" w:space="0" w:color="auto"/>
            </w:tcBorders>
          </w:tcPr>
          <w:p w14:paraId="396EE1DE" w14:textId="77777777" w:rsidR="00ED3511" w:rsidRPr="001B4A02" w:rsidRDefault="00ED3511" w:rsidP="00ED48A3">
            <w:pPr>
              <w:keepNext/>
              <w:ind w:left="0" w:firstLine="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14:paraId="6DDBDD95" w14:textId="77777777" w:rsidR="00ED3511" w:rsidRPr="001B4A02" w:rsidRDefault="00ED3511" w:rsidP="00ED48A3">
            <w:pPr>
              <w:keepNext/>
              <w:ind w:left="0" w:firstLine="0"/>
              <w:jc w:val="center"/>
              <w:rPr>
                <w:szCs w:val="22"/>
              </w:rPr>
            </w:pPr>
          </w:p>
        </w:tc>
        <w:tc>
          <w:tcPr>
            <w:tcW w:w="992" w:type="dxa"/>
            <w:tcBorders>
              <w:top w:val="single" w:sz="4" w:space="0" w:color="auto"/>
              <w:left w:val="single" w:sz="4" w:space="0" w:color="auto"/>
              <w:bottom w:val="single" w:sz="4" w:space="0" w:color="auto"/>
              <w:right w:val="single" w:sz="4" w:space="0" w:color="auto"/>
            </w:tcBorders>
          </w:tcPr>
          <w:p w14:paraId="26D09876" w14:textId="77777777" w:rsidR="00ED3511" w:rsidRPr="001B4A02" w:rsidRDefault="00ED3511" w:rsidP="00ED48A3">
            <w:pPr>
              <w:keepNext/>
              <w:ind w:left="0" w:firstLine="0"/>
              <w:jc w:val="center"/>
              <w:rPr>
                <w:szCs w:val="22"/>
              </w:rPr>
            </w:pPr>
          </w:p>
        </w:tc>
        <w:tc>
          <w:tcPr>
            <w:tcW w:w="993" w:type="dxa"/>
            <w:tcBorders>
              <w:top w:val="single" w:sz="4" w:space="0" w:color="auto"/>
              <w:left w:val="single" w:sz="4" w:space="0" w:color="auto"/>
              <w:bottom w:val="single" w:sz="4" w:space="0" w:color="auto"/>
              <w:right w:val="single" w:sz="4" w:space="0" w:color="auto"/>
            </w:tcBorders>
          </w:tcPr>
          <w:p w14:paraId="2B75C01C" w14:textId="77777777" w:rsidR="00ED3511" w:rsidRPr="001B4A02" w:rsidRDefault="00ED3511" w:rsidP="00ED48A3">
            <w:pPr>
              <w:keepNext/>
              <w:ind w:left="0" w:firstLine="0"/>
              <w:jc w:val="center"/>
              <w:rPr>
                <w:szCs w:val="22"/>
              </w:rPr>
            </w:pPr>
          </w:p>
        </w:tc>
        <w:tc>
          <w:tcPr>
            <w:tcW w:w="1417" w:type="dxa"/>
            <w:tcBorders>
              <w:top w:val="single" w:sz="4" w:space="0" w:color="auto"/>
              <w:left w:val="single" w:sz="4" w:space="0" w:color="auto"/>
              <w:bottom w:val="single" w:sz="4" w:space="0" w:color="auto"/>
              <w:right w:val="single" w:sz="4" w:space="0" w:color="auto"/>
            </w:tcBorders>
          </w:tcPr>
          <w:p w14:paraId="5F57B275" w14:textId="77777777" w:rsidR="00ED3511" w:rsidRPr="001B4A02" w:rsidRDefault="00ED3511" w:rsidP="00ED48A3">
            <w:pPr>
              <w:keepNext/>
              <w:ind w:left="0" w:firstLine="0"/>
              <w:jc w:val="center"/>
              <w:rPr>
                <w:szCs w:val="22"/>
              </w:rPr>
            </w:pPr>
          </w:p>
        </w:tc>
        <w:tc>
          <w:tcPr>
            <w:tcW w:w="1627" w:type="dxa"/>
            <w:tcBorders>
              <w:top w:val="single" w:sz="4" w:space="0" w:color="auto"/>
              <w:left w:val="single" w:sz="4" w:space="0" w:color="auto"/>
              <w:bottom w:val="single" w:sz="4" w:space="0" w:color="auto"/>
              <w:right w:val="single" w:sz="4" w:space="0" w:color="auto"/>
            </w:tcBorders>
          </w:tcPr>
          <w:p w14:paraId="42662CDD" w14:textId="77777777" w:rsidR="00ED3511" w:rsidRPr="001B4A02" w:rsidRDefault="00ED3511" w:rsidP="00ED48A3">
            <w:pPr>
              <w:keepNext/>
              <w:ind w:left="0" w:firstLine="0"/>
              <w:jc w:val="center"/>
              <w:rPr>
                <w:szCs w:val="22"/>
              </w:rPr>
            </w:pPr>
          </w:p>
        </w:tc>
      </w:tr>
      <w:tr w:rsidR="00534A2D" w14:paraId="5DAF41F9" w14:textId="77777777" w:rsidTr="008D783A">
        <w:trPr>
          <w:cantSplit/>
        </w:trPr>
        <w:tc>
          <w:tcPr>
            <w:tcW w:w="1080" w:type="dxa"/>
            <w:tcBorders>
              <w:top w:val="single" w:sz="4" w:space="0" w:color="auto"/>
              <w:left w:val="single" w:sz="4" w:space="0" w:color="auto"/>
              <w:bottom w:val="single" w:sz="4" w:space="0" w:color="auto"/>
              <w:right w:val="single" w:sz="4" w:space="0" w:color="auto"/>
            </w:tcBorders>
          </w:tcPr>
          <w:p w14:paraId="3018BA84" w14:textId="77777777" w:rsidR="00ED3511" w:rsidRPr="001B4A02" w:rsidRDefault="00000000" w:rsidP="00ED48A3">
            <w:pPr>
              <w:keepNext/>
              <w:ind w:left="0" w:firstLine="0"/>
              <w:rPr>
                <w:szCs w:val="22"/>
              </w:rPr>
            </w:pPr>
            <w:r w:rsidRPr="001B4A02">
              <w:rPr>
                <w:szCs w:val="22"/>
              </w:rPr>
              <w:t xml:space="preserve">  6 měsíců</w:t>
            </w:r>
          </w:p>
        </w:tc>
        <w:tc>
          <w:tcPr>
            <w:tcW w:w="1456" w:type="dxa"/>
            <w:tcBorders>
              <w:top w:val="single" w:sz="4" w:space="0" w:color="auto"/>
              <w:left w:val="single" w:sz="4" w:space="0" w:color="auto"/>
              <w:bottom w:val="single" w:sz="4" w:space="0" w:color="auto"/>
              <w:right w:val="single" w:sz="4" w:space="0" w:color="auto"/>
            </w:tcBorders>
          </w:tcPr>
          <w:p w14:paraId="3FB83152" w14:textId="77777777" w:rsidR="00ED3511" w:rsidRPr="001B4A02" w:rsidRDefault="00000000" w:rsidP="00ED48A3">
            <w:pPr>
              <w:keepNext/>
              <w:ind w:left="0" w:firstLine="0"/>
              <w:jc w:val="center"/>
              <w:rPr>
                <w:szCs w:val="22"/>
              </w:rPr>
            </w:pPr>
            <w:r w:rsidRPr="001B4A02">
              <w:rPr>
                <w:szCs w:val="22"/>
              </w:rPr>
              <w:t>6,7</w:t>
            </w:r>
            <w:r w:rsidR="00673D53" w:rsidRPr="001B4A02">
              <w:rPr>
                <w:szCs w:val="22"/>
              </w:rPr>
              <w:t> </w:t>
            </w:r>
            <w:r w:rsidRPr="001B4A02">
              <w:rPr>
                <w:szCs w:val="22"/>
              </w:rPr>
              <w:t>%</w:t>
            </w:r>
          </w:p>
        </w:tc>
        <w:tc>
          <w:tcPr>
            <w:tcW w:w="1559" w:type="dxa"/>
            <w:tcBorders>
              <w:top w:val="single" w:sz="4" w:space="0" w:color="auto"/>
              <w:left w:val="single" w:sz="4" w:space="0" w:color="auto"/>
              <w:bottom w:val="single" w:sz="4" w:space="0" w:color="auto"/>
              <w:right w:val="single" w:sz="4" w:space="0" w:color="auto"/>
            </w:tcBorders>
          </w:tcPr>
          <w:p w14:paraId="1848E8B0" w14:textId="77777777" w:rsidR="00ED3511" w:rsidRPr="001B4A02" w:rsidRDefault="00000000" w:rsidP="00ED48A3">
            <w:pPr>
              <w:keepNext/>
              <w:ind w:left="0" w:firstLine="0"/>
              <w:jc w:val="center"/>
              <w:rPr>
                <w:szCs w:val="22"/>
              </w:rPr>
            </w:pPr>
            <w:r w:rsidRPr="001B4A02">
              <w:rPr>
                <w:szCs w:val="22"/>
              </w:rPr>
              <w:t>52,4</w:t>
            </w:r>
            <w:r w:rsidR="00673D53" w:rsidRPr="001B4A02">
              <w:rPr>
                <w:szCs w:val="22"/>
              </w:rPr>
              <w:t> </w:t>
            </w:r>
            <w:r w:rsidRPr="001B4A02">
              <w:rPr>
                <w:szCs w:val="22"/>
              </w:rPr>
              <w:t>%</w:t>
            </w:r>
          </w:p>
        </w:tc>
        <w:tc>
          <w:tcPr>
            <w:tcW w:w="992" w:type="dxa"/>
            <w:tcBorders>
              <w:top w:val="single" w:sz="4" w:space="0" w:color="auto"/>
              <w:left w:val="single" w:sz="4" w:space="0" w:color="auto"/>
              <w:bottom w:val="single" w:sz="4" w:space="0" w:color="auto"/>
              <w:right w:val="single" w:sz="4" w:space="0" w:color="auto"/>
            </w:tcBorders>
          </w:tcPr>
          <w:p w14:paraId="40136FDE" w14:textId="77777777" w:rsidR="00ED3511" w:rsidRPr="001B4A02" w:rsidRDefault="00000000" w:rsidP="00ED48A3">
            <w:pPr>
              <w:keepNext/>
              <w:ind w:left="0" w:firstLine="0"/>
              <w:jc w:val="center"/>
              <w:rPr>
                <w:szCs w:val="22"/>
              </w:rPr>
            </w:pPr>
            <w:r w:rsidRPr="001B4A02">
              <w:rPr>
                <w:szCs w:val="22"/>
              </w:rPr>
              <w:t>8,2</w:t>
            </w:r>
            <w:r w:rsidR="00673D53" w:rsidRPr="001B4A02">
              <w:rPr>
                <w:szCs w:val="22"/>
              </w:rPr>
              <w:t> </w:t>
            </w:r>
            <w:r w:rsidRPr="001B4A02">
              <w:rPr>
                <w:szCs w:val="22"/>
              </w:rPr>
              <w:t>%</w:t>
            </w:r>
          </w:p>
        </w:tc>
        <w:tc>
          <w:tcPr>
            <w:tcW w:w="993" w:type="dxa"/>
            <w:tcBorders>
              <w:top w:val="single" w:sz="4" w:space="0" w:color="auto"/>
              <w:left w:val="single" w:sz="4" w:space="0" w:color="auto"/>
              <w:bottom w:val="single" w:sz="4" w:space="0" w:color="auto"/>
              <w:right w:val="single" w:sz="4" w:space="0" w:color="auto"/>
            </w:tcBorders>
          </w:tcPr>
          <w:p w14:paraId="44B77FE0" w14:textId="77777777" w:rsidR="00ED3511" w:rsidRPr="001B4A02" w:rsidRDefault="00000000" w:rsidP="00ED48A3">
            <w:pPr>
              <w:keepNext/>
              <w:ind w:left="0" w:firstLine="0"/>
              <w:jc w:val="center"/>
              <w:rPr>
                <w:szCs w:val="22"/>
              </w:rPr>
            </w:pPr>
            <w:r w:rsidRPr="001B4A02">
              <w:rPr>
                <w:szCs w:val="22"/>
              </w:rPr>
              <w:t>22,1</w:t>
            </w:r>
            <w:r w:rsidR="00673D53" w:rsidRPr="001B4A02">
              <w:rPr>
                <w:szCs w:val="22"/>
              </w:rPr>
              <w:t> </w:t>
            </w:r>
            <w:r w:rsidRPr="001B4A02">
              <w:rPr>
                <w:szCs w:val="22"/>
              </w:rPr>
              <w:t>%</w:t>
            </w:r>
          </w:p>
        </w:tc>
        <w:tc>
          <w:tcPr>
            <w:tcW w:w="1417" w:type="dxa"/>
            <w:tcBorders>
              <w:top w:val="single" w:sz="4" w:space="0" w:color="auto"/>
              <w:left w:val="single" w:sz="4" w:space="0" w:color="auto"/>
              <w:bottom w:val="single" w:sz="4" w:space="0" w:color="auto"/>
              <w:right w:val="single" w:sz="4" w:space="0" w:color="auto"/>
            </w:tcBorders>
          </w:tcPr>
          <w:p w14:paraId="4EB18140" w14:textId="77777777" w:rsidR="00ED3511" w:rsidRPr="001B4A02" w:rsidRDefault="00000000" w:rsidP="00ED48A3">
            <w:pPr>
              <w:keepNext/>
              <w:ind w:left="0" w:firstLine="0"/>
              <w:jc w:val="center"/>
              <w:rPr>
                <w:szCs w:val="22"/>
              </w:rPr>
            </w:pPr>
            <w:r w:rsidRPr="001B4A02">
              <w:rPr>
                <w:szCs w:val="22"/>
              </w:rPr>
              <w:t>9,5</w:t>
            </w:r>
            <w:r w:rsidR="00673D53" w:rsidRPr="001B4A02">
              <w:rPr>
                <w:szCs w:val="22"/>
              </w:rPr>
              <w:t> </w:t>
            </w:r>
            <w:r w:rsidRPr="001B4A02">
              <w:rPr>
                <w:szCs w:val="22"/>
              </w:rPr>
              <w:t>%</w:t>
            </w:r>
          </w:p>
        </w:tc>
        <w:tc>
          <w:tcPr>
            <w:tcW w:w="1627" w:type="dxa"/>
            <w:tcBorders>
              <w:top w:val="single" w:sz="4" w:space="0" w:color="auto"/>
              <w:left w:val="single" w:sz="4" w:space="0" w:color="auto"/>
              <w:bottom w:val="single" w:sz="4" w:space="0" w:color="auto"/>
              <w:right w:val="single" w:sz="4" w:space="0" w:color="auto"/>
            </w:tcBorders>
          </w:tcPr>
          <w:p w14:paraId="0AB85C07" w14:textId="77777777" w:rsidR="00ED3511" w:rsidRPr="001B4A02" w:rsidRDefault="00000000" w:rsidP="00ED48A3">
            <w:pPr>
              <w:keepNext/>
              <w:ind w:left="0" w:firstLine="0"/>
              <w:jc w:val="center"/>
              <w:rPr>
                <w:szCs w:val="22"/>
              </w:rPr>
            </w:pPr>
            <w:r w:rsidRPr="001B4A02">
              <w:rPr>
                <w:szCs w:val="22"/>
              </w:rPr>
              <w:t>39,1</w:t>
            </w:r>
            <w:r w:rsidR="00673D53" w:rsidRPr="001B4A02">
              <w:rPr>
                <w:szCs w:val="22"/>
              </w:rPr>
              <w:t> </w:t>
            </w:r>
            <w:r w:rsidRPr="001B4A02">
              <w:rPr>
                <w:szCs w:val="22"/>
              </w:rPr>
              <w:t>%</w:t>
            </w:r>
          </w:p>
        </w:tc>
      </w:tr>
      <w:tr w:rsidR="00534A2D" w14:paraId="7169AE54" w14:textId="77777777" w:rsidTr="008D783A">
        <w:trPr>
          <w:cantSplit/>
        </w:trPr>
        <w:tc>
          <w:tcPr>
            <w:tcW w:w="1080" w:type="dxa"/>
            <w:tcBorders>
              <w:top w:val="single" w:sz="4" w:space="0" w:color="auto"/>
              <w:left w:val="single" w:sz="4" w:space="0" w:color="auto"/>
              <w:bottom w:val="single" w:sz="4" w:space="0" w:color="auto"/>
              <w:right w:val="single" w:sz="4" w:space="0" w:color="auto"/>
            </w:tcBorders>
          </w:tcPr>
          <w:p w14:paraId="2782C799" w14:textId="77777777" w:rsidR="00ED3511" w:rsidRPr="001B4A02" w:rsidRDefault="00000000" w:rsidP="00ED48A3">
            <w:pPr>
              <w:keepNext/>
              <w:ind w:left="0" w:firstLine="0"/>
              <w:rPr>
                <w:szCs w:val="22"/>
              </w:rPr>
            </w:pPr>
            <w:r w:rsidRPr="001B4A02">
              <w:rPr>
                <w:szCs w:val="22"/>
              </w:rPr>
              <w:t xml:space="preserve">  12 měsíců</w:t>
            </w:r>
          </w:p>
        </w:tc>
        <w:tc>
          <w:tcPr>
            <w:tcW w:w="1456" w:type="dxa"/>
            <w:tcBorders>
              <w:top w:val="single" w:sz="4" w:space="0" w:color="auto"/>
              <w:left w:val="single" w:sz="4" w:space="0" w:color="auto"/>
              <w:bottom w:val="single" w:sz="4" w:space="0" w:color="auto"/>
              <w:right w:val="single" w:sz="4" w:space="0" w:color="auto"/>
            </w:tcBorders>
          </w:tcPr>
          <w:p w14:paraId="5F2FFFC3" w14:textId="77777777" w:rsidR="00ED3511" w:rsidRPr="001B4A02" w:rsidRDefault="00000000" w:rsidP="00ED48A3">
            <w:pPr>
              <w:keepNext/>
              <w:ind w:left="0" w:firstLine="0"/>
              <w:jc w:val="center"/>
              <w:rPr>
                <w:szCs w:val="22"/>
              </w:rPr>
            </w:pPr>
            <w:r w:rsidRPr="001B4A02">
              <w:rPr>
                <w:szCs w:val="22"/>
              </w:rPr>
              <w:t>NA</w:t>
            </w:r>
          </w:p>
        </w:tc>
        <w:tc>
          <w:tcPr>
            <w:tcW w:w="1559" w:type="dxa"/>
            <w:tcBorders>
              <w:top w:val="single" w:sz="4" w:space="0" w:color="auto"/>
              <w:left w:val="single" w:sz="4" w:space="0" w:color="auto"/>
              <w:bottom w:val="single" w:sz="4" w:space="0" w:color="auto"/>
              <w:right w:val="single" w:sz="4" w:space="0" w:color="auto"/>
            </w:tcBorders>
          </w:tcPr>
          <w:p w14:paraId="4F73CB1C" w14:textId="77777777" w:rsidR="00ED3511" w:rsidRPr="001B4A02" w:rsidRDefault="00000000" w:rsidP="00ED48A3">
            <w:pPr>
              <w:keepNext/>
              <w:ind w:left="0" w:firstLine="0"/>
              <w:jc w:val="center"/>
              <w:rPr>
                <w:szCs w:val="22"/>
              </w:rPr>
            </w:pPr>
            <w:r w:rsidRPr="001B4A02">
              <w:rPr>
                <w:szCs w:val="22"/>
              </w:rPr>
              <w:t>NA</w:t>
            </w:r>
          </w:p>
        </w:tc>
        <w:tc>
          <w:tcPr>
            <w:tcW w:w="992" w:type="dxa"/>
            <w:tcBorders>
              <w:top w:val="single" w:sz="4" w:space="0" w:color="auto"/>
              <w:left w:val="single" w:sz="4" w:space="0" w:color="auto"/>
              <w:bottom w:val="single" w:sz="4" w:space="0" w:color="auto"/>
              <w:right w:val="single" w:sz="4" w:space="0" w:color="auto"/>
            </w:tcBorders>
          </w:tcPr>
          <w:p w14:paraId="2843C0E6" w14:textId="77777777" w:rsidR="00ED3511" w:rsidRPr="001B4A02" w:rsidRDefault="00000000" w:rsidP="00ED48A3">
            <w:pPr>
              <w:keepNext/>
              <w:ind w:left="0" w:firstLine="0"/>
              <w:jc w:val="center"/>
              <w:rPr>
                <w:szCs w:val="22"/>
              </w:rPr>
            </w:pPr>
            <w:r w:rsidRPr="001B4A02">
              <w:rPr>
                <w:szCs w:val="22"/>
              </w:rPr>
              <w:t>NA</w:t>
            </w:r>
          </w:p>
        </w:tc>
        <w:tc>
          <w:tcPr>
            <w:tcW w:w="993" w:type="dxa"/>
            <w:tcBorders>
              <w:top w:val="single" w:sz="4" w:space="0" w:color="auto"/>
              <w:left w:val="single" w:sz="4" w:space="0" w:color="auto"/>
              <w:bottom w:val="single" w:sz="4" w:space="0" w:color="auto"/>
              <w:right w:val="single" w:sz="4" w:space="0" w:color="auto"/>
            </w:tcBorders>
          </w:tcPr>
          <w:p w14:paraId="4A4BF538" w14:textId="77777777" w:rsidR="00ED3511" w:rsidRPr="001B4A02" w:rsidRDefault="00000000" w:rsidP="00ED48A3">
            <w:pPr>
              <w:keepNext/>
              <w:ind w:left="0" w:firstLine="0"/>
              <w:jc w:val="center"/>
              <w:rPr>
                <w:szCs w:val="22"/>
              </w:rPr>
            </w:pPr>
            <w:r w:rsidRPr="001B4A02">
              <w:rPr>
                <w:szCs w:val="22"/>
              </w:rPr>
              <w:t>NA</w:t>
            </w:r>
          </w:p>
        </w:tc>
        <w:tc>
          <w:tcPr>
            <w:tcW w:w="1417" w:type="dxa"/>
            <w:tcBorders>
              <w:top w:val="single" w:sz="4" w:space="0" w:color="auto"/>
              <w:left w:val="single" w:sz="4" w:space="0" w:color="auto"/>
              <w:bottom w:val="single" w:sz="4" w:space="0" w:color="auto"/>
              <w:right w:val="single" w:sz="4" w:space="0" w:color="auto"/>
            </w:tcBorders>
          </w:tcPr>
          <w:p w14:paraId="5F0B51FD" w14:textId="77777777" w:rsidR="00ED3511" w:rsidRPr="001B4A02" w:rsidRDefault="00000000" w:rsidP="00ED48A3">
            <w:pPr>
              <w:keepNext/>
              <w:ind w:left="0" w:firstLine="0"/>
              <w:jc w:val="center"/>
              <w:rPr>
                <w:szCs w:val="22"/>
              </w:rPr>
            </w:pPr>
            <w:r w:rsidRPr="001B4A02">
              <w:rPr>
                <w:szCs w:val="22"/>
              </w:rPr>
              <w:t>9,5</w:t>
            </w:r>
            <w:r w:rsidR="00673D53" w:rsidRPr="001B4A02">
              <w:rPr>
                <w:szCs w:val="22"/>
              </w:rPr>
              <w:t> </w:t>
            </w:r>
            <w:r w:rsidRPr="001B4A02">
              <w:rPr>
                <w:szCs w:val="22"/>
              </w:rPr>
              <w:t>%</w:t>
            </w:r>
          </w:p>
        </w:tc>
        <w:tc>
          <w:tcPr>
            <w:tcW w:w="1627" w:type="dxa"/>
            <w:tcBorders>
              <w:top w:val="single" w:sz="4" w:space="0" w:color="auto"/>
              <w:left w:val="single" w:sz="4" w:space="0" w:color="auto"/>
              <w:bottom w:val="single" w:sz="4" w:space="0" w:color="auto"/>
              <w:right w:val="single" w:sz="4" w:space="0" w:color="auto"/>
            </w:tcBorders>
          </w:tcPr>
          <w:p w14:paraId="50553F49" w14:textId="77777777" w:rsidR="00ED3511" w:rsidRPr="001B4A02" w:rsidRDefault="00000000" w:rsidP="00ED48A3">
            <w:pPr>
              <w:keepNext/>
              <w:ind w:left="0" w:firstLine="0"/>
              <w:jc w:val="center"/>
              <w:rPr>
                <w:szCs w:val="22"/>
              </w:rPr>
            </w:pPr>
            <w:r w:rsidRPr="001B4A02">
              <w:rPr>
                <w:szCs w:val="22"/>
              </w:rPr>
              <w:t>41,5</w:t>
            </w:r>
            <w:r w:rsidR="00673D53" w:rsidRPr="001B4A02">
              <w:rPr>
                <w:szCs w:val="22"/>
              </w:rPr>
              <w:t> </w:t>
            </w:r>
            <w:r w:rsidRPr="001B4A02">
              <w:rPr>
                <w:szCs w:val="22"/>
              </w:rPr>
              <w:t>%</w:t>
            </w:r>
          </w:p>
        </w:tc>
      </w:tr>
      <w:tr w:rsidR="00534A2D" w14:paraId="49D42403" w14:textId="77777777" w:rsidTr="008D783A">
        <w:trPr>
          <w:cantSplit/>
        </w:trPr>
        <w:tc>
          <w:tcPr>
            <w:tcW w:w="1080" w:type="dxa"/>
            <w:tcBorders>
              <w:top w:val="single" w:sz="4" w:space="0" w:color="auto"/>
              <w:left w:val="single" w:sz="4" w:space="0" w:color="auto"/>
              <w:bottom w:val="single" w:sz="4" w:space="0" w:color="auto"/>
              <w:right w:val="single" w:sz="4" w:space="0" w:color="auto"/>
            </w:tcBorders>
          </w:tcPr>
          <w:p w14:paraId="7E51D269" w14:textId="77777777" w:rsidR="00ED3511" w:rsidRPr="001B4A02" w:rsidRDefault="00000000" w:rsidP="00ED48A3">
            <w:pPr>
              <w:keepNext/>
              <w:ind w:left="0" w:firstLine="0"/>
              <w:rPr>
                <w:szCs w:val="22"/>
              </w:rPr>
            </w:pPr>
            <w:r w:rsidRPr="001B4A02">
              <w:rPr>
                <w:noProof/>
                <w:szCs w:val="22"/>
                <w:lang w:val="en-US"/>
              </w:rPr>
              <mc:AlternateContent>
                <mc:Choice Requires="wps">
                  <w:drawing>
                    <wp:anchor distT="0" distB="0" distL="114300" distR="114300" simplePos="0" relativeHeight="251662336" behindDoc="0" locked="0" layoutInCell="0" allowOverlap="1" wp14:anchorId="64CC12DF" wp14:editId="03FCDDB1">
                      <wp:simplePos x="0" y="0"/>
                      <wp:positionH relativeFrom="column">
                        <wp:posOffset>-4972050</wp:posOffset>
                      </wp:positionH>
                      <wp:positionV relativeFrom="paragraph">
                        <wp:posOffset>38735</wp:posOffset>
                      </wp:positionV>
                      <wp:extent cx="3543300" cy="34290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2909D" w14:textId="77777777" w:rsidR="008F1B0E" w:rsidRDefault="008F1B0E" w:rsidP="00ED3511">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4CC12DF" id="Text Box 14" o:spid="_x0000_s1030" type="#_x0000_t202" style="position:absolute;margin-left:-391.5pt;margin-top:3.05pt;width:279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" o:allowincell="f" stroked="f">
                      <v:textbox>
                        <w:txbxContent>
                          <w:p w14:paraId="23A2909D" w14:textId="77777777" w:rsidR="008F1B0E" w:rsidRDefault="008F1B0E" w:rsidP="00ED3511">
                            <w:pPr>
                              <w:rPr>
                                <w:sz w:val="20"/>
                              </w:rPr>
                            </w:pPr>
                          </w:p>
                        </w:txbxContent>
                      </v:textbox>
                    </v:shape>
                  </w:pict>
                </mc:Fallback>
              </mc:AlternateContent>
            </w:r>
            <w:r w:rsidR="00ED3511" w:rsidRPr="001B4A02">
              <w:rPr>
                <w:szCs w:val="22"/>
              </w:rPr>
              <w:t>ACR 70</w:t>
            </w:r>
          </w:p>
        </w:tc>
        <w:tc>
          <w:tcPr>
            <w:tcW w:w="1456" w:type="dxa"/>
            <w:tcBorders>
              <w:top w:val="single" w:sz="4" w:space="0" w:color="auto"/>
              <w:left w:val="single" w:sz="4" w:space="0" w:color="auto"/>
              <w:bottom w:val="single" w:sz="4" w:space="0" w:color="auto"/>
              <w:right w:val="single" w:sz="4" w:space="0" w:color="auto"/>
            </w:tcBorders>
          </w:tcPr>
          <w:p w14:paraId="2401F6C4" w14:textId="77777777" w:rsidR="00ED3511" w:rsidRPr="001B4A02" w:rsidRDefault="00ED3511" w:rsidP="00ED48A3">
            <w:pPr>
              <w:keepNext/>
              <w:ind w:left="0" w:firstLine="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14:paraId="7A6470FA" w14:textId="77777777" w:rsidR="00ED3511" w:rsidRPr="001B4A02" w:rsidRDefault="00ED3511" w:rsidP="00ED48A3">
            <w:pPr>
              <w:keepNext/>
              <w:ind w:left="0" w:firstLine="0"/>
              <w:jc w:val="center"/>
              <w:rPr>
                <w:szCs w:val="22"/>
              </w:rPr>
            </w:pPr>
          </w:p>
        </w:tc>
        <w:tc>
          <w:tcPr>
            <w:tcW w:w="992" w:type="dxa"/>
            <w:tcBorders>
              <w:top w:val="single" w:sz="4" w:space="0" w:color="auto"/>
              <w:left w:val="single" w:sz="4" w:space="0" w:color="auto"/>
              <w:bottom w:val="single" w:sz="4" w:space="0" w:color="auto"/>
              <w:right w:val="single" w:sz="4" w:space="0" w:color="auto"/>
            </w:tcBorders>
          </w:tcPr>
          <w:p w14:paraId="7A4F145D" w14:textId="77777777" w:rsidR="00ED3511" w:rsidRPr="001B4A02" w:rsidRDefault="00ED3511" w:rsidP="00ED48A3">
            <w:pPr>
              <w:keepNext/>
              <w:ind w:left="0" w:firstLine="0"/>
              <w:jc w:val="center"/>
              <w:rPr>
                <w:szCs w:val="22"/>
              </w:rPr>
            </w:pPr>
          </w:p>
        </w:tc>
        <w:tc>
          <w:tcPr>
            <w:tcW w:w="993" w:type="dxa"/>
            <w:tcBorders>
              <w:top w:val="single" w:sz="4" w:space="0" w:color="auto"/>
              <w:left w:val="single" w:sz="4" w:space="0" w:color="auto"/>
              <w:bottom w:val="single" w:sz="4" w:space="0" w:color="auto"/>
              <w:right w:val="single" w:sz="4" w:space="0" w:color="auto"/>
            </w:tcBorders>
          </w:tcPr>
          <w:p w14:paraId="46CD2334" w14:textId="77777777" w:rsidR="00ED3511" w:rsidRPr="001B4A02" w:rsidRDefault="00ED3511" w:rsidP="00ED48A3">
            <w:pPr>
              <w:keepNext/>
              <w:ind w:left="0" w:firstLine="0"/>
              <w:jc w:val="center"/>
              <w:rPr>
                <w:szCs w:val="22"/>
              </w:rPr>
            </w:pPr>
          </w:p>
        </w:tc>
        <w:tc>
          <w:tcPr>
            <w:tcW w:w="1417" w:type="dxa"/>
            <w:tcBorders>
              <w:top w:val="single" w:sz="4" w:space="0" w:color="auto"/>
              <w:left w:val="single" w:sz="4" w:space="0" w:color="auto"/>
              <w:bottom w:val="single" w:sz="4" w:space="0" w:color="auto"/>
              <w:right w:val="single" w:sz="4" w:space="0" w:color="auto"/>
            </w:tcBorders>
          </w:tcPr>
          <w:p w14:paraId="46CC5FA0" w14:textId="77777777" w:rsidR="00ED3511" w:rsidRPr="001B4A02" w:rsidRDefault="00ED3511" w:rsidP="00ED48A3">
            <w:pPr>
              <w:keepNext/>
              <w:ind w:left="0" w:firstLine="0"/>
              <w:jc w:val="center"/>
              <w:rPr>
                <w:szCs w:val="22"/>
              </w:rPr>
            </w:pPr>
          </w:p>
        </w:tc>
        <w:tc>
          <w:tcPr>
            <w:tcW w:w="1627" w:type="dxa"/>
            <w:tcBorders>
              <w:top w:val="single" w:sz="4" w:space="0" w:color="auto"/>
              <w:left w:val="single" w:sz="4" w:space="0" w:color="auto"/>
              <w:bottom w:val="single" w:sz="4" w:space="0" w:color="auto"/>
              <w:right w:val="single" w:sz="4" w:space="0" w:color="auto"/>
            </w:tcBorders>
          </w:tcPr>
          <w:p w14:paraId="297D5FE2" w14:textId="77777777" w:rsidR="00ED3511" w:rsidRPr="001B4A02" w:rsidRDefault="00ED3511" w:rsidP="00ED48A3">
            <w:pPr>
              <w:keepNext/>
              <w:ind w:left="0" w:firstLine="0"/>
              <w:jc w:val="center"/>
              <w:rPr>
                <w:szCs w:val="22"/>
              </w:rPr>
            </w:pPr>
          </w:p>
        </w:tc>
      </w:tr>
      <w:tr w:rsidR="00534A2D" w14:paraId="7BFD7FDA" w14:textId="77777777" w:rsidTr="008D783A">
        <w:trPr>
          <w:cantSplit/>
        </w:trPr>
        <w:tc>
          <w:tcPr>
            <w:tcW w:w="1080" w:type="dxa"/>
            <w:tcBorders>
              <w:top w:val="single" w:sz="4" w:space="0" w:color="auto"/>
              <w:left w:val="single" w:sz="4" w:space="0" w:color="auto"/>
              <w:bottom w:val="single" w:sz="4" w:space="0" w:color="auto"/>
              <w:right w:val="single" w:sz="4" w:space="0" w:color="auto"/>
            </w:tcBorders>
          </w:tcPr>
          <w:p w14:paraId="6A7668CB" w14:textId="77777777" w:rsidR="00ED3511" w:rsidRPr="001B4A02" w:rsidRDefault="00000000" w:rsidP="00ED48A3">
            <w:pPr>
              <w:keepNext/>
              <w:ind w:left="0" w:firstLine="0"/>
              <w:rPr>
                <w:szCs w:val="22"/>
              </w:rPr>
            </w:pPr>
            <w:r w:rsidRPr="001B4A02">
              <w:rPr>
                <w:szCs w:val="22"/>
              </w:rPr>
              <w:t xml:space="preserve">  6 měsíců</w:t>
            </w:r>
          </w:p>
        </w:tc>
        <w:tc>
          <w:tcPr>
            <w:tcW w:w="1456" w:type="dxa"/>
            <w:tcBorders>
              <w:top w:val="single" w:sz="4" w:space="0" w:color="auto"/>
              <w:left w:val="single" w:sz="4" w:space="0" w:color="auto"/>
              <w:bottom w:val="single" w:sz="4" w:space="0" w:color="auto"/>
              <w:right w:val="single" w:sz="4" w:space="0" w:color="auto"/>
            </w:tcBorders>
          </w:tcPr>
          <w:p w14:paraId="5B9F2E8D" w14:textId="77777777" w:rsidR="00ED3511" w:rsidRPr="001B4A02" w:rsidRDefault="00000000" w:rsidP="00ED48A3">
            <w:pPr>
              <w:keepNext/>
              <w:ind w:left="0" w:firstLine="0"/>
              <w:jc w:val="center"/>
              <w:rPr>
                <w:szCs w:val="22"/>
              </w:rPr>
            </w:pPr>
            <w:r w:rsidRPr="001B4A02">
              <w:rPr>
                <w:szCs w:val="22"/>
              </w:rPr>
              <w:t>3,3</w:t>
            </w:r>
            <w:r w:rsidR="00673D53" w:rsidRPr="001B4A02">
              <w:rPr>
                <w:szCs w:val="22"/>
              </w:rPr>
              <w:t> </w:t>
            </w:r>
            <w:r w:rsidRPr="001B4A02">
              <w:rPr>
                <w:szCs w:val="22"/>
              </w:rPr>
              <w:t>%</w:t>
            </w:r>
          </w:p>
        </w:tc>
        <w:tc>
          <w:tcPr>
            <w:tcW w:w="1559" w:type="dxa"/>
            <w:tcBorders>
              <w:top w:val="single" w:sz="4" w:space="0" w:color="auto"/>
              <w:left w:val="single" w:sz="4" w:space="0" w:color="auto"/>
              <w:bottom w:val="single" w:sz="4" w:space="0" w:color="auto"/>
              <w:right w:val="single" w:sz="4" w:space="0" w:color="auto"/>
            </w:tcBorders>
          </w:tcPr>
          <w:p w14:paraId="04C9CC44" w14:textId="77777777" w:rsidR="00ED3511" w:rsidRPr="001B4A02" w:rsidRDefault="00000000" w:rsidP="00ED48A3">
            <w:pPr>
              <w:keepNext/>
              <w:ind w:left="0" w:firstLine="0"/>
              <w:jc w:val="center"/>
              <w:rPr>
                <w:szCs w:val="22"/>
              </w:rPr>
            </w:pPr>
            <w:r w:rsidRPr="001B4A02">
              <w:rPr>
                <w:szCs w:val="22"/>
              </w:rPr>
              <w:t>23,8</w:t>
            </w:r>
            <w:r w:rsidR="00673D53" w:rsidRPr="001B4A02">
              <w:rPr>
                <w:szCs w:val="22"/>
              </w:rPr>
              <w:t> </w:t>
            </w:r>
            <w:r w:rsidRPr="001B4A02">
              <w:rPr>
                <w:szCs w:val="22"/>
              </w:rPr>
              <w:t>%</w:t>
            </w:r>
          </w:p>
        </w:tc>
        <w:tc>
          <w:tcPr>
            <w:tcW w:w="992" w:type="dxa"/>
            <w:tcBorders>
              <w:top w:val="single" w:sz="4" w:space="0" w:color="auto"/>
              <w:left w:val="single" w:sz="4" w:space="0" w:color="auto"/>
              <w:bottom w:val="single" w:sz="4" w:space="0" w:color="auto"/>
              <w:right w:val="single" w:sz="4" w:space="0" w:color="auto"/>
            </w:tcBorders>
          </w:tcPr>
          <w:p w14:paraId="4CADF58A" w14:textId="77777777" w:rsidR="00ED3511" w:rsidRPr="001B4A02" w:rsidRDefault="00000000" w:rsidP="00ED48A3">
            <w:pPr>
              <w:keepNext/>
              <w:ind w:left="0" w:firstLine="0"/>
              <w:jc w:val="center"/>
              <w:rPr>
                <w:szCs w:val="22"/>
              </w:rPr>
            </w:pPr>
            <w:r w:rsidRPr="001B4A02">
              <w:rPr>
                <w:szCs w:val="22"/>
              </w:rPr>
              <w:t>1,8</w:t>
            </w:r>
            <w:r w:rsidR="00673D53" w:rsidRPr="001B4A02">
              <w:rPr>
                <w:szCs w:val="22"/>
              </w:rPr>
              <w:t> </w:t>
            </w:r>
            <w:r w:rsidRPr="001B4A02">
              <w:rPr>
                <w:szCs w:val="22"/>
              </w:rPr>
              <w:t>%</w:t>
            </w:r>
          </w:p>
        </w:tc>
        <w:tc>
          <w:tcPr>
            <w:tcW w:w="993" w:type="dxa"/>
            <w:tcBorders>
              <w:top w:val="single" w:sz="4" w:space="0" w:color="auto"/>
              <w:left w:val="single" w:sz="4" w:space="0" w:color="auto"/>
              <w:bottom w:val="single" w:sz="4" w:space="0" w:color="auto"/>
              <w:right w:val="single" w:sz="4" w:space="0" w:color="auto"/>
            </w:tcBorders>
          </w:tcPr>
          <w:p w14:paraId="48B188BF" w14:textId="77777777" w:rsidR="00ED3511" w:rsidRPr="001B4A02" w:rsidRDefault="00000000" w:rsidP="00ED48A3">
            <w:pPr>
              <w:keepNext/>
              <w:ind w:left="0" w:firstLine="0"/>
              <w:jc w:val="center"/>
              <w:rPr>
                <w:szCs w:val="22"/>
              </w:rPr>
            </w:pPr>
            <w:r w:rsidRPr="001B4A02">
              <w:rPr>
                <w:szCs w:val="22"/>
              </w:rPr>
              <w:t>12,4</w:t>
            </w:r>
            <w:r w:rsidR="00673D53" w:rsidRPr="001B4A02">
              <w:rPr>
                <w:szCs w:val="22"/>
              </w:rPr>
              <w:t> </w:t>
            </w:r>
            <w:r w:rsidRPr="001B4A02">
              <w:rPr>
                <w:szCs w:val="22"/>
              </w:rPr>
              <w:t>%</w:t>
            </w:r>
          </w:p>
        </w:tc>
        <w:tc>
          <w:tcPr>
            <w:tcW w:w="1417" w:type="dxa"/>
            <w:tcBorders>
              <w:top w:val="single" w:sz="4" w:space="0" w:color="auto"/>
              <w:left w:val="single" w:sz="4" w:space="0" w:color="auto"/>
              <w:bottom w:val="single" w:sz="4" w:space="0" w:color="auto"/>
              <w:right w:val="single" w:sz="4" w:space="0" w:color="auto"/>
            </w:tcBorders>
          </w:tcPr>
          <w:p w14:paraId="5DD7EA84" w14:textId="77777777" w:rsidR="00ED3511" w:rsidRPr="001B4A02" w:rsidRDefault="00000000" w:rsidP="00ED48A3">
            <w:pPr>
              <w:keepNext/>
              <w:ind w:left="0" w:firstLine="0"/>
              <w:jc w:val="center"/>
              <w:rPr>
                <w:szCs w:val="22"/>
              </w:rPr>
            </w:pPr>
            <w:r w:rsidRPr="001B4A02">
              <w:rPr>
                <w:szCs w:val="22"/>
              </w:rPr>
              <w:t>2,5</w:t>
            </w:r>
            <w:r w:rsidR="00673D53" w:rsidRPr="001B4A02">
              <w:rPr>
                <w:szCs w:val="22"/>
              </w:rPr>
              <w:t> </w:t>
            </w:r>
            <w:r w:rsidRPr="001B4A02">
              <w:rPr>
                <w:szCs w:val="22"/>
              </w:rPr>
              <w:t>%</w:t>
            </w:r>
          </w:p>
        </w:tc>
        <w:tc>
          <w:tcPr>
            <w:tcW w:w="1627" w:type="dxa"/>
            <w:tcBorders>
              <w:top w:val="single" w:sz="4" w:space="0" w:color="auto"/>
              <w:left w:val="single" w:sz="4" w:space="0" w:color="auto"/>
              <w:bottom w:val="single" w:sz="4" w:space="0" w:color="auto"/>
              <w:right w:val="single" w:sz="4" w:space="0" w:color="auto"/>
            </w:tcBorders>
          </w:tcPr>
          <w:p w14:paraId="3F4CAFB5" w14:textId="77777777" w:rsidR="00ED3511" w:rsidRPr="001B4A02" w:rsidRDefault="00000000" w:rsidP="00ED48A3">
            <w:pPr>
              <w:keepNext/>
              <w:ind w:left="0" w:firstLine="0"/>
              <w:jc w:val="center"/>
              <w:rPr>
                <w:szCs w:val="22"/>
              </w:rPr>
            </w:pPr>
            <w:r w:rsidRPr="001B4A02">
              <w:rPr>
                <w:szCs w:val="22"/>
              </w:rPr>
              <w:t>20,8</w:t>
            </w:r>
            <w:r w:rsidR="00673D53" w:rsidRPr="001B4A02">
              <w:rPr>
                <w:szCs w:val="22"/>
              </w:rPr>
              <w:t> </w:t>
            </w:r>
            <w:r w:rsidRPr="001B4A02">
              <w:rPr>
                <w:szCs w:val="22"/>
              </w:rPr>
              <w:t>%</w:t>
            </w:r>
          </w:p>
        </w:tc>
      </w:tr>
      <w:tr w:rsidR="00534A2D" w14:paraId="724AB641" w14:textId="77777777" w:rsidTr="008D783A">
        <w:trPr>
          <w:cantSplit/>
        </w:trPr>
        <w:tc>
          <w:tcPr>
            <w:tcW w:w="1080" w:type="dxa"/>
            <w:tcBorders>
              <w:top w:val="single" w:sz="4" w:space="0" w:color="auto"/>
              <w:left w:val="single" w:sz="4" w:space="0" w:color="auto"/>
              <w:bottom w:val="single" w:sz="4" w:space="0" w:color="auto"/>
              <w:right w:val="single" w:sz="4" w:space="0" w:color="auto"/>
            </w:tcBorders>
          </w:tcPr>
          <w:p w14:paraId="471ECAE0" w14:textId="77777777" w:rsidR="00ED3511" w:rsidRPr="001B4A02" w:rsidRDefault="00000000" w:rsidP="00ED48A3">
            <w:pPr>
              <w:keepNext/>
              <w:ind w:left="0" w:firstLine="0"/>
              <w:rPr>
                <w:szCs w:val="22"/>
              </w:rPr>
            </w:pPr>
            <w:r w:rsidRPr="001B4A02">
              <w:rPr>
                <w:szCs w:val="22"/>
              </w:rPr>
              <w:t xml:space="preserve">  12 měsíců</w:t>
            </w:r>
          </w:p>
        </w:tc>
        <w:tc>
          <w:tcPr>
            <w:tcW w:w="1456" w:type="dxa"/>
            <w:tcBorders>
              <w:top w:val="single" w:sz="4" w:space="0" w:color="auto"/>
              <w:left w:val="single" w:sz="4" w:space="0" w:color="auto"/>
              <w:bottom w:val="single" w:sz="4" w:space="0" w:color="auto"/>
              <w:right w:val="single" w:sz="4" w:space="0" w:color="auto"/>
            </w:tcBorders>
          </w:tcPr>
          <w:p w14:paraId="0359D6CF" w14:textId="77777777" w:rsidR="00ED3511" w:rsidRPr="001B4A02" w:rsidRDefault="00000000" w:rsidP="00ED48A3">
            <w:pPr>
              <w:keepNext/>
              <w:ind w:left="0" w:firstLine="0"/>
              <w:jc w:val="center"/>
              <w:rPr>
                <w:szCs w:val="22"/>
              </w:rPr>
            </w:pPr>
            <w:r w:rsidRPr="001B4A02">
              <w:rPr>
                <w:szCs w:val="22"/>
              </w:rPr>
              <w:t>NA</w:t>
            </w:r>
          </w:p>
        </w:tc>
        <w:tc>
          <w:tcPr>
            <w:tcW w:w="1559" w:type="dxa"/>
            <w:tcBorders>
              <w:top w:val="single" w:sz="4" w:space="0" w:color="auto"/>
              <w:left w:val="single" w:sz="4" w:space="0" w:color="auto"/>
              <w:bottom w:val="single" w:sz="4" w:space="0" w:color="auto"/>
              <w:right w:val="single" w:sz="4" w:space="0" w:color="auto"/>
            </w:tcBorders>
          </w:tcPr>
          <w:p w14:paraId="2892781A" w14:textId="77777777" w:rsidR="00ED3511" w:rsidRPr="001B4A02" w:rsidRDefault="00000000" w:rsidP="00ED48A3">
            <w:pPr>
              <w:keepNext/>
              <w:ind w:left="0" w:firstLine="0"/>
              <w:jc w:val="center"/>
              <w:rPr>
                <w:szCs w:val="22"/>
              </w:rPr>
            </w:pPr>
            <w:r w:rsidRPr="001B4A02">
              <w:rPr>
                <w:szCs w:val="22"/>
              </w:rPr>
              <w:t>NA</w:t>
            </w:r>
          </w:p>
        </w:tc>
        <w:tc>
          <w:tcPr>
            <w:tcW w:w="992" w:type="dxa"/>
            <w:tcBorders>
              <w:top w:val="single" w:sz="4" w:space="0" w:color="auto"/>
              <w:left w:val="single" w:sz="4" w:space="0" w:color="auto"/>
              <w:bottom w:val="single" w:sz="4" w:space="0" w:color="auto"/>
              <w:right w:val="single" w:sz="4" w:space="0" w:color="auto"/>
            </w:tcBorders>
          </w:tcPr>
          <w:p w14:paraId="16163A11" w14:textId="77777777" w:rsidR="00ED3511" w:rsidRPr="001B4A02" w:rsidRDefault="00000000" w:rsidP="00ED48A3">
            <w:pPr>
              <w:keepNext/>
              <w:ind w:left="0" w:firstLine="0"/>
              <w:jc w:val="center"/>
              <w:rPr>
                <w:szCs w:val="22"/>
              </w:rPr>
            </w:pPr>
            <w:r w:rsidRPr="001B4A02">
              <w:rPr>
                <w:szCs w:val="22"/>
              </w:rPr>
              <w:t>NA</w:t>
            </w:r>
          </w:p>
        </w:tc>
        <w:tc>
          <w:tcPr>
            <w:tcW w:w="993" w:type="dxa"/>
            <w:tcBorders>
              <w:top w:val="single" w:sz="4" w:space="0" w:color="auto"/>
              <w:left w:val="single" w:sz="4" w:space="0" w:color="auto"/>
              <w:bottom w:val="single" w:sz="4" w:space="0" w:color="auto"/>
              <w:right w:val="single" w:sz="4" w:space="0" w:color="auto"/>
            </w:tcBorders>
          </w:tcPr>
          <w:p w14:paraId="6DBE4FA0" w14:textId="77777777" w:rsidR="00ED3511" w:rsidRPr="001B4A02" w:rsidRDefault="00000000" w:rsidP="00ED48A3">
            <w:pPr>
              <w:keepNext/>
              <w:ind w:left="0" w:firstLine="0"/>
              <w:jc w:val="center"/>
              <w:rPr>
                <w:szCs w:val="22"/>
              </w:rPr>
            </w:pPr>
            <w:r w:rsidRPr="001B4A02">
              <w:rPr>
                <w:szCs w:val="22"/>
              </w:rPr>
              <w:t>NA</w:t>
            </w:r>
          </w:p>
        </w:tc>
        <w:tc>
          <w:tcPr>
            <w:tcW w:w="1417" w:type="dxa"/>
            <w:tcBorders>
              <w:top w:val="single" w:sz="4" w:space="0" w:color="auto"/>
              <w:left w:val="single" w:sz="4" w:space="0" w:color="auto"/>
              <w:bottom w:val="single" w:sz="4" w:space="0" w:color="auto"/>
              <w:right w:val="single" w:sz="4" w:space="0" w:color="auto"/>
            </w:tcBorders>
          </w:tcPr>
          <w:p w14:paraId="3901A8D5" w14:textId="77777777" w:rsidR="00ED3511" w:rsidRPr="001B4A02" w:rsidRDefault="00000000" w:rsidP="00ED48A3">
            <w:pPr>
              <w:keepNext/>
              <w:ind w:left="0" w:firstLine="0"/>
              <w:jc w:val="center"/>
              <w:rPr>
                <w:szCs w:val="22"/>
              </w:rPr>
            </w:pPr>
            <w:r w:rsidRPr="001B4A02">
              <w:rPr>
                <w:szCs w:val="22"/>
              </w:rPr>
              <w:t>4,5</w:t>
            </w:r>
            <w:r w:rsidR="00673D53" w:rsidRPr="001B4A02">
              <w:rPr>
                <w:szCs w:val="22"/>
              </w:rPr>
              <w:t> </w:t>
            </w:r>
            <w:r w:rsidRPr="001B4A02">
              <w:rPr>
                <w:szCs w:val="22"/>
              </w:rPr>
              <w:t>%</w:t>
            </w:r>
          </w:p>
        </w:tc>
        <w:tc>
          <w:tcPr>
            <w:tcW w:w="1627" w:type="dxa"/>
            <w:tcBorders>
              <w:top w:val="single" w:sz="4" w:space="0" w:color="auto"/>
              <w:left w:val="single" w:sz="4" w:space="0" w:color="auto"/>
              <w:bottom w:val="single" w:sz="4" w:space="0" w:color="auto"/>
              <w:right w:val="single" w:sz="4" w:space="0" w:color="auto"/>
            </w:tcBorders>
          </w:tcPr>
          <w:p w14:paraId="0FB6C906" w14:textId="77777777" w:rsidR="00ED3511" w:rsidRPr="001B4A02" w:rsidRDefault="00000000" w:rsidP="00ED48A3">
            <w:pPr>
              <w:keepNext/>
              <w:ind w:left="0" w:firstLine="0"/>
              <w:jc w:val="center"/>
              <w:rPr>
                <w:szCs w:val="22"/>
              </w:rPr>
            </w:pPr>
            <w:r w:rsidRPr="001B4A02">
              <w:rPr>
                <w:szCs w:val="22"/>
              </w:rPr>
              <w:t>23,2</w:t>
            </w:r>
            <w:r w:rsidR="00673D53" w:rsidRPr="001B4A02">
              <w:rPr>
                <w:szCs w:val="22"/>
              </w:rPr>
              <w:t> </w:t>
            </w:r>
            <w:r w:rsidRPr="001B4A02">
              <w:rPr>
                <w:szCs w:val="22"/>
              </w:rPr>
              <w:t>%</w:t>
            </w:r>
          </w:p>
        </w:tc>
      </w:tr>
      <w:tr w:rsidR="00534A2D" w14:paraId="1044E5C6" w14:textId="77777777" w:rsidTr="008D783A">
        <w:trPr>
          <w:cantSplit/>
        </w:trPr>
        <w:tc>
          <w:tcPr>
            <w:tcW w:w="9124" w:type="dxa"/>
            <w:gridSpan w:val="7"/>
            <w:tcBorders>
              <w:top w:val="single" w:sz="4" w:space="0" w:color="auto"/>
            </w:tcBorders>
          </w:tcPr>
          <w:p w14:paraId="373EDBF7" w14:textId="77777777" w:rsidR="00ED3511" w:rsidRPr="001B4A02" w:rsidRDefault="00000000" w:rsidP="00ED48A3">
            <w:pPr>
              <w:keepNext/>
              <w:ind w:left="0" w:firstLine="0"/>
              <w:rPr>
                <w:sz w:val="20"/>
              </w:rPr>
            </w:pPr>
            <w:r w:rsidRPr="001B4A02">
              <w:rPr>
                <w:szCs w:val="22"/>
                <w:vertAlign w:val="superscript"/>
              </w:rPr>
              <w:t>a</w:t>
            </w:r>
            <w:r w:rsidRPr="001B4A02">
              <w:rPr>
                <w:szCs w:val="22"/>
              </w:rPr>
              <w:t xml:space="preserve"> </w:t>
            </w:r>
            <w:r w:rsidRPr="001B4A02">
              <w:rPr>
                <w:sz w:val="20"/>
              </w:rPr>
              <w:t>Studie RA I za 24 týdnů, Studie RA II za 26 týdnů</w:t>
            </w:r>
            <w:r w:rsidR="002378E0">
              <w:rPr>
                <w:sz w:val="20"/>
              </w:rPr>
              <w:t xml:space="preserve"> a </w:t>
            </w:r>
            <w:r w:rsidRPr="001B4A02">
              <w:rPr>
                <w:sz w:val="20"/>
              </w:rPr>
              <w:t>Studie RA III za 24</w:t>
            </w:r>
            <w:r w:rsidR="002378E0">
              <w:rPr>
                <w:sz w:val="20"/>
              </w:rPr>
              <w:t xml:space="preserve"> a </w:t>
            </w:r>
            <w:r w:rsidRPr="001B4A02">
              <w:rPr>
                <w:sz w:val="20"/>
              </w:rPr>
              <w:t>52 týdnů</w:t>
            </w:r>
          </w:p>
          <w:p w14:paraId="0189726B" w14:textId="77777777" w:rsidR="00ED3511" w:rsidRPr="001B4A02" w:rsidRDefault="00000000" w:rsidP="00ED48A3">
            <w:pPr>
              <w:keepNext/>
              <w:ind w:left="0" w:firstLine="0"/>
              <w:rPr>
                <w:sz w:val="20"/>
              </w:rPr>
            </w:pPr>
            <w:r w:rsidRPr="001B4A02">
              <w:rPr>
                <w:sz w:val="20"/>
                <w:vertAlign w:val="superscript"/>
              </w:rPr>
              <w:t>b</w:t>
            </w:r>
            <w:r w:rsidRPr="001B4A02">
              <w:rPr>
                <w:sz w:val="20"/>
              </w:rPr>
              <w:t xml:space="preserve"> přípravek Humira 40 mg podávaný každý druhý týden</w:t>
            </w:r>
          </w:p>
          <w:p w14:paraId="10F724A0" w14:textId="77777777" w:rsidR="00ED3511" w:rsidRPr="001B4A02" w:rsidRDefault="00000000" w:rsidP="00ED48A3">
            <w:pPr>
              <w:keepNext/>
              <w:ind w:left="0" w:firstLine="0"/>
              <w:rPr>
                <w:sz w:val="20"/>
              </w:rPr>
            </w:pPr>
            <w:r w:rsidRPr="001B4A02">
              <w:rPr>
                <w:sz w:val="20"/>
                <w:vertAlign w:val="superscript"/>
              </w:rPr>
              <w:t>c</w:t>
            </w:r>
            <w:r w:rsidRPr="001B4A02">
              <w:rPr>
                <w:sz w:val="20"/>
              </w:rPr>
              <w:t xml:space="preserve"> MTX = methotrexát</w:t>
            </w:r>
          </w:p>
          <w:p w14:paraId="7444D8FA" w14:textId="77777777" w:rsidR="00ED3511" w:rsidRPr="001B4A02" w:rsidRDefault="00000000" w:rsidP="00ED48A3">
            <w:pPr>
              <w:keepNext/>
              <w:ind w:left="0" w:firstLine="0"/>
              <w:rPr>
                <w:szCs w:val="22"/>
              </w:rPr>
            </w:pPr>
            <w:r w:rsidRPr="001B4A02">
              <w:rPr>
                <w:sz w:val="20"/>
              </w:rPr>
              <w:t xml:space="preserve">**p&lt;0,01, </w:t>
            </w:r>
            <w:r w:rsidR="004C58C9" w:rsidRPr="001B4A02">
              <w:rPr>
                <w:sz w:val="20"/>
              </w:rPr>
              <w:t xml:space="preserve">přípravek </w:t>
            </w:r>
            <w:r w:rsidRPr="001B4A02">
              <w:rPr>
                <w:sz w:val="20"/>
              </w:rPr>
              <w:t>Humira versus placebo</w:t>
            </w:r>
          </w:p>
        </w:tc>
      </w:tr>
    </w:tbl>
    <w:p w14:paraId="3E2F8ADC" w14:textId="77777777" w:rsidR="00ED3511" w:rsidRPr="001B4A02" w:rsidRDefault="00ED3511" w:rsidP="00A03600">
      <w:pPr>
        <w:ind w:left="0" w:firstLine="0"/>
      </w:pPr>
    </w:p>
    <w:p w14:paraId="40EF0106" w14:textId="77777777" w:rsidR="00ED3511" w:rsidRPr="001B4A02" w:rsidRDefault="00000000" w:rsidP="00ED48A3">
      <w:pPr>
        <w:ind w:left="0" w:firstLine="0"/>
      </w:pPr>
      <w:r w:rsidRPr="001B4A02">
        <w:t>Ve studiích RA I</w:t>
      </w:r>
      <w:r w:rsidR="000E3459" w:rsidRPr="001B4A02">
        <w:t>–</w:t>
      </w:r>
      <w:r w:rsidRPr="001B4A02">
        <w:t>IV došlo po 24</w:t>
      </w:r>
      <w:r w:rsidR="002378E0">
        <w:t xml:space="preserve"> a </w:t>
      </w:r>
      <w:r w:rsidRPr="001B4A02">
        <w:t>26 týdnech léčby v porovnání s placebem ke zlepšení všech jednotlivých složek kritérií odpovědi ACR (počet bolestivých</w:t>
      </w:r>
      <w:r w:rsidR="002378E0">
        <w:t xml:space="preserve"> a </w:t>
      </w:r>
      <w:r w:rsidRPr="001B4A02">
        <w:t>oteklých kloubů, hodnocení aktivity onemocnění</w:t>
      </w:r>
      <w:r w:rsidR="002378E0">
        <w:t xml:space="preserve"> a </w:t>
      </w:r>
      <w:r w:rsidRPr="001B4A02">
        <w:t>bolesti lékařem</w:t>
      </w:r>
      <w:r w:rsidR="002378E0">
        <w:t xml:space="preserve"> a </w:t>
      </w:r>
      <w:r w:rsidRPr="001B4A02">
        <w:t>pacientem, skóre indexu disability (HAQ)</w:t>
      </w:r>
      <w:r w:rsidR="002378E0">
        <w:t xml:space="preserve"> a </w:t>
      </w:r>
      <w:r w:rsidRPr="001B4A02">
        <w:t>hodnoty CRP (mg/dl)). Ve studii RA III toto zlepšení přetrvávalo po dobu 52 týdnů.</w:t>
      </w:r>
    </w:p>
    <w:p w14:paraId="2C071A9F" w14:textId="77777777" w:rsidR="00ED3511" w:rsidRPr="001B4A02" w:rsidRDefault="00ED3511" w:rsidP="00ED48A3">
      <w:pPr>
        <w:ind w:left="0" w:firstLine="0"/>
        <w:rPr>
          <w:szCs w:val="22"/>
        </w:rPr>
      </w:pPr>
    </w:p>
    <w:p w14:paraId="27951EA1" w14:textId="77777777" w:rsidR="00ED3511" w:rsidRPr="001B4A02" w:rsidRDefault="00000000" w:rsidP="00ED48A3">
      <w:pPr>
        <w:ind w:left="0" w:firstLine="0"/>
      </w:pPr>
      <w:r w:rsidRPr="001B4A02">
        <w:rPr>
          <w:szCs w:val="22"/>
        </w:rPr>
        <w:t xml:space="preserve">V otevřené prodloužené </w:t>
      </w:r>
      <w:r w:rsidRPr="00FA0236">
        <w:rPr>
          <w:szCs w:val="22"/>
        </w:rPr>
        <w:t xml:space="preserve">studii </w:t>
      </w:r>
      <w:r w:rsidR="008F65F8" w:rsidRPr="00FA0236">
        <w:rPr>
          <w:szCs w:val="22"/>
        </w:rPr>
        <w:t>RA III</w:t>
      </w:r>
      <w:r w:rsidRPr="00FA0236">
        <w:rPr>
          <w:szCs w:val="22"/>
        </w:rPr>
        <w:t xml:space="preserve"> si většina</w:t>
      </w:r>
      <w:r w:rsidRPr="001B4A02">
        <w:rPr>
          <w:szCs w:val="22"/>
        </w:rPr>
        <w:t xml:space="preserve"> pacientů, kteří dosáhli odpovědi dle ACR, udržela odpověď v trvání až 10 let. Z celkového počtu 207 pacientů, kteří byli randomizováni na </w:t>
      </w:r>
      <w:r w:rsidR="00140D08" w:rsidRPr="001B4A02">
        <w:rPr>
          <w:szCs w:val="22"/>
        </w:rPr>
        <w:t xml:space="preserve">přípravek </w:t>
      </w:r>
      <w:r w:rsidR="00062315" w:rsidRPr="001B4A02">
        <w:rPr>
          <w:szCs w:val="22"/>
        </w:rPr>
        <w:t>Humir</w:t>
      </w:r>
      <w:r w:rsidR="00140D08" w:rsidRPr="001B4A02">
        <w:rPr>
          <w:szCs w:val="22"/>
        </w:rPr>
        <w:t>a</w:t>
      </w:r>
      <w:r w:rsidR="00062315" w:rsidRPr="001B4A02">
        <w:rPr>
          <w:szCs w:val="22"/>
        </w:rPr>
        <w:t xml:space="preserve"> 40</w:t>
      </w:r>
      <w:r w:rsidR="00F365E7">
        <w:rPr>
          <w:szCs w:val="22"/>
        </w:rPr>
        <w:t> mg</w:t>
      </w:r>
      <w:r w:rsidR="00062315" w:rsidRPr="001B4A02">
        <w:rPr>
          <w:szCs w:val="22"/>
        </w:rPr>
        <w:t xml:space="preserve"> každý druhý týden,</w:t>
      </w:r>
      <w:r w:rsidRPr="001B4A02">
        <w:rPr>
          <w:szCs w:val="22"/>
        </w:rPr>
        <w:t xml:space="preserve"> jich 114 pokračovalo v léčbě přípravkem Humira ka</w:t>
      </w:r>
      <w:r w:rsidR="00062315" w:rsidRPr="001B4A02">
        <w:rPr>
          <w:szCs w:val="22"/>
        </w:rPr>
        <w:t xml:space="preserve">ždý druhý týden po dobu 5 let. </w:t>
      </w:r>
      <w:r w:rsidRPr="001B4A02">
        <w:rPr>
          <w:szCs w:val="22"/>
        </w:rPr>
        <w:t>Z těchto pacientů 86 (75,4</w:t>
      </w:r>
      <w:r w:rsidR="006008CB">
        <w:rPr>
          <w:szCs w:val="22"/>
        </w:rPr>
        <w:t> %</w:t>
      </w:r>
      <w:r w:rsidRPr="001B4A02">
        <w:rPr>
          <w:szCs w:val="22"/>
        </w:rPr>
        <w:t>) dosáhlo odpovědi ACR</w:t>
      </w:r>
      <w:r w:rsidR="00140D08" w:rsidRPr="001B4A02">
        <w:rPr>
          <w:szCs w:val="22"/>
        </w:rPr>
        <w:t xml:space="preserve"> </w:t>
      </w:r>
      <w:r w:rsidRPr="001B4A02">
        <w:rPr>
          <w:szCs w:val="22"/>
        </w:rPr>
        <w:t>20; 72 pacientů (63,2</w:t>
      </w:r>
      <w:r w:rsidR="006008CB">
        <w:rPr>
          <w:szCs w:val="22"/>
        </w:rPr>
        <w:t> %</w:t>
      </w:r>
      <w:r w:rsidRPr="001B4A02">
        <w:rPr>
          <w:szCs w:val="22"/>
        </w:rPr>
        <w:t>) dosáhlo odpovědi ACR 50</w:t>
      </w:r>
      <w:r w:rsidR="002378E0">
        <w:rPr>
          <w:szCs w:val="22"/>
        </w:rPr>
        <w:t xml:space="preserve"> a </w:t>
      </w:r>
      <w:r w:rsidRPr="001B4A02">
        <w:rPr>
          <w:szCs w:val="22"/>
        </w:rPr>
        <w:t>41 pacientů (36</w:t>
      </w:r>
      <w:r w:rsidR="006008CB">
        <w:rPr>
          <w:szCs w:val="22"/>
        </w:rPr>
        <w:t> %</w:t>
      </w:r>
      <w:r w:rsidRPr="001B4A02">
        <w:rPr>
          <w:szCs w:val="22"/>
        </w:rPr>
        <w:t>) dosáhlo odpovědi ACR 70. Z celkového počtu 207 pacientů jich 81 pokračovalo v léčbě přípravkem Humira v dávce 40</w:t>
      </w:r>
      <w:r w:rsidR="00790DEF" w:rsidRPr="001B4A02">
        <w:rPr>
          <w:szCs w:val="22"/>
        </w:rPr>
        <w:t> </w:t>
      </w:r>
      <w:r w:rsidRPr="001B4A02">
        <w:rPr>
          <w:szCs w:val="22"/>
        </w:rPr>
        <w:t>mg každý druhý týden po dobu 10 let. Mezi těmito dosáhlo 64 pacientů (79</w:t>
      </w:r>
      <w:r w:rsidR="006008CB">
        <w:rPr>
          <w:szCs w:val="22"/>
        </w:rPr>
        <w:t> %</w:t>
      </w:r>
      <w:r w:rsidRPr="001B4A02">
        <w:rPr>
          <w:szCs w:val="22"/>
        </w:rPr>
        <w:t>) odpovědi ACR 20, 56 pacientů (69,1</w:t>
      </w:r>
      <w:r w:rsidR="00DA6955">
        <w:rPr>
          <w:szCs w:val="22"/>
        </w:rPr>
        <w:t> </w:t>
      </w:r>
      <w:r w:rsidRPr="001B4A02">
        <w:rPr>
          <w:szCs w:val="22"/>
        </w:rPr>
        <w:t>%) dosáhlo odpovědi ACR 50</w:t>
      </w:r>
      <w:r w:rsidR="002378E0">
        <w:rPr>
          <w:szCs w:val="22"/>
        </w:rPr>
        <w:t xml:space="preserve"> a </w:t>
      </w:r>
      <w:r w:rsidRPr="001B4A02">
        <w:rPr>
          <w:szCs w:val="22"/>
        </w:rPr>
        <w:t>43 pacientů (53,1</w:t>
      </w:r>
      <w:r w:rsidR="006008CB">
        <w:rPr>
          <w:szCs w:val="22"/>
        </w:rPr>
        <w:t> %</w:t>
      </w:r>
      <w:r w:rsidRPr="001B4A02">
        <w:rPr>
          <w:szCs w:val="22"/>
        </w:rPr>
        <w:t>) dosáhlo odpovědi ACR 70.</w:t>
      </w:r>
    </w:p>
    <w:p w14:paraId="1EC4CA4D" w14:textId="77777777" w:rsidR="00ED3511" w:rsidRPr="001B4A02" w:rsidRDefault="00ED3511" w:rsidP="00ED48A3">
      <w:pPr>
        <w:ind w:left="0" w:firstLine="0"/>
      </w:pPr>
    </w:p>
    <w:p w14:paraId="7E91AE35" w14:textId="77777777" w:rsidR="00ED3511" w:rsidRPr="001B4A02" w:rsidRDefault="00000000" w:rsidP="00ED48A3">
      <w:pPr>
        <w:ind w:left="0" w:firstLine="0"/>
      </w:pPr>
      <w:r w:rsidRPr="001B4A02">
        <w:t>Ve studii RA IV byla ACR 20 odpověď u pacientů léčených přípravkem Humira</w:t>
      </w:r>
      <w:r w:rsidR="002378E0">
        <w:t xml:space="preserve"> a </w:t>
      </w:r>
      <w:r w:rsidRPr="001B4A02">
        <w:t>standardní léčbou statisticky významně lepší než u</w:t>
      </w:r>
      <w:r w:rsidR="008A5E18" w:rsidRPr="001B4A02">
        <w:t> </w:t>
      </w:r>
      <w:r w:rsidRPr="001B4A02">
        <w:t>pacientů léčených placebem</w:t>
      </w:r>
      <w:r w:rsidR="002378E0">
        <w:t xml:space="preserve"> a </w:t>
      </w:r>
      <w:r w:rsidRPr="001B4A02">
        <w:t>standardní léčbou (p&lt;0,001).</w:t>
      </w:r>
    </w:p>
    <w:p w14:paraId="35D516F9" w14:textId="77777777" w:rsidR="00ED3511" w:rsidRPr="001B4A02" w:rsidRDefault="00ED3511" w:rsidP="00ED48A3">
      <w:pPr>
        <w:ind w:left="0" w:firstLine="0"/>
      </w:pPr>
    </w:p>
    <w:p w14:paraId="4ADF21B4" w14:textId="77777777" w:rsidR="00ED3511" w:rsidRPr="001B4A02" w:rsidRDefault="00000000" w:rsidP="00ED48A3">
      <w:pPr>
        <w:ind w:left="0" w:firstLine="0"/>
        <w:rPr>
          <w:u w:val="single"/>
        </w:rPr>
      </w:pPr>
      <w:r w:rsidRPr="001B4A02">
        <w:t>Ve studiích RA I</w:t>
      </w:r>
      <w:r w:rsidRPr="001B4A02">
        <w:noBreakHyphen/>
      </w:r>
      <w:r w:rsidRPr="001B4A02">
        <w:rPr>
          <w:iCs/>
        </w:rPr>
        <w:t xml:space="preserve">IV </w:t>
      </w:r>
      <w:r w:rsidRPr="001B4A02">
        <w:t>dosáhli pacienti léčení přípravkem Humira statisticky významné odpovědi ACR 20</w:t>
      </w:r>
      <w:r w:rsidR="002378E0">
        <w:t xml:space="preserve"> a </w:t>
      </w:r>
      <w:r w:rsidRPr="001B4A02">
        <w:t>50 v porovnání s placebem již za jeden až dva týdny po zahájení léčby.</w:t>
      </w:r>
      <w:r w:rsidRPr="001B4A02">
        <w:rPr>
          <w:u w:val="single"/>
        </w:rPr>
        <w:t xml:space="preserve"> </w:t>
      </w:r>
    </w:p>
    <w:p w14:paraId="6D1CC8A9" w14:textId="77777777" w:rsidR="00ED3511" w:rsidRPr="001B4A02" w:rsidRDefault="00ED3511" w:rsidP="00ED48A3">
      <w:pPr>
        <w:ind w:left="0" w:firstLine="0"/>
        <w:rPr>
          <w:u w:val="single"/>
        </w:rPr>
      </w:pPr>
    </w:p>
    <w:p w14:paraId="044AE62C" w14:textId="77777777" w:rsidR="00ED3511" w:rsidRPr="001B4A02" w:rsidRDefault="00000000" w:rsidP="00ED48A3">
      <w:pPr>
        <w:pStyle w:val="EMEANormal"/>
        <w:tabs>
          <w:tab w:val="clear" w:pos="562"/>
        </w:tabs>
        <w:suppressAutoHyphens w:val="0"/>
        <w:rPr>
          <w:lang w:val="cs-CZ"/>
        </w:rPr>
      </w:pPr>
      <w:r w:rsidRPr="001B4A02">
        <w:rPr>
          <w:lang w:val="cs-CZ"/>
        </w:rPr>
        <w:t>Ve studii RA V</w:t>
      </w:r>
      <w:r w:rsidR="00D41D1A" w:rsidRPr="001B4A02">
        <w:rPr>
          <w:lang w:val="cs-CZ"/>
        </w:rPr>
        <w:t xml:space="preserve"> </w:t>
      </w:r>
      <w:r w:rsidRPr="001B4A02">
        <w:rPr>
          <w:lang w:val="cs-CZ"/>
        </w:rPr>
        <w:t>u pacientů s časnou revmatoidní artritidou, kteří dosud nebyli léčeni methotrexátem, vedla kombin</w:t>
      </w:r>
      <w:r w:rsidR="009271A3" w:rsidRPr="00F261A6">
        <w:rPr>
          <w:lang w:val="cs-CZ"/>
        </w:rPr>
        <w:t>ovaná</w:t>
      </w:r>
      <w:r w:rsidRPr="001B4A02">
        <w:rPr>
          <w:lang w:val="cs-CZ"/>
        </w:rPr>
        <w:t xml:space="preserve"> léčba přípravkem Humira</w:t>
      </w:r>
      <w:r w:rsidR="002378E0">
        <w:rPr>
          <w:lang w:val="cs-CZ"/>
        </w:rPr>
        <w:t xml:space="preserve"> a </w:t>
      </w:r>
      <w:r w:rsidRPr="001B4A02">
        <w:rPr>
          <w:lang w:val="cs-CZ"/>
        </w:rPr>
        <w:t>methotrexátem k rychlejší</w:t>
      </w:r>
      <w:r w:rsidR="002378E0">
        <w:rPr>
          <w:lang w:val="cs-CZ"/>
        </w:rPr>
        <w:t xml:space="preserve"> a </w:t>
      </w:r>
      <w:r w:rsidRPr="001B4A02">
        <w:rPr>
          <w:lang w:val="cs-CZ"/>
        </w:rPr>
        <w:t>významně větší odpovědi ACR než monoterapie methotrexátem</w:t>
      </w:r>
      <w:r w:rsidR="002378E0">
        <w:rPr>
          <w:lang w:val="cs-CZ"/>
        </w:rPr>
        <w:t xml:space="preserve"> a </w:t>
      </w:r>
      <w:r w:rsidRPr="001B4A02">
        <w:rPr>
          <w:lang w:val="cs-CZ"/>
        </w:rPr>
        <w:t xml:space="preserve">monoterapie přípravkem Humira </w:t>
      </w:r>
      <w:r w:rsidR="00D00F8F">
        <w:rPr>
          <w:lang w:val="cs-CZ"/>
        </w:rPr>
        <w:t>v</w:t>
      </w:r>
      <w:r w:rsidR="000F04DB">
        <w:rPr>
          <w:lang w:val="cs-CZ"/>
        </w:rPr>
        <w:t> </w:t>
      </w:r>
      <w:r w:rsidR="00D00F8F">
        <w:rPr>
          <w:lang w:val="cs-CZ"/>
        </w:rPr>
        <w:t>týdnu 52</w:t>
      </w:r>
      <w:r w:rsidR="002378E0">
        <w:rPr>
          <w:lang w:val="cs-CZ"/>
        </w:rPr>
        <w:t xml:space="preserve"> a </w:t>
      </w:r>
      <w:r w:rsidRPr="001B4A02">
        <w:rPr>
          <w:lang w:val="cs-CZ"/>
        </w:rPr>
        <w:t xml:space="preserve">odpověď přetrvávala i </w:t>
      </w:r>
      <w:r w:rsidR="00D00F8F">
        <w:rPr>
          <w:lang w:val="cs-CZ"/>
        </w:rPr>
        <w:t>v</w:t>
      </w:r>
      <w:r w:rsidR="000F04DB">
        <w:rPr>
          <w:lang w:val="cs-CZ"/>
        </w:rPr>
        <w:t> </w:t>
      </w:r>
      <w:r w:rsidR="00D00F8F">
        <w:rPr>
          <w:lang w:val="cs-CZ"/>
        </w:rPr>
        <w:t>týdnu 104</w:t>
      </w:r>
      <w:r w:rsidRPr="001B4A02">
        <w:rPr>
          <w:lang w:val="cs-CZ"/>
        </w:rPr>
        <w:t xml:space="preserve"> (viz tabulka </w:t>
      </w:r>
      <w:r w:rsidR="00C76DCD">
        <w:rPr>
          <w:lang w:val="cs-CZ"/>
        </w:rPr>
        <w:t>9</w:t>
      </w:r>
      <w:r w:rsidRPr="001B4A02">
        <w:rPr>
          <w:lang w:val="cs-CZ"/>
        </w:rPr>
        <w:t>).</w:t>
      </w:r>
    </w:p>
    <w:p w14:paraId="486CD351" w14:textId="77777777" w:rsidR="00ED3511" w:rsidRPr="001B4A02" w:rsidRDefault="00ED3511" w:rsidP="00A03600">
      <w:pPr>
        <w:ind w:left="0" w:firstLine="0"/>
        <w:rPr>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1355"/>
        <w:gridCol w:w="1046"/>
        <w:gridCol w:w="992"/>
        <w:gridCol w:w="1560"/>
        <w:gridCol w:w="1417"/>
        <w:gridCol w:w="1559"/>
        <w:gridCol w:w="1309"/>
        <w:gridCol w:w="12"/>
      </w:tblGrid>
      <w:tr w:rsidR="00534A2D" w14:paraId="6D4680EB" w14:textId="77777777" w:rsidTr="00187CC8">
        <w:trPr>
          <w:gridBefore w:val="1"/>
          <w:wBefore w:w="9" w:type="dxa"/>
          <w:cantSplit/>
          <w:jc w:val="center"/>
        </w:trPr>
        <w:tc>
          <w:tcPr>
            <w:tcW w:w="9250" w:type="dxa"/>
            <w:gridSpan w:val="8"/>
            <w:tcBorders>
              <w:top w:val="nil"/>
              <w:left w:val="nil"/>
              <w:bottom w:val="nil"/>
              <w:right w:val="nil"/>
            </w:tcBorders>
            <w:vAlign w:val="center"/>
          </w:tcPr>
          <w:p w14:paraId="11F3A026" w14:textId="77777777" w:rsidR="00ED3511" w:rsidRPr="001B4A02" w:rsidRDefault="00000000" w:rsidP="00ED48A3">
            <w:pPr>
              <w:keepNext/>
              <w:jc w:val="center"/>
              <w:rPr>
                <w:b/>
              </w:rPr>
            </w:pPr>
            <w:r w:rsidRPr="001B4A02">
              <w:rPr>
                <w:b/>
              </w:rPr>
              <w:t xml:space="preserve">Tabulka </w:t>
            </w:r>
            <w:r w:rsidR="00C76DCD">
              <w:rPr>
                <w:b/>
              </w:rPr>
              <w:t>9</w:t>
            </w:r>
            <w:r w:rsidR="00C76DCD" w:rsidRPr="001B4A02">
              <w:rPr>
                <w:b/>
              </w:rPr>
              <w:t xml:space="preserve"> </w:t>
            </w:r>
          </w:p>
          <w:p w14:paraId="4A537D7D" w14:textId="77777777" w:rsidR="00ED3511" w:rsidRPr="001B4A02" w:rsidRDefault="00000000" w:rsidP="00ED48A3">
            <w:pPr>
              <w:keepNext/>
              <w:jc w:val="center"/>
              <w:rPr>
                <w:b/>
              </w:rPr>
            </w:pPr>
            <w:r w:rsidRPr="001B4A02">
              <w:rPr>
                <w:b/>
              </w:rPr>
              <w:t>Odpověď ACR ve studii RA V</w:t>
            </w:r>
          </w:p>
          <w:p w14:paraId="0001FA48" w14:textId="77777777" w:rsidR="00ED3511" w:rsidRPr="001B4A02" w:rsidRDefault="00000000" w:rsidP="00ED48A3">
            <w:pPr>
              <w:keepNext/>
              <w:jc w:val="center"/>
              <w:rPr>
                <w:b/>
                <w:bCs/>
                <w:caps/>
              </w:rPr>
            </w:pPr>
            <w:r w:rsidRPr="001B4A02">
              <w:rPr>
                <w:b/>
              </w:rPr>
              <w:t>(</w:t>
            </w:r>
            <w:r w:rsidR="008B0D08" w:rsidRPr="001B4A02">
              <w:rPr>
                <w:b/>
              </w:rPr>
              <w:t>P</w:t>
            </w:r>
            <w:r w:rsidRPr="001B4A02">
              <w:rPr>
                <w:b/>
              </w:rPr>
              <w:t>rocento pacientů)</w:t>
            </w:r>
          </w:p>
          <w:p w14:paraId="66EB55C6" w14:textId="77777777" w:rsidR="00ED3511" w:rsidRPr="001B4A02" w:rsidRDefault="00ED3511" w:rsidP="00ED48A3">
            <w:pPr>
              <w:pStyle w:val="BodyText"/>
              <w:keepNext/>
              <w:tabs>
                <w:tab w:val="left" w:pos="3600"/>
                <w:tab w:val="center" w:pos="5760"/>
              </w:tabs>
              <w:jc w:val="center"/>
              <w:rPr>
                <w:bCs/>
                <w:i w:val="0"/>
                <w:lang w:val="cs-CZ"/>
              </w:rPr>
            </w:pPr>
          </w:p>
        </w:tc>
      </w:tr>
      <w:tr w:rsidR="00534A2D" w14:paraId="151FC489" w14:textId="77777777" w:rsidTr="008D783A">
        <w:trPr>
          <w:gridAfter w:val="1"/>
          <w:wAfter w:w="12" w:type="dxa"/>
          <w:cantSplit/>
          <w:jc w:val="center"/>
        </w:trPr>
        <w:tc>
          <w:tcPr>
            <w:tcW w:w="1364" w:type="dxa"/>
            <w:gridSpan w:val="2"/>
            <w:vAlign w:val="center"/>
          </w:tcPr>
          <w:p w14:paraId="44CCA5F7" w14:textId="77777777" w:rsidR="00ED3511" w:rsidRPr="001B4A02" w:rsidRDefault="00000000" w:rsidP="00ED48A3">
            <w:pPr>
              <w:keepNext/>
              <w:rPr>
                <w:b/>
                <w:bCs/>
              </w:rPr>
            </w:pPr>
            <w:r w:rsidRPr="001B4A02">
              <w:rPr>
                <w:b/>
                <w:bCs/>
              </w:rPr>
              <w:t>Odpověď</w:t>
            </w:r>
          </w:p>
        </w:tc>
        <w:tc>
          <w:tcPr>
            <w:tcW w:w="1046" w:type="dxa"/>
            <w:tcBorders>
              <w:bottom w:val="single" w:sz="4" w:space="0" w:color="auto"/>
            </w:tcBorders>
            <w:vAlign w:val="center"/>
          </w:tcPr>
          <w:p w14:paraId="7A07D276" w14:textId="77777777" w:rsidR="00ED3511" w:rsidRPr="001B4A02" w:rsidRDefault="00000000" w:rsidP="00ED48A3">
            <w:pPr>
              <w:keepNext/>
              <w:jc w:val="center"/>
              <w:rPr>
                <w:b/>
                <w:bCs/>
              </w:rPr>
            </w:pPr>
            <w:r w:rsidRPr="001B4A02">
              <w:rPr>
                <w:b/>
                <w:bCs/>
              </w:rPr>
              <w:t>MTX</w:t>
            </w:r>
          </w:p>
          <w:p w14:paraId="192201FD" w14:textId="77777777" w:rsidR="00ED3511" w:rsidRPr="001B4A02" w:rsidRDefault="00000000" w:rsidP="00ED48A3">
            <w:pPr>
              <w:pStyle w:val="EndnoteText"/>
              <w:keepNext/>
              <w:jc w:val="center"/>
              <w:rPr>
                <w:b/>
                <w:bCs/>
                <w:lang w:val="cs-CZ"/>
              </w:rPr>
            </w:pPr>
            <w:r w:rsidRPr="001B4A02">
              <w:rPr>
                <w:b/>
                <w:bCs/>
                <w:lang w:val="cs-CZ"/>
              </w:rPr>
              <w:t>n=257</w:t>
            </w:r>
          </w:p>
        </w:tc>
        <w:tc>
          <w:tcPr>
            <w:tcW w:w="992" w:type="dxa"/>
            <w:tcBorders>
              <w:bottom w:val="single" w:sz="4" w:space="0" w:color="auto"/>
            </w:tcBorders>
            <w:vAlign w:val="center"/>
          </w:tcPr>
          <w:p w14:paraId="48B309F9" w14:textId="77777777" w:rsidR="00ED3511" w:rsidRPr="001B4A02" w:rsidRDefault="00000000" w:rsidP="00ED48A3">
            <w:pPr>
              <w:keepNext/>
              <w:jc w:val="center"/>
              <w:rPr>
                <w:b/>
                <w:bCs/>
              </w:rPr>
            </w:pPr>
            <w:r w:rsidRPr="001B4A02">
              <w:rPr>
                <w:b/>
                <w:bCs/>
              </w:rPr>
              <w:t>Humira</w:t>
            </w:r>
          </w:p>
          <w:p w14:paraId="17925EBD" w14:textId="77777777" w:rsidR="00ED3511" w:rsidRPr="001B4A02" w:rsidRDefault="00000000" w:rsidP="00ED48A3">
            <w:pPr>
              <w:keepNext/>
              <w:jc w:val="center"/>
              <w:rPr>
                <w:b/>
                <w:bCs/>
              </w:rPr>
            </w:pPr>
            <w:r w:rsidRPr="001B4A02">
              <w:rPr>
                <w:b/>
                <w:bCs/>
              </w:rPr>
              <w:t>n=274</w:t>
            </w:r>
          </w:p>
        </w:tc>
        <w:tc>
          <w:tcPr>
            <w:tcW w:w="1560" w:type="dxa"/>
            <w:tcBorders>
              <w:bottom w:val="single" w:sz="4" w:space="0" w:color="auto"/>
            </w:tcBorders>
            <w:vAlign w:val="center"/>
          </w:tcPr>
          <w:p w14:paraId="654944DC" w14:textId="77777777" w:rsidR="00ED3511" w:rsidRPr="001B4A02" w:rsidRDefault="00000000" w:rsidP="00ED48A3">
            <w:pPr>
              <w:keepNext/>
              <w:jc w:val="center"/>
              <w:rPr>
                <w:b/>
                <w:bCs/>
              </w:rPr>
            </w:pPr>
            <w:r w:rsidRPr="001B4A02">
              <w:rPr>
                <w:b/>
                <w:bCs/>
              </w:rPr>
              <w:t>Humira/MTX</w:t>
            </w:r>
          </w:p>
          <w:p w14:paraId="46E3A1B6" w14:textId="77777777" w:rsidR="00ED3511" w:rsidRPr="001B4A02" w:rsidRDefault="00000000" w:rsidP="00ED48A3">
            <w:pPr>
              <w:keepNext/>
              <w:jc w:val="center"/>
              <w:rPr>
                <w:b/>
                <w:bCs/>
              </w:rPr>
            </w:pPr>
            <w:r w:rsidRPr="001B4A02">
              <w:rPr>
                <w:b/>
                <w:bCs/>
              </w:rPr>
              <w:t>n=268</w:t>
            </w:r>
          </w:p>
        </w:tc>
        <w:tc>
          <w:tcPr>
            <w:tcW w:w="1417" w:type="dxa"/>
            <w:tcBorders>
              <w:bottom w:val="single" w:sz="4" w:space="0" w:color="auto"/>
            </w:tcBorders>
            <w:vAlign w:val="center"/>
          </w:tcPr>
          <w:p w14:paraId="25BF8B46" w14:textId="77777777" w:rsidR="00ED3511" w:rsidRPr="001B4A02" w:rsidRDefault="00000000" w:rsidP="00ED48A3">
            <w:pPr>
              <w:pStyle w:val="EndnoteText"/>
              <w:keepNext/>
              <w:jc w:val="center"/>
              <w:rPr>
                <w:b/>
                <w:bCs/>
                <w:lang w:val="cs-CZ"/>
              </w:rPr>
            </w:pPr>
            <w:r w:rsidRPr="001B4A02">
              <w:rPr>
                <w:b/>
                <w:bCs/>
                <w:lang w:val="cs-CZ"/>
              </w:rPr>
              <w:t>Hodnota p</w:t>
            </w:r>
            <w:r w:rsidRPr="001B4A02">
              <w:rPr>
                <w:b/>
                <w:bCs/>
                <w:vertAlign w:val="superscript"/>
                <w:lang w:val="cs-CZ"/>
              </w:rPr>
              <w:t>a</w:t>
            </w:r>
          </w:p>
        </w:tc>
        <w:tc>
          <w:tcPr>
            <w:tcW w:w="1559" w:type="dxa"/>
            <w:tcBorders>
              <w:bottom w:val="single" w:sz="4" w:space="0" w:color="auto"/>
            </w:tcBorders>
            <w:vAlign w:val="center"/>
          </w:tcPr>
          <w:p w14:paraId="404ED332" w14:textId="77777777" w:rsidR="00ED3511" w:rsidRPr="001B4A02" w:rsidRDefault="00000000" w:rsidP="00ED48A3">
            <w:pPr>
              <w:keepNext/>
              <w:jc w:val="center"/>
              <w:rPr>
                <w:b/>
                <w:bCs/>
              </w:rPr>
            </w:pPr>
            <w:r w:rsidRPr="001B4A02">
              <w:rPr>
                <w:b/>
                <w:bCs/>
              </w:rPr>
              <w:t>Hodnota p</w:t>
            </w:r>
            <w:r w:rsidRPr="001B4A02">
              <w:rPr>
                <w:b/>
                <w:bCs/>
                <w:vertAlign w:val="superscript"/>
              </w:rPr>
              <w:t>b</w:t>
            </w:r>
          </w:p>
        </w:tc>
        <w:tc>
          <w:tcPr>
            <w:tcW w:w="1309" w:type="dxa"/>
            <w:vAlign w:val="center"/>
          </w:tcPr>
          <w:p w14:paraId="2B090C0B" w14:textId="77777777" w:rsidR="00ED3511" w:rsidRPr="001B4A02" w:rsidRDefault="00000000" w:rsidP="00ED48A3">
            <w:pPr>
              <w:keepNext/>
              <w:jc w:val="center"/>
            </w:pPr>
            <w:r w:rsidRPr="001B4A02">
              <w:rPr>
                <w:b/>
                <w:bCs/>
              </w:rPr>
              <w:t>Hodnota p</w:t>
            </w:r>
            <w:r w:rsidRPr="001B4A02">
              <w:rPr>
                <w:b/>
                <w:bCs/>
                <w:vertAlign w:val="superscript"/>
              </w:rPr>
              <w:t>c</w:t>
            </w:r>
          </w:p>
        </w:tc>
      </w:tr>
      <w:tr w:rsidR="00534A2D" w14:paraId="67E7F0B2" w14:textId="77777777" w:rsidTr="008D783A">
        <w:trPr>
          <w:gridAfter w:val="1"/>
          <w:wAfter w:w="12" w:type="dxa"/>
          <w:cantSplit/>
          <w:jc w:val="center"/>
        </w:trPr>
        <w:tc>
          <w:tcPr>
            <w:tcW w:w="1364" w:type="dxa"/>
            <w:gridSpan w:val="2"/>
            <w:tcBorders>
              <w:right w:val="single" w:sz="4" w:space="0" w:color="auto"/>
            </w:tcBorders>
          </w:tcPr>
          <w:p w14:paraId="7EC37AA2" w14:textId="77777777" w:rsidR="00ED3511" w:rsidRPr="001B4A02" w:rsidRDefault="00000000" w:rsidP="00ED48A3">
            <w:pPr>
              <w:keepNext/>
            </w:pPr>
            <w:r w:rsidRPr="001B4A02">
              <w:t>ACR 20</w:t>
            </w:r>
          </w:p>
        </w:tc>
        <w:tc>
          <w:tcPr>
            <w:tcW w:w="1046" w:type="dxa"/>
            <w:tcBorders>
              <w:left w:val="single" w:sz="4" w:space="0" w:color="auto"/>
              <w:right w:val="single" w:sz="4" w:space="0" w:color="auto"/>
            </w:tcBorders>
          </w:tcPr>
          <w:p w14:paraId="2C4481E7" w14:textId="77777777" w:rsidR="00ED3511" w:rsidRPr="001B4A02" w:rsidRDefault="00ED3511" w:rsidP="00ED48A3">
            <w:pPr>
              <w:keepNext/>
              <w:jc w:val="center"/>
            </w:pPr>
          </w:p>
        </w:tc>
        <w:tc>
          <w:tcPr>
            <w:tcW w:w="992" w:type="dxa"/>
            <w:tcBorders>
              <w:left w:val="single" w:sz="4" w:space="0" w:color="auto"/>
              <w:right w:val="single" w:sz="4" w:space="0" w:color="auto"/>
            </w:tcBorders>
          </w:tcPr>
          <w:p w14:paraId="5B3847DE" w14:textId="77777777" w:rsidR="00ED3511" w:rsidRPr="001B4A02" w:rsidRDefault="00ED3511" w:rsidP="00ED48A3">
            <w:pPr>
              <w:keepNext/>
              <w:jc w:val="center"/>
            </w:pPr>
          </w:p>
        </w:tc>
        <w:tc>
          <w:tcPr>
            <w:tcW w:w="1560" w:type="dxa"/>
            <w:tcBorders>
              <w:left w:val="single" w:sz="4" w:space="0" w:color="auto"/>
              <w:right w:val="single" w:sz="4" w:space="0" w:color="auto"/>
            </w:tcBorders>
          </w:tcPr>
          <w:p w14:paraId="1929FE65" w14:textId="77777777" w:rsidR="00ED3511" w:rsidRPr="001B4A02" w:rsidRDefault="00ED3511" w:rsidP="00ED48A3">
            <w:pPr>
              <w:keepNext/>
              <w:jc w:val="center"/>
            </w:pPr>
          </w:p>
        </w:tc>
        <w:tc>
          <w:tcPr>
            <w:tcW w:w="1417" w:type="dxa"/>
            <w:tcBorders>
              <w:left w:val="single" w:sz="4" w:space="0" w:color="auto"/>
              <w:right w:val="single" w:sz="4" w:space="0" w:color="auto"/>
            </w:tcBorders>
          </w:tcPr>
          <w:p w14:paraId="7B112DFF" w14:textId="77777777" w:rsidR="00ED3511" w:rsidRPr="001B4A02" w:rsidRDefault="00ED3511" w:rsidP="00ED48A3">
            <w:pPr>
              <w:keepNext/>
              <w:jc w:val="center"/>
            </w:pPr>
          </w:p>
        </w:tc>
        <w:tc>
          <w:tcPr>
            <w:tcW w:w="1559" w:type="dxa"/>
            <w:tcBorders>
              <w:left w:val="single" w:sz="4" w:space="0" w:color="auto"/>
              <w:right w:val="single" w:sz="4" w:space="0" w:color="auto"/>
            </w:tcBorders>
          </w:tcPr>
          <w:p w14:paraId="5D1E9083" w14:textId="77777777" w:rsidR="00ED3511" w:rsidRPr="001B4A02" w:rsidRDefault="00ED3511" w:rsidP="00ED48A3">
            <w:pPr>
              <w:keepNext/>
              <w:jc w:val="center"/>
            </w:pPr>
          </w:p>
        </w:tc>
        <w:tc>
          <w:tcPr>
            <w:tcW w:w="1309" w:type="dxa"/>
            <w:tcBorders>
              <w:left w:val="single" w:sz="4" w:space="0" w:color="auto"/>
            </w:tcBorders>
          </w:tcPr>
          <w:p w14:paraId="789ADB9C" w14:textId="77777777" w:rsidR="00ED3511" w:rsidRPr="001B4A02" w:rsidRDefault="00ED3511" w:rsidP="00ED48A3">
            <w:pPr>
              <w:keepNext/>
              <w:jc w:val="center"/>
            </w:pPr>
          </w:p>
        </w:tc>
      </w:tr>
      <w:tr w:rsidR="00534A2D" w14:paraId="23C03217" w14:textId="77777777" w:rsidTr="008D783A">
        <w:trPr>
          <w:gridAfter w:val="1"/>
          <w:wAfter w:w="12" w:type="dxa"/>
          <w:cantSplit/>
          <w:jc w:val="center"/>
        </w:trPr>
        <w:tc>
          <w:tcPr>
            <w:tcW w:w="1364" w:type="dxa"/>
            <w:gridSpan w:val="2"/>
            <w:tcBorders>
              <w:right w:val="single" w:sz="4" w:space="0" w:color="auto"/>
            </w:tcBorders>
          </w:tcPr>
          <w:p w14:paraId="4809D4C6" w14:textId="77777777" w:rsidR="00ED3511" w:rsidRPr="001B4A02" w:rsidRDefault="00000000" w:rsidP="00ED48A3">
            <w:pPr>
              <w:keepNext/>
            </w:pPr>
            <w:r w:rsidRPr="001B4A02">
              <w:tab/>
              <w:t>Týden 52</w:t>
            </w:r>
          </w:p>
        </w:tc>
        <w:tc>
          <w:tcPr>
            <w:tcW w:w="1046" w:type="dxa"/>
            <w:tcBorders>
              <w:left w:val="single" w:sz="4" w:space="0" w:color="auto"/>
              <w:right w:val="single" w:sz="4" w:space="0" w:color="auto"/>
            </w:tcBorders>
          </w:tcPr>
          <w:p w14:paraId="3C34904A" w14:textId="77777777" w:rsidR="00ED3511" w:rsidRPr="001B4A02" w:rsidRDefault="00000000" w:rsidP="00ED48A3">
            <w:pPr>
              <w:keepNext/>
              <w:jc w:val="center"/>
            </w:pPr>
            <w:r w:rsidRPr="001B4A02">
              <w:t>62,6</w:t>
            </w:r>
            <w:r w:rsidR="00140D08" w:rsidRPr="001B4A02">
              <w:t> </w:t>
            </w:r>
            <w:r w:rsidRPr="001B4A02">
              <w:t>%</w:t>
            </w:r>
          </w:p>
        </w:tc>
        <w:tc>
          <w:tcPr>
            <w:tcW w:w="992" w:type="dxa"/>
            <w:tcBorders>
              <w:left w:val="single" w:sz="4" w:space="0" w:color="auto"/>
              <w:right w:val="single" w:sz="4" w:space="0" w:color="auto"/>
            </w:tcBorders>
          </w:tcPr>
          <w:p w14:paraId="479030FD" w14:textId="77777777" w:rsidR="00ED3511" w:rsidRPr="001B4A02" w:rsidRDefault="00000000" w:rsidP="00ED48A3">
            <w:pPr>
              <w:keepNext/>
              <w:jc w:val="center"/>
            </w:pPr>
            <w:r w:rsidRPr="001B4A02">
              <w:t>54,4</w:t>
            </w:r>
            <w:r w:rsidR="00140D08" w:rsidRPr="001B4A02">
              <w:t> </w:t>
            </w:r>
            <w:r w:rsidRPr="001B4A02">
              <w:t>%</w:t>
            </w:r>
          </w:p>
        </w:tc>
        <w:tc>
          <w:tcPr>
            <w:tcW w:w="1560" w:type="dxa"/>
            <w:tcBorders>
              <w:left w:val="single" w:sz="4" w:space="0" w:color="auto"/>
              <w:right w:val="single" w:sz="4" w:space="0" w:color="auto"/>
            </w:tcBorders>
          </w:tcPr>
          <w:p w14:paraId="01B4260B" w14:textId="77777777" w:rsidR="00ED3511" w:rsidRPr="001B4A02" w:rsidRDefault="00000000" w:rsidP="00ED48A3">
            <w:pPr>
              <w:keepNext/>
              <w:jc w:val="center"/>
            </w:pPr>
            <w:r w:rsidRPr="001B4A02">
              <w:t>72,8</w:t>
            </w:r>
            <w:r w:rsidR="00140D08" w:rsidRPr="001B4A02">
              <w:t> </w:t>
            </w:r>
            <w:r w:rsidRPr="001B4A02">
              <w:t>%</w:t>
            </w:r>
          </w:p>
        </w:tc>
        <w:tc>
          <w:tcPr>
            <w:tcW w:w="1417" w:type="dxa"/>
            <w:tcBorders>
              <w:left w:val="single" w:sz="4" w:space="0" w:color="auto"/>
              <w:right w:val="single" w:sz="4" w:space="0" w:color="auto"/>
            </w:tcBorders>
          </w:tcPr>
          <w:p w14:paraId="77241616" w14:textId="77777777" w:rsidR="00ED3511" w:rsidRPr="001B4A02" w:rsidRDefault="00000000" w:rsidP="00ED48A3">
            <w:pPr>
              <w:keepNext/>
              <w:jc w:val="center"/>
            </w:pPr>
            <w:r w:rsidRPr="001B4A02">
              <w:t>0,013</w:t>
            </w:r>
          </w:p>
        </w:tc>
        <w:tc>
          <w:tcPr>
            <w:tcW w:w="1559" w:type="dxa"/>
            <w:tcBorders>
              <w:left w:val="single" w:sz="4" w:space="0" w:color="auto"/>
              <w:right w:val="single" w:sz="4" w:space="0" w:color="auto"/>
            </w:tcBorders>
          </w:tcPr>
          <w:p w14:paraId="3E703CA3" w14:textId="77777777" w:rsidR="00ED3511" w:rsidRPr="001B4A02" w:rsidRDefault="00000000" w:rsidP="00ED48A3">
            <w:pPr>
              <w:keepNext/>
              <w:jc w:val="center"/>
            </w:pPr>
            <w:r w:rsidRPr="001B4A02">
              <w:t>&lt;0,001</w:t>
            </w:r>
          </w:p>
        </w:tc>
        <w:tc>
          <w:tcPr>
            <w:tcW w:w="1309" w:type="dxa"/>
            <w:tcBorders>
              <w:left w:val="single" w:sz="4" w:space="0" w:color="auto"/>
            </w:tcBorders>
          </w:tcPr>
          <w:p w14:paraId="72D30052" w14:textId="77777777" w:rsidR="00ED3511" w:rsidRPr="001B4A02" w:rsidRDefault="00000000" w:rsidP="00ED48A3">
            <w:pPr>
              <w:keepNext/>
              <w:jc w:val="center"/>
            </w:pPr>
            <w:r w:rsidRPr="001B4A02">
              <w:t>0,043</w:t>
            </w:r>
          </w:p>
        </w:tc>
      </w:tr>
      <w:tr w:rsidR="00534A2D" w14:paraId="3639AD8D" w14:textId="77777777" w:rsidTr="008D783A">
        <w:trPr>
          <w:gridAfter w:val="1"/>
          <w:wAfter w:w="12" w:type="dxa"/>
          <w:cantSplit/>
          <w:jc w:val="center"/>
        </w:trPr>
        <w:tc>
          <w:tcPr>
            <w:tcW w:w="1364" w:type="dxa"/>
            <w:gridSpan w:val="2"/>
            <w:tcBorders>
              <w:right w:val="single" w:sz="4" w:space="0" w:color="auto"/>
            </w:tcBorders>
          </w:tcPr>
          <w:p w14:paraId="1F4E7034" w14:textId="77777777" w:rsidR="00ED3511" w:rsidRPr="001B4A02" w:rsidRDefault="00000000" w:rsidP="00ED48A3">
            <w:pPr>
              <w:keepNext/>
            </w:pPr>
            <w:r w:rsidRPr="001B4A02">
              <w:tab/>
              <w:t>Týden 104</w:t>
            </w:r>
          </w:p>
        </w:tc>
        <w:tc>
          <w:tcPr>
            <w:tcW w:w="1046" w:type="dxa"/>
            <w:tcBorders>
              <w:left w:val="single" w:sz="4" w:space="0" w:color="auto"/>
              <w:right w:val="single" w:sz="4" w:space="0" w:color="auto"/>
            </w:tcBorders>
          </w:tcPr>
          <w:p w14:paraId="1F33382F" w14:textId="77777777" w:rsidR="00ED3511" w:rsidRPr="001B4A02" w:rsidRDefault="00000000" w:rsidP="00ED48A3">
            <w:pPr>
              <w:keepNext/>
              <w:jc w:val="center"/>
            </w:pPr>
            <w:r w:rsidRPr="001B4A02">
              <w:t>56,0</w:t>
            </w:r>
            <w:r w:rsidR="00140D08" w:rsidRPr="001B4A02">
              <w:t> </w:t>
            </w:r>
            <w:r w:rsidRPr="001B4A02">
              <w:t>%</w:t>
            </w:r>
          </w:p>
        </w:tc>
        <w:tc>
          <w:tcPr>
            <w:tcW w:w="992" w:type="dxa"/>
            <w:tcBorders>
              <w:left w:val="single" w:sz="4" w:space="0" w:color="auto"/>
              <w:right w:val="single" w:sz="4" w:space="0" w:color="auto"/>
            </w:tcBorders>
          </w:tcPr>
          <w:p w14:paraId="0AFF2CE2" w14:textId="77777777" w:rsidR="00ED3511" w:rsidRPr="001B4A02" w:rsidRDefault="00000000" w:rsidP="00ED48A3">
            <w:pPr>
              <w:keepNext/>
              <w:jc w:val="center"/>
            </w:pPr>
            <w:r w:rsidRPr="001B4A02">
              <w:t>49,3</w:t>
            </w:r>
            <w:r w:rsidR="00140D08" w:rsidRPr="001B4A02">
              <w:t> </w:t>
            </w:r>
            <w:r w:rsidRPr="001B4A02">
              <w:t>%</w:t>
            </w:r>
          </w:p>
        </w:tc>
        <w:tc>
          <w:tcPr>
            <w:tcW w:w="1560" w:type="dxa"/>
            <w:tcBorders>
              <w:left w:val="single" w:sz="4" w:space="0" w:color="auto"/>
              <w:right w:val="single" w:sz="4" w:space="0" w:color="auto"/>
            </w:tcBorders>
          </w:tcPr>
          <w:p w14:paraId="7A698A5A" w14:textId="77777777" w:rsidR="00ED3511" w:rsidRPr="001B4A02" w:rsidRDefault="00000000" w:rsidP="00ED48A3">
            <w:pPr>
              <w:keepNext/>
              <w:jc w:val="center"/>
            </w:pPr>
            <w:r w:rsidRPr="001B4A02">
              <w:t>69,4</w:t>
            </w:r>
            <w:r w:rsidR="00140D08" w:rsidRPr="001B4A02">
              <w:t> </w:t>
            </w:r>
            <w:r w:rsidRPr="001B4A02">
              <w:t>%</w:t>
            </w:r>
          </w:p>
        </w:tc>
        <w:tc>
          <w:tcPr>
            <w:tcW w:w="1417" w:type="dxa"/>
            <w:tcBorders>
              <w:left w:val="single" w:sz="4" w:space="0" w:color="auto"/>
              <w:right w:val="single" w:sz="4" w:space="0" w:color="auto"/>
            </w:tcBorders>
          </w:tcPr>
          <w:p w14:paraId="3DED9E00" w14:textId="77777777" w:rsidR="00ED3511" w:rsidRPr="001B4A02" w:rsidRDefault="00000000" w:rsidP="00ED48A3">
            <w:pPr>
              <w:keepNext/>
              <w:jc w:val="center"/>
            </w:pPr>
            <w:r w:rsidRPr="001B4A02">
              <w:t>0,002</w:t>
            </w:r>
          </w:p>
        </w:tc>
        <w:tc>
          <w:tcPr>
            <w:tcW w:w="1559" w:type="dxa"/>
            <w:tcBorders>
              <w:left w:val="single" w:sz="4" w:space="0" w:color="auto"/>
              <w:right w:val="single" w:sz="4" w:space="0" w:color="auto"/>
            </w:tcBorders>
          </w:tcPr>
          <w:p w14:paraId="5FD330DA" w14:textId="77777777" w:rsidR="00ED3511" w:rsidRPr="001B4A02" w:rsidRDefault="00000000" w:rsidP="00ED48A3">
            <w:pPr>
              <w:keepNext/>
              <w:jc w:val="center"/>
            </w:pPr>
            <w:r w:rsidRPr="001B4A02">
              <w:t>&lt;0,001</w:t>
            </w:r>
          </w:p>
        </w:tc>
        <w:tc>
          <w:tcPr>
            <w:tcW w:w="1309" w:type="dxa"/>
            <w:tcBorders>
              <w:left w:val="single" w:sz="4" w:space="0" w:color="auto"/>
            </w:tcBorders>
          </w:tcPr>
          <w:p w14:paraId="440606A4" w14:textId="77777777" w:rsidR="00ED3511" w:rsidRPr="001B4A02" w:rsidRDefault="00000000" w:rsidP="00ED48A3">
            <w:pPr>
              <w:keepNext/>
              <w:jc w:val="center"/>
            </w:pPr>
            <w:r w:rsidRPr="001B4A02">
              <w:t>0,140</w:t>
            </w:r>
          </w:p>
        </w:tc>
      </w:tr>
      <w:tr w:rsidR="00534A2D" w14:paraId="2BDE7E17" w14:textId="77777777" w:rsidTr="008D783A">
        <w:trPr>
          <w:gridAfter w:val="1"/>
          <w:wAfter w:w="12" w:type="dxa"/>
          <w:cantSplit/>
          <w:jc w:val="center"/>
        </w:trPr>
        <w:tc>
          <w:tcPr>
            <w:tcW w:w="1364" w:type="dxa"/>
            <w:gridSpan w:val="2"/>
            <w:tcBorders>
              <w:right w:val="single" w:sz="4" w:space="0" w:color="auto"/>
            </w:tcBorders>
          </w:tcPr>
          <w:p w14:paraId="5DC3CA3F" w14:textId="77777777" w:rsidR="00ED3511" w:rsidRPr="001B4A02" w:rsidRDefault="00000000" w:rsidP="00ED48A3">
            <w:pPr>
              <w:keepNext/>
            </w:pPr>
            <w:r w:rsidRPr="001B4A02">
              <w:t>ACR 50</w:t>
            </w:r>
          </w:p>
        </w:tc>
        <w:tc>
          <w:tcPr>
            <w:tcW w:w="1046" w:type="dxa"/>
            <w:tcBorders>
              <w:left w:val="single" w:sz="4" w:space="0" w:color="auto"/>
              <w:right w:val="single" w:sz="4" w:space="0" w:color="auto"/>
            </w:tcBorders>
          </w:tcPr>
          <w:p w14:paraId="3B32AC6D" w14:textId="77777777" w:rsidR="00ED3511" w:rsidRPr="001B4A02" w:rsidRDefault="00ED3511" w:rsidP="00ED48A3">
            <w:pPr>
              <w:keepNext/>
              <w:jc w:val="center"/>
            </w:pPr>
          </w:p>
        </w:tc>
        <w:tc>
          <w:tcPr>
            <w:tcW w:w="992" w:type="dxa"/>
            <w:tcBorders>
              <w:left w:val="single" w:sz="4" w:space="0" w:color="auto"/>
              <w:right w:val="single" w:sz="4" w:space="0" w:color="auto"/>
            </w:tcBorders>
          </w:tcPr>
          <w:p w14:paraId="220DADC3" w14:textId="77777777" w:rsidR="00ED3511" w:rsidRPr="001B4A02" w:rsidRDefault="00ED3511" w:rsidP="00ED48A3">
            <w:pPr>
              <w:keepNext/>
              <w:jc w:val="center"/>
            </w:pPr>
          </w:p>
        </w:tc>
        <w:tc>
          <w:tcPr>
            <w:tcW w:w="1560" w:type="dxa"/>
            <w:tcBorders>
              <w:left w:val="single" w:sz="4" w:space="0" w:color="auto"/>
              <w:right w:val="single" w:sz="4" w:space="0" w:color="auto"/>
            </w:tcBorders>
          </w:tcPr>
          <w:p w14:paraId="01CFD55B" w14:textId="77777777" w:rsidR="00ED3511" w:rsidRPr="001B4A02" w:rsidRDefault="00ED3511" w:rsidP="00ED48A3">
            <w:pPr>
              <w:keepNext/>
              <w:jc w:val="center"/>
            </w:pPr>
          </w:p>
        </w:tc>
        <w:tc>
          <w:tcPr>
            <w:tcW w:w="1417" w:type="dxa"/>
            <w:tcBorders>
              <w:left w:val="single" w:sz="4" w:space="0" w:color="auto"/>
              <w:right w:val="single" w:sz="4" w:space="0" w:color="auto"/>
            </w:tcBorders>
          </w:tcPr>
          <w:p w14:paraId="1D38AA6D" w14:textId="77777777" w:rsidR="00ED3511" w:rsidRPr="001B4A02" w:rsidRDefault="00ED3511" w:rsidP="00ED48A3">
            <w:pPr>
              <w:keepNext/>
              <w:jc w:val="center"/>
            </w:pPr>
          </w:p>
        </w:tc>
        <w:tc>
          <w:tcPr>
            <w:tcW w:w="1559" w:type="dxa"/>
            <w:tcBorders>
              <w:left w:val="single" w:sz="4" w:space="0" w:color="auto"/>
              <w:right w:val="single" w:sz="4" w:space="0" w:color="auto"/>
            </w:tcBorders>
          </w:tcPr>
          <w:p w14:paraId="21EECB14" w14:textId="77777777" w:rsidR="00ED3511" w:rsidRPr="001B4A02" w:rsidRDefault="00ED3511" w:rsidP="00ED48A3">
            <w:pPr>
              <w:keepNext/>
              <w:jc w:val="center"/>
            </w:pPr>
          </w:p>
        </w:tc>
        <w:tc>
          <w:tcPr>
            <w:tcW w:w="1309" w:type="dxa"/>
            <w:tcBorders>
              <w:left w:val="single" w:sz="4" w:space="0" w:color="auto"/>
            </w:tcBorders>
          </w:tcPr>
          <w:p w14:paraId="60F18093" w14:textId="77777777" w:rsidR="00ED3511" w:rsidRPr="001B4A02" w:rsidRDefault="00ED3511" w:rsidP="00ED48A3">
            <w:pPr>
              <w:keepNext/>
              <w:jc w:val="center"/>
            </w:pPr>
          </w:p>
        </w:tc>
      </w:tr>
      <w:tr w:rsidR="00534A2D" w14:paraId="097C49FA" w14:textId="77777777" w:rsidTr="008D783A">
        <w:trPr>
          <w:gridAfter w:val="1"/>
          <w:wAfter w:w="12" w:type="dxa"/>
          <w:cantSplit/>
          <w:jc w:val="center"/>
        </w:trPr>
        <w:tc>
          <w:tcPr>
            <w:tcW w:w="1364" w:type="dxa"/>
            <w:gridSpan w:val="2"/>
          </w:tcPr>
          <w:p w14:paraId="11980768" w14:textId="77777777" w:rsidR="00ED3511" w:rsidRPr="001B4A02" w:rsidRDefault="00000000" w:rsidP="00ED48A3">
            <w:pPr>
              <w:keepNext/>
            </w:pPr>
            <w:r w:rsidRPr="001B4A02">
              <w:tab/>
              <w:t>Týden 52</w:t>
            </w:r>
          </w:p>
        </w:tc>
        <w:tc>
          <w:tcPr>
            <w:tcW w:w="1046" w:type="dxa"/>
          </w:tcPr>
          <w:p w14:paraId="1060EC76" w14:textId="77777777" w:rsidR="00ED3511" w:rsidRPr="001B4A02" w:rsidRDefault="00000000" w:rsidP="00ED48A3">
            <w:pPr>
              <w:keepNext/>
              <w:jc w:val="center"/>
            </w:pPr>
            <w:r w:rsidRPr="001B4A02">
              <w:t>45,9</w:t>
            </w:r>
            <w:r w:rsidR="00140D08" w:rsidRPr="001B4A02">
              <w:t> </w:t>
            </w:r>
            <w:r w:rsidRPr="001B4A02">
              <w:t>%</w:t>
            </w:r>
          </w:p>
        </w:tc>
        <w:tc>
          <w:tcPr>
            <w:tcW w:w="992" w:type="dxa"/>
          </w:tcPr>
          <w:p w14:paraId="715C2FE0" w14:textId="77777777" w:rsidR="00ED3511" w:rsidRPr="001B4A02" w:rsidRDefault="00000000" w:rsidP="00ED48A3">
            <w:pPr>
              <w:keepNext/>
              <w:jc w:val="center"/>
            </w:pPr>
            <w:r w:rsidRPr="001B4A02">
              <w:t>41,2</w:t>
            </w:r>
            <w:r w:rsidR="00140D08" w:rsidRPr="001B4A02">
              <w:t> </w:t>
            </w:r>
            <w:r w:rsidRPr="001B4A02">
              <w:t>%</w:t>
            </w:r>
          </w:p>
        </w:tc>
        <w:tc>
          <w:tcPr>
            <w:tcW w:w="1560" w:type="dxa"/>
          </w:tcPr>
          <w:p w14:paraId="78A58960" w14:textId="77777777" w:rsidR="00ED3511" w:rsidRPr="001B4A02" w:rsidRDefault="00000000" w:rsidP="00ED48A3">
            <w:pPr>
              <w:keepNext/>
              <w:jc w:val="center"/>
            </w:pPr>
            <w:r w:rsidRPr="001B4A02">
              <w:t>61,6</w:t>
            </w:r>
            <w:r w:rsidR="00140D08" w:rsidRPr="001B4A02">
              <w:t> </w:t>
            </w:r>
            <w:r w:rsidRPr="001B4A02">
              <w:t>%</w:t>
            </w:r>
          </w:p>
        </w:tc>
        <w:tc>
          <w:tcPr>
            <w:tcW w:w="1417" w:type="dxa"/>
          </w:tcPr>
          <w:p w14:paraId="01942263" w14:textId="77777777" w:rsidR="00ED3511" w:rsidRPr="001B4A02" w:rsidRDefault="00000000" w:rsidP="00ED48A3">
            <w:pPr>
              <w:keepNext/>
              <w:jc w:val="center"/>
            </w:pPr>
            <w:r w:rsidRPr="001B4A02">
              <w:t>&lt;0,001</w:t>
            </w:r>
          </w:p>
        </w:tc>
        <w:tc>
          <w:tcPr>
            <w:tcW w:w="1559" w:type="dxa"/>
          </w:tcPr>
          <w:p w14:paraId="2AF7E2D8" w14:textId="77777777" w:rsidR="00ED3511" w:rsidRPr="001B4A02" w:rsidRDefault="00000000" w:rsidP="00ED48A3">
            <w:pPr>
              <w:keepNext/>
              <w:jc w:val="center"/>
            </w:pPr>
            <w:r w:rsidRPr="001B4A02">
              <w:t>&lt;0,001</w:t>
            </w:r>
          </w:p>
        </w:tc>
        <w:tc>
          <w:tcPr>
            <w:tcW w:w="1309" w:type="dxa"/>
          </w:tcPr>
          <w:p w14:paraId="02C638C3" w14:textId="77777777" w:rsidR="00ED3511" w:rsidRPr="001B4A02" w:rsidRDefault="00000000" w:rsidP="00ED48A3">
            <w:pPr>
              <w:keepNext/>
              <w:jc w:val="center"/>
            </w:pPr>
            <w:r w:rsidRPr="001B4A02">
              <w:t>0,317</w:t>
            </w:r>
          </w:p>
        </w:tc>
      </w:tr>
      <w:tr w:rsidR="00534A2D" w14:paraId="422B5894" w14:textId="77777777" w:rsidTr="008D783A">
        <w:trPr>
          <w:gridAfter w:val="1"/>
          <w:wAfter w:w="12" w:type="dxa"/>
          <w:cantSplit/>
          <w:jc w:val="center"/>
        </w:trPr>
        <w:tc>
          <w:tcPr>
            <w:tcW w:w="1364" w:type="dxa"/>
            <w:gridSpan w:val="2"/>
          </w:tcPr>
          <w:p w14:paraId="002EAF57" w14:textId="77777777" w:rsidR="00ED3511" w:rsidRPr="001B4A02" w:rsidRDefault="00000000" w:rsidP="00ED48A3">
            <w:pPr>
              <w:keepNext/>
            </w:pPr>
            <w:r w:rsidRPr="001B4A02">
              <w:tab/>
              <w:t>Týden 104</w:t>
            </w:r>
          </w:p>
        </w:tc>
        <w:tc>
          <w:tcPr>
            <w:tcW w:w="1046" w:type="dxa"/>
            <w:tcBorders>
              <w:bottom w:val="single" w:sz="4" w:space="0" w:color="auto"/>
            </w:tcBorders>
          </w:tcPr>
          <w:p w14:paraId="1A094F36" w14:textId="77777777" w:rsidR="00ED3511" w:rsidRPr="001B4A02" w:rsidRDefault="00000000" w:rsidP="00ED48A3">
            <w:pPr>
              <w:keepNext/>
              <w:jc w:val="center"/>
            </w:pPr>
            <w:r w:rsidRPr="001B4A02">
              <w:t>42,8</w:t>
            </w:r>
            <w:r w:rsidR="00140D08" w:rsidRPr="001B4A02">
              <w:t> </w:t>
            </w:r>
            <w:r w:rsidRPr="001B4A02">
              <w:t>%</w:t>
            </w:r>
          </w:p>
        </w:tc>
        <w:tc>
          <w:tcPr>
            <w:tcW w:w="992" w:type="dxa"/>
            <w:tcBorders>
              <w:bottom w:val="single" w:sz="4" w:space="0" w:color="auto"/>
            </w:tcBorders>
          </w:tcPr>
          <w:p w14:paraId="72309CCE" w14:textId="77777777" w:rsidR="00ED3511" w:rsidRPr="001B4A02" w:rsidRDefault="00000000" w:rsidP="00ED48A3">
            <w:pPr>
              <w:keepNext/>
              <w:jc w:val="center"/>
            </w:pPr>
            <w:r w:rsidRPr="001B4A02">
              <w:t>36,9</w:t>
            </w:r>
            <w:r w:rsidR="00140D08" w:rsidRPr="001B4A02">
              <w:t> </w:t>
            </w:r>
            <w:r w:rsidRPr="001B4A02">
              <w:t>%</w:t>
            </w:r>
          </w:p>
        </w:tc>
        <w:tc>
          <w:tcPr>
            <w:tcW w:w="1560" w:type="dxa"/>
            <w:tcBorders>
              <w:bottom w:val="single" w:sz="4" w:space="0" w:color="auto"/>
            </w:tcBorders>
          </w:tcPr>
          <w:p w14:paraId="4DFC6DC2" w14:textId="77777777" w:rsidR="00ED3511" w:rsidRPr="001B4A02" w:rsidRDefault="00000000" w:rsidP="00ED48A3">
            <w:pPr>
              <w:keepNext/>
              <w:jc w:val="center"/>
            </w:pPr>
            <w:r w:rsidRPr="001B4A02">
              <w:t>59,0</w:t>
            </w:r>
            <w:r w:rsidR="00140D08" w:rsidRPr="001B4A02">
              <w:t> </w:t>
            </w:r>
            <w:r w:rsidRPr="001B4A02">
              <w:t>%</w:t>
            </w:r>
          </w:p>
        </w:tc>
        <w:tc>
          <w:tcPr>
            <w:tcW w:w="1417" w:type="dxa"/>
            <w:tcBorders>
              <w:bottom w:val="single" w:sz="4" w:space="0" w:color="auto"/>
            </w:tcBorders>
          </w:tcPr>
          <w:p w14:paraId="680B9AE5" w14:textId="77777777" w:rsidR="00ED3511" w:rsidRPr="001B4A02" w:rsidRDefault="00000000" w:rsidP="00ED48A3">
            <w:pPr>
              <w:keepNext/>
              <w:jc w:val="center"/>
            </w:pPr>
            <w:r w:rsidRPr="001B4A02">
              <w:t>&lt;0,001</w:t>
            </w:r>
          </w:p>
        </w:tc>
        <w:tc>
          <w:tcPr>
            <w:tcW w:w="1559" w:type="dxa"/>
            <w:tcBorders>
              <w:bottom w:val="single" w:sz="4" w:space="0" w:color="auto"/>
            </w:tcBorders>
          </w:tcPr>
          <w:p w14:paraId="204220DB" w14:textId="77777777" w:rsidR="00ED3511" w:rsidRPr="001B4A02" w:rsidRDefault="00000000" w:rsidP="00ED48A3">
            <w:pPr>
              <w:keepNext/>
              <w:jc w:val="center"/>
            </w:pPr>
            <w:r w:rsidRPr="001B4A02">
              <w:t>&lt;0,001</w:t>
            </w:r>
          </w:p>
        </w:tc>
        <w:tc>
          <w:tcPr>
            <w:tcW w:w="1309" w:type="dxa"/>
          </w:tcPr>
          <w:p w14:paraId="23F326FC" w14:textId="77777777" w:rsidR="00ED3511" w:rsidRPr="001B4A02" w:rsidRDefault="00000000" w:rsidP="00ED48A3">
            <w:pPr>
              <w:keepNext/>
              <w:jc w:val="center"/>
            </w:pPr>
            <w:r w:rsidRPr="001B4A02">
              <w:t>0,162</w:t>
            </w:r>
          </w:p>
        </w:tc>
      </w:tr>
      <w:tr w:rsidR="00534A2D" w14:paraId="1D4A866F" w14:textId="77777777" w:rsidTr="008D783A">
        <w:trPr>
          <w:gridAfter w:val="1"/>
          <w:wAfter w:w="12" w:type="dxa"/>
          <w:cantSplit/>
          <w:jc w:val="center"/>
        </w:trPr>
        <w:tc>
          <w:tcPr>
            <w:tcW w:w="1364" w:type="dxa"/>
            <w:gridSpan w:val="2"/>
            <w:tcBorders>
              <w:right w:val="single" w:sz="4" w:space="0" w:color="auto"/>
            </w:tcBorders>
          </w:tcPr>
          <w:p w14:paraId="13F2071A" w14:textId="77777777" w:rsidR="00ED3511" w:rsidRPr="001B4A02" w:rsidRDefault="00000000" w:rsidP="00ED48A3">
            <w:pPr>
              <w:keepNext/>
            </w:pPr>
            <w:r w:rsidRPr="001B4A02">
              <w:t>ACR 70</w:t>
            </w:r>
          </w:p>
        </w:tc>
        <w:tc>
          <w:tcPr>
            <w:tcW w:w="1046" w:type="dxa"/>
            <w:tcBorders>
              <w:left w:val="single" w:sz="4" w:space="0" w:color="auto"/>
              <w:right w:val="single" w:sz="4" w:space="0" w:color="auto"/>
            </w:tcBorders>
          </w:tcPr>
          <w:p w14:paraId="4707220C" w14:textId="77777777" w:rsidR="00ED3511" w:rsidRPr="001B4A02" w:rsidRDefault="00ED3511" w:rsidP="00ED48A3">
            <w:pPr>
              <w:keepNext/>
              <w:jc w:val="center"/>
            </w:pPr>
          </w:p>
        </w:tc>
        <w:tc>
          <w:tcPr>
            <w:tcW w:w="992" w:type="dxa"/>
            <w:tcBorders>
              <w:left w:val="single" w:sz="4" w:space="0" w:color="auto"/>
              <w:right w:val="single" w:sz="4" w:space="0" w:color="auto"/>
            </w:tcBorders>
          </w:tcPr>
          <w:p w14:paraId="77B209A3" w14:textId="77777777" w:rsidR="00ED3511" w:rsidRPr="001B4A02" w:rsidRDefault="00ED3511" w:rsidP="00ED48A3">
            <w:pPr>
              <w:keepNext/>
              <w:jc w:val="center"/>
            </w:pPr>
          </w:p>
        </w:tc>
        <w:tc>
          <w:tcPr>
            <w:tcW w:w="1560" w:type="dxa"/>
            <w:tcBorders>
              <w:left w:val="single" w:sz="4" w:space="0" w:color="auto"/>
              <w:right w:val="single" w:sz="4" w:space="0" w:color="auto"/>
            </w:tcBorders>
          </w:tcPr>
          <w:p w14:paraId="0428A5E8" w14:textId="77777777" w:rsidR="00ED3511" w:rsidRPr="001B4A02" w:rsidRDefault="00ED3511" w:rsidP="00ED48A3">
            <w:pPr>
              <w:keepNext/>
              <w:jc w:val="center"/>
            </w:pPr>
          </w:p>
        </w:tc>
        <w:tc>
          <w:tcPr>
            <w:tcW w:w="1417" w:type="dxa"/>
            <w:tcBorders>
              <w:left w:val="single" w:sz="4" w:space="0" w:color="auto"/>
              <w:right w:val="single" w:sz="4" w:space="0" w:color="auto"/>
            </w:tcBorders>
          </w:tcPr>
          <w:p w14:paraId="26717A24" w14:textId="77777777" w:rsidR="00ED3511" w:rsidRPr="001B4A02" w:rsidRDefault="00ED3511" w:rsidP="00ED48A3">
            <w:pPr>
              <w:keepNext/>
              <w:jc w:val="center"/>
            </w:pPr>
          </w:p>
        </w:tc>
        <w:tc>
          <w:tcPr>
            <w:tcW w:w="1559" w:type="dxa"/>
            <w:tcBorders>
              <w:left w:val="single" w:sz="4" w:space="0" w:color="auto"/>
              <w:right w:val="single" w:sz="4" w:space="0" w:color="auto"/>
            </w:tcBorders>
          </w:tcPr>
          <w:p w14:paraId="6A678E24" w14:textId="77777777" w:rsidR="00ED3511" w:rsidRPr="001B4A02" w:rsidRDefault="00ED3511" w:rsidP="00ED48A3">
            <w:pPr>
              <w:keepNext/>
              <w:jc w:val="center"/>
            </w:pPr>
          </w:p>
        </w:tc>
        <w:tc>
          <w:tcPr>
            <w:tcW w:w="1309" w:type="dxa"/>
            <w:tcBorders>
              <w:left w:val="single" w:sz="4" w:space="0" w:color="auto"/>
            </w:tcBorders>
          </w:tcPr>
          <w:p w14:paraId="21C4FDD5" w14:textId="77777777" w:rsidR="00ED3511" w:rsidRPr="001B4A02" w:rsidRDefault="00ED3511" w:rsidP="00ED48A3">
            <w:pPr>
              <w:keepNext/>
              <w:jc w:val="center"/>
            </w:pPr>
          </w:p>
        </w:tc>
      </w:tr>
      <w:tr w:rsidR="00534A2D" w14:paraId="1C0F58E4" w14:textId="77777777" w:rsidTr="008D783A">
        <w:trPr>
          <w:gridAfter w:val="1"/>
          <w:wAfter w:w="12" w:type="dxa"/>
          <w:cantSplit/>
          <w:trHeight w:val="70"/>
          <w:jc w:val="center"/>
        </w:trPr>
        <w:tc>
          <w:tcPr>
            <w:tcW w:w="1364" w:type="dxa"/>
            <w:gridSpan w:val="2"/>
          </w:tcPr>
          <w:p w14:paraId="4F1410B0" w14:textId="77777777" w:rsidR="00ED3511" w:rsidRPr="001B4A02" w:rsidRDefault="00000000" w:rsidP="00ED48A3">
            <w:pPr>
              <w:keepNext/>
            </w:pPr>
            <w:r w:rsidRPr="001B4A02">
              <w:tab/>
              <w:t>Týden 52</w:t>
            </w:r>
          </w:p>
        </w:tc>
        <w:tc>
          <w:tcPr>
            <w:tcW w:w="1046" w:type="dxa"/>
          </w:tcPr>
          <w:p w14:paraId="4FD10AE6" w14:textId="77777777" w:rsidR="00ED3511" w:rsidRPr="001B4A02" w:rsidRDefault="00000000" w:rsidP="00ED48A3">
            <w:pPr>
              <w:keepNext/>
              <w:jc w:val="center"/>
            </w:pPr>
            <w:r w:rsidRPr="001B4A02">
              <w:t>27,2</w:t>
            </w:r>
            <w:r w:rsidR="00140D08" w:rsidRPr="001B4A02">
              <w:t> </w:t>
            </w:r>
            <w:r w:rsidRPr="001B4A02">
              <w:t>%</w:t>
            </w:r>
          </w:p>
        </w:tc>
        <w:tc>
          <w:tcPr>
            <w:tcW w:w="992" w:type="dxa"/>
          </w:tcPr>
          <w:p w14:paraId="219C0707" w14:textId="77777777" w:rsidR="00ED3511" w:rsidRPr="001B4A02" w:rsidRDefault="00000000" w:rsidP="00ED48A3">
            <w:pPr>
              <w:keepNext/>
              <w:jc w:val="center"/>
            </w:pPr>
            <w:r w:rsidRPr="001B4A02">
              <w:t>25,9</w:t>
            </w:r>
            <w:r w:rsidR="00140D08" w:rsidRPr="001B4A02">
              <w:t> </w:t>
            </w:r>
            <w:r w:rsidRPr="001B4A02">
              <w:t>%</w:t>
            </w:r>
          </w:p>
        </w:tc>
        <w:tc>
          <w:tcPr>
            <w:tcW w:w="1560" w:type="dxa"/>
          </w:tcPr>
          <w:p w14:paraId="79C6597A" w14:textId="77777777" w:rsidR="00ED3511" w:rsidRPr="001B4A02" w:rsidRDefault="00000000" w:rsidP="00ED48A3">
            <w:pPr>
              <w:keepNext/>
              <w:jc w:val="center"/>
            </w:pPr>
            <w:r w:rsidRPr="001B4A02">
              <w:t>45,5</w:t>
            </w:r>
            <w:r w:rsidR="00140D08" w:rsidRPr="001B4A02">
              <w:t> </w:t>
            </w:r>
            <w:r w:rsidRPr="001B4A02">
              <w:t>%</w:t>
            </w:r>
          </w:p>
        </w:tc>
        <w:tc>
          <w:tcPr>
            <w:tcW w:w="1417" w:type="dxa"/>
          </w:tcPr>
          <w:p w14:paraId="49639787" w14:textId="77777777" w:rsidR="00ED3511" w:rsidRPr="001B4A02" w:rsidRDefault="00000000" w:rsidP="00ED48A3">
            <w:pPr>
              <w:keepNext/>
              <w:jc w:val="center"/>
            </w:pPr>
            <w:r w:rsidRPr="001B4A02">
              <w:t>&lt;0,001</w:t>
            </w:r>
          </w:p>
        </w:tc>
        <w:tc>
          <w:tcPr>
            <w:tcW w:w="1559" w:type="dxa"/>
          </w:tcPr>
          <w:p w14:paraId="0CB8F9C7" w14:textId="77777777" w:rsidR="00ED3511" w:rsidRPr="001B4A02" w:rsidRDefault="00000000" w:rsidP="00ED48A3">
            <w:pPr>
              <w:keepNext/>
              <w:jc w:val="center"/>
            </w:pPr>
            <w:r w:rsidRPr="001B4A02">
              <w:t>&lt;0,001</w:t>
            </w:r>
          </w:p>
        </w:tc>
        <w:tc>
          <w:tcPr>
            <w:tcW w:w="1309" w:type="dxa"/>
          </w:tcPr>
          <w:p w14:paraId="2F52F1B4" w14:textId="77777777" w:rsidR="00ED3511" w:rsidRPr="001B4A02" w:rsidRDefault="00000000" w:rsidP="00ED48A3">
            <w:pPr>
              <w:keepNext/>
              <w:jc w:val="center"/>
            </w:pPr>
            <w:r w:rsidRPr="001B4A02">
              <w:t>0,656</w:t>
            </w:r>
          </w:p>
        </w:tc>
      </w:tr>
      <w:tr w:rsidR="00534A2D" w14:paraId="601CC814" w14:textId="77777777" w:rsidTr="008D783A">
        <w:trPr>
          <w:gridAfter w:val="1"/>
          <w:wAfter w:w="12" w:type="dxa"/>
          <w:cantSplit/>
          <w:jc w:val="center"/>
        </w:trPr>
        <w:tc>
          <w:tcPr>
            <w:tcW w:w="1364" w:type="dxa"/>
            <w:gridSpan w:val="2"/>
          </w:tcPr>
          <w:p w14:paraId="13D1D5C8" w14:textId="77777777" w:rsidR="00ED3511" w:rsidRPr="001B4A02" w:rsidRDefault="00000000" w:rsidP="00ED48A3">
            <w:pPr>
              <w:keepNext/>
            </w:pPr>
            <w:r w:rsidRPr="001B4A02">
              <w:tab/>
              <w:t>Týden 104</w:t>
            </w:r>
          </w:p>
        </w:tc>
        <w:tc>
          <w:tcPr>
            <w:tcW w:w="1046" w:type="dxa"/>
          </w:tcPr>
          <w:p w14:paraId="740320E9" w14:textId="77777777" w:rsidR="00ED3511" w:rsidRPr="001B4A02" w:rsidRDefault="00000000" w:rsidP="00ED48A3">
            <w:pPr>
              <w:keepNext/>
              <w:jc w:val="center"/>
            </w:pPr>
            <w:r w:rsidRPr="001B4A02">
              <w:t>28,4</w:t>
            </w:r>
            <w:r w:rsidR="00140D08" w:rsidRPr="001B4A02">
              <w:t> </w:t>
            </w:r>
            <w:r w:rsidRPr="001B4A02">
              <w:t>%</w:t>
            </w:r>
          </w:p>
        </w:tc>
        <w:tc>
          <w:tcPr>
            <w:tcW w:w="992" w:type="dxa"/>
          </w:tcPr>
          <w:p w14:paraId="371280E2" w14:textId="77777777" w:rsidR="00ED3511" w:rsidRPr="001B4A02" w:rsidRDefault="00000000" w:rsidP="00ED48A3">
            <w:pPr>
              <w:keepNext/>
              <w:jc w:val="center"/>
            </w:pPr>
            <w:r w:rsidRPr="001B4A02">
              <w:t>28,1</w:t>
            </w:r>
            <w:r w:rsidR="00140D08" w:rsidRPr="001B4A02">
              <w:t> </w:t>
            </w:r>
            <w:r w:rsidRPr="001B4A02">
              <w:t>%</w:t>
            </w:r>
          </w:p>
        </w:tc>
        <w:tc>
          <w:tcPr>
            <w:tcW w:w="1560" w:type="dxa"/>
          </w:tcPr>
          <w:p w14:paraId="5BE729DA" w14:textId="77777777" w:rsidR="00ED3511" w:rsidRPr="001B4A02" w:rsidRDefault="00000000" w:rsidP="00ED48A3">
            <w:pPr>
              <w:keepNext/>
              <w:jc w:val="center"/>
            </w:pPr>
            <w:r w:rsidRPr="001B4A02">
              <w:t>46,6</w:t>
            </w:r>
            <w:r w:rsidR="00140D08" w:rsidRPr="001B4A02">
              <w:t> </w:t>
            </w:r>
            <w:r w:rsidRPr="001B4A02">
              <w:t>%</w:t>
            </w:r>
          </w:p>
        </w:tc>
        <w:tc>
          <w:tcPr>
            <w:tcW w:w="1417" w:type="dxa"/>
          </w:tcPr>
          <w:p w14:paraId="4E3D8289" w14:textId="77777777" w:rsidR="00ED3511" w:rsidRPr="001B4A02" w:rsidRDefault="00000000" w:rsidP="00ED48A3">
            <w:pPr>
              <w:keepNext/>
              <w:jc w:val="center"/>
            </w:pPr>
            <w:r w:rsidRPr="001B4A02">
              <w:t>&lt;0,001</w:t>
            </w:r>
          </w:p>
        </w:tc>
        <w:tc>
          <w:tcPr>
            <w:tcW w:w="1559" w:type="dxa"/>
          </w:tcPr>
          <w:p w14:paraId="28C5A2A7" w14:textId="77777777" w:rsidR="00ED3511" w:rsidRPr="001B4A02" w:rsidRDefault="00000000" w:rsidP="00ED48A3">
            <w:pPr>
              <w:keepNext/>
              <w:jc w:val="center"/>
            </w:pPr>
            <w:r w:rsidRPr="001B4A02">
              <w:t>&lt;0,001</w:t>
            </w:r>
          </w:p>
        </w:tc>
        <w:tc>
          <w:tcPr>
            <w:tcW w:w="1309" w:type="dxa"/>
          </w:tcPr>
          <w:p w14:paraId="40FDB530" w14:textId="77777777" w:rsidR="00ED3511" w:rsidRPr="001B4A02" w:rsidRDefault="00000000" w:rsidP="00ED48A3">
            <w:pPr>
              <w:keepNext/>
              <w:jc w:val="center"/>
            </w:pPr>
            <w:r w:rsidRPr="001B4A02">
              <w:t>0,864</w:t>
            </w:r>
          </w:p>
        </w:tc>
      </w:tr>
      <w:tr w:rsidR="00534A2D" w14:paraId="0F388901" w14:textId="77777777" w:rsidTr="00187CC8">
        <w:trPr>
          <w:gridBefore w:val="1"/>
          <w:wBefore w:w="9" w:type="dxa"/>
          <w:cantSplit/>
          <w:jc w:val="center"/>
        </w:trPr>
        <w:tc>
          <w:tcPr>
            <w:tcW w:w="9250" w:type="dxa"/>
            <w:gridSpan w:val="8"/>
          </w:tcPr>
          <w:p w14:paraId="4B3498B5" w14:textId="77777777" w:rsidR="00ED3511" w:rsidRPr="00D0259F" w:rsidRDefault="00000000" w:rsidP="00ED48A3">
            <w:pPr>
              <w:keepNext/>
              <w:tabs>
                <w:tab w:val="left" w:pos="330"/>
                <w:tab w:val="left" w:pos="10728"/>
              </w:tabs>
              <w:ind w:left="360" w:hanging="360"/>
              <w:rPr>
                <w:sz w:val="20"/>
              </w:rPr>
            </w:pPr>
            <w:r w:rsidRPr="001B4A02">
              <w:rPr>
                <w:sz w:val="20"/>
                <w:vertAlign w:val="superscript"/>
              </w:rPr>
              <w:t>a</w:t>
            </w:r>
            <w:r w:rsidRPr="001B4A02">
              <w:rPr>
                <w:sz w:val="20"/>
              </w:rPr>
              <w:t xml:space="preserve"> Hodnota p pochází z párového srovnání monoterapie </w:t>
            </w:r>
            <w:r w:rsidRPr="009271A3">
              <w:rPr>
                <w:sz w:val="20"/>
              </w:rPr>
              <w:t>methotrexátem</w:t>
            </w:r>
            <w:r w:rsidR="002378E0">
              <w:rPr>
                <w:sz w:val="20"/>
              </w:rPr>
              <w:t xml:space="preserve"> a </w:t>
            </w:r>
            <w:r w:rsidRPr="009271A3">
              <w:rPr>
                <w:sz w:val="20"/>
              </w:rPr>
              <w:t>kombin</w:t>
            </w:r>
            <w:r w:rsidR="009271A3" w:rsidRPr="009271A3">
              <w:rPr>
                <w:sz w:val="20"/>
              </w:rPr>
              <w:t>ované</w:t>
            </w:r>
            <w:r w:rsidRPr="009271A3">
              <w:rPr>
                <w:sz w:val="20"/>
              </w:rPr>
              <w:t xml:space="preserve"> terapie přípravkem Humira/methotrexát pomocí Mann</w:t>
            </w:r>
            <w:r w:rsidRPr="009271A3">
              <w:rPr>
                <w:sz w:val="20"/>
              </w:rPr>
              <w:noBreakHyphen/>
              <w:t>Whitneova U testu.</w:t>
            </w:r>
          </w:p>
          <w:p w14:paraId="3BD331BE" w14:textId="77777777" w:rsidR="00ED3511" w:rsidRPr="007E3412" w:rsidRDefault="00000000" w:rsidP="00ED48A3">
            <w:pPr>
              <w:pStyle w:val="BodyTextIndent"/>
              <w:keepNext/>
              <w:ind w:left="330" w:hanging="330"/>
              <w:rPr>
                <w:b w:val="0"/>
                <w:bCs/>
                <w:color w:val="auto"/>
                <w:sz w:val="20"/>
                <w:lang w:val="cs-CZ"/>
              </w:rPr>
            </w:pPr>
            <w:r w:rsidRPr="00DE3467">
              <w:rPr>
                <w:b w:val="0"/>
                <w:color w:val="auto"/>
                <w:sz w:val="20"/>
                <w:vertAlign w:val="superscript"/>
                <w:lang w:val="cs-CZ"/>
              </w:rPr>
              <w:t>b</w:t>
            </w:r>
            <w:r w:rsidRPr="009271A3">
              <w:rPr>
                <w:b w:val="0"/>
                <w:color w:val="auto"/>
                <w:sz w:val="20"/>
                <w:lang w:val="cs-CZ"/>
              </w:rPr>
              <w:t xml:space="preserve"> Hodnota p pochází z párového srovnání monoterapie přípravkem Humira</w:t>
            </w:r>
            <w:r w:rsidR="002378E0">
              <w:rPr>
                <w:b w:val="0"/>
                <w:color w:val="auto"/>
                <w:sz w:val="20"/>
                <w:lang w:val="cs-CZ"/>
              </w:rPr>
              <w:t xml:space="preserve"> a </w:t>
            </w:r>
            <w:r w:rsidRPr="0093374E">
              <w:rPr>
                <w:b w:val="0"/>
                <w:color w:val="auto"/>
                <w:sz w:val="20"/>
                <w:lang w:val="cs-CZ"/>
              </w:rPr>
              <w:t>kombin</w:t>
            </w:r>
            <w:r w:rsidR="009271A3" w:rsidRPr="000F1E90">
              <w:rPr>
                <w:b w:val="0"/>
                <w:color w:val="auto"/>
                <w:sz w:val="20"/>
              </w:rPr>
              <w:t>ované</w:t>
            </w:r>
            <w:r w:rsidRPr="0093374E">
              <w:rPr>
                <w:b w:val="0"/>
                <w:color w:val="auto"/>
                <w:sz w:val="20"/>
                <w:lang w:val="cs-CZ"/>
              </w:rPr>
              <w:t xml:space="preserve"> </w:t>
            </w:r>
            <w:r w:rsidRPr="009271A3">
              <w:rPr>
                <w:b w:val="0"/>
                <w:color w:val="auto"/>
                <w:sz w:val="20"/>
                <w:lang w:val="cs-CZ"/>
              </w:rPr>
              <w:t>terapie přípravkem Humira/</w:t>
            </w:r>
            <w:r w:rsidRPr="00D0259F">
              <w:rPr>
                <w:b w:val="0"/>
                <w:color w:val="auto"/>
                <w:sz w:val="20"/>
                <w:lang w:val="cs-CZ"/>
              </w:rPr>
              <w:t>methotrexát pomocí Mann</w:t>
            </w:r>
            <w:r w:rsidRPr="00D0259F">
              <w:rPr>
                <w:b w:val="0"/>
                <w:color w:val="auto"/>
                <w:sz w:val="20"/>
                <w:lang w:val="cs-CZ"/>
              </w:rPr>
              <w:noBreakHyphen/>
              <w:t>Whitneova U testu</w:t>
            </w:r>
            <w:r w:rsidRPr="007E3412">
              <w:rPr>
                <w:b w:val="0"/>
                <w:bCs/>
                <w:color w:val="auto"/>
                <w:sz w:val="20"/>
                <w:lang w:val="cs-CZ"/>
              </w:rPr>
              <w:t>.</w:t>
            </w:r>
          </w:p>
          <w:p w14:paraId="302825A2" w14:textId="77777777" w:rsidR="00ED3511" w:rsidRPr="001B4A02" w:rsidRDefault="00000000" w:rsidP="00ED48A3">
            <w:pPr>
              <w:pStyle w:val="BodyTextIndent"/>
              <w:keepNext/>
              <w:ind w:left="330" w:hanging="330"/>
              <w:rPr>
                <w:b w:val="0"/>
                <w:bCs/>
                <w:color w:val="auto"/>
                <w:lang w:val="cs-CZ"/>
              </w:rPr>
            </w:pPr>
            <w:r w:rsidRPr="001B4A02">
              <w:rPr>
                <w:b w:val="0"/>
                <w:bCs/>
                <w:color w:val="auto"/>
                <w:sz w:val="20"/>
                <w:vertAlign w:val="superscript"/>
                <w:lang w:val="cs-CZ"/>
              </w:rPr>
              <w:t>c</w:t>
            </w:r>
            <w:r w:rsidRPr="001B4A02">
              <w:rPr>
                <w:b w:val="0"/>
                <w:bCs/>
                <w:color w:val="auto"/>
                <w:sz w:val="20"/>
                <w:lang w:val="cs-CZ"/>
              </w:rPr>
              <w:t xml:space="preserve"> Hodnota p pochází z párového srovnání monoterapie přípravkem Humira</w:t>
            </w:r>
            <w:r w:rsidR="002378E0">
              <w:rPr>
                <w:b w:val="0"/>
                <w:bCs/>
                <w:color w:val="auto"/>
                <w:sz w:val="20"/>
                <w:lang w:val="cs-CZ"/>
              </w:rPr>
              <w:t xml:space="preserve"> a </w:t>
            </w:r>
            <w:r w:rsidRPr="001B4A02">
              <w:rPr>
                <w:b w:val="0"/>
                <w:bCs/>
                <w:color w:val="auto"/>
                <w:sz w:val="20"/>
                <w:lang w:val="cs-CZ"/>
              </w:rPr>
              <w:t xml:space="preserve">monoterapie methotrexátem pomocí </w:t>
            </w:r>
            <w:r w:rsidRPr="001B4A02">
              <w:rPr>
                <w:b w:val="0"/>
                <w:color w:val="auto"/>
                <w:sz w:val="20"/>
                <w:lang w:val="cs-CZ"/>
              </w:rPr>
              <w:t>Mann</w:t>
            </w:r>
            <w:r w:rsidRPr="001B4A02">
              <w:rPr>
                <w:b w:val="0"/>
                <w:color w:val="auto"/>
                <w:sz w:val="20"/>
                <w:lang w:val="cs-CZ"/>
              </w:rPr>
              <w:noBreakHyphen/>
              <w:t>Whitneova U testu</w:t>
            </w:r>
            <w:r w:rsidRPr="001B4A02">
              <w:rPr>
                <w:b w:val="0"/>
                <w:bCs/>
                <w:color w:val="auto"/>
                <w:sz w:val="20"/>
                <w:lang w:val="cs-CZ"/>
              </w:rPr>
              <w:t>.</w:t>
            </w:r>
          </w:p>
        </w:tc>
      </w:tr>
    </w:tbl>
    <w:p w14:paraId="06EC93FA" w14:textId="77777777" w:rsidR="00ED3511" w:rsidRPr="001B4A02" w:rsidRDefault="00ED3511" w:rsidP="00790DEF">
      <w:pPr>
        <w:pStyle w:val="EndnoteText"/>
        <w:rPr>
          <w:u w:val="single"/>
          <w:lang w:val="cs-CZ"/>
        </w:rPr>
      </w:pPr>
    </w:p>
    <w:p w14:paraId="3CF5A288" w14:textId="77777777" w:rsidR="00A93B82" w:rsidRPr="001B4A02" w:rsidRDefault="00000000" w:rsidP="00ED48A3">
      <w:pPr>
        <w:pStyle w:val="EndnoteText"/>
        <w:ind w:left="0" w:firstLine="0"/>
        <w:rPr>
          <w:lang w:val="cs-CZ"/>
        </w:rPr>
      </w:pPr>
      <w:r w:rsidRPr="001B4A02">
        <w:rPr>
          <w:lang w:val="cs-CZ"/>
        </w:rPr>
        <w:t>V otevřené prodloužené fázi studie RA V</w:t>
      </w:r>
      <w:r w:rsidR="00D41D1A" w:rsidRPr="001B4A02">
        <w:rPr>
          <w:lang w:val="cs-CZ"/>
        </w:rPr>
        <w:t xml:space="preserve"> </w:t>
      </w:r>
      <w:r w:rsidRPr="001B4A02">
        <w:rPr>
          <w:lang w:val="cs-CZ"/>
        </w:rPr>
        <w:t>byly odpovědi ACR na léčbu zachovány po dobu až 10 let. Z 542 pacientů, kteří byli randomizováni na léčbu přípravkem Humira 40</w:t>
      </w:r>
      <w:r w:rsidR="00F365E7">
        <w:rPr>
          <w:lang w:val="cs-CZ"/>
        </w:rPr>
        <w:t> mg</w:t>
      </w:r>
      <w:r w:rsidRPr="001B4A02">
        <w:rPr>
          <w:lang w:val="cs-CZ"/>
        </w:rPr>
        <w:t xml:space="preserve"> každý druhý týden, pokračovalo 170 pacien</w:t>
      </w:r>
      <w:r w:rsidR="00062315" w:rsidRPr="001B4A02">
        <w:rPr>
          <w:lang w:val="cs-CZ"/>
        </w:rPr>
        <w:t>tů v léčbě přípravkem Humira 40</w:t>
      </w:r>
      <w:r w:rsidR="00F365E7">
        <w:rPr>
          <w:lang w:val="cs-CZ"/>
        </w:rPr>
        <w:t> mg</w:t>
      </w:r>
      <w:r w:rsidRPr="001B4A02">
        <w:rPr>
          <w:lang w:val="cs-CZ"/>
        </w:rPr>
        <w:t xml:space="preserve"> každý druhý týden po dobu 10 let. Mezi těmi dosáhlo 154 pacientů (90,6</w:t>
      </w:r>
      <w:r w:rsidR="00140D08" w:rsidRPr="001B4A02">
        <w:rPr>
          <w:lang w:val="cs-CZ"/>
        </w:rPr>
        <w:t> </w:t>
      </w:r>
      <w:r w:rsidRPr="001B4A02">
        <w:rPr>
          <w:lang w:val="cs-CZ"/>
        </w:rPr>
        <w:t>%) odpovědi ACR 20; 127 pacientů (74,7</w:t>
      </w:r>
      <w:r w:rsidR="00140D08" w:rsidRPr="001B4A02">
        <w:rPr>
          <w:lang w:val="cs-CZ"/>
        </w:rPr>
        <w:t> </w:t>
      </w:r>
      <w:r w:rsidRPr="001B4A02">
        <w:rPr>
          <w:lang w:val="cs-CZ"/>
        </w:rPr>
        <w:t>%) dosáhlo odpovědi ACR 50</w:t>
      </w:r>
      <w:r w:rsidR="002378E0">
        <w:rPr>
          <w:lang w:val="cs-CZ"/>
        </w:rPr>
        <w:t xml:space="preserve"> a </w:t>
      </w:r>
      <w:r w:rsidRPr="001B4A02">
        <w:rPr>
          <w:lang w:val="cs-CZ"/>
        </w:rPr>
        <w:t>102 pacientů (60</w:t>
      </w:r>
      <w:r w:rsidR="00140D08" w:rsidRPr="001B4A02">
        <w:rPr>
          <w:lang w:val="cs-CZ"/>
        </w:rPr>
        <w:t> </w:t>
      </w:r>
      <w:r w:rsidRPr="001B4A02">
        <w:rPr>
          <w:lang w:val="cs-CZ"/>
        </w:rPr>
        <w:t>%) dosáhlo odpovědi ACR 70.</w:t>
      </w:r>
    </w:p>
    <w:p w14:paraId="3669048A" w14:textId="77777777" w:rsidR="00A93B82" w:rsidRPr="001B4A02" w:rsidRDefault="00A93B82" w:rsidP="00ED48A3">
      <w:pPr>
        <w:pStyle w:val="EndnoteText"/>
        <w:ind w:left="0" w:firstLine="0"/>
        <w:rPr>
          <w:lang w:val="cs-CZ"/>
        </w:rPr>
      </w:pPr>
    </w:p>
    <w:p w14:paraId="75DFE065" w14:textId="77777777" w:rsidR="00ED3511" w:rsidRPr="001B4A02" w:rsidRDefault="00000000" w:rsidP="00ED48A3">
      <w:pPr>
        <w:pStyle w:val="EndnoteText"/>
        <w:ind w:left="0" w:firstLine="0"/>
        <w:rPr>
          <w:lang w:val="cs-CZ"/>
        </w:rPr>
      </w:pPr>
      <w:r w:rsidRPr="001B4A02">
        <w:rPr>
          <w:lang w:val="cs-CZ"/>
        </w:rPr>
        <w:t>V týdnu 52 dosáhlo 42,9</w:t>
      </w:r>
      <w:r w:rsidR="00140D08" w:rsidRPr="001B4A02">
        <w:rPr>
          <w:lang w:val="cs-CZ"/>
        </w:rPr>
        <w:t> </w:t>
      </w:r>
      <w:r w:rsidRPr="001B4A02">
        <w:rPr>
          <w:lang w:val="cs-CZ"/>
        </w:rPr>
        <w:t>% pacientů léčených kombinací přípravku Humira/methotrexát klinickou remisi (DAS28 </w:t>
      </w:r>
      <w:r w:rsidR="00A93B82" w:rsidRPr="001B4A02">
        <w:rPr>
          <w:lang w:val="cs-CZ"/>
        </w:rPr>
        <w:t xml:space="preserve">(CRP) </w:t>
      </w:r>
      <w:r w:rsidRPr="001B4A02">
        <w:rPr>
          <w:lang w:val="cs-CZ"/>
        </w:rPr>
        <w:t>&lt; 2,6) v porovnání s 20,6</w:t>
      </w:r>
      <w:r w:rsidR="00140D08" w:rsidRPr="001B4A02">
        <w:rPr>
          <w:lang w:val="cs-CZ"/>
        </w:rPr>
        <w:t> </w:t>
      </w:r>
      <w:r w:rsidRPr="001B4A02">
        <w:rPr>
          <w:lang w:val="cs-CZ"/>
        </w:rPr>
        <w:t>% pacientů léčených methotrexátem v monoterapii</w:t>
      </w:r>
      <w:r w:rsidR="002378E0">
        <w:rPr>
          <w:lang w:val="cs-CZ"/>
        </w:rPr>
        <w:t xml:space="preserve"> a </w:t>
      </w:r>
      <w:r w:rsidRPr="001B4A02">
        <w:rPr>
          <w:lang w:val="cs-CZ"/>
        </w:rPr>
        <w:t>23,4</w:t>
      </w:r>
      <w:r w:rsidR="00140D08" w:rsidRPr="001B4A02">
        <w:rPr>
          <w:lang w:val="cs-CZ"/>
        </w:rPr>
        <w:t> </w:t>
      </w:r>
      <w:r w:rsidRPr="001B4A02">
        <w:rPr>
          <w:lang w:val="cs-CZ"/>
        </w:rPr>
        <w:t>% pacientů léčených přípravkem Humira v monoterapii. Kombin</w:t>
      </w:r>
      <w:r w:rsidR="009271A3">
        <w:t>ovan</w:t>
      </w:r>
      <w:r w:rsidR="009271A3">
        <w:rPr>
          <w:lang w:val="cs-CZ"/>
        </w:rPr>
        <w:t>á</w:t>
      </w:r>
      <w:r w:rsidRPr="001B4A02">
        <w:rPr>
          <w:lang w:val="cs-CZ"/>
        </w:rPr>
        <w:t xml:space="preserve"> terapie přípravkem Humira/methotrexátem byla klinicky</w:t>
      </w:r>
      <w:r w:rsidR="002378E0">
        <w:rPr>
          <w:lang w:val="cs-CZ"/>
        </w:rPr>
        <w:t xml:space="preserve"> a </w:t>
      </w:r>
      <w:r w:rsidRPr="001B4A02">
        <w:rPr>
          <w:lang w:val="cs-CZ"/>
        </w:rPr>
        <w:t>statisticky lepší než monoterapie methotrexátem (p</w:t>
      </w:r>
      <w:r w:rsidR="009B56B1" w:rsidRPr="001B4A02">
        <w:rPr>
          <w:rFonts w:ascii="Symbol" w:hAnsi="Symbol"/>
          <w:lang w:val="cs-CZ"/>
        </w:rPr>
        <w:sym w:font="Symbol" w:char="F03C"/>
      </w:r>
      <w:r w:rsidRPr="001B4A02">
        <w:rPr>
          <w:lang w:val="cs-CZ"/>
        </w:rPr>
        <w:t>0,001)</w:t>
      </w:r>
      <w:r w:rsidR="002378E0">
        <w:rPr>
          <w:lang w:val="cs-CZ"/>
        </w:rPr>
        <w:t xml:space="preserve"> a </w:t>
      </w:r>
      <w:r w:rsidRPr="001B4A02">
        <w:rPr>
          <w:lang w:val="cs-CZ"/>
        </w:rPr>
        <w:t>monoterapie přípravkem Humira (p</w:t>
      </w:r>
      <w:r w:rsidR="009B56B1" w:rsidRPr="001B4A02">
        <w:rPr>
          <w:rFonts w:ascii="Symbol" w:hAnsi="Symbol"/>
          <w:lang w:val="cs-CZ"/>
        </w:rPr>
        <w:sym w:font="Symbol" w:char="F03C"/>
      </w:r>
      <w:r w:rsidRPr="001B4A02">
        <w:rPr>
          <w:lang w:val="cs-CZ"/>
        </w:rPr>
        <w:t>0,001) z hlediska dosažení stavu nízké aktivity choroby u pacientů se střední až těžkou formou revmatoidní artritidy d</w:t>
      </w:r>
      <w:r w:rsidR="00790DEF" w:rsidRPr="001B4A02">
        <w:rPr>
          <w:lang w:val="cs-CZ"/>
        </w:rPr>
        <w:t>iagnostikovanou v nedávné době.</w:t>
      </w:r>
    </w:p>
    <w:p w14:paraId="28B080B9" w14:textId="77777777" w:rsidR="00ED3511" w:rsidRPr="001B4A02" w:rsidRDefault="00000000" w:rsidP="00ED48A3">
      <w:pPr>
        <w:pStyle w:val="EMEANormal"/>
        <w:tabs>
          <w:tab w:val="clear" w:pos="562"/>
        </w:tabs>
        <w:suppressAutoHyphens w:val="0"/>
        <w:rPr>
          <w:lang w:val="cs-CZ"/>
        </w:rPr>
      </w:pPr>
      <w:r w:rsidRPr="001B4A02">
        <w:rPr>
          <w:lang w:val="cs-CZ"/>
        </w:rPr>
        <w:t>Odpověď u obou větví studie s monoterapií byla podobná (p=0,447).</w:t>
      </w:r>
      <w:r w:rsidR="00A93B82" w:rsidRPr="001B4A02">
        <w:rPr>
          <w:lang w:val="cs-CZ"/>
        </w:rPr>
        <w:t xml:space="preserve"> Ze 342 subjektů, kte</w:t>
      </w:r>
      <w:r w:rsidR="00F9434B">
        <w:rPr>
          <w:lang w:val="cs-CZ"/>
        </w:rPr>
        <w:t>ré</w:t>
      </w:r>
      <w:r w:rsidR="00A93B82" w:rsidRPr="001B4A02">
        <w:rPr>
          <w:lang w:val="cs-CZ"/>
        </w:rPr>
        <w:t xml:space="preserve"> se účastnil</w:t>
      </w:r>
      <w:r w:rsidR="00F9434B">
        <w:rPr>
          <w:lang w:val="cs-CZ"/>
        </w:rPr>
        <w:t>y</w:t>
      </w:r>
      <w:r w:rsidR="00A93B82" w:rsidRPr="001B4A02">
        <w:rPr>
          <w:lang w:val="cs-CZ"/>
        </w:rPr>
        <w:t xml:space="preserve"> otevřené prodloužené fáze studie</w:t>
      </w:r>
      <w:r w:rsidR="002378E0">
        <w:rPr>
          <w:lang w:val="cs-CZ"/>
        </w:rPr>
        <w:t xml:space="preserve"> a </w:t>
      </w:r>
      <w:r w:rsidR="00A93B82" w:rsidRPr="001B4A02">
        <w:rPr>
          <w:lang w:val="cs-CZ"/>
        </w:rPr>
        <w:t>byl</w:t>
      </w:r>
      <w:r w:rsidR="00F9434B">
        <w:rPr>
          <w:lang w:val="cs-CZ"/>
        </w:rPr>
        <w:t>y</w:t>
      </w:r>
      <w:r w:rsidR="00A93B82" w:rsidRPr="001B4A02">
        <w:rPr>
          <w:lang w:val="cs-CZ"/>
        </w:rPr>
        <w:t xml:space="preserve"> randomizován</w:t>
      </w:r>
      <w:r w:rsidR="00F9434B">
        <w:rPr>
          <w:lang w:val="cs-CZ"/>
        </w:rPr>
        <w:t>y</w:t>
      </w:r>
      <w:r w:rsidR="00A93B82" w:rsidRPr="001B4A02">
        <w:rPr>
          <w:lang w:val="cs-CZ"/>
        </w:rPr>
        <w:t xml:space="preserve"> na léčbu přípravkem Humira v</w:t>
      </w:r>
      <w:r w:rsidR="00790DEF" w:rsidRPr="001B4A02">
        <w:rPr>
          <w:lang w:val="cs-CZ"/>
        </w:rPr>
        <w:t> </w:t>
      </w:r>
      <w:r w:rsidR="00A93B82" w:rsidRPr="001B4A02">
        <w:rPr>
          <w:lang w:val="cs-CZ"/>
        </w:rPr>
        <w:t xml:space="preserve">monoterapii nebo </w:t>
      </w:r>
      <w:r w:rsidR="00B86D3A" w:rsidRPr="001B4A02">
        <w:rPr>
          <w:lang w:val="cs-CZ"/>
        </w:rPr>
        <w:t xml:space="preserve">přípravku </w:t>
      </w:r>
      <w:r w:rsidR="00A93B82" w:rsidRPr="001B4A02">
        <w:rPr>
          <w:lang w:val="cs-CZ"/>
        </w:rPr>
        <w:t>Humira v</w:t>
      </w:r>
      <w:r w:rsidR="00B86D3A" w:rsidRPr="001B4A02">
        <w:rPr>
          <w:lang w:val="cs-CZ"/>
        </w:rPr>
        <w:t> </w:t>
      </w:r>
      <w:r w:rsidR="00A93B82" w:rsidRPr="001B4A02">
        <w:rPr>
          <w:lang w:val="cs-CZ"/>
        </w:rPr>
        <w:t>kombinaci s</w:t>
      </w:r>
      <w:r w:rsidR="00B86D3A" w:rsidRPr="001B4A02">
        <w:rPr>
          <w:lang w:val="cs-CZ"/>
        </w:rPr>
        <w:t> </w:t>
      </w:r>
      <w:r w:rsidR="00A93B82" w:rsidRPr="001B4A02">
        <w:rPr>
          <w:lang w:val="cs-CZ"/>
        </w:rPr>
        <w:t>methotrexátem, 171 pacientů dokončilo 10 let léčby přípravkem Humira. Z</w:t>
      </w:r>
      <w:r w:rsidR="00272620" w:rsidRPr="001B4A02">
        <w:rPr>
          <w:lang w:val="cs-CZ"/>
        </w:rPr>
        <w:t> </w:t>
      </w:r>
      <w:r w:rsidR="00A93B82" w:rsidRPr="001B4A02">
        <w:rPr>
          <w:lang w:val="cs-CZ"/>
        </w:rPr>
        <w:t>těchto pacientů dosáhlo remise po 10 letech 109 subjektů (63,7</w:t>
      </w:r>
      <w:r w:rsidR="00140D08" w:rsidRPr="001B4A02">
        <w:rPr>
          <w:lang w:val="cs-CZ"/>
        </w:rPr>
        <w:t> </w:t>
      </w:r>
      <w:r w:rsidR="00A93B82" w:rsidRPr="001B4A02">
        <w:rPr>
          <w:lang w:val="cs-CZ"/>
        </w:rPr>
        <w:t>%).</w:t>
      </w:r>
    </w:p>
    <w:p w14:paraId="164700C4" w14:textId="77777777" w:rsidR="00ED3511" w:rsidRPr="001B4A02" w:rsidRDefault="00ED3511" w:rsidP="00ED48A3">
      <w:pPr>
        <w:ind w:left="0" w:firstLine="0"/>
        <w:rPr>
          <w:u w:val="single"/>
        </w:rPr>
      </w:pPr>
    </w:p>
    <w:p w14:paraId="3CF52496" w14:textId="77777777" w:rsidR="00ED3511" w:rsidRPr="001B4A02" w:rsidRDefault="00000000" w:rsidP="00A03600">
      <w:pPr>
        <w:keepNext/>
        <w:ind w:left="0" w:firstLine="0"/>
        <w:rPr>
          <w:i/>
          <w:u w:val="single"/>
        </w:rPr>
      </w:pPr>
      <w:r w:rsidRPr="001B4A02">
        <w:rPr>
          <w:i/>
          <w:u w:val="single"/>
        </w:rPr>
        <w:t>RTG odpověď</w:t>
      </w:r>
    </w:p>
    <w:p w14:paraId="23896FFA" w14:textId="77777777" w:rsidR="00ED3511" w:rsidRPr="001B4A02" w:rsidRDefault="00ED3511" w:rsidP="00A03600">
      <w:pPr>
        <w:keepNext/>
      </w:pPr>
    </w:p>
    <w:p w14:paraId="6A99895B" w14:textId="77777777" w:rsidR="00ED3511" w:rsidRPr="001B4A02" w:rsidRDefault="00000000" w:rsidP="00ED48A3">
      <w:pPr>
        <w:ind w:left="0" w:firstLine="0"/>
      </w:pPr>
      <w:r w:rsidRPr="001B4A02">
        <w:t>Ve studii RA III, kde průměrné trvání revmatoidní artritidy u pacientů léčených přípravkem Humira bylo přibližně 11 let, bylo strukturální poškození kloubů hodnoceno radiograficky</w:t>
      </w:r>
      <w:r w:rsidR="002378E0">
        <w:t xml:space="preserve"> a </w:t>
      </w:r>
      <w:r w:rsidRPr="001B4A02">
        <w:t>vyjádřeno jako změna modifikovaného celkového Sharpova skóre (Total Sharp Score, TSS)</w:t>
      </w:r>
      <w:r w:rsidR="002378E0">
        <w:t xml:space="preserve"> a </w:t>
      </w:r>
      <w:r w:rsidRPr="001B4A02">
        <w:t>jeho komponent, skóre erozí</w:t>
      </w:r>
      <w:r w:rsidR="002378E0">
        <w:t xml:space="preserve"> a </w:t>
      </w:r>
      <w:r w:rsidRPr="001B4A02">
        <w:t>skóre zúžení kloubní štěrbiny. U pacientů léčených přípravkem Humira/methotrexátem byla zjištěna významně menší RTG progrese v 6.</w:t>
      </w:r>
      <w:r w:rsidR="002378E0">
        <w:t xml:space="preserve"> a </w:t>
      </w:r>
      <w:r w:rsidRPr="001B4A02">
        <w:t xml:space="preserve">12. měsíci léčby než u pacientů léčených methotrexátem v monoterapii (viz tabulka </w:t>
      </w:r>
      <w:r w:rsidR="00C76DCD">
        <w:t>10</w:t>
      </w:r>
      <w:r w:rsidR="00790DEF" w:rsidRPr="001B4A02">
        <w:t>).</w:t>
      </w:r>
    </w:p>
    <w:p w14:paraId="1F376976" w14:textId="77777777" w:rsidR="00ED3511" w:rsidRPr="001B4A02" w:rsidRDefault="00ED3511" w:rsidP="00ED48A3">
      <w:pPr>
        <w:ind w:left="0" w:firstLine="0"/>
      </w:pPr>
    </w:p>
    <w:p w14:paraId="2BD5A1F2" w14:textId="77777777" w:rsidR="00ED3511" w:rsidRPr="001B4A02" w:rsidRDefault="00000000" w:rsidP="00ED48A3">
      <w:pPr>
        <w:ind w:left="0" w:firstLine="0"/>
      </w:pPr>
      <w:r w:rsidRPr="001B4A02">
        <w:t>Snížení stupně progrese strukturálního poškození u části pacientů v otevřené prodloužen</w:t>
      </w:r>
      <w:r w:rsidR="00C55EB8" w:rsidRPr="001B4A02">
        <w:t>é</w:t>
      </w:r>
      <w:r w:rsidRPr="001B4A02">
        <w:t xml:space="preserve"> RA studii III přetrvává</w:t>
      </w:r>
      <w:r w:rsidRPr="001B4A02">
        <w:rPr>
          <w:szCs w:val="22"/>
        </w:rPr>
        <w:t xml:space="preserve"> po dobu 8</w:t>
      </w:r>
      <w:r w:rsidR="002378E0">
        <w:rPr>
          <w:szCs w:val="22"/>
        </w:rPr>
        <w:t xml:space="preserve"> a </w:t>
      </w:r>
      <w:r w:rsidRPr="001B4A02">
        <w:rPr>
          <w:szCs w:val="22"/>
        </w:rPr>
        <w:t>10 let</w:t>
      </w:r>
      <w:r w:rsidRPr="001B4A02">
        <w:t>. Po 8 letech bylo 81 z 207 pacientů původně léčených přípravkem Humira v dávce 40 mg každý druhý týden radiograficky zhodnoceno. U 48 z těchto pacientů nedošlo k progresi strukturálního poškození, což bylo definováno jako 0,5 či nižší změna hodnoty mTSS v porovnání s výchozím stavem. Po 10 letech 79 z 207 pacientů původně léčených přípravkem Humira v dávce 40</w:t>
      </w:r>
      <w:r w:rsidR="00F365E7">
        <w:t> mg</w:t>
      </w:r>
      <w:r w:rsidRPr="001B4A02">
        <w:t xml:space="preserve"> každý druhý týden bylo radiograficky zhodnoceno. Mezi těmito se u</w:t>
      </w:r>
      <w:r w:rsidR="00923691" w:rsidRPr="001B4A02">
        <w:t> </w:t>
      </w:r>
      <w:r w:rsidRPr="001B4A02">
        <w:t>40 pacientů neprokázala progrese strukturálního poškození, definovaná jako změna mTSS o</w:t>
      </w:r>
      <w:r w:rsidR="00923691" w:rsidRPr="001B4A02">
        <w:t> </w:t>
      </w:r>
      <w:r w:rsidRPr="001B4A02">
        <w:t>0,5 nebo méně v porovnání s výchozím stavem.</w:t>
      </w:r>
    </w:p>
    <w:p w14:paraId="3DB27EBB" w14:textId="77777777" w:rsidR="00ED3511" w:rsidRPr="001B4A02" w:rsidRDefault="00ED3511" w:rsidP="00ED48A3">
      <w:pPr>
        <w:ind w:left="0"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1"/>
        <w:gridCol w:w="1642"/>
        <w:gridCol w:w="1824"/>
        <w:gridCol w:w="1824"/>
        <w:gridCol w:w="1300"/>
      </w:tblGrid>
      <w:tr w:rsidR="00534A2D" w14:paraId="7D0DA942" w14:textId="77777777" w:rsidTr="008D783A">
        <w:tc>
          <w:tcPr>
            <w:tcW w:w="8951" w:type="dxa"/>
            <w:gridSpan w:val="5"/>
            <w:tcBorders>
              <w:top w:val="nil"/>
              <w:left w:val="nil"/>
              <w:bottom w:val="single" w:sz="4" w:space="0" w:color="auto"/>
              <w:right w:val="nil"/>
            </w:tcBorders>
          </w:tcPr>
          <w:p w14:paraId="03B4A028" w14:textId="77777777" w:rsidR="00ED3511" w:rsidRPr="001B4A02" w:rsidRDefault="00000000" w:rsidP="00A03600">
            <w:pPr>
              <w:keepNext/>
              <w:jc w:val="center"/>
              <w:rPr>
                <w:b/>
                <w:bCs/>
              </w:rPr>
            </w:pPr>
            <w:r w:rsidRPr="001B4A02">
              <w:rPr>
                <w:b/>
                <w:bCs/>
              </w:rPr>
              <w:t xml:space="preserve">Tabulka </w:t>
            </w:r>
            <w:r w:rsidR="00C76DCD">
              <w:rPr>
                <w:b/>
                <w:bCs/>
              </w:rPr>
              <w:t>10</w:t>
            </w:r>
            <w:r w:rsidR="00C76DCD" w:rsidRPr="001B4A02">
              <w:rPr>
                <w:b/>
                <w:bCs/>
              </w:rPr>
              <w:t xml:space="preserve"> </w:t>
            </w:r>
          </w:p>
          <w:p w14:paraId="4370D84D" w14:textId="77777777" w:rsidR="00ED3511" w:rsidRPr="001B4A02" w:rsidRDefault="00000000" w:rsidP="00A03600">
            <w:pPr>
              <w:keepNext/>
              <w:jc w:val="center"/>
              <w:rPr>
                <w:b/>
                <w:bCs/>
                <w:highlight w:val="cyan"/>
              </w:rPr>
            </w:pPr>
            <w:r w:rsidRPr="001B4A02">
              <w:rPr>
                <w:b/>
                <w:bCs/>
              </w:rPr>
              <w:t>Průměrné RTG změny po 12 měsících ve studii RA III</w:t>
            </w:r>
          </w:p>
          <w:p w14:paraId="5B26DD89" w14:textId="77777777" w:rsidR="00ED3511" w:rsidRPr="001B4A02" w:rsidRDefault="00ED3511" w:rsidP="00ED48A3">
            <w:pPr>
              <w:rPr>
                <w:bCs/>
                <w:highlight w:val="red"/>
              </w:rPr>
            </w:pPr>
          </w:p>
        </w:tc>
      </w:tr>
      <w:tr w:rsidR="00534A2D" w14:paraId="485DEEB4" w14:textId="77777777" w:rsidTr="008D783A">
        <w:tc>
          <w:tcPr>
            <w:tcW w:w="2448" w:type="dxa"/>
            <w:tcBorders>
              <w:top w:val="single" w:sz="4" w:space="0" w:color="auto"/>
            </w:tcBorders>
          </w:tcPr>
          <w:p w14:paraId="102336AD" w14:textId="77777777" w:rsidR="00ED3511" w:rsidRPr="001B4A02" w:rsidRDefault="00ED3511" w:rsidP="00ED48A3"/>
        </w:tc>
        <w:tc>
          <w:tcPr>
            <w:tcW w:w="1620" w:type="dxa"/>
            <w:tcBorders>
              <w:top w:val="single" w:sz="4" w:space="0" w:color="auto"/>
            </w:tcBorders>
          </w:tcPr>
          <w:p w14:paraId="31F53B54" w14:textId="77777777" w:rsidR="00ED3511" w:rsidRPr="001B4A02" w:rsidRDefault="00000000" w:rsidP="00ED48A3">
            <w:pPr>
              <w:ind w:left="0" w:firstLine="0"/>
              <w:jc w:val="center"/>
              <w:rPr>
                <w:vertAlign w:val="superscript"/>
              </w:rPr>
            </w:pPr>
            <w:r w:rsidRPr="001B4A02">
              <w:t>Placebo/MTX</w:t>
            </w:r>
            <w:r w:rsidRPr="001B4A02">
              <w:rPr>
                <w:vertAlign w:val="superscript"/>
              </w:rPr>
              <w:t>a</w:t>
            </w:r>
          </w:p>
        </w:tc>
        <w:tc>
          <w:tcPr>
            <w:tcW w:w="1800" w:type="dxa"/>
            <w:tcBorders>
              <w:top w:val="single" w:sz="4" w:space="0" w:color="auto"/>
            </w:tcBorders>
          </w:tcPr>
          <w:p w14:paraId="27F1CD00" w14:textId="77777777" w:rsidR="00ED3511" w:rsidRPr="001B4A02" w:rsidRDefault="00000000" w:rsidP="00ED48A3">
            <w:pPr>
              <w:ind w:left="0" w:firstLine="0"/>
              <w:jc w:val="center"/>
            </w:pPr>
            <w:r w:rsidRPr="001B4A02">
              <w:t>Humira/MTX 40</w:t>
            </w:r>
            <w:r w:rsidR="00F365E7">
              <w:t> mg</w:t>
            </w:r>
            <w:r w:rsidRPr="001B4A02">
              <w:t xml:space="preserve"> každý druhý týden</w:t>
            </w:r>
          </w:p>
        </w:tc>
        <w:tc>
          <w:tcPr>
            <w:tcW w:w="1800" w:type="dxa"/>
            <w:tcBorders>
              <w:top w:val="single" w:sz="4" w:space="0" w:color="auto"/>
            </w:tcBorders>
          </w:tcPr>
          <w:p w14:paraId="0252376B" w14:textId="77777777" w:rsidR="00ED3511" w:rsidRPr="001B4A02" w:rsidRDefault="00000000" w:rsidP="004E7C2A">
            <w:pPr>
              <w:ind w:left="0" w:firstLine="0"/>
              <w:jc w:val="center"/>
            </w:pPr>
            <w:r w:rsidRPr="001B4A02">
              <w:t>Placebo/MTX-Humira/MTX (95% interval spolehlivosti</w:t>
            </w:r>
            <w:r w:rsidRPr="001B4A02">
              <w:rPr>
                <w:vertAlign w:val="superscript"/>
              </w:rPr>
              <w:t>b</w:t>
            </w:r>
            <w:r w:rsidRPr="001B4A02">
              <w:t>)</w:t>
            </w:r>
          </w:p>
        </w:tc>
        <w:tc>
          <w:tcPr>
            <w:tcW w:w="1283" w:type="dxa"/>
            <w:tcBorders>
              <w:top w:val="single" w:sz="4" w:space="0" w:color="auto"/>
            </w:tcBorders>
          </w:tcPr>
          <w:p w14:paraId="2724C31D" w14:textId="77777777" w:rsidR="00ED3511" w:rsidRPr="001B4A02" w:rsidRDefault="00000000" w:rsidP="00ED48A3">
            <w:pPr>
              <w:ind w:left="0" w:firstLine="0"/>
              <w:jc w:val="center"/>
            </w:pPr>
            <w:r w:rsidRPr="001B4A02">
              <w:t>Hodnota p</w:t>
            </w:r>
          </w:p>
        </w:tc>
      </w:tr>
      <w:tr w:rsidR="00534A2D" w14:paraId="16A18914" w14:textId="77777777" w:rsidTr="008D783A">
        <w:tc>
          <w:tcPr>
            <w:tcW w:w="2448" w:type="dxa"/>
          </w:tcPr>
          <w:p w14:paraId="569B3E97" w14:textId="77777777" w:rsidR="00ED3511" w:rsidRPr="001B4A02" w:rsidRDefault="00000000" w:rsidP="00ED48A3">
            <w:r w:rsidRPr="001B4A02">
              <w:t>Celkové Sharpovo skóre</w:t>
            </w:r>
          </w:p>
          <w:p w14:paraId="1CBD0079" w14:textId="77777777" w:rsidR="00ED3511" w:rsidRPr="001B4A02" w:rsidRDefault="00ED3511" w:rsidP="00ED48A3"/>
        </w:tc>
        <w:tc>
          <w:tcPr>
            <w:tcW w:w="1620" w:type="dxa"/>
          </w:tcPr>
          <w:p w14:paraId="19C7DEBA" w14:textId="77777777" w:rsidR="00ED3511" w:rsidRPr="001B4A02" w:rsidRDefault="00000000" w:rsidP="00ED48A3">
            <w:pPr>
              <w:ind w:left="0" w:firstLine="0"/>
              <w:jc w:val="center"/>
            </w:pPr>
            <w:r w:rsidRPr="001B4A02">
              <w:t>2,7</w:t>
            </w:r>
          </w:p>
        </w:tc>
        <w:tc>
          <w:tcPr>
            <w:tcW w:w="1800" w:type="dxa"/>
          </w:tcPr>
          <w:p w14:paraId="23B844F6" w14:textId="77777777" w:rsidR="00ED3511" w:rsidRPr="001B4A02" w:rsidRDefault="00000000" w:rsidP="00ED48A3">
            <w:pPr>
              <w:ind w:left="0" w:firstLine="0"/>
              <w:jc w:val="center"/>
            </w:pPr>
            <w:r w:rsidRPr="001B4A02">
              <w:t>0,1</w:t>
            </w:r>
          </w:p>
        </w:tc>
        <w:tc>
          <w:tcPr>
            <w:tcW w:w="1800" w:type="dxa"/>
          </w:tcPr>
          <w:p w14:paraId="6F3A5E77" w14:textId="77777777" w:rsidR="00ED3511" w:rsidRPr="001B4A02" w:rsidRDefault="00000000" w:rsidP="00ED48A3">
            <w:pPr>
              <w:ind w:left="0" w:firstLine="0"/>
              <w:jc w:val="center"/>
            </w:pPr>
            <w:r w:rsidRPr="001B4A02">
              <w:t>2,6 (1,4; 3,8)</w:t>
            </w:r>
          </w:p>
        </w:tc>
        <w:tc>
          <w:tcPr>
            <w:tcW w:w="1283" w:type="dxa"/>
          </w:tcPr>
          <w:p w14:paraId="2D46F7EA" w14:textId="77777777" w:rsidR="00ED3511" w:rsidRPr="001B4A02" w:rsidRDefault="00000000" w:rsidP="00ED48A3">
            <w:pPr>
              <w:ind w:left="0" w:firstLine="0"/>
              <w:jc w:val="center"/>
              <w:rPr>
                <w:vertAlign w:val="superscript"/>
              </w:rPr>
            </w:pPr>
            <w:r w:rsidRPr="001B4A02">
              <w:t>&lt;0,001</w:t>
            </w:r>
            <w:r w:rsidRPr="001B4A02">
              <w:rPr>
                <w:vertAlign w:val="superscript"/>
              </w:rPr>
              <w:t>c</w:t>
            </w:r>
          </w:p>
        </w:tc>
      </w:tr>
      <w:tr w:rsidR="00534A2D" w14:paraId="6BCE592B" w14:textId="77777777" w:rsidTr="008D783A">
        <w:tc>
          <w:tcPr>
            <w:tcW w:w="2448" w:type="dxa"/>
          </w:tcPr>
          <w:p w14:paraId="4E14792A" w14:textId="77777777" w:rsidR="00ED3511" w:rsidRPr="001B4A02" w:rsidRDefault="00000000" w:rsidP="00ED48A3">
            <w:r w:rsidRPr="001B4A02">
              <w:t>Skóre erozí</w:t>
            </w:r>
          </w:p>
          <w:p w14:paraId="0279233E" w14:textId="77777777" w:rsidR="00ED3511" w:rsidRPr="001B4A02" w:rsidRDefault="00ED3511" w:rsidP="00ED48A3"/>
        </w:tc>
        <w:tc>
          <w:tcPr>
            <w:tcW w:w="1620" w:type="dxa"/>
          </w:tcPr>
          <w:p w14:paraId="7C49B2F9" w14:textId="77777777" w:rsidR="00ED3511" w:rsidRPr="001B4A02" w:rsidRDefault="00000000" w:rsidP="00ED48A3">
            <w:pPr>
              <w:ind w:left="0" w:firstLine="0"/>
              <w:jc w:val="center"/>
            </w:pPr>
            <w:r w:rsidRPr="001B4A02">
              <w:t>1,6</w:t>
            </w:r>
          </w:p>
        </w:tc>
        <w:tc>
          <w:tcPr>
            <w:tcW w:w="1800" w:type="dxa"/>
          </w:tcPr>
          <w:p w14:paraId="3263F62B" w14:textId="77777777" w:rsidR="00ED3511" w:rsidRPr="001B4A02" w:rsidRDefault="00000000" w:rsidP="00ED48A3">
            <w:pPr>
              <w:ind w:left="0" w:firstLine="0"/>
              <w:jc w:val="center"/>
            </w:pPr>
            <w:r w:rsidRPr="001B4A02">
              <w:t>0,0</w:t>
            </w:r>
          </w:p>
        </w:tc>
        <w:tc>
          <w:tcPr>
            <w:tcW w:w="1800" w:type="dxa"/>
          </w:tcPr>
          <w:p w14:paraId="3FE795D4" w14:textId="77777777" w:rsidR="00ED3511" w:rsidRPr="001B4A02" w:rsidRDefault="00000000" w:rsidP="00ED48A3">
            <w:pPr>
              <w:ind w:left="0" w:firstLine="0"/>
              <w:jc w:val="center"/>
            </w:pPr>
            <w:r w:rsidRPr="001B4A02">
              <w:t>1,6 (0,9; 2,2)</w:t>
            </w:r>
          </w:p>
        </w:tc>
        <w:tc>
          <w:tcPr>
            <w:tcW w:w="1283" w:type="dxa"/>
          </w:tcPr>
          <w:p w14:paraId="326BC76C" w14:textId="77777777" w:rsidR="00ED3511" w:rsidRPr="001B4A02" w:rsidRDefault="00000000" w:rsidP="00ED48A3">
            <w:pPr>
              <w:ind w:left="0" w:firstLine="0"/>
              <w:jc w:val="center"/>
            </w:pPr>
            <w:r w:rsidRPr="001B4A02">
              <w:t>&lt;0,001</w:t>
            </w:r>
          </w:p>
        </w:tc>
      </w:tr>
      <w:tr w:rsidR="00534A2D" w14:paraId="7345649F" w14:textId="77777777" w:rsidTr="008D783A">
        <w:tc>
          <w:tcPr>
            <w:tcW w:w="2448" w:type="dxa"/>
          </w:tcPr>
          <w:p w14:paraId="663FA5C7" w14:textId="77777777" w:rsidR="00ED3511" w:rsidRPr="001B4A02" w:rsidRDefault="00000000" w:rsidP="00ED48A3">
            <w:pPr>
              <w:rPr>
                <w:vertAlign w:val="superscript"/>
              </w:rPr>
            </w:pPr>
            <w:r w:rsidRPr="001B4A02">
              <w:t>Skóre JSN</w:t>
            </w:r>
            <w:r w:rsidRPr="001B4A02">
              <w:rPr>
                <w:vertAlign w:val="superscript"/>
              </w:rPr>
              <w:t>d</w:t>
            </w:r>
          </w:p>
          <w:p w14:paraId="32C7B782" w14:textId="77777777" w:rsidR="00ED3511" w:rsidRPr="001B4A02" w:rsidRDefault="00ED3511" w:rsidP="00ED48A3"/>
        </w:tc>
        <w:tc>
          <w:tcPr>
            <w:tcW w:w="1620" w:type="dxa"/>
          </w:tcPr>
          <w:p w14:paraId="32D7C580" w14:textId="77777777" w:rsidR="00ED3511" w:rsidRPr="001B4A02" w:rsidRDefault="00000000" w:rsidP="00ED48A3">
            <w:pPr>
              <w:ind w:left="0" w:firstLine="0"/>
              <w:jc w:val="center"/>
            </w:pPr>
            <w:r w:rsidRPr="001B4A02">
              <w:t>1,0</w:t>
            </w:r>
          </w:p>
        </w:tc>
        <w:tc>
          <w:tcPr>
            <w:tcW w:w="1800" w:type="dxa"/>
          </w:tcPr>
          <w:p w14:paraId="1AC0A016" w14:textId="77777777" w:rsidR="00ED3511" w:rsidRPr="001B4A02" w:rsidRDefault="00000000" w:rsidP="00ED48A3">
            <w:pPr>
              <w:ind w:left="0" w:firstLine="0"/>
              <w:jc w:val="center"/>
            </w:pPr>
            <w:r w:rsidRPr="001B4A02">
              <w:t>0,1</w:t>
            </w:r>
          </w:p>
        </w:tc>
        <w:tc>
          <w:tcPr>
            <w:tcW w:w="1800" w:type="dxa"/>
          </w:tcPr>
          <w:p w14:paraId="6ACA24A3" w14:textId="77777777" w:rsidR="00ED3511" w:rsidRPr="001B4A02" w:rsidRDefault="00000000" w:rsidP="00ED48A3">
            <w:pPr>
              <w:ind w:left="0" w:firstLine="0"/>
              <w:jc w:val="center"/>
            </w:pPr>
            <w:r w:rsidRPr="001B4A02">
              <w:t>0,9 (0,3; 1,4)</w:t>
            </w:r>
          </w:p>
        </w:tc>
        <w:tc>
          <w:tcPr>
            <w:tcW w:w="1283" w:type="dxa"/>
          </w:tcPr>
          <w:p w14:paraId="67EC6757" w14:textId="77777777" w:rsidR="00ED3511" w:rsidRPr="001B4A02" w:rsidRDefault="00000000" w:rsidP="00ED48A3">
            <w:pPr>
              <w:ind w:left="0" w:firstLine="0"/>
              <w:jc w:val="center"/>
            </w:pPr>
            <w:r w:rsidRPr="001B4A02">
              <w:t>0,002</w:t>
            </w:r>
          </w:p>
        </w:tc>
      </w:tr>
    </w:tbl>
    <w:p w14:paraId="483216CE" w14:textId="77777777" w:rsidR="00ED3511" w:rsidRPr="001B4A02" w:rsidRDefault="00000000" w:rsidP="00ED48A3">
      <w:pPr>
        <w:rPr>
          <w:sz w:val="20"/>
        </w:rPr>
      </w:pPr>
      <w:r w:rsidRPr="001B4A02">
        <w:rPr>
          <w:bCs/>
          <w:sz w:val="20"/>
          <w:vertAlign w:val="superscript"/>
        </w:rPr>
        <w:t xml:space="preserve">a </w:t>
      </w:r>
      <w:r w:rsidRPr="001B4A02">
        <w:rPr>
          <w:bCs/>
          <w:sz w:val="20"/>
        </w:rPr>
        <w:t>methotrex</w:t>
      </w:r>
      <w:r w:rsidRPr="001B4A02">
        <w:rPr>
          <w:sz w:val="20"/>
        </w:rPr>
        <w:t>át</w:t>
      </w:r>
    </w:p>
    <w:p w14:paraId="44A1BE2B" w14:textId="77777777" w:rsidR="00ED3511" w:rsidRPr="001B4A02" w:rsidRDefault="00000000" w:rsidP="00ED48A3">
      <w:pPr>
        <w:rPr>
          <w:sz w:val="20"/>
        </w:rPr>
      </w:pPr>
      <w:r w:rsidRPr="001B4A02">
        <w:rPr>
          <w:sz w:val="20"/>
          <w:vertAlign w:val="superscript"/>
        </w:rPr>
        <w:t xml:space="preserve">b </w:t>
      </w:r>
      <w:r w:rsidRPr="001B4A02">
        <w:rPr>
          <w:sz w:val="20"/>
        </w:rPr>
        <w:t>95% intervaly spolehlivosti pro rozdíly změny skóre mezi me</w:t>
      </w:r>
      <w:r w:rsidR="00790DEF" w:rsidRPr="001B4A02">
        <w:rPr>
          <w:sz w:val="20"/>
        </w:rPr>
        <w:t>thotrexátem</w:t>
      </w:r>
      <w:r w:rsidR="002378E0">
        <w:rPr>
          <w:sz w:val="20"/>
        </w:rPr>
        <w:t xml:space="preserve"> a </w:t>
      </w:r>
      <w:r w:rsidR="00790DEF" w:rsidRPr="001B4A02">
        <w:rPr>
          <w:sz w:val="20"/>
        </w:rPr>
        <w:t>přípravkem Humira</w:t>
      </w:r>
    </w:p>
    <w:p w14:paraId="0C094F97" w14:textId="77777777" w:rsidR="00ED3511" w:rsidRPr="001B4A02" w:rsidRDefault="00000000" w:rsidP="00ED48A3">
      <w:pPr>
        <w:rPr>
          <w:sz w:val="20"/>
        </w:rPr>
      </w:pPr>
      <w:r w:rsidRPr="001B4A02">
        <w:rPr>
          <w:sz w:val="20"/>
          <w:vertAlign w:val="superscript"/>
        </w:rPr>
        <w:t xml:space="preserve">c </w:t>
      </w:r>
      <w:r w:rsidR="00790DEF" w:rsidRPr="001B4A02">
        <w:rPr>
          <w:sz w:val="20"/>
        </w:rPr>
        <w:t>na základě analýzy pořadí</w:t>
      </w:r>
    </w:p>
    <w:p w14:paraId="5C3F10C5" w14:textId="77777777" w:rsidR="00ED3511" w:rsidRPr="001B4A02" w:rsidRDefault="00000000" w:rsidP="00ED48A3">
      <w:pPr>
        <w:ind w:left="0" w:firstLine="0"/>
        <w:rPr>
          <w:sz w:val="20"/>
          <w:u w:val="single"/>
        </w:rPr>
      </w:pPr>
      <w:r w:rsidRPr="001B4A02">
        <w:rPr>
          <w:sz w:val="20"/>
          <w:vertAlign w:val="superscript"/>
        </w:rPr>
        <w:t xml:space="preserve">d </w:t>
      </w:r>
      <w:r w:rsidRPr="001B4A02">
        <w:rPr>
          <w:sz w:val="20"/>
        </w:rPr>
        <w:t>zúžení kloubní štěrbiny</w:t>
      </w:r>
    </w:p>
    <w:p w14:paraId="7A734941" w14:textId="77777777" w:rsidR="00ED3511" w:rsidRPr="001B4A02" w:rsidRDefault="00ED3511" w:rsidP="00ED48A3">
      <w:pPr>
        <w:ind w:left="0" w:firstLine="0"/>
        <w:rPr>
          <w:u w:val="single"/>
        </w:rPr>
      </w:pPr>
    </w:p>
    <w:p w14:paraId="33CE2DD6" w14:textId="77777777" w:rsidR="00ED3511" w:rsidRPr="001B4A02" w:rsidRDefault="00000000" w:rsidP="00ED48A3">
      <w:pPr>
        <w:ind w:left="0" w:firstLine="0"/>
      </w:pPr>
      <w:r w:rsidRPr="001B4A02">
        <w:t>Ve studii RA V</w:t>
      </w:r>
      <w:r w:rsidR="00D41D1A" w:rsidRPr="001B4A02">
        <w:t xml:space="preserve"> </w:t>
      </w:r>
      <w:r w:rsidRPr="001B4A02">
        <w:t>bylo strukturální poškození kloubů hodnoceno radiograficky</w:t>
      </w:r>
      <w:r w:rsidR="002378E0">
        <w:t xml:space="preserve"> a </w:t>
      </w:r>
      <w:r w:rsidRPr="001B4A02">
        <w:t xml:space="preserve">vyjádřeno jako změna upraveného celkového Sharpova skóre (viz tabulka </w:t>
      </w:r>
      <w:r w:rsidR="00C76DCD">
        <w:t>11</w:t>
      </w:r>
      <w:r w:rsidRPr="001B4A02">
        <w:t>).</w:t>
      </w:r>
    </w:p>
    <w:p w14:paraId="07C141E3" w14:textId="77777777" w:rsidR="00ED3511" w:rsidRPr="001B4A02" w:rsidRDefault="00ED3511" w:rsidP="00A03600">
      <w:pPr>
        <w:ind w:left="0" w:firstLine="0"/>
      </w:pPr>
    </w:p>
    <w:tbl>
      <w:tblPr>
        <w:tblW w:w="5019" w:type="pct"/>
        <w:tblLayout w:type="fixed"/>
        <w:tblLook w:val="0000" w:firstRow="0" w:lastRow="0" w:firstColumn="0" w:lastColumn="0" w:noHBand="0" w:noVBand="0"/>
      </w:tblPr>
      <w:tblGrid>
        <w:gridCol w:w="1075"/>
        <w:gridCol w:w="1383"/>
        <w:gridCol w:w="1385"/>
        <w:gridCol w:w="1384"/>
        <w:gridCol w:w="1247"/>
        <w:gridCol w:w="1384"/>
        <w:gridCol w:w="1247"/>
      </w:tblGrid>
      <w:tr w:rsidR="00534A2D" w14:paraId="1E36F610" w14:textId="77777777" w:rsidTr="009271A3">
        <w:tc>
          <w:tcPr>
            <w:tcW w:w="9322" w:type="dxa"/>
            <w:gridSpan w:val="7"/>
            <w:tcBorders>
              <w:bottom w:val="single" w:sz="4" w:space="0" w:color="auto"/>
            </w:tcBorders>
          </w:tcPr>
          <w:p w14:paraId="1C095E76" w14:textId="77777777" w:rsidR="00ED3511" w:rsidRPr="001B4A02" w:rsidRDefault="00000000" w:rsidP="00ED48A3">
            <w:pPr>
              <w:pStyle w:val="Heading5"/>
              <w:jc w:val="center"/>
              <w:rPr>
                <w:b/>
                <w:bCs/>
                <w:noProof w:val="0"/>
                <w:lang w:val="cs-CZ"/>
              </w:rPr>
            </w:pPr>
            <w:r w:rsidRPr="001B4A02">
              <w:rPr>
                <w:b/>
                <w:bCs/>
                <w:noProof w:val="0"/>
                <w:lang w:val="cs-CZ"/>
              </w:rPr>
              <w:t xml:space="preserve">Tabulka </w:t>
            </w:r>
            <w:r w:rsidR="00C76DCD">
              <w:rPr>
                <w:b/>
                <w:bCs/>
                <w:noProof w:val="0"/>
                <w:lang w:val="cs-CZ"/>
              </w:rPr>
              <w:t>11</w:t>
            </w:r>
            <w:r w:rsidR="00C76DCD" w:rsidRPr="001B4A02">
              <w:rPr>
                <w:b/>
                <w:bCs/>
                <w:noProof w:val="0"/>
                <w:lang w:val="cs-CZ"/>
              </w:rPr>
              <w:t xml:space="preserve"> </w:t>
            </w:r>
          </w:p>
          <w:p w14:paraId="2E7982CD" w14:textId="77777777" w:rsidR="00ED3511" w:rsidRPr="001B4A02" w:rsidRDefault="00000000" w:rsidP="00ED48A3">
            <w:pPr>
              <w:pStyle w:val="Heading5"/>
              <w:jc w:val="center"/>
              <w:rPr>
                <w:b/>
                <w:bCs/>
                <w:noProof w:val="0"/>
                <w:lang w:val="cs-CZ"/>
              </w:rPr>
            </w:pPr>
            <w:r w:rsidRPr="001B4A02">
              <w:rPr>
                <w:b/>
                <w:bCs/>
                <w:noProof w:val="0"/>
                <w:lang w:val="cs-CZ"/>
              </w:rPr>
              <w:t>Radiografické průměrné změny v týdnu 52 ve studii RA V</w:t>
            </w:r>
          </w:p>
          <w:p w14:paraId="069BB337" w14:textId="77777777" w:rsidR="00ED3511" w:rsidRPr="001B4A02" w:rsidRDefault="00ED3511" w:rsidP="00ED48A3">
            <w:pPr>
              <w:keepNext/>
            </w:pPr>
          </w:p>
        </w:tc>
      </w:tr>
      <w:tr w:rsidR="00534A2D" w14:paraId="55DAAF69" w14:textId="77777777" w:rsidTr="009271A3">
        <w:tc>
          <w:tcPr>
            <w:tcW w:w="1100" w:type="dxa"/>
            <w:tcBorders>
              <w:top w:val="single" w:sz="4" w:space="0" w:color="auto"/>
              <w:left w:val="single" w:sz="4" w:space="0" w:color="auto"/>
              <w:bottom w:val="single" w:sz="4" w:space="0" w:color="auto"/>
              <w:right w:val="single" w:sz="4" w:space="0" w:color="auto"/>
            </w:tcBorders>
            <w:vAlign w:val="center"/>
          </w:tcPr>
          <w:p w14:paraId="3D8A7651" w14:textId="77777777" w:rsidR="00ED3511" w:rsidRPr="001B4A02" w:rsidRDefault="00ED3511" w:rsidP="00ED48A3">
            <w:pPr>
              <w:keepNext/>
              <w:ind w:left="0" w:firstLine="0"/>
            </w:pPr>
          </w:p>
        </w:tc>
        <w:tc>
          <w:tcPr>
            <w:tcW w:w="1417" w:type="dxa"/>
            <w:tcBorders>
              <w:top w:val="single" w:sz="4" w:space="0" w:color="auto"/>
              <w:left w:val="single" w:sz="4" w:space="0" w:color="auto"/>
              <w:bottom w:val="single" w:sz="4" w:space="0" w:color="auto"/>
              <w:right w:val="single" w:sz="4" w:space="0" w:color="auto"/>
            </w:tcBorders>
            <w:vAlign w:val="center"/>
          </w:tcPr>
          <w:p w14:paraId="03E9C53D" w14:textId="77777777" w:rsidR="00ED3511" w:rsidRPr="001B4A02" w:rsidRDefault="00000000" w:rsidP="009271A3">
            <w:pPr>
              <w:keepNext/>
              <w:ind w:left="-57" w:firstLine="0"/>
              <w:jc w:val="center"/>
            </w:pPr>
            <w:r w:rsidRPr="001B4A02">
              <w:t>MTX</w:t>
            </w:r>
          </w:p>
          <w:p w14:paraId="3A407766" w14:textId="77777777" w:rsidR="00ED3511" w:rsidRPr="001B4A02" w:rsidRDefault="00000000" w:rsidP="009271A3">
            <w:pPr>
              <w:keepNext/>
              <w:ind w:left="-57" w:firstLine="0"/>
              <w:jc w:val="center"/>
            </w:pPr>
            <w:r w:rsidRPr="001B4A02">
              <w:t>n=257</w:t>
            </w:r>
          </w:p>
          <w:p w14:paraId="56314D69" w14:textId="77777777" w:rsidR="00ED3511" w:rsidRPr="001B4A02" w:rsidRDefault="00000000" w:rsidP="009271A3">
            <w:pPr>
              <w:keepNext/>
              <w:ind w:left="-57" w:firstLine="0"/>
              <w:jc w:val="center"/>
              <w:rPr>
                <w:sz w:val="18"/>
              </w:rPr>
            </w:pPr>
            <w:r w:rsidRPr="001B4A02">
              <w:rPr>
                <w:sz w:val="18"/>
              </w:rPr>
              <w:t>(95% interval spolehlivosti)</w:t>
            </w:r>
          </w:p>
        </w:tc>
        <w:tc>
          <w:tcPr>
            <w:tcW w:w="1419" w:type="dxa"/>
            <w:tcBorders>
              <w:top w:val="single" w:sz="4" w:space="0" w:color="auto"/>
              <w:left w:val="single" w:sz="4" w:space="0" w:color="auto"/>
              <w:bottom w:val="single" w:sz="4" w:space="0" w:color="auto"/>
              <w:right w:val="single" w:sz="4" w:space="0" w:color="auto"/>
            </w:tcBorders>
            <w:vAlign w:val="center"/>
          </w:tcPr>
          <w:p w14:paraId="3C738851" w14:textId="77777777" w:rsidR="00ED3511" w:rsidRPr="001B4A02" w:rsidRDefault="00000000" w:rsidP="009271A3">
            <w:pPr>
              <w:keepNext/>
              <w:ind w:left="-57" w:firstLine="0"/>
              <w:jc w:val="center"/>
            </w:pPr>
            <w:r w:rsidRPr="001B4A02">
              <w:t>Humira</w:t>
            </w:r>
          </w:p>
          <w:p w14:paraId="374156BB" w14:textId="77777777" w:rsidR="00ED3511" w:rsidRPr="001B4A02" w:rsidRDefault="00000000" w:rsidP="009271A3">
            <w:pPr>
              <w:pStyle w:val="EMEAFigureTitle"/>
              <w:keepNext/>
              <w:ind w:left="-57"/>
              <w:jc w:val="center"/>
              <w:rPr>
                <w:lang w:val="cs-CZ"/>
              </w:rPr>
            </w:pPr>
            <w:r w:rsidRPr="001B4A02">
              <w:rPr>
                <w:lang w:val="cs-CZ"/>
              </w:rPr>
              <w:t>n=274</w:t>
            </w:r>
          </w:p>
          <w:p w14:paraId="60A90C76" w14:textId="77777777" w:rsidR="00ED3511" w:rsidRPr="001B4A02" w:rsidRDefault="00000000" w:rsidP="009271A3">
            <w:pPr>
              <w:keepNext/>
              <w:ind w:left="-57" w:firstLine="0"/>
              <w:jc w:val="center"/>
            </w:pPr>
            <w:r w:rsidRPr="001B4A02">
              <w:rPr>
                <w:sz w:val="18"/>
              </w:rPr>
              <w:t>(95% interval spolehlivosti)</w:t>
            </w:r>
          </w:p>
        </w:tc>
        <w:tc>
          <w:tcPr>
            <w:tcW w:w="1417" w:type="dxa"/>
            <w:tcBorders>
              <w:top w:val="single" w:sz="4" w:space="0" w:color="auto"/>
              <w:left w:val="single" w:sz="4" w:space="0" w:color="auto"/>
              <w:bottom w:val="single" w:sz="4" w:space="0" w:color="auto"/>
              <w:right w:val="single" w:sz="4" w:space="0" w:color="auto"/>
            </w:tcBorders>
            <w:vAlign w:val="center"/>
          </w:tcPr>
          <w:p w14:paraId="5050047A" w14:textId="77777777" w:rsidR="00ED3511" w:rsidRPr="001B4A02" w:rsidRDefault="00000000" w:rsidP="009271A3">
            <w:pPr>
              <w:keepNext/>
              <w:ind w:left="-57" w:firstLine="0"/>
              <w:jc w:val="center"/>
            </w:pPr>
            <w:r w:rsidRPr="001B4A02">
              <w:t>Humira/MTX</w:t>
            </w:r>
          </w:p>
          <w:p w14:paraId="28C88E98" w14:textId="77777777" w:rsidR="00ED3511" w:rsidRPr="001B4A02" w:rsidRDefault="00000000" w:rsidP="009271A3">
            <w:pPr>
              <w:pStyle w:val="EMEAFigureTitle"/>
              <w:keepNext/>
              <w:ind w:left="-57"/>
              <w:jc w:val="center"/>
              <w:rPr>
                <w:lang w:val="cs-CZ"/>
              </w:rPr>
            </w:pPr>
            <w:r w:rsidRPr="001B4A02">
              <w:rPr>
                <w:lang w:val="cs-CZ"/>
              </w:rPr>
              <w:t>n=268</w:t>
            </w:r>
          </w:p>
          <w:p w14:paraId="311321A1" w14:textId="77777777" w:rsidR="00ED3511" w:rsidRPr="001B4A02" w:rsidRDefault="00000000" w:rsidP="009271A3">
            <w:pPr>
              <w:pStyle w:val="EMEANormal"/>
              <w:keepNext/>
              <w:ind w:left="-57"/>
              <w:jc w:val="center"/>
              <w:rPr>
                <w:sz w:val="18"/>
                <w:lang w:val="cs-CZ"/>
              </w:rPr>
            </w:pPr>
            <w:r w:rsidRPr="001B4A02">
              <w:rPr>
                <w:sz w:val="18"/>
                <w:lang w:val="cs-CZ"/>
              </w:rPr>
              <w:t>(95% interval spolehlivosti)</w:t>
            </w:r>
          </w:p>
        </w:tc>
        <w:tc>
          <w:tcPr>
            <w:tcW w:w="1276" w:type="dxa"/>
            <w:tcBorders>
              <w:top w:val="single" w:sz="4" w:space="0" w:color="auto"/>
              <w:left w:val="single" w:sz="4" w:space="0" w:color="auto"/>
              <w:bottom w:val="single" w:sz="4" w:space="0" w:color="auto"/>
              <w:right w:val="single" w:sz="4" w:space="0" w:color="auto"/>
            </w:tcBorders>
            <w:vAlign w:val="center"/>
          </w:tcPr>
          <w:p w14:paraId="45FDF11C" w14:textId="77777777" w:rsidR="00ED3511" w:rsidRPr="001B4A02" w:rsidRDefault="00000000" w:rsidP="009271A3">
            <w:pPr>
              <w:pStyle w:val="EMEANormal"/>
              <w:keepNext/>
              <w:ind w:left="-57"/>
              <w:jc w:val="center"/>
              <w:rPr>
                <w:lang w:val="cs-CZ"/>
              </w:rPr>
            </w:pPr>
            <w:r w:rsidRPr="001B4A02">
              <w:rPr>
                <w:lang w:val="cs-CZ"/>
              </w:rPr>
              <w:t>Hodnota p</w:t>
            </w:r>
            <w:r w:rsidRPr="001B4A02">
              <w:rPr>
                <w:vertAlign w:val="superscript"/>
                <w:lang w:val="cs-CZ"/>
              </w:rPr>
              <w:t>a</w:t>
            </w:r>
          </w:p>
        </w:tc>
        <w:tc>
          <w:tcPr>
            <w:tcW w:w="1417" w:type="dxa"/>
            <w:tcBorders>
              <w:top w:val="single" w:sz="4" w:space="0" w:color="auto"/>
              <w:left w:val="single" w:sz="4" w:space="0" w:color="auto"/>
              <w:bottom w:val="single" w:sz="4" w:space="0" w:color="auto"/>
              <w:right w:val="single" w:sz="4" w:space="0" w:color="auto"/>
            </w:tcBorders>
            <w:vAlign w:val="center"/>
          </w:tcPr>
          <w:p w14:paraId="3A178DEC" w14:textId="77777777" w:rsidR="00ED3511" w:rsidRPr="001B4A02" w:rsidRDefault="00000000" w:rsidP="009271A3">
            <w:pPr>
              <w:keepNext/>
              <w:ind w:left="-57" w:firstLine="0"/>
              <w:jc w:val="center"/>
            </w:pPr>
            <w:r w:rsidRPr="001B4A02">
              <w:t>Hodnota</w:t>
            </w:r>
            <w:r w:rsidR="00F66613" w:rsidRPr="001B4A02">
              <w:t xml:space="preserve"> </w:t>
            </w:r>
            <w:r w:rsidRPr="001B4A02">
              <w:t>p</w:t>
            </w:r>
            <w:r w:rsidRPr="001B4A02">
              <w:rPr>
                <w:vertAlign w:val="superscript"/>
              </w:rPr>
              <w:t>b</w:t>
            </w:r>
          </w:p>
        </w:tc>
        <w:tc>
          <w:tcPr>
            <w:tcW w:w="1276" w:type="dxa"/>
            <w:tcBorders>
              <w:top w:val="single" w:sz="4" w:space="0" w:color="auto"/>
              <w:left w:val="single" w:sz="4" w:space="0" w:color="auto"/>
              <w:bottom w:val="single" w:sz="4" w:space="0" w:color="auto"/>
              <w:right w:val="single" w:sz="4" w:space="0" w:color="auto"/>
            </w:tcBorders>
            <w:vAlign w:val="center"/>
          </w:tcPr>
          <w:p w14:paraId="34AC6CE7" w14:textId="77777777" w:rsidR="00ED3511" w:rsidRPr="001B4A02" w:rsidRDefault="00000000" w:rsidP="009271A3">
            <w:pPr>
              <w:keepNext/>
              <w:ind w:left="-57" w:firstLine="0"/>
              <w:jc w:val="center"/>
            </w:pPr>
            <w:r w:rsidRPr="001B4A02">
              <w:t>Hodnota</w:t>
            </w:r>
            <w:r w:rsidR="00F66613" w:rsidRPr="001B4A02">
              <w:t xml:space="preserve"> </w:t>
            </w:r>
            <w:r w:rsidRPr="001B4A02">
              <w:t>p</w:t>
            </w:r>
            <w:r w:rsidRPr="001B4A02">
              <w:rPr>
                <w:vertAlign w:val="superscript"/>
              </w:rPr>
              <w:t>c</w:t>
            </w:r>
          </w:p>
        </w:tc>
      </w:tr>
      <w:tr w:rsidR="00534A2D" w14:paraId="6BAA5107" w14:textId="77777777" w:rsidTr="009271A3">
        <w:tc>
          <w:tcPr>
            <w:tcW w:w="1100" w:type="dxa"/>
            <w:tcBorders>
              <w:top w:val="single" w:sz="4" w:space="0" w:color="auto"/>
              <w:left w:val="single" w:sz="4" w:space="0" w:color="auto"/>
              <w:bottom w:val="single" w:sz="4" w:space="0" w:color="auto"/>
              <w:right w:val="single" w:sz="4" w:space="0" w:color="auto"/>
            </w:tcBorders>
          </w:tcPr>
          <w:p w14:paraId="418832A6" w14:textId="77777777" w:rsidR="00ED3511" w:rsidRPr="001B4A02" w:rsidRDefault="00000000" w:rsidP="00ED48A3">
            <w:pPr>
              <w:pStyle w:val="EMEAFigureTitle"/>
              <w:keepNext/>
              <w:rPr>
                <w:szCs w:val="24"/>
                <w:lang w:val="cs-CZ"/>
              </w:rPr>
            </w:pPr>
            <w:r w:rsidRPr="001B4A02">
              <w:rPr>
                <w:szCs w:val="24"/>
                <w:lang w:val="cs-CZ"/>
              </w:rPr>
              <w:t>Celkové Sharpovo skóre</w:t>
            </w:r>
          </w:p>
        </w:tc>
        <w:tc>
          <w:tcPr>
            <w:tcW w:w="1417" w:type="dxa"/>
            <w:tcBorders>
              <w:top w:val="single" w:sz="4" w:space="0" w:color="auto"/>
              <w:left w:val="single" w:sz="4" w:space="0" w:color="auto"/>
              <w:bottom w:val="single" w:sz="4" w:space="0" w:color="auto"/>
              <w:right w:val="single" w:sz="4" w:space="0" w:color="auto"/>
            </w:tcBorders>
          </w:tcPr>
          <w:p w14:paraId="210BEC8A" w14:textId="77777777" w:rsidR="00ED3511" w:rsidRPr="001B4A02" w:rsidRDefault="00000000" w:rsidP="00ED48A3">
            <w:pPr>
              <w:keepNext/>
              <w:ind w:left="0" w:firstLine="0"/>
              <w:jc w:val="center"/>
            </w:pPr>
            <w:r w:rsidRPr="001B4A02">
              <w:t>5,7 (4,2</w:t>
            </w:r>
            <w:r w:rsidR="00C3486C" w:rsidRPr="001B4A02">
              <w:t>–</w:t>
            </w:r>
            <w:r w:rsidRPr="001B4A02">
              <w:t>7,3)</w:t>
            </w:r>
          </w:p>
        </w:tc>
        <w:tc>
          <w:tcPr>
            <w:tcW w:w="1419" w:type="dxa"/>
            <w:tcBorders>
              <w:top w:val="single" w:sz="4" w:space="0" w:color="auto"/>
              <w:left w:val="single" w:sz="4" w:space="0" w:color="auto"/>
              <w:bottom w:val="single" w:sz="4" w:space="0" w:color="auto"/>
              <w:right w:val="single" w:sz="4" w:space="0" w:color="auto"/>
            </w:tcBorders>
          </w:tcPr>
          <w:p w14:paraId="617E22A1" w14:textId="77777777" w:rsidR="00ED3511" w:rsidRPr="001B4A02" w:rsidRDefault="00000000" w:rsidP="00ED48A3">
            <w:pPr>
              <w:pStyle w:val="EndnoteText"/>
              <w:keepNext/>
              <w:ind w:left="0" w:firstLine="0"/>
              <w:jc w:val="center"/>
              <w:rPr>
                <w:lang w:val="cs-CZ"/>
              </w:rPr>
            </w:pPr>
            <w:r w:rsidRPr="001B4A02">
              <w:rPr>
                <w:lang w:val="cs-CZ"/>
              </w:rPr>
              <w:t>3,0 (1,7</w:t>
            </w:r>
            <w:r w:rsidR="00C3486C" w:rsidRPr="001B4A02">
              <w:rPr>
                <w:lang w:val="cs-CZ"/>
              </w:rPr>
              <w:t>–</w:t>
            </w:r>
            <w:r w:rsidRPr="001B4A02">
              <w:rPr>
                <w:lang w:val="cs-CZ"/>
              </w:rPr>
              <w:t>4,3)</w:t>
            </w:r>
          </w:p>
        </w:tc>
        <w:tc>
          <w:tcPr>
            <w:tcW w:w="1417" w:type="dxa"/>
            <w:tcBorders>
              <w:top w:val="single" w:sz="4" w:space="0" w:color="auto"/>
              <w:left w:val="single" w:sz="4" w:space="0" w:color="auto"/>
              <w:bottom w:val="single" w:sz="4" w:space="0" w:color="auto"/>
              <w:right w:val="single" w:sz="4" w:space="0" w:color="auto"/>
            </w:tcBorders>
          </w:tcPr>
          <w:p w14:paraId="3F0352AE" w14:textId="77777777" w:rsidR="00ED3511" w:rsidRPr="001B4A02" w:rsidRDefault="00000000" w:rsidP="00ED48A3">
            <w:pPr>
              <w:pStyle w:val="EndnoteText"/>
              <w:keepNext/>
              <w:ind w:left="0" w:firstLine="0"/>
              <w:jc w:val="center"/>
              <w:rPr>
                <w:lang w:val="cs-CZ"/>
              </w:rPr>
            </w:pPr>
            <w:r w:rsidRPr="001B4A02">
              <w:rPr>
                <w:lang w:val="cs-CZ"/>
              </w:rPr>
              <w:t>1,3 (0,5</w:t>
            </w:r>
            <w:r w:rsidR="00C3486C" w:rsidRPr="001B4A02">
              <w:rPr>
                <w:lang w:val="cs-CZ"/>
              </w:rPr>
              <w:t>–</w:t>
            </w:r>
            <w:r w:rsidRPr="001B4A02">
              <w:rPr>
                <w:lang w:val="cs-CZ"/>
              </w:rPr>
              <w:t>2,1)</w:t>
            </w:r>
          </w:p>
        </w:tc>
        <w:tc>
          <w:tcPr>
            <w:tcW w:w="1276" w:type="dxa"/>
            <w:tcBorders>
              <w:top w:val="single" w:sz="4" w:space="0" w:color="auto"/>
              <w:left w:val="single" w:sz="4" w:space="0" w:color="auto"/>
              <w:bottom w:val="single" w:sz="4" w:space="0" w:color="auto"/>
              <w:right w:val="single" w:sz="4" w:space="0" w:color="auto"/>
            </w:tcBorders>
          </w:tcPr>
          <w:p w14:paraId="7D87AF07" w14:textId="77777777" w:rsidR="00ED3511" w:rsidRPr="001B4A02" w:rsidRDefault="00000000" w:rsidP="00ED48A3">
            <w:pPr>
              <w:pStyle w:val="EndnoteText"/>
              <w:keepNext/>
              <w:ind w:left="0" w:firstLine="0"/>
              <w:jc w:val="center"/>
              <w:rPr>
                <w:lang w:val="cs-CZ"/>
              </w:rPr>
            </w:pPr>
            <w:r w:rsidRPr="001B4A02">
              <w:rPr>
                <w:lang w:val="cs-CZ"/>
              </w:rPr>
              <w:t>&lt;0,001</w:t>
            </w:r>
          </w:p>
        </w:tc>
        <w:tc>
          <w:tcPr>
            <w:tcW w:w="1417" w:type="dxa"/>
            <w:tcBorders>
              <w:top w:val="single" w:sz="4" w:space="0" w:color="auto"/>
              <w:left w:val="single" w:sz="4" w:space="0" w:color="auto"/>
              <w:bottom w:val="single" w:sz="4" w:space="0" w:color="auto"/>
              <w:right w:val="single" w:sz="4" w:space="0" w:color="auto"/>
            </w:tcBorders>
          </w:tcPr>
          <w:p w14:paraId="5952AD3B" w14:textId="77777777" w:rsidR="00ED3511" w:rsidRPr="001B4A02" w:rsidRDefault="00000000" w:rsidP="00ED48A3">
            <w:pPr>
              <w:keepNext/>
              <w:ind w:left="0" w:firstLine="0"/>
              <w:jc w:val="center"/>
            </w:pPr>
            <w:r w:rsidRPr="001B4A02">
              <w:t>0,0020</w:t>
            </w:r>
          </w:p>
        </w:tc>
        <w:tc>
          <w:tcPr>
            <w:tcW w:w="1276" w:type="dxa"/>
            <w:tcBorders>
              <w:top w:val="single" w:sz="4" w:space="0" w:color="auto"/>
              <w:left w:val="single" w:sz="4" w:space="0" w:color="auto"/>
              <w:bottom w:val="single" w:sz="4" w:space="0" w:color="auto"/>
              <w:right w:val="single" w:sz="4" w:space="0" w:color="auto"/>
            </w:tcBorders>
          </w:tcPr>
          <w:p w14:paraId="53CC9CDB" w14:textId="77777777" w:rsidR="00ED3511" w:rsidRPr="001B4A02" w:rsidRDefault="00000000" w:rsidP="00ED48A3">
            <w:pPr>
              <w:keepNext/>
              <w:ind w:left="0" w:firstLine="0"/>
              <w:jc w:val="center"/>
            </w:pPr>
            <w:r w:rsidRPr="001B4A02">
              <w:t>&lt;0,001</w:t>
            </w:r>
          </w:p>
        </w:tc>
      </w:tr>
      <w:tr w:rsidR="00534A2D" w14:paraId="3548EBDC" w14:textId="77777777" w:rsidTr="009271A3">
        <w:tc>
          <w:tcPr>
            <w:tcW w:w="1100" w:type="dxa"/>
            <w:tcBorders>
              <w:top w:val="single" w:sz="4" w:space="0" w:color="auto"/>
              <w:left w:val="single" w:sz="4" w:space="0" w:color="auto"/>
              <w:bottom w:val="single" w:sz="4" w:space="0" w:color="auto"/>
              <w:right w:val="single" w:sz="4" w:space="0" w:color="auto"/>
            </w:tcBorders>
          </w:tcPr>
          <w:p w14:paraId="7FF360B7" w14:textId="77777777" w:rsidR="00ED3511" w:rsidRPr="001B4A02" w:rsidRDefault="00000000" w:rsidP="00ED48A3">
            <w:pPr>
              <w:keepNext/>
              <w:ind w:left="0" w:firstLine="0"/>
            </w:pPr>
            <w:r w:rsidRPr="001B4A02">
              <w:t>Skóre eroze</w:t>
            </w:r>
          </w:p>
        </w:tc>
        <w:tc>
          <w:tcPr>
            <w:tcW w:w="1417" w:type="dxa"/>
            <w:tcBorders>
              <w:top w:val="single" w:sz="4" w:space="0" w:color="auto"/>
              <w:left w:val="single" w:sz="4" w:space="0" w:color="auto"/>
              <w:bottom w:val="single" w:sz="4" w:space="0" w:color="auto"/>
              <w:right w:val="single" w:sz="4" w:space="0" w:color="auto"/>
            </w:tcBorders>
          </w:tcPr>
          <w:p w14:paraId="36D25154" w14:textId="77777777" w:rsidR="00ED3511" w:rsidRPr="001B4A02" w:rsidRDefault="00000000" w:rsidP="00ED48A3">
            <w:pPr>
              <w:keepNext/>
              <w:ind w:left="0" w:firstLine="0"/>
              <w:jc w:val="center"/>
            </w:pPr>
            <w:r w:rsidRPr="001B4A02">
              <w:t>3,7 (2,7</w:t>
            </w:r>
            <w:r w:rsidR="00C3486C" w:rsidRPr="001B4A02">
              <w:t>–</w:t>
            </w:r>
            <w:r w:rsidRPr="001B4A02">
              <w:t>4,7)</w:t>
            </w:r>
          </w:p>
        </w:tc>
        <w:tc>
          <w:tcPr>
            <w:tcW w:w="1419" w:type="dxa"/>
            <w:tcBorders>
              <w:top w:val="single" w:sz="4" w:space="0" w:color="auto"/>
              <w:left w:val="single" w:sz="4" w:space="0" w:color="auto"/>
              <w:bottom w:val="single" w:sz="4" w:space="0" w:color="auto"/>
              <w:right w:val="single" w:sz="4" w:space="0" w:color="auto"/>
            </w:tcBorders>
          </w:tcPr>
          <w:p w14:paraId="3D86DF4E" w14:textId="77777777" w:rsidR="00ED3511" w:rsidRPr="001B4A02" w:rsidRDefault="00000000" w:rsidP="00ED48A3">
            <w:pPr>
              <w:keepNext/>
              <w:ind w:left="0" w:firstLine="0"/>
              <w:jc w:val="center"/>
            </w:pPr>
            <w:r w:rsidRPr="001B4A02">
              <w:t>1,7 (1,0</w:t>
            </w:r>
            <w:r w:rsidR="00C3486C" w:rsidRPr="001B4A02">
              <w:t>–</w:t>
            </w:r>
            <w:r w:rsidRPr="001B4A02">
              <w:t>2,4)</w:t>
            </w:r>
          </w:p>
        </w:tc>
        <w:tc>
          <w:tcPr>
            <w:tcW w:w="1417" w:type="dxa"/>
            <w:tcBorders>
              <w:top w:val="single" w:sz="4" w:space="0" w:color="auto"/>
              <w:left w:val="single" w:sz="4" w:space="0" w:color="auto"/>
              <w:bottom w:val="single" w:sz="4" w:space="0" w:color="auto"/>
              <w:right w:val="single" w:sz="4" w:space="0" w:color="auto"/>
            </w:tcBorders>
          </w:tcPr>
          <w:p w14:paraId="7A317A5D" w14:textId="77777777" w:rsidR="00ED3511" w:rsidRPr="001B4A02" w:rsidRDefault="00000000" w:rsidP="00ED48A3">
            <w:pPr>
              <w:keepNext/>
              <w:ind w:left="0" w:firstLine="0"/>
              <w:jc w:val="center"/>
            </w:pPr>
            <w:r w:rsidRPr="001B4A02">
              <w:t>0,8 (0,4</w:t>
            </w:r>
            <w:r w:rsidR="00C3486C" w:rsidRPr="001B4A02">
              <w:t>–</w:t>
            </w:r>
            <w:r w:rsidRPr="001B4A02">
              <w:t>1,2)</w:t>
            </w:r>
          </w:p>
        </w:tc>
        <w:tc>
          <w:tcPr>
            <w:tcW w:w="1276" w:type="dxa"/>
            <w:tcBorders>
              <w:top w:val="single" w:sz="4" w:space="0" w:color="auto"/>
              <w:left w:val="single" w:sz="4" w:space="0" w:color="auto"/>
              <w:bottom w:val="single" w:sz="4" w:space="0" w:color="auto"/>
              <w:right w:val="single" w:sz="4" w:space="0" w:color="auto"/>
            </w:tcBorders>
          </w:tcPr>
          <w:p w14:paraId="5730497B" w14:textId="77777777" w:rsidR="00ED3511" w:rsidRPr="001B4A02" w:rsidRDefault="00000000" w:rsidP="00ED48A3">
            <w:pPr>
              <w:keepNext/>
              <w:ind w:left="0" w:firstLine="0"/>
              <w:jc w:val="center"/>
            </w:pPr>
            <w:r w:rsidRPr="001B4A02">
              <w:t>&lt;0,001</w:t>
            </w:r>
          </w:p>
        </w:tc>
        <w:tc>
          <w:tcPr>
            <w:tcW w:w="1417" w:type="dxa"/>
            <w:tcBorders>
              <w:top w:val="single" w:sz="4" w:space="0" w:color="auto"/>
              <w:left w:val="single" w:sz="4" w:space="0" w:color="auto"/>
              <w:bottom w:val="single" w:sz="4" w:space="0" w:color="auto"/>
              <w:right w:val="single" w:sz="4" w:space="0" w:color="auto"/>
            </w:tcBorders>
          </w:tcPr>
          <w:p w14:paraId="727FCBB9" w14:textId="77777777" w:rsidR="00ED3511" w:rsidRPr="001B4A02" w:rsidRDefault="00000000" w:rsidP="00ED48A3">
            <w:pPr>
              <w:keepNext/>
              <w:ind w:left="0" w:firstLine="0"/>
              <w:jc w:val="center"/>
            </w:pPr>
            <w:r w:rsidRPr="001B4A02">
              <w:t>0,0082</w:t>
            </w:r>
          </w:p>
        </w:tc>
        <w:tc>
          <w:tcPr>
            <w:tcW w:w="1276" w:type="dxa"/>
            <w:tcBorders>
              <w:top w:val="single" w:sz="4" w:space="0" w:color="auto"/>
              <w:left w:val="single" w:sz="4" w:space="0" w:color="auto"/>
              <w:bottom w:val="single" w:sz="4" w:space="0" w:color="auto"/>
              <w:right w:val="single" w:sz="4" w:space="0" w:color="auto"/>
            </w:tcBorders>
          </w:tcPr>
          <w:p w14:paraId="2BB76275" w14:textId="77777777" w:rsidR="00ED3511" w:rsidRPr="001B4A02" w:rsidRDefault="00000000" w:rsidP="00ED48A3">
            <w:pPr>
              <w:keepNext/>
              <w:ind w:left="0" w:firstLine="0"/>
              <w:jc w:val="center"/>
            </w:pPr>
            <w:r w:rsidRPr="001B4A02">
              <w:t>&lt;0,001</w:t>
            </w:r>
          </w:p>
        </w:tc>
      </w:tr>
      <w:tr w:rsidR="00534A2D" w14:paraId="78A11C1D" w14:textId="77777777" w:rsidTr="009271A3">
        <w:tc>
          <w:tcPr>
            <w:tcW w:w="1100" w:type="dxa"/>
            <w:tcBorders>
              <w:top w:val="single" w:sz="4" w:space="0" w:color="auto"/>
              <w:left w:val="single" w:sz="4" w:space="0" w:color="auto"/>
              <w:bottom w:val="single" w:sz="4" w:space="0" w:color="auto"/>
              <w:right w:val="single" w:sz="4" w:space="0" w:color="auto"/>
            </w:tcBorders>
          </w:tcPr>
          <w:p w14:paraId="498D2A18" w14:textId="77777777" w:rsidR="00ED3511" w:rsidRPr="001B4A02" w:rsidRDefault="00000000" w:rsidP="00ED48A3">
            <w:pPr>
              <w:keepNext/>
              <w:ind w:left="0" w:firstLine="0"/>
            </w:pPr>
            <w:r w:rsidRPr="001B4A02">
              <w:t>JSN skóre</w:t>
            </w:r>
          </w:p>
        </w:tc>
        <w:tc>
          <w:tcPr>
            <w:tcW w:w="1417" w:type="dxa"/>
            <w:tcBorders>
              <w:top w:val="single" w:sz="4" w:space="0" w:color="auto"/>
              <w:left w:val="single" w:sz="4" w:space="0" w:color="auto"/>
              <w:bottom w:val="single" w:sz="4" w:space="0" w:color="auto"/>
              <w:right w:val="single" w:sz="4" w:space="0" w:color="auto"/>
            </w:tcBorders>
          </w:tcPr>
          <w:p w14:paraId="4794A606" w14:textId="77777777" w:rsidR="00ED3511" w:rsidRPr="001B4A02" w:rsidRDefault="00000000" w:rsidP="00ED48A3">
            <w:pPr>
              <w:keepNext/>
              <w:ind w:left="0" w:firstLine="0"/>
              <w:jc w:val="center"/>
            </w:pPr>
            <w:r w:rsidRPr="001B4A02">
              <w:t>2,0 (1,2</w:t>
            </w:r>
            <w:r w:rsidR="00C3486C" w:rsidRPr="001B4A02">
              <w:t>–</w:t>
            </w:r>
            <w:r w:rsidRPr="001B4A02">
              <w:t>2,8)</w:t>
            </w:r>
          </w:p>
        </w:tc>
        <w:tc>
          <w:tcPr>
            <w:tcW w:w="1419" w:type="dxa"/>
            <w:tcBorders>
              <w:top w:val="single" w:sz="4" w:space="0" w:color="auto"/>
              <w:left w:val="single" w:sz="4" w:space="0" w:color="auto"/>
              <w:bottom w:val="single" w:sz="4" w:space="0" w:color="auto"/>
              <w:right w:val="single" w:sz="4" w:space="0" w:color="auto"/>
            </w:tcBorders>
          </w:tcPr>
          <w:p w14:paraId="2CB1FCB6" w14:textId="77777777" w:rsidR="00ED3511" w:rsidRPr="001B4A02" w:rsidRDefault="00000000" w:rsidP="00ED48A3">
            <w:pPr>
              <w:keepNext/>
              <w:ind w:left="0" w:firstLine="0"/>
              <w:jc w:val="center"/>
            </w:pPr>
            <w:r w:rsidRPr="001B4A02">
              <w:t>1,3 (0,5</w:t>
            </w:r>
            <w:r w:rsidR="00C3486C" w:rsidRPr="001B4A02">
              <w:t>–</w:t>
            </w:r>
            <w:r w:rsidRPr="001B4A02">
              <w:t>2,1)</w:t>
            </w:r>
          </w:p>
        </w:tc>
        <w:tc>
          <w:tcPr>
            <w:tcW w:w="1417" w:type="dxa"/>
            <w:tcBorders>
              <w:top w:val="single" w:sz="4" w:space="0" w:color="auto"/>
              <w:left w:val="single" w:sz="4" w:space="0" w:color="auto"/>
              <w:bottom w:val="single" w:sz="4" w:space="0" w:color="auto"/>
              <w:right w:val="single" w:sz="4" w:space="0" w:color="auto"/>
            </w:tcBorders>
          </w:tcPr>
          <w:p w14:paraId="4338A55D" w14:textId="77777777" w:rsidR="00ED3511" w:rsidRPr="001B4A02" w:rsidRDefault="00000000" w:rsidP="00ED48A3">
            <w:pPr>
              <w:keepNext/>
              <w:ind w:left="0" w:firstLine="0"/>
              <w:jc w:val="center"/>
            </w:pPr>
            <w:r w:rsidRPr="001B4A02">
              <w:t>0,5 (0</w:t>
            </w:r>
            <w:r w:rsidR="00C3486C" w:rsidRPr="001B4A02">
              <w:t>–</w:t>
            </w:r>
            <w:r w:rsidRPr="001B4A02">
              <w:t>1,0)</w:t>
            </w:r>
          </w:p>
        </w:tc>
        <w:tc>
          <w:tcPr>
            <w:tcW w:w="1276" w:type="dxa"/>
            <w:tcBorders>
              <w:top w:val="single" w:sz="4" w:space="0" w:color="auto"/>
              <w:left w:val="single" w:sz="4" w:space="0" w:color="auto"/>
              <w:bottom w:val="single" w:sz="4" w:space="0" w:color="auto"/>
              <w:right w:val="single" w:sz="4" w:space="0" w:color="auto"/>
            </w:tcBorders>
          </w:tcPr>
          <w:p w14:paraId="6F2CB30E" w14:textId="77777777" w:rsidR="00ED3511" w:rsidRPr="001B4A02" w:rsidRDefault="00000000" w:rsidP="00ED48A3">
            <w:pPr>
              <w:keepNext/>
              <w:ind w:left="0" w:firstLine="0"/>
              <w:jc w:val="center"/>
            </w:pPr>
            <w:r w:rsidRPr="001B4A02">
              <w:t>&lt;0,001</w:t>
            </w:r>
          </w:p>
        </w:tc>
        <w:tc>
          <w:tcPr>
            <w:tcW w:w="1417" w:type="dxa"/>
            <w:tcBorders>
              <w:top w:val="single" w:sz="4" w:space="0" w:color="auto"/>
              <w:left w:val="single" w:sz="4" w:space="0" w:color="auto"/>
              <w:bottom w:val="single" w:sz="4" w:space="0" w:color="auto"/>
              <w:right w:val="single" w:sz="4" w:space="0" w:color="auto"/>
            </w:tcBorders>
          </w:tcPr>
          <w:p w14:paraId="20DE0ADC" w14:textId="77777777" w:rsidR="00ED3511" w:rsidRPr="001B4A02" w:rsidRDefault="00000000" w:rsidP="00ED48A3">
            <w:pPr>
              <w:keepNext/>
              <w:ind w:left="0" w:firstLine="0"/>
              <w:jc w:val="center"/>
            </w:pPr>
            <w:r w:rsidRPr="001B4A02">
              <w:t>0,0037</w:t>
            </w:r>
          </w:p>
        </w:tc>
        <w:tc>
          <w:tcPr>
            <w:tcW w:w="1276" w:type="dxa"/>
            <w:tcBorders>
              <w:top w:val="single" w:sz="4" w:space="0" w:color="auto"/>
              <w:left w:val="single" w:sz="4" w:space="0" w:color="auto"/>
              <w:bottom w:val="single" w:sz="4" w:space="0" w:color="auto"/>
              <w:right w:val="single" w:sz="4" w:space="0" w:color="auto"/>
            </w:tcBorders>
          </w:tcPr>
          <w:p w14:paraId="01536D9F" w14:textId="77777777" w:rsidR="00ED3511" w:rsidRPr="001B4A02" w:rsidRDefault="00000000" w:rsidP="00ED48A3">
            <w:pPr>
              <w:keepNext/>
              <w:ind w:left="0" w:firstLine="0"/>
              <w:jc w:val="center"/>
            </w:pPr>
            <w:r w:rsidRPr="001B4A02">
              <w:t>0,151</w:t>
            </w:r>
          </w:p>
        </w:tc>
      </w:tr>
      <w:tr w:rsidR="00534A2D" w14:paraId="260C0342" w14:textId="77777777" w:rsidTr="009271A3">
        <w:tc>
          <w:tcPr>
            <w:tcW w:w="9322" w:type="dxa"/>
            <w:gridSpan w:val="7"/>
            <w:tcBorders>
              <w:top w:val="single" w:sz="4" w:space="0" w:color="auto"/>
              <w:left w:val="single" w:sz="4" w:space="0" w:color="auto"/>
              <w:bottom w:val="single" w:sz="4" w:space="0" w:color="auto"/>
              <w:right w:val="single" w:sz="4" w:space="0" w:color="auto"/>
            </w:tcBorders>
          </w:tcPr>
          <w:p w14:paraId="57C07CF2" w14:textId="77777777" w:rsidR="00ED3511" w:rsidRPr="009271A3" w:rsidRDefault="00000000" w:rsidP="00ED48A3">
            <w:pPr>
              <w:keepNext/>
              <w:tabs>
                <w:tab w:val="left" w:pos="330"/>
                <w:tab w:val="left" w:pos="10728"/>
              </w:tabs>
              <w:ind w:left="360" w:hanging="360"/>
              <w:rPr>
                <w:sz w:val="20"/>
              </w:rPr>
            </w:pPr>
            <w:r w:rsidRPr="001B4A02">
              <w:rPr>
                <w:sz w:val="20"/>
                <w:vertAlign w:val="superscript"/>
              </w:rPr>
              <w:t>a</w:t>
            </w:r>
            <w:r w:rsidRPr="001B4A02">
              <w:rPr>
                <w:sz w:val="20"/>
              </w:rPr>
              <w:t xml:space="preserve"> Hodnota p pochází z párového srovnání monoterapie methotrexátem</w:t>
            </w:r>
            <w:r w:rsidR="002378E0">
              <w:rPr>
                <w:sz w:val="20"/>
              </w:rPr>
              <w:t xml:space="preserve"> a </w:t>
            </w:r>
            <w:r w:rsidRPr="009271A3">
              <w:rPr>
                <w:sz w:val="20"/>
              </w:rPr>
              <w:t>kombin</w:t>
            </w:r>
            <w:r w:rsidR="009271A3" w:rsidRPr="009271A3">
              <w:rPr>
                <w:sz w:val="20"/>
              </w:rPr>
              <w:t>ované</w:t>
            </w:r>
            <w:r w:rsidRPr="009271A3">
              <w:rPr>
                <w:sz w:val="20"/>
              </w:rPr>
              <w:t xml:space="preserve"> terapie přípravkem Humira/methotrexát pomocí Mann</w:t>
            </w:r>
            <w:r w:rsidRPr="009271A3">
              <w:rPr>
                <w:sz w:val="20"/>
              </w:rPr>
              <w:noBreakHyphen/>
              <w:t>Whitneova U testu.</w:t>
            </w:r>
          </w:p>
          <w:p w14:paraId="0E863166" w14:textId="77777777" w:rsidR="00ED3511" w:rsidRPr="001B4A02" w:rsidRDefault="00000000" w:rsidP="00ED48A3">
            <w:pPr>
              <w:keepNext/>
              <w:tabs>
                <w:tab w:val="left" w:pos="330"/>
              </w:tabs>
              <w:ind w:left="360" w:hanging="360"/>
              <w:rPr>
                <w:sz w:val="20"/>
              </w:rPr>
            </w:pPr>
            <w:r w:rsidRPr="009271A3">
              <w:rPr>
                <w:sz w:val="20"/>
                <w:vertAlign w:val="superscript"/>
              </w:rPr>
              <w:t>b</w:t>
            </w:r>
            <w:r w:rsidRPr="009271A3">
              <w:rPr>
                <w:sz w:val="20"/>
              </w:rPr>
              <w:t xml:space="preserve"> Hodnota p pochází z párového srovnání monoterapie přípravkem Humira</w:t>
            </w:r>
            <w:r w:rsidR="002378E0">
              <w:rPr>
                <w:sz w:val="20"/>
              </w:rPr>
              <w:t xml:space="preserve"> a </w:t>
            </w:r>
            <w:r w:rsidRPr="009271A3">
              <w:rPr>
                <w:sz w:val="20"/>
              </w:rPr>
              <w:t>kombin</w:t>
            </w:r>
            <w:r w:rsidR="009271A3" w:rsidRPr="009271A3">
              <w:rPr>
                <w:sz w:val="20"/>
              </w:rPr>
              <w:t>ované</w:t>
            </w:r>
            <w:r w:rsidRPr="009271A3">
              <w:rPr>
                <w:sz w:val="20"/>
              </w:rPr>
              <w:t xml:space="preserve"> terapie přípravkem</w:t>
            </w:r>
            <w:r w:rsidRPr="001B4A02">
              <w:rPr>
                <w:sz w:val="20"/>
              </w:rPr>
              <w:t xml:space="preserve"> Humira/methotrexát pomocí Mann</w:t>
            </w:r>
            <w:r w:rsidRPr="001B4A02">
              <w:rPr>
                <w:sz w:val="20"/>
              </w:rPr>
              <w:noBreakHyphen/>
              <w:t>Whitneova U testu.</w:t>
            </w:r>
          </w:p>
          <w:p w14:paraId="4D21D598" w14:textId="77777777" w:rsidR="00ED3511" w:rsidRPr="001B4A02" w:rsidRDefault="00000000" w:rsidP="00ED48A3">
            <w:pPr>
              <w:keepNext/>
              <w:tabs>
                <w:tab w:val="left" w:pos="330"/>
              </w:tabs>
              <w:ind w:left="360" w:hanging="360"/>
              <w:rPr>
                <w:bCs/>
              </w:rPr>
            </w:pPr>
            <w:r w:rsidRPr="001B4A02">
              <w:rPr>
                <w:bCs/>
                <w:sz w:val="20"/>
                <w:vertAlign w:val="superscript"/>
              </w:rPr>
              <w:t>c</w:t>
            </w:r>
            <w:r w:rsidRPr="001B4A02">
              <w:rPr>
                <w:bCs/>
                <w:sz w:val="20"/>
              </w:rPr>
              <w:t xml:space="preserve"> </w:t>
            </w:r>
            <w:r w:rsidRPr="001B4A02">
              <w:rPr>
                <w:sz w:val="20"/>
              </w:rPr>
              <w:t>Hodnota p pochází z párového srovnání monoterapie přípravkem Humira</w:t>
            </w:r>
            <w:r w:rsidR="002378E0">
              <w:rPr>
                <w:sz w:val="20"/>
              </w:rPr>
              <w:t xml:space="preserve"> a </w:t>
            </w:r>
            <w:r w:rsidRPr="001B4A02">
              <w:rPr>
                <w:sz w:val="20"/>
              </w:rPr>
              <w:t>monoterapie methotrexátem pomocí Mann</w:t>
            </w:r>
            <w:r w:rsidRPr="001B4A02">
              <w:rPr>
                <w:sz w:val="20"/>
              </w:rPr>
              <w:noBreakHyphen/>
              <w:t>Whitneova U testu.</w:t>
            </w:r>
          </w:p>
        </w:tc>
      </w:tr>
    </w:tbl>
    <w:p w14:paraId="35E5C90E" w14:textId="77777777" w:rsidR="00ED3511" w:rsidRPr="001B4A02" w:rsidRDefault="00ED3511" w:rsidP="00ED48A3">
      <w:pPr>
        <w:pStyle w:val="EMEAHeadingUnderline"/>
        <w:tabs>
          <w:tab w:val="clear" w:pos="562"/>
        </w:tabs>
        <w:suppressAutoHyphens w:val="0"/>
        <w:spacing w:beforeLines="0" w:before="0" w:afterLines="0" w:after="0"/>
        <w:rPr>
          <w:lang w:val="cs-CZ"/>
        </w:rPr>
      </w:pPr>
    </w:p>
    <w:p w14:paraId="4B5EDBE7" w14:textId="77777777" w:rsidR="00ED3511" w:rsidRPr="001B4A02" w:rsidRDefault="00000000" w:rsidP="00ED48A3">
      <w:pPr>
        <w:pStyle w:val="EMEANormal"/>
        <w:rPr>
          <w:lang w:val="cs-CZ"/>
        </w:rPr>
      </w:pPr>
      <w:r w:rsidRPr="001B4A02">
        <w:rPr>
          <w:lang w:val="cs-CZ"/>
        </w:rPr>
        <w:t>Po 52</w:t>
      </w:r>
      <w:r w:rsidR="002378E0">
        <w:rPr>
          <w:lang w:val="cs-CZ"/>
        </w:rPr>
        <w:t xml:space="preserve"> a </w:t>
      </w:r>
      <w:r w:rsidRPr="001B4A02">
        <w:rPr>
          <w:lang w:val="cs-CZ"/>
        </w:rPr>
        <w:t>104 týdnech terapie bylo procento pacientů bez progrese (změna modifikovaného Sharpova skóre oproti výchozímu stavu ≤ 0,5) významně vyšší při kombin</w:t>
      </w:r>
      <w:r w:rsidR="009271A3" w:rsidRPr="00F261A6">
        <w:rPr>
          <w:lang w:val="cs-CZ"/>
        </w:rPr>
        <w:t>ované</w:t>
      </w:r>
      <w:r w:rsidRPr="001B4A02">
        <w:rPr>
          <w:lang w:val="cs-CZ"/>
        </w:rPr>
        <w:t xml:space="preserve"> terapii přípravkem Humira/methotrexát (63,8</w:t>
      </w:r>
      <w:r w:rsidR="00140D08" w:rsidRPr="001B4A02">
        <w:rPr>
          <w:lang w:val="cs-CZ"/>
        </w:rPr>
        <w:t> </w:t>
      </w:r>
      <w:r w:rsidRPr="001B4A02">
        <w:rPr>
          <w:lang w:val="cs-CZ"/>
        </w:rPr>
        <w:t>%, resp. 61,2</w:t>
      </w:r>
      <w:r w:rsidR="00140D08" w:rsidRPr="001B4A02">
        <w:rPr>
          <w:lang w:val="cs-CZ"/>
        </w:rPr>
        <w:t> </w:t>
      </w:r>
      <w:r w:rsidRPr="001B4A02">
        <w:rPr>
          <w:lang w:val="cs-CZ"/>
        </w:rPr>
        <w:t>%) v porovnání s monoterapií methotrexátem (37,4</w:t>
      </w:r>
      <w:r w:rsidR="00140D08" w:rsidRPr="001B4A02">
        <w:rPr>
          <w:lang w:val="cs-CZ"/>
        </w:rPr>
        <w:t> </w:t>
      </w:r>
      <w:r w:rsidRPr="001B4A02">
        <w:rPr>
          <w:lang w:val="cs-CZ"/>
        </w:rPr>
        <w:t>%, resp. 33,5</w:t>
      </w:r>
      <w:r w:rsidR="00140D08" w:rsidRPr="001B4A02">
        <w:rPr>
          <w:lang w:val="cs-CZ"/>
        </w:rPr>
        <w:t> </w:t>
      </w:r>
      <w:r w:rsidRPr="001B4A02">
        <w:rPr>
          <w:lang w:val="cs-CZ"/>
        </w:rPr>
        <w:t>%, p&lt;0,001)</w:t>
      </w:r>
      <w:r w:rsidR="002378E0">
        <w:rPr>
          <w:lang w:val="cs-CZ"/>
        </w:rPr>
        <w:t xml:space="preserve"> a </w:t>
      </w:r>
      <w:r w:rsidRPr="001B4A02">
        <w:rPr>
          <w:lang w:val="cs-CZ"/>
        </w:rPr>
        <w:t>monoterapií přípravkem Humira (50,7</w:t>
      </w:r>
      <w:r w:rsidR="00140D08" w:rsidRPr="001B4A02">
        <w:rPr>
          <w:lang w:val="cs-CZ"/>
        </w:rPr>
        <w:t> </w:t>
      </w:r>
      <w:r w:rsidRPr="001B4A02">
        <w:rPr>
          <w:lang w:val="cs-CZ"/>
        </w:rPr>
        <w:t>%, p&lt;0,002, resp. 44,5</w:t>
      </w:r>
      <w:r w:rsidR="00140D08" w:rsidRPr="001B4A02">
        <w:rPr>
          <w:lang w:val="cs-CZ"/>
        </w:rPr>
        <w:t> </w:t>
      </w:r>
      <w:r w:rsidRPr="001B4A02">
        <w:rPr>
          <w:lang w:val="cs-CZ"/>
        </w:rPr>
        <w:t>%, p&lt;0,001).</w:t>
      </w:r>
    </w:p>
    <w:p w14:paraId="11270124" w14:textId="77777777" w:rsidR="00A93B82" w:rsidRPr="001B4A02" w:rsidRDefault="00A93B82" w:rsidP="00ED48A3">
      <w:pPr>
        <w:pStyle w:val="EMEANormal"/>
        <w:rPr>
          <w:lang w:val="cs-CZ"/>
        </w:rPr>
      </w:pPr>
    </w:p>
    <w:p w14:paraId="20637BDA" w14:textId="77777777" w:rsidR="00A93B82" w:rsidRPr="001B4A02" w:rsidRDefault="00000000" w:rsidP="00ED48A3">
      <w:pPr>
        <w:pStyle w:val="EMEANormal"/>
        <w:rPr>
          <w:lang w:val="cs-CZ"/>
        </w:rPr>
      </w:pPr>
      <w:r w:rsidRPr="001B4A02">
        <w:rPr>
          <w:lang w:val="cs-CZ"/>
        </w:rPr>
        <w:t>V otevřené prodloužené fázi studie RA V byla v</w:t>
      </w:r>
      <w:r w:rsidR="00AA4399" w:rsidRPr="001B4A02">
        <w:rPr>
          <w:lang w:val="cs-CZ"/>
        </w:rPr>
        <w:t xml:space="preserve"> desátém </w:t>
      </w:r>
      <w:r w:rsidRPr="001B4A02">
        <w:rPr>
          <w:lang w:val="cs-CZ"/>
        </w:rPr>
        <w:t>roce průměrná změna modifikovaného Sharpova skóre oproti výchozímu stavu 10,8, 9,2</w:t>
      </w:r>
      <w:r w:rsidR="002378E0">
        <w:rPr>
          <w:lang w:val="cs-CZ"/>
        </w:rPr>
        <w:t xml:space="preserve"> a </w:t>
      </w:r>
      <w:r w:rsidRPr="001B4A02">
        <w:rPr>
          <w:lang w:val="cs-CZ"/>
        </w:rPr>
        <w:t>3,9 u</w:t>
      </w:r>
      <w:r w:rsidR="008A5E18" w:rsidRPr="001B4A02">
        <w:rPr>
          <w:lang w:val="cs-CZ"/>
        </w:rPr>
        <w:t> </w:t>
      </w:r>
      <w:r w:rsidRPr="001B4A02">
        <w:rPr>
          <w:lang w:val="cs-CZ"/>
        </w:rPr>
        <w:t>pacientů původně randomizovaných na léčbu methotrexátem v</w:t>
      </w:r>
      <w:r w:rsidR="00D41D1A" w:rsidRPr="001B4A02">
        <w:rPr>
          <w:lang w:val="cs-CZ"/>
        </w:rPr>
        <w:t> </w:t>
      </w:r>
      <w:r w:rsidRPr="001B4A02">
        <w:rPr>
          <w:lang w:val="cs-CZ"/>
        </w:rPr>
        <w:t>monot</w:t>
      </w:r>
      <w:r w:rsidR="00965320">
        <w:rPr>
          <w:lang w:val="cs-CZ"/>
        </w:rPr>
        <w:t>e</w:t>
      </w:r>
      <w:r w:rsidRPr="001B4A02">
        <w:rPr>
          <w:lang w:val="cs-CZ"/>
        </w:rPr>
        <w:t>rapii, přípravkem Humira v</w:t>
      </w:r>
      <w:r w:rsidR="00D41D1A" w:rsidRPr="001B4A02">
        <w:rPr>
          <w:lang w:val="cs-CZ"/>
        </w:rPr>
        <w:t> </w:t>
      </w:r>
      <w:r w:rsidRPr="001B4A02">
        <w:rPr>
          <w:lang w:val="cs-CZ"/>
        </w:rPr>
        <w:t>monoterapii</w:t>
      </w:r>
      <w:r w:rsidR="002378E0">
        <w:rPr>
          <w:lang w:val="cs-CZ"/>
        </w:rPr>
        <w:t xml:space="preserve"> a </w:t>
      </w:r>
      <w:r w:rsidRPr="001B4A02">
        <w:rPr>
          <w:lang w:val="cs-CZ"/>
        </w:rPr>
        <w:t>přípravkem Humira v</w:t>
      </w:r>
      <w:r w:rsidR="00D41D1A" w:rsidRPr="001B4A02">
        <w:rPr>
          <w:lang w:val="cs-CZ"/>
        </w:rPr>
        <w:t> </w:t>
      </w:r>
      <w:r w:rsidRPr="001B4A02">
        <w:rPr>
          <w:lang w:val="cs-CZ"/>
        </w:rPr>
        <w:t>kombinaci s</w:t>
      </w:r>
      <w:r w:rsidR="00790DEF" w:rsidRPr="001B4A02">
        <w:rPr>
          <w:lang w:val="cs-CZ"/>
        </w:rPr>
        <w:t> </w:t>
      </w:r>
      <w:r w:rsidRPr="001B4A02">
        <w:rPr>
          <w:lang w:val="cs-CZ"/>
        </w:rPr>
        <w:t>methotrexátem. Odpovídající poměry pacientů bez radiografické progrese byly 31,3</w:t>
      </w:r>
      <w:r w:rsidR="00140D08" w:rsidRPr="001B4A02">
        <w:rPr>
          <w:lang w:val="cs-CZ"/>
        </w:rPr>
        <w:t> </w:t>
      </w:r>
      <w:r w:rsidRPr="001B4A02">
        <w:rPr>
          <w:lang w:val="cs-CZ"/>
        </w:rPr>
        <w:t>%, 23,7</w:t>
      </w:r>
      <w:r w:rsidR="00140D08" w:rsidRPr="001B4A02">
        <w:rPr>
          <w:lang w:val="cs-CZ"/>
        </w:rPr>
        <w:t> </w:t>
      </w:r>
      <w:r w:rsidRPr="001B4A02">
        <w:rPr>
          <w:lang w:val="cs-CZ"/>
        </w:rPr>
        <w:t>%</w:t>
      </w:r>
      <w:r w:rsidR="002378E0">
        <w:rPr>
          <w:lang w:val="cs-CZ"/>
        </w:rPr>
        <w:t xml:space="preserve"> a </w:t>
      </w:r>
      <w:r w:rsidRPr="001B4A02">
        <w:rPr>
          <w:lang w:val="cs-CZ"/>
        </w:rPr>
        <w:t>36,7</w:t>
      </w:r>
      <w:r w:rsidR="00140D08" w:rsidRPr="001B4A02">
        <w:rPr>
          <w:lang w:val="cs-CZ"/>
        </w:rPr>
        <w:t> </w:t>
      </w:r>
      <w:r w:rsidRPr="001B4A02">
        <w:rPr>
          <w:lang w:val="cs-CZ"/>
        </w:rPr>
        <w:t>%.</w:t>
      </w:r>
    </w:p>
    <w:p w14:paraId="23930F65" w14:textId="77777777" w:rsidR="00ED3511" w:rsidRPr="001B4A02" w:rsidRDefault="00ED3511" w:rsidP="00ED48A3">
      <w:pPr>
        <w:ind w:left="0" w:firstLine="0"/>
        <w:rPr>
          <w:u w:val="single"/>
        </w:rPr>
      </w:pPr>
    </w:p>
    <w:p w14:paraId="5BC26E2E" w14:textId="77777777" w:rsidR="00ED3511" w:rsidRPr="001B4A02" w:rsidRDefault="00000000" w:rsidP="00A03600">
      <w:pPr>
        <w:keepNext/>
        <w:ind w:left="0" w:firstLine="0"/>
        <w:rPr>
          <w:i/>
        </w:rPr>
      </w:pPr>
      <w:r w:rsidRPr="001B4A02">
        <w:rPr>
          <w:i/>
          <w:u w:val="single"/>
        </w:rPr>
        <w:t>Kvalita života</w:t>
      </w:r>
      <w:r w:rsidR="002378E0">
        <w:rPr>
          <w:i/>
          <w:u w:val="single"/>
        </w:rPr>
        <w:t xml:space="preserve"> a </w:t>
      </w:r>
      <w:r w:rsidRPr="001B4A02">
        <w:rPr>
          <w:i/>
          <w:u w:val="single"/>
        </w:rPr>
        <w:t>tělesné funkce</w:t>
      </w:r>
    </w:p>
    <w:p w14:paraId="4D09C868" w14:textId="77777777" w:rsidR="00ED3511" w:rsidRPr="001B4A02" w:rsidRDefault="00ED3511" w:rsidP="00A03600">
      <w:pPr>
        <w:keepNext/>
        <w:ind w:left="0" w:firstLine="0"/>
      </w:pPr>
    </w:p>
    <w:p w14:paraId="0B5A14A0" w14:textId="77777777" w:rsidR="00ED3511" w:rsidRPr="001B4A02" w:rsidRDefault="00000000" w:rsidP="00ED48A3">
      <w:pPr>
        <w:ind w:left="0" w:firstLine="0"/>
      </w:pPr>
      <w:r w:rsidRPr="001B4A02">
        <w:t>Kvalita života odvozená od zdravotního stavu</w:t>
      </w:r>
      <w:r w:rsidR="002378E0">
        <w:t xml:space="preserve"> a </w:t>
      </w:r>
      <w:r w:rsidRPr="001B4A02">
        <w:t>tělesné funkce byly ve čtyřech původních kontrolovaných studiích hodnoceny indexem disability pomocí Dotazníku hodnocení zdraví (Health Assessment Ques</w:t>
      </w:r>
      <w:r w:rsidR="005079AD">
        <w:t>t</w:t>
      </w:r>
      <w:r w:rsidRPr="001B4A02">
        <w:t xml:space="preserve">ionnaire – HAQ). Tento parametr byl předem stanoveným primárním výsledným ukazatelem </w:t>
      </w:r>
      <w:r w:rsidR="00D00F8F">
        <w:t>v týdnu 52</w:t>
      </w:r>
      <w:r w:rsidRPr="001B4A02">
        <w:t xml:space="preserve"> ve studii RA III. U všech dávek/režimů podávání přípravku Humira ve všech čtyřech studiích bylo prokázáno statisticky významně větší zlepšení indexu disability HAQ mezi výchozí hodnotou</w:t>
      </w:r>
      <w:r w:rsidR="002378E0">
        <w:t xml:space="preserve"> a </w:t>
      </w:r>
      <w:r w:rsidRPr="001B4A02">
        <w:t>hodnotou v 6. měsíci v porovnání s placebem</w:t>
      </w:r>
      <w:r w:rsidR="002378E0">
        <w:t xml:space="preserve"> a </w:t>
      </w:r>
      <w:r w:rsidRPr="001B4A02">
        <w:t xml:space="preserve">ve studii RA III byly pozorovány stejné výsledky </w:t>
      </w:r>
      <w:r w:rsidR="00D00F8F">
        <w:t>v týdnu 52</w:t>
      </w:r>
      <w:r w:rsidRPr="001B4A02">
        <w:t>. Tyto nálezy podporují i výsledky Stručného formuláře průzkumu zdraví (SF 36) u všech dávek/režimů podávání přípravku Humira ve všech čtyřech studiích se statisticky významným zlepšením skóre souhrnu tělesných komponent (physical component summary – PCS)</w:t>
      </w:r>
      <w:r w:rsidR="002378E0">
        <w:t xml:space="preserve"> a </w:t>
      </w:r>
      <w:r w:rsidRPr="001B4A02">
        <w:t>statisticky významným zlepšením skóre příznaků bolesti</w:t>
      </w:r>
      <w:r w:rsidR="002378E0">
        <w:t xml:space="preserve"> a </w:t>
      </w:r>
      <w:r w:rsidRPr="001B4A02">
        <w:t>vitality při dávkování přípravku 40</w:t>
      </w:r>
      <w:r w:rsidR="00F365E7">
        <w:t> mg</w:t>
      </w:r>
      <w:r w:rsidRPr="001B4A02">
        <w:t xml:space="preserve"> každý druhý týden. Ve všech třech studiích, ve kterých byla hodnocena únav</w:t>
      </w:r>
      <w:r w:rsidR="00596B06">
        <w:t>a</w:t>
      </w:r>
      <w:r w:rsidRPr="001B4A02">
        <w:t xml:space="preserve"> (studie RA I, III, IV)</w:t>
      </w:r>
      <w:r w:rsidR="00596B06">
        <w:t>,</w:t>
      </w:r>
      <w:r w:rsidRPr="001B4A02">
        <w:t xml:space="preserve"> byl pozorován její statisticky významný pokles stanovením funkčního hodnocení léčby chronického onemocnění (FACIT).</w:t>
      </w:r>
    </w:p>
    <w:p w14:paraId="19D6059C" w14:textId="77777777" w:rsidR="00ED3511" w:rsidRPr="001B4A02" w:rsidRDefault="00ED3511" w:rsidP="00ED48A3">
      <w:pPr>
        <w:ind w:left="0" w:firstLine="0"/>
      </w:pPr>
    </w:p>
    <w:p w14:paraId="42A1F016" w14:textId="77777777" w:rsidR="00ED3511" w:rsidRPr="001B4A02" w:rsidRDefault="00000000" w:rsidP="00ED48A3">
      <w:pPr>
        <w:ind w:left="0" w:firstLine="0"/>
      </w:pPr>
      <w:r w:rsidRPr="001B4A02">
        <w:t>Ve studii RA III se u</w:t>
      </w:r>
      <w:r w:rsidR="00272620" w:rsidRPr="001B4A02">
        <w:t> </w:t>
      </w:r>
      <w:r w:rsidRPr="001B4A02">
        <w:t>většiny subjektů, kte</w:t>
      </w:r>
      <w:r w:rsidR="00CD039D">
        <w:t>ré</w:t>
      </w:r>
      <w:r w:rsidRPr="001B4A02">
        <w:t xml:space="preserve"> dosáhl</w:t>
      </w:r>
      <w:r w:rsidR="00CD039D">
        <w:t>y</w:t>
      </w:r>
      <w:r w:rsidRPr="001B4A02">
        <w:t xml:space="preserve"> zlepšení </w:t>
      </w:r>
      <w:r w:rsidR="00C55EB8" w:rsidRPr="001B4A02">
        <w:t>tělesnýc</w:t>
      </w:r>
      <w:r w:rsidRPr="001B4A02">
        <w:t>h funkcí</w:t>
      </w:r>
      <w:r w:rsidR="002378E0">
        <w:t xml:space="preserve"> a </w:t>
      </w:r>
      <w:r w:rsidRPr="001B4A02">
        <w:t>pokračoval</w:t>
      </w:r>
      <w:r w:rsidR="00CD039D">
        <w:t>y</w:t>
      </w:r>
      <w:r w:rsidRPr="001B4A02">
        <w:t xml:space="preserve"> v</w:t>
      </w:r>
      <w:r w:rsidR="00D41D1A" w:rsidRPr="001B4A02">
        <w:t> </w:t>
      </w:r>
      <w:r w:rsidRPr="001B4A02">
        <w:t>léčbě, udrželo zlepšení až do týdne 520 (120 měsíců) nezaslepené fáze studie. Zlepšení kvality života bylo hodnoceno po dobu 156 týdnů (36 měsíců), toto zlepšení přetrvávalo v průběhu celého tohoto období.</w:t>
      </w:r>
    </w:p>
    <w:p w14:paraId="59846198" w14:textId="77777777" w:rsidR="00ED3511" w:rsidRPr="001B4A02" w:rsidRDefault="00ED3511" w:rsidP="00ED48A3">
      <w:pPr>
        <w:ind w:left="0" w:firstLine="0"/>
      </w:pPr>
    </w:p>
    <w:p w14:paraId="46A0E9BF" w14:textId="77777777" w:rsidR="00ED3511" w:rsidRPr="001B4A02" w:rsidRDefault="00000000" w:rsidP="00ED48A3">
      <w:pPr>
        <w:ind w:left="0" w:firstLine="0"/>
      </w:pPr>
      <w:r w:rsidRPr="001B4A02">
        <w:t>Ve studii RA V</w:t>
      </w:r>
      <w:r w:rsidR="00D41D1A" w:rsidRPr="001B4A02">
        <w:t xml:space="preserve"> </w:t>
      </w:r>
      <w:r w:rsidRPr="001B4A02">
        <w:t>se zlepšení indexu disability HAQ</w:t>
      </w:r>
      <w:r w:rsidR="002378E0">
        <w:t xml:space="preserve"> a </w:t>
      </w:r>
      <w:r w:rsidRPr="001B4A02">
        <w:t>tělesné komponenty v průzkumu SF 36 prokázalo jako větší (p&lt;0,001) při kombin</w:t>
      </w:r>
      <w:r w:rsidR="00D0259F">
        <w:t>ované</w:t>
      </w:r>
      <w:r w:rsidRPr="001B4A02">
        <w:t xml:space="preserve"> léčbě přípravkem Humira/methotrexátem </w:t>
      </w:r>
      <w:r w:rsidRPr="001B4A02">
        <w:rPr>
          <w:iCs/>
        </w:rPr>
        <w:t>v porovnání s</w:t>
      </w:r>
      <w:r w:rsidR="00790DEF" w:rsidRPr="001B4A02">
        <w:t> </w:t>
      </w:r>
      <w:r w:rsidRPr="001B4A02">
        <w:t xml:space="preserve">monoterapií methotrexátem </w:t>
      </w:r>
      <w:r w:rsidR="00D00F8F">
        <w:t>v</w:t>
      </w:r>
      <w:r w:rsidR="000F04DB">
        <w:t> </w:t>
      </w:r>
      <w:r w:rsidR="00D00F8F">
        <w:t>týdnu 52</w:t>
      </w:r>
      <w:r w:rsidR="002378E0">
        <w:t xml:space="preserve"> a </w:t>
      </w:r>
      <w:r w:rsidRPr="001B4A02">
        <w:t>zůstávalo větší až do týdne</w:t>
      </w:r>
      <w:r w:rsidR="000F04DB" w:rsidRPr="001B4A02">
        <w:t xml:space="preserve"> 104</w:t>
      </w:r>
      <w:r w:rsidRPr="001B4A02">
        <w:t>.</w:t>
      </w:r>
      <w:r w:rsidR="00A93B82" w:rsidRPr="001B4A02">
        <w:t xml:space="preserve"> Mezi 250 subjekty, které dokončily otevřenou prodlouženou fázi studie RA V, bylo po dobu 10 let léčby zachováno zlepšení fyzických funkcí.</w:t>
      </w:r>
    </w:p>
    <w:p w14:paraId="263422F3" w14:textId="77777777" w:rsidR="00ED3511" w:rsidRPr="001B4A02" w:rsidRDefault="00ED3511" w:rsidP="00ED48A3">
      <w:pPr>
        <w:ind w:left="0" w:firstLine="0"/>
      </w:pPr>
    </w:p>
    <w:p w14:paraId="392D8098" w14:textId="77777777" w:rsidR="00F87C34" w:rsidRPr="001B4A02" w:rsidRDefault="00000000" w:rsidP="00A03600">
      <w:pPr>
        <w:keepNext/>
        <w:ind w:left="0" w:firstLine="0"/>
        <w:rPr>
          <w:i/>
          <w:u w:val="single"/>
        </w:rPr>
      </w:pPr>
      <w:r w:rsidRPr="001B4A02">
        <w:rPr>
          <w:i/>
          <w:u w:val="single"/>
        </w:rPr>
        <w:t>Bolest v místě injekčního vpichu</w:t>
      </w:r>
    </w:p>
    <w:p w14:paraId="21AB2987" w14:textId="77777777" w:rsidR="00F87C34" w:rsidRPr="001B4A02" w:rsidRDefault="00F87C34" w:rsidP="00A03600">
      <w:pPr>
        <w:keepNext/>
        <w:ind w:left="0" w:firstLine="0"/>
      </w:pPr>
    </w:p>
    <w:p w14:paraId="3E64DF82" w14:textId="77777777" w:rsidR="00F87C34" w:rsidRPr="001B4A02" w:rsidRDefault="00000000" w:rsidP="00ED48A3">
      <w:pPr>
        <w:ind w:left="0" w:firstLine="0"/>
      </w:pPr>
      <w:r w:rsidRPr="001B4A02">
        <w:t>U</w:t>
      </w:r>
      <w:r w:rsidR="00E13124" w:rsidRPr="001B4A02">
        <w:t xml:space="preserve"> sdružen</w:t>
      </w:r>
      <w:r w:rsidRPr="001B4A02">
        <w:t>ých</w:t>
      </w:r>
      <w:r w:rsidR="00E13124" w:rsidRPr="001B4A02">
        <w:t xml:space="preserve"> </w:t>
      </w:r>
      <w:r w:rsidR="009D2DE7">
        <w:t>z</w:t>
      </w:r>
      <w:r w:rsidR="00E13124" w:rsidRPr="001B4A02">
        <w:t>křížen</w:t>
      </w:r>
      <w:r w:rsidRPr="001B4A02">
        <w:t>ých</w:t>
      </w:r>
      <w:r w:rsidR="00E13124" w:rsidRPr="001B4A02">
        <w:t xml:space="preserve"> RA studi</w:t>
      </w:r>
      <w:r w:rsidRPr="001B4A02">
        <w:t>í</w:t>
      </w:r>
      <w:r w:rsidR="00E13124" w:rsidRPr="001B4A02">
        <w:t xml:space="preserve"> VI</w:t>
      </w:r>
      <w:r w:rsidR="002378E0">
        <w:t xml:space="preserve"> a </w:t>
      </w:r>
      <w:r w:rsidR="00E13124" w:rsidRPr="001B4A02">
        <w:t>VII byl pozorován statisticky významný rozdíl bolest</w:t>
      </w:r>
      <w:r w:rsidR="00730867" w:rsidRPr="001B4A02">
        <w:t>i</w:t>
      </w:r>
      <w:r w:rsidR="00E13124" w:rsidRPr="001B4A02">
        <w:t xml:space="preserve"> v místě injekčního vpichu ihned po podání mezi přípravkem Humira 40</w:t>
      </w:r>
      <w:r w:rsidR="00F365E7">
        <w:t> mg</w:t>
      </w:r>
      <w:r w:rsidR="00E13124" w:rsidRPr="001B4A02">
        <w:t>/0,8</w:t>
      </w:r>
      <w:r w:rsidR="00F365E7" w:rsidRPr="00005EC2">
        <w:rPr>
          <w:szCs w:val="22"/>
        </w:rPr>
        <w:t> </w:t>
      </w:r>
      <w:r w:rsidR="00E13124" w:rsidRPr="001B4A02">
        <w:t>ml</w:t>
      </w:r>
      <w:r w:rsidR="002378E0">
        <w:t xml:space="preserve"> a </w:t>
      </w:r>
      <w:r w:rsidR="00E13124" w:rsidRPr="001B4A02">
        <w:t>Humira 40</w:t>
      </w:r>
      <w:r w:rsidR="00790DEF" w:rsidRPr="001B4A02">
        <w:t> </w:t>
      </w:r>
      <w:r w:rsidR="00E13124" w:rsidRPr="001B4A02">
        <w:t>mg/0,4</w:t>
      </w:r>
      <w:r w:rsidR="00F365E7" w:rsidRPr="00005EC2">
        <w:rPr>
          <w:szCs w:val="22"/>
        </w:rPr>
        <w:t> </w:t>
      </w:r>
      <w:r w:rsidR="00E13124" w:rsidRPr="001B4A02">
        <w:t>ml (střední VAS 3,7</w:t>
      </w:r>
      <w:r w:rsidR="00B76F26" w:rsidRPr="00005EC2">
        <w:rPr>
          <w:szCs w:val="22"/>
        </w:rPr>
        <w:t> </w:t>
      </w:r>
      <w:r w:rsidR="00E13124" w:rsidRPr="001B4A02">
        <w:t>cm vs. 1,2</w:t>
      </w:r>
      <w:r w:rsidR="00F365E7" w:rsidRPr="00005EC2">
        <w:rPr>
          <w:szCs w:val="22"/>
        </w:rPr>
        <w:t> </w:t>
      </w:r>
      <w:r w:rsidR="00E13124" w:rsidRPr="001B4A02">
        <w:t>cm, na stupnici 0–10</w:t>
      </w:r>
      <w:r w:rsidR="00F365E7" w:rsidRPr="00005EC2">
        <w:rPr>
          <w:szCs w:val="22"/>
        </w:rPr>
        <w:t> </w:t>
      </w:r>
      <w:r w:rsidR="00E13124" w:rsidRPr="001B4A02">
        <w:t>cm, P&lt;0,001). Toto představovalo 84% medián snížení bolesti v místě injekčního vpichu.</w:t>
      </w:r>
    </w:p>
    <w:p w14:paraId="3EDF524C" w14:textId="77777777" w:rsidR="00F87C34" w:rsidRPr="001B4A02" w:rsidRDefault="00F87C34" w:rsidP="00ED48A3">
      <w:pPr>
        <w:ind w:left="0" w:firstLine="0"/>
      </w:pPr>
    </w:p>
    <w:p w14:paraId="1864FFCF" w14:textId="77777777" w:rsidR="00ED3511" w:rsidRPr="001B4A02" w:rsidRDefault="00000000" w:rsidP="00A03600">
      <w:pPr>
        <w:pStyle w:val="EMEAHeadingUnderline"/>
        <w:keepNext/>
        <w:tabs>
          <w:tab w:val="clear" w:pos="562"/>
        </w:tabs>
        <w:suppressAutoHyphens w:val="0"/>
        <w:spacing w:beforeLines="0" w:before="0" w:afterLines="0" w:after="0"/>
        <w:rPr>
          <w:i/>
          <w:u w:val="none"/>
          <w:lang w:val="cs-CZ"/>
        </w:rPr>
      </w:pPr>
      <w:r w:rsidRPr="001B4A02">
        <w:rPr>
          <w:i/>
          <w:u w:val="none"/>
          <w:lang w:val="cs-CZ"/>
        </w:rPr>
        <w:t>Axiální spondylartritida</w:t>
      </w:r>
    </w:p>
    <w:p w14:paraId="75B665A3" w14:textId="77777777" w:rsidR="00ED3511" w:rsidRPr="001B4A02" w:rsidRDefault="00ED3511" w:rsidP="00A03600">
      <w:pPr>
        <w:pStyle w:val="EMEANormal"/>
        <w:keepNext/>
        <w:rPr>
          <w:lang w:val="cs-CZ"/>
        </w:rPr>
      </w:pPr>
    </w:p>
    <w:p w14:paraId="71661C51" w14:textId="77777777" w:rsidR="00ED3511" w:rsidRPr="001B4A02" w:rsidRDefault="00000000" w:rsidP="00A03600">
      <w:pPr>
        <w:pStyle w:val="EMEAHeadingUnderline"/>
        <w:keepNext/>
        <w:tabs>
          <w:tab w:val="clear" w:pos="562"/>
        </w:tabs>
        <w:suppressAutoHyphens w:val="0"/>
        <w:spacing w:beforeLines="0" w:before="0" w:afterLines="0" w:after="0"/>
        <w:rPr>
          <w:i/>
          <w:lang w:val="cs-CZ"/>
        </w:rPr>
      </w:pPr>
      <w:r w:rsidRPr="001B4A02">
        <w:rPr>
          <w:i/>
          <w:lang w:val="cs-CZ"/>
        </w:rPr>
        <w:t>Ankylozující spondylitida (AS)</w:t>
      </w:r>
    </w:p>
    <w:p w14:paraId="7559443C" w14:textId="77777777" w:rsidR="00ED3511" w:rsidRPr="001B4A02" w:rsidRDefault="00ED3511" w:rsidP="00A03600">
      <w:pPr>
        <w:pStyle w:val="EMEANormal"/>
        <w:keepNext/>
        <w:rPr>
          <w:lang w:val="cs-CZ"/>
        </w:rPr>
      </w:pPr>
    </w:p>
    <w:p w14:paraId="7C9BB8E4" w14:textId="77777777" w:rsidR="00ED3511" w:rsidRPr="001B4A02" w:rsidRDefault="00000000" w:rsidP="00ED48A3">
      <w:pPr>
        <w:ind w:left="0" w:firstLine="0"/>
      </w:pPr>
      <w:r w:rsidRPr="001B4A02">
        <w:t>Přípravek Humira 40</w:t>
      </w:r>
      <w:r w:rsidR="00F365E7">
        <w:t> mg</w:t>
      </w:r>
      <w:r w:rsidRPr="001B4A02">
        <w:t xml:space="preserve"> byl podáván každý druhý týden ve dvou randomizovaných, dvojitě zaslepených, placebem kontrolovaných studiích 393 pacientům s</w:t>
      </w:r>
      <w:r w:rsidR="00DD02A9" w:rsidRPr="001B4A02">
        <w:t> </w:t>
      </w:r>
      <w:r w:rsidRPr="001B4A02">
        <w:t>aktivní ankylozující spondylitidou, u nichž nebyla dostatečná odpověď na konvenční terapii (průměrné výchozí skóre aktivity choroby [Bath Ankylosis Spondylitis Disease Activity Index (BASDAI)] bylo u</w:t>
      </w:r>
      <w:r w:rsidR="00DD02A9" w:rsidRPr="001B4A02">
        <w:t> </w:t>
      </w:r>
      <w:r w:rsidRPr="001B4A02">
        <w:t>všech skupin 6,3). Studie trvaly 24 týdnů. 79 pacientů (20,1</w:t>
      </w:r>
      <w:r w:rsidR="00FA1345" w:rsidRPr="001B4A02">
        <w:t> </w:t>
      </w:r>
      <w:r w:rsidRPr="001B4A02">
        <w:t>%) bylo léčeno současně chorobu modifikujícími antirevmatiky</w:t>
      </w:r>
      <w:r w:rsidR="002378E0">
        <w:t xml:space="preserve"> a </w:t>
      </w:r>
      <w:r w:rsidRPr="001B4A02">
        <w:t>37 pacientů (9,4</w:t>
      </w:r>
      <w:r w:rsidR="00FA1345" w:rsidRPr="001B4A02">
        <w:t> </w:t>
      </w:r>
      <w:r w:rsidRPr="001B4A02">
        <w:t>%) glukokortikoidy. Po zaslepené fázi následovala otevřená fáze, během níž pacienti dostávali přípravek Humira 40</w:t>
      </w:r>
      <w:r w:rsidR="00F365E7">
        <w:t> mg</w:t>
      </w:r>
      <w:r w:rsidRPr="001B4A02">
        <w:t xml:space="preserve"> každý druhý týden subkutánně po dobu dalších 28 týdnů. Subjekty hodnocení (n=215, 54</w:t>
      </w:r>
      <w:r w:rsidR="00FA1345" w:rsidRPr="001B4A02">
        <w:t> </w:t>
      </w:r>
      <w:r w:rsidRPr="001B4A02">
        <w:t>%), u</w:t>
      </w:r>
      <w:r w:rsidR="008A5E18" w:rsidRPr="001B4A02">
        <w:t> </w:t>
      </w:r>
      <w:r w:rsidRPr="001B4A02">
        <w:t>kterých se v týdnech 12, 16 nebo 20 nepodařilo dosáhnout ASAS 20, byl</w:t>
      </w:r>
      <w:r w:rsidR="001E4077">
        <w:t>y</w:t>
      </w:r>
      <w:r w:rsidRPr="001B4A02">
        <w:t xml:space="preserve"> předčasně zařazen</w:t>
      </w:r>
      <w:r w:rsidR="001E4077">
        <w:t>y</w:t>
      </w:r>
      <w:r w:rsidRPr="001B4A02">
        <w:t xml:space="preserve"> do otevřené fáze studie</w:t>
      </w:r>
      <w:r w:rsidR="002378E0">
        <w:t xml:space="preserve"> a </w:t>
      </w:r>
      <w:r w:rsidRPr="001B4A02">
        <w:t>každý druhý týden pak dostával</w:t>
      </w:r>
      <w:r w:rsidR="001E4077">
        <w:t>y</w:t>
      </w:r>
      <w:r w:rsidRPr="001B4A02">
        <w:t xml:space="preserve"> subkutánně 40</w:t>
      </w:r>
      <w:r w:rsidR="00F365E7">
        <w:t> mg</w:t>
      </w:r>
      <w:r w:rsidRPr="001B4A02">
        <w:t xml:space="preserve"> adalimumabu</w:t>
      </w:r>
      <w:r w:rsidR="002378E0">
        <w:t xml:space="preserve"> a </w:t>
      </w:r>
      <w:r w:rsidRPr="001B4A02">
        <w:t>byl</w:t>
      </w:r>
      <w:r w:rsidR="001E4077">
        <w:t>y</w:t>
      </w:r>
      <w:r w:rsidRPr="001B4A02">
        <w:t xml:space="preserve"> poté v dvojitě zaslepených statistických analýzách považován</w:t>
      </w:r>
      <w:r w:rsidR="001E4077">
        <w:t>y</w:t>
      </w:r>
      <w:r w:rsidRPr="001B4A02">
        <w:t xml:space="preserve"> za na léčbu neodpovídající.</w:t>
      </w:r>
    </w:p>
    <w:p w14:paraId="7D10EFD8" w14:textId="77777777" w:rsidR="00ED3511" w:rsidRPr="001B4A02" w:rsidRDefault="00ED3511" w:rsidP="00ED48A3">
      <w:pPr>
        <w:ind w:left="0" w:firstLine="0"/>
      </w:pPr>
    </w:p>
    <w:p w14:paraId="0DCE3CC4" w14:textId="77777777" w:rsidR="00ED3511" w:rsidRPr="001B4A02" w:rsidRDefault="00000000" w:rsidP="00ED48A3">
      <w:pPr>
        <w:ind w:left="0" w:firstLine="0"/>
      </w:pPr>
      <w:r w:rsidRPr="001B4A02">
        <w:t>V rozsáhlejší studii AS I s 315 pacienty výsledky prokázaly statisticky signifikantní zlepšení symptomů ankylozující spondylitidy u</w:t>
      </w:r>
      <w:r w:rsidR="00DD02A9" w:rsidRPr="001B4A02">
        <w:t> </w:t>
      </w:r>
      <w:r w:rsidRPr="001B4A02">
        <w:t>pacientů léčených přípravkem Humira ve srovnání s placebem. Signifikantní odpověď byla poprvé pozorována v</w:t>
      </w:r>
      <w:r w:rsidR="00DD02A9" w:rsidRPr="001B4A02">
        <w:t> </w:t>
      </w:r>
      <w:r w:rsidRPr="001B4A02">
        <w:t>týdnu 2</w:t>
      </w:r>
      <w:r w:rsidR="002378E0">
        <w:t xml:space="preserve"> a </w:t>
      </w:r>
      <w:r w:rsidRPr="001B4A02">
        <w:t xml:space="preserve">přetrvávala až do týdne 24 (tabulka </w:t>
      </w:r>
      <w:r w:rsidR="00347A28" w:rsidRPr="001B4A02">
        <w:t>1</w:t>
      </w:r>
      <w:r w:rsidR="00E571F5">
        <w:t>2</w:t>
      </w:r>
      <w:r w:rsidRPr="001B4A02">
        <w:t>).</w:t>
      </w:r>
    </w:p>
    <w:p w14:paraId="3BFDD217" w14:textId="77777777" w:rsidR="00ED3511" w:rsidRPr="001B4A02" w:rsidRDefault="00ED3511" w:rsidP="00ED48A3">
      <w:pPr>
        <w:ind w:left="0" w:firstLine="0"/>
      </w:pPr>
    </w:p>
    <w:p w14:paraId="1371A09D" w14:textId="77777777" w:rsidR="00ED3511" w:rsidRPr="001B4A02" w:rsidRDefault="00000000" w:rsidP="00ED48A3">
      <w:pPr>
        <w:keepNext/>
        <w:ind w:left="0" w:firstLine="0"/>
        <w:jc w:val="center"/>
        <w:rPr>
          <w:b/>
          <w:bCs/>
        </w:rPr>
      </w:pPr>
      <w:r w:rsidRPr="001B4A02">
        <w:rPr>
          <w:b/>
          <w:bCs/>
        </w:rPr>
        <w:t xml:space="preserve">Tabulka </w:t>
      </w:r>
      <w:r w:rsidR="002A0AEB">
        <w:rPr>
          <w:b/>
          <w:bCs/>
        </w:rPr>
        <w:t>12</w:t>
      </w:r>
      <w:r w:rsidR="002A0AEB" w:rsidRPr="001B4A02">
        <w:rPr>
          <w:b/>
          <w:bCs/>
        </w:rPr>
        <w:t xml:space="preserve"> </w:t>
      </w:r>
    </w:p>
    <w:p w14:paraId="092B5BDD" w14:textId="77777777" w:rsidR="00ED3511" w:rsidRPr="001B4A02" w:rsidRDefault="00000000" w:rsidP="00ED48A3">
      <w:pPr>
        <w:keepNext/>
        <w:ind w:left="0" w:firstLine="0"/>
        <w:jc w:val="center"/>
        <w:rPr>
          <w:b/>
          <w:bCs/>
        </w:rPr>
      </w:pPr>
      <w:r w:rsidRPr="001B4A02">
        <w:rPr>
          <w:b/>
          <w:bCs/>
        </w:rPr>
        <w:t>Účinné odpovědi v placebem kontrolované studii s ankylozující spondylitidou – studie AS I</w:t>
      </w:r>
    </w:p>
    <w:p w14:paraId="5F6FE2EF" w14:textId="77777777" w:rsidR="00ED3511" w:rsidRPr="001B4A02" w:rsidRDefault="00000000" w:rsidP="00ED48A3">
      <w:pPr>
        <w:keepNext/>
        <w:ind w:left="0" w:firstLine="0"/>
        <w:jc w:val="center"/>
        <w:rPr>
          <w:b/>
          <w:bCs/>
        </w:rPr>
      </w:pPr>
      <w:r w:rsidRPr="001B4A02">
        <w:rPr>
          <w:b/>
          <w:bCs/>
        </w:rPr>
        <w:t>Redukce symptomů</w:t>
      </w:r>
    </w:p>
    <w:p w14:paraId="6261C6C2" w14:textId="77777777" w:rsidR="00ED3511" w:rsidRPr="001B4A02" w:rsidRDefault="00ED3511" w:rsidP="00ED48A3">
      <w:pPr>
        <w:keepNext/>
        <w:ind w:left="0" w:firstLine="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6"/>
        <w:gridCol w:w="3016"/>
        <w:gridCol w:w="3019"/>
      </w:tblGrid>
      <w:tr w:rsidR="00534A2D" w14:paraId="51C0612C" w14:textId="77777777" w:rsidTr="00187CC8">
        <w:tc>
          <w:tcPr>
            <w:tcW w:w="3070" w:type="dxa"/>
          </w:tcPr>
          <w:p w14:paraId="5C12FBCF" w14:textId="77777777" w:rsidR="00ED3511" w:rsidRPr="001B4A02" w:rsidRDefault="00000000" w:rsidP="00ED48A3">
            <w:pPr>
              <w:keepNext/>
              <w:ind w:left="0" w:firstLine="0"/>
              <w:rPr>
                <w:b/>
                <w:bCs/>
              </w:rPr>
            </w:pPr>
            <w:r w:rsidRPr="001B4A02">
              <w:rPr>
                <w:b/>
                <w:bCs/>
              </w:rPr>
              <w:t>Odpověď</w:t>
            </w:r>
          </w:p>
        </w:tc>
        <w:tc>
          <w:tcPr>
            <w:tcW w:w="3070" w:type="dxa"/>
          </w:tcPr>
          <w:p w14:paraId="5F530D4A" w14:textId="77777777" w:rsidR="00ED3511" w:rsidRPr="001B4A02" w:rsidRDefault="00000000" w:rsidP="00ED48A3">
            <w:pPr>
              <w:keepNext/>
              <w:ind w:left="0" w:firstLine="0"/>
              <w:jc w:val="center"/>
              <w:rPr>
                <w:b/>
                <w:bCs/>
              </w:rPr>
            </w:pPr>
            <w:r w:rsidRPr="001B4A02">
              <w:rPr>
                <w:b/>
                <w:bCs/>
              </w:rPr>
              <w:t xml:space="preserve">Placebo </w:t>
            </w:r>
          </w:p>
          <w:p w14:paraId="1031A89A" w14:textId="77777777" w:rsidR="00ED3511" w:rsidRPr="001B4A02" w:rsidRDefault="00000000" w:rsidP="00ED48A3">
            <w:pPr>
              <w:keepNext/>
              <w:ind w:left="0" w:firstLine="0"/>
              <w:jc w:val="center"/>
              <w:rPr>
                <w:b/>
                <w:bCs/>
              </w:rPr>
            </w:pPr>
            <w:r>
              <w:rPr>
                <w:b/>
                <w:bCs/>
              </w:rPr>
              <w:t>n</w:t>
            </w:r>
            <w:r w:rsidRPr="001B4A02">
              <w:rPr>
                <w:b/>
                <w:bCs/>
              </w:rPr>
              <w:t>=107</w:t>
            </w:r>
          </w:p>
        </w:tc>
        <w:tc>
          <w:tcPr>
            <w:tcW w:w="3071" w:type="dxa"/>
          </w:tcPr>
          <w:p w14:paraId="5C1DD1D1" w14:textId="77777777" w:rsidR="00ED3511" w:rsidRPr="001B4A02" w:rsidRDefault="00000000" w:rsidP="00ED48A3">
            <w:pPr>
              <w:keepNext/>
              <w:ind w:left="0" w:firstLine="0"/>
              <w:jc w:val="center"/>
              <w:rPr>
                <w:b/>
                <w:bCs/>
              </w:rPr>
            </w:pPr>
            <w:r w:rsidRPr="001B4A02">
              <w:rPr>
                <w:b/>
                <w:bCs/>
              </w:rPr>
              <w:t xml:space="preserve">Humira </w:t>
            </w:r>
          </w:p>
          <w:p w14:paraId="7F072FC4" w14:textId="77777777" w:rsidR="00ED3511" w:rsidRPr="001B4A02" w:rsidRDefault="00000000" w:rsidP="00F9434B">
            <w:pPr>
              <w:keepNext/>
              <w:ind w:left="0" w:firstLine="0"/>
              <w:jc w:val="center"/>
              <w:rPr>
                <w:b/>
                <w:bCs/>
              </w:rPr>
            </w:pPr>
            <w:r>
              <w:rPr>
                <w:b/>
                <w:bCs/>
              </w:rPr>
              <w:t>n</w:t>
            </w:r>
            <w:r w:rsidRPr="001B4A02">
              <w:rPr>
                <w:b/>
                <w:bCs/>
              </w:rPr>
              <w:t>=208</w:t>
            </w:r>
          </w:p>
        </w:tc>
      </w:tr>
      <w:tr w:rsidR="00534A2D" w14:paraId="1C445EF1" w14:textId="77777777" w:rsidTr="00187CC8">
        <w:tc>
          <w:tcPr>
            <w:tcW w:w="3070" w:type="dxa"/>
          </w:tcPr>
          <w:p w14:paraId="5C5CAF46" w14:textId="77777777" w:rsidR="00ED3511" w:rsidRPr="001B4A02" w:rsidRDefault="00000000" w:rsidP="00ED48A3">
            <w:pPr>
              <w:keepNext/>
              <w:ind w:left="0" w:firstLine="0"/>
            </w:pPr>
            <w:r w:rsidRPr="001B4A02">
              <w:t>ASAS</w:t>
            </w:r>
            <w:r w:rsidRPr="001B4A02">
              <w:rPr>
                <w:vertAlign w:val="superscript"/>
              </w:rPr>
              <w:t>a</w:t>
            </w:r>
            <w:r w:rsidRPr="001B4A02">
              <w:t xml:space="preserve"> 20</w:t>
            </w:r>
          </w:p>
        </w:tc>
        <w:tc>
          <w:tcPr>
            <w:tcW w:w="3070" w:type="dxa"/>
          </w:tcPr>
          <w:p w14:paraId="6ABCE58C" w14:textId="77777777" w:rsidR="00ED3511" w:rsidRPr="001B4A02" w:rsidRDefault="00ED3511" w:rsidP="00ED48A3">
            <w:pPr>
              <w:keepNext/>
              <w:ind w:left="0" w:firstLine="0"/>
            </w:pPr>
          </w:p>
        </w:tc>
        <w:tc>
          <w:tcPr>
            <w:tcW w:w="3071" w:type="dxa"/>
          </w:tcPr>
          <w:p w14:paraId="6BBF12E2" w14:textId="77777777" w:rsidR="00ED3511" w:rsidRPr="001B4A02" w:rsidRDefault="00ED3511" w:rsidP="00ED48A3">
            <w:pPr>
              <w:keepNext/>
              <w:ind w:left="0" w:firstLine="0"/>
            </w:pPr>
          </w:p>
        </w:tc>
      </w:tr>
      <w:tr w:rsidR="00534A2D" w14:paraId="04F44FAA" w14:textId="77777777" w:rsidTr="00187CC8">
        <w:tc>
          <w:tcPr>
            <w:tcW w:w="3070" w:type="dxa"/>
          </w:tcPr>
          <w:p w14:paraId="05FAFA54" w14:textId="77777777" w:rsidR="00ED3511" w:rsidRPr="001B4A02" w:rsidRDefault="00000000" w:rsidP="00ED48A3">
            <w:pPr>
              <w:pStyle w:val="EMEANormal"/>
              <w:keepNext/>
              <w:tabs>
                <w:tab w:val="clear" w:pos="562"/>
              </w:tabs>
              <w:suppressAutoHyphens w:val="0"/>
              <w:rPr>
                <w:lang w:val="cs-CZ"/>
              </w:rPr>
            </w:pPr>
            <w:r w:rsidRPr="001B4A02">
              <w:rPr>
                <w:lang w:val="cs-CZ"/>
              </w:rPr>
              <w:tab/>
              <w:t>Týden 2</w:t>
            </w:r>
          </w:p>
        </w:tc>
        <w:tc>
          <w:tcPr>
            <w:tcW w:w="3070" w:type="dxa"/>
          </w:tcPr>
          <w:p w14:paraId="08621387" w14:textId="77777777" w:rsidR="00ED3511" w:rsidRPr="001B4A02" w:rsidRDefault="00000000" w:rsidP="00ED48A3">
            <w:pPr>
              <w:keepNext/>
              <w:ind w:left="0" w:firstLine="0"/>
              <w:jc w:val="center"/>
            </w:pPr>
            <w:r w:rsidRPr="001B4A02">
              <w:t>16</w:t>
            </w:r>
            <w:r w:rsidR="00FA1345" w:rsidRPr="001B4A02">
              <w:t> </w:t>
            </w:r>
            <w:r w:rsidRPr="001B4A02">
              <w:t>%</w:t>
            </w:r>
          </w:p>
        </w:tc>
        <w:tc>
          <w:tcPr>
            <w:tcW w:w="3071" w:type="dxa"/>
          </w:tcPr>
          <w:p w14:paraId="3593DF8F" w14:textId="77777777" w:rsidR="00ED3511" w:rsidRPr="001B4A02" w:rsidRDefault="00000000" w:rsidP="00ED48A3">
            <w:pPr>
              <w:keepNext/>
              <w:ind w:left="0" w:firstLine="0"/>
              <w:jc w:val="center"/>
              <w:rPr>
                <w:b/>
                <w:bCs/>
              </w:rPr>
            </w:pPr>
            <w:r w:rsidRPr="001B4A02">
              <w:t>42</w:t>
            </w:r>
            <w:r w:rsidR="00FA1345" w:rsidRPr="001B4A02">
              <w:t> </w:t>
            </w:r>
            <w:r w:rsidRPr="001B4A02">
              <w:t>%***</w:t>
            </w:r>
          </w:p>
        </w:tc>
      </w:tr>
      <w:tr w:rsidR="00534A2D" w14:paraId="52F35299" w14:textId="77777777" w:rsidTr="00187CC8">
        <w:tc>
          <w:tcPr>
            <w:tcW w:w="3070" w:type="dxa"/>
          </w:tcPr>
          <w:p w14:paraId="2BA0D0A6" w14:textId="77777777" w:rsidR="00ED3511" w:rsidRPr="001B4A02" w:rsidRDefault="00000000" w:rsidP="00ED48A3">
            <w:pPr>
              <w:pStyle w:val="EMEANormal"/>
              <w:keepNext/>
              <w:tabs>
                <w:tab w:val="clear" w:pos="562"/>
              </w:tabs>
              <w:suppressAutoHyphens w:val="0"/>
              <w:rPr>
                <w:lang w:val="cs-CZ"/>
              </w:rPr>
            </w:pPr>
            <w:r w:rsidRPr="001B4A02">
              <w:rPr>
                <w:lang w:val="cs-CZ"/>
              </w:rPr>
              <w:tab/>
              <w:t>Týden 12</w:t>
            </w:r>
          </w:p>
        </w:tc>
        <w:tc>
          <w:tcPr>
            <w:tcW w:w="3070" w:type="dxa"/>
          </w:tcPr>
          <w:p w14:paraId="53714A5E" w14:textId="77777777" w:rsidR="00ED3511" w:rsidRPr="001B4A02" w:rsidRDefault="00000000" w:rsidP="00ED48A3">
            <w:pPr>
              <w:keepNext/>
              <w:ind w:left="0" w:firstLine="0"/>
              <w:jc w:val="center"/>
              <w:rPr>
                <w:b/>
                <w:bCs/>
              </w:rPr>
            </w:pPr>
            <w:r w:rsidRPr="001B4A02">
              <w:t>21</w:t>
            </w:r>
            <w:r w:rsidR="00FA1345" w:rsidRPr="001B4A02">
              <w:t> </w:t>
            </w:r>
            <w:r w:rsidRPr="001B4A02">
              <w:t>%</w:t>
            </w:r>
          </w:p>
        </w:tc>
        <w:tc>
          <w:tcPr>
            <w:tcW w:w="3071" w:type="dxa"/>
          </w:tcPr>
          <w:p w14:paraId="3C3EDEBA" w14:textId="77777777" w:rsidR="00ED3511" w:rsidRPr="001B4A02" w:rsidRDefault="00000000" w:rsidP="00ED48A3">
            <w:pPr>
              <w:keepNext/>
              <w:ind w:left="0" w:firstLine="0"/>
              <w:jc w:val="center"/>
              <w:rPr>
                <w:b/>
                <w:bCs/>
              </w:rPr>
            </w:pPr>
            <w:r w:rsidRPr="001B4A02">
              <w:t>58</w:t>
            </w:r>
            <w:r w:rsidR="00FA1345" w:rsidRPr="001B4A02">
              <w:t> </w:t>
            </w:r>
            <w:r w:rsidRPr="001B4A02">
              <w:t>%***</w:t>
            </w:r>
          </w:p>
        </w:tc>
      </w:tr>
      <w:tr w:rsidR="00534A2D" w14:paraId="50989652" w14:textId="77777777" w:rsidTr="00187CC8">
        <w:tc>
          <w:tcPr>
            <w:tcW w:w="3070" w:type="dxa"/>
          </w:tcPr>
          <w:p w14:paraId="5BB486EE" w14:textId="77777777" w:rsidR="00ED3511" w:rsidRPr="001B4A02" w:rsidRDefault="00000000" w:rsidP="00ED48A3">
            <w:pPr>
              <w:pStyle w:val="EMEANormal"/>
              <w:keepNext/>
              <w:tabs>
                <w:tab w:val="clear" w:pos="562"/>
              </w:tabs>
              <w:suppressAutoHyphens w:val="0"/>
              <w:rPr>
                <w:lang w:val="cs-CZ"/>
              </w:rPr>
            </w:pPr>
            <w:r w:rsidRPr="001B4A02">
              <w:rPr>
                <w:lang w:val="cs-CZ"/>
              </w:rPr>
              <w:tab/>
              <w:t>Týden 24</w:t>
            </w:r>
          </w:p>
        </w:tc>
        <w:tc>
          <w:tcPr>
            <w:tcW w:w="3070" w:type="dxa"/>
          </w:tcPr>
          <w:p w14:paraId="37A94003" w14:textId="77777777" w:rsidR="00ED3511" w:rsidRPr="001B4A02" w:rsidRDefault="00000000" w:rsidP="00ED48A3">
            <w:pPr>
              <w:keepNext/>
              <w:ind w:left="0" w:firstLine="0"/>
              <w:jc w:val="center"/>
              <w:rPr>
                <w:b/>
                <w:bCs/>
              </w:rPr>
            </w:pPr>
            <w:r w:rsidRPr="001B4A02">
              <w:t>19</w:t>
            </w:r>
            <w:r w:rsidR="00FA1345" w:rsidRPr="001B4A02">
              <w:t> </w:t>
            </w:r>
            <w:r w:rsidRPr="001B4A02">
              <w:t>%</w:t>
            </w:r>
          </w:p>
        </w:tc>
        <w:tc>
          <w:tcPr>
            <w:tcW w:w="3071" w:type="dxa"/>
          </w:tcPr>
          <w:p w14:paraId="73098DFA" w14:textId="77777777" w:rsidR="00ED3511" w:rsidRPr="001B4A02" w:rsidRDefault="00000000" w:rsidP="00ED48A3">
            <w:pPr>
              <w:keepNext/>
              <w:ind w:left="0" w:firstLine="0"/>
              <w:jc w:val="center"/>
              <w:rPr>
                <w:b/>
                <w:bCs/>
              </w:rPr>
            </w:pPr>
            <w:r w:rsidRPr="001B4A02">
              <w:t>51</w:t>
            </w:r>
            <w:r w:rsidR="00FA1345" w:rsidRPr="001B4A02">
              <w:t> </w:t>
            </w:r>
            <w:r w:rsidRPr="001B4A02">
              <w:t>%***</w:t>
            </w:r>
          </w:p>
        </w:tc>
      </w:tr>
      <w:tr w:rsidR="00534A2D" w14:paraId="0E0DDE09" w14:textId="77777777" w:rsidTr="00187CC8">
        <w:tc>
          <w:tcPr>
            <w:tcW w:w="3070" w:type="dxa"/>
          </w:tcPr>
          <w:p w14:paraId="08CBB437" w14:textId="77777777" w:rsidR="00ED3511" w:rsidRPr="001B4A02" w:rsidRDefault="00000000" w:rsidP="00ED48A3">
            <w:pPr>
              <w:keepNext/>
              <w:ind w:left="0" w:firstLine="0"/>
            </w:pPr>
            <w:r w:rsidRPr="001B4A02">
              <w:t>ASAS 50</w:t>
            </w:r>
          </w:p>
        </w:tc>
        <w:tc>
          <w:tcPr>
            <w:tcW w:w="3070" w:type="dxa"/>
          </w:tcPr>
          <w:p w14:paraId="09CD4F17" w14:textId="77777777" w:rsidR="00ED3511" w:rsidRPr="001B4A02" w:rsidRDefault="00ED3511" w:rsidP="00ED48A3">
            <w:pPr>
              <w:keepNext/>
              <w:ind w:left="0" w:firstLine="0"/>
              <w:jc w:val="center"/>
              <w:rPr>
                <w:b/>
                <w:bCs/>
              </w:rPr>
            </w:pPr>
          </w:p>
        </w:tc>
        <w:tc>
          <w:tcPr>
            <w:tcW w:w="3071" w:type="dxa"/>
          </w:tcPr>
          <w:p w14:paraId="245FE62C" w14:textId="77777777" w:rsidR="00ED3511" w:rsidRPr="001B4A02" w:rsidRDefault="00ED3511" w:rsidP="00ED48A3">
            <w:pPr>
              <w:keepNext/>
              <w:ind w:left="0" w:firstLine="0"/>
              <w:jc w:val="center"/>
              <w:rPr>
                <w:b/>
                <w:bCs/>
              </w:rPr>
            </w:pPr>
          </w:p>
        </w:tc>
      </w:tr>
      <w:tr w:rsidR="00534A2D" w14:paraId="3A34A39E" w14:textId="77777777" w:rsidTr="00187CC8">
        <w:tc>
          <w:tcPr>
            <w:tcW w:w="3070" w:type="dxa"/>
          </w:tcPr>
          <w:p w14:paraId="450BADA6" w14:textId="77777777" w:rsidR="00ED3511" w:rsidRPr="001B4A02" w:rsidRDefault="00000000" w:rsidP="00ED48A3">
            <w:pPr>
              <w:pStyle w:val="EMEANormal"/>
              <w:keepNext/>
              <w:tabs>
                <w:tab w:val="clear" w:pos="562"/>
              </w:tabs>
              <w:suppressAutoHyphens w:val="0"/>
              <w:rPr>
                <w:lang w:val="cs-CZ"/>
              </w:rPr>
            </w:pPr>
            <w:r w:rsidRPr="001B4A02">
              <w:rPr>
                <w:lang w:val="cs-CZ"/>
              </w:rPr>
              <w:tab/>
              <w:t>Týden 2</w:t>
            </w:r>
          </w:p>
        </w:tc>
        <w:tc>
          <w:tcPr>
            <w:tcW w:w="3070" w:type="dxa"/>
          </w:tcPr>
          <w:p w14:paraId="6C11A3DA" w14:textId="77777777" w:rsidR="00ED3511" w:rsidRPr="001B4A02" w:rsidRDefault="00000000" w:rsidP="00ED48A3">
            <w:pPr>
              <w:keepNext/>
              <w:ind w:left="0" w:firstLine="0"/>
              <w:jc w:val="center"/>
              <w:rPr>
                <w:b/>
                <w:bCs/>
              </w:rPr>
            </w:pPr>
            <w:r w:rsidRPr="001B4A02">
              <w:t>3</w:t>
            </w:r>
            <w:r w:rsidR="00FA1345" w:rsidRPr="001B4A02">
              <w:t> </w:t>
            </w:r>
            <w:r w:rsidRPr="001B4A02">
              <w:t>%</w:t>
            </w:r>
          </w:p>
        </w:tc>
        <w:tc>
          <w:tcPr>
            <w:tcW w:w="3071" w:type="dxa"/>
          </w:tcPr>
          <w:p w14:paraId="7BC7C745" w14:textId="77777777" w:rsidR="00ED3511" w:rsidRPr="001B4A02" w:rsidRDefault="00000000" w:rsidP="00ED48A3">
            <w:pPr>
              <w:keepNext/>
              <w:ind w:left="0" w:firstLine="0"/>
              <w:jc w:val="center"/>
              <w:rPr>
                <w:b/>
                <w:bCs/>
              </w:rPr>
            </w:pPr>
            <w:r w:rsidRPr="001B4A02">
              <w:t>16</w:t>
            </w:r>
            <w:r w:rsidR="00FA1345" w:rsidRPr="001B4A02">
              <w:t> </w:t>
            </w:r>
            <w:r w:rsidRPr="001B4A02">
              <w:t>%***</w:t>
            </w:r>
          </w:p>
        </w:tc>
      </w:tr>
      <w:tr w:rsidR="00534A2D" w14:paraId="305200E0" w14:textId="77777777" w:rsidTr="00187CC8">
        <w:tc>
          <w:tcPr>
            <w:tcW w:w="3070" w:type="dxa"/>
          </w:tcPr>
          <w:p w14:paraId="1075C07D" w14:textId="77777777" w:rsidR="00ED3511" w:rsidRPr="001B4A02" w:rsidRDefault="00000000" w:rsidP="00ED48A3">
            <w:pPr>
              <w:pStyle w:val="EMEANormal"/>
              <w:keepNext/>
              <w:tabs>
                <w:tab w:val="clear" w:pos="562"/>
              </w:tabs>
              <w:suppressAutoHyphens w:val="0"/>
              <w:rPr>
                <w:lang w:val="cs-CZ"/>
              </w:rPr>
            </w:pPr>
            <w:r w:rsidRPr="001B4A02">
              <w:rPr>
                <w:lang w:val="cs-CZ"/>
              </w:rPr>
              <w:tab/>
              <w:t>Týden 12</w:t>
            </w:r>
          </w:p>
        </w:tc>
        <w:tc>
          <w:tcPr>
            <w:tcW w:w="3070" w:type="dxa"/>
          </w:tcPr>
          <w:p w14:paraId="106637F5" w14:textId="77777777" w:rsidR="00ED3511" w:rsidRPr="001B4A02" w:rsidRDefault="00000000" w:rsidP="00ED48A3">
            <w:pPr>
              <w:keepNext/>
              <w:ind w:left="0" w:firstLine="0"/>
              <w:jc w:val="center"/>
              <w:rPr>
                <w:b/>
                <w:bCs/>
              </w:rPr>
            </w:pPr>
            <w:r w:rsidRPr="001B4A02">
              <w:t>10</w:t>
            </w:r>
            <w:r w:rsidR="00FA1345" w:rsidRPr="001B4A02">
              <w:t> </w:t>
            </w:r>
            <w:r w:rsidRPr="001B4A02">
              <w:t>%</w:t>
            </w:r>
          </w:p>
        </w:tc>
        <w:tc>
          <w:tcPr>
            <w:tcW w:w="3071" w:type="dxa"/>
          </w:tcPr>
          <w:p w14:paraId="3C7D5C7D" w14:textId="77777777" w:rsidR="00ED3511" w:rsidRPr="001B4A02" w:rsidRDefault="00000000" w:rsidP="00ED48A3">
            <w:pPr>
              <w:keepNext/>
              <w:ind w:left="0" w:firstLine="0"/>
              <w:jc w:val="center"/>
              <w:rPr>
                <w:b/>
                <w:bCs/>
              </w:rPr>
            </w:pPr>
            <w:r w:rsidRPr="001B4A02">
              <w:t>38</w:t>
            </w:r>
            <w:r w:rsidR="00FA1345" w:rsidRPr="001B4A02">
              <w:t> </w:t>
            </w:r>
            <w:r w:rsidRPr="001B4A02">
              <w:t>%***</w:t>
            </w:r>
          </w:p>
        </w:tc>
      </w:tr>
      <w:tr w:rsidR="00534A2D" w14:paraId="38A3DF1B" w14:textId="77777777" w:rsidTr="00187CC8">
        <w:tc>
          <w:tcPr>
            <w:tcW w:w="3070" w:type="dxa"/>
          </w:tcPr>
          <w:p w14:paraId="54F86691" w14:textId="77777777" w:rsidR="00ED3511" w:rsidRPr="001B4A02" w:rsidRDefault="00000000" w:rsidP="00ED48A3">
            <w:pPr>
              <w:pStyle w:val="EMEANormal"/>
              <w:keepNext/>
              <w:tabs>
                <w:tab w:val="clear" w:pos="562"/>
              </w:tabs>
              <w:suppressAutoHyphens w:val="0"/>
              <w:rPr>
                <w:lang w:val="cs-CZ"/>
              </w:rPr>
            </w:pPr>
            <w:r w:rsidRPr="001B4A02">
              <w:rPr>
                <w:lang w:val="cs-CZ"/>
              </w:rPr>
              <w:tab/>
              <w:t>Týden 24</w:t>
            </w:r>
          </w:p>
        </w:tc>
        <w:tc>
          <w:tcPr>
            <w:tcW w:w="3070" w:type="dxa"/>
          </w:tcPr>
          <w:p w14:paraId="5883B6AB" w14:textId="77777777" w:rsidR="00ED3511" w:rsidRPr="001B4A02" w:rsidRDefault="00000000" w:rsidP="00ED48A3">
            <w:pPr>
              <w:keepNext/>
              <w:ind w:left="0" w:firstLine="0"/>
              <w:jc w:val="center"/>
              <w:rPr>
                <w:b/>
                <w:bCs/>
              </w:rPr>
            </w:pPr>
            <w:r w:rsidRPr="001B4A02">
              <w:t>11</w:t>
            </w:r>
            <w:r w:rsidR="00FA1345" w:rsidRPr="001B4A02">
              <w:t> </w:t>
            </w:r>
            <w:r w:rsidRPr="001B4A02">
              <w:t>%</w:t>
            </w:r>
          </w:p>
        </w:tc>
        <w:tc>
          <w:tcPr>
            <w:tcW w:w="3071" w:type="dxa"/>
          </w:tcPr>
          <w:p w14:paraId="5003B0D6" w14:textId="77777777" w:rsidR="00ED3511" w:rsidRPr="001B4A02" w:rsidRDefault="00000000" w:rsidP="00ED48A3">
            <w:pPr>
              <w:keepNext/>
              <w:ind w:left="0" w:firstLine="0"/>
              <w:jc w:val="center"/>
              <w:rPr>
                <w:b/>
                <w:bCs/>
              </w:rPr>
            </w:pPr>
            <w:r w:rsidRPr="001B4A02">
              <w:t>35</w:t>
            </w:r>
            <w:r w:rsidR="00FA1345" w:rsidRPr="001B4A02">
              <w:t> </w:t>
            </w:r>
            <w:r w:rsidRPr="001B4A02">
              <w:t>%***</w:t>
            </w:r>
          </w:p>
        </w:tc>
      </w:tr>
      <w:tr w:rsidR="00534A2D" w14:paraId="381B27B0" w14:textId="77777777" w:rsidTr="00187CC8">
        <w:tc>
          <w:tcPr>
            <w:tcW w:w="3070" w:type="dxa"/>
          </w:tcPr>
          <w:p w14:paraId="01B2CEBA" w14:textId="77777777" w:rsidR="00ED3511" w:rsidRPr="001B4A02" w:rsidRDefault="00000000" w:rsidP="00ED48A3">
            <w:pPr>
              <w:keepNext/>
              <w:ind w:left="0" w:firstLine="0"/>
            </w:pPr>
            <w:r w:rsidRPr="001B4A02">
              <w:t>ASAS 70</w:t>
            </w:r>
          </w:p>
        </w:tc>
        <w:tc>
          <w:tcPr>
            <w:tcW w:w="3070" w:type="dxa"/>
          </w:tcPr>
          <w:p w14:paraId="43B166B9" w14:textId="77777777" w:rsidR="00ED3511" w:rsidRPr="001B4A02" w:rsidRDefault="00ED3511" w:rsidP="00ED48A3">
            <w:pPr>
              <w:keepNext/>
              <w:ind w:left="0" w:firstLine="0"/>
              <w:jc w:val="center"/>
              <w:rPr>
                <w:b/>
                <w:bCs/>
              </w:rPr>
            </w:pPr>
          </w:p>
        </w:tc>
        <w:tc>
          <w:tcPr>
            <w:tcW w:w="3071" w:type="dxa"/>
          </w:tcPr>
          <w:p w14:paraId="07BEA70C" w14:textId="77777777" w:rsidR="00ED3511" w:rsidRPr="001B4A02" w:rsidRDefault="00ED3511" w:rsidP="00ED48A3">
            <w:pPr>
              <w:keepNext/>
              <w:ind w:left="0" w:firstLine="0"/>
              <w:jc w:val="center"/>
              <w:rPr>
                <w:b/>
                <w:bCs/>
              </w:rPr>
            </w:pPr>
          </w:p>
        </w:tc>
      </w:tr>
      <w:tr w:rsidR="00534A2D" w14:paraId="1C1B0C10" w14:textId="77777777" w:rsidTr="00187CC8">
        <w:tc>
          <w:tcPr>
            <w:tcW w:w="3070" w:type="dxa"/>
          </w:tcPr>
          <w:p w14:paraId="04CE6ADA" w14:textId="77777777" w:rsidR="00ED3511" w:rsidRPr="001B4A02" w:rsidRDefault="00000000" w:rsidP="00ED48A3">
            <w:pPr>
              <w:pStyle w:val="EMEANormal"/>
              <w:keepNext/>
              <w:tabs>
                <w:tab w:val="clear" w:pos="562"/>
              </w:tabs>
              <w:suppressAutoHyphens w:val="0"/>
              <w:rPr>
                <w:lang w:val="cs-CZ"/>
              </w:rPr>
            </w:pPr>
            <w:r w:rsidRPr="001B4A02">
              <w:rPr>
                <w:lang w:val="cs-CZ"/>
              </w:rPr>
              <w:tab/>
              <w:t>Týden 2</w:t>
            </w:r>
          </w:p>
        </w:tc>
        <w:tc>
          <w:tcPr>
            <w:tcW w:w="3070" w:type="dxa"/>
          </w:tcPr>
          <w:p w14:paraId="7DE5CD7C" w14:textId="77777777" w:rsidR="00ED3511" w:rsidRPr="001B4A02" w:rsidRDefault="00000000" w:rsidP="00ED48A3">
            <w:pPr>
              <w:keepNext/>
              <w:ind w:left="0" w:firstLine="0"/>
              <w:jc w:val="center"/>
              <w:rPr>
                <w:b/>
                <w:bCs/>
              </w:rPr>
            </w:pPr>
            <w:r w:rsidRPr="001B4A02">
              <w:t>0</w:t>
            </w:r>
            <w:r w:rsidR="00FA1345" w:rsidRPr="001B4A02">
              <w:t> </w:t>
            </w:r>
            <w:r w:rsidRPr="001B4A02">
              <w:t>%</w:t>
            </w:r>
          </w:p>
        </w:tc>
        <w:tc>
          <w:tcPr>
            <w:tcW w:w="3071" w:type="dxa"/>
          </w:tcPr>
          <w:p w14:paraId="74091943" w14:textId="77777777" w:rsidR="00ED3511" w:rsidRPr="001B4A02" w:rsidRDefault="00000000" w:rsidP="00ED48A3">
            <w:pPr>
              <w:keepNext/>
              <w:ind w:left="0" w:firstLine="0"/>
              <w:jc w:val="center"/>
              <w:rPr>
                <w:b/>
                <w:bCs/>
              </w:rPr>
            </w:pPr>
            <w:r w:rsidRPr="001B4A02">
              <w:t>7</w:t>
            </w:r>
            <w:r w:rsidR="00FA1345" w:rsidRPr="001B4A02">
              <w:t> </w:t>
            </w:r>
            <w:r w:rsidRPr="001B4A02">
              <w:t>%**</w:t>
            </w:r>
          </w:p>
        </w:tc>
      </w:tr>
      <w:tr w:rsidR="00534A2D" w14:paraId="02FB9072" w14:textId="77777777" w:rsidTr="00187CC8">
        <w:tc>
          <w:tcPr>
            <w:tcW w:w="3070" w:type="dxa"/>
          </w:tcPr>
          <w:p w14:paraId="54AA8ADE" w14:textId="77777777" w:rsidR="00ED3511" w:rsidRPr="001B4A02" w:rsidRDefault="00000000" w:rsidP="00ED48A3">
            <w:pPr>
              <w:pStyle w:val="EMEANormal"/>
              <w:keepNext/>
              <w:tabs>
                <w:tab w:val="clear" w:pos="562"/>
              </w:tabs>
              <w:suppressAutoHyphens w:val="0"/>
              <w:rPr>
                <w:lang w:val="cs-CZ"/>
              </w:rPr>
            </w:pPr>
            <w:r w:rsidRPr="001B4A02">
              <w:rPr>
                <w:lang w:val="cs-CZ"/>
              </w:rPr>
              <w:tab/>
              <w:t>Týden 12</w:t>
            </w:r>
          </w:p>
        </w:tc>
        <w:tc>
          <w:tcPr>
            <w:tcW w:w="3070" w:type="dxa"/>
          </w:tcPr>
          <w:p w14:paraId="2D9E444F" w14:textId="77777777" w:rsidR="00ED3511" w:rsidRPr="001B4A02" w:rsidRDefault="00000000" w:rsidP="00ED48A3">
            <w:pPr>
              <w:keepNext/>
              <w:ind w:left="0" w:firstLine="0"/>
              <w:jc w:val="center"/>
              <w:rPr>
                <w:b/>
                <w:bCs/>
              </w:rPr>
            </w:pPr>
            <w:r w:rsidRPr="001B4A02">
              <w:t>5</w:t>
            </w:r>
            <w:r w:rsidR="00FA1345" w:rsidRPr="001B4A02">
              <w:t> </w:t>
            </w:r>
            <w:r w:rsidRPr="001B4A02">
              <w:t>%</w:t>
            </w:r>
          </w:p>
        </w:tc>
        <w:tc>
          <w:tcPr>
            <w:tcW w:w="3071" w:type="dxa"/>
          </w:tcPr>
          <w:p w14:paraId="2BAF667D" w14:textId="77777777" w:rsidR="00ED3511" w:rsidRPr="001B4A02" w:rsidRDefault="00000000" w:rsidP="00ED48A3">
            <w:pPr>
              <w:keepNext/>
              <w:ind w:left="0" w:firstLine="0"/>
              <w:jc w:val="center"/>
              <w:rPr>
                <w:b/>
                <w:bCs/>
              </w:rPr>
            </w:pPr>
            <w:r w:rsidRPr="001B4A02">
              <w:t>23</w:t>
            </w:r>
            <w:r w:rsidR="00FA1345" w:rsidRPr="001B4A02">
              <w:t> </w:t>
            </w:r>
            <w:r w:rsidRPr="001B4A02">
              <w:t>%***</w:t>
            </w:r>
          </w:p>
        </w:tc>
      </w:tr>
      <w:tr w:rsidR="00534A2D" w14:paraId="5A32489D" w14:textId="77777777" w:rsidTr="00187CC8">
        <w:tc>
          <w:tcPr>
            <w:tcW w:w="3070" w:type="dxa"/>
          </w:tcPr>
          <w:p w14:paraId="07E12063" w14:textId="77777777" w:rsidR="00ED3511" w:rsidRPr="001B4A02" w:rsidRDefault="00000000" w:rsidP="00ED48A3">
            <w:pPr>
              <w:pStyle w:val="EMEANormal"/>
              <w:keepNext/>
              <w:tabs>
                <w:tab w:val="clear" w:pos="562"/>
              </w:tabs>
              <w:suppressAutoHyphens w:val="0"/>
              <w:rPr>
                <w:lang w:val="cs-CZ"/>
              </w:rPr>
            </w:pPr>
            <w:r w:rsidRPr="001B4A02">
              <w:rPr>
                <w:lang w:val="cs-CZ"/>
              </w:rPr>
              <w:tab/>
              <w:t>Týden 24</w:t>
            </w:r>
          </w:p>
        </w:tc>
        <w:tc>
          <w:tcPr>
            <w:tcW w:w="3070" w:type="dxa"/>
          </w:tcPr>
          <w:p w14:paraId="62A42791" w14:textId="77777777" w:rsidR="00ED3511" w:rsidRPr="001B4A02" w:rsidRDefault="00000000" w:rsidP="00ED48A3">
            <w:pPr>
              <w:keepNext/>
              <w:ind w:left="0" w:firstLine="0"/>
              <w:jc w:val="center"/>
              <w:rPr>
                <w:b/>
                <w:bCs/>
              </w:rPr>
            </w:pPr>
            <w:r w:rsidRPr="001B4A02">
              <w:t>8</w:t>
            </w:r>
            <w:r w:rsidR="00FA1345" w:rsidRPr="001B4A02">
              <w:t> </w:t>
            </w:r>
            <w:r w:rsidRPr="001B4A02">
              <w:t>%</w:t>
            </w:r>
          </w:p>
        </w:tc>
        <w:tc>
          <w:tcPr>
            <w:tcW w:w="3071" w:type="dxa"/>
          </w:tcPr>
          <w:p w14:paraId="4E8EDFF3" w14:textId="77777777" w:rsidR="00ED3511" w:rsidRPr="001B4A02" w:rsidRDefault="00000000" w:rsidP="00ED48A3">
            <w:pPr>
              <w:keepNext/>
              <w:ind w:left="0" w:firstLine="0"/>
              <w:jc w:val="center"/>
              <w:rPr>
                <w:b/>
                <w:bCs/>
              </w:rPr>
            </w:pPr>
            <w:r w:rsidRPr="001B4A02">
              <w:t>24</w:t>
            </w:r>
            <w:r w:rsidR="00FA1345" w:rsidRPr="001B4A02">
              <w:t> </w:t>
            </w:r>
            <w:r w:rsidRPr="001B4A02">
              <w:t>%***</w:t>
            </w:r>
          </w:p>
        </w:tc>
      </w:tr>
      <w:tr w:rsidR="00534A2D" w14:paraId="454E4392" w14:textId="77777777" w:rsidTr="00187CC8">
        <w:tc>
          <w:tcPr>
            <w:tcW w:w="3070" w:type="dxa"/>
          </w:tcPr>
          <w:p w14:paraId="561898FC" w14:textId="77777777" w:rsidR="00ED3511" w:rsidRPr="001B4A02" w:rsidRDefault="00ED3511" w:rsidP="00ED48A3">
            <w:pPr>
              <w:keepNext/>
              <w:ind w:left="0" w:firstLine="0"/>
            </w:pPr>
          </w:p>
        </w:tc>
        <w:tc>
          <w:tcPr>
            <w:tcW w:w="3070" w:type="dxa"/>
          </w:tcPr>
          <w:p w14:paraId="08B1CF3F" w14:textId="77777777" w:rsidR="00ED3511" w:rsidRPr="001B4A02" w:rsidRDefault="00ED3511" w:rsidP="00ED48A3">
            <w:pPr>
              <w:keepNext/>
              <w:ind w:left="0" w:firstLine="0"/>
              <w:jc w:val="center"/>
              <w:rPr>
                <w:b/>
                <w:bCs/>
              </w:rPr>
            </w:pPr>
          </w:p>
        </w:tc>
        <w:tc>
          <w:tcPr>
            <w:tcW w:w="3071" w:type="dxa"/>
          </w:tcPr>
          <w:p w14:paraId="2868533E" w14:textId="77777777" w:rsidR="00ED3511" w:rsidRPr="001B4A02" w:rsidRDefault="00ED3511" w:rsidP="00ED48A3">
            <w:pPr>
              <w:keepNext/>
              <w:ind w:left="0" w:firstLine="0"/>
              <w:jc w:val="center"/>
              <w:rPr>
                <w:b/>
                <w:bCs/>
              </w:rPr>
            </w:pPr>
          </w:p>
        </w:tc>
      </w:tr>
      <w:tr w:rsidR="00534A2D" w14:paraId="565AC23F" w14:textId="77777777" w:rsidTr="00187CC8">
        <w:tc>
          <w:tcPr>
            <w:tcW w:w="3070" w:type="dxa"/>
          </w:tcPr>
          <w:p w14:paraId="66830DE8" w14:textId="77777777" w:rsidR="00ED3511" w:rsidRPr="001B4A02" w:rsidRDefault="00000000" w:rsidP="00ED48A3">
            <w:pPr>
              <w:keepNext/>
              <w:ind w:left="0" w:firstLine="0"/>
            </w:pPr>
            <w:r w:rsidRPr="001B4A02">
              <w:t>BASDAI</w:t>
            </w:r>
            <w:r w:rsidRPr="001B4A02">
              <w:rPr>
                <w:vertAlign w:val="superscript"/>
              </w:rPr>
              <w:t>b</w:t>
            </w:r>
            <w:r w:rsidRPr="001B4A02">
              <w:t xml:space="preserve"> 50 </w:t>
            </w:r>
          </w:p>
        </w:tc>
        <w:tc>
          <w:tcPr>
            <w:tcW w:w="3070" w:type="dxa"/>
          </w:tcPr>
          <w:p w14:paraId="4CB95D44" w14:textId="77777777" w:rsidR="00ED3511" w:rsidRPr="001B4A02" w:rsidRDefault="00ED3511" w:rsidP="00ED48A3">
            <w:pPr>
              <w:keepNext/>
              <w:ind w:left="0" w:firstLine="0"/>
              <w:jc w:val="center"/>
              <w:rPr>
                <w:b/>
                <w:bCs/>
              </w:rPr>
            </w:pPr>
          </w:p>
        </w:tc>
        <w:tc>
          <w:tcPr>
            <w:tcW w:w="3071" w:type="dxa"/>
          </w:tcPr>
          <w:p w14:paraId="7E3BC753" w14:textId="77777777" w:rsidR="00ED3511" w:rsidRPr="001B4A02" w:rsidRDefault="00ED3511" w:rsidP="00ED48A3">
            <w:pPr>
              <w:keepNext/>
              <w:ind w:left="0" w:firstLine="0"/>
              <w:jc w:val="center"/>
              <w:rPr>
                <w:b/>
                <w:bCs/>
              </w:rPr>
            </w:pPr>
          </w:p>
        </w:tc>
      </w:tr>
      <w:tr w:rsidR="00534A2D" w14:paraId="27C856E2" w14:textId="77777777" w:rsidTr="00187CC8">
        <w:tc>
          <w:tcPr>
            <w:tcW w:w="3070" w:type="dxa"/>
          </w:tcPr>
          <w:p w14:paraId="72DAD7E8" w14:textId="77777777" w:rsidR="00ED3511" w:rsidRPr="001B4A02" w:rsidRDefault="00000000" w:rsidP="00ED48A3">
            <w:pPr>
              <w:pStyle w:val="EMEANormal"/>
              <w:keepNext/>
              <w:tabs>
                <w:tab w:val="clear" w:pos="562"/>
              </w:tabs>
              <w:suppressAutoHyphens w:val="0"/>
              <w:rPr>
                <w:lang w:val="cs-CZ"/>
              </w:rPr>
            </w:pPr>
            <w:r w:rsidRPr="001B4A02">
              <w:rPr>
                <w:lang w:val="cs-CZ"/>
              </w:rPr>
              <w:tab/>
              <w:t>Týden 2</w:t>
            </w:r>
          </w:p>
        </w:tc>
        <w:tc>
          <w:tcPr>
            <w:tcW w:w="3070" w:type="dxa"/>
          </w:tcPr>
          <w:p w14:paraId="5099C422" w14:textId="77777777" w:rsidR="00ED3511" w:rsidRPr="001B4A02" w:rsidRDefault="00000000" w:rsidP="00ED48A3">
            <w:pPr>
              <w:keepNext/>
              <w:ind w:left="0" w:firstLine="0"/>
              <w:jc w:val="center"/>
              <w:rPr>
                <w:b/>
                <w:bCs/>
              </w:rPr>
            </w:pPr>
            <w:r w:rsidRPr="001B4A02">
              <w:t>4</w:t>
            </w:r>
            <w:r w:rsidR="00FA1345" w:rsidRPr="001B4A02">
              <w:t> </w:t>
            </w:r>
            <w:r w:rsidRPr="001B4A02">
              <w:t>%</w:t>
            </w:r>
          </w:p>
        </w:tc>
        <w:tc>
          <w:tcPr>
            <w:tcW w:w="3071" w:type="dxa"/>
          </w:tcPr>
          <w:p w14:paraId="36063913" w14:textId="77777777" w:rsidR="00ED3511" w:rsidRPr="001B4A02" w:rsidRDefault="00000000" w:rsidP="00ED48A3">
            <w:pPr>
              <w:keepNext/>
              <w:ind w:left="0" w:firstLine="0"/>
              <w:jc w:val="center"/>
              <w:rPr>
                <w:b/>
                <w:bCs/>
              </w:rPr>
            </w:pPr>
            <w:r w:rsidRPr="001B4A02">
              <w:t>20</w:t>
            </w:r>
            <w:r w:rsidR="00FA1345" w:rsidRPr="001B4A02">
              <w:t> </w:t>
            </w:r>
            <w:r w:rsidRPr="001B4A02">
              <w:t>%***</w:t>
            </w:r>
          </w:p>
        </w:tc>
      </w:tr>
      <w:tr w:rsidR="00534A2D" w14:paraId="101128CB" w14:textId="77777777" w:rsidTr="00187CC8">
        <w:tc>
          <w:tcPr>
            <w:tcW w:w="3070" w:type="dxa"/>
          </w:tcPr>
          <w:p w14:paraId="4BB9F2CB" w14:textId="77777777" w:rsidR="00ED3511" w:rsidRPr="001B4A02" w:rsidRDefault="00000000" w:rsidP="00ED48A3">
            <w:pPr>
              <w:pStyle w:val="EMEANormal"/>
              <w:keepNext/>
              <w:tabs>
                <w:tab w:val="clear" w:pos="562"/>
              </w:tabs>
              <w:suppressAutoHyphens w:val="0"/>
              <w:rPr>
                <w:lang w:val="cs-CZ"/>
              </w:rPr>
            </w:pPr>
            <w:r w:rsidRPr="001B4A02">
              <w:rPr>
                <w:lang w:val="cs-CZ"/>
              </w:rPr>
              <w:tab/>
              <w:t>Týden 12</w:t>
            </w:r>
          </w:p>
        </w:tc>
        <w:tc>
          <w:tcPr>
            <w:tcW w:w="3070" w:type="dxa"/>
          </w:tcPr>
          <w:p w14:paraId="37A435A8" w14:textId="77777777" w:rsidR="00ED3511" w:rsidRPr="001B4A02" w:rsidRDefault="00000000" w:rsidP="00ED48A3">
            <w:pPr>
              <w:keepNext/>
              <w:ind w:left="0" w:firstLine="0"/>
              <w:jc w:val="center"/>
              <w:rPr>
                <w:b/>
                <w:bCs/>
              </w:rPr>
            </w:pPr>
            <w:r w:rsidRPr="001B4A02">
              <w:t>16</w:t>
            </w:r>
            <w:r w:rsidR="00FA1345" w:rsidRPr="001B4A02">
              <w:t> </w:t>
            </w:r>
            <w:r w:rsidRPr="001B4A02">
              <w:t>%</w:t>
            </w:r>
          </w:p>
        </w:tc>
        <w:tc>
          <w:tcPr>
            <w:tcW w:w="3071" w:type="dxa"/>
          </w:tcPr>
          <w:p w14:paraId="31AB34B1" w14:textId="77777777" w:rsidR="00ED3511" w:rsidRPr="001B4A02" w:rsidRDefault="00000000" w:rsidP="00ED48A3">
            <w:pPr>
              <w:keepNext/>
              <w:ind w:left="0" w:firstLine="0"/>
              <w:jc w:val="center"/>
              <w:rPr>
                <w:b/>
                <w:bCs/>
              </w:rPr>
            </w:pPr>
            <w:r w:rsidRPr="001B4A02">
              <w:t>45</w:t>
            </w:r>
            <w:r w:rsidR="00FA1345" w:rsidRPr="001B4A02">
              <w:t> </w:t>
            </w:r>
            <w:r w:rsidRPr="001B4A02">
              <w:t>%***</w:t>
            </w:r>
          </w:p>
        </w:tc>
      </w:tr>
      <w:tr w:rsidR="00534A2D" w14:paraId="34045A69" w14:textId="77777777" w:rsidTr="00187CC8">
        <w:tc>
          <w:tcPr>
            <w:tcW w:w="3070" w:type="dxa"/>
          </w:tcPr>
          <w:p w14:paraId="7D56B9F3" w14:textId="77777777" w:rsidR="00ED3511" w:rsidRPr="001B4A02" w:rsidRDefault="00000000" w:rsidP="00ED48A3">
            <w:pPr>
              <w:pStyle w:val="EMEANormal"/>
              <w:keepNext/>
              <w:tabs>
                <w:tab w:val="clear" w:pos="562"/>
              </w:tabs>
              <w:suppressAutoHyphens w:val="0"/>
              <w:rPr>
                <w:lang w:val="cs-CZ"/>
              </w:rPr>
            </w:pPr>
            <w:r w:rsidRPr="001B4A02">
              <w:rPr>
                <w:lang w:val="cs-CZ"/>
              </w:rPr>
              <w:tab/>
              <w:t>Týden 24</w:t>
            </w:r>
          </w:p>
        </w:tc>
        <w:tc>
          <w:tcPr>
            <w:tcW w:w="3070" w:type="dxa"/>
          </w:tcPr>
          <w:p w14:paraId="0328A70D" w14:textId="77777777" w:rsidR="00ED3511" w:rsidRPr="001B4A02" w:rsidRDefault="00000000" w:rsidP="00ED48A3">
            <w:pPr>
              <w:keepNext/>
              <w:ind w:left="0" w:firstLine="0"/>
              <w:jc w:val="center"/>
              <w:rPr>
                <w:b/>
                <w:bCs/>
              </w:rPr>
            </w:pPr>
            <w:r w:rsidRPr="001B4A02">
              <w:t>15</w:t>
            </w:r>
            <w:r w:rsidR="00FA1345" w:rsidRPr="001B4A02">
              <w:t> </w:t>
            </w:r>
            <w:r w:rsidRPr="001B4A02">
              <w:t>%</w:t>
            </w:r>
          </w:p>
        </w:tc>
        <w:tc>
          <w:tcPr>
            <w:tcW w:w="3071" w:type="dxa"/>
          </w:tcPr>
          <w:p w14:paraId="499D564B" w14:textId="77777777" w:rsidR="00ED3511" w:rsidRPr="001B4A02" w:rsidRDefault="00000000" w:rsidP="00ED48A3">
            <w:pPr>
              <w:keepNext/>
              <w:ind w:left="0" w:firstLine="0"/>
              <w:jc w:val="center"/>
              <w:rPr>
                <w:b/>
                <w:bCs/>
              </w:rPr>
            </w:pPr>
            <w:r w:rsidRPr="001B4A02">
              <w:t>42</w:t>
            </w:r>
            <w:r w:rsidR="00FA1345" w:rsidRPr="001B4A02">
              <w:t> </w:t>
            </w:r>
            <w:r w:rsidRPr="001B4A02">
              <w:t>%***</w:t>
            </w:r>
          </w:p>
        </w:tc>
      </w:tr>
    </w:tbl>
    <w:p w14:paraId="260D2C7D" w14:textId="77777777" w:rsidR="00ED3511" w:rsidRPr="001B4A02" w:rsidRDefault="00000000" w:rsidP="00ED48A3">
      <w:pPr>
        <w:keepNext/>
        <w:ind w:left="0" w:firstLine="0"/>
        <w:rPr>
          <w:sz w:val="20"/>
        </w:rPr>
      </w:pPr>
      <w:r w:rsidRPr="001B4A02">
        <w:rPr>
          <w:rFonts w:ascii="Symbol" w:hAnsi="Symbol"/>
          <w:sz w:val="20"/>
        </w:rPr>
        <w:sym w:font="Symbol" w:char="F02A"/>
      </w:r>
      <w:r w:rsidRPr="001B4A02">
        <w:rPr>
          <w:rFonts w:ascii="Symbol" w:hAnsi="Symbol"/>
          <w:sz w:val="20"/>
        </w:rPr>
        <w:sym w:font="Symbol" w:char="F02A"/>
      </w:r>
      <w:r w:rsidRPr="001B4A02">
        <w:rPr>
          <w:rFonts w:ascii="Symbol" w:hAnsi="Symbol"/>
          <w:sz w:val="20"/>
        </w:rPr>
        <w:sym w:font="Symbol" w:char="F02A"/>
      </w:r>
      <w:r w:rsidRPr="001B4A02">
        <w:rPr>
          <w:sz w:val="20"/>
        </w:rPr>
        <w:t xml:space="preserve">, </w:t>
      </w:r>
      <w:r w:rsidRPr="001B4A02">
        <w:rPr>
          <w:rFonts w:ascii="Symbol" w:hAnsi="Symbol"/>
          <w:sz w:val="20"/>
        </w:rPr>
        <w:sym w:font="Symbol" w:char="F02A"/>
      </w:r>
      <w:r w:rsidRPr="001B4A02">
        <w:rPr>
          <w:rFonts w:ascii="Symbol" w:hAnsi="Symbol"/>
          <w:sz w:val="20"/>
        </w:rPr>
        <w:sym w:font="Symbol" w:char="F02A"/>
      </w:r>
      <w:r w:rsidRPr="001B4A02">
        <w:rPr>
          <w:sz w:val="20"/>
        </w:rPr>
        <w:t xml:space="preserve"> Statisticky signifikantní při p</w:t>
      </w:r>
      <w:r w:rsidR="009B56B1" w:rsidRPr="001B4A02">
        <w:rPr>
          <w:rFonts w:ascii="Symbol" w:hAnsi="Symbol"/>
          <w:sz w:val="20"/>
        </w:rPr>
        <w:sym w:font="Symbol" w:char="F03C"/>
      </w:r>
      <w:r w:rsidRPr="001B4A02">
        <w:rPr>
          <w:sz w:val="20"/>
        </w:rPr>
        <w:t xml:space="preserve">0,001, </w:t>
      </w:r>
      <w:r w:rsidR="009B56B1" w:rsidRPr="001B4A02">
        <w:rPr>
          <w:rFonts w:ascii="Symbol" w:hAnsi="Symbol"/>
          <w:sz w:val="20"/>
        </w:rPr>
        <w:sym w:font="Symbol" w:char="F03C"/>
      </w:r>
      <w:r w:rsidRPr="001B4A02">
        <w:rPr>
          <w:sz w:val="20"/>
        </w:rPr>
        <w:t>0,01 pro všechna srovnání mezi přípravkem Humira</w:t>
      </w:r>
      <w:r w:rsidR="002378E0">
        <w:rPr>
          <w:sz w:val="20"/>
        </w:rPr>
        <w:t xml:space="preserve"> a </w:t>
      </w:r>
      <w:r w:rsidRPr="001B4A02">
        <w:rPr>
          <w:sz w:val="20"/>
        </w:rPr>
        <w:t>placebem v</w:t>
      </w:r>
      <w:r w:rsidR="00D41D1A" w:rsidRPr="001B4A02">
        <w:rPr>
          <w:sz w:val="20"/>
        </w:rPr>
        <w:t> </w:t>
      </w:r>
      <w:r w:rsidRPr="001B4A02">
        <w:rPr>
          <w:sz w:val="20"/>
        </w:rPr>
        <w:t>týdnech 2, 12</w:t>
      </w:r>
      <w:r w:rsidR="002378E0">
        <w:rPr>
          <w:sz w:val="20"/>
        </w:rPr>
        <w:t xml:space="preserve"> a </w:t>
      </w:r>
      <w:r w:rsidRPr="001B4A02">
        <w:rPr>
          <w:sz w:val="20"/>
        </w:rPr>
        <w:t>24</w:t>
      </w:r>
    </w:p>
    <w:p w14:paraId="62706FAE" w14:textId="77777777" w:rsidR="00ED3511" w:rsidRPr="001B4A02" w:rsidRDefault="00000000" w:rsidP="00ED48A3">
      <w:pPr>
        <w:keepNext/>
        <w:ind w:left="0" w:firstLine="0"/>
        <w:rPr>
          <w:sz w:val="20"/>
        </w:rPr>
      </w:pPr>
      <w:r w:rsidRPr="001B4A02">
        <w:rPr>
          <w:sz w:val="20"/>
          <w:vertAlign w:val="superscript"/>
        </w:rPr>
        <w:t>a</w:t>
      </w:r>
      <w:r w:rsidRPr="001B4A02">
        <w:rPr>
          <w:sz w:val="20"/>
        </w:rPr>
        <w:t xml:space="preserve"> stanovení stupně ankylozující spondylitidy (Assessments in Ankylosing Spondylitis)</w:t>
      </w:r>
    </w:p>
    <w:p w14:paraId="0E794FDD" w14:textId="77777777" w:rsidR="00ED3511" w:rsidRPr="001B4A02" w:rsidRDefault="00000000" w:rsidP="00790DEF">
      <w:pPr>
        <w:ind w:left="0" w:firstLine="0"/>
        <w:rPr>
          <w:vertAlign w:val="superscript"/>
        </w:rPr>
      </w:pPr>
      <w:r w:rsidRPr="001B4A02">
        <w:rPr>
          <w:sz w:val="20"/>
          <w:vertAlign w:val="superscript"/>
        </w:rPr>
        <w:t>b</w:t>
      </w:r>
      <w:r w:rsidRPr="001B4A02">
        <w:rPr>
          <w:sz w:val="20"/>
        </w:rPr>
        <w:t xml:space="preserve"> Bath Ankylosing Spondylitis Disease Activity Index</w:t>
      </w:r>
      <w:r w:rsidRPr="001B4A02">
        <w:rPr>
          <w:sz w:val="20"/>
          <w:vertAlign w:val="superscript"/>
        </w:rPr>
        <w:t xml:space="preserve"> </w:t>
      </w:r>
    </w:p>
    <w:p w14:paraId="5EF9891B" w14:textId="77777777" w:rsidR="00ED3511" w:rsidRPr="001B4A02" w:rsidRDefault="00ED3511" w:rsidP="00ED48A3">
      <w:pPr>
        <w:pStyle w:val="EMEANormal"/>
        <w:tabs>
          <w:tab w:val="clear" w:pos="562"/>
        </w:tabs>
        <w:suppressAutoHyphens w:val="0"/>
        <w:rPr>
          <w:lang w:val="cs-CZ"/>
        </w:rPr>
      </w:pPr>
    </w:p>
    <w:p w14:paraId="260DB703" w14:textId="77777777" w:rsidR="00ED3511" w:rsidRPr="001B4A02" w:rsidRDefault="00000000" w:rsidP="00ED48A3">
      <w:pPr>
        <w:pStyle w:val="EMEANormal"/>
        <w:tabs>
          <w:tab w:val="clear" w:pos="562"/>
        </w:tabs>
        <w:suppressAutoHyphens w:val="0"/>
        <w:rPr>
          <w:lang w:val="cs-CZ"/>
        </w:rPr>
      </w:pPr>
      <w:r w:rsidRPr="001B4A02">
        <w:rPr>
          <w:lang w:val="cs-CZ"/>
        </w:rPr>
        <w:t>Pacienti léčeni přípravkem Humira vykazovali signifikantně významnější zlepšení v týdnu 12, které přetrvávalo až do týdne 24</w:t>
      </w:r>
      <w:r w:rsidR="00B176EA" w:rsidRPr="001B4A02">
        <w:rPr>
          <w:lang w:val="cs-CZ"/>
        </w:rPr>
        <w:t>,</w:t>
      </w:r>
      <w:r w:rsidR="002378E0">
        <w:rPr>
          <w:lang w:val="cs-CZ"/>
        </w:rPr>
        <w:t xml:space="preserve"> a </w:t>
      </w:r>
      <w:r w:rsidRPr="001B4A02">
        <w:rPr>
          <w:lang w:val="cs-CZ"/>
        </w:rPr>
        <w:t>to v</w:t>
      </w:r>
      <w:r w:rsidR="00B176EA" w:rsidRPr="001B4A02">
        <w:rPr>
          <w:lang w:val="cs-CZ"/>
        </w:rPr>
        <w:t> </w:t>
      </w:r>
      <w:r w:rsidRPr="001B4A02">
        <w:rPr>
          <w:lang w:val="cs-CZ"/>
        </w:rPr>
        <w:t>obou dotaznících SF36 i v</w:t>
      </w:r>
      <w:r w:rsidR="00B176EA" w:rsidRPr="001B4A02">
        <w:rPr>
          <w:lang w:val="cs-CZ"/>
        </w:rPr>
        <w:t> </w:t>
      </w:r>
      <w:r w:rsidRPr="001B4A02">
        <w:rPr>
          <w:lang w:val="cs-CZ"/>
        </w:rPr>
        <w:t xml:space="preserve">ASQoL (Ankylosing Spondylitis Quality of Life Questionnaire </w:t>
      </w:r>
      <w:r w:rsidR="006D1214" w:rsidRPr="001B4A02">
        <w:rPr>
          <w:lang w:val="cs-CZ"/>
        </w:rPr>
        <w:t>–</w:t>
      </w:r>
      <w:r w:rsidRPr="001B4A02">
        <w:rPr>
          <w:lang w:val="cs-CZ"/>
        </w:rPr>
        <w:t xml:space="preserve"> dotazník kvality života pacientů s</w:t>
      </w:r>
      <w:r w:rsidR="00B176EA" w:rsidRPr="001B4A02">
        <w:rPr>
          <w:lang w:val="cs-CZ"/>
        </w:rPr>
        <w:t> </w:t>
      </w:r>
      <w:r w:rsidRPr="001B4A02">
        <w:rPr>
          <w:lang w:val="cs-CZ"/>
        </w:rPr>
        <w:t>ankylozující spondylitidou).</w:t>
      </w:r>
    </w:p>
    <w:p w14:paraId="7732BEA2" w14:textId="77777777" w:rsidR="00ED3511" w:rsidRPr="001B4A02" w:rsidRDefault="00ED3511" w:rsidP="00ED48A3">
      <w:pPr>
        <w:pStyle w:val="EMEANormal"/>
        <w:tabs>
          <w:tab w:val="clear" w:pos="562"/>
        </w:tabs>
        <w:suppressAutoHyphens w:val="0"/>
        <w:rPr>
          <w:lang w:val="cs-CZ"/>
        </w:rPr>
      </w:pPr>
    </w:p>
    <w:p w14:paraId="70C8572B" w14:textId="77777777" w:rsidR="00ED3511" w:rsidRPr="001B4A02" w:rsidRDefault="00000000" w:rsidP="00ED48A3">
      <w:pPr>
        <w:ind w:left="0" w:firstLine="0"/>
      </w:pPr>
      <w:r w:rsidRPr="001B4A02">
        <w:t>Obdobné tendence (ne všechny statisticky signifikantní) byly pozorovány v</w:t>
      </w:r>
      <w:r w:rsidR="00B176EA" w:rsidRPr="001B4A02">
        <w:t> </w:t>
      </w:r>
      <w:r w:rsidRPr="001B4A02">
        <w:t>menší randomizované, dvojitě zaslepené, placebem kontrolované studii AS u</w:t>
      </w:r>
      <w:r w:rsidR="00B176EA" w:rsidRPr="001B4A02">
        <w:t> </w:t>
      </w:r>
      <w:r w:rsidRPr="001B4A02">
        <w:t>82 dospělých pacientů s aktivní ankylozující spondylitidou.</w:t>
      </w:r>
    </w:p>
    <w:p w14:paraId="50C4F273" w14:textId="77777777" w:rsidR="00ED3511" w:rsidRPr="001B4A02" w:rsidRDefault="00ED3511" w:rsidP="00ED48A3">
      <w:pPr>
        <w:pStyle w:val="EMEANormal"/>
        <w:rPr>
          <w:highlight w:val="green"/>
          <w:lang w:val="cs-CZ"/>
        </w:rPr>
      </w:pPr>
    </w:p>
    <w:p w14:paraId="2E95F9EC" w14:textId="77777777" w:rsidR="00ED3511" w:rsidRPr="001B4A02" w:rsidRDefault="00000000" w:rsidP="00A03600">
      <w:pPr>
        <w:pStyle w:val="EMEANormal"/>
        <w:keepNext/>
        <w:rPr>
          <w:i/>
          <w:u w:val="single"/>
          <w:lang w:val="cs-CZ"/>
        </w:rPr>
      </w:pPr>
      <w:r w:rsidRPr="001B4A02">
        <w:rPr>
          <w:i/>
          <w:u w:val="single"/>
          <w:lang w:val="cs-CZ"/>
        </w:rPr>
        <w:t>Axiální spondylartritida bez radiologického průkazu AS</w:t>
      </w:r>
    </w:p>
    <w:p w14:paraId="4AA1ABE6" w14:textId="77777777" w:rsidR="00ED3511" w:rsidRPr="001B4A02" w:rsidRDefault="00ED3511" w:rsidP="00A03600">
      <w:pPr>
        <w:pStyle w:val="EMEANormal"/>
        <w:keepNext/>
        <w:rPr>
          <w:lang w:val="cs-CZ"/>
        </w:rPr>
      </w:pPr>
    </w:p>
    <w:p w14:paraId="374C763D" w14:textId="77777777" w:rsidR="00777D77" w:rsidRDefault="00000000" w:rsidP="00777D77">
      <w:pPr>
        <w:pStyle w:val="EMEANormal"/>
        <w:rPr>
          <w:szCs w:val="22"/>
          <w:lang w:val="cs-CZ"/>
        </w:rPr>
      </w:pPr>
      <w:r>
        <w:rPr>
          <w:szCs w:val="22"/>
          <w:lang w:val="cs-CZ"/>
        </w:rPr>
        <w:t>Bezpečnost</w:t>
      </w:r>
      <w:r w:rsidR="002378E0">
        <w:rPr>
          <w:szCs w:val="22"/>
          <w:lang w:val="cs-CZ"/>
        </w:rPr>
        <w:t xml:space="preserve"> a </w:t>
      </w:r>
      <w:r>
        <w:rPr>
          <w:szCs w:val="22"/>
          <w:lang w:val="cs-CZ"/>
        </w:rPr>
        <w:t>účinnost přípravku Humira byla hodnocena ve dvou randomizovaných, dvojitě zaslepených, placebem kontrolovaných studiích u pacientů s axiální spondylartritidou bez radiologického průkazu (nr-axSpA). Studie nr-axSpA I hodnotila pacienty s aktivní nr-axSpA. Studie nr-axSpA II byla studie s vysazením léčby u pacientů s aktivní nr-axSpA, kteří dosáhli remise během otevřené léčby přípravkem Humira.</w:t>
      </w:r>
    </w:p>
    <w:p w14:paraId="0B60DA48" w14:textId="77777777" w:rsidR="00777D77" w:rsidRDefault="00777D77" w:rsidP="00777D77">
      <w:pPr>
        <w:pStyle w:val="EMEANormal"/>
        <w:rPr>
          <w:szCs w:val="22"/>
          <w:lang w:val="cs-CZ"/>
        </w:rPr>
      </w:pPr>
    </w:p>
    <w:p w14:paraId="1DA2A0A6" w14:textId="77777777" w:rsidR="00777D77" w:rsidRDefault="00000000" w:rsidP="00777D77">
      <w:pPr>
        <w:pStyle w:val="EMEANormal"/>
        <w:keepNext/>
        <w:rPr>
          <w:szCs w:val="22"/>
          <w:lang w:val="cs-CZ"/>
        </w:rPr>
      </w:pPr>
      <w:r>
        <w:rPr>
          <w:szCs w:val="22"/>
          <w:lang w:val="cs-CZ"/>
        </w:rPr>
        <w:t>Studie nr-axSpA I</w:t>
      </w:r>
    </w:p>
    <w:p w14:paraId="02F9C565" w14:textId="77777777" w:rsidR="00777D77" w:rsidRDefault="00777D77" w:rsidP="00777D77">
      <w:pPr>
        <w:pStyle w:val="EMEANormal"/>
        <w:keepNext/>
        <w:rPr>
          <w:lang w:val="cs-CZ"/>
        </w:rPr>
      </w:pPr>
    </w:p>
    <w:p w14:paraId="431652F0" w14:textId="77777777" w:rsidR="00ED3511" w:rsidRPr="001B4A02" w:rsidRDefault="00000000" w:rsidP="00777D77">
      <w:pPr>
        <w:pStyle w:val="EMEANormal"/>
        <w:rPr>
          <w:lang w:val="cs-CZ"/>
        </w:rPr>
      </w:pPr>
      <w:r>
        <w:rPr>
          <w:lang w:val="cs-CZ"/>
        </w:rPr>
        <w:t>Ve studii nr-axSpA I byl p</w:t>
      </w:r>
      <w:r w:rsidRPr="001B4A02">
        <w:rPr>
          <w:lang w:val="cs-CZ"/>
        </w:rPr>
        <w:t>řípravek Humira v</w:t>
      </w:r>
      <w:r w:rsidR="00B176EA" w:rsidRPr="001B4A02">
        <w:rPr>
          <w:lang w:val="cs-CZ"/>
        </w:rPr>
        <w:t> </w:t>
      </w:r>
      <w:r w:rsidRPr="001B4A02">
        <w:rPr>
          <w:lang w:val="cs-CZ"/>
        </w:rPr>
        <w:t>dávce 40</w:t>
      </w:r>
      <w:r w:rsidR="00F365E7">
        <w:rPr>
          <w:lang w:val="cs-CZ"/>
        </w:rPr>
        <w:t> mg</w:t>
      </w:r>
      <w:r w:rsidRPr="001B4A02">
        <w:rPr>
          <w:lang w:val="cs-CZ"/>
        </w:rPr>
        <w:t xml:space="preserve"> každý druhý týden hodnocen u</w:t>
      </w:r>
      <w:r w:rsidR="00B176EA" w:rsidRPr="001B4A02">
        <w:rPr>
          <w:lang w:val="cs-CZ"/>
        </w:rPr>
        <w:t> </w:t>
      </w:r>
      <w:r w:rsidRPr="001B4A02">
        <w:rPr>
          <w:lang w:val="cs-CZ"/>
        </w:rPr>
        <w:t>185 pacientů v</w:t>
      </w:r>
      <w:r>
        <w:rPr>
          <w:lang w:val="cs-CZ"/>
        </w:rPr>
        <w:t>e</w:t>
      </w:r>
      <w:r w:rsidR="00B176EA" w:rsidRPr="001B4A02">
        <w:rPr>
          <w:lang w:val="cs-CZ"/>
        </w:rPr>
        <w:t> </w:t>
      </w:r>
      <w:r w:rsidRPr="001B4A02">
        <w:rPr>
          <w:lang w:val="cs-CZ"/>
        </w:rPr>
        <w:t>12 týdnů trvající randomizované, dvojitě zaslepené, placebem kontrolované studii u</w:t>
      </w:r>
      <w:r w:rsidR="00B176EA" w:rsidRPr="001B4A02">
        <w:rPr>
          <w:lang w:val="cs-CZ"/>
        </w:rPr>
        <w:t> </w:t>
      </w:r>
      <w:r w:rsidRPr="001B4A02">
        <w:rPr>
          <w:lang w:val="cs-CZ"/>
        </w:rPr>
        <w:t>pacientů s</w:t>
      </w:r>
      <w:r w:rsidR="00B176EA" w:rsidRPr="001B4A02">
        <w:rPr>
          <w:lang w:val="cs-CZ"/>
        </w:rPr>
        <w:t> </w:t>
      </w:r>
      <w:r w:rsidRPr="001B4A02">
        <w:rPr>
          <w:lang w:val="cs-CZ"/>
        </w:rPr>
        <w:t xml:space="preserve">aktivní </w:t>
      </w:r>
      <w:r>
        <w:rPr>
          <w:szCs w:val="22"/>
          <w:lang w:val="cs-CZ"/>
        </w:rPr>
        <w:t>nr-axSpA</w:t>
      </w:r>
      <w:r w:rsidRPr="001B4A02">
        <w:rPr>
          <w:lang w:val="cs-CZ"/>
        </w:rPr>
        <w:t xml:space="preserve"> (průměrné výchozí skóre aktivity choroby [Bath Ankylosis Spondylitis Disease Activity Index (BASDAI)] bylo 6,4 u</w:t>
      </w:r>
      <w:r w:rsidR="00B176EA" w:rsidRPr="001B4A02">
        <w:rPr>
          <w:lang w:val="cs-CZ"/>
        </w:rPr>
        <w:t> </w:t>
      </w:r>
      <w:r w:rsidRPr="001B4A02">
        <w:rPr>
          <w:lang w:val="cs-CZ"/>
        </w:rPr>
        <w:t>pacientů léčených přípravkem Humira</w:t>
      </w:r>
      <w:r w:rsidR="002378E0">
        <w:rPr>
          <w:lang w:val="cs-CZ"/>
        </w:rPr>
        <w:t xml:space="preserve"> a </w:t>
      </w:r>
      <w:r w:rsidRPr="001B4A02">
        <w:rPr>
          <w:lang w:val="cs-CZ"/>
        </w:rPr>
        <w:t>6,5 u</w:t>
      </w:r>
      <w:r w:rsidR="00B176EA" w:rsidRPr="001B4A02">
        <w:rPr>
          <w:lang w:val="cs-CZ"/>
        </w:rPr>
        <w:t> </w:t>
      </w:r>
      <w:r w:rsidRPr="001B4A02">
        <w:rPr>
          <w:lang w:val="cs-CZ"/>
        </w:rPr>
        <w:t xml:space="preserve">pacientů na placebu), kteří nedosáhli dostatečné odpovědi nebo netolerovali </w:t>
      </w:r>
      <w:r w:rsidRPr="001B4A02">
        <w:rPr>
          <w:rFonts w:ascii="Symbol" w:hAnsi="Symbol"/>
          <w:lang w:val="cs-CZ"/>
        </w:rPr>
        <w:sym w:font="Symbol" w:char="F0B3"/>
      </w:r>
      <w:r w:rsidRPr="001B4A02">
        <w:rPr>
          <w:lang w:val="cs-CZ"/>
        </w:rPr>
        <w:t xml:space="preserve"> 1 NSAID nebo jsou u</w:t>
      </w:r>
      <w:r w:rsidR="00B176EA" w:rsidRPr="001B4A02">
        <w:rPr>
          <w:lang w:val="cs-CZ"/>
        </w:rPr>
        <w:t> </w:t>
      </w:r>
      <w:r w:rsidRPr="001B4A02">
        <w:rPr>
          <w:lang w:val="cs-CZ"/>
        </w:rPr>
        <w:t xml:space="preserve">nich NSAIDs kontraindikovány. </w:t>
      </w:r>
    </w:p>
    <w:p w14:paraId="4A789137" w14:textId="77777777" w:rsidR="009D0EC8" w:rsidRPr="001B4A02" w:rsidRDefault="009D0EC8" w:rsidP="00ED48A3">
      <w:pPr>
        <w:pStyle w:val="EMEANormal"/>
        <w:rPr>
          <w:lang w:val="cs-CZ"/>
        </w:rPr>
      </w:pPr>
    </w:p>
    <w:p w14:paraId="0E67B52A" w14:textId="77777777" w:rsidR="00ED3511" w:rsidRPr="001B4A02" w:rsidRDefault="00000000" w:rsidP="00ED48A3">
      <w:pPr>
        <w:pStyle w:val="EMEANormal"/>
        <w:rPr>
          <w:highlight w:val="green"/>
          <w:lang w:val="cs-CZ"/>
        </w:rPr>
      </w:pPr>
      <w:r w:rsidRPr="001B4A02">
        <w:rPr>
          <w:lang w:val="cs-CZ"/>
        </w:rPr>
        <w:t>Ve výchozím stavu bylo třicet tři pacientů (18</w:t>
      </w:r>
      <w:r w:rsidR="006008CB">
        <w:rPr>
          <w:lang w:val="cs-CZ"/>
        </w:rPr>
        <w:t> %</w:t>
      </w:r>
      <w:r w:rsidRPr="001B4A02">
        <w:rPr>
          <w:lang w:val="cs-CZ"/>
        </w:rPr>
        <w:t>) současně léčeno chorobu modifikujícími antirevmatiky</w:t>
      </w:r>
      <w:r w:rsidR="002378E0">
        <w:rPr>
          <w:lang w:val="cs-CZ"/>
        </w:rPr>
        <w:t xml:space="preserve"> a </w:t>
      </w:r>
      <w:r w:rsidRPr="001B4A02">
        <w:rPr>
          <w:lang w:val="cs-CZ"/>
        </w:rPr>
        <w:t>146 (79</w:t>
      </w:r>
      <w:r w:rsidR="006008CB">
        <w:rPr>
          <w:lang w:val="cs-CZ"/>
        </w:rPr>
        <w:t> %</w:t>
      </w:r>
      <w:r w:rsidRPr="001B4A02">
        <w:rPr>
          <w:lang w:val="cs-CZ"/>
        </w:rPr>
        <w:t>) pacientů bylo léčeno NSAID. Po dvojitě zaslapeném období následovala otevřená fáze, během níž byl pacientům podáván přípravek Humira v</w:t>
      </w:r>
      <w:r w:rsidR="00B176EA" w:rsidRPr="001B4A02">
        <w:rPr>
          <w:lang w:val="cs-CZ"/>
        </w:rPr>
        <w:t> </w:t>
      </w:r>
      <w:r w:rsidRPr="001B4A02">
        <w:rPr>
          <w:lang w:val="cs-CZ"/>
        </w:rPr>
        <w:t>dávce 40</w:t>
      </w:r>
      <w:r w:rsidR="00F365E7">
        <w:rPr>
          <w:lang w:val="cs-CZ"/>
        </w:rPr>
        <w:t> mg</w:t>
      </w:r>
      <w:r w:rsidRPr="001B4A02">
        <w:rPr>
          <w:lang w:val="cs-CZ"/>
        </w:rPr>
        <w:t xml:space="preserve"> každý druhý týden subkutánně po dobu dalších 144 týdnů. Výsledky v</w:t>
      </w:r>
      <w:r w:rsidR="00B176EA" w:rsidRPr="001B4A02">
        <w:rPr>
          <w:lang w:val="cs-CZ"/>
        </w:rPr>
        <w:t> </w:t>
      </w:r>
      <w:r w:rsidRPr="001B4A02">
        <w:rPr>
          <w:lang w:val="cs-CZ"/>
        </w:rPr>
        <w:t>týdnu 12 prokázaly statisticky signifikantní zlepšení známek</w:t>
      </w:r>
      <w:r w:rsidR="002378E0">
        <w:rPr>
          <w:lang w:val="cs-CZ"/>
        </w:rPr>
        <w:t xml:space="preserve"> a </w:t>
      </w:r>
      <w:r w:rsidRPr="001B4A02">
        <w:rPr>
          <w:lang w:val="cs-CZ"/>
        </w:rPr>
        <w:t xml:space="preserve">příznaků aktivní </w:t>
      </w:r>
      <w:r w:rsidR="00777D77">
        <w:rPr>
          <w:szCs w:val="22"/>
          <w:lang w:val="cs-CZ"/>
        </w:rPr>
        <w:t>nr-axSpA</w:t>
      </w:r>
      <w:r w:rsidRPr="001B4A02">
        <w:rPr>
          <w:lang w:val="cs-CZ"/>
        </w:rPr>
        <w:t xml:space="preserve"> u</w:t>
      </w:r>
      <w:r w:rsidR="00B176EA" w:rsidRPr="001B4A02">
        <w:rPr>
          <w:lang w:val="cs-CZ"/>
        </w:rPr>
        <w:t> </w:t>
      </w:r>
      <w:r w:rsidRPr="001B4A02">
        <w:rPr>
          <w:lang w:val="cs-CZ"/>
        </w:rPr>
        <w:t>pacientů léčených přípravkem Humira v</w:t>
      </w:r>
      <w:r w:rsidR="00B176EA" w:rsidRPr="001B4A02">
        <w:rPr>
          <w:lang w:val="cs-CZ"/>
        </w:rPr>
        <w:t> </w:t>
      </w:r>
      <w:r w:rsidRPr="001B4A02">
        <w:rPr>
          <w:lang w:val="cs-CZ"/>
        </w:rPr>
        <w:t>porovnání s</w:t>
      </w:r>
      <w:r w:rsidR="00B176EA" w:rsidRPr="001B4A02">
        <w:rPr>
          <w:lang w:val="cs-CZ"/>
        </w:rPr>
        <w:t> </w:t>
      </w:r>
      <w:r w:rsidRPr="001B4A02">
        <w:rPr>
          <w:lang w:val="cs-CZ"/>
        </w:rPr>
        <w:t>placebem (tabulka</w:t>
      </w:r>
      <w:r w:rsidR="001C113C" w:rsidRPr="001B4A02">
        <w:rPr>
          <w:lang w:val="cs-CZ"/>
        </w:rPr>
        <w:t xml:space="preserve"> </w:t>
      </w:r>
      <w:r w:rsidR="002A0AEB">
        <w:rPr>
          <w:lang w:val="cs-CZ"/>
        </w:rPr>
        <w:t>13</w:t>
      </w:r>
      <w:r w:rsidRPr="001B4A02">
        <w:rPr>
          <w:lang w:val="cs-CZ"/>
        </w:rPr>
        <w:t>).</w:t>
      </w:r>
    </w:p>
    <w:p w14:paraId="3B9DB8FE" w14:textId="77777777" w:rsidR="00ED3511" w:rsidRPr="001B4A02" w:rsidRDefault="00ED3511" w:rsidP="00ED48A3">
      <w:pPr>
        <w:pStyle w:val="EMEANormal"/>
        <w:rPr>
          <w:highlight w:val="green"/>
          <w:lang w:val="cs-CZ"/>
        </w:rPr>
      </w:pPr>
    </w:p>
    <w:p w14:paraId="2CCEAC9C" w14:textId="77777777" w:rsidR="00ED3511" w:rsidRPr="009038AE" w:rsidRDefault="00000000" w:rsidP="00ED48A3">
      <w:pPr>
        <w:pStyle w:val="EMEANormal"/>
        <w:keepNext/>
        <w:jc w:val="center"/>
        <w:rPr>
          <w:lang w:val="cs-CZ"/>
        </w:rPr>
      </w:pPr>
      <w:r w:rsidRPr="001B4A02">
        <w:rPr>
          <w:b/>
          <w:lang w:val="cs-CZ"/>
        </w:rPr>
        <w:t xml:space="preserve">Tabulka </w:t>
      </w:r>
      <w:r w:rsidR="002A0AEB">
        <w:rPr>
          <w:b/>
          <w:lang w:val="cs-CZ"/>
        </w:rPr>
        <w:t>13</w:t>
      </w:r>
    </w:p>
    <w:p w14:paraId="0FC0A954" w14:textId="77777777" w:rsidR="00ED3511" w:rsidRPr="009038AE" w:rsidRDefault="00000000" w:rsidP="00ED48A3">
      <w:pPr>
        <w:pStyle w:val="EMEANormal"/>
        <w:keepNext/>
        <w:jc w:val="center"/>
        <w:rPr>
          <w:lang w:val="cs-CZ"/>
        </w:rPr>
      </w:pPr>
      <w:r w:rsidRPr="001B4A02">
        <w:rPr>
          <w:b/>
          <w:lang w:val="cs-CZ"/>
        </w:rPr>
        <w:t>Účinnost u</w:t>
      </w:r>
      <w:r w:rsidR="00D41D1A" w:rsidRPr="001B4A02">
        <w:rPr>
          <w:b/>
          <w:lang w:val="cs-CZ"/>
        </w:rPr>
        <w:t> </w:t>
      </w:r>
      <w:r w:rsidRPr="001B4A02">
        <w:rPr>
          <w:b/>
          <w:lang w:val="cs-CZ"/>
        </w:rPr>
        <w:t xml:space="preserve">placebem kontrolované studie </w:t>
      </w:r>
      <w:r w:rsidR="00A05B57" w:rsidRPr="00777D77">
        <w:rPr>
          <w:b/>
          <w:szCs w:val="22"/>
          <w:lang w:val="cs-CZ"/>
        </w:rPr>
        <w:t>nr-axSpA</w:t>
      </w:r>
      <w:r w:rsidR="00B04C1D">
        <w:rPr>
          <w:b/>
          <w:szCs w:val="22"/>
          <w:lang w:val="cs-CZ"/>
        </w:rPr>
        <w:t xml:space="preserve"> I</w:t>
      </w:r>
    </w:p>
    <w:p w14:paraId="6D2CA805" w14:textId="77777777" w:rsidR="00ED3511" w:rsidRPr="009038AE" w:rsidRDefault="00ED3511" w:rsidP="00ED48A3">
      <w:pPr>
        <w:pStyle w:val="EMEANormal"/>
        <w:keepNext/>
        <w:rPr>
          <w:lang w:val="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1939"/>
        <w:gridCol w:w="1900"/>
      </w:tblGrid>
      <w:tr w:rsidR="00534A2D" w14:paraId="47235458" w14:textId="77777777" w:rsidTr="008D783A">
        <w:trPr>
          <w:jc w:val="center"/>
        </w:trPr>
        <w:tc>
          <w:tcPr>
            <w:tcW w:w="4820" w:type="dxa"/>
            <w:tcBorders>
              <w:top w:val="single" w:sz="4" w:space="0" w:color="auto"/>
              <w:left w:val="single" w:sz="4" w:space="0" w:color="auto"/>
              <w:bottom w:val="single" w:sz="4" w:space="0" w:color="auto"/>
              <w:right w:val="single" w:sz="4" w:space="0" w:color="auto"/>
            </w:tcBorders>
          </w:tcPr>
          <w:p w14:paraId="6536C3F8" w14:textId="77777777" w:rsidR="00ED3511" w:rsidRPr="001B4A02" w:rsidRDefault="00000000" w:rsidP="00ED48A3">
            <w:pPr>
              <w:keepNext/>
              <w:tabs>
                <w:tab w:val="left" w:pos="562"/>
              </w:tabs>
              <w:suppressAutoHyphens/>
              <w:rPr>
                <w:b/>
                <w:bCs/>
                <w:szCs w:val="24"/>
              </w:rPr>
            </w:pPr>
            <w:r w:rsidRPr="001B4A02">
              <w:rPr>
                <w:b/>
                <w:bCs/>
              </w:rPr>
              <w:t>Odpovědi v</w:t>
            </w:r>
            <w:r w:rsidR="00B176EA" w:rsidRPr="001B4A02">
              <w:rPr>
                <w:b/>
                <w:bCs/>
              </w:rPr>
              <w:t> </w:t>
            </w:r>
            <w:r w:rsidRPr="001B4A02">
              <w:rPr>
                <w:b/>
                <w:bCs/>
              </w:rPr>
              <w:t xml:space="preserve">týdnu 12 </w:t>
            </w:r>
            <w:r w:rsidR="006D1214" w:rsidRPr="001B4A02">
              <w:rPr>
                <w:b/>
                <w:bCs/>
              </w:rPr>
              <w:t>–</w:t>
            </w:r>
            <w:r w:rsidRPr="001B4A02">
              <w:rPr>
                <w:b/>
                <w:bCs/>
              </w:rPr>
              <w:t xml:space="preserve"> dvojitě zaslepeno</w:t>
            </w:r>
          </w:p>
        </w:tc>
        <w:tc>
          <w:tcPr>
            <w:tcW w:w="1939" w:type="dxa"/>
            <w:tcBorders>
              <w:top w:val="single" w:sz="4" w:space="0" w:color="auto"/>
              <w:left w:val="single" w:sz="4" w:space="0" w:color="auto"/>
              <w:bottom w:val="single" w:sz="4" w:space="0" w:color="auto"/>
              <w:right w:val="single" w:sz="4" w:space="0" w:color="auto"/>
            </w:tcBorders>
          </w:tcPr>
          <w:p w14:paraId="0109008D" w14:textId="77777777" w:rsidR="00ED3511" w:rsidRPr="000C0B0A" w:rsidRDefault="00000000" w:rsidP="00ED48A3">
            <w:pPr>
              <w:keepNext/>
              <w:jc w:val="center"/>
              <w:rPr>
                <w:b/>
                <w:bCs/>
                <w:szCs w:val="22"/>
              </w:rPr>
            </w:pPr>
            <w:r w:rsidRPr="000C0B0A">
              <w:rPr>
                <w:b/>
                <w:bCs/>
                <w:szCs w:val="22"/>
              </w:rPr>
              <w:t>Placebo</w:t>
            </w:r>
          </w:p>
          <w:p w14:paraId="5166D393" w14:textId="77777777" w:rsidR="00ED3511" w:rsidRPr="000C0B0A" w:rsidRDefault="00000000" w:rsidP="00ED48A3">
            <w:pPr>
              <w:keepNext/>
              <w:tabs>
                <w:tab w:val="left" w:pos="562"/>
              </w:tabs>
              <w:suppressAutoHyphens/>
              <w:jc w:val="center"/>
              <w:rPr>
                <w:b/>
                <w:bCs/>
                <w:szCs w:val="22"/>
              </w:rPr>
            </w:pPr>
            <w:r>
              <w:rPr>
                <w:b/>
                <w:bCs/>
                <w:szCs w:val="22"/>
              </w:rPr>
              <w:t>n</w:t>
            </w:r>
            <w:r w:rsidRPr="000C0B0A">
              <w:rPr>
                <w:b/>
                <w:bCs/>
                <w:szCs w:val="22"/>
              </w:rPr>
              <w:t>=94</w:t>
            </w:r>
          </w:p>
        </w:tc>
        <w:tc>
          <w:tcPr>
            <w:tcW w:w="1900" w:type="dxa"/>
            <w:tcBorders>
              <w:top w:val="single" w:sz="4" w:space="0" w:color="auto"/>
              <w:left w:val="single" w:sz="4" w:space="0" w:color="auto"/>
              <w:bottom w:val="single" w:sz="4" w:space="0" w:color="auto"/>
              <w:right w:val="single" w:sz="4" w:space="0" w:color="auto"/>
            </w:tcBorders>
          </w:tcPr>
          <w:p w14:paraId="70CF8AA3" w14:textId="77777777" w:rsidR="00ED3511" w:rsidRPr="000C0B0A" w:rsidRDefault="00000000" w:rsidP="00ED48A3">
            <w:pPr>
              <w:keepNext/>
              <w:jc w:val="center"/>
              <w:rPr>
                <w:b/>
                <w:bCs/>
                <w:szCs w:val="22"/>
              </w:rPr>
            </w:pPr>
            <w:r w:rsidRPr="000C0B0A">
              <w:rPr>
                <w:b/>
                <w:bCs/>
                <w:szCs w:val="22"/>
              </w:rPr>
              <w:t>Humira</w:t>
            </w:r>
          </w:p>
          <w:p w14:paraId="65068B85" w14:textId="77777777" w:rsidR="00ED3511" w:rsidRPr="000C0B0A" w:rsidRDefault="00000000" w:rsidP="00ED48A3">
            <w:pPr>
              <w:keepNext/>
              <w:tabs>
                <w:tab w:val="left" w:pos="562"/>
              </w:tabs>
              <w:suppressAutoHyphens/>
              <w:jc w:val="center"/>
              <w:rPr>
                <w:b/>
                <w:bCs/>
                <w:szCs w:val="22"/>
              </w:rPr>
            </w:pPr>
            <w:r>
              <w:rPr>
                <w:b/>
                <w:bCs/>
                <w:szCs w:val="22"/>
              </w:rPr>
              <w:t>n</w:t>
            </w:r>
            <w:r w:rsidRPr="000C0B0A">
              <w:rPr>
                <w:b/>
                <w:bCs/>
                <w:szCs w:val="22"/>
              </w:rPr>
              <w:t>=91</w:t>
            </w:r>
          </w:p>
        </w:tc>
      </w:tr>
      <w:tr w:rsidR="00534A2D" w14:paraId="2D568F4C" w14:textId="77777777" w:rsidTr="008D783A">
        <w:trPr>
          <w:jc w:val="center"/>
        </w:trPr>
        <w:tc>
          <w:tcPr>
            <w:tcW w:w="4820" w:type="dxa"/>
            <w:tcBorders>
              <w:top w:val="single" w:sz="4" w:space="0" w:color="auto"/>
              <w:left w:val="single" w:sz="4" w:space="0" w:color="auto"/>
              <w:bottom w:val="single" w:sz="4" w:space="0" w:color="auto"/>
              <w:right w:val="single" w:sz="4" w:space="0" w:color="auto"/>
            </w:tcBorders>
          </w:tcPr>
          <w:p w14:paraId="31678471" w14:textId="77777777" w:rsidR="00ED3511" w:rsidRPr="001B4A02" w:rsidRDefault="00000000" w:rsidP="00ED48A3">
            <w:pPr>
              <w:keepNext/>
              <w:tabs>
                <w:tab w:val="left" w:pos="562"/>
              </w:tabs>
              <w:suppressAutoHyphens/>
              <w:rPr>
                <w:szCs w:val="24"/>
              </w:rPr>
            </w:pPr>
            <w:r w:rsidRPr="001B4A02">
              <w:t>ASAS</w:t>
            </w:r>
            <w:r w:rsidRPr="001B4A02">
              <w:rPr>
                <w:vertAlign w:val="superscript"/>
              </w:rPr>
              <w:t>a</w:t>
            </w:r>
            <w:r w:rsidRPr="001B4A02">
              <w:t xml:space="preserve"> 40</w:t>
            </w:r>
          </w:p>
        </w:tc>
        <w:tc>
          <w:tcPr>
            <w:tcW w:w="1939" w:type="dxa"/>
            <w:tcBorders>
              <w:top w:val="single" w:sz="4" w:space="0" w:color="auto"/>
              <w:left w:val="single" w:sz="4" w:space="0" w:color="auto"/>
              <w:bottom w:val="single" w:sz="4" w:space="0" w:color="auto"/>
              <w:right w:val="single" w:sz="4" w:space="0" w:color="auto"/>
            </w:tcBorders>
          </w:tcPr>
          <w:p w14:paraId="6B50C009" w14:textId="77777777" w:rsidR="00ED3511" w:rsidRPr="001B4A02" w:rsidRDefault="00000000" w:rsidP="00ED48A3">
            <w:pPr>
              <w:keepNext/>
              <w:tabs>
                <w:tab w:val="left" w:pos="562"/>
              </w:tabs>
              <w:suppressAutoHyphens/>
              <w:jc w:val="center"/>
              <w:rPr>
                <w:szCs w:val="24"/>
              </w:rPr>
            </w:pPr>
            <w:r w:rsidRPr="001B4A02">
              <w:t>15</w:t>
            </w:r>
            <w:r w:rsidR="00FA1345" w:rsidRPr="001B4A02">
              <w:t> </w:t>
            </w:r>
            <w:r w:rsidRPr="001B4A02">
              <w:t>%</w:t>
            </w:r>
          </w:p>
        </w:tc>
        <w:tc>
          <w:tcPr>
            <w:tcW w:w="1900" w:type="dxa"/>
            <w:tcBorders>
              <w:top w:val="single" w:sz="4" w:space="0" w:color="auto"/>
              <w:left w:val="single" w:sz="4" w:space="0" w:color="auto"/>
              <w:bottom w:val="single" w:sz="4" w:space="0" w:color="auto"/>
              <w:right w:val="single" w:sz="4" w:space="0" w:color="auto"/>
            </w:tcBorders>
          </w:tcPr>
          <w:p w14:paraId="13E40312" w14:textId="77777777" w:rsidR="00ED3511" w:rsidRPr="001B4A02" w:rsidRDefault="00000000" w:rsidP="00ED48A3">
            <w:pPr>
              <w:keepNext/>
              <w:tabs>
                <w:tab w:val="left" w:pos="562"/>
              </w:tabs>
              <w:suppressAutoHyphens/>
              <w:jc w:val="center"/>
              <w:rPr>
                <w:szCs w:val="24"/>
              </w:rPr>
            </w:pPr>
            <w:r w:rsidRPr="001B4A02">
              <w:t>36</w:t>
            </w:r>
            <w:r w:rsidR="00FA1345" w:rsidRPr="001B4A02">
              <w:t> </w:t>
            </w:r>
            <w:r w:rsidRPr="001B4A02">
              <w:t>%***</w:t>
            </w:r>
          </w:p>
        </w:tc>
      </w:tr>
      <w:tr w:rsidR="00534A2D" w14:paraId="440D20DE" w14:textId="77777777" w:rsidTr="008D783A">
        <w:trPr>
          <w:jc w:val="center"/>
        </w:trPr>
        <w:tc>
          <w:tcPr>
            <w:tcW w:w="4820" w:type="dxa"/>
            <w:tcBorders>
              <w:top w:val="single" w:sz="4" w:space="0" w:color="auto"/>
              <w:left w:val="single" w:sz="4" w:space="0" w:color="auto"/>
              <w:bottom w:val="single" w:sz="4" w:space="0" w:color="auto"/>
              <w:right w:val="single" w:sz="4" w:space="0" w:color="auto"/>
            </w:tcBorders>
          </w:tcPr>
          <w:p w14:paraId="6CC43491" w14:textId="77777777" w:rsidR="00ED3511" w:rsidRPr="001B4A02" w:rsidRDefault="00000000" w:rsidP="00ED48A3">
            <w:pPr>
              <w:keepNext/>
              <w:tabs>
                <w:tab w:val="left" w:pos="562"/>
              </w:tabs>
              <w:suppressAutoHyphens/>
              <w:rPr>
                <w:szCs w:val="24"/>
              </w:rPr>
            </w:pPr>
            <w:r w:rsidRPr="001B4A02">
              <w:t>ASAS 20</w:t>
            </w:r>
          </w:p>
        </w:tc>
        <w:tc>
          <w:tcPr>
            <w:tcW w:w="1939" w:type="dxa"/>
            <w:tcBorders>
              <w:top w:val="single" w:sz="4" w:space="0" w:color="auto"/>
              <w:left w:val="single" w:sz="4" w:space="0" w:color="auto"/>
              <w:bottom w:val="single" w:sz="4" w:space="0" w:color="auto"/>
              <w:right w:val="single" w:sz="4" w:space="0" w:color="auto"/>
            </w:tcBorders>
          </w:tcPr>
          <w:p w14:paraId="3E219656" w14:textId="77777777" w:rsidR="00ED3511" w:rsidRPr="001B4A02" w:rsidRDefault="00000000" w:rsidP="00ED48A3">
            <w:pPr>
              <w:keepNext/>
              <w:tabs>
                <w:tab w:val="left" w:pos="562"/>
              </w:tabs>
              <w:suppressAutoHyphens/>
              <w:jc w:val="center"/>
              <w:rPr>
                <w:szCs w:val="24"/>
              </w:rPr>
            </w:pPr>
            <w:r w:rsidRPr="001B4A02">
              <w:t>31</w:t>
            </w:r>
            <w:r w:rsidR="00FA1345" w:rsidRPr="001B4A02">
              <w:t> </w:t>
            </w:r>
            <w:r w:rsidRPr="001B4A02">
              <w:t>%</w:t>
            </w:r>
          </w:p>
        </w:tc>
        <w:tc>
          <w:tcPr>
            <w:tcW w:w="1900" w:type="dxa"/>
            <w:tcBorders>
              <w:top w:val="single" w:sz="4" w:space="0" w:color="auto"/>
              <w:left w:val="single" w:sz="4" w:space="0" w:color="auto"/>
              <w:bottom w:val="single" w:sz="4" w:space="0" w:color="auto"/>
              <w:right w:val="single" w:sz="4" w:space="0" w:color="auto"/>
            </w:tcBorders>
          </w:tcPr>
          <w:p w14:paraId="29913E3B" w14:textId="77777777" w:rsidR="00ED3511" w:rsidRPr="001B4A02" w:rsidRDefault="00000000" w:rsidP="00ED48A3">
            <w:pPr>
              <w:keepNext/>
              <w:tabs>
                <w:tab w:val="left" w:pos="562"/>
              </w:tabs>
              <w:suppressAutoHyphens/>
              <w:jc w:val="center"/>
              <w:rPr>
                <w:szCs w:val="24"/>
              </w:rPr>
            </w:pPr>
            <w:r w:rsidRPr="001B4A02">
              <w:t>52</w:t>
            </w:r>
            <w:r w:rsidR="00FA1345" w:rsidRPr="001B4A02">
              <w:t> </w:t>
            </w:r>
            <w:r w:rsidRPr="001B4A02">
              <w:t>%**</w:t>
            </w:r>
          </w:p>
        </w:tc>
      </w:tr>
      <w:tr w:rsidR="00534A2D" w14:paraId="5E400D84" w14:textId="77777777" w:rsidTr="008D783A">
        <w:trPr>
          <w:jc w:val="center"/>
        </w:trPr>
        <w:tc>
          <w:tcPr>
            <w:tcW w:w="4820" w:type="dxa"/>
            <w:tcBorders>
              <w:top w:val="single" w:sz="4" w:space="0" w:color="auto"/>
              <w:left w:val="single" w:sz="4" w:space="0" w:color="auto"/>
              <w:bottom w:val="single" w:sz="4" w:space="0" w:color="auto"/>
              <w:right w:val="single" w:sz="4" w:space="0" w:color="auto"/>
            </w:tcBorders>
          </w:tcPr>
          <w:p w14:paraId="46B2D0C5" w14:textId="77777777" w:rsidR="00ED3511" w:rsidRPr="001B4A02" w:rsidRDefault="00000000" w:rsidP="00ED48A3">
            <w:pPr>
              <w:keepNext/>
              <w:tabs>
                <w:tab w:val="left" w:pos="562"/>
              </w:tabs>
              <w:suppressAutoHyphens/>
              <w:rPr>
                <w:szCs w:val="24"/>
              </w:rPr>
            </w:pPr>
            <w:r w:rsidRPr="001B4A02">
              <w:t>ASAS 5/6</w:t>
            </w:r>
          </w:p>
        </w:tc>
        <w:tc>
          <w:tcPr>
            <w:tcW w:w="1939" w:type="dxa"/>
            <w:tcBorders>
              <w:top w:val="single" w:sz="4" w:space="0" w:color="auto"/>
              <w:left w:val="single" w:sz="4" w:space="0" w:color="auto"/>
              <w:bottom w:val="single" w:sz="4" w:space="0" w:color="auto"/>
              <w:right w:val="single" w:sz="4" w:space="0" w:color="auto"/>
            </w:tcBorders>
          </w:tcPr>
          <w:p w14:paraId="54FFF387" w14:textId="77777777" w:rsidR="00ED3511" w:rsidRPr="001B4A02" w:rsidRDefault="00000000" w:rsidP="00ED48A3">
            <w:pPr>
              <w:keepNext/>
              <w:tabs>
                <w:tab w:val="left" w:pos="562"/>
              </w:tabs>
              <w:suppressAutoHyphens/>
              <w:jc w:val="center"/>
              <w:rPr>
                <w:szCs w:val="24"/>
              </w:rPr>
            </w:pPr>
            <w:r w:rsidRPr="001B4A02">
              <w:t>6</w:t>
            </w:r>
            <w:r w:rsidR="00FA1345" w:rsidRPr="001B4A02">
              <w:t> </w:t>
            </w:r>
            <w:r w:rsidRPr="001B4A02">
              <w:t>%</w:t>
            </w:r>
          </w:p>
        </w:tc>
        <w:tc>
          <w:tcPr>
            <w:tcW w:w="1900" w:type="dxa"/>
            <w:tcBorders>
              <w:top w:val="single" w:sz="4" w:space="0" w:color="auto"/>
              <w:left w:val="single" w:sz="4" w:space="0" w:color="auto"/>
              <w:bottom w:val="single" w:sz="4" w:space="0" w:color="auto"/>
              <w:right w:val="single" w:sz="4" w:space="0" w:color="auto"/>
            </w:tcBorders>
          </w:tcPr>
          <w:p w14:paraId="7A2E5356" w14:textId="77777777" w:rsidR="00ED3511" w:rsidRPr="001B4A02" w:rsidRDefault="00000000" w:rsidP="00ED48A3">
            <w:pPr>
              <w:keepNext/>
              <w:tabs>
                <w:tab w:val="left" w:pos="562"/>
              </w:tabs>
              <w:suppressAutoHyphens/>
              <w:jc w:val="center"/>
              <w:rPr>
                <w:szCs w:val="24"/>
              </w:rPr>
            </w:pPr>
            <w:r w:rsidRPr="001B4A02">
              <w:t>31</w:t>
            </w:r>
            <w:r w:rsidR="00FA1345" w:rsidRPr="001B4A02">
              <w:t> </w:t>
            </w:r>
            <w:r w:rsidRPr="001B4A02">
              <w:t>%***</w:t>
            </w:r>
          </w:p>
        </w:tc>
      </w:tr>
      <w:tr w:rsidR="00534A2D" w14:paraId="1DD331E6" w14:textId="77777777" w:rsidTr="008D783A">
        <w:trPr>
          <w:jc w:val="center"/>
        </w:trPr>
        <w:tc>
          <w:tcPr>
            <w:tcW w:w="4820" w:type="dxa"/>
            <w:tcBorders>
              <w:top w:val="single" w:sz="4" w:space="0" w:color="auto"/>
              <w:left w:val="single" w:sz="4" w:space="0" w:color="auto"/>
              <w:bottom w:val="single" w:sz="4" w:space="0" w:color="auto"/>
              <w:right w:val="single" w:sz="4" w:space="0" w:color="auto"/>
            </w:tcBorders>
          </w:tcPr>
          <w:p w14:paraId="5A5363C8" w14:textId="77777777" w:rsidR="00ED3511" w:rsidRPr="001B4A02" w:rsidRDefault="00000000" w:rsidP="00ED48A3">
            <w:pPr>
              <w:keepNext/>
              <w:tabs>
                <w:tab w:val="left" w:pos="562"/>
              </w:tabs>
              <w:suppressAutoHyphens/>
              <w:rPr>
                <w:szCs w:val="24"/>
              </w:rPr>
            </w:pPr>
            <w:r w:rsidRPr="001B4A02">
              <w:t>ASAS částečná remise</w:t>
            </w:r>
          </w:p>
        </w:tc>
        <w:tc>
          <w:tcPr>
            <w:tcW w:w="1939" w:type="dxa"/>
            <w:tcBorders>
              <w:top w:val="single" w:sz="4" w:space="0" w:color="auto"/>
              <w:left w:val="single" w:sz="4" w:space="0" w:color="auto"/>
              <w:bottom w:val="single" w:sz="4" w:space="0" w:color="auto"/>
              <w:right w:val="single" w:sz="4" w:space="0" w:color="auto"/>
            </w:tcBorders>
          </w:tcPr>
          <w:p w14:paraId="4C27DFE6" w14:textId="77777777" w:rsidR="00ED3511" w:rsidRPr="001B4A02" w:rsidRDefault="00000000" w:rsidP="00ED48A3">
            <w:pPr>
              <w:keepNext/>
              <w:tabs>
                <w:tab w:val="left" w:pos="562"/>
              </w:tabs>
              <w:suppressAutoHyphens/>
              <w:jc w:val="center"/>
              <w:rPr>
                <w:szCs w:val="24"/>
              </w:rPr>
            </w:pPr>
            <w:r w:rsidRPr="001B4A02">
              <w:t>5</w:t>
            </w:r>
            <w:r w:rsidR="00FA1345" w:rsidRPr="001B4A02">
              <w:t> </w:t>
            </w:r>
            <w:r w:rsidRPr="001B4A02">
              <w:t>%</w:t>
            </w:r>
          </w:p>
        </w:tc>
        <w:tc>
          <w:tcPr>
            <w:tcW w:w="1900" w:type="dxa"/>
            <w:tcBorders>
              <w:top w:val="single" w:sz="4" w:space="0" w:color="auto"/>
              <w:left w:val="single" w:sz="4" w:space="0" w:color="auto"/>
              <w:bottom w:val="single" w:sz="4" w:space="0" w:color="auto"/>
              <w:right w:val="single" w:sz="4" w:space="0" w:color="auto"/>
            </w:tcBorders>
          </w:tcPr>
          <w:p w14:paraId="30C55824" w14:textId="77777777" w:rsidR="00ED3511" w:rsidRPr="001B4A02" w:rsidRDefault="00000000" w:rsidP="00ED48A3">
            <w:pPr>
              <w:keepNext/>
              <w:tabs>
                <w:tab w:val="left" w:pos="562"/>
              </w:tabs>
              <w:suppressAutoHyphens/>
              <w:jc w:val="center"/>
              <w:rPr>
                <w:szCs w:val="24"/>
              </w:rPr>
            </w:pPr>
            <w:r w:rsidRPr="001B4A02">
              <w:t>16</w:t>
            </w:r>
            <w:r w:rsidR="00FA1345" w:rsidRPr="001B4A02">
              <w:t> </w:t>
            </w:r>
            <w:r w:rsidRPr="001B4A02">
              <w:t>%***</w:t>
            </w:r>
          </w:p>
        </w:tc>
      </w:tr>
      <w:tr w:rsidR="00534A2D" w14:paraId="13A453D5" w14:textId="77777777" w:rsidTr="008D783A">
        <w:trPr>
          <w:jc w:val="center"/>
        </w:trPr>
        <w:tc>
          <w:tcPr>
            <w:tcW w:w="4820" w:type="dxa"/>
            <w:tcBorders>
              <w:top w:val="single" w:sz="4" w:space="0" w:color="auto"/>
              <w:left w:val="single" w:sz="4" w:space="0" w:color="auto"/>
              <w:bottom w:val="single" w:sz="4" w:space="0" w:color="auto"/>
              <w:right w:val="single" w:sz="4" w:space="0" w:color="auto"/>
            </w:tcBorders>
          </w:tcPr>
          <w:p w14:paraId="4A2E0FB5" w14:textId="77777777" w:rsidR="00ED3511" w:rsidRPr="001B4A02" w:rsidRDefault="00000000" w:rsidP="00ED48A3">
            <w:pPr>
              <w:keepNext/>
              <w:tabs>
                <w:tab w:val="left" w:pos="562"/>
              </w:tabs>
              <w:suppressAutoHyphens/>
              <w:rPr>
                <w:szCs w:val="24"/>
              </w:rPr>
            </w:pPr>
            <w:r w:rsidRPr="001B4A02">
              <w:t>BASDAI</w:t>
            </w:r>
            <w:r w:rsidRPr="001B4A02">
              <w:rPr>
                <w:vertAlign w:val="superscript"/>
              </w:rPr>
              <w:t>b</w:t>
            </w:r>
            <w:r w:rsidRPr="001B4A02">
              <w:t xml:space="preserve"> 50</w:t>
            </w:r>
          </w:p>
        </w:tc>
        <w:tc>
          <w:tcPr>
            <w:tcW w:w="1939" w:type="dxa"/>
            <w:tcBorders>
              <w:top w:val="single" w:sz="4" w:space="0" w:color="auto"/>
              <w:left w:val="single" w:sz="4" w:space="0" w:color="auto"/>
              <w:bottom w:val="single" w:sz="4" w:space="0" w:color="auto"/>
              <w:right w:val="single" w:sz="4" w:space="0" w:color="auto"/>
            </w:tcBorders>
          </w:tcPr>
          <w:p w14:paraId="641D73B6" w14:textId="77777777" w:rsidR="00ED3511" w:rsidRPr="001B4A02" w:rsidRDefault="00000000" w:rsidP="00ED48A3">
            <w:pPr>
              <w:keepNext/>
              <w:tabs>
                <w:tab w:val="left" w:pos="562"/>
              </w:tabs>
              <w:suppressAutoHyphens/>
              <w:jc w:val="center"/>
              <w:rPr>
                <w:szCs w:val="24"/>
              </w:rPr>
            </w:pPr>
            <w:r w:rsidRPr="001B4A02">
              <w:t>15</w:t>
            </w:r>
            <w:r w:rsidR="00FA1345" w:rsidRPr="001B4A02">
              <w:t> </w:t>
            </w:r>
            <w:r w:rsidRPr="001B4A02">
              <w:t>%</w:t>
            </w:r>
          </w:p>
        </w:tc>
        <w:tc>
          <w:tcPr>
            <w:tcW w:w="1900" w:type="dxa"/>
            <w:tcBorders>
              <w:top w:val="single" w:sz="4" w:space="0" w:color="auto"/>
              <w:left w:val="single" w:sz="4" w:space="0" w:color="auto"/>
              <w:bottom w:val="single" w:sz="4" w:space="0" w:color="auto"/>
              <w:right w:val="single" w:sz="4" w:space="0" w:color="auto"/>
            </w:tcBorders>
          </w:tcPr>
          <w:p w14:paraId="58ECE89A" w14:textId="77777777" w:rsidR="00ED3511" w:rsidRPr="001B4A02" w:rsidRDefault="00000000" w:rsidP="00ED48A3">
            <w:pPr>
              <w:keepNext/>
              <w:tabs>
                <w:tab w:val="left" w:pos="562"/>
              </w:tabs>
              <w:suppressAutoHyphens/>
              <w:jc w:val="center"/>
              <w:rPr>
                <w:szCs w:val="24"/>
              </w:rPr>
            </w:pPr>
            <w:r w:rsidRPr="001B4A02">
              <w:t>35</w:t>
            </w:r>
            <w:r w:rsidR="00FA1345" w:rsidRPr="001B4A02">
              <w:t> </w:t>
            </w:r>
            <w:r w:rsidRPr="001B4A02">
              <w:t>%**</w:t>
            </w:r>
          </w:p>
        </w:tc>
      </w:tr>
      <w:tr w:rsidR="00534A2D" w14:paraId="129971C4" w14:textId="77777777" w:rsidTr="008D783A">
        <w:trPr>
          <w:jc w:val="center"/>
        </w:trPr>
        <w:tc>
          <w:tcPr>
            <w:tcW w:w="4820" w:type="dxa"/>
            <w:tcBorders>
              <w:top w:val="single" w:sz="4" w:space="0" w:color="auto"/>
              <w:left w:val="single" w:sz="4" w:space="0" w:color="auto"/>
              <w:bottom w:val="single" w:sz="4" w:space="0" w:color="auto"/>
              <w:right w:val="single" w:sz="4" w:space="0" w:color="auto"/>
            </w:tcBorders>
          </w:tcPr>
          <w:p w14:paraId="2230DDD5" w14:textId="77777777" w:rsidR="009D0EC8" w:rsidRPr="001B4A02" w:rsidRDefault="00000000" w:rsidP="00ED48A3">
            <w:pPr>
              <w:keepNext/>
              <w:tabs>
                <w:tab w:val="left" w:pos="562"/>
              </w:tabs>
              <w:suppressAutoHyphens/>
            </w:pPr>
            <w:r w:rsidRPr="001B4A02">
              <w:t>ASDAS</w:t>
            </w:r>
            <w:r w:rsidRPr="001B4A02">
              <w:rPr>
                <w:vertAlign w:val="superscript"/>
              </w:rPr>
              <w:t>c,d,e</w:t>
            </w:r>
          </w:p>
        </w:tc>
        <w:tc>
          <w:tcPr>
            <w:tcW w:w="1939" w:type="dxa"/>
            <w:tcBorders>
              <w:top w:val="single" w:sz="4" w:space="0" w:color="auto"/>
              <w:left w:val="single" w:sz="4" w:space="0" w:color="auto"/>
              <w:bottom w:val="single" w:sz="4" w:space="0" w:color="auto"/>
              <w:right w:val="single" w:sz="4" w:space="0" w:color="auto"/>
            </w:tcBorders>
          </w:tcPr>
          <w:p w14:paraId="47BB0AD9" w14:textId="77777777" w:rsidR="009D0EC8" w:rsidRPr="001B4A02" w:rsidRDefault="00000000" w:rsidP="00ED48A3">
            <w:pPr>
              <w:keepNext/>
              <w:tabs>
                <w:tab w:val="left" w:pos="562"/>
              </w:tabs>
              <w:suppressAutoHyphens/>
              <w:jc w:val="center"/>
            </w:pPr>
            <w:r w:rsidRPr="001B4A02">
              <w:t>-0,3</w:t>
            </w:r>
            <w:r w:rsidR="00FA1345" w:rsidRPr="001B4A02">
              <w:t> </w:t>
            </w:r>
            <w:r w:rsidRPr="001B4A02">
              <w:t>%</w:t>
            </w:r>
          </w:p>
        </w:tc>
        <w:tc>
          <w:tcPr>
            <w:tcW w:w="1900" w:type="dxa"/>
            <w:tcBorders>
              <w:top w:val="single" w:sz="4" w:space="0" w:color="auto"/>
              <w:left w:val="single" w:sz="4" w:space="0" w:color="auto"/>
              <w:bottom w:val="single" w:sz="4" w:space="0" w:color="auto"/>
              <w:right w:val="single" w:sz="4" w:space="0" w:color="auto"/>
            </w:tcBorders>
          </w:tcPr>
          <w:p w14:paraId="6D9BF1D5" w14:textId="77777777" w:rsidR="009D0EC8" w:rsidRPr="001B4A02" w:rsidRDefault="00000000" w:rsidP="00ED48A3">
            <w:pPr>
              <w:keepNext/>
              <w:tabs>
                <w:tab w:val="left" w:pos="562"/>
              </w:tabs>
              <w:suppressAutoHyphens/>
              <w:jc w:val="center"/>
            </w:pPr>
            <w:r w:rsidRPr="001B4A02">
              <w:t>-1,0</w:t>
            </w:r>
            <w:r w:rsidR="00FA1345" w:rsidRPr="001B4A02">
              <w:t> </w:t>
            </w:r>
            <w:r w:rsidR="00F274CD" w:rsidRPr="001B4A02">
              <w:t>%</w:t>
            </w:r>
            <w:r w:rsidRPr="001B4A02">
              <w:t>***</w:t>
            </w:r>
          </w:p>
        </w:tc>
      </w:tr>
      <w:tr w:rsidR="00534A2D" w14:paraId="091724D8" w14:textId="77777777" w:rsidTr="008D783A">
        <w:trPr>
          <w:jc w:val="center"/>
        </w:trPr>
        <w:tc>
          <w:tcPr>
            <w:tcW w:w="4820" w:type="dxa"/>
            <w:tcBorders>
              <w:top w:val="single" w:sz="4" w:space="0" w:color="auto"/>
              <w:left w:val="single" w:sz="4" w:space="0" w:color="auto"/>
              <w:bottom w:val="single" w:sz="4" w:space="0" w:color="auto"/>
              <w:right w:val="single" w:sz="4" w:space="0" w:color="auto"/>
            </w:tcBorders>
          </w:tcPr>
          <w:p w14:paraId="23AE2992" w14:textId="77777777" w:rsidR="009D0EC8" w:rsidRPr="001B4A02" w:rsidRDefault="00000000" w:rsidP="00ED48A3">
            <w:pPr>
              <w:keepNext/>
              <w:tabs>
                <w:tab w:val="left" w:pos="562"/>
              </w:tabs>
              <w:suppressAutoHyphens/>
            </w:pPr>
            <w:r w:rsidRPr="001B4A02">
              <w:t>ASDAS neaktivní onemocnění</w:t>
            </w:r>
          </w:p>
        </w:tc>
        <w:tc>
          <w:tcPr>
            <w:tcW w:w="1939" w:type="dxa"/>
            <w:tcBorders>
              <w:top w:val="single" w:sz="4" w:space="0" w:color="auto"/>
              <w:left w:val="single" w:sz="4" w:space="0" w:color="auto"/>
              <w:bottom w:val="single" w:sz="4" w:space="0" w:color="auto"/>
              <w:right w:val="single" w:sz="4" w:space="0" w:color="auto"/>
            </w:tcBorders>
          </w:tcPr>
          <w:p w14:paraId="6B7D96CF" w14:textId="77777777" w:rsidR="009D0EC8" w:rsidRPr="001B4A02" w:rsidRDefault="00000000" w:rsidP="00ED48A3">
            <w:pPr>
              <w:keepNext/>
              <w:tabs>
                <w:tab w:val="left" w:pos="562"/>
              </w:tabs>
              <w:suppressAutoHyphens/>
              <w:jc w:val="center"/>
            </w:pPr>
            <w:r w:rsidRPr="001B4A02">
              <w:t>4</w:t>
            </w:r>
            <w:r w:rsidR="00FA1345" w:rsidRPr="001B4A02">
              <w:t> </w:t>
            </w:r>
            <w:r w:rsidRPr="001B4A02">
              <w:t>%</w:t>
            </w:r>
          </w:p>
        </w:tc>
        <w:tc>
          <w:tcPr>
            <w:tcW w:w="1900" w:type="dxa"/>
            <w:tcBorders>
              <w:top w:val="single" w:sz="4" w:space="0" w:color="auto"/>
              <w:left w:val="single" w:sz="4" w:space="0" w:color="auto"/>
              <w:bottom w:val="single" w:sz="4" w:space="0" w:color="auto"/>
              <w:right w:val="single" w:sz="4" w:space="0" w:color="auto"/>
            </w:tcBorders>
          </w:tcPr>
          <w:p w14:paraId="4C0F7C0F" w14:textId="77777777" w:rsidR="009D0EC8" w:rsidRPr="001B4A02" w:rsidRDefault="00000000" w:rsidP="00ED48A3">
            <w:pPr>
              <w:keepNext/>
              <w:tabs>
                <w:tab w:val="left" w:pos="562"/>
              </w:tabs>
              <w:suppressAutoHyphens/>
              <w:jc w:val="center"/>
            </w:pPr>
            <w:r w:rsidRPr="001B4A02">
              <w:t>24</w:t>
            </w:r>
            <w:r w:rsidR="00FA1345" w:rsidRPr="001B4A02">
              <w:t> </w:t>
            </w:r>
            <w:r w:rsidRPr="001B4A02">
              <w:t>%***</w:t>
            </w:r>
          </w:p>
        </w:tc>
      </w:tr>
      <w:tr w:rsidR="00534A2D" w14:paraId="72B579E5" w14:textId="77777777" w:rsidTr="008D783A">
        <w:trPr>
          <w:jc w:val="center"/>
        </w:trPr>
        <w:tc>
          <w:tcPr>
            <w:tcW w:w="4820" w:type="dxa"/>
            <w:tcBorders>
              <w:top w:val="single" w:sz="4" w:space="0" w:color="auto"/>
              <w:left w:val="single" w:sz="4" w:space="0" w:color="auto"/>
              <w:bottom w:val="single" w:sz="4" w:space="0" w:color="auto"/>
              <w:right w:val="single" w:sz="4" w:space="0" w:color="auto"/>
            </w:tcBorders>
          </w:tcPr>
          <w:p w14:paraId="57ED1A54" w14:textId="77777777" w:rsidR="009D0EC8" w:rsidRPr="001B4A02" w:rsidRDefault="00000000" w:rsidP="00ED48A3">
            <w:pPr>
              <w:keepNext/>
              <w:tabs>
                <w:tab w:val="left" w:pos="562"/>
              </w:tabs>
              <w:suppressAutoHyphens/>
            </w:pPr>
            <w:r w:rsidRPr="001B4A02">
              <w:t>hs-CRP</w:t>
            </w:r>
            <w:r w:rsidRPr="001B4A02">
              <w:rPr>
                <w:vertAlign w:val="superscript"/>
              </w:rPr>
              <w:t>d,f,g</w:t>
            </w:r>
          </w:p>
        </w:tc>
        <w:tc>
          <w:tcPr>
            <w:tcW w:w="1939" w:type="dxa"/>
            <w:tcBorders>
              <w:top w:val="single" w:sz="4" w:space="0" w:color="auto"/>
              <w:left w:val="single" w:sz="4" w:space="0" w:color="auto"/>
              <w:bottom w:val="single" w:sz="4" w:space="0" w:color="auto"/>
              <w:right w:val="single" w:sz="4" w:space="0" w:color="auto"/>
            </w:tcBorders>
          </w:tcPr>
          <w:p w14:paraId="3E17FAA2" w14:textId="77777777" w:rsidR="009D0EC8" w:rsidRPr="001B4A02" w:rsidRDefault="00000000" w:rsidP="00ED48A3">
            <w:pPr>
              <w:keepNext/>
              <w:tabs>
                <w:tab w:val="left" w:pos="562"/>
              </w:tabs>
              <w:suppressAutoHyphens/>
              <w:jc w:val="center"/>
            </w:pPr>
            <w:r w:rsidRPr="001B4A02">
              <w:t>-0.3</w:t>
            </w:r>
          </w:p>
        </w:tc>
        <w:tc>
          <w:tcPr>
            <w:tcW w:w="1900" w:type="dxa"/>
            <w:tcBorders>
              <w:top w:val="single" w:sz="4" w:space="0" w:color="auto"/>
              <w:left w:val="single" w:sz="4" w:space="0" w:color="auto"/>
              <w:bottom w:val="single" w:sz="4" w:space="0" w:color="auto"/>
              <w:right w:val="single" w:sz="4" w:space="0" w:color="auto"/>
            </w:tcBorders>
          </w:tcPr>
          <w:p w14:paraId="38F6E4D4" w14:textId="77777777" w:rsidR="009D0EC8" w:rsidRPr="001B4A02" w:rsidRDefault="00000000" w:rsidP="00ED48A3">
            <w:pPr>
              <w:keepNext/>
              <w:tabs>
                <w:tab w:val="left" w:pos="562"/>
              </w:tabs>
              <w:suppressAutoHyphens/>
              <w:jc w:val="center"/>
            </w:pPr>
            <w:r w:rsidRPr="001B4A02">
              <w:t>-4.7***</w:t>
            </w:r>
          </w:p>
        </w:tc>
      </w:tr>
      <w:tr w:rsidR="00534A2D" w14:paraId="079C452E" w14:textId="77777777" w:rsidTr="008D783A">
        <w:trPr>
          <w:jc w:val="center"/>
        </w:trPr>
        <w:tc>
          <w:tcPr>
            <w:tcW w:w="4820" w:type="dxa"/>
            <w:tcBorders>
              <w:top w:val="single" w:sz="4" w:space="0" w:color="auto"/>
              <w:left w:val="single" w:sz="4" w:space="0" w:color="auto"/>
              <w:bottom w:val="single" w:sz="4" w:space="0" w:color="auto"/>
              <w:right w:val="single" w:sz="4" w:space="0" w:color="auto"/>
            </w:tcBorders>
          </w:tcPr>
          <w:p w14:paraId="37124113" w14:textId="77777777" w:rsidR="009D0EC8" w:rsidRPr="001B4A02" w:rsidRDefault="00000000" w:rsidP="00ED48A3">
            <w:pPr>
              <w:keepNext/>
              <w:tabs>
                <w:tab w:val="left" w:pos="562"/>
              </w:tabs>
              <w:suppressAutoHyphens/>
            </w:pPr>
            <w:r w:rsidRPr="001B4A02">
              <w:t>SPARCC</w:t>
            </w:r>
            <w:r w:rsidRPr="001B4A02">
              <w:rPr>
                <w:vertAlign w:val="superscript"/>
              </w:rPr>
              <w:t>h</w:t>
            </w:r>
            <w:r w:rsidRPr="001B4A02">
              <w:t xml:space="preserve"> MRI sakroiliakální klouby</w:t>
            </w:r>
            <w:r w:rsidRPr="001B4A02">
              <w:rPr>
                <w:vertAlign w:val="superscript"/>
              </w:rPr>
              <w:t>d,i</w:t>
            </w:r>
          </w:p>
        </w:tc>
        <w:tc>
          <w:tcPr>
            <w:tcW w:w="1939" w:type="dxa"/>
            <w:tcBorders>
              <w:top w:val="single" w:sz="4" w:space="0" w:color="auto"/>
              <w:left w:val="single" w:sz="4" w:space="0" w:color="auto"/>
              <w:bottom w:val="single" w:sz="4" w:space="0" w:color="auto"/>
              <w:right w:val="single" w:sz="4" w:space="0" w:color="auto"/>
            </w:tcBorders>
          </w:tcPr>
          <w:p w14:paraId="52574B8B" w14:textId="77777777" w:rsidR="009D0EC8" w:rsidRPr="001B4A02" w:rsidRDefault="00000000" w:rsidP="00ED48A3">
            <w:pPr>
              <w:keepNext/>
              <w:tabs>
                <w:tab w:val="left" w:pos="562"/>
              </w:tabs>
              <w:suppressAutoHyphens/>
              <w:jc w:val="center"/>
            </w:pPr>
            <w:r w:rsidRPr="001B4A02">
              <w:t>-0.6</w:t>
            </w:r>
          </w:p>
        </w:tc>
        <w:tc>
          <w:tcPr>
            <w:tcW w:w="1900" w:type="dxa"/>
            <w:tcBorders>
              <w:top w:val="single" w:sz="4" w:space="0" w:color="auto"/>
              <w:left w:val="single" w:sz="4" w:space="0" w:color="auto"/>
              <w:bottom w:val="single" w:sz="4" w:space="0" w:color="auto"/>
              <w:right w:val="single" w:sz="4" w:space="0" w:color="auto"/>
            </w:tcBorders>
          </w:tcPr>
          <w:p w14:paraId="79FA04EF" w14:textId="77777777" w:rsidR="009D0EC8" w:rsidRPr="001B4A02" w:rsidRDefault="00000000" w:rsidP="00ED48A3">
            <w:pPr>
              <w:keepNext/>
              <w:tabs>
                <w:tab w:val="left" w:pos="562"/>
              </w:tabs>
              <w:suppressAutoHyphens/>
              <w:jc w:val="center"/>
            </w:pPr>
            <w:r w:rsidRPr="001B4A02">
              <w:t>-3.2**</w:t>
            </w:r>
          </w:p>
        </w:tc>
      </w:tr>
      <w:tr w:rsidR="00534A2D" w14:paraId="139C795B" w14:textId="77777777" w:rsidTr="008D783A">
        <w:trPr>
          <w:jc w:val="center"/>
        </w:trPr>
        <w:tc>
          <w:tcPr>
            <w:tcW w:w="4820" w:type="dxa"/>
            <w:tcBorders>
              <w:top w:val="single" w:sz="4" w:space="0" w:color="auto"/>
              <w:left w:val="single" w:sz="4" w:space="0" w:color="auto"/>
              <w:bottom w:val="single" w:sz="4" w:space="0" w:color="auto"/>
              <w:right w:val="single" w:sz="4" w:space="0" w:color="auto"/>
            </w:tcBorders>
          </w:tcPr>
          <w:p w14:paraId="1116AF09" w14:textId="77777777" w:rsidR="009D0EC8" w:rsidRPr="001B4A02" w:rsidRDefault="00000000" w:rsidP="00ED48A3">
            <w:pPr>
              <w:keepNext/>
              <w:tabs>
                <w:tab w:val="left" w:pos="562"/>
              </w:tabs>
              <w:suppressAutoHyphens/>
            </w:pPr>
            <w:r w:rsidRPr="001B4A02">
              <w:t>SPARCC MRI páteř</w:t>
            </w:r>
            <w:r w:rsidRPr="001B4A02">
              <w:rPr>
                <w:vertAlign w:val="superscript"/>
              </w:rPr>
              <w:t>d,j</w:t>
            </w:r>
          </w:p>
        </w:tc>
        <w:tc>
          <w:tcPr>
            <w:tcW w:w="1939" w:type="dxa"/>
            <w:tcBorders>
              <w:top w:val="single" w:sz="4" w:space="0" w:color="auto"/>
              <w:left w:val="single" w:sz="4" w:space="0" w:color="auto"/>
              <w:bottom w:val="single" w:sz="4" w:space="0" w:color="auto"/>
              <w:right w:val="single" w:sz="4" w:space="0" w:color="auto"/>
            </w:tcBorders>
          </w:tcPr>
          <w:p w14:paraId="2E459E06" w14:textId="77777777" w:rsidR="009D0EC8" w:rsidRPr="001B4A02" w:rsidRDefault="00000000" w:rsidP="00ED48A3">
            <w:pPr>
              <w:keepNext/>
              <w:tabs>
                <w:tab w:val="left" w:pos="562"/>
              </w:tabs>
              <w:suppressAutoHyphens/>
              <w:jc w:val="center"/>
            </w:pPr>
            <w:r w:rsidRPr="001B4A02">
              <w:t>-0.2</w:t>
            </w:r>
          </w:p>
        </w:tc>
        <w:tc>
          <w:tcPr>
            <w:tcW w:w="1900" w:type="dxa"/>
            <w:tcBorders>
              <w:top w:val="single" w:sz="4" w:space="0" w:color="auto"/>
              <w:left w:val="single" w:sz="4" w:space="0" w:color="auto"/>
              <w:bottom w:val="single" w:sz="4" w:space="0" w:color="auto"/>
              <w:right w:val="single" w:sz="4" w:space="0" w:color="auto"/>
            </w:tcBorders>
          </w:tcPr>
          <w:p w14:paraId="3FCC1709" w14:textId="77777777" w:rsidR="009D0EC8" w:rsidRPr="001B4A02" w:rsidRDefault="00000000" w:rsidP="00ED48A3">
            <w:pPr>
              <w:keepNext/>
              <w:tabs>
                <w:tab w:val="left" w:pos="562"/>
              </w:tabs>
              <w:suppressAutoHyphens/>
              <w:jc w:val="center"/>
            </w:pPr>
            <w:r w:rsidRPr="001B4A02">
              <w:t>-1.8**</w:t>
            </w:r>
          </w:p>
        </w:tc>
      </w:tr>
      <w:tr w:rsidR="00534A2D" w14:paraId="02A5B802" w14:textId="77777777" w:rsidTr="008D783A">
        <w:trPr>
          <w:jc w:val="center"/>
        </w:trPr>
        <w:tc>
          <w:tcPr>
            <w:tcW w:w="8659" w:type="dxa"/>
            <w:gridSpan w:val="3"/>
            <w:tcBorders>
              <w:top w:val="single" w:sz="4" w:space="0" w:color="auto"/>
              <w:left w:val="nil"/>
              <w:bottom w:val="nil"/>
              <w:right w:val="nil"/>
            </w:tcBorders>
          </w:tcPr>
          <w:p w14:paraId="74E85DAA" w14:textId="77777777" w:rsidR="009D0EC8" w:rsidRPr="000C0B0A" w:rsidRDefault="00000000" w:rsidP="00ED48A3">
            <w:pPr>
              <w:keepNext/>
              <w:tabs>
                <w:tab w:val="left" w:pos="708"/>
              </w:tabs>
              <w:autoSpaceDE w:val="0"/>
              <w:autoSpaceDN w:val="0"/>
              <w:adjustRightInd w:val="0"/>
              <w:rPr>
                <w:szCs w:val="22"/>
              </w:rPr>
            </w:pPr>
            <w:r w:rsidRPr="000C0B0A">
              <w:rPr>
                <w:szCs w:val="22"/>
                <w:vertAlign w:val="superscript"/>
              </w:rPr>
              <w:t>a</w:t>
            </w:r>
            <w:r w:rsidRPr="000C0B0A">
              <w:rPr>
                <w:szCs w:val="22"/>
              </w:rPr>
              <w:t xml:space="preserve"> ASAS = Assessments in Spondylo</w:t>
            </w:r>
            <w:r w:rsidR="00254C37">
              <w:rPr>
                <w:szCs w:val="22"/>
              </w:rPr>
              <w:t>A</w:t>
            </w:r>
            <w:r w:rsidRPr="000C0B0A">
              <w:rPr>
                <w:szCs w:val="22"/>
              </w:rPr>
              <w:t>rthritis International Society, stanovení stupně AS</w:t>
            </w:r>
          </w:p>
          <w:p w14:paraId="115E3926" w14:textId="77777777" w:rsidR="009D0EC8" w:rsidRPr="000C0B0A" w:rsidRDefault="00000000" w:rsidP="00ED48A3">
            <w:pPr>
              <w:pStyle w:val="EMEANormal"/>
              <w:keepNext/>
              <w:ind w:left="20"/>
              <w:rPr>
                <w:szCs w:val="22"/>
                <w:lang w:val="cs-CZ"/>
              </w:rPr>
            </w:pPr>
            <w:r w:rsidRPr="000C0B0A">
              <w:rPr>
                <w:szCs w:val="22"/>
                <w:vertAlign w:val="superscript"/>
                <w:lang w:val="cs-CZ"/>
              </w:rPr>
              <w:t>b</w:t>
            </w:r>
            <w:r w:rsidRPr="000C0B0A">
              <w:rPr>
                <w:szCs w:val="22"/>
                <w:lang w:val="cs-CZ"/>
              </w:rPr>
              <w:t xml:space="preserve"> Bath Ankylosing Spondylitis Disease Activity Index</w:t>
            </w:r>
          </w:p>
          <w:p w14:paraId="66C319FB" w14:textId="77777777" w:rsidR="009D0EC8" w:rsidRPr="00A05B57" w:rsidRDefault="00000000" w:rsidP="00ED48A3">
            <w:pPr>
              <w:pStyle w:val="EMEANormal"/>
              <w:keepNext/>
              <w:ind w:left="20"/>
              <w:rPr>
                <w:szCs w:val="22"/>
                <w:vertAlign w:val="superscript"/>
                <w:lang w:val="cs-CZ"/>
              </w:rPr>
            </w:pPr>
            <w:r w:rsidRPr="00777D77">
              <w:rPr>
                <w:szCs w:val="22"/>
                <w:vertAlign w:val="superscript"/>
                <w:lang w:val="cs-CZ"/>
              </w:rPr>
              <w:t>c</w:t>
            </w:r>
            <w:r w:rsidRPr="00A05B57">
              <w:rPr>
                <w:szCs w:val="22"/>
                <w:lang w:val="cs-CZ"/>
              </w:rPr>
              <w:t xml:space="preserve"> Ankylosing Spondylitis Disease Activity Score</w:t>
            </w:r>
          </w:p>
          <w:p w14:paraId="65C88E58" w14:textId="77777777" w:rsidR="009D0EC8" w:rsidRPr="00777D77" w:rsidRDefault="00000000" w:rsidP="00ED48A3">
            <w:pPr>
              <w:pStyle w:val="EMEANormal"/>
              <w:keepNext/>
              <w:ind w:left="20"/>
              <w:rPr>
                <w:szCs w:val="22"/>
                <w:lang w:val="cs-CZ"/>
              </w:rPr>
            </w:pPr>
            <w:r w:rsidRPr="00777D77">
              <w:rPr>
                <w:szCs w:val="22"/>
                <w:vertAlign w:val="superscript"/>
                <w:lang w:val="cs-CZ"/>
              </w:rPr>
              <w:t>d</w:t>
            </w:r>
            <w:r w:rsidRPr="00777D77">
              <w:rPr>
                <w:szCs w:val="22"/>
                <w:lang w:val="cs-CZ"/>
              </w:rPr>
              <w:t xml:space="preserve"> střední hodnota v</w:t>
            </w:r>
            <w:r w:rsidR="00B176EA" w:rsidRPr="00777D77">
              <w:rPr>
                <w:szCs w:val="22"/>
                <w:lang w:val="cs-CZ"/>
              </w:rPr>
              <w:t> </w:t>
            </w:r>
            <w:r w:rsidRPr="00777D77">
              <w:rPr>
                <w:szCs w:val="22"/>
                <w:lang w:val="cs-CZ"/>
              </w:rPr>
              <w:t>porovnání s</w:t>
            </w:r>
            <w:r w:rsidR="00B176EA" w:rsidRPr="00777D77">
              <w:rPr>
                <w:szCs w:val="22"/>
                <w:lang w:val="cs-CZ"/>
              </w:rPr>
              <w:t> </w:t>
            </w:r>
            <w:r w:rsidRPr="00777D77">
              <w:rPr>
                <w:szCs w:val="22"/>
                <w:lang w:val="cs-CZ"/>
              </w:rPr>
              <w:t>výchozí hodnotou</w:t>
            </w:r>
          </w:p>
          <w:p w14:paraId="5A09AFD7" w14:textId="77777777" w:rsidR="009D0EC8" w:rsidRPr="00777D77" w:rsidRDefault="00000000" w:rsidP="00ED48A3">
            <w:pPr>
              <w:pStyle w:val="EMEANormal"/>
              <w:keepNext/>
              <w:ind w:left="20"/>
              <w:rPr>
                <w:szCs w:val="22"/>
                <w:lang w:val="cs-CZ"/>
              </w:rPr>
            </w:pPr>
            <w:r w:rsidRPr="00777D77">
              <w:rPr>
                <w:szCs w:val="22"/>
                <w:vertAlign w:val="superscript"/>
                <w:lang w:val="cs-CZ"/>
              </w:rPr>
              <w:t>e</w:t>
            </w:r>
            <w:r w:rsidRPr="00777D77">
              <w:rPr>
                <w:szCs w:val="22"/>
                <w:lang w:val="cs-CZ"/>
              </w:rPr>
              <w:t xml:space="preserve"> n=91 placebo</w:t>
            </w:r>
            <w:r w:rsidR="002378E0">
              <w:rPr>
                <w:szCs w:val="22"/>
                <w:lang w:val="cs-CZ"/>
              </w:rPr>
              <w:t xml:space="preserve"> a </w:t>
            </w:r>
            <w:r w:rsidRPr="00777D77">
              <w:rPr>
                <w:szCs w:val="22"/>
                <w:lang w:val="cs-CZ"/>
              </w:rPr>
              <w:t>n=87 Humira</w:t>
            </w:r>
          </w:p>
          <w:p w14:paraId="40ABBE32" w14:textId="77777777" w:rsidR="009D0EC8" w:rsidRPr="00777D77" w:rsidRDefault="00000000" w:rsidP="00ED48A3">
            <w:pPr>
              <w:pStyle w:val="EMEANormal"/>
              <w:keepNext/>
              <w:ind w:left="20"/>
              <w:rPr>
                <w:szCs w:val="22"/>
                <w:lang w:val="cs-CZ"/>
              </w:rPr>
            </w:pPr>
            <w:r w:rsidRPr="00777D77">
              <w:rPr>
                <w:szCs w:val="22"/>
                <w:vertAlign w:val="superscript"/>
                <w:lang w:val="cs-CZ"/>
              </w:rPr>
              <w:t>f</w:t>
            </w:r>
            <w:r w:rsidRPr="00777D77">
              <w:rPr>
                <w:szCs w:val="22"/>
                <w:lang w:val="cs-CZ"/>
              </w:rPr>
              <w:t xml:space="preserve"> vysoká citlivost C-reaktivního proteinu (mg/l)</w:t>
            </w:r>
          </w:p>
          <w:p w14:paraId="17AC5E02" w14:textId="77777777" w:rsidR="009D0EC8" w:rsidRPr="00777D77" w:rsidRDefault="00000000" w:rsidP="00ED48A3">
            <w:pPr>
              <w:pStyle w:val="EMEANormal"/>
              <w:keepNext/>
              <w:ind w:left="20"/>
              <w:rPr>
                <w:szCs w:val="22"/>
                <w:lang w:val="cs-CZ"/>
              </w:rPr>
            </w:pPr>
            <w:r w:rsidRPr="00777D77">
              <w:rPr>
                <w:szCs w:val="22"/>
                <w:vertAlign w:val="superscript"/>
                <w:lang w:val="cs-CZ"/>
              </w:rPr>
              <w:t>g</w:t>
            </w:r>
            <w:r w:rsidRPr="00777D77">
              <w:rPr>
                <w:szCs w:val="22"/>
                <w:lang w:val="cs-CZ"/>
              </w:rPr>
              <w:t xml:space="preserve"> n=73 placebo</w:t>
            </w:r>
            <w:r w:rsidR="002378E0">
              <w:rPr>
                <w:szCs w:val="22"/>
                <w:lang w:val="cs-CZ"/>
              </w:rPr>
              <w:t xml:space="preserve"> a </w:t>
            </w:r>
            <w:r w:rsidRPr="00777D77">
              <w:rPr>
                <w:szCs w:val="22"/>
                <w:lang w:val="cs-CZ"/>
              </w:rPr>
              <w:t>n=70 Humira</w:t>
            </w:r>
          </w:p>
          <w:p w14:paraId="4A9F1E09" w14:textId="77777777" w:rsidR="009D0EC8" w:rsidRPr="00777D77" w:rsidRDefault="00000000" w:rsidP="00ED48A3">
            <w:pPr>
              <w:pStyle w:val="EMEANormal"/>
              <w:keepNext/>
              <w:ind w:left="20"/>
              <w:rPr>
                <w:szCs w:val="22"/>
                <w:lang w:val="cs-CZ"/>
              </w:rPr>
            </w:pPr>
            <w:r w:rsidRPr="00777D77">
              <w:rPr>
                <w:szCs w:val="22"/>
                <w:vertAlign w:val="superscript"/>
                <w:lang w:val="cs-CZ"/>
              </w:rPr>
              <w:t>h</w:t>
            </w:r>
            <w:r w:rsidRPr="00777D77">
              <w:rPr>
                <w:szCs w:val="22"/>
                <w:lang w:val="cs-CZ"/>
              </w:rPr>
              <w:t xml:space="preserve"> Spondyloarthritis Research Consortium of Canada</w:t>
            </w:r>
          </w:p>
          <w:p w14:paraId="555018A8" w14:textId="77777777" w:rsidR="009D0EC8" w:rsidRPr="00777D77" w:rsidRDefault="00000000" w:rsidP="00ED48A3">
            <w:pPr>
              <w:pStyle w:val="EMEANormal"/>
              <w:keepNext/>
              <w:ind w:left="20"/>
              <w:rPr>
                <w:szCs w:val="22"/>
                <w:lang w:val="cs-CZ"/>
              </w:rPr>
            </w:pPr>
            <w:r w:rsidRPr="00777D77">
              <w:rPr>
                <w:szCs w:val="22"/>
                <w:vertAlign w:val="superscript"/>
                <w:lang w:val="cs-CZ"/>
              </w:rPr>
              <w:t>i</w:t>
            </w:r>
            <w:r w:rsidRPr="00777D77">
              <w:rPr>
                <w:szCs w:val="22"/>
                <w:lang w:val="cs-CZ"/>
              </w:rPr>
              <w:t xml:space="preserve"> n=84 placebo</w:t>
            </w:r>
            <w:r w:rsidR="002378E0">
              <w:rPr>
                <w:szCs w:val="22"/>
                <w:lang w:val="cs-CZ"/>
              </w:rPr>
              <w:t xml:space="preserve"> a </w:t>
            </w:r>
            <w:r w:rsidRPr="00777D77">
              <w:rPr>
                <w:szCs w:val="22"/>
                <w:lang w:val="cs-CZ"/>
              </w:rPr>
              <w:t>Humira</w:t>
            </w:r>
          </w:p>
          <w:p w14:paraId="7CCED99E" w14:textId="77777777" w:rsidR="009D0EC8" w:rsidRPr="009A65BD" w:rsidRDefault="00000000" w:rsidP="00ED48A3">
            <w:pPr>
              <w:pStyle w:val="EMEANormal"/>
              <w:keepNext/>
              <w:ind w:left="20"/>
              <w:rPr>
                <w:szCs w:val="22"/>
                <w:lang w:val="cs-CZ"/>
              </w:rPr>
            </w:pPr>
            <w:r w:rsidRPr="00777D77">
              <w:rPr>
                <w:szCs w:val="22"/>
                <w:vertAlign w:val="superscript"/>
                <w:lang w:val="cs-CZ"/>
              </w:rPr>
              <w:t>j</w:t>
            </w:r>
            <w:r w:rsidRPr="00777D77">
              <w:rPr>
                <w:szCs w:val="22"/>
                <w:lang w:val="cs-CZ"/>
              </w:rPr>
              <w:t xml:space="preserve"> n=82 placebo</w:t>
            </w:r>
            <w:r w:rsidR="002378E0">
              <w:rPr>
                <w:szCs w:val="22"/>
                <w:lang w:val="cs-CZ"/>
              </w:rPr>
              <w:t xml:space="preserve"> a </w:t>
            </w:r>
            <w:r w:rsidRPr="00777D77">
              <w:rPr>
                <w:szCs w:val="22"/>
                <w:lang w:val="cs-CZ"/>
              </w:rPr>
              <w:t>n=85 Humira</w:t>
            </w:r>
          </w:p>
          <w:p w14:paraId="267F7484" w14:textId="77777777" w:rsidR="009D0EC8" w:rsidRPr="001B4A02" w:rsidRDefault="00000000" w:rsidP="000C0B0A">
            <w:pPr>
              <w:keepNext/>
              <w:tabs>
                <w:tab w:val="left" w:pos="562"/>
              </w:tabs>
              <w:suppressAutoHyphens/>
              <w:ind w:left="0" w:firstLine="0"/>
              <w:rPr>
                <w:szCs w:val="24"/>
              </w:rPr>
            </w:pPr>
            <w:r w:rsidRPr="000C0B0A">
              <w:rPr>
                <w:szCs w:val="22"/>
              </w:rPr>
              <w:t>***, **, * Statisticky signifikantní při p &lt; 0,001, &lt; 0,01</w:t>
            </w:r>
            <w:r w:rsidR="002378E0">
              <w:rPr>
                <w:szCs w:val="22"/>
              </w:rPr>
              <w:t xml:space="preserve"> a </w:t>
            </w:r>
            <w:r w:rsidRPr="000C0B0A">
              <w:rPr>
                <w:szCs w:val="22"/>
              </w:rPr>
              <w:t>&lt; 0,0</w:t>
            </w:r>
            <w:r w:rsidR="00805938" w:rsidRPr="000C0B0A">
              <w:rPr>
                <w:szCs w:val="22"/>
              </w:rPr>
              <w:t xml:space="preserve"> &lt; 0,0</w:t>
            </w:r>
            <w:r w:rsidRPr="000C0B0A">
              <w:rPr>
                <w:szCs w:val="22"/>
              </w:rPr>
              <w:t>5, v</w:t>
            </w:r>
            <w:r w:rsidR="00B176EA" w:rsidRPr="000C0B0A">
              <w:rPr>
                <w:szCs w:val="22"/>
              </w:rPr>
              <w:t> </w:t>
            </w:r>
            <w:r w:rsidRPr="000C0B0A">
              <w:rPr>
                <w:szCs w:val="22"/>
              </w:rPr>
              <w:t>tomto pořadí, pro všechna srovnání mezi přípravkem Humira</w:t>
            </w:r>
            <w:r w:rsidR="002378E0">
              <w:rPr>
                <w:szCs w:val="22"/>
              </w:rPr>
              <w:t xml:space="preserve"> a </w:t>
            </w:r>
            <w:r w:rsidRPr="000C0B0A">
              <w:rPr>
                <w:szCs w:val="22"/>
              </w:rPr>
              <w:t>placebem.</w:t>
            </w:r>
          </w:p>
        </w:tc>
      </w:tr>
    </w:tbl>
    <w:p w14:paraId="2A90E637" w14:textId="77777777" w:rsidR="00ED3511" w:rsidRPr="001B4A02" w:rsidRDefault="00ED3511" w:rsidP="00ED48A3">
      <w:pPr>
        <w:pStyle w:val="EMEANormal"/>
        <w:rPr>
          <w:lang w:val="cs-CZ"/>
        </w:rPr>
      </w:pPr>
    </w:p>
    <w:p w14:paraId="13DC9C62" w14:textId="77777777" w:rsidR="009D0EC8" w:rsidRPr="001B4A02" w:rsidRDefault="00000000" w:rsidP="00ED48A3">
      <w:pPr>
        <w:pStyle w:val="EMEANormal"/>
        <w:rPr>
          <w:lang w:val="cs-CZ"/>
        </w:rPr>
      </w:pPr>
      <w:r w:rsidRPr="001B4A02">
        <w:rPr>
          <w:lang w:val="cs-CZ"/>
        </w:rPr>
        <w:t>V otevřené fázi prodloužené studie bylo zlepšení příznaků</w:t>
      </w:r>
      <w:r w:rsidR="002378E0">
        <w:rPr>
          <w:lang w:val="cs-CZ"/>
        </w:rPr>
        <w:t xml:space="preserve"> a </w:t>
      </w:r>
      <w:r w:rsidRPr="001B4A02">
        <w:rPr>
          <w:lang w:val="cs-CZ"/>
        </w:rPr>
        <w:t>symptomů udrženo při léčbě přípravkem Humira do týdne 156.</w:t>
      </w:r>
    </w:p>
    <w:p w14:paraId="11682243" w14:textId="77777777" w:rsidR="009D0EC8" w:rsidRPr="001B4A02" w:rsidRDefault="009D0EC8" w:rsidP="00ED48A3">
      <w:pPr>
        <w:pStyle w:val="EMEANormal"/>
        <w:rPr>
          <w:lang w:val="cs-CZ"/>
        </w:rPr>
      </w:pPr>
    </w:p>
    <w:p w14:paraId="62F722D4" w14:textId="77777777" w:rsidR="009D0EC8" w:rsidRPr="001B4A02" w:rsidRDefault="00000000" w:rsidP="00A03600">
      <w:pPr>
        <w:pStyle w:val="EMEANormal"/>
        <w:keepNext/>
        <w:rPr>
          <w:lang w:val="cs-CZ"/>
        </w:rPr>
      </w:pPr>
      <w:r w:rsidRPr="001B4A02">
        <w:rPr>
          <w:lang w:val="cs-CZ"/>
        </w:rPr>
        <w:t>Inhibice zánětu</w:t>
      </w:r>
    </w:p>
    <w:p w14:paraId="3E000B96" w14:textId="77777777" w:rsidR="009D0EC8" w:rsidRPr="001B4A02" w:rsidRDefault="009D0EC8" w:rsidP="00A03600">
      <w:pPr>
        <w:pStyle w:val="EMEANormal"/>
        <w:keepNext/>
        <w:rPr>
          <w:lang w:val="cs-CZ"/>
        </w:rPr>
      </w:pPr>
    </w:p>
    <w:p w14:paraId="22C95AE7" w14:textId="77777777" w:rsidR="009D0EC8" w:rsidRPr="001B4A02" w:rsidRDefault="00000000" w:rsidP="00ED48A3">
      <w:pPr>
        <w:pStyle w:val="EMEANormal"/>
        <w:rPr>
          <w:lang w:val="cs-CZ"/>
        </w:rPr>
      </w:pPr>
      <w:r w:rsidRPr="001B4A02">
        <w:rPr>
          <w:lang w:val="cs-CZ"/>
        </w:rPr>
        <w:t>U pacientů léčených přípravkem Humira do týdne 156, resp. týdne 104, bylo udrženo významné zlepšení příznaků zánětu měřených hs-CRP</w:t>
      </w:r>
      <w:r w:rsidR="002378E0">
        <w:rPr>
          <w:lang w:val="cs-CZ"/>
        </w:rPr>
        <w:t xml:space="preserve"> a </w:t>
      </w:r>
      <w:r w:rsidRPr="001B4A02">
        <w:rPr>
          <w:lang w:val="cs-CZ"/>
        </w:rPr>
        <w:t>MRI u</w:t>
      </w:r>
      <w:r w:rsidR="00463AD9" w:rsidRPr="001B4A02">
        <w:rPr>
          <w:lang w:val="cs-CZ"/>
        </w:rPr>
        <w:t> </w:t>
      </w:r>
      <w:r w:rsidR="00C55EB8" w:rsidRPr="001B4A02">
        <w:rPr>
          <w:lang w:val="cs-CZ"/>
        </w:rPr>
        <w:t xml:space="preserve">obou </w:t>
      </w:r>
      <w:r w:rsidRPr="001B4A02">
        <w:rPr>
          <w:lang w:val="cs-CZ"/>
        </w:rPr>
        <w:t>sa</w:t>
      </w:r>
      <w:r w:rsidR="008A4562" w:rsidRPr="001B4A02">
        <w:rPr>
          <w:lang w:val="cs-CZ"/>
        </w:rPr>
        <w:t>kroiliakálních kloubů</w:t>
      </w:r>
      <w:r w:rsidR="002378E0">
        <w:rPr>
          <w:lang w:val="cs-CZ"/>
        </w:rPr>
        <w:t xml:space="preserve"> a </w:t>
      </w:r>
      <w:r w:rsidR="008A4562" w:rsidRPr="001B4A02">
        <w:rPr>
          <w:lang w:val="cs-CZ"/>
        </w:rPr>
        <w:t>páteře.</w:t>
      </w:r>
    </w:p>
    <w:p w14:paraId="21B1087E" w14:textId="77777777" w:rsidR="002F53F4" w:rsidRPr="001B4A02" w:rsidRDefault="002F53F4" w:rsidP="00ED48A3">
      <w:pPr>
        <w:pStyle w:val="EMEANormal"/>
        <w:rPr>
          <w:lang w:val="cs-CZ"/>
        </w:rPr>
      </w:pPr>
    </w:p>
    <w:p w14:paraId="1F9F8292" w14:textId="77777777" w:rsidR="009D0EC8" w:rsidRPr="001B4A02" w:rsidRDefault="00000000" w:rsidP="00A03600">
      <w:pPr>
        <w:keepNext/>
      </w:pPr>
      <w:r w:rsidRPr="001B4A02">
        <w:t>Kvalita života</w:t>
      </w:r>
      <w:r w:rsidR="002378E0">
        <w:t xml:space="preserve"> a </w:t>
      </w:r>
      <w:r w:rsidR="002F53F4" w:rsidRPr="001B4A02">
        <w:t>tělesné</w:t>
      </w:r>
      <w:r w:rsidRPr="001B4A02">
        <w:t xml:space="preserve"> funkce</w:t>
      </w:r>
    </w:p>
    <w:p w14:paraId="4560E8BD" w14:textId="77777777" w:rsidR="009D0EC8" w:rsidRPr="001B4A02" w:rsidRDefault="009D0EC8" w:rsidP="00A03600">
      <w:pPr>
        <w:pStyle w:val="EMEANormal"/>
        <w:keepNext/>
        <w:rPr>
          <w:lang w:val="cs-CZ"/>
        </w:rPr>
      </w:pPr>
    </w:p>
    <w:p w14:paraId="31CD825D" w14:textId="77777777" w:rsidR="00ED3511" w:rsidRPr="001B4A02" w:rsidRDefault="00000000" w:rsidP="00ED48A3">
      <w:pPr>
        <w:pStyle w:val="EMEANormal"/>
        <w:rPr>
          <w:lang w:val="cs-CZ"/>
        </w:rPr>
      </w:pPr>
      <w:r w:rsidRPr="001B4A02">
        <w:rPr>
          <w:lang w:val="cs-CZ"/>
        </w:rPr>
        <w:t>Otázka kvality života</w:t>
      </w:r>
      <w:r w:rsidR="002378E0">
        <w:rPr>
          <w:lang w:val="cs-CZ"/>
        </w:rPr>
        <w:t xml:space="preserve"> a </w:t>
      </w:r>
      <w:r w:rsidR="002F53F4" w:rsidRPr="001B4A02">
        <w:rPr>
          <w:lang w:val="cs-CZ"/>
        </w:rPr>
        <w:t>tělesných</w:t>
      </w:r>
      <w:r w:rsidRPr="001B4A02">
        <w:rPr>
          <w:lang w:val="cs-CZ"/>
        </w:rPr>
        <w:t xml:space="preserve"> funkcí v</w:t>
      </w:r>
      <w:r w:rsidR="00463AD9" w:rsidRPr="001B4A02">
        <w:rPr>
          <w:lang w:val="cs-CZ"/>
        </w:rPr>
        <w:t> </w:t>
      </w:r>
      <w:r w:rsidRPr="001B4A02">
        <w:rPr>
          <w:lang w:val="cs-CZ"/>
        </w:rPr>
        <w:t>závislosti na zdraví byla</w:t>
      </w:r>
      <w:r w:rsidR="009D0EC8" w:rsidRPr="001B4A02">
        <w:rPr>
          <w:lang w:val="cs-CZ"/>
        </w:rPr>
        <w:t xml:space="preserve"> </w:t>
      </w:r>
      <w:r w:rsidRPr="001B4A02">
        <w:rPr>
          <w:lang w:val="cs-CZ"/>
        </w:rPr>
        <w:t>hodnocena prostřednictvím dotazníků HAQ-S</w:t>
      </w:r>
      <w:r w:rsidR="002378E0">
        <w:rPr>
          <w:lang w:val="cs-CZ"/>
        </w:rPr>
        <w:t xml:space="preserve"> a </w:t>
      </w:r>
      <w:r w:rsidRPr="001B4A02">
        <w:rPr>
          <w:lang w:val="cs-CZ"/>
        </w:rPr>
        <w:t>SF-36. Přípravek Humira prokázal statisticky signifikant</w:t>
      </w:r>
      <w:r w:rsidR="00BF19E8">
        <w:rPr>
          <w:lang w:val="cs-CZ"/>
        </w:rPr>
        <w:t>n</w:t>
      </w:r>
      <w:r w:rsidRPr="001B4A02">
        <w:rPr>
          <w:lang w:val="cs-CZ"/>
        </w:rPr>
        <w:t>ě vyšší zlepšení v</w:t>
      </w:r>
      <w:r w:rsidR="008A4562" w:rsidRPr="001B4A02">
        <w:rPr>
          <w:lang w:val="cs-CZ"/>
        </w:rPr>
        <w:t> </w:t>
      </w:r>
      <w:r w:rsidRPr="001B4A02">
        <w:rPr>
          <w:lang w:val="cs-CZ"/>
        </w:rPr>
        <w:t>celkovém skóre HAQ-S</w:t>
      </w:r>
      <w:r w:rsidR="002378E0">
        <w:rPr>
          <w:lang w:val="cs-CZ"/>
        </w:rPr>
        <w:t xml:space="preserve"> a </w:t>
      </w:r>
      <w:r w:rsidRPr="001B4A02">
        <w:rPr>
          <w:lang w:val="cs-CZ"/>
        </w:rPr>
        <w:t xml:space="preserve">ve skóre </w:t>
      </w:r>
      <w:r w:rsidR="002F53F4" w:rsidRPr="001B4A02">
        <w:rPr>
          <w:lang w:val="cs-CZ"/>
        </w:rPr>
        <w:t>tělesných</w:t>
      </w:r>
      <w:r w:rsidRPr="001B4A02">
        <w:rPr>
          <w:lang w:val="cs-CZ"/>
        </w:rPr>
        <w:t xml:space="preserve"> funkcí (Physical Component Score, PCS) dotazníku SF-36 při porovnání výchozího stavu s</w:t>
      </w:r>
      <w:r w:rsidR="00463AD9" w:rsidRPr="001B4A02">
        <w:rPr>
          <w:lang w:val="cs-CZ"/>
        </w:rPr>
        <w:t> </w:t>
      </w:r>
      <w:r w:rsidRPr="001B4A02">
        <w:rPr>
          <w:lang w:val="cs-CZ"/>
        </w:rPr>
        <w:t>týdnem 12 v</w:t>
      </w:r>
      <w:r w:rsidR="00463AD9" w:rsidRPr="001B4A02">
        <w:rPr>
          <w:lang w:val="cs-CZ"/>
        </w:rPr>
        <w:t> </w:t>
      </w:r>
      <w:r w:rsidRPr="001B4A02">
        <w:rPr>
          <w:lang w:val="cs-CZ"/>
        </w:rPr>
        <w:t>porovnání s</w:t>
      </w:r>
      <w:r w:rsidR="00463AD9" w:rsidRPr="001B4A02">
        <w:rPr>
          <w:lang w:val="cs-CZ"/>
        </w:rPr>
        <w:t> </w:t>
      </w:r>
      <w:r w:rsidRPr="001B4A02">
        <w:rPr>
          <w:lang w:val="cs-CZ"/>
        </w:rPr>
        <w:t>placebem.</w:t>
      </w:r>
      <w:r w:rsidR="009D0EC8" w:rsidRPr="001B4A02">
        <w:rPr>
          <w:lang w:val="cs-CZ"/>
        </w:rPr>
        <w:t xml:space="preserve"> Během otevřené fáze prodloužené studie bylo udrženo zlepšení kvality života</w:t>
      </w:r>
      <w:r w:rsidR="002378E0">
        <w:rPr>
          <w:lang w:val="cs-CZ"/>
        </w:rPr>
        <w:t xml:space="preserve"> a </w:t>
      </w:r>
      <w:r w:rsidR="002F53F4" w:rsidRPr="001B4A02">
        <w:rPr>
          <w:lang w:val="cs-CZ"/>
        </w:rPr>
        <w:t>tělesných</w:t>
      </w:r>
      <w:r w:rsidR="009D0EC8" w:rsidRPr="001B4A02">
        <w:rPr>
          <w:lang w:val="cs-CZ"/>
        </w:rPr>
        <w:t xml:space="preserve"> funkcí do týdne 156.</w:t>
      </w:r>
    </w:p>
    <w:p w14:paraId="340EEC3F" w14:textId="77777777" w:rsidR="00A05B57" w:rsidRDefault="00A05B57" w:rsidP="00A05B57">
      <w:pPr>
        <w:ind w:left="0" w:firstLine="0"/>
      </w:pPr>
    </w:p>
    <w:p w14:paraId="3B8A0B26" w14:textId="77777777" w:rsidR="00A05B57" w:rsidRPr="006A036C" w:rsidRDefault="00000000" w:rsidP="00A05B57">
      <w:pPr>
        <w:pStyle w:val="EMEANormal"/>
        <w:keepNext/>
        <w:rPr>
          <w:szCs w:val="22"/>
          <w:lang w:val="cs-CZ"/>
        </w:rPr>
      </w:pPr>
      <w:r w:rsidRPr="006A036C">
        <w:rPr>
          <w:szCs w:val="22"/>
          <w:lang w:val="cs-CZ"/>
        </w:rPr>
        <w:t>Studie nr-axSpA II</w:t>
      </w:r>
    </w:p>
    <w:p w14:paraId="39DA779D" w14:textId="77777777" w:rsidR="00A05B57" w:rsidRPr="006A036C" w:rsidRDefault="00A05B57" w:rsidP="00A05B57">
      <w:pPr>
        <w:pStyle w:val="EMEANormal"/>
        <w:keepNext/>
        <w:rPr>
          <w:szCs w:val="22"/>
          <w:lang w:val="cs-CZ"/>
        </w:rPr>
      </w:pPr>
    </w:p>
    <w:p w14:paraId="0D2B8E77" w14:textId="77777777" w:rsidR="00A05B57" w:rsidRPr="002F2C3D" w:rsidRDefault="00000000" w:rsidP="00A05B57">
      <w:pPr>
        <w:pStyle w:val="EMEANormal"/>
        <w:rPr>
          <w:szCs w:val="22"/>
          <w:lang w:val="cs-CZ"/>
        </w:rPr>
      </w:pPr>
      <w:r w:rsidRPr="002F2C3D">
        <w:rPr>
          <w:szCs w:val="22"/>
          <w:lang w:val="cs-CZ"/>
        </w:rPr>
        <w:t>673 pacientů s</w:t>
      </w:r>
      <w:r>
        <w:rPr>
          <w:szCs w:val="22"/>
          <w:lang w:val="cs-CZ"/>
        </w:rPr>
        <w:t> </w:t>
      </w:r>
      <w:r w:rsidRPr="002F2C3D">
        <w:rPr>
          <w:szCs w:val="22"/>
          <w:lang w:val="cs-CZ"/>
        </w:rPr>
        <w:t>aktivní nr-axSpA (průměrná výchozí aktivita onemocnění [BASDAI] byla 7,0)</w:t>
      </w:r>
      <w:r>
        <w:rPr>
          <w:szCs w:val="22"/>
          <w:lang w:val="cs-CZ"/>
        </w:rPr>
        <w:t xml:space="preserve"> s nedostatečnou odpovědí</w:t>
      </w:r>
      <w:r w:rsidRPr="002F2C3D">
        <w:rPr>
          <w:szCs w:val="22"/>
          <w:lang w:val="cs-CZ"/>
        </w:rPr>
        <w:t xml:space="preserve"> na </w:t>
      </w:r>
      <w:r w:rsidRPr="002F2C3D">
        <w:rPr>
          <w:rFonts w:ascii="Symbol" w:hAnsi="Symbol"/>
          <w:szCs w:val="22"/>
          <w:lang w:val="cs-CZ"/>
        </w:rPr>
        <w:sym w:font="Symbol" w:char="F0B3"/>
      </w:r>
      <w:r w:rsidRPr="002F2C3D">
        <w:rPr>
          <w:szCs w:val="22"/>
          <w:lang w:val="cs-CZ"/>
        </w:rPr>
        <w:t> 2 NSAID nebo intoleranc</w:t>
      </w:r>
      <w:r>
        <w:rPr>
          <w:szCs w:val="22"/>
          <w:lang w:val="cs-CZ"/>
        </w:rPr>
        <w:t xml:space="preserve">í či kontraindikací </w:t>
      </w:r>
      <w:r w:rsidRPr="002F2C3D">
        <w:rPr>
          <w:szCs w:val="22"/>
          <w:lang w:val="cs-CZ"/>
        </w:rPr>
        <w:t xml:space="preserve">NSAID </w:t>
      </w:r>
      <w:r w:rsidRPr="006A036C">
        <w:rPr>
          <w:szCs w:val="22"/>
          <w:lang w:val="cs-CZ"/>
        </w:rPr>
        <w:t>bylo zařazeno</w:t>
      </w:r>
      <w:r w:rsidRPr="002F2C3D">
        <w:rPr>
          <w:szCs w:val="22"/>
          <w:lang w:val="cs-CZ"/>
        </w:rPr>
        <w:t xml:space="preserve"> do otevřené f</w:t>
      </w:r>
      <w:r w:rsidRPr="006A036C">
        <w:rPr>
          <w:szCs w:val="22"/>
          <w:lang w:val="cs-CZ"/>
        </w:rPr>
        <w:t>á</w:t>
      </w:r>
      <w:r w:rsidRPr="002F2C3D">
        <w:rPr>
          <w:szCs w:val="22"/>
          <w:lang w:val="cs-CZ"/>
        </w:rPr>
        <w:t>ze studie nr-axSpA II, během které dostávali přípravek Humira 40</w:t>
      </w:r>
      <w:r w:rsidR="00F365E7">
        <w:rPr>
          <w:szCs w:val="22"/>
          <w:lang w:val="cs-CZ"/>
        </w:rPr>
        <w:t> mg</w:t>
      </w:r>
      <w:r w:rsidRPr="002F2C3D">
        <w:rPr>
          <w:szCs w:val="22"/>
          <w:lang w:val="cs-CZ"/>
        </w:rPr>
        <w:t xml:space="preserve"> každý druhý týden po dobu 28 týdnů.</w:t>
      </w:r>
      <w:r w:rsidRPr="006A036C">
        <w:rPr>
          <w:szCs w:val="22"/>
          <w:lang w:val="cs-CZ"/>
        </w:rPr>
        <w:t xml:space="preserve"> Tito pacienti měli také objektivní průkaz zánětu sakroiliakálních kloubů nebo páteře</w:t>
      </w:r>
      <w:r w:rsidRPr="001849E8">
        <w:rPr>
          <w:szCs w:val="22"/>
          <w:lang w:val="cs-CZ"/>
        </w:rPr>
        <w:t xml:space="preserve"> na MR</w:t>
      </w:r>
      <w:r>
        <w:rPr>
          <w:szCs w:val="22"/>
          <w:lang w:val="cs-CZ"/>
        </w:rPr>
        <w:t>I</w:t>
      </w:r>
      <w:r w:rsidRPr="001849E8">
        <w:rPr>
          <w:szCs w:val="22"/>
          <w:lang w:val="cs-CZ"/>
        </w:rPr>
        <w:t xml:space="preserve"> nebo zvýšenou hladinu hs-CRP. Pacienti, kteří dostáhli trvalé remise po dobu nejméně 12 týdnů (</w:t>
      </w:r>
      <w:r w:rsidR="00B90B5A">
        <w:rPr>
          <w:szCs w:val="22"/>
          <w:lang w:val="cs-CZ"/>
        </w:rPr>
        <w:t>n</w:t>
      </w:r>
      <w:r w:rsidRPr="001849E8">
        <w:rPr>
          <w:szCs w:val="22"/>
          <w:lang w:val="cs-CZ"/>
        </w:rPr>
        <w:t xml:space="preserve">=305) </w:t>
      </w:r>
      <w:r w:rsidRPr="002F2C3D">
        <w:rPr>
          <w:szCs w:val="22"/>
          <w:lang w:val="cs-CZ"/>
        </w:rPr>
        <w:t>(ASDAS &lt;</w:t>
      </w:r>
      <w:r>
        <w:rPr>
          <w:szCs w:val="22"/>
          <w:lang w:val="cs-CZ"/>
        </w:rPr>
        <w:t> </w:t>
      </w:r>
      <w:r w:rsidRPr="002F2C3D">
        <w:rPr>
          <w:szCs w:val="22"/>
          <w:lang w:val="cs-CZ"/>
        </w:rPr>
        <w:t>1,3 v týdnech 16, 20, 24</w:t>
      </w:r>
      <w:r w:rsidR="002378E0">
        <w:rPr>
          <w:szCs w:val="22"/>
          <w:lang w:val="cs-CZ"/>
        </w:rPr>
        <w:t xml:space="preserve"> a </w:t>
      </w:r>
      <w:r w:rsidRPr="002F2C3D">
        <w:rPr>
          <w:szCs w:val="22"/>
          <w:lang w:val="cs-CZ"/>
        </w:rPr>
        <w:t xml:space="preserve">28) během otevřené fáze, byli pak randomizováni buď </w:t>
      </w:r>
      <w:r>
        <w:rPr>
          <w:szCs w:val="22"/>
          <w:lang w:val="cs-CZ"/>
        </w:rPr>
        <w:t>na pokračování léčby</w:t>
      </w:r>
      <w:r w:rsidRPr="002F2C3D">
        <w:rPr>
          <w:szCs w:val="22"/>
          <w:lang w:val="cs-CZ"/>
        </w:rPr>
        <w:t xml:space="preserve"> přípravkem Humira 40</w:t>
      </w:r>
      <w:r w:rsidR="00F365E7">
        <w:rPr>
          <w:szCs w:val="22"/>
          <w:lang w:val="cs-CZ"/>
        </w:rPr>
        <w:t> mg</w:t>
      </w:r>
      <w:r w:rsidRPr="002F2C3D">
        <w:rPr>
          <w:szCs w:val="22"/>
          <w:lang w:val="cs-CZ"/>
        </w:rPr>
        <w:t xml:space="preserve"> každý druhý týden (</w:t>
      </w:r>
      <w:r w:rsidR="00B90B5A">
        <w:rPr>
          <w:szCs w:val="22"/>
          <w:lang w:val="cs-CZ"/>
        </w:rPr>
        <w:t>n</w:t>
      </w:r>
      <w:r w:rsidRPr="002F2C3D">
        <w:rPr>
          <w:szCs w:val="22"/>
          <w:lang w:val="cs-CZ"/>
        </w:rPr>
        <w:t>=152)</w:t>
      </w:r>
      <w:r>
        <w:rPr>
          <w:szCs w:val="22"/>
          <w:lang w:val="cs-CZ"/>
        </w:rPr>
        <w:t>,</w:t>
      </w:r>
      <w:r w:rsidRPr="002F2C3D">
        <w:rPr>
          <w:szCs w:val="22"/>
          <w:lang w:val="cs-CZ"/>
        </w:rPr>
        <w:t xml:space="preserve"> nebo </w:t>
      </w:r>
      <w:r>
        <w:rPr>
          <w:szCs w:val="22"/>
          <w:lang w:val="cs-CZ"/>
        </w:rPr>
        <w:t>na</w:t>
      </w:r>
      <w:r w:rsidRPr="002F2C3D">
        <w:rPr>
          <w:szCs w:val="22"/>
          <w:lang w:val="cs-CZ"/>
        </w:rPr>
        <w:t xml:space="preserve"> placeb</w:t>
      </w:r>
      <w:r>
        <w:rPr>
          <w:szCs w:val="22"/>
          <w:lang w:val="cs-CZ"/>
        </w:rPr>
        <w:t>o</w:t>
      </w:r>
      <w:r w:rsidRPr="002F2C3D">
        <w:rPr>
          <w:szCs w:val="22"/>
          <w:lang w:val="cs-CZ"/>
        </w:rPr>
        <w:t xml:space="preserve"> (</w:t>
      </w:r>
      <w:r w:rsidR="00B90B5A">
        <w:rPr>
          <w:szCs w:val="22"/>
          <w:lang w:val="cs-CZ"/>
        </w:rPr>
        <w:t>n</w:t>
      </w:r>
      <w:r w:rsidRPr="002F2C3D">
        <w:rPr>
          <w:szCs w:val="22"/>
          <w:lang w:val="cs-CZ"/>
        </w:rPr>
        <w:t>=153) po dobu dalších 40 týdnů ve dvojitě zaslepené, placebem kontrolované fázi (celková doba trvání studie 68 týdnů).</w:t>
      </w:r>
      <w:r w:rsidRPr="006A036C">
        <w:rPr>
          <w:szCs w:val="22"/>
          <w:lang w:val="cs-CZ"/>
        </w:rPr>
        <w:t xml:space="preserve"> Pacienti, </w:t>
      </w:r>
      <w:r>
        <w:rPr>
          <w:szCs w:val="22"/>
          <w:lang w:val="cs-CZ"/>
        </w:rPr>
        <w:t>u kterých došlo ke</w:t>
      </w:r>
      <w:r w:rsidRPr="006A036C">
        <w:rPr>
          <w:szCs w:val="22"/>
          <w:lang w:val="cs-CZ"/>
        </w:rPr>
        <w:t xml:space="preserve"> vzplanu</w:t>
      </w:r>
      <w:r w:rsidRPr="001849E8">
        <w:rPr>
          <w:szCs w:val="22"/>
          <w:lang w:val="cs-CZ"/>
        </w:rPr>
        <w:t>tí během dvojitě zaslepené fáze, mohli dostávat záchrannou léčbu přípravkem Humira 40 mg každý druhý týden po dobu nejméně 12 týdnů</w:t>
      </w:r>
      <w:r w:rsidRPr="002F2C3D">
        <w:rPr>
          <w:szCs w:val="22"/>
          <w:lang w:val="cs-CZ"/>
        </w:rPr>
        <w:t>.</w:t>
      </w:r>
    </w:p>
    <w:p w14:paraId="5B052932" w14:textId="77777777" w:rsidR="00A05B57" w:rsidRPr="002F2C3D" w:rsidRDefault="00A05B57" w:rsidP="00A05B57">
      <w:pPr>
        <w:pStyle w:val="EMEANormal"/>
        <w:rPr>
          <w:highlight w:val="yellow"/>
          <w:lang w:val="cs-CZ"/>
        </w:rPr>
      </w:pPr>
    </w:p>
    <w:p w14:paraId="700A4551" w14:textId="77777777" w:rsidR="00A05B57" w:rsidRPr="006A036C" w:rsidRDefault="00000000" w:rsidP="00A05B57">
      <w:pPr>
        <w:pStyle w:val="EMEANormal"/>
        <w:rPr>
          <w:lang w:val="cs-CZ"/>
        </w:rPr>
      </w:pPr>
      <w:r w:rsidRPr="002F2C3D">
        <w:rPr>
          <w:lang w:val="cs-CZ"/>
        </w:rPr>
        <w:t>Primární</w:t>
      </w:r>
      <w:r>
        <w:rPr>
          <w:lang w:val="cs-CZ"/>
        </w:rPr>
        <w:t>m</w:t>
      </w:r>
      <w:r w:rsidRPr="002F2C3D">
        <w:rPr>
          <w:lang w:val="cs-CZ"/>
        </w:rPr>
        <w:t xml:space="preserve"> cílový</w:t>
      </w:r>
      <w:r>
        <w:rPr>
          <w:lang w:val="cs-CZ"/>
        </w:rPr>
        <w:t xml:space="preserve">m </w:t>
      </w:r>
      <w:r w:rsidRPr="002F2C3D">
        <w:rPr>
          <w:lang w:val="cs-CZ"/>
        </w:rPr>
        <w:t>ukazatel</w:t>
      </w:r>
      <w:r>
        <w:rPr>
          <w:lang w:val="cs-CZ"/>
        </w:rPr>
        <w:t>em</w:t>
      </w:r>
      <w:r w:rsidRPr="002F2C3D">
        <w:rPr>
          <w:lang w:val="cs-CZ"/>
        </w:rPr>
        <w:t xml:space="preserve"> účinnosti byl podíl pacientů bez vzplanutí do týdne 68 studie. Vzplanutí bylo definováno jako ASDAS ≥</w:t>
      </w:r>
      <w:r>
        <w:rPr>
          <w:lang w:val="cs-CZ"/>
        </w:rPr>
        <w:t> </w:t>
      </w:r>
      <w:r w:rsidRPr="002F2C3D">
        <w:rPr>
          <w:lang w:val="cs-CZ"/>
        </w:rPr>
        <w:t>2,1 při dvou po sobě jdoucích návštěvách s odstupem čtyř týdnů. U</w:t>
      </w:r>
      <w:r>
        <w:rPr>
          <w:lang w:val="cs-CZ"/>
        </w:rPr>
        <w:t> </w:t>
      </w:r>
      <w:r w:rsidRPr="002F2C3D">
        <w:rPr>
          <w:lang w:val="cs-CZ"/>
        </w:rPr>
        <w:t xml:space="preserve">většího podílu pacientů na </w:t>
      </w:r>
      <w:r>
        <w:rPr>
          <w:lang w:val="cs-CZ"/>
        </w:rPr>
        <w:t>léčbě přípravkem</w:t>
      </w:r>
      <w:r w:rsidRPr="002F2C3D">
        <w:rPr>
          <w:lang w:val="cs-CZ"/>
        </w:rPr>
        <w:t xml:space="preserve"> Humira </w:t>
      </w:r>
      <w:r>
        <w:rPr>
          <w:lang w:val="cs-CZ"/>
        </w:rPr>
        <w:t>nedošlo ke</w:t>
      </w:r>
      <w:r w:rsidRPr="002F2C3D">
        <w:rPr>
          <w:lang w:val="cs-CZ"/>
        </w:rPr>
        <w:t xml:space="preserve"> vzplanutí onemocnění během dvojitě zaslepené fáze při porovnání s pacienty na placebu (70,4 % vs. 47,1 %, p&lt;0,001) (</w:t>
      </w:r>
      <w:r>
        <w:rPr>
          <w:lang w:val="cs-CZ"/>
        </w:rPr>
        <w:t>o</w:t>
      </w:r>
      <w:r w:rsidRPr="002F2C3D">
        <w:rPr>
          <w:lang w:val="cs-CZ"/>
        </w:rPr>
        <w:t>brázek 1).</w:t>
      </w:r>
    </w:p>
    <w:p w14:paraId="551232AE" w14:textId="77777777" w:rsidR="00A05B57" w:rsidRDefault="00A05B57" w:rsidP="00A05B57">
      <w:pPr>
        <w:ind w:left="0" w:firstLine="0"/>
      </w:pPr>
    </w:p>
    <w:p w14:paraId="362F1999" w14:textId="77777777" w:rsidR="00A05B57" w:rsidRPr="009038AE" w:rsidRDefault="00000000" w:rsidP="00A05B57">
      <w:pPr>
        <w:pStyle w:val="EMEANormal"/>
        <w:keepNext/>
        <w:jc w:val="center"/>
        <w:rPr>
          <w:lang w:val="cs-CZ"/>
        </w:rPr>
      </w:pPr>
      <w:r w:rsidRPr="006A036C">
        <w:rPr>
          <w:b/>
          <w:lang w:val="cs-CZ"/>
        </w:rPr>
        <w:t>Obrázek 1: Kaplan-Meierovy kři</w:t>
      </w:r>
      <w:r w:rsidR="009038AE">
        <w:rPr>
          <w:b/>
          <w:lang w:val="cs-CZ"/>
        </w:rPr>
        <w:t>vky shrnující dobu do vzplanutí</w:t>
      </w:r>
    </w:p>
    <w:p w14:paraId="47F5DAFF" w14:textId="77777777" w:rsidR="00A05B57" w:rsidRPr="009038AE" w:rsidRDefault="00000000" w:rsidP="00A05B57">
      <w:pPr>
        <w:pStyle w:val="EMEANormal"/>
        <w:keepNext/>
        <w:jc w:val="center"/>
        <w:rPr>
          <w:lang w:val="cs-CZ"/>
        </w:rPr>
      </w:pPr>
      <w:r w:rsidRPr="006A036C">
        <w:rPr>
          <w:b/>
          <w:lang w:val="cs-CZ"/>
        </w:rPr>
        <w:t>ve studii nr-axSpA 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
        <w:gridCol w:w="8624"/>
      </w:tblGrid>
      <w:tr w:rsidR="00534A2D" w14:paraId="5088F5DB" w14:textId="77777777" w:rsidTr="009A65BD">
        <w:trPr>
          <w:cantSplit/>
          <w:trHeight w:val="1134"/>
        </w:trPr>
        <w:tc>
          <w:tcPr>
            <w:tcW w:w="930" w:type="dxa"/>
            <w:textDirection w:val="btLr"/>
            <w:vAlign w:val="center"/>
          </w:tcPr>
          <w:p w14:paraId="3DDF4F5D" w14:textId="77777777" w:rsidR="00A05B57" w:rsidRPr="003B2D93" w:rsidRDefault="00000000" w:rsidP="009A65BD">
            <w:pPr>
              <w:ind w:left="0" w:firstLine="0"/>
              <w:jc w:val="center"/>
              <w:rPr>
                <w:b/>
                <w:sz w:val="20"/>
              </w:rPr>
            </w:pPr>
            <w:r w:rsidRPr="003B2D93">
              <w:rPr>
                <w:b/>
                <w:sz w:val="20"/>
              </w:rPr>
              <w:t>PRAVDĚPODOBNOST, ŽE NEDOJDE KE VZPLANUTÍ</w:t>
            </w:r>
          </w:p>
        </w:tc>
        <w:tc>
          <w:tcPr>
            <w:tcW w:w="8646" w:type="dxa"/>
          </w:tcPr>
          <w:p w14:paraId="3AF47DC0" w14:textId="77777777" w:rsidR="00A05B57" w:rsidRPr="003B2D93" w:rsidRDefault="00000000" w:rsidP="009A65BD">
            <w:pPr>
              <w:ind w:left="0" w:firstLine="0"/>
              <w:jc w:val="center"/>
              <w:rPr>
                <w:sz w:val="20"/>
              </w:rPr>
            </w:pPr>
            <w:r w:rsidRPr="003B2D93">
              <w:rPr>
                <w:noProof/>
                <w:sz w:val="20"/>
                <w:lang w:val="en-US"/>
              </w:rPr>
              <w:drawing>
                <wp:inline distT="0" distB="0" distL="0" distR="0" wp14:anchorId="16D17943" wp14:editId="70C43989">
                  <wp:extent cx="5616000" cy="3006000"/>
                  <wp:effectExtent l="0" t="0" r="3810" b="4445"/>
                  <wp:docPr id="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13375_flare_km_db_f.14.2__1.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6000" cy="3006000"/>
                          </a:xfrm>
                          <a:prstGeom prst="rect">
                            <a:avLst/>
                          </a:prstGeom>
                        </pic:spPr>
                      </pic:pic>
                    </a:graphicData>
                  </a:graphic>
                </wp:inline>
              </w:drawing>
            </w:r>
          </w:p>
        </w:tc>
      </w:tr>
      <w:tr w:rsidR="00534A2D" w14:paraId="677F0BDB" w14:textId="77777777" w:rsidTr="009A65BD">
        <w:tc>
          <w:tcPr>
            <w:tcW w:w="930" w:type="dxa"/>
          </w:tcPr>
          <w:p w14:paraId="314CBADC" w14:textId="77777777" w:rsidR="00A05B57" w:rsidRPr="006A036C" w:rsidRDefault="00A05B57" w:rsidP="009A65BD"/>
        </w:tc>
        <w:tc>
          <w:tcPr>
            <w:tcW w:w="8646" w:type="dxa"/>
            <w:vAlign w:val="center"/>
          </w:tcPr>
          <w:p w14:paraId="67A95DC4" w14:textId="77777777" w:rsidR="00A05B57" w:rsidRPr="00777D77" w:rsidRDefault="00000000" w:rsidP="009A65BD">
            <w:pPr>
              <w:jc w:val="center"/>
              <w:rPr>
                <w:b/>
                <w:sz w:val="20"/>
              </w:rPr>
            </w:pPr>
            <w:r w:rsidRPr="00777D77">
              <w:rPr>
                <w:b/>
                <w:sz w:val="20"/>
              </w:rPr>
              <w:t>ČAS (TÝDNY)</w:t>
            </w:r>
          </w:p>
        </w:tc>
      </w:tr>
      <w:tr w:rsidR="00534A2D" w14:paraId="084C7631" w14:textId="77777777" w:rsidTr="009A65BD">
        <w:tc>
          <w:tcPr>
            <w:tcW w:w="9576" w:type="dxa"/>
            <w:gridSpan w:val="2"/>
          </w:tcPr>
          <w:p w14:paraId="0FF6C0BB" w14:textId="77777777" w:rsidR="00A05B57" w:rsidRPr="006A036C" w:rsidRDefault="00000000" w:rsidP="009A65BD">
            <w:r w:rsidRPr="006A036C">
              <w:t xml:space="preserve">                                  Léčba       </w:t>
            </w:r>
            <w:r w:rsidRPr="006A036C">
              <w:rPr>
                <w:noProof/>
                <w:lang w:val="en-US"/>
              </w:rPr>
              <mc:AlternateContent>
                <mc:Choice Requires="wps">
                  <w:drawing>
                    <wp:inline distT="0" distB="0" distL="0" distR="0" wp14:anchorId="2E6B9E02" wp14:editId="719977E2">
                      <wp:extent cx="381000" cy="0"/>
                      <wp:effectExtent l="0" t="19050" r="0" b="19050"/>
                      <wp:docPr id="5" name="Straight Connector 92"/>
                      <wp:cNvGraphicFramePr/>
                      <a:graphic xmlns:a="http://schemas.openxmlformats.org/drawingml/2006/main">
                        <a:graphicData uri="http://schemas.microsoft.com/office/word/2010/wordprocessingShape">
                          <wps:wsp>
                            <wps:cNvCnPr/>
                            <wps:spPr>
                              <a:xfrm>
                                <a:off x="0" y="0"/>
                                <a:ext cx="381000" cy="0"/>
                              </a:xfrm>
                              <a:prstGeom prst="line">
                                <a:avLst/>
                              </a:prstGeom>
                              <a:ln w="28575">
                                <a:solidFill>
                                  <a:schemeClr val="tx1">
                                    <a:lumMod val="65000"/>
                                    <a:lumOff val="3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id="Straight Connector 92" o:spid="_x0000_i1032" style="mso-left-percent:-10001;mso-position-horizontal-relative:char;mso-position-vertical-relative:line;mso-top-percent:-10001;mso-wrap-style:square;visibility:visible" from="0,0" to="30pt,0" strokecolor="#5a5a5a" strokeweight="2.25pt">
                      <v:stroke dashstyle="1 1"/>
                      <w10:anchorlock/>
                    </v:line>
                  </w:pict>
                </mc:Fallback>
              </mc:AlternateContent>
            </w:r>
            <w:r w:rsidRPr="006A036C">
              <w:t xml:space="preserve"> Placebo     </w:t>
            </w:r>
            <w:r w:rsidRPr="006A036C">
              <w:rPr>
                <w:noProof/>
                <w:lang w:val="en-US"/>
              </w:rPr>
              <mc:AlternateContent>
                <mc:Choice Requires="wps">
                  <w:drawing>
                    <wp:inline distT="0" distB="0" distL="0" distR="0" wp14:anchorId="27990C0B" wp14:editId="356FCE0D">
                      <wp:extent cx="401320" cy="0"/>
                      <wp:effectExtent l="0" t="0" r="17780" b="19050"/>
                      <wp:docPr id="7" name="Straight Connector 56"/>
                      <wp:cNvGraphicFramePr/>
                      <a:graphic xmlns:a="http://schemas.openxmlformats.org/drawingml/2006/main">
                        <a:graphicData uri="http://schemas.microsoft.com/office/word/2010/wordprocessingShape">
                          <wps:wsp>
                            <wps:cNvCnPr/>
                            <wps:spPr>
                              <a:xfrm>
                                <a:off x="0" y="0"/>
                                <a:ext cx="401320" cy="0"/>
                              </a:xfrm>
                              <a:prstGeom prst="line">
                                <a:avLst/>
                              </a:prstGeom>
                              <a:ln w="19050">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id="Straight Connector 56" o:spid="_x0000_i1033" style="mso-left-percent:-10001;mso-position-horizontal-relative:char;mso-position-vertical-relative:line;mso-top-percent:-10001;mso-wrap-style:square;visibility:visible" from="0,0" to="31.6pt,0" strokecolor="#404040" strokeweight="1.5pt">
                      <w10:anchorlock/>
                    </v:line>
                  </w:pict>
                </mc:Fallback>
              </mc:AlternateContent>
            </w:r>
            <w:r w:rsidRPr="006A036C">
              <w:t xml:space="preserve"> Humira     ∆ Cenzurovaní</w:t>
            </w:r>
          </w:p>
        </w:tc>
      </w:tr>
    </w:tbl>
    <w:p w14:paraId="785EE860" w14:textId="77777777" w:rsidR="00A05B57" w:rsidRPr="006A036C" w:rsidRDefault="00A05B57" w:rsidP="00A05B57">
      <w:pPr>
        <w:ind w:left="0" w:firstLine="0"/>
      </w:pPr>
    </w:p>
    <w:p w14:paraId="6C059C04" w14:textId="77777777" w:rsidR="00A05B57" w:rsidRPr="006A036C" w:rsidRDefault="00000000" w:rsidP="00A05B57">
      <w:pPr>
        <w:ind w:left="0" w:firstLine="0"/>
      </w:pPr>
      <w:r w:rsidRPr="006A036C">
        <w:t xml:space="preserve">Poznámka: P = </w:t>
      </w:r>
      <w:r>
        <w:t>p</w:t>
      </w:r>
      <w:r w:rsidRPr="006A036C">
        <w:t>lacebo (počet s</w:t>
      </w:r>
      <w:r>
        <w:t> </w:t>
      </w:r>
      <w:r w:rsidRPr="006A036C">
        <w:t xml:space="preserve">rizikem (vzplanutí)); A = </w:t>
      </w:r>
      <w:r>
        <w:t xml:space="preserve">přípravek </w:t>
      </w:r>
      <w:r w:rsidRPr="006A036C">
        <w:t>HUMIRA (počet s</w:t>
      </w:r>
      <w:r>
        <w:t> </w:t>
      </w:r>
      <w:r w:rsidRPr="006A036C">
        <w:t>rizikem (vzplanutí)).</w:t>
      </w:r>
    </w:p>
    <w:p w14:paraId="2E3F2A15" w14:textId="77777777" w:rsidR="00A05B57" w:rsidRPr="006A036C" w:rsidRDefault="00A05B57" w:rsidP="00A05B57">
      <w:pPr>
        <w:ind w:left="0" w:firstLine="0"/>
      </w:pPr>
    </w:p>
    <w:p w14:paraId="483E3F5F" w14:textId="77777777" w:rsidR="00A05B57" w:rsidRPr="002F2C3D" w:rsidRDefault="00000000" w:rsidP="00A05B57">
      <w:pPr>
        <w:pStyle w:val="EMEANormal"/>
        <w:rPr>
          <w:lang w:val="cs-CZ"/>
        </w:rPr>
      </w:pPr>
      <w:r w:rsidRPr="002F2C3D">
        <w:rPr>
          <w:lang w:val="cs-CZ"/>
        </w:rPr>
        <w:t>Z 68 pacientů</w:t>
      </w:r>
      <w:r w:rsidRPr="00A75150">
        <w:rPr>
          <w:lang w:val="cs-CZ"/>
        </w:rPr>
        <w:t xml:space="preserve"> </w:t>
      </w:r>
      <w:r w:rsidRPr="002F2C3D">
        <w:rPr>
          <w:lang w:val="cs-CZ"/>
        </w:rPr>
        <w:t xml:space="preserve">ve skupině přiřazené do vysazení léčby, </w:t>
      </w:r>
      <w:r>
        <w:rPr>
          <w:lang w:val="cs-CZ"/>
        </w:rPr>
        <w:t>u kterých došlo ke</w:t>
      </w:r>
      <w:r w:rsidRPr="002F2C3D">
        <w:rPr>
          <w:lang w:val="cs-CZ"/>
        </w:rPr>
        <w:t xml:space="preserve"> vzplanutí</w:t>
      </w:r>
      <w:r>
        <w:rPr>
          <w:lang w:val="cs-CZ"/>
        </w:rPr>
        <w:t>,</w:t>
      </w:r>
      <w:r w:rsidRPr="002F2C3D">
        <w:rPr>
          <w:lang w:val="cs-CZ"/>
        </w:rPr>
        <w:t xml:space="preserve"> dokončilo 12 týdnů záchranné léčby přípravkem Humira 65 pacientů, z nichž 37 (56,9 %) se dostalo znovu do remise (ASDAS &lt;</w:t>
      </w:r>
      <w:r>
        <w:rPr>
          <w:lang w:val="cs-CZ"/>
        </w:rPr>
        <w:t> </w:t>
      </w:r>
      <w:r w:rsidRPr="002F2C3D">
        <w:rPr>
          <w:lang w:val="cs-CZ"/>
        </w:rPr>
        <w:t>1,3) po 12 týdnech opětovného zahájení otevřené léčby.</w:t>
      </w:r>
    </w:p>
    <w:p w14:paraId="1711EDE4" w14:textId="77777777" w:rsidR="00A05B57" w:rsidRPr="002F2C3D" w:rsidRDefault="00A05B57" w:rsidP="00A05B57">
      <w:pPr>
        <w:rPr>
          <w:highlight w:val="yellow"/>
        </w:rPr>
      </w:pPr>
    </w:p>
    <w:p w14:paraId="25DFF728" w14:textId="77777777" w:rsidR="00A05B57" w:rsidRPr="006A036C" w:rsidRDefault="00000000" w:rsidP="00A05B57">
      <w:pPr>
        <w:ind w:left="0" w:firstLine="0"/>
      </w:pPr>
      <w:r w:rsidRPr="002F2C3D">
        <w:t xml:space="preserve">Do týdne 68 </w:t>
      </w:r>
      <w:r>
        <w:t>vykazovali</w:t>
      </w:r>
      <w:r w:rsidRPr="002F2C3D">
        <w:t xml:space="preserve"> pacienti, kteří </w:t>
      </w:r>
      <w:r>
        <w:t xml:space="preserve">byli </w:t>
      </w:r>
      <w:r w:rsidRPr="002F2C3D">
        <w:t>kontinuálně</w:t>
      </w:r>
      <w:r>
        <w:t xml:space="preserve"> léčeni</w:t>
      </w:r>
      <w:r w:rsidRPr="002F2C3D">
        <w:t xml:space="preserve"> přípravk</w:t>
      </w:r>
      <w:r>
        <w:t>em</w:t>
      </w:r>
      <w:r w:rsidRPr="002F2C3D">
        <w:t xml:space="preserve"> Humira</w:t>
      </w:r>
      <w:r>
        <w:t>,</w:t>
      </w:r>
      <w:r w:rsidRPr="002F2C3D">
        <w:t xml:space="preserve"> statisticky větší zlepšení známek</w:t>
      </w:r>
      <w:r w:rsidR="002378E0">
        <w:t xml:space="preserve"> a </w:t>
      </w:r>
      <w:r w:rsidRPr="002F2C3D">
        <w:t>příznaků aktivní nr-axSpA v porovnání s pacienty, kteří byli přiřazeni do vysazení léčby během dvojitě zaslepené fáze studie (</w:t>
      </w:r>
      <w:r>
        <w:t>t</w:t>
      </w:r>
      <w:r w:rsidRPr="002F2C3D">
        <w:t xml:space="preserve">abulka </w:t>
      </w:r>
      <w:r w:rsidR="002A0AEB">
        <w:t>14</w:t>
      </w:r>
      <w:r w:rsidRPr="002F2C3D">
        <w:t>).</w:t>
      </w:r>
    </w:p>
    <w:p w14:paraId="1C197D45" w14:textId="77777777" w:rsidR="00A05B57" w:rsidRPr="006A036C" w:rsidRDefault="00A05B57" w:rsidP="00A05B57"/>
    <w:p w14:paraId="18E77B56" w14:textId="77777777" w:rsidR="00A05B57" w:rsidRPr="009038AE" w:rsidRDefault="00000000" w:rsidP="009038AE">
      <w:pPr>
        <w:pStyle w:val="EMEANormal"/>
        <w:keepNext/>
        <w:jc w:val="center"/>
        <w:rPr>
          <w:lang w:val="cs-CZ"/>
        </w:rPr>
      </w:pPr>
      <w:r w:rsidRPr="006A036C">
        <w:rPr>
          <w:b/>
          <w:lang w:val="cs-CZ"/>
        </w:rPr>
        <w:t xml:space="preserve">Tabulka </w:t>
      </w:r>
      <w:r w:rsidR="002A0AEB">
        <w:rPr>
          <w:b/>
          <w:lang w:val="cs-CZ"/>
        </w:rPr>
        <w:t>14</w:t>
      </w:r>
    </w:p>
    <w:p w14:paraId="03735FB9" w14:textId="77777777" w:rsidR="00A05B57" w:rsidRPr="009038AE" w:rsidRDefault="00000000" w:rsidP="009038AE">
      <w:pPr>
        <w:pStyle w:val="EMEANormal"/>
        <w:keepNext/>
        <w:jc w:val="center"/>
        <w:rPr>
          <w:lang w:val="cs-CZ"/>
        </w:rPr>
      </w:pPr>
      <w:r w:rsidRPr="006A036C">
        <w:rPr>
          <w:b/>
          <w:lang w:val="cs-CZ"/>
        </w:rPr>
        <w:t>Účinnost v</w:t>
      </w:r>
      <w:r>
        <w:rPr>
          <w:b/>
          <w:lang w:val="cs-CZ"/>
        </w:rPr>
        <w:t> </w:t>
      </w:r>
      <w:r w:rsidRPr="006A036C">
        <w:rPr>
          <w:b/>
          <w:lang w:val="cs-CZ"/>
        </w:rPr>
        <w:t>placebem kontrolované fázi studie nr-axSpA II</w:t>
      </w:r>
    </w:p>
    <w:p w14:paraId="7C2BE8A3" w14:textId="77777777" w:rsidR="00A05B57" w:rsidRPr="009038AE" w:rsidRDefault="00A05B57" w:rsidP="009038AE">
      <w:pPr>
        <w:pStyle w:val="EMEANormal"/>
        <w:keepNext/>
        <w:jc w:val="center"/>
        <w:rPr>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8"/>
        <w:gridCol w:w="1682"/>
        <w:gridCol w:w="1821"/>
      </w:tblGrid>
      <w:tr w:rsidR="00534A2D" w14:paraId="674058FD" w14:textId="77777777" w:rsidTr="009A65BD">
        <w:trPr>
          <w:jc w:val="center"/>
        </w:trPr>
        <w:tc>
          <w:tcPr>
            <w:tcW w:w="3067" w:type="pct"/>
          </w:tcPr>
          <w:p w14:paraId="3B88AA67" w14:textId="77777777" w:rsidR="00A05B57" w:rsidRPr="006A036C" w:rsidRDefault="00000000" w:rsidP="009038AE">
            <w:pPr>
              <w:keepNext/>
              <w:rPr>
                <w:b/>
                <w:bCs/>
              </w:rPr>
            </w:pPr>
            <w:r w:rsidRPr="002F2C3D">
              <w:rPr>
                <w:b/>
                <w:bCs/>
              </w:rPr>
              <w:t>Dvojitě zaslepená</w:t>
            </w:r>
          </w:p>
          <w:p w14:paraId="04FE0E8F" w14:textId="77777777" w:rsidR="00A05B57" w:rsidRPr="006A036C" w:rsidRDefault="00000000" w:rsidP="009038AE">
            <w:pPr>
              <w:keepNext/>
              <w:rPr>
                <w:b/>
                <w:bCs/>
              </w:rPr>
            </w:pPr>
            <w:r w:rsidRPr="002F2C3D">
              <w:rPr>
                <w:b/>
                <w:bCs/>
              </w:rPr>
              <w:t>odpověď v</w:t>
            </w:r>
            <w:r>
              <w:rPr>
                <w:b/>
                <w:bCs/>
              </w:rPr>
              <w:t> </w:t>
            </w:r>
            <w:r w:rsidRPr="002F2C3D">
              <w:rPr>
                <w:b/>
                <w:bCs/>
              </w:rPr>
              <w:t>týdnu</w:t>
            </w:r>
            <w:r w:rsidRPr="006A036C">
              <w:rPr>
                <w:b/>
                <w:bCs/>
              </w:rPr>
              <w:t xml:space="preserve"> 68</w:t>
            </w:r>
          </w:p>
        </w:tc>
        <w:tc>
          <w:tcPr>
            <w:tcW w:w="928" w:type="pct"/>
          </w:tcPr>
          <w:p w14:paraId="21812EF6" w14:textId="77777777" w:rsidR="00A05B57" w:rsidRPr="00932F07" w:rsidRDefault="00000000" w:rsidP="009038AE">
            <w:pPr>
              <w:keepNext/>
              <w:jc w:val="center"/>
              <w:rPr>
                <w:b/>
                <w:bCs/>
                <w:szCs w:val="22"/>
              </w:rPr>
            </w:pPr>
            <w:r w:rsidRPr="00932F07">
              <w:rPr>
                <w:b/>
                <w:bCs/>
                <w:szCs w:val="22"/>
              </w:rPr>
              <w:t>Placebo</w:t>
            </w:r>
          </w:p>
          <w:p w14:paraId="73F350E1" w14:textId="77777777" w:rsidR="00A05B57" w:rsidRPr="00C318F8" w:rsidRDefault="00000000" w:rsidP="009038AE">
            <w:pPr>
              <w:keepNext/>
              <w:jc w:val="center"/>
              <w:rPr>
                <w:b/>
                <w:bCs/>
                <w:szCs w:val="22"/>
              </w:rPr>
            </w:pPr>
            <w:r>
              <w:rPr>
                <w:b/>
                <w:bCs/>
                <w:szCs w:val="22"/>
              </w:rPr>
              <w:t>n</w:t>
            </w:r>
            <w:r w:rsidRPr="00932F07">
              <w:rPr>
                <w:b/>
                <w:bCs/>
                <w:szCs w:val="22"/>
              </w:rPr>
              <w:t>=153</w:t>
            </w:r>
          </w:p>
        </w:tc>
        <w:tc>
          <w:tcPr>
            <w:tcW w:w="1005" w:type="pct"/>
          </w:tcPr>
          <w:p w14:paraId="5872CCCF" w14:textId="77777777" w:rsidR="00A05B57" w:rsidRPr="00C318F8" w:rsidRDefault="00000000" w:rsidP="009038AE">
            <w:pPr>
              <w:keepNext/>
              <w:jc w:val="center"/>
              <w:rPr>
                <w:b/>
                <w:bCs/>
                <w:szCs w:val="22"/>
              </w:rPr>
            </w:pPr>
            <w:r w:rsidRPr="00C318F8">
              <w:rPr>
                <w:b/>
                <w:bCs/>
                <w:szCs w:val="22"/>
              </w:rPr>
              <w:t>Humira</w:t>
            </w:r>
          </w:p>
          <w:p w14:paraId="472811D1" w14:textId="77777777" w:rsidR="00A05B57" w:rsidRPr="00C318F8" w:rsidRDefault="00000000" w:rsidP="009038AE">
            <w:pPr>
              <w:keepNext/>
              <w:jc w:val="center"/>
              <w:rPr>
                <w:b/>
                <w:bCs/>
                <w:szCs w:val="22"/>
              </w:rPr>
            </w:pPr>
            <w:r>
              <w:rPr>
                <w:b/>
                <w:bCs/>
                <w:szCs w:val="22"/>
              </w:rPr>
              <w:t>n</w:t>
            </w:r>
            <w:r w:rsidRPr="00C318F8">
              <w:rPr>
                <w:b/>
                <w:bCs/>
                <w:szCs w:val="22"/>
              </w:rPr>
              <w:t>=152</w:t>
            </w:r>
          </w:p>
        </w:tc>
      </w:tr>
      <w:tr w:rsidR="00534A2D" w14:paraId="3DF628D2" w14:textId="77777777" w:rsidTr="009A65BD">
        <w:trPr>
          <w:jc w:val="center"/>
        </w:trPr>
        <w:tc>
          <w:tcPr>
            <w:tcW w:w="3067" w:type="pct"/>
          </w:tcPr>
          <w:p w14:paraId="2AA2C87D" w14:textId="77777777" w:rsidR="00A05B57" w:rsidRPr="006A036C" w:rsidRDefault="00000000" w:rsidP="009038AE">
            <w:pPr>
              <w:keepNext/>
            </w:pPr>
            <w:r w:rsidRPr="006A036C">
              <w:t>ASAS</w:t>
            </w:r>
            <w:r w:rsidRPr="006A036C">
              <w:rPr>
                <w:vertAlign w:val="superscript"/>
              </w:rPr>
              <w:t>a,b</w:t>
            </w:r>
            <w:r w:rsidRPr="006A036C">
              <w:t xml:space="preserve"> 20</w:t>
            </w:r>
          </w:p>
        </w:tc>
        <w:tc>
          <w:tcPr>
            <w:tcW w:w="928" w:type="pct"/>
          </w:tcPr>
          <w:p w14:paraId="41F23070" w14:textId="77777777" w:rsidR="00A05B57" w:rsidRPr="006A036C" w:rsidRDefault="00000000" w:rsidP="009038AE">
            <w:pPr>
              <w:keepNext/>
              <w:jc w:val="center"/>
            </w:pPr>
            <w:r w:rsidRPr="006A036C">
              <w:t>47</w:t>
            </w:r>
            <w:r w:rsidRPr="002F2C3D">
              <w:t>,</w:t>
            </w:r>
            <w:r w:rsidRPr="006A036C">
              <w:t>1</w:t>
            </w:r>
            <w:r w:rsidRPr="002F2C3D">
              <w:t> </w:t>
            </w:r>
            <w:r w:rsidRPr="006A036C">
              <w:t>%</w:t>
            </w:r>
          </w:p>
        </w:tc>
        <w:tc>
          <w:tcPr>
            <w:tcW w:w="1005" w:type="pct"/>
          </w:tcPr>
          <w:p w14:paraId="0339080A" w14:textId="77777777" w:rsidR="00A05B57" w:rsidRPr="006A036C" w:rsidRDefault="00000000" w:rsidP="009038AE">
            <w:pPr>
              <w:keepNext/>
              <w:jc w:val="center"/>
            </w:pPr>
            <w:r w:rsidRPr="006A036C">
              <w:t>70</w:t>
            </w:r>
            <w:r w:rsidRPr="002F2C3D">
              <w:t>,</w:t>
            </w:r>
            <w:r w:rsidRPr="006A036C">
              <w:t>4</w:t>
            </w:r>
            <w:r w:rsidRPr="002F2C3D">
              <w:t> </w:t>
            </w:r>
            <w:r w:rsidRPr="006A036C">
              <w:t>%***</w:t>
            </w:r>
          </w:p>
        </w:tc>
      </w:tr>
      <w:tr w:rsidR="00534A2D" w14:paraId="4813A584" w14:textId="77777777" w:rsidTr="009A65BD">
        <w:trPr>
          <w:jc w:val="center"/>
        </w:trPr>
        <w:tc>
          <w:tcPr>
            <w:tcW w:w="3067" w:type="pct"/>
          </w:tcPr>
          <w:p w14:paraId="2788DB2E" w14:textId="77777777" w:rsidR="00A05B57" w:rsidRPr="006A036C" w:rsidRDefault="00000000" w:rsidP="009038AE">
            <w:pPr>
              <w:keepNext/>
            </w:pPr>
            <w:r w:rsidRPr="006A036C">
              <w:t>ASAS</w:t>
            </w:r>
            <w:r w:rsidRPr="006A036C">
              <w:rPr>
                <w:vertAlign w:val="superscript"/>
              </w:rPr>
              <w:t>a,b</w:t>
            </w:r>
            <w:r w:rsidRPr="006A036C">
              <w:t xml:space="preserve"> 40</w:t>
            </w:r>
          </w:p>
        </w:tc>
        <w:tc>
          <w:tcPr>
            <w:tcW w:w="928" w:type="pct"/>
          </w:tcPr>
          <w:p w14:paraId="484D4ADA" w14:textId="77777777" w:rsidR="00A05B57" w:rsidRPr="006A036C" w:rsidRDefault="00000000" w:rsidP="009038AE">
            <w:pPr>
              <w:keepNext/>
              <w:jc w:val="center"/>
            </w:pPr>
            <w:r w:rsidRPr="006A036C">
              <w:t>45</w:t>
            </w:r>
            <w:r w:rsidRPr="002F2C3D">
              <w:t>,</w:t>
            </w:r>
            <w:r w:rsidRPr="006A036C">
              <w:t>8</w:t>
            </w:r>
            <w:r w:rsidRPr="002F2C3D">
              <w:t> </w:t>
            </w:r>
            <w:r w:rsidRPr="006A036C">
              <w:t>%</w:t>
            </w:r>
          </w:p>
        </w:tc>
        <w:tc>
          <w:tcPr>
            <w:tcW w:w="1005" w:type="pct"/>
          </w:tcPr>
          <w:p w14:paraId="583D708D" w14:textId="77777777" w:rsidR="00A05B57" w:rsidRPr="006A036C" w:rsidRDefault="00000000" w:rsidP="009038AE">
            <w:pPr>
              <w:keepNext/>
              <w:jc w:val="center"/>
            </w:pPr>
            <w:r w:rsidRPr="006A036C">
              <w:t>65</w:t>
            </w:r>
            <w:r w:rsidRPr="002F2C3D">
              <w:t>,</w:t>
            </w:r>
            <w:r w:rsidRPr="006A036C">
              <w:t>8</w:t>
            </w:r>
            <w:r w:rsidRPr="002F2C3D">
              <w:t> </w:t>
            </w:r>
            <w:r w:rsidRPr="006A036C">
              <w:t>%***</w:t>
            </w:r>
          </w:p>
        </w:tc>
      </w:tr>
      <w:tr w:rsidR="00534A2D" w14:paraId="61B82575" w14:textId="77777777" w:rsidTr="009A65BD">
        <w:trPr>
          <w:jc w:val="center"/>
        </w:trPr>
        <w:tc>
          <w:tcPr>
            <w:tcW w:w="3067" w:type="pct"/>
          </w:tcPr>
          <w:p w14:paraId="34C1A00E" w14:textId="77777777" w:rsidR="00A05B57" w:rsidRPr="006A036C" w:rsidRDefault="00000000" w:rsidP="009038AE">
            <w:pPr>
              <w:keepNext/>
            </w:pPr>
            <w:r w:rsidRPr="006A036C">
              <w:t>ASAS</w:t>
            </w:r>
            <w:r w:rsidRPr="006A036C">
              <w:rPr>
                <w:vertAlign w:val="superscript"/>
              </w:rPr>
              <w:t>a</w:t>
            </w:r>
            <w:r w:rsidRPr="006A036C">
              <w:t xml:space="preserve"> </w:t>
            </w:r>
            <w:r w:rsidRPr="002F2C3D">
              <w:t>částečná remise</w:t>
            </w:r>
          </w:p>
        </w:tc>
        <w:tc>
          <w:tcPr>
            <w:tcW w:w="928" w:type="pct"/>
          </w:tcPr>
          <w:p w14:paraId="03261088" w14:textId="77777777" w:rsidR="00A05B57" w:rsidRPr="006A036C" w:rsidRDefault="00000000" w:rsidP="009038AE">
            <w:pPr>
              <w:keepNext/>
              <w:jc w:val="center"/>
            </w:pPr>
            <w:r w:rsidRPr="006A036C">
              <w:t>26</w:t>
            </w:r>
            <w:r w:rsidRPr="002F2C3D">
              <w:t>,</w:t>
            </w:r>
            <w:r w:rsidRPr="006A036C">
              <w:t>8</w:t>
            </w:r>
            <w:r w:rsidRPr="002F2C3D">
              <w:t> </w:t>
            </w:r>
            <w:r w:rsidRPr="006A036C">
              <w:t>%</w:t>
            </w:r>
          </w:p>
        </w:tc>
        <w:tc>
          <w:tcPr>
            <w:tcW w:w="1005" w:type="pct"/>
          </w:tcPr>
          <w:p w14:paraId="6654E3E8" w14:textId="77777777" w:rsidR="00A05B57" w:rsidRPr="006A036C" w:rsidRDefault="00000000" w:rsidP="009038AE">
            <w:pPr>
              <w:keepNext/>
              <w:jc w:val="center"/>
            </w:pPr>
            <w:r w:rsidRPr="006A036C">
              <w:t>42</w:t>
            </w:r>
            <w:r w:rsidRPr="002F2C3D">
              <w:t>,</w:t>
            </w:r>
            <w:r w:rsidRPr="006A036C">
              <w:t>1</w:t>
            </w:r>
            <w:r w:rsidRPr="002F2C3D">
              <w:t> </w:t>
            </w:r>
            <w:r w:rsidRPr="006A036C">
              <w:t>%**</w:t>
            </w:r>
          </w:p>
        </w:tc>
      </w:tr>
      <w:tr w:rsidR="00534A2D" w14:paraId="2CFE5A71" w14:textId="77777777" w:rsidTr="009A65BD">
        <w:trPr>
          <w:jc w:val="center"/>
        </w:trPr>
        <w:tc>
          <w:tcPr>
            <w:tcW w:w="3067" w:type="pct"/>
          </w:tcPr>
          <w:p w14:paraId="7081D2BE" w14:textId="77777777" w:rsidR="00A05B57" w:rsidRPr="006A036C" w:rsidRDefault="00000000" w:rsidP="009038AE">
            <w:pPr>
              <w:keepNext/>
            </w:pPr>
            <w:r w:rsidRPr="006A036C">
              <w:t>ASDAS</w:t>
            </w:r>
            <w:r w:rsidRPr="006A036C">
              <w:rPr>
                <w:vertAlign w:val="superscript"/>
              </w:rPr>
              <w:t>c</w:t>
            </w:r>
            <w:r w:rsidRPr="006A036C">
              <w:t xml:space="preserve"> </w:t>
            </w:r>
            <w:r w:rsidRPr="002F2C3D">
              <w:t>neaktivní onemocnění</w:t>
            </w:r>
          </w:p>
        </w:tc>
        <w:tc>
          <w:tcPr>
            <w:tcW w:w="928" w:type="pct"/>
          </w:tcPr>
          <w:p w14:paraId="3F7EA9AD" w14:textId="77777777" w:rsidR="00A05B57" w:rsidRPr="006A036C" w:rsidRDefault="00000000" w:rsidP="009038AE">
            <w:pPr>
              <w:keepNext/>
              <w:jc w:val="center"/>
            </w:pPr>
            <w:r w:rsidRPr="006A036C">
              <w:t>33</w:t>
            </w:r>
            <w:r w:rsidRPr="002F2C3D">
              <w:t>,</w:t>
            </w:r>
            <w:r w:rsidRPr="006A036C">
              <w:t>3</w:t>
            </w:r>
            <w:r w:rsidRPr="002F2C3D">
              <w:t> </w:t>
            </w:r>
            <w:r w:rsidRPr="006A036C">
              <w:t>%</w:t>
            </w:r>
          </w:p>
        </w:tc>
        <w:tc>
          <w:tcPr>
            <w:tcW w:w="1005" w:type="pct"/>
          </w:tcPr>
          <w:p w14:paraId="794025FD" w14:textId="77777777" w:rsidR="00A05B57" w:rsidRPr="006A036C" w:rsidRDefault="00000000" w:rsidP="009038AE">
            <w:pPr>
              <w:keepNext/>
              <w:jc w:val="center"/>
            </w:pPr>
            <w:r w:rsidRPr="006A036C">
              <w:t>57</w:t>
            </w:r>
            <w:r w:rsidRPr="002F2C3D">
              <w:t>,</w:t>
            </w:r>
            <w:r w:rsidRPr="006A036C">
              <w:t>2</w:t>
            </w:r>
            <w:r w:rsidRPr="002F2C3D">
              <w:t> </w:t>
            </w:r>
            <w:r w:rsidRPr="006A036C">
              <w:t>%***</w:t>
            </w:r>
          </w:p>
        </w:tc>
      </w:tr>
      <w:tr w:rsidR="00534A2D" w14:paraId="27B66A76" w14:textId="77777777" w:rsidTr="009A65BD">
        <w:trPr>
          <w:jc w:val="center"/>
        </w:trPr>
        <w:tc>
          <w:tcPr>
            <w:tcW w:w="3067" w:type="pct"/>
          </w:tcPr>
          <w:p w14:paraId="34E05A86" w14:textId="77777777" w:rsidR="00A05B57" w:rsidRPr="006A036C" w:rsidRDefault="00000000" w:rsidP="009038AE">
            <w:pPr>
              <w:keepNext/>
            </w:pPr>
            <w:r w:rsidRPr="002F2C3D">
              <w:t>Částečné vzplanutí</w:t>
            </w:r>
            <w:r w:rsidRPr="006A036C">
              <w:rPr>
                <w:szCs w:val="22"/>
                <w:vertAlign w:val="superscript"/>
              </w:rPr>
              <w:t>d</w:t>
            </w:r>
          </w:p>
        </w:tc>
        <w:tc>
          <w:tcPr>
            <w:tcW w:w="928" w:type="pct"/>
          </w:tcPr>
          <w:p w14:paraId="1DFD865F" w14:textId="77777777" w:rsidR="00A05B57" w:rsidRPr="006A036C" w:rsidRDefault="00000000" w:rsidP="009038AE">
            <w:pPr>
              <w:keepNext/>
              <w:jc w:val="center"/>
            </w:pPr>
            <w:r w:rsidRPr="006A036C">
              <w:t>64</w:t>
            </w:r>
            <w:r w:rsidRPr="002F2C3D">
              <w:t>,</w:t>
            </w:r>
            <w:r w:rsidRPr="006A036C">
              <w:t>1</w:t>
            </w:r>
            <w:r w:rsidRPr="002F2C3D">
              <w:t> </w:t>
            </w:r>
            <w:r w:rsidRPr="006A036C">
              <w:t>%</w:t>
            </w:r>
          </w:p>
        </w:tc>
        <w:tc>
          <w:tcPr>
            <w:tcW w:w="1005" w:type="pct"/>
          </w:tcPr>
          <w:p w14:paraId="2218AD20" w14:textId="77777777" w:rsidR="00A05B57" w:rsidRPr="006A036C" w:rsidRDefault="00000000" w:rsidP="009038AE">
            <w:pPr>
              <w:keepNext/>
              <w:jc w:val="center"/>
            </w:pPr>
            <w:r w:rsidRPr="006A036C">
              <w:t>40</w:t>
            </w:r>
            <w:r w:rsidRPr="002F2C3D">
              <w:t>,</w:t>
            </w:r>
            <w:r w:rsidRPr="006A036C">
              <w:t>8</w:t>
            </w:r>
            <w:r w:rsidRPr="002F2C3D">
              <w:t> </w:t>
            </w:r>
            <w:r w:rsidRPr="006A036C">
              <w:t>%***</w:t>
            </w:r>
          </w:p>
        </w:tc>
      </w:tr>
      <w:tr w:rsidR="00534A2D" w14:paraId="7C94A8A0" w14:textId="77777777" w:rsidTr="009A65BD">
        <w:trPr>
          <w:jc w:val="center"/>
        </w:trPr>
        <w:tc>
          <w:tcPr>
            <w:tcW w:w="5000" w:type="pct"/>
            <w:gridSpan w:val="3"/>
            <w:tcBorders>
              <w:left w:val="nil"/>
              <w:bottom w:val="nil"/>
              <w:right w:val="nil"/>
            </w:tcBorders>
          </w:tcPr>
          <w:p w14:paraId="1C1EEF6F" w14:textId="77777777" w:rsidR="00A05B57" w:rsidRPr="002F2C3D" w:rsidRDefault="00000000" w:rsidP="009038AE">
            <w:pPr>
              <w:keepNext/>
              <w:autoSpaceDE w:val="0"/>
              <w:autoSpaceDN w:val="0"/>
              <w:adjustRightInd w:val="0"/>
              <w:rPr>
                <w:szCs w:val="22"/>
              </w:rPr>
            </w:pPr>
            <w:r w:rsidRPr="002F2C3D">
              <w:rPr>
                <w:szCs w:val="22"/>
                <w:vertAlign w:val="superscript"/>
              </w:rPr>
              <w:t>a</w:t>
            </w:r>
            <w:r w:rsidRPr="002F2C3D">
              <w:rPr>
                <w:szCs w:val="22"/>
              </w:rPr>
              <w:t xml:space="preserve"> </w:t>
            </w:r>
            <w:r w:rsidRPr="006A036C">
              <w:rPr>
                <w:szCs w:val="22"/>
              </w:rPr>
              <w:t>Assessments of Spondyloarthritis International Society, stanovení stupně AS</w:t>
            </w:r>
          </w:p>
          <w:p w14:paraId="69D44280" w14:textId="77777777" w:rsidR="00A05B57" w:rsidRPr="00932F07" w:rsidRDefault="00000000" w:rsidP="009038AE">
            <w:pPr>
              <w:pStyle w:val="EMEANormal"/>
              <w:keepNext/>
              <w:ind w:left="20"/>
              <w:rPr>
                <w:szCs w:val="22"/>
                <w:lang w:val="cs-CZ"/>
              </w:rPr>
            </w:pPr>
            <w:r w:rsidRPr="002F2C3D">
              <w:rPr>
                <w:szCs w:val="22"/>
                <w:vertAlign w:val="superscript"/>
                <w:lang w:val="cs-CZ"/>
              </w:rPr>
              <w:t>b</w:t>
            </w:r>
            <w:r w:rsidRPr="002F2C3D">
              <w:rPr>
                <w:szCs w:val="22"/>
                <w:lang w:val="cs-CZ"/>
              </w:rPr>
              <w:t xml:space="preserve"> Výchozí stav je definován jako otevřený výchozí stav, kdy mají pacienti aktivní onemocnění.</w:t>
            </w:r>
          </w:p>
          <w:p w14:paraId="0F0805CA" w14:textId="77777777" w:rsidR="00A05B57" w:rsidRPr="00932F07" w:rsidRDefault="00000000" w:rsidP="009038AE">
            <w:pPr>
              <w:pStyle w:val="EMEANormal"/>
              <w:keepNext/>
              <w:ind w:left="20"/>
              <w:rPr>
                <w:szCs w:val="22"/>
                <w:lang w:val="cs-CZ"/>
              </w:rPr>
            </w:pPr>
            <w:r w:rsidRPr="002F2C3D">
              <w:rPr>
                <w:szCs w:val="22"/>
                <w:vertAlign w:val="superscript"/>
                <w:lang w:val="cs-CZ"/>
              </w:rPr>
              <w:t>c</w:t>
            </w:r>
            <w:r w:rsidRPr="002F2C3D">
              <w:rPr>
                <w:szCs w:val="22"/>
                <w:lang w:val="cs-CZ"/>
              </w:rPr>
              <w:t xml:space="preserve"> </w:t>
            </w:r>
            <w:r w:rsidRPr="004B4C5D">
              <w:rPr>
                <w:szCs w:val="22"/>
                <w:lang w:val="cs-CZ"/>
              </w:rPr>
              <w:t>Ankylosing Spondylitis Disease Activity Score</w:t>
            </w:r>
          </w:p>
          <w:p w14:paraId="41D2CF54" w14:textId="77777777" w:rsidR="00A05B57" w:rsidRPr="002F2C3D" w:rsidRDefault="00000000" w:rsidP="009038AE">
            <w:pPr>
              <w:keepNext/>
              <w:autoSpaceDE w:val="0"/>
              <w:autoSpaceDN w:val="0"/>
              <w:adjustRightInd w:val="0"/>
              <w:rPr>
                <w:szCs w:val="22"/>
              </w:rPr>
            </w:pPr>
            <w:r w:rsidRPr="002F2C3D">
              <w:rPr>
                <w:szCs w:val="22"/>
                <w:vertAlign w:val="superscript"/>
              </w:rPr>
              <w:t>d</w:t>
            </w:r>
            <w:r w:rsidRPr="002F2C3D">
              <w:rPr>
                <w:szCs w:val="22"/>
              </w:rPr>
              <w:t xml:space="preserve"> Částečné vzplanutí je definováno jako </w:t>
            </w:r>
            <w:r w:rsidRPr="002F2C3D">
              <w:rPr>
                <w:rFonts w:eastAsiaTheme="minorHAnsi"/>
                <w:szCs w:val="22"/>
              </w:rPr>
              <w:t>ASDAS ≥</w:t>
            </w:r>
            <w:r>
              <w:rPr>
                <w:rFonts w:eastAsiaTheme="minorHAnsi"/>
                <w:szCs w:val="22"/>
              </w:rPr>
              <w:t> </w:t>
            </w:r>
            <w:r w:rsidRPr="002F2C3D">
              <w:rPr>
                <w:rFonts w:eastAsiaTheme="minorHAnsi"/>
                <w:szCs w:val="22"/>
              </w:rPr>
              <w:t>1,3, ale &lt;</w:t>
            </w:r>
            <w:r>
              <w:rPr>
                <w:rFonts w:eastAsiaTheme="minorHAnsi"/>
                <w:szCs w:val="22"/>
              </w:rPr>
              <w:t> </w:t>
            </w:r>
            <w:r w:rsidRPr="002F2C3D">
              <w:rPr>
                <w:rFonts w:eastAsiaTheme="minorHAnsi"/>
                <w:szCs w:val="22"/>
              </w:rPr>
              <w:t>2,1 při 2 po sobě jdoucích návštěvách.</w:t>
            </w:r>
          </w:p>
          <w:p w14:paraId="4F68A527" w14:textId="77777777" w:rsidR="00A05B57" w:rsidRPr="004E5BEB" w:rsidRDefault="00000000" w:rsidP="009038AE">
            <w:pPr>
              <w:pStyle w:val="EMEANormal"/>
              <w:keepNext/>
              <w:ind w:left="20"/>
              <w:rPr>
                <w:lang w:val="cs-CZ"/>
              </w:rPr>
            </w:pPr>
            <w:r w:rsidRPr="002F2C3D">
              <w:rPr>
                <w:szCs w:val="22"/>
                <w:lang w:val="cs-CZ"/>
              </w:rPr>
              <w:t xml:space="preserve">***, ** Statisticky </w:t>
            </w:r>
            <w:r>
              <w:rPr>
                <w:szCs w:val="22"/>
                <w:lang w:val="cs-CZ"/>
              </w:rPr>
              <w:t>významné</w:t>
            </w:r>
            <w:r w:rsidRPr="002F2C3D">
              <w:rPr>
                <w:szCs w:val="22"/>
                <w:lang w:val="cs-CZ"/>
              </w:rPr>
              <w:t xml:space="preserve"> při p&lt;0,001</w:t>
            </w:r>
            <w:r w:rsidR="002378E0">
              <w:rPr>
                <w:szCs w:val="22"/>
                <w:lang w:val="cs-CZ"/>
              </w:rPr>
              <w:t xml:space="preserve"> a </w:t>
            </w:r>
            <w:r w:rsidRPr="002F2C3D">
              <w:rPr>
                <w:szCs w:val="22"/>
                <w:lang w:val="cs-CZ"/>
              </w:rPr>
              <w:t>&lt;0,01, v </w:t>
            </w:r>
            <w:r>
              <w:rPr>
                <w:szCs w:val="22"/>
                <w:lang w:val="cs-CZ"/>
              </w:rPr>
              <w:t>tomto</w:t>
            </w:r>
            <w:r w:rsidRPr="002F2C3D">
              <w:rPr>
                <w:szCs w:val="22"/>
                <w:lang w:val="cs-CZ"/>
              </w:rPr>
              <w:t xml:space="preserve"> pořadí, pro všechna srovnání mezi přípravkem Humira</w:t>
            </w:r>
            <w:r w:rsidR="002378E0">
              <w:rPr>
                <w:szCs w:val="22"/>
                <w:lang w:val="cs-CZ"/>
              </w:rPr>
              <w:t xml:space="preserve"> a </w:t>
            </w:r>
            <w:r w:rsidRPr="002F2C3D">
              <w:rPr>
                <w:szCs w:val="22"/>
                <w:lang w:val="cs-CZ"/>
              </w:rPr>
              <w:t>placebem.</w:t>
            </w:r>
          </w:p>
        </w:tc>
      </w:tr>
    </w:tbl>
    <w:p w14:paraId="6E15EBB2" w14:textId="77777777" w:rsidR="00ED3511" w:rsidRPr="001B4A02" w:rsidRDefault="00ED3511" w:rsidP="00ED48A3">
      <w:pPr>
        <w:ind w:left="0" w:firstLine="0"/>
      </w:pPr>
    </w:p>
    <w:p w14:paraId="5A000951" w14:textId="77777777" w:rsidR="00ED3511" w:rsidRPr="001B4A02" w:rsidRDefault="00000000" w:rsidP="00A03600">
      <w:pPr>
        <w:keepNext/>
        <w:ind w:left="0" w:firstLine="0"/>
        <w:rPr>
          <w:i/>
        </w:rPr>
      </w:pPr>
      <w:r w:rsidRPr="001B4A02">
        <w:rPr>
          <w:i/>
        </w:rPr>
        <w:t>Psoriatická artritida</w:t>
      </w:r>
    </w:p>
    <w:p w14:paraId="4E7259CB" w14:textId="77777777" w:rsidR="00ED3511" w:rsidRPr="001B4A02" w:rsidRDefault="00ED3511" w:rsidP="00A03600">
      <w:pPr>
        <w:keepNext/>
        <w:ind w:left="0" w:firstLine="0"/>
      </w:pPr>
    </w:p>
    <w:p w14:paraId="13EB93C5" w14:textId="77777777" w:rsidR="00ED3511" w:rsidRPr="001B4A02" w:rsidRDefault="00000000" w:rsidP="00ED48A3">
      <w:pPr>
        <w:ind w:left="0" w:firstLine="0"/>
      </w:pPr>
      <w:r w:rsidRPr="001B4A02">
        <w:t xml:space="preserve">Přípravek Humira </w:t>
      </w:r>
      <w:r w:rsidR="00805938" w:rsidRPr="001B4A02">
        <w:t xml:space="preserve">v dávce </w:t>
      </w:r>
      <w:r w:rsidRPr="001B4A02">
        <w:t>40 mg každý druhý týden byl studován u pacientů se střední</w:t>
      </w:r>
      <w:r w:rsidR="002378E0">
        <w:t xml:space="preserve"> a </w:t>
      </w:r>
      <w:r w:rsidRPr="001B4A02">
        <w:t>výraznou aktivitou psoriatické artritidy ve dvou placebem kontrolovaných studiích PsA I</w:t>
      </w:r>
      <w:r w:rsidR="002378E0">
        <w:t xml:space="preserve"> a </w:t>
      </w:r>
      <w:r w:rsidRPr="001B4A02">
        <w:t>II. Ve studii PsA I, která trvala 24 týdnů, bylo léčeno 313 dospělých pacientů s nedostatečnou odpovědí na nesteroidní antirevmatika</w:t>
      </w:r>
      <w:r w:rsidR="002378E0">
        <w:t xml:space="preserve"> a </w:t>
      </w:r>
      <w:r w:rsidRPr="001B4A02">
        <w:t>z nich přibližně 50</w:t>
      </w:r>
      <w:r w:rsidR="00FA1345" w:rsidRPr="001B4A02">
        <w:t> </w:t>
      </w:r>
      <w:r w:rsidRPr="001B4A02">
        <w:t xml:space="preserve">% užívalo methotrexát. Ve studii PsA II, která trvala 12 týdnů, bylo léčeno 100 pacientů s nedostatečnou odpovědí na léčbu DMARD. V průběhu dokončování obou studií bylo 383 pacientů zahrnuto do otevřené prodloužené fáze studie, kdy </w:t>
      </w:r>
      <w:r w:rsidR="0037494F" w:rsidRPr="001B4A02">
        <w:t>po</w:t>
      </w:r>
      <w:r w:rsidRPr="001B4A02">
        <w:t>užívali 40</w:t>
      </w:r>
      <w:r w:rsidR="00F365E7">
        <w:t> mg</w:t>
      </w:r>
      <w:r w:rsidRPr="001B4A02">
        <w:t xml:space="preserve"> přípravku Humira každý druhý týden. </w:t>
      </w:r>
    </w:p>
    <w:p w14:paraId="4F90A9EF" w14:textId="77777777" w:rsidR="00ED3511" w:rsidRPr="001B4A02" w:rsidRDefault="00ED3511" w:rsidP="00ED48A3">
      <w:pPr>
        <w:ind w:left="0" w:firstLine="0"/>
      </w:pPr>
    </w:p>
    <w:p w14:paraId="7BD40698" w14:textId="77777777" w:rsidR="00ED3511" w:rsidRDefault="00000000" w:rsidP="00ED48A3">
      <w:pPr>
        <w:ind w:left="0" w:firstLine="0"/>
      </w:pPr>
      <w:r w:rsidRPr="001B4A02">
        <w:t>Pro malý počet studovaných pacientů s psoriatickou artropatií podobnou ankylozující spondylitidě nejsou k dispozici dostatečné důkazy o účinnosti přípravku Humira.</w:t>
      </w:r>
    </w:p>
    <w:p w14:paraId="100DEE15" w14:textId="77777777" w:rsidR="0050658F" w:rsidRPr="001B4A02" w:rsidRDefault="0050658F" w:rsidP="00ED48A3">
      <w:pPr>
        <w:ind w:left="0" w:firstLine="0"/>
      </w:pPr>
    </w:p>
    <w:p w14:paraId="01734EA9" w14:textId="77777777" w:rsidR="0050658F" w:rsidRPr="001B4A02" w:rsidRDefault="00000000" w:rsidP="0050658F">
      <w:pPr>
        <w:pStyle w:val="EMEANormal"/>
        <w:keepNext/>
        <w:jc w:val="center"/>
        <w:rPr>
          <w:b/>
          <w:bCs/>
          <w:lang w:val="cs-CZ"/>
        </w:rPr>
      </w:pPr>
      <w:r w:rsidRPr="001B4A02">
        <w:rPr>
          <w:b/>
          <w:bCs/>
          <w:lang w:val="cs-CZ"/>
        </w:rPr>
        <w:t xml:space="preserve">Tabulka </w:t>
      </w:r>
      <w:r w:rsidR="002A0AEB">
        <w:rPr>
          <w:b/>
          <w:bCs/>
          <w:lang w:val="cs-CZ"/>
        </w:rPr>
        <w:t>15</w:t>
      </w:r>
    </w:p>
    <w:p w14:paraId="3F9D5142" w14:textId="77777777" w:rsidR="0050658F" w:rsidRDefault="00000000" w:rsidP="0050658F">
      <w:pPr>
        <w:ind w:left="0" w:firstLine="0"/>
        <w:jc w:val="center"/>
        <w:rPr>
          <w:b/>
          <w:bCs/>
        </w:rPr>
      </w:pPr>
      <w:r w:rsidRPr="001B4A02">
        <w:rPr>
          <w:b/>
          <w:bCs/>
        </w:rPr>
        <w:t>Odpověď ACR v placebem kontrolovaných studiích u pacientů s psoriatickou artritidou (Procento pacientů)</w:t>
      </w:r>
    </w:p>
    <w:p w14:paraId="11431CBC" w14:textId="77777777" w:rsidR="0050658F" w:rsidRDefault="0050658F" w:rsidP="0050658F">
      <w:pPr>
        <w:ind w:left="0" w:firstLine="0"/>
        <w:jc w:val="center"/>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4"/>
        <w:gridCol w:w="1716"/>
        <w:gridCol w:w="1732"/>
        <w:gridCol w:w="1874"/>
        <w:gridCol w:w="1925"/>
      </w:tblGrid>
      <w:tr w:rsidR="00534A2D" w14:paraId="33821FFB" w14:textId="77777777" w:rsidTr="000C0B0A">
        <w:trPr>
          <w:jc w:val="center"/>
        </w:trPr>
        <w:tc>
          <w:tcPr>
            <w:tcW w:w="1832" w:type="dxa"/>
            <w:tcBorders>
              <w:top w:val="single" w:sz="4" w:space="0" w:color="auto"/>
              <w:left w:val="single" w:sz="4" w:space="0" w:color="auto"/>
              <w:bottom w:val="single" w:sz="4" w:space="0" w:color="auto"/>
              <w:right w:val="single" w:sz="4" w:space="0" w:color="auto"/>
            </w:tcBorders>
            <w:vAlign w:val="center"/>
          </w:tcPr>
          <w:p w14:paraId="56B20960" w14:textId="77777777" w:rsidR="0050658F" w:rsidRPr="001B4A02" w:rsidRDefault="0050658F" w:rsidP="009A65BD">
            <w:pPr>
              <w:pStyle w:val="EMEANormal"/>
              <w:keepNext/>
              <w:rPr>
                <w:lang w:val="cs-CZ"/>
              </w:rPr>
            </w:pPr>
          </w:p>
        </w:tc>
        <w:tc>
          <w:tcPr>
            <w:tcW w:w="3508" w:type="dxa"/>
            <w:gridSpan w:val="2"/>
            <w:tcBorders>
              <w:top w:val="single" w:sz="4" w:space="0" w:color="auto"/>
              <w:left w:val="single" w:sz="4" w:space="0" w:color="auto"/>
              <w:bottom w:val="single" w:sz="4" w:space="0" w:color="auto"/>
              <w:right w:val="single" w:sz="4" w:space="0" w:color="auto"/>
            </w:tcBorders>
            <w:vAlign w:val="center"/>
          </w:tcPr>
          <w:p w14:paraId="071E80BE" w14:textId="77777777" w:rsidR="0050658F" w:rsidRPr="001B4A02" w:rsidRDefault="00000000" w:rsidP="009A65BD">
            <w:pPr>
              <w:pStyle w:val="EMEANormal"/>
              <w:keepNext/>
              <w:jc w:val="center"/>
              <w:rPr>
                <w:lang w:val="cs-CZ"/>
              </w:rPr>
            </w:pPr>
            <w:r w:rsidRPr="001B4A02">
              <w:rPr>
                <w:lang w:val="cs-CZ"/>
              </w:rPr>
              <w:t>Studie PsA I</w:t>
            </w:r>
          </w:p>
        </w:tc>
        <w:tc>
          <w:tcPr>
            <w:tcW w:w="3871" w:type="dxa"/>
            <w:gridSpan w:val="2"/>
            <w:tcBorders>
              <w:top w:val="single" w:sz="4" w:space="0" w:color="auto"/>
              <w:left w:val="single" w:sz="4" w:space="0" w:color="auto"/>
              <w:bottom w:val="single" w:sz="4" w:space="0" w:color="auto"/>
              <w:right w:val="single" w:sz="4" w:space="0" w:color="auto"/>
            </w:tcBorders>
          </w:tcPr>
          <w:p w14:paraId="383DBCD6" w14:textId="77777777" w:rsidR="0050658F" w:rsidRPr="001B4A02" w:rsidRDefault="00000000" w:rsidP="009A65BD">
            <w:pPr>
              <w:pStyle w:val="EMEANormal"/>
              <w:keepNext/>
              <w:jc w:val="center"/>
              <w:rPr>
                <w:lang w:val="cs-CZ"/>
              </w:rPr>
            </w:pPr>
            <w:r w:rsidRPr="001B4A02">
              <w:rPr>
                <w:lang w:val="cs-CZ"/>
              </w:rPr>
              <w:t>Studie PsA II</w:t>
            </w:r>
          </w:p>
        </w:tc>
      </w:tr>
      <w:tr w:rsidR="00534A2D" w14:paraId="5F180103" w14:textId="77777777" w:rsidTr="000C0B0A">
        <w:trPr>
          <w:jc w:val="center"/>
        </w:trPr>
        <w:tc>
          <w:tcPr>
            <w:tcW w:w="1832" w:type="dxa"/>
            <w:tcBorders>
              <w:top w:val="single" w:sz="4" w:space="0" w:color="auto"/>
              <w:left w:val="single" w:sz="4" w:space="0" w:color="auto"/>
              <w:bottom w:val="single" w:sz="4" w:space="0" w:color="auto"/>
              <w:right w:val="single" w:sz="4" w:space="0" w:color="auto"/>
            </w:tcBorders>
            <w:vAlign w:val="center"/>
          </w:tcPr>
          <w:p w14:paraId="2211A98A" w14:textId="77777777" w:rsidR="0050658F" w:rsidRPr="001B4A02" w:rsidRDefault="00000000" w:rsidP="009A65BD">
            <w:pPr>
              <w:pStyle w:val="EMEANormal"/>
              <w:keepNext/>
              <w:rPr>
                <w:lang w:val="cs-CZ"/>
              </w:rPr>
            </w:pPr>
            <w:r w:rsidRPr="001B4A02">
              <w:rPr>
                <w:lang w:val="cs-CZ"/>
              </w:rPr>
              <w:t>Odpověď</w:t>
            </w:r>
          </w:p>
        </w:tc>
        <w:tc>
          <w:tcPr>
            <w:tcW w:w="1746" w:type="dxa"/>
            <w:tcBorders>
              <w:top w:val="single" w:sz="4" w:space="0" w:color="auto"/>
              <w:left w:val="single" w:sz="4" w:space="0" w:color="auto"/>
              <w:bottom w:val="single" w:sz="4" w:space="0" w:color="auto"/>
              <w:right w:val="single" w:sz="4" w:space="0" w:color="auto"/>
            </w:tcBorders>
            <w:vAlign w:val="center"/>
          </w:tcPr>
          <w:p w14:paraId="1AA1E64E" w14:textId="77777777" w:rsidR="0050658F" w:rsidRPr="001B4A02" w:rsidRDefault="00000000" w:rsidP="009A65BD">
            <w:pPr>
              <w:pStyle w:val="EMEANormal"/>
              <w:keepNext/>
              <w:jc w:val="center"/>
              <w:rPr>
                <w:lang w:val="cs-CZ"/>
              </w:rPr>
            </w:pPr>
            <w:r w:rsidRPr="001B4A02">
              <w:rPr>
                <w:lang w:val="cs-CZ"/>
              </w:rPr>
              <w:t>Placebo</w:t>
            </w:r>
          </w:p>
          <w:p w14:paraId="500D09A3" w14:textId="77777777" w:rsidR="0050658F" w:rsidRPr="001B4A02" w:rsidRDefault="00000000" w:rsidP="009A65BD">
            <w:pPr>
              <w:pStyle w:val="EMEANormal"/>
              <w:keepNext/>
              <w:jc w:val="center"/>
              <w:rPr>
                <w:lang w:val="cs-CZ"/>
              </w:rPr>
            </w:pPr>
            <w:r w:rsidRPr="001B4A02">
              <w:rPr>
                <w:lang w:val="cs-CZ"/>
              </w:rPr>
              <w:t>n=162</w:t>
            </w:r>
          </w:p>
        </w:tc>
        <w:tc>
          <w:tcPr>
            <w:tcW w:w="1762" w:type="dxa"/>
            <w:tcBorders>
              <w:top w:val="single" w:sz="4" w:space="0" w:color="auto"/>
              <w:left w:val="single" w:sz="4" w:space="0" w:color="auto"/>
              <w:bottom w:val="single" w:sz="4" w:space="0" w:color="auto"/>
              <w:right w:val="nil"/>
            </w:tcBorders>
            <w:vAlign w:val="center"/>
          </w:tcPr>
          <w:p w14:paraId="1F37A11C" w14:textId="77777777" w:rsidR="0050658F" w:rsidRPr="001B4A02" w:rsidRDefault="00000000" w:rsidP="009A65BD">
            <w:pPr>
              <w:pStyle w:val="EMEANormal"/>
              <w:keepNext/>
              <w:jc w:val="center"/>
              <w:rPr>
                <w:lang w:val="cs-CZ"/>
              </w:rPr>
            </w:pPr>
            <w:r w:rsidRPr="001B4A02">
              <w:rPr>
                <w:lang w:val="cs-CZ"/>
              </w:rPr>
              <w:t>Humira</w:t>
            </w:r>
          </w:p>
          <w:p w14:paraId="342C826B" w14:textId="77777777" w:rsidR="0050658F" w:rsidRPr="001B4A02" w:rsidRDefault="00000000" w:rsidP="009A65BD">
            <w:pPr>
              <w:pStyle w:val="EMEANormal"/>
              <w:keepNext/>
              <w:jc w:val="center"/>
              <w:rPr>
                <w:lang w:val="cs-CZ"/>
              </w:rPr>
            </w:pPr>
            <w:r w:rsidRPr="001B4A02">
              <w:rPr>
                <w:lang w:val="cs-CZ"/>
              </w:rPr>
              <w:t>n=151</w:t>
            </w:r>
          </w:p>
        </w:tc>
        <w:tc>
          <w:tcPr>
            <w:tcW w:w="1909" w:type="dxa"/>
            <w:tcBorders>
              <w:top w:val="single" w:sz="4" w:space="0" w:color="auto"/>
              <w:left w:val="single" w:sz="4" w:space="0" w:color="auto"/>
              <w:bottom w:val="single" w:sz="4" w:space="0" w:color="auto"/>
              <w:right w:val="single" w:sz="4" w:space="0" w:color="auto"/>
            </w:tcBorders>
          </w:tcPr>
          <w:p w14:paraId="2A941525" w14:textId="77777777" w:rsidR="0050658F" w:rsidRPr="001B4A02" w:rsidRDefault="00000000" w:rsidP="009A65BD">
            <w:pPr>
              <w:pStyle w:val="EMEANormal"/>
              <w:keepNext/>
              <w:jc w:val="center"/>
              <w:rPr>
                <w:lang w:val="cs-CZ"/>
              </w:rPr>
            </w:pPr>
            <w:r w:rsidRPr="001B4A02">
              <w:rPr>
                <w:lang w:val="cs-CZ"/>
              </w:rPr>
              <w:t xml:space="preserve">Placebo </w:t>
            </w:r>
          </w:p>
          <w:p w14:paraId="0DFBF0DB" w14:textId="77777777" w:rsidR="0050658F" w:rsidRPr="001B4A02" w:rsidRDefault="00000000" w:rsidP="009A65BD">
            <w:pPr>
              <w:pStyle w:val="EMEANormal"/>
              <w:keepNext/>
              <w:jc w:val="center"/>
              <w:rPr>
                <w:lang w:val="cs-CZ"/>
              </w:rPr>
            </w:pPr>
            <w:r w:rsidRPr="001B4A02">
              <w:rPr>
                <w:lang w:val="cs-CZ"/>
              </w:rPr>
              <w:t>n=49</w:t>
            </w:r>
          </w:p>
        </w:tc>
        <w:tc>
          <w:tcPr>
            <w:tcW w:w="1962" w:type="dxa"/>
            <w:tcBorders>
              <w:top w:val="single" w:sz="4" w:space="0" w:color="auto"/>
              <w:left w:val="single" w:sz="4" w:space="0" w:color="auto"/>
              <w:bottom w:val="single" w:sz="4" w:space="0" w:color="auto"/>
              <w:right w:val="single" w:sz="4" w:space="0" w:color="auto"/>
            </w:tcBorders>
          </w:tcPr>
          <w:p w14:paraId="1553AED1" w14:textId="77777777" w:rsidR="0050658F" w:rsidRPr="001B4A02" w:rsidRDefault="00000000" w:rsidP="009A65BD">
            <w:pPr>
              <w:pStyle w:val="EMEANormal"/>
              <w:keepNext/>
              <w:jc w:val="center"/>
              <w:rPr>
                <w:lang w:val="cs-CZ"/>
              </w:rPr>
            </w:pPr>
            <w:r w:rsidRPr="001B4A02">
              <w:rPr>
                <w:lang w:val="cs-CZ"/>
              </w:rPr>
              <w:t>Humira</w:t>
            </w:r>
          </w:p>
          <w:p w14:paraId="466656AD" w14:textId="77777777" w:rsidR="0050658F" w:rsidRPr="001B4A02" w:rsidRDefault="00000000" w:rsidP="009A65BD">
            <w:pPr>
              <w:pStyle w:val="EMEANormal"/>
              <w:keepNext/>
              <w:jc w:val="center"/>
              <w:rPr>
                <w:lang w:val="cs-CZ"/>
              </w:rPr>
            </w:pPr>
            <w:r w:rsidRPr="001B4A02">
              <w:rPr>
                <w:lang w:val="cs-CZ"/>
              </w:rPr>
              <w:t>n=51</w:t>
            </w:r>
          </w:p>
        </w:tc>
      </w:tr>
      <w:tr w:rsidR="00534A2D" w14:paraId="1977759C" w14:textId="77777777" w:rsidTr="000C0B0A">
        <w:trPr>
          <w:jc w:val="center"/>
        </w:trPr>
        <w:tc>
          <w:tcPr>
            <w:tcW w:w="1832" w:type="dxa"/>
            <w:tcBorders>
              <w:top w:val="single" w:sz="4" w:space="0" w:color="auto"/>
              <w:left w:val="single" w:sz="4" w:space="0" w:color="auto"/>
              <w:bottom w:val="nil"/>
              <w:right w:val="single" w:sz="4" w:space="0" w:color="auto"/>
            </w:tcBorders>
          </w:tcPr>
          <w:p w14:paraId="36EBCBF2" w14:textId="77777777" w:rsidR="0050658F" w:rsidRPr="001B4A02" w:rsidRDefault="00000000" w:rsidP="009A65BD">
            <w:pPr>
              <w:pStyle w:val="EMEANormal"/>
              <w:keepNext/>
              <w:rPr>
                <w:lang w:val="cs-CZ"/>
              </w:rPr>
            </w:pPr>
            <w:r w:rsidRPr="001B4A02">
              <w:rPr>
                <w:lang w:val="cs-CZ"/>
              </w:rPr>
              <w:t xml:space="preserve">ACR 20 </w:t>
            </w:r>
          </w:p>
        </w:tc>
        <w:tc>
          <w:tcPr>
            <w:tcW w:w="1746" w:type="dxa"/>
            <w:tcBorders>
              <w:top w:val="single" w:sz="4" w:space="0" w:color="auto"/>
              <w:left w:val="single" w:sz="4" w:space="0" w:color="auto"/>
              <w:bottom w:val="nil"/>
              <w:right w:val="single" w:sz="4" w:space="0" w:color="auto"/>
            </w:tcBorders>
          </w:tcPr>
          <w:p w14:paraId="0EFBE66C" w14:textId="77777777" w:rsidR="0050658F" w:rsidRPr="001B4A02" w:rsidRDefault="0050658F" w:rsidP="009A65BD">
            <w:pPr>
              <w:pStyle w:val="EMEANormal"/>
              <w:keepNext/>
              <w:jc w:val="center"/>
              <w:rPr>
                <w:lang w:val="cs-CZ"/>
              </w:rPr>
            </w:pPr>
          </w:p>
        </w:tc>
        <w:tc>
          <w:tcPr>
            <w:tcW w:w="1762" w:type="dxa"/>
            <w:tcBorders>
              <w:top w:val="single" w:sz="4" w:space="0" w:color="auto"/>
              <w:left w:val="single" w:sz="4" w:space="0" w:color="auto"/>
              <w:bottom w:val="nil"/>
              <w:right w:val="nil"/>
            </w:tcBorders>
          </w:tcPr>
          <w:p w14:paraId="70C37919" w14:textId="77777777" w:rsidR="0050658F" w:rsidRPr="001B4A02" w:rsidRDefault="0050658F" w:rsidP="009A65BD">
            <w:pPr>
              <w:pStyle w:val="EMEANormal"/>
              <w:keepNext/>
              <w:jc w:val="center"/>
              <w:rPr>
                <w:lang w:val="cs-CZ"/>
              </w:rPr>
            </w:pPr>
          </w:p>
        </w:tc>
        <w:tc>
          <w:tcPr>
            <w:tcW w:w="1909" w:type="dxa"/>
            <w:tcBorders>
              <w:top w:val="single" w:sz="4" w:space="0" w:color="auto"/>
              <w:left w:val="single" w:sz="4" w:space="0" w:color="auto"/>
              <w:bottom w:val="nil"/>
              <w:right w:val="single" w:sz="4" w:space="0" w:color="auto"/>
            </w:tcBorders>
          </w:tcPr>
          <w:p w14:paraId="1609B94F" w14:textId="77777777" w:rsidR="0050658F" w:rsidRPr="001B4A02" w:rsidRDefault="0050658F" w:rsidP="009A65BD">
            <w:pPr>
              <w:pStyle w:val="EMEANormal"/>
              <w:keepNext/>
              <w:jc w:val="center"/>
              <w:rPr>
                <w:lang w:val="cs-CZ"/>
              </w:rPr>
            </w:pPr>
          </w:p>
        </w:tc>
        <w:tc>
          <w:tcPr>
            <w:tcW w:w="1962" w:type="dxa"/>
            <w:tcBorders>
              <w:top w:val="single" w:sz="4" w:space="0" w:color="auto"/>
              <w:left w:val="single" w:sz="4" w:space="0" w:color="auto"/>
              <w:bottom w:val="nil"/>
              <w:right w:val="single" w:sz="4" w:space="0" w:color="auto"/>
            </w:tcBorders>
          </w:tcPr>
          <w:p w14:paraId="0E16BDAE" w14:textId="77777777" w:rsidR="0050658F" w:rsidRPr="001B4A02" w:rsidRDefault="0050658F" w:rsidP="009A65BD">
            <w:pPr>
              <w:pStyle w:val="EMEANormal"/>
              <w:keepNext/>
              <w:jc w:val="center"/>
              <w:rPr>
                <w:lang w:val="cs-CZ"/>
              </w:rPr>
            </w:pPr>
          </w:p>
        </w:tc>
      </w:tr>
      <w:tr w:rsidR="00534A2D" w14:paraId="7518FC60" w14:textId="77777777" w:rsidTr="000C0B0A">
        <w:trPr>
          <w:jc w:val="center"/>
        </w:trPr>
        <w:tc>
          <w:tcPr>
            <w:tcW w:w="1832" w:type="dxa"/>
            <w:tcBorders>
              <w:top w:val="nil"/>
              <w:left w:val="single" w:sz="4" w:space="0" w:color="auto"/>
              <w:bottom w:val="nil"/>
              <w:right w:val="single" w:sz="4" w:space="0" w:color="auto"/>
            </w:tcBorders>
          </w:tcPr>
          <w:p w14:paraId="16E79A65" w14:textId="77777777" w:rsidR="0050658F" w:rsidRPr="001B4A02" w:rsidRDefault="00000000" w:rsidP="009A65BD">
            <w:pPr>
              <w:pStyle w:val="EMEANormal"/>
              <w:keepNext/>
              <w:rPr>
                <w:lang w:val="cs-CZ"/>
              </w:rPr>
            </w:pPr>
            <w:r w:rsidRPr="001B4A02">
              <w:rPr>
                <w:lang w:val="cs-CZ"/>
              </w:rPr>
              <w:tab/>
              <w:t>Týden 12</w:t>
            </w:r>
          </w:p>
        </w:tc>
        <w:tc>
          <w:tcPr>
            <w:tcW w:w="1746" w:type="dxa"/>
            <w:tcBorders>
              <w:top w:val="nil"/>
              <w:left w:val="single" w:sz="4" w:space="0" w:color="auto"/>
              <w:bottom w:val="nil"/>
              <w:right w:val="single" w:sz="4" w:space="0" w:color="auto"/>
            </w:tcBorders>
          </w:tcPr>
          <w:p w14:paraId="4E1ADB6C" w14:textId="77777777" w:rsidR="0050658F" w:rsidRPr="001B4A02" w:rsidRDefault="00000000" w:rsidP="009A65BD">
            <w:pPr>
              <w:pStyle w:val="EMEANormal"/>
              <w:keepNext/>
              <w:jc w:val="center"/>
              <w:rPr>
                <w:lang w:val="cs-CZ"/>
              </w:rPr>
            </w:pPr>
            <w:r w:rsidRPr="001B4A02">
              <w:rPr>
                <w:lang w:val="cs-CZ"/>
              </w:rPr>
              <w:t>14 %</w:t>
            </w:r>
          </w:p>
        </w:tc>
        <w:tc>
          <w:tcPr>
            <w:tcW w:w="1762" w:type="dxa"/>
            <w:tcBorders>
              <w:top w:val="nil"/>
              <w:left w:val="single" w:sz="4" w:space="0" w:color="auto"/>
              <w:bottom w:val="nil"/>
              <w:right w:val="nil"/>
            </w:tcBorders>
          </w:tcPr>
          <w:p w14:paraId="7760AA0E" w14:textId="77777777" w:rsidR="0050658F" w:rsidRPr="001B4A02" w:rsidRDefault="00000000" w:rsidP="009A65BD">
            <w:pPr>
              <w:pStyle w:val="EMEANormal"/>
              <w:keepNext/>
              <w:jc w:val="center"/>
              <w:rPr>
                <w:lang w:val="cs-CZ"/>
              </w:rPr>
            </w:pPr>
            <w:r w:rsidRPr="001B4A02">
              <w:rPr>
                <w:lang w:val="cs-CZ"/>
              </w:rPr>
              <w:t>58 %</w:t>
            </w:r>
            <w:r w:rsidRPr="001B4A02">
              <w:rPr>
                <w:sz w:val="24"/>
                <w:vertAlign w:val="superscript"/>
                <w:lang w:val="cs-CZ"/>
              </w:rPr>
              <w:t>***</w:t>
            </w:r>
          </w:p>
        </w:tc>
        <w:tc>
          <w:tcPr>
            <w:tcW w:w="1909" w:type="dxa"/>
            <w:tcBorders>
              <w:top w:val="nil"/>
              <w:left w:val="single" w:sz="4" w:space="0" w:color="auto"/>
              <w:bottom w:val="nil"/>
              <w:right w:val="single" w:sz="4" w:space="0" w:color="auto"/>
            </w:tcBorders>
          </w:tcPr>
          <w:p w14:paraId="5268C389" w14:textId="77777777" w:rsidR="0050658F" w:rsidRPr="001B4A02" w:rsidRDefault="00000000" w:rsidP="009A65BD">
            <w:pPr>
              <w:pStyle w:val="EMEANormal"/>
              <w:keepNext/>
              <w:jc w:val="center"/>
              <w:rPr>
                <w:lang w:val="cs-CZ"/>
              </w:rPr>
            </w:pPr>
            <w:r w:rsidRPr="001B4A02">
              <w:rPr>
                <w:lang w:val="cs-CZ"/>
              </w:rPr>
              <w:t>16 %</w:t>
            </w:r>
          </w:p>
        </w:tc>
        <w:tc>
          <w:tcPr>
            <w:tcW w:w="1962" w:type="dxa"/>
            <w:tcBorders>
              <w:top w:val="nil"/>
              <w:left w:val="single" w:sz="4" w:space="0" w:color="auto"/>
              <w:bottom w:val="nil"/>
              <w:right w:val="single" w:sz="4" w:space="0" w:color="auto"/>
            </w:tcBorders>
          </w:tcPr>
          <w:p w14:paraId="182240B4" w14:textId="77777777" w:rsidR="0050658F" w:rsidRPr="001B4A02" w:rsidRDefault="00000000" w:rsidP="009A65BD">
            <w:pPr>
              <w:pStyle w:val="EMEANormal"/>
              <w:keepNext/>
              <w:jc w:val="center"/>
              <w:rPr>
                <w:lang w:val="cs-CZ"/>
              </w:rPr>
            </w:pPr>
            <w:r w:rsidRPr="001B4A02">
              <w:rPr>
                <w:lang w:val="cs-CZ"/>
              </w:rPr>
              <w:t>39 %</w:t>
            </w:r>
            <w:r w:rsidRPr="001B4A02">
              <w:rPr>
                <w:sz w:val="24"/>
                <w:vertAlign w:val="superscript"/>
                <w:lang w:val="cs-CZ"/>
              </w:rPr>
              <w:t>*</w:t>
            </w:r>
          </w:p>
        </w:tc>
      </w:tr>
      <w:tr w:rsidR="00534A2D" w14:paraId="5F74C144" w14:textId="77777777" w:rsidTr="000C0B0A">
        <w:trPr>
          <w:jc w:val="center"/>
        </w:trPr>
        <w:tc>
          <w:tcPr>
            <w:tcW w:w="1832" w:type="dxa"/>
            <w:tcBorders>
              <w:top w:val="nil"/>
              <w:left w:val="single" w:sz="4" w:space="0" w:color="auto"/>
              <w:bottom w:val="nil"/>
              <w:right w:val="single" w:sz="4" w:space="0" w:color="auto"/>
            </w:tcBorders>
          </w:tcPr>
          <w:p w14:paraId="5A96D78C" w14:textId="77777777" w:rsidR="0050658F" w:rsidRPr="001B4A02" w:rsidRDefault="00000000" w:rsidP="009A65BD">
            <w:pPr>
              <w:pStyle w:val="EMEANormal"/>
              <w:keepNext/>
              <w:rPr>
                <w:lang w:val="cs-CZ"/>
              </w:rPr>
            </w:pPr>
            <w:r w:rsidRPr="001B4A02">
              <w:rPr>
                <w:lang w:val="cs-CZ"/>
              </w:rPr>
              <w:tab/>
              <w:t>Týden 24</w:t>
            </w:r>
          </w:p>
        </w:tc>
        <w:tc>
          <w:tcPr>
            <w:tcW w:w="1746" w:type="dxa"/>
            <w:tcBorders>
              <w:top w:val="nil"/>
              <w:left w:val="single" w:sz="4" w:space="0" w:color="auto"/>
              <w:bottom w:val="nil"/>
              <w:right w:val="single" w:sz="4" w:space="0" w:color="auto"/>
            </w:tcBorders>
          </w:tcPr>
          <w:p w14:paraId="67D80C9E" w14:textId="77777777" w:rsidR="0050658F" w:rsidRPr="001B4A02" w:rsidRDefault="00000000" w:rsidP="009A65BD">
            <w:pPr>
              <w:pStyle w:val="EMEANormal"/>
              <w:keepNext/>
              <w:jc w:val="center"/>
              <w:rPr>
                <w:lang w:val="cs-CZ"/>
              </w:rPr>
            </w:pPr>
            <w:r w:rsidRPr="001B4A02">
              <w:rPr>
                <w:lang w:val="cs-CZ"/>
              </w:rPr>
              <w:t>15 %</w:t>
            </w:r>
          </w:p>
        </w:tc>
        <w:tc>
          <w:tcPr>
            <w:tcW w:w="1762" w:type="dxa"/>
            <w:tcBorders>
              <w:top w:val="nil"/>
              <w:left w:val="single" w:sz="4" w:space="0" w:color="auto"/>
              <w:bottom w:val="nil"/>
              <w:right w:val="nil"/>
            </w:tcBorders>
          </w:tcPr>
          <w:p w14:paraId="666905C7" w14:textId="77777777" w:rsidR="0050658F" w:rsidRPr="001B4A02" w:rsidRDefault="00000000" w:rsidP="009A65BD">
            <w:pPr>
              <w:pStyle w:val="EMEANormal"/>
              <w:keepNext/>
              <w:jc w:val="center"/>
              <w:rPr>
                <w:lang w:val="cs-CZ"/>
              </w:rPr>
            </w:pPr>
            <w:r w:rsidRPr="001B4A02">
              <w:rPr>
                <w:lang w:val="cs-CZ"/>
              </w:rPr>
              <w:t>57 %</w:t>
            </w:r>
            <w:r w:rsidRPr="001B4A02">
              <w:rPr>
                <w:sz w:val="24"/>
                <w:vertAlign w:val="superscript"/>
                <w:lang w:val="cs-CZ"/>
              </w:rPr>
              <w:t>***</w:t>
            </w:r>
          </w:p>
        </w:tc>
        <w:tc>
          <w:tcPr>
            <w:tcW w:w="1909" w:type="dxa"/>
            <w:tcBorders>
              <w:top w:val="nil"/>
              <w:left w:val="single" w:sz="4" w:space="0" w:color="auto"/>
              <w:bottom w:val="nil"/>
              <w:right w:val="single" w:sz="4" w:space="0" w:color="auto"/>
            </w:tcBorders>
          </w:tcPr>
          <w:p w14:paraId="660F9136" w14:textId="77777777" w:rsidR="0050658F" w:rsidRPr="001B4A02" w:rsidRDefault="00000000" w:rsidP="009A65BD">
            <w:pPr>
              <w:pStyle w:val="EMEANormal"/>
              <w:keepNext/>
              <w:jc w:val="center"/>
              <w:rPr>
                <w:lang w:val="cs-CZ"/>
              </w:rPr>
            </w:pPr>
            <w:r w:rsidRPr="001B4A02">
              <w:rPr>
                <w:lang w:val="cs-CZ"/>
              </w:rPr>
              <w:t>N/A</w:t>
            </w:r>
          </w:p>
        </w:tc>
        <w:tc>
          <w:tcPr>
            <w:tcW w:w="1962" w:type="dxa"/>
            <w:tcBorders>
              <w:top w:val="nil"/>
              <w:left w:val="single" w:sz="4" w:space="0" w:color="auto"/>
              <w:bottom w:val="nil"/>
              <w:right w:val="single" w:sz="4" w:space="0" w:color="auto"/>
            </w:tcBorders>
          </w:tcPr>
          <w:p w14:paraId="7E42B05C" w14:textId="77777777" w:rsidR="0050658F" w:rsidRPr="001B4A02" w:rsidRDefault="00000000" w:rsidP="009A65BD">
            <w:pPr>
              <w:pStyle w:val="EMEANormal"/>
              <w:keepNext/>
              <w:jc w:val="center"/>
              <w:rPr>
                <w:lang w:val="cs-CZ"/>
              </w:rPr>
            </w:pPr>
            <w:r w:rsidRPr="001B4A02">
              <w:rPr>
                <w:lang w:val="cs-CZ"/>
              </w:rPr>
              <w:t>N/A</w:t>
            </w:r>
          </w:p>
        </w:tc>
      </w:tr>
      <w:tr w:rsidR="00534A2D" w14:paraId="17D5FB89" w14:textId="77777777" w:rsidTr="000C0B0A">
        <w:trPr>
          <w:jc w:val="center"/>
        </w:trPr>
        <w:tc>
          <w:tcPr>
            <w:tcW w:w="1832" w:type="dxa"/>
            <w:tcBorders>
              <w:top w:val="nil"/>
              <w:left w:val="single" w:sz="4" w:space="0" w:color="auto"/>
              <w:bottom w:val="nil"/>
              <w:right w:val="single" w:sz="4" w:space="0" w:color="auto"/>
            </w:tcBorders>
          </w:tcPr>
          <w:p w14:paraId="1D2733AF" w14:textId="77777777" w:rsidR="0050658F" w:rsidRPr="001B4A02" w:rsidRDefault="00000000" w:rsidP="009A65BD">
            <w:pPr>
              <w:pStyle w:val="EMEANormal"/>
              <w:keepNext/>
              <w:rPr>
                <w:lang w:val="cs-CZ"/>
              </w:rPr>
            </w:pPr>
            <w:r w:rsidRPr="001B4A02">
              <w:rPr>
                <w:lang w:val="cs-CZ"/>
              </w:rPr>
              <w:t xml:space="preserve">ACR 50 </w:t>
            </w:r>
          </w:p>
        </w:tc>
        <w:tc>
          <w:tcPr>
            <w:tcW w:w="1746" w:type="dxa"/>
            <w:tcBorders>
              <w:top w:val="nil"/>
              <w:left w:val="single" w:sz="4" w:space="0" w:color="auto"/>
              <w:bottom w:val="nil"/>
              <w:right w:val="single" w:sz="4" w:space="0" w:color="auto"/>
            </w:tcBorders>
          </w:tcPr>
          <w:p w14:paraId="03F67C39" w14:textId="77777777" w:rsidR="0050658F" w:rsidRPr="001B4A02" w:rsidRDefault="0050658F" w:rsidP="009A65BD">
            <w:pPr>
              <w:pStyle w:val="EMEANormal"/>
              <w:keepNext/>
              <w:jc w:val="center"/>
              <w:rPr>
                <w:lang w:val="cs-CZ"/>
              </w:rPr>
            </w:pPr>
          </w:p>
        </w:tc>
        <w:tc>
          <w:tcPr>
            <w:tcW w:w="1762" w:type="dxa"/>
            <w:tcBorders>
              <w:top w:val="nil"/>
              <w:left w:val="single" w:sz="4" w:space="0" w:color="auto"/>
              <w:bottom w:val="nil"/>
              <w:right w:val="nil"/>
            </w:tcBorders>
          </w:tcPr>
          <w:p w14:paraId="22083A4D" w14:textId="77777777" w:rsidR="0050658F" w:rsidRPr="001B4A02" w:rsidRDefault="0050658F" w:rsidP="009A65BD">
            <w:pPr>
              <w:pStyle w:val="EMEANormal"/>
              <w:keepNext/>
              <w:jc w:val="center"/>
              <w:rPr>
                <w:lang w:val="cs-CZ"/>
              </w:rPr>
            </w:pPr>
          </w:p>
        </w:tc>
        <w:tc>
          <w:tcPr>
            <w:tcW w:w="1909" w:type="dxa"/>
            <w:tcBorders>
              <w:top w:val="nil"/>
              <w:left w:val="single" w:sz="4" w:space="0" w:color="auto"/>
              <w:bottom w:val="nil"/>
              <w:right w:val="single" w:sz="4" w:space="0" w:color="auto"/>
            </w:tcBorders>
          </w:tcPr>
          <w:p w14:paraId="30B15A2A" w14:textId="77777777" w:rsidR="0050658F" w:rsidRPr="001B4A02" w:rsidRDefault="0050658F" w:rsidP="009A65BD">
            <w:pPr>
              <w:pStyle w:val="EMEANormal"/>
              <w:keepNext/>
              <w:jc w:val="center"/>
              <w:rPr>
                <w:lang w:val="cs-CZ"/>
              </w:rPr>
            </w:pPr>
          </w:p>
        </w:tc>
        <w:tc>
          <w:tcPr>
            <w:tcW w:w="1962" w:type="dxa"/>
            <w:tcBorders>
              <w:top w:val="nil"/>
              <w:left w:val="single" w:sz="4" w:space="0" w:color="auto"/>
              <w:bottom w:val="nil"/>
              <w:right w:val="single" w:sz="4" w:space="0" w:color="auto"/>
            </w:tcBorders>
          </w:tcPr>
          <w:p w14:paraId="1EDCCDF5" w14:textId="77777777" w:rsidR="0050658F" w:rsidRPr="001B4A02" w:rsidRDefault="0050658F" w:rsidP="009A65BD">
            <w:pPr>
              <w:pStyle w:val="EMEANormal"/>
              <w:keepNext/>
              <w:jc w:val="center"/>
              <w:rPr>
                <w:lang w:val="cs-CZ"/>
              </w:rPr>
            </w:pPr>
          </w:p>
        </w:tc>
      </w:tr>
      <w:tr w:rsidR="00534A2D" w14:paraId="507620D6" w14:textId="77777777" w:rsidTr="000C0B0A">
        <w:trPr>
          <w:jc w:val="center"/>
        </w:trPr>
        <w:tc>
          <w:tcPr>
            <w:tcW w:w="1832" w:type="dxa"/>
            <w:tcBorders>
              <w:top w:val="nil"/>
              <w:left w:val="single" w:sz="4" w:space="0" w:color="auto"/>
              <w:bottom w:val="nil"/>
              <w:right w:val="single" w:sz="4" w:space="0" w:color="auto"/>
            </w:tcBorders>
          </w:tcPr>
          <w:p w14:paraId="071F6DD8" w14:textId="77777777" w:rsidR="0050658F" w:rsidRPr="001B4A02" w:rsidRDefault="00000000" w:rsidP="009A65BD">
            <w:pPr>
              <w:pStyle w:val="EMEANormal"/>
              <w:keepNext/>
              <w:rPr>
                <w:lang w:val="cs-CZ"/>
              </w:rPr>
            </w:pPr>
            <w:r w:rsidRPr="001B4A02">
              <w:rPr>
                <w:lang w:val="cs-CZ"/>
              </w:rPr>
              <w:tab/>
              <w:t>Týden 12</w:t>
            </w:r>
          </w:p>
        </w:tc>
        <w:tc>
          <w:tcPr>
            <w:tcW w:w="1746" w:type="dxa"/>
            <w:tcBorders>
              <w:top w:val="nil"/>
              <w:left w:val="single" w:sz="4" w:space="0" w:color="auto"/>
              <w:bottom w:val="nil"/>
              <w:right w:val="single" w:sz="4" w:space="0" w:color="auto"/>
            </w:tcBorders>
          </w:tcPr>
          <w:p w14:paraId="5BC5BE59" w14:textId="77777777" w:rsidR="0050658F" w:rsidRPr="001B4A02" w:rsidRDefault="00000000" w:rsidP="009A65BD">
            <w:pPr>
              <w:pStyle w:val="EMEANormal"/>
              <w:keepNext/>
              <w:jc w:val="center"/>
              <w:rPr>
                <w:lang w:val="cs-CZ"/>
              </w:rPr>
            </w:pPr>
            <w:r w:rsidRPr="001B4A02">
              <w:rPr>
                <w:lang w:val="cs-CZ"/>
              </w:rPr>
              <w:t>4 %</w:t>
            </w:r>
          </w:p>
        </w:tc>
        <w:tc>
          <w:tcPr>
            <w:tcW w:w="1762" w:type="dxa"/>
            <w:tcBorders>
              <w:top w:val="nil"/>
              <w:left w:val="single" w:sz="4" w:space="0" w:color="auto"/>
              <w:bottom w:val="nil"/>
              <w:right w:val="nil"/>
            </w:tcBorders>
          </w:tcPr>
          <w:p w14:paraId="4C245617" w14:textId="77777777" w:rsidR="0050658F" w:rsidRPr="001B4A02" w:rsidRDefault="00000000" w:rsidP="009A65BD">
            <w:pPr>
              <w:pStyle w:val="EMEANormal"/>
              <w:keepNext/>
              <w:jc w:val="center"/>
              <w:rPr>
                <w:lang w:val="cs-CZ"/>
              </w:rPr>
            </w:pPr>
            <w:r w:rsidRPr="001B4A02">
              <w:rPr>
                <w:lang w:val="cs-CZ"/>
              </w:rPr>
              <w:t>36 %</w:t>
            </w:r>
            <w:r w:rsidRPr="001B4A02">
              <w:rPr>
                <w:sz w:val="24"/>
                <w:vertAlign w:val="superscript"/>
                <w:lang w:val="cs-CZ"/>
              </w:rPr>
              <w:t>***</w:t>
            </w:r>
          </w:p>
        </w:tc>
        <w:tc>
          <w:tcPr>
            <w:tcW w:w="1909" w:type="dxa"/>
            <w:tcBorders>
              <w:top w:val="nil"/>
              <w:left w:val="single" w:sz="4" w:space="0" w:color="auto"/>
              <w:bottom w:val="nil"/>
              <w:right w:val="single" w:sz="4" w:space="0" w:color="auto"/>
            </w:tcBorders>
          </w:tcPr>
          <w:p w14:paraId="29079091" w14:textId="77777777" w:rsidR="0050658F" w:rsidRPr="001B4A02" w:rsidRDefault="00000000" w:rsidP="009A65BD">
            <w:pPr>
              <w:pStyle w:val="EMEANormal"/>
              <w:keepNext/>
              <w:jc w:val="center"/>
              <w:rPr>
                <w:lang w:val="cs-CZ"/>
              </w:rPr>
            </w:pPr>
            <w:r w:rsidRPr="001B4A02">
              <w:rPr>
                <w:lang w:val="cs-CZ"/>
              </w:rPr>
              <w:t>2 %</w:t>
            </w:r>
          </w:p>
        </w:tc>
        <w:tc>
          <w:tcPr>
            <w:tcW w:w="1962" w:type="dxa"/>
            <w:tcBorders>
              <w:top w:val="nil"/>
              <w:left w:val="single" w:sz="4" w:space="0" w:color="auto"/>
              <w:bottom w:val="nil"/>
              <w:right w:val="single" w:sz="4" w:space="0" w:color="auto"/>
            </w:tcBorders>
          </w:tcPr>
          <w:p w14:paraId="2241C6D8" w14:textId="77777777" w:rsidR="0050658F" w:rsidRPr="001B4A02" w:rsidRDefault="00000000" w:rsidP="009A65BD">
            <w:pPr>
              <w:pStyle w:val="EMEANormal"/>
              <w:keepNext/>
              <w:jc w:val="center"/>
              <w:rPr>
                <w:lang w:val="cs-CZ"/>
              </w:rPr>
            </w:pPr>
            <w:r w:rsidRPr="001B4A02">
              <w:rPr>
                <w:lang w:val="cs-CZ"/>
              </w:rPr>
              <w:t>25 %</w:t>
            </w:r>
            <w:r w:rsidRPr="001B4A02">
              <w:rPr>
                <w:sz w:val="24"/>
                <w:vertAlign w:val="superscript"/>
                <w:lang w:val="cs-CZ"/>
              </w:rPr>
              <w:t>***</w:t>
            </w:r>
          </w:p>
        </w:tc>
      </w:tr>
      <w:tr w:rsidR="00534A2D" w14:paraId="489D2AAF" w14:textId="77777777" w:rsidTr="000C0B0A">
        <w:trPr>
          <w:jc w:val="center"/>
        </w:trPr>
        <w:tc>
          <w:tcPr>
            <w:tcW w:w="1832" w:type="dxa"/>
            <w:tcBorders>
              <w:top w:val="nil"/>
              <w:left w:val="single" w:sz="4" w:space="0" w:color="auto"/>
              <w:bottom w:val="nil"/>
              <w:right w:val="single" w:sz="4" w:space="0" w:color="auto"/>
            </w:tcBorders>
          </w:tcPr>
          <w:p w14:paraId="5ED69FCF" w14:textId="77777777" w:rsidR="0050658F" w:rsidRPr="001B4A02" w:rsidRDefault="00000000" w:rsidP="009A65BD">
            <w:pPr>
              <w:pStyle w:val="EMEANormal"/>
              <w:keepNext/>
              <w:rPr>
                <w:lang w:val="cs-CZ"/>
              </w:rPr>
            </w:pPr>
            <w:r w:rsidRPr="001B4A02">
              <w:rPr>
                <w:lang w:val="cs-CZ"/>
              </w:rPr>
              <w:tab/>
              <w:t>Týden 24</w:t>
            </w:r>
          </w:p>
        </w:tc>
        <w:tc>
          <w:tcPr>
            <w:tcW w:w="1746" w:type="dxa"/>
            <w:tcBorders>
              <w:top w:val="nil"/>
              <w:left w:val="single" w:sz="4" w:space="0" w:color="auto"/>
              <w:bottom w:val="nil"/>
              <w:right w:val="single" w:sz="4" w:space="0" w:color="auto"/>
            </w:tcBorders>
          </w:tcPr>
          <w:p w14:paraId="6ABDC1E1" w14:textId="77777777" w:rsidR="0050658F" w:rsidRPr="001B4A02" w:rsidRDefault="00000000" w:rsidP="009A65BD">
            <w:pPr>
              <w:pStyle w:val="EMEANormal"/>
              <w:keepNext/>
              <w:jc w:val="center"/>
              <w:rPr>
                <w:lang w:val="cs-CZ"/>
              </w:rPr>
            </w:pPr>
            <w:r w:rsidRPr="001B4A02">
              <w:rPr>
                <w:lang w:val="cs-CZ"/>
              </w:rPr>
              <w:t>6 %</w:t>
            </w:r>
          </w:p>
        </w:tc>
        <w:tc>
          <w:tcPr>
            <w:tcW w:w="1762" w:type="dxa"/>
            <w:tcBorders>
              <w:top w:val="nil"/>
              <w:left w:val="single" w:sz="4" w:space="0" w:color="auto"/>
              <w:bottom w:val="nil"/>
              <w:right w:val="nil"/>
            </w:tcBorders>
          </w:tcPr>
          <w:p w14:paraId="0CC3D458" w14:textId="77777777" w:rsidR="0050658F" w:rsidRPr="001B4A02" w:rsidRDefault="00000000" w:rsidP="009A65BD">
            <w:pPr>
              <w:pStyle w:val="EMEANormal"/>
              <w:keepNext/>
              <w:jc w:val="center"/>
              <w:rPr>
                <w:lang w:val="cs-CZ"/>
              </w:rPr>
            </w:pPr>
            <w:r w:rsidRPr="001B4A02">
              <w:rPr>
                <w:lang w:val="cs-CZ"/>
              </w:rPr>
              <w:t>39 %</w:t>
            </w:r>
            <w:r w:rsidRPr="001B4A02">
              <w:rPr>
                <w:sz w:val="24"/>
                <w:vertAlign w:val="superscript"/>
                <w:lang w:val="cs-CZ"/>
              </w:rPr>
              <w:t>***</w:t>
            </w:r>
          </w:p>
        </w:tc>
        <w:tc>
          <w:tcPr>
            <w:tcW w:w="1909" w:type="dxa"/>
            <w:tcBorders>
              <w:top w:val="nil"/>
              <w:left w:val="single" w:sz="4" w:space="0" w:color="auto"/>
              <w:bottom w:val="nil"/>
              <w:right w:val="single" w:sz="4" w:space="0" w:color="auto"/>
            </w:tcBorders>
          </w:tcPr>
          <w:p w14:paraId="4FB5F442" w14:textId="77777777" w:rsidR="0050658F" w:rsidRPr="001B4A02" w:rsidRDefault="00000000" w:rsidP="009A65BD">
            <w:pPr>
              <w:pStyle w:val="EMEANormal"/>
              <w:keepNext/>
              <w:jc w:val="center"/>
              <w:rPr>
                <w:lang w:val="cs-CZ"/>
              </w:rPr>
            </w:pPr>
            <w:r w:rsidRPr="001B4A02">
              <w:rPr>
                <w:lang w:val="cs-CZ"/>
              </w:rPr>
              <w:t>N/A</w:t>
            </w:r>
          </w:p>
        </w:tc>
        <w:tc>
          <w:tcPr>
            <w:tcW w:w="1962" w:type="dxa"/>
            <w:tcBorders>
              <w:top w:val="nil"/>
              <w:left w:val="single" w:sz="4" w:space="0" w:color="auto"/>
              <w:bottom w:val="nil"/>
              <w:right w:val="single" w:sz="4" w:space="0" w:color="auto"/>
            </w:tcBorders>
          </w:tcPr>
          <w:p w14:paraId="12685BF9" w14:textId="77777777" w:rsidR="0050658F" w:rsidRPr="001B4A02" w:rsidRDefault="00000000" w:rsidP="009A65BD">
            <w:pPr>
              <w:pStyle w:val="EMEANormal"/>
              <w:keepNext/>
              <w:jc w:val="center"/>
              <w:rPr>
                <w:lang w:val="cs-CZ"/>
              </w:rPr>
            </w:pPr>
            <w:r w:rsidRPr="001B4A02">
              <w:rPr>
                <w:lang w:val="cs-CZ"/>
              </w:rPr>
              <w:t>N/A</w:t>
            </w:r>
          </w:p>
        </w:tc>
      </w:tr>
      <w:tr w:rsidR="00534A2D" w14:paraId="1569028D" w14:textId="77777777" w:rsidTr="000C0B0A">
        <w:trPr>
          <w:jc w:val="center"/>
        </w:trPr>
        <w:tc>
          <w:tcPr>
            <w:tcW w:w="1832" w:type="dxa"/>
            <w:tcBorders>
              <w:top w:val="nil"/>
              <w:left w:val="single" w:sz="4" w:space="0" w:color="auto"/>
              <w:bottom w:val="nil"/>
              <w:right w:val="single" w:sz="4" w:space="0" w:color="auto"/>
            </w:tcBorders>
          </w:tcPr>
          <w:p w14:paraId="507B6380" w14:textId="77777777" w:rsidR="0050658F" w:rsidRPr="001B4A02" w:rsidRDefault="00000000" w:rsidP="009A65BD">
            <w:pPr>
              <w:pStyle w:val="EMEANormal"/>
              <w:keepNext/>
              <w:rPr>
                <w:lang w:val="cs-CZ"/>
              </w:rPr>
            </w:pPr>
            <w:r w:rsidRPr="001B4A02">
              <w:rPr>
                <w:lang w:val="cs-CZ"/>
              </w:rPr>
              <w:t xml:space="preserve">ACR 70 </w:t>
            </w:r>
          </w:p>
        </w:tc>
        <w:tc>
          <w:tcPr>
            <w:tcW w:w="1746" w:type="dxa"/>
            <w:tcBorders>
              <w:top w:val="nil"/>
              <w:left w:val="single" w:sz="4" w:space="0" w:color="auto"/>
              <w:bottom w:val="nil"/>
              <w:right w:val="single" w:sz="4" w:space="0" w:color="auto"/>
            </w:tcBorders>
          </w:tcPr>
          <w:p w14:paraId="28A4FCDE" w14:textId="77777777" w:rsidR="0050658F" w:rsidRPr="001B4A02" w:rsidRDefault="0050658F" w:rsidP="009A65BD">
            <w:pPr>
              <w:pStyle w:val="EMEANormal"/>
              <w:keepNext/>
              <w:jc w:val="center"/>
              <w:rPr>
                <w:lang w:val="cs-CZ"/>
              </w:rPr>
            </w:pPr>
          </w:p>
        </w:tc>
        <w:tc>
          <w:tcPr>
            <w:tcW w:w="1762" w:type="dxa"/>
            <w:tcBorders>
              <w:top w:val="nil"/>
              <w:left w:val="single" w:sz="4" w:space="0" w:color="auto"/>
              <w:bottom w:val="nil"/>
              <w:right w:val="nil"/>
            </w:tcBorders>
          </w:tcPr>
          <w:p w14:paraId="5C85A28B" w14:textId="77777777" w:rsidR="0050658F" w:rsidRPr="001B4A02" w:rsidRDefault="0050658F" w:rsidP="009A65BD">
            <w:pPr>
              <w:pStyle w:val="EMEANormal"/>
              <w:keepNext/>
              <w:jc w:val="center"/>
              <w:rPr>
                <w:lang w:val="cs-CZ"/>
              </w:rPr>
            </w:pPr>
          </w:p>
        </w:tc>
        <w:tc>
          <w:tcPr>
            <w:tcW w:w="1909" w:type="dxa"/>
            <w:tcBorders>
              <w:top w:val="nil"/>
              <w:left w:val="single" w:sz="4" w:space="0" w:color="auto"/>
              <w:bottom w:val="nil"/>
              <w:right w:val="single" w:sz="4" w:space="0" w:color="auto"/>
            </w:tcBorders>
          </w:tcPr>
          <w:p w14:paraId="0DB99CCB" w14:textId="77777777" w:rsidR="0050658F" w:rsidRPr="001B4A02" w:rsidRDefault="0050658F" w:rsidP="009A65BD">
            <w:pPr>
              <w:pStyle w:val="EMEANormal"/>
              <w:keepNext/>
              <w:jc w:val="center"/>
              <w:rPr>
                <w:lang w:val="cs-CZ"/>
              </w:rPr>
            </w:pPr>
          </w:p>
        </w:tc>
        <w:tc>
          <w:tcPr>
            <w:tcW w:w="1962" w:type="dxa"/>
            <w:tcBorders>
              <w:top w:val="nil"/>
              <w:left w:val="single" w:sz="4" w:space="0" w:color="auto"/>
              <w:bottom w:val="nil"/>
              <w:right w:val="single" w:sz="4" w:space="0" w:color="auto"/>
            </w:tcBorders>
          </w:tcPr>
          <w:p w14:paraId="24C0D99C" w14:textId="77777777" w:rsidR="0050658F" w:rsidRPr="001B4A02" w:rsidRDefault="0050658F" w:rsidP="009A65BD">
            <w:pPr>
              <w:pStyle w:val="EMEANormal"/>
              <w:keepNext/>
              <w:jc w:val="center"/>
              <w:rPr>
                <w:lang w:val="cs-CZ"/>
              </w:rPr>
            </w:pPr>
          </w:p>
        </w:tc>
      </w:tr>
      <w:tr w:rsidR="00534A2D" w14:paraId="65B92151" w14:textId="77777777" w:rsidTr="000C0B0A">
        <w:trPr>
          <w:jc w:val="center"/>
        </w:trPr>
        <w:tc>
          <w:tcPr>
            <w:tcW w:w="1832" w:type="dxa"/>
            <w:tcBorders>
              <w:top w:val="nil"/>
              <w:left w:val="single" w:sz="4" w:space="0" w:color="auto"/>
              <w:bottom w:val="nil"/>
              <w:right w:val="single" w:sz="4" w:space="0" w:color="auto"/>
            </w:tcBorders>
          </w:tcPr>
          <w:p w14:paraId="78939CA2" w14:textId="77777777" w:rsidR="0050658F" w:rsidRPr="001B4A02" w:rsidRDefault="00000000" w:rsidP="009A65BD">
            <w:pPr>
              <w:pStyle w:val="EMEANormal"/>
              <w:keepNext/>
              <w:rPr>
                <w:lang w:val="cs-CZ"/>
              </w:rPr>
            </w:pPr>
            <w:r w:rsidRPr="001B4A02">
              <w:rPr>
                <w:lang w:val="cs-CZ"/>
              </w:rPr>
              <w:tab/>
              <w:t>Týden 12</w:t>
            </w:r>
          </w:p>
        </w:tc>
        <w:tc>
          <w:tcPr>
            <w:tcW w:w="1746" w:type="dxa"/>
            <w:tcBorders>
              <w:top w:val="nil"/>
              <w:left w:val="single" w:sz="4" w:space="0" w:color="auto"/>
              <w:bottom w:val="nil"/>
              <w:right w:val="single" w:sz="4" w:space="0" w:color="auto"/>
            </w:tcBorders>
          </w:tcPr>
          <w:p w14:paraId="51ECE2A5" w14:textId="77777777" w:rsidR="0050658F" w:rsidRPr="001B4A02" w:rsidRDefault="00000000" w:rsidP="009A65BD">
            <w:pPr>
              <w:pStyle w:val="EMEANormal"/>
              <w:keepNext/>
              <w:jc w:val="center"/>
              <w:rPr>
                <w:lang w:val="cs-CZ"/>
              </w:rPr>
            </w:pPr>
            <w:r w:rsidRPr="001B4A02">
              <w:rPr>
                <w:lang w:val="cs-CZ"/>
              </w:rPr>
              <w:t>1 %</w:t>
            </w:r>
          </w:p>
        </w:tc>
        <w:tc>
          <w:tcPr>
            <w:tcW w:w="1762" w:type="dxa"/>
            <w:tcBorders>
              <w:top w:val="nil"/>
              <w:left w:val="single" w:sz="4" w:space="0" w:color="auto"/>
              <w:bottom w:val="nil"/>
              <w:right w:val="nil"/>
            </w:tcBorders>
          </w:tcPr>
          <w:p w14:paraId="07BFAE15" w14:textId="77777777" w:rsidR="0050658F" w:rsidRPr="001B4A02" w:rsidRDefault="00000000" w:rsidP="009A65BD">
            <w:pPr>
              <w:pStyle w:val="EMEANormal"/>
              <w:keepNext/>
              <w:jc w:val="center"/>
              <w:rPr>
                <w:lang w:val="cs-CZ"/>
              </w:rPr>
            </w:pPr>
            <w:r w:rsidRPr="001B4A02">
              <w:rPr>
                <w:lang w:val="cs-CZ"/>
              </w:rPr>
              <w:t>20 %</w:t>
            </w:r>
            <w:r w:rsidRPr="001B4A02">
              <w:rPr>
                <w:sz w:val="24"/>
                <w:vertAlign w:val="superscript"/>
                <w:lang w:val="cs-CZ"/>
              </w:rPr>
              <w:t>***</w:t>
            </w:r>
          </w:p>
        </w:tc>
        <w:tc>
          <w:tcPr>
            <w:tcW w:w="1909" w:type="dxa"/>
            <w:tcBorders>
              <w:top w:val="nil"/>
              <w:left w:val="single" w:sz="4" w:space="0" w:color="auto"/>
              <w:bottom w:val="nil"/>
              <w:right w:val="single" w:sz="4" w:space="0" w:color="auto"/>
            </w:tcBorders>
          </w:tcPr>
          <w:p w14:paraId="5F8622CF" w14:textId="77777777" w:rsidR="0050658F" w:rsidRPr="001B4A02" w:rsidRDefault="00000000" w:rsidP="009A65BD">
            <w:pPr>
              <w:pStyle w:val="EMEANormal"/>
              <w:keepNext/>
              <w:jc w:val="center"/>
              <w:rPr>
                <w:lang w:val="cs-CZ"/>
              </w:rPr>
            </w:pPr>
            <w:r w:rsidRPr="001B4A02">
              <w:rPr>
                <w:lang w:val="cs-CZ"/>
              </w:rPr>
              <w:t>0 %</w:t>
            </w:r>
          </w:p>
        </w:tc>
        <w:tc>
          <w:tcPr>
            <w:tcW w:w="1962" w:type="dxa"/>
            <w:tcBorders>
              <w:top w:val="nil"/>
              <w:left w:val="single" w:sz="4" w:space="0" w:color="auto"/>
              <w:bottom w:val="nil"/>
              <w:right w:val="single" w:sz="4" w:space="0" w:color="auto"/>
            </w:tcBorders>
          </w:tcPr>
          <w:p w14:paraId="37F24E78" w14:textId="77777777" w:rsidR="0050658F" w:rsidRPr="001B4A02" w:rsidRDefault="00000000" w:rsidP="009A65BD">
            <w:pPr>
              <w:pStyle w:val="EMEANormal"/>
              <w:keepNext/>
              <w:jc w:val="center"/>
              <w:rPr>
                <w:lang w:val="cs-CZ"/>
              </w:rPr>
            </w:pPr>
            <w:r w:rsidRPr="001B4A02">
              <w:rPr>
                <w:lang w:val="cs-CZ"/>
              </w:rPr>
              <w:t>14 %</w:t>
            </w:r>
            <w:r w:rsidRPr="001B4A02">
              <w:rPr>
                <w:sz w:val="24"/>
                <w:vertAlign w:val="superscript"/>
                <w:lang w:val="cs-CZ"/>
              </w:rPr>
              <w:t xml:space="preserve"> *</w:t>
            </w:r>
          </w:p>
        </w:tc>
      </w:tr>
      <w:tr w:rsidR="00534A2D" w14:paraId="2AEC213C" w14:textId="77777777" w:rsidTr="000C0B0A">
        <w:trPr>
          <w:jc w:val="center"/>
        </w:trPr>
        <w:tc>
          <w:tcPr>
            <w:tcW w:w="1832" w:type="dxa"/>
            <w:tcBorders>
              <w:top w:val="nil"/>
              <w:left w:val="single" w:sz="4" w:space="0" w:color="auto"/>
              <w:bottom w:val="single" w:sz="4" w:space="0" w:color="auto"/>
              <w:right w:val="single" w:sz="4" w:space="0" w:color="auto"/>
            </w:tcBorders>
          </w:tcPr>
          <w:p w14:paraId="0A400475" w14:textId="77777777" w:rsidR="0050658F" w:rsidRPr="001B4A02" w:rsidRDefault="00000000" w:rsidP="009A65BD">
            <w:pPr>
              <w:pStyle w:val="EMEANormal"/>
              <w:keepNext/>
              <w:rPr>
                <w:lang w:val="cs-CZ"/>
              </w:rPr>
            </w:pPr>
            <w:r w:rsidRPr="001B4A02">
              <w:rPr>
                <w:lang w:val="cs-CZ"/>
              </w:rPr>
              <w:tab/>
              <w:t>Týden 24</w:t>
            </w:r>
          </w:p>
        </w:tc>
        <w:tc>
          <w:tcPr>
            <w:tcW w:w="1746" w:type="dxa"/>
            <w:tcBorders>
              <w:top w:val="nil"/>
              <w:left w:val="single" w:sz="4" w:space="0" w:color="auto"/>
              <w:bottom w:val="single" w:sz="4" w:space="0" w:color="auto"/>
              <w:right w:val="single" w:sz="4" w:space="0" w:color="auto"/>
            </w:tcBorders>
          </w:tcPr>
          <w:p w14:paraId="54F7C2C9" w14:textId="77777777" w:rsidR="0050658F" w:rsidRPr="001B4A02" w:rsidRDefault="00000000" w:rsidP="009A65BD">
            <w:pPr>
              <w:pStyle w:val="EMEANormal"/>
              <w:keepNext/>
              <w:jc w:val="center"/>
              <w:rPr>
                <w:lang w:val="cs-CZ"/>
              </w:rPr>
            </w:pPr>
            <w:r w:rsidRPr="001B4A02">
              <w:rPr>
                <w:lang w:val="cs-CZ"/>
              </w:rPr>
              <w:t>1 %</w:t>
            </w:r>
          </w:p>
        </w:tc>
        <w:tc>
          <w:tcPr>
            <w:tcW w:w="1762" w:type="dxa"/>
            <w:tcBorders>
              <w:top w:val="nil"/>
              <w:left w:val="single" w:sz="4" w:space="0" w:color="auto"/>
              <w:bottom w:val="single" w:sz="4" w:space="0" w:color="auto"/>
              <w:right w:val="nil"/>
            </w:tcBorders>
          </w:tcPr>
          <w:p w14:paraId="3FF88165" w14:textId="77777777" w:rsidR="0050658F" w:rsidRPr="001B4A02" w:rsidRDefault="00000000" w:rsidP="009A65BD">
            <w:pPr>
              <w:pStyle w:val="EMEANormal"/>
              <w:keepNext/>
              <w:jc w:val="center"/>
              <w:rPr>
                <w:lang w:val="cs-CZ"/>
              </w:rPr>
            </w:pPr>
            <w:r w:rsidRPr="001B4A02">
              <w:rPr>
                <w:lang w:val="cs-CZ"/>
              </w:rPr>
              <w:t>23 %</w:t>
            </w:r>
            <w:r w:rsidRPr="001B4A02">
              <w:rPr>
                <w:sz w:val="24"/>
                <w:vertAlign w:val="superscript"/>
                <w:lang w:val="cs-CZ"/>
              </w:rPr>
              <w:t>***</w:t>
            </w:r>
          </w:p>
        </w:tc>
        <w:tc>
          <w:tcPr>
            <w:tcW w:w="1909" w:type="dxa"/>
            <w:tcBorders>
              <w:top w:val="nil"/>
              <w:left w:val="single" w:sz="4" w:space="0" w:color="auto"/>
              <w:bottom w:val="single" w:sz="4" w:space="0" w:color="auto"/>
              <w:right w:val="single" w:sz="4" w:space="0" w:color="auto"/>
            </w:tcBorders>
          </w:tcPr>
          <w:p w14:paraId="3B88DA81" w14:textId="77777777" w:rsidR="0050658F" w:rsidRPr="001B4A02" w:rsidRDefault="00000000" w:rsidP="009A65BD">
            <w:pPr>
              <w:pStyle w:val="EMEANormal"/>
              <w:keepNext/>
              <w:jc w:val="center"/>
              <w:rPr>
                <w:lang w:val="cs-CZ"/>
              </w:rPr>
            </w:pPr>
            <w:r w:rsidRPr="001B4A02">
              <w:rPr>
                <w:lang w:val="cs-CZ"/>
              </w:rPr>
              <w:t>N/A</w:t>
            </w:r>
          </w:p>
        </w:tc>
        <w:tc>
          <w:tcPr>
            <w:tcW w:w="1962" w:type="dxa"/>
            <w:tcBorders>
              <w:top w:val="nil"/>
              <w:left w:val="single" w:sz="4" w:space="0" w:color="auto"/>
              <w:bottom w:val="single" w:sz="4" w:space="0" w:color="auto"/>
              <w:right w:val="single" w:sz="4" w:space="0" w:color="auto"/>
            </w:tcBorders>
          </w:tcPr>
          <w:p w14:paraId="0C336666" w14:textId="77777777" w:rsidR="0050658F" w:rsidRPr="001B4A02" w:rsidRDefault="00000000" w:rsidP="009A65BD">
            <w:pPr>
              <w:pStyle w:val="EMEANormal"/>
              <w:keepNext/>
              <w:jc w:val="center"/>
              <w:rPr>
                <w:lang w:val="cs-CZ"/>
              </w:rPr>
            </w:pPr>
            <w:r w:rsidRPr="001B4A02">
              <w:rPr>
                <w:lang w:val="cs-CZ"/>
              </w:rPr>
              <w:t>N/A</w:t>
            </w:r>
          </w:p>
        </w:tc>
      </w:tr>
    </w:tbl>
    <w:p w14:paraId="3FC3CDE5" w14:textId="77777777" w:rsidR="0050658F" w:rsidRPr="001B4A02" w:rsidRDefault="00000000" w:rsidP="0050658F">
      <w:pPr>
        <w:pStyle w:val="EMEANormal"/>
        <w:keepNext/>
        <w:rPr>
          <w:sz w:val="20"/>
          <w:lang w:val="cs-CZ"/>
        </w:rPr>
      </w:pPr>
      <w:r w:rsidRPr="001B4A02">
        <w:rPr>
          <w:sz w:val="20"/>
          <w:lang w:val="cs-CZ"/>
        </w:rPr>
        <w:t>***</w:t>
      </w:r>
      <w:r w:rsidRPr="001B4A02">
        <w:rPr>
          <w:sz w:val="20"/>
          <w:lang w:val="cs-CZ"/>
        </w:rPr>
        <w:tab/>
        <w:t>p&lt;0,001 pro všechna porovnání mezi přípravkem Humira</w:t>
      </w:r>
      <w:r w:rsidR="002378E0">
        <w:rPr>
          <w:sz w:val="20"/>
          <w:lang w:val="cs-CZ"/>
        </w:rPr>
        <w:t xml:space="preserve"> a </w:t>
      </w:r>
      <w:r w:rsidRPr="001B4A02">
        <w:rPr>
          <w:sz w:val="20"/>
          <w:lang w:val="cs-CZ"/>
        </w:rPr>
        <w:t>placebem</w:t>
      </w:r>
    </w:p>
    <w:p w14:paraId="55BE8E86" w14:textId="77777777" w:rsidR="0050658F" w:rsidRPr="001B4A02" w:rsidRDefault="00000000" w:rsidP="0050658F">
      <w:pPr>
        <w:pStyle w:val="EMEANormal"/>
        <w:keepNext/>
        <w:rPr>
          <w:sz w:val="20"/>
          <w:lang w:val="cs-CZ"/>
        </w:rPr>
      </w:pPr>
      <w:r w:rsidRPr="001B4A02">
        <w:rPr>
          <w:sz w:val="20"/>
          <w:lang w:val="cs-CZ"/>
        </w:rPr>
        <w:t>*</w:t>
      </w:r>
      <w:r w:rsidRPr="001B4A02">
        <w:rPr>
          <w:sz w:val="20"/>
          <w:lang w:val="cs-CZ"/>
        </w:rPr>
        <w:tab/>
        <w:t>p&lt;0,05 pro všechna porovnání mezi přípravkem Humira</w:t>
      </w:r>
      <w:r w:rsidR="002378E0">
        <w:rPr>
          <w:sz w:val="20"/>
          <w:lang w:val="cs-CZ"/>
        </w:rPr>
        <w:t xml:space="preserve"> a </w:t>
      </w:r>
      <w:r w:rsidRPr="001B4A02">
        <w:rPr>
          <w:sz w:val="20"/>
          <w:lang w:val="cs-CZ"/>
        </w:rPr>
        <w:t xml:space="preserve">placebem </w:t>
      </w:r>
    </w:p>
    <w:p w14:paraId="0A6E9DB3" w14:textId="77777777" w:rsidR="0050658F" w:rsidRDefault="00000000" w:rsidP="0050658F">
      <w:pPr>
        <w:ind w:left="0" w:firstLine="0"/>
        <w:rPr>
          <w:b/>
          <w:bCs/>
        </w:rPr>
      </w:pPr>
      <w:r w:rsidRPr="001B4A02">
        <w:rPr>
          <w:sz w:val="20"/>
        </w:rPr>
        <w:t>N/A neuplatňuje se</w:t>
      </w:r>
    </w:p>
    <w:p w14:paraId="50A48889" w14:textId="77777777" w:rsidR="0050658F" w:rsidRPr="001B4A02" w:rsidRDefault="0050658F" w:rsidP="0050658F">
      <w:pPr>
        <w:pStyle w:val="EMEANormal"/>
        <w:tabs>
          <w:tab w:val="clear" w:pos="562"/>
          <w:tab w:val="left" w:pos="708"/>
        </w:tabs>
        <w:suppressAutoHyphens w:val="0"/>
        <w:rPr>
          <w:lang w:val="cs-CZ"/>
        </w:rPr>
      </w:pPr>
    </w:p>
    <w:p w14:paraId="5316C590" w14:textId="77777777" w:rsidR="00ED3511" w:rsidRPr="001B4A02" w:rsidRDefault="00000000" w:rsidP="00ED48A3">
      <w:pPr>
        <w:pStyle w:val="EMEANormal"/>
        <w:tabs>
          <w:tab w:val="clear" w:pos="562"/>
          <w:tab w:val="left" w:pos="708"/>
        </w:tabs>
        <w:suppressAutoHyphens w:val="0"/>
        <w:rPr>
          <w:lang w:val="cs-CZ"/>
        </w:rPr>
      </w:pPr>
      <w:r w:rsidRPr="001B4A02">
        <w:rPr>
          <w:lang w:val="cs-CZ"/>
        </w:rPr>
        <w:t>ACR odpověď ve studii PsA I byla obdobná při současné léčbě methotrexátem jako odpověď bez léčby touto látkou.</w:t>
      </w:r>
    </w:p>
    <w:p w14:paraId="2BA5FE54" w14:textId="77777777" w:rsidR="00ED3511" w:rsidRPr="001B4A02" w:rsidRDefault="00000000" w:rsidP="00ED48A3">
      <w:pPr>
        <w:ind w:left="0" w:firstLine="0"/>
      </w:pPr>
      <w:r w:rsidRPr="001B4A02">
        <w:t>ACR odpovědi přetrvávaly v otevřené prodloužené fázi studie po dobu 136 týdnů.</w:t>
      </w:r>
    </w:p>
    <w:p w14:paraId="1A1AAE44" w14:textId="77777777" w:rsidR="00ED3511" w:rsidRPr="001B4A02" w:rsidRDefault="00ED3511" w:rsidP="00ED48A3">
      <w:pPr>
        <w:ind w:left="0" w:firstLine="0"/>
      </w:pPr>
    </w:p>
    <w:p w14:paraId="0C9C20B3" w14:textId="77777777" w:rsidR="00ED3511" w:rsidRPr="001B4A02" w:rsidRDefault="00000000" w:rsidP="00ED48A3">
      <w:pPr>
        <w:ind w:left="0" w:firstLine="0"/>
      </w:pPr>
      <w:r w:rsidRPr="001B4A02">
        <w:t>Radiografické změny byly hodnoceny ve studii s psoriatickou artritidou. Radiografie rukou, zápěstí</w:t>
      </w:r>
      <w:r w:rsidR="002378E0">
        <w:t xml:space="preserve"> a </w:t>
      </w:r>
      <w:r w:rsidRPr="001B4A02">
        <w:t>chodidel byly provedeny ve výchozím stavu</w:t>
      </w:r>
      <w:r w:rsidR="002378E0">
        <w:t xml:space="preserve"> a </w:t>
      </w:r>
      <w:r w:rsidRPr="001B4A02">
        <w:t xml:space="preserve">v týdnu 24 v průběhu dvojitě zaslepeného období, kdy pacienti </w:t>
      </w:r>
      <w:r w:rsidR="0037494F" w:rsidRPr="001B4A02">
        <w:t>po</w:t>
      </w:r>
      <w:r w:rsidRPr="001B4A02">
        <w:t>užívali buď přípravek Humira nebo placebo</w:t>
      </w:r>
      <w:r w:rsidR="002378E0">
        <w:t xml:space="preserve"> a </w:t>
      </w:r>
      <w:r w:rsidRPr="001B4A02">
        <w:t>poté v týdnu 48, kdy všichni pacienti přešli do otevřené fáze</w:t>
      </w:r>
      <w:r w:rsidR="002378E0">
        <w:t xml:space="preserve"> a </w:t>
      </w:r>
      <w:r w:rsidR="0037494F" w:rsidRPr="001B4A02">
        <w:t>po</w:t>
      </w:r>
      <w:r w:rsidRPr="001B4A02">
        <w:t xml:space="preserve">užívali přípravek Humira. Bylo použito modifikované celkové Sharpovo skóre (mTSS), které zahrnovalo distální interfalangeální klouby (tedy nikoli identické s TSS, které bylo </w:t>
      </w:r>
      <w:r w:rsidR="00A01443" w:rsidRPr="001B4A02">
        <w:t>po</w:t>
      </w:r>
      <w:r w:rsidRPr="001B4A02">
        <w:t>užito u</w:t>
      </w:r>
      <w:r w:rsidR="008A5E18" w:rsidRPr="001B4A02">
        <w:t> </w:t>
      </w:r>
      <w:r w:rsidRPr="001B4A02">
        <w:t>revmatoidní artritidy).</w:t>
      </w:r>
    </w:p>
    <w:p w14:paraId="5C9F3D21" w14:textId="77777777" w:rsidR="00ED3511" w:rsidRPr="001B4A02" w:rsidRDefault="00ED3511" w:rsidP="00ED48A3">
      <w:pPr>
        <w:ind w:left="0" w:firstLine="0"/>
      </w:pPr>
    </w:p>
    <w:p w14:paraId="63F90D7A" w14:textId="77777777" w:rsidR="00ED3511" w:rsidRPr="001B4A02" w:rsidRDefault="00000000" w:rsidP="00ED48A3">
      <w:pPr>
        <w:ind w:left="0" w:firstLine="0"/>
      </w:pPr>
      <w:r w:rsidRPr="001B4A02">
        <w:t>Léčba přípravkem Humira snížila, v porovnání s léčbou placebem, rychlost progrese poškození periferních kloubů, jež bylo měřeno jako změna oproti výchozímu mTSS (průměr ± SD) 0,8 ± 2,5 ve skupině léčené placebem (v</w:t>
      </w:r>
      <w:r w:rsidR="009A3A47">
        <w:rPr>
          <w:rStyle w:val="normaltextrun"/>
          <w:shd w:val="clear" w:color="auto" w:fill="FFFFFF"/>
        </w:rPr>
        <w:t> </w:t>
      </w:r>
      <w:r w:rsidRPr="001B4A02">
        <w:t>týdnu 24) v porovnání s 0,0 ± 1,9; (&lt;0</w:t>
      </w:r>
      <w:r w:rsidR="007375A0" w:rsidRPr="001B4A02">
        <w:t>,</w:t>
      </w:r>
      <w:r w:rsidRPr="001B4A02">
        <w:t xml:space="preserve">001) ve skupině léčené </w:t>
      </w:r>
      <w:r w:rsidR="00C114D7" w:rsidRPr="001B4A02">
        <w:rPr>
          <w:szCs w:val="22"/>
        </w:rPr>
        <w:t xml:space="preserve">přípravkem </w:t>
      </w:r>
      <w:r w:rsidRPr="001B4A02">
        <w:t>Humir</w:t>
      </w:r>
      <w:r w:rsidR="00C114D7" w:rsidRPr="001B4A02">
        <w:t>a</w:t>
      </w:r>
      <w:r w:rsidRPr="001B4A02">
        <w:t xml:space="preserve"> (v</w:t>
      </w:r>
      <w:r w:rsidR="009A3A47">
        <w:rPr>
          <w:rStyle w:val="normaltextrun"/>
          <w:shd w:val="clear" w:color="auto" w:fill="FFFFFF"/>
        </w:rPr>
        <w:t> </w:t>
      </w:r>
      <w:r w:rsidRPr="001B4A02">
        <w:t>týdnu 48).</w:t>
      </w:r>
    </w:p>
    <w:p w14:paraId="6486F023" w14:textId="77777777" w:rsidR="00ED3511" w:rsidRPr="001B4A02" w:rsidRDefault="00ED3511" w:rsidP="00ED48A3">
      <w:pPr>
        <w:ind w:left="0" w:firstLine="0"/>
      </w:pPr>
    </w:p>
    <w:p w14:paraId="27B7615B" w14:textId="77777777" w:rsidR="00ED3511" w:rsidRPr="001B4A02" w:rsidRDefault="00000000" w:rsidP="00ED48A3">
      <w:pPr>
        <w:ind w:left="0" w:firstLine="0"/>
      </w:pPr>
      <w:r w:rsidRPr="001B4A02">
        <w:t>Ze subjektů bez radiografické progrese oproti výchozímu stavu do týdne 48 (n=102), léčených přípravkem Humira, 84</w:t>
      </w:r>
      <w:r w:rsidR="00FA1345" w:rsidRPr="001B4A02">
        <w:t> </w:t>
      </w:r>
      <w:r w:rsidRPr="001B4A02">
        <w:t>% nadále nevykazovalo radiografickou progresi v</w:t>
      </w:r>
      <w:r w:rsidR="00D41D1A" w:rsidRPr="001B4A02">
        <w:t> </w:t>
      </w:r>
      <w:r w:rsidRPr="001B4A02">
        <w:t>průběhu 144 týdnů léčby.</w:t>
      </w:r>
    </w:p>
    <w:p w14:paraId="411EB674" w14:textId="77777777" w:rsidR="00ED3511" w:rsidRPr="001B4A02" w:rsidRDefault="00ED3511" w:rsidP="00ED48A3">
      <w:pPr>
        <w:ind w:left="0" w:firstLine="0"/>
      </w:pPr>
    </w:p>
    <w:p w14:paraId="524A442D" w14:textId="77777777" w:rsidR="00ED3511" w:rsidRPr="001B4A02" w:rsidRDefault="00000000" w:rsidP="00ED48A3">
      <w:pPr>
        <w:ind w:left="0" w:firstLine="0"/>
      </w:pPr>
      <w:r w:rsidRPr="001B4A02">
        <w:t>Pacienti léčení přípravkem Humira vykazovali statisticky signifikantní zlepšení fyzických funkcí hodnocených jako HAQ</w:t>
      </w:r>
      <w:r w:rsidR="002378E0">
        <w:t xml:space="preserve"> a </w:t>
      </w:r>
      <w:r w:rsidRPr="001B4A02">
        <w:t>Short Term Health Survey (SF 36) ve srovnání s placebem v týdnu 24. Zlepšení fyzických funkcí pokračovalo v průběhu otevřené prodloužené fáze studie až do týdne 136.</w:t>
      </w:r>
    </w:p>
    <w:p w14:paraId="0626497E" w14:textId="77777777" w:rsidR="00ED3511" w:rsidRPr="001B4A02" w:rsidRDefault="00ED3511" w:rsidP="00ED48A3">
      <w:pPr>
        <w:ind w:left="0" w:firstLine="0"/>
      </w:pPr>
    </w:p>
    <w:p w14:paraId="05DE23C5" w14:textId="77777777" w:rsidR="00ED3511" w:rsidRPr="001B4A02" w:rsidRDefault="00000000" w:rsidP="00A03600">
      <w:pPr>
        <w:pStyle w:val="EMEANormal"/>
        <w:keepNext/>
        <w:tabs>
          <w:tab w:val="clear" w:pos="562"/>
          <w:tab w:val="left" w:pos="708"/>
        </w:tabs>
        <w:suppressAutoHyphens w:val="0"/>
        <w:rPr>
          <w:i/>
          <w:lang w:val="cs-CZ"/>
        </w:rPr>
      </w:pPr>
      <w:r w:rsidRPr="001B4A02">
        <w:rPr>
          <w:i/>
          <w:lang w:val="cs-CZ"/>
        </w:rPr>
        <w:t>Psoriáza</w:t>
      </w:r>
    </w:p>
    <w:p w14:paraId="360EEA80" w14:textId="77777777" w:rsidR="00ED3511" w:rsidRPr="001B4A02" w:rsidRDefault="00ED3511" w:rsidP="00A03600">
      <w:pPr>
        <w:pStyle w:val="EMEANormal"/>
        <w:keepNext/>
        <w:tabs>
          <w:tab w:val="clear" w:pos="562"/>
          <w:tab w:val="left" w:pos="708"/>
        </w:tabs>
        <w:suppressAutoHyphens w:val="0"/>
        <w:rPr>
          <w:u w:val="single"/>
          <w:lang w:val="cs-CZ"/>
        </w:rPr>
      </w:pPr>
    </w:p>
    <w:p w14:paraId="7546F13C" w14:textId="77777777" w:rsidR="00ED3511" w:rsidRPr="001B4A02" w:rsidRDefault="00000000" w:rsidP="00ED48A3">
      <w:pPr>
        <w:pStyle w:val="EMEANormal"/>
        <w:tabs>
          <w:tab w:val="clear" w:pos="562"/>
          <w:tab w:val="left" w:pos="708"/>
        </w:tabs>
        <w:suppressAutoHyphens w:val="0"/>
        <w:rPr>
          <w:lang w:val="cs-CZ"/>
        </w:rPr>
      </w:pPr>
      <w:r w:rsidRPr="001B4A02">
        <w:rPr>
          <w:lang w:val="cs-CZ"/>
        </w:rPr>
        <w:t>Bezpečnost</w:t>
      </w:r>
      <w:r w:rsidR="002378E0">
        <w:rPr>
          <w:lang w:val="cs-CZ"/>
        </w:rPr>
        <w:t xml:space="preserve"> a </w:t>
      </w:r>
      <w:r w:rsidRPr="001B4A02">
        <w:rPr>
          <w:lang w:val="cs-CZ"/>
        </w:rPr>
        <w:t>účinnost přípravku Humira byla studována u</w:t>
      </w:r>
      <w:r w:rsidR="008A5E18" w:rsidRPr="001B4A02">
        <w:rPr>
          <w:lang w:val="cs-CZ"/>
        </w:rPr>
        <w:t> </w:t>
      </w:r>
      <w:r w:rsidRPr="001B4A02">
        <w:rPr>
          <w:lang w:val="cs-CZ"/>
        </w:rPr>
        <w:t>dospělých pacientů s chronickou ložiskovou psoriázou (</w:t>
      </w:r>
      <w:r w:rsidR="009D2A3C" w:rsidRPr="001B4A02">
        <w:rPr>
          <w:rFonts w:ascii="Symbol" w:hAnsi="Symbol"/>
          <w:lang w:val="cs-CZ"/>
        </w:rPr>
        <w:sym w:font="Symbol" w:char="F0B3"/>
      </w:r>
      <w:r w:rsidRPr="001B4A02">
        <w:rPr>
          <w:lang w:val="cs-CZ"/>
        </w:rPr>
        <w:t xml:space="preserve"> 10</w:t>
      </w:r>
      <w:r w:rsidR="00FA1345" w:rsidRPr="001B4A02">
        <w:rPr>
          <w:lang w:val="cs-CZ"/>
        </w:rPr>
        <w:t> </w:t>
      </w:r>
      <w:r w:rsidRPr="001B4A02">
        <w:rPr>
          <w:lang w:val="cs-CZ"/>
        </w:rPr>
        <w:t>% BSA</w:t>
      </w:r>
      <w:r w:rsidR="002378E0">
        <w:rPr>
          <w:lang w:val="cs-CZ"/>
        </w:rPr>
        <w:t xml:space="preserve"> a </w:t>
      </w:r>
      <w:r w:rsidRPr="001B4A02">
        <w:rPr>
          <w:lang w:val="cs-CZ"/>
        </w:rPr>
        <w:t xml:space="preserve">Psoriasis Area and Severity Index (PASI) </w:t>
      </w:r>
      <w:r w:rsidR="009D2A3C" w:rsidRPr="001B4A02">
        <w:rPr>
          <w:rFonts w:ascii="Symbol" w:hAnsi="Symbol"/>
          <w:lang w:val="cs-CZ"/>
        </w:rPr>
        <w:sym w:font="Symbol" w:char="F0B3"/>
      </w:r>
      <w:r w:rsidRPr="001B4A02">
        <w:rPr>
          <w:lang w:val="cs-CZ"/>
        </w:rPr>
        <w:t xml:space="preserve"> 12 nebo </w:t>
      </w:r>
      <w:r w:rsidR="009D2A3C" w:rsidRPr="001B4A02">
        <w:rPr>
          <w:rFonts w:ascii="Symbol" w:hAnsi="Symbol"/>
          <w:lang w:val="cs-CZ"/>
        </w:rPr>
        <w:sym w:font="Symbol" w:char="F0B3"/>
      </w:r>
      <w:r w:rsidRPr="001B4A02">
        <w:rPr>
          <w:lang w:val="cs-CZ"/>
        </w:rPr>
        <w:t xml:space="preserve"> 10), kteří byli kandidáty pro systémovou léčbu nebo fototerapii v randomizovaných, dvojitě zaslepených studiích. 73</w:t>
      </w:r>
      <w:r w:rsidR="00FA1345" w:rsidRPr="001B4A02">
        <w:rPr>
          <w:lang w:val="cs-CZ"/>
        </w:rPr>
        <w:t> </w:t>
      </w:r>
      <w:r w:rsidRPr="001B4A02">
        <w:rPr>
          <w:lang w:val="cs-CZ"/>
        </w:rPr>
        <w:t>% pacientů zahrnutých do psoriatických studií I</w:t>
      </w:r>
      <w:r w:rsidR="002378E0">
        <w:rPr>
          <w:lang w:val="cs-CZ"/>
        </w:rPr>
        <w:t xml:space="preserve"> a </w:t>
      </w:r>
      <w:r w:rsidRPr="001B4A02">
        <w:rPr>
          <w:lang w:val="cs-CZ"/>
        </w:rPr>
        <w:t>II podstoupilo předcházející systémovou léčbu nebo fototerapii. Bezpečnost</w:t>
      </w:r>
      <w:r w:rsidR="002378E0">
        <w:rPr>
          <w:lang w:val="cs-CZ"/>
        </w:rPr>
        <w:t xml:space="preserve"> a </w:t>
      </w:r>
      <w:r w:rsidRPr="001B4A02">
        <w:rPr>
          <w:lang w:val="cs-CZ"/>
        </w:rPr>
        <w:t>účinnost příprav</w:t>
      </w:r>
      <w:r w:rsidR="008A4562" w:rsidRPr="001B4A02">
        <w:rPr>
          <w:lang w:val="cs-CZ"/>
        </w:rPr>
        <w:t>ku Humira byla také studována u </w:t>
      </w:r>
      <w:r w:rsidRPr="001B4A02">
        <w:rPr>
          <w:lang w:val="cs-CZ"/>
        </w:rPr>
        <w:t xml:space="preserve">dospělých pacientů se středně </w:t>
      </w:r>
      <w:r w:rsidR="00CC2F88" w:rsidRPr="001B4A02">
        <w:rPr>
          <w:lang w:val="cs-CZ"/>
        </w:rPr>
        <w:t>těžkou až těžkou</w:t>
      </w:r>
      <w:r w:rsidRPr="001B4A02">
        <w:rPr>
          <w:lang w:val="cs-CZ"/>
        </w:rPr>
        <w:t xml:space="preserve"> ložiskovou psoriázou</w:t>
      </w:r>
      <w:r w:rsidR="002378E0">
        <w:rPr>
          <w:lang w:val="cs-CZ"/>
        </w:rPr>
        <w:t xml:space="preserve"> a </w:t>
      </w:r>
      <w:r w:rsidRPr="001B4A02">
        <w:rPr>
          <w:lang w:val="cs-CZ"/>
        </w:rPr>
        <w:t>současně s psoriázou na rukou a/nebo chodidlech, kteří byli kandidáty pro systémovou léčbu, v randomizované, dvojitě zaslepené studii (psoriatická studie III).</w:t>
      </w:r>
    </w:p>
    <w:p w14:paraId="3DA1889A" w14:textId="77777777" w:rsidR="00ED3511" w:rsidRPr="001B4A02" w:rsidRDefault="00ED3511" w:rsidP="00ED48A3">
      <w:pPr>
        <w:pStyle w:val="EMEANormal"/>
        <w:tabs>
          <w:tab w:val="clear" w:pos="562"/>
          <w:tab w:val="left" w:pos="708"/>
        </w:tabs>
        <w:suppressAutoHyphens w:val="0"/>
        <w:rPr>
          <w:lang w:val="cs-CZ"/>
        </w:rPr>
      </w:pPr>
    </w:p>
    <w:p w14:paraId="790254E2" w14:textId="77777777" w:rsidR="00ED3511" w:rsidRPr="001B4A02" w:rsidRDefault="00000000" w:rsidP="00ED48A3">
      <w:pPr>
        <w:pStyle w:val="EMEANormal"/>
        <w:tabs>
          <w:tab w:val="clear" w:pos="562"/>
          <w:tab w:val="left" w:pos="708"/>
        </w:tabs>
        <w:suppressAutoHyphens w:val="0"/>
        <w:rPr>
          <w:lang w:val="cs-CZ"/>
        </w:rPr>
      </w:pPr>
      <w:r w:rsidRPr="001B4A02">
        <w:rPr>
          <w:lang w:val="cs-CZ"/>
        </w:rPr>
        <w:t>Psoriatická studie I (REVEAL) hodnotila 1</w:t>
      </w:r>
      <w:r w:rsidR="00CD6D96" w:rsidRPr="001B4A02">
        <w:rPr>
          <w:lang w:val="cs-CZ"/>
        </w:rPr>
        <w:t> </w:t>
      </w:r>
      <w:r w:rsidRPr="001B4A02">
        <w:rPr>
          <w:lang w:val="cs-CZ"/>
        </w:rPr>
        <w:t>212 pacientů ve třech fázích léčby. Ve fázi A užívali pacienti placebo nebo přípravek Humira v úvodní dávce 80</w:t>
      </w:r>
      <w:r w:rsidR="00F365E7">
        <w:rPr>
          <w:lang w:val="cs-CZ"/>
        </w:rPr>
        <w:t> mg</w:t>
      </w:r>
      <w:r w:rsidRPr="001B4A02">
        <w:rPr>
          <w:lang w:val="cs-CZ"/>
        </w:rPr>
        <w:t>, následované dávkou 40</w:t>
      </w:r>
      <w:r w:rsidR="00F365E7">
        <w:rPr>
          <w:lang w:val="cs-CZ"/>
        </w:rPr>
        <w:t> mg</w:t>
      </w:r>
      <w:r w:rsidRPr="001B4A02">
        <w:rPr>
          <w:lang w:val="cs-CZ"/>
        </w:rPr>
        <w:t xml:space="preserve"> každý druhý týden počínaje prvním týdnem po podání dávky úvodní. Po 16 týdnech léčby pacienti, kteří dosáhli odpovědi alespoň PASI 75 (PASI kritérium zlepšení alespoň 75</w:t>
      </w:r>
      <w:r w:rsidR="00FA1345" w:rsidRPr="001B4A02">
        <w:rPr>
          <w:lang w:val="cs-CZ"/>
        </w:rPr>
        <w:t> </w:t>
      </w:r>
      <w:r w:rsidRPr="001B4A02">
        <w:rPr>
          <w:lang w:val="cs-CZ"/>
        </w:rPr>
        <w:t>% ve vztahu k výchozímu stavu)</w:t>
      </w:r>
      <w:r w:rsidR="00CD6D96" w:rsidRPr="001B4A02">
        <w:rPr>
          <w:lang w:val="cs-CZ"/>
        </w:rPr>
        <w:t>,</w:t>
      </w:r>
      <w:r w:rsidRPr="001B4A02">
        <w:rPr>
          <w:lang w:val="cs-CZ"/>
        </w:rPr>
        <w:t xml:space="preserve"> postoupili do fáze B</w:t>
      </w:r>
      <w:r w:rsidR="002378E0">
        <w:rPr>
          <w:lang w:val="cs-CZ"/>
        </w:rPr>
        <w:t xml:space="preserve"> a </w:t>
      </w:r>
      <w:r w:rsidR="0037494F" w:rsidRPr="001B4A02">
        <w:rPr>
          <w:lang w:val="cs-CZ"/>
        </w:rPr>
        <w:t>po</w:t>
      </w:r>
      <w:r w:rsidRPr="001B4A02">
        <w:rPr>
          <w:lang w:val="cs-CZ"/>
        </w:rPr>
        <w:t>užívali 40</w:t>
      </w:r>
      <w:r w:rsidR="00F365E7">
        <w:rPr>
          <w:lang w:val="cs-CZ"/>
        </w:rPr>
        <w:t> mg</w:t>
      </w:r>
      <w:r w:rsidRPr="001B4A02">
        <w:rPr>
          <w:lang w:val="cs-CZ"/>
        </w:rPr>
        <w:t xml:space="preserve"> přípravku Humira každý druhý týden. Pacienti, u</w:t>
      </w:r>
      <w:r w:rsidR="008A4562" w:rsidRPr="001B4A02">
        <w:rPr>
          <w:lang w:val="cs-CZ"/>
        </w:rPr>
        <w:t> </w:t>
      </w:r>
      <w:r w:rsidRPr="001B4A02">
        <w:rPr>
          <w:lang w:val="cs-CZ"/>
        </w:rPr>
        <w:t>kterých přetrvávala odpověď PASI ≥ 75 v týdnu 33</w:t>
      </w:r>
      <w:r w:rsidR="002378E0">
        <w:rPr>
          <w:lang w:val="cs-CZ"/>
        </w:rPr>
        <w:t xml:space="preserve"> a </w:t>
      </w:r>
      <w:r w:rsidRPr="001B4A02">
        <w:rPr>
          <w:lang w:val="cs-CZ"/>
        </w:rPr>
        <w:t>byli původně randomizováni k aktivní terapii ve fázi A, byli re-randomizováni do fáze C</w:t>
      </w:r>
      <w:r w:rsidR="002378E0">
        <w:rPr>
          <w:lang w:val="cs-CZ"/>
        </w:rPr>
        <w:t xml:space="preserve"> a </w:t>
      </w:r>
      <w:r w:rsidR="0037494F" w:rsidRPr="001B4A02">
        <w:rPr>
          <w:lang w:val="cs-CZ"/>
        </w:rPr>
        <w:t>po</w:t>
      </w:r>
      <w:r w:rsidRPr="001B4A02">
        <w:rPr>
          <w:lang w:val="cs-CZ"/>
        </w:rPr>
        <w:t>užívali 40</w:t>
      </w:r>
      <w:r w:rsidR="00F365E7">
        <w:rPr>
          <w:lang w:val="cs-CZ"/>
        </w:rPr>
        <w:t> mg</w:t>
      </w:r>
      <w:r w:rsidRPr="001B4A02">
        <w:rPr>
          <w:lang w:val="cs-CZ"/>
        </w:rPr>
        <w:t xml:space="preserve"> přípravku Humira každý druhý týden nebo placebo po dobu dalších 19 týdnů. Napříč všemi léčenými skupinami bylo průměrné výchozí skóre PASI 18,9</w:t>
      </w:r>
      <w:r w:rsidR="002378E0">
        <w:rPr>
          <w:lang w:val="cs-CZ"/>
        </w:rPr>
        <w:t xml:space="preserve"> a </w:t>
      </w:r>
      <w:r w:rsidRPr="001B4A02">
        <w:rPr>
          <w:lang w:val="cs-CZ"/>
        </w:rPr>
        <w:t>výchozí skóre Physician’s Global Assessment (PGA) se pohybovalo od „středně těžkého“ (53</w:t>
      </w:r>
      <w:r w:rsidR="00FA1345" w:rsidRPr="001B4A02">
        <w:rPr>
          <w:lang w:val="cs-CZ"/>
        </w:rPr>
        <w:t> </w:t>
      </w:r>
      <w:r w:rsidRPr="001B4A02">
        <w:rPr>
          <w:lang w:val="cs-CZ"/>
        </w:rPr>
        <w:t>% sledovaných subjektů) po</w:t>
      </w:r>
      <w:r w:rsidR="007978AF">
        <w:rPr>
          <w:lang w:val="cs-CZ"/>
        </w:rPr>
        <w:t xml:space="preserve"> </w:t>
      </w:r>
      <w:r w:rsidRPr="001B4A02">
        <w:rPr>
          <w:lang w:val="cs-CZ"/>
        </w:rPr>
        <w:t>„těžké“ (41</w:t>
      </w:r>
      <w:r w:rsidR="00FA1345" w:rsidRPr="001B4A02">
        <w:rPr>
          <w:lang w:val="cs-CZ"/>
        </w:rPr>
        <w:t> </w:t>
      </w:r>
      <w:r w:rsidRPr="001B4A02">
        <w:rPr>
          <w:lang w:val="cs-CZ"/>
        </w:rPr>
        <w:t>%) až „velmi těžké“ (6</w:t>
      </w:r>
      <w:r w:rsidR="00FA1345" w:rsidRPr="001B4A02">
        <w:rPr>
          <w:lang w:val="cs-CZ"/>
        </w:rPr>
        <w:t> </w:t>
      </w:r>
      <w:r w:rsidRPr="001B4A02">
        <w:rPr>
          <w:lang w:val="cs-CZ"/>
        </w:rPr>
        <w:t>%).</w:t>
      </w:r>
    </w:p>
    <w:p w14:paraId="697F533E" w14:textId="77777777" w:rsidR="00ED3511" w:rsidRPr="001B4A02" w:rsidRDefault="00ED3511" w:rsidP="00ED48A3">
      <w:pPr>
        <w:pStyle w:val="EMEANormal"/>
        <w:tabs>
          <w:tab w:val="clear" w:pos="562"/>
          <w:tab w:val="left" w:pos="708"/>
        </w:tabs>
        <w:suppressAutoHyphens w:val="0"/>
        <w:rPr>
          <w:lang w:val="cs-CZ"/>
        </w:rPr>
      </w:pPr>
    </w:p>
    <w:p w14:paraId="54A95627" w14:textId="77777777" w:rsidR="00ED3511" w:rsidRPr="001B4A02" w:rsidRDefault="00000000" w:rsidP="00ED48A3">
      <w:pPr>
        <w:pStyle w:val="EMEANormal"/>
        <w:tabs>
          <w:tab w:val="clear" w:pos="562"/>
          <w:tab w:val="left" w:pos="708"/>
        </w:tabs>
        <w:suppressAutoHyphens w:val="0"/>
        <w:rPr>
          <w:lang w:val="cs-CZ"/>
        </w:rPr>
      </w:pPr>
      <w:r w:rsidRPr="001B4A02">
        <w:rPr>
          <w:lang w:val="cs-CZ"/>
        </w:rPr>
        <w:t>Psoriatická studie II (CHAMPION) porovnávala účinnost</w:t>
      </w:r>
      <w:r w:rsidR="002378E0">
        <w:rPr>
          <w:lang w:val="cs-CZ"/>
        </w:rPr>
        <w:t xml:space="preserve"> a </w:t>
      </w:r>
      <w:r w:rsidRPr="001B4A02">
        <w:rPr>
          <w:lang w:val="cs-CZ"/>
        </w:rPr>
        <w:t xml:space="preserve">bezpečnost přípravku Humira </w:t>
      </w:r>
      <w:r w:rsidRPr="001B4A02">
        <w:rPr>
          <w:iCs/>
          <w:lang w:val="cs-CZ"/>
        </w:rPr>
        <w:t>oproti</w:t>
      </w:r>
      <w:r w:rsidRPr="001B4A02">
        <w:rPr>
          <w:lang w:val="cs-CZ"/>
        </w:rPr>
        <w:t xml:space="preserve"> methotrexátu</w:t>
      </w:r>
      <w:r w:rsidR="002378E0">
        <w:rPr>
          <w:lang w:val="cs-CZ"/>
        </w:rPr>
        <w:t xml:space="preserve"> a </w:t>
      </w:r>
      <w:r w:rsidRPr="001B4A02">
        <w:rPr>
          <w:lang w:val="cs-CZ"/>
        </w:rPr>
        <w:t>placebu u</w:t>
      </w:r>
      <w:r w:rsidR="008A5E18" w:rsidRPr="001B4A02">
        <w:rPr>
          <w:lang w:val="cs-CZ"/>
        </w:rPr>
        <w:t> </w:t>
      </w:r>
      <w:r w:rsidRPr="001B4A02">
        <w:rPr>
          <w:lang w:val="cs-CZ"/>
        </w:rPr>
        <w:t>271 pacientů. Pacienti užívali placebo</w:t>
      </w:r>
      <w:r w:rsidR="002378E0">
        <w:rPr>
          <w:lang w:val="cs-CZ"/>
        </w:rPr>
        <w:t xml:space="preserve"> a </w:t>
      </w:r>
      <w:r w:rsidRPr="001B4A02">
        <w:rPr>
          <w:lang w:val="cs-CZ"/>
        </w:rPr>
        <w:t>MTX v úvodní dávce 7,5</w:t>
      </w:r>
      <w:r w:rsidR="00F365E7">
        <w:rPr>
          <w:lang w:val="cs-CZ"/>
        </w:rPr>
        <w:t> mg</w:t>
      </w:r>
      <w:r w:rsidRPr="001B4A02">
        <w:rPr>
          <w:lang w:val="cs-CZ"/>
        </w:rPr>
        <w:t>, která se následně zvyšovala až do týdne 12 do maximální dávky 25</w:t>
      </w:r>
      <w:r w:rsidR="00F365E7">
        <w:rPr>
          <w:lang w:val="cs-CZ"/>
        </w:rPr>
        <w:t> mg</w:t>
      </w:r>
      <w:r w:rsidRPr="001B4A02">
        <w:rPr>
          <w:lang w:val="cs-CZ"/>
        </w:rPr>
        <w:t xml:space="preserve">, nebo </w:t>
      </w:r>
      <w:r w:rsidR="0037494F" w:rsidRPr="001B4A02">
        <w:rPr>
          <w:lang w:val="cs-CZ"/>
        </w:rPr>
        <w:t>po</w:t>
      </w:r>
      <w:r w:rsidRPr="001B4A02">
        <w:rPr>
          <w:lang w:val="cs-CZ"/>
        </w:rPr>
        <w:t xml:space="preserve">užívali </w:t>
      </w:r>
      <w:r w:rsidR="00CF3348" w:rsidRPr="001B4A02">
        <w:rPr>
          <w:lang w:val="cs-CZ"/>
        </w:rPr>
        <w:t>úvodní</w:t>
      </w:r>
      <w:r w:rsidRPr="001B4A02">
        <w:rPr>
          <w:lang w:val="cs-CZ"/>
        </w:rPr>
        <w:t xml:space="preserve"> dávku 80</w:t>
      </w:r>
      <w:r w:rsidR="00F365E7">
        <w:rPr>
          <w:lang w:val="cs-CZ"/>
        </w:rPr>
        <w:t> mg</w:t>
      </w:r>
      <w:r w:rsidRPr="001B4A02">
        <w:rPr>
          <w:lang w:val="cs-CZ"/>
        </w:rPr>
        <w:t xml:space="preserve"> přípravku Humira, následované dávkou 40</w:t>
      </w:r>
      <w:r w:rsidR="00F365E7">
        <w:rPr>
          <w:lang w:val="cs-CZ"/>
        </w:rPr>
        <w:t> mg</w:t>
      </w:r>
      <w:r w:rsidRPr="001B4A02">
        <w:rPr>
          <w:lang w:val="cs-CZ"/>
        </w:rPr>
        <w:t xml:space="preserve"> každý druhý týden (počínaje prvním týdnem po </w:t>
      </w:r>
      <w:r w:rsidR="00CF3348" w:rsidRPr="001B4A02">
        <w:rPr>
          <w:lang w:val="cs-CZ"/>
        </w:rPr>
        <w:t>úvodní</w:t>
      </w:r>
      <w:r w:rsidRPr="001B4A02">
        <w:rPr>
          <w:lang w:val="cs-CZ"/>
        </w:rPr>
        <w:t xml:space="preserve"> dávce) po dobu 16 týdnů. Nejsou dostupné žádné údaje o</w:t>
      </w:r>
      <w:r w:rsidR="00923691" w:rsidRPr="001B4A02">
        <w:rPr>
          <w:lang w:val="cs-CZ"/>
        </w:rPr>
        <w:t> </w:t>
      </w:r>
      <w:r w:rsidRPr="001B4A02">
        <w:rPr>
          <w:lang w:val="cs-CZ"/>
        </w:rPr>
        <w:t>porovnání přípravku Humira</w:t>
      </w:r>
      <w:r w:rsidR="002378E0">
        <w:rPr>
          <w:lang w:val="cs-CZ"/>
        </w:rPr>
        <w:t xml:space="preserve"> a </w:t>
      </w:r>
      <w:r w:rsidRPr="001B4A02">
        <w:rPr>
          <w:lang w:val="cs-CZ"/>
        </w:rPr>
        <w:t>MTX po této 16týdenní léčbě. Pacientům, kteří užívali MTX</w:t>
      </w:r>
      <w:r w:rsidR="002378E0">
        <w:rPr>
          <w:lang w:val="cs-CZ"/>
        </w:rPr>
        <w:t xml:space="preserve"> a </w:t>
      </w:r>
      <w:r w:rsidRPr="001B4A02">
        <w:rPr>
          <w:lang w:val="cs-CZ"/>
        </w:rPr>
        <w:t>kteří dosáhli odpovědi PASI ≥ 50 v týdnu 8 a/nebo 12, nebyla dávka dále navyšována. Napříč všemi léčenými skupinami bylo průměrné PASI skóre 19,7</w:t>
      </w:r>
      <w:r w:rsidR="002378E0">
        <w:rPr>
          <w:lang w:val="cs-CZ"/>
        </w:rPr>
        <w:t xml:space="preserve"> a </w:t>
      </w:r>
      <w:r w:rsidRPr="001B4A02">
        <w:rPr>
          <w:lang w:val="cs-CZ"/>
        </w:rPr>
        <w:t>výchozí PGA skóre se pohybovalo od „mírného“ (&lt; 1</w:t>
      </w:r>
      <w:r w:rsidR="00FA1345" w:rsidRPr="001B4A02">
        <w:rPr>
          <w:lang w:val="cs-CZ"/>
        </w:rPr>
        <w:t> </w:t>
      </w:r>
      <w:r w:rsidRPr="001B4A02">
        <w:rPr>
          <w:lang w:val="cs-CZ"/>
        </w:rPr>
        <w:t>%) po „středně těžké“ (48</w:t>
      </w:r>
      <w:r w:rsidR="00FA1345" w:rsidRPr="001B4A02">
        <w:rPr>
          <w:lang w:val="cs-CZ"/>
        </w:rPr>
        <w:t> </w:t>
      </w:r>
      <w:r w:rsidRPr="001B4A02">
        <w:rPr>
          <w:lang w:val="cs-CZ"/>
        </w:rPr>
        <w:t>%), „těžké“ (46</w:t>
      </w:r>
      <w:r w:rsidR="00FA1345" w:rsidRPr="001B4A02">
        <w:rPr>
          <w:lang w:val="cs-CZ"/>
        </w:rPr>
        <w:t> </w:t>
      </w:r>
      <w:r w:rsidRPr="001B4A02">
        <w:rPr>
          <w:lang w:val="cs-CZ"/>
        </w:rPr>
        <w:t>%) až „velmi těžké“ (6</w:t>
      </w:r>
      <w:r w:rsidR="00FA1345" w:rsidRPr="001B4A02">
        <w:rPr>
          <w:lang w:val="cs-CZ"/>
        </w:rPr>
        <w:t> </w:t>
      </w:r>
      <w:r w:rsidRPr="001B4A02">
        <w:rPr>
          <w:lang w:val="cs-CZ"/>
        </w:rPr>
        <w:t>%).</w:t>
      </w:r>
    </w:p>
    <w:p w14:paraId="7F5AEDD5" w14:textId="77777777" w:rsidR="00ED3511" w:rsidRPr="001B4A02" w:rsidRDefault="00ED3511" w:rsidP="00ED48A3">
      <w:pPr>
        <w:pStyle w:val="EMEANormal"/>
        <w:tabs>
          <w:tab w:val="clear" w:pos="562"/>
          <w:tab w:val="left" w:pos="708"/>
        </w:tabs>
        <w:suppressAutoHyphens w:val="0"/>
        <w:rPr>
          <w:lang w:val="cs-CZ"/>
        </w:rPr>
      </w:pPr>
    </w:p>
    <w:p w14:paraId="5E62F226" w14:textId="77777777" w:rsidR="00ED3511" w:rsidRPr="001B4A02" w:rsidRDefault="00000000" w:rsidP="00ED48A3">
      <w:pPr>
        <w:pStyle w:val="EMEANormal"/>
        <w:tabs>
          <w:tab w:val="clear" w:pos="562"/>
          <w:tab w:val="left" w:pos="708"/>
        </w:tabs>
        <w:suppressAutoHyphens w:val="0"/>
        <w:rPr>
          <w:lang w:val="cs-CZ"/>
        </w:rPr>
      </w:pPr>
      <w:r w:rsidRPr="001B4A02">
        <w:rPr>
          <w:lang w:val="cs-CZ"/>
        </w:rPr>
        <w:t xml:space="preserve">Pacienti, kteří se účastnili celé fáze </w:t>
      </w:r>
      <w:r w:rsidR="00C114D7" w:rsidRPr="001B4A02">
        <w:rPr>
          <w:lang w:val="cs-CZ"/>
        </w:rPr>
        <w:t>2</w:t>
      </w:r>
      <w:r w:rsidR="002378E0">
        <w:rPr>
          <w:lang w:val="cs-CZ"/>
        </w:rPr>
        <w:t xml:space="preserve"> a </w:t>
      </w:r>
      <w:r w:rsidRPr="001B4A02">
        <w:rPr>
          <w:lang w:val="cs-CZ"/>
        </w:rPr>
        <w:t xml:space="preserve">fáze </w:t>
      </w:r>
      <w:r w:rsidR="00C114D7" w:rsidRPr="001B4A02">
        <w:rPr>
          <w:lang w:val="cs-CZ"/>
        </w:rPr>
        <w:t>3</w:t>
      </w:r>
      <w:r w:rsidRPr="001B4A02">
        <w:rPr>
          <w:lang w:val="cs-CZ"/>
        </w:rPr>
        <w:t xml:space="preserve"> psoriatických studií, byli vhodní k tomu, aby byli zařazeni do otevřené fáze prodloužené studie, v níž byl přípravek Humira podáván minimálně po dobu dalších 108 týdnů.</w:t>
      </w:r>
    </w:p>
    <w:p w14:paraId="14F079B1" w14:textId="77777777" w:rsidR="00ED3511" w:rsidRPr="001B4A02" w:rsidRDefault="00ED3511" w:rsidP="00ED48A3">
      <w:pPr>
        <w:pStyle w:val="EMEANormal"/>
        <w:tabs>
          <w:tab w:val="clear" w:pos="562"/>
          <w:tab w:val="left" w:pos="708"/>
        </w:tabs>
        <w:suppressAutoHyphens w:val="0"/>
        <w:rPr>
          <w:lang w:val="cs-CZ"/>
        </w:rPr>
      </w:pPr>
    </w:p>
    <w:p w14:paraId="687945A1" w14:textId="77777777" w:rsidR="00ED3511" w:rsidRPr="001B4A02" w:rsidRDefault="00000000" w:rsidP="00ED48A3">
      <w:pPr>
        <w:pStyle w:val="EMEANormal"/>
        <w:tabs>
          <w:tab w:val="clear" w:pos="562"/>
          <w:tab w:val="left" w:pos="708"/>
        </w:tabs>
        <w:suppressAutoHyphens w:val="0"/>
        <w:rPr>
          <w:lang w:val="cs-CZ"/>
        </w:rPr>
      </w:pPr>
      <w:r w:rsidRPr="001B4A02">
        <w:rPr>
          <w:lang w:val="cs-CZ"/>
        </w:rPr>
        <w:t>V psoriatických studiích I</w:t>
      </w:r>
      <w:r w:rsidR="002378E0">
        <w:rPr>
          <w:lang w:val="cs-CZ"/>
        </w:rPr>
        <w:t xml:space="preserve"> a </w:t>
      </w:r>
      <w:r w:rsidRPr="001B4A02">
        <w:rPr>
          <w:lang w:val="cs-CZ"/>
        </w:rPr>
        <w:t xml:space="preserve">II byl primárním cílovým parametrem podíl pacientů, kteří dosáhli odpovědi PASI 75 v týdnu 16 od výchozího stavu (viz tabulky </w:t>
      </w:r>
      <w:r w:rsidR="002A0AEB">
        <w:rPr>
          <w:lang w:val="cs-CZ"/>
        </w:rPr>
        <w:t>16</w:t>
      </w:r>
      <w:r w:rsidR="002378E0">
        <w:rPr>
          <w:lang w:val="cs-CZ"/>
        </w:rPr>
        <w:t xml:space="preserve"> a </w:t>
      </w:r>
      <w:r w:rsidR="002A0AEB">
        <w:rPr>
          <w:lang w:val="cs-CZ"/>
        </w:rPr>
        <w:t>17</w:t>
      </w:r>
      <w:r w:rsidRPr="001B4A02">
        <w:rPr>
          <w:lang w:val="cs-CZ"/>
        </w:rPr>
        <w:t>).</w:t>
      </w:r>
    </w:p>
    <w:p w14:paraId="0F711286" w14:textId="77777777" w:rsidR="00ED3511" w:rsidRPr="001B4A02" w:rsidRDefault="00ED3511" w:rsidP="00ED48A3">
      <w:pPr>
        <w:pStyle w:val="EMEANormal"/>
        <w:tabs>
          <w:tab w:val="clear" w:pos="562"/>
          <w:tab w:val="left" w:pos="708"/>
        </w:tabs>
        <w:suppressAutoHyphens w:val="0"/>
        <w:rPr>
          <w:u w:val="single"/>
          <w:lang w:val="cs-CZ"/>
        </w:rPr>
      </w:pPr>
    </w:p>
    <w:tbl>
      <w:tblPr>
        <w:tblW w:w="856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98"/>
        <w:gridCol w:w="1984"/>
        <w:gridCol w:w="4280"/>
      </w:tblGrid>
      <w:tr w:rsidR="00534A2D" w14:paraId="2800FD92" w14:textId="77777777" w:rsidTr="008D783A">
        <w:trPr>
          <w:trHeight w:val="521"/>
          <w:jc w:val="center"/>
        </w:trPr>
        <w:tc>
          <w:tcPr>
            <w:tcW w:w="8562" w:type="dxa"/>
            <w:gridSpan w:val="3"/>
            <w:tcBorders>
              <w:top w:val="nil"/>
              <w:left w:val="nil"/>
              <w:bottom w:val="single" w:sz="4" w:space="0" w:color="auto"/>
              <w:right w:val="nil"/>
            </w:tcBorders>
          </w:tcPr>
          <w:p w14:paraId="7FE05AC5" w14:textId="77777777" w:rsidR="00ED3511" w:rsidRPr="002A0AEB" w:rsidRDefault="00000000" w:rsidP="00A03600">
            <w:pPr>
              <w:pStyle w:val="DefaultText"/>
              <w:keepNext/>
              <w:jc w:val="center"/>
              <w:rPr>
                <w:rFonts w:ascii="Times New Roman" w:hAnsi="Times New Roman"/>
                <w:b/>
                <w:bCs w:val="0"/>
                <w:szCs w:val="22"/>
                <w:lang w:val="cs-CZ"/>
              </w:rPr>
            </w:pPr>
            <w:r w:rsidRPr="002A0AEB">
              <w:rPr>
                <w:rFonts w:ascii="Times New Roman" w:hAnsi="Times New Roman"/>
                <w:b/>
                <w:bCs w:val="0"/>
                <w:szCs w:val="22"/>
                <w:lang w:val="cs-CZ"/>
              </w:rPr>
              <w:t xml:space="preserve">Tabulka </w:t>
            </w:r>
            <w:r w:rsidR="002A0AEB" w:rsidRPr="002A0AEB">
              <w:rPr>
                <w:rFonts w:ascii="Times New Roman" w:hAnsi="Times New Roman"/>
                <w:b/>
                <w:bCs w:val="0"/>
                <w:szCs w:val="22"/>
                <w:lang w:val="cs-CZ"/>
              </w:rPr>
              <w:t>1</w:t>
            </w:r>
            <w:r w:rsidR="002A0AEB" w:rsidRPr="00DB7D9B">
              <w:rPr>
                <w:rFonts w:ascii="Times New Roman" w:hAnsi="Times New Roman"/>
                <w:b/>
                <w:lang w:val="it-IT"/>
              </w:rPr>
              <w:t>6</w:t>
            </w:r>
          </w:p>
          <w:p w14:paraId="5D072B54" w14:textId="77777777" w:rsidR="00ED3511" w:rsidRPr="001B4A02" w:rsidRDefault="00000000" w:rsidP="00A03600">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Studie Ps I (REVEAL)</w:t>
            </w:r>
          </w:p>
          <w:p w14:paraId="771627C7" w14:textId="77777777" w:rsidR="00ED3511" w:rsidRPr="001B4A02" w:rsidRDefault="00000000" w:rsidP="00A03600">
            <w:pPr>
              <w:pStyle w:val="DefaultText"/>
              <w:keepNext/>
              <w:jc w:val="center"/>
              <w:rPr>
                <w:rFonts w:ascii="Times New Roman" w:hAnsi="Times New Roman"/>
                <w:b/>
                <w:bCs w:val="0"/>
                <w:szCs w:val="22"/>
                <w:u w:val="single"/>
                <w:lang w:val="cs-CZ"/>
              </w:rPr>
            </w:pPr>
            <w:r w:rsidRPr="001B4A02">
              <w:rPr>
                <w:rFonts w:ascii="Times New Roman" w:hAnsi="Times New Roman"/>
                <w:b/>
                <w:bCs w:val="0"/>
                <w:szCs w:val="22"/>
                <w:lang w:val="cs-CZ"/>
              </w:rPr>
              <w:t xml:space="preserve">Výsledky účinnosti za 16 týdnů </w:t>
            </w:r>
          </w:p>
        </w:tc>
      </w:tr>
      <w:tr w:rsidR="00534A2D" w14:paraId="0716FED7" w14:textId="77777777" w:rsidTr="008D783A">
        <w:trPr>
          <w:trHeight w:val="797"/>
          <w:jc w:val="center"/>
        </w:trPr>
        <w:tc>
          <w:tcPr>
            <w:tcW w:w="2298" w:type="dxa"/>
            <w:tcBorders>
              <w:top w:val="single" w:sz="4" w:space="0" w:color="auto"/>
              <w:left w:val="single" w:sz="4" w:space="0" w:color="auto"/>
              <w:bottom w:val="single" w:sz="4" w:space="0" w:color="auto"/>
              <w:right w:val="single" w:sz="4" w:space="0" w:color="auto"/>
            </w:tcBorders>
            <w:vAlign w:val="center"/>
          </w:tcPr>
          <w:p w14:paraId="490CA2AE" w14:textId="77777777" w:rsidR="00ED3511" w:rsidRPr="001B4A02" w:rsidRDefault="00ED3511" w:rsidP="00ED48A3">
            <w:pPr>
              <w:pStyle w:val="DefaultText"/>
              <w:rPr>
                <w:rFonts w:ascii="Times New Roman" w:hAnsi="Times New Roman"/>
                <w:b/>
                <w:bCs w:val="0"/>
                <w:szCs w:val="22"/>
                <w:lang w:val="cs-CZ"/>
              </w:rPr>
            </w:pPr>
          </w:p>
        </w:tc>
        <w:tc>
          <w:tcPr>
            <w:tcW w:w="1984" w:type="dxa"/>
            <w:tcBorders>
              <w:top w:val="single" w:sz="4" w:space="0" w:color="auto"/>
              <w:left w:val="single" w:sz="4" w:space="0" w:color="auto"/>
              <w:bottom w:val="single" w:sz="4" w:space="0" w:color="auto"/>
              <w:right w:val="single" w:sz="4" w:space="0" w:color="auto"/>
            </w:tcBorders>
            <w:vAlign w:val="center"/>
          </w:tcPr>
          <w:p w14:paraId="04C9C27C" w14:textId="77777777" w:rsidR="00ED3511" w:rsidRPr="001B4A02" w:rsidRDefault="00000000" w:rsidP="00ED48A3">
            <w:pPr>
              <w:pStyle w:val="DefaultText"/>
              <w:jc w:val="center"/>
              <w:rPr>
                <w:rFonts w:ascii="Times New Roman" w:hAnsi="Times New Roman"/>
                <w:b/>
                <w:bCs w:val="0"/>
                <w:szCs w:val="22"/>
                <w:lang w:val="cs-CZ"/>
              </w:rPr>
            </w:pPr>
            <w:r w:rsidRPr="001B4A02">
              <w:rPr>
                <w:rFonts w:ascii="Times New Roman" w:hAnsi="Times New Roman"/>
                <w:b/>
                <w:bCs w:val="0"/>
                <w:szCs w:val="22"/>
                <w:lang w:val="cs-CZ"/>
              </w:rPr>
              <w:t>Placebo</w:t>
            </w:r>
          </w:p>
          <w:p w14:paraId="4B36B748" w14:textId="77777777" w:rsidR="00ED3511" w:rsidRPr="001B4A02" w:rsidRDefault="00000000" w:rsidP="00ED48A3">
            <w:pPr>
              <w:pStyle w:val="DefaultText"/>
              <w:jc w:val="center"/>
              <w:rPr>
                <w:rFonts w:ascii="Times New Roman" w:hAnsi="Times New Roman"/>
                <w:b/>
                <w:bCs w:val="0"/>
                <w:szCs w:val="22"/>
                <w:lang w:val="cs-CZ"/>
              </w:rPr>
            </w:pPr>
            <w:r>
              <w:rPr>
                <w:rFonts w:ascii="Times New Roman" w:hAnsi="Times New Roman"/>
                <w:b/>
                <w:bCs w:val="0"/>
                <w:szCs w:val="22"/>
                <w:lang w:val="cs-CZ"/>
              </w:rPr>
              <w:t>n</w:t>
            </w:r>
            <w:r w:rsidRPr="001B4A02">
              <w:rPr>
                <w:rFonts w:ascii="Times New Roman" w:hAnsi="Times New Roman"/>
                <w:b/>
                <w:bCs w:val="0"/>
                <w:szCs w:val="22"/>
                <w:lang w:val="cs-CZ"/>
              </w:rPr>
              <w:t>=398</w:t>
            </w:r>
          </w:p>
          <w:p w14:paraId="0D2233C1" w14:textId="77777777" w:rsidR="00ED3511" w:rsidRPr="001B4A02" w:rsidRDefault="00000000" w:rsidP="00ED48A3">
            <w:pPr>
              <w:pStyle w:val="DefaultText"/>
              <w:jc w:val="center"/>
              <w:rPr>
                <w:rFonts w:ascii="Times New Roman" w:hAnsi="Times New Roman"/>
                <w:b/>
                <w:bCs w:val="0"/>
                <w:szCs w:val="22"/>
                <w:lang w:val="cs-CZ"/>
              </w:rPr>
            </w:pPr>
            <w:r w:rsidRPr="001B4A02">
              <w:rPr>
                <w:rFonts w:ascii="Times New Roman" w:hAnsi="Times New Roman"/>
                <w:b/>
                <w:bCs w:val="0"/>
                <w:szCs w:val="22"/>
                <w:lang w:val="cs-CZ"/>
              </w:rPr>
              <w:t>n (%)</w:t>
            </w:r>
          </w:p>
        </w:tc>
        <w:tc>
          <w:tcPr>
            <w:tcW w:w="4280" w:type="dxa"/>
            <w:tcBorders>
              <w:top w:val="single" w:sz="4" w:space="0" w:color="auto"/>
              <w:left w:val="single" w:sz="4" w:space="0" w:color="auto"/>
              <w:bottom w:val="single" w:sz="4" w:space="0" w:color="auto"/>
              <w:right w:val="single" w:sz="4" w:space="0" w:color="auto"/>
            </w:tcBorders>
            <w:vAlign w:val="center"/>
          </w:tcPr>
          <w:p w14:paraId="74282A7C" w14:textId="77777777" w:rsidR="00ED3511" w:rsidRPr="001B4A02" w:rsidRDefault="00000000" w:rsidP="00ED48A3">
            <w:pPr>
              <w:pStyle w:val="DefaultText"/>
              <w:jc w:val="center"/>
              <w:rPr>
                <w:rFonts w:ascii="Times New Roman" w:hAnsi="Times New Roman"/>
                <w:b/>
                <w:bCs w:val="0"/>
                <w:szCs w:val="22"/>
                <w:lang w:val="cs-CZ"/>
              </w:rPr>
            </w:pPr>
            <w:r w:rsidRPr="001B4A02">
              <w:rPr>
                <w:rFonts w:ascii="Times New Roman" w:hAnsi="Times New Roman"/>
                <w:b/>
                <w:bCs w:val="0"/>
                <w:szCs w:val="22"/>
                <w:lang w:val="cs-CZ"/>
              </w:rPr>
              <w:t>Humira 40</w:t>
            </w:r>
            <w:r w:rsidR="00F365E7">
              <w:rPr>
                <w:rFonts w:ascii="Times New Roman" w:hAnsi="Times New Roman"/>
                <w:b/>
                <w:bCs w:val="0"/>
                <w:szCs w:val="22"/>
                <w:lang w:val="cs-CZ"/>
              </w:rPr>
              <w:t> mg</w:t>
            </w:r>
            <w:r w:rsidRPr="001B4A02">
              <w:rPr>
                <w:rFonts w:ascii="Times New Roman" w:hAnsi="Times New Roman"/>
                <w:b/>
                <w:bCs w:val="0"/>
                <w:szCs w:val="22"/>
                <w:lang w:val="cs-CZ"/>
              </w:rPr>
              <w:t xml:space="preserve"> každý druhý týden</w:t>
            </w:r>
          </w:p>
          <w:p w14:paraId="43F2B9CD" w14:textId="77777777" w:rsidR="00ED3511" w:rsidRPr="001B4A02" w:rsidRDefault="00000000" w:rsidP="00ED48A3">
            <w:pPr>
              <w:pStyle w:val="DefaultText"/>
              <w:jc w:val="center"/>
              <w:rPr>
                <w:rFonts w:ascii="Times New Roman" w:hAnsi="Times New Roman"/>
                <w:b/>
                <w:bCs w:val="0"/>
                <w:szCs w:val="22"/>
                <w:lang w:val="cs-CZ"/>
              </w:rPr>
            </w:pPr>
            <w:r>
              <w:rPr>
                <w:rFonts w:ascii="Times New Roman" w:hAnsi="Times New Roman"/>
                <w:b/>
                <w:bCs w:val="0"/>
                <w:szCs w:val="22"/>
                <w:lang w:val="cs-CZ"/>
              </w:rPr>
              <w:t>n</w:t>
            </w:r>
            <w:r w:rsidRPr="001B4A02">
              <w:rPr>
                <w:rFonts w:ascii="Times New Roman" w:hAnsi="Times New Roman"/>
                <w:b/>
                <w:bCs w:val="0"/>
                <w:szCs w:val="22"/>
                <w:lang w:val="cs-CZ"/>
              </w:rPr>
              <w:t>=814</w:t>
            </w:r>
          </w:p>
          <w:p w14:paraId="51CED6E5" w14:textId="77777777" w:rsidR="00ED3511" w:rsidRPr="001B4A02" w:rsidRDefault="00000000" w:rsidP="00ED48A3">
            <w:pPr>
              <w:pStyle w:val="DefaultText"/>
              <w:jc w:val="center"/>
              <w:rPr>
                <w:rFonts w:ascii="Times New Roman" w:hAnsi="Times New Roman"/>
                <w:b/>
                <w:bCs w:val="0"/>
                <w:szCs w:val="22"/>
                <w:lang w:val="cs-CZ"/>
              </w:rPr>
            </w:pPr>
            <w:r w:rsidRPr="001B4A02">
              <w:rPr>
                <w:rFonts w:ascii="Times New Roman" w:hAnsi="Times New Roman"/>
                <w:b/>
                <w:bCs w:val="0"/>
                <w:szCs w:val="22"/>
                <w:lang w:val="cs-CZ"/>
              </w:rPr>
              <w:t>n (%)</w:t>
            </w:r>
          </w:p>
        </w:tc>
      </w:tr>
      <w:tr w:rsidR="00534A2D" w14:paraId="0F9F969C" w14:textId="77777777" w:rsidTr="008D783A">
        <w:trPr>
          <w:trHeight w:val="261"/>
          <w:jc w:val="center"/>
        </w:trPr>
        <w:tc>
          <w:tcPr>
            <w:tcW w:w="2298" w:type="dxa"/>
            <w:tcBorders>
              <w:top w:val="single" w:sz="4" w:space="0" w:color="auto"/>
              <w:left w:val="single" w:sz="4" w:space="0" w:color="auto"/>
              <w:bottom w:val="single" w:sz="4" w:space="0" w:color="auto"/>
              <w:right w:val="single" w:sz="4" w:space="0" w:color="auto"/>
            </w:tcBorders>
          </w:tcPr>
          <w:p w14:paraId="183B23F2" w14:textId="77777777" w:rsidR="00ED3511" w:rsidRPr="001B4A02" w:rsidRDefault="00000000" w:rsidP="00ED48A3">
            <w:pPr>
              <w:pStyle w:val="DefaultText"/>
              <w:rPr>
                <w:rFonts w:ascii="Times New Roman" w:hAnsi="Times New Roman"/>
                <w:b/>
                <w:bCs w:val="0"/>
                <w:szCs w:val="22"/>
                <w:lang w:val="cs-CZ"/>
              </w:rPr>
            </w:pPr>
            <w:r w:rsidRPr="001B4A02">
              <w:rPr>
                <w:rFonts w:ascii="Symbol" w:hAnsi="Symbol"/>
                <w:b/>
                <w:lang w:val="cs-CZ"/>
              </w:rPr>
              <w:sym w:font="Symbol" w:char="F0B3"/>
            </w:r>
            <w:r w:rsidRPr="001B4A02">
              <w:rPr>
                <w:rFonts w:ascii="Times New Roman" w:hAnsi="Times New Roman"/>
                <w:b/>
                <w:lang w:val="cs-CZ"/>
              </w:rPr>
              <w:t xml:space="preserve"> </w:t>
            </w:r>
            <w:r w:rsidRPr="001B4A02">
              <w:rPr>
                <w:rFonts w:ascii="Times New Roman" w:hAnsi="Times New Roman"/>
                <w:b/>
                <w:bCs w:val="0"/>
                <w:szCs w:val="22"/>
                <w:lang w:val="cs-CZ"/>
              </w:rPr>
              <w:t>PASI 75</w:t>
            </w:r>
            <w:r w:rsidRPr="001B4A02">
              <w:rPr>
                <w:rFonts w:ascii="Times New Roman" w:hAnsi="Times New Roman"/>
                <w:b/>
                <w:bCs w:val="0"/>
                <w:szCs w:val="22"/>
                <w:vertAlign w:val="superscript"/>
                <w:lang w:val="cs-CZ"/>
              </w:rPr>
              <w:t>a</w:t>
            </w:r>
          </w:p>
        </w:tc>
        <w:tc>
          <w:tcPr>
            <w:tcW w:w="1984" w:type="dxa"/>
            <w:tcBorders>
              <w:top w:val="single" w:sz="4" w:space="0" w:color="auto"/>
              <w:left w:val="single" w:sz="4" w:space="0" w:color="auto"/>
              <w:bottom w:val="single" w:sz="4" w:space="0" w:color="auto"/>
              <w:right w:val="single" w:sz="4" w:space="0" w:color="auto"/>
            </w:tcBorders>
          </w:tcPr>
          <w:p w14:paraId="2FDECA57" w14:textId="77777777" w:rsidR="00ED3511" w:rsidRPr="001B4A02" w:rsidRDefault="00000000" w:rsidP="00ED48A3">
            <w:pPr>
              <w:pStyle w:val="DefaultText"/>
              <w:jc w:val="center"/>
              <w:rPr>
                <w:rFonts w:ascii="Times New Roman" w:hAnsi="Times New Roman"/>
                <w:szCs w:val="22"/>
                <w:lang w:val="cs-CZ"/>
              </w:rPr>
            </w:pPr>
            <w:r w:rsidRPr="001B4A02">
              <w:rPr>
                <w:rFonts w:ascii="Times New Roman" w:hAnsi="Times New Roman"/>
                <w:szCs w:val="22"/>
                <w:lang w:val="cs-CZ"/>
              </w:rPr>
              <w:t>26 (6,5)</w:t>
            </w:r>
          </w:p>
        </w:tc>
        <w:tc>
          <w:tcPr>
            <w:tcW w:w="4280" w:type="dxa"/>
            <w:tcBorders>
              <w:top w:val="single" w:sz="4" w:space="0" w:color="auto"/>
              <w:left w:val="single" w:sz="4" w:space="0" w:color="auto"/>
              <w:bottom w:val="single" w:sz="4" w:space="0" w:color="auto"/>
              <w:right w:val="single" w:sz="4" w:space="0" w:color="auto"/>
            </w:tcBorders>
          </w:tcPr>
          <w:p w14:paraId="110533C4" w14:textId="77777777" w:rsidR="00ED3511" w:rsidRPr="001B4A02" w:rsidRDefault="00000000" w:rsidP="00ED48A3">
            <w:pPr>
              <w:pStyle w:val="DefaultText"/>
              <w:jc w:val="center"/>
              <w:rPr>
                <w:rFonts w:ascii="Times New Roman" w:hAnsi="Times New Roman"/>
                <w:szCs w:val="22"/>
                <w:lang w:val="cs-CZ"/>
              </w:rPr>
            </w:pPr>
            <w:r w:rsidRPr="001B4A02">
              <w:rPr>
                <w:rFonts w:ascii="Times New Roman" w:hAnsi="Times New Roman"/>
                <w:szCs w:val="22"/>
                <w:lang w:val="cs-CZ"/>
              </w:rPr>
              <w:t>578 (70,9)</w:t>
            </w:r>
            <w:r w:rsidRPr="001B4A02">
              <w:rPr>
                <w:rFonts w:ascii="Times New Roman" w:hAnsi="Times New Roman"/>
                <w:szCs w:val="22"/>
                <w:vertAlign w:val="superscript"/>
                <w:lang w:val="cs-CZ"/>
              </w:rPr>
              <w:t>b</w:t>
            </w:r>
          </w:p>
        </w:tc>
      </w:tr>
      <w:tr w:rsidR="00534A2D" w14:paraId="6573499F" w14:textId="77777777" w:rsidTr="008D783A">
        <w:trPr>
          <w:trHeight w:val="72"/>
          <w:jc w:val="center"/>
        </w:trPr>
        <w:tc>
          <w:tcPr>
            <w:tcW w:w="2298" w:type="dxa"/>
            <w:tcBorders>
              <w:top w:val="single" w:sz="4" w:space="0" w:color="auto"/>
              <w:left w:val="single" w:sz="4" w:space="0" w:color="auto"/>
              <w:bottom w:val="single" w:sz="4" w:space="0" w:color="auto"/>
              <w:right w:val="single" w:sz="4" w:space="0" w:color="auto"/>
            </w:tcBorders>
          </w:tcPr>
          <w:p w14:paraId="78619F2F" w14:textId="77777777" w:rsidR="00ED3511" w:rsidRPr="001B4A02" w:rsidRDefault="00000000" w:rsidP="00ED48A3">
            <w:pPr>
              <w:pStyle w:val="DefaultText"/>
              <w:rPr>
                <w:rFonts w:ascii="Times New Roman" w:hAnsi="Times New Roman"/>
                <w:b/>
                <w:bCs w:val="0"/>
                <w:szCs w:val="22"/>
                <w:lang w:val="cs-CZ"/>
              </w:rPr>
            </w:pPr>
            <w:r w:rsidRPr="001B4A02">
              <w:rPr>
                <w:rFonts w:ascii="Times New Roman" w:hAnsi="Times New Roman"/>
                <w:b/>
                <w:bCs w:val="0"/>
                <w:szCs w:val="22"/>
                <w:lang w:val="cs-CZ"/>
              </w:rPr>
              <w:t>PASI 100</w:t>
            </w:r>
          </w:p>
        </w:tc>
        <w:tc>
          <w:tcPr>
            <w:tcW w:w="1984" w:type="dxa"/>
            <w:tcBorders>
              <w:top w:val="single" w:sz="4" w:space="0" w:color="auto"/>
              <w:left w:val="single" w:sz="4" w:space="0" w:color="auto"/>
              <w:bottom w:val="single" w:sz="4" w:space="0" w:color="auto"/>
              <w:right w:val="single" w:sz="4" w:space="0" w:color="auto"/>
            </w:tcBorders>
          </w:tcPr>
          <w:p w14:paraId="5424B6F9" w14:textId="77777777" w:rsidR="00ED3511" w:rsidRPr="001B4A02" w:rsidRDefault="00000000" w:rsidP="00ED48A3">
            <w:pPr>
              <w:pStyle w:val="DefaultText"/>
              <w:jc w:val="center"/>
              <w:rPr>
                <w:rFonts w:ascii="Times New Roman" w:hAnsi="Times New Roman"/>
                <w:szCs w:val="22"/>
                <w:lang w:val="cs-CZ"/>
              </w:rPr>
            </w:pPr>
            <w:r w:rsidRPr="001B4A02">
              <w:rPr>
                <w:rFonts w:ascii="Times New Roman" w:hAnsi="Times New Roman"/>
                <w:szCs w:val="22"/>
                <w:lang w:val="cs-CZ"/>
              </w:rPr>
              <w:t>3 (0,8)</w:t>
            </w:r>
          </w:p>
        </w:tc>
        <w:tc>
          <w:tcPr>
            <w:tcW w:w="4280" w:type="dxa"/>
            <w:tcBorders>
              <w:top w:val="single" w:sz="4" w:space="0" w:color="auto"/>
              <w:left w:val="single" w:sz="4" w:space="0" w:color="auto"/>
              <w:bottom w:val="single" w:sz="4" w:space="0" w:color="auto"/>
              <w:right w:val="single" w:sz="4" w:space="0" w:color="auto"/>
            </w:tcBorders>
          </w:tcPr>
          <w:p w14:paraId="1F8C53B0" w14:textId="77777777" w:rsidR="00ED3511" w:rsidRPr="001B4A02" w:rsidRDefault="00000000" w:rsidP="00ED48A3">
            <w:pPr>
              <w:pStyle w:val="DefaultText"/>
              <w:jc w:val="center"/>
              <w:rPr>
                <w:rFonts w:ascii="Times New Roman" w:hAnsi="Times New Roman"/>
                <w:szCs w:val="22"/>
                <w:lang w:val="cs-CZ"/>
              </w:rPr>
            </w:pPr>
            <w:r w:rsidRPr="001B4A02">
              <w:rPr>
                <w:rFonts w:ascii="Times New Roman" w:hAnsi="Times New Roman"/>
                <w:szCs w:val="22"/>
                <w:lang w:val="cs-CZ"/>
              </w:rPr>
              <w:t>163 (20,0)</w:t>
            </w:r>
            <w:r w:rsidRPr="001B4A02">
              <w:rPr>
                <w:rFonts w:ascii="Times New Roman" w:hAnsi="Times New Roman"/>
                <w:szCs w:val="22"/>
                <w:vertAlign w:val="superscript"/>
                <w:lang w:val="cs-CZ"/>
              </w:rPr>
              <w:t>b</w:t>
            </w:r>
          </w:p>
        </w:tc>
      </w:tr>
      <w:tr w:rsidR="00534A2D" w14:paraId="03B26D26" w14:textId="77777777" w:rsidTr="008D783A">
        <w:trPr>
          <w:trHeight w:val="261"/>
          <w:jc w:val="center"/>
        </w:trPr>
        <w:tc>
          <w:tcPr>
            <w:tcW w:w="2298" w:type="dxa"/>
            <w:tcBorders>
              <w:top w:val="single" w:sz="4" w:space="0" w:color="auto"/>
              <w:left w:val="single" w:sz="4" w:space="0" w:color="auto"/>
              <w:bottom w:val="single" w:sz="4" w:space="0" w:color="auto"/>
              <w:right w:val="single" w:sz="4" w:space="0" w:color="auto"/>
            </w:tcBorders>
          </w:tcPr>
          <w:p w14:paraId="12DC4BEE" w14:textId="77777777" w:rsidR="00ED3511" w:rsidRPr="001B4A02" w:rsidRDefault="00000000" w:rsidP="00ED48A3">
            <w:pPr>
              <w:pStyle w:val="DefaultText"/>
              <w:rPr>
                <w:rFonts w:ascii="Times New Roman" w:hAnsi="Times New Roman"/>
                <w:b/>
                <w:bCs w:val="0"/>
                <w:szCs w:val="22"/>
                <w:lang w:val="cs-CZ"/>
              </w:rPr>
            </w:pPr>
            <w:r w:rsidRPr="001B4A02">
              <w:rPr>
                <w:rFonts w:ascii="Times New Roman" w:hAnsi="Times New Roman"/>
                <w:b/>
                <w:bCs w:val="0"/>
                <w:szCs w:val="22"/>
                <w:lang w:val="cs-CZ"/>
              </w:rPr>
              <w:t>PGA: čistý/minimální</w:t>
            </w:r>
          </w:p>
        </w:tc>
        <w:tc>
          <w:tcPr>
            <w:tcW w:w="1984" w:type="dxa"/>
            <w:tcBorders>
              <w:top w:val="single" w:sz="4" w:space="0" w:color="auto"/>
              <w:left w:val="single" w:sz="4" w:space="0" w:color="auto"/>
              <w:bottom w:val="single" w:sz="4" w:space="0" w:color="auto"/>
              <w:right w:val="single" w:sz="4" w:space="0" w:color="auto"/>
            </w:tcBorders>
          </w:tcPr>
          <w:p w14:paraId="2859A3E8" w14:textId="77777777" w:rsidR="00ED3511" w:rsidRPr="001B4A02" w:rsidRDefault="00000000" w:rsidP="00ED48A3">
            <w:pPr>
              <w:pStyle w:val="DefaultText"/>
              <w:jc w:val="center"/>
              <w:rPr>
                <w:rFonts w:ascii="Times New Roman" w:hAnsi="Times New Roman"/>
                <w:szCs w:val="22"/>
                <w:lang w:val="cs-CZ"/>
              </w:rPr>
            </w:pPr>
            <w:r w:rsidRPr="001B4A02">
              <w:rPr>
                <w:rFonts w:ascii="Times New Roman" w:hAnsi="Times New Roman"/>
                <w:szCs w:val="22"/>
                <w:lang w:val="cs-CZ"/>
              </w:rPr>
              <w:t>17 (4,3)</w:t>
            </w:r>
          </w:p>
        </w:tc>
        <w:tc>
          <w:tcPr>
            <w:tcW w:w="4280" w:type="dxa"/>
            <w:tcBorders>
              <w:top w:val="single" w:sz="4" w:space="0" w:color="auto"/>
              <w:left w:val="single" w:sz="4" w:space="0" w:color="auto"/>
              <w:bottom w:val="single" w:sz="4" w:space="0" w:color="auto"/>
              <w:right w:val="single" w:sz="4" w:space="0" w:color="auto"/>
            </w:tcBorders>
          </w:tcPr>
          <w:p w14:paraId="11F1C8D6" w14:textId="77777777" w:rsidR="00ED3511" w:rsidRPr="001B4A02" w:rsidRDefault="00000000" w:rsidP="00ED48A3">
            <w:pPr>
              <w:pStyle w:val="DefaultText"/>
              <w:jc w:val="center"/>
              <w:rPr>
                <w:rFonts w:ascii="Times New Roman" w:hAnsi="Times New Roman"/>
                <w:szCs w:val="22"/>
                <w:lang w:val="cs-CZ"/>
              </w:rPr>
            </w:pPr>
            <w:r w:rsidRPr="001B4A02">
              <w:rPr>
                <w:rFonts w:ascii="Times New Roman" w:hAnsi="Times New Roman"/>
                <w:szCs w:val="22"/>
                <w:lang w:val="cs-CZ"/>
              </w:rPr>
              <w:t>506 (62,2)</w:t>
            </w:r>
            <w:r w:rsidRPr="001B4A02">
              <w:rPr>
                <w:rFonts w:ascii="Times New Roman" w:hAnsi="Times New Roman"/>
                <w:szCs w:val="22"/>
                <w:vertAlign w:val="superscript"/>
                <w:lang w:val="cs-CZ"/>
              </w:rPr>
              <w:t>b</w:t>
            </w:r>
          </w:p>
        </w:tc>
      </w:tr>
      <w:tr w:rsidR="00534A2D" w14:paraId="6FD8CD7D" w14:textId="77777777" w:rsidTr="008D783A">
        <w:trPr>
          <w:trHeight w:val="20"/>
          <w:jc w:val="center"/>
        </w:trPr>
        <w:tc>
          <w:tcPr>
            <w:tcW w:w="8562" w:type="dxa"/>
            <w:gridSpan w:val="3"/>
            <w:tcBorders>
              <w:top w:val="single" w:sz="4" w:space="0" w:color="auto"/>
              <w:left w:val="single" w:sz="4" w:space="0" w:color="auto"/>
              <w:bottom w:val="single" w:sz="4" w:space="0" w:color="auto"/>
              <w:right w:val="single" w:sz="4" w:space="0" w:color="auto"/>
            </w:tcBorders>
          </w:tcPr>
          <w:p w14:paraId="6F11EF24" w14:textId="77777777" w:rsidR="00ED3511" w:rsidRPr="001B4A02" w:rsidRDefault="00000000" w:rsidP="00ED48A3">
            <w:pPr>
              <w:pStyle w:val="DefaultText"/>
              <w:rPr>
                <w:rFonts w:ascii="Times New Roman" w:hAnsi="Times New Roman"/>
                <w:sz w:val="20"/>
                <w:lang w:val="cs-CZ"/>
              </w:rPr>
            </w:pPr>
            <w:r w:rsidRPr="001B4A02">
              <w:rPr>
                <w:rFonts w:ascii="Times New Roman" w:hAnsi="Times New Roman"/>
                <w:sz w:val="20"/>
                <w:vertAlign w:val="superscript"/>
                <w:lang w:val="cs-CZ"/>
              </w:rPr>
              <w:t>a</w:t>
            </w:r>
            <w:r w:rsidRPr="001B4A02">
              <w:rPr>
                <w:rFonts w:ascii="Times New Roman" w:hAnsi="Times New Roman"/>
                <w:sz w:val="20"/>
                <w:lang w:val="cs-CZ"/>
              </w:rPr>
              <w:t xml:space="preserve"> Procento pacientů, kteří dosáhli PASI75, bylo vypočteno jako střední průměr hodnot</w:t>
            </w:r>
          </w:p>
          <w:p w14:paraId="1E103BF4" w14:textId="77777777" w:rsidR="00ED3511" w:rsidRPr="001B4A02" w:rsidRDefault="00000000" w:rsidP="00ED48A3">
            <w:pPr>
              <w:pStyle w:val="DefaultText"/>
              <w:rPr>
                <w:rFonts w:ascii="Times New Roman" w:hAnsi="Times New Roman"/>
                <w:szCs w:val="22"/>
                <w:lang w:val="cs-CZ"/>
              </w:rPr>
            </w:pPr>
            <w:r w:rsidRPr="001B4A02">
              <w:rPr>
                <w:rFonts w:ascii="Times New Roman" w:hAnsi="Times New Roman"/>
                <w:sz w:val="20"/>
                <w:vertAlign w:val="superscript"/>
                <w:lang w:val="cs-CZ"/>
              </w:rPr>
              <w:t>b</w:t>
            </w:r>
            <w:r w:rsidRPr="001B4A02">
              <w:rPr>
                <w:rFonts w:ascii="Times New Roman" w:hAnsi="Times New Roman"/>
                <w:sz w:val="20"/>
                <w:lang w:val="cs-CZ"/>
              </w:rPr>
              <w:t xml:space="preserve"> p&lt;0</w:t>
            </w:r>
            <w:r w:rsidR="007375A0" w:rsidRPr="001B4A02">
              <w:rPr>
                <w:rFonts w:ascii="Times New Roman" w:hAnsi="Times New Roman"/>
                <w:sz w:val="20"/>
                <w:lang w:val="cs-CZ"/>
              </w:rPr>
              <w:t>,</w:t>
            </w:r>
            <w:r w:rsidRPr="001B4A02">
              <w:rPr>
                <w:rFonts w:ascii="Times New Roman" w:hAnsi="Times New Roman"/>
                <w:sz w:val="20"/>
                <w:lang w:val="cs-CZ"/>
              </w:rPr>
              <w:t xml:space="preserve">001, </w:t>
            </w:r>
            <w:r w:rsidR="004C58C9" w:rsidRPr="001B4A02">
              <w:rPr>
                <w:rFonts w:ascii="Times New Roman" w:hAnsi="Times New Roman"/>
                <w:sz w:val="20"/>
                <w:lang w:val="cs-CZ"/>
              </w:rPr>
              <w:t>p</w:t>
            </w:r>
            <w:r w:rsidR="00F67928" w:rsidRPr="001B4A02">
              <w:rPr>
                <w:rFonts w:ascii="Times New Roman" w:hAnsi="Times New Roman"/>
                <w:sz w:val="20"/>
                <w:lang w:val="cs-CZ"/>
              </w:rPr>
              <w:t xml:space="preserve">řípravek </w:t>
            </w:r>
            <w:r w:rsidRPr="001B4A02">
              <w:rPr>
                <w:rFonts w:ascii="Times New Roman" w:hAnsi="Times New Roman"/>
                <w:sz w:val="20"/>
                <w:lang w:val="cs-CZ"/>
              </w:rPr>
              <w:t xml:space="preserve">Humira vs. </w:t>
            </w:r>
            <w:r w:rsidR="004D42A7" w:rsidRPr="001B4A02">
              <w:rPr>
                <w:rFonts w:ascii="Times New Roman" w:hAnsi="Times New Roman"/>
                <w:sz w:val="20"/>
                <w:lang w:val="cs-CZ"/>
              </w:rPr>
              <w:t>P</w:t>
            </w:r>
            <w:r w:rsidRPr="001B4A02">
              <w:rPr>
                <w:rFonts w:ascii="Times New Roman" w:hAnsi="Times New Roman"/>
                <w:sz w:val="20"/>
                <w:lang w:val="cs-CZ"/>
              </w:rPr>
              <w:t>lacebo</w:t>
            </w:r>
          </w:p>
        </w:tc>
      </w:tr>
    </w:tbl>
    <w:p w14:paraId="6B502A0C" w14:textId="77777777" w:rsidR="00ED3511" w:rsidRPr="001B4A02" w:rsidRDefault="00ED3511" w:rsidP="008A4562"/>
    <w:tbl>
      <w:tblPr>
        <w:tblW w:w="862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29"/>
        <w:gridCol w:w="1417"/>
        <w:gridCol w:w="1418"/>
        <w:gridCol w:w="3460"/>
      </w:tblGrid>
      <w:tr w:rsidR="00534A2D" w14:paraId="6A65B903" w14:textId="77777777" w:rsidTr="008D783A">
        <w:trPr>
          <w:trHeight w:val="527"/>
          <w:jc w:val="center"/>
        </w:trPr>
        <w:tc>
          <w:tcPr>
            <w:tcW w:w="8624" w:type="dxa"/>
            <w:gridSpan w:val="4"/>
            <w:tcBorders>
              <w:top w:val="nil"/>
              <w:left w:val="nil"/>
              <w:bottom w:val="single" w:sz="4" w:space="0" w:color="auto"/>
              <w:right w:val="nil"/>
            </w:tcBorders>
          </w:tcPr>
          <w:p w14:paraId="7D69EF17" w14:textId="77777777" w:rsidR="00ED3511" w:rsidRPr="002A0AEB" w:rsidRDefault="00000000" w:rsidP="00ED48A3">
            <w:pPr>
              <w:pStyle w:val="DefaultText"/>
              <w:keepNext/>
              <w:jc w:val="center"/>
              <w:rPr>
                <w:rFonts w:ascii="Times New Roman" w:hAnsi="Times New Roman"/>
                <w:b/>
                <w:bCs w:val="0"/>
                <w:szCs w:val="22"/>
                <w:lang w:val="cs-CZ"/>
              </w:rPr>
            </w:pPr>
            <w:r w:rsidRPr="002A0AEB">
              <w:rPr>
                <w:rFonts w:ascii="Times New Roman" w:hAnsi="Times New Roman"/>
                <w:b/>
                <w:bCs w:val="0"/>
                <w:szCs w:val="22"/>
                <w:lang w:val="cs-CZ"/>
              </w:rPr>
              <w:t xml:space="preserve">Tabulka </w:t>
            </w:r>
            <w:r w:rsidR="002A0AEB" w:rsidRPr="002A0AEB">
              <w:rPr>
                <w:rFonts w:ascii="Times New Roman" w:hAnsi="Times New Roman"/>
                <w:b/>
                <w:bCs w:val="0"/>
                <w:szCs w:val="22"/>
                <w:lang w:val="cs-CZ"/>
              </w:rPr>
              <w:t>1</w:t>
            </w:r>
            <w:r w:rsidR="002A0AEB" w:rsidRPr="001D2137">
              <w:rPr>
                <w:rFonts w:ascii="Times New Roman" w:hAnsi="Times New Roman"/>
                <w:b/>
                <w:szCs w:val="22"/>
                <w:lang w:val="cs-CZ"/>
              </w:rPr>
              <w:t>7</w:t>
            </w:r>
          </w:p>
          <w:p w14:paraId="64063260" w14:textId="77777777" w:rsidR="00ED3511" w:rsidRPr="001B4A02" w:rsidRDefault="00000000" w:rsidP="00ED48A3">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Studie Ps II (CHAMPION)</w:t>
            </w:r>
          </w:p>
          <w:p w14:paraId="5CC771CD" w14:textId="77777777" w:rsidR="00ED3511" w:rsidRPr="001B4A02" w:rsidRDefault="00000000" w:rsidP="00ED48A3">
            <w:pPr>
              <w:pStyle w:val="DefaultText"/>
              <w:keepNext/>
              <w:jc w:val="center"/>
              <w:rPr>
                <w:rFonts w:ascii="Times New Roman" w:hAnsi="Times New Roman"/>
                <w:szCs w:val="22"/>
                <w:u w:val="single"/>
                <w:lang w:val="cs-CZ"/>
              </w:rPr>
            </w:pPr>
            <w:r w:rsidRPr="001B4A02">
              <w:rPr>
                <w:rFonts w:ascii="Times New Roman" w:hAnsi="Times New Roman"/>
                <w:b/>
                <w:bCs w:val="0"/>
                <w:szCs w:val="22"/>
                <w:lang w:val="cs-CZ"/>
              </w:rPr>
              <w:t>Výsledky účinnosti za 16 týdnů</w:t>
            </w:r>
          </w:p>
        </w:tc>
      </w:tr>
      <w:tr w:rsidR="00534A2D" w14:paraId="00135186" w14:textId="77777777" w:rsidTr="008D783A">
        <w:trPr>
          <w:trHeight w:val="20"/>
          <w:jc w:val="center"/>
        </w:trPr>
        <w:tc>
          <w:tcPr>
            <w:tcW w:w="2329" w:type="dxa"/>
            <w:tcBorders>
              <w:top w:val="single" w:sz="4" w:space="0" w:color="auto"/>
              <w:left w:val="single" w:sz="4" w:space="0" w:color="auto"/>
              <w:bottom w:val="single" w:sz="4" w:space="0" w:color="auto"/>
              <w:right w:val="single" w:sz="4" w:space="0" w:color="auto"/>
            </w:tcBorders>
          </w:tcPr>
          <w:p w14:paraId="5B778560" w14:textId="77777777" w:rsidR="00ED3511" w:rsidRPr="001B4A02" w:rsidRDefault="00ED3511" w:rsidP="00ED48A3">
            <w:pPr>
              <w:pStyle w:val="DefaultText"/>
              <w:keepNext/>
              <w:jc w:val="center"/>
              <w:rPr>
                <w:rFonts w:ascii="Times New Roman" w:hAnsi="Times New Roman"/>
                <w:b/>
                <w:bCs w:val="0"/>
                <w:szCs w:val="22"/>
                <w:lang w:val="cs-CZ"/>
              </w:rPr>
            </w:pPr>
          </w:p>
        </w:tc>
        <w:tc>
          <w:tcPr>
            <w:tcW w:w="1417" w:type="dxa"/>
            <w:tcBorders>
              <w:top w:val="single" w:sz="4" w:space="0" w:color="auto"/>
              <w:left w:val="single" w:sz="4" w:space="0" w:color="auto"/>
              <w:bottom w:val="single" w:sz="4" w:space="0" w:color="auto"/>
              <w:right w:val="single" w:sz="4" w:space="0" w:color="auto"/>
            </w:tcBorders>
            <w:vAlign w:val="center"/>
          </w:tcPr>
          <w:p w14:paraId="13449330" w14:textId="77777777" w:rsidR="00ED3511" w:rsidRPr="001B4A02" w:rsidRDefault="00000000" w:rsidP="00ED48A3">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Placebo</w:t>
            </w:r>
          </w:p>
          <w:p w14:paraId="48CF4DB6" w14:textId="77777777" w:rsidR="00ED3511" w:rsidRPr="001B4A02" w:rsidRDefault="00000000" w:rsidP="00ED48A3">
            <w:pPr>
              <w:pStyle w:val="DefaultText"/>
              <w:keepNext/>
              <w:jc w:val="center"/>
              <w:rPr>
                <w:rFonts w:ascii="Times New Roman" w:hAnsi="Times New Roman"/>
                <w:b/>
                <w:bCs w:val="0"/>
                <w:szCs w:val="22"/>
                <w:lang w:val="cs-CZ"/>
              </w:rPr>
            </w:pPr>
            <w:r>
              <w:rPr>
                <w:rFonts w:ascii="Times New Roman" w:hAnsi="Times New Roman"/>
                <w:b/>
                <w:bCs w:val="0"/>
                <w:szCs w:val="22"/>
                <w:lang w:val="cs-CZ"/>
              </w:rPr>
              <w:t>n</w:t>
            </w:r>
            <w:r w:rsidRPr="001B4A02">
              <w:rPr>
                <w:rFonts w:ascii="Times New Roman" w:hAnsi="Times New Roman"/>
                <w:b/>
                <w:bCs w:val="0"/>
                <w:szCs w:val="22"/>
                <w:lang w:val="cs-CZ"/>
              </w:rPr>
              <w:t>=53</w:t>
            </w:r>
          </w:p>
          <w:p w14:paraId="53E51E93" w14:textId="77777777" w:rsidR="00ED3511" w:rsidRPr="001B4A02" w:rsidRDefault="00000000" w:rsidP="00ED48A3">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n (%)</w:t>
            </w:r>
          </w:p>
        </w:tc>
        <w:tc>
          <w:tcPr>
            <w:tcW w:w="1418" w:type="dxa"/>
            <w:tcBorders>
              <w:top w:val="single" w:sz="4" w:space="0" w:color="auto"/>
              <w:left w:val="single" w:sz="4" w:space="0" w:color="auto"/>
              <w:bottom w:val="single" w:sz="4" w:space="0" w:color="auto"/>
              <w:right w:val="single" w:sz="4" w:space="0" w:color="auto"/>
            </w:tcBorders>
            <w:vAlign w:val="center"/>
          </w:tcPr>
          <w:p w14:paraId="17D2D6FB" w14:textId="77777777" w:rsidR="00ED3511" w:rsidRPr="001B4A02" w:rsidRDefault="00000000" w:rsidP="00ED48A3">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MTX</w:t>
            </w:r>
          </w:p>
          <w:p w14:paraId="0E8E0C0A" w14:textId="77777777" w:rsidR="00ED3511" w:rsidRPr="001B4A02" w:rsidRDefault="00000000" w:rsidP="00ED48A3">
            <w:pPr>
              <w:pStyle w:val="DefaultText"/>
              <w:keepNext/>
              <w:jc w:val="center"/>
              <w:rPr>
                <w:rFonts w:ascii="Times New Roman" w:hAnsi="Times New Roman"/>
                <w:b/>
                <w:bCs w:val="0"/>
                <w:szCs w:val="22"/>
                <w:lang w:val="cs-CZ"/>
              </w:rPr>
            </w:pPr>
            <w:r>
              <w:rPr>
                <w:rFonts w:ascii="Times New Roman" w:hAnsi="Times New Roman"/>
                <w:b/>
                <w:bCs w:val="0"/>
                <w:szCs w:val="22"/>
                <w:lang w:val="cs-CZ"/>
              </w:rPr>
              <w:t>n</w:t>
            </w:r>
            <w:r w:rsidRPr="001B4A02">
              <w:rPr>
                <w:rFonts w:ascii="Times New Roman" w:hAnsi="Times New Roman"/>
                <w:b/>
                <w:bCs w:val="0"/>
                <w:szCs w:val="22"/>
                <w:lang w:val="cs-CZ"/>
              </w:rPr>
              <w:t>=110</w:t>
            </w:r>
          </w:p>
          <w:p w14:paraId="7A709F97" w14:textId="77777777" w:rsidR="00ED3511" w:rsidRPr="001B4A02" w:rsidRDefault="00000000" w:rsidP="00ED48A3">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n (%)</w:t>
            </w:r>
          </w:p>
        </w:tc>
        <w:tc>
          <w:tcPr>
            <w:tcW w:w="3460" w:type="dxa"/>
            <w:tcBorders>
              <w:top w:val="single" w:sz="4" w:space="0" w:color="auto"/>
              <w:left w:val="single" w:sz="4" w:space="0" w:color="auto"/>
              <w:bottom w:val="single" w:sz="4" w:space="0" w:color="auto"/>
              <w:right w:val="single" w:sz="4" w:space="0" w:color="auto"/>
            </w:tcBorders>
            <w:vAlign w:val="center"/>
          </w:tcPr>
          <w:p w14:paraId="4DA75A64" w14:textId="77777777" w:rsidR="00ED3511" w:rsidRPr="001B4A02" w:rsidRDefault="00000000" w:rsidP="00ED48A3">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Humira 40</w:t>
            </w:r>
            <w:r w:rsidR="00F365E7">
              <w:rPr>
                <w:rFonts w:ascii="Times New Roman" w:hAnsi="Times New Roman"/>
                <w:b/>
                <w:bCs w:val="0"/>
                <w:szCs w:val="22"/>
                <w:lang w:val="cs-CZ"/>
              </w:rPr>
              <w:t> mg</w:t>
            </w:r>
            <w:r w:rsidRPr="001B4A02">
              <w:rPr>
                <w:rFonts w:ascii="Times New Roman" w:hAnsi="Times New Roman"/>
                <w:b/>
                <w:bCs w:val="0"/>
                <w:szCs w:val="22"/>
                <w:lang w:val="cs-CZ"/>
              </w:rPr>
              <w:t xml:space="preserve"> každý druhý týden</w:t>
            </w:r>
          </w:p>
          <w:p w14:paraId="284395F5" w14:textId="77777777" w:rsidR="00ED3511" w:rsidRPr="001B4A02" w:rsidRDefault="00000000" w:rsidP="00ED48A3">
            <w:pPr>
              <w:pStyle w:val="DefaultText"/>
              <w:keepNext/>
              <w:jc w:val="center"/>
              <w:rPr>
                <w:rFonts w:ascii="Times New Roman" w:hAnsi="Times New Roman"/>
                <w:b/>
                <w:bCs w:val="0"/>
                <w:szCs w:val="22"/>
                <w:lang w:val="cs-CZ"/>
              </w:rPr>
            </w:pPr>
            <w:r>
              <w:rPr>
                <w:rFonts w:ascii="Times New Roman" w:hAnsi="Times New Roman"/>
                <w:b/>
                <w:bCs w:val="0"/>
                <w:szCs w:val="22"/>
                <w:lang w:val="cs-CZ"/>
              </w:rPr>
              <w:t>n</w:t>
            </w:r>
            <w:r w:rsidRPr="001B4A02">
              <w:rPr>
                <w:rFonts w:ascii="Times New Roman" w:hAnsi="Times New Roman"/>
                <w:b/>
                <w:bCs w:val="0"/>
                <w:szCs w:val="22"/>
                <w:lang w:val="cs-CZ"/>
              </w:rPr>
              <w:t>=108</w:t>
            </w:r>
          </w:p>
          <w:p w14:paraId="43DC937F" w14:textId="77777777" w:rsidR="00ED3511" w:rsidRPr="001B4A02" w:rsidRDefault="00000000" w:rsidP="00ED48A3">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n (%)</w:t>
            </w:r>
          </w:p>
        </w:tc>
      </w:tr>
      <w:tr w:rsidR="00534A2D" w14:paraId="6B76D74D" w14:textId="77777777" w:rsidTr="008D783A">
        <w:trPr>
          <w:trHeight w:val="20"/>
          <w:jc w:val="center"/>
        </w:trPr>
        <w:tc>
          <w:tcPr>
            <w:tcW w:w="2329" w:type="dxa"/>
            <w:tcBorders>
              <w:top w:val="single" w:sz="4" w:space="0" w:color="auto"/>
              <w:left w:val="single" w:sz="4" w:space="0" w:color="auto"/>
              <w:bottom w:val="single" w:sz="4" w:space="0" w:color="auto"/>
              <w:right w:val="single" w:sz="4" w:space="0" w:color="auto"/>
            </w:tcBorders>
          </w:tcPr>
          <w:p w14:paraId="002B21C1" w14:textId="77777777" w:rsidR="00ED3511" w:rsidRPr="001B4A02" w:rsidRDefault="00000000" w:rsidP="00ED48A3">
            <w:pPr>
              <w:pStyle w:val="DefaultText"/>
              <w:keepNext/>
              <w:rPr>
                <w:rFonts w:ascii="Times New Roman" w:hAnsi="Times New Roman"/>
                <w:b/>
                <w:bCs w:val="0"/>
                <w:szCs w:val="22"/>
                <w:lang w:val="cs-CZ"/>
              </w:rPr>
            </w:pPr>
            <w:r w:rsidRPr="001B4A02">
              <w:rPr>
                <w:rFonts w:ascii="Symbol" w:hAnsi="Symbol"/>
                <w:b/>
                <w:lang w:val="cs-CZ"/>
              </w:rPr>
              <w:sym w:font="Symbol" w:char="F0B3"/>
            </w:r>
            <w:r w:rsidRPr="001B4A02">
              <w:rPr>
                <w:rFonts w:ascii="Times New Roman" w:hAnsi="Times New Roman"/>
                <w:b/>
                <w:lang w:val="cs-CZ"/>
              </w:rPr>
              <w:t xml:space="preserve"> </w:t>
            </w:r>
            <w:r w:rsidRPr="001B4A02">
              <w:rPr>
                <w:rFonts w:ascii="Times New Roman" w:hAnsi="Times New Roman"/>
                <w:b/>
                <w:bCs w:val="0"/>
                <w:szCs w:val="22"/>
                <w:lang w:val="cs-CZ"/>
              </w:rPr>
              <w:t>PASI 75</w:t>
            </w:r>
          </w:p>
        </w:tc>
        <w:tc>
          <w:tcPr>
            <w:tcW w:w="1417" w:type="dxa"/>
            <w:tcBorders>
              <w:top w:val="single" w:sz="4" w:space="0" w:color="auto"/>
              <w:left w:val="single" w:sz="4" w:space="0" w:color="auto"/>
              <w:bottom w:val="single" w:sz="4" w:space="0" w:color="auto"/>
              <w:right w:val="single" w:sz="4" w:space="0" w:color="auto"/>
            </w:tcBorders>
          </w:tcPr>
          <w:p w14:paraId="11BA92B4" w14:textId="77777777" w:rsidR="00ED3511" w:rsidRPr="001B4A02" w:rsidRDefault="00000000" w:rsidP="00ED48A3">
            <w:pPr>
              <w:pStyle w:val="DefaultText"/>
              <w:keepNext/>
              <w:jc w:val="center"/>
              <w:rPr>
                <w:rFonts w:ascii="Times New Roman" w:hAnsi="Times New Roman"/>
                <w:szCs w:val="22"/>
                <w:lang w:val="cs-CZ"/>
              </w:rPr>
            </w:pPr>
            <w:r w:rsidRPr="001B4A02">
              <w:rPr>
                <w:rFonts w:ascii="Times New Roman" w:hAnsi="Times New Roman"/>
                <w:szCs w:val="22"/>
                <w:lang w:val="cs-CZ"/>
              </w:rPr>
              <w:t>10 (18,9)</w:t>
            </w:r>
          </w:p>
        </w:tc>
        <w:tc>
          <w:tcPr>
            <w:tcW w:w="1418" w:type="dxa"/>
            <w:tcBorders>
              <w:top w:val="single" w:sz="4" w:space="0" w:color="auto"/>
              <w:left w:val="single" w:sz="4" w:space="0" w:color="auto"/>
              <w:bottom w:val="single" w:sz="4" w:space="0" w:color="auto"/>
              <w:right w:val="single" w:sz="4" w:space="0" w:color="auto"/>
            </w:tcBorders>
          </w:tcPr>
          <w:p w14:paraId="3D9ABD41" w14:textId="77777777" w:rsidR="00ED3511" w:rsidRPr="001B4A02" w:rsidRDefault="00000000" w:rsidP="00ED48A3">
            <w:pPr>
              <w:pStyle w:val="DefaultText"/>
              <w:keepNext/>
              <w:jc w:val="center"/>
              <w:rPr>
                <w:rFonts w:ascii="Times New Roman" w:hAnsi="Times New Roman"/>
                <w:szCs w:val="22"/>
                <w:lang w:val="cs-CZ"/>
              </w:rPr>
            </w:pPr>
            <w:r w:rsidRPr="001B4A02">
              <w:rPr>
                <w:rFonts w:ascii="Times New Roman" w:hAnsi="Times New Roman"/>
                <w:szCs w:val="22"/>
                <w:lang w:val="cs-CZ"/>
              </w:rPr>
              <w:t>39 (35,5)</w:t>
            </w:r>
          </w:p>
        </w:tc>
        <w:tc>
          <w:tcPr>
            <w:tcW w:w="3460" w:type="dxa"/>
            <w:tcBorders>
              <w:top w:val="single" w:sz="4" w:space="0" w:color="auto"/>
              <w:left w:val="single" w:sz="4" w:space="0" w:color="auto"/>
              <w:bottom w:val="single" w:sz="4" w:space="0" w:color="auto"/>
              <w:right w:val="single" w:sz="4" w:space="0" w:color="auto"/>
            </w:tcBorders>
          </w:tcPr>
          <w:p w14:paraId="745B3E6D" w14:textId="77777777" w:rsidR="00ED3511" w:rsidRPr="001B4A02" w:rsidRDefault="00000000" w:rsidP="00ED48A3">
            <w:pPr>
              <w:pStyle w:val="DefaultText"/>
              <w:keepNext/>
              <w:jc w:val="center"/>
              <w:rPr>
                <w:rFonts w:ascii="Times New Roman" w:hAnsi="Times New Roman"/>
                <w:szCs w:val="22"/>
                <w:lang w:val="cs-CZ"/>
              </w:rPr>
            </w:pPr>
            <w:r w:rsidRPr="001B4A02">
              <w:rPr>
                <w:rFonts w:ascii="Times New Roman" w:hAnsi="Times New Roman"/>
                <w:szCs w:val="22"/>
                <w:lang w:val="cs-CZ"/>
              </w:rPr>
              <w:t>86 (79,6)</w:t>
            </w:r>
            <w:r w:rsidRPr="001B4A02">
              <w:rPr>
                <w:rFonts w:ascii="Times New Roman" w:hAnsi="Times New Roman"/>
                <w:szCs w:val="22"/>
                <w:vertAlign w:val="superscript"/>
                <w:lang w:val="cs-CZ"/>
              </w:rPr>
              <w:t xml:space="preserve"> a, b</w:t>
            </w:r>
          </w:p>
        </w:tc>
      </w:tr>
      <w:tr w:rsidR="00534A2D" w14:paraId="281B76FA" w14:textId="77777777" w:rsidTr="008D783A">
        <w:trPr>
          <w:trHeight w:val="20"/>
          <w:jc w:val="center"/>
        </w:trPr>
        <w:tc>
          <w:tcPr>
            <w:tcW w:w="2329" w:type="dxa"/>
            <w:tcBorders>
              <w:top w:val="single" w:sz="4" w:space="0" w:color="auto"/>
              <w:left w:val="single" w:sz="4" w:space="0" w:color="auto"/>
              <w:bottom w:val="single" w:sz="4" w:space="0" w:color="auto"/>
              <w:right w:val="single" w:sz="4" w:space="0" w:color="auto"/>
            </w:tcBorders>
          </w:tcPr>
          <w:p w14:paraId="492EA0FB" w14:textId="77777777" w:rsidR="00ED3511" w:rsidRPr="001B4A02" w:rsidRDefault="00000000" w:rsidP="00ED48A3">
            <w:pPr>
              <w:pStyle w:val="DefaultText"/>
              <w:keepNext/>
              <w:rPr>
                <w:rFonts w:ascii="Times New Roman" w:hAnsi="Times New Roman"/>
                <w:b/>
                <w:bCs w:val="0"/>
                <w:szCs w:val="22"/>
                <w:lang w:val="cs-CZ"/>
              </w:rPr>
            </w:pPr>
            <w:r w:rsidRPr="001B4A02">
              <w:rPr>
                <w:rFonts w:ascii="Times New Roman" w:hAnsi="Times New Roman"/>
                <w:b/>
                <w:bCs w:val="0"/>
                <w:szCs w:val="22"/>
                <w:lang w:val="cs-CZ"/>
              </w:rPr>
              <w:t>PASI 100</w:t>
            </w:r>
          </w:p>
        </w:tc>
        <w:tc>
          <w:tcPr>
            <w:tcW w:w="1417" w:type="dxa"/>
            <w:tcBorders>
              <w:top w:val="single" w:sz="4" w:space="0" w:color="auto"/>
              <w:left w:val="single" w:sz="4" w:space="0" w:color="auto"/>
              <w:bottom w:val="single" w:sz="4" w:space="0" w:color="auto"/>
              <w:right w:val="single" w:sz="4" w:space="0" w:color="auto"/>
            </w:tcBorders>
          </w:tcPr>
          <w:p w14:paraId="1CE28857" w14:textId="77777777" w:rsidR="00ED3511" w:rsidRPr="001B4A02" w:rsidRDefault="00000000" w:rsidP="00ED48A3">
            <w:pPr>
              <w:pStyle w:val="DefaultText"/>
              <w:keepNext/>
              <w:jc w:val="center"/>
              <w:rPr>
                <w:rFonts w:ascii="Times New Roman" w:hAnsi="Times New Roman"/>
                <w:szCs w:val="22"/>
                <w:lang w:val="cs-CZ"/>
              </w:rPr>
            </w:pPr>
            <w:r w:rsidRPr="001B4A02">
              <w:rPr>
                <w:rFonts w:ascii="Times New Roman" w:hAnsi="Times New Roman"/>
                <w:szCs w:val="22"/>
                <w:lang w:val="cs-CZ"/>
              </w:rPr>
              <w:t>1 (1,9)</w:t>
            </w:r>
          </w:p>
        </w:tc>
        <w:tc>
          <w:tcPr>
            <w:tcW w:w="1418" w:type="dxa"/>
            <w:tcBorders>
              <w:top w:val="single" w:sz="4" w:space="0" w:color="auto"/>
              <w:left w:val="single" w:sz="4" w:space="0" w:color="auto"/>
              <w:bottom w:val="single" w:sz="4" w:space="0" w:color="auto"/>
              <w:right w:val="single" w:sz="4" w:space="0" w:color="auto"/>
            </w:tcBorders>
          </w:tcPr>
          <w:p w14:paraId="39952C33" w14:textId="77777777" w:rsidR="00ED3511" w:rsidRPr="001B4A02" w:rsidRDefault="00000000" w:rsidP="00ED48A3">
            <w:pPr>
              <w:pStyle w:val="DefaultText"/>
              <w:keepNext/>
              <w:jc w:val="center"/>
              <w:rPr>
                <w:rFonts w:ascii="Times New Roman" w:hAnsi="Times New Roman"/>
                <w:szCs w:val="22"/>
                <w:lang w:val="cs-CZ"/>
              </w:rPr>
            </w:pPr>
            <w:r w:rsidRPr="001B4A02">
              <w:rPr>
                <w:rFonts w:ascii="Times New Roman" w:hAnsi="Times New Roman"/>
                <w:szCs w:val="22"/>
                <w:lang w:val="cs-CZ"/>
              </w:rPr>
              <w:t>8 (7,3)</w:t>
            </w:r>
          </w:p>
        </w:tc>
        <w:tc>
          <w:tcPr>
            <w:tcW w:w="3460" w:type="dxa"/>
            <w:tcBorders>
              <w:top w:val="single" w:sz="4" w:space="0" w:color="auto"/>
              <w:left w:val="single" w:sz="4" w:space="0" w:color="auto"/>
              <w:bottom w:val="single" w:sz="4" w:space="0" w:color="auto"/>
              <w:right w:val="single" w:sz="4" w:space="0" w:color="auto"/>
            </w:tcBorders>
          </w:tcPr>
          <w:p w14:paraId="2ACD7C04" w14:textId="77777777" w:rsidR="00ED3511" w:rsidRPr="001B4A02" w:rsidRDefault="00000000" w:rsidP="00ED48A3">
            <w:pPr>
              <w:pStyle w:val="DefaultText"/>
              <w:keepNext/>
              <w:jc w:val="center"/>
              <w:rPr>
                <w:rFonts w:ascii="Times New Roman" w:hAnsi="Times New Roman"/>
                <w:szCs w:val="22"/>
                <w:lang w:val="cs-CZ"/>
              </w:rPr>
            </w:pPr>
            <w:r w:rsidRPr="001B4A02">
              <w:rPr>
                <w:rFonts w:ascii="Times New Roman" w:hAnsi="Times New Roman"/>
                <w:szCs w:val="22"/>
                <w:lang w:val="cs-CZ"/>
              </w:rPr>
              <w:t>18 (16,7)</w:t>
            </w:r>
            <w:r w:rsidRPr="001B4A02">
              <w:rPr>
                <w:rFonts w:ascii="Times New Roman" w:hAnsi="Times New Roman"/>
                <w:szCs w:val="22"/>
                <w:vertAlign w:val="superscript"/>
                <w:lang w:val="cs-CZ"/>
              </w:rPr>
              <w:t xml:space="preserve"> c, d</w:t>
            </w:r>
          </w:p>
        </w:tc>
      </w:tr>
      <w:tr w:rsidR="00534A2D" w14:paraId="5BEEDED2" w14:textId="77777777" w:rsidTr="008D783A">
        <w:trPr>
          <w:trHeight w:val="20"/>
          <w:jc w:val="center"/>
        </w:trPr>
        <w:tc>
          <w:tcPr>
            <w:tcW w:w="2329" w:type="dxa"/>
            <w:tcBorders>
              <w:top w:val="single" w:sz="4" w:space="0" w:color="auto"/>
              <w:left w:val="single" w:sz="4" w:space="0" w:color="auto"/>
              <w:bottom w:val="single" w:sz="4" w:space="0" w:color="auto"/>
              <w:right w:val="single" w:sz="4" w:space="0" w:color="auto"/>
            </w:tcBorders>
          </w:tcPr>
          <w:p w14:paraId="40B02046" w14:textId="77777777" w:rsidR="00ED3511" w:rsidRPr="001B4A02" w:rsidRDefault="00000000" w:rsidP="00ED48A3">
            <w:pPr>
              <w:pStyle w:val="DefaultText"/>
              <w:keepNext/>
              <w:rPr>
                <w:rFonts w:ascii="Times New Roman" w:hAnsi="Times New Roman"/>
                <w:b/>
                <w:bCs w:val="0"/>
                <w:szCs w:val="22"/>
                <w:lang w:val="cs-CZ"/>
              </w:rPr>
            </w:pPr>
            <w:r w:rsidRPr="001B4A02">
              <w:rPr>
                <w:rFonts w:ascii="Times New Roman" w:hAnsi="Times New Roman"/>
                <w:b/>
                <w:bCs w:val="0"/>
                <w:szCs w:val="22"/>
                <w:lang w:val="cs-CZ"/>
              </w:rPr>
              <w:t>PGA: čistý/minimální</w:t>
            </w:r>
          </w:p>
        </w:tc>
        <w:tc>
          <w:tcPr>
            <w:tcW w:w="1417" w:type="dxa"/>
            <w:tcBorders>
              <w:top w:val="single" w:sz="4" w:space="0" w:color="auto"/>
              <w:left w:val="single" w:sz="4" w:space="0" w:color="auto"/>
              <w:bottom w:val="single" w:sz="4" w:space="0" w:color="auto"/>
              <w:right w:val="single" w:sz="4" w:space="0" w:color="auto"/>
            </w:tcBorders>
          </w:tcPr>
          <w:p w14:paraId="3FD2F3E6" w14:textId="77777777" w:rsidR="00ED3511" w:rsidRPr="001B4A02" w:rsidRDefault="00000000" w:rsidP="00ED48A3">
            <w:pPr>
              <w:pStyle w:val="DefaultText"/>
              <w:keepNext/>
              <w:jc w:val="center"/>
              <w:rPr>
                <w:rFonts w:ascii="Times New Roman" w:hAnsi="Times New Roman"/>
                <w:szCs w:val="22"/>
                <w:lang w:val="cs-CZ"/>
              </w:rPr>
            </w:pPr>
            <w:r w:rsidRPr="001B4A02">
              <w:rPr>
                <w:rFonts w:ascii="Times New Roman" w:hAnsi="Times New Roman"/>
                <w:szCs w:val="22"/>
                <w:lang w:val="cs-CZ"/>
              </w:rPr>
              <w:t>6 (11,3)</w:t>
            </w:r>
          </w:p>
        </w:tc>
        <w:tc>
          <w:tcPr>
            <w:tcW w:w="1418" w:type="dxa"/>
            <w:tcBorders>
              <w:top w:val="single" w:sz="4" w:space="0" w:color="auto"/>
              <w:left w:val="single" w:sz="4" w:space="0" w:color="auto"/>
              <w:bottom w:val="single" w:sz="4" w:space="0" w:color="auto"/>
              <w:right w:val="single" w:sz="4" w:space="0" w:color="auto"/>
            </w:tcBorders>
          </w:tcPr>
          <w:p w14:paraId="1AE3898F" w14:textId="77777777" w:rsidR="00ED3511" w:rsidRPr="001B4A02" w:rsidRDefault="00000000" w:rsidP="00ED48A3">
            <w:pPr>
              <w:pStyle w:val="DefaultText"/>
              <w:keepNext/>
              <w:jc w:val="center"/>
              <w:rPr>
                <w:rFonts w:ascii="Times New Roman" w:hAnsi="Times New Roman"/>
                <w:szCs w:val="22"/>
                <w:lang w:val="cs-CZ"/>
              </w:rPr>
            </w:pPr>
            <w:r w:rsidRPr="001B4A02">
              <w:rPr>
                <w:rFonts w:ascii="Times New Roman" w:hAnsi="Times New Roman"/>
                <w:szCs w:val="22"/>
                <w:lang w:val="cs-CZ"/>
              </w:rPr>
              <w:t>33 (30,0)</w:t>
            </w:r>
          </w:p>
        </w:tc>
        <w:tc>
          <w:tcPr>
            <w:tcW w:w="3460" w:type="dxa"/>
            <w:tcBorders>
              <w:top w:val="single" w:sz="4" w:space="0" w:color="auto"/>
              <w:left w:val="single" w:sz="4" w:space="0" w:color="auto"/>
              <w:bottom w:val="single" w:sz="4" w:space="0" w:color="auto"/>
              <w:right w:val="single" w:sz="4" w:space="0" w:color="auto"/>
            </w:tcBorders>
          </w:tcPr>
          <w:p w14:paraId="262105F9" w14:textId="77777777" w:rsidR="00ED3511" w:rsidRPr="001B4A02" w:rsidRDefault="00000000" w:rsidP="00ED48A3">
            <w:pPr>
              <w:pStyle w:val="DefaultText"/>
              <w:keepNext/>
              <w:jc w:val="center"/>
              <w:rPr>
                <w:rFonts w:ascii="Times New Roman" w:hAnsi="Times New Roman"/>
                <w:szCs w:val="22"/>
                <w:lang w:val="cs-CZ"/>
              </w:rPr>
            </w:pPr>
            <w:r w:rsidRPr="001B4A02">
              <w:rPr>
                <w:rFonts w:ascii="Times New Roman" w:hAnsi="Times New Roman"/>
                <w:szCs w:val="22"/>
                <w:lang w:val="cs-CZ"/>
              </w:rPr>
              <w:t>79 (73,1)</w:t>
            </w:r>
            <w:r w:rsidRPr="001B4A02">
              <w:rPr>
                <w:rFonts w:ascii="Times New Roman" w:hAnsi="Times New Roman"/>
                <w:szCs w:val="22"/>
                <w:vertAlign w:val="superscript"/>
                <w:lang w:val="cs-CZ"/>
              </w:rPr>
              <w:t xml:space="preserve"> a, b</w:t>
            </w:r>
          </w:p>
        </w:tc>
      </w:tr>
      <w:tr w:rsidR="00534A2D" w14:paraId="0A4983D0" w14:textId="77777777" w:rsidTr="008D783A">
        <w:trPr>
          <w:trHeight w:val="20"/>
          <w:jc w:val="center"/>
        </w:trPr>
        <w:tc>
          <w:tcPr>
            <w:tcW w:w="8624" w:type="dxa"/>
            <w:gridSpan w:val="4"/>
            <w:tcBorders>
              <w:top w:val="single" w:sz="4" w:space="0" w:color="auto"/>
              <w:left w:val="single" w:sz="4" w:space="0" w:color="auto"/>
              <w:bottom w:val="single" w:sz="4" w:space="0" w:color="auto"/>
              <w:right w:val="single" w:sz="4" w:space="0" w:color="auto"/>
            </w:tcBorders>
          </w:tcPr>
          <w:p w14:paraId="75E7156C" w14:textId="77777777" w:rsidR="00ED3511" w:rsidRPr="001B4A02" w:rsidRDefault="00000000" w:rsidP="00ED48A3">
            <w:pPr>
              <w:pStyle w:val="DefaultText"/>
              <w:keepNext/>
              <w:rPr>
                <w:rFonts w:ascii="Times New Roman" w:hAnsi="Times New Roman"/>
                <w:sz w:val="20"/>
                <w:lang w:val="cs-CZ"/>
              </w:rPr>
            </w:pPr>
            <w:r w:rsidRPr="001B4A02">
              <w:rPr>
                <w:rFonts w:ascii="Times New Roman" w:hAnsi="Times New Roman"/>
                <w:sz w:val="20"/>
                <w:vertAlign w:val="superscript"/>
                <w:lang w:val="cs-CZ"/>
              </w:rPr>
              <w:t>a</w:t>
            </w:r>
            <w:r w:rsidRPr="001B4A02">
              <w:rPr>
                <w:rFonts w:ascii="Times New Roman" w:hAnsi="Times New Roman"/>
                <w:sz w:val="20"/>
                <w:lang w:val="cs-CZ"/>
              </w:rPr>
              <w:t xml:space="preserve"> p&lt;0</w:t>
            </w:r>
            <w:r w:rsidR="007375A0" w:rsidRPr="001B4A02">
              <w:rPr>
                <w:rFonts w:ascii="Times New Roman" w:hAnsi="Times New Roman"/>
                <w:sz w:val="20"/>
                <w:lang w:val="cs-CZ"/>
              </w:rPr>
              <w:t>,</w:t>
            </w:r>
            <w:r w:rsidRPr="001B4A02">
              <w:rPr>
                <w:rFonts w:ascii="Times New Roman" w:hAnsi="Times New Roman"/>
                <w:sz w:val="20"/>
                <w:lang w:val="cs-CZ"/>
              </w:rPr>
              <w:t>001</w:t>
            </w:r>
            <w:r w:rsidR="004C58C9" w:rsidRPr="001B4A02">
              <w:rPr>
                <w:rFonts w:ascii="Times New Roman" w:hAnsi="Times New Roman"/>
                <w:sz w:val="20"/>
                <w:lang w:val="cs-CZ"/>
              </w:rPr>
              <w:t>,</w:t>
            </w:r>
            <w:r w:rsidRPr="001B4A02">
              <w:rPr>
                <w:rFonts w:ascii="Times New Roman" w:hAnsi="Times New Roman"/>
                <w:sz w:val="20"/>
                <w:lang w:val="cs-CZ"/>
              </w:rPr>
              <w:t xml:space="preserve"> </w:t>
            </w:r>
            <w:r w:rsidR="004C58C9" w:rsidRPr="001B4A02">
              <w:rPr>
                <w:rFonts w:ascii="Times New Roman" w:hAnsi="Times New Roman"/>
                <w:sz w:val="20"/>
                <w:lang w:val="cs-CZ"/>
              </w:rPr>
              <w:t>p</w:t>
            </w:r>
            <w:r w:rsidR="00F67928" w:rsidRPr="001B4A02">
              <w:rPr>
                <w:rFonts w:ascii="Times New Roman" w:hAnsi="Times New Roman"/>
                <w:sz w:val="20"/>
                <w:lang w:val="cs-CZ"/>
              </w:rPr>
              <w:t xml:space="preserve">řípravek </w:t>
            </w:r>
            <w:r w:rsidRPr="001B4A02">
              <w:rPr>
                <w:rFonts w:ascii="Times New Roman" w:hAnsi="Times New Roman"/>
                <w:sz w:val="20"/>
                <w:lang w:val="cs-CZ"/>
              </w:rPr>
              <w:t xml:space="preserve">Humira vs. </w:t>
            </w:r>
            <w:r w:rsidR="00962673" w:rsidRPr="001B4A02">
              <w:rPr>
                <w:rFonts w:ascii="Times New Roman" w:hAnsi="Times New Roman"/>
                <w:sz w:val="20"/>
                <w:lang w:val="cs-CZ"/>
              </w:rPr>
              <w:t>p</w:t>
            </w:r>
            <w:r w:rsidRPr="001B4A02">
              <w:rPr>
                <w:rFonts w:ascii="Times New Roman" w:hAnsi="Times New Roman"/>
                <w:sz w:val="20"/>
                <w:lang w:val="cs-CZ"/>
              </w:rPr>
              <w:t>lacebo</w:t>
            </w:r>
          </w:p>
          <w:p w14:paraId="3D2DC918" w14:textId="77777777" w:rsidR="00ED3511" w:rsidRPr="001B4A02" w:rsidRDefault="00000000" w:rsidP="00ED48A3">
            <w:pPr>
              <w:pStyle w:val="DefaultText"/>
              <w:keepNext/>
              <w:rPr>
                <w:rFonts w:ascii="Times New Roman" w:hAnsi="Times New Roman"/>
                <w:sz w:val="20"/>
                <w:lang w:val="cs-CZ"/>
              </w:rPr>
            </w:pPr>
            <w:r w:rsidRPr="001B4A02">
              <w:rPr>
                <w:rFonts w:ascii="Times New Roman" w:hAnsi="Times New Roman"/>
                <w:sz w:val="20"/>
                <w:vertAlign w:val="superscript"/>
                <w:lang w:val="cs-CZ"/>
              </w:rPr>
              <w:t>b</w:t>
            </w:r>
            <w:r w:rsidRPr="001B4A02">
              <w:rPr>
                <w:rFonts w:ascii="Times New Roman" w:hAnsi="Times New Roman"/>
                <w:sz w:val="20"/>
                <w:lang w:val="cs-CZ"/>
              </w:rPr>
              <w:t xml:space="preserve"> p&lt;0</w:t>
            </w:r>
            <w:r w:rsidR="007375A0" w:rsidRPr="001B4A02">
              <w:rPr>
                <w:rFonts w:ascii="Times New Roman" w:hAnsi="Times New Roman"/>
                <w:sz w:val="20"/>
                <w:lang w:val="cs-CZ"/>
              </w:rPr>
              <w:t>,</w:t>
            </w:r>
            <w:r w:rsidRPr="001B4A02">
              <w:rPr>
                <w:rFonts w:ascii="Times New Roman" w:hAnsi="Times New Roman"/>
                <w:sz w:val="20"/>
                <w:lang w:val="cs-CZ"/>
              </w:rPr>
              <w:t>001</w:t>
            </w:r>
            <w:r w:rsidR="004C58C9" w:rsidRPr="001B4A02">
              <w:rPr>
                <w:rFonts w:ascii="Times New Roman" w:hAnsi="Times New Roman"/>
                <w:sz w:val="20"/>
                <w:lang w:val="cs-CZ"/>
              </w:rPr>
              <w:t>,p</w:t>
            </w:r>
            <w:r w:rsidR="00F67928" w:rsidRPr="001B4A02">
              <w:rPr>
                <w:rFonts w:ascii="Times New Roman" w:hAnsi="Times New Roman"/>
                <w:sz w:val="20"/>
                <w:lang w:val="cs-CZ"/>
              </w:rPr>
              <w:t xml:space="preserve">řípravek </w:t>
            </w:r>
            <w:r w:rsidRPr="001B4A02">
              <w:rPr>
                <w:rFonts w:ascii="Times New Roman" w:hAnsi="Times New Roman"/>
                <w:sz w:val="20"/>
                <w:lang w:val="cs-CZ"/>
              </w:rPr>
              <w:t>Humira vs. methotrexát</w:t>
            </w:r>
          </w:p>
          <w:p w14:paraId="2088771C" w14:textId="77777777" w:rsidR="00ED3511" w:rsidRPr="001B4A02" w:rsidRDefault="00000000" w:rsidP="00ED48A3">
            <w:pPr>
              <w:pStyle w:val="DefaultText"/>
              <w:keepNext/>
              <w:rPr>
                <w:rFonts w:ascii="Times New Roman" w:hAnsi="Times New Roman"/>
                <w:sz w:val="20"/>
                <w:lang w:val="cs-CZ"/>
              </w:rPr>
            </w:pPr>
            <w:r w:rsidRPr="001B4A02">
              <w:rPr>
                <w:rFonts w:ascii="Times New Roman" w:hAnsi="Times New Roman"/>
                <w:sz w:val="20"/>
                <w:vertAlign w:val="superscript"/>
                <w:lang w:val="cs-CZ"/>
              </w:rPr>
              <w:t>c</w:t>
            </w:r>
            <w:r w:rsidRPr="001B4A02">
              <w:rPr>
                <w:rFonts w:ascii="Times New Roman" w:hAnsi="Times New Roman"/>
                <w:sz w:val="20"/>
                <w:lang w:val="cs-CZ"/>
              </w:rPr>
              <w:t xml:space="preserve"> p&lt;0</w:t>
            </w:r>
            <w:r w:rsidR="007375A0" w:rsidRPr="001B4A02">
              <w:rPr>
                <w:rFonts w:ascii="Times New Roman" w:hAnsi="Times New Roman"/>
                <w:sz w:val="20"/>
                <w:lang w:val="cs-CZ"/>
              </w:rPr>
              <w:t>,</w:t>
            </w:r>
            <w:r w:rsidRPr="001B4A02">
              <w:rPr>
                <w:rFonts w:ascii="Times New Roman" w:hAnsi="Times New Roman"/>
                <w:sz w:val="20"/>
                <w:lang w:val="cs-CZ"/>
              </w:rPr>
              <w:t>01</w:t>
            </w:r>
            <w:r w:rsidR="004C58C9" w:rsidRPr="001B4A02">
              <w:rPr>
                <w:rFonts w:ascii="Times New Roman" w:hAnsi="Times New Roman"/>
                <w:sz w:val="20"/>
                <w:lang w:val="cs-CZ"/>
              </w:rPr>
              <w:t>,</w:t>
            </w:r>
            <w:r w:rsidRPr="001B4A02">
              <w:rPr>
                <w:rFonts w:ascii="Times New Roman" w:hAnsi="Times New Roman"/>
                <w:sz w:val="20"/>
                <w:lang w:val="cs-CZ"/>
              </w:rPr>
              <w:t xml:space="preserve"> </w:t>
            </w:r>
            <w:r w:rsidR="004C58C9" w:rsidRPr="001B4A02">
              <w:rPr>
                <w:rFonts w:ascii="Times New Roman" w:hAnsi="Times New Roman"/>
                <w:sz w:val="20"/>
                <w:lang w:val="cs-CZ"/>
              </w:rPr>
              <w:t>p</w:t>
            </w:r>
            <w:r w:rsidR="00F67928" w:rsidRPr="001B4A02">
              <w:rPr>
                <w:rFonts w:ascii="Times New Roman" w:hAnsi="Times New Roman"/>
                <w:sz w:val="20"/>
                <w:lang w:val="cs-CZ"/>
              </w:rPr>
              <w:t xml:space="preserve">řípravek </w:t>
            </w:r>
            <w:r w:rsidRPr="001B4A02">
              <w:rPr>
                <w:rFonts w:ascii="Times New Roman" w:hAnsi="Times New Roman"/>
                <w:sz w:val="20"/>
                <w:lang w:val="cs-CZ"/>
              </w:rPr>
              <w:t>Humira vs. placebo</w:t>
            </w:r>
          </w:p>
          <w:p w14:paraId="2E4E3B66" w14:textId="77777777" w:rsidR="00ED3511" w:rsidRPr="001B4A02" w:rsidRDefault="00000000" w:rsidP="00ED48A3">
            <w:pPr>
              <w:pStyle w:val="DefaultText"/>
              <w:keepNext/>
              <w:rPr>
                <w:rFonts w:ascii="Times New Roman" w:hAnsi="Times New Roman"/>
                <w:szCs w:val="22"/>
                <w:lang w:val="cs-CZ"/>
              </w:rPr>
            </w:pPr>
            <w:r w:rsidRPr="001B4A02">
              <w:rPr>
                <w:rFonts w:ascii="Times New Roman" w:hAnsi="Times New Roman"/>
                <w:sz w:val="20"/>
                <w:vertAlign w:val="superscript"/>
                <w:lang w:val="cs-CZ"/>
              </w:rPr>
              <w:t>d</w:t>
            </w:r>
            <w:r w:rsidRPr="001B4A02">
              <w:rPr>
                <w:rFonts w:ascii="Times New Roman" w:hAnsi="Times New Roman"/>
                <w:sz w:val="20"/>
                <w:lang w:val="cs-CZ"/>
              </w:rPr>
              <w:t xml:space="preserve"> p&lt;0</w:t>
            </w:r>
            <w:r w:rsidR="007375A0" w:rsidRPr="001B4A02">
              <w:rPr>
                <w:rFonts w:ascii="Times New Roman" w:hAnsi="Times New Roman"/>
                <w:sz w:val="20"/>
                <w:lang w:val="cs-CZ"/>
              </w:rPr>
              <w:t>,</w:t>
            </w:r>
            <w:r w:rsidRPr="001B4A02">
              <w:rPr>
                <w:rFonts w:ascii="Times New Roman" w:hAnsi="Times New Roman"/>
                <w:sz w:val="20"/>
                <w:lang w:val="cs-CZ"/>
              </w:rPr>
              <w:t>05</w:t>
            </w:r>
            <w:r w:rsidR="004C58C9" w:rsidRPr="001B4A02">
              <w:rPr>
                <w:rFonts w:ascii="Times New Roman" w:hAnsi="Times New Roman"/>
                <w:sz w:val="20"/>
                <w:lang w:val="cs-CZ"/>
              </w:rPr>
              <w:t>,</w:t>
            </w:r>
            <w:r w:rsidRPr="001B4A02">
              <w:rPr>
                <w:rFonts w:ascii="Times New Roman" w:hAnsi="Times New Roman"/>
                <w:sz w:val="20"/>
                <w:lang w:val="cs-CZ"/>
              </w:rPr>
              <w:t xml:space="preserve"> </w:t>
            </w:r>
            <w:r w:rsidR="004C58C9" w:rsidRPr="001B4A02">
              <w:rPr>
                <w:rFonts w:ascii="Times New Roman" w:hAnsi="Times New Roman"/>
                <w:sz w:val="20"/>
                <w:lang w:val="cs-CZ"/>
              </w:rPr>
              <w:t>p</w:t>
            </w:r>
            <w:r w:rsidR="00F67928" w:rsidRPr="001B4A02">
              <w:rPr>
                <w:rFonts w:ascii="Times New Roman" w:hAnsi="Times New Roman"/>
                <w:sz w:val="20"/>
                <w:lang w:val="cs-CZ"/>
              </w:rPr>
              <w:t xml:space="preserve">řípravek </w:t>
            </w:r>
            <w:r w:rsidRPr="001B4A02">
              <w:rPr>
                <w:rFonts w:ascii="Times New Roman" w:hAnsi="Times New Roman"/>
                <w:sz w:val="20"/>
                <w:lang w:val="cs-CZ"/>
              </w:rPr>
              <w:t>Humira vs. methotrexát</w:t>
            </w:r>
          </w:p>
        </w:tc>
      </w:tr>
    </w:tbl>
    <w:p w14:paraId="4152682D" w14:textId="77777777" w:rsidR="00ED3511" w:rsidRPr="001B4A02" w:rsidRDefault="00ED3511" w:rsidP="00A03600">
      <w:pPr>
        <w:pStyle w:val="EMEANormal"/>
        <w:tabs>
          <w:tab w:val="clear" w:pos="562"/>
          <w:tab w:val="left" w:pos="708"/>
        </w:tabs>
        <w:suppressAutoHyphens w:val="0"/>
        <w:rPr>
          <w:lang w:val="cs-CZ"/>
        </w:rPr>
      </w:pPr>
    </w:p>
    <w:p w14:paraId="1173673C" w14:textId="77777777" w:rsidR="00ED3511" w:rsidRPr="001B4A02" w:rsidRDefault="00000000" w:rsidP="00ED48A3">
      <w:pPr>
        <w:pStyle w:val="EMEANormal"/>
        <w:tabs>
          <w:tab w:val="clear" w:pos="562"/>
          <w:tab w:val="left" w:pos="708"/>
        </w:tabs>
        <w:suppressAutoHyphens w:val="0"/>
        <w:rPr>
          <w:lang w:val="cs-CZ"/>
        </w:rPr>
      </w:pPr>
      <w:r w:rsidRPr="001B4A02">
        <w:rPr>
          <w:lang w:val="cs-CZ"/>
        </w:rPr>
        <w:t>V psoriatické studii I došlo u</w:t>
      </w:r>
      <w:r w:rsidR="00272620" w:rsidRPr="001B4A02">
        <w:rPr>
          <w:lang w:val="cs-CZ"/>
        </w:rPr>
        <w:t> </w:t>
      </w:r>
      <w:r w:rsidRPr="001B4A02">
        <w:rPr>
          <w:lang w:val="cs-CZ"/>
        </w:rPr>
        <w:t>28</w:t>
      </w:r>
      <w:r w:rsidR="00FA1345" w:rsidRPr="001B4A02">
        <w:rPr>
          <w:lang w:val="cs-CZ"/>
        </w:rPr>
        <w:t> </w:t>
      </w:r>
      <w:r w:rsidRPr="001B4A02">
        <w:rPr>
          <w:lang w:val="cs-CZ"/>
        </w:rPr>
        <w:t>% pacientů, kteří dosáhli odpovědi PASI 75</w:t>
      </w:r>
      <w:r w:rsidR="002378E0">
        <w:rPr>
          <w:lang w:val="cs-CZ"/>
        </w:rPr>
        <w:t xml:space="preserve"> a </w:t>
      </w:r>
      <w:r w:rsidRPr="001B4A02">
        <w:rPr>
          <w:lang w:val="cs-CZ"/>
        </w:rPr>
        <w:t>byli re-randomizováni na placebo v týdnu 33, ke „ztrátě adekvátní odpovědi“ (PASI skóre po týdnu 33</w:t>
      </w:r>
      <w:r w:rsidR="002378E0">
        <w:rPr>
          <w:lang w:val="cs-CZ"/>
        </w:rPr>
        <w:t xml:space="preserve"> a </w:t>
      </w:r>
      <w:r w:rsidRPr="001B4A02">
        <w:rPr>
          <w:lang w:val="cs-CZ"/>
        </w:rPr>
        <w:t>v</w:t>
      </w:r>
      <w:r w:rsidR="00272620" w:rsidRPr="001B4A02">
        <w:rPr>
          <w:lang w:val="cs-CZ"/>
        </w:rPr>
        <w:t> </w:t>
      </w:r>
      <w:r w:rsidRPr="001B4A02">
        <w:rPr>
          <w:lang w:val="cs-CZ"/>
        </w:rPr>
        <w:t>týdnu 52 nebo před ním, které vyústilo v</w:t>
      </w:r>
      <w:r w:rsidR="00272620" w:rsidRPr="001B4A02">
        <w:rPr>
          <w:lang w:val="cs-CZ"/>
        </w:rPr>
        <w:t> </w:t>
      </w:r>
      <w:r w:rsidRPr="001B4A02">
        <w:rPr>
          <w:lang w:val="cs-CZ"/>
        </w:rPr>
        <w:t>odpověď PASI &lt; 50 vzhledem k výchozímu stavu s minimálně 6bodovým vzestupem PASI skóre vzhledem k týdnu 33), v porovnání s 5</w:t>
      </w:r>
      <w:r w:rsidR="00590132" w:rsidRPr="001B4A02">
        <w:rPr>
          <w:lang w:val="cs-CZ"/>
        </w:rPr>
        <w:t> </w:t>
      </w:r>
      <w:r w:rsidRPr="001B4A02">
        <w:rPr>
          <w:lang w:val="cs-CZ"/>
        </w:rPr>
        <w:t>% těch, kteří pokračovali v léčbě přípravkem Humira, p&lt;0,001. Z pacientů, u</w:t>
      </w:r>
      <w:r w:rsidR="00272620" w:rsidRPr="001B4A02">
        <w:rPr>
          <w:lang w:val="cs-CZ"/>
        </w:rPr>
        <w:t> </w:t>
      </w:r>
      <w:r w:rsidRPr="001B4A02">
        <w:rPr>
          <w:lang w:val="cs-CZ"/>
        </w:rPr>
        <w:t>kte</w:t>
      </w:r>
      <w:r w:rsidR="00CD6D96" w:rsidRPr="001B4A02">
        <w:rPr>
          <w:lang w:val="cs-CZ"/>
        </w:rPr>
        <w:t>r</w:t>
      </w:r>
      <w:r w:rsidRPr="001B4A02">
        <w:rPr>
          <w:lang w:val="cs-CZ"/>
        </w:rPr>
        <w:t>ých došlo ke „ztrátě adekvátní odpovědi“ po re-randomizaci na placebo</w:t>
      </w:r>
      <w:r w:rsidR="002378E0">
        <w:rPr>
          <w:lang w:val="cs-CZ"/>
        </w:rPr>
        <w:t xml:space="preserve"> a </w:t>
      </w:r>
      <w:r w:rsidRPr="001B4A02">
        <w:rPr>
          <w:lang w:val="cs-CZ"/>
        </w:rPr>
        <w:t>kteří byli zařazeni do otevřené prodloužené fáze studie, došlo u</w:t>
      </w:r>
      <w:r w:rsidR="00272620" w:rsidRPr="001B4A02">
        <w:rPr>
          <w:lang w:val="cs-CZ"/>
        </w:rPr>
        <w:t> </w:t>
      </w:r>
      <w:r w:rsidRPr="001B4A02">
        <w:rPr>
          <w:lang w:val="cs-CZ"/>
        </w:rPr>
        <w:t>38</w:t>
      </w:r>
      <w:r w:rsidR="00590132" w:rsidRPr="001B4A02">
        <w:rPr>
          <w:lang w:val="cs-CZ"/>
        </w:rPr>
        <w:t> </w:t>
      </w:r>
      <w:r w:rsidRPr="001B4A02">
        <w:rPr>
          <w:lang w:val="cs-CZ"/>
        </w:rPr>
        <w:t>% pacientů (25 z</w:t>
      </w:r>
      <w:r w:rsidR="00272620" w:rsidRPr="001B4A02">
        <w:rPr>
          <w:lang w:val="cs-CZ"/>
        </w:rPr>
        <w:t> </w:t>
      </w:r>
      <w:r w:rsidRPr="001B4A02">
        <w:rPr>
          <w:lang w:val="cs-CZ"/>
        </w:rPr>
        <w:t>66) k opětovnému návratu odpovědi PASI 75 po 12 týdnech léčby</w:t>
      </w:r>
      <w:r w:rsidR="002378E0">
        <w:rPr>
          <w:lang w:val="cs-CZ"/>
        </w:rPr>
        <w:t xml:space="preserve"> a </w:t>
      </w:r>
      <w:r w:rsidRPr="001B4A02">
        <w:rPr>
          <w:lang w:val="cs-CZ"/>
        </w:rPr>
        <w:t>u</w:t>
      </w:r>
      <w:r w:rsidR="00272620" w:rsidRPr="001B4A02">
        <w:rPr>
          <w:lang w:val="cs-CZ"/>
        </w:rPr>
        <w:t> </w:t>
      </w:r>
      <w:r w:rsidRPr="001B4A02">
        <w:rPr>
          <w:lang w:val="cs-CZ"/>
        </w:rPr>
        <w:t>55</w:t>
      </w:r>
      <w:r w:rsidR="00590132" w:rsidRPr="001B4A02">
        <w:rPr>
          <w:lang w:val="cs-CZ"/>
        </w:rPr>
        <w:t> </w:t>
      </w:r>
      <w:r w:rsidRPr="001B4A02">
        <w:rPr>
          <w:lang w:val="cs-CZ"/>
        </w:rPr>
        <w:t>% pacientů (36 z</w:t>
      </w:r>
      <w:r w:rsidR="00272620" w:rsidRPr="001B4A02">
        <w:rPr>
          <w:lang w:val="cs-CZ"/>
        </w:rPr>
        <w:t> </w:t>
      </w:r>
      <w:r w:rsidRPr="001B4A02">
        <w:rPr>
          <w:lang w:val="cs-CZ"/>
        </w:rPr>
        <w:t>66) po 24 týdnech léčby.</w:t>
      </w:r>
    </w:p>
    <w:p w14:paraId="134C16F5" w14:textId="77777777" w:rsidR="00ED3511" w:rsidRPr="001B4A02" w:rsidRDefault="00ED3511" w:rsidP="00ED48A3">
      <w:pPr>
        <w:pStyle w:val="EMEANormal"/>
        <w:tabs>
          <w:tab w:val="clear" w:pos="562"/>
          <w:tab w:val="left" w:pos="708"/>
        </w:tabs>
        <w:suppressAutoHyphens w:val="0"/>
        <w:rPr>
          <w:lang w:val="cs-CZ"/>
        </w:rPr>
      </w:pPr>
    </w:p>
    <w:p w14:paraId="69196448" w14:textId="77777777" w:rsidR="00ED3511" w:rsidRPr="001B4A02" w:rsidRDefault="00000000" w:rsidP="00ED48A3">
      <w:pPr>
        <w:pStyle w:val="EMEANormal"/>
        <w:tabs>
          <w:tab w:val="clear" w:pos="562"/>
          <w:tab w:val="left" w:pos="708"/>
        </w:tabs>
        <w:suppressAutoHyphens w:val="0"/>
        <w:rPr>
          <w:lang w:val="cs-CZ"/>
        </w:rPr>
      </w:pPr>
      <w:r w:rsidRPr="001B4A02">
        <w:rPr>
          <w:lang w:val="cs-CZ"/>
        </w:rPr>
        <w:t>Celkem 233 pacientů, kteří dosáhli odpovědi PASI 75 v týdnu 16</w:t>
      </w:r>
      <w:r w:rsidR="002378E0">
        <w:rPr>
          <w:lang w:val="cs-CZ"/>
        </w:rPr>
        <w:t xml:space="preserve"> a </w:t>
      </w:r>
      <w:r w:rsidRPr="001B4A02">
        <w:rPr>
          <w:lang w:val="cs-CZ"/>
        </w:rPr>
        <w:t>v týdnu 33, pokračovalo v léčbě přípravkem Humira po dobu 52 týdnů v psoriatické s</w:t>
      </w:r>
      <w:r w:rsidR="007978AF">
        <w:rPr>
          <w:lang w:val="cs-CZ"/>
        </w:rPr>
        <w:t>t</w:t>
      </w:r>
      <w:r w:rsidRPr="001B4A02">
        <w:rPr>
          <w:lang w:val="cs-CZ"/>
        </w:rPr>
        <w:t>udii I</w:t>
      </w:r>
      <w:r w:rsidR="002378E0">
        <w:rPr>
          <w:lang w:val="cs-CZ"/>
        </w:rPr>
        <w:t xml:space="preserve"> a </w:t>
      </w:r>
      <w:r w:rsidRPr="001B4A02">
        <w:rPr>
          <w:lang w:val="cs-CZ"/>
        </w:rPr>
        <w:t>postoupilo do otevřené prodloužené fáze studie. Po dalších 108 týdnech otevřené fáze léčby (celkem 160 týdnů) dosáhlo 74,7</w:t>
      </w:r>
      <w:r w:rsidR="00590132" w:rsidRPr="001B4A02">
        <w:rPr>
          <w:lang w:val="cs-CZ"/>
        </w:rPr>
        <w:t> </w:t>
      </w:r>
      <w:r w:rsidRPr="001B4A02">
        <w:rPr>
          <w:lang w:val="cs-CZ"/>
        </w:rPr>
        <w:t>% z těchto pacientů jasné nebo minimální úrovně odpovědi v</w:t>
      </w:r>
      <w:r w:rsidR="00272620" w:rsidRPr="001B4A02">
        <w:rPr>
          <w:lang w:val="cs-CZ"/>
        </w:rPr>
        <w:t> </w:t>
      </w:r>
      <w:r w:rsidRPr="001B4A02">
        <w:rPr>
          <w:lang w:val="cs-CZ"/>
        </w:rPr>
        <w:t>PASI 75</w:t>
      </w:r>
      <w:r w:rsidR="002378E0">
        <w:rPr>
          <w:lang w:val="cs-CZ"/>
        </w:rPr>
        <w:t xml:space="preserve"> a </w:t>
      </w:r>
      <w:r w:rsidRPr="001B4A02">
        <w:rPr>
          <w:lang w:val="cs-CZ"/>
        </w:rPr>
        <w:t>59</w:t>
      </w:r>
      <w:r w:rsidR="00590132" w:rsidRPr="001B4A02">
        <w:rPr>
          <w:lang w:val="cs-CZ"/>
        </w:rPr>
        <w:t> </w:t>
      </w:r>
      <w:r w:rsidRPr="001B4A02">
        <w:rPr>
          <w:lang w:val="cs-CZ"/>
        </w:rPr>
        <w:t>% z nich dosáhlo stejné úrovně v</w:t>
      </w:r>
      <w:r w:rsidR="008A4562" w:rsidRPr="001B4A02">
        <w:rPr>
          <w:lang w:val="cs-CZ"/>
        </w:rPr>
        <w:t> </w:t>
      </w:r>
      <w:r w:rsidRPr="001B4A02">
        <w:rPr>
          <w:lang w:val="cs-CZ"/>
        </w:rPr>
        <w:t>PGA. V analýzách, v nichž byli všichni pacienti, kteří ze studie odstoupili z důvodu nežádoucích účinků či nedostatečné účinnosti nebo kteří vyžadovali navyšování dávky, považováni za neodpovídající na léčbu, bylo u</w:t>
      </w:r>
      <w:r w:rsidR="00272620" w:rsidRPr="001B4A02">
        <w:rPr>
          <w:lang w:val="cs-CZ"/>
        </w:rPr>
        <w:t> </w:t>
      </w:r>
      <w:r w:rsidRPr="001B4A02">
        <w:rPr>
          <w:lang w:val="cs-CZ"/>
        </w:rPr>
        <w:t>těchto pacientů po dalších 108 týdnech otevřené fáze léčby (celkem 160 týdnů) dosaženo jasné nebo minimální odpovědi v</w:t>
      </w:r>
      <w:r w:rsidR="00272620" w:rsidRPr="001B4A02">
        <w:rPr>
          <w:lang w:val="cs-CZ"/>
        </w:rPr>
        <w:t> </w:t>
      </w:r>
      <w:r w:rsidRPr="001B4A02">
        <w:rPr>
          <w:lang w:val="cs-CZ"/>
        </w:rPr>
        <w:t>PASI 75</w:t>
      </w:r>
      <w:r w:rsidR="002378E0">
        <w:rPr>
          <w:lang w:val="cs-CZ"/>
        </w:rPr>
        <w:t xml:space="preserve"> a </w:t>
      </w:r>
      <w:r w:rsidRPr="001B4A02">
        <w:rPr>
          <w:lang w:val="cs-CZ"/>
        </w:rPr>
        <w:t>PGA celkem u</w:t>
      </w:r>
      <w:r w:rsidR="00272620" w:rsidRPr="001B4A02">
        <w:rPr>
          <w:lang w:val="cs-CZ"/>
        </w:rPr>
        <w:t> </w:t>
      </w:r>
      <w:r w:rsidRPr="001B4A02">
        <w:rPr>
          <w:lang w:val="cs-CZ"/>
        </w:rPr>
        <w:t>69,9</w:t>
      </w:r>
      <w:r w:rsidR="00590132" w:rsidRPr="001B4A02">
        <w:rPr>
          <w:lang w:val="cs-CZ"/>
        </w:rPr>
        <w:t> </w:t>
      </w:r>
      <w:r w:rsidRPr="001B4A02">
        <w:rPr>
          <w:lang w:val="cs-CZ"/>
        </w:rPr>
        <w:t>% v případě PASI 75</w:t>
      </w:r>
      <w:r w:rsidR="002378E0">
        <w:rPr>
          <w:lang w:val="cs-CZ"/>
        </w:rPr>
        <w:t xml:space="preserve"> a </w:t>
      </w:r>
      <w:r w:rsidRPr="001B4A02">
        <w:rPr>
          <w:lang w:val="cs-CZ"/>
        </w:rPr>
        <w:t>55,7</w:t>
      </w:r>
      <w:r w:rsidR="00590132" w:rsidRPr="001B4A02">
        <w:rPr>
          <w:lang w:val="cs-CZ"/>
        </w:rPr>
        <w:t> </w:t>
      </w:r>
      <w:r w:rsidRPr="001B4A02">
        <w:rPr>
          <w:lang w:val="cs-CZ"/>
        </w:rPr>
        <w:t>% u</w:t>
      </w:r>
      <w:r w:rsidR="008A5E18" w:rsidRPr="001B4A02">
        <w:rPr>
          <w:lang w:val="cs-CZ"/>
        </w:rPr>
        <w:t> </w:t>
      </w:r>
      <w:r w:rsidRPr="001B4A02">
        <w:rPr>
          <w:lang w:val="cs-CZ"/>
        </w:rPr>
        <w:t>PGA.</w:t>
      </w:r>
    </w:p>
    <w:p w14:paraId="0E290F9A" w14:textId="77777777" w:rsidR="00ED3511" w:rsidRPr="001B4A02" w:rsidRDefault="00ED3511" w:rsidP="00ED48A3">
      <w:pPr>
        <w:pStyle w:val="EMEANormal"/>
        <w:tabs>
          <w:tab w:val="clear" w:pos="562"/>
          <w:tab w:val="left" w:pos="708"/>
        </w:tabs>
        <w:suppressAutoHyphens w:val="0"/>
        <w:rPr>
          <w:lang w:val="cs-CZ"/>
        </w:rPr>
      </w:pPr>
    </w:p>
    <w:p w14:paraId="58483A92" w14:textId="77777777" w:rsidR="00ED3511" w:rsidRPr="001B4A02" w:rsidRDefault="00000000" w:rsidP="00ED48A3">
      <w:pPr>
        <w:pStyle w:val="EMEANormal"/>
        <w:tabs>
          <w:tab w:val="clear" w:pos="562"/>
          <w:tab w:val="left" w:pos="708"/>
        </w:tabs>
        <w:suppressAutoHyphens w:val="0"/>
        <w:rPr>
          <w:lang w:val="cs-CZ"/>
        </w:rPr>
      </w:pPr>
      <w:r w:rsidRPr="001B4A02">
        <w:rPr>
          <w:lang w:val="cs-CZ"/>
        </w:rPr>
        <w:t>Celkem 347 na léčbu stabilně odpovídajících pacientů se účastnilo otevřené fáze studie, ve které byl adalimumab vysazen</w:t>
      </w:r>
      <w:r w:rsidR="002378E0">
        <w:rPr>
          <w:lang w:val="cs-CZ"/>
        </w:rPr>
        <w:t xml:space="preserve"> a </w:t>
      </w:r>
      <w:r w:rsidRPr="001B4A02">
        <w:rPr>
          <w:lang w:val="cs-CZ"/>
        </w:rPr>
        <w:t>opětovně nasazen. V</w:t>
      </w:r>
      <w:r w:rsidR="00272620" w:rsidRPr="001B4A02">
        <w:rPr>
          <w:lang w:val="cs-CZ"/>
        </w:rPr>
        <w:t> </w:t>
      </w:r>
      <w:r w:rsidRPr="001B4A02">
        <w:rPr>
          <w:lang w:val="cs-CZ"/>
        </w:rPr>
        <w:t>průběhu období po vysazení se symptomy psoriázy vrátily po čase zpět s</w:t>
      </w:r>
      <w:r w:rsidR="00272620" w:rsidRPr="001B4A02">
        <w:rPr>
          <w:lang w:val="cs-CZ"/>
        </w:rPr>
        <w:t> </w:t>
      </w:r>
      <w:r w:rsidRPr="001B4A02">
        <w:rPr>
          <w:lang w:val="cs-CZ"/>
        </w:rPr>
        <w:t>průměrnou dobou návratu (pokles v</w:t>
      </w:r>
      <w:r w:rsidR="00272620" w:rsidRPr="001B4A02">
        <w:rPr>
          <w:lang w:val="cs-CZ"/>
        </w:rPr>
        <w:t> </w:t>
      </w:r>
      <w:r w:rsidRPr="001B4A02">
        <w:rPr>
          <w:lang w:val="cs-CZ"/>
        </w:rPr>
        <w:t>PGA na mírné nebo horší) při</w:t>
      </w:r>
      <w:r w:rsidR="007978AF">
        <w:rPr>
          <w:lang w:val="cs-CZ"/>
        </w:rPr>
        <w:t>b</w:t>
      </w:r>
      <w:r w:rsidRPr="001B4A02">
        <w:rPr>
          <w:lang w:val="cs-CZ"/>
        </w:rPr>
        <w:t>ližně 5 měsíců. U</w:t>
      </w:r>
      <w:r w:rsidR="00272620" w:rsidRPr="001B4A02">
        <w:rPr>
          <w:lang w:val="cs-CZ"/>
        </w:rPr>
        <w:t> </w:t>
      </w:r>
      <w:r w:rsidRPr="001B4A02">
        <w:rPr>
          <w:lang w:val="cs-CZ"/>
        </w:rPr>
        <w:t>žádného z</w:t>
      </w:r>
      <w:r w:rsidR="00272620" w:rsidRPr="001B4A02">
        <w:rPr>
          <w:lang w:val="cs-CZ"/>
        </w:rPr>
        <w:t> </w:t>
      </w:r>
      <w:r w:rsidRPr="001B4A02">
        <w:rPr>
          <w:lang w:val="cs-CZ"/>
        </w:rPr>
        <w:t>těchto pacientů nedošlo k</w:t>
      </w:r>
      <w:r w:rsidR="00272620" w:rsidRPr="001B4A02">
        <w:rPr>
          <w:lang w:val="cs-CZ"/>
        </w:rPr>
        <w:t> </w:t>
      </w:r>
      <w:r w:rsidRPr="001B4A02">
        <w:rPr>
          <w:lang w:val="cs-CZ"/>
        </w:rPr>
        <w:t>rebound fenoménu po dobu vysazení léčby. Celkem 76,5</w:t>
      </w:r>
      <w:r w:rsidR="00590132" w:rsidRPr="001B4A02">
        <w:rPr>
          <w:lang w:val="cs-CZ"/>
        </w:rPr>
        <w:t> </w:t>
      </w:r>
      <w:r w:rsidRPr="001B4A02">
        <w:rPr>
          <w:lang w:val="cs-CZ"/>
        </w:rPr>
        <w:t>% pacientů (218 z</w:t>
      </w:r>
      <w:r w:rsidR="00272620" w:rsidRPr="001B4A02">
        <w:rPr>
          <w:lang w:val="cs-CZ"/>
        </w:rPr>
        <w:t> </w:t>
      </w:r>
      <w:r w:rsidRPr="001B4A02">
        <w:rPr>
          <w:lang w:val="cs-CZ"/>
        </w:rPr>
        <w:t>285), kteří přešli do fáze znovunasazení adalimumabu, mělo po 16 týdnech léčby jasnou nebo minimální úroveň odpovědi v</w:t>
      </w:r>
      <w:r w:rsidR="00272620" w:rsidRPr="001B4A02">
        <w:rPr>
          <w:lang w:val="cs-CZ"/>
        </w:rPr>
        <w:t> </w:t>
      </w:r>
      <w:r w:rsidRPr="001B4A02">
        <w:rPr>
          <w:lang w:val="cs-CZ"/>
        </w:rPr>
        <w:t>PGA, bez ohledu na to, zda se u</w:t>
      </w:r>
      <w:r w:rsidR="00272620" w:rsidRPr="001B4A02">
        <w:rPr>
          <w:lang w:val="cs-CZ"/>
        </w:rPr>
        <w:t> </w:t>
      </w:r>
      <w:r w:rsidRPr="001B4A02">
        <w:rPr>
          <w:lang w:val="cs-CZ"/>
        </w:rPr>
        <w:t>nich v</w:t>
      </w:r>
      <w:r w:rsidR="00272620" w:rsidRPr="001B4A02">
        <w:rPr>
          <w:lang w:val="cs-CZ"/>
        </w:rPr>
        <w:t> </w:t>
      </w:r>
      <w:r w:rsidRPr="001B4A02">
        <w:rPr>
          <w:lang w:val="cs-CZ"/>
        </w:rPr>
        <w:t>průběhu období, kdy byl lék vysazen, objevil relaps (u</w:t>
      </w:r>
      <w:r w:rsidR="00272620" w:rsidRPr="001B4A02">
        <w:rPr>
          <w:lang w:val="cs-CZ"/>
        </w:rPr>
        <w:t> </w:t>
      </w:r>
      <w:r w:rsidRPr="001B4A02">
        <w:rPr>
          <w:lang w:val="cs-CZ"/>
        </w:rPr>
        <w:t>69,1</w:t>
      </w:r>
      <w:r w:rsidR="00590132" w:rsidRPr="001B4A02">
        <w:rPr>
          <w:lang w:val="cs-CZ"/>
        </w:rPr>
        <w:t> </w:t>
      </w:r>
      <w:r w:rsidRPr="001B4A02">
        <w:rPr>
          <w:lang w:val="cs-CZ"/>
        </w:rPr>
        <w:t>% [123 z</w:t>
      </w:r>
      <w:r w:rsidR="00272620" w:rsidRPr="001B4A02">
        <w:rPr>
          <w:lang w:val="cs-CZ"/>
        </w:rPr>
        <w:t> </w:t>
      </w:r>
      <w:r w:rsidRPr="001B4A02">
        <w:rPr>
          <w:lang w:val="cs-CZ"/>
        </w:rPr>
        <w:t>178] se objevil relaps</w:t>
      </w:r>
      <w:r w:rsidR="002378E0">
        <w:rPr>
          <w:lang w:val="cs-CZ"/>
        </w:rPr>
        <w:t xml:space="preserve"> a </w:t>
      </w:r>
      <w:r w:rsidRPr="001B4A02">
        <w:rPr>
          <w:lang w:val="cs-CZ"/>
        </w:rPr>
        <w:t>88,8</w:t>
      </w:r>
      <w:r w:rsidR="00590132" w:rsidRPr="001B4A02">
        <w:rPr>
          <w:lang w:val="cs-CZ"/>
        </w:rPr>
        <w:t> </w:t>
      </w:r>
      <w:r w:rsidRPr="001B4A02">
        <w:rPr>
          <w:lang w:val="cs-CZ"/>
        </w:rPr>
        <w:t>% [95 ze 107] bylo v</w:t>
      </w:r>
      <w:r w:rsidR="00272620" w:rsidRPr="001B4A02">
        <w:rPr>
          <w:lang w:val="cs-CZ"/>
        </w:rPr>
        <w:t> </w:t>
      </w:r>
      <w:r w:rsidRPr="001B4A02">
        <w:rPr>
          <w:lang w:val="cs-CZ"/>
        </w:rPr>
        <w:t>tomto období bez relapsu). V</w:t>
      </w:r>
      <w:r w:rsidR="00272620" w:rsidRPr="001B4A02">
        <w:rPr>
          <w:lang w:val="cs-CZ"/>
        </w:rPr>
        <w:t> </w:t>
      </w:r>
      <w:r w:rsidRPr="001B4A02">
        <w:rPr>
          <w:lang w:val="cs-CZ"/>
        </w:rPr>
        <w:t>průběhu doby po znovunasazení léčby byl pozorován podobný bezpečnostní profil jako v</w:t>
      </w:r>
      <w:r w:rsidR="00272620" w:rsidRPr="001B4A02">
        <w:rPr>
          <w:lang w:val="cs-CZ"/>
        </w:rPr>
        <w:t> </w:t>
      </w:r>
      <w:r w:rsidRPr="001B4A02">
        <w:rPr>
          <w:lang w:val="cs-CZ"/>
        </w:rPr>
        <w:t>období před vysazením léčby.</w:t>
      </w:r>
    </w:p>
    <w:p w14:paraId="65FBD2A5" w14:textId="77777777" w:rsidR="00ED3511" w:rsidRPr="001B4A02" w:rsidRDefault="00ED3511" w:rsidP="00ED48A3">
      <w:pPr>
        <w:pStyle w:val="EMEANormal"/>
        <w:tabs>
          <w:tab w:val="clear" w:pos="562"/>
          <w:tab w:val="left" w:pos="708"/>
        </w:tabs>
        <w:suppressAutoHyphens w:val="0"/>
        <w:rPr>
          <w:u w:val="single"/>
          <w:lang w:val="cs-CZ"/>
        </w:rPr>
      </w:pPr>
    </w:p>
    <w:p w14:paraId="08CCFB75" w14:textId="77777777" w:rsidR="00ED3511" w:rsidRPr="001B4A02" w:rsidRDefault="00000000" w:rsidP="00ED48A3">
      <w:pPr>
        <w:pStyle w:val="EMEANormal"/>
        <w:tabs>
          <w:tab w:val="clear" w:pos="562"/>
          <w:tab w:val="left" w:pos="708"/>
        </w:tabs>
        <w:suppressAutoHyphens w:val="0"/>
        <w:rPr>
          <w:lang w:val="cs-CZ"/>
        </w:rPr>
      </w:pPr>
      <w:r w:rsidRPr="001B4A02">
        <w:rPr>
          <w:lang w:val="cs-CZ"/>
        </w:rPr>
        <w:t>Významné zlepšení v týdnu 16 oproti výchozímu stavu v porovnání s léčbou placebem (studie I</w:t>
      </w:r>
      <w:r w:rsidR="002378E0">
        <w:rPr>
          <w:lang w:val="cs-CZ"/>
        </w:rPr>
        <w:t xml:space="preserve"> a </w:t>
      </w:r>
      <w:r w:rsidRPr="001B4A02">
        <w:rPr>
          <w:lang w:val="cs-CZ"/>
        </w:rPr>
        <w:t>II)</w:t>
      </w:r>
      <w:r w:rsidR="002378E0">
        <w:rPr>
          <w:lang w:val="cs-CZ"/>
        </w:rPr>
        <w:t xml:space="preserve"> a </w:t>
      </w:r>
      <w:r w:rsidRPr="001B4A02">
        <w:rPr>
          <w:lang w:val="cs-CZ"/>
        </w:rPr>
        <w:t>MTX (studie II) bylo prokázáno v DLQI (Dermatology Life Quality Index). Ve studii I došlo také k</w:t>
      </w:r>
      <w:r w:rsidR="008A4562" w:rsidRPr="001B4A02">
        <w:rPr>
          <w:lang w:val="cs-CZ"/>
        </w:rPr>
        <w:t> </w:t>
      </w:r>
      <w:r w:rsidRPr="001B4A02">
        <w:rPr>
          <w:lang w:val="cs-CZ"/>
        </w:rPr>
        <w:t>významnému zlepšení fyzické</w:t>
      </w:r>
      <w:r w:rsidR="002378E0">
        <w:rPr>
          <w:lang w:val="cs-CZ"/>
        </w:rPr>
        <w:t xml:space="preserve"> a </w:t>
      </w:r>
      <w:r w:rsidRPr="001B4A02">
        <w:rPr>
          <w:lang w:val="cs-CZ"/>
        </w:rPr>
        <w:t>mentální části celkového skóre SF-36 v porovnání s placebem.</w:t>
      </w:r>
    </w:p>
    <w:p w14:paraId="3AD7601E" w14:textId="77777777" w:rsidR="00ED3511" w:rsidRPr="001B4A02" w:rsidRDefault="00ED3511" w:rsidP="00ED48A3">
      <w:pPr>
        <w:pStyle w:val="EMEANormal"/>
        <w:tabs>
          <w:tab w:val="clear" w:pos="562"/>
          <w:tab w:val="left" w:pos="708"/>
        </w:tabs>
        <w:suppressAutoHyphens w:val="0"/>
        <w:rPr>
          <w:lang w:val="cs-CZ"/>
        </w:rPr>
      </w:pPr>
    </w:p>
    <w:p w14:paraId="738F239B" w14:textId="77777777" w:rsidR="00ED3511" w:rsidRPr="001B4A02" w:rsidRDefault="00000000" w:rsidP="00ED48A3">
      <w:pPr>
        <w:pStyle w:val="EMEANormal"/>
        <w:tabs>
          <w:tab w:val="clear" w:pos="562"/>
          <w:tab w:val="left" w:pos="708"/>
        </w:tabs>
        <w:suppressAutoHyphens w:val="0"/>
        <w:rPr>
          <w:lang w:val="cs-CZ"/>
        </w:rPr>
      </w:pPr>
      <w:r w:rsidRPr="001B4A02">
        <w:rPr>
          <w:lang w:val="cs-CZ"/>
        </w:rPr>
        <w:t xml:space="preserve">V otevřené prodloužené studii </w:t>
      </w:r>
      <w:r w:rsidR="001F6C51" w:rsidRPr="001B4A02">
        <w:rPr>
          <w:lang w:val="cs-CZ"/>
        </w:rPr>
        <w:t>u</w:t>
      </w:r>
      <w:r w:rsidR="008A5E18" w:rsidRPr="001B4A02">
        <w:rPr>
          <w:lang w:val="cs-CZ"/>
        </w:rPr>
        <w:t> </w:t>
      </w:r>
      <w:r w:rsidR="001F6C51" w:rsidRPr="001B4A02">
        <w:rPr>
          <w:lang w:val="cs-CZ"/>
        </w:rPr>
        <w:t>pacientů, u</w:t>
      </w:r>
      <w:r w:rsidR="008A5E18" w:rsidRPr="001B4A02">
        <w:rPr>
          <w:lang w:val="cs-CZ"/>
        </w:rPr>
        <w:t> </w:t>
      </w:r>
      <w:r w:rsidR="001F6C51" w:rsidRPr="001B4A02">
        <w:rPr>
          <w:lang w:val="cs-CZ"/>
        </w:rPr>
        <w:t>nichž byla z důvodu odpovědi PASI pod 50</w:t>
      </w:r>
      <w:r w:rsidR="006008CB">
        <w:rPr>
          <w:lang w:val="cs-CZ"/>
        </w:rPr>
        <w:t> %</w:t>
      </w:r>
      <w:r w:rsidR="001F6C51" w:rsidRPr="001B4A02">
        <w:rPr>
          <w:lang w:val="cs-CZ"/>
        </w:rPr>
        <w:t xml:space="preserve"> dávka zvýšena ze 40</w:t>
      </w:r>
      <w:r w:rsidR="00F365E7">
        <w:rPr>
          <w:lang w:val="cs-CZ"/>
        </w:rPr>
        <w:t> mg</w:t>
      </w:r>
      <w:r w:rsidR="001F6C51" w:rsidRPr="001B4A02">
        <w:rPr>
          <w:lang w:val="cs-CZ"/>
        </w:rPr>
        <w:t xml:space="preserve"> každý druhý týden na 40</w:t>
      </w:r>
      <w:r w:rsidR="00F365E7">
        <w:rPr>
          <w:lang w:val="cs-CZ"/>
        </w:rPr>
        <w:t> mg</w:t>
      </w:r>
      <w:r w:rsidR="001F6C51" w:rsidRPr="001B4A02">
        <w:rPr>
          <w:lang w:val="cs-CZ"/>
        </w:rPr>
        <w:t xml:space="preserve"> týdně, dosáhlo opětovného návratu odpovědi PASI 75 celkem 26,4</w:t>
      </w:r>
      <w:r w:rsidR="006008CB">
        <w:rPr>
          <w:lang w:val="cs-CZ"/>
        </w:rPr>
        <w:t> %</w:t>
      </w:r>
      <w:r w:rsidR="001F6C51" w:rsidRPr="001B4A02">
        <w:rPr>
          <w:lang w:val="cs-CZ"/>
        </w:rPr>
        <w:t xml:space="preserve"> pacientů (92</w:t>
      </w:r>
      <w:r w:rsidR="00220665" w:rsidRPr="001B4A02">
        <w:rPr>
          <w:lang w:val="cs-CZ"/>
        </w:rPr>
        <w:t xml:space="preserve"> z </w:t>
      </w:r>
      <w:r w:rsidR="001F6C51" w:rsidRPr="001B4A02">
        <w:rPr>
          <w:lang w:val="cs-CZ"/>
        </w:rPr>
        <w:t>349) v týdnu 12</w:t>
      </w:r>
      <w:r w:rsidR="002378E0">
        <w:rPr>
          <w:lang w:val="cs-CZ"/>
        </w:rPr>
        <w:t xml:space="preserve"> a </w:t>
      </w:r>
      <w:r w:rsidR="001F6C51" w:rsidRPr="001B4A02">
        <w:rPr>
          <w:lang w:val="cs-CZ"/>
        </w:rPr>
        <w:t>37,8</w:t>
      </w:r>
      <w:r w:rsidR="00590132" w:rsidRPr="001B4A02">
        <w:rPr>
          <w:lang w:val="cs-CZ"/>
        </w:rPr>
        <w:t> </w:t>
      </w:r>
      <w:r w:rsidR="001F6C51" w:rsidRPr="001B4A02">
        <w:rPr>
          <w:lang w:val="cs-CZ"/>
        </w:rPr>
        <w:t>% (132</w:t>
      </w:r>
      <w:r w:rsidR="00220665" w:rsidRPr="001B4A02">
        <w:rPr>
          <w:lang w:val="cs-CZ"/>
        </w:rPr>
        <w:t xml:space="preserve"> z </w:t>
      </w:r>
      <w:r w:rsidR="001F6C51" w:rsidRPr="001B4A02">
        <w:rPr>
          <w:lang w:val="cs-CZ"/>
        </w:rPr>
        <w:t>349) v týdnu 24.</w:t>
      </w:r>
    </w:p>
    <w:p w14:paraId="5555E0CD" w14:textId="77777777" w:rsidR="003776FC" w:rsidRPr="001B4A02" w:rsidRDefault="003776FC" w:rsidP="00ED48A3">
      <w:pPr>
        <w:pStyle w:val="EMEANormal"/>
        <w:tabs>
          <w:tab w:val="clear" w:pos="562"/>
          <w:tab w:val="left" w:pos="708"/>
        </w:tabs>
        <w:suppressAutoHyphens w:val="0"/>
        <w:rPr>
          <w:lang w:val="cs-CZ"/>
        </w:rPr>
      </w:pPr>
    </w:p>
    <w:p w14:paraId="5A9DFD1A" w14:textId="77777777" w:rsidR="00ED3511" w:rsidRPr="001B4A02" w:rsidRDefault="00000000" w:rsidP="00ED48A3">
      <w:pPr>
        <w:pStyle w:val="EMEANormal"/>
        <w:tabs>
          <w:tab w:val="left" w:pos="708"/>
        </w:tabs>
        <w:rPr>
          <w:lang w:val="cs-CZ"/>
        </w:rPr>
      </w:pPr>
      <w:r w:rsidRPr="001B4A02">
        <w:rPr>
          <w:lang w:val="cs-CZ"/>
        </w:rPr>
        <w:t>Psoriatická studie III (</w:t>
      </w:r>
      <w:r w:rsidR="00F96338" w:rsidRPr="001B4A02">
        <w:rPr>
          <w:lang w:val="cs-CZ"/>
        </w:rPr>
        <w:t>REACH</w:t>
      </w:r>
      <w:r w:rsidRPr="001B4A02">
        <w:rPr>
          <w:lang w:val="cs-CZ"/>
        </w:rPr>
        <w:t>) srovnávala účinnost</w:t>
      </w:r>
      <w:r w:rsidR="002378E0">
        <w:rPr>
          <w:lang w:val="cs-CZ"/>
        </w:rPr>
        <w:t xml:space="preserve"> a </w:t>
      </w:r>
      <w:r w:rsidRPr="001B4A02">
        <w:rPr>
          <w:lang w:val="cs-CZ"/>
        </w:rPr>
        <w:t>bezpečnost přípravku Humira v porovnání s</w:t>
      </w:r>
      <w:r w:rsidR="008A4562" w:rsidRPr="001B4A02">
        <w:rPr>
          <w:lang w:val="cs-CZ"/>
        </w:rPr>
        <w:t> </w:t>
      </w:r>
      <w:r w:rsidRPr="001B4A02">
        <w:rPr>
          <w:lang w:val="cs-CZ"/>
        </w:rPr>
        <w:t>placebem u</w:t>
      </w:r>
      <w:r w:rsidR="008A5E18" w:rsidRPr="001B4A02">
        <w:rPr>
          <w:lang w:val="cs-CZ"/>
        </w:rPr>
        <w:t> </w:t>
      </w:r>
      <w:r w:rsidR="00477CAC" w:rsidRPr="001B4A02">
        <w:rPr>
          <w:lang w:val="cs-CZ"/>
        </w:rPr>
        <w:t xml:space="preserve">72 </w:t>
      </w:r>
      <w:r w:rsidRPr="001B4A02">
        <w:rPr>
          <w:lang w:val="cs-CZ"/>
        </w:rPr>
        <w:t>pacientů se středně těžkou až těžkou chronickou ložiskovou psoriázou</w:t>
      </w:r>
      <w:r w:rsidR="002378E0">
        <w:rPr>
          <w:lang w:val="cs-CZ"/>
        </w:rPr>
        <w:t xml:space="preserve"> a </w:t>
      </w:r>
      <w:r w:rsidRPr="001B4A02">
        <w:rPr>
          <w:lang w:val="cs-CZ"/>
        </w:rPr>
        <w:t>psoriázou na rukou a/nebo chodidlech. Pacienti dostávali úvodní dávku 80</w:t>
      </w:r>
      <w:r w:rsidR="00F365E7">
        <w:rPr>
          <w:lang w:val="cs-CZ"/>
        </w:rPr>
        <w:t> mg</w:t>
      </w:r>
      <w:r w:rsidRPr="001B4A02">
        <w:rPr>
          <w:lang w:val="cs-CZ"/>
        </w:rPr>
        <w:t xml:space="preserve"> </w:t>
      </w:r>
      <w:r w:rsidR="00220665" w:rsidRPr="001B4A02">
        <w:rPr>
          <w:lang w:val="cs-CZ"/>
        </w:rPr>
        <w:t xml:space="preserve">přípravku </w:t>
      </w:r>
      <w:r w:rsidRPr="001B4A02">
        <w:rPr>
          <w:lang w:val="cs-CZ"/>
        </w:rPr>
        <w:t>Humir</w:t>
      </w:r>
      <w:r w:rsidR="00220665" w:rsidRPr="001B4A02">
        <w:rPr>
          <w:lang w:val="cs-CZ"/>
        </w:rPr>
        <w:t>a</w:t>
      </w:r>
      <w:r w:rsidRPr="001B4A02">
        <w:rPr>
          <w:lang w:val="cs-CZ"/>
        </w:rPr>
        <w:t>, po níž následovala dávka 40</w:t>
      </w:r>
      <w:r w:rsidR="00F365E7">
        <w:rPr>
          <w:lang w:val="cs-CZ"/>
        </w:rPr>
        <w:t> mg</w:t>
      </w:r>
      <w:r w:rsidRPr="001B4A02">
        <w:rPr>
          <w:lang w:val="cs-CZ"/>
        </w:rPr>
        <w:t xml:space="preserve"> každý druhý týden (počínaje prvním týdnem po úvodní dávce)</w:t>
      </w:r>
      <w:r w:rsidR="00F71FE4" w:rsidRPr="001B4A02">
        <w:rPr>
          <w:lang w:val="cs-CZ"/>
        </w:rPr>
        <w:t>,</w:t>
      </w:r>
      <w:r w:rsidRPr="001B4A02">
        <w:rPr>
          <w:lang w:val="cs-CZ"/>
        </w:rPr>
        <w:t xml:space="preserve"> nebo placebo po dobu 16 týdnů. V týdnu 16 významně větší část pacientů, kteří byli léčeni přípravkem Humira, dosáhla PGA skóre (Physician´s Global Assessment) „čisté“ nebo „téměř čisté“ pro ruce a/nebo chodidla ve srovnání s pacienty, kteří dostávali placebo (30</w:t>
      </w:r>
      <w:r w:rsidR="00F71FE4" w:rsidRPr="001B4A02">
        <w:rPr>
          <w:lang w:val="cs-CZ"/>
        </w:rPr>
        <w:t>,</w:t>
      </w:r>
      <w:r w:rsidRPr="001B4A02">
        <w:rPr>
          <w:lang w:val="cs-CZ"/>
        </w:rPr>
        <w:t>6</w:t>
      </w:r>
      <w:r w:rsidR="00590132" w:rsidRPr="001B4A02">
        <w:rPr>
          <w:lang w:val="cs-CZ"/>
        </w:rPr>
        <w:t> </w:t>
      </w:r>
      <w:r w:rsidRPr="001B4A02">
        <w:rPr>
          <w:lang w:val="cs-CZ"/>
        </w:rPr>
        <w:t>% ve</w:t>
      </w:r>
      <w:r w:rsidR="00062315" w:rsidRPr="001B4A02">
        <w:rPr>
          <w:lang w:val="cs-CZ"/>
        </w:rPr>
        <w:t>rsus 4</w:t>
      </w:r>
      <w:r w:rsidR="00220665" w:rsidRPr="001B4A02">
        <w:rPr>
          <w:lang w:val="cs-CZ"/>
        </w:rPr>
        <w:t>,</w:t>
      </w:r>
      <w:r w:rsidR="00062315" w:rsidRPr="001B4A02">
        <w:rPr>
          <w:lang w:val="cs-CZ"/>
        </w:rPr>
        <w:t>3</w:t>
      </w:r>
      <w:r w:rsidR="00590132" w:rsidRPr="001B4A02">
        <w:rPr>
          <w:lang w:val="cs-CZ"/>
        </w:rPr>
        <w:t> </w:t>
      </w:r>
      <w:r w:rsidR="00062315" w:rsidRPr="001B4A02">
        <w:rPr>
          <w:lang w:val="cs-CZ"/>
        </w:rPr>
        <w:t>%, resp. [P = 0</w:t>
      </w:r>
      <w:r w:rsidR="00220665" w:rsidRPr="001B4A02">
        <w:rPr>
          <w:lang w:val="cs-CZ"/>
        </w:rPr>
        <w:t>,</w:t>
      </w:r>
      <w:r w:rsidR="00062315" w:rsidRPr="001B4A02">
        <w:rPr>
          <w:lang w:val="cs-CZ"/>
        </w:rPr>
        <w:t>014]).</w:t>
      </w:r>
    </w:p>
    <w:p w14:paraId="7A03A61C" w14:textId="77777777" w:rsidR="00ED3511" w:rsidRPr="001B4A02" w:rsidRDefault="00ED3511" w:rsidP="00ED48A3">
      <w:pPr>
        <w:ind w:left="0" w:firstLine="0"/>
      </w:pPr>
    </w:p>
    <w:p w14:paraId="79086DF0" w14:textId="77777777" w:rsidR="00A75627" w:rsidRPr="001B4A02" w:rsidRDefault="00000000" w:rsidP="00ED48A3">
      <w:pPr>
        <w:pStyle w:val="EMEANormal"/>
        <w:tabs>
          <w:tab w:val="clear" w:pos="562"/>
          <w:tab w:val="left" w:pos="708"/>
        </w:tabs>
        <w:suppressAutoHyphens w:val="0"/>
        <w:rPr>
          <w:lang w:val="cs-CZ"/>
        </w:rPr>
      </w:pPr>
      <w:r w:rsidRPr="001B4A02">
        <w:rPr>
          <w:lang w:val="cs-CZ"/>
        </w:rPr>
        <w:t>Psoriatická studie IV porovnávala účinnost</w:t>
      </w:r>
      <w:r w:rsidR="002378E0">
        <w:rPr>
          <w:lang w:val="cs-CZ"/>
        </w:rPr>
        <w:t xml:space="preserve"> a </w:t>
      </w:r>
      <w:r w:rsidRPr="001B4A02">
        <w:rPr>
          <w:lang w:val="cs-CZ"/>
        </w:rPr>
        <w:t>bezpečnost přípravku Humira oproti</w:t>
      </w:r>
      <w:r w:rsidRPr="001B4A02">
        <w:rPr>
          <w:i/>
          <w:lang w:val="cs-CZ"/>
        </w:rPr>
        <w:t xml:space="preserve"> </w:t>
      </w:r>
      <w:r w:rsidRPr="001B4A02">
        <w:rPr>
          <w:lang w:val="cs-CZ"/>
        </w:rPr>
        <w:t>placebu u</w:t>
      </w:r>
      <w:r w:rsidR="008A5E18" w:rsidRPr="001B4A02">
        <w:rPr>
          <w:lang w:val="cs-CZ"/>
        </w:rPr>
        <w:t> </w:t>
      </w:r>
      <w:r w:rsidRPr="001B4A02">
        <w:rPr>
          <w:lang w:val="cs-CZ"/>
        </w:rPr>
        <w:t>217 dospělých pacientů se středně těžkou až těžkou psoriázou nehtů. Pac</w:t>
      </w:r>
      <w:r w:rsidR="008A4562" w:rsidRPr="001B4A02">
        <w:rPr>
          <w:lang w:val="cs-CZ"/>
        </w:rPr>
        <w:t>ienti dostávali úvodní dávku 80 </w:t>
      </w:r>
      <w:r w:rsidRPr="001B4A02">
        <w:rPr>
          <w:lang w:val="cs-CZ"/>
        </w:rPr>
        <w:t>mg přípravku Humira následovanou dávkou 40</w:t>
      </w:r>
      <w:r w:rsidR="00F365E7">
        <w:rPr>
          <w:lang w:val="cs-CZ"/>
        </w:rPr>
        <w:t> mg</w:t>
      </w:r>
      <w:r w:rsidRPr="001B4A02">
        <w:rPr>
          <w:lang w:val="cs-CZ"/>
        </w:rPr>
        <w:t xml:space="preserve"> každý druhý týden (počínaje prvním týdnem po </w:t>
      </w:r>
      <w:r w:rsidR="00EE5BAE" w:rsidRPr="001B4A02">
        <w:rPr>
          <w:lang w:val="cs-CZ"/>
        </w:rPr>
        <w:t>úvodní</w:t>
      </w:r>
      <w:r w:rsidRPr="001B4A02">
        <w:rPr>
          <w:lang w:val="cs-CZ"/>
        </w:rPr>
        <w:t xml:space="preserve"> dávce)</w:t>
      </w:r>
      <w:r w:rsidR="00EC661C" w:rsidRPr="001B4A02">
        <w:rPr>
          <w:lang w:val="cs-CZ"/>
        </w:rPr>
        <w:t>,</w:t>
      </w:r>
      <w:r w:rsidRPr="001B4A02">
        <w:rPr>
          <w:lang w:val="cs-CZ"/>
        </w:rPr>
        <w:t xml:space="preserve"> nebo placebo po dobu 26 týdnů</w:t>
      </w:r>
      <w:r w:rsidR="007E2F50" w:rsidRPr="001B4A02">
        <w:rPr>
          <w:lang w:val="cs-CZ"/>
        </w:rPr>
        <w:t>,</w:t>
      </w:r>
      <w:r w:rsidRPr="001B4A02">
        <w:rPr>
          <w:lang w:val="cs-CZ"/>
        </w:rPr>
        <w:t xml:space="preserve"> následované otevřenou fází léčby přípravkem Humira po následujících 26 týdnů. Hodnocení psoriázy nehtů zahrnovalo „Modified Nail Psoriasis Severity Index“ (mNAPSI), „Physician´s Global Assessment of Fingernail Psoriasis“ (PGA-F)</w:t>
      </w:r>
      <w:r w:rsidR="002378E0">
        <w:rPr>
          <w:lang w:val="cs-CZ"/>
        </w:rPr>
        <w:t xml:space="preserve"> a </w:t>
      </w:r>
      <w:r w:rsidRPr="001B4A02">
        <w:rPr>
          <w:lang w:val="cs-CZ"/>
        </w:rPr>
        <w:t>„Nail Psoriasis Severity Index“ (NAPSI) (viz tabulka 1</w:t>
      </w:r>
      <w:r w:rsidR="009C0168">
        <w:rPr>
          <w:lang w:val="cs-CZ"/>
        </w:rPr>
        <w:t>8</w:t>
      </w:r>
      <w:r w:rsidRPr="001B4A02">
        <w:rPr>
          <w:lang w:val="cs-CZ"/>
        </w:rPr>
        <w:t xml:space="preserve">). Léčba přípravkem Humira byla prospěšná </w:t>
      </w:r>
      <w:r w:rsidR="008A4562" w:rsidRPr="001B4A02">
        <w:rPr>
          <w:lang w:val="cs-CZ"/>
        </w:rPr>
        <w:t>u </w:t>
      </w:r>
      <w:r w:rsidRPr="001B4A02">
        <w:rPr>
          <w:lang w:val="cs-CZ"/>
        </w:rPr>
        <w:t>pacientů s psoriázou nehtů s různým rozsahem postižení kůže (</w:t>
      </w:r>
      <w:r w:rsidRPr="001B4A02">
        <w:rPr>
          <w:szCs w:val="22"/>
          <w:lang w:val="cs-CZ"/>
        </w:rPr>
        <w:t>BSA≥</w:t>
      </w:r>
      <w:r w:rsidR="008E5C77" w:rsidRPr="001B4A02">
        <w:rPr>
          <w:szCs w:val="22"/>
          <w:lang w:val="cs-CZ"/>
        </w:rPr>
        <w:t> </w:t>
      </w:r>
      <w:r w:rsidRPr="001B4A02">
        <w:rPr>
          <w:szCs w:val="22"/>
          <w:lang w:val="cs-CZ"/>
        </w:rPr>
        <w:t>10</w:t>
      </w:r>
      <w:r w:rsidR="00590132" w:rsidRPr="001B4A02">
        <w:rPr>
          <w:szCs w:val="22"/>
          <w:lang w:val="cs-CZ"/>
        </w:rPr>
        <w:t> </w:t>
      </w:r>
      <w:r w:rsidRPr="001B4A02">
        <w:rPr>
          <w:szCs w:val="22"/>
          <w:lang w:val="cs-CZ"/>
        </w:rPr>
        <w:t>% (60</w:t>
      </w:r>
      <w:r w:rsidR="00590132" w:rsidRPr="001B4A02">
        <w:rPr>
          <w:szCs w:val="22"/>
          <w:lang w:val="cs-CZ"/>
        </w:rPr>
        <w:t> </w:t>
      </w:r>
      <w:r w:rsidRPr="001B4A02">
        <w:rPr>
          <w:szCs w:val="22"/>
          <w:lang w:val="cs-CZ"/>
        </w:rPr>
        <w:t>% pacientů)</w:t>
      </w:r>
      <w:r w:rsidR="002378E0">
        <w:rPr>
          <w:szCs w:val="22"/>
          <w:lang w:val="cs-CZ"/>
        </w:rPr>
        <w:t xml:space="preserve"> a </w:t>
      </w:r>
      <w:r w:rsidRPr="001B4A02">
        <w:rPr>
          <w:szCs w:val="22"/>
          <w:lang w:val="cs-CZ"/>
        </w:rPr>
        <w:t>BSA&lt;</w:t>
      </w:r>
      <w:r w:rsidR="007375A0" w:rsidRPr="001B4A02">
        <w:rPr>
          <w:szCs w:val="22"/>
          <w:lang w:val="cs-CZ"/>
        </w:rPr>
        <w:t> </w:t>
      </w:r>
      <w:r w:rsidRPr="001B4A02">
        <w:rPr>
          <w:szCs w:val="22"/>
          <w:lang w:val="cs-CZ"/>
        </w:rPr>
        <w:t>10</w:t>
      </w:r>
      <w:r w:rsidR="00590132" w:rsidRPr="001B4A02">
        <w:rPr>
          <w:szCs w:val="22"/>
          <w:lang w:val="cs-CZ"/>
        </w:rPr>
        <w:t> </w:t>
      </w:r>
      <w:r w:rsidRPr="001B4A02">
        <w:rPr>
          <w:szCs w:val="22"/>
          <w:lang w:val="cs-CZ"/>
        </w:rPr>
        <w:t>%</w:t>
      </w:r>
      <w:r w:rsidR="002378E0">
        <w:rPr>
          <w:szCs w:val="22"/>
          <w:lang w:val="cs-CZ"/>
        </w:rPr>
        <w:t xml:space="preserve"> a </w:t>
      </w:r>
      <w:r w:rsidRPr="001B4A02">
        <w:rPr>
          <w:szCs w:val="22"/>
          <w:lang w:val="cs-CZ"/>
        </w:rPr>
        <w:t>≥</w:t>
      </w:r>
      <w:r w:rsidR="008E5C77" w:rsidRPr="001B4A02">
        <w:rPr>
          <w:szCs w:val="22"/>
          <w:lang w:val="cs-CZ"/>
        </w:rPr>
        <w:t> </w:t>
      </w:r>
      <w:r w:rsidRPr="001B4A02">
        <w:rPr>
          <w:szCs w:val="22"/>
          <w:lang w:val="cs-CZ"/>
        </w:rPr>
        <w:t>5</w:t>
      </w:r>
      <w:r w:rsidR="00590132" w:rsidRPr="001B4A02">
        <w:rPr>
          <w:szCs w:val="22"/>
          <w:lang w:val="cs-CZ"/>
        </w:rPr>
        <w:t> </w:t>
      </w:r>
      <w:r w:rsidRPr="001B4A02">
        <w:rPr>
          <w:szCs w:val="22"/>
          <w:lang w:val="cs-CZ"/>
        </w:rPr>
        <w:t>% (40</w:t>
      </w:r>
      <w:r w:rsidR="00590132" w:rsidRPr="001B4A02">
        <w:rPr>
          <w:szCs w:val="22"/>
          <w:lang w:val="cs-CZ"/>
        </w:rPr>
        <w:t> </w:t>
      </w:r>
      <w:r w:rsidRPr="001B4A02">
        <w:rPr>
          <w:szCs w:val="22"/>
          <w:lang w:val="cs-CZ"/>
        </w:rPr>
        <w:t>% pacientů)).</w:t>
      </w:r>
    </w:p>
    <w:p w14:paraId="536E946F" w14:textId="77777777" w:rsidR="00A75627" w:rsidRPr="001B4A02" w:rsidRDefault="00A75627" w:rsidP="00ED48A3">
      <w:pPr>
        <w:pStyle w:val="gtcbodytext"/>
        <w:spacing w:before="0" w:after="0" w:line="240" w:lineRule="auto"/>
        <w:rPr>
          <w:sz w:val="22"/>
          <w:szCs w:val="22"/>
          <w:lang w:val="cs-CZ"/>
        </w:rPr>
      </w:pPr>
    </w:p>
    <w:p w14:paraId="54415717" w14:textId="77777777" w:rsidR="00A75627" w:rsidRPr="001B4A02" w:rsidRDefault="00000000" w:rsidP="00ED48A3">
      <w:pPr>
        <w:pStyle w:val="gtctabletitleotherwise"/>
        <w:keepNext/>
        <w:spacing w:before="0"/>
        <w:rPr>
          <w:bCs w:val="0"/>
          <w:sz w:val="22"/>
          <w:szCs w:val="22"/>
          <w:lang w:val="cs-CZ"/>
        </w:rPr>
      </w:pPr>
      <w:r w:rsidRPr="001B4A02">
        <w:rPr>
          <w:bCs w:val="0"/>
          <w:sz w:val="22"/>
          <w:szCs w:val="22"/>
          <w:lang w:val="cs-CZ"/>
        </w:rPr>
        <w:t xml:space="preserve">Tabulka </w:t>
      </w:r>
      <w:r w:rsidR="002A0AEB">
        <w:rPr>
          <w:bCs w:val="0"/>
          <w:sz w:val="22"/>
          <w:szCs w:val="22"/>
          <w:lang w:val="cs-CZ"/>
        </w:rPr>
        <w:t>18</w:t>
      </w:r>
    </w:p>
    <w:p w14:paraId="69B6F55B" w14:textId="77777777" w:rsidR="00A75627" w:rsidRPr="001B4A02" w:rsidRDefault="00000000" w:rsidP="00ED48A3">
      <w:pPr>
        <w:pStyle w:val="gtctabletitleotherwise"/>
        <w:keepNext/>
        <w:spacing w:before="0"/>
        <w:rPr>
          <w:sz w:val="22"/>
          <w:szCs w:val="22"/>
          <w:lang w:val="cs-CZ"/>
        </w:rPr>
      </w:pPr>
      <w:r w:rsidRPr="001B4A02">
        <w:rPr>
          <w:bCs w:val="0"/>
          <w:sz w:val="22"/>
          <w:szCs w:val="22"/>
          <w:lang w:val="cs-CZ"/>
        </w:rPr>
        <w:t>Výsledky účinnosti v</w:t>
      </w:r>
      <w:r w:rsidR="00D41D1A" w:rsidRPr="001B4A02">
        <w:rPr>
          <w:bCs w:val="0"/>
          <w:sz w:val="22"/>
          <w:szCs w:val="22"/>
          <w:lang w:val="cs-CZ"/>
        </w:rPr>
        <w:t> </w:t>
      </w:r>
      <w:r w:rsidRPr="001B4A02">
        <w:rPr>
          <w:bCs w:val="0"/>
          <w:sz w:val="22"/>
          <w:szCs w:val="22"/>
          <w:lang w:val="cs-CZ"/>
        </w:rPr>
        <w:t>týdnech 16, 26</w:t>
      </w:r>
      <w:r w:rsidR="002378E0">
        <w:rPr>
          <w:bCs w:val="0"/>
          <w:sz w:val="22"/>
          <w:szCs w:val="22"/>
          <w:lang w:val="cs-CZ"/>
        </w:rPr>
        <w:t xml:space="preserve"> a </w:t>
      </w:r>
      <w:r w:rsidRPr="001B4A02">
        <w:rPr>
          <w:bCs w:val="0"/>
          <w:sz w:val="22"/>
          <w:szCs w:val="22"/>
          <w:lang w:val="cs-CZ"/>
        </w:rPr>
        <w:t>52</w:t>
      </w:r>
      <w:r w:rsidR="008A5E18" w:rsidRPr="001B4A02">
        <w:rPr>
          <w:bCs w:val="0"/>
          <w:sz w:val="22"/>
          <w:szCs w:val="22"/>
          <w:lang w:val="cs-CZ"/>
        </w:rPr>
        <w:t xml:space="preserve"> </w:t>
      </w:r>
      <w:r w:rsidRPr="001B4A02">
        <w:rPr>
          <w:bCs w:val="0"/>
          <w:sz w:val="22"/>
          <w:szCs w:val="22"/>
          <w:lang w:val="cs-CZ"/>
        </w:rPr>
        <w:t>u</w:t>
      </w:r>
      <w:r w:rsidR="008A5E18" w:rsidRPr="001B4A02">
        <w:rPr>
          <w:bCs w:val="0"/>
          <w:sz w:val="22"/>
          <w:szCs w:val="22"/>
          <w:lang w:val="cs-CZ"/>
        </w:rPr>
        <w:t> </w:t>
      </w:r>
      <w:r w:rsidRPr="001B4A02">
        <w:rPr>
          <w:bCs w:val="0"/>
          <w:sz w:val="22"/>
          <w:szCs w:val="22"/>
          <w:lang w:val="cs-CZ"/>
        </w:rPr>
        <w:t>psoriatické studie IV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992"/>
        <w:gridCol w:w="1418"/>
        <w:gridCol w:w="992"/>
        <w:gridCol w:w="1418"/>
        <w:gridCol w:w="1417"/>
      </w:tblGrid>
      <w:tr w:rsidR="00534A2D" w14:paraId="281C02BC" w14:textId="77777777" w:rsidTr="007C5EA6">
        <w:tc>
          <w:tcPr>
            <w:tcW w:w="3085" w:type="dxa"/>
            <w:vMerge w:val="restart"/>
            <w:shd w:val="clear" w:color="auto" w:fill="auto"/>
          </w:tcPr>
          <w:p w14:paraId="2AEF8265" w14:textId="77777777" w:rsidR="00A75627" w:rsidRPr="001B4A02" w:rsidRDefault="00000000" w:rsidP="00ED48A3">
            <w:pPr>
              <w:pStyle w:val="gtctablespaceafter"/>
              <w:keepNext/>
              <w:spacing w:after="0"/>
              <w:rPr>
                <w:sz w:val="22"/>
                <w:szCs w:val="22"/>
                <w:lang w:val="cs-CZ"/>
              </w:rPr>
            </w:pPr>
            <w:r w:rsidRPr="001B4A02">
              <w:rPr>
                <w:sz w:val="22"/>
                <w:szCs w:val="22"/>
                <w:lang w:val="cs-CZ"/>
              </w:rPr>
              <w:t>Primární cílový parametr</w:t>
            </w:r>
          </w:p>
        </w:tc>
        <w:tc>
          <w:tcPr>
            <w:tcW w:w="2410" w:type="dxa"/>
            <w:gridSpan w:val="2"/>
            <w:shd w:val="clear" w:color="auto" w:fill="auto"/>
          </w:tcPr>
          <w:p w14:paraId="416A2A78" w14:textId="77777777" w:rsidR="00A75627" w:rsidRPr="001B4A02" w:rsidRDefault="00000000" w:rsidP="00ED48A3">
            <w:pPr>
              <w:pStyle w:val="gtctablespaceafter"/>
              <w:keepNext/>
              <w:spacing w:after="0"/>
              <w:jc w:val="center"/>
              <w:rPr>
                <w:sz w:val="22"/>
                <w:szCs w:val="22"/>
                <w:lang w:val="cs-CZ"/>
              </w:rPr>
            </w:pPr>
            <w:r w:rsidRPr="001B4A02">
              <w:rPr>
                <w:sz w:val="22"/>
                <w:szCs w:val="22"/>
                <w:lang w:val="cs-CZ"/>
              </w:rPr>
              <w:t>Týden 16</w:t>
            </w:r>
          </w:p>
          <w:p w14:paraId="20EC05E7" w14:textId="77777777" w:rsidR="00A75627" w:rsidRPr="001B4A02" w:rsidRDefault="00000000" w:rsidP="00ED48A3">
            <w:pPr>
              <w:pStyle w:val="gtctablespaceafter"/>
              <w:keepNext/>
              <w:spacing w:after="0"/>
              <w:jc w:val="center"/>
              <w:rPr>
                <w:sz w:val="22"/>
                <w:szCs w:val="22"/>
                <w:lang w:val="cs-CZ"/>
              </w:rPr>
            </w:pPr>
            <w:r w:rsidRPr="001B4A02">
              <w:rPr>
                <w:sz w:val="22"/>
                <w:szCs w:val="22"/>
                <w:lang w:val="cs-CZ"/>
              </w:rPr>
              <w:t>Placebem kontrolovaná</w:t>
            </w:r>
          </w:p>
        </w:tc>
        <w:tc>
          <w:tcPr>
            <w:tcW w:w="2410" w:type="dxa"/>
            <w:gridSpan w:val="2"/>
            <w:shd w:val="clear" w:color="auto" w:fill="auto"/>
          </w:tcPr>
          <w:p w14:paraId="19AB2D43" w14:textId="77777777" w:rsidR="00A75627" w:rsidRPr="001B4A02" w:rsidRDefault="00000000" w:rsidP="00ED48A3">
            <w:pPr>
              <w:pStyle w:val="gtctablespaceafter"/>
              <w:keepNext/>
              <w:spacing w:after="0"/>
              <w:jc w:val="center"/>
              <w:rPr>
                <w:sz w:val="22"/>
                <w:szCs w:val="22"/>
                <w:lang w:val="cs-CZ"/>
              </w:rPr>
            </w:pPr>
            <w:r w:rsidRPr="001B4A02">
              <w:rPr>
                <w:sz w:val="22"/>
                <w:szCs w:val="22"/>
                <w:lang w:val="cs-CZ"/>
              </w:rPr>
              <w:t>Týden 26</w:t>
            </w:r>
          </w:p>
          <w:p w14:paraId="56F41B9C" w14:textId="77777777" w:rsidR="00A75627" w:rsidRPr="001B4A02" w:rsidRDefault="00000000" w:rsidP="00ED48A3">
            <w:pPr>
              <w:pStyle w:val="gtctablespaceafter"/>
              <w:keepNext/>
              <w:spacing w:after="0"/>
              <w:jc w:val="center"/>
              <w:rPr>
                <w:sz w:val="22"/>
                <w:szCs w:val="22"/>
                <w:lang w:val="cs-CZ"/>
              </w:rPr>
            </w:pPr>
            <w:r w:rsidRPr="001B4A02">
              <w:rPr>
                <w:sz w:val="22"/>
                <w:szCs w:val="22"/>
                <w:lang w:val="cs-CZ"/>
              </w:rPr>
              <w:t>Placebem kontrolovaná</w:t>
            </w:r>
          </w:p>
        </w:tc>
        <w:tc>
          <w:tcPr>
            <w:tcW w:w="1417" w:type="dxa"/>
            <w:shd w:val="clear" w:color="auto" w:fill="auto"/>
          </w:tcPr>
          <w:p w14:paraId="6DD41951" w14:textId="77777777" w:rsidR="00A75627" w:rsidRPr="001B4A02" w:rsidRDefault="00000000" w:rsidP="00ED48A3">
            <w:pPr>
              <w:pStyle w:val="gtctablespaceafter"/>
              <w:keepNext/>
              <w:spacing w:after="0"/>
              <w:jc w:val="center"/>
              <w:rPr>
                <w:sz w:val="22"/>
                <w:szCs w:val="22"/>
                <w:lang w:val="cs-CZ"/>
              </w:rPr>
            </w:pPr>
            <w:r w:rsidRPr="001B4A02">
              <w:rPr>
                <w:sz w:val="22"/>
                <w:szCs w:val="22"/>
                <w:lang w:val="cs-CZ"/>
              </w:rPr>
              <w:t>Týden 52</w:t>
            </w:r>
          </w:p>
          <w:p w14:paraId="7CDC3CF8" w14:textId="77777777" w:rsidR="00A75627" w:rsidRPr="001B4A02" w:rsidRDefault="00000000" w:rsidP="00ED48A3">
            <w:pPr>
              <w:pStyle w:val="gtctablespaceafter"/>
              <w:keepNext/>
              <w:spacing w:after="0"/>
              <w:jc w:val="center"/>
              <w:rPr>
                <w:sz w:val="22"/>
                <w:szCs w:val="22"/>
                <w:lang w:val="cs-CZ"/>
              </w:rPr>
            </w:pPr>
            <w:r w:rsidRPr="001B4A02">
              <w:rPr>
                <w:sz w:val="22"/>
                <w:szCs w:val="22"/>
                <w:lang w:val="cs-CZ"/>
              </w:rPr>
              <w:t>Otevřená</w:t>
            </w:r>
          </w:p>
        </w:tc>
      </w:tr>
      <w:tr w:rsidR="00534A2D" w14:paraId="01CDCEE0" w14:textId="77777777" w:rsidTr="007C5EA6">
        <w:tc>
          <w:tcPr>
            <w:tcW w:w="3085" w:type="dxa"/>
            <w:vMerge/>
            <w:shd w:val="clear" w:color="auto" w:fill="auto"/>
          </w:tcPr>
          <w:p w14:paraId="55A1BDE3" w14:textId="77777777" w:rsidR="00A75627" w:rsidRPr="001B4A02" w:rsidRDefault="00A75627" w:rsidP="00ED48A3">
            <w:pPr>
              <w:pStyle w:val="gtctablespaceafter"/>
              <w:keepNext/>
              <w:spacing w:after="0"/>
              <w:rPr>
                <w:sz w:val="22"/>
                <w:szCs w:val="22"/>
                <w:lang w:val="cs-CZ"/>
              </w:rPr>
            </w:pPr>
          </w:p>
        </w:tc>
        <w:tc>
          <w:tcPr>
            <w:tcW w:w="992" w:type="dxa"/>
            <w:shd w:val="clear" w:color="auto" w:fill="auto"/>
          </w:tcPr>
          <w:p w14:paraId="38FE9444" w14:textId="77777777" w:rsidR="00A75627" w:rsidRPr="001B4A02" w:rsidRDefault="00000000" w:rsidP="00ED48A3">
            <w:pPr>
              <w:pStyle w:val="gtctablespaceafter"/>
              <w:keepNext/>
              <w:spacing w:after="0"/>
              <w:jc w:val="center"/>
              <w:rPr>
                <w:sz w:val="22"/>
                <w:szCs w:val="22"/>
                <w:lang w:val="cs-CZ"/>
              </w:rPr>
            </w:pPr>
            <w:r w:rsidRPr="001B4A02">
              <w:rPr>
                <w:sz w:val="22"/>
                <w:lang w:val="cs-CZ"/>
              </w:rPr>
              <w:t>Placebo</w:t>
            </w:r>
            <w:r w:rsidRPr="001B4A02">
              <w:rPr>
                <w:sz w:val="22"/>
                <w:lang w:val="cs-CZ"/>
              </w:rPr>
              <w:br/>
            </w:r>
            <w:r w:rsidR="004E7C2A">
              <w:rPr>
                <w:sz w:val="22"/>
                <w:lang w:val="cs-CZ"/>
              </w:rPr>
              <w:t>n</w:t>
            </w:r>
            <w:r w:rsidRPr="001B4A02">
              <w:rPr>
                <w:sz w:val="22"/>
                <w:lang w:val="cs-CZ"/>
              </w:rPr>
              <w:t>=108</w:t>
            </w:r>
          </w:p>
        </w:tc>
        <w:tc>
          <w:tcPr>
            <w:tcW w:w="1418" w:type="dxa"/>
            <w:shd w:val="clear" w:color="auto" w:fill="auto"/>
          </w:tcPr>
          <w:p w14:paraId="198AD6A3" w14:textId="77777777" w:rsidR="00A75627" w:rsidRPr="001B4A02" w:rsidRDefault="00000000" w:rsidP="00ED48A3">
            <w:pPr>
              <w:pStyle w:val="In-texttable"/>
              <w:spacing w:line="240" w:lineRule="auto"/>
              <w:jc w:val="center"/>
              <w:rPr>
                <w:rFonts w:ascii="Times New Roman" w:hAnsi="Times New Roman"/>
                <w:sz w:val="22"/>
                <w:lang w:val="cs-CZ"/>
              </w:rPr>
            </w:pPr>
            <w:r w:rsidRPr="001B4A02">
              <w:rPr>
                <w:rFonts w:ascii="Times New Roman" w:hAnsi="Times New Roman"/>
                <w:sz w:val="22"/>
                <w:lang w:val="cs-CZ"/>
              </w:rPr>
              <w:t>Humira</w:t>
            </w:r>
          </w:p>
          <w:p w14:paraId="7E58EE32" w14:textId="77777777" w:rsidR="00A75627" w:rsidRPr="001B4A02" w:rsidRDefault="00000000" w:rsidP="00ED48A3">
            <w:pPr>
              <w:pStyle w:val="gtctablespaceafter"/>
              <w:keepNext/>
              <w:spacing w:after="0"/>
              <w:jc w:val="center"/>
              <w:rPr>
                <w:sz w:val="22"/>
                <w:szCs w:val="22"/>
                <w:lang w:val="cs-CZ"/>
              </w:rPr>
            </w:pPr>
            <w:r w:rsidRPr="001B4A02">
              <w:rPr>
                <w:sz w:val="22"/>
                <w:lang w:val="cs-CZ"/>
              </w:rPr>
              <w:t xml:space="preserve">40 mg každý druhý týden </w:t>
            </w:r>
            <w:r w:rsidRPr="001B4A02">
              <w:rPr>
                <w:sz w:val="22"/>
                <w:lang w:val="cs-CZ"/>
              </w:rPr>
              <w:br/>
            </w:r>
            <w:r w:rsidR="004E7C2A">
              <w:rPr>
                <w:sz w:val="22"/>
                <w:lang w:val="cs-CZ"/>
              </w:rPr>
              <w:t>n</w:t>
            </w:r>
            <w:r w:rsidRPr="001B4A02">
              <w:rPr>
                <w:sz w:val="22"/>
                <w:lang w:val="cs-CZ"/>
              </w:rPr>
              <w:t>=109</w:t>
            </w:r>
          </w:p>
        </w:tc>
        <w:tc>
          <w:tcPr>
            <w:tcW w:w="992" w:type="dxa"/>
            <w:shd w:val="clear" w:color="auto" w:fill="auto"/>
          </w:tcPr>
          <w:p w14:paraId="34B70334" w14:textId="77777777" w:rsidR="00A75627" w:rsidRPr="001B4A02" w:rsidRDefault="00000000" w:rsidP="00ED48A3">
            <w:pPr>
              <w:pStyle w:val="gtctablespaceafter"/>
              <w:keepNext/>
              <w:spacing w:after="0"/>
              <w:jc w:val="center"/>
              <w:rPr>
                <w:sz w:val="22"/>
                <w:szCs w:val="22"/>
                <w:lang w:val="cs-CZ"/>
              </w:rPr>
            </w:pPr>
            <w:r w:rsidRPr="001B4A02">
              <w:rPr>
                <w:sz w:val="22"/>
                <w:lang w:val="cs-CZ"/>
              </w:rPr>
              <w:t>Placebo</w:t>
            </w:r>
            <w:r w:rsidRPr="001B4A02">
              <w:rPr>
                <w:sz w:val="22"/>
                <w:lang w:val="cs-CZ"/>
              </w:rPr>
              <w:br/>
            </w:r>
            <w:r w:rsidR="004E7C2A">
              <w:rPr>
                <w:sz w:val="22"/>
                <w:lang w:val="cs-CZ"/>
              </w:rPr>
              <w:t>n</w:t>
            </w:r>
            <w:r w:rsidRPr="001B4A02">
              <w:rPr>
                <w:sz w:val="22"/>
                <w:lang w:val="cs-CZ"/>
              </w:rPr>
              <w:t>=108</w:t>
            </w:r>
          </w:p>
        </w:tc>
        <w:tc>
          <w:tcPr>
            <w:tcW w:w="1418" w:type="dxa"/>
            <w:shd w:val="clear" w:color="auto" w:fill="auto"/>
          </w:tcPr>
          <w:p w14:paraId="6C02B249" w14:textId="77777777" w:rsidR="00A75627" w:rsidRPr="001B4A02" w:rsidRDefault="00000000" w:rsidP="00ED48A3">
            <w:pPr>
              <w:pStyle w:val="In-texttable"/>
              <w:spacing w:line="240" w:lineRule="auto"/>
              <w:jc w:val="center"/>
              <w:rPr>
                <w:rFonts w:ascii="Times New Roman" w:hAnsi="Times New Roman"/>
                <w:sz w:val="22"/>
                <w:lang w:val="cs-CZ"/>
              </w:rPr>
            </w:pPr>
            <w:r w:rsidRPr="001B4A02">
              <w:rPr>
                <w:rFonts w:ascii="Times New Roman" w:hAnsi="Times New Roman"/>
                <w:sz w:val="22"/>
                <w:lang w:val="cs-CZ"/>
              </w:rPr>
              <w:t>Humira</w:t>
            </w:r>
          </w:p>
          <w:p w14:paraId="3E7E96E7" w14:textId="77777777" w:rsidR="00A75627" w:rsidRPr="001B4A02" w:rsidRDefault="00000000" w:rsidP="00ED48A3">
            <w:pPr>
              <w:pStyle w:val="gtctablespaceafter"/>
              <w:keepNext/>
              <w:spacing w:after="0"/>
              <w:jc w:val="center"/>
              <w:rPr>
                <w:sz w:val="22"/>
                <w:szCs w:val="22"/>
                <w:lang w:val="cs-CZ"/>
              </w:rPr>
            </w:pPr>
            <w:r w:rsidRPr="001B4A02">
              <w:rPr>
                <w:sz w:val="22"/>
                <w:lang w:val="cs-CZ"/>
              </w:rPr>
              <w:t xml:space="preserve">40 mg každý druhý týden </w:t>
            </w:r>
            <w:r w:rsidRPr="001B4A02">
              <w:rPr>
                <w:sz w:val="22"/>
                <w:lang w:val="cs-CZ"/>
              </w:rPr>
              <w:br/>
            </w:r>
            <w:r w:rsidR="004E7C2A">
              <w:rPr>
                <w:sz w:val="22"/>
                <w:lang w:val="cs-CZ"/>
              </w:rPr>
              <w:t>n</w:t>
            </w:r>
            <w:r w:rsidRPr="001B4A02">
              <w:rPr>
                <w:sz w:val="22"/>
                <w:lang w:val="cs-CZ"/>
              </w:rPr>
              <w:t>=109</w:t>
            </w:r>
          </w:p>
        </w:tc>
        <w:tc>
          <w:tcPr>
            <w:tcW w:w="1417" w:type="dxa"/>
            <w:shd w:val="clear" w:color="auto" w:fill="auto"/>
          </w:tcPr>
          <w:p w14:paraId="196FE37A" w14:textId="77777777" w:rsidR="00A75627" w:rsidRPr="001B4A02" w:rsidRDefault="00000000" w:rsidP="00ED48A3">
            <w:pPr>
              <w:pStyle w:val="In-texttable"/>
              <w:spacing w:line="240" w:lineRule="auto"/>
              <w:jc w:val="center"/>
              <w:rPr>
                <w:rFonts w:ascii="Times New Roman" w:hAnsi="Times New Roman"/>
                <w:sz w:val="22"/>
                <w:lang w:val="cs-CZ"/>
              </w:rPr>
            </w:pPr>
            <w:r w:rsidRPr="001B4A02">
              <w:rPr>
                <w:rFonts w:ascii="Times New Roman" w:hAnsi="Times New Roman"/>
                <w:sz w:val="22"/>
                <w:lang w:val="cs-CZ"/>
              </w:rPr>
              <w:t>Humira</w:t>
            </w:r>
          </w:p>
          <w:p w14:paraId="747684B3" w14:textId="77777777" w:rsidR="00A75627" w:rsidRPr="001B4A02" w:rsidRDefault="00000000" w:rsidP="00ED48A3">
            <w:pPr>
              <w:pStyle w:val="gtctablespaceafter"/>
              <w:keepNext/>
              <w:spacing w:after="0"/>
              <w:jc w:val="center"/>
              <w:rPr>
                <w:sz w:val="22"/>
                <w:szCs w:val="22"/>
                <w:lang w:val="cs-CZ"/>
              </w:rPr>
            </w:pPr>
            <w:r w:rsidRPr="001B4A02">
              <w:rPr>
                <w:sz w:val="22"/>
                <w:lang w:val="cs-CZ"/>
              </w:rPr>
              <w:t xml:space="preserve">40 mg každý druhý týden </w:t>
            </w:r>
            <w:r w:rsidRPr="001B4A02">
              <w:rPr>
                <w:sz w:val="22"/>
                <w:lang w:val="cs-CZ"/>
              </w:rPr>
              <w:br/>
            </w:r>
            <w:r w:rsidR="004E7C2A">
              <w:rPr>
                <w:sz w:val="22"/>
                <w:lang w:val="cs-CZ"/>
              </w:rPr>
              <w:t>n</w:t>
            </w:r>
            <w:r w:rsidRPr="001B4A02">
              <w:rPr>
                <w:sz w:val="22"/>
                <w:lang w:val="cs-CZ"/>
              </w:rPr>
              <w:t>=80</w:t>
            </w:r>
          </w:p>
        </w:tc>
      </w:tr>
      <w:tr w:rsidR="00534A2D" w14:paraId="6702A6D6" w14:textId="77777777" w:rsidTr="007C5EA6">
        <w:tc>
          <w:tcPr>
            <w:tcW w:w="3085" w:type="dxa"/>
            <w:shd w:val="clear" w:color="auto" w:fill="auto"/>
          </w:tcPr>
          <w:p w14:paraId="4F8626FD" w14:textId="77777777" w:rsidR="00A75627" w:rsidRPr="001B4A02" w:rsidRDefault="00000000" w:rsidP="00ED48A3">
            <w:pPr>
              <w:pStyle w:val="gtctablespaceafter"/>
              <w:keepNext/>
              <w:spacing w:after="0"/>
              <w:rPr>
                <w:sz w:val="22"/>
                <w:szCs w:val="22"/>
                <w:lang w:val="cs-CZ"/>
              </w:rPr>
            </w:pPr>
            <w:r w:rsidRPr="001B4A02">
              <w:rPr>
                <w:sz w:val="22"/>
                <w:lang w:val="cs-CZ"/>
              </w:rPr>
              <w:t>≥ mNAPSI 75 (%)</w:t>
            </w:r>
          </w:p>
        </w:tc>
        <w:tc>
          <w:tcPr>
            <w:tcW w:w="992" w:type="dxa"/>
            <w:shd w:val="clear" w:color="auto" w:fill="auto"/>
          </w:tcPr>
          <w:p w14:paraId="689299EB" w14:textId="77777777" w:rsidR="00A75627" w:rsidRPr="001B4A02" w:rsidRDefault="00000000" w:rsidP="00ED48A3">
            <w:pPr>
              <w:pStyle w:val="gtctablespaceafter"/>
              <w:keepNext/>
              <w:spacing w:after="0"/>
              <w:jc w:val="center"/>
              <w:rPr>
                <w:sz w:val="22"/>
                <w:szCs w:val="22"/>
                <w:lang w:val="cs-CZ"/>
              </w:rPr>
            </w:pPr>
            <w:r w:rsidRPr="001B4A02">
              <w:rPr>
                <w:sz w:val="22"/>
                <w:szCs w:val="22"/>
                <w:lang w:val="cs-CZ"/>
              </w:rPr>
              <w:t>2,9</w:t>
            </w:r>
          </w:p>
        </w:tc>
        <w:tc>
          <w:tcPr>
            <w:tcW w:w="1418" w:type="dxa"/>
            <w:shd w:val="clear" w:color="auto" w:fill="auto"/>
          </w:tcPr>
          <w:p w14:paraId="5B27AD54" w14:textId="77777777" w:rsidR="00A75627" w:rsidRPr="001B4A02" w:rsidRDefault="00000000" w:rsidP="00ED48A3">
            <w:pPr>
              <w:pStyle w:val="gtctablespaceafter"/>
              <w:keepNext/>
              <w:spacing w:after="0"/>
              <w:jc w:val="center"/>
              <w:rPr>
                <w:sz w:val="22"/>
                <w:szCs w:val="22"/>
                <w:lang w:val="cs-CZ"/>
              </w:rPr>
            </w:pPr>
            <w:r w:rsidRPr="001B4A02">
              <w:rPr>
                <w:sz w:val="22"/>
                <w:szCs w:val="22"/>
                <w:lang w:val="cs-CZ"/>
              </w:rPr>
              <w:t>26,0</w:t>
            </w:r>
            <w:r w:rsidRPr="001B4A02">
              <w:rPr>
                <w:sz w:val="22"/>
                <w:szCs w:val="22"/>
                <w:vertAlign w:val="superscript"/>
                <w:lang w:val="cs-CZ"/>
              </w:rPr>
              <w:t>a</w:t>
            </w:r>
          </w:p>
        </w:tc>
        <w:tc>
          <w:tcPr>
            <w:tcW w:w="992" w:type="dxa"/>
            <w:shd w:val="clear" w:color="auto" w:fill="auto"/>
          </w:tcPr>
          <w:p w14:paraId="1C314B01" w14:textId="77777777" w:rsidR="00A75627" w:rsidRPr="001B4A02" w:rsidRDefault="00000000" w:rsidP="00ED48A3">
            <w:pPr>
              <w:keepNext/>
              <w:jc w:val="center"/>
              <w:rPr>
                <w:szCs w:val="22"/>
              </w:rPr>
            </w:pPr>
            <w:r w:rsidRPr="001B4A02">
              <w:rPr>
                <w:szCs w:val="22"/>
              </w:rPr>
              <w:t>3,4</w:t>
            </w:r>
          </w:p>
        </w:tc>
        <w:tc>
          <w:tcPr>
            <w:tcW w:w="1418" w:type="dxa"/>
            <w:shd w:val="clear" w:color="auto" w:fill="auto"/>
          </w:tcPr>
          <w:p w14:paraId="2A1736E3" w14:textId="77777777" w:rsidR="00A75627" w:rsidRPr="001B4A02" w:rsidRDefault="00000000" w:rsidP="00ED48A3">
            <w:pPr>
              <w:keepNext/>
              <w:jc w:val="center"/>
              <w:rPr>
                <w:szCs w:val="22"/>
              </w:rPr>
            </w:pPr>
            <w:r w:rsidRPr="001B4A02">
              <w:rPr>
                <w:szCs w:val="22"/>
              </w:rPr>
              <w:t>46,6</w:t>
            </w:r>
            <w:r w:rsidRPr="001B4A02">
              <w:rPr>
                <w:szCs w:val="22"/>
                <w:vertAlign w:val="superscript"/>
              </w:rPr>
              <w:t>a</w:t>
            </w:r>
          </w:p>
        </w:tc>
        <w:tc>
          <w:tcPr>
            <w:tcW w:w="1417" w:type="dxa"/>
            <w:shd w:val="clear" w:color="auto" w:fill="auto"/>
          </w:tcPr>
          <w:p w14:paraId="57A16DEB" w14:textId="77777777" w:rsidR="00A75627" w:rsidRPr="001B4A02" w:rsidRDefault="00000000" w:rsidP="00ED48A3">
            <w:pPr>
              <w:pStyle w:val="gtctablespaceafter"/>
              <w:keepNext/>
              <w:spacing w:after="0"/>
              <w:jc w:val="center"/>
              <w:rPr>
                <w:sz w:val="22"/>
                <w:szCs w:val="22"/>
                <w:lang w:val="cs-CZ"/>
              </w:rPr>
            </w:pPr>
            <w:r w:rsidRPr="001B4A02">
              <w:rPr>
                <w:sz w:val="22"/>
                <w:szCs w:val="22"/>
                <w:lang w:val="cs-CZ"/>
              </w:rPr>
              <w:t>65,0</w:t>
            </w:r>
          </w:p>
        </w:tc>
      </w:tr>
      <w:tr w:rsidR="00534A2D" w14:paraId="2EED684C" w14:textId="77777777" w:rsidTr="007C5EA6">
        <w:tc>
          <w:tcPr>
            <w:tcW w:w="3085" w:type="dxa"/>
            <w:shd w:val="clear" w:color="auto" w:fill="auto"/>
          </w:tcPr>
          <w:p w14:paraId="6BC7511B" w14:textId="77777777" w:rsidR="00A75627" w:rsidRPr="001B4A02" w:rsidRDefault="00000000" w:rsidP="00ED48A3">
            <w:pPr>
              <w:pStyle w:val="gtctablespaceafter"/>
              <w:keepNext/>
              <w:spacing w:after="0"/>
              <w:rPr>
                <w:sz w:val="22"/>
                <w:szCs w:val="22"/>
                <w:lang w:val="cs-CZ"/>
              </w:rPr>
            </w:pPr>
            <w:r w:rsidRPr="001B4A02">
              <w:rPr>
                <w:sz w:val="22"/>
                <w:szCs w:val="22"/>
                <w:lang w:val="cs-CZ"/>
              </w:rPr>
              <w:t>PGA-F čistý/minimální</w:t>
            </w:r>
            <w:r w:rsidR="002378E0">
              <w:rPr>
                <w:sz w:val="22"/>
                <w:szCs w:val="22"/>
                <w:lang w:val="cs-CZ"/>
              </w:rPr>
              <w:t xml:space="preserve"> a </w:t>
            </w:r>
            <w:r w:rsidRPr="001B4A02">
              <w:rPr>
                <w:sz w:val="22"/>
                <w:szCs w:val="22"/>
                <w:lang w:val="cs-CZ"/>
              </w:rPr>
              <w:t>≥</w:t>
            </w:r>
            <w:r w:rsidR="008E5C77" w:rsidRPr="001B4A02">
              <w:rPr>
                <w:sz w:val="22"/>
                <w:szCs w:val="22"/>
                <w:lang w:val="cs-CZ"/>
              </w:rPr>
              <w:t> </w:t>
            </w:r>
            <w:r w:rsidRPr="001B4A02">
              <w:rPr>
                <w:sz w:val="22"/>
                <w:szCs w:val="22"/>
                <w:lang w:val="cs-CZ"/>
              </w:rPr>
              <w:t>2stupňové zlepšení (%)</w:t>
            </w:r>
          </w:p>
        </w:tc>
        <w:tc>
          <w:tcPr>
            <w:tcW w:w="992" w:type="dxa"/>
            <w:shd w:val="clear" w:color="auto" w:fill="auto"/>
          </w:tcPr>
          <w:p w14:paraId="587F7231" w14:textId="77777777" w:rsidR="00A75627" w:rsidRPr="001B4A02" w:rsidRDefault="00000000" w:rsidP="00ED48A3">
            <w:pPr>
              <w:pStyle w:val="gtctablespaceafter"/>
              <w:keepNext/>
              <w:spacing w:after="0"/>
              <w:jc w:val="center"/>
              <w:rPr>
                <w:sz w:val="22"/>
                <w:szCs w:val="22"/>
                <w:lang w:val="cs-CZ"/>
              </w:rPr>
            </w:pPr>
            <w:r w:rsidRPr="001B4A02">
              <w:rPr>
                <w:sz w:val="22"/>
                <w:szCs w:val="22"/>
                <w:lang w:val="cs-CZ"/>
              </w:rPr>
              <w:t>2,9</w:t>
            </w:r>
          </w:p>
        </w:tc>
        <w:tc>
          <w:tcPr>
            <w:tcW w:w="1418" w:type="dxa"/>
            <w:shd w:val="clear" w:color="auto" w:fill="auto"/>
          </w:tcPr>
          <w:p w14:paraId="2C4CA588" w14:textId="77777777" w:rsidR="00A75627" w:rsidRPr="001B4A02" w:rsidRDefault="00000000" w:rsidP="00ED48A3">
            <w:pPr>
              <w:pStyle w:val="gtctablespaceafter"/>
              <w:keepNext/>
              <w:spacing w:after="0"/>
              <w:jc w:val="center"/>
              <w:rPr>
                <w:sz w:val="22"/>
                <w:szCs w:val="22"/>
                <w:lang w:val="cs-CZ"/>
              </w:rPr>
            </w:pPr>
            <w:r w:rsidRPr="001B4A02">
              <w:rPr>
                <w:sz w:val="22"/>
                <w:szCs w:val="22"/>
                <w:lang w:val="cs-CZ"/>
              </w:rPr>
              <w:t>29,7</w:t>
            </w:r>
            <w:r w:rsidRPr="001B4A02">
              <w:rPr>
                <w:sz w:val="22"/>
                <w:szCs w:val="22"/>
                <w:vertAlign w:val="superscript"/>
                <w:lang w:val="cs-CZ"/>
              </w:rPr>
              <w:t>a</w:t>
            </w:r>
          </w:p>
        </w:tc>
        <w:tc>
          <w:tcPr>
            <w:tcW w:w="992" w:type="dxa"/>
            <w:shd w:val="clear" w:color="auto" w:fill="auto"/>
          </w:tcPr>
          <w:p w14:paraId="1377232F" w14:textId="77777777" w:rsidR="00A75627" w:rsidRPr="001B4A02" w:rsidRDefault="00000000" w:rsidP="00ED48A3">
            <w:pPr>
              <w:keepNext/>
              <w:jc w:val="center"/>
              <w:rPr>
                <w:szCs w:val="22"/>
              </w:rPr>
            </w:pPr>
            <w:r w:rsidRPr="001B4A02">
              <w:rPr>
                <w:szCs w:val="22"/>
              </w:rPr>
              <w:t>6,9</w:t>
            </w:r>
          </w:p>
        </w:tc>
        <w:tc>
          <w:tcPr>
            <w:tcW w:w="1418" w:type="dxa"/>
            <w:shd w:val="clear" w:color="auto" w:fill="auto"/>
          </w:tcPr>
          <w:p w14:paraId="5C8D6E35" w14:textId="77777777" w:rsidR="00A75627" w:rsidRPr="001B4A02" w:rsidRDefault="00000000" w:rsidP="00ED48A3">
            <w:pPr>
              <w:keepNext/>
              <w:jc w:val="center"/>
              <w:rPr>
                <w:szCs w:val="22"/>
              </w:rPr>
            </w:pPr>
            <w:r w:rsidRPr="001B4A02">
              <w:rPr>
                <w:szCs w:val="22"/>
              </w:rPr>
              <w:t>48,9</w:t>
            </w:r>
            <w:r w:rsidRPr="001B4A02">
              <w:rPr>
                <w:szCs w:val="22"/>
                <w:vertAlign w:val="superscript"/>
              </w:rPr>
              <w:t>a</w:t>
            </w:r>
          </w:p>
        </w:tc>
        <w:tc>
          <w:tcPr>
            <w:tcW w:w="1417" w:type="dxa"/>
            <w:shd w:val="clear" w:color="auto" w:fill="auto"/>
          </w:tcPr>
          <w:p w14:paraId="38C9C092" w14:textId="77777777" w:rsidR="00A75627" w:rsidRPr="001B4A02" w:rsidRDefault="00000000" w:rsidP="00ED48A3">
            <w:pPr>
              <w:pStyle w:val="gtctablespaceafter"/>
              <w:keepNext/>
              <w:spacing w:after="0"/>
              <w:jc w:val="center"/>
              <w:rPr>
                <w:sz w:val="22"/>
                <w:szCs w:val="22"/>
                <w:lang w:val="cs-CZ"/>
              </w:rPr>
            </w:pPr>
            <w:r w:rsidRPr="001B4A02">
              <w:rPr>
                <w:sz w:val="22"/>
                <w:szCs w:val="22"/>
                <w:lang w:val="cs-CZ"/>
              </w:rPr>
              <w:t>61,3</w:t>
            </w:r>
          </w:p>
        </w:tc>
      </w:tr>
      <w:tr w:rsidR="00534A2D" w14:paraId="3EACEBAD" w14:textId="77777777" w:rsidTr="007C5EA6">
        <w:tc>
          <w:tcPr>
            <w:tcW w:w="3085" w:type="dxa"/>
            <w:shd w:val="clear" w:color="auto" w:fill="auto"/>
          </w:tcPr>
          <w:p w14:paraId="64C6FB7B" w14:textId="77777777" w:rsidR="00A75627" w:rsidRPr="001B4A02" w:rsidRDefault="00000000" w:rsidP="00ED48A3">
            <w:pPr>
              <w:pStyle w:val="gtctablespaceafter"/>
              <w:keepNext/>
              <w:spacing w:after="0"/>
              <w:rPr>
                <w:sz w:val="22"/>
                <w:szCs w:val="22"/>
                <w:lang w:val="cs-CZ"/>
              </w:rPr>
            </w:pPr>
            <w:r w:rsidRPr="001B4A02">
              <w:rPr>
                <w:sz w:val="22"/>
                <w:szCs w:val="22"/>
                <w:lang w:val="cs-CZ"/>
              </w:rPr>
              <w:t>Procentuální změna v</w:t>
            </w:r>
            <w:r w:rsidR="00D41D1A" w:rsidRPr="001B4A02">
              <w:rPr>
                <w:sz w:val="22"/>
                <w:szCs w:val="22"/>
                <w:lang w:val="cs-CZ"/>
              </w:rPr>
              <w:t> </w:t>
            </w:r>
            <w:r w:rsidRPr="001B4A02">
              <w:rPr>
                <w:sz w:val="22"/>
                <w:szCs w:val="22"/>
                <w:lang w:val="cs-CZ"/>
              </w:rPr>
              <w:t>celkovém NAPSI nehtů (%)</w:t>
            </w:r>
          </w:p>
        </w:tc>
        <w:tc>
          <w:tcPr>
            <w:tcW w:w="992" w:type="dxa"/>
            <w:shd w:val="clear" w:color="auto" w:fill="auto"/>
          </w:tcPr>
          <w:p w14:paraId="40AA8FA6" w14:textId="77777777" w:rsidR="00A75627" w:rsidRPr="001B4A02" w:rsidRDefault="00000000" w:rsidP="00ED48A3">
            <w:pPr>
              <w:pStyle w:val="gtctablespaceafter"/>
              <w:keepNext/>
              <w:spacing w:after="0"/>
              <w:jc w:val="center"/>
              <w:rPr>
                <w:sz w:val="22"/>
                <w:szCs w:val="22"/>
                <w:lang w:val="cs-CZ"/>
              </w:rPr>
            </w:pPr>
            <w:r w:rsidRPr="001B4A02">
              <w:rPr>
                <w:sz w:val="22"/>
                <w:szCs w:val="22"/>
                <w:lang w:val="cs-CZ"/>
              </w:rPr>
              <w:t>-7,8</w:t>
            </w:r>
          </w:p>
        </w:tc>
        <w:tc>
          <w:tcPr>
            <w:tcW w:w="1418" w:type="dxa"/>
            <w:shd w:val="clear" w:color="auto" w:fill="auto"/>
          </w:tcPr>
          <w:p w14:paraId="6A55B7B5" w14:textId="77777777" w:rsidR="00A75627" w:rsidRPr="001B4A02" w:rsidRDefault="00000000" w:rsidP="00ED48A3">
            <w:pPr>
              <w:pStyle w:val="gtctablespaceafter"/>
              <w:keepNext/>
              <w:spacing w:after="0"/>
              <w:jc w:val="center"/>
              <w:rPr>
                <w:sz w:val="22"/>
                <w:szCs w:val="22"/>
                <w:lang w:val="cs-CZ"/>
              </w:rPr>
            </w:pPr>
            <w:r w:rsidRPr="001B4A02">
              <w:rPr>
                <w:sz w:val="22"/>
                <w:szCs w:val="22"/>
                <w:lang w:val="cs-CZ"/>
              </w:rPr>
              <w:t>-44,2</w:t>
            </w:r>
            <w:r w:rsidRPr="001B4A02">
              <w:rPr>
                <w:sz w:val="22"/>
                <w:szCs w:val="22"/>
                <w:vertAlign w:val="superscript"/>
                <w:lang w:val="cs-CZ"/>
              </w:rPr>
              <w:t xml:space="preserve"> a</w:t>
            </w:r>
          </w:p>
        </w:tc>
        <w:tc>
          <w:tcPr>
            <w:tcW w:w="992" w:type="dxa"/>
            <w:shd w:val="clear" w:color="auto" w:fill="auto"/>
          </w:tcPr>
          <w:p w14:paraId="757583E0" w14:textId="77777777" w:rsidR="00A75627" w:rsidRPr="001B4A02" w:rsidRDefault="00000000" w:rsidP="00ED48A3">
            <w:pPr>
              <w:keepNext/>
              <w:jc w:val="center"/>
              <w:rPr>
                <w:szCs w:val="22"/>
              </w:rPr>
            </w:pPr>
            <w:r w:rsidRPr="001B4A02">
              <w:rPr>
                <w:szCs w:val="22"/>
              </w:rPr>
              <w:t>-11,5</w:t>
            </w:r>
          </w:p>
        </w:tc>
        <w:tc>
          <w:tcPr>
            <w:tcW w:w="1418" w:type="dxa"/>
            <w:shd w:val="clear" w:color="auto" w:fill="auto"/>
          </w:tcPr>
          <w:p w14:paraId="38512282" w14:textId="77777777" w:rsidR="00A75627" w:rsidRPr="001B4A02" w:rsidRDefault="00000000" w:rsidP="00ED48A3">
            <w:pPr>
              <w:keepNext/>
              <w:jc w:val="center"/>
              <w:rPr>
                <w:szCs w:val="22"/>
              </w:rPr>
            </w:pPr>
            <w:r w:rsidRPr="001B4A02">
              <w:rPr>
                <w:szCs w:val="22"/>
              </w:rPr>
              <w:t>-56,2</w:t>
            </w:r>
            <w:r w:rsidRPr="001B4A02">
              <w:rPr>
                <w:szCs w:val="22"/>
                <w:vertAlign w:val="superscript"/>
              </w:rPr>
              <w:t>a</w:t>
            </w:r>
          </w:p>
        </w:tc>
        <w:tc>
          <w:tcPr>
            <w:tcW w:w="1417" w:type="dxa"/>
            <w:shd w:val="clear" w:color="auto" w:fill="auto"/>
          </w:tcPr>
          <w:p w14:paraId="1BA5B211" w14:textId="77777777" w:rsidR="00A75627" w:rsidRPr="001B4A02" w:rsidRDefault="00000000" w:rsidP="00ED48A3">
            <w:pPr>
              <w:pStyle w:val="gtctablespaceafter"/>
              <w:keepNext/>
              <w:spacing w:after="0"/>
              <w:jc w:val="center"/>
              <w:rPr>
                <w:sz w:val="22"/>
                <w:szCs w:val="22"/>
                <w:lang w:val="cs-CZ"/>
              </w:rPr>
            </w:pPr>
            <w:r w:rsidRPr="001B4A02">
              <w:rPr>
                <w:sz w:val="22"/>
                <w:szCs w:val="22"/>
                <w:lang w:val="cs-CZ"/>
              </w:rPr>
              <w:t>-72,2</w:t>
            </w:r>
          </w:p>
        </w:tc>
      </w:tr>
      <w:tr w:rsidR="00534A2D" w14:paraId="6C1E770A" w14:textId="77777777" w:rsidTr="008D783A">
        <w:tc>
          <w:tcPr>
            <w:tcW w:w="9322" w:type="dxa"/>
            <w:gridSpan w:val="6"/>
            <w:shd w:val="clear" w:color="auto" w:fill="auto"/>
          </w:tcPr>
          <w:p w14:paraId="0ADA19DA" w14:textId="77777777" w:rsidR="00A75627" w:rsidRPr="001B4A02" w:rsidRDefault="00000000" w:rsidP="004C58C9">
            <w:pPr>
              <w:pStyle w:val="gtctablespaceafter"/>
              <w:keepNext/>
              <w:spacing w:after="0"/>
              <w:rPr>
                <w:sz w:val="22"/>
                <w:szCs w:val="22"/>
                <w:lang w:val="cs-CZ"/>
              </w:rPr>
            </w:pPr>
            <w:r w:rsidRPr="001B4A02">
              <w:rPr>
                <w:sz w:val="22"/>
                <w:szCs w:val="22"/>
                <w:vertAlign w:val="superscript"/>
                <w:lang w:val="cs-CZ"/>
              </w:rPr>
              <w:t>a</w:t>
            </w:r>
            <w:r w:rsidRPr="001B4A02">
              <w:rPr>
                <w:sz w:val="22"/>
                <w:szCs w:val="22"/>
                <w:lang w:val="cs-CZ"/>
              </w:rPr>
              <w:t xml:space="preserve"> p&lt;0,001, </w:t>
            </w:r>
            <w:r w:rsidR="004C58C9" w:rsidRPr="001B4A02">
              <w:rPr>
                <w:sz w:val="22"/>
                <w:szCs w:val="22"/>
                <w:lang w:val="cs-CZ"/>
              </w:rPr>
              <w:t>p</w:t>
            </w:r>
            <w:r w:rsidR="00F67928" w:rsidRPr="001B4A02">
              <w:rPr>
                <w:sz w:val="22"/>
                <w:szCs w:val="22"/>
                <w:lang w:val="cs-CZ"/>
              </w:rPr>
              <w:t xml:space="preserve">řípravek </w:t>
            </w:r>
            <w:r w:rsidRPr="001B4A02">
              <w:rPr>
                <w:sz w:val="22"/>
                <w:szCs w:val="22"/>
                <w:lang w:val="cs-CZ"/>
              </w:rPr>
              <w:t xml:space="preserve">Humira vs. placebo </w:t>
            </w:r>
          </w:p>
        </w:tc>
      </w:tr>
    </w:tbl>
    <w:p w14:paraId="67C9B956" w14:textId="77777777" w:rsidR="00A75627" w:rsidRPr="001B4A02" w:rsidRDefault="00A75627" w:rsidP="00ED48A3"/>
    <w:p w14:paraId="40D7F813" w14:textId="77777777" w:rsidR="00A75627" w:rsidRPr="001B4A02" w:rsidRDefault="00000000" w:rsidP="00ED48A3">
      <w:pPr>
        <w:ind w:left="0" w:firstLine="0"/>
      </w:pPr>
      <w:r w:rsidRPr="001B4A02">
        <w:t>U pacientů léčených přípravkem Humira bylo prokázáno statisticky významné zlepšení v</w:t>
      </w:r>
      <w:r w:rsidR="00D41D1A" w:rsidRPr="001B4A02">
        <w:t> </w:t>
      </w:r>
      <w:r w:rsidRPr="001B4A02">
        <w:t>týdnu 26 ve srovnání s</w:t>
      </w:r>
      <w:r w:rsidR="00463AD9" w:rsidRPr="001B4A02">
        <w:t> </w:t>
      </w:r>
      <w:r w:rsidRPr="001B4A02">
        <w:t>placebem v</w:t>
      </w:r>
      <w:r w:rsidR="00463AD9" w:rsidRPr="001B4A02">
        <w:t> </w:t>
      </w:r>
      <w:r w:rsidRPr="001B4A02">
        <w:t>DLQI.</w:t>
      </w:r>
    </w:p>
    <w:p w14:paraId="3854D6F5" w14:textId="77777777" w:rsidR="00A75627" w:rsidRPr="001B4A02" w:rsidRDefault="00A75627" w:rsidP="00ED48A3">
      <w:pPr>
        <w:ind w:left="0" w:firstLine="0"/>
      </w:pPr>
    </w:p>
    <w:p w14:paraId="29C7379E" w14:textId="77777777" w:rsidR="00372E74" w:rsidRPr="001B4A02" w:rsidRDefault="00000000" w:rsidP="00ED48A3">
      <w:pPr>
        <w:keepNext/>
        <w:ind w:left="0" w:firstLine="0"/>
        <w:rPr>
          <w:rFonts w:eastAsia="Calibri"/>
          <w:i/>
          <w:szCs w:val="22"/>
        </w:rPr>
      </w:pPr>
      <w:r w:rsidRPr="001B4A02">
        <w:rPr>
          <w:rFonts w:eastAsia="Calibri"/>
          <w:i/>
          <w:szCs w:val="22"/>
        </w:rPr>
        <w:t>Hidradenitis suppurativa</w:t>
      </w:r>
    </w:p>
    <w:p w14:paraId="5AAD6E3B" w14:textId="77777777" w:rsidR="00372E74" w:rsidRPr="001B4A02" w:rsidRDefault="00372E74" w:rsidP="00ED48A3">
      <w:pPr>
        <w:keepNext/>
        <w:ind w:left="0" w:firstLine="0"/>
        <w:rPr>
          <w:rFonts w:eastAsia="Calibri"/>
          <w:szCs w:val="22"/>
        </w:rPr>
      </w:pPr>
    </w:p>
    <w:p w14:paraId="4A6AB25D" w14:textId="77777777" w:rsidR="00372E74" w:rsidRPr="001B4A02" w:rsidRDefault="00000000" w:rsidP="00A03600">
      <w:pPr>
        <w:ind w:left="0" w:firstLine="0"/>
        <w:rPr>
          <w:rFonts w:eastAsia="Calibri"/>
          <w:szCs w:val="22"/>
        </w:rPr>
      </w:pPr>
      <w:r w:rsidRPr="001B4A02">
        <w:rPr>
          <w:rFonts w:eastAsia="Calibri"/>
          <w:szCs w:val="22"/>
        </w:rPr>
        <w:t>Bezpečnost</w:t>
      </w:r>
      <w:r w:rsidR="002378E0">
        <w:rPr>
          <w:rFonts w:eastAsia="Calibri"/>
          <w:szCs w:val="22"/>
        </w:rPr>
        <w:t xml:space="preserve"> a </w:t>
      </w:r>
      <w:r w:rsidRPr="001B4A02">
        <w:rPr>
          <w:rFonts w:eastAsia="Calibri"/>
          <w:szCs w:val="22"/>
        </w:rPr>
        <w:t>účinnost přípravku Humira byla hodnocena v randomizovaných, dvojitě zaslepených, placebem kontrolovaných studiích</w:t>
      </w:r>
      <w:r w:rsidR="002378E0">
        <w:rPr>
          <w:rFonts w:eastAsia="Calibri"/>
          <w:szCs w:val="22"/>
        </w:rPr>
        <w:t xml:space="preserve"> a </w:t>
      </w:r>
      <w:r w:rsidRPr="001B4A02">
        <w:rPr>
          <w:rFonts w:eastAsia="Calibri"/>
          <w:szCs w:val="22"/>
        </w:rPr>
        <w:t>v otevřené prodloužené studii u</w:t>
      </w:r>
      <w:r w:rsidR="008A5E18" w:rsidRPr="001B4A02">
        <w:rPr>
          <w:rFonts w:eastAsia="Calibri"/>
          <w:szCs w:val="22"/>
        </w:rPr>
        <w:t> </w:t>
      </w:r>
      <w:r w:rsidRPr="001B4A02">
        <w:rPr>
          <w:rFonts w:eastAsia="Calibri"/>
          <w:szCs w:val="22"/>
        </w:rPr>
        <w:t>dospělých pacientů se středně těžkou až těžkou hidradenitis suppurativa (HS), kteří netolerovali, měli kontraindikace nebo nedostatečnou odpověď na nejméně 3 měsíce trvající systémovou léčbu antibiotiky. Pacienti ve studii HS-I</w:t>
      </w:r>
      <w:r w:rsidR="002378E0">
        <w:rPr>
          <w:rFonts w:eastAsia="Calibri"/>
          <w:szCs w:val="22"/>
        </w:rPr>
        <w:t xml:space="preserve"> a </w:t>
      </w:r>
      <w:r w:rsidRPr="001B4A02">
        <w:rPr>
          <w:rFonts w:eastAsia="Calibri"/>
          <w:szCs w:val="22"/>
        </w:rPr>
        <w:t>HS-II měli stupeň onemocnění II nebo III podle klasifikace Hurley s nejméně 3 abscesy nebo zánětlivými ložisky.</w:t>
      </w:r>
    </w:p>
    <w:p w14:paraId="7A4966F5" w14:textId="77777777" w:rsidR="00372E74" w:rsidRPr="001B4A02" w:rsidRDefault="00372E74" w:rsidP="00ED48A3">
      <w:pPr>
        <w:ind w:left="0" w:firstLine="0"/>
        <w:rPr>
          <w:rFonts w:eastAsia="Calibri"/>
          <w:szCs w:val="22"/>
        </w:rPr>
      </w:pPr>
    </w:p>
    <w:p w14:paraId="6CFFC8A7" w14:textId="77777777" w:rsidR="00372E74" w:rsidRPr="001B4A02" w:rsidRDefault="00000000" w:rsidP="00ED48A3">
      <w:pPr>
        <w:ind w:left="0" w:firstLine="0"/>
        <w:rPr>
          <w:rFonts w:eastAsia="Calibri"/>
          <w:szCs w:val="22"/>
        </w:rPr>
      </w:pPr>
      <w:r w:rsidRPr="001B4A02">
        <w:rPr>
          <w:rFonts w:eastAsia="Calibri"/>
          <w:szCs w:val="22"/>
        </w:rPr>
        <w:t xml:space="preserve">Studie HS-I (PIONEER I) hodnotila 307 pacientů se dvěma léčebnými </w:t>
      </w:r>
      <w:r w:rsidR="00AD16E3" w:rsidRPr="001B4A02">
        <w:rPr>
          <w:rFonts w:eastAsia="Calibri"/>
          <w:szCs w:val="22"/>
        </w:rPr>
        <w:t>fázemi</w:t>
      </w:r>
      <w:r w:rsidRPr="001B4A02">
        <w:rPr>
          <w:rFonts w:eastAsia="Calibri"/>
          <w:szCs w:val="22"/>
        </w:rPr>
        <w:t xml:space="preserve">. Během </w:t>
      </w:r>
      <w:r w:rsidR="00AD16E3" w:rsidRPr="001B4A02">
        <w:rPr>
          <w:rFonts w:eastAsia="Calibri"/>
          <w:szCs w:val="22"/>
        </w:rPr>
        <w:t xml:space="preserve">fáze </w:t>
      </w:r>
      <w:r w:rsidRPr="001B4A02">
        <w:rPr>
          <w:rFonts w:eastAsia="Calibri"/>
          <w:szCs w:val="22"/>
        </w:rPr>
        <w:t>A dostávali pacienti placebo nebo přípravek Humira v </w:t>
      </w:r>
      <w:r w:rsidR="00EE5BAE" w:rsidRPr="001B4A02">
        <w:t>úvodní</w:t>
      </w:r>
      <w:r w:rsidRPr="001B4A02">
        <w:rPr>
          <w:rFonts w:eastAsia="Calibri"/>
          <w:szCs w:val="22"/>
        </w:rPr>
        <w:t xml:space="preserve"> dávce 160</w:t>
      </w:r>
      <w:r w:rsidR="00F365E7">
        <w:rPr>
          <w:rFonts w:eastAsia="Calibri"/>
          <w:szCs w:val="22"/>
        </w:rPr>
        <w:t> mg</w:t>
      </w:r>
      <w:r w:rsidRPr="001B4A02">
        <w:rPr>
          <w:rFonts w:eastAsia="Calibri"/>
          <w:szCs w:val="22"/>
        </w:rPr>
        <w:t xml:space="preserve"> v týdnu 0, 80</w:t>
      </w:r>
      <w:r w:rsidR="00F365E7">
        <w:rPr>
          <w:rFonts w:eastAsia="Calibri"/>
          <w:szCs w:val="22"/>
        </w:rPr>
        <w:t> mg</w:t>
      </w:r>
      <w:r w:rsidRPr="001B4A02">
        <w:rPr>
          <w:rFonts w:eastAsia="Calibri"/>
          <w:szCs w:val="22"/>
        </w:rPr>
        <w:t xml:space="preserve"> v týdnu 2</w:t>
      </w:r>
      <w:r w:rsidR="002378E0">
        <w:rPr>
          <w:rFonts w:eastAsia="Calibri"/>
          <w:szCs w:val="22"/>
        </w:rPr>
        <w:t xml:space="preserve"> a </w:t>
      </w:r>
      <w:r w:rsidRPr="001B4A02">
        <w:rPr>
          <w:rFonts w:eastAsia="Calibri"/>
          <w:szCs w:val="22"/>
        </w:rPr>
        <w:t>40</w:t>
      </w:r>
      <w:r w:rsidR="00F365E7">
        <w:rPr>
          <w:rFonts w:eastAsia="Calibri"/>
          <w:szCs w:val="22"/>
        </w:rPr>
        <w:t> mg</w:t>
      </w:r>
      <w:r w:rsidRPr="001B4A02">
        <w:rPr>
          <w:rFonts w:eastAsia="Calibri"/>
          <w:szCs w:val="22"/>
        </w:rPr>
        <w:t xml:space="preserve"> každý týden počínaje týdnem 4 do týdne 11. Během studie nebyla dovolena současná léčba antibiotiky. Po 12 týdnech léčby byli pacienti, kteří dostávali v</w:t>
      </w:r>
      <w:r w:rsidR="00AD16E3" w:rsidRPr="001B4A02">
        <w:rPr>
          <w:rFonts w:eastAsia="Calibri"/>
          <w:szCs w:val="22"/>
        </w:rPr>
        <w:t>e fázi</w:t>
      </w:r>
      <w:r w:rsidRPr="001B4A02">
        <w:rPr>
          <w:rFonts w:eastAsia="Calibri"/>
          <w:szCs w:val="22"/>
        </w:rPr>
        <w:t xml:space="preserve"> A přípravek Humira, opětovně randomizováni </w:t>
      </w:r>
      <w:r w:rsidR="00AD16E3" w:rsidRPr="001B4A02">
        <w:rPr>
          <w:rFonts w:eastAsia="Calibri"/>
          <w:szCs w:val="22"/>
        </w:rPr>
        <w:t>ve fázi</w:t>
      </w:r>
      <w:r w:rsidRPr="001B4A02">
        <w:rPr>
          <w:rFonts w:eastAsia="Calibri"/>
          <w:szCs w:val="22"/>
        </w:rPr>
        <w:t xml:space="preserve"> B do 1 ze 3 léčebných skupin (</w:t>
      </w:r>
      <w:r w:rsidR="00B86D3A" w:rsidRPr="001B4A02">
        <w:rPr>
          <w:rFonts w:eastAsia="Calibri"/>
          <w:szCs w:val="22"/>
        </w:rPr>
        <w:t xml:space="preserve">přípravek </w:t>
      </w:r>
      <w:r w:rsidRPr="001B4A02">
        <w:rPr>
          <w:rFonts w:eastAsia="Calibri"/>
          <w:szCs w:val="22"/>
        </w:rPr>
        <w:t>Humira 40</w:t>
      </w:r>
      <w:r w:rsidR="00F365E7">
        <w:rPr>
          <w:rFonts w:eastAsia="Calibri"/>
          <w:szCs w:val="22"/>
        </w:rPr>
        <w:t> mg</w:t>
      </w:r>
      <w:r w:rsidRPr="001B4A02">
        <w:rPr>
          <w:rFonts w:eastAsia="Calibri"/>
          <w:szCs w:val="22"/>
        </w:rPr>
        <w:t xml:space="preserve"> jednou týdně, </w:t>
      </w:r>
      <w:r w:rsidR="00B86D3A" w:rsidRPr="001B4A02">
        <w:rPr>
          <w:rFonts w:eastAsia="Calibri"/>
          <w:szCs w:val="22"/>
        </w:rPr>
        <w:t xml:space="preserve">přípravek </w:t>
      </w:r>
      <w:r w:rsidRPr="001B4A02">
        <w:rPr>
          <w:rFonts w:eastAsia="Calibri"/>
          <w:szCs w:val="22"/>
        </w:rPr>
        <w:t>Humira 40</w:t>
      </w:r>
      <w:r w:rsidR="00F365E7">
        <w:rPr>
          <w:rFonts w:eastAsia="Calibri"/>
          <w:szCs w:val="22"/>
        </w:rPr>
        <w:t> mg</w:t>
      </w:r>
      <w:r w:rsidRPr="001B4A02">
        <w:rPr>
          <w:rFonts w:eastAsia="Calibri"/>
          <w:szCs w:val="22"/>
        </w:rPr>
        <w:t xml:space="preserve"> každý druhý týden nebo placebo od týdne 12 do týdne 35). Pacienti, kteří byli </w:t>
      </w:r>
      <w:r w:rsidR="00AD16E3" w:rsidRPr="001B4A02">
        <w:rPr>
          <w:rFonts w:eastAsia="Calibri"/>
          <w:szCs w:val="22"/>
        </w:rPr>
        <w:t>ve fázi</w:t>
      </w:r>
      <w:r w:rsidRPr="001B4A02">
        <w:rPr>
          <w:rFonts w:eastAsia="Calibri"/>
          <w:szCs w:val="22"/>
        </w:rPr>
        <w:t xml:space="preserve"> A randomizováni do skupiny placeba, byli </w:t>
      </w:r>
      <w:r w:rsidR="00AD16E3" w:rsidRPr="001B4A02">
        <w:rPr>
          <w:rFonts w:eastAsia="Calibri"/>
          <w:szCs w:val="22"/>
        </w:rPr>
        <w:t>ve fázi</w:t>
      </w:r>
      <w:r w:rsidRPr="001B4A02">
        <w:rPr>
          <w:rFonts w:eastAsia="Calibri"/>
          <w:szCs w:val="22"/>
        </w:rPr>
        <w:t xml:space="preserve"> B převedeni na přípravek Humira 40</w:t>
      </w:r>
      <w:r w:rsidR="00F365E7">
        <w:rPr>
          <w:rFonts w:eastAsia="Calibri"/>
          <w:szCs w:val="22"/>
        </w:rPr>
        <w:t> mg</w:t>
      </w:r>
      <w:r w:rsidRPr="001B4A02">
        <w:rPr>
          <w:rFonts w:eastAsia="Calibri"/>
          <w:szCs w:val="22"/>
        </w:rPr>
        <w:t xml:space="preserve"> jednou týdně.</w:t>
      </w:r>
    </w:p>
    <w:p w14:paraId="2BC18E0E" w14:textId="77777777" w:rsidR="00372E74" w:rsidRPr="001B4A02" w:rsidRDefault="00372E74" w:rsidP="00ED48A3">
      <w:pPr>
        <w:ind w:left="0" w:firstLine="0"/>
        <w:rPr>
          <w:rFonts w:eastAsia="Calibri"/>
          <w:szCs w:val="22"/>
        </w:rPr>
      </w:pPr>
    </w:p>
    <w:p w14:paraId="3B736B67" w14:textId="77777777" w:rsidR="00372E74" w:rsidRPr="001B4A02" w:rsidRDefault="00000000" w:rsidP="00ED48A3">
      <w:pPr>
        <w:ind w:left="0" w:firstLine="0"/>
        <w:rPr>
          <w:rFonts w:eastAsia="Calibri"/>
          <w:szCs w:val="22"/>
        </w:rPr>
      </w:pPr>
      <w:r w:rsidRPr="001B4A02">
        <w:rPr>
          <w:rFonts w:eastAsia="Calibri"/>
          <w:szCs w:val="22"/>
        </w:rPr>
        <w:t xml:space="preserve">Studie HS-II (PIONEER II) hodnotila 326 pacientů se dvěma léčebnými </w:t>
      </w:r>
      <w:r w:rsidR="00AD16E3" w:rsidRPr="001B4A02">
        <w:rPr>
          <w:rFonts w:eastAsia="Calibri"/>
          <w:szCs w:val="22"/>
        </w:rPr>
        <w:t>fázemi</w:t>
      </w:r>
      <w:r w:rsidRPr="001B4A02">
        <w:rPr>
          <w:rFonts w:eastAsia="Calibri"/>
          <w:szCs w:val="22"/>
        </w:rPr>
        <w:t xml:space="preserve">. Během </w:t>
      </w:r>
      <w:r w:rsidR="00AD16E3" w:rsidRPr="001B4A02">
        <w:rPr>
          <w:rFonts w:eastAsia="Calibri"/>
          <w:szCs w:val="22"/>
        </w:rPr>
        <w:t>fáze</w:t>
      </w:r>
      <w:r w:rsidRPr="001B4A02">
        <w:rPr>
          <w:rFonts w:eastAsia="Calibri"/>
          <w:szCs w:val="22"/>
        </w:rPr>
        <w:t xml:space="preserve"> A dostávali pacienti placebo nebo přípravek Humira v </w:t>
      </w:r>
      <w:r w:rsidR="00EE5BAE" w:rsidRPr="001B4A02">
        <w:t>úvodní</w:t>
      </w:r>
      <w:r w:rsidRPr="001B4A02">
        <w:rPr>
          <w:rFonts w:eastAsia="Calibri"/>
          <w:szCs w:val="22"/>
        </w:rPr>
        <w:t xml:space="preserve"> dávce 160</w:t>
      </w:r>
      <w:r w:rsidR="00F365E7">
        <w:rPr>
          <w:rFonts w:eastAsia="Calibri"/>
          <w:szCs w:val="22"/>
        </w:rPr>
        <w:t> mg</w:t>
      </w:r>
      <w:r w:rsidRPr="001B4A02">
        <w:rPr>
          <w:rFonts w:eastAsia="Calibri"/>
          <w:szCs w:val="22"/>
        </w:rPr>
        <w:t xml:space="preserve"> v týdnu 0</w:t>
      </w:r>
      <w:r w:rsidR="002378E0">
        <w:rPr>
          <w:rFonts w:eastAsia="Calibri"/>
          <w:szCs w:val="22"/>
        </w:rPr>
        <w:t xml:space="preserve"> a </w:t>
      </w:r>
      <w:r w:rsidRPr="001B4A02">
        <w:rPr>
          <w:rFonts w:eastAsia="Calibri"/>
          <w:szCs w:val="22"/>
        </w:rPr>
        <w:t>80</w:t>
      </w:r>
      <w:r w:rsidR="00F365E7">
        <w:rPr>
          <w:rFonts w:eastAsia="Calibri"/>
          <w:szCs w:val="22"/>
        </w:rPr>
        <w:t> mg</w:t>
      </w:r>
      <w:r w:rsidRPr="001B4A02">
        <w:rPr>
          <w:rFonts w:eastAsia="Calibri"/>
          <w:szCs w:val="22"/>
        </w:rPr>
        <w:t xml:space="preserve"> v týdnu 2</w:t>
      </w:r>
      <w:r w:rsidR="002378E0">
        <w:rPr>
          <w:rFonts w:eastAsia="Calibri"/>
          <w:szCs w:val="22"/>
        </w:rPr>
        <w:t xml:space="preserve"> a </w:t>
      </w:r>
      <w:r w:rsidRPr="001B4A02">
        <w:rPr>
          <w:rFonts w:eastAsia="Calibri"/>
          <w:szCs w:val="22"/>
        </w:rPr>
        <w:t>40</w:t>
      </w:r>
      <w:r w:rsidR="00F365E7">
        <w:rPr>
          <w:rFonts w:eastAsia="Calibri"/>
          <w:szCs w:val="22"/>
        </w:rPr>
        <w:t> mg</w:t>
      </w:r>
      <w:r w:rsidRPr="001B4A02">
        <w:rPr>
          <w:rFonts w:eastAsia="Calibri"/>
          <w:szCs w:val="22"/>
        </w:rPr>
        <w:t xml:space="preserve"> každý týden počínaje týdnem 4 do týdne 11. 19,3</w:t>
      </w:r>
      <w:r w:rsidR="0045106E" w:rsidRPr="001B4A02">
        <w:rPr>
          <w:rFonts w:eastAsia="Calibri"/>
          <w:szCs w:val="22"/>
        </w:rPr>
        <w:t> </w:t>
      </w:r>
      <w:r w:rsidRPr="001B4A02">
        <w:rPr>
          <w:rFonts w:eastAsia="Calibri"/>
          <w:szCs w:val="22"/>
        </w:rPr>
        <w:t xml:space="preserve">% pacientů kontinuálně pokračovalo během studie v antibiotické léčbě. Po 12 týdnech léčby byli pacienti, kteří dostávali </w:t>
      </w:r>
      <w:r w:rsidR="00AD16E3" w:rsidRPr="001B4A02">
        <w:rPr>
          <w:rFonts w:eastAsia="Calibri"/>
          <w:szCs w:val="22"/>
        </w:rPr>
        <w:t>ve fázi</w:t>
      </w:r>
      <w:r w:rsidRPr="001B4A02">
        <w:rPr>
          <w:rFonts w:eastAsia="Calibri"/>
          <w:szCs w:val="22"/>
        </w:rPr>
        <w:t xml:space="preserve"> A přípravek Humira, opětovně randomizováni </w:t>
      </w:r>
      <w:r w:rsidR="00AD16E3" w:rsidRPr="001B4A02">
        <w:rPr>
          <w:rFonts w:eastAsia="Calibri"/>
          <w:szCs w:val="22"/>
        </w:rPr>
        <w:t>ve fázi</w:t>
      </w:r>
      <w:r w:rsidRPr="001B4A02">
        <w:rPr>
          <w:rFonts w:eastAsia="Calibri"/>
          <w:szCs w:val="22"/>
        </w:rPr>
        <w:t xml:space="preserve"> B do 1 ze 3 léčebných skupin (</w:t>
      </w:r>
      <w:r w:rsidR="00B86D3A" w:rsidRPr="001B4A02">
        <w:rPr>
          <w:rFonts w:eastAsia="Calibri"/>
          <w:szCs w:val="22"/>
        </w:rPr>
        <w:t xml:space="preserve">přípravek </w:t>
      </w:r>
      <w:r w:rsidRPr="001B4A02">
        <w:rPr>
          <w:rFonts w:eastAsia="Calibri"/>
          <w:szCs w:val="22"/>
        </w:rPr>
        <w:t>Humira 40</w:t>
      </w:r>
      <w:r w:rsidR="00F365E7">
        <w:rPr>
          <w:rFonts w:eastAsia="Calibri"/>
          <w:szCs w:val="22"/>
        </w:rPr>
        <w:t> mg</w:t>
      </w:r>
      <w:r w:rsidRPr="001B4A02">
        <w:rPr>
          <w:rFonts w:eastAsia="Calibri"/>
          <w:szCs w:val="22"/>
        </w:rPr>
        <w:t xml:space="preserve"> jednou týdně, </w:t>
      </w:r>
      <w:r w:rsidR="00B86D3A" w:rsidRPr="001B4A02">
        <w:rPr>
          <w:rFonts w:eastAsia="Calibri"/>
          <w:szCs w:val="22"/>
        </w:rPr>
        <w:t xml:space="preserve">přípravek </w:t>
      </w:r>
      <w:r w:rsidRPr="001B4A02">
        <w:rPr>
          <w:rFonts w:eastAsia="Calibri"/>
          <w:szCs w:val="22"/>
        </w:rPr>
        <w:t>Humira 40</w:t>
      </w:r>
      <w:r w:rsidR="00F365E7">
        <w:rPr>
          <w:rFonts w:eastAsia="Calibri"/>
          <w:szCs w:val="22"/>
        </w:rPr>
        <w:t> mg</w:t>
      </w:r>
      <w:r w:rsidRPr="001B4A02">
        <w:rPr>
          <w:rFonts w:eastAsia="Calibri"/>
          <w:szCs w:val="22"/>
        </w:rPr>
        <w:t xml:space="preserve"> každý druhý týden nebo placebo od týdne 12 do týdne 35). Pacienti, kteří byli </w:t>
      </w:r>
      <w:r w:rsidR="00AD16E3" w:rsidRPr="001B4A02">
        <w:rPr>
          <w:rFonts w:eastAsia="Calibri"/>
          <w:szCs w:val="22"/>
        </w:rPr>
        <w:t xml:space="preserve">ve fázi </w:t>
      </w:r>
      <w:r w:rsidRPr="001B4A02">
        <w:rPr>
          <w:rFonts w:eastAsia="Calibri"/>
          <w:szCs w:val="22"/>
        </w:rPr>
        <w:t xml:space="preserve">í A randomizováni do skupiny placeba, dostávali placebo i </w:t>
      </w:r>
      <w:r w:rsidR="00AD16E3" w:rsidRPr="001B4A02">
        <w:rPr>
          <w:rFonts w:eastAsia="Calibri"/>
          <w:szCs w:val="22"/>
        </w:rPr>
        <w:t>ve fázi</w:t>
      </w:r>
      <w:r w:rsidRPr="001B4A02">
        <w:rPr>
          <w:rFonts w:eastAsia="Calibri"/>
          <w:szCs w:val="22"/>
        </w:rPr>
        <w:t xml:space="preserve"> B.</w:t>
      </w:r>
    </w:p>
    <w:p w14:paraId="55EC30B9" w14:textId="77777777" w:rsidR="00372E74" w:rsidRPr="001B4A02" w:rsidRDefault="00372E74" w:rsidP="00ED48A3">
      <w:pPr>
        <w:ind w:left="0" w:firstLine="0"/>
        <w:rPr>
          <w:rFonts w:eastAsia="Calibri"/>
          <w:szCs w:val="22"/>
        </w:rPr>
      </w:pPr>
    </w:p>
    <w:p w14:paraId="61160F08" w14:textId="77777777" w:rsidR="00372E74" w:rsidRPr="001B4A02" w:rsidRDefault="00000000" w:rsidP="00ED48A3">
      <w:pPr>
        <w:ind w:left="0" w:firstLine="0"/>
        <w:rPr>
          <w:rFonts w:eastAsia="Calibri"/>
          <w:szCs w:val="22"/>
        </w:rPr>
      </w:pPr>
      <w:r w:rsidRPr="001B4A02">
        <w:rPr>
          <w:rFonts w:eastAsia="Calibri"/>
          <w:szCs w:val="22"/>
        </w:rPr>
        <w:t>Pacienti, kteří se účastnili studií HS-I</w:t>
      </w:r>
      <w:r w:rsidR="002378E0">
        <w:rPr>
          <w:rFonts w:eastAsia="Calibri"/>
          <w:szCs w:val="22"/>
        </w:rPr>
        <w:t xml:space="preserve"> a </w:t>
      </w:r>
      <w:r w:rsidRPr="001B4A02">
        <w:rPr>
          <w:rFonts w:eastAsia="Calibri"/>
          <w:szCs w:val="22"/>
        </w:rPr>
        <w:t>HS-II, byli vhodní k tomu, aby byli zařazeni do otevřené fáze prodloužené studie, ve které byl přípravek Humira 40</w:t>
      </w:r>
      <w:r w:rsidR="00F365E7">
        <w:rPr>
          <w:rFonts w:eastAsia="Calibri"/>
          <w:szCs w:val="22"/>
        </w:rPr>
        <w:t> mg</w:t>
      </w:r>
      <w:r w:rsidRPr="001B4A02">
        <w:rPr>
          <w:rFonts w:eastAsia="Calibri"/>
          <w:szCs w:val="22"/>
        </w:rPr>
        <w:t xml:space="preserve"> podáván jednou týdně. </w:t>
      </w:r>
      <w:r w:rsidR="00174239" w:rsidRPr="001B4A02">
        <w:rPr>
          <w:szCs w:val="22"/>
          <w:lang w:eastAsia="ja-JP"/>
        </w:rPr>
        <w:t xml:space="preserve">Průměrná expozice </w:t>
      </w:r>
      <w:r w:rsidR="008B623D" w:rsidRPr="001B4A02">
        <w:rPr>
          <w:szCs w:val="22"/>
          <w:lang w:eastAsia="ja-JP"/>
        </w:rPr>
        <w:t>v</w:t>
      </w:r>
      <w:r w:rsidR="00B86D3A" w:rsidRPr="001B4A02">
        <w:rPr>
          <w:szCs w:val="22"/>
          <w:lang w:eastAsia="ja-JP"/>
        </w:rPr>
        <w:t> </w:t>
      </w:r>
      <w:r w:rsidR="008B623D" w:rsidRPr="001B4A02">
        <w:rPr>
          <w:szCs w:val="22"/>
          <w:lang w:eastAsia="ja-JP"/>
        </w:rPr>
        <w:t>celé</w:t>
      </w:r>
      <w:r w:rsidR="00174239" w:rsidRPr="001B4A02">
        <w:rPr>
          <w:szCs w:val="22"/>
          <w:lang w:eastAsia="ja-JP"/>
        </w:rPr>
        <w:t xml:space="preserve"> populac</w:t>
      </w:r>
      <w:r w:rsidR="008B623D" w:rsidRPr="001B4A02">
        <w:rPr>
          <w:szCs w:val="22"/>
          <w:lang w:eastAsia="ja-JP"/>
        </w:rPr>
        <w:t>i</w:t>
      </w:r>
      <w:r w:rsidR="00174239" w:rsidRPr="001B4A02">
        <w:rPr>
          <w:szCs w:val="22"/>
          <w:lang w:eastAsia="ja-JP"/>
        </w:rPr>
        <w:t xml:space="preserve"> </w:t>
      </w:r>
      <w:r w:rsidR="009B0C0F" w:rsidRPr="001B4A02">
        <w:rPr>
          <w:szCs w:val="22"/>
          <w:lang w:eastAsia="ja-JP"/>
        </w:rPr>
        <w:t>užívající adalimumab</w:t>
      </w:r>
      <w:r w:rsidR="00174239" w:rsidRPr="001B4A02">
        <w:rPr>
          <w:szCs w:val="22"/>
          <w:lang w:eastAsia="ja-JP"/>
        </w:rPr>
        <w:t xml:space="preserve"> byla 762 dnů. </w:t>
      </w:r>
      <w:r w:rsidRPr="001B4A02">
        <w:rPr>
          <w:rFonts w:eastAsia="Calibri"/>
          <w:szCs w:val="22"/>
        </w:rPr>
        <w:t>Ve všech 3 studiích pacienti denně prováděli lokální antiseptické ošetření.</w:t>
      </w:r>
    </w:p>
    <w:p w14:paraId="264BA057" w14:textId="77777777" w:rsidR="00372E74" w:rsidRPr="001B4A02" w:rsidRDefault="00372E74" w:rsidP="00ED48A3">
      <w:pPr>
        <w:ind w:left="0" w:firstLine="0"/>
        <w:rPr>
          <w:rFonts w:eastAsia="Calibri"/>
          <w:szCs w:val="22"/>
        </w:rPr>
      </w:pPr>
    </w:p>
    <w:p w14:paraId="3E52FBCD" w14:textId="77777777" w:rsidR="00372E74" w:rsidRPr="001B4A02" w:rsidRDefault="00000000" w:rsidP="00A03600">
      <w:pPr>
        <w:keepNext/>
        <w:ind w:left="0" w:firstLine="0"/>
        <w:rPr>
          <w:rFonts w:eastAsia="Calibri"/>
          <w:i/>
          <w:szCs w:val="22"/>
          <w:u w:val="single"/>
        </w:rPr>
      </w:pPr>
      <w:r w:rsidRPr="001B4A02">
        <w:rPr>
          <w:rFonts w:eastAsia="Calibri"/>
          <w:i/>
          <w:szCs w:val="22"/>
          <w:u w:val="single"/>
        </w:rPr>
        <w:t>Klinická odpověď</w:t>
      </w:r>
    </w:p>
    <w:p w14:paraId="1092CB48" w14:textId="77777777" w:rsidR="00372E74" w:rsidRPr="001B4A02" w:rsidRDefault="00372E74" w:rsidP="00A03600">
      <w:pPr>
        <w:keepNext/>
        <w:ind w:left="0" w:firstLine="0"/>
        <w:rPr>
          <w:rFonts w:eastAsia="Calibri"/>
          <w:szCs w:val="22"/>
        </w:rPr>
      </w:pPr>
    </w:p>
    <w:p w14:paraId="6A8D3A88" w14:textId="77777777" w:rsidR="00372E74" w:rsidRPr="001B4A02" w:rsidRDefault="00000000" w:rsidP="00ED48A3">
      <w:pPr>
        <w:ind w:left="0" w:firstLine="0"/>
        <w:rPr>
          <w:rFonts w:eastAsia="Calibri"/>
          <w:szCs w:val="22"/>
        </w:rPr>
      </w:pPr>
      <w:r w:rsidRPr="001B4A02">
        <w:rPr>
          <w:rFonts w:eastAsia="Calibri"/>
          <w:szCs w:val="22"/>
        </w:rPr>
        <w:t>Redukce zánětlivých lézí</w:t>
      </w:r>
      <w:r w:rsidR="002378E0">
        <w:rPr>
          <w:rFonts w:eastAsia="Calibri"/>
          <w:szCs w:val="22"/>
        </w:rPr>
        <w:t xml:space="preserve"> a </w:t>
      </w:r>
      <w:r w:rsidRPr="001B4A02">
        <w:rPr>
          <w:rFonts w:eastAsia="Calibri"/>
          <w:szCs w:val="22"/>
        </w:rPr>
        <w:t>prevence zhoršení abscesů</w:t>
      </w:r>
      <w:r w:rsidR="002378E0">
        <w:rPr>
          <w:rFonts w:eastAsia="Calibri"/>
          <w:szCs w:val="22"/>
        </w:rPr>
        <w:t xml:space="preserve"> a </w:t>
      </w:r>
      <w:r w:rsidRPr="001B4A02">
        <w:t>píštělí s výtokem</w:t>
      </w:r>
      <w:r w:rsidRPr="001B4A02">
        <w:rPr>
          <w:rFonts w:eastAsia="Calibri"/>
          <w:szCs w:val="22"/>
        </w:rPr>
        <w:t xml:space="preserve"> byl</w:t>
      </w:r>
      <w:r w:rsidR="00F67928" w:rsidRPr="001B4A02">
        <w:rPr>
          <w:rFonts w:eastAsia="Calibri"/>
          <w:szCs w:val="22"/>
        </w:rPr>
        <w:t>y</w:t>
      </w:r>
      <w:r w:rsidRPr="001B4A02">
        <w:rPr>
          <w:rFonts w:eastAsia="Calibri"/>
          <w:szCs w:val="22"/>
        </w:rPr>
        <w:t xml:space="preserve"> posuzován</w:t>
      </w:r>
      <w:r w:rsidR="00F67928" w:rsidRPr="001B4A02">
        <w:rPr>
          <w:rFonts w:eastAsia="Calibri"/>
          <w:szCs w:val="22"/>
        </w:rPr>
        <w:t>y</w:t>
      </w:r>
      <w:r w:rsidRPr="001B4A02">
        <w:rPr>
          <w:rFonts w:eastAsia="Calibri"/>
          <w:szCs w:val="22"/>
        </w:rPr>
        <w:t xml:space="preserve"> za použití klinické odpovědi „Hidradenitis Suppurativa Clinical Response“ (HiSCR; </w:t>
      </w:r>
      <w:r w:rsidR="00E15847" w:rsidRPr="001B4A02">
        <w:rPr>
          <w:rFonts w:eastAsia="Calibri"/>
          <w:szCs w:val="22"/>
        </w:rPr>
        <w:t xml:space="preserve">minimálně </w:t>
      </w:r>
      <w:r w:rsidRPr="001B4A02">
        <w:rPr>
          <w:rFonts w:eastAsia="Calibri"/>
          <w:szCs w:val="22"/>
        </w:rPr>
        <w:t>50% snížení v celkovém počtu abscesů</w:t>
      </w:r>
      <w:r w:rsidR="002378E0">
        <w:rPr>
          <w:rFonts w:eastAsia="Calibri"/>
          <w:szCs w:val="22"/>
        </w:rPr>
        <w:t xml:space="preserve"> a </w:t>
      </w:r>
      <w:r w:rsidRPr="001B4A02">
        <w:rPr>
          <w:rFonts w:eastAsia="Calibri"/>
          <w:szCs w:val="22"/>
        </w:rPr>
        <w:t>zánětlivých nodulů s nezvýšením počtu abscesů</w:t>
      </w:r>
      <w:r w:rsidR="002378E0">
        <w:rPr>
          <w:rFonts w:eastAsia="Calibri"/>
          <w:szCs w:val="22"/>
        </w:rPr>
        <w:t xml:space="preserve"> a </w:t>
      </w:r>
      <w:r w:rsidRPr="001B4A02">
        <w:rPr>
          <w:rFonts w:eastAsia="Calibri"/>
          <w:szCs w:val="22"/>
        </w:rPr>
        <w:t xml:space="preserve">nezvýšením počtu </w:t>
      </w:r>
      <w:r w:rsidRPr="001B4A02">
        <w:t>píštělí s výtokem</w:t>
      </w:r>
      <w:r w:rsidRPr="001B4A02">
        <w:rPr>
          <w:rFonts w:eastAsia="Calibri"/>
          <w:szCs w:val="22"/>
        </w:rPr>
        <w:t xml:space="preserve"> proti výchozím hodnotám). Snížení bolesti kůže spojené s HS bylo posuzováno za použití číselné </w:t>
      </w:r>
      <w:r w:rsidR="00AD16E3" w:rsidRPr="001B4A02">
        <w:rPr>
          <w:rFonts w:eastAsia="Calibri"/>
          <w:szCs w:val="22"/>
        </w:rPr>
        <w:t>škály (Numeric Rating Scale)</w:t>
      </w:r>
      <w:r w:rsidRPr="001B4A02">
        <w:rPr>
          <w:rFonts w:eastAsia="Calibri"/>
          <w:szCs w:val="22"/>
        </w:rPr>
        <w:t xml:space="preserve"> u</w:t>
      </w:r>
      <w:r w:rsidR="008A5E18" w:rsidRPr="001B4A02">
        <w:rPr>
          <w:rFonts w:eastAsia="Calibri"/>
          <w:szCs w:val="22"/>
        </w:rPr>
        <w:t> </w:t>
      </w:r>
      <w:r w:rsidRPr="001B4A02">
        <w:rPr>
          <w:rFonts w:eastAsia="Calibri"/>
          <w:szCs w:val="22"/>
        </w:rPr>
        <w:t>pacientů, kteří vstoupili do studie s</w:t>
      </w:r>
      <w:r w:rsidR="00AD16E3" w:rsidRPr="001B4A02">
        <w:rPr>
          <w:rFonts w:eastAsia="Calibri"/>
          <w:szCs w:val="22"/>
        </w:rPr>
        <w:t> </w:t>
      </w:r>
      <w:r w:rsidRPr="001B4A02">
        <w:rPr>
          <w:rFonts w:eastAsia="Calibri"/>
          <w:szCs w:val="22"/>
        </w:rPr>
        <w:t>počáteční</w:t>
      </w:r>
      <w:r w:rsidR="00AD16E3" w:rsidRPr="001B4A02">
        <w:rPr>
          <w:rFonts w:eastAsia="Calibri"/>
          <w:szCs w:val="22"/>
        </w:rPr>
        <w:t xml:space="preserve"> bodovou</w:t>
      </w:r>
      <w:r w:rsidRPr="001B4A02">
        <w:rPr>
          <w:rFonts w:eastAsia="Calibri"/>
          <w:szCs w:val="22"/>
        </w:rPr>
        <w:t xml:space="preserve"> hodnotou 3 nebo větší na</w:t>
      </w:r>
      <w:r w:rsidR="00AD16E3" w:rsidRPr="001B4A02">
        <w:rPr>
          <w:rFonts w:eastAsia="Calibri"/>
          <w:szCs w:val="22"/>
        </w:rPr>
        <w:t xml:space="preserve"> 11 bodové škále</w:t>
      </w:r>
      <w:r w:rsidRPr="001B4A02">
        <w:rPr>
          <w:rFonts w:eastAsia="Calibri"/>
          <w:szCs w:val="22"/>
        </w:rPr>
        <w:t>.</w:t>
      </w:r>
    </w:p>
    <w:p w14:paraId="470B6825" w14:textId="77777777" w:rsidR="00372E74" w:rsidRPr="001B4A02" w:rsidRDefault="00372E74" w:rsidP="00ED48A3">
      <w:pPr>
        <w:ind w:left="0" w:firstLine="0"/>
        <w:rPr>
          <w:rFonts w:eastAsia="Calibri"/>
          <w:szCs w:val="22"/>
        </w:rPr>
      </w:pPr>
    </w:p>
    <w:p w14:paraId="1BA72D22" w14:textId="77777777" w:rsidR="00372E74" w:rsidRPr="001B4A02" w:rsidRDefault="00000000" w:rsidP="00ED48A3">
      <w:pPr>
        <w:ind w:left="0" w:firstLine="0"/>
        <w:rPr>
          <w:rFonts w:eastAsia="Calibri"/>
          <w:szCs w:val="22"/>
        </w:rPr>
      </w:pPr>
      <w:r w:rsidRPr="001B4A02">
        <w:rPr>
          <w:rFonts w:eastAsia="Calibri"/>
          <w:szCs w:val="22"/>
        </w:rPr>
        <w:t xml:space="preserve">V týdnu 12 dosáhla </w:t>
      </w:r>
      <w:r w:rsidRPr="001B4A02">
        <w:t>odpovědi podle</w:t>
      </w:r>
      <w:r w:rsidRPr="001B4A02">
        <w:rPr>
          <w:rFonts w:eastAsia="Calibri"/>
          <w:szCs w:val="22"/>
        </w:rPr>
        <w:t xml:space="preserve"> HiSCR významně větší část pacientů léčených přípravkem Humira versus placebo. V týdnu 12 pocítila významně větší část pacientů ve studii HS-II klinicky relevantní snížení bolesti kůže spojené s HS (viz tabulka </w:t>
      </w:r>
      <w:r w:rsidR="002A0AEB">
        <w:rPr>
          <w:rFonts w:eastAsia="Calibri"/>
          <w:szCs w:val="22"/>
        </w:rPr>
        <w:t>19</w:t>
      </w:r>
      <w:r w:rsidRPr="001B4A02">
        <w:rPr>
          <w:rFonts w:eastAsia="Calibri"/>
          <w:szCs w:val="22"/>
        </w:rPr>
        <w:t>). U</w:t>
      </w:r>
      <w:r w:rsidR="008A5E18" w:rsidRPr="001B4A02">
        <w:rPr>
          <w:rFonts w:eastAsia="Calibri"/>
          <w:szCs w:val="22"/>
        </w:rPr>
        <w:t> </w:t>
      </w:r>
      <w:r w:rsidRPr="001B4A02">
        <w:rPr>
          <w:rFonts w:eastAsia="Calibri"/>
          <w:szCs w:val="22"/>
        </w:rPr>
        <w:t>pacientů léčených přípravkem Humira došlo během počátečních 12 týdnů léčby k významnému snížení rizika vzplanutí onemocnění.</w:t>
      </w:r>
    </w:p>
    <w:p w14:paraId="777B3515" w14:textId="77777777" w:rsidR="00372E74" w:rsidRPr="001B4A02" w:rsidRDefault="00372E74" w:rsidP="00A03600">
      <w:pPr>
        <w:ind w:left="0" w:firstLine="0"/>
        <w:rPr>
          <w:rFonts w:eastAsia="Calibri"/>
          <w:szCs w:val="22"/>
        </w:rPr>
      </w:pPr>
    </w:p>
    <w:p w14:paraId="4CB06EA0" w14:textId="77777777" w:rsidR="00372E74" w:rsidRDefault="00000000" w:rsidP="000C0B0A">
      <w:pPr>
        <w:keepNext/>
        <w:keepLines/>
        <w:widowControl w:val="0"/>
        <w:tabs>
          <w:tab w:val="center" w:pos="4716"/>
          <w:tab w:val="left" w:pos="8145"/>
        </w:tabs>
        <w:ind w:left="0" w:firstLine="0"/>
        <w:jc w:val="center"/>
        <w:rPr>
          <w:rFonts w:eastAsia="MS Mincho"/>
          <w:b/>
          <w:bCs/>
          <w:iCs/>
          <w:szCs w:val="22"/>
          <w:lang w:eastAsia="ja-JP"/>
        </w:rPr>
      </w:pPr>
      <w:r w:rsidRPr="001B4A02">
        <w:rPr>
          <w:rFonts w:eastAsia="MS Mincho"/>
          <w:b/>
          <w:szCs w:val="22"/>
          <w:lang w:eastAsia="ja-JP"/>
        </w:rPr>
        <w:t xml:space="preserve">Tabulka </w:t>
      </w:r>
      <w:r w:rsidR="002A0AEB">
        <w:rPr>
          <w:rFonts w:eastAsia="MS Mincho"/>
          <w:b/>
          <w:szCs w:val="22"/>
          <w:lang w:eastAsia="ja-JP"/>
        </w:rPr>
        <w:t>19</w:t>
      </w:r>
      <w:r w:rsidRPr="001B4A02">
        <w:rPr>
          <w:rFonts w:eastAsia="MS Mincho"/>
          <w:b/>
          <w:szCs w:val="22"/>
          <w:lang w:eastAsia="ja-JP"/>
        </w:rPr>
        <w:t xml:space="preserve">: </w:t>
      </w:r>
      <w:r w:rsidRPr="001B4A02">
        <w:rPr>
          <w:rFonts w:eastAsia="MS Mincho"/>
          <w:b/>
          <w:bCs/>
          <w:iCs/>
          <w:szCs w:val="22"/>
          <w:lang w:eastAsia="ja-JP"/>
        </w:rPr>
        <w:t>Výsledky účinnosti v</w:t>
      </w:r>
      <w:r w:rsidR="00D41D1A" w:rsidRPr="001B4A02">
        <w:rPr>
          <w:rFonts w:eastAsia="MS Mincho"/>
          <w:b/>
          <w:bCs/>
          <w:iCs/>
          <w:szCs w:val="22"/>
          <w:lang w:eastAsia="ja-JP"/>
        </w:rPr>
        <w:t> </w:t>
      </w:r>
      <w:r w:rsidRPr="001B4A02">
        <w:rPr>
          <w:rFonts w:eastAsia="MS Mincho"/>
          <w:b/>
          <w:bCs/>
          <w:iCs/>
          <w:szCs w:val="22"/>
          <w:lang w:eastAsia="ja-JP"/>
        </w:rPr>
        <w:t>týdnu 12, Studie HS I</w:t>
      </w:r>
      <w:r w:rsidR="002378E0">
        <w:rPr>
          <w:rFonts w:eastAsia="MS Mincho"/>
          <w:b/>
          <w:bCs/>
          <w:iCs/>
          <w:szCs w:val="22"/>
          <w:lang w:eastAsia="ja-JP"/>
        </w:rPr>
        <w:t xml:space="preserve"> a </w:t>
      </w:r>
      <w:r w:rsidRPr="001B4A02">
        <w:rPr>
          <w:rFonts w:eastAsia="MS Mincho"/>
          <w:b/>
          <w:bCs/>
          <w:iCs/>
          <w:szCs w:val="22"/>
          <w:lang w:eastAsia="ja-JP"/>
        </w:rPr>
        <w:t>II</w:t>
      </w:r>
    </w:p>
    <w:p w14:paraId="2790BDAD" w14:textId="77777777" w:rsidR="0050658F" w:rsidRPr="001B4A02" w:rsidRDefault="0050658F" w:rsidP="00ED48A3">
      <w:pPr>
        <w:keepNext/>
        <w:keepLines/>
        <w:widowControl w:val="0"/>
        <w:tabs>
          <w:tab w:val="center" w:pos="4716"/>
          <w:tab w:val="left" w:pos="8145"/>
        </w:tabs>
        <w:ind w:left="360" w:firstLine="0"/>
        <w:rPr>
          <w:rFonts w:eastAsia="MS Mincho"/>
          <w:b/>
          <w:szCs w:val="22"/>
          <w:lang w:eastAsia="ja-JP"/>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534A2D" w14:paraId="522479B4" w14:textId="77777777" w:rsidTr="008D783A">
        <w:trPr>
          <w:trHeight w:val="20"/>
          <w:jc w:val="center"/>
        </w:trPr>
        <w:tc>
          <w:tcPr>
            <w:tcW w:w="2847" w:type="dxa"/>
            <w:vMerge w:val="restart"/>
            <w:tcMar>
              <w:top w:w="0" w:type="dxa"/>
              <w:left w:w="115" w:type="dxa"/>
              <w:bottom w:w="0" w:type="dxa"/>
              <w:right w:w="115" w:type="dxa"/>
            </w:tcMar>
            <w:vAlign w:val="bottom"/>
          </w:tcPr>
          <w:p w14:paraId="76C96F9C" w14:textId="77777777" w:rsidR="00372E74" w:rsidRPr="001B4A02" w:rsidRDefault="00372E74" w:rsidP="00ED48A3">
            <w:pPr>
              <w:keepNext/>
              <w:widowControl w:val="0"/>
              <w:tabs>
                <w:tab w:val="left" w:pos="562"/>
              </w:tabs>
              <w:suppressAutoHyphens/>
              <w:ind w:left="0" w:firstLine="0"/>
              <w:rPr>
                <w:b/>
                <w:szCs w:val="24"/>
              </w:rPr>
            </w:pPr>
          </w:p>
        </w:tc>
        <w:tc>
          <w:tcPr>
            <w:tcW w:w="3186" w:type="dxa"/>
            <w:gridSpan w:val="2"/>
            <w:tcMar>
              <w:top w:w="0" w:type="dxa"/>
              <w:left w:w="115" w:type="dxa"/>
              <w:bottom w:w="0" w:type="dxa"/>
              <w:right w:w="115" w:type="dxa"/>
            </w:tcMar>
            <w:vAlign w:val="bottom"/>
          </w:tcPr>
          <w:p w14:paraId="28CBA4BE" w14:textId="77777777" w:rsidR="00372E74" w:rsidRPr="001B4A02" w:rsidRDefault="00000000" w:rsidP="00ED48A3">
            <w:pPr>
              <w:keepNext/>
              <w:widowControl w:val="0"/>
              <w:tabs>
                <w:tab w:val="left" w:pos="562"/>
              </w:tabs>
              <w:suppressAutoHyphens/>
              <w:ind w:left="0" w:firstLine="0"/>
              <w:jc w:val="center"/>
              <w:rPr>
                <w:b/>
                <w:bCs/>
                <w:szCs w:val="24"/>
              </w:rPr>
            </w:pPr>
            <w:r w:rsidRPr="001B4A02">
              <w:rPr>
                <w:b/>
                <w:bCs/>
                <w:szCs w:val="24"/>
              </w:rPr>
              <w:t>HS Studie I</w:t>
            </w:r>
          </w:p>
        </w:tc>
        <w:tc>
          <w:tcPr>
            <w:tcW w:w="3260" w:type="dxa"/>
            <w:gridSpan w:val="2"/>
            <w:tcMar>
              <w:top w:w="0" w:type="dxa"/>
              <w:left w:w="115" w:type="dxa"/>
              <w:bottom w:w="0" w:type="dxa"/>
              <w:right w:w="115" w:type="dxa"/>
            </w:tcMar>
            <w:vAlign w:val="bottom"/>
          </w:tcPr>
          <w:p w14:paraId="277BC43F" w14:textId="77777777" w:rsidR="00372E74" w:rsidRPr="001B4A02" w:rsidRDefault="00000000" w:rsidP="00ED48A3">
            <w:pPr>
              <w:keepNext/>
              <w:widowControl w:val="0"/>
              <w:tabs>
                <w:tab w:val="left" w:pos="562"/>
              </w:tabs>
              <w:suppressAutoHyphens/>
              <w:ind w:left="0" w:firstLine="0"/>
              <w:jc w:val="center"/>
              <w:rPr>
                <w:b/>
                <w:bCs/>
                <w:szCs w:val="24"/>
              </w:rPr>
            </w:pPr>
            <w:r w:rsidRPr="001B4A02">
              <w:rPr>
                <w:b/>
                <w:bCs/>
                <w:szCs w:val="24"/>
              </w:rPr>
              <w:t>HS Studie II</w:t>
            </w:r>
          </w:p>
        </w:tc>
      </w:tr>
      <w:tr w:rsidR="00534A2D" w14:paraId="308E3E10" w14:textId="77777777" w:rsidTr="008D783A">
        <w:trPr>
          <w:trHeight w:val="20"/>
          <w:jc w:val="center"/>
        </w:trPr>
        <w:tc>
          <w:tcPr>
            <w:tcW w:w="2847" w:type="dxa"/>
            <w:vMerge/>
            <w:tcMar>
              <w:top w:w="0" w:type="dxa"/>
              <w:left w:w="115" w:type="dxa"/>
              <w:bottom w:w="0" w:type="dxa"/>
              <w:right w:w="115" w:type="dxa"/>
            </w:tcMar>
            <w:vAlign w:val="center"/>
            <w:hideMark/>
          </w:tcPr>
          <w:p w14:paraId="5C5DDFE8" w14:textId="77777777" w:rsidR="00372E74" w:rsidRPr="001B4A02" w:rsidRDefault="00372E74" w:rsidP="00ED48A3">
            <w:pPr>
              <w:keepNext/>
              <w:widowControl w:val="0"/>
              <w:tabs>
                <w:tab w:val="left" w:pos="562"/>
              </w:tabs>
              <w:suppressAutoHyphens/>
              <w:ind w:left="0" w:firstLine="0"/>
              <w:rPr>
                <w:szCs w:val="24"/>
              </w:rPr>
            </w:pPr>
          </w:p>
        </w:tc>
        <w:tc>
          <w:tcPr>
            <w:tcW w:w="1440" w:type="dxa"/>
            <w:tcMar>
              <w:top w:w="0" w:type="dxa"/>
              <w:left w:w="115" w:type="dxa"/>
              <w:bottom w:w="0" w:type="dxa"/>
              <w:right w:w="115" w:type="dxa"/>
            </w:tcMar>
            <w:vAlign w:val="center"/>
            <w:hideMark/>
          </w:tcPr>
          <w:p w14:paraId="1863A83E" w14:textId="77777777" w:rsidR="00372E74" w:rsidRPr="001B4A02" w:rsidRDefault="00000000" w:rsidP="00ED48A3">
            <w:pPr>
              <w:keepNext/>
              <w:widowControl w:val="0"/>
              <w:tabs>
                <w:tab w:val="left" w:pos="562"/>
              </w:tabs>
              <w:suppressAutoHyphens/>
              <w:ind w:left="0" w:firstLine="0"/>
              <w:jc w:val="center"/>
              <w:rPr>
                <w:szCs w:val="24"/>
              </w:rPr>
            </w:pPr>
            <w:r w:rsidRPr="001B4A02">
              <w:rPr>
                <w:b/>
                <w:bCs/>
                <w:szCs w:val="24"/>
              </w:rPr>
              <w:t>Placebo</w:t>
            </w:r>
          </w:p>
        </w:tc>
        <w:tc>
          <w:tcPr>
            <w:tcW w:w="1746" w:type="dxa"/>
            <w:tcMar>
              <w:top w:w="0" w:type="dxa"/>
              <w:left w:w="115" w:type="dxa"/>
              <w:bottom w:w="0" w:type="dxa"/>
              <w:right w:w="115" w:type="dxa"/>
            </w:tcMar>
            <w:vAlign w:val="center"/>
            <w:hideMark/>
          </w:tcPr>
          <w:p w14:paraId="423A07A6" w14:textId="77777777" w:rsidR="00372E74" w:rsidRPr="001B4A02" w:rsidRDefault="00000000" w:rsidP="00ED48A3">
            <w:pPr>
              <w:keepNext/>
              <w:widowControl w:val="0"/>
              <w:tabs>
                <w:tab w:val="left" w:pos="562"/>
              </w:tabs>
              <w:suppressAutoHyphens/>
              <w:ind w:left="0" w:firstLine="0"/>
              <w:jc w:val="center"/>
              <w:rPr>
                <w:b/>
                <w:bCs/>
                <w:szCs w:val="24"/>
              </w:rPr>
            </w:pPr>
            <w:r w:rsidRPr="001B4A02">
              <w:rPr>
                <w:b/>
                <w:bCs/>
                <w:szCs w:val="24"/>
              </w:rPr>
              <w:t>Humira 40</w:t>
            </w:r>
            <w:r w:rsidR="00F365E7">
              <w:rPr>
                <w:b/>
                <w:bCs/>
                <w:szCs w:val="24"/>
              </w:rPr>
              <w:t> mg</w:t>
            </w:r>
            <w:r w:rsidRPr="001B4A02">
              <w:rPr>
                <w:b/>
                <w:bCs/>
                <w:szCs w:val="24"/>
              </w:rPr>
              <w:t xml:space="preserve"> jednou týdně</w:t>
            </w:r>
          </w:p>
        </w:tc>
        <w:tc>
          <w:tcPr>
            <w:tcW w:w="1404" w:type="dxa"/>
            <w:tcMar>
              <w:top w:w="0" w:type="dxa"/>
              <w:left w:w="115" w:type="dxa"/>
              <w:bottom w:w="0" w:type="dxa"/>
              <w:right w:w="115" w:type="dxa"/>
            </w:tcMar>
            <w:vAlign w:val="center"/>
            <w:hideMark/>
          </w:tcPr>
          <w:p w14:paraId="47443CD4" w14:textId="77777777" w:rsidR="00372E74" w:rsidRPr="001B4A02" w:rsidRDefault="00000000" w:rsidP="00ED48A3">
            <w:pPr>
              <w:keepNext/>
              <w:widowControl w:val="0"/>
              <w:tabs>
                <w:tab w:val="left" w:pos="562"/>
              </w:tabs>
              <w:suppressAutoHyphens/>
              <w:ind w:left="0" w:firstLine="0"/>
              <w:jc w:val="center"/>
              <w:rPr>
                <w:b/>
                <w:bCs/>
                <w:szCs w:val="24"/>
              </w:rPr>
            </w:pPr>
            <w:r w:rsidRPr="001B4A02">
              <w:rPr>
                <w:b/>
                <w:bCs/>
                <w:szCs w:val="24"/>
              </w:rPr>
              <w:t>Placebo</w:t>
            </w:r>
          </w:p>
        </w:tc>
        <w:tc>
          <w:tcPr>
            <w:tcW w:w="1856" w:type="dxa"/>
            <w:tcMar>
              <w:top w:w="0" w:type="dxa"/>
              <w:left w:w="115" w:type="dxa"/>
              <w:bottom w:w="0" w:type="dxa"/>
              <w:right w:w="115" w:type="dxa"/>
            </w:tcMar>
            <w:vAlign w:val="center"/>
            <w:hideMark/>
          </w:tcPr>
          <w:p w14:paraId="1FDE5C79" w14:textId="77777777" w:rsidR="00372E74" w:rsidRPr="001B4A02" w:rsidRDefault="00000000" w:rsidP="00ED48A3">
            <w:pPr>
              <w:keepNext/>
              <w:widowControl w:val="0"/>
              <w:tabs>
                <w:tab w:val="left" w:pos="562"/>
              </w:tabs>
              <w:suppressAutoHyphens/>
              <w:ind w:left="0" w:firstLine="0"/>
              <w:jc w:val="center"/>
              <w:rPr>
                <w:b/>
                <w:bCs/>
                <w:szCs w:val="24"/>
              </w:rPr>
            </w:pPr>
            <w:r w:rsidRPr="001B4A02">
              <w:rPr>
                <w:b/>
                <w:bCs/>
                <w:szCs w:val="24"/>
              </w:rPr>
              <w:t>Humira 40</w:t>
            </w:r>
            <w:r w:rsidR="00F365E7">
              <w:rPr>
                <w:b/>
                <w:bCs/>
                <w:szCs w:val="24"/>
              </w:rPr>
              <w:t> mg</w:t>
            </w:r>
            <w:r w:rsidRPr="001B4A02">
              <w:rPr>
                <w:b/>
                <w:bCs/>
                <w:szCs w:val="24"/>
              </w:rPr>
              <w:t xml:space="preserve"> jednou týdně</w:t>
            </w:r>
          </w:p>
        </w:tc>
      </w:tr>
      <w:tr w:rsidR="00534A2D" w14:paraId="6D92CEBC" w14:textId="77777777" w:rsidTr="008D783A">
        <w:trPr>
          <w:trHeight w:val="20"/>
          <w:jc w:val="center"/>
        </w:trPr>
        <w:tc>
          <w:tcPr>
            <w:tcW w:w="2847" w:type="dxa"/>
            <w:tcMar>
              <w:top w:w="0" w:type="dxa"/>
              <w:left w:w="115" w:type="dxa"/>
              <w:bottom w:w="0" w:type="dxa"/>
              <w:right w:w="115" w:type="dxa"/>
            </w:tcMar>
            <w:vAlign w:val="center"/>
            <w:hideMark/>
          </w:tcPr>
          <w:p w14:paraId="5BEFB6D0" w14:textId="77777777" w:rsidR="00372E74" w:rsidRPr="001B4A02" w:rsidRDefault="00000000" w:rsidP="00ED48A3">
            <w:pPr>
              <w:keepNext/>
              <w:widowControl w:val="0"/>
              <w:tabs>
                <w:tab w:val="left" w:pos="562"/>
              </w:tabs>
              <w:suppressAutoHyphens/>
              <w:ind w:left="0" w:firstLine="0"/>
              <w:rPr>
                <w:szCs w:val="24"/>
              </w:rPr>
            </w:pPr>
            <w:r w:rsidRPr="001B4A02">
              <w:rPr>
                <w:szCs w:val="24"/>
              </w:rPr>
              <w:t xml:space="preserve">Klinická odpověď </w:t>
            </w:r>
            <w:r w:rsidR="00EF0AF7" w:rsidRPr="001B4A02">
              <w:rPr>
                <w:szCs w:val="24"/>
              </w:rPr>
              <w:t>„</w:t>
            </w:r>
            <w:r w:rsidRPr="001B4A02">
              <w:rPr>
                <w:szCs w:val="24"/>
              </w:rPr>
              <w:t>Hidradenitis Suppurativa Clinical Response</w:t>
            </w:r>
            <w:r w:rsidR="00EF0AF7" w:rsidRPr="001B4A02">
              <w:rPr>
                <w:szCs w:val="24"/>
              </w:rPr>
              <w:t>“</w:t>
            </w:r>
            <w:r w:rsidRPr="001B4A02">
              <w:rPr>
                <w:szCs w:val="24"/>
              </w:rPr>
              <w:t xml:space="preserve"> (HiSCR)</w:t>
            </w:r>
            <w:r w:rsidRPr="001B4A02">
              <w:rPr>
                <w:szCs w:val="24"/>
                <w:vertAlign w:val="superscript"/>
              </w:rPr>
              <w:t>a</w:t>
            </w:r>
            <w:r w:rsidRPr="001B4A02">
              <w:rPr>
                <w:szCs w:val="24"/>
              </w:rPr>
              <w:t xml:space="preserve"> </w:t>
            </w:r>
          </w:p>
        </w:tc>
        <w:tc>
          <w:tcPr>
            <w:tcW w:w="1440" w:type="dxa"/>
            <w:tcMar>
              <w:top w:w="0" w:type="dxa"/>
              <w:left w:w="115" w:type="dxa"/>
              <w:bottom w:w="0" w:type="dxa"/>
              <w:right w:w="115" w:type="dxa"/>
            </w:tcMar>
            <w:hideMark/>
          </w:tcPr>
          <w:p w14:paraId="164542F3" w14:textId="77777777" w:rsidR="00372E74" w:rsidRPr="001B4A02" w:rsidRDefault="00000000" w:rsidP="00ED48A3">
            <w:pPr>
              <w:keepNext/>
              <w:widowControl w:val="0"/>
              <w:tabs>
                <w:tab w:val="left" w:pos="562"/>
              </w:tabs>
              <w:suppressAutoHyphens/>
              <w:ind w:left="0" w:firstLine="0"/>
              <w:jc w:val="center"/>
              <w:rPr>
                <w:szCs w:val="24"/>
              </w:rPr>
            </w:pPr>
            <w:r>
              <w:rPr>
                <w:szCs w:val="24"/>
              </w:rPr>
              <w:t>n</w:t>
            </w:r>
            <w:r w:rsidRPr="001B4A02">
              <w:rPr>
                <w:szCs w:val="24"/>
              </w:rPr>
              <w:t>=154</w:t>
            </w:r>
            <w:r w:rsidRPr="001B4A02">
              <w:rPr>
                <w:szCs w:val="24"/>
              </w:rPr>
              <w:br/>
              <w:t>40 (26,0</w:t>
            </w:r>
            <w:r w:rsidR="00D36F02" w:rsidRPr="001B4A02">
              <w:rPr>
                <w:szCs w:val="24"/>
              </w:rPr>
              <w:t> </w:t>
            </w:r>
            <w:r w:rsidRPr="001B4A02">
              <w:rPr>
                <w:szCs w:val="24"/>
              </w:rPr>
              <w:t>%)</w:t>
            </w:r>
          </w:p>
        </w:tc>
        <w:tc>
          <w:tcPr>
            <w:tcW w:w="1746" w:type="dxa"/>
            <w:tcMar>
              <w:top w:w="0" w:type="dxa"/>
              <w:left w:w="115" w:type="dxa"/>
              <w:bottom w:w="0" w:type="dxa"/>
              <w:right w:w="115" w:type="dxa"/>
            </w:tcMar>
            <w:hideMark/>
          </w:tcPr>
          <w:p w14:paraId="7A2621A4" w14:textId="77777777" w:rsidR="00372E74" w:rsidRPr="001B4A02" w:rsidRDefault="00000000" w:rsidP="00ED48A3">
            <w:pPr>
              <w:keepNext/>
              <w:widowControl w:val="0"/>
              <w:tabs>
                <w:tab w:val="left" w:pos="562"/>
              </w:tabs>
              <w:suppressAutoHyphens/>
              <w:ind w:left="0" w:firstLine="0"/>
              <w:jc w:val="center"/>
              <w:rPr>
                <w:szCs w:val="24"/>
              </w:rPr>
            </w:pPr>
            <w:r>
              <w:rPr>
                <w:szCs w:val="24"/>
              </w:rPr>
              <w:t>n</w:t>
            </w:r>
            <w:r w:rsidRPr="001B4A02">
              <w:rPr>
                <w:szCs w:val="24"/>
              </w:rPr>
              <w:t>=153</w:t>
            </w:r>
            <w:r w:rsidRPr="001B4A02">
              <w:rPr>
                <w:szCs w:val="24"/>
              </w:rPr>
              <w:br/>
              <w:t>64 (41,8</w:t>
            </w:r>
            <w:r w:rsidR="00D36F02" w:rsidRPr="001B4A02">
              <w:rPr>
                <w:szCs w:val="24"/>
              </w:rPr>
              <w:t> </w:t>
            </w:r>
            <w:r w:rsidRPr="001B4A02">
              <w:rPr>
                <w:szCs w:val="24"/>
              </w:rPr>
              <w:t xml:space="preserve">%) </w:t>
            </w:r>
            <w:r w:rsidRPr="001B4A02">
              <w:rPr>
                <w:szCs w:val="24"/>
                <w:vertAlign w:val="superscript"/>
              </w:rPr>
              <w:t>*</w:t>
            </w:r>
          </w:p>
        </w:tc>
        <w:tc>
          <w:tcPr>
            <w:tcW w:w="1404" w:type="dxa"/>
            <w:tcMar>
              <w:top w:w="0" w:type="dxa"/>
              <w:left w:w="115" w:type="dxa"/>
              <w:bottom w:w="0" w:type="dxa"/>
              <w:right w:w="115" w:type="dxa"/>
            </w:tcMar>
          </w:tcPr>
          <w:p w14:paraId="23E587B7" w14:textId="77777777" w:rsidR="00372E74" w:rsidRPr="001B4A02" w:rsidRDefault="00000000" w:rsidP="00ED48A3">
            <w:pPr>
              <w:keepNext/>
              <w:widowControl w:val="0"/>
              <w:tabs>
                <w:tab w:val="left" w:pos="562"/>
              </w:tabs>
              <w:suppressAutoHyphens/>
              <w:ind w:left="0" w:firstLine="0"/>
              <w:jc w:val="center"/>
              <w:rPr>
                <w:szCs w:val="24"/>
              </w:rPr>
            </w:pPr>
            <w:r>
              <w:rPr>
                <w:szCs w:val="24"/>
              </w:rPr>
              <w:t>n</w:t>
            </w:r>
            <w:r w:rsidRPr="001B4A02">
              <w:rPr>
                <w:szCs w:val="24"/>
              </w:rPr>
              <w:t>=163</w:t>
            </w:r>
          </w:p>
          <w:p w14:paraId="37944A21" w14:textId="77777777" w:rsidR="00372E74" w:rsidRPr="001B4A02" w:rsidRDefault="00000000" w:rsidP="00ED48A3">
            <w:pPr>
              <w:keepNext/>
              <w:widowControl w:val="0"/>
              <w:tabs>
                <w:tab w:val="left" w:pos="562"/>
              </w:tabs>
              <w:suppressAutoHyphens/>
              <w:ind w:left="0" w:firstLine="0"/>
              <w:jc w:val="center"/>
              <w:rPr>
                <w:szCs w:val="24"/>
              </w:rPr>
            </w:pPr>
            <w:r w:rsidRPr="001B4A02">
              <w:rPr>
                <w:szCs w:val="24"/>
              </w:rPr>
              <w:t>45 (27,6</w:t>
            </w:r>
            <w:r w:rsidR="00D36F02" w:rsidRPr="001B4A02">
              <w:rPr>
                <w:szCs w:val="24"/>
              </w:rPr>
              <w:t> </w:t>
            </w:r>
            <w:r w:rsidRPr="001B4A02">
              <w:rPr>
                <w:szCs w:val="24"/>
              </w:rPr>
              <w:t>%)</w:t>
            </w:r>
          </w:p>
        </w:tc>
        <w:tc>
          <w:tcPr>
            <w:tcW w:w="1856" w:type="dxa"/>
            <w:tcMar>
              <w:top w:w="0" w:type="dxa"/>
              <w:left w:w="115" w:type="dxa"/>
              <w:bottom w:w="0" w:type="dxa"/>
              <w:right w:w="115" w:type="dxa"/>
            </w:tcMar>
          </w:tcPr>
          <w:p w14:paraId="4EEC94E0" w14:textId="77777777" w:rsidR="00372E74" w:rsidRPr="001B4A02" w:rsidRDefault="00000000" w:rsidP="00ED48A3">
            <w:pPr>
              <w:keepNext/>
              <w:widowControl w:val="0"/>
              <w:tabs>
                <w:tab w:val="left" w:pos="562"/>
              </w:tabs>
              <w:suppressAutoHyphens/>
              <w:ind w:left="0" w:firstLine="0"/>
              <w:jc w:val="center"/>
              <w:rPr>
                <w:szCs w:val="24"/>
              </w:rPr>
            </w:pPr>
            <w:r>
              <w:rPr>
                <w:szCs w:val="24"/>
              </w:rPr>
              <w:t>n</w:t>
            </w:r>
            <w:r w:rsidRPr="001B4A02">
              <w:rPr>
                <w:szCs w:val="24"/>
              </w:rPr>
              <w:t>=163</w:t>
            </w:r>
          </w:p>
          <w:p w14:paraId="65183AC0" w14:textId="77777777" w:rsidR="00372E74" w:rsidRPr="001B4A02" w:rsidRDefault="00000000" w:rsidP="00ED48A3">
            <w:pPr>
              <w:keepNext/>
              <w:widowControl w:val="0"/>
              <w:tabs>
                <w:tab w:val="left" w:pos="562"/>
              </w:tabs>
              <w:suppressAutoHyphens/>
              <w:ind w:left="0" w:firstLine="0"/>
              <w:jc w:val="center"/>
              <w:rPr>
                <w:szCs w:val="24"/>
              </w:rPr>
            </w:pPr>
            <w:r w:rsidRPr="001B4A02">
              <w:rPr>
                <w:szCs w:val="24"/>
              </w:rPr>
              <w:t>96 (58,9</w:t>
            </w:r>
            <w:r w:rsidR="00D36F02" w:rsidRPr="001B4A02">
              <w:rPr>
                <w:szCs w:val="24"/>
              </w:rPr>
              <w:t> </w:t>
            </w:r>
            <w:r w:rsidRPr="001B4A02">
              <w:rPr>
                <w:szCs w:val="24"/>
              </w:rPr>
              <w:t xml:space="preserve">%) </w:t>
            </w:r>
            <w:r w:rsidRPr="001B4A02">
              <w:rPr>
                <w:szCs w:val="24"/>
                <w:vertAlign w:val="superscript"/>
              </w:rPr>
              <w:t>***</w:t>
            </w:r>
          </w:p>
        </w:tc>
      </w:tr>
      <w:tr w:rsidR="00534A2D" w14:paraId="23E0CBE7" w14:textId="77777777" w:rsidTr="008D783A">
        <w:trPr>
          <w:trHeight w:val="20"/>
          <w:jc w:val="center"/>
        </w:trPr>
        <w:tc>
          <w:tcPr>
            <w:tcW w:w="2847" w:type="dxa"/>
            <w:tcMar>
              <w:top w:w="0" w:type="dxa"/>
              <w:left w:w="115" w:type="dxa"/>
              <w:bottom w:w="0" w:type="dxa"/>
              <w:right w:w="115" w:type="dxa"/>
            </w:tcMar>
            <w:vAlign w:val="center"/>
            <w:hideMark/>
          </w:tcPr>
          <w:p w14:paraId="3411ED38" w14:textId="77777777" w:rsidR="00372E74" w:rsidRPr="001B4A02" w:rsidRDefault="00000000" w:rsidP="00ED48A3">
            <w:pPr>
              <w:keepNext/>
              <w:widowControl w:val="0"/>
              <w:tabs>
                <w:tab w:val="left" w:pos="562"/>
              </w:tabs>
              <w:suppressAutoHyphens/>
              <w:ind w:left="0" w:firstLine="0"/>
              <w:rPr>
                <w:szCs w:val="24"/>
              </w:rPr>
            </w:pPr>
            <w:r w:rsidRPr="001B4A02">
              <w:rPr>
                <w:szCs w:val="24"/>
              </w:rPr>
              <w:t>≥</w:t>
            </w:r>
            <w:r w:rsidR="00D36F02" w:rsidRPr="001B4A02">
              <w:rPr>
                <w:szCs w:val="24"/>
              </w:rPr>
              <w:t> </w:t>
            </w:r>
            <w:r w:rsidRPr="001B4A02">
              <w:rPr>
                <w:szCs w:val="24"/>
              </w:rPr>
              <w:t xml:space="preserve">30% </w:t>
            </w:r>
            <w:r w:rsidR="00D36F02" w:rsidRPr="001B4A02">
              <w:rPr>
                <w:szCs w:val="24"/>
              </w:rPr>
              <w:t>s</w:t>
            </w:r>
            <w:r w:rsidRPr="001B4A02">
              <w:rPr>
                <w:szCs w:val="24"/>
              </w:rPr>
              <w:t>nížení bolesti kůže</w:t>
            </w:r>
            <w:r w:rsidRPr="001B4A02">
              <w:rPr>
                <w:szCs w:val="24"/>
                <w:vertAlign w:val="superscript"/>
              </w:rPr>
              <w:t>b</w:t>
            </w:r>
          </w:p>
        </w:tc>
        <w:tc>
          <w:tcPr>
            <w:tcW w:w="1440" w:type="dxa"/>
            <w:tcMar>
              <w:top w:w="0" w:type="dxa"/>
              <w:left w:w="115" w:type="dxa"/>
              <w:bottom w:w="0" w:type="dxa"/>
              <w:right w:w="115" w:type="dxa"/>
            </w:tcMar>
            <w:hideMark/>
          </w:tcPr>
          <w:p w14:paraId="2EC65EFA" w14:textId="77777777" w:rsidR="00372E74" w:rsidRPr="001B4A02" w:rsidRDefault="00000000" w:rsidP="00ED48A3">
            <w:pPr>
              <w:keepNext/>
              <w:widowControl w:val="0"/>
              <w:tabs>
                <w:tab w:val="left" w:pos="562"/>
              </w:tabs>
              <w:suppressAutoHyphens/>
              <w:ind w:left="0" w:firstLine="0"/>
              <w:jc w:val="center"/>
              <w:rPr>
                <w:szCs w:val="24"/>
              </w:rPr>
            </w:pPr>
            <w:r>
              <w:rPr>
                <w:szCs w:val="24"/>
              </w:rPr>
              <w:t>n</w:t>
            </w:r>
            <w:r w:rsidRPr="001B4A02">
              <w:rPr>
                <w:szCs w:val="24"/>
              </w:rPr>
              <w:t>=109</w:t>
            </w:r>
            <w:r w:rsidRPr="001B4A02">
              <w:rPr>
                <w:szCs w:val="24"/>
              </w:rPr>
              <w:br/>
              <w:t>27 (24,8</w:t>
            </w:r>
            <w:r w:rsidR="00D36F02" w:rsidRPr="001B4A02">
              <w:rPr>
                <w:szCs w:val="24"/>
              </w:rPr>
              <w:t> </w:t>
            </w:r>
            <w:r w:rsidRPr="001B4A02">
              <w:rPr>
                <w:szCs w:val="24"/>
              </w:rPr>
              <w:t>%)</w:t>
            </w:r>
          </w:p>
        </w:tc>
        <w:tc>
          <w:tcPr>
            <w:tcW w:w="1746" w:type="dxa"/>
            <w:tcMar>
              <w:top w:w="0" w:type="dxa"/>
              <w:left w:w="115" w:type="dxa"/>
              <w:bottom w:w="0" w:type="dxa"/>
              <w:right w:w="115" w:type="dxa"/>
            </w:tcMar>
            <w:hideMark/>
          </w:tcPr>
          <w:p w14:paraId="0B366A4D" w14:textId="77777777" w:rsidR="00372E74" w:rsidRPr="001B4A02" w:rsidRDefault="00000000" w:rsidP="00ED48A3">
            <w:pPr>
              <w:keepNext/>
              <w:widowControl w:val="0"/>
              <w:tabs>
                <w:tab w:val="left" w:pos="562"/>
              </w:tabs>
              <w:suppressAutoHyphens/>
              <w:ind w:left="0" w:firstLine="0"/>
              <w:jc w:val="center"/>
              <w:rPr>
                <w:szCs w:val="24"/>
              </w:rPr>
            </w:pPr>
            <w:r>
              <w:rPr>
                <w:szCs w:val="24"/>
              </w:rPr>
              <w:t>n</w:t>
            </w:r>
            <w:r w:rsidRPr="001B4A02">
              <w:rPr>
                <w:szCs w:val="24"/>
              </w:rPr>
              <w:t>=122</w:t>
            </w:r>
            <w:r w:rsidRPr="001B4A02">
              <w:rPr>
                <w:szCs w:val="24"/>
              </w:rPr>
              <w:br/>
              <w:t>34 (27,9</w:t>
            </w:r>
            <w:r w:rsidR="00D36F02" w:rsidRPr="001B4A02">
              <w:rPr>
                <w:szCs w:val="24"/>
              </w:rPr>
              <w:t> </w:t>
            </w:r>
            <w:r w:rsidRPr="001B4A02">
              <w:rPr>
                <w:szCs w:val="24"/>
              </w:rPr>
              <w:t>%)</w:t>
            </w:r>
          </w:p>
        </w:tc>
        <w:tc>
          <w:tcPr>
            <w:tcW w:w="1404" w:type="dxa"/>
            <w:tcMar>
              <w:top w:w="0" w:type="dxa"/>
              <w:left w:w="115" w:type="dxa"/>
              <w:bottom w:w="0" w:type="dxa"/>
              <w:right w:w="115" w:type="dxa"/>
            </w:tcMar>
          </w:tcPr>
          <w:p w14:paraId="4198B868" w14:textId="77777777" w:rsidR="00372E74" w:rsidRPr="001B4A02" w:rsidRDefault="00000000" w:rsidP="00ED48A3">
            <w:pPr>
              <w:keepNext/>
              <w:widowControl w:val="0"/>
              <w:tabs>
                <w:tab w:val="left" w:pos="562"/>
              </w:tabs>
              <w:suppressAutoHyphens/>
              <w:ind w:left="0" w:firstLine="0"/>
              <w:jc w:val="center"/>
              <w:rPr>
                <w:szCs w:val="24"/>
              </w:rPr>
            </w:pPr>
            <w:r>
              <w:rPr>
                <w:szCs w:val="24"/>
              </w:rPr>
              <w:t>n</w:t>
            </w:r>
            <w:r w:rsidRPr="001B4A02">
              <w:rPr>
                <w:szCs w:val="24"/>
              </w:rPr>
              <w:t>=111</w:t>
            </w:r>
          </w:p>
          <w:p w14:paraId="1AE73C9C" w14:textId="77777777" w:rsidR="00372E74" w:rsidRPr="001B4A02" w:rsidRDefault="00000000" w:rsidP="00ED48A3">
            <w:pPr>
              <w:keepNext/>
              <w:widowControl w:val="0"/>
              <w:tabs>
                <w:tab w:val="left" w:pos="562"/>
              </w:tabs>
              <w:suppressAutoHyphens/>
              <w:ind w:left="0" w:firstLine="0"/>
              <w:jc w:val="center"/>
              <w:rPr>
                <w:szCs w:val="24"/>
              </w:rPr>
            </w:pPr>
            <w:r w:rsidRPr="001B4A02">
              <w:rPr>
                <w:szCs w:val="24"/>
              </w:rPr>
              <w:t>23 (20,7</w:t>
            </w:r>
            <w:r w:rsidR="00D36F02" w:rsidRPr="001B4A02">
              <w:rPr>
                <w:szCs w:val="24"/>
              </w:rPr>
              <w:t> </w:t>
            </w:r>
            <w:r w:rsidRPr="001B4A02">
              <w:rPr>
                <w:szCs w:val="24"/>
              </w:rPr>
              <w:t>%)</w:t>
            </w:r>
          </w:p>
        </w:tc>
        <w:tc>
          <w:tcPr>
            <w:tcW w:w="1856" w:type="dxa"/>
            <w:tcMar>
              <w:top w:w="0" w:type="dxa"/>
              <w:left w:w="115" w:type="dxa"/>
              <w:bottom w:w="0" w:type="dxa"/>
              <w:right w:w="115" w:type="dxa"/>
            </w:tcMar>
          </w:tcPr>
          <w:p w14:paraId="340CE372" w14:textId="77777777" w:rsidR="00372E74" w:rsidRPr="001B4A02" w:rsidRDefault="00000000" w:rsidP="00ED48A3">
            <w:pPr>
              <w:keepNext/>
              <w:widowControl w:val="0"/>
              <w:tabs>
                <w:tab w:val="left" w:pos="562"/>
              </w:tabs>
              <w:suppressAutoHyphens/>
              <w:ind w:left="0" w:firstLine="0"/>
              <w:jc w:val="center"/>
              <w:rPr>
                <w:szCs w:val="24"/>
              </w:rPr>
            </w:pPr>
            <w:r>
              <w:rPr>
                <w:szCs w:val="24"/>
              </w:rPr>
              <w:t>n</w:t>
            </w:r>
            <w:r w:rsidRPr="001B4A02">
              <w:rPr>
                <w:szCs w:val="24"/>
              </w:rPr>
              <w:t>=105</w:t>
            </w:r>
          </w:p>
          <w:p w14:paraId="6D7E5DC9" w14:textId="77777777" w:rsidR="00372E74" w:rsidRPr="001B4A02" w:rsidRDefault="00000000" w:rsidP="00ED48A3">
            <w:pPr>
              <w:keepNext/>
              <w:widowControl w:val="0"/>
              <w:tabs>
                <w:tab w:val="left" w:pos="562"/>
              </w:tabs>
              <w:suppressAutoHyphens/>
              <w:ind w:left="0" w:firstLine="0"/>
              <w:jc w:val="center"/>
              <w:rPr>
                <w:szCs w:val="24"/>
              </w:rPr>
            </w:pPr>
            <w:r w:rsidRPr="001B4A02">
              <w:rPr>
                <w:szCs w:val="24"/>
              </w:rPr>
              <w:t>48 (45,7</w:t>
            </w:r>
            <w:r w:rsidR="00D36F02" w:rsidRPr="001B4A02">
              <w:rPr>
                <w:szCs w:val="24"/>
              </w:rPr>
              <w:t> </w:t>
            </w:r>
            <w:r w:rsidRPr="001B4A02">
              <w:rPr>
                <w:szCs w:val="24"/>
              </w:rPr>
              <w:t xml:space="preserve">%) </w:t>
            </w:r>
            <w:r w:rsidRPr="001B4A02">
              <w:rPr>
                <w:szCs w:val="24"/>
                <w:vertAlign w:val="superscript"/>
              </w:rPr>
              <w:t>***</w:t>
            </w:r>
          </w:p>
        </w:tc>
      </w:tr>
      <w:tr w:rsidR="00534A2D" w14:paraId="1DCF39F6" w14:textId="77777777" w:rsidTr="008D783A">
        <w:trPr>
          <w:trHeight w:val="20"/>
          <w:jc w:val="center"/>
        </w:trPr>
        <w:tc>
          <w:tcPr>
            <w:tcW w:w="9293" w:type="dxa"/>
            <w:gridSpan w:val="5"/>
            <w:tcMar>
              <w:top w:w="0" w:type="dxa"/>
              <w:left w:w="115" w:type="dxa"/>
              <w:bottom w:w="0" w:type="dxa"/>
              <w:right w:w="115" w:type="dxa"/>
            </w:tcMar>
            <w:vAlign w:val="center"/>
          </w:tcPr>
          <w:p w14:paraId="01FB1558" w14:textId="77777777" w:rsidR="00372E74" w:rsidRPr="001B4A02" w:rsidRDefault="00000000" w:rsidP="00ED48A3">
            <w:pPr>
              <w:keepNext/>
              <w:widowControl w:val="0"/>
              <w:tabs>
                <w:tab w:val="left" w:pos="562"/>
              </w:tabs>
              <w:suppressAutoHyphens/>
              <w:ind w:left="360" w:firstLine="0"/>
              <w:rPr>
                <w:szCs w:val="24"/>
              </w:rPr>
            </w:pPr>
            <w:r w:rsidRPr="001B4A02">
              <w:rPr>
                <w:szCs w:val="24"/>
              </w:rPr>
              <w:t xml:space="preserve">* </w:t>
            </w:r>
            <w:r w:rsidRPr="001B4A02">
              <w:rPr>
                <w:i/>
                <w:szCs w:val="24"/>
              </w:rPr>
              <w:t>P</w:t>
            </w:r>
            <w:r w:rsidRPr="001B4A02">
              <w:rPr>
                <w:szCs w:val="24"/>
              </w:rPr>
              <w:t xml:space="preserve"> &lt; 0,05, ***</w:t>
            </w:r>
            <w:r w:rsidRPr="001B4A02">
              <w:rPr>
                <w:i/>
                <w:szCs w:val="24"/>
              </w:rPr>
              <w:t xml:space="preserve">P </w:t>
            </w:r>
            <w:r w:rsidR="008A4562" w:rsidRPr="001B4A02">
              <w:rPr>
                <w:szCs w:val="24"/>
              </w:rPr>
              <w:t xml:space="preserve">&lt; 0,001, </w:t>
            </w:r>
            <w:r w:rsidR="00B85453" w:rsidRPr="001B4A02">
              <w:rPr>
                <w:szCs w:val="22"/>
              </w:rPr>
              <w:t xml:space="preserve">přípravek </w:t>
            </w:r>
            <w:r w:rsidR="008A4562" w:rsidRPr="001B4A02">
              <w:rPr>
                <w:szCs w:val="24"/>
              </w:rPr>
              <w:t>Humira versus placebo</w:t>
            </w:r>
          </w:p>
          <w:p w14:paraId="186E7BD5" w14:textId="77777777" w:rsidR="00372E74" w:rsidRPr="001B4A02" w:rsidRDefault="00000000" w:rsidP="00ED48A3">
            <w:pPr>
              <w:keepNext/>
              <w:keepLines/>
              <w:widowControl w:val="0"/>
              <w:numPr>
                <w:ilvl w:val="0"/>
                <w:numId w:val="90"/>
              </w:numPr>
              <w:tabs>
                <w:tab w:val="left" w:pos="422"/>
              </w:tabs>
              <w:suppressAutoHyphens/>
              <w:rPr>
                <w:szCs w:val="24"/>
              </w:rPr>
            </w:pPr>
            <w:r w:rsidRPr="001B4A02">
              <w:rPr>
                <w:szCs w:val="24"/>
              </w:rPr>
              <w:t>U všech randomizovaných pacientů.</w:t>
            </w:r>
          </w:p>
          <w:p w14:paraId="619149F6" w14:textId="77777777" w:rsidR="00372E74" w:rsidRPr="001B4A02" w:rsidRDefault="00000000" w:rsidP="00ED48A3">
            <w:pPr>
              <w:keepNext/>
              <w:keepLines/>
              <w:widowControl w:val="0"/>
              <w:numPr>
                <w:ilvl w:val="0"/>
                <w:numId w:val="90"/>
              </w:numPr>
              <w:tabs>
                <w:tab w:val="left" w:pos="422"/>
              </w:tabs>
              <w:suppressAutoHyphens/>
              <w:rPr>
                <w:szCs w:val="24"/>
              </w:rPr>
            </w:pPr>
            <w:r w:rsidRPr="001B4A02">
              <w:rPr>
                <w:szCs w:val="24"/>
              </w:rPr>
              <w:t>U pacientů s</w:t>
            </w:r>
            <w:r w:rsidR="00463AD9" w:rsidRPr="001B4A02">
              <w:rPr>
                <w:szCs w:val="24"/>
              </w:rPr>
              <w:t> </w:t>
            </w:r>
            <w:r w:rsidRPr="001B4A02">
              <w:rPr>
                <w:szCs w:val="24"/>
              </w:rPr>
              <w:t>výchozí hodnotou bolesti kůže spojené s</w:t>
            </w:r>
            <w:r w:rsidR="00463AD9" w:rsidRPr="001B4A02">
              <w:rPr>
                <w:szCs w:val="24"/>
              </w:rPr>
              <w:t> </w:t>
            </w:r>
            <w:r w:rsidRPr="001B4A02">
              <w:rPr>
                <w:szCs w:val="24"/>
              </w:rPr>
              <w:t xml:space="preserve">HS ≥ 3, na </w:t>
            </w:r>
            <w:r w:rsidR="00AD16E3" w:rsidRPr="001B4A02">
              <w:rPr>
                <w:szCs w:val="24"/>
              </w:rPr>
              <w:t>podkladě číselné škály</w:t>
            </w:r>
            <w:r w:rsidRPr="001B4A02">
              <w:rPr>
                <w:szCs w:val="24"/>
              </w:rPr>
              <w:t xml:space="preserve"> 0–10; 0 = žádná bolest kůže, 10 = bolest kůže tak velká, jak si jen lze představit.</w:t>
            </w:r>
          </w:p>
        </w:tc>
      </w:tr>
    </w:tbl>
    <w:p w14:paraId="31EF52CF" w14:textId="77777777" w:rsidR="00372E74" w:rsidRPr="001B4A02" w:rsidRDefault="00372E74" w:rsidP="00ED48A3">
      <w:pPr>
        <w:ind w:left="0" w:firstLine="0"/>
        <w:rPr>
          <w:rFonts w:eastAsia="Calibri"/>
          <w:szCs w:val="22"/>
        </w:rPr>
      </w:pPr>
    </w:p>
    <w:p w14:paraId="45488AC4" w14:textId="77777777" w:rsidR="00372E74" w:rsidRPr="001B4A02" w:rsidRDefault="00000000" w:rsidP="00ED48A3">
      <w:pPr>
        <w:ind w:left="0" w:firstLine="0"/>
        <w:rPr>
          <w:rFonts w:eastAsia="Calibri"/>
          <w:szCs w:val="22"/>
        </w:rPr>
      </w:pPr>
      <w:r w:rsidRPr="001B4A02">
        <w:rPr>
          <w:rFonts w:eastAsia="Calibri"/>
          <w:szCs w:val="22"/>
        </w:rPr>
        <w:t>Léčba přípravkem Humira 40</w:t>
      </w:r>
      <w:r w:rsidR="00F365E7">
        <w:rPr>
          <w:rFonts w:eastAsia="Calibri"/>
          <w:szCs w:val="22"/>
        </w:rPr>
        <w:t> mg</w:t>
      </w:r>
      <w:r w:rsidRPr="001B4A02">
        <w:rPr>
          <w:rFonts w:eastAsia="Calibri"/>
          <w:szCs w:val="22"/>
        </w:rPr>
        <w:t xml:space="preserve"> jednou týdně významně snížila riziko zhoršení abscesů</w:t>
      </w:r>
      <w:r w:rsidR="002378E0">
        <w:rPr>
          <w:rFonts w:eastAsia="Calibri"/>
          <w:szCs w:val="22"/>
        </w:rPr>
        <w:t xml:space="preserve"> a </w:t>
      </w:r>
      <w:r w:rsidRPr="001B4A02">
        <w:rPr>
          <w:rFonts w:eastAsia="Calibri"/>
          <w:szCs w:val="22"/>
        </w:rPr>
        <w:t>píštělí s</w:t>
      </w:r>
      <w:r w:rsidR="008A4562" w:rsidRPr="001B4A02">
        <w:rPr>
          <w:rFonts w:eastAsia="Calibri"/>
          <w:szCs w:val="22"/>
        </w:rPr>
        <w:t> </w:t>
      </w:r>
      <w:r w:rsidRPr="001B4A02">
        <w:rPr>
          <w:rFonts w:eastAsia="Calibri"/>
          <w:szCs w:val="22"/>
        </w:rPr>
        <w:t>výtokem. Přibližně dvakrát větší část pacientů ve skupině placeba během prvních 12 týdnů trvání studie HS-I</w:t>
      </w:r>
      <w:r w:rsidR="002378E0">
        <w:rPr>
          <w:rFonts w:eastAsia="Calibri"/>
          <w:szCs w:val="22"/>
        </w:rPr>
        <w:t xml:space="preserve"> a </w:t>
      </w:r>
      <w:r w:rsidRPr="001B4A02">
        <w:rPr>
          <w:rFonts w:eastAsia="Calibri"/>
          <w:szCs w:val="22"/>
        </w:rPr>
        <w:t>HS-II, ve srovnání s pacienty ve skupině s přípravkem Humira, pocítila zhoršení abscesů (23,0</w:t>
      </w:r>
      <w:r w:rsidR="0045106E" w:rsidRPr="001B4A02">
        <w:rPr>
          <w:rFonts w:eastAsia="Calibri"/>
          <w:szCs w:val="22"/>
        </w:rPr>
        <w:t> </w:t>
      </w:r>
      <w:r w:rsidRPr="001B4A02">
        <w:rPr>
          <w:rFonts w:eastAsia="Calibri"/>
          <w:szCs w:val="22"/>
        </w:rPr>
        <w:t>% vs. 11,4</w:t>
      </w:r>
      <w:r w:rsidR="0045106E" w:rsidRPr="001B4A02">
        <w:rPr>
          <w:rFonts w:eastAsia="Calibri"/>
          <w:szCs w:val="22"/>
        </w:rPr>
        <w:t> </w:t>
      </w:r>
      <w:r w:rsidRPr="001B4A02">
        <w:rPr>
          <w:rFonts w:eastAsia="Calibri"/>
          <w:szCs w:val="22"/>
        </w:rPr>
        <w:t>%, resp.)</w:t>
      </w:r>
      <w:r w:rsidR="002378E0">
        <w:rPr>
          <w:rFonts w:eastAsia="Calibri"/>
          <w:szCs w:val="22"/>
        </w:rPr>
        <w:t xml:space="preserve"> a </w:t>
      </w:r>
      <w:r w:rsidRPr="001B4A02">
        <w:rPr>
          <w:rFonts w:eastAsia="Calibri"/>
          <w:szCs w:val="22"/>
        </w:rPr>
        <w:t>píštělí s výtokem (30,0</w:t>
      </w:r>
      <w:r w:rsidR="0045106E" w:rsidRPr="001B4A02">
        <w:rPr>
          <w:rFonts w:eastAsia="Calibri"/>
          <w:szCs w:val="22"/>
        </w:rPr>
        <w:t> </w:t>
      </w:r>
      <w:r w:rsidRPr="001B4A02">
        <w:rPr>
          <w:rFonts w:eastAsia="Calibri"/>
          <w:szCs w:val="22"/>
        </w:rPr>
        <w:t>% vs. 13,9</w:t>
      </w:r>
      <w:r w:rsidR="0045106E" w:rsidRPr="001B4A02">
        <w:rPr>
          <w:rFonts w:eastAsia="Calibri"/>
          <w:szCs w:val="22"/>
        </w:rPr>
        <w:t> </w:t>
      </w:r>
      <w:r w:rsidRPr="001B4A02">
        <w:rPr>
          <w:rFonts w:eastAsia="Calibri"/>
          <w:szCs w:val="22"/>
        </w:rPr>
        <w:t>%, resp.).</w:t>
      </w:r>
    </w:p>
    <w:p w14:paraId="0B006A8E" w14:textId="77777777" w:rsidR="00372E74" w:rsidRPr="001B4A02" w:rsidRDefault="00372E74" w:rsidP="00ED48A3">
      <w:pPr>
        <w:ind w:left="0" w:firstLine="0"/>
        <w:rPr>
          <w:rFonts w:eastAsia="Calibri"/>
          <w:szCs w:val="22"/>
        </w:rPr>
      </w:pPr>
    </w:p>
    <w:p w14:paraId="2A048BE6" w14:textId="77777777" w:rsidR="00372E74" w:rsidRPr="001B4A02" w:rsidRDefault="00000000" w:rsidP="00ED48A3">
      <w:pPr>
        <w:ind w:left="0" w:firstLine="0"/>
        <w:rPr>
          <w:rFonts w:eastAsia="Calibri"/>
          <w:szCs w:val="22"/>
        </w:rPr>
      </w:pPr>
      <w:r w:rsidRPr="001B4A02">
        <w:rPr>
          <w:rFonts w:eastAsia="Calibri"/>
          <w:szCs w:val="22"/>
        </w:rPr>
        <w:t>Větší zlepšení v týdnu 12 oproti výchozím hodnotám ve srovnání s placebem bylo demonstrováno v kvalitě života týkající se zdraví</w:t>
      </w:r>
      <w:r w:rsidR="002378E0">
        <w:rPr>
          <w:rFonts w:eastAsia="Calibri"/>
          <w:szCs w:val="22"/>
        </w:rPr>
        <w:t xml:space="preserve"> a </w:t>
      </w:r>
      <w:r w:rsidRPr="001B4A02">
        <w:rPr>
          <w:rFonts w:eastAsia="Calibri"/>
          <w:szCs w:val="22"/>
        </w:rPr>
        <w:t xml:space="preserve">specificky kůže, dle měření Dermatologického </w:t>
      </w:r>
      <w:r w:rsidR="00AD16E3" w:rsidRPr="001B4A02">
        <w:rPr>
          <w:rFonts w:eastAsia="Calibri"/>
          <w:szCs w:val="22"/>
        </w:rPr>
        <w:t>i</w:t>
      </w:r>
      <w:r w:rsidRPr="001B4A02">
        <w:rPr>
          <w:rFonts w:eastAsia="Calibri"/>
          <w:szCs w:val="22"/>
        </w:rPr>
        <w:t xml:space="preserve">ndexu </w:t>
      </w:r>
      <w:r w:rsidR="00AD16E3" w:rsidRPr="001B4A02">
        <w:rPr>
          <w:rFonts w:eastAsia="Calibri"/>
          <w:szCs w:val="22"/>
        </w:rPr>
        <w:t>k</w:t>
      </w:r>
      <w:r w:rsidRPr="001B4A02">
        <w:rPr>
          <w:rFonts w:eastAsia="Calibri"/>
          <w:szCs w:val="22"/>
        </w:rPr>
        <w:t xml:space="preserve">vality </w:t>
      </w:r>
      <w:r w:rsidR="00AD16E3" w:rsidRPr="001B4A02">
        <w:rPr>
          <w:rFonts w:eastAsia="Calibri"/>
          <w:szCs w:val="22"/>
        </w:rPr>
        <w:t>ž</w:t>
      </w:r>
      <w:r w:rsidRPr="001B4A02">
        <w:rPr>
          <w:rFonts w:eastAsia="Calibri"/>
          <w:szCs w:val="22"/>
        </w:rPr>
        <w:t>ivota (Dermatology Life Quality Index DLQI; Studie HS-I</w:t>
      </w:r>
      <w:r w:rsidR="002378E0">
        <w:rPr>
          <w:rFonts w:eastAsia="Calibri"/>
          <w:szCs w:val="22"/>
        </w:rPr>
        <w:t xml:space="preserve"> a </w:t>
      </w:r>
      <w:r w:rsidRPr="001B4A02">
        <w:rPr>
          <w:rFonts w:eastAsia="Calibri"/>
          <w:szCs w:val="22"/>
        </w:rPr>
        <w:t>HS-II), celkovou spokojeností pacienta s léčbou, dle měření Dotazníku spokojenosti s léčbou (Treatment Satisfaction Questionnaire – medication, TSQM; Studie HS-I</w:t>
      </w:r>
      <w:r w:rsidR="002378E0">
        <w:rPr>
          <w:rFonts w:eastAsia="Calibri"/>
          <w:szCs w:val="22"/>
        </w:rPr>
        <w:t xml:space="preserve"> a </w:t>
      </w:r>
      <w:r w:rsidRPr="001B4A02">
        <w:rPr>
          <w:rFonts w:eastAsia="Calibri"/>
          <w:szCs w:val="22"/>
        </w:rPr>
        <w:t>HS-II)</w:t>
      </w:r>
      <w:r w:rsidR="002378E0">
        <w:rPr>
          <w:rFonts w:eastAsia="Calibri"/>
          <w:szCs w:val="22"/>
        </w:rPr>
        <w:t xml:space="preserve"> a </w:t>
      </w:r>
      <w:r w:rsidRPr="001B4A02">
        <w:rPr>
          <w:rFonts w:eastAsia="Calibri"/>
          <w:szCs w:val="22"/>
        </w:rPr>
        <w:t>fyzickým zdravím dle měření skóre souhrnu tělesných komponent (physical component summary) SF-36 (Studie HS-I).</w:t>
      </w:r>
    </w:p>
    <w:p w14:paraId="0B77C6E2" w14:textId="77777777" w:rsidR="00372E74" w:rsidRPr="001B4A02" w:rsidRDefault="00372E74" w:rsidP="00ED48A3">
      <w:pPr>
        <w:ind w:left="0" w:firstLine="0"/>
        <w:rPr>
          <w:rFonts w:eastAsia="Calibri"/>
          <w:szCs w:val="22"/>
        </w:rPr>
      </w:pPr>
    </w:p>
    <w:p w14:paraId="0D1574CB" w14:textId="77777777" w:rsidR="00372E74" w:rsidRPr="001B4A02" w:rsidRDefault="00000000" w:rsidP="00ED48A3">
      <w:pPr>
        <w:ind w:left="0" w:firstLine="0"/>
        <w:rPr>
          <w:rFonts w:eastAsia="Calibri"/>
          <w:szCs w:val="22"/>
        </w:rPr>
      </w:pPr>
      <w:r w:rsidRPr="001B4A02">
        <w:rPr>
          <w:rFonts w:eastAsia="Calibri"/>
          <w:szCs w:val="22"/>
        </w:rPr>
        <w:t>U pacientů s alespoň částečnou odpovědí na léčbu přípravkem Humira 40</w:t>
      </w:r>
      <w:r w:rsidR="00F365E7">
        <w:rPr>
          <w:rFonts w:eastAsia="Calibri"/>
          <w:szCs w:val="22"/>
        </w:rPr>
        <w:t> mg</w:t>
      </w:r>
      <w:r w:rsidRPr="001B4A02">
        <w:rPr>
          <w:rFonts w:eastAsia="Calibri"/>
          <w:szCs w:val="22"/>
        </w:rPr>
        <w:t xml:space="preserve"> jednou týdně v týdnu 12 byla hodnota HiSCR v týdnu 36 větší u</w:t>
      </w:r>
      <w:r w:rsidR="008A5E18" w:rsidRPr="001B4A02">
        <w:rPr>
          <w:rFonts w:eastAsia="Calibri"/>
          <w:szCs w:val="22"/>
        </w:rPr>
        <w:t> </w:t>
      </w:r>
      <w:r w:rsidRPr="001B4A02">
        <w:rPr>
          <w:rFonts w:eastAsia="Calibri"/>
          <w:szCs w:val="22"/>
        </w:rPr>
        <w:t>pacientů, kteří pokračovali v léčbě přípravkem Humira jednou týdně, než u</w:t>
      </w:r>
      <w:r w:rsidR="008A5E18" w:rsidRPr="001B4A02">
        <w:rPr>
          <w:rFonts w:eastAsia="Calibri"/>
          <w:szCs w:val="22"/>
        </w:rPr>
        <w:t> </w:t>
      </w:r>
      <w:r w:rsidRPr="001B4A02">
        <w:rPr>
          <w:rFonts w:eastAsia="Calibri"/>
          <w:szCs w:val="22"/>
        </w:rPr>
        <w:t>pacientů, u</w:t>
      </w:r>
      <w:r w:rsidR="008A5E18" w:rsidRPr="001B4A02">
        <w:rPr>
          <w:rFonts w:eastAsia="Calibri"/>
          <w:szCs w:val="22"/>
        </w:rPr>
        <w:t> </w:t>
      </w:r>
      <w:r w:rsidRPr="001B4A02">
        <w:rPr>
          <w:rFonts w:eastAsia="Calibri"/>
          <w:szCs w:val="22"/>
        </w:rPr>
        <w:t>kterých byla frekvence dávkování snížena na jednou za dva týdny nebo u</w:t>
      </w:r>
      <w:r w:rsidR="00463AD9" w:rsidRPr="001B4A02">
        <w:rPr>
          <w:rFonts w:eastAsia="Calibri"/>
          <w:szCs w:val="22"/>
        </w:rPr>
        <w:t> </w:t>
      </w:r>
      <w:r w:rsidRPr="001B4A02">
        <w:rPr>
          <w:rFonts w:eastAsia="Calibri"/>
          <w:szCs w:val="22"/>
        </w:rPr>
        <w:t xml:space="preserve">kterých byla léčba přerušena (viz tabulka </w:t>
      </w:r>
      <w:r w:rsidR="002A0AEB">
        <w:rPr>
          <w:rFonts w:eastAsia="Calibri"/>
          <w:szCs w:val="22"/>
        </w:rPr>
        <w:t>20</w:t>
      </w:r>
      <w:r w:rsidRPr="001B4A02">
        <w:rPr>
          <w:rFonts w:eastAsia="Calibri"/>
          <w:szCs w:val="22"/>
        </w:rPr>
        <w:t>).</w:t>
      </w:r>
    </w:p>
    <w:p w14:paraId="0B2E3510" w14:textId="77777777" w:rsidR="003F0EE3" w:rsidRPr="001B4A02" w:rsidRDefault="003F0EE3" w:rsidP="00ED48A3">
      <w:pPr>
        <w:ind w:left="0" w:firstLine="0"/>
        <w:rPr>
          <w:rFonts w:eastAsia="Calibri"/>
          <w:szCs w:val="22"/>
        </w:rPr>
      </w:pPr>
    </w:p>
    <w:p w14:paraId="06B66BD3" w14:textId="77777777" w:rsidR="00372E74" w:rsidRPr="001B4A02" w:rsidRDefault="00000000" w:rsidP="009038AE">
      <w:pPr>
        <w:keepNext/>
        <w:ind w:left="0" w:firstLine="0"/>
        <w:jc w:val="center"/>
        <w:rPr>
          <w:rFonts w:eastAsia="MS Mincho"/>
          <w:b/>
          <w:szCs w:val="22"/>
          <w:lang w:eastAsia="ja-JP"/>
        </w:rPr>
      </w:pPr>
      <w:r w:rsidRPr="001B4A02">
        <w:rPr>
          <w:rFonts w:eastAsia="MS Mincho"/>
          <w:b/>
          <w:szCs w:val="22"/>
          <w:lang w:eastAsia="ja-JP"/>
        </w:rPr>
        <w:t>Tabulka </w:t>
      </w:r>
      <w:r w:rsidR="002A0AEB">
        <w:rPr>
          <w:rFonts w:eastAsia="MS Mincho"/>
          <w:b/>
          <w:szCs w:val="22"/>
          <w:lang w:eastAsia="ja-JP"/>
        </w:rPr>
        <w:t>20</w:t>
      </w:r>
      <w:r w:rsidRPr="001B4A02">
        <w:rPr>
          <w:rFonts w:eastAsia="MS Mincho"/>
          <w:b/>
          <w:szCs w:val="22"/>
          <w:lang w:eastAsia="ja-JP"/>
        </w:rPr>
        <w:t>: Poměr pacientů</w:t>
      </w:r>
      <w:r w:rsidRPr="001B4A02">
        <w:rPr>
          <w:rFonts w:eastAsia="MS Mincho"/>
          <w:b/>
          <w:szCs w:val="22"/>
          <w:vertAlign w:val="superscript"/>
          <w:lang w:eastAsia="ja-JP"/>
        </w:rPr>
        <w:t>a</w:t>
      </w:r>
      <w:r w:rsidRPr="001B4A02">
        <w:rPr>
          <w:rFonts w:eastAsia="MS Mincho"/>
          <w:b/>
          <w:szCs w:val="22"/>
          <w:lang w:eastAsia="ja-JP"/>
        </w:rPr>
        <w:t>, kteří dosáhli HiSCR</w:t>
      </w:r>
      <w:r w:rsidRPr="001B4A02">
        <w:rPr>
          <w:rFonts w:eastAsia="MS Mincho"/>
          <w:b/>
          <w:szCs w:val="22"/>
          <w:vertAlign w:val="superscript"/>
          <w:lang w:eastAsia="ja-JP"/>
        </w:rPr>
        <w:t xml:space="preserve">b </w:t>
      </w:r>
      <w:r w:rsidRPr="001B4A02">
        <w:rPr>
          <w:rFonts w:eastAsia="MS Mincho"/>
          <w:b/>
          <w:szCs w:val="22"/>
          <w:lang w:eastAsia="ja-JP"/>
        </w:rPr>
        <w:t>v</w:t>
      </w:r>
      <w:r w:rsidR="00D41D1A" w:rsidRPr="001B4A02">
        <w:rPr>
          <w:rFonts w:eastAsia="MS Mincho"/>
          <w:b/>
          <w:szCs w:val="22"/>
          <w:lang w:eastAsia="ja-JP"/>
        </w:rPr>
        <w:t> </w:t>
      </w:r>
      <w:r w:rsidRPr="001B4A02">
        <w:rPr>
          <w:rFonts w:eastAsia="MS Mincho"/>
          <w:b/>
          <w:szCs w:val="22"/>
          <w:lang w:eastAsia="ja-JP"/>
        </w:rPr>
        <w:t>týdnech 24</w:t>
      </w:r>
      <w:r w:rsidR="002378E0">
        <w:rPr>
          <w:rFonts w:eastAsia="MS Mincho"/>
          <w:b/>
          <w:szCs w:val="22"/>
          <w:lang w:eastAsia="ja-JP"/>
        </w:rPr>
        <w:t xml:space="preserve"> a </w:t>
      </w:r>
      <w:r w:rsidRPr="001B4A02">
        <w:rPr>
          <w:rFonts w:eastAsia="MS Mincho"/>
          <w:b/>
          <w:szCs w:val="22"/>
          <w:lang w:eastAsia="ja-JP"/>
        </w:rPr>
        <w:t>36 po opětovném přeřazení léčby přípravkem Humira týdně v</w:t>
      </w:r>
      <w:r w:rsidR="00D41D1A" w:rsidRPr="001B4A02">
        <w:rPr>
          <w:rFonts w:eastAsia="MS Mincho"/>
          <w:b/>
          <w:szCs w:val="22"/>
          <w:lang w:eastAsia="ja-JP"/>
        </w:rPr>
        <w:t> </w:t>
      </w:r>
      <w:r w:rsidRPr="001B4A02">
        <w:rPr>
          <w:rFonts w:eastAsia="MS Mincho"/>
          <w:b/>
          <w:szCs w:val="22"/>
          <w:lang w:eastAsia="ja-JP"/>
        </w:rPr>
        <w:t>týdnu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7"/>
        <w:gridCol w:w="2552"/>
        <w:gridCol w:w="2289"/>
        <w:gridCol w:w="2170"/>
      </w:tblGrid>
      <w:tr w:rsidR="00534A2D" w14:paraId="54410B9E" w14:textId="77777777" w:rsidTr="008D783A">
        <w:trPr>
          <w:jc w:val="center"/>
        </w:trPr>
        <w:tc>
          <w:tcPr>
            <w:tcW w:w="1627" w:type="dxa"/>
            <w:shd w:val="clear" w:color="auto" w:fill="auto"/>
            <w:vAlign w:val="bottom"/>
          </w:tcPr>
          <w:p w14:paraId="1F533C4B" w14:textId="77777777" w:rsidR="00372E74" w:rsidRPr="001B4A02" w:rsidRDefault="00372E74" w:rsidP="009038AE">
            <w:pPr>
              <w:keepNext/>
              <w:ind w:left="0" w:firstLine="0"/>
              <w:rPr>
                <w:rFonts w:eastAsia="Calibri"/>
                <w:b/>
                <w:szCs w:val="22"/>
                <w:lang w:eastAsia="ja-JP"/>
              </w:rPr>
            </w:pPr>
          </w:p>
        </w:tc>
        <w:tc>
          <w:tcPr>
            <w:tcW w:w="2552" w:type="dxa"/>
            <w:shd w:val="clear" w:color="auto" w:fill="auto"/>
            <w:vAlign w:val="bottom"/>
          </w:tcPr>
          <w:p w14:paraId="573CDD64" w14:textId="77777777" w:rsidR="00372E74" w:rsidRPr="001B4A02" w:rsidRDefault="00000000" w:rsidP="009038AE">
            <w:pPr>
              <w:keepNext/>
              <w:ind w:left="0" w:firstLine="0"/>
              <w:jc w:val="center"/>
              <w:rPr>
                <w:rFonts w:eastAsia="Calibri"/>
                <w:b/>
                <w:szCs w:val="22"/>
                <w:lang w:eastAsia="ja-JP"/>
              </w:rPr>
            </w:pPr>
            <w:r w:rsidRPr="001B4A02">
              <w:rPr>
                <w:rFonts w:eastAsia="Calibri"/>
                <w:b/>
                <w:szCs w:val="22"/>
                <w:lang w:eastAsia="ja-JP"/>
              </w:rPr>
              <w:t>Placebo</w:t>
            </w:r>
            <w:r w:rsidRPr="001B4A02">
              <w:rPr>
                <w:rFonts w:eastAsia="Calibri"/>
                <w:b/>
                <w:szCs w:val="22"/>
                <w:lang w:eastAsia="ja-JP"/>
              </w:rPr>
              <w:br/>
              <w:t>(ukončení léčby)</w:t>
            </w:r>
            <w:r w:rsidRPr="001B4A02">
              <w:rPr>
                <w:rFonts w:eastAsia="Calibri"/>
                <w:b/>
                <w:szCs w:val="22"/>
                <w:lang w:eastAsia="ja-JP"/>
              </w:rPr>
              <w:br/>
            </w:r>
            <w:r w:rsidR="004E7C2A">
              <w:rPr>
                <w:rFonts w:eastAsia="Calibri"/>
                <w:b/>
                <w:szCs w:val="22"/>
                <w:lang w:eastAsia="ja-JP"/>
              </w:rPr>
              <w:t>n</w:t>
            </w:r>
            <w:r w:rsidRPr="001B4A02">
              <w:rPr>
                <w:rFonts w:eastAsia="Calibri"/>
                <w:b/>
                <w:szCs w:val="22"/>
                <w:lang w:eastAsia="ja-JP"/>
              </w:rPr>
              <w:t>=73</w:t>
            </w:r>
          </w:p>
        </w:tc>
        <w:tc>
          <w:tcPr>
            <w:tcW w:w="2289" w:type="dxa"/>
            <w:shd w:val="clear" w:color="auto" w:fill="auto"/>
            <w:vAlign w:val="bottom"/>
          </w:tcPr>
          <w:p w14:paraId="55061E7E" w14:textId="77777777" w:rsidR="00372E74" w:rsidRPr="001B4A02" w:rsidRDefault="00000000" w:rsidP="009038AE">
            <w:pPr>
              <w:keepNext/>
              <w:ind w:left="0" w:firstLine="0"/>
              <w:jc w:val="center"/>
              <w:rPr>
                <w:rFonts w:eastAsia="Calibri"/>
                <w:b/>
                <w:szCs w:val="22"/>
                <w:lang w:eastAsia="ja-JP"/>
              </w:rPr>
            </w:pPr>
            <w:r w:rsidRPr="001B4A02">
              <w:rPr>
                <w:rFonts w:eastAsia="Calibri"/>
                <w:b/>
                <w:szCs w:val="22"/>
                <w:lang w:eastAsia="ja-JP"/>
              </w:rPr>
              <w:t>Humira 40</w:t>
            </w:r>
            <w:r w:rsidR="00F365E7">
              <w:rPr>
                <w:rFonts w:eastAsia="Calibri"/>
                <w:b/>
                <w:szCs w:val="22"/>
                <w:lang w:eastAsia="ja-JP"/>
              </w:rPr>
              <w:t> mg</w:t>
            </w:r>
            <w:r w:rsidRPr="001B4A02">
              <w:rPr>
                <w:rFonts w:eastAsia="Calibri"/>
                <w:b/>
                <w:szCs w:val="22"/>
                <w:lang w:eastAsia="ja-JP"/>
              </w:rPr>
              <w:br/>
              <w:t>každý druhý týden</w:t>
            </w:r>
            <w:r w:rsidRPr="001B4A02">
              <w:rPr>
                <w:rFonts w:eastAsia="Calibri"/>
                <w:b/>
                <w:szCs w:val="22"/>
                <w:lang w:eastAsia="ja-JP"/>
              </w:rPr>
              <w:br/>
            </w:r>
            <w:r w:rsidR="004E7C2A">
              <w:rPr>
                <w:rFonts w:eastAsia="Calibri"/>
                <w:b/>
                <w:szCs w:val="22"/>
                <w:lang w:eastAsia="ja-JP"/>
              </w:rPr>
              <w:t>n</w:t>
            </w:r>
            <w:r w:rsidRPr="001B4A02">
              <w:rPr>
                <w:rFonts w:eastAsia="Calibri"/>
                <w:b/>
                <w:szCs w:val="22"/>
                <w:lang w:eastAsia="ja-JP"/>
              </w:rPr>
              <w:t>=70</w:t>
            </w:r>
          </w:p>
        </w:tc>
        <w:tc>
          <w:tcPr>
            <w:tcW w:w="2170" w:type="dxa"/>
            <w:shd w:val="clear" w:color="auto" w:fill="auto"/>
            <w:vAlign w:val="bottom"/>
          </w:tcPr>
          <w:p w14:paraId="66CCA774" w14:textId="77777777" w:rsidR="00372E74" w:rsidRPr="001B4A02" w:rsidRDefault="00000000" w:rsidP="009038AE">
            <w:pPr>
              <w:keepNext/>
              <w:ind w:left="0" w:firstLine="0"/>
              <w:jc w:val="center"/>
              <w:rPr>
                <w:rFonts w:eastAsia="Calibri"/>
                <w:b/>
                <w:szCs w:val="22"/>
                <w:lang w:eastAsia="ja-JP"/>
              </w:rPr>
            </w:pPr>
            <w:r w:rsidRPr="001B4A02">
              <w:rPr>
                <w:rFonts w:eastAsia="Calibri"/>
                <w:b/>
                <w:szCs w:val="22"/>
                <w:lang w:eastAsia="ja-JP"/>
              </w:rPr>
              <w:t>Humira 40</w:t>
            </w:r>
            <w:r w:rsidR="00F365E7">
              <w:rPr>
                <w:rFonts w:eastAsia="Calibri"/>
                <w:b/>
                <w:szCs w:val="22"/>
                <w:lang w:eastAsia="ja-JP"/>
              </w:rPr>
              <w:t> mg</w:t>
            </w:r>
            <w:r w:rsidRPr="001B4A02">
              <w:rPr>
                <w:rFonts w:eastAsia="Calibri"/>
                <w:b/>
                <w:szCs w:val="22"/>
                <w:lang w:eastAsia="ja-JP"/>
              </w:rPr>
              <w:br/>
              <w:t>jednou týdně</w:t>
            </w:r>
            <w:r w:rsidRPr="001B4A02">
              <w:rPr>
                <w:rFonts w:eastAsia="Calibri"/>
                <w:b/>
                <w:szCs w:val="22"/>
                <w:lang w:eastAsia="ja-JP"/>
              </w:rPr>
              <w:br/>
            </w:r>
            <w:r w:rsidR="004E7C2A">
              <w:rPr>
                <w:rFonts w:eastAsia="Calibri"/>
                <w:b/>
                <w:szCs w:val="22"/>
                <w:lang w:eastAsia="ja-JP"/>
              </w:rPr>
              <w:t>n</w:t>
            </w:r>
            <w:r w:rsidRPr="001B4A02">
              <w:rPr>
                <w:rFonts w:eastAsia="Calibri"/>
                <w:b/>
                <w:szCs w:val="22"/>
                <w:lang w:eastAsia="ja-JP"/>
              </w:rPr>
              <w:t>=70</w:t>
            </w:r>
          </w:p>
        </w:tc>
      </w:tr>
      <w:tr w:rsidR="00534A2D" w14:paraId="0C01ECA1" w14:textId="77777777" w:rsidTr="008D783A">
        <w:trPr>
          <w:jc w:val="center"/>
        </w:trPr>
        <w:tc>
          <w:tcPr>
            <w:tcW w:w="1627" w:type="dxa"/>
            <w:shd w:val="clear" w:color="auto" w:fill="auto"/>
          </w:tcPr>
          <w:p w14:paraId="5E679D9D" w14:textId="77777777" w:rsidR="00372E74" w:rsidRPr="001B4A02" w:rsidRDefault="00000000" w:rsidP="009038AE">
            <w:pPr>
              <w:keepNext/>
              <w:ind w:left="0" w:firstLine="0"/>
              <w:rPr>
                <w:rFonts w:eastAsia="Calibri"/>
                <w:szCs w:val="22"/>
                <w:lang w:eastAsia="ja-JP"/>
              </w:rPr>
            </w:pPr>
            <w:r w:rsidRPr="001B4A02">
              <w:rPr>
                <w:rFonts w:eastAsia="Calibri"/>
                <w:szCs w:val="22"/>
                <w:lang w:eastAsia="ja-JP"/>
              </w:rPr>
              <w:t>Týden 24</w:t>
            </w:r>
          </w:p>
        </w:tc>
        <w:tc>
          <w:tcPr>
            <w:tcW w:w="2552" w:type="dxa"/>
            <w:shd w:val="clear" w:color="auto" w:fill="auto"/>
          </w:tcPr>
          <w:p w14:paraId="48167B7B" w14:textId="77777777" w:rsidR="00372E74" w:rsidRPr="001B4A02" w:rsidRDefault="00000000" w:rsidP="009038AE">
            <w:pPr>
              <w:keepNext/>
              <w:ind w:left="0" w:firstLine="0"/>
              <w:jc w:val="center"/>
              <w:rPr>
                <w:rFonts w:eastAsia="Calibri"/>
                <w:szCs w:val="22"/>
                <w:lang w:eastAsia="ja-JP"/>
              </w:rPr>
            </w:pPr>
            <w:r w:rsidRPr="001B4A02">
              <w:rPr>
                <w:rFonts w:eastAsia="Calibri"/>
                <w:szCs w:val="22"/>
                <w:lang w:eastAsia="ja-JP"/>
              </w:rPr>
              <w:t>24 (32,9</w:t>
            </w:r>
            <w:r w:rsidR="0045106E" w:rsidRPr="001B4A02">
              <w:rPr>
                <w:rFonts w:eastAsia="Calibri"/>
                <w:szCs w:val="22"/>
                <w:lang w:eastAsia="ja-JP"/>
              </w:rPr>
              <w:t> </w:t>
            </w:r>
            <w:r w:rsidRPr="001B4A02">
              <w:rPr>
                <w:rFonts w:eastAsia="Calibri"/>
                <w:szCs w:val="22"/>
                <w:lang w:eastAsia="ja-JP"/>
              </w:rPr>
              <w:t>%)</w:t>
            </w:r>
          </w:p>
        </w:tc>
        <w:tc>
          <w:tcPr>
            <w:tcW w:w="2289" w:type="dxa"/>
            <w:shd w:val="clear" w:color="auto" w:fill="auto"/>
          </w:tcPr>
          <w:p w14:paraId="218C09A8" w14:textId="77777777" w:rsidR="00372E74" w:rsidRPr="001B4A02" w:rsidRDefault="00000000" w:rsidP="009038AE">
            <w:pPr>
              <w:keepNext/>
              <w:ind w:left="0" w:firstLine="0"/>
              <w:jc w:val="center"/>
              <w:rPr>
                <w:rFonts w:eastAsia="Calibri"/>
                <w:szCs w:val="22"/>
                <w:lang w:eastAsia="ja-JP"/>
              </w:rPr>
            </w:pPr>
            <w:r w:rsidRPr="001B4A02">
              <w:rPr>
                <w:rFonts w:eastAsia="Calibri"/>
                <w:szCs w:val="22"/>
                <w:lang w:eastAsia="ja-JP"/>
              </w:rPr>
              <w:t>36 (51,4</w:t>
            </w:r>
            <w:r w:rsidR="0045106E" w:rsidRPr="001B4A02">
              <w:rPr>
                <w:rFonts w:eastAsia="Calibri"/>
                <w:szCs w:val="22"/>
                <w:lang w:eastAsia="ja-JP"/>
              </w:rPr>
              <w:t> </w:t>
            </w:r>
            <w:r w:rsidRPr="001B4A02">
              <w:rPr>
                <w:rFonts w:eastAsia="Calibri"/>
                <w:szCs w:val="22"/>
                <w:lang w:eastAsia="ja-JP"/>
              </w:rPr>
              <w:t>%)</w:t>
            </w:r>
          </w:p>
        </w:tc>
        <w:tc>
          <w:tcPr>
            <w:tcW w:w="2170" w:type="dxa"/>
            <w:shd w:val="clear" w:color="auto" w:fill="auto"/>
          </w:tcPr>
          <w:p w14:paraId="145B420F" w14:textId="77777777" w:rsidR="00372E74" w:rsidRPr="001B4A02" w:rsidRDefault="00000000" w:rsidP="009038AE">
            <w:pPr>
              <w:keepNext/>
              <w:ind w:left="0" w:firstLine="0"/>
              <w:jc w:val="center"/>
              <w:rPr>
                <w:rFonts w:eastAsia="Calibri"/>
                <w:szCs w:val="22"/>
                <w:lang w:eastAsia="ja-JP"/>
              </w:rPr>
            </w:pPr>
            <w:r w:rsidRPr="001B4A02">
              <w:rPr>
                <w:rFonts w:eastAsia="Calibri"/>
                <w:szCs w:val="22"/>
                <w:lang w:eastAsia="ja-JP"/>
              </w:rPr>
              <w:t>40 (57,1</w:t>
            </w:r>
            <w:r w:rsidR="0045106E" w:rsidRPr="001B4A02">
              <w:rPr>
                <w:rFonts w:eastAsia="Calibri"/>
                <w:szCs w:val="22"/>
                <w:lang w:eastAsia="ja-JP"/>
              </w:rPr>
              <w:t> </w:t>
            </w:r>
            <w:r w:rsidRPr="001B4A02">
              <w:rPr>
                <w:rFonts w:eastAsia="Calibri"/>
                <w:szCs w:val="22"/>
                <w:lang w:eastAsia="ja-JP"/>
              </w:rPr>
              <w:t>%)</w:t>
            </w:r>
          </w:p>
        </w:tc>
      </w:tr>
      <w:tr w:rsidR="00534A2D" w14:paraId="799F4CC9" w14:textId="77777777" w:rsidTr="008D783A">
        <w:trPr>
          <w:jc w:val="center"/>
        </w:trPr>
        <w:tc>
          <w:tcPr>
            <w:tcW w:w="1627" w:type="dxa"/>
            <w:shd w:val="clear" w:color="auto" w:fill="auto"/>
          </w:tcPr>
          <w:p w14:paraId="40DF9249" w14:textId="77777777" w:rsidR="00372E74" w:rsidRPr="001B4A02" w:rsidRDefault="00000000" w:rsidP="009038AE">
            <w:pPr>
              <w:keepNext/>
              <w:ind w:left="0" w:firstLine="0"/>
              <w:rPr>
                <w:rFonts w:eastAsia="Calibri"/>
                <w:szCs w:val="22"/>
                <w:lang w:eastAsia="ja-JP"/>
              </w:rPr>
            </w:pPr>
            <w:r w:rsidRPr="001B4A02">
              <w:rPr>
                <w:rFonts w:eastAsia="Calibri"/>
                <w:szCs w:val="22"/>
                <w:lang w:eastAsia="ja-JP"/>
              </w:rPr>
              <w:t>Týden 36</w:t>
            </w:r>
          </w:p>
        </w:tc>
        <w:tc>
          <w:tcPr>
            <w:tcW w:w="2552" w:type="dxa"/>
            <w:shd w:val="clear" w:color="auto" w:fill="auto"/>
          </w:tcPr>
          <w:p w14:paraId="5BFBE464" w14:textId="77777777" w:rsidR="00372E74" w:rsidRPr="001B4A02" w:rsidRDefault="00000000" w:rsidP="009038AE">
            <w:pPr>
              <w:keepNext/>
              <w:ind w:left="0" w:firstLine="0"/>
              <w:jc w:val="center"/>
              <w:rPr>
                <w:rFonts w:eastAsia="Calibri"/>
                <w:szCs w:val="22"/>
                <w:lang w:eastAsia="ja-JP"/>
              </w:rPr>
            </w:pPr>
            <w:r w:rsidRPr="001B4A02">
              <w:rPr>
                <w:rFonts w:eastAsia="Calibri"/>
                <w:szCs w:val="22"/>
                <w:lang w:eastAsia="ja-JP"/>
              </w:rPr>
              <w:t>22 (30,1</w:t>
            </w:r>
            <w:r w:rsidR="0045106E" w:rsidRPr="001B4A02">
              <w:rPr>
                <w:rFonts w:eastAsia="Calibri"/>
                <w:szCs w:val="22"/>
                <w:lang w:eastAsia="ja-JP"/>
              </w:rPr>
              <w:t> </w:t>
            </w:r>
            <w:r w:rsidRPr="001B4A02">
              <w:rPr>
                <w:rFonts w:eastAsia="Calibri"/>
                <w:szCs w:val="22"/>
                <w:lang w:eastAsia="ja-JP"/>
              </w:rPr>
              <w:t>%)</w:t>
            </w:r>
          </w:p>
        </w:tc>
        <w:tc>
          <w:tcPr>
            <w:tcW w:w="2289" w:type="dxa"/>
            <w:shd w:val="clear" w:color="auto" w:fill="auto"/>
          </w:tcPr>
          <w:p w14:paraId="6975C36A" w14:textId="77777777" w:rsidR="00372E74" w:rsidRPr="001B4A02" w:rsidRDefault="00000000" w:rsidP="009038AE">
            <w:pPr>
              <w:keepNext/>
              <w:ind w:left="0" w:firstLine="0"/>
              <w:jc w:val="center"/>
              <w:rPr>
                <w:rFonts w:eastAsia="Calibri"/>
                <w:szCs w:val="22"/>
                <w:lang w:eastAsia="ja-JP"/>
              </w:rPr>
            </w:pPr>
            <w:r w:rsidRPr="001B4A02">
              <w:rPr>
                <w:rFonts w:eastAsia="Calibri"/>
                <w:szCs w:val="22"/>
                <w:lang w:eastAsia="ja-JP"/>
              </w:rPr>
              <w:t>28 (40,0</w:t>
            </w:r>
            <w:r w:rsidR="0045106E" w:rsidRPr="001B4A02">
              <w:rPr>
                <w:rFonts w:eastAsia="Calibri"/>
                <w:szCs w:val="22"/>
                <w:lang w:eastAsia="ja-JP"/>
              </w:rPr>
              <w:t> </w:t>
            </w:r>
            <w:r w:rsidRPr="001B4A02">
              <w:rPr>
                <w:rFonts w:eastAsia="Calibri"/>
                <w:szCs w:val="22"/>
                <w:lang w:eastAsia="ja-JP"/>
              </w:rPr>
              <w:t>%)</w:t>
            </w:r>
          </w:p>
        </w:tc>
        <w:tc>
          <w:tcPr>
            <w:tcW w:w="2170" w:type="dxa"/>
            <w:shd w:val="clear" w:color="auto" w:fill="auto"/>
          </w:tcPr>
          <w:p w14:paraId="65D6B9B5" w14:textId="77777777" w:rsidR="00372E74" w:rsidRPr="001B4A02" w:rsidRDefault="00000000" w:rsidP="009038AE">
            <w:pPr>
              <w:keepNext/>
              <w:ind w:left="0" w:firstLine="0"/>
              <w:jc w:val="center"/>
              <w:rPr>
                <w:rFonts w:eastAsia="Calibri"/>
                <w:szCs w:val="22"/>
                <w:lang w:eastAsia="ja-JP"/>
              </w:rPr>
            </w:pPr>
            <w:r w:rsidRPr="001B4A02">
              <w:rPr>
                <w:rFonts w:eastAsia="Calibri"/>
                <w:szCs w:val="22"/>
                <w:lang w:eastAsia="ja-JP"/>
              </w:rPr>
              <w:t>39 (55,7</w:t>
            </w:r>
            <w:r w:rsidR="0045106E" w:rsidRPr="001B4A02">
              <w:rPr>
                <w:rFonts w:eastAsia="Calibri"/>
                <w:szCs w:val="22"/>
                <w:lang w:eastAsia="ja-JP"/>
              </w:rPr>
              <w:t> </w:t>
            </w:r>
            <w:r w:rsidRPr="001B4A02">
              <w:rPr>
                <w:rFonts w:eastAsia="Calibri"/>
                <w:szCs w:val="22"/>
                <w:lang w:eastAsia="ja-JP"/>
              </w:rPr>
              <w:t>%)</w:t>
            </w:r>
          </w:p>
        </w:tc>
      </w:tr>
      <w:tr w:rsidR="00534A2D" w14:paraId="4B1D063B" w14:textId="77777777" w:rsidTr="008D783A">
        <w:trPr>
          <w:jc w:val="center"/>
        </w:trPr>
        <w:tc>
          <w:tcPr>
            <w:tcW w:w="8638" w:type="dxa"/>
            <w:gridSpan w:val="4"/>
            <w:shd w:val="clear" w:color="auto" w:fill="auto"/>
          </w:tcPr>
          <w:p w14:paraId="6F51BAC5" w14:textId="77777777" w:rsidR="00372E74" w:rsidRPr="001B4A02" w:rsidRDefault="00000000" w:rsidP="009038AE">
            <w:pPr>
              <w:keepNext/>
              <w:keepLines/>
              <w:numPr>
                <w:ilvl w:val="0"/>
                <w:numId w:val="91"/>
              </w:numPr>
              <w:ind w:left="284" w:hanging="284"/>
              <w:rPr>
                <w:rFonts w:eastAsia="MS Mincho"/>
                <w:szCs w:val="22"/>
                <w:lang w:eastAsia="ja-JP"/>
              </w:rPr>
            </w:pPr>
            <w:r w:rsidRPr="001B4A02">
              <w:rPr>
                <w:rFonts w:eastAsia="MS Mincho"/>
                <w:szCs w:val="22"/>
                <w:lang w:eastAsia="ja-JP"/>
              </w:rPr>
              <w:t>Pacienti s alespoň částečnou odpovědí na léčbu přípravkem Humira 40</w:t>
            </w:r>
            <w:r w:rsidR="00F365E7">
              <w:rPr>
                <w:rFonts w:eastAsia="MS Mincho"/>
                <w:szCs w:val="22"/>
                <w:lang w:eastAsia="ja-JP"/>
              </w:rPr>
              <w:t> mg</w:t>
            </w:r>
            <w:r w:rsidRPr="001B4A02">
              <w:rPr>
                <w:rFonts w:eastAsia="MS Mincho"/>
                <w:szCs w:val="22"/>
                <w:lang w:eastAsia="ja-JP"/>
              </w:rPr>
              <w:t xml:space="preserve"> jednou týdně po 12 týdnech léčby.</w:t>
            </w:r>
          </w:p>
          <w:p w14:paraId="2D770C3B" w14:textId="77777777" w:rsidR="00372E74" w:rsidRPr="001B4A02" w:rsidRDefault="00000000" w:rsidP="009038AE">
            <w:pPr>
              <w:keepNext/>
              <w:keepLines/>
              <w:numPr>
                <w:ilvl w:val="0"/>
                <w:numId w:val="91"/>
              </w:numPr>
              <w:ind w:left="284" w:hanging="284"/>
              <w:rPr>
                <w:rFonts w:eastAsia="MS Mincho"/>
                <w:szCs w:val="22"/>
                <w:lang w:eastAsia="ja-JP"/>
              </w:rPr>
            </w:pPr>
            <w:r w:rsidRPr="001B4A02">
              <w:rPr>
                <w:rFonts w:eastAsia="MS Mincho"/>
                <w:szCs w:val="22"/>
                <w:lang w:eastAsia="ja-JP"/>
              </w:rPr>
              <w:t>U pacientů vyhovující</w:t>
            </w:r>
            <w:r w:rsidR="00CA6ADE" w:rsidRPr="001B4A02">
              <w:rPr>
                <w:rFonts w:eastAsia="MS Mincho"/>
                <w:szCs w:val="22"/>
                <w:lang w:eastAsia="ja-JP"/>
              </w:rPr>
              <w:t>ch</w:t>
            </w:r>
            <w:r w:rsidRPr="001B4A02">
              <w:rPr>
                <w:rFonts w:eastAsia="MS Mincho"/>
                <w:szCs w:val="22"/>
                <w:lang w:eastAsia="ja-JP"/>
              </w:rPr>
              <w:t xml:space="preserve"> kritériím stanoveným v</w:t>
            </w:r>
            <w:r w:rsidR="00D41D1A" w:rsidRPr="001B4A02">
              <w:rPr>
                <w:rFonts w:eastAsia="MS Mincho"/>
                <w:szCs w:val="22"/>
                <w:lang w:eastAsia="ja-JP"/>
              </w:rPr>
              <w:t> </w:t>
            </w:r>
            <w:r w:rsidRPr="001B4A02">
              <w:rPr>
                <w:rFonts w:eastAsia="MS Mincho"/>
                <w:szCs w:val="22"/>
                <w:lang w:eastAsia="ja-JP"/>
              </w:rPr>
              <w:t>protokolu pro ztrátu odpovědi nebo žádné zlepšení bylo požadováno vyřazení ze studie</w:t>
            </w:r>
            <w:r w:rsidR="002378E0">
              <w:rPr>
                <w:rFonts w:eastAsia="MS Mincho"/>
                <w:szCs w:val="22"/>
                <w:lang w:eastAsia="ja-JP"/>
              </w:rPr>
              <w:t xml:space="preserve"> a </w:t>
            </w:r>
            <w:r w:rsidRPr="001B4A02">
              <w:rPr>
                <w:rFonts w:eastAsia="MS Mincho"/>
                <w:szCs w:val="22"/>
                <w:lang w:eastAsia="ja-JP"/>
              </w:rPr>
              <w:t>byli započteni jako pacienti, kteří neodpovídali na léčbu.</w:t>
            </w:r>
          </w:p>
        </w:tc>
      </w:tr>
    </w:tbl>
    <w:p w14:paraId="3384D442" w14:textId="77777777" w:rsidR="00372E74" w:rsidRPr="001B4A02" w:rsidRDefault="00372E74" w:rsidP="00ED48A3">
      <w:pPr>
        <w:ind w:left="0" w:firstLine="0"/>
        <w:rPr>
          <w:rFonts w:eastAsia="Calibri"/>
          <w:szCs w:val="22"/>
        </w:rPr>
      </w:pPr>
    </w:p>
    <w:p w14:paraId="09CFC51E" w14:textId="77777777" w:rsidR="00372E74" w:rsidRPr="001B4A02" w:rsidRDefault="00000000" w:rsidP="00ED48A3">
      <w:pPr>
        <w:ind w:left="0" w:firstLine="0"/>
        <w:rPr>
          <w:rFonts w:eastAsia="Calibri"/>
          <w:szCs w:val="22"/>
        </w:rPr>
      </w:pPr>
      <w:r w:rsidRPr="001B4A02">
        <w:rPr>
          <w:rFonts w:eastAsia="Calibri"/>
          <w:szCs w:val="22"/>
        </w:rPr>
        <w:t>U pacientů, kteří měli alespoň částečnou odpověď na léčbu v týdnu 12</w:t>
      </w:r>
      <w:r w:rsidR="002378E0">
        <w:rPr>
          <w:rFonts w:eastAsia="Calibri"/>
          <w:szCs w:val="22"/>
        </w:rPr>
        <w:t xml:space="preserve"> a </w:t>
      </w:r>
      <w:r w:rsidRPr="001B4A02">
        <w:rPr>
          <w:rFonts w:eastAsia="Calibri"/>
          <w:szCs w:val="22"/>
        </w:rPr>
        <w:t xml:space="preserve">kteří dostávali kontinuálně léčbu přípravkem Humira jednou týdně, byla </w:t>
      </w:r>
      <w:r w:rsidR="00AD16E3" w:rsidRPr="001B4A02">
        <w:rPr>
          <w:rFonts w:eastAsia="Calibri"/>
          <w:szCs w:val="22"/>
        </w:rPr>
        <w:t xml:space="preserve">v týdnu 48 </w:t>
      </w:r>
      <w:r w:rsidRPr="001B4A02">
        <w:rPr>
          <w:rFonts w:eastAsia="Calibri"/>
          <w:szCs w:val="22"/>
        </w:rPr>
        <w:t xml:space="preserve">hodnota HiSCR </w:t>
      </w:r>
      <w:r w:rsidR="00AA0131" w:rsidRPr="001B4A02">
        <w:rPr>
          <w:szCs w:val="22"/>
        </w:rPr>
        <w:t>68,3 %</w:t>
      </w:r>
      <w:r w:rsidR="002378E0">
        <w:rPr>
          <w:szCs w:val="22"/>
        </w:rPr>
        <w:t xml:space="preserve"> a </w:t>
      </w:r>
      <w:r w:rsidR="00AA0131" w:rsidRPr="001B4A02">
        <w:rPr>
          <w:szCs w:val="22"/>
        </w:rPr>
        <w:t>v</w:t>
      </w:r>
      <w:r w:rsidR="00463AD9" w:rsidRPr="001B4A02">
        <w:rPr>
          <w:szCs w:val="22"/>
        </w:rPr>
        <w:t> </w:t>
      </w:r>
      <w:r w:rsidR="00AA0131" w:rsidRPr="001B4A02">
        <w:rPr>
          <w:szCs w:val="22"/>
        </w:rPr>
        <w:t>týdnu 96 byla 65,1 %. Při dlouhodobější léčbě přípravkem Humira</w:t>
      </w:r>
      <w:r w:rsidR="00E90FB2" w:rsidRPr="001B4A02">
        <w:rPr>
          <w:szCs w:val="22"/>
        </w:rPr>
        <w:t xml:space="preserve"> </w:t>
      </w:r>
      <w:r w:rsidR="008B623D" w:rsidRPr="001B4A02">
        <w:rPr>
          <w:szCs w:val="22"/>
        </w:rPr>
        <w:t xml:space="preserve">v dávce </w:t>
      </w:r>
      <w:r w:rsidR="00B947E9" w:rsidRPr="001B4A02">
        <w:rPr>
          <w:szCs w:val="22"/>
        </w:rPr>
        <w:t>40</w:t>
      </w:r>
      <w:r w:rsidR="00F365E7">
        <w:rPr>
          <w:szCs w:val="22"/>
        </w:rPr>
        <w:t> mg</w:t>
      </w:r>
      <w:r w:rsidR="00B947E9" w:rsidRPr="001B4A02">
        <w:rPr>
          <w:szCs w:val="22"/>
        </w:rPr>
        <w:t xml:space="preserve"> </w:t>
      </w:r>
      <w:r w:rsidR="00E90FB2" w:rsidRPr="001B4A02">
        <w:rPr>
          <w:szCs w:val="22"/>
        </w:rPr>
        <w:t>jednou</w:t>
      </w:r>
      <w:r w:rsidR="00AA0131" w:rsidRPr="001B4A02">
        <w:rPr>
          <w:szCs w:val="22"/>
        </w:rPr>
        <w:t xml:space="preserve"> týdně po dobu 96 týdnů nebyly identifikovány žádné nové </w:t>
      </w:r>
      <w:r w:rsidR="000E342D" w:rsidRPr="001B4A02">
        <w:rPr>
          <w:szCs w:val="22"/>
        </w:rPr>
        <w:t xml:space="preserve">bezpečnostní </w:t>
      </w:r>
      <w:r w:rsidR="00AA0131" w:rsidRPr="001B4A02">
        <w:rPr>
          <w:szCs w:val="22"/>
        </w:rPr>
        <w:t>nálezy</w:t>
      </w:r>
      <w:r w:rsidRPr="001B4A02">
        <w:rPr>
          <w:rFonts w:eastAsia="Calibri"/>
          <w:szCs w:val="22"/>
        </w:rPr>
        <w:t>.</w:t>
      </w:r>
    </w:p>
    <w:p w14:paraId="02C9BAE9" w14:textId="77777777" w:rsidR="00372E74" w:rsidRPr="001B4A02" w:rsidRDefault="00372E74" w:rsidP="00ED48A3">
      <w:pPr>
        <w:ind w:left="0" w:firstLine="0"/>
        <w:rPr>
          <w:rFonts w:eastAsia="Calibri"/>
          <w:szCs w:val="22"/>
        </w:rPr>
      </w:pPr>
    </w:p>
    <w:p w14:paraId="10143A2A" w14:textId="77777777" w:rsidR="00372E74" w:rsidRPr="001B4A02" w:rsidRDefault="00000000" w:rsidP="00ED48A3">
      <w:pPr>
        <w:ind w:left="0" w:firstLine="0"/>
        <w:rPr>
          <w:rFonts w:eastAsia="Calibri"/>
          <w:szCs w:val="22"/>
        </w:rPr>
      </w:pPr>
      <w:r w:rsidRPr="001B4A02">
        <w:rPr>
          <w:rFonts w:eastAsia="Calibri"/>
          <w:szCs w:val="22"/>
        </w:rPr>
        <w:t>U pacientů, u</w:t>
      </w:r>
      <w:r w:rsidR="009B61F3" w:rsidRPr="001B4A02">
        <w:rPr>
          <w:rFonts w:eastAsia="Calibri"/>
          <w:szCs w:val="22"/>
        </w:rPr>
        <w:t> </w:t>
      </w:r>
      <w:r w:rsidRPr="001B4A02">
        <w:rPr>
          <w:rFonts w:eastAsia="Calibri"/>
          <w:szCs w:val="22"/>
        </w:rPr>
        <w:t>kterých byla léčba přípravkem Humira přerušena v týdnu 12 ve studiích HS-I</w:t>
      </w:r>
      <w:r w:rsidR="002378E0">
        <w:rPr>
          <w:rFonts w:eastAsia="Calibri"/>
          <w:szCs w:val="22"/>
        </w:rPr>
        <w:t xml:space="preserve"> a </w:t>
      </w:r>
      <w:r w:rsidRPr="001B4A02">
        <w:rPr>
          <w:rFonts w:eastAsia="Calibri"/>
          <w:szCs w:val="22"/>
        </w:rPr>
        <w:t>HS-II, se hodnoty HiSCR 12 týdnů po opětovném nasazení přípravku Humira 40</w:t>
      </w:r>
      <w:r w:rsidR="00F365E7">
        <w:rPr>
          <w:rFonts w:eastAsia="Calibri"/>
          <w:szCs w:val="22"/>
        </w:rPr>
        <w:t> mg</w:t>
      </w:r>
      <w:r w:rsidRPr="001B4A02">
        <w:rPr>
          <w:rFonts w:eastAsia="Calibri"/>
          <w:szCs w:val="22"/>
        </w:rPr>
        <w:t xml:space="preserve"> jednou týdně vrátily na úroveň podobnou té, která byla pozorována před vysazením (56,0</w:t>
      </w:r>
      <w:r w:rsidR="0045106E" w:rsidRPr="001B4A02">
        <w:rPr>
          <w:rFonts w:eastAsia="Calibri"/>
          <w:szCs w:val="22"/>
        </w:rPr>
        <w:t> </w:t>
      </w:r>
      <w:r w:rsidRPr="001B4A02">
        <w:rPr>
          <w:rFonts w:eastAsia="Calibri"/>
          <w:szCs w:val="22"/>
        </w:rPr>
        <w:t>%).</w:t>
      </w:r>
    </w:p>
    <w:p w14:paraId="7308159A" w14:textId="77777777" w:rsidR="00C73AF6" w:rsidRPr="001B4A02" w:rsidRDefault="00C73AF6" w:rsidP="00ED48A3">
      <w:pPr>
        <w:ind w:left="0" w:firstLine="0"/>
        <w:rPr>
          <w:rFonts w:eastAsia="Calibri"/>
          <w:szCs w:val="22"/>
        </w:rPr>
      </w:pPr>
    </w:p>
    <w:p w14:paraId="1831BC91" w14:textId="77777777" w:rsidR="00ED3511" w:rsidRPr="001B4A02" w:rsidRDefault="00000000" w:rsidP="00ED48A3">
      <w:pPr>
        <w:keepNext/>
        <w:ind w:left="0" w:firstLine="0"/>
        <w:rPr>
          <w:i/>
        </w:rPr>
      </w:pPr>
      <w:r w:rsidRPr="001B4A02">
        <w:rPr>
          <w:i/>
        </w:rPr>
        <w:t>Crohnova choroba</w:t>
      </w:r>
    </w:p>
    <w:p w14:paraId="471BD7D3" w14:textId="77777777" w:rsidR="00ED3511" w:rsidRPr="001B4A02" w:rsidRDefault="00ED3511" w:rsidP="00ED48A3">
      <w:pPr>
        <w:keepNext/>
        <w:ind w:left="0" w:firstLine="0"/>
      </w:pPr>
    </w:p>
    <w:p w14:paraId="123388A1" w14:textId="77777777" w:rsidR="00ED3511" w:rsidRPr="001B4A02" w:rsidRDefault="00000000" w:rsidP="008A4562">
      <w:pPr>
        <w:pStyle w:val="EMEANormal"/>
        <w:tabs>
          <w:tab w:val="clear" w:pos="562"/>
        </w:tabs>
        <w:suppressAutoHyphens w:val="0"/>
        <w:rPr>
          <w:lang w:val="cs-CZ"/>
        </w:rPr>
      </w:pPr>
      <w:r w:rsidRPr="001B4A02">
        <w:rPr>
          <w:lang w:val="cs-CZ"/>
        </w:rPr>
        <w:t>Bezpečnost</w:t>
      </w:r>
      <w:r w:rsidR="002378E0">
        <w:rPr>
          <w:lang w:val="cs-CZ"/>
        </w:rPr>
        <w:t xml:space="preserve"> a </w:t>
      </w:r>
      <w:r w:rsidRPr="001B4A02">
        <w:rPr>
          <w:lang w:val="cs-CZ"/>
        </w:rPr>
        <w:t>účinnost přípravku Humira byla ověřena u</w:t>
      </w:r>
      <w:r w:rsidR="00272620" w:rsidRPr="001B4A02">
        <w:rPr>
          <w:lang w:val="cs-CZ"/>
        </w:rPr>
        <w:t> </w:t>
      </w:r>
      <w:r w:rsidRPr="001B4A02">
        <w:rPr>
          <w:lang w:val="cs-CZ"/>
        </w:rPr>
        <w:t>více než 1</w:t>
      </w:r>
      <w:r w:rsidR="00272620" w:rsidRPr="001B4A02">
        <w:rPr>
          <w:lang w:val="cs-CZ"/>
        </w:rPr>
        <w:t> </w:t>
      </w:r>
      <w:r w:rsidRPr="001B4A02">
        <w:rPr>
          <w:lang w:val="cs-CZ"/>
        </w:rPr>
        <w:t xml:space="preserve">500 pacientů se středně těžkou až těžkou aktivní Crohnovou chorobou (index aktivity Crohnovy choroby (CDAI) </w:t>
      </w:r>
      <w:r w:rsidR="009D2A3C" w:rsidRPr="001B4A02">
        <w:rPr>
          <w:rFonts w:ascii="Symbol" w:hAnsi="Symbol"/>
          <w:lang w:val="cs-CZ"/>
        </w:rPr>
        <w:sym w:font="Symbol" w:char="F0B3"/>
      </w:r>
      <w:r w:rsidRPr="001B4A02">
        <w:rPr>
          <w:lang w:val="cs-CZ"/>
        </w:rPr>
        <w:t> 220</w:t>
      </w:r>
      <w:r w:rsidR="002378E0">
        <w:rPr>
          <w:lang w:val="cs-CZ"/>
        </w:rPr>
        <w:t xml:space="preserve"> a </w:t>
      </w:r>
      <w:r w:rsidRPr="001B4A02">
        <w:rPr>
          <w:rFonts w:ascii="Symbol" w:hAnsi="Symbol"/>
          <w:lang w:val="cs-CZ"/>
        </w:rPr>
        <w:sym w:font="Symbol" w:char="F0A3"/>
      </w:r>
      <w:r w:rsidRPr="001B4A02">
        <w:rPr>
          <w:lang w:val="cs-CZ"/>
        </w:rPr>
        <w:t> 450) v randomizovaných, dvojitě zaslepených, placebem kontrolovaných studiích. Bylo povoleno současné podávání konstantních dávek aminosylicylátů, kortikosteroidů a/nebo imunomodulačních léků, přičemž 80</w:t>
      </w:r>
      <w:r w:rsidR="006008CB">
        <w:rPr>
          <w:lang w:val="cs-CZ"/>
        </w:rPr>
        <w:t> %</w:t>
      </w:r>
      <w:r w:rsidRPr="001B4A02">
        <w:rPr>
          <w:lang w:val="cs-CZ"/>
        </w:rPr>
        <w:t xml:space="preserve"> pacientů pokračovalo v užívání nejméně jednoho z těchto léků.</w:t>
      </w:r>
    </w:p>
    <w:p w14:paraId="5E0D4D32" w14:textId="77777777" w:rsidR="00ED3511" w:rsidRPr="001B4A02" w:rsidRDefault="00ED3511" w:rsidP="00ED48A3">
      <w:pPr>
        <w:ind w:left="0" w:firstLine="0"/>
      </w:pPr>
    </w:p>
    <w:p w14:paraId="3F5766A8" w14:textId="77777777" w:rsidR="00ED3511" w:rsidRPr="001B4A02" w:rsidRDefault="00000000" w:rsidP="00ED48A3">
      <w:pPr>
        <w:ind w:left="0" w:firstLine="0"/>
      </w:pPr>
      <w:r w:rsidRPr="001B4A02">
        <w:t xml:space="preserve">Indukce klinické remise (definovaná jako CDAI </w:t>
      </w:r>
      <w:r w:rsidRPr="001B4A02">
        <w:rPr>
          <w:rFonts w:ascii="Symbol" w:hAnsi="Symbol"/>
        </w:rPr>
        <w:sym w:font="Symbol" w:char="F03C"/>
      </w:r>
      <w:r w:rsidRPr="001B4A02">
        <w:t> 150) byla hodnocena ve dvou studiích, studii CD I (CLASSIC I)</w:t>
      </w:r>
      <w:r w:rsidR="002378E0">
        <w:t xml:space="preserve"> a </w:t>
      </w:r>
      <w:r w:rsidRPr="001B4A02">
        <w:t>studii CD II (GAIN). Ve studii CD I bylo 299 pacientů dosud neléčených TNF-antagonisty randomizováno do jedné ze čtyř terapeutických s</w:t>
      </w:r>
      <w:r w:rsidR="007978AF">
        <w:t>k</w:t>
      </w:r>
      <w:r w:rsidRPr="001B4A02">
        <w:t>upin; pacienti užívající placebo v týdnech 0</w:t>
      </w:r>
      <w:r w:rsidR="002378E0">
        <w:t xml:space="preserve"> a </w:t>
      </w:r>
      <w:r w:rsidRPr="001B4A02">
        <w:t xml:space="preserve">2, </w:t>
      </w:r>
      <w:r w:rsidR="0037494F" w:rsidRPr="001B4A02">
        <w:t>po</w:t>
      </w:r>
      <w:r w:rsidRPr="001B4A02">
        <w:t>užívající přípravek Humira v dávce 160 mg v týdnu 0</w:t>
      </w:r>
      <w:r w:rsidR="002378E0">
        <w:t xml:space="preserve"> a </w:t>
      </w:r>
      <w:r w:rsidRPr="001B4A02">
        <w:t>80 mg v týdnu 2, nebo 80 mg v</w:t>
      </w:r>
      <w:r w:rsidR="00D41D1A" w:rsidRPr="001B4A02">
        <w:t> </w:t>
      </w:r>
      <w:r w:rsidRPr="001B4A02">
        <w:t>týdnu 0</w:t>
      </w:r>
      <w:r w:rsidR="002378E0">
        <w:t xml:space="preserve"> a </w:t>
      </w:r>
      <w:r w:rsidRPr="001B4A02">
        <w:t>40 mg v týdnu 2, případně 40 mg v týdnu 0</w:t>
      </w:r>
      <w:r w:rsidR="002378E0">
        <w:t xml:space="preserve"> a </w:t>
      </w:r>
      <w:r w:rsidRPr="001B4A02">
        <w:t>20 mg týdnu 2. Ve studii CD II bylo 325 pacientů, u</w:t>
      </w:r>
      <w:r w:rsidR="009B61F3" w:rsidRPr="001B4A02">
        <w:t> </w:t>
      </w:r>
      <w:r w:rsidRPr="001B4A02">
        <w:t xml:space="preserve">kterých došlo ke ztrátě odpovědi či k rozvoji intolerance na infliximab, randomizováno do skupin, kdy </w:t>
      </w:r>
      <w:r w:rsidR="0037494F" w:rsidRPr="001B4A02">
        <w:t>po</w:t>
      </w:r>
      <w:r w:rsidRPr="001B4A02">
        <w:t>užívali buď přípravek Humira v dávce 160 mg v týdnu 0</w:t>
      </w:r>
      <w:r w:rsidR="002378E0">
        <w:t xml:space="preserve"> a </w:t>
      </w:r>
      <w:r w:rsidRPr="001B4A02">
        <w:t>80 mg v týdnu 2</w:t>
      </w:r>
      <w:r w:rsidR="00CA6ADE" w:rsidRPr="001B4A02">
        <w:t>,</w:t>
      </w:r>
      <w:r w:rsidRPr="001B4A02">
        <w:t xml:space="preserve"> nebo placebo v týdnech 0</w:t>
      </w:r>
      <w:r w:rsidR="002378E0">
        <w:t xml:space="preserve"> a </w:t>
      </w:r>
      <w:r w:rsidRPr="001B4A02">
        <w:t>2. Primárně na léčbu neodpovídající pacienti byli ze studií vyřazení,</w:t>
      </w:r>
      <w:r w:rsidR="002378E0">
        <w:t xml:space="preserve"> a </w:t>
      </w:r>
      <w:r w:rsidRPr="001B4A02">
        <w:t>proto nebyli dále hodnoceni.</w:t>
      </w:r>
    </w:p>
    <w:p w14:paraId="170A1FAA" w14:textId="77777777" w:rsidR="00ED3511" w:rsidRPr="001B4A02" w:rsidRDefault="00ED3511" w:rsidP="00ED48A3">
      <w:pPr>
        <w:ind w:left="0" w:firstLine="0"/>
      </w:pPr>
    </w:p>
    <w:p w14:paraId="7A6D6E0F" w14:textId="77777777" w:rsidR="00ED3511" w:rsidRPr="001B4A02" w:rsidRDefault="00000000" w:rsidP="00ED48A3">
      <w:pPr>
        <w:ind w:left="0" w:firstLine="0"/>
      </w:pPr>
      <w:r w:rsidRPr="001B4A02">
        <w:t xml:space="preserve">Přetrvávání klinické remise bylo hodnoceno ve studii CD III (CHARM). V nezaslepené fázi studie CD III </w:t>
      </w:r>
      <w:r w:rsidR="0037494F" w:rsidRPr="001B4A02">
        <w:t>po</w:t>
      </w:r>
      <w:r w:rsidRPr="001B4A02">
        <w:t>užívalo 854 pacientů dávku 80 mg v týdnu 0</w:t>
      </w:r>
      <w:r w:rsidR="002378E0">
        <w:t xml:space="preserve"> a </w:t>
      </w:r>
      <w:r w:rsidRPr="001B4A02">
        <w:t xml:space="preserve">40 mg v týdnu 2. V týdnu 4 byli pacienti randomizováni do skupin, kdy </w:t>
      </w:r>
      <w:r w:rsidR="0037494F" w:rsidRPr="001B4A02">
        <w:t>po</w:t>
      </w:r>
      <w:r w:rsidRPr="001B4A02">
        <w:t xml:space="preserve">užívali buď 40 mg každý druhý týden, 40 mg každý týden nebo placebo při celkové délce trvání studie 56 týdnů. Pacienti s klinickou odpovědí na léčbu v týdnu 4 (pokles CDAI </w:t>
      </w:r>
      <w:r w:rsidR="009D2A3C" w:rsidRPr="001B4A02">
        <w:rPr>
          <w:rFonts w:ascii="Symbol" w:hAnsi="Symbol"/>
        </w:rPr>
        <w:sym w:font="Symbol" w:char="F0B3"/>
      </w:r>
      <w:r w:rsidRPr="001B4A02">
        <w:t> 70) byli stratifikováni</w:t>
      </w:r>
      <w:r w:rsidR="002378E0">
        <w:t xml:space="preserve"> a </w:t>
      </w:r>
      <w:r w:rsidRPr="001B4A02">
        <w:t>hodnoceni odděleně od těch, kteří v týdnu 4 klinické odpovědi nedosáhli. Snižování dávek kortikosteroidů bylo povoleno po týdnu 8.</w:t>
      </w:r>
    </w:p>
    <w:p w14:paraId="53242338" w14:textId="77777777" w:rsidR="00ED3511" w:rsidRPr="001B4A02" w:rsidRDefault="00ED3511" w:rsidP="00ED48A3">
      <w:pPr>
        <w:ind w:left="0" w:firstLine="0"/>
      </w:pPr>
    </w:p>
    <w:p w14:paraId="2C67F93B" w14:textId="77777777" w:rsidR="00ED3511" w:rsidRPr="001B4A02" w:rsidRDefault="00000000" w:rsidP="00ED48A3">
      <w:pPr>
        <w:ind w:left="0" w:firstLine="0"/>
      </w:pPr>
      <w:r w:rsidRPr="001B4A02">
        <w:t>Indukce remise</w:t>
      </w:r>
      <w:r w:rsidR="002378E0">
        <w:t xml:space="preserve"> a </w:t>
      </w:r>
      <w:r w:rsidRPr="001B4A02">
        <w:t>četnost odpovědí ve studiích CD I</w:t>
      </w:r>
      <w:r w:rsidR="002378E0">
        <w:t xml:space="preserve"> a </w:t>
      </w:r>
      <w:r w:rsidRPr="001B4A02">
        <w:t xml:space="preserve">CD II uvádí tabulka </w:t>
      </w:r>
      <w:r w:rsidR="002A0AEB">
        <w:t>21</w:t>
      </w:r>
      <w:r w:rsidRPr="001B4A02">
        <w:t>.</w:t>
      </w:r>
    </w:p>
    <w:p w14:paraId="2BD116C4" w14:textId="77777777" w:rsidR="00ED3511" w:rsidRPr="001B4A02" w:rsidRDefault="00ED3511" w:rsidP="00ED48A3">
      <w:pPr>
        <w:ind w:left="0" w:firstLine="0"/>
      </w:pPr>
    </w:p>
    <w:p w14:paraId="0F6317E0" w14:textId="77777777" w:rsidR="00ED3511" w:rsidRPr="001B4A02" w:rsidRDefault="00000000" w:rsidP="00A03600">
      <w:pPr>
        <w:keepNext/>
        <w:ind w:left="0" w:firstLine="0"/>
        <w:jc w:val="center"/>
        <w:rPr>
          <w:b/>
          <w:bCs/>
        </w:rPr>
      </w:pPr>
      <w:r w:rsidRPr="001B4A02">
        <w:rPr>
          <w:b/>
          <w:bCs/>
        </w:rPr>
        <w:t xml:space="preserve">Tabulka </w:t>
      </w:r>
      <w:r w:rsidR="002A0AEB">
        <w:rPr>
          <w:b/>
          <w:bCs/>
        </w:rPr>
        <w:t>21</w:t>
      </w:r>
    </w:p>
    <w:p w14:paraId="6797A877" w14:textId="77777777" w:rsidR="00ED3511" w:rsidRPr="001B4A02" w:rsidRDefault="00000000" w:rsidP="00A03600">
      <w:pPr>
        <w:keepNext/>
        <w:ind w:left="0" w:firstLine="0"/>
        <w:jc w:val="center"/>
        <w:rPr>
          <w:b/>
          <w:bCs/>
        </w:rPr>
      </w:pPr>
      <w:r w:rsidRPr="001B4A02">
        <w:rPr>
          <w:b/>
          <w:bCs/>
        </w:rPr>
        <w:t>Indukce klinické remise</w:t>
      </w:r>
      <w:r w:rsidR="002378E0">
        <w:rPr>
          <w:b/>
          <w:bCs/>
        </w:rPr>
        <w:t xml:space="preserve"> a </w:t>
      </w:r>
      <w:r w:rsidRPr="001B4A02">
        <w:rPr>
          <w:b/>
          <w:bCs/>
        </w:rPr>
        <w:t>odpověd</w:t>
      </w:r>
      <w:r w:rsidR="00A34706">
        <w:rPr>
          <w:b/>
          <w:bCs/>
        </w:rPr>
        <w:t>i</w:t>
      </w:r>
    </w:p>
    <w:p w14:paraId="4026D0FF" w14:textId="77777777" w:rsidR="00ED3511" w:rsidRPr="001B4A02" w:rsidRDefault="00000000" w:rsidP="0050658F">
      <w:pPr>
        <w:keepNext/>
        <w:ind w:left="0" w:firstLine="0"/>
        <w:jc w:val="center"/>
      </w:pPr>
      <w:r w:rsidRPr="001B4A02">
        <w:rPr>
          <w:b/>
          <w:bCs/>
        </w:rPr>
        <w:t>(Procento pacientů)</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71"/>
        <w:gridCol w:w="1299"/>
        <w:gridCol w:w="1535"/>
        <w:gridCol w:w="1535"/>
        <w:gridCol w:w="1535"/>
        <w:gridCol w:w="1536"/>
      </w:tblGrid>
      <w:tr w:rsidR="00534A2D" w14:paraId="243B1811" w14:textId="77777777" w:rsidTr="008D783A">
        <w:tc>
          <w:tcPr>
            <w:tcW w:w="1771" w:type="dxa"/>
            <w:tcBorders>
              <w:top w:val="single" w:sz="4" w:space="0" w:color="auto"/>
              <w:left w:val="single" w:sz="4" w:space="0" w:color="auto"/>
              <w:bottom w:val="single" w:sz="4" w:space="0" w:color="auto"/>
              <w:right w:val="single" w:sz="4" w:space="0" w:color="auto"/>
            </w:tcBorders>
          </w:tcPr>
          <w:p w14:paraId="2C2C9277" w14:textId="77777777" w:rsidR="00ED3511" w:rsidRPr="001B4A02" w:rsidRDefault="00ED3511" w:rsidP="00ED48A3">
            <w:pPr>
              <w:ind w:left="0" w:firstLine="0"/>
              <w:jc w:val="center"/>
            </w:pPr>
          </w:p>
        </w:tc>
        <w:tc>
          <w:tcPr>
            <w:tcW w:w="4369" w:type="dxa"/>
            <w:gridSpan w:val="3"/>
            <w:tcBorders>
              <w:top w:val="single" w:sz="4" w:space="0" w:color="auto"/>
              <w:left w:val="single" w:sz="4" w:space="0" w:color="auto"/>
              <w:bottom w:val="single" w:sz="4" w:space="0" w:color="auto"/>
              <w:right w:val="single" w:sz="4" w:space="0" w:color="auto"/>
            </w:tcBorders>
          </w:tcPr>
          <w:p w14:paraId="44FBB22D" w14:textId="77777777" w:rsidR="00ED3511" w:rsidRPr="001B4A02" w:rsidRDefault="00000000" w:rsidP="00ED48A3">
            <w:pPr>
              <w:pStyle w:val="EMEANormal"/>
              <w:tabs>
                <w:tab w:val="clear" w:pos="562"/>
                <w:tab w:val="left" w:pos="708"/>
              </w:tabs>
              <w:suppressAutoHyphens w:val="0"/>
              <w:jc w:val="center"/>
              <w:rPr>
                <w:b/>
                <w:bCs/>
                <w:lang w:val="cs-CZ"/>
              </w:rPr>
            </w:pPr>
            <w:r w:rsidRPr="001B4A02">
              <w:rPr>
                <w:b/>
                <w:bCs/>
                <w:lang w:val="cs-CZ"/>
              </w:rPr>
              <w:t>Studie CD I: Pacienti dosud neléčení infliximabem</w:t>
            </w:r>
          </w:p>
        </w:tc>
        <w:tc>
          <w:tcPr>
            <w:tcW w:w="3071" w:type="dxa"/>
            <w:gridSpan w:val="2"/>
            <w:tcBorders>
              <w:top w:val="single" w:sz="4" w:space="0" w:color="auto"/>
              <w:left w:val="single" w:sz="4" w:space="0" w:color="auto"/>
              <w:bottom w:val="single" w:sz="4" w:space="0" w:color="auto"/>
              <w:right w:val="single" w:sz="4" w:space="0" w:color="auto"/>
            </w:tcBorders>
          </w:tcPr>
          <w:p w14:paraId="06EF451D" w14:textId="77777777" w:rsidR="00ED3511" w:rsidRPr="001B4A02" w:rsidRDefault="00000000" w:rsidP="00ED48A3">
            <w:pPr>
              <w:ind w:left="0" w:firstLine="0"/>
              <w:jc w:val="center"/>
              <w:rPr>
                <w:b/>
                <w:bCs/>
              </w:rPr>
            </w:pPr>
            <w:r w:rsidRPr="001B4A02">
              <w:rPr>
                <w:b/>
                <w:bCs/>
              </w:rPr>
              <w:t>Studie CD: Pacienti dříve léčení infliximabem</w:t>
            </w:r>
          </w:p>
        </w:tc>
      </w:tr>
      <w:tr w:rsidR="00534A2D" w14:paraId="2582226A" w14:textId="77777777" w:rsidTr="008D783A">
        <w:tc>
          <w:tcPr>
            <w:tcW w:w="1771" w:type="dxa"/>
            <w:tcBorders>
              <w:top w:val="single" w:sz="4" w:space="0" w:color="auto"/>
              <w:left w:val="single" w:sz="4" w:space="0" w:color="auto"/>
              <w:bottom w:val="single" w:sz="4" w:space="0" w:color="auto"/>
              <w:right w:val="single" w:sz="4" w:space="0" w:color="auto"/>
            </w:tcBorders>
          </w:tcPr>
          <w:p w14:paraId="0A17164D" w14:textId="77777777" w:rsidR="00ED3511" w:rsidRPr="001B4A02" w:rsidRDefault="00ED3511" w:rsidP="00ED48A3">
            <w:pPr>
              <w:ind w:left="0" w:firstLine="0"/>
              <w:jc w:val="center"/>
            </w:pPr>
          </w:p>
        </w:tc>
        <w:tc>
          <w:tcPr>
            <w:tcW w:w="1299" w:type="dxa"/>
            <w:tcBorders>
              <w:top w:val="single" w:sz="4" w:space="0" w:color="auto"/>
              <w:left w:val="single" w:sz="4" w:space="0" w:color="auto"/>
              <w:bottom w:val="single" w:sz="4" w:space="0" w:color="auto"/>
              <w:right w:val="single" w:sz="4" w:space="0" w:color="auto"/>
            </w:tcBorders>
          </w:tcPr>
          <w:p w14:paraId="32BF3E72" w14:textId="77777777" w:rsidR="00ED3511" w:rsidRPr="001B4A02" w:rsidRDefault="00000000" w:rsidP="00ED48A3">
            <w:pPr>
              <w:ind w:left="0" w:firstLine="0"/>
              <w:jc w:val="center"/>
              <w:rPr>
                <w:b/>
                <w:bCs/>
              </w:rPr>
            </w:pPr>
            <w:r w:rsidRPr="001B4A02">
              <w:rPr>
                <w:b/>
                <w:bCs/>
              </w:rPr>
              <w:t>Placebo</w:t>
            </w:r>
          </w:p>
          <w:p w14:paraId="6DCB7746" w14:textId="77777777" w:rsidR="00ED3511" w:rsidRPr="001B4A02" w:rsidRDefault="00000000" w:rsidP="00ED48A3">
            <w:pPr>
              <w:ind w:left="0" w:firstLine="0"/>
              <w:jc w:val="center"/>
              <w:rPr>
                <w:b/>
                <w:bCs/>
              </w:rPr>
            </w:pPr>
            <w:r>
              <w:rPr>
                <w:b/>
                <w:bCs/>
              </w:rPr>
              <w:t>n</w:t>
            </w:r>
            <w:r w:rsidRPr="001B4A02">
              <w:rPr>
                <w:b/>
                <w:bCs/>
              </w:rPr>
              <w:t>=74</w:t>
            </w:r>
          </w:p>
        </w:tc>
        <w:tc>
          <w:tcPr>
            <w:tcW w:w="1535" w:type="dxa"/>
            <w:tcBorders>
              <w:top w:val="single" w:sz="4" w:space="0" w:color="auto"/>
              <w:left w:val="single" w:sz="4" w:space="0" w:color="auto"/>
              <w:bottom w:val="single" w:sz="4" w:space="0" w:color="auto"/>
              <w:right w:val="single" w:sz="4" w:space="0" w:color="auto"/>
            </w:tcBorders>
          </w:tcPr>
          <w:p w14:paraId="31ABACCB" w14:textId="77777777" w:rsidR="00ED3511" w:rsidRPr="001B4A02" w:rsidRDefault="00000000" w:rsidP="00ED48A3">
            <w:pPr>
              <w:ind w:left="0" w:firstLine="0"/>
              <w:jc w:val="center"/>
              <w:rPr>
                <w:b/>
                <w:bCs/>
              </w:rPr>
            </w:pPr>
            <w:r w:rsidRPr="001B4A02">
              <w:rPr>
                <w:b/>
                <w:bCs/>
              </w:rPr>
              <w:t>Humira 80/40 mg</w:t>
            </w:r>
          </w:p>
          <w:p w14:paraId="2210C509" w14:textId="77777777" w:rsidR="00ED3511" w:rsidRPr="001B4A02" w:rsidRDefault="00000000" w:rsidP="00ED48A3">
            <w:pPr>
              <w:ind w:left="0" w:firstLine="0"/>
              <w:jc w:val="center"/>
              <w:rPr>
                <w:b/>
                <w:bCs/>
              </w:rPr>
            </w:pPr>
            <w:r>
              <w:rPr>
                <w:b/>
                <w:bCs/>
              </w:rPr>
              <w:t>n</w:t>
            </w:r>
            <w:r w:rsidRPr="001B4A02">
              <w:rPr>
                <w:b/>
                <w:bCs/>
              </w:rPr>
              <w:t>=75</w:t>
            </w:r>
          </w:p>
        </w:tc>
        <w:tc>
          <w:tcPr>
            <w:tcW w:w="1535" w:type="dxa"/>
            <w:tcBorders>
              <w:top w:val="single" w:sz="4" w:space="0" w:color="auto"/>
              <w:left w:val="single" w:sz="4" w:space="0" w:color="auto"/>
              <w:bottom w:val="single" w:sz="4" w:space="0" w:color="auto"/>
              <w:right w:val="single" w:sz="4" w:space="0" w:color="auto"/>
            </w:tcBorders>
          </w:tcPr>
          <w:p w14:paraId="7863A336" w14:textId="77777777" w:rsidR="00ED3511" w:rsidRPr="001B4A02" w:rsidRDefault="00000000" w:rsidP="00ED48A3">
            <w:pPr>
              <w:ind w:left="0" w:firstLine="0"/>
              <w:jc w:val="center"/>
              <w:rPr>
                <w:b/>
                <w:bCs/>
              </w:rPr>
            </w:pPr>
            <w:r w:rsidRPr="001B4A02">
              <w:rPr>
                <w:b/>
                <w:bCs/>
              </w:rPr>
              <w:t>Humira 160/80 mg</w:t>
            </w:r>
          </w:p>
          <w:p w14:paraId="2179509F" w14:textId="77777777" w:rsidR="00ED3511" w:rsidRPr="001B4A02" w:rsidRDefault="00000000" w:rsidP="00ED48A3">
            <w:pPr>
              <w:ind w:left="0" w:firstLine="0"/>
              <w:jc w:val="center"/>
              <w:rPr>
                <w:b/>
                <w:bCs/>
              </w:rPr>
            </w:pPr>
            <w:r>
              <w:rPr>
                <w:b/>
                <w:bCs/>
              </w:rPr>
              <w:t>n</w:t>
            </w:r>
            <w:r w:rsidRPr="001B4A02">
              <w:rPr>
                <w:b/>
                <w:bCs/>
              </w:rPr>
              <w:t>=76</w:t>
            </w:r>
          </w:p>
        </w:tc>
        <w:tc>
          <w:tcPr>
            <w:tcW w:w="1535" w:type="dxa"/>
            <w:tcBorders>
              <w:top w:val="single" w:sz="4" w:space="0" w:color="auto"/>
              <w:left w:val="single" w:sz="4" w:space="0" w:color="auto"/>
              <w:bottom w:val="single" w:sz="4" w:space="0" w:color="auto"/>
              <w:right w:val="single" w:sz="4" w:space="0" w:color="auto"/>
            </w:tcBorders>
          </w:tcPr>
          <w:p w14:paraId="46169CEF" w14:textId="77777777" w:rsidR="00ED3511" w:rsidRPr="001B4A02" w:rsidRDefault="00000000" w:rsidP="00ED48A3">
            <w:pPr>
              <w:ind w:left="0" w:firstLine="0"/>
              <w:jc w:val="center"/>
              <w:rPr>
                <w:b/>
                <w:bCs/>
              </w:rPr>
            </w:pPr>
            <w:r w:rsidRPr="001B4A02">
              <w:rPr>
                <w:b/>
                <w:bCs/>
              </w:rPr>
              <w:t>Placebo</w:t>
            </w:r>
          </w:p>
          <w:p w14:paraId="6C8F4700" w14:textId="77777777" w:rsidR="00ED3511" w:rsidRPr="001B4A02" w:rsidRDefault="00000000" w:rsidP="00ED48A3">
            <w:pPr>
              <w:ind w:left="0" w:firstLine="0"/>
              <w:jc w:val="center"/>
              <w:rPr>
                <w:b/>
                <w:bCs/>
              </w:rPr>
            </w:pPr>
            <w:r>
              <w:rPr>
                <w:b/>
                <w:bCs/>
              </w:rPr>
              <w:t>n</w:t>
            </w:r>
            <w:r w:rsidRPr="001B4A02">
              <w:rPr>
                <w:b/>
                <w:bCs/>
              </w:rPr>
              <w:t>=166</w:t>
            </w:r>
          </w:p>
        </w:tc>
        <w:tc>
          <w:tcPr>
            <w:tcW w:w="1536" w:type="dxa"/>
            <w:tcBorders>
              <w:top w:val="single" w:sz="4" w:space="0" w:color="auto"/>
              <w:left w:val="single" w:sz="4" w:space="0" w:color="auto"/>
              <w:bottom w:val="single" w:sz="4" w:space="0" w:color="auto"/>
              <w:right w:val="single" w:sz="4" w:space="0" w:color="auto"/>
            </w:tcBorders>
          </w:tcPr>
          <w:p w14:paraId="4FA3C475" w14:textId="77777777" w:rsidR="00ED3511" w:rsidRPr="001B4A02" w:rsidRDefault="00000000" w:rsidP="00ED48A3">
            <w:pPr>
              <w:ind w:left="0" w:firstLine="0"/>
              <w:jc w:val="center"/>
              <w:rPr>
                <w:b/>
                <w:bCs/>
              </w:rPr>
            </w:pPr>
            <w:r w:rsidRPr="001B4A02">
              <w:rPr>
                <w:b/>
                <w:bCs/>
              </w:rPr>
              <w:t>Humira 160/80 mg</w:t>
            </w:r>
          </w:p>
          <w:p w14:paraId="58B4A747" w14:textId="77777777" w:rsidR="00ED3511" w:rsidRPr="001B4A02" w:rsidRDefault="00000000" w:rsidP="00ED48A3">
            <w:pPr>
              <w:ind w:left="0" w:firstLine="0"/>
              <w:jc w:val="center"/>
              <w:rPr>
                <w:b/>
                <w:bCs/>
              </w:rPr>
            </w:pPr>
            <w:r>
              <w:rPr>
                <w:b/>
                <w:bCs/>
              </w:rPr>
              <w:t>n</w:t>
            </w:r>
            <w:r w:rsidRPr="001B4A02">
              <w:rPr>
                <w:b/>
                <w:bCs/>
              </w:rPr>
              <w:t>=159</w:t>
            </w:r>
          </w:p>
        </w:tc>
      </w:tr>
      <w:tr w:rsidR="00534A2D" w14:paraId="0512703B" w14:textId="77777777" w:rsidTr="008D783A">
        <w:tc>
          <w:tcPr>
            <w:tcW w:w="1771" w:type="dxa"/>
            <w:tcBorders>
              <w:top w:val="single" w:sz="4" w:space="0" w:color="auto"/>
              <w:left w:val="single" w:sz="4" w:space="0" w:color="auto"/>
              <w:bottom w:val="single" w:sz="4" w:space="0" w:color="auto"/>
              <w:right w:val="single" w:sz="4" w:space="0" w:color="auto"/>
            </w:tcBorders>
          </w:tcPr>
          <w:p w14:paraId="0C6F0B43" w14:textId="77777777" w:rsidR="00ED3511" w:rsidRPr="001B4A02" w:rsidRDefault="00000000" w:rsidP="00ED48A3">
            <w:pPr>
              <w:pStyle w:val="EMEANormal"/>
              <w:tabs>
                <w:tab w:val="clear" w:pos="562"/>
              </w:tabs>
              <w:suppressAutoHyphens w:val="0"/>
              <w:rPr>
                <w:lang w:val="cs-CZ"/>
              </w:rPr>
            </w:pPr>
            <w:r w:rsidRPr="001B4A02">
              <w:rPr>
                <w:lang w:val="cs-CZ"/>
              </w:rPr>
              <w:t>Týden 4</w:t>
            </w:r>
          </w:p>
        </w:tc>
        <w:tc>
          <w:tcPr>
            <w:tcW w:w="1299" w:type="dxa"/>
            <w:tcBorders>
              <w:top w:val="single" w:sz="4" w:space="0" w:color="auto"/>
              <w:left w:val="single" w:sz="4" w:space="0" w:color="auto"/>
              <w:bottom w:val="single" w:sz="4" w:space="0" w:color="auto"/>
              <w:right w:val="single" w:sz="4" w:space="0" w:color="auto"/>
            </w:tcBorders>
          </w:tcPr>
          <w:p w14:paraId="1B0FB926" w14:textId="77777777" w:rsidR="00ED3511" w:rsidRPr="001B4A02" w:rsidRDefault="00ED3511" w:rsidP="00ED48A3">
            <w:pPr>
              <w:ind w:left="0" w:firstLine="0"/>
              <w:jc w:val="center"/>
            </w:pPr>
          </w:p>
        </w:tc>
        <w:tc>
          <w:tcPr>
            <w:tcW w:w="1535" w:type="dxa"/>
            <w:tcBorders>
              <w:top w:val="single" w:sz="4" w:space="0" w:color="auto"/>
              <w:left w:val="single" w:sz="4" w:space="0" w:color="auto"/>
              <w:bottom w:val="single" w:sz="4" w:space="0" w:color="auto"/>
              <w:right w:val="single" w:sz="4" w:space="0" w:color="auto"/>
            </w:tcBorders>
          </w:tcPr>
          <w:p w14:paraId="453E95EF" w14:textId="77777777" w:rsidR="00ED3511" w:rsidRPr="001B4A02" w:rsidRDefault="00ED3511" w:rsidP="00ED48A3">
            <w:pPr>
              <w:ind w:left="0" w:firstLine="0"/>
              <w:jc w:val="center"/>
            </w:pPr>
          </w:p>
        </w:tc>
        <w:tc>
          <w:tcPr>
            <w:tcW w:w="1535" w:type="dxa"/>
            <w:tcBorders>
              <w:top w:val="single" w:sz="4" w:space="0" w:color="auto"/>
              <w:left w:val="single" w:sz="4" w:space="0" w:color="auto"/>
              <w:bottom w:val="single" w:sz="4" w:space="0" w:color="auto"/>
              <w:right w:val="single" w:sz="4" w:space="0" w:color="auto"/>
            </w:tcBorders>
          </w:tcPr>
          <w:p w14:paraId="0D0AD555" w14:textId="77777777" w:rsidR="00ED3511" w:rsidRPr="001B4A02" w:rsidRDefault="00ED3511" w:rsidP="00ED48A3">
            <w:pPr>
              <w:ind w:left="0" w:firstLine="0"/>
              <w:jc w:val="center"/>
            </w:pPr>
          </w:p>
        </w:tc>
        <w:tc>
          <w:tcPr>
            <w:tcW w:w="1535" w:type="dxa"/>
            <w:tcBorders>
              <w:top w:val="single" w:sz="4" w:space="0" w:color="auto"/>
              <w:left w:val="single" w:sz="4" w:space="0" w:color="auto"/>
              <w:bottom w:val="single" w:sz="4" w:space="0" w:color="auto"/>
              <w:right w:val="single" w:sz="4" w:space="0" w:color="auto"/>
            </w:tcBorders>
          </w:tcPr>
          <w:p w14:paraId="73A6D9BE" w14:textId="77777777" w:rsidR="00ED3511" w:rsidRPr="001B4A02" w:rsidRDefault="00ED3511" w:rsidP="00ED48A3">
            <w:pPr>
              <w:ind w:left="0" w:firstLine="0"/>
              <w:jc w:val="center"/>
            </w:pPr>
          </w:p>
        </w:tc>
        <w:tc>
          <w:tcPr>
            <w:tcW w:w="1536" w:type="dxa"/>
            <w:tcBorders>
              <w:top w:val="single" w:sz="4" w:space="0" w:color="auto"/>
              <w:left w:val="single" w:sz="4" w:space="0" w:color="auto"/>
              <w:bottom w:val="single" w:sz="4" w:space="0" w:color="auto"/>
              <w:right w:val="single" w:sz="4" w:space="0" w:color="auto"/>
            </w:tcBorders>
          </w:tcPr>
          <w:p w14:paraId="62FC533F" w14:textId="77777777" w:rsidR="00ED3511" w:rsidRPr="001B4A02" w:rsidRDefault="00ED3511" w:rsidP="00ED48A3">
            <w:pPr>
              <w:ind w:left="0" w:firstLine="0"/>
              <w:jc w:val="center"/>
            </w:pPr>
          </w:p>
        </w:tc>
      </w:tr>
      <w:tr w:rsidR="00534A2D" w14:paraId="3F526547" w14:textId="77777777" w:rsidTr="008D783A">
        <w:tc>
          <w:tcPr>
            <w:tcW w:w="1771" w:type="dxa"/>
            <w:tcBorders>
              <w:top w:val="single" w:sz="4" w:space="0" w:color="auto"/>
              <w:left w:val="single" w:sz="4" w:space="0" w:color="auto"/>
              <w:bottom w:val="single" w:sz="4" w:space="0" w:color="auto"/>
              <w:right w:val="single" w:sz="4" w:space="0" w:color="auto"/>
            </w:tcBorders>
          </w:tcPr>
          <w:p w14:paraId="2F6840D4" w14:textId="77777777" w:rsidR="00ED3511" w:rsidRPr="001B4A02" w:rsidRDefault="00000000" w:rsidP="00ED48A3">
            <w:pPr>
              <w:ind w:left="0" w:firstLine="0"/>
            </w:pPr>
            <w:r w:rsidRPr="001B4A02">
              <w:t>Klinická remise</w:t>
            </w:r>
          </w:p>
        </w:tc>
        <w:tc>
          <w:tcPr>
            <w:tcW w:w="1299" w:type="dxa"/>
            <w:tcBorders>
              <w:top w:val="single" w:sz="4" w:space="0" w:color="auto"/>
              <w:left w:val="single" w:sz="4" w:space="0" w:color="auto"/>
              <w:bottom w:val="single" w:sz="4" w:space="0" w:color="auto"/>
              <w:right w:val="single" w:sz="4" w:space="0" w:color="auto"/>
            </w:tcBorders>
          </w:tcPr>
          <w:p w14:paraId="4D8BE419" w14:textId="77777777" w:rsidR="00ED3511" w:rsidRPr="001B4A02" w:rsidRDefault="00000000" w:rsidP="00ED48A3">
            <w:pPr>
              <w:ind w:left="0" w:firstLine="0"/>
              <w:jc w:val="center"/>
            </w:pPr>
            <w:r w:rsidRPr="001B4A02">
              <w:t>12</w:t>
            </w:r>
            <w:r w:rsidR="00AB657C" w:rsidRPr="001B4A02">
              <w:t> </w:t>
            </w:r>
            <w:r w:rsidRPr="001B4A02">
              <w:t>%</w:t>
            </w:r>
          </w:p>
        </w:tc>
        <w:tc>
          <w:tcPr>
            <w:tcW w:w="1535" w:type="dxa"/>
            <w:tcBorders>
              <w:top w:val="single" w:sz="4" w:space="0" w:color="auto"/>
              <w:left w:val="single" w:sz="4" w:space="0" w:color="auto"/>
              <w:bottom w:val="single" w:sz="4" w:space="0" w:color="auto"/>
              <w:right w:val="single" w:sz="4" w:space="0" w:color="auto"/>
            </w:tcBorders>
          </w:tcPr>
          <w:p w14:paraId="0ABA802E" w14:textId="77777777" w:rsidR="00ED3511" w:rsidRPr="001B4A02" w:rsidRDefault="00000000" w:rsidP="00ED48A3">
            <w:pPr>
              <w:ind w:left="0" w:firstLine="0"/>
              <w:jc w:val="center"/>
            </w:pPr>
            <w:r w:rsidRPr="001B4A02">
              <w:t>24</w:t>
            </w:r>
            <w:r w:rsidR="00AB657C" w:rsidRPr="001B4A02">
              <w:t> </w:t>
            </w:r>
            <w:r w:rsidRPr="001B4A02">
              <w:t>%</w:t>
            </w:r>
          </w:p>
        </w:tc>
        <w:tc>
          <w:tcPr>
            <w:tcW w:w="1535" w:type="dxa"/>
            <w:tcBorders>
              <w:top w:val="single" w:sz="4" w:space="0" w:color="auto"/>
              <w:left w:val="single" w:sz="4" w:space="0" w:color="auto"/>
              <w:bottom w:val="single" w:sz="4" w:space="0" w:color="auto"/>
              <w:right w:val="single" w:sz="4" w:space="0" w:color="auto"/>
            </w:tcBorders>
          </w:tcPr>
          <w:p w14:paraId="2FD42A2C" w14:textId="77777777" w:rsidR="00ED3511" w:rsidRPr="001B4A02" w:rsidRDefault="00000000" w:rsidP="00ED48A3">
            <w:pPr>
              <w:ind w:left="0" w:firstLine="0"/>
              <w:jc w:val="center"/>
            </w:pPr>
            <w:r w:rsidRPr="001B4A02">
              <w:t>36</w:t>
            </w:r>
            <w:r w:rsidR="00AB657C" w:rsidRPr="001B4A02">
              <w:t> </w:t>
            </w:r>
            <w:r w:rsidRPr="001B4A02">
              <w:t>%</w:t>
            </w:r>
            <w:r w:rsidRPr="001B4A02">
              <w:rPr>
                <w:rFonts w:ascii="Symbol" w:hAnsi="Symbol"/>
                <w:vertAlign w:val="superscript"/>
              </w:rPr>
              <w:sym w:font="Symbol" w:char="F02A"/>
            </w:r>
          </w:p>
        </w:tc>
        <w:tc>
          <w:tcPr>
            <w:tcW w:w="1535" w:type="dxa"/>
            <w:tcBorders>
              <w:top w:val="single" w:sz="4" w:space="0" w:color="auto"/>
              <w:left w:val="single" w:sz="4" w:space="0" w:color="auto"/>
              <w:bottom w:val="single" w:sz="4" w:space="0" w:color="auto"/>
              <w:right w:val="single" w:sz="4" w:space="0" w:color="auto"/>
            </w:tcBorders>
          </w:tcPr>
          <w:p w14:paraId="79629C11" w14:textId="77777777" w:rsidR="00ED3511" w:rsidRPr="001B4A02" w:rsidRDefault="00000000" w:rsidP="00ED48A3">
            <w:pPr>
              <w:ind w:left="0" w:firstLine="0"/>
              <w:jc w:val="center"/>
            </w:pPr>
            <w:r w:rsidRPr="001B4A02">
              <w:t>7</w:t>
            </w:r>
            <w:r w:rsidR="00AB657C" w:rsidRPr="001B4A02">
              <w:t> </w:t>
            </w:r>
            <w:r w:rsidRPr="001B4A02">
              <w:t>%</w:t>
            </w:r>
          </w:p>
        </w:tc>
        <w:tc>
          <w:tcPr>
            <w:tcW w:w="1536" w:type="dxa"/>
            <w:tcBorders>
              <w:top w:val="single" w:sz="4" w:space="0" w:color="auto"/>
              <w:left w:val="single" w:sz="4" w:space="0" w:color="auto"/>
              <w:bottom w:val="single" w:sz="4" w:space="0" w:color="auto"/>
              <w:right w:val="single" w:sz="4" w:space="0" w:color="auto"/>
            </w:tcBorders>
          </w:tcPr>
          <w:p w14:paraId="570A4052" w14:textId="77777777" w:rsidR="00ED3511" w:rsidRPr="001B4A02" w:rsidRDefault="00000000" w:rsidP="00ED48A3">
            <w:pPr>
              <w:ind w:left="0" w:firstLine="0"/>
              <w:jc w:val="center"/>
            </w:pPr>
            <w:r w:rsidRPr="001B4A02">
              <w:t>21</w:t>
            </w:r>
            <w:r w:rsidR="00AB657C" w:rsidRPr="001B4A02">
              <w:t> </w:t>
            </w:r>
            <w:r w:rsidRPr="001B4A02">
              <w:t>%</w:t>
            </w:r>
            <w:r w:rsidRPr="001B4A02">
              <w:rPr>
                <w:rFonts w:ascii="Symbol" w:hAnsi="Symbol"/>
                <w:vertAlign w:val="superscript"/>
              </w:rPr>
              <w:sym w:font="Symbol" w:char="F02A"/>
            </w:r>
          </w:p>
        </w:tc>
      </w:tr>
      <w:tr w:rsidR="00534A2D" w14:paraId="0549E4ED" w14:textId="77777777" w:rsidTr="008D783A">
        <w:tc>
          <w:tcPr>
            <w:tcW w:w="1771" w:type="dxa"/>
            <w:tcBorders>
              <w:top w:val="single" w:sz="4" w:space="0" w:color="auto"/>
              <w:left w:val="single" w:sz="4" w:space="0" w:color="auto"/>
              <w:bottom w:val="single" w:sz="4" w:space="0" w:color="auto"/>
              <w:right w:val="single" w:sz="4" w:space="0" w:color="auto"/>
            </w:tcBorders>
          </w:tcPr>
          <w:p w14:paraId="57042650" w14:textId="77777777" w:rsidR="00ED3511" w:rsidRPr="001B4A02" w:rsidRDefault="00000000" w:rsidP="00ED48A3">
            <w:pPr>
              <w:ind w:left="0" w:firstLine="0"/>
            </w:pPr>
            <w:r w:rsidRPr="001B4A02">
              <w:t>Klinická odpověď (CR-100)</w:t>
            </w:r>
          </w:p>
        </w:tc>
        <w:tc>
          <w:tcPr>
            <w:tcW w:w="1299" w:type="dxa"/>
            <w:tcBorders>
              <w:top w:val="single" w:sz="4" w:space="0" w:color="auto"/>
              <w:left w:val="single" w:sz="4" w:space="0" w:color="auto"/>
              <w:bottom w:val="single" w:sz="4" w:space="0" w:color="auto"/>
              <w:right w:val="single" w:sz="4" w:space="0" w:color="auto"/>
            </w:tcBorders>
          </w:tcPr>
          <w:p w14:paraId="553EBCE1" w14:textId="77777777" w:rsidR="00ED3511" w:rsidRPr="001B4A02" w:rsidRDefault="00000000" w:rsidP="00ED48A3">
            <w:pPr>
              <w:ind w:left="0" w:firstLine="0"/>
              <w:jc w:val="center"/>
            </w:pPr>
            <w:r w:rsidRPr="001B4A02">
              <w:t>24</w:t>
            </w:r>
            <w:r w:rsidR="00AB657C" w:rsidRPr="001B4A02">
              <w:t> </w:t>
            </w:r>
            <w:r w:rsidRPr="001B4A02">
              <w:t>%</w:t>
            </w:r>
          </w:p>
        </w:tc>
        <w:tc>
          <w:tcPr>
            <w:tcW w:w="1535" w:type="dxa"/>
            <w:tcBorders>
              <w:top w:val="single" w:sz="4" w:space="0" w:color="auto"/>
              <w:left w:val="single" w:sz="4" w:space="0" w:color="auto"/>
              <w:bottom w:val="single" w:sz="4" w:space="0" w:color="auto"/>
              <w:right w:val="single" w:sz="4" w:space="0" w:color="auto"/>
            </w:tcBorders>
          </w:tcPr>
          <w:p w14:paraId="62E0DA34" w14:textId="77777777" w:rsidR="00ED3511" w:rsidRPr="001B4A02" w:rsidRDefault="00000000" w:rsidP="00ED48A3">
            <w:pPr>
              <w:ind w:left="0" w:firstLine="0"/>
              <w:jc w:val="center"/>
            </w:pPr>
            <w:r w:rsidRPr="001B4A02">
              <w:t>37</w:t>
            </w:r>
            <w:r w:rsidR="00AB657C" w:rsidRPr="001B4A02">
              <w:t> </w:t>
            </w:r>
            <w:r w:rsidRPr="001B4A02">
              <w:t>%</w:t>
            </w:r>
          </w:p>
        </w:tc>
        <w:tc>
          <w:tcPr>
            <w:tcW w:w="1535" w:type="dxa"/>
            <w:tcBorders>
              <w:top w:val="single" w:sz="4" w:space="0" w:color="auto"/>
              <w:left w:val="single" w:sz="4" w:space="0" w:color="auto"/>
              <w:bottom w:val="single" w:sz="4" w:space="0" w:color="auto"/>
              <w:right w:val="single" w:sz="4" w:space="0" w:color="auto"/>
            </w:tcBorders>
          </w:tcPr>
          <w:p w14:paraId="671FEE41" w14:textId="77777777" w:rsidR="00ED3511" w:rsidRPr="001B4A02" w:rsidRDefault="00000000" w:rsidP="00ED48A3">
            <w:pPr>
              <w:ind w:left="0" w:firstLine="0"/>
              <w:jc w:val="center"/>
            </w:pPr>
            <w:r w:rsidRPr="001B4A02">
              <w:t>49</w:t>
            </w:r>
            <w:r w:rsidR="00AB657C" w:rsidRPr="001B4A02">
              <w:t> </w:t>
            </w:r>
            <w:r w:rsidRPr="001B4A02">
              <w:t>%</w:t>
            </w:r>
            <w:r w:rsidRPr="001B4A02">
              <w:rPr>
                <w:rFonts w:ascii="Symbol" w:hAnsi="Symbol"/>
                <w:vertAlign w:val="superscript"/>
              </w:rPr>
              <w:sym w:font="Symbol" w:char="F02A"/>
            </w:r>
            <w:r w:rsidRPr="001B4A02">
              <w:rPr>
                <w:rFonts w:ascii="Symbol" w:hAnsi="Symbol"/>
                <w:vertAlign w:val="superscript"/>
              </w:rPr>
              <w:sym w:font="Symbol" w:char="F02A"/>
            </w:r>
          </w:p>
        </w:tc>
        <w:tc>
          <w:tcPr>
            <w:tcW w:w="1535" w:type="dxa"/>
            <w:tcBorders>
              <w:top w:val="single" w:sz="4" w:space="0" w:color="auto"/>
              <w:left w:val="single" w:sz="4" w:space="0" w:color="auto"/>
              <w:bottom w:val="single" w:sz="4" w:space="0" w:color="auto"/>
              <w:right w:val="single" w:sz="4" w:space="0" w:color="auto"/>
            </w:tcBorders>
          </w:tcPr>
          <w:p w14:paraId="4F042CFF" w14:textId="77777777" w:rsidR="00ED3511" w:rsidRPr="001B4A02" w:rsidRDefault="00000000" w:rsidP="00ED48A3">
            <w:pPr>
              <w:ind w:left="0" w:firstLine="0"/>
              <w:jc w:val="center"/>
            </w:pPr>
            <w:r w:rsidRPr="001B4A02">
              <w:t>25</w:t>
            </w:r>
            <w:r w:rsidR="00AB657C" w:rsidRPr="001B4A02">
              <w:t> </w:t>
            </w:r>
            <w:r w:rsidRPr="001B4A02">
              <w:t>%</w:t>
            </w:r>
          </w:p>
        </w:tc>
        <w:tc>
          <w:tcPr>
            <w:tcW w:w="1536" w:type="dxa"/>
            <w:tcBorders>
              <w:top w:val="single" w:sz="4" w:space="0" w:color="auto"/>
              <w:left w:val="single" w:sz="4" w:space="0" w:color="auto"/>
              <w:bottom w:val="single" w:sz="4" w:space="0" w:color="auto"/>
              <w:right w:val="single" w:sz="4" w:space="0" w:color="auto"/>
            </w:tcBorders>
          </w:tcPr>
          <w:p w14:paraId="6E3F165D" w14:textId="77777777" w:rsidR="00ED3511" w:rsidRPr="001B4A02" w:rsidRDefault="00000000" w:rsidP="00ED48A3">
            <w:pPr>
              <w:ind w:left="0" w:firstLine="0"/>
              <w:jc w:val="center"/>
            </w:pPr>
            <w:r w:rsidRPr="001B4A02">
              <w:t>38</w:t>
            </w:r>
            <w:r w:rsidR="00AB657C" w:rsidRPr="001B4A02">
              <w:t> </w:t>
            </w:r>
            <w:r w:rsidRPr="001B4A02">
              <w:t>%</w:t>
            </w:r>
            <w:r w:rsidRPr="001B4A02">
              <w:rPr>
                <w:rFonts w:ascii="Symbol" w:hAnsi="Symbol"/>
                <w:vertAlign w:val="superscript"/>
              </w:rPr>
              <w:sym w:font="Symbol" w:char="F02A"/>
            </w:r>
            <w:r w:rsidRPr="001B4A02">
              <w:rPr>
                <w:rFonts w:ascii="Symbol" w:hAnsi="Symbol"/>
                <w:vertAlign w:val="superscript"/>
              </w:rPr>
              <w:sym w:font="Symbol" w:char="F02A"/>
            </w:r>
          </w:p>
        </w:tc>
      </w:tr>
    </w:tbl>
    <w:p w14:paraId="7EE00460" w14:textId="77777777" w:rsidR="00ED3511" w:rsidRPr="001B4A02" w:rsidRDefault="00000000" w:rsidP="00ED48A3">
      <w:pPr>
        <w:pStyle w:val="EMEANormal"/>
        <w:tabs>
          <w:tab w:val="clear" w:pos="562"/>
          <w:tab w:val="left" w:pos="708"/>
        </w:tabs>
        <w:suppressAutoHyphens w:val="0"/>
        <w:rPr>
          <w:sz w:val="20"/>
          <w:lang w:val="cs-CZ"/>
        </w:rPr>
      </w:pPr>
      <w:r w:rsidRPr="001B4A02">
        <w:rPr>
          <w:sz w:val="20"/>
          <w:lang w:val="cs-CZ"/>
        </w:rPr>
        <w:t>Všechny hodnoty p slouží k párovému srovnání hodnot pro přípravek Humira versus placebo</w:t>
      </w:r>
    </w:p>
    <w:p w14:paraId="7314E47D" w14:textId="77777777" w:rsidR="00ED3511" w:rsidRPr="001B4A02" w:rsidRDefault="00000000" w:rsidP="00ED48A3">
      <w:pPr>
        <w:pStyle w:val="EMEANormal"/>
        <w:tabs>
          <w:tab w:val="clear" w:pos="562"/>
          <w:tab w:val="left" w:pos="708"/>
        </w:tabs>
        <w:suppressAutoHyphens w:val="0"/>
        <w:rPr>
          <w:sz w:val="20"/>
          <w:lang w:val="cs-CZ"/>
        </w:rPr>
      </w:pPr>
      <w:r w:rsidRPr="001B4A02">
        <w:rPr>
          <w:rFonts w:ascii="Symbol" w:hAnsi="Symbol"/>
          <w:sz w:val="20"/>
          <w:vertAlign w:val="superscript"/>
          <w:lang w:val="cs-CZ"/>
        </w:rPr>
        <w:sym w:font="Symbol" w:char="F02A"/>
      </w:r>
      <w:r w:rsidRPr="001B4A02">
        <w:rPr>
          <w:sz w:val="20"/>
          <w:lang w:val="cs-CZ"/>
        </w:rPr>
        <w:t xml:space="preserve"> p </w:t>
      </w:r>
      <w:r w:rsidRPr="001B4A02">
        <w:rPr>
          <w:rFonts w:ascii="Symbol" w:hAnsi="Symbol"/>
          <w:sz w:val="20"/>
          <w:lang w:val="cs-CZ"/>
        </w:rPr>
        <w:sym w:font="Symbol" w:char="F03C"/>
      </w:r>
      <w:r w:rsidRPr="001B4A02">
        <w:rPr>
          <w:sz w:val="20"/>
          <w:lang w:val="cs-CZ"/>
        </w:rPr>
        <w:t xml:space="preserve"> 0,001</w:t>
      </w:r>
    </w:p>
    <w:p w14:paraId="038E74F1" w14:textId="77777777" w:rsidR="00ED3511" w:rsidRPr="001B4A02" w:rsidRDefault="00000000" w:rsidP="00ED48A3">
      <w:pPr>
        <w:ind w:left="0" w:firstLine="0"/>
        <w:rPr>
          <w:sz w:val="20"/>
        </w:rPr>
      </w:pPr>
      <w:r w:rsidRPr="001B4A02">
        <w:rPr>
          <w:rFonts w:ascii="Symbol" w:hAnsi="Symbol"/>
          <w:sz w:val="20"/>
          <w:vertAlign w:val="superscript"/>
        </w:rPr>
        <w:sym w:font="Symbol" w:char="F02A"/>
      </w:r>
      <w:r w:rsidRPr="001B4A02">
        <w:rPr>
          <w:rFonts w:ascii="Symbol" w:hAnsi="Symbol"/>
          <w:sz w:val="20"/>
          <w:vertAlign w:val="superscript"/>
        </w:rPr>
        <w:sym w:font="Symbol" w:char="F02A"/>
      </w:r>
      <w:r w:rsidRPr="001B4A02">
        <w:rPr>
          <w:sz w:val="20"/>
        </w:rPr>
        <w:t xml:space="preserve"> p </w:t>
      </w:r>
      <w:r w:rsidRPr="001B4A02">
        <w:rPr>
          <w:rFonts w:ascii="Symbol" w:hAnsi="Symbol"/>
          <w:sz w:val="20"/>
        </w:rPr>
        <w:sym w:font="Symbol" w:char="F03C"/>
      </w:r>
      <w:r w:rsidRPr="001B4A02">
        <w:rPr>
          <w:sz w:val="20"/>
        </w:rPr>
        <w:t xml:space="preserve"> 0,01</w:t>
      </w:r>
    </w:p>
    <w:p w14:paraId="0B28F9D3" w14:textId="77777777" w:rsidR="00ED3511" w:rsidRPr="001B4A02" w:rsidRDefault="00ED3511" w:rsidP="00ED48A3">
      <w:pPr>
        <w:pStyle w:val="EMEANormal"/>
        <w:tabs>
          <w:tab w:val="clear" w:pos="562"/>
          <w:tab w:val="left" w:pos="708"/>
        </w:tabs>
        <w:suppressAutoHyphens w:val="0"/>
        <w:rPr>
          <w:u w:val="single"/>
          <w:lang w:val="cs-CZ"/>
        </w:rPr>
      </w:pPr>
    </w:p>
    <w:p w14:paraId="3E04D6F0" w14:textId="77777777" w:rsidR="00ED3511" w:rsidRPr="001B4A02" w:rsidRDefault="00000000" w:rsidP="00ED48A3">
      <w:pPr>
        <w:pStyle w:val="EMEANormal"/>
        <w:tabs>
          <w:tab w:val="clear" w:pos="562"/>
          <w:tab w:val="left" w:pos="708"/>
        </w:tabs>
        <w:suppressAutoHyphens w:val="0"/>
        <w:rPr>
          <w:lang w:val="cs-CZ"/>
        </w:rPr>
      </w:pPr>
      <w:r w:rsidRPr="001B4A02">
        <w:rPr>
          <w:lang w:val="cs-CZ"/>
        </w:rPr>
        <w:t>U obou úvodních dávkovacích schémat, u</w:t>
      </w:r>
      <w:r w:rsidR="009B61F3" w:rsidRPr="001B4A02">
        <w:rPr>
          <w:lang w:val="cs-CZ"/>
        </w:rPr>
        <w:t> </w:t>
      </w:r>
      <w:r w:rsidRPr="001B4A02">
        <w:rPr>
          <w:lang w:val="cs-CZ"/>
        </w:rPr>
        <w:t>160/80 mg i u</w:t>
      </w:r>
      <w:r w:rsidR="00272620" w:rsidRPr="001B4A02">
        <w:rPr>
          <w:lang w:val="cs-CZ"/>
        </w:rPr>
        <w:t> </w:t>
      </w:r>
      <w:r w:rsidRPr="001B4A02">
        <w:rPr>
          <w:lang w:val="cs-CZ"/>
        </w:rPr>
        <w:t>80/40 mg, byly v období do týdne 8 pozorovány podobné počty remisí, nežádoucí účinky byly častěji pozo</w:t>
      </w:r>
      <w:r w:rsidR="008A4562" w:rsidRPr="001B4A02">
        <w:rPr>
          <w:lang w:val="cs-CZ"/>
        </w:rPr>
        <w:t>rovány ve skupině se 160/80 mg.</w:t>
      </w:r>
    </w:p>
    <w:p w14:paraId="5AB6935F" w14:textId="77777777" w:rsidR="00ED3511" w:rsidRPr="001B4A02" w:rsidRDefault="00ED3511" w:rsidP="00ED48A3">
      <w:pPr>
        <w:pStyle w:val="EMEANormal"/>
        <w:tabs>
          <w:tab w:val="clear" w:pos="562"/>
          <w:tab w:val="left" w:pos="708"/>
        </w:tabs>
        <w:suppressAutoHyphens w:val="0"/>
        <w:rPr>
          <w:lang w:val="cs-CZ"/>
        </w:rPr>
      </w:pPr>
    </w:p>
    <w:p w14:paraId="294089B7" w14:textId="77777777" w:rsidR="00ED3511" w:rsidRPr="001B4A02" w:rsidRDefault="00000000" w:rsidP="00ED48A3">
      <w:pPr>
        <w:pStyle w:val="EMEANormal"/>
        <w:tabs>
          <w:tab w:val="clear" w:pos="562"/>
          <w:tab w:val="left" w:pos="708"/>
        </w:tabs>
        <w:suppressAutoHyphens w:val="0"/>
        <w:rPr>
          <w:lang w:val="cs-CZ"/>
        </w:rPr>
      </w:pPr>
      <w:r w:rsidRPr="001B4A02">
        <w:rPr>
          <w:lang w:val="cs-CZ"/>
        </w:rPr>
        <w:t>Ve studii CD III dosáhlo v týdnu 4 58</w:t>
      </w:r>
      <w:r w:rsidR="00AB657C" w:rsidRPr="001B4A02">
        <w:rPr>
          <w:lang w:val="cs-CZ"/>
        </w:rPr>
        <w:t> </w:t>
      </w:r>
      <w:r w:rsidRPr="001B4A02">
        <w:rPr>
          <w:lang w:val="cs-CZ"/>
        </w:rPr>
        <w:t>% pacientů (499 z 854) klinické odpovědi</w:t>
      </w:r>
      <w:r w:rsidR="002378E0">
        <w:rPr>
          <w:lang w:val="cs-CZ"/>
        </w:rPr>
        <w:t xml:space="preserve"> a </w:t>
      </w:r>
      <w:r w:rsidRPr="001B4A02">
        <w:rPr>
          <w:lang w:val="cs-CZ"/>
        </w:rPr>
        <w:t>byli zařazeni do primárního hodnocení. Z těchto pacientů, jež v týdnu 4 dosáhli klinické odpovědi na léčbu, bylo 48</w:t>
      </w:r>
      <w:r w:rsidR="00AB657C" w:rsidRPr="001B4A02">
        <w:rPr>
          <w:lang w:val="cs-CZ"/>
        </w:rPr>
        <w:t> </w:t>
      </w:r>
      <w:r w:rsidRPr="001B4A02">
        <w:rPr>
          <w:lang w:val="cs-CZ"/>
        </w:rPr>
        <w:t>% už dříve vystaveno antagonistům TNF. Doba trvání remise</w:t>
      </w:r>
      <w:r w:rsidR="002378E0">
        <w:rPr>
          <w:lang w:val="cs-CZ"/>
        </w:rPr>
        <w:t xml:space="preserve"> a </w:t>
      </w:r>
      <w:r w:rsidRPr="001B4A02">
        <w:rPr>
          <w:lang w:val="cs-CZ"/>
        </w:rPr>
        <w:t xml:space="preserve">počty odpovídajících pacientů jsou uvedeny v tabulce </w:t>
      </w:r>
      <w:r w:rsidR="002A0AEB">
        <w:rPr>
          <w:lang w:val="cs-CZ"/>
        </w:rPr>
        <w:t>22</w:t>
      </w:r>
      <w:r w:rsidRPr="001B4A02">
        <w:rPr>
          <w:lang w:val="cs-CZ"/>
        </w:rPr>
        <w:t>. Výsledky klinické odpovědi zůstávaly konstantní bez ohledu na předchozí expozici TNF antagonistům.</w:t>
      </w:r>
    </w:p>
    <w:p w14:paraId="2BF00208" w14:textId="77777777" w:rsidR="00ED3511" w:rsidRPr="001B4A02" w:rsidRDefault="00ED3511" w:rsidP="00ED48A3">
      <w:pPr>
        <w:pStyle w:val="EMEANormal"/>
        <w:tabs>
          <w:tab w:val="clear" w:pos="562"/>
          <w:tab w:val="left" w:pos="708"/>
        </w:tabs>
        <w:suppressAutoHyphens w:val="0"/>
        <w:rPr>
          <w:u w:val="single"/>
          <w:lang w:val="cs-CZ"/>
        </w:rPr>
      </w:pPr>
    </w:p>
    <w:p w14:paraId="318AAA80" w14:textId="77777777" w:rsidR="00ED3511" w:rsidRPr="001B4A02" w:rsidRDefault="00000000" w:rsidP="00ED48A3">
      <w:pPr>
        <w:pStyle w:val="EMEANormal"/>
        <w:tabs>
          <w:tab w:val="clear" w:pos="562"/>
          <w:tab w:val="left" w:pos="708"/>
        </w:tabs>
        <w:suppressAutoHyphens w:val="0"/>
        <w:rPr>
          <w:lang w:val="cs-CZ"/>
        </w:rPr>
      </w:pPr>
      <w:r w:rsidRPr="001B4A02">
        <w:rPr>
          <w:lang w:val="cs-CZ"/>
        </w:rPr>
        <w:t>Počet hospitalizací</w:t>
      </w:r>
      <w:r w:rsidR="002378E0">
        <w:rPr>
          <w:lang w:val="cs-CZ"/>
        </w:rPr>
        <w:t xml:space="preserve"> a </w:t>
      </w:r>
      <w:r w:rsidRPr="001B4A02">
        <w:rPr>
          <w:lang w:val="cs-CZ"/>
        </w:rPr>
        <w:t>chirurgických zákroků, spojených s tímto onemocněním, byl v týdnu 56 statisticky signifikantně snížen u</w:t>
      </w:r>
      <w:r w:rsidR="009B61F3" w:rsidRPr="001B4A02">
        <w:rPr>
          <w:lang w:val="cs-CZ"/>
        </w:rPr>
        <w:t> </w:t>
      </w:r>
      <w:r w:rsidRPr="001B4A02">
        <w:rPr>
          <w:lang w:val="cs-CZ"/>
        </w:rPr>
        <w:t xml:space="preserve">pacientů </w:t>
      </w:r>
      <w:r w:rsidR="0037494F" w:rsidRPr="001B4A02">
        <w:rPr>
          <w:lang w:val="cs-CZ"/>
        </w:rPr>
        <w:t>po</w:t>
      </w:r>
      <w:r w:rsidRPr="001B4A02">
        <w:rPr>
          <w:lang w:val="cs-CZ"/>
        </w:rPr>
        <w:t>užívajících adalimumab v</w:t>
      </w:r>
      <w:r w:rsidR="00463AD9" w:rsidRPr="001B4A02">
        <w:rPr>
          <w:lang w:val="cs-CZ"/>
        </w:rPr>
        <w:t> </w:t>
      </w:r>
      <w:r w:rsidRPr="001B4A02">
        <w:rPr>
          <w:lang w:val="cs-CZ"/>
        </w:rPr>
        <w:t>porovnání s placebem.</w:t>
      </w:r>
    </w:p>
    <w:p w14:paraId="2FBBAFD1" w14:textId="77777777" w:rsidR="00ED3511" w:rsidRPr="001B4A02" w:rsidRDefault="00ED3511" w:rsidP="00ED48A3">
      <w:pPr>
        <w:pStyle w:val="EMEANormal"/>
        <w:tabs>
          <w:tab w:val="clear" w:pos="562"/>
          <w:tab w:val="left" w:pos="708"/>
        </w:tabs>
        <w:suppressAutoHyphens w:val="0"/>
        <w:rPr>
          <w:u w:val="single"/>
          <w:lang w:val="cs-CZ"/>
        </w:rPr>
      </w:pPr>
    </w:p>
    <w:p w14:paraId="4E54AB0F" w14:textId="77777777" w:rsidR="00ED3511" w:rsidRPr="001B4A02" w:rsidRDefault="00000000" w:rsidP="00ED48A3">
      <w:pPr>
        <w:pStyle w:val="EMEANormal"/>
        <w:keepNext/>
        <w:tabs>
          <w:tab w:val="clear" w:pos="562"/>
          <w:tab w:val="left" w:pos="708"/>
        </w:tabs>
        <w:suppressAutoHyphens w:val="0"/>
        <w:jc w:val="center"/>
        <w:rPr>
          <w:b/>
          <w:bCs/>
          <w:lang w:val="cs-CZ"/>
        </w:rPr>
      </w:pPr>
      <w:r w:rsidRPr="001B4A02">
        <w:rPr>
          <w:b/>
          <w:bCs/>
          <w:lang w:val="cs-CZ"/>
        </w:rPr>
        <w:t xml:space="preserve">Tabulka </w:t>
      </w:r>
      <w:r w:rsidR="002A0AEB">
        <w:rPr>
          <w:b/>
          <w:bCs/>
          <w:lang w:val="cs-CZ"/>
        </w:rPr>
        <w:t>22</w:t>
      </w:r>
    </w:p>
    <w:p w14:paraId="213338E4" w14:textId="77777777" w:rsidR="00ED3511" w:rsidRPr="001B4A02" w:rsidRDefault="00000000" w:rsidP="00ED48A3">
      <w:pPr>
        <w:pStyle w:val="EMEANormal"/>
        <w:keepNext/>
        <w:tabs>
          <w:tab w:val="clear" w:pos="562"/>
          <w:tab w:val="left" w:pos="708"/>
        </w:tabs>
        <w:suppressAutoHyphens w:val="0"/>
        <w:jc w:val="center"/>
        <w:rPr>
          <w:b/>
          <w:bCs/>
          <w:lang w:val="cs-CZ"/>
        </w:rPr>
      </w:pPr>
      <w:r w:rsidRPr="001B4A02">
        <w:rPr>
          <w:b/>
          <w:bCs/>
          <w:lang w:val="cs-CZ"/>
        </w:rPr>
        <w:t>Přetrvávání klinické remise</w:t>
      </w:r>
      <w:r w:rsidR="002378E0">
        <w:rPr>
          <w:b/>
          <w:bCs/>
          <w:lang w:val="cs-CZ"/>
        </w:rPr>
        <w:t xml:space="preserve"> a </w:t>
      </w:r>
      <w:r w:rsidRPr="001B4A02">
        <w:rPr>
          <w:b/>
          <w:bCs/>
          <w:lang w:val="cs-CZ"/>
        </w:rPr>
        <w:t>odpovědi</w:t>
      </w:r>
    </w:p>
    <w:p w14:paraId="451A3F85" w14:textId="77777777" w:rsidR="00ED3511" w:rsidRPr="001B4A02" w:rsidRDefault="00000000" w:rsidP="0050658F">
      <w:pPr>
        <w:pStyle w:val="EMEANormal"/>
        <w:keepNext/>
        <w:tabs>
          <w:tab w:val="clear" w:pos="562"/>
          <w:tab w:val="left" w:pos="708"/>
        </w:tabs>
        <w:suppressAutoHyphens w:val="0"/>
        <w:jc w:val="center"/>
        <w:rPr>
          <w:lang w:val="cs-CZ"/>
        </w:rPr>
      </w:pPr>
      <w:r w:rsidRPr="001B4A02">
        <w:rPr>
          <w:b/>
          <w:bCs/>
          <w:lang w:val="cs-CZ"/>
        </w:rPr>
        <w:t>(Procento pacientů)</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94"/>
        <w:gridCol w:w="1821"/>
        <w:gridCol w:w="2410"/>
        <w:gridCol w:w="1836"/>
      </w:tblGrid>
      <w:tr w:rsidR="00534A2D" w14:paraId="16AA8895" w14:textId="77777777" w:rsidTr="000F1E90">
        <w:tc>
          <w:tcPr>
            <w:tcW w:w="2994" w:type="dxa"/>
            <w:tcBorders>
              <w:top w:val="single" w:sz="4" w:space="0" w:color="auto"/>
              <w:left w:val="single" w:sz="4" w:space="0" w:color="auto"/>
              <w:bottom w:val="single" w:sz="4" w:space="0" w:color="auto"/>
              <w:right w:val="single" w:sz="4" w:space="0" w:color="auto"/>
            </w:tcBorders>
          </w:tcPr>
          <w:p w14:paraId="1B03B01A" w14:textId="77777777" w:rsidR="00ED3511" w:rsidRPr="001B4A02" w:rsidRDefault="00ED3511" w:rsidP="00ED48A3">
            <w:pPr>
              <w:pStyle w:val="EMEANormal"/>
              <w:keepNext/>
              <w:tabs>
                <w:tab w:val="clear" w:pos="562"/>
                <w:tab w:val="left" w:pos="708"/>
              </w:tabs>
              <w:suppressAutoHyphens w:val="0"/>
              <w:rPr>
                <w:u w:val="single"/>
                <w:lang w:val="cs-CZ"/>
              </w:rPr>
            </w:pPr>
          </w:p>
        </w:tc>
        <w:tc>
          <w:tcPr>
            <w:tcW w:w="1821" w:type="dxa"/>
            <w:tcBorders>
              <w:top w:val="single" w:sz="4" w:space="0" w:color="auto"/>
              <w:left w:val="single" w:sz="4" w:space="0" w:color="auto"/>
              <w:bottom w:val="single" w:sz="4" w:space="0" w:color="auto"/>
              <w:right w:val="single" w:sz="4" w:space="0" w:color="auto"/>
            </w:tcBorders>
          </w:tcPr>
          <w:p w14:paraId="7787A6AA" w14:textId="77777777" w:rsidR="00ED3511" w:rsidRPr="001B4A02" w:rsidRDefault="00000000" w:rsidP="00ED48A3">
            <w:pPr>
              <w:pStyle w:val="EMEANormal"/>
              <w:keepNext/>
              <w:tabs>
                <w:tab w:val="clear" w:pos="562"/>
                <w:tab w:val="left" w:pos="708"/>
              </w:tabs>
              <w:suppressAutoHyphens w:val="0"/>
              <w:jc w:val="center"/>
              <w:rPr>
                <w:b/>
                <w:bCs/>
                <w:lang w:val="cs-CZ"/>
              </w:rPr>
            </w:pPr>
            <w:r w:rsidRPr="001B4A02">
              <w:rPr>
                <w:b/>
                <w:bCs/>
                <w:lang w:val="cs-CZ"/>
              </w:rPr>
              <w:t>Placebo</w:t>
            </w:r>
          </w:p>
        </w:tc>
        <w:tc>
          <w:tcPr>
            <w:tcW w:w="2410" w:type="dxa"/>
            <w:tcBorders>
              <w:top w:val="single" w:sz="4" w:space="0" w:color="auto"/>
              <w:left w:val="single" w:sz="4" w:space="0" w:color="auto"/>
              <w:bottom w:val="single" w:sz="4" w:space="0" w:color="auto"/>
              <w:right w:val="single" w:sz="4" w:space="0" w:color="auto"/>
            </w:tcBorders>
          </w:tcPr>
          <w:p w14:paraId="2A11C411" w14:textId="77777777" w:rsidR="00ED3511" w:rsidRPr="001B4A02" w:rsidRDefault="00000000" w:rsidP="00ED48A3">
            <w:pPr>
              <w:pStyle w:val="EMEANormal"/>
              <w:keepNext/>
              <w:tabs>
                <w:tab w:val="clear" w:pos="562"/>
                <w:tab w:val="left" w:pos="708"/>
              </w:tabs>
              <w:suppressAutoHyphens w:val="0"/>
              <w:jc w:val="center"/>
              <w:rPr>
                <w:b/>
                <w:bCs/>
                <w:lang w:val="cs-CZ"/>
              </w:rPr>
            </w:pPr>
            <w:r w:rsidRPr="001B4A02">
              <w:rPr>
                <w:b/>
                <w:bCs/>
                <w:lang w:val="cs-CZ"/>
              </w:rPr>
              <w:t>Humira v dávce 40 mg každý druhý týden</w:t>
            </w:r>
          </w:p>
        </w:tc>
        <w:tc>
          <w:tcPr>
            <w:tcW w:w="1836" w:type="dxa"/>
            <w:tcBorders>
              <w:top w:val="single" w:sz="4" w:space="0" w:color="auto"/>
              <w:left w:val="single" w:sz="4" w:space="0" w:color="auto"/>
              <w:bottom w:val="single" w:sz="4" w:space="0" w:color="auto"/>
              <w:right w:val="single" w:sz="4" w:space="0" w:color="auto"/>
            </w:tcBorders>
          </w:tcPr>
          <w:p w14:paraId="069B80D8" w14:textId="77777777" w:rsidR="00ED3511" w:rsidRPr="001B4A02" w:rsidRDefault="00000000" w:rsidP="00ED48A3">
            <w:pPr>
              <w:pStyle w:val="EMEANormal"/>
              <w:keepNext/>
              <w:tabs>
                <w:tab w:val="clear" w:pos="562"/>
                <w:tab w:val="left" w:pos="708"/>
              </w:tabs>
              <w:suppressAutoHyphens w:val="0"/>
              <w:jc w:val="center"/>
              <w:rPr>
                <w:b/>
                <w:bCs/>
                <w:lang w:val="cs-CZ"/>
              </w:rPr>
            </w:pPr>
            <w:r w:rsidRPr="001B4A02">
              <w:rPr>
                <w:b/>
                <w:bCs/>
                <w:lang w:val="cs-CZ"/>
              </w:rPr>
              <w:t>Humira v dávce 40 mg týdně</w:t>
            </w:r>
          </w:p>
        </w:tc>
      </w:tr>
      <w:tr w:rsidR="00534A2D" w14:paraId="67001EBD" w14:textId="77777777" w:rsidTr="000F1E90">
        <w:tc>
          <w:tcPr>
            <w:tcW w:w="2994" w:type="dxa"/>
            <w:tcBorders>
              <w:top w:val="single" w:sz="4" w:space="0" w:color="auto"/>
              <w:left w:val="single" w:sz="4" w:space="0" w:color="auto"/>
              <w:bottom w:val="single" w:sz="4" w:space="0" w:color="auto"/>
              <w:right w:val="single" w:sz="4" w:space="0" w:color="auto"/>
            </w:tcBorders>
          </w:tcPr>
          <w:p w14:paraId="274672C1" w14:textId="77777777" w:rsidR="00ED3511" w:rsidRPr="001B4A02" w:rsidRDefault="00000000" w:rsidP="00ED48A3">
            <w:pPr>
              <w:pStyle w:val="EMEANormal"/>
              <w:keepNext/>
              <w:tabs>
                <w:tab w:val="clear" w:pos="562"/>
                <w:tab w:val="left" w:pos="708"/>
              </w:tabs>
              <w:suppressAutoHyphens w:val="0"/>
              <w:rPr>
                <w:b/>
                <w:bCs/>
                <w:lang w:val="cs-CZ"/>
              </w:rPr>
            </w:pPr>
            <w:r w:rsidRPr="001B4A02">
              <w:rPr>
                <w:b/>
                <w:bCs/>
                <w:lang w:val="cs-CZ"/>
              </w:rPr>
              <w:t>Týden 26</w:t>
            </w:r>
          </w:p>
        </w:tc>
        <w:tc>
          <w:tcPr>
            <w:tcW w:w="1821" w:type="dxa"/>
            <w:tcBorders>
              <w:top w:val="single" w:sz="4" w:space="0" w:color="auto"/>
              <w:left w:val="single" w:sz="4" w:space="0" w:color="auto"/>
              <w:bottom w:val="single" w:sz="4" w:space="0" w:color="auto"/>
              <w:right w:val="single" w:sz="4" w:space="0" w:color="auto"/>
            </w:tcBorders>
          </w:tcPr>
          <w:p w14:paraId="54AD198C" w14:textId="77777777" w:rsidR="00ED3511" w:rsidRPr="001B4A02" w:rsidRDefault="00000000" w:rsidP="00ED48A3">
            <w:pPr>
              <w:pStyle w:val="EMEANormal"/>
              <w:keepNext/>
              <w:tabs>
                <w:tab w:val="clear" w:pos="562"/>
                <w:tab w:val="left" w:pos="708"/>
              </w:tabs>
              <w:suppressAutoHyphens w:val="0"/>
              <w:jc w:val="center"/>
              <w:rPr>
                <w:b/>
                <w:bCs/>
                <w:lang w:val="cs-CZ"/>
              </w:rPr>
            </w:pPr>
            <w:r>
              <w:rPr>
                <w:b/>
                <w:bCs/>
                <w:lang w:val="cs-CZ"/>
              </w:rPr>
              <w:t>n</w:t>
            </w:r>
            <w:r w:rsidRPr="001B4A02">
              <w:rPr>
                <w:b/>
                <w:bCs/>
                <w:lang w:val="cs-CZ"/>
              </w:rPr>
              <w:t>=170</w:t>
            </w:r>
          </w:p>
        </w:tc>
        <w:tc>
          <w:tcPr>
            <w:tcW w:w="2410" w:type="dxa"/>
            <w:tcBorders>
              <w:top w:val="single" w:sz="4" w:space="0" w:color="auto"/>
              <w:left w:val="single" w:sz="4" w:space="0" w:color="auto"/>
              <w:bottom w:val="single" w:sz="4" w:space="0" w:color="auto"/>
              <w:right w:val="single" w:sz="4" w:space="0" w:color="auto"/>
            </w:tcBorders>
          </w:tcPr>
          <w:p w14:paraId="0FB9FBFC" w14:textId="77777777" w:rsidR="00ED3511" w:rsidRPr="001B4A02" w:rsidRDefault="00000000" w:rsidP="00ED48A3">
            <w:pPr>
              <w:pStyle w:val="EMEANormal"/>
              <w:keepNext/>
              <w:tabs>
                <w:tab w:val="clear" w:pos="562"/>
                <w:tab w:val="left" w:pos="708"/>
              </w:tabs>
              <w:suppressAutoHyphens w:val="0"/>
              <w:jc w:val="center"/>
              <w:rPr>
                <w:b/>
                <w:bCs/>
                <w:lang w:val="cs-CZ"/>
              </w:rPr>
            </w:pPr>
            <w:r>
              <w:rPr>
                <w:b/>
                <w:bCs/>
                <w:lang w:val="cs-CZ"/>
              </w:rPr>
              <w:t>n</w:t>
            </w:r>
            <w:r w:rsidRPr="001B4A02">
              <w:rPr>
                <w:b/>
                <w:bCs/>
                <w:lang w:val="cs-CZ"/>
              </w:rPr>
              <w:t>=172</w:t>
            </w:r>
          </w:p>
        </w:tc>
        <w:tc>
          <w:tcPr>
            <w:tcW w:w="1836" w:type="dxa"/>
            <w:tcBorders>
              <w:top w:val="single" w:sz="4" w:space="0" w:color="auto"/>
              <w:left w:val="single" w:sz="4" w:space="0" w:color="auto"/>
              <w:bottom w:val="single" w:sz="4" w:space="0" w:color="auto"/>
              <w:right w:val="single" w:sz="4" w:space="0" w:color="auto"/>
            </w:tcBorders>
          </w:tcPr>
          <w:p w14:paraId="6D04AA24" w14:textId="77777777" w:rsidR="00ED3511" w:rsidRPr="001B4A02" w:rsidRDefault="00000000" w:rsidP="00ED48A3">
            <w:pPr>
              <w:pStyle w:val="EMEANormal"/>
              <w:keepNext/>
              <w:tabs>
                <w:tab w:val="clear" w:pos="562"/>
                <w:tab w:val="left" w:pos="708"/>
              </w:tabs>
              <w:suppressAutoHyphens w:val="0"/>
              <w:jc w:val="center"/>
              <w:rPr>
                <w:b/>
                <w:bCs/>
                <w:lang w:val="cs-CZ"/>
              </w:rPr>
            </w:pPr>
            <w:r>
              <w:rPr>
                <w:b/>
                <w:bCs/>
                <w:lang w:val="cs-CZ"/>
              </w:rPr>
              <w:t>n</w:t>
            </w:r>
            <w:r w:rsidRPr="001B4A02">
              <w:rPr>
                <w:b/>
                <w:bCs/>
                <w:lang w:val="cs-CZ"/>
              </w:rPr>
              <w:t>=157</w:t>
            </w:r>
          </w:p>
        </w:tc>
      </w:tr>
      <w:tr w:rsidR="00534A2D" w14:paraId="19631E92" w14:textId="77777777" w:rsidTr="000F1E90">
        <w:tc>
          <w:tcPr>
            <w:tcW w:w="2994" w:type="dxa"/>
            <w:tcBorders>
              <w:top w:val="single" w:sz="4" w:space="0" w:color="auto"/>
              <w:left w:val="single" w:sz="4" w:space="0" w:color="auto"/>
              <w:bottom w:val="single" w:sz="4" w:space="0" w:color="auto"/>
              <w:right w:val="single" w:sz="4" w:space="0" w:color="auto"/>
            </w:tcBorders>
          </w:tcPr>
          <w:p w14:paraId="0AA815A6" w14:textId="77777777" w:rsidR="00ED3511" w:rsidRPr="001B4A02" w:rsidRDefault="00000000" w:rsidP="00ED48A3">
            <w:pPr>
              <w:pStyle w:val="EMEANormal"/>
              <w:keepNext/>
              <w:tabs>
                <w:tab w:val="clear" w:pos="562"/>
                <w:tab w:val="left" w:pos="708"/>
              </w:tabs>
              <w:suppressAutoHyphens w:val="0"/>
              <w:rPr>
                <w:lang w:val="cs-CZ"/>
              </w:rPr>
            </w:pPr>
            <w:r w:rsidRPr="001B4A02">
              <w:rPr>
                <w:lang w:val="cs-CZ"/>
              </w:rPr>
              <w:t>Klinická remise</w:t>
            </w:r>
          </w:p>
        </w:tc>
        <w:tc>
          <w:tcPr>
            <w:tcW w:w="1821" w:type="dxa"/>
            <w:tcBorders>
              <w:top w:val="single" w:sz="4" w:space="0" w:color="auto"/>
              <w:left w:val="single" w:sz="4" w:space="0" w:color="auto"/>
              <w:bottom w:val="single" w:sz="4" w:space="0" w:color="auto"/>
              <w:right w:val="single" w:sz="4" w:space="0" w:color="auto"/>
            </w:tcBorders>
          </w:tcPr>
          <w:p w14:paraId="6D5344BD"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17</w:t>
            </w:r>
            <w:r w:rsidR="00AB657C" w:rsidRPr="001B4A02">
              <w:rPr>
                <w:lang w:val="cs-CZ"/>
              </w:rPr>
              <w:t> </w:t>
            </w:r>
            <w:r w:rsidRPr="001B4A02">
              <w:rPr>
                <w:lang w:val="cs-CZ"/>
              </w:rPr>
              <w:t>%</w:t>
            </w:r>
          </w:p>
        </w:tc>
        <w:tc>
          <w:tcPr>
            <w:tcW w:w="2410" w:type="dxa"/>
            <w:tcBorders>
              <w:top w:val="single" w:sz="4" w:space="0" w:color="auto"/>
              <w:left w:val="single" w:sz="4" w:space="0" w:color="auto"/>
              <w:bottom w:val="single" w:sz="4" w:space="0" w:color="auto"/>
              <w:right w:val="single" w:sz="4" w:space="0" w:color="auto"/>
            </w:tcBorders>
          </w:tcPr>
          <w:p w14:paraId="2E80F2C8"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40</w:t>
            </w:r>
            <w:r w:rsidR="00AB657C" w:rsidRPr="001B4A02">
              <w:rPr>
                <w:lang w:val="cs-CZ"/>
              </w:rPr>
              <w:t> </w:t>
            </w:r>
            <w:r w:rsidRPr="001B4A02">
              <w:rPr>
                <w:lang w:val="cs-CZ"/>
              </w:rPr>
              <w:t>%</w:t>
            </w:r>
            <w:r w:rsidRPr="001B4A02">
              <w:rPr>
                <w:rFonts w:ascii="Symbol" w:hAnsi="Symbol"/>
                <w:vertAlign w:val="superscript"/>
                <w:lang w:val="cs-CZ"/>
              </w:rPr>
              <w:sym w:font="Symbol" w:char="F02A"/>
            </w:r>
          </w:p>
        </w:tc>
        <w:tc>
          <w:tcPr>
            <w:tcW w:w="1836" w:type="dxa"/>
            <w:tcBorders>
              <w:top w:val="single" w:sz="4" w:space="0" w:color="auto"/>
              <w:left w:val="single" w:sz="4" w:space="0" w:color="auto"/>
              <w:bottom w:val="single" w:sz="4" w:space="0" w:color="auto"/>
              <w:right w:val="single" w:sz="4" w:space="0" w:color="auto"/>
            </w:tcBorders>
          </w:tcPr>
          <w:p w14:paraId="23EEC0B1"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47</w:t>
            </w:r>
            <w:r w:rsidR="00AB657C" w:rsidRPr="001B4A02">
              <w:rPr>
                <w:lang w:val="cs-CZ"/>
              </w:rPr>
              <w:t> </w:t>
            </w:r>
            <w:r w:rsidRPr="001B4A02">
              <w:rPr>
                <w:lang w:val="cs-CZ"/>
              </w:rPr>
              <w:t>%</w:t>
            </w:r>
            <w:r w:rsidRPr="001B4A02">
              <w:rPr>
                <w:rFonts w:ascii="Symbol" w:hAnsi="Symbol"/>
                <w:vertAlign w:val="superscript"/>
                <w:lang w:val="cs-CZ"/>
              </w:rPr>
              <w:sym w:font="Symbol" w:char="F02A"/>
            </w:r>
          </w:p>
        </w:tc>
      </w:tr>
      <w:tr w:rsidR="00534A2D" w14:paraId="35CFA94C" w14:textId="77777777" w:rsidTr="000F1E90">
        <w:tc>
          <w:tcPr>
            <w:tcW w:w="2994" w:type="dxa"/>
            <w:tcBorders>
              <w:top w:val="single" w:sz="4" w:space="0" w:color="auto"/>
              <w:left w:val="single" w:sz="4" w:space="0" w:color="auto"/>
              <w:bottom w:val="single" w:sz="4" w:space="0" w:color="auto"/>
              <w:right w:val="single" w:sz="4" w:space="0" w:color="auto"/>
            </w:tcBorders>
          </w:tcPr>
          <w:p w14:paraId="0A987978" w14:textId="77777777" w:rsidR="00ED3511" w:rsidRPr="001B4A02" w:rsidRDefault="00000000" w:rsidP="00ED48A3">
            <w:pPr>
              <w:pStyle w:val="EMEANormal"/>
              <w:keepNext/>
              <w:tabs>
                <w:tab w:val="clear" w:pos="562"/>
                <w:tab w:val="left" w:pos="708"/>
              </w:tabs>
              <w:suppressAutoHyphens w:val="0"/>
              <w:rPr>
                <w:lang w:val="cs-CZ"/>
              </w:rPr>
            </w:pPr>
            <w:r w:rsidRPr="001B4A02">
              <w:rPr>
                <w:lang w:val="cs-CZ"/>
              </w:rPr>
              <w:t>Klinická odpověď (CR-100)</w:t>
            </w:r>
          </w:p>
        </w:tc>
        <w:tc>
          <w:tcPr>
            <w:tcW w:w="1821" w:type="dxa"/>
            <w:tcBorders>
              <w:top w:val="single" w:sz="4" w:space="0" w:color="auto"/>
              <w:left w:val="single" w:sz="4" w:space="0" w:color="auto"/>
              <w:bottom w:val="single" w:sz="4" w:space="0" w:color="auto"/>
              <w:right w:val="single" w:sz="4" w:space="0" w:color="auto"/>
            </w:tcBorders>
          </w:tcPr>
          <w:p w14:paraId="1678AD70"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27</w:t>
            </w:r>
            <w:r w:rsidR="00AB657C" w:rsidRPr="001B4A02">
              <w:rPr>
                <w:lang w:val="cs-CZ"/>
              </w:rPr>
              <w:t> </w:t>
            </w:r>
            <w:r w:rsidRPr="001B4A02">
              <w:rPr>
                <w:lang w:val="cs-CZ"/>
              </w:rPr>
              <w:t>%</w:t>
            </w:r>
          </w:p>
        </w:tc>
        <w:tc>
          <w:tcPr>
            <w:tcW w:w="2410" w:type="dxa"/>
            <w:tcBorders>
              <w:top w:val="single" w:sz="4" w:space="0" w:color="auto"/>
              <w:left w:val="single" w:sz="4" w:space="0" w:color="auto"/>
              <w:bottom w:val="single" w:sz="4" w:space="0" w:color="auto"/>
              <w:right w:val="single" w:sz="4" w:space="0" w:color="auto"/>
            </w:tcBorders>
          </w:tcPr>
          <w:p w14:paraId="2EA2680C"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52</w:t>
            </w:r>
            <w:r w:rsidR="00AB657C" w:rsidRPr="001B4A02">
              <w:rPr>
                <w:lang w:val="cs-CZ"/>
              </w:rPr>
              <w:t> </w:t>
            </w:r>
            <w:r w:rsidRPr="001B4A02">
              <w:rPr>
                <w:lang w:val="cs-CZ"/>
              </w:rPr>
              <w:t>%</w:t>
            </w:r>
            <w:r w:rsidRPr="001B4A02">
              <w:rPr>
                <w:rFonts w:ascii="Symbol" w:hAnsi="Symbol"/>
                <w:vertAlign w:val="superscript"/>
                <w:lang w:val="cs-CZ"/>
              </w:rPr>
              <w:sym w:font="Symbol" w:char="F02A"/>
            </w:r>
          </w:p>
        </w:tc>
        <w:tc>
          <w:tcPr>
            <w:tcW w:w="1836" w:type="dxa"/>
            <w:tcBorders>
              <w:top w:val="single" w:sz="4" w:space="0" w:color="auto"/>
              <w:left w:val="single" w:sz="4" w:space="0" w:color="auto"/>
              <w:bottom w:val="single" w:sz="4" w:space="0" w:color="auto"/>
              <w:right w:val="single" w:sz="4" w:space="0" w:color="auto"/>
            </w:tcBorders>
          </w:tcPr>
          <w:p w14:paraId="277E5D57"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52</w:t>
            </w:r>
            <w:r w:rsidR="00AB657C" w:rsidRPr="001B4A02">
              <w:rPr>
                <w:lang w:val="cs-CZ"/>
              </w:rPr>
              <w:t> </w:t>
            </w:r>
            <w:r w:rsidRPr="001B4A02">
              <w:rPr>
                <w:lang w:val="cs-CZ"/>
              </w:rPr>
              <w:t>%</w:t>
            </w:r>
            <w:r w:rsidRPr="001B4A02">
              <w:rPr>
                <w:rFonts w:ascii="Symbol" w:hAnsi="Symbol"/>
                <w:vertAlign w:val="superscript"/>
                <w:lang w:val="cs-CZ"/>
              </w:rPr>
              <w:sym w:font="Symbol" w:char="F02A"/>
            </w:r>
          </w:p>
        </w:tc>
      </w:tr>
      <w:tr w:rsidR="00534A2D" w14:paraId="663DC25D" w14:textId="77777777" w:rsidTr="000F1E90">
        <w:tc>
          <w:tcPr>
            <w:tcW w:w="2994" w:type="dxa"/>
            <w:tcBorders>
              <w:top w:val="single" w:sz="4" w:space="0" w:color="auto"/>
              <w:left w:val="single" w:sz="4" w:space="0" w:color="auto"/>
              <w:bottom w:val="single" w:sz="4" w:space="0" w:color="auto"/>
              <w:right w:val="single" w:sz="4" w:space="0" w:color="auto"/>
            </w:tcBorders>
          </w:tcPr>
          <w:p w14:paraId="7A9EA884" w14:textId="77777777" w:rsidR="00ED3511" w:rsidRPr="001B4A02" w:rsidRDefault="00000000" w:rsidP="00ED48A3">
            <w:pPr>
              <w:pStyle w:val="EMEANormal"/>
              <w:keepNext/>
              <w:tabs>
                <w:tab w:val="clear" w:pos="562"/>
                <w:tab w:val="left" w:pos="708"/>
              </w:tabs>
              <w:suppressAutoHyphens w:val="0"/>
              <w:ind w:left="284"/>
              <w:rPr>
                <w:lang w:val="cs-CZ"/>
              </w:rPr>
            </w:pPr>
            <w:r w:rsidRPr="001B4A02">
              <w:rPr>
                <w:lang w:val="cs-CZ"/>
              </w:rPr>
              <w:t xml:space="preserve">Pacienti v remisi bez užívání steroidů po dobu </w:t>
            </w:r>
            <w:r w:rsidR="009D2A3C" w:rsidRPr="001B4A02">
              <w:rPr>
                <w:rFonts w:ascii="Symbol" w:hAnsi="Symbol"/>
                <w:lang w:val="cs-CZ"/>
              </w:rPr>
              <w:sym w:font="Symbol" w:char="F0B3"/>
            </w:r>
            <w:r w:rsidRPr="001B4A02">
              <w:rPr>
                <w:lang w:val="cs-CZ"/>
              </w:rPr>
              <w:t> 90 dní</w:t>
            </w:r>
            <w:r w:rsidRPr="001B4A02">
              <w:rPr>
                <w:vertAlign w:val="superscript"/>
                <w:lang w:val="cs-CZ"/>
              </w:rPr>
              <w:t>a</w:t>
            </w:r>
          </w:p>
        </w:tc>
        <w:tc>
          <w:tcPr>
            <w:tcW w:w="1821" w:type="dxa"/>
            <w:tcBorders>
              <w:top w:val="single" w:sz="4" w:space="0" w:color="auto"/>
              <w:left w:val="single" w:sz="4" w:space="0" w:color="auto"/>
              <w:bottom w:val="single" w:sz="4" w:space="0" w:color="auto"/>
              <w:right w:val="single" w:sz="4" w:space="0" w:color="auto"/>
            </w:tcBorders>
          </w:tcPr>
          <w:p w14:paraId="33B3BCFA"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3</w:t>
            </w:r>
            <w:r w:rsidR="00AB657C" w:rsidRPr="001B4A02">
              <w:rPr>
                <w:lang w:val="cs-CZ"/>
              </w:rPr>
              <w:t> </w:t>
            </w:r>
            <w:r w:rsidRPr="001B4A02">
              <w:rPr>
                <w:lang w:val="cs-CZ"/>
              </w:rPr>
              <w:t>% (2 z 66)</w:t>
            </w:r>
          </w:p>
        </w:tc>
        <w:tc>
          <w:tcPr>
            <w:tcW w:w="2410" w:type="dxa"/>
            <w:tcBorders>
              <w:top w:val="single" w:sz="4" w:space="0" w:color="auto"/>
              <w:left w:val="single" w:sz="4" w:space="0" w:color="auto"/>
              <w:bottom w:val="single" w:sz="4" w:space="0" w:color="auto"/>
              <w:right w:val="single" w:sz="4" w:space="0" w:color="auto"/>
            </w:tcBorders>
          </w:tcPr>
          <w:p w14:paraId="11658163"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19</w:t>
            </w:r>
            <w:r w:rsidR="00AB657C" w:rsidRPr="001B4A02">
              <w:rPr>
                <w:lang w:val="cs-CZ"/>
              </w:rPr>
              <w:t> </w:t>
            </w:r>
            <w:r w:rsidRPr="001B4A02">
              <w:rPr>
                <w:lang w:val="cs-CZ"/>
              </w:rPr>
              <w:t>% (11 z 58)</w:t>
            </w:r>
            <w:r w:rsidRPr="001B4A02">
              <w:rPr>
                <w:vertAlign w:val="superscript"/>
                <w:lang w:val="cs-CZ"/>
              </w:rPr>
              <w:t xml:space="preserve"> </w:t>
            </w:r>
            <w:r w:rsidRPr="001B4A02">
              <w:rPr>
                <w:rFonts w:ascii="Symbol" w:hAnsi="Symbol"/>
                <w:vertAlign w:val="superscript"/>
                <w:lang w:val="cs-CZ"/>
              </w:rPr>
              <w:sym w:font="Symbol" w:char="F02A"/>
            </w:r>
            <w:r w:rsidRPr="001B4A02">
              <w:rPr>
                <w:rFonts w:ascii="Symbol" w:hAnsi="Symbol"/>
                <w:vertAlign w:val="superscript"/>
                <w:lang w:val="cs-CZ"/>
              </w:rPr>
              <w:sym w:font="Symbol" w:char="F02A"/>
            </w:r>
          </w:p>
        </w:tc>
        <w:tc>
          <w:tcPr>
            <w:tcW w:w="1836" w:type="dxa"/>
            <w:tcBorders>
              <w:top w:val="single" w:sz="4" w:space="0" w:color="auto"/>
              <w:left w:val="single" w:sz="4" w:space="0" w:color="auto"/>
              <w:bottom w:val="single" w:sz="4" w:space="0" w:color="auto"/>
              <w:right w:val="single" w:sz="4" w:space="0" w:color="auto"/>
            </w:tcBorders>
          </w:tcPr>
          <w:p w14:paraId="7E218023"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15</w:t>
            </w:r>
            <w:r w:rsidR="00AB657C" w:rsidRPr="001B4A02">
              <w:rPr>
                <w:lang w:val="cs-CZ"/>
              </w:rPr>
              <w:t> </w:t>
            </w:r>
            <w:r w:rsidRPr="001B4A02">
              <w:rPr>
                <w:lang w:val="cs-CZ"/>
              </w:rPr>
              <w:t>% (11 ze 74)</w:t>
            </w:r>
            <w:r w:rsidRPr="001B4A02">
              <w:rPr>
                <w:vertAlign w:val="superscript"/>
                <w:lang w:val="cs-CZ"/>
              </w:rPr>
              <w:t xml:space="preserve"> </w:t>
            </w:r>
            <w:r w:rsidRPr="001B4A02">
              <w:rPr>
                <w:rFonts w:ascii="Symbol" w:hAnsi="Symbol"/>
                <w:vertAlign w:val="superscript"/>
                <w:lang w:val="cs-CZ"/>
              </w:rPr>
              <w:sym w:font="Symbol" w:char="F02A"/>
            </w:r>
            <w:r w:rsidRPr="001B4A02">
              <w:rPr>
                <w:rFonts w:ascii="Symbol" w:hAnsi="Symbol"/>
                <w:vertAlign w:val="superscript"/>
                <w:lang w:val="cs-CZ"/>
              </w:rPr>
              <w:sym w:font="Symbol" w:char="F02A"/>
            </w:r>
          </w:p>
        </w:tc>
      </w:tr>
      <w:tr w:rsidR="00534A2D" w14:paraId="547525C7" w14:textId="77777777" w:rsidTr="000F1E90">
        <w:tc>
          <w:tcPr>
            <w:tcW w:w="2994" w:type="dxa"/>
            <w:tcBorders>
              <w:top w:val="single" w:sz="4" w:space="0" w:color="auto"/>
              <w:left w:val="single" w:sz="4" w:space="0" w:color="auto"/>
              <w:bottom w:val="single" w:sz="4" w:space="0" w:color="auto"/>
              <w:right w:val="single" w:sz="4" w:space="0" w:color="auto"/>
            </w:tcBorders>
          </w:tcPr>
          <w:p w14:paraId="6A56492B" w14:textId="77777777" w:rsidR="00ED3511" w:rsidRPr="001B4A02" w:rsidRDefault="00000000" w:rsidP="00ED48A3">
            <w:pPr>
              <w:pStyle w:val="EMEANormal"/>
              <w:keepNext/>
              <w:tabs>
                <w:tab w:val="clear" w:pos="562"/>
                <w:tab w:val="left" w:pos="708"/>
              </w:tabs>
              <w:suppressAutoHyphens w:val="0"/>
              <w:rPr>
                <w:b/>
                <w:bCs/>
                <w:lang w:val="cs-CZ"/>
              </w:rPr>
            </w:pPr>
            <w:r w:rsidRPr="001B4A02">
              <w:rPr>
                <w:b/>
                <w:bCs/>
                <w:lang w:val="cs-CZ"/>
              </w:rPr>
              <w:t>Týden 56</w:t>
            </w:r>
          </w:p>
        </w:tc>
        <w:tc>
          <w:tcPr>
            <w:tcW w:w="1821" w:type="dxa"/>
            <w:tcBorders>
              <w:top w:val="single" w:sz="4" w:space="0" w:color="auto"/>
              <w:left w:val="single" w:sz="4" w:space="0" w:color="auto"/>
              <w:bottom w:val="single" w:sz="4" w:space="0" w:color="auto"/>
              <w:right w:val="single" w:sz="4" w:space="0" w:color="auto"/>
            </w:tcBorders>
          </w:tcPr>
          <w:p w14:paraId="0B41D93B" w14:textId="77777777" w:rsidR="00ED3511" w:rsidRPr="001B4A02" w:rsidRDefault="00000000" w:rsidP="00ED48A3">
            <w:pPr>
              <w:pStyle w:val="EMEANormal"/>
              <w:keepNext/>
              <w:tabs>
                <w:tab w:val="clear" w:pos="562"/>
                <w:tab w:val="left" w:pos="708"/>
              </w:tabs>
              <w:suppressAutoHyphens w:val="0"/>
              <w:jc w:val="center"/>
              <w:rPr>
                <w:b/>
                <w:bCs/>
                <w:lang w:val="cs-CZ"/>
              </w:rPr>
            </w:pPr>
            <w:r>
              <w:rPr>
                <w:b/>
                <w:bCs/>
                <w:lang w:val="cs-CZ"/>
              </w:rPr>
              <w:t>n</w:t>
            </w:r>
            <w:r w:rsidRPr="001B4A02">
              <w:rPr>
                <w:b/>
                <w:bCs/>
                <w:lang w:val="cs-CZ"/>
              </w:rPr>
              <w:t>=170</w:t>
            </w:r>
          </w:p>
        </w:tc>
        <w:tc>
          <w:tcPr>
            <w:tcW w:w="2410" w:type="dxa"/>
            <w:tcBorders>
              <w:top w:val="single" w:sz="4" w:space="0" w:color="auto"/>
              <w:left w:val="single" w:sz="4" w:space="0" w:color="auto"/>
              <w:bottom w:val="single" w:sz="4" w:space="0" w:color="auto"/>
              <w:right w:val="single" w:sz="4" w:space="0" w:color="auto"/>
            </w:tcBorders>
          </w:tcPr>
          <w:p w14:paraId="78376168" w14:textId="77777777" w:rsidR="00ED3511" w:rsidRPr="001B4A02" w:rsidRDefault="00000000" w:rsidP="00ED48A3">
            <w:pPr>
              <w:pStyle w:val="EMEANormal"/>
              <w:keepNext/>
              <w:tabs>
                <w:tab w:val="clear" w:pos="562"/>
                <w:tab w:val="left" w:pos="708"/>
              </w:tabs>
              <w:suppressAutoHyphens w:val="0"/>
              <w:jc w:val="center"/>
              <w:rPr>
                <w:b/>
                <w:bCs/>
                <w:lang w:val="cs-CZ"/>
              </w:rPr>
            </w:pPr>
            <w:r>
              <w:rPr>
                <w:b/>
                <w:bCs/>
                <w:lang w:val="cs-CZ"/>
              </w:rPr>
              <w:t>n</w:t>
            </w:r>
            <w:r w:rsidRPr="001B4A02">
              <w:rPr>
                <w:b/>
                <w:bCs/>
                <w:lang w:val="cs-CZ"/>
              </w:rPr>
              <w:t>=172</w:t>
            </w:r>
          </w:p>
        </w:tc>
        <w:tc>
          <w:tcPr>
            <w:tcW w:w="1836" w:type="dxa"/>
            <w:tcBorders>
              <w:top w:val="single" w:sz="4" w:space="0" w:color="auto"/>
              <w:left w:val="single" w:sz="4" w:space="0" w:color="auto"/>
              <w:bottom w:val="single" w:sz="4" w:space="0" w:color="auto"/>
              <w:right w:val="single" w:sz="4" w:space="0" w:color="auto"/>
            </w:tcBorders>
          </w:tcPr>
          <w:p w14:paraId="7FA0BCBA" w14:textId="77777777" w:rsidR="00ED3511" w:rsidRPr="001B4A02" w:rsidRDefault="00000000" w:rsidP="00ED48A3">
            <w:pPr>
              <w:pStyle w:val="EMEANormal"/>
              <w:keepNext/>
              <w:tabs>
                <w:tab w:val="clear" w:pos="562"/>
                <w:tab w:val="left" w:pos="708"/>
              </w:tabs>
              <w:suppressAutoHyphens w:val="0"/>
              <w:jc w:val="center"/>
              <w:rPr>
                <w:b/>
                <w:bCs/>
                <w:lang w:val="cs-CZ"/>
              </w:rPr>
            </w:pPr>
            <w:r>
              <w:rPr>
                <w:b/>
                <w:bCs/>
                <w:lang w:val="cs-CZ"/>
              </w:rPr>
              <w:t>n</w:t>
            </w:r>
            <w:r w:rsidRPr="001B4A02">
              <w:rPr>
                <w:b/>
                <w:bCs/>
                <w:lang w:val="cs-CZ"/>
              </w:rPr>
              <w:t>=157</w:t>
            </w:r>
          </w:p>
        </w:tc>
      </w:tr>
      <w:tr w:rsidR="00534A2D" w14:paraId="073AD22B" w14:textId="77777777" w:rsidTr="000F1E90">
        <w:tc>
          <w:tcPr>
            <w:tcW w:w="2994" w:type="dxa"/>
            <w:tcBorders>
              <w:top w:val="single" w:sz="4" w:space="0" w:color="auto"/>
              <w:left w:val="single" w:sz="4" w:space="0" w:color="auto"/>
              <w:bottom w:val="single" w:sz="4" w:space="0" w:color="auto"/>
              <w:right w:val="single" w:sz="4" w:space="0" w:color="auto"/>
            </w:tcBorders>
          </w:tcPr>
          <w:p w14:paraId="2D372706" w14:textId="77777777" w:rsidR="00ED3511" w:rsidRPr="001B4A02" w:rsidRDefault="00000000" w:rsidP="00ED48A3">
            <w:pPr>
              <w:pStyle w:val="EMEANormal"/>
              <w:keepNext/>
              <w:tabs>
                <w:tab w:val="clear" w:pos="562"/>
                <w:tab w:val="left" w:pos="708"/>
              </w:tabs>
              <w:suppressAutoHyphens w:val="0"/>
              <w:rPr>
                <w:lang w:val="cs-CZ"/>
              </w:rPr>
            </w:pPr>
            <w:r w:rsidRPr="001B4A02">
              <w:rPr>
                <w:lang w:val="cs-CZ"/>
              </w:rPr>
              <w:t>Klinická remise</w:t>
            </w:r>
          </w:p>
        </w:tc>
        <w:tc>
          <w:tcPr>
            <w:tcW w:w="1821" w:type="dxa"/>
            <w:tcBorders>
              <w:top w:val="single" w:sz="4" w:space="0" w:color="auto"/>
              <w:left w:val="single" w:sz="4" w:space="0" w:color="auto"/>
              <w:bottom w:val="single" w:sz="4" w:space="0" w:color="auto"/>
              <w:right w:val="single" w:sz="4" w:space="0" w:color="auto"/>
            </w:tcBorders>
          </w:tcPr>
          <w:p w14:paraId="37E0E1F4"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12</w:t>
            </w:r>
            <w:r w:rsidR="00AB657C" w:rsidRPr="001B4A02">
              <w:rPr>
                <w:lang w:val="cs-CZ"/>
              </w:rPr>
              <w:t> </w:t>
            </w:r>
            <w:r w:rsidRPr="001B4A02">
              <w:rPr>
                <w:lang w:val="cs-CZ"/>
              </w:rPr>
              <w:t>%</w:t>
            </w:r>
          </w:p>
        </w:tc>
        <w:tc>
          <w:tcPr>
            <w:tcW w:w="2410" w:type="dxa"/>
            <w:tcBorders>
              <w:top w:val="single" w:sz="4" w:space="0" w:color="auto"/>
              <w:left w:val="single" w:sz="4" w:space="0" w:color="auto"/>
              <w:bottom w:val="single" w:sz="4" w:space="0" w:color="auto"/>
              <w:right w:val="single" w:sz="4" w:space="0" w:color="auto"/>
            </w:tcBorders>
          </w:tcPr>
          <w:p w14:paraId="49492023"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36</w:t>
            </w:r>
            <w:r w:rsidR="00AB657C" w:rsidRPr="001B4A02">
              <w:rPr>
                <w:lang w:val="cs-CZ"/>
              </w:rPr>
              <w:t> </w:t>
            </w:r>
            <w:r w:rsidRPr="001B4A02">
              <w:rPr>
                <w:lang w:val="cs-CZ"/>
              </w:rPr>
              <w:t>%</w:t>
            </w:r>
            <w:r w:rsidRPr="001B4A02">
              <w:rPr>
                <w:rFonts w:ascii="Symbol" w:hAnsi="Symbol"/>
                <w:vertAlign w:val="superscript"/>
                <w:lang w:val="cs-CZ"/>
              </w:rPr>
              <w:sym w:font="Symbol" w:char="F02A"/>
            </w:r>
          </w:p>
        </w:tc>
        <w:tc>
          <w:tcPr>
            <w:tcW w:w="1836" w:type="dxa"/>
            <w:tcBorders>
              <w:top w:val="single" w:sz="4" w:space="0" w:color="auto"/>
              <w:left w:val="single" w:sz="4" w:space="0" w:color="auto"/>
              <w:bottom w:val="single" w:sz="4" w:space="0" w:color="auto"/>
              <w:right w:val="single" w:sz="4" w:space="0" w:color="auto"/>
            </w:tcBorders>
          </w:tcPr>
          <w:p w14:paraId="1562B808"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41</w:t>
            </w:r>
            <w:r w:rsidR="00AB657C" w:rsidRPr="001B4A02">
              <w:rPr>
                <w:lang w:val="cs-CZ"/>
              </w:rPr>
              <w:t> </w:t>
            </w:r>
            <w:r w:rsidRPr="001B4A02">
              <w:rPr>
                <w:lang w:val="cs-CZ"/>
              </w:rPr>
              <w:t>%</w:t>
            </w:r>
            <w:r w:rsidRPr="001B4A02">
              <w:rPr>
                <w:rFonts w:ascii="Symbol" w:hAnsi="Symbol"/>
                <w:vertAlign w:val="superscript"/>
                <w:lang w:val="cs-CZ"/>
              </w:rPr>
              <w:sym w:font="Symbol" w:char="F02A"/>
            </w:r>
          </w:p>
        </w:tc>
      </w:tr>
      <w:tr w:rsidR="00534A2D" w14:paraId="12E596ED" w14:textId="77777777" w:rsidTr="000F1E90">
        <w:tc>
          <w:tcPr>
            <w:tcW w:w="2994" w:type="dxa"/>
            <w:tcBorders>
              <w:top w:val="single" w:sz="4" w:space="0" w:color="auto"/>
              <w:left w:val="single" w:sz="4" w:space="0" w:color="auto"/>
              <w:bottom w:val="single" w:sz="4" w:space="0" w:color="auto"/>
              <w:right w:val="single" w:sz="4" w:space="0" w:color="auto"/>
            </w:tcBorders>
          </w:tcPr>
          <w:p w14:paraId="769D6521" w14:textId="77777777" w:rsidR="00ED3511" w:rsidRPr="001B4A02" w:rsidRDefault="00000000" w:rsidP="00ED48A3">
            <w:pPr>
              <w:pStyle w:val="EMEANormal"/>
              <w:keepNext/>
              <w:tabs>
                <w:tab w:val="clear" w:pos="562"/>
                <w:tab w:val="left" w:pos="708"/>
              </w:tabs>
              <w:suppressAutoHyphens w:val="0"/>
              <w:rPr>
                <w:lang w:val="cs-CZ"/>
              </w:rPr>
            </w:pPr>
            <w:r w:rsidRPr="001B4A02">
              <w:rPr>
                <w:lang w:val="cs-CZ"/>
              </w:rPr>
              <w:t>Klinická odpověď (CR-100)</w:t>
            </w:r>
          </w:p>
        </w:tc>
        <w:tc>
          <w:tcPr>
            <w:tcW w:w="1821" w:type="dxa"/>
            <w:tcBorders>
              <w:top w:val="single" w:sz="4" w:space="0" w:color="auto"/>
              <w:left w:val="single" w:sz="4" w:space="0" w:color="auto"/>
              <w:bottom w:val="single" w:sz="4" w:space="0" w:color="auto"/>
              <w:right w:val="single" w:sz="4" w:space="0" w:color="auto"/>
            </w:tcBorders>
          </w:tcPr>
          <w:p w14:paraId="0F3D94F5"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17</w:t>
            </w:r>
            <w:r w:rsidR="00AB657C" w:rsidRPr="001B4A02">
              <w:rPr>
                <w:lang w:val="cs-CZ"/>
              </w:rPr>
              <w:t> </w:t>
            </w:r>
            <w:r w:rsidRPr="001B4A02">
              <w:rPr>
                <w:lang w:val="cs-CZ"/>
              </w:rPr>
              <w:t>%</w:t>
            </w:r>
          </w:p>
        </w:tc>
        <w:tc>
          <w:tcPr>
            <w:tcW w:w="2410" w:type="dxa"/>
            <w:tcBorders>
              <w:top w:val="single" w:sz="4" w:space="0" w:color="auto"/>
              <w:left w:val="single" w:sz="4" w:space="0" w:color="auto"/>
              <w:bottom w:val="single" w:sz="4" w:space="0" w:color="auto"/>
              <w:right w:val="single" w:sz="4" w:space="0" w:color="auto"/>
            </w:tcBorders>
          </w:tcPr>
          <w:p w14:paraId="4888391F"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41</w:t>
            </w:r>
            <w:r w:rsidR="00AB657C" w:rsidRPr="001B4A02">
              <w:rPr>
                <w:lang w:val="cs-CZ"/>
              </w:rPr>
              <w:t> </w:t>
            </w:r>
            <w:r w:rsidRPr="001B4A02">
              <w:rPr>
                <w:lang w:val="cs-CZ"/>
              </w:rPr>
              <w:t>%</w:t>
            </w:r>
            <w:r w:rsidRPr="001B4A02">
              <w:rPr>
                <w:rFonts w:ascii="Symbol" w:hAnsi="Symbol"/>
                <w:vertAlign w:val="superscript"/>
                <w:lang w:val="cs-CZ"/>
              </w:rPr>
              <w:sym w:font="Symbol" w:char="F02A"/>
            </w:r>
          </w:p>
        </w:tc>
        <w:tc>
          <w:tcPr>
            <w:tcW w:w="1836" w:type="dxa"/>
            <w:tcBorders>
              <w:top w:val="single" w:sz="4" w:space="0" w:color="auto"/>
              <w:left w:val="single" w:sz="4" w:space="0" w:color="auto"/>
              <w:bottom w:val="single" w:sz="4" w:space="0" w:color="auto"/>
              <w:right w:val="single" w:sz="4" w:space="0" w:color="auto"/>
            </w:tcBorders>
          </w:tcPr>
          <w:p w14:paraId="2D0423FE"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48</w:t>
            </w:r>
            <w:r w:rsidR="00AB657C" w:rsidRPr="001B4A02">
              <w:rPr>
                <w:lang w:val="cs-CZ"/>
              </w:rPr>
              <w:t> </w:t>
            </w:r>
            <w:r w:rsidRPr="001B4A02">
              <w:rPr>
                <w:lang w:val="cs-CZ"/>
              </w:rPr>
              <w:t>%</w:t>
            </w:r>
            <w:r w:rsidRPr="001B4A02">
              <w:rPr>
                <w:rFonts w:ascii="Symbol" w:hAnsi="Symbol"/>
                <w:vertAlign w:val="superscript"/>
                <w:lang w:val="cs-CZ"/>
              </w:rPr>
              <w:sym w:font="Symbol" w:char="F02A"/>
            </w:r>
          </w:p>
        </w:tc>
      </w:tr>
      <w:tr w:rsidR="00534A2D" w14:paraId="66A5DD93" w14:textId="77777777" w:rsidTr="000F1E90">
        <w:tc>
          <w:tcPr>
            <w:tcW w:w="2994" w:type="dxa"/>
            <w:tcBorders>
              <w:top w:val="single" w:sz="4" w:space="0" w:color="auto"/>
              <w:left w:val="single" w:sz="4" w:space="0" w:color="auto"/>
              <w:bottom w:val="single" w:sz="4" w:space="0" w:color="auto"/>
              <w:right w:val="single" w:sz="4" w:space="0" w:color="auto"/>
            </w:tcBorders>
          </w:tcPr>
          <w:p w14:paraId="0CDBB8CC" w14:textId="77777777" w:rsidR="00ED3511" w:rsidRPr="001B4A02" w:rsidRDefault="00000000" w:rsidP="00ED48A3">
            <w:pPr>
              <w:pStyle w:val="EMEANormal"/>
              <w:keepNext/>
              <w:tabs>
                <w:tab w:val="clear" w:pos="562"/>
                <w:tab w:val="left" w:pos="708"/>
              </w:tabs>
              <w:suppressAutoHyphens w:val="0"/>
              <w:ind w:left="284"/>
              <w:rPr>
                <w:lang w:val="cs-CZ"/>
              </w:rPr>
            </w:pPr>
            <w:r w:rsidRPr="001B4A02">
              <w:rPr>
                <w:lang w:val="cs-CZ"/>
              </w:rPr>
              <w:t xml:space="preserve">Pacienti v remisi bez užívání steroidů po dobu </w:t>
            </w:r>
            <w:r w:rsidR="009D2A3C" w:rsidRPr="001B4A02">
              <w:rPr>
                <w:rFonts w:ascii="Symbol" w:hAnsi="Symbol"/>
                <w:lang w:val="cs-CZ"/>
              </w:rPr>
              <w:sym w:font="Symbol" w:char="F0B3"/>
            </w:r>
            <w:r w:rsidRPr="001B4A02">
              <w:rPr>
                <w:lang w:val="cs-CZ"/>
              </w:rPr>
              <w:t> 90 dní</w:t>
            </w:r>
            <w:r w:rsidRPr="001B4A02">
              <w:rPr>
                <w:vertAlign w:val="superscript"/>
                <w:lang w:val="cs-CZ"/>
              </w:rPr>
              <w:t>a</w:t>
            </w:r>
          </w:p>
        </w:tc>
        <w:tc>
          <w:tcPr>
            <w:tcW w:w="1821" w:type="dxa"/>
            <w:tcBorders>
              <w:top w:val="single" w:sz="4" w:space="0" w:color="auto"/>
              <w:left w:val="single" w:sz="4" w:space="0" w:color="auto"/>
              <w:bottom w:val="single" w:sz="4" w:space="0" w:color="auto"/>
              <w:right w:val="single" w:sz="4" w:space="0" w:color="auto"/>
            </w:tcBorders>
          </w:tcPr>
          <w:p w14:paraId="644D3483"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5</w:t>
            </w:r>
            <w:r w:rsidR="00AB657C" w:rsidRPr="001B4A02">
              <w:rPr>
                <w:lang w:val="cs-CZ"/>
              </w:rPr>
              <w:t> </w:t>
            </w:r>
            <w:r w:rsidRPr="001B4A02">
              <w:rPr>
                <w:lang w:val="cs-CZ"/>
              </w:rPr>
              <w:t>% (3 z 66)</w:t>
            </w:r>
          </w:p>
        </w:tc>
        <w:tc>
          <w:tcPr>
            <w:tcW w:w="2410" w:type="dxa"/>
            <w:tcBorders>
              <w:top w:val="single" w:sz="4" w:space="0" w:color="auto"/>
              <w:left w:val="single" w:sz="4" w:space="0" w:color="auto"/>
              <w:bottom w:val="single" w:sz="4" w:space="0" w:color="auto"/>
              <w:right w:val="single" w:sz="4" w:space="0" w:color="auto"/>
            </w:tcBorders>
          </w:tcPr>
          <w:p w14:paraId="00E46D98"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29</w:t>
            </w:r>
            <w:r w:rsidR="00AB657C" w:rsidRPr="001B4A02">
              <w:rPr>
                <w:lang w:val="cs-CZ"/>
              </w:rPr>
              <w:t> </w:t>
            </w:r>
            <w:r w:rsidRPr="001B4A02">
              <w:rPr>
                <w:lang w:val="cs-CZ"/>
              </w:rPr>
              <w:t>% (17 z</w:t>
            </w:r>
            <w:r w:rsidR="00272620" w:rsidRPr="001B4A02">
              <w:rPr>
                <w:lang w:val="cs-CZ"/>
              </w:rPr>
              <w:t> </w:t>
            </w:r>
            <w:r w:rsidRPr="001B4A02">
              <w:rPr>
                <w:lang w:val="cs-CZ"/>
              </w:rPr>
              <w:t>58)</w:t>
            </w:r>
            <w:r w:rsidRPr="001B4A02">
              <w:rPr>
                <w:vertAlign w:val="superscript"/>
                <w:lang w:val="cs-CZ"/>
              </w:rPr>
              <w:t xml:space="preserve"> </w:t>
            </w:r>
            <w:r w:rsidRPr="001B4A02">
              <w:rPr>
                <w:rFonts w:ascii="Symbol" w:hAnsi="Symbol"/>
                <w:vertAlign w:val="superscript"/>
                <w:lang w:val="cs-CZ"/>
              </w:rPr>
              <w:sym w:font="Symbol" w:char="F02A"/>
            </w:r>
          </w:p>
        </w:tc>
        <w:tc>
          <w:tcPr>
            <w:tcW w:w="1836" w:type="dxa"/>
            <w:tcBorders>
              <w:top w:val="single" w:sz="4" w:space="0" w:color="auto"/>
              <w:left w:val="single" w:sz="4" w:space="0" w:color="auto"/>
              <w:bottom w:val="single" w:sz="4" w:space="0" w:color="auto"/>
              <w:right w:val="single" w:sz="4" w:space="0" w:color="auto"/>
            </w:tcBorders>
          </w:tcPr>
          <w:p w14:paraId="564D1830" w14:textId="77777777" w:rsidR="00ED3511" w:rsidRPr="001B4A02" w:rsidRDefault="00000000" w:rsidP="00ED48A3">
            <w:pPr>
              <w:pStyle w:val="EMEANormal"/>
              <w:keepNext/>
              <w:tabs>
                <w:tab w:val="clear" w:pos="562"/>
                <w:tab w:val="left" w:pos="708"/>
              </w:tabs>
              <w:suppressAutoHyphens w:val="0"/>
              <w:jc w:val="center"/>
              <w:rPr>
                <w:lang w:val="cs-CZ"/>
              </w:rPr>
            </w:pPr>
            <w:r w:rsidRPr="001B4A02">
              <w:rPr>
                <w:lang w:val="cs-CZ"/>
              </w:rPr>
              <w:t>20</w:t>
            </w:r>
            <w:r w:rsidR="00AB657C" w:rsidRPr="001B4A02">
              <w:rPr>
                <w:lang w:val="cs-CZ"/>
              </w:rPr>
              <w:t> </w:t>
            </w:r>
            <w:r w:rsidRPr="001B4A02">
              <w:rPr>
                <w:lang w:val="cs-CZ"/>
              </w:rPr>
              <w:t>% (15 ze 74)</w:t>
            </w:r>
            <w:r w:rsidRPr="001B4A02">
              <w:rPr>
                <w:vertAlign w:val="superscript"/>
                <w:lang w:val="cs-CZ"/>
              </w:rPr>
              <w:t xml:space="preserve"> </w:t>
            </w:r>
            <w:r w:rsidRPr="001B4A02">
              <w:rPr>
                <w:rFonts w:ascii="Symbol" w:hAnsi="Symbol"/>
                <w:vertAlign w:val="superscript"/>
                <w:lang w:val="cs-CZ"/>
              </w:rPr>
              <w:sym w:font="Symbol" w:char="F02A"/>
            </w:r>
            <w:r w:rsidRPr="001B4A02">
              <w:rPr>
                <w:rFonts w:ascii="Symbol" w:hAnsi="Symbol"/>
                <w:vertAlign w:val="superscript"/>
                <w:lang w:val="cs-CZ"/>
              </w:rPr>
              <w:sym w:font="Symbol" w:char="F02A"/>
            </w:r>
          </w:p>
        </w:tc>
      </w:tr>
    </w:tbl>
    <w:p w14:paraId="04324A8A" w14:textId="77777777" w:rsidR="00ED3511" w:rsidRPr="001B4A02" w:rsidRDefault="00000000" w:rsidP="00ED48A3">
      <w:pPr>
        <w:pStyle w:val="EMEANormal"/>
        <w:keepNext/>
        <w:tabs>
          <w:tab w:val="clear" w:pos="562"/>
          <w:tab w:val="left" w:pos="708"/>
        </w:tabs>
        <w:suppressAutoHyphens w:val="0"/>
        <w:rPr>
          <w:bCs/>
          <w:sz w:val="20"/>
          <w:lang w:val="cs-CZ"/>
        </w:rPr>
      </w:pPr>
      <w:r w:rsidRPr="001B4A02">
        <w:rPr>
          <w:rFonts w:ascii="Symbol" w:hAnsi="Symbol"/>
          <w:sz w:val="20"/>
          <w:vertAlign w:val="superscript"/>
          <w:lang w:val="cs-CZ"/>
        </w:rPr>
        <w:sym w:font="Symbol" w:char="F02A"/>
      </w:r>
      <w:r w:rsidRPr="001B4A02">
        <w:rPr>
          <w:sz w:val="20"/>
          <w:vertAlign w:val="superscript"/>
          <w:lang w:val="cs-CZ"/>
        </w:rPr>
        <w:t xml:space="preserve"> </w:t>
      </w:r>
      <w:r w:rsidRPr="001B4A02">
        <w:rPr>
          <w:sz w:val="20"/>
          <w:lang w:val="cs-CZ"/>
        </w:rPr>
        <w:t xml:space="preserve">p </w:t>
      </w:r>
      <w:r w:rsidRPr="001B4A02">
        <w:rPr>
          <w:rFonts w:ascii="Symbol" w:hAnsi="Symbol"/>
          <w:sz w:val="20"/>
          <w:lang w:val="cs-CZ"/>
        </w:rPr>
        <w:sym w:font="Symbol" w:char="F03C"/>
      </w:r>
      <w:r w:rsidRPr="001B4A02">
        <w:rPr>
          <w:sz w:val="20"/>
          <w:lang w:val="cs-CZ"/>
        </w:rPr>
        <w:t xml:space="preserve"> 0,001 </w:t>
      </w:r>
      <w:r w:rsidRPr="001B4A02">
        <w:rPr>
          <w:bCs/>
          <w:sz w:val="20"/>
          <w:lang w:val="cs-CZ"/>
        </w:rPr>
        <w:t>párové srovnání hodnot pro přípravek Humira versus placebo</w:t>
      </w:r>
    </w:p>
    <w:p w14:paraId="18624675" w14:textId="77777777" w:rsidR="00ED3511" w:rsidRPr="001B4A02" w:rsidRDefault="00000000" w:rsidP="00ED48A3">
      <w:pPr>
        <w:pStyle w:val="EMEANormal"/>
        <w:keepNext/>
        <w:tabs>
          <w:tab w:val="clear" w:pos="562"/>
          <w:tab w:val="left" w:pos="708"/>
        </w:tabs>
        <w:suppressAutoHyphens w:val="0"/>
        <w:rPr>
          <w:bCs/>
          <w:sz w:val="20"/>
          <w:lang w:val="cs-CZ"/>
        </w:rPr>
      </w:pPr>
      <w:r w:rsidRPr="001B4A02">
        <w:rPr>
          <w:rFonts w:ascii="Symbol" w:hAnsi="Symbol"/>
          <w:bCs/>
          <w:sz w:val="20"/>
          <w:vertAlign w:val="superscript"/>
          <w:lang w:val="cs-CZ"/>
        </w:rPr>
        <w:sym w:font="Symbol" w:char="F02A"/>
      </w:r>
      <w:r w:rsidRPr="001B4A02">
        <w:rPr>
          <w:rFonts w:ascii="Symbol" w:hAnsi="Symbol"/>
          <w:bCs/>
          <w:sz w:val="20"/>
          <w:vertAlign w:val="superscript"/>
          <w:lang w:val="cs-CZ"/>
        </w:rPr>
        <w:sym w:font="Symbol" w:char="F02A"/>
      </w:r>
      <w:r w:rsidRPr="001B4A02">
        <w:rPr>
          <w:bCs/>
          <w:sz w:val="20"/>
          <w:lang w:val="cs-CZ"/>
        </w:rPr>
        <w:t xml:space="preserve"> p </w:t>
      </w:r>
      <w:r w:rsidRPr="001B4A02">
        <w:rPr>
          <w:rFonts w:ascii="Symbol" w:hAnsi="Symbol"/>
          <w:bCs/>
          <w:sz w:val="20"/>
          <w:lang w:val="cs-CZ"/>
        </w:rPr>
        <w:sym w:font="Symbol" w:char="F03C"/>
      </w:r>
      <w:r w:rsidRPr="001B4A02">
        <w:rPr>
          <w:bCs/>
          <w:sz w:val="20"/>
          <w:lang w:val="cs-CZ"/>
        </w:rPr>
        <w:t xml:space="preserve"> 0,02 párové srovnání hodnot pro přípravek Humira versus placebo</w:t>
      </w:r>
    </w:p>
    <w:p w14:paraId="0D35C46F" w14:textId="77777777" w:rsidR="00ED3511" w:rsidRPr="001B4A02" w:rsidRDefault="00000000" w:rsidP="008A4562">
      <w:pPr>
        <w:pStyle w:val="EMEANormal"/>
        <w:tabs>
          <w:tab w:val="clear" w:pos="562"/>
          <w:tab w:val="left" w:pos="708"/>
        </w:tabs>
        <w:suppressAutoHyphens w:val="0"/>
        <w:rPr>
          <w:sz w:val="20"/>
          <w:lang w:val="cs-CZ"/>
        </w:rPr>
      </w:pPr>
      <w:r w:rsidRPr="001B4A02">
        <w:rPr>
          <w:sz w:val="20"/>
          <w:vertAlign w:val="superscript"/>
          <w:lang w:val="cs-CZ"/>
        </w:rPr>
        <w:t xml:space="preserve">a </w:t>
      </w:r>
      <w:r w:rsidRPr="001B4A02">
        <w:rPr>
          <w:sz w:val="20"/>
          <w:lang w:val="cs-CZ"/>
        </w:rPr>
        <w:t>u těch, kteří užívali kortikosteroidy ve výchozí situaci</w:t>
      </w:r>
    </w:p>
    <w:p w14:paraId="62BD8634" w14:textId="77777777" w:rsidR="00ED3511" w:rsidRPr="001B4A02" w:rsidRDefault="00ED3511" w:rsidP="00ED48A3">
      <w:pPr>
        <w:pStyle w:val="EMEANormal"/>
        <w:tabs>
          <w:tab w:val="clear" w:pos="562"/>
          <w:tab w:val="left" w:pos="708"/>
        </w:tabs>
        <w:suppressAutoHyphens w:val="0"/>
        <w:rPr>
          <w:lang w:val="cs-CZ"/>
        </w:rPr>
      </w:pPr>
    </w:p>
    <w:p w14:paraId="1BD2555B" w14:textId="77777777" w:rsidR="00ED3511" w:rsidRPr="001B4A02" w:rsidRDefault="00000000" w:rsidP="00ED48A3">
      <w:pPr>
        <w:pStyle w:val="EMEANormal"/>
        <w:tabs>
          <w:tab w:val="clear" w:pos="562"/>
          <w:tab w:val="left" w:pos="708"/>
        </w:tabs>
        <w:suppressAutoHyphens w:val="0"/>
        <w:rPr>
          <w:lang w:val="cs-CZ"/>
        </w:rPr>
      </w:pPr>
      <w:r w:rsidRPr="001B4A02">
        <w:rPr>
          <w:lang w:val="cs-CZ"/>
        </w:rPr>
        <w:t xml:space="preserve">Z celkového množství pacientů, kteří </w:t>
      </w:r>
      <w:r w:rsidR="00CA6ADE" w:rsidRPr="001B4A02">
        <w:rPr>
          <w:lang w:val="cs-CZ"/>
        </w:rPr>
        <w:t xml:space="preserve">byli </w:t>
      </w:r>
      <w:r w:rsidRPr="001B4A02">
        <w:rPr>
          <w:lang w:val="cs-CZ"/>
        </w:rPr>
        <w:t>v týdnu 4 bez odpovědi na léčbu, dosáhlo v týdnu 12 odpovědi 43</w:t>
      </w:r>
      <w:r w:rsidR="00AB657C" w:rsidRPr="001B4A02">
        <w:rPr>
          <w:lang w:val="cs-CZ"/>
        </w:rPr>
        <w:t> </w:t>
      </w:r>
      <w:r w:rsidRPr="001B4A02">
        <w:rPr>
          <w:lang w:val="cs-CZ"/>
        </w:rPr>
        <w:t>% pacientů léčených přípravkem Humira, ve srovnání s 30</w:t>
      </w:r>
      <w:r w:rsidR="00AB657C" w:rsidRPr="001B4A02">
        <w:rPr>
          <w:lang w:val="cs-CZ"/>
        </w:rPr>
        <w:t> </w:t>
      </w:r>
      <w:r w:rsidRPr="001B4A02">
        <w:rPr>
          <w:lang w:val="cs-CZ"/>
        </w:rPr>
        <w:t>% pacientů, jež dostávali placebo. Tyto výsledky naznačují, že někteří pacienti, kteří nedosáhli odpovědi v týdnu 4</w:t>
      </w:r>
      <w:r w:rsidR="007978AF">
        <w:rPr>
          <w:lang w:val="cs-CZ"/>
        </w:rPr>
        <w:t>,</w:t>
      </w:r>
      <w:r w:rsidRPr="001B4A02">
        <w:rPr>
          <w:lang w:val="cs-CZ"/>
        </w:rPr>
        <w:t xml:space="preserve"> profitují z pokračování udržovací léčby do týdne 12. Léčba pokračující po 12 týdnu nevedla k významně více odpovědím (viz bod 4.2).</w:t>
      </w:r>
    </w:p>
    <w:p w14:paraId="6F213D14" w14:textId="77777777" w:rsidR="00ED3511" w:rsidRPr="001B4A02" w:rsidRDefault="00ED3511" w:rsidP="00ED48A3">
      <w:pPr>
        <w:pStyle w:val="EMEANormal"/>
        <w:tabs>
          <w:tab w:val="clear" w:pos="562"/>
          <w:tab w:val="left" w:pos="708"/>
        </w:tabs>
        <w:suppressAutoHyphens w:val="0"/>
        <w:rPr>
          <w:u w:val="single"/>
          <w:lang w:val="cs-CZ"/>
        </w:rPr>
      </w:pPr>
    </w:p>
    <w:p w14:paraId="69310ADE" w14:textId="77777777" w:rsidR="00ED3511" w:rsidRPr="001B4A02" w:rsidRDefault="00000000" w:rsidP="00ED48A3">
      <w:pPr>
        <w:pStyle w:val="EMEANormal"/>
        <w:tabs>
          <w:tab w:val="clear" w:pos="562"/>
          <w:tab w:val="left" w:pos="708"/>
        </w:tabs>
        <w:suppressAutoHyphens w:val="0"/>
        <w:rPr>
          <w:lang w:val="cs-CZ"/>
        </w:rPr>
      </w:pPr>
      <w:r w:rsidRPr="001B4A02">
        <w:rPr>
          <w:lang w:val="cs-CZ"/>
        </w:rPr>
        <w:t>117 z 276 pacientů účastnících se studie CD I</w:t>
      </w:r>
      <w:r w:rsidR="002378E0">
        <w:rPr>
          <w:lang w:val="cs-CZ"/>
        </w:rPr>
        <w:t xml:space="preserve"> a </w:t>
      </w:r>
      <w:r w:rsidRPr="001B4A02">
        <w:rPr>
          <w:lang w:val="cs-CZ"/>
        </w:rPr>
        <w:t>272 ze 777 pacientů účastnících se studie CD II</w:t>
      </w:r>
      <w:r w:rsidR="002378E0">
        <w:rPr>
          <w:lang w:val="cs-CZ"/>
        </w:rPr>
        <w:t xml:space="preserve"> a </w:t>
      </w:r>
      <w:r w:rsidRPr="001B4A02">
        <w:rPr>
          <w:lang w:val="cs-CZ"/>
        </w:rPr>
        <w:t>III pokračovalo v </w:t>
      </w:r>
      <w:r w:rsidR="0037494F" w:rsidRPr="001B4A02">
        <w:rPr>
          <w:lang w:val="cs-CZ"/>
        </w:rPr>
        <w:t>po</w:t>
      </w:r>
      <w:r w:rsidRPr="001B4A02">
        <w:rPr>
          <w:lang w:val="cs-CZ"/>
        </w:rPr>
        <w:t>užívání adalimumabu po dobu minimálně 3 let v otevřené fázi studie. 88 z těchto 117</w:t>
      </w:r>
      <w:r w:rsidR="002378E0">
        <w:rPr>
          <w:lang w:val="cs-CZ"/>
        </w:rPr>
        <w:t xml:space="preserve"> a </w:t>
      </w:r>
      <w:r w:rsidRPr="001B4A02">
        <w:rPr>
          <w:lang w:val="cs-CZ"/>
        </w:rPr>
        <w:t>189 z těchto 272 pacientů dospělo ke klinické remisi. Klinická odpověď (CR-100) přetrvávala u</w:t>
      </w:r>
      <w:r w:rsidR="009B61F3" w:rsidRPr="001B4A02">
        <w:rPr>
          <w:lang w:val="cs-CZ"/>
        </w:rPr>
        <w:t> </w:t>
      </w:r>
      <w:r w:rsidRPr="001B4A02">
        <w:rPr>
          <w:lang w:val="cs-CZ"/>
        </w:rPr>
        <w:t>102 pacientů z těchto 117</w:t>
      </w:r>
      <w:r w:rsidR="002378E0">
        <w:rPr>
          <w:lang w:val="cs-CZ"/>
        </w:rPr>
        <w:t xml:space="preserve"> a </w:t>
      </w:r>
      <w:r w:rsidRPr="001B4A02">
        <w:rPr>
          <w:lang w:val="cs-CZ"/>
        </w:rPr>
        <w:t>u</w:t>
      </w:r>
      <w:r w:rsidR="009B61F3" w:rsidRPr="001B4A02">
        <w:rPr>
          <w:lang w:val="cs-CZ"/>
        </w:rPr>
        <w:t> </w:t>
      </w:r>
      <w:r w:rsidRPr="001B4A02">
        <w:rPr>
          <w:lang w:val="cs-CZ"/>
        </w:rPr>
        <w:t>233 z těchto 272 pacientů.</w:t>
      </w:r>
    </w:p>
    <w:p w14:paraId="197AE85A" w14:textId="77777777" w:rsidR="00ED3511" w:rsidRPr="001B4A02" w:rsidRDefault="00ED3511" w:rsidP="00ED48A3">
      <w:pPr>
        <w:pStyle w:val="EMEANormal"/>
        <w:tabs>
          <w:tab w:val="clear" w:pos="562"/>
          <w:tab w:val="left" w:pos="708"/>
        </w:tabs>
        <w:suppressAutoHyphens w:val="0"/>
        <w:rPr>
          <w:u w:val="single"/>
          <w:lang w:val="cs-CZ"/>
        </w:rPr>
      </w:pPr>
    </w:p>
    <w:p w14:paraId="1B308849" w14:textId="77777777" w:rsidR="00ED3511" w:rsidRPr="001B4A02" w:rsidRDefault="00000000" w:rsidP="00A03600">
      <w:pPr>
        <w:pStyle w:val="EMEANormal"/>
        <w:keepNext/>
        <w:tabs>
          <w:tab w:val="clear" w:pos="562"/>
          <w:tab w:val="left" w:pos="708"/>
        </w:tabs>
        <w:suppressAutoHyphens w:val="0"/>
        <w:rPr>
          <w:i/>
          <w:u w:val="single"/>
          <w:lang w:val="cs-CZ"/>
        </w:rPr>
      </w:pPr>
      <w:r w:rsidRPr="001B4A02">
        <w:rPr>
          <w:i/>
          <w:u w:val="single"/>
          <w:lang w:val="cs-CZ"/>
        </w:rPr>
        <w:t>Kvalita života</w:t>
      </w:r>
    </w:p>
    <w:p w14:paraId="2FE905DA" w14:textId="77777777" w:rsidR="00ED3511" w:rsidRPr="001B4A02" w:rsidRDefault="00ED3511" w:rsidP="00A03600">
      <w:pPr>
        <w:pStyle w:val="EMEANormal"/>
        <w:keepNext/>
        <w:tabs>
          <w:tab w:val="clear" w:pos="562"/>
          <w:tab w:val="left" w:pos="708"/>
        </w:tabs>
        <w:suppressAutoHyphens w:val="0"/>
        <w:rPr>
          <w:lang w:val="cs-CZ"/>
        </w:rPr>
      </w:pPr>
    </w:p>
    <w:p w14:paraId="199251EA" w14:textId="77777777" w:rsidR="00ED3511" w:rsidRPr="001B4A02" w:rsidRDefault="00000000" w:rsidP="00ED48A3">
      <w:pPr>
        <w:pStyle w:val="EMEANormal"/>
        <w:tabs>
          <w:tab w:val="clear" w:pos="562"/>
          <w:tab w:val="left" w:pos="708"/>
        </w:tabs>
        <w:suppressAutoHyphens w:val="0"/>
        <w:rPr>
          <w:lang w:val="cs-CZ"/>
        </w:rPr>
      </w:pPr>
      <w:r w:rsidRPr="001B4A02">
        <w:rPr>
          <w:lang w:val="cs-CZ"/>
        </w:rPr>
        <w:t>Ve studiích CD I</w:t>
      </w:r>
      <w:r w:rsidR="002378E0">
        <w:rPr>
          <w:lang w:val="cs-CZ"/>
        </w:rPr>
        <w:t xml:space="preserve"> a </w:t>
      </w:r>
      <w:r w:rsidRPr="001B4A02">
        <w:rPr>
          <w:lang w:val="cs-CZ"/>
        </w:rPr>
        <w:t>CD II bylo v týdnu 4 u</w:t>
      </w:r>
      <w:r w:rsidR="009B61F3" w:rsidRPr="001B4A02">
        <w:rPr>
          <w:lang w:val="cs-CZ"/>
        </w:rPr>
        <w:t> </w:t>
      </w:r>
      <w:r w:rsidRPr="001B4A02">
        <w:rPr>
          <w:lang w:val="cs-CZ"/>
        </w:rPr>
        <w:t xml:space="preserve">pacientů, randomizovaných do skupin </w:t>
      </w:r>
      <w:r w:rsidR="0037494F" w:rsidRPr="001B4A02">
        <w:rPr>
          <w:lang w:val="cs-CZ"/>
        </w:rPr>
        <w:t>po</w:t>
      </w:r>
      <w:r w:rsidRPr="001B4A02">
        <w:rPr>
          <w:lang w:val="cs-CZ"/>
        </w:rPr>
        <w:t>užívajících přípravek Humira v dávce 80/40 mg</w:t>
      </w:r>
      <w:r w:rsidR="002378E0">
        <w:rPr>
          <w:lang w:val="cs-CZ"/>
        </w:rPr>
        <w:t xml:space="preserve"> a </w:t>
      </w:r>
      <w:r w:rsidRPr="001B4A02">
        <w:rPr>
          <w:lang w:val="cs-CZ"/>
        </w:rPr>
        <w:t>160/80 mg, dosaženo, ve srovnání s placebem, úplného skóre ve specifickém, na chorobu zaměřeném dotazníku IBDQ (inflammatory bowel disease questionnaire), u studie CD III v týdnech 26</w:t>
      </w:r>
      <w:r w:rsidR="002378E0">
        <w:rPr>
          <w:lang w:val="cs-CZ"/>
        </w:rPr>
        <w:t xml:space="preserve"> a </w:t>
      </w:r>
      <w:r w:rsidRPr="001B4A02">
        <w:rPr>
          <w:lang w:val="cs-CZ"/>
        </w:rPr>
        <w:t>56 byly tyto výsledky rovněž pozorovány ve skupině léčené adalimumabem, v porovnání se skupinou léčenou placebem.</w:t>
      </w:r>
    </w:p>
    <w:p w14:paraId="1D5D500F" w14:textId="77777777" w:rsidR="00ED3511" w:rsidRPr="001B4A02" w:rsidRDefault="00ED3511" w:rsidP="00ED48A3">
      <w:pPr>
        <w:ind w:left="0" w:firstLine="0"/>
        <w:rPr>
          <w:u w:val="single"/>
        </w:rPr>
      </w:pPr>
    </w:p>
    <w:p w14:paraId="1FD4FEF5" w14:textId="77777777" w:rsidR="00ED3511" w:rsidRPr="001B4A02" w:rsidRDefault="00000000" w:rsidP="00A03600">
      <w:pPr>
        <w:keepNext/>
        <w:ind w:left="0" w:firstLine="0"/>
        <w:rPr>
          <w:i/>
        </w:rPr>
      </w:pPr>
      <w:r w:rsidRPr="001B4A02">
        <w:rPr>
          <w:i/>
        </w:rPr>
        <w:t>Ulcerózní kolitida</w:t>
      </w:r>
    </w:p>
    <w:p w14:paraId="4945B6A0" w14:textId="77777777" w:rsidR="00ED3511" w:rsidRPr="001B4A02" w:rsidRDefault="00ED3511" w:rsidP="00A03600">
      <w:pPr>
        <w:keepNext/>
        <w:ind w:left="0" w:firstLine="0"/>
      </w:pPr>
    </w:p>
    <w:p w14:paraId="127BE5C1" w14:textId="77777777" w:rsidR="00ED3511" w:rsidRPr="001B4A02" w:rsidRDefault="00000000" w:rsidP="00ED48A3">
      <w:pPr>
        <w:pStyle w:val="EMEANormal"/>
        <w:tabs>
          <w:tab w:val="clear" w:pos="562"/>
          <w:tab w:val="left" w:pos="708"/>
        </w:tabs>
        <w:suppressAutoHyphens w:val="0"/>
        <w:rPr>
          <w:lang w:val="cs-CZ"/>
        </w:rPr>
      </w:pPr>
      <w:r w:rsidRPr="001B4A02">
        <w:rPr>
          <w:lang w:val="cs-CZ"/>
        </w:rPr>
        <w:t>Bezpečnost</w:t>
      </w:r>
      <w:r w:rsidR="002378E0">
        <w:rPr>
          <w:lang w:val="cs-CZ"/>
        </w:rPr>
        <w:t xml:space="preserve"> a </w:t>
      </w:r>
      <w:r w:rsidRPr="001B4A02">
        <w:rPr>
          <w:lang w:val="cs-CZ"/>
        </w:rPr>
        <w:t>účinnost vícenásobného podání přípravku Humira byla ověřena u</w:t>
      </w:r>
      <w:r w:rsidR="009B61F3" w:rsidRPr="001B4A02">
        <w:rPr>
          <w:lang w:val="cs-CZ"/>
        </w:rPr>
        <w:t> </w:t>
      </w:r>
      <w:r w:rsidRPr="001B4A02">
        <w:rPr>
          <w:lang w:val="cs-CZ"/>
        </w:rPr>
        <w:t>dospělých pacientů se středně těžkou až těžkou aktivní ulcerózní kolitidou (Mayo skóre 6 až 12 včetně endoskopického podskóre od 2 do 3) v randomizovaných dvojitě zaslepených placebem kontrolovaných studiích.</w:t>
      </w:r>
    </w:p>
    <w:p w14:paraId="3629D77C" w14:textId="77777777" w:rsidR="00ED3511" w:rsidRPr="001B4A02" w:rsidRDefault="00ED3511" w:rsidP="00ED48A3">
      <w:pPr>
        <w:pStyle w:val="EMEANormal"/>
        <w:tabs>
          <w:tab w:val="clear" w:pos="562"/>
          <w:tab w:val="left" w:pos="708"/>
        </w:tabs>
        <w:suppressAutoHyphens w:val="0"/>
        <w:rPr>
          <w:lang w:val="cs-CZ"/>
        </w:rPr>
      </w:pPr>
    </w:p>
    <w:p w14:paraId="7E3C76A0" w14:textId="77777777" w:rsidR="00ED3511" w:rsidRPr="001B4A02" w:rsidRDefault="00000000" w:rsidP="00ED48A3">
      <w:pPr>
        <w:ind w:left="0" w:firstLine="0"/>
      </w:pPr>
      <w:r w:rsidRPr="001B4A02">
        <w:t>Ve studii UC-I bylo zařazeno 390 pacientů v minulosti antagonisty TNF neléčených (naivních), kteří byli randomizováni do skupin, kdy jim bylo podáváno buď placebo v týdnu 0</w:t>
      </w:r>
      <w:r w:rsidR="002378E0">
        <w:t xml:space="preserve"> a </w:t>
      </w:r>
      <w:r w:rsidRPr="001B4A02">
        <w:t>2</w:t>
      </w:r>
      <w:r w:rsidR="002378E0">
        <w:t xml:space="preserve"> a </w:t>
      </w:r>
      <w:r w:rsidRPr="001B4A02">
        <w:t>160</w:t>
      </w:r>
      <w:r w:rsidR="00F365E7">
        <w:t> mg</w:t>
      </w:r>
      <w:r w:rsidRPr="001B4A02">
        <w:t xml:space="preserve"> přípravku Humira v týdnu 0</w:t>
      </w:r>
      <w:r w:rsidR="002378E0">
        <w:t xml:space="preserve"> a </w:t>
      </w:r>
      <w:r w:rsidRPr="001B4A02">
        <w:t>následně 80</w:t>
      </w:r>
      <w:r w:rsidR="00F365E7">
        <w:t> mg</w:t>
      </w:r>
      <w:r w:rsidRPr="001B4A02">
        <w:t xml:space="preserve"> v týdnu 2</w:t>
      </w:r>
      <w:r w:rsidR="002D5668" w:rsidRPr="001B4A02">
        <w:t>,</w:t>
      </w:r>
      <w:r w:rsidRPr="001B4A02">
        <w:t xml:space="preserve"> nebo 80</w:t>
      </w:r>
      <w:r w:rsidR="00F365E7">
        <w:t> mg</w:t>
      </w:r>
      <w:r w:rsidRPr="001B4A02">
        <w:t xml:space="preserve"> přípravku Humira v týdnu 0</w:t>
      </w:r>
      <w:r w:rsidR="002378E0">
        <w:t xml:space="preserve"> a </w:t>
      </w:r>
      <w:r w:rsidRPr="001B4A02">
        <w:t>následně 40</w:t>
      </w:r>
      <w:r w:rsidR="00F365E7">
        <w:t> mg</w:t>
      </w:r>
      <w:r w:rsidRPr="001B4A02">
        <w:t xml:space="preserve"> v týdnu 2. Po týdnu 2 dostávali pacienti v obou ramenech s adalimumabem dávku 40</w:t>
      </w:r>
      <w:r w:rsidR="00F365E7">
        <w:t> mg</w:t>
      </w:r>
      <w:r w:rsidRPr="001B4A02">
        <w:t xml:space="preserve"> každý druhý týden. Klinická remise (definovaná jako Mayo skóre ≤ 2 bez podskóre &gt; 1) byla hodnocena v</w:t>
      </w:r>
      <w:r w:rsidR="008A4562" w:rsidRPr="001B4A02">
        <w:t> </w:t>
      </w:r>
      <w:r w:rsidRPr="001B4A02">
        <w:t>týdnu 8.</w:t>
      </w:r>
    </w:p>
    <w:p w14:paraId="709FDC5F" w14:textId="77777777" w:rsidR="00ED3511" w:rsidRPr="001B4A02" w:rsidRDefault="00ED3511" w:rsidP="00ED48A3">
      <w:pPr>
        <w:ind w:left="0" w:firstLine="0"/>
      </w:pPr>
    </w:p>
    <w:p w14:paraId="3FD61947" w14:textId="77777777" w:rsidR="00ED3511" w:rsidRPr="001B4A02" w:rsidRDefault="00000000" w:rsidP="00ED48A3">
      <w:pPr>
        <w:ind w:left="0" w:firstLine="0"/>
      </w:pPr>
      <w:r w:rsidRPr="001B4A02">
        <w:t>Ve studii UC-II dostávalo 248 pacientů dávku 160</w:t>
      </w:r>
      <w:r w:rsidR="00F365E7">
        <w:t> mg</w:t>
      </w:r>
      <w:r w:rsidRPr="001B4A02">
        <w:t xml:space="preserve"> přípravku Humira v týdnu 0, 80</w:t>
      </w:r>
      <w:r w:rsidR="00F365E7">
        <w:t> mg</w:t>
      </w:r>
      <w:r w:rsidRPr="001B4A02">
        <w:t xml:space="preserve"> v týdnu 2</w:t>
      </w:r>
      <w:r w:rsidR="002378E0">
        <w:t xml:space="preserve"> a </w:t>
      </w:r>
      <w:r w:rsidRPr="001B4A02">
        <w:t>následně 40</w:t>
      </w:r>
      <w:r w:rsidR="00F365E7">
        <w:t> mg</w:t>
      </w:r>
      <w:r w:rsidRPr="001B4A02">
        <w:t xml:space="preserve"> každý druhý týden</w:t>
      </w:r>
      <w:r w:rsidR="002378E0">
        <w:t xml:space="preserve"> a </w:t>
      </w:r>
      <w:r w:rsidRPr="001B4A02">
        <w:t>246 pacientů dostávalo placebo. U</w:t>
      </w:r>
      <w:r w:rsidR="009B61F3" w:rsidRPr="001B4A02">
        <w:t> </w:t>
      </w:r>
      <w:r w:rsidRPr="001B4A02">
        <w:t>klinických výsledků byla hodnocena indukce remise v týdnu 8</w:t>
      </w:r>
      <w:r w:rsidR="002378E0">
        <w:t xml:space="preserve"> a </w:t>
      </w:r>
      <w:r w:rsidR="008A4562" w:rsidRPr="001B4A02">
        <w:t>přetrvávání remise do týdne 52.</w:t>
      </w:r>
    </w:p>
    <w:p w14:paraId="1394A0DF" w14:textId="77777777" w:rsidR="00ED3511" w:rsidRPr="001B4A02" w:rsidRDefault="00ED3511" w:rsidP="00ED48A3">
      <w:pPr>
        <w:ind w:left="0" w:firstLine="0"/>
      </w:pPr>
    </w:p>
    <w:p w14:paraId="47EC49F4" w14:textId="77777777" w:rsidR="00ED3511" w:rsidRPr="001B4A02" w:rsidRDefault="00000000" w:rsidP="00ED48A3">
      <w:pPr>
        <w:ind w:left="0" w:firstLine="0"/>
      </w:pPr>
      <w:r w:rsidRPr="001B4A02">
        <w:t>Pacienti, u</w:t>
      </w:r>
      <w:r w:rsidR="009B61F3" w:rsidRPr="001B4A02">
        <w:t> </w:t>
      </w:r>
      <w:r w:rsidRPr="001B4A02">
        <w:t>nichž byla léčba zahájena dávkou 160/80</w:t>
      </w:r>
      <w:r w:rsidR="00F365E7">
        <w:t> mg</w:t>
      </w:r>
      <w:r w:rsidRPr="001B4A02">
        <w:t xml:space="preserve"> přípravku Humira, dosáhli klinické remise v</w:t>
      </w:r>
      <w:r w:rsidR="008A4562" w:rsidRPr="001B4A02">
        <w:t> </w:t>
      </w:r>
      <w:r w:rsidRPr="001B4A02">
        <w:t>týdnu 8 v signifikantně vyšším procentu v porovnání s placebem,</w:t>
      </w:r>
      <w:r w:rsidR="002378E0">
        <w:t xml:space="preserve"> a </w:t>
      </w:r>
      <w:r w:rsidRPr="001B4A02">
        <w:t>to jak ve studii UC-I, kde remise dosáhlo 18</w:t>
      </w:r>
      <w:r w:rsidR="0045502F" w:rsidRPr="001B4A02">
        <w:t> </w:t>
      </w:r>
      <w:r w:rsidRPr="001B4A02">
        <w:t>% pacientů léčených přípravkem Humira versus 9</w:t>
      </w:r>
      <w:r w:rsidR="0045502F" w:rsidRPr="001B4A02">
        <w:t> </w:t>
      </w:r>
      <w:r w:rsidRPr="001B4A02">
        <w:t>% pacientů léčených placebem (p=0,031), tak ve studii UC-II, kde remise dosáhlo 17</w:t>
      </w:r>
      <w:r w:rsidR="0045502F" w:rsidRPr="001B4A02">
        <w:t> </w:t>
      </w:r>
      <w:r w:rsidRPr="001B4A02">
        <w:t>% pacientů léčených přípravkem Humira versus 9</w:t>
      </w:r>
      <w:r w:rsidR="0045502F" w:rsidRPr="001B4A02">
        <w:t> </w:t>
      </w:r>
      <w:r w:rsidRPr="001B4A02">
        <w:t>% pacientů léčených placebem (p=0,019). U</w:t>
      </w:r>
      <w:r w:rsidR="009B61F3" w:rsidRPr="001B4A02">
        <w:t> </w:t>
      </w:r>
      <w:r w:rsidRPr="001B4A02">
        <w:t>21 ze 41 subjektů (51</w:t>
      </w:r>
      <w:r w:rsidR="0045502F" w:rsidRPr="001B4A02">
        <w:t> </w:t>
      </w:r>
      <w:r w:rsidRPr="001B4A02">
        <w:t>%), jimž byl ve studii UC-II podáván přípravek Humira</w:t>
      </w:r>
      <w:r w:rsidR="002378E0">
        <w:t xml:space="preserve"> a </w:t>
      </w:r>
      <w:r w:rsidRPr="001B4A02">
        <w:t>kte</w:t>
      </w:r>
      <w:r w:rsidR="009E024F">
        <w:t>ré</w:t>
      </w:r>
      <w:r w:rsidRPr="001B4A02">
        <w:t xml:space="preserve"> dosáhl</w:t>
      </w:r>
      <w:r w:rsidR="009E024F">
        <w:t>y</w:t>
      </w:r>
      <w:r w:rsidRPr="001B4A02">
        <w:t xml:space="preserve"> remise v týdnu 8, bylo dosaženo remise i v týdnu 52.</w:t>
      </w:r>
    </w:p>
    <w:p w14:paraId="4EDDDF4B" w14:textId="77777777" w:rsidR="00ED3511" w:rsidRPr="001B4A02" w:rsidRDefault="00ED3511" w:rsidP="00ED48A3">
      <w:pPr>
        <w:ind w:left="0" w:firstLine="0"/>
      </w:pPr>
    </w:p>
    <w:p w14:paraId="30CC2F4B" w14:textId="77777777" w:rsidR="00ED3511" w:rsidRPr="001B4A02" w:rsidRDefault="00000000" w:rsidP="00ED48A3">
      <w:pPr>
        <w:ind w:left="0" w:firstLine="0"/>
      </w:pPr>
      <w:r w:rsidRPr="001B4A02">
        <w:t xml:space="preserve">Výsledky z celé populace studie UC-II jsou zobrazeny v tabulce </w:t>
      </w:r>
      <w:r w:rsidR="002A0AEB">
        <w:t>23</w:t>
      </w:r>
      <w:r w:rsidRPr="001B4A02">
        <w:t>.</w:t>
      </w:r>
    </w:p>
    <w:p w14:paraId="243F0B11" w14:textId="77777777" w:rsidR="00ED3511" w:rsidRPr="001B4A02" w:rsidRDefault="00ED3511" w:rsidP="00ED48A3">
      <w:pPr>
        <w:ind w:left="0" w:firstLine="0"/>
      </w:pPr>
    </w:p>
    <w:p w14:paraId="21985535" w14:textId="77777777" w:rsidR="00ED3511" w:rsidRPr="001B4A02" w:rsidRDefault="00000000" w:rsidP="00ED48A3">
      <w:pPr>
        <w:keepNext/>
        <w:ind w:left="0" w:firstLine="0"/>
        <w:jc w:val="center"/>
        <w:rPr>
          <w:b/>
        </w:rPr>
      </w:pPr>
      <w:r w:rsidRPr="001B4A02">
        <w:rPr>
          <w:b/>
        </w:rPr>
        <w:t xml:space="preserve">Tabulka </w:t>
      </w:r>
      <w:r w:rsidR="002A0AEB">
        <w:rPr>
          <w:b/>
        </w:rPr>
        <w:t>23</w:t>
      </w:r>
    </w:p>
    <w:p w14:paraId="6C099769" w14:textId="77777777" w:rsidR="00ED3511" w:rsidRPr="001B4A02" w:rsidRDefault="00000000" w:rsidP="00ED48A3">
      <w:pPr>
        <w:keepNext/>
        <w:ind w:left="0" w:firstLine="0"/>
        <w:jc w:val="center"/>
        <w:rPr>
          <w:b/>
        </w:rPr>
      </w:pPr>
      <w:r w:rsidRPr="001B4A02">
        <w:rPr>
          <w:b/>
        </w:rPr>
        <w:t>Odpovědi, remise</w:t>
      </w:r>
      <w:r w:rsidR="002378E0">
        <w:rPr>
          <w:b/>
        </w:rPr>
        <w:t xml:space="preserve"> a </w:t>
      </w:r>
      <w:r w:rsidRPr="001B4A02">
        <w:rPr>
          <w:b/>
        </w:rPr>
        <w:t>slizniční hojení ve studii UC-II</w:t>
      </w:r>
    </w:p>
    <w:p w14:paraId="47028A16" w14:textId="77777777" w:rsidR="00ED3511" w:rsidRPr="001B4A02" w:rsidRDefault="00000000" w:rsidP="00ED48A3">
      <w:pPr>
        <w:keepNext/>
        <w:ind w:left="0" w:firstLine="0"/>
        <w:jc w:val="center"/>
      </w:pPr>
      <w:r w:rsidRPr="001B4A02">
        <w:rPr>
          <w:b/>
        </w:rPr>
        <w:t>(</w:t>
      </w:r>
      <w:r w:rsidR="00F51027" w:rsidRPr="001B4A02">
        <w:rPr>
          <w:b/>
        </w:rPr>
        <w:t>P</w:t>
      </w:r>
      <w:r w:rsidRPr="001B4A02">
        <w:rPr>
          <w:b/>
        </w:rPr>
        <w:t>rocento pacientů)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4"/>
        <w:gridCol w:w="3018"/>
        <w:gridCol w:w="3019"/>
      </w:tblGrid>
      <w:tr w:rsidR="00534A2D" w14:paraId="77F2DAB2" w14:textId="77777777" w:rsidTr="00FB32B8">
        <w:tc>
          <w:tcPr>
            <w:tcW w:w="3070" w:type="dxa"/>
            <w:shd w:val="clear" w:color="auto" w:fill="auto"/>
          </w:tcPr>
          <w:p w14:paraId="47783A0B" w14:textId="77777777" w:rsidR="000D4B6E" w:rsidRPr="001B4A02" w:rsidRDefault="000D4B6E" w:rsidP="00ED48A3">
            <w:pPr>
              <w:keepNext/>
              <w:ind w:left="0" w:firstLine="0"/>
              <w:jc w:val="center"/>
            </w:pPr>
          </w:p>
        </w:tc>
        <w:tc>
          <w:tcPr>
            <w:tcW w:w="3070" w:type="dxa"/>
            <w:shd w:val="clear" w:color="auto" w:fill="auto"/>
          </w:tcPr>
          <w:p w14:paraId="6A579FD8" w14:textId="77777777" w:rsidR="000D4B6E" w:rsidRPr="001B4A02" w:rsidRDefault="00000000" w:rsidP="00ED48A3">
            <w:pPr>
              <w:keepNext/>
              <w:ind w:left="0" w:firstLine="0"/>
              <w:jc w:val="center"/>
            </w:pPr>
            <w:r w:rsidRPr="001B4A02">
              <w:t>Placebo</w:t>
            </w:r>
          </w:p>
        </w:tc>
        <w:tc>
          <w:tcPr>
            <w:tcW w:w="3071" w:type="dxa"/>
            <w:shd w:val="clear" w:color="auto" w:fill="auto"/>
          </w:tcPr>
          <w:p w14:paraId="3E9C183B" w14:textId="77777777" w:rsidR="000D4B6E" w:rsidRPr="001B4A02" w:rsidRDefault="00000000" w:rsidP="00ED48A3">
            <w:pPr>
              <w:keepNext/>
              <w:ind w:left="0" w:firstLine="0"/>
              <w:jc w:val="center"/>
            </w:pPr>
            <w:r w:rsidRPr="001B4A02">
              <w:t>Humira 40</w:t>
            </w:r>
            <w:r w:rsidR="00F365E7">
              <w:t> mg</w:t>
            </w:r>
          </w:p>
          <w:p w14:paraId="055A6575" w14:textId="77777777" w:rsidR="000D4B6E" w:rsidRPr="001B4A02" w:rsidRDefault="00000000" w:rsidP="00ED48A3">
            <w:pPr>
              <w:keepNext/>
              <w:ind w:left="0" w:firstLine="0"/>
              <w:jc w:val="center"/>
            </w:pPr>
            <w:r w:rsidRPr="001B4A02">
              <w:t>každý druhý týden</w:t>
            </w:r>
          </w:p>
        </w:tc>
      </w:tr>
      <w:tr w:rsidR="00534A2D" w14:paraId="7B205282" w14:textId="77777777" w:rsidTr="00187CC8">
        <w:tc>
          <w:tcPr>
            <w:tcW w:w="3070" w:type="dxa"/>
            <w:shd w:val="clear" w:color="auto" w:fill="auto"/>
          </w:tcPr>
          <w:p w14:paraId="3ABCCA69" w14:textId="77777777" w:rsidR="00ED3511" w:rsidRPr="001B4A02" w:rsidRDefault="00000000" w:rsidP="00ED48A3">
            <w:pPr>
              <w:keepNext/>
              <w:ind w:left="0" w:firstLine="0"/>
              <w:jc w:val="center"/>
              <w:rPr>
                <w:b/>
              </w:rPr>
            </w:pPr>
            <w:r w:rsidRPr="001B4A02">
              <w:rPr>
                <w:b/>
              </w:rPr>
              <w:t>Týden 52</w:t>
            </w:r>
          </w:p>
        </w:tc>
        <w:tc>
          <w:tcPr>
            <w:tcW w:w="3070" w:type="dxa"/>
            <w:shd w:val="clear" w:color="auto" w:fill="auto"/>
          </w:tcPr>
          <w:p w14:paraId="77ADFFC6" w14:textId="77777777" w:rsidR="00ED3511" w:rsidRPr="001B4A02" w:rsidRDefault="00000000" w:rsidP="00ED48A3">
            <w:pPr>
              <w:keepNext/>
              <w:ind w:left="0" w:firstLine="0"/>
              <w:jc w:val="center"/>
              <w:rPr>
                <w:b/>
              </w:rPr>
            </w:pPr>
            <w:r>
              <w:rPr>
                <w:b/>
              </w:rPr>
              <w:t>n</w:t>
            </w:r>
            <w:r w:rsidRPr="001B4A02">
              <w:rPr>
                <w:b/>
              </w:rPr>
              <w:t>=246</w:t>
            </w:r>
          </w:p>
        </w:tc>
        <w:tc>
          <w:tcPr>
            <w:tcW w:w="3071" w:type="dxa"/>
            <w:shd w:val="clear" w:color="auto" w:fill="auto"/>
          </w:tcPr>
          <w:p w14:paraId="693A42C4" w14:textId="77777777" w:rsidR="00ED3511" w:rsidRPr="001B4A02" w:rsidRDefault="00000000" w:rsidP="00ED48A3">
            <w:pPr>
              <w:keepNext/>
              <w:ind w:left="0" w:firstLine="0"/>
              <w:jc w:val="center"/>
              <w:rPr>
                <w:b/>
              </w:rPr>
            </w:pPr>
            <w:r>
              <w:rPr>
                <w:b/>
              </w:rPr>
              <w:t>n</w:t>
            </w:r>
            <w:r w:rsidRPr="001B4A02">
              <w:rPr>
                <w:b/>
              </w:rPr>
              <w:t>=248</w:t>
            </w:r>
          </w:p>
        </w:tc>
      </w:tr>
      <w:tr w:rsidR="00534A2D" w14:paraId="45759296" w14:textId="77777777" w:rsidTr="00187CC8">
        <w:tc>
          <w:tcPr>
            <w:tcW w:w="3070" w:type="dxa"/>
            <w:shd w:val="clear" w:color="auto" w:fill="auto"/>
          </w:tcPr>
          <w:p w14:paraId="220A485A" w14:textId="77777777" w:rsidR="00ED3511" w:rsidRPr="001B4A02" w:rsidRDefault="00000000" w:rsidP="00ED48A3">
            <w:pPr>
              <w:keepNext/>
              <w:ind w:left="0" w:firstLine="0"/>
            </w:pPr>
            <w:r w:rsidRPr="001B4A02">
              <w:t>Klinická odpověď</w:t>
            </w:r>
          </w:p>
        </w:tc>
        <w:tc>
          <w:tcPr>
            <w:tcW w:w="3070" w:type="dxa"/>
            <w:shd w:val="clear" w:color="auto" w:fill="auto"/>
          </w:tcPr>
          <w:p w14:paraId="7F8679BC" w14:textId="77777777" w:rsidR="00ED3511" w:rsidRPr="001B4A02" w:rsidRDefault="00000000" w:rsidP="00ED48A3">
            <w:pPr>
              <w:keepNext/>
              <w:ind w:left="0" w:firstLine="0"/>
              <w:jc w:val="center"/>
            </w:pPr>
            <w:r w:rsidRPr="001B4A02">
              <w:t>18</w:t>
            </w:r>
            <w:r w:rsidR="0045502F" w:rsidRPr="001B4A02">
              <w:t> </w:t>
            </w:r>
            <w:r w:rsidRPr="001B4A02">
              <w:t>%</w:t>
            </w:r>
          </w:p>
        </w:tc>
        <w:tc>
          <w:tcPr>
            <w:tcW w:w="3071" w:type="dxa"/>
            <w:shd w:val="clear" w:color="auto" w:fill="auto"/>
          </w:tcPr>
          <w:p w14:paraId="64F927B7" w14:textId="77777777" w:rsidR="00ED3511" w:rsidRPr="001B4A02" w:rsidRDefault="00000000" w:rsidP="00ED48A3">
            <w:pPr>
              <w:keepNext/>
              <w:ind w:left="0" w:firstLine="0"/>
              <w:jc w:val="center"/>
            </w:pPr>
            <w:r w:rsidRPr="001B4A02">
              <w:t>30</w:t>
            </w:r>
            <w:r w:rsidR="0045502F" w:rsidRPr="001B4A02">
              <w:t> </w:t>
            </w:r>
            <w:r w:rsidRPr="001B4A02">
              <w:t>%*</w:t>
            </w:r>
          </w:p>
        </w:tc>
      </w:tr>
      <w:tr w:rsidR="00534A2D" w14:paraId="1803587B" w14:textId="77777777" w:rsidTr="00187CC8">
        <w:tc>
          <w:tcPr>
            <w:tcW w:w="3070" w:type="dxa"/>
            <w:shd w:val="clear" w:color="auto" w:fill="auto"/>
          </w:tcPr>
          <w:p w14:paraId="4A856F0A" w14:textId="77777777" w:rsidR="00ED3511" w:rsidRPr="001B4A02" w:rsidRDefault="00000000" w:rsidP="00ED48A3">
            <w:pPr>
              <w:keepNext/>
              <w:ind w:left="0" w:firstLine="0"/>
            </w:pPr>
            <w:r w:rsidRPr="001B4A02">
              <w:t>Klinická remise</w:t>
            </w:r>
          </w:p>
        </w:tc>
        <w:tc>
          <w:tcPr>
            <w:tcW w:w="3070" w:type="dxa"/>
            <w:shd w:val="clear" w:color="auto" w:fill="auto"/>
          </w:tcPr>
          <w:p w14:paraId="7C01B7B5" w14:textId="77777777" w:rsidR="00ED3511" w:rsidRPr="001B4A02" w:rsidRDefault="00000000" w:rsidP="00ED48A3">
            <w:pPr>
              <w:keepNext/>
              <w:ind w:left="0" w:firstLine="0"/>
              <w:jc w:val="center"/>
            </w:pPr>
            <w:r w:rsidRPr="001B4A02">
              <w:t>9</w:t>
            </w:r>
            <w:r w:rsidR="0045502F" w:rsidRPr="001B4A02">
              <w:t> </w:t>
            </w:r>
            <w:r w:rsidRPr="001B4A02">
              <w:t>%</w:t>
            </w:r>
          </w:p>
        </w:tc>
        <w:tc>
          <w:tcPr>
            <w:tcW w:w="3071" w:type="dxa"/>
            <w:shd w:val="clear" w:color="auto" w:fill="auto"/>
          </w:tcPr>
          <w:p w14:paraId="68F19C3A" w14:textId="77777777" w:rsidR="00ED3511" w:rsidRPr="001B4A02" w:rsidRDefault="00000000" w:rsidP="00ED48A3">
            <w:pPr>
              <w:keepNext/>
              <w:ind w:left="0" w:firstLine="0"/>
              <w:jc w:val="center"/>
            </w:pPr>
            <w:r w:rsidRPr="001B4A02">
              <w:t>17</w:t>
            </w:r>
            <w:r w:rsidR="0045502F" w:rsidRPr="001B4A02">
              <w:t> </w:t>
            </w:r>
            <w:r w:rsidRPr="001B4A02">
              <w:t>%*</w:t>
            </w:r>
          </w:p>
        </w:tc>
      </w:tr>
      <w:tr w:rsidR="00534A2D" w14:paraId="4924C73B" w14:textId="77777777" w:rsidTr="00187CC8">
        <w:tc>
          <w:tcPr>
            <w:tcW w:w="3070" w:type="dxa"/>
            <w:shd w:val="clear" w:color="auto" w:fill="auto"/>
          </w:tcPr>
          <w:p w14:paraId="53662061" w14:textId="77777777" w:rsidR="00ED3511" w:rsidRPr="001B4A02" w:rsidRDefault="00000000" w:rsidP="00ED48A3">
            <w:pPr>
              <w:keepNext/>
              <w:ind w:left="0" w:firstLine="0"/>
            </w:pPr>
            <w:r w:rsidRPr="001B4A02">
              <w:t>Sliziniční hojení</w:t>
            </w:r>
          </w:p>
        </w:tc>
        <w:tc>
          <w:tcPr>
            <w:tcW w:w="3070" w:type="dxa"/>
            <w:shd w:val="clear" w:color="auto" w:fill="auto"/>
          </w:tcPr>
          <w:p w14:paraId="0FF4FDD6" w14:textId="77777777" w:rsidR="00ED3511" w:rsidRPr="001B4A02" w:rsidRDefault="00000000" w:rsidP="00ED48A3">
            <w:pPr>
              <w:keepNext/>
              <w:ind w:left="0" w:firstLine="0"/>
              <w:jc w:val="center"/>
            </w:pPr>
            <w:r w:rsidRPr="001B4A02">
              <w:t>15</w:t>
            </w:r>
            <w:r w:rsidR="0045502F" w:rsidRPr="001B4A02">
              <w:t> </w:t>
            </w:r>
            <w:r w:rsidRPr="001B4A02">
              <w:t>%</w:t>
            </w:r>
          </w:p>
        </w:tc>
        <w:tc>
          <w:tcPr>
            <w:tcW w:w="3071" w:type="dxa"/>
            <w:shd w:val="clear" w:color="auto" w:fill="auto"/>
          </w:tcPr>
          <w:p w14:paraId="44BAB0FE" w14:textId="77777777" w:rsidR="00ED3511" w:rsidRPr="001B4A02" w:rsidRDefault="00000000" w:rsidP="00ED48A3">
            <w:pPr>
              <w:keepNext/>
              <w:ind w:left="0" w:firstLine="0"/>
              <w:jc w:val="center"/>
            </w:pPr>
            <w:r w:rsidRPr="001B4A02">
              <w:t>25</w:t>
            </w:r>
            <w:r w:rsidR="0045502F" w:rsidRPr="001B4A02">
              <w:t> </w:t>
            </w:r>
            <w:r w:rsidRPr="001B4A02">
              <w:t>%*</w:t>
            </w:r>
          </w:p>
        </w:tc>
      </w:tr>
      <w:tr w:rsidR="00534A2D" w14:paraId="064A9E07" w14:textId="77777777" w:rsidTr="00187CC8">
        <w:tc>
          <w:tcPr>
            <w:tcW w:w="3070" w:type="dxa"/>
            <w:shd w:val="clear" w:color="auto" w:fill="auto"/>
          </w:tcPr>
          <w:p w14:paraId="22FBFCCD" w14:textId="77777777" w:rsidR="00ED3511" w:rsidRPr="001B4A02" w:rsidRDefault="00000000" w:rsidP="00ED48A3">
            <w:pPr>
              <w:keepNext/>
              <w:ind w:left="0" w:firstLine="0"/>
            </w:pPr>
            <w:r w:rsidRPr="001B4A02">
              <w:t>Remise bez steroidů po ≥ 90 dní</w:t>
            </w:r>
            <w:r w:rsidRPr="001B4A02">
              <w:rPr>
                <w:vertAlign w:val="superscript"/>
              </w:rPr>
              <w:t xml:space="preserve">a </w:t>
            </w:r>
          </w:p>
        </w:tc>
        <w:tc>
          <w:tcPr>
            <w:tcW w:w="3070" w:type="dxa"/>
            <w:shd w:val="clear" w:color="auto" w:fill="auto"/>
          </w:tcPr>
          <w:p w14:paraId="381DFA32" w14:textId="77777777" w:rsidR="00ED3511" w:rsidRPr="001B4A02" w:rsidRDefault="00000000" w:rsidP="00ED48A3">
            <w:pPr>
              <w:keepNext/>
              <w:ind w:left="0" w:firstLine="0"/>
              <w:jc w:val="center"/>
            </w:pPr>
            <w:r w:rsidRPr="001B4A02">
              <w:t>6</w:t>
            </w:r>
            <w:r w:rsidR="0045502F" w:rsidRPr="001B4A02">
              <w:t> </w:t>
            </w:r>
            <w:r w:rsidRPr="001B4A02">
              <w:t>%</w:t>
            </w:r>
          </w:p>
          <w:p w14:paraId="71143311" w14:textId="77777777" w:rsidR="00ED3511" w:rsidRPr="001B4A02" w:rsidRDefault="00000000" w:rsidP="00ED48A3">
            <w:pPr>
              <w:keepNext/>
              <w:ind w:left="0" w:firstLine="0"/>
              <w:jc w:val="center"/>
            </w:pPr>
            <w:r w:rsidRPr="001B4A02">
              <w:t>(</w:t>
            </w:r>
            <w:r w:rsidR="004E7C2A">
              <w:t>n</w:t>
            </w:r>
            <w:r w:rsidRPr="001B4A02">
              <w:t>=140)</w:t>
            </w:r>
          </w:p>
        </w:tc>
        <w:tc>
          <w:tcPr>
            <w:tcW w:w="3071" w:type="dxa"/>
            <w:shd w:val="clear" w:color="auto" w:fill="auto"/>
          </w:tcPr>
          <w:p w14:paraId="2EF80A63" w14:textId="77777777" w:rsidR="00ED3511" w:rsidRPr="001B4A02" w:rsidRDefault="00000000" w:rsidP="00ED48A3">
            <w:pPr>
              <w:keepNext/>
              <w:ind w:left="0" w:firstLine="0"/>
              <w:jc w:val="center"/>
            </w:pPr>
            <w:r w:rsidRPr="001B4A02">
              <w:t>13</w:t>
            </w:r>
            <w:r w:rsidR="0045502F" w:rsidRPr="001B4A02">
              <w:t> </w:t>
            </w:r>
            <w:r w:rsidRPr="001B4A02">
              <w:t>%*</w:t>
            </w:r>
          </w:p>
          <w:p w14:paraId="7CB35180" w14:textId="77777777" w:rsidR="00ED3511" w:rsidRPr="001B4A02" w:rsidRDefault="00000000" w:rsidP="00ED48A3">
            <w:pPr>
              <w:keepNext/>
              <w:ind w:left="0" w:firstLine="0"/>
              <w:jc w:val="center"/>
            </w:pPr>
            <w:r w:rsidRPr="001B4A02">
              <w:t>(</w:t>
            </w:r>
            <w:r w:rsidR="004E7C2A">
              <w:t>n</w:t>
            </w:r>
            <w:r w:rsidRPr="001B4A02">
              <w:t>=150)</w:t>
            </w:r>
          </w:p>
        </w:tc>
      </w:tr>
      <w:tr w:rsidR="00534A2D" w14:paraId="476D7055" w14:textId="77777777" w:rsidTr="00187CC8">
        <w:tc>
          <w:tcPr>
            <w:tcW w:w="3070" w:type="dxa"/>
            <w:shd w:val="clear" w:color="auto" w:fill="auto"/>
          </w:tcPr>
          <w:p w14:paraId="779D3633" w14:textId="77777777" w:rsidR="00ED3511" w:rsidRPr="001B4A02" w:rsidRDefault="00000000" w:rsidP="00ED48A3">
            <w:pPr>
              <w:keepNext/>
              <w:ind w:left="0" w:firstLine="0"/>
              <w:jc w:val="center"/>
              <w:rPr>
                <w:b/>
              </w:rPr>
            </w:pPr>
            <w:r w:rsidRPr="001B4A02">
              <w:rPr>
                <w:b/>
              </w:rPr>
              <w:t>Týden 8</w:t>
            </w:r>
            <w:r w:rsidR="002378E0">
              <w:rPr>
                <w:b/>
              </w:rPr>
              <w:t xml:space="preserve"> a </w:t>
            </w:r>
            <w:r w:rsidRPr="001B4A02">
              <w:rPr>
                <w:b/>
              </w:rPr>
              <w:t>52</w:t>
            </w:r>
          </w:p>
        </w:tc>
        <w:tc>
          <w:tcPr>
            <w:tcW w:w="6141" w:type="dxa"/>
            <w:gridSpan w:val="2"/>
            <w:shd w:val="clear" w:color="auto" w:fill="auto"/>
          </w:tcPr>
          <w:p w14:paraId="6535438D" w14:textId="77777777" w:rsidR="00ED3511" w:rsidRPr="001B4A02" w:rsidRDefault="00ED3511" w:rsidP="00ED48A3">
            <w:pPr>
              <w:keepNext/>
              <w:ind w:left="0" w:firstLine="0"/>
              <w:jc w:val="center"/>
            </w:pPr>
          </w:p>
        </w:tc>
      </w:tr>
      <w:tr w:rsidR="00534A2D" w14:paraId="2C6C9ED6" w14:textId="77777777" w:rsidTr="00187CC8">
        <w:tc>
          <w:tcPr>
            <w:tcW w:w="3070" w:type="dxa"/>
            <w:shd w:val="clear" w:color="auto" w:fill="auto"/>
          </w:tcPr>
          <w:p w14:paraId="4C7B4D3C" w14:textId="77777777" w:rsidR="00ED3511" w:rsidRPr="001B4A02" w:rsidRDefault="00000000" w:rsidP="00ED48A3">
            <w:pPr>
              <w:keepNext/>
              <w:ind w:left="0" w:firstLine="0"/>
            </w:pPr>
            <w:r w:rsidRPr="001B4A02">
              <w:t>Udržení odpovědi</w:t>
            </w:r>
          </w:p>
        </w:tc>
        <w:tc>
          <w:tcPr>
            <w:tcW w:w="3070" w:type="dxa"/>
            <w:shd w:val="clear" w:color="auto" w:fill="auto"/>
          </w:tcPr>
          <w:p w14:paraId="314EE744" w14:textId="77777777" w:rsidR="00ED3511" w:rsidRPr="001B4A02" w:rsidRDefault="00000000" w:rsidP="00ED48A3">
            <w:pPr>
              <w:keepNext/>
              <w:ind w:left="0" w:firstLine="0"/>
              <w:jc w:val="center"/>
            </w:pPr>
            <w:r w:rsidRPr="001B4A02">
              <w:t>12</w:t>
            </w:r>
            <w:r w:rsidR="0045502F" w:rsidRPr="001B4A02">
              <w:t> </w:t>
            </w:r>
            <w:r w:rsidRPr="001B4A02">
              <w:t>%</w:t>
            </w:r>
          </w:p>
        </w:tc>
        <w:tc>
          <w:tcPr>
            <w:tcW w:w="3071" w:type="dxa"/>
            <w:shd w:val="clear" w:color="auto" w:fill="auto"/>
          </w:tcPr>
          <w:p w14:paraId="3B0AE7D5" w14:textId="77777777" w:rsidR="00ED3511" w:rsidRPr="001B4A02" w:rsidRDefault="00000000" w:rsidP="00ED48A3">
            <w:pPr>
              <w:keepNext/>
              <w:ind w:left="0" w:firstLine="0"/>
              <w:jc w:val="center"/>
            </w:pPr>
            <w:r w:rsidRPr="001B4A02">
              <w:t>24</w:t>
            </w:r>
            <w:r w:rsidR="0045502F" w:rsidRPr="001B4A02">
              <w:t> </w:t>
            </w:r>
            <w:r w:rsidRPr="001B4A02">
              <w:t>%**</w:t>
            </w:r>
          </w:p>
        </w:tc>
      </w:tr>
      <w:tr w:rsidR="00534A2D" w14:paraId="013386D0" w14:textId="77777777" w:rsidTr="00187CC8">
        <w:tc>
          <w:tcPr>
            <w:tcW w:w="3070" w:type="dxa"/>
            <w:shd w:val="clear" w:color="auto" w:fill="auto"/>
          </w:tcPr>
          <w:p w14:paraId="5E164405" w14:textId="77777777" w:rsidR="00ED3511" w:rsidRPr="001B4A02" w:rsidRDefault="00000000" w:rsidP="00ED48A3">
            <w:pPr>
              <w:keepNext/>
              <w:ind w:left="0" w:firstLine="0"/>
            </w:pPr>
            <w:r w:rsidRPr="001B4A02">
              <w:t>Udržení remise</w:t>
            </w:r>
          </w:p>
        </w:tc>
        <w:tc>
          <w:tcPr>
            <w:tcW w:w="3070" w:type="dxa"/>
            <w:shd w:val="clear" w:color="auto" w:fill="auto"/>
          </w:tcPr>
          <w:p w14:paraId="173C4A36" w14:textId="77777777" w:rsidR="00ED3511" w:rsidRPr="001B4A02" w:rsidRDefault="00000000" w:rsidP="00ED48A3">
            <w:pPr>
              <w:keepNext/>
              <w:ind w:left="0" w:firstLine="0"/>
              <w:jc w:val="center"/>
            </w:pPr>
            <w:r w:rsidRPr="001B4A02">
              <w:t>4</w:t>
            </w:r>
            <w:r w:rsidR="0045502F" w:rsidRPr="001B4A02">
              <w:t> </w:t>
            </w:r>
            <w:r w:rsidRPr="001B4A02">
              <w:t>%</w:t>
            </w:r>
          </w:p>
        </w:tc>
        <w:tc>
          <w:tcPr>
            <w:tcW w:w="3071" w:type="dxa"/>
            <w:shd w:val="clear" w:color="auto" w:fill="auto"/>
          </w:tcPr>
          <w:p w14:paraId="7EF7BDA6" w14:textId="77777777" w:rsidR="00ED3511" w:rsidRPr="001B4A02" w:rsidRDefault="00000000" w:rsidP="00ED48A3">
            <w:pPr>
              <w:keepNext/>
              <w:ind w:left="0" w:firstLine="0"/>
              <w:jc w:val="center"/>
            </w:pPr>
            <w:r w:rsidRPr="001B4A02">
              <w:t>8</w:t>
            </w:r>
            <w:r w:rsidR="0045502F" w:rsidRPr="001B4A02">
              <w:t> </w:t>
            </w:r>
            <w:r w:rsidRPr="001B4A02">
              <w:t>%*</w:t>
            </w:r>
          </w:p>
        </w:tc>
      </w:tr>
      <w:tr w:rsidR="00534A2D" w14:paraId="0F622304" w14:textId="77777777" w:rsidTr="00187CC8">
        <w:tc>
          <w:tcPr>
            <w:tcW w:w="3070" w:type="dxa"/>
            <w:shd w:val="clear" w:color="auto" w:fill="auto"/>
          </w:tcPr>
          <w:p w14:paraId="30C796A1" w14:textId="77777777" w:rsidR="00ED3511" w:rsidRPr="001B4A02" w:rsidRDefault="00000000" w:rsidP="00ED48A3">
            <w:pPr>
              <w:keepNext/>
              <w:ind w:left="0" w:firstLine="0"/>
            </w:pPr>
            <w:r w:rsidRPr="001B4A02">
              <w:t>Udržení slizničního hojení</w:t>
            </w:r>
          </w:p>
        </w:tc>
        <w:tc>
          <w:tcPr>
            <w:tcW w:w="3070" w:type="dxa"/>
            <w:shd w:val="clear" w:color="auto" w:fill="auto"/>
          </w:tcPr>
          <w:p w14:paraId="73EA79C0" w14:textId="77777777" w:rsidR="00ED3511" w:rsidRPr="001B4A02" w:rsidRDefault="00000000" w:rsidP="00ED48A3">
            <w:pPr>
              <w:keepNext/>
              <w:ind w:left="0" w:firstLine="0"/>
              <w:jc w:val="center"/>
            </w:pPr>
            <w:r w:rsidRPr="001B4A02">
              <w:t>11</w:t>
            </w:r>
            <w:r w:rsidR="0045502F" w:rsidRPr="001B4A02">
              <w:t> </w:t>
            </w:r>
            <w:r w:rsidRPr="001B4A02">
              <w:t>%</w:t>
            </w:r>
          </w:p>
        </w:tc>
        <w:tc>
          <w:tcPr>
            <w:tcW w:w="3071" w:type="dxa"/>
            <w:shd w:val="clear" w:color="auto" w:fill="auto"/>
          </w:tcPr>
          <w:p w14:paraId="054DA93C" w14:textId="77777777" w:rsidR="00ED3511" w:rsidRPr="001B4A02" w:rsidRDefault="00000000" w:rsidP="00ED48A3">
            <w:pPr>
              <w:keepNext/>
              <w:ind w:left="0" w:firstLine="0"/>
              <w:jc w:val="center"/>
            </w:pPr>
            <w:r w:rsidRPr="001B4A02">
              <w:t>19</w:t>
            </w:r>
            <w:r w:rsidR="0045502F" w:rsidRPr="001B4A02">
              <w:t> </w:t>
            </w:r>
            <w:r w:rsidRPr="001B4A02">
              <w:t>%*</w:t>
            </w:r>
          </w:p>
        </w:tc>
      </w:tr>
    </w:tbl>
    <w:p w14:paraId="42E5F71E" w14:textId="77777777" w:rsidR="00ED3511" w:rsidRPr="001B4A02" w:rsidRDefault="00000000" w:rsidP="00ED48A3">
      <w:pPr>
        <w:keepNext/>
        <w:ind w:left="0" w:firstLine="0"/>
        <w:rPr>
          <w:sz w:val="20"/>
        </w:rPr>
      </w:pPr>
      <w:r w:rsidRPr="001B4A02">
        <w:rPr>
          <w:sz w:val="20"/>
        </w:rPr>
        <w:t>Klinická remise je definována jako Mayo skóre ≤ 2 bez podskóre &gt; 1;</w:t>
      </w:r>
    </w:p>
    <w:p w14:paraId="0B460940" w14:textId="77777777" w:rsidR="00ED3511" w:rsidRPr="001B4A02" w:rsidRDefault="00000000" w:rsidP="00ED48A3">
      <w:pPr>
        <w:keepNext/>
        <w:ind w:left="0" w:firstLine="0"/>
        <w:rPr>
          <w:sz w:val="20"/>
        </w:rPr>
      </w:pPr>
      <w:r w:rsidRPr="001B4A02">
        <w:rPr>
          <w:sz w:val="20"/>
        </w:rPr>
        <w:t>Klinická odpověď je snížení oproti výchozímu s</w:t>
      </w:r>
      <w:r w:rsidR="00D6542D" w:rsidRPr="001B4A02">
        <w:rPr>
          <w:sz w:val="20"/>
        </w:rPr>
        <w:t>tavu v Mayo skóre</w:t>
      </w:r>
      <w:r w:rsidRPr="001B4A02">
        <w:rPr>
          <w:sz w:val="20"/>
        </w:rPr>
        <w:t xml:space="preserve"> </w:t>
      </w:r>
      <w:r w:rsidRPr="001B4A02">
        <w:rPr>
          <w:rFonts w:eastAsia="Arial Unicode MS"/>
        </w:rPr>
        <w:t xml:space="preserve">≥ </w:t>
      </w:r>
      <w:r w:rsidRPr="001B4A02">
        <w:rPr>
          <w:sz w:val="20"/>
        </w:rPr>
        <w:t>3 body</w:t>
      </w:r>
      <w:r w:rsidR="002378E0">
        <w:rPr>
          <w:sz w:val="20"/>
        </w:rPr>
        <w:t xml:space="preserve"> a </w:t>
      </w:r>
      <w:r w:rsidRPr="001B4A02">
        <w:rPr>
          <w:rFonts w:eastAsia="Arial Unicode MS"/>
        </w:rPr>
        <w:t xml:space="preserve">≥ </w:t>
      </w:r>
      <w:r w:rsidRPr="001B4A02">
        <w:rPr>
          <w:sz w:val="20"/>
        </w:rPr>
        <w:t>30</w:t>
      </w:r>
      <w:r w:rsidR="000D4B6E" w:rsidRPr="001B4A02">
        <w:rPr>
          <w:sz w:val="20"/>
        </w:rPr>
        <w:t> </w:t>
      </w:r>
      <w:r w:rsidRPr="001B4A02">
        <w:rPr>
          <w:sz w:val="20"/>
        </w:rPr>
        <w:t>% plus snížení</w:t>
      </w:r>
      <w:r w:rsidR="007A11FF">
        <w:rPr>
          <w:sz w:val="20"/>
        </w:rPr>
        <w:t xml:space="preserve"> pod</w:t>
      </w:r>
      <w:r w:rsidRPr="001B4A02">
        <w:rPr>
          <w:sz w:val="20"/>
        </w:rPr>
        <w:t xml:space="preserve">skóre rektálního krvácení </w:t>
      </w:r>
      <w:r w:rsidRPr="001B4A02">
        <w:rPr>
          <w:rFonts w:eastAsia="Arial Unicode MS"/>
        </w:rPr>
        <w:t>[RBS] ≥ 1</w:t>
      </w:r>
      <w:r w:rsidRPr="001B4A02">
        <w:rPr>
          <w:sz w:val="20"/>
        </w:rPr>
        <w:t xml:space="preserve"> nebo absolutního RBS 0 nebo 1;</w:t>
      </w:r>
    </w:p>
    <w:p w14:paraId="18DD9D71" w14:textId="77777777" w:rsidR="00ED3511" w:rsidRPr="001B4A02" w:rsidRDefault="00000000" w:rsidP="00ED48A3">
      <w:pPr>
        <w:keepNext/>
        <w:ind w:left="0" w:firstLine="0"/>
        <w:rPr>
          <w:sz w:val="20"/>
        </w:rPr>
      </w:pPr>
      <w:r w:rsidRPr="001B4A02">
        <w:rPr>
          <w:sz w:val="20"/>
        </w:rPr>
        <w:t>*p&lt;0,05 párovné porovnání hodnot u</w:t>
      </w:r>
      <w:r w:rsidR="009B61F3" w:rsidRPr="001B4A02">
        <w:rPr>
          <w:sz w:val="20"/>
        </w:rPr>
        <w:t> </w:t>
      </w:r>
      <w:r w:rsidRPr="001B4A02">
        <w:rPr>
          <w:sz w:val="20"/>
        </w:rPr>
        <w:t>p</w:t>
      </w:r>
      <w:r w:rsidR="008A4562" w:rsidRPr="001B4A02">
        <w:rPr>
          <w:sz w:val="20"/>
        </w:rPr>
        <w:t>řípravku Humira versus placebo.</w:t>
      </w:r>
    </w:p>
    <w:p w14:paraId="08EDAC94" w14:textId="77777777" w:rsidR="00ED3511" w:rsidRPr="001B4A02" w:rsidRDefault="00000000" w:rsidP="00ED48A3">
      <w:pPr>
        <w:keepNext/>
        <w:ind w:left="0" w:firstLine="0"/>
        <w:rPr>
          <w:sz w:val="20"/>
        </w:rPr>
      </w:pPr>
      <w:r w:rsidRPr="001B4A02">
        <w:rPr>
          <w:sz w:val="20"/>
        </w:rPr>
        <w:t>**p&lt;0,001 párovné porovnání hodnot u</w:t>
      </w:r>
      <w:r w:rsidR="009B61F3" w:rsidRPr="001B4A02">
        <w:rPr>
          <w:sz w:val="20"/>
        </w:rPr>
        <w:t> </w:t>
      </w:r>
      <w:r w:rsidRPr="001B4A02">
        <w:rPr>
          <w:sz w:val="20"/>
        </w:rPr>
        <w:t>přípravku Humira versus placebo.</w:t>
      </w:r>
    </w:p>
    <w:p w14:paraId="210269E8" w14:textId="77777777" w:rsidR="00ED3511" w:rsidRPr="001B4A02" w:rsidRDefault="00000000" w:rsidP="008A4562">
      <w:pPr>
        <w:ind w:left="0" w:firstLine="0"/>
        <w:rPr>
          <w:sz w:val="20"/>
        </w:rPr>
      </w:pPr>
      <w:r w:rsidRPr="001B4A02">
        <w:rPr>
          <w:sz w:val="20"/>
          <w:vertAlign w:val="superscript"/>
        </w:rPr>
        <w:t>a</w:t>
      </w:r>
      <w:r w:rsidRPr="001B4A02">
        <w:rPr>
          <w:sz w:val="20"/>
        </w:rPr>
        <w:t xml:space="preserve"> Z těch, kterým byly původně podávány kortikosteroidy.</w:t>
      </w:r>
    </w:p>
    <w:p w14:paraId="74A5AF56" w14:textId="77777777" w:rsidR="00ED3511" w:rsidRPr="001B4A02" w:rsidRDefault="00ED3511" w:rsidP="00ED48A3">
      <w:pPr>
        <w:ind w:left="0" w:firstLine="0"/>
      </w:pPr>
    </w:p>
    <w:p w14:paraId="13447014" w14:textId="77777777" w:rsidR="00ED3511" w:rsidRPr="001B4A02" w:rsidRDefault="00000000" w:rsidP="00ED48A3">
      <w:pPr>
        <w:ind w:left="0" w:firstLine="0"/>
      </w:pPr>
      <w:r w:rsidRPr="001B4A02">
        <w:t>Z pacientů, u</w:t>
      </w:r>
      <w:r w:rsidR="009B61F3" w:rsidRPr="001B4A02">
        <w:t> </w:t>
      </w:r>
      <w:r w:rsidRPr="001B4A02">
        <w:t>kterých existovala odpověď v týdnu 8, došlo u</w:t>
      </w:r>
      <w:r w:rsidR="009B61F3" w:rsidRPr="001B4A02">
        <w:t> </w:t>
      </w:r>
      <w:r w:rsidRPr="001B4A02">
        <w:t>47</w:t>
      </w:r>
      <w:r w:rsidR="000D4B6E" w:rsidRPr="001B4A02">
        <w:t> </w:t>
      </w:r>
      <w:r w:rsidRPr="001B4A02">
        <w:t>% k</w:t>
      </w:r>
      <w:r w:rsidR="00B66B89" w:rsidRPr="001B4A02">
        <w:t> </w:t>
      </w:r>
      <w:r w:rsidRPr="001B4A02">
        <w:t>odpovědi, 29</w:t>
      </w:r>
      <w:r w:rsidR="000D4B6E" w:rsidRPr="001B4A02">
        <w:t> </w:t>
      </w:r>
      <w:r w:rsidR="008A4562" w:rsidRPr="001B4A02">
        <w:t>% bylo v remisi, u </w:t>
      </w:r>
      <w:r w:rsidRPr="001B4A02">
        <w:t>41</w:t>
      </w:r>
      <w:r w:rsidR="000D4B6E" w:rsidRPr="001B4A02">
        <w:t> </w:t>
      </w:r>
      <w:r w:rsidRPr="001B4A02">
        <w:t>% došlo ke slizničnímu hojení</w:t>
      </w:r>
      <w:r w:rsidR="002378E0">
        <w:t xml:space="preserve"> a </w:t>
      </w:r>
      <w:r w:rsidRPr="001B4A02">
        <w:t>20</w:t>
      </w:r>
      <w:r w:rsidR="000D4B6E" w:rsidRPr="001B4A02">
        <w:t> </w:t>
      </w:r>
      <w:r w:rsidRPr="001B4A02">
        <w:t xml:space="preserve">% bylo v remisi bez steroidů </w:t>
      </w:r>
      <w:r w:rsidRPr="001B4A02">
        <w:rPr>
          <w:iCs/>
          <w:szCs w:val="22"/>
        </w:rPr>
        <w:t>≥ 9</w:t>
      </w:r>
      <w:r w:rsidRPr="001B4A02">
        <w:t>0 dnů v týdnu 52.</w:t>
      </w:r>
    </w:p>
    <w:p w14:paraId="438C703B" w14:textId="77777777" w:rsidR="00ED3511" w:rsidRPr="001B4A02" w:rsidRDefault="00ED3511" w:rsidP="00ED48A3">
      <w:pPr>
        <w:ind w:left="0" w:firstLine="0"/>
      </w:pPr>
    </w:p>
    <w:p w14:paraId="7DBA4D6A" w14:textId="77777777" w:rsidR="00ED3511" w:rsidRPr="001B4A02" w:rsidRDefault="00000000" w:rsidP="00ED48A3">
      <w:pPr>
        <w:ind w:left="0" w:firstLine="0"/>
      </w:pPr>
      <w:r w:rsidRPr="001B4A02">
        <w:t>Přibližně u</w:t>
      </w:r>
      <w:r w:rsidR="009B61F3" w:rsidRPr="001B4A02">
        <w:t> </w:t>
      </w:r>
      <w:r w:rsidRPr="001B4A02">
        <w:t>40</w:t>
      </w:r>
      <w:r w:rsidR="000D4B6E" w:rsidRPr="001B4A02">
        <w:t> </w:t>
      </w:r>
      <w:r w:rsidRPr="001B4A02">
        <w:t>% pacientů ve studii UC-II selhala dřívější anti-TNF léčba infliximabem. Účinnost adalimumabu u</w:t>
      </w:r>
      <w:r w:rsidR="009B61F3" w:rsidRPr="001B4A02">
        <w:t> </w:t>
      </w:r>
      <w:r w:rsidRPr="001B4A02">
        <w:t>těchto pacientů byla snížena v porovnání s anti-TNF naivními pacienty. Mezi pacienty, u</w:t>
      </w:r>
      <w:r w:rsidR="009B61F3" w:rsidRPr="001B4A02">
        <w:t> </w:t>
      </w:r>
      <w:r w:rsidRPr="001B4A02">
        <w:t>nichž selhala předchozí anti-TNF terapie, dosáhl</w:t>
      </w:r>
      <w:r w:rsidR="007E2F50" w:rsidRPr="001B4A02">
        <w:t>y</w:t>
      </w:r>
      <w:r w:rsidRPr="001B4A02">
        <w:t xml:space="preserve"> v týdnu 52 remise 3</w:t>
      </w:r>
      <w:r w:rsidR="000D4B6E" w:rsidRPr="001B4A02">
        <w:t> </w:t>
      </w:r>
      <w:r w:rsidRPr="001B4A02">
        <w:t>% pacientů na placebu</w:t>
      </w:r>
      <w:r w:rsidR="002378E0">
        <w:t xml:space="preserve"> a </w:t>
      </w:r>
      <w:r w:rsidRPr="001B4A02">
        <w:t>10</w:t>
      </w:r>
      <w:r w:rsidR="000D4B6E" w:rsidRPr="001B4A02">
        <w:t> </w:t>
      </w:r>
      <w:r w:rsidRPr="001B4A02">
        <w:t xml:space="preserve">% pacientů na adalimumabu. </w:t>
      </w:r>
    </w:p>
    <w:p w14:paraId="6F38CE5F" w14:textId="77777777" w:rsidR="00ED3511" w:rsidRPr="001B4A02" w:rsidRDefault="00ED3511" w:rsidP="00ED48A3">
      <w:pPr>
        <w:ind w:left="0" w:firstLine="0"/>
      </w:pPr>
    </w:p>
    <w:p w14:paraId="7151FDE2" w14:textId="77777777" w:rsidR="00ED3511" w:rsidRPr="001B4A02" w:rsidRDefault="00000000" w:rsidP="00ED48A3">
      <w:pPr>
        <w:ind w:left="0" w:firstLine="0"/>
      </w:pPr>
      <w:r w:rsidRPr="001B4A02">
        <w:t>Pacienti ve studiích UC-I</w:t>
      </w:r>
      <w:r w:rsidR="002378E0">
        <w:t xml:space="preserve"> a </w:t>
      </w:r>
      <w:r w:rsidRPr="001B4A02">
        <w:t>UC-II měli možnost přejít do otevřené dlouhodobé prodloužené studie (UC-III). Po 3 letech terapie adalimumabem pokračovala u</w:t>
      </w:r>
      <w:r w:rsidR="009B61F3" w:rsidRPr="001B4A02">
        <w:t> </w:t>
      </w:r>
      <w:r w:rsidRPr="001B4A02">
        <w:t>75</w:t>
      </w:r>
      <w:r w:rsidR="000D4B6E" w:rsidRPr="001B4A02">
        <w:t> </w:t>
      </w:r>
      <w:r w:rsidRPr="001B4A02">
        <w:t>% (301</w:t>
      </w:r>
      <w:r w:rsidR="00461AAA" w:rsidRPr="001B4A02">
        <w:t xml:space="preserve"> z </w:t>
      </w:r>
      <w:r w:rsidRPr="001B4A02">
        <w:t>402) klinická remise dle částečného Mayo skóre.</w:t>
      </w:r>
    </w:p>
    <w:p w14:paraId="7185AC2D" w14:textId="77777777" w:rsidR="00ED3511" w:rsidRPr="001B4A02" w:rsidRDefault="00ED3511" w:rsidP="00ED48A3">
      <w:pPr>
        <w:ind w:left="0" w:firstLine="0"/>
      </w:pPr>
    </w:p>
    <w:p w14:paraId="302B3BE6" w14:textId="77777777" w:rsidR="00ED3511" w:rsidRPr="001B4A02" w:rsidRDefault="00000000" w:rsidP="00A03600">
      <w:pPr>
        <w:keepNext/>
        <w:ind w:left="0" w:firstLine="0"/>
        <w:rPr>
          <w:i/>
          <w:u w:val="single"/>
        </w:rPr>
      </w:pPr>
      <w:r w:rsidRPr="001B4A02">
        <w:rPr>
          <w:i/>
          <w:u w:val="single"/>
        </w:rPr>
        <w:t>Míra hospitalizace</w:t>
      </w:r>
    </w:p>
    <w:p w14:paraId="05A5C2A5" w14:textId="77777777" w:rsidR="00ED3511" w:rsidRPr="001B4A02" w:rsidRDefault="00ED3511" w:rsidP="00A03600">
      <w:pPr>
        <w:keepNext/>
        <w:ind w:left="0" w:firstLine="0"/>
      </w:pPr>
    </w:p>
    <w:p w14:paraId="4328F07C" w14:textId="77777777" w:rsidR="00ED3511" w:rsidRPr="001B4A02" w:rsidRDefault="00000000" w:rsidP="00ED48A3">
      <w:pPr>
        <w:ind w:left="0" w:firstLine="0"/>
      </w:pPr>
      <w:r w:rsidRPr="001B4A02">
        <w:t>Během 52 týdnů studií UC-I</w:t>
      </w:r>
      <w:r w:rsidR="002378E0">
        <w:t xml:space="preserve"> a </w:t>
      </w:r>
      <w:r w:rsidRPr="001B4A02">
        <w:t>UC-II byla pozorována nízká míra hospitalizace ze všech příčin</w:t>
      </w:r>
      <w:r w:rsidR="002378E0">
        <w:t xml:space="preserve"> a </w:t>
      </w:r>
      <w:r w:rsidRPr="001B4A02">
        <w:t>hospitalizace z důvodu UC pro léčebné rameno adalimumabu ve srovnání s placebem. Počet hospitalizací ze všech příčin v léčebné skupině adalimumabu bylo 0,18 na pacienta</w:t>
      </w:r>
      <w:r w:rsidR="002378E0">
        <w:t xml:space="preserve"> a </w:t>
      </w:r>
      <w:r w:rsidRPr="001B4A02">
        <w:t>rok, vs. 0,26 na pacienta</w:t>
      </w:r>
      <w:r w:rsidR="002378E0">
        <w:t xml:space="preserve"> a </w:t>
      </w:r>
      <w:r w:rsidRPr="001B4A02">
        <w:t>rok ve skupině placeba</w:t>
      </w:r>
      <w:r w:rsidR="002378E0">
        <w:t xml:space="preserve"> a </w:t>
      </w:r>
      <w:r w:rsidRPr="001B4A02">
        <w:t>odpovídající počty hospitalizací z důvodu UC byly 0,12 na pacienta</w:t>
      </w:r>
      <w:r w:rsidR="002378E0">
        <w:t xml:space="preserve"> a </w:t>
      </w:r>
      <w:r w:rsidRPr="001B4A02">
        <w:t>rok vs. 0,22 na pacienta</w:t>
      </w:r>
      <w:r w:rsidR="002378E0">
        <w:t xml:space="preserve"> a </w:t>
      </w:r>
      <w:r w:rsidRPr="001B4A02">
        <w:t>rok.</w:t>
      </w:r>
    </w:p>
    <w:p w14:paraId="149E95E6" w14:textId="77777777" w:rsidR="00ED3511" w:rsidRPr="001B4A02" w:rsidRDefault="00ED3511" w:rsidP="00ED48A3">
      <w:pPr>
        <w:ind w:left="0" w:firstLine="0"/>
      </w:pPr>
    </w:p>
    <w:p w14:paraId="22E94BA8" w14:textId="77777777" w:rsidR="00ED3511" w:rsidRPr="001B4A02" w:rsidRDefault="00000000" w:rsidP="00A03600">
      <w:pPr>
        <w:keepNext/>
        <w:ind w:left="0" w:firstLine="0"/>
        <w:rPr>
          <w:i/>
          <w:u w:val="single"/>
        </w:rPr>
      </w:pPr>
      <w:r w:rsidRPr="001B4A02">
        <w:rPr>
          <w:i/>
          <w:u w:val="single"/>
        </w:rPr>
        <w:t>Kvalita života</w:t>
      </w:r>
    </w:p>
    <w:p w14:paraId="6B084139" w14:textId="77777777" w:rsidR="00ED3511" w:rsidRPr="001B4A02" w:rsidRDefault="00ED3511" w:rsidP="00A03600">
      <w:pPr>
        <w:keepNext/>
        <w:ind w:left="0" w:firstLine="0"/>
      </w:pPr>
    </w:p>
    <w:p w14:paraId="36BB15B4" w14:textId="77777777" w:rsidR="00ED3511" w:rsidRPr="001B4A02" w:rsidRDefault="00000000" w:rsidP="00ED48A3">
      <w:pPr>
        <w:ind w:left="0" w:firstLine="0"/>
      </w:pPr>
      <w:r w:rsidRPr="001B4A02">
        <w:t>Ve studii UC-II vedla léčba adalimumabem ke zlepšení v IBDQ skóre (Inflammatory Bowel Disease Questionnaire).</w:t>
      </w:r>
    </w:p>
    <w:p w14:paraId="423C66BE" w14:textId="77777777" w:rsidR="00ED3511" w:rsidRPr="001B4A02" w:rsidRDefault="00ED3511" w:rsidP="00ED48A3">
      <w:pPr>
        <w:ind w:left="0" w:firstLine="0"/>
      </w:pPr>
    </w:p>
    <w:p w14:paraId="223E6463" w14:textId="77777777" w:rsidR="00B14CF7" w:rsidRPr="001B4A02" w:rsidRDefault="00000000" w:rsidP="00ED48A3">
      <w:pPr>
        <w:pStyle w:val="EMEANormal"/>
        <w:keepNext/>
        <w:rPr>
          <w:bCs/>
          <w:i/>
          <w:szCs w:val="22"/>
          <w:lang w:val="cs-CZ"/>
        </w:rPr>
      </w:pPr>
      <w:r w:rsidRPr="001B4A02">
        <w:rPr>
          <w:bCs/>
          <w:i/>
          <w:szCs w:val="22"/>
          <w:lang w:val="cs-CZ"/>
        </w:rPr>
        <w:t>Uveitida</w:t>
      </w:r>
    </w:p>
    <w:p w14:paraId="4E9DE9E1" w14:textId="77777777" w:rsidR="00B14CF7" w:rsidRPr="001B4A02" w:rsidRDefault="00B14CF7" w:rsidP="00ED48A3">
      <w:pPr>
        <w:pStyle w:val="EMEANormal"/>
        <w:keepNext/>
        <w:rPr>
          <w:bCs/>
          <w:szCs w:val="22"/>
          <w:lang w:val="cs-CZ"/>
        </w:rPr>
      </w:pPr>
    </w:p>
    <w:p w14:paraId="1B223442" w14:textId="77777777" w:rsidR="00B14CF7" w:rsidRPr="001B4A02" w:rsidRDefault="00000000" w:rsidP="00ED48A3">
      <w:pPr>
        <w:pStyle w:val="EMEANormal"/>
        <w:rPr>
          <w:szCs w:val="22"/>
          <w:lang w:val="cs-CZ"/>
        </w:rPr>
      </w:pPr>
      <w:r w:rsidRPr="001B4A02">
        <w:rPr>
          <w:szCs w:val="22"/>
          <w:lang w:val="cs-CZ"/>
        </w:rPr>
        <w:t>Bezpečnost</w:t>
      </w:r>
      <w:r w:rsidR="002378E0">
        <w:rPr>
          <w:szCs w:val="22"/>
          <w:lang w:val="cs-CZ"/>
        </w:rPr>
        <w:t xml:space="preserve"> a </w:t>
      </w:r>
      <w:r w:rsidRPr="001B4A02">
        <w:rPr>
          <w:szCs w:val="22"/>
          <w:lang w:val="cs-CZ"/>
        </w:rPr>
        <w:t>účinnost přípravku Humira byla hodnocena u</w:t>
      </w:r>
      <w:r w:rsidR="009B61F3" w:rsidRPr="001B4A02">
        <w:rPr>
          <w:szCs w:val="22"/>
          <w:lang w:val="cs-CZ"/>
        </w:rPr>
        <w:t> </w:t>
      </w:r>
      <w:r w:rsidRPr="001B4A02">
        <w:rPr>
          <w:szCs w:val="22"/>
          <w:lang w:val="cs-CZ"/>
        </w:rPr>
        <w:t>dospělých pacientů s</w:t>
      </w:r>
      <w:r w:rsidR="00463AD9" w:rsidRPr="001B4A02">
        <w:rPr>
          <w:szCs w:val="22"/>
          <w:lang w:val="cs-CZ"/>
        </w:rPr>
        <w:t> </w:t>
      </w:r>
      <w:r w:rsidRPr="001B4A02">
        <w:rPr>
          <w:szCs w:val="22"/>
          <w:lang w:val="cs-CZ"/>
        </w:rPr>
        <w:t>neinfekční intermediální</w:t>
      </w:r>
      <w:r w:rsidR="002378E0">
        <w:rPr>
          <w:szCs w:val="22"/>
          <w:lang w:val="cs-CZ"/>
        </w:rPr>
        <w:t xml:space="preserve"> a </w:t>
      </w:r>
      <w:r w:rsidRPr="001B4A02">
        <w:rPr>
          <w:szCs w:val="22"/>
          <w:lang w:val="cs-CZ"/>
        </w:rPr>
        <w:t>zadní uveitidou</w:t>
      </w:r>
      <w:r w:rsidR="002378E0">
        <w:rPr>
          <w:szCs w:val="22"/>
          <w:lang w:val="cs-CZ"/>
        </w:rPr>
        <w:t xml:space="preserve"> a </w:t>
      </w:r>
      <w:r w:rsidRPr="001B4A02">
        <w:rPr>
          <w:szCs w:val="22"/>
          <w:lang w:val="cs-CZ"/>
        </w:rPr>
        <w:t xml:space="preserve">panuveitidou, </w:t>
      </w:r>
      <w:r w:rsidR="000275CA" w:rsidRPr="001B4A02">
        <w:rPr>
          <w:szCs w:val="22"/>
          <w:lang w:val="cs-CZ"/>
        </w:rPr>
        <w:t>s</w:t>
      </w:r>
      <w:r w:rsidR="00463AD9" w:rsidRPr="001B4A02">
        <w:rPr>
          <w:szCs w:val="22"/>
          <w:lang w:val="cs-CZ"/>
        </w:rPr>
        <w:t> </w:t>
      </w:r>
      <w:r w:rsidR="008B623D" w:rsidRPr="001B4A02">
        <w:rPr>
          <w:szCs w:val="22"/>
          <w:lang w:val="cs-CZ"/>
        </w:rPr>
        <w:t xml:space="preserve">vyloučením </w:t>
      </w:r>
      <w:r w:rsidRPr="001B4A02">
        <w:rPr>
          <w:szCs w:val="22"/>
          <w:lang w:val="cs-CZ"/>
        </w:rPr>
        <w:t>pacientů s</w:t>
      </w:r>
      <w:r w:rsidR="00463AD9" w:rsidRPr="001B4A02">
        <w:rPr>
          <w:szCs w:val="22"/>
          <w:lang w:val="cs-CZ"/>
        </w:rPr>
        <w:t> </w:t>
      </w:r>
      <w:r w:rsidRPr="001B4A02">
        <w:rPr>
          <w:szCs w:val="22"/>
          <w:lang w:val="cs-CZ"/>
        </w:rPr>
        <w:t xml:space="preserve">izolovanou přední uveitidou, ve dvou randomizovaných, dvojitě </w:t>
      </w:r>
      <w:r w:rsidR="00FF1CB8" w:rsidRPr="001B4A02">
        <w:rPr>
          <w:szCs w:val="22"/>
          <w:lang w:val="cs-CZ"/>
        </w:rPr>
        <w:t>za</w:t>
      </w:r>
      <w:r w:rsidR="000275CA" w:rsidRPr="001B4A02">
        <w:rPr>
          <w:szCs w:val="22"/>
          <w:lang w:val="cs-CZ"/>
        </w:rPr>
        <w:t>slep</w:t>
      </w:r>
      <w:r w:rsidR="00FF1CB8" w:rsidRPr="001B4A02">
        <w:rPr>
          <w:szCs w:val="22"/>
          <w:lang w:val="cs-CZ"/>
        </w:rPr>
        <w:t>en</w:t>
      </w:r>
      <w:r w:rsidR="000275CA" w:rsidRPr="001B4A02">
        <w:rPr>
          <w:szCs w:val="22"/>
          <w:lang w:val="cs-CZ"/>
        </w:rPr>
        <w:t>ých</w:t>
      </w:r>
      <w:r w:rsidRPr="001B4A02">
        <w:rPr>
          <w:szCs w:val="22"/>
          <w:lang w:val="cs-CZ"/>
        </w:rPr>
        <w:t>, placebem kontrolovaných studiích (UV I</w:t>
      </w:r>
      <w:r w:rsidR="002378E0">
        <w:rPr>
          <w:szCs w:val="22"/>
          <w:lang w:val="cs-CZ"/>
        </w:rPr>
        <w:t xml:space="preserve"> a </w:t>
      </w:r>
      <w:r w:rsidRPr="001B4A02">
        <w:rPr>
          <w:szCs w:val="22"/>
          <w:lang w:val="cs-CZ"/>
        </w:rPr>
        <w:t>II). Pacienti dostávali placebo nebo přípravek Humira v</w:t>
      </w:r>
      <w:r w:rsidR="00463AD9" w:rsidRPr="001B4A02">
        <w:rPr>
          <w:szCs w:val="22"/>
          <w:lang w:val="cs-CZ"/>
        </w:rPr>
        <w:t> </w:t>
      </w:r>
      <w:r w:rsidRPr="001B4A02">
        <w:rPr>
          <w:szCs w:val="22"/>
          <w:lang w:val="cs-CZ"/>
        </w:rPr>
        <w:t>úvodní dávce 80 mg</w:t>
      </w:r>
      <w:r w:rsidR="007E2F50" w:rsidRPr="001B4A02">
        <w:rPr>
          <w:szCs w:val="22"/>
          <w:lang w:val="cs-CZ"/>
        </w:rPr>
        <w:t>,</w:t>
      </w:r>
      <w:r w:rsidRPr="001B4A02">
        <w:rPr>
          <w:szCs w:val="22"/>
          <w:lang w:val="cs-CZ"/>
        </w:rPr>
        <w:t xml:space="preserve"> následované 40 mg podávanými jednou za dva týdny počínaje jed</w:t>
      </w:r>
      <w:r w:rsidR="008B623D" w:rsidRPr="001B4A02">
        <w:rPr>
          <w:szCs w:val="22"/>
          <w:lang w:val="cs-CZ"/>
        </w:rPr>
        <w:t>e</w:t>
      </w:r>
      <w:r w:rsidRPr="001B4A02">
        <w:rPr>
          <w:szCs w:val="22"/>
          <w:lang w:val="cs-CZ"/>
        </w:rPr>
        <w:t>n týd</w:t>
      </w:r>
      <w:r w:rsidR="008B623D" w:rsidRPr="001B4A02">
        <w:rPr>
          <w:szCs w:val="22"/>
          <w:lang w:val="cs-CZ"/>
        </w:rPr>
        <w:t>e</w:t>
      </w:r>
      <w:r w:rsidRPr="001B4A02">
        <w:rPr>
          <w:szCs w:val="22"/>
          <w:lang w:val="cs-CZ"/>
        </w:rPr>
        <w:t xml:space="preserve">n po úvodní dávce. </w:t>
      </w:r>
      <w:r w:rsidR="008B623D" w:rsidRPr="001B4A02">
        <w:rPr>
          <w:szCs w:val="22"/>
          <w:lang w:val="cs-CZ"/>
        </w:rPr>
        <w:t xml:space="preserve">Současné podávání </w:t>
      </w:r>
      <w:r w:rsidRPr="001B4A02">
        <w:rPr>
          <w:szCs w:val="22"/>
          <w:lang w:val="cs-CZ"/>
        </w:rPr>
        <w:t xml:space="preserve">stálé dávky jednoho nebiologického imunosupresiva </w:t>
      </w:r>
      <w:r w:rsidR="008B623D" w:rsidRPr="001B4A02">
        <w:rPr>
          <w:szCs w:val="22"/>
          <w:lang w:val="cs-CZ"/>
        </w:rPr>
        <w:t>bylo povoleno</w:t>
      </w:r>
      <w:r w:rsidR="008A4562" w:rsidRPr="001B4A02">
        <w:rPr>
          <w:szCs w:val="22"/>
          <w:lang w:val="cs-CZ"/>
        </w:rPr>
        <w:t>.</w:t>
      </w:r>
    </w:p>
    <w:p w14:paraId="0A3B8173" w14:textId="77777777" w:rsidR="00B14CF7" w:rsidRPr="001B4A02" w:rsidRDefault="00B14CF7" w:rsidP="00ED48A3">
      <w:pPr>
        <w:pStyle w:val="EMEANormal"/>
        <w:rPr>
          <w:szCs w:val="22"/>
          <w:lang w:val="cs-CZ"/>
        </w:rPr>
      </w:pPr>
    </w:p>
    <w:p w14:paraId="27E1D878" w14:textId="77777777" w:rsidR="00B14CF7" w:rsidRPr="001B4A02" w:rsidRDefault="00000000" w:rsidP="00ED48A3">
      <w:pPr>
        <w:pStyle w:val="EMEANormal"/>
        <w:rPr>
          <w:szCs w:val="22"/>
          <w:lang w:val="cs-CZ"/>
        </w:rPr>
      </w:pPr>
      <w:r w:rsidRPr="001B4A02">
        <w:rPr>
          <w:szCs w:val="22"/>
          <w:lang w:val="cs-CZ"/>
        </w:rPr>
        <w:t>Studie UV I hodnotila 217 pacientů s</w:t>
      </w:r>
      <w:r w:rsidR="00463AD9" w:rsidRPr="001B4A02">
        <w:rPr>
          <w:szCs w:val="22"/>
          <w:lang w:val="cs-CZ"/>
        </w:rPr>
        <w:t> </w:t>
      </w:r>
      <w:r w:rsidRPr="001B4A02">
        <w:rPr>
          <w:szCs w:val="22"/>
          <w:lang w:val="cs-CZ"/>
        </w:rPr>
        <w:t xml:space="preserve">aktivní uveitidou přetrvávající </w:t>
      </w:r>
      <w:r w:rsidR="00D8118A" w:rsidRPr="001B4A02">
        <w:rPr>
          <w:szCs w:val="22"/>
          <w:lang w:val="cs-CZ"/>
        </w:rPr>
        <w:t>i</w:t>
      </w:r>
      <w:r w:rsidRPr="001B4A02">
        <w:rPr>
          <w:szCs w:val="22"/>
          <w:lang w:val="cs-CZ"/>
        </w:rPr>
        <w:t xml:space="preserve"> přes léčbu kortikosteroidy (perorální prednison v</w:t>
      </w:r>
      <w:r w:rsidR="00D41D1A" w:rsidRPr="001B4A02">
        <w:rPr>
          <w:szCs w:val="22"/>
          <w:lang w:val="cs-CZ"/>
        </w:rPr>
        <w:t> </w:t>
      </w:r>
      <w:r w:rsidRPr="001B4A02">
        <w:rPr>
          <w:szCs w:val="22"/>
          <w:lang w:val="cs-CZ"/>
        </w:rPr>
        <w:t xml:space="preserve">dávce 10 až 60 mg/den). Všichni pacienti dostávali při vstupu do studie dvoutýdenní standardizovanou dávku prednisonu 60 mg/den. Tato dávka se pak podle závazného harmonogramu snižovala, přičemž do týdne 15 byly </w:t>
      </w:r>
      <w:r w:rsidR="008A4562" w:rsidRPr="001B4A02">
        <w:rPr>
          <w:szCs w:val="22"/>
          <w:lang w:val="cs-CZ"/>
        </w:rPr>
        <w:t>kortikosteroidy zcela vysazeny.</w:t>
      </w:r>
    </w:p>
    <w:p w14:paraId="1E3A3635" w14:textId="77777777" w:rsidR="00B14CF7" w:rsidRPr="001B4A02" w:rsidRDefault="00B14CF7" w:rsidP="00ED48A3">
      <w:pPr>
        <w:pStyle w:val="EMEANormal"/>
        <w:rPr>
          <w:szCs w:val="22"/>
          <w:lang w:val="cs-CZ"/>
        </w:rPr>
      </w:pPr>
    </w:p>
    <w:p w14:paraId="3A3E5516" w14:textId="77777777" w:rsidR="00B14CF7" w:rsidRPr="001B4A02" w:rsidRDefault="00000000" w:rsidP="00ED48A3">
      <w:pPr>
        <w:pStyle w:val="EMEANormal"/>
        <w:rPr>
          <w:szCs w:val="22"/>
          <w:lang w:val="cs-CZ"/>
        </w:rPr>
      </w:pPr>
      <w:r w:rsidRPr="001B4A02">
        <w:rPr>
          <w:szCs w:val="22"/>
          <w:lang w:val="cs-CZ"/>
        </w:rPr>
        <w:t>Studie UV II hodnotila 226 pacientů s</w:t>
      </w:r>
      <w:r w:rsidR="00463AD9" w:rsidRPr="001B4A02">
        <w:rPr>
          <w:szCs w:val="22"/>
          <w:lang w:val="cs-CZ"/>
        </w:rPr>
        <w:t> </w:t>
      </w:r>
      <w:r w:rsidRPr="001B4A02">
        <w:rPr>
          <w:szCs w:val="22"/>
          <w:lang w:val="cs-CZ"/>
        </w:rPr>
        <w:t>neaktivní uveitidou vyžadující ke kontrole onemocnění výchozí chronickou terapii kortikosteroidy (perorální prednison v</w:t>
      </w:r>
      <w:r w:rsidR="00463AD9" w:rsidRPr="001B4A02">
        <w:rPr>
          <w:szCs w:val="22"/>
          <w:lang w:val="cs-CZ"/>
        </w:rPr>
        <w:t> </w:t>
      </w:r>
      <w:r w:rsidRPr="001B4A02">
        <w:rPr>
          <w:szCs w:val="22"/>
          <w:lang w:val="cs-CZ"/>
        </w:rPr>
        <w:t>dávce 10 až 35 mg/den). Tato dávka se pak podle závazného harmonogramu snižovala, přičemž do týdne 19 byly kortikosteroidy zcela vysa</w:t>
      </w:r>
      <w:r w:rsidR="008A4562" w:rsidRPr="001B4A02">
        <w:rPr>
          <w:szCs w:val="22"/>
          <w:lang w:val="cs-CZ"/>
        </w:rPr>
        <w:t>zeny.</w:t>
      </w:r>
    </w:p>
    <w:p w14:paraId="045311ED" w14:textId="77777777" w:rsidR="00B14CF7" w:rsidRPr="001B4A02" w:rsidRDefault="00B14CF7" w:rsidP="00ED48A3">
      <w:pPr>
        <w:pStyle w:val="EMEANormal"/>
        <w:rPr>
          <w:szCs w:val="22"/>
          <w:lang w:val="cs-CZ"/>
        </w:rPr>
      </w:pPr>
    </w:p>
    <w:p w14:paraId="01E357EA" w14:textId="77777777" w:rsidR="00B14CF7" w:rsidRPr="001B4A02" w:rsidRDefault="00000000" w:rsidP="00ED48A3">
      <w:pPr>
        <w:pStyle w:val="EMEANormal"/>
        <w:rPr>
          <w:szCs w:val="22"/>
          <w:lang w:val="cs-CZ"/>
        </w:rPr>
      </w:pPr>
      <w:r w:rsidRPr="001B4A02">
        <w:rPr>
          <w:szCs w:val="22"/>
          <w:lang w:val="cs-CZ"/>
        </w:rPr>
        <w:t xml:space="preserve">Primárním </w:t>
      </w:r>
      <w:r w:rsidR="000275CA" w:rsidRPr="001B4A02">
        <w:rPr>
          <w:szCs w:val="22"/>
          <w:lang w:val="cs-CZ"/>
        </w:rPr>
        <w:t>cílovým parametrem</w:t>
      </w:r>
      <w:r w:rsidRPr="001B4A02">
        <w:rPr>
          <w:szCs w:val="22"/>
          <w:lang w:val="cs-CZ"/>
        </w:rPr>
        <w:t xml:space="preserve"> účinnosti v</w:t>
      </w:r>
      <w:r w:rsidR="00463AD9" w:rsidRPr="001B4A02">
        <w:rPr>
          <w:szCs w:val="22"/>
          <w:lang w:val="cs-CZ"/>
        </w:rPr>
        <w:t> </w:t>
      </w:r>
      <w:r w:rsidRPr="001B4A02">
        <w:rPr>
          <w:szCs w:val="22"/>
          <w:lang w:val="cs-CZ"/>
        </w:rPr>
        <w:t xml:space="preserve">obou studiích byla </w:t>
      </w:r>
      <w:r w:rsidR="00662E9B" w:rsidRPr="001B4A02">
        <w:rPr>
          <w:szCs w:val="22"/>
          <w:lang w:val="cs-CZ"/>
        </w:rPr>
        <w:t>„</w:t>
      </w:r>
      <w:r w:rsidRPr="001B4A02">
        <w:rPr>
          <w:szCs w:val="22"/>
          <w:lang w:val="cs-CZ"/>
        </w:rPr>
        <w:t xml:space="preserve">doba do selhání </w:t>
      </w:r>
      <w:r w:rsidR="008B623D" w:rsidRPr="001B4A02">
        <w:rPr>
          <w:szCs w:val="22"/>
          <w:lang w:val="cs-CZ"/>
        </w:rPr>
        <w:t>léčby</w:t>
      </w:r>
      <w:r w:rsidR="00662E9B" w:rsidRPr="001B4A02">
        <w:rPr>
          <w:szCs w:val="22"/>
          <w:lang w:val="cs-CZ"/>
        </w:rPr>
        <w:t>“</w:t>
      </w:r>
      <w:r w:rsidRPr="001B4A02">
        <w:rPr>
          <w:szCs w:val="22"/>
          <w:lang w:val="cs-CZ"/>
        </w:rPr>
        <w:t>. Selhání léčby bylo definováno vícesložkovým výstupem založeným na zánětlivých chorioretinálních a/nebo zánětlivých retinálních vaskulárních lézích, počtu buněk v</w:t>
      </w:r>
      <w:r w:rsidR="00D41D1A" w:rsidRPr="001B4A02">
        <w:rPr>
          <w:szCs w:val="22"/>
          <w:lang w:val="cs-CZ"/>
        </w:rPr>
        <w:t> </w:t>
      </w:r>
      <w:r w:rsidRPr="001B4A02">
        <w:rPr>
          <w:szCs w:val="22"/>
          <w:lang w:val="cs-CZ"/>
        </w:rPr>
        <w:t>přední komoře (AC), stupni zákalu ve sklivci (VH)</w:t>
      </w:r>
      <w:r w:rsidR="002378E0">
        <w:rPr>
          <w:szCs w:val="22"/>
          <w:lang w:val="cs-CZ"/>
        </w:rPr>
        <w:t xml:space="preserve"> a </w:t>
      </w:r>
      <w:r w:rsidRPr="001B4A02">
        <w:rPr>
          <w:szCs w:val="22"/>
          <w:lang w:val="cs-CZ"/>
        </w:rPr>
        <w:t>nejlepší kori</w:t>
      </w:r>
      <w:r w:rsidR="008A4562" w:rsidRPr="001B4A02">
        <w:rPr>
          <w:szCs w:val="22"/>
          <w:lang w:val="cs-CZ"/>
        </w:rPr>
        <w:t>gované zrakové ostrosti (BCVA).</w:t>
      </w:r>
    </w:p>
    <w:p w14:paraId="09B062EF" w14:textId="77777777" w:rsidR="00B14CF7" w:rsidRPr="001B4A02" w:rsidRDefault="00B14CF7" w:rsidP="00ED48A3">
      <w:pPr>
        <w:pStyle w:val="EMEANormal"/>
        <w:rPr>
          <w:szCs w:val="22"/>
          <w:lang w:val="cs-CZ"/>
        </w:rPr>
      </w:pPr>
    </w:p>
    <w:p w14:paraId="4ED023C6" w14:textId="77777777" w:rsidR="00B14CF7" w:rsidRPr="001B4A02" w:rsidRDefault="00000000" w:rsidP="00A03600">
      <w:pPr>
        <w:pStyle w:val="EMEANormal"/>
        <w:keepNext/>
        <w:rPr>
          <w:i/>
          <w:szCs w:val="22"/>
          <w:u w:val="single"/>
          <w:lang w:val="cs-CZ"/>
        </w:rPr>
      </w:pPr>
      <w:r w:rsidRPr="001B4A02">
        <w:rPr>
          <w:i/>
          <w:szCs w:val="22"/>
          <w:u w:val="single"/>
          <w:lang w:val="cs-CZ"/>
        </w:rPr>
        <w:t>Klinická odpověď</w:t>
      </w:r>
    </w:p>
    <w:p w14:paraId="21F92F33" w14:textId="77777777" w:rsidR="00B14CF7" w:rsidRPr="001B4A02" w:rsidRDefault="00B14CF7" w:rsidP="00A03600">
      <w:pPr>
        <w:pStyle w:val="EMEANormal"/>
        <w:keepNext/>
        <w:rPr>
          <w:i/>
          <w:szCs w:val="22"/>
          <w:u w:val="single"/>
          <w:lang w:val="cs-CZ"/>
        </w:rPr>
      </w:pPr>
    </w:p>
    <w:p w14:paraId="6F947EA2" w14:textId="77777777" w:rsidR="00B14CF7" w:rsidRPr="001B4A02" w:rsidRDefault="00000000" w:rsidP="00ED48A3">
      <w:pPr>
        <w:pStyle w:val="EMEANormal"/>
        <w:rPr>
          <w:szCs w:val="22"/>
          <w:lang w:val="cs-CZ"/>
        </w:rPr>
      </w:pPr>
      <w:r w:rsidRPr="001B4A02">
        <w:rPr>
          <w:szCs w:val="22"/>
          <w:lang w:val="cs-CZ"/>
        </w:rPr>
        <w:t>Výsledky z</w:t>
      </w:r>
      <w:r w:rsidR="00272620" w:rsidRPr="001B4A02">
        <w:rPr>
          <w:szCs w:val="22"/>
          <w:lang w:val="cs-CZ"/>
        </w:rPr>
        <w:t> </w:t>
      </w:r>
      <w:r w:rsidRPr="001B4A02">
        <w:rPr>
          <w:szCs w:val="22"/>
          <w:lang w:val="cs-CZ"/>
        </w:rPr>
        <w:t>obou studií prokázaly statisticky významné snížení rizika selhání léčby u</w:t>
      </w:r>
      <w:r w:rsidR="00272620" w:rsidRPr="001B4A02">
        <w:rPr>
          <w:szCs w:val="22"/>
          <w:lang w:val="cs-CZ"/>
        </w:rPr>
        <w:t> </w:t>
      </w:r>
      <w:r w:rsidRPr="001B4A02">
        <w:rPr>
          <w:szCs w:val="22"/>
          <w:lang w:val="cs-CZ"/>
        </w:rPr>
        <w:t>pacientů léčených přípravkem Humira v</w:t>
      </w:r>
      <w:r w:rsidR="00272620" w:rsidRPr="001B4A02">
        <w:rPr>
          <w:szCs w:val="22"/>
          <w:lang w:val="cs-CZ"/>
        </w:rPr>
        <w:t> </w:t>
      </w:r>
      <w:r w:rsidRPr="001B4A02">
        <w:rPr>
          <w:szCs w:val="22"/>
          <w:lang w:val="cs-CZ"/>
        </w:rPr>
        <w:t>porovnání s</w:t>
      </w:r>
      <w:r w:rsidR="00272620" w:rsidRPr="001B4A02">
        <w:rPr>
          <w:szCs w:val="22"/>
          <w:lang w:val="cs-CZ"/>
        </w:rPr>
        <w:t> </w:t>
      </w:r>
      <w:r w:rsidRPr="001B4A02">
        <w:rPr>
          <w:szCs w:val="22"/>
          <w:lang w:val="cs-CZ"/>
        </w:rPr>
        <w:t>pacienty dostávajícími placebo (</w:t>
      </w:r>
      <w:r w:rsidR="008B623D" w:rsidRPr="001B4A02">
        <w:rPr>
          <w:szCs w:val="22"/>
          <w:lang w:val="cs-CZ"/>
        </w:rPr>
        <w:t xml:space="preserve">viz </w:t>
      </w:r>
      <w:r w:rsidRPr="001B4A02">
        <w:rPr>
          <w:szCs w:val="22"/>
          <w:lang w:val="cs-CZ"/>
        </w:rPr>
        <w:t xml:space="preserve">tabulka </w:t>
      </w:r>
      <w:r w:rsidR="002A0AEB">
        <w:rPr>
          <w:szCs w:val="22"/>
          <w:lang w:val="cs-CZ"/>
        </w:rPr>
        <w:t>24</w:t>
      </w:r>
      <w:r w:rsidRPr="001B4A02">
        <w:rPr>
          <w:szCs w:val="22"/>
          <w:lang w:val="cs-CZ"/>
        </w:rPr>
        <w:t>). Obě studie prokázaly časný</w:t>
      </w:r>
      <w:r w:rsidR="002378E0">
        <w:rPr>
          <w:szCs w:val="22"/>
          <w:lang w:val="cs-CZ"/>
        </w:rPr>
        <w:t xml:space="preserve"> a </w:t>
      </w:r>
      <w:r w:rsidRPr="001B4A02">
        <w:rPr>
          <w:szCs w:val="22"/>
          <w:lang w:val="cs-CZ"/>
        </w:rPr>
        <w:t>setrvalý účinek přípravku Humira na četnost selhání léčby v</w:t>
      </w:r>
      <w:r w:rsidR="00272620" w:rsidRPr="001B4A02">
        <w:rPr>
          <w:szCs w:val="22"/>
          <w:lang w:val="cs-CZ"/>
        </w:rPr>
        <w:t> </w:t>
      </w:r>
      <w:r w:rsidRPr="001B4A02">
        <w:rPr>
          <w:szCs w:val="22"/>
          <w:lang w:val="cs-CZ"/>
        </w:rPr>
        <w:t>porovnání s</w:t>
      </w:r>
      <w:r w:rsidR="008A4562" w:rsidRPr="001B4A02">
        <w:rPr>
          <w:szCs w:val="22"/>
          <w:lang w:val="cs-CZ"/>
        </w:rPr>
        <w:t> </w:t>
      </w:r>
      <w:r w:rsidRPr="001B4A02">
        <w:rPr>
          <w:szCs w:val="22"/>
          <w:lang w:val="cs-CZ"/>
        </w:rPr>
        <w:t>placebem (</w:t>
      </w:r>
      <w:r w:rsidR="008B623D" w:rsidRPr="001B4A02">
        <w:rPr>
          <w:szCs w:val="22"/>
          <w:lang w:val="cs-CZ"/>
        </w:rPr>
        <w:t xml:space="preserve">viz </w:t>
      </w:r>
      <w:r w:rsidR="008A4562" w:rsidRPr="001B4A02">
        <w:rPr>
          <w:szCs w:val="22"/>
          <w:lang w:val="cs-CZ"/>
        </w:rPr>
        <w:t xml:space="preserve">obrázek </w:t>
      </w:r>
      <w:r w:rsidR="00A05B57">
        <w:rPr>
          <w:szCs w:val="22"/>
          <w:lang w:val="cs-CZ"/>
        </w:rPr>
        <w:t>2</w:t>
      </w:r>
      <w:r w:rsidR="008A4562" w:rsidRPr="001B4A02">
        <w:rPr>
          <w:szCs w:val="22"/>
          <w:lang w:val="cs-CZ"/>
        </w:rPr>
        <w:t>).</w:t>
      </w:r>
    </w:p>
    <w:p w14:paraId="2ECAF527" w14:textId="77777777" w:rsidR="00B14CF7" w:rsidRPr="001B4A02" w:rsidRDefault="00B14CF7" w:rsidP="00ED48A3">
      <w:pPr>
        <w:pStyle w:val="EMEANormal"/>
        <w:rPr>
          <w:b/>
          <w:szCs w:val="22"/>
          <w:lang w:val="cs-CZ"/>
        </w:rPr>
      </w:pPr>
    </w:p>
    <w:p w14:paraId="3B2BAD03" w14:textId="77777777" w:rsidR="00B14CF7" w:rsidRPr="001B4A02" w:rsidRDefault="00000000" w:rsidP="00A03600">
      <w:pPr>
        <w:pStyle w:val="EMEANormal"/>
        <w:keepNext/>
        <w:jc w:val="center"/>
        <w:rPr>
          <w:b/>
          <w:szCs w:val="22"/>
          <w:lang w:val="cs-CZ"/>
        </w:rPr>
      </w:pPr>
      <w:r w:rsidRPr="001B4A02">
        <w:rPr>
          <w:b/>
          <w:szCs w:val="22"/>
          <w:lang w:val="cs-CZ"/>
        </w:rPr>
        <w:t xml:space="preserve">Tabulka </w:t>
      </w:r>
      <w:r w:rsidR="002A0AEB">
        <w:rPr>
          <w:b/>
          <w:szCs w:val="22"/>
          <w:lang w:val="cs-CZ"/>
        </w:rPr>
        <w:t>24</w:t>
      </w:r>
    </w:p>
    <w:p w14:paraId="15992FBF" w14:textId="77777777" w:rsidR="00B14CF7" w:rsidRPr="001B4A02" w:rsidRDefault="00000000" w:rsidP="00A03600">
      <w:pPr>
        <w:pStyle w:val="EMEANormal"/>
        <w:keepNext/>
        <w:jc w:val="center"/>
        <w:rPr>
          <w:b/>
          <w:szCs w:val="22"/>
          <w:lang w:val="cs-CZ"/>
        </w:rPr>
      </w:pPr>
      <w:r w:rsidRPr="001B4A02">
        <w:rPr>
          <w:b/>
          <w:szCs w:val="22"/>
          <w:lang w:val="cs-CZ"/>
        </w:rPr>
        <w:t xml:space="preserve">Doba do selhání </w:t>
      </w:r>
      <w:r w:rsidR="008B623D" w:rsidRPr="001B4A02">
        <w:rPr>
          <w:b/>
          <w:szCs w:val="22"/>
          <w:lang w:val="cs-CZ"/>
        </w:rPr>
        <w:t xml:space="preserve">léčby </w:t>
      </w:r>
      <w:r w:rsidRPr="001B4A02">
        <w:rPr>
          <w:b/>
          <w:szCs w:val="22"/>
          <w:lang w:val="cs-CZ"/>
        </w:rPr>
        <w:t>ve studiích UV I</w:t>
      </w:r>
      <w:r w:rsidR="002378E0">
        <w:rPr>
          <w:b/>
          <w:szCs w:val="22"/>
          <w:lang w:val="cs-CZ"/>
        </w:rPr>
        <w:t xml:space="preserve"> a </w:t>
      </w:r>
      <w:r w:rsidRPr="001B4A02">
        <w:rPr>
          <w:b/>
          <w:szCs w:val="22"/>
          <w:lang w:val="cs-CZ"/>
        </w:rPr>
        <w:t>UV II</w:t>
      </w:r>
    </w:p>
    <w:p w14:paraId="30C97C31" w14:textId="77777777" w:rsidR="00B14CF7" w:rsidRPr="001B4A02" w:rsidRDefault="00B14CF7" w:rsidP="00A03600">
      <w:pPr>
        <w:pStyle w:val="EMEANormal"/>
        <w:keepNext/>
        <w:jc w:val="center"/>
        <w:rPr>
          <w:b/>
          <w:szCs w:val="22"/>
          <w:lang w:val="cs-CZ"/>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534A2D" w14:paraId="40ED958A" w14:textId="77777777" w:rsidTr="00B14CF7">
        <w:tc>
          <w:tcPr>
            <w:tcW w:w="2268" w:type="dxa"/>
            <w:tcBorders>
              <w:top w:val="single" w:sz="4" w:space="0" w:color="auto"/>
              <w:bottom w:val="single" w:sz="4" w:space="0" w:color="auto"/>
            </w:tcBorders>
            <w:shd w:val="clear" w:color="auto" w:fill="auto"/>
          </w:tcPr>
          <w:p w14:paraId="3CAE3A6B" w14:textId="77777777" w:rsidR="00B14CF7" w:rsidRPr="001B4A02" w:rsidRDefault="00000000" w:rsidP="00ED48A3">
            <w:pPr>
              <w:pStyle w:val="EMEANormal"/>
              <w:tabs>
                <w:tab w:val="right" w:pos="2052"/>
              </w:tabs>
              <w:rPr>
                <w:b/>
                <w:szCs w:val="22"/>
                <w:lang w:val="cs-CZ"/>
              </w:rPr>
            </w:pPr>
            <w:r w:rsidRPr="001B4A02">
              <w:rPr>
                <w:b/>
                <w:szCs w:val="22"/>
                <w:lang w:val="cs-CZ"/>
              </w:rPr>
              <w:t>Analýza</w:t>
            </w:r>
            <w:r w:rsidR="00EB5C82" w:rsidRPr="001B4A02">
              <w:rPr>
                <w:b/>
                <w:szCs w:val="22"/>
                <w:lang w:val="cs-CZ"/>
              </w:rPr>
              <w:tab/>
            </w:r>
          </w:p>
          <w:p w14:paraId="0303F3D1" w14:textId="77777777" w:rsidR="00B14CF7" w:rsidRPr="001B4A02" w:rsidRDefault="00000000" w:rsidP="00ED48A3">
            <w:pPr>
              <w:pStyle w:val="EMEANormal"/>
              <w:rPr>
                <w:b/>
                <w:szCs w:val="22"/>
                <w:lang w:val="cs-CZ"/>
              </w:rPr>
            </w:pPr>
            <w:r w:rsidRPr="001B4A02">
              <w:rPr>
                <w:b/>
                <w:szCs w:val="22"/>
                <w:lang w:val="cs-CZ"/>
              </w:rPr>
              <w:tab/>
              <w:t>Léčba</w:t>
            </w:r>
          </w:p>
        </w:tc>
        <w:tc>
          <w:tcPr>
            <w:tcW w:w="720" w:type="dxa"/>
            <w:tcBorders>
              <w:top w:val="single" w:sz="4" w:space="0" w:color="auto"/>
              <w:bottom w:val="single" w:sz="4" w:space="0" w:color="auto"/>
            </w:tcBorders>
            <w:shd w:val="clear" w:color="auto" w:fill="auto"/>
          </w:tcPr>
          <w:p w14:paraId="49AD3D57" w14:textId="77777777" w:rsidR="00B14CF7" w:rsidRPr="001B4A02" w:rsidRDefault="00000000" w:rsidP="00ED48A3">
            <w:pPr>
              <w:pStyle w:val="EMEANormal"/>
              <w:rPr>
                <w:b/>
                <w:szCs w:val="22"/>
                <w:lang w:val="cs-CZ"/>
              </w:rPr>
            </w:pPr>
            <w:r>
              <w:rPr>
                <w:b/>
                <w:szCs w:val="22"/>
                <w:lang w:val="cs-CZ"/>
              </w:rPr>
              <w:t>n</w:t>
            </w:r>
          </w:p>
        </w:tc>
        <w:tc>
          <w:tcPr>
            <w:tcW w:w="1170" w:type="dxa"/>
            <w:tcBorders>
              <w:top w:val="single" w:sz="4" w:space="0" w:color="auto"/>
              <w:bottom w:val="single" w:sz="4" w:space="0" w:color="auto"/>
            </w:tcBorders>
            <w:shd w:val="clear" w:color="auto" w:fill="auto"/>
          </w:tcPr>
          <w:p w14:paraId="16171717" w14:textId="77777777" w:rsidR="00B14CF7" w:rsidRPr="001B4A02" w:rsidRDefault="00000000" w:rsidP="00ED48A3">
            <w:pPr>
              <w:pStyle w:val="EMEANormal"/>
              <w:rPr>
                <w:b/>
                <w:szCs w:val="22"/>
                <w:lang w:val="cs-CZ"/>
              </w:rPr>
            </w:pPr>
            <w:r w:rsidRPr="001B4A02">
              <w:rPr>
                <w:b/>
                <w:szCs w:val="22"/>
                <w:lang w:val="cs-CZ"/>
              </w:rPr>
              <w:t>Selhání</w:t>
            </w:r>
            <w:r w:rsidRPr="001B4A02">
              <w:rPr>
                <w:b/>
                <w:szCs w:val="22"/>
                <w:lang w:val="cs-CZ"/>
              </w:rPr>
              <w:br/>
            </w:r>
            <w:r w:rsidR="0093374E">
              <w:rPr>
                <w:b/>
                <w:szCs w:val="22"/>
                <w:lang w:val="cs-CZ"/>
              </w:rPr>
              <w:t>n</w:t>
            </w:r>
            <w:r w:rsidRPr="001B4A02">
              <w:rPr>
                <w:b/>
                <w:szCs w:val="22"/>
                <w:lang w:val="cs-CZ"/>
              </w:rPr>
              <w:t xml:space="preserve"> (%)</w:t>
            </w:r>
          </w:p>
        </w:tc>
        <w:tc>
          <w:tcPr>
            <w:tcW w:w="1890" w:type="dxa"/>
            <w:tcBorders>
              <w:top w:val="single" w:sz="4" w:space="0" w:color="auto"/>
              <w:bottom w:val="single" w:sz="4" w:space="0" w:color="auto"/>
            </w:tcBorders>
            <w:shd w:val="clear" w:color="auto" w:fill="auto"/>
          </w:tcPr>
          <w:p w14:paraId="0EDD87BA" w14:textId="77777777" w:rsidR="00B14CF7" w:rsidRPr="001B4A02" w:rsidRDefault="00000000" w:rsidP="00ED48A3">
            <w:pPr>
              <w:pStyle w:val="EMEANormal"/>
              <w:rPr>
                <w:b/>
                <w:szCs w:val="22"/>
                <w:lang w:val="cs-CZ"/>
              </w:rPr>
            </w:pPr>
            <w:r w:rsidRPr="001B4A02">
              <w:rPr>
                <w:b/>
                <w:szCs w:val="22"/>
                <w:lang w:val="cs-CZ"/>
              </w:rPr>
              <w:t>Střední doba do selhání (měsíce)</w:t>
            </w:r>
          </w:p>
        </w:tc>
        <w:tc>
          <w:tcPr>
            <w:tcW w:w="720" w:type="dxa"/>
            <w:tcBorders>
              <w:top w:val="single" w:sz="4" w:space="0" w:color="auto"/>
              <w:bottom w:val="single" w:sz="4" w:space="0" w:color="auto"/>
            </w:tcBorders>
            <w:shd w:val="clear" w:color="auto" w:fill="auto"/>
          </w:tcPr>
          <w:p w14:paraId="63ACB127" w14:textId="77777777" w:rsidR="00B14CF7" w:rsidRPr="001B4A02" w:rsidRDefault="00000000" w:rsidP="00ED48A3">
            <w:pPr>
              <w:pStyle w:val="EMEANormal"/>
              <w:rPr>
                <w:b/>
                <w:szCs w:val="22"/>
                <w:lang w:val="cs-CZ"/>
              </w:rPr>
            </w:pPr>
            <w:r w:rsidRPr="001B4A02">
              <w:rPr>
                <w:b/>
                <w:szCs w:val="22"/>
                <w:lang w:val="cs-CZ"/>
              </w:rPr>
              <w:t>HR</w:t>
            </w:r>
            <w:r w:rsidRPr="001B4A02">
              <w:rPr>
                <w:b/>
                <w:szCs w:val="22"/>
                <w:vertAlign w:val="superscript"/>
                <w:lang w:val="cs-CZ"/>
              </w:rPr>
              <w:t>a</w:t>
            </w:r>
          </w:p>
        </w:tc>
        <w:tc>
          <w:tcPr>
            <w:tcW w:w="1170" w:type="dxa"/>
            <w:tcBorders>
              <w:top w:val="single" w:sz="4" w:space="0" w:color="auto"/>
              <w:bottom w:val="single" w:sz="4" w:space="0" w:color="auto"/>
            </w:tcBorders>
            <w:shd w:val="clear" w:color="auto" w:fill="auto"/>
          </w:tcPr>
          <w:p w14:paraId="7315030D" w14:textId="77777777" w:rsidR="00B14CF7" w:rsidRPr="001B4A02" w:rsidRDefault="00000000" w:rsidP="00ED48A3">
            <w:pPr>
              <w:pStyle w:val="EMEANormal"/>
              <w:rPr>
                <w:b/>
                <w:szCs w:val="22"/>
                <w:lang w:val="cs-CZ"/>
              </w:rPr>
            </w:pPr>
            <w:r w:rsidRPr="001B4A02">
              <w:rPr>
                <w:b/>
                <w:szCs w:val="22"/>
                <w:lang w:val="cs-CZ"/>
              </w:rPr>
              <w:t>CI 95% pro HR</w:t>
            </w:r>
            <w:r w:rsidRPr="001B4A02">
              <w:rPr>
                <w:b/>
                <w:szCs w:val="22"/>
                <w:vertAlign w:val="superscript"/>
                <w:lang w:val="cs-CZ"/>
              </w:rPr>
              <w:t>a</w:t>
            </w:r>
          </w:p>
        </w:tc>
        <w:tc>
          <w:tcPr>
            <w:tcW w:w="1080" w:type="dxa"/>
            <w:tcBorders>
              <w:top w:val="single" w:sz="4" w:space="0" w:color="auto"/>
              <w:bottom w:val="single" w:sz="4" w:space="0" w:color="auto"/>
            </w:tcBorders>
            <w:shd w:val="clear" w:color="auto" w:fill="auto"/>
          </w:tcPr>
          <w:p w14:paraId="0822FA6B" w14:textId="77777777" w:rsidR="00B14CF7" w:rsidRPr="001B4A02" w:rsidRDefault="00000000" w:rsidP="00ED48A3">
            <w:pPr>
              <w:pStyle w:val="EMEANormal"/>
              <w:rPr>
                <w:b/>
                <w:szCs w:val="22"/>
                <w:lang w:val="cs-CZ"/>
              </w:rPr>
            </w:pPr>
            <w:r w:rsidRPr="001B4A02">
              <w:rPr>
                <w:b/>
                <w:i/>
                <w:szCs w:val="22"/>
                <w:lang w:val="cs-CZ"/>
              </w:rPr>
              <w:t>P</w:t>
            </w:r>
            <w:r w:rsidRPr="001B4A02">
              <w:rPr>
                <w:b/>
                <w:szCs w:val="22"/>
                <w:lang w:val="cs-CZ"/>
              </w:rPr>
              <w:t xml:space="preserve"> hodnota</w:t>
            </w:r>
            <w:r w:rsidRPr="001B4A02">
              <w:rPr>
                <w:szCs w:val="22"/>
                <w:vertAlign w:val="superscript"/>
                <w:lang w:val="cs-CZ"/>
              </w:rPr>
              <w:t>b</w:t>
            </w:r>
          </w:p>
        </w:tc>
      </w:tr>
      <w:tr w:rsidR="00534A2D" w14:paraId="7E3FBB41" w14:textId="77777777" w:rsidTr="00B14CF7">
        <w:tc>
          <w:tcPr>
            <w:tcW w:w="9018" w:type="dxa"/>
            <w:gridSpan w:val="7"/>
            <w:tcBorders>
              <w:top w:val="single" w:sz="4" w:space="0" w:color="auto"/>
              <w:bottom w:val="nil"/>
            </w:tcBorders>
            <w:shd w:val="clear" w:color="auto" w:fill="auto"/>
          </w:tcPr>
          <w:p w14:paraId="758EB196" w14:textId="77777777" w:rsidR="00B14CF7" w:rsidRPr="001B4A02" w:rsidRDefault="00000000" w:rsidP="008B623D">
            <w:pPr>
              <w:pStyle w:val="EMEANormal"/>
              <w:rPr>
                <w:b/>
                <w:szCs w:val="22"/>
                <w:lang w:val="cs-CZ"/>
              </w:rPr>
            </w:pPr>
            <w:r w:rsidRPr="001B4A02">
              <w:rPr>
                <w:b/>
                <w:szCs w:val="22"/>
                <w:lang w:val="cs-CZ"/>
              </w:rPr>
              <w:t xml:space="preserve">Doba do selhání </w:t>
            </w:r>
            <w:r w:rsidR="008B623D" w:rsidRPr="001B4A02">
              <w:rPr>
                <w:b/>
                <w:szCs w:val="22"/>
                <w:lang w:val="cs-CZ"/>
              </w:rPr>
              <w:t xml:space="preserve">léčby </w:t>
            </w:r>
            <w:r w:rsidRPr="001B4A02">
              <w:rPr>
                <w:b/>
                <w:szCs w:val="22"/>
                <w:lang w:val="cs-CZ"/>
              </w:rPr>
              <w:t>v</w:t>
            </w:r>
            <w:r w:rsidR="00272620" w:rsidRPr="001B4A02">
              <w:rPr>
                <w:b/>
                <w:szCs w:val="22"/>
                <w:lang w:val="cs-CZ"/>
              </w:rPr>
              <w:t> </w:t>
            </w:r>
            <w:r w:rsidRPr="001B4A02">
              <w:rPr>
                <w:b/>
                <w:szCs w:val="22"/>
                <w:lang w:val="cs-CZ"/>
              </w:rPr>
              <w:t>týdnu</w:t>
            </w:r>
            <w:r w:rsidR="00D6542D" w:rsidRPr="001B4A02">
              <w:rPr>
                <w:b/>
                <w:szCs w:val="22"/>
                <w:lang w:val="cs-CZ"/>
              </w:rPr>
              <w:t xml:space="preserve"> 6 nebo později ve studii UV I</w:t>
            </w:r>
          </w:p>
        </w:tc>
      </w:tr>
      <w:tr w:rsidR="00534A2D" w14:paraId="1B2E4104" w14:textId="77777777" w:rsidTr="00B14CF7">
        <w:tc>
          <w:tcPr>
            <w:tcW w:w="2988" w:type="dxa"/>
            <w:gridSpan w:val="2"/>
            <w:tcBorders>
              <w:top w:val="nil"/>
              <w:bottom w:val="nil"/>
            </w:tcBorders>
            <w:shd w:val="clear" w:color="auto" w:fill="auto"/>
          </w:tcPr>
          <w:p w14:paraId="6DFF9EE0" w14:textId="77777777" w:rsidR="00B14CF7" w:rsidRPr="001B4A02" w:rsidRDefault="00000000" w:rsidP="00ED48A3">
            <w:pPr>
              <w:pStyle w:val="EMEANormal"/>
              <w:rPr>
                <w:szCs w:val="22"/>
                <w:lang w:val="cs-CZ"/>
              </w:rPr>
            </w:pPr>
            <w:r w:rsidRPr="001B4A02">
              <w:rPr>
                <w:szCs w:val="22"/>
                <w:lang w:val="cs-CZ"/>
              </w:rPr>
              <w:t>Primární analýza (ITT)</w:t>
            </w:r>
          </w:p>
        </w:tc>
        <w:tc>
          <w:tcPr>
            <w:tcW w:w="1170" w:type="dxa"/>
            <w:tcBorders>
              <w:top w:val="nil"/>
              <w:bottom w:val="nil"/>
            </w:tcBorders>
            <w:shd w:val="clear" w:color="auto" w:fill="auto"/>
          </w:tcPr>
          <w:p w14:paraId="027EF7BB" w14:textId="77777777" w:rsidR="00B14CF7" w:rsidRPr="001B4A02" w:rsidRDefault="00B14CF7" w:rsidP="00ED48A3">
            <w:pPr>
              <w:pStyle w:val="EMEANormal"/>
              <w:rPr>
                <w:szCs w:val="22"/>
                <w:lang w:val="cs-CZ"/>
              </w:rPr>
            </w:pPr>
          </w:p>
        </w:tc>
        <w:tc>
          <w:tcPr>
            <w:tcW w:w="1890" w:type="dxa"/>
            <w:tcBorders>
              <w:top w:val="nil"/>
              <w:bottom w:val="nil"/>
            </w:tcBorders>
            <w:shd w:val="clear" w:color="auto" w:fill="auto"/>
          </w:tcPr>
          <w:p w14:paraId="5BF27A41" w14:textId="77777777" w:rsidR="00B14CF7" w:rsidRPr="001B4A02" w:rsidRDefault="00B14CF7" w:rsidP="00ED48A3">
            <w:pPr>
              <w:pStyle w:val="EMEANormal"/>
              <w:rPr>
                <w:szCs w:val="22"/>
                <w:lang w:val="cs-CZ"/>
              </w:rPr>
            </w:pPr>
          </w:p>
        </w:tc>
        <w:tc>
          <w:tcPr>
            <w:tcW w:w="720" w:type="dxa"/>
            <w:tcBorders>
              <w:top w:val="nil"/>
              <w:bottom w:val="nil"/>
            </w:tcBorders>
            <w:shd w:val="clear" w:color="auto" w:fill="auto"/>
          </w:tcPr>
          <w:p w14:paraId="0048E7BC" w14:textId="77777777" w:rsidR="00B14CF7" w:rsidRPr="001B4A02" w:rsidRDefault="00B14CF7" w:rsidP="00ED48A3">
            <w:pPr>
              <w:pStyle w:val="EMEANormal"/>
              <w:rPr>
                <w:szCs w:val="22"/>
                <w:lang w:val="cs-CZ"/>
              </w:rPr>
            </w:pPr>
          </w:p>
        </w:tc>
        <w:tc>
          <w:tcPr>
            <w:tcW w:w="1170" w:type="dxa"/>
            <w:tcBorders>
              <w:top w:val="nil"/>
              <w:bottom w:val="nil"/>
            </w:tcBorders>
            <w:shd w:val="clear" w:color="auto" w:fill="auto"/>
          </w:tcPr>
          <w:p w14:paraId="07EED2CB" w14:textId="77777777" w:rsidR="00B14CF7" w:rsidRPr="001B4A02" w:rsidRDefault="00B14CF7" w:rsidP="00ED48A3">
            <w:pPr>
              <w:pStyle w:val="EMEANormal"/>
              <w:rPr>
                <w:szCs w:val="22"/>
                <w:lang w:val="cs-CZ"/>
              </w:rPr>
            </w:pPr>
          </w:p>
        </w:tc>
        <w:tc>
          <w:tcPr>
            <w:tcW w:w="1080" w:type="dxa"/>
            <w:tcBorders>
              <w:top w:val="nil"/>
              <w:bottom w:val="nil"/>
            </w:tcBorders>
            <w:shd w:val="clear" w:color="auto" w:fill="auto"/>
          </w:tcPr>
          <w:p w14:paraId="701971C3" w14:textId="77777777" w:rsidR="00B14CF7" w:rsidRPr="001B4A02" w:rsidRDefault="00B14CF7" w:rsidP="00ED48A3">
            <w:pPr>
              <w:pStyle w:val="EMEANormal"/>
              <w:rPr>
                <w:szCs w:val="22"/>
                <w:lang w:val="cs-CZ"/>
              </w:rPr>
            </w:pPr>
          </w:p>
        </w:tc>
      </w:tr>
      <w:tr w:rsidR="00534A2D" w14:paraId="66AED129" w14:textId="77777777" w:rsidTr="00B14CF7">
        <w:tc>
          <w:tcPr>
            <w:tcW w:w="2268" w:type="dxa"/>
            <w:tcBorders>
              <w:top w:val="nil"/>
              <w:bottom w:val="nil"/>
            </w:tcBorders>
            <w:shd w:val="clear" w:color="auto" w:fill="auto"/>
          </w:tcPr>
          <w:p w14:paraId="5880F278" w14:textId="77777777" w:rsidR="00B14CF7" w:rsidRPr="001B4A02" w:rsidRDefault="00000000" w:rsidP="00ED48A3">
            <w:pPr>
              <w:pStyle w:val="EMEANormal"/>
              <w:rPr>
                <w:szCs w:val="22"/>
                <w:lang w:val="cs-CZ"/>
              </w:rPr>
            </w:pPr>
            <w:r w:rsidRPr="001B4A02">
              <w:rPr>
                <w:szCs w:val="22"/>
                <w:lang w:val="cs-CZ"/>
              </w:rPr>
              <w:tab/>
              <w:t>Placebo</w:t>
            </w:r>
          </w:p>
        </w:tc>
        <w:tc>
          <w:tcPr>
            <w:tcW w:w="720" w:type="dxa"/>
            <w:tcBorders>
              <w:top w:val="nil"/>
              <w:bottom w:val="nil"/>
            </w:tcBorders>
            <w:shd w:val="clear" w:color="auto" w:fill="auto"/>
          </w:tcPr>
          <w:p w14:paraId="65E2D263" w14:textId="77777777" w:rsidR="00B14CF7" w:rsidRPr="001B4A02" w:rsidRDefault="00000000" w:rsidP="00ED48A3">
            <w:pPr>
              <w:pStyle w:val="EMEANormal"/>
              <w:rPr>
                <w:szCs w:val="22"/>
                <w:lang w:val="cs-CZ"/>
              </w:rPr>
            </w:pPr>
            <w:r w:rsidRPr="001B4A02">
              <w:rPr>
                <w:szCs w:val="22"/>
                <w:lang w:val="cs-CZ"/>
              </w:rPr>
              <w:t>107</w:t>
            </w:r>
          </w:p>
        </w:tc>
        <w:tc>
          <w:tcPr>
            <w:tcW w:w="1170" w:type="dxa"/>
            <w:tcBorders>
              <w:top w:val="nil"/>
              <w:bottom w:val="nil"/>
            </w:tcBorders>
            <w:shd w:val="clear" w:color="auto" w:fill="auto"/>
          </w:tcPr>
          <w:p w14:paraId="49AE1647" w14:textId="77777777" w:rsidR="00B14CF7" w:rsidRPr="001B4A02" w:rsidRDefault="00000000" w:rsidP="00ED48A3">
            <w:pPr>
              <w:pStyle w:val="EMEANormal"/>
              <w:rPr>
                <w:szCs w:val="22"/>
                <w:lang w:val="cs-CZ"/>
              </w:rPr>
            </w:pPr>
            <w:r w:rsidRPr="001B4A02">
              <w:rPr>
                <w:szCs w:val="22"/>
                <w:lang w:val="cs-CZ"/>
              </w:rPr>
              <w:t>84 (78,5)</w:t>
            </w:r>
          </w:p>
        </w:tc>
        <w:tc>
          <w:tcPr>
            <w:tcW w:w="1890" w:type="dxa"/>
            <w:tcBorders>
              <w:top w:val="nil"/>
              <w:bottom w:val="nil"/>
            </w:tcBorders>
            <w:shd w:val="clear" w:color="auto" w:fill="auto"/>
          </w:tcPr>
          <w:p w14:paraId="3699745D" w14:textId="77777777" w:rsidR="00B14CF7" w:rsidRPr="001B4A02" w:rsidRDefault="00000000" w:rsidP="00ED48A3">
            <w:pPr>
              <w:pStyle w:val="EMEANormal"/>
              <w:rPr>
                <w:szCs w:val="22"/>
                <w:lang w:val="cs-CZ"/>
              </w:rPr>
            </w:pPr>
            <w:r w:rsidRPr="001B4A02">
              <w:rPr>
                <w:szCs w:val="22"/>
                <w:lang w:val="cs-CZ"/>
              </w:rPr>
              <w:t>3,0</w:t>
            </w:r>
          </w:p>
        </w:tc>
        <w:tc>
          <w:tcPr>
            <w:tcW w:w="720" w:type="dxa"/>
            <w:tcBorders>
              <w:top w:val="nil"/>
              <w:bottom w:val="nil"/>
            </w:tcBorders>
            <w:shd w:val="clear" w:color="auto" w:fill="auto"/>
          </w:tcPr>
          <w:p w14:paraId="3811F412" w14:textId="77777777" w:rsidR="00B14CF7" w:rsidRPr="001B4A02" w:rsidRDefault="00000000" w:rsidP="00ED48A3">
            <w:pPr>
              <w:pStyle w:val="EMEANormal"/>
              <w:rPr>
                <w:szCs w:val="22"/>
                <w:lang w:val="cs-CZ"/>
              </w:rPr>
            </w:pPr>
            <w:r w:rsidRPr="001B4A02">
              <w:rPr>
                <w:szCs w:val="22"/>
                <w:lang w:val="cs-CZ"/>
              </w:rPr>
              <w:t>--</w:t>
            </w:r>
          </w:p>
        </w:tc>
        <w:tc>
          <w:tcPr>
            <w:tcW w:w="1170" w:type="dxa"/>
            <w:tcBorders>
              <w:top w:val="nil"/>
              <w:bottom w:val="nil"/>
            </w:tcBorders>
            <w:shd w:val="clear" w:color="auto" w:fill="auto"/>
          </w:tcPr>
          <w:p w14:paraId="23CD19AD" w14:textId="77777777" w:rsidR="00B14CF7" w:rsidRPr="001B4A02" w:rsidRDefault="00000000" w:rsidP="00ED48A3">
            <w:pPr>
              <w:pStyle w:val="EMEANormal"/>
              <w:rPr>
                <w:szCs w:val="22"/>
                <w:lang w:val="cs-CZ"/>
              </w:rPr>
            </w:pPr>
            <w:r w:rsidRPr="001B4A02">
              <w:rPr>
                <w:szCs w:val="22"/>
                <w:lang w:val="cs-CZ"/>
              </w:rPr>
              <w:t>--</w:t>
            </w:r>
          </w:p>
        </w:tc>
        <w:tc>
          <w:tcPr>
            <w:tcW w:w="1080" w:type="dxa"/>
            <w:tcBorders>
              <w:top w:val="nil"/>
              <w:bottom w:val="nil"/>
            </w:tcBorders>
            <w:shd w:val="clear" w:color="auto" w:fill="auto"/>
          </w:tcPr>
          <w:p w14:paraId="0E5ED219" w14:textId="77777777" w:rsidR="00B14CF7" w:rsidRPr="001B4A02" w:rsidRDefault="00000000" w:rsidP="00ED48A3">
            <w:pPr>
              <w:pStyle w:val="EMEANormal"/>
              <w:rPr>
                <w:szCs w:val="22"/>
                <w:lang w:val="cs-CZ"/>
              </w:rPr>
            </w:pPr>
            <w:r w:rsidRPr="001B4A02">
              <w:rPr>
                <w:szCs w:val="22"/>
                <w:lang w:val="cs-CZ"/>
              </w:rPr>
              <w:t>--</w:t>
            </w:r>
          </w:p>
        </w:tc>
      </w:tr>
      <w:tr w:rsidR="00534A2D" w14:paraId="7B89DCC2" w14:textId="77777777" w:rsidTr="00B14CF7">
        <w:tc>
          <w:tcPr>
            <w:tcW w:w="2268" w:type="dxa"/>
            <w:tcBorders>
              <w:top w:val="nil"/>
              <w:bottom w:val="single" w:sz="4" w:space="0" w:color="auto"/>
            </w:tcBorders>
            <w:shd w:val="clear" w:color="auto" w:fill="auto"/>
          </w:tcPr>
          <w:p w14:paraId="5B9B080E" w14:textId="77777777" w:rsidR="00B14CF7" w:rsidRPr="001B4A02" w:rsidRDefault="00000000" w:rsidP="00ED48A3">
            <w:pPr>
              <w:pStyle w:val="EMEANormal"/>
              <w:rPr>
                <w:szCs w:val="22"/>
                <w:lang w:val="cs-CZ"/>
              </w:rPr>
            </w:pPr>
            <w:r w:rsidRPr="001B4A02">
              <w:rPr>
                <w:szCs w:val="22"/>
                <w:lang w:val="cs-CZ"/>
              </w:rPr>
              <w:tab/>
              <w:t>Adalimumab</w:t>
            </w:r>
          </w:p>
        </w:tc>
        <w:tc>
          <w:tcPr>
            <w:tcW w:w="720" w:type="dxa"/>
            <w:tcBorders>
              <w:top w:val="nil"/>
              <w:bottom w:val="single" w:sz="4" w:space="0" w:color="auto"/>
            </w:tcBorders>
            <w:shd w:val="clear" w:color="auto" w:fill="auto"/>
          </w:tcPr>
          <w:p w14:paraId="6590EC15" w14:textId="77777777" w:rsidR="00B14CF7" w:rsidRPr="001B4A02" w:rsidRDefault="00000000" w:rsidP="00ED48A3">
            <w:pPr>
              <w:pStyle w:val="EMEANormal"/>
              <w:rPr>
                <w:szCs w:val="22"/>
                <w:lang w:val="cs-CZ"/>
              </w:rPr>
            </w:pPr>
            <w:r w:rsidRPr="001B4A02">
              <w:rPr>
                <w:szCs w:val="22"/>
                <w:lang w:val="cs-CZ"/>
              </w:rPr>
              <w:t>110</w:t>
            </w:r>
          </w:p>
        </w:tc>
        <w:tc>
          <w:tcPr>
            <w:tcW w:w="1170" w:type="dxa"/>
            <w:tcBorders>
              <w:top w:val="nil"/>
              <w:bottom w:val="single" w:sz="4" w:space="0" w:color="auto"/>
            </w:tcBorders>
            <w:shd w:val="clear" w:color="auto" w:fill="auto"/>
          </w:tcPr>
          <w:p w14:paraId="03BDCA28" w14:textId="77777777" w:rsidR="00B14CF7" w:rsidRPr="001B4A02" w:rsidRDefault="00000000" w:rsidP="00ED48A3">
            <w:pPr>
              <w:pStyle w:val="EMEANormal"/>
              <w:rPr>
                <w:szCs w:val="22"/>
                <w:lang w:val="cs-CZ"/>
              </w:rPr>
            </w:pPr>
            <w:r w:rsidRPr="001B4A02">
              <w:rPr>
                <w:szCs w:val="22"/>
                <w:lang w:val="cs-CZ"/>
              </w:rPr>
              <w:t>60 (54,5)</w:t>
            </w:r>
          </w:p>
        </w:tc>
        <w:tc>
          <w:tcPr>
            <w:tcW w:w="1890" w:type="dxa"/>
            <w:tcBorders>
              <w:top w:val="nil"/>
              <w:bottom w:val="single" w:sz="4" w:space="0" w:color="auto"/>
            </w:tcBorders>
            <w:shd w:val="clear" w:color="auto" w:fill="auto"/>
          </w:tcPr>
          <w:p w14:paraId="230122EB" w14:textId="77777777" w:rsidR="00B14CF7" w:rsidRPr="001B4A02" w:rsidRDefault="00000000" w:rsidP="00ED48A3">
            <w:pPr>
              <w:pStyle w:val="EMEANormal"/>
              <w:rPr>
                <w:szCs w:val="22"/>
                <w:lang w:val="cs-CZ"/>
              </w:rPr>
            </w:pPr>
            <w:r w:rsidRPr="001B4A02">
              <w:rPr>
                <w:szCs w:val="22"/>
                <w:lang w:val="cs-CZ"/>
              </w:rPr>
              <w:t>5,6</w:t>
            </w:r>
          </w:p>
        </w:tc>
        <w:tc>
          <w:tcPr>
            <w:tcW w:w="720" w:type="dxa"/>
            <w:tcBorders>
              <w:top w:val="nil"/>
              <w:bottom w:val="single" w:sz="4" w:space="0" w:color="auto"/>
            </w:tcBorders>
            <w:shd w:val="clear" w:color="auto" w:fill="auto"/>
          </w:tcPr>
          <w:p w14:paraId="7DA568A9" w14:textId="77777777" w:rsidR="00B14CF7" w:rsidRPr="001B4A02" w:rsidRDefault="00000000" w:rsidP="00ED48A3">
            <w:pPr>
              <w:pStyle w:val="EMEANormal"/>
              <w:rPr>
                <w:szCs w:val="22"/>
                <w:lang w:val="cs-CZ"/>
              </w:rPr>
            </w:pPr>
            <w:r w:rsidRPr="001B4A02">
              <w:rPr>
                <w:szCs w:val="22"/>
                <w:lang w:val="cs-CZ"/>
              </w:rPr>
              <w:t>0,50</w:t>
            </w:r>
          </w:p>
        </w:tc>
        <w:tc>
          <w:tcPr>
            <w:tcW w:w="1170" w:type="dxa"/>
            <w:tcBorders>
              <w:top w:val="nil"/>
              <w:bottom w:val="single" w:sz="4" w:space="0" w:color="auto"/>
            </w:tcBorders>
            <w:shd w:val="clear" w:color="auto" w:fill="auto"/>
          </w:tcPr>
          <w:p w14:paraId="4DAD0CB0" w14:textId="77777777" w:rsidR="00B14CF7" w:rsidRPr="001B4A02" w:rsidRDefault="00000000" w:rsidP="00ED48A3">
            <w:pPr>
              <w:pStyle w:val="EMEANormal"/>
              <w:rPr>
                <w:szCs w:val="22"/>
                <w:lang w:val="cs-CZ"/>
              </w:rPr>
            </w:pPr>
            <w:r w:rsidRPr="001B4A02">
              <w:rPr>
                <w:szCs w:val="22"/>
                <w:lang w:val="cs-CZ"/>
              </w:rPr>
              <w:t>0,36, 0,70</w:t>
            </w:r>
            <w:r w:rsidRPr="001B4A02">
              <w:rPr>
                <w:szCs w:val="22"/>
                <w:vertAlign w:val="superscript"/>
                <w:lang w:val="cs-CZ"/>
              </w:rPr>
              <w:t xml:space="preserve"> </w:t>
            </w:r>
          </w:p>
        </w:tc>
        <w:tc>
          <w:tcPr>
            <w:tcW w:w="1080" w:type="dxa"/>
            <w:tcBorders>
              <w:top w:val="nil"/>
              <w:bottom w:val="single" w:sz="4" w:space="0" w:color="auto"/>
            </w:tcBorders>
            <w:shd w:val="clear" w:color="auto" w:fill="auto"/>
          </w:tcPr>
          <w:p w14:paraId="02CC87FE" w14:textId="77777777" w:rsidR="00B14CF7" w:rsidRPr="001B4A02" w:rsidRDefault="00000000" w:rsidP="00ED48A3">
            <w:pPr>
              <w:pStyle w:val="EMEANormal"/>
              <w:rPr>
                <w:szCs w:val="22"/>
                <w:lang w:val="cs-CZ"/>
              </w:rPr>
            </w:pPr>
            <w:r w:rsidRPr="001B4A02">
              <w:rPr>
                <w:szCs w:val="22"/>
                <w:lang w:val="cs-CZ"/>
              </w:rPr>
              <w:t>&lt; 0,001</w:t>
            </w:r>
          </w:p>
        </w:tc>
      </w:tr>
      <w:tr w:rsidR="00534A2D" w14:paraId="215B122F" w14:textId="77777777" w:rsidTr="00B14CF7">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shd w:val="clear" w:color="auto" w:fill="auto"/>
          </w:tcPr>
          <w:p w14:paraId="72E6F53D" w14:textId="77777777" w:rsidR="00B14CF7" w:rsidRPr="001B4A02" w:rsidRDefault="00000000" w:rsidP="008B623D">
            <w:pPr>
              <w:pStyle w:val="EMEANormal"/>
              <w:rPr>
                <w:b/>
                <w:szCs w:val="22"/>
                <w:lang w:val="cs-CZ"/>
              </w:rPr>
            </w:pPr>
            <w:r w:rsidRPr="001B4A02">
              <w:rPr>
                <w:b/>
                <w:szCs w:val="22"/>
                <w:lang w:val="cs-CZ"/>
              </w:rPr>
              <w:t xml:space="preserve">Doba do selhání </w:t>
            </w:r>
            <w:r w:rsidR="008B623D" w:rsidRPr="001B4A02">
              <w:rPr>
                <w:b/>
                <w:szCs w:val="22"/>
                <w:lang w:val="cs-CZ"/>
              </w:rPr>
              <w:t xml:space="preserve">léčby </w:t>
            </w:r>
            <w:r w:rsidRPr="001B4A02">
              <w:rPr>
                <w:b/>
                <w:szCs w:val="22"/>
                <w:lang w:val="cs-CZ"/>
              </w:rPr>
              <w:t>v</w:t>
            </w:r>
            <w:r w:rsidR="00272620" w:rsidRPr="001B4A02">
              <w:rPr>
                <w:b/>
                <w:szCs w:val="22"/>
                <w:lang w:val="cs-CZ"/>
              </w:rPr>
              <w:t> </w:t>
            </w:r>
            <w:r w:rsidRPr="001B4A02">
              <w:rPr>
                <w:b/>
                <w:szCs w:val="22"/>
                <w:lang w:val="cs-CZ"/>
              </w:rPr>
              <w:t>týdnu 2</w:t>
            </w:r>
            <w:r w:rsidR="004A45BD" w:rsidRPr="001B4A02">
              <w:rPr>
                <w:b/>
                <w:szCs w:val="22"/>
                <w:lang w:val="cs-CZ"/>
              </w:rPr>
              <w:t xml:space="preserve"> </w:t>
            </w:r>
            <w:r w:rsidRPr="001B4A02">
              <w:rPr>
                <w:b/>
                <w:szCs w:val="22"/>
                <w:lang w:val="cs-CZ"/>
              </w:rPr>
              <w:t>nebo později ve studii UV II</w:t>
            </w:r>
          </w:p>
        </w:tc>
      </w:tr>
      <w:tr w:rsidR="00534A2D" w14:paraId="35DCA4BF" w14:textId="77777777" w:rsidTr="00B14CF7">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shd w:val="clear" w:color="auto" w:fill="auto"/>
          </w:tcPr>
          <w:p w14:paraId="3DD553A4" w14:textId="77777777" w:rsidR="00B14CF7" w:rsidRPr="001B4A02" w:rsidRDefault="00000000" w:rsidP="00ED48A3">
            <w:pPr>
              <w:pStyle w:val="EMEANormal"/>
              <w:rPr>
                <w:szCs w:val="22"/>
                <w:lang w:val="cs-CZ"/>
              </w:rPr>
            </w:pPr>
            <w:r w:rsidRPr="001B4A02">
              <w:rPr>
                <w:szCs w:val="22"/>
                <w:lang w:val="cs-CZ"/>
              </w:rPr>
              <w:t>Primární analýza (ITT)</w:t>
            </w:r>
          </w:p>
        </w:tc>
        <w:tc>
          <w:tcPr>
            <w:tcW w:w="1170" w:type="dxa"/>
            <w:tcBorders>
              <w:top w:val="nil"/>
              <w:left w:val="nil"/>
              <w:bottom w:val="nil"/>
              <w:right w:val="nil"/>
            </w:tcBorders>
            <w:shd w:val="clear" w:color="auto" w:fill="auto"/>
          </w:tcPr>
          <w:p w14:paraId="3BF687C1" w14:textId="77777777" w:rsidR="00B14CF7" w:rsidRPr="001B4A02" w:rsidRDefault="00B14CF7" w:rsidP="00ED48A3">
            <w:pPr>
              <w:pStyle w:val="EMEANormal"/>
              <w:rPr>
                <w:szCs w:val="22"/>
                <w:lang w:val="cs-CZ"/>
              </w:rPr>
            </w:pPr>
          </w:p>
        </w:tc>
        <w:tc>
          <w:tcPr>
            <w:tcW w:w="1890" w:type="dxa"/>
            <w:tcBorders>
              <w:top w:val="nil"/>
              <w:left w:val="nil"/>
              <w:bottom w:val="nil"/>
              <w:right w:val="nil"/>
            </w:tcBorders>
            <w:shd w:val="clear" w:color="auto" w:fill="auto"/>
          </w:tcPr>
          <w:p w14:paraId="7BC2D465" w14:textId="77777777" w:rsidR="00B14CF7" w:rsidRPr="001B4A02" w:rsidRDefault="00B14CF7" w:rsidP="00ED48A3">
            <w:pPr>
              <w:pStyle w:val="EMEANormal"/>
              <w:rPr>
                <w:szCs w:val="22"/>
                <w:lang w:val="cs-CZ"/>
              </w:rPr>
            </w:pPr>
          </w:p>
        </w:tc>
        <w:tc>
          <w:tcPr>
            <w:tcW w:w="720" w:type="dxa"/>
            <w:tcBorders>
              <w:top w:val="nil"/>
              <w:left w:val="nil"/>
              <w:bottom w:val="nil"/>
              <w:right w:val="nil"/>
            </w:tcBorders>
            <w:shd w:val="clear" w:color="auto" w:fill="auto"/>
          </w:tcPr>
          <w:p w14:paraId="7C5B2C5C" w14:textId="77777777" w:rsidR="00B14CF7" w:rsidRPr="001B4A02" w:rsidRDefault="00B14CF7" w:rsidP="00ED48A3">
            <w:pPr>
              <w:pStyle w:val="EMEANormal"/>
              <w:rPr>
                <w:szCs w:val="22"/>
                <w:lang w:val="cs-CZ"/>
              </w:rPr>
            </w:pPr>
          </w:p>
        </w:tc>
        <w:tc>
          <w:tcPr>
            <w:tcW w:w="1170" w:type="dxa"/>
            <w:tcBorders>
              <w:top w:val="nil"/>
              <w:left w:val="nil"/>
              <w:bottom w:val="nil"/>
              <w:right w:val="nil"/>
            </w:tcBorders>
            <w:shd w:val="clear" w:color="auto" w:fill="auto"/>
          </w:tcPr>
          <w:p w14:paraId="50C1C76C" w14:textId="77777777" w:rsidR="00B14CF7" w:rsidRPr="001B4A02" w:rsidRDefault="00B14CF7" w:rsidP="00ED48A3">
            <w:pPr>
              <w:pStyle w:val="EMEANormal"/>
              <w:rPr>
                <w:szCs w:val="22"/>
                <w:lang w:val="cs-CZ"/>
              </w:rPr>
            </w:pPr>
          </w:p>
        </w:tc>
        <w:tc>
          <w:tcPr>
            <w:tcW w:w="1080" w:type="dxa"/>
            <w:tcBorders>
              <w:top w:val="nil"/>
              <w:left w:val="nil"/>
              <w:bottom w:val="nil"/>
              <w:right w:val="nil"/>
            </w:tcBorders>
            <w:shd w:val="clear" w:color="auto" w:fill="auto"/>
          </w:tcPr>
          <w:p w14:paraId="350C59C5" w14:textId="77777777" w:rsidR="00B14CF7" w:rsidRPr="001B4A02" w:rsidRDefault="00B14CF7" w:rsidP="00ED48A3">
            <w:pPr>
              <w:pStyle w:val="EMEANormal"/>
              <w:rPr>
                <w:szCs w:val="22"/>
                <w:lang w:val="cs-CZ"/>
              </w:rPr>
            </w:pPr>
          </w:p>
        </w:tc>
      </w:tr>
      <w:tr w:rsidR="00534A2D" w14:paraId="60A6C7F9" w14:textId="77777777" w:rsidTr="00B14CF7">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shd w:val="clear" w:color="auto" w:fill="auto"/>
          </w:tcPr>
          <w:p w14:paraId="6CA9067B" w14:textId="77777777" w:rsidR="00B14CF7" w:rsidRPr="001B4A02" w:rsidRDefault="00000000" w:rsidP="00ED48A3">
            <w:pPr>
              <w:pStyle w:val="EMEANormal"/>
              <w:rPr>
                <w:szCs w:val="22"/>
                <w:lang w:val="cs-CZ"/>
              </w:rPr>
            </w:pPr>
            <w:r w:rsidRPr="001B4A02">
              <w:rPr>
                <w:szCs w:val="22"/>
                <w:lang w:val="cs-CZ"/>
              </w:rPr>
              <w:tab/>
              <w:t>Placebo</w:t>
            </w:r>
          </w:p>
        </w:tc>
        <w:tc>
          <w:tcPr>
            <w:tcW w:w="720" w:type="dxa"/>
            <w:tcBorders>
              <w:top w:val="nil"/>
              <w:left w:val="nil"/>
              <w:bottom w:val="nil"/>
              <w:right w:val="nil"/>
            </w:tcBorders>
            <w:shd w:val="clear" w:color="auto" w:fill="auto"/>
          </w:tcPr>
          <w:p w14:paraId="2B6A8762" w14:textId="77777777" w:rsidR="00B14CF7" w:rsidRPr="001B4A02" w:rsidRDefault="00000000" w:rsidP="00ED48A3">
            <w:pPr>
              <w:pStyle w:val="EMEANormal"/>
              <w:rPr>
                <w:szCs w:val="22"/>
                <w:lang w:val="cs-CZ"/>
              </w:rPr>
            </w:pPr>
            <w:r w:rsidRPr="001B4A02">
              <w:rPr>
                <w:szCs w:val="22"/>
                <w:lang w:val="cs-CZ"/>
              </w:rPr>
              <w:t>111</w:t>
            </w:r>
          </w:p>
        </w:tc>
        <w:tc>
          <w:tcPr>
            <w:tcW w:w="1170" w:type="dxa"/>
            <w:tcBorders>
              <w:top w:val="nil"/>
              <w:left w:val="nil"/>
              <w:bottom w:val="nil"/>
              <w:right w:val="nil"/>
            </w:tcBorders>
            <w:shd w:val="clear" w:color="auto" w:fill="auto"/>
          </w:tcPr>
          <w:p w14:paraId="30D88741" w14:textId="77777777" w:rsidR="00B14CF7" w:rsidRPr="001B4A02" w:rsidRDefault="00000000" w:rsidP="00ED48A3">
            <w:pPr>
              <w:pStyle w:val="EMEANormal"/>
              <w:rPr>
                <w:szCs w:val="22"/>
                <w:lang w:val="cs-CZ"/>
              </w:rPr>
            </w:pPr>
            <w:r w:rsidRPr="001B4A02">
              <w:rPr>
                <w:szCs w:val="22"/>
                <w:lang w:val="cs-CZ"/>
              </w:rPr>
              <w:t>61 (55,0)</w:t>
            </w:r>
          </w:p>
        </w:tc>
        <w:tc>
          <w:tcPr>
            <w:tcW w:w="1890" w:type="dxa"/>
            <w:tcBorders>
              <w:top w:val="nil"/>
              <w:left w:val="nil"/>
              <w:bottom w:val="nil"/>
              <w:right w:val="nil"/>
            </w:tcBorders>
            <w:shd w:val="clear" w:color="auto" w:fill="auto"/>
          </w:tcPr>
          <w:p w14:paraId="7DC99B7B" w14:textId="77777777" w:rsidR="00B14CF7" w:rsidRPr="001B4A02" w:rsidRDefault="00000000" w:rsidP="00ED48A3">
            <w:pPr>
              <w:pStyle w:val="EMEANormal"/>
              <w:rPr>
                <w:szCs w:val="22"/>
                <w:lang w:val="cs-CZ"/>
              </w:rPr>
            </w:pPr>
            <w:r w:rsidRPr="001B4A02">
              <w:rPr>
                <w:szCs w:val="22"/>
                <w:lang w:val="cs-CZ"/>
              </w:rPr>
              <w:t>8,3</w:t>
            </w:r>
          </w:p>
        </w:tc>
        <w:tc>
          <w:tcPr>
            <w:tcW w:w="720" w:type="dxa"/>
            <w:tcBorders>
              <w:top w:val="nil"/>
              <w:left w:val="nil"/>
              <w:bottom w:val="nil"/>
              <w:right w:val="nil"/>
            </w:tcBorders>
            <w:shd w:val="clear" w:color="auto" w:fill="auto"/>
          </w:tcPr>
          <w:p w14:paraId="3A5EB9D7" w14:textId="77777777" w:rsidR="00B14CF7" w:rsidRPr="001B4A02" w:rsidRDefault="00000000" w:rsidP="00ED48A3">
            <w:pPr>
              <w:pStyle w:val="EMEANormal"/>
              <w:rPr>
                <w:szCs w:val="22"/>
                <w:lang w:val="cs-CZ"/>
              </w:rPr>
            </w:pPr>
            <w:r w:rsidRPr="001B4A02">
              <w:rPr>
                <w:szCs w:val="22"/>
                <w:lang w:val="cs-CZ"/>
              </w:rPr>
              <w:t>--</w:t>
            </w:r>
          </w:p>
        </w:tc>
        <w:tc>
          <w:tcPr>
            <w:tcW w:w="1170" w:type="dxa"/>
            <w:tcBorders>
              <w:top w:val="nil"/>
              <w:left w:val="nil"/>
              <w:bottom w:val="nil"/>
              <w:right w:val="nil"/>
            </w:tcBorders>
            <w:shd w:val="clear" w:color="auto" w:fill="auto"/>
          </w:tcPr>
          <w:p w14:paraId="5F0C4632" w14:textId="77777777" w:rsidR="00B14CF7" w:rsidRPr="001B4A02" w:rsidRDefault="00000000" w:rsidP="00ED48A3">
            <w:pPr>
              <w:pStyle w:val="EMEANormal"/>
              <w:rPr>
                <w:szCs w:val="22"/>
                <w:lang w:val="cs-CZ"/>
              </w:rPr>
            </w:pPr>
            <w:r w:rsidRPr="001B4A02">
              <w:rPr>
                <w:szCs w:val="22"/>
                <w:lang w:val="cs-CZ"/>
              </w:rPr>
              <w:t>--</w:t>
            </w:r>
          </w:p>
        </w:tc>
        <w:tc>
          <w:tcPr>
            <w:tcW w:w="1080" w:type="dxa"/>
            <w:tcBorders>
              <w:top w:val="nil"/>
              <w:left w:val="nil"/>
              <w:bottom w:val="nil"/>
              <w:right w:val="nil"/>
            </w:tcBorders>
            <w:shd w:val="clear" w:color="auto" w:fill="auto"/>
          </w:tcPr>
          <w:p w14:paraId="74EDC4E0" w14:textId="77777777" w:rsidR="00B14CF7" w:rsidRPr="001B4A02" w:rsidRDefault="00000000" w:rsidP="00ED48A3">
            <w:pPr>
              <w:pStyle w:val="EMEANormal"/>
              <w:rPr>
                <w:szCs w:val="22"/>
                <w:lang w:val="cs-CZ"/>
              </w:rPr>
            </w:pPr>
            <w:r w:rsidRPr="001B4A02">
              <w:rPr>
                <w:szCs w:val="22"/>
                <w:lang w:val="cs-CZ"/>
              </w:rPr>
              <w:t>--</w:t>
            </w:r>
          </w:p>
        </w:tc>
      </w:tr>
      <w:tr w:rsidR="00534A2D" w14:paraId="782FAA23" w14:textId="77777777" w:rsidTr="00B14CF7">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shd w:val="clear" w:color="auto" w:fill="auto"/>
          </w:tcPr>
          <w:p w14:paraId="79528C5F" w14:textId="77777777" w:rsidR="00B14CF7" w:rsidRPr="001B4A02" w:rsidRDefault="00000000" w:rsidP="00ED48A3">
            <w:pPr>
              <w:pStyle w:val="EMEANormal"/>
              <w:rPr>
                <w:szCs w:val="22"/>
                <w:lang w:val="cs-CZ"/>
              </w:rPr>
            </w:pPr>
            <w:r w:rsidRPr="001B4A02">
              <w:rPr>
                <w:szCs w:val="22"/>
                <w:lang w:val="cs-CZ"/>
              </w:rPr>
              <w:tab/>
              <w:t>Adalimumab</w:t>
            </w:r>
          </w:p>
        </w:tc>
        <w:tc>
          <w:tcPr>
            <w:tcW w:w="720" w:type="dxa"/>
            <w:tcBorders>
              <w:top w:val="nil"/>
              <w:left w:val="nil"/>
              <w:bottom w:val="single" w:sz="4" w:space="0" w:color="auto"/>
              <w:right w:val="nil"/>
            </w:tcBorders>
            <w:shd w:val="clear" w:color="auto" w:fill="auto"/>
          </w:tcPr>
          <w:p w14:paraId="6EE00E72" w14:textId="77777777" w:rsidR="00B14CF7" w:rsidRPr="001B4A02" w:rsidRDefault="00000000" w:rsidP="00ED48A3">
            <w:pPr>
              <w:pStyle w:val="EMEANormal"/>
              <w:rPr>
                <w:szCs w:val="22"/>
                <w:lang w:val="cs-CZ"/>
              </w:rPr>
            </w:pPr>
            <w:r w:rsidRPr="001B4A02">
              <w:rPr>
                <w:szCs w:val="22"/>
                <w:lang w:val="cs-CZ"/>
              </w:rPr>
              <w:t>115</w:t>
            </w:r>
          </w:p>
        </w:tc>
        <w:tc>
          <w:tcPr>
            <w:tcW w:w="1170" w:type="dxa"/>
            <w:tcBorders>
              <w:top w:val="nil"/>
              <w:left w:val="nil"/>
              <w:bottom w:val="single" w:sz="4" w:space="0" w:color="auto"/>
              <w:right w:val="nil"/>
            </w:tcBorders>
            <w:shd w:val="clear" w:color="auto" w:fill="auto"/>
          </w:tcPr>
          <w:p w14:paraId="24972806" w14:textId="77777777" w:rsidR="00B14CF7" w:rsidRPr="001B4A02" w:rsidRDefault="00000000" w:rsidP="00ED48A3">
            <w:pPr>
              <w:pStyle w:val="EMEANormal"/>
              <w:rPr>
                <w:szCs w:val="22"/>
                <w:lang w:val="cs-CZ"/>
              </w:rPr>
            </w:pPr>
            <w:r w:rsidRPr="001B4A02">
              <w:rPr>
                <w:szCs w:val="22"/>
                <w:lang w:val="cs-CZ"/>
              </w:rPr>
              <w:t>45 (39,1)</w:t>
            </w:r>
          </w:p>
        </w:tc>
        <w:tc>
          <w:tcPr>
            <w:tcW w:w="1890" w:type="dxa"/>
            <w:tcBorders>
              <w:top w:val="nil"/>
              <w:left w:val="nil"/>
              <w:bottom w:val="single" w:sz="4" w:space="0" w:color="auto"/>
              <w:right w:val="nil"/>
            </w:tcBorders>
            <w:shd w:val="clear" w:color="auto" w:fill="auto"/>
          </w:tcPr>
          <w:p w14:paraId="55E7245A" w14:textId="77777777" w:rsidR="00B14CF7" w:rsidRPr="001B4A02" w:rsidRDefault="00000000" w:rsidP="00ED48A3">
            <w:pPr>
              <w:pStyle w:val="EMEANormal"/>
              <w:rPr>
                <w:szCs w:val="22"/>
                <w:lang w:val="cs-CZ"/>
              </w:rPr>
            </w:pPr>
            <w:r w:rsidRPr="001B4A02">
              <w:rPr>
                <w:szCs w:val="22"/>
                <w:lang w:val="cs-CZ"/>
              </w:rPr>
              <w:t>NE</w:t>
            </w:r>
            <w:r w:rsidRPr="001B4A02">
              <w:rPr>
                <w:szCs w:val="22"/>
                <w:vertAlign w:val="superscript"/>
                <w:lang w:val="cs-CZ"/>
              </w:rPr>
              <w:t>c</w:t>
            </w:r>
          </w:p>
        </w:tc>
        <w:tc>
          <w:tcPr>
            <w:tcW w:w="720" w:type="dxa"/>
            <w:tcBorders>
              <w:top w:val="nil"/>
              <w:left w:val="nil"/>
              <w:bottom w:val="single" w:sz="4" w:space="0" w:color="auto"/>
              <w:right w:val="nil"/>
            </w:tcBorders>
            <w:shd w:val="clear" w:color="auto" w:fill="auto"/>
          </w:tcPr>
          <w:p w14:paraId="1F6A770D" w14:textId="77777777" w:rsidR="00B14CF7" w:rsidRPr="001B4A02" w:rsidRDefault="00000000" w:rsidP="00ED48A3">
            <w:pPr>
              <w:pStyle w:val="EMEANormal"/>
              <w:rPr>
                <w:szCs w:val="22"/>
                <w:lang w:val="cs-CZ"/>
              </w:rPr>
            </w:pPr>
            <w:r w:rsidRPr="001B4A02">
              <w:rPr>
                <w:szCs w:val="22"/>
                <w:lang w:val="cs-CZ"/>
              </w:rPr>
              <w:t>0,57</w:t>
            </w:r>
          </w:p>
        </w:tc>
        <w:tc>
          <w:tcPr>
            <w:tcW w:w="1170" w:type="dxa"/>
            <w:tcBorders>
              <w:top w:val="nil"/>
              <w:left w:val="nil"/>
              <w:bottom w:val="single" w:sz="4" w:space="0" w:color="auto"/>
              <w:right w:val="nil"/>
            </w:tcBorders>
            <w:shd w:val="clear" w:color="auto" w:fill="auto"/>
          </w:tcPr>
          <w:p w14:paraId="5265E5D8" w14:textId="77777777" w:rsidR="00B14CF7" w:rsidRPr="001B4A02" w:rsidRDefault="00000000" w:rsidP="00ED48A3">
            <w:pPr>
              <w:pStyle w:val="EMEANormal"/>
              <w:rPr>
                <w:szCs w:val="22"/>
                <w:lang w:val="cs-CZ"/>
              </w:rPr>
            </w:pPr>
            <w:r w:rsidRPr="001B4A02">
              <w:rPr>
                <w:szCs w:val="22"/>
                <w:lang w:val="cs-CZ"/>
              </w:rPr>
              <w:t>0,39, 0,84</w:t>
            </w:r>
          </w:p>
        </w:tc>
        <w:tc>
          <w:tcPr>
            <w:tcW w:w="1080" w:type="dxa"/>
            <w:tcBorders>
              <w:top w:val="nil"/>
              <w:left w:val="nil"/>
              <w:bottom w:val="single" w:sz="4" w:space="0" w:color="auto"/>
              <w:right w:val="nil"/>
            </w:tcBorders>
            <w:shd w:val="clear" w:color="auto" w:fill="auto"/>
          </w:tcPr>
          <w:p w14:paraId="2A2F6B2F" w14:textId="77777777" w:rsidR="00B14CF7" w:rsidRPr="001B4A02" w:rsidRDefault="00000000" w:rsidP="00ED48A3">
            <w:pPr>
              <w:pStyle w:val="EMEANormal"/>
              <w:rPr>
                <w:szCs w:val="22"/>
                <w:lang w:val="cs-CZ"/>
              </w:rPr>
            </w:pPr>
            <w:r w:rsidRPr="001B4A02">
              <w:rPr>
                <w:szCs w:val="22"/>
                <w:lang w:val="cs-CZ"/>
              </w:rPr>
              <w:t>0,004</w:t>
            </w:r>
          </w:p>
        </w:tc>
      </w:tr>
    </w:tbl>
    <w:p w14:paraId="579EE62B" w14:textId="77777777" w:rsidR="00B14CF7" w:rsidRPr="001B4A02" w:rsidRDefault="00000000" w:rsidP="00ED48A3">
      <w:pPr>
        <w:pStyle w:val="EMEANormal"/>
        <w:rPr>
          <w:szCs w:val="22"/>
          <w:lang w:val="cs-CZ"/>
        </w:rPr>
      </w:pPr>
      <w:r w:rsidRPr="001B4A02">
        <w:rPr>
          <w:szCs w:val="22"/>
          <w:lang w:val="cs-CZ"/>
        </w:rPr>
        <w:t xml:space="preserve">Poznámka: </w:t>
      </w:r>
      <w:r w:rsidR="00C735ED" w:rsidRPr="001B4A02">
        <w:rPr>
          <w:szCs w:val="22"/>
          <w:lang w:val="cs-CZ"/>
        </w:rPr>
        <w:t>s</w:t>
      </w:r>
      <w:r w:rsidRPr="001B4A02">
        <w:rPr>
          <w:szCs w:val="22"/>
          <w:lang w:val="cs-CZ"/>
        </w:rPr>
        <w:t xml:space="preserve">elhání </w:t>
      </w:r>
      <w:r w:rsidR="008B623D" w:rsidRPr="001B4A02">
        <w:rPr>
          <w:szCs w:val="22"/>
          <w:lang w:val="cs-CZ"/>
        </w:rPr>
        <w:t xml:space="preserve">léčby </w:t>
      </w:r>
      <w:r w:rsidRPr="001B4A02">
        <w:rPr>
          <w:szCs w:val="22"/>
          <w:lang w:val="cs-CZ"/>
        </w:rPr>
        <w:t>v</w:t>
      </w:r>
      <w:r w:rsidR="00272620" w:rsidRPr="001B4A02">
        <w:rPr>
          <w:szCs w:val="22"/>
          <w:lang w:val="cs-CZ"/>
        </w:rPr>
        <w:t> </w:t>
      </w:r>
      <w:r w:rsidRPr="001B4A02">
        <w:rPr>
          <w:szCs w:val="22"/>
          <w:lang w:val="cs-CZ"/>
        </w:rPr>
        <w:t>týdnu 6 nebo později (studie UV I) nebo v</w:t>
      </w:r>
      <w:r w:rsidR="00272620" w:rsidRPr="001B4A02">
        <w:rPr>
          <w:szCs w:val="22"/>
          <w:lang w:val="cs-CZ"/>
        </w:rPr>
        <w:t> </w:t>
      </w:r>
      <w:r w:rsidRPr="001B4A02">
        <w:rPr>
          <w:szCs w:val="22"/>
          <w:lang w:val="cs-CZ"/>
        </w:rPr>
        <w:t>týdnu 2 či později (studie UV II) bylo počítáno jako příhoda. Ukončení studie z</w:t>
      </w:r>
      <w:r w:rsidR="00272620" w:rsidRPr="001B4A02">
        <w:rPr>
          <w:szCs w:val="22"/>
          <w:lang w:val="cs-CZ"/>
        </w:rPr>
        <w:t> </w:t>
      </w:r>
      <w:r w:rsidRPr="001B4A02">
        <w:rPr>
          <w:szCs w:val="22"/>
          <w:lang w:val="cs-CZ"/>
        </w:rPr>
        <w:t xml:space="preserve">důvodů jiných než kvůli selhání </w:t>
      </w:r>
      <w:r w:rsidR="00D3072B" w:rsidRPr="001B4A02">
        <w:rPr>
          <w:szCs w:val="22"/>
          <w:lang w:val="cs-CZ"/>
        </w:rPr>
        <w:t xml:space="preserve">léčby </w:t>
      </w:r>
      <w:r w:rsidRPr="001B4A02">
        <w:rPr>
          <w:szCs w:val="22"/>
          <w:lang w:val="cs-CZ"/>
        </w:rPr>
        <w:t xml:space="preserve">bylo </w:t>
      </w:r>
      <w:r w:rsidR="00D3072B" w:rsidRPr="001B4A02">
        <w:rPr>
          <w:szCs w:val="22"/>
          <w:lang w:val="cs-CZ"/>
        </w:rPr>
        <w:t xml:space="preserve">zaznamenáno </w:t>
      </w:r>
      <w:r w:rsidRPr="001B4A02">
        <w:rPr>
          <w:szCs w:val="22"/>
          <w:lang w:val="cs-CZ"/>
        </w:rPr>
        <w:t>v</w:t>
      </w:r>
      <w:r w:rsidR="00272620" w:rsidRPr="001B4A02">
        <w:rPr>
          <w:szCs w:val="22"/>
          <w:lang w:val="cs-CZ"/>
        </w:rPr>
        <w:t> </w:t>
      </w:r>
      <w:r w:rsidRPr="001B4A02">
        <w:rPr>
          <w:szCs w:val="22"/>
          <w:lang w:val="cs-CZ"/>
        </w:rPr>
        <w:t>době ukončení.</w:t>
      </w:r>
    </w:p>
    <w:p w14:paraId="05F0D75E" w14:textId="77777777" w:rsidR="00B14CF7" w:rsidRPr="001B4A02" w:rsidRDefault="00000000" w:rsidP="00ED48A3">
      <w:pPr>
        <w:pStyle w:val="EMEANormal"/>
        <w:numPr>
          <w:ilvl w:val="0"/>
          <w:numId w:val="96"/>
        </w:numPr>
        <w:tabs>
          <w:tab w:val="clear" w:pos="562"/>
        </w:tabs>
        <w:ind w:left="284" w:hanging="284"/>
        <w:rPr>
          <w:szCs w:val="22"/>
          <w:lang w:val="cs-CZ"/>
        </w:rPr>
      </w:pPr>
      <w:r w:rsidRPr="001B4A02">
        <w:rPr>
          <w:szCs w:val="22"/>
          <w:lang w:val="cs-CZ"/>
        </w:rPr>
        <w:t>HR adalimumab vs. placebo z</w:t>
      </w:r>
      <w:r w:rsidR="00272620" w:rsidRPr="001B4A02">
        <w:rPr>
          <w:szCs w:val="22"/>
          <w:lang w:val="cs-CZ"/>
        </w:rPr>
        <w:t> </w:t>
      </w:r>
      <w:r w:rsidRPr="001B4A02">
        <w:rPr>
          <w:szCs w:val="22"/>
          <w:lang w:val="cs-CZ"/>
        </w:rPr>
        <w:t xml:space="preserve">regrese poměrných rizik </w:t>
      </w:r>
      <w:r w:rsidR="00D3072B" w:rsidRPr="001B4A02">
        <w:rPr>
          <w:szCs w:val="22"/>
          <w:lang w:val="cs-CZ"/>
        </w:rPr>
        <w:t>s</w:t>
      </w:r>
      <w:r w:rsidR="00272620" w:rsidRPr="001B4A02">
        <w:rPr>
          <w:szCs w:val="22"/>
          <w:lang w:val="cs-CZ"/>
        </w:rPr>
        <w:t> </w:t>
      </w:r>
      <w:r w:rsidRPr="001B4A02">
        <w:rPr>
          <w:szCs w:val="22"/>
          <w:lang w:val="cs-CZ"/>
        </w:rPr>
        <w:t>faktorem</w:t>
      </w:r>
      <w:r w:rsidR="008E65C9" w:rsidRPr="001B4A02">
        <w:rPr>
          <w:szCs w:val="22"/>
          <w:lang w:val="cs-CZ"/>
        </w:rPr>
        <w:t>,</w:t>
      </w:r>
      <w:r w:rsidR="00D3072B" w:rsidRPr="001B4A02">
        <w:rPr>
          <w:szCs w:val="22"/>
          <w:lang w:val="cs-CZ"/>
        </w:rPr>
        <w:t xml:space="preserve"> jako je léčba.</w:t>
      </w:r>
    </w:p>
    <w:p w14:paraId="0382D92A" w14:textId="77777777" w:rsidR="00B14CF7" w:rsidRPr="001B4A02" w:rsidRDefault="00000000" w:rsidP="00ED48A3">
      <w:pPr>
        <w:pStyle w:val="EMEANormal"/>
        <w:numPr>
          <w:ilvl w:val="0"/>
          <w:numId w:val="96"/>
        </w:numPr>
        <w:tabs>
          <w:tab w:val="clear" w:pos="562"/>
        </w:tabs>
        <w:ind w:left="284" w:hanging="284"/>
        <w:rPr>
          <w:szCs w:val="22"/>
          <w:lang w:val="cs-CZ"/>
        </w:rPr>
      </w:pPr>
      <w:r w:rsidRPr="001B4A02">
        <w:rPr>
          <w:szCs w:val="22"/>
          <w:lang w:val="cs-CZ"/>
        </w:rPr>
        <w:t xml:space="preserve">2stranná </w:t>
      </w:r>
      <w:r w:rsidRPr="001B4A02">
        <w:rPr>
          <w:i/>
          <w:szCs w:val="22"/>
          <w:lang w:val="cs-CZ"/>
        </w:rPr>
        <w:t>P</w:t>
      </w:r>
      <w:r w:rsidRPr="001B4A02">
        <w:rPr>
          <w:szCs w:val="22"/>
          <w:lang w:val="cs-CZ"/>
        </w:rPr>
        <w:t xml:space="preserve"> hodnota z</w:t>
      </w:r>
      <w:r w:rsidR="00272620" w:rsidRPr="001B4A02">
        <w:rPr>
          <w:szCs w:val="22"/>
          <w:lang w:val="cs-CZ"/>
        </w:rPr>
        <w:t> </w:t>
      </w:r>
      <w:r w:rsidRPr="001B4A02">
        <w:rPr>
          <w:szCs w:val="22"/>
          <w:lang w:val="cs-CZ"/>
        </w:rPr>
        <w:t>log rank testu</w:t>
      </w:r>
      <w:r w:rsidR="00D3072B" w:rsidRPr="001B4A02">
        <w:rPr>
          <w:szCs w:val="22"/>
          <w:lang w:val="cs-CZ"/>
        </w:rPr>
        <w:t>.</w:t>
      </w:r>
    </w:p>
    <w:p w14:paraId="4DD1D395" w14:textId="77777777" w:rsidR="00B14CF7" w:rsidRPr="001B4A02" w:rsidRDefault="00000000" w:rsidP="00ED48A3">
      <w:pPr>
        <w:pStyle w:val="EMEANormal"/>
        <w:numPr>
          <w:ilvl w:val="0"/>
          <w:numId w:val="96"/>
        </w:numPr>
        <w:tabs>
          <w:tab w:val="clear" w:pos="562"/>
        </w:tabs>
        <w:ind w:left="284" w:hanging="284"/>
        <w:rPr>
          <w:szCs w:val="22"/>
          <w:lang w:val="cs-CZ"/>
        </w:rPr>
      </w:pPr>
      <w:r w:rsidRPr="001B4A02">
        <w:rPr>
          <w:szCs w:val="22"/>
          <w:lang w:val="cs-CZ"/>
        </w:rPr>
        <w:t>NE = nehodnotitelný. K příhodě došlo u</w:t>
      </w:r>
      <w:r w:rsidR="00272620" w:rsidRPr="001B4A02">
        <w:rPr>
          <w:szCs w:val="22"/>
          <w:lang w:val="cs-CZ"/>
        </w:rPr>
        <w:t> </w:t>
      </w:r>
      <w:r w:rsidRPr="001B4A02">
        <w:rPr>
          <w:szCs w:val="22"/>
          <w:lang w:val="cs-CZ"/>
        </w:rPr>
        <w:t>méně než poloviny rizikových subjektů</w:t>
      </w:r>
      <w:r w:rsidR="00D3072B" w:rsidRPr="001B4A02">
        <w:rPr>
          <w:szCs w:val="22"/>
          <w:lang w:val="cs-CZ"/>
        </w:rPr>
        <w:t>.</w:t>
      </w:r>
      <w:r w:rsidRPr="001B4A02">
        <w:rPr>
          <w:szCs w:val="22"/>
          <w:lang w:val="cs-CZ"/>
        </w:rPr>
        <w:t xml:space="preserve"> </w:t>
      </w:r>
    </w:p>
    <w:p w14:paraId="05AEE53B" w14:textId="77777777" w:rsidR="00B14CF7" w:rsidRPr="001B4A02" w:rsidRDefault="00B14CF7" w:rsidP="00ED48A3">
      <w:pPr>
        <w:pStyle w:val="EMEANormal"/>
        <w:rPr>
          <w:szCs w:val="22"/>
          <w:lang w:val="cs-CZ"/>
        </w:rPr>
      </w:pPr>
    </w:p>
    <w:p w14:paraId="219CC3B4" w14:textId="77777777" w:rsidR="00B14CF7" w:rsidRPr="001B4A02" w:rsidRDefault="00000000" w:rsidP="00ED48A3">
      <w:pPr>
        <w:pStyle w:val="EMEANormal"/>
        <w:keepNext/>
        <w:jc w:val="center"/>
        <w:rPr>
          <w:b/>
          <w:szCs w:val="22"/>
          <w:lang w:val="cs-CZ"/>
        </w:rPr>
      </w:pPr>
      <w:r w:rsidRPr="001B4A02">
        <w:rPr>
          <w:b/>
          <w:szCs w:val="22"/>
          <w:lang w:val="cs-CZ"/>
        </w:rPr>
        <w:t xml:space="preserve">Obrázek </w:t>
      </w:r>
      <w:r w:rsidR="00A05B57">
        <w:rPr>
          <w:b/>
          <w:szCs w:val="22"/>
          <w:lang w:val="cs-CZ"/>
        </w:rPr>
        <w:t>2</w:t>
      </w:r>
      <w:r w:rsidRPr="001B4A02">
        <w:rPr>
          <w:b/>
          <w:szCs w:val="22"/>
          <w:lang w:val="cs-CZ"/>
        </w:rPr>
        <w:t xml:space="preserve">: Kaplan-Meierovy křivky shrnující dobu do selhání </w:t>
      </w:r>
      <w:r w:rsidR="00D3072B" w:rsidRPr="001B4A02">
        <w:rPr>
          <w:b/>
          <w:szCs w:val="22"/>
          <w:lang w:val="cs-CZ"/>
        </w:rPr>
        <w:t xml:space="preserve">léčby </w:t>
      </w:r>
      <w:r w:rsidRPr="001B4A02">
        <w:rPr>
          <w:b/>
          <w:szCs w:val="22"/>
          <w:lang w:val="cs-CZ"/>
        </w:rPr>
        <w:t>v</w:t>
      </w:r>
      <w:r w:rsidR="00D41D1A" w:rsidRPr="001B4A02">
        <w:rPr>
          <w:b/>
          <w:szCs w:val="22"/>
          <w:lang w:val="cs-CZ"/>
        </w:rPr>
        <w:t> </w:t>
      </w:r>
      <w:r w:rsidRPr="001B4A02">
        <w:rPr>
          <w:b/>
          <w:szCs w:val="22"/>
          <w:lang w:val="cs-CZ"/>
        </w:rPr>
        <w:t>týdnu 6 nebo později (studie UV I) nebo v</w:t>
      </w:r>
      <w:r w:rsidR="00D41D1A" w:rsidRPr="001B4A02">
        <w:rPr>
          <w:b/>
          <w:szCs w:val="22"/>
          <w:lang w:val="cs-CZ"/>
        </w:rPr>
        <w:t> </w:t>
      </w:r>
      <w:r w:rsidRPr="001B4A02">
        <w:rPr>
          <w:b/>
          <w:szCs w:val="22"/>
          <w:lang w:val="cs-CZ"/>
        </w:rPr>
        <w:t xml:space="preserve">týdnu 2 nebo později (studie UV II) </w:t>
      </w:r>
    </w:p>
    <w:p w14:paraId="160C9DDF" w14:textId="77777777" w:rsidR="00B14CF7" w:rsidRPr="001B4A02" w:rsidRDefault="00B14CF7" w:rsidP="00ED48A3">
      <w:pPr>
        <w:pStyle w:val="EMEANormal"/>
        <w:keepNext/>
        <w:jc w:val="center"/>
        <w:rPr>
          <w:b/>
          <w:szCs w:val="22"/>
          <w:lang w:val="cs-CZ"/>
        </w:rPr>
      </w:pPr>
    </w:p>
    <w:tbl>
      <w:tblPr>
        <w:tblW w:w="9481" w:type="dxa"/>
        <w:tblLayout w:type="fixed"/>
        <w:tblLook w:val="04A0" w:firstRow="1" w:lastRow="0" w:firstColumn="1" w:lastColumn="0" w:noHBand="0" w:noVBand="1"/>
      </w:tblPr>
      <w:tblGrid>
        <w:gridCol w:w="675"/>
        <w:gridCol w:w="3496"/>
        <w:gridCol w:w="1170"/>
        <w:gridCol w:w="1350"/>
        <w:gridCol w:w="900"/>
        <w:gridCol w:w="1890"/>
      </w:tblGrid>
      <w:tr w:rsidR="00534A2D" w14:paraId="1BDBF54C" w14:textId="77777777" w:rsidTr="00AA1CF3">
        <w:trPr>
          <w:cantSplit/>
          <w:trHeight w:val="3806"/>
        </w:trPr>
        <w:tc>
          <w:tcPr>
            <w:tcW w:w="675" w:type="dxa"/>
            <w:shd w:val="clear" w:color="auto" w:fill="auto"/>
            <w:textDirection w:val="btLr"/>
            <w:vAlign w:val="bottom"/>
          </w:tcPr>
          <w:p w14:paraId="7D112071" w14:textId="77777777" w:rsidR="00B14CF7" w:rsidRPr="001B4A02" w:rsidRDefault="00000000" w:rsidP="00D3072B">
            <w:pPr>
              <w:pStyle w:val="EMEANormal"/>
              <w:keepNext/>
              <w:ind w:left="113" w:right="113"/>
              <w:jc w:val="center"/>
              <w:rPr>
                <w:b/>
                <w:szCs w:val="22"/>
                <w:lang w:val="cs-CZ"/>
              </w:rPr>
            </w:pPr>
            <w:r w:rsidRPr="001B4A02">
              <w:rPr>
                <w:b/>
                <w:szCs w:val="22"/>
                <w:lang w:val="cs-CZ"/>
              </w:rPr>
              <w:t xml:space="preserve">ČETNOST SELHÁNÍ </w:t>
            </w:r>
            <w:r w:rsidR="00D3072B" w:rsidRPr="001B4A02">
              <w:rPr>
                <w:b/>
                <w:szCs w:val="22"/>
                <w:lang w:val="cs-CZ"/>
              </w:rPr>
              <w:t xml:space="preserve">LÉČBY </w:t>
            </w:r>
            <w:r w:rsidRPr="001B4A02">
              <w:rPr>
                <w:b/>
                <w:szCs w:val="22"/>
                <w:lang w:val="cs-CZ"/>
              </w:rPr>
              <w:t>(%)</w:t>
            </w:r>
          </w:p>
        </w:tc>
        <w:tc>
          <w:tcPr>
            <w:tcW w:w="8806" w:type="dxa"/>
            <w:gridSpan w:val="5"/>
            <w:shd w:val="clear" w:color="auto" w:fill="auto"/>
            <w:vAlign w:val="bottom"/>
          </w:tcPr>
          <w:p w14:paraId="1516843E" w14:textId="77777777" w:rsidR="00B14CF7" w:rsidRPr="001B4A02" w:rsidRDefault="00000000" w:rsidP="00ED48A3">
            <w:pPr>
              <w:pStyle w:val="EMEANormal"/>
              <w:keepNext/>
              <w:rPr>
                <w:szCs w:val="22"/>
                <w:lang w:val="cs-CZ"/>
              </w:rPr>
            </w:pPr>
            <w:r w:rsidRPr="001B4A02">
              <w:rPr>
                <w:noProof/>
                <w:szCs w:val="22"/>
              </w:rPr>
              <w:drawing>
                <wp:inline distT="0" distB="0" distL="0" distR="0" wp14:anchorId="1D408A36" wp14:editId="50030A04">
                  <wp:extent cx="5356860" cy="2208530"/>
                  <wp:effectExtent l="0" t="0" r="0" b="1270"/>
                  <wp:docPr id="488" name="obrázek 488"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icture 488" descr="Humira Uveitis Figure 5_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56860" cy="2208530"/>
                          </a:xfrm>
                          <a:prstGeom prst="rect">
                            <a:avLst/>
                          </a:prstGeom>
                          <a:noFill/>
                          <a:ln>
                            <a:noFill/>
                          </a:ln>
                        </pic:spPr>
                      </pic:pic>
                    </a:graphicData>
                  </a:graphic>
                </wp:inline>
              </w:drawing>
            </w:r>
          </w:p>
        </w:tc>
      </w:tr>
      <w:tr w:rsidR="00534A2D" w14:paraId="3DA6BE86" w14:textId="77777777" w:rsidTr="00AA1CF3">
        <w:tc>
          <w:tcPr>
            <w:tcW w:w="675" w:type="dxa"/>
            <w:shd w:val="clear" w:color="auto" w:fill="auto"/>
          </w:tcPr>
          <w:p w14:paraId="605E35FB" w14:textId="77777777" w:rsidR="00B14CF7" w:rsidRPr="001B4A02" w:rsidRDefault="00B14CF7" w:rsidP="00ED48A3">
            <w:pPr>
              <w:pStyle w:val="EMEANormal"/>
              <w:rPr>
                <w:szCs w:val="22"/>
                <w:lang w:val="cs-CZ"/>
              </w:rPr>
            </w:pPr>
          </w:p>
        </w:tc>
        <w:tc>
          <w:tcPr>
            <w:tcW w:w="8806" w:type="dxa"/>
            <w:gridSpan w:val="5"/>
            <w:shd w:val="clear" w:color="auto" w:fill="auto"/>
          </w:tcPr>
          <w:p w14:paraId="1949C211" w14:textId="77777777" w:rsidR="00B14CF7" w:rsidRPr="001B4A02" w:rsidRDefault="00000000" w:rsidP="00ED48A3">
            <w:pPr>
              <w:pStyle w:val="EMEANormal"/>
              <w:jc w:val="center"/>
              <w:rPr>
                <w:b/>
                <w:szCs w:val="22"/>
                <w:lang w:val="cs-CZ"/>
              </w:rPr>
            </w:pPr>
            <w:r w:rsidRPr="001B4A02">
              <w:rPr>
                <w:b/>
                <w:szCs w:val="22"/>
                <w:lang w:val="cs-CZ"/>
              </w:rPr>
              <w:t>ČAS (MĚSÍCE)</w:t>
            </w:r>
          </w:p>
        </w:tc>
      </w:tr>
      <w:tr w:rsidR="00534A2D" w14:paraId="7D62D91A" w14:textId="77777777" w:rsidTr="00AA1CF3">
        <w:tc>
          <w:tcPr>
            <w:tcW w:w="675" w:type="dxa"/>
            <w:shd w:val="clear" w:color="auto" w:fill="auto"/>
          </w:tcPr>
          <w:p w14:paraId="40E7E4EF" w14:textId="77777777" w:rsidR="00B14CF7" w:rsidRPr="001B4A02" w:rsidRDefault="00B14CF7" w:rsidP="00ED48A3">
            <w:pPr>
              <w:pStyle w:val="EMEANormal"/>
              <w:rPr>
                <w:szCs w:val="22"/>
                <w:lang w:val="cs-CZ"/>
              </w:rPr>
            </w:pPr>
          </w:p>
        </w:tc>
        <w:tc>
          <w:tcPr>
            <w:tcW w:w="3496" w:type="dxa"/>
            <w:shd w:val="clear" w:color="auto" w:fill="auto"/>
          </w:tcPr>
          <w:p w14:paraId="1B467EE4" w14:textId="77777777" w:rsidR="00B14CF7" w:rsidRPr="001B4A02" w:rsidRDefault="00000000" w:rsidP="00ED48A3">
            <w:pPr>
              <w:pStyle w:val="EMEANormal"/>
              <w:rPr>
                <w:szCs w:val="22"/>
                <w:lang w:val="cs-CZ"/>
              </w:rPr>
            </w:pPr>
            <w:r w:rsidRPr="001B4A02">
              <w:rPr>
                <w:szCs w:val="22"/>
                <w:lang w:val="cs-CZ"/>
              </w:rPr>
              <w:t>Studie UV I                      Léčba</w:t>
            </w:r>
          </w:p>
        </w:tc>
        <w:tc>
          <w:tcPr>
            <w:tcW w:w="1170" w:type="dxa"/>
            <w:shd w:val="clear" w:color="auto" w:fill="auto"/>
          </w:tcPr>
          <w:p w14:paraId="7A7EB10A" w14:textId="77777777" w:rsidR="00B14CF7" w:rsidRPr="001B4A02" w:rsidRDefault="00000000" w:rsidP="00ED48A3">
            <w:pPr>
              <w:pStyle w:val="EMEANormal"/>
              <w:jc w:val="right"/>
              <w:rPr>
                <w:szCs w:val="22"/>
                <w:lang w:val="cs-CZ"/>
              </w:rPr>
            </w:pPr>
            <w:r w:rsidRPr="001B4A02">
              <w:rPr>
                <w:noProof/>
                <w:szCs w:val="22"/>
              </w:rPr>
              <w:drawing>
                <wp:inline distT="0" distB="0" distL="0" distR="0" wp14:anchorId="1FA41179" wp14:editId="743F1683">
                  <wp:extent cx="405130" cy="180975"/>
                  <wp:effectExtent l="0" t="0" r="0" b="9525"/>
                  <wp:docPr id="489" name="obrázek 48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489"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5130" cy="180975"/>
                          </a:xfrm>
                          <a:prstGeom prst="rect">
                            <a:avLst/>
                          </a:prstGeom>
                          <a:noFill/>
                          <a:ln>
                            <a:noFill/>
                          </a:ln>
                        </pic:spPr>
                      </pic:pic>
                    </a:graphicData>
                  </a:graphic>
                </wp:inline>
              </w:drawing>
            </w:r>
          </w:p>
        </w:tc>
        <w:tc>
          <w:tcPr>
            <w:tcW w:w="1350" w:type="dxa"/>
            <w:shd w:val="clear" w:color="auto" w:fill="auto"/>
          </w:tcPr>
          <w:p w14:paraId="695AC005" w14:textId="77777777" w:rsidR="00B14CF7" w:rsidRPr="001B4A02" w:rsidRDefault="00000000" w:rsidP="00ED48A3">
            <w:pPr>
              <w:pStyle w:val="EMEANormal"/>
              <w:rPr>
                <w:szCs w:val="22"/>
                <w:lang w:val="cs-CZ"/>
              </w:rPr>
            </w:pPr>
            <w:r w:rsidRPr="001B4A02">
              <w:rPr>
                <w:szCs w:val="22"/>
                <w:lang w:val="cs-CZ"/>
              </w:rPr>
              <w:t>Placebo</w:t>
            </w:r>
          </w:p>
        </w:tc>
        <w:tc>
          <w:tcPr>
            <w:tcW w:w="900" w:type="dxa"/>
            <w:shd w:val="clear" w:color="auto" w:fill="auto"/>
          </w:tcPr>
          <w:p w14:paraId="59857587" w14:textId="77777777" w:rsidR="00B14CF7" w:rsidRPr="001B4A02" w:rsidRDefault="00000000" w:rsidP="00ED48A3">
            <w:pPr>
              <w:pStyle w:val="EMEANormal"/>
              <w:jc w:val="right"/>
              <w:rPr>
                <w:szCs w:val="22"/>
                <w:lang w:val="cs-CZ"/>
              </w:rPr>
            </w:pPr>
            <w:r w:rsidRPr="001B4A02">
              <w:rPr>
                <w:noProof/>
                <w:szCs w:val="22"/>
              </w:rPr>
              <w:drawing>
                <wp:inline distT="0" distB="0" distL="0" distR="0" wp14:anchorId="334F8B56" wp14:editId="0DA143E1">
                  <wp:extent cx="569595" cy="180975"/>
                  <wp:effectExtent l="0" t="0" r="1905" b="9525"/>
                  <wp:docPr id="490" name="obrázek 490"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9595" cy="180975"/>
                          </a:xfrm>
                          <a:prstGeom prst="rect">
                            <a:avLst/>
                          </a:prstGeom>
                          <a:noFill/>
                          <a:ln>
                            <a:noFill/>
                          </a:ln>
                        </pic:spPr>
                      </pic:pic>
                    </a:graphicData>
                  </a:graphic>
                </wp:inline>
              </w:drawing>
            </w:r>
          </w:p>
        </w:tc>
        <w:tc>
          <w:tcPr>
            <w:tcW w:w="1890" w:type="dxa"/>
            <w:shd w:val="clear" w:color="auto" w:fill="auto"/>
          </w:tcPr>
          <w:p w14:paraId="6FFAA397" w14:textId="77777777" w:rsidR="00B14CF7" w:rsidRPr="001B4A02" w:rsidRDefault="00000000" w:rsidP="00ED48A3">
            <w:pPr>
              <w:pStyle w:val="EMEANormal"/>
              <w:rPr>
                <w:szCs w:val="22"/>
                <w:lang w:val="cs-CZ"/>
              </w:rPr>
            </w:pPr>
            <w:r w:rsidRPr="001B4A02">
              <w:rPr>
                <w:szCs w:val="22"/>
                <w:lang w:val="cs-CZ"/>
              </w:rPr>
              <w:t>Adalimumab</w:t>
            </w:r>
          </w:p>
        </w:tc>
      </w:tr>
      <w:tr w:rsidR="00534A2D" w14:paraId="02B33D35" w14:textId="77777777" w:rsidTr="00AA1CF3">
        <w:trPr>
          <w:trHeight w:val="3869"/>
        </w:trPr>
        <w:tc>
          <w:tcPr>
            <w:tcW w:w="675" w:type="dxa"/>
            <w:shd w:val="clear" w:color="auto" w:fill="auto"/>
            <w:textDirection w:val="btLr"/>
            <w:vAlign w:val="bottom"/>
          </w:tcPr>
          <w:p w14:paraId="542FC762" w14:textId="77777777" w:rsidR="00B14CF7" w:rsidRPr="001B4A02" w:rsidRDefault="00000000" w:rsidP="00D3072B">
            <w:pPr>
              <w:pStyle w:val="EMEANormal"/>
              <w:jc w:val="center"/>
              <w:rPr>
                <w:szCs w:val="22"/>
                <w:lang w:val="cs-CZ"/>
              </w:rPr>
            </w:pPr>
            <w:r w:rsidRPr="001B4A02">
              <w:rPr>
                <w:b/>
                <w:szCs w:val="22"/>
                <w:lang w:val="cs-CZ"/>
              </w:rPr>
              <w:t xml:space="preserve">ČETNOST SELHÁNÍ </w:t>
            </w:r>
            <w:r w:rsidR="00D3072B" w:rsidRPr="001B4A02">
              <w:rPr>
                <w:b/>
                <w:szCs w:val="22"/>
                <w:lang w:val="cs-CZ"/>
              </w:rPr>
              <w:t xml:space="preserve">LÉČBY </w:t>
            </w:r>
            <w:r w:rsidRPr="001B4A02">
              <w:rPr>
                <w:b/>
                <w:szCs w:val="22"/>
                <w:lang w:val="cs-CZ"/>
              </w:rPr>
              <w:t>(%)</w:t>
            </w:r>
          </w:p>
        </w:tc>
        <w:tc>
          <w:tcPr>
            <w:tcW w:w="8806" w:type="dxa"/>
            <w:gridSpan w:val="5"/>
            <w:shd w:val="clear" w:color="auto" w:fill="auto"/>
            <w:vAlign w:val="bottom"/>
          </w:tcPr>
          <w:p w14:paraId="4800EE11" w14:textId="77777777" w:rsidR="00B14CF7" w:rsidRPr="001B4A02" w:rsidRDefault="00B14CF7" w:rsidP="00ED48A3">
            <w:pPr>
              <w:pStyle w:val="EMEANormal"/>
              <w:rPr>
                <w:szCs w:val="22"/>
                <w:lang w:val="cs-CZ"/>
              </w:rPr>
            </w:pPr>
          </w:p>
          <w:p w14:paraId="66B9D87E" w14:textId="77777777" w:rsidR="00761827" w:rsidRPr="001B4A02" w:rsidRDefault="00000000" w:rsidP="00ED48A3">
            <w:pPr>
              <w:pStyle w:val="EMEANormal"/>
              <w:rPr>
                <w:szCs w:val="22"/>
                <w:lang w:val="cs-CZ"/>
              </w:rPr>
            </w:pPr>
            <w:r w:rsidRPr="001B4A02">
              <w:rPr>
                <w:noProof/>
                <w:szCs w:val="22"/>
              </w:rPr>
              <w:drawing>
                <wp:inline distT="0" distB="0" distL="0" distR="0" wp14:anchorId="7EB5B5D9" wp14:editId="1C0E3EFE">
                  <wp:extent cx="5356860" cy="2182495"/>
                  <wp:effectExtent l="0" t="0" r="0" b="8255"/>
                  <wp:docPr id="491" name="obrázek 491"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1" descr="Humira Uveitis Figure 5_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356860" cy="2182495"/>
                          </a:xfrm>
                          <a:prstGeom prst="rect">
                            <a:avLst/>
                          </a:prstGeom>
                          <a:noFill/>
                          <a:ln>
                            <a:noFill/>
                          </a:ln>
                        </pic:spPr>
                      </pic:pic>
                    </a:graphicData>
                  </a:graphic>
                </wp:inline>
              </w:drawing>
            </w:r>
          </w:p>
        </w:tc>
      </w:tr>
      <w:tr w:rsidR="00534A2D" w14:paraId="708F169F" w14:textId="77777777" w:rsidTr="00AA1CF3">
        <w:tc>
          <w:tcPr>
            <w:tcW w:w="675" w:type="dxa"/>
            <w:shd w:val="clear" w:color="auto" w:fill="auto"/>
          </w:tcPr>
          <w:p w14:paraId="313FCF28" w14:textId="77777777" w:rsidR="00B14CF7" w:rsidRPr="001B4A02" w:rsidRDefault="00B14CF7" w:rsidP="00ED48A3">
            <w:pPr>
              <w:pStyle w:val="EMEANormal"/>
              <w:rPr>
                <w:szCs w:val="22"/>
                <w:lang w:val="cs-CZ"/>
              </w:rPr>
            </w:pPr>
          </w:p>
        </w:tc>
        <w:tc>
          <w:tcPr>
            <w:tcW w:w="8806" w:type="dxa"/>
            <w:gridSpan w:val="5"/>
            <w:shd w:val="clear" w:color="auto" w:fill="auto"/>
          </w:tcPr>
          <w:p w14:paraId="77FAEE26" w14:textId="77777777" w:rsidR="00B14CF7" w:rsidRPr="001B4A02" w:rsidRDefault="00000000" w:rsidP="00ED48A3">
            <w:pPr>
              <w:pStyle w:val="EMEANormal"/>
              <w:jc w:val="center"/>
              <w:rPr>
                <w:b/>
                <w:szCs w:val="22"/>
                <w:lang w:val="cs-CZ"/>
              </w:rPr>
            </w:pPr>
            <w:r w:rsidRPr="001B4A02">
              <w:rPr>
                <w:b/>
                <w:szCs w:val="22"/>
                <w:lang w:val="cs-CZ"/>
              </w:rPr>
              <w:t>ČAS (MĚSÍCE)</w:t>
            </w:r>
          </w:p>
        </w:tc>
      </w:tr>
      <w:tr w:rsidR="00534A2D" w14:paraId="534D6078" w14:textId="77777777" w:rsidTr="00AA1CF3">
        <w:trPr>
          <w:trHeight w:val="369"/>
        </w:trPr>
        <w:tc>
          <w:tcPr>
            <w:tcW w:w="675" w:type="dxa"/>
            <w:shd w:val="clear" w:color="auto" w:fill="auto"/>
          </w:tcPr>
          <w:p w14:paraId="3C63C47A" w14:textId="77777777" w:rsidR="00B14CF7" w:rsidRPr="001B4A02" w:rsidRDefault="00B14CF7" w:rsidP="00ED48A3">
            <w:pPr>
              <w:pStyle w:val="EMEANormal"/>
              <w:rPr>
                <w:szCs w:val="22"/>
                <w:lang w:val="cs-CZ"/>
              </w:rPr>
            </w:pPr>
          </w:p>
        </w:tc>
        <w:tc>
          <w:tcPr>
            <w:tcW w:w="3496" w:type="dxa"/>
            <w:shd w:val="clear" w:color="auto" w:fill="auto"/>
          </w:tcPr>
          <w:p w14:paraId="5A7559C1" w14:textId="77777777" w:rsidR="00B14CF7" w:rsidRPr="001B4A02" w:rsidRDefault="00000000" w:rsidP="00ED48A3">
            <w:pPr>
              <w:pStyle w:val="EMEANormal"/>
              <w:rPr>
                <w:szCs w:val="22"/>
                <w:lang w:val="cs-CZ"/>
              </w:rPr>
            </w:pPr>
            <w:r w:rsidRPr="001B4A02">
              <w:rPr>
                <w:szCs w:val="22"/>
                <w:lang w:val="cs-CZ"/>
              </w:rPr>
              <w:t>Studie UV II                   Léčba</w:t>
            </w:r>
          </w:p>
        </w:tc>
        <w:tc>
          <w:tcPr>
            <w:tcW w:w="1170" w:type="dxa"/>
            <w:shd w:val="clear" w:color="auto" w:fill="auto"/>
          </w:tcPr>
          <w:p w14:paraId="63012E5B" w14:textId="77777777" w:rsidR="00B14CF7" w:rsidRPr="001B4A02" w:rsidRDefault="00000000" w:rsidP="00ED48A3">
            <w:pPr>
              <w:pStyle w:val="EMEANormal"/>
              <w:jc w:val="right"/>
              <w:rPr>
                <w:szCs w:val="22"/>
                <w:lang w:val="cs-CZ"/>
              </w:rPr>
            </w:pPr>
            <w:r w:rsidRPr="001B4A02">
              <w:rPr>
                <w:noProof/>
                <w:szCs w:val="22"/>
              </w:rPr>
              <w:drawing>
                <wp:inline distT="0" distB="0" distL="0" distR="0" wp14:anchorId="6993652C" wp14:editId="569D2D16">
                  <wp:extent cx="405130" cy="180975"/>
                  <wp:effectExtent l="0" t="0" r="0" b="9525"/>
                  <wp:docPr id="492" name="obrázek 49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5130" cy="180975"/>
                          </a:xfrm>
                          <a:prstGeom prst="rect">
                            <a:avLst/>
                          </a:prstGeom>
                          <a:noFill/>
                          <a:ln>
                            <a:noFill/>
                          </a:ln>
                        </pic:spPr>
                      </pic:pic>
                    </a:graphicData>
                  </a:graphic>
                </wp:inline>
              </w:drawing>
            </w:r>
          </w:p>
        </w:tc>
        <w:tc>
          <w:tcPr>
            <w:tcW w:w="1350" w:type="dxa"/>
            <w:shd w:val="clear" w:color="auto" w:fill="auto"/>
          </w:tcPr>
          <w:p w14:paraId="3F5C52D1" w14:textId="77777777" w:rsidR="00B14CF7" w:rsidRPr="001B4A02" w:rsidRDefault="00000000" w:rsidP="00ED48A3">
            <w:pPr>
              <w:pStyle w:val="EMEANormal"/>
              <w:rPr>
                <w:szCs w:val="22"/>
                <w:lang w:val="cs-CZ"/>
              </w:rPr>
            </w:pPr>
            <w:r w:rsidRPr="001B4A02">
              <w:rPr>
                <w:szCs w:val="22"/>
                <w:lang w:val="cs-CZ"/>
              </w:rPr>
              <w:t>Placebo</w:t>
            </w:r>
          </w:p>
        </w:tc>
        <w:tc>
          <w:tcPr>
            <w:tcW w:w="900" w:type="dxa"/>
            <w:shd w:val="clear" w:color="auto" w:fill="auto"/>
          </w:tcPr>
          <w:p w14:paraId="53E1FC22" w14:textId="77777777" w:rsidR="00B14CF7" w:rsidRPr="001B4A02" w:rsidRDefault="00000000" w:rsidP="00ED48A3">
            <w:pPr>
              <w:pStyle w:val="EMEANormal"/>
              <w:jc w:val="right"/>
              <w:rPr>
                <w:szCs w:val="22"/>
                <w:lang w:val="cs-CZ"/>
              </w:rPr>
            </w:pPr>
            <w:r w:rsidRPr="001B4A02">
              <w:rPr>
                <w:noProof/>
                <w:szCs w:val="22"/>
              </w:rPr>
              <w:drawing>
                <wp:inline distT="0" distB="0" distL="0" distR="0" wp14:anchorId="66D7989B" wp14:editId="7806568F">
                  <wp:extent cx="569595" cy="180975"/>
                  <wp:effectExtent l="0" t="0" r="1905" b="9525"/>
                  <wp:docPr id="493" name="obrázek 49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icture 493"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9595" cy="180975"/>
                          </a:xfrm>
                          <a:prstGeom prst="rect">
                            <a:avLst/>
                          </a:prstGeom>
                          <a:noFill/>
                          <a:ln>
                            <a:noFill/>
                          </a:ln>
                        </pic:spPr>
                      </pic:pic>
                    </a:graphicData>
                  </a:graphic>
                </wp:inline>
              </w:drawing>
            </w:r>
          </w:p>
        </w:tc>
        <w:tc>
          <w:tcPr>
            <w:tcW w:w="1890" w:type="dxa"/>
            <w:shd w:val="clear" w:color="auto" w:fill="auto"/>
          </w:tcPr>
          <w:p w14:paraId="1F9286E2" w14:textId="77777777" w:rsidR="00B14CF7" w:rsidRPr="001B4A02" w:rsidRDefault="00000000" w:rsidP="00ED48A3">
            <w:pPr>
              <w:pStyle w:val="EMEANormal"/>
              <w:rPr>
                <w:szCs w:val="22"/>
                <w:lang w:val="cs-CZ"/>
              </w:rPr>
            </w:pPr>
            <w:r w:rsidRPr="001B4A02">
              <w:rPr>
                <w:szCs w:val="22"/>
                <w:lang w:val="cs-CZ"/>
              </w:rPr>
              <w:t>Adalimumab</w:t>
            </w:r>
          </w:p>
        </w:tc>
      </w:tr>
      <w:tr w:rsidR="00534A2D" w14:paraId="33975214" w14:textId="77777777" w:rsidTr="00AA1CF3">
        <w:trPr>
          <w:trHeight w:val="629"/>
        </w:trPr>
        <w:tc>
          <w:tcPr>
            <w:tcW w:w="9481" w:type="dxa"/>
            <w:gridSpan w:val="6"/>
            <w:shd w:val="clear" w:color="auto" w:fill="auto"/>
            <w:vAlign w:val="center"/>
          </w:tcPr>
          <w:p w14:paraId="5A7AC9AA" w14:textId="77777777" w:rsidR="00B14CF7" w:rsidRPr="001B4A02" w:rsidRDefault="00000000" w:rsidP="00D3072B">
            <w:pPr>
              <w:pStyle w:val="EMEANormal"/>
              <w:rPr>
                <w:szCs w:val="22"/>
                <w:lang w:val="cs-CZ"/>
              </w:rPr>
            </w:pPr>
            <w:r w:rsidRPr="001B4A02">
              <w:rPr>
                <w:szCs w:val="22"/>
                <w:lang w:val="cs-CZ"/>
              </w:rPr>
              <w:t xml:space="preserve">Poznámka: P# = </w:t>
            </w:r>
            <w:r w:rsidR="00662E9B" w:rsidRPr="001B4A02">
              <w:rPr>
                <w:szCs w:val="22"/>
                <w:lang w:val="cs-CZ"/>
              </w:rPr>
              <w:t>p</w:t>
            </w:r>
            <w:r w:rsidRPr="001B4A02">
              <w:rPr>
                <w:szCs w:val="22"/>
                <w:lang w:val="cs-CZ"/>
              </w:rPr>
              <w:t xml:space="preserve">lacebo (počet příhod/počet </w:t>
            </w:r>
            <w:r w:rsidR="00D3072B" w:rsidRPr="001B4A02">
              <w:rPr>
                <w:szCs w:val="22"/>
                <w:lang w:val="cs-CZ"/>
              </w:rPr>
              <w:t>v</w:t>
            </w:r>
            <w:r w:rsidR="00272620" w:rsidRPr="001B4A02">
              <w:rPr>
                <w:szCs w:val="22"/>
                <w:lang w:val="cs-CZ"/>
              </w:rPr>
              <w:t> </w:t>
            </w:r>
            <w:r w:rsidR="00D3072B" w:rsidRPr="001B4A02">
              <w:rPr>
                <w:szCs w:val="22"/>
                <w:lang w:val="cs-CZ"/>
              </w:rPr>
              <w:t>riziku</w:t>
            </w:r>
            <w:r w:rsidRPr="001B4A02">
              <w:rPr>
                <w:szCs w:val="22"/>
                <w:lang w:val="cs-CZ"/>
              </w:rPr>
              <w:t xml:space="preserve">); A# = </w:t>
            </w:r>
            <w:r w:rsidR="00B85453" w:rsidRPr="001B4A02">
              <w:rPr>
                <w:szCs w:val="22"/>
                <w:lang w:val="cs-CZ"/>
              </w:rPr>
              <w:t xml:space="preserve">přípravek </w:t>
            </w:r>
            <w:r w:rsidRPr="001B4A02">
              <w:rPr>
                <w:szCs w:val="22"/>
                <w:lang w:val="cs-CZ"/>
              </w:rPr>
              <w:t xml:space="preserve">HUMIRA (počet příhod/ počet </w:t>
            </w:r>
            <w:r w:rsidR="00D3072B" w:rsidRPr="001B4A02">
              <w:rPr>
                <w:szCs w:val="22"/>
                <w:lang w:val="cs-CZ"/>
              </w:rPr>
              <w:t>v</w:t>
            </w:r>
            <w:r w:rsidR="00272620" w:rsidRPr="001B4A02">
              <w:rPr>
                <w:szCs w:val="22"/>
                <w:lang w:val="cs-CZ"/>
              </w:rPr>
              <w:t> </w:t>
            </w:r>
            <w:r w:rsidR="00D3072B" w:rsidRPr="001B4A02">
              <w:rPr>
                <w:szCs w:val="22"/>
                <w:lang w:val="cs-CZ"/>
              </w:rPr>
              <w:t>riziku</w:t>
            </w:r>
            <w:r w:rsidRPr="001B4A02">
              <w:rPr>
                <w:szCs w:val="22"/>
                <w:lang w:val="cs-CZ"/>
              </w:rPr>
              <w:t>)</w:t>
            </w:r>
          </w:p>
        </w:tc>
      </w:tr>
    </w:tbl>
    <w:p w14:paraId="4F34A281" w14:textId="77777777" w:rsidR="00B14CF7" w:rsidRPr="001B4A02" w:rsidRDefault="00B14CF7" w:rsidP="00ED48A3">
      <w:pPr>
        <w:pStyle w:val="EMEANormal"/>
        <w:rPr>
          <w:lang w:val="cs-CZ"/>
        </w:rPr>
      </w:pPr>
    </w:p>
    <w:p w14:paraId="314B1584" w14:textId="77777777" w:rsidR="00B14CF7" w:rsidRPr="001B4A02" w:rsidRDefault="00000000" w:rsidP="00ED48A3">
      <w:pPr>
        <w:pStyle w:val="EMEANormal"/>
        <w:rPr>
          <w:lang w:val="cs-CZ"/>
        </w:rPr>
      </w:pPr>
      <w:r w:rsidRPr="001B4A02">
        <w:rPr>
          <w:lang w:val="cs-CZ"/>
        </w:rPr>
        <w:t xml:space="preserve">Ve studii UV </w:t>
      </w:r>
      <w:r w:rsidR="00C66830" w:rsidRPr="001B4A02">
        <w:rPr>
          <w:lang w:val="cs-CZ"/>
        </w:rPr>
        <w:t xml:space="preserve">I </w:t>
      </w:r>
      <w:r w:rsidRPr="001B4A02">
        <w:rPr>
          <w:lang w:val="cs-CZ"/>
        </w:rPr>
        <w:t>byly pozorovány statisticky významné rozdíly ve prospěch adalimumabu v</w:t>
      </w:r>
      <w:r w:rsidR="00272620" w:rsidRPr="001B4A02">
        <w:rPr>
          <w:lang w:val="cs-CZ"/>
        </w:rPr>
        <w:t> </w:t>
      </w:r>
      <w:r w:rsidRPr="001B4A02">
        <w:rPr>
          <w:lang w:val="cs-CZ"/>
        </w:rPr>
        <w:t>porovnání</w:t>
      </w:r>
      <w:r w:rsidR="002B28FC" w:rsidRPr="001B4A02">
        <w:rPr>
          <w:lang w:val="cs-CZ"/>
        </w:rPr>
        <w:t xml:space="preserve"> </w:t>
      </w:r>
      <w:r w:rsidRPr="001B4A02">
        <w:rPr>
          <w:lang w:val="cs-CZ"/>
        </w:rPr>
        <w:t>s</w:t>
      </w:r>
      <w:r w:rsidR="008A4562" w:rsidRPr="001B4A02">
        <w:rPr>
          <w:lang w:val="cs-CZ"/>
        </w:rPr>
        <w:t> </w:t>
      </w:r>
      <w:r w:rsidRPr="001B4A02">
        <w:rPr>
          <w:lang w:val="cs-CZ"/>
        </w:rPr>
        <w:t>placebem u</w:t>
      </w:r>
      <w:r w:rsidR="00272620" w:rsidRPr="001B4A02">
        <w:rPr>
          <w:lang w:val="cs-CZ"/>
        </w:rPr>
        <w:t> </w:t>
      </w:r>
      <w:r w:rsidRPr="001B4A02">
        <w:rPr>
          <w:lang w:val="cs-CZ"/>
        </w:rPr>
        <w:t>každé</w:t>
      </w:r>
      <w:r w:rsidR="00D3072B" w:rsidRPr="001B4A02">
        <w:rPr>
          <w:lang w:val="cs-CZ"/>
        </w:rPr>
        <w:t>ho důvodu</w:t>
      </w:r>
      <w:r w:rsidRPr="001B4A02">
        <w:rPr>
          <w:lang w:val="cs-CZ"/>
        </w:rPr>
        <w:t xml:space="preserve"> selhání </w:t>
      </w:r>
      <w:r w:rsidR="00DD18C5" w:rsidRPr="001B4A02">
        <w:rPr>
          <w:lang w:val="cs-CZ"/>
        </w:rPr>
        <w:t>léčby</w:t>
      </w:r>
      <w:r w:rsidRPr="001B4A02">
        <w:rPr>
          <w:lang w:val="cs-CZ"/>
        </w:rPr>
        <w:t>. Ve studii UV II byly pozorovány statisticky významné rozdíly jen u</w:t>
      </w:r>
      <w:r w:rsidR="00272620" w:rsidRPr="001B4A02">
        <w:rPr>
          <w:lang w:val="cs-CZ"/>
        </w:rPr>
        <w:t> </w:t>
      </w:r>
      <w:r w:rsidRPr="001B4A02">
        <w:rPr>
          <w:lang w:val="cs-CZ"/>
        </w:rPr>
        <w:t xml:space="preserve">zrakové ostrosti, ale ostatní </w:t>
      </w:r>
      <w:r w:rsidR="00D3072B" w:rsidRPr="001B4A02">
        <w:rPr>
          <w:lang w:val="cs-CZ"/>
        </w:rPr>
        <w:t xml:space="preserve">důvody byly početně </w:t>
      </w:r>
      <w:r w:rsidRPr="001B4A02">
        <w:rPr>
          <w:lang w:val="cs-CZ"/>
        </w:rPr>
        <w:t>ve prospěch adalimumab</w:t>
      </w:r>
      <w:r w:rsidR="00662E9B" w:rsidRPr="001B4A02">
        <w:rPr>
          <w:lang w:val="cs-CZ"/>
        </w:rPr>
        <w:t>u</w:t>
      </w:r>
      <w:r w:rsidRPr="001B4A02">
        <w:rPr>
          <w:lang w:val="cs-CZ"/>
        </w:rPr>
        <w:t>.</w:t>
      </w:r>
    </w:p>
    <w:p w14:paraId="28853CF3" w14:textId="77777777" w:rsidR="008762B8" w:rsidRPr="001B4A02" w:rsidRDefault="008762B8" w:rsidP="00ED48A3">
      <w:pPr>
        <w:pStyle w:val="EMEANormal"/>
        <w:rPr>
          <w:lang w:val="cs-CZ"/>
        </w:rPr>
      </w:pPr>
    </w:p>
    <w:p w14:paraId="1A800182" w14:textId="77777777" w:rsidR="008762B8" w:rsidRPr="001B4A02" w:rsidRDefault="00000000" w:rsidP="008762B8">
      <w:pPr>
        <w:ind w:left="0" w:firstLine="0"/>
      </w:pPr>
      <w:r w:rsidRPr="001B4A02">
        <w:t>Ze 417</w:t>
      </w:r>
      <w:r w:rsidR="009663D1" w:rsidRPr="001B4A02">
        <w:t xml:space="preserve"> </w:t>
      </w:r>
      <w:r w:rsidR="00723D64" w:rsidRPr="001B4A02">
        <w:t>subjektů</w:t>
      </w:r>
      <w:r w:rsidRPr="001B4A02">
        <w:t xml:space="preserve"> zařazených do nekontrolovaných dlouhodobých prodloužení studií UV I</w:t>
      </w:r>
      <w:r w:rsidR="002378E0">
        <w:t xml:space="preserve"> a </w:t>
      </w:r>
      <w:r w:rsidRPr="001B4A02">
        <w:t>UV II bylo 46</w:t>
      </w:r>
      <w:r w:rsidR="009663D1" w:rsidRPr="001B4A02">
        <w:t xml:space="preserve"> </w:t>
      </w:r>
      <w:r w:rsidR="00723D64" w:rsidRPr="001B4A02">
        <w:t>subjektů</w:t>
      </w:r>
      <w:r w:rsidRPr="001B4A02">
        <w:t xml:space="preserve"> považováno za nezpůsobilé (např. vyvinuly se sekundární komplikace diabetické retinopatie v důsledku katarakty nebo vitrektomie)</w:t>
      </w:r>
      <w:r w:rsidR="002378E0">
        <w:t xml:space="preserve"> a </w:t>
      </w:r>
      <w:r w:rsidRPr="001B4A02">
        <w:t>byl</w:t>
      </w:r>
      <w:r w:rsidR="00723D64" w:rsidRPr="001B4A02">
        <w:t>o</w:t>
      </w:r>
      <w:r w:rsidRPr="001B4A02">
        <w:t xml:space="preserve"> vyřazen</w:t>
      </w:r>
      <w:r w:rsidR="00723D64" w:rsidRPr="001B4A02">
        <w:t>o</w:t>
      </w:r>
      <w:r w:rsidRPr="001B4A02">
        <w:t xml:space="preserve"> z primární analýzy </w:t>
      </w:r>
      <w:r w:rsidR="00FD6A84" w:rsidRPr="001B4A02">
        <w:t>účinnosti. Z</w:t>
      </w:r>
      <w:r w:rsidR="00272620" w:rsidRPr="001B4A02">
        <w:t> </w:t>
      </w:r>
      <w:r w:rsidRPr="001B4A02">
        <w:t>371</w:t>
      </w:r>
      <w:r w:rsidR="00272620" w:rsidRPr="001B4A02">
        <w:t xml:space="preserve"> </w:t>
      </w:r>
      <w:r w:rsidRPr="001B4A02">
        <w:t>zbývajících pacientů dosáhlo 276 hodnotitelných</w:t>
      </w:r>
      <w:r w:rsidR="009663D1" w:rsidRPr="001B4A02">
        <w:t xml:space="preserve"> pacientů</w:t>
      </w:r>
      <w:r w:rsidRPr="001B4A02">
        <w:t xml:space="preserve"> 78 týdnů otevřené léčby adalimumabem. Na základě přístupu pozorovaných dat bylo 222 (80,4 %) </w:t>
      </w:r>
      <w:r w:rsidR="009663D1" w:rsidRPr="001B4A02">
        <w:t xml:space="preserve">pacientů </w:t>
      </w:r>
      <w:r w:rsidRPr="001B4A02">
        <w:t>v klidu (bez aktivních zánětlivých lézí, stupeň AC buněk ≤</w:t>
      </w:r>
      <w:r w:rsidR="008E5C77" w:rsidRPr="001B4A02">
        <w:t> </w:t>
      </w:r>
      <w:r w:rsidRPr="001B4A02">
        <w:t>0,5+, VH stupeň ≤</w:t>
      </w:r>
      <w:r w:rsidR="008E5C77" w:rsidRPr="001B4A02">
        <w:t> </w:t>
      </w:r>
      <w:r w:rsidRPr="001B4A02">
        <w:t xml:space="preserve">0,5+) </w:t>
      </w:r>
      <w:r w:rsidR="009663D1" w:rsidRPr="001B4A02">
        <w:t>na současné dávce</w:t>
      </w:r>
      <w:r w:rsidRPr="001B4A02">
        <w:t xml:space="preserve"> steroidů ≤</w:t>
      </w:r>
      <w:r w:rsidR="008E5C77" w:rsidRPr="001B4A02">
        <w:t> </w:t>
      </w:r>
      <w:r w:rsidRPr="001B4A02">
        <w:t>7,5 mg denně</w:t>
      </w:r>
      <w:r w:rsidR="002378E0">
        <w:t xml:space="preserve"> a </w:t>
      </w:r>
      <w:r w:rsidRPr="001B4A02">
        <w:t xml:space="preserve">184 (66,7 %) </w:t>
      </w:r>
      <w:r w:rsidR="009663D1" w:rsidRPr="001B4A02">
        <w:t xml:space="preserve">pacientů </w:t>
      </w:r>
      <w:r w:rsidRPr="001B4A02">
        <w:t>bylo v klidu bez podávání steroidů. BCVA se buď zlepšila</w:t>
      </w:r>
      <w:r w:rsidR="00723D64" w:rsidRPr="001B4A02">
        <w:t>,</w:t>
      </w:r>
      <w:r w:rsidRPr="001B4A02">
        <w:t xml:space="preserve"> nebo udržela (zhoršení o</w:t>
      </w:r>
      <w:r w:rsidR="00923691" w:rsidRPr="001B4A02">
        <w:t> </w:t>
      </w:r>
      <w:r w:rsidRPr="001B4A02">
        <w:t>&lt;</w:t>
      </w:r>
      <w:r w:rsidR="007375A0" w:rsidRPr="001B4A02">
        <w:t> </w:t>
      </w:r>
      <w:r w:rsidRPr="001B4A02">
        <w:t>5 písmen) u</w:t>
      </w:r>
      <w:r w:rsidR="009B61F3" w:rsidRPr="001B4A02">
        <w:t> </w:t>
      </w:r>
      <w:r w:rsidRPr="001B4A02">
        <w:t>88,4 % očí v týdnu 78. Z</w:t>
      </w:r>
      <w:r w:rsidR="00272620" w:rsidRPr="001B4A02">
        <w:t> </w:t>
      </w:r>
      <w:r w:rsidRPr="001B4A02">
        <w:t xml:space="preserve">pacientů, kteří ukončili studii před týdnem 78, 11 % ukončilo studii </w:t>
      </w:r>
      <w:r w:rsidR="00FD6A84" w:rsidRPr="001B4A02">
        <w:t>z</w:t>
      </w:r>
      <w:r w:rsidR="00272620" w:rsidRPr="001B4A02">
        <w:t> </w:t>
      </w:r>
      <w:r w:rsidR="00FD6A84" w:rsidRPr="001B4A02">
        <w:t>důvodu</w:t>
      </w:r>
      <w:r w:rsidRPr="001B4A02">
        <w:t xml:space="preserve"> nežádoucích příhod</w:t>
      </w:r>
      <w:r w:rsidR="002378E0">
        <w:t xml:space="preserve"> a </w:t>
      </w:r>
      <w:r w:rsidRPr="001B4A02">
        <w:t>5 % v důsledku nedostatečné odpovědi na léčbu adalimumabem.</w:t>
      </w:r>
    </w:p>
    <w:p w14:paraId="3BC699CA" w14:textId="77777777" w:rsidR="008762B8" w:rsidRPr="001B4A02" w:rsidRDefault="008762B8" w:rsidP="00ED48A3">
      <w:pPr>
        <w:pStyle w:val="EMEANormal"/>
        <w:rPr>
          <w:lang w:val="cs-CZ"/>
        </w:rPr>
      </w:pPr>
    </w:p>
    <w:p w14:paraId="4D06B1C0" w14:textId="77777777" w:rsidR="00B14CF7" w:rsidRPr="001B4A02" w:rsidRDefault="00B14CF7" w:rsidP="00ED48A3">
      <w:pPr>
        <w:pStyle w:val="EMEANormal"/>
        <w:rPr>
          <w:lang w:val="cs-CZ"/>
        </w:rPr>
      </w:pPr>
    </w:p>
    <w:p w14:paraId="14DDE4A6" w14:textId="77777777" w:rsidR="00B14CF7" w:rsidRPr="001B4A02" w:rsidRDefault="00000000" w:rsidP="00A03600">
      <w:pPr>
        <w:pStyle w:val="EMEANormal"/>
        <w:keepNext/>
        <w:rPr>
          <w:i/>
          <w:szCs w:val="22"/>
          <w:u w:val="single"/>
          <w:lang w:val="cs-CZ"/>
        </w:rPr>
      </w:pPr>
      <w:r w:rsidRPr="001B4A02">
        <w:rPr>
          <w:i/>
          <w:szCs w:val="22"/>
          <w:u w:val="single"/>
          <w:lang w:val="cs-CZ"/>
        </w:rPr>
        <w:t>Kvalita života</w:t>
      </w:r>
    </w:p>
    <w:p w14:paraId="1F997C3D" w14:textId="77777777" w:rsidR="00B14CF7" w:rsidRPr="001B4A02" w:rsidRDefault="00B14CF7" w:rsidP="00A03600">
      <w:pPr>
        <w:pStyle w:val="EMEANormal"/>
        <w:keepNext/>
        <w:rPr>
          <w:i/>
          <w:szCs w:val="22"/>
          <w:u w:val="single"/>
          <w:lang w:val="cs-CZ"/>
        </w:rPr>
      </w:pPr>
    </w:p>
    <w:p w14:paraId="5E3FF205" w14:textId="77777777" w:rsidR="00B14CF7" w:rsidRPr="001B4A02" w:rsidRDefault="00000000" w:rsidP="00ED48A3">
      <w:pPr>
        <w:pStyle w:val="EMEANormal"/>
        <w:rPr>
          <w:lang w:val="cs-CZ"/>
        </w:rPr>
      </w:pPr>
      <w:r w:rsidRPr="001B4A02">
        <w:rPr>
          <w:lang w:val="cs-CZ"/>
        </w:rPr>
        <w:t xml:space="preserve">Pacienty hlášené </w:t>
      </w:r>
      <w:r w:rsidR="00D3072B" w:rsidRPr="001B4A02">
        <w:rPr>
          <w:lang w:val="cs-CZ"/>
        </w:rPr>
        <w:t xml:space="preserve">výsledky zahrnující </w:t>
      </w:r>
      <w:r w:rsidRPr="001B4A02">
        <w:rPr>
          <w:lang w:val="cs-CZ"/>
        </w:rPr>
        <w:t>zrakové funkce byly hodnoceny v</w:t>
      </w:r>
      <w:r w:rsidR="00463AD9" w:rsidRPr="001B4A02">
        <w:rPr>
          <w:lang w:val="cs-CZ"/>
        </w:rPr>
        <w:t> </w:t>
      </w:r>
      <w:r w:rsidRPr="001B4A02">
        <w:rPr>
          <w:lang w:val="cs-CZ"/>
        </w:rPr>
        <w:t xml:space="preserve">obou klinických studiích za pomoci NEI VFQ-25. Přípravek Humira měl </w:t>
      </w:r>
      <w:r w:rsidR="00D3072B" w:rsidRPr="001B4A02">
        <w:rPr>
          <w:lang w:val="cs-CZ"/>
        </w:rPr>
        <w:t xml:space="preserve">početně </w:t>
      </w:r>
      <w:r w:rsidRPr="001B4A02">
        <w:rPr>
          <w:lang w:val="cs-CZ"/>
        </w:rPr>
        <w:t xml:space="preserve">lepší výsledky ve většině podskóre, přičemž ve studii UV I byl statisticky významný střední rozdíl zaznamenán </w:t>
      </w:r>
      <w:r w:rsidR="00D3072B" w:rsidRPr="001B4A02">
        <w:rPr>
          <w:lang w:val="cs-CZ"/>
        </w:rPr>
        <w:t>všeobecně u</w:t>
      </w:r>
      <w:r w:rsidR="00463AD9" w:rsidRPr="001B4A02">
        <w:rPr>
          <w:lang w:val="cs-CZ"/>
        </w:rPr>
        <w:t> </w:t>
      </w:r>
      <w:r w:rsidR="00D3072B" w:rsidRPr="001B4A02">
        <w:rPr>
          <w:lang w:val="cs-CZ"/>
        </w:rPr>
        <w:t>zraku</w:t>
      </w:r>
      <w:r w:rsidRPr="001B4A02">
        <w:rPr>
          <w:lang w:val="cs-CZ"/>
        </w:rPr>
        <w:t>, bolesti oka, vidění na blízko, duševního zdraví</w:t>
      </w:r>
      <w:r w:rsidR="002378E0">
        <w:rPr>
          <w:lang w:val="cs-CZ"/>
        </w:rPr>
        <w:t xml:space="preserve"> a </w:t>
      </w:r>
      <w:r w:rsidRPr="001B4A02">
        <w:rPr>
          <w:lang w:val="cs-CZ"/>
        </w:rPr>
        <w:t>celkového skóre,</w:t>
      </w:r>
      <w:r w:rsidR="002378E0">
        <w:rPr>
          <w:lang w:val="cs-CZ"/>
        </w:rPr>
        <w:t xml:space="preserve"> a </w:t>
      </w:r>
      <w:r w:rsidRPr="001B4A02">
        <w:rPr>
          <w:lang w:val="cs-CZ"/>
        </w:rPr>
        <w:t xml:space="preserve">ve studii UV II </w:t>
      </w:r>
      <w:r w:rsidR="00D3072B" w:rsidRPr="001B4A02">
        <w:rPr>
          <w:lang w:val="cs-CZ"/>
        </w:rPr>
        <w:t>všeobecně u</w:t>
      </w:r>
      <w:r w:rsidR="00463AD9" w:rsidRPr="001B4A02">
        <w:rPr>
          <w:lang w:val="cs-CZ"/>
        </w:rPr>
        <w:t> </w:t>
      </w:r>
      <w:r w:rsidR="00D3072B" w:rsidRPr="001B4A02">
        <w:rPr>
          <w:lang w:val="cs-CZ"/>
        </w:rPr>
        <w:t>zraku</w:t>
      </w:r>
      <w:r w:rsidR="002378E0">
        <w:rPr>
          <w:lang w:val="cs-CZ"/>
        </w:rPr>
        <w:t xml:space="preserve"> a </w:t>
      </w:r>
      <w:r w:rsidRPr="001B4A02">
        <w:rPr>
          <w:lang w:val="cs-CZ"/>
        </w:rPr>
        <w:t xml:space="preserve">duševního zdraví. </w:t>
      </w:r>
      <w:r w:rsidR="00D3072B" w:rsidRPr="001B4A02">
        <w:rPr>
          <w:lang w:val="cs-CZ"/>
        </w:rPr>
        <w:t xml:space="preserve">Početně nebylo </w:t>
      </w:r>
      <w:r w:rsidRPr="001B4A02">
        <w:rPr>
          <w:lang w:val="cs-CZ"/>
        </w:rPr>
        <w:t>zlepšení zraku vlivem přípravku Humira ve studii UV I pozorováno u barevné</w:t>
      </w:r>
      <w:r w:rsidR="00DF1B81" w:rsidRPr="001B4A02">
        <w:rPr>
          <w:lang w:val="cs-CZ"/>
        </w:rPr>
        <w:t>ho</w:t>
      </w:r>
      <w:r w:rsidRPr="001B4A02">
        <w:rPr>
          <w:lang w:val="cs-CZ"/>
        </w:rPr>
        <w:t xml:space="preserve"> vidění</w:t>
      </w:r>
      <w:r w:rsidR="002378E0">
        <w:rPr>
          <w:lang w:val="cs-CZ"/>
        </w:rPr>
        <w:t xml:space="preserve"> a </w:t>
      </w:r>
      <w:r w:rsidRPr="001B4A02">
        <w:rPr>
          <w:lang w:val="cs-CZ"/>
        </w:rPr>
        <w:t>ve studii UV II u</w:t>
      </w:r>
      <w:r w:rsidR="00463AD9" w:rsidRPr="001B4A02">
        <w:rPr>
          <w:lang w:val="cs-CZ"/>
        </w:rPr>
        <w:t> </w:t>
      </w:r>
      <w:r w:rsidRPr="001B4A02">
        <w:rPr>
          <w:lang w:val="cs-CZ"/>
        </w:rPr>
        <w:t>barevného vidění, periferního vidění</w:t>
      </w:r>
      <w:r w:rsidR="002378E0">
        <w:rPr>
          <w:lang w:val="cs-CZ"/>
        </w:rPr>
        <w:t xml:space="preserve"> a </w:t>
      </w:r>
      <w:r w:rsidRPr="001B4A02">
        <w:rPr>
          <w:lang w:val="cs-CZ"/>
        </w:rPr>
        <w:t>vidění na blízko.</w:t>
      </w:r>
    </w:p>
    <w:p w14:paraId="56349D0E" w14:textId="77777777" w:rsidR="007B57D3" w:rsidRPr="001B4A02" w:rsidRDefault="007B57D3" w:rsidP="00ED48A3">
      <w:pPr>
        <w:pStyle w:val="EMEANormal"/>
        <w:rPr>
          <w:lang w:val="cs-CZ"/>
        </w:rPr>
      </w:pPr>
    </w:p>
    <w:p w14:paraId="3B7A09DD" w14:textId="77777777" w:rsidR="00ED3511" w:rsidRPr="001B4A02" w:rsidRDefault="00000000" w:rsidP="00ED48A3">
      <w:pPr>
        <w:pStyle w:val="EMEANormal"/>
        <w:keepNext/>
        <w:tabs>
          <w:tab w:val="clear" w:pos="562"/>
        </w:tabs>
        <w:suppressAutoHyphens w:val="0"/>
        <w:rPr>
          <w:u w:val="single"/>
          <w:lang w:val="cs-CZ"/>
        </w:rPr>
      </w:pPr>
      <w:r w:rsidRPr="001B4A02">
        <w:rPr>
          <w:u w:val="single"/>
          <w:lang w:val="cs-CZ"/>
        </w:rPr>
        <w:t>Imunogenita</w:t>
      </w:r>
    </w:p>
    <w:p w14:paraId="53D92CB7" w14:textId="77777777" w:rsidR="00ED3511" w:rsidRPr="001B4A02" w:rsidRDefault="00ED3511" w:rsidP="00ED48A3">
      <w:pPr>
        <w:keepNext/>
        <w:ind w:left="0" w:firstLine="0"/>
      </w:pPr>
    </w:p>
    <w:p w14:paraId="4D95429E" w14:textId="77777777" w:rsidR="00ED3511" w:rsidRPr="001B4A02" w:rsidRDefault="00000000" w:rsidP="008A4562">
      <w:pPr>
        <w:ind w:left="0" w:firstLine="0"/>
      </w:pPr>
      <w:r w:rsidRPr="001B4A02">
        <w:t>Tvorba protilátek proti adalimumabu je spojena se zvýšenou clearance</w:t>
      </w:r>
      <w:r w:rsidR="002378E0">
        <w:t xml:space="preserve"> a </w:t>
      </w:r>
      <w:r w:rsidRPr="001B4A02">
        <w:t>sníženou účinností adalimumabu. Mezi přítomností protilátek proti adalimumabu</w:t>
      </w:r>
      <w:r w:rsidR="002378E0">
        <w:t xml:space="preserve"> a </w:t>
      </w:r>
      <w:r w:rsidRPr="001B4A02">
        <w:t>výskytem nežádoucích účinků neexistuje žádná zjevná korelace.</w:t>
      </w:r>
    </w:p>
    <w:p w14:paraId="722994F1" w14:textId="77777777" w:rsidR="00ED3511" w:rsidRPr="001B4A02" w:rsidRDefault="00ED3511" w:rsidP="00ED48A3">
      <w:pPr>
        <w:ind w:left="0" w:firstLine="0"/>
        <w:rPr>
          <w:color w:val="000000"/>
        </w:rPr>
      </w:pPr>
    </w:p>
    <w:p w14:paraId="4043D0D2" w14:textId="77777777" w:rsidR="00ED3511" w:rsidRPr="001B4A02" w:rsidRDefault="00000000" w:rsidP="00ED48A3">
      <w:pPr>
        <w:ind w:left="0" w:firstLine="0"/>
      </w:pPr>
      <w:r w:rsidRPr="001B4A02">
        <w:t>Pacientům ve studiích v</w:t>
      </w:r>
      <w:r w:rsidR="00D41D1A" w:rsidRPr="001B4A02">
        <w:t> </w:t>
      </w:r>
      <w:r w:rsidRPr="001B4A02">
        <w:t>indikaci revmatoidní artritida I, II</w:t>
      </w:r>
      <w:r w:rsidR="002378E0">
        <w:t xml:space="preserve"> a </w:t>
      </w:r>
      <w:r w:rsidRPr="001B4A02">
        <w:t>III byly v různých časových okamžicích prováděny testy na přítomnost protilátek proti adalimumabu,</w:t>
      </w:r>
      <w:r w:rsidR="002378E0">
        <w:t xml:space="preserve"> a </w:t>
      </w:r>
      <w:r w:rsidRPr="001B4A02">
        <w:t>to během 6 až 12měsíčního období léčby. V klíčových studiích byly detekovány protilátky proti adalimum</w:t>
      </w:r>
      <w:r w:rsidR="00D6542D" w:rsidRPr="001B4A02">
        <w:t>abu u 5,5</w:t>
      </w:r>
      <w:r w:rsidR="00AB657C" w:rsidRPr="001B4A02">
        <w:t> </w:t>
      </w:r>
      <w:r w:rsidR="00D6542D" w:rsidRPr="001B4A02">
        <w:t>% (58 z 1</w:t>
      </w:r>
      <w:r w:rsidR="00F67928" w:rsidRPr="001B4A02">
        <w:t> </w:t>
      </w:r>
      <w:r w:rsidR="00D6542D" w:rsidRPr="001B4A02">
        <w:t>053) pacientů</w:t>
      </w:r>
      <w:r w:rsidRPr="001B4A02">
        <w:t xml:space="preserve"> léčených adalimumabem v porovnání s</w:t>
      </w:r>
      <w:r w:rsidR="007C3379" w:rsidRPr="001B4A02">
        <w:t> </w:t>
      </w:r>
      <w:r w:rsidRPr="001B4A02">
        <w:t>0,5</w:t>
      </w:r>
      <w:r w:rsidR="00AB657C" w:rsidRPr="001B4A02">
        <w:t> </w:t>
      </w:r>
      <w:r w:rsidRPr="001B4A02">
        <w:t>% (2 ze 370) pacientů léčených placebem. U pacientů, kteří nebyli souběžně léčeni methotrexátem, byl tento výskyt 12,4</w:t>
      </w:r>
      <w:r w:rsidR="00AB657C" w:rsidRPr="001B4A02">
        <w:t> </w:t>
      </w:r>
      <w:r w:rsidRPr="001B4A02">
        <w:t>% v porovnání s 0,6</w:t>
      </w:r>
      <w:r w:rsidR="00AB657C" w:rsidRPr="001B4A02">
        <w:t> </w:t>
      </w:r>
      <w:r w:rsidRPr="001B4A02">
        <w:t>% v případech, kdy byl adalimumab podáván spolu s léčbou methotrexátem.</w:t>
      </w:r>
    </w:p>
    <w:p w14:paraId="04AED817" w14:textId="77777777" w:rsidR="00ED3511" w:rsidRPr="001B4A02" w:rsidRDefault="00ED3511" w:rsidP="00ED48A3">
      <w:pPr>
        <w:ind w:left="0" w:firstLine="0"/>
      </w:pPr>
    </w:p>
    <w:p w14:paraId="42A4AEFD" w14:textId="77777777" w:rsidR="00ED3511" w:rsidRPr="001B4A02" w:rsidRDefault="00000000" w:rsidP="00ED48A3">
      <w:pPr>
        <w:ind w:left="0" w:firstLine="0"/>
      </w:pPr>
      <w:r w:rsidRPr="001B4A02">
        <w:t xml:space="preserve">U pacientů s polyartikulární juvenilní idiopatickou artritidou ve věku 4 </w:t>
      </w:r>
      <w:r w:rsidR="00451F21" w:rsidRPr="001B4A02">
        <w:rPr>
          <w:shd w:val="clear" w:color="auto" w:fill="FFFFFF"/>
        </w:rPr>
        <w:t>až</w:t>
      </w:r>
      <w:r w:rsidRPr="001B4A02">
        <w:t xml:space="preserve"> 17 let byly protilátky proti adalimumabu identifiková</w:t>
      </w:r>
      <w:r w:rsidR="00D6542D" w:rsidRPr="001B4A02">
        <w:t>ny u</w:t>
      </w:r>
      <w:r w:rsidR="007C3379" w:rsidRPr="001B4A02">
        <w:t> </w:t>
      </w:r>
      <w:r w:rsidR="00D6542D" w:rsidRPr="001B4A02">
        <w:t>15,8</w:t>
      </w:r>
      <w:r w:rsidR="00AB657C" w:rsidRPr="001B4A02">
        <w:t> </w:t>
      </w:r>
      <w:r w:rsidR="00D6542D" w:rsidRPr="001B4A02">
        <w:t>% (27 ze 171) pacientů</w:t>
      </w:r>
      <w:r w:rsidRPr="001B4A02">
        <w:t xml:space="preserve"> léčených adalimumabem. U</w:t>
      </w:r>
      <w:r w:rsidR="007C3379" w:rsidRPr="001B4A02">
        <w:t> </w:t>
      </w:r>
      <w:r w:rsidRPr="001B4A02">
        <w:t xml:space="preserve">pacientů, kteří nedostávali současně methotrexát, </w:t>
      </w:r>
      <w:r w:rsidR="00D6542D" w:rsidRPr="001B4A02">
        <w:t>byla incidence 25,6</w:t>
      </w:r>
      <w:r w:rsidR="00AB657C" w:rsidRPr="001B4A02">
        <w:t> </w:t>
      </w:r>
      <w:r w:rsidR="00D6542D" w:rsidRPr="001B4A02">
        <w:t>% (22 z 86) ve srovnání s</w:t>
      </w:r>
      <w:r w:rsidR="007C3379" w:rsidRPr="001B4A02">
        <w:t> </w:t>
      </w:r>
      <w:r w:rsidR="00D6542D" w:rsidRPr="001B4A02">
        <w:t>5,9</w:t>
      </w:r>
      <w:r w:rsidR="00B14511" w:rsidRPr="001B4A02">
        <w:t> </w:t>
      </w:r>
      <w:r w:rsidR="00D6542D" w:rsidRPr="001B4A02">
        <w:t xml:space="preserve">% (5 z 85) </w:t>
      </w:r>
      <w:r w:rsidRPr="001B4A02">
        <w:t xml:space="preserve">v případě, kdy byl adalimumab </w:t>
      </w:r>
      <w:r w:rsidR="00CD2F67" w:rsidRPr="001B4A02">
        <w:t>po</w:t>
      </w:r>
      <w:r w:rsidRPr="001B4A02">
        <w:t>užíván jako doplňková léčba k</w:t>
      </w:r>
      <w:r w:rsidR="007C3379" w:rsidRPr="001B4A02">
        <w:t> </w:t>
      </w:r>
      <w:r w:rsidRPr="001B4A02">
        <w:t>methotrexátu.</w:t>
      </w:r>
      <w:r w:rsidR="008762B8" w:rsidRPr="001B4A02">
        <w:t xml:space="preserve"> U</w:t>
      </w:r>
      <w:r w:rsidR="007C3379" w:rsidRPr="001B4A02">
        <w:t> </w:t>
      </w:r>
      <w:r w:rsidR="008762B8" w:rsidRPr="001B4A02">
        <w:t xml:space="preserve">pacientů s polyartikulární juvenilní idiopatickou artritidou ve věku 2 </w:t>
      </w:r>
      <w:r w:rsidR="008762B8" w:rsidRPr="001B4A02">
        <w:rPr>
          <w:shd w:val="clear" w:color="auto" w:fill="FFFFFF"/>
        </w:rPr>
        <w:t>až</w:t>
      </w:r>
      <w:r w:rsidR="008762B8" w:rsidRPr="001B4A02">
        <w:t xml:space="preserve"> &lt;</w:t>
      </w:r>
      <w:r w:rsidR="007375A0" w:rsidRPr="001B4A02">
        <w:t> </w:t>
      </w:r>
      <w:r w:rsidR="008762B8" w:rsidRPr="001B4A02">
        <w:t>4 roky</w:t>
      </w:r>
      <w:r w:rsidR="002378E0">
        <w:t xml:space="preserve"> a </w:t>
      </w:r>
      <w:r w:rsidR="008762B8" w:rsidRPr="001B4A02">
        <w:t>ve věku 4 roky</w:t>
      </w:r>
      <w:r w:rsidR="002378E0">
        <w:t xml:space="preserve"> a </w:t>
      </w:r>
      <w:r w:rsidR="008762B8" w:rsidRPr="001B4A02">
        <w:t>starší s tělesnou hmotností &lt;</w:t>
      </w:r>
      <w:r w:rsidR="007375A0" w:rsidRPr="001B4A02">
        <w:t> </w:t>
      </w:r>
      <w:r w:rsidR="008762B8" w:rsidRPr="001B4A02">
        <w:t>15</w:t>
      </w:r>
      <w:r w:rsidR="002767FC">
        <w:t> kg</w:t>
      </w:r>
      <w:r w:rsidR="008762B8" w:rsidRPr="001B4A02">
        <w:t xml:space="preserve"> byly protilátky proti adalimumabu identifikovány u</w:t>
      </w:r>
      <w:r w:rsidR="007C3379" w:rsidRPr="001B4A02">
        <w:t> </w:t>
      </w:r>
      <w:r w:rsidR="008762B8" w:rsidRPr="001B4A02">
        <w:t>7 % (1 z</w:t>
      </w:r>
      <w:r w:rsidR="007C3379" w:rsidRPr="001B4A02">
        <w:t> </w:t>
      </w:r>
      <w:r w:rsidR="008762B8" w:rsidRPr="001B4A02">
        <w:t>15) pacientů</w:t>
      </w:r>
      <w:r w:rsidR="002378E0">
        <w:t xml:space="preserve"> a </w:t>
      </w:r>
      <w:r w:rsidR="008762B8" w:rsidRPr="001B4A02">
        <w:t>jeden pacient dostával současně methotrexát.</w:t>
      </w:r>
    </w:p>
    <w:p w14:paraId="42DA086F" w14:textId="77777777" w:rsidR="00ED3511" w:rsidRPr="001B4A02" w:rsidRDefault="00ED3511" w:rsidP="00ED48A3">
      <w:pPr>
        <w:ind w:left="0" w:firstLine="0"/>
      </w:pPr>
    </w:p>
    <w:p w14:paraId="41827313" w14:textId="77777777" w:rsidR="00ED3511" w:rsidRPr="001B4A02" w:rsidRDefault="00000000" w:rsidP="00ED48A3">
      <w:pPr>
        <w:ind w:left="0" w:firstLine="0"/>
      </w:pPr>
      <w:r w:rsidRPr="001B4A02">
        <w:t>U pacientů s entezopatickou</w:t>
      </w:r>
      <w:r w:rsidR="0006352B" w:rsidRPr="001B4A02">
        <w:t xml:space="preserve"> </w:t>
      </w:r>
      <w:r w:rsidRPr="001B4A02">
        <w:t>artritidou byly protilátky proti adalimumabu identifikovány u</w:t>
      </w:r>
      <w:r w:rsidR="0006352B" w:rsidRPr="001B4A02">
        <w:t> </w:t>
      </w:r>
      <w:r w:rsidRPr="001B4A02">
        <w:t>10,9</w:t>
      </w:r>
      <w:r w:rsidR="00AB657C" w:rsidRPr="001B4A02">
        <w:t> </w:t>
      </w:r>
      <w:r w:rsidRPr="001B4A02">
        <w:t>% (5 ze 46) pacientů léčených adalimumabem. U</w:t>
      </w:r>
      <w:r w:rsidR="0006352B" w:rsidRPr="001B4A02">
        <w:t> </w:t>
      </w:r>
      <w:r w:rsidRPr="001B4A02">
        <w:t>pacientů, kteří nebyli současně léčeni methotrexátem, byla incidence 13,6</w:t>
      </w:r>
      <w:r w:rsidR="00AB657C" w:rsidRPr="001B4A02">
        <w:t> </w:t>
      </w:r>
      <w:r w:rsidRPr="001B4A02">
        <w:t>% (3 z 22), ve srovnání s 8,3</w:t>
      </w:r>
      <w:r w:rsidR="00AB657C" w:rsidRPr="001B4A02">
        <w:t> </w:t>
      </w:r>
      <w:r w:rsidRPr="001B4A02">
        <w:t>% (2 z 24), pokud byl adalimumab přidán k methotrexátu.</w:t>
      </w:r>
    </w:p>
    <w:p w14:paraId="44857732" w14:textId="77777777" w:rsidR="00ED3511" w:rsidRPr="001B4A02" w:rsidRDefault="00ED3511" w:rsidP="00ED48A3">
      <w:pPr>
        <w:ind w:left="0" w:firstLine="0"/>
      </w:pPr>
    </w:p>
    <w:p w14:paraId="4F3A8417" w14:textId="77777777" w:rsidR="00ED3511" w:rsidRPr="001B4A02" w:rsidRDefault="00000000" w:rsidP="00ED48A3">
      <w:pPr>
        <w:ind w:left="0" w:firstLine="0"/>
      </w:pPr>
      <w:r w:rsidRPr="001B4A02">
        <w:t>U pacientů s psoriatickou artritidou byly protilátky proti adalimumabu identifikovány u 38 ze 376 subjektů (10</w:t>
      </w:r>
      <w:r w:rsidR="00AB657C" w:rsidRPr="001B4A02">
        <w:t> </w:t>
      </w:r>
      <w:r w:rsidRPr="001B4A02">
        <w:t>%) léčených adalimumabem. U pacientů, kterým nebyl současně podáván methotrexát, byla incidence 13,5</w:t>
      </w:r>
      <w:r w:rsidR="00AB657C" w:rsidRPr="001B4A02">
        <w:t> </w:t>
      </w:r>
      <w:r w:rsidRPr="001B4A02">
        <w:t>% (24 ze 178 subjektů), ve srovnání s incidencí 7</w:t>
      </w:r>
      <w:r w:rsidR="00AB657C" w:rsidRPr="001B4A02">
        <w:t> </w:t>
      </w:r>
      <w:r w:rsidRPr="001B4A02">
        <w:t xml:space="preserve">% (14 ze 198 subjektů), kdy byl adalimumab </w:t>
      </w:r>
      <w:r w:rsidR="00CD2F67" w:rsidRPr="001B4A02">
        <w:t>po</w:t>
      </w:r>
      <w:r w:rsidRPr="001B4A02">
        <w:t>užíván jako doplňkové léčivo k methotrexátu.</w:t>
      </w:r>
    </w:p>
    <w:p w14:paraId="12EA58C6" w14:textId="77777777" w:rsidR="00ED3511" w:rsidRPr="001B4A02" w:rsidRDefault="00ED3511" w:rsidP="00ED48A3">
      <w:pPr>
        <w:ind w:left="0" w:firstLine="0"/>
      </w:pPr>
    </w:p>
    <w:p w14:paraId="435C656B" w14:textId="77777777" w:rsidR="00ED3511" w:rsidRPr="001B4A02" w:rsidRDefault="00000000" w:rsidP="00ED48A3">
      <w:pPr>
        <w:ind w:left="0" w:firstLine="0"/>
      </w:pPr>
      <w:r w:rsidRPr="001B4A02">
        <w:t>U pacientů s ankylozující spondylitidou byly protilátky proti adalimumabu identifikovány u 17 ze 204 subjektů (8,3</w:t>
      </w:r>
      <w:r w:rsidR="00AB657C" w:rsidRPr="001B4A02">
        <w:t> </w:t>
      </w:r>
      <w:r w:rsidRPr="001B4A02">
        <w:t xml:space="preserve">%) </w:t>
      </w:r>
      <w:r w:rsidR="00927B56" w:rsidRPr="001B4A02">
        <w:t>léčených</w:t>
      </w:r>
      <w:r w:rsidRPr="001B4A02">
        <w:t xml:space="preserve"> adalimumabem. U pacientů, kterým nebyl současně podáván methotrexát, byla incidence 16 ze 185 subjektů (8,6</w:t>
      </w:r>
      <w:r w:rsidR="00AB657C" w:rsidRPr="001B4A02">
        <w:t> </w:t>
      </w:r>
      <w:r w:rsidRPr="001B4A02">
        <w:t>%), ve srovnání s incidencí 1 z 19 subjektů (5,3</w:t>
      </w:r>
      <w:r w:rsidR="00B14511" w:rsidRPr="001B4A02">
        <w:t> </w:t>
      </w:r>
      <w:r w:rsidRPr="001B4A02">
        <w:t xml:space="preserve">%), kdy byl adalimumab </w:t>
      </w:r>
      <w:r w:rsidR="00CD2F67" w:rsidRPr="001B4A02">
        <w:t>po</w:t>
      </w:r>
      <w:r w:rsidRPr="001B4A02">
        <w:t>užíván jako doplňkové léčivo k methotrexátu.</w:t>
      </w:r>
    </w:p>
    <w:p w14:paraId="4AAB8A45" w14:textId="77777777" w:rsidR="004763AE" w:rsidRPr="00F261A6" w:rsidRDefault="004763AE" w:rsidP="00FD6C45">
      <w:pPr>
        <w:tabs>
          <w:tab w:val="left" w:pos="1294"/>
        </w:tabs>
        <w:autoSpaceDE w:val="0"/>
        <w:autoSpaceDN w:val="0"/>
        <w:adjustRightInd w:val="0"/>
        <w:ind w:left="0" w:firstLine="0"/>
      </w:pPr>
    </w:p>
    <w:p w14:paraId="31E44F16" w14:textId="77777777" w:rsidR="00FD6C45" w:rsidRDefault="00000000" w:rsidP="00FD6C45">
      <w:pPr>
        <w:ind w:left="0" w:firstLine="0"/>
      </w:pPr>
      <w:r>
        <w:t xml:space="preserve">U pacientů s axiální spondylartritidou </w:t>
      </w:r>
      <w:r>
        <w:rPr>
          <w:szCs w:val="22"/>
        </w:rPr>
        <w:t>bez radiologického průkazu</w:t>
      </w:r>
      <w:r>
        <w:t xml:space="preserve"> byly protilátky proti adalimumabu identifikovány u 8 ze 152 subjektů (5,3</w:t>
      </w:r>
      <w:r w:rsidR="006008CB">
        <w:t> %</w:t>
      </w:r>
      <w:r>
        <w:t>) léčených</w:t>
      </w:r>
      <w:r w:rsidR="00E60CF9">
        <w:t xml:space="preserve"> kontinuálně</w:t>
      </w:r>
      <w:r>
        <w:t xml:space="preserve"> adalimumabem.</w:t>
      </w:r>
    </w:p>
    <w:p w14:paraId="1EBAC68D" w14:textId="77777777" w:rsidR="004763AE" w:rsidRPr="001B4A02" w:rsidRDefault="004763AE" w:rsidP="00ED48A3">
      <w:pPr>
        <w:ind w:left="0" w:firstLine="0"/>
      </w:pPr>
    </w:p>
    <w:p w14:paraId="7E5FD49A" w14:textId="77777777" w:rsidR="00ED3511" w:rsidRPr="001B4A02" w:rsidRDefault="00000000" w:rsidP="00ED48A3">
      <w:pPr>
        <w:ind w:left="0" w:firstLine="0"/>
      </w:pPr>
      <w:r w:rsidRPr="001B4A02">
        <w:t>U pacientů s Crohnovou chorobou byly protilátky proti adalimumabu identifikovány u</w:t>
      </w:r>
      <w:r w:rsidR="007C3379" w:rsidRPr="001B4A02">
        <w:t> </w:t>
      </w:r>
      <w:r w:rsidRPr="001B4A02">
        <w:t>7 z 269 subjektů (2,6</w:t>
      </w:r>
      <w:r w:rsidR="00AB657C" w:rsidRPr="001B4A02">
        <w:t> </w:t>
      </w:r>
      <w:r w:rsidRPr="001B4A02">
        <w:t>%)</w:t>
      </w:r>
      <w:r w:rsidR="002378E0">
        <w:t xml:space="preserve"> a </w:t>
      </w:r>
      <w:r w:rsidR="00BD7D1E" w:rsidRPr="001B4A02">
        <w:t>u pacientů s ulcerózní kolitidou byly protilátky proti adalimumabu identifikovány u 19 z 487 subjektů (3,9 %)</w:t>
      </w:r>
      <w:r w:rsidRPr="001B4A02">
        <w:t>.</w:t>
      </w:r>
    </w:p>
    <w:p w14:paraId="3D6C1FCA" w14:textId="77777777" w:rsidR="00ED3511" w:rsidRPr="001B4A02" w:rsidRDefault="00ED3511" w:rsidP="00ED48A3">
      <w:pPr>
        <w:ind w:left="0" w:firstLine="0"/>
      </w:pPr>
    </w:p>
    <w:p w14:paraId="780C6E5B" w14:textId="77777777" w:rsidR="00ED3511" w:rsidRPr="001B4A02" w:rsidRDefault="00000000" w:rsidP="00ED48A3">
      <w:pPr>
        <w:pStyle w:val="EMEANormal"/>
        <w:tabs>
          <w:tab w:val="clear" w:pos="562"/>
        </w:tabs>
        <w:suppressAutoHyphens w:val="0"/>
        <w:rPr>
          <w:lang w:val="cs-CZ"/>
        </w:rPr>
      </w:pPr>
      <w:r w:rsidRPr="001B4A02">
        <w:rPr>
          <w:lang w:val="cs-CZ"/>
        </w:rPr>
        <w:t>U dospělých pacientů s psoriázou byly protilátky proti adalimumabu identifikovány u</w:t>
      </w:r>
      <w:r w:rsidR="007C3379" w:rsidRPr="001B4A02">
        <w:rPr>
          <w:lang w:val="cs-CZ"/>
        </w:rPr>
        <w:t> </w:t>
      </w:r>
      <w:r w:rsidRPr="001B4A02">
        <w:rPr>
          <w:lang w:val="cs-CZ"/>
        </w:rPr>
        <w:t>77 z</w:t>
      </w:r>
      <w:r w:rsidR="007C3379" w:rsidRPr="001B4A02">
        <w:rPr>
          <w:lang w:val="cs-CZ"/>
        </w:rPr>
        <w:t> </w:t>
      </w:r>
      <w:r w:rsidRPr="001B4A02">
        <w:rPr>
          <w:lang w:val="cs-CZ"/>
        </w:rPr>
        <w:t>920 subjektů (8,4</w:t>
      </w:r>
      <w:r w:rsidR="00AB657C" w:rsidRPr="001B4A02">
        <w:rPr>
          <w:lang w:val="cs-CZ"/>
        </w:rPr>
        <w:t> </w:t>
      </w:r>
      <w:r w:rsidRPr="001B4A02">
        <w:rPr>
          <w:lang w:val="cs-CZ"/>
        </w:rPr>
        <w:t xml:space="preserve">%) </w:t>
      </w:r>
      <w:r w:rsidR="00BD7D1E">
        <w:rPr>
          <w:lang w:val="cs-CZ"/>
        </w:rPr>
        <w:t>léčených adalimumabem</w:t>
      </w:r>
      <w:r w:rsidR="009B1EAF">
        <w:rPr>
          <w:lang w:val="cs-CZ"/>
        </w:rPr>
        <w:t xml:space="preserve"> v monoterapii</w:t>
      </w:r>
      <w:r w:rsidR="00BD7D1E">
        <w:rPr>
          <w:lang w:val="cs-CZ"/>
        </w:rPr>
        <w:t>.</w:t>
      </w:r>
    </w:p>
    <w:p w14:paraId="0FF2A16E" w14:textId="77777777" w:rsidR="00ED3511" w:rsidRPr="001B4A02" w:rsidRDefault="00ED3511" w:rsidP="00ED48A3">
      <w:pPr>
        <w:pStyle w:val="EMEANormal"/>
        <w:tabs>
          <w:tab w:val="clear" w:pos="562"/>
        </w:tabs>
        <w:suppressAutoHyphens w:val="0"/>
        <w:rPr>
          <w:lang w:val="cs-CZ"/>
        </w:rPr>
      </w:pPr>
    </w:p>
    <w:p w14:paraId="6A27C2EA" w14:textId="77777777" w:rsidR="00ED3511" w:rsidRPr="001B4A02" w:rsidRDefault="00000000" w:rsidP="00ED48A3">
      <w:pPr>
        <w:ind w:left="0" w:firstLine="0"/>
      </w:pPr>
      <w:r w:rsidRPr="001B4A02">
        <w:t>U dospělých pacientů s</w:t>
      </w:r>
      <w:r w:rsidR="007C3379" w:rsidRPr="001B4A02">
        <w:t> </w:t>
      </w:r>
      <w:r w:rsidRPr="001B4A02">
        <w:t>ložiskovou psoriázou, léčených dlouhodobě adalimumabem v monoterapii, kteří se účastnili studie, ve které byl adalimumab vysazen</w:t>
      </w:r>
      <w:r w:rsidR="002378E0">
        <w:t xml:space="preserve"> a </w:t>
      </w:r>
      <w:r w:rsidRPr="001B4A02">
        <w:t>opětovně nasazen, byl počet protilátek proti adalimumabu po znovunasazení (</w:t>
      </w:r>
      <w:r w:rsidR="00743767" w:rsidRPr="001B4A02">
        <w:t>u</w:t>
      </w:r>
      <w:r w:rsidR="007C3379" w:rsidRPr="001B4A02">
        <w:t> </w:t>
      </w:r>
      <w:r w:rsidR="00743767" w:rsidRPr="001B4A02">
        <w:t>11 z</w:t>
      </w:r>
      <w:r w:rsidR="007C3379" w:rsidRPr="001B4A02">
        <w:t> </w:t>
      </w:r>
      <w:r w:rsidR="00743767" w:rsidRPr="001B4A02">
        <w:t>482 pacientů</w:t>
      </w:r>
      <w:r w:rsidR="00081CCD">
        <w:t>, 2,3</w:t>
      </w:r>
      <w:r w:rsidR="006307E1">
        <w:t> </w:t>
      </w:r>
      <w:r w:rsidR="00081CCD">
        <w:t>%</w:t>
      </w:r>
      <w:r w:rsidRPr="001B4A02">
        <w:t>) podobný jako jejich počet pozorovaný před vysazením léčiva (</w:t>
      </w:r>
      <w:r w:rsidR="00AA419E" w:rsidRPr="001B4A02">
        <w:t>u</w:t>
      </w:r>
      <w:r w:rsidR="007C3379" w:rsidRPr="001B4A02">
        <w:t> </w:t>
      </w:r>
      <w:r w:rsidR="00AA419E" w:rsidRPr="001B4A02">
        <w:t>11 z</w:t>
      </w:r>
      <w:r w:rsidR="007C3379" w:rsidRPr="001B4A02">
        <w:t> </w:t>
      </w:r>
      <w:r w:rsidR="00AA419E" w:rsidRPr="001B4A02">
        <w:t>590 pacientů</w:t>
      </w:r>
      <w:r w:rsidRPr="001B4A02">
        <w:t>, 1,9</w:t>
      </w:r>
      <w:r w:rsidR="00B14511" w:rsidRPr="001B4A02">
        <w:t> </w:t>
      </w:r>
      <w:r w:rsidRPr="001B4A02">
        <w:t>%).</w:t>
      </w:r>
    </w:p>
    <w:p w14:paraId="126D6F91" w14:textId="77777777" w:rsidR="00ED3511" w:rsidRPr="001B4A02" w:rsidRDefault="00ED3511" w:rsidP="00ED48A3">
      <w:pPr>
        <w:ind w:left="0" w:firstLine="0"/>
      </w:pPr>
    </w:p>
    <w:p w14:paraId="0B5DB804" w14:textId="77777777" w:rsidR="00ED3511" w:rsidRPr="001B4A02" w:rsidRDefault="00000000" w:rsidP="00ED48A3">
      <w:pPr>
        <w:ind w:left="0" w:firstLine="0"/>
      </w:pPr>
      <w:r w:rsidRPr="001B4A02">
        <w:t>U pediatrických pacientů s psoriázou byly protilátky proti adalimumabu identifikovány u</w:t>
      </w:r>
      <w:r w:rsidR="007C3379" w:rsidRPr="001B4A02">
        <w:t> </w:t>
      </w:r>
      <w:r w:rsidRPr="001B4A02">
        <w:t>5 ze 38 subjektů (13</w:t>
      </w:r>
      <w:r w:rsidR="00B14511" w:rsidRPr="001B4A02">
        <w:t> </w:t>
      </w:r>
      <w:r w:rsidRPr="001B4A02">
        <w:t>%) léčených 0,8</w:t>
      </w:r>
      <w:r w:rsidR="00F365E7">
        <w:t> mg</w:t>
      </w:r>
      <w:r w:rsidRPr="001B4A02">
        <w:t>/kg adalimumabu v monoterapii.</w:t>
      </w:r>
    </w:p>
    <w:p w14:paraId="2569169F" w14:textId="77777777" w:rsidR="00ED3511" w:rsidRPr="001B4A02" w:rsidRDefault="00ED3511" w:rsidP="00ED48A3">
      <w:pPr>
        <w:ind w:left="0" w:firstLine="0"/>
      </w:pPr>
    </w:p>
    <w:p w14:paraId="4B9588D5" w14:textId="77777777" w:rsidR="00372E74" w:rsidRPr="001B4A02" w:rsidRDefault="00000000" w:rsidP="00ED48A3">
      <w:pPr>
        <w:ind w:left="0" w:firstLine="0"/>
      </w:pPr>
      <w:r w:rsidRPr="001B4A02">
        <w:t xml:space="preserve">U pacientů se středně </w:t>
      </w:r>
      <w:r w:rsidR="00CC2F88" w:rsidRPr="001B4A02">
        <w:t>těžkou až těžkou</w:t>
      </w:r>
      <w:r w:rsidRPr="001B4A02">
        <w:t xml:space="preserve"> hidradenitis suppurativa byly protilátky proti adalimumabu identifikovány u</w:t>
      </w:r>
      <w:r w:rsidR="007C3379" w:rsidRPr="001B4A02">
        <w:t> </w:t>
      </w:r>
      <w:r w:rsidRPr="001B4A02">
        <w:t>10 z</w:t>
      </w:r>
      <w:r w:rsidR="007C3379" w:rsidRPr="001B4A02">
        <w:t> </w:t>
      </w:r>
      <w:r w:rsidRPr="001B4A02">
        <w:t>99 subjektů (10,1</w:t>
      </w:r>
      <w:r w:rsidR="00B14511" w:rsidRPr="001B4A02">
        <w:t> </w:t>
      </w:r>
      <w:r w:rsidRPr="001B4A02">
        <w:t>%) léčených adalimumabem.</w:t>
      </w:r>
    </w:p>
    <w:p w14:paraId="42AF40A0" w14:textId="77777777" w:rsidR="00372E74" w:rsidRPr="001B4A02" w:rsidRDefault="00372E74" w:rsidP="00ED48A3">
      <w:pPr>
        <w:ind w:left="0" w:firstLine="0"/>
      </w:pPr>
    </w:p>
    <w:p w14:paraId="584F0D85" w14:textId="77777777" w:rsidR="00477CAC" w:rsidRPr="001B4A02" w:rsidRDefault="00000000" w:rsidP="00ED48A3">
      <w:pPr>
        <w:ind w:left="0" w:firstLine="0"/>
      </w:pPr>
      <w:r w:rsidRPr="001B4A02">
        <w:t>U pediatrických pacientů se středně těžkou až těžkou aktivní Crohnovou chorobou byl u</w:t>
      </w:r>
      <w:r w:rsidR="009B61F3" w:rsidRPr="001B4A02">
        <w:t> </w:t>
      </w:r>
      <w:r w:rsidRPr="001B4A02">
        <w:t>pacientů, kteří dostávali adalimumab, počet protilátek proti adalimumabu 3,3</w:t>
      </w:r>
      <w:r w:rsidR="00B14511" w:rsidRPr="001B4A02">
        <w:t> </w:t>
      </w:r>
      <w:r w:rsidRPr="001B4A02">
        <w:t>%.</w:t>
      </w:r>
    </w:p>
    <w:p w14:paraId="6BC68786" w14:textId="77777777" w:rsidR="00477CAC" w:rsidRPr="001B4A02" w:rsidRDefault="00477CAC" w:rsidP="00ED48A3">
      <w:pPr>
        <w:ind w:left="0" w:firstLine="0"/>
      </w:pPr>
    </w:p>
    <w:p w14:paraId="3A4A0236" w14:textId="77777777" w:rsidR="00B14CF7" w:rsidRPr="001B4A02" w:rsidRDefault="00000000" w:rsidP="00ED48A3">
      <w:pPr>
        <w:tabs>
          <w:tab w:val="left" w:pos="1294"/>
        </w:tabs>
        <w:autoSpaceDE w:val="0"/>
        <w:autoSpaceDN w:val="0"/>
        <w:adjustRightInd w:val="0"/>
        <w:ind w:left="0" w:firstLine="0"/>
        <w:rPr>
          <w:bCs/>
          <w:iCs/>
        </w:rPr>
      </w:pPr>
      <w:r w:rsidRPr="001B4A02">
        <w:rPr>
          <w:bCs/>
          <w:iCs/>
        </w:rPr>
        <w:t xml:space="preserve">U </w:t>
      </w:r>
      <w:r w:rsidR="008762B8" w:rsidRPr="001B4A02">
        <w:rPr>
          <w:bCs/>
          <w:iCs/>
        </w:rPr>
        <w:t xml:space="preserve">dospělých </w:t>
      </w:r>
      <w:r w:rsidRPr="001B4A02">
        <w:rPr>
          <w:bCs/>
          <w:iCs/>
        </w:rPr>
        <w:t xml:space="preserve">pacientů s neinfekční uveitidou </w:t>
      </w:r>
      <w:r w:rsidRPr="001B4A02">
        <w:t>byly protilátky proti adalimumabu identifikovány u </w:t>
      </w:r>
      <w:r w:rsidRPr="001B4A02">
        <w:rPr>
          <w:bCs/>
          <w:iCs/>
        </w:rPr>
        <w:t>4,8 % (12</w:t>
      </w:r>
      <w:r w:rsidR="00C3486C" w:rsidRPr="001B4A02">
        <w:rPr>
          <w:bCs/>
          <w:iCs/>
        </w:rPr>
        <w:t xml:space="preserve"> z </w:t>
      </w:r>
      <w:r w:rsidRPr="001B4A02">
        <w:rPr>
          <w:bCs/>
          <w:iCs/>
        </w:rPr>
        <w:t>249) pacientů léčených adalimumabem.</w:t>
      </w:r>
    </w:p>
    <w:p w14:paraId="4443A610" w14:textId="77777777" w:rsidR="00B14CF7" w:rsidRPr="001B4A02" w:rsidRDefault="00B14CF7" w:rsidP="00ED48A3">
      <w:pPr>
        <w:ind w:left="0" w:firstLine="0"/>
      </w:pPr>
    </w:p>
    <w:p w14:paraId="7246827C" w14:textId="77777777" w:rsidR="00645A20" w:rsidRDefault="00000000" w:rsidP="00645A20">
      <w:pPr>
        <w:ind w:left="0" w:firstLine="0"/>
      </w:pPr>
      <w:r>
        <w:t>U </w:t>
      </w:r>
      <w:r w:rsidR="00457856" w:rsidRPr="001B4A02">
        <w:t xml:space="preserve">pediatrických </w:t>
      </w:r>
      <w:r>
        <w:t>pacientů se středně těžkou až těžkou aktivní ulcerózní kolitidou byl u</w:t>
      </w:r>
      <w:r w:rsidR="006F04BD" w:rsidRPr="001B4A02">
        <w:rPr>
          <w:szCs w:val="22"/>
        </w:rPr>
        <w:t> </w:t>
      </w:r>
      <w:r>
        <w:t>pacientů, kteří dostávali adalimumab, počet protilátek proti adalimumabu 3</w:t>
      </w:r>
      <w:r w:rsidR="006F04BD" w:rsidRPr="001B4A02">
        <w:rPr>
          <w:szCs w:val="22"/>
        </w:rPr>
        <w:t> </w:t>
      </w:r>
      <w:r>
        <w:t>%.</w:t>
      </w:r>
    </w:p>
    <w:p w14:paraId="1608C49D" w14:textId="77777777" w:rsidR="00C76DCD" w:rsidRDefault="00C76DCD" w:rsidP="00ED48A3">
      <w:pPr>
        <w:ind w:left="0" w:firstLine="0"/>
      </w:pPr>
    </w:p>
    <w:p w14:paraId="696B6E5C" w14:textId="77777777" w:rsidR="00ED3511" w:rsidRPr="001B4A02" w:rsidRDefault="00000000" w:rsidP="00ED48A3">
      <w:pPr>
        <w:ind w:left="0" w:firstLine="0"/>
      </w:pPr>
      <w:r w:rsidRPr="001B4A02">
        <w:t>Protože imunogenní analýzy jsou specifické pro příslušný přípravek, není možné kvantitativní srovnání proti jiným přípravkům.</w:t>
      </w:r>
    </w:p>
    <w:p w14:paraId="5975A985" w14:textId="77777777" w:rsidR="00ED3511" w:rsidRPr="001B4A02" w:rsidRDefault="00ED3511" w:rsidP="00ED48A3">
      <w:pPr>
        <w:ind w:left="0" w:firstLine="0"/>
      </w:pPr>
    </w:p>
    <w:p w14:paraId="11F534F3" w14:textId="77777777" w:rsidR="00ED3511" w:rsidRPr="001B4A02" w:rsidRDefault="00000000" w:rsidP="00ED48A3">
      <w:pPr>
        <w:keepNext/>
        <w:ind w:left="0" w:firstLine="0"/>
        <w:rPr>
          <w:u w:val="single"/>
        </w:rPr>
      </w:pPr>
      <w:r w:rsidRPr="001B4A02">
        <w:rPr>
          <w:u w:val="single"/>
        </w:rPr>
        <w:t>Pediatrická populace</w:t>
      </w:r>
    </w:p>
    <w:p w14:paraId="06FD1BC2" w14:textId="77777777" w:rsidR="00ED3511" w:rsidRPr="001B4A02" w:rsidRDefault="00ED3511" w:rsidP="00ED48A3">
      <w:pPr>
        <w:keepNext/>
        <w:ind w:left="0" w:firstLine="0"/>
      </w:pPr>
    </w:p>
    <w:p w14:paraId="371E8DE9" w14:textId="77777777" w:rsidR="00C76DCD" w:rsidRPr="001B4A02" w:rsidRDefault="00000000" w:rsidP="00C76DCD">
      <w:pPr>
        <w:keepNext/>
        <w:ind w:left="0" w:firstLine="0"/>
        <w:rPr>
          <w:i/>
        </w:rPr>
      </w:pPr>
      <w:r w:rsidRPr="001B4A02">
        <w:rPr>
          <w:i/>
        </w:rPr>
        <w:t>Juvenilní idiopatická artritida (JIA)</w:t>
      </w:r>
    </w:p>
    <w:p w14:paraId="2A36F279" w14:textId="77777777" w:rsidR="00C76DCD" w:rsidRPr="001B4A02" w:rsidRDefault="00C76DCD" w:rsidP="00C76DCD">
      <w:pPr>
        <w:keepNext/>
        <w:ind w:left="0" w:firstLine="0"/>
      </w:pPr>
    </w:p>
    <w:p w14:paraId="1900C2BB" w14:textId="77777777" w:rsidR="00C76DCD" w:rsidRPr="001B4A02" w:rsidRDefault="00000000" w:rsidP="00C76DCD">
      <w:pPr>
        <w:pStyle w:val="EMEAHeadingUnderline"/>
        <w:keepNext/>
        <w:tabs>
          <w:tab w:val="clear" w:pos="562"/>
          <w:tab w:val="left" w:pos="708"/>
        </w:tabs>
        <w:suppressAutoHyphens w:val="0"/>
        <w:spacing w:beforeLines="0" w:before="0" w:afterLines="0" w:after="0"/>
        <w:rPr>
          <w:i/>
          <w:lang w:val="cs-CZ"/>
        </w:rPr>
      </w:pPr>
      <w:r w:rsidRPr="001B4A02">
        <w:rPr>
          <w:i/>
          <w:lang w:val="cs-CZ"/>
        </w:rPr>
        <w:t>Polyartikulární juvenilní idiopatická artritida (pJIA)</w:t>
      </w:r>
    </w:p>
    <w:p w14:paraId="4D3B514E" w14:textId="77777777" w:rsidR="00C76DCD" w:rsidRPr="001B4A02" w:rsidRDefault="00C76DCD" w:rsidP="00C76DCD">
      <w:pPr>
        <w:keepNext/>
        <w:ind w:left="0" w:firstLine="0"/>
      </w:pPr>
    </w:p>
    <w:p w14:paraId="77AB0136" w14:textId="77777777" w:rsidR="00C76DCD" w:rsidRPr="001B4A02" w:rsidRDefault="00000000" w:rsidP="00C76DCD">
      <w:pPr>
        <w:ind w:left="0" w:firstLine="0"/>
      </w:pPr>
      <w:r w:rsidRPr="001B4A02">
        <w:t>Bezpečnost</w:t>
      </w:r>
      <w:r w:rsidR="002378E0">
        <w:t xml:space="preserve"> a </w:t>
      </w:r>
      <w:r w:rsidRPr="001B4A02">
        <w:t>účinnost přípravku Humira byla hodnocena ve dvou studiích (pJIA I</w:t>
      </w:r>
      <w:r w:rsidR="002378E0">
        <w:t xml:space="preserve"> a </w:t>
      </w:r>
      <w:r w:rsidRPr="001B4A02">
        <w:t>pJIA II) u dětí s aktivní polyartikulární nebo polyartikulárním průběhem juvenilní idiopatické artritidy, které trpěly různými typy výskytu JIA (nejčastěji revmatoidní faktor negativní nebo pozitivní polyartritida</w:t>
      </w:r>
      <w:r w:rsidR="002378E0">
        <w:t xml:space="preserve"> a </w:t>
      </w:r>
      <w:r w:rsidRPr="001B4A02">
        <w:t>rozšířená oligartritida).</w:t>
      </w:r>
    </w:p>
    <w:p w14:paraId="765A79B0" w14:textId="77777777" w:rsidR="00C76DCD" w:rsidRPr="001B4A02" w:rsidRDefault="00C76DCD" w:rsidP="00C76DCD">
      <w:pPr>
        <w:ind w:left="0" w:firstLine="0"/>
      </w:pPr>
    </w:p>
    <w:p w14:paraId="07FB458F" w14:textId="77777777" w:rsidR="00C76DCD" w:rsidRPr="001B4A02" w:rsidRDefault="00000000" w:rsidP="00C76DCD">
      <w:pPr>
        <w:keepNext/>
        <w:ind w:left="0" w:firstLine="0"/>
      </w:pPr>
      <w:r w:rsidRPr="001B4A02">
        <w:t>pJIA I</w:t>
      </w:r>
    </w:p>
    <w:p w14:paraId="4DA832B9" w14:textId="77777777" w:rsidR="00C76DCD" w:rsidRPr="001B4A02" w:rsidRDefault="00C76DCD" w:rsidP="00C76DCD">
      <w:pPr>
        <w:keepNext/>
        <w:ind w:left="0" w:firstLine="0"/>
      </w:pPr>
    </w:p>
    <w:p w14:paraId="48AED0C1" w14:textId="77777777" w:rsidR="00C76DCD" w:rsidRPr="001B4A02" w:rsidRDefault="00000000" w:rsidP="00C76DCD">
      <w:pPr>
        <w:ind w:left="0" w:firstLine="0"/>
      </w:pPr>
      <w:r w:rsidRPr="001B4A02">
        <w:t>Bezpečnost</w:t>
      </w:r>
      <w:r w:rsidR="002378E0">
        <w:t xml:space="preserve"> a </w:t>
      </w:r>
      <w:r w:rsidRPr="001B4A02">
        <w:t>účinnost přípravku Humira byla hodnocena v multicentrické, randomizované, dvojitě zaslepené studii paralelních skupin u 171 dětí (ve věku 4 až 17 let) s polyartikulární JIA. V otevřené úvodní fázi (OL LI, open-label lead in phase) studie byli pacienti rozděleni do dvou skupin, na pacienty léčené MTX (methotrexátem)</w:t>
      </w:r>
      <w:r w:rsidR="002378E0">
        <w:t xml:space="preserve"> a </w:t>
      </w:r>
      <w:r w:rsidRPr="001B4A02">
        <w:t>pacienty neléčené MTX. Pacienti ve skupině neléčené MTX byli buď dosud neléčení, nebo jim byl MTX vysazen minimálně dva týdny před zahájením léčby sledovaným přípravkem. Pacienti, kteří zůstali na stabilních dávkách NSAID</w:t>
      </w:r>
      <w:r w:rsidR="002378E0">
        <w:t xml:space="preserve"> a </w:t>
      </w:r>
      <w:r w:rsidRPr="001B4A02">
        <w:t>prednisonu (</w:t>
      </w:r>
      <w:r w:rsidRPr="001B4A02">
        <w:rPr>
          <w:rFonts w:ascii="Symbol" w:hAnsi="Symbol"/>
        </w:rPr>
        <w:sym w:font="Symbol" w:char="F0A3"/>
      </w:r>
      <w:r>
        <w:t> </w:t>
      </w:r>
      <w:r w:rsidRPr="001B4A02">
        <w:t>0,2</w:t>
      </w:r>
      <w:r>
        <w:t> </w:t>
      </w:r>
      <w:r w:rsidRPr="001B4A02">
        <w:t>mg/kg/den nebo při maximu 10</w:t>
      </w:r>
      <w:r w:rsidR="00F365E7" w:rsidRPr="00005EC2">
        <w:rPr>
          <w:szCs w:val="22"/>
        </w:rPr>
        <w:t> </w:t>
      </w:r>
      <w:r w:rsidRPr="001B4A02">
        <w:t>mg/den). V OL LI fázi dostávali všichni pacienti dávku 24</w:t>
      </w:r>
      <w:r w:rsidR="00F365E7" w:rsidRPr="00005EC2">
        <w:rPr>
          <w:szCs w:val="22"/>
        </w:rPr>
        <w:t> </w:t>
      </w:r>
      <w:r w:rsidRPr="001B4A02">
        <w:t>mg/m</w:t>
      </w:r>
      <w:r w:rsidRPr="001B4A02">
        <w:rPr>
          <w:vertAlign w:val="superscript"/>
        </w:rPr>
        <w:t xml:space="preserve">2 </w:t>
      </w:r>
      <w:r w:rsidRPr="001B4A02">
        <w:t>až do maximální dávky 40</w:t>
      </w:r>
      <w:r w:rsidR="00F365E7" w:rsidRPr="00005EC2">
        <w:rPr>
          <w:szCs w:val="22"/>
        </w:rPr>
        <w:t> </w:t>
      </w:r>
      <w:r w:rsidRPr="001B4A02">
        <w:t>mg přípravku Humira každé dva týdny po dobu 16 týdnů. Distribuce pacientů podle věku</w:t>
      </w:r>
      <w:r w:rsidR="002378E0">
        <w:t xml:space="preserve"> a </w:t>
      </w:r>
      <w:r w:rsidRPr="001B4A02">
        <w:t xml:space="preserve">dále dle toho, zda dostávali minimální, střední nebo maximální dávku v průběhu OL LI fáze studie je znázorněna v tabulce </w:t>
      </w:r>
      <w:r w:rsidR="002A0AEB">
        <w:t>25</w:t>
      </w:r>
      <w:r w:rsidRPr="001B4A02">
        <w:t>.</w:t>
      </w:r>
    </w:p>
    <w:p w14:paraId="758B4504" w14:textId="77777777" w:rsidR="00C76DCD" w:rsidRPr="001B4A02" w:rsidRDefault="00C76DCD" w:rsidP="00C76DCD">
      <w:pPr>
        <w:ind w:left="0" w:firstLine="0"/>
      </w:pPr>
    </w:p>
    <w:p w14:paraId="7AE3A089" w14:textId="77777777" w:rsidR="00C76DCD" w:rsidRPr="001B4A02" w:rsidRDefault="00000000" w:rsidP="00C76DCD">
      <w:pPr>
        <w:pStyle w:val="BodyTextIndent"/>
        <w:keepNext/>
        <w:ind w:left="110" w:right="53" w:firstLine="0"/>
        <w:jc w:val="center"/>
        <w:rPr>
          <w:bCs/>
          <w:color w:val="auto"/>
          <w:lang w:val="cs-CZ"/>
        </w:rPr>
      </w:pPr>
      <w:r w:rsidRPr="001B4A02">
        <w:rPr>
          <w:bCs/>
          <w:color w:val="auto"/>
          <w:lang w:val="cs-CZ"/>
        </w:rPr>
        <w:t xml:space="preserve">Tabulka </w:t>
      </w:r>
      <w:r w:rsidR="002A0AEB">
        <w:rPr>
          <w:bCs/>
          <w:color w:val="auto"/>
          <w:lang w:val="cs-CZ"/>
        </w:rPr>
        <w:t>25</w:t>
      </w:r>
      <w:r w:rsidRPr="001B4A02">
        <w:rPr>
          <w:bCs/>
          <w:color w:val="auto"/>
          <w:lang w:val="cs-CZ"/>
        </w:rPr>
        <w:t xml:space="preserve"> </w:t>
      </w:r>
    </w:p>
    <w:p w14:paraId="0992B22A" w14:textId="77777777" w:rsidR="00C76DCD" w:rsidRPr="001B4A02" w:rsidRDefault="00000000" w:rsidP="00C76DCD">
      <w:pPr>
        <w:pStyle w:val="BodyTextIndent"/>
        <w:keepNext/>
        <w:ind w:left="110" w:right="53" w:firstLine="0"/>
        <w:jc w:val="center"/>
        <w:rPr>
          <w:bCs/>
          <w:color w:val="auto"/>
          <w:lang w:val="cs-CZ"/>
        </w:rPr>
      </w:pPr>
      <w:r w:rsidRPr="001B4A02">
        <w:rPr>
          <w:bCs/>
          <w:color w:val="auto"/>
          <w:lang w:val="cs-CZ"/>
        </w:rPr>
        <w:t>Distribuce pacientů podle věku</w:t>
      </w:r>
      <w:r w:rsidR="002378E0">
        <w:rPr>
          <w:bCs/>
          <w:color w:val="auto"/>
          <w:lang w:val="cs-CZ"/>
        </w:rPr>
        <w:t xml:space="preserve"> a </w:t>
      </w:r>
      <w:r w:rsidRPr="001B4A02">
        <w:rPr>
          <w:bCs/>
          <w:color w:val="auto"/>
          <w:lang w:val="cs-CZ"/>
        </w:rPr>
        <w:t>dávky adalimumabu podávané v průběhu OL LI fáze</w:t>
      </w:r>
    </w:p>
    <w:p w14:paraId="5BC9BB9D" w14:textId="77777777" w:rsidR="00C76DCD" w:rsidRPr="001B4A02" w:rsidRDefault="00C76DCD" w:rsidP="00C76DCD">
      <w:pPr>
        <w:pStyle w:val="BodyTextIndent"/>
        <w:keepNext/>
        <w:ind w:left="110" w:right="53" w:firstLine="0"/>
        <w:jc w:val="center"/>
        <w:rPr>
          <w:b w:val="0"/>
          <w:bCs/>
          <w:color w:val="auto"/>
          <w:lang w:val="cs-CZ"/>
        </w:rPr>
      </w:pPr>
    </w:p>
    <w:tbl>
      <w:tblPr>
        <w:tblW w:w="0" w:type="auto"/>
        <w:tblInd w:w="11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62"/>
        <w:gridCol w:w="3425"/>
        <w:gridCol w:w="3164"/>
      </w:tblGrid>
      <w:tr w:rsidR="00534A2D" w14:paraId="4EAEB52B" w14:textId="77777777" w:rsidTr="00E571F5">
        <w:tc>
          <w:tcPr>
            <w:tcW w:w="2418" w:type="dxa"/>
            <w:tcBorders>
              <w:top w:val="single" w:sz="4" w:space="0" w:color="auto"/>
              <w:left w:val="single" w:sz="4" w:space="0" w:color="auto"/>
              <w:bottom w:val="single" w:sz="4" w:space="0" w:color="auto"/>
              <w:right w:val="single" w:sz="4" w:space="0" w:color="auto"/>
            </w:tcBorders>
          </w:tcPr>
          <w:p w14:paraId="652F6560" w14:textId="77777777" w:rsidR="00C76DCD" w:rsidRPr="001B4A02" w:rsidRDefault="00000000" w:rsidP="00E571F5">
            <w:pPr>
              <w:pStyle w:val="BodyTextIndent"/>
              <w:keepNext/>
              <w:ind w:left="0" w:right="53" w:firstLine="0"/>
              <w:rPr>
                <w:b w:val="0"/>
                <w:bCs/>
                <w:color w:val="auto"/>
                <w:lang w:val="cs-CZ"/>
              </w:rPr>
            </w:pPr>
            <w:r w:rsidRPr="001B4A02">
              <w:rPr>
                <w:b w:val="0"/>
                <w:bCs/>
                <w:color w:val="auto"/>
                <w:lang w:val="cs-CZ"/>
              </w:rPr>
              <w:t>Skupina dle věku</w:t>
            </w:r>
          </w:p>
        </w:tc>
        <w:tc>
          <w:tcPr>
            <w:tcW w:w="3520" w:type="dxa"/>
            <w:tcBorders>
              <w:top w:val="single" w:sz="4" w:space="0" w:color="auto"/>
              <w:left w:val="single" w:sz="4" w:space="0" w:color="auto"/>
              <w:bottom w:val="single" w:sz="4" w:space="0" w:color="auto"/>
              <w:right w:val="single" w:sz="4" w:space="0" w:color="auto"/>
            </w:tcBorders>
          </w:tcPr>
          <w:p w14:paraId="665110EE"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Počet pacientů ve výchozím stavu n (%)</w:t>
            </w:r>
          </w:p>
        </w:tc>
        <w:tc>
          <w:tcPr>
            <w:tcW w:w="3239" w:type="dxa"/>
            <w:tcBorders>
              <w:top w:val="single" w:sz="4" w:space="0" w:color="auto"/>
              <w:left w:val="single" w:sz="4" w:space="0" w:color="auto"/>
              <w:bottom w:val="single" w:sz="4" w:space="0" w:color="auto"/>
              <w:right w:val="single" w:sz="4" w:space="0" w:color="auto"/>
            </w:tcBorders>
          </w:tcPr>
          <w:p w14:paraId="4F035A5E"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Minumální, střední</w:t>
            </w:r>
            <w:r w:rsidR="002378E0">
              <w:rPr>
                <w:b w:val="0"/>
                <w:bCs/>
                <w:color w:val="auto"/>
                <w:lang w:val="cs-CZ"/>
              </w:rPr>
              <w:t xml:space="preserve"> a </w:t>
            </w:r>
            <w:r w:rsidRPr="001B4A02">
              <w:rPr>
                <w:b w:val="0"/>
                <w:bCs/>
                <w:color w:val="auto"/>
                <w:lang w:val="cs-CZ"/>
              </w:rPr>
              <w:t>maximální dávka</w:t>
            </w:r>
          </w:p>
        </w:tc>
      </w:tr>
      <w:tr w:rsidR="00534A2D" w14:paraId="370AB7B6" w14:textId="77777777" w:rsidTr="00E571F5">
        <w:tc>
          <w:tcPr>
            <w:tcW w:w="2418" w:type="dxa"/>
            <w:tcBorders>
              <w:top w:val="single" w:sz="4" w:space="0" w:color="auto"/>
              <w:left w:val="single" w:sz="4" w:space="0" w:color="auto"/>
              <w:bottom w:val="single" w:sz="4" w:space="0" w:color="auto"/>
              <w:right w:val="single" w:sz="4" w:space="0" w:color="auto"/>
            </w:tcBorders>
          </w:tcPr>
          <w:p w14:paraId="1F69177A" w14:textId="77777777" w:rsidR="00C76DCD" w:rsidRPr="001B4A02" w:rsidRDefault="00000000" w:rsidP="00E571F5">
            <w:pPr>
              <w:pStyle w:val="BodyTextIndent"/>
              <w:keepNext/>
              <w:ind w:left="0" w:right="53" w:firstLine="0"/>
              <w:rPr>
                <w:b w:val="0"/>
                <w:bCs/>
                <w:color w:val="auto"/>
                <w:lang w:val="cs-CZ"/>
              </w:rPr>
            </w:pPr>
            <w:r w:rsidRPr="001B4A02">
              <w:rPr>
                <w:b w:val="0"/>
                <w:bCs/>
                <w:color w:val="auto"/>
                <w:lang w:val="cs-CZ"/>
              </w:rPr>
              <w:t>4 až 7 let</w:t>
            </w:r>
          </w:p>
        </w:tc>
        <w:tc>
          <w:tcPr>
            <w:tcW w:w="3520" w:type="dxa"/>
            <w:tcBorders>
              <w:top w:val="single" w:sz="4" w:space="0" w:color="auto"/>
              <w:left w:val="single" w:sz="4" w:space="0" w:color="auto"/>
              <w:bottom w:val="single" w:sz="4" w:space="0" w:color="auto"/>
              <w:right w:val="single" w:sz="4" w:space="0" w:color="auto"/>
            </w:tcBorders>
          </w:tcPr>
          <w:p w14:paraId="1DB66988"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31 (18,1)</w:t>
            </w:r>
          </w:p>
        </w:tc>
        <w:tc>
          <w:tcPr>
            <w:tcW w:w="3239" w:type="dxa"/>
            <w:tcBorders>
              <w:top w:val="single" w:sz="4" w:space="0" w:color="auto"/>
              <w:left w:val="single" w:sz="4" w:space="0" w:color="auto"/>
              <w:bottom w:val="single" w:sz="4" w:space="0" w:color="auto"/>
              <w:right w:val="single" w:sz="4" w:space="0" w:color="auto"/>
            </w:tcBorders>
          </w:tcPr>
          <w:p w14:paraId="79FB4172"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10, 20</w:t>
            </w:r>
            <w:r w:rsidR="002378E0">
              <w:rPr>
                <w:b w:val="0"/>
                <w:bCs/>
                <w:color w:val="auto"/>
                <w:lang w:val="cs-CZ"/>
              </w:rPr>
              <w:t xml:space="preserve"> a </w:t>
            </w:r>
            <w:r w:rsidRPr="001B4A02">
              <w:rPr>
                <w:b w:val="0"/>
                <w:bCs/>
                <w:color w:val="auto"/>
                <w:lang w:val="cs-CZ"/>
              </w:rPr>
              <w:t>25</w:t>
            </w:r>
            <w:r w:rsidR="00F365E7" w:rsidRPr="00005EC2">
              <w:rPr>
                <w:szCs w:val="22"/>
              </w:rPr>
              <w:t> </w:t>
            </w:r>
            <w:r w:rsidRPr="001B4A02">
              <w:rPr>
                <w:b w:val="0"/>
                <w:bCs/>
                <w:color w:val="auto"/>
                <w:lang w:val="cs-CZ"/>
              </w:rPr>
              <w:t>mg</w:t>
            </w:r>
          </w:p>
        </w:tc>
      </w:tr>
      <w:tr w:rsidR="00534A2D" w14:paraId="16B338FD" w14:textId="77777777" w:rsidTr="00E571F5">
        <w:tc>
          <w:tcPr>
            <w:tcW w:w="2418" w:type="dxa"/>
            <w:tcBorders>
              <w:top w:val="single" w:sz="4" w:space="0" w:color="auto"/>
              <w:left w:val="single" w:sz="4" w:space="0" w:color="auto"/>
              <w:bottom w:val="single" w:sz="4" w:space="0" w:color="auto"/>
              <w:right w:val="single" w:sz="4" w:space="0" w:color="auto"/>
            </w:tcBorders>
          </w:tcPr>
          <w:p w14:paraId="3136A05A" w14:textId="77777777" w:rsidR="00C76DCD" w:rsidRPr="001B4A02" w:rsidRDefault="00000000" w:rsidP="00E571F5">
            <w:pPr>
              <w:pStyle w:val="BodyTextIndent"/>
              <w:keepNext/>
              <w:ind w:left="0" w:right="53" w:firstLine="0"/>
              <w:rPr>
                <w:b w:val="0"/>
                <w:bCs/>
                <w:color w:val="auto"/>
                <w:lang w:val="cs-CZ"/>
              </w:rPr>
            </w:pPr>
            <w:r w:rsidRPr="001B4A02">
              <w:rPr>
                <w:b w:val="0"/>
                <w:bCs/>
                <w:color w:val="auto"/>
                <w:lang w:val="cs-CZ"/>
              </w:rPr>
              <w:t>8 až 12 let</w:t>
            </w:r>
          </w:p>
        </w:tc>
        <w:tc>
          <w:tcPr>
            <w:tcW w:w="3520" w:type="dxa"/>
            <w:tcBorders>
              <w:top w:val="single" w:sz="4" w:space="0" w:color="auto"/>
              <w:left w:val="single" w:sz="4" w:space="0" w:color="auto"/>
              <w:bottom w:val="single" w:sz="4" w:space="0" w:color="auto"/>
              <w:right w:val="single" w:sz="4" w:space="0" w:color="auto"/>
            </w:tcBorders>
          </w:tcPr>
          <w:p w14:paraId="17B2715E"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71 (41,5)</w:t>
            </w:r>
          </w:p>
        </w:tc>
        <w:tc>
          <w:tcPr>
            <w:tcW w:w="3239" w:type="dxa"/>
            <w:tcBorders>
              <w:top w:val="single" w:sz="4" w:space="0" w:color="auto"/>
              <w:left w:val="single" w:sz="4" w:space="0" w:color="auto"/>
              <w:bottom w:val="single" w:sz="4" w:space="0" w:color="auto"/>
              <w:right w:val="single" w:sz="4" w:space="0" w:color="auto"/>
            </w:tcBorders>
          </w:tcPr>
          <w:p w14:paraId="33B3E05E"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20, 25</w:t>
            </w:r>
            <w:r w:rsidR="002378E0">
              <w:rPr>
                <w:b w:val="0"/>
                <w:bCs/>
                <w:color w:val="auto"/>
                <w:lang w:val="cs-CZ"/>
              </w:rPr>
              <w:t xml:space="preserve"> a </w:t>
            </w:r>
            <w:r w:rsidRPr="001B4A02">
              <w:rPr>
                <w:b w:val="0"/>
                <w:bCs/>
                <w:color w:val="auto"/>
                <w:lang w:val="cs-CZ"/>
              </w:rPr>
              <w:t>40</w:t>
            </w:r>
            <w:r w:rsidR="00F365E7" w:rsidRPr="00005EC2">
              <w:rPr>
                <w:szCs w:val="22"/>
              </w:rPr>
              <w:t> </w:t>
            </w:r>
            <w:r w:rsidRPr="001B4A02">
              <w:rPr>
                <w:b w:val="0"/>
                <w:bCs/>
                <w:color w:val="auto"/>
                <w:lang w:val="cs-CZ"/>
              </w:rPr>
              <w:t>mg</w:t>
            </w:r>
          </w:p>
        </w:tc>
      </w:tr>
      <w:tr w:rsidR="00534A2D" w14:paraId="112AE0C9" w14:textId="77777777" w:rsidTr="00E571F5">
        <w:tc>
          <w:tcPr>
            <w:tcW w:w="2418" w:type="dxa"/>
            <w:tcBorders>
              <w:top w:val="single" w:sz="4" w:space="0" w:color="auto"/>
              <w:left w:val="single" w:sz="4" w:space="0" w:color="auto"/>
              <w:bottom w:val="single" w:sz="4" w:space="0" w:color="auto"/>
              <w:right w:val="single" w:sz="4" w:space="0" w:color="auto"/>
            </w:tcBorders>
          </w:tcPr>
          <w:p w14:paraId="749DF648" w14:textId="77777777" w:rsidR="00C76DCD" w:rsidRPr="001B4A02" w:rsidRDefault="00000000" w:rsidP="00E571F5">
            <w:pPr>
              <w:pStyle w:val="BodyTextIndent"/>
              <w:keepNext/>
              <w:ind w:left="0" w:right="53" w:firstLine="0"/>
              <w:rPr>
                <w:b w:val="0"/>
                <w:bCs/>
                <w:color w:val="auto"/>
                <w:lang w:val="cs-CZ"/>
              </w:rPr>
            </w:pPr>
            <w:r w:rsidRPr="001B4A02">
              <w:rPr>
                <w:b w:val="0"/>
                <w:bCs/>
                <w:color w:val="auto"/>
                <w:lang w:val="cs-CZ"/>
              </w:rPr>
              <w:t>13 až 17 let</w:t>
            </w:r>
          </w:p>
        </w:tc>
        <w:tc>
          <w:tcPr>
            <w:tcW w:w="3520" w:type="dxa"/>
            <w:tcBorders>
              <w:top w:val="single" w:sz="4" w:space="0" w:color="auto"/>
              <w:left w:val="single" w:sz="4" w:space="0" w:color="auto"/>
              <w:bottom w:val="single" w:sz="4" w:space="0" w:color="auto"/>
              <w:right w:val="single" w:sz="4" w:space="0" w:color="auto"/>
            </w:tcBorders>
          </w:tcPr>
          <w:p w14:paraId="6AFE2715"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69 (40,4)</w:t>
            </w:r>
          </w:p>
        </w:tc>
        <w:tc>
          <w:tcPr>
            <w:tcW w:w="3239" w:type="dxa"/>
            <w:tcBorders>
              <w:top w:val="single" w:sz="4" w:space="0" w:color="auto"/>
              <w:left w:val="single" w:sz="4" w:space="0" w:color="auto"/>
              <w:bottom w:val="single" w:sz="4" w:space="0" w:color="auto"/>
              <w:right w:val="single" w:sz="4" w:space="0" w:color="auto"/>
            </w:tcBorders>
          </w:tcPr>
          <w:p w14:paraId="332E4571"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25, 40</w:t>
            </w:r>
            <w:r w:rsidR="002378E0">
              <w:rPr>
                <w:b w:val="0"/>
                <w:bCs/>
                <w:color w:val="auto"/>
                <w:lang w:val="cs-CZ"/>
              </w:rPr>
              <w:t xml:space="preserve"> a </w:t>
            </w:r>
            <w:r w:rsidRPr="001B4A02">
              <w:rPr>
                <w:b w:val="0"/>
                <w:bCs/>
                <w:color w:val="auto"/>
                <w:lang w:val="cs-CZ"/>
              </w:rPr>
              <w:t>40</w:t>
            </w:r>
            <w:r w:rsidR="00F365E7" w:rsidRPr="00005EC2">
              <w:rPr>
                <w:szCs w:val="22"/>
              </w:rPr>
              <w:t> </w:t>
            </w:r>
            <w:r w:rsidRPr="001B4A02">
              <w:rPr>
                <w:b w:val="0"/>
                <w:bCs/>
                <w:color w:val="auto"/>
                <w:lang w:val="cs-CZ"/>
              </w:rPr>
              <w:t>mg</w:t>
            </w:r>
          </w:p>
        </w:tc>
      </w:tr>
    </w:tbl>
    <w:p w14:paraId="34FE459A" w14:textId="77777777" w:rsidR="00C76DCD" w:rsidRPr="001B4A02" w:rsidRDefault="00C76DCD" w:rsidP="00C76DCD">
      <w:pPr>
        <w:ind w:left="0" w:firstLine="0"/>
        <w:rPr>
          <w:bCs/>
        </w:rPr>
      </w:pPr>
    </w:p>
    <w:p w14:paraId="19C102D5" w14:textId="77777777" w:rsidR="00C76DCD" w:rsidRPr="001B4A02" w:rsidRDefault="00000000" w:rsidP="00C76DCD">
      <w:pPr>
        <w:tabs>
          <w:tab w:val="left" w:pos="0"/>
          <w:tab w:val="left" w:pos="6840"/>
        </w:tabs>
        <w:suppressAutoHyphens/>
        <w:autoSpaceDE w:val="0"/>
        <w:autoSpaceDN w:val="0"/>
        <w:adjustRightInd w:val="0"/>
        <w:ind w:left="0" w:right="51" w:firstLine="0"/>
      </w:pPr>
      <w:r w:rsidRPr="001B4A02">
        <w:t>Pacienti, kteří vykazovali v týdnu 16 odpověď v pediatrickém (Ped) ACR 30,byli vhodní k randomizaci do dvojitě zaslepené (DB) fáze, kdy dostávali buď přípravek Humira v dávce 24</w:t>
      </w:r>
      <w:r w:rsidR="00F365E7" w:rsidRPr="00005EC2">
        <w:rPr>
          <w:szCs w:val="22"/>
        </w:rPr>
        <w:t> </w:t>
      </w:r>
      <w:r w:rsidRPr="001B4A02">
        <w:t>mg/m</w:t>
      </w:r>
      <w:r w:rsidRPr="001B4A02">
        <w:rPr>
          <w:vertAlign w:val="superscript"/>
        </w:rPr>
        <w:t xml:space="preserve">2 </w:t>
      </w:r>
      <w:r w:rsidRPr="001B4A02">
        <w:t>až do maximální dávky 40</w:t>
      </w:r>
      <w:r w:rsidR="00F365E7" w:rsidRPr="00005EC2">
        <w:rPr>
          <w:szCs w:val="22"/>
        </w:rPr>
        <w:t> </w:t>
      </w:r>
      <w:r w:rsidRPr="001B4A02">
        <w:t>mg, či placebo každý druhý týden po dobu dalších 32 týdnů nebo do doby vzplanutí onemocnění. Kritéria vzplanutí byla definována jako zhoršení o </w:t>
      </w:r>
      <w:r w:rsidRPr="001B4A02">
        <w:rPr>
          <w:rFonts w:ascii="Symbol" w:hAnsi="Symbol"/>
        </w:rPr>
        <w:sym w:font="Symbol" w:char="F0B3"/>
      </w:r>
      <w:r w:rsidRPr="001B4A02">
        <w:t> 30 % v porovnání s výchozím stavem u </w:t>
      </w:r>
      <w:r w:rsidRPr="001B4A02">
        <w:rPr>
          <w:rFonts w:ascii="Symbol" w:hAnsi="Symbol"/>
        </w:rPr>
        <w:sym w:font="Symbol" w:char="F0B3"/>
      </w:r>
      <w:r w:rsidRPr="001B4A02">
        <w:t xml:space="preserve"> 3 ze 6 hlavních kritérií pediatrického ACR, přítomnost </w:t>
      </w:r>
      <w:r w:rsidRPr="001B4A02">
        <w:rPr>
          <w:rFonts w:ascii="Symbol" w:hAnsi="Symbol"/>
        </w:rPr>
        <w:sym w:font="Symbol" w:char="F0B3"/>
      </w:r>
      <w:r w:rsidRPr="001B4A02">
        <w:t> 2 aktivních kloubů</w:t>
      </w:r>
      <w:r w:rsidR="002378E0">
        <w:t xml:space="preserve"> a </w:t>
      </w:r>
      <w:r w:rsidRPr="001B4A02">
        <w:t>zlepšení o </w:t>
      </w:r>
      <w:r w:rsidRPr="001B4A02">
        <w:rPr>
          <w:rFonts w:ascii="Symbol" w:hAnsi="Symbol"/>
        </w:rPr>
        <w:sym w:font="Symbol" w:char="F03E"/>
      </w:r>
      <w:r w:rsidRPr="001B4A02">
        <w:t> 30 % u ne více než 1 ze 6 kritérií. Po 32 týdnech léčby nebo při vzplanutí onemocnění byli pacienti vhodní k zařazení do otevřené prodloužené fáze.</w:t>
      </w:r>
    </w:p>
    <w:p w14:paraId="1C966FB6" w14:textId="77777777" w:rsidR="00C76DCD" w:rsidRPr="001B4A02" w:rsidRDefault="00C76DCD" w:rsidP="00C76DCD">
      <w:pPr>
        <w:ind w:left="0" w:firstLine="0"/>
        <w:rPr>
          <w:bCs/>
        </w:rPr>
      </w:pPr>
    </w:p>
    <w:p w14:paraId="524853C9" w14:textId="77777777" w:rsidR="00C76DCD" w:rsidRPr="001B4A02" w:rsidRDefault="00000000" w:rsidP="00C76DCD">
      <w:pPr>
        <w:pStyle w:val="BodyTextIndent"/>
        <w:keepNext/>
        <w:ind w:left="110" w:right="53" w:firstLine="0"/>
        <w:jc w:val="center"/>
        <w:rPr>
          <w:bCs/>
          <w:color w:val="auto"/>
          <w:lang w:val="cs-CZ"/>
        </w:rPr>
      </w:pPr>
      <w:r w:rsidRPr="001B4A02">
        <w:rPr>
          <w:bCs/>
          <w:color w:val="auto"/>
          <w:lang w:val="cs-CZ"/>
        </w:rPr>
        <w:t xml:space="preserve">Tabulka </w:t>
      </w:r>
      <w:r w:rsidR="002A0AEB">
        <w:rPr>
          <w:bCs/>
          <w:color w:val="auto"/>
          <w:lang w:val="cs-CZ"/>
        </w:rPr>
        <w:t>26</w:t>
      </w:r>
      <w:r w:rsidRPr="001B4A02">
        <w:rPr>
          <w:bCs/>
          <w:color w:val="auto"/>
          <w:lang w:val="cs-CZ"/>
        </w:rPr>
        <w:t xml:space="preserve"> </w:t>
      </w:r>
    </w:p>
    <w:p w14:paraId="3BC3287A" w14:textId="77777777" w:rsidR="00C76DCD" w:rsidRPr="001B4A02" w:rsidRDefault="00000000" w:rsidP="00C76DCD">
      <w:pPr>
        <w:pStyle w:val="BodyTextIndent"/>
        <w:keepNext/>
        <w:ind w:left="110" w:right="53" w:firstLine="0"/>
        <w:jc w:val="center"/>
        <w:rPr>
          <w:bCs/>
          <w:color w:val="auto"/>
          <w:lang w:val="cs-CZ"/>
        </w:rPr>
      </w:pPr>
      <w:r w:rsidRPr="001B4A02">
        <w:rPr>
          <w:bCs/>
          <w:color w:val="auto"/>
          <w:lang w:val="cs-CZ"/>
        </w:rPr>
        <w:t>Odpovědi v Ped ACR 30 ve studii s JIA</w:t>
      </w:r>
    </w:p>
    <w:p w14:paraId="48F49DB9" w14:textId="77777777" w:rsidR="00C76DCD" w:rsidRPr="001B4A02" w:rsidRDefault="00C76DCD" w:rsidP="00C76DCD">
      <w:pPr>
        <w:pStyle w:val="BodyTextIndent"/>
        <w:keepNext/>
        <w:ind w:left="110" w:right="53" w:firstLine="0"/>
        <w:jc w:val="center"/>
        <w:rPr>
          <w:b w:val="0"/>
          <w:bCs/>
          <w:color w:val="auto"/>
          <w:lang w:val="cs-CZ"/>
        </w:rPr>
      </w:pPr>
    </w:p>
    <w:tbl>
      <w:tblPr>
        <w:tblW w:w="0" w:type="auto"/>
        <w:tblInd w:w="11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62"/>
        <w:gridCol w:w="1522"/>
        <w:gridCol w:w="1522"/>
        <w:gridCol w:w="1522"/>
        <w:gridCol w:w="1523"/>
      </w:tblGrid>
      <w:tr w:rsidR="00534A2D" w14:paraId="05E0F1DE" w14:textId="77777777" w:rsidTr="00E571F5">
        <w:tc>
          <w:tcPr>
            <w:tcW w:w="2862" w:type="dxa"/>
            <w:tcBorders>
              <w:top w:val="single" w:sz="4" w:space="0" w:color="auto"/>
              <w:left w:val="single" w:sz="4" w:space="0" w:color="auto"/>
              <w:bottom w:val="single" w:sz="4" w:space="0" w:color="auto"/>
              <w:right w:val="single" w:sz="4" w:space="0" w:color="auto"/>
            </w:tcBorders>
          </w:tcPr>
          <w:p w14:paraId="6B538E08" w14:textId="77777777" w:rsidR="00C76DCD" w:rsidRPr="001B4A02" w:rsidRDefault="00000000" w:rsidP="00E571F5">
            <w:pPr>
              <w:pStyle w:val="BodyTextIndent"/>
              <w:keepNext/>
              <w:ind w:left="0" w:firstLine="0"/>
              <w:rPr>
                <w:b w:val="0"/>
                <w:bCs/>
                <w:color w:val="auto"/>
                <w:lang w:val="cs-CZ"/>
              </w:rPr>
            </w:pPr>
            <w:r w:rsidRPr="001B4A02">
              <w:rPr>
                <w:b w:val="0"/>
                <w:bCs/>
                <w:color w:val="auto"/>
                <w:lang w:val="cs-CZ"/>
              </w:rPr>
              <w:t>Skupina</w:t>
            </w:r>
          </w:p>
        </w:tc>
        <w:tc>
          <w:tcPr>
            <w:tcW w:w="3044" w:type="dxa"/>
            <w:gridSpan w:val="2"/>
            <w:tcBorders>
              <w:top w:val="single" w:sz="4" w:space="0" w:color="auto"/>
              <w:left w:val="single" w:sz="4" w:space="0" w:color="auto"/>
              <w:bottom w:val="single" w:sz="4" w:space="0" w:color="auto"/>
              <w:right w:val="single" w:sz="4" w:space="0" w:color="auto"/>
            </w:tcBorders>
          </w:tcPr>
          <w:p w14:paraId="7F7CC236"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MTX</w:t>
            </w:r>
          </w:p>
        </w:tc>
        <w:tc>
          <w:tcPr>
            <w:tcW w:w="3045" w:type="dxa"/>
            <w:gridSpan w:val="2"/>
            <w:tcBorders>
              <w:top w:val="single" w:sz="4" w:space="0" w:color="auto"/>
              <w:left w:val="single" w:sz="4" w:space="0" w:color="auto"/>
              <w:bottom w:val="single" w:sz="4" w:space="0" w:color="auto"/>
              <w:right w:val="single" w:sz="4" w:space="0" w:color="auto"/>
            </w:tcBorders>
          </w:tcPr>
          <w:p w14:paraId="703394D0"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Bez MTX</w:t>
            </w:r>
          </w:p>
        </w:tc>
      </w:tr>
      <w:tr w:rsidR="00534A2D" w14:paraId="64D3C83F" w14:textId="77777777" w:rsidTr="00E571F5">
        <w:tc>
          <w:tcPr>
            <w:tcW w:w="2862" w:type="dxa"/>
            <w:tcBorders>
              <w:top w:val="single" w:sz="4" w:space="0" w:color="auto"/>
              <w:left w:val="single" w:sz="4" w:space="0" w:color="auto"/>
              <w:bottom w:val="single" w:sz="4" w:space="0" w:color="auto"/>
              <w:right w:val="single" w:sz="4" w:space="0" w:color="auto"/>
            </w:tcBorders>
          </w:tcPr>
          <w:p w14:paraId="21AB8055" w14:textId="77777777" w:rsidR="00C76DCD" w:rsidRPr="001B4A02" w:rsidRDefault="00000000" w:rsidP="00E571F5">
            <w:pPr>
              <w:pStyle w:val="BodyTextIndent"/>
              <w:keepNext/>
              <w:ind w:left="0" w:firstLine="0"/>
              <w:rPr>
                <w:b w:val="0"/>
                <w:bCs/>
                <w:color w:val="auto"/>
                <w:lang w:val="cs-CZ"/>
              </w:rPr>
            </w:pPr>
            <w:r w:rsidRPr="001B4A02">
              <w:rPr>
                <w:b w:val="0"/>
                <w:bCs/>
                <w:color w:val="auto"/>
                <w:lang w:val="cs-CZ"/>
              </w:rPr>
              <w:t>Fáze</w:t>
            </w:r>
          </w:p>
        </w:tc>
        <w:tc>
          <w:tcPr>
            <w:tcW w:w="3044" w:type="dxa"/>
            <w:gridSpan w:val="2"/>
            <w:tcBorders>
              <w:top w:val="single" w:sz="4" w:space="0" w:color="auto"/>
              <w:left w:val="single" w:sz="4" w:space="0" w:color="auto"/>
              <w:bottom w:val="single" w:sz="4" w:space="0" w:color="auto"/>
              <w:right w:val="single" w:sz="4" w:space="0" w:color="auto"/>
            </w:tcBorders>
          </w:tcPr>
          <w:p w14:paraId="4B66F693" w14:textId="77777777" w:rsidR="00C76DCD" w:rsidRPr="001B4A02" w:rsidRDefault="00C76DCD" w:rsidP="00E571F5">
            <w:pPr>
              <w:pStyle w:val="BodyTextIndent"/>
              <w:keepNext/>
              <w:ind w:left="0" w:firstLine="0"/>
              <w:jc w:val="center"/>
              <w:rPr>
                <w:b w:val="0"/>
                <w:bCs/>
                <w:color w:val="auto"/>
                <w:lang w:val="cs-CZ"/>
              </w:rPr>
            </w:pPr>
          </w:p>
        </w:tc>
        <w:tc>
          <w:tcPr>
            <w:tcW w:w="3045" w:type="dxa"/>
            <w:gridSpan w:val="2"/>
            <w:tcBorders>
              <w:top w:val="single" w:sz="4" w:space="0" w:color="auto"/>
              <w:left w:val="single" w:sz="4" w:space="0" w:color="auto"/>
              <w:bottom w:val="single" w:sz="4" w:space="0" w:color="auto"/>
              <w:right w:val="single" w:sz="4" w:space="0" w:color="auto"/>
            </w:tcBorders>
          </w:tcPr>
          <w:p w14:paraId="480E39FF" w14:textId="77777777" w:rsidR="00C76DCD" w:rsidRPr="001B4A02" w:rsidRDefault="00C76DCD" w:rsidP="00E571F5">
            <w:pPr>
              <w:pStyle w:val="BodyTextIndent"/>
              <w:keepNext/>
              <w:ind w:left="0" w:firstLine="0"/>
              <w:jc w:val="center"/>
              <w:rPr>
                <w:b w:val="0"/>
                <w:bCs/>
                <w:color w:val="auto"/>
                <w:lang w:val="cs-CZ"/>
              </w:rPr>
            </w:pPr>
          </w:p>
        </w:tc>
      </w:tr>
      <w:tr w:rsidR="00534A2D" w14:paraId="772BBDF3" w14:textId="77777777" w:rsidTr="00E571F5">
        <w:tc>
          <w:tcPr>
            <w:tcW w:w="2862" w:type="dxa"/>
            <w:tcBorders>
              <w:top w:val="single" w:sz="4" w:space="0" w:color="auto"/>
              <w:left w:val="single" w:sz="4" w:space="0" w:color="auto"/>
              <w:bottom w:val="single" w:sz="4" w:space="0" w:color="auto"/>
              <w:right w:val="single" w:sz="4" w:space="0" w:color="auto"/>
            </w:tcBorders>
          </w:tcPr>
          <w:p w14:paraId="2BB60635" w14:textId="77777777" w:rsidR="00C76DCD" w:rsidRPr="001B4A02" w:rsidRDefault="00000000" w:rsidP="00E571F5">
            <w:pPr>
              <w:pStyle w:val="BodyTextIndent"/>
              <w:keepNext/>
              <w:ind w:left="0" w:firstLine="0"/>
              <w:rPr>
                <w:b w:val="0"/>
                <w:bCs/>
                <w:color w:val="auto"/>
                <w:lang w:val="cs-CZ"/>
              </w:rPr>
            </w:pPr>
            <w:r w:rsidRPr="001B4A02">
              <w:rPr>
                <w:b w:val="0"/>
                <w:bCs/>
                <w:color w:val="auto"/>
                <w:lang w:val="cs-CZ"/>
              </w:rPr>
              <w:t>OL-LI 16 týdnů</w:t>
            </w:r>
          </w:p>
        </w:tc>
        <w:tc>
          <w:tcPr>
            <w:tcW w:w="3044" w:type="dxa"/>
            <w:gridSpan w:val="2"/>
            <w:tcBorders>
              <w:top w:val="single" w:sz="4" w:space="0" w:color="auto"/>
              <w:left w:val="single" w:sz="4" w:space="0" w:color="auto"/>
              <w:bottom w:val="single" w:sz="4" w:space="0" w:color="auto"/>
              <w:right w:val="single" w:sz="4" w:space="0" w:color="auto"/>
            </w:tcBorders>
          </w:tcPr>
          <w:p w14:paraId="0118F99F" w14:textId="77777777" w:rsidR="00C76DCD" w:rsidRPr="001B4A02" w:rsidRDefault="00C76DCD" w:rsidP="00E571F5">
            <w:pPr>
              <w:pStyle w:val="BodyTextIndent"/>
              <w:keepNext/>
              <w:ind w:left="0" w:firstLine="0"/>
              <w:jc w:val="center"/>
              <w:rPr>
                <w:b w:val="0"/>
                <w:bCs/>
                <w:color w:val="auto"/>
                <w:lang w:val="cs-CZ"/>
              </w:rPr>
            </w:pPr>
          </w:p>
        </w:tc>
        <w:tc>
          <w:tcPr>
            <w:tcW w:w="3045" w:type="dxa"/>
            <w:gridSpan w:val="2"/>
            <w:tcBorders>
              <w:top w:val="single" w:sz="4" w:space="0" w:color="auto"/>
              <w:left w:val="single" w:sz="4" w:space="0" w:color="auto"/>
              <w:bottom w:val="single" w:sz="4" w:space="0" w:color="auto"/>
              <w:right w:val="single" w:sz="4" w:space="0" w:color="auto"/>
            </w:tcBorders>
          </w:tcPr>
          <w:p w14:paraId="362CFE7C" w14:textId="77777777" w:rsidR="00C76DCD" w:rsidRPr="001B4A02" w:rsidRDefault="00C76DCD" w:rsidP="00E571F5">
            <w:pPr>
              <w:pStyle w:val="BodyTextIndent"/>
              <w:keepNext/>
              <w:ind w:left="0" w:firstLine="0"/>
              <w:jc w:val="center"/>
              <w:rPr>
                <w:b w:val="0"/>
                <w:bCs/>
                <w:color w:val="auto"/>
                <w:lang w:val="cs-CZ"/>
              </w:rPr>
            </w:pPr>
          </w:p>
        </w:tc>
      </w:tr>
      <w:tr w:rsidR="00534A2D" w14:paraId="714C0BB1" w14:textId="77777777" w:rsidTr="00E571F5">
        <w:tc>
          <w:tcPr>
            <w:tcW w:w="2862" w:type="dxa"/>
            <w:tcBorders>
              <w:top w:val="single" w:sz="4" w:space="0" w:color="auto"/>
              <w:left w:val="single" w:sz="4" w:space="0" w:color="auto"/>
              <w:bottom w:val="single" w:sz="4" w:space="0" w:color="auto"/>
              <w:right w:val="single" w:sz="4" w:space="0" w:color="auto"/>
            </w:tcBorders>
          </w:tcPr>
          <w:p w14:paraId="642315F3" w14:textId="77777777" w:rsidR="00C76DCD" w:rsidRPr="001B4A02" w:rsidRDefault="00000000" w:rsidP="00E571F5">
            <w:pPr>
              <w:pStyle w:val="BodyTextIndent"/>
              <w:keepNext/>
              <w:ind w:left="0" w:firstLine="0"/>
              <w:rPr>
                <w:b w:val="0"/>
                <w:bCs/>
                <w:color w:val="auto"/>
                <w:lang w:val="cs-CZ"/>
              </w:rPr>
            </w:pPr>
            <w:r w:rsidRPr="001B4A02">
              <w:rPr>
                <w:b w:val="0"/>
                <w:bCs/>
                <w:color w:val="auto"/>
                <w:lang w:val="cs-CZ"/>
              </w:rPr>
              <w:t>Odpovědi Ped ACR 30 (n/N)</w:t>
            </w:r>
          </w:p>
        </w:tc>
        <w:tc>
          <w:tcPr>
            <w:tcW w:w="3044" w:type="dxa"/>
            <w:gridSpan w:val="2"/>
            <w:tcBorders>
              <w:top w:val="single" w:sz="4" w:space="0" w:color="auto"/>
              <w:left w:val="single" w:sz="4" w:space="0" w:color="auto"/>
              <w:bottom w:val="single" w:sz="4" w:space="0" w:color="auto"/>
              <w:right w:val="single" w:sz="4" w:space="0" w:color="auto"/>
            </w:tcBorders>
          </w:tcPr>
          <w:p w14:paraId="310E0317"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94,1 % (80/85)</w:t>
            </w:r>
          </w:p>
        </w:tc>
        <w:tc>
          <w:tcPr>
            <w:tcW w:w="3045" w:type="dxa"/>
            <w:gridSpan w:val="2"/>
            <w:tcBorders>
              <w:top w:val="single" w:sz="4" w:space="0" w:color="auto"/>
              <w:left w:val="single" w:sz="4" w:space="0" w:color="auto"/>
              <w:bottom w:val="single" w:sz="4" w:space="0" w:color="auto"/>
              <w:right w:val="single" w:sz="4" w:space="0" w:color="auto"/>
            </w:tcBorders>
          </w:tcPr>
          <w:p w14:paraId="01994DD8"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74,4 % (64/86)</w:t>
            </w:r>
          </w:p>
        </w:tc>
      </w:tr>
      <w:tr w:rsidR="00534A2D" w14:paraId="21EBFD54" w14:textId="77777777" w:rsidTr="00E571F5">
        <w:tc>
          <w:tcPr>
            <w:tcW w:w="8951" w:type="dxa"/>
            <w:gridSpan w:val="5"/>
            <w:tcBorders>
              <w:top w:val="single" w:sz="4" w:space="0" w:color="auto"/>
              <w:left w:val="single" w:sz="4" w:space="0" w:color="auto"/>
              <w:bottom w:val="single" w:sz="4" w:space="0" w:color="auto"/>
              <w:right w:val="single" w:sz="4" w:space="0" w:color="auto"/>
            </w:tcBorders>
          </w:tcPr>
          <w:p w14:paraId="0D69764C"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Výsledky účinnosti</w:t>
            </w:r>
          </w:p>
        </w:tc>
      </w:tr>
      <w:tr w:rsidR="00534A2D" w14:paraId="10850881" w14:textId="77777777" w:rsidTr="00E571F5">
        <w:tc>
          <w:tcPr>
            <w:tcW w:w="2862" w:type="dxa"/>
            <w:tcBorders>
              <w:top w:val="single" w:sz="4" w:space="0" w:color="auto"/>
              <w:left w:val="single" w:sz="4" w:space="0" w:color="auto"/>
              <w:bottom w:val="single" w:sz="4" w:space="0" w:color="auto"/>
              <w:right w:val="single" w:sz="4" w:space="0" w:color="auto"/>
            </w:tcBorders>
          </w:tcPr>
          <w:p w14:paraId="7562506F" w14:textId="77777777" w:rsidR="00C76DCD" w:rsidRPr="001B4A02" w:rsidRDefault="00000000" w:rsidP="00E571F5">
            <w:pPr>
              <w:pStyle w:val="BodyTextIndent"/>
              <w:keepNext/>
              <w:ind w:left="0" w:firstLine="0"/>
              <w:rPr>
                <w:b w:val="0"/>
                <w:bCs/>
                <w:color w:val="auto"/>
                <w:lang w:val="cs-CZ"/>
              </w:rPr>
            </w:pPr>
            <w:r w:rsidRPr="001B4A02">
              <w:rPr>
                <w:b w:val="0"/>
                <w:bCs/>
                <w:color w:val="auto"/>
                <w:lang w:val="cs-CZ"/>
              </w:rPr>
              <w:t>Dvojitě zaslepených 32 týdnů</w:t>
            </w:r>
          </w:p>
        </w:tc>
        <w:tc>
          <w:tcPr>
            <w:tcW w:w="1522" w:type="dxa"/>
            <w:tcBorders>
              <w:top w:val="single" w:sz="4" w:space="0" w:color="auto"/>
              <w:left w:val="single" w:sz="4" w:space="0" w:color="auto"/>
              <w:bottom w:val="single" w:sz="4" w:space="0" w:color="auto"/>
              <w:right w:val="single" w:sz="4" w:space="0" w:color="auto"/>
            </w:tcBorders>
          </w:tcPr>
          <w:p w14:paraId="57B4B91E"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Humira/MTX</w:t>
            </w:r>
          </w:p>
          <w:p w14:paraId="4B2EAB69"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w:t>
            </w:r>
            <w:r>
              <w:rPr>
                <w:b w:val="0"/>
                <w:bCs/>
                <w:color w:val="auto"/>
                <w:lang w:val="cs-CZ"/>
              </w:rPr>
              <w:t>n</w:t>
            </w:r>
            <w:r w:rsidRPr="001B4A02">
              <w:rPr>
                <w:b w:val="0"/>
                <w:bCs/>
                <w:color w:val="auto"/>
                <w:lang w:val="cs-CZ"/>
              </w:rPr>
              <w:t>=38)</w:t>
            </w:r>
          </w:p>
        </w:tc>
        <w:tc>
          <w:tcPr>
            <w:tcW w:w="1522" w:type="dxa"/>
            <w:tcBorders>
              <w:top w:val="single" w:sz="4" w:space="0" w:color="auto"/>
              <w:left w:val="single" w:sz="4" w:space="0" w:color="auto"/>
              <w:bottom w:val="single" w:sz="4" w:space="0" w:color="auto"/>
              <w:right w:val="single" w:sz="4" w:space="0" w:color="auto"/>
            </w:tcBorders>
          </w:tcPr>
          <w:p w14:paraId="5872AA1E"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Placebo/MTX</w:t>
            </w:r>
          </w:p>
          <w:p w14:paraId="41F52BF9"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w:t>
            </w:r>
            <w:r>
              <w:rPr>
                <w:b w:val="0"/>
                <w:bCs/>
                <w:color w:val="auto"/>
                <w:lang w:val="cs-CZ"/>
              </w:rPr>
              <w:t>n</w:t>
            </w:r>
            <w:r w:rsidRPr="001B4A02">
              <w:rPr>
                <w:b w:val="0"/>
                <w:bCs/>
                <w:color w:val="auto"/>
                <w:lang w:val="cs-CZ"/>
              </w:rPr>
              <w:t>=37)</w:t>
            </w:r>
          </w:p>
        </w:tc>
        <w:tc>
          <w:tcPr>
            <w:tcW w:w="1522" w:type="dxa"/>
            <w:tcBorders>
              <w:top w:val="single" w:sz="4" w:space="0" w:color="auto"/>
              <w:left w:val="single" w:sz="4" w:space="0" w:color="auto"/>
              <w:bottom w:val="single" w:sz="4" w:space="0" w:color="auto"/>
              <w:right w:val="single" w:sz="4" w:space="0" w:color="auto"/>
            </w:tcBorders>
          </w:tcPr>
          <w:p w14:paraId="75A4B896"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Humira</w:t>
            </w:r>
          </w:p>
          <w:p w14:paraId="4B4A371F"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w:t>
            </w:r>
            <w:r>
              <w:rPr>
                <w:b w:val="0"/>
                <w:bCs/>
                <w:color w:val="auto"/>
                <w:lang w:val="cs-CZ"/>
              </w:rPr>
              <w:t>n</w:t>
            </w:r>
            <w:r w:rsidRPr="001B4A02">
              <w:rPr>
                <w:b w:val="0"/>
                <w:bCs/>
                <w:color w:val="auto"/>
                <w:lang w:val="cs-CZ"/>
              </w:rPr>
              <w:t>=30)</w:t>
            </w:r>
          </w:p>
        </w:tc>
        <w:tc>
          <w:tcPr>
            <w:tcW w:w="1523" w:type="dxa"/>
            <w:tcBorders>
              <w:top w:val="single" w:sz="4" w:space="0" w:color="auto"/>
              <w:left w:val="single" w:sz="4" w:space="0" w:color="auto"/>
              <w:bottom w:val="single" w:sz="4" w:space="0" w:color="auto"/>
              <w:right w:val="single" w:sz="4" w:space="0" w:color="auto"/>
            </w:tcBorders>
          </w:tcPr>
          <w:p w14:paraId="79317800"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Placebo</w:t>
            </w:r>
          </w:p>
          <w:p w14:paraId="79D58CBC"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w:t>
            </w:r>
            <w:r>
              <w:rPr>
                <w:b w:val="0"/>
                <w:bCs/>
                <w:color w:val="auto"/>
                <w:lang w:val="cs-CZ"/>
              </w:rPr>
              <w:t>n</w:t>
            </w:r>
            <w:r w:rsidRPr="001B4A02">
              <w:rPr>
                <w:b w:val="0"/>
                <w:bCs/>
                <w:color w:val="auto"/>
                <w:lang w:val="cs-CZ"/>
              </w:rPr>
              <w:t>=28)</w:t>
            </w:r>
          </w:p>
        </w:tc>
      </w:tr>
      <w:tr w:rsidR="00534A2D" w14:paraId="129F1FBB" w14:textId="77777777" w:rsidTr="00E571F5">
        <w:tc>
          <w:tcPr>
            <w:tcW w:w="2862" w:type="dxa"/>
            <w:tcBorders>
              <w:top w:val="single" w:sz="4" w:space="0" w:color="auto"/>
              <w:left w:val="single" w:sz="4" w:space="0" w:color="auto"/>
              <w:bottom w:val="single" w:sz="4" w:space="0" w:color="auto"/>
              <w:right w:val="single" w:sz="4" w:space="0" w:color="auto"/>
            </w:tcBorders>
          </w:tcPr>
          <w:p w14:paraId="5AA3E83F" w14:textId="77777777" w:rsidR="00C76DCD" w:rsidRPr="001B4A02" w:rsidRDefault="00000000" w:rsidP="00E571F5">
            <w:pPr>
              <w:pStyle w:val="BodyTextIndent"/>
              <w:keepNext/>
              <w:ind w:left="0" w:firstLine="0"/>
              <w:rPr>
                <w:b w:val="0"/>
                <w:bCs/>
                <w:color w:val="auto"/>
                <w:lang w:val="cs-CZ"/>
              </w:rPr>
            </w:pPr>
            <w:r w:rsidRPr="001B4A02">
              <w:rPr>
                <w:b w:val="0"/>
                <w:bCs/>
                <w:color w:val="auto"/>
                <w:lang w:val="cs-CZ"/>
              </w:rPr>
              <w:t>Vzplanutí onemocnění na konci 32 týdnů</w:t>
            </w:r>
            <w:r w:rsidRPr="001B4A02">
              <w:rPr>
                <w:b w:val="0"/>
                <w:bCs/>
                <w:color w:val="auto"/>
                <w:vertAlign w:val="superscript"/>
                <w:lang w:val="cs-CZ"/>
              </w:rPr>
              <w:t>a</w:t>
            </w:r>
            <w:r w:rsidRPr="001B4A02">
              <w:rPr>
                <w:b w:val="0"/>
                <w:bCs/>
                <w:color w:val="auto"/>
                <w:lang w:val="cs-CZ"/>
              </w:rPr>
              <w:t xml:space="preserve"> (n/N)</w:t>
            </w:r>
          </w:p>
        </w:tc>
        <w:tc>
          <w:tcPr>
            <w:tcW w:w="1522" w:type="dxa"/>
            <w:tcBorders>
              <w:top w:val="single" w:sz="4" w:space="0" w:color="auto"/>
              <w:left w:val="single" w:sz="4" w:space="0" w:color="auto"/>
              <w:bottom w:val="single" w:sz="4" w:space="0" w:color="auto"/>
              <w:right w:val="single" w:sz="4" w:space="0" w:color="auto"/>
            </w:tcBorders>
          </w:tcPr>
          <w:p w14:paraId="5D11993E"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36,8 % (14/38)</w:t>
            </w:r>
          </w:p>
        </w:tc>
        <w:tc>
          <w:tcPr>
            <w:tcW w:w="1522" w:type="dxa"/>
            <w:tcBorders>
              <w:top w:val="single" w:sz="4" w:space="0" w:color="auto"/>
              <w:left w:val="single" w:sz="4" w:space="0" w:color="auto"/>
              <w:bottom w:val="single" w:sz="4" w:space="0" w:color="auto"/>
              <w:right w:val="single" w:sz="4" w:space="0" w:color="auto"/>
            </w:tcBorders>
          </w:tcPr>
          <w:p w14:paraId="0730CFFF"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64,9 % (24/37)</w:t>
            </w:r>
            <w:r w:rsidRPr="001B4A02">
              <w:rPr>
                <w:b w:val="0"/>
                <w:bCs/>
                <w:color w:val="auto"/>
                <w:vertAlign w:val="superscript"/>
                <w:lang w:val="cs-CZ"/>
              </w:rPr>
              <w:t>b</w:t>
            </w:r>
          </w:p>
        </w:tc>
        <w:tc>
          <w:tcPr>
            <w:tcW w:w="1522" w:type="dxa"/>
            <w:tcBorders>
              <w:top w:val="single" w:sz="4" w:space="0" w:color="auto"/>
              <w:left w:val="single" w:sz="4" w:space="0" w:color="auto"/>
              <w:bottom w:val="single" w:sz="4" w:space="0" w:color="auto"/>
              <w:right w:val="single" w:sz="4" w:space="0" w:color="auto"/>
            </w:tcBorders>
          </w:tcPr>
          <w:p w14:paraId="76A80F66"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43,3 % (13/30)</w:t>
            </w:r>
          </w:p>
        </w:tc>
        <w:tc>
          <w:tcPr>
            <w:tcW w:w="1523" w:type="dxa"/>
            <w:tcBorders>
              <w:top w:val="single" w:sz="4" w:space="0" w:color="auto"/>
              <w:left w:val="single" w:sz="4" w:space="0" w:color="auto"/>
              <w:bottom w:val="single" w:sz="4" w:space="0" w:color="auto"/>
              <w:right w:val="single" w:sz="4" w:space="0" w:color="auto"/>
            </w:tcBorders>
          </w:tcPr>
          <w:p w14:paraId="2863AAE0"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71,4 % (20/28)</w:t>
            </w:r>
            <w:r w:rsidRPr="001B4A02">
              <w:rPr>
                <w:b w:val="0"/>
                <w:bCs/>
                <w:color w:val="auto"/>
                <w:vertAlign w:val="superscript"/>
                <w:lang w:val="cs-CZ"/>
              </w:rPr>
              <w:t>c</w:t>
            </w:r>
          </w:p>
        </w:tc>
      </w:tr>
      <w:tr w:rsidR="00534A2D" w14:paraId="1C635705" w14:textId="77777777" w:rsidTr="00E571F5">
        <w:tc>
          <w:tcPr>
            <w:tcW w:w="2862" w:type="dxa"/>
            <w:tcBorders>
              <w:top w:val="single" w:sz="4" w:space="0" w:color="auto"/>
              <w:left w:val="single" w:sz="4" w:space="0" w:color="auto"/>
              <w:bottom w:val="single" w:sz="4" w:space="0" w:color="auto"/>
              <w:right w:val="single" w:sz="4" w:space="0" w:color="auto"/>
            </w:tcBorders>
          </w:tcPr>
          <w:p w14:paraId="7D90FFED" w14:textId="77777777" w:rsidR="00C76DCD" w:rsidRPr="001B4A02" w:rsidRDefault="00000000" w:rsidP="00E571F5">
            <w:pPr>
              <w:pStyle w:val="BodyTextIndent"/>
              <w:keepNext/>
              <w:ind w:left="0" w:firstLine="0"/>
              <w:rPr>
                <w:b w:val="0"/>
                <w:bCs/>
                <w:color w:val="auto"/>
                <w:lang w:val="cs-CZ"/>
              </w:rPr>
            </w:pPr>
            <w:r w:rsidRPr="001B4A02">
              <w:rPr>
                <w:b w:val="0"/>
                <w:bCs/>
                <w:color w:val="auto"/>
                <w:lang w:val="cs-CZ"/>
              </w:rPr>
              <w:t>Medián doby do vzplanutí onemocnění</w:t>
            </w:r>
          </w:p>
        </w:tc>
        <w:tc>
          <w:tcPr>
            <w:tcW w:w="1522" w:type="dxa"/>
            <w:tcBorders>
              <w:top w:val="single" w:sz="4" w:space="0" w:color="auto"/>
              <w:left w:val="single" w:sz="4" w:space="0" w:color="auto"/>
              <w:bottom w:val="single" w:sz="4" w:space="0" w:color="auto"/>
              <w:right w:val="single" w:sz="4" w:space="0" w:color="auto"/>
            </w:tcBorders>
          </w:tcPr>
          <w:p w14:paraId="3EB733BD"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&gt; 32 týdnů</w:t>
            </w:r>
          </w:p>
        </w:tc>
        <w:tc>
          <w:tcPr>
            <w:tcW w:w="1522" w:type="dxa"/>
            <w:tcBorders>
              <w:top w:val="single" w:sz="4" w:space="0" w:color="auto"/>
              <w:left w:val="single" w:sz="4" w:space="0" w:color="auto"/>
              <w:bottom w:val="single" w:sz="4" w:space="0" w:color="auto"/>
              <w:right w:val="single" w:sz="4" w:space="0" w:color="auto"/>
            </w:tcBorders>
          </w:tcPr>
          <w:p w14:paraId="1548B141"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20 týdnů</w:t>
            </w:r>
          </w:p>
        </w:tc>
        <w:tc>
          <w:tcPr>
            <w:tcW w:w="1522" w:type="dxa"/>
            <w:tcBorders>
              <w:top w:val="single" w:sz="4" w:space="0" w:color="auto"/>
              <w:left w:val="single" w:sz="4" w:space="0" w:color="auto"/>
              <w:bottom w:val="single" w:sz="4" w:space="0" w:color="auto"/>
              <w:right w:val="single" w:sz="4" w:space="0" w:color="auto"/>
            </w:tcBorders>
          </w:tcPr>
          <w:p w14:paraId="20C4CB0E"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&gt; 32 týdnů</w:t>
            </w:r>
          </w:p>
        </w:tc>
        <w:tc>
          <w:tcPr>
            <w:tcW w:w="1523" w:type="dxa"/>
            <w:tcBorders>
              <w:top w:val="single" w:sz="4" w:space="0" w:color="auto"/>
              <w:left w:val="single" w:sz="4" w:space="0" w:color="auto"/>
              <w:bottom w:val="single" w:sz="4" w:space="0" w:color="auto"/>
              <w:right w:val="single" w:sz="4" w:space="0" w:color="auto"/>
            </w:tcBorders>
          </w:tcPr>
          <w:p w14:paraId="38AE93A8" w14:textId="77777777" w:rsidR="00C76DCD" w:rsidRPr="001B4A02" w:rsidRDefault="00000000" w:rsidP="00E571F5">
            <w:pPr>
              <w:pStyle w:val="BodyTextIndent"/>
              <w:keepNext/>
              <w:ind w:left="0" w:firstLine="0"/>
              <w:jc w:val="center"/>
              <w:rPr>
                <w:b w:val="0"/>
                <w:bCs/>
                <w:color w:val="auto"/>
                <w:lang w:val="cs-CZ"/>
              </w:rPr>
            </w:pPr>
            <w:r w:rsidRPr="001B4A02">
              <w:rPr>
                <w:b w:val="0"/>
                <w:bCs/>
                <w:color w:val="auto"/>
                <w:lang w:val="cs-CZ"/>
              </w:rPr>
              <w:t>14 týdnů</w:t>
            </w:r>
          </w:p>
        </w:tc>
      </w:tr>
    </w:tbl>
    <w:p w14:paraId="2A0E1D21" w14:textId="77777777" w:rsidR="00C76DCD" w:rsidRPr="001B4A02" w:rsidRDefault="00000000" w:rsidP="00C76DCD">
      <w:pPr>
        <w:pStyle w:val="BodyTextIndent"/>
        <w:keepNext/>
        <w:ind w:left="110" w:right="53" w:firstLine="0"/>
        <w:rPr>
          <w:b w:val="0"/>
          <w:bCs/>
          <w:i/>
          <w:iCs/>
          <w:color w:val="auto"/>
          <w:sz w:val="20"/>
          <w:lang w:val="cs-CZ"/>
        </w:rPr>
      </w:pPr>
      <w:r w:rsidRPr="001B4A02">
        <w:rPr>
          <w:b w:val="0"/>
          <w:bCs/>
          <w:color w:val="auto"/>
          <w:sz w:val="20"/>
          <w:vertAlign w:val="superscript"/>
          <w:lang w:val="cs-CZ"/>
        </w:rPr>
        <w:t xml:space="preserve">a </w:t>
      </w:r>
      <w:r w:rsidRPr="001B4A02">
        <w:rPr>
          <w:b w:val="0"/>
          <w:bCs/>
          <w:color w:val="auto"/>
          <w:sz w:val="20"/>
          <w:lang w:val="cs-CZ"/>
        </w:rPr>
        <w:t xml:space="preserve">Odpovědi Ped ACR 30/50/70 v týdnu 48 byly významně vyšší než ty u pacientů léčených placebem </w:t>
      </w:r>
    </w:p>
    <w:p w14:paraId="7A804B4F" w14:textId="77777777" w:rsidR="00C76DCD" w:rsidRPr="001B4A02" w:rsidRDefault="00000000" w:rsidP="00C76DCD">
      <w:pPr>
        <w:pStyle w:val="BodyTextIndent"/>
        <w:keepNext/>
        <w:ind w:left="110" w:right="53" w:firstLine="0"/>
        <w:rPr>
          <w:b w:val="0"/>
          <w:bCs/>
          <w:color w:val="auto"/>
          <w:sz w:val="20"/>
          <w:lang w:val="cs-CZ"/>
        </w:rPr>
      </w:pPr>
      <w:r w:rsidRPr="001B4A02">
        <w:rPr>
          <w:b w:val="0"/>
          <w:bCs/>
          <w:color w:val="auto"/>
          <w:sz w:val="20"/>
          <w:vertAlign w:val="superscript"/>
          <w:lang w:val="cs-CZ"/>
        </w:rPr>
        <w:t>b</w:t>
      </w:r>
      <w:r w:rsidRPr="001B4A02">
        <w:rPr>
          <w:b w:val="0"/>
          <w:bCs/>
          <w:color w:val="auto"/>
          <w:sz w:val="20"/>
          <w:lang w:val="cs-CZ"/>
        </w:rPr>
        <w:t xml:space="preserve"> p = 0,015</w:t>
      </w:r>
    </w:p>
    <w:p w14:paraId="26D60B1D" w14:textId="77777777" w:rsidR="00C76DCD" w:rsidRPr="001B4A02" w:rsidRDefault="00000000" w:rsidP="00C76DCD">
      <w:pPr>
        <w:pStyle w:val="BodyTextIndent"/>
        <w:ind w:left="110" w:right="53" w:firstLine="0"/>
        <w:rPr>
          <w:b w:val="0"/>
          <w:bCs/>
          <w:color w:val="auto"/>
          <w:sz w:val="20"/>
          <w:lang w:val="cs-CZ"/>
        </w:rPr>
      </w:pPr>
      <w:r w:rsidRPr="001B4A02">
        <w:rPr>
          <w:b w:val="0"/>
          <w:bCs/>
          <w:color w:val="auto"/>
          <w:sz w:val="20"/>
          <w:vertAlign w:val="superscript"/>
          <w:lang w:val="cs-CZ"/>
        </w:rPr>
        <w:t>c</w:t>
      </w:r>
      <w:r w:rsidRPr="001B4A02">
        <w:rPr>
          <w:b w:val="0"/>
          <w:bCs/>
          <w:color w:val="auto"/>
          <w:sz w:val="20"/>
          <w:lang w:val="cs-CZ"/>
        </w:rPr>
        <w:t xml:space="preserve"> p = 0,031</w:t>
      </w:r>
    </w:p>
    <w:p w14:paraId="7C752349" w14:textId="77777777" w:rsidR="00C76DCD" w:rsidRPr="001B4A02" w:rsidRDefault="00C76DCD" w:rsidP="00C76DCD">
      <w:pPr>
        <w:ind w:left="0" w:firstLine="0"/>
      </w:pPr>
    </w:p>
    <w:p w14:paraId="34D799DC" w14:textId="77777777" w:rsidR="00C76DCD" w:rsidRPr="001B4A02" w:rsidRDefault="00000000" w:rsidP="00C76DCD">
      <w:pPr>
        <w:ind w:left="0" w:firstLine="0"/>
      </w:pPr>
      <w:r w:rsidRPr="001B4A02">
        <w:t>Mezi těmi, jež dosáhli odpovědi v týdnu 16 (n=144), byly odpovědi pediatrického ACR v OLE fázi udržovány na hodnotách 30/50/70/90 po dobu až šesti let u těch pacientů, jež byli léčeni přípravkem Humira po celou dobu studie. Krom toho všech 19 subjektů, z nichž 11 bylo při zahájení studie ve věku 4 až 12 let</w:t>
      </w:r>
      <w:r w:rsidR="002378E0">
        <w:t xml:space="preserve"> a </w:t>
      </w:r>
      <w:r w:rsidRPr="001B4A02">
        <w:t>8 ve věku 13 až 17 let, bylo léčeno 6 let nebo déle.</w:t>
      </w:r>
    </w:p>
    <w:p w14:paraId="4E366DF4" w14:textId="77777777" w:rsidR="00C76DCD" w:rsidRPr="001B4A02" w:rsidRDefault="00C76DCD" w:rsidP="00C76DCD">
      <w:pPr>
        <w:ind w:left="0" w:firstLine="0"/>
      </w:pPr>
    </w:p>
    <w:p w14:paraId="19250C19" w14:textId="77777777" w:rsidR="00C76DCD" w:rsidRPr="001B4A02" w:rsidRDefault="00000000" w:rsidP="00C76DCD">
      <w:pPr>
        <w:ind w:left="0" w:firstLine="0"/>
      </w:pPr>
      <w:r w:rsidRPr="001B4A02">
        <w:t>Celkově byly odpovědi obecně lepší</w:t>
      </w:r>
      <w:r w:rsidR="002378E0">
        <w:t xml:space="preserve"> a </w:t>
      </w:r>
      <w:r w:rsidRPr="001B4A02">
        <w:t>u menšího množství pacientů došlo k vývinu protilátek, pokud byli léčeni kombinací přípravku Humira</w:t>
      </w:r>
      <w:r w:rsidR="002378E0">
        <w:t xml:space="preserve"> a </w:t>
      </w:r>
      <w:r w:rsidRPr="001B4A02">
        <w:t xml:space="preserve">MTX ve srovnání s monoterapií </w:t>
      </w:r>
      <w:r w:rsidRPr="001B4A02">
        <w:rPr>
          <w:szCs w:val="22"/>
        </w:rPr>
        <w:t xml:space="preserve">přípravkem </w:t>
      </w:r>
      <w:r w:rsidRPr="001B4A02">
        <w:t>Humira. Uvážíme-li tyto výsledky, doporučuje se, aby byl přípravek Humira používán v kombinaci s MTX</w:t>
      </w:r>
      <w:r w:rsidR="002378E0">
        <w:t xml:space="preserve"> a </w:t>
      </w:r>
      <w:r w:rsidRPr="001B4A02">
        <w:t>v monoterapii jen u těch pacientů, u nichž není užití MTX vhodné (viz bod 4.2).</w:t>
      </w:r>
    </w:p>
    <w:p w14:paraId="3D4DE87C" w14:textId="77777777" w:rsidR="00C76DCD" w:rsidRPr="001B4A02" w:rsidRDefault="00C76DCD" w:rsidP="00C76DCD">
      <w:pPr>
        <w:ind w:left="0" w:firstLine="0"/>
        <w:rPr>
          <w:u w:val="single"/>
        </w:rPr>
      </w:pPr>
    </w:p>
    <w:p w14:paraId="70DCA8DF" w14:textId="77777777" w:rsidR="00C76DCD" w:rsidRPr="001B4A02" w:rsidRDefault="00000000" w:rsidP="00C76DCD">
      <w:pPr>
        <w:keepNext/>
        <w:ind w:left="0" w:firstLine="0"/>
      </w:pPr>
      <w:r w:rsidRPr="001B4A02">
        <w:t>pJIA II</w:t>
      </w:r>
    </w:p>
    <w:p w14:paraId="5C476C52" w14:textId="77777777" w:rsidR="00C76DCD" w:rsidRPr="001B4A02" w:rsidRDefault="00C76DCD" w:rsidP="00C76DCD">
      <w:pPr>
        <w:keepNext/>
        <w:ind w:left="0" w:firstLine="0"/>
        <w:rPr>
          <w:u w:val="single"/>
        </w:rPr>
      </w:pPr>
    </w:p>
    <w:p w14:paraId="3B1362A0" w14:textId="77777777" w:rsidR="00C76DCD" w:rsidRPr="001B4A02" w:rsidRDefault="00000000" w:rsidP="00C76DCD">
      <w:pPr>
        <w:ind w:left="0" w:firstLine="0"/>
      </w:pPr>
      <w:r w:rsidRPr="001B4A02">
        <w:t>Bezpečnost</w:t>
      </w:r>
      <w:r w:rsidR="002378E0">
        <w:t xml:space="preserve"> a </w:t>
      </w:r>
      <w:r w:rsidRPr="001B4A02">
        <w:t>účinnost přípravku Humira byla hodnocena v multicentrické otevřené studii se 32 dětmi (ve věku 2 až &lt; 4 roky nebo ve věku 4 roky</w:t>
      </w:r>
      <w:r w:rsidR="002378E0">
        <w:t xml:space="preserve"> a </w:t>
      </w:r>
      <w:r w:rsidRPr="001B4A02">
        <w:t>více s tělesnou hmotností &lt; 15</w:t>
      </w:r>
      <w:r w:rsidR="002767FC">
        <w:t> kg</w:t>
      </w:r>
      <w:r w:rsidRPr="001B4A02">
        <w:t>) se středně těžkou až těžkou polyartikulární JIA. Pacienti dostávali přípravek Humira v dávce 24</w:t>
      </w:r>
      <w:r w:rsidR="00F365E7" w:rsidRPr="00005EC2">
        <w:rPr>
          <w:szCs w:val="22"/>
        </w:rPr>
        <w:t> </w:t>
      </w:r>
      <w:r w:rsidRPr="001B4A02">
        <w:t>mg/m</w:t>
      </w:r>
      <w:r w:rsidRPr="001B4A02">
        <w:rPr>
          <w:vertAlign w:val="superscript"/>
        </w:rPr>
        <w:t>2</w:t>
      </w:r>
      <w:r w:rsidRPr="001B4A02">
        <w:t xml:space="preserve"> tělesného povrchu (BSA) až do maximální dávky 20</w:t>
      </w:r>
      <w:r w:rsidR="00F365E7" w:rsidRPr="00005EC2">
        <w:rPr>
          <w:szCs w:val="22"/>
        </w:rPr>
        <w:t> </w:t>
      </w:r>
      <w:r w:rsidRPr="001B4A02">
        <w:t>mg každý druhý týden subkutánní injekcí po dobu 24 týdnů. V průběhu studie užívala většina su</w:t>
      </w:r>
      <w:r>
        <w:t>b</w:t>
      </w:r>
      <w:r w:rsidRPr="001B4A02">
        <w:t>jektů současně methotrexát</w:t>
      </w:r>
      <w:r w:rsidR="002378E0">
        <w:t xml:space="preserve"> a </w:t>
      </w:r>
      <w:r w:rsidRPr="001B4A02">
        <w:t>u menšího množství případů bylo hlášeno užívání kortikosteroidů nebo NSAID.</w:t>
      </w:r>
    </w:p>
    <w:p w14:paraId="71BB6FFC" w14:textId="77777777" w:rsidR="00C76DCD" w:rsidRPr="001B4A02" w:rsidRDefault="00C76DCD" w:rsidP="00C76DCD">
      <w:pPr>
        <w:ind w:left="0" w:firstLine="0"/>
      </w:pPr>
    </w:p>
    <w:p w14:paraId="3EC40AE9" w14:textId="77777777" w:rsidR="00C76DCD" w:rsidRPr="001B4A02" w:rsidRDefault="00000000" w:rsidP="00C76DCD">
      <w:pPr>
        <w:ind w:left="0" w:firstLine="0"/>
      </w:pPr>
      <w:r w:rsidRPr="001B4A02">
        <w:t>Z pozorovaných údajů vyplývá, že v týdnu 12 bylo dosaženo odpovědi PedACR 30 u 93,5</w:t>
      </w:r>
      <w:r>
        <w:t> %</w:t>
      </w:r>
      <w:r w:rsidRPr="001B4A02">
        <w:t xml:space="preserve"> subjektů</w:t>
      </w:r>
      <w:r w:rsidR="002378E0">
        <w:t xml:space="preserve"> a </w:t>
      </w:r>
      <w:r w:rsidRPr="001B4A02">
        <w:t>v týdnu 24 bylo této odpovědi dosaženo u 90,0</w:t>
      </w:r>
      <w:r>
        <w:t> %</w:t>
      </w:r>
      <w:r w:rsidRPr="001B4A02">
        <w:t xml:space="preserve"> subjektů. Poměr subjektů s odpovědí PedACR 50/70/90 v týdnu 12 byl 90,3</w:t>
      </w:r>
      <w:r>
        <w:t> %</w:t>
      </w:r>
      <w:r w:rsidRPr="001B4A02">
        <w:t>/61,3</w:t>
      </w:r>
      <w:r>
        <w:t> %</w:t>
      </w:r>
      <w:r w:rsidRPr="001B4A02">
        <w:t>/38,7</w:t>
      </w:r>
      <w:r>
        <w:t> %</w:t>
      </w:r>
      <w:r w:rsidR="002378E0">
        <w:t xml:space="preserve"> a </w:t>
      </w:r>
      <w:r w:rsidRPr="001B4A02">
        <w:t>poměr subjektů s touto odpovědí v týdnu 24 byl 83,3</w:t>
      </w:r>
      <w:r>
        <w:t> %</w:t>
      </w:r>
      <w:r w:rsidRPr="001B4A02">
        <w:t>/73,3</w:t>
      </w:r>
      <w:r>
        <w:t> %</w:t>
      </w:r>
      <w:r w:rsidRPr="001B4A02">
        <w:t>/36,7</w:t>
      </w:r>
      <w:r>
        <w:t> %</w:t>
      </w:r>
      <w:r w:rsidRPr="001B4A02">
        <w:t>. Mezi pacienty, kteří dosáhli odpovědi PedACR 30 v týdnu 24 (n=27 ze 30 pacientů), přetrvávala v OLE fázi odpověď PedACR 30 u těch, kterým byl podáván přípravek Humira po celou dobu studie. Celkově bylo 20 subjektů léčeno po dobu 60 týdnů nebo déle.</w:t>
      </w:r>
    </w:p>
    <w:p w14:paraId="01E369EF" w14:textId="77777777" w:rsidR="00C76DCD" w:rsidRPr="001B4A02" w:rsidRDefault="00C76DCD" w:rsidP="00C76DCD">
      <w:pPr>
        <w:pStyle w:val="EMEANormal"/>
        <w:tabs>
          <w:tab w:val="clear" w:pos="562"/>
        </w:tabs>
        <w:suppressAutoHyphens w:val="0"/>
        <w:rPr>
          <w:lang w:val="cs-CZ"/>
        </w:rPr>
      </w:pPr>
    </w:p>
    <w:p w14:paraId="0C63AEC6" w14:textId="77777777" w:rsidR="00C76DCD" w:rsidRPr="001B4A02" w:rsidRDefault="00000000" w:rsidP="00C76DCD">
      <w:pPr>
        <w:keepNext/>
        <w:ind w:left="0" w:firstLine="0"/>
        <w:rPr>
          <w:i/>
          <w:u w:val="single"/>
        </w:rPr>
      </w:pPr>
      <w:r w:rsidRPr="001B4A02">
        <w:rPr>
          <w:i/>
          <w:u w:val="single"/>
        </w:rPr>
        <w:t>Entezopatická artritida</w:t>
      </w:r>
    </w:p>
    <w:p w14:paraId="67349734" w14:textId="77777777" w:rsidR="00C76DCD" w:rsidRPr="001B4A02" w:rsidRDefault="00C76DCD" w:rsidP="00C76DCD">
      <w:pPr>
        <w:keepNext/>
        <w:ind w:left="0" w:firstLine="0"/>
        <w:rPr>
          <w:u w:val="single"/>
        </w:rPr>
      </w:pPr>
    </w:p>
    <w:p w14:paraId="67999C57" w14:textId="77777777" w:rsidR="00C76DCD" w:rsidRPr="001B4A02" w:rsidRDefault="00000000" w:rsidP="00C76DCD">
      <w:pPr>
        <w:ind w:left="0" w:firstLine="0"/>
        <w:rPr>
          <w:u w:val="single"/>
        </w:rPr>
      </w:pPr>
      <w:r w:rsidRPr="001B4A02">
        <w:t>Bezpečnost</w:t>
      </w:r>
      <w:r w:rsidR="002378E0">
        <w:t xml:space="preserve"> a </w:t>
      </w:r>
      <w:r w:rsidRPr="001B4A02">
        <w:t xml:space="preserve">účinnost přípravku Humira byla hodnocena v multicentrické, randomizované, dvojitě zaslepené studii u 46 pediatrických pacientů (ve věku 6 </w:t>
      </w:r>
      <w:r w:rsidRPr="001B4A02">
        <w:rPr>
          <w:shd w:val="clear" w:color="auto" w:fill="FFFFFF"/>
        </w:rPr>
        <w:t>až</w:t>
      </w:r>
      <w:r w:rsidRPr="001B4A02">
        <w:t xml:space="preserve"> 17 let) se středně těžkou entezopatickou artritidou. Pacienti byli randomizováni do skupiny dostávající buď 24</w:t>
      </w:r>
      <w:r w:rsidR="00F365E7" w:rsidRPr="00005EC2">
        <w:rPr>
          <w:szCs w:val="22"/>
        </w:rPr>
        <w:t> </w:t>
      </w:r>
      <w:r w:rsidRPr="001B4A02">
        <w:t>mg/m</w:t>
      </w:r>
      <w:r w:rsidRPr="001B4A02">
        <w:rPr>
          <w:vertAlign w:val="superscript"/>
        </w:rPr>
        <w:t>2</w:t>
      </w:r>
      <w:r w:rsidRPr="001B4A02">
        <w:t xml:space="preserve"> tělesného povrchu (BSA) přípravku Humira do maximální dávky 40</w:t>
      </w:r>
      <w:r w:rsidR="00F365E7" w:rsidRPr="00005EC2">
        <w:rPr>
          <w:szCs w:val="22"/>
        </w:rPr>
        <w:t> </w:t>
      </w:r>
      <w:r w:rsidRPr="001B4A02">
        <w:t>mg, nebo placebo každý druhý týden po dobu 12 týdnů. Po dvojitě zaslepeném období následovalo otevřené období (OL), během kterého pacienti dostávali 24</w:t>
      </w:r>
      <w:r w:rsidR="00F365E7" w:rsidRPr="00005EC2">
        <w:rPr>
          <w:szCs w:val="22"/>
        </w:rPr>
        <w:t> </w:t>
      </w:r>
      <w:r w:rsidRPr="001B4A02">
        <w:t>mg/m</w:t>
      </w:r>
      <w:r w:rsidRPr="001B4A02">
        <w:rPr>
          <w:vertAlign w:val="superscript"/>
        </w:rPr>
        <w:t>2</w:t>
      </w:r>
      <w:r w:rsidRPr="001B4A02">
        <w:t xml:space="preserve"> BSA přípravku Humira do maximální dávky 40</w:t>
      </w:r>
      <w:r w:rsidR="00F365E7" w:rsidRPr="00005EC2">
        <w:rPr>
          <w:szCs w:val="22"/>
        </w:rPr>
        <w:t> </w:t>
      </w:r>
      <w:r w:rsidRPr="001B4A02">
        <w:t>mg každý druhý týden subkutánně až po dobu do maximálně 192 týdnů. Primárním cílovým parametrem byla procentuální změna v počtu aktivních kloubů s artritidou (otok nezpůsoben deformitou nebo klouby s úbytkem pohyblivosti plus bolest a/nebo citlivost) od počátku do týdne 12, které bylo dosaženo průměrným procentuálním snížením -62,6 % (střední procentuální změna -88,9 %) u pacientů ve skupině s </w:t>
      </w:r>
      <w:r w:rsidRPr="001B4A02">
        <w:rPr>
          <w:szCs w:val="22"/>
        </w:rPr>
        <w:t xml:space="preserve">přípravkem </w:t>
      </w:r>
      <w:r w:rsidRPr="001B4A02">
        <w:t>Humira ve srovnání s -11,6 % (střední procentuální změna -50,0 %) u pacientů ve skupině s placebem. Zlepšení v počtu aktivních kloubů s artritidou bylo během OL období do týdne 156 udrženo u 26 z 31 (84 %) pacientů ve skupině s přípravkem Humira, kteří setrvávali ve studii. Ačkoli to nebylo statisticky významné, u většiny pacientů bylo prokázáno klinické zlepšení sekundárních cílových parametrů, jako počet míst s entesitidou, počet citlivých kloubů (TJC), počet oteklých kloubů (SJC), pediatrická ACR 50 odpověď</w:t>
      </w:r>
      <w:r w:rsidR="002378E0">
        <w:t xml:space="preserve"> a </w:t>
      </w:r>
      <w:r w:rsidRPr="001B4A02">
        <w:t>pediatrická ACR 70 odpověď.</w:t>
      </w:r>
    </w:p>
    <w:p w14:paraId="0B0FAD32" w14:textId="77777777" w:rsidR="00C76DCD" w:rsidRPr="001B4A02" w:rsidRDefault="00C76DCD" w:rsidP="00C76DCD">
      <w:pPr>
        <w:pStyle w:val="EMEANormal"/>
        <w:tabs>
          <w:tab w:val="clear" w:pos="562"/>
        </w:tabs>
        <w:suppressAutoHyphens w:val="0"/>
        <w:rPr>
          <w:lang w:val="cs-CZ"/>
        </w:rPr>
      </w:pPr>
    </w:p>
    <w:p w14:paraId="737406BE" w14:textId="77777777" w:rsidR="003A54E9" w:rsidRPr="001B4A02" w:rsidRDefault="00000000" w:rsidP="003A54E9">
      <w:pPr>
        <w:pStyle w:val="EMEANormal"/>
        <w:keepNext/>
        <w:tabs>
          <w:tab w:val="clear" w:pos="562"/>
        </w:tabs>
        <w:suppressAutoHyphens w:val="0"/>
        <w:rPr>
          <w:i/>
          <w:lang w:val="cs-CZ"/>
        </w:rPr>
      </w:pPr>
      <w:r w:rsidRPr="001B4A02">
        <w:rPr>
          <w:i/>
          <w:lang w:val="cs-CZ"/>
        </w:rPr>
        <w:t>Ložisková psoriáza u pediatrických pacientů</w:t>
      </w:r>
    </w:p>
    <w:p w14:paraId="45338DFA" w14:textId="77777777" w:rsidR="003A54E9" w:rsidRPr="001B4A02" w:rsidRDefault="003A54E9" w:rsidP="003A54E9">
      <w:pPr>
        <w:pStyle w:val="EMEANormal"/>
        <w:keepNext/>
        <w:tabs>
          <w:tab w:val="clear" w:pos="562"/>
        </w:tabs>
        <w:suppressAutoHyphens w:val="0"/>
        <w:rPr>
          <w:u w:val="single"/>
          <w:lang w:val="cs-CZ"/>
        </w:rPr>
      </w:pPr>
    </w:p>
    <w:p w14:paraId="65DA7979" w14:textId="77777777" w:rsidR="003A54E9" w:rsidRPr="001B4A02" w:rsidRDefault="00000000" w:rsidP="003A54E9">
      <w:pPr>
        <w:pStyle w:val="EMEANormal"/>
        <w:tabs>
          <w:tab w:val="clear" w:pos="562"/>
        </w:tabs>
        <w:suppressAutoHyphens w:val="0"/>
        <w:rPr>
          <w:szCs w:val="22"/>
          <w:lang w:val="cs-CZ"/>
        </w:rPr>
      </w:pPr>
      <w:r w:rsidRPr="001B4A02">
        <w:rPr>
          <w:lang w:val="cs-CZ"/>
        </w:rPr>
        <w:t>Účinnost přípravku Humira byla hodnocena v randomizované, dvojitě zaslepené, kontrolované studii u 114 pediatrických pacientů ve věku od 4 let s těžkou chronickou ložiskovou psoriázou (definovanou jako PGA</w:t>
      </w:r>
      <w:r w:rsidRPr="001B4A02">
        <w:rPr>
          <w:szCs w:val="22"/>
          <w:lang w:val="cs-CZ"/>
        </w:rPr>
        <w:t xml:space="preserve"> ≥ 4 nebo &gt; 20 % BSA nebo &gt; 10 % BSA s velmi tenkými lézemi nebo PASI ≥ 20 nebo ≥ 10 s klinicky relevantním postižením obličeje, genitálií nebo rukou/chodidel), kteří neadekvátně reagovali na lokální terapii</w:t>
      </w:r>
      <w:r w:rsidR="002378E0">
        <w:rPr>
          <w:szCs w:val="22"/>
          <w:lang w:val="cs-CZ"/>
        </w:rPr>
        <w:t xml:space="preserve"> a </w:t>
      </w:r>
      <w:r w:rsidRPr="001B4A02">
        <w:rPr>
          <w:szCs w:val="22"/>
          <w:lang w:val="cs-CZ"/>
        </w:rPr>
        <w:t>helioterapii nebo fototerapii.</w:t>
      </w:r>
    </w:p>
    <w:p w14:paraId="09730601" w14:textId="77777777" w:rsidR="003A54E9" w:rsidRPr="001B4A02" w:rsidRDefault="003A54E9" w:rsidP="003A54E9">
      <w:pPr>
        <w:pStyle w:val="EMEANormal"/>
        <w:tabs>
          <w:tab w:val="clear" w:pos="562"/>
        </w:tabs>
        <w:suppressAutoHyphens w:val="0"/>
        <w:rPr>
          <w:szCs w:val="22"/>
          <w:lang w:val="cs-CZ"/>
        </w:rPr>
      </w:pPr>
    </w:p>
    <w:p w14:paraId="1CBA0F2F" w14:textId="77777777" w:rsidR="003A54E9" w:rsidRPr="001B4A02" w:rsidRDefault="00000000" w:rsidP="003A54E9">
      <w:pPr>
        <w:pStyle w:val="EMEANormal"/>
        <w:tabs>
          <w:tab w:val="clear" w:pos="562"/>
        </w:tabs>
        <w:suppressAutoHyphens w:val="0"/>
        <w:rPr>
          <w:szCs w:val="22"/>
          <w:lang w:val="cs-CZ"/>
        </w:rPr>
      </w:pPr>
      <w:r w:rsidRPr="001B4A02">
        <w:rPr>
          <w:szCs w:val="22"/>
          <w:lang w:val="cs-CZ"/>
        </w:rPr>
        <w:t>Pacienti dostávali přípravek Humira 0,8</w:t>
      </w:r>
      <w:r w:rsidR="00F365E7" w:rsidRPr="00F365E7">
        <w:rPr>
          <w:szCs w:val="22"/>
          <w:lang w:val="cs-CZ"/>
        </w:rPr>
        <w:t> </w:t>
      </w:r>
      <w:r w:rsidRPr="001B4A02">
        <w:rPr>
          <w:szCs w:val="22"/>
          <w:lang w:val="cs-CZ"/>
        </w:rPr>
        <w:t>mg/kg každý druhý týden (do maximální dávky 40</w:t>
      </w:r>
      <w:r w:rsidR="00F365E7" w:rsidRPr="00F365E7">
        <w:rPr>
          <w:szCs w:val="22"/>
          <w:lang w:val="cs-CZ"/>
        </w:rPr>
        <w:t> </w:t>
      </w:r>
      <w:r w:rsidRPr="001B4A02">
        <w:rPr>
          <w:szCs w:val="22"/>
          <w:lang w:val="cs-CZ"/>
        </w:rPr>
        <w:t>mg), 0,4 mg/kg každý druhý týden (do maximální dávky 20</w:t>
      </w:r>
      <w:r w:rsidR="00F365E7" w:rsidRPr="00F365E7">
        <w:rPr>
          <w:szCs w:val="22"/>
          <w:lang w:val="cs-CZ"/>
        </w:rPr>
        <w:t> </w:t>
      </w:r>
      <w:r w:rsidRPr="001B4A02">
        <w:rPr>
          <w:szCs w:val="22"/>
          <w:lang w:val="cs-CZ"/>
        </w:rPr>
        <w:t>mg) nebo methotrexát 0,1–0,4</w:t>
      </w:r>
      <w:r w:rsidR="00F365E7" w:rsidRPr="00F365E7">
        <w:rPr>
          <w:szCs w:val="22"/>
          <w:lang w:val="cs-CZ"/>
        </w:rPr>
        <w:t> </w:t>
      </w:r>
      <w:r w:rsidRPr="001B4A02">
        <w:rPr>
          <w:szCs w:val="22"/>
          <w:lang w:val="cs-CZ"/>
        </w:rPr>
        <w:t>mg/kg týdně (do maximální dávky 25</w:t>
      </w:r>
      <w:r w:rsidR="00F365E7" w:rsidRPr="00F365E7">
        <w:rPr>
          <w:szCs w:val="22"/>
          <w:lang w:val="cs-CZ"/>
        </w:rPr>
        <w:t> </w:t>
      </w:r>
      <w:r w:rsidRPr="001B4A02">
        <w:rPr>
          <w:szCs w:val="22"/>
          <w:lang w:val="cs-CZ"/>
        </w:rPr>
        <w:t>mg). V týdnu 16 dosáhlo pozitivní odpovědi týkající se účinnosti více pacientů randomizovaných do skupiny používající přípravek Humira v dávce 0,8</w:t>
      </w:r>
      <w:r w:rsidR="00F365E7" w:rsidRPr="00F365E7">
        <w:rPr>
          <w:szCs w:val="22"/>
          <w:lang w:val="cs-CZ"/>
        </w:rPr>
        <w:t> </w:t>
      </w:r>
      <w:r w:rsidRPr="001B4A02">
        <w:rPr>
          <w:szCs w:val="22"/>
          <w:lang w:val="cs-CZ"/>
        </w:rPr>
        <w:t>mg/kg (např. PASI 75) než pacienti, kteří byli randomizováni do skupiny používající 0,4</w:t>
      </w:r>
      <w:r w:rsidR="00F365E7" w:rsidRPr="00F365E7">
        <w:rPr>
          <w:szCs w:val="22"/>
          <w:lang w:val="cs-CZ"/>
        </w:rPr>
        <w:t> </w:t>
      </w:r>
      <w:r w:rsidRPr="001B4A02">
        <w:rPr>
          <w:szCs w:val="22"/>
          <w:lang w:val="cs-CZ"/>
        </w:rPr>
        <w:t>mg/kg každý druhý týden nebo methotrexát.</w:t>
      </w:r>
    </w:p>
    <w:p w14:paraId="28E5481B" w14:textId="77777777" w:rsidR="003A54E9" w:rsidRPr="001B4A02" w:rsidRDefault="003A54E9" w:rsidP="003A54E9">
      <w:pPr>
        <w:pStyle w:val="EMEANormal"/>
        <w:tabs>
          <w:tab w:val="clear" w:pos="562"/>
        </w:tabs>
        <w:suppressAutoHyphens w:val="0"/>
        <w:rPr>
          <w:szCs w:val="22"/>
          <w:lang w:val="cs-CZ"/>
        </w:rPr>
      </w:pPr>
    </w:p>
    <w:tbl>
      <w:tblPr>
        <w:tblW w:w="4721"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396"/>
        <w:gridCol w:w="1621"/>
        <w:gridCol w:w="3548"/>
      </w:tblGrid>
      <w:tr w:rsidR="00534A2D" w14:paraId="054EA88A" w14:textId="77777777" w:rsidTr="00E571F5">
        <w:trPr>
          <w:jc w:val="center"/>
        </w:trPr>
        <w:tc>
          <w:tcPr>
            <w:tcW w:w="5000" w:type="pct"/>
            <w:gridSpan w:val="3"/>
            <w:tcBorders>
              <w:top w:val="nil"/>
              <w:left w:val="nil"/>
              <w:bottom w:val="nil"/>
              <w:right w:val="nil"/>
            </w:tcBorders>
            <w:vAlign w:val="center"/>
          </w:tcPr>
          <w:p w14:paraId="7F0BF8F7" w14:textId="77777777" w:rsidR="003A54E9" w:rsidRPr="001B4A02" w:rsidRDefault="00000000" w:rsidP="00E571F5">
            <w:pPr>
              <w:keepNext/>
              <w:autoSpaceDE w:val="0"/>
              <w:autoSpaceDN w:val="0"/>
              <w:adjustRightInd w:val="0"/>
              <w:jc w:val="center"/>
              <w:rPr>
                <w:b/>
                <w:bCs/>
                <w:szCs w:val="22"/>
              </w:rPr>
            </w:pPr>
            <w:r w:rsidRPr="001B4A02">
              <w:rPr>
                <w:rStyle w:val="gtcbold9"/>
                <w:bCs w:val="0"/>
                <w:szCs w:val="22"/>
              </w:rPr>
              <w:t xml:space="preserve">Tabulka </w:t>
            </w:r>
            <w:r w:rsidR="002A0AEB">
              <w:rPr>
                <w:rStyle w:val="gtcbold9"/>
                <w:bCs w:val="0"/>
                <w:szCs w:val="22"/>
              </w:rPr>
              <w:t>2</w:t>
            </w:r>
            <w:r w:rsidR="002A0AEB">
              <w:rPr>
                <w:rStyle w:val="gtcbold9"/>
                <w:szCs w:val="22"/>
              </w:rPr>
              <w:t>7</w:t>
            </w:r>
            <w:r w:rsidRPr="001B4A02">
              <w:rPr>
                <w:rStyle w:val="gtcbold9"/>
                <w:bCs w:val="0"/>
                <w:szCs w:val="22"/>
              </w:rPr>
              <w:t xml:space="preserve">: </w:t>
            </w:r>
            <w:r w:rsidRPr="001B4A02">
              <w:rPr>
                <w:b/>
                <w:bCs/>
                <w:szCs w:val="22"/>
              </w:rPr>
              <w:t>Výsledky účinnosti v týdnu 16 u ložiskové psoriázy u pediatrických pacientů</w:t>
            </w:r>
          </w:p>
          <w:p w14:paraId="095B0EAD" w14:textId="77777777" w:rsidR="003A54E9" w:rsidRPr="001B4A02" w:rsidRDefault="003A54E9" w:rsidP="00E571F5">
            <w:pPr>
              <w:jc w:val="center"/>
              <w:rPr>
                <w:b/>
                <w:szCs w:val="22"/>
              </w:rPr>
            </w:pPr>
          </w:p>
        </w:tc>
      </w:tr>
      <w:tr w:rsidR="00534A2D" w14:paraId="0B09A887" w14:textId="77777777" w:rsidTr="00E571F5">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35A4779F" w14:textId="77777777" w:rsidR="003A54E9" w:rsidRPr="001B4A02" w:rsidRDefault="003A54E9" w:rsidP="00E571F5">
            <w:pPr>
              <w:rPr>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018DDF2A" w14:textId="77777777" w:rsidR="003A54E9" w:rsidRPr="001B4A02" w:rsidRDefault="00000000" w:rsidP="00E571F5">
            <w:pPr>
              <w:ind w:left="0" w:firstLine="0"/>
              <w:jc w:val="center"/>
              <w:rPr>
                <w:szCs w:val="22"/>
              </w:rPr>
            </w:pPr>
            <w:r w:rsidRPr="001B4A02">
              <w:rPr>
                <w:szCs w:val="22"/>
              </w:rPr>
              <w:t>MTX</w:t>
            </w:r>
            <w:r w:rsidRPr="001B4A02">
              <w:rPr>
                <w:szCs w:val="22"/>
                <w:vertAlign w:val="superscript"/>
              </w:rPr>
              <w:t>a</w:t>
            </w:r>
          </w:p>
          <w:p w14:paraId="3AB6FDEA" w14:textId="77777777" w:rsidR="003A54E9" w:rsidRPr="001B4A02" w:rsidRDefault="00000000" w:rsidP="00E571F5">
            <w:pPr>
              <w:ind w:left="0" w:firstLine="0"/>
              <w:jc w:val="center"/>
              <w:rPr>
                <w:szCs w:val="22"/>
              </w:rPr>
            </w:pPr>
            <w:r>
              <w:rPr>
                <w:szCs w:val="22"/>
              </w:rPr>
              <w:t>n</w:t>
            </w:r>
            <w:r w:rsidRPr="001B4A02">
              <w:rPr>
                <w:szCs w:val="22"/>
              </w:rPr>
              <w:t>=37</w:t>
            </w:r>
          </w:p>
        </w:tc>
        <w:tc>
          <w:tcPr>
            <w:tcW w:w="2071" w:type="pct"/>
            <w:tcBorders>
              <w:top w:val="single" w:sz="6" w:space="0" w:color="000000"/>
              <w:left w:val="single" w:sz="6" w:space="0" w:color="000000"/>
              <w:bottom w:val="outset" w:sz="6" w:space="0" w:color="auto"/>
              <w:right w:val="single" w:sz="6" w:space="0" w:color="000000"/>
            </w:tcBorders>
            <w:vAlign w:val="center"/>
          </w:tcPr>
          <w:p w14:paraId="1937C191" w14:textId="77777777" w:rsidR="003A54E9" w:rsidRPr="001B4A02" w:rsidRDefault="00000000" w:rsidP="00E571F5">
            <w:pPr>
              <w:ind w:left="0" w:firstLine="0"/>
              <w:jc w:val="center"/>
              <w:rPr>
                <w:szCs w:val="22"/>
              </w:rPr>
            </w:pPr>
            <w:r w:rsidRPr="001B4A02">
              <w:rPr>
                <w:szCs w:val="22"/>
              </w:rPr>
              <w:t>Humira 0,8</w:t>
            </w:r>
            <w:r w:rsidR="00F365E7" w:rsidRPr="00005EC2">
              <w:rPr>
                <w:szCs w:val="22"/>
              </w:rPr>
              <w:t> </w:t>
            </w:r>
            <w:r w:rsidRPr="001B4A02">
              <w:rPr>
                <w:szCs w:val="22"/>
              </w:rPr>
              <w:t>mg/kg každý druhý týden</w:t>
            </w:r>
            <w:r w:rsidRPr="001B4A02">
              <w:rPr>
                <w:szCs w:val="22"/>
              </w:rPr>
              <w:br/>
            </w:r>
            <w:r>
              <w:rPr>
                <w:szCs w:val="22"/>
              </w:rPr>
              <w:t>n</w:t>
            </w:r>
            <w:r w:rsidRPr="001B4A02">
              <w:rPr>
                <w:szCs w:val="22"/>
              </w:rPr>
              <w:t xml:space="preserve">=38 </w:t>
            </w:r>
          </w:p>
        </w:tc>
      </w:tr>
      <w:tr w:rsidR="00534A2D" w14:paraId="40C5632F" w14:textId="77777777" w:rsidTr="00E571F5">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0C92F626" w14:textId="77777777" w:rsidR="003A54E9" w:rsidRPr="001B4A02" w:rsidRDefault="00000000" w:rsidP="00E571F5">
            <w:pPr>
              <w:rPr>
                <w:szCs w:val="22"/>
              </w:rPr>
            </w:pPr>
            <w:r w:rsidRPr="001B4A02">
              <w:rPr>
                <w:szCs w:val="22"/>
              </w:rPr>
              <w:t> </w:t>
            </w:r>
            <w:r w:rsidRPr="001B4A02">
              <w:rPr>
                <w:szCs w:val="22"/>
              </w:rPr>
              <w:t>PASI 75</w:t>
            </w:r>
            <w:r w:rsidRPr="001B4A02">
              <w:rPr>
                <w:szCs w:val="22"/>
                <w:vertAlign w:val="superscript"/>
              </w:rPr>
              <w:t>b</w:t>
            </w:r>
          </w:p>
        </w:tc>
        <w:tc>
          <w:tcPr>
            <w:tcW w:w="0" w:type="auto"/>
            <w:tcBorders>
              <w:top w:val="single" w:sz="6" w:space="0" w:color="000000"/>
              <w:left w:val="single" w:sz="6" w:space="0" w:color="000000"/>
              <w:bottom w:val="outset" w:sz="6" w:space="0" w:color="auto"/>
              <w:right w:val="outset" w:sz="6" w:space="0" w:color="auto"/>
            </w:tcBorders>
            <w:vAlign w:val="center"/>
          </w:tcPr>
          <w:p w14:paraId="7CF9BEA2" w14:textId="77777777" w:rsidR="003A54E9" w:rsidRPr="001B4A02" w:rsidRDefault="00000000" w:rsidP="00E571F5">
            <w:pPr>
              <w:ind w:left="0" w:firstLine="0"/>
              <w:jc w:val="center"/>
              <w:rPr>
                <w:szCs w:val="22"/>
              </w:rPr>
            </w:pPr>
            <w:r w:rsidRPr="001B4A02">
              <w:rPr>
                <w:szCs w:val="22"/>
              </w:rPr>
              <w:t>12 (32,4 %)</w:t>
            </w:r>
          </w:p>
        </w:tc>
        <w:tc>
          <w:tcPr>
            <w:tcW w:w="2071" w:type="pct"/>
            <w:tcBorders>
              <w:top w:val="single" w:sz="6" w:space="0" w:color="000000"/>
              <w:left w:val="single" w:sz="6" w:space="0" w:color="000000"/>
              <w:bottom w:val="outset" w:sz="6" w:space="0" w:color="auto"/>
              <w:right w:val="single" w:sz="6" w:space="0" w:color="000000"/>
            </w:tcBorders>
            <w:vAlign w:val="center"/>
          </w:tcPr>
          <w:p w14:paraId="14133AD9" w14:textId="77777777" w:rsidR="003A54E9" w:rsidRPr="001B4A02" w:rsidRDefault="00000000" w:rsidP="00E571F5">
            <w:pPr>
              <w:ind w:left="0" w:firstLine="0"/>
              <w:jc w:val="center"/>
              <w:rPr>
                <w:szCs w:val="22"/>
              </w:rPr>
            </w:pPr>
            <w:r w:rsidRPr="001B4A02">
              <w:rPr>
                <w:szCs w:val="22"/>
              </w:rPr>
              <w:t>22 (57,9 %)</w:t>
            </w:r>
          </w:p>
        </w:tc>
      </w:tr>
      <w:tr w:rsidR="00534A2D" w14:paraId="5445F092" w14:textId="77777777" w:rsidTr="00E571F5">
        <w:trPr>
          <w:jc w:val="center"/>
        </w:trPr>
        <w:tc>
          <w:tcPr>
            <w:tcW w:w="0" w:type="auto"/>
            <w:tcBorders>
              <w:top w:val="single" w:sz="6" w:space="0" w:color="000000"/>
              <w:left w:val="single" w:sz="6" w:space="0" w:color="000000"/>
              <w:bottom w:val="single" w:sz="6" w:space="0" w:color="000000"/>
              <w:right w:val="outset" w:sz="6" w:space="0" w:color="auto"/>
            </w:tcBorders>
            <w:vAlign w:val="center"/>
          </w:tcPr>
          <w:p w14:paraId="6F7ADF6F" w14:textId="77777777" w:rsidR="003A54E9" w:rsidRPr="001B4A02" w:rsidRDefault="00000000" w:rsidP="00E571F5">
            <w:pPr>
              <w:rPr>
                <w:szCs w:val="22"/>
              </w:rPr>
            </w:pPr>
            <w:r w:rsidRPr="001B4A02">
              <w:rPr>
                <w:szCs w:val="22"/>
              </w:rPr>
              <w:t> </w:t>
            </w:r>
            <w:r w:rsidRPr="001B4A02">
              <w:rPr>
                <w:szCs w:val="22"/>
              </w:rPr>
              <w:t>PGA: čistý/minimální</w:t>
            </w:r>
            <w:r w:rsidRPr="001B4A02">
              <w:rPr>
                <w:szCs w:val="22"/>
                <w:vertAlign w:val="superscript"/>
              </w:rPr>
              <w:t>c</w:t>
            </w:r>
          </w:p>
        </w:tc>
        <w:tc>
          <w:tcPr>
            <w:tcW w:w="0" w:type="auto"/>
            <w:tcBorders>
              <w:top w:val="single" w:sz="6" w:space="0" w:color="000000"/>
              <w:left w:val="single" w:sz="6" w:space="0" w:color="000000"/>
              <w:bottom w:val="single" w:sz="6" w:space="0" w:color="000000"/>
              <w:right w:val="outset" w:sz="6" w:space="0" w:color="auto"/>
            </w:tcBorders>
            <w:vAlign w:val="center"/>
          </w:tcPr>
          <w:p w14:paraId="57DA8B9A" w14:textId="77777777" w:rsidR="003A54E9" w:rsidRPr="001B4A02" w:rsidRDefault="00000000" w:rsidP="00E571F5">
            <w:pPr>
              <w:ind w:left="0" w:firstLine="0"/>
              <w:jc w:val="center"/>
              <w:rPr>
                <w:szCs w:val="22"/>
              </w:rPr>
            </w:pPr>
            <w:r w:rsidRPr="001B4A02">
              <w:rPr>
                <w:szCs w:val="22"/>
              </w:rPr>
              <w:t>15 (40,5 %)</w:t>
            </w:r>
          </w:p>
        </w:tc>
        <w:tc>
          <w:tcPr>
            <w:tcW w:w="2071" w:type="pct"/>
            <w:tcBorders>
              <w:top w:val="single" w:sz="6" w:space="0" w:color="000000"/>
              <w:left w:val="single" w:sz="6" w:space="0" w:color="000000"/>
              <w:bottom w:val="single" w:sz="6" w:space="0" w:color="000000"/>
              <w:right w:val="single" w:sz="6" w:space="0" w:color="000000"/>
            </w:tcBorders>
            <w:vAlign w:val="center"/>
          </w:tcPr>
          <w:p w14:paraId="762A6A89" w14:textId="77777777" w:rsidR="003A54E9" w:rsidRPr="001B4A02" w:rsidRDefault="00000000" w:rsidP="00E571F5">
            <w:pPr>
              <w:ind w:left="0" w:firstLine="0"/>
              <w:jc w:val="center"/>
              <w:rPr>
                <w:szCs w:val="22"/>
              </w:rPr>
            </w:pPr>
            <w:r w:rsidRPr="001B4A02">
              <w:rPr>
                <w:szCs w:val="22"/>
              </w:rPr>
              <w:t>23 (60,5 %)</w:t>
            </w:r>
          </w:p>
        </w:tc>
      </w:tr>
      <w:tr w:rsidR="00534A2D" w14:paraId="68286FF7" w14:textId="77777777" w:rsidTr="00E571F5">
        <w:trPr>
          <w:jc w:val="center"/>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1A2AF2F9" w14:textId="77777777" w:rsidR="003A54E9" w:rsidRPr="001B4A02" w:rsidRDefault="00000000" w:rsidP="00E571F5">
            <w:pPr>
              <w:rPr>
                <w:szCs w:val="22"/>
              </w:rPr>
            </w:pPr>
            <w:r w:rsidRPr="001B4A02">
              <w:rPr>
                <w:szCs w:val="22"/>
                <w:vertAlign w:val="superscript"/>
              </w:rPr>
              <w:t xml:space="preserve">a </w:t>
            </w:r>
            <w:r w:rsidRPr="001B4A02">
              <w:rPr>
                <w:szCs w:val="22"/>
              </w:rPr>
              <w:t>MTX = methotrexát</w:t>
            </w:r>
          </w:p>
          <w:p w14:paraId="7CB7FD71" w14:textId="77777777" w:rsidR="003A54E9" w:rsidRPr="001B4A02" w:rsidRDefault="00000000" w:rsidP="00E571F5">
            <w:pPr>
              <w:rPr>
                <w:szCs w:val="22"/>
              </w:rPr>
            </w:pPr>
            <w:r w:rsidRPr="001B4A02">
              <w:rPr>
                <w:szCs w:val="22"/>
                <w:vertAlign w:val="superscript"/>
              </w:rPr>
              <w:t>b</w:t>
            </w:r>
            <w:r w:rsidRPr="001B4A02">
              <w:rPr>
                <w:szCs w:val="22"/>
              </w:rPr>
              <w:t xml:space="preserve"> P=0,027, přípravek</w:t>
            </w:r>
            <w:r w:rsidRPr="001B4A02">
              <w:rPr>
                <w:sz w:val="20"/>
              </w:rPr>
              <w:t xml:space="preserve"> </w:t>
            </w:r>
            <w:r w:rsidRPr="001B4A02">
              <w:rPr>
                <w:szCs w:val="22"/>
              </w:rPr>
              <w:t>Humira 0,8 mg/kg versus MTX</w:t>
            </w:r>
          </w:p>
          <w:p w14:paraId="3982C0BA" w14:textId="77777777" w:rsidR="003A54E9" w:rsidRPr="001B4A02" w:rsidRDefault="00000000" w:rsidP="00E571F5">
            <w:pPr>
              <w:rPr>
                <w:szCs w:val="22"/>
              </w:rPr>
            </w:pPr>
            <w:r w:rsidRPr="001B4A02">
              <w:rPr>
                <w:szCs w:val="22"/>
                <w:vertAlign w:val="superscript"/>
              </w:rPr>
              <w:t>c</w:t>
            </w:r>
            <w:r w:rsidRPr="001B4A02">
              <w:rPr>
                <w:szCs w:val="22"/>
              </w:rPr>
              <w:t xml:space="preserve"> P=0,083, přípravek</w:t>
            </w:r>
            <w:r w:rsidRPr="001B4A02">
              <w:rPr>
                <w:sz w:val="20"/>
              </w:rPr>
              <w:t xml:space="preserve"> </w:t>
            </w:r>
            <w:r w:rsidRPr="001B4A02">
              <w:rPr>
                <w:szCs w:val="22"/>
              </w:rPr>
              <w:t>Humira 0,8 mg/kg versus MTX</w:t>
            </w:r>
          </w:p>
        </w:tc>
      </w:tr>
    </w:tbl>
    <w:p w14:paraId="725C531C" w14:textId="77777777" w:rsidR="003A54E9" w:rsidRPr="001B4A02" w:rsidRDefault="003A54E9" w:rsidP="003A54E9">
      <w:pPr>
        <w:pStyle w:val="EMEANormal"/>
        <w:tabs>
          <w:tab w:val="clear" w:pos="562"/>
        </w:tabs>
        <w:suppressAutoHyphens w:val="0"/>
        <w:rPr>
          <w:lang w:val="cs-CZ"/>
        </w:rPr>
      </w:pPr>
    </w:p>
    <w:p w14:paraId="5AED4717" w14:textId="77777777" w:rsidR="003A54E9" w:rsidRPr="001B4A02" w:rsidRDefault="00000000" w:rsidP="003A54E9">
      <w:pPr>
        <w:pStyle w:val="EMEANormal"/>
        <w:tabs>
          <w:tab w:val="clear" w:pos="562"/>
        </w:tabs>
        <w:suppressAutoHyphens w:val="0"/>
        <w:rPr>
          <w:lang w:val="cs-CZ"/>
        </w:rPr>
      </w:pPr>
      <w:r w:rsidRPr="001B4A02">
        <w:rPr>
          <w:lang w:val="cs-CZ"/>
        </w:rPr>
        <w:t>Pacienti, kteří dosáhli skóre PASI 75</w:t>
      </w:r>
      <w:r w:rsidR="002378E0">
        <w:rPr>
          <w:lang w:val="cs-CZ"/>
        </w:rPr>
        <w:t xml:space="preserve"> a </w:t>
      </w:r>
      <w:r w:rsidRPr="001B4A02">
        <w:rPr>
          <w:lang w:val="cs-CZ"/>
        </w:rPr>
        <w:t>PGA čisté nebo minimální, byli z léčby vyřazeni na dobu do 36 týdnů</w:t>
      </w:r>
      <w:r w:rsidR="002378E0">
        <w:rPr>
          <w:lang w:val="cs-CZ"/>
        </w:rPr>
        <w:t xml:space="preserve"> a </w:t>
      </w:r>
      <w:r w:rsidRPr="001B4A02">
        <w:rPr>
          <w:lang w:val="cs-CZ"/>
        </w:rPr>
        <w:t>monitorováni kvůli „ztrátě kontroly nad nemocí“ (tj. zhoršení PGA skóre nejméně o 2 stupně). Pacientům byl poté znovu nasazen adalimumab 0,8</w:t>
      </w:r>
      <w:r w:rsidR="00F365E7" w:rsidRPr="00F365E7">
        <w:rPr>
          <w:szCs w:val="22"/>
          <w:lang w:val="cs-CZ"/>
        </w:rPr>
        <w:t> </w:t>
      </w:r>
      <w:r w:rsidRPr="001B4A02">
        <w:rPr>
          <w:lang w:val="cs-CZ"/>
        </w:rPr>
        <w:t>mg/kg každý druhý týden po dobu dalších 16 týdnů</w:t>
      </w:r>
      <w:r w:rsidR="002378E0">
        <w:rPr>
          <w:lang w:val="cs-CZ"/>
        </w:rPr>
        <w:t xml:space="preserve"> a </w:t>
      </w:r>
      <w:r w:rsidRPr="001B4A02">
        <w:rPr>
          <w:lang w:val="cs-CZ"/>
        </w:rPr>
        <w:t>odpovědi na léčbu pozorované během opětovné léčby byly podobné jako v předchozí dvojitě zaslepené fázi: odpověď PASI 75 byla u 78,9 % (15 z 19 subjektů)</w:t>
      </w:r>
      <w:r w:rsidR="002378E0">
        <w:rPr>
          <w:lang w:val="cs-CZ"/>
        </w:rPr>
        <w:t xml:space="preserve"> a </w:t>
      </w:r>
      <w:r w:rsidRPr="001B4A02">
        <w:rPr>
          <w:lang w:val="cs-CZ"/>
        </w:rPr>
        <w:t>PGA čisté nebo minimální u 52,6 % (10 z 19 subjektů).</w:t>
      </w:r>
    </w:p>
    <w:p w14:paraId="5BCD292D" w14:textId="77777777" w:rsidR="003A54E9" w:rsidRPr="001B4A02" w:rsidRDefault="003A54E9" w:rsidP="003A54E9">
      <w:pPr>
        <w:pStyle w:val="EMEANormal"/>
        <w:tabs>
          <w:tab w:val="clear" w:pos="562"/>
        </w:tabs>
        <w:suppressAutoHyphens w:val="0"/>
        <w:rPr>
          <w:lang w:val="cs-CZ"/>
        </w:rPr>
      </w:pPr>
    </w:p>
    <w:p w14:paraId="68B18BCC" w14:textId="77777777" w:rsidR="003A54E9" w:rsidRPr="001B4A02" w:rsidRDefault="00000000" w:rsidP="003A54E9">
      <w:pPr>
        <w:pStyle w:val="EMEANormal"/>
        <w:tabs>
          <w:tab w:val="clear" w:pos="562"/>
        </w:tabs>
        <w:suppressAutoHyphens w:val="0"/>
        <w:rPr>
          <w:lang w:val="cs-CZ"/>
        </w:rPr>
      </w:pPr>
      <w:r w:rsidRPr="001B4A02">
        <w:rPr>
          <w:lang w:val="cs-CZ"/>
        </w:rPr>
        <w:t>V otevřené fázi studie byly odpovědi PASI 75</w:t>
      </w:r>
      <w:r w:rsidR="002378E0">
        <w:rPr>
          <w:lang w:val="cs-CZ"/>
        </w:rPr>
        <w:t xml:space="preserve"> a </w:t>
      </w:r>
      <w:r w:rsidRPr="001B4A02">
        <w:rPr>
          <w:lang w:val="cs-CZ"/>
        </w:rPr>
        <w:t>PGA čisté nebo minimální udrženy až po dobu dalších 52 týdnů s žádnými novými bezpečnostními nálezy.</w:t>
      </w:r>
    </w:p>
    <w:p w14:paraId="7E4CF2E3" w14:textId="77777777" w:rsidR="003A54E9" w:rsidRPr="001B4A02" w:rsidRDefault="003A54E9" w:rsidP="003A54E9">
      <w:pPr>
        <w:ind w:left="0" w:firstLine="0"/>
      </w:pPr>
    </w:p>
    <w:p w14:paraId="690EF03D" w14:textId="77777777" w:rsidR="003A54E9" w:rsidRPr="001B4A02" w:rsidRDefault="00000000" w:rsidP="003A54E9">
      <w:pPr>
        <w:pStyle w:val="EMEANormal"/>
        <w:keepNext/>
        <w:rPr>
          <w:i/>
          <w:lang w:val="cs-CZ"/>
        </w:rPr>
      </w:pPr>
      <w:r w:rsidRPr="001B4A02">
        <w:rPr>
          <w:i/>
          <w:iCs/>
          <w:szCs w:val="22"/>
          <w:lang w:val="cs-CZ"/>
        </w:rPr>
        <w:t>Hidradenitis suppurativa u dospívajících</w:t>
      </w:r>
    </w:p>
    <w:p w14:paraId="7D234513" w14:textId="77777777" w:rsidR="003A54E9" w:rsidRPr="001B4A02" w:rsidRDefault="003A54E9" w:rsidP="003A54E9">
      <w:pPr>
        <w:pStyle w:val="EMEANormal"/>
        <w:keepNext/>
        <w:rPr>
          <w:i/>
          <w:lang w:val="cs-CZ"/>
        </w:rPr>
      </w:pPr>
    </w:p>
    <w:p w14:paraId="4D1DDFD7" w14:textId="77777777" w:rsidR="003A54E9" w:rsidRPr="001B4A02" w:rsidRDefault="00000000" w:rsidP="003A54E9">
      <w:pPr>
        <w:ind w:left="0" w:firstLine="0"/>
        <w:rPr>
          <w:rFonts w:eastAsia="Calibri"/>
          <w:szCs w:val="22"/>
        </w:rPr>
      </w:pPr>
      <w:r w:rsidRPr="001B4A02">
        <w:rPr>
          <w:szCs w:val="22"/>
        </w:rPr>
        <w:t>U dospívajících pacientů s HS nejsou k dispozici žádné klinické studie u přípravku Humira. Účinnost adalimumabu v léčbě dospívajících pacientů s HS je predikována na základě prokázané účinnosti</w:t>
      </w:r>
      <w:r w:rsidR="002378E0">
        <w:rPr>
          <w:szCs w:val="22"/>
        </w:rPr>
        <w:t xml:space="preserve"> a </w:t>
      </w:r>
      <w:r w:rsidRPr="001B4A02">
        <w:rPr>
          <w:szCs w:val="22"/>
        </w:rPr>
        <w:t>vztahu expozice-odpověď u dospělých pacientů s HS</w:t>
      </w:r>
      <w:r w:rsidR="002378E0">
        <w:rPr>
          <w:szCs w:val="22"/>
        </w:rPr>
        <w:t xml:space="preserve"> a </w:t>
      </w:r>
      <w:r w:rsidRPr="001B4A02">
        <w:rPr>
          <w:szCs w:val="22"/>
        </w:rPr>
        <w:t>pravděpodobnosti, že průběh onemocnění, patofyziologie</w:t>
      </w:r>
      <w:r w:rsidR="002378E0">
        <w:rPr>
          <w:szCs w:val="22"/>
        </w:rPr>
        <w:t xml:space="preserve"> a </w:t>
      </w:r>
      <w:r w:rsidRPr="001B4A02">
        <w:rPr>
          <w:szCs w:val="22"/>
        </w:rPr>
        <w:t>účinky léku budou značně podobné jako u dospělých se stejnými úrovněmi expozice. Bezpečnost doporučené dávky adalimumabu u dospívající populace s HS vychází z bezpečnostního profilu adalimumabu napříč indikacemi jak u dospělých, tak u pediatrických pacientů při podobných nebo častějších dávkách (viz bod 5.2).</w:t>
      </w:r>
    </w:p>
    <w:p w14:paraId="0E21115A" w14:textId="77777777" w:rsidR="003A54E9" w:rsidRPr="001B4A02" w:rsidRDefault="003A54E9" w:rsidP="003A54E9">
      <w:pPr>
        <w:ind w:left="0" w:firstLine="0"/>
      </w:pPr>
    </w:p>
    <w:p w14:paraId="25A35FCC" w14:textId="77777777" w:rsidR="003A54E9" w:rsidRPr="001B4A02" w:rsidRDefault="00000000" w:rsidP="003A54E9">
      <w:pPr>
        <w:keepNext/>
        <w:ind w:left="0" w:firstLine="0"/>
        <w:rPr>
          <w:i/>
        </w:rPr>
      </w:pPr>
      <w:r w:rsidRPr="001B4A02">
        <w:rPr>
          <w:i/>
        </w:rPr>
        <w:t>Crohnova choroba u pediatrických pacientů</w:t>
      </w:r>
    </w:p>
    <w:p w14:paraId="079ECE22" w14:textId="77777777" w:rsidR="003A54E9" w:rsidRPr="001B4A02" w:rsidRDefault="003A54E9" w:rsidP="003A54E9">
      <w:pPr>
        <w:keepNext/>
        <w:ind w:left="0" w:firstLine="0"/>
      </w:pPr>
    </w:p>
    <w:p w14:paraId="7256AA97" w14:textId="77777777" w:rsidR="003A54E9" w:rsidRPr="001B4A02" w:rsidRDefault="00000000" w:rsidP="003A54E9">
      <w:pPr>
        <w:ind w:left="0" w:firstLine="0"/>
      </w:pPr>
      <w:r w:rsidRPr="001B4A02">
        <w:t>Přípravek Humira byl hodnocen v multicentrické, randomizované, dvojitě zaslepené klinické studii, zaměřené na hodnocení účinnosti</w:t>
      </w:r>
      <w:r w:rsidR="002378E0">
        <w:t xml:space="preserve"> a </w:t>
      </w:r>
      <w:r w:rsidRPr="001B4A02">
        <w:t>bezpečnosti úvodní</w:t>
      </w:r>
      <w:r w:rsidR="002378E0">
        <w:t xml:space="preserve"> a </w:t>
      </w:r>
      <w:r w:rsidRPr="001B4A02">
        <w:t>udržovací léčby s dávkováním v závislosti na tělesné hmotnosti (&lt; 40</w:t>
      </w:r>
      <w:r w:rsidR="002767FC">
        <w:t> kg</w:t>
      </w:r>
      <w:r w:rsidRPr="001B4A02">
        <w:t xml:space="preserve"> nebo ≥ 40</w:t>
      </w:r>
      <w:r w:rsidR="002767FC">
        <w:t> kg</w:t>
      </w:r>
      <w:r w:rsidRPr="001B4A02">
        <w:t>) u 192 pediatrických subjektů ve věkovém roz</w:t>
      </w:r>
      <w:r>
        <w:t>m</w:t>
      </w:r>
      <w:r w:rsidRPr="001B4A02">
        <w:t>ezí 6 až 17 let (včetně) se středně těžkou až těžkou Crohnovou chorobou (</w:t>
      </w:r>
      <w:r w:rsidRPr="001B4A02">
        <w:rPr>
          <w:szCs w:val="22"/>
        </w:rPr>
        <w:t>Crohn's Disease</w:t>
      </w:r>
      <w:r w:rsidRPr="001B4A02">
        <w:t>, CD), definovanou pediatrickým indexem aktivity Crohnovy choroby (PCDAI) se skóre &gt; 3</w:t>
      </w:r>
      <w:r>
        <w:t>0</w:t>
      </w:r>
      <w:r w:rsidRPr="001B4A02">
        <w:t>. Subjekty musely splňovat tato kritéria: musela u nich selhat konvenční léčba Crohnovy choroby (včetně kortikosteroidů a/nebo imunomodulátorů). Dále u nich muselo dojít ke ztrátě odpovědi na léčbu, nebo netolerovaly infliximab.</w:t>
      </w:r>
    </w:p>
    <w:p w14:paraId="01DB648F" w14:textId="77777777" w:rsidR="003A54E9" w:rsidRPr="001B4A02" w:rsidRDefault="003A54E9" w:rsidP="003A54E9">
      <w:pPr>
        <w:ind w:left="0" w:firstLine="0"/>
      </w:pPr>
    </w:p>
    <w:p w14:paraId="58AD859C" w14:textId="77777777" w:rsidR="003A54E9" w:rsidRPr="001B4A02" w:rsidRDefault="00000000" w:rsidP="003A54E9">
      <w:pPr>
        <w:ind w:left="0" w:firstLine="0"/>
      </w:pPr>
      <w:r w:rsidRPr="001B4A02">
        <w:t>Všechny subjekty dostaly v otevřené fázi úvodní dávku v závislosti na jejich výchozí tělesné hmotnosti: 160</w:t>
      </w:r>
      <w:r w:rsidR="00F365E7" w:rsidRPr="00005EC2">
        <w:rPr>
          <w:szCs w:val="22"/>
        </w:rPr>
        <w:t> </w:t>
      </w:r>
      <w:r w:rsidRPr="001B4A02">
        <w:t>mg v týdnu 0</w:t>
      </w:r>
      <w:r w:rsidR="002378E0">
        <w:t xml:space="preserve"> a </w:t>
      </w:r>
      <w:r w:rsidRPr="001B4A02">
        <w:t>80</w:t>
      </w:r>
      <w:r w:rsidR="00F365E7" w:rsidRPr="00005EC2">
        <w:rPr>
          <w:szCs w:val="22"/>
        </w:rPr>
        <w:t> </w:t>
      </w:r>
      <w:r w:rsidRPr="001B4A02">
        <w:t>mg v týdnu 2 u subjektů ≥</w:t>
      </w:r>
      <w:r w:rsidR="00F365E7" w:rsidRPr="00005EC2">
        <w:rPr>
          <w:szCs w:val="22"/>
        </w:rPr>
        <w:t> </w:t>
      </w:r>
      <w:r w:rsidRPr="001B4A02">
        <w:t>40</w:t>
      </w:r>
      <w:r w:rsidR="002767FC">
        <w:rPr>
          <w:szCs w:val="22"/>
        </w:rPr>
        <w:t> kg</w:t>
      </w:r>
      <w:r w:rsidR="002378E0">
        <w:t xml:space="preserve"> a </w:t>
      </w:r>
      <w:r w:rsidRPr="001B4A02">
        <w:t>80</w:t>
      </w:r>
      <w:r w:rsidR="00F365E7" w:rsidRPr="00005EC2">
        <w:rPr>
          <w:szCs w:val="22"/>
        </w:rPr>
        <w:t> </w:t>
      </w:r>
      <w:r w:rsidRPr="001B4A02">
        <w:t>mg v týdnu 0</w:t>
      </w:r>
      <w:r w:rsidR="002378E0">
        <w:t xml:space="preserve"> a </w:t>
      </w:r>
      <w:r w:rsidRPr="001B4A02">
        <w:t>40</w:t>
      </w:r>
      <w:r w:rsidR="00F365E7" w:rsidRPr="00005EC2">
        <w:rPr>
          <w:szCs w:val="22"/>
        </w:rPr>
        <w:t> </w:t>
      </w:r>
      <w:r w:rsidRPr="001B4A02">
        <w:t>mg v týdnu 2 u subjektů &lt;</w:t>
      </w:r>
      <w:r w:rsidR="00F365E7" w:rsidRPr="00005EC2">
        <w:rPr>
          <w:szCs w:val="22"/>
        </w:rPr>
        <w:t> </w:t>
      </w:r>
      <w:r w:rsidRPr="001B4A02">
        <w:t>40</w:t>
      </w:r>
      <w:r w:rsidR="002767FC">
        <w:rPr>
          <w:szCs w:val="22"/>
        </w:rPr>
        <w:t> kg</w:t>
      </w:r>
      <w:r w:rsidRPr="001B4A02">
        <w:t>.</w:t>
      </w:r>
    </w:p>
    <w:p w14:paraId="13EB8C57" w14:textId="77777777" w:rsidR="003A54E9" w:rsidRPr="001B4A02" w:rsidRDefault="003A54E9" w:rsidP="003A54E9">
      <w:pPr>
        <w:ind w:left="0" w:firstLine="0"/>
      </w:pPr>
    </w:p>
    <w:p w14:paraId="4E73A7D7" w14:textId="77777777" w:rsidR="003A54E9" w:rsidRPr="001B4A02" w:rsidRDefault="00000000" w:rsidP="003A54E9">
      <w:pPr>
        <w:ind w:left="0" w:firstLine="0"/>
      </w:pPr>
      <w:r w:rsidRPr="001B4A02">
        <w:t>V týdnu 4 byly subjekty randomizovány v poměru 1:1 v závislosti na jejich tělesné hmotnosti v daném čase</w:t>
      </w:r>
      <w:r w:rsidR="002378E0">
        <w:t xml:space="preserve"> a </w:t>
      </w:r>
      <w:r w:rsidRPr="001B4A02">
        <w:t xml:space="preserve">byla jim v režimu udržovací léčby podávána buď snížená dávka, nebo dávka standardní, jak je patrno v tabulce </w:t>
      </w:r>
      <w:r w:rsidR="002A0AEB">
        <w:t>28</w:t>
      </w:r>
      <w:r w:rsidRPr="001B4A02">
        <w:t>.</w:t>
      </w:r>
    </w:p>
    <w:p w14:paraId="45FAD2D3" w14:textId="77777777" w:rsidR="003A54E9" w:rsidRPr="001B4A02" w:rsidRDefault="003A54E9" w:rsidP="003A54E9">
      <w:pPr>
        <w:pStyle w:val="EMEANormal"/>
        <w:rPr>
          <w:lang w:val="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5"/>
        <w:gridCol w:w="2852"/>
        <w:gridCol w:w="2782"/>
      </w:tblGrid>
      <w:tr w:rsidR="00534A2D" w14:paraId="6E317788" w14:textId="77777777" w:rsidTr="00E571F5">
        <w:trPr>
          <w:trHeight w:val="263"/>
          <w:jc w:val="center"/>
        </w:trPr>
        <w:tc>
          <w:tcPr>
            <w:tcW w:w="8739" w:type="dxa"/>
            <w:gridSpan w:val="3"/>
            <w:tcBorders>
              <w:top w:val="single" w:sz="4" w:space="0" w:color="auto"/>
              <w:left w:val="single" w:sz="4" w:space="0" w:color="auto"/>
              <w:bottom w:val="single" w:sz="4" w:space="0" w:color="auto"/>
              <w:right w:val="single" w:sz="4" w:space="0" w:color="auto"/>
            </w:tcBorders>
          </w:tcPr>
          <w:p w14:paraId="4276BBD3" w14:textId="77777777" w:rsidR="003A54E9" w:rsidRPr="001B4A02" w:rsidRDefault="00000000" w:rsidP="00E571F5">
            <w:pPr>
              <w:pStyle w:val="EMEANormal"/>
              <w:ind w:left="567" w:hanging="567"/>
              <w:jc w:val="center"/>
              <w:rPr>
                <w:b/>
                <w:szCs w:val="24"/>
                <w:lang w:val="cs-CZ"/>
              </w:rPr>
            </w:pPr>
            <w:r w:rsidRPr="001B4A02">
              <w:rPr>
                <w:b/>
                <w:szCs w:val="24"/>
                <w:lang w:val="cs-CZ"/>
              </w:rPr>
              <w:t xml:space="preserve">Tabulka </w:t>
            </w:r>
            <w:r w:rsidR="002A0AEB">
              <w:rPr>
                <w:b/>
                <w:szCs w:val="24"/>
                <w:lang w:val="cs-CZ"/>
              </w:rPr>
              <w:t>2</w:t>
            </w:r>
            <w:r w:rsidR="002A0AEB">
              <w:rPr>
                <w:b/>
                <w:szCs w:val="24"/>
              </w:rPr>
              <w:t>8</w:t>
            </w:r>
          </w:p>
          <w:p w14:paraId="601058F4" w14:textId="77777777" w:rsidR="003A54E9" w:rsidRPr="001B4A02" w:rsidRDefault="00000000" w:rsidP="00E571F5">
            <w:pPr>
              <w:pStyle w:val="EMEANormal"/>
              <w:ind w:left="567" w:hanging="567"/>
              <w:jc w:val="center"/>
              <w:rPr>
                <w:szCs w:val="24"/>
                <w:lang w:val="cs-CZ"/>
              </w:rPr>
            </w:pPr>
            <w:r w:rsidRPr="001B4A02">
              <w:rPr>
                <w:b/>
                <w:szCs w:val="24"/>
                <w:lang w:val="cs-CZ"/>
              </w:rPr>
              <w:t>Režim udržovací dávky</w:t>
            </w:r>
          </w:p>
        </w:tc>
      </w:tr>
      <w:tr w:rsidR="00534A2D" w14:paraId="3EFAE291" w14:textId="77777777" w:rsidTr="00E571F5">
        <w:trPr>
          <w:jc w:val="center"/>
        </w:trPr>
        <w:tc>
          <w:tcPr>
            <w:tcW w:w="3105" w:type="dxa"/>
            <w:tcBorders>
              <w:top w:val="single" w:sz="4" w:space="0" w:color="auto"/>
              <w:left w:val="single" w:sz="4" w:space="0" w:color="auto"/>
              <w:bottom w:val="single" w:sz="4" w:space="0" w:color="auto"/>
              <w:right w:val="single" w:sz="4" w:space="0" w:color="auto"/>
            </w:tcBorders>
          </w:tcPr>
          <w:p w14:paraId="7AC39603" w14:textId="77777777" w:rsidR="003A54E9" w:rsidRPr="001B4A02" w:rsidRDefault="00000000" w:rsidP="00E571F5">
            <w:pPr>
              <w:pStyle w:val="EMEANormal"/>
              <w:rPr>
                <w:b/>
                <w:szCs w:val="24"/>
                <w:lang w:val="cs-CZ"/>
              </w:rPr>
            </w:pPr>
            <w:r w:rsidRPr="001B4A02">
              <w:rPr>
                <w:b/>
                <w:szCs w:val="24"/>
                <w:lang w:val="cs-CZ"/>
              </w:rPr>
              <w:t>Hmotnost pacienta</w:t>
            </w:r>
          </w:p>
        </w:tc>
        <w:tc>
          <w:tcPr>
            <w:tcW w:w="2852" w:type="dxa"/>
            <w:tcBorders>
              <w:top w:val="single" w:sz="4" w:space="0" w:color="auto"/>
              <w:left w:val="single" w:sz="4" w:space="0" w:color="auto"/>
              <w:bottom w:val="single" w:sz="4" w:space="0" w:color="auto"/>
              <w:right w:val="single" w:sz="4" w:space="0" w:color="auto"/>
            </w:tcBorders>
          </w:tcPr>
          <w:p w14:paraId="3C5EE9CD" w14:textId="77777777" w:rsidR="003A54E9" w:rsidRPr="001B4A02" w:rsidRDefault="00000000" w:rsidP="00E571F5">
            <w:pPr>
              <w:pStyle w:val="EMEANormal"/>
              <w:jc w:val="center"/>
              <w:rPr>
                <w:b/>
                <w:szCs w:val="24"/>
                <w:lang w:val="cs-CZ"/>
              </w:rPr>
            </w:pPr>
            <w:r w:rsidRPr="001B4A02">
              <w:rPr>
                <w:b/>
                <w:szCs w:val="24"/>
                <w:lang w:val="cs-CZ"/>
              </w:rPr>
              <w:t>Snížená dávka</w:t>
            </w:r>
          </w:p>
        </w:tc>
        <w:tc>
          <w:tcPr>
            <w:tcW w:w="2782" w:type="dxa"/>
            <w:tcBorders>
              <w:top w:val="single" w:sz="4" w:space="0" w:color="auto"/>
              <w:left w:val="single" w:sz="4" w:space="0" w:color="auto"/>
              <w:bottom w:val="single" w:sz="4" w:space="0" w:color="auto"/>
              <w:right w:val="single" w:sz="4" w:space="0" w:color="auto"/>
            </w:tcBorders>
          </w:tcPr>
          <w:p w14:paraId="203C28ED" w14:textId="77777777" w:rsidR="003A54E9" w:rsidRPr="001B4A02" w:rsidRDefault="00000000" w:rsidP="00E571F5">
            <w:pPr>
              <w:pStyle w:val="EMEANormal"/>
              <w:jc w:val="center"/>
              <w:rPr>
                <w:b/>
                <w:szCs w:val="24"/>
                <w:lang w:val="cs-CZ"/>
              </w:rPr>
            </w:pPr>
            <w:r w:rsidRPr="001B4A02">
              <w:rPr>
                <w:b/>
                <w:szCs w:val="24"/>
                <w:lang w:val="cs-CZ"/>
              </w:rPr>
              <w:t>Standardní dávka</w:t>
            </w:r>
          </w:p>
        </w:tc>
      </w:tr>
      <w:tr w:rsidR="00534A2D" w14:paraId="0967BC09" w14:textId="77777777" w:rsidTr="00E571F5">
        <w:trPr>
          <w:jc w:val="center"/>
        </w:trPr>
        <w:tc>
          <w:tcPr>
            <w:tcW w:w="3105" w:type="dxa"/>
            <w:tcBorders>
              <w:top w:val="single" w:sz="4" w:space="0" w:color="auto"/>
              <w:left w:val="single" w:sz="4" w:space="0" w:color="auto"/>
              <w:bottom w:val="single" w:sz="4" w:space="0" w:color="auto"/>
              <w:right w:val="single" w:sz="4" w:space="0" w:color="auto"/>
            </w:tcBorders>
          </w:tcPr>
          <w:p w14:paraId="39D29FAE" w14:textId="77777777" w:rsidR="003A54E9" w:rsidRPr="001B4A02" w:rsidRDefault="00000000" w:rsidP="00E571F5">
            <w:pPr>
              <w:pStyle w:val="EMEANormal"/>
              <w:ind w:left="567" w:hanging="567"/>
              <w:jc w:val="center"/>
              <w:rPr>
                <w:szCs w:val="24"/>
                <w:lang w:val="cs-CZ"/>
              </w:rPr>
            </w:pPr>
            <w:r w:rsidRPr="001B4A02">
              <w:rPr>
                <w:szCs w:val="24"/>
                <w:lang w:val="cs-CZ"/>
              </w:rPr>
              <w:t>&lt; 40</w:t>
            </w:r>
            <w:r w:rsidR="002767FC">
              <w:rPr>
                <w:szCs w:val="22"/>
              </w:rPr>
              <w:t> kg</w:t>
            </w:r>
          </w:p>
        </w:tc>
        <w:tc>
          <w:tcPr>
            <w:tcW w:w="2852" w:type="dxa"/>
            <w:tcBorders>
              <w:top w:val="single" w:sz="4" w:space="0" w:color="auto"/>
              <w:left w:val="single" w:sz="4" w:space="0" w:color="auto"/>
              <w:bottom w:val="single" w:sz="4" w:space="0" w:color="auto"/>
              <w:right w:val="single" w:sz="4" w:space="0" w:color="auto"/>
            </w:tcBorders>
          </w:tcPr>
          <w:p w14:paraId="6044A93B" w14:textId="77777777" w:rsidR="003A54E9" w:rsidRPr="001B4A02" w:rsidRDefault="00000000" w:rsidP="00E571F5">
            <w:pPr>
              <w:pStyle w:val="EMEANormal"/>
              <w:jc w:val="center"/>
              <w:rPr>
                <w:szCs w:val="24"/>
                <w:lang w:val="cs-CZ"/>
              </w:rPr>
            </w:pPr>
            <w:r w:rsidRPr="001B4A02">
              <w:rPr>
                <w:szCs w:val="24"/>
                <w:lang w:val="cs-CZ"/>
              </w:rPr>
              <w:t>10</w:t>
            </w:r>
            <w:r w:rsidR="00F365E7" w:rsidRPr="00005EC2">
              <w:rPr>
                <w:szCs w:val="22"/>
              </w:rPr>
              <w:t> </w:t>
            </w:r>
            <w:r w:rsidRPr="001B4A02">
              <w:rPr>
                <w:szCs w:val="24"/>
                <w:lang w:val="cs-CZ"/>
              </w:rPr>
              <w:t>mg každý druhý týden</w:t>
            </w:r>
          </w:p>
        </w:tc>
        <w:tc>
          <w:tcPr>
            <w:tcW w:w="2782" w:type="dxa"/>
            <w:tcBorders>
              <w:top w:val="single" w:sz="4" w:space="0" w:color="auto"/>
              <w:left w:val="single" w:sz="4" w:space="0" w:color="auto"/>
              <w:bottom w:val="single" w:sz="4" w:space="0" w:color="auto"/>
              <w:right w:val="single" w:sz="4" w:space="0" w:color="auto"/>
            </w:tcBorders>
          </w:tcPr>
          <w:p w14:paraId="451D202A" w14:textId="77777777" w:rsidR="003A54E9" w:rsidRPr="001B4A02" w:rsidRDefault="00000000" w:rsidP="00E571F5">
            <w:pPr>
              <w:pStyle w:val="EMEANormal"/>
              <w:ind w:left="567" w:hanging="567"/>
              <w:jc w:val="center"/>
              <w:rPr>
                <w:szCs w:val="24"/>
                <w:lang w:val="cs-CZ"/>
              </w:rPr>
            </w:pPr>
            <w:r w:rsidRPr="001B4A02">
              <w:rPr>
                <w:szCs w:val="24"/>
                <w:lang w:val="cs-CZ"/>
              </w:rPr>
              <w:t>20</w:t>
            </w:r>
            <w:r w:rsidR="00F365E7" w:rsidRPr="00005EC2">
              <w:rPr>
                <w:szCs w:val="22"/>
              </w:rPr>
              <w:t> </w:t>
            </w:r>
            <w:r w:rsidRPr="001B4A02">
              <w:rPr>
                <w:szCs w:val="24"/>
                <w:lang w:val="cs-CZ"/>
              </w:rPr>
              <w:t>mg každý druhý týden</w:t>
            </w:r>
          </w:p>
        </w:tc>
      </w:tr>
      <w:tr w:rsidR="00534A2D" w14:paraId="73F37B75" w14:textId="77777777" w:rsidTr="00E571F5">
        <w:trPr>
          <w:jc w:val="center"/>
        </w:trPr>
        <w:tc>
          <w:tcPr>
            <w:tcW w:w="3105" w:type="dxa"/>
            <w:tcBorders>
              <w:top w:val="single" w:sz="4" w:space="0" w:color="auto"/>
              <w:left w:val="single" w:sz="4" w:space="0" w:color="auto"/>
              <w:bottom w:val="single" w:sz="4" w:space="0" w:color="auto"/>
              <w:right w:val="single" w:sz="4" w:space="0" w:color="auto"/>
            </w:tcBorders>
          </w:tcPr>
          <w:p w14:paraId="6BA55166" w14:textId="77777777" w:rsidR="003A54E9" w:rsidRPr="001B4A02" w:rsidRDefault="00000000" w:rsidP="00E571F5">
            <w:pPr>
              <w:pStyle w:val="EMEANormal"/>
              <w:ind w:left="567" w:hanging="567"/>
              <w:jc w:val="center"/>
              <w:rPr>
                <w:szCs w:val="24"/>
                <w:lang w:val="cs-CZ"/>
              </w:rPr>
            </w:pPr>
            <w:r w:rsidRPr="001B4A02">
              <w:rPr>
                <w:szCs w:val="24"/>
                <w:lang w:val="cs-CZ"/>
              </w:rPr>
              <w:t>≥ 40</w:t>
            </w:r>
            <w:r w:rsidR="002767FC">
              <w:rPr>
                <w:szCs w:val="22"/>
              </w:rPr>
              <w:t> kg</w:t>
            </w:r>
          </w:p>
        </w:tc>
        <w:tc>
          <w:tcPr>
            <w:tcW w:w="2852" w:type="dxa"/>
            <w:tcBorders>
              <w:top w:val="single" w:sz="4" w:space="0" w:color="auto"/>
              <w:left w:val="single" w:sz="4" w:space="0" w:color="auto"/>
              <w:bottom w:val="single" w:sz="4" w:space="0" w:color="auto"/>
              <w:right w:val="single" w:sz="4" w:space="0" w:color="auto"/>
            </w:tcBorders>
          </w:tcPr>
          <w:p w14:paraId="4030B5BC" w14:textId="77777777" w:rsidR="003A54E9" w:rsidRPr="001B4A02" w:rsidRDefault="00000000" w:rsidP="00E571F5">
            <w:pPr>
              <w:pStyle w:val="EMEANormal"/>
              <w:jc w:val="center"/>
              <w:rPr>
                <w:szCs w:val="24"/>
                <w:lang w:val="cs-CZ"/>
              </w:rPr>
            </w:pPr>
            <w:r w:rsidRPr="001B4A02">
              <w:rPr>
                <w:szCs w:val="24"/>
                <w:lang w:val="cs-CZ"/>
              </w:rPr>
              <w:t>20</w:t>
            </w:r>
            <w:r w:rsidR="00F365E7" w:rsidRPr="00005EC2">
              <w:rPr>
                <w:szCs w:val="22"/>
              </w:rPr>
              <w:t> </w:t>
            </w:r>
            <w:r w:rsidRPr="001B4A02">
              <w:rPr>
                <w:szCs w:val="24"/>
                <w:lang w:val="cs-CZ"/>
              </w:rPr>
              <w:t>mg každý druhý týden</w:t>
            </w:r>
          </w:p>
        </w:tc>
        <w:tc>
          <w:tcPr>
            <w:tcW w:w="2782" w:type="dxa"/>
            <w:tcBorders>
              <w:top w:val="single" w:sz="4" w:space="0" w:color="auto"/>
              <w:left w:val="single" w:sz="4" w:space="0" w:color="auto"/>
              <w:bottom w:val="single" w:sz="4" w:space="0" w:color="auto"/>
              <w:right w:val="single" w:sz="4" w:space="0" w:color="auto"/>
            </w:tcBorders>
          </w:tcPr>
          <w:p w14:paraId="27B8B48E" w14:textId="77777777" w:rsidR="003A54E9" w:rsidRPr="001B4A02" w:rsidRDefault="00000000" w:rsidP="00E571F5">
            <w:pPr>
              <w:pStyle w:val="EMEANormal"/>
              <w:ind w:left="567" w:hanging="567"/>
              <w:jc w:val="center"/>
              <w:rPr>
                <w:szCs w:val="24"/>
                <w:lang w:val="cs-CZ"/>
              </w:rPr>
            </w:pPr>
            <w:r w:rsidRPr="001B4A02">
              <w:rPr>
                <w:szCs w:val="24"/>
                <w:lang w:val="cs-CZ"/>
              </w:rPr>
              <w:t>40</w:t>
            </w:r>
            <w:r w:rsidR="00F365E7" w:rsidRPr="00005EC2">
              <w:rPr>
                <w:szCs w:val="22"/>
              </w:rPr>
              <w:t> </w:t>
            </w:r>
            <w:r w:rsidRPr="001B4A02">
              <w:rPr>
                <w:szCs w:val="24"/>
                <w:lang w:val="cs-CZ"/>
              </w:rPr>
              <w:t>mg každý druhý týden</w:t>
            </w:r>
          </w:p>
        </w:tc>
      </w:tr>
    </w:tbl>
    <w:p w14:paraId="5ED42978" w14:textId="77777777" w:rsidR="003A54E9" w:rsidRPr="001B4A02" w:rsidRDefault="003A54E9" w:rsidP="003A54E9">
      <w:pPr>
        <w:pStyle w:val="EMEANormal"/>
        <w:rPr>
          <w:szCs w:val="24"/>
          <w:lang w:val="cs-CZ"/>
        </w:rPr>
      </w:pPr>
    </w:p>
    <w:p w14:paraId="0C47C513" w14:textId="77777777" w:rsidR="003A54E9" w:rsidRPr="001B4A02" w:rsidRDefault="00000000" w:rsidP="003A54E9">
      <w:pPr>
        <w:keepNext/>
        <w:ind w:left="0" w:firstLine="0"/>
        <w:rPr>
          <w:i/>
          <w:u w:val="single"/>
        </w:rPr>
      </w:pPr>
      <w:r w:rsidRPr="001B4A02">
        <w:rPr>
          <w:i/>
          <w:u w:val="single"/>
        </w:rPr>
        <w:t>Výsledky hodnocení účinnosti</w:t>
      </w:r>
    </w:p>
    <w:p w14:paraId="386033A2" w14:textId="77777777" w:rsidR="003A54E9" w:rsidRPr="001B4A02" w:rsidRDefault="003A54E9" w:rsidP="003A54E9">
      <w:pPr>
        <w:keepNext/>
        <w:ind w:left="0" w:firstLine="0"/>
      </w:pPr>
    </w:p>
    <w:p w14:paraId="5DA99D80" w14:textId="77777777" w:rsidR="003A54E9" w:rsidRPr="001B4A02" w:rsidRDefault="00000000" w:rsidP="003A54E9">
      <w:pPr>
        <w:ind w:left="0" w:firstLine="0"/>
      </w:pPr>
      <w:r w:rsidRPr="001B4A02">
        <w:t>Primárním cílem studie bylo dosažení klinické remise v týdnu 26, definované jako skóre PCDAI ≤ 10.</w:t>
      </w:r>
    </w:p>
    <w:p w14:paraId="4F0C148F" w14:textId="77777777" w:rsidR="003A54E9" w:rsidRPr="001B4A02" w:rsidRDefault="003A54E9" w:rsidP="003A54E9">
      <w:pPr>
        <w:ind w:left="0" w:firstLine="0"/>
      </w:pPr>
    </w:p>
    <w:p w14:paraId="1D7DA2B8" w14:textId="77777777" w:rsidR="003A54E9" w:rsidRPr="001B4A02" w:rsidRDefault="00000000" w:rsidP="003A54E9">
      <w:pPr>
        <w:ind w:left="0" w:firstLine="0"/>
      </w:pPr>
      <w:r w:rsidRPr="001B4A02">
        <w:t>Rozsah klinické remise</w:t>
      </w:r>
      <w:r w:rsidR="002378E0">
        <w:t xml:space="preserve"> a </w:t>
      </w:r>
      <w:r w:rsidRPr="001B4A02">
        <w:t xml:space="preserve">klinické odpovědi (definované jako snížení skóre PCDAI o minimálně 15 bodů v porovnání s výchozím stavem) je prezentován v tabulce </w:t>
      </w:r>
      <w:r w:rsidR="002A0AEB">
        <w:t>29</w:t>
      </w:r>
      <w:r w:rsidRPr="001B4A02">
        <w:t xml:space="preserve">. Rozsah míry vysazení kortikosteroidů nebo imunomodulátorů je prezentován v tabulce </w:t>
      </w:r>
      <w:r w:rsidR="002A0AEB">
        <w:t>30</w:t>
      </w:r>
      <w:r w:rsidRPr="001B4A02">
        <w:t>.</w:t>
      </w:r>
    </w:p>
    <w:p w14:paraId="77D82E7A" w14:textId="77777777" w:rsidR="003A54E9" w:rsidRPr="001B4A02" w:rsidRDefault="003A54E9" w:rsidP="003A54E9">
      <w:pPr>
        <w:tabs>
          <w:tab w:val="left" w:pos="1294"/>
        </w:tabs>
        <w:autoSpaceDE w:val="0"/>
        <w:autoSpaceDN w:val="0"/>
        <w:adjustRightInd w:val="0"/>
        <w:rPr>
          <w:szCs w:val="22"/>
        </w:rPr>
      </w:pPr>
    </w:p>
    <w:tbl>
      <w:tblPr>
        <w:tblW w:w="0" w:type="auto"/>
        <w:jc w:val="center"/>
        <w:tblCellMar>
          <w:left w:w="0" w:type="dxa"/>
          <w:right w:w="0" w:type="dxa"/>
        </w:tblCellMar>
        <w:tblLook w:val="00A0" w:firstRow="1" w:lastRow="0" w:firstColumn="1" w:lastColumn="0" w:noHBand="0" w:noVBand="0"/>
      </w:tblPr>
      <w:tblGrid>
        <w:gridCol w:w="2654"/>
        <w:gridCol w:w="2450"/>
        <w:gridCol w:w="2409"/>
        <w:gridCol w:w="1420"/>
      </w:tblGrid>
      <w:tr w:rsidR="00534A2D" w14:paraId="230D1A47" w14:textId="77777777" w:rsidTr="00E571F5">
        <w:trPr>
          <w:jc w:val="center"/>
        </w:trPr>
        <w:tc>
          <w:tcPr>
            <w:tcW w:w="8933" w:type="dxa"/>
            <w:gridSpan w:val="4"/>
            <w:tcBorders>
              <w:top w:val="single" w:sz="6" w:space="0" w:color="000000"/>
              <w:left w:val="single" w:sz="6" w:space="0" w:color="000000"/>
              <w:bottom w:val="single" w:sz="6" w:space="0" w:color="000000"/>
              <w:right w:val="single" w:sz="6" w:space="0" w:color="000000"/>
            </w:tcBorders>
          </w:tcPr>
          <w:p w14:paraId="3B7C0305" w14:textId="77777777" w:rsidR="003A54E9" w:rsidRPr="001B4A02" w:rsidRDefault="00000000" w:rsidP="00E571F5">
            <w:pPr>
              <w:keepNext/>
              <w:tabs>
                <w:tab w:val="left" w:pos="-878"/>
              </w:tabs>
              <w:autoSpaceDE w:val="0"/>
              <w:autoSpaceDN w:val="0"/>
              <w:adjustRightInd w:val="0"/>
              <w:jc w:val="center"/>
              <w:rPr>
                <w:b/>
                <w:bCs/>
                <w:szCs w:val="22"/>
              </w:rPr>
            </w:pPr>
            <w:r w:rsidRPr="001B4A02">
              <w:rPr>
                <w:b/>
                <w:bCs/>
                <w:szCs w:val="22"/>
              </w:rPr>
              <w:t xml:space="preserve">Tabulka </w:t>
            </w:r>
            <w:r w:rsidR="002A0AEB">
              <w:rPr>
                <w:b/>
                <w:bCs/>
                <w:szCs w:val="22"/>
              </w:rPr>
              <w:t>29</w:t>
            </w:r>
          </w:p>
          <w:p w14:paraId="1F8CA4AB" w14:textId="77777777" w:rsidR="003A54E9" w:rsidRPr="001B4A02" w:rsidRDefault="00000000" w:rsidP="00E571F5">
            <w:pPr>
              <w:keepNext/>
              <w:tabs>
                <w:tab w:val="left" w:pos="-878"/>
              </w:tabs>
              <w:autoSpaceDE w:val="0"/>
              <w:autoSpaceDN w:val="0"/>
              <w:adjustRightInd w:val="0"/>
              <w:jc w:val="center"/>
              <w:rPr>
                <w:b/>
                <w:bCs/>
                <w:szCs w:val="22"/>
              </w:rPr>
            </w:pPr>
            <w:r w:rsidRPr="001B4A02">
              <w:rPr>
                <w:b/>
                <w:bCs/>
                <w:szCs w:val="22"/>
              </w:rPr>
              <w:t>Studie u pediatrických pacientů s Crohnovou chorobou</w:t>
            </w:r>
          </w:p>
          <w:p w14:paraId="71960364" w14:textId="77777777" w:rsidR="003A54E9" w:rsidRPr="001B4A02" w:rsidRDefault="00000000" w:rsidP="00E571F5">
            <w:pPr>
              <w:keepNext/>
              <w:tabs>
                <w:tab w:val="left" w:pos="-878"/>
              </w:tabs>
              <w:autoSpaceDE w:val="0"/>
              <w:autoSpaceDN w:val="0"/>
              <w:adjustRightInd w:val="0"/>
              <w:jc w:val="center"/>
              <w:rPr>
                <w:b/>
                <w:bCs/>
                <w:szCs w:val="22"/>
              </w:rPr>
            </w:pPr>
            <w:r w:rsidRPr="001B4A02">
              <w:rPr>
                <w:b/>
                <w:bCs/>
                <w:szCs w:val="22"/>
              </w:rPr>
              <w:t>PCDAI klinická remise</w:t>
            </w:r>
            <w:r w:rsidR="002378E0">
              <w:rPr>
                <w:b/>
                <w:bCs/>
                <w:szCs w:val="22"/>
              </w:rPr>
              <w:t xml:space="preserve"> a </w:t>
            </w:r>
            <w:r w:rsidRPr="001B4A02">
              <w:rPr>
                <w:b/>
                <w:bCs/>
                <w:szCs w:val="22"/>
              </w:rPr>
              <w:t>odpověď</w:t>
            </w:r>
          </w:p>
        </w:tc>
      </w:tr>
      <w:tr w:rsidR="00534A2D" w14:paraId="516A86E0" w14:textId="77777777" w:rsidTr="00E571F5">
        <w:trPr>
          <w:jc w:val="center"/>
        </w:trPr>
        <w:tc>
          <w:tcPr>
            <w:tcW w:w="2654" w:type="dxa"/>
            <w:tcBorders>
              <w:top w:val="single" w:sz="6" w:space="0" w:color="000000"/>
              <w:left w:val="single" w:sz="6" w:space="0" w:color="000000"/>
              <w:bottom w:val="single" w:sz="6" w:space="0" w:color="000000"/>
              <w:right w:val="single" w:sz="6" w:space="0" w:color="000000"/>
            </w:tcBorders>
          </w:tcPr>
          <w:p w14:paraId="48B5CE83" w14:textId="77777777" w:rsidR="003A54E9" w:rsidRPr="001B4A02" w:rsidRDefault="003A54E9" w:rsidP="00E571F5">
            <w:pPr>
              <w:keepNext/>
              <w:keepLines/>
              <w:tabs>
                <w:tab w:val="left" w:pos="-1080"/>
              </w:tabs>
              <w:autoSpaceDE w:val="0"/>
              <w:autoSpaceDN w:val="0"/>
              <w:adjustRightInd w:val="0"/>
              <w:jc w:val="center"/>
              <w:rPr>
                <w:b/>
                <w:bCs/>
                <w:szCs w:val="22"/>
              </w:rPr>
            </w:pPr>
          </w:p>
        </w:tc>
        <w:tc>
          <w:tcPr>
            <w:tcW w:w="2450" w:type="dxa"/>
            <w:tcBorders>
              <w:top w:val="single" w:sz="6" w:space="0" w:color="000000"/>
              <w:left w:val="single" w:sz="6" w:space="0" w:color="000000"/>
              <w:bottom w:val="single" w:sz="6" w:space="0" w:color="000000"/>
              <w:right w:val="single" w:sz="6" w:space="0" w:color="000000"/>
            </w:tcBorders>
          </w:tcPr>
          <w:p w14:paraId="01C064B1"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Standardní dávka</w:t>
            </w:r>
          </w:p>
          <w:p w14:paraId="4CE37965"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40/20</w:t>
            </w:r>
            <w:r w:rsidR="00F365E7" w:rsidRPr="00005EC2">
              <w:rPr>
                <w:szCs w:val="22"/>
              </w:rPr>
              <w:t> </w:t>
            </w:r>
            <w:r w:rsidRPr="001B4A02">
              <w:rPr>
                <w:b/>
                <w:bCs/>
                <w:szCs w:val="22"/>
              </w:rPr>
              <w:t>mg</w:t>
            </w:r>
          </w:p>
          <w:p w14:paraId="4DB50025"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každý druhý týden</w:t>
            </w:r>
          </w:p>
          <w:p w14:paraId="33D35DDD"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Pr>
                <w:b/>
                <w:bCs/>
                <w:szCs w:val="22"/>
              </w:rPr>
              <w:t>n</w:t>
            </w:r>
            <w:r w:rsidRPr="001B4A02">
              <w:rPr>
                <w:b/>
                <w:bCs/>
                <w:szCs w:val="22"/>
              </w:rPr>
              <w:t>=93</w:t>
            </w:r>
          </w:p>
        </w:tc>
        <w:tc>
          <w:tcPr>
            <w:tcW w:w="2409" w:type="dxa"/>
            <w:tcBorders>
              <w:top w:val="single" w:sz="6" w:space="0" w:color="000000"/>
              <w:left w:val="single" w:sz="6" w:space="0" w:color="000000"/>
              <w:bottom w:val="single" w:sz="6" w:space="0" w:color="000000"/>
              <w:right w:val="single" w:sz="6" w:space="0" w:color="000000"/>
            </w:tcBorders>
          </w:tcPr>
          <w:p w14:paraId="4EC4B9A1"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Snížená dávka</w:t>
            </w:r>
          </w:p>
          <w:p w14:paraId="6C12473A"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20/10</w:t>
            </w:r>
            <w:r w:rsidR="00F365E7" w:rsidRPr="00005EC2">
              <w:rPr>
                <w:szCs w:val="22"/>
              </w:rPr>
              <w:t> </w:t>
            </w:r>
            <w:r w:rsidRPr="001B4A02">
              <w:rPr>
                <w:b/>
                <w:bCs/>
                <w:szCs w:val="22"/>
              </w:rPr>
              <w:t>mg</w:t>
            </w:r>
          </w:p>
          <w:p w14:paraId="144371EF"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každý druhý týden</w:t>
            </w:r>
          </w:p>
          <w:p w14:paraId="7A76AD05"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Pr>
                <w:b/>
                <w:bCs/>
                <w:szCs w:val="22"/>
              </w:rPr>
              <w:t>n</w:t>
            </w:r>
            <w:r w:rsidRPr="001B4A02">
              <w:rPr>
                <w:b/>
                <w:bCs/>
                <w:szCs w:val="22"/>
              </w:rPr>
              <w:t>=9</w:t>
            </w:r>
            <w:r>
              <w:rPr>
                <w:b/>
                <w:bCs/>
                <w:szCs w:val="22"/>
              </w:rPr>
              <w:t>5</w:t>
            </w:r>
          </w:p>
        </w:tc>
        <w:tc>
          <w:tcPr>
            <w:tcW w:w="1420" w:type="dxa"/>
            <w:tcBorders>
              <w:top w:val="single" w:sz="6" w:space="0" w:color="000000"/>
              <w:left w:val="single" w:sz="6" w:space="0" w:color="000000"/>
              <w:bottom w:val="single" w:sz="6" w:space="0" w:color="000000"/>
              <w:right w:val="single" w:sz="6" w:space="0" w:color="000000"/>
            </w:tcBorders>
          </w:tcPr>
          <w:p w14:paraId="35D898CB"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P hodnota*</w:t>
            </w:r>
          </w:p>
        </w:tc>
      </w:tr>
      <w:tr w:rsidR="00534A2D" w14:paraId="62F21308" w14:textId="77777777" w:rsidTr="00E571F5">
        <w:trPr>
          <w:jc w:val="center"/>
        </w:trPr>
        <w:tc>
          <w:tcPr>
            <w:tcW w:w="2654" w:type="dxa"/>
            <w:tcBorders>
              <w:top w:val="single" w:sz="6" w:space="0" w:color="000000"/>
              <w:left w:val="single" w:sz="6" w:space="0" w:color="000000"/>
              <w:bottom w:val="single" w:sz="6" w:space="0" w:color="000000"/>
              <w:right w:val="single" w:sz="6" w:space="0" w:color="000000"/>
            </w:tcBorders>
            <w:vAlign w:val="bottom"/>
          </w:tcPr>
          <w:p w14:paraId="7EC52520" w14:textId="77777777" w:rsidR="003A54E9" w:rsidRPr="001B4A02" w:rsidRDefault="00000000" w:rsidP="00E571F5">
            <w:pPr>
              <w:keepNext/>
              <w:keepLines/>
              <w:tabs>
                <w:tab w:val="left" w:pos="-1080"/>
              </w:tabs>
              <w:autoSpaceDE w:val="0"/>
              <w:autoSpaceDN w:val="0"/>
              <w:adjustRightInd w:val="0"/>
              <w:ind w:left="0" w:firstLine="0"/>
              <w:rPr>
                <w:b/>
                <w:szCs w:val="22"/>
              </w:rPr>
            </w:pPr>
            <w:r w:rsidRPr="001B4A02">
              <w:rPr>
                <w:b/>
                <w:szCs w:val="22"/>
              </w:rPr>
              <w:t>Týden 26</w:t>
            </w:r>
          </w:p>
        </w:tc>
        <w:tc>
          <w:tcPr>
            <w:tcW w:w="2450" w:type="dxa"/>
            <w:tcBorders>
              <w:top w:val="single" w:sz="6" w:space="0" w:color="000000"/>
              <w:left w:val="single" w:sz="6" w:space="0" w:color="000000"/>
              <w:bottom w:val="single" w:sz="6" w:space="0" w:color="000000"/>
              <w:right w:val="single" w:sz="6" w:space="0" w:color="000000"/>
            </w:tcBorders>
            <w:vAlign w:val="bottom"/>
          </w:tcPr>
          <w:p w14:paraId="6C2E3016" w14:textId="77777777" w:rsidR="003A54E9" w:rsidRPr="001B4A02" w:rsidRDefault="003A54E9" w:rsidP="00E571F5">
            <w:pPr>
              <w:keepNext/>
              <w:keepLines/>
              <w:tabs>
                <w:tab w:val="left" w:pos="-1080"/>
              </w:tabs>
              <w:autoSpaceDE w:val="0"/>
              <w:autoSpaceDN w:val="0"/>
              <w:adjustRightInd w:val="0"/>
              <w:ind w:left="0" w:firstLine="0"/>
              <w:jc w:val="center"/>
              <w:rPr>
                <w:b/>
                <w:szCs w:val="22"/>
              </w:rPr>
            </w:pPr>
          </w:p>
        </w:tc>
        <w:tc>
          <w:tcPr>
            <w:tcW w:w="2409" w:type="dxa"/>
            <w:tcBorders>
              <w:top w:val="single" w:sz="6" w:space="0" w:color="000000"/>
              <w:left w:val="single" w:sz="6" w:space="0" w:color="000000"/>
              <w:bottom w:val="single" w:sz="6" w:space="0" w:color="000000"/>
              <w:right w:val="single" w:sz="6" w:space="0" w:color="000000"/>
            </w:tcBorders>
            <w:vAlign w:val="bottom"/>
          </w:tcPr>
          <w:p w14:paraId="42F7B8BF" w14:textId="77777777" w:rsidR="003A54E9" w:rsidRPr="001B4A02" w:rsidRDefault="003A54E9" w:rsidP="00E571F5">
            <w:pPr>
              <w:keepNext/>
              <w:keepLines/>
              <w:tabs>
                <w:tab w:val="left" w:pos="-1080"/>
              </w:tabs>
              <w:autoSpaceDE w:val="0"/>
              <w:autoSpaceDN w:val="0"/>
              <w:adjustRightInd w:val="0"/>
              <w:ind w:left="0" w:firstLine="0"/>
              <w:jc w:val="center"/>
              <w:rPr>
                <w:b/>
                <w:szCs w:val="22"/>
              </w:rPr>
            </w:pPr>
          </w:p>
        </w:tc>
        <w:tc>
          <w:tcPr>
            <w:tcW w:w="1420" w:type="dxa"/>
            <w:tcBorders>
              <w:top w:val="single" w:sz="6" w:space="0" w:color="000000"/>
              <w:left w:val="single" w:sz="6" w:space="0" w:color="000000"/>
              <w:bottom w:val="single" w:sz="6" w:space="0" w:color="000000"/>
              <w:right w:val="single" w:sz="6" w:space="0" w:color="000000"/>
            </w:tcBorders>
            <w:vAlign w:val="bottom"/>
          </w:tcPr>
          <w:p w14:paraId="347761DC" w14:textId="77777777" w:rsidR="003A54E9" w:rsidRPr="001B4A02" w:rsidRDefault="003A54E9" w:rsidP="00E571F5">
            <w:pPr>
              <w:keepNext/>
              <w:autoSpaceDE w:val="0"/>
              <w:autoSpaceDN w:val="0"/>
              <w:adjustRightInd w:val="0"/>
              <w:ind w:left="0" w:firstLine="0"/>
              <w:jc w:val="center"/>
              <w:rPr>
                <w:szCs w:val="22"/>
              </w:rPr>
            </w:pPr>
          </w:p>
        </w:tc>
      </w:tr>
      <w:tr w:rsidR="00534A2D" w14:paraId="41268D21" w14:textId="77777777" w:rsidTr="00E571F5">
        <w:trPr>
          <w:jc w:val="center"/>
        </w:trPr>
        <w:tc>
          <w:tcPr>
            <w:tcW w:w="2654" w:type="dxa"/>
            <w:tcBorders>
              <w:top w:val="single" w:sz="6" w:space="0" w:color="000000"/>
              <w:left w:val="single" w:sz="6" w:space="0" w:color="000000"/>
              <w:bottom w:val="single" w:sz="6" w:space="0" w:color="000000"/>
              <w:right w:val="single" w:sz="6" w:space="0" w:color="000000"/>
            </w:tcBorders>
            <w:vAlign w:val="bottom"/>
          </w:tcPr>
          <w:p w14:paraId="7BD0F923" w14:textId="77777777" w:rsidR="003A54E9" w:rsidRPr="001B4A02" w:rsidRDefault="00000000" w:rsidP="00E571F5">
            <w:pPr>
              <w:keepNext/>
              <w:keepLines/>
              <w:tabs>
                <w:tab w:val="left" w:pos="-1080"/>
              </w:tabs>
              <w:autoSpaceDE w:val="0"/>
              <w:autoSpaceDN w:val="0"/>
              <w:adjustRightInd w:val="0"/>
              <w:ind w:left="0" w:firstLine="0"/>
              <w:rPr>
                <w:bCs/>
                <w:szCs w:val="22"/>
              </w:rPr>
            </w:pPr>
            <w:r w:rsidRPr="001B4A02">
              <w:rPr>
                <w:bCs/>
                <w:szCs w:val="22"/>
              </w:rPr>
              <w:t>Klinická remise</w:t>
            </w:r>
          </w:p>
        </w:tc>
        <w:tc>
          <w:tcPr>
            <w:tcW w:w="2450" w:type="dxa"/>
            <w:tcBorders>
              <w:top w:val="single" w:sz="6" w:space="0" w:color="000000"/>
              <w:left w:val="single" w:sz="6" w:space="0" w:color="000000"/>
              <w:bottom w:val="single" w:sz="6" w:space="0" w:color="000000"/>
              <w:right w:val="single" w:sz="6" w:space="0" w:color="000000"/>
            </w:tcBorders>
            <w:vAlign w:val="bottom"/>
          </w:tcPr>
          <w:p w14:paraId="1AF2AEC0"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38,7</w:t>
            </w:r>
            <w:r>
              <w:rPr>
                <w:szCs w:val="22"/>
              </w:rPr>
              <w:t> %</w:t>
            </w:r>
          </w:p>
        </w:tc>
        <w:tc>
          <w:tcPr>
            <w:tcW w:w="2409" w:type="dxa"/>
            <w:tcBorders>
              <w:top w:val="single" w:sz="6" w:space="0" w:color="000000"/>
              <w:left w:val="single" w:sz="6" w:space="0" w:color="000000"/>
              <w:bottom w:val="single" w:sz="6" w:space="0" w:color="000000"/>
              <w:right w:val="single" w:sz="6" w:space="0" w:color="000000"/>
            </w:tcBorders>
            <w:vAlign w:val="bottom"/>
          </w:tcPr>
          <w:p w14:paraId="6B26B91D"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28,4</w:t>
            </w:r>
            <w:r>
              <w:rPr>
                <w:szCs w:val="22"/>
              </w:rPr>
              <w:t> %</w:t>
            </w:r>
          </w:p>
        </w:tc>
        <w:tc>
          <w:tcPr>
            <w:tcW w:w="1420" w:type="dxa"/>
            <w:tcBorders>
              <w:top w:val="single" w:sz="6" w:space="0" w:color="000000"/>
              <w:left w:val="single" w:sz="6" w:space="0" w:color="000000"/>
              <w:bottom w:val="single" w:sz="6" w:space="0" w:color="000000"/>
              <w:right w:val="single" w:sz="6" w:space="0" w:color="000000"/>
            </w:tcBorders>
            <w:vAlign w:val="bottom"/>
          </w:tcPr>
          <w:p w14:paraId="479884AC"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0,075</w:t>
            </w:r>
          </w:p>
        </w:tc>
      </w:tr>
      <w:tr w:rsidR="00534A2D" w14:paraId="2E578CB8" w14:textId="77777777" w:rsidTr="00E571F5">
        <w:trPr>
          <w:jc w:val="center"/>
        </w:trPr>
        <w:tc>
          <w:tcPr>
            <w:tcW w:w="2654" w:type="dxa"/>
            <w:tcBorders>
              <w:top w:val="single" w:sz="6" w:space="0" w:color="000000"/>
              <w:left w:val="single" w:sz="6" w:space="0" w:color="000000"/>
              <w:bottom w:val="single" w:sz="6" w:space="0" w:color="000000"/>
              <w:right w:val="single" w:sz="6" w:space="0" w:color="000000"/>
            </w:tcBorders>
            <w:vAlign w:val="bottom"/>
          </w:tcPr>
          <w:p w14:paraId="7F01123C" w14:textId="77777777" w:rsidR="003A54E9" w:rsidRPr="001B4A02" w:rsidRDefault="00000000" w:rsidP="00E571F5">
            <w:pPr>
              <w:keepNext/>
              <w:keepLines/>
              <w:tabs>
                <w:tab w:val="left" w:pos="-1080"/>
              </w:tabs>
              <w:autoSpaceDE w:val="0"/>
              <w:autoSpaceDN w:val="0"/>
              <w:adjustRightInd w:val="0"/>
              <w:ind w:left="0" w:firstLine="0"/>
              <w:rPr>
                <w:bCs/>
                <w:szCs w:val="22"/>
              </w:rPr>
            </w:pPr>
            <w:r w:rsidRPr="001B4A02">
              <w:rPr>
                <w:bCs/>
                <w:szCs w:val="22"/>
              </w:rPr>
              <w:t>Klinická odpověď</w:t>
            </w:r>
          </w:p>
        </w:tc>
        <w:tc>
          <w:tcPr>
            <w:tcW w:w="2450" w:type="dxa"/>
            <w:tcBorders>
              <w:top w:val="single" w:sz="6" w:space="0" w:color="000000"/>
              <w:left w:val="single" w:sz="6" w:space="0" w:color="000000"/>
              <w:bottom w:val="single" w:sz="6" w:space="0" w:color="000000"/>
              <w:right w:val="single" w:sz="6" w:space="0" w:color="000000"/>
            </w:tcBorders>
          </w:tcPr>
          <w:p w14:paraId="67259389"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59,1</w:t>
            </w:r>
            <w:r>
              <w:rPr>
                <w:szCs w:val="22"/>
              </w:rPr>
              <w:t> %</w:t>
            </w:r>
          </w:p>
        </w:tc>
        <w:tc>
          <w:tcPr>
            <w:tcW w:w="2409" w:type="dxa"/>
            <w:tcBorders>
              <w:top w:val="single" w:sz="6" w:space="0" w:color="000000"/>
              <w:left w:val="single" w:sz="6" w:space="0" w:color="000000"/>
              <w:bottom w:val="single" w:sz="6" w:space="0" w:color="000000"/>
              <w:right w:val="single" w:sz="6" w:space="0" w:color="000000"/>
            </w:tcBorders>
          </w:tcPr>
          <w:p w14:paraId="2799E5D5"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48,4</w:t>
            </w:r>
            <w:r>
              <w:rPr>
                <w:szCs w:val="22"/>
              </w:rPr>
              <w:t> %</w:t>
            </w:r>
          </w:p>
        </w:tc>
        <w:tc>
          <w:tcPr>
            <w:tcW w:w="1420" w:type="dxa"/>
            <w:tcBorders>
              <w:top w:val="single" w:sz="6" w:space="0" w:color="000000"/>
              <w:left w:val="single" w:sz="6" w:space="0" w:color="000000"/>
              <w:bottom w:val="single" w:sz="6" w:space="0" w:color="000000"/>
              <w:right w:val="single" w:sz="6" w:space="0" w:color="000000"/>
            </w:tcBorders>
            <w:vAlign w:val="bottom"/>
          </w:tcPr>
          <w:p w14:paraId="5612E7E8"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0,073</w:t>
            </w:r>
          </w:p>
        </w:tc>
      </w:tr>
      <w:tr w:rsidR="00534A2D" w14:paraId="20A07FFA" w14:textId="77777777" w:rsidTr="00E571F5">
        <w:trPr>
          <w:jc w:val="center"/>
        </w:trPr>
        <w:tc>
          <w:tcPr>
            <w:tcW w:w="2654" w:type="dxa"/>
            <w:tcBorders>
              <w:top w:val="single" w:sz="6" w:space="0" w:color="000000"/>
              <w:left w:val="single" w:sz="6" w:space="0" w:color="000000"/>
              <w:bottom w:val="single" w:sz="6" w:space="0" w:color="000000"/>
              <w:right w:val="single" w:sz="6" w:space="0" w:color="000000"/>
            </w:tcBorders>
            <w:vAlign w:val="bottom"/>
          </w:tcPr>
          <w:p w14:paraId="6FBE35B9" w14:textId="77777777" w:rsidR="003A54E9" w:rsidRPr="001B4A02" w:rsidRDefault="00000000" w:rsidP="00E571F5">
            <w:pPr>
              <w:keepNext/>
              <w:keepLines/>
              <w:tabs>
                <w:tab w:val="left" w:pos="-1080"/>
              </w:tabs>
              <w:autoSpaceDE w:val="0"/>
              <w:autoSpaceDN w:val="0"/>
              <w:adjustRightInd w:val="0"/>
              <w:ind w:left="0" w:firstLine="0"/>
              <w:rPr>
                <w:b/>
                <w:szCs w:val="22"/>
              </w:rPr>
            </w:pPr>
            <w:r w:rsidRPr="001B4A02">
              <w:rPr>
                <w:b/>
                <w:szCs w:val="22"/>
              </w:rPr>
              <w:t>Týden 52</w:t>
            </w:r>
          </w:p>
        </w:tc>
        <w:tc>
          <w:tcPr>
            <w:tcW w:w="2450" w:type="dxa"/>
            <w:tcBorders>
              <w:top w:val="single" w:sz="6" w:space="0" w:color="000000"/>
              <w:left w:val="single" w:sz="6" w:space="0" w:color="000000"/>
              <w:bottom w:val="single" w:sz="6" w:space="0" w:color="000000"/>
              <w:right w:val="single" w:sz="6" w:space="0" w:color="000000"/>
            </w:tcBorders>
            <w:vAlign w:val="bottom"/>
          </w:tcPr>
          <w:p w14:paraId="6F1FF3F7" w14:textId="77777777" w:rsidR="003A54E9" w:rsidRPr="001B4A02" w:rsidRDefault="003A54E9" w:rsidP="00E571F5">
            <w:pPr>
              <w:keepNext/>
              <w:keepLines/>
              <w:tabs>
                <w:tab w:val="left" w:pos="-1080"/>
              </w:tabs>
              <w:autoSpaceDE w:val="0"/>
              <w:autoSpaceDN w:val="0"/>
              <w:adjustRightInd w:val="0"/>
              <w:ind w:left="0" w:firstLine="0"/>
              <w:jc w:val="center"/>
              <w:rPr>
                <w:b/>
                <w:szCs w:val="22"/>
              </w:rPr>
            </w:pPr>
          </w:p>
        </w:tc>
        <w:tc>
          <w:tcPr>
            <w:tcW w:w="2409" w:type="dxa"/>
            <w:tcBorders>
              <w:top w:val="single" w:sz="6" w:space="0" w:color="000000"/>
              <w:left w:val="single" w:sz="6" w:space="0" w:color="000000"/>
              <w:bottom w:val="single" w:sz="6" w:space="0" w:color="000000"/>
              <w:right w:val="single" w:sz="6" w:space="0" w:color="000000"/>
            </w:tcBorders>
            <w:vAlign w:val="bottom"/>
          </w:tcPr>
          <w:p w14:paraId="37DF2B04" w14:textId="77777777" w:rsidR="003A54E9" w:rsidRPr="001B4A02" w:rsidRDefault="003A54E9" w:rsidP="00E571F5">
            <w:pPr>
              <w:keepNext/>
              <w:keepLines/>
              <w:tabs>
                <w:tab w:val="left" w:pos="-1080"/>
              </w:tabs>
              <w:autoSpaceDE w:val="0"/>
              <w:autoSpaceDN w:val="0"/>
              <w:adjustRightInd w:val="0"/>
              <w:ind w:left="0" w:firstLine="0"/>
              <w:jc w:val="center"/>
              <w:rPr>
                <w:b/>
                <w:szCs w:val="22"/>
              </w:rPr>
            </w:pPr>
          </w:p>
        </w:tc>
        <w:tc>
          <w:tcPr>
            <w:tcW w:w="1420" w:type="dxa"/>
            <w:tcBorders>
              <w:top w:val="single" w:sz="6" w:space="0" w:color="000000"/>
              <w:left w:val="single" w:sz="6" w:space="0" w:color="000000"/>
              <w:bottom w:val="single" w:sz="6" w:space="0" w:color="000000"/>
              <w:right w:val="single" w:sz="6" w:space="0" w:color="000000"/>
            </w:tcBorders>
            <w:vAlign w:val="bottom"/>
          </w:tcPr>
          <w:p w14:paraId="0781FBAB" w14:textId="77777777" w:rsidR="003A54E9" w:rsidRPr="001B4A02" w:rsidRDefault="003A54E9" w:rsidP="00E571F5">
            <w:pPr>
              <w:keepNext/>
              <w:autoSpaceDE w:val="0"/>
              <w:autoSpaceDN w:val="0"/>
              <w:adjustRightInd w:val="0"/>
              <w:ind w:left="0" w:firstLine="0"/>
              <w:jc w:val="center"/>
              <w:rPr>
                <w:b/>
                <w:szCs w:val="22"/>
              </w:rPr>
            </w:pPr>
          </w:p>
        </w:tc>
      </w:tr>
      <w:tr w:rsidR="00534A2D" w14:paraId="28E012ED" w14:textId="77777777" w:rsidTr="00E571F5">
        <w:trPr>
          <w:jc w:val="center"/>
        </w:trPr>
        <w:tc>
          <w:tcPr>
            <w:tcW w:w="2654" w:type="dxa"/>
            <w:tcBorders>
              <w:top w:val="single" w:sz="6" w:space="0" w:color="000000"/>
              <w:left w:val="single" w:sz="6" w:space="0" w:color="000000"/>
              <w:bottom w:val="single" w:sz="6" w:space="0" w:color="000000"/>
              <w:right w:val="single" w:sz="6" w:space="0" w:color="000000"/>
            </w:tcBorders>
            <w:vAlign w:val="bottom"/>
          </w:tcPr>
          <w:p w14:paraId="485A5DC8" w14:textId="77777777" w:rsidR="003A54E9" w:rsidRPr="001B4A02" w:rsidRDefault="00000000" w:rsidP="00E571F5">
            <w:pPr>
              <w:keepNext/>
              <w:keepLines/>
              <w:tabs>
                <w:tab w:val="left" w:pos="-1080"/>
              </w:tabs>
              <w:autoSpaceDE w:val="0"/>
              <w:autoSpaceDN w:val="0"/>
              <w:adjustRightInd w:val="0"/>
              <w:ind w:left="0" w:firstLine="0"/>
              <w:rPr>
                <w:bCs/>
                <w:szCs w:val="22"/>
              </w:rPr>
            </w:pPr>
            <w:r w:rsidRPr="001B4A02">
              <w:rPr>
                <w:bCs/>
                <w:szCs w:val="22"/>
              </w:rPr>
              <w:t>Klinická remise</w:t>
            </w:r>
          </w:p>
        </w:tc>
        <w:tc>
          <w:tcPr>
            <w:tcW w:w="2450" w:type="dxa"/>
            <w:tcBorders>
              <w:top w:val="single" w:sz="6" w:space="0" w:color="000000"/>
              <w:left w:val="single" w:sz="6" w:space="0" w:color="000000"/>
              <w:bottom w:val="single" w:sz="6" w:space="0" w:color="000000"/>
              <w:right w:val="single" w:sz="6" w:space="0" w:color="000000"/>
            </w:tcBorders>
          </w:tcPr>
          <w:p w14:paraId="4DCC91D4"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33,3</w:t>
            </w:r>
            <w:r>
              <w:rPr>
                <w:szCs w:val="22"/>
              </w:rPr>
              <w:t> %</w:t>
            </w:r>
          </w:p>
        </w:tc>
        <w:tc>
          <w:tcPr>
            <w:tcW w:w="2409" w:type="dxa"/>
            <w:tcBorders>
              <w:top w:val="single" w:sz="6" w:space="0" w:color="000000"/>
              <w:left w:val="single" w:sz="6" w:space="0" w:color="000000"/>
              <w:bottom w:val="single" w:sz="6" w:space="0" w:color="000000"/>
              <w:right w:val="single" w:sz="6" w:space="0" w:color="000000"/>
            </w:tcBorders>
          </w:tcPr>
          <w:p w14:paraId="3C03597E"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23,2</w:t>
            </w:r>
            <w:r>
              <w:rPr>
                <w:szCs w:val="22"/>
              </w:rPr>
              <w:t> %</w:t>
            </w:r>
          </w:p>
        </w:tc>
        <w:tc>
          <w:tcPr>
            <w:tcW w:w="1420" w:type="dxa"/>
            <w:tcBorders>
              <w:top w:val="single" w:sz="6" w:space="0" w:color="000000"/>
              <w:left w:val="single" w:sz="6" w:space="0" w:color="000000"/>
              <w:bottom w:val="single" w:sz="6" w:space="0" w:color="000000"/>
              <w:right w:val="single" w:sz="6" w:space="0" w:color="000000"/>
            </w:tcBorders>
          </w:tcPr>
          <w:p w14:paraId="678D0AB1"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0,100</w:t>
            </w:r>
          </w:p>
        </w:tc>
      </w:tr>
      <w:tr w:rsidR="00534A2D" w14:paraId="2842EB74" w14:textId="77777777" w:rsidTr="00E571F5">
        <w:trPr>
          <w:jc w:val="center"/>
        </w:trPr>
        <w:tc>
          <w:tcPr>
            <w:tcW w:w="2654" w:type="dxa"/>
            <w:tcBorders>
              <w:top w:val="single" w:sz="6" w:space="0" w:color="000000"/>
              <w:left w:val="single" w:sz="6" w:space="0" w:color="000000"/>
              <w:bottom w:val="single" w:sz="6" w:space="0" w:color="000000"/>
              <w:right w:val="single" w:sz="6" w:space="0" w:color="000000"/>
            </w:tcBorders>
            <w:vAlign w:val="bottom"/>
          </w:tcPr>
          <w:p w14:paraId="3742D3C8" w14:textId="77777777" w:rsidR="003A54E9" w:rsidRPr="001B4A02" w:rsidRDefault="00000000" w:rsidP="00E571F5">
            <w:pPr>
              <w:keepNext/>
              <w:keepLines/>
              <w:tabs>
                <w:tab w:val="left" w:pos="-1080"/>
              </w:tabs>
              <w:autoSpaceDE w:val="0"/>
              <w:autoSpaceDN w:val="0"/>
              <w:adjustRightInd w:val="0"/>
              <w:ind w:left="0" w:firstLine="0"/>
              <w:rPr>
                <w:b/>
                <w:bCs/>
                <w:szCs w:val="22"/>
              </w:rPr>
            </w:pPr>
            <w:r w:rsidRPr="001B4A02">
              <w:rPr>
                <w:bCs/>
                <w:szCs w:val="22"/>
              </w:rPr>
              <w:t>Klinická odpověď</w:t>
            </w:r>
          </w:p>
        </w:tc>
        <w:tc>
          <w:tcPr>
            <w:tcW w:w="2450" w:type="dxa"/>
            <w:tcBorders>
              <w:top w:val="single" w:sz="6" w:space="0" w:color="000000"/>
              <w:left w:val="single" w:sz="6" w:space="0" w:color="000000"/>
              <w:bottom w:val="single" w:sz="6" w:space="0" w:color="000000"/>
              <w:right w:val="single" w:sz="6" w:space="0" w:color="000000"/>
            </w:tcBorders>
          </w:tcPr>
          <w:p w14:paraId="19C376A7"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41,9</w:t>
            </w:r>
            <w:r>
              <w:rPr>
                <w:szCs w:val="22"/>
              </w:rPr>
              <w:t> %</w:t>
            </w:r>
          </w:p>
        </w:tc>
        <w:tc>
          <w:tcPr>
            <w:tcW w:w="2409" w:type="dxa"/>
            <w:tcBorders>
              <w:top w:val="single" w:sz="6" w:space="0" w:color="000000"/>
              <w:left w:val="single" w:sz="6" w:space="0" w:color="000000"/>
              <w:bottom w:val="single" w:sz="6" w:space="0" w:color="000000"/>
              <w:right w:val="single" w:sz="6" w:space="0" w:color="000000"/>
            </w:tcBorders>
          </w:tcPr>
          <w:p w14:paraId="7AAB93B8"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28,4</w:t>
            </w:r>
            <w:r>
              <w:rPr>
                <w:szCs w:val="22"/>
              </w:rPr>
              <w:t> %</w:t>
            </w:r>
          </w:p>
        </w:tc>
        <w:tc>
          <w:tcPr>
            <w:tcW w:w="1420" w:type="dxa"/>
            <w:tcBorders>
              <w:top w:val="single" w:sz="6" w:space="0" w:color="000000"/>
              <w:left w:val="single" w:sz="6" w:space="0" w:color="000000"/>
              <w:bottom w:val="single" w:sz="6" w:space="0" w:color="000000"/>
              <w:right w:val="single" w:sz="6" w:space="0" w:color="000000"/>
            </w:tcBorders>
          </w:tcPr>
          <w:p w14:paraId="234EFCBF"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0,038</w:t>
            </w:r>
          </w:p>
        </w:tc>
      </w:tr>
      <w:tr w:rsidR="00534A2D" w14:paraId="46F72F06" w14:textId="77777777" w:rsidTr="00E571F5">
        <w:trPr>
          <w:jc w:val="center"/>
        </w:trPr>
        <w:tc>
          <w:tcPr>
            <w:tcW w:w="8933" w:type="dxa"/>
            <w:gridSpan w:val="4"/>
            <w:tcBorders>
              <w:top w:val="single" w:sz="6" w:space="0" w:color="000000"/>
              <w:left w:val="single" w:sz="6" w:space="0" w:color="000000"/>
              <w:bottom w:val="single" w:sz="6" w:space="0" w:color="000000"/>
              <w:right w:val="single" w:sz="6" w:space="0" w:color="000000"/>
            </w:tcBorders>
          </w:tcPr>
          <w:p w14:paraId="2A4F803B" w14:textId="77777777" w:rsidR="003A54E9" w:rsidRPr="001B4A02" w:rsidRDefault="00000000" w:rsidP="00E571F5">
            <w:pPr>
              <w:keepNext/>
              <w:keepLines/>
              <w:tabs>
                <w:tab w:val="left" w:pos="-1080"/>
              </w:tabs>
              <w:autoSpaceDE w:val="0"/>
              <w:autoSpaceDN w:val="0"/>
              <w:adjustRightInd w:val="0"/>
              <w:ind w:left="0" w:firstLine="0"/>
              <w:rPr>
                <w:sz w:val="20"/>
              </w:rPr>
            </w:pPr>
            <w:r w:rsidRPr="001B4A02">
              <w:rPr>
                <w:sz w:val="20"/>
              </w:rPr>
              <w:t>* p hodnota pro standardní dávku v porovnání se sníženou dávkou</w:t>
            </w:r>
          </w:p>
        </w:tc>
      </w:tr>
    </w:tbl>
    <w:p w14:paraId="13D3DFFC" w14:textId="77777777" w:rsidR="003A54E9" w:rsidRPr="001B4A02" w:rsidRDefault="003A54E9" w:rsidP="003A54E9"/>
    <w:tbl>
      <w:tblPr>
        <w:tblW w:w="9300" w:type="dxa"/>
        <w:jc w:val="center"/>
        <w:tblCellMar>
          <w:left w:w="0" w:type="dxa"/>
          <w:right w:w="0" w:type="dxa"/>
        </w:tblCellMar>
        <w:tblLook w:val="00A0" w:firstRow="1" w:lastRow="0" w:firstColumn="1" w:lastColumn="0" w:noHBand="0" w:noVBand="0"/>
      </w:tblPr>
      <w:tblGrid>
        <w:gridCol w:w="3234"/>
        <w:gridCol w:w="2447"/>
        <w:gridCol w:w="2231"/>
        <w:gridCol w:w="1388"/>
      </w:tblGrid>
      <w:tr w:rsidR="00534A2D" w14:paraId="5FFC239D" w14:textId="77777777" w:rsidTr="00E571F5">
        <w:trPr>
          <w:jc w:val="center"/>
        </w:trPr>
        <w:tc>
          <w:tcPr>
            <w:tcW w:w="9300" w:type="dxa"/>
            <w:gridSpan w:val="4"/>
            <w:tcBorders>
              <w:top w:val="single" w:sz="6" w:space="0" w:color="000000"/>
              <w:left w:val="single" w:sz="6" w:space="0" w:color="000000"/>
              <w:bottom w:val="single" w:sz="6" w:space="0" w:color="000000"/>
              <w:right w:val="single" w:sz="6" w:space="0" w:color="000000"/>
            </w:tcBorders>
          </w:tcPr>
          <w:p w14:paraId="4244821D" w14:textId="77777777" w:rsidR="003A54E9" w:rsidRPr="001B4A02" w:rsidRDefault="00000000" w:rsidP="00E571F5">
            <w:pPr>
              <w:keepNext/>
              <w:tabs>
                <w:tab w:val="left" w:pos="-878"/>
              </w:tabs>
              <w:autoSpaceDE w:val="0"/>
              <w:autoSpaceDN w:val="0"/>
              <w:adjustRightInd w:val="0"/>
              <w:jc w:val="center"/>
              <w:rPr>
                <w:b/>
                <w:bCs/>
                <w:szCs w:val="22"/>
              </w:rPr>
            </w:pPr>
            <w:r w:rsidRPr="001B4A02">
              <w:rPr>
                <w:b/>
                <w:bCs/>
                <w:szCs w:val="22"/>
              </w:rPr>
              <w:t xml:space="preserve">Tabulka </w:t>
            </w:r>
            <w:r w:rsidR="002A0AEB">
              <w:rPr>
                <w:b/>
                <w:bCs/>
                <w:szCs w:val="22"/>
              </w:rPr>
              <w:t>30</w:t>
            </w:r>
          </w:p>
          <w:p w14:paraId="59407BE2" w14:textId="77777777" w:rsidR="003A54E9" w:rsidRPr="001B4A02" w:rsidRDefault="00000000" w:rsidP="00E571F5">
            <w:pPr>
              <w:keepNext/>
              <w:tabs>
                <w:tab w:val="left" w:pos="-878"/>
              </w:tabs>
              <w:autoSpaceDE w:val="0"/>
              <w:autoSpaceDN w:val="0"/>
              <w:adjustRightInd w:val="0"/>
              <w:jc w:val="center"/>
              <w:rPr>
                <w:b/>
                <w:bCs/>
                <w:szCs w:val="22"/>
              </w:rPr>
            </w:pPr>
            <w:r w:rsidRPr="001B4A02">
              <w:rPr>
                <w:b/>
                <w:bCs/>
                <w:szCs w:val="22"/>
              </w:rPr>
              <w:t>Studie u pediatrických pacientů s Crohnovou chorobou</w:t>
            </w:r>
          </w:p>
          <w:p w14:paraId="19DD75C7" w14:textId="77777777" w:rsidR="003A54E9" w:rsidRPr="001B4A02" w:rsidRDefault="00000000" w:rsidP="00E571F5">
            <w:pPr>
              <w:keepNext/>
              <w:tabs>
                <w:tab w:val="left" w:pos="-878"/>
              </w:tabs>
              <w:autoSpaceDE w:val="0"/>
              <w:autoSpaceDN w:val="0"/>
              <w:adjustRightInd w:val="0"/>
              <w:jc w:val="center"/>
              <w:rPr>
                <w:b/>
                <w:bCs/>
                <w:szCs w:val="22"/>
              </w:rPr>
            </w:pPr>
            <w:r w:rsidRPr="001B4A02">
              <w:rPr>
                <w:b/>
                <w:bCs/>
                <w:szCs w:val="22"/>
              </w:rPr>
              <w:t>Vysazení kortikosteroidů nebo imunomodulátorů</w:t>
            </w:r>
            <w:r w:rsidR="002378E0">
              <w:rPr>
                <w:b/>
                <w:bCs/>
                <w:szCs w:val="22"/>
              </w:rPr>
              <w:t xml:space="preserve"> a </w:t>
            </w:r>
            <w:r w:rsidRPr="001B4A02">
              <w:rPr>
                <w:b/>
                <w:bCs/>
                <w:szCs w:val="22"/>
              </w:rPr>
              <w:t>remise píštělí</w:t>
            </w:r>
          </w:p>
        </w:tc>
      </w:tr>
      <w:tr w:rsidR="00534A2D" w14:paraId="4F1E9519"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tcPr>
          <w:p w14:paraId="66EF3372" w14:textId="77777777" w:rsidR="003A54E9" w:rsidRPr="001B4A02" w:rsidRDefault="003A54E9" w:rsidP="00E571F5">
            <w:pPr>
              <w:keepNext/>
              <w:keepLines/>
              <w:tabs>
                <w:tab w:val="left" w:pos="-1080"/>
              </w:tabs>
              <w:autoSpaceDE w:val="0"/>
              <w:autoSpaceDN w:val="0"/>
              <w:adjustRightInd w:val="0"/>
              <w:jc w:val="center"/>
              <w:rPr>
                <w:b/>
                <w:bCs/>
                <w:szCs w:val="22"/>
              </w:rPr>
            </w:pPr>
          </w:p>
        </w:tc>
        <w:tc>
          <w:tcPr>
            <w:tcW w:w="2447" w:type="dxa"/>
            <w:tcBorders>
              <w:top w:val="single" w:sz="6" w:space="0" w:color="000000"/>
              <w:left w:val="single" w:sz="6" w:space="0" w:color="000000"/>
              <w:bottom w:val="single" w:sz="6" w:space="0" w:color="000000"/>
              <w:right w:val="single" w:sz="6" w:space="0" w:color="000000"/>
            </w:tcBorders>
          </w:tcPr>
          <w:p w14:paraId="01958E76"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Standardní dávka</w:t>
            </w:r>
          </w:p>
          <w:p w14:paraId="6186E383"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40/20</w:t>
            </w:r>
            <w:r w:rsidR="00F365E7" w:rsidRPr="00005EC2">
              <w:rPr>
                <w:szCs w:val="22"/>
              </w:rPr>
              <w:t> </w:t>
            </w:r>
            <w:r w:rsidRPr="001B4A02">
              <w:rPr>
                <w:b/>
                <w:bCs/>
                <w:szCs w:val="22"/>
              </w:rPr>
              <w:t>mg</w:t>
            </w:r>
          </w:p>
          <w:p w14:paraId="0ED2FD99"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každý druhý týden</w:t>
            </w:r>
          </w:p>
        </w:tc>
        <w:tc>
          <w:tcPr>
            <w:tcW w:w="2231" w:type="dxa"/>
            <w:tcBorders>
              <w:top w:val="single" w:sz="6" w:space="0" w:color="000000"/>
              <w:left w:val="single" w:sz="6" w:space="0" w:color="000000"/>
              <w:bottom w:val="single" w:sz="6" w:space="0" w:color="000000"/>
              <w:right w:val="single" w:sz="6" w:space="0" w:color="000000"/>
            </w:tcBorders>
          </w:tcPr>
          <w:p w14:paraId="4F578FD4"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Snížená dávka</w:t>
            </w:r>
          </w:p>
          <w:p w14:paraId="6D358929"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20/10</w:t>
            </w:r>
            <w:r w:rsidR="00F365E7" w:rsidRPr="00005EC2">
              <w:rPr>
                <w:szCs w:val="22"/>
              </w:rPr>
              <w:t> </w:t>
            </w:r>
            <w:r w:rsidRPr="001B4A02">
              <w:rPr>
                <w:b/>
                <w:bCs/>
                <w:szCs w:val="22"/>
              </w:rPr>
              <w:t>mg</w:t>
            </w:r>
          </w:p>
          <w:p w14:paraId="39DBDF3C"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každý druhý týden</w:t>
            </w:r>
          </w:p>
        </w:tc>
        <w:tc>
          <w:tcPr>
            <w:tcW w:w="1388" w:type="dxa"/>
            <w:tcBorders>
              <w:top w:val="single" w:sz="6" w:space="0" w:color="000000"/>
              <w:left w:val="single" w:sz="6" w:space="0" w:color="000000"/>
              <w:bottom w:val="single" w:sz="6" w:space="0" w:color="000000"/>
              <w:right w:val="single" w:sz="6" w:space="0" w:color="000000"/>
            </w:tcBorders>
          </w:tcPr>
          <w:p w14:paraId="430FC5A8" w14:textId="77777777" w:rsidR="003A54E9"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P hodnota</w:t>
            </w:r>
            <w:r w:rsidRPr="001B4A02">
              <w:rPr>
                <w:b/>
                <w:bCs/>
                <w:szCs w:val="22"/>
                <w:vertAlign w:val="superscript"/>
              </w:rPr>
              <w:t>1</w:t>
            </w:r>
          </w:p>
        </w:tc>
      </w:tr>
      <w:tr w:rsidR="00534A2D" w14:paraId="7600A710"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vAlign w:val="bottom"/>
          </w:tcPr>
          <w:p w14:paraId="634ABC77" w14:textId="77777777" w:rsidR="003A54E9" w:rsidRPr="001B4A02" w:rsidRDefault="00000000" w:rsidP="00E571F5">
            <w:pPr>
              <w:keepNext/>
              <w:keepLines/>
              <w:tabs>
                <w:tab w:val="left" w:pos="-1080"/>
              </w:tabs>
              <w:autoSpaceDE w:val="0"/>
              <w:autoSpaceDN w:val="0"/>
              <w:adjustRightInd w:val="0"/>
              <w:rPr>
                <w:b/>
                <w:szCs w:val="22"/>
              </w:rPr>
            </w:pPr>
            <w:r w:rsidRPr="001B4A02">
              <w:rPr>
                <w:b/>
                <w:szCs w:val="22"/>
              </w:rPr>
              <w:t>Vysazení kortikosteroidů</w:t>
            </w:r>
          </w:p>
        </w:tc>
        <w:tc>
          <w:tcPr>
            <w:tcW w:w="2447" w:type="dxa"/>
            <w:tcBorders>
              <w:top w:val="single" w:sz="6" w:space="0" w:color="000000"/>
              <w:left w:val="single" w:sz="6" w:space="0" w:color="000000"/>
              <w:bottom w:val="single" w:sz="6" w:space="0" w:color="000000"/>
              <w:right w:val="single" w:sz="6" w:space="0" w:color="000000"/>
            </w:tcBorders>
            <w:vAlign w:val="bottom"/>
          </w:tcPr>
          <w:p w14:paraId="452D2002" w14:textId="77777777" w:rsidR="003A54E9" w:rsidRPr="001B4A02" w:rsidRDefault="00000000" w:rsidP="00E571F5">
            <w:pPr>
              <w:keepNext/>
              <w:keepLines/>
              <w:tabs>
                <w:tab w:val="left" w:pos="-1080"/>
              </w:tabs>
              <w:autoSpaceDE w:val="0"/>
              <w:autoSpaceDN w:val="0"/>
              <w:adjustRightInd w:val="0"/>
              <w:ind w:left="0" w:firstLine="0"/>
              <w:jc w:val="center"/>
              <w:rPr>
                <w:b/>
                <w:szCs w:val="22"/>
              </w:rPr>
            </w:pPr>
            <w:r>
              <w:rPr>
                <w:b/>
                <w:szCs w:val="22"/>
              </w:rPr>
              <w:t>n</w:t>
            </w:r>
            <w:r w:rsidRPr="001B4A02">
              <w:rPr>
                <w:b/>
                <w:szCs w:val="22"/>
              </w:rPr>
              <w:t>=33</w:t>
            </w:r>
          </w:p>
        </w:tc>
        <w:tc>
          <w:tcPr>
            <w:tcW w:w="2231" w:type="dxa"/>
            <w:tcBorders>
              <w:top w:val="single" w:sz="6" w:space="0" w:color="000000"/>
              <w:left w:val="single" w:sz="6" w:space="0" w:color="000000"/>
              <w:bottom w:val="single" w:sz="6" w:space="0" w:color="000000"/>
              <w:right w:val="single" w:sz="6" w:space="0" w:color="000000"/>
            </w:tcBorders>
            <w:vAlign w:val="bottom"/>
          </w:tcPr>
          <w:p w14:paraId="6F31D373" w14:textId="77777777" w:rsidR="003A54E9" w:rsidRPr="001B4A02" w:rsidRDefault="00000000" w:rsidP="00E571F5">
            <w:pPr>
              <w:keepNext/>
              <w:keepLines/>
              <w:tabs>
                <w:tab w:val="left" w:pos="-1080"/>
              </w:tabs>
              <w:autoSpaceDE w:val="0"/>
              <w:autoSpaceDN w:val="0"/>
              <w:adjustRightInd w:val="0"/>
              <w:ind w:left="0" w:firstLine="0"/>
              <w:jc w:val="center"/>
              <w:rPr>
                <w:b/>
                <w:szCs w:val="22"/>
              </w:rPr>
            </w:pPr>
            <w:r>
              <w:rPr>
                <w:b/>
                <w:szCs w:val="22"/>
              </w:rPr>
              <w:t>n</w:t>
            </w:r>
            <w:r w:rsidRPr="001B4A02">
              <w:rPr>
                <w:b/>
                <w:szCs w:val="22"/>
              </w:rPr>
              <w:t>=38</w:t>
            </w:r>
          </w:p>
        </w:tc>
        <w:tc>
          <w:tcPr>
            <w:tcW w:w="1388" w:type="dxa"/>
            <w:tcBorders>
              <w:top w:val="single" w:sz="6" w:space="0" w:color="000000"/>
              <w:left w:val="single" w:sz="6" w:space="0" w:color="000000"/>
              <w:bottom w:val="single" w:sz="6" w:space="0" w:color="000000"/>
              <w:right w:val="single" w:sz="6" w:space="0" w:color="000000"/>
            </w:tcBorders>
            <w:vAlign w:val="bottom"/>
          </w:tcPr>
          <w:p w14:paraId="6589E41A" w14:textId="77777777" w:rsidR="003A54E9" w:rsidRPr="001B4A02" w:rsidRDefault="003A54E9" w:rsidP="00E571F5">
            <w:pPr>
              <w:keepNext/>
              <w:autoSpaceDE w:val="0"/>
              <w:autoSpaceDN w:val="0"/>
              <w:adjustRightInd w:val="0"/>
              <w:ind w:left="0" w:firstLine="0"/>
              <w:jc w:val="center"/>
              <w:rPr>
                <w:b/>
                <w:szCs w:val="22"/>
              </w:rPr>
            </w:pPr>
          </w:p>
        </w:tc>
      </w:tr>
      <w:tr w:rsidR="00534A2D" w14:paraId="5CBF4B08"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vAlign w:val="bottom"/>
          </w:tcPr>
          <w:p w14:paraId="1216070D" w14:textId="77777777" w:rsidR="003A54E9" w:rsidRPr="001B4A02" w:rsidRDefault="00000000" w:rsidP="00E571F5">
            <w:pPr>
              <w:keepNext/>
              <w:keepLines/>
              <w:tabs>
                <w:tab w:val="left" w:pos="-1080"/>
              </w:tabs>
              <w:autoSpaceDE w:val="0"/>
              <w:autoSpaceDN w:val="0"/>
              <w:adjustRightInd w:val="0"/>
              <w:rPr>
                <w:bCs/>
                <w:szCs w:val="22"/>
              </w:rPr>
            </w:pPr>
            <w:r w:rsidRPr="001B4A02">
              <w:rPr>
                <w:bCs/>
                <w:szCs w:val="22"/>
              </w:rPr>
              <w:t>Týden 26</w:t>
            </w:r>
          </w:p>
        </w:tc>
        <w:tc>
          <w:tcPr>
            <w:tcW w:w="2447" w:type="dxa"/>
            <w:tcBorders>
              <w:top w:val="single" w:sz="6" w:space="0" w:color="000000"/>
              <w:left w:val="single" w:sz="6" w:space="0" w:color="000000"/>
              <w:bottom w:val="single" w:sz="6" w:space="0" w:color="000000"/>
              <w:right w:val="single" w:sz="6" w:space="0" w:color="000000"/>
            </w:tcBorders>
            <w:vAlign w:val="bottom"/>
          </w:tcPr>
          <w:p w14:paraId="72194979"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84,8</w:t>
            </w:r>
            <w:r>
              <w:rPr>
                <w:szCs w:val="22"/>
              </w:rPr>
              <w:t> %</w:t>
            </w:r>
          </w:p>
        </w:tc>
        <w:tc>
          <w:tcPr>
            <w:tcW w:w="2231" w:type="dxa"/>
            <w:tcBorders>
              <w:top w:val="single" w:sz="6" w:space="0" w:color="000000"/>
              <w:left w:val="single" w:sz="6" w:space="0" w:color="000000"/>
              <w:bottom w:val="single" w:sz="6" w:space="0" w:color="000000"/>
              <w:right w:val="single" w:sz="6" w:space="0" w:color="000000"/>
            </w:tcBorders>
            <w:vAlign w:val="bottom"/>
          </w:tcPr>
          <w:p w14:paraId="4F24994C"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65,8</w:t>
            </w:r>
            <w:r>
              <w:rPr>
                <w:szCs w:val="22"/>
              </w:rPr>
              <w:t> %</w:t>
            </w:r>
          </w:p>
        </w:tc>
        <w:tc>
          <w:tcPr>
            <w:tcW w:w="1388" w:type="dxa"/>
            <w:tcBorders>
              <w:top w:val="single" w:sz="6" w:space="0" w:color="000000"/>
              <w:left w:val="single" w:sz="6" w:space="0" w:color="000000"/>
              <w:bottom w:val="single" w:sz="6" w:space="0" w:color="000000"/>
              <w:right w:val="single" w:sz="6" w:space="0" w:color="000000"/>
            </w:tcBorders>
            <w:vAlign w:val="bottom"/>
          </w:tcPr>
          <w:p w14:paraId="4A19D9A4"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0,066</w:t>
            </w:r>
          </w:p>
        </w:tc>
      </w:tr>
      <w:tr w:rsidR="00534A2D" w14:paraId="04DD144F"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vAlign w:val="bottom"/>
          </w:tcPr>
          <w:p w14:paraId="31AE65AC" w14:textId="77777777" w:rsidR="003A54E9" w:rsidRPr="001B4A02" w:rsidRDefault="00000000" w:rsidP="00E571F5">
            <w:pPr>
              <w:keepNext/>
              <w:keepLines/>
              <w:tabs>
                <w:tab w:val="left" w:pos="-1080"/>
              </w:tabs>
              <w:autoSpaceDE w:val="0"/>
              <w:autoSpaceDN w:val="0"/>
              <w:adjustRightInd w:val="0"/>
              <w:rPr>
                <w:bCs/>
                <w:szCs w:val="22"/>
              </w:rPr>
            </w:pPr>
            <w:r w:rsidRPr="001B4A02">
              <w:rPr>
                <w:bCs/>
                <w:szCs w:val="22"/>
              </w:rPr>
              <w:t>Týden 52</w:t>
            </w:r>
          </w:p>
        </w:tc>
        <w:tc>
          <w:tcPr>
            <w:tcW w:w="2447" w:type="dxa"/>
            <w:tcBorders>
              <w:top w:val="single" w:sz="6" w:space="0" w:color="000000"/>
              <w:left w:val="single" w:sz="6" w:space="0" w:color="000000"/>
              <w:bottom w:val="single" w:sz="6" w:space="0" w:color="000000"/>
              <w:right w:val="single" w:sz="6" w:space="0" w:color="000000"/>
            </w:tcBorders>
          </w:tcPr>
          <w:p w14:paraId="0A7F4351"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69,7</w:t>
            </w:r>
            <w:r>
              <w:rPr>
                <w:szCs w:val="22"/>
              </w:rPr>
              <w:t> %</w:t>
            </w:r>
          </w:p>
        </w:tc>
        <w:tc>
          <w:tcPr>
            <w:tcW w:w="2231" w:type="dxa"/>
            <w:tcBorders>
              <w:top w:val="single" w:sz="6" w:space="0" w:color="000000"/>
              <w:left w:val="single" w:sz="6" w:space="0" w:color="000000"/>
              <w:bottom w:val="single" w:sz="6" w:space="0" w:color="000000"/>
              <w:right w:val="single" w:sz="6" w:space="0" w:color="000000"/>
            </w:tcBorders>
          </w:tcPr>
          <w:p w14:paraId="4F462702"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60,5</w:t>
            </w:r>
            <w:r>
              <w:rPr>
                <w:szCs w:val="22"/>
              </w:rPr>
              <w:t> %</w:t>
            </w:r>
          </w:p>
        </w:tc>
        <w:tc>
          <w:tcPr>
            <w:tcW w:w="1388" w:type="dxa"/>
            <w:tcBorders>
              <w:top w:val="single" w:sz="6" w:space="0" w:color="000000"/>
              <w:left w:val="single" w:sz="6" w:space="0" w:color="000000"/>
              <w:bottom w:val="single" w:sz="6" w:space="0" w:color="000000"/>
              <w:right w:val="single" w:sz="6" w:space="0" w:color="000000"/>
            </w:tcBorders>
            <w:vAlign w:val="bottom"/>
          </w:tcPr>
          <w:p w14:paraId="5153547D"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0,420</w:t>
            </w:r>
          </w:p>
        </w:tc>
      </w:tr>
      <w:tr w:rsidR="00534A2D" w14:paraId="7BBA156D"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vAlign w:val="bottom"/>
          </w:tcPr>
          <w:p w14:paraId="3060C675" w14:textId="77777777" w:rsidR="003A54E9" w:rsidRPr="001B4A02" w:rsidRDefault="00000000" w:rsidP="00E571F5">
            <w:pPr>
              <w:keepNext/>
              <w:keepLines/>
              <w:tabs>
                <w:tab w:val="left" w:pos="-1080"/>
              </w:tabs>
              <w:autoSpaceDE w:val="0"/>
              <w:autoSpaceDN w:val="0"/>
              <w:adjustRightInd w:val="0"/>
              <w:rPr>
                <w:b/>
                <w:szCs w:val="22"/>
              </w:rPr>
            </w:pPr>
            <w:r w:rsidRPr="001B4A02">
              <w:rPr>
                <w:b/>
                <w:szCs w:val="22"/>
              </w:rPr>
              <w:t>Vysazení imunomodulátorů</w:t>
            </w:r>
            <w:r w:rsidRPr="001B4A02">
              <w:rPr>
                <w:b/>
                <w:szCs w:val="22"/>
                <w:vertAlign w:val="superscript"/>
              </w:rPr>
              <w:t>2</w:t>
            </w:r>
          </w:p>
        </w:tc>
        <w:tc>
          <w:tcPr>
            <w:tcW w:w="2447" w:type="dxa"/>
            <w:tcBorders>
              <w:top w:val="single" w:sz="6" w:space="0" w:color="000000"/>
              <w:left w:val="single" w:sz="6" w:space="0" w:color="000000"/>
              <w:bottom w:val="single" w:sz="6" w:space="0" w:color="000000"/>
              <w:right w:val="single" w:sz="6" w:space="0" w:color="000000"/>
            </w:tcBorders>
            <w:vAlign w:val="bottom"/>
          </w:tcPr>
          <w:p w14:paraId="0BAA5358" w14:textId="77777777" w:rsidR="003A54E9" w:rsidRPr="001B4A02" w:rsidRDefault="00000000" w:rsidP="00E571F5">
            <w:pPr>
              <w:keepNext/>
              <w:keepLines/>
              <w:tabs>
                <w:tab w:val="left" w:pos="-1080"/>
              </w:tabs>
              <w:autoSpaceDE w:val="0"/>
              <w:autoSpaceDN w:val="0"/>
              <w:adjustRightInd w:val="0"/>
              <w:ind w:left="0" w:firstLine="0"/>
              <w:jc w:val="center"/>
              <w:rPr>
                <w:b/>
                <w:szCs w:val="22"/>
              </w:rPr>
            </w:pPr>
            <w:r>
              <w:rPr>
                <w:b/>
                <w:szCs w:val="22"/>
              </w:rPr>
              <w:t>n</w:t>
            </w:r>
            <w:r w:rsidRPr="001B4A02">
              <w:rPr>
                <w:b/>
                <w:szCs w:val="22"/>
              </w:rPr>
              <w:t>=60</w:t>
            </w:r>
          </w:p>
        </w:tc>
        <w:tc>
          <w:tcPr>
            <w:tcW w:w="2231" w:type="dxa"/>
            <w:tcBorders>
              <w:top w:val="single" w:sz="6" w:space="0" w:color="000000"/>
              <w:left w:val="single" w:sz="6" w:space="0" w:color="000000"/>
              <w:bottom w:val="single" w:sz="6" w:space="0" w:color="000000"/>
              <w:right w:val="single" w:sz="6" w:space="0" w:color="000000"/>
            </w:tcBorders>
            <w:vAlign w:val="bottom"/>
          </w:tcPr>
          <w:p w14:paraId="204C0C78" w14:textId="77777777" w:rsidR="003A54E9" w:rsidRPr="001B4A02" w:rsidRDefault="00000000" w:rsidP="00E571F5">
            <w:pPr>
              <w:keepNext/>
              <w:keepLines/>
              <w:tabs>
                <w:tab w:val="left" w:pos="-1080"/>
              </w:tabs>
              <w:autoSpaceDE w:val="0"/>
              <w:autoSpaceDN w:val="0"/>
              <w:adjustRightInd w:val="0"/>
              <w:ind w:left="0" w:firstLine="0"/>
              <w:jc w:val="center"/>
              <w:rPr>
                <w:b/>
                <w:szCs w:val="22"/>
              </w:rPr>
            </w:pPr>
            <w:r>
              <w:rPr>
                <w:b/>
                <w:szCs w:val="22"/>
              </w:rPr>
              <w:t>n</w:t>
            </w:r>
            <w:r w:rsidRPr="001B4A02">
              <w:rPr>
                <w:b/>
                <w:szCs w:val="22"/>
              </w:rPr>
              <w:t>=57</w:t>
            </w:r>
          </w:p>
        </w:tc>
        <w:tc>
          <w:tcPr>
            <w:tcW w:w="1388" w:type="dxa"/>
            <w:tcBorders>
              <w:top w:val="single" w:sz="6" w:space="0" w:color="000000"/>
              <w:left w:val="single" w:sz="6" w:space="0" w:color="000000"/>
              <w:bottom w:val="single" w:sz="6" w:space="0" w:color="000000"/>
              <w:right w:val="single" w:sz="6" w:space="0" w:color="000000"/>
            </w:tcBorders>
            <w:vAlign w:val="bottom"/>
          </w:tcPr>
          <w:p w14:paraId="20872599" w14:textId="77777777" w:rsidR="003A54E9" w:rsidRPr="001B4A02" w:rsidRDefault="003A54E9" w:rsidP="00E571F5">
            <w:pPr>
              <w:keepNext/>
              <w:autoSpaceDE w:val="0"/>
              <w:autoSpaceDN w:val="0"/>
              <w:adjustRightInd w:val="0"/>
              <w:ind w:left="0" w:firstLine="0"/>
              <w:jc w:val="center"/>
              <w:rPr>
                <w:b/>
                <w:szCs w:val="22"/>
              </w:rPr>
            </w:pPr>
          </w:p>
        </w:tc>
      </w:tr>
      <w:tr w:rsidR="00534A2D" w14:paraId="6059CF59"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tcPr>
          <w:p w14:paraId="2CD4F54E" w14:textId="77777777" w:rsidR="003A54E9" w:rsidRPr="001B4A02" w:rsidRDefault="00000000" w:rsidP="00E571F5">
            <w:pPr>
              <w:keepNext/>
              <w:keepLines/>
              <w:tabs>
                <w:tab w:val="left" w:pos="-1080"/>
              </w:tabs>
              <w:autoSpaceDE w:val="0"/>
              <w:autoSpaceDN w:val="0"/>
              <w:adjustRightInd w:val="0"/>
              <w:rPr>
                <w:bCs/>
                <w:szCs w:val="22"/>
              </w:rPr>
            </w:pPr>
            <w:r w:rsidRPr="001B4A02">
              <w:rPr>
                <w:bCs/>
                <w:szCs w:val="22"/>
              </w:rPr>
              <w:t>Týden 52</w:t>
            </w:r>
          </w:p>
        </w:tc>
        <w:tc>
          <w:tcPr>
            <w:tcW w:w="2447" w:type="dxa"/>
            <w:tcBorders>
              <w:top w:val="single" w:sz="6" w:space="0" w:color="000000"/>
              <w:left w:val="single" w:sz="6" w:space="0" w:color="000000"/>
              <w:bottom w:val="single" w:sz="6" w:space="0" w:color="000000"/>
              <w:right w:val="single" w:sz="6" w:space="0" w:color="000000"/>
            </w:tcBorders>
          </w:tcPr>
          <w:p w14:paraId="00D36ACF"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30,0</w:t>
            </w:r>
            <w:r>
              <w:rPr>
                <w:szCs w:val="22"/>
              </w:rPr>
              <w:t> %</w:t>
            </w:r>
          </w:p>
        </w:tc>
        <w:tc>
          <w:tcPr>
            <w:tcW w:w="2231" w:type="dxa"/>
            <w:tcBorders>
              <w:top w:val="single" w:sz="6" w:space="0" w:color="000000"/>
              <w:left w:val="single" w:sz="6" w:space="0" w:color="000000"/>
              <w:bottom w:val="single" w:sz="6" w:space="0" w:color="000000"/>
              <w:right w:val="single" w:sz="6" w:space="0" w:color="000000"/>
            </w:tcBorders>
          </w:tcPr>
          <w:p w14:paraId="49B546E3"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29,8</w:t>
            </w:r>
            <w:r>
              <w:rPr>
                <w:szCs w:val="22"/>
              </w:rPr>
              <w:t> %</w:t>
            </w:r>
          </w:p>
        </w:tc>
        <w:tc>
          <w:tcPr>
            <w:tcW w:w="1388" w:type="dxa"/>
            <w:tcBorders>
              <w:top w:val="single" w:sz="6" w:space="0" w:color="000000"/>
              <w:left w:val="single" w:sz="6" w:space="0" w:color="000000"/>
              <w:bottom w:val="single" w:sz="6" w:space="0" w:color="000000"/>
              <w:right w:val="single" w:sz="6" w:space="0" w:color="000000"/>
            </w:tcBorders>
          </w:tcPr>
          <w:p w14:paraId="4A6D5B71"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0,983</w:t>
            </w:r>
          </w:p>
        </w:tc>
      </w:tr>
      <w:tr w:rsidR="00534A2D" w14:paraId="5CC8E1A3"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tcPr>
          <w:p w14:paraId="7074663E" w14:textId="77777777" w:rsidR="003A54E9" w:rsidRPr="001B4A02" w:rsidRDefault="00000000" w:rsidP="00E571F5">
            <w:pPr>
              <w:keepNext/>
              <w:keepLines/>
              <w:tabs>
                <w:tab w:val="left" w:pos="-1080"/>
              </w:tabs>
              <w:autoSpaceDE w:val="0"/>
              <w:autoSpaceDN w:val="0"/>
              <w:adjustRightInd w:val="0"/>
              <w:rPr>
                <w:b/>
                <w:bCs/>
                <w:szCs w:val="22"/>
              </w:rPr>
            </w:pPr>
            <w:r w:rsidRPr="001B4A02">
              <w:rPr>
                <w:b/>
              </w:rPr>
              <w:t>Remise píštělí</w:t>
            </w:r>
            <w:r w:rsidRPr="001B4A02">
              <w:rPr>
                <w:b/>
                <w:vertAlign w:val="superscript"/>
              </w:rPr>
              <w:t>3</w:t>
            </w:r>
          </w:p>
        </w:tc>
        <w:tc>
          <w:tcPr>
            <w:tcW w:w="2447" w:type="dxa"/>
            <w:tcBorders>
              <w:top w:val="single" w:sz="6" w:space="0" w:color="000000"/>
              <w:left w:val="single" w:sz="6" w:space="0" w:color="000000"/>
              <w:bottom w:val="single" w:sz="6" w:space="0" w:color="000000"/>
              <w:right w:val="single" w:sz="6" w:space="0" w:color="000000"/>
            </w:tcBorders>
          </w:tcPr>
          <w:p w14:paraId="3C833B5B" w14:textId="77777777" w:rsidR="003A54E9" w:rsidRPr="001B4A02" w:rsidRDefault="00000000" w:rsidP="00E571F5">
            <w:pPr>
              <w:keepNext/>
              <w:keepLines/>
              <w:tabs>
                <w:tab w:val="left" w:pos="-1080"/>
              </w:tabs>
              <w:autoSpaceDE w:val="0"/>
              <w:autoSpaceDN w:val="0"/>
              <w:adjustRightInd w:val="0"/>
              <w:ind w:left="0" w:firstLine="0"/>
              <w:jc w:val="center"/>
              <w:rPr>
                <w:b/>
                <w:szCs w:val="22"/>
              </w:rPr>
            </w:pPr>
            <w:r>
              <w:rPr>
                <w:b/>
                <w:szCs w:val="22"/>
              </w:rPr>
              <w:t>n</w:t>
            </w:r>
            <w:r w:rsidRPr="001B4A02">
              <w:rPr>
                <w:b/>
                <w:szCs w:val="22"/>
              </w:rPr>
              <w:t>=15</w:t>
            </w:r>
          </w:p>
        </w:tc>
        <w:tc>
          <w:tcPr>
            <w:tcW w:w="2231" w:type="dxa"/>
            <w:tcBorders>
              <w:top w:val="single" w:sz="6" w:space="0" w:color="000000"/>
              <w:left w:val="single" w:sz="6" w:space="0" w:color="000000"/>
              <w:bottom w:val="single" w:sz="6" w:space="0" w:color="000000"/>
              <w:right w:val="single" w:sz="6" w:space="0" w:color="000000"/>
            </w:tcBorders>
          </w:tcPr>
          <w:p w14:paraId="1188DC04" w14:textId="77777777" w:rsidR="003A54E9" w:rsidRPr="001B4A02" w:rsidRDefault="00000000" w:rsidP="00E571F5">
            <w:pPr>
              <w:keepNext/>
              <w:keepLines/>
              <w:tabs>
                <w:tab w:val="left" w:pos="-1080"/>
              </w:tabs>
              <w:autoSpaceDE w:val="0"/>
              <w:autoSpaceDN w:val="0"/>
              <w:adjustRightInd w:val="0"/>
              <w:ind w:left="0" w:firstLine="0"/>
              <w:jc w:val="center"/>
              <w:rPr>
                <w:b/>
                <w:szCs w:val="22"/>
              </w:rPr>
            </w:pPr>
            <w:r>
              <w:rPr>
                <w:b/>
                <w:szCs w:val="22"/>
              </w:rPr>
              <w:t>n</w:t>
            </w:r>
            <w:r w:rsidRPr="001B4A02">
              <w:rPr>
                <w:b/>
                <w:szCs w:val="22"/>
              </w:rPr>
              <w:t>=21</w:t>
            </w:r>
          </w:p>
        </w:tc>
        <w:tc>
          <w:tcPr>
            <w:tcW w:w="1388" w:type="dxa"/>
            <w:tcBorders>
              <w:top w:val="single" w:sz="6" w:space="0" w:color="000000"/>
              <w:left w:val="single" w:sz="6" w:space="0" w:color="000000"/>
              <w:bottom w:val="single" w:sz="6" w:space="0" w:color="000000"/>
              <w:right w:val="single" w:sz="6" w:space="0" w:color="000000"/>
            </w:tcBorders>
          </w:tcPr>
          <w:p w14:paraId="4A6D43A5" w14:textId="77777777" w:rsidR="003A54E9" w:rsidRPr="001B4A02" w:rsidRDefault="003A54E9" w:rsidP="00E571F5">
            <w:pPr>
              <w:keepNext/>
              <w:keepLines/>
              <w:tabs>
                <w:tab w:val="left" w:pos="-1080"/>
              </w:tabs>
              <w:autoSpaceDE w:val="0"/>
              <w:autoSpaceDN w:val="0"/>
              <w:adjustRightInd w:val="0"/>
              <w:ind w:left="0" w:firstLine="0"/>
              <w:jc w:val="center"/>
              <w:rPr>
                <w:szCs w:val="22"/>
              </w:rPr>
            </w:pPr>
          </w:p>
        </w:tc>
      </w:tr>
      <w:tr w:rsidR="00534A2D" w14:paraId="2AFC4DA7" w14:textId="77777777" w:rsidTr="00E571F5">
        <w:trPr>
          <w:jc w:val="center"/>
        </w:trPr>
        <w:tc>
          <w:tcPr>
            <w:tcW w:w="3234" w:type="dxa"/>
            <w:tcBorders>
              <w:top w:val="single" w:sz="6" w:space="0" w:color="000000"/>
              <w:left w:val="single" w:sz="6" w:space="0" w:color="000000"/>
              <w:bottom w:val="single" w:sz="6" w:space="0" w:color="000000"/>
              <w:right w:val="single" w:sz="6" w:space="0" w:color="000000"/>
            </w:tcBorders>
          </w:tcPr>
          <w:p w14:paraId="21851C1C" w14:textId="77777777" w:rsidR="003A54E9" w:rsidRPr="001B4A02" w:rsidRDefault="00000000" w:rsidP="00E571F5">
            <w:pPr>
              <w:keepNext/>
              <w:keepLines/>
              <w:tabs>
                <w:tab w:val="left" w:pos="-1080"/>
              </w:tabs>
              <w:autoSpaceDE w:val="0"/>
              <w:autoSpaceDN w:val="0"/>
              <w:adjustRightInd w:val="0"/>
              <w:rPr>
                <w:bCs/>
                <w:szCs w:val="22"/>
              </w:rPr>
            </w:pPr>
            <w:r w:rsidRPr="001B4A02">
              <w:rPr>
                <w:bCs/>
                <w:szCs w:val="22"/>
              </w:rPr>
              <w:t>Týden 26</w:t>
            </w:r>
          </w:p>
        </w:tc>
        <w:tc>
          <w:tcPr>
            <w:tcW w:w="2447" w:type="dxa"/>
            <w:tcBorders>
              <w:top w:val="single" w:sz="6" w:space="0" w:color="000000"/>
              <w:left w:val="single" w:sz="6" w:space="0" w:color="000000"/>
              <w:bottom w:val="single" w:sz="6" w:space="0" w:color="000000"/>
              <w:right w:val="single" w:sz="6" w:space="0" w:color="000000"/>
            </w:tcBorders>
          </w:tcPr>
          <w:p w14:paraId="0A94153F"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t>46,7</w:t>
            </w:r>
            <w:r>
              <w:t> %</w:t>
            </w:r>
          </w:p>
        </w:tc>
        <w:tc>
          <w:tcPr>
            <w:tcW w:w="2231" w:type="dxa"/>
            <w:tcBorders>
              <w:top w:val="single" w:sz="6" w:space="0" w:color="000000"/>
              <w:left w:val="single" w:sz="6" w:space="0" w:color="000000"/>
              <w:bottom w:val="single" w:sz="6" w:space="0" w:color="000000"/>
              <w:right w:val="single" w:sz="6" w:space="0" w:color="000000"/>
            </w:tcBorders>
          </w:tcPr>
          <w:p w14:paraId="6DFFD8C4"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t>38,1</w:t>
            </w:r>
            <w:r>
              <w:t> %</w:t>
            </w:r>
          </w:p>
        </w:tc>
        <w:tc>
          <w:tcPr>
            <w:tcW w:w="1388" w:type="dxa"/>
            <w:tcBorders>
              <w:top w:val="single" w:sz="6" w:space="0" w:color="000000"/>
              <w:left w:val="single" w:sz="6" w:space="0" w:color="000000"/>
              <w:bottom w:val="single" w:sz="6" w:space="0" w:color="000000"/>
              <w:right w:val="single" w:sz="6" w:space="0" w:color="000000"/>
            </w:tcBorders>
          </w:tcPr>
          <w:p w14:paraId="0B2BD0F7" w14:textId="77777777" w:rsidR="003A54E9" w:rsidRPr="001B4A02" w:rsidRDefault="00000000" w:rsidP="00E571F5">
            <w:pPr>
              <w:keepNext/>
              <w:keepLines/>
              <w:tabs>
                <w:tab w:val="left" w:pos="-1080"/>
              </w:tabs>
              <w:autoSpaceDE w:val="0"/>
              <w:autoSpaceDN w:val="0"/>
              <w:adjustRightInd w:val="0"/>
              <w:ind w:left="0" w:firstLine="0"/>
              <w:jc w:val="center"/>
              <w:rPr>
                <w:szCs w:val="22"/>
              </w:rPr>
            </w:pPr>
            <w:r w:rsidRPr="001B4A02">
              <w:t>0,608</w:t>
            </w:r>
          </w:p>
        </w:tc>
      </w:tr>
      <w:tr w:rsidR="00534A2D" w14:paraId="1A954707" w14:textId="77777777" w:rsidTr="00E571F5">
        <w:trPr>
          <w:jc w:val="center"/>
        </w:trPr>
        <w:tc>
          <w:tcPr>
            <w:tcW w:w="3234" w:type="dxa"/>
            <w:tcBorders>
              <w:top w:val="single" w:sz="6" w:space="0" w:color="000000"/>
              <w:left w:val="single" w:sz="6" w:space="0" w:color="000000"/>
              <w:bottom w:val="single" w:sz="4" w:space="0" w:color="auto"/>
              <w:right w:val="single" w:sz="6" w:space="0" w:color="000000"/>
            </w:tcBorders>
          </w:tcPr>
          <w:p w14:paraId="2C3BC2CE" w14:textId="77777777" w:rsidR="003A54E9" w:rsidRPr="001B4A02" w:rsidRDefault="00000000" w:rsidP="00E571F5">
            <w:pPr>
              <w:keepNext/>
              <w:keepLines/>
              <w:tabs>
                <w:tab w:val="left" w:pos="-1080"/>
              </w:tabs>
              <w:autoSpaceDE w:val="0"/>
              <w:autoSpaceDN w:val="0"/>
              <w:adjustRightInd w:val="0"/>
              <w:rPr>
                <w:bCs/>
                <w:szCs w:val="22"/>
              </w:rPr>
            </w:pPr>
            <w:r w:rsidRPr="001B4A02">
              <w:t>Týden 52</w:t>
            </w:r>
          </w:p>
        </w:tc>
        <w:tc>
          <w:tcPr>
            <w:tcW w:w="2447" w:type="dxa"/>
            <w:tcBorders>
              <w:top w:val="single" w:sz="6" w:space="0" w:color="000000"/>
              <w:left w:val="single" w:sz="6" w:space="0" w:color="000000"/>
              <w:bottom w:val="single" w:sz="4" w:space="0" w:color="auto"/>
              <w:right w:val="single" w:sz="6" w:space="0" w:color="000000"/>
            </w:tcBorders>
          </w:tcPr>
          <w:p w14:paraId="0BAD2916" w14:textId="77777777" w:rsidR="003A54E9" w:rsidRPr="001B4A02" w:rsidRDefault="00000000" w:rsidP="00E571F5">
            <w:pPr>
              <w:keepNext/>
              <w:keepLines/>
              <w:tabs>
                <w:tab w:val="left" w:pos="-1080"/>
              </w:tabs>
              <w:autoSpaceDE w:val="0"/>
              <w:autoSpaceDN w:val="0"/>
              <w:adjustRightInd w:val="0"/>
              <w:ind w:left="0" w:firstLine="0"/>
              <w:jc w:val="center"/>
            </w:pPr>
            <w:r w:rsidRPr="001B4A02">
              <w:t>40,0</w:t>
            </w:r>
            <w:r>
              <w:t> %</w:t>
            </w:r>
          </w:p>
        </w:tc>
        <w:tc>
          <w:tcPr>
            <w:tcW w:w="2231" w:type="dxa"/>
            <w:tcBorders>
              <w:top w:val="single" w:sz="6" w:space="0" w:color="000000"/>
              <w:left w:val="single" w:sz="6" w:space="0" w:color="000000"/>
              <w:bottom w:val="single" w:sz="4" w:space="0" w:color="auto"/>
              <w:right w:val="single" w:sz="6" w:space="0" w:color="000000"/>
            </w:tcBorders>
          </w:tcPr>
          <w:p w14:paraId="0D0DF914" w14:textId="77777777" w:rsidR="003A54E9" w:rsidRPr="001B4A02" w:rsidRDefault="00000000" w:rsidP="00E571F5">
            <w:pPr>
              <w:keepNext/>
              <w:keepLines/>
              <w:tabs>
                <w:tab w:val="left" w:pos="-1080"/>
              </w:tabs>
              <w:autoSpaceDE w:val="0"/>
              <w:autoSpaceDN w:val="0"/>
              <w:adjustRightInd w:val="0"/>
              <w:ind w:left="0" w:firstLine="0"/>
              <w:jc w:val="center"/>
            </w:pPr>
            <w:r w:rsidRPr="001B4A02">
              <w:t>23,8</w:t>
            </w:r>
            <w:r>
              <w:t> %</w:t>
            </w:r>
          </w:p>
        </w:tc>
        <w:tc>
          <w:tcPr>
            <w:tcW w:w="1388" w:type="dxa"/>
            <w:tcBorders>
              <w:top w:val="single" w:sz="6" w:space="0" w:color="000000"/>
              <w:left w:val="single" w:sz="6" w:space="0" w:color="000000"/>
              <w:bottom w:val="single" w:sz="4" w:space="0" w:color="auto"/>
              <w:right w:val="single" w:sz="6" w:space="0" w:color="000000"/>
            </w:tcBorders>
          </w:tcPr>
          <w:p w14:paraId="6C191DB3" w14:textId="77777777" w:rsidR="003A54E9" w:rsidRPr="001B4A02" w:rsidRDefault="00000000" w:rsidP="00E571F5">
            <w:pPr>
              <w:keepNext/>
              <w:keepLines/>
              <w:tabs>
                <w:tab w:val="left" w:pos="-1080"/>
              </w:tabs>
              <w:autoSpaceDE w:val="0"/>
              <w:autoSpaceDN w:val="0"/>
              <w:adjustRightInd w:val="0"/>
              <w:ind w:left="0" w:firstLine="0"/>
              <w:jc w:val="center"/>
            </w:pPr>
            <w:r w:rsidRPr="001B4A02">
              <w:t>0,303</w:t>
            </w:r>
          </w:p>
        </w:tc>
      </w:tr>
      <w:tr w:rsidR="00534A2D" w14:paraId="4578022E" w14:textId="77777777" w:rsidTr="00E571F5">
        <w:trPr>
          <w:trHeight w:val="177"/>
          <w:jc w:val="center"/>
        </w:trPr>
        <w:tc>
          <w:tcPr>
            <w:tcW w:w="9300" w:type="dxa"/>
            <w:gridSpan w:val="4"/>
            <w:tcBorders>
              <w:top w:val="single" w:sz="4" w:space="0" w:color="auto"/>
              <w:left w:val="nil"/>
              <w:bottom w:val="nil"/>
              <w:right w:val="nil"/>
            </w:tcBorders>
          </w:tcPr>
          <w:p w14:paraId="6BD299B4" w14:textId="77777777" w:rsidR="003A54E9" w:rsidRPr="001B4A02" w:rsidRDefault="00000000" w:rsidP="00E571F5">
            <w:pPr>
              <w:keepNext/>
              <w:keepLines/>
              <w:tabs>
                <w:tab w:val="left" w:pos="-1080"/>
              </w:tabs>
              <w:autoSpaceDE w:val="0"/>
              <w:autoSpaceDN w:val="0"/>
              <w:adjustRightInd w:val="0"/>
              <w:ind w:left="0" w:firstLine="0"/>
              <w:rPr>
                <w:sz w:val="20"/>
              </w:rPr>
            </w:pPr>
            <w:r w:rsidRPr="001B4A02">
              <w:rPr>
                <w:sz w:val="20"/>
                <w:vertAlign w:val="superscript"/>
              </w:rPr>
              <w:t>1</w:t>
            </w:r>
            <w:r w:rsidRPr="001B4A02">
              <w:rPr>
                <w:sz w:val="20"/>
              </w:rPr>
              <w:t xml:space="preserve"> p hodnota pro standardní dávku v porovnání se sníženou dávkou</w:t>
            </w:r>
          </w:p>
          <w:p w14:paraId="095F7725" w14:textId="77777777" w:rsidR="003A54E9" w:rsidRPr="001B4A02" w:rsidRDefault="00000000" w:rsidP="00E571F5">
            <w:pPr>
              <w:keepNext/>
              <w:keepLines/>
              <w:tabs>
                <w:tab w:val="left" w:pos="-1080"/>
              </w:tabs>
              <w:autoSpaceDE w:val="0"/>
              <w:autoSpaceDN w:val="0"/>
              <w:adjustRightInd w:val="0"/>
              <w:ind w:left="257" w:hanging="257"/>
              <w:rPr>
                <w:sz w:val="20"/>
              </w:rPr>
            </w:pPr>
            <w:r w:rsidRPr="001B4A02">
              <w:rPr>
                <w:sz w:val="20"/>
                <w:vertAlign w:val="superscript"/>
              </w:rPr>
              <w:t>2</w:t>
            </w:r>
            <w:r w:rsidRPr="001B4A02">
              <w:rPr>
                <w:sz w:val="20"/>
              </w:rPr>
              <w:t xml:space="preserve"> Léčba imunosupresivy může být vysazena teprve až v týdnu 26 dle úsudku investigátora, pokud subjekt splňuje kritér</w:t>
            </w:r>
            <w:r>
              <w:rPr>
                <w:sz w:val="20"/>
              </w:rPr>
              <w:t>i</w:t>
            </w:r>
            <w:r w:rsidRPr="001B4A02">
              <w:rPr>
                <w:sz w:val="20"/>
              </w:rPr>
              <w:t>a považovaná za odpověď</w:t>
            </w:r>
          </w:p>
          <w:p w14:paraId="2E6A7785" w14:textId="77777777" w:rsidR="003A54E9" w:rsidRPr="001B4A02" w:rsidRDefault="00000000" w:rsidP="00E571F5">
            <w:pPr>
              <w:keepNext/>
              <w:keepLines/>
              <w:tabs>
                <w:tab w:val="left" w:pos="-1080"/>
              </w:tabs>
              <w:autoSpaceDE w:val="0"/>
              <w:autoSpaceDN w:val="0"/>
              <w:adjustRightInd w:val="0"/>
              <w:ind w:left="257" w:hanging="257"/>
              <w:rPr>
                <w:szCs w:val="22"/>
              </w:rPr>
            </w:pPr>
            <w:r w:rsidRPr="001B4A02">
              <w:rPr>
                <w:sz w:val="20"/>
                <w:vertAlign w:val="superscript"/>
              </w:rPr>
              <w:t>3</w:t>
            </w:r>
            <w:r w:rsidRPr="001B4A02">
              <w:rPr>
                <w:sz w:val="20"/>
              </w:rPr>
              <w:t xml:space="preserve"> Přetrvávání uzavření všech píštělí po dobu 2 po sobě jdoucích vizit, které byly ve výchozím stavu secernující</w:t>
            </w:r>
          </w:p>
        </w:tc>
      </w:tr>
    </w:tbl>
    <w:p w14:paraId="27F888E3" w14:textId="77777777" w:rsidR="003A54E9" w:rsidRPr="001B4A02" w:rsidRDefault="003A54E9" w:rsidP="003A54E9">
      <w:pPr>
        <w:pStyle w:val="EMEANormal"/>
        <w:rPr>
          <w:lang w:val="cs-CZ"/>
        </w:rPr>
      </w:pPr>
    </w:p>
    <w:p w14:paraId="04A82EB5" w14:textId="77777777" w:rsidR="003A54E9" w:rsidRPr="001B4A02" w:rsidRDefault="00000000" w:rsidP="003A54E9">
      <w:pPr>
        <w:ind w:left="0" w:firstLine="0"/>
      </w:pPr>
      <w:r w:rsidRPr="001B4A02">
        <w:t>Bylo pozorováno statisticky významné zvýšení (zlepšení) Body Mass Indexu</w:t>
      </w:r>
      <w:r w:rsidR="002378E0">
        <w:t xml:space="preserve"> a </w:t>
      </w:r>
      <w:r w:rsidRPr="001B4A02">
        <w:t>rychlosti růstu v týdnu 26</w:t>
      </w:r>
      <w:r w:rsidR="002378E0">
        <w:t xml:space="preserve"> a </w:t>
      </w:r>
      <w:r w:rsidRPr="001B4A02">
        <w:t>52 v porovnání s výchozím stavem.</w:t>
      </w:r>
    </w:p>
    <w:p w14:paraId="431478BF" w14:textId="77777777" w:rsidR="003A54E9" w:rsidRPr="001B4A02" w:rsidRDefault="003A54E9" w:rsidP="003A54E9">
      <w:pPr>
        <w:ind w:left="0" w:firstLine="0"/>
      </w:pPr>
    </w:p>
    <w:p w14:paraId="03690A90" w14:textId="77777777" w:rsidR="003A54E9" w:rsidRPr="001B4A02" w:rsidRDefault="00000000" w:rsidP="003A54E9">
      <w:pPr>
        <w:ind w:left="0" w:firstLine="0"/>
      </w:pPr>
      <w:r w:rsidRPr="001B4A02">
        <w:t>Statisticky</w:t>
      </w:r>
      <w:r w:rsidR="002378E0">
        <w:t xml:space="preserve"> a </w:t>
      </w:r>
      <w:r w:rsidRPr="001B4A02">
        <w:t>klinicky významné zlepšení v parametrech kvality života (včetně IMPACT III) v porovnání s výchozím stavem bylo také pozorováno v obou terapeutických skupinách.</w:t>
      </w:r>
    </w:p>
    <w:p w14:paraId="6FC6DB40" w14:textId="77777777" w:rsidR="003A54E9" w:rsidRPr="001B4A02" w:rsidRDefault="003A54E9" w:rsidP="003A54E9">
      <w:pPr>
        <w:ind w:left="0" w:firstLine="0"/>
      </w:pPr>
    </w:p>
    <w:p w14:paraId="3AD61525" w14:textId="77777777" w:rsidR="003A54E9" w:rsidRPr="001B4A02" w:rsidRDefault="00000000" w:rsidP="003A54E9">
      <w:pPr>
        <w:ind w:left="0" w:firstLine="0"/>
      </w:pPr>
      <w:r w:rsidRPr="001B4A02">
        <w:t>Sto pacientů (n=100) ze studie s Crohnovou chorobou u pediatrických pacientů bylo zařazeno do otevřené dlouhodobé prodloužené fáze studie. Po 5 letech léčby adalimumabem přetrvávala klinická remise u 74 % (37 z 50) pacientů setrvávajících ve studii</w:t>
      </w:r>
      <w:r w:rsidR="002378E0">
        <w:t xml:space="preserve"> a </w:t>
      </w:r>
      <w:r w:rsidRPr="001B4A02">
        <w:t>u 92 % (46 z 50) pacientů přetrvávala klinická odpověď podle PCDAI.</w:t>
      </w:r>
    </w:p>
    <w:p w14:paraId="41F5FFB0" w14:textId="77777777" w:rsidR="003A54E9" w:rsidRPr="001B4A02" w:rsidRDefault="003A54E9" w:rsidP="003A54E9">
      <w:pPr>
        <w:ind w:left="0" w:firstLine="0"/>
      </w:pPr>
    </w:p>
    <w:p w14:paraId="155ED536" w14:textId="77777777" w:rsidR="00435107" w:rsidRDefault="00000000" w:rsidP="00435107">
      <w:pPr>
        <w:keepNext/>
        <w:rPr>
          <w:bCs/>
          <w:i/>
        </w:rPr>
      </w:pPr>
      <w:r>
        <w:rPr>
          <w:i/>
        </w:rPr>
        <w:t>Ulcerózní kolitida u pediatrických pacientů</w:t>
      </w:r>
    </w:p>
    <w:p w14:paraId="72263D06" w14:textId="77777777" w:rsidR="00435107" w:rsidRPr="00D01607" w:rsidRDefault="00435107" w:rsidP="00435107">
      <w:pPr>
        <w:keepNext/>
        <w:rPr>
          <w:bCs/>
          <w:i/>
        </w:rPr>
      </w:pPr>
    </w:p>
    <w:p w14:paraId="4000092A" w14:textId="77777777" w:rsidR="00435107" w:rsidRDefault="00000000" w:rsidP="00435107">
      <w:pPr>
        <w:ind w:left="0" w:firstLine="0"/>
      </w:pPr>
      <w:r>
        <w:t>Bezpečnost</w:t>
      </w:r>
      <w:r w:rsidR="002378E0">
        <w:t xml:space="preserve"> a </w:t>
      </w:r>
      <w:r>
        <w:t>účinnost přípravku Humira byla hodnocena v multicentrické, randomizované, dvojitě zaslepené studii u 93 pediatrických pacientů ve věku od 5 do 17 let se středně těžkou až těžkou ulcerózní kolitidou (Mayo skóre 6 až 12 s podskóre endoskopie 2 až 3 body, potvrzeno centrálně odečtenou endoskopií), kteří měli nedostatečnou odpověď nebo intoleranci na konvenční terapii. V</w:t>
      </w:r>
      <w:r w:rsidR="00107A9D">
        <w:t> </w:t>
      </w:r>
      <w:r>
        <w:t>této studii u</w:t>
      </w:r>
      <w:r w:rsidR="00A57F08">
        <w:rPr>
          <w:rStyle w:val="normaltextrun"/>
        </w:rPr>
        <w:t> </w:t>
      </w:r>
      <w:r>
        <w:t>přibližně 16</w:t>
      </w:r>
      <w:r w:rsidR="00A57F08">
        <w:rPr>
          <w:rStyle w:val="normaltextrun"/>
        </w:rPr>
        <w:t> </w:t>
      </w:r>
      <w:r>
        <w:t>% pacientů selhala dřívější anti-TNF léčba. Pacienti, kteří dostávali kortikosteroidy při zařazení do studie, mohli po týdnu 4 začít svoji léčbu kortikosteroidy</w:t>
      </w:r>
      <w:r w:rsidRPr="00CC48C6">
        <w:t xml:space="preserve"> </w:t>
      </w:r>
      <w:r>
        <w:t>snižovat.</w:t>
      </w:r>
    </w:p>
    <w:p w14:paraId="5C6C5F02" w14:textId="77777777" w:rsidR="00435107" w:rsidRPr="00D01607" w:rsidRDefault="00435107" w:rsidP="00435107">
      <w:pPr>
        <w:ind w:left="0" w:firstLine="0"/>
      </w:pPr>
    </w:p>
    <w:p w14:paraId="4485A5E5" w14:textId="77777777" w:rsidR="00435107" w:rsidRDefault="00000000" w:rsidP="00435107">
      <w:pPr>
        <w:ind w:left="0" w:firstLine="0"/>
        <w:rPr>
          <w:rStyle w:val="eop"/>
          <w:shd w:val="clear" w:color="auto" w:fill="FFFFFF"/>
        </w:rPr>
      </w:pPr>
      <w:r>
        <w:rPr>
          <w:rStyle w:val="normaltextrun"/>
          <w:shd w:val="clear" w:color="auto" w:fill="FFFFFF"/>
        </w:rPr>
        <w:t>V</w:t>
      </w:r>
      <w:r w:rsidR="00107A9D">
        <w:rPr>
          <w:rStyle w:val="normaltextrun"/>
          <w:shd w:val="clear" w:color="auto" w:fill="FFFFFF"/>
        </w:rPr>
        <w:t> </w:t>
      </w:r>
      <w:r>
        <w:rPr>
          <w:rStyle w:val="normaltextrun"/>
          <w:shd w:val="clear" w:color="auto" w:fill="FFFFFF"/>
        </w:rPr>
        <w:t>indukčním období studie bylo randomizováno 77 pacientů v poměru 3:2 k užívání dvojitě zaslepené léčby přípravkem Humira v indukční dávce 2,4</w:t>
      </w:r>
      <w:r w:rsidR="00F365E7" w:rsidRPr="00005EC2">
        <w:rPr>
          <w:szCs w:val="22"/>
        </w:rPr>
        <w:t> </w:t>
      </w:r>
      <w:r>
        <w:rPr>
          <w:rStyle w:val="normaltextrun"/>
          <w:shd w:val="clear" w:color="auto" w:fill="FFFFFF"/>
        </w:rPr>
        <w:t>mg/kg (maximální dávka 160</w:t>
      </w:r>
      <w:r w:rsidR="00F365E7" w:rsidRPr="00005EC2">
        <w:rPr>
          <w:szCs w:val="22"/>
        </w:rPr>
        <w:t> </w:t>
      </w:r>
      <w:r>
        <w:rPr>
          <w:rStyle w:val="normaltextrun"/>
          <w:shd w:val="clear" w:color="auto" w:fill="FFFFFF"/>
        </w:rPr>
        <w:t>mg) v </w:t>
      </w:r>
      <w:r w:rsidRPr="00BC5CBC">
        <w:rPr>
          <w:rStyle w:val="normaltextrun"/>
          <w:shd w:val="clear" w:color="auto" w:fill="FFFFFF"/>
        </w:rPr>
        <w:t>týdnech 0</w:t>
      </w:r>
      <w:r w:rsidR="002378E0">
        <w:rPr>
          <w:rStyle w:val="normaltextrun"/>
          <w:shd w:val="clear" w:color="auto" w:fill="FFFFFF"/>
        </w:rPr>
        <w:t xml:space="preserve"> a </w:t>
      </w:r>
      <w:r w:rsidRPr="00BC5CBC">
        <w:rPr>
          <w:rStyle w:val="normaltextrun"/>
          <w:shd w:val="clear" w:color="auto" w:fill="FFFFFF"/>
        </w:rPr>
        <w:t>1</w:t>
      </w:r>
      <w:r w:rsidR="002378E0">
        <w:rPr>
          <w:rStyle w:val="normaltextrun"/>
          <w:shd w:val="clear" w:color="auto" w:fill="FFFFFF"/>
        </w:rPr>
        <w:t xml:space="preserve"> a </w:t>
      </w:r>
      <w:r>
        <w:rPr>
          <w:rStyle w:val="normaltextrun"/>
          <w:shd w:val="clear" w:color="auto" w:fill="FFFFFF"/>
        </w:rPr>
        <w:t>1,2</w:t>
      </w:r>
      <w:r w:rsidR="00F365E7" w:rsidRPr="00005EC2">
        <w:rPr>
          <w:szCs w:val="22"/>
        </w:rPr>
        <w:t> </w:t>
      </w:r>
      <w:r>
        <w:rPr>
          <w:rStyle w:val="normaltextrun"/>
          <w:shd w:val="clear" w:color="auto" w:fill="FFFFFF"/>
        </w:rPr>
        <w:t>mg/kg (maximální dávka 80</w:t>
      </w:r>
      <w:r w:rsidR="00F365E7" w:rsidRPr="00005EC2">
        <w:rPr>
          <w:szCs w:val="22"/>
        </w:rPr>
        <w:t> </w:t>
      </w:r>
      <w:r>
        <w:rPr>
          <w:rStyle w:val="normaltextrun"/>
          <w:shd w:val="clear" w:color="auto" w:fill="FFFFFF"/>
        </w:rPr>
        <w:t>mg) v</w:t>
      </w:r>
      <w:r w:rsidR="00107A9D">
        <w:rPr>
          <w:rStyle w:val="normaltextrun"/>
          <w:shd w:val="clear" w:color="auto" w:fill="FFFFFF"/>
        </w:rPr>
        <w:t> </w:t>
      </w:r>
      <w:r>
        <w:rPr>
          <w:rStyle w:val="normaltextrun"/>
          <w:shd w:val="clear" w:color="auto" w:fill="FFFFFF"/>
        </w:rPr>
        <w:t>týdnu 2; nebo indukční dávce 2,4</w:t>
      </w:r>
      <w:r w:rsidR="00F365E7" w:rsidRPr="00005EC2">
        <w:rPr>
          <w:szCs w:val="22"/>
        </w:rPr>
        <w:t> </w:t>
      </w:r>
      <w:r>
        <w:rPr>
          <w:rStyle w:val="normaltextrun"/>
          <w:shd w:val="clear" w:color="auto" w:fill="FFFFFF"/>
        </w:rPr>
        <w:t>mg/kg (maximální dávka 160</w:t>
      </w:r>
      <w:r w:rsidR="00F365E7" w:rsidRPr="00005EC2">
        <w:rPr>
          <w:szCs w:val="22"/>
        </w:rPr>
        <w:t> </w:t>
      </w:r>
      <w:r>
        <w:rPr>
          <w:rStyle w:val="normaltextrun"/>
          <w:shd w:val="clear" w:color="auto" w:fill="FFFFFF"/>
        </w:rPr>
        <w:t>mg) v týdnu 0, placebo v </w:t>
      </w:r>
      <w:r w:rsidRPr="00BC5CBC">
        <w:rPr>
          <w:rStyle w:val="normaltextrun"/>
          <w:shd w:val="clear" w:color="auto" w:fill="FFFFFF"/>
        </w:rPr>
        <w:t>týdnu 1</w:t>
      </w:r>
      <w:r w:rsidR="002378E0">
        <w:rPr>
          <w:rStyle w:val="normaltextrun"/>
          <w:shd w:val="clear" w:color="auto" w:fill="FFFFFF"/>
        </w:rPr>
        <w:t xml:space="preserve"> a </w:t>
      </w:r>
      <w:r>
        <w:rPr>
          <w:rStyle w:val="normaltextrun"/>
          <w:shd w:val="clear" w:color="auto" w:fill="FFFFFF"/>
        </w:rPr>
        <w:t>1,2</w:t>
      </w:r>
      <w:r w:rsidR="00F365E7" w:rsidRPr="00005EC2">
        <w:rPr>
          <w:szCs w:val="22"/>
        </w:rPr>
        <w:t> </w:t>
      </w:r>
      <w:r>
        <w:rPr>
          <w:rStyle w:val="normaltextrun"/>
          <w:shd w:val="clear" w:color="auto" w:fill="FFFFFF"/>
        </w:rPr>
        <w:t>mg/kg (maximální dávka 80</w:t>
      </w:r>
      <w:r w:rsidR="00F365E7" w:rsidRPr="00005EC2">
        <w:rPr>
          <w:szCs w:val="22"/>
        </w:rPr>
        <w:t> </w:t>
      </w:r>
      <w:r>
        <w:rPr>
          <w:rStyle w:val="normaltextrun"/>
          <w:shd w:val="clear" w:color="auto" w:fill="FFFFFF"/>
        </w:rPr>
        <w:t>mg) v</w:t>
      </w:r>
      <w:r w:rsidR="00F365E7">
        <w:rPr>
          <w:rStyle w:val="normaltextrun"/>
          <w:shd w:val="clear" w:color="auto" w:fill="FFFFFF"/>
        </w:rPr>
        <w:t> </w:t>
      </w:r>
      <w:r>
        <w:rPr>
          <w:rStyle w:val="normaltextrun"/>
          <w:shd w:val="clear" w:color="auto" w:fill="FFFFFF"/>
        </w:rPr>
        <w:t>týdnu 2.</w:t>
      </w:r>
      <w:r>
        <w:rPr>
          <w:shd w:val="clear" w:color="auto" w:fill="FFFFFF"/>
        </w:rPr>
        <w:t> </w:t>
      </w:r>
      <w:r>
        <w:rPr>
          <w:rStyle w:val="normaltextrun"/>
          <w:shd w:val="clear" w:color="auto" w:fill="FFFFFF"/>
        </w:rPr>
        <w:t>Obě skupiny dostávaly 0,6</w:t>
      </w:r>
      <w:r w:rsidR="00F365E7" w:rsidRPr="00005EC2">
        <w:rPr>
          <w:szCs w:val="22"/>
        </w:rPr>
        <w:t> </w:t>
      </w:r>
      <w:r>
        <w:rPr>
          <w:rStyle w:val="normaltextrun"/>
          <w:shd w:val="clear" w:color="auto" w:fill="FFFFFF"/>
        </w:rPr>
        <w:t>mg/kg (maximální dávka 40</w:t>
      </w:r>
      <w:r w:rsidR="00F365E7" w:rsidRPr="00005EC2">
        <w:rPr>
          <w:szCs w:val="22"/>
        </w:rPr>
        <w:t> </w:t>
      </w:r>
      <w:r>
        <w:rPr>
          <w:rStyle w:val="normaltextrun"/>
          <w:shd w:val="clear" w:color="auto" w:fill="FFFFFF"/>
        </w:rPr>
        <w:t>mg) v</w:t>
      </w:r>
      <w:r w:rsidR="00107A9D">
        <w:rPr>
          <w:rStyle w:val="normaltextrun"/>
          <w:shd w:val="clear" w:color="auto" w:fill="FFFFFF"/>
        </w:rPr>
        <w:t> </w:t>
      </w:r>
      <w:r>
        <w:rPr>
          <w:rStyle w:val="normaltextrun"/>
          <w:shd w:val="clear" w:color="auto" w:fill="FFFFFF"/>
        </w:rPr>
        <w:t>týdnech 4</w:t>
      </w:r>
      <w:r w:rsidR="002378E0">
        <w:rPr>
          <w:rStyle w:val="normaltextrun"/>
          <w:shd w:val="clear" w:color="auto" w:fill="FFFFFF"/>
        </w:rPr>
        <w:t xml:space="preserve"> a </w:t>
      </w:r>
      <w:r>
        <w:rPr>
          <w:rStyle w:val="normaltextrun"/>
          <w:shd w:val="clear" w:color="auto" w:fill="FFFFFF"/>
        </w:rPr>
        <w:t>6.</w:t>
      </w:r>
      <w:r>
        <w:rPr>
          <w:shd w:val="clear" w:color="auto" w:fill="FFFFFF"/>
        </w:rPr>
        <w:t> </w:t>
      </w:r>
      <w:r>
        <w:rPr>
          <w:rStyle w:val="normaltextrun"/>
          <w:shd w:val="clear" w:color="auto" w:fill="FFFFFF"/>
        </w:rPr>
        <w:t>Po změně designu studie dostalo zbývajících 16 pacientů zařazených do indukčního období otevřenou léčbu přípravkem Humira v indukční dávce 2,4</w:t>
      </w:r>
      <w:r w:rsidR="00F365E7" w:rsidRPr="00005EC2">
        <w:rPr>
          <w:szCs w:val="22"/>
        </w:rPr>
        <w:t> </w:t>
      </w:r>
      <w:r>
        <w:rPr>
          <w:rStyle w:val="normaltextrun"/>
          <w:shd w:val="clear" w:color="auto" w:fill="FFFFFF"/>
        </w:rPr>
        <w:t>mg/kg (maximální dávka 160</w:t>
      </w:r>
      <w:r w:rsidR="00107A9D">
        <w:rPr>
          <w:rStyle w:val="normaltextrun"/>
          <w:shd w:val="clear" w:color="auto" w:fill="FFFFFF"/>
        </w:rPr>
        <w:t> </w:t>
      </w:r>
      <w:r>
        <w:rPr>
          <w:rStyle w:val="normaltextrun"/>
          <w:shd w:val="clear" w:color="auto" w:fill="FFFFFF"/>
        </w:rPr>
        <w:t>mg) v </w:t>
      </w:r>
      <w:r w:rsidRPr="00BC5CBC">
        <w:rPr>
          <w:rStyle w:val="normaltextrun"/>
          <w:shd w:val="clear" w:color="auto" w:fill="FFFFFF"/>
        </w:rPr>
        <w:t>týdnech 0</w:t>
      </w:r>
      <w:r w:rsidR="002378E0">
        <w:rPr>
          <w:rStyle w:val="normaltextrun"/>
          <w:shd w:val="clear" w:color="auto" w:fill="FFFFFF"/>
        </w:rPr>
        <w:t xml:space="preserve"> a </w:t>
      </w:r>
      <w:r w:rsidRPr="00BC5CBC">
        <w:rPr>
          <w:rStyle w:val="normaltextrun"/>
          <w:shd w:val="clear" w:color="auto" w:fill="FFFFFF"/>
        </w:rPr>
        <w:t>1</w:t>
      </w:r>
      <w:r w:rsidR="002378E0">
        <w:rPr>
          <w:rStyle w:val="normaltextrun"/>
          <w:shd w:val="clear" w:color="auto" w:fill="FFFFFF"/>
        </w:rPr>
        <w:t xml:space="preserve"> a </w:t>
      </w:r>
      <w:r>
        <w:rPr>
          <w:rStyle w:val="normaltextrun"/>
          <w:shd w:val="clear" w:color="auto" w:fill="FFFFFF"/>
        </w:rPr>
        <w:t>1,2</w:t>
      </w:r>
      <w:r w:rsidR="00107A9D">
        <w:rPr>
          <w:rStyle w:val="normaltextrun"/>
          <w:shd w:val="clear" w:color="auto" w:fill="FFFFFF"/>
        </w:rPr>
        <w:t> </w:t>
      </w:r>
      <w:r>
        <w:rPr>
          <w:rStyle w:val="normaltextrun"/>
          <w:shd w:val="clear" w:color="auto" w:fill="FFFFFF"/>
        </w:rPr>
        <w:t>mg/kg (maximální dávka 80</w:t>
      </w:r>
      <w:r w:rsidR="00107A9D">
        <w:rPr>
          <w:rStyle w:val="normaltextrun"/>
          <w:shd w:val="clear" w:color="auto" w:fill="FFFFFF"/>
        </w:rPr>
        <w:t> </w:t>
      </w:r>
      <w:r>
        <w:rPr>
          <w:rStyle w:val="normaltextrun"/>
          <w:shd w:val="clear" w:color="auto" w:fill="FFFFFF"/>
        </w:rPr>
        <w:t>mg) v</w:t>
      </w:r>
      <w:r w:rsidR="00107A9D">
        <w:rPr>
          <w:rStyle w:val="normaltextrun"/>
          <w:shd w:val="clear" w:color="auto" w:fill="FFFFFF"/>
        </w:rPr>
        <w:t> </w:t>
      </w:r>
      <w:r>
        <w:rPr>
          <w:rStyle w:val="normaltextrun"/>
          <w:shd w:val="clear" w:color="auto" w:fill="FFFFFF"/>
        </w:rPr>
        <w:t>týdnu 2.</w:t>
      </w:r>
    </w:p>
    <w:p w14:paraId="563A17AF" w14:textId="77777777" w:rsidR="00435107" w:rsidRPr="00D01607" w:rsidRDefault="00435107" w:rsidP="00435107">
      <w:pPr>
        <w:ind w:left="0" w:firstLine="0"/>
      </w:pPr>
    </w:p>
    <w:p w14:paraId="0DAB7815" w14:textId="77777777" w:rsidR="00435107" w:rsidRDefault="00000000" w:rsidP="00435107">
      <w:pPr>
        <w:ind w:left="0" w:firstLine="0"/>
        <w:rPr>
          <w:rStyle w:val="normaltextrun"/>
          <w:shd w:val="clear" w:color="auto" w:fill="FFFFFF"/>
        </w:rPr>
      </w:pPr>
      <w:r>
        <w:rPr>
          <w:rStyle w:val="normaltextrun"/>
          <w:shd w:val="clear" w:color="auto" w:fill="FFFFFF"/>
        </w:rPr>
        <w:t>V</w:t>
      </w:r>
      <w:r w:rsidR="00107A9D">
        <w:rPr>
          <w:rStyle w:val="normaltextrun"/>
          <w:shd w:val="clear" w:color="auto" w:fill="FFFFFF"/>
        </w:rPr>
        <w:t> </w:t>
      </w:r>
      <w:r w:rsidRPr="00BC5CBC">
        <w:rPr>
          <w:rStyle w:val="normaltextrun"/>
          <w:shd w:val="clear" w:color="auto" w:fill="FFFFFF"/>
        </w:rPr>
        <w:t>týdnu 8</w:t>
      </w:r>
      <w:r>
        <w:rPr>
          <w:rStyle w:val="normaltextrun"/>
          <w:shd w:val="clear" w:color="auto" w:fill="FFFFFF"/>
        </w:rPr>
        <w:t xml:space="preserve"> bylo 62 pacientů, kteří prokázali klinickou odpověď na parciálním Mayo skóre (PMS; definováno jako pokles PMS ≥ 2 body</w:t>
      </w:r>
      <w:r w:rsidR="002378E0">
        <w:rPr>
          <w:rStyle w:val="normaltextrun"/>
          <w:shd w:val="clear" w:color="auto" w:fill="FFFFFF"/>
        </w:rPr>
        <w:t xml:space="preserve"> a </w:t>
      </w:r>
      <w:r>
        <w:rPr>
          <w:rStyle w:val="normaltextrun"/>
          <w:shd w:val="clear" w:color="auto" w:fill="FFFFFF"/>
        </w:rPr>
        <w:t>≥ 30</w:t>
      </w:r>
      <w:r w:rsidR="00107A9D">
        <w:rPr>
          <w:rStyle w:val="normaltextrun"/>
          <w:shd w:val="clear" w:color="auto" w:fill="FFFFFF"/>
        </w:rPr>
        <w:t> </w:t>
      </w:r>
      <w:r>
        <w:rPr>
          <w:rStyle w:val="normaltextrun"/>
          <w:shd w:val="clear" w:color="auto" w:fill="FFFFFF"/>
        </w:rPr>
        <w:t>% oproti výchozí hodnotě), randomizováno rovnoměrně do dvojitě zaslepené udržovací léčby přípravkem Humira s dávkou 0,6</w:t>
      </w:r>
      <w:r w:rsidR="00107A9D">
        <w:rPr>
          <w:rStyle w:val="normaltextrun"/>
          <w:shd w:val="clear" w:color="auto" w:fill="FFFFFF"/>
        </w:rPr>
        <w:t> </w:t>
      </w:r>
      <w:r>
        <w:rPr>
          <w:rStyle w:val="normaltextrun"/>
          <w:shd w:val="clear" w:color="auto" w:fill="FFFFFF"/>
        </w:rPr>
        <w:t>mg/kg (maximální dávka 40</w:t>
      </w:r>
      <w:r w:rsidR="00107A9D">
        <w:rPr>
          <w:rStyle w:val="normaltextrun"/>
          <w:shd w:val="clear" w:color="auto" w:fill="FFFFFF"/>
        </w:rPr>
        <w:t> </w:t>
      </w:r>
      <w:r>
        <w:rPr>
          <w:rStyle w:val="normaltextrun"/>
          <w:shd w:val="clear" w:color="auto" w:fill="FFFFFF"/>
        </w:rPr>
        <w:t>mg) každý týden nebo udržovací dávkou 0,6</w:t>
      </w:r>
      <w:r w:rsidR="00107A9D">
        <w:rPr>
          <w:rStyle w:val="normaltextrun"/>
          <w:shd w:val="clear" w:color="auto" w:fill="FFFFFF"/>
        </w:rPr>
        <w:t> </w:t>
      </w:r>
      <w:r>
        <w:rPr>
          <w:rStyle w:val="normaltextrun"/>
          <w:shd w:val="clear" w:color="auto" w:fill="FFFFFF"/>
        </w:rPr>
        <w:t>mg/kg (maximální dávka 40</w:t>
      </w:r>
      <w:r w:rsidR="00107A9D">
        <w:rPr>
          <w:rStyle w:val="normaltextrun"/>
          <w:shd w:val="clear" w:color="auto" w:fill="FFFFFF"/>
        </w:rPr>
        <w:t> </w:t>
      </w:r>
      <w:r>
        <w:rPr>
          <w:rStyle w:val="normaltextrun"/>
          <w:shd w:val="clear" w:color="auto" w:fill="FFFFFF"/>
        </w:rPr>
        <w:t xml:space="preserve">mg) </w:t>
      </w:r>
      <w:r w:rsidR="00107A9D" w:rsidRPr="001B4A02">
        <w:t>jednou za dva týdny</w:t>
      </w:r>
      <w:r>
        <w:rPr>
          <w:rStyle w:val="normaltextrun"/>
          <w:shd w:val="clear" w:color="auto" w:fill="FFFFFF"/>
        </w:rPr>
        <w:t>.</w:t>
      </w:r>
      <w:r w:rsidR="00107A9D">
        <w:rPr>
          <w:shd w:val="clear" w:color="auto" w:fill="FFFFFF"/>
        </w:rPr>
        <w:t xml:space="preserve"> </w:t>
      </w:r>
      <w:r>
        <w:rPr>
          <w:rStyle w:val="normaltextrun"/>
          <w:shd w:val="clear" w:color="auto" w:fill="FFFFFF"/>
        </w:rPr>
        <w:t>Před změnou designu studie bylo dalších 12 pacientů, kteří prokázali klinickou odpověď podle PMS, randomizováno k užívání placeba, ale nebyli zahrnuti do potvrzující analýzy účinnosti.</w:t>
      </w:r>
    </w:p>
    <w:p w14:paraId="062A7980" w14:textId="77777777" w:rsidR="00435107" w:rsidRPr="00D01607" w:rsidRDefault="00435107" w:rsidP="00435107">
      <w:pPr>
        <w:ind w:left="0" w:firstLine="0"/>
        <w:rPr>
          <w:shd w:val="clear" w:color="auto" w:fill="FFFFFF"/>
        </w:rPr>
      </w:pPr>
    </w:p>
    <w:p w14:paraId="2683DBFF" w14:textId="77777777" w:rsidR="00435107" w:rsidRDefault="00000000" w:rsidP="00435107">
      <w:pPr>
        <w:ind w:left="0" w:firstLine="0"/>
      </w:pPr>
      <w:r>
        <w:t>Vzplanutí nemoci bylo definováno jako zvýšení PMS nejméně o 3 body (u pacientů s PMS 0 až 2 v </w:t>
      </w:r>
      <w:r w:rsidRPr="00BC5CBC">
        <w:t>týdnu 8</w:t>
      </w:r>
      <w:r>
        <w:t>), nejméně 2 body (u pacientů s PMS 3 až 4 v </w:t>
      </w:r>
      <w:r w:rsidRPr="00BC5CBC">
        <w:t>týdnu 8</w:t>
      </w:r>
      <w:r>
        <w:t>) nebo alespoň o 1 bod (u pacientů s PMS 5 až 6 v </w:t>
      </w:r>
      <w:r w:rsidRPr="00BC5CBC">
        <w:t>týdnu 8</w:t>
      </w:r>
      <w:r>
        <w:t>).</w:t>
      </w:r>
    </w:p>
    <w:p w14:paraId="2B9B9DD4" w14:textId="77777777" w:rsidR="00435107" w:rsidRPr="00D01607" w:rsidRDefault="00435107" w:rsidP="00435107">
      <w:pPr>
        <w:ind w:left="0" w:firstLine="0"/>
      </w:pPr>
    </w:p>
    <w:p w14:paraId="0C029FD7" w14:textId="77777777" w:rsidR="00435107" w:rsidRPr="00D01607" w:rsidRDefault="00000000" w:rsidP="00435107">
      <w:pPr>
        <w:ind w:left="0" w:firstLine="0"/>
      </w:pPr>
      <w:r>
        <w:t>Pacienti, kteří splnili kritéria pro vzplanutí nemoci v</w:t>
      </w:r>
      <w:r w:rsidR="00107A9D">
        <w:t> </w:t>
      </w:r>
      <w:r>
        <w:t>týdnu 12 nebo později, byli randomizováni do skupiny, která dostávala opětovně indukční dávku 2,4</w:t>
      </w:r>
      <w:r w:rsidR="00F365E7" w:rsidRPr="00005EC2">
        <w:rPr>
          <w:szCs w:val="22"/>
        </w:rPr>
        <w:t> </w:t>
      </w:r>
      <w:r>
        <w:t>mg/kg (maximální dávka 160</w:t>
      </w:r>
      <w:r w:rsidR="00F365E7" w:rsidRPr="00005EC2">
        <w:rPr>
          <w:szCs w:val="22"/>
        </w:rPr>
        <w:t> </w:t>
      </w:r>
      <w:r>
        <w:t>mg) nebo dávku 0,6</w:t>
      </w:r>
      <w:r w:rsidR="00F365E7" w:rsidRPr="00005EC2">
        <w:rPr>
          <w:szCs w:val="22"/>
        </w:rPr>
        <w:t> </w:t>
      </w:r>
      <w:r>
        <w:t>mg/kg (maximální dávka 40</w:t>
      </w:r>
      <w:r w:rsidR="00F365E7" w:rsidRPr="00005EC2">
        <w:rPr>
          <w:szCs w:val="22"/>
        </w:rPr>
        <w:t> </w:t>
      </w:r>
      <w:r>
        <w:t>mg),</w:t>
      </w:r>
      <w:r w:rsidR="002378E0">
        <w:t xml:space="preserve"> a </w:t>
      </w:r>
      <w:r>
        <w:t>pokračovali v léčbě svým příslušným režimem udržovací dávky.</w:t>
      </w:r>
    </w:p>
    <w:p w14:paraId="5BBABC11" w14:textId="77777777" w:rsidR="00435107" w:rsidRPr="001D2137" w:rsidRDefault="00000000" w:rsidP="00435107">
      <w:pPr>
        <w:pStyle w:val="gtcbodytext"/>
        <w:keepNext/>
        <w:spacing w:after="0" w:line="240" w:lineRule="auto"/>
        <w:rPr>
          <w:i/>
          <w:sz w:val="22"/>
          <w:szCs w:val="22"/>
          <w:lang w:val="cs-CZ"/>
        </w:rPr>
      </w:pPr>
      <w:r w:rsidRPr="001D2137">
        <w:rPr>
          <w:i/>
          <w:sz w:val="22"/>
          <w:lang w:val="cs-CZ"/>
        </w:rPr>
        <w:t xml:space="preserve">Výsledky </w:t>
      </w:r>
      <w:r>
        <w:rPr>
          <w:i/>
          <w:sz w:val="22"/>
          <w:lang w:val="cs-CZ"/>
        </w:rPr>
        <w:t xml:space="preserve">hodnocení </w:t>
      </w:r>
      <w:r w:rsidRPr="001D2137">
        <w:rPr>
          <w:i/>
          <w:sz w:val="22"/>
          <w:lang w:val="cs-CZ"/>
        </w:rPr>
        <w:t>účinnosti</w:t>
      </w:r>
    </w:p>
    <w:p w14:paraId="25CDC486" w14:textId="77777777" w:rsidR="00435107" w:rsidRPr="001D2137" w:rsidRDefault="00435107" w:rsidP="00435107">
      <w:pPr>
        <w:pStyle w:val="gtcbodytext"/>
        <w:keepNext/>
        <w:spacing w:before="0" w:after="0" w:line="240" w:lineRule="auto"/>
        <w:rPr>
          <w:i/>
          <w:sz w:val="22"/>
          <w:szCs w:val="22"/>
          <w:lang w:val="cs-CZ"/>
        </w:rPr>
      </w:pPr>
    </w:p>
    <w:p w14:paraId="61F9152E" w14:textId="77777777" w:rsidR="00435107" w:rsidRDefault="00000000" w:rsidP="00435107">
      <w:pPr>
        <w:ind w:left="0" w:firstLine="0"/>
        <w:textAlignment w:val="baseline"/>
      </w:pPr>
      <w:r>
        <w:t>Společnými primárními cílovými parametry studie byla klinická remise podle PMS (definovaná jako PMS ≤ 2</w:t>
      </w:r>
      <w:r w:rsidR="002378E0">
        <w:t xml:space="preserve"> a </w:t>
      </w:r>
      <w:r>
        <w:t>žádné individuální podskóre &gt; 1) v </w:t>
      </w:r>
      <w:r w:rsidRPr="00BC5CBC">
        <w:t>týdnu 8</w:t>
      </w:r>
      <w:r w:rsidR="002378E0">
        <w:t xml:space="preserve"> a </w:t>
      </w:r>
      <w:r>
        <w:t>klinická remise podle FMS (úplné Mayo skóre) (definovaná jako Mayo skóre ≤ 2</w:t>
      </w:r>
      <w:r w:rsidR="002378E0">
        <w:t xml:space="preserve"> a </w:t>
      </w:r>
      <w:r>
        <w:t>žádné individuální podskóre &gt; 1) v</w:t>
      </w:r>
      <w:r w:rsidR="00107A9D">
        <w:t> </w:t>
      </w:r>
      <w:r>
        <w:t>týdnu 52 u pacientů, kteří dosáhli klinické odpovědi podle PMS v </w:t>
      </w:r>
      <w:r w:rsidRPr="00BC5CBC">
        <w:t>týdnu 8</w:t>
      </w:r>
      <w:r>
        <w:t>.</w:t>
      </w:r>
    </w:p>
    <w:p w14:paraId="2BAE7103" w14:textId="77777777" w:rsidR="00435107" w:rsidRPr="00D01607" w:rsidRDefault="00435107" w:rsidP="00435107">
      <w:pPr>
        <w:ind w:left="0" w:firstLine="0"/>
        <w:textAlignment w:val="baseline"/>
        <w:rPr>
          <w:lang w:eastAsia="en-GB"/>
        </w:rPr>
      </w:pPr>
    </w:p>
    <w:p w14:paraId="5E3237C3" w14:textId="77777777" w:rsidR="00435107" w:rsidRDefault="00000000" w:rsidP="00435107">
      <w:pPr>
        <w:ind w:left="0" w:firstLine="0"/>
        <w:textAlignment w:val="baseline"/>
      </w:pPr>
      <w:r>
        <w:t>Míry klinické remise podle PMS v </w:t>
      </w:r>
      <w:r w:rsidRPr="00BC5CBC">
        <w:t>týdnu 8</w:t>
      </w:r>
      <w:r>
        <w:t xml:space="preserve"> u pacientů v každé z dvojitě zaslepených indukčních skupin přípravku Humira jsou shrnuty v</w:t>
      </w:r>
      <w:r w:rsidR="00022A9A">
        <w:t> </w:t>
      </w:r>
      <w:r>
        <w:t xml:space="preserve">tabulce </w:t>
      </w:r>
      <w:r w:rsidR="00B4761D">
        <w:t>31</w:t>
      </w:r>
      <w:r>
        <w:t>.</w:t>
      </w:r>
    </w:p>
    <w:p w14:paraId="47920C1B" w14:textId="77777777" w:rsidR="00022A9A" w:rsidRPr="00D01607" w:rsidRDefault="00022A9A" w:rsidP="00435107">
      <w:pPr>
        <w:ind w:left="0" w:firstLine="0"/>
        <w:textAlignment w:val="baseline"/>
      </w:pPr>
    </w:p>
    <w:p w14:paraId="48E74099" w14:textId="77777777" w:rsidR="00435107" w:rsidRPr="001D2137" w:rsidRDefault="00000000" w:rsidP="00022A9A">
      <w:pPr>
        <w:pStyle w:val="gtcbodytext"/>
        <w:keepNext/>
        <w:spacing w:before="0" w:after="0" w:line="240" w:lineRule="auto"/>
        <w:jc w:val="center"/>
        <w:rPr>
          <w:sz w:val="22"/>
          <w:szCs w:val="22"/>
          <w:lang w:val="cs-CZ"/>
        </w:rPr>
      </w:pPr>
      <w:r w:rsidRPr="001D2137">
        <w:rPr>
          <w:b/>
          <w:sz w:val="22"/>
          <w:lang w:val="cs-CZ"/>
        </w:rPr>
        <w:t xml:space="preserve">Tabulka </w:t>
      </w:r>
      <w:r w:rsidR="00B4761D">
        <w:rPr>
          <w:b/>
          <w:sz w:val="22"/>
          <w:lang w:val="cs-CZ"/>
        </w:rPr>
        <w:t>31</w:t>
      </w:r>
      <w:r w:rsidRPr="001D2137">
        <w:rPr>
          <w:b/>
          <w:sz w:val="22"/>
          <w:lang w:val="cs-CZ"/>
        </w:rPr>
        <w:t>: Klinická remise podle PMS po 8 týdnech</w:t>
      </w:r>
    </w:p>
    <w:tbl>
      <w:tblPr>
        <w:tblW w:w="5000" w:type="pct"/>
        <w:jc w:val="center"/>
        <w:tblLook w:val="04A0" w:firstRow="1" w:lastRow="0" w:firstColumn="1" w:lastColumn="0" w:noHBand="0" w:noVBand="1"/>
      </w:tblPr>
      <w:tblGrid>
        <w:gridCol w:w="2242"/>
        <w:gridCol w:w="3376"/>
        <w:gridCol w:w="3437"/>
      </w:tblGrid>
      <w:tr w:rsidR="00534A2D" w14:paraId="6851EF0A" w14:textId="77777777" w:rsidTr="00022A9A">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AA610C9" w14:textId="77777777" w:rsidR="00435107" w:rsidRPr="00D01607" w:rsidRDefault="00435107" w:rsidP="00022A9A">
            <w:pPr>
              <w:keepNext/>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FDEDBBD" w14:textId="77777777" w:rsidR="00435107" w:rsidRPr="00D01607" w:rsidRDefault="00000000" w:rsidP="00022A9A">
            <w:pPr>
              <w:pStyle w:val="paragraph0"/>
              <w:keepNext/>
              <w:spacing w:before="0" w:beforeAutospacing="0" w:after="0" w:afterAutospacing="0"/>
              <w:jc w:val="center"/>
              <w:textAlignment w:val="baseline"/>
              <w:rPr>
                <w:sz w:val="22"/>
                <w:szCs w:val="22"/>
              </w:rPr>
            </w:pPr>
            <w:r>
              <w:rPr>
                <w:rStyle w:val="spellingerror"/>
                <w:b/>
              </w:rPr>
              <w:t>Humira</w:t>
            </w:r>
            <w:r>
              <w:rPr>
                <w:rStyle w:val="spellingerror"/>
                <w:b/>
                <w:vertAlign w:val="superscript"/>
              </w:rPr>
              <w:t>a</w:t>
            </w:r>
            <w:r>
              <w:rPr>
                <w:rStyle w:val="eop"/>
              </w:rPr>
              <w:t> </w:t>
            </w:r>
          </w:p>
          <w:p w14:paraId="23A0D101" w14:textId="77777777" w:rsidR="00435107" w:rsidRPr="00950D86" w:rsidRDefault="00000000" w:rsidP="00022A9A">
            <w:pPr>
              <w:keepNext/>
              <w:ind w:left="0" w:firstLine="0"/>
              <w:jc w:val="center"/>
              <w:rPr>
                <w:rStyle w:val="eop"/>
                <w:b/>
                <w:bCs/>
              </w:rPr>
            </w:pPr>
            <w:r w:rsidRPr="00950D86">
              <w:rPr>
                <w:rStyle w:val="normaltextrun"/>
                <w:b/>
                <w:bCs/>
              </w:rPr>
              <w:t>Maximálně 160</w:t>
            </w:r>
            <w:r w:rsidR="00F365E7" w:rsidRPr="00005EC2">
              <w:rPr>
                <w:szCs w:val="22"/>
              </w:rPr>
              <w:t> </w:t>
            </w:r>
            <w:r w:rsidRPr="00950D86">
              <w:rPr>
                <w:rStyle w:val="normaltextrun"/>
                <w:b/>
                <w:bCs/>
              </w:rPr>
              <w:t>mg v týdnu 0 / placebo v týdnu 1</w:t>
            </w:r>
            <w:r w:rsidRPr="00950D86">
              <w:rPr>
                <w:rStyle w:val="eop"/>
                <w:b/>
                <w:bCs/>
              </w:rPr>
              <w:t xml:space="preserve"> </w:t>
            </w:r>
          </w:p>
          <w:p w14:paraId="6B7EEA34" w14:textId="77777777" w:rsidR="00435107" w:rsidRPr="00D01607" w:rsidRDefault="00000000" w:rsidP="00022A9A">
            <w:pPr>
              <w:keepNext/>
              <w:ind w:left="0" w:firstLine="0"/>
              <w:jc w:val="center"/>
            </w:pPr>
            <w:r>
              <w:rPr>
                <w:rStyle w:val="eop"/>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EEBBABB" w14:textId="77777777" w:rsidR="00435107" w:rsidRPr="00D01607" w:rsidRDefault="00000000" w:rsidP="00022A9A">
            <w:pPr>
              <w:pStyle w:val="paragraph0"/>
              <w:keepNext/>
              <w:spacing w:before="0" w:beforeAutospacing="0" w:after="0" w:afterAutospacing="0"/>
              <w:jc w:val="center"/>
              <w:textAlignment w:val="baseline"/>
              <w:rPr>
                <w:sz w:val="22"/>
                <w:szCs w:val="22"/>
              </w:rPr>
            </w:pPr>
            <w:r>
              <w:rPr>
                <w:rStyle w:val="spellingerror"/>
                <w:b/>
              </w:rPr>
              <w:t>Humira</w:t>
            </w:r>
            <w:r>
              <w:rPr>
                <w:rStyle w:val="spellingerror"/>
                <w:b/>
                <w:vertAlign w:val="superscript"/>
              </w:rPr>
              <w:t>b</w:t>
            </w:r>
            <w:r>
              <w:rPr>
                <w:rStyle w:val="normaltextrun"/>
                <w:sz w:val="22"/>
                <w:vertAlign w:val="superscript"/>
              </w:rPr>
              <w:t>, c</w:t>
            </w:r>
            <w:r>
              <w:rPr>
                <w:rStyle w:val="eop"/>
              </w:rPr>
              <w:t> </w:t>
            </w:r>
          </w:p>
          <w:p w14:paraId="3467A33A" w14:textId="77777777" w:rsidR="00435107" w:rsidRPr="00950D86" w:rsidRDefault="00000000" w:rsidP="00022A9A">
            <w:pPr>
              <w:keepNext/>
              <w:ind w:left="0" w:firstLine="0"/>
              <w:jc w:val="center"/>
              <w:rPr>
                <w:rStyle w:val="eop"/>
                <w:b/>
                <w:bCs/>
              </w:rPr>
            </w:pPr>
            <w:r w:rsidRPr="00950D86">
              <w:rPr>
                <w:rStyle w:val="normaltextrun"/>
                <w:b/>
                <w:bCs/>
              </w:rPr>
              <w:t>Maximálně 160</w:t>
            </w:r>
            <w:r w:rsidR="00F365E7" w:rsidRPr="00005EC2">
              <w:rPr>
                <w:szCs w:val="22"/>
              </w:rPr>
              <w:t> </w:t>
            </w:r>
            <w:r w:rsidRPr="00950D86">
              <w:rPr>
                <w:rStyle w:val="normaltextrun"/>
                <w:b/>
                <w:bCs/>
              </w:rPr>
              <w:t>mg v týdnech 0</w:t>
            </w:r>
            <w:r w:rsidR="002378E0">
              <w:rPr>
                <w:rStyle w:val="normaltextrun"/>
                <w:b/>
                <w:bCs/>
              </w:rPr>
              <w:t xml:space="preserve"> a </w:t>
            </w:r>
            <w:r w:rsidRPr="00950D86">
              <w:rPr>
                <w:rStyle w:val="normaltextrun"/>
                <w:b/>
                <w:bCs/>
              </w:rPr>
              <w:t>1</w:t>
            </w:r>
          </w:p>
          <w:p w14:paraId="06EDB553" w14:textId="77777777" w:rsidR="00435107" w:rsidRPr="00D01607" w:rsidRDefault="00000000" w:rsidP="00022A9A">
            <w:pPr>
              <w:keepNext/>
              <w:ind w:left="0" w:firstLine="0"/>
              <w:jc w:val="center"/>
            </w:pPr>
            <w:r>
              <w:rPr>
                <w:rStyle w:val="eop"/>
              </w:rPr>
              <w:t>n=47</w:t>
            </w:r>
          </w:p>
        </w:tc>
      </w:tr>
      <w:tr w:rsidR="00534A2D" w14:paraId="5421AD6E" w14:textId="77777777" w:rsidTr="00022A9A">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4C542F" w14:textId="77777777" w:rsidR="00435107" w:rsidRPr="00D01607" w:rsidRDefault="00000000" w:rsidP="00022A9A">
            <w:pPr>
              <w:keepNext/>
            </w:pPr>
            <w:r>
              <w:t>Klinická remise</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D466B16" w14:textId="77777777" w:rsidR="00435107" w:rsidRPr="00D01607" w:rsidRDefault="00000000" w:rsidP="00022A9A">
            <w:pPr>
              <w:keepNext/>
              <w:jc w:val="center"/>
            </w:pPr>
            <w:r>
              <w:t>13/30 (43,3 %)</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18706EE" w14:textId="77777777" w:rsidR="00435107" w:rsidRPr="00D01607" w:rsidRDefault="00000000" w:rsidP="00022A9A">
            <w:pPr>
              <w:keepNext/>
              <w:jc w:val="center"/>
              <w:rPr>
                <w:vertAlign w:val="superscript"/>
              </w:rPr>
            </w:pPr>
            <w:r>
              <w:t>28/47 (59,6 %)</w:t>
            </w:r>
          </w:p>
        </w:tc>
      </w:tr>
      <w:tr w:rsidR="00534A2D" w14:paraId="01B837BB" w14:textId="77777777" w:rsidTr="00022A9A">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B072E0D" w14:textId="77777777" w:rsidR="00435107" w:rsidRPr="00950D86" w:rsidRDefault="00000000" w:rsidP="008401F1">
            <w:pPr>
              <w:pStyle w:val="paragraph0"/>
              <w:spacing w:before="0" w:beforeAutospacing="0" w:after="0" w:afterAutospacing="0"/>
              <w:textAlignment w:val="baseline"/>
              <w:rPr>
                <w:sz w:val="22"/>
                <w:szCs w:val="22"/>
              </w:rPr>
            </w:pPr>
            <w:r>
              <w:rPr>
                <w:rStyle w:val="normaltextrun"/>
                <w:sz w:val="22"/>
                <w:vertAlign w:val="superscript"/>
              </w:rPr>
              <w:t>a</w:t>
            </w:r>
            <w:r w:rsidR="00012979">
              <w:rPr>
                <w:rStyle w:val="normaltextrun"/>
                <w:sz w:val="22"/>
                <w:vertAlign w:val="superscript"/>
              </w:rPr>
              <w:t xml:space="preserve"> </w:t>
            </w:r>
            <w:r w:rsidRPr="00950D86">
              <w:rPr>
                <w:rStyle w:val="normaltextrun"/>
                <w:sz w:val="22"/>
                <w:szCs w:val="22"/>
              </w:rPr>
              <w:t>Humira 2,4</w:t>
            </w:r>
            <w:r w:rsidR="00F365E7" w:rsidRPr="00005EC2">
              <w:rPr>
                <w:sz w:val="22"/>
                <w:szCs w:val="22"/>
              </w:rPr>
              <w:t> </w:t>
            </w:r>
            <w:r w:rsidRPr="00950D86">
              <w:rPr>
                <w:rStyle w:val="normaltextrun"/>
                <w:sz w:val="22"/>
                <w:szCs w:val="22"/>
              </w:rPr>
              <w:t>mg/kg (maximální dávka 160</w:t>
            </w:r>
            <w:r w:rsidR="00F365E7" w:rsidRPr="00005EC2">
              <w:rPr>
                <w:sz w:val="22"/>
                <w:szCs w:val="22"/>
              </w:rPr>
              <w:t> </w:t>
            </w:r>
            <w:r w:rsidRPr="00950D86">
              <w:rPr>
                <w:rStyle w:val="normaltextrun"/>
                <w:sz w:val="22"/>
                <w:szCs w:val="22"/>
              </w:rPr>
              <w:t>mg) v týdnu 0, placebo v týdnu 1</w:t>
            </w:r>
            <w:r w:rsidR="002378E0">
              <w:rPr>
                <w:rStyle w:val="normaltextrun"/>
                <w:sz w:val="22"/>
                <w:szCs w:val="22"/>
              </w:rPr>
              <w:t xml:space="preserve"> a </w:t>
            </w:r>
            <w:r w:rsidRPr="00950D86">
              <w:rPr>
                <w:rStyle w:val="normaltextrun"/>
                <w:sz w:val="22"/>
                <w:szCs w:val="22"/>
              </w:rPr>
              <w:t>1,2</w:t>
            </w:r>
            <w:r w:rsidR="00874DE1" w:rsidRPr="00005EC2">
              <w:rPr>
                <w:sz w:val="22"/>
                <w:szCs w:val="22"/>
              </w:rPr>
              <w:t> </w:t>
            </w:r>
            <w:r w:rsidRPr="00950D86">
              <w:rPr>
                <w:rStyle w:val="normaltextrun"/>
                <w:sz w:val="22"/>
                <w:szCs w:val="22"/>
              </w:rPr>
              <w:t>mg/kg (maximální dávka 80</w:t>
            </w:r>
            <w:r w:rsidR="00F365E7" w:rsidRPr="00005EC2">
              <w:rPr>
                <w:sz w:val="22"/>
                <w:szCs w:val="22"/>
              </w:rPr>
              <w:t> </w:t>
            </w:r>
            <w:r w:rsidRPr="00950D86">
              <w:rPr>
                <w:rStyle w:val="normaltextrun"/>
                <w:sz w:val="22"/>
                <w:szCs w:val="22"/>
              </w:rPr>
              <w:t>mg) v</w:t>
            </w:r>
            <w:r w:rsidR="00022A9A" w:rsidRPr="00950D86">
              <w:rPr>
                <w:rStyle w:val="normaltextrun"/>
                <w:sz w:val="22"/>
                <w:szCs w:val="22"/>
              </w:rPr>
              <w:t> </w:t>
            </w:r>
            <w:r w:rsidRPr="00950D86">
              <w:rPr>
                <w:rStyle w:val="normaltextrun"/>
                <w:sz w:val="22"/>
                <w:szCs w:val="22"/>
              </w:rPr>
              <w:t>týdnu</w:t>
            </w:r>
            <w:r w:rsidRPr="00950D86">
              <w:rPr>
                <w:rStyle w:val="eop"/>
                <w:sz w:val="22"/>
                <w:szCs w:val="22"/>
              </w:rPr>
              <w:t xml:space="preserve"> 2</w:t>
            </w:r>
          </w:p>
          <w:p w14:paraId="4D7E8170" w14:textId="77777777" w:rsidR="00435107" w:rsidRPr="00950D86" w:rsidRDefault="00000000" w:rsidP="008401F1">
            <w:pPr>
              <w:pStyle w:val="paragraph0"/>
              <w:spacing w:before="0" w:beforeAutospacing="0" w:after="0" w:afterAutospacing="0"/>
              <w:textAlignment w:val="baseline"/>
              <w:rPr>
                <w:sz w:val="22"/>
                <w:szCs w:val="22"/>
              </w:rPr>
            </w:pPr>
            <w:r w:rsidRPr="00950D86">
              <w:rPr>
                <w:rStyle w:val="normaltextrun"/>
                <w:sz w:val="22"/>
                <w:szCs w:val="22"/>
                <w:vertAlign w:val="superscript"/>
              </w:rPr>
              <w:t>b</w:t>
            </w:r>
            <w:r w:rsidR="00012979" w:rsidRPr="00950D86">
              <w:rPr>
                <w:rStyle w:val="normaltextrun"/>
                <w:sz w:val="22"/>
                <w:szCs w:val="22"/>
                <w:vertAlign w:val="superscript"/>
              </w:rPr>
              <w:t xml:space="preserve"> </w:t>
            </w:r>
            <w:r w:rsidRPr="00950D86">
              <w:rPr>
                <w:rStyle w:val="normaltextrun"/>
                <w:sz w:val="22"/>
                <w:szCs w:val="22"/>
              </w:rPr>
              <w:t>Humira 2,4</w:t>
            </w:r>
            <w:r w:rsidR="00F365E7" w:rsidRPr="00005EC2">
              <w:rPr>
                <w:sz w:val="22"/>
                <w:szCs w:val="22"/>
              </w:rPr>
              <w:t> </w:t>
            </w:r>
            <w:r w:rsidRPr="00950D86">
              <w:rPr>
                <w:rStyle w:val="normaltextrun"/>
                <w:sz w:val="22"/>
                <w:szCs w:val="22"/>
              </w:rPr>
              <w:t>mg/kg (maximální dávka 160</w:t>
            </w:r>
            <w:r w:rsidR="00F365E7" w:rsidRPr="00005EC2">
              <w:rPr>
                <w:sz w:val="22"/>
                <w:szCs w:val="22"/>
              </w:rPr>
              <w:t> </w:t>
            </w:r>
            <w:r w:rsidRPr="00950D86">
              <w:rPr>
                <w:rStyle w:val="normaltextrun"/>
                <w:sz w:val="22"/>
                <w:szCs w:val="22"/>
              </w:rPr>
              <w:t>mg) v týdnech 0</w:t>
            </w:r>
            <w:r w:rsidR="002378E0">
              <w:rPr>
                <w:rStyle w:val="normaltextrun"/>
                <w:sz w:val="22"/>
                <w:szCs w:val="22"/>
              </w:rPr>
              <w:t xml:space="preserve"> a </w:t>
            </w:r>
            <w:r w:rsidRPr="00950D86">
              <w:rPr>
                <w:rStyle w:val="normaltextrun"/>
                <w:sz w:val="22"/>
                <w:szCs w:val="22"/>
              </w:rPr>
              <w:t>1</w:t>
            </w:r>
            <w:r w:rsidR="002378E0">
              <w:rPr>
                <w:rStyle w:val="normaltextrun"/>
                <w:sz w:val="22"/>
                <w:szCs w:val="22"/>
              </w:rPr>
              <w:t xml:space="preserve"> a </w:t>
            </w:r>
            <w:r w:rsidRPr="00950D86">
              <w:rPr>
                <w:rStyle w:val="normaltextrun"/>
                <w:sz w:val="22"/>
                <w:szCs w:val="22"/>
              </w:rPr>
              <w:t>1,2mg/kg (maximální dávka 80</w:t>
            </w:r>
            <w:r w:rsidR="00874DE1" w:rsidRPr="00005EC2">
              <w:rPr>
                <w:sz w:val="22"/>
                <w:szCs w:val="22"/>
              </w:rPr>
              <w:t> </w:t>
            </w:r>
            <w:r w:rsidRPr="00950D86">
              <w:rPr>
                <w:rStyle w:val="normaltextrun"/>
                <w:sz w:val="22"/>
                <w:szCs w:val="22"/>
              </w:rPr>
              <w:t>mg) v</w:t>
            </w:r>
            <w:r w:rsidR="00022A9A" w:rsidRPr="00950D86">
              <w:rPr>
                <w:rStyle w:val="normaltextrun"/>
                <w:sz w:val="22"/>
                <w:szCs w:val="22"/>
              </w:rPr>
              <w:t> </w:t>
            </w:r>
            <w:r w:rsidRPr="00950D86">
              <w:rPr>
                <w:rStyle w:val="normaltextrun"/>
                <w:sz w:val="22"/>
                <w:szCs w:val="22"/>
              </w:rPr>
              <w:t>týdnu</w:t>
            </w:r>
            <w:r w:rsidRPr="00950D86">
              <w:rPr>
                <w:rStyle w:val="eop"/>
                <w:sz w:val="22"/>
                <w:szCs w:val="22"/>
              </w:rPr>
              <w:t xml:space="preserve"> 2</w:t>
            </w:r>
          </w:p>
          <w:p w14:paraId="093881EE" w14:textId="77777777" w:rsidR="00435107" w:rsidRPr="00950D86" w:rsidRDefault="00000000" w:rsidP="008401F1">
            <w:pPr>
              <w:pStyle w:val="paragraph0"/>
              <w:spacing w:before="0" w:beforeAutospacing="0" w:after="0" w:afterAutospacing="0"/>
              <w:textAlignment w:val="baseline"/>
              <w:rPr>
                <w:sz w:val="22"/>
                <w:szCs w:val="22"/>
              </w:rPr>
            </w:pPr>
            <w:r w:rsidRPr="00950D86">
              <w:rPr>
                <w:rStyle w:val="normaltextrun"/>
                <w:sz w:val="22"/>
                <w:szCs w:val="22"/>
                <w:vertAlign w:val="superscript"/>
              </w:rPr>
              <w:t>c</w:t>
            </w:r>
            <w:r w:rsidR="00012979" w:rsidRPr="00950D86">
              <w:rPr>
                <w:rStyle w:val="normaltextrun"/>
                <w:sz w:val="22"/>
                <w:szCs w:val="22"/>
                <w:vertAlign w:val="superscript"/>
              </w:rPr>
              <w:t xml:space="preserve"> </w:t>
            </w:r>
            <w:r w:rsidRPr="00950D86">
              <w:rPr>
                <w:rStyle w:val="normaltextrun"/>
                <w:sz w:val="22"/>
                <w:szCs w:val="22"/>
              </w:rPr>
              <w:t>Nezahrnuje nezaslepenou indukční dávku přípravku Humira 2,4</w:t>
            </w:r>
            <w:r w:rsidR="00874DE1" w:rsidRPr="00005EC2">
              <w:rPr>
                <w:sz w:val="22"/>
                <w:szCs w:val="22"/>
              </w:rPr>
              <w:t> </w:t>
            </w:r>
            <w:r w:rsidRPr="00950D86">
              <w:rPr>
                <w:rStyle w:val="normaltextrun"/>
                <w:sz w:val="22"/>
                <w:szCs w:val="22"/>
              </w:rPr>
              <w:t>mg/kg (maximální dávka 160</w:t>
            </w:r>
            <w:r w:rsidR="00874DE1" w:rsidRPr="00005EC2">
              <w:rPr>
                <w:sz w:val="22"/>
                <w:szCs w:val="22"/>
              </w:rPr>
              <w:t> </w:t>
            </w:r>
            <w:r w:rsidRPr="00950D86">
              <w:rPr>
                <w:rStyle w:val="normaltextrun"/>
                <w:sz w:val="22"/>
                <w:szCs w:val="22"/>
              </w:rPr>
              <w:t>mg) v týdnech 0</w:t>
            </w:r>
            <w:r w:rsidR="002378E0">
              <w:rPr>
                <w:rStyle w:val="normaltextrun"/>
                <w:sz w:val="22"/>
                <w:szCs w:val="22"/>
              </w:rPr>
              <w:t xml:space="preserve"> a </w:t>
            </w:r>
            <w:r w:rsidRPr="00950D86">
              <w:rPr>
                <w:rStyle w:val="normaltextrun"/>
                <w:sz w:val="22"/>
                <w:szCs w:val="22"/>
              </w:rPr>
              <w:t>1</w:t>
            </w:r>
            <w:r w:rsidR="002378E0">
              <w:rPr>
                <w:rStyle w:val="normaltextrun"/>
                <w:sz w:val="22"/>
                <w:szCs w:val="22"/>
              </w:rPr>
              <w:t xml:space="preserve"> a </w:t>
            </w:r>
            <w:r w:rsidRPr="00950D86">
              <w:rPr>
                <w:rStyle w:val="normaltextrun"/>
                <w:sz w:val="22"/>
                <w:szCs w:val="22"/>
              </w:rPr>
              <w:t>1,2</w:t>
            </w:r>
            <w:r w:rsidR="00874DE1" w:rsidRPr="00005EC2">
              <w:rPr>
                <w:sz w:val="22"/>
                <w:szCs w:val="22"/>
              </w:rPr>
              <w:t> </w:t>
            </w:r>
            <w:r w:rsidRPr="00950D86">
              <w:rPr>
                <w:rStyle w:val="normaltextrun"/>
                <w:sz w:val="22"/>
                <w:szCs w:val="22"/>
              </w:rPr>
              <w:t>mg/kg (maximální dávka 80</w:t>
            </w:r>
            <w:r w:rsidR="00874DE1" w:rsidRPr="00005EC2">
              <w:rPr>
                <w:sz w:val="22"/>
                <w:szCs w:val="22"/>
              </w:rPr>
              <w:t> </w:t>
            </w:r>
            <w:r w:rsidRPr="00950D86">
              <w:rPr>
                <w:rStyle w:val="normaltextrun"/>
                <w:sz w:val="22"/>
                <w:szCs w:val="22"/>
              </w:rPr>
              <w:t>mg) v</w:t>
            </w:r>
            <w:r w:rsidR="00022A9A" w:rsidRPr="00950D86">
              <w:rPr>
                <w:rStyle w:val="normaltextrun"/>
                <w:sz w:val="22"/>
                <w:szCs w:val="22"/>
              </w:rPr>
              <w:t> </w:t>
            </w:r>
            <w:r w:rsidRPr="00950D86">
              <w:rPr>
                <w:rStyle w:val="normaltextrun"/>
                <w:sz w:val="22"/>
                <w:szCs w:val="22"/>
              </w:rPr>
              <w:t>týdnu 2</w:t>
            </w:r>
          </w:p>
          <w:p w14:paraId="57DD2B93" w14:textId="77777777" w:rsidR="00435107" w:rsidRPr="00950D86" w:rsidRDefault="00000000" w:rsidP="008401F1">
            <w:pPr>
              <w:pStyle w:val="paragraph0"/>
              <w:spacing w:before="0" w:beforeAutospacing="0" w:after="0" w:afterAutospacing="0"/>
              <w:textAlignment w:val="baseline"/>
              <w:rPr>
                <w:sz w:val="22"/>
                <w:szCs w:val="22"/>
              </w:rPr>
            </w:pPr>
            <w:r w:rsidRPr="00950D86">
              <w:rPr>
                <w:rStyle w:val="normaltextrun"/>
                <w:sz w:val="22"/>
                <w:szCs w:val="22"/>
              </w:rPr>
              <w:t>Pozn. 1:</w:t>
            </w:r>
            <w:r w:rsidRPr="00950D86">
              <w:rPr>
                <w:sz w:val="22"/>
                <w:szCs w:val="22"/>
              </w:rPr>
              <w:t xml:space="preserve"> </w:t>
            </w:r>
            <w:r w:rsidRPr="00950D86">
              <w:rPr>
                <w:rStyle w:val="normaltextrun"/>
                <w:sz w:val="22"/>
                <w:szCs w:val="22"/>
              </w:rPr>
              <w:t>Obě indukční skupiny dostávaly 0,6</w:t>
            </w:r>
            <w:r w:rsidR="00874DE1" w:rsidRPr="00005EC2">
              <w:rPr>
                <w:sz w:val="22"/>
                <w:szCs w:val="22"/>
              </w:rPr>
              <w:t> </w:t>
            </w:r>
            <w:r w:rsidRPr="00950D86">
              <w:rPr>
                <w:rStyle w:val="normaltextrun"/>
                <w:sz w:val="22"/>
                <w:szCs w:val="22"/>
              </w:rPr>
              <w:t>mg/kg (maximální dávka 40</w:t>
            </w:r>
            <w:r w:rsidR="00874DE1" w:rsidRPr="00005EC2">
              <w:rPr>
                <w:sz w:val="22"/>
                <w:szCs w:val="22"/>
              </w:rPr>
              <w:t> </w:t>
            </w:r>
            <w:r w:rsidRPr="00950D86">
              <w:rPr>
                <w:rStyle w:val="normaltextrun"/>
                <w:sz w:val="22"/>
                <w:szCs w:val="22"/>
              </w:rPr>
              <w:t>mg) v</w:t>
            </w:r>
            <w:r w:rsidR="00022A9A" w:rsidRPr="00950D86">
              <w:rPr>
                <w:rStyle w:val="normaltextrun"/>
                <w:sz w:val="22"/>
                <w:szCs w:val="22"/>
              </w:rPr>
              <w:t> </w:t>
            </w:r>
            <w:r w:rsidRPr="00950D86">
              <w:rPr>
                <w:rStyle w:val="normaltextrun"/>
                <w:sz w:val="22"/>
                <w:szCs w:val="22"/>
              </w:rPr>
              <w:t>týdnech</w:t>
            </w:r>
            <w:r w:rsidRPr="00950D86">
              <w:rPr>
                <w:rStyle w:val="eop"/>
                <w:sz w:val="22"/>
                <w:szCs w:val="22"/>
              </w:rPr>
              <w:t xml:space="preserve"> 4</w:t>
            </w:r>
            <w:r w:rsidR="002378E0">
              <w:rPr>
                <w:rStyle w:val="eop"/>
                <w:sz w:val="22"/>
                <w:szCs w:val="22"/>
              </w:rPr>
              <w:t xml:space="preserve"> a </w:t>
            </w:r>
            <w:r w:rsidRPr="00950D86">
              <w:rPr>
                <w:rStyle w:val="eop"/>
                <w:sz w:val="22"/>
                <w:szCs w:val="22"/>
              </w:rPr>
              <w:t xml:space="preserve">6 </w:t>
            </w:r>
          </w:p>
          <w:p w14:paraId="5ADD955F" w14:textId="77777777" w:rsidR="00435107" w:rsidRPr="00D01607" w:rsidRDefault="00000000" w:rsidP="008401F1">
            <w:pPr>
              <w:pStyle w:val="paragraph0"/>
              <w:spacing w:before="0" w:beforeAutospacing="0" w:after="0" w:afterAutospacing="0"/>
              <w:textAlignment w:val="baseline"/>
              <w:rPr>
                <w:sz w:val="22"/>
                <w:szCs w:val="22"/>
              </w:rPr>
            </w:pPr>
            <w:r w:rsidRPr="00950D86">
              <w:rPr>
                <w:rStyle w:val="normaltextrun"/>
                <w:sz w:val="22"/>
                <w:szCs w:val="22"/>
              </w:rPr>
              <w:t>Pozn. 2:</w:t>
            </w:r>
            <w:r w:rsidRPr="00950D86">
              <w:rPr>
                <w:sz w:val="22"/>
                <w:szCs w:val="22"/>
              </w:rPr>
              <w:t xml:space="preserve"> </w:t>
            </w:r>
            <w:r w:rsidRPr="00950D86">
              <w:rPr>
                <w:rStyle w:val="normaltextrun"/>
                <w:sz w:val="22"/>
                <w:szCs w:val="22"/>
              </w:rPr>
              <w:t>Pacienti s chybějícími hodnotami v týdnu 8 byli považováni za pacienty, kteří nesplnili cílový parametr</w:t>
            </w:r>
            <w:r>
              <w:rPr>
                <w:rStyle w:val="eop"/>
              </w:rPr>
              <w:t xml:space="preserve"> </w:t>
            </w:r>
          </w:p>
        </w:tc>
      </w:tr>
    </w:tbl>
    <w:p w14:paraId="133EA8B9" w14:textId="77777777" w:rsidR="00435107" w:rsidRPr="00D01607" w:rsidRDefault="00435107" w:rsidP="00435107">
      <w:pPr>
        <w:rPr>
          <w:rStyle w:val="normaltextrun"/>
          <w:shd w:val="clear" w:color="auto" w:fill="FFFFFF"/>
        </w:rPr>
      </w:pPr>
    </w:p>
    <w:p w14:paraId="65DB85FE" w14:textId="77777777" w:rsidR="00435107" w:rsidRPr="00D01607" w:rsidRDefault="00000000" w:rsidP="00435107">
      <w:pPr>
        <w:ind w:left="0" w:firstLine="0"/>
      </w:pPr>
      <w:r>
        <w:rPr>
          <w:rStyle w:val="normaltextrun"/>
          <w:shd w:val="clear" w:color="auto" w:fill="FFFFFF"/>
        </w:rPr>
        <w:t>V</w:t>
      </w:r>
      <w:r w:rsidR="00012979">
        <w:rPr>
          <w:rStyle w:val="normaltextrun"/>
          <w:shd w:val="clear" w:color="auto" w:fill="FFFFFF"/>
        </w:rPr>
        <w:t> </w:t>
      </w:r>
      <w:r>
        <w:rPr>
          <w:rStyle w:val="normaltextrun"/>
          <w:shd w:val="clear" w:color="auto" w:fill="FFFFFF"/>
        </w:rPr>
        <w:t>týdnu 52 byly klinická remise podle FMS u pacientů s odpovědí v </w:t>
      </w:r>
      <w:r w:rsidRPr="00BC5CBC">
        <w:rPr>
          <w:rStyle w:val="normaltextrun"/>
          <w:shd w:val="clear" w:color="auto" w:fill="FFFFFF"/>
        </w:rPr>
        <w:t>týdnu 8</w:t>
      </w:r>
      <w:r>
        <w:rPr>
          <w:rStyle w:val="normaltextrun"/>
          <w:shd w:val="clear" w:color="auto" w:fill="FFFFFF"/>
        </w:rPr>
        <w:t>, klinická odpověď podle FMS (definovaná jako snížení Mayo skóre o ≥ 3 body</w:t>
      </w:r>
      <w:r w:rsidR="002378E0">
        <w:rPr>
          <w:rStyle w:val="normaltextrun"/>
          <w:shd w:val="clear" w:color="auto" w:fill="FFFFFF"/>
        </w:rPr>
        <w:t xml:space="preserve"> a </w:t>
      </w:r>
      <w:r>
        <w:rPr>
          <w:rStyle w:val="normaltextrun"/>
          <w:shd w:val="clear" w:color="auto" w:fill="FFFFFF"/>
        </w:rPr>
        <w:t>≥ 30</w:t>
      </w:r>
      <w:r w:rsidR="00A57F08">
        <w:rPr>
          <w:rStyle w:val="normaltextrun"/>
        </w:rPr>
        <w:t> </w:t>
      </w:r>
      <w:r>
        <w:rPr>
          <w:rStyle w:val="normaltextrun"/>
          <w:shd w:val="clear" w:color="auto" w:fill="FFFFFF"/>
        </w:rPr>
        <w:t>% oproti výchozím hodnotám) u pacientů s odpovědí v </w:t>
      </w:r>
      <w:r w:rsidRPr="00BC5CBC">
        <w:rPr>
          <w:rStyle w:val="normaltextrun"/>
          <w:shd w:val="clear" w:color="auto" w:fill="FFFFFF"/>
        </w:rPr>
        <w:t>týdnu 8</w:t>
      </w:r>
      <w:r>
        <w:rPr>
          <w:rStyle w:val="normaltextrun"/>
          <w:shd w:val="clear" w:color="auto" w:fill="FFFFFF"/>
        </w:rPr>
        <w:t xml:space="preserve">, zhojení sliznice (definováno jako Mayo </w:t>
      </w:r>
      <w:r w:rsidR="007A11FF">
        <w:rPr>
          <w:rStyle w:val="normaltextrun"/>
          <w:shd w:val="clear" w:color="auto" w:fill="FFFFFF"/>
        </w:rPr>
        <w:t>pod</w:t>
      </w:r>
      <w:r>
        <w:rPr>
          <w:rStyle w:val="normaltextrun"/>
          <w:shd w:val="clear" w:color="auto" w:fill="FFFFFF"/>
        </w:rPr>
        <w:t>skóre endoskopie ≤ 1) u pacientů s odpovědí v </w:t>
      </w:r>
      <w:r w:rsidRPr="00BC5CBC">
        <w:rPr>
          <w:rStyle w:val="normaltextrun"/>
          <w:shd w:val="clear" w:color="auto" w:fill="FFFFFF"/>
        </w:rPr>
        <w:t>týdnu 8</w:t>
      </w:r>
      <w:r>
        <w:rPr>
          <w:rStyle w:val="normaltextrun"/>
          <w:shd w:val="clear" w:color="auto" w:fill="FFFFFF"/>
        </w:rPr>
        <w:t>, klinická remise podle FMS u pacientů s remisí v </w:t>
      </w:r>
      <w:r w:rsidRPr="00BC5CBC">
        <w:rPr>
          <w:rStyle w:val="normaltextrun"/>
          <w:shd w:val="clear" w:color="auto" w:fill="FFFFFF"/>
        </w:rPr>
        <w:t>týdnu 8</w:t>
      </w:r>
      <w:r w:rsidR="002378E0">
        <w:rPr>
          <w:rStyle w:val="normaltextrun"/>
          <w:shd w:val="clear" w:color="auto" w:fill="FFFFFF"/>
        </w:rPr>
        <w:t xml:space="preserve"> a </w:t>
      </w:r>
      <w:r>
        <w:rPr>
          <w:rStyle w:val="normaltextrun"/>
          <w:shd w:val="clear" w:color="auto" w:fill="FFFFFF"/>
        </w:rPr>
        <w:t>podíl subjektů v remisi bez kortikosteroidů podle FMS v </w:t>
      </w:r>
      <w:r w:rsidRPr="00BC5CBC">
        <w:rPr>
          <w:rStyle w:val="normaltextrun"/>
          <w:shd w:val="clear" w:color="auto" w:fill="FFFFFF"/>
        </w:rPr>
        <w:t>týdnu 8</w:t>
      </w:r>
      <w:r>
        <w:rPr>
          <w:rStyle w:val="normaltextrun"/>
          <w:shd w:val="clear" w:color="auto" w:fill="FFFFFF"/>
        </w:rPr>
        <w:t xml:space="preserve"> hodnoceny u pacientů, kteří dostávali přípravek Humira v dvojitě zaslepené maximální udržovací dávce 40</w:t>
      </w:r>
      <w:r w:rsidR="00874DE1" w:rsidRPr="00005EC2">
        <w:rPr>
          <w:szCs w:val="22"/>
        </w:rPr>
        <w:t> </w:t>
      </w:r>
      <w:r>
        <w:rPr>
          <w:rStyle w:val="normaltextrun"/>
          <w:shd w:val="clear" w:color="auto" w:fill="FFFFFF"/>
        </w:rPr>
        <w:t xml:space="preserve">mg </w:t>
      </w:r>
      <w:r w:rsidR="00107A9D">
        <w:t>jednou za dva týdny</w:t>
      </w:r>
      <w:r w:rsidR="00107A9D">
        <w:rPr>
          <w:rStyle w:val="spellingerror"/>
          <w:shd w:val="clear" w:color="auto" w:fill="FFFFFF"/>
        </w:rPr>
        <w:t xml:space="preserve"> </w:t>
      </w:r>
      <w:r>
        <w:rPr>
          <w:rStyle w:val="normaltextrun"/>
          <w:shd w:val="clear" w:color="auto" w:fill="FFFFFF"/>
        </w:rPr>
        <w:t>(0,6</w:t>
      </w:r>
      <w:r w:rsidR="00B4761D">
        <w:rPr>
          <w:rStyle w:val="normaltextrun"/>
          <w:shd w:val="clear" w:color="auto" w:fill="FFFFFF"/>
        </w:rPr>
        <w:t> </w:t>
      </w:r>
      <w:r>
        <w:rPr>
          <w:rStyle w:val="normaltextrun"/>
          <w:shd w:val="clear" w:color="auto" w:fill="FFFFFF"/>
        </w:rPr>
        <w:t>mg/kg)</w:t>
      </w:r>
      <w:r w:rsidR="002378E0">
        <w:rPr>
          <w:rStyle w:val="normaltextrun"/>
          <w:shd w:val="clear" w:color="auto" w:fill="FFFFFF"/>
        </w:rPr>
        <w:t xml:space="preserve"> a </w:t>
      </w:r>
      <w:r>
        <w:rPr>
          <w:rStyle w:val="normaltextrun"/>
          <w:shd w:val="clear" w:color="auto" w:fill="FFFFFF"/>
        </w:rPr>
        <w:t xml:space="preserve">maximální udržovací dávce 40 mg </w:t>
      </w:r>
      <w:r w:rsidR="00107A9D">
        <w:t>každý týden</w:t>
      </w:r>
      <w:r w:rsidR="00107A9D">
        <w:rPr>
          <w:rStyle w:val="spellingerror"/>
          <w:shd w:val="clear" w:color="auto" w:fill="FFFFFF"/>
        </w:rPr>
        <w:t xml:space="preserve"> </w:t>
      </w:r>
      <w:r>
        <w:rPr>
          <w:rStyle w:val="normaltextrun"/>
          <w:shd w:val="clear" w:color="auto" w:fill="FFFFFF"/>
        </w:rPr>
        <w:t>(0,6</w:t>
      </w:r>
      <w:r w:rsidR="00874DE1" w:rsidRPr="00005EC2">
        <w:rPr>
          <w:szCs w:val="22"/>
        </w:rPr>
        <w:t> </w:t>
      </w:r>
      <w:r>
        <w:rPr>
          <w:rStyle w:val="normaltextrun"/>
          <w:shd w:val="clear" w:color="auto" w:fill="FFFFFF"/>
        </w:rPr>
        <w:t xml:space="preserve">mg/kg) (tabulka </w:t>
      </w:r>
      <w:r w:rsidR="00B4761D">
        <w:rPr>
          <w:rStyle w:val="normaltextrun"/>
          <w:shd w:val="clear" w:color="auto" w:fill="FFFFFF"/>
        </w:rPr>
        <w:t>32</w:t>
      </w:r>
      <w:r>
        <w:rPr>
          <w:rStyle w:val="normaltextrun"/>
          <w:shd w:val="clear" w:color="auto" w:fill="FFFFFF"/>
        </w:rPr>
        <w:t>).</w:t>
      </w:r>
    </w:p>
    <w:p w14:paraId="31B04860" w14:textId="77777777" w:rsidR="00435107" w:rsidRPr="00D01607" w:rsidRDefault="00435107" w:rsidP="00435107"/>
    <w:p w14:paraId="52D56251" w14:textId="77777777" w:rsidR="00435107" w:rsidRPr="00D01607" w:rsidRDefault="00000000" w:rsidP="008102BE">
      <w:pPr>
        <w:keepNext/>
        <w:ind w:left="0" w:firstLine="0"/>
        <w:jc w:val="center"/>
        <w:textAlignment w:val="baseline"/>
      </w:pPr>
      <w:r>
        <w:rPr>
          <w:b/>
        </w:rPr>
        <w:t xml:space="preserve">Tabulka </w:t>
      </w:r>
      <w:r w:rsidR="00B4761D">
        <w:rPr>
          <w:b/>
        </w:rPr>
        <w:t>32</w:t>
      </w:r>
      <w:r>
        <w:rPr>
          <w:b/>
        </w:rPr>
        <w:t>:</w:t>
      </w:r>
      <w:r>
        <w:t xml:space="preserve"> </w:t>
      </w:r>
      <w:r>
        <w:rPr>
          <w:b/>
        </w:rPr>
        <w:t>Výsledky účinnosti po 52 týdnech</w:t>
      </w:r>
    </w:p>
    <w:p w14:paraId="5F29964A" w14:textId="77777777" w:rsidR="00435107" w:rsidRPr="00D01607" w:rsidRDefault="00435107" w:rsidP="008102BE">
      <w:pPr>
        <w:keepNext/>
        <w:ind w:left="0" w:firstLine="0"/>
        <w:jc w:val="center"/>
        <w:textAlignment w:val="baseline"/>
        <w:rPr>
          <w:lang w:eastAsia="en-GB"/>
        </w:rPr>
      </w:pP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7"/>
        <w:gridCol w:w="2841"/>
        <w:gridCol w:w="2967"/>
      </w:tblGrid>
      <w:tr w:rsidR="00534A2D" w14:paraId="74C09AD1" w14:textId="77777777" w:rsidTr="00240790">
        <w:trPr>
          <w:trHeight w:val="912"/>
          <w:jc w:val="center"/>
        </w:trPr>
        <w:tc>
          <w:tcPr>
            <w:tcW w:w="3247" w:type="dxa"/>
            <w:tcBorders>
              <w:top w:val="single" w:sz="6" w:space="0" w:color="auto"/>
              <w:left w:val="single" w:sz="6" w:space="0" w:color="auto"/>
              <w:bottom w:val="single" w:sz="6" w:space="0" w:color="auto"/>
              <w:right w:val="single" w:sz="6" w:space="0" w:color="auto"/>
            </w:tcBorders>
            <w:shd w:val="clear" w:color="auto" w:fill="auto"/>
            <w:hideMark/>
          </w:tcPr>
          <w:p w14:paraId="59777F0E" w14:textId="77777777" w:rsidR="00435107" w:rsidRPr="00D01607" w:rsidRDefault="00435107" w:rsidP="008401F1">
            <w:pPr>
              <w:jc w:val="center"/>
              <w:textAlignment w:val="baseline"/>
              <w:rPr>
                <w:lang w:eastAsia="en-GB"/>
              </w:rPr>
            </w:pPr>
          </w:p>
        </w:tc>
        <w:tc>
          <w:tcPr>
            <w:tcW w:w="2841" w:type="dxa"/>
            <w:tcBorders>
              <w:top w:val="single" w:sz="6" w:space="0" w:color="auto"/>
              <w:left w:val="nil"/>
              <w:bottom w:val="single" w:sz="6" w:space="0" w:color="auto"/>
              <w:right w:val="single" w:sz="6" w:space="0" w:color="auto"/>
            </w:tcBorders>
            <w:shd w:val="clear" w:color="auto" w:fill="auto"/>
            <w:vAlign w:val="center"/>
            <w:hideMark/>
          </w:tcPr>
          <w:p w14:paraId="585224AF" w14:textId="77777777" w:rsidR="00435107" w:rsidRPr="00D01607" w:rsidRDefault="00000000" w:rsidP="008102BE">
            <w:pPr>
              <w:ind w:left="0" w:firstLine="0"/>
              <w:jc w:val="center"/>
              <w:textAlignment w:val="baseline"/>
            </w:pPr>
            <w:r>
              <w:rPr>
                <w:b/>
              </w:rPr>
              <w:t>Humira</w:t>
            </w:r>
            <w:r>
              <w:rPr>
                <w:b/>
                <w:vertAlign w:val="superscript"/>
              </w:rPr>
              <w:t>a</w:t>
            </w:r>
          </w:p>
          <w:p w14:paraId="62563D4A" w14:textId="77777777" w:rsidR="00435107" w:rsidRPr="00D01607" w:rsidRDefault="00000000" w:rsidP="008102BE">
            <w:pPr>
              <w:ind w:left="0" w:firstLine="0"/>
              <w:jc w:val="center"/>
              <w:textAlignment w:val="baseline"/>
            </w:pPr>
            <w:r>
              <w:rPr>
                <w:b/>
              </w:rPr>
              <w:t>Maximálně 40</w:t>
            </w:r>
            <w:r w:rsidR="00874DE1" w:rsidRPr="00005EC2">
              <w:rPr>
                <w:szCs w:val="22"/>
              </w:rPr>
              <w:t> </w:t>
            </w:r>
            <w:r>
              <w:rPr>
                <w:b/>
              </w:rPr>
              <w:t>mg</w:t>
            </w:r>
            <w:r>
              <w:t xml:space="preserve"> </w:t>
            </w:r>
            <w:r>
              <w:rPr>
                <w:b/>
              </w:rPr>
              <w:t>jednou za</w:t>
            </w:r>
            <w:r w:rsidR="00874DE1" w:rsidRPr="00005EC2">
              <w:rPr>
                <w:szCs w:val="22"/>
              </w:rPr>
              <w:t> </w:t>
            </w:r>
            <w:r>
              <w:rPr>
                <w:b/>
              </w:rPr>
              <w:t>dva týdny</w:t>
            </w:r>
            <w:r>
              <w:t> </w:t>
            </w:r>
          </w:p>
          <w:p w14:paraId="217A396B" w14:textId="77777777" w:rsidR="00435107" w:rsidRPr="00D01607" w:rsidRDefault="00000000" w:rsidP="008102BE">
            <w:pPr>
              <w:ind w:left="0" w:firstLine="0"/>
              <w:jc w:val="center"/>
              <w:textAlignment w:val="baseline"/>
            </w:pPr>
            <w:r>
              <w:t>n=31</w:t>
            </w:r>
          </w:p>
        </w:tc>
        <w:tc>
          <w:tcPr>
            <w:tcW w:w="2967" w:type="dxa"/>
            <w:tcBorders>
              <w:top w:val="single" w:sz="6" w:space="0" w:color="auto"/>
              <w:left w:val="nil"/>
              <w:bottom w:val="single" w:sz="6" w:space="0" w:color="auto"/>
              <w:right w:val="single" w:sz="6" w:space="0" w:color="auto"/>
            </w:tcBorders>
            <w:shd w:val="clear" w:color="auto" w:fill="auto"/>
            <w:vAlign w:val="center"/>
            <w:hideMark/>
          </w:tcPr>
          <w:p w14:paraId="68F9892C" w14:textId="77777777" w:rsidR="00435107" w:rsidRPr="00D01607" w:rsidRDefault="00000000" w:rsidP="008102BE">
            <w:pPr>
              <w:ind w:left="0" w:firstLine="0"/>
              <w:jc w:val="center"/>
              <w:textAlignment w:val="baseline"/>
            </w:pPr>
            <w:r>
              <w:rPr>
                <w:b/>
              </w:rPr>
              <w:t>Humira</w:t>
            </w:r>
            <w:r>
              <w:rPr>
                <w:b/>
                <w:vertAlign w:val="superscript"/>
              </w:rPr>
              <w:t>b</w:t>
            </w:r>
          </w:p>
          <w:p w14:paraId="48104BE1" w14:textId="77777777" w:rsidR="00435107" w:rsidRPr="00D01607" w:rsidRDefault="00000000" w:rsidP="008102BE">
            <w:pPr>
              <w:ind w:left="0" w:firstLine="0"/>
              <w:jc w:val="center"/>
              <w:textAlignment w:val="baseline"/>
            </w:pPr>
            <w:r>
              <w:rPr>
                <w:b/>
              </w:rPr>
              <w:t>Maximálně 40</w:t>
            </w:r>
            <w:r w:rsidR="00874DE1" w:rsidRPr="00005EC2">
              <w:rPr>
                <w:szCs w:val="22"/>
              </w:rPr>
              <w:t> </w:t>
            </w:r>
            <w:r>
              <w:rPr>
                <w:b/>
              </w:rPr>
              <w:t>mg</w:t>
            </w:r>
            <w:r>
              <w:t xml:space="preserve"> </w:t>
            </w:r>
            <w:r>
              <w:rPr>
                <w:b/>
              </w:rPr>
              <w:t>jednou týdně</w:t>
            </w:r>
            <w:r>
              <w:t> </w:t>
            </w:r>
          </w:p>
          <w:p w14:paraId="343BC9FC" w14:textId="77777777" w:rsidR="00435107" w:rsidRPr="00D01607" w:rsidRDefault="00000000" w:rsidP="008102BE">
            <w:pPr>
              <w:ind w:left="0" w:firstLine="0"/>
              <w:jc w:val="center"/>
              <w:textAlignment w:val="baseline"/>
            </w:pPr>
            <w:r>
              <w:t>n=31</w:t>
            </w:r>
          </w:p>
        </w:tc>
      </w:tr>
      <w:tr w:rsidR="00534A2D" w14:paraId="09A02826" w14:textId="77777777" w:rsidTr="00240790">
        <w:trPr>
          <w:trHeight w:val="570"/>
          <w:jc w:val="center"/>
        </w:trPr>
        <w:tc>
          <w:tcPr>
            <w:tcW w:w="3247" w:type="dxa"/>
            <w:tcBorders>
              <w:top w:val="nil"/>
              <w:left w:val="single" w:sz="6" w:space="0" w:color="auto"/>
              <w:bottom w:val="single" w:sz="6" w:space="0" w:color="auto"/>
              <w:right w:val="single" w:sz="6" w:space="0" w:color="auto"/>
            </w:tcBorders>
            <w:shd w:val="clear" w:color="auto" w:fill="auto"/>
            <w:vAlign w:val="center"/>
            <w:hideMark/>
          </w:tcPr>
          <w:p w14:paraId="1C002EB3" w14:textId="77777777" w:rsidR="00435107" w:rsidRPr="00D01607" w:rsidRDefault="00000000" w:rsidP="008401F1">
            <w:pPr>
              <w:ind w:left="130" w:firstLine="0"/>
              <w:textAlignment w:val="baseline"/>
            </w:pPr>
            <w:r>
              <w:t>Klinická remise u pacientů s odpovědí s PMS v </w:t>
            </w:r>
            <w:r w:rsidRPr="00BC5CBC">
              <w:t>týdnu 8</w:t>
            </w:r>
          </w:p>
        </w:tc>
        <w:tc>
          <w:tcPr>
            <w:tcW w:w="2841" w:type="dxa"/>
            <w:tcBorders>
              <w:top w:val="nil"/>
              <w:left w:val="nil"/>
              <w:bottom w:val="single" w:sz="6" w:space="0" w:color="auto"/>
              <w:right w:val="single" w:sz="6" w:space="0" w:color="auto"/>
            </w:tcBorders>
            <w:shd w:val="clear" w:color="auto" w:fill="auto"/>
            <w:vAlign w:val="center"/>
            <w:hideMark/>
          </w:tcPr>
          <w:p w14:paraId="4E0C5CB9" w14:textId="77777777" w:rsidR="00435107" w:rsidRPr="00D01607" w:rsidRDefault="00000000" w:rsidP="008401F1">
            <w:pPr>
              <w:jc w:val="center"/>
              <w:textAlignment w:val="baseline"/>
            </w:pPr>
            <w:r>
              <w:t>9/31 (29,0 %)</w:t>
            </w:r>
          </w:p>
        </w:tc>
        <w:tc>
          <w:tcPr>
            <w:tcW w:w="2967" w:type="dxa"/>
            <w:tcBorders>
              <w:top w:val="nil"/>
              <w:left w:val="nil"/>
              <w:bottom w:val="single" w:sz="6" w:space="0" w:color="auto"/>
              <w:right w:val="single" w:sz="6" w:space="0" w:color="auto"/>
            </w:tcBorders>
            <w:shd w:val="clear" w:color="auto" w:fill="auto"/>
            <w:vAlign w:val="center"/>
            <w:hideMark/>
          </w:tcPr>
          <w:p w14:paraId="4B4DFAED" w14:textId="77777777" w:rsidR="00435107" w:rsidRPr="00D01607" w:rsidRDefault="00000000" w:rsidP="008401F1">
            <w:pPr>
              <w:jc w:val="center"/>
              <w:textAlignment w:val="baseline"/>
            </w:pPr>
            <w:r>
              <w:t>14/31 (45,2 %)</w:t>
            </w:r>
          </w:p>
        </w:tc>
      </w:tr>
      <w:tr w:rsidR="00534A2D" w14:paraId="340D8343" w14:textId="77777777" w:rsidTr="00240790">
        <w:trPr>
          <w:trHeight w:val="555"/>
          <w:jc w:val="center"/>
        </w:trPr>
        <w:tc>
          <w:tcPr>
            <w:tcW w:w="3247" w:type="dxa"/>
            <w:tcBorders>
              <w:top w:val="nil"/>
              <w:left w:val="single" w:sz="6" w:space="0" w:color="auto"/>
              <w:bottom w:val="single" w:sz="6" w:space="0" w:color="auto"/>
              <w:right w:val="single" w:sz="6" w:space="0" w:color="auto"/>
            </w:tcBorders>
            <w:shd w:val="clear" w:color="auto" w:fill="auto"/>
            <w:vAlign w:val="center"/>
            <w:hideMark/>
          </w:tcPr>
          <w:p w14:paraId="6030E94F" w14:textId="77777777" w:rsidR="00435107" w:rsidRPr="00D01607" w:rsidRDefault="00000000" w:rsidP="008401F1">
            <w:pPr>
              <w:ind w:left="130" w:firstLine="0"/>
              <w:textAlignment w:val="baseline"/>
            </w:pPr>
            <w:r>
              <w:t>Klinická odpověď u pacientů s odpovědí s PMS v </w:t>
            </w:r>
            <w:r w:rsidRPr="00BC5CBC">
              <w:t>týdnu 8</w:t>
            </w:r>
          </w:p>
        </w:tc>
        <w:tc>
          <w:tcPr>
            <w:tcW w:w="2841" w:type="dxa"/>
            <w:tcBorders>
              <w:top w:val="nil"/>
              <w:left w:val="nil"/>
              <w:bottom w:val="single" w:sz="6" w:space="0" w:color="auto"/>
              <w:right w:val="single" w:sz="6" w:space="0" w:color="auto"/>
            </w:tcBorders>
            <w:shd w:val="clear" w:color="auto" w:fill="auto"/>
            <w:vAlign w:val="center"/>
            <w:hideMark/>
          </w:tcPr>
          <w:p w14:paraId="4F735BAF" w14:textId="77777777" w:rsidR="00435107" w:rsidRPr="00D01607" w:rsidRDefault="00000000" w:rsidP="008401F1">
            <w:pPr>
              <w:jc w:val="center"/>
              <w:textAlignment w:val="baseline"/>
            </w:pPr>
            <w:r>
              <w:t>19/31 (61,3 %)</w:t>
            </w:r>
          </w:p>
        </w:tc>
        <w:tc>
          <w:tcPr>
            <w:tcW w:w="2967" w:type="dxa"/>
            <w:tcBorders>
              <w:top w:val="nil"/>
              <w:left w:val="nil"/>
              <w:bottom w:val="single" w:sz="6" w:space="0" w:color="auto"/>
              <w:right w:val="single" w:sz="6" w:space="0" w:color="auto"/>
            </w:tcBorders>
            <w:shd w:val="clear" w:color="auto" w:fill="auto"/>
            <w:vAlign w:val="center"/>
            <w:hideMark/>
          </w:tcPr>
          <w:p w14:paraId="17911634" w14:textId="77777777" w:rsidR="00435107" w:rsidRPr="00D01607" w:rsidRDefault="00000000" w:rsidP="008401F1">
            <w:pPr>
              <w:jc w:val="center"/>
              <w:textAlignment w:val="baseline"/>
            </w:pPr>
            <w:r>
              <w:t>21/31 (67,7 %)</w:t>
            </w:r>
          </w:p>
        </w:tc>
      </w:tr>
      <w:tr w:rsidR="00534A2D" w14:paraId="78EE0F62" w14:textId="77777777" w:rsidTr="00240790">
        <w:trPr>
          <w:jc w:val="center"/>
        </w:trPr>
        <w:tc>
          <w:tcPr>
            <w:tcW w:w="3247" w:type="dxa"/>
            <w:tcBorders>
              <w:top w:val="nil"/>
              <w:left w:val="single" w:sz="6" w:space="0" w:color="auto"/>
              <w:bottom w:val="single" w:sz="6" w:space="0" w:color="auto"/>
              <w:right w:val="single" w:sz="6" w:space="0" w:color="auto"/>
            </w:tcBorders>
            <w:shd w:val="clear" w:color="auto" w:fill="auto"/>
            <w:vAlign w:val="center"/>
            <w:hideMark/>
          </w:tcPr>
          <w:p w14:paraId="057167ED" w14:textId="77777777" w:rsidR="00435107" w:rsidRPr="00D01607" w:rsidRDefault="00000000" w:rsidP="008401F1">
            <w:pPr>
              <w:ind w:left="130" w:firstLine="0"/>
              <w:textAlignment w:val="baseline"/>
            </w:pPr>
            <w:r>
              <w:t>Zhojení sliznice u pacientů s odpovědí s PMS v </w:t>
            </w:r>
            <w:r w:rsidRPr="00BC5CBC">
              <w:t>týdnu 8</w:t>
            </w:r>
          </w:p>
        </w:tc>
        <w:tc>
          <w:tcPr>
            <w:tcW w:w="2841" w:type="dxa"/>
            <w:tcBorders>
              <w:top w:val="nil"/>
              <w:left w:val="nil"/>
              <w:bottom w:val="single" w:sz="6" w:space="0" w:color="auto"/>
              <w:right w:val="single" w:sz="6" w:space="0" w:color="auto"/>
            </w:tcBorders>
            <w:shd w:val="clear" w:color="auto" w:fill="auto"/>
            <w:vAlign w:val="center"/>
            <w:hideMark/>
          </w:tcPr>
          <w:p w14:paraId="6AACA69E" w14:textId="77777777" w:rsidR="00435107" w:rsidRPr="00D01607" w:rsidRDefault="00000000" w:rsidP="008401F1">
            <w:pPr>
              <w:jc w:val="center"/>
              <w:textAlignment w:val="baseline"/>
            </w:pPr>
            <w:r>
              <w:t>12/31 (38,7 %)</w:t>
            </w:r>
          </w:p>
        </w:tc>
        <w:tc>
          <w:tcPr>
            <w:tcW w:w="2967" w:type="dxa"/>
            <w:tcBorders>
              <w:top w:val="nil"/>
              <w:left w:val="nil"/>
              <w:bottom w:val="single" w:sz="6" w:space="0" w:color="auto"/>
              <w:right w:val="single" w:sz="6" w:space="0" w:color="auto"/>
            </w:tcBorders>
            <w:shd w:val="clear" w:color="auto" w:fill="auto"/>
            <w:vAlign w:val="center"/>
            <w:hideMark/>
          </w:tcPr>
          <w:p w14:paraId="7C80EC16" w14:textId="77777777" w:rsidR="00435107" w:rsidRPr="00D01607" w:rsidRDefault="00000000" w:rsidP="008401F1">
            <w:pPr>
              <w:jc w:val="center"/>
              <w:textAlignment w:val="baseline"/>
            </w:pPr>
            <w:r>
              <w:t>16/31 (51,6 %)</w:t>
            </w:r>
          </w:p>
        </w:tc>
      </w:tr>
      <w:tr w:rsidR="00534A2D" w14:paraId="5D189B2F" w14:textId="77777777" w:rsidTr="00240790">
        <w:trPr>
          <w:jc w:val="center"/>
        </w:trPr>
        <w:tc>
          <w:tcPr>
            <w:tcW w:w="3247" w:type="dxa"/>
            <w:tcBorders>
              <w:top w:val="nil"/>
              <w:left w:val="single" w:sz="6" w:space="0" w:color="auto"/>
              <w:bottom w:val="single" w:sz="6" w:space="0" w:color="auto"/>
              <w:right w:val="single" w:sz="6" w:space="0" w:color="auto"/>
            </w:tcBorders>
            <w:shd w:val="clear" w:color="auto" w:fill="auto"/>
            <w:vAlign w:val="center"/>
            <w:hideMark/>
          </w:tcPr>
          <w:p w14:paraId="5FD12B7E" w14:textId="77777777" w:rsidR="00435107" w:rsidRPr="00D01607" w:rsidRDefault="00000000" w:rsidP="008401F1">
            <w:pPr>
              <w:ind w:left="130" w:firstLine="0"/>
              <w:textAlignment w:val="baseline"/>
            </w:pPr>
            <w:r>
              <w:t>Klinická remise u pacientů s remisí s PMS v </w:t>
            </w:r>
            <w:r w:rsidRPr="00BC5CBC">
              <w:t>týdnu 8</w:t>
            </w:r>
          </w:p>
        </w:tc>
        <w:tc>
          <w:tcPr>
            <w:tcW w:w="2841" w:type="dxa"/>
            <w:tcBorders>
              <w:top w:val="nil"/>
              <w:left w:val="nil"/>
              <w:bottom w:val="single" w:sz="6" w:space="0" w:color="auto"/>
              <w:right w:val="single" w:sz="6" w:space="0" w:color="auto"/>
            </w:tcBorders>
            <w:shd w:val="clear" w:color="auto" w:fill="auto"/>
            <w:vAlign w:val="center"/>
            <w:hideMark/>
          </w:tcPr>
          <w:p w14:paraId="767E7B94" w14:textId="77777777" w:rsidR="00435107" w:rsidRPr="00D01607" w:rsidRDefault="00000000" w:rsidP="008401F1">
            <w:pPr>
              <w:jc w:val="center"/>
              <w:textAlignment w:val="baseline"/>
            </w:pPr>
            <w:r>
              <w:t>9/21 (42,9 %)</w:t>
            </w:r>
          </w:p>
        </w:tc>
        <w:tc>
          <w:tcPr>
            <w:tcW w:w="2967" w:type="dxa"/>
            <w:tcBorders>
              <w:top w:val="nil"/>
              <w:left w:val="nil"/>
              <w:bottom w:val="single" w:sz="6" w:space="0" w:color="auto"/>
              <w:right w:val="single" w:sz="6" w:space="0" w:color="auto"/>
            </w:tcBorders>
            <w:shd w:val="clear" w:color="auto" w:fill="auto"/>
            <w:vAlign w:val="center"/>
            <w:hideMark/>
          </w:tcPr>
          <w:p w14:paraId="6D57D1CD" w14:textId="77777777" w:rsidR="00435107" w:rsidRPr="00D01607" w:rsidRDefault="00000000" w:rsidP="008401F1">
            <w:pPr>
              <w:jc w:val="center"/>
              <w:textAlignment w:val="baseline"/>
            </w:pPr>
            <w:r>
              <w:t>10/22 (45,5 %)</w:t>
            </w:r>
          </w:p>
        </w:tc>
      </w:tr>
      <w:tr w:rsidR="00534A2D" w14:paraId="3392B47B" w14:textId="77777777" w:rsidTr="00240790">
        <w:trPr>
          <w:jc w:val="center"/>
        </w:trPr>
        <w:tc>
          <w:tcPr>
            <w:tcW w:w="3247" w:type="dxa"/>
            <w:tcBorders>
              <w:top w:val="nil"/>
              <w:left w:val="single" w:sz="6" w:space="0" w:color="auto"/>
              <w:bottom w:val="single" w:sz="6" w:space="0" w:color="auto"/>
              <w:right w:val="single" w:sz="6" w:space="0" w:color="auto"/>
            </w:tcBorders>
            <w:shd w:val="clear" w:color="auto" w:fill="auto"/>
            <w:vAlign w:val="center"/>
            <w:hideMark/>
          </w:tcPr>
          <w:p w14:paraId="140641B4" w14:textId="77777777" w:rsidR="00435107" w:rsidRPr="00D01607" w:rsidRDefault="00000000" w:rsidP="008401F1">
            <w:pPr>
              <w:ind w:left="130" w:firstLine="0"/>
              <w:textAlignment w:val="baseline"/>
            </w:pPr>
            <w:r>
              <w:t>Remise bez kortikosteroidů v </w:t>
            </w:r>
            <w:r w:rsidRPr="00BC5CBC">
              <w:t>týdnu 8</w:t>
            </w:r>
            <w:r>
              <w:t xml:space="preserve"> u pacientů s odpovědí s PMS</w:t>
            </w:r>
            <w:r>
              <w:rPr>
                <w:vertAlign w:val="superscript"/>
              </w:rPr>
              <w:t>c</w:t>
            </w:r>
          </w:p>
        </w:tc>
        <w:tc>
          <w:tcPr>
            <w:tcW w:w="2841" w:type="dxa"/>
            <w:tcBorders>
              <w:top w:val="nil"/>
              <w:left w:val="nil"/>
              <w:bottom w:val="single" w:sz="6" w:space="0" w:color="auto"/>
              <w:right w:val="single" w:sz="6" w:space="0" w:color="auto"/>
            </w:tcBorders>
            <w:shd w:val="clear" w:color="auto" w:fill="auto"/>
            <w:vAlign w:val="center"/>
            <w:hideMark/>
          </w:tcPr>
          <w:p w14:paraId="4F1351E2" w14:textId="77777777" w:rsidR="00435107" w:rsidRPr="00D01607" w:rsidRDefault="00000000" w:rsidP="008401F1">
            <w:pPr>
              <w:jc w:val="center"/>
              <w:textAlignment w:val="baseline"/>
            </w:pPr>
            <w:r>
              <w:t>4/13 (30,8 %)</w:t>
            </w:r>
          </w:p>
        </w:tc>
        <w:tc>
          <w:tcPr>
            <w:tcW w:w="2967" w:type="dxa"/>
            <w:tcBorders>
              <w:top w:val="nil"/>
              <w:left w:val="nil"/>
              <w:bottom w:val="single" w:sz="6" w:space="0" w:color="auto"/>
              <w:right w:val="single" w:sz="6" w:space="0" w:color="auto"/>
            </w:tcBorders>
            <w:shd w:val="clear" w:color="auto" w:fill="auto"/>
            <w:vAlign w:val="center"/>
            <w:hideMark/>
          </w:tcPr>
          <w:p w14:paraId="33392D7C" w14:textId="77777777" w:rsidR="00435107" w:rsidRPr="00D01607" w:rsidRDefault="00000000" w:rsidP="008401F1">
            <w:pPr>
              <w:jc w:val="center"/>
              <w:textAlignment w:val="baseline"/>
            </w:pPr>
            <w:r>
              <w:t>5/16 (31,3 %)</w:t>
            </w:r>
          </w:p>
        </w:tc>
      </w:tr>
      <w:tr w:rsidR="00534A2D" w14:paraId="26DE0564" w14:textId="77777777" w:rsidTr="00240790">
        <w:trPr>
          <w:jc w:val="center"/>
        </w:trPr>
        <w:tc>
          <w:tcPr>
            <w:tcW w:w="9055" w:type="dxa"/>
            <w:gridSpan w:val="3"/>
            <w:tcBorders>
              <w:top w:val="nil"/>
              <w:left w:val="single" w:sz="6" w:space="0" w:color="auto"/>
              <w:bottom w:val="single" w:sz="6" w:space="0" w:color="auto"/>
              <w:right w:val="single" w:sz="6" w:space="0" w:color="auto"/>
            </w:tcBorders>
            <w:shd w:val="clear" w:color="auto" w:fill="auto"/>
            <w:hideMark/>
          </w:tcPr>
          <w:p w14:paraId="1E22A2A2" w14:textId="77777777" w:rsidR="00435107" w:rsidRPr="00D01607" w:rsidRDefault="00000000" w:rsidP="008401F1">
            <w:pPr>
              <w:textAlignment w:val="baseline"/>
            </w:pPr>
            <w:r>
              <w:rPr>
                <w:vertAlign w:val="superscript"/>
              </w:rPr>
              <w:t>a</w:t>
            </w:r>
            <w:r>
              <w:t> Humira 0,6</w:t>
            </w:r>
            <w:r w:rsidR="00874DE1" w:rsidRPr="00005EC2">
              <w:rPr>
                <w:szCs w:val="22"/>
              </w:rPr>
              <w:t> </w:t>
            </w:r>
            <w:r>
              <w:t>mg/kg</w:t>
            </w:r>
            <w:r w:rsidR="00B4761D">
              <w:t xml:space="preserve"> </w:t>
            </w:r>
            <w:r>
              <w:t>(maximální dávka 40</w:t>
            </w:r>
            <w:r w:rsidR="00874DE1" w:rsidRPr="00005EC2">
              <w:rPr>
                <w:szCs w:val="22"/>
              </w:rPr>
              <w:t> </w:t>
            </w:r>
            <w:r>
              <w:t>mg)</w:t>
            </w:r>
            <w:r w:rsidR="00B4761D">
              <w:t xml:space="preserve"> </w:t>
            </w:r>
            <w:r>
              <w:t>jednou za dva týdny</w:t>
            </w:r>
          </w:p>
          <w:p w14:paraId="31C5F36C" w14:textId="77777777" w:rsidR="00435107" w:rsidRPr="00D01607" w:rsidRDefault="00000000" w:rsidP="008401F1">
            <w:pPr>
              <w:textAlignment w:val="baseline"/>
            </w:pPr>
            <w:r>
              <w:rPr>
                <w:vertAlign w:val="superscript"/>
              </w:rPr>
              <w:t>b</w:t>
            </w:r>
            <w:r>
              <w:t xml:space="preserve"> Humira 0,6</w:t>
            </w:r>
            <w:r w:rsidR="00874DE1" w:rsidRPr="00005EC2">
              <w:rPr>
                <w:szCs w:val="22"/>
              </w:rPr>
              <w:t> </w:t>
            </w:r>
            <w:r>
              <w:t>mg/kg</w:t>
            </w:r>
            <w:r w:rsidR="00B4761D">
              <w:t xml:space="preserve"> </w:t>
            </w:r>
            <w:r>
              <w:t>(maximální dávka 40</w:t>
            </w:r>
            <w:r w:rsidR="00874DE1" w:rsidRPr="00005EC2">
              <w:rPr>
                <w:szCs w:val="22"/>
              </w:rPr>
              <w:t> </w:t>
            </w:r>
            <w:r>
              <w:t>mg)</w:t>
            </w:r>
            <w:r w:rsidR="00B4761D">
              <w:t xml:space="preserve"> </w:t>
            </w:r>
            <w:r>
              <w:t>jednou týdně</w:t>
            </w:r>
          </w:p>
          <w:p w14:paraId="12185685" w14:textId="77777777" w:rsidR="00435107" w:rsidRPr="00D01607" w:rsidRDefault="00000000" w:rsidP="008401F1">
            <w:pPr>
              <w:textAlignment w:val="baseline"/>
            </w:pPr>
            <w:r>
              <w:rPr>
                <w:vertAlign w:val="superscript"/>
              </w:rPr>
              <w:t>c</w:t>
            </w:r>
            <w:r>
              <w:t xml:space="preserve"> U pacientů, kteří na počátku dostávali souběžně kortikosteroidy</w:t>
            </w:r>
          </w:p>
          <w:p w14:paraId="4ABBEF74" w14:textId="77777777" w:rsidR="00435107" w:rsidRPr="00D01607" w:rsidRDefault="00000000" w:rsidP="00950D86">
            <w:pPr>
              <w:ind w:left="0" w:firstLine="0"/>
              <w:textAlignment w:val="baseline"/>
            </w:pPr>
            <w:r>
              <w:t>Pozn.: Pacienti s chybějícími hodnotami v</w:t>
            </w:r>
            <w:r w:rsidR="00B4761D">
              <w:t> </w:t>
            </w:r>
            <w:r>
              <w:t>týdnu 52 nebo randomizovaní k opětovné indukční nebo udržovací léčbě byli považováni za pacienty bez odpovědi pro cílové parametry v</w:t>
            </w:r>
            <w:r w:rsidR="00B4761D">
              <w:t> </w:t>
            </w:r>
            <w:r>
              <w:t>týdnu 52</w:t>
            </w:r>
          </w:p>
        </w:tc>
      </w:tr>
    </w:tbl>
    <w:p w14:paraId="2E819569" w14:textId="77777777" w:rsidR="00435107" w:rsidRPr="00D01607" w:rsidRDefault="00435107" w:rsidP="00435107"/>
    <w:p w14:paraId="3C4DACF2" w14:textId="77777777" w:rsidR="00435107" w:rsidRPr="00D01607" w:rsidRDefault="00000000" w:rsidP="00435107">
      <w:pPr>
        <w:ind w:left="0" w:firstLine="0"/>
      </w:pPr>
      <w:r>
        <w:t>Mezi další výzkumné cílové parametry účinnosti patřil</w:t>
      </w:r>
      <w:r w:rsidR="00012979">
        <w:t>y</w:t>
      </w:r>
      <w:r>
        <w:t xml:space="preserve"> klinická odpověď podle indexu aktivity pediatrické ulcerózní kolitidy (PUCAI) (definovaná jako pokles PUCAI o ≥ 20 bodů oproti výchozí hodnotě)</w:t>
      </w:r>
      <w:r w:rsidR="002378E0">
        <w:t xml:space="preserve"> a </w:t>
      </w:r>
      <w:r>
        <w:t>klinická remise podle PUCAI (definovaná jako PUCAI &lt;10) v </w:t>
      </w:r>
      <w:r w:rsidRPr="00BC5CBC">
        <w:t>týdnu 8</w:t>
      </w:r>
      <w:r w:rsidR="002378E0">
        <w:t xml:space="preserve"> a </w:t>
      </w:r>
      <w:r>
        <w:t xml:space="preserve">týdnu 52 (tabulka </w:t>
      </w:r>
      <w:r w:rsidR="00B4761D">
        <w:t>33</w:t>
      </w:r>
      <w:r>
        <w:t>).</w:t>
      </w:r>
    </w:p>
    <w:p w14:paraId="0AF0848D" w14:textId="77777777" w:rsidR="00435107" w:rsidRPr="00D01607" w:rsidRDefault="00435107" w:rsidP="00435107"/>
    <w:tbl>
      <w:tblPr>
        <w:tblW w:w="5000" w:type="pct"/>
        <w:jc w:val="center"/>
        <w:tblCellMar>
          <w:left w:w="0" w:type="dxa"/>
          <w:right w:w="0" w:type="dxa"/>
        </w:tblCellMar>
        <w:tblLook w:val="04A0" w:firstRow="1" w:lastRow="0" w:firstColumn="1" w:lastColumn="0" w:noHBand="0" w:noVBand="1"/>
      </w:tblPr>
      <w:tblGrid>
        <w:gridCol w:w="3119"/>
        <w:gridCol w:w="3118"/>
        <w:gridCol w:w="2834"/>
      </w:tblGrid>
      <w:tr w:rsidR="00534A2D" w14:paraId="2268B35A" w14:textId="77777777" w:rsidTr="00240790">
        <w:trPr>
          <w:trHeight w:val="60"/>
          <w:jc w:val="center"/>
        </w:trPr>
        <w:tc>
          <w:tcPr>
            <w:tcW w:w="9071" w:type="dxa"/>
            <w:gridSpan w:val="3"/>
            <w:tcMar>
              <w:top w:w="0" w:type="dxa"/>
              <w:left w:w="108" w:type="dxa"/>
              <w:bottom w:w="0" w:type="dxa"/>
              <w:right w:w="108" w:type="dxa"/>
            </w:tcMar>
            <w:hideMark/>
          </w:tcPr>
          <w:p w14:paraId="4819D762" w14:textId="77777777" w:rsidR="00435107" w:rsidRPr="00D01607" w:rsidRDefault="00000000" w:rsidP="00240790">
            <w:pPr>
              <w:keepNext/>
              <w:jc w:val="center"/>
              <w:rPr>
                <w:b/>
                <w:bCs/>
              </w:rPr>
            </w:pPr>
            <w:r>
              <w:rPr>
                <w:b/>
              </w:rPr>
              <w:t xml:space="preserve">Tabulka </w:t>
            </w:r>
            <w:r w:rsidR="00B4761D">
              <w:rPr>
                <w:b/>
              </w:rPr>
              <w:t>33</w:t>
            </w:r>
            <w:r>
              <w:rPr>
                <w:b/>
              </w:rPr>
              <w:t>: Výsledky výzkumných cílových parametrů podle PUCAI</w:t>
            </w:r>
          </w:p>
        </w:tc>
      </w:tr>
      <w:tr w:rsidR="00534A2D" w14:paraId="28261229" w14:textId="77777777" w:rsidTr="00240790">
        <w:trPr>
          <w:trHeight w:val="265"/>
          <w:jc w:val="center"/>
        </w:trPr>
        <w:tc>
          <w:tcPr>
            <w:tcW w:w="3119"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25B55AFD" w14:textId="77777777" w:rsidR="00435107" w:rsidRPr="00D01607" w:rsidRDefault="00435107" w:rsidP="00240790">
            <w:pPr>
              <w:keepNext/>
            </w:pPr>
          </w:p>
        </w:tc>
        <w:tc>
          <w:tcPr>
            <w:tcW w:w="59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7066D7" w14:textId="77777777" w:rsidR="00435107" w:rsidRPr="00D01607" w:rsidRDefault="00000000" w:rsidP="00240790">
            <w:pPr>
              <w:keepNext/>
              <w:jc w:val="center"/>
              <w:rPr>
                <w:b/>
                <w:bCs/>
              </w:rPr>
            </w:pPr>
            <w:r>
              <w:rPr>
                <w:b/>
              </w:rPr>
              <w:t>Týden 8</w:t>
            </w:r>
          </w:p>
        </w:tc>
      </w:tr>
      <w:tr w:rsidR="00534A2D" w14:paraId="3F55E0D2" w14:textId="77777777" w:rsidTr="00240790">
        <w:trPr>
          <w:trHeight w:val="1042"/>
          <w:jc w:val="center"/>
        </w:trPr>
        <w:tc>
          <w:tcPr>
            <w:tcW w:w="3119" w:type="dxa"/>
            <w:vMerge/>
            <w:tcBorders>
              <w:top w:val="single" w:sz="4" w:space="0" w:color="auto"/>
              <w:left w:val="single" w:sz="8" w:space="0" w:color="auto"/>
              <w:bottom w:val="single" w:sz="8" w:space="0" w:color="auto"/>
              <w:right w:val="single" w:sz="4" w:space="0" w:color="auto"/>
            </w:tcBorders>
            <w:vAlign w:val="center"/>
            <w:hideMark/>
          </w:tcPr>
          <w:p w14:paraId="57937061" w14:textId="77777777" w:rsidR="00435107" w:rsidRPr="00D01607" w:rsidRDefault="00435107" w:rsidP="00240790">
            <w:pPr>
              <w:keepNext/>
            </w:pPr>
          </w:p>
        </w:tc>
        <w:tc>
          <w:tcPr>
            <w:tcW w:w="31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4B3000" w14:textId="77777777" w:rsidR="00435107" w:rsidRPr="00D01607" w:rsidRDefault="00000000" w:rsidP="00240790">
            <w:pPr>
              <w:keepNext/>
              <w:ind w:left="0" w:firstLine="0"/>
              <w:jc w:val="center"/>
              <w:rPr>
                <w:b/>
                <w:bCs/>
                <w:vertAlign w:val="superscript"/>
              </w:rPr>
            </w:pPr>
            <w:r>
              <w:rPr>
                <w:b/>
              </w:rPr>
              <w:t>Humira</w:t>
            </w:r>
            <w:r>
              <w:rPr>
                <w:b/>
                <w:vertAlign w:val="superscript"/>
              </w:rPr>
              <w:t>a</w:t>
            </w:r>
          </w:p>
          <w:p w14:paraId="357D4605" w14:textId="77777777" w:rsidR="00435107" w:rsidRPr="00D01607" w:rsidRDefault="00000000" w:rsidP="00240790">
            <w:pPr>
              <w:keepNext/>
              <w:ind w:left="0" w:firstLine="0"/>
              <w:jc w:val="center"/>
              <w:rPr>
                <w:b/>
                <w:bCs/>
              </w:rPr>
            </w:pPr>
            <w:r w:rsidRPr="008102BE">
              <w:rPr>
                <w:b/>
              </w:rPr>
              <w:t>Maximálně 160</w:t>
            </w:r>
            <w:r w:rsidR="00874DE1" w:rsidRPr="00005EC2">
              <w:rPr>
                <w:szCs w:val="22"/>
              </w:rPr>
              <w:t> </w:t>
            </w:r>
            <w:r w:rsidRPr="008102BE">
              <w:rPr>
                <w:b/>
              </w:rPr>
              <w:t>mg v týdnu 0/ place</w:t>
            </w:r>
            <w:r>
              <w:rPr>
                <w:b/>
              </w:rPr>
              <w:t>bo v týdnu 1</w:t>
            </w:r>
          </w:p>
          <w:p w14:paraId="21F3F560" w14:textId="77777777" w:rsidR="00435107" w:rsidRPr="00D01607" w:rsidRDefault="00000000" w:rsidP="00240790">
            <w:pPr>
              <w:keepNext/>
              <w:ind w:left="0" w:firstLine="0"/>
              <w:jc w:val="center"/>
            </w:pPr>
            <w:r>
              <w:t>n=30</w:t>
            </w:r>
          </w:p>
        </w:tc>
        <w:tc>
          <w:tcPr>
            <w:tcW w:w="28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192943" w14:textId="77777777" w:rsidR="00435107" w:rsidRPr="00D01607" w:rsidRDefault="00000000" w:rsidP="00240790">
            <w:pPr>
              <w:keepNext/>
              <w:ind w:left="0" w:firstLine="0"/>
              <w:jc w:val="center"/>
              <w:rPr>
                <w:b/>
                <w:bCs/>
                <w:vertAlign w:val="superscript"/>
              </w:rPr>
            </w:pPr>
            <w:r>
              <w:rPr>
                <w:b/>
              </w:rPr>
              <w:t>Humira</w:t>
            </w:r>
            <w:r>
              <w:rPr>
                <w:b/>
                <w:vertAlign w:val="superscript"/>
              </w:rPr>
              <w:t>b,c</w:t>
            </w:r>
          </w:p>
          <w:p w14:paraId="0B50AA76" w14:textId="77777777" w:rsidR="00435107" w:rsidRPr="00D01607" w:rsidRDefault="00000000" w:rsidP="00240790">
            <w:pPr>
              <w:keepNext/>
              <w:ind w:left="0" w:firstLine="0"/>
              <w:jc w:val="center"/>
              <w:rPr>
                <w:b/>
                <w:bCs/>
              </w:rPr>
            </w:pPr>
            <w:r>
              <w:rPr>
                <w:b/>
              </w:rPr>
              <w:t>Maximálně 160</w:t>
            </w:r>
            <w:r w:rsidR="00874DE1" w:rsidRPr="00005EC2">
              <w:rPr>
                <w:szCs w:val="22"/>
              </w:rPr>
              <w:t> </w:t>
            </w:r>
            <w:r>
              <w:rPr>
                <w:b/>
              </w:rPr>
              <w:t>mg v týdnech 0</w:t>
            </w:r>
            <w:r w:rsidR="002378E0">
              <w:rPr>
                <w:b/>
              </w:rPr>
              <w:t xml:space="preserve"> a </w:t>
            </w:r>
            <w:r>
              <w:rPr>
                <w:b/>
              </w:rPr>
              <w:t xml:space="preserve">1 </w:t>
            </w:r>
          </w:p>
          <w:p w14:paraId="30A83068" w14:textId="77777777" w:rsidR="00435107" w:rsidRPr="00D01607" w:rsidRDefault="00000000" w:rsidP="00240790">
            <w:pPr>
              <w:keepNext/>
              <w:ind w:left="0" w:firstLine="0"/>
              <w:jc w:val="center"/>
            </w:pPr>
            <w:r>
              <w:t>n=47</w:t>
            </w:r>
          </w:p>
        </w:tc>
      </w:tr>
      <w:tr w:rsidR="00534A2D" w14:paraId="77D64E68" w14:textId="77777777" w:rsidTr="00240790">
        <w:trPr>
          <w:trHeight w:val="202"/>
          <w:jc w:val="center"/>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EA65D" w14:textId="77777777" w:rsidR="00435107" w:rsidRPr="00D01607" w:rsidRDefault="00000000" w:rsidP="00240790">
            <w:pPr>
              <w:keepNext/>
            </w:pPr>
            <w:r>
              <w:t>Klinická remise podle PUCAI</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4D6121F7" w14:textId="77777777" w:rsidR="00435107" w:rsidRPr="00D01607" w:rsidRDefault="00000000" w:rsidP="00240790">
            <w:pPr>
              <w:keepNext/>
              <w:jc w:val="center"/>
            </w:pPr>
            <w:r>
              <w:t>10/30 (33,3 %)</w:t>
            </w:r>
          </w:p>
        </w:tc>
        <w:tc>
          <w:tcPr>
            <w:tcW w:w="2834" w:type="dxa"/>
            <w:tcBorders>
              <w:top w:val="nil"/>
              <w:left w:val="nil"/>
              <w:bottom w:val="single" w:sz="8" w:space="0" w:color="auto"/>
              <w:right w:val="single" w:sz="8" w:space="0" w:color="auto"/>
            </w:tcBorders>
            <w:tcMar>
              <w:top w:w="0" w:type="dxa"/>
              <w:left w:w="108" w:type="dxa"/>
              <w:bottom w:w="0" w:type="dxa"/>
              <w:right w:w="108" w:type="dxa"/>
            </w:tcMar>
            <w:hideMark/>
          </w:tcPr>
          <w:p w14:paraId="2260D4F4" w14:textId="77777777" w:rsidR="00435107" w:rsidRPr="00D01607" w:rsidRDefault="00000000" w:rsidP="00240790">
            <w:pPr>
              <w:keepNext/>
              <w:jc w:val="center"/>
            </w:pPr>
            <w:r>
              <w:t>22/47 (46,8 %)</w:t>
            </w:r>
          </w:p>
        </w:tc>
      </w:tr>
      <w:tr w:rsidR="00534A2D" w14:paraId="195F9FD7" w14:textId="77777777" w:rsidTr="00240790">
        <w:trPr>
          <w:trHeight w:val="238"/>
          <w:jc w:val="center"/>
        </w:trPr>
        <w:tc>
          <w:tcPr>
            <w:tcW w:w="31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38AEDB4" w14:textId="77777777" w:rsidR="00435107" w:rsidRPr="00D01607" w:rsidRDefault="00000000" w:rsidP="008401F1">
            <w:r>
              <w:t>Klinická odpověď podle PUCAI</w:t>
            </w:r>
          </w:p>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33CE1165" w14:textId="77777777" w:rsidR="00435107" w:rsidRPr="00D01607" w:rsidRDefault="00000000" w:rsidP="008401F1">
            <w:pPr>
              <w:jc w:val="center"/>
            </w:pPr>
            <w:r>
              <w:t>15/30 (50,0 %)</w:t>
            </w:r>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037E250A" w14:textId="77777777" w:rsidR="00435107" w:rsidRPr="00D01607" w:rsidRDefault="00000000" w:rsidP="008401F1">
            <w:pPr>
              <w:jc w:val="center"/>
            </w:pPr>
            <w:r>
              <w:t>32/47 (68,1 %)</w:t>
            </w:r>
          </w:p>
        </w:tc>
      </w:tr>
      <w:tr w:rsidR="00534A2D" w14:paraId="64577496" w14:textId="77777777" w:rsidTr="00240790">
        <w:trPr>
          <w:trHeight w:val="238"/>
          <w:jc w:val="center"/>
        </w:trPr>
        <w:tc>
          <w:tcPr>
            <w:tcW w:w="3119"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0483BF38" w14:textId="77777777" w:rsidR="00435107" w:rsidRPr="00D01607" w:rsidRDefault="00435107" w:rsidP="008401F1"/>
        </w:tc>
        <w:tc>
          <w:tcPr>
            <w:tcW w:w="595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4D4B7F17" w14:textId="77777777" w:rsidR="00435107" w:rsidRPr="00D01607" w:rsidRDefault="00000000" w:rsidP="008401F1">
            <w:pPr>
              <w:jc w:val="center"/>
              <w:rPr>
                <w:b/>
                <w:bCs/>
              </w:rPr>
            </w:pPr>
            <w:r>
              <w:rPr>
                <w:b/>
              </w:rPr>
              <w:t>Týden 52</w:t>
            </w:r>
          </w:p>
        </w:tc>
      </w:tr>
      <w:tr w:rsidR="00534A2D" w14:paraId="5F5C8450" w14:textId="77777777" w:rsidTr="00240790">
        <w:trPr>
          <w:trHeight w:val="238"/>
          <w:jc w:val="center"/>
        </w:trPr>
        <w:tc>
          <w:tcPr>
            <w:tcW w:w="3119" w:type="dxa"/>
            <w:vMerge/>
            <w:tcBorders>
              <w:top w:val="nil"/>
              <w:left w:val="single" w:sz="8" w:space="0" w:color="auto"/>
              <w:bottom w:val="single" w:sz="4" w:space="0" w:color="auto"/>
              <w:right w:val="single" w:sz="8" w:space="0" w:color="auto"/>
            </w:tcBorders>
            <w:vAlign w:val="center"/>
            <w:hideMark/>
          </w:tcPr>
          <w:p w14:paraId="0A209987" w14:textId="77777777" w:rsidR="00435107" w:rsidRPr="00D01607" w:rsidRDefault="00435107" w:rsidP="008401F1"/>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1FAE8D43" w14:textId="77777777" w:rsidR="00435107" w:rsidRPr="00D01607" w:rsidRDefault="00000000" w:rsidP="00240790">
            <w:pPr>
              <w:ind w:left="0" w:firstLine="0"/>
              <w:jc w:val="center"/>
              <w:rPr>
                <w:b/>
                <w:bCs/>
                <w:vertAlign w:val="superscript"/>
              </w:rPr>
            </w:pPr>
            <w:r>
              <w:rPr>
                <w:b/>
              </w:rPr>
              <w:t>Humira</w:t>
            </w:r>
            <w:r>
              <w:rPr>
                <w:b/>
                <w:vertAlign w:val="superscript"/>
              </w:rPr>
              <w:t>d</w:t>
            </w:r>
          </w:p>
          <w:p w14:paraId="066E062E" w14:textId="77777777" w:rsidR="00435107" w:rsidRPr="00D01607" w:rsidRDefault="00000000" w:rsidP="00240790">
            <w:pPr>
              <w:ind w:left="0" w:firstLine="0"/>
              <w:jc w:val="center"/>
              <w:rPr>
                <w:b/>
                <w:bCs/>
              </w:rPr>
            </w:pPr>
            <w:r>
              <w:rPr>
                <w:b/>
              </w:rPr>
              <w:t>Maximálně 40</w:t>
            </w:r>
            <w:r w:rsidR="00874DE1" w:rsidRPr="00005EC2">
              <w:rPr>
                <w:szCs w:val="22"/>
              </w:rPr>
              <w:t> </w:t>
            </w:r>
            <w:r>
              <w:rPr>
                <w:b/>
              </w:rPr>
              <w:t>mg jednou za</w:t>
            </w:r>
            <w:r w:rsidR="00874DE1" w:rsidRPr="00005EC2">
              <w:rPr>
                <w:szCs w:val="22"/>
              </w:rPr>
              <w:t> </w:t>
            </w:r>
            <w:r>
              <w:rPr>
                <w:b/>
              </w:rPr>
              <w:t>dva týdny</w:t>
            </w:r>
          </w:p>
          <w:p w14:paraId="45EFC716" w14:textId="77777777" w:rsidR="00435107" w:rsidRPr="00D01607" w:rsidRDefault="00000000" w:rsidP="00240790">
            <w:pPr>
              <w:ind w:left="0" w:firstLine="0"/>
              <w:jc w:val="center"/>
            </w:pPr>
            <w:r>
              <w:t>n=31</w:t>
            </w:r>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1AB56F8F" w14:textId="77777777" w:rsidR="00435107" w:rsidRPr="00D01607" w:rsidRDefault="00000000" w:rsidP="00240790">
            <w:pPr>
              <w:ind w:left="0" w:firstLine="0"/>
              <w:jc w:val="center"/>
              <w:rPr>
                <w:b/>
                <w:bCs/>
                <w:vertAlign w:val="superscript"/>
              </w:rPr>
            </w:pPr>
            <w:r>
              <w:rPr>
                <w:b/>
              </w:rPr>
              <w:t>Humira</w:t>
            </w:r>
            <w:r>
              <w:rPr>
                <w:b/>
                <w:vertAlign w:val="superscript"/>
              </w:rPr>
              <w:t>e</w:t>
            </w:r>
          </w:p>
          <w:p w14:paraId="3D858F40" w14:textId="77777777" w:rsidR="00435107" w:rsidRPr="00D01607" w:rsidRDefault="00000000" w:rsidP="00240790">
            <w:pPr>
              <w:ind w:left="0" w:firstLine="0"/>
              <w:jc w:val="center"/>
              <w:rPr>
                <w:b/>
                <w:bCs/>
              </w:rPr>
            </w:pPr>
            <w:r>
              <w:rPr>
                <w:b/>
              </w:rPr>
              <w:t>Maximálně 40</w:t>
            </w:r>
            <w:r w:rsidR="00874DE1" w:rsidRPr="00005EC2">
              <w:rPr>
                <w:szCs w:val="22"/>
              </w:rPr>
              <w:t> </w:t>
            </w:r>
            <w:r>
              <w:rPr>
                <w:b/>
              </w:rPr>
              <w:t>mg jednou týdně</w:t>
            </w:r>
          </w:p>
          <w:p w14:paraId="47D55CF8" w14:textId="77777777" w:rsidR="00435107" w:rsidRPr="00D01607" w:rsidRDefault="00000000" w:rsidP="00240790">
            <w:pPr>
              <w:ind w:left="0" w:firstLine="0"/>
              <w:jc w:val="center"/>
            </w:pPr>
            <w:r>
              <w:t>n=31</w:t>
            </w:r>
          </w:p>
        </w:tc>
      </w:tr>
      <w:tr w:rsidR="00534A2D" w14:paraId="141C8E0F" w14:textId="77777777" w:rsidTr="00240790">
        <w:trPr>
          <w:trHeight w:val="238"/>
          <w:jc w:val="center"/>
        </w:trPr>
        <w:tc>
          <w:tcPr>
            <w:tcW w:w="31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B4CD251" w14:textId="77777777" w:rsidR="00435107" w:rsidRPr="00D01607" w:rsidRDefault="00000000" w:rsidP="008401F1">
            <w:pPr>
              <w:tabs>
                <w:tab w:val="left" w:pos="36"/>
              </w:tabs>
              <w:ind w:left="36" w:hanging="36"/>
            </w:pPr>
            <w:r>
              <w:t>Klinická remise podle PUCAI v </w:t>
            </w:r>
            <w:r w:rsidRPr="00BC5CBC">
              <w:t>týdnu 8</w:t>
            </w:r>
            <w:r>
              <w:t xml:space="preserve"> u pacientů s odpovědí s PMS</w:t>
            </w:r>
          </w:p>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4D2D64C9" w14:textId="77777777" w:rsidR="00435107" w:rsidRPr="00D01607" w:rsidRDefault="00000000" w:rsidP="008401F1">
            <w:pPr>
              <w:jc w:val="center"/>
            </w:pPr>
            <w:r>
              <w:t>14/31 (45,2 %)</w:t>
            </w:r>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61805A7E" w14:textId="77777777" w:rsidR="00435107" w:rsidRPr="00D01607" w:rsidRDefault="00000000" w:rsidP="008401F1">
            <w:pPr>
              <w:jc w:val="center"/>
            </w:pPr>
            <w:r>
              <w:t>18/31 (58,1 %)</w:t>
            </w:r>
          </w:p>
        </w:tc>
      </w:tr>
      <w:tr w:rsidR="00534A2D" w14:paraId="6BD03DB9" w14:textId="77777777" w:rsidTr="00240790">
        <w:trPr>
          <w:trHeight w:val="238"/>
          <w:jc w:val="center"/>
        </w:trPr>
        <w:tc>
          <w:tcPr>
            <w:tcW w:w="31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68299B6" w14:textId="77777777" w:rsidR="00435107" w:rsidRPr="00D01607" w:rsidRDefault="00000000" w:rsidP="008401F1">
            <w:pPr>
              <w:tabs>
                <w:tab w:val="left" w:pos="36"/>
              </w:tabs>
              <w:ind w:left="36" w:hanging="36"/>
            </w:pPr>
            <w:r>
              <w:t>Klinická odpověď podle PUCAI v </w:t>
            </w:r>
            <w:r w:rsidRPr="00BC5CBC">
              <w:t>týdnu 8</w:t>
            </w:r>
            <w:r>
              <w:t xml:space="preserve"> u pacientů s odpovědí s PMS</w:t>
            </w:r>
          </w:p>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7B4FA0CC" w14:textId="77777777" w:rsidR="00435107" w:rsidRPr="00D01607" w:rsidRDefault="00000000" w:rsidP="008401F1">
            <w:pPr>
              <w:jc w:val="center"/>
            </w:pPr>
            <w:r>
              <w:t>18/31 (58,1 %)</w:t>
            </w:r>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38D8AF77" w14:textId="77777777" w:rsidR="00435107" w:rsidRPr="00D01607" w:rsidRDefault="00000000" w:rsidP="008401F1">
            <w:pPr>
              <w:jc w:val="center"/>
            </w:pPr>
            <w:r>
              <w:t>16/31 (51,6 %)</w:t>
            </w:r>
          </w:p>
        </w:tc>
      </w:tr>
      <w:tr w:rsidR="00534A2D" w14:paraId="4082F3E4" w14:textId="77777777" w:rsidTr="00240790">
        <w:trPr>
          <w:trHeight w:val="533"/>
          <w:jc w:val="center"/>
        </w:trPr>
        <w:tc>
          <w:tcPr>
            <w:tcW w:w="9071"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EDCC5B7" w14:textId="77777777" w:rsidR="00435107" w:rsidRPr="00950D86" w:rsidRDefault="00000000" w:rsidP="008401F1">
            <w:pPr>
              <w:ind w:left="0" w:firstLine="0"/>
              <w:rPr>
                <w:rStyle w:val="eop"/>
                <w:szCs w:val="22"/>
              </w:rPr>
            </w:pPr>
            <w:r w:rsidRPr="00950D86">
              <w:rPr>
                <w:szCs w:val="22"/>
                <w:vertAlign w:val="superscript"/>
              </w:rPr>
              <w:t xml:space="preserve">a </w:t>
            </w:r>
            <w:r w:rsidRPr="00950D86">
              <w:rPr>
                <w:rStyle w:val="normaltextrun"/>
                <w:szCs w:val="22"/>
              </w:rPr>
              <w:t>Humira 2,4</w:t>
            </w:r>
            <w:r w:rsidR="00874DE1" w:rsidRPr="00005EC2">
              <w:rPr>
                <w:szCs w:val="22"/>
              </w:rPr>
              <w:t> </w:t>
            </w:r>
            <w:r w:rsidRPr="00950D86">
              <w:rPr>
                <w:rStyle w:val="normaltextrun"/>
                <w:szCs w:val="22"/>
              </w:rPr>
              <w:t>mg/kg (maximální dávka 160</w:t>
            </w:r>
            <w:r w:rsidR="00874DE1" w:rsidRPr="00005EC2">
              <w:rPr>
                <w:szCs w:val="22"/>
              </w:rPr>
              <w:t> </w:t>
            </w:r>
            <w:r w:rsidRPr="00950D86">
              <w:rPr>
                <w:rStyle w:val="normaltextrun"/>
                <w:szCs w:val="22"/>
              </w:rPr>
              <w:t>mg) v týdnu 0, placebo v týdnu 1</w:t>
            </w:r>
            <w:r w:rsidR="002378E0">
              <w:rPr>
                <w:rStyle w:val="normaltextrun"/>
                <w:szCs w:val="22"/>
              </w:rPr>
              <w:t xml:space="preserve"> a </w:t>
            </w:r>
            <w:r w:rsidRPr="00950D86">
              <w:rPr>
                <w:rStyle w:val="normaltextrun"/>
                <w:szCs w:val="22"/>
              </w:rPr>
              <w:t>1,2</w:t>
            </w:r>
            <w:r w:rsidR="00874DE1" w:rsidRPr="00005EC2">
              <w:rPr>
                <w:szCs w:val="22"/>
              </w:rPr>
              <w:t> </w:t>
            </w:r>
            <w:r w:rsidRPr="00950D86">
              <w:rPr>
                <w:rStyle w:val="normaltextrun"/>
                <w:szCs w:val="22"/>
              </w:rPr>
              <w:t>mg/kg (maximální dávka 80</w:t>
            </w:r>
            <w:r w:rsidR="00874DE1" w:rsidRPr="00005EC2">
              <w:rPr>
                <w:szCs w:val="22"/>
              </w:rPr>
              <w:t> </w:t>
            </w:r>
            <w:r w:rsidRPr="00950D86">
              <w:rPr>
                <w:rStyle w:val="normaltextrun"/>
                <w:szCs w:val="22"/>
              </w:rPr>
              <w:t>mg) v</w:t>
            </w:r>
            <w:r w:rsidR="000E6EA0" w:rsidRPr="00950D86">
              <w:rPr>
                <w:rStyle w:val="normaltextrun"/>
                <w:szCs w:val="22"/>
              </w:rPr>
              <w:t> </w:t>
            </w:r>
            <w:r w:rsidRPr="00950D86">
              <w:rPr>
                <w:rStyle w:val="normaltextrun"/>
                <w:szCs w:val="22"/>
              </w:rPr>
              <w:t>týdnu</w:t>
            </w:r>
            <w:r w:rsidRPr="00950D86">
              <w:rPr>
                <w:rStyle w:val="eop"/>
                <w:szCs w:val="22"/>
              </w:rPr>
              <w:t xml:space="preserve"> 2</w:t>
            </w:r>
          </w:p>
          <w:p w14:paraId="6699B959" w14:textId="77777777" w:rsidR="00435107" w:rsidRPr="00950D86" w:rsidRDefault="00000000" w:rsidP="008401F1">
            <w:pPr>
              <w:pStyle w:val="paragraph0"/>
              <w:spacing w:before="0" w:beforeAutospacing="0" w:after="0" w:afterAutospacing="0"/>
              <w:textAlignment w:val="baseline"/>
              <w:rPr>
                <w:rStyle w:val="eop"/>
                <w:sz w:val="22"/>
                <w:szCs w:val="22"/>
              </w:rPr>
            </w:pPr>
            <w:r w:rsidRPr="00950D86">
              <w:rPr>
                <w:sz w:val="22"/>
                <w:szCs w:val="22"/>
                <w:vertAlign w:val="superscript"/>
              </w:rPr>
              <w:t xml:space="preserve">b </w:t>
            </w:r>
            <w:r w:rsidRPr="00950D86">
              <w:rPr>
                <w:rStyle w:val="normaltextrun"/>
                <w:sz w:val="22"/>
                <w:szCs w:val="22"/>
              </w:rPr>
              <w:t>Humira 2,4</w:t>
            </w:r>
            <w:r w:rsidR="00874DE1" w:rsidRPr="00005EC2">
              <w:rPr>
                <w:sz w:val="22"/>
                <w:szCs w:val="22"/>
              </w:rPr>
              <w:t> </w:t>
            </w:r>
            <w:r w:rsidRPr="00950D86">
              <w:rPr>
                <w:rStyle w:val="normaltextrun"/>
                <w:sz w:val="22"/>
                <w:szCs w:val="22"/>
              </w:rPr>
              <w:t>mg/kg (maximální dávka 160</w:t>
            </w:r>
            <w:r w:rsidR="00874DE1" w:rsidRPr="00005EC2">
              <w:rPr>
                <w:sz w:val="22"/>
                <w:szCs w:val="22"/>
              </w:rPr>
              <w:t> </w:t>
            </w:r>
            <w:r w:rsidRPr="00950D86">
              <w:rPr>
                <w:rStyle w:val="normaltextrun"/>
                <w:sz w:val="22"/>
                <w:szCs w:val="22"/>
              </w:rPr>
              <w:t>mg) v týdnech 0</w:t>
            </w:r>
            <w:r w:rsidR="002378E0">
              <w:rPr>
                <w:rStyle w:val="normaltextrun"/>
                <w:sz w:val="22"/>
                <w:szCs w:val="22"/>
              </w:rPr>
              <w:t xml:space="preserve"> a </w:t>
            </w:r>
            <w:r w:rsidRPr="00950D86">
              <w:rPr>
                <w:rStyle w:val="normaltextrun"/>
                <w:sz w:val="22"/>
                <w:szCs w:val="22"/>
              </w:rPr>
              <w:t>1</w:t>
            </w:r>
            <w:r w:rsidR="002378E0">
              <w:rPr>
                <w:rStyle w:val="normaltextrun"/>
                <w:sz w:val="22"/>
                <w:szCs w:val="22"/>
              </w:rPr>
              <w:t xml:space="preserve"> a </w:t>
            </w:r>
            <w:r w:rsidRPr="00950D86">
              <w:rPr>
                <w:rStyle w:val="normaltextrun"/>
                <w:sz w:val="22"/>
                <w:szCs w:val="22"/>
              </w:rPr>
              <w:t>1,2</w:t>
            </w:r>
            <w:r w:rsidR="00874DE1" w:rsidRPr="00005EC2">
              <w:rPr>
                <w:sz w:val="22"/>
                <w:szCs w:val="22"/>
              </w:rPr>
              <w:t> </w:t>
            </w:r>
            <w:r w:rsidRPr="00950D86">
              <w:rPr>
                <w:rStyle w:val="normaltextrun"/>
                <w:sz w:val="22"/>
                <w:szCs w:val="22"/>
              </w:rPr>
              <w:t>mg/kg (maximální dávka 80</w:t>
            </w:r>
            <w:r w:rsidR="00874DE1" w:rsidRPr="00005EC2">
              <w:rPr>
                <w:sz w:val="22"/>
                <w:szCs w:val="22"/>
              </w:rPr>
              <w:t> </w:t>
            </w:r>
            <w:r w:rsidRPr="00950D86">
              <w:rPr>
                <w:rStyle w:val="normaltextrun"/>
                <w:sz w:val="22"/>
                <w:szCs w:val="22"/>
              </w:rPr>
              <w:t>mg) v</w:t>
            </w:r>
            <w:r w:rsidR="000E6EA0" w:rsidRPr="00950D86">
              <w:rPr>
                <w:rStyle w:val="normaltextrun"/>
                <w:sz w:val="22"/>
                <w:szCs w:val="22"/>
              </w:rPr>
              <w:t> </w:t>
            </w:r>
            <w:r w:rsidRPr="00950D86">
              <w:rPr>
                <w:rStyle w:val="normaltextrun"/>
                <w:sz w:val="22"/>
                <w:szCs w:val="22"/>
              </w:rPr>
              <w:t>týdnu 2</w:t>
            </w:r>
          </w:p>
          <w:p w14:paraId="32686A31" w14:textId="77777777" w:rsidR="00435107" w:rsidRPr="00950D86" w:rsidRDefault="00000000" w:rsidP="008401F1">
            <w:pPr>
              <w:pStyle w:val="paragraph0"/>
              <w:spacing w:before="0" w:beforeAutospacing="0" w:after="0" w:afterAutospacing="0"/>
              <w:textAlignment w:val="baseline"/>
              <w:rPr>
                <w:rStyle w:val="normaltextrun"/>
                <w:sz w:val="22"/>
                <w:szCs w:val="22"/>
              </w:rPr>
            </w:pPr>
            <w:r w:rsidRPr="00950D86">
              <w:rPr>
                <w:rStyle w:val="normaltextrun"/>
                <w:sz w:val="22"/>
                <w:szCs w:val="22"/>
                <w:vertAlign w:val="superscript"/>
              </w:rPr>
              <w:t xml:space="preserve">c </w:t>
            </w:r>
            <w:r w:rsidRPr="00950D86">
              <w:rPr>
                <w:rStyle w:val="normaltextrun"/>
                <w:sz w:val="22"/>
                <w:szCs w:val="22"/>
              </w:rPr>
              <w:t>Nezahrnuje nezaslepenou indukční dávku přípravku Humira 2,4</w:t>
            </w:r>
            <w:r w:rsidR="00874DE1" w:rsidRPr="00005EC2">
              <w:rPr>
                <w:sz w:val="22"/>
                <w:szCs w:val="22"/>
              </w:rPr>
              <w:t> </w:t>
            </w:r>
            <w:r w:rsidRPr="00950D86">
              <w:rPr>
                <w:rStyle w:val="normaltextrun"/>
                <w:sz w:val="22"/>
                <w:szCs w:val="22"/>
              </w:rPr>
              <w:t>mg/kg (maximální dávka 160</w:t>
            </w:r>
            <w:r w:rsidR="00874DE1" w:rsidRPr="00005EC2">
              <w:rPr>
                <w:sz w:val="22"/>
                <w:szCs w:val="22"/>
              </w:rPr>
              <w:t> </w:t>
            </w:r>
            <w:r w:rsidRPr="00950D86">
              <w:rPr>
                <w:rStyle w:val="normaltextrun"/>
                <w:sz w:val="22"/>
                <w:szCs w:val="22"/>
              </w:rPr>
              <w:t>mg) v týdnech 0</w:t>
            </w:r>
            <w:r w:rsidR="002378E0">
              <w:rPr>
                <w:rStyle w:val="normaltextrun"/>
                <w:sz w:val="22"/>
                <w:szCs w:val="22"/>
              </w:rPr>
              <w:t xml:space="preserve"> a </w:t>
            </w:r>
            <w:r w:rsidRPr="00950D86">
              <w:rPr>
                <w:rStyle w:val="normaltextrun"/>
                <w:sz w:val="22"/>
                <w:szCs w:val="22"/>
              </w:rPr>
              <w:t>1</w:t>
            </w:r>
            <w:r w:rsidR="002378E0">
              <w:rPr>
                <w:rStyle w:val="normaltextrun"/>
                <w:sz w:val="22"/>
                <w:szCs w:val="22"/>
              </w:rPr>
              <w:t xml:space="preserve"> a </w:t>
            </w:r>
            <w:r w:rsidRPr="00950D86">
              <w:rPr>
                <w:rStyle w:val="normaltextrun"/>
                <w:sz w:val="22"/>
                <w:szCs w:val="22"/>
              </w:rPr>
              <w:t>1,2</w:t>
            </w:r>
            <w:r w:rsidR="00874DE1" w:rsidRPr="00005EC2">
              <w:rPr>
                <w:sz w:val="22"/>
                <w:szCs w:val="22"/>
              </w:rPr>
              <w:t> </w:t>
            </w:r>
            <w:r w:rsidRPr="00950D86">
              <w:rPr>
                <w:rStyle w:val="normaltextrun"/>
                <w:sz w:val="22"/>
                <w:szCs w:val="22"/>
              </w:rPr>
              <w:t>mg/kg (maximální dávka 80</w:t>
            </w:r>
            <w:r w:rsidR="00874DE1" w:rsidRPr="00005EC2">
              <w:rPr>
                <w:sz w:val="22"/>
                <w:szCs w:val="22"/>
              </w:rPr>
              <w:t> </w:t>
            </w:r>
            <w:r w:rsidRPr="00950D86">
              <w:rPr>
                <w:rStyle w:val="normaltextrun"/>
                <w:sz w:val="22"/>
                <w:szCs w:val="22"/>
              </w:rPr>
              <w:t>mg) v</w:t>
            </w:r>
            <w:r w:rsidR="000E6EA0" w:rsidRPr="00950D86">
              <w:rPr>
                <w:rStyle w:val="normaltextrun"/>
                <w:sz w:val="22"/>
                <w:szCs w:val="22"/>
              </w:rPr>
              <w:t> </w:t>
            </w:r>
            <w:r w:rsidRPr="00950D86">
              <w:rPr>
                <w:rStyle w:val="normaltextrun"/>
                <w:sz w:val="22"/>
                <w:szCs w:val="22"/>
              </w:rPr>
              <w:t>týdnu 2</w:t>
            </w:r>
          </w:p>
          <w:p w14:paraId="6ABEB1FD" w14:textId="77777777" w:rsidR="00435107" w:rsidRPr="00950D86" w:rsidRDefault="00000000" w:rsidP="008401F1">
            <w:pPr>
              <w:pStyle w:val="paragraph0"/>
              <w:spacing w:before="0" w:beforeAutospacing="0" w:after="0" w:afterAutospacing="0"/>
              <w:textAlignment w:val="baseline"/>
              <w:rPr>
                <w:sz w:val="22"/>
                <w:szCs w:val="22"/>
              </w:rPr>
            </w:pPr>
            <w:r w:rsidRPr="00950D86">
              <w:rPr>
                <w:rStyle w:val="normaltextrun"/>
                <w:sz w:val="22"/>
                <w:szCs w:val="22"/>
                <w:vertAlign w:val="superscript"/>
              </w:rPr>
              <w:t>d</w:t>
            </w:r>
            <w:r w:rsidRPr="00950D86">
              <w:rPr>
                <w:sz w:val="22"/>
                <w:szCs w:val="22"/>
              </w:rPr>
              <w:t xml:space="preserve"> Humira 0,6</w:t>
            </w:r>
            <w:r w:rsidR="00874DE1" w:rsidRPr="00005EC2">
              <w:rPr>
                <w:sz w:val="22"/>
                <w:szCs w:val="22"/>
              </w:rPr>
              <w:t> </w:t>
            </w:r>
            <w:r w:rsidRPr="00950D86">
              <w:rPr>
                <w:sz w:val="22"/>
                <w:szCs w:val="22"/>
              </w:rPr>
              <w:t>mg/kg</w:t>
            </w:r>
            <w:r w:rsidR="00FF6D96">
              <w:rPr>
                <w:sz w:val="22"/>
                <w:szCs w:val="22"/>
              </w:rPr>
              <w:t xml:space="preserve"> </w:t>
            </w:r>
            <w:r w:rsidRPr="00950D86">
              <w:rPr>
                <w:sz w:val="22"/>
                <w:szCs w:val="22"/>
              </w:rPr>
              <w:t>(maximální dávka 40</w:t>
            </w:r>
            <w:r w:rsidR="00874DE1" w:rsidRPr="00005EC2">
              <w:rPr>
                <w:sz w:val="22"/>
                <w:szCs w:val="22"/>
              </w:rPr>
              <w:t> </w:t>
            </w:r>
            <w:r w:rsidRPr="00950D86">
              <w:rPr>
                <w:sz w:val="22"/>
                <w:szCs w:val="22"/>
              </w:rPr>
              <w:t>mg)</w:t>
            </w:r>
            <w:r w:rsidR="00FF6D96">
              <w:rPr>
                <w:sz w:val="22"/>
                <w:szCs w:val="22"/>
              </w:rPr>
              <w:t xml:space="preserve"> </w:t>
            </w:r>
            <w:r w:rsidRPr="00950D86">
              <w:rPr>
                <w:sz w:val="22"/>
                <w:szCs w:val="22"/>
              </w:rPr>
              <w:t>jednou za dva týdny</w:t>
            </w:r>
          </w:p>
          <w:p w14:paraId="30BF2F19" w14:textId="77777777" w:rsidR="00435107" w:rsidRPr="00950D86" w:rsidRDefault="00000000" w:rsidP="008401F1">
            <w:pPr>
              <w:ind w:left="0" w:firstLine="0"/>
              <w:rPr>
                <w:szCs w:val="22"/>
              </w:rPr>
            </w:pPr>
            <w:r w:rsidRPr="00950D86">
              <w:rPr>
                <w:szCs w:val="22"/>
                <w:vertAlign w:val="superscript"/>
              </w:rPr>
              <w:t>e</w:t>
            </w:r>
            <w:r w:rsidRPr="00950D86">
              <w:rPr>
                <w:szCs w:val="22"/>
              </w:rPr>
              <w:t xml:space="preserve"> Humira 0,6</w:t>
            </w:r>
            <w:r w:rsidR="00874DE1" w:rsidRPr="00005EC2">
              <w:rPr>
                <w:szCs w:val="22"/>
              </w:rPr>
              <w:t> </w:t>
            </w:r>
            <w:r w:rsidRPr="00950D86">
              <w:rPr>
                <w:szCs w:val="22"/>
              </w:rPr>
              <w:t>mg/kg</w:t>
            </w:r>
            <w:r w:rsidR="00FF6D96">
              <w:rPr>
                <w:szCs w:val="22"/>
              </w:rPr>
              <w:t xml:space="preserve"> </w:t>
            </w:r>
            <w:r w:rsidRPr="00950D86">
              <w:rPr>
                <w:szCs w:val="22"/>
              </w:rPr>
              <w:t>(maximální dávka 40</w:t>
            </w:r>
            <w:r w:rsidR="00874DE1" w:rsidRPr="00005EC2">
              <w:rPr>
                <w:szCs w:val="22"/>
              </w:rPr>
              <w:t> </w:t>
            </w:r>
            <w:r w:rsidRPr="00950D86">
              <w:rPr>
                <w:szCs w:val="22"/>
              </w:rPr>
              <w:t>mg)</w:t>
            </w:r>
            <w:r w:rsidR="00FF6D96">
              <w:rPr>
                <w:szCs w:val="22"/>
              </w:rPr>
              <w:t xml:space="preserve"> </w:t>
            </w:r>
            <w:r w:rsidRPr="00950D86">
              <w:rPr>
                <w:szCs w:val="22"/>
              </w:rPr>
              <w:t>jednou týdně</w:t>
            </w:r>
          </w:p>
          <w:p w14:paraId="317E930C" w14:textId="77777777" w:rsidR="00435107" w:rsidRPr="00950D86" w:rsidRDefault="00000000" w:rsidP="008401F1">
            <w:pPr>
              <w:pStyle w:val="paragraph0"/>
              <w:spacing w:before="0" w:beforeAutospacing="0" w:after="0" w:afterAutospacing="0"/>
              <w:textAlignment w:val="baseline"/>
              <w:rPr>
                <w:sz w:val="22"/>
                <w:szCs w:val="22"/>
              </w:rPr>
            </w:pPr>
            <w:r w:rsidRPr="00950D86">
              <w:rPr>
                <w:rStyle w:val="normaltextrun"/>
                <w:sz w:val="22"/>
                <w:szCs w:val="22"/>
              </w:rPr>
              <w:t>Pozn. 1:</w:t>
            </w:r>
            <w:r w:rsidRPr="00950D86">
              <w:rPr>
                <w:sz w:val="22"/>
                <w:szCs w:val="22"/>
              </w:rPr>
              <w:t xml:space="preserve"> </w:t>
            </w:r>
            <w:r w:rsidRPr="00950D86">
              <w:rPr>
                <w:rStyle w:val="normaltextrun"/>
                <w:sz w:val="22"/>
                <w:szCs w:val="22"/>
              </w:rPr>
              <w:t>Obě indukční skupiny dostávaly 0,6</w:t>
            </w:r>
            <w:r w:rsidR="00874DE1" w:rsidRPr="00005EC2">
              <w:rPr>
                <w:sz w:val="22"/>
                <w:szCs w:val="22"/>
              </w:rPr>
              <w:t> </w:t>
            </w:r>
            <w:r w:rsidRPr="00950D86">
              <w:rPr>
                <w:rStyle w:val="normaltextrun"/>
                <w:sz w:val="22"/>
                <w:szCs w:val="22"/>
              </w:rPr>
              <w:t>mg/kg (maximální dávka 40</w:t>
            </w:r>
            <w:r w:rsidR="00874DE1" w:rsidRPr="00005EC2">
              <w:rPr>
                <w:sz w:val="22"/>
                <w:szCs w:val="22"/>
              </w:rPr>
              <w:t> </w:t>
            </w:r>
            <w:r w:rsidRPr="00950D86">
              <w:rPr>
                <w:rStyle w:val="normaltextrun"/>
                <w:sz w:val="22"/>
                <w:szCs w:val="22"/>
              </w:rPr>
              <w:t>mg) v</w:t>
            </w:r>
            <w:r w:rsidR="000E6EA0" w:rsidRPr="00950D86">
              <w:rPr>
                <w:rStyle w:val="normaltextrun"/>
                <w:sz w:val="22"/>
                <w:szCs w:val="22"/>
              </w:rPr>
              <w:t> </w:t>
            </w:r>
            <w:r w:rsidRPr="00950D86">
              <w:rPr>
                <w:rStyle w:val="normaltextrun"/>
                <w:sz w:val="22"/>
                <w:szCs w:val="22"/>
              </w:rPr>
              <w:t>týdnu 4</w:t>
            </w:r>
            <w:r w:rsidR="002378E0">
              <w:rPr>
                <w:rStyle w:val="normaltextrun"/>
                <w:sz w:val="22"/>
                <w:szCs w:val="22"/>
              </w:rPr>
              <w:t xml:space="preserve"> a </w:t>
            </w:r>
            <w:r w:rsidRPr="00950D86">
              <w:rPr>
                <w:rStyle w:val="normaltextrun"/>
                <w:sz w:val="22"/>
                <w:szCs w:val="22"/>
              </w:rPr>
              <w:t>6</w:t>
            </w:r>
          </w:p>
          <w:p w14:paraId="5FDBF957" w14:textId="77777777" w:rsidR="00435107" w:rsidRPr="00950D86" w:rsidRDefault="00000000" w:rsidP="008401F1">
            <w:pPr>
              <w:pStyle w:val="paragraph0"/>
              <w:spacing w:before="0" w:beforeAutospacing="0" w:after="0" w:afterAutospacing="0"/>
              <w:textAlignment w:val="baseline"/>
              <w:rPr>
                <w:rStyle w:val="eop"/>
                <w:sz w:val="22"/>
                <w:szCs w:val="22"/>
              </w:rPr>
            </w:pPr>
            <w:r w:rsidRPr="00950D86">
              <w:rPr>
                <w:rStyle w:val="normaltextrun"/>
                <w:sz w:val="22"/>
                <w:szCs w:val="22"/>
              </w:rPr>
              <w:t>Pozn. 2:</w:t>
            </w:r>
            <w:r w:rsidRPr="00950D86">
              <w:rPr>
                <w:sz w:val="22"/>
                <w:szCs w:val="22"/>
              </w:rPr>
              <w:t xml:space="preserve"> </w:t>
            </w:r>
            <w:r w:rsidRPr="00950D86">
              <w:rPr>
                <w:rStyle w:val="normaltextrun"/>
                <w:sz w:val="22"/>
                <w:szCs w:val="22"/>
              </w:rPr>
              <w:t>Pacienti s chybějícími hodnotami v týdnu 8 byli považováni za pacienty, kteří nesplnili cílové parametry</w:t>
            </w:r>
            <w:r w:rsidRPr="00950D86">
              <w:rPr>
                <w:rStyle w:val="eop"/>
                <w:sz w:val="22"/>
                <w:szCs w:val="22"/>
              </w:rPr>
              <w:t xml:space="preserve"> </w:t>
            </w:r>
          </w:p>
          <w:p w14:paraId="14F97179" w14:textId="77777777" w:rsidR="00435107" w:rsidRPr="00950D86" w:rsidRDefault="00000000" w:rsidP="008401F1">
            <w:pPr>
              <w:pStyle w:val="paragraph0"/>
              <w:spacing w:before="0" w:beforeAutospacing="0" w:after="0" w:afterAutospacing="0"/>
              <w:textAlignment w:val="baseline"/>
              <w:rPr>
                <w:sz w:val="22"/>
                <w:szCs w:val="22"/>
              </w:rPr>
            </w:pPr>
            <w:r w:rsidRPr="00950D86">
              <w:rPr>
                <w:rStyle w:val="eop"/>
                <w:sz w:val="22"/>
                <w:szCs w:val="22"/>
              </w:rPr>
              <w:t>Pozn. 3:</w:t>
            </w:r>
            <w:r w:rsidRPr="00950D86">
              <w:rPr>
                <w:sz w:val="22"/>
                <w:szCs w:val="22"/>
              </w:rPr>
              <w:t xml:space="preserve"> Pacienti s chybějícími hodnotami v</w:t>
            </w:r>
            <w:r w:rsidR="000E6EA0" w:rsidRPr="00950D86">
              <w:rPr>
                <w:sz w:val="22"/>
                <w:szCs w:val="22"/>
              </w:rPr>
              <w:t> </w:t>
            </w:r>
            <w:r w:rsidRPr="00950D86">
              <w:rPr>
                <w:sz w:val="22"/>
                <w:szCs w:val="22"/>
              </w:rPr>
              <w:t>týdnu 52 nebo randomizovaní k opětovné indukční nebo udržovací léčbě byli považováni za pacienty bez odpovědi pro cílové parametry v</w:t>
            </w:r>
            <w:r w:rsidR="000E6EA0" w:rsidRPr="00950D86">
              <w:rPr>
                <w:sz w:val="22"/>
                <w:szCs w:val="22"/>
              </w:rPr>
              <w:t> </w:t>
            </w:r>
            <w:r w:rsidRPr="00950D86">
              <w:rPr>
                <w:sz w:val="22"/>
                <w:szCs w:val="22"/>
              </w:rPr>
              <w:t>týdnu 52</w:t>
            </w:r>
          </w:p>
        </w:tc>
      </w:tr>
    </w:tbl>
    <w:p w14:paraId="7AD34FDC" w14:textId="77777777" w:rsidR="00435107" w:rsidRPr="00D01607" w:rsidRDefault="00435107" w:rsidP="00435107"/>
    <w:p w14:paraId="17ABA98E" w14:textId="77777777" w:rsidR="00435107" w:rsidRDefault="00000000" w:rsidP="00435107">
      <w:pPr>
        <w:ind w:left="0" w:firstLine="0"/>
      </w:pPr>
      <w:r>
        <w:t>Z</w:t>
      </w:r>
      <w:r w:rsidR="000E6EA0">
        <w:t> </w:t>
      </w:r>
      <w:r>
        <w:t>pacientů léčených přípravkem Humira, kteří během udržovacího období podstoupili opětovnou indukční léčbu, dosáhlo 2/6 (33</w:t>
      </w:r>
      <w:r w:rsidR="000E6EA0">
        <w:t> </w:t>
      </w:r>
      <w:r>
        <w:t>%) klinické odpovědi podle FMS v</w:t>
      </w:r>
      <w:r w:rsidR="000E6EA0">
        <w:t> </w:t>
      </w:r>
      <w:r>
        <w:t>týdnu 52.</w:t>
      </w:r>
    </w:p>
    <w:p w14:paraId="2F945F2A" w14:textId="77777777" w:rsidR="00435107" w:rsidRPr="00D01607" w:rsidRDefault="00435107" w:rsidP="00435107">
      <w:pPr>
        <w:ind w:left="0" w:firstLine="0"/>
      </w:pPr>
    </w:p>
    <w:p w14:paraId="6A139909" w14:textId="77777777" w:rsidR="00435107" w:rsidRDefault="00000000" w:rsidP="00435107">
      <w:pPr>
        <w:keepNext/>
        <w:ind w:left="0" w:firstLine="0"/>
        <w:rPr>
          <w:bCs/>
          <w:i/>
          <w:u w:val="single"/>
        </w:rPr>
      </w:pPr>
      <w:r>
        <w:rPr>
          <w:i/>
          <w:u w:val="single"/>
        </w:rPr>
        <w:t>Kvalita života</w:t>
      </w:r>
    </w:p>
    <w:p w14:paraId="0CE2D2C0" w14:textId="77777777" w:rsidR="00435107" w:rsidRPr="00D01607" w:rsidRDefault="00435107" w:rsidP="00435107">
      <w:pPr>
        <w:keepNext/>
        <w:ind w:left="0" w:firstLine="0"/>
        <w:rPr>
          <w:bCs/>
          <w:i/>
          <w:u w:val="single"/>
        </w:rPr>
      </w:pPr>
    </w:p>
    <w:p w14:paraId="74BBD97A" w14:textId="77777777" w:rsidR="00435107" w:rsidRPr="00D01607" w:rsidRDefault="00000000" w:rsidP="00435107">
      <w:pPr>
        <w:keepNext/>
        <w:ind w:left="0" w:firstLine="0"/>
      </w:pPr>
      <w:r>
        <w:t>U skupin léčených přípravkem Humira bylo pozorováno klinicky významné zlepšení v</w:t>
      </w:r>
      <w:r w:rsidR="000E6EA0">
        <w:t> </w:t>
      </w:r>
      <w:r w:rsidRPr="001B4A02">
        <w:t xml:space="preserve">parametrech kvality života (včetně </w:t>
      </w:r>
      <w:r w:rsidRPr="00986E88">
        <w:rPr>
          <w:szCs w:val="22"/>
        </w:rPr>
        <w:t>WPAI</w:t>
      </w:r>
      <w:r w:rsidRPr="001B4A02">
        <w:t xml:space="preserve"> </w:t>
      </w:r>
      <w:r>
        <w:t>skóre</w:t>
      </w:r>
      <w:r w:rsidR="002378E0">
        <w:t xml:space="preserve"> a </w:t>
      </w:r>
      <w:r w:rsidRPr="001B4A02">
        <w:t>IMPACT III</w:t>
      </w:r>
      <w:r>
        <w:t>).</w:t>
      </w:r>
    </w:p>
    <w:p w14:paraId="65931355" w14:textId="77777777" w:rsidR="00435107" w:rsidRDefault="00435107" w:rsidP="00435107">
      <w:pPr>
        <w:ind w:left="0" w:firstLine="0"/>
      </w:pPr>
    </w:p>
    <w:p w14:paraId="56598104" w14:textId="77777777" w:rsidR="00435107" w:rsidRDefault="00000000" w:rsidP="00435107">
      <w:pPr>
        <w:ind w:left="0" w:firstLine="0"/>
      </w:pPr>
      <w:r w:rsidRPr="001F29A6">
        <w:t>U skupin léčených adalimumabem vysokou udržovací dávkou maximálně 40</w:t>
      </w:r>
      <w:r>
        <w:t> </w:t>
      </w:r>
      <w:r w:rsidRPr="001F29A6">
        <w:t>mg (0,6</w:t>
      </w:r>
      <w:r>
        <w:t> </w:t>
      </w:r>
      <w:r w:rsidRPr="001F29A6">
        <w:t>mg/kg) týdně bylo pozorováno klinicky významné zvýšení (zlepšení) rychlosti růstu</w:t>
      </w:r>
      <w:r w:rsidR="002378E0">
        <w:t xml:space="preserve"> a </w:t>
      </w:r>
      <w:r w:rsidRPr="001F29A6">
        <w:t>klinicky významné zvýšení (zlepšení) Body Mass Indexu v porovnání s výchozím stavem</w:t>
      </w:r>
      <w:r>
        <w:t>.</w:t>
      </w:r>
    </w:p>
    <w:p w14:paraId="42B747D3" w14:textId="77777777" w:rsidR="003A54E9" w:rsidRDefault="003A54E9" w:rsidP="003A54E9">
      <w:pPr>
        <w:rPr>
          <w:rStyle w:val="normaltextrun"/>
          <w:shd w:val="clear" w:color="auto" w:fill="FFFFFF"/>
        </w:rPr>
      </w:pPr>
    </w:p>
    <w:p w14:paraId="0C4B4D89" w14:textId="77777777" w:rsidR="003A54E9" w:rsidRPr="001B4A02" w:rsidRDefault="00000000" w:rsidP="003A54E9">
      <w:pPr>
        <w:keepNext/>
        <w:rPr>
          <w:i/>
          <w:color w:val="000000"/>
        </w:rPr>
      </w:pPr>
      <w:r w:rsidRPr="001B4A02">
        <w:rPr>
          <w:i/>
          <w:color w:val="000000"/>
        </w:rPr>
        <w:t>Uveitida u pediatrických pacientů</w:t>
      </w:r>
    </w:p>
    <w:p w14:paraId="3FEA391E" w14:textId="77777777" w:rsidR="003A54E9" w:rsidRPr="001B4A02" w:rsidRDefault="003A54E9" w:rsidP="003A54E9">
      <w:pPr>
        <w:keepNext/>
        <w:rPr>
          <w:color w:val="000000"/>
        </w:rPr>
      </w:pPr>
    </w:p>
    <w:p w14:paraId="179DFE28" w14:textId="77777777" w:rsidR="003A54E9" w:rsidRPr="001B4A02" w:rsidRDefault="00000000" w:rsidP="003A54E9">
      <w:pPr>
        <w:pStyle w:val="gtcbodytext"/>
        <w:spacing w:before="0" w:after="0" w:line="240" w:lineRule="auto"/>
        <w:rPr>
          <w:bCs/>
          <w:sz w:val="22"/>
          <w:szCs w:val="20"/>
          <w:lang w:val="cs-CZ"/>
        </w:rPr>
      </w:pPr>
      <w:r w:rsidRPr="001B4A02">
        <w:rPr>
          <w:bCs/>
          <w:sz w:val="22"/>
          <w:szCs w:val="22"/>
          <w:lang w:val="cs-CZ"/>
        </w:rPr>
        <w:t>Bezpečnost</w:t>
      </w:r>
      <w:r w:rsidR="002378E0">
        <w:rPr>
          <w:bCs/>
          <w:sz w:val="22"/>
          <w:szCs w:val="22"/>
          <w:lang w:val="cs-CZ"/>
        </w:rPr>
        <w:t xml:space="preserve"> a </w:t>
      </w:r>
      <w:r w:rsidRPr="001B4A02">
        <w:rPr>
          <w:bCs/>
          <w:sz w:val="22"/>
          <w:szCs w:val="22"/>
          <w:lang w:val="cs-CZ"/>
        </w:rPr>
        <w:t>účinnost přípravku Humira byla hodnocena v randomizované, dvojitě zaslepené, kontrolované studii u 90 pediatrických pacientů ve věku od 2 do &lt; 18 let s neinfekční přední uveitidou související s JIA, kteří byli refrakterní na nejméně 12týdenní léčbu methotrexátem. Pacienti dostávali buď placebo, nebo 20 mg adalimumabu (pokud měli tělesnou hmotnost &lt; 30</w:t>
      </w:r>
      <w:r w:rsidR="002767FC">
        <w:rPr>
          <w:bCs/>
          <w:sz w:val="22"/>
          <w:szCs w:val="22"/>
          <w:lang w:val="cs-CZ"/>
        </w:rPr>
        <w:t> kg</w:t>
      </w:r>
      <w:r w:rsidRPr="001B4A02">
        <w:rPr>
          <w:bCs/>
          <w:sz w:val="22"/>
          <w:szCs w:val="22"/>
          <w:lang w:val="cs-CZ"/>
        </w:rPr>
        <w:t>) nebo 40 mg adalimumabu (pokud měli tělesnou hmotnost ≥ 30</w:t>
      </w:r>
      <w:r w:rsidR="002767FC">
        <w:rPr>
          <w:bCs/>
          <w:sz w:val="22"/>
          <w:szCs w:val="22"/>
          <w:lang w:val="cs-CZ"/>
        </w:rPr>
        <w:t> kg</w:t>
      </w:r>
      <w:r w:rsidRPr="001B4A02">
        <w:rPr>
          <w:bCs/>
          <w:sz w:val="22"/>
          <w:szCs w:val="22"/>
          <w:lang w:val="cs-CZ"/>
        </w:rPr>
        <w:t>) každý druhý týden v kombinaci se svou úvodní dávkou methotrexátu.</w:t>
      </w:r>
    </w:p>
    <w:p w14:paraId="232BF83C" w14:textId="77777777" w:rsidR="003A54E9" w:rsidRPr="001B4A02" w:rsidRDefault="003A54E9" w:rsidP="003A54E9">
      <w:pPr>
        <w:pStyle w:val="gtcbodytext"/>
        <w:spacing w:before="0" w:after="0" w:line="240" w:lineRule="auto"/>
        <w:rPr>
          <w:bCs/>
          <w:sz w:val="22"/>
          <w:szCs w:val="22"/>
          <w:bdr w:val="nil"/>
          <w:lang w:val="cs-CZ"/>
        </w:rPr>
      </w:pPr>
    </w:p>
    <w:p w14:paraId="68DED602" w14:textId="77777777" w:rsidR="003A54E9" w:rsidRPr="001B4A02" w:rsidRDefault="00000000" w:rsidP="003A54E9">
      <w:pPr>
        <w:pStyle w:val="gtcbodytext"/>
        <w:spacing w:before="0" w:after="0" w:line="240" w:lineRule="auto"/>
        <w:rPr>
          <w:bCs/>
          <w:sz w:val="22"/>
          <w:szCs w:val="20"/>
          <w:lang w:val="cs-CZ"/>
        </w:rPr>
      </w:pPr>
      <w:r w:rsidRPr="001B4A02">
        <w:rPr>
          <w:bCs/>
          <w:sz w:val="22"/>
          <w:szCs w:val="22"/>
          <w:lang w:val="cs-CZ"/>
        </w:rPr>
        <w:t>Primárním cílovým ukazatelem byla doba do selhání léčby. Kritériem pro stanovení selhání léčby bylo zhoršení nebo trvalé nezlepšení očního zánětu, částečné zlepšení s rozvojem trvalých očních komorbidit nebo zhoršení očních komorbidit, nepovolené použití souběžné léčby</w:t>
      </w:r>
      <w:r w:rsidR="002378E0">
        <w:rPr>
          <w:bCs/>
          <w:sz w:val="22"/>
          <w:szCs w:val="22"/>
          <w:lang w:val="cs-CZ"/>
        </w:rPr>
        <w:t xml:space="preserve"> a </w:t>
      </w:r>
      <w:r w:rsidRPr="001B4A02">
        <w:rPr>
          <w:bCs/>
          <w:sz w:val="22"/>
          <w:szCs w:val="22"/>
          <w:lang w:val="cs-CZ"/>
        </w:rPr>
        <w:t>přerušení léčby po delší časové období.</w:t>
      </w:r>
    </w:p>
    <w:p w14:paraId="47C4FE1E" w14:textId="77777777" w:rsidR="003A54E9" w:rsidRPr="001B4A02" w:rsidRDefault="003A54E9" w:rsidP="003A54E9">
      <w:pPr>
        <w:pStyle w:val="gtcbodytext"/>
        <w:spacing w:before="0" w:after="0" w:line="240" w:lineRule="auto"/>
        <w:rPr>
          <w:bCs/>
          <w:sz w:val="22"/>
          <w:szCs w:val="22"/>
          <w:lang w:val="cs-CZ"/>
        </w:rPr>
      </w:pPr>
    </w:p>
    <w:p w14:paraId="6B55943F" w14:textId="77777777" w:rsidR="003A54E9" w:rsidRPr="001B4A02" w:rsidRDefault="00000000" w:rsidP="003A54E9">
      <w:pPr>
        <w:pStyle w:val="gtcbodytext"/>
        <w:keepNext/>
        <w:spacing w:before="0" w:after="0" w:line="240" w:lineRule="auto"/>
        <w:rPr>
          <w:i/>
          <w:sz w:val="22"/>
          <w:szCs w:val="22"/>
          <w:u w:val="single"/>
          <w:lang w:val="cs-CZ"/>
        </w:rPr>
      </w:pPr>
      <w:r w:rsidRPr="001B4A02">
        <w:rPr>
          <w:i/>
          <w:iCs/>
          <w:sz w:val="22"/>
          <w:szCs w:val="22"/>
          <w:u w:val="single"/>
          <w:lang w:val="cs-CZ"/>
        </w:rPr>
        <w:t>Klinická odpověď</w:t>
      </w:r>
    </w:p>
    <w:p w14:paraId="4D251C70" w14:textId="77777777" w:rsidR="003A54E9" w:rsidRPr="001B4A02" w:rsidRDefault="003A54E9" w:rsidP="003A54E9">
      <w:pPr>
        <w:pStyle w:val="EMEANormal"/>
        <w:keepNext/>
        <w:tabs>
          <w:tab w:val="clear" w:pos="562"/>
        </w:tabs>
        <w:suppressAutoHyphens w:val="0"/>
        <w:rPr>
          <w:bCs/>
          <w:szCs w:val="22"/>
          <w:bdr w:val="nil"/>
          <w:lang w:val="cs-CZ"/>
        </w:rPr>
      </w:pPr>
    </w:p>
    <w:p w14:paraId="23C0CFBA" w14:textId="77777777" w:rsidR="003A54E9" w:rsidRPr="001B4A02" w:rsidRDefault="00000000" w:rsidP="003A54E9">
      <w:pPr>
        <w:pStyle w:val="EMEANormal"/>
        <w:tabs>
          <w:tab w:val="clear" w:pos="562"/>
        </w:tabs>
        <w:suppressAutoHyphens w:val="0"/>
        <w:rPr>
          <w:bCs/>
          <w:szCs w:val="22"/>
          <w:bdr w:val="nil"/>
          <w:lang w:val="cs-CZ"/>
        </w:rPr>
      </w:pPr>
      <w:r w:rsidRPr="001B4A02">
        <w:rPr>
          <w:bCs/>
          <w:szCs w:val="22"/>
          <w:lang w:val="cs-CZ"/>
        </w:rPr>
        <w:t xml:space="preserve">Adalimumab významně prodloužil dobu do selhání léčby v porovnání s placebem (viz obrázek </w:t>
      </w:r>
      <w:r>
        <w:rPr>
          <w:bCs/>
          <w:szCs w:val="22"/>
          <w:lang w:val="cs-CZ"/>
        </w:rPr>
        <w:t>3</w:t>
      </w:r>
      <w:r w:rsidRPr="001B4A02">
        <w:rPr>
          <w:bCs/>
          <w:szCs w:val="22"/>
          <w:lang w:val="cs-CZ"/>
        </w:rPr>
        <w:t>, P &lt; 0,0001 z log rank testu). Medián doby do selhání léčby byl 24,1 týdnů u pacientů s placebem, zatímco medián doby do selhání léčby nebylo možné odhadnout u pacientů léčených adalimumabem, protože léčba selhala u méně než poloviny těchto pacientů. Adalimumab významně snížil riziko selhání léčby o 75 % v porovnání s placebem, jak je uvedeno podle hodnoty poměru rizik (HR = 0,25 [95% CI: 0,12; 0,49]).</w:t>
      </w:r>
    </w:p>
    <w:p w14:paraId="36EDE0A5" w14:textId="77777777" w:rsidR="003A54E9" w:rsidRPr="001B4A02" w:rsidRDefault="003A54E9" w:rsidP="003A54E9">
      <w:pPr>
        <w:pStyle w:val="EMEANormal"/>
        <w:tabs>
          <w:tab w:val="clear" w:pos="562"/>
        </w:tabs>
        <w:suppressAutoHyphens w:val="0"/>
        <w:rPr>
          <w:bCs/>
          <w:szCs w:val="22"/>
          <w:bdr w:val="nil"/>
          <w:lang w:val="cs-CZ"/>
        </w:rPr>
      </w:pPr>
    </w:p>
    <w:p w14:paraId="5ECFFE1E" w14:textId="77777777" w:rsidR="003A54E9" w:rsidRPr="001B4A02" w:rsidRDefault="00000000" w:rsidP="003A54E9">
      <w:pPr>
        <w:pStyle w:val="EMEANormal"/>
        <w:keepNext/>
        <w:jc w:val="center"/>
        <w:rPr>
          <w:b/>
          <w:bCs/>
          <w:szCs w:val="22"/>
          <w:bdr w:val="nil"/>
          <w:lang w:val="cs-CZ"/>
        </w:rPr>
      </w:pPr>
      <w:r w:rsidRPr="001B4A02">
        <w:rPr>
          <w:b/>
          <w:bCs/>
          <w:szCs w:val="22"/>
          <w:lang w:val="cs-CZ"/>
        </w:rPr>
        <w:t xml:space="preserve">Obrázek </w:t>
      </w:r>
      <w:r>
        <w:rPr>
          <w:b/>
          <w:bCs/>
          <w:szCs w:val="22"/>
          <w:lang w:val="cs-CZ"/>
        </w:rPr>
        <w:t>3</w:t>
      </w:r>
      <w:r w:rsidRPr="001B4A02">
        <w:rPr>
          <w:b/>
          <w:bCs/>
          <w:szCs w:val="22"/>
          <w:lang w:val="cs-CZ"/>
        </w:rPr>
        <w:t>: Kaplan-Meierovy křivky shrnující dobu do selhání léčby ve studii u pediatrických pacientů s uveitidou</w:t>
      </w:r>
    </w:p>
    <w:p w14:paraId="6C54BF7B" w14:textId="77777777" w:rsidR="003A54E9" w:rsidRPr="001B4A02" w:rsidRDefault="003A54E9" w:rsidP="003A54E9">
      <w:pPr>
        <w:pStyle w:val="EMEANormal"/>
        <w:keepNext/>
        <w:jc w:val="center"/>
        <w:rPr>
          <w:b/>
          <w:bCs/>
          <w:szCs w:val="22"/>
          <w:bdr w:val="nil"/>
          <w:lang w:val="cs-CZ"/>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534A2D" w14:paraId="62E6C5C5" w14:textId="77777777" w:rsidTr="00E571F5">
        <w:trPr>
          <w:cantSplit/>
          <w:trHeight w:val="3806"/>
        </w:trPr>
        <w:tc>
          <w:tcPr>
            <w:tcW w:w="468" w:type="dxa"/>
            <w:shd w:val="clear" w:color="auto" w:fill="auto"/>
            <w:textDirection w:val="btLr"/>
            <w:vAlign w:val="bottom"/>
          </w:tcPr>
          <w:p w14:paraId="0A42B1D2" w14:textId="77777777" w:rsidR="003A54E9" w:rsidRPr="001B4A02" w:rsidRDefault="00000000" w:rsidP="00E571F5">
            <w:pPr>
              <w:pStyle w:val="EMEANormal"/>
              <w:keepNext/>
              <w:ind w:left="113" w:right="113"/>
              <w:jc w:val="center"/>
              <w:rPr>
                <w:b/>
                <w:szCs w:val="22"/>
                <w:lang w:val="cs-CZ"/>
              </w:rPr>
            </w:pPr>
            <w:r w:rsidRPr="001B4A02">
              <w:rPr>
                <w:b/>
                <w:szCs w:val="22"/>
                <w:lang w:val="cs-CZ"/>
              </w:rPr>
              <w:t>PRAVDĚPODOBNOST SELHÁNÍ LÉČBY</w:t>
            </w:r>
          </w:p>
        </w:tc>
        <w:tc>
          <w:tcPr>
            <w:tcW w:w="8820" w:type="dxa"/>
            <w:gridSpan w:val="5"/>
            <w:shd w:val="clear" w:color="auto" w:fill="auto"/>
            <w:vAlign w:val="bottom"/>
          </w:tcPr>
          <w:p w14:paraId="3BAC7A90" w14:textId="77777777" w:rsidR="003A54E9" w:rsidRPr="001B4A02" w:rsidRDefault="00000000" w:rsidP="00E571F5">
            <w:pPr>
              <w:pStyle w:val="EMEANormal"/>
              <w:keepNext/>
              <w:rPr>
                <w:szCs w:val="22"/>
                <w:lang w:val="cs-CZ"/>
              </w:rPr>
            </w:pPr>
            <w:r w:rsidRPr="001B4A02">
              <w:rPr>
                <w:noProof/>
                <w:szCs w:val="22"/>
              </w:rPr>
              <w:drawing>
                <wp:inline distT="0" distB="0" distL="0" distR="0" wp14:anchorId="2633AD81" wp14:editId="2793E397">
                  <wp:extent cx="5486400" cy="4545965"/>
                  <wp:effectExtent l="0" t="0" r="0" b="6985"/>
                  <wp:docPr id="34" name="obrázek 494"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94" descr="Humira PED UV KM Curve REVISED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4545965"/>
                          </a:xfrm>
                          <a:prstGeom prst="rect">
                            <a:avLst/>
                          </a:prstGeom>
                          <a:noFill/>
                          <a:ln>
                            <a:noFill/>
                          </a:ln>
                        </pic:spPr>
                      </pic:pic>
                    </a:graphicData>
                  </a:graphic>
                </wp:inline>
              </w:drawing>
            </w:r>
          </w:p>
        </w:tc>
      </w:tr>
      <w:tr w:rsidR="00534A2D" w14:paraId="364DF392" w14:textId="77777777" w:rsidTr="00E571F5">
        <w:tc>
          <w:tcPr>
            <w:tcW w:w="468" w:type="dxa"/>
            <w:shd w:val="clear" w:color="auto" w:fill="auto"/>
          </w:tcPr>
          <w:p w14:paraId="4A3E0024" w14:textId="77777777" w:rsidR="003A54E9" w:rsidRPr="001B4A02" w:rsidRDefault="003A54E9" w:rsidP="00E571F5">
            <w:pPr>
              <w:pStyle w:val="EMEANormal"/>
              <w:keepNext/>
              <w:rPr>
                <w:szCs w:val="22"/>
                <w:lang w:val="cs-CZ"/>
              </w:rPr>
            </w:pPr>
          </w:p>
        </w:tc>
        <w:tc>
          <w:tcPr>
            <w:tcW w:w="8820" w:type="dxa"/>
            <w:gridSpan w:val="5"/>
            <w:shd w:val="clear" w:color="auto" w:fill="auto"/>
          </w:tcPr>
          <w:p w14:paraId="47983C4B" w14:textId="77777777" w:rsidR="003A54E9" w:rsidRPr="001B4A02" w:rsidRDefault="00000000" w:rsidP="00E571F5">
            <w:pPr>
              <w:pStyle w:val="EMEANormal"/>
              <w:keepNext/>
              <w:jc w:val="center"/>
              <w:rPr>
                <w:b/>
                <w:szCs w:val="22"/>
                <w:lang w:val="cs-CZ"/>
              </w:rPr>
            </w:pPr>
            <w:r w:rsidRPr="001B4A02">
              <w:rPr>
                <w:b/>
                <w:szCs w:val="22"/>
                <w:lang w:val="cs-CZ"/>
              </w:rPr>
              <w:t>ČAS (TÝDNY)</w:t>
            </w:r>
          </w:p>
        </w:tc>
      </w:tr>
      <w:tr w:rsidR="00534A2D" w14:paraId="69E5F31B" w14:textId="77777777" w:rsidTr="00E571F5">
        <w:tc>
          <w:tcPr>
            <w:tcW w:w="468" w:type="dxa"/>
            <w:shd w:val="clear" w:color="auto" w:fill="auto"/>
          </w:tcPr>
          <w:p w14:paraId="6785F836" w14:textId="77777777" w:rsidR="003A54E9" w:rsidRPr="001B4A02" w:rsidRDefault="003A54E9" w:rsidP="00E571F5">
            <w:pPr>
              <w:pStyle w:val="EMEANormal"/>
              <w:keepNext/>
              <w:rPr>
                <w:szCs w:val="22"/>
                <w:lang w:val="cs-CZ"/>
              </w:rPr>
            </w:pPr>
          </w:p>
        </w:tc>
        <w:tc>
          <w:tcPr>
            <w:tcW w:w="3510" w:type="dxa"/>
            <w:shd w:val="clear" w:color="auto" w:fill="auto"/>
          </w:tcPr>
          <w:p w14:paraId="19901719" w14:textId="77777777" w:rsidR="003A54E9" w:rsidRPr="001B4A02" w:rsidRDefault="00000000" w:rsidP="00E571F5">
            <w:pPr>
              <w:pStyle w:val="EMEANormal"/>
              <w:keepNext/>
              <w:rPr>
                <w:szCs w:val="22"/>
                <w:lang w:val="cs-CZ"/>
              </w:rPr>
            </w:pPr>
            <w:r w:rsidRPr="001B4A02">
              <w:rPr>
                <w:szCs w:val="22"/>
                <w:lang w:val="cs-CZ"/>
              </w:rPr>
              <w:t>Léčba</w:t>
            </w:r>
          </w:p>
        </w:tc>
        <w:tc>
          <w:tcPr>
            <w:tcW w:w="1170" w:type="dxa"/>
            <w:shd w:val="clear" w:color="auto" w:fill="auto"/>
            <w:vAlign w:val="bottom"/>
          </w:tcPr>
          <w:p w14:paraId="47D2C7A3" w14:textId="77777777" w:rsidR="003A54E9" w:rsidRPr="001B4A02" w:rsidRDefault="00000000" w:rsidP="00E571F5">
            <w:pPr>
              <w:pStyle w:val="EMEANormal"/>
              <w:keepNext/>
              <w:jc w:val="center"/>
              <w:rPr>
                <w:szCs w:val="22"/>
                <w:lang w:val="cs-CZ"/>
              </w:rPr>
            </w:pPr>
            <w:r w:rsidRPr="001B4A02">
              <w:rPr>
                <w:noProof/>
                <w:szCs w:val="22"/>
              </w:rPr>
              <w:drawing>
                <wp:inline distT="0" distB="0" distL="0" distR="0" wp14:anchorId="6F8ED465" wp14:editId="55771DE7">
                  <wp:extent cx="457200" cy="120650"/>
                  <wp:effectExtent l="0" t="0" r="0" b="0"/>
                  <wp:docPr id="35" name="obrázek 495"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495" descr="Humira PED UV KM Curve 1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57200" cy="120650"/>
                          </a:xfrm>
                          <a:prstGeom prst="rect">
                            <a:avLst/>
                          </a:prstGeom>
                          <a:noFill/>
                          <a:ln>
                            <a:noFill/>
                          </a:ln>
                        </pic:spPr>
                      </pic:pic>
                    </a:graphicData>
                  </a:graphic>
                </wp:inline>
              </w:drawing>
            </w:r>
          </w:p>
        </w:tc>
        <w:tc>
          <w:tcPr>
            <w:tcW w:w="1350" w:type="dxa"/>
            <w:shd w:val="clear" w:color="auto" w:fill="auto"/>
          </w:tcPr>
          <w:p w14:paraId="7C41A2D6" w14:textId="77777777" w:rsidR="003A54E9" w:rsidRPr="001B4A02" w:rsidRDefault="00000000" w:rsidP="00E571F5">
            <w:pPr>
              <w:pStyle w:val="EMEANormal"/>
              <w:keepNext/>
              <w:rPr>
                <w:szCs w:val="22"/>
                <w:lang w:val="cs-CZ"/>
              </w:rPr>
            </w:pPr>
            <w:r w:rsidRPr="001B4A02">
              <w:rPr>
                <w:szCs w:val="22"/>
                <w:lang w:val="cs-CZ"/>
              </w:rPr>
              <w:t>Placebo</w:t>
            </w:r>
          </w:p>
        </w:tc>
        <w:tc>
          <w:tcPr>
            <w:tcW w:w="900" w:type="dxa"/>
            <w:shd w:val="clear" w:color="auto" w:fill="auto"/>
            <w:vAlign w:val="center"/>
          </w:tcPr>
          <w:p w14:paraId="7D10D7C9" w14:textId="77777777" w:rsidR="003A54E9" w:rsidRPr="001B4A02" w:rsidRDefault="00000000" w:rsidP="00E571F5">
            <w:pPr>
              <w:pStyle w:val="EMEANormal"/>
              <w:keepNext/>
              <w:rPr>
                <w:szCs w:val="22"/>
                <w:lang w:val="cs-CZ"/>
              </w:rPr>
            </w:pPr>
            <w:r w:rsidRPr="001B4A02">
              <w:rPr>
                <w:noProof/>
                <w:szCs w:val="22"/>
              </w:rPr>
              <w:drawing>
                <wp:inline distT="0" distB="0" distL="0" distR="0" wp14:anchorId="55C30075" wp14:editId="34F564AB">
                  <wp:extent cx="457200" cy="86360"/>
                  <wp:effectExtent l="0" t="0" r="0" b="8890"/>
                  <wp:docPr id="36" name="obrázek 496"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496"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86360"/>
                          </a:xfrm>
                          <a:prstGeom prst="rect">
                            <a:avLst/>
                          </a:prstGeom>
                          <a:noFill/>
                          <a:ln>
                            <a:noFill/>
                          </a:ln>
                        </pic:spPr>
                      </pic:pic>
                    </a:graphicData>
                  </a:graphic>
                </wp:inline>
              </w:drawing>
            </w:r>
          </w:p>
        </w:tc>
        <w:tc>
          <w:tcPr>
            <w:tcW w:w="1890" w:type="dxa"/>
            <w:shd w:val="clear" w:color="auto" w:fill="auto"/>
          </w:tcPr>
          <w:p w14:paraId="0A333787" w14:textId="77777777" w:rsidR="003A54E9" w:rsidRPr="001B4A02" w:rsidRDefault="00000000" w:rsidP="00E571F5">
            <w:pPr>
              <w:pStyle w:val="EMEANormal"/>
              <w:keepNext/>
              <w:rPr>
                <w:szCs w:val="22"/>
                <w:lang w:val="cs-CZ"/>
              </w:rPr>
            </w:pPr>
            <w:r w:rsidRPr="001B4A02">
              <w:rPr>
                <w:szCs w:val="22"/>
                <w:lang w:val="cs-CZ"/>
              </w:rPr>
              <w:t>Adalimumab</w:t>
            </w:r>
          </w:p>
        </w:tc>
      </w:tr>
      <w:tr w:rsidR="00534A2D" w14:paraId="60E1CD26" w14:textId="77777777" w:rsidTr="00E571F5">
        <w:tc>
          <w:tcPr>
            <w:tcW w:w="468" w:type="dxa"/>
            <w:shd w:val="clear" w:color="auto" w:fill="auto"/>
          </w:tcPr>
          <w:p w14:paraId="35AC546F" w14:textId="77777777" w:rsidR="003A54E9" w:rsidRPr="001B4A02" w:rsidRDefault="003A54E9" w:rsidP="00E571F5">
            <w:pPr>
              <w:pStyle w:val="EMEANormal"/>
              <w:rPr>
                <w:szCs w:val="22"/>
                <w:lang w:val="cs-CZ"/>
              </w:rPr>
            </w:pPr>
          </w:p>
        </w:tc>
        <w:tc>
          <w:tcPr>
            <w:tcW w:w="8820" w:type="dxa"/>
            <w:gridSpan w:val="5"/>
            <w:shd w:val="clear" w:color="auto" w:fill="auto"/>
          </w:tcPr>
          <w:p w14:paraId="2F30094E" w14:textId="77777777" w:rsidR="003A54E9" w:rsidRPr="001B4A02" w:rsidRDefault="00000000" w:rsidP="00E571F5">
            <w:pPr>
              <w:pStyle w:val="EMEANormal"/>
              <w:rPr>
                <w:szCs w:val="22"/>
                <w:lang w:val="cs-CZ"/>
              </w:rPr>
            </w:pPr>
            <w:r w:rsidRPr="001B4A02">
              <w:rPr>
                <w:szCs w:val="22"/>
                <w:lang w:val="cs-CZ"/>
              </w:rPr>
              <w:t>Poznámka: P = Placebo (počet v riziku); H = přípravek HUMIRA (počet v riziku).</w:t>
            </w:r>
          </w:p>
        </w:tc>
      </w:tr>
    </w:tbl>
    <w:p w14:paraId="51882683" w14:textId="77777777" w:rsidR="003A54E9" w:rsidRPr="001B4A02" w:rsidRDefault="003A54E9" w:rsidP="003A54E9">
      <w:pPr>
        <w:pStyle w:val="EMEANormal"/>
        <w:tabs>
          <w:tab w:val="clear" w:pos="562"/>
        </w:tabs>
        <w:suppressAutoHyphens w:val="0"/>
        <w:rPr>
          <w:bCs/>
          <w:szCs w:val="22"/>
          <w:bdr w:val="nil"/>
          <w:lang w:val="cs-CZ"/>
        </w:rPr>
      </w:pPr>
    </w:p>
    <w:p w14:paraId="6F3A4528" w14:textId="77777777" w:rsidR="00ED3511" w:rsidRPr="001B4A02" w:rsidRDefault="00000000" w:rsidP="00A15B7A">
      <w:pPr>
        <w:keepNext/>
        <w:tabs>
          <w:tab w:val="num" w:pos="567"/>
        </w:tabs>
        <w:outlineLvl w:val="1"/>
        <w:rPr>
          <w:b/>
        </w:rPr>
      </w:pPr>
      <w:r w:rsidRPr="001B4A02">
        <w:rPr>
          <w:b/>
        </w:rPr>
        <w:t>5.2</w:t>
      </w:r>
      <w:r w:rsidRPr="001B4A02">
        <w:rPr>
          <w:b/>
        </w:rPr>
        <w:tab/>
        <w:t>Farmakokinetické vlastnosti</w:t>
      </w:r>
    </w:p>
    <w:p w14:paraId="297BFA02" w14:textId="77777777" w:rsidR="00ED3511" w:rsidRPr="001B4A02" w:rsidRDefault="00ED3511" w:rsidP="00A03600">
      <w:pPr>
        <w:keepNext/>
        <w:ind w:left="0" w:firstLine="0"/>
      </w:pPr>
    </w:p>
    <w:p w14:paraId="1432D68D" w14:textId="77777777" w:rsidR="00ED3511" w:rsidRPr="001B4A02" w:rsidRDefault="00000000" w:rsidP="00A03600">
      <w:pPr>
        <w:keepNext/>
        <w:ind w:left="0" w:firstLine="0"/>
        <w:rPr>
          <w:u w:val="single"/>
        </w:rPr>
      </w:pPr>
      <w:r w:rsidRPr="001B4A02">
        <w:rPr>
          <w:u w:val="single"/>
        </w:rPr>
        <w:t>Absorpce</w:t>
      </w:r>
      <w:r w:rsidR="002378E0">
        <w:rPr>
          <w:u w:val="single"/>
        </w:rPr>
        <w:t xml:space="preserve"> a </w:t>
      </w:r>
      <w:r w:rsidRPr="001B4A02">
        <w:rPr>
          <w:u w:val="single"/>
        </w:rPr>
        <w:t>distribuce</w:t>
      </w:r>
    </w:p>
    <w:p w14:paraId="7D5D9F0F" w14:textId="77777777" w:rsidR="00ED3511" w:rsidRPr="001B4A02" w:rsidRDefault="00ED3511" w:rsidP="00A03600">
      <w:pPr>
        <w:keepNext/>
        <w:ind w:left="0" w:firstLine="0"/>
      </w:pPr>
    </w:p>
    <w:p w14:paraId="0BABF95D" w14:textId="77777777" w:rsidR="00ED3511" w:rsidRPr="001B4A02" w:rsidRDefault="00000000" w:rsidP="00ED48A3">
      <w:pPr>
        <w:ind w:left="0" w:firstLine="0"/>
      </w:pPr>
      <w:r w:rsidRPr="001B4A02">
        <w:t>Po jednorázovém subkutánním podání dávky 40 mg byla absorpce</w:t>
      </w:r>
      <w:r w:rsidR="002378E0">
        <w:t xml:space="preserve"> a </w:t>
      </w:r>
      <w:r w:rsidRPr="001B4A02">
        <w:t>distribuce adalimumabu pomalá</w:t>
      </w:r>
      <w:r w:rsidR="002378E0">
        <w:t xml:space="preserve"> a </w:t>
      </w:r>
      <w:r w:rsidRPr="001B4A02">
        <w:t>vrcholové sérové koncentrace byly dosaženy zhruba za 5 dní po jeho podání. Průměrná biologická dostupnost adalimumabu se odhaduje na 64</w:t>
      </w:r>
      <w:r w:rsidR="00B14511" w:rsidRPr="001B4A02">
        <w:t> </w:t>
      </w:r>
      <w:r w:rsidRPr="001B4A02">
        <w:t>%,</w:t>
      </w:r>
      <w:r w:rsidR="002378E0">
        <w:t xml:space="preserve"> a </w:t>
      </w:r>
      <w:r w:rsidRPr="001B4A02">
        <w:t>to na základě výsledků ze tří studií s podáním jednorázové dávky 40 mg subkutánně. Po jednorázových intravenózních dávkách v rozmezí 0,25</w:t>
      </w:r>
      <w:r w:rsidR="00F62286" w:rsidRPr="001B4A02">
        <w:t>–</w:t>
      </w:r>
      <w:r w:rsidRPr="001B4A02">
        <w:t>10 mg/kg byly koncentrace léku úměrné podané dávce. Po dávkách 0,5 mg/kg (cca 40 mg) se clearance pohybovala mezi 11</w:t>
      </w:r>
      <w:r w:rsidR="00F62286" w:rsidRPr="001B4A02">
        <w:t>–</w:t>
      </w:r>
      <w:r w:rsidRPr="001B4A02">
        <w:t>15 ml/hod, distribuční objem (V</w:t>
      </w:r>
      <w:r w:rsidRPr="001B4A02">
        <w:rPr>
          <w:vertAlign w:val="subscript"/>
        </w:rPr>
        <w:t>ss</w:t>
      </w:r>
      <w:r w:rsidRPr="001B4A02">
        <w:t>) se pohyboval mezi 5</w:t>
      </w:r>
      <w:r w:rsidR="00F62286" w:rsidRPr="001B4A02">
        <w:t>–</w:t>
      </w:r>
      <w:r w:rsidRPr="001B4A02">
        <w:t>6 l</w:t>
      </w:r>
      <w:r w:rsidR="002378E0">
        <w:t xml:space="preserve"> a </w:t>
      </w:r>
      <w:r w:rsidRPr="001B4A02">
        <w:t>průměrný terminální poločas byl přibližně 2 týdny. Koncentrace adalimumabu v synoviální tekutině u několika pacientů s revmatoidní artritidou představovala 31</w:t>
      </w:r>
      <w:r w:rsidR="00F62286" w:rsidRPr="001B4A02">
        <w:t>–</w:t>
      </w:r>
      <w:r w:rsidRPr="001B4A02">
        <w:t>96</w:t>
      </w:r>
      <w:r w:rsidR="00F62286" w:rsidRPr="001B4A02">
        <w:t> </w:t>
      </w:r>
      <w:r w:rsidRPr="001B4A02">
        <w:t>% sérové koncentrace léku.</w:t>
      </w:r>
    </w:p>
    <w:p w14:paraId="5F8A2273" w14:textId="77777777" w:rsidR="00ED3511" w:rsidRPr="001B4A02" w:rsidRDefault="00ED3511" w:rsidP="00ED48A3">
      <w:pPr>
        <w:ind w:left="0" w:firstLine="0"/>
      </w:pPr>
    </w:p>
    <w:p w14:paraId="5158826C" w14:textId="77777777" w:rsidR="00ED3511" w:rsidRPr="001B4A02" w:rsidRDefault="00000000" w:rsidP="00ED48A3">
      <w:pPr>
        <w:ind w:left="0" w:firstLine="0"/>
      </w:pPr>
      <w:r w:rsidRPr="001B4A02">
        <w:t>Po subkutánním podání 40 mg adalimumabu každý druhý týden byla průměrná nejnižší koncentrace v ustáleném stavu přibližně 5 μg/ml (bez souběžného podávání methotrexátu)</w:t>
      </w:r>
      <w:r w:rsidR="002378E0">
        <w:t xml:space="preserve"> a </w:t>
      </w:r>
      <w:r w:rsidRPr="001B4A02">
        <w:t>8</w:t>
      </w:r>
      <w:r w:rsidR="00F62286" w:rsidRPr="001B4A02">
        <w:t>–</w:t>
      </w:r>
      <w:r w:rsidRPr="001B4A02">
        <w:t>9 μg/ml (při současném podávání methotrexátu). Nejnižší sérové koncentrace adalimumabu v ustáleném stavu stoupaly u pacientů s revmatoidní artritidou (RA) přibližně proporcionálně s dávkou při subkutánním podávání 20, 40</w:t>
      </w:r>
      <w:r w:rsidR="002378E0">
        <w:t xml:space="preserve"> a </w:t>
      </w:r>
      <w:r w:rsidRPr="001B4A02">
        <w:t>80 mg každý druhý týden i každý týden.</w:t>
      </w:r>
    </w:p>
    <w:p w14:paraId="4B90519C" w14:textId="77777777" w:rsidR="00ED3511" w:rsidRPr="001B4A02" w:rsidRDefault="00ED3511" w:rsidP="00ED48A3">
      <w:pPr>
        <w:ind w:left="0" w:firstLine="0"/>
      </w:pPr>
    </w:p>
    <w:p w14:paraId="7A97A87B" w14:textId="77777777" w:rsidR="00ED3511" w:rsidRPr="001B4A02" w:rsidRDefault="00000000" w:rsidP="00ED48A3">
      <w:pPr>
        <w:ind w:left="0" w:firstLine="0"/>
      </w:pPr>
      <w:r w:rsidRPr="001B4A02">
        <w:t xml:space="preserve">Po </w:t>
      </w:r>
      <w:r w:rsidR="0037494F" w:rsidRPr="001B4A02">
        <w:t>podání</w:t>
      </w:r>
      <w:r w:rsidRPr="001B4A02">
        <w:t xml:space="preserve"> dávky 24</w:t>
      </w:r>
      <w:r w:rsidR="00874DE1">
        <w:t> mg</w:t>
      </w:r>
      <w:r w:rsidRPr="001B4A02">
        <w:t>/m</w:t>
      </w:r>
      <w:r w:rsidRPr="001B4A02">
        <w:rPr>
          <w:vertAlign w:val="superscript"/>
        </w:rPr>
        <w:t xml:space="preserve">2 </w:t>
      </w:r>
      <w:r w:rsidRPr="001B4A02">
        <w:t>(maxim</w:t>
      </w:r>
      <w:r w:rsidR="005911EE" w:rsidRPr="001B4A02">
        <w:t xml:space="preserve">ální </w:t>
      </w:r>
      <w:r w:rsidR="002A0AEB" w:rsidRPr="001B4A02">
        <w:t>dávk</w:t>
      </w:r>
      <w:r w:rsidR="002A0AEB">
        <w:t>a</w:t>
      </w:r>
      <w:r w:rsidR="002A0AEB" w:rsidRPr="001B4A02">
        <w:t xml:space="preserve"> </w:t>
      </w:r>
      <w:r w:rsidRPr="001B4A02">
        <w:t>40</w:t>
      </w:r>
      <w:r w:rsidR="00874DE1">
        <w:t> mg</w:t>
      </w:r>
      <w:r w:rsidRPr="001B4A02">
        <w:t>) subkutánně každý druhý týden u</w:t>
      </w:r>
      <w:r w:rsidR="009B61F3" w:rsidRPr="001B4A02">
        <w:t> </w:t>
      </w:r>
      <w:r w:rsidRPr="001B4A02">
        <w:t>pacientů s polyartikulární juvenilní idiopatickou artritidou (JIA) ve věku 4 až 17 let, byly průměrné nejnižší sérové koncentrace adalimumabu v ustáleném stavu (hodnoty naměřené v</w:t>
      </w:r>
      <w:r w:rsidR="00D41D1A" w:rsidRPr="001B4A02">
        <w:t> </w:t>
      </w:r>
      <w:r w:rsidRPr="001B4A02">
        <w:t>době od týdne 20 do týdne 48) 5,6 ± 5,6 µg/ml (102</w:t>
      </w:r>
      <w:r w:rsidR="00B14511" w:rsidRPr="001B4A02">
        <w:t> </w:t>
      </w:r>
      <w:r w:rsidRPr="001B4A02">
        <w:t xml:space="preserve">% CV) při </w:t>
      </w:r>
      <w:r w:rsidR="0037494F" w:rsidRPr="001B4A02">
        <w:t>po</w:t>
      </w:r>
      <w:r w:rsidRPr="001B4A02">
        <w:t>užívání adalimumabu bez současného podávání methotrexátu</w:t>
      </w:r>
      <w:r w:rsidR="002378E0">
        <w:t xml:space="preserve"> a </w:t>
      </w:r>
      <w:r w:rsidRPr="001B4A02">
        <w:t>10,9 ± 5,2 µg/m</w:t>
      </w:r>
      <w:r w:rsidR="007978AF">
        <w:t>l</w:t>
      </w:r>
      <w:r w:rsidRPr="001B4A02">
        <w:t xml:space="preserve"> (47,7</w:t>
      </w:r>
      <w:r w:rsidR="00B14511" w:rsidRPr="001B4A02">
        <w:t> </w:t>
      </w:r>
      <w:r w:rsidRPr="001B4A02">
        <w:t xml:space="preserve">% CV) při </w:t>
      </w:r>
      <w:r w:rsidR="00BE2F59" w:rsidRPr="001B4A02">
        <w:t>po</w:t>
      </w:r>
      <w:r w:rsidRPr="001B4A02">
        <w:t>užití současně s methotrexátem.</w:t>
      </w:r>
    </w:p>
    <w:p w14:paraId="27277C95" w14:textId="77777777" w:rsidR="00ED3511" w:rsidRPr="001B4A02" w:rsidRDefault="00ED3511" w:rsidP="00ED48A3">
      <w:pPr>
        <w:ind w:left="0" w:firstLine="0"/>
      </w:pPr>
    </w:p>
    <w:p w14:paraId="30E32A62" w14:textId="77777777" w:rsidR="00ED3511" w:rsidRPr="001B4A02" w:rsidRDefault="00000000" w:rsidP="00ED48A3">
      <w:pPr>
        <w:ind w:left="0" w:firstLine="0"/>
      </w:pPr>
      <w:r w:rsidRPr="001B4A02">
        <w:t>U pacientů s polyartikulární JIA ve věku 2 až &lt; 4 roky nebo ve věku 4 roky</w:t>
      </w:r>
      <w:r w:rsidR="002378E0">
        <w:t xml:space="preserve"> a </w:t>
      </w:r>
      <w:r w:rsidRPr="001B4A02">
        <w:t>starší s tělesnou hmotností &lt; 15</w:t>
      </w:r>
      <w:r w:rsidR="002767FC">
        <w:t> kg</w:t>
      </w:r>
      <w:r w:rsidRPr="001B4A02">
        <w:t>, léčených adalimumabem v dávce 24</w:t>
      </w:r>
      <w:r w:rsidR="00874DE1">
        <w:t> mg</w:t>
      </w:r>
      <w:r w:rsidRPr="001B4A02">
        <w:t>/m</w:t>
      </w:r>
      <w:r w:rsidRPr="001B4A02">
        <w:rPr>
          <w:vertAlign w:val="superscript"/>
        </w:rPr>
        <w:t>2</w:t>
      </w:r>
      <w:r w:rsidRPr="001B4A02">
        <w:t>, byly průměrné nejnižší sérové koncentrace adalimumabu v ustáleném stavu 6,0 ± 6,1</w:t>
      </w:r>
      <w:r w:rsidR="00883A75">
        <w:t> </w:t>
      </w:r>
      <w:r w:rsidRPr="001B4A02">
        <w:t>µg/ml (101</w:t>
      </w:r>
      <w:r w:rsidR="006008CB">
        <w:t> %</w:t>
      </w:r>
      <w:r w:rsidRPr="001B4A02">
        <w:t xml:space="preserve"> CV) u</w:t>
      </w:r>
      <w:r w:rsidR="009B61F3" w:rsidRPr="001B4A02">
        <w:t> </w:t>
      </w:r>
      <w:r w:rsidRPr="001B4A02">
        <w:t xml:space="preserve">těch pacientů, kteří </w:t>
      </w:r>
      <w:r w:rsidR="0037494F" w:rsidRPr="001B4A02">
        <w:t>po</w:t>
      </w:r>
      <w:r w:rsidRPr="001B4A02">
        <w:t>užívali adalimumab bez methotrexátu</w:t>
      </w:r>
      <w:r w:rsidR="002378E0">
        <w:t xml:space="preserve"> a </w:t>
      </w:r>
      <w:r w:rsidRPr="001B4A02">
        <w:t>7,9 ± 5,6</w:t>
      </w:r>
      <w:r w:rsidR="00883A75">
        <w:t> </w:t>
      </w:r>
      <w:r w:rsidRPr="001B4A02">
        <w:t>µg/ml (71,2</w:t>
      </w:r>
      <w:r w:rsidR="006008CB">
        <w:t> %</w:t>
      </w:r>
      <w:r w:rsidRPr="001B4A02">
        <w:t xml:space="preserve"> CV) u</w:t>
      </w:r>
      <w:r w:rsidR="009B61F3" w:rsidRPr="001B4A02">
        <w:t> </w:t>
      </w:r>
      <w:r w:rsidRPr="001B4A02">
        <w:t>těch, kteří současně užívali methotrexát.</w:t>
      </w:r>
    </w:p>
    <w:p w14:paraId="15DDCBAB" w14:textId="77777777" w:rsidR="00ED3511" w:rsidRPr="001B4A02" w:rsidRDefault="00ED3511" w:rsidP="00ED48A3">
      <w:pPr>
        <w:ind w:left="0" w:firstLine="0"/>
      </w:pPr>
    </w:p>
    <w:p w14:paraId="78DB1F55" w14:textId="77777777" w:rsidR="00FD6C45" w:rsidRDefault="00000000" w:rsidP="00FD6C45">
      <w:pPr>
        <w:autoSpaceDE w:val="0"/>
        <w:autoSpaceDN w:val="0"/>
        <w:adjustRightInd w:val="0"/>
        <w:ind w:left="0" w:firstLine="0"/>
      </w:pPr>
      <w:r w:rsidRPr="001B4A02">
        <w:t>Po podání dáv</w:t>
      </w:r>
      <w:r w:rsidR="00F413FA" w:rsidRPr="001B4A02">
        <w:t>ky</w:t>
      </w:r>
      <w:r w:rsidRPr="001B4A02">
        <w:t xml:space="preserve"> 24</w:t>
      </w:r>
      <w:r w:rsidR="00874DE1">
        <w:t> mg</w:t>
      </w:r>
      <w:r w:rsidRPr="001B4A02">
        <w:t>/m</w:t>
      </w:r>
      <w:r w:rsidRPr="001B4A02">
        <w:rPr>
          <w:vertAlign w:val="superscript"/>
        </w:rPr>
        <w:t>2</w:t>
      </w:r>
      <w:r w:rsidRPr="001B4A02">
        <w:t xml:space="preserve"> (maximální </w:t>
      </w:r>
      <w:r w:rsidR="002A0AEB" w:rsidRPr="001B4A02">
        <w:t>dávk</w:t>
      </w:r>
      <w:r w:rsidR="002A0AEB">
        <w:t>a</w:t>
      </w:r>
      <w:r w:rsidR="002A0AEB" w:rsidRPr="001B4A02">
        <w:t xml:space="preserve"> </w:t>
      </w:r>
      <w:r w:rsidRPr="001B4A02">
        <w:t>40</w:t>
      </w:r>
      <w:r w:rsidR="00874DE1">
        <w:t> mg</w:t>
      </w:r>
      <w:r w:rsidRPr="001B4A02">
        <w:t>) subkutánně každý druhý týden pacientům s entezopatickou artritidou ve věku 6 až 17 let byly průměrné nejnižší sérové koncentrace (hodnoty naměřené v týdnu 24) adalimumabu v ustáleném stavu 8,8 ± 6,6</w:t>
      </w:r>
      <w:r w:rsidR="00883A75">
        <w:t> </w:t>
      </w:r>
      <w:r w:rsidRPr="001B4A02">
        <w:t>µg/ml při podávání adalimumabu bez současného podávání methotre</w:t>
      </w:r>
      <w:r w:rsidR="00D6542D" w:rsidRPr="001B4A02">
        <w:t>xátu</w:t>
      </w:r>
      <w:r w:rsidR="002378E0">
        <w:t xml:space="preserve"> a </w:t>
      </w:r>
      <w:r w:rsidRPr="001B4A02">
        <w:t>11,8 ± 4,3</w:t>
      </w:r>
      <w:r w:rsidR="00883A75">
        <w:t> </w:t>
      </w:r>
      <w:r w:rsidRPr="001B4A02">
        <w:t xml:space="preserve">µg/ml při současném podávání </w:t>
      </w:r>
      <w:r w:rsidR="00F413FA" w:rsidRPr="001B4A02">
        <w:t>methotrexátu</w:t>
      </w:r>
      <w:r w:rsidRPr="001B4A02">
        <w:t>.</w:t>
      </w:r>
    </w:p>
    <w:p w14:paraId="094DF346" w14:textId="77777777" w:rsidR="00FD6C45" w:rsidRDefault="00FD6C45" w:rsidP="00FD6C45">
      <w:pPr>
        <w:autoSpaceDE w:val="0"/>
        <w:autoSpaceDN w:val="0"/>
        <w:adjustRightInd w:val="0"/>
        <w:ind w:left="0" w:firstLine="0"/>
      </w:pPr>
    </w:p>
    <w:p w14:paraId="0E7A6D6B" w14:textId="77777777" w:rsidR="00FD6C45" w:rsidRDefault="00000000" w:rsidP="00FD6C45">
      <w:pPr>
        <w:ind w:left="0" w:firstLine="0"/>
      </w:pPr>
      <w:r>
        <w:t>Po podání dávky 40</w:t>
      </w:r>
      <w:r w:rsidR="00874DE1">
        <w:t> mg</w:t>
      </w:r>
      <w:r>
        <w:t xml:space="preserve"> adalimumabu subkutánně každý druhý týden dospělým pacientům s axiální spondylartritidou bez radiologického průkazu dosahovaly průměrné </w:t>
      </w:r>
      <w:r w:rsidRPr="00F261A6">
        <w:t xml:space="preserve">(±SD) </w:t>
      </w:r>
      <w:r w:rsidR="00965320">
        <w:t xml:space="preserve">nejnižší sérové koncentrace </w:t>
      </w:r>
      <w:r>
        <w:t>v týdnu 68 hodnoty 8,0 ± 4,6 </w:t>
      </w:r>
      <w:r w:rsidR="00883A75" w:rsidRPr="001B4A02">
        <w:t>μg</w:t>
      </w:r>
      <w:r w:rsidR="00883A75">
        <w:t>/</w:t>
      </w:r>
      <w:r w:rsidRPr="00F261A6">
        <w:t>ml.</w:t>
      </w:r>
    </w:p>
    <w:p w14:paraId="09C46310" w14:textId="77777777" w:rsidR="004763AE" w:rsidRPr="001B4A02" w:rsidRDefault="004763AE" w:rsidP="00ED48A3">
      <w:pPr>
        <w:ind w:left="0" w:firstLine="0"/>
      </w:pPr>
    </w:p>
    <w:p w14:paraId="4E191156" w14:textId="77777777" w:rsidR="00ED3511" w:rsidRPr="001B4A02" w:rsidRDefault="00000000" w:rsidP="00ED48A3">
      <w:pPr>
        <w:ind w:left="0" w:firstLine="0"/>
      </w:pPr>
      <w:r w:rsidRPr="001B4A02">
        <w:t xml:space="preserve">U </w:t>
      </w:r>
      <w:r w:rsidR="004763AE">
        <w:t xml:space="preserve">dospělých </w:t>
      </w:r>
      <w:r w:rsidRPr="001B4A02">
        <w:t>pacientů s psoriázou léčených adalimumabem v monoterapii v dávce 40</w:t>
      </w:r>
      <w:r w:rsidR="00874DE1">
        <w:t> mg</w:t>
      </w:r>
      <w:r w:rsidRPr="001B4A02">
        <w:t xml:space="preserve"> každý druhý týden byly průměrné nejnižší koncent</w:t>
      </w:r>
      <w:r w:rsidR="008A4562" w:rsidRPr="001B4A02">
        <w:t>race v ustáleném stavu 5</w:t>
      </w:r>
      <w:r w:rsidR="00883A75">
        <w:t> </w:t>
      </w:r>
      <w:r w:rsidR="008A4562" w:rsidRPr="001B4A02">
        <w:t>μg/ml.</w:t>
      </w:r>
    </w:p>
    <w:p w14:paraId="32BAF6BF" w14:textId="77777777" w:rsidR="00ED3511" w:rsidRPr="001B4A02" w:rsidRDefault="00ED3511" w:rsidP="00ED48A3">
      <w:pPr>
        <w:ind w:left="0" w:firstLine="0"/>
      </w:pPr>
    </w:p>
    <w:p w14:paraId="4998C372" w14:textId="77777777" w:rsidR="00ED3511" w:rsidRPr="001B4A02" w:rsidRDefault="00000000" w:rsidP="00ED48A3">
      <w:pPr>
        <w:ind w:left="0" w:firstLine="0"/>
      </w:pPr>
      <w:r w:rsidRPr="001B4A02">
        <w:t xml:space="preserve">Po podání </w:t>
      </w:r>
      <w:r w:rsidR="005911EE" w:rsidRPr="001B4A02">
        <w:t xml:space="preserve">dávky </w:t>
      </w:r>
      <w:r w:rsidRPr="001B4A02">
        <w:t>0,8</w:t>
      </w:r>
      <w:r w:rsidR="00874DE1">
        <w:t> mg</w:t>
      </w:r>
      <w:r w:rsidRPr="001B4A02">
        <w:t xml:space="preserve">/kg (maximální </w:t>
      </w:r>
      <w:r w:rsidR="002A0AEB" w:rsidRPr="001B4A02">
        <w:t>dávk</w:t>
      </w:r>
      <w:r w:rsidR="002A0AEB">
        <w:t>a</w:t>
      </w:r>
      <w:r w:rsidR="002A0AEB" w:rsidRPr="001B4A02">
        <w:t xml:space="preserve"> </w:t>
      </w:r>
      <w:r w:rsidRPr="001B4A02">
        <w:t>40</w:t>
      </w:r>
      <w:r w:rsidR="00874DE1">
        <w:t> mg</w:t>
      </w:r>
      <w:r w:rsidRPr="001B4A02">
        <w:t>) subkutánně každý druhý týden pediatrickým pacientům s chronickou ložiskovou psoriázou byla průměrná nejnižší ± SD koncentrace adalimumabu v ustáleném stavu přibližně 7,4 ± 5,8</w:t>
      </w:r>
      <w:r w:rsidR="00883A75">
        <w:t> </w:t>
      </w:r>
      <w:r w:rsidR="00883A75" w:rsidRPr="001B4A02">
        <w:t>μg</w:t>
      </w:r>
      <w:r w:rsidRPr="001B4A02">
        <w:t>/ml (79</w:t>
      </w:r>
      <w:r w:rsidR="00B14511" w:rsidRPr="001B4A02">
        <w:t> </w:t>
      </w:r>
      <w:r w:rsidRPr="001B4A02">
        <w:t>% CV).</w:t>
      </w:r>
    </w:p>
    <w:p w14:paraId="048EBFE3" w14:textId="77777777" w:rsidR="00ED3511" w:rsidRPr="001B4A02" w:rsidRDefault="00ED3511" w:rsidP="00ED48A3">
      <w:pPr>
        <w:ind w:left="0" w:firstLine="0"/>
      </w:pPr>
    </w:p>
    <w:p w14:paraId="73642846" w14:textId="77777777" w:rsidR="00372E74" w:rsidRPr="001B4A02" w:rsidRDefault="00000000" w:rsidP="00ED48A3">
      <w:pPr>
        <w:ind w:left="0" w:firstLine="0"/>
        <w:rPr>
          <w:rFonts w:eastAsia="Calibri"/>
          <w:szCs w:val="22"/>
        </w:rPr>
      </w:pPr>
      <w:r w:rsidRPr="001B4A02">
        <w:rPr>
          <w:rFonts w:eastAsia="Calibri"/>
          <w:szCs w:val="22"/>
        </w:rPr>
        <w:t xml:space="preserve">Při </w:t>
      </w:r>
      <w:r w:rsidR="00BE2F59" w:rsidRPr="001B4A02">
        <w:rPr>
          <w:rFonts w:eastAsia="Calibri"/>
          <w:szCs w:val="22"/>
        </w:rPr>
        <w:t>po</w:t>
      </w:r>
      <w:r w:rsidRPr="001B4A02">
        <w:rPr>
          <w:rFonts w:eastAsia="Calibri"/>
          <w:szCs w:val="22"/>
        </w:rPr>
        <w:t>užití dávky 160</w:t>
      </w:r>
      <w:r w:rsidR="00874DE1">
        <w:rPr>
          <w:rFonts w:eastAsia="Calibri"/>
          <w:szCs w:val="22"/>
        </w:rPr>
        <w:t> mg</w:t>
      </w:r>
      <w:r w:rsidRPr="001B4A02">
        <w:rPr>
          <w:rFonts w:eastAsia="Calibri"/>
          <w:szCs w:val="22"/>
        </w:rPr>
        <w:t xml:space="preserve"> přípravku Humira v týdnu 0</w:t>
      </w:r>
      <w:r w:rsidR="007E2F50" w:rsidRPr="001B4A02">
        <w:rPr>
          <w:rFonts w:eastAsia="Calibri"/>
          <w:szCs w:val="22"/>
        </w:rPr>
        <w:t>,</w:t>
      </w:r>
      <w:r w:rsidRPr="001B4A02">
        <w:rPr>
          <w:rFonts w:eastAsia="Calibri"/>
          <w:szCs w:val="22"/>
        </w:rPr>
        <w:t xml:space="preserve"> následovan</w:t>
      </w:r>
      <w:r w:rsidR="008A4562" w:rsidRPr="001B4A02">
        <w:rPr>
          <w:rFonts w:eastAsia="Calibri"/>
          <w:szCs w:val="22"/>
        </w:rPr>
        <w:t>é dávkou 80</w:t>
      </w:r>
      <w:r w:rsidR="00874DE1">
        <w:rPr>
          <w:rFonts w:eastAsia="Calibri"/>
          <w:szCs w:val="22"/>
        </w:rPr>
        <w:t> mg</w:t>
      </w:r>
      <w:r w:rsidR="008A4562" w:rsidRPr="001B4A02">
        <w:rPr>
          <w:rFonts w:eastAsia="Calibri"/>
          <w:szCs w:val="22"/>
        </w:rPr>
        <w:t xml:space="preserve"> v týdnu 2</w:t>
      </w:r>
      <w:r w:rsidR="006F2326" w:rsidRPr="001B4A02">
        <w:rPr>
          <w:rFonts w:eastAsia="Calibri"/>
          <w:szCs w:val="22"/>
        </w:rPr>
        <w:t>,</w:t>
      </w:r>
      <w:r w:rsidR="008A4562" w:rsidRPr="001B4A02">
        <w:rPr>
          <w:rFonts w:eastAsia="Calibri"/>
          <w:szCs w:val="22"/>
        </w:rPr>
        <w:t xml:space="preserve"> bylo u </w:t>
      </w:r>
      <w:r w:rsidR="00C73AF6" w:rsidRPr="001B4A02">
        <w:rPr>
          <w:rFonts w:eastAsia="Calibri"/>
          <w:szCs w:val="22"/>
        </w:rPr>
        <w:t xml:space="preserve">dospělých </w:t>
      </w:r>
      <w:r w:rsidRPr="001B4A02">
        <w:rPr>
          <w:rFonts w:eastAsia="Calibri"/>
          <w:szCs w:val="22"/>
        </w:rPr>
        <w:t>pacientů s hidradenitis suppurativa dosaženo nejnižších sérových koncentrac</w:t>
      </w:r>
      <w:r w:rsidR="00F413FA" w:rsidRPr="001B4A02">
        <w:rPr>
          <w:rFonts w:eastAsia="Calibri"/>
          <w:szCs w:val="22"/>
        </w:rPr>
        <w:t>í</w:t>
      </w:r>
      <w:r w:rsidRPr="001B4A02">
        <w:rPr>
          <w:rFonts w:eastAsia="Calibri"/>
          <w:szCs w:val="22"/>
        </w:rPr>
        <w:t xml:space="preserve"> adalimumabu přibližně 7–8</w:t>
      </w:r>
      <w:r w:rsidR="00883A75">
        <w:t> </w:t>
      </w:r>
      <w:r w:rsidR="00883A75" w:rsidRPr="001B4A02">
        <w:t>μg</w:t>
      </w:r>
      <w:r w:rsidR="00D6542D" w:rsidRPr="001B4A02">
        <w:rPr>
          <w:rFonts w:eastAsia="Calibri"/>
          <w:szCs w:val="22"/>
        </w:rPr>
        <w:t>/ml v týdnu 2</w:t>
      </w:r>
      <w:r w:rsidR="002378E0">
        <w:rPr>
          <w:rFonts w:eastAsia="Calibri"/>
          <w:szCs w:val="22"/>
        </w:rPr>
        <w:t xml:space="preserve"> a </w:t>
      </w:r>
      <w:r w:rsidR="00D6542D" w:rsidRPr="001B4A02">
        <w:rPr>
          <w:rFonts w:eastAsia="Calibri"/>
          <w:szCs w:val="22"/>
        </w:rPr>
        <w:t xml:space="preserve">4. </w:t>
      </w:r>
      <w:r w:rsidRPr="001B4A02">
        <w:rPr>
          <w:rFonts w:eastAsia="Calibri"/>
          <w:szCs w:val="22"/>
        </w:rPr>
        <w:t>Průměrné nejnižší ustálené koncentrace v týdnu 12 do týdne 36 byly přibližně 8–10</w:t>
      </w:r>
      <w:r w:rsidR="00883A75">
        <w:t> </w:t>
      </w:r>
      <w:r w:rsidR="00883A75" w:rsidRPr="001B4A02">
        <w:t>μg</w:t>
      </w:r>
      <w:r w:rsidRPr="001B4A02">
        <w:rPr>
          <w:rFonts w:eastAsia="Calibri"/>
          <w:szCs w:val="22"/>
        </w:rPr>
        <w:t>/ml při léčbě dávkou adalimumabu 40</w:t>
      </w:r>
      <w:r w:rsidR="00874DE1">
        <w:rPr>
          <w:rFonts w:eastAsia="Calibri"/>
          <w:szCs w:val="22"/>
        </w:rPr>
        <w:t> mg</w:t>
      </w:r>
      <w:r w:rsidRPr="001B4A02">
        <w:rPr>
          <w:rFonts w:eastAsia="Calibri"/>
          <w:szCs w:val="22"/>
        </w:rPr>
        <w:t xml:space="preserve"> jednou týdně.</w:t>
      </w:r>
    </w:p>
    <w:p w14:paraId="646A0A33" w14:textId="77777777" w:rsidR="00C73AF6" w:rsidRPr="001B4A02" w:rsidRDefault="00C73AF6" w:rsidP="00ED48A3">
      <w:pPr>
        <w:ind w:left="0" w:firstLine="0"/>
        <w:rPr>
          <w:rFonts w:eastAsia="Calibri"/>
          <w:szCs w:val="22"/>
        </w:rPr>
      </w:pPr>
    </w:p>
    <w:p w14:paraId="531641A2" w14:textId="77777777" w:rsidR="00372E74" w:rsidRPr="001B4A02" w:rsidRDefault="00000000" w:rsidP="00ED48A3">
      <w:pPr>
        <w:ind w:left="0" w:firstLine="0"/>
        <w:rPr>
          <w:iCs/>
          <w:szCs w:val="22"/>
          <w:bdr w:val="nil"/>
        </w:rPr>
      </w:pPr>
      <w:r w:rsidRPr="001B4A02">
        <w:rPr>
          <w:iCs/>
          <w:szCs w:val="22"/>
        </w:rPr>
        <w:t>Expozice adalimumabu u</w:t>
      </w:r>
      <w:r w:rsidR="009B61F3" w:rsidRPr="001B4A02">
        <w:rPr>
          <w:iCs/>
          <w:szCs w:val="22"/>
        </w:rPr>
        <w:t> </w:t>
      </w:r>
      <w:r w:rsidRPr="001B4A02">
        <w:rPr>
          <w:iCs/>
          <w:szCs w:val="22"/>
        </w:rPr>
        <w:t>dospívajících pacientů s</w:t>
      </w:r>
      <w:r w:rsidR="00463AD9" w:rsidRPr="001B4A02">
        <w:rPr>
          <w:iCs/>
          <w:szCs w:val="22"/>
        </w:rPr>
        <w:t> </w:t>
      </w:r>
      <w:r w:rsidRPr="001B4A02">
        <w:rPr>
          <w:iCs/>
          <w:szCs w:val="22"/>
        </w:rPr>
        <w:t>HS byla predikována pomocí populačního farmakokinetického modelování</w:t>
      </w:r>
      <w:r w:rsidR="002378E0">
        <w:rPr>
          <w:iCs/>
          <w:szCs w:val="22"/>
        </w:rPr>
        <w:t xml:space="preserve"> a </w:t>
      </w:r>
      <w:r w:rsidRPr="001B4A02">
        <w:rPr>
          <w:iCs/>
          <w:szCs w:val="22"/>
        </w:rPr>
        <w:t>simulace na základě farmakokinetiky napříč indikacemi u</w:t>
      </w:r>
      <w:r w:rsidR="009B61F3" w:rsidRPr="001B4A02">
        <w:rPr>
          <w:iCs/>
          <w:szCs w:val="22"/>
        </w:rPr>
        <w:t> </w:t>
      </w:r>
      <w:r w:rsidRPr="001B4A02">
        <w:rPr>
          <w:iCs/>
          <w:szCs w:val="22"/>
        </w:rPr>
        <w:t>dalších pediatrických pacientů (pediatrická psoriáza, juvenilní idiopatická artritida, pediatrická Crohnova choroba</w:t>
      </w:r>
      <w:r w:rsidR="002378E0">
        <w:rPr>
          <w:iCs/>
          <w:szCs w:val="22"/>
        </w:rPr>
        <w:t xml:space="preserve"> a </w:t>
      </w:r>
      <w:r w:rsidRPr="001B4A02">
        <w:rPr>
          <w:iCs/>
          <w:szCs w:val="22"/>
        </w:rPr>
        <w:t xml:space="preserve">entezopatická artritida). Doporučený </w:t>
      </w:r>
      <w:r w:rsidR="009663D1" w:rsidRPr="001B4A02">
        <w:rPr>
          <w:iCs/>
          <w:szCs w:val="22"/>
        </w:rPr>
        <w:t>režim</w:t>
      </w:r>
      <w:r w:rsidRPr="001B4A02">
        <w:rPr>
          <w:iCs/>
          <w:szCs w:val="22"/>
        </w:rPr>
        <w:t xml:space="preserve"> dávkování u</w:t>
      </w:r>
      <w:r w:rsidR="009B61F3" w:rsidRPr="001B4A02">
        <w:rPr>
          <w:iCs/>
          <w:szCs w:val="22"/>
        </w:rPr>
        <w:t> </w:t>
      </w:r>
      <w:r w:rsidRPr="001B4A02">
        <w:rPr>
          <w:iCs/>
          <w:szCs w:val="22"/>
        </w:rPr>
        <w:t>dospívajících s</w:t>
      </w:r>
      <w:r w:rsidR="00463AD9" w:rsidRPr="001B4A02">
        <w:rPr>
          <w:iCs/>
          <w:szCs w:val="22"/>
        </w:rPr>
        <w:t> </w:t>
      </w:r>
      <w:r w:rsidRPr="001B4A02">
        <w:rPr>
          <w:iCs/>
          <w:szCs w:val="22"/>
        </w:rPr>
        <w:t>HS je 40</w:t>
      </w:r>
      <w:r w:rsidR="00874DE1">
        <w:rPr>
          <w:iCs/>
          <w:szCs w:val="22"/>
        </w:rPr>
        <w:t> mg</w:t>
      </w:r>
      <w:r w:rsidRPr="001B4A02">
        <w:rPr>
          <w:iCs/>
          <w:szCs w:val="22"/>
        </w:rPr>
        <w:t xml:space="preserve"> každý druhý týden. Vzhledem k tomu, že expozice adalimumabu může být ovlivněna </w:t>
      </w:r>
      <w:r w:rsidR="001D0946" w:rsidRPr="001B4A02">
        <w:rPr>
          <w:iCs/>
          <w:szCs w:val="22"/>
        </w:rPr>
        <w:t>tělesnou hmotností</w:t>
      </w:r>
      <w:r w:rsidRPr="001B4A02">
        <w:rPr>
          <w:iCs/>
          <w:szCs w:val="22"/>
        </w:rPr>
        <w:t>, může být u</w:t>
      </w:r>
      <w:r w:rsidR="009B61F3" w:rsidRPr="001B4A02">
        <w:rPr>
          <w:iCs/>
          <w:szCs w:val="22"/>
        </w:rPr>
        <w:t> </w:t>
      </w:r>
      <w:r w:rsidR="007633DC">
        <w:t>dospívajících</w:t>
      </w:r>
      <w:r w:rsidRPr="001B4A02">
        <w:rPr>
          <w:iCs/>
          <w:szCs w:val="22"/>
        </w:rPr>
        <w:t xml:space="preserve"> s vyšší tělesnou hmotností</w:t>
      </w:r>
      <w:r w:rsidR="002378E0">
        <w:rPr>
          <w:iCs/>
          <w:szCs w:val="22"/>
        </w:rPr>
        <w:t xml:space="preserve"> a </w:t>
      </w:r>
      <w:r w:rsidRPr="001B4A02">
        <w:rPr>
          <w:iCs/>
          <w:szCs w:val="22"/>
        </w:rPr>
        <w:t>nedostatečnou odpovědí prospěšné dávkování 40</w:t>
      </w:r>
      <w:r w:rsidR="00874DE1">
        <w:rPr>
          <w:iCs/>
          <w:szCs w:val="22"/>
        </w:rPr>
        <w:t> mg</w:t>
      </w:r>
      <w:r w:rsidRPr="001B4A02">
        <w:rPr>
          <w:iCs/>
          <w:szCs w:val="22"/>
        </w:rPr>
        <w:t xml:space="preserve"> jednou týdně.</w:t>
      </w:r>
    </w:p>
    <w:p w14:paraId="17E0CE67" w14:textId="77777777" w:rsidR="002633A0" w:rsidRPr="001B4A02" w:rsidRDefault="002633A0" w:rsidP="00ED48A3">
      <w:pPr>
        <w:ind w:left="0" w:firstLine="0"/>
      </w:pPr>
    </w:p>
    <w:p w14:paraId="265B0423" w14:textId="77777777" w:rsidR="00ED3511" w:rsidRPr="001B4A02" w:rsidRDefault="00000000" w:rsidP="00ED48A3">
      <w:pPr>
        <w:ind w:left="0" w:firstLine="0"/>
      </w:pPr>
      <w:r w:rsidRPr="001B4A02">
        <w:t xml:space="preserve">Při </w:t>
      </w:r>
      <w:r w:rsidR="00BE2F59" w:rsidRPr="001B4A02">
        <w:t>po</w:t>
      </w:r>
      <w:r w:rsidRPr="001B4A02">
        <w:t xml:space="preserve">užití </w:t>
      </w:r>
      <w:r w:rsidR="006F2326" w:rsidRPr="001B4A02">
        <w:t>úvodní</w:t>
      </w:r>
      <w:r w:rsidRPr="001B4A02">
        <w:t xml:space="preserve"> dávky 80 mg přípravku Humira v</w:t>
      </w:r>
      <w:r w:rsidR="001F5EAC" w:rsidRPr="001B4A02">
        <w:t> </w:t>
      </w:r>
      <w:r w:rsidRPr="001B4A02">
        <w:t>týdnu 0, následované dávkou 40 mg v týdnu 2, bylo u</w:t>
      </w:r>
      <w:r w:rsidR="009B61F3" w:rsidRPr="001B4A02">
        <w:t> </w:t>
      </w:r>
      <w:r w:rsidRPr="001B4A02">
        <w:t xml:space="preserve">pacientů s Crohnovou </w:t>
      </w:r>
      <w:r w:rsidR="00AA419E" w:rsidRPr="001B4A02">
        <w:t>chorobou</w:t>
      </w:r>
      <w:r w:rsidRPr="001B4A02">
        <w:t xml:space="preserve"> během indukční</w:t>
      </w:r>
      <w:r w:rsidR="00A86BA6" w:rsidRPr="001B4A02">
        <w:t xml:space="preserve"> fáze léčby</w:t>
      </w:r>
      <w:r w:rsidRPr="001B4A02">
        <w:t xml:space="preserve"> dosaženo nejnižších sérových koncentrací adalimumabu přibližně 5,5</w:t>
      </w:r>
      <w:r w:rsidR="00883A75">
        <w:t> </w:t>
      </w:r>
      <w:r w:rsidR="00883A75" w:rsidRPr="001B4A02">
        <w:t>μg</w:t>
      </w:r>
      <w:r w:rsidRPr="001B4A02">
        <w:t xml:space="preserve">/ml. Při </w:t>
      </w:r>
      <w:r w:rsidR="006F2326" w:rsidRPr="001B4A02">
        <w:t>úvodní</w:t>
      </w:r>
      <w:r w:rsidRPr="001B4A02">
        <w:t xml:space="preserve"> dávce 160 mg přípravku Humira v týdnu 0, následované dávkou 80 mg přípravku Humira v týdnu 2, došlo v průběhu indukční</w:t>
      </w:r>
      <w:r w:rsidR="00A86BA6" w:rsidRPr="001B4A02">
        <w:t xml:space="preserve"> fáze léčby</w:t>
      </w:r>
      <w:r w:rsidRPr="001B4A02">
        <w:t xml:space="preserve"> k dosažení nejnižších sérových koncentrací adalimumabu přibližně 12 </w:t>
      </w:r>
      <w:r w:rsidR="00883A75" w:rsidRPr="001B4A02">
        <w:t>μg</w:t>
      </w:r>
      <w:r w:rsidRPr="001B4A02">
        <w:t>/ml. U</w:t>
      </w:r>
      <w:r w:rsidR="006F2326" w:rsidRPr="001B4A02">
        <w:t> </w:t>
      </w:r>
      <w:r w:rsidRPr="001B4A02">
        <w:t>pacientů s Crohnovou chorobou, kteří dostávali udržovací dávku přípravku Humira 40 mg každý druhý týden, byly pozorovány průměrné nejnižší ustálené hladiny přibližně 7 </w:t>
      </w:r>
      <w:r w:rsidR="00883A75" w:rsidRPr="001B4A02">
        <w:t>μg</w:t>
      </w:r>
      <w:r w:rsidRPr="001B4A02">
        <w:t>/ml.</w:t>
      </w:r>
    </w:p>
    <w:p w14:paraId="0CBA6778" w14:textId="77777777" w:rsidR="00ED3511" w:rsidRPr="001B4A02" w:rsidRDefault="00ED3511" w:rsidP="00ED48A3">
      <w:pPr>
        <w:ind w:left="0" w:firstLine="0"/>
      </w:pPr>
    </w:p>
    <w:p w14:paraId="66201546" w14:textId="77777777" w:rsidR="00ED3511" w:rsidRPr="001B4A02" w:rsidRDefault="00000000" w:rsidP="00ED48A3">
      <w:pPr>
        <w:ind w:left="0" w:firstLine="0"/>
      </w:pPr>
      <w:r w:rsidRPr="001B4A02">
        <w:t>U pediatrických pacientů se středně těžkou až těžkou Crohnovou chorobou v otevřené fázi studie byly úvodní dávky adalimumabu v týdnech 0</w:t>
      </w:r>
      <w:r w:rsidR="002378E0">
        <w:t xml:space="preserve"> a </w:t>
      </w:r>
      <w:r w:rsidRPr="001B4A02">
        <w:t>2 buď 160/80</w:t>
      </w:r>
      <w:r w:rsidR="00874DE1">
        <w:t> mg</w:t>
      </w:r>
      <w:r w:rsidR="00436CE4" w:rsidRPr="001B4A02">
        <w:t>,</w:t>
      </w:r>
      <w:r w:rsidRPr="001B4A02">
        <w:t xml:space="preserve"> nebo 80/40</w:t>
      </w:r>
      <w:r w:rsidR="00874DE1">
        <w:t> mg</w:t>
      </w:r>
      <w:r w:rsidRPr="001B4A02">
        <w:t>, v</w:t>
      </w:r>
      <w:r w:rsidR="00D41D1A" w:rsidRPr="001B4A02">
        <w:t> </w:t>
      </w:r>
      <w:r w:rsidRPr="001B4A02">
        <w:t>závislosti na tělesné hmotnosti, přičemž hranicí byla hmotnost 40</w:t>
      </w:r>
      <w:r w:rsidR="002767FC">
        <w:t> kg</w:t>
      </w:r>
      <w:r w:rsidRPr="001B4A02">
        <w:t>. V týdnu 4 byli pacienti randomizováni v poměru 1:1</w:t>
      </w:r>
      <w:r w:rsidR="002378E0">
        <w:t xml:space="preserve"> a </w:t>
      </w:r>
      <w:r w:rsidRPr="001B4A02">
        <w:t>dostávali v pokračovací léčbě buď standardní dávku (40/20</w:t>
      </w:r>
      <w:r w:rsidR="00874DE1">
        <w:t> mg</w:t>
      </w:r>
      <w:r w:rsidRPr="001B4A02">
        <w:t xml:space="preserve"> každý druhý týden)</w:t>
      </w:r>
      <w:r w:rsidR="00436CE4" w:rsidRPr="001B4A02">
        <w:t>,</w:t>
      </w:r>
      <w:r w:rsidRPr="001B4A02">
        <w:t xml:space="preserve"> nebo sníženou dávku (20/10</w:t>
      </w:r>
      <w:r w:rsidR="00874DE1">
        <w:t> mg</w:t>
      </w:r>
      <w:r w:rsidRPr="001B4A02">
        <w:t xml:space="preserve"> každý druhý týden) v závislosti na jejich tělesné hmotnosti. Průměrné nejnižší </w:t>
      </w:r>
      <w:r w:rsidRPr="001B4A02">
        <w:rPr>
          <w:szCs w:val="22"/>
          <w:lang w:eastAsia="en-GB"/>
        </w:rPr>
        <w:t>(</w:t>
      </w:r>
      <w:r w:rsidRPr="001B4A02">
        <w:rPr>
          <w:rFonts w:eastAsia="Arial Unicode MS"/>
        </w:rPr>
        <w:t>±SD) sérové koncentrace adalimumabu, kterých dosáhli pacienti v týdnu 4</w:t>
      </w:r>
      <w:r w:rsidR="00436CE4" w:rsidRPr="001B4A02">
        <w:rPr>
          <w:rFonts w:eastAsia="Arial Unicode MS"/>
        </w:rPr>
        <w:t>,</w:t>
      </w:r>
      <w:r w:rsidRPr="001B4A02">
        <w:rPr>
          <w:rFonts w:eastAsia="Arial Unicode MS"/>
        </w:rPr>
        <w:t xml:space="preserve"> byly 15,7 ± 6,6</w:t>
      </w:r>
      <w:r w:rsidR="00883A75" w:rsidRPr="001B4A02">
        <w:t> μg</w:t>
      </w:r>
      <w:r w:rsidRPr="001B4A02">
        <w:t>/ml u</w:t>
      </w:r>
      <w:r w:rsidR="00463AD9" w:rsidRPr="001B4A02">
        <w:t> </w:t>
      </w:r>
      <w:r w:rsidRPr="001B4A02">
        <w:t>pacientů ≥ 40</w:t>
      </w:r>
      <w:r w:rsidR="002767FC">
        <w:t> kg</w:t>
      </w:r>
      <w:r w:rsidRPr="001B4A02">
        <w:t xml:space="preserve"> (160/80</w:t>
      </w:r>
      <w:r w:rsidR="00874DE1">
        <w:t> mg</w:t>
      </w:r>
      <w:r w:rsidRPr="001B4A02">
        <w:t>)</w:t>
      </w:r>
      <w:r w:rsidR="002378E0">
        <w:t xml:space="preserve"> a </w:t>
      </w:r>
      <w:r w:rsidRPr="001B4A02">
        <w:t>10,6 ± 6,1</w:t>
      </w:r>
      <w:r w:rsidR="00883A75" w:rsidRPr="001B4A02">
        <w:t> μg</w:t>
      </w:r>
      <w:r w:rsidRPr="001B4A02">
        <w:t>/ml u</w:t>
      </w:r>
      <w:r w:rsidR="009B61F3" w:rsidRPr="001B4A02">
        <w:t> </w:t>
      </w:r>
      <w:r w:rsidRPr="001B4A02">
        <w:t>pacientů &lt; 40</w:t>
      </w:r>
      <w:r w:rsidR="00874DE1">
        <w:t> mg</w:t>
      </w:r>
      <w:r w:rsidRPr="001B4A02">
        <w:t xml:space="preserve"> (80/40</w:t>
      </w:r>
      <w:r w:rsidR="00874DE1">
        <w:t> mg</w:t>
      </w:r>
      <w:r w:rsidRPr="001B4A02">
        <w:t>).</w:t>
      </w:r>
    </w:p>
    <w:p w14:paraId="77DCFE7C" w14:textId="77777777" w:rsidR="00ED3511" w:rsidRPr="001B4A02" w:rsidRDefault="00ED3511" w:rsidP="00ED48A3">
      <w:pPr>
        <w:ind w:left="0" w:firstLine="0"/>
      </w:pPr>
    </w:p>
    <w:p w14:paraId="741BD600" w14:textId="77777777" w:rsidR="00ED3511" w:rsidRPr="001B4A02" w:rsidRDefault="00000000" w:rsidP="00ED48A3">
      <w:pPr>
        <w:ind w:left="0" w:firstLine="0"/>
      </w:pPr>
      <w:r w:rsidRPr="001B4A02">
        <w:t>U pacientů, kteří setrvávali na léčbě tak, jak byli randomizováni, byly průměrné nejnižší (±SD) koncentrace v týdnu 52 9,5 ± 5,6</w:t>
      </w:r>
      <w:r w:rsidR="00883A75" w:rsidRPr="001B4A02">
        <w:t> μg</w:t>
      </w:r>
      <w:r w:rsidRPr="001B4A02">
        <w:t>/ml u</w:t>
      </w:r>
      <w:r w:rsidR="00463AD9" w:rsidRPr="001B4A02">
        <w:t> </w:t>
      </w:r>
      <w:r w:rsidRPr="001B4A02">
        <w:t xml:space="preserve">skupiny, která </w:t>
      </w:r>
      <w:r w:rsidR="0037494F" w:rsidRPr="001B4A02">
        <w:t>po</w:t>
      </w:r>
      <w:r w:rsidRPr="001B4A02">
        <w:t>užívala standardní dávku</w:t>
      </w:r>
      <w:r w:rsidR="00436CE4" w:rsidRPr="001B4A02">
        <w:t>,</w:t>
      </w:r>
      <w:r w:rsidR="002378E0">
        <w:t xml:space="preserve"> a </w:t>
      </w:r>
      <w:r w:rsidRPr="001B4A02">
        <w:t>3,5 ± 2,2</w:t>
      </w:r>
      <w:r w:rsidR="00883A75" w:rsidRPr="001B4A02">
        <w:t> μg</w:t>
      </w:r>
      <w:r w:rsidRPr="001B4A02">
        <w:t>/ml u</w:t>
      </w:r>
      <w:r w:rsidR="00463AD9" w:rsidRPr="001B4A02">
        <w:t> </w:t>
      </w:r>
      <w:r w:rsidRPr="001B4A02">
        <w:t>skupiny</w:t>
      </w:r>
      <w:r w:rsidR="00436CE4" w:rsidRPr="001B4A02">
        <w:t>,</w:t>
      </w:r>
      <w:r w:rsidRPr="001B4A02">
        <w:t xml:space="preserve"> která </w:t>
      </w:r>
      <w:r w:rsidR="0037494F" w:rsidRPr="001B4A02">
        <w:t>po</w:t>
      </w:r>
      <w:r w:rsidRPr="001B4A02">
        <w:t>užívala sníženou dávku. Průměrné nejnižší koncentrace adalimumabu se udržely u</w:t>
      </w:r>
      <w:r w:rsidR="00463AD9" w:rsidRPr="001B4A02">
        <w:t> </w:t>
      </w:r>
      <w:r w:rsidRPr="001B4A02">
        <w:t>těch pacientů, u</w:t>
      </w:r>
      <w:r w:rsidR="00463AD9" w:rsidRPr="001B4A02">
        <w:t> </w:t>
      </w:r>
      <w:r w:rsidRPr="001B4A02">
        <w:t>nichž se s podáváním adalimumabu každý druhý týden pokračovalo 52 týdnů. U</w:t>
      </w:r>
      <w:r w:rsidR="009B61F3" w:rsidRPr="001B4A02">
        <w:t> </w:t>
      </w:r>
      <w:r w:rsidRPr="001B4A02">
        <w:t>pacientů, u</w:t>
      </w:r>
      <w:r w:rsidR="009B61F3" w:rsidRPr="001B4A02">
        <w:t> </w:t>
      </w:r>
      <w:r w:rsidRPr="001B4A02">
        <w:t>kterých byla dávka zvýšena z podávání každý druhý týden na jednou týdně, byly průměrné (±SD) sérové koncentrace adalimumabu v týdnu 52 15,3 ± 11,4</w:t>
      </w:r>
      <w:r w:rsidR="00883A75" w:rsidRPr="001B4A02">
        <w:t> μg</w:t>
      </w:r>
      <w:r w:rsidRPr="001B4A02">
        <w:t>/ml (40/2</w:t>
      </w:r>
      <w:r w:rsidR="00436CE4" w:rsidRPr="001B4A02">
        <w:t>0</w:t>
      </w:r>
      <w:r w:rsidR="00874DE1">
        <w:t> mg</w:t>
      </w:r>
      <w:r w:rsidRPr="001B4A02">
        <w:t>, jednou týdně)</w:t>
      </w:r>
      <w:r w:rsidR="002378E0">
        <w:t xml:space="preserve"> a </w:t>
      </w:r>
      <w:r w:rsidRPr="001B4A02">
        <w:t>6,7 ± 3,5</w:t>
      </w:r>
      <w:r w:rsidR="00883A75" w:rsidRPr="001B4A02">
        <w:t> μg</w:t>
      </w:r>
      <w:r w:rsidRPr="001B4A02">
        <w:t>/ml (20/10</w:t>
      </w:r>
      <w:r w:rsidR="00874DE1">
        <w:t> mg</w:t>
      </w:r>
      <w:r w:rsidRPr="001B4A02">
        <w:t>, jednou týdně).</w:t>
      </w:r>
    </w:p>
    <w:p w14:paraId="6AEDC10C" w14:textId="77777777" w:rsidR="00ED3511" w:rsidRPr="001B4A02" w:rsidRDefault="00ED3511" w:rsidP="00ED48A3">
      <w:pPr>
        <w:ind w:left="0" w:firstLine="0"/>
      </w:pPr>
    </w:p>
    <w:p w14:paraId="3E13DDB9" w14:textId="77777777" w:rsidR="00ED3511" w:rsidRPr="001B4A02" w:rsidRDefault="00000000" w:rsidP="00ED48A3">
      <w:pPr>
        <w:ind w:left="0" w:firstLine="0"/>
      </w:pPr>
      <w:r w:rsidRPr="001B4A02">
        <w:t>U pacientů s ulcerózní kolitidou, jimž byla podána úvodní dávka 160</w:t>
      </w:r>
      <w:r w:rsidR="00874DE1">
        <w:t> mg</w:t>
      </w:r>
      <w:r w:rsidR="00937FCB">
        <w:t xml:space="preserve"> v týdnu 0</w:t>
      </w:r>
      <w:r w:rsidRPr="001B4A02">
        <w:t>, následov</w:t>
      </w:r>
      <w:r w:rsidR="00436CE4" w:rsidRPr="001B4A02">
        <w:t>a</w:t>
      </w:r>
      <w:r w:rsidRPr="001B4A02">
        <w:t>n</w:t>
      </w:r>
      <w:r w:rsidR="00436CE4" w:rsidRPr="001B4A02">
        <w:t>á</w:t>
      </w:r>
      <w:r w:rsidRPr="001B4A02">
        <w:t xml:space="preserve"> dávkou 80</w:t>
      </w:r>
      <w:r w:rsidR="00874DE1">
        <w:t> mg</w:t>
      </w:r>
      <w:r w:rsidRPr="001B4A02">
        <w:t xml:space="preserve"> v týdnu 2, byly dosaženy nejnižší koncentrace adalimumabu </w:t>
      </w:r>
      <w:r w:rsidR="00436CE4" w:rsidRPr="001B4A02">
        <w:t xml:space="preserve">přibližně </w:t>
      </w:r>
      <w:r w:rsidRPr="001B4A02">
        <w:t>12</w:t>
      </w:r>
      <w:r w:rsidR="00883A75">
        <w:t> </w:t>
      </w:r>
      <w:r w:rsidRPr="001B4A02">
        <w:t>μg/ml během období indukce. Průměrné nejnižší hladiny v ustáleném stavu přibližně 8</w:t>
      </w:r>
      <w:r w:rsidR="00883A75">
        <w:t> </w:t>
      </w:r>
      <w:r w:rsidRPr="001B4A02">
        <w:t>μg/ml byly pozorovány u</w:t>
      </w:r>
      <w:r w:rsidR="009B61F3" w:rsidRPr="001B4A02">
        <w:t> </w:t>
      </w:r>
      <w:r w:rsidRPr="001B4A02">
        <w:t>pacientů s</w:t>
      </w:r>
      <w:r w:rsidR="008A4562" w:rsidRPr="001B4A02">
        <w:t> </w:t>
      </w:r>
      <w:r w:rsidRPr="001B4A02">
        <w:t>ulcerózní kolitidou, kterým byla podávána udržovací dávka 40</w:t>
      </w:r>
      <w:r w:rsidR="00874DE1">
        <w:t> mg</w:t>
      </w:r>
      <w:r w:rsidRPr="001B4A02">
        <w:t xml:space="preserve"> přípravku Humira každý druhý týden.</w:t>
      </w:r>
    </w:p>
    <w:p w14:paraId="1B2DDF7F" w14:textId="77777777" w:rsidR="00435107" w:rsidRDefault="00435107" w:rsidP="00ED48A3">
      <w:pPr>
        <w:autoSpaceDE w:val="0"/>
        <w:autoSpaceDN w:val="0"/>
        <w:adjustRightInd w:val="0"/>
        <w:ind w:left="0" w:firstLine="0"/>
      </w:pPr>
    </w:p>
    <w:p w14:paraId="49E3C415" w14:textId="77777777" w:rsidR="009428F1" w:rsidRDefault="00000000" w:rsidP="009428F1">
      <w:pPr>
        <w:ind w:left="0" w:firstLine="0"/>
      </w:pPr>
      <w:r>
        <w:t>Po subkutánním podání dávky 0,6</w:t>
      </w:r>
      <w:r>
        <w:rPr>
          <w:rStyle w:val="normaltextrun"/>
        </w:rPr>
        <w:t> </w:t>
      </w:r>
      <w:r>
        <w:t>mg/kg (maximální dávka 40</w:t>
      </w:r>
      <w:r>
        <w:rPr>
          <w:rStyle w:val="normaltextrun"/>
        </w:rPr>
        <w:t> </w:t>
      </w:r>
      <w:r>
        <w:t>mg) jednou za dva týdny na základě tělesné hmotnosti pediatrickým pacientům s ulcerózní kolitidou byla nejnižší sérová koncentrace v ustáleném stavu v 52. týdnu 5,01 ± 3,28</w:t>
      </w:r>
      <w:r>
        <w:rPr>
          <w:rStyle w:val="normaltextrun"/>
        </w:rPr>
        <w:t> </w:t>
      </w:r>
      <w:r>
        <w:t>µg/ml. U</w:t>
      </w:r>
      <w:r>
        <w:rPr>
          <w:rStyle w:val="normaltextrun"/>
        </w:rPr>
        <w:t> </w:t>
      </w:r>
      <w:r>
        <w:t>pacientů, kteří dostávali 0,6</w:t>
      </w:r>
      <w:r>
        <w:rPr>
          <w:rStyle w:val="normaltextrun"/>
        </w:rPr>
        <w:t> </w:t>
      </w:r>
      <w:r>
        <w:t>mg/kg (maximální dávka 40</w:t>
      </w:r>
      <w:r>
        <w:rPr>
          <w:rStyle w:val="normaltextrun"/>
        </w:rPr>
        <w:t> </w:t>
      </w:r>
      <w:r>
        <w:t>mg) každý týden, byla průměrná (±SD) nejnižší sérová koncentrace adalimumabu v ustáleném stavu v 52. týdnu 15,7 ± 5,60</w:t>
      </w:r>
      <w:r>
        <w:rPr>
          <w:rStyle w:val="normaltextrun"/>
        </w:rPr>
        <w:t> </w:t>
      </w:r>
      <w:r>
        <w:t>μg/ml.</w:t>
      </w:r>
    </w:p>
    <w:p w14:paraId="41E63544" w14:textId="77777777" w:rsidR="00435107" w:rsidRDefault="00435107" w:rsidP="00ED48A3">
      <w:pPr>
        <w:autoSpaceDE w:val="0"/>
        <w:autoSpaceDN w:val="0"/>
        <w:adjustRightInd w:val="0"/>
        <w:ind w:left="0" w:firstLine="0"/>
        <w:rPr>
          <w:szCs w:val="22"/>
        </w:rPr>
      </w:pPr>
    </w:p>
    <w:p w14:paraId="3796512A" w14:textId="77777777" w:rsidR="00FB3526" w:rsidRPr="001B4A02" w:rsidRDefault="00000000" w:rsidP="00ED48A3">
      <w:pPr>
        <w:autoSpaceDE w:val="0"/>
        <w:autoSpaceDN w:val="0"/>
        <w:adjustRightInd w:val="0"/>
        <w:ind w:left="0" w:firstLine="0"/>
        <w:rPr>
          <w:szCs w:val="22"/>
        </w:rPr>
      </w:pPr>
      <w:r w:rsidRPr="001B4A02">
        <w:rPr>
          <w:szCs w:val="22"/>
        </w:rPr>
        <w:t>U</w:t>
      </w:r>
      <w:r w:rsidR="008762B8" w:rsidRPr="001B4A02">
        <w:rPr>
          <w:szCs w:val="22"/>
        </w:rPr>
        <w:t xml:space="preserve"> dospělých</w:t>
      </w:r>
      <w:r w:rsidRPr="001B4A02">
        <w:rPr>
          <w:szCs w:val="22"/>
        </w:rPr>
        <w:t xml:space="preserve"> pacientů s uveitidou, </w:t>
      </w:r>
      <w:r w:rsidRPr="001B4A02">
        <w:t>jimž byla podána úvodní dávka 80</w:t>
      </w:r>
      <w:r w:rsidR="00874DE1">
        <w:t> mg</w:t>
      </w:r>
      <w:r w:rsidRPr="001B4A02">
        <w:t xml:space="preserve"> adalimumabu v týdnu 0, následov</w:t>
      </w:r>
      <w:r w:rsidR="00436CE4" w:rsidRPr="001B4A02">
        <w:t>a</w:t>
      </w:r>
      <w:r w:rsidRPr="001B4A02">
        <w:t>ná dávkou 40</w:t>
      </w:r>
      <w:r w:rsidR="00874DE1">
        <w:t> mg</w:t>
      </w:r>
      <w:r w:rsidRPr="001B4A02">
        <w:t xml:space="preserve"> každý druhý týden počínaje týdnem 1, byly zjištěny střední hladiny v ustáleném stavu přibližně </w:t>
      </w:r>
      <w:r w:rsidRPr="001B4A02">
        <w:rPr>
          <w:szCs w:val="22"/>
        </w:rPr>
        <w:t>8 až 10 </w:t>
      </w:r>
      <w:r w:rsidRPr="001B4A02">
        <w:rPr>
          <w:rFonts w:ascii="Symbol" w:hAnsi="Symbol"/>
          <w:szCs w:val="22"/>
        </w:rPr>
        <w:sym w:font="Symbol" w:char="F06D"/>
      </w:r>
      <w:r w:rsidRPr="001B4A02">
        <w:rPr>
          <w:szCs w:val="22"/>
        </w:rPr>
        <w:t>g/ml.</w:t>
      </w:r>
    </w:p>
    <w:p w14:paraId="1CB47B79" w14:textId="77777777" w:rsidR="00FF608E" w:rsidRPr="001B4A02" w:rsidRDefault="00FF608E" w:rsidP="00ED48A3">
      <w:pPr>
        <w:autoSpaceDE w:val="0"/>
        <w:autoSpaceDN w:val="0"/>
        <w:adjustRightInd w:val="0"/>
        <w:ind w:left="0" w:firstLine="0"/>
        <w:rPr>
          <w:szCs w:val="22"/>
        </w:rPr>
      </w:pPr>
    </w:p>
    <w:p w14:paraId="52F181CF" w14:textId="77777777" w:rsidR="00FF608E" w:rsidRPr="001B4A02" w:rsidRDefault="00000000" w:rsidP="00ED48A3">
      <w:pPr>
        <w:autoSpaceDE w:val="0"/>
        <w:autoSpaceDN w:val="0"/>
        <w:adjustRightInd w:val="0"/>
        <w:ind w:left="0" w:firstLine="0"/>
        <w:rPr>
          <w:iCs/>
          <w:szCs w:val="22"/>
          <w:bdr w:val="nil"/>
        </w:rPr>
      </w:pPr>
      <w:r w:rsidRPr="001B4A02">
        <w:rPr>
          <w:iCs/>
          <w:szCs w:val="22"/>
        </w:rPr>
        <w:t>Expozice adalimumabu u</w:t>
      </w:r>
      <w:r w:rsidR="00463AD9" w:rsidRPr="001B4A02">
        <w:rPr>
          <w:iCs/>
          <w:szCs w:val="22"/>
        </w:rPr>
        <w:t> </w:t>
      </w:r>
      <w:r w:rsidR="00E90FB2" w:rsidRPr="001B4A02">
        <w:rPr>
          <w:iCs/>
          <w:szCs w:val="22"/>
        </w:rPr>
        <w:t xml:space="preserve">pediatrických </w:t>
      </w:r>
      <w:r w:rsidRPr="001B4A02">
        <w:rPr>
          <w:iCs/>
          <w:szCs w:val="22"/>
        </w:rPr>
        <w:t>pacientů s</w:t>
      </w:r>
      <w:r w:rsidR="00463AD9" w:rsidRPr="001B4A02">
        <w:rPr>
          <w:iCs/>
          <w:szCs w:val="22"/>
        </w:rPr>
        <w:t> </w:t>
      </w:r>
      <w:r w:rsidRPr="001B4A02">
        <w:rPr>
          <w:iCs/>
          <w:szCs w:val="22"/>
        </w:rPr>
        <w:t>uveitidou byla predikována pomocí populačního farmakokinetického modelování</w:t>
      </w:r>
      <w:r w:rsidR="002378E0">
        <w:rPr>
          <w:iCs/>
          <w:szCs w:val="22"/>
        </w:rPr>
        <w:t xml:space="preserve"> a </w:t>
      </w:r>
      <w:r w:rsidRPr="001B4A02">
        <w:rPr>
          <w:iCs/>
          <w:szCs w:val="22"/>
        </w:rPr>
        <w:t>simulace na základě farmakokinetiky se zkříženou indikací u</w:t>
      </w:r>
      <w:r w:rsidR="007375A0" w:rsidRPr="001B4A02">
        <w:rPr>
          <w:iCs/>
          <w:szCs w:val="22"/>
        </w:rPr>
        <w:t> </w:t>
      </w:r>
      <w:r w:rsidRPr="001B4A02">
        <w:rPr>
          <w:iCs/>
          <w:szCs w:val="22"/>
        </w:rPr>
        <w:t>dalších pediatrických pacientů (psoriáza</w:t>
      </w:r>
      <w:r w:rsidR="00D3072B" w:rsidRPr="001B4A02">
        <w:rPr>
          <w:iCs/>
          <w:szCs w:val="22"/>
        </w:rPr>
        <w:t xml:space="preserve"> u</w:t>
      </w:r>
      <w:r w:rsidR="00923691" w:rsidRPr="001B4A02">
        <w:rPr>
          <w:iCs/>
          <w:szCs w:val="22"/>
        </w:rPr>
        <w:t> </w:t>
      </w:r>
      <w:r w:rsidR="00D3072B" w:rsidRPr="001B4A02">
        <w:rPr>
          <w:iCs/>
          <w:szCs w:val="22"/>
        </w:rPr>
        <w:t>dětí</w:t>
      </w:r>
      <w:r w:rsidRPr="001B4A02">
        <w:rPr>
          <w:iCs/>
          <w:szCs w:val="22"/>
        </w:rPr>
        <w:t>, juvenilní idiopatická artritida, Crohnova nemoc</w:t>
      </w:r>
      <w:r w:rsidR="00D3072B" w:rsidRPr="001B4A02">
        <w:rPr>
          <w:iCs/>
          <w:szCs w:val="22"/>
        </w:rPr>
        <w:t xml:space="preserve"> u</w:t>
      </w:r>
      <w:r w:rsidR="00923691" w:rsidRPr="001B4A02">
        <w:rPr>
          <w:iCs/>
          <w:szCs w:val="22"/>
        </w:rPr>
        <w:t> </w:t>
      </w:r>
      <w:r w:rsidR="00D3072B" w:rsidRPr="001B4A02">
        <w:rPr>
          <w:iCs/>
          <w:szCs w:val="22"/>
        </w:rPr>
        <w:t>dětí</w:t>
      </w:r>
      <w:r w:rsidR="002378E0">
        <w:rPr>
          <w:iCs/>
          <w:szCs w:val="22"/>
        </w:rPr>
        <w:t xml:space="preserve"> a </w:t>
      </w:r>
      <w:r w:rsidRPr="001B4A02">
        <w:rPr>
          <w:iCs/>
          <w:szCs w:val="22"/>
        </w:rPr>
        <w:t>entezopatická artritida). Nejsou k</w:t>
      </w:r>
      <w:r w:rsidR="00923691" w:rsidRPr="001B4A02">
        <w:rPr>
          <w:iCs/>
          <w:szCs w:val="22"/>
        </w:rPr>
        <w:t> </w:t>
      </w:r>
      <w:r w:rsidRPr="001B4A02">
        <w:rPr>
          <w:iCs/>
          <w:szCs w:val="22"/>
        </w:rPr>
        <w:t>dispozici žádné klinické údaje o</w:t>
      </w:r>
      <w:r w:rsidR="00923691" w:rsidRPr="001B4A02">
        <w:rPr>
          <w:iCs/>
          <w:szCs w:val="22"/>
        </w:rPr>
        <w:t> </w:t>
      </w:r>
      <w:r w:rsidRPr="001B4A02">
        <w:rPr>
          <w:iCs/>
          <w:szCs w:val="22"/>
        </w:rPr>
        <w:t xml:space="preserve">použití </w:t>
      </w:r>
      <w:r w:rsidR="00E90FB2" w:rsidRPr="001B4A02">
        <w:rPr>
          <w:iCs/>
          <w:szCs w:val="22"/>
        </w:rPr>
        <w:t xml:space="preserve">úvodní </w:t>
      </w:r>
      <w:r w:rsidRPr="001B4A02">
        <w:rPr>
          <w:iCs/>
          <w:szCs w:val="22"/>
        </w:rPr>
        <w:t>dávky u</w:t>
      </w:r>
      <w:r w:rsidR="00923691" w:rsidRPr="001B4A02">
        <w:rPr>
          <w:iCs/>
          <w:szCs w:val="22"/>
        </w:rPr>
        <w:t> </w:t>
      </w:r>
      <w:r w:rsidRPr="001B4A02">
        <w:rPr>
          <w:iCs/>
          <w:szCs w:val="22"/>
        </w:rPr>
        <w:t>dětí ve věku &lt;</w:t>
      </w:r>
      <w:r w:rsidR="000C196B" w:rsidRPr="001B4A02">
        <w:rPr>
          <w:iCs/>
          <w:szCs w:val="22"/>
        </w:rPr>
        <w:t> </w:t>
      </w:r>
      <w:r w:rsidRPr="001B4A02">
        <w:rPr>
          <w:iCs/>
          <w:szCs w:val="22"/>
        </w:rPr>
        <w:t xml:space="preserve">6 let. </w:t>
      </w:r>
      <w:r w:rsidR="00D3072B" w:rsidRPr="001B4A02">
        <w:rPr>
          <w:iCs/>
          <w:szCs w:val="22"/>
        </w:rPr>
        <w:t>Předpokládané</w:t>
      </w:r>
      <w:r w:rsidRPr="001B4A02">
        <w:rPr>
          <w:iCs/>
          <w:szCs w:val="22"/>
        </w:rPr>
        <w:t xml:space="preserve"> expozice ukazují, že bez methotrexátu může </w:t>
      </w:r>
      <w:r w:rsidR="00E90FB2" w:rsidRPr="001B4A02">
        <w:rPr>
          <w:iCs/>
          <w:szCs w:val="22"/>
        </w:rPr>
        <w:t xml:space="preserve">úvodní </w:t>
      </w:r>
      <w:r w:rsidRPr="001B4A02">
        <w:rPr>
          <w:iCs/>
          <w:szCs w:val="22"/>
        </w:rPr>
        <w:t>dávka vést k</w:t>
      </w:r>
      <w:r w:rsidR="007375A0" w:rsidRPr="001B4A02">
        <w:rPr>
          <w:iCs/>
          <w:szCs w:val="22"/>
        </w:rPr>
        <w:t> </w:t>
      </w:r>
      <w:r w:rsidR="00F27B13" w:rsidRPr="001B4A02">
        <w:rPr>
          <w:iCs/>
          <w:szCs w:val="22"/>
        </w:rPr>
        <w:t>počátečnímu</w:t>
      </w:r>
      <w:r w:rsidRPr="001B4A02">
        <w:rPr>
          <w:iCs/>
          <w:szCs w:val="22"/>
        </w:rPr>
        <w:t xml:space="preserve"> zvýšení systémové expozice.</w:t>
      </w:r>
    </w:p>
    <w:p w14:paraId="160DCC86" w14:textId="77777777" w:rsidR="008762B8" w:rsidRPr="001B4A02" w:rsidRDefault="008762B8" w:rsidP="00ED48A3">
      <w:pPr>
        <w:autoSpaceDE w:val="0"/>
        <w:autoSpaceDN w:val="0"/>
        <w:adjustRightInd w:val="0"/>
        <w:ind w:left="0" w:firstLine="0"/>
        <w:rPr>
          <w:iCs/>
          <w:szCs w:val="22"/>
          <w:bdr w:val="nil"/>
        </w:rPr>
      </w:pPr>
    </w:p>
    <w:p w14:paraId="2A6C00DB" w14:textId="77777777" w:rsidR="00551DE7" w:rsidRPr="001B4A02" w:rsidRDefault="00000000" w:rsidP="00551DE7">
      <w:pPr>
        <w:tabs>
          <w:tab w:val="left" w:pos="0"/>
        </w:tabs>
        <w:autoSpaceDE w:val="0"/>
        <w:autoSpaceDN w:val="0"/>
        <w:adjustRightInd w:val="0"/>
        <w:ind w:left="0" w:firstLine="0"/>
      </w:pPr>
      <w:r w:rsidRPr="001B4A02">
        <w:t>Populační farmakokinetické</w:t>
      </w:r>
      <w:r w:rsidR="002378E0">
        <w:t xml:space="preserve"> a </w:t>
      </w:r>
      <w:r w:rsidRPr="001B4A02">
        <w:t>farmakokineticko/farmakodynamické modelování</w:t>
      </w:r>
      <w:r w:rsidR="002378E0">
        <w:t xml:space="preserve"> a </w:t>
      </w:r>
      <w:r w:rsidRPr="001B4A02">
        <w:t>simulace předpověděly srovnatelné expozice</w:t>
      </w:r>
      <w:r w:rsidR="002378E0">
        <w:t xml:space="preserve"> a </w:t>
      </w:r>
      <w:r w:rsidRPr="001B4A02">
        <w:t>účinnost adalimumabu u pacientů léčených dávkou 80</w:t>
      </w:r>
      <w:r w:rsidR="00874DE1">
        <w:t> mg</w:t>
      </w:r>
      <w:r w:rsidRPr="001B4A02">
        <w:t xml:space="preserve"> jednou za dva týdny při srovnání s dávkou 40</w:t>
      </w:r>
      <w:r w:rsidR="00874DE1">
        <w:t> mg</w:t>
      </w:r>
      <w:r w:rsidRPr="001B4A02">
        <w:t xml:space="preserve"> jednou týdně (včetně dospělých pacientů s RA, HS, UC, CD nebo psoriázou, dospívajících pacientů s HS</w:t>
      </w:r>
      <w:r w:rsidR="002378E0">
        <w:t xml:space="preserve"> a </w:t>
      </w:r>
      <w:r w:rsidRPr="001B4A02">
        <w:t>pediatrických pacientů ≥ 40</w:t>
      </w:r>
      <w:r w:rsidR="002767FC">
        <w:t> kg</w:t>
      </w:r>
      <w:r w:rsidRPr="001B4A02">
        <w:t xml:space="preserve"> s</w:t>
      </w:r>
      <w:r w:rsidR="008D4CF8">
        <w:t> </w:t>
      </w:r>
      <w:r w:rsidRPr="001B4A02">
        <w:t>CD</w:t>
      </w:r>
      <w:r w:rsidR="002378E0">
        <w:t xml:space="preserve"> a </w:t>
      </w:r>
      <w:r w:rsidR="008D4CF8">
        <w:t>UC</w:t>
      </w:r>
      <w:r w:rsidRPr="001B4A02">
        <w:t>).</w:t>
      </w:r>
    </w:p>
    <w:p w14:paraId="0C6992AD" w14:textId="77777777" w:rsidR="00551DE7" w:rsidRPr="001B4A02" w:rsidRDefault="00551DE7" w:rsidP="00ED48A3">
      <w:pPr>
        <w:autoSpaceDE w:val="0"/>
        <w:autoSpaceDN w:val="0"/>
        <w:adjustRightInd w:val="0"/>
        <w:ind w:left="0" w:firstLine="0"/>
        <w:rPr>
          <w:iCs/>
          <w:szCs w:val="22"/>
          <w:bdr w:val="nil"/>
        </w:rPr>
      </w:pPr>
    </w:p>
    <w:p w14:paraId="492CA467" w14:textId="77777777" w:rsidR="008762B8" w:rsidRPr="007E416D" w:rsidRDefault="00000000" w:rsidP="00A90937">
      <w:pPr>
        <w:keepNext/>
        <w:autoSpaceDE w:val="0"/>
        <w:autoSpaceDN w:val="0"/>
        <w:adjustRightInd w:val="0"/>
        <w:rPr>
          <w:u w:val="single"/>
        </w:rPr>
      </w:pPr>
      <w:r w:rsidRPr="007E416D">
        <w:rPr>
          <w:u w:val="single"/>
        </w:rPr>
        <w:t>Vztah expozice-odpověď u pediatrické populace</w:t>
      </w:r>
    </w:p>
    <w:p w14:paraId="50ABEE0A" w14:textId="77777777" w:rsidR="008762B8" w:rsidRPr="001B4A02" w:rsidRDefault="008762B8" w:rsidP="00A90937">
      <w:pPr>
        <w:keepNext/>
        <w:autoSpaceDE w:val="0"/>
        <w:autoSpaceDN w:val="0"/>
        <w:adjustRightInd w:val="0"/>
      </w:pPr>
    </w:p>
    <w:p w14:paraId="6ED7E1AD" w14:textId="77777777" w:rsidR="008762B8" w:rsidRPr="001B4A02" w:rsidRDefault="00000000" w:rsidP="008762B8">
      <w:pPr>
        <w:autoSpaceDE w:val="0"/>
        <w:autoSpaceDN w:val="0"/>
        <w:adjustRightInd w:val="0"/>
        <w:ind w:left="0" w:firstLine="0"/>
      </w:pPr>
      <w:r w:rsidRPr="001B4A02">
        <w:t>Na základě dat z</w:t>
      </w:r>
      <w:r w:rsidR="007C3379" w:rsidRPr="001B4A02">
        <w:t> </w:t>
      </w:r>
      <w:r w:rsidRPr="001B4A02">
        <w:t>klinické studie u</w:t>
      </w:r>
      <w:r w:rsidR="007C3379" w:rsidRPr="001B4A02">
        <w:t> </w:t>
      </w:r>
      <w:r w:rsidRPr="001B4A02">
        <w:t>pacientů s</w:t>
      </w:r>
      <w:r w:rsidR="007C3379" w:rsidRPr="001B4A02">
        <w:t> </w:t>
      </w:r>
      <w:r w:rsidRPr="001B4A02">
        <w:t>JIA (pJIA</w:t>
      </w:r>
      <w:r w:rsidR="002378E0">
        <w:t xml:space="preserve"> a </w:t>
      </w:r>
      <w:r w:rsidRPr="001B4A02">
        <w:t xml:space="preserve">ERA) byl stanoven </w:t>
      </w:r>
      <w:r w:rsidR="00AA419E" w:rsidRPr="001B4A02">
        <w:t>vztah expozice</w:t>
      </w:r>
      <w:r w:rsidRPr="001B4A02">
        <w:t>-odpověď mezi plazmatickými koncentracemi</w:t>
      </w:r>
      <w:r w:rsidR="002378E0">
        <w:t xml:space="preserve"> a </w:t>
      </w:r>
      <w:r w:rsidRPr="001B4A02">
        <w:t>PedACR 50 odpovědí. Zjevná plazmatická koncentrace adalimumabu, která vede k</w:t>
      </w:r>
      <w:r w:rsidR="007C3379" w:rsidRPr="001B4A02">
        <w:t> </w:t>
      </w:r>
      <w:r w:rsidRPr="001B4A02">
        <w:t xml:space="preserve">poloviční maximální pravděpodobnosti </w:t>
      </w:r>
      <w:r w:rsidR="000D6934" w:rsidRPr="001B4A02">
        <w:t>PedACR 50 odpovědi (EC50), byla</w:t>
      </w:r>
      <w:r w:rsidRPr="001B4A02">
        <w:t xml:space="preserve"> 3 μg/ml (95% CI: 1–6 μg/ml). </w:t>
      </w:r>
    </w:p>
    <w:p w14:paraId="6AF9A733" w14:textId="77777777" w:rsidR="008762B8" w:rsidRPr="001B4A02" w:rsidRDefault="008762B8" w:rsidP="008762B8">
      <w:pPr>
        <w:autoSpaceDE w:val="0"/>
        <w:autoSpaceDN w:val="0"/>
        <w:adjustRightInd w:val="0"/>
        <w:ind w:left="0" w:firstLine="0"/>
      </w:pPr>
    </w:p>
    <w:p w14:paraId="06904B63" w14:textId="77777777" w:rsidR="008762B8" w:rsidRPr="001B4A02" w:rsidRDefault="00000000" w:rsidP="008762B8">
      <w:pPr>
        <w:autoSpaceDE w:val="0"/>
        <w:autoSpaceDN w:val="0"/>
        <w:adjustRightInd w:val="0"/>
        <w:ind w:left="0" w:firstLine="0"/>
      </w:pPr>
      <w:r w:rsidRPr="001B4A02">
        <w:t>Vztah expozice-odpověď mezi koncentrací adalimumabu</w:t>
      </w:r>
      <w:r w:rsidR="002378E0">
        <w:t xml:space="preserve"> a </w:t>
      </w:r>
      <w:r w:rsidRPr="001B4A02">
        <w:t>účinností u</w:t>
      </w:r>
      <w:r w:rsidR="007C3379" w:rsidRPr="001B4A02">
        <w:t> </w:t>
      </w:r>
      <w:r w:rsidRPr="001B4A02">
        <w:t>pediatrických pacientů se závažnou chronickou ložiskovou psoriázou byl stanoven pro PASI 75</w:t>
      </w:r>
      <w:r w:rsidR="002378E0">
        <w:t xml:space="preserve"> a </w:t>
      </w:r>
      <w:r w:rsidRPr="001B4A02">
        <w:t>PGA jasný nebo minimální, v</w:t>
      </w:r>
      <w:r w:rsidR="007375A0" w:rsidRPr="001B4A02">
        <w:t> </w:t>
      </w:r>
      <w:r w:rsidRPr="001B4A02">
        <w:t>uvedeném pořadí. PASI 75</w:t>
      </w:r>
      <w:r w:rsidR="002378E0">
        <w:t xml:space="preserve"> a </w:t>
      </w:r>
      <w:r w:rsidRPr="001B4A02">
        <w:t>PGA jasný nebo minimální se zvyšoval se zvyšujícími se koncentracemi adalimumabu s</w:t>
      </w:r>
      <w:r w:rsidR="00463AD9" w:rsidRPr="001B4A02">
        <w:t> </w:t>
      </w:r>
      <w:r w:rsidRPr="001B4A02">
        <w:t>podobnou zjevnou EC50 přibližně 4,5 μg/ml (95% CI 0,4–47,6</w:t>
      </w:r>
      <w:r w:rsidR="002378E0">
        <w:t xml:space="preserve"> a </w:t>
      </w:r>
      <w:r w:rsidRPr="001B4A02">
        <w:t>1,9–10,5, v</w:t>
      </w:r>
      <w:r w:rsidR="007375A0" w:rsidRPr="001B4A02">
        <w:t> </w:t>
      </w:r>
      <w:r w:rsidRPr="001B4A02">
        <w:t>uvedeném pořadí).</w:t>
      </w:r>
    </w:p>
    <w:p w14:paraId="68A8D22E" w14:textId="77777777" w:rsidR="00FB3526" w:rsidRPr="001B4A02" w:rsidRDefault="00FB3526" w:rsidP="00ED48A3">
      <w:pPr>
        <w:ind w:left="0" w:firstLine="0"/>
        <w:rPr>
          <w:u w:val="single"/>
        </w:rPr>
      </w:pPr>
    </w:p>
    <w:p w14:paraId="2F9417E9" w14:textId="77777777" w:rsidR="00ED3511" w:rsidRPr="001B4A02" w:rsidRDefault="00000000" w:rsidP="00A90937">
      <w:pPr>
        <w:keepNext/>
        <w:ind w:left="0" w:firstLine="0"/>
        <w:rPr>
          <w:u w:val="single"/>
        </w:rPr>
      </w:pPr>
      <w:r w:rsidRPr="001B4A02">
        <w:rPr>
          <w:u w:val="single"/>
        </w:rPr>
        <w:t>Eliminace</w:t>
      </w:r>
    </w:p>
    <w:p w14:paraId="5F662062" w14:textId="77777777" w:rsidR="00ED3511" w:rsidRPr="001B4A02" w:rsidRDefault="00ED3511" w:rsidP="00A90937">
      <w:pPr>
        <w:keepNext/>
        <w:ind w:left="0" w:firstLine="0"/>
      </w:pPr>
    </w:p>
    <w:p w14:paraId="6BF5282A" w14:textId="77777777" w:rsidR="00ED3511" w:rsidRPr="001B4A02" w:rsidRDefault="00000000" w:rsidP="00ED48A3">
      <w:pPr>
        <w:ind w:left="0" w:firstLine="0"/>
      </w:pPr>
      <w:r w:rsidRPr="001B4A02">
        <w:t>Populační farmakokinetické analýzy s údaji od více než 1</w:t>
      </w:r>
      <w:r w:rsidR="000E3459" w:rsidRPr="001B4A02">
        <w:t> </w:t>
      </w:r>
      <w:r w:rsidRPr="001B4A02">
        <w:t>300 pacientů s RA zjistily trend směrem k vyšší zdánlivé clearance adalimumabu s rostoucí tělesnou váhou. Po úpravě váhových rozdílů, pohlaví</w:t>
      </w:r>
      <w:r w:rsidR="002378E0">
        <w:t xml:space="preserve"> a </w:t>
      </w:r>
      <w:r w:rsidRPr="001B4A02">
        <w:t>věku byl zřejmý minimální efekt na clearance adalimumabu. Koncentrace volného adalimumabu v séru (nevázaného na protilátky proti adalimumabu, AAA) byly nižší u</w:t>
      </w:r>
      <w:r w:rsidR="009B61F3" w:rsidRPr="001B4A02">
        <w:t> </w:t>
      </w:r>
      <w:r w:rsidRPr="001B4A02">
        <w:t xml:space="preserve">pacientů s detekovanými protilátkami proti adalimumabu. </w:t>
      </w:r>
    </w:p>
    <w:p w14:paraId="3712C7EC" w14:textId="77777777" w:rsidR="00ED3511" w:rsidRPr="001B4A02" w:rsidRDefault="00ED3511" w:rsidP="00ED48A3">
      <w:pPr>
        <w:ind w:left="0" w:firstLine="0"/>
      </w:pPr>
    </w:p>
    <w:p w14:paraId="668C7B87" w14:textId="77777777" w:rsidR="00ED3511" w:rsidRPr="001B4A02" w:rsidRDefault="00000000" w:rsidP="00A90937">
      <w:pPr>
        <w:keepNext/>
        <w:ind w:left="0" w:firstLine="0"/>
        <w:rPr>
          <w:u w:val="single"/>
        </w:rPr>
      </w:pPr>
      <w:r w:rsidRPr="001B4A02">
        <w:rPr>
          <w:u w:val="single"/>
        </w:rPr>
        <w:t>Po</w:t>
      </w:r>
      <w:r w:rsidR="00696488" w:rsidRPr="001B4A02">
        <w:rPr>
          <w:u w:val="single"/>
        </w:rPr>
        <w:t>rucha funkce</w:t>
      </w:r>
      <w:r w:rsidRPr="001B4A02">
        <w:rPr>
          <w:u w:val="single"/>
        </w:rPr>
        <w:t xml:space="preserve"> jater nebo ledvin</w:t>
      </w:r>
    </w:p>
    <w:p w14:paraId="366BDF3B" w14:textId="77777777" w:rsidR="00ED3511" w:rsidRPr="001B4A02" w:rsidRDefault="00ED3511" w:rsidP="00A90937">
      <w:pPr>
        <w:keepNext/>
        <w:ind w:left="0" w:firstLine="0"/>
      </w:pPr>
    </w:p>
    <w:p w14:paraId="635FB791" w14:textId="77777777" w:rsidR="00ED3511" w:rsidRPr="001B4A02" w:rsidRDefault="00000000" w:rsidP="00ED48A3">
      <w:pPr>
        <w:ind w:left="0" w:firstLine="0"/>
      </w:pPr>
      <w:r>
        <w:t>Pou</w:t>
      </w:r>
      <w:r w:rsidRPr="001B4A02">
        <w:t>žití přípravku Humira nebylo studováno u</w:t>
      </w:r>
      <w:r w:rsidR="009B61F3" w:rsidRPr="001B4A02">
        <w:t> </w:t>
      </w:r>
      <w:r w:rsidRPr="001B4A02">
        <w:t>pacientů s po</w:t>
      </w:r>
      <w:r w:rsidR="00696488" w:rsidRPr="001B4A02">
        <w:t>ruchou funkce</w:t>
      </w:r>
      <w:r w:rsidRPr="001B4A02">
        <w:t xml:space="preserve"> jater nebo ledvin.</w:t>
      </w:r>
    </w:p>
    <w:p w14:paraId="6A122D69" w14:textId="77777777" w:rsidR="00ED3511" w:rsidRPr="001B4A02" w:rsidRDefault="00ED3511" w:rsidP="00ED48A3">
      <w:pPr>
        <w:ind w:left="0" w:firstLine="0"/>
      </w:pPr>
    </w:p>
    <w:p w14:paraId="5664F906" w14:textId="77777777" w:rsidR="00ED3511" w:rsidRPr="001B4A02" w:rsidRDefault="00000000" w:rsidP="00A15B7A">
      <w:pPr>
        <w:keepNext/>
        <w:outlineLvl w:val="1"/>
        <w:rPr>
          <w:b/>
        </w:rPr>
      </w:pPr>
      <w:r w:rsidRPr="001B4A02">
        <w:rPr>
          <w:b/>
        </w:rPr>
        <w:t>5.3</w:t>
      </w:r>
      <w:r w:rsidRPr="001B4A02">
        <w:rPr>
          <w:b/>
        </w:rPr>
        <w:tab/>
        <w:t>Předklinické údaje vztahující se k bezpečnosti</w:t>
      </w:r>
    </w:p>
    <w:p w14:paraId="7AB239E3" w14:textId="77777777" w:rsidR="00ED3511" w:rsidRPr="001B4A02" w:rsidRDefault="00ED3511" w:rsidP="00ED48A3">
      <w:pPr>
        <w:keepNext/>
        <w:ind w:left="0" w:firstLine="0"/>
      </w:pPr>
    </w:p>
    <w:p w14:paraId="2263AA16" w14:textId="77777777" w:rsidR="00ED3511" w:rsidRPr="001B4A02" w:rsidRDefault="00000000" w:rsidP="008A4562">
      <w:pPr>
        <w:ind w:left="0" w:firstLine="0"/>
      </w:pPr>
      <w:r w:rsidRPr="001B4A02">
        <w:t>Neklinické údaje získané na základě studií toxicity po jednorázovém podání, toxicity po opakovaném podání</w:t>
      </w:r>
      <w:r w:rsidR="002378E0">
        <w:t xml:space="preserve"> a </w:t>
      </w:r>
      <w:r w:rsidRPr="001B4A02">
        <w:t xml:space="preserve">genotoxicity neodhalily žádné zvláštní riziko pro člověka. </w:t>
      </w:r>
    </w:p>
    <w:p w14:paraId="6480C1C4" w14:textId="77777777" w:rsidR="00ED3511" w:rsidRPr="001B4A02" w:rsidRDefault="00ED3511" w:rsidP="00ED48A3">
      <w:pPr>
        <w:pStyle w:val="EndnoteText"/>
        <w:ind w:left="0" w:firstLine="0"/>
        <w:rPr>
          <w:lang w:val="cs-CZ"/>
        </w:rPr>
      </w:pPr>
    </w:p>
    <w:p w14:paraId="3A9669C0" w14:textId="77777777" w:rsidR="00ED3511" w:rsidRPr="001B4A02" w:rsidRDefault="00000000" w:rsidP="00ED48A3">
      <w:pPr>
        <w:ind w:left="0" w:firstLine="0"/>
      </w:pPr>
      <w:r w:rsidRPr="001B4A02">
        <w:t xml:space="preserve">Ve studii u opic makaka jávského </w:t>
      </w:r>
      <w:r w:rsidRPr="001B4A02">
        <w:rPr>
          <w:i/>
          <w:iCs/>
        </w:rPr>
        <w:t>(Macaca fascicularis)</w:t>
      </w:r>
      <w:r w:rsidRPr="001B4A02">
        <w:t>, kterým byly podávány dávky adalimumabu 0, 30</w:t>
      </w:r>
      <w:r w:rsidR="002378E0">
        <w:t xml:space="preserve"> a </w:t>
      </w:r>
      <w:r w:rsidRPr="001B4A02">
        <w:t>100</w:t>
      </w:r>
      <w:r w:rsidR="00874DE1">
        <w:t> mg</w:t>
      </w:r>
      <w:r w:rsidRPr="001B4A02">
        <w:t>/kg (9</w:t>
      </w:r>
      <w:r w:rsidR="00F62286" w:rsidRPr="001B4A02">
        <w:t>–</w:t>
      </w:r>
      <w:r w:rsidRPr="001B4A02">
        <w:t>17 opic ve skupině) sledující embryofetální toxicitu</w:t>
      </w:r>
      <w:r w:rsidR="002378E0">
        <w:t xml:space="preserve"> a </w:t>
      </w:r>
      <w:r w:rsidRPr="001B4A02">
        <w:t>perinatální vývoj, nebyl zjištěn žádný faktor naznačující poškození plodů</w:t>
      </w:r>
      <w:r w:rsidR="00634C67">
        <w:t xml:space="preserve"> vlivem adalimumabu</w:t>
      </w:r>
      <w:r w:rsidRPr="001B4A02">
        <w:t>. Ani studie karcinogenity, ani standardní hodnocení toxického vlivu na fertilitu</w:t>
      </w:r>
      <w:r w:rsidR="002378E0">
        <w:t xml:space="preserve"> a </w:t>
      </w:r>
      <w:r w:rsidRPr="001B4A02">
        <w:t>studie postnatální toxicity s adalimumabem nebyly prováděny, protože neexistuje vhodný model pro protilátky s omezenou zkříženou reaktivitou na TNF hlodavců</w:t>
      </w:r>
      <w:r w:rsidR="002378E0">
        <w:t xml:space="preserve"> a </w:t>
      </w:r>
      <w:r w:rsidRPr="001B4A02">
        <w:t>na rozvoj neutralizačních protilátek u hlodavců.</w:t>
      </w:r>
    </w:p>
    <w:p w14:paraId="3763B3A8" w14:textId="77777777" w:rsidR="00ED3511" w:rsidRPr="001B4A02" w:rsidRDefault="00ED3511" w:rsidP="00ED48A3">
      <w:pPr>
        <w:ind w:left="0" w:firstLine="0"/>
      </w:pPr>
    </w:p>
    <w:p w14:paraId="06F003C2" w14:textId="77777777" w:rsidR="00ED3511" w:rsidRPr="001B4A02" w:rsidRDefault="00ED3511" w:rsidP="00ED48A3">
      <w:pPr>
        <w:ind w:left="0" w:firstLine="0"/>
      </w:pPr>
    </w:p>
    <w:p w14:paraId="40CCE725" w14:textId="77777777" w:rsidR="00ED3511" w:rsidRPr="001B4A02" w:rsidRDefault="00000000" w:rsidP="00A15B7A">
      <w:pPr>
        <w:keepNext/>
        <w:outlineLvl w:val="0"/>
        <w:rPr>
          <w:b/>
        </w:rPr>
      </w:pPr>
      <w:r w:rsidRPr="001B4A02">
        <w:rPr>
          <w:b/>
        </w:rPr>
        <w:t>6.</w:t>
      </w:r>
      <w:r w:rsidRPr="001B4A02">
        <w:rPr>
          <w:b/>
        </w:rPr>
        <w:tab/>
        <w:t>FARMACEUTICKÉ ÚDAJE</w:t>
      </w:r>
    </w:p>
    <w:p w14:paraId="0FCC3CBA" w14:textId="77777777" w:rsidR="00ED3511" w:rsidRPr="001B4A02" w:rsidRDefault="00ED3511" w:rsidP="00ED48A3">
      <w:pPr>
        <w:keepNext/>
        <w:ind w:left="0" w:firstLine="0"/>
        <w:rPr>
          <w:b/>
        </w:rPr>
      </w:pPr>
    </w:p>
    <w:p w14:paraId="29426D95" w14:textId="77777777" w:rsidR="00ED3511" w:rsidRPr="001B4A02" w:rsidRDefault="00000000" w:rsidP="00A15B7A">
      <w:pPr>
        <w:keepNext/>
        <w:outlineLvl w:val="1"/>
        <w:rPr>
          <w:b/>
        </w:rPr>
      </w:pPr>
      <w:r>
        <w:rPr>
          <w:b/>
        </w:rPr>
        <w:t>6.1</w:t>
      </w:r>
      <w:r>
        <w:rPr>
          <w:b/>
        </w:rPr>
        <w:tab/>
      </w:r>
      <w:r w:rsidRPr="001B4A02">
        <w:rPr>
          <w:b/>
        </w:rPr>
        <w:t>Seznam pomocných látek</w:t>
      </w:r>
    </w:p>
    <w:p w14:paraId="7472C7F0" w14:textId="77777777" w:rsidR="00ED3511" w:rsidRPr="001B4A02" w:rsidRDefault="00ED3511" w:rsidP="00ED48A3">
      <w:pPr>
        <w:keepNext/>
        <w:ind w:left="0" w:firstLine="0"/>
      </w:pPr>
    </w:p>
    <w:p w14:paraId="726D4815" w14:textId="77777777" w:rsidR="00ED3511" w:rsidRPr="001B4A02" w:rsidRDefault="00000000" w:rsidP="00ED48A3">
      <w:pPr>
        <w:pStyle w:val="EndnoteText"/>
        <w:keepNext/>
        <w:ind w:left="0" w:firstLine="0"/>
        <w:rPr>
          <w:lang w:val="cs-CZ"/>
        </w:rPr>
      </w:pPr>
      <w:r w:rsidRPr="001B4A02">
        <w:rPr>
          <w:lang w:val="cs-CZ"/>
        </w:rPr>
        <w:t>Mannitol</w:t>
      </w:r>
    </w:p>
    <w:p w14:paraId="65733E3F" w14:textId="77777777" w:rsidR="00ED3511" w:rsidRPr="001B4A02" w:rsidRDefault="00000000" w:rsidP="00ED48A3">
      <w:pPr>
        <w:keepNext/>
        <w:ind w:left="0" w:firstLine="0"/>
      </w:pPr>
      <w:r w:rsidRPr="001B4A02">
        <w:t>Polysorbát 80</w:t>
      </w:r>
    </w:p>
    <w:p w14:paraId="1127D107" w14:textId="77777777" w:rsidR="00ED3511" w:rsidRPr="001B4A02" w:rsidRDefault="00000000" w:rsidP="008A4562">
      <w:pPr>
        <w:pStyle w:val="EndnoteText"/>
        <w:ind w:left="0" w:firstLine="0"/>
        <w:rPr>
          <w:lang w:val="cs-CZ"/>
        </w:rPr>
      </w:pPr>
      <w:r w:rsidRPr="001B4A02">
        <w:rPr>
          <w:lang w:val="cs-CZ"/>
        </w:rPr>
        <w:t xml:space="preserve">Voda </w:t>
      </w:r>
      <w:r w:rsidR="00202301" w:rsidRPr="001B4A02">
        <w:rPr>
          <w:lang w:val="cs-CZ"/>
        </w:rPr>
        <w:t>pro</w:t>
      </w:r>
      <w:r w:rsidRPr="001B4A02">
        <w:rPr>
          <w:lang w:val="cs-CZ"/>
        </w:rPr>
        <w:t xml:space="preserve"> injekci</w:t>
      </w:r>
    </w:p>
    <w:p w14:paraId="3F8AC0BA" w14:textId="77777777" w:rsidR="00ED3511" w:rsidRPr="001B4A02" w:rsidRDefault="00ED3511" w:rsidP="00ED48A3"/>
    <w:p w14:paraId="4910687A" w14:textId="77777777" w:rsidR="00ED3511" w:rsidRPr="001B4A02" w:rsidRDefault="00000000" w:rsidP="00A15B7A">
      <w:pPr>
        <w:keepNext/>
        <w:outlineLvl w:val="1"/>
        <w:rPr>
          <w:b/>
        </w:rPr>
      </w:pPr>
      <w:r w:rsidRPr="001B4A02">
        <w:rPr>
          <w:b/>
        </w:rPr>
        <w:t>6.2</w:t>
      </w:r>
      <w:r w:rsidRPr="001B4A02">
        <w:rPr>
          <w:b/>
        </w:rPr>
        <w:tab/>
        <w:t>Inkompatibility</w:t>
      </w:r>
    </w:p>
    <w:p w14:paraId="1584E00C" w14:textId="77777777" w:rsidR="00ED3511" w:rsidRPr="001B4A02" w:rsidRDefault="00ED3511" w:rsidP="00A90937">
      <w:pPr>
        <w:keepNext/>
        <w:ind w:left="0" w:firstLine="0"/>
      </w:pPr>
    </w:p>
    <w:p w14:paraId="2593EA07" w14:textId="77777777" w:rsidR="00ED3511" w:rsidRPr="001B4A02" w:rsidRDefault="00000000" w:rsidP="00ED48A3">
      <w:pPr>
        <w:ind w:left="0" w:firstLine="0"/>
      </w:pPr>
      <w:r w:rsidRPr="001B4A02">
        <w:t>Studie kompatibility nejsou k dispozici,</w:t>
      </w:r>
      <w:r w:rsidR="002378E0">
        <w:t xml:space="preserve"> a </w:t>
      </w:r>
      <w:r w:rsidRPr="001B4A02">
        <w:t>proto tento léčivý přípravek nesmí být mísen s </w:t>
      </w:r>
      <w:r w:rsidR="003E27EB">
        <w:t>jinými</w:t>
      </w:r>
      <w:r w:rsidRPr="001B4A02">
        <w:t xml:space="preserve"> léčivými přípravky.</w:t>
      </w:r>
    </w:p>
    <w:p w14:paraId="3685D4D4" w14:textId="77777777" w:rsidR="00ED3511" w:rsidRPr="003E27EB" w:rsidRDefault="00ED3511" w:rsidP="00ED48A3">
      <w:pPr>
        <w:ind w:left="0" w:firstLine="0"/>
        <w:rPr>
          <w:bCs/>
        </w:rPr>
      </w:pPr>
    </w:p>
    <w:p w14:paraId="47428B07" w14:textId="77777777" w:rsidR="00ED3511" w:rsidRPr="001B4A02" w:rsidRDefault="00000000" w:rsidP="00A15B7A">
      <w:pPr>
        <w:keepNext/>
        <w:outlineLvl w:val="1"/>
        <w:rPr>
          <w:b/>
        </w:rPr>
      </w:pPr>
      <w:r w:rsidRPr="001B4A02">
        <w:rPr>
          <w:b/>
        </w:rPr>
        <w:t>6.3</w:t>
      </w:r>
      <w:r w:rsidRPr="001B4A02">
        <w:rPr>
          <w:b/>
        </w:rPr>
        <w:tab/>
        <w:t>Doba použitelnosti</w:t>
      </w:r>
    </w:p>
    <w:p w14:paraId="5EDC665B" w14:textId="77777777" w:rsidR="00ED3511" w:rsidRPr="001B4A02" w:rsidRDefault="00ED3511" w:rsidP="00A90937">
      <w:pPr>
        <w:keepNext/>
        <w:ind w:left="0" w:firstLine="0"/>
      </w:pPr>
    </w:p>
    <w:p w14:paraId="484F9098" w14:textId="77777777" w:rsidR="00ED3511" w:rsidRPr="001B4A02" w:rsidRDefault="00000000" w:rsidP="00ED48A3">
      <w:pPr>
        <w:ind w:left="0" w:firstLine="0"/>
      </w:pPr>
      <w:r w:rsidRPr="001B4A02">
        <w:t>2 roky</w:t>
      </w:r>
    </w:p>
    <w:p w14:paraId="2F6AE166" w14:textId="77777777" w:rsidR="00ED3511" w:rsidRPr="001B4A02" w:rsidRDefault="00ED3511" w:rsidP="00ED48A3">
      <w:pPr>
        <w:ind w:left="0" w:firstLine="0"/>
      </w:pPr>
    </w:p>
    <w:p w14:paraId="3255D927" w14:textId="77777777" w:rsidR="00ED3511" w:rsidRPr="001B4A02" w:rsidRDefault="00000000" w:rsidP="00A15B7A">
      <w:pPr>
        <w:keepNext/>
        <w:outlineLvl w:val="1"/>
        <w:rPr>
          <w:b/>
        </w:rPr>
      </w:pPr>
      <w:r w:rsidRPr="001B4A02">
        <w:rPr>
          <w:b/>
        </w:rPr>
        <w:t>6.4</w:t>
      </w:r>
      <w:r w:rsidRPr="001B4A02">
        <w:rPr>
          <w:b/>
        </w:rPr>
        <w:tab/>
        <w:t>Zvláštní opatření pro uchovávání</w:t>
      </w:r>
    </w:p>
    <w:p w14:paraId="22787181" w14:textId="77777777" w:rsidR="00ED3511" w:rsidRPr="001B4A02" w:rsidRDefault="00ED3511" w:rsidP="00A90937">
      <w:pPr>
        <w:keepNext/>
        <w:ind w:left="0" w:firstLine="0"/>
      </w:pPr>
    </w:p>
    <w:p w14:paraId="01A72E85" w14:textId="77777777" w:rsidR="00ED3511" w:rsidRPr="001B4A02" w:rsidRDefault="00000000" w:rsidP="00ED48A3">
      <w:pPr>
        <w:ind w:left="0" w:firstLine="0"/>
      </w:pPr>
      <w:r w:rsidRPr="001B4A02">
        <w:t>Uchovávejte v chladničce (2</w:t>
      </w:r>
      <w:r w:rsidR="00867D37" w:rsidRPr="001B4A02">
        <w:t xml:space="preserve"> </w:t>
      </w:r>
      <w:r w:rsidRPr="001B4A02">
        <w:rPr>
          <w:rFonts w:ascii="Symbol" w:hAnsi="Symbol"/>
        </w:rPr>
        <w:sym w:font="Symbol" w:char="F0B0"/>
      </w:r>
      <w:r w:rsidRPr="001B4A02">
        <w:t>C</w:t>
      </w:r>
      <w:r w:rsidR="00F62725">
        <w:t xml:space="preserve"> </w:t>
      </w:r>
      <w:r w:rsidR="00F62286" w:rsidRPr="001B4A02">
        <w:t>–</w:t>
      </w:r>
      <w:r w:rsidR="00F62725">
        <w:t xml:space="preserve"> </w:t>
      </w:r>
      <w:r w:rsidRPr="001B4A02">
        <w:t>8</w:t>
      </w:r>
      <w:r w:rsidR="00867D37" w:rsidRPr="001B4A02">
        <w:t xml:space="preserve"> </w:t>
      </w:r>
      <w:r w:rsidRPr="001B4A02">
        <w:t xml:space="preserve">°C). Chraňte před mrazem. Uchovávejte </w:t>
      </w:r>
      <w:r w:rsidR="003D4981" w:rsidRPr="001B4A02">
        <w:t xml:space="preserve">předplněnou </w:t>
      </w:r>
      <w:r w:rsidRPr="001B4A02">
        <w:t>injekční stříkačku</w:t>
      </w:r>
      <w:r w:rsidR="003D4981" w:rsidRPr="001B4A02">
        <w:t xml:space="preserve"> nebo předplněné pero</w:t>
      </w:r>
      <w:r w:rsidRPr="001B4A02">
        <w:t xml:space="preserve"> v krabičce, aby byl </w:t>
      </w:r>
      <w:r w:rsidR="008A4562" w:rsidRPr="001B4A02">
        <w:t>přípravek chráněn před světlem.</w:t>
      </w:r>
    </w:p>
    <w:p w14:paraId="05B050D4" w14:textId="77777777" w:rsidR="00ED3511" w:rsidRPr="001B4A02" w:rsidRDefault="00ED3511" w:rsidP="00ED48A3">
      <w:pPr>
        <w:ind w:left="0" w:firstLine="0"/>
      </w:pPr>
    </w:p>
    <w:p w14:paraId="58198472" w14:textId="77777777" w:rsidR="00ED3511" w:rsidRPr="001B4A02" w:rsidRDefault="00000000" w:rsidP="00ED48A3">
      <w:pPr>
        <w:ind w:left="0" w:firstLine="0"/>
      </w:pPr>
      <w:r w:rsidRPr="001B4A02">
        <w:t xml:space="preserve">Jednotlivé předplněné injekční stříkačky </w:t>
      </w:r>
      <w:r w:rsidR="003D4981" w:rsidRPr="001B4A02">
        <w:t xml:space="preserve">nebo předplněná pera </w:t>
      </w:r>
      <w:r w:rsidRPr="001B4A02">
        <w:t xml:space="preserve">přípravku Humira </w:t>
      </w:r>
      <w:r w:rsidR="009B527A" w:rsidRPr="001B4A02">
        <w:t>mají být uchovávány</w:t>
      </w:r>
      <w:r w:rsidRPr="001B4A02">
        <w:t xml:space="preserve"> při teplotě do </w:t>
      </w:r>
      <w:r w:rsidR="009B527A" w:rsidRPr="001B4A02">
        <w:t xml:space="preserve">maximálně </w:t>
      </w:r>
      <w:r w:rsidRPr="001B4A02">
        <w:t>25</w:t>
      </w:r>
      <w:r w:rsidR="00867D37" w:rsidRPr="001B4A02">
        <w:t xml:space="preserve"> </w:t>
      </w:r>
      <w:r w:rsidRPr="001B4A02">
        <w:t>°C po dobu až 14 dní. Injekční stříkačka</w:t>
      </w:r>
      <w:r w:rsidR="003D4981" w:rsidRPr="001B4A02">
        <w:t xml:space="preserve"> nebo pero</w:t>
      </w:r>
      <w:r w:rsidRPr="001B4A02">
        <w:t xml:space="preserve"> musí být chráněn</w:t>
      </w:r>
      <w:r w:rsidR="003D4981" w:rsidRPr="001B4A02">
        <w:t>y</w:t>
      </w:r>
      <w:r w:rsidRPr="001B4A02">
        <w:t xml:space="preserve"> před světlem</w:t>
      </w:r>
      <w:r w:rsidR="002378E0">
        <w:t xml:space="preserve"> a </w:t>
      </w:r>
      <w:r w:rsidRPr="001B4A02">
        <w:t>znehodnocen</w:t>
      </w:r>
      <w:r w:rsidR="003D4981" w:rsidRPr="001B4A02">
        <w:t>y</w:t>
      </w:r>
      <w:r w:rsidRPr="001B4A02">
        <w:t xml:space="preserve"> pokud </w:t>
      </w:r>
      <w:r w:rsidR="003D4981" w:rsidRPr="001B4A02">
        <w:t>nejsou použity</w:t>
      </w:r>
      <w:r w:rsidRPr="001B4A02">
        <w:t xml:space="preserve"> v průběhu těchto 14 dní.</w:t>
      </w:r>
    </w:p>
    <w:p w14:paraId="65FAEDEC" w14:textId="77777777" w:rsidR="00ED3511" w:rsidRPr="003E27EB" w:rsidRDefault="00ED3511" w:rsidP="00ED48A3">
      <w:pPr>
        <w:ind w:left="0" w:firstLine="0"/>
        <w:rPr>
          <w:bCs/>
        </w:rPr>
      </w:pPr>
    </w:p>
    <w:p w14:paraId="668675E3" w14:textId="77777777" w:rsidR="00ED3511" w:rsidRPr="001B4A02" w:rsidRDefault="00000000" w:rsidP="00A15B7A">
      <w:pPr>
        <w:keepNext/>
        <w:outlineLvl w:val="1"/>
        <w:rPr>
          <w:b/>
        </w:rPr>
      </w:pPr>
      <w:r w:rsidRPr="001B4A02">
        <w:rPr>
          <w:b/>
        </w:rPr>
        <w:t>6.5</w:t>
      </w:r>
      <w:r w:rsidRPr="001B4A02">
        <w:rPr>
          <w:b/>
        </w:rPr>
        <w:tab/>
        <w:t>Druh obalu</w:t>
      </w:r>
      <w:r w:rsidR="002378E0">
        <w:rPr>
          <w:b/>
        </w:rPr>
        <w:t xml:space="preserve"> a </w:t>
      </w:r>
      <w:r w:rsidR="000275CA" w:rsidRPr="001B4A02">
        <w:rPr>
          <w:b/>
        </w:rPr>
        <w:t xml:space="preserve">obsah </w:t>
      </w:r>
      <w:r w:rsidRPr="001B4A02">
        <w:rPr>
          <w:b/>
        </w:rPr>
        <w:t>balení</w:t>
      </w:r>
    </w:p>
    <w:p w14:paraId="4F6568AB" w14:textId="77777777" w:rsidR="00ED3511" w:rsidRPr="001B4A02" w:rsidRDefault="00ED3511" w:rsidP="00A90937">
      <w:pPr>
        <w:keepNext/>
        <w:ind w:left="0" w:firstLine="0"/>
      </w:pPr>
    </w:p>
    <w:p w14:paraId="006D54D9" w14:textId="77777777" w:rsidR="003D4981" w:rsidRPr="001B4A02" w:rsidRDefault="00000000" w:rsidP="00A90937">
      <w:pPr>
        <w:keepNext/>
        <w:ind w:left="0" w:firstLine="0"/>
        <w:rPr>
          <w:u w:val="single"/>
        </w:rPr>
      </w:pPr>
      <w:r w:rsidRPr="001B4A02">
        <w:rPr>
          <w:u w:val="single"/>
        </w:rPr>
        <w:t>Humira 40 mg injekční roztok v předplněné injekční stříkačce</w:t>
      </w:r>
    </w:p>
    <w:p w14:paraId="7D5CAB72" w14:textId="77777777" w:rsidR="00ED3511" w:rsidRPr="001B4A02" w:rsidRDefault="00000000" w:rsidP="00ED48A3">
      <w:pPr>
        <w:ind w:left="0" w:firstLine="0"/>
      </w:pPr>
      <w:r w:rsidRPr="001B4A02">
        <w:t xml:space="preserve">Humira 40 mg injekční roztok v předplněné injekční stříkačce na jedno použití (injekční stříkačka ze skla </w:t>
      </w:r>
      <w:r w:rsidR="00B07F2E">
        <w:t>třídy</w:t>
      </w:r>
      <w:r w:rsidRPr="001B4A02">
        <w:t xml:space="preserve"> I), která dále obsahuje píst (bromobutylová </w:t>
      </w:r>
      <w:r w:rsidR="006E04F0" w:rsidRPr="001B4A02">
        <w:t>pryž</w:t>
      </w:r>
      <w:r w:rsidRPr="001B4A02">
        <w:t>), jehlu</w:t>
      </w:r>
      <w:r w:rsidR="002378E0">
        <w:t xml:space="preserve"> a </w:t>
      </w:r>
      <w:r w:rsidRPr="001B4A02">
        <w:t>kryt jehly (termoplastický elastomer).</w:t>
      </w:r>
    </w:p>
    <w:p w14:paraId="672A3178" w14:textId="77777777" w:rsidR="00ED3511" w:rsidRPr="001B4A02" w:rsidRDefault="00ED3511" w:rsidP="00ED48A3">
      <w:pPr>
        <w:ind w:left="0" w:firstLine="0"/>
      </w:pPr>
    </w:p>
    <w:p w14:paraId="58B8B41D" w14:textId="77777777" w:rsidR="00ED3511" w:rsidRPr="001B4A02" w:rsidRDefault="00000000" w:rsidP="00A90937">
      <w:pPr>
        <w:keepNext/>
        <w:ind w:left="0" w:firstLine="0"/>
      </w:pPr>
      <w:r w:rsidRPr="001B4A02">
        <w:t>Balení:</w:t>
      </w:r>
    </w:p>
    <w:p w14:paraId="40E2AF7A" w14:textId="77777777" w:rsidR="00ED3511" w:rsidRPr="001B4A02" w:rsidRDefault="00000000" w:rsidP="00ED48A3">
      <w:pPr>
        <w:numPr>
          <w:ilvl w:val="0"/>
          <w:numId w:val="28"/>
        </w:numPr>
        <w:tabs>
          <w:tab w:val="clear" w:pos="720"/>
          <w:tab w:val="num" w:pos="540"/>
        </w:tabs>
        <w:ind w:left="567" w:hanging="567"/>
      </w:pPr>
      <w:r w:rsidRPr="001B4A02">
        <w:t>1 předplněná injekční stříkačka (0,</w:t>
      </w:r>
      <w:r w:rsidR="00AF5F02" w:rsidRPr="001B4A02">
        <w:t>4</w:t>
      </w:r>
      <w:r w:rsidRPr="001B4A02">
        <w:t>ml sterilního roztoku) s 1 tamp</w:t>
      </w:r>
      <w:ins w:id="8408" w:author="Abbvie02" w:date="2025-05-16T12:24:00Z">
        <w:r w:rsidR="00576B2A">
          <w:t>o</w:t>
        </w:r>
      </w:ins>
      <w:del w:id="8409" w:author="Abbvie02" w:date="2025-05-16T12:24:00Z">
        <w:r w:rsidRPr="001B4A02">
          <w:delText>ó</w:delText>
        </w:r>
      </w:del>
      <w:r w:rsidRPr="001B4A02">
        <w:t>nem napuštěným alkoholem, v blistru.</w:t>
      </w:r>
    </w:p>
    <w:p w14:paraId="5372A739" w14:textId="77777777" w:rsidR="00ED3511" w:rsidRPr="001B4A02" w:rsidRDefault="00000000" w:rsidP="00ED48A3">
      <w:pPr>
        <w:pStyle w:val="EndnoteText"/>
        <w:numPr>
          <w:ilvl w:val="0"/>
          <w:numId w:val="28"/>
        </w:numPr>
        <w:tabs>
          <w:tab w:val="clear" w:pos="720"/>
          <w:tab w:val="num" w:pos="540"/>
        </w:tabs>
        <w:ind w:left="567" w:hanging="567"/>
        <w:rPr>
          <w:lang w:val="cs-CZ"/>
        </w:rPr>
      </w:pPr>
      <w:r w:rsidRPr="001B4A02">
        <w:rPr>
          <w:lang w:val="cs-CZ"/>
        </w:rPr>
        <w:t>2 předplněné injekční stříkačky (0,</w:t>
      </w:r>
      <w:r w:rsidR="00AF5F02" w:rsidRPr="001B4A02">
        <w:rPr>
          <w:lang w:val="cs-CZ"/>
        </w:rPr>
        <w:t>4</w:t>
      </w:r>
      <w:r w:rsidRPr="001B4A02">
        <w:rPr>
          <w:lang w:val="cs-CZ"/>
        </w:rPr>
        <w:t> ml sterilního roztoku), každá s 1 tamp</w:t>
      </w:r>
      <w:ins w:id="8410" w:author="Abbvie02" w:date="2025-05-16T12:25:00Z">
        <w:r w:rsidR="00576B2A">
          <w:rPr>
            <w:lang w:val="cs-CZ"/>
          </w:rPr>
          <w:t>o</w:t>
        </w:r>
      </w:ins>
      <w:del w:id="8411" w:author="Abbvie02" w:date="2025-05-16T12:25:00Z">
        <w:r w:rsidRPr="001B4A02">
          <w:rPr>
            <w:lang w:val="cs-CZ"/>
          </w:rPr>
          <w:delText>ó</w:delText>
        </w:r>
      </w:del>
      <w:r w:rsidRPr="001B4A02">
        <w:rPr>
          <w:lang w:val="cs-CZ"/>
        </w:rPr>
        <w:t>nem napuštěným alkoholem, v blistru.</w:t>
      </w:r>
    </w:p>
    <w:p w14:paraId="70860F9E" w14:textId="77777777" w:rsidR="00ED3511" w:rsidRPr="001B4A02" w:rsidRDefault="00000000" w:rsidP="00ED48A3">
      <w:pPr>
        <w:numPr>
          <w:ilvl w:val="0"/>
          <w:numId w:val="28"/>
        </w:numPr>
        <w:tabs>
          <w:tab w:val="clear" w:pos="720"/>
          <w:tab w:val="num" w:pos="540"/>
        </w:tabs>
        <w:ind w:left="567" w:hanging="567"/>
      </w:pPr>
      <w:r w:rsidRPr="001B4A02">
        <w:t>4 předplněné injekční stříkačky (0,</w:t>
      </w:r>
      <w:r w:rsidR="00AF5F02" w:rsidRPr="001B4A02">
        <w:t>4</w:t>
      </w:r>
      <w:r w:rsidRPr="001B4A02">
        <w:t> ml sterilního roztoku), každá s 1 tamp</w:t>
      </w:r>
      <w:ins w:id="8412" w:author="Abbvie02" w:date="2025-05-16T12:25:00Z">
        <w:r w:rsidR="00576B2A">
          <w:t>o</w:t>
        </w:r>
      </w:ins>
      <w:del w:id="8413" w:author="Abbvie02" w:date="2025-05-16T12:25:00Z">
        <w:r w:rsidRPr="001B4A02">
          <w:delText>ó</w:delText>
        </w:r>
      </w:del>
      <w:r w:rsidRPr="001B4A02">
        <w:t>nem napuštěným alkoholem, v blistru.</w:t>
      </w:r>
    </w:p>
    <w:p w14:paraId="62121F66" w14:textId="77777777" w:rsidR="00ED3511" w:rsidRPr="001B4A02" w:rsidRDefault="00000000" w:rsidP="00ED48A3">
      <w:pPr>
        <w:numPr>
          <w:ilvl w:val="0"/>
          <w:numId w:val="28"/>
        </w:numPr>
        <w:tabs>
          <w:tab w:val="clear" w:pos="720"/>
          <w:tab w:val="num" w:pos="540"/>
        </w:tabs>
        <w:ind w:left="567" w:hanging="567"/>
      </w:pPr>
      <w:r w:rsidRPr="001B4A02">
        <w:t>6 předplněných injekčních stříkaček (0,</w:t>
      </w:r>
      <w:r w:rsidR="00AF5F02" w:rsidRPr="001B4A02">
        <w:t>4</w:t>
      </w:r>
      <w:r w:rsidRPr="001B4A02">
        <w:t> ml sterilního roztoku), každá s 1 tamp</w:t>
      </w:r>
      <w:ins w:id="8414" w:author="Abbvie02" w:date="2025-05-16T12:25:00Z">
        <w:r w:rsidR="00576B2A">
          <w:t>o</w:t>
        </w:r>
      </w:ins>
      <w:del w:id="8415" w:author="Abbvie02" w:date="2025-05-16T12:25:00Z">
        <w:r w:rsidRPr="001B4A02">
          <w:delText>ó</w:delText>
        </w:r>
      </w:del>
      <w:r w:rsidRPr="001B4A02">
        <w:t>nem napuštěným alkoholem, v blistru.</w:t>
      </w:r>
    </w:p>
    <w:p w14:paraId="6C4B87C2" w14:textId="77777777" w:rsidR="00AC2B34" w:rsidRDefault="00AC2B34" w:rsidP="00ED48A3">
      <w:pPr>
        <w:ind w:left="0" w:firstLine="0"/>
      </w:pPr>
    </w:p>
    <w:p w14:paraId="28A41969" w14:textId="77777777" w:rsidR="003D4981" w:rsidRPr="001B4A02" w:rsidRDefault="00000000" w:rsidP="00A90937">
      <w:pPr>
        <w:keepNext/>
        <w:ind w:left="0" w:firstLine="0"/>
        <w:rPr>
          <w:u w:val="single"/>
        </w:rPr>
      </w:pPr>
      <w:r w:rsidRPr="001B4A02">
        <w:rPr>
          <w:u w:val="single"/>
        </w:rPr>
        <w:t>Humira 40 mg injekční roztok v předplněném peru</w:t>
      </w:r>
    </w:p>
    <w:p w14:paraId="3A6F9568" w14:textId="77777777" w:rsidR="003D4981" w:rsidRPr="001B4A02" w:rsidRDefault="00000000" w:rsidP="00603F6E">
      <w:pPr>
        <w:ind w:left="0" w:firstLine="0"/>
      </w:pPr>
      <w:r w:rsidRPr="001B4A02">
        <w:t xml:space="preserve">Humira 40 mg injekční roztok v předplněném peru na jedno použití, určeném pro použití pacientem, uvnitř kterého se nachází předplněná injekční stříkačka. Stříkačka uvnitř pera je vyrobena ze skla </w:t>
      </w:r>
      <w:r w:rsidR="00B07F2E">
        <w:t>třídy I</w:t>
      </w:r>
      <w:r w:rsidR="002378E0">
        <w:t xml:space="preserve"> a </w:t>
      </w:r>
      <w:r w:rsidRPr="001B4A02">
        <w:t xml:space="preserve">dále obsahuje píst (bromobutylová </w:t>
      </w:r>
      <w:r w:rsidR="007F2490" w:rsidRPr="001B4A02">
        <w:t>pryž</w:t>
      </w:r>
      <w:r w:rsidRPr="001B4A02">
        <w:t>), jehlu</w:t>
      </w:r>
      <w:r w:rsidR="002378E0">
        <w:t xml:space="preserve"> a </w:t>
      </w:r>
      <w:r w:rsidRPr="001B4A02">
        <w:t>kryt jehly (termoplastický elastomer).</w:t>
      </w:r>
    </w:p>
    <w:p w14:paraId="65C37C76" w14:textId="77777777" w:rsidR="003D4981" w:rsidRPr="001B4A02" w:rsidRDefault="003D4981" w:rsidP="00603F6E">
      <w:pPr>
        <w:ind w:left="0" w:firstLine="0"/>
      </w:pPr>
    </w:p>
    <w:p w14:paraId="178AB83A" w14:textId="77777777" w:rsidR="003D4981" w:rsidRPr="001B4A02" w:rsidRDefault="00000000" w:rsidP="00603F6E">
      <w:pPr>
        <w:keepNext/>
        <w:ind w:left="0" w:firstLine="0"/>
      </w:pPr>
      <w:r w:rsidRPr="001B4A02">
        <w:t>Balení:</w:t>
      </w:r>
    </w:p>
    <w:p w14:paraId="3FCA3820" w14:textId="77777777" w:rsidR="003D4981" w:rsidRPr="001B4A02" w:rsidRDefault="00000000" w:rsidP="00ED48A3">
      <w:pPr>
        <w:numPr>
          <w:ilvl w:val="0"/>
          <w:numId w:val="28"/>
        </w:numPr>
        <w:tabs>
          <w:tab w:val="clear" w:pos="720"/>
          <w:tab w:val="num" w:pos="540"/>
        </w:tabs>
        <w:ind w:left="567" w:hanging="567"/>
      </w:pPr>
      <w:r w:rsidRPr="001B4A02">
        <w:t>1 předplněné pero (0,4</w:t>
      </w:r>
      <w:r w:rsidR="00874DE1" w:rsidRPr="00005EC2">
        <w:rPr>
          <w:szCs w:val="22"/>
        </w:rPr>
        <w:t> </w:t>
      </w:r>
      <w:r w:rsidRPr="001B4A02">
        <w:t>ml sterilního roztoku) se 2 tamp</w:t>
      </w:r>
      <w:ins w:id="8416" w:author="Abbvie02" w:date="2025-05-16T12:25:00Z">
        <w:r w:rsidR="00576B2A">
          <w:t>o</w:t>
        </w:r>
      </w:ins>
      <w:del w:id="8417" w:author="Abbvie02" w:date="2025-05-16T12:25:00Z">
        <w:r w:rsidRPr="001B4A02">
          <w:delText>ó</w:delText>
        </w:r>
      </w:del>
      <w:r w:rsidRPr="001B4A02">
        <w:t>ny napuštěnými alkoholem, vše v blistru.</w:t>
      </w:r>
    </w:p>
    <w:p w14:paraId="4BD80029" w14:textId="77777777" w:rsidR="003D4981" w:rsidRPr="001B4A02" w:rsidRDefault="00000000" w:rsidP="00ED48A3">
      <w:pPr>
        <w:pStyle w:val="EndnoteText"/>
        <w:numPr>
          <w:ilvl w:val="0"/>
          <w:numId w:val="28"/>
        </w:numPr>
        <w:tabs>
          <w:tab w:val="clear" w:pos="720"/>
          <w:tab w:val="num" w:pos="540"/>
        </w:tabs>
        <w:ind w:left="567" w:hanging="567"/>
        <w:rPr>
          <w:lang w:val="cs-CZ"/>
        </w:rPr>
      </w:pPr>
      <w:r w:rsidRPr="001B4A02">
        <w:rPr>
          <w:lang w:val="cs-CZ"/>
        </w:rPr>
        <w:t>2 předplněná pera (0,4</w:t>
      </w:r>
      <w:r w:rsidR="00874DE1" w:rsidRPr="00005EC2">
        <w:rPr>
          <w:szCs w:val="22"/>
        </w:rPr>
        <w:t> </w:t>
      </w:r>
      <w:r w:rsidRPr="001B4A02">
        <w:rPr>
          <w:lang w:val="cs-CZ"/>
        </w:rPr>
        <w:t>ml sterilního roztoku), každé s 1 tamp</w:t>
      </w:r>
      <w:ins w:id="8418" w:author="Abbvie02" w:date="2025-05-16T12:25:00Z">
        <w:r w:rsidR="00576B2A">
          <w:rPr>
            <w:lang w:val="cs-CZ"/>
          </w:rPr>
          <w:t>o</w:t>
        </w:r>
      </w:ins>
      <w:del w:id="8419" w:author="Abbvie02" w:date="2025-05-16T12:25:00Z">
        <w:r w:rsidRPr="001B4A02">
          <w:rPr>
            <w:lang w:val="cs-CZ"/>
          </w:rPr>
          <w:delText>ó</w:delText>
        </w:r>
      </w:del>
      <w:r w:rsidRPr="001B4A02">
        <w:rPr>
          <w:lang w:val="cs-CZ"/>
        </w:rPr>
        <w:t>nem napuštěným alkoholem, vše v blistru.</w:t>
      </w:r>
    </w:p>
    <w:p w14:paraId="388B0B3F" w14:textId="77777777" w:rsidR="003D4981" w:rsidRPr="001B4A02" w:rsidRDefault="00000000" w:rsidP="00ED48A3">
      <w:pPr>
        <w:numPr>
          <w:ilvl w:val="0"/>
          <w:numId w:val="28"/>
        </w:numPr>
        <w:tabs>
          <w:tab w:val="clear" w:pos="720"/>
          <w:tab w:val="num" w:pos="540"/>
        </w:tabs>
        <w:ind w:left="567" w:hanging="567"/>
      </w:pPr>
      <w:r w:rsidRPr="001B4A02">
        <w:t>4 předplněná pera (0,4</w:t>
      </w:r>
      <w:r w:rsidR="00874DE1" w:rsidRPr="00005EC2">
        <w:rPr>
          <w:szCs w:val="22"/>
        </w:rPr>
        <w:t> </w:t>
      </w:r>
      <w:r w:rsidRPr="001B4A02">
        <w:t>ml sterilního roztoku), každé s 1 tamp</w:t>
      </w:r>
      <w:ins w:id="8420" w:author="Abbvie02" w:date="2025-05-16T12:25:00Z">
        <w:r w:rsidR="00576B2A">
          <w:t>o</w:t>
        </w:r>
      </w:ins>
      <w:del w:id="8421" w:author="Abbvie02" w:date="2025-05-16T12:25:00Z">
        <w:r w:rsidRPr="001B4A02">
          <w:delText>ó</w:delText>
        </w:r>
      </w:del>
      <w:r w:rsidRPr="001B4A02">
        <w:t>nem napuštěným alkoholem, vše v blistru.</w:t>
      </w:r>
    </w:p>
    <w:p w14:paraId="493B4E5F" w14:textId="77777777" w:rsidR="003D4981" w:rsidRPr="001B4A02" w:rsidRDefault="00000000" w:rsidP="00ED48A3">
      <w:pPr>
        <w:numPr>
          <w:ilvl w:val="0"/>
          <w:numId w:val="28"/>
        </w:numPr>
        <w:tabs>
          <w:tab w:val="clear" w:pos="720"/>
          <w:tab w:val="num" w:pos="540"/>
        </w:tabs>
        <w:ind w:left="567" w:hanging="567"/>
      </w:pPr>
      <w:r w:rsidRPr="001B4A02">
        <w:t>6 předplněných per (0,4</w:t>
      </w:r>
      <w:r w:rsidR="00874DE1" w:rsidRPr="00005EC2">
        <w:rPr>
          <w:szCs w:val="22"/>
        </w:rPr>
        <w:t> </w:t>
      </w:r>
      <w:r w:rsidRPr="001B4A02">
        <w:t>ml sterilního roztoku), každé s 1 tamp</w:t>
      </w:r>
      <w:ins w:id="8422" w:author="Abbvie02" w:date="2025-05-16T12:25:00Z">
        <w:r w:rsidR="00576B2A">
          <w:t>o</w:t>
        </w:r>
      </w:ins>
      <w:del w:id="8423" w:author="Abbvie02" w:date="2025-05-16T12:25:00Z">
        <w:r w:rsidRPr="001B4A02">
          <w:delText>ó</w:delText>
        </w:r>
      </w:del>
      <w:r w:rsidRPr="001B4A02">
        <w:t>nem napuštěným alkoholem, vše v blistru.</w:t>
      </w:r>
    </w:p>
    <w:p w14:paraId="033A6E3A" w14:textId="77777777" w:rsidR="003D4981" w:rsidRPr="001B4A02" w:rsidRDefault="003D4981" w:rsidP="00ED48A3">
      <w:pPr>
        <w:ind w:left="0" w:firstLine="0"/>
      </w:pPr>
    </w:p>
    <w:p w14:paraId="73A36722" w14:textId="77777777" w:rsidR="00ED3511" w:rsidRPr="001B4A02" w:rsidRDefault="00000000" w:rsidP="00603F6E">
      <w:pPr>
        <w:ind w:left="0" w:firstLine="0"/>
      </w:pPr>
      <w:r w:rsidRPr="001B4A02">
        <w:t>Na trhu nemusí být všechny velikosti balení.</w:t>
      </w:r>
    </w:p>
    <w:p w14:paraId="5EB868CE" w14:textId="77777777" w:rsidR="00ED3511" w:rsidRPr="001B4A02" w:rsidRDefault="00ED3511" w:rsidP="00ED48A3">
      <w:pPr>
        <w:ind w:left="0" w:firstLine="0"/>
      </w:pPr>
    </w:p>
    <w:p w14:paraId="63999581" w14:textId="77777777" w:rsidR="00ED3511" w:rsidRPr="001B4A02" w:rsidRDefault="00000000" w:rsidP="00A15B7A">
      <w:pPr>
        <w:keepNext/>
        <w:outlineLvl w:val="1"/>
        <w:rPr>
          <w:b/>
        </w:rPr>
      </w:pPr>
      <w:r w:rsidRPr="001B4A02">
        <w:rPr>
          <w:b/>
        </w:rPr>
        <w:t>6.6</w:t>
      </w:r>
      <w:r w:rsidRPr="001B4A02">
        <w:rPr>
          <w:b/>
        </w:rPr>
        <w:tab/>
        <w:t>Zvláštní opatření pro likvidaci přípravku</w:t>
      </w:r>
    </w:p>
    <w:p w14:paraId="16095A92" w14:textId="77777777" w:rsidR="00ED3511" w:rsidRPr="001B4A02" w:rsidRDefault="00ED3511" w:rsidP="008A4562">
      <w:pPr>
        <w:keepNext/>
        <w:ind w:left="0" w:firstLine="0"/>
      </w:pPr>
    </w:p>
    <w:p w14:paraId="7FE44B4E" w14:textId="77777777" w:rsidR="00ED3511" w:rsidRPr="001B4A02" w:rsidRDefault="00000000" w:rsidP="008A4562">
      <w:pPr>
        <w:ind w:left="0" w:firstLine="0"/>
      </w:pPr>
      <w:r w:rsidRPr="001B4A02">
        <w:t>Všechen nepoužitý přípravek</w:t>
      </w:r>
      <w:r w:rsidR="00D6542D" w:rsidRPr="001B4A02">
        <w:t xml:space="preserve"> nebo odpadní materiál musí být</w:t>
      </w:r>
      <w:r w:rsidRPr="001B4A02">
        <w:t xml:space="preserve"> zlikvidován v souladu s místními požadavky.</w:t>
      </w:r>
    </w:p>
    <w:p w14:paraId="7429FF58" w14:textId="77777777" w:rsidR="00ED3511" w:rsidRPr="001B4A02" w:rsidRDefault="00ED3511" w:rsidP="00ED48A3">
      <w:pPr>
        <w:ind w:left="0" w:firstLine="0"/>
      </w:pPr>
    </w:p>
    <w:p w14:paraId="0A35D7AC" w14:textId="77777777" w:rsidR="00ED3511" w:rsidRPr="001B4A02" w:rsidRDefault="00ED3511" w:rsidP="00ED48A3">
      <w:pPr>
        <w:ind w:left="0" w:firstLine="0"/>
      </w:pPr>
    </w:p>
    <w:p w14:paraId="4E9F88F9" w14:textId="77777777" w:rsidR="00ED3511" w:rsidRPr="001B4A02" w:rsidRDefault="00000000" w:rsidP="00A15B7A">
      <w:pPr>
        <w:keepNext/>
        <w:outlineLvl w:val="0"/>
        <w:rPr>
          <w:b/>
        </w:rPr>
      </w:pPr>
      <w:r w:rsidRPr="001B4A02">
        <w:rPr>
          <w:b/>
        </w:rPr>
        <w:t>7.</w:t>
      </w:r>
      <w:r w:rsidRPr="001B4A02">
        <w:rPr>
          <w:b/>
        </w:rPr>
        <w:tab/>
        <w:t>DRŽITEL ROZHODNUTÍ O REGISTRACI</w:t>
      </w:r>
    </w:p>
    <w:p w14:paraId="595687BB" w14:textId="77777777" w:rsidR="00ED3511" w:rsidRPr="001B4A02" w:rsidRDefault="00ED3511" w:rsidP="00ED48A3">
      <w:pPr>
        <w:keepNext/>
        <w:ind w:left="0" w:firstLine="0"/>
      </w:pPr>
    </w:p>
    <w:p w14:paraId="67A1F184" w14:textId="77777777" w:rsidR="00556E01" w:rsidRPr="001B4A02" w:rsidRDefault="00000000" w:rsidP="00556E01">
      <w:pPr>
        <w:keepNext/>
        <w:autoSpaceDE w:val="0"/>
        <w:autoSpaceDN w:val="0"/>
        <w:adjustRightInd w:val="0"/>
        <w:spacing w:line="240" w:lineRule="atLeast"/>
        <w:rPr>
          <w:szCs w:val="22"/>
          <w:lang w:eastAsia="en-GB"/>
        </w:rPr>
      </w:pPr>
      <w:r w:rsidRPr="001B4A02">
        <w:rPr>
          <w:szCs w:val="22"/>
          <w:lang w:eastAsia="en-GB"/>
        </w:rPr>
        <w:t>AbbVie Deutschland GmbH &amp; Co. KG</w:t>
      </w:r>
    </w:p>
    <w:p w14:paraId="4ABB33F6" w14:textId="77777777" w:rsidR="00556E01" w:rsidRPr="001B4A02" w:rsidRDefault="00000000" w:rsidP="00556E01">
      <w:pPr>
        <w:keepNext/>
        <w:autoSpaceDE w:val="0"/>
        <w:autoSpaceDN w:val="0"/>
        <w:adjustRightInd w:val="0"/>
        <w:spacing w:line="240" w:lineRule="atLeast"/>
        <w:rPr>
          <w:szCs w:val="22"/>
          <w:lang w:eastAsia="en-GB"/>
        </w:rPr>
      </w:pPr>
      <w:r w:rsidRPr="001B4A02">
        <w:rPr>
          <w:szCs w:val="22"/>
          <w:lang w:eastAsia="en-GB"/>
        </w:rPr>
        <w:t>Knollstrasse</w:t>
      </w:r>
    </w:p>
    <w:p w14:paraId="0AC54A7F" w14:textId="77777777" w:rsidR="00556E01" w:rsidRPr="001B4A02" w:rsidRDefault="00000000" w:rsidP="00556E01">
      <w:pPr>
        <w:keepNext/>
        <w:autoSpaceDE w:val="0"/>
        <w:autoSpaceDN w:val="0"/>
        <w:adjustRightInd w:val="0"/>
        <w:spacing w:line="240" w:lineRule="atLeast"/>
        <w:rPr>
          <w:szCs w:val="22"/>
          <w:lang w:eastAsia="en-GB"/>
        </w:rPr>
      </w:pPr>
      <w:r w:rsidRPr="001B4A02">
        <w:rPr>
          <w:szCs w:val="22"/>
          <w:lang w:eastAsia="en-GB"/>
        </w:rPr>
        <w:t>67061 Ludwigshafen</w:t>
      </w:r>
    </w:p>
    <w:p w14:paraId="4DC7B3B7" w14:textId="77777777" w:rsidR="00ED3511" w:rsidRPr="001B4A02" w:rsidRDefault="00000000" w:rsidP="008A4562">
      <w:pPr>
        <w:ind w:left="0" w:firstLine="0"/>
      </w:pPr>
      <w:r w:rsidRPr="001B4A02">
        <w:rPr>
          <w:szCs w:val="22"/>
          <w:lang w:eastAsia="en-GB"/>
        </w:rPr>
        <w:t>Německo</w:t>
      </w:r>
    </w:p>
    <w:p w14:paraId="01465B8F" w14:textId="77777777" w:rsidR="00ED3511" w:rsidRPr="001B4A02" w:rsidRDefault="00ED3511" w:rsidP="00ED48A3">
      <w:pPr>
        <w:ind w:left="0" w:firstLine="0"/>
      </w:pPr>
    </w:p>
    <w:p w14:paraId="03333BE5" w14:textId="77777777" w:rsidR="00ED3511" w:rsidRPr="001B4A02" w:rsidRDefault="00ED3511" w:rsidP="00ED48A3">
      <w:pPr>
        <w:ind w:left="0" w:firstLine="0"/>
      </w:pPr>
    </w:p>
    <w:p w14:paraId="5F8D637B" w14:textId="77777777" w:rsidR="00ED3511" w:rsidRPr="001B4A02" w:rsidRDefault="00000000" w:rsidP="00A15B7A">
      <w:pPr>
        <w:keepNext/>
        <w:outlineLvl w:val="0"/>
        <w:rPr>
          <w:b/>
        </w:rPr>
      </w:pPr>
      <w:r w:rsidRPr="001B4A02">
        <w:rPr>
          <w:b/>
        </w:rPr>
        <w:t>8.</w:t>
      </w:r>
      <w:r w:rsidRPr="001B4A02">
        <w:rPr>
          <w:b/>
        </w:rPr>
        <w:tab/>
        <w:t>REGISTRAČNÍ ČÍSL</w:t>
      </w:r>
      <w:r w:rsidR="00A90937" w:rsidRPr="001B4A02">
        <w:rPr>
          <w:b/>
        </w:rPr>
        <w:t>A</w:t>
      </w:r>
    </w:p>
    <w:p w14:paraId="4E2E603A" w14:textId="77777777" w:rsidR="00ED3511" w:rsidRPr="001B4A02" w:rsidRDefault="00ED3511" w:rsidP="00A90937">
      <w:pPr>
        <w:keepNext/>
        <w:ind w:left="0" w:firstLine="0"/>
      </w:pPr>
    </w:p>
    <w:p w14:paraId="642E69EF" w14:textId="77777777" w:rsidR="003D4981" w:rsidRPr="001B4A02" w:rsidRDefault="00000000" w:rsidP="00A90937">
      <w:pPr>
        <w:keepNext/>
        <w:ind w:left="0" w:firstLine="0"/>
        <w:rPr>
          <w:bCs/>
          <w:u w:val="single"/>
        </w:rPr>
      </w:pPr>
      <w:r w:rsidRPr="001B4A02">
        <w:rPr>
          <w:u w:val="single"/>
        </w:rPr>
        <w:t>Humira 40 mg injekční roztok v předplněné injekční stříkačce</w:t>
      </w:r>
    </w:p>
    <w:p w14:paraId="63A2DFFF" w14:textId="77777777" w:rsidR="00ED3511" w:rsidRPr="001B4A02" w:rsidRDefault="00000000" w:rsidP="00ED48A3">
      <w:pPr>
        <w:ind w:left="0" w:firstLine="0"/>
        <w:rPr>
          <w:bCs/>
        </w:rPr>
      </w:pPr>
      <w:r w:rsidRPr="001B4A02">
        <w:rPr>
          <w:bCs/>
        </w:rPr>
        <w:t>EU/1/03/256/</w:t>
      </w:r>
      <w:r w:rsidR="00E6522C" w:rsidRPr="001B4A02">
        <w:rPr>
          <w:bCs/>
        </w:rPr>
        <w:t>012</w:t>
      </w:r>
    </w:p>
    <w:p w14:paraId="7A78223C" w14:textId="77777777" w:rsidR="00ED3511" w:rsidRPr="001B4A02" w:rsidRDefault="00000000" w:rsidP="00ED48A3">
      <w:pPr>
        <w:ind w:left="0" w:firstLine="0"/>
        <w:rPr>
          <w:bCs/>
        </w:rPr>
      </w:pPr>
      <w:r w:rsidRPr="001B4A02">
        <w:rPr>
          <w:bCs/>
        </w:rPr>
        <w:t>EU/1/03/256/</w:t>
      </w:r>
      <w:r w:rsidR="00E6522C" w:rsidRPr="001B4A02">
        <w:rPr>
          <w:bCs/>
        </w:rPr>
        <w:t>013</w:t>
      </w:r>
    </w:p>
    <w:p w14:paraId="6DC64783" w14:textId="77777777" w:rsidR="00ED3511" w:rsidRPr="001B4A02" w:rsidRDefault="00000000" w:rsidP="00ED48A3">
      <w:pPr>
        <w:ind w:left="0" w:firstLine="0"/>
        <w:rPr>
          <w:bCs/>
        </w:rPr>
      </w:pPr>
      <w:r w:rsidRPr="001B4A02">
        <w:rPr>
          <w:bCs/>
        </w:rPr>
        <w:t>EU/1/03/256/</w:t>
      </w:r>
      <w:r w:rsidR="00E6522C" w:rsidRPr="001B4A02">
        <w:rPr>
          <w:bCs/>
        </w:rPr>
        <w:t>014</w:t>
      </w:r>
    </w:p>
    <w:p w14:paraId="6AB26632" w14:textId="77777777" w:rsidR="00ED3511" w:rsidRPr="001B4A02" w:rsidRDefault="00000000" w:rsidP="00ED48A3">
      <w:pPr>
        <w:ind w:left="0" w:firstLine="0"/>
        <w:rPr>
          <w:bCs/>
        </w:rPr>
      </w:pPr>
      <w:r w:rsidRPr="001B4A02">
        <w:rPr>
          <w:bCs/>
        </w:rPr>
        <w:t>EU/1/03/256/</w:t>
      </w:r>
      <w:r w:rsidR="00E6522C" w:rsidRPr="001B4A02">
        <w:rPr>
          <w:bCs/>
        </w:rPr>
        <w:t>015</w:t>
      </w:r>
    </w:p>
    <w:p w14:paraId="590784DF" w14:textId="77777777" w:rsidR="00B4460E" w:rsidRDefault="00B4460E" w:rsidP="00B4460E">
      <w:pPr>
        <w:ind w:left="0" w:firstLine="0"/>
        <w:rPr>
          <w:u w:val="single"/>
        </w:rPr>
      </w:pPr>
    </w:p>
    <w:p w14:paraId="108150C2" w14:textId="77777777" w:rsidR="003D4981" w:rsidRPr="001B4A02" w:rsidRDefault="00000000" w:rsidP="00A90937">
      <w:pPr>
        <w:keepNext/>
        <w:ind w:left="0" w:firstLine="0"/>
        <w:rPr>
          <w:u w:val="single"/>
        </w:rPr>
      </w:pPr>
      <w:r w:rsidRPr="001B4A02">
        <w:rPr>
          <w:u w:val="single"/>
        </w:rPr>
        <w:t>Humira 40 mg injekční roztok v předplněném peru</w:t>
      </w:r>
    </w:p>
    <w:p w14:paraId="4C03CB9D" w14:textId="77777777" w:rsidR="003D4981" w:rsidRPr="001B4A02" w:rsidRDefault="00000000" w:rsidP="00ED48A3">
      <w:pPr>
        <w:pStyle w:val="EMEANormal"/>
        <w:rPr>
          <w:lang w:val="cs-CZ"/>
        </w:rPr>
      </w:pPr>
      <w:r w:rsidRPr="001B4A02">
        <w:rPr>
          <w:lang w:val="cs-CZ"/>
        </w:rPr>
        <w:t>EU/1/03/256/016</w:t>
      </w:r>
    </w:p>
    <w:p w14:paraId="48A71529" w14:textId="77777777" w:rsidR="003D4981" w:rsidRPr="001B4A02" w:rsidRDefault="00000000" w:rsidP="00ED48A3">
      <w:pPr>
        <w:pStyle w:val="EMEANormal"/>
        <w:rPr>
          <w:lang w:val="cs-CZ"/>
        </w:rPr>
      </w:pPr>
      <w:r w:rsidRPr="001B4A02">
        <w:rPr>
          <w:lang w:val="cs-CZ"/>
        </w:rPr>
        <w:t>EU/1/03/256/017</w:t>
      </w:r>
    </w:p>
    <w:p w14:paraId="4CE3988A" w14:textId="77777777" w:rsidR="003D4981" w:rsidRPr="001B4A02" w:rsidRDefault="00000000" w:rsidP="00ED48A3">
      <w:pPr>
        <w:pStyle w:val="EMEANormal"/>
        <w:rPr>
          <w:lang w:val="cs-CZ"/>
        </w:rPr>
      </w:pPr>
      <w:r w:rsidRPr="001B4A02">
        <w:rPr>
          <w:lang w:val="cs-CZ"/>
        </w:rPr>
        <w:t>EU/1/03/256/018</w:t>
      </w:r>
    </w:p>
    <w:p w14:paraId="525FCD62" w14:textId="77777777" w:rsidR="003D4981" w:rsidRPr="001B4A02" w:rsidRDefault="00000000" w:rsidP="00ED48A3">
      <w:pPr>
        <w:pStyle w:val="EMEANormal"/>
        <w:rPr>
          <w:lang w:val="cs-CZ"/>
        </w:rPr>
      </w:pPr>
      <w:r w:rsidRPr="001B4A02">
        <w:rPr>
          <w:lang w:val="cs-CZ"/>
        </w:rPr>
        <w:t>EU/1/03/256/019</w:t>
      </w:r>
    </w:p>
    <w:p w14:paraId="40570DFB" w14:textId="77777777" w:rsidR="00ED3511" w:rsidRPr="001B4A02" w:rsidRDefault="00ED3511" w:rsidP="00ED48A3">
      <w:pPr>
        <w:ind w:left="0" w:firstLine="0"/>
      </w:pPr>
    </w:p>
    <w:p w14:paraId="66C026CE" w14:textId="77777777" w:rsidR="00ED3511" w:rsidRPr="001B4A02" w:rsidRDefault="00ED3511" w:rsidP="00ED48A3">
      <w:pPr>
        <w:ind w:left="0" w:firstLine="0"/>
      </w:pPr>
    </w:p>
    <w:p w14:paraId="749D97C1" w14:textId="77777777" w:rsidR="00ED3511" w:rsidRPr="001B4A02" w:rsidRDefault="00000000" w:rsidP="00A15B7A">
      <w:pPr>
        <w:keepNext/>
        <w:outlineLvl w:val="0"/>
        <w:rPr>
          <w:b/>
        </w:rPr>
      </w:pPr>
      <w:r w:rsidRPr="001B4A02">
        <w:rPr>
          <w:b/>
        </w:rPr>
        <w:t>9.</w:t>
      </w:r>
      <w:r w:rsidRPr="001B4A02">
        <w:rPr>
          <w:b/>
        </w:rPr>
        <w:tab/>
        <w:t>DATUM PRVNÍ REGISTRACE/PRODLOUŽENÍ REGISTRACE</w:t>
      </w:r>
    </w:p>
    <w:p w14:paraId="5CD3CF08" w14:textId="77777777" w:rsidR="00ED3511" w:rsidRPr="001B4A02" w:rsidRDefault="00ED3511" w:rsidP="00A90937">
      <w:pPr>
        <w:keepNext/>
        <w:ind w:left="0" w:firstLine="0"/>
      </w:pPr>
    </w:p>
    <w:p w14:paraId="44BA52ED" w14:textId="77777777" w:rsidR="00ED3511" w:rsidRPr="001B4A02" w:rsidRDefault="00000000" w:rsidP="00ED48A3">
      <w:pPr>
        <w:textAlignment w:val="top"/>
        <w:rPr>
          <w:szCs w:val="22"/>
        </w:rPr>
      </w:pPr>
      <w:r w:rsidRPr="001B4A02">
        <w:rPr>
          <w:szCs w:val="22"/>
        </w:rPr>
        <w:t>Datum první registrace: 8. z</w:t>
      </w:r>
      <w:r w:rsidRPr="001B4A02">
        <w:rPr>
          <w:rStyle w:val="hps"/>
          <w:szCs w:val="22"/>
        </w:rPr>
        <w:t>áří 2003</w:t>
      </w:r>
    </w:p>
    <w:p w14:paraId="3B0C32F4" w14:textId="77777777" w:rsidR="00ED3511" w:rsidRPr="001B4A02" w:rsidRDefault="00000000" w:rsidP="00ED48A3">
      <w:pPr>
        <w:textAlignment w:val="top"/>
        <w:rPr>
          <w:szCs w:val="22"/>
        </w:rPr>
      </w:pPr>
      <w:r w:rsidRPr="001B4A02">
        <w:rPr>
          <w:szCs w:val="22"/>
        </w:rPr>
        <w:t>Datum posledního prodloužení</w:t>
      </w:r>
      <w:r w:rsidR="0043226A" w:rsidRPr="0043226A">
        <w:rPr>
          <w:szCs w:val="22"/>
        </w:rPr>
        <w:t xml:space="preserve"> registrace</w:t>
      </w:r>
      <w:r w:rsidRPr="001B4A02">
        <w:rPr>
          <w:szCs w:val="22"/>
        </w:rPr>
        <w:t xml:space="preserve">: 8. </w:t>
      </w:r>
      <w:r w:rsidRPr="001B4A02">
        <w:rPr>
          <w:rStyle w:val="hps"/>
          <w:szCs w:val="22"/>
        </w:rPr>
        <w:t>září 2008</w:t>
      </w:r>
    </w:p>
    <w:p w14:paraId="5E0B80D9" w14:textId="77777777" w:rsidR="00ED3511" w:rsidRPr="001B4A02" w:rsidRDefault="00ED3511" w:rsidP="00ED48A3">
      <w:pPr>
        <w:ind w:left="0" w:firstLine="0"/>
      </w:pPr>
    </w:p>
    <w:p w14:paraId="7A5AE63C" w14:textId="77777777" w:rsidR="00ED3511" w:rsidRPr="001B4A02" w:rsidRDefault="00ED3511" w:rsidP="00ED48A3">
      <w:pPr>
        <w:ind w:left="0" w:firstLine="0"/>
      </w:pPr>
    </w:p>
    <w:p w14:paraId="0C3F9119" w14:textId="77777777" w:rsidR="00ED3511" w:rsidRPr="001B4A02" w:rsidRDefault="00000000" w:rsidP="00A15B7A">
      <w:pPr>
        <w:pStyle w:val="EndnoteText"/>
        <w:keepNext/>
        <w:outlineLvl w:val="0"/>
        <w:rPr>
          <w:b/>
          <w:lang w:val="cs-CZ"/>
        </w:rPr>
      </w:pPr>
      <w:r w:rsidRPr="001B4A02">
        <w:rPr>
          <w:b/>
          <w:lang w:val="cs-CZ"/>
        </w:rPr>
        <w:t>10.</w:t>
      </w:r>
      <w:r w:rsidRPr="001B4A02">
        <w:rPr>
          <w:b/>
          <w:lang w:val="cs-CZ"/>
        </w:rPr>
        <w:tab/>
        <w:t>DATUM REVIZE TEXTU</w:t>
      </w:r>
    </w:p>
    <w:p w14:paraId="7DAE24F3" w14:textId="77777777" w:rsidR="00ED3511" w:rsidRPr="001B4A02" w:rsidRDefault="00ED3511" w:rsidP="00ED48A3">
      <w:pPr>
        <w:keepNext/>
        <w:ind w:left="0" w:firstLine="0"/>
      </w:pPr>
    </w:p>
    <w:p w14:paraId="1CCC7950" w14:textId="77777777" w:rsidR="00ED3511" w:rsidRDefault="00000000" w:rsidP="004771E5">
      <w:pPr>
        <w:ind w:left="0" w:firstLine="0"/>
        <w:rPr>
          <w:ins w:id="8424" w:author="AbbVie1" w:date="2025-05-13T09:53:00Z"/>
        </w:rPr>
      </w:pPr>
      <w:r w:rsidRPr="001B4A02">
        <w:t>Podrobné informace o</w:t>
      </w:r>
      <w:r w:rsidR="00923691" w:rsidRPr="001B4A02">
        <w:t> </w:t>
      </w:r>
      <w:r w:rsidRPr="001B4A02">
        <w:t xml:space="preserve">tomto léčivém přípravku jsou k dispozici na webových stránkách Evropské agentury pro léčivé přípravky </w:t>
      </w:r>
      <w:ins w:id="8425" w:author="AbbVie1" w:date="2025-05-13T09:53:00Z">
        <w:r w:rsidR="002E01CC">
          <w:fldChar w:fldCharType="begin"/>
        </w:r>
        <w:r w:rsidR="002E01CC">
          <w:instrText>HYPERLINK "</w:instrText>
        </w:r>
      </w:ins>
      <w:r w:rsidR="002E01CC" w:rsidRPr="001B4A02">
        <w:instrText>http</w:instrText>
      </w:r>
      <w:ins w:id="8426" w:author="AbbVie1" w:date="2025-05-13T09:53:00Z">
        <w:r w:rsidR="002E01CC">
          <w:instrText>s</w:instrText>
        </w:r>
      </w:ins>
      <w:r w:rsidR="002E01CC" w:rsidRPr="001B4A02">
        <w:instrText>://www.ema.europa.eu</w:instrText>
      </w:r>
      <w:ins w:id="8427" w:author="AbbVie1" w:date="2025-05-13T09:53:00Z">
        <w:r w:rsidR="002E01CC">
          <w:instrText>"</w:instrText>
        </w:r>
        <w:r w:rsidR="002E01CC">
          <w:fldChar w:fldCharType="separate"/>
        </w:r>
      </w:ins>
      <w:r w:rsidR="002E01CC" w:rsidRPr="004C0040">
        <w:rPr>
          <w:rStyle w:val="Hyperlink"/>
        </w:rPr>
        <w:t>http</w:t>
      </w:r>
      <w:ins w:id="8428" w:author="AbbVie1" w:date="2025-05-13T09:53:00Z">
        <w:r w:rsidR="002E01CC" w:rsidRPr="004C0040">
          <w:rPr>
            <w:rStyle w:val="Hyperlink"/>
          </w:rPr>
          <w:t>s</w:t>
        </w:r>
      </w:ins>
      <w:r w:rsidR="002E01CC" w:rsidRPr="004C0040">
        <w:rPr>
          <w:rStyle w:val="Hyperlink"/>
        </w:rPr>
        <w:t>://www.ema.europa.eu</w:t>
      </w:r>
      <w:ins w:id="8429" w:author="AbbVie1" w:date="2025-05-13T09:53:00Z">
        <w:r w:rsidR="002E01CC">
          <w:fldChar w:fldCharType="end"/>
        </w:r>
      </w:ins>
    </w:p>
    <w:p w14:paraId="6B56AF6D" w14:textId="77777777" w:rsidR="002E01CC" w:rsidRPr="001B4A02" w:rsidRDefault="002E01CC" w:rsidP="004771E5">
      <w:pPr>
        <w:ind w:left="0" w:firstLine="0"/>
        <w:rPr>
          <w:del w:id="8430" w:author="AbbVie1" w:date="2025-05-13T09:54:00Z"/>
        </w:rPr>
      </w:pPr>
    </w:p>
    <w:p w14:paraId="7794DFBB" w14:textId="77777777" w:rsidR="001B6017" w:rsidRPr="001B4A02" w:rsidRDefault="001B6017">
      <w:pPr>
        <w:ind w:left="0" w:firstLine="0"/>
        <w:rPr>
          <w:del w:id="8431" w:author="AbbVie1" w:date="2025-05-13T09:54:00Z"/>
        </w:rPr>
        <w:pPrChange w:id="8432" w:author="AbbVie1" w:date="2025-05-13T09:53:00Z">
          <w:pPr/>
        </w:pPrChange>
      </w:pPr>
    </w:p>
    <w:p w14:paraId="255801F2" w14:textId="77777777" w:rsidR="00E7724C" w:rsidRPr="001B4A02" w:rsidRDefault="00000000" w:rsidP="00ED48A3">
      <w:pPr>
        <w:ind w:left="0" w:firstLine="0"/>
      </w:pPr>
      <w:r w:rsidRPr="001B4A02">
        <w:rPr>
          <w:b/>
        </w:rPr>
        <w:br w:type="page"/>
      </w:r>
    </w:p>
    <w:p w14:paraId="3C4F61E1" w14:textId="77777777" w:rsidR="00E7724C" w:rsidRPr="001B4A02" w:rsidRDefault="00000000" w:rsidP="0050645A">
      <w:pPr>
        <w:pStyle w:val="EMEAHeading1Para1"/>
        <w:keepNext/>
        <w:tabs>
          <w:tab w:val="clear" w:pos="562"/>
        </w:tabs>
        <w:spacing w:afterLines="0"/>
        <w:ind w:left="567" w:hanging="567"/>
        <w:rPr>
          <w:rFonts w:ascii="Times New Roman" w:hAnsi="Times New Roman"/>
          <w:lang w:val="cs-CZ"/>
        </w:rPr>
      </w:pPr>
      <w:r w:rsidRPr="001B4A02">
        <w:rPr>
          <w:rFonts w:ascii="Times New Roman" w:hAnsi="Times New Roman"/>
          <w:lang w:val="cs-CZ"/>
        </w:rPr>
        <w:t>1.</w:t>
      </w:r>
      <w:r w:rsidRPr="001B4A02">
        <w:rPr>
          <w:rFonts w:ascii="Times New Roman" w:hAnsi="Times New Roman"/>
          <w:lang w:val="cs-CZ"/>
        </w:rPr>
        <w:tab/>
        <w:t>NÁZEV PŘÍPRAVKU</w:t>
      </w:r>
    </w:p>
    <w:p w14:paraId="4C6ABAB9" w14:textId="77777777" w:rsidR="00E7724C" w:rsidRPr="001B4A02" w:rsidRDefault="00E7724C" w:rsidP="00F31107">
      <w:pPr>
        <w:pStyle w:val="EMEANormal"/>
        <w:keepNext/>
        <w:rPr>
          <w:lang w:val="cs-CZ"/>
        </w:rPr>
      </w:pPr>
    </w:p>
    <w:p w14:paraId="358A17B6" w14:textId="77777777" w:rsidR="00E7724C" w:rsidRPr="00F62725" w:rsidRDefault="00000000" w:rsidP="00ED48A3">
      <w:r w:rsidRPr="001B4A02">
        <w:t xml:space="preserve">Humira 80 mg injekční </w:t>
      </w:r>
      <w:r w:rsidRPr="00F62725">
        <w:t>roztok v předplněné injekční stříkačce</w:t>
      </w:r>
    </w:p>
    <w:p w14:paraId="0DBC660E" w14:textId="77777777" w:rsidR="00D0678B" w:rsidRPr="001B4A02" w:rsidRDefault="00000000" w:rsidP="00ED48A3">
      <w:r w:rsidRPr="00F62725">
        <w:t>Humira 80</w:t>
      </w:r>
      <w:r w:rsidR="00584B90" w:rsidRPr="00F62725">
        <w:t> </w:t>
      </w:r>
      <w:r w:rsidRPr="00F62725">
        <w:t>mg injekční roztok v předplněném peru</w:t>
      </w:r>
    </w:p>
    <w:p w14:paraId="0FA3DEC3" w14:textId="77777777" w:rsidR="00E7724C" w:rsidRPr="001B4A02" w:rsidRDefault="00E7724C" w:rsidP="00ED48A3"/>
    <w:p w14:paraId="1CA590BF" w14:textId="77777777" w:rsidR="00E7724C" w:rsidRPr="001B4A02" w:rsidRDefault="00E7724C" w:rsidP="00ED48A3"/>
    <w:p w14:paraId="16AEA1D1" w14:textId="77777777" w:rsidR="00E7724C" w:rsidRPr="001B4A02" w:rsidRDefault="00000000" w:rsidP="0009084E">
      <w:pPr>
        <w:keepNext/>
        <w:outlineLvl w:val="0"/>
        <w:rPr>
          <w:b/>
        </w:rPr>
      </w:pPr>
      <w:r w:rsidRPr="001B4A02">
        <w:rPr>
          <w:b/>
        </w:rPr>
        <w:t>2.</w:t>
      </w:r>
      <w:r w:rsidRPr="001B4A02">
        <w:rPr>
          <w:b/>
        </w:rPr>
        <w:tab/>
        <w:t>KVALITATIVNÍ A KVANTITATIVNÍ SLOŽENÍ</w:t>
      </w:r>
    </w:p>
    <w:p w14:paraId="44828BC5" w14:textId="77777777" w:rsidR="00E7724C" w:rsidRPr="001B4A02" w:rsidRDefault="00E7724C" w:rsidP="00F31107">
      <w:pPr>
        <w:pStyle w:val="EMEANormal"/>
        <w:keepNext/>
        <w:rPr>
          <w:lang w:val="cs-CZ"/>
        </w:rPr>
      </w:pPr>
    </w:p>
    <w:p w14:paraId="5F38CAEC" w14:textId="77777777" w:rsidR="008D6442" w:rsidRPr="00874DE1" w:rsidRDefault="00000000" w:rsidP="00F31107">
      <w:pPr>
        <w:keepNext/>
        <w:autoSpaceDE w:val="0"/>
        <w:autoSpaceDN w:val="0"/>
        <w:adjustRightInd w:val="0"/>
        <w:rPr>
          <w:u w:val="single"/>
        </w:rPr>
      </w:pPr>
      <w:r w:rsidRPr="00874DE1">
        <w:rPr>
          <w:u w:val="single"/>
        </w:rPr>
        <w:t>Humira 80</w:t>
      </w:r>
      <w:r w:rsidR="00874DE1" w:rsidRPr="00874DE1">
        <w:rPr>
          <w:szCs w:val="22"/>
          <w:u w:val="single"/>
        </w:rPr>
        <w:t> </w:t>
      </w:r>
      <w:r w:rsidRPr="00874DE1">
        <w:rPr>
          <w:u w:val="single"/>
        </w:rPr>
        <w:t>mg injekční roztok v předplněné injekční stříkačce</w:t>
      </w:r>
    </w:p>
    <w:p w14:paraId="20CDAF14" w14:textId="77777777" w:rsidR="00E7724C" w:rsidRPr="001B4A02" w:rsidRDefault="00000000" w:rsidP="00ED48A3">
      <w:pPr>
        <w:autoSpaceDE w:val="0"/>
        <w:autoSpaceDN w:val="0"/>
        <w:adjustRightInd w:val="0"/>
        <w:ind w:left="0" w:firstLine="0"/>
      </w:pPr>
      <w:r w:rsidRPr="001B4A02">
        <w:t xml:space="preserve">Jedna předplněná injekční stříkačka </w:t>
      </w:r>
      <w:r w:rsidR="00A64BD8" w:rsidRPr="001B4A02">
        <w:t xml:space="preserve">na jedno použití </w:t>
      </w:r>
      <w:r w:rsidRPr="001B4A02">
        <w:t>o</w:t>
      </w:r>
      <w:r w:rsidR="00923691" w:rsidRPr="001B4A02">
        <w:t> </w:t>
      </w:r>
      <w:r w:rsidRPr="001B4A02">
        <w:t>objemu 0,8</w:t>
      </w:r>
      <w:r w:rsidR="00584B90" w:rsidRPr="001B4A02">
        <w:t> </w:t>
      </w:r>
      <w:r w:rsidRPr="001B4A02">
        <w:t xml:space="preserve">ml obsahuje </w:t>
      </w:r>
      <w:del w:id="8433" w:author="Abbvie02" w:date="2025-05-16T11:44:00Z">
        <w:r w:rsidRPr="001B4A02">
          <w:delText xml:space="preserve">adalimumabum </w:delText>
        </w:r>
      </w:del>
      <w:r w:rsidRPr="001B4A02">
        <w:t>80</w:t>
      </w:r>
      <w:r w:rsidR="00584B90" w:rsidRPr="001B4A02">
        <w:t> </w:t>
      </w:r>
      <w:r w:rsidRPr="001B4A02">
        <w:t>mg</w:t>
      </w:r>
      <w:ins w:id="8434" w:author="Abbvie02" w:date="2025-05-16T11:44:00Z">
        <w:r w:rsidR="00A57E74" w:rsidRPr="00A57E74">
          <w:t xml:space="preserve"> </w:t>
        </w:r>
        <w:r w:rsidR="00A57E74" w:rsidRPr="001B4A02">
          <w:t>adalimumabu</w:t>
        </w:r>
      </w:ins>
      <w:r w:rsidRPr="001B4A02">
        <w:t>.</w:t>
      </w:r>
    </w:p>
    <w:p w14:paraId="0DC268F6" w14:textId="77777777" w:rsidR="00AC2B34" w:rsidRDefault="00AC2B34" w:rsidP="00B74377">
      <w:pPr>
        <w:autoSpaceDE w:val="0"/>
        <w:autoSpaceDN w:val="0"/>
        <w:adjustRightInd w:val="0"/>
        <w:ind w:left="0" w:firstLine="0"/>
      </w:pPr>
    </w:p>
    <w:p w14:paraId="76415EE9" w14:textId="77777777" w:rsidR="008D6442" w:rsidRPr="001B4A02" w:rsidRDefault="00000000" w:rsidP="00B74377">
      <w:pPr>
        <w:keepNext/>
        <w:autoSpaceDE w:val="0"/>
        <w:autoSpaceDN w:val="0"/>
        <w:adjustRightInd w:val="0"/>
        <w:ind w:left="0" w:firstLine="0"/>
        <w:rPr>
          <w:u w:val="single"/>
        </w:rPr>
      </w:pPr>
      <w:r w:rsidRPr="001B4A02">
        <w:rPr>
          <w:u w:val="single"/>
        </w:rPr>
        <w:t>Humira 80</w:t>
      </w:r>
      <w:r w:rsidR="00584B90" w:rsidRPr="001B4A02">
        <w:rPr>
          <w:u w:val="single"/>
        </w:rPr>
        <w:t> </w:t>
      </w:r>
      <w:r w:rsidRPr="001B4A02">
        <w:rPr>
          <w:u w:val="single"/>
        </w:rPr>
        <w:t>mg injekční roztok v předplněném peru</w:t>
      </w:r>
    </w:p>
    <w:p w14:paraId="44E2FDAA" w14:textId="77777777" w:rsidR="008D6442" w:rsidRPr="001B4A02" w:rsidRDefault="00000000" w:rsidP="00B74377">
      <w:pPr>
        <w:autoSpaceDE w:val="0"/>
        <w:autoSpaceDN w:val="0"/>
        <w:adjustRightInd w:val="0"/>
        <w:ind w:left="0" w:firstLine="0"/>
      </w:pPr>
      <w:r w:rsidRPr="001B4A02">
        <w:t xml:space="preserve">Jedno předplněné pero </w:t>
      </w:r>
      <w:r w:rsidR="00A64BD8" w:rsidRPr="001B4A02">
        <w:t xml:space="preserve">na jedno použití </w:t>
      </w:r>
      <w:r w:rsidRPr="001B4A02">
        <w:t>o</w:t>
      </w:r>
      <w:r w:rsidR="00584B90" w:rsidRPr="001B4A02">
        <w:t> </w:t>
      </w:r>
      <w:r w:rsidRPr="001B4A02">
        <w:t>objemu 0,8</w:t>
      </w:r>
      <w:r w:rsidR="00584B90" w:rsidRPr="001B4A02">
        <w:t> </w:t>
      </w:r>
      <w:r w:rsidRPr="001B4A02">
        <w:t xml:space="preserve">ml obsahuje </w:t>
      </w:r>
      <w:del w:id="8435" w:author="Abbvie02" w:date="2025-05-16T11:45:00Z">
        <w:r w:rsidRPr="001B4A02">
          <w:delText xml:space="preserve">adalimumabum </w:delText>
        </w:r>
      </w:del>
      <w:r w:rsidRPr="001B4A02">
        <w:t>80</w:t>
      </w:r>
      <w:r w:rsidR="00584B90" w:rsidRPr="001B4A02">
        <w:t> </w:t>
      </w:r>
      <w:r w:rsidRPr="001B4A02">
        <w:t>mg</w:t>
      </w:r>
      <w:ins w:id="8436" w:author="Abbvie02" w:date="2025-05-16T11:45:00Z">
        <w:r w:rsidR="00B74377" w:rsidRPr="00B74377">
          <w:t xml:space="preserve"> </w:t>
        </w:r>
        <w:r w:rsidR="00B74377" w:rsidRPr="001B4A02">
          <w:t>adalimumabu</w:t>
        </w:r>
      </w:ins>
      <w:r w:rsidRPr="001B4A02">
        <w:t>.</w:t>
      </w:r>
    </w:p>
    <w:p w14:paraId="532A47AF" w14:textId="77777777" w:rsidR="008D6442" w:rsidRPr="001B4A02" w:rsidRDefault="008D6442" w:rsidP="00ED48A3">
      <w:pPr>
        <w:ind w:left="0" w:firstLine="0"/>
      </w:pPr>
    </w:p>
    <w:p w14:paraId="180CF81E" w14:textId="77777777" w:rsidR="00E7724C" w:rsidRPr="001B4A02" w:rsidRDefault="00000000" w:rsidP="00ED48A3">
      <w:pPr>
        <w:ind w:left="0" w:firstLine="0"/>
      </w:pPr>
      <w:r w:rsidRPr="001B4A02">
        <w:t>Adalimumab</w:t>
      </w:r>
      <w:del w:id="8437" w:author="Abbvie02" w:date="2025-05-16T11:46:00Z">
        <w:r w:rsidRPr="001B4A02">
          <w:delText>um</w:delText>
        </w:r>
      </w:del>
      <w:r w:rsidRPr="001B4A02">
        <w:t xml:space="preserve"> je rekombinantní lidská monoklonální protilátka produkovaná ovariálními buňkami čínských křeč</w:t>
      </w:r>
      <w:r w:rsidR="00EC661C" w:rsidRPr="001B4A02">
        <w:t>í</w:t>
      </w:r>
      <w:r w:rsidRPr="001B4A02">
        <w:t>ků.</w:t>
      </w:r>
    </w:p>
    <w:p w14:paraId="44974DD2" w14:textId="77777777" w:rsidR="00E7724C" w:rsidRDefault="00E7724C" w:rsidP="00ED48A3">
      <w:pPr>
        <w:rPr>
          <w:ins w:id="8438" w:author="AbbVie1" w:date="2025-05-13T09:54:00Z"/>
        </w:rPr>
      </w:pPr>
    </w:p>
    <w:p w14:paraId="7B915098" w14:textId="77777777" w:rsidR="002E01CC" w:rsidRPr="00B74377" w:rsidRDefault="00000000" w:rsidP="002E01CC">
      <w:pPr>
        <w:keepNext/>
        <w:rPr>
          <w:ins w:id="8439" w:author="AbbVie1" w:date="2025-05-13T09:54:00Z"/>
          <w:noProof/>
          <w:szCs w:val="22"/>
          <w:u w:val="single"/>
        </w:rPr>
      </w:pPr>
      <w:ins w:id="8440" w:author="AbbVie1" w:date="2025-05-13T09:54:00Z">
        <w:r w:rsidRPr="00B74377">
          <w:rPr>
            <w:szCs w:val="22"/>
            <w:u w:val="single"/>
          </w:rPr>
          <w:t>Pomocné látky se známým účinkem</w:t>
        </w:r>
      </w:ins>
    </w:p>
    <w:p w14:paraId="10CDD939" w14:textId="77777777" w:rsidR="002E01CC" w:rsidRDefault="002E01CC" w:rsidP="00B74377">
      <w:pPr>
        <w:keepNext/>
        <w:rPr>
          <w:ins w:id="8441" w:author="AbbVie1" w:date="2025-05-13T09:54:00Z"/>
          <w:szCs w:val="22"/>
        </w:rPr>
      </w:pPr>
    </w:p>
    <w:p w14:paraId="441318E1" w14:textId="77777777" w:rsidR="002E01CC" w:rsidRPr="00653460" w:rsidRDefault="00000000" w:rsidP="002E01CC">
      <w:pPr>
        <w:rPr>
          <w:ins w:id="8442" w:author="AbbVie1" w:date="2025-05-13T09:54:00Z"/>
        </w:rPr>
      </w:pPr>
      <w:ins w:id="8443" w:author="AbbVie1" w:date="2025-05-13T09:54:00Z">
        <w:r>
          <w:rPr>
            <w:szCs w:val="22"/>
          </w:rPr>
          <w:t>Tento léčivý přípravek</w:t>
        </w:r>
        <w:r w:rsidRPr="00F767A1">
          <w:rPr>
            <w:szCs w:val="22"/>
          </w:rPr>
          <w:t xml:space="preserve"> obsahuje </w:t>
        </w:r>
        <w:r>
          <w:rPr>
            <w:szCs w:val="22"/>
          </w:rPr>
          <w:t>0,8</w:t>
        </w:r>
        <w:r w:rsidRPr="00F767A1">
          <w:rPr>
            <w:szCs w:val="22"/>
          </w:rPr>
          <w:t> mg polysorbátu 80</w:t>
        </w:r>
        <w:r>
          <w:rPr>
            <w:szCs w:val="22"/>
          </w:rPr>
          <w:t xml:space="preserve"> v jedné 80mg dávce</w:t>
        </w:r>
        <w:r w:rsidRPr="00F767A1">
          <w:rPr>
            <w:szCs w:val="22"/>
          </w:rPr>
          <w:t>.</w:t>
        </w:r>
      </w:ins>
    </w:p>
    <w:p w14:paraId="2BAE39EB" w14:textId="77777777" w:rsidR="002E01CC" w:rsidRPr="001B4A02" w:rsidRDefault="002E01CC" w:rsidP="00ED48A3"/>
    <w:p w14:paraId="55F0BF77" w14:textId="77777777" w:rsidR="00E7724C" w:rsidRPr="001B4A02" w:rsidRDefault="00000000" w:rsidP="00ED48A3">
      <w:pPr>
        <w:ind w:left="0" w:firstLine="0"/>
      </w:pPr>
      <w:r w:rsidRPr="001B4A02">
        <w:t>Úplný seznam pomocných látek viz bod 6.1</w:t>
      </w:r>
      <w:r w:rsidR="00A67B50" w:rsidRPr="001B4A02">
        <w:t>.</w:t>
      </w:r>
    </w:p>
    <w:p w14:paraId="0FEE22EE" w14:textId="77777777" w:rsidR="00E7724C" w:rsidRPr="001B4A02" w:rsidRDefault="00E7724C" w:rsidP="00ED48A3"/>
    <w:p w14:paraId="3DBED11D" w14:textId="77777777" w:rsidR="00E7724C" w:rsidRPr="001B4A02" w:rsidRDefault="00E7724C" w:rsidP="00ED48A3"/>
    <w:p w14:paraId="5C691868" w14:textId="77777777" w:rsidR="00E7724C" w:rsidRPr="001B4A02" w:rsidRDefault="00000000" w:rsidP="0009084E">
      <w:pPr>
        <w:keepNext/>
        <w:outlineLvl w:val="0"/>
        <w:rPr>
          <w:b/>
          <w:caps/>
        </w:rPr>
      </w:pPr>
      <w:r w:rsidRPr="001B4A02">
        <w:rPr>
          <w:b/>
        </w:rPr>
        <w:t>3.</w:t>
      </w:r>
      <w:r w:rsidRPr="001B4A02">
        <w:rPr>
          <w:b/>
        </w:rPr>
        <w:tab/>
        <w:t>LÉKOVÁ FORMA</w:t>
      </w:r>
    </w:p>
    <w:p w14:paraId="46DA2393" w14:textId="77777777" w:rsidR="00E7724C" w:rsidRPr="001B4A02" w:rsidRDefault="00E7724C" w:rsidP="00F31107">
      <w:pPr>
        <w:pStyle w:val="EMEANormal"/>
        <w:keepNext/>
        <w:rPr>
          <w:lang w:val="cs-CZ"/>
        </w:rPr>
      </w:pPr>
    </w:p>
    <w:p w14:paraId="3993976B" w14:textId="77777777" w:rsidR="00E7724C" w:rsidRPr="001B4A02" w:rsidRDefault="00000000" w:rsidP="00ED48A3">
      <w:pPr>
        <w:pStyle w:val="EndnoteText"/>
        <w:ind w:left="0" w:firstLine="0"/>
        <w:rPr>
          <w:lang w:val="cs-CZ"/>
        </w:rPr>
      </w:pPr>
      <w:r w:rsidRPr="00F62725">
        <w:rPr>
          <w:lang w:val="cs-CZ"/>
        </w:rPr>
        <w:t>Injekční roztok</w:t>
      </w:r>
      <w:r w:rsidR="004F62C7" w:rsidRPr="00F62725">
        <w:rPr>
          <w:lang w:val="cs-CZ"/>
        </w:rPr>
        <w:t xml:space="preserve"> (injekce)</w:t>
      </w:r>
    </w:p>
    <w:p w14:paraId="6E24B59E" w14:textId="77777777" w:rsidR="00E7724C" w:rsidRPr="001B4A02" w:rsidRDefault="00E7724C" w:rsidP="00ED48A3">
      <w:pPr>
        <w:pStyle w:val="EndnoteText"/>
        <w:ind w:left="0" w:firstLine="0"/>
        <w:rPr>
          <w:lang w:val="cs-CZ"/>
        </w:rPr>
      </w:pPr>
    </w:p>
    <w:p w14:paraId="11584EC2" w14:textId="77777777" w:rsidR="00E7724C" w:rsidRPr="001B4A02" w:rsidRDefault="00000000" w:rsidP="00ED48A3">
      <w:pPr>
        <w:pStyle w:val="EndnoteText"/>
        <w:ind w:left="0" w:firstLine="0"/>
        <w:rPr>
          <w:lang w:val="cs-CZ"/>
        </w:rPr>
      </w:pPr>
      <w:r w:rsidRPr="001B4A02">
        <w:rPr>
          <w:lang w:val="cs-CZ"/>
        </w:rPr>
        <w:t>Čirý, bezbarvý roztok</w:t>
      </w:r>
      <w:r w:rsidR="008538E9" w:rsidRPr="001B4A02">
        <w:rPr>
          <w:lang w:val="cs-CZ"/>
        </w:rPr>
        <w:t>.</w:t>
      </w:r>
    </w:p>
    <w:p w14:paraId="03D232BC" w14:textId="77777777" w:rsidR="00E7724C" w:rsidRPr="001B4A02" w:rsidRDefault="00E7724C" w:rsidP="00ED48A3"/>
    <w:p w14:paraId="31F10A00" w14:textId="77777777" w:rsidR="00E7724C" w:rsidRPr="001B4A02" w:rsidRDefault="00E7724C" w:rsidP="00ED48A3"/>
    <w:p w14:paraId="07196238" w14:textId="77777777" w:rsidR="00E7724C" w:rsidRPr="001B4A02" w:rsidRDefault="00000000" w:rsidP="0009084E">
      <w:pPr>
        <w:keepNext/>
        <w:outlineLvl w:val="0"/>
        <w:rPr>
          <w:b/>
          <w:caps/>
        </w:rPr>
      </w:pPr>
      <w:r w:rsidRPr="001B4A02">
        <w:rPr>
          <w:b/>
          <w:caps/>
        </w:rPr>
        <w:t>4.</w:t>
      </w:r>
      <w:r w:rsidRPr="001B4A02">
        <w:rPr>
          <w:b/>
          <w:caps/>
        </w:rPr>
        <w:tab/>
        <w:t>KLINICKÉ ÚDAJE</w:t>
      </w:r>
    </w:p>
    <w:p w14:paraId="73D9A501" w14:textId="77777777" w:rsidR="00E7724C" w:rsidRPr="001B4A02" w:rsidRDefault="00E7724C" w:rsidP="00F31107">
      <w:pPr>
        <w:keepNext/>
        <w:ind w:left="0" w:firstLine="0"/>
        <w:rPr>
          <w:b/>
        </w:rPr>
      </w:pPr>
    </w:p>
    <w:p w14:paraId="7F9C0D12" w14:textId="77777777" w:rsidR="00E7724C" w:rsidRPr="001B4A02" w:rsidRDefault="00000000" w:rsidP="00F31107">
      <w:pPr>
        <w:pStyle w:val="EMEAHeading2SPCEmpty"/>
        <w:keepNext/>
        <w:tabs>
          <w:tab w:val="clear" w:pos="562"/>
        </w:tabs>
        <w:spacing w:afterLines="0"/>
        <w:ind w:left="567" w:hanging="567"/>
        <w:rPr>
          <w:rFonts w:ascii="Times New Roman" w:hAnsi="Times New Roman"/>
          <w:lang w:val="cs-CZ"/>
        </w:rPr>
      </w:pPr>
      <w:r w:rsidRPr="001B4A02">
        <w:rPr>
          <w:rFonts w:ascii="Times New Roman" w:hAnsi="Times New Roman"/>
          <w:lang w:val="cs-CZ"/>
        </w:rPr>
        <w:t>4.1</w:t>
      </w:r>
      <w:r w:rsidRPr="001B4A02">
        <w:rPr>
          <w:rFonts w:ascii="Times New Roman" w:hAnsi="Times New Roman"/>
          <w:lang w:val="cs-CZ"/>
        </w:rPr>
        <w:tab/>
        <w:t>Terapeutické indikace</w:t>
      </w:r>
    </w:p>
    <w:p w14:paraId="20AE7988" w14:textId="77777777" w:rsidR="00E7724C" w:rsidRPr="001B4A02" w:rsidRDefault="00E7724C" w:rsidP="00F31107">
      <w:pPr>
        <w:pStyle w:val="EMEANormal"/>
        <w:keepNext/>
        <w:rPr>
          <w:lang w:val="cs-CZ"/>
        </w:rPr>
      </w:pPr>
    </w:p>
    <w:p w14:paraId="607911F9" w14:textId="77777777" w:rsidR="005D1257" w:rsidRPr="001B4A02" w:rsidRDefault="00000000" w:rsidP="00F31107">
      <w:pPr>
        <w:pStyle w:val="EMEAHeadingUnderline"/>
        <w:keepNext/>
        <w:tabs>
          <w:tab w:val="clear" w:pos="562"/>
        </w:tabs>
        <w:suppressAutoHyphens w:val="0"/>
        <w:spacing w:beforeLines="0" w:before="0" w:afterLines="0" w:after="0"/>
        <w:rPr>
          <w:lang w:val="cs-CZ"/>
        </w:rPr>
      </w:pPr>
      <w:r w:rsidRPr="001B4A02">
        <w:rPr>
          <w:lang w:val="cs-CZ"/>
        </w:rPr>
        <w:t>Revmatoidní artritida</w:t>
      </w:r>
    </w:p>
    <w:p w14:paraId="1FB366CF" w14:textId="77777777" w:rsidR="005D1257" w:rsidRPr="001B4A02" w:rsidRDefault="005D1257" w:rsidP="00F31107">
      <w:pPr>
        <w:keepNext/>
        <w:ind w:left="0" w:firstLine="0"/>
        <w:rPr>
          <w:u w:val="single"/>
        </w:rPr>
      </w:pPr>
    </w:p>
    <w:p w14:paraId="407BD583" w14:textId="77777777" w:rsidR="005D1257" w:rsidRPr="001B4A02" w:rsidRDefault="00000000" w:rsidP="00F31107">
      <w:pPr>
        <w:pStyle w:val="EMEANormal"/>
        <w:keepNext/>
        <w:tabs>
          <w:tab w:val="clear" w:pos="562"/>
        </w:tabs>
        <w:suppressAutoHyphens w:val="0"/>
        <w:rPr>
          <w:lang w:val="cs-CZ"/>
        </w:rPr>
      </w:pPr>
      <w:r w:rsidRPr="001B4A02">
        <w:rPr>
          <w:lang w:val="cs-CZ"/>
        </w:rPr>
        <w:t>Přípravek Humira je v kombinaci s methotrexátem indikován:</w:t>
      </w:r>
    </w:p>
    <w:p w14:paraId="69BAD2E9" w14:textId="77777777" w:rsidR="005D1257" w:rsidRPr="001B4A02" w:rsidRDefault="005D1257" w:rsidP="00F31107">
      <w:pPr>
        <w:keepNext/>
        <w:ind w:left="0" w:firstLine="0"/>
      </w:pPr>
    </w:p>
    <w:p w14:paraId="3F3A2A0F" w14:textId="77777777" w:rsidR="005D1257" w:rsidRPr="001B4A02" w:rsidRDefault="00000000" w:rsidP="005D1257">
      <w:pPr>
        <w:numPr>
          <w:ilvl w:val="0"/>
          <w:numId w:val="40"/>
        </w:numPr>
        <w:tabs>
          <w:tab w:val="clear" w:pos="720"/>
          <w:tab w:val="num" w:pos="567"/>
        </w:tabs>
        <w:ind w:left="567" w:hanging="567"/>
      </w:pPr>
      <w:r w:rsidRPr="001B4A02">
        <w:t>k léčbě středně těžké až těžké aktivní revmatoidní artritidy u dospělých pacientů, jestliže odpověď na chorobu modifikující antirevmatické léky včetně methotrexátu není dostatečná.</w:t>
      </w:r>
    </w:p>
    <w:p w14:paraId="356C4D21" w14:textId="77777777" w:rsidR="005D1257" w:rsidRPr="001B4A02" w:rsidRDefault="00000000" w:rsidP="005D1257">
      <w:pPr>
        <w:pStyle w:val="EndnoteText"/>
        <w:numPr>
          <w:ilvl w:val="0"/>
          <w:numId w:val="39"/>
        </w:numPr>
        <w:tabs>
          <w:tab w:val="clear" w:pos="720"/>
          <w:tab w:val="num" w:pos="567"/>
        </w:tabs>
        <w:ind w:left="567" w:hanging="567"/>
        <w:rPr>
          <w:lang w:val="cs-CZ"/>
        </w:rPr>
      </w:pPr>
      <w:r w:rsidRPr="001B4A02">
        <w:rPr>
          <w:lang w:val="cs-CZ"/>
        </w:rPr>
        <w:t>k léčbě těžké aktivní</w:t>
      </w:r>
      <w:r w:rsidR="002378E0">
        <w:rPr>
          <w:lang w:val="cs-CZ"/>
        </w:rPr>
        <w:t xml:space="preserve"> a </w:t>
      </w:r>
      <w:r w:rsidRPr="001B4A02">
        <w:rPr>
          <w:lang w:val="cs-CZ"/>
        </w:rPr>
        <w:t>progresivní revmatoidní artritidy u dospělých pacientů, kteří nebyli v minulosti léčeni methotrexátem.</w:t>
      </w:r>
    </w:p>
    <w:p w14:paraId="16D7B000" w14:textId="77777777" w:rsidR="005D1257" w:rsidRPr="001B4A02" w:rsidRDefault="005D1257" w:rsidP="005D1257">
      <w:pPr>
        <w:ind w:left="0" w:firstLine="0"/>
      </w:pPr>
    </w:p>
    <w:p w14:paraId="6B87AEA3" w14:textId="77777777" w:rsidR="005D1257" w:rsidRPr="001B4A02" w:rsidRDefault="00000000" w:rsidP="005D1257">
      <w:pPr>
        <w:ind w:left="0" w:firstLine="0"/>
      </w:pPr>
      <w:r w:rsidRPr="001B4A02">
        <w:t xml:space="preserve">Přípravek Humira je možné podávat v monoterapii při </w:t>
      </w:r>
      <w:r w:rsidR="00B72887">
        <w:t>intoleranci</w:t>
      </w:r>
      <w:r w:rsidRPr="001B4A02">
        <w:t xml:space="preserve"> methotrexátu nebo v případech, kdy pokračování v léčbě methotrexátem není vhodné.</w:t>
      </w:r>
    </w:p>
    <w:p w14:paraId="4F439DB9" w14:textId="77777777" w:rsidR="005D1257" w:rsidRPr="001B4A02" w:rsidRDefault="005D1257" w:rsidP="005D1257">
      <w:pPr>
        <w:ind w:left="0" w:firstLine="0"/>
      </w:pPr>
    </w:p>
    <w:p w14:paraId="70069B72" w14:textId="77777777" w:rsidR="005D1257" w:rsidRPr="001B4A02" w:rsidRDefault="00000000" w:rsidP="005D1257">
      <w:pPr>
        <w:ind w:left="0" w:firstLine="0"/>
      </w:pPr>
      <w:r w:rsidRPr="001B4A02">
        <w:t>RTG vyšetř</w:t>
      </w:r>
      <w:r w:rsidR="00B72887">
        <w:t>ením</w:t>
      </w:r>
      <w:r w:rsidRPr="001B4A02">
        <w:t xml:space="preserve"> bylo prokázáno, že přípravek Humira snižuje rychlost progrese poškození kloubů</w:t>
      </w:r>
      <w:r w:rsidR="002378E0">
        <w:t xml:space="preserve"> a </w:t>
      </w:r>
      <w:r w:rsidRPr="001B4A02">
        <w:t>zlepšuje fyzické funkce, pokud je podáván v kombinaci s methotrexátem.</w:t>
      </w:r>
    </w:p>
    <w:p w14:paraId="48864B11" w14:textId="77777777" w:rsidR="005D1257" w:rsidRPr="001B4A02" w:rsidRDefault="005D1257" w:rsidP="00ED48A3">
      <w:pPr>
        <w:pStyle w:val="EMEANormal"/>
        <w:rPr>
          <w:lang w:val="cs-CZ"/>
        </w:rPr>
      </w:pPr>
    </w:p>
    <w:p w14:paraId="62FA9F52" w14:textId="77777777" w:rsidR="00E7724C" w:rsidRPr="001B4A02" w:rsidRDefault="00000000" w:rsidP="00F31107">
      <w:pPr>
        <w:pStyle w:val="DefaultText"/>
        <w:keepNext/>
        <w:rPr>
          <w:rFonts w:ascii="Times New Roman" w:hAnsi="Times New Roman"/>
          <w:u w:val="single"/>
          <w:lang w:val="cs-CZ"/>
        </w:rPr>
      </w:pPr>
      <w:r w:rsidRPr="001B4A02">
        <w:rPr>
          <w:rFonts w:ascii="Times New Roman" w:hAnsi="Times New Roman"/>
          <w:u w:val="single"/>
          <w:lang w:val="cs-CZ"/>
        </w:rPr>
        <w:t>Psoriáza</w:t>
      </w:r>
    </w:p>
    <w:p w14:paraId="43BEE5F4" w14:textId="77777777" w:rsidR="00E7724C" w:rsidRPr="003F1951" w:rsidRDefault="00E7724C" w:rsidP="00F31107">
      <w:pPr>
        <w:pStyle w:val="DefaultText"/>
        <w:keepNext/>
        <w:rPr>
          <w:rFonts w:ascii="Times New Roman" w:hAnsi="Times New Roman"/>
          <w:lang w:val="cs-CZ"/>
        </w:rPr>
      </w:pPr>
    </w:p>
    <w:p w14:paraId="0D88A154" w14:textId="77777777" w:rsidR="00E7724C" w:rsidRPr="001B4A02" w:rsidRDefault="00000000" w:rsidP="00ED48A3">
      <w:pPr>
        <w:pStyle w:val="EMEANormal"/>
        <w:rPr>
          <w:lang w:val="cs-CZ"/>
        </w:rPr>
      </w:pPr>
      <w:r w:rsidRPr="001B4A02">
        <w:rPr>
          <w:lang w:val="cs-CZ"/>
        </w:rPr>
        <w:t>Přípravek Humira je indikován k léčbě středně těžké až těžké chronické ložiskové psoriázy udospělých pacientů, kteří jsou kandidáty pro systémovou léčbu.</w:t>
      </w:r>
    </w:p>
    <w:p w14:paraId="4DA1C544" w14:textId="77777777" w:rsidR="00E7724C" w:rsidRPr="001B4A02" w:rsidRDefault="00E7724C" w:rsidP="00ED48A3">
      <w:pPr>
        <w:pStyle w:val="EMEANormal"/>
        <w:rPr>
          <w:u w:val="single"/>
          <w:lang w:val="cs-CZ"/>
        </w:rPr>
      </w:pPr>
    </w:p>
    <w:p w14:paraId="5219B2EB" w14:textId="77777777" w:rsidR="00E7724C" w:rsidRPr="001B4A02" w:rsidRDefault="00000000" w:rsidP="00F31107">
      <w:pPr>
        <w:pStyle w:val="EMEANormal"/>
        <w:keepNext/>
        <w:rPr>
          <w:u w:val="single"/>
          <w:lang w:val="cs-CZ"/>
        </w:rPr>
      </w:pPr>
      <w:r w:rsidRPr="001B4A02">
        <w:rPr>
          <w:u w:val="single"/>
          <w:lang w:val="cs-CZ"/>
        </w:rPr>
        <w:t>Hidradenitis suppurativa (HS)</w:t>
      </w:r>
    </w:p>
    <w:p w14:paraId="3EF1CCD2" w14:textId="77777777" w:rsidR="00E7724C" w:rsidRPr="001B4A02" w:rsidRDefault="00E7724C" w:rsidP="00F31107">
      <w:pPr>
        <w:pStyle w:val="EMEANormal"/>
        <w:keepNext/>
        <w:rPr>
          <w:u w:val="single"/>
          <w:lang w:val="cs-CZ"/>
        </w:rPr>
      </w:pPr>
    </w:p>
    <w:p w14:paraId="5D4B59E5" w14:textId="77777777" w:rsidR="00E7724C" w:rsidRPr="001B4A02" w:rsidRDefault="00000000" w:rsidP="00ED48A3">
      <w:pPr>
        <w:pStyle w:val="EMEANormal"/>
        <w:rPr>
          <w:lang w:val="cs-CZ"/>
        </w:rPr>
      </w:pPr>
      <w:r w:rsidRPr="001B4A02">
        <w:rPr>
          <w:lang w:val="cs-CZ"/>
        </w:rPr>
        <w:t>Přípravek Humira je indikován k</w:t>
      </w:r>
      <w:r w:rsidR="003426C8" w:rsidRPr="001B4A02">
        <w:rPr>
          <w:lang w:val="cs-CZ"/>
        </w:rPr>
        <w:t> </w:t>
      </w:r>
      <w:r w:rsidRPr="001B4A02">
        <w:rPr>
          <w:lang w:val="cs-CZ"/>
        </w:rPr>
        <w:t>léčbě aktivní středně těžké až těžké hidradenitis suppurativa (acne inversa) u</w:t>
      </w:r>
      <w:r w:rsidR="003426C8" w:rsidRPr="001B4A02">
        <w:rPr>
          <w:lang w:val="cs-CZ"/>
        </w:rPr>
        <w:t> </w:t>
      </w:r>
      <w:r w:rsidRPr="001B4A02">
        <w:rPr>
          <w:lang w:val="cs-CZ"/>
        </w:rPr>
        <w:t>dospělých</w:t>
      </w:r>
      <w:r w:rsidR="002378E0">
        <w:rPr>
          <w:lang w:val="cs-CZ"/>
        </w:rPr>
        <w:t xml:space="preserve"> a </w:t>
      </w:r>
      <w:r w:rsidRPr="001B4A02">
        <w:rPr>
          <w:lang w:val="cs-CZ"/>
        </w:rPr>
        <w:t>dospívajících od 12 let při nedostatečné odpovědi na jinou konvenční systémovou léčbu HS (viz body 5.1</w:t>
      </w:r>
      <w:r w:rsidR="002378E0">
        <w:rPr>
          <w:lang w:val="cs-CZ"/>
        </w:rPr>
        <w:t xml:space="preserve"> a </w:t>
      </w:r>
      <w:r w:rsidRPr="001B4A02">
        <w:rPr>
          <w:lang w:val="cs-CZ"/>
        </w:rPr>
        <w:t>5.2).</w:t>
      </w:r>
    </w:p>
    <w:p w14:paraId="2EC49C94" w14:textId="77777777" w:rsidR="00E7724C" w:rsidRPr="001B4A02" w:rsidRDefault="00E7724C" w:rsidP="00ED48A3">
      <w:pPr>
        <w:pStyle w:val="EMEANormal"/>
        <w:rPr>
          <w:u w:val="single"/>
          <w:lang w:val="cs-CZ"/>
        </w:rPr>
      </w:pPr>
    </w:p>
    <w:p w14:paraId="47B7B34E" w14:textId="77777777" w:rsidR="00E7724C" w:rsidRPr="001B4A02" w:rsidRDefault="00000000" w:rsidP="00F31107">
      <w:pPr>
        <w:pStyle w:val="EMEANormal"/>
        <w:keepNext/>
        <w:tabs>
          <w:tab w:val="clear" w:pos="562"/>
          <w:tab w:val="left" w:pos="708"/>
        </w:tabs>
        <w:suppressAutoHyphens w:val="0"/>
        <w:rPr>
          <w:u w:val="single"/>
          <w:lang w:val="cs-CZ"/>
        </w:rPr>
      </w:pPr>
      <w:r w:rsidRPr="001B4A02">
        <w:rPr>
          <w:u w:val="single"/>
          <w:lang w:val="cs-CZ"/>
        </w:rPr>
        <w:t>Crohnova choroba</w:t>
      </w:r>
    </w:p>
    <w:p w14:paraId="6D66937F" w14:textId="77777777" w:rsidR="00E7724C" w:rsidRPr="001B4A02" w:rsidRDefault="00E7724C" w:rsidP="00F31107">
      <w:pPr>
        <w:pStyle w:val="EMEANormal"/>
        <w:keepNext/>
        <w:rPr>
          <w:lang w:val="cs-CZ"/>
        </w:rPr>
      </w:pPr>
    </w:p>
    <w:p w14:paraId="13355903" w14:textId="77777777" w:rsidR="00E7724C" w:rsidRPr="001B4A02" w:rsidRDefault="00000000" w:rsidP="00ED48A3">
      <w:pPr>
        <w:pStyle w:val="EMEANormal"/>
        <w:tabs>
          <w:tab w:val="clear" w:pos="562"/>
          <w:tab w:val="left" w:pos="708"/>
        </w:tabs>
        <w:suppressAutoHyphens w:val="0"/>
        <w:rPr>
          <w:lang w:val="cs-CZ"/>
        </w:rPr>
      </w:pPr>
      <w:r w:rsidRPr="001B4A02">
        <w:rPr>
          <w:lang w:val="cs-CZ"/>
        </w:rPr>
        <w:t>Přípravek Humira je indikován k léčbě středně těžké až těžké aktivní Crohnovy choroby u</w:t>
      </w:r>
      <w:r w:rsidR="003426C8" w:rsidRPr="001B4A02">
        <w:rPr>
          <w:lang w:val="cs-CZ"/>
        </w:rPr>
        <w:t> </w:t>
      </w:r>
      <w:r w:rsidRPr="001B4A02">
        <w:rPr>
          <w:lang w:val="cs-CZ"/>
        </w:rPr>
        <w:t>dospělých pacientů, kteří i přes plnou</w:t>
      </w:r>
      <w:r w:rsidR="002378E0">
        <w:rPr>
          <w:lang w:val="cs-CZ"/>
        </w:rPr>
        <w:t xml:space="preserve"> a </w:t>
      </w:r>
      <w:r w:rsidRPr="001B4A02">
        <w:rPr>
          <w:lang w:val="cs-CZ"/>
        </w:rPr>
        <w:t>adekvátní léčbu kortikosteroidy a/nebo imunosupresivy na tuto léčbu neodpovídali</w:t>
      </w:r>
      <w:r w:rsidR="000D427E" w:rsidRPr="001B4A02">
        <w:rPr>
          <w:lang w:val="cs-CZ"/>
        </w:rPr>
        <w:t>;</w:t>
      </w:r>
      <w:r w:rsidRPr="001B4A02">
        <w:rPr>
          <w:lang w:val="cs-CZ"/>
        </w:rPr>
        <w:t xml:space="preserve"> </w:t>
      </w:r>
      <w:r w:rsidR="000D427E" w:rsidRPr="001B4A02">
        <w:rPr>
          <w:lang w:val="cs-CZ"/>
        </w:rPr>
        <w:t xml:space="preserve">nebo </w:t>
      </w:r>
      <w:r w:rsidRPr="001B4A02">
        <w:rPr>
          <w:lang w:val="cs-CZ"/>
        </w:rPr>
        <w:t xml:space="preserve">kteří ji </w:t>
      </w:r>
      <w:r w:rsidR="00C3156D" w:rsidRPr="001B4A02">
        <w:rPr>
          <w:lang w:val="cs-CZ"/>
        </w:rPr>
        <w:t>netolerují, nebo</w:t>
      </w:r>
      <w:r w:rsidRPr="001B4A02">
        <w:rPr>
          <w:lang w:val="cs-CZ"/>
        </w:rPr>
        <w:t xml:space="preserve"> je u</w:t>
      </w:r>
      <w:r w:rsidR="003426C8" w:rsidRPr="001B4A02">
        <w:rPr>
          <w:lang w:val="cs-CZ"/>
        </w:rPr>
        <w:t> </w:t>
      </w:r>
      <w:r w:rsidRPr="001B4A02">
        <w:rPr>
          <w:lang w:val="cs-CZ"/>
        </w:rPr>
        <w:t xml:space="preserve">nich </w:t>
      </w:r>
      <w:r w:rsidR="00354218" w:rsidRPr="001B4A02">
        <w:rPr>
          <w:lang w:val="cs-CZ"/>
        </w:rPr>
        <w:t>tato léčba</w:t>
      </w:r>
      <w:r w:rsidRPr="001B4A02">
        <w:rPr>
          <w:lang w:val="cs-CZ"/>
        </w:rPr>
        <w:t xml:space="preserve"> </w:t>
      </w:r>
      <w:r w:rsidR="00C3156D" w:rsidRPr="001B4A02">
        <w:rPr>
          <w:lang w:val="cs-CZ"/>
        </w:rPr>
        <w:t>kontraindikována</w:t>
      </w:r>
      <w:r w:rsidRPr="001B4A02">
        <w:rPr>
          <w:lang w:val="cs-CZ"/>
        </w:rPr>
        <w:t>.</w:t>
      </w:r>
    </w:p>
    <w:p w14:paraId="00A494E5" w14:textId="77777777" w:rsidR="00E7724C" w:rsidRPr="001B4A02" w:rsidRDefault="00E7724C" w:rsidP="00ED48A3">
      <w:pPr>
        <w:pStyle w:val="BodyText"/>
        <w:rPr>
          <w:b w:val="0"/>
          <w:i w:val="0"/>
          <w:u w:val="single"/>
          <w:lang w:val="cs-CZ"/>
        </w:rPr>
      </w:pPr>
    </w:p>
    <w:p w14:paraId="44F0CFA3" w14:textId="77777777" w:rsidR="00E7724C" w:rsidRPr="001B4A02" w:rsidRDefault="00000000" w:rsidP="00F31107">
      <w:pPr>
        <w:pStyle w:val="EMEANormal"/>
        <w:keepNext/>
        <w:tabs>
          <w:tab w:val="clear" w:pos="562"/>
          <w:tab w:val="left" w:pos="708"/>
        </w:tabs>
        <w:suppressAutoHyphens w:val="0"/>
        <w:rPr>
          <w:u w:val="single"/>
          <w:lang w:val="cs-CZ"/>
        </w:rPr>
      </w:pPr>
      <w:r w:rsidRPr="001B4A02">
        <w:rPr>
          <w:u w:val="single"/>
          <w:lang w:val="cs-CZ"/>
        </w:rPr>
        <w:t>Crohnova choroba u</w:t>
      </w:r>
      <w:r w:rsidR="003426C8" w:rsidRPr="001B4A02">
        <w:rPr>
          <w:u w:val="single"/>
          <w:lang w:val="cs-CZ"/>
        </w:rPr>
        <w:t> </w:t>
      </w:r>
      <w:r w:rsidRPr="001B4A02">
        <w:rPr>
          <w:u w:val="single"/>
          <w:lang w:val="cs-CZ"/>
        </w:rPr>
        <w:t>pediatrických pacientů</w:t>
      </w:r>
    </w:p>
    <w:p w14:paraId="655A6DC4" w14:textId="77777777" w:rsidR="00E7724C" w:rsidRPr="001B4A02" w:rsidRDefault="00E7724C" w:rsidP="00F31107">
      <w:pPr>
        <w:keepNext/>
      </w:pPr>
    </w:p>
    <w:p w14:paraId="5931DD6E" w14:textId="77777777" w:rsidR="00E7724C" w:rsidRPr="001B4A02" w:rsidRDefault="00000000" w:rsidP="00ED48A3">
      <w:pPr>
        <w:ind w:left="0" w:firstLine="0"/>
      </w:pPr>
      <w:r w:rsidRPr="001B4A02">
        <w:t>Přípravek Humira je indikován k léčbě středně těžké až těžké aktivní Crohnovy choroby u</w:t>
      </w:r>
      <w:r w:rsidR="003426C8" w:rsidRPr="001B4A02">
        <w:t> </w:t>
      </w:r>
      <w:r w:rsidRPr="001B4A02">
        <w:t>pediatrických pacientů (od 6 let), u</w:t>
      </w:r>
      <w:r w:rsidR="003426C8" w:rsidRPr="001B4A02">
        <w:t> </w:t>
      </w:r>
      <w:r w:rsidRPr="001B4A02">
        <w:t>kterých reakce na konvenční léčbu včetně primární nutriční léčby</w:t>
      </w:r>
      <w:r w:rsidR="002378E0">
        <w:t xml:space="preserve"> a </w:t>
      </w:r>
      <w:r w:rsidRPr="001B4A02">
        <w:t>kortikosteroidů a/nebo imunosupresiv nebyla dostatečná</w:t>
      </w:r>
      <w:r w:rsidR="000D427E" w:rsidRPr="001B4A02">
        <w:t>,</w:t>
      </w:r>
      <w:r w:rsidRPr="001B4A02">
        <w:t xml:space="preserve"> nebo kteří ji </w:t>
      </w:r>
      <w:r w:rsidR="00C3156D" w:rsidRPr="001B4A02">
        <w:t>netolerují, nebo</w:t>
      </w:r>
      <w:r w:rsidRPr="001B4A02">
        <w:t xml:space="preserve"> je u</w:t>
      </w:r>
      <w:r w:rsidR="003426C8" w:rsidRPr="001B4A02">
        <w:t> </w:t>
      </w:r>
      <w:r w:rsidRPr="001B4A02">
        <w:t xml:space="preserve">nich tato léčba </w:t>
      </w:r>
      <w:r w:rsidR="00C3156D" w:rsidRPr="001B4A02">
        <w:t>kontraindikována</w:t>
      </w:r>
      <w:r w:rsidRPr="001B4A02">
        <w:t>.</w:t>
      </w:r>
    </w:p>
    <w:p w14:paraId="6908AE02" w14:textId="77777777" w:rsidR="00E7724C" w:rsidRPr="001B4A02" w:rsidRDefault="00E7724C" w:rsidP="00ED48A3">
      <w:pPr>
        <w:pStyle w:val="EMEANormal"/>
        <w:rPr>
          <w:lang w:val="cs-CZ"/>
        </w:rPr>
      </w:pPr>
    </w:p>
    <w:p w14:paraId="0D0875E5" w14:textId="77777777" w:rsidR="00E7724C" w:rsidRPr="001B4A02" w:rsidRDefault="00000000" w:rsidP="00ED48A3">
      <w:pPr>
        <w:pStyle w:val="EMEANormal"/>
        <w:keepNext/>
        <w:tabs>
          <w:tab w:val="clear" w:pos="562"/>
          <w:tab w:val="left" w:pos="708"/>
        </w:tabs>
        <w:suppressAutoHyphens w:val="0"/>
        <w:rPr>
          <w:u w:val="single"/>
          <w:lang w:val="cs-CZ"/>
        </w:rPr>
      </w:pPr>
      <w:r w:rsidRPr="001B4A02">
        <w:rPr>
          <w:u w:val="single"/>
          <w:lang w:val="cs-CZ"/>
        </w:rPr>
        <w:t>Ulcerózní kolitida</w:t>
      </w:r>
    </w:p>
    <w:p w14:paraId="189F8CA3" w14:textId="77777777" w:rsidR="00E7724C" w:rsidRPr="001B4A02" w:rsidRDefault="00E7724C" w:rsidP="00ED48A3">
      <w:pPr>
        <w:keepNext/>
        <w:rPr>
          <w:u w:val="single"/>
        </w:rPr>
      </w:pPr>
    </w:p>
    <w:p w14:paraId="3BE316C4" w14:textId="77777777" w:rsidR="00E17AD4" w:rsidRPr="00893938" w:rsidRDefault="00000000" w:rsidP="00ED48A3">
      <w:pPr>
        <w:pStyle w:val="FootnoteText"/>
        <w:ind w:left="0" w:firstLine="0"/>
        <w:rPr>
          <w:sz w:val="22"/>
          <w:szCs w:val="22"/>
          <w:lang w:val="cs-CZ"/>
        </w:rPr>
      </w:pPr>
      <w:r w:rsidRPr="00893938">
        <w:rPr>
          <w:sz w:val="22"/>
          <w:szCs w:val="22"/>
          <w:lang w:val="cs-CZ"/>
        </w:rPr>
        <w:t>Přípravek Humira je indikován k léčbě středně těžké až těžké aktivní ulcerózní kolitidy u</w:t>
      </w:r>
      <w:r w:rsidR="003426C8" w:rsidRPr="00893938">
        <w:rPr>
          <w:sz w:val="22"/>
          <w:szCs w:val="22"/>
          <w:lang w:val="cs-CZ"/>
        </w:rPr>
        <w:t> </w:t>
      </w:r>
      <w:r w:rsidRPr="00893938">
        <w:rPr>
          <w:sz w:val="22"/>
          <w:szCs w:val="22"/>
          <w:lang w:val="cs-CZ"/>
        </w:rPr>
        <w:t>dospělých pacientů, u </w:t>
      </w:r>
      <w:r w:rsidRPr="00672AB1">
        <w:rPr>
          <w:sz w:val="22"/>
          <w:szCs w:val="22"/>
          <w:lang w:val="cs-CZ"/>
        </w:rPr>
        <w:t xml:space="preserve">kterých </w:t>
      </w:r>
      <w:r w:rsidR="00893938" w:rsidRPr="00893938">
        <w:rPr>
          <w:sz w:val="22"/>
          <w:szCs w:val="22"/>
          <w:lang w:val="cs-CZ"/>
        </w:rPr>
        <w:t xml:space="preserve">reakce </w:t>
      </w:r>
      <w:r w:rsidRPr="00893938">
        <w:rPr>
          <w:sz w:val="22"/>
          <w:szCs w:val="22"/>
          <w:lang w:val="cs-CZ"/>
        </w:rPr>
        <w:t>na konvenční léčbu včetně kortikosteroidů</w:t>
      </w:r>
      <w:r w:rsidR="002378E0">
        <w:rPr>
          <w:sz w:val="22"/>
          <w:szCs w:val="22"/>
          <w:lang w:val="cs-CZ"/>
        </w:rPr>
        <w:t xml:space="preserve"> a </w:t>
      </w:r>
      <w:r w:rsidRPr="00893938">
        <w:rPr>
          <w:sz w:val="22"/>
          <w:szCs w:val="22"/>
          <w:lang w:val="cs-CZ"/>
        </w:rPr>
        <w:t xml:space="preserve">6-merkaptopurinu (6-MP) nebo azathioprinu (AZA) nebyla dostatečná, nebo kteří </w:t>
      </w:r>
      <w:r w:rsidR="000D427E" w:rsidRPr="00893938">
        <w:rPr>
          <w:sz w:val="22"/>
          <w:szCs w:val="22"/>
          <w:lang w:val="cs-CZ"/>
        </w:rPr>
        <w:t>ji</w:t>
      </w:r>
      <w:r w:rsidRPr="00893938">
        <w:rPr>
          <w:sz w:val="22"/>
          <w:szCs w:val="22"/>
          <w:lang w:val="cs-CZ"/>
        </w:rPr>
        <w:t xml:space="preserve"> </w:t>
      </w:r>
      <w:r w:rsidR="000D427E" w:rsidRPr="00893938">
        <w:rPr>
          <w:sz w:val="22"/>
          <w:szCs w:val="22"/>
          <w:lang w:val="cs-CZ"/>
        </w:rPr>
        <w:t>netolerují</w:t>
      </w:r>
      <w:r w:rsidRPr="00893938">
        <w:rPr>
          <w:sz w:val="22"/>
          <w:szCs w:val="22"/>
          <w:lang w:val="cs-CZ"/>
        </w:rPr>
        <w:t xml:space="preserve"> nebo </w:t>
      </w:r>
      <w:r w:rsidR="000D427E" w:rsidRPr="00893938">
        <w:rPr>
          <w:sz w:val="22"/>
          <w:szCs w:val="22"/>
          <w:lang w:val="cs-CZ"/>
        </w:rPr>
        <w:t>je u</w:t>
      </w:r>
      <w:r w:rsidR="00696488" w:rsidRPr="00893938">
        <w:rPr>
          <w:sz w:val="22"/>
          <w:szCs w:val="22"/>
          <w:lang w:val="cs-CZ"/>
        </w:rPr>
        <w:t> </w:t>
      </w:r>
      <w:r w:rsidR="000D427E" w:rsidRPr="00893938">
        <w:rPr>
          <w:sz w:val="22"/>
          <w:szCs w:val="22"/>
          <w:lang w:val="cs-CZ"/>
        </w:rPr>
        <w:t>nich</w:t>
      </w:r>
      <w:r w:rsidR="00354218" w:rsidRPr="00893938">
        <w:rPr>
          <w:sz w:val="22"/>
          <w:szCs w:val="22"/>
          <w:lang w:val="cs-CZ"/>
        </w:rPr>
        <w:t xml:space="preserve"> tato léčba</w:t>
      </w:r>
      <w:r w:rsidR="000D427E" w:rsidRPr="00893938">
        <w:rPr>
          <w:sz w:val="22"/>
          <w:szCs w:val="22"/>
          <w:lang w:val="cs-CZ"/>
        </w:rPr>
        <w:t xml:space="preserve"> kontraindikována</w:t>
      </w:r>
      <w:r w:rsidRPr="00893938">
        <w:rPr>
          <w:sz w:val="22"/>
          <w:szCs w:val="22"/>
          <w:lang w:val="cs-CZ"/>
        </w:rPr>
        <w:t>.</w:t>
      </w:r>
    </w:p>
    <w:p w14:paraId="11ED36F8" w14:textId="77777777" w:rsidR="00E7724C" w:rsidRPr="001B4A02" w:rsidRDefault="00E7724C" w:rsidP="00672AB1">
      <w:pPr>
        <w:pStyle w:val="EMEANormal"/>
        <w:tabs>
          <w:tab w:val="clear" w:pos="562"/>
        </w:tabs>
        <w:rPr>
          <w:lang w:val="cs-CZ"/>
        </w:rPr>
      </w:pPr>
    </w:p>
    <w:p w14:paraId="546292CC" w14:textId="77777777" w:rsidR="00645A20" w:rsidRPr="00D01607" w:rsidRDefault="00000000" w:rsidP="00672AB1">
      <w:pPr>
        <w:keepNext/>
        <w:ind w:left="0" w:firstLine="0"/>
        <w:rPr>
          <w:u w:val="single"/>
        </w:rPr>
      </w:pPr>
      <w:r>
        <w:rPr>
          <w:u w:val="single"/>
        </w:rPr>
        <w:t>Ulcerózní kolitida u pediatrických pacientů</w:t>
      </w:r>
    </w:p>
    <w:p w14:paraId="64A6799E" w14:textId="77777777" w:rsidR="00645A20" w:rsidRDefault="00645A20" w:rsidP="00672AB1">
      <w:pPr>
        <w:keepNext/>
        <w:ind w:left="0" w:firstLine="0"/>
      </w:pPr>
    </w:p>
    <w:p w14:paraId="6194969C" w14:textId="77777777" w:rsidR="0086098A" w:rsidRDefault="00000000" w:rsidP="00672AB1">
      <w:pPr>
        <w:ind w:left="0" w:firstLine="0"/>
      </w:pPr>
      <w:r w:rsidRPr="003901D8">
        <w:t>Přípravek Humira je indikován k</w:t>
      </w:r>
      <w:r w:rsidR="00025179">
        <w:t> </w:t>
      </w:r>
      <w:r w:rsidRPr="003901D8">
        <w:t>léčbě středně těžké až těž</w:t>
      </w:r>
      <w:r>
        <w:t>ké aktivní ulcerózní kolitidy u </w:t>
      </w:r>
      <w:r w:rsidRPr="003901D8">
        <w:t>pediatrických pacientů (od 6 let), u</w:t>
      </w:r>
      <w:r w:rsidR="00025179">
        <w:t> </w:t>
      </w:r>
      <w:r w:rsidRPr="003901D8">
        <w:t xml:space="preserve">kterých reakce na konvenční léčbu </w:t>
      </w:r>
      <w:r w:rsidR="00764394" w:rsidRPr="001B4A02">
        <w:t xml:space="preserve">včetně </w:t>
      </w:r>
      <w:r w:rsidRPr="003901D8">
        <w:t>kortikosteroid</w:t>
      </w:r>
      <w:r w:rsidR="00764394">
        <w:t>ů</w:t>
      </w:r>
      <w:r w:rsidRPr="003901D8">
        <w:t xml:space="preserve"> a/nebo 6-merkaptopurin</w:t>
      </w:r>
      <w:r w:rsidR="00764394">
        <w:t>u</w:t>
      </w:r>
      <w:r w:rsidRPr="003901D8">
        <w:t xml:space="preserve"> (6-MP) nebo azathioprin</w:t>
      </w:r>
      <w:r w:rsidR="00764394">
        <w:t>u</w:t>
      </w:r>
      <w:r w:rsidRPr="003901D8">
        <w:t xml:space="preserve"> (AZA) nebyla dostatečná, nebo kteří ji netolerují nebo je u</w:t>
      </w:r>
      <w:r w:rsidR="00025179">
        <w:t> </w:t>
      </w:r>
      <w:r w:rsidRPr="003901D8">
        <w:t>nich tato léčba kontraindikována.</w:t>
      </w:r>
    </w:p>
    <w:p w14:paraId="1C62D450" w14:textId="77777777" w:rsidR="005365F7" w:rsidRPr="00672AB1" w:rsidRDefault="005365F7" w:rsidP="00672AB1">
      <w:pPr>
        <w:ind w:left="0" w:firstLine="0"/>
      </w:pPr>
    </w:p>
    <w:p w14:paraId="1677BB49" w14:textId="77777777" w:rsidR="00E7724C" w:rsidRPr="001B4A02" w:rsidRDefault="00000000" w:rsidP="00672AB1">
      <w:pPr>
        <w:keepNext/>
        <w:ind w:left="0" w:firstLine="0"/>
        <w:rPr>
          <w:u w:val="single"/>
        </w:rPr>
      </w:pPr>
      <w:r w:rsidRPr="001B4A02">
        <w:rPr>
          <w:u w:val="single"/>
        </w:rPr>
        <w:t>Uveitida</w:t>
      </w:r>
    </w:p>
    <w:p w14:paraId="0A58982B" w14:textId="77777777" w:rsidR="00E7724C" w:rsidRPr="001B4A02" w:rsidRDefault="00E7724C" w:rsidP="00ED48A3">
      <w:pPr>
        <w:keepNext/>
        <w:rPr>
          <w:u w:val="single"/>
        </w:rPr>
      </w:pPr>
    </w:p>
    <w:p w14:paraId="03D26964" w14:textId="77777777" w:rsidR="00E7724C" w:rsidRPr="001B4A02" w:rsidRDefault="00000000" w:rsidP="00ED48A3">
      <w:pPr>
        <w:pStyle w:val="EMEANormal"/>
        <w:rPr>
          <w:lang w:val="cs-CZ"/>
        </w:rPr>
      </w:pPr>
      <w:r w:rsidRPr="001B4A02">
        <w:rPr>
          <w:lang w:val="cs-CZ"/>
        </w:rPr>
        <w:t>Přípravek Humira je indikován k léčbě neinfekční intermediální</w:t>
      </w:r>
      <w:r w:rsidR="002378E0">
        <w:rPr>
          <w:lang w:val="cs-CZ"/>
        </w:rPr>
        <w:t xml:space="preserve"> a </w:t>
      </w:r>
      <w:r w:rsidRPr="001B4A02">
        <w:rPr>
          <w:lang w:val="cs-CZ"/>
        </w:rPr>
        <w:t>zadní uveitidy</w:t>
      </w:r>
      <w:r w:rsidR="002378E0">
        <w:rPr>
          <w:lang w:val="cs-CZ"/>
        </w:rPr>
        <w:t xml:space="preserve"> a </w:t>
      </w:r>
      <w:r w:rsidRPr="001B4A02">
        <w:rPr>
          <w:lang w:val="cs-CZ"/>
        </w:rPr>
        <w:t>panuveitidy u dospělých pacientů, u</w:t>
      </w:r>
      <w:r w:rsidR="00431A12" w:rsidRPr="001B4A02">
        <w:rPr>
          <w:lang w:val="cs-CZ"/>
        </w:rPr>
        <w:t> </w:t>
      </w:r>
      <w:r w:rsidRPr="001B4A02">
        <w:rPr>
          <w:lang w:val="cs-CZ"/>
        </w:rPr>
        <w:t>kterých reakce na terapii kortikosteroidy nebyla dostatečná, u</w:t>
      </w:r>
      <w:r w:rsidR="00431A12" w:rsidRPr="001B4A02">
        <w:rPr>
          <w:lang w:val="cs-CZ"/>
        </w:rPr>
        <w:t> </w:t>
      </w:r>
      <w:r w:rsidRPr="001B4A02">
        <w:rPr>
          <w:lang w:val="cs-CZ"/>
        </w:rPr>
        <w:t>pacientů vyžadujících kortikosteroidy šetřící terapii, nebo u</w:t>
      </w:r>
      <w:r w:rsidR="00431A12" w:rsidRPr="001B4A02">
        <w:rPr>
          <w:lang w:val="cs-CZ"/>
        </w:rPr>
        <w:t> </w:t>
      </w:r>
      <w:r w:rsidRPr="001B4A02">
        <w:rPr>
          <w:lang w:val="cs-CZ"/>
        </w:rPr>
        <w:t>pacientů, pro něž terapie kortikosteroidy není vhodná.</w:t>
      </w:r>
    </w:p>
    <w:p w14:paraId="3A21C48C" w14:textId="77777777" w:rsidR="00FF608E" w:rsidRPr="001B4A02" w:rsidRDefault="00FF608E" w:rsidP="00ED48A3">
      <w:pPr>
        <w:pStyle w:val="EMEANormal"/>
        <w:rPr>
          <w:lang w:val="cs-CZ"/>
        </w:rPr>
      </w:pPr>
    </w:p>
    <w:p w14:paraId="3C7DF092" w14:textId="77777777" w:rsidR="00B92186" w:rsidRPr="001B4A02" w:rsidRDefault="00000000" w:rsidP="00F31107">
      <w:pPr>
        <w:pStyle w:val="BodyText"/>
        <w:keepNext/>
        <w:rPr>
          <w:b w:val="0"/>
          <w:i w:val="0"/>
          <w:szCs w:val="22"/>
          <w:u w:val="single"/>
          <w:lang w:val="cs-CZ"/>
        </w:rPr>
      </w:pPr>
      <w:r w:rsidRPr="001B4A02">
        <w:rPr>
          <w:b w:val="0"/>
          <w:i w:val="0"/>
          <w:szCs w:val="22"/>
          <w:u w:val="single"/>
          <w:lang w:val="cs-CZ"/>
        </w:rPr>
        <w:t>Uveitida u pediatrických pacientů</w:t>
      </w:r>
    </w:p>
    <w:p w14:paraId="4682F658" w14:textId="77777777" w:rsidR="00B92186" w:rsidRPr="001B4A02" w:rsidRDefault="00B92186" w:rsidP="00F31107">
      <w:pPr>
        <w:keepNext/>
      </w:pPr>
    </w:p>
    <w:p w14:paraId="293157A0" w14:textId="77777777" w:rsidR="00FF608E" w:rsidRPr="001B4A02" w:rsidRDefault="00000000" w:rsidP="00ED48A3">
      <w:pPr>
        <w:pStyle w:val="EMEANormal"/>
        <w:tabs>
          <w:tab w:val="clear" w:pos="562"/>
          <w:tab w:val="left" w:pos="708"/>
        </w:tabs>
        <w:suppressAutoHyphens w:val="0"/>
        <w:rPr>
          <w:lang w:val="cs-CZ"/>
        </w:rPr>
      </w:pPr>
      <w:r w:rsidRPr="001B4A02">
        <w:rPr>
          <w:szCs w:val="22"/>
          <w:lang w:val="cs-CZ"/>
        </w:rPr>
        <w:t>Přípravek Humira je indikován k</w:t>
      </w:r>
      <w:r w:rsidR="00B66B89" w:rsidRPr="001B4A02">
        <w:rPr>
          <w:szCs w:val="22"/>
          <w:lang w:val="cs-CZ"/>
        </w:rPr>
        <w:t> </w:t>
      </w:r>
      <w:r w:rsidRPr="001B4A02">
        <w:rPr>
          <w:szCs w:val="22"/>
          <w:lang w:val="cs-CZ"/>
        </w:rPr>
        <w:t>léčbě chronické neinfekční přední uveitidy u</w:t>
      </w:r>
      <w:r w:rsidR="009B61F3" w:rsidRPr="001B4A02">
        <w:rPr>
          <w:szCs w:val="22"/>
          <w:lang w:val="cs-CZ"/>
        </w:rPr>
        <w:t> </w:t>
      </w:r>
      <w:r w:rsidRPr="001B4A02">
        <w:rPr>
          <w:szCs w:val="22"/>
          <w:lang w:val="cs-CZ"/>
        </w:rPr>
        <w:t xml:space="preserve">pediatrických pacientů ve věku od 2 let, </w:t>
      </w:r>
      <w:r w:rsidRPr="001B4A02">
        <w:rPr>
          <w:lang w:val="cs-CZ"/>
        </w:rPr>
        <w:t>u</w:t>
      </w:r>
      <w:r w:rsidR="009B61F3" w:rsidRPr="001B4A02">
        <w:rPr>
          <w:lang w:val="cs-CZ"/>
        </w:rPr>
        <w:t> </w:t>
      </w:r>
      <w:r w:rsidRPr="001B4A02">
        <w:rPr>
          <w:lang w:val="cs-CZ"/>
        </w:rPr>
        <w:t>kterých reakce na konvenční léčbu nebyla dostatečná, nebo kteří ji netolerují nebo u</w:t>
      </w:r>
      <w:r w:rsidR="009B61F3" w:rsidRPr="001B4A02">
        <w:rPr>
          <w:lang w:val="cs-CZ"/>
        </w:rPr>
        <w:t> </w:t>
      </w:r>
      <w:r w:rsidRPr="001B4A02">
        <w:rPr>
          <w:lang w:val="cs-CZ"/>
        </w:rPr>
        <w:t>nich</w:t>
      </w:r>
      <w:r w:rsidR="00245B07" w:rsidRPr="001B4A02">
        <w:rPr>
          <w:lang w:val="cs-CZ"/>
        </w:rPr>
        <w:t>ž</w:t>
      </w:r>
      <w:r w:rsidRPr="001B4A02">
        <w:rPr>
          <w:lang w:val="cs-CZ"/>
        </w:rPr>
        <w:t xml:space="preserve"> tato léčba není vhodná.</w:t>
      </w:r>
    </w:p>
    <w:p w14:paraId="64FB5DCE" w14:textId="77777777" w:rsidR="00E7724C" w:rsidRPr="001B4A02" w:rsidRDefault="00E7724C" w:rsidP="00ED48A3">
      <w:pPr>
        <w:pStyle w:val="EMEANormal"/>
        <w:rPr>
          <w:lang w:val="cs-CZ"/>
        </w:rPr>
      </w:pPr>
    </w:p>
    <w:p w14:paraId="1A4A8905" w14:textId="77777777" w:rsidR="00E7724C" w:rsidRPr="001B4A02" w:rsidRDefault="00000000" w:rsidP="00F31107">
      <w:pPr>
        <w:pStyle w:val="EMEAHeading2SPC"/>
        <w:keepNext/>
        <w:tabs>
          <w:tab w:val="clear" w:pos="562"/>
        </w:tabs>
        <w:spacing w:beforeLines="0" w:afterLines="0"/>
        <w:ind w:left="567" w:hanging="567"/>
        <w:rPr>
          <w:rFonts w:ascii="Times New Roman" w:hAnsi="Times New Roman"/>
          <w:lang w:val="cs-CZ"/>
        </w:rPr>
      </w:pPr>
      <w:r w:rsidRPr="001B4A02">
        <w:rPr>
          <w:rFonts w:ascii="Times New Roman" w:hAnsi="Times New Roman"/>
          <w:lang w:val="cs-CZ"/>
        </w:rPr>
        <w:t>4.2</w:t>
      </w:r>
      <w:r w:rsidRPr="001B4A02">
        <w:rPr>
          <w:rFonts w:ascii="Times New Roman" w:hAnsi="Times New Roman"/>
          <w:lang w:val="cs-CZ"/>
        </w:rPr>
        <w:tab/>
        <w:t>Dávkování</w:t>
      </w:r>
      <w:r w:rsidR="002378E0">
        <w:rPr>
          <w:rFonts w:ascii="Times New Roman" w:hAnsi="Times New Roman"/>
          <w:lang w:val="cs-CZ"/>
        </w:rPr>
        <w:t xml:space="preserve"> a </w:t>
      </w:r>
      <w:r w:rsidRPr="001B4A02">
        <w:rPr>
          <w:rFonts w:ascii="Times New Roman" w:hAnsi="Times New Roman"/>
          <w:lang w:val="cs-CZ"/>
        </w:rPr>
        <w:t>způsob podání</w:t>
      </w:r>
    </w:p>
    <w:p w14:paraId="38774ED9" w14:textId="77777777" w:rsidR="00E7724C" w:rsidRPr="001B4A02" w:rsidRDefault="00E7724C" w:rsidP="00F31107">
      <w:pPr>
        <w:pStyle w:val="EMEANormal"/>
        <w:keepNext/>
        <w:rPr>
          <w:lang w:val="cs-CZ"/>
        </w:rPr>
      </w:pPr>
    </w:p>
    <w:p w14:paraId="54189FFD" w14:textId="77777777" w:rsidR="00E17AD4" w:rsidRPr="001B4A02" w:rsidRDefault="00000000" w:rsidP="00ED48A3">
      <w:pPr>
        <w:ind w:left="0" w:firstLine="0"/>
      </w:pPr>
      <w:r w:rsidRPr="001B4A02">
        <w:t>Léčba přípravkem Humira má být zahájena</w:t>
      </w:r>
      <w:r w:rsidR="002378E0">
        <w:t xml:space="preserve"> a </w:t>
      </w:r>
      <w:r w:rsidRPr="001B4A02">
        <w:t>sledována odborným lékařem se zkušenostmi v diagnostice</w:t>
      </w:r>
      <w:r w:rsidR="002378E0">
        <w:t xml:space="preserve"> a </w:t>
      </w:r>
      <w:r w:rsidRPr="001B4A02">
        <w:t xml:space="preserve">léčbě těch typů onemocnění, pro něž je přípravek Humira indikován. Oftalmologům se doporučuje terapii přípravkem Humira před </w:t>
      </w:r>
      <w:r w:rsidR="00D3072B" w:rsidRPr="001B4A02">
        <w:t xml:space="preserve">jejím </w:t>
      </w:r>
      <w:r w:rsidRPr="001B4A02">
        <w:t>zahájením zkonzultovat s příslušným odborným lékařem</w:t>
      </w:r>
      <w:r w:rsidRPr="001B4A02">
        <w:rPr>
          <w:szCs w:val="22"/>
        </w:rPr>
        <w:t xml:space="preserve"> (viz bod 4.4). </w:t>
      </w:r>
      <w:r w:rsidRPr="001B4A02">
        <w:t>Pacienti léčení přípravkem Humira musí být vybaveni speciální informační kartičkou.</w:t>
      </w:r>
    </w:p>
    <w:p w14:paraId="4FBE9FD9" w14:textId="77777777" w:rsidR="00E17AD4" w:rsidRPr="001B4A02" w:rsidRDefault="00E17AD4" w:rsidP="00ED48A3">
      <w:pPr>
        <w:ind w:left="0" w:firstLine="0"/>
      </w:pPr>
    </w:p>
    <w:p w14:paraId="5F073A19" w14:textId="77777777" w:rsidR="00E17AD4" w:rsidRPr="001B4A02" w:rsidRDefault="00000000" w:rsidP="00ED48A3">
      <w:pPr>
        <w:ind w:left="0" w:firstLine="0"/>
      </w:pPr>
      <w:r w:rsidRPr="001B4A02">
        <w:t>Po řádném proškolení v podávání injekce si pacienti mohou přípravek Humira aplikovat sami, jestliže jejich lékař rozhodne, že je to vhodné,</w:t>
      </w:r>
      <w:r w:rsidR="002378E0">
        <w:t xml:space="preserve"> a </w:t>
      </w:r>
      <w:r w:rsidRPr="001B4A02">
        <w:t>je-li zajištěn podle potřeby lékařský dohled.</w:t>
      </w:r>
    </w:p>
    <w:p w14:paraId="334CAAFF" w14:textId="77777777" w:rsidR="00E17AD4" w:rsidRPr="001B4A02" w:rsidRDefault="00E17AD4" w:rsidP="00ED48A3">
      <w:pPr>
        <w:ind w:left="0" w:firstLine="0"/>
      </w:pPr>
    </w:p>
    <w:p w14:paraId="1F48D147" w14:textId="77777777" w:rsidR="00E7724C" w:rsidRPr="001B4A02" w:rsidRDefault="00000000" w:rsidP="00ED48A3">
      <w:pPr>
        <w:ind w:left="0" w:firstLine="0"/>
      </w:pPr>
      <w:r w:rsidRPr="001B4A02">
        <w:t>Po dobu léčby přípravkem Humira je třeba upravit dávky ostatních současně užívaných léčiv (např. kortikosteroidů a/nebo imunomodulační</w:t>
      </w:r>
      <w:r w:rsidR="0051758E" w:rsidRPr="001B4A02">
        <w:t>ch</w:t>
      </w:r>
      <w:r w:rsidRPr="001B4A02">
        <w:t xml:space="preserve"> léků).</w:t>
      </w:r>
    </w:p>
    <w:p w14:paraId="47916610" w14:textId="77777777" w:rsidR="00E7724C" w:rsidRPr="001B4A02" w:rsidRDefault="00E7724C" w:rsidP="00ED48A3">
      <w:pPr>
        <w:pStyle w:val="EMEANormal"/>
        <w:rPr>
          <w:u w:val="single"/>
          <w:lang w:val="cs-CZ"/>
        </w:rPr>
      </w:pPr>
    </w:p>
    <w:p w14:paraId="3005426A" w14:textId="77777777" w:rsidR="00E7724C" w:rsidRPr="001B4A02" w:rsidRDefault="00000000" w:rsidP="00F31107">
      <w:pPr>
        <w:pStyle w:val="EMEANormal"/>
        <w:keepNext/>
        <w:rPr>
          <w:szCs w:val="22"/>
          <w:u w:val="single"/>
          <w:lang w:val="cs-CZ"/>
        </w:rPr>
      </w:pPr>
      <w:r w:rsidRPr="001B4A02">
        <w:rPr>
          <w:u w:val="single"/>
          <w:lang w:val="cs-CZ"/>
        </w:rPr>
        <w:t>Dávkování</w:t>
      </w:r>
    </w:p>
    <w:p w14:paraId="54D1A4BD" w14:textId="77777777" w:rsidR="00E7724C" w:rsidRPr="001B4A02" w:rsidRDefault="00E7724C" w:rsidP="00F31107">
      <w:pPr>
        <w:pStyle w:val="EMEANormal"/>
        <w:keepNext/>
        <w:rPr>
          <w:u w:val="single"/>
          <w:lang w:val="cs-CZ"/>
        </w:rPr>
      </w:pPr>
    </w:p>
    <w:p w14:paraId="09A9C466" w14:textId="77777777" w:rsidR="005D1257" w:rsidRPr="001B4A02" w:rsidRDefault="00000000" w:rsidP="00F31107">
      <w:pPr>
        <w:pStyle w:val="EMEAHeadingUnderline"/>
        <w:keepNext/>
        <w:tabs>
          <w:tab w:val="clear" w:pos="562"/>
        </w:tabs>
        <w:suppressAutoHyphens w:val="0"/>
        <w:spacing w:beforeLines="0" w:before="0" w:afterLines="0" w:after="0"/>
        <w:rPr>
          <w:i/>
          <w:u w:val="none"/>
          <w:lang w:val="cs-CZ"/>
        </w:rPr>
      </w:pPr>
      <w:r w:rsidRPr="001B4A02">
        <w:rPr>
          <w:i/>
          <w:u w:val="none"/>
          <w:lang w:val="cs-CZ"/>
        </w:rPr>
        <w:t>Revmatoidní artritida</w:t>
      </w:r>
    </w:p>
    <w:p w14:paraId="50E03972" w14:textId="77777777" w:rsidR="005D1257" w:rsidRPr="001B4A02" w:rsidRDefault="005D1257" w:rsidP="00F31107">
      <w:pPr>
        <w:keepNext/>
        <w:ind w:left="0" w:firstLine="0"/>
      </w:pPr>
    </w:p>
    <w:p w14:paraId="4508B3B0" w14:textId="77777777" w:rsidR="005D1257" w:rsidRPr="001B4A02" w:rsidRDefault="00000000" w:rsidP="005D1257">
      <w:pPr>
        <w:ind w:left="0" w:firstLine="0"/>
      </w:pPr>
      <w:r w:rsidRPr="001B4A02">
        <w:t>Doporučená dávka přípravku Humira u dospělých pacientů s revmatoidní artritidou je 40 mg adalimumabu podávaného jako jedna dávka subkutánně každý druhý týden. Během léčby přípravkem Humira je doporučeno pokračovat v léčbě methotrexátem.</w:t>
      </w:r>
    </w:p>
    <w:p w14:paraId="79E248A4" w14:textId="77777777" w:rsidR="005D1257" w:rsidRPr="001B4A02" w:rsidRDefault="005D1257" w:rsidP="005D1257">
      <w:pPr>
        <w:ind w:left="0" w:firstLine="0"/>
      </w:pPr>
    </w:p>
    <w:p w14:paraId="7909B662" w14:textId="77777777" w:rsidR="005D1257" w:rsidRPr="001B4A02" w:rsidRDefault="00000000" w:rsidP="005D1257">
      <w:pPr>
        <w:ind w:left="0" w:firstLine="0"/>
      </w:pPr>
      <w:r w:rsidRPr="001B4A02">
        <w:t xml:space="preserve">Během léčby přípravkem Humira se může pokračovat v podávání glukokortikoidů, salicylátů, </w:t>
      </w:r>
      <w:r w:rsidR="007B0E03" w:rsidRPr="001B4A02">
        <w:t>nesteroidní</w:t>
      </w:r>
      <w:r w:rsidR="007B0E03">
        <w:t>ch</w:t>
      </w:r>
      <w:r w:rsidR="007B0E03" w:rsidRPr="001B4A02">
        <w:t xml:space="preserve"> protizánětliv</w:t>
      </w:r>
      <w:r w:rsidR="007B0E03">
        <w:t>ých</w:t>
      </w:r>
      <w:r w:rsidR="007B0E03" w:rsidRPr="001B4A02">
        <w:t xml:space="preserve"> léčiv</w:t>
      </w:r>
      <w:r w:rsidR="007B0E03">
        <w:t>ých</w:t>
      </w:r>
      <w:r w:rsidR="007B0E03" w:rsidRPr="001B4A02">
        <w:t xml:space="preserve"> přípravk</w:t>
      </w:r>
      <w:r w:rsidR="007B0E03">
        <w:t>ů</w:t>
      </w:r>
      <w:r w:rsidR="007B0E03" w:rsidRPr="001B4A02">
        <w:t xml:space="preserve"> </w:t>
      </w:r>
      <w:r w:rsidR="00E8788C">
        <w:t>(NSAID)</w:t>
      </w:r>
      <w:r w:rsidRPr="001B4A02">
        <w:t xml:space="preserve"> či analgetik. Pro kombinaci s chorobu modifikujícími antirevmatickými léky, s výjimkou methotrexátu, viz body 4.4</w:t>
      </w:r>
      <w:r w:rsidR="002378E0">
        <w:t xml:space="preserve"> a </w:t>
      </w:r>
      <w:r w:rsidRPr="001B4A02">
        <w:t>5.1.</w:t>
      </w:r>
    </w:p>
    <w:p w14:paraId="04A6C2B8" w14:textId="77777777" w:rsidR="005D1257" w:rsidRPr="001B4A02" w:rsidRDefault="005D1257" w:rsidP="005D1257">
      <w:pPr>
        <w:ind w:left="0" w:firstLine="0"/>
      </w:pPr>
    </w:p>
    <w:p w14:paraId="0C88BCBA" w14:textId="77777777" w:rsidR="005D1257" w:rsidRPr="001B4A02" w:rsidRDefault="00000000" w:rsidP="005D1257">
      <w:pPr>
        <w:ind w:left="0" w:firstLine="0"/>
      </w:pPr>
      <w:r w:rsidRPr="001B4A02">
        <w:t>Pokud u některých pacientů na monoterapii adalimumabem dojde ke snížení odpovědi na léčbu přípravkem Humira 40</w:t>
      </w:r>
      <w:r w:rsidR="00874DE1">
        <w:t> mg</w:t>
      </w:r>
      <w:r w:rsidRPr="001B4A02">
        <w:t xml:space="preserve"> jednou za dva týdny, může být u těchto pacientů prospěšné zvýšení dávkování na 40</w:t>
      </w:r>
      <w:r w:rsidR="00874DE1">
        <w:t> mg</w:t>
      </w:r>
      <w:r w:rsidRPr="001B4A02">
        <w:t xml:space="preserve"> jednou týdně nebo 80</w:t>
      </w:r>
      <w:r w:rsidR="00874DE1">
        <w:t> mg</w:t>
      </w:r>
      <w:r w:rsidRPr="001B4A02">
        <w:t xml:space="preserve"> jednou za dva týdny.</w:t>
      </w:r>
    </w:p>
    <w:p w14:paraId="74BCE1AA" w14:textId="77777777" w:rsidR="005D1257" w:rsidRPr="001B4A02" w:rsidRDefault="005D1257" w:rsidP="005D1257">
      <w:pPr>
        <w:rPr>
          <w:color w:val="000000"/>
        </w:rPr>
      </w:pPr>
    </w:p>
    <w:p w14:paraId="0D2A3C82" w14:textId="77777777" w:rsidR="005D1257" w:rsidRPr="001B4A02" w:rsidRDefault="00000000" w:rsidP="005D1257">
      <w:pPr>
        <w:pStyle w:val="EMEANormal"/>
        <w:tabs>
          <w:tab w:val="clear" w:pos="562"/>
        </w:tabs>
        <w:suppressAutoHyphens w:val="0"/>
        <w:rPr>
          <w:lang w:val="cs-CZ"/>
        </w:rPr>
      </w:pPr>
      <w:r w:rsidRPr="001B4A02">
        <w:rPr>
          <w:lang w:val="cs-CZ"/>
        </w:rPr>
        <w:t>Dostupné údaje nasvědčují tomu, že klinické odpovědi na léčbu je dosaženo obvykle během 12 týdnů léčby. U pacientů, u kterých nedošlo k odpovědi během této doby, je nutné zvážit její pokračování.</w:t>
      </w:r>
    </w:p>
    <w:p w14:paraId="2860038C" w14:textId="77777777" w:rsidR="005D1257" w:rsidRPr="001B4A02" w:rsidRDefault="005D1257" w:rsidP="005D1257"/>
    <w:p w14:paraId="0674CDCE" w14:textId="77777777" w:rsidR="005D1257" w:rsidRPr="001B4A02" w:rsidRDefault="00000000" w:rsidP="00F31107">
      <w:pPr>
        <w:ind w:left="0" w:firstLine="0"/>
      </w:pPr>
      <w:r w:rsidRPr="001B4A02">
        <w:t xml:space="preserve">Přípravek Humira je k dispozici v dalších silách a/nebo </w:t>
      </w:r>
      <w:r w:rsidR="000B08CB">
        <w:t>typech balení</w:t>
      </w:r>
      <w:r w:rsidRPr="001B4A02">
        <w:t xml:space="preserve"> v závislosti na individuálních potřebách léčby.</w:t>
      </w:r>
    </w:p>
    <w:p w14:paraId="4A08174D" w14:textId="77777777" w:rsidR="005D1257" w:rsidRPr="001B4A02" w:rsidRDefault="005D1257" w:rsidP="00ED48A3">
      <w:pPr>
        <w:pStyle w:val="EMEANormal"/>
        <w:rPr>
          <w:u w:val="single"/>
          <w:lang w:val="cs-CZ"/>
        </w:rPr>
      </w:pPr>
    </w:p>
    <w:p w14:paraId="3372B90B" w14:textId="77777777" w:rsidR="005E4F2B" w:rsidRPr="001B4A02" w:rsidRDefault="00000000" w:rsidP="00F31107">
      <w:pPr>
        <w:keepNext/>
        <w:rPr>
          <w:i/>
        </w:rPr>
      </w:pPr>
      <w:r w:rsidRPr="001B4A02">
        <w:rPr>
          <w:i/>
        </w:rPr>
        <w:t>Psoriáza</w:t>
      </w:r>
    </w:p>
    <w:p w14:paraId="5331AD31" w14:textId="77777777" w:rsidR="005E4F2B" w:rsidRPr="001B4A02" w:rsidRDefault="005E4F2B" w:rsidP="00F31107">
      <w:pPr>
        <w:keepNext/>
        <w:rPr>
          <w:u w:val="single"/>
        </w:rPr>
      </w:pPr>
    </w:p>
    <w:p w14:paraId="33CE149B" w14:textId="77777777" w:rsidR="005E4F2B" w:rsidRPr="001B4A02" w:rsidRDefault="00000000" w:rsidP="00ED48A3">
      <w:pPr>
        <w:ind w:left="0" w:firstLine="0"/>
      </w:pPr>
      <w:r w:rsidRPr="001B4A02">
        <w:t>Doporučená úvodní dávka přípravku Humira pro dospělé pacienty je 80</w:t>
      </w:r>
      <w:r w:rsidR="00874DE1">
        <w:t> mg</w:t>
      </w:r>
      <w:r w:rsidRPr="001B4A02">
        <w:t xml:space="preserve"> podaných subkutánně, po níž následuje dávka 40</w:t>
      </w:r>
      <w:r w:rsidR="00874DE1">
        <w:t> mg</w:t>
      </w:r>
      <w:r w:rsidRPr="001B4A02">
        <w:t xml:space="preserve"> subkutánně každý druhý týden, počínaje prvním týdnem po úvodní dávce.</w:t>
      </w:r>
      <w:r w:rsidR="00513D06" w:rsidRPr="001B4A02">
        <w:t xml:space="preserve"> </w:t>
      </w:r>
      <w:r w:rsidR="00533423" w:rsidRPr="001B4A02">
        <w:t>Pro udržovací dávku je dostupný p</w:t>
      </w:r>
      <w:r w:rsidR="002B053D" w:rsidRPr="001B4A02">
        <w:t xml:space="preserve">řípravek </w:t>
      </w:r>
      <w:r w:rsidR="00513D06" w:rsidRPr="001B4A02">
        <w:t>Humira 40</w:t>
      </w:r>
      <w:r w:rsidR="00874DE1">
        <w:t> mg</w:t>
      </w:r>
      <w:r w:rsidR="00513D06" w:rsidRPr="001B4A02">
        <w:t xml:space="preserve"> injekční roztok v</w:t>
      </w:r>
      <w:r w:rsidR="00431A12" w:rsidRPr="001B4A02">
        <w:t> </w:t>
      </w:r>
      <w:r w:rsidR="00513D06" w:rsidRPr="001B4A02">
        <w:t>předplněné injekční stříkačce a/nebo předplněném peru.</w:t>
      </w:r>
    </w:p>
    <w:p w14:paraId="03F9560E" w14:textId="77777777" w:rsidR="005E4F2B" w:rsidRPr="001B4A02" w:rsidRDefault="005E4F2B" w:rsidP="00ED48A3"/>
    <w:p w14:paraId="0F66FF1A" w14:textId="77777777" w:rsidR="005E4F2B" w:rsidRPr="001B4A02" w:rsidRDefault="00000000" w:rsidP="00ED48A3">
      <w:pPr>
        <w:pStyle w:val="EMEANormal"/>
        <w:tabs>
          <w:tab w:val="clear" w:pos="562"/>
          <w:tab w:val="left" w:pos="708"/>
        </w:tabs>
        <w:suppressAutoHyphens w:val="0"/>
        <w:rPr>
          <w:lang w:val="cs-CZ"/>
        </w:rPr>
      </w:pPr>
      <w:r w:rsidRPr="001B4A02">
        <w:rPr>
          <w:lang w:val="cs-CZ"/>
        </w:rPr>
        <w:t>Pokračování v léčbě po dobu delší než 16 týdnů je nutno pečlivě zvážit u</w:t>
      </w:r>
      <w:r w:rsidR="000D0CB0" w:rsidRPr="001B4A02">
        <w:rPr>
          <w:lang w:val="cs-CZ"/>
        </w:rPr>
        <w:t> </w:t>
      </w:r>
      <w:r w:rsidRPr="001B4A02">
        <w:rPr>
          <w:lang w:val="cs-CZ"/>
        </w:rPr>
        <w:t>těch pacientů, u</w:t>
      </w:r>
      <w:r w:rsidR="000D0CB0" w:rsidRPr="001B4A02">
        <w:rPr>
          <w:lang w:val="cs-CZ"/>
        </w:rPr>
        <w:t> </w:t>
      </w:r>
      <w:r w:rsidRPr="001B4A02">
        <w:rPr>
          <w:lang w:val="cs-CZ"/>
        </w:rPr>
        <w:t>kterých nedošlo</w:t>
      </w:r>
      <w:r w:rsidR="00F31107" w:rsidRPr="001B4A02">
        <w:rPr>
          <w:lang w:val="cs-CZ"/>
        </w:rPr>
        <w:t xml:space="preserve"> </w:t>
      </w:r>
      <w:r w:rsidRPr="001B4A02">
        <w:rPr>
          <w:lang w:val="cs-CZ"/>
        </w:rPr>
        <w:t>během této doby k odpovědi.</w:t>
      </w:r>
    </w:p>
    <w:p w14:paraId="7D553BC5" w14:textId="77777777" w:rsidR="005E4F2B" w:rsidRPr="001B4A02" w:rsidRDefault="005E4F2B" w:rsidP="00ED48A3">
      <w:pPr>
        <w:pStyle w:val="EMEANormal"/>
        <w:tabs>
          <w:tab w:val="clear" w:pos="562"/>
        </w:tabs>
        <w:suppressAutoHyphens w:val="0"/>
        <w:rPr>
          <w:lang w:val="cs-CZ"/>
        </w:rPr>
      </w:pPr>
    </w:p>
    <w:p w14:paraId="49E2DEAA" w14:textId="77777777" w:rsidR="00E7724C" w:rsidRPr="001B4A02" w:rsidRDefault="00000000" w:rsidP="00ED48A3">
      <w:pPr>
        <w:ind w:left="0" w:firstLine="0"/>
        <w:rPr>
          <w:szCs w:val="22"/>
        </w:rPr>
      </w:pPr>
      <w:r w:rsidRPr="001B4A02">
        <w:t>Pacienti s nedostatečnou odpovědí</w:t>
      </w:r>
      <w:r w:rsidR="005D1257" w:rsidRPr="001B4A02">
        <w:t xml:space="preserve"> na léčbu přípravkem Humira 40</w:t>
      </w:r>
      <w:r w:rsidR="00874DE1">
        <w:t> mg</w:t>
      </w:r>
      <w:r w:rsidR="005D1257" w:rsidRPr="001B4A02">
        <w:t xml:space="preserve"> jednou za dva týdny</w:t>
      </w:r>
      <w:r w:rsidRPr="001B4A02">
        <w:t xml:space="preserve"> mohou mít kdykoli po </w:t>
      </w:r>
      <w:r w:rsidR="00D00F8F">
        <w:t>týdnu 16</w:t>
      </w:r>
      <w:r w:rsidRPr="001B4A02">
        <w:t xml:space="preserve"> léčby přínos ze zvýšení dávkování na 40</w:t>
      </w:r>
      <w:r w:rsidR="00874DE1">
        <w:t> mg</w:t>
      </w:r>
      <w:r w:rsidRPr="001B4A02">
        <w:t xml:space="preserve"> jednou týdně</w:t>
      </w:r>
      <w:r w:rsidR="005D1257" w:rsidRPr="001B4A02">
        <w:t xml:space="preserve"> nebo 80</w:t>
      </w:r>
      <w:r w:rsidR="00874DE1">
        <w:t> mg</w:t>
      </w:r>
      <w:r w:rsidR="005D1257" w:rsidRPr="001B4A02">
        <w:t xml:space="preserve"> jednou za dva týdny</w:t>
      </w:r>
      <w:r w:rsidRPr="001B4A02">
        <w:t>. Přínos</w:t>
      </w:r>
      <w:r w:rsidR="002378E0">
        <w:t xml:space="preserve"> a </w:t>
      </w:r>
      <w:r w:rsidRPr="001B4A02">
        <w:t xml:space="preserve">rizika pokračování léčby </w:t>
      </w:r>
      <w:r w:rsidR="005D1257" w:rsidRPr="001B4A02">
        <w:t>40</w:t>
      </w:r>
      <w:r w:rsidR="00874DE1">
        <w:t> mg</w:t>
      </w:r>
      <w:r w:rsidRPr="001B4A02">
        <w:t xml:space="preserve"> jednou týdně</w:t>
      </w:r>
      <w:r w:rsidR="005D1257" w:rsidRPr="001B4A02">
        <w:t xml:space="preserve"> nebo 80</w:t>
      </w:r>
      <w:r w:rsidR="00874DE1">
        <w:t> mg</w:t>
      </w:r>
      <w:r w:rsidR="005D1257" w:rsidRPr="001B4A02">
        <w:t xml:space="preserve"> jednou za dva týdny</w:t>
      </w:r>
      <w:r w:rsidRPr="001B4A02">
        <w:t xml:space="preserve"> by měly být pečlivě zváženy u</w:t>
      </w:r>
      <w:r w:rsidR="000D0CB0" w:rsidRPr="001B4A02">
        <w:t> </w:t>
      </w:r>
      <w:r w:rsidRPr="001B4A02">
        <w:t>pacientů, u</w:t>
      </w:r>
      <w:r w:rsidR="000D0CB0" w:rsidRPr="001B4A02">
        <w:t> </w:t>
      </w:r>
      <w:r w:rsidRPr="001B4A02">
        <w:t xml:space="preserve">kterých nedošlo po zvýšení dávkování k adekvátní odpovědi (viz bod 5.1). V případě dosažení adekvátní odpovědi při dávkování </w:t>
      </w:r>
      <w:r w:rsidR="005D1257" w:rsidRPr="001B4A02">
        <w:t>40</w:t>
      </w:r>
      <w:r w:rsidR="00874DE1">
        <w:t> mg</w:t>
      </w:r>
      <w:r w:rsidR="005D1257" w:rsidRPr="001B4A02">
        <w:t xml:space="preserve"> jednou týdně nebo 80</w:t>
      </w:r>
      <w:r w:rsidR="00874DE1">
        <w:t> mg</w:t>
      </w:r>
      <w:r w:rsidR="005D1257" w:rsidRPr="001B4A02">
        <w:t xml:space="preserve"> jednou za dva týdny </w:t>
      </w:r>
      <w:r w:rsidRPr="001B4A02">
        <w:t xml:space="preserve">může být </w:t>
      </w:r>
      <w:r w:rsidR="005D1257" w:rsidRPr="001B4A02">
        <w:t xml:space="preserve">dávkování </w:t>
      </w:r>
      <w:r w:rsidRPr="001B4A02">
        <w:t xml:space="preserve">následně </w:t>
      </w:r>
      <w:r w:rsidR="005D1257" w:rsidRPr="001B4A02">
        <w:t xml:space="preserve">sníženo </w:t>
      </w:r>
      <w:r w:rsidRPr="001B4A02">
        <w:t>na 40</w:t>
      </w:r>
      <w:r w:rsidR="00874DE1">
        <w:t> mg</w:t>
      </w:r>
      <w:r w:rsidRPr="001B4A02">
        <w:t xml:space="preserve"> každý druhý týden.</w:t>
      </w:r>
    </w:p>
    <w:p w14:paraId="1F850164" w14:textId="77777777" w:rsidR="00E7724C" w:rsidRPr="001B4A02" w:rsidRDefault="00E7724C" w:rsidP="00ED48A3">
      <w:pPr>
        <w:pStyle w:val="EMEANormal"/>
        <w:rPr>
          <w:u w:val="single"/>
          <w:lang w:val="cs-CZ"/>
        </w:rPr>
      </w:pPr>
    </w:p>
    <w:p w14:paraId="4C9326CE" w14:textId="77777777" w:rsidR="005D1257" w:rsidRPr="001B4A02" w:rsidRDefault="00000000" w:rsidP="00F31107">
      <w:pPr>
        <w:ind w:left="0" w:firstLine="0"/>
      </w:pPr>
      <w:r w:rsidRPr="001B4A02">
        <w:t xml:space="preserve">Přípravek Humira je k dispozici v dalších silách a/nebo </w:t>
      </w:r>
      <w:r w:rsidR="000B08CB">
        <w:t>typech balení</w:t>
      </w:r>
      <w:r w:rsidRPr="001B4A02">
        <w:t xml:space="preserve"> v závislosti na individuálních potřebách léčby.</w:t>
      </w:r>
    </w:p>
    <w:p w14:paraId="44447FA2" w14:textId="77777777" w:rsidR="005D1257" w:rsidRPr="001B4A02" w:rsidRDefault="005D1257" w:rsidP="00ED48A3">
      <w:pPr>
        <w:pStyle w:val="EMEANormal"/>
        <w:rPr>
          <w:u w:val="single"/>
          <w:lang w:val="cs-CZ"/>
        </w:rPr>
      </w:pPr>
    </w:p>
    <w:p w14:paraId="12E138AE" w14:textId="77777777" w:rsidR="005E4F2B" w:rsidRPr="001B4A02" w:rsidRDefault="00000000" w:rsidP="008A4562">
      <w:pPr>
        <w:pStyle w:val="EMEANormal"/>
        <w:keepNext/>
        <w:rPr>
          <w:i/>
          <w:lang w:val="cs-CZ"/>
        </w:rPr>
      </w:pPr>
      <w:r w:rsidRPr="001B4A02">
        <w:rPr>
          <w:i/>
          <w:lang w:val="cs-CZ"/>
        </w:rPr>
        <w:t xml:space="preserve">Hidradenitis suppurativa </w:t>
      </w:r>
    </w:p>
    <w:p w14:paraId="654821FB" w14:textId="77777777" w:rsidR="005E4F2B" w:rsidRPr="001B4A02" w:rsidRDefault="005E4F2B" w:rsidP="008A4562">
      <w:pPr>
        <w:pStyle w:val="EMEANormal"/>
        <w:keepNext/>
        <w:rPr>
          <w:lang w:val="cs-CZ"/>
        </w:rPr>
      </w:pPr>
    </w:p>
    <w:p w14:paraId="1B4C91EC" w14:textId="77777777" w:rsidR="00533423" w:rsidRPr="001B4A02" w:rsidRDefault="00000000" w:rsidP="00ED48A3">
      <w:pPr>
        <w:ind w:left="0" w:firstLine="0"/>
      </w:pPr>
      <w:r w:rsidRPr="001B4A02">
        <w:t xml:space="preserve">Doporučená </w:t>
      </w:r>
      <w:r w:rsidR="00EE5BAE" w:rsidRPr="001B4A02">
        <w:t>úvodní</w:t>
      </w:r>
      <w:r w:rsidRPr="001B4A02">
        <w:t xml:space="preserve"> dávka u</w:t>
      </w:r>
      <w:r w:rsidR="000D0CB0" w:rsidRPr="001B4A02">
        <w:t> </w:t>
      </w:r>
      <w:r w:rsidRPr="001B4A02">
        <w:t>dospělých pacientů s</w:t>
      </w:r>
      <w:r w:rsidR="000D0CB0" w:rsidRPr="001B4A02">
        <w:t> </w:t>
      </w:r>
      <w:r w:rsidRPr="001B4A02">
        <w:t>hidradenitis suppurativa (HS) je 160</w:t>
      </w:r>
      <w:r w:rsidR="00874DE1">
        <w:t> mg</w:t>
      </w:r>
      <w:r w:rsidRPr="001B4A02">
        <w:t xml:space="preserve"> ve dni</w:t>
      </w:r>
      <w:r w:rsidR="00F61571" w:rsidRPr="001B4A02">
        <w:t> </w:t>
      </w:r>
      <w:r w:rsidR="00EB17C4" w:rsidRPr="001B4A02">
        <w:t>1 (</w:t>
      </w:r>
      <w:r w:rsidR="00513D06" w:rsidRPr="001B4A02">
        <w:t xml:space="preserve">podávaná jako dvě 80mg injekce </w:t>
      </w:r>
      <w:r w:rsidRPr="001B4A02">
        <w:t>ve dni 1</w:t>
      </w:r>
      <w:r w:rsidR="00513D06" w:rsidRPr="001B4A02">
        <w:t xml:space="preserve"> nebo jako jedna 80mg injekce denně po dobu dvou po sobě jdoucích dnů</w:t>
      </w:r>
      <w:r w:rsidR="00EB17C4" w:rsidRPr="001B4A02">
        <w:t xml:space="preserve">) </w:t>
      </w:r>
      <w:r w:rsidR="00513D06" w:rsidRPr="001B4A02">
        <w:t>s</w:t>
      </w:r>
      <w:r w:rsidR="000D0CB0" w:rsidRPr="001B4A02">
        <w:t> </w:t>
      </w:r>
      <w:r w:rsidR="00513D06" w:rsidRPr="001B4A02">
        <w:t xml:space="preserve">následným podáním dávky </w:t>
      </w:r>
      <w:r w:rsidR="00EB17C4" w:rsidRPr="001B4A02">
        <w:t>80</w:t>
      </w:r>
      <w:r w:rsidR="00874DE1">
        <w:t> mg</w:t>
      </w:r>
      <w:r w:rsidRPr="001B4A02">
        <w:t xml:space="preserve"> o</w:t>
      </w:r>
      <w:r w:rsidR="000D0CB0" w:rsidRPr="001B4A02">
        <w:t> </w:t>
      </w:r>
      <w:r w:rsidR="00513D06" w:rsidRPr="001B4A02">
        <w:t>dva týdny</w:t>
      </w:r>
      <w:r w:rsidRPr="001B4A02">
        <w:t xml:space="preserve"> později</w:t>
      </w:r>
      <w:r w:rsidR="00513D06" w:rsidRPr="001B4A02">
        <w:t xml:space="preserve"> v</w:t>
      </w:r>
      <w:r w:rsidR="000D0CB0" w:rsidRPr="001B4A02">
        <w:t> </w:t>
      </w:r>
      <w:r w:rsidR="00513D06" w:rsidRPr="001B4A02">
        <w:t>den 15</w:t>
      </w:r>
      <w:r w:rsidR="00EB17C4" w:rsidRPr="001B4A02">
        <w:t>.</w:t>
      </w:r>
      <w:r w:rsidR="00513D06" w:rsidRPr="001B4A02">
        <w:t xml:space="preserve"> </w:t>
      </w:r>
      <w:r w:rsidRPr="001B4A02">
        <w:t>O</w:t>
      </w:r>
      <w:r w:rsidR="000D0CB0" w:rsidRPr="001B4A02">
        <w:t> </w:t>
      </w:r>
      <w:r w:rsidRPr="001B4A02">
        <w:t>dva týdny později (den 29) se pokračuje dávkou 40</w:t>
      </w:r>
      <w:r w:rsidR="00874DE1">
        <w:t> mg</w:t>
      </w:r>
      <w:r w:rsidRPr="001B4A02">
        <w:t xml:space="preserve"> jednou týdně</w:t>
      </w:r>
      <w:r w:rsidR="005D1257" w:rsidRPr="001B4A02">
        <w:t xml:space="preserve"> nebo 80</w:t>
      </w:r>
      <w:r w:rsidR="00874DE1">
        <w:t> mg</w:t>
      </w:r>
      <w:r w:rsidR="005D1257" w:rsidRPr="001B4A02">
        <w:t xml:space="preserve"> jednou za dva týdny</w:t>
      </w:r>
      <w:r w:rsidRPr="001B4A02">
        <w:t>. Je-li to nutné, léčba antibiotiky může během léčby přípravkem Humira pokračovat. Pacientům se během léčby přípravkem Humira doporučuje provádět denně lokální antiseptické ošetření na místech s</w:t>
      </w:r>
      <w:r w:rsidR="000D0CB0" w:rsidRPr="001B4A02">
        <w:t> </w:t>
      </w:r>
      <w:r w:rsidRPr="001B4A02">
        <w:t>HS lézí.</w:t>
      </w:r>
      <w:r w:rsidR="00F6219F" w:rsidRPr="001B4A02">
        <w:t xml:space="preserve"> </w:t>
      </w:r>
    </w:p>
    <w:p w14:paraId="6386C840" w14:textId="77777777" w:rsidR="005E4F2B" w:rsidRPr="001B4A02" w:rsidRDefault="005E4F2B" w:rsidP="00ED48A3">
      <w:pPr>
        <w:pStyle w:val="EMEANormal"/>
        <w:rPr>
          <w:lang w:val="cs-CZ"/>
        </w:rPr>
      </w:pPr>
    </w:p>
    <w:p w14:paraId="44BD1DF6" w14:textId="77777777" w:rsidR="005E4F2B" w:rsidRPr="001B4A02" w:rsidRDefault="00000000" w:rsidP="00ED48A3">
      <w:pPr>
        <w:pStyle w:val="EMEANormal"/>
        <w:rPr>
          <w:lang w:val="cs-CZ"/>
        </w:rPr>
      </w:pPr>
      <w:r w:rsidRPr="001B4A02">
        <w:rPr>
          <w:lang w:val="cs-CZ"/>
        </w:rPr>
        <w:t>Pokračování léčby nad 12 týdnů by mělo být pečlivě zváženo u</w:t>
      </w:r>
      <w:r w:rsidR="000D0CB0" w:rsidRPr="001B4A02">
        <w:rPr>
          <w:lang w:val="cs-CZ"/>
        </w:rPr>
        <w:t> </w:t>
      </w:r>
      <w:r w:rsidRPr="001B4A02">
        <w:rPr>
          <w:lang w:val="cs-CZ"/>
        </w:rPr>
        <w:t>pacientů, u</w:t>
      </w:r>
      <w:r w:rsidR="000D0CB0" w:rsidRPr="001B4A02">
        <w:rPr>
          <w:lang w:val="cs-CZ"/>
        </w:rPr>
        <w:t> </w:t>
      </w:r>
      <w:r w:rsidRPr="001B4A02">
        <w:rPr>
          <w:lang w:val="cs-CZ"/>
        </w:rPr>
        <w:t>kterých během tohoto období nedošlo k</w:t>
      </w:r>
      <w:r w:rsidR="000D0CB0" w:rsidRPr="001B4A02">
        <w:rPr>
          <w:lang w:val="cs-CZ"/>
        </w:rPr>
        <w:t> </w:t>
      </w:r>
      <w:r w:rsidRPr="001B4A02">
        <w:rPr>
          <w:lang w:val="cs-CZ"/>
        </w:rPr>
        <w:t xml:space="preserve">žádnému zlepšení. </w:t>
      </w:r>
    </w:p>
    <w:p w14:paraId="2633309F" w14:textId="77777777" w:rsidR="005E4F2B" w:rsidRPr="001B4A02" w:rsidRDefault="005E4F2B" w:rsidP="00ED48A3">
      <w:pPr>
        <w:pStyle w:val="EMEANormal"/>
        <w:rPr>
          <w:lang w:val="cs-CZ"/>
        </w:rPr>
      </w:pPr>
    </w:p>
    <w:p w14:paraId="14DD1DD4" w14:textId="77777777" w:rsidR="005E4F2B" w:rsidRPr="001B4A02" w:rsidRDefault="00000000" w:rsidP="00ED48A3">
      <w:pPr>
        <w:pStyle w:val="EMEANormal"/>
        <w:tabs>
          <w:tab w:val="clear" w:pos="562"/>
        </w:tabs>
        <w:suppressAutoHyphens w:val="0"/>
        <w:rPr>
          <w:lang w:val="cs-CZ"/>
        </w:rPr>
      </w:pPr>
      <w:r w:rsidRPr="001B4A02">
        <w:rPr>
          <w:lang w:val="cs-CZ"/>
        </w:rPr>
        <w:t>Pokud je třeba léčbu přerušit, lze ji znovu zahájit dávkou přípravku Humira 40</w:t>
      </w:r>
      <w:r w:rsidR="00874DE1">
        <w:rPr>
          <w:lang w:val="cs-CZ"/>
        </w:rPr>
        <w:t> mg</w:t>
      </w:r>
      <w:r w:rsidRPr="001B4A02">
        <w:rPr>
          <w:lang w:val="cs-CZ"/>
        </w:rPr>
        <w:t xml:space="preserve"> jednou týdně</w:t>
      </w:r>
      <w:r w:rsidR="005D1257" w:rsidRPr="001B4A02">
        <w:rPr>
          <w:lang w:val="cs-CZ"/>
        </w:rPr>
        <w:t xml:space="preserve"> nebo 80</w:t>
      </w:r>
      <w:r w:rsidR="00874DE1">
        <w:rPr>
          <w:lang w:val="cs-CZ"/>
        </w:rPr>
        <w:t> mg</w:t>
      </w:r>
      <w:r w:rsidR="005D1257" w:rsidRPr="001B4A02">
        <w:rPr>
          <w:lang w:val="cs-CZ"/>
        </w:rPr>
        <w:t xml:space="preserve"> jednou za dva týdny</w:t>
      </w:r>
      <w:r w:rsidRPr="001B4A02">
        <w:rPr>
          <w:lang w:val="cs-CZ"/>
        </w:rPr>
        <w:t xml:space="preserve"> (viz bod 5.1).</w:t>
      </w:r>
    </w:p>
    <w:p w14:paraId="01CE0E3C" w14:textId="77777777" w:rsidR="005E4F2B" w:rsidRPr="001B4A02" w:rsidRDefault="005E4F2B" w:rsidP="00ED48A3">
      <w:pPr>
        <w:pStyle w:val="EMEANormal"/>
        <w:tabs>
          <w:tab w:val="clear" w:pos="562"/>
        </w:tabs>
        <w:suppressAutoHyphens w:val="0"/>
        <w:rPr>
          <w:lang w:val="cs-CZ"/>
        </w:rPr>
      </w:pPr>
    </w:p>
    <w:p w14:paraId="5904BA75" w14:textId="77777777" w:rsidR="005E4F2B" w:rsidRPr="001B4A02" w:rsidRDefault="00000000" w:rsidP="00ED48A3">
      <w:pPr>
        <w:pStyle w:val="EMEANormal"/>
        <w:tabs>
          <w:tab w:val="clear" w:pos="562"/>
        </w:tabs>
        <w:suppressAutoHyphens w:val="0"/>
        <w:rPr>
          <w:lang w:val="cs-CZ"/>
        </w:rPr>
      </w:pPr>
      <w:r w:rsidRPr="001B4A02">
        <w:rPr>
          <w:lang w:val="cs-CZ"/>
        </w:rPr>
        <w:t>Přínos</w:t>
      </w:r>
      <w:r w:rsidR="002378E0">
        <w:rPr>
          <w:lang w:val="cs-CZ"/>
        </w:rPr>
        <w:t xml:space="preserve"> a </w:t>
      </w:r>
      <w:r w:rsidRPr="001B4A02">
        <w:rPr>
          <w:lang w:val="cs-CZ"/>
        </w:rPr>
        <w:t>rizika nepřetržité dlouhodobé léčby mají být pravidelně přehodnocovány (viz bod 5.1).</w:t>
      </w:r>
    </w:p>
    <w:p w14:paraId="25721038" w14:textId="77777777" w:rsidR="00E7724C" w:rsidRPr="001B4A02" w:rsidRDefault="00E7724C" w:rsidP="00ED48A3">
      <w:pPr>
        <w:pStyle w:val="EMEANormal"/>
        <w:rPr>
          <w:u w:val="single"/>
          <w:lang w:val="cs-CZ"/>
        </w:rPr>
      </w:pPr>
    </w:p>
    <w:p w14:paraId="23E50C89" w14:textId="77777777" w:rsidR="005D1257" w:rsidRPr="001B4A02" w:rsidRDefault="00000000" w:rsidP="00F31107">
      <w:pPr>
        <w:ind w:left="0" w:firstLine="0"/>
      </w:pPr>
      <w:r w:rsidRPr="001B4A02">
        <w:t xml:space="preserve">Přípravek Humira je k dispozici v dalších silách a/nebo </w:t>
      </w:r>
      <w:r w:rsidR="000B08CB">
        <w:t>typech balení</w:t>
      </w:r>
      <w:r w:rsidRPr="001B4A02">
        <w:t xml:space="preserve"> v závislosti na individuálních potřebách léčby.</w:t>
      </w:r>
    </w:p>
    <w:p w14:paraId="251EB598" w14:textId="77777777" w:rsidR="005D1257" w:rsidRPr="001B4A02" w:rsidRDefault="005D1257" w:rsidP="00ED48A3">
      <w:pPr>
        <w:pStyle w:val="EMEANormal"/>
        <w:rPr>
          <w:u w:val="single"/>
          <w:lang w:val="cs-CZ"/>
        </w:rPr>
      </w:pPr>
    </w:p>
    <w:p w14:paraId="2629492F" w14:textId="77777777" w:rsidR="00E7724C" w:rsidRPr="001B4A02" w:rsidRDefault="00000000" w:rsidP="00F31107">
      <w:pPr>
        <w:pStyle w:val="EMEANormal"/>
        <w:keepNext/>
        <w:rPr>
          <w:i/>
          <w:lang w:val="cs-CZ"/>
        </w:rPr>
      </w:pPr>
      <w:r w:rsidRPr="001B4A02">
        <w:rPr>
          <w:i/>
          <w:lang w:val="cs-CZ"/>
        </w:rPr>
        <w:t>Crohnova choroba</w:t>
      </w:r>
    </w:p>
    <w:p w14:paraId="18E9560F" w14:textId="77777777" w:rsidR="00E7724C" w:rsidRPr="001B4A02" w:rsidRDefault="00E7724C" w:rsidP="00F31107">
      <w:pPr>
        <w:pStyle w:val="EMEANormal"/>
        <w:keepNext/>
        <w:rPr>
          <w:lang w:val="cs-CZ"/>
        </w:rPr>
      </w:pPr>
    </w:p>
    <w:p w14:paraId="4A9749F3" w14:textId="77777777" w:rsidR="00E7724C" w:rsidRPr="001B4A02" w:rsidRDefault="00000000" w:rsidP="00ED48A3">
      <w:pPr>
        <w:pStyle w:val="EMEANormal"/>
        <w:rPr>
          <w:lang w:val="cs-CZ"/>
        </w:rPr>
      </w:pPr>
      <w:r w:rsidRPr="001B4A02">
        <w:rPr>
          <w:lang w:val="cs-CZ"/>
        </w:rPr>
        <w:t>Doporučená úvodní dávka přípravku Humira u dospělých pacientů se středně těžkou až těžkou aktivní Crohnovou chorobou je 80</w:t>
      </w:r>
      <w:r w:rsidR="00874DE1">
        <w:rPr>
          <w:lang w:val="cs-CZ"/>
        </w:rPr>
        <w:t> mg</w:t>
      </w:r>
      <w:r w:rsidRPr="001B4A02">
        <w:rPr>
          <w:lang w:val="cs-CZ"/>
        </w:rPr>
        <w:t xml:space="preserve"> v týdnu 0, dále pak 40 mg v týdnu 2. V případě nutnosti rychlejšího nástupu odpovědi na léčbu je možno </w:t>
      </w:r>
      <w:r w:rsidR="00A507B3" w:rsidRPr="001B4A02">
        <w:rPr>
          <w:lang w:val="cs-CZ"/>
        </w:rPr>
        <w:t>po</w:t>
      </w:r>
      <w:r w:rsidRPr="001B4A02">
        <w:rPr>
          <w:lang w:val="cs-CZ"/>
        </w:rPr>
        <w:t>užít dávkovací schéma se 160 mg v týdnu 0 (</w:t>
      </w:r>
      <w:r w:rsidR="00C75B3B" w:rsidRPr="001B4A02">
        <w:rPr>
          <w:lang w:val="cs-CZ"/>
        </w:rPr>
        <w:t>podávan</w:t>
      </w:r>
      <w:r w:rsidR="000D0CB0" w:rsidRPr="001B4A02">
        <w:rPr>
          <w:lang w:val="cs-CZ"/>
        </w:rPr>
        <w:t>é</w:t>
      </w:r>
      <w:r w:rsidRPr="001B4A02">
        <w:rPr>
          <w:lang w:val="cs-CZ"/>
        </w:rPr>
        <w:t xml:space="preserve"> jako </w:t>
      </w:r>
      <w:r w:rsidR="00810596" w:rsidRPr="001B4A02">
        <w:rPr>
          <w:lang w:val="cs-CZ"/>
        </w:rPr>
        <w:t xml:space="preserve">dvě 80mg injekce </w:t>
      </w:r>
      <w:r w:rsidR="0030056D" w:rsidRPr="001B4A02">
        <w:rPr>
          <w:lang w:val="cs-CZ"/>
        </w:rPr>
        <w:t>ve dni 1</w:t>
      </w:r>
      <w:r w:rsidRPr="001B4A02">
        <w:rPr>
          <w:lang w:val="cs-CZ"/>
        </w:rPr>
        <w:t xml:space="preserve"> nebo</w:t>
      </w:r>
      <w:r w:rsidR="00C75B3B" w:rsidRPr="001B4A02">
        <w:rPr>
          <w:lang w:val="cs-CZ"/>
        </w:rPr>
        <w:t xml:space="preserve"> jako</w:t>
      </w:r>
      <w:r w:rsidRPr="001B4A02">
        <w:rPr>
          <w:lang w:val="cs-CZ"/>
        </w:rPr>
        <w:t xml:space="preserve"> </w:t>
      </w:r>
      <w:r w:rsidR="00810596" w:rsidRPr="001B4A02">
        <w:rPr>
          <w:lang w:val="cs-CZ"/>
        </w:rPr>
        <w:t xml:space="preserve">jedna 80mg </w:t>
      </w:r>
      <w:r w:rsidRPr="001B4A02">
        <w:rPr>
          <w:lang w:val="cs-CZ"/>
        </w:rPr>
        <w:t xml:space="preserve">injekce </w:t>
      </w:r>
      <w:r w:rsidR="00C75B3B" w:rsidRPr="001B4A02">
        <w:rPr>
          <w:lang w:val="cs-CZ"/>
        </w:rPr>
        <w:t xml:space="preserve">denně po dobu </w:t>
      </w:r>
      <w:r w:rsidRPr="001B4A02">
        <w:rPr>
          <w:lang w:val="cs-CZ"/>
        </w:rPr>
        <w:t xml:space="preserve">dvou </w:t>
      </w:r>
      <w:r w:rsidR="00C75B3B" w:rsidRPr="001B4A02">
        <w:rPr>
          <w:lang w:val="cs-CZ"/>
        </w:rPr>
        <w:t>po sobě jdoucích dnů</w:t>
      </w:r>
      <w:r w:rsidRPr="001B4A02">
        <w:rPr>
          <w:lang w:val="cs-CZ"/>
        </w:rPr>
        <w:t>)</w:t>
      </w:r>
      <w:r w:rsidR="002378E0">
        <w:rPr>
          <w:lang w:val="cs-CZ"/>
        </w:rPr>
        <w:t xml:space="preserve"> a </w:t>
      </w:r>
      <w:r w:rsidR="005365F7">
        <w:rPr>
          <w:lang w:val="cs-CZ"/>
        </w:rPr>
        <w:t xml:space="preserve">poté </w:t>
      </w:r>
      <w:r w:rsidRPr="001B4A02">
        <w:rPr>
          <w:lang w:val="cs-CZ"/>
        </w:rPr>
        <w:t>80 mg v týdnu 2, je však nutno si uvědomit vyšší riziko nežádoucích účinků, které při zahájení léčby hrozí.</w:t>
      </w:r>
    </w:p>
    <w:p w14:paraId="28FCDA94" w14:textId="77777777" w:rsidR="00E7724C" w:rsidRPr="001B4A02" w:rsidRDefault="00E7724C" w:rsidP="00ED48A3">
      <w:pPr>
        <w:pStyle w:val="EMEANormal"/>
        <w:rPr>
          <w:lang w:val="cs-CZ"/>
        </w:rPr>
      </w:pPr>
    </w:p>
    <w:p w14:paraId="075A1771" w14:textId="77777777" w:rsidR="0030056D" w:rsidRPr="001B4A02" w:rsidRDefault="00000000" w:rsidP="00ED48A3">
      <w:pPr>
        <w:ind w:left="0" w:firstLine="0"/>
      </w:pPr>
      <w:r w:rsidRPr="001B4A02">
        <w:t xml:space="preserve">Po zahájení léčby je doporučená dávka 40 mg každé dva týdny, podávaná subkutánní injekcí. Také v případě, kdy pacient </w:t>
      </w:r>
      <w:r w:rsidR="0037494F" w:rsidRPr="001B4A02">
        <w:t>po</w:t>
      </w:r>
      <w:r w:rsidRPr="001B4A02">
        <w:t>užívání přípravku Humira ukončil</w:t>
      </w:r>
      <w:r w:rsidR="002378E0">
        <w:t xml:space="preserve"> a </w:t>
      </w:r>
      <w:r w:rsidRPr="001B4A02">
        <w:t>příznaky</w:t>
      </w:r>
      <w:r w:rsidR="002378E0">
        <w:t xml:space="preserve"> a </w:t>
      </w:r>
      <w:r w:rsidRPr="001B4A02">
        <w:t xml:space="preserve">projevy nemoci se objeví znova, může být přípravek Humira opětovně nasazen. Zkušenost se znovunasazením léčby po více než 8 týdnech od předchozí dávky je omezená. </w:t>
      </w:r>
    </w:p>
    <w:p w14:paraId="2641FBF4" w14:textId="77777777" w:rsidR="00E7724C" w:rsidRPr="001B4A02" w:rsidRDefault="00E7724C" w:rsidP="00ED48A3">
      <w:pPr>
        <w:pStyle w:val="EMEANormal"/>
        <w:rPr>
          <w:lang w:val="cs-CZ"/>
        </w:rPr>
      </w:pPr>
    </w:p>
    <w:p w14:paraId="4C6B986E" w14:textId="77777777" w:rsidR="00E7724C" w:rsidRPr="001B4A02" w:rsidRDefault="00000000" w:rsidP="00ED48A3">
      <w:pPr>
        <w:pStyle w:val="EMEANormal"/>
        <w:rPr>
          <w:lang w:val="cs-CZ"/>
        </w:rPr>
      </w:pPr>
      <w:r w:rsidRPr="001B4A02">
        <w:rPr>
          <w:lang w:val="cs-CZ"/>
        </w:rPr>
        <w:t>V</w:t>
      </w:r>
      <w:r w:rsidR="000D0CB0" w:rsidRPr="001B4A02">
        <w:rPr>
          <w:lang w:val="cs-CZ"/>
        </w:rPr>
        <w:t> </w:t>
      </w:r>
      <w:r w:rsidRPr="001B4A02">
        <w:rPr>
          <w:lang w:val="cs-CZ"/>
        </w:rPr>
        <w:t>průběhu udržovací léčby by měly být dávky kortikosteroidů postupně snižovány ve shodě se zavedenými postupy klinické praxe.</w:t>
      </w:r>
    </w:p>
    <w:p w14:paraId="56C3972A" w14:textId="77777777" w:rsidR="00E7724C" w:rsidRPr="001B4A02" w:rsidRDefault="00E7724C" w:rsidP="00ED48A3">
      <w:pPr>
        <w:pStyle w:val="EMEANormal"/>
        <w:rPr>
          <w:lang w:val="cs-CZ"/>
        </w:rPr>
      </w:pPr>
    </w:p>
    <w:p w14:paraId="288B12FB" w14:textId="77777777" w:rsidR="00E7724C" w:rsidRPr="001B4A02" w:rsidRDefault="00000000" w:rsidP="00ED48A3">
      <w:pPr>
        <w:pStyle w:val="EMEANormal"/>
        <w:rPr>
          <w:lang w:val="cs-CZ"/>
        </w:rPr>
      </w:pPr>
      <w:r w:rsidRPr="001B4A02">
        <w:rPr>
          <w:lang w:val="cs-CZ"/>
        </w:rPr>
        <w:t>Někteří pacienti, u</w:t>
      </w:r>
      <w:r w:rsidR="000D0CB0" w:rsidRPr="001B4A02">
        <w:rPr>
          <w:lang w:val="cs-CZ"/>
        </w:rPr>
        <w:t> </w:t>
      </w:r>
      <w:r w:rsidRPr="001B4A02">
        <w:rPr>
          <w:lang w:val="cs-CZ"/>
        </w:rPr>
        <w:t>kterých dojde k poklesu odpovědi na léčbu</w:t>
      </w:r>
      <w:r w:rsidR="005D1257" w:rsidRPr="001B4A02">
        <w:rPr>
          <w:lang w:val="cs-CZ"/>
        </w:rPr>
        <w:t xml:space="preserve"> přípravkem Humira 40</w:t>
      </w:r>
      <w:r w:rsidR="00107A9D" w:rsidRPr="001B4A02">
        <w:rPr>
          <w:lang w:val="cs-CZ"/>
        </w:rPr>
        <w:t> </w:t>
      </w:r>
      <w:r w:rsidR="005D1257" w:rsidRPr="001B4A02">
        <w:rPr>
          <w:lang w:val="cs-CZ"/>
        </w:rPr>
        <w:t>mg jednou za dva týdny</w:t>
      </w:r>
      <w:r w:rsidRPr="001B4A02">
        <w:rPr>
          <w:lang w:val="cs-CZ"/>
        </w:rPr>
        <w:t xml:space="preserve">, mohou profitovat ze zvýšení </w:t>
      </w:r>
      <w:r w:rsidR="005D1257" w:rsidRPr="001B4A02">
        <w:rPr>
          <w:lang w:val="cs-CZ"/>
        </w:rPr>
        <w:t>dávkování</w:t>
      </w:r>
      <w:r w:rsidRPr="001B4A02">
        <w:rPr>
          <w:lang w:val="cs-CZ"/>
        </w:rPr>
        <w:t xml:space="preserve"> na 40 mg přípravku Humira každý týden</w:t>
      </w:r>
      <w:r w:rsidR="005D1257" w:rsidRPr="001B4A02">
        <w:rPr>
          <w:lang w:val="cs-CZ"/>
        </w:rPr>
        <w:t xml:space="preserve"> nebo 80</w:t>
      </w:r>
      <w:r w:rsidR="00107A9D" w:rsidRPr="001B4A02">
        <w:rPr>
          <w:lang w:val="cs-CZ"/>
        </w:rPr>
        <w:t> </w:t>
      </w:r>
      <w:r w:rsidR="005D1257" w:rsidRPr="001B4A02">
        <w:rPr>
          <w:lang w:val="cs-CZ"/>
        </w:rPr>
        <w:t>mg jednou za dva týdny</w:t>
      </w:r>
      <w:r w:rsidRPr="001B4A02">
        <w:rPr>
          <w:lang w:val="cs-CZ"/>
        </w:rPr>
        <w:t>.</w:t>
      </w:r>
    </w:p>
    <w:p w14:paraId="7A63F029" w14:textId="77777777" w:rsidR="00E7724C" w:rsidRPr="001B4A02" w:rsidRDefault="00E7724C" w:rsidP="00ED48A3">
      <w:pPr>
        <w:pStyle w:val="EMEANormal"/>
        <w:rPr>
          <w:lang w:val="cs-CZ"/>
        </w:rPr>
      </w:pPr>
    </w:p>
    <w:p w14:paraId="670151F3" w14:textId="77777777" w:rsidR="00E7724C" w:rsidRPr="001B4A02" w:rsidRDefault="00000000" w:rsidP="00ED48A3">
      <w:pPr>
        <w:pStyle w:val="EMEANormal"/>
        <w:rPr>
          <w:bCs/>
          <w:lang w:val="cs-CZ"/>
        </w:rPr>
      </w:pPr>
      <w:r w:rsidRPr="001B4A02">
        <w:rPr>
          <w:lang w:val="cs-CZ"/>
        </w:rPr>
        <w:t>Někteří pacienti, u</w:t>
      </w:r>
      <w:r w:rsidR="000D0CB0" w:rsidRPr="001B4A02">
        <w:rPr>
          <w:lang w:val="cs-CZ"/>
        </w:rPr>
        <w:t> </w:t>
      </w:r>
      <w:r w:rsidRPr="001B4A02">
        <w:rPr>
          <w:lang w:val="cs-CZ"/>
        </w:rPr>
        <w:t>nichž se odpověď na léčbu nerozvinula do týdne 4, mohou profitovat, pokud v udržovací léčbě pokračují až do týdne 12. U</w:t>
      </w:r>
      <w:r w:rsidR="000D0CB0" w:rsidRPr="001B4A02">
        <w:rPr>
          <w:lang w:val="cs-CZ"/>
        </w:rPr>
        <w:t> </w:t>
      </w:r>
      <w:r w:rsidRPr="001B4A02">
        <w:rPr>
          <w:lang w:val="cs-CZ"/>
        </w:rPr>
        <w:t>pacientů, u</w:t>
      </w:r>
      <w:r w:rsidR="000D0CB0" w:rsidRPr="001B4A02">
        <w:rPr>
          <w:lang w:val="cs-CZ"/>
        </w:rPr>
        <w:t> </w:t>
      </w:r>
      <w:r w:rsidRPr="001B4A02">
        <w:rPr>
          <w:lang w:val="cs-CZ"/>
        </w:rPr>
        <w:t>kterých se v průběhu tohoto období odpověď na léčbu nerozvine, musí být další pokračování v léčbě pečlivě zváženo.</w:t>
      </w:r>
    </w:p>
    <w:p w14:paraId="38B1B743" w14:textId="77777777" w:rsidR="00E7724C" w:rsidRPr="001B4A02" w:rsidRDefault="00E7724C" w:rsidP="00ED48A3">
      <w:pPr>
        <w:pStyle w:val="EMEANormal"/>
        <w:rPr>
          <w:bCs/>
          <w:lang w:val="cs-CZ"/>
        </w:rPr>
      </w:pPr>
    </w:p>
    <w:p w14:paraId="14D052F8" w14:textId="77777777" w:rsidR="005D1257" w:rsidRPr="001B4A02" w:rsidRDefault="00000000" w:rsidP="00F31107">
      <w:pPr>
        <w:ind w:left="0" w:firstLine="0"/>
      </w:pPr>
      <w:r w:rsidRPr="001B4A02">
        <w:t xml:space="preserve">Přípravek Humira je k dispozici v dalších silách a/nebo </w:t>
      </w:r>
      <w:r w:rsidR="000B08CB">
        <w:t>typech balení</w:t>
      </w:r>
      <w:r w:rsidRPr="001B4A02">
        <w:t xml:space="preserve"> v závislosti na individuálních potřebách léčby.</w:t>
      </w:r>
    </w:p>
    <w:p w14:paraId="170BAE77" w14:textId="77777777" w:rsidR="005D1257" w:rsidRPr="001B4A02" w:rsidRDefault="005D1257" w:rsidP="00ED48A3">
      <w:pPr>
        <w:pStyle w:val="EMEANormal"/>
        <w:rPr>
          <w:bCs/>
          <w:lang w:val="cs-CZ"/>
        </w:rPr>
      </w:pPr>
    </w:p>
    <w:p w14:paraId="3630D1D0" w14:textId="77777777" w:rsidR="00E7724C" w:rsidRPr="001B4A02" w:rsidRDefault="00000000" w:rsidP="00F31107">
      <w:pPr>
        <w:pStyle w:val="EMEANormal"/>
        <w:keepNext/>
        <w:rPr>
          <w:i/>
          <w:lang w:val="cs-CZ"/>
        </w:rPr>
      </w:pPr>
      <w:r w:rsidRPr="001B4A02">
        <w:rPr>
          <w:i/>
          <w:lang w:val="cs-CZ"/>
        </w:rPr>
        <w:t>Ulcerózní kolitida</w:t>
      </w:r>
    </w:p>
    <w:p w14:paraId="09EDF674" w14:textId="77777777" w:rsidR="00E7724C" w:rsidRPr="001B4A02" w:rsidRDefault="00E7724C" w:rsidP="00F31107">
      <w:pPr>
        <w:pStyle w:val="EMEANormal"/>
        <w:keepNext/>
        <w:rPr>
          <w:lang w:val="cs-CZ"/>
        </w:rPr>
      </w:pPr>
    </w:p>
    <w:p w14:paraId="0914641C" w14:textId="77777777" w:rsidR="0030056D" w:rsidRPr="001B4A02" w:rsidRDefault="00000000" w:rsidP="00355655">
      <w:pPr>
        <w:ind w:left="0" w:firstLine="0"/>
      </w:pPr>
      <w:r w:rsidRPr="001B4A02">
        <w:t>Doporučená úvodní dávka přípravku H</w:t>
      </w:r>
      <w:r w:rsidR="00E7724C" w:rsidRPr="001B4A02">
        <w:t xml:space="preserve">umira </w:t>
      </w:r>
      <w:r w:rsidR="0095055E" w:rsidRPr="001B4A02">
        <w:t>u</w:t>
      </w:r>
      <w:r w:rsidR="000D0CB0" w:rsidRPr="001B4A02">
        <w:t> </w:t>
      </w:r>
      <w:r w:rsidR="0095055E" w:rsidRPr="001B4A02">
        <w:t xml:space="preserve">dospělých pacientů se středně </w:t>
      </w:r>
      <w:r w:rsidRPr="001B4A02">
        <w:t>těžkou</w:t>
      </w:r>
      <w:r w:rsidR="0095055E" w:rsidRPr="001B4A02">
        <w:t xml:space="preserve"> až </w:t>
      </w:r>
      <w:r w:rsidRPr="001B4A02">
        <w:t>těžkou</w:t>
      </w:r>
      <w:r w:rsidR="0095055E" w:rsidRPr="001B4A02">
        <w:t xml:space="preserve"> ulcerózní kolitidou je 160 mg v</w:t>
      </w:r>
      <w:r w:rsidR="000D0CB0" w:rsidRPr="001B4A02">
        <w:t> </w:t>
      </w:r>
      <w:r w:rsidR="0095055E" w:rsidRPr="001B4A02">
        <w:t xml:space="preserve">týdnu 0 (podávaná jako dvě 80mg injekce </w:t>
      </w:r>
      <w:r w:rsidRPr="001B4A02">
        <w:t>ve dni 1</w:t>
      </w:r>
      <w:r w:rsidR="0095055E" w:rsidRPr="001B4A02">
        <w:t xml:space="preserve"> nebo jako jedna 80mg injekce denně po dobu dvou po sobě jdoucích dnů)</w:t>
      </w:r>
      <w:r w:rsidR="002378E0">
        <w:t xml:space="preserve"> a </w:t>
      </w:r>
      <w:r w:rsidR="00E7724C" w:rsidRPr="001B4A02">
        <w:t xml:space="preserve">80 mg </w:t>
      </w:r>
      <w:r w:rsidR="0095055E" w:rsidRPr="001B4A02">
        <w:t>v</w:t>
      </w:r>
      <w:r w:rsidR="000D0CB0" w:rsidRPr="001B4A02">
        <w:t> </w:t>
      </w:r>
      <w:r w:rsidR="0095055E" w:rsidRPr="001B4A02">
        <w:t xml:space="preserve">týdnu </w:t>
      </w:r>
      <w:r w:rsidR="00E7724C" w:rsidRPr="001B4A02">
        <w:t xml:space="preserve">2. </w:t>
      </w:r>
      <w:r w:rsidR="008931F3" w:rsidRPr="001B4A02">
        <w:t>Po úvodní léčbě je doporučená dávka 40</w:t>
      </w:r>
      <w:r w:rsidR="00874DE1">
        <w:t> mg</w:t>
      </w:r>
      <w:r w:rsidR="008931F3" w:rsidRPr="001B4A02">
        <w:t xml:space="preserve"> každý druhý týden subkutánně.</w:t>
      </w:r>
    </w:p>
    <w:p w14:paraId="6E5140D7" w14:textId="77777777" w:rsidR="00E7724C" w:rsidRPr="001B4A02" w:rsidRDefault="00E7724C" w:rsidP="00ED48A3">
      <w:pPr>
        <w:pStyle w:val="EMEANormal"/>
        <w:rPr>
          <w:lang w:val="cs-CZ"/>
        </w:rPr>
      </w:pPr>
    </w:p>
    <w:p w14:paraId="3E315A90" w14:textId="77777777" w:rsidR="00E7724C" w:rsidRPr="001B4A02" w:rsidRDefault="00000000" w:rsidP="00ED48A3">
      <w:pPr>
        <w:pStyle w:val="EMEANormal"/>
        <w:rPr>
          <w:lang w:val="cs-CZ"/>
        </w:rPr>
      </w:pPr>
      <w:r w:rsidRPr="001B4A02">
        <w:rPr>
          <w:lang w:val="cs-CZ"/>
        </w:rPr>
        <w:t>V průběhu udržovací léčby lze snižovat dávky kortikosteroidů v souladu s místními doporučeními pro klinickou praxi.</w:t>
      </w:r>
    </w:p>
    <w:p w14:paraId="066C13DE" w14:textId="77777777" w:rsidR="00E7724C" w:rsidRPr="001B4A02" w:rsidRDefault="00E7724C" w:rsidP="00ED48A3">
      <w:pPr>
        <w:pStyle w:val="EMEANormal"/>
        <w:rPr>
          <w:lang w:val="cs-CZ"/>
        </w:rPr>
      </w:pPr>
    </w:p>
    <w:p w14:paraId="7B42DF0C" w14:textId="77777777" w:rsidR="00E7724C" w:rsidRPr="001B4A02" w:rsidRDefault="00000000" w:rsidP="00ED48A3">
      <w:pPr>
        <w:pStyle w:val="EMEANormal"/>
        <w:rPr>
          <w:lang w:val="cs-CZ"/>
        </w:rPr>
      </w:pPr>
      <w:r w:rsidRPr="001B4A02">
        <w:rPr>
          <w:lang w:val="cs-CZ"/>
        </w:rPr>
        <w:t xml:space="preserve">Někteří pacienti, </w:t>
      </w:r>
      <w:r w:rsidR="005D1257" w:rsidRPr="001B4A02">
        <w:rPr>
          <w:lang w:val="cs-CZ"/>
        </w:rPr>
        <w:t>u kterých dojde k poklesu odpovědi na léčbu přípravkem Humira 40</w:t>
      </w:r>
      <w:r w:rsidR="00874DE1">
        <w:rPr>
          <w:lang w:val="cs-CZ"/>
        </w:rPr>
        <w:t> mg</w:t>
      </w:r>
      <w:r w:rsidR="005D1257" w:rsidRPr="001B4A02">
        <w:rPr>
          <w:lang w:val="cs-CZ"/>
        </w:rPr>
        <w:t xml:space="preserve"> jednou za dva týdny</w:t>
      </w:r>
      <w:r w:rsidRPr="001B4A02">
        <w:rPr>
          <w:lang w:val="cs-CZ"/>
        </w:rPr>
        <w:t xml:space="preserve">, mohou profitovat ze zvýšení </w:t>
      </w:r>
      <w:r w:rsidR="005D1257" w:rsidRPr="001B4A02">
        <w:rPr>
          <w:lang w:val="cs-CZ"/>
        </w:rPr>
        <w:t xml:space="preserve">dávkování </w:t>
      </w:r>
      <w:r w:rsidRPr="001B4A02">
        <w:rPr>
          <w:lang w:val="cs-CZ"/>
        </w:rPr>
        <w:t>na 40</w:t>
      </w:r>
      <w:r w:rsidR="00874DE1">
        <w:rPr>
          <w:lang w:val="cs-CZ"/>
        </w:rPr>
        <w:t> mg</w:t>
      </w:r>
      <w:r w:rsidRPr="001B4A02">
        <w:rPr>
          <w:lang w:val="cs-CZ"/>
        </w:rPr>
        <w:t xml:space="preserve"> přípravku Humira každý týden</w:t>
      </w:r>
      <w:r w:rsidR="005D1257" w:rsidRPr="001B4A02">
        <w:rPr>
          <w:lang w:val="cs-CZ"/>
        </w:rPr>
        <w:t xml:space="preserve"> nebo 80</w:t>
      </w:r>
      <w:r w:rsidR="00874DE1">
        <w:rPr>
          <w:rStyle w:val="normaltextrun"/>
          <w:shd w:val="clear" w:color="auto" w:fill="FFFFFF"/>
          <w:lang w:val="cs-CZ"/>
        </w:rPr>
        <w:t> mg</w:t>
      </w:r>
      <w:r w:rsidR="005D1257" w:rsidRPr="001B4A02">
        <w:rPr>
          <w:lang w:val="cs-CZ"/>
        </w:rPr>
        <w:t xml:space="preserve"> jednou za dva týdny</w:t>
      </w:r>
      <w:r w:rsidRPr="001B4A02">
        <w:rPr>
          <w:lang w:val="cs-CZ"/>
        </w:rPr>
        <w:t>.</w:t>
      </w:r>
    </w:p>
    <w:p w14:paraId="4F73C06D" w14:textId="77777777" w:rsidR="00E7724C" w:rsidRPr="001B4A02" w:rsidRDefault="00E7724C" w:rsidP="00ED48A3">
      <w:pPr>
        <w:pStyle w:val="EMEANormal"/>
        <w:rPr>
          <w:lang w:val="cs-CZ"/>
        </w:rPr>
      </w:pPr>
    </w:p>
    <w:p w14:paraId="26A9F32F" w14:textId="77777777" w:rsidR="00E7724C" w:rsidRPr="001B4A02" w:rsidRDefault="00000000" w:rsidP="00ED48A3">
      <w:pPr>
        <w:pStyle w:val="EMEANormal"/>
        <w:rPr>
          <w:szCs w:val="22"/>
          <w:lang w:val="cs-CZ"/>
        </w:rPr>
      </w:pPr>
      <w:r w:rsidRPr="001B4A02">
        <w:rPr>
          <w:lang w:val="cs-CZ"/>
        </w:rPr>
        <w:t>Dostupné údaje naznačují, že klinické odpovědi je obvykle dosaženo v průběhu 2</w:t>
      </w:r>
      <w:r w:rsidR="000D0CB0" w:rsidRPr="001B4A02">
        <w:rPr>
          <w:lang w:val="cs-CZ"/>
        </w:rPr>
        <w:t>–</w:t>
      </w:r>
      <w:r w:rsidRPr="001B4A02">
        <w:rPr>
          <w:lang w:val="cs-CZ"/>
        </w:rPr>
        <w:t>8 týdnů léčby. V</w:t>
      </w:r>
      <w:r w:rsidR="000D0CB0" w:rsidRPr="001B4A02">
        <w:rPr>
          <w:lang w:val="cs-CZ"/>
        </w:rPr>
        <w:t> </w:t>
      </w:r>
      <w:r w:rsidRPr="001B4A02">
        <w:rPr>
          <w:lang w:val="cs-CZ"/>
        </w:rPr>
        <w:t>léčbě přípravkem Humira se nedoporučuje pokračovat u</w:t>
      </w:r>
      <w:r w:rsidR="000D0CB0" w:rsidRPr="001B4A02">
        <w:rPr>
          <w:lang w:val="cs-CZ"/>
        </w:rPr>
        <w:t> </w:t>
      </w:r>
      <w:r w:rsidRPr="001B4A02">
        <w:rPr>
          <w:lang w:val="cs-CZ"/>
        </w:rPr>
        <w:t>těch pacientů, u</w:t>
      </w:r>
      <w:r w:rsidR="000D0CB0" w:rsidRPr="001B4A02">
        <w:rPr>
          <w:lang w:val="cs-CZ"/>
        </w:rPr>
        <w:t> </w:t>
      </w:r>
      <w:r w:rsidRPr="001B4A02">
        <w:rPr>
          <w:lang w:val="cs-CZ"/>
        </w:rPr>
        <w:t>nichž došlo během tohoto období k selhání odpovědi na léčbu.</w:t>
      </w:r>
    </w:p>
    <w:p w14:paraId="60E326E4" w14:textId="77777777" w:rsidR="00E7724C" w:rsidRPr="001B4A02" w:rsidRDefault="00E7724C" w:rsidP="00ED48A3">
      <w:pPr>
        <w:pStyle w:val="EMEANormal"/>
        <w:rPr>
          <w:szCs w:val="22"/>
          <w:lang w:val="cs-CZ"/>
        </w:rPr>
      </w:pPr>
    </w:p>
    <w:p w14:paraId="0557EA59" w14:textId="77777777" w:rsidR="005D1257" w:rsidRPr="001B4A02" w:rsidRDefault="00000000" w:rsidP="00F31107">
      <w:pPr>
        <w:ind w:left="0" w:firstLine="0"/>
      </w:pPr>
      <w:r w:rsidRPr="001B4A02">
        <w:t xml:space="preserve">Přípravek Humira je k dispozici v dalších silách a/nebo </w:t>
      </w:r>
      <w:r w:rsidR="000B08CB">
        <w:t>typech balení</w:t>
      </w:r>
      <w:r w:rsidRPr="001B4A02">
        <w:t xml:space="preserve"> v závislosti na individuálních potřebách léčby.</w:t>
      </w:r>
    </w:p>
    <w:p w14:paraId="18C612EE" w14:textId="77777777" w:rsidR="005D1257" w:rsidRPr="001B4A02" w:rsidRDefault="005D1257" w:rsidP="00ED48A3">
      <w:pPr>
        <w:pStyle w:val="EMEANormal"/>
        <w:rPr>
          <w:szCs w:val="22"/>
          <w:lang w:val="cs-CZ"/>
        </w:rPr>
      </w:pPr>
    </w:p>
    <w:p w14:paraId="01D0E997" w14:textId="77777777" w:rsidR="00E7724C" w:rsidRPr="001B4A02" w:rsidRDefault="00000000" w:rsidP="00ED48A3">
      <w:pPr>
        <w:pStyle w:val="DefaultText"/>
        <w:keepNext/>
        <w:rPr>
          <w:rFonts w:ascii="Times New Roman" w:hAnsi="Times New Roman"/>
          <w:i/>
          <w:lang w:val="cs-CZ"/>
        </w:rPr>
      </w:pPr>
      <w:r w:rsidRPr="001B4A02">
        <w:rPr>
          <w:rFonts w:ascii="Times New Roman" w:hAnsi="Times New Roman"/>
          <w:i/>
          <w:lang w:val="cs-CZ"/>
        </w:rPr>
        <w:t>Uveitida</w:t>
      </w:r>
    </w:p>
    <w:p w14:paraId="469DF104" w14:textId="77777777" w:rsidR="00E7724C" w:rsidRPr="001B4A02" w:rsidRDefault="00E7724C" w:rsidP="00ED48A3">
      <w:pPr>
        <w:pStyle w:val="DefaultText"/>
        <w:keepNext/>
        <w:rPr>
          <w:rFonts w:ascii="Times New Roman" w:hAnsi="Times New Roman"/>
          <w:lang w:val="cs-CZ"/>
        </w:rPr>
      </w:pPr>
    </w:p>
    <w:p w14:paraId="3433F1E9" w14:textId="77777777" w:rsidR="00E7724C" w:rsidRPr="001B4A02" w:rsidRDefault="00000000" w:rsidP="00ED48A3">
      <w:pPr>
        <w:ind w:left="0" w:firstLine="0"/>
      </w:pPr>
      <w:r w:rsidRPr="001B4A02">
        <w:t>Doporučená úvodní dávka přípravku Humira u dospělých pacientů s</w:t>
      </w:r>
      <w:r w:rsidR="000D0CB0" w:rsidRPr="001B4A02">
        <w:t> </w:t>
      </w:r>
      <w:r w:rsidRPr="001B4A02">
        <w:t xml:space="preserve">uveitidou je </w:t>
      </w:r>
      <w:r w:rsidRPr="001B4A02">
        <w:rPr>
          <w:szCs w:val="22"/>
        </w:rPr>
        <w:t>80</w:t>
      </w:r>
      <w:r w:rsidR="00874DE1">
        <w:rPr>
          <w:szCs w:val="22"/>
        </w:rPr>
        <w:t> mg</w:t>
      </w:r>
      <w:r w:rsidRPr="001B4A02">
        <w:rPr>
          <w:szCs w:val="22"/>
        </w:rPr>
        <w:t>, následovaná jeden týden po úvodní dávce dávkou 40</w:t>
      </w:r>
      <w:r w:rsidR="00874DE1">
        <w:rPr>
          <w:szCs w:val="22"/>
        </w:rPr>
        <w:t> mg</w:t>
      </w:r>
      <w:r w:rsidRPr="001B4A02">
        <w:rPr>
          <w:szCs w:val="22"/>
        </w:rPr>
        <w:t xml:space="preserve"> podávanou jednou za dva týdny</w:t>
      </w:r>
      <w:r w:rsidR="0030056D" w:rsidRPr="001B4A02">
        <w:rPr>
          <w:szCs w:val="22"/>
        </w:rPr>
        <w:t>.</w:t>
      </w:r>
      <w:r w:rsidR="0030056D" w:rsidRPr="001B4A02">
        <w:t xml:space="preserve"> Pro udržovací dávku je dostupný přípravek Humira 40</w:t>
      </w:r>
      <w:r w:rsidR="00874DE1">
        <w:t> mg</w:t>
      </w:r>
      <w:r w:rsidR="0030056D" w:rsidRPr="001B4A02">
        <w:t xml:space="preserve"> injekční roztok v</w:t>
      </w:r>
      <w:r w:rsidR="000D0CB0" w:rsidRPr="001B4A02">
        <w:t> </w:t>
      </w:r>
      <w:r w:rsidR="0030056D" w:rsidRPr="001B4A02">
        <w:t xml:space="preserve">předplněné injekční stříkačce a/nebo předplněném peru. </w:t>
      </w:r>
      <w:r w:rsidRPr="001B4A02">
        <w:rPr>
          <w:szCs w:val="22"/>
        </w:rPr>
        <w:t>Zkušenosti se zahájením léčby samotným přípravkem Humira jsou omezené. Terapii přípravkem Humira lze zahájit v</w:t>
      </w:r>
      <w:r w:rsidR="000D0CB0" w:rsidRPr="001B4A02">
        <w:rPr>
          <w:szCs w:val="22"/>
        </w:rPr>
        <w:t> </w:t>
      </w:r>
      <w:r w:rsidRPr="001B4A02">
        <w:rPr>
          <w:szCs w:val="22"/>
        </w:rPr>
        <w:t>kombinaci s</w:t>
      </w:r>
      <w:r w:rsidR="000D0CB0" w:rsidRPr="001B4A02">
        <w:rPr>
          <w:szCs w:val="22"/>
        </w:rPr>
        <w:t> </w:t>
      </w:r>
      <w:r w:rsidRPr="001B4A02">
        <w:rPr>
          <w:szCs w:val="22"/>
        </w:rPr>
        <w:t>kortikosteroidy a/nebo jinými nebiologickými imunomodulačními látkami. Dávku současně podávaných kortikosteroidů je možno v souladu s klinickou praxí začít snižovat dva týdny po zahájení terapie přípravkem Humira.</w:t>
      </w:r>
    </w:p>
    <w:p w14:paraId="47D43EC0" w14:textId="77777777" w:rsidR="00E7724C" w:rsidRPr="001B4A02" w:rsidRDefault="00E7724C" w:rsidP="00ED48A3">
      <w:pPr>
        <w:pStyle w:val="EMEANormal"/>
        <w:rPr>
          <w:szCs w:val="22"/>
          <w:lang w:val="cs-CZ"/>
        </w:rPr>
      </w:pPr>
    </w:p>
    <w:p w14:paraId="3478340D" w14:textId="77777777" w:rsidR="008931F3" w:rsidRPr="001B4A02" w:rsidRDefault="00000000" w:rsidP="00ED48A3">
      <w:pPr>
        <w:pStyle w:val="EMEANormal"/>
        <w:rPr>
          <w:szCs w:val="22"/>
          <w:lang w:val="cs-CZ"/>
        </w:rPr>
      </w:pPr>
      <w:r w:rsidRPr="001B4A02">
        <w:rPr>
          <w:szCs w:val="22"/>
          <w:lang w:val="cs-CZ"/>
        </w:rPr>
        <w:t>Doporučuje se jednou ročně posoudit přínosy</w:t>
      </w:r>
      <w:r w:rsidR="002378E0">
        <w:rPr>
          <w:szCs w:val="22"/>
          <w:lang w:val="cs-CZ"/>
        </w:rPr>
        <w:t xml:space="preserve"> a </w:t>
      </w:r>
      <w:r w:rsidRPr="001B4A02">
        <w:rPr>
          <w:szCs w:val="22"/>
          <w:lang w:val="cs-CZ"/>
        </w:rPr>
        <w:t>rizika pokračující dlouhodobé léčby (viz bod 5.1).</w:t>
      </w:r>
    </w:p>
    <w:p w14:paraId="0271AA92" w14:textId="77777777" w:rsidR="008931F3" w:rsidRPr="001B4A02" w:rsidRDefault="008931F3" w:rsidP="00ED48A3">
      <w:pPr>
        <w:pStyle w:val="EMEANormal"/>
        <w:rPr>
          <w:szCs w:val="22"/>
          <w:lang w:val="cs-CZ"/>
        </w:rPr>
      </w:pPr>
    </w:p>
    <w:p w14:paraId="5DA96054" w14:textId="77777777" w:rsidR="005D1257" w:rsidRPr="001B4A02" w:rsidRDefault="00000000" w:rsidP="00F31107">
      <w:pPr>
        <w:ind w:left="0" w:firstLine="0"/>
      </w:pPr>
      <w:r w:rsidRPr="001B4A02">
        <w:t xml:space="preserve">Přípravek Humira je k dispozici v dalších silách a/nebo </w:t>
      </w:r>
      <w:r w:rsidR="000B08CB">
        <w:t>typech balení</w:t>
      </w:r>
      <w:r w:rsidRPr="001B4A02">
        <w:t xml:space="preserve"> v závislosti na individuálních potřebách léčby.</w:t>
      </w:r>
    </w:p>
    <w:p w14:paraId="45E166B0" w14:textId="77777777" w:rsidR="005D1257" w:rsidRPr="001B4A02" w:rsidRDefault="005D1257" w:rsidP="00ED48A3">
      <w:pPr>
        <w:pStyle w:val="EMEANormal"/>
        <w:rPr>
          <w:szCs w:val="22"/>
          <w:lang w:val="cs-CZ"/>
        </w:rPr>
      </w:pPr>
    </w:p>
    <w:p w14:paraId="732D3531" w14:textId="77777777" w:rsidR="00C052DC" w:rsidRPr="001B4A02" w:rsidRDefault="00000000" w:rsidP="00F31107">
      <w:pPr>
        <w:keepNext/>
        <w:rPr>
          <w:u w:val="single"/>
        </w:rPr>
      </w:pPr>
      <w:r w:rsidRPr="001B4A02">
        <w:rPr>
          <w:u w:val="single"/>
        </w:rPr>
        <w:t xml:space="preserve">Zvláštní </w:t>
      </w:r>
      <w:r w:rsidR="00BB1FE9">
        <w:rPr>
          <w:u w:val="single"/>
        </w:rPr>
        <w:t>skupiny pacien</w:t>
      </w:r>
      <w:r w:rsidR="00B30C47">
        <w:rPr>
          <w:u w:val="single"/>
        </w:rPr>
        <w:t>t</w:t>
      </w:r>
      <w:r w:rsidR="00BB1FE9">
        <w:rPr>
          <w:u w:val="single"/>
        </w:rPr>
        <w:t>ů</w:t>
      </w:r>
    </w:p>
    <w:p w14:paraId="285E8F0A" w14:textId="77777777" w:rsidR="00C052DC" w:rsidRPr="001B4A02" w:rsidRDefault="00C052DC" w:rsidP="00F31107">
      <w:pPr>
        <w:keepNext/>
        <w:rPr>
          <w:u w:val="single"/>
        </w:rPr>
      </w:pPr>
    </w:p>
    <w:p w14:paraId="4EA23E62" w14:textId="77777777" w:rsidR="008931F3" w:rsidRPr="001B4A02" w:rsidRDefault="00000000" w:rsidP="00F31107">
      <w:pPr>
        <w:keepNext/>
      </w:pPr>
      <w:r w:rsidRPr="001B4A02">
        <w:t>Starší pacienti</w:t>
      </w:r>
    </w:p>
    <w:p w14:paraId="414027F1" w14:textId="77777777" w:rsidR="008931F3" w:rsidRPr="001B4A02" w:rsidRDefault="008931F3" w:rsidP="00F31107">
      <w:pPr>
        <w:keepNext/>
        <w:ind w:left="0" w:firstLine="0"/>
      </w:pPr>
    </w:p>
    <w:p w14:paraId="5549296F" w14:textId="77777777" w:rsidR="008931F3" w:rsidRPr="001B4A02" w:rsidRDefault="00000000" w:rsidP="00ED48A3">
      <w:pPr>
        <w:ind w:left="0" w:firstLine="0"/>
      </w:pPr>
      <w:r w:rsidRPr="001B4A02">
        <w:t>Není zapotřebí žádná úprava dávky.</w:t>
      </w:r>
    </w:p>
    <w:p w14:paraId="72C75BD7" w14:textId="77777777" w:rsidR="008931F3" w:rsidRPr="001B4A02" w:rsidRDefault="008931F3" w:rsidP="00ED48A3">
      <w:pPr>
        <w:ind w:left="0" w:firstLine="0"/>
        <w:rPr>
          <w:u w:val="single"/>
        </w:rPr>
      </w:pPr>
    </w:p>
    <w:p w14:paraId="651B431C" w14:textId="77777777" w:rsidR="008931F3" w:rsidRPr="001B4A02" w:rsidRDefault="00000000" w:rsidP="00ED48A3">
      <w:pPr>
        <w:keepNext/>
        <w:ind w:left="0" w:firstLine="0"/>
      </w:pPr>
      <w:r w:rsidRPr="001B4A02">
        <w:t>Po</w:t>
      </w:r>
      <w:r w:rsidR="00DC1D1A" w:rsidRPr="001B4A02">
        <w:t>rucha</w:t>
      </w:r>
      <w:r w:rsidRPr="001B4A02">
        <w:t xml:space="preserve"> funkce jater a/nebo ledvin</w:t>
      </w:r>
    </w:p>
    <w:p w14:paraId="61EA7AB0" w14:textId="77777777" w:rsidR="008931F3" w:rsidRPr="001B4A02" w:rsidRDefault="008931F3" w:rsidP="00ED48A3">
      <w:pPr>
        <w:keepNext/>
        <w:ind w:left="0" w:firstLine="0"/>
      </w:pPr>
    </w:p>
    <w:p w14:paraId="7B7192E4" w14:textId="77777777" w:rsidR="00E7724C" w:rsidRPr="001B4A02" w:rsidRDefault="00000000" w:rsidP="00ED48A3">
      <w:pPr>
        <w:ind w:left="0" w:firstLine="0"/>
      </w:pPr>
      <w:r>
        <w:t>Pou</w:t>
      </w:r>
      <w:r w:rsidR="008931F3" w:rsidRPr="001B4A02">
        <w:t>žití přípravku Humira nebylo u</w:t>
      </w:r>
      <w:r w:rsidR="000D0CB0" w:rsidRPr="001B4A02">
        <w:t> </w:t>
      </w:r>
      <w:r w:rsidR="008931F3" w:rsidRPr="001B4A02">
        <w:t>těchto skupin pacientů studováno. Nelze učinit žádná doporučení pro dávkování.</w:t>
      </w:r>
    </w:p>
    <w:p w14:paraId="4F1D36AE" w14:textId="77777777" w:rsidR="00E7724C" w:rsidRPr="001B4A02" w:rsidRDefault="00E7724C" w:rsidP="00ED48A3"/>
    <w:p w14:paraId="2EC782CF" w14:textId="77777777" w:rsidR="00E7724C" w:rsidRPr="001B4A02" w:rsidRDefault="00000000" w:rsidP="00F31107">
      <w:pPr>
        <w:pStyle w:val="EMEANormal"/>
        <w:keepNext/>
        <w:rPr>
          <w:lang w:val="cs-CZ"/>
        </w:rPr>
      </w:pPr>
      <w:r w:rsidRPr="001B4A02">
        <w:rPr>
          <w:lang w:val="cs-CZ"/>
        </w:rPr>
        <w:t>Pediatrická populace</w:t>
      </w:r>
    </w:p>
    <w:p w14:paraId="36F2119F" w14:textId="77777777" w:rsidR="002834AE" w:rsidRPr="001B4A02" w:rsidRDefault="002834AE" w:rsidP="00F31107">
      <w:pPr>
        <w:pStyle w:val="EMEANormal"/>
        <w:keepNext/>
        <w:rPr>
          <w:u w:val="single"/>
          <w:lang w:val="cs-CZ"/>
        </w:rPr>
      </w:pPr>
    </w:p>
    <w:p w14:paraId="7F9AD31B" w14:textId="77777777" w:rsidR="00457FE9" w:rsidRPr="001B4A02" w:rsidRDefault="00000000" w:rsidP="00457FE9">
      <w:pPr>
        <w:keepNext/>
        <w:ind w:left="0" w:firstLine="0"/>
        <w:rPr>
          <w:i/>
        </w:rPr>
      </w:pPr>
      <w:r w:rsidRPr="001B4A02">
        <w:rPr>
          <w:i/>
        </w:rPr>
        <w:t>Ložisková psoriáza u pediatrických pacientů</w:t>
      </w:r>
    </w:p>
    <w:p w14:paraId="71A1A48C" w14:textId="77777777" w:rsidR="00457FE9" w:rsidRPr="001B4A02" w:rsidRDefault="00457FE9" w:rsidP="00457FE9">
      <w:pPr>
        <w:pStyle w:val="EMEANormal"/>
        <w:keepNext/>
        <w:rPr>
          <w:lang w:val="cs-CZ"/>
        </w:rPr>
      </w:pPr>
    </w:p>
    <w:p w14:paraId="613284DF" w14:textId="77777777" w:rsidR="00457FE9" w:rsidRPr="001B4A02" w:rsidRDefault="00000000" w:rsidP="00457FE9">
      <w:pPr>
        <w:pStyle w:val="EMEANormal"/>
        <w:rPr>
          <w:i/>
          <w:lang w:val="cs-CZ"/>
        </w:rPr>
      </w:pPr>
      <w:r w:rsidRPr="001B4A02">
        <w:rPr>
          <w:lang w:val="cs-CZ"/>
        </w:rPr>
        <w:t>U ložiskové psoriázy byla stanovena bezpečnost</w:t>
      </w:r>
      <w:r w:rsidR="002378E0">
        <w:rPr>
          <w:lang w:val="cs-CZ"/>
        </w:rPr>
        <w:t xml:space="preserve"> a </w:t>
      </w:r>
      <w:r w:rsidRPr="001B4A02">
        <w:rPr>
          <w:lang w:val="cs-CZ"/>
        </w:rPr>
        <w:t xml:space="preserve">účinnost přípravku Humira u dětí ve věku 4 až 17 let. Doporučená dávka přípravku Humira je do maximální jednotlivé dávky 40 mg. </w:t>
      </w:r>
    </w:p>
    <w:p w14:paraId="6A203C25" w14:textId="77777777" w:rsidR="00457FE9" w:rsidRPr="001B4A02" w:rsidRDefault="00457FE9" w:rsidP="00457FE9">
      <w:pPr>
        <w:pStyle w:val="EMEANormal"/>
        <w:rPr>
          <w:i/>
          <w:lang w:val="cs-CZ"/>
        </w:rPr>
      </w:pPr>
    </w:p>
    <w:p w14:paraId="71B04F2D" w14:textId="77777777" w:rsidR="00E7724C" w:rsidRPr="001B4A02" w:rsidRDefault="00000000" w:rsidP="00ED48A3">
      <w:pPr>
        <w:keepNext/>
        <w:rPr>
          <w:i/>
        </w:rPr>
      </w:pPr>
      <w:r w:rsidRPr="001B4A02">
        <w:rPr>
          <w:i/>
          <w:iCs/>
          <w:szCs w:val="22"/>
        </w:rPr>
        <w:t>Hidradenitis suppurativa u</w:t>
      </w:r>
      <w:r w:rsidR="009A62DF" w:rsidRPr="001B4A02">
        <w:rPr>
          <w:i/>
          <w:iCs/>
          <w:szCs w:val="22"/>
        </w:rPr>
        <w:t> </w:t>
      </w:r>
      <w:r w:rsidRPr="001B4A02">
        <w:rPr>
          <w:i/>
          <w:iCs/>
          <w:szCs w:val="22"/>
        </w:rPr>
        <w:t>dospívajících (od 12 let s</w:t>
      </w:r>
      <w:r w:rsidR="009A62DF" w:rsidRPr="001B4A02">
        <w:rPr>
          <w:i/>
          <w:iCs/>
          <w:szCs w:val="22"/>
        </w:rPr>
        <w:t> </w:t>
      </w:r>
      <w:r w:rsidRPr="001B4A02">
        <w:rPr>
          <w:i/>
          <w:iCs/>
          <w:szCs w:val="22"/>
        </w:rPr>
        <w:t>tělesnou hmotností nejméně 30</w:t>
      </w:r>
      <w:r w:rsidR="002767FC">
        <w:rPr>
          <w:i/>
          <w:iCs/>
          <w:szCs w:val="22"/>
        </w:rPr>
        <w:t> kg</w:t>
      </w:r>
      <w:r w:rsidRPr="001B4A02">
        <w:rPr>
          <w:i/>
          <w:iCs/>
          <w:szCs w:val="22"/>
        </w:rPr>
        <w:t>)</w:t>
      </w:r>
    </w:p>
    <w:p w14:paraId="13DA553B" w14:textId="77777777" w:rsidR="002834AE" w:rsidRPr="001B4A02" w:rsidRDefault="002834AE" w:rsidP="00F31107">
      <w:pPr>
        <w:keepNext/>
        <w:ind w:left="0" w:firstLine="0"/>
        <w:rPr>
          <w:szCs w:val="22"/>
          <w:bdr w:val="nil"/>
        </w:rPr>
      </w:pPr>
    </w:p>
    <w:p w14:paraId="3A0470DB" w14:textId="77777777" w:rsidR="002834AE" w:rsidRPr="001B4A02" w:rsidRDefault="00000000" w:rsidP="00ED48A3">
      <w:pPr>
        <w:ind w:left="0" w:firstLine="0"/>
        <w:rPr>
          <w:shd w:val="clear" w:color="auto" w:fill="FFFFFF"/>
        </w:rPr>
      </w:pPr>
      <w:r w:rsidRPr="001B4A02">
        <w:rPr>
          <w:szCs w:val="22"/>
        </w:rPr>
        <w:t>U</w:t>
      </w:r>
      <w:r w:rsidR="009A62DF" w:rsidRPr="001B4A02">
        <w:rPr>
          <w:szCs w:val="22"/>
        </w:rPr>
        <w:t> </w:t>
      </w:r>
      <w:r w:rsidRPr="001B4A02">
        <w:rPr>
          <w:szCs w:val="22"/>
        </w:rPr>
        <w:t>dospívajících pacientů s</w:t>
      </w:r>
      <w:r w:rsidR="009A62DF" w:rsidRPr="001B4A02">
        <w:rPr>
          <w:szCs w:val="22"/>
        </w:rPr>
        <w:t> </w:t>
      </w:r>
      <w:r w:rsidRPr="001B4A02">
        <w:rPr>
          <w:szCs w:val="22"/>
        </w:rPr>
        <w:t>HS nejsou provedeny žádné klinické studie u</w:t>
      </w:r>
      <w:r w:rsidR="009A62DF" w:rsidRPr="001B4A02">
        <w:rPr>
          <w:szCs w:val="22"/>
        </w:rPr>
        <w:t> </w:t>
      </w:r>
      <w:r w:rsidRPr="001B4A02">
        <w:rPr>
          <w:szCs w:val="22"/>
        </w:rPr>
        <w:t>přípravku Humira. Dávkování přípravku Humira u</w:t>
      </w:r>
      <w:r w:rsidR="009A62DF" w:rsidRPr="001B4A02">
        <w:rPr>
          <w:szCs w:val="22"/>
        </w:rPr>
        <w:t> </w:t>
      </w:r>
      <w:r w:rsidRPr="001B4A02">
        <w:rPr>
          <w:szCs w:val="22"/>
        </w:rPr>
        <w:t>těchto pacientů bylo stanoveno na základě farmakokinetického modelování</w:t>
      </w:r>
      <w:r w:rsidR="002378E0">
        <w:rPr>
          <w:szCs w:val="22"/>
        </w:rPr>
        <w:t xml:space="preserve"> a </w:t>
      </w:r>
      <w:r w:rsidRPr="001B4A02">
        <w:rPr>
          <w:szCs w:val="22"/>
        </w:rPr>
        <w:t>simulace (viz bod 5.2).</w:t>
      </w:r>
    </w:p>
    <w:p w14:paraId="576A52C8" w14:textId="77777777" w:rsidR="002834AE" w:rsidRPr="001B4A02" w:rsidRDefault="002834AE" w:rsidP="00ED48A3">
      <w:pPr>
        <w:pStyle w:val="EMEANormal"/>
        <w:rPr>
          <w:lang w:val="cs-CZ"/>
        </w:rPr>
      </w:pPr>
    </w:p>
    <w:p w14:paraId="24F6989A" w14:textId="77777777" w:rsidR="002834AE" w:rsidRPr="001B4A02" w:rsidRDefault="00000000" w:rsidP="00ED48A3">
      <w:pPr>
        <w:pStyle w:val="EMEANormal"/>
        <w:rPr>
          <w:lang w:val="cs-CZ"/>
        </w:rPr>
      </w:pPr>
      <w:r w:rsidRPr="001B4A02">
        <w:rPr>
          <w:szCs w:val="22"/>
          <w:lang w:val="cs-CZ"/>
        </w:rPr>
        <w:t>Doporučená dávka přípravku Humira je 80</w:t>
      </w:r>
      <w:r w:rsidR="00874DE1">
        <w:rPr>
          <w:szCs w:val="22"/>
          <w:lang w:val="cs-CZ"/>
        </w:rPr>
        <w:t> mg</w:t>
      </w:r>
      <w:r w:rsidRPr="001B4A02">
        <w:rPr>
          <w:szCs w:val="22"/>
          <w:lang w:val="cs-CZ"/>
        </w:rPr>
        <w:t xml:space="preserve"> v</w:t>
      </w:r>
      <w:r w:rsidR="009A62DF" w:rsidRPr="001B4A02">
        <w:rPr>
          <w:szCs w:val="22"/>
          <w:lang w:val="cs-CZ"/>
        </w:rPr>
        <w:t> </w:t>
      </w:r>
      <w:r w:rsidRPr="001B4A02">
        <w:rPr>
          <w:szCs w:val="22"/>
          <w:lang w:val="cs-CZ"/>
        </w:rPr>
        <w:t>týdnu 0 následovaná dávkou 40</w:t>
      </w:r>
      <w:r w:rsidR="00874DE1">
        <w:rPr>
          <w:szCs w:val="22"/>
          <w:lang w:val="cs-CZ"/>
        </w:rPr>
        <w:t> mg</w:t>
      </w:r>
      <w:r w:rsidRPr="001B4A02">
        <w:rPr>
          <w:szCs w:val="22"/>
          <w:lang w:val="cs-CZ"/>
        </w:rPr>
        <w:t xml:space="preserve"> podávanou každý druhý týden od týdne 1 ve formě subkutánní injekce.</w:t>
      </w:r>
      <w:r w:rsidR="004F62C7" w:rsidRPr="001B4A02">
        <w:rPr>
          <w:szCs w:val="22"/>
          <w:lang w:val="cs-CZ"/>
        </w:rPr>
        <w:t xml:space="preserve"> </w:t>
      </w:r>
    </w:p>
    <w:p w14:paraId="23490C89" w14:textId="77777777" w:rsidR="00E7724C" w:rsidRPr="001B4A02" w:rsidRDefault="00000000" w:rsidP="00ED48A3">
      <w:pPr>
        <w:ind w:left="0" w:firstLine="0"/>
      </w:pPr>
      <w:r w:rsidRPr="001B4A02">
        <w:rPr>
          <w:szCs w:val="22"/>
        </w:rPr>
        <w:t>U</w:t>
      </w:r>
      <w:r w:rsidR="009A62DF" w:rsidRPr="001B4A02">
        <w:rPr>
          <w:szCs w:val="22"/>
        </w:rPr>
        <w:t> </w:t>
      </w:r>
      <w:r w:rsidRPr="001B4A02">
        <w:rPr>
          <w:szCs w:val="22"/>
        </w:rPr>
        <w:t>dospívajících pacientů s</w:t>
      </w:r>
      <w:r w:rsidR="009A62DF" w:rsidRPr="001B4A02">
        <w:rPr>
          <w:szCs w:val="22"/>
        </w:rPr>
        <w:t> </w:t>
      </w:r>
      <w:r w:rsidRPr="001B4A02">
        <w:rPr>
          <w:szCs w:val="22"/>
        </w:rPr>
        <w:t>nedostatečnou odpovědí na dávku 40</w:t>
      </w:r>
      <w:r w:rsidR="00874DE1">
        <w:rPr>
          <w:szCs w:val="22"/>
        </w:rPr>
        <w:t> mg</w:t>
      </w:r>
      <w:r w:rsidRPr="001B4A02">
        <w:rPr>
          <w:szCs w:val="22"/>
        </w:rPr>
        <w:t xml:space="preserve"> přípravku Humira podávanou každé dva týdny může být zváženo zvýšení dávkování na 40</w:t>
      </w:r>
      <w:r w:rsidR="00874DE1">
        <w:rPr>
          <w:szCs w:val="22"/>
        </w:rPr>
        <w:t> mg</w:t>
      </w:r>
      <w:r w:rsidRPr="001B4A02">
        <w:rPr>
          <w:szCs w:val="22"/>
        </w:rPr>
        <w:t xml:space="preserve"> jednou týdně</w:t>
      </w:r>
      <w:r w:rsidR="0036225A" w:rsidRPr="001B4A02">
        <w:rPr>
          <w:szCs w:val="22"/>
        </w:rPr>
        <w:t xml:space="preserve"> nebo 80</w:t>
      </w:r>
      <w:r w:rsidR="00874DE1">
        <w:rPr>
          <w:szCs w:val="22"/>
        </w:rPr>
        <w:t> mg</w:t>
      </w:r>
      <w:r w:rsidR="0036225A" w:rsidRPr="001B4A02">
        <w:rPr>
          <w:szCs w:val="22"/>
        </w:rPr>
        <w:t xml:space="preserve"> jednou za dva týdny</w:t>
      </w:r>
      <w:r w:rsidRPr="001B4A02">
        <w:rPr>
          <w:szCs w:val="22"/>
        </w:rPr>
        <w:t>.</w:t>
      </w:r>
    </w:p>
    <w:p w14:paraId="4472AD46" w14:textId="77777777" w:rsidR="00E7724C" w:rsidRPr="001B4A02" w:rsidRDefault="00E7724C" w:rsidP="00ED48A3">
      <w:pPr>
        <w:pStyle w:val="EMEANormal"/>
        <w:rPr>
          <w:lang w:val="cs-CZ"/>
        </w:rPr>
      </w:pPr>
    </w:p>
    <w:p w14:paraId="7E6E3789" w14:textId="77777777" w:rsidR="00E7724C" w:rsidRPr="001B4A02" w:rsidRDefault="00000000" w:rsidP="00ED48A3">
      <w:pPr>
        <w:pStyle w:val="EMEANormal"/>
        <w:rPr>
          <w:lang w:val="cs-CZ"/>
        </w:rPr>
      </w:pPr>
      <w:r w:rsidRPr="001B4A02">
        <w:rPr>
          <w:szCs w:val="22"/>
          <w:lang w:val="cs-CZ"/>
        </w:rPr>
        <w:t>Je-li to nutné, léčba antibiotiky může během léčby přípravkem Humira pokračovat. Pacientům se během léčby přípravkem Humira doporučuje provádět denně lokální antiseptické ošetření na místech s</w:t>
      </w:r>
      <w:r w:rsidR="009A62DF" w:rsidRPr="001B4A02">
        <w:rPr>
          <w:szCs w:val="22"/>
          <w:lang w:val="cs-CZ"/>
        </w:rPr>
        <w:t> </w:t>
      </w:r>
      <w:r w:rsidRPr="001B4A02">
        <w:rPr>
          <w:szCs w:val="22"/>
          <w:lang w:val="cs-CZ"/>
        </w:rPr>
        <w:t>HS lézí.</w:t>
      </w:r>
    </w:p>
    <w:p w14:paraId="65556C31" w14:textId="77777777" w:rsidR="00E7724C" w:rsidRPr="001B4A02" w:rsidRDefault="00E7724C" w:rsidP="00ED48A3">
      <w:pPr>
        <w:pStyle w:val="EMEANormal"/>
        <w:rPr>
          <w:lang w:val="cs-CZ"/>
        </w:rPr>
      </w:pPr>
    </w:p>
    <w:p w14:paraId="19248386" w14:textId="77777777" w:rsidR="002834AE" w:rsidRPr="001B4A02" w:rsidRDefault="00000000" w:rsidP="00ED48A3">
      <w:pPr>
        <w:pStyle w:val="EMEANormal"/>
        <w:rPr>
          <w:lang w:val="cs-CZ"/>
        </w:rPr>
      </w:pPr>
      <w:r w:rsidRPr="001B4A02">
        <w:rPr>
          <w:szCs w:val="22"/>
          <w:lang w:val="cs-CZ"/>
        </w:rPr>
        <w:t>Pokračování léčby nad 12 týdnů by mělo být pečlivě zváženo u</w:t>
      </w:r>
      <w:r w:rsidR="009A62DF" w:rsidRPr="001B4A02">
        <w:rPr>
          <w:szCs w:val="22"/>
          <w:lang w:val="cs-CZ"/>
        </w:rPr>
        <w:t> </w:t>
      </w:r>
      <w:r w:rsidRPr="001B4A02">
        <w:rPr>
          <w:szCs w:val="22"/>
          <w:lang w:val="cs-CZ"/>
        </w:rPr>
        <w:t>pacientů, u</w:t>
      </w:r>
      <w:r w:rsidR="009A62DF" w:rsidRPr="001B4A02">
        <w:rPr>
          <w:szCs w:val="22"/>
          <w:lang w:val="cs-CZ"/>
        </w:rPr>
        <w:t> </w:t>
      </w:r>
      <w:r w:rsidRPr="001B4A02">
        <w:rPr>
          <w:szCs w:val="22"/>
          <w:lang w:val="cs-CZ"/>
        </w:rPr>
        <w:t>kterých během tohoto období nedošlo k</w:t>
      </w:r>
      <w:r w:rsidR="009A62DF" w:rsidRPr="001B4A02">
        <w:rPr>
          <w:szCs w:val="22"/>
          <w:lang w:val="cs-CZ"/>
        </w:rPr>
        <w:t> </w:t>
      </w:r>
      <w:r w:rsidRPr="001B4A02">
        <w:rPr>
          <w:szCs w:val="22"/>
          <w:lang w:val="cs-CZ"/>
        </w:rPr>
        <w:t>žádnému zlepšení.</w:t>
      </w:r>
    </w:p>
    <w:p w14:paraId="28D6587D" w14:textId="77777777" w:rsidR="002834AE" w:rsidRPr="001B4A02" w:rsidRDefault="002834AE" w:rsidP="00ED48A3">
      <w:pPr>
        <w:rPr>
          <w:i/>
        </w:rPr>
      </w:pPr>
    </w:p>
    <w:p w14:paraId="420D7EB7" w14:textId="77777777" w:rsidR="002834AE" w:rsidRPr="001B4A02" w:rsidRDefault="00000000" w:rsidP="00ED48A3">
      <w:pPr>
        <w:pStyle w:val="EMEANormal"/>
        <w:rPr>
          <w:lang w:val="cs-CZ"/>
        </w:rPr>
      </w:pPr>
      <w:r w:rsidRPr="001B4A02">
        <w:rPr>
          <w:szCs w:val="22"/>
          <w:lang w:val="cs-CZ"/>
        </w:rPr>
        <w:t>Pokud je třeba léčbu přerušit, může být léčba přípravkem Humira podle potřeby znovu zahájena.</w:t>
      </w:r>
    </w:p>
    <w:p w14:paraId="1AC2FB03" w14:textId="77777777" w:rsidR="002834AE" w:rsidRPr="001B4A02" w:rsidRDefault="002834AE" w:rsidP="00ED48A3">
      <w:pPr>
        <w:pStyle w:val="EMEANormal"/>
        <w:rPr>
          <w:lang w:val="cs-CZ"/>
        </w:rPr>
      </w:pPr>
    </w:p>
    <w:p w14:paraId="45247556" w14:textId="77777777" w:rsidR="002834AE" w:rsidRPr="001B4A02" w:rsidRDefault="00000000" w:rsidP="00ED48A3">
      <w:pPr>
        <w:pStyle w:val="EMEANormal"/>
        <w:rPr>
          <w:lang w:val="cs-CZ"/>
        </w:rPr>
      </w:pPr>
      <w:r w:rsidRPr="001B4A02">
        <w:rPr>
          <w:szCs w:val="22"/>
          <w:lang w:val="cs-CZ"/>
        </w:rPr>
        <w:t>Přínos</w:t>
      </w:r>
      <w:r w:rsidR="002378E0">
        <w:rPr>
          <w:szCs w:val="22"/>
          <w:lang w:val="cs-CZ"/>
        </w:rPr>
        <w:t xml:space="preserve"> a </w:t>
      </w:r>
      <w:r w:rsidRPr="001B4A02">
        <w:rPr>
          <w:szCs w:val="22"/>
          <w:lang w:val="cs-CZ"/>
        </w:rPr>
        <w:t>rizika nepřetržité dlouhodobé léčby mají být pravidelně přehodnocovány (viz data u</w:t>
      </w:r>
      <w:r w:rsidR="009A62DF" w:rsidRPr="001B4A02">
        <w:rPr>
          <w:szCs w:val="22"/>
          <w:lang w:val="cs-CZ"/>
        </w:rPr>
        <w:t> </w:t>
      </w:r>
      <w:r w:rsidRPr="001B4A02">
        <w:rPr>
          <w:szCs w:val="22"/>
          <w:lang w:val="cs-CZ"/>
        </w:rPr>
        <w:t>dospělých v</w:t>
      </w:r>
      <w:r w:rsidR="009A62DF" w:rsidRPr="001B4A02">
        <w:rPr>
          <w:szCs w:val="22"/>
          <w:lang w:val="cs-CZ"/>
        </w:rPr>
        <w:t> </w:t>
      </w:r>
      <w:r w:rsidRPr="001B4A02">
        <w:rPr>
          <w:szCs w:val="22"/>
          <w:lang w:val="cs-CZ"/>
        </w:rPr>
        <w:t>bodě 5.1).</w:t>
      </w:r>
    </w:p>
    <w:p w14:paraId="22B63684" w14:textId="77777777" w:rsidR="002834AE" w:rsidRPr="001B4A02" w:rsidRDefault="002834AE" w:rsidP="00ED48A3">
      <w:pPr>
        <w:pStyle w:val="EMEANormal"/>
        <w:rPr>
          <w:lang w:val="cs-CZ"/>
        </w:rPr>
      </w:pPr>
    </w:p>
    <w:p w14:paraId="43562A5D" w14:textId="77777777" w:rsidR="00E7724C" w:rsidRPr="001B4A02" w:rsidRDefault="00000000" w:rsidP="007C5EA6">
      <w:pPr>
        <w:ind w:left="0" w:firstLine="0"/>
      </w:pPr>
      <w:r w:rsidRPr="001B4A02">
        <w:rPr>
          <w:szCs w:val="22"/>
        </w:rPr>
        <w:t>Použití přípravku Humira u</w:t>
      </w:r>
      <w:r w:rsidR="009A62DF" w:rsidRPr="001B4A02">
        <w:rPr>
          <w:szCs w:val="22"/>
        </w:rPr>
        <w:t> </w:t>
      </w:r>
      <w:r w:rsidRPr="001B4A02">
        <w:rPr>
          <w:szCs w:val="22"/>
        </w:rPr>
        <w:t xml:space="preserve">dětí </w:t>
      </w:r>
      <w:r w:rsidR="00B60555" w:rsidRPr="001B4A02">
        <w:rPr>
          <w:szCs w:val="22"/>
        </w:rPr>
        <w:t>mladších než</w:t>
      </w:r>
      <w:r w:rsidRPr="001B4A02">
        <w:rPr>
          <w:szCs w:val="22"/>
        </w:rPr>
        <w:t xml:space="preserve"> 12 let není </w:t>
      </w:r>
      <w:r w:rsidR="00B60555" w:rsidRPr="001B4A02">
        <w:rPr>
          <w:szCs w:val="22"/>
        </w:rPr>
        <w:t xml:space="preserve">v této indikaci </w:t>
      </w:r>
      <w:r w:rsidRPr="001B4A02">
        <w:rPr>
          <w:szCs w:val="22"/>
        </w:rPr>
        <w:t>relevantní.</w:t>
      </w:r>
    </w:p>
    <w:p w14:paraId="5BA40567" w14:textId="77777777" w:rsidR="00E7724C" w:rsidRPr="001B4A02" w:rsidRDefault="00E7724C" w:rsidP="007C5EA6">
      <w:pPr>
        <w:ind w:left="0" w:firstLine="0"/>
        <w:rPr>
          <w:i/>
        </w:rPr>
      </w:pPr>
    </w:p>
    <w:p w14:paraId="3E703588" w14:textId="77777777" w:rsidR="005D1257" w:rsidRPr="001B4A02" w:rsidRDefault="00000000" w:rsidP="005D1257">
      <w:pPr>
        <w:pStyle w:val="EMEANormal"/>
        <w:rPr>
          <w:lang w:val="cs-CZ"/>
        </w:rPr>
      </w:pPr>
      <w:r w:rsidRPr="001B4A02">
        <w:rPr>
          <w:lang w:val="cs-CZ"/>
        </w:rPr>
        <w:t xml:space="preserve">Přípravek Humira je k dispozici v dalších silách a/nebo </w:t>
      </w:r>
      <w:r w:rsidR="000B08CB" w:rsidRPr="00F261A6">
        <w:rPr>
          <w:lang w:val="cs-CZ"/>
        </w:rPr>
        <w:t>typech balení</w:t>
      </w:r>
      <w:r w:rsidRPr="001B4A02">
        <w:rPr>
          <w:lang w:val="cs-CZ"/>
        </w:rPr>
        <w:t xml:space="preserve"> v závislosti na individuálních potřebách léčby.</w:t>
      </w:r>
    </w:p>
    <w:p w14:paraId="71C27892" w14:textId="77777777" w:rsidR="005D1257" w:rsidRPr="001B4A02" w:rsidRDefault="005D1257" w:rsidP="007C5EA6">
      <w:pPr>
        <w:ind w:left="0" w:firstLine="0"/>
        <w:rPr>
          <w:i/>
        </w:rPr>
      </w:pPr>
    </w:p>
    <w:p w14:paraId="4C9874E5" w14:textId="77777777" w:rsidR="002834AE" w:rsidRPr="001B4A02" w:rsidRDefault="00000000" w:rsidP="003B610F">
      <w:pPr>
        <w:keepNext/>
        <w:ind w:left="0" w:firstLine="0"/>
        <w:rPr>
          <w:i/>
        </w:rPr>
      </w:pPr>
      <w:r w:rsidRPr="001B4A02">
        <w:rPr>
          <w:i/>
        </w:rPr>
        <w:t>Crohnova choroba u</w:t>
      </w:r>
      <w:r w:rsidR="009A62DF" w:rsidRPr="001B4A02">
        <w:rPr>
          <w:i/>
        </w:rPr>
        <w:t> </w:t>
      </w:r>
      <w:r w:rsidRPr="001B4A02">
        <w:rPr>
          <w:i/>
        </w:rPr>
        <w:t>pediatrických pacientů</w:t>
      </w:r>
    </w:p>
    <w:p w14:paraId="0FC958C6" w14:textId="77777777" w:rsidR="002834AE" w:rsidRPr="001B4A02" w:rsidRDefault="002834AE" w:rsidP="003B610F">
      <w:pPr>
        <w:keepNext/>
        <w:ind w:left="0" w:firstLine="0"/>
      </w:pPr>
    </w:p>
    <w:p w14:paraId="3A5F66C4" w14:textId="77777777" w:rsidR="004F62C7" w:rsidRPr="001B4A02" w:rsidRDefault="00000000" w:rsidP="004F62C7">
      <w:pPr>
        <w:ind w:left="0" w:firstLine="0"/>
      </w:pPr>
      <w:r w:rsidRPr="001B4A02">
        <w:t>Doporučen</w:t>
      </w:r>
      <w:r w:rsidR="003941F6" w:rsidRPr="001B4A02">
        <w:t>á</w:t>
      </w:r>
      <w:r w:rsidRPr="001B4A02">
        <w:t xml:space="preserve"> dávk</w:t>
      </w:r>
      <w:r w:rsidR="003941F6" w:rsidRPr="001B4A02">
        <w:t>a</w:t>
      </w:r>
      <w:r w:rsidRPr="001B4A02">
        <w:t xml:space="preserve"> přípravku Humira u pacientů s</w:t>
      </w:r>
      <w:r w:rsidR="00463AD9" w:rsidRPr="001B4A02">
        <w:t> </w:t>
      </w:r>
      <w:r w:rsidRPr="001B4A02">
        <w:t xml:space="preserve">Crohnovou chorobou ve věku od 6 do 17 let vychází z tělesné hmotnosti (tabulka 1). </w:t>
      </w:r>
      <w:r w:rsidR="0024278A" w:rsidRPr="001B4A02">
        <w:t xml:space="preserve">Přípravek </w:t>
      </w:r>
      <w:r w:rsidRPr="001B4A02">
        <w:t xml:space="preserve">Humira se podává subkutánní injekcí. </w:t>
      </w:r>
    </w:p>
    <w:p w14:paraId="78F647F0" w14:textId="77777777" w:rsidR="003B610F" w:rsidRPr="001B4A02" w:rsidRDefault="003B610F" w:rsidP="004F62C7">
      <w:pPr>
        <w:ind w:left="0" w:firstLine="0"/>
      </w:pPr>
    </w:p>
    <w:p w14:paraId="1B32C11E" w14:textId="77777777" w:rsidR="004F62C7" w:rsidRPr="001B4A02" w:rsidRDefault="00000000" w:rsidP="004F62C7">
      <w:pPr>
        <w:keepNext/>
        <w:jc w:val="center"/>
        <w:rPr>
          <w:b/>
          <w:szCs w:val="22"/>
        </w:rPr>
      </w:pPr>
      <w:r w:rsidRPr="001B4A02">
        <w:rPr>
          <w:b/>
          <w:szCs w:val="22"/>
        </w:rPr>
        <w:t>Tabulka 1. Dávka přípravku Humira u</w:t>
      </w:r>
      <w:r w:rsidR="009B61F3" w:rsidRPr="001B4A02">
        <w:rPr>
          <w:b/>
          <w:szCs w:val="22"/>
        </w:rPr>
        <w:t> </w:t>
      </w:r>
      <w:r w:rsidRPr="001B4A02">
        <w:rPr>
          <w:b/>
          <w:szCs w:val="22"/>
        </w:rPr>
        <w:t>pediatrických pacientů s Crohnovou chorobou</w:t>
      </w:r>
    </w:p>
    <w:p w14:paraId="05276A5A" w14:textId="77777777" w:rsidR="004F62C7" w:rsidRPr="001B4A02" w:rsidRDefault="004F62C7" w:rsidP="004F62C7">
      <w:pPr>
        <w:keepNext/>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2"/>
        <w:gridCol w:w="5527"/>
        <w:gridCol w:w="1976"/>
      </w:tblGrid>
      <w:tr w:rsidR="00534A2D" w14:paraId="24190733" w14:textId="77777777" w:rsidTr="00CA4765">
        <w:trPr>
          <w:tblHeader/>
        </w:trPr>
        <w:tc>
          <w:tcPr>
            <w:tcW w:w="857" w:type="pct"/>
            <w:tcBorders>
              <w:top w:val="single" w:sz="6" w:space="0" w:color="000000"/>
              <w:left w:val="single" w:sz="6" w:space="0" w:color="000000"/>
              <w:bottom w:val="single" w:sz="6" w:space="0" w:color="000000"/>
              <w:right w:val="single" w:sz="6" w:space="0" w:color="000000"/>
            </w:tcBorders>
            <w:hideMark/>
          </w:tcPr>
          <w:p w14:paraId="5427B8FD" w14:textId="77777777" w:rsidR="004F62C7" w:rsidRPr="001B4A02" w:rsidRDefault="00000000" w:rsidP="001F5EAC">
            <w:pPr>
              <w:keepNext/>
              <w:ind w:left="0" w:firstLine="0"/>
              <w:jc w:val="center"/>
            </w:pPr>
            <w:r w:rsidRPr="001B4A02">
              <w:rPr>
                <w:b/>
              </w:rPr>
              <w:t>Hmotnost pacienta</w:t>
            </w:r>
          </w:p>
        </w:tc>
        <w:tc>
          <w:tcPr>
            <w:tcW w:w="3052" w:type="pct"/>
            <w:tcBorders>
              <w:top w:val="single" w:sz="6" w:space="0" w:color="000000"/>
              <w:left w:val="single" w:sz="6" w:space="0" w:color="000000"/>
              <w:bottom w:val="single" w:sz="6" w:space="0" w:color="000000"/>
              <w:right w:val="single" w:sz="6" w:space="0" w:color="000000"/>
            </w:tcBorders>
            <w:hideMark/>
          </w:tcPr>
          <w:p w14:paraId="12F0A7E4" w14:textId="77777777" w:rsidR="004F62C7" w:rsidRPr="001B4A02" w:rsidRDefault="00000000" w:rsidP="001F5EAC">
            <w:pPr>
              <w:keepNext/>
              <w:ind w:left="0" w:firstLine="0"/>
              <w:jc w:val="center"/>
            </w:pPr>
            <w:r w:rsidRPr="001B4A02">
              <w:rPr>
                <w:b/>
              </w:rPr>
              <w:t>Indukční dávka</w:t>
            </w:r>
          </w:p>
        </w:tc>
        <w:tc>
          <w:tcPr>
            <w:tcW w:w="1091" w:type="pct"/>
            <w:tcBorders>
              <w:top w:val="single" w:sz="6" w:space="0" w:color="000000"/>
              <w:left w:val="single" w:sz="6" w:space="0" w:color="000000"/>
              <w:bottom w:val="single" w:sz="6" w:space="0" w:color="000000"/>
              <w:right w:val="single" w:sz="6" w:space="0" w:color="000000"/>
            </w:tcBorders>
            <w:hideMark/>
          </w:tcPr>
          <w:p w14:paraId="35659179" w14:textId="77777777" w:rsidR="004F62C7" w:rsidRPr="001B4A02" w:rsidRDefault="00000000" w:rsidP="001F5EAC">
            <w:pPr>
              <w:keepNext/>
              <w:ind w:left="0" w:firstLine="0"/>
              <w:jc w:val="center"/>
              <w:rPr>
                <w:b/>
              </w:rPr>
            </w:pPr>
            <w:r w:rsidRPr="001B4A02">
              <w:rPr>
                <w:b/>
              </w:rPr>
              <w:t xml:space="preserve">Udržovací dávka </w:t>
            </w:r>
          </w:p>
          <w:p w14:paraId="148A98EA" w14:textId="77777777" w:rsidR="004F62C7" w:rsidRPr="001B4A02" w:rsidRDefault="00000000" w:rsidP="001F5EAC">
            <w:pPr>
              <w:keepNext/>
              <w:ind w:left="0" w:firstLine="0"/>
              <w:jc w:val="center"/>
            </w:pPr>
            <w:r w:rsidRPr="001B4A02">
              <w:rPr>
                <w:b/>
              </w:rPr>
              <w:t>od týdne 4</w:t>
            </w:r>
          </w:p>
        </w:tc>
      </w:tr>
      <w:tr w:rsidR="00534A2D" w14:paraId="1DCA8B80" w14:textId="77777777" w:rsidTr="00CA4765">
        <w:tc>
          <w:tcPr>
            <w:tcW w:w="857" w:type="pct"/>
            <w:tcBorders>
              <w:top w:val="single" w:sz="6" w:space="0" w:color="000000"/>
              <w:left w:val="single" w:sz="6" w:space="0" w:color="000000"/>
              <w:bottom w:val="single" w:sz="6" w:space="0" w:color="000000"/>
              <w:right w:val="single" w:sz="6" w:space="0" w:color="000000"/>
            </w:tcBorders>
            <w:hideMark/>
          </w:tcPr>
          <w:p w14:paraId="6F360039" w14:textId="77777777" w:rsidR="004F62C7" w:rsidRPr="001B4A02" w:rsidRDefault="00000000" w:rsidP="001F5EAC">
            <w:pPr>
              <w:keepNext/>
              <w:ind w:left="0" w:firstLine="0"/>
              <w:jc w:val="center"/>
            </w:pPr>
            <w:r w:rsidRPr="001B4A02">
              <w:t>&lt;</w:t>
            </w:r>
            <w:r w:rsidR="008E5C77" w:rsidRPr="001B4A02">
              <w:t> </w:t>
            </w:r>
            <w:r w:rsidRPr="001B4A02">
              <w:t>40</w:t>
            </w:r>
            <w:r w:rsidR="002767FC">
              <w:t> kg</w:t>
            </w:r>
          </w:p>
        </w:tc>
        <w:tc>
          <w:tcPr>
            <w:tcW w:w="3052" w:type="pct"/>
            <w:tcBorders>
              <w:top w:val="single" w:sz="6" w:space="0" w:color="000000"/>
              <w:left w:val="single" w:sz="6" w:space="0" w:color="000000"/>
              <w:bottom w:val="single" w:sz="6" w:space="0" w:color="000000"/>
              <w:right w:val="single" w:sz="6" w:space="0" w:color="000000"/>
            </w:tcBorders>
            <w:hideMark/>
          </w:tcPr>
          <w:p w14:paraId="05B37C9A" w14:textId="77777777" w:rsidR="004F62C7" w:rsidRPr="001B4A02" w:rsidRDefault="00000000" w:rsidP="00332340">
            <w:pPr>
              <w:keepNext/>
              <w:numPr>
                <w:ilvl w:val="0"/>
                <w:numId w:val="242"/>
              </w:numPr>
              <w:ind w:left="203" w:hanging="14"/>
              <w:rPr>
                <w:szCs w:val="22"/>
              </w:rPr>
            </w:pPr>
            <w:r w:rsidRPr="001B4A02">
              <w:rPr>
                <w:szCs w:val="22"/>
              </w:rPr>
              <w:t>40 mg v týdnu 0</w:t>
            </w:r>
            <w:r w:rsidR="002378E0">
              <w:rPr>
                <w:szCs w:val="22"/>
              </w:rPr>
              <w:t xml:space="preserve"> a </w:t>
            </w:r>
            <w:r w:rsidRPr="001B4A02">
              <w:rPr>
                <w:szCs w:val="22"/>
              </w:rPr>
              <w:t>20 mg v týdnu 2</w:t>
            </w:r>
          </w:p>
          <w:p w14:paraId="51BFD704" w14:textId="77777777" w:rsidR="004F62C7" w:rsidRPr="001B4A02" w:rsidRDefault="004F62C7" w:rsidP="00332340">
            <w:pPr>
              <w:keepNext/>
              <w:ind w:left="203" w:hanging="14"/>
              <w:rPr>
                <w:szCs w:val="22"/>
              </w:rPr>
            </w:pPr>
          </w:p>
          <w:p w14:paraId="47A8A1B3" w14:textId="77777777" w:rsidR="004F62C7" w:rsidRPr="001B4A02" w:rsidRDefault="00000000" w:rsidP="00332340">
            <w:pPr>
              <w:keepNext/>
              <w:ind w:left="203" w:hanging="14"/>
              <w:rPr>
                <w:szCs w:val="22"/>
              </w:rPr>
            </w:pPr>
            <w:r w:rsidRPr="001B4A02">
              <w:rPr>
                <w:szCs w:val="22"/>
              </w:rPr>
              <w:t>V případě, že je nutná rychlejší odpověď s vědomím, že riziko nežádoucích účinků může být vyšší při použití vyšší indukční dávky, může být použita následující dávka:</w:t>
            </w:r>
          </w:p>
          <w:p w14:paraId="2B50236D" w14:textId="77777777" w:rsidR="004F62C7" w:rsidRPr="001B4A02" w:rsidRDefault="00000000" w:rsidP="00332340">
            <w:pPr>
              <w:keepNext/>
              <w:numPr>
                <w:ilvl w:val="0"/>
                <w:numId w:val="244"/>
              </w:numPr>
              <w:ind w:left="203" w:hanging="14"/>
              <w:rPr>
                <w:iCs/>
                <w:szCs w:val="22"/>
              </w:rPr>
            </w:pPr>
            <w:r w:rsidRPr="001B4A02">
              <w:rPr>
                <w:szCs w:val="22"/>
              </w:rPr>
              <w:t>80 mg v týdnu 0</w:t>
            </w:r>
            <w:r w:rsidR="002378E0">
              <w:rPr>
                <w:szCs w:val="22"/>
              </w:rPr>
              <w:t xml:space="preserve"> a </w:t>
            </w:r>
            <w:r w:rsidRPr="001B4A02">
              <w:rPr>
                <w:szCs w:val="22"/>
              </w:rPr>
              <w:t>40 mg v týdnu 2</w:t>
            </w:r>
          </w:p>
        </w:tc>
        <w:tc>
          <w:tcPr>
            <w:tcW w:w="1091" w:type="pct"/>
            <w:tcBorders>
              <w:top w:val="single" w:sz="6" w:space="0" w:color="000000"/>
              <w:left w:val="single" w:sz="6" w:space="0" w:color="000000"/>
              <w:bottom w:val="single" w:sz="6" w:space="0" w:color="000000"/>
              <w:right w:val="single" w:sz="6" w:space="0" w:color="000000"/>
            </w:tcBorders>
            <w:hideMark/>
          </w:tcPr>
          <w:p w14:paraId="3C6BC671" w14:textId="77777777" w:rsidR="004F62C7" w:rsidRPr="001B4A02" w:rsidRDefault="00000000" w:rsidP="001F5EAC">
            <w:pPr>
              <w:keepNext/>
              <w:ind w:left="0" w:firstLine="0"/>
              <w:jc w:val="center"/>
            </w:pPr>
            <w:r w:rsidRPr="001B4A02">
              <w:t xml:space="preserve">20 mg jednou </w:t>
            </w:r>
          </w:p>
          <w:p w14:paraId="0DA8BF96" w14:textId="77777777" w:rsidR="004F62C7" w:rsidRPr="001B4A02" w:rsidRDefault="00000000" w:rsidP="001F5EAC">
            <w:pPr>
              <w:keepNext/>
              <w:ind w:left="0" w:firstLine="0"/>
              <w:jc w:val="center"/>
            </w:pPr>
            <w:r w:rsidRPr="001B4A02">
              <w:t>za dva týdny</w:t>
            </w:r>
          </w:p>
        </w:tc>
      </w:tr>
      <w:tr w:rsidR="00534A2D" w14:paraId="107BA928" w14:textId="77777777" w:rsidTr="00CA4765">
        <w:tc>
          <w:tcPr>
            <w:tcW w:w="857" w:type="pct"/>
            <w:tcBorders>
              <w:top w:val="single" w:sz="6" w:space="0" w:color="000000"/>
              <w:left w:val="single" w:sz="6" w:space="0" w:color="000000"/>
              <w:bottom w:val="single" w:sz="6" w:space="0" w:color="000000"/>
              <w:right w:val="single" w:sz="6" w:space="0" w:color="000000"/>
            </w:tcBorders>
            <w:hideMark/>
          </w:tcPr>
          <w:p w14:paraId="7E567534" w14:textId="77777777" w:rsidR="004F62C7" w:rsidRPr="001B4A02" w:rsidRDefault="00000000" w:rsidP="001F5EAC">
            <w:pPr>
              <w:keepNext/>
              <w:ind w:left="0" w:firstLine="0"/>
              <w:jc w:val="center"/>
            </w:pPr>
            <w:r w:rsidRPr="001B4A02">
              <w:t>≥</w:t>
            </w:r>
            <w:r w:rsidR="008E5C77" w:rsidRPr="001B4A02">
              <w:t> </w:t>
            </w:r>
            <w:r w:rsidRPr="001B4A02">
              <w:t>40</w:t>
            </w:r>
            <w:r w:rsidR="002767FC">
              <w:t> kg</w:t>
            </w:r>
          </w:p>
        </w:tc>
        <w:tc>
          <w:tcPr>
            <w:tcW w:w="3052" w:type="pct"/>
            <w:tcBorders>
              <w:top w:val="single" w:sz="6" w:space="0" w:color="000000"/>
              <w:left w:val="single" w:sz="6" w:space="0" w:color="000000"/>
              <w:bottom w:val="single" w:sz="6" w:space="0" w:color="000000"/>
              <w:right w:val="single" w:sz="6" w:space="0" w:color="000000"/>
            </w:tcBorders>
            <w:hideMark/>
          </w:tcPr>
          <w:p w14:paraId="55DB4593" w14:textId="77777777" w:rsidR="004F62C7" w:rsidRPr="001B4A02" w:rsidRDefault="00000000" w:rsidP="00332340">
            <w:pPr>
              <w:keepNext/>
              <w:numPr>
                <w:ilvl w:val="0"/>
                <w:numId w:val="245"/>
              </w:numPr>
              <w:ind w:left="203" w:hanging="14"/>
              <w:rPr>
                <w:szCs w:val="22"/>
              </w:rPr>
            </w:pPr>
            <w:r w:rsidRPr="001B4A02">
              <w:rPr>
                <w:szCs w:val="22"/>
              </w:rPr>
              <w:t>80 mg v týdnu 0</w:t>
            </w:r>
            <w:r w:rsidR="002378E0">
              <w:rPr>
                <w:szCs w:val="22"/>
              </w:rPr>
              <w:t xml:space="preserve"> a </w:t>
            </w:r>
            <w:r w:rsidRPr="001B4A02">
              <w:rPr>
                <w:szCs w:val="22"/>
              </w:rPr>
              <w:t>40 mg v týdnu 2</w:t>
            </w:r>
          </w:p>
          <w:p w14:paraId="5808F1A4" w14:textId="77777777" w:rsidR="004F62C7" w:rsidRPr="001B4A02" w:rsidRDefault="004F62C7" w:rsidP="00332340">
            <w:pPr>
              <w:keepNext/>
              <w:ind w:left="203" w:hanging="14"/>
              <w:rPr>
                <w:szCs w:val="22"/>
              </w:rPr>
            </w:pPr>
          </w:p>
          <w:p w14:paraId="6A2B073A" w14:textId="77777777" w:rsidR="004F62C7" w:rsidRPr="001B4A02" w:rsidRDefault="00000000" w:rsidP="00332340">
            <w:pPr>
              <w:keepNext/>
              <w:ind w:left="203" w:hanging="14"/>
              <w:rPr>
                <w:iCs/>
                <w:szCs w:val="22"/>
              </w:rPr>
            </w:pPr>
            <w:r w:rsidRPr="001B4A02">
              <w:rPr>
                <w:szCs w:val="22"/>
              </w:rPr>
              <w:t>V případě, že je nutná rychlejší odpověď s vědomím, že riziko nežádoucích účinků může být vyšší při použití vyšší indukční dávky, může být použita následující dávka:</w:t>
            </w:r>
          </w:p>
          <w:p w14:paraId="0FC1366E" w14:textId="77777777" w:rsidR="004F62C7" w:rsidRPr="001B4A02" w:rsidRDefault="00000000" w:rsidP="00332340">
            <w:pPr>
              <w:keepNext/>
              <w:numPr>
                <w:ilvl w:val="0"/>
                <w:numId w:val="243"/>
              </w:numPr>
              <w:ind w:left="203" w:hanging="14"/>
              <w:rPr>
                <w:szCs w:val="22"/>
              </w:rPr>
            </w:pPr>
            <w:r w:rsidRPr="001B4A02">
              <w:rPr>
                <w:szCs w:val="22"/>
              </w:rPr>
              <w:t>160 mg v týdnu 0</w:t>
            </w:r>
            <w:r w:rsidR="002378E0">
              <w:rPr>
                <w:szCs w:val="22"/>
              </w:rPr>
              <w:t xml:space="preserve"> a </w:t>
            </w:r>
            <w:r w:rsidRPr="001B4A02">
              <w:rPr>
                <w:szCs w:val="22"/>
              </w:rPr>
              <w:t>80 mg v týdnu 2</w:t>
            </w:r>
          </w:p>
        </w:tc>
        <w:tc>
          <w:tcPr>
            <w:tcW w:w="1091" w:type="pct"/>
            <w:tcBorders>
              <w:top w:val="single" w:sz="6" w:space="0" w:color="000000"/>
              <w:left w:val="single" w:sz="6" w:space="0" w:color="000000"/>
              <w:bottom w:val="single" w:sz="6" w:space="0" w:color="000000"/>
              <w:right w:val="single" w:sz="6" w:space="0" w:color="000000"/>
            </w:tcBorders>
            <w:hideMark/>
          </w:tcPr>
          <w:p w14:paraId="0251E531" w14:textId="77777777" w:rsidR="004F62C7" w:rsidRPr="001B4A02" w:rsidRDefault="00000000" w:rsidP="001F5EAC">
            <w:pPr>
              <w:keepNext/>
              <w:ind w:left="0" w:firstLine="0"/>
              <w:jc w:val="center"/>
            </w:pPr>
            <w:r w:rsidRPr="001B4A02">
              <w:t xml:space="preserve">40 mg jednou </w:t>
            </w:r>
          </w:p>
          <w:p w14:paraId="1AD24A5E" w14:textId="77777777" w:rsidR="004F62C7" w:rsidRPr="001B4A02" w:rsidRDefault="00000000" w:rsidP="001F5EAC">
            <w:pPr>
              <w:keepNext/>
              <w:ind w:left="0" w:firstLine="0"/>
              <w:jc w:val="center"/>
            </w:pPr>
            <w:r w:rsidRPr="001B4A02">
              <w:t>za dva týdny</w:t>
            </w:r>
          </w:p>
        </w:tc>
      </w:tr>
    </w:tbl>
    <w:p w14:paraId="73152611" w14:textId="77777777" w:rsidR="004F62C7" w:rsidRPr="001B4A02" w:rsidRDefault="004F62C7" w:rsidP="004F62C7">
      <w:pPr>
        <w:ind w:left="0" w:firstLine="0"/>
      </w:pPr>
    </w:p>
    <w:p w14:paraId="0D623F68" w14:textId="77777777" w:rsidR="004F62C7" w:rsidRPr="001B4A02" w:rsidRDefault="00000000" w:rsidP="004F62C7">
      <w:pPr>
        <w:pStyle w:val="EMEANormal"/>
        <w:tabs>
          <w:tab w:val="clear" w:pos="562"/>
          <w:tab w:val="left" w:pos="708"/>
        </w:tabs>
        <w:suppressAutoHyphens w:val="0"/>
        <w:rPr>
          <w:lang w:val="cs-CZ"/>
        </w:rPr>
      </w:pPr>
      <w:r w:rsidRPr="001B4A02">
        <w:rPr>
          <w:lang w:val="cs-CZ"/>
        </w:rPr>
        <w:t>Pacienti s nedostatečnou odpovědí mohou mít přínos ze zvýšení dávkování:</w:t>
      </w:r>
    </w:p>
    <w:p w14:paraId="0D273B8C" w14:textId="77777777" w:rsidR="004F62C7" w:rsidRPr="001B4A02" w:rsidRDefault="00000000" w:rsidP="004F62C7">
      <w:pPr>
        <w:keepNext/>
        <w:numPr>
          <w:ilvl w:val="0"/>
          <w:numId w:val="246"/>
        </w:numPr>
        <w:tabs>
          <w:tab w:val="left" w:pos="540"/>
        </w:tabs>
        <w:suppressAutoHyphens/>
      </w:pPr>
      <w:r w:rsidRPr="001B4A02">
        <w:t>&lt; 40</w:t>
      </w:r>
      <w:r w:rsidR="002767FC">
        <w:t> kg</w:t>
      </w:r>
      <w:r w:rsidRPr="001B4A02">
        <w:t>: 20 mg týdně</w:t>
      </w:r>
    </w:p>
    <w:p w14:paraId="35241744" w14:textId="77777777" w:rsidR="004F62C7" w:rsidRPr="001B4A02" w:rsidRDefault="00000000" w:rsidP="003B610F">
      <w:pPr>
        <w:numPr>
          <w:ilvl w:val="0"/>
          <w:numId w:val="246"/>
        </w:numPr>
        <w:tabs>
          <w:tab w:val="left" w:pos="540"/>
        </w:tabs>
        <w:suppressAutoHyphens/>
        <w:ind w:left="714" w:hanging="357"/>
      </w:pPr>
      <w:r w:rsidRPr="001B4A02">
        <w:t>≥ 40</w:t>
      </w:r>
      <w:r w:rsidR="002767FC">
        <w:t> kg</w:t>
      </w:r>
      <w:r w:rsidRPr="001B4A02">
        <w:t>: 40 mg týdně</w:t>
      </w:r>
      <w:r w:rsidR="0036225A" w:rsidRPr="001B4A02">
        <w:t xml:space="preserve"> nebo 80</w:t>
      </w:r>
      <w:r w:rsidR="00874DE1">
        <w:t> mg</w:t>
      </w:r>
      <w:r w:rsidR="0036225A" w:rsidRPr="001B4A02">
        <w:t xml:space="preserve"> jednou za dva týdny</w:t>
      </w:r>
    </w:p>
    <w:p w14:paraId="449D6864" w14:textId="77777777" w:rsidR="00E7724C" w:rsidRPr="001B4A02" w:rsidRDefault="00E7724C" w:rsidP="007C5EA6">
      <w:pPr>
        <w:ind w:left="0" w:firstLine="0"/>
      </w:pPr>
    </w:p>
    <w:p w14:paraId="65BA9240" w14:textId="77777777" w:rsidR="00E7724C" w:rsidRPr="001B4A02" w:rsidRDefault="00000000" w:rsidP="00ED48A3">
      <w:pPr>
        <w:ind w:left="0" w:firstLine="0"/>
      </w:pPr>
      <w:r w:rsidRPr="001B4A02">
        <w:t>Pokračování v léčbě je třeba pečlivě zvážit u</w:t>
      </w:r>
      <w:r w:rsidR="009A62DF" w:rsidRPr="001B4A02">
        <w:t> </w:t>
      </w:r>
      <w:r w:rsidRPr="001B4A02">
        <w:t>pacientů, u</w:t>
      </w:r>
      <w:r w:rsidR="009A62DF" w:rsidRPr="001B4A02">
        <w:t> </w:t>
      </w:r>
      <w:r w:rsidRPr="001B4A02">
        <w:t>nichž se nerozvine odpověď na léčbu do 12. týdne.</w:t>
      </w:r>
    </w:p>
    <w:p w14:paraId="41899DDB" w14:textId="77777777" w:rsidR="00D50109" w:rsidRPr="001B4A02" w:rsidRDefault="00D50109" w:rsidP="00D50109">
      <w:pPr>
        <w:rPr>
          <w:color w:val="000000"/>
        </w:rPr>
      </w:pPr>
    </w:p>
    <w:p w14:paraId="5779B705" w14:textId="77777777" w:rsidR="00D50109" w:rsidRPr="001B4A02" w:rsidRDefault="00000000" w:rsidP="00D50109">
      <w:pPr>
        <w:ind w:left="0" w:firstLine="0"/>
      </w:pPr>
      <w:r w:rsidRPr="001B4A02">
        <w:t xml:space="preserve">Přípravek Humira je k dispozici v dalších silách a/nebo </w:t>
      </w:r>
      <w:r>
        <w:t>typech balení</w:t>
      </w:r>
      <w:r w:rsidRPr="001B4A02">
        <w:t xml:space="preserve"> v závislosti na individuálních potřebách léčby.</w:t>
      </w:r>
    </w:p>
    <w:p w14:paraId="736F1A33" w14:textId="77777777" w:rsidR="00E7724C" w:rsidRPr="001B4A02" w:rsidRDefault="00E7724C" w:rsidP="00ED48A3"/>
    <w:p w14:paraId="084CF923" w14:textId="77777777" w:rsidR="00E7724C" w:rsidRPr="001B4A02" w:rsidRDefault="00000000" w:rsidP="00ED48A3">
      <w:pPr>
        <w:rPr>
          <w:color w:val="000000"/>
        </w:rPr>
      </w:pPr>
      <w:r w:rsidRPr="001B4A02">
        <w:rPr>
          <w:color w:val="000000"/>
        </w:rPr>
        <w:t>Použití přípravku Humira u</w:t>
      </w:r>
      <w:r w:rsidR="009A62DF" w:rsidRPr="001B4A02">
        <w:rPr>
          <w:color w:val="000000"/>
        </w:rPr>
        <w:t> </w:t>
      </w:r>
      <w:r w:rsidRPr="001B4A02">
        <w:rPr>
          <w:color w:val="000000"/>
        </w:rPr>
        <w:t>dětí mladších než 6 let není v této indikaci relevantní.</w:t>
      </w:r>
    </w:p>
    <w:p w14:paraId="0BFE68B1" w14:textId="77777777" w:rsidR="00265599" w:rsidRPr="001B4A02" w:rsidRDefault="00265599" w:rsidP="00ED48A3">
      <w:pPr>
        <w:rPr>
          <w:color w:val="000000"/>
        </w:rPr>
      </w:pPr>
    </w:p>
    <w:p w14:paraId="3A0311E3" w14:textId="77777777" w:rsidR="005365F7" w:rsidRPr="00A05542" w:rsidRDefault="00000000" w:rsidP="00A05542">
      <w:pPr>
        <w:keepNext/>
        <w:ind w:left="0" w:firstLine="0"/>
        <w:rPr>
          <w:i/>
        </w:rPr>
      </w:pPr>
      <w:r w:rsidRPr="00A05542">
        <w:rPr>
          <w:i/>
        </w:rPr>
        <w:t>Ulcerózní kolitida u </w:t>
      </w:r>
      <w:r w:rsidR="00771305" w:rsidRPr="00A05542">
        <w:rPr>
          <w:i/>
        </w:rPr>
        <w:t>pediatrických pacientů</w:t>
      </w:r>
    </w:p>
    <w:p w14:paraId="22D20529" w14:textId="77777777" w:rsidR="005365F7" w:rsidRDefault="005365F7" w:rsidP="00A05542">
      <w:pPr>
        <w:keepNext/>
        <w:ind w:left="0" w:firstLine="0"/>
      </w:pPr>
    </w:p>
    <w:p w14:paraId="6E1CCB9C" w14:textId="77777777" w:rsidR="005365F7" w:rsidRPr="00D01607" w:rsidRDefault="00000000" w:rsidP="001D2137">
      <w:pPr>
        <w:ind w:left="0" w:firstLine="0"/>
      </w:pPr>
      <w:r>
        <w:t xml:space="preserve">Doporučená dávka přípravku Humira u pacientů ve věku 6 až 17 let s ulcerózní kolitidou vychází z tělesné hmotnosti (tabulka </w:t>
      </w:r>
      <w:r w:rsidR="008401F1">
        <w:t>2</w:t>
      </w:r>
      <w:r>
        <w:t xml:space="preserve">). Přípravek Humira se podává subkutánní injekcí. </w:t>
      </w:r>
    </w:p>
    <w:p w14:paraId="61BC1814" w14:textId="77777777" w:rsidR="005365F7" w:rsidRPr="00D01607" w:rsidRDefault="005365F7" w:rsidP="005365F7"/>
    <w:p w14:paraId="07F4B393" w14:textId="77777777" w:rsidR="005365F7" w:rsidRPr="00D01607" w:rsidRDefault="00000000" w:rsidP="005365F7">
      <w:pPr>
        <w:keepNext/>
        <w:jc w:val="center"/>
      </w:pPr>
      <w:r>
        <w:rPr>
          <w:b/>
        </w:rPr>
        <w:t xml:space="preserve">Tabulka </w:t>
      </w:r>
      <w:r w:rsidR="008401F1">
        <w:rPr>
          <w:b/>
        </w:rPr>
        <w:t>2</w:t>
      </w:r>
      <w:r>
        <w:rPr>
          <w:b/>
        </w:rPr>
        <w:t xml:space="preserve">. Dávka přípravku Humira u pediatrických pacientů s ulcerózní kolitidou </w:t>
      </w:r>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2"/>
        <w:gridCol w:w="5527"/>
        <w:gridCol w:w="1976"/>
      </w:tblGrid>
      <w:tr w:rsidR="00534A2D" w14:paraId="2743A07B" w14:textId="77777777" w:rsidTr="00CA4765">
        <w:trPr>
          <w:jc w:val="center"/>
        </w:trPr>
        <w:tc>
          <w:tcPr>
            <w:tcW w:w="857" w:type="pct"/>
            <w:tcBorders>
              <w:top w:val="single" w:sz="6" w:space="0" w:color="000000"/>
              <w:left w:val="single" w:sz="6" w:space="0" w:color="000000"/>
              <w:bottom w:val="single" w:sz="6" w:space="0" w:color="000000"/>
              <w:right w:val="single" w:sz="6" w:space="0" w:color="000000"/>
            </w:tcBorders>
            <w:vAlign w:val="center"/>
            <w:hideMark/>
          </w:tcPr>
          <w:p w14:paraId="5199CEFD" w14:textId="77777777" w:rsidR="005365F7" w:rsidRPr="00D01607" w:rsidRDefault="00000000" w:rsidP="00A05542">
            <w:pPr>
              <w:ind w:left="0" w:firstLine="0"/>
              <w:jc w:val="center"/>
              <w:rPr>
                <w:b/>
              </w:rPr>
            </w:pPr>
            <w:r>
              <w:rPr>
                <w:b/>
              </w:rPr>
              <w:t>Hmotnost pacienta</w:t>
            </w:r>
          </w:p>
        </w:tc>
        <w:tc>
          <w:tcPr>
            <w:tcW w:w="3052" w:type="pct"/>
            <w:tcBorders>
              <w:top w:val="single" w:sz="6" w:space="0" w:color="000000"/>
              <w:left w:val="single" w:sz="6" w:space="0" w:color="000000"/>
              <w:bottom w:val="single" w:sz="6" w:space="0" w:color="000000"/>
              <w:right w:val="single" w:sz="6" w:space="0" w:color="000000"/>
            </w:tcBorders>
            <w:vAlign w:val="center"/>
            <w:hideMark/>
          </w:tcPr>
          <w:p w14:paraId="14A6AFC8" w14:textId="77777777" w:rsidR="005365F7" w:rsidRPr="00D01607" w:rsidRDefault="00000000" w:rsidP="00A05542">
            <w:pPr>
              <w:ind w:left="0" w:firstLine="0"/>
              <w:jc w:val="center"/>
              <w:rPr>
                <w:b/>
              </w:rPr>
            </w:pPr>
            <w:r>
              <w:rPr>
                <w:b/>
              </w:rPr>
              <w:t>Indukční dávka</w:t>
            </w:r>
          </w:p>
        </w:tc>
        <w:tc>
          <w:tcPr>
            <w:tcW w:w="1091" w:type="pct"/>
            <w:tcBorders>
              <w:top w:val="single" w:sz="6" w:space="0" w:color="000000"/>
              <w:left w:val="single" w:sz="6" w:space="0" w:color="000000"/>
              <w:bottom w:val="single" w:sz="6" w:space="0" w:color="000000"/>
              <w:right w:val="single" w:sz="6" w:space="0" w:color="000000"/>
            </w:tcBorders>
            <w:hideMark/>
          </w:tcPr>
          <w:p w14:paraId="59B24666" w14:textId="77777777" w:rsidR="005365F7" w:rsidRPr="00D01607" w:rsidRDefault="00000000" w:rsidP="00A05542">
            <w:pPr>
              <w:ind w:left="0" w:firstLine="0"/>
              <w:jc w:val="center"/>
              <w:rPr>
                <w:b/>
              </w:rPr>
            </w:pPr>
            <w:r>
              <w:rPr>
                <w:b/>
              </w:rPr>
              <w:t>Udržovací dávka</w:t>
            </w:r>
            <w:r>
              <w:rPr>
                <w:b/>
              </w:rPr>
              <w:br/>
            </w:r>
            <w:r w:rsidR="00A96BEC">
              <w:rPr>
                <w:b/>
              </w:rPr>
              <w:t>od týdne 4</w:t>
            </w:r>
            <w:r>
              <w:rPr>
                <w:b/>
              </w:rPr>
              <w:t>*</w:t>
            </w:r>
          </w:p>
        </w:tc>
      </w:tr>
      <w:tr w:rsidR="00534A2D" w14:paraId="490DA18C" w14:textId="77777777" w:rsidTr="00CA4765">
        <w:trPr>
          <w:jc w:val="center"/>
        </w:trPr>
        <w:tc>
          <w:tcPr>
            <w:tcW w:w="857" w:type="pct"/>
            <w:tcBorders>
              <w:top w:val="single" w:sz="6" w:space="0" w:color="000000"/>
              <w:left w:val="single" w:sz="6" w:space="0" w:color="000000"/>
              <w:bottom w:val="single" w:sz="6" w:space="0" w:color="000000"/>
              <w:right w:val="single" w:sz="6" w:space="0" w:color="000000"/>
            </w:tcBorders>
            <w:hideMark/>
          </w:tcPr>
          <w:p w14:paraId="687057F6" w14:textId="77777777" w:rsidR="005365F7" w:rsidRPr="00D01607" w:rsidRDefault="00000000" w:rsidP="00E571F5">
            <w:pPr>
              <w:jc w:val="center"/>
            </w:pPr>
            <w:r>
              <w:t>&lt; 40</w:t>
            </w:r>
            <w:r w:rsidR="002767FC">
              <w:rPr>
                <w:szCs w:val="22"/>
              </w:rPr>
              <w:t> kg</w:t>
            </w:r>
          </w:p>
        </w:tc>
        <w:tc>
          <w:tcPr>
            <w:tcW w:w="3052" w:type="pct"/>
            <w:tcBorders>
              <w:top w:val="single" w:sz="6" w:space="0" w:color="000000"/>
              <w:left w:val="single" w:sz="6" w:space="0" w:color="000000"/>
              <w:bottom w:val="single" w:sz="6" w:space="0" w:color="000000"/>
              <w:right w:val="single" w:sz="6" w:space="0" w:color="000000"/>
            </w:tcBorders>
            <w:hideMark/>
          </w:tcPr>
          <w:p w14:paraId="38EB6AEF" w14:textId="77777777" w:rsidR="005365F7" w:rsidRPr="00D01607" w:rsidRDefault="00000000" w:rsidP="005365F7">
            <w:pPr>
              <w:numPr>
                <w:ilvl w:val="0"/>
                <w:numId w:val="272"/>
              </w:numPr>
              <w:ind w:left="360" w:hanging="210"/>
            </w:pPr>
            <w:r>
              <w:t>80</w:t>
            </w:r>
            <w:r w:rsidR="00874DE1" w:rsidRPr="00005EC2">
              <w:rPr>
                <w:szCs w:val="22"/>
              </w:rPr>
              <w:t> </w:t>
            </w:r>
            <w:r>
              <w:t>mg v</w:t>
            </w:r>
            <w:r w:rsidR="00CA4765">
              <w:t> </w:t>
            </w:r>
            <w:r w:rsidR="00BC5CBC" w:rsidRPr="00BC5CBC">
              <w:t>týdnu 0</w:t>
            </w:r>
            <w:r>
              <w:t xml:space="preserve"> (podáváno jako jedna injekce 80</w:t>
            </w:r>
            <w:r w:rsidR="00874DE1" w:rsidRPr="00005EC2">
              <w:rPr>
                <w:szCs w:val="22"/>
              </w:rPr>
              <w:t> </w:t>
            </w:r>
            <w:r>
              <w:t>mg)</w:t>
            </w:r>
            <w:r w:rsidR="002378E0">
              <w:t xml:space="preserve"> a </w:t>
            </w:r>
          </w:p>
          <w:p w14:paraId="3A722240" w14:textId="77777777" w:rsidR="005365F7" w:rsidRPr="00D01607" w:rsidRDefault="00000000" w:rsidP="005365F7">
            <w:pPr>
              <w:numPr>
                <w:ilvl w:val="0"/>
                <w:numId w:val="272"/>
              </w:numPr>
              <w:ind w:left="360" w:hanging="210"/>
            </w:pPr>
            <w:r>
              <w:t>40</w:t>
            </w:r>
            <w:r w:rsidR="00874DE1" w:rsidRPr="00005EC2">
              <w:rPr>
                <w:szCs w:val="22"/>
              </w:rPr>
              <w:t> </w:t>
            </w:r>
            <w:r>
              <w:t>mg v</w:t>
            </w:r>
            <w:r w:rsidR="00CA4765">
              <w:t> </w:t>
            </w:r>
            <w:r>
              <w:t>týdnu 2 (podáváno jako jedna injekce 40</w:t>
            </w:r>
            <w:r w:rsidR="00874DE1" w:rsidRPr="00005EC2">
              <w:rPr>
                <w:szCs w:val="22"/>
              </w:rPr>
              <w:t> </w:t>
            </w:r>
            <w:r>
              <w:t>mg)</w:t>
            </w:r>
          </w:p>
        </w:tc>
        <w:tc>
          <w:tcPr>
            <w:tcW w:w="1091" w:type="pct"/>
            <w:tcBorders>
              <w:top w:val="single" w:sz="6" w:space="0" w:color="000000"/>
              <w:left w:val="single" w:sz="6" w:space="0" w:color="000000"/>
              <w:bottom w:val="single" w:sz="6" w:space="0" w:color="000000"/>
              <w:right w:val="single" w:sz="6" w:space="0" w:color="000000"/>
            </w:tcBorders>
            <w:hideMark/>
          </w:tcPr>
          <w:p w14:paraId="4798B968" w14:textId="77777777" w:rsidR="005365F7" w:rsidRPr="00D01607" w:rsidRDefault="00000000" w:rsidP="005365F7">
            <w:pPr>
              <w:numPr>
                <w:ilvl w:val="0"/>
                <w:numId w:val="272"/>
              </w:numPr>
              <w:ind w:left="360" w:hanging="210"/>
            </w:pPr>
            <w:r>
              <w:t>40</w:t>
            </w:r>
            <w:r w:rsidR="00874DE1" w:rsidRPr="00005EC2">
              <w:rPr>
                <w:szCs w:val="22"/>
              </w:rPr>
              <w:t> </w:t>
            </w:r>
            <w:r>
              <w:t>mg jednou za dva týdny</w:t>
            </w:r>
          </w:p>
        </w:tc>
      </w:tr>
      <w:tr w:rsidR="00534A2D" w14:paraId="2E93690B" w14:textId="77777777" w:rsidTr="00CA4765">
        <w:trPr>
          <w:jc w:val="center"/>
        </w:trPr>
        <w:tc>
          <w:tcPr>
            <w:tcW w:w="857" w:type="pct"/>
            <w:tcBorders>
              <w:top w:val="single" w:sz="6" w:space="0" w:color="000000"/>
              <w:left w:val="single" w:sz="6" w:space="0" w:color="000000"/>
              <w:bottom w:val="single" w:sz="4" w:space="0" w:color="auto"/>
              <w:right w:val="single" w:sz="6" w:space="0" w:color="000000"/>
            </w:tcBorders>
            <w:hideMark/>
          </w:tcPr>
          <w:p w14:paraId="2AFB5EBD" w14:textId="77777777" w:rsidR="005365F7" w:rsidRPr="00D01607" w:rsidRDefault="00000000" w:rsidP="00E571F5">
            <w:pPr>
              <w:jc w:val="center"/>
            </w:pPr>
            <w:r>
              <w:t>≥ 40</w:t>
            </w:r>
            <w:r w:rsidR="002767FC">
              <w:rPr>
                <w:szCs w:val="22"/>
              </w:rPr>
              <w:t> kg</w:t>
            </w:r>
          </w:p>
        </w:tc>
        <w:tc>
          <w:tcPr>
            <w:tcW w:w="3052" w:type="pct"/>
            <w:tcBorders>
              <w:top w:val="single" w:sz="6" w:space="0" w:color="000000"/>
              <w:left w:val="single" w:sz="6" w:space="0" w:color="000000"/>
              <w:bottom w:val="single" w:sz="4" w:space="0" w:color="auto"/>
              <w:right w:val="single" w:sz="6" w:space="0" w:color="000000"/>
            </w:tcBorders>
            <w:hideMark/>
          </w:tcPr>
          <w:p w14:paraId="086E3B33" w14:textId="77777777" w:rsidR="005365F7" w:rsidRPr="00D01607" w:rsidRDefault="00000000" w:rsidP="005365F7">
            <w:pPr>
              <w:numPr>
                <w:ilvl w:val="0"/>
                <w:numId w:val="273"/>
              </w:numPr>
              <w:ind w:left="360" w:hanging="210"/>
            </w:pPr>
            <w:r>
              <w:t>160</w:t>
            </w:r>
            <w:r w:rsidR="00874DE1" w:rsidRPr="00005EC2">
              <w:rPr>
                <w:szCs w:val="22"/>
              </w:rPr>
              <w:t> </w:t>
            </w:r>
            <w:r>
              <w:t>mg v </w:t>
            </w:r>
            <w:r w:rsidR="00BC5CBC" w:rsidRPr="00BC5CBC">
              <w:t>týdnu 0</w:t>
            </w:r>
            <w:r>
              <w:t xml:space="preserve"> (podáváno jako dvě injekce 80</w:t>
            </w:r>
            <w:r w:rsidR="00874DE1" w:rsidRPr="00005EC2">
              <w:rPr>
                <w:szCs w:val="22"/>
              </w:rPr>
              <w:t> </w:t>
            </w:r>
            <w:r>
              <w:t>mg jednou denně nebo jedna injekce 80</w:t>
            </w:r>
            <w:r w:rsidR="00874DE1" w:rsidRPr="00005EC2">
              <w:rPr>
                <w:szCs w:val="22"/>
              </w:rPr>
              <w:t> </w:t>
            </w:r>
            <w:r>
              <w:t xml:space="preserve">mg denně </w:t>
            </w:r>
            <w:r w:rsidR="00B70F64">
              <w:t xml:space="preserve">ve dvou po sobě </w:t>
            </w:r>
            <w:r w:rsidR="00FE5873">
              <w:t xml:space="preserve">jdoucích </w:t>
            </w:r>
            <w:r w:rsidR="00B70F64">
              <w:t>dnech</w:t>
            </w:r>
            <w:r>
              <w:t>)</w:t>
            </w:r>
            <w:r w:rsidR="002378E0">
              <w:t xml:space="preserve"> a </w:t>
            </w:r>
          </w:p>
          <w:p w14:paraId="07E1D265" w14:textId="77777777" w:rsidR="005365F7" w:rsidRPr="00D01607" w:rsidRDefault="00000000" w:rsidP="005365F7">
            <w:pPr>
              <w:numPr>
                <w:ilvl w:val="0"/>
                <w:numId w:val="273"/>
              </w:numPr>
              <w:ind w:left="360" w:hanging="210"/>
            </w:pPr>
            <w:r>
              <w:t>80</w:t>
            </w:r>
            <w:r w:rsidR="00874DE1" w:rsidRPr="00005EC2">
              <w:rPr>
                <w:szCs w:val="22"/>
              </w:rPr>
              <w:t> </w:t>
            </w:r>
            <w:r>
              <w:t>mg v</w:t>
            </w:r>
            <w:r w:rsidR="00CA4765">
              <w:t> </w:t>
            </w:r>
            <w:r>
              <w:t>týdnu 2 (podáváno jako jedna injekce 80</w:t>
            </w:r>
            <w:r w:rsidR="00874DE1" w:rsidRPr="00005EC2">
              <w:rPr>
                <w:szCs w:val="22"/>
              </w:rPr>
              <w:t> </w:t>
            </w:r>
            <w:r>
              <w:t>mg)</w:t>
            </w:r>
          </w:p>
        </w:tc>
        <w:tc>
          <w:tcPr>
            <w:tcW w:w="1091" w:type="pct"/>
            <w:tcBorders>
              <w:top w:val="single" w:sz="6" w:space="0" w:color="000000"/>
              <w:left w:val="single" w:sz="6" w:space="0" w:color="000000"/>
              <w:bottom w:val="single" w:sz="4" w:space="0" w:color="auto"/>
              <w:right w:val="single" w:sz="6" w:space="0" w:color="000000"/>
            </w:tcBorders>
            <w:hideMark/>
          </w:tcPr>
          <w:p w14:paraId="7D512F60" w14:textId="77777777" w:rsidR="005365F7" w:rsidRPr="00D01607" w:rsidRDefault="00000000" w:rsidP="005365F7">
            <w:pPr>
              <w:numPr>
                <w:ilvl w:val="0"/>
                <w:numId w:val="272"/>
              </w:numPr>
              <w:ind w:left="360" w:hanging="210"/>
            </w:pPr>
            <w:r>
              <w:t>80</w:t>
            </w:r>
            <w:r w:rsidR="00874DE1" w:rsidRPr="00005EC2">
              <w:rPr>
                <w:szCs w:val="22"/>
              </w:rPr>
              <w:t> </w:t>
            </w:r>
            <w:r>
              <w:t>mg jednou za dva týdny</w:t>
            </w:r>
          </w:p>
        </w:tc>
      </w:tr>
      <w:tr w:rsidR="00534A2D" w14:paraId="4EDBED79" w14:textId="77777777" w:rsidTr="00CA4765">
        <w:trPr>
          <w:jc w:val="center"/>
        </w:trPr>
        <w:tc>
          <w:tcPr>
            <w:tcW w:w="5000" w:type="pct"/>
            <w:gridSpan w:val="3"/>
            <w:tcBorders>
              <w:top w:val="single" w:sz="4" w:space="0" w:color="auto"/>
              <w:left w:val="nil"/>
              <w:bottom w:val="nil"/>
              <w:right w:val="nil"/>
            </w:tcBorders>
          </w:tcPr>
          <w:p w14:paraId="68318583" w14:textId="77777777" w:rsidR="005365F7" w:rsidRPr="00D01607" w:rsidRDefault="00000000" w:rsidP="001D2137">
            <w:pPr>
              <w:ind w:left="0" w:firstLine="0"/>
            </w:pPr>
            <w:r>
              <w:rPr>
                <w:vertAlign w:val="superscript"/>
              </w:rPr>
              <w:t>*</w:t>
            </w:r>
            <w:r>
              <w:t xml:space="preserve"> Pediatričtí pacienti, </w:t>
            </w:r>
            <w:r w:rsidR="00D423FA">
              <w:t>kteří dosáhnou</w:t>
            </w:r>
            <w:r>
              <w:t xml:space="preserve"> během léčby přípravkem Humira 18 let, by měli nadále </w:t>
            </w:r>
            <w:r w:rsidR="006B77BF">
              <w:t>po</w:t>
            </w:r>
            <w:r>
              <w:t>užívat předepsanou udržovací dávku.</w:t>
            </w:r>
          </w:p>
        </w:tc>
      </w:tr>
    </w:tbl>
    <w:p w14:paraId="66321099" w14:textId="77777777" w:rsidR="005365F7" w:rsidRPr="001D2137" w:rsidRDefault="005365F7" w:rsidP="001D2137">
      <w:pPr>
        <w:pStyle w:val="gtctablespaceafter"/>
        <w:numPr>
          <w:ilvl w:val="0"/>
          <w:numId w:val="274"/>
        </w:numPr>
        <w:spacing w:after="0"/>
        <w:ind w:firstLine="0"/>
        <w:rPr>
          <w:sz w:val="22"/>
          <w:szCs w:val="22"/>
          <w:lang w:val="cs-CZ"/>
        </w:rPr>
      </w:pPr>
    </w:p>
    <w:p w14:paraId="29B3AF06" w14:textId="77777777" w:rsidR="005365F7" w:rsidRPr="00D01607" w:rsidRDefault="00000000" w:rsidP="001D2137">
      <w:pPr>
        <w:ind w:left="0" w:firstLine="0"/>
      </w:pPr>
      <w:r>
        <w:t>U pacientů, u kterých se během této doby neobjeví známky odpovědi, je třeba pečlivě zvážit pokračování léčby nad rámec 8 týdnů.</w:t>
      </w:r>
    </w:p>
    <w:p w14:paraId="6D4E532B" w14:textId="77777777" w:rsidR="005365F7" w:rsidRDefault="005365F7" w:rsidP="001D2137">
      <w:pPr>
        <w:ind w:left="0" w:firstLine="0"/>
      </w:pPr>
    </w:p>
    <w:p w14:paraId="70D9783A" w14:textId="77777777" w:rsidR="005365F7" w:rsidRPr="00D01607" w:rsidRDefault="00000000" w:rsidP="001D2137">
      <w:pPr>
        <w:ind w:left="0" w:firstLine="0"/>
      </w:pPr>
      <w:r>
        <w:t>Použití přípravku Humira u</w:t>
      </w:r>
      <w:r w:rsidR="00CA4765">
        <w:t> </w:t>
      </w:r>
      <w:r>
        <w:t>dětí mladších než 6 let není v</w:t>
      </w:r>
      <w:r w:rsidR="00CA4765">
        <w:t> </w:t>
      </w:r>
      <w:r>
        <w:t>této indikaci relevantní.</w:t>
      </w:r>
    </w:p>
    <w:p w14:paraId="61E64094" w14:textId="77777777" w:rsidR="005365F7" w:rsidRDefault="005365F7" w:rsidP="001D2137">
      <w:pPr>
        <w:ind w:left="0" w:firstLine="0"/>
      </w:pPr>
    </w:p>
    <w:p w14:paraId="5948632D" w14:textId="77777777" w:rsidR="005365F7" w:rsidRPr="00D01607" w:rsidRDefault="00000000" w:rsidP="001D2137">
      <w:pPr>
        <w:ind w:left="0" w:firstLine="0"/>
      </w:pPr>
      <w:r>
        <w:t>Přípravek Humira je k dispozici v dalších silách a/nebo typech balení v závislosti na individuálních potřebách léčby. </w:t>
      </w:r>
    </w:p>
    <w:p w14:paraId="4911A763" w14:textId="77777777" w:rsidR="005365F7" w:rsidRDefault="005365F7" w:rsidP="00D427E8">
      <w:pPr>
        <w:keepNext/>
        <w:rPr>
          <w:i/>
          <w:color w:val="000000"/>
        </w:rPr>
      </w:pPr>
    </w:p>
    <w:p w14:paraId="454F6C56" w14:textId="77777777" w:rsidR="00D427E8" w:rsidRPr="001B4A02" w:rsidRDefault="00000000" w:rsidP="00D427E8">
      <w:pPr>
        <w:keepNext/>
        <w:rPr>
          <w:i/>
          <w:color w:val="000000"/>
        </w:rPr>
      </w:pPr>
      <w:r w:rsidRPr="001B4A02">
        <w:rPr>
          <w:i/>
          <w:color w:val="000000"/>
        </w:rPr>
        <w:t>Uveitida u pediatrických pacientů</w:t>
      </w:r>
    </w:p>
    <w:p w14:paraId="12FC0440" w14:textId="77777777" w:rsidR="00D427E8" w:rsidRPr="001B4A02" w:rsidRDefault="00D427E8" w:rsidP="00D427E8">
      <w:pPr>
        <w:keepNext/>
        <w:rPr>
          <w:color w:val="000000"/>
        </w:rPr>
      </w:pPr>
    </w:p>
    <w:p w14:paraId="693BB907" w14:textId="77777777" w:rsidR="004F62C7" w:rsidRPr="001B4A02" w:rsidRDefault="00000000" w:rsidP="004F62C7">
      <w:pPr>
        <w:ind w:left="0" w:firstLine="0"/>
      </w:pPr>
      <w:r w:rsidRPr="001B4A02">
        <w:rPr>
          <w:szCs w:val="22"/>
        </w:rPr>
        <w:t>Doporučená dávka přípravku Humira u</w:t>
      </w:r>
      <w:r w:rsidR="009B61F3" w:rsidRPr="001B4A02">
        <w:rPr>
          <w:szCs w:val="22"/>
        </w:rPr>
        <w:t> </w:t>
      </w:r>
      <w:r w:rsidRPr="001B4A02">
        <w:rPr>
          <w:szCs w:val="22"/>
        </w:rPr>
        <w:t xml:space="preserve">pediatrických pacientů s uveitidou od 2 let vychází z tělesné hmotnosti (tabulka </w:t>
      </w:r>
      <w:r w:rsidR="00245623">
        <w:rPr>
          <w:szCs w:val="22"/>
        </w:rPr>
        <w:t>3</w:t>
      </w:r>
      <w:r w:rsidRPr="001B4A02">
        <w:rPr>
          <w:szCs w:val="22"/>
        </w:rPr>
        <w:t xml:space="preserve">). </w:t>
      </w:r>
      <w:r w:rsidR="0024278A" w:rsidRPr="001B4A02">
        <w:t xml:space="preserve">Přípravek </w:t>
      </w:r>
      <w:r w:rsidRPr="001B4A02">
        <w:t xml:space="preserve">Humira se podává subkutánní injekcí. </w:t>
      </w:r>
    </w:p>
    <w:p w14:paraId="33364112" w14:textId="77777777" w:rsidR="004F62C7" w:rsidRPr="001B4A02" w:rsidRDefault="004F62C7" w:rsidP="00ED48A3">
      <w:pPr>
        <w:pStyle w:val="EMEANormal"/>
        <w:rPr>
          <w:szCs w:val="22"/>
          <w:bdr w:val="nil"/>
          <w:lang w:val="cs-CZ"/>
        </w:rPr>
      </w:pPr>
    </w:p>
    <w:p w14:paraId="436B2F39" w14:textId="77777777" w:rsidR="00B92186" w:rsidRPr="001B4A02" w:rsidRDefault="00000000" w:rsidP="00ED48A3">
      <w:pPr>
        <w:pStyle w:val="EMEANormal"/>
        <w:rPr>
          <w:szCs w:val="22"/>
          <w:bdr w:val="nil"/>
          <w:lang w:val="cs-CZ"/>
        </w:rPr>
      </w:pPr>
      <w:r w:rsidRPr="001B4A02">
        <w:rPr>
          <w:szCs w:val="22"/>
          <w:lang w:val="cs-CZ"/>
        </w:rPr>
        <w:t xml:space="preserve">U pediatrických pacientů </w:t>
      </w:r>
      <w:r w:rsidR="00D3072B" w:rsidRPr="001B4A02">
        <w:rPr>
          <w:szCs w:val="22"/>
          <w:lang w:val="cs-CZ"/>
        </w:rPr>
        <w:t xml:space="preserve">s uveitidou </w:t>
      </w:r>
      <w:r w:rsidRPr="001B4A02">
        <w:rPr>
          <w:szCs w:val="22"/>
          <w:lang w:val="cs-CZ"/>
        </w:rPr>
        <w:t>nejsou k</w:t>
      </w:r>
      <w:r w:rsidR="00B66B89" w:rsidRPr="001B4A02">
        <w:rPr>
          <w:szCs w:val="22"/>
          <w:lang w:val="cs-CZ"/>
        </w:rPr>
        <w:t> </w:t>
      </w:r>
      <w:r w:rsidRPr="001B4A02">
        <w:rPr>
          <w:szCs w:val="22"/>
          <w:lang w:val="cs-CZ"/>
        </w:rPr>
        <w:t>dispozici žádné zkušenosti s</w:t>
      </w:r>
      <w:r w:rsidR="00463AD9" w:rsidRPr="001B4A02">
        <w:rPr>
          <w:szCs w:val="22"/>
          <w:lang w:val="cs-CZ"/>
        </w:rPr>
        <w:t> </w:t>
      </w:r>
      <w:r w:rsidRPr="001B4A02">
        <w:rPr>
          <w:szCs w:val="22"/>
          <w:lang w:val="cs-CZ"/>
        </w:rPr>
        <w:t>léčbou přípravkem Humira bez současné léčby methotrexátem.</w:t>
      </w:r>
    </w:p>
    <w:p w14:paraId="01FF75D4" w14:textId="77777777" w:rsidR="00DC250F" w:rsidRPr="001B4A02" w:rsidRDefault="00DC250F" w:rsidP="00ED48A3">
      <w:pPr>
        <w:pStyle w:val="EMEANormal"/>
        <w:rPr>
          <w:szCs w:val="22"/>
          <w:bdr w:val="nil"/>
          <w:lang w:val="cs-CZ"/>
        </w:rPr>
      </w:pPr>
    </w:p>
    <w:p w14:paraId="4057EA82" w14:textId="77777777" w:rsidR="00DC250F" w:rsidRPr="001B4A02" w:rsidRDefault="00000000" w:rsidP="003B610F">
      <w:pPr>
        <w:keepNext/>
        <w:jc w:val="center"/>
        <w:rPr>
          <w:b/>
          <w:szCs w:val="22"/>
        </w:rPr>
      </w:pPr>
      <w:r w:rsidRPr="001B4A02">
        <w:rPr>
          <w:b/>
          <w:szCs w:val="22"/>
        </w:rPr>
        <w:t xml:space="preserve">Tabulka </w:t>
      </w:r>
      <w:r w:rsidR="00245623">
        <w:rPr>
          <w:b/>
          <w:szCs w:val="22"/>
        </w:rPr>
        <w:t>3</w:t>
      </w:r>
      <w:r w:rsidRPr="001B4A02">
        <w:rPr>
          <w:b/>
          <w:szCs w:val="22"/>
        </w:rPr>
        <w:t>. Dávka přípravku Humira u</w:t>
      </w:r>
      <w:r w:rsidR="00463AD9" w:rsidRPr="001B4A02">
        <w:rPr>
          <w:b/>
          <w:szCs w:val="22"/>
        </w:rPr>
        <w:t> </w:t>
      </w:r>
      <w:r w:rsidRPr="001B4A02">
        <w:rPr>
          <w:b/>
          <w:szCs w:val="22"/>
        </w:rPr>
        <w:t>pediatrických pacientů s</w:t>
      </w:r>
      <w:r w:rsidR="00463AD9" w:rsidRPr="001B4A02">
        <w:rPr>
          <w:b/>
          <w:szCs w:val="22"/>
        </w:rPr>
        <w:t> </w:t>
      </w:r>
      <w:r w:rsidRPr="001B4A02">
        <w:rPr>
          <w:b/>
          <w:szCs w:val="22"/>
        </w:rPr>
        <w:t>uveitidou</w:t>
      </w:r>
    </w:p>
    <w:p w14:paraId="07CC4251" w14:textId="77777777" w:rsidR="00DC250F" w:rsidRPr="001B4A02" w:rsidRDefault="00DC250F" w:rsidP="003B610F">
      <w:pPr>
        <w:keepNext/>
        <w:jc w:val="center"/>
      </w:pPr>
    </w:p>
    <w:tbl>
      <w:tblPr>
        <w:tblW w:w="7509" w:type="dxa"/>
        <w:jc w:val="center"/>
        <w:tblLayout w:type="fixed"/>
        <w:tblLook w:val="0000" w:firstRow="0" w:lastRow="0" w:firstColumn="0" w:lastColumn="0" w:noHBand="0" w:noVBand="0"/>
      </w:tblPr>
      <w:tblGrid>
        <w:gridCol w:w="3401"/>
        <w:gridCol w:w="4108"/>
      </w:tblGrid>
      <w:tr w:rsidR="00534A2D" w14:paraId="5D116B33" w14:textId="77777777" w:rsidTr="001F5EAC">
        <w:trPr>
          <w:tblHeader/>
          <w:jc w:val="center"/>
        </w:trPr>
        <w:tc>
          <w:tcPr>
            <w:tcW w:w="3401" w:type="dxa"/>
            <w:tcBorders>
              <w:top w:val="single" w:sz="4" w:space="0" w:color="auto"/>
              <w:bottom w:val="single" w:sz="4" w:space="0" w:color="auto"/>
            </w:tcBorders>
            <w:shd w:val="clear" w:color="auto" w:fill="auto"/>
          </w:tcPr>
          <w:p w14:paraId="4218D3AD" w14:textId="77777777" w:rsidR="00DC250F" w:rsidRPr="001B4A02" w:rsidRDefault="00000000" w:rsidP="00332340">
            <w:pPr>
              <w:pStyle w:val="TableLeft"/>
              <w:jc w:val="center"/>
              <w:rPr>
                <w:b/>
                <w:sz w:val="22"/>
                <w:szCs w:val="22"/>
                <w:lang w:val="cs-CZ"/>
              </w:rPr>
            </w:pPr>
            <w:r w:rsidRPr="001B4A02">
              <w:rPr>
                <w:b/>
                <w:sz w:val="22"/>
                <w:szCs w:val="22"/>
                <w:lang w:val="cs-CZ"/>
              </w:rPr>
              <w:t>Hmotnost pacienta</w:t>
            </w:r>
          </w:p>
        </w:tc>
        <w:tc>
          <w:tcPr>
            <w:tcW w:w="4108" w:type="dxa"/>
            <w:tcBorders>
              <w:top w:val="single" w:sz="4" w:space="0" w:color="auto"/>
              <w:bottom w:val="single" w:sz="4" w:space="0" w:color="auto"/>
            </w:tcBorders>
            <w:shd w:val="clear" w:color="auto" w:fill="auto"/>
          </w:tcPr>
          <w:p w14:paraId="4D7D5ACE" w14:textId="77777777" w:rsidR="00DC250F" w:rsidRPr="001B4A02" w:rsidRDefault="00000000" w:rsidP="00332340">
            <w:pPr>
              <w:pStyle w:val="TableLeft"/>
              <w:jc w:val="center"/>
              <w:rPr>
                <w:b/>
                <w:sz w:val="22"/>
                <w:szCs w:val="22"/>
                <w:lang w:val="cs-CZ"/>
              </w:rPr>
            </w:pPr>
            <w:r w:rsidRPr="001B4A02">
              <w:rPr>
                <w:b/>
                <w:sz w:val="22"/>
                <w:szCs w:val="22"/>
                <w:lang w:val="cs-CZ"/>
              </w:rPr>
              <w:t>Režim dávkování</w:t>
            </w:r>
          </w:p>
        </w:tc>
      </w:tr>
      <w:tr w:rsidR="00534A2D" w14:paraId="6288AA66" w14:textId="77777777" w:rsidTr="001F5EAC">
        <w:trPr>
          <w:tblHeader/>
          <w:jc w:val="center"/>
        </w:trPr>
        <w:tc>
          <w:tcPr>
            <w:tcW w:w="3401" w:type="dxa"/>
            <w:tcBorders>
              <w:top w:val="single" w:sz="4" w:space="0" w:color="auto"/>
              <w:bottom w:val="single" w:sz="4" w:space="0" w:color="auto"/>
            </w:tcBorders>
            <w:shd w:val="clear" w:color="auto" w:fill="auto"/>
          </w:tcPr>
          <w:p w14:paraId="004A5F9E" w14:textId="77777777" w:rsidR="00DC250F" w:rsidRPr="001B4A02" w:rsidRDefault="00000000" w:rsidP="00332340">
            <w:pPr>
              <w:pStyle w:val="TableLeft"/>
              <w:jc w:val="center"/>
              <w:rPr>
                <w:b/>
                <w:sz w:val="22"/>
                <w:szCs w:val="22"/>
                <w:lang w:val="cs-CZ"/>
              </w:rPr>
            </w:pPr>
            <w:r w:rsidRPr="001B4A02">
              <w:rPr>
                <w:sz w:val="22"/>
                <w:szCs w:val="22"/>
                <w:lang w:val="cs-CZ"/>
              </w:rPr>
              <w:t>&lt;</w:t>
            </w:r>
            <w:r w:rsidR="007375A0" w:rsidRPr="001B4A02">
              <w:rPr>
                <w:sz w:val="22"/>
                <w:szCs w:val="22"/>
                <w:lang w:val="cs-CZ"/>
              </w:rPr>
              <w:t> </w:t>
            </w:r>
            <w:r w:rsidRPr="001B4A02">
              <w:rPr>
                <w:sz w:val="22"/>
                <w:szCs w:val="22"/>
                <w:lang w:val="cs-CZ"/>
              </w:rPr>
              <w:t>30</w:t>
            </w:r>
            <w:r w:rsidR="002767FC">
              <w:rPr>
                <w:sz w:val="22"/>
                <w:szCs w:val="22"/>
                <w:lang w:val="cs-CZ"/>
              </w:rPr>
              <w:t> kg</w:t>
            </w:r>
          </w:p>
        </w:tc>
        <w:tc>
          <w:tcPr>
            <w:tcW w:w="4108" w:type="dxa"/>
            <w:tcBorders>
              <w:top w:val="single" w:sz="4" w:space="0" w:color="auto"/>
              <w:bottom w:val="single" w:sz="4" w:space="0" w:color="auto"/>
            </w:tcBorders>
            <w:shd w:val="clear" w:color="auto" w:fill="auto"/>
          </w:tcPr>
          <w:p w14:paraId="4042ECF1" w14:textId="77777777" w:rsidR="00DC250F" w:rsidRPr="001B4A02" w:rsidRDefault="00000000" w:rsidP="00332340">
            <w:pPr>
              <w:pStyle w:val="TableLeft"/>
              <w:jc w:val="center"/>
              <w:rPr>
                <w:b/>
                <w:sz w:val="22"/>
                <w:szCs w:val="22"/>
                <w:lang w:val="cs-CZ"/>
              </w:rPr>
            </w:pPr>
            <w:r w:rsidRPr="001B4A02">
              <w:rPr>
                <w:sz w:val="22"/>
                <w:szCs w:val="22"/>
                <w:lang w:val="cs-CZ"/>
              </w:rPr>
              <w:t>20 mg jednou za dva týdny v</w:t>
            </w:r>
            <w:r w:rsidR="001F5EAC" w:rsidRPr="001B4A02">
              <w:rPr>
                <w:sz w:val="22"/>
                <w:szCs w:val="22"/>
                <w:lang w:val="cs-CZ"/>
              </w:rPr>
              <w:t> </w:t>
            </w:r>
            <w:r w:rsidRPr="001B4A02">
              <w:rPr>
                <w:sz w:val="22"/>
                <w:szCs w:val="22"/>
                <w:lang w:val="cs-CZ"/>
              </w:rPr>
              <w:t>kombinaci s</w:t>
            </w:r>
            <w:r w:rsidR="001F5EAC" w:rsidRPr="001B4A02">
              <w:rPr>
                <w:sz w:val="22"/>
                <w:szCs w:val="22"/>
                <w:lang w:val="cs-CZ"/>
              </w:rPr>
              <w:t> </w:t>
            </w:r>
            <w:r w:rsidRPr="001B4A02">
              <w:rPr>
                <w:sz w:val="22"/>
                <w:szCs w:val="22"/>
                <w:lang w:val="cs-CZ"/>
              </w:rPr>
              <w:t>methotrexátem</w:t>
            </w:r>
          </w:p>
        </w:tc>
      </w:tr>
      <w:tr w:rsidR="00534A2D" w14:paraId="4374AF3B" w14:textId="77777777" w:rsidTr="001F5EAC">
        <w:trPr>
          <w:tblHeader/>
          <w:jc w:val="center"/>
        </w:trPr>
        <w:tc>
          <w:tcPr>
            <w:tcW w:w="3401" w:type="dxa"/>
            <w:tcBorders>
              <w:top w:val="single" w:sz="4" w:space="0" w:color="auto"/>
              <w:bottom w:val="single" w:sz="4" w:space="0" w:color="auto"/>
            </w:tcBorders>
            <w:shd w:val="clear" w:color="auto" w:fill="auto"/>
          </w:tcPr>
          <w:p w14:paraId="2FFDF2E8" w14:textId="77777777" w:rsidR="00DC250F" w:rsidRPr="001B4A02" w:rsidRDefault="00000000" w:rsidP="00332340">
            <w:pPr>
              <w:pStyle w:val="TableLeft"/>
              <w:jc w:val="center"/>
              <w:rPr>
                <w:b/>
                <w:sz w:val="22"/>
                <w:szCs w:val="22"/>
                <w:lang w:val="cs-CZ"/>
              </w:rPr>
            </w:pPr>
            <w:r w:rsidRPr="001B4A02">
              <w:rPr>
                <w:sz w:val="22"/>
                <w:szCs w:val="22"/>
                <w:lang w:val="cs-CZ"/>
              </w:rPr>
              <w:t>≥</w:t>
            </w:r>
            <w:r w:rsidR="007375A0" w:rsidRPr="001B4A02">
              <w:rPr>
                <w:sz w:val="22"/>
                <w:szCs w:val="22"/>
                <w:lang w:val="cs-CZ"/>
              </w:rPr>
              <w:t> </w:t>
            </w:r>
            <w:r w:rsidRPr="001B4A02">
              <w:rPr>
                <w:sz w:val="22"/>
                <w:szCs w:val="22"/>
                <w:lang w:val="cs-CZ"/>
              </w:rPr>
              <w:t>30</w:t>
            </w:r>
            <w:r w:rsidR="002767FC">
              <w:rPr>
                <w:sz w:val="22"/>
                <w:szCs w:val="22"/>
                <w:lang w:val="cs-CZ"/>
              </w:rPr>
              <w:t> kg</w:t>
            </w:r>
          </w:p>
        </w:tc>
        <w:tc>
          <w:tcPr>
            <w:tcW w:w="4108" w:type="dxa"/>
            <w:tcBorders>
              <w:top w:val="single" w:sz="4" w:space="0" w:color="auto"/>
              <w:bottom w:val="single" w:sz="4" w:space="0" w:color="auto"/>
            </w:tcBorders>
            <w:shd w:val="clear" w:color="auto" w:fill="auto"/>
          </w:tcPr>
          <w:p w14:paraId="3C5C7EAE" w14:textId="77777777" w:rsidR="00DC250F" w:rsidRPr="001B4A02" w:rsidRDefault="00000000" w:rsidP="00332340">
            <w:pPr>
              <w:pStyle w:val="TableLeft"/>
              <w:jc w:val="center"/>
              <w:rPr>
                <w:b/>
                <w:sz w:val="22"/>
                <w:szCs w:val="22"/>
                <w:lang w:val="cs-CZ"/>
              </w:rPr>
            </w:pPr>
            <w:r w:rsidRPr="001B4A02">
              <w:rPr>
                <w:sz w:val="22"/>
                <w:szCs w:val="22"/>
                <w:lang w:val="cs-CZ"/>
              </w:rPr>
              <w:t>40 mg jednou za dva týdny v</w:t>
            </w:r>
            <w:r w:rsidR="001F5EAC" w:rsidRPr="001B4A02">
              <w:rPr>
                <w:sz w:val="22"/>
                <w:szCs w:val="22"/>
                <w:lang w:val="cs-CZ"/>
              </w:rPr>
              <w:t> </w:t>
            </w:r>
            <w:r w:rsidRPr="001B4A02">
              <w:rPr>
                <w:sz w:val="22"/>
                <w:szCs w:val="22"/>
                <w:lang w:val="cs-CZ"/>
              </w:rPr>
              <w:t>kombinaci s</w:t>
            </w:r>
            <w:r w:rsidR="001F5EAC" w:rsidRPr="001B4A02">
              <w:rPr>
                <w:sz w:val="22"/>
                <w:szCs w:val="22"/>
                <w:lang w:val="cs-CZ"/>
              </w:rPr>
              <w:t> </w:t>
            </w:r>
            <w:r w:rsidRPr="001B4A02">
              <w:rPr>
                <w:sz w:val="22"/>
                <w:szCs w:val="22"/>
                <w:lang w:val="cs-CZ"/>
              </w:rPr>
              <w:t>methotrexátem</w:t>
            </w:r>
          </w:p>
        </w:tc>
      </w:tr>
    </w:tbl>
    <w:p w14:paraId="6E7331FD" w14:textId="77777777" w:rsidR="00B92186" w:rsidRPr="001B4A02" w:rsidRDefault="00B92186" w:rsidP="00ED48A3">
      <w:pPr>
        <w:pStyle w:val="EMEANormal"/>
        <w:rPr>
          <w:lang w:val="cs-CZ"/>
        </w:rPr>
      </w:pPr>
    </w:p>
    <w:p w14:paraId="5451A2A8" w14:textId="77777777" w:rsidR="00B92186" w:rsidRPr="001B4A02" w:rsidRDefault="00000000" w:rsidP="00ED48A3">
      <w:pPr>
        <w:ind w:left="0" w:firstLine="0"/>
      </w:pPr>
      <w:r w:rsidRPr="001B4A02">
        <w:rPr>
          <w:szCs w:val="22"/>
        </w:rPr>
        <w:t xml:space="preserve">Při zahájení léčby přípravkem Humira může být podána úvodní dávka </w:t>
      </w:r>
      <w:r w:rsidR="00245B07" w:rsidRPr="001B4A02">
        <w:rPr>
          <w:szCs w:val="22"/>
        </w:rPr>
        <w:t xml:space="preserve">40 mg </w:t>
      </w:r>
      <w:r w:rsidR="00F82FEE" w:rsidRPr="001B4A02">
        <w:rPr>
          <w:szCs w:val="22"/>
        </w:rPr>
        <w:t xml:space="preserve">pacientům s tělesnou hmotností </w:t>
      </w:r>
      <w:r w:rsidR="00F82FEE" w:rsidRPr="001B4A02">
        <w:t>&lt;</w:t>
      </w:r>
      <w:r w:rsidR="007375A0" w:rsidRPr="001B4A02">
        <w:t> </w:t>
      </w:r>
      <w:r w:rsidR="00F82FEE" w:rsidRPr="001B4A02">
        <w:t>30</w:t>
      </w:r>
      <w:r w:rsidR="002767FC">
        <w:t> kg</w:t>
      </w:r>
      <w:r w:rsidR="00F82FEE" w:rsidRPr="001B4A02">
        <w:t xml:space="preserve"> nebo 80 mg pacientům s tělesnou hmotností ≥</w:t>
      </w:r>
      <w:r w:rsidR="007375A0" w:rsidRPr="001B4A02">
        <w:t> </w:t>
      </w:r>
      <w:r w:rsidR="00F82FEE" w:rsidRPr="001B4A02">
        <w:t>30</w:t>
      </w:r>
      <w:r w:rsidR="002767FC">
        <w:t> kg</w:t>
      </w:r>
      <w:r w:rsidR="00F82FEE" w:rsidRPr="001B4A02">
        <w:rPr>
          <w:szCs w:val="22"/>
        </w:rPr>
        <w:t xml:space="preserve"> </w:t>
      </w:r>
      <w:r w:rsidRPr="001B4A02">
        <w:rPr>
          <w:szCs w:val="22"/>
        </w:rPr>
        <w:t>jeden týden před zahájením udržovací léčby. Nejsou k</w:t>
      </w:r>
      <w:r w:rsidR="00B66B89" w:rsidRPr="001B4A02">
        <w:rPr>
          <w:szCs w:val="22"/>
        </w:rPr>
        <w:t> </w:t>
      </w:r>
      <w:r w:rsidRPr="001B4A02">
        <w:rPr>
          <w:szCs w:val="22"/>
        </w:rPr>
        <w:t>dispozici žádné klinické údaje o</w:t>
      </w:r>
      <w:r w:rsidR="00923691" w:rsidRPr="001B4A02">
        <w:rPr>
          <w:szCs w:val="22"/>
        </w:rPr>
        <w:t> </w:t>
      </w:r>
      <w:r w:rsidRPr="001B4A02">
        <w:rPr>
          <w:szCs w:val="22"/>
        </w:rPr>
        <w:t>použití úvodní dávky přípravku Humira u</w:t>
      </w:r>
      <w:r w:rsidR="00923691" w:rsidRPr="001B4A02">
        <w:rPr>
          <w:szCs w:val="22"/>
        </w:rPr>
        <w:t> </w:t>
      </w:r>
      <w:r w:rsidRPr="001B4A02">
        <w:rPr>
          <w:szCs w:val="22"/>
        </w:rPr>
        <w:t>dětí ve věku &lt;</w:t>
      </w:r>
      <w:r w:rsidR="000C196B" w:rsidRPr="001B4A02">
        <w:rPr>
          <w:szCs w:val="22"/>
        </w:rPr>
        <w:t> </w:t>
      </w:r>
      <w:r w:rsidRPr="001B4A02">
        <w:rPr>
          <w:szCs w:val="22"/>
        </w:rPr>
        <w:t>6 let (viz bod 5.2).</w:t>
      </w:r>
    </w:p>
    <w:p w14:paraId="5AD9E8A9" w14:textId="77777777" w:rsidR="00B92186" w:rsidRPr="001B4A02" w:rsidRDefault="00B92186" w:rsidP="00ED48A3"/>
    <w:p w14:paraId="74BF8F3B" w14:textId="77777777" w:rsidR="00B92186" w:rsidRPr="001B4A02" w:rsidRDefault="00000000" w:rsidP="004C2FD7">
      <w:pPr>
        <w:pStyle w:val="EMEANormal"/>
        <w:rPr>
          <w:lang w:val="cs-CZ"/>
        </w:rPr>
      </w:pPr>
      <w:r w:rsidRPr="001B4A02">
        <w:rPr>
          <w:szCs w:val="22"/>
          <w:lang w:val="cs-CZ"/>
        </w:rPr>
        <w:t>Použití přípravku Humira u</w:t>
      </w:r>
      <w:r w:rsidR="00463AD9" w:rsidRPr="001B4A02">
        <w:rPr>
          <w:szCs w:val="22"/>
          <w:lang w:val="cs-CZ"/>
        </w:rPr>
        <w:t> </w:t>
      </w:r>
      <w:r w:rsidRPr="001B4A02">
        <w:rPr>
          <w:szCs w:val="22"/>
          <w:lang w:val="cs-CZ"/>
        </w:rPr>
        <w:t>dětí mladších než 2 roky není v</w:t>
      </w:r>
      <w:r w:rsidR="00463AD9" w:rsidRPr="001B4A02">
        <w:rPr>
          <w:szCs w:val="22"/>
          <w:lang w:val="cs-CZ"/>
        </w:rPr>
        <w:t> </w:t>
      </w:r>
      <w:r w:rsidRPr="001B4A02">
        <w:rPr>
          <w:szCs w:val="22"/>
          <w:lang w:val="cs-CZ"/>
        </w:rPr>
        <w:t>této indikaci relevantní.</w:t>
      </w:r>
    </w:p>
    <w:p w14:paraId="73E6C397" w14:textId="77777777" w:rsidR="00B92186" w:rsidRPr="001B4A02" w:rsidRDefault="00B92186" w:rsidP="004C2FD7">
      <w:pPr>
        <w:pStyle w:val="EMEANormal"/>
        <w:rPr>
          <w:lang w:val="cs-CZ"/>
        </w:rPr>
      </w:pPr>
    </w:p>
    <w:p w14:paraId="76EA6D1D" w14:textId="77777777" w:rsidR="00B92186" w:rsidRPr="001B4A02" w:rsidRDefault="00000000" w:rsidP="004C2FD7">
      <w:pPr>
        <w:ind w:left="0" w:firstLine="0"/>
        <w:rPr>
          <w:color w:val="000000"/>
        </w:rPr>
      </w:pPr>
      <w:r w:rsidRPr="001B4A02">
        <w:rPr>
          <w:szCs w:val="22"/>
        </w:rPr>
        <w:t xml:space="preserve">Je doporučeno, aby byl každý rok </w:t>
      </w:r>
      <w:r w:rsidR="00D3072B" w:rsidRPr="001B4A02">
        <w:rPr>
          <w:szCs w:val="22"/>
        </w:rPr>
        <w:t>vyhodnocen poměr přínosu</w:t>
      </w:r>
      <w:r w:rsidR="002378E0">
        <w:rPr>
          <w:szCs w:val="22"/>
        </w:rPr>
        <w:t xml:space="preserve"> a </w:t>
      </w:r>
      <w:r w:rsidRPr="001B4A02">
        <w:rPr>
          <w:szCs w:val="22"/>
        </w:rPr>
        <w:t>rizik</w:t>
      </w:r>
      <w:r w:rsidR="00D3072B" w:rsidRPr="001B4A02">
        <w:rPr>
          <w:szCs w:val="22"/>
        </w:rPr>
        <w:t>a</w:t>
      </w:r>
      <w:r w:rsidRPr="001B4A02">
        <w:rPr>
          <w:szCs w:val="22"/>
        </w:rPr>
        <w:t xml:space="preserve"> pokračování dlouhodobé léčby (viz bod 5.1).</w:t>
      </w:r>
    </w:p>
    <w:p w14:paraId="1A68FC15" w14:textId="77777777" w:rsidR="00E7724C" w:rsidRPr="001B4A02" w:rsidRDefault="00E7724C" w:rsidP="004C2FD7">
      <w:pPr>
        <w:ind w:left="0" w:firstLine="0"/>
      </w:pPr>
    </w:p>
    <w:p w14:paraId="489B5F8F" w14:textId="77777777" w:rsidR="0036225A" w:rsidRPr="001B4A02" w:rsidRDefault="00000000" w:rsidP="0036225A">
      <w:pPr>
        <w:ind w:left="0" w:firstLine="0"/>
      </w:pPr>
      <w:r w:rsidRPr="001B4A02">
        <w:t xml:space="preserve">Přípravek Humira je k dispozici v dalších silách a/nebo </w:t>
      </w:r>
      <w:r w:rsidR="000B08CB">
        <w:t>typech balení</w:t>
      </w:r>
      <w:r w:rsidRPr="001B4A02">
        <w:t xml:space="preserve"> v závislosti na individuálních potřebách léčby.</w:t>
      </w:r>
    </w:p>
    <w:p w14:paraId="0BADD80E" w14:textId="77777777" w:rsidR="0036225A" w:rsidRPr="001B4A02" w:rsidRDefault="0036225A" w:rsidP="004C2FD7">
      <w:pPr>
        <w:ind w:left="0" w:firstLine="0"/>
      </w:pPr>
    </w:p>
    <w:p w14:paraId="2746422A" w14:textId="77777777" w:rsidR="002E4A36" w:rsidRPr="001B4A02" w:rsidRDefault="00000000" w:rsidP="003B610F">
      <w:pPr>
        <w:keepNext/>
        <w:ind w:left="0" w:firstLine="0"/>
        <w:rPr>
          <w:u w:val="single"/>
        </w:rPr>
      </w:pPr>
      <w:r w:rsidRPr="001B4A02">
        <w:rPr>
          <w:u w:val="single"/>
        </w:rPr>
        <w:t>Způsob podání</w:t>
      </w:r>
    </w:p>
    <w:p w14:paraId="4D651E1F" w14:textId="77777777" w:rsidR="00C5165D" w:rsidRPr="001B4A02" w:rsidRDefault="00C5165D" w:rsidP="003B610F">
      <w:pPr>
        <w:pStyle w:val="EMEAHeadingUnderline"/>
        <w:keepNext/>
        <w:spacing w:beforeLines="0" w:before="0" w:afterLines="0" w:after="0"/>
        <w:rPr>
          <w:u w:val="none"/>
          <w:lang w:val="cs-CZ"/>
        </w:rPr>
      </w:pPr>
    </w:p>
    <w:p w14:paraId="3B417570" w14:textId="77777777" w:rsidR="00E7724C" w:rsidRPr="001B4A02" w:rsidRDefault="00000000" w:rsidP="00ED48A3">
      <w:pPr>
        <w:pStyle w:val="EMEAHeadingUnderline"/>
        <w:spacing w:beforeLines="0" w:before="0" w:afterLines="0" w:after="0"/>
        <w:rPr>
          <w:u w:val="none"/>
          <w:lang w:val="cs-CZ"/>
        </w:rPr>
      </w:pPr>
      <w:r w:rsidRPr="001B4A02">
        <w:rPr>
          <w:u w:val="none"/>
          <w:lang w:val="cs-CZ"/>
        </w:rPr>
        <w:t>Přípravek Humira se podává subkutánní injekcí. Podrobný návod k</w:t>
      </w:r>
      <w:r w:rsidR="00C5165D" w:rsidRPr="001B4A02">
        <w:rPr>
          <w:u w:val="none"/>
          <w:lang w:val="cs-CZ"/>
        </w:rPr>
        <w:t> </w:t>
      </w:r>
      <w:r w:rsidR="0011294F" w:rsidRPr="001B4A02">
        <w:rPr>
          <w:u w:val="none"/>
          <w:lang w:val="cs-CZ"/>
        </w:rPr>
        <w:t>po</w:t>
      </w:r>
      <w:r w:rsidRPr="001B4A02">
        <w:rPr>
          <w:u w:val="none"/>
          <w:lang w:val="cs-CZ"/>
        </w:rPr>
        <w:t>užití je uveden v</w:t>
      </w:r>
      <w:r w:rsidR="00C5165D" w:rsidRPr="001B4A02">
        <w:rPr>
          <w:u w:val="none"/>
          <w:lang w:val="cs-CZ"/>
        </w:rPr>
        <w:t> </w:t>
      </w:r>
      <w:r w:rsidRPr="001B4A02">
        <w:rPr>
          <w:u w:val="none"/>
          <w:lang w:val="cs-CZ"/>
        </w:rPr>
        <w:t>příbalové informaci.</w:t>
      </w:r>
    </w:p>
    <w:p w14:paraId="59430BEC" w14:textId="77777777" w:rsidR="00F82FEE" w:rsidRPr="001B4A02" w:rsidRDefault="00F82FEE" w:rsidP="00B26A1C">
      <w:pPr>
        <w:pStyle w:val="EMEAHeadingUnderline"/>
        <w:spacing w:beforeLines="0" w:before="0" w:afterLines="0" w:after="0"/>
        <w:rPr>
          <w:lang w:val="cs-CZ"/>
        </w:rPr>
      </w:pPr>
    </w:p>
    <w:p w14:paraId="7C2D4C73" w14:textId="77777777" w:rsidR="00F82FEE" w:rsidRPr="001B4A02" w:rsidRDefault="00000000" w:rsidP="00F82FEE">
      <w:pPr>
        <w:ind w:left="0" w:firstLine="0"/>
      </w:pPr>
      <w:r w:rsidRPr="001B4A02">
        <w:t>Přípravek Humira je k dispozici v dalších silách</w:t>
      </w:r>
      <w:r w:rsidR="002378E0">
        <w:t xml:space="preserve"> a </w:t>
      </w:r>
      <w:r w:rsidR="000B08CB">
        <w:t>typech balení</w:t>
      </w:r>
      <w:r w:rsidRPr="001B4A02">
        <w:t>.</w:t>
      </w:r>
    </w:p>
    <w:p w14:paraId="70DAD14F" w14:textId="77777777" w:rsidR="00E7724C" w:rsidRPr="001B4A02" w:rsidRDefault="00E7724C" w:rsidP="00ED48A3">
      <w:pPr>
        <w:pStyle w:val="EMEANormal"/>
        <w:rPr>
          <w:lang w:val="cs-CZ"/>
        </w:rPr>
      </w:pPr>
    </w:p>
    <w:p w14:paraId="159CB585" w14:textId="77777777" w:rsidR="00E7724C" w:rsidRPr="001B4A02" w:rsidRDefault="00000000" w:rsidP="00ED48A3">
      <w:pPr>
        <w:pStyle w:val="EMEAHeading2SPC"/>
        <w:keepNext/>
        <w:tabs>
          <w:tab w:val="clear" w:pos="562"/>
        </w:tabs>
        <w:spacing w:beforeLines="0" w:afterLines="0"/>
        <w:ind w:left="567" w:hanging="567"/>
        <w:rPr>
          <w:rFonts w:ascii="Times New Roman" w:hAnsi="Times New Roman"/>
          <w:lang w:val="cs-CZ"/>
        </w:rPr>
      </w:pPr>
      <w:r w:rsidRPr="001B4A02">
        <w:rPr>
          <w:rFonts w:ascii="Times New Roman" w:hAnsi="Times New Roman"/>
          <w:lang w:val="cs-CZ"/>
        </w:rPr>
        <w:t>4.3</w:t>
      </w:r>
      <w:r w:rsidRPr="001B4A02">
        <w:rPr>
          <w:rFonts w:ascii="Times New Roman" w:hAnsi="Times New Roman"/>
          <w:lang w:val="cs-CZ"/>
        </w:rPr>
        <w:tab/>
      </w:r>
      <w:r w:rsidR="00BB19FD" w:rsidRPr="001B4A02">
        <w:rPr>
          <w:rFonts w:ascii="Times New Roman" w:hAnsi="Times New Roman"/>
          <w:lang w:val="cs-CZ"/>
        </w:rPr>
        <w:t>Kontraindikace</w:t>
      </w:r>
    </w:p>
    <w:p w14:paraId="37EC5F7F" w14:textId="77777777" w:rsidR="00E7724C" w:rsidRPr="001B4A02" w:rsidRDefault="00E7724C" w:rsidP="00ED48A3">
      <w:pPr>
        <w:pStyle w:val="EMEANormal"/>
        <w:keepNext/>
        <w:rPr>
          <w:lang w:val="cs-CZ"/>
        </w:rPr>
      </w:pPr>
    </w:p>
    <w:p w14:paraId="02185D1D" w14:textId="77777777" w:rsidR="00BB19FD" w:rsidRPr="001B4A02" w:rsidRDefault="00000000" w:rsidP="00ED48A3">
      <w:pPr>
        <w:ind w:left="0" w:firstLine="0"/>
      </w:pPr>
      <w:r w:rsidRPr="001B4A02">
        <w:t>Hypersenzitivita na léčivou látku nebo na kteroukoli pomocnou látku uvedenou v bodě 6.1.</w:t>
      </w:r>
    </w:p>
    <w:p w14:paraId="7BB8CA11" w14:textId="77777777" w:rsidR="00BB19FD" w:rsidRPr="001B4A02" w:rsidRDefault="00BB19FD" w:rsidP="00ED48A3">
      <w:pPr>
        <w:ind w:left="0" w:firstLine="0"/>
      </w:pPr>
    </w:p>
    <w:p w14:paraId="7B2CF8A4" w14:textId="77777777" w:rsidR="00BB19FD" w:rsidRPr="001B4A02" w:rsidRDefault="00000000" w:rsidP="00ED48A3">
      <w:pPr>
        <w:ind w:left="0" w:firstLine="0"/>
      </w:pPr>
      <w:r w:rsidRPr="001B4A02">
        <w:t>Aktivní tuberkulóza nebo jiné závažné infekce, jako je sepse</w:t>
      </w:r>
      <w:r w:rsidR="002378E0">
        <w:t xml:space="preserve"> a </w:t>
      </w:r>
      <w:r w:rsidRPr="001B4A02">
        <w:t>oportunní infekce (viz bod 4.4).</w:t>
      </w:r>
    </w:p>
    <w:p w14:paraId="074BB646" w14:textId="77777777" w:rsidR="00BB19FD" w:rsidRPr="001B4A02" w:rsidRDefault="00BB19FD" w:rsidP="00ED48A3">
      <w:pPr>
        <w:ind w:left="0" w:firstLine="0"/>
      </w:pPr>
    </w:p>
    <w:p w14:paraId="7E9C574B" w14:textId="77777777" w:rsidR="00E7724C" w:rsidRPr="001B4A02" w:rsidRDefault="00000000" w:rsidP="00ED48A3">
      <w:r w:rsidRPr="001B4A02">
        <w:t>Středně těžké až těžké srdeční selhání (NYHA třída III/IV) (viz bod 4.4).</w:t>
      </w:r>
    </w:p>
    <w:p w14:paraId="4ECDDD78" w14:textId="77777777" w:rsidR="00E7724C" w:rsidRPr="001B4A02" w:rsidRDefault="00E7724C" w:rsidP="00ED48A3"/>
    <w:p w14:paraId="4AB61CEF" w14:textId="77777777" w:rsidR="00BB19FD" w:rsidRPr="001B4A02" w:rsidRDefault="00000000" w:rsidP="00A15B7A">
      <w:pPr>
        <w:keepNext/>
        <w:outlineLvl w:val="1"/>
        <w:rPr>
          <w:b/>
        </w:rPr>
      </w:pPr>
      <w:r w:rsidRPr="001B4A02">
        <w:rPr>
          <w:b/>
        </w:rPr>
        <w:t>4.4</w:t>
      </w:r>
      <w:r w:rsidRPr="001B4A02">
        <w:rPr>
          <w:b/>
        </w:rPr>
        <w:tab/>
        <w:t>Zvláštní upozornění</w:t>
      </w:r>
      <w:r w:rsidR="002378E0">
        <w:rPr>
          <w:b/>
        </w:rPr>
        <w:t xml:space="preserve"> a </w:t>
      </w:r>
      <w:r w:rsidRPr="001B4A02">
        <w:rPr>
          <w:b/>
        </w:rPr>
        <w:t>opatření pro použití</w:t>
      </w:r>
    </w:p>
    <w:p w14:paraId="4780DC95" w14:textId="77777777" w:rsidR="00E7724C" w:rsidRPr="001B4A02" w:rsidRDefault="00E7724C" w:rsidP="00ED48A3">
      <w:pPr>
        <w:pStyle w:val="EMEANormal"/>
        <w:keepNext/>
        <w:rPr>
          <w:lang w:val="cs-CZ"/>
        </w:rPr>
      </w:pPr>
    </w:p>
    <w:p w14:paraId="359B1F37" w14:textId="77777777" w:rsidR="00F82FEE" w:rsidRPr="001B4A02" w:rsidRDefault="00000000" w:rsidP="003B610F">
      <w:pPr>
        <w:keepNext/>
        <w:ind w:left="0" w:firstLine="0"/>
        <w:rPr>
          <w:u w:val="single"/>
        </w:rPr>
      </w:pPr>
      <w:r w:rsidRPr="001B4A02">
        <w:rPr>
          <w:u w:val="single"/>
        </w:rPr>
        <w:t>Sledovatelnost</w:t>
      </w:r>
    </w:p>
    <w:p w14:paraId="1B0947B7" w14:textId="77777777" w:rsidR="00F82FEE" w:rsidRPr="001B4A02" w:rsidRDefault="00F82FEE" w:rsidP="003B610F">
      <w:pPr>
        <w:keepNext/>
        <w:ind w:left="0" w:firstLine="0"/>
      </w:pPr>
    </w:p>
    <w:p w14:paraId="4E10FCF0" w14:textId="77777777" w:rsidR="00277A15" w:rsidRPr="001B4A02" w:rsidRDefault="00000000" w:rsidP="00277A15">
      <w:pPr>
        <w:ind w:left="0" w:firstLine="0"/>
      </w:pPr>
      <w:r w:rsidRPr="001B4A02">
        <w:t>Z důvodu zlepšení sledovatelnosti biologických léčivých přípravků musí být přesně zaznamenáván název</w:t>
      </w:r>
      <w:r w:rsidR="002378E0">
        <w:t xml:space="preserve"> a </w:t>
      </w:r>
      <w:r w:rsidRPr="001B4A02">
        <w:t>číslo šarže podaného přípravku.</w:t>
      </w:r>
    </w:p>
    <w:p w14:paraId="7CC46BA2" w14:textId="77777777" w:rsidR="00D427E8" w:rsidRPr="001B4A02" w:rsidRDefault="00D427E8" w:rsidP="00D427E8">
      <w:pPr>
        <w:ind w:left="0" w:firstLine="0"/>
      </w:pPr>
    </w:p>
    <w:p w14:paraId="16622E00" w14:textId="77777777" w:rsidR="00BB19FD" w:rsidRPr="001B4A02" w:rsidRDefault="00000000" w:rsidP="00ED48A3">
      <w:pPr>
        <w:keepNext/>
        <w:rPr>
          <w:u w:val="single"/>
        </w:rPr>
      </w:pPr>
      <w:r w:rsidRPr="001B4A02">
        <w:rPr>
          <w:u w:val="single"/>
        </w:rPr>
        <w:t>Infekce</w:t>
      </w:r>
    </w:p>
    <w:p w14:paraId="4F8B6B20" w14:textId="77777777" w:rsidR="00BB19FD" w:rsidRPr="001B4A02" w:rsidRDefault="00BB19FD" w:rsidP="003B610F">
      <w:pPr>
        <w:keepNext/>
        <w:autoSpaceDE w:val="0"/>
        <w:autoSpaceDN w:val="0"/>
        <w:adjustRightInd w:val="0"/>
      </w:pPr>
    </w:p>
    <w:p w14:paraId="32997C26" w14:textId="77777777" w:rsidR="00BB19FD" w:rsidRPr="001B4A02" w:rsidRDefault="00000000" w:rsidP="00ED48A3">
      <w:pPr>
        <w:ind w:left="0" w:firstLine="0"/>
      </w:pPr>
      <w:r w:rsidRPr="001B4A02">
        <w:t>Pacienti užívající TNF-antagonisty jsou více náchylní k závažným infekcím. Riziko rozvoje infekcí může stoupat při porušené funkci plic. Pacienti musí být proto pečlivě sledováni z hlediska výskytu infekcí včetně tuberkulózy,</w:t>
      </w:r>
      <w:r w:rsidR="002378E0">
        <w:t xml:space="preserve"> a </w:t>
      </w:r>
      <w:r w:rsidRPr="001B4A02">
        <w:t>to před léčbou, během léčby i po ukončení léčby přípravkem Humira. Vzhledem k tomu, že eliminace adalimumabu z organismu může trvat až čtyři měsíce, sledování musí trvat po celou tuto dobu.</w:t>
      </w:r>
    </w:p>
    <w:p w14:paraId="453C8942" w14:textId="77777777" w:rsidR="00BB19FD" w:rsidRPr="001B4A02" w:rsidRDefault="00BB19FD" w:rsidP="00ED48A3">
      <w:pPr>
        <w:ind w:left="0" w:firstLine="0"/>
      </w:pPr>
    </w:p>
    <w:p w14:paraId="3E6A7F72" w14:textId="77777777" w:rsidR="00BB19FD" w:rsidRPr="001B4A02" w:rsidRDefault="00000000" w:rsidP="00ED48A3">
      <w:pPr>
        <w:ind w:left="0" w:firstLine="0"/>
      </w:pPr>
      <w:r w:rsidRPr="001B4A02">
        <w:t>Léčba přípravkem Humira nesmí být zahájena u pacientů s aktivní infekcí včetně chronické nebo lokalizované infekce do té doby, než jsou tyto infekce terapeuticky zvládnuty. U</w:t>
      </w:r>
      <w:r w:rsidR="00B148BE" w:rsidRPr="001B4A02">
        <w:t> </w:t>
      </w:r>
      <w:r w:rsidRPr="001B4A02">
        <w:t>pacientů, kteří přišli do styku s</w:t>
      </w:r>
      <w:r w:rsidR="00B148BE" w:rsidRPr="001B4A02">
        <w:t> </w:t>
      </w:r>
      <w:r w:rsidRPr="001B4A02">
        <w:t>tuberkulózou</w:t>
      </w:r>
      <w:r w:rsidR="00B148BE" w:rsidRPr="001B4A02">
        <w:t>,</w:t>
      </w:r>
      <w:r w:rsidR="002378E0">
        <w:t xml:space="preserve"> a </w:t>
      </w:r>
      <w:r w:rsidRPr="001B4A02">
        <w:t>pacientů, kteří cestovali do oblastí s vysokým rizikem výskytu tuberkulózy nebo endemických mykóz, jako například histoplasmóza, kokcidiomykóza, nebo blastomykóza, by měl být zvážen poměr rizika</w:t>
      </w:r>
      <w:r w:rsidR="002378E0">
        <w:t xml:space="preserve"> a </w:t>
      </w:r>
      <w:r w:rsidRPr="001B4A02">
        <w:t xml:space="preserve">přínosu léčby přípravkem Humira ještě před zahájením léčby (viz </w:t>
      </w:r>
      <w:r w:rsidR="00B148BE" w:rsidRPr="001B4A02">
        <w:rPr>
          <w:i/>
        </w:rPr>
        <w:t>Jiné o</w:t>
      </w:r>
      <w:r w:rsidRPr="001B4A02">
        <w:rPr>
          <w:i/>
        </w:rPr>
        <w:t>portunní infekce</w:t>
      </w:r>
      <w:r w:rsidRPr="001B4A02">
        <w:t>).</w:t>
      </w:r>
    </w:p>
    <w:p w14:paraId="16A8036C" w14:textId="77777777" w:rsidR="00BB19FD" w:rsidRPr="001B4A02" w:rsidRDefault="00BB19FD" w:rsidP="00ED48A3">
      <w:pPr>
        <w:ind w:left="0" w:firstLine="0"/>
      </w:pPr>
    </w:p>
    <w:p w14:paraId="4697F2E4" w14:textId="77777777" w:rsidR="00BB19FD" w:rsidRPr="001B4A02" w:rsidRDefault="00000000" w:rsidP="00ED48A3">
      <w:pPr>
        <w:ind w:left="0" w:firstLine="0"/>
      </w:pPr>
      <w:r w:rsidRPr="001B4A02">
        <w:t xml:space="preserve">Ti pacienti, u nichž dojde během léčby přípravkem Humira k rozvoji nové infekce, </w:t>
      </w:r>
      <w:r w:rsidR="00072C2B">
        <w:t xml:space="preserve">mají </w:t>
      </w:r>
      <w:r w:rsidRPr="001B4A02">
        <w:t>být pečlivě sledováni</w:t>
      </w:r>
      <w:r w:rsidR="002378E0">
        <w:t xml:space="preserve"> a </w:t>
      </w:r>
      <w:r w:rsidR="00072C2B">
        <w:t xml:space="preserve">mají </w:t>
      </w:r>
      <w:r w:rsidRPr="001B4A02">
        <w:t>podstoupit kompletní diagnostické vyšetření. Pokud u pacienta dojde k rozvoji nové závažné infekce nebo sepse, podávání přípravku Humira se přeruší</w:t>
      </w:r>
      <w:r w:rsidR="002378E0">
        <w:t xml:space="preserve"> a </w:t>
      </w:r>
      <w:r w:rsidRPr="001B4A02">
        <w:t>je nutno zahájit vhodnou antimikrobiální či antifungální léčbu do doby, než je infekce terapeuticky zvládnuta. Lékaři musí být opatrní při zvažování léčby přípravkem Humira u pacientů s anamnézou recidivující infekce nebo u pacientů, jejichž celkový zdravotní stav k infekcím predisponuje, včetně těch, kteří současně užívají imunosupresivní medikaci.</w:t>
      </w:r>
    </w:p>
    <w:p w14:paraId="4E4DF88F" w14:textId="77777777" w:rsidR="00BB19FD" w:rsidRPr="001B4A02" w:rsidRDefault="00BB19FD" w:rsidP="00ED48A3">
      <w:pPr>
        <w:pStyle w:val="EMEAHeadingUI"/>
        <w:autoSpaceDE w:val="0"/>
        <w:autoSpaceDN w:val="0"/>
        <w:adjustRightInd w:val="0"/>
        <w:spacing w:beforeLines="0" w:afterLines="0"/>
        <w:rPr>
          <w:i w:val="0"/>
          <w:iCs/>
          <w:szCs w:val="24"/>
          <w:u w:val="none"/>
          <w:lang w:val="cs-CZ"/>
        </w:rPr>
      </w:pPr>
    </w:p>
    <w:p w14:paraId="204556B9" w14:textId="77777777" w:rsidR="00BB19FD" w:rsidRPr="001B4A02" w:rsidRDefault="00000000" w:rsidP="003B610F">
      <w:pPr>
        <w:keepNext/>
        <w:ind w:left="0" w:firstLine="0"/>
        <w:rPr>
          <w:i/>
          <w:iCs/>
        </w:rPr>
      </w:pPr>
      <w:r w:rsidRPr="001B4A02">
        <w:rPr>
          <w:i/>
          <w:iCs/>
        </w:rPr>
        <w:t>Závažné infekce</w:t>
      </w:r>
    </w:p>
    <w:p w14:paraId="1F1CC9B5" w14:textId="77777777" w:rsidR="00E7724C" w:rsidRPr="001B4A02" w:rsidRDefault="00E7724C" w:rsidP="00ED48A3">
      <w:pPr>
        <w:keepNext/>
        <w:autoSpaceDE w:val="0"/>
        <w:autoSpaceDN w:val="0"/>
        <w:adjustRightInd w:val="0"/>
      </w:pPr>
    </w:p>
    <w:p w14:paraId="2E72D7B5" w14:textId="77777777" w:rsidR="00F00D10" w:rsidRPr="001B4A02" w:rsidRDefault="00000000" w:rsidP="00ED48A3">
      <w:pPr>
        <w:ind w:left="0" w:firstLine="0"/>
      </w:pPr>
      <w:r w:rsidRPr="001B4A02">
        <w:t>U</w:t>
      </w:r>
      <w:r w:rsidR="00B148BE" w:rsidRPr="001B4A02">
        <w:t> </w:t>
      </w:r>
      <w:r w:rsidRPr="001B4A02">
        <w:t xml:space="preserve">pacientů </w:t>
      </w:r>
      <w:r w:rsidR="0037494F" w:rsidRPr="001B4A02">
        <w:t>po</w:t>
      </w:r>
      <w:r w:rsidRPr="001B4A02">
        <w:t>užívajících přípravek Humira byly hlášeny závažné infekce, včetně sepse způsobené bakteriemi, mykobakteriemi, invazivními plísněmi, parazity, viry či jiné oportunní infekce jako například listerióza, legionelóza</w:t>
      </w:r>
      <w:r w:rsidR="002378E0">
        <w:t xml:space="preserve"> a </w:t>
      </w:r>
      <w:r w:rsidRPr="001B4A02">
        <w:t>pneumocystóza.</w:t>
      </w:r>
    </w:p>
    <w:p w14:paraId="06CA0204" w14:textId="77777777" w:rsidR="00F00D10" w:rsidRPr="001B4A02" w:rsidRDefault="00F00D10" w:rsidP="00ED48A3">
      <w:pPr>
        <w:ind w:left="0" w:firstLine="0"/>
      </w:pPr>
    </w:p>
    <w:p w14:paraId="0EBBFCF7" w14:textId="77777777" w:rsidR="00F00D10" w:rsidRPr="001B4A02" w:rsidRDefault="00000000" w:rsidP="00ED48A3">
      <w:pPr>
        <w:ind w:left="0" w:firstLine="0"/>
      </w:pPr>
      <w:r w:rsidRPr="001B4A02">
        <w:t>Jiné závažné infekce pozorované v klinických studiích zahrnují pneumonii, pyelonefriti</w:t>
      </w:r>
      <w:r w:rsidR="00072C2B">
        <w:t>du</w:t>
      </w:r>
      <w:r w:rsidRPr="001B4A02">
        <w:t>, septickou artriti</w:t>
      </w:r>
      <w:r w:rsidR="00072C2B">
        <w:t>du</w:t>
      </w:r>
      <w:r w:rsidR="002378E0">
        <w:t xml:space="preserve"> a </w:t>
      </w:r>
      <w:r w:rsidRPr="001B4A02">
        <w:t>septikémii. V souvislosti s těmito infekcemi byly hlášeny případy hospitalizace i fatálního zakončení.</w:t>
      </w:r>
    </w:p>
    <w:p w14:paraId="5CE45B55" w14:textId="77777777" w:rsidR="00F00D10" w:rsidRPr="001B4A02" w:rsidRDefault="00F00D10" w:rsidP="00ED48A3">
      <w:pPr>
        <w:ind w:left="0" w:firstLine="0"/>
        <w:rPr>
          <w:i/>
          <w:iCs/>
        </w:rPr>
      </w:pPr>
    </w:p>
    <w:p w14:paraId="3F90B048" w14:textId="77777777" w:rsidR="00F00D10" w:rsidRPr="001B4A02" w:rsidRDefault="00000000" w:rsidP="003B610F">
      <w:pPr>
        <w:keepNext/>
        <w:ind w:left="0" w:firstLine="0"/>
      </w:pPr>
      <w:r w:rsidRPr="001B4A02">
        <w:rPr>
          <w:i/>
          <w:iCs/>
        </w:rPr>
        <w:t>Tuberkulóza</w:t>
      </w:r>
    </w:p>
    <w:p w14:paraId="2CC7A348" w14:textId="77777777" w:rsidR="00F00D10" w:rsidRPr="001B4A02" w:rsidRDefault="00F00D10" w:rsidP="003B610F">
      <w:pPr>
        <w:keepNext/>
        <w:ind w:left="0" w:firstLine="0"/>
      </w:pPr>
    </w:p>
    <w:p w14:paraId="01CFD4EE" w14:textId="77777777" w:rsidR="00F00D10" w:rsidRPr="001B4A02" w:rsidRDefault="00000000" w:rsidP="00ED48A3">
      <w:pPr>
        <w:ind w:left="0" w:firstLine="0"/>
      </w:pPr>
      <w:r w:rsidRPr="001B4A02">
        <w:t>U pacientů léčených přípravkem Humira byly hlášeny případy tuberkulózy včetně reaktivace i nového vzniku infekce. Hlášení zahrnovala jak pulmonální, tak extrapulmonální (</w:t>
      </w:r>
      <w:r w:rsidR="004C2FD7" w:rsidRPr="001B4A02">
        <w:t>tj. diseminovanou) tuberkulózu.</w:t>
      </w:r>
    </w:p>
    <w:p w14:paraId="1D2864C9" w14:textId="77777777" w:rsidR="00F00D10" w:rsidRPr="001B4A02" w:rsidRDefault="00F00D10" w:rsidP="00ED48A3">
      <w:pPr>
        <w:ind w:left="0" w:firstLine="0"/>
      </w:pPr>
    </w:p>
    <w:p w14:paraId="31AF40F3" w14:textId="77777777" w:rsidR="00F00D10" w:rsidRPr="001B4A02" w:rsidRDefault="00000000" w:rsidP="00ED48A3">
      <w:pPr>
        <w:ind w:left="0" w:firstLine="0"/>
      </w:pPr>
      <w:r w:rsidRPr="001B4A02">
        <w:t>Před zahájením léčby přípravkem Humira musí být všichni pacienti vyšetřeni na přítomnost aktivní či inaktivní („latentní“) tuberkulózy. Toto vyšetření má spočívat v podrobném posouzení osobní anamnézy pacienta cílené na výskyt tuberkulózy v minulosti, či na možné dřívější kontakty s osobami s aktivní tuberkulózou</w:t>
      </w:r>
      <w:r w:rsidR="002378E0">
        <w:t xml:space="preserve"> a </w:t>
      </w:r>
      <w:r w:rsidRPr="001B4A02">
        <w:t>na dřívější a/nebo současnou imunosupresivní léčbu. U všech pacientů musí být provedena příslušná orientační vyšetření (tj. kožní tuberkulinový test</w:t>
      </w:r>
      <w:r w:rsidR="002378E0">
        <w:t xml:space="preserve"> a </w:t>
      </w:r>
      <w:r w:rsidRPr="001B4A02">
        <w:t>RTG vyšetření hrudníku), přičemž se lze řídit místními doporučeními. Doporučuje se, aby provedení těchto testů</w:t>
      </w:r>
      <w:r w:rsidR="002378E0">
        <w:t xml:space="preserve"> a </w:t>
      </w:r>
      <w:r w:rsidRPr="001B4A02">
        <w:t>jejich výsledky byly zaznamenány v informační kartičce pacienta. Předepisujícím lékařům připomínáme riziko falešně negativních výsledků kožního tuberkulinového testu,</w:t>
      </w:r>
      <w:r w:rsidR="002378E0">
        <w:t xml:space="preserve"> a </w:t>
      </w:r>
      <w:r w:rsidRPr="001B4A02">
        <w:t>to zejména u těžce nemocných nebo pacientů se sníženou imunitní odpovědí.</w:t>
      </w:r>
    </w:p>
    <w:p w14:paraId="2B5B7129" w14:textId="77777777" w:rsidR="00F00D10" w:rsidRPr="001B4A02" w:rsidRDefault="00F00D10" w:rsidP="00ED48A3">
      <w:pPr>
        <w:ind w:left="0" w:firstLine="0"/>
      </w:pPr>
    </w:p>
    <w:p w14:paraId="6E11054A" w14:textId="77777777" w:rsidR="00F00D10" w:rsidRPr="001B4A02" w:rsidRDefault="00000000" w:rsidP="00ED48A3">
      <w:pPr>
        <w:ind w:left="0" w:firstLine="0"/>
      </w:pPr>
      <w:r w:rsidRPr="001B4A02">
        <w:t>Léčba přípravkem Humira nesmí být zahájena u pacientů s diagnostikovanou aktivní tuberkulózou (viz bod 4.3).</w:t>
      </w:r>
    </w:p>
    <w:p w14:paraId="1E04C818" w14:textId="77777777" w:rsidR="00F00D10" w:rsidRPr="001B4A02" w:rsidRDefault="00F00D10" w:rsidP="00ED48A3">
      <w:pPr>
        <w:ind w:left="0" w:firstLine="0"/>
      </w:pPr>
    </w:p>
    <w:p w14:paraId="387CFCE3" w14:textId="77777777" w:rsidR="00F00D10" w:rsidRPr="001B4A02" w:rsidRDefault="00000000" w:rsidP="00ED48A3">
      <w:pPr>
        <w:ind w:left="0" w:firstLine="0"/>
      </w:pPr>
      <w:r w:rsidRPr="001B4A02">
        <w:t>Ve všech níže popsaných situacích by měl být velmi pečlivě posouzen poměr přínosu</w:t>
      </w:r>
      <w:r w:rsidR="002378E0">
        <w:t xml:space="preserve"> a </w:t>
      </w:r>
      <w:r w:rsidRPr="001B4A02">
        <w:t>rizika léčby.</w:t>
      </w:r>
    </w:p>
    <w:p w14:paraId="2DFE64D6" w14:textId="77777777" w:rsidR="00F00D10" w:rsidRPr="001B4A02" w:rsidRDefault="00F00D10" w:rsidP="00ED48A3">
      <w:pPr>
        <w:ind w:left="0" w:firstLine="0"/>
      </w:pPr>
    </w:p>
    <w:p w14:paraId="136F2D74" w14:textId="77777777" w:rsidR="00F00D10" w:rsidRPr="001B4A02" w:rsidRDefault="00000000" w:rsidP="00ED48A3">
      <w:pPr>
        <w:ind w:left="0" w:firstLine="0"/>
      </w:pPr>
      <w:r w:rsidRPr="001B4A02">
        <w:t>Jestliže existuje podezření na latentní tuberkulózu, je třeba uvědomit lékaře, jež má zkušenosti s</w:t>
      </w:r>
      <w:r w:rsidR="00B148BE" w:rsidRPr="001B4A02">
        <w:t> </w:t>
      </w:r>
      <w:r w:rsidRPr="001B4A02">
        <w:t>léčbou tuberkulózy.</w:t>
      </w:r>
    </w:p>
    <w:p w14:paraId="2B2F6819" w14:textId="77777777" w:rsidR="00F00D10" w:rsidRPr="001B4A02" w:rsidRDefault="00F00D10" w:rsidP="00ED48A3">
      <w:pPr>
        <w:ind w:left="0" w:firstLine="0"/>
      </w:pPr>
    </w:p>
    <w:p w14:paraId="54B96052" w14:textId="77777777" w:rsidR="00F00D10" w:rsidRPr="001B4A02" w:rsidRDefault="00000000" w:rsidP="00ED48A3">
      <w:pPr>
        <w:ind w:left="0" w:firstLine="0"/>
      </w:pPr>
      <w:r w:rsidRPr="001B4A02">
        <w:t>V případě diagnózy latentní tuberkulózy musí být odpovídající profylaktická antituberkulózní léčba započata ještě před zahájením léčby přípravkem Humira</w:t>
      </w:r>
      <w:r w:rsidR="002378E0">
        <w:t xml:space="preserve"> a </w:t>
      </w:r>
      <w:r w:rsidRPr="001B4A02">
        <w:t>musí být v souladu s místními doporučeními.</w:t>
      </w:r>
    </w:p>
    <w:p w14:paraId="66B11070" w14:textId="77777777" w:rsidR="00F00D10" w:rsidRPr="001B4A02" w:rsidRDefault="00F00D10" w:rsidP="00ED48A3">
      <w:pPr>
        <w:ind w:left="0" w:firstLine="0"/>
      </w:pPr>
    </w:p>
    <w:p w14:paraId="31D0930C" w14:textId="77777777" w:rsidR="00F00D10" w:rsidRPr="001B4A02" w:rsidRDefault="00000000" w:rsidP="00ED48A3">
      <w:pPr>
        <w:ind w:left="0" w:firstLine="0"/>
      </w:pPr>
      <w:r w:rsidRPr="001B4A02">
        <w:t>Použití profylaktické antituberkulózní léčby je třeba zvážit před zahájením léčby přípravkem Humira také u</w:t>
      </w:r>
      <w:r w:rsidR="00B148BE" w:rsidRPr="001B4A02">
        <w:t> </w:t>
      </w:r>
      <w:r w:rsidRPr="001B4A02">
        <w:t>pacientů, u</w:t>
      </w:r>
      <w:r w:rsidR="00B148BE" w:rsidRPr="001B4A02">
        <w:t> </w:t>
      </w:r>
      <w:r w:rsidRPr="001B4A02">
        <w:t>kterých se, i přes negativní testy na tuberkulózu, vyskytují</w:t>
      </w:r>
      <w:r w:rsidR="00B148BE" w:rsidRPr="001B4A02">
        <w:t xml:space="preserve"> </w:t>
      </w:r>
      <w:r w:rsidRPr="001B4A02">
        <w:t>závažné nebo významné rizikové faktory pro její rozvoj</w:t>
      </w:r>
      <w:r w:rsidR="00B148BE" w:rsidRPr="001B4A02">
        <w:t>,</w:t>
      </w:r>
      <w:r w:rsidRPr="001B4A02">
        <w:t xml:space="preserve"> nebo mají dřívější anamnézu latentní či aktivní tuberkulózy</w:t>
      </w:r>
      <w:r w:rsidR="002378E0">
        <w:t xml:space="preserve"> a </w:t>
      </w:r>
      <w:r w:rsidRPr="001B4A02">
        <w:t>nelze u</w:t>
      </w:r>
      <w:r w:rsidR="00B148BE" w:rsidRPr="001B4A02">
        <w:t> </w:t>
      </w:r>
      <w:r w:rsidRPr="001B4A02">
        <w:t>nich zaručit adekvátní postup léčby. U</w:t>
      </w:r>
      <w:r w:rsidR="00B148BE" w:rsidRPr="001B4A02">
        <w:t> </w:t>
      </w:r>
      <w:r w:rsidRPr="001B4A02">
        <w:t>pacientů léčených přípravkem Humira se i přes profylaktickou léčbu tuberkulózy objevily případy reaktivace tuberkulózy. U</w:t>
      </w:r>
      <w:r w:rsidR="00B148BE" w:rsidRPr="001B4A02">
        <w:t> </w:t>
      </w:r>
      <w:r w:rsidRPr="001B4A02">
        <w:t>některých pacientů, kteří byli v minulosti úspěšně léčeni na aktivní tuberkulózu, se během léčby přípravkem Humira znovu rozvinula aktivní tuberkulóza.</w:t>
      </w:r>
    </w:p>
    <w:p w14:paraId="29A5FE97" w14:textId="77777777" w:rsidR="00F00D10" w:rsidRPr="001B4A02" w:rsidRDefault="00F00D10" w:rsidP="00ED48A3">
      <w:pPr>
        <w:ind w:left="0" w:firstLine="0"/>
      </w:pPr>
    </w:p>
    <w:p w14:paraId="6024A86B" w14:textId="77777777" w:rsidR="00E7724C" w:rsidRPr="001B4A02" w:rsidRDefault="00000000" w:rsidP="00ED48A3">
      <w:pPr>
        <w:autoSpaceDE w:val="0"/>
        <w:autoSpaceDN w:val="0"/>
        <w:adjustRightInd w:val="0"/>
        <w:ind w:left="0" w:firstLine="0"/>
      </w:pPr>
      <w:r w:rsidRPr="001B4A02">
        <w:t>Pacienty je třeba poučit, aby vyhledali lékaře, pokud se objeví během léčby přípravkem Humira nebo po jejím ukončení příznaky suspektní pro tuberkulózu (např. přetrvávající kašel, vyčerpání</w:t>
      </w:r>
      <w:r w:rsidR="0050645A">
        <w:t>/</w:t>
      </w:r>
      <w:r w:rsidR="007633DC">
        <w:t>snížení tělesné hmotnosti</w:t>
      </w:r>
      <w:r w:rsidRPr="001B4A02">
        <w:t>, mírně zvýšená teplota, malátnost).</w:t>
      </w:r>
    </w:p>
    <w:p w14:paraId="795DE83C" w14:textId="77777777" w:rsidR="00E7724C" w:rsidRPr="001B4A02" w:rsidRDefault="00E7724C" w:rsidP="00ED48A3">
      <w:pPr>
        <w:autoSpaceDE w:val="0"/>
        <w:autoSpaceDN w:val="0"/>
        <w:adjustRightInd w:val="0"/>
      </w:pPr>
    </w:p>
    <w:p w14:paraId="22A33E0F" w14:textId="77777777" w:rsidR="00783121" w:rsidRPr="001B4A02" w:rsidRDefault="00000000" w:rsidP="00ED48A3">
      <w:pPr>
        <w:keepNext/>
        <w:rPr>
          <w:i/>
          <w:iCs/>
        </w:rPr>
      </w:pPr>
      <w:r w:rsidRPr="001B4A02">
        <w:rPr>
          <w:i/>
          <w:iCs/>
        </w:rPr>
        <w:t>Jiné oportunní infekce</w:t>
      </w:r>
    </w:p>
    <w:p w14:paraId="6B908D74" w14:textId="77777777" w:rsidR="00783121" w:rsidRPr="001B4A02" w:rsidRDefault="00783121" w:rsidP="00ED48A3">
      <w:pPr>
        <w:keepNext/>
        <w:autoSpaceDE w:val="0"/>
        <w:autoSpaceDN w:val="0"/>
        <w:adjustRightInd w:val="0"/>
      </w:pPr>
    </w:p>
    <w:p w14:paraId="238F8A56" w14:textId="77777777" w:rsidR="00783121" w:rsidRPr="001B4A02" w:rsidRDefault="00000000" w:rsidP="00ED48A3">
      <w:pPr>
        <w:ind w:left="0" w:firstLine="0"/>
      </w:pPr>
      <w:r w:rsidRPr="001B4A02">
        <w:t>U</w:t>
      </w:r>
      <w:r w:rsidR="004B5012" w:rsidRPr="001B4A02">
        <w:t> </w:t>
      </w:r>
      <w:r w:rsidRPr="001B4A02">
        <w:t xml:space="preserve">pacientů </w:t>
      </w:r>
      <w:r w:rsidR="0037494F" w:rsidRPr="001B4A02">
        <w:t>po</w:t>
      </w:r>
      <w:r w:rsidRPr="001B4A02">
        <w:t>užívajících přípravek Humira byly hlášeny oportunní infekce, včetně invazivních fungálních infekcí. Tyto infekce nebyly u</w:t>
      </w:r>
      <w:r w:rsidR="004B5012" w:rsidRPr="001B4A02">
        <w:t> </w:t>
      </w:r>
      <w:r w:rsidRPr="001B4A02">
        <w:t>pacientů užívajících TNF-antagonisty vždy rozpoznány, což mělo za následek</w:t>
      </w:r>
      <w:r w:rsidR="004B5012" w:rsidRPr="001B4A02">
        <w:t xml:space="preserve"> </w:t>
      </w:r>
      <w:r w:rsidRPr="001B4A02">
        <w:t>opožděné nasazení vhodné léčby</w:t>
      </w:r>
      <w:r w:rsidR="002378E0">
        <w:t xml:space="preserve"> a </w:t>
      </w:r>
      <w:r w:rsidRPr="001B4A02">
        <w:t>v některých případech vedlo až k fatálnímu zakončení.</w:t>
      </w:r>
    </w:p>
    <w:p w14:paraId="54BACDFF" w14:textId="77777777" w:rsidR="00783121" w:rsidRPr="001B4A02" w:rsidRDefault="00783121" w:rsidP="00ED48A3">
      <w:pPr>
        <w:ind w:left="0" w:firstLine="0"/>
      </w:pPr>
    </w:p>
    <w:p w14:paraId="1D7D97CA" w14:textId="77777777" w:rsidR="00783121" w:rsidRPr="001B4A02" w:rsidRDefault="00000000" w:rsidP="00ED48A3">
      <w:pPr>
        <w:ind w:left="0" w:firstLine="0"/>
      </w:pPr>
      <w:r w:rsidRPr="001B4A02">
        <w:t>U</w:t>
      </w:r>
      <w:r w:rsidR="004B5012" w:rsidRPr="001B4A02">
        <w:t> </w:t>
      </w:r>
      <w:r w:rsidRPr="001B4A02">
        <w:t>pacientů, u</w:t>
      </w:r>
      <w:r w:rsidR="004B5012" w:rsidRPr="001B4A02">
        <w:t> </w:t>
      </w:r>
      <w:r w:rsidRPr="001B4A02">
        <w:t>nichž se rozvinou známky</w:t>
      </w:r>
      <w:r w:rsidR="002378E0">
        <w:t xml:space="preserve"> a </w:t>
      </w:r>
      <w:r w:rsidRPr="001B4A02">
        <w:t>příznaky</w:t>
      </w:r>
      <w:r w:rsidR="00E91CB6" w:rsidRPr="001B4A02">
        <w:t>,</w:t>
      </w:r>
      <w:r w:rsidRPr="001B4A02">
        <w:t xml:space="preserve"> jako je horečka, malátnost, úbytek hmotnosti, pocení, kašel, dyspnoe a/nebo plicní infiltráty či jiné závažné systémové onemocnění s nebo bez doprovodného šoku, je třeba pomýšlet na možnost invazivní plísňové infekce; </w:t>
      </w:r>
      <w:r w:rsidR="0037494F" w:rsidRPr="001B4A02">
        <w:t>po</w:t>
      </w:r>
      <w:r w:rsidRPr="001B4A02">
        <w:t>užívání přípravku Humira by mělo být ihned přerušeno. Diagnóza onemocnění</w:t>
      </w:r>
      <w:r w:rsidR="002378E0">
        <w:t xml:space="preserve"> a </w:t>
      </w:r>
      <w:r w:rsidRPr="001B4A02">
        <w:t>zahájení empirické antifungální terapie u</w:t>
      </w:r>
      <w:r w:rsidR="004B5012" w:rsidRPr="001B4A02">
        <w:t> </w:t>
      </w:r>
      <w:r w:rsidRPr="001B4A02">
        <w:t>těchto pacientů by mělo být učiněno po konzultaci s lékařem, který má zkušenost s léčbou pacientů s invazivními plísňovými infekcemi.</w:t>
      </w:r>
    </w:p>
    <w:p w14:paraId="7634E64A" w14:textId="77777777" w:rsidR="00783121" w:rsidRPr="001B4A02" w:rsidRDefault="00783121" w:rsidP="00ED48A3">
      <w:pPr>
        <w:ind w:left="0" w:firstLine="0"/>
      </w:pPr>
    </w:p>
    <w:p w14:paraId="667390C7" w14:textId="77777777" w:rsidR="00783121" w:rsidRPr="001B4A02" w:rsidRDefault="00000000" w:rsidP="003B610F">
      <w:pPr>
        <w:pStyle w:val="EMEANormal"/>
        <w:keepNext/>
        <w:tabs>
          <w:tab w:val="clear" w:pos="562"/>
        </w:tabs>
        <w:suppressAutoHyphens w:val="0"/>
        <w:rPr>
          <w:u w:val="single"/>
          <w:lang w:val="cs-CZ"/>
        </w:rPr>
      </w:pPr>
      <w:r w:rsidRPr="001B4A02">
        <w:rPr>
          <w:u w:val="single"/>
          <w:lang w:val="cs-CZ"/>
        </w:rPr>
        <w:t xml:space="preserve">Reaktivace </w:t>
      </w:r>
      <w:r w:rsidR="00126B69" w:rsidRPr="001B4A02">
        <w:rPr>
          <w:u w:val="single"/>
          <w:lang w:val="cs-CZ"/>
        </w:rPr>
        <w:t>hepatiti</w:t>
      </w:r>
      <w:r w:rsidR="00126B69">
        <w:rPr>
          <w:u w:val="single"/>
          <w:lang w:val="cs-CZ"/>
        </w:rPr>
        <w:t>dy</w:t>
      </w:r>
      <w:r w:rsidR="00126B69" w:rsidRPr="001B4A02">
        <w:rPr>
          <w:u w:val="single"/>
          <w:lang w:val="cs-CZ"/>
        </w:rPr>
        <w:t xml:space="preserve"> </w:t>
      </w:r>
      <w:r w:rsidRPr="001B4A02">
        <w:rPr>
          <w:u w:val="single"/>
          <w:lang w:val="cs-CZ"/>
        </w:rPr>
        <w:t>B</w:t>
      </w:r>
    </w:p>
    <w:p w14:paraId="7A8611B5" w14:textId="77777777" w:rsidR="00783121" w:rsidRPr="001B4A02" w:rsidRDefault="00783121" w:rsidP="003B610F">
      <w:pPr>
        <w:keepNext/>
        <w:ind w:left="0" w:firstLine="0"/>
        <w:rPr>
          <w:bCs/>
          <w:szCs w:val="22"/>
        </w:rPr>
      </w:pPr>
    </w:p>
    <w:p w14:paraId="046250C8" w14:textId="77777777" w:rsidR="00783121" w:rsidRPr="001B4A02" w:rsidRDefault="00000000" w:rsidP="00ED48A3">
      <w:pPr>
        <w:ind w:left="0" w:firstLine="0"/>
        <w:rPr>
          <w:szCs w:val="22"/>
          <w:lang w:eastAsia="de-DE"/>
        </w:rPr>
      </w:pPr>
      <w:r w:rsidRPr="001B4A02">
        <w:rPr>
          <w:szCs w:val="22"/>
          <w:lang w:eastAsia="de-DE"/>
        </w:rPr>
        <w:t xml:space="preserve">Reaktivace </w:t>
      </w:r>
      <w:r w:rsidR="00126B69" w:rsidRPr="001B4A02">
        <w:rPr>
          <w:szCs w:val="22"/>
          <w:lang w:eastAsia="de-DE"/>
        </w:rPr>
        <w:t>hepatiti</w:t>
      </w:r>
      <w:r w:rsidR="00126B69">
        <w:rPr>
          <w:szCs w:val="22"/>
          <w:lang w:eastAsia="de-DE"/>
        </w:rPr>
        <w:t>dy</w:t>
      </w:r>
      <w:r w:rsidR="00126B69" w:rsidRPr="001B4A02">
        <w:rPr>
          <w:szCs w:val="22"/>
          <w:lang w:eastAsia="de-DE"/>
        </w:rPr>
        <w:t xml:space="preserve"> </w:t>
      </w:r>
      <w:r w:rsidRPr="001B4A02">
        <w:rPr>
          <w:szCs w:val="22"/>
          <w:lang w:eastAsia="de-DE"/>
        </w:rPr>
        <w:t>B se objevila u těch pacientů, užívajících TNF</w:t>
      </w:r>
      <w:r w:rsidRPr="001B4A02">
        <w:rPr>
          <w:szCs w:val="22"/>
          <w:lang w:eastAsia="de-DE"/>
        </w:rPr>
        <w:noBreakHyphen/>
        <w:t>antagonisty včetně přípravku Humira, kteří jsou chronickými nositeli tohoto viru (tedy surface antigen pozitivní). Některé z případů byly fatální. Pacienti by měli být testováni na přítomnost možné nákazy HBV ještě před započetím léčby přípravkem Humira. Pacientům, u</w:t>
      </w:r>
      <w:r w:rsidR="009B61F3" w:rsidRPr="001B4A02">
        <w:rPr>
          <w:szCs w:val="22"/>
          <w:lang w:eastAsia="de-DE"/>
        </w:rPr>
        <w:t> </w:t>
      </w:r>
      <w:r w:rsidRPr="001B4A02">
        <w:rPr>
          <w:szCs w:val="22"/>
          <w:lang w:eastAsia="de-DE"/>
        </w:rPr>
        <w:t xml:space="preserve">kterých byl test na infekci </w:t>
      </w:r>
      <w:r w:rsidR="005363C8" w:rsidRPr="001B4A02">
        <w:rPr>
          <w:szCs w:val="22"/>
          <w:lang w:eastAsia="de-DE"/>
        </w:rPr>
        <w:t>hepatiti</w:t>
      </w:r>
      <w:r w:rsidR="005363C8">
        <w:rPr>
          <w:szCs w:val="22"/>
          <w:lang w:eastAsia="de-DE"/>
        </w:rPr>
        <w:t>dy </w:t>
      </w:r>
      <w:r w:rsidRPr="001B4A02">
        <w:rPr>
          <w:szCs w:val="22"/>
          <w:lang w:eastAsia="de-DE"/>
        </w:rPr>
        <w:t xml:space="preserve">B pozitivní, je třeba doporučit, aby vyhledali pomoc lékaře, který má zkušenosti s léčbou </w:t>
      </w:r>
      <w:r w:rsidR="005363C8" w:rsidRPr="001B4A02">
        <w:rPr>
          <w:szCs w:val="22"/>
          <w:lang w:eastAsia="de-DE"/>
        </w:rPr>
        <w:t>hepatiti</w:t>
      </w:r>
      <w:r w:rsidR="005363C8">
        <w:rPr>
          <w:szCs w:val="22"/>
          <w:lang w:eastAsia="de-DE"/>
        </w:rPr>
        <w:t>dy </w:t>
      </w:r>
      <w:r w:rsidRPr="001B4A02">
        <w:rPr>
          <w:szCs w:val="22"/>
          <w:lang w:eastAsia="de-DE"/>
        </w:rPr>
        <w:t>B.</w:t>
      </w:r>
    </w:p>
    <w:p w14:paraId="4AC1BE3B" w14:textId="77777777" w:rsidR="00783121" w:rsidRPr="001B4A02" w:rsidRDefault="00783121" w:rsidP="00ED48A3">
      <w:pPr>
        <w:ind w:left="0" w:firstLine="0"/>
        <w:rPr>
          <w:szCs w:val="22"/>
          <w:lang w:eastAsia="de-DE"/>
        </w:rPr>
      </w:pPr>
    </w:p>
    <w:p w14:paraId="05ABB268" w14:textId="77777777" w:rsidR="00783121" w:rsidRPr="001B4A02" w:rsidRDefault="00000000" w:rsidP="00ED48A3">
      <w:pPr>
        <w:ind w:left="0" w:firstLine="0"/>
        <w:rPr>
          <w:szCs w:val="22"/>
          <w:lang w:eastAsia="de-DE"/>
        </w:rPr>
      </w:pPr>
      <w:r w:rsidRPr="001B4A02">
        <w:rPr>
          <w:szCs w:val="22"/>
          <w:lang w:eastAsia="de-DE"/>
        </w:rPr>
        <w:t xml:space="preserve">Nositelé HBV, kteří vyžadují léčbu přípravkem Humira, </w:t>
      </w:r>
      <w:r w:rsidR="005363C8">
        <w:rPr>
          <w:szCs w:val="22"/>
          <w:lang w:eastAsia="de-DE"/>
        </w:rPr>
        <w:t>mají</w:t>
      </w:r>
      <w:r w:rsidR="005363C8" w:rsidRPr="005363C8">
        <w:rPr>
          <w:szCs w:val="22"/>
          <w:lang w:eastAsia="de-DE"/>
        </w:rPr>
        <w:t xml:space="preserve"> </w:t>
      </w:r>
      <w:r w:rsidRPr="005363C8">
        <w:rPr>
          <w:szCs w:val="22"/>
          <w:lang w:eastAsia="de-DE"/>
        </w:rPr>
        <w:t>být</w:t>
      </w:r>
      <w:r w:rsidRPr="001B4A02">
        <w:rPr>
          <w:szCs w:val="22"/>
          <w:lang w:eastAsia="de-DE"/>
        </w:rPr>
        <w:t xml:space="preserve"> v průběhu léčby</w:t>
      </w:r>
      <w:r w:rsidR="002378E0">
        <w:rPr>
          <w:szCs w:val="22"/>
          <w:lang w:eastAsia="de-DE"/>
        </w:rPr>
        <w:t xml:space="preserve"> a </w:t>
      </w:r>
      <w:r w:rsidRPr="001B4A02">
        <w:rPr>
          <w:szCs w:val="22"/>
          <w:lang w:eastAsia="de-DE"/>
        </w:rPr>
        <w:t xml:space="preserve">několik dalších měsíců po jejím ukončení pečlivě sledováni z hlediska výskytu známek či projevů aktivní HBV infekce. </w:t>
      </w:r>
      <w:r w:rsidRPr="001B4A02">
        <w:t>Adekvátní údaje, vypovídající o léčbě pacientů, nositelů HBV, kombinací TNF</w:t>
      </w:r>
      <w:r w:rsidRPr="001B4A02">
        <w:noBreakHyphen/>
        <w:t>antagonisty</w:t>
      </w:r>
      <w:r w:rsidR="002378E0">
        <w:t xml:space="preserve"> a </w:t>
      </w:r>
      <w:r w:rsidRPr="001B4A02">
        <w:t xml:space="preserve">antivirotika z důvodu zabránění reaktivace HBV, nejsou k dispozici. </w:t>
      </w:r>
      <w:r w:rsidRPr="001B4A02">
        <w:rPr>
          <w:szCs w:val="22"/>
          <w:lang w:eastAsia="de-DE"/>
        </w:rPr>
        <w:t>U pacientů, u kterých dojde k rozvoji HBV reaktivace, musí být přípravek Humira vysazen</w:t>
      </w:r>
      <w:r w:rsidR="002378E0">
        <w:rPr>
          <w:szCs w:val="22"/>
          <w:lang w:eastAsia="de-DE"/>
        </w:rPr>
        <w:t xml:space="preserve"> a </w:t>
      </w:r>
      <w:r w:rsidRPr="001B4A02">
        <w:rPr>
          <w:szCs w:val="22"/>
          <w:lang w:eastAsia="de-DE"/>
        </w:rPr>
        <w:t>je třeba zahájit účinnou antivirovou terapii</w:t>
      </w:r>
      <w:r w:rsidR="002378E0">
        <w:rPr>
          <w:szCs w:val="22"/>
          <w:lang w:eastAsia="de-DE"/>
        </w:rPr>
        <w:t xml:space="preserve"> a </w:t>
      </w:r>
      <w:r w:rsidRPr="001B4A02">
        <w:rPr>
          <w:szCs w:val="22"/>
          <w:lang w:eastAsia="de-DE"/>
        </w:rPr>
        <w:t>další podpůrnou léčbu.</w:t>
      </w:r>
    </w:p>
    <w:p w14:paraId="26E7F282" w14:textId="77777777" w:rsidR="00783121" w:rsidRPr="001B4A02" w:rsidRDefault="00783121" w:rsidP="00ED48A3">
      <w:pPr>
        <w:ind w:left="0" w:firstLine="0"/>
      </w:pPr>
    </w:p>
    <w:p w14:paraId="2B4F3DF1" w14:textId="77777777" w:rsidR="00783121" w:rsidRPr="001B4A02" w:rsidRDefault="00000000" w:rsidP="00ED48A3">
      <w:pPr>
        <w:keepNext/>
        <w:rPr>
          <w:u w:val="single"/>
        </w:rPr>
      </w:pPr>
      <w:r w:rsidRPr="001B4A02">
        <w:rPr>
          <w:u w:val="single"/>
        </w:rPr>
        <w:t>Neurologické příhody</w:t>
      </w:r>
    </w:p>
    <w:p w14:paraId="1A0822CA" w14:textId="77777777" w:rsidR="00783121" w:rsidRPr="001B4A02" w:rsidRDefault="00783121" w:rsidP="00ED48A3">
      <w:pPr>
        <w:keepNext/>
        <w:ind w:left="0" w:firstLine="0"/>
      </w:pPr>
    </w:p>
    <w:p w14:paraId="452B69DD" w14:textId="77777777" w:rsidR="00783121" w:rsidRPr="001B4A02" w:rsidRDefault="00000000" w:rsidP="00ED48A3">
      <w:pPr>
        <w:ind w:left="0" w:firstLine="0"/>
      </w:pPr>
      <w:r w:rsidRPr="001B4A02">
        <w:t>V souvislosti s podáváním antagonistů TNF včetně přípravku Humira se vzácně vyskytly případy nového vzniku nebo exacerbace klinických symptomů a/nebo radiografického průkazu demyelinizačního onemocnění centrálního nervového systému, včetně roztroušené sklerózy</w:t>
      </w:r>
      <w:r w:rsidR="002378E0">
        <w:t xml:space="preserve"> a </w:t>
      </w:r>
      <w:r w:rsidRPr="001B4A02">
        <w:t>optické neuritidy</w:t>
      </w:r>
      <w:r w:rsidR="002378E0">
        <w:t xml:space="preserve"> a </w:t>
      </w:r>
      <w:r w:rsidRPr="001B4A02">
        <w:t>periferního nervového systému, včetně Guillain-Barré syndromu. Předepisující lékaři by měli s opatrností zvážit použití přípravku Humira u</w:t>
      </w:r>
      <w:r w:rsidR="009B61F3" w:rsidRPr="001B4A02">
        <w:t> </w:t>
      </w:r>
      <w:r w:rsidRPr="001B4A02">
        <w:t>pacientů s preexistujícími nebo v nedávné době vzniklými demyelinizačními poruchami centrálního nebo periferního nervového systému; pokud se některá z uvedených poruch objeví, je třeba zvážit vysazení přípravku Humira</w:t>
      </w:r>
      <w:r w:rsidRPr="001B4A02">
        <w:rPr>
          <w:bCs/>
        </w:rPr>
        <w:t>. Je známo, že existuje spojení mezi intermediální uveitidou</w:t>
      </w:r>
      <w:r w:rsidR="002378E0">
        <w:rPr>
          <w:bCs/>
        </w:rPr>
        <w:t xml:space="preserve"> a </w:t>
      </w:r>
      <w:r w:rsidRPr="001B4A02">
        <w:t>demyelinizačními poruchami centrálního nervového systému. U pacientů s neinfekční intermediální uveitidou je třeba před zahájením terapie přípravkem Humira</w:t>
      </w:r>
      <w:r w:rsidR="002378E0">
        <w:t xml:space="preserve"> a </w:t>
      </w:r>
      <w:r w:rsidRPr="001B4A02">
        <w:t>pravidelně během léčby provádět neurologické vyšetření k</w:t>
      </w:r>
      <w:r w:rsidR="00B66B89" w:rsidRPr="001B4A02">
        <w:t> </w:t>
      </w:r>
      <w:r w:rsidRPr="001B4A02">
        <w:t>posouzení preexistujících nebo vyvíjejících se demyelinizačních poruch</w:t>
      </w:r>
      <w:r w:rsidR="004C2FD7" w:rsidRPr="001B4A02">
        <w:t xml:space="preserve"> centrálního nervového systému.</w:t>
      </w:r>
    </w:p>
    <w:p w14:paraId="2D890BE4" w14:textId="77777777" w:rsidR="00783121" w:rsidRPr="001B4A02" w:rsidRDefault="00783121" w:rsidP="00ED48A3">
      <w:pPr>
        <w:ind w:left="0" w:firstLine="0"/>
      </w:pPr>
    </w:p>
    <w:p w14:paraId="7D9A040A" w14:textId="77777777" w:rsidR="00783121" w:rsidRPr="001B4A02" w:rsidRDefault="00000000" w:rsidP="003B610F">
      <w:pPr>
        <w:keepNext/>
        <w:ind w:left="0" w:firstLine="0"/>
        <w:rPr>
          <w:u w:val="single"/>
        </w:rPr>
      </w:pPr>
      <w:r w:rsidRPr="001B4A02">
        <w:rPr>
          <w:u w:val="single"/>
        </w:rPr>
        <w:t>Alergické reakce</w:t>
      </w:r>
    </w:p>
    <w:p w14:paraId="1899E826" w14:textId="77777777" w:rsidR="00783121" w:rsidRPr="001B4A02" w:rsidRDefault="00783121" w:rsidP="003B610F">
      <w:pPr>
        <w:keepNext/>
        <w:ind w:left="0" w:firstLine="0"/>
      </w:pPr>
    </w:p>
    <w:p w14:paraId="636BBEA9" w14:textId="77777777" w:rsidR="00783121" w:rsidRPr="001B4A02" w:rsidRDefault="00000000" w:rsidP="00ED48A3">
      <w:pPr>
        <w:ind w:left="0" w:firstLine="0"/>
      </w:pPr>
      <w:r w:rsidRPr="001B4A02">
        <w:t xml:space="preserve">Při podávání přípravku Humira v klinických </w:t>
      </w:r>
      <w:r w:rsidR="00C3156D" w:rsidRPr="001B4A02">
        <w:t>studiích byly</w:t>
      </w:r>
      <w:r w:rsidRPr="001B4A02">
        <w:t xml:space="preserve"> závažné alergické reakce, spojené s jeho podáním, pozorovány pouze vzácně. V klinických studiích s přípravkem Humira se občas vyskytly nezávažné alergické reakce. Hlášení z praxe uvádějí výskyt závažných alergických reakcí, včetně anafylaxe, po podání přípravku Humira. Pokud se objeví anafylaktická reakce nebo jiná závažná alergická reakce, musí být ihned ukončeno podávání přípravku Humira</w:t>
      </w:r>
      <w:r w:rsidR="002378E0">
        <w:t xml:space="preserve"> a </w:t>
      </w:r>
      <w:r w:rsidRPr="001B4A02">
        <w:t>zahájená příslušná léčba.</w:t>
      </w:r>
    </w:p>
    <w:p w14:paraId="377E56D3" w14:textId="77777777" w:rsidR="00783121" w:rsidRPr="001B4A02" w:rsidRDefault="00783121" w:rsidP="00ED48A3">
      <w:pPr>
        <w:ind w:left="0" w:firstLine="0"/>
      </w:pPr>
    </w:p>
    <w:p w14:paraId="04D5B90B" w14:textId="77777777" w:rsidR="00783121" w:rsidRPr="001B4A02" w:rsidRDefault="00000000" w:rsidP="004C2FD7">
      <w:pPr>
        <w:keepNext/>
        <w:ind w:left="0" w:firstLine="0"/>
      </w:pPr>
      <w:r w:rsidRPr="001B4A02">
        <w:rPr>
          <w:u w:val="single"/>
        </w:rPr>
        <w:t>Imunosuprese</w:t>
      </w:r>
    </w:p>
    <w:p w14:paraId="16288D0D" w14:textId="77777777" w:rsidR="00783121" w:rsidRPr="001B4A02" w:rsidRDefault="00783121" w:rsidP="004C2FD7">
      <w:pPr>
        <w:keepNext/>
        <w:ind w:left="0" w:firstLine="0"/>
      </w:pPr>
    </w:p>
    <w:p w14:paraId="2CB7EC16" w14:textId="77777777" w:rsidR="00E7724C" w:rsidRPr="001B4A02" w:rsidRDefault="00000000" w:rsidP="00ED48A3">
      <w:pPr>
        <w:pStyle w:val="EMEANormal"/>
        <w:rPr>
          <w:highlight w:val="yellow"/>
          <w:lang w:val="cs-CZ"/>
        </w:rPr>
      </w:pPr>
      <w:r w:rsidRPr="001B4A02">
        <w:rPr>
          <w:lang w:val="cs-CZ"/>
        </w:rPr>
        <w:t>Ve studii u 64 pacientů s revmatoidní artritidou, kteří byli léčeni přípravkem Humira, nebylo prokázáno snížení hypersenzitivity opožděného typu, snížení hladin imunoglobulinů nebo změna v počtu efektorových T, B</w:t>
      </w:r>
      <w:r w:rsidR="002378E0">
        <w:rPr>
          <w:lang w:val="cs-CZ"/>
        </w:rPr>
        <w:t xml:space="preserve"> a </w:t>
      </w:r>
      <w:r w:rsidRPr="001B4A02">
        <w:rPr>
          <w:lang w:val="cs-CZ"/>
        </w:rPr>
        <w:t>NK buněk, monocytů/makrofágů</w:t>
      </w:r>
      <w:r w:rsidR="002378E0">
        <w:rPr>
          <w:lang w:val="cs-CZ"/>
        </w:rPr>
        <w:t xml:space="preserve"> a </w:t>
      </w:r>
      <w:r w:rsidRPr="001B4A02">
        <w:rPr>
          <w:lang w:val="cs-CZ"/>
        </w:rPr>
        <w:t>neutrofilů.</w:t>
      </w:r>
    </w:p>
    <w:p w14:paraId="26E8E2F5" w14:textId="77777777" w:rsidR="00E7724C" w:rsidRPr="001B4A02" w:rsidRDefault="00E7724C" w:rsidP="00ED48A3">
      <w:pPr>
        <w:pStyle w:val="EMEANormal"/>
        <w:rPr>
          <w:highlight w:val="yellow"/>
          <w:lang w:val="cs-CZ"/>
        </w:rPr>
      </w:pPr>
    </w:p>
    <w:p w14:paraId="4F57981C" w14:textId="77777777" w:rsidR="00783121" w:rsidRPr="001B4A02" w:rsidRDefault="00000000" w:rsidP="00ED48A3">
      <w:pPr>
        <w:pStyle w:val="EMEAHeadingUnderline"/>
        <w:keepNext/>
        <w:tabs>
          <w:tab w:val="clear" w:pos="562"/>
        </w:tabs>
        <w:suppressAutoHyphens w:val="0"/>
        <w:spacing w:beforeLines="0" w:before="0" w:afterLines="0" w:after="0"/>
        <w:rPr>
          <w:szCs w:val="24"/>
          <w:lang w:val="cs-CZ"/>
        </w:rPr>
      </w:pPr>
      <w:r w:rsidRPr="001B4A02">
        <w:rPr>
          <w:szCs w:val="24"/>
          <w:lang w:val="cs-CZ"/>
        </w:rPr>
        <w:t>Maligní onemocnění</w:t>
      </w:r>
      <w:r w:rsidR="002378E0">
        <w:rPr>
          <w:szCs w:val="24"/>
          <w:lang w:val="cs-CZ"/>
        </w:rPr>
        <w:t xml:space="preserve"> a </w:t>
      </w:r>
      <w:r w:rsidRPr="001B4A02">
        <w:rPr>
          <w:szCs w:val="24"/>
          <w:lang w:val="cs-CZ"/>
        </w:rPr>
        <w:t xml:space="preserve">lymfoproliferativní poruchy </w:t>
      </w:r>
    </w:p>
    <w:p w14:paraId="6E735278" w14:textId="77777777" w:rsidR="00783121" w:rsidRPr="001B4A02" w:rsidRDefault="00783121" w:rsidP="00ED48A3">
      <w:pPr>
        <w:pStyle w:val="EMEANormal"/>
        <w:keepNext/>
        <w:tabs>
          <w:tab w:val="clear" w:pos="562"/>
        </w:tabs>
        <w:suppressAutoHyphens w:val="0"/>
        <w:rPr>
          <w:szCs w:val="24"/>
          <w:lang w:val="cs-CZ"/>
        </w:rPr>
      </w:pPr>
    </w:p>
    <w:p w14:paraId="592FBFCD" w14:textId="77777777" w:rsidR="00783121" w:rsidRPr="001B4A02" w:rsidRDefault="00000000" w:rsidP="00ED48A3">
      <w:pPr>
        <w:pStyle w:val="EMEANormal"/>
        <w:tabs>
          <w:tab w:val="clear" w:pos="562"/>
        </w:tabs>
        <w:suppressAutoHyphens w:val="0"/>
        <w:rPr>
          <w:szCs w:val="24"/>
          <w:lang w:val="cs-CZ"/>
        </w:rPr>
      </w:pPr>
      <w:r w:rsidRPr="001B4A02">
        <w:rPr>
          <w:szCs w:val="24"/>
          <w:lang w:val="cs-CZ"/>
        </w:rPr>
        <w:t>V kontrolovaných částech klinických studií s antagonisty TNF bylo u pacientů léčených antagonisty TNF pozorováno v porovnání s kontrolní skupinou pacientů více případů malignit včetně lymfomů. Jejich výskyt byl však vzácný. V postmarketingovém období byly u pacientů léčených TNF-antagonisty hlášeny případy leukémie. U pacientů s revmatoidní artritidou s dlouhodobým vysoce aktivním zánětlivým onemocněním existuje zvýšené riziko vzniku lymfomu</w:t>
      </w:r>
      <w:r w:rsidR="002378E0">
        <w:rPr>
          <w:szCs w:val="24"/>
          <w:lang w:val="cs-CZ"/>
        </w:rPr>
        <w:t xml:space="preserve"> a </w:t>
      </w:r>
      <w:r w:rsidRPr="001B4A02">
        <w:rPr>
          <w:szCs w:val="24"/>
          <w:lang w:val="cs-CZ"/>
        </w:rPr>
        <w:t>leukémie, což komplikuje odhad rizika. Podle současného stavu znalostí nelze u pacientů léčených antagonisty TNF vyloučit možné riziko rozvoje lymfomů, leukémie</w:t>
      </w:r>
      <w:r w:rsidR="002378E0">
        <w:rPr>
          <w:szCs w:val="24"/>
          <w:lang w:val="cs-CZ"/>
        </w:rPr>
        <w:t xml:space="preserve"> a </w:t>
      </w:r>
      <w:r w:rsidRPr="001B4A02">
        <w:rPr>
          <w:szCs w:val="24"/>
          <w:lang w:val="cs-CZ"/>
        </w:rPr>
        <w:t>jiných maligních onemocnění.</w:t>
      </w:r>
    </w:p>
    <w:p w14:paraId="17DDFF34" w14:textId="77777777" w:rsidR="00783121" w:rsidRPr="001B4A02" w:rsidRDefault="00783121" w:rsidP="00ED48A3">
      <w:pPr>
        <w:ind w:left="0" w:firstLine="0"/>
      </w:pPr>
    </w:p>
    <w:p w14:paraId="3A943EAA" w14:textId="77777777" w:rsidR="00783121" w:rsidRPr="001B4A02" w:rsidRDefault="00000000" w:rsidP="00ED48A3">
      <w:pPr>
        <w:ind w:left="0" w:firstLine="0"/>
      </w:pPr>
      <w:r w:rsidRPr="001B4A02">
        <w:t>V postmarketingovém období byly u</w:t>
      </w:r>
      <w:r w:rsidR="009B61F3" w:rsidRPr="001B4A02">
        <w:t> </w:t>
      </w:r>
      <w:r w:rsidRPr="001B4A02">
        <w:t xml:space="preserve">dětí, </w:t>
      </w:r>
      <w:r w:rsidR="007633DC">
        <w:t>dospívajících</w:t>
      </w:r>
      <w:r w:rsidR="002378E0">
        <w:t xml:space="preserve"> a </w:t>
      </w:r>
      <w:r w:rsidRPr="001B4A02">
        <w:t>mladých dospělých (do 22 let) užívajících TNF-blokátory (zahájení léčby v</w:t>
      </w:r>
      <w:r w:rsidR="00D41D1A" w:rsidRPr="001B4A02">
        <w:t> </w:t>
      </w:r>
      <w:r w:rsidRPr="001B4A02">
        <w:t>≤ 18 letech věku), včetně adalimumabu, hlášeny malignity, z nichž některé byly fatální. Přibližně polovina případů byly lymfomy. Jiné případy představovaly různé druhy malignit</w:t>
      </w:r>
      <w:r w:rsidR="002378E0">
        <w:t xml:space="preserve"> a </w:t>
      </w:r>
      <w:r w:rsidRPr="001B4A02">
        <w:t>zahrnovaly vzácné malignity, které jsou obvykle spojeny s imunosupresí. Riziko rozvoje malignit u</w:t>
      </w:r>
      <w:r w:rsidR="00D41D1A" w:rsidRPr="001B4A02">
        <w:t> </w:t>
      </w:r>
      <w:r w:rsidRPr="001B4A02">
        <w:t>dětí</w:t>
      </w:r>
      <w:r w:rsidR="002378E0">
        <w:t xml:space="preserve"> a </w:t>
      </w:r>
      <w:r w:rsidR="007633DC">
        <w:t>dospívajících</w:t>
      </w:r>
      <w:r w:rsidRPr="001B4A02">
        <w:t xml:space="preserve"> léčených TNF-blokátory nelze vyloučit.</w:t>
      </w:r>
    </w:p>
    <w:p w14:paraId="6434D241" w14:textId="77777777" w:rsidR="00783121" w:rsidRPr="001B4A02" w:rsidRDefault="00783121" w:rsidP="00ED48A3"/>
    <w:p w14:paraId="5972E0ED" w14:textId="77777777" w:rsidR="00783121" w:rsidRPr="001B4A02" w:rsidRDefault="00000000" w:rsidP="00ED48A3">
      <w:pPr>
        <w:pStyle w:val="EMEANormal"/>
        <w:tabs>
          <w:tab w:val="clear" w:pos="562"/>
        </w:tabs>
        <w:suppressAutoHyphens w:val="0"/>
        <w:rPr>
          <w:lang w:val="cs-CZ"/>
        </w:rPr>
      </w:pPr>
      <w:r w:rsidRPr="001B4A02">
        <w:rPr>
          <w:lang w:val="cs-CZ"/>
        </w:rPr>
        <w:t>Z postmarketingové praxe u</w:t>
      </w:r>
      <w:r w:rsidR="00D41D1A" w:rsidRPr="001B4A02">
        <w:rPr>
          <w:lang w:val="cs-CZ"/>
        </w:rPr>
        <w:t> </w:t>
      </w:r>
      <w:r w:rsidRPr="001B4A02">
        <w:rPr>
          <w:lang w:val="cs-CZ"/>
        </w:rPr>
        <w:t>pacientů léčených adalimumabem byly hlášeny vzácné případy hepatosplenického T-buněčného lymfomu. Tento vzácný typ T-buněčného lymfomu se vyznačuje velmi agresívním průběhem onemocnění</w:t>
      </w:r>
      <w:r w:rsidR="002378E0">
        <w:rPr>
          <w:lang w:val="cs-CZ"/>
        </w:rPr>
        <w:t xml:space="preserve"> a </w:t>
      </w:r>
      <w:r w:rsidRPr="001B4A02">
        <w:rPr>
          <w:lang w:val="cs-CZ"/>
        </w:rPr>
        <w:t>je obvykle fatální. Některé z těchto T-buněčných lymfomů, spojované s</w:t>
      </w:r>
      <w:r w:rsidR="00463AD9" w:rsidRPr="001B4A02">
        <w:rPr>
          <w:lang w:val="cs-CZ"/>
        </w:rPr>
        <w:t> </w:t>
      </w:r>
      <w:r w:rsidRPr="001B4A02">
        <w:rPr>
          <w:lang w:val="cs-CZ"/>
        </w:rPr>
        <w:t>přípravkem Humira, se vyskytly u</w:t>
      </w:r>
      <w:r w:rsidR="009B61F3" w:rsidRPr="001B4A02">
        <w:rPr>
          <w:lang w:val="cs-CZ"/>
        </w:rPr>
        <w:t> </w:t>
      </w:r>
      <w:r w:rsidRPr="001B4A02">
        <w:rPr>
          <w:lang w:val="cs-CZ"/>
        </w:rPr>
        <w:t>mladých pacientů léčených současně azathioprinem nebo 6-merkaptopurinem pro zánětlivé střevní onemocnění. Možné riziko kombinace azathioprinu nebo 6-merkaptopurinu</w:t>
      </w:r>
      <w:r w:rsidR="002378E0">
        <w:rPr>
          <w:lang w:val="cs-CZ"/>
        </w:rPr>
        <w:t xml:space="preserve"> a </w:t>
      </w:r>
      <w:r w:rsidRPr="001B4A02">
        <w:rPr>
          <w:lang w:val="cs-CZ"/>
        </w:rPr>
        <w:t>přípravku Humira je třeba pečlivě zvážit. Riziko rozvoje hepatosplenického T-buněčného lymfomu nelze u</w:t>
      </w:r>
      <w:r w:rsidR="00D41D1A" w:rsidRPr="001B4A02">
        <w:rPr>
          <w:lang w:val="cs-CZ"/>
        </w:rPr>
        <w:t> </w:t>
      </w:r>
      <w:r w:rsidRPr="001B4A02">
        <w:rPr>
          <w:lang w:val="cs-CZ"/>
        </w:rPr>
        <w:t>pacientů léčených přípravkem Humira vyloučit (viz bod 4.8).</w:t>
      </w:r>
    </w:p>
    <w:p w14:paraId="272BD1B8" w14:textId="77777777" w:rsidR="00783121" w:rsidRPr="001B4A02" w:rsidRDefault="00783121" w:rsidP="00ED48A3"/>
    <w:p w14:paraId="57194FB7" w14:textId="77777777" w:rsidR="00783121" w:rsidRPr="001B4A02" w:rsidRDefault="00000000" w:rsidP="00ED48A3">
      <w:pPr>
        <w:ind w:left="0" w:firstLine="0"/>
      </w:pPr>
      <w:r w:rsidRPr="001B4A02">
        <w:t>Nebyly provedeny žádné studie u pacientů s anamnézou maligního onemocnění nebo v</w:t>
      </w:r>
      <w:r w:rsidR="00D41D1A" w:rsidRPr="001B4A02">
        <w:t> </w:t>
      </w:r>
      <w:r w:rsidRPr="001B4A02">
        <w:t>případech, kde by léčba přípravkem Humira dále pokračovala i u pacientů, u kterých došlo k</w:t>
      </w:r>
      <w:r w:rsidR="00D41D1A" w:rsidRPr="001B4A02">
        <w:t> </w:t>
      </w:r>
      <w:r w:rsidRPr="001B4A02">
        <w:t>rozvoji maligního onemocnění. Je proto zapotřebí ještě větší opatrnost při úvaze o léčbě přípravkem Humira u těchto pacientů (viz bod 4.8).</w:t>
      </w:r>
    </w:p>
    <w:p w14:paraId="01141173" w14:textId="77777777" w:rsidR="00783121" w:rsidRPr="001B4A02" w:rsidRDefault="00783121" w:rsidP="00ED48A3">
      <w:pPr>
        <w:ind w:left="0" w:firstLine="0"/>
      </w:pPr>
    </w:p>
    <w:p w14:paraId="79EE26D1" w14:textId="77777777" w:rsidR="00783121" w:rsidRPr="001B4A02" w:rsidRDefault="00000000" w:rsidP="00ED48A3">
      <w:pPr>
        <w:ind w:left="0" w:firstLine="0"/>
      </w:pPr>
      <w:r w:rsidRPr="001B4A02">
        <w:t>Všechny pacienty, zvláště pacienty s anamnézou rozsáhlé imunosupres</w:t>
      </w:r>
      <w:r w:rsidR="00B60555" w:rsidRPr="001B4A02">
        <w:t>i</w:t>
      </w:r>
      <w:r w:rsidRPr="001B4A02">
        <w:t>vní léčby nebo pacienty s psoriázou, kteří byli v minulosti léčeni PUVA, je třeba vyšetřit na přítomnost nemelanomového kožního karcinomu ještě před</w:t>
      </w:r>
      <w:r w:rsidR="002378E0">
        <w:t xml:space="preserve"> a </w:t>
      </w:r>
      <w:r w:rsidRPr="001B4A02">
        <w:t>během léčby přípravkem Humira. U</w:t>
      </w:r>
      <w:r w:rsidR="00D41D1A" w:rsidRPr="001B4A02">
        <w:t> </w:t>
      </w:r>
      <w:r w:rsidRPr="001B4A02">
        <w:t>pacientů užívajících TNF-antagonisty, včetně přípravku Humira, byl také hlášen výskyt melanomu</w:t>
      </w:r>
      <w:r w:rsidR="002378E0">
        <w:t xml:space="preserve"> a </w:t>
      </w:r>
      <w:r w:rsidRPr="001B4A02">
        <w:t>karcinomu z Merkelových buněk (viz bod 4.8).</w:t>
      </w:r>
    </w:p>
    <w:p w14:paraId="4054090D" w14:textId="77777777" w:rsidR="00783121" w:rsidRPr="001B4A02" w:rsidRDefault="00783121" w:rsidP="00ED48A3">
      <w:pPr>
        <w:ind w:left="0" w:firstLine="0"/>
      </w:pPr>
    </w:p>
    <w:p w14:paraId="72EC171B" w14:textId="77777777" w:rsidR="00783121" w:rsidRPr="001B4A02" w:rsidRDefault="00000000" w:rsidP="00ED48A3">
      <w:pPr>
        <w:pStyle w:val="EMEANormal"/>
        <w:tabs>
          <w:tab w:val="clear" w:pos="562"/>
        </w:tabs>
        <w:suppressAutoHyphens w:val="0"/>
        <w:rPr>
          <w:bCs/>
          <w:szCs w:val="22"/>
          <w:lang w:val="cs-CZ"/>
        </w:rPr>
      </w:pPr>
      <w:r w:rsidRPr="001B4A02">
        <w:rPr>
          <w:bCs/>
          <w:szCs w:val="22"/>
          <w:lang w:val="cs-CZ"/>
        </w:rPr>
        <w:t xml:space="preserve">V ověřovací klinické studii, zkoumající užívání jiného antagonisty TNF, infliximabu, u pacientů se středně </w:t>
      </w:r>
      <w:r w:rsidR="00CC2F88" w:rsidRPr="001B4A02">
        <w:rPr>
          <w:bCs/>
          <w:szCs w:val="22"/>
          <w:lang w:val="cs-CZ"/>
        </w:rPr>
        <w:t>těžkou</w:t>
      </w:r>
      <w:r w:rsidRPr="001B4A02">
        <w:rPr>
          <w:bCs/>
          <w:szCs w:val="22"/>
          <w:lang w:val="cs-CZ"/>
        </w:rPr>
        <w:t xml:space="preserve"> až těžkou chronickou obstrukční chorobou plicní (CHOPN), bylo u pacientů léčených infliximabem pozorováno více malignit, převážně plic, hlavy</w:t>
      </w:r>
      <w:r w:rsidR="002378E0">
        <w:rPr>
          <w:bCs/>
          <w:szCs w:val="22"/>
          <w:lang w:val="cs-CZ"/>
        </w:rPr>
        <w:t xml:space="preserve"> a </w:t>
      </w:r>
      <w:r w:rsidRPr="001B4A02">
        <w:rPr>
          <w:bCs/>
          <w:szCs w:val="22"/>
          <w:lang w:val="cs-CZ"/>
        </w:rPr>
        <w:t>krku v porovnání s kontrolní skupinou pacientů. Všichni pacienti byli v minulosti těžcí kuřáci. Z tohoto důvodu je zapotřebí opatrnosti při užívání jakéhokoli TNF-antagonisty u pacientů s CHOPN, stejně jako u pacientů s vyšším rizikem vzniku malignit v důsledku jejich těžkého kuřáctví.</w:t>
      </w:r>
    </w:p>
    <w:p w14:paraId="663F496A" w14:textId="77777777" w:rsidR="00783121" w:rsidRPr="001B4A02" w:rsidRDefault="00783121" w:rsidP="00ED48A3">
      <w:pPr>
        <w:ind w:left="0" w:firstLine="0"/>
      </w:pPr>
    </w:p>
    <w:p w14:paraId="24F042D9" w14:textId="77777777" w:rsidR="00783121" w:rsidRPr="001B4A02" w:rsidRDefault="00000000" w:rsidP="00ED48A3">
      <w:pPr>
        <w:ind w:left="0" w:firstLine="0"/>
      </w:pPr>
      <w:r w:rsidRPr="001B4A02">
        <w:t>Podle současných údajů není známo, zda léčba adalimumabem ovlivňuje riziko vzniku dyspl</w:t>
      </w:r>
      <w:r w:rsidR="00D149F4">
        <w:t>a</w:t>
      </w:r>
      <w:r w:rsidRPr="001B4A02">
        <w:t>zie nebo kolorektálního karcinomu. Všichni pacienti s ulcerózní kolitidou, u</w:t>
      </w:r>
      <w:r w:rsidR="00D41D1A" w:rsidRPr="001B4A02">
        <w:t> </w:t>
      </w:r>
      <w:r w:rsidRPr="001B4A02">
        <w:t>nichž existuje riziko pro vznik dyspl</w:t>
      </w:r>
      <w:r w:rsidR="00D149F4">
        <w:t>a</w:t>
      </w:r>
      <w:r w:rsidRPr="001B4A02">
        <w:t>zie nebo kolorektálního karcinomu (např. pacienti s dlouhotrvající ulcerózní kolitidou nebo primární sklerotizující cholangitidou), u</w:t>
      </w:r>
      <w:r w:rsidR="00D41D1A" w:rsidRPr="001B4A02">
        <w:t> </w:t>
      </w:r>
      <w:r w:rsidRPr="001B4A02">
        <w:t>kterých se v minulosti vyskytla dyspl</w:t>
      </w:r>
      <w:r w:rsidR="00D149F4">
        <w:t>a</w:t>
      </w:r>
      <w:r w:rsidRPr="001B4A02">
        <w:t>zie nebo kolorektální karcinom</w:t>
      </w:r>
      <w:r w:rsidR="00301A37" w:rsidRPr="001B4A02">
        <w:t>,</w:t>
      </w:r>
      <w:r w:rsidRPr="001B4A02">
        <w:t xml:space="preserve"> </w:t>
      </w:r>
      <w:r w:rsidR="0029088C">
        <w:t>mají</w:t>
      </w:r>
      <w:r w:rsidRPr="001B4A02">
        <w:t xml:space="preserve"> být vyšetřeni na možný rozvoj dyspl</w:t>
      </w:r>
      <w:r w:rsidR="00D149F4">
        <w:t>a</w:t>
      </w:r>
      <w:r w:rsidRPr="001B4A02">
        <w:t>zie nebo kolorektálního karcinomu ještě před zahájením léčby</w:t>
      </w:r>
      <w:r w:rsidR="002378E0">
        <w:t xml:space="preserve"> a </w:t>
      </w:r>
      <w:r w:rsidRPr="001B4A02">
        <w:t>dále v pravidelných intervalech v jejím průběhu. Toto vyšetření má, v souladu s místními požadavky, zahrnovat kolonoskopii</w:t>
      </w:r>
      <w:r w:rsidR="002378E0">
        <w:t xml:space="preserve"> a </w:t>
      </w:r>
      <w:r w:rsidRPr="001B4A02">
        <w:t>biopsii.</w:t>
      </w:r>
    </w:p>
    <w:p w14:paraId="3041426B" w14:textId="77777777" w:rsidR="00783121" w:rsidRPr="001B4A02" w:rsidRDefault="00783121" w:rsidP="00ED48A3">
      <w:pPr>
        <w:tabs>
          <w:tab w:val="left" w:pos="426"/>
        </w:tabs>
        <w:jc w:val="both"/>
        <w:rPr>
          <w:bCs/>
          <w:szCs w:val="22"/>
          <w:u w:val="single"/>
        </w:rPr>
      </w:pPr>
    </w:p>
    <w:p w14:paraId="529DD691" w14:textId="77777777" w:rsidR="00783121" w:rsidRPr="001B4A02" w:rsidRDefault="00000000" w:rsidP="003B610F">
      <w:pPr>
        <w:keepNext/>
        <w:tabs>
          <w:tab w:val="left" w:pos="426"/>
        </w:tabs>
        <w:jc w:val="both"/>
        <w:rPr>
          <w:bCs/>
          <w:szCs w:val="22"/>
          <w:u w:val="single"/>
        </w:rPr>
      </w:pPr>
      <w:r w:rsidRPr="001B4A02">
        <w:rPr>
          <w:bCs/>
          <w:szCs w:val="22"/>
          <w:u w:val="single"/>
        </w:rPr>
        <w:t>Hematologické reakce</w:t>
      </w:r>
    </w:p>
    <w:p w14:paraId="0C3D4E66" w14:textId="77777777" w:rsidR="00783121" w:rsidRPr="001B4A02" w:rsidRDefault="00783121" w:rsidP="003B610F">
      <w:pPr>
        <w:keepNext/>
        <w:tabs>
          <w:tab w:val="left" w:pos="426"/>
        </w:tabs>
        <w:jc w:val="both"/>
        <w:rPr>
          <w:bCs/>
          <w:szCs w:val="22"/>
          <w:u w:val="single"/>
        </w:rPr>
      </w:pPr>
    </w:p>
    <w:p w14:paraId="26F54ABD" w14:textId="77777777" w:rsidR="00783121" w:rsidRPr="001B4A02" w:rsidRDefault="00000000" w:rsidP="00ED48A3">
      <w:pPr>
        <w:ind w:left="0" w:firstLine="0"/>
        <w:rPr>
          <w:u w:val="single"/>
        </w:rPr>
      </w:pPr>
      <w:r w:rsidRPr="001B4A02">
        <w:rPr>
          <w:bCs/>
          <w:szCs w:val="22"/>
        </w:rPr>
        <w:t>Při užívání antagonistů TNF byly vzácně hlášeny případy pancytopenie včetně aplastické anémie. U přípravku Humira byly hlášeny nežádoucí příhody v oblasti hematologického systému, včetně medicínsky významné cytopenie (např. trombocytopenie, leukopenie). Všem pacientům je nutné doporučit, aby ihned vyhledali lékařskou pomoc, pokud se při léčbě přípravkem Humira vyvinou příznaky</w:t>
      </w:r>
      <w:r w:rsidR="002378E0">
        <w:rPr>
          <w:bCs/>
          <w:szCs w:val="22"/>
        </w:rPr>
        <w:t xml:space="preserve"> a </w:t>
      </w:r>
      <w:r w:rsidRPr="001B4A02">
        <w:rPr>
          <w:bCs/>
          <w:szCs w:val="22"/>
        </w:rPr>
        <w:t>projevy podezřelé z krevní dyskrasie (např. přetrvávající horečka, hematomy, krvácení, bledost). U pacientů s potvrzenými významnými hematologickými abnormalitami je nutné zvážit vysazení léčby.</w:t>
      </w:r>
    </w:p>
    <w:p w14:paraId="2B410A88" w14:textId="77777777" w:rsidR="00783121" w:rsidRPr="001B4A02" w:rsidRDefault="00783121" w:rsidP="00ED48A3">
      <w:pPr>
        <w:ind w:left="0" w:firstLine="0"/>
      </w:pPr>
    </w:p>
    <w:p w14:paraId="793DBD06" w14:textId="77777777" w:rsidR="00783121" w:rsidRPr="001B4A02" w:rsidRDefault="00000000" w:rsidP="00603F6E">
      <w:pPr>
        <w:keepNext/>
        <w:ind w:left="0" w:firstLine="0"/>
      </w:pPr>
      <w:r w:rsidRPr="001B4A02">
        <w:rPr>
          <w:u w:val="single"/>
        </w:rPr>
        <w:t>Očkování</w:t>
      </w:r>
    </w:p>
    <w:p w14:paraId="5089832B" w14:textId="77777777" w:rsidR="00783121" w:rsidRPr="001B4A02" w:rsidRDefault="00783121" w:rsidP="00603F6E">
      <w:pPr>
        <w:keepNext/>
        <w:ind w:left="0" w:firstLine="0"/>
      </w:pPr>
    </w:p>
    <w:p w14:paraId="4679E95A" w14:textId="77777777" w:rsidR="00783121" w:rsidRPr="001B4A02" w:rsidRDefault="00000000" w:rsidP="003B610F">
      <w:pPr>
        <w:pStyle w:val="EMEANormal"/>
        <w:tabs>
          <w:tab w:val="clear" w:pos="562"/>
        </w:tabs>
        <w:suppressAutoHyphens w:val="0"/>
        <w:rPr>
          <w:lang w:val="cs-CZ"/>
        </w:rPr>
      </w:pPr>
      <w:r w:rsidRPr="001B4A02">
        <w:rPr>
          <w:lang w:val="cs-CZ"/>
        </w:rPr>
        <w:t>Obdobná protilátková odpověď na standardní 23složkovou pneumokokovou vakcínu</w:t>
      </w:r>
      <w:r w:rsidR="002378E0">
        <w:rPr>
          <w:lang w:val="cs-CZ"/>
        </w:rPr>
        <w:t xml:space="preserve"> a </w:t>
      </w:r>
      <w:r w:rsidRPr="001B4A02">
        <w:rPr>
          <w:lang w:val="cs-CZ"/>
        </w:rPr>
        <w:t>třísložkovou virovou vakcínu proti chřipce byla pozorována ve studii s 226 dospělými subjekty s revmatoidní artritidou, kte</w:t>
      </w:r>
      <w:r w:rsidR="002A321C">
        <w:rPr>
          <w:lang w:val="cs-CZ"/>
        </w:rPr>
        <w:t>ré</w:t>
      </w:r>
      <w:r w:rsidRPr="001B4A02">
        <w:rPr>
          <w:lang w:val="cs-CZ"/>
        </w:rPr>
        <w:t xml:space="preserve"> byl</w:t>
      </w:r>
      <w:r w:rsidR="002A321C">
        <w:rPr>
          <w:lang w:val="cs-CZ"/>
        </w:rPr>
        <w:t>y</w:t>
      </w:r>
      <w:r w:rsidRPr="001B4A02">
        <w:rPr>
          <w:lang w:val="cs-CZ"/>
        </w:rPr>
        <w:t xml:space="preserve"> léčen</w:t>
      </w:r>
      <w:r w:rsidR="002A321C">
        <w:rPr>
          <w:lang w:val="cs-CZ"/>
        </w:rPr>
        <w:t>y</w:t>
      </w:r>
      <w:r w:rsidRPr="001B4A02">
        <w:rPr>
          <w:lang w:val="cs-CZ"/>
        </w:rPr>
        <w:t xml:space="preserve"> adalimumabem nebo placebem. Nejsou k dispozici žádné údaje, týkající se sekundárního přenosu infekce v důsledku živé vakcíny u pacientů léčených přípravkem Humira.</w:t>
      </w:r>
    </w:p>
    <w:p w14:paraId="4DFA0EA4" w14:textId="77777777" w:rsidR="00783121" w:rsidRPr="001B4A02" w:rsidRDefault="00783121" w:rsidP="00ED48A3">
      <w:pPr>
        <w:ind w:left="0" w:firstLine="0"/>
        <w:rPr>
          <w:u w:val="single"/>
        </w:rPr>
      </w:pPr>
    </w:p>
    <w:p w14:paraId="0D108777" w14:textId="77777777" w:rsidR="00783121" w:rsidRPr="001B4A02" w:rsidRDefault="00000000" w:rsidP="00ED48A3">
      <w:pPr>
        <w:ind w:left="0" w:firstLine="0"/>
      </w:pPr>
      <w:r w:rsidRPr="001B4A02">
        <w:t>Doporučuje se, aby pediatričtí pacienti absolvovali pokud možno všechna doporučená očkování v souladu se současnými vakcinačními směrnicemi ještě před zahájením léčby přípravkem Humira.</w:t>
      </w:r>
    </w:p>
    <w:p w14:paraId="4E29AA8F" w14:textId="77777777" w:rsidR="00783121" w:rsidRPr="001B4A02" w:rsidRDefault="00783121" w:rsidP="00ED48A3">
      <w:pPr>
        <w:ind w:left="0" w:firstLine="0"/>
      </w:pPr>
    </w:p>
    <w:p w14:paraId="2F8110FC" w14:textId="77777777" w:rsidR="00783121" w:rsidRPr="001B4A02" w:rsidRDefault="00000000" w:rsidP="00ED48A3">
      <w:pPr>
        <w:ind w:left="0" w:firstLine="0"/>
      </w:pPr>
      <w:r w:rsidRPr="001B4A02">
        <w:t xml:space="preserve">Pacienti léčení přípravkem Humira mohou být souběžně očkováni, s výjimkou očkování živými vakcínami. Podávání živých vakcín </w:t>
      </w:r>
      <w:r w:rsidR="00914D06">
        <w:t xml:space="preserve">(např. BCG vakcín) </w:t>
      </w:r>
      <w:r w:rsidRPr="001B4A02">
        <w:t>se nedoporučuje u</w:t>
      </w:r>
      <w:r w:rsidR="009B61F3" w:rsidRPr="001B4A02">
        <w:t> </w:t>
      </w:r>
      <w:r w:rsidRPr="001B4A02">
        <w:t>dětí, které byly adalimumabu vystaveny in utero,</w:t>
      </w:r>
      <w:r w:rsidR="002378E0">
        <w:t xml:space="preserve"> a </w:t>
      </w:r>
      <w:r w:rsidRPr="001B4A02">
        <w:t>to po dobu 5 měsíců od poslední dávky adalimumabu, jež byla matce během těhotenství podána.</w:t>
      </w:r>
    </w:p>
    <w:p w14:paraId="05754FA5" w14:textId="77777777" w:rsidR="00783121" w:rsidRPr="001B4A02" w:rsidRDefault="00783121" w:rsidP="00ED48A3">
      <w:pPr>
        <w:ind w:left="0" w:firstLine="0"/>
        <w:rPr>
          <w:u w:val="single"/>
        </w:rPr>
      </w:pPr>
    </w:p>
    <w:p w14:paraId="007D13FC" w14:textId="77777777" w:rsidR="00783121" w:rsidRPr="001B4A02" w:rsidRDefault="00000000" w:rsidP="003B610F">
      <w:pPr>
        <w:keepNext/>
        <w:ind w:left="0" w:firstLine="0"/>
      </w:pPr>
      <w:r w:rsidRPr="001B4A02">
        <w:rPr>
          <w:u w:val="single"/>
        </w:rPr>
        <w:t>Městnavé srdeční selhání</w:t>
      </w:r>
    </w:p>
    <w:p w14:paraId="59745003" w14:textId="77777777" w:rsidR="00783121" w:rsidRPr="001B4A02" w:rsidRDefault="00783121" w:rsidP="003B610F">
      <w:pPr>
        <w:keepNext/>
        <w:ind w:left="0" w:firstLine="0"/>
      </w:pPr>
    </w:p>
    <w:p w14:paraId="5E2E5609" w14:textId="77777777" w:rsidR="00783121" w:rsidRPr="001B4A02" w:rsidRDefault="00000000" w:rsidP="00ED48A3">
      <w:pPr>
        <w:ind w:left="0" w:firstLine="0"/>
      </w:pPr>
      <w:r w:rsidRPr="001B4A02">
        <w:t>V klinické studii s jiným antagonistou TNF bylo pozorováno zhoršení městnavého srdečního selhání</w:t>
      </w:r>
      <w:r w:rsidR="002378E0">
        <w:t xml:space="preserve"> a </w:t>
      </w:r>
      <w:r w:rsidRPr="001B4A02">
        <w:t>zvýšení mortality na městnavé srdeční selhání. Případy zhoršení městnavého srdečního selhání byly rovněž popsány u pacientů léčených přípravkem Humira. U pacientů s mírným srdečním selháním (třída I/II podle NYHA) se musí přípravek Humira podávat s opatrností. Přípravek Humira je kontraindikován u středně těžkého až těžkého srdečního selhání (viz bod 4.3). U pacientů, u</w:t>
      </w:r>
      <w:r w:rsidR="009B61F3" w:rsidRPr="001B4A02">
        <w:t> </w:t>
      </w:r>
      <w:r w:rsidRPr="001B4A02">
        <w:t>kterých dojde k rozvoji nebo zhoršení příznaků městnavého srdečního selhání, musí být léčba přípravkem Humira ukončena.</w:t>
      </w:r>
    </w:p>
    <w:p w14:paraId="32A77F7F" w14:textId="77777777" w:rsidR="00783121" w:rsidRPr="001B4A02" w:rsidRDefault="00783121" w:rsidP="00ED48A3">
      <w:pPr>
        <w:ind w:left="0" w:firstLine="0"/>
        <w:rPr>
          <w:u w:val="single"/>
        </w:rPr>
      </w:pPr>
    </w:p>
    <w:p w14:paraId="5ED2F803" w14:textId="77777777" w:rsidR="00783121" w:rsidRPr="001B4A02" w:rsidRDefault="00000000" w:rsidP="003B610F">
      <w:pPr>
        <w:keepNext/>
        <w:ind w:left="0" w:firstLine="0"/>
      </w:pPr>
      <w:r w:rsidRPr="001B4A02">
        <w:rPr>
          <w:u w:val="single"/>
        </w:rPr>
        <w:t>Autoimunitní procesy</w:t>
      </w:r>
    </w:p>
    <w:p w14:paraId="5E8172DD" w14:textId="77777777" w:rsidR="00783121" w:rsidRPr="001B4A02" w:rsidRDefault="00783121" w:rsidP="003B610F">
      <w:pPr>
        <w:keepNext/>
        <w:ind w:left="0" w:firstLine="0"/>
      </w:pPr>
    </w:p>
    <w:p w14:paraId="27207814" w14:textId="77777777" w:rsidR="00783121" w:rsidRPr="001B4A02" w:rsidRDefault="00000000" w:rsidP="00ED48A3">
      <w:pPr>
        <w:ind w:left="0" w:firstLine="0"/>
      </w:pPr>
      <w:r w:rsidRPr="001B4A02">
        <w:t>Léčba přípravkem Humira může vést ke tvorbě autoimunitních protilátek. Dopad dlouhodobé léčby přípravkem Humira na rozvoj autoimunitních onemocnění není znám. Jestliže se u pacienta v souvislosti s léčbou přípravkem Humira vyvinou symptomy, svědčící pro lupus-like syndrom</w:t>
      </w:r>
      <w:r w:rsidR="002378E0">
        <w:t xml:space="preserve"> a </w:t>
      </w:r>
      <w:r w:rsidRPr="001B4A02">
        <w:t>má-li pozitivní protilátky proti dvoušroubovici DNA, pak u něj léčba přípravkem Humira nesmí dále pokračovat (viz bod 4.8).</w:t>
      </w:r>
    </w:p>
    <w:p w14:paraId="23AB7168" w14:textId="77777777" w:rsidR="00783121" w:rsidRPr="001B4A02" w:rsidRDefault="00783121" w:rsidP="00ED48A3">
      <w:pPr>
        <w:ind w:left="0" w:firstLine="0"/>
      </w:pPr>
    </w:p>
    <w:p w14:paraId="032A69F8" w14:textId="77777777" w:rsidR="00783121" w:rsidRPr="001B4A02" w:rsidRDefault="00000000" w:rsidP="00ED48A3">
      <w:pPr>
        <w:keepNext/>
        <w:ind w:left="0" w:firstLine="0"/>
      </w:pPr>
      <w:r w:rsidRPr="001B4A02">
        <w:rPr>
          <w:u w:val="single"/>
        </w:rPr>
        <w:t>Současné podávání biologických DMARD nebo antagonistů TNF</w:t>
      </w:r>
    </w:p>
    <w:p w14:paraId="0D2FF1A4" w14:textId="77777777" w:rsidR="00783121" w:rsidRPr="001B4A02" w:rsidRDefault="00783121" w:rsidP="00ED48A3">
      <w:pPr>
        <w:keepNext/>
        <w:ind w:left="0" w:firstLine="0"/>
      </w:pPr>
    </w:p>
    <w:p w14:paraId="0355C9F2" w14:textId="77777777" w:rsidR="00783121" w:rsidRPr="001B4A02" w:rsidRDefault="00000000" w:rsidP="00ED48A3">
      <w:pPr>
        <w:ind w:left="0" w:firstLine="0"/>
        <w:rPr>
          <w:szCs w:val="24"/>
        </w:rPr>
      </w:pPr>
      <w:r w:rsidRPr="001B4A02">
        <w:rPr>
          <w:szCs w:val="24"/>
        </w:rPr>
        <w:t>V klinických studiích sledujících současné podávání anakinry</w:t>
      </w:r>
      <w:r w:rsidR="002378E0">
        <w:rPr>
          <w:szCs w:val="24"/>
        </w:rPr>
        <w:t xml:space="preserve"> a </w:t>
      </w:r>
      <w:r w:rsidRPr="001B4A02">
        <w:rPr>
          <w:szCs w:val="24"/>
        </w:rPr>
        <w:t>dalšího antagonisty TNF – etanerceptu, byly pozorovány závažné infekce, přičemž nebyl zjištěn žádný další klinický přínos v porovnání s monoterapií etanerceptem. Vzhledem k původu nežádoucích účinků pozorovaných při kombinované léčbě etanerceptem</w:t>
      </w:r>
      <w:r w:rsidR="002378E0">
        <w:rPr>
          <w:szCs w:val="24"/>
        </w:rPr>
        <w:t xml:space="preserve"> a </w:t>
      </w:r>
      <w:r w:rsidRPr="001B4A02">
        <w:rPr>
          <w:szCs w:val="24"/>
        </w:rPr>
        <w:t>anakinrou se mohou vyskytnout obdobné toxické projevy při podávání kombinace anakinry</w:t>
      </w:r>
      <w:r w:rsidR="002378E0">
        <w:rPr>
          <w:szCs w:val="24"/>
        </w:rPr>
        <w:t xml:space="preserve"> a </w:t>
      </w:r>
      <w:r w:rsidRPr="001B4A02">
        <w:rPr>
          <w:szCs w:val="24"/>
        </w:rPr>
        <w:t>jiných antagonistů TNF. Proto se nedoporučuje používat kombinaci adalimumabu</w:t>
      </w:r>
      <w:r w:rsidR="002378E0">
        <w:rPr>
          <w:szCs w:val="24"/>
        </w:rPr>
        <w:t xml:space="preserve"> a </w:t>
      </w:r>
      <w:r w:rsidRPr="001B4A02">
        <w:rPr>
          <w:szCs w:val="24"/>
        </w:rPr>
        <w:t>anakinry (viz bod 4.5).</w:t>
      </w:r>
    </w:p>
    <w:p w14:paraId="0D30F737" w14:textId="77777777" w:rsidR="00783121" w:rsidRPr="001B4A02" w:rsidRDefault="00783121" w:rsidP="00ED48A3">
      <w:pPr>
        <w:ind w:left="0" w:firstLine="0"/>
        <w:rPr>
          <w:u w:val="single"/>
        </w:rPr>
      </w:pPr>
    </w:p>
    <w:p w14:paraId="2A88A6F1" w14:textId="77777777" w:rsidR="00783121" w:rsidRPr="001B4A02" w:rsidRDefault="00000000" w:rsidP="00ED48A3">
      <w:pPr>
        <w:pStyle w:val="EMEANormal"/>
        <w:tabs>
          <w:tab w:val="clear" w:pos="562"/>
        </w:tabs>
        <w:suppressAutoHyphens w:val="0"/>
        <w:rPr>
          <w:lang w:val="cs-CZ"/>
        </w:rPr>
      </w:pPr>
      <w:r w:rsidRPr="001B4A02">
        <w:rPr>
          <w:lang w:val="cs-CZ"/>
        </w:rPr>
        <w:t xml:space="preserve">Současné </w:t>
      </w:r>
      <w:r w:rsidR="005858A7" w:rsidRPr="001B4A02">
        <w:rPr>
          <w:lang w:val="cs-CZ"/>
        </w:rPr>
        <w:t>po</w:t>
      </w:r>
      <w:r w:rsidRPr="001B4A02">
        <w:rPr>
          <w:lang w:val="cs-CZ"/>
        </w:rPr>
        <w:t>užívání adalimumabu spolu s jinými biologickými DMARD (např. anakinra</w:t>
      </w:r>
      <w:r w:rsidR="002378E0">
        <w:rPr>
          <w:lang w:val="cs-CZ"/>
        </w:rPr>
        <w:t xml:space="preserve"> a </w:t>
      </w:r>
      <w:r w:rsidRPr="001B4A02">
        <w:rPr>
          <w:lang w:val="cs-CZ"/>
        </w:rPr>
        <w:t>abatacept) nebo jinými antagonisty TNF se nedoporučuje na základě možného zvýšení rizika infekcí včetně závažných infekcí, ale i možných farmakologických interakcí (viz bod 4.5).</w:t>
      </w:r>
    </w:p>
    <w:p w14:paraId="577933B2" w14:textId="77777777" w:rsidR="00783121" w:rsidRPr="001B4A02" w:rsidRDefault="00783121" w:rsidP="00ED48A3">
      <w:pPr>
        <w:ind w:left="0" w:firstLine="0"/>
      </w:pPr>
    </w:p>
    <w:p w14:paraId="5FC1218B" w14:textId="77777777" w:rsidR="00783121" w:rsidRPr="001B4A02" w:rsidRDefault="00000000" w:rsidP="003B610F">
      <w:pPr>
        <w:keepNext/>
        <w:rPr>
          <w:u w:val="single"/>
        </w:rPr>
      </w:pPr>
      <w:r w:rsidRPr="001B4A02">
        <w:rPr>
          <w:u w:val="single"/>
        </w:rPr>
        <w:t>Chirurgické výkony</w:t>
      </w:r>
    </w:p>
    <w:p w14:paraId="0F30CCFB" w14:textId="77777777" w:rsidR="00783121" w:rsidRPr="001B4A02" w:rsidRDefault="00783121" w:rsidP="003B610F">
      <w:pPr>
        <w:keepNext/>
        <w:rPr>
          <w:u w:val="single"/>
        </w:rPr>
      </w:pPr>
    </w:p>
    <w:p w14:paraId="5E3479D8" w14:textId="77777777" w:rsidR="00783121" w:rsidRPr="001B4A02" w:rsidRDefault="00000000" w:rsidP="00ED48A3">
      <w:pPr>
        <w:ind w:left="0" w:firstLine="0"/>
      </w:pPr>
      <w:r w:rsidRPr="001B4A02">
        <w:t>U pacientů léčených přípravkem Humira existují jen omezené zkušenosti týkající se bezpečnosti přípravku v souvislosti s chirurgickými výkony. Při plánování chirurgického výkonu je třeba vzít v úvahu dlouhý poločas adalimumabu. Pacient, u kterého je nutná operace během léčby přípravkem Humira, musí být pečlivě sledován z hlediska vzniku infekcí</w:t>
      </w:r>
      <w:r w:rsidR="002378E0">
        <w:t xml:space="preserve"> a </w:t>
      </w:r>
      <w:r w:rsidRPr="001B4A02">
        <w:t>musí být provedena příslušná opatření. U pacientů léčených přípravkem Humira, u kterých byla provedena arthroplastika, existují jen omezené zkušenosti týkající se bezpečnosti přípravku.</w:t>
      </w:r>
    </w:p>
    <w:p w14:paraId="1E334A4F" w14:textId="77777777" w:rsidR="00783121" w:rsidRPr="001B4A02" w:rsidRDefault="00783121" w:rsidP="00ED48A3">
      <w:pPr>
        <w:ind w:left="0" w:firstLine="0"/>
      </w:pPr>
    </w:p>
    <w:p w14:paraId="30B66F53" w14:textId="77777777" w:rsidR="00783121" w:rsidRPr="001B4A02" w:rsidRDefault="00000000" w:rsidP="00603F6E">
      <w:pPr>
        <w:keepNext/>
        <w:ind w:left="0" w:firstLine="0"/>
        <w:rPr>
          <w:u w:val="single"/>
        </w:rPr>
      </w:pPr>
      <w:r w:rsidRPr="001B4A02">
        <w:rPr>
          <w:u w:val="single"/>
        </w:rPr>
        <w:t>Obstrukce tenkého střeva</w:t>
      </w:r>
    </w:p>
    <w:p w14:paraId="61D98696" w14:textId="77777777" w:rsidR="00783121" w:rsidRPr="001B4A02" w:rsidRDefault="00783121" w:rsidP="00603F6E">
      <w:pPr>
        <w:keepNext/>
        <w:ind w:left="0" w:firstLine="0"/>
      </w:pPr>
    </w:p>
    <w:p w14:paraId="710D149C" w14:textId="77777777" w:rsidR="00783121" w:rsidRPr="001B4A02" w:rsidRDefault="00000000" w:rsidP="003B610F">
      <w:pPr>
        <w:ind w:left="0" w:firstLine="0"/>
      </w:pPr>
      <w:r w:rsidRPr="001B4A02">
        <w:t>Selhání odpovědi na léčbu u</w:t>
      </w:r>
      <w:r w:rsidR="009B61F3" w:rsidRPr="001B4A02">
        <w:t> </w:t>
      </w:r>
      <w:r w:rsidRPr="001B4A02">
        <w:t>Crohnovy choroby může signalizovat výskyt fixované fibrotické striktury, která si může vyžádat chirurgickou léčbu. Dostupné údaje naznačují, že přípravek Humira nezhoršuje ani nezpůsobuje striktury.</w:t>
      </w:r>
    </w:p>
    <w:p w14:paraId="1DDCA8FF" w14:textId="77777777" w:rsidR="00783121" w:rsidRPr="001B4A02" w:rsidRDefault="00783121" w:rsidP="00ED48A3">
      <w:pPr>
        <w:ind w:left="0" w:firstLine="0"/>
      </w:pPr>
    </w:p>
    <w:p w14:paraId="354C1016" w14:textId="77777777" w:rsidR="00783121" w:rsidRPr="001B4A02" w:rsidRDefault="00000000" w:rsidP="003B610F">
      <w:pPr>
        <w:keepNext/>
        <w:ind w:left="0" w:firstLine="0"/>
        <w:rPr>
          <w:u w:val="single"/>
        </w:rPr>
      </w:pPr>
      <w:r w:rsidRPr="001B4A02">
        <w:rPr>
          <w:u w:val="single"/>
        </w:rPr>
        <w:t>Starší pacienti</w:t>
      </w:r>
    </w:p>
    <w:p w14:paraId="4211E07A" w14:textId="77777777" w:rsidR="00783121" w:rsidRPr="001B4A02" w:rsidRDefault="00783121" w:rsidP="003B610F">
      <w:pPr>
        <w:keepNext/>
        <w:ind w:left="0" w:firstLine="0"/>
      </w:pPr>
    </w:p>
    <w:p w14:paraId="42DD82E9" w14:textId="77777777" w:rsidR="00783121" w:rsidRPr="001B4A02" w:rsidRDefault="00000000" w:rsidP="00ED48A3">
      <w:pPr>
        <w:ind w:left="0" w:firstLine="0"/>
      </w:pPr>
      <w:r w:rsidRPr="001B4A02">
        <w:t>Frekvence závažných infekcí u</w:t>
      </w:r>
      <w:r w:rsidR="009B61F3" w:rsidRPr="001B4A02">
        <w:t> </w:t>
      </w:r>
      <w:r w:rsidRPr="001B4A02">
        <w:t>pacientů ve věku nad 65 let (3,7</w:t>
      </w:r>
      <w:r w:rsidR="006008CB">
        <w:t> %</w:t>
      </w:r>
      <w:r w:rsidRPr="001B4A02">
        <w:t>), léčených přípravkem Humira, byla vyšší než u</w:t>
      </w:r>
      <w:r w:rsidR="009B61F3" w:rsidRPr="001B4A02">
        <w:t> </w:t>
      </w:r>
      <w:r w:rsidRPr="001B4A02">
        <w:t>pacientů ve věku do 65 let (1,5</w:t>
      </w:r>
      <w:r w:rsidR="006008CB">
        <w:t> %</w:t>
      </w:r>
      <w:r w:rsidRPr="001B4A02">
        <w:t>). Některé z těchto infekcí měly fatální zakončení. Při léčbě starších pacientů je zapotřebí věnovat obzvláštní pozornost riziku vzniku infekcí.</w:t>
      </w:r>
    </w:p>
    <w:p w14:paraId="46F3EF46" w14:textId="77777777" w:rsidR="00783121" w:rsidRPr="001B4A02" w:rsidRDefault="00783121" w:rsidP="00ED48A3">
      <w:pPr>
        <w:ind w:left="0" w:firstLine="0"/>
      </w:pPr>
    </w:p>
    <w:p w14:paraId="172F26FA" w14:textId="77777777" w:rsidR="00783121" w:rsidRPr="001B4A02" w:rsidRDefault="00000000" w:rsidP="003B610F">
      <w:pPr>
        <w:keepNext/>
        <w:ind w:left="0" w:firstLine="0"/>
        <w:rPr>
          <w:u w:val="single"/>
        </w:rPr>
      </w:pPr>
      <w:r w:rsidRPr="001B4A02">
        <w:rPr>
          <w:u w:val="single"/>
        </w:rPr>
        <w:t>Pediatrická populace</w:t>
      </w:r>
    </w:p>
    <w:p w14:paraId="06F6F06F" w14:textId="77777777" w:rsidR="00783121" w:rsidRPr="001B4A02" w:rsidRDefault="00783121" w:rsidP="003B610F">
      <w:pPr>
        <w:keepNext/>
        <w:ind w:left="0" w:firstLine="0"/>
      </w:pPr>
    </w:p>
    <w:p w14:paraId="4A727ADC" w14:textId="77777777" w:rsidR="00E7724C" w:rsidRPr="001B4A02" w:rsidRDefault="00000000" w:rsidP="004C2FD7">
      <w:r w:rsidRPr="001B4A02">
        <w:t>Viz Očkování výše.</w:t>
      </w:r>
    </w:p>
    <w:p w14:paraId="24E02E07" w14:textId="77777777" w:rsidR="00E7724C" w:rsidRDefault="00E7724C" w:rsidP="00ED48A3">
      <w:pPr>
        <w:rPr>
          <w:ins w:id="8444" w:author="Abbvie02" w:date="2025-05-16T11:47:00Z"/>
        </w:rPr>
      </w:pPr>
    </w:p>
    <w:p w14:paraId="47528FCB" w14:textId="77777777" w:rsidR="00864963" w:rsidRPr="00B74377" w:rsidRDefault="00000000" w:rsidP="00864963">
      <w:pPr>
        <w:keepNext/>
        <w:rPr>
          <w:ins w:id="8445" w:author="Abbvie02" w:date="2025-05-16T11:47:00Z"/>
          <w:noProof/>
          <w:szCs w:val="22"/>
          <w:u w:val="single"/>
        </w:rPr>
      </w:pPr>
      <w:ins w:id="8446" w:author="Abbvie02" w:date="2025-05-16T11:47:00Z">
        <w:r w:rsidRPr="00B74377">
          <w:rPr>
            <w:szCs w:val="22"/>
            <w:u w:val="single"/>
          </w:rPr>
          <w:t>Pomocné látky se známým účinkem</w:t>
        </w:r>
      </w:ins>
    </w:p>
    <w:p w14:paraId="45634300" w14:textId="77777777" w:rsidR="00864963" w:rsidRDefault="00864963" w:rsidP="00864963">
      <w:pPr>
        <w:keepNext/>
        <w:rPr>
          <w:ins w:id="8447" w:author="Abbvie02" w:date="2025-05-16T11:47:00Z"/>
          <w:szCs w:val="22"/>
        </w:rPr>
      </w:pPr>
    </w:p>
    <w:p w14:paraId="0C0E3231" w14:textId="63DDC935" w:rsidR="00864963" w:rsidRPr="00653460" w:rsidRDefault="00000000">
      <w:pPr>
        <w:ind w:left="0" w:firstLine="0"/>
        <w:rPr>
          <w:ins w:id="8448" w:author="Abbvie02" w:date="2025-05-16T11:47:00Z"/>
        </w:rPr>
        <w:pPrChange w:id="8449" w:author="AbbVie1" w:date="2025-09-08T12:49:00Z">
          <w:pPr/>
        </w:pPrChange>
      </w:pPr>
      <w:ins w:id="8450" w:author="Abbvie02" w:date="2025-05-16T11:47:00Z">
        <w:r>
          <w:rPr>
            <w:szCs w:val="22"/>
          </w:rPr>
          <w:t>Tento léčivý přípravek</w:t>
        </w:r>
        <w:r w:rsidRPr="00F767A1">
          <w:rPr>
            <w:szCs w:val="22"/>
          </w:rPr>
          <w:t xml:space="preserve"> obsahuje </w:t>
        </w:r>
        <w:r>
          <w:rPr>
            <w:szCs w:val="22"/>
          </w:rPr>
          <w:t>0,8</w:t>
        </w:r>
        <w:r w:rsidRPr="00F767A1">
          <w:rPr>
            <w:szCs w:val="22"/>
          </w:rPr>
          <w:t> mg polysorbátu 80</w:t>
        </w:r>
        <w:r>
          <w:rPr>
            <w:szCs w:val="22"/>
          </w:rPr>
          <w:t xml:space="preserve"> v jedné 80mg dávce</w:t>
        </w:r>
        <w:r w:rsidRPr="00F767A1">
          <w:rPr>
            <w:szCs w:val="22"/>
          </w:rPr>
          <w:t>.</w:t>
        </w:r>
      </w:ins>
      <w:ins w:id="8451" w:author="AbbVie1" w:date="2025-09-08T12:49:00Z">
        <w:r w:rsidR="006B3BC6">
          <w:rPr>
            <w:szCs w:val="22"/>
          </w:rPr>
          <w:t xml:space="preserve"> Polysorbáty mohou způsobit alergické reakce.</w:t>
        </w:r>
      </w:ins>
    </w:p>
    <w:p w14:paraId="17A83774" w14:textId="77777777" w:rsidR="00864963" w:rsidRPr="001B4A02" w:rsidRDefault="00864963" w:rsidP="00ED48A3"/>
    <w:p w14:paraId="2B6412B7" w14:textId="77777777" w:rsidR="00783121" w:rsidRPr="001B4A02" w:rsidRDefault="00000000" w:rsidP="00A15B7A">
      <w:pPr>
        <w:keepNext/>
        <w:outlineLvl w:val="1"/>
        <w:rPr>
          <w:b/>
        </w:rPr>
      </w:pPr>
      <w:r w:rsidRPr="001B4A02">
        <w:rPr>
          <w:b/>
        </w:rPr>
        <w:t>4.5</w:t>
      </w:r>
      <w:r w:rsidRPr="001B4A02">
        <w:rPr>
          <w:b/>
        </w:rPr>
        <w:tab/>
        <w:t>Interakce s jinými léčivými přípravky</w:t>
      </w:r>
      <w:r w:rsidR="002378E0">
        <w:rPr>
          <w:b/>
        </w:rPr>
        <w:t xml:space="preserve"> a </w:t>
      </w:r>
      <w:r w:rsidRPr="001B4A02">
        <w:rPr>
          <w:b/>
        </w:rPr>
        <w:t>jiné formy interakce</w:t>
      </w:r>
    </w:p>
    <w:p w14:paraId="392ECB73" w14:textId="77777777" w:rsidR="00E7724C" w:rsidRPr="001B4A02" w:rsidRDefault="00E7724C" w:rsidP="003B610F">
      <w:pPr>
        <w:pStyle w:val="EMEANormal"/>
        <w:keepNext/>
        <w:rPr>
          <w:lang w:val="cs-CZ"/>
        </w:rPr>
      </w:pPr>
    </w:p>
    <w:p w14:paraId="533FD3DE" w14:textId="77777777" w:rsidR="00783121" w:rsidRPr="001B4A02" w:rsidRDefault="00000000" w:rsidP="00ED48A3">
      <w:pPr>
        <w:ind w:left="0" w:firstLine="0"/>
      </w:pPr>
      <w:r w:rsidRPr="001B4A02">
        <w:t>Přípravek Humira byl studován u</w:t>
      </w:r>
      <w:r w:rsidR="005E24C4" w:rsidRPr="001B4A02">
        <w:t> </w:t>
      </w:r>
      <w:r w:rsidRPr="001B4A02">
        <w:t>pacientů s revmatoidní artritidou</w:t>
      </w:r>
      <w:r w:rsidR="003B2878" w:rsidRPr="001B4A02">
        <w:t>,</w:t>
      </w:r>
      <w:r w:rsidRPr="001B4A02">
        <w:t xml:space="preserve"> polyartikulární juvenilní idiopatickou artritidou</w:t>
      </w:r>
      <w:r w:rsidR="002378E0">
        <w:t xml:space="preserve"> a </w:t>
      </w:r>
      <w:r w:rsidRPr="001B4A02">
        <w:t>psoriatickou artritidou, u</w:t>
      </w:r>
      <w:r w:rsidR="005E24C4" w:rsidRPr="001B4A02">
        <w:t> </w:t>
      </w:r>
      <w:r w:rsidRPr="001B4A02">
        <w:t>kterých byl podáván v monoterapii nebo v kombinaci s methotrexátem. Při podávání přípravku Humira v kombinaci s methotrexátem byla v porovnání s monoterapií tvorba protilátek nižší. Podávání přípravku Humira bez methotrexátu vedlo ke zvýšené tvorbě protilátek, zvýšené clearance</w:t>
      </w:r>
      <w:r w:rsidR="002378E0">
        <w:t xml:space="preserve"> a </w:t>
      </w:r>
      <w:r w:rsidRPr="001B4A02">
        <w:t>snížené účinnosti adalimumabu (viz bod 5.1).</w:t>
      </w:r>
    </w:p>
    <w:p w14:paraId="52AFC45D" w14:textId="77777777" w:rsidR="00783121" w:rsidRPr="001B4A02" w:rsidRDefault="00783121" w:rsidP="00ED48A3">
      <w:pPr>
        <w:ind w:left="0" w:firstLine="0"/>
      </w:pPr>
    </w:p>
    <w:p w14:paraId="3C0D0006" w14:textId="77777777" w:rsidR="00783121" w:rsidRPr="001B4A02" w:rsidRDefault="00000000" w:rsidP="00ED48A3">
      <w:pPr>
        <w:ind w:left="0" w:firstLine="0"/>
      </w:pPr>
      <w:r w:rsidRPr="001B4A02">
        <w:t>Kombinovat přípravek Humira s</w:t>
      </w:r>
      <w:r w:rsidR="005E24C4" w:rsidRPr="001B4A02">
        <w:t> </w:t>
      </w:r>
      <w:r w:rsidRPr="001B4A02">
        <w:t>anakinrou se nedoporučuje (viz bod 4.4 „Současné podávání biologických DMARD nebo antagonistů TNF“).</w:t>
      </w:r>
    </w:p>
    <w:p w14:paraId="59C6B0A8" w14:textId="77777777" w:rsidR="00783121" w:rsidRPr="001B4A02" w:rsidRDefault="00783121" w:rsidP="00ED48A3">
      <w:pPr>
        <w:pStyle w:val="EMEANormal"/>
        <w:tabs>
          <w:tab w:val="clear" w:pos="562"/>
        </w:tabs>
        <w:suppressAutoHyphens w:val="0"/>
        <w:rPr>
          <w:lang w:val="cs-CZ"/>
        </w:rPr>
      </w:pPr>
    </w:p>
    <w:p w14:paraId="36740C00" w14:textId="77777777" w:rsidR="00E7724C" w:rsidRPr="001B4A02" w:rsidRDefault="00000000" w:rsidP="00ED48A3">
      <w:pPr>
        <w:autoSpaceDE w:val="0"/>
        <w:autoSpaceDN w:val="0"/>
        <w:adjustRightInd w:val="0"/>
        <w:ind w:left="0" w:firstLine="0"/>
      </w:pPr>
      <w:r w:rsidRPr="001B4A02">
        <w:t>Kombinovat přípravek Humira s</w:t>
      </w:r>
      <w:r w:rsidR="005E24C4" w:rsidRPr="001B4A02">
        <w:t> </w:t>
      </w:r>
      <w:r w:rsidRPr="001B4A02">
        <w:t xml:space="preserve">abataceptem se nedoporučuje (viz bod 4.4 „Současné </w:t>
      </w:r>
      <w:r w:rsidR="005E24C4" w:rsidRPr="001B4A02">
        <w:t>podávání</w:t>
      </w:r>
      <w:r w:rsidRPr="001B4A02">
        <w:t xml:space="preserve"> biologických DMARD nebo antagonistů TNF“).</w:t>
      </w:r>
    </w:p>
    <w:p w14:paraId="1CFD3637" w14:textId="77777777" w:rsidR="00E7724C" w:rsidRPr="001B4A02" w:rsidRDefault="00E7724C" w:rsidP="00ED48A3">
      <w:pPr>
        <w:autoSpaceDE w:val="0"/>
        <w:autoSpaceDN w:val="0"/>
        <w:adjustRightInd w:val="0"/>
      </w:pPr>
    </w:p>
    <w:p w14:paraId="3915AA22" w14:textId="77777777" w:rsidR="00783121" w:rsidRPr="001B4A02" w:rsidRDefault="00000000" w:rsidP="00A15B7A">
      <w:pPr>
        <w:keepNext/>
        <w:outlineLvl w:val="1"/>
        <w:rPr>
          <w:b/>
        </w:rPr>
      </w:pPr>
      <w:r w:rsidRPr="001B4A02">
        <w:rPr>
          <w:b/>
        </w:rPr>
        <w:t>4.6</w:t>
      </w:r>
      <w:r w:rsidRPr="001B4A02">
        <w:rPr>
          <w:b/>
        </w:rPr>
        <w:tab/>
        <w:t>Fertilita, těhotenství</w:t>
      </w:r>
      <w:r w:rsidR="002378E0">
        <w:rPr>
          <w:b/>
        </w:rPr>
        <w:t xml:space="preserve"> a </w:t>
      </w:r>
      <w:r w:rsidRPr="001B4A02">
        <w:rPr>
          <w:b/>
        </w:rPr>
        <w:t>kojení</w:t>
      </w:r>
    </w:p>
    <w:p w14:paraId="0F2C9F24" w14:textId="77777777" w:rsidR="00783121" w:rsidRPr="001B4A02" w:rsidRDefault="00783121" w:rsidP="00ED48A3">
      <w:pPr>
        <w:keepNext/>
        <w:autoSpaceDE w:val="0"/>
        <w:autoSpaceDN w:val="0"/>
        <w:adjustRightInd w:val="0"/>
        <w:rPr>
          <w:u w:val="single"/>
        </w:rPr>
      </w:pPr>
    </w:p>
    <w:p w14:paraId="3DE1D1D0" w14:textId="77777777" w:rsidR="00783121" w:rsidRPr="001B4A02" w:rsidRDefault="00000000" w:rsidP="00ED48A3">
      <w:pPr>
        <w:keepNext/>
        <w:ind w:left="0" w:firstLine="0"/>
        <w:rPr>
          <w:u w:val="single"/>
        </w:rPr>
      </w:pPr>
      <w:r w:rsidRPr="001B4A02">
        <w:rPr>
          <w:u w:val="single"/>
        </w:rPr>
        <w:t>Ženy ve fertilním věku</w:t>
      </w:r>
    </w:p>
    <w:p w14:paraId="1B3AF913" w14:textId="77777777" w:rsidR="00783121" w:rsidRPr="001B4A02" w:rsidRDefault="00783121" w:rsidP="00ED48A3">
      <w:pPr>
        <w:keepNext/>
        <w:ind w:left="0" w:firstLine="0"/>
      </w:pPr>
    </w:p>
    <w:p w14:paraId="4071FF95" w14:textId="77777777" w:rsidR="00783121" w:rsidRPr="001B4A02" w:rsidRDefault="00000000" w:rsidP="00ED48A3">
      <w:pPr>
        <w:ind w:left="0" w:firstLine="0"/>
      </w:pPr>
      <w:r w:rsidRPr="001B4A02">
        <w:t>Žen</w:t>
      </w:r>
      <w:r w:rsidR="00914D06">
        <w:t>y</w:t>
      </w:r>
      <w:r w:rsidRPr="001B4A02">
        <w:t xml:space="preserve"> ve fertilním věku </w:t>
      </w:r>
      <w:r w:rsidR="00914D06">
        <w:t>mají zvážit použití vhodné antikoncepce k prevenci těhotenství</w:t>
      </w:r>
      <w:r w:rsidR="002378E0">
        <w:t xml:space="preserve"> a </w:t>
      </w:r>
      <w:r w:rsidR="00914D06">
        <w:t>pokračovat v jejím užívání</w:t>
      </w:r>
      <w:r w:rsidR="00914D06" w:rsidRPr="001B4A02">
        <w:t xml:space="preserve"> </w:t>
      </w:r>
      <w:r w:rsidRPr="001B4A02">
        <w:t>po dobu nejméně pěti měsíců po posledním podání přípravku Humira.</w:t>
      </w:r>
    </w:p>
    <w:p w14:paraId="7066BB03" w14:textId="77777777" w:rsidR="00783121" w:rsidRPr="001B4A02" w:rsidRDefault="00783121" w:rsidP="00ED48A3">
      <w:pPr>
        <w:ind w:left="0" w:firstLine="0"/>
        <w:rPr>
          <w:u w:val="single"/>
        </w:rPr>
      </w:pPr>
    </w:p>
    <w:p w14:paraId="302151A9" w14:textId="77777777" w:rsidR="00783121" w:rsidRPr="001B4A02" w:rsidRDefault="00000000" w:rsidP="003B610F">
      <w:pPr>
        <w:keepNext/>
        <w:ind w:left="0" w:firstLine="0"/>
        <w:rPr>
          <w:u w:val="single"/>
        </w:rPr>
      </w:pPr>
      <w:r w:rsidRPr="001B4A02">
        <w:rPr>
          <w:u w:val="single"/>
        </w:rPr>
        <w:t>Těhotenství</w:t>
      </w:r>
    </w:p>
    <w:p w14:paraId="094685B5" w14:textId="77777777" w:rsidR="00783121" w:rsidRPr="001B4A02" w:rsidRDefault="00783121" w:rsidP="003B610F">
      <w:pPr>
        <w:keepNext/>
        <w:ind w:left="0" w:firstLine="0"/>
      </w:pPr>
    </w:p>
    <w:p w14:paraId="718424E7" w14:textId="77777777" w:rsidR="00CB04A0" w:rsidRDefault="00000000" w:rsidP="00CB04A0">
      <w:pPr>
        <w:ind w:left="0" w:firstLine="0"/>
      </w:pPr>
      <w:r w:rsidRPr="0051408F">
        <w:t>Z</w:t>
      </w:r>
      <w:r>
        <w:t> </w:t>
      </w:r>
      <w:r w:rsidRPr="0051408F">
        <w:t>velkého počtu přibližně 2</w:t>
      </w:r>
      <w:r>
        <w:t> </w:t>
      </w:r>
      <w:r w:rsidRPr="0051408F">
        <w:t xml:space="preserve">100 do konce gravidity prospektivně sledovaných těhotenství </w:t>
      </w:r>
      <w:r w:rsidR="00D43B94" w:rsidRPr="0051408F">
        <w:t>vedoucích k</w:t>
      </w:r>
      <w:r w:rsidR="00D43B94">
        <w:t> </w:t>
      </w:r>
      <w:r w:rsidR="00D43B94" w:rsidRPr="0051408F">
        <w:t xml:space="preserve">porodům </w:t>
      </w:r>
      <w:r w:rsidR="00D43B94">
        <w:t xml:space="preserve">živých </w:t>
      </w:r>
      <w:r w:rsidR="00D43B94" w:rsidRPr="0051408F">
        <w:t xml:space="preserve">dětí </w:t>
      </w:r>
      <w:r w:rsidRPr="0051408F">
        <w:t>u</w:t>
      </w:r>
      <w:r>
        <w:t> </w:t>
      </w:r>
      <w:r w:rsidRPr="0051408F">
        <w:t>žen léčených adalimumabem</w:t>
      </w:r>
      <w:r w:rsidR="00D43B94">
        <w:t>,</w:t>
      </w:r>
      <w:r w:rsidRPr="0051408F">
        <w:t xml:space="preserve"> z</w:t>
      </w:r>
      <w:r>
        <w:t> </w:t>
      </w:r>
      <w:r w:rsidRPr="0051408F">
        <w:t>nichž více než 1</w:t>
      </w:r>
      <w:r>
        <w:t> </w:t>
      </w:r>
      <w:r w:rsidRPr="0051408F">
        <w:t>500</w:t>
      </w:r>
      <w:r>
        <w:t xml:space="preserve"> bylo</w:t>
      </w:r>
      <w:r w:rsidRPr="0051408F">
        <w:t xml:space="preserve"> léčen</w:t>
      </w:r>
      <w:r>
        <w:t>o</w:t>
      </w:r>
      <w:r w:rsidRPr="0051408F">
        <w:t xml:space="preserve"> adalimumabem v</w:t>
      </w:r>
      <w:r>
        <w:t> </w:t>
      </w:r>
      <w:r w:rsidRPr="0051408F">
        <w:t>1. trimestru, nevyplývá zvýšené riziko vrozených malformací u</w:t>
      </w:r>
      <w:r>
        <w:t> </w:t>
      </w:r>
      <w:r w:rsidRPr="0051408F">
        <w:t>novorozence.</w:t>
      </w:r>
    </w:p>
    <w:p w14:paraId="75889BF0" w14:textId="77777777" w:rsidR="00CB04A0" w:rsidRDefault="00CB04A0" w:rsidP="00CB04A0">
      <w:pPr>
        <w:ind w:left="0" w:firstLine="0"/>
      </w:pPr>
    </w:p>
    <w:p w14:paraId="14D3474B" w14:textId="77777777" w:rsidR="00CB04A0" w:rsidRDefault="00000000" w:rsidP="00CB04A0">
      <w:pPr>
        <w:ind w:left="0" w:firstLine="0"/>
      </w:pPr>
      <w:r>
        <w:t>Do</w:t>
      </w:r>
      <w:r w:rsidRPr="004A21D8">
        <w:t xml:space="preserve"> prospektivní</w:t>
      </w:r>
      <w:r>
        <w:t>ho</w:t>
      </w:r>
      <w:r w:rsidRPr="004A21D8">
        <w:t xml:space="preserve"> kohortové</w:t>
      </w:r>
      <w:r>
        <w:t>ho</w:t>
      </w:r>
      <w:r w:rsidRPr="004A21D8">
        <w:t xml:space="preserve"> registru bylo zařazeno 257 žen s</w:t>
      </w:r>
      <w:r>
        <w:t> </w:t>
      </w:r>
      <w:r w:rsidRPr="004A21D8">
        <w:t>revmatoidní artritidou (RA) nebo Crohnovou chorobou (CD) léčených adalimumabem alespoň během prvního trimestru</w:t>
      </w:r>
      <w:r w:rsidR="002378E0">
        <w:t xml:space="preserve"> a </w:t>
      </w:r>
      <w:r w:rsidRPr="004A21D8">
        <w:t>120 žen s</w:t>
      </w:r>
      <w:r>
        <w:t> </w:t>
      </w:r>
      <w:r w:rsidRPr="004A21D8">
        <w:t>RA nebo CD neléčený</w:t>
      </w:r>
      <w:r>
        <w:t>ch</w:t>
      </w:r>
      <w:r w:rsidRPr="004A21D8">
        <w:t xml:space="preserve"> adalimumabem. Primárním </w:t>
      </w:r>
      <w:r w:rsidR="00F76D5E">
        <w:t>cílovým parametrem</w:t>
      </w:r>
      <w:r w:rsidRPr="004A21D8">
        <w:t xml:space="preserve"> byl</w:t>
      </w:r>
      <w:r>
        <w:t>a prevalence vrozených</w:t>
      </w:r>
      <w:r w:rsidRPr="004A21D8">
        <w:t xml:space="preserve"> vad.</w:t>
      </w:r>
      <w:r>
        <w:t xml:space="preserve"> </w:t>
      </w:r>
      <w:r w:rsidRPr="005F4842">
        <w:t xml:space="preserve">Míra těhotenství ukončená alespoň jedním </w:t>
      </w:r>
      <w:r>
        <w:t>porodem živého dítěte</w:t>
      </w:r>
      <w:r w:rsidRPr="005F4842">
        <w:t xml:space="preserve"> s</w:t>
      </w:r>
      <w:r>
        <w:t> </w:t>
      </w:r>
      <w:r w:rsidRPr="005F4842">
        <w:t>významnou vrozenou vadou byla 6/69 (8,7</w:t>
      </w:r>
      <w:r>
        <w:t> </w:t>
      </w:r>
      <w:r w:rsidRPr="005F4842">
        <w:t>%) u</w:t>
      </w:r>
      <w:r>
        <w:t> </w:t>
      </w:r>
      <w:r w:rsidRPr="005F4842">
        <w:t>žen léčených adalimumabem s</w:t>
      </w:r>
      <w:r>
        <w:t> </w:t>
      </w:r>
      <w:r w:rsidRPr="005F4842">
        <w:t>RA</w:t>
      </w:r>
      <w:r w:rsidR="002378E0">
        <w:t xml:space="preserve"> a </w:t>
      </w:r>
      <w:r w:rsidRPr="005F4842">
        <w:t>5/74 (6,8</w:t>
      </w:r>
      <w:r>
        <w:t> </w:t>
      </w:r>
      <w:r w:rsidRPr="005F4842">
        <w:t>%) u</w:t>
      </w:r>
      <w:r>
        <w:t> </w:t>
      </w:r>
      <w:r w:rsidRPr="005F4842">
        <w:t>neléčených žen s</w:t>
      </w:r>
      <w:r>
        <w:t> </w:t>
      </w:r>
      <w:r w:rsidRPr="005F4842">
        <w:t>RA (neupravená OR 1,31, 95% CI 0,38</w:t>
      </w:r>
      <w:r>
        <w:t>–</w:t>
      </w:r>
      <w:r w:rsidRPr="005F4842">
        <w:t>4,52)</w:t>
      </w:r>
      <w:r w:rsidR="002378E0">
        <w:t xml:space="preserve"> a </w:t>
      </w:r>
      <w:r w:rsidRPr="005F4842">
        <w:t>16/152 (10,5</w:t>
      </w:r>
      <w:r>
        <w:t> </w:t>
      </w:r>
      <w:r w:rsidRPr="005F4842">
        <w:t>%) u</w:t>
      </w:r>
      <w:r>
        <w:t> </w:t>
      </w:r>
      <w:r w:rsidRPr="005F4842">
        <w:t>žen léčených adalimumabem s</w:t>
      </w:r>
      <w:r>
        <w:t> </w:t>
      </w:r>
      <w:r w:rsidRPr="005F4842">
        <w:t>CD</w:t>
      </w:r>
      <w:r w:rsidR="002378E0">
        <w:t xml:space="preserve"> a </w:t>
      </w:r>
      <w:r w:rsidRPr="005F4842">
        <w:t>3/32 (9,4</w:t>
      </w:r>
      <w:r>
        <w:t> </w:t>
      </w:r>
      <w:r w:rsidRPr="005F4842">
        <w:t>%) u</w:t>
      </w:r>
      <w:r>
        <w:t> </w:t>
      </w:r>
      <w:r w:rsidRPr="005F4842">
        <w:t>neléčených žen s</w:t>
      </w:r>
      <w:r>
        <w:t> </w:t>
      </w:r>
      <w:r w:rsidRPr="005F4842">
        <w:t>CD (neupraven</w:t>
      </w:r>
      <w:r>
        <w:t>á OR 1,14, 95% CI 0,31–4,16). U</w:t>
      </w:r>
      <w:r w:rsidRPr="005F4842">
        <w:t>praven</w:t>
      </w:r>
      <w:r>
        <w:t>á</w:t>
      </w:r>
      <w:r w:rsidRPr="005F4842">
        <w:t xml:space="preserve"> OR (vypočten</w:t>
      </w:r>
      <w:r>
        <w:t>á</w:t>
      </w:r>
      <w:r w:rsidRPr="005F4842">
        <w:t xml:space="preserve"> pro rozdíly při výchozím stavu) byl</w:t>
      </w:r>
      <w:r>
        <w:t>a</w:t>
      </w:r>
      <w:r w:rsidRPr="005F4842">
        <w:t xml:space="preserve"> 1,10 (95% CI 0,45</w:t>
      </w:r>
      <w:r>
        <w:t>–</w:t>
      </w:r>
      <w:r w:rsidRPr="005F4842">
        <w:t>2,73) s</w:t>
      </w:r>
      <w:r>
        <w:t> </w:t>
      </w:r>
      <w:r w:rsidRPr="005F4842">
        <w:t>kombinací RA</w:t>
      </w:r>
      <w:r w:rsidR="002378E0">
        <w:t xml:space="preserve"> a </w:t>
      </w:r>
      <w:r w:rsidRPr="005F4842">
        <w:t>CD. Mezi sekundárním</w:t>
      </w:r>
      <w:r>
        <w:t>i</w:t>
      </w:r>
      <w:r w:rsidRPr="005F4842">
        <w:t xml:space="preserve"> </w:t>
      </w:r>
      <w:r w:rsidR="00F76D5E">
        <w:t>cílovými parametry</w:t>
      </w:r>
      <w:r>
        <w:t xml:space="preserve"> (spontánní potraty, menší vrozené vady, předčasný porod, porod s vážnými nebo oportunními infekcemi)</w:t>
      </w:r>
      <w:r w:rsidRPr="005F4842">
        <w:t xml:space="preserve"> nebyly </w:t>
      </w:r>
      <w:r>
        <w:t xml:space="preserve">hlášeny </w:t>
      </w:r>
      <w:r w:rsidRPr="005F4842">
        <w:t xml:space="preserve">žádné </w:t>
      </w:r>
      <w:r>
        <w:t>výrazné</w:t>
      </w:r>
      <w:r w:rsidRPr="005F4842">
        <w:t xml:space="preserve"> rozdíly mezi ženami léčenými adalimumabem</w:t>
      </w:r>
      <w:r w:rsidR="002378E0">
        <w:t xml:space="preserve"> a </w:t>
      </w:r>
      <w:r>
        <w:t>neléčenými ženami,</w:t>
      </w:r>
      <w:r w:rsidR="002378E0">
        <w:t xml:space="preserve"> a </w:t>
      </w:r>
      <w:r>
        <w:t>zároveň</w:t>
      </w:r>
      <w:r w:rsidRPr="005F4842">
        <w:t xml:space="preserve"> nebyly hlášeny žádné porody mrtvého plodu nebo maligní stavy. Interpretace údajů může být ovlivněna metodologickými</w:t>
      </w:r>
      <w:r>
        <w:t xml:space="preserve"> limity </w:t>
      </w:r>
      <w:r w:rsidRPr="005F4842">
        <w:t xml:space="preserve">studie, včetně malé velikosti </w:t>
      </w:r>
      <w:r>
        <w:t>sledovaného soubor</w:t>
      </w:r>
      <w:r w:rsidRPr="005F4842">
        <w:t>u</w:t>
      </w:r>
      <w:r>
        <w:t xml:space="preserve"> pacientek</w:t>
      </w:r>
      <w:r w:rsidR="002378E0">
        <w:t xml:space="preserve"> a </w:t>
      </w:r>
      <w:r w:rsidRPr="005F4842">
        <w:t xml:space="preserve">nerandomizovaného </w:t>
      </w:r>
      <w:r>
        <w:t>designu studie</w:t>
      </w:r>
      <w:r w:rsidRPr="005F4842">
        <w:t>.</w:t>
      </w:r>
    </w:p>
    <w:p w14:paraId="0862BA87" w14:textId="77777777" w:rsidR="00783121" w:rsidRPr="001B4A02" w:rsidRDefault="00783121" w:rsidP="00ED48A3">
      <w:pPr>
        <w:ind w:left="0" w:firstLine="0"/>
      </w:pPr>
    </w:p>
    <w:p w14:paraId="4E9A7BF3" w14:textId="77777777" w:rsidR="00783121" w:rsidRPr="001B4A02" w:rsidRDefault="00000000" w:rsidP="00ED48A3">
      <w:pPr>
        <w:ind w:left="0" w:firstLine="0"/>
      </w:pPr>
      <w:r w:rsidRPr="001B4A02">
        <w:t>Ve vývojové toxikologické studii prováděné na opicích nebyly zjištěny známky toxicity u matek, embryotoxicity či teratogenity. Preklinická data o účinku adalimumabu na postnatální toxicitu nejsou k dispozici (viz bod 5.3).</w:t>
      </w:r>
    </w:p>
    <w:p w14:paraId="1791E7E1" w14:textId="77777777" w:rsidR="00783121" w:rsidRPr="001B4A02" w:rsidRDefault="00783121" w:rsidP="00ED48A3">
      <w:pPr>
        <w:ind w:left="0" w:firstLine="0"/>
      </w:pPr>
    </w:p>
    <w:p w14:paraId="53796AF8" w14:textId="77777777" w:rsidR="00914D06" w:rsidRDefault="00000000" w:rsidP="00914D06">
      <w:pPr>
        <w:ind w:left="0" w:firstLine="0"/>
      </w:pPr>
      <w:r w:rsidRPr="001B4A02">
        <w:t xml:space="preserve">Adalimumab podávaný v těhotenství může vzhledem k inhibici TNFα ovlivnit normální imunologickou odpověď u novorozenců. </w:t>
      </w:r>
    </w:p>
    <w:p w14:paraId="740989D4" w14:textId="77777777" w:rsidR="00914D06" w:rsidRPr="001B4A02" w:rsidRDefault="00000000" w:rsidP="00914D06">
      <w:pPr>
        <w:ind w:left="0" w:firstLine="0"/>
      </w:pPr>
      <w:r>
        <w:t>Adalimumab má být užíván během těhotenství po</w:t>
      </w:r>
      <w:r w:rsidR="00965320">
        <w:t>uze tehdy, pokud je to nezbytně</w:t>
      </w:r>
      <w:r>
        <w:t xml:space="preserve"> nutné.</w:t>
      </w:r>
    </w:p>
    <w:p w14:paraId="2CF96CC6" w14:textId="77777777" w:rsidR="00783121" w:rsidRPr="001B4A02" w:rsidRDefault="00783121" w:rsidP="00ED48A3">
      <w:pPr>
        <w:ind w:left="0" w:firstLine="0"/>
      </w:pPr>
    </w:p>
    <w:p w14:paraId="77CEAAFD" w14:textId="77777777" w:rsidR="00914D06" w:rsidRDefault="00914D06" w:rsidP="00ED48A3">
      <w:pPr>
        <w:ind w:left="0" w:firstLine="0"/>
      </w:pPr>
    </w:p>
    <w:p w14:paraId="4E829B8E" w14:textId="77777777" w:rsidR="00783121" w:rsidRPr="001B4A02" w:rsidRDefault="00000000" w:rsidP="00ED48A3">
      <w:pPr>
        <w:ind w:left="0" w:firstLine="0"/>
      </w:pPr>
      <w:r w:rsidRPr="001B4A02">
        <w:t xml:space="preserve">Adalimumab může přecházet přes placentu do séra dětí narozeným matkám, které byly v těhotenství adalimumabem léčeny. V důsledku toho mohou být tyto děti náchylnější k infekcím. Podávání živých vakcín </w:t>
      </w:r>
      <w:r w:rsidR="00914D06">
        <w:t xml:space="preserve">(např. BCG vakcín) </w:t>
      </w:r>
      <w:r w:rsidRPr="001B4A02">
        <w:t xml:space="preserve">dětem, které byly in utero adalimumabu vystaveny, se nedoporučuje po dobu 5 měsíců po poslední injekci adalimumabu, kterou matka v průběhu těhotenství dostala. </w:t>
      </w:r>
    </w:p>
    <w:p w14:paraId="039662F1" w14:textId="77777777" w:rsidR="00783121" w:rsidRPr="001B4A02" w:rsidRDefault="00783121" w:rsidP="00ED48A3">
      <w:pPr>
        <w:ind w:left="0" w:firstLine="0"/>
      </w:pPr>
    </w:p>
    <w:p w14:paraId="3B5E6E8C" w14:textId="77777777" w:rsidR="00783121" w:rsidRPr="001B4A02" w:rsidRDefault="00000000" w:rsidP="003B610F">
      <w:pPr>
        <w:keepNext/>
        <w:ind w:left="0" w:firstLine="0"/>
        <w:rPr>
          <w:u w:val="single"/>
        </w:rPr>
      </w:pPr>
      <w:r w:rsidRPr="001B4A02">
        <w:rPr>
          <w:u w:val="single"/>
        </w:rPr>
        <w:t>Kojení</w:t>
      </w:r>
    </w:p>
    <w:p w14:paraId="30C3D723" w14:textId="77777777" w:rsidR="00783121" w:rsidRPr="001B4A02" w:rsidRDefault="00783121" w:rsidP="003B610F">
      <w:pPr>
        <w:keepNext/>
        <w:ind w:left="0" w:firstLine="0"/>
      </w:pPr>
    </w:p>
    <w:p w14:paraId="6421313B" w14:textId="77777777" w:rsidR="004F3DCB" w:rsidRDefault="00000000" w:rsidP="004F3DCB">
      <w:pPr>
        <w:ind w:left="0" w:firstLine="0"/>
      </w:pPr>
      <w:r>
        <w:t>Z omezených (limitovaných) informací v publikované literatuře vyplývá, že adalimumab je vylučován do mateřského mléka ve velmi nízkých koncentracích s přítomností adalimumabu v mateřském mléce v koncentracích od 0,1 % do 1 % sérové hladiny matky. Při perorálním podávání proteinů imunoglobulinu G probíhá jejich proteolýza ve střevech</w:t>
      </w:r>
      <w:r w:rsidR="002378E0">
        <w:t xml:space="preserve"> a </w:t>
      </w:r>
      <w:r>
        <w:t>jejich biologická dostupnost je nízká. Nepředpokládá se žádný vliv na kojené novorozence/</w:t>
      </w:r>
      <w:r w:rsidR="00D43B94">
        <w:t>kojence</w:t>
      </w:r>
      <w:r>
        <w:t>. Proto lze přípravek Humira podávat během kojení.</w:t>
      </w:r>
    </w:p>
    <w:p w14:paraId="686A8444" w14:textId="77777777" w:rsidR="00783121" w:rsidRPr="001B4A02" w:rsidRDefault="00783121" w:rsidP="00ED48A3">
      <w:pPr>
        <w:ind w:left="0" w:firstLine="0"/>
      </w:pPr>
    </w:p>
    <w:p w14:paraId="59610AC1" w14:textId="77777777" w:rsidR="00783121" w:rsidRPr="001B4A02" w:rsidRDefault="00000000" w:rsidP="003B610F">
      <w:pPr>
        <w:keepNext/>
        <w:ind w:left="0" w:firstLine="0"/>
        <w:rPr>
          <w:u w:val="single"/>
        </w:rPr>
      </w:pPr>
      <w:r w:rsidRPr="001B4A02">
        <w:rPr>
          <w:u w:val="single"/>
        </w:rPr>
        <w:t>Fertilita</w:t>
      </w:r>
    </w:p>
    <w:p w14:paraId="7AE67716" w14:textId="77777777" w:rsidR="00783121" w:rsidRPr="001B4A02" w:rsidRDefault="00783121" w:rsidP="003B610F">
      <w:pPr>
        <w:keepNext/>
        <w:ind w:left="0" w:firstLine="0"/>
      </w:pPr>
    </w:p>
    <w:p w14:paraId="76737330" w14:textId="77777777" w:rsidR="00E7724C" w:rsidRPr="001B4A02" w:rsidRDefault="00000000" w:rsidP="00ED48A3">
      <w:r w:rsidRPr="001B4A02">
        <w:t>Preklinické studie zaměřené na vliv adalimumabu na fertilitu nejsou k dispozici.</w:t>
      </w:r>
    </w:p>
    <w:p w14:paraId="4616DD5E" w14:textId="77777777" w:rsidR="00E7724C" w:rsidRPr="001B4A02" w:rsidRDefault="00E7724C" w:rsidP="00ED48A3"/>
    <w:p w14:paraId="76372C66" w14:textId="77777777" w:rsidR="00783121" w:rsidRPr="001B4A02" w:rsidRDefault="00000000" w:rsidP="00A15B7A">
      <w:pPr>
        <w:keepNext/>
        <w:outlineLvl w:val="1"/>
        <w:rPr>
          <w:b/>
        </w:rPr>
      </w:pPr>
      <w:r w:rsidRPr="001B4A02">
        <w:rPr>
          <w:b/>
        </w:rPr>
        <w:t>4.7</w:t>
      </w:r>
      <w:r w:rsidRPr="001B4A02">
        <w:rPr>
          <w:b/>
        </w:rPr>
        <w:tab/>
        <w:t>Účinky na schopnost řídit</w:t>
      </w:r>
      <w:r w:rsidR="002378E0">
        <w:rPr>
          <w:b/>
        </w:rPr>
        <w:t xml:space="preserve"> a </w:t>
      </w:r>
      <w:r w:rsidRPr="001B4A02">
        <w:rPr>
          <w:b/>
        </w:rPr>
        <w:t>obsluhovat stroje</w:t>
      </w:r>
    </w:p>
    <w:p w14:paraId="3DAF294F" w14:textId="77777777" w:rsidR="00E7724C" w:rsidRPr="001B4A02" w:rsidRDefault="00E7724C" w:rsidP="00ED48A3">
      <w:pPr>
        <w:pStyle w:val="EMEANormal"/>
        <w:keepNext/>
        <w:rPr>
          <w:lang w:val="cs-CZ"/>
        </w:rPr>
      </w:pPr>
    </w:p>
    <w:p w14:paraId="03D0970A" w14:textId="77777777" w:rsidR="006F1731" w:rsidRPr="001B4A02" w:rsidRDefault="00000000" w:rsidP="00ED48A3">
      <w:pPr>
        <w:ind w:left="0" w:firstLine="0"/>
      </w:pPr>
      <w:r w:rsidRPr="001B4A02">
        <w:t xml:space="preserve">Přípravek Humira </w:t>
      </w:r>
      <w:r w:rsidR="00C43387">
        <w:t xml:space="preserve">má malý </w:t>
      </w:r>
      <w:r w:rsidRPr="001B4A02">
        <w:t>vliv na schopnost řídit</w:t>
      </w:r>
      <w:r w:rsidR="002378E0">
        <w:t xml:space="preserve"> a </w:t>
      </w:r>
      <w:r w:rsidRPr="001B4A02">
        <w:t xml:space="preserve">obsluhovat stroje. Po </w:t>
      </w:r>
      <w:r w:rsidR="0011294F" w:rsidRPr="001B4A02">
        <w:t>po</w:t>
      </w:r>
      <w:r w:rsidRPr="001B4A02">
        <w:t>užití přípravku Humira se může objevit vertigo</w:t>
      </w:r>
      <w:r w:rsidR="002378E0">
        <w:t xml:space="preserve"> a </w:t>
      </w:r>
      <w:r w:rsidRPr="001B4A02">
        <w:t>zrakové poruchy (viz bod 4.8).</w:t>
      </w:r>
    </w:p>
    <w:p w14:paraId="743F1E37" w14:textId="77777777" w:rsidR="00E7724C" w:rsidRPr="001B4A02" w:rsidRDefault="00E7724C" w:rsidP="004C2FD7"/>
    <w:p w14:paraId="34771E0A" w14:textId="77777777" w:rsidR="006F1731" w:rsidRPr="001B4A02" w:rsidRDefault="00000000" w:rsidP="00A15B7A">
      <w:pPr>
        <w:keepNext/>
        <w:outlineLvl w:val="1"/>
        <w:rPr>
          <w:b/>
        </w:rPr>
      </w:pPr>
      <w:r w:rsidRPr="001B4A02">
        <w:rPr>
          <w:b/>
        </w:rPr>
        <w:t>4.8</w:t>
      </w:r>
      <w:r w:rsidRPr="001B4A02">
        <w:rPr>
          <w:b/>
        </w:rPr>
        <w:tab/>
        <w:t>Nežádoucí účinky</w:t>
      </w:r>
    </w:p>
    <w:p w14:paraId="58C83B6D" w14:textId="77777777" w:rsidR="00E7724C" w:rsidRPr="001B4A02" w:rsidRDefault="00E7724C" w:rsidP="003B610F">
      <w:pPr>
        <w:pStyle w:val="EMEANormal"/>
        <w:keepNext/>
        <w:rPr>
          <w:lang w:val="cs-CZ"/>
        </w:rPr>
      </w:pPr>
    </w:p>
    <w:p w14:paraId="149C9D9E" w14:textId="77777777" w:rsidR="006F1731" w:rsidRPr="001B4A02" w:rsidRDefault="00000000" w:rsidP="003B610F">
      <w:pPr>
        <w:keepNext/>
        <w:ind w:left="0" w:firstLine="0"/>
        <w:rPr>
          <w:u w:val="single"/>
        </w:rPr>
      </w:pPr>
      <w:r w:rsidRPr="001B4A02">
        <w:rPr>
          <w:u w:val="single"/>
        </w:rPr>
        <w:t>Souhrnný bezpečnostní profil</w:t>
      </w:r>
    </w:p>
    <w:p w14:paraId="575761C8" w14:textId="77777777" w:rsidR="006F1731" w:rsidRPr="001B4A02" w:rsidRDefault="006F1731" w:rsidP="00ED48A3">
      <w:pPr>
        <w:keepNext/>
        <w:ind w:left="0" w:firstLine="0"/>
        <w:rPr>
          <w:szCs w:val="22"/>
        </w:rPr>
      </w:pPr>
    </w:p>
    <w:p w14:paraId="4E4F1603" w14:textId="77777777" w:rsidR="006F1731" w:rsidRPr="001B4A02" w:rsidRDefault="00000000" w:rsidP="00ED48A3">
      <w:pPr>
        <w:ind w:left="0" w:firstLine="0"/>
      </w:pPr>
      <w:r w:rsidRPr="001B4A02">
        <w:rPr>
          <w:szCs w:val="22"/>
        </w:rPr>
        <w:t>Přípravek Humira byl hodnocen u 9 506 pacientů v kontrolovaných</w:t>
      </w:r>
      <w:r w:rsidR="002378E0">
        <w:rPr>
          <w:szCs w:val="22"/>
        </w:rPr>
        <w:t xml:space="preserve"> a </w:t>
      </w:r>
      <w:r w:rsidRPr="001B4A02">
        <w:rPr>
          <w:szCs w:val="22"/>
        </w:rPr>
        <w:t>otevřených pivotních studiích po dobu až 60 měsíců nebo déle. Tyto studie zahrnovaly pacienty s revmatoidní artritidou s krátkým</w:t>
      </w:r>
      <w:r w:rsidR="002378E0">
        <w:rPr>
          <w:szCs w:val="22"/>
        </w:rPr>
        <w:t xml:space="preserve"> a </w:t>
      </w:r>
      <w:r w:rsidRPr="001B4A02">
        <w:rPr>
          <w:szCs w:val="22"/>
        </w:rPr>
        <w:t>dlouhým trváním, pacienty s</w:t>
      </w:r>
      <w:r w:rsidR="00260E15" w:rsidRPr="001B4A02">
        <w:rPr>
          <w:szCs w:val="22"/>
        </w:rPr>
        <w:t> </w:t>
      </w:r>
      <w:r w:rsidRPr="001B4A02">
        <w:t xml:space="preserve">juvenilní idiopatickou artritidou </w:t>
      </w:r>
      <w:r w:rsidRPr="001B4A02">
        <w:rPr>
          <w:szCs w:val="22"/>
        </w:rPr>
        <w:t>(polyartikulární juvenilní idiopatickou artritidou</w:t>
      </w:r>
      <w:r w:rsidR="002378E0">
        <w:rPr>
          <w:szCs w:val="22"/>
        </w:rPr>
        <w:t xml:space="preserve"> a </w:t>
      </w:r>
      <w:r w:rsidRPr="001B4A02">
        <w:rPr>
          <w:szCs w:val="22"/>
        </w:rPr>
        <w:t>entezopatickou artritidou), stejně jako</w:t>
      </w:r>
      <w:r w:rsidRPr="001B4A02">
        <w:t xml:space="preserve"> </w:t>
      </w:r>
      <w:r w:rsidRPr="001B4A02">
        <w:rPr>
          <w:szCs w:val="22"/>
        </w:rPr>
        <w:t>pacienty s</w:t>
      </w:r>
      <w:r w:rsidR="00260E15" w:rsidRPr="001B4A02">
        <w:rPr>
          <w:szCs w:val="22"/>
        </w:rPr>
        <w:t> </w:t>
      </w:r>
      <w:r w:rsidRPr="001B4A02">
        <w:rPr>
          <w:szCs w:val="22"/>
        </w:rPr>
        <w:t>axiální spondylartritidou (ankylozující spondylitidou</w:t>
      </w:r>
      <w:r w:rsidR="002378E0">
        <w:rPr>
          <w:szCs w:val="22"/>
        </w:rPr>
        <w:t xml:space="preserve"> a </w:t>
      </w:r>
      <w:r w:rsidRPr="001B4A02">
        <w:rPr>
          <w:szCs w:val="22"/>
        </w:rPr>
        <w:t>axiální spondylartritidou bez radiologického průkazu AS), psoriatickou artritidou, pacienty s Crohnovou chorobou, ulcerózní kolitidou, psoriázou</w:t>
      </w:r>
      <w:r w:rsidR="002378E0">
        <w:rPr>
          <w:szCs w:val="22"/>
        </w:rPr>
        <w:t xml:space="preserve"> a </w:t>
      </w:r>
      <w:r w:rsidRPr="001B4A02">
        <w:rPr>
          <w:szCs w:val="22"/>
        </w:rPr>
        <w:t>pacienty s hidradenitis suppurativa</w:t>
      </w:r>
      <w:r w:rsidR="002378E0">
        <w:rPr>
          <w:szCs w:val="22"/>
        </w:rPr>
        <w:t xml:space="preserve"> a </w:t>
      </w:r>
      <w:r w:rsidRPr="001B4A02">
        <w:rPr>
          <w:szCs w:val="22"/>
        </w:rPr>
        <w:t>uveitidou. Pivotní kontrolované studie zahrnovaly 6 089 pacientů léčených přípravkem Humira</w:t>
      </w:r>
      <w:r w:rsidR="002378E0">
        <w:rPr>
          <w:szCs w:val="22"/>
        </w:rPr>
        <w:t xml:space="preserve"> a </w:t>
      </w:r>
      <w:r w:rsidRPr="001B4A02">
        <w:rPr>
          <w:szCs w:val="22"/>
        </w:rPr>
        <w:t>3 801 pacientů, kteří v kontrolovaném období studií dostávali placebo nebo aktivní srovnávací lék.</w:t>
      </w:r>
    </w:p>
    <w:p w14:paraId="4B0C618F" w14:textId="77777777" w:rsidR="006F1731" w:rsidRPr="001B4A02" w:rsidRDefault="006F1731" w:rsidP="00ED48A3">
      <w:pPr>
        <w:ind w:left="0" w:firstLine="0"/>
      </w:pPr>
    </w:p>
    <w:p w14:paraId="35077714" w14:textId="77777777" w:rsidR="006F1731" w:rsidRPr="001B4A02" w:rsidRDefault="00000000" w:rsidP="00ED48A3">
      <w:pPr>
        <w:ind w:left="0" w:firstLine="0"/>
      </w:pPr>
      <w:r w:rsidRPr="001B4A02">
        <w:t>Podíl pacientů, kteří předčasně ukončili léčbu pro nežádoucí účinky ve dvojitě zaslepené kontrolované části klíčových studií, byl 5,9</w:t>
      </w:r>
      <w:r w:rsidR="00260E15" w:rsidRPr="001B4A02">
        <w:t> </w:t>
      </w:r>
      <w:r w:rsidRPr="001B4A02">
        <w:t>% pacientů léčených přípravkem Humira</w:t>
      </w:r>
      <w:r w:rsidR="002378E0">
        <w:t xml:space="preserve"> a </w:t>
      </w:r>
      <w:r w:rsidRPr="001B4A02">
        <w:t>5,4</w:t>
      </w:r>
      <w:r w:rsidR="00260E15" w:rsidRPr="001B4A02">
        <w:t> </w:t>
      </w:r>
      <w:r w:rsidRPr="001B4A02">
        <w:t>% u pacientů užívajících kontrolní léčbu.</w:t>
      </w:r>
    </w:p>
    <w:p w14:paraId="7A7002B8" w14:textId="77777777" w:rsidR="006F1731" w:rsidRPr="001B4A02" w:rsidRDefault="006F1731" w:rsidP="00ED48A3">
      <w:pPr>
        <w:pStyle w:val="EMEAHeadingUnderline"/>
        <w:tabs>
          <w:tab w:val="clear" w:pos="562"/>
          <w:tab w:val="left" w:pos="708"/>
        </w:tabs>
        <w:suppressAutoHyphens w:val="0"/>
        <w:spacing w:beforeLines="0" w:before="0" w:afterLines="0" w:after="0"/>
        <w:rPr>
          <w:lang w:val="cs-CZ"/>
        </w:rPr>
      </w:pPr>
    </w:p>
    <w:p w14:paraId="36253F7C" w14:textId="77777777" w:rsidR="006F1731" w:rsidRPr="001B4A02" w:rsidRDefault="00000000" w:rsidP="00ED48A3">
      <w:pPr>
        <w:ind w:left="0" w:firstLine="0"/>
      </w:pPr>
      <w:r w:rsidRPr="001B4A02">
        <w:t>Nejčastěji hlášenými nežádoucími účinky jsou infekce (jako je nasofaryngitida, infekce horních dýchacích cest</w:t>
      </w:r>
      <w:r w:rsidR="002378E0">
        <w:t xml:space="preserve"> a </w:t>
      </w:r>
      <w:r w:rsidRPr="001B4A02">
        <w:t>sinusitida), reakce v místě injekčního vpichu (erytém, svědění, krvácení, bolest nebo otoky), bolest hlavy</w:t>
      </w:r>
      <w:r w:rsidR="002378E0">
        <w:t xml:space="preserve"> a </w:t>
      </w:r>
      <w:r w:rsidRPr="001B4A02">
        <w:t>muskuloskeletální bolest.</w:t>
      </w:r>
    </w:p>
    <w:p w14:paraId="4E014E97" w14:textId="77777777" w:rsidR="006F1731" w:rsidRPr="001B4A02" w:rsidRDefault="006F1731" w:rsidP="00ED48A3">
      <w:pPr>
        <w:ind w:left="0" w:firstLine="0"/>
      </w:pPr>
    </w:p>
    <w:p w14:paraId="2330C8D4" w14:textId="77777777" w:rsidR="006F1731" w:rsidRPr="001B4A02" w:rsidRDefault="00000000" w:rsidP="00ED48A3">
      <w:pPr>
        <w:ind w:left="0" w:firstLine="0"/>
      </w:pPr>
      <w:r w:rsidRPr="001B4A02">
        <w:t xml:space="preserve">U přípravku Humira byly hlášeny závažné nežádoucí účinky. TNF antagonisté, jako například </w:t>
      </w:r>
      <w:r w:rsidR="00260E15" w:rsidRPr="001B4A02">
        <w:t xml:space="preserve">přípravek </w:t>
      </w:r>
      <w:r w:rsidRPr="001B4A02">
        <w:t>Humira, ovlivňují imunitní systém</w:t>
      </w:r>
      <w:r w:rsidR="002378E0">
        <w:t xml:space="preserve"> a </w:t>
      </w:r>
      <w:r w:rsidRPr="001B4A02">
        <w:t>jejich užití může ovlivňovat schopnost obranyschopnosti organismu vůči infekci</w:t>
      </w:r>
      <w:r w:rsidR="002378E0">
        <w:t xml:space="preserve"> a </w:t>
      </w:r>
      <w:r w:rsidRPr="001B4A02">
        <w:t>rakovinnému bujení. U</w:t>
      </w:r>
      <w:r w:rsidR="00260E15" w:rsidRPr="001B4A02">
        <w:t> </w:t>
      </w:r>
      <w:r w:rsidRPr="001B4A02">
        <w:t>přípravku Humira byly také hlášeny fatální</w:t>
      </w:r>
      <w:r w:rsidR="002378E0">
        <w:t xml:space="preserve"> a </w:t>
      </w:r>
      <w:r w:rsidRPr="001B4A02">
        <w:t>život ohrožující infekce (včetně sepse, oportunních infekcí TBC), HBV reaktivace</w:t>
      </w:r>
      <w:r w:rsidR="002378E0">
        <w:t xml:space="preserve"> a </w:t>
      </w:r>
      <w:r w:rsidRPr="001B4A02">
        <w:t>různé malignity (včetně leukémie, lymfomů</w:t>
      </w:r>
      <w:r w:rsidR="002378E0">
        <w:t xml:space="preserve"> a </w:t>
      </w:r>
      <w:r w:rsidRPr="001B4A02">
        <w:t>HSTCL).</w:t>
      </w:r>
    </w:p>
    <w:p w14:paraId="21953BEB" w14:textId="77777777" w:rsidR="006F1731" w:rsidRPr="001B4A02" w:rsidRDefault="006F1731" w:rsidP="00ED48A3">
      <w:pPr>
        <w:ind w:left="0" w:firstLine="0"/>
      </w:pPr>
    </w:p>
    <w:p w14:paraId="7528641C" w14:textId="77777777" w:rsidR="006F1731" w:rsidRPr="001B4A02" w:rsidRDefault="00000000" w:rsidP="00ED48A3">
      <w:pPr>
        <w:ind w:left="0" w:firstLine="0"/>
        <w:rPr>
          <w:u w:val="single"/>
        </w:rPr>
      </w:pPr>
      <w:r w:rsidRPr="001B4A02">
        <w:t>Byly také hlášeny závažné hematologické, neurologické</w:t>
      </w:r>
      <w:r w:rsidR="002378E0">
        <w:t xml:space="preserve"> a </w:t>
      </w:r>
      <w:r w:rsidRPr="001B4A02">
        <w:t>autoimunní reakce. Tyto zahrnují vzácně se vyskytující případy pancytopenie, aplastické anémie, centrálních</w:t>
      </w:r>
      <w:r w:rsidR="002378E0">
        <w:t xml:space="preserve"> a </w:t>
      </w:r>
      <w:r w:rsidRPr="001B4A02">
        <w:t>periferních demyelinizačních chorob, případy lupus erythematodes</w:t>
      </w:r>
      <w:r w:rsidR="002378E0">
        <w:t xml:space="preserve"> a </w:t>
      </w:r>
      <w:r w:rsidRPr="001B4A02">
        <w:t>stavů podobných lupusu</w:t>
      </w:r>
      <w:r w:rsidR="002378E0">
        <w:t xml:space="preserve"> a </w:t>
      </w:r>
      <w:r w:rsidRPr="001B4A02">
        <w:t>Stevens</w:t>
      </w:r>
      <w:r w:rsidR="00C43387">
        <w:t>ův</w:t>
      </w:r>
      <w:r w:rsidRPr="001B4A02">
        <w:t>-Johnsonův syndrom.</w:t>
      </w:r>
    </w:p>
    <w:p w14:paraId="299579CA" w14:textId="77777777" w:rsidR="006F1731" w:rsidRPr="001B4A02" w:rsidRDefault="006F1731" w:rsidP="00ED48A3">
      <w:pPr>
        <w:pStyle w:val="EMEAHeadingUnderline"/>
        <w:tabs>
          <w:tab w:val="clear" w:pos="562"/>
          <w:tab w:val="left" w:pos="708"/>
        </w:tabs>
        <w:suppressAutoHyphens w:val="0"/>
        <w:spacing w:beforeLines="0" w:before="0" w:afterLines="0" w:after="0"/>
        <w:rPr>
          <w:i/>
          <w:u w:val="none"/>
          <w:lang w:val="cs-CZ"/>
        </w:rPr>
      </w:pPr>
    </w:p>
    <w:p w14:paraId="666DF859" w14:textId="77777777" w:rsidR="006F1731" w:rsidRPr="001B4A02" w:rsidRDefault="00000000" w:rsidP="004C2FD7">
      <w:pPr>
        <w:pStyle w:val="EMEAHeadingUnderline"/>
        <w:keepNext/>
        <w:tabs>
          <w:tab w:val="clear" w:pos="562"/>
          <w:tab w:val="left" w:pos="708"/>
        </w:tabs>
        <w:suppressAutoHyphens w:val="0"/>
        <w:spacing w:beforeLines="0" w:before="0" w:afterLines="0" w:after="0"/>
        <w:rPr>
          <w:lang w:val="cs-CZ"/>
        </w:rPr>
      </w:pPr>
      <w:r w:rsidRPr="001B4A02">
        <w:rPr>
          <w:lang w:val="cs-CZ"/>
        </w:rPr>
        <w:t>Pediatrická populace</w:t>
      </w:r>
    </w:p>
    <w:p w14:paraId="23DD507D" w14:textId="77777777" w:rsidR="006F1731" w:rsidRPr="001B4A02" w:rsidRDefault="006F1731" w:rsidP="004C2FD7">
      <w:pPr>
        <w:pStyle w:val="EMEANormal"/>
        <w:keepNext/>
        <w:rPr>
          <w:lang w:val="cs-CZ"/>
        </w:rPr>
      </w:pPr>
    </w:p>
    <w:p w14:paraId="7C65A34C" w14:textId="77777777" w:rsidR="006F1731" w:rsidRPr="001B4A02" w:rsidRDefault="00000000" w:rsidP="00ED48A3">
      <w:pPr>
        <w:ind w:left="0" w:firstLine="0"/>
      </w:pPr>
      <w:r w:rsidRPr="001B4A02">
        <w:t>Obecně byly nežádoucí účinky u</w:t>
      </w:r>
      <w:r w:rsidR="00260E15" w:rsidRPr="001B4A02">
        <w:t> </w:t>
      </w:r>
      <w:r w:rsidRPr="001B4A02">
        <w:t>pediatrických pacientů, pokud jde o</w:t>
      </w:r>
      <w:r w:rsidR="00260E15" w:rsidRPr="001B4A02">
        <w:t> </w:t>
      </w:r>
      <w:r w:rsidRPr="001B4A02">
        <w:t>typ</w:t>
      </w:r>
      <w:r w:rsidR="002378E0">
        <w:t xml:space="preserve"> a </w:t>
      </w:r>
      <w:r w:rsidRPr="001B4A02">
        <w:t>četnost výskytu, podobné těm, které byly pozorovány u</w:t>
      </w:r>
      <w:r w:rsidR="00260E15" w:rsidRPr="001B4A02">
        <w:t> </w:t>
      </w:r>
      <w:r w:rsidR="004C2FD7" w:rsidRPr="001B4A02">
        <w:t>dospělých pacientů.</w:t>
      </w:r>
    </w:p>
    <w:p w14:paraId="62369D48" w14:textId="77777777" w:rsidR="006F1731" w:rsidRPr="001B4A02" w:rsidRDefault="006F1731" w:rsidP="00ED48A3">
      <w:pPr>
        <w:ind w:left="0" w:firstLine="0"/>
        <w:rPr>
          <w:u w:val="single"/>
        </w:rPr>
      </w:pPr>
    </w:p>
    <w:p w14:paraId="643CCAF7" w14:textId="77777777" w:rsidR="006F1731" w:rsidRPr="001B4A02" w:rsidRDefault="00000000" w:rsidP="003B610F">
      <w:pPr>
        <w:keepNext/>
        <w:ind w:left="0" w:firstLine="0"/>
        <w:rPr>
          <w:u w:val="single"/>
        </w:rPr>
      </w:pPr>
      <w:r w:rsidRPr="001B4A02">
        <w:rPr>
          <w:u w:val="single"/>
        </w:rPr>
        <w:t>Tabulkový seznam nežádoucích účinků</w:t>
      </w:r>
    </w:p>
    <w:p w14:paraId="0B435095" w14:textId="77777777" w:rsidR="006F1731" w:rsidRPr="001B4A02" w:rsidRDefault="006F1731" w:rsidP="003B610F">
      <w:pPr>
        <w:keepNext/>
        <w:ind w:left="0" w:firstLine="0"/>
      </w:pPr>
    </w:p>
    <w:p w14:paraId="3077185B" w14:textId="77777777" w:rsidR="00E7724C" w:rsidRPr="001B4A02" w:rsidRDefault="00000000" w:rsidP="003B610F">
      <w:pPr>
        <w:autoSpaceDE w:val="0"/>
        <w:autoSpaceDN w:val="0"/>
        <w:adjustRightInd w:val="0"/>
        <w:ind w:left="0" w:firstLine="0"/>
      </w:pPr>
      <w:r w:rsidRPr="001B4A02">
        <w:t>Následující výčet nežádoucích účinků je založen na zkušenosti z klinických studií</w:t>
      </w:r>
      <w:r w:rsidR="002378E0">
        <w:t xml:space="preserve"> a </w:t>
      </w:r>
      <w:r w:rsidRPr="001B4A02">
        <w:t>z období postmarketingu, účinky jsou seřazeny podle orgánových systémů</w:t>
      </w:r>
      <w:r w:rsidR="002378E0">
        <w:t xml:space="preserve"> a </w:t>
      </w:r>
      <w:r w:rsidRPr="001B4A02">
        <w:t xml:space="preserve">frekvence výskytu v tabulce </w:t>
      </w:r>
      <w:r w:rsidR="00ED5D7C">
        <w:t>4</w:t>
      </w:r>
      <w:r w:rsidR="00ED5D7C" w:rsidRPr="001B4A02">
        <w:t xml:space="preserve"> </w:t>
      </w:r>
      <w:r w:rsidRPr="001B4A02">
        <w:t>níže: velmi časté (</w:t>
      </w:r>
      <w:r w:rsidRPr="001B4A02">
        <w:rPr>
          <w:rFonts w:ascii="Symbol" w:hAnsi="Symbol"/>
        </w:rPr>
        <w:sym w:font="Symbol" w:char="F0B3"/>
      </w:r>
      <w:r w:rsidRPr="001B4A02">
        <w:t> 1/10); časté (</w:t>
      </w:r>
      <w:r w:rsidRPr="001B4A02">
        <w:rPr>
          <w:rFonts w:ascii="Symbol" w:hAnsi="Symbol"/>
        </w:rPr>
        <w:sym w:font="Symbol" w:char="F0B3"/>
      </w:r>
      <w:r w:rsidRPr="001B4A02">
        <w:t xml:space="preserve"> 1/100 do </w:t>
      </w:r>
      <w:r w:rsidR="00F631BB" w:rsidRPr="001B4A02">
        <w:rPr>
          <w:rFonts w:ascii="Symbol" w:hAnsi="Symbol"/>
        </w:rPr>
        <w:sym w:font="Symbol" w:char="F03C"/>
      </w:r>
      <w:r w:rsidRPr="001B4A02">
        <w:t> 1/10); méně časté (</w:t>
      </w:r>
      <w:r w:rsidRPr="001B4A02">
        <w:rPr>
          <w:rFonts w:ascii="Symbol" w:hAnsi="Symbol"/>
        </w:rPr>
        <w:sym w:font="Symbol" w:char="F0B3"/>
      </w:r>
      <w:r w:rsidRPr="001B4A02">
        <w:t> 1/1</w:t>
      </w:r>
      <w:r w:rsidR="00F631BB" w:rsidRPr="001B4A02">
        <w:t> </w:t>
      </w:r>
      <w:r w:rsidRPr="001B4A02">
        <w:t xml:space="preserve">000 do </w:t>
      </w:r>
      <w:r w:rsidRPr="001B4A02">
        <w:rPr>
          <w:rFonts w:ascii="Symbol" w:hAnsi="Symbol"/>
        </w:rPr>
        <w:sym w:font="Symbol" w:char="F03C"/>
      </w:r>
      <w:r w:rsidRPr="001B4A02">
        <w:t> 1/100); vzácné (</w:t>
      </w:r>
      <w:r w:rsidR="009D2A3C" w:rsidRPr="001B4A02">
        <w:rPr>
          <w:rFonts w:ascii="Symbol" w:hAnsi="Symbol"/>
        </w:rPr>
        <w:sym w:font="Symbol" w:char="F0B3"/>
      </w:r>
      <w:r w:rsidR="00F631BB" w:rsidRPr="001B4A02">
        <w:t> </w:t>
      </w:r>
      <w:r w:rsidRPr="001B4A02">
        <w:t xml:space="preserve">1/10 000 do </w:t>
      </w:r>
      <w:r w:rsidRPr="001B4A02">
        <w:rPr>
          <w:rFonts w:ascii="Symbol" w:hAnsi="Symbol"/>
        </w:rPr>
        <w:sym w:font="Symbol" w:char="F03C"/>
      </w:r>
      <w:r w:rsidRPr="001B4A02">
        <w:t> 1/1</w:t>
      </w:r>
      <w:r w:rsidR="00F631BB" w:rsidRPr="001B4A02">
        <w:t> </w:t>
      </w:r>
      <w:r w:rsidRPr="001B4A02">
        <w:t>000)</w:t>
      </w:r>
      <w:r w:rsidR="002378E0">
        <w:t xml:space="preserve"> a </w:t>
      </w:r>
      <w:r w:rsidRPr="001B4A02">
        <w:t>není známo (z dostupných údajů nelze určit). V každé skupině četností jsou nežádoucí účinky řazeny podle klesající závažnosti. Jsou zde zahrnuty účinky, které se, napříč jednotlivými indikacemi, vyskytovaly s</w:t>
      </w:r>
      <w:r w:rsidR="00F631BB" w:rsidRPr="001B4A02">
        <w:t> </w:t>
      </w:r>
      <w:r w:rsidRPr="001B4A02">
        <w:t>nejvyšší frekvencí. Hvězdička (*) se ve sloupci tříd orgánových systémů vyskytuje tehdy, pokud lze další informace nalézt na jiných místech textu, v bodech 4.3, 4.4</w:t>
      </w:r>
      <w:r w:rsidR="002378E0">
        <w:t xml:space="preserve"> a </w:t>
      </w:r>
      <w:r w:rsidRPr="001B4A02">
        <w:t>4.8.</w:t>
      </w:r>
    </w:p>
    <w:p w14:paraId="63EE25AF" w14:textId="77777777" w:rsidR="00E7724C" w:rsidRPr="001B4A02" w:rsidRDefault="00E7724C" w:rsidP="00ED48A3"/>
    <w:p w14:paraId="4228A77B" w14:textId="77777777" w:rsidR="006F1731" w:rsidRPr="001B4A02" w:rsidRDefault="00000000" w:rsidP="00F9384F">
      <w:pPr>
        <w:keepNext/>
        <w:ind w:left="0" w:firstLine="0"/>
        <w:jc w:val="center"/>
        <w:rPr>
          <w:b/>
        </w:rPr>
      </w:pPr>
      <w:r w:rsidRPr="001B4A02">
        <w:rPr>
          <w:b/>
        </w:rPr>
        <w:t xml:space="preserve">Tabulka </w:t>
      </w:r>
      <w:r w:rsidR="00ED5D7C">
        <w:rPr>
          <w:b/>
        </w:rPr>
        <w:t>4</w:t>
      </w:r>
    </w:p>
    <w:p w14:paraId="2CADEBA8" w14:textId="77777777" w:rsidR="00E7724C" w:rsidRPr="001B4A02" w:rsidRDefault="00000000" w:rsidP="00F9384F">
      <w:pPr>
        <w:keepNext/>
        <w:jc w:val="center"/>
        <w:rPr>
          <w:b/>
        </w:rPr>
      </w:pPr>
      <w:r w:rsidRPr="001B4A02">
        <w:rPr>
          <w:b/>
        </w:rPr>
        <w:t>Nežádoucí účinky</w:t>
      </w:r>
    </w:p>
    <w:p w14:paraId="27365AEF" w14:textId="77777777" w:rsidR="00E7724C" w:rsidRPr="001B4A02" w:rsidRDefault="00E7724C" w:rsidP="00F9384F">
      <w:pPr>
        <w:keepNext/>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1440"/>
        <w:gridCol w:w="4689"/>
      </w:tblGrid>
      <w:tr w:rsidR="00534A2D" w14:paraId="52623EC1" w14:textId="77777777" w:rsidTr="005132DE">
        <w:trPr>
          <w:jc w:val="center"/>
        </w:trPr>
        <w:tc>
          <w:tcPr>
            <w:tcW w:w="2880" w:type="dxa"/>
            <w:tcBorders>
              <w:top w:val="single" w:sz="4" w:space="0" w:color="auto"/>
              <w:left w:val="single" w:sz="4" w:space="0" w:color="auto"/>
              <w:bottom w:val="single" w:sz="4" w:space="0" w:color="auto"/>
              <w:right w:val="single" w:sz="4" w:space="0" w:color="auto"/>
            </w:tcBorders>
          </w:tcPr>
          <w:p w14:paraId="6B4B4090" w14:textId="77777777" w:rsidR="00E45929" w:rsidRPr="001B4A02" w:rsidRDefault="00000000" w:rsidP="00F9384F">
            <w:pPr>
              <w:pStyle w:val="EMEANormal"/>
              <w:keepNext/>
              <w:tabs>
                <w:tab w:val="left" w:pos="0"/>
              </w:tabs>
              <w:rPr>
                <w:b/>
                <w:bCs/>
                <w:szCs w:val="22"/>
                <w:lang w:val="cs-CZ"/>
              </w:rPr>
            </w:pPr>
            <w:r w:rsidRPr="001B4A02">
              <w:rPr>
                <w:b/>
                <w:bCs/>
                <w:szCs w:val="22"/>
                <w:lang w:val="cs-CZ"/>
              </w:rPr>
              <w:t>Třídy orgánových systémů</w:t>
            </w:r>
          </w:p>
        </w:tc>
        <w:tc>
          <w:tcPr>
            <w:tcW w:w="1440" w:type="dxa"/>
            <w:tcBorders>
              <w:top w:val="single" w:sz="4" w:space="0" w:color="auto"/>
              <w:left w:val="single" w:sz="4" w:space="0" w:color="auto"/>
              <w:bottom w:val="single" w:sz="4" w:space="0" w:color="auto"/>
              <w:right w:val="single" w:sz="4" w:space="0" w:color="auto"/>
            </w:tcBorders>
          </w:tcPr>
          <w:p w14:paraId="40F8C7ED" w14:textId="77777777" w:rsidR="00E45929" w:rsidRPr="001B4A02" w:rsidRDefault="00000000" w:rsidP="00F9384F">
            <w:pPr>
              <w:pStyle w:val="EMEANormal"/>
              <w:keepNext/>
              <w:rPr>
                <w:b/>
                <w:bCs/>
                <w:szCs w:val="22"/>
                <w:lang w:val="cs-CZ"/>
              </w:rPr>
            </w:pPr>
            <w:r w:rsidRPr="001B4A02">
              <w:rPr>
                <w:b/>
                <w:bCs/>
                <w:szCs w:val="22"/>
                <w:lang w:val="cs-CZ"/>
              </w:rPr>
              <w:t>Frekvence</w:t>
            </w:r>
          </w:p>
        </w:tc>
        <w:tc>
          <w:tcPr>
            <w:tcW w:w="4689" w:type="dxa"/>
            <w:tcBorders>
              <w:top w:val="single" w:sz="4" w:space="0" w:color="auto"/>
              <w:left w:val="single" w:sz="4" w:space="0" w:color="auto"/>
              <w:bottom w:val="single" w:sz="4" w:space="0" w:color="auto"/>
              <w:right w:val="single" w:sz="4" w:space="0" w:color="auto"/>
            </w:tcBorders>
          </w:tcPr>
          <w:p w14:paraId="231AB36E" w14:textId="77777777" w:rsidR="00E45929" w:rsidRPr="001B4A02" w:rsidRDefault="00000000" w:rsidP="00F9384F">
            <w:pPr>
              <w:pStyle w:val="EMEANormal"/>
              <w:keepNext/>
              <w:rPr>
                <w:b/>
                <w:bCs/>
                <w:szCs w:val="22"/>
                <w:lang w:val="cs-CZ"/>
              </w:rPr>
            </w:pPr>
            <w:r w:rsidRPr="001B4A02">
              <w:rPr>
                <w:b/>
                <w:bCs/>
                <w:szCs w:val="22"/>
                <w:lang w:val="cs-CZ"/>
              </w:rPr>
              <w:t>Nežádoucí účinek</w:t>
            </w:r>
          </w:p>
        </w:tc>
      </w:tr>
      <w:tr w:rsidR="00534A2D" w14:paraId="16B99D4F" w14:textId="77777777" w:rsidTr="00961CF6">
        <w:trPr>
          <w:cantSplit/>
          <w:trHeight w:val="343"/>
          <w:jc w:val="center"/>
        </w:trPr>
        <w:tc>
          <w:tcPr>
            <w:tcW w:w="2880" w:type="dxa"/>
            <w:vMerge w:val="restart"/>
            <w:tcBorders>
              <w:top w:val="single" w:sz="4" w:space="0" w:color="auto"/>
              <w:left w:val="single" w:sz="4" w:space="0" w:color="auto"/>
              <w:bottom w:val="single" w:sz="4" w:space="0" w:color="auto"/>
              <w:right w:val="single" w:sz="4" w:space="0" w:color="auto"/>
            </w:tcBorders>
          </w:tcPr>
          <w:p w14:paraId="1E0E4A02" w14:textId="77777777" w:rsidR="00E45929" w:rsidRPr="001B4A02" w:rsidRDefault="00000000" w:rsidP="00ED48A3">
            <w:pPr>
              <w:pStyle w:val="EMEANormal"/>
              <w:tabs>
                <w:tab w:val="left" w:pos="0"/>
              </w:tabs>
              <w:rPr>
                <w:szCs w:val="22"/>
                <w:lang w:val="cs-CZ"/>
              </w:rPr>
            </w:pPr>
            <w:r w:rsidRPr="001B4A02">
              <w:rPr>
                <w:szCs w:val="22"/>
                <w:lang w:val="cs-CZ"/>
              </w:rPr>
              <w:t>Infekce</w:t>
            </w:r>
            <w:r w:rsidR="002378E0">
              <w:rPr>
                <w:szCs w:val="22"/>
                <w:lang w:val="cs-CZ"/>
              </w:rPr>
              <w:t xml:space="preserve"> a </w:t>
            </w:r>
            <w:r w:rsidRPr="001B4A02">
              <w:rPr>
                <w:szCs w:val="22"/>
                <w:lang w:val="cs-CZ"/>
              </w:rPr>
              <w:t>infestace*</w:t>
            </w:r>
          </w:p>
        </w:tc>
        <w:tc>
          <w:tcPr>
            <w:tcW w:w="1440" w:type="dxa"/>
            <w:tcBorders>
              <w:top w:val="single" w:sz="4" w:space="0" w:color="auto"/>
              <w:left w:val="single" w:sz="4" w:space="0" w:color="auto"/>
              <w:bottom w:val="single" w:sz="4" w:space="0" w:color="auto"/>
              <w:right w:val="single" w:sz="4" w:space="0" w:color="auto"/>
            </w:tcBorders>
          </w:tcPr>
          <w:p w14:paraId="2539E4AD" w14:textId="77777777" w:rsidR="00E45929" w:rsidRPr="001B4A02" w:rsidRDefault="00000000" w:rsidP="00ED48A3">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3906924C" w14:textId="77777777" w:rsidR="00E45929" w:rsidRPr="001B4A02" w:rsidRDefault="00000000" w:rsidP="00ED48A3">
            <w:pPr>
              <w:pStyle w:val="EMEANormal"/>
              <w:rPr>
                <w:szCs w:val="22"/>
                <w:lang w:val="cs-CZ"/>
              </w:rPr>
            </w:pPr>
            <w:r w:rsidRPr="001B4A02">
              <w:rPr>
                <w:szCs w:val="22"/>
                <w:lang w:val="cs-CZ"/>
              </w:rPr>
              <w:t>Infekce dýchacích cest (včetně infekce dolních</w:t>
            </w:r>
            <w:r w:rsidR="002378E0">
              <w:rPr>
                <w:szCs w:val="22"/>
                <w:lang w:val="cs-CZ"/>
              </w:rPr>
              <w:t xml:space="preserve"> a </w:t>
            </w:r>
            <w:r w:rsidRPr="001B4A02">
              <w:rPr>
                <w:szCs w:val="22"/>
                <w:lang w:val="cs-CZ"/>
              </w:rPr>
              <w:t>horních cest dýchacích, pneumonie, sinusitidy, faryngitidy, nazofaryngitidy</w:t>
            </w:r>
            <w:r w:rsidR="002378E0">
              <w:rPr>
                <w:szCs w:val="22"/>
                <w:lang w:val="cs-CZ"/>
              </w:rPr>
              <w:t xml:space="preserve"> a </w:t>
            </w:r>
            <w:r w:rsidRPr="001B4A02">
              <w:rPr>
                <w:szCs w:val="22"/>
                <w:lang w:val="cs-CZ"/>
              </w:rPr>
              <w:t>pneumonie vyvolané herpetickými viry)</w:t>
            </w:r>
          </w:p>
          <w:p w14:paraId="4C273218" w14:textId="77777777" w:rsidR="00E45929" w:rsidRPr="001B4A02" w:rsidRDefault="00E45929" w:rsidP="00ED48A3">
            <w:pPr>
              <w:pStyle w:val="EMEANormal"/>
              <w:rPr>
                <w:szCs w:val="22"/>
                <w:lang w:val="cs-CZ"/>
              </w:rPr>
            </w:pPr>
          </w:p>
        </w:tc>
      </w:tr>
      <w:tr w:rsidR="00534A2D" w14:paraId="001D319F" w14:textId="77777777" w:rsidTr="00961CF6">
        <w:trPr>
          <w:cantSplit/>
          <w:trHeight w:val="342"/>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D4AA53"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1E972F0F" w14:textId="77777777" w:rsidR="00E45929"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28F5246C" w14:textId="77777777" w:rsidR="00E45929" w:rsidRPr="001B4A02" w:rsidRDefault="00000000" w:rsidP="00ED48A3">
            <w:pPr>
              <w:pStyle w:val="EMEANormal"/>
              <w:rPr>
                <w:szCs w:val="22"/>
                <w:lang w:val="cs-CZ"/>
              </w:rPr>
            </w:pPr>
            <w:r w:rsidRPr="001B4A02">
              <w:rPr>
                <w:szCs w:val="22"/>
                <w:lang w:val="cs-CZ"/>
              </w:rPr>
              <w:t>Systémové infekce (včetně sepse, kandidózy</w:t>
            </w:r>
            <w:r w:rsidR="002378E0">
              <w:rPr>
                <w:szCs w:val="22"/>
                <w:lang w:val="cs-CZ"/>
              </w:rPr>
              <w:t xml:space="preserve"> a </w:t>
            </w:r>
            <w:r w:rsidRPr="001B4A02">
              <w:rPr>
                <w:szCs w:val="22"/>
                <w:lang w:val="cs-CZ"/>
              </w:rPr>
              <w:t>chřipky),</w:t>
            </w:r>
          </w:p>
          <w:p w14:paraId="5F831222" w14:textId="77777777" w:rsidR="00E45929" w:rsidRPr="001B4A02" w:rsidRDefault="00000000" w:rsidP="00ED48A3">
            <w:pPr>
              <w:pStyle w:val="EMEANormal"/>
              <w:rPr>
                <w:szCs w:val="22"/>
                <w:lang w:val="cs-CZ"/>
              </w:rPr>
            </w:pPr>
            <w:r w:rsidRPr="001B4A02">
              <w:rPr>
                <w:szCs w:val="22"/>
                <w:lang w:val="cs-CZ"/>
              </w:rPr>
              <w:t>střevní infekce (včetně virové gastroenteritidy),</w:t>
            </w:r>
          </w:p>
          <w:p w14:paraId="425B8675" w14:textId="77777777" w:rsidR="00E45929" w:rsidRPr="001B4A02" w:rsidRDefault="00000000" w:rsidP="00ED48A3">
            <w:pPr>
              <w:pStyle w:val="EMEANormal"/>
              <w:rPr>
                <w:szCs w:val="22"/>
                <w:lang w:val="cs-CZ"/>
              </w:rPr>
            </w:pPr>
            <w:r w:rsidRPr="001B4A02">
              <w:rPr>
                <w:szCs w:val="22"/>
                <w:lang w:val="cs-CZ"/>
              </w:rPr>
              <w:t>infekce kůže</w:t>
            </w:r>
            <w:r w:rsidR="002378E0">
              <w:rPr>
                <w:szCs w:val="22"/>
                <w:lang w:val="cs-CZ"/>
              </w:rPr>
              <w:t xml:space="preserve"> a </w:t>
            </w:r>
            <w:r w:rsidRPr="001B4A02">
              <w:rPr>
                <w:szCs w:val="22"/>
                <w:lang w:val="cs-CZ"/>
              </w:rPr>
              <w:t>měkkých tkání (včetně paronychia, celulitidy, impetiga, nekrotizující fasciitidy</w:t>
            </w:r>
            <w:r w:rsidR="002378E0">
              <w:rPr>
                <w:szCs w:val="22"/>
                <w:lang w:val="cs-CZ"/>
              </w:rPr>
              <w:t xml:space="preserve"> a </w:t>
            </w:r>
            <w:r w:rsidRPr="001B4A02">
              <w:rPr>
                <w:szCs w:val="22"/>
                <w:lang w:val="cs-CZ"/>
              </w:rPr>
              <w:t>herpes zoster),</w:t>
            </w:r>
          </w:p>
          <w:p w14:paraId="4C4203C1" w14:textId="77777777" w:rsidR="00E45929" w:rsidRPr="001B4A02" w:rsidRDefault="00000000" w:rsidP="00ED48A3">
            <w:pPr>
              <w:pStyle w:val="EMEANormal"/>
              <w:rPr>
                <w:szCs w:val="22"/>
                <w:lang w:val="cs-CZ"/>
              </w:rPr>
            </w:pPr>
            <w:r w:rsidRPr="001B4A02">
              <w:rPr>
                <w:szCs w:val="22"/>
                <w:lang w:val="cs-CZ"/>
              </w:rPr>
              <w:t>ušní infekce,</w:t>
            </w:r>
          </w:p>
          <w:p w14:paraId="1B96E75F" w14:textId="77777777" w:rsidR="00E45929" w:rsidRPr="001B4A02" w:rsidRDefault="00000000" w:rsidP="00ED48A3">
            <w:pPr>
              <w:pStyle w:val="EMEANormal"/>
              <w:rPr>
                <w:szCs w:val="22"/>
                <w:shd w:val="clear" w:color="auto" w:fill="FFFF00"/>
                <w:lang w:val="cs-CZ"/>
              </w:rPr>
            </w:pPr>
            <w:r w:rsidRPr="001B4A02">
              <w:rPr>
                <w:szCs w:val="22"/>
                <w:lang w:val="cs-CZ"/>
              </w:rPr>
              <w:t>orální infekce (včetně herpes simplex, orální</w:t>
            </w:r>
            <w:r w:rsidR="00936E7B">
              <w:rPr>
                <w:szCs w:val="22"/>
                <w:lang w:val="cs-CZ"/>
              </w:rPr>
              <w:t>ho</w:t>
            </w:r>
            <w:r w:rsidRPr="001B4A02">
              <w:rPr>
                <w:szCs w:val="22"/>
                <w:lang w:val="cs-CZ"/>
              </w:rPr>
              <w:t xml:space="preserve"> herpes</w:t>
            </w:r>
            <w:r w:rsidR="002378E0">
              <w:rPr>
                <w:szCs w:val="22"/>
                <w:lang w:val="cs-CZ"/>
              </w:rPr>
              <w:t xml:space="preserve"> a </w:t>
            </w:r>
            <w:r w:rsidRPr="001B4A02">
              <w:rPr>
                <w:szCs w:val="22"/>
                <w:lang w:val="cs-CZ"/>
              </w:rPr>
              <w:t>zubních infekcí),</w:t>
            </w:r>
            <w:r w:rsidRPr="001B4A02">
              <w:rPr>
                <w:szCs w:val="22"/>
                <w:shd w:val="clear" w:color="auto" w:fill="FFFF00"/>
                <w:lang w:val="cs-CZ"/>
              </w:rPr>
              <w:t xml:space="preserve"> </w:t>
            </w:r>
          </w:p>
          <w:p w14:paraId="0736DC57" w14:textId="77777777" w:rsidR="00E45929" w:rsidRPr="001B4A02" w:rsidRDefault="00000000" w:rsidP="00ED48A3">
            <w:pPr>
              <w:pStyle w:val="EMEANormal"/>
              <w:rPr>
                <w:szCs w:val="22"/>
                <w:lang w:val="cs-CZ"/>
              </w:rPr>
            </w:pPr>
            <w:r w:rsidRPr="001B4A02">
              <w:rPr>
                <w:szCs w:val="22"/>
                <w:lang w:val="cs-CZ"/>
              </w:rPr>
              <w:t>infekce reprodukčního systému (včetně vulvovaginální myotické infekce),</w:t>
            </w:r>
          </w:p>
          <w:p w14:paraId="5EAFAB41" w14:textId="77777777" w:rsidR="00E45929" w:rsidRPr="001B4A02" w:rsidRDefault="00000000" w:rsidP="00ED48A3">
            <w:pPr>
              <w:pStyle w:val="EMEANormal"/>
              <w:rPr>
                <w:szCs w:val="22"/>
                <w:lang w:val="cs-CZ"/>
              </w:rPr>
            </w:pPr>
            <w:r w:rsidRPr="001B4A02">
              <w:rPr>
                <w:szCs w:val="22"/>
                <w:lang w:val="cs-CZ"/>
              </w:rPr>
              <w:t>infekce močových cest (včetně pyelonefritidy),</w:t>
            </w:r>
          </w:p>
          <w:p w14:paraId="1449B88E" w14:textId="77777777" w:rsidR="00E45929" w:rsidRPr="001B4A02" w:rsidRDefault="00000000" w:rsidP="00ED48A3">
            <w:pPr>
              <w:pStyle w:val="EMEANormal"/>
              <w:rPr>
                <w:szCs w:val="22"/>
                <w:lang w:val="cs-CZ"/>
              </w:rPr>
            </w:pPr>
            <w:r w:rsidRPr="001B4A02">
              <w:rPr>
                <w:szCs w:val="22"/>
                <w:lang w:val="cs-CZ"/>
              </w:rPr>
              <w:t>plísňové infekce,</w:t>
            </w:r>
          </w:p>
          <w:p w14:paraId="6B39CE30" w14:textId="77777777" w:rsidR="00E45929" w:rsidRPr="001B4A02" w:rsidRDefault="00000000" w:rsidP="00ED48A3">
            <w:pPr>
              <w:pStyle w:val="EMEANormal"/>
              <w:rPr>
                <w:szCs w:val="22"/>
                <w:lang w:val="cs-CZ"/>
              </w:rPr>
            </w:pPr>
            <w:r w:rsidRPr="001B4A02">
              <w:rPr>
                <w:szCs w:val="22"/>
                <w:lang w:val="cs-CZ"/>
              </w:rPr>
              <w:t xml:space="preserve">kloubní infekce </w:t>
            </w:r>
          </w:p>
          <w:p w14:paraId="23A806E5" w14:textId="77777777" w:rsidR="00E45929" w:rsidRPr="001B4A02" w:rsidRDefault="00E45929" w:rsidP="00ED48A3">
            <w:pPr>
              <w:pStyle w:val="EMEANormal"/>
              <w:rPr>
                <w:szCs w:val="22"/>
                <w:lang w:val="cs-CZ"/>
              </w:rPr>
            </w:pPr>
          </w:p>
        </w:tc>
      </w:tr>
      <w:tr w:rsidR="00534A2D" w14:paraId="27AE497A" w14:textId="77777777" w:rsidTr="00961CF6">
        <w:trPr>
          <w:cantSplit/>
          <w:trHeight w:val="342"/>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B055D9A"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17E4C9AC" w14:textId="77777777" w:rsidR="00E45929"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3F197C90" w14:textId="77777777" w:rsidR="00E45929" w:rsidRPr="001B4A02" w:rsidRDefault="00000000" w:rsidP="00ED48A3">
            <w:pPr>
              <w:pStyle w:val="EMEANormal"/>
              <w:rPr>
                <w:szCs w:val="22"/>
                <w:lang w:val="cs-CZ"/>
              </w:rPr>
            </w:pPr>
            <w:r w:rsidRPr="001B4A02">
              <w:rPr>
                <w:szCs w:val="22"/>
                <w:lang w:val="cs-CZ"/>
              </w:rPr>
              <w:t>Neurologické infekce (včetně virové meningitidy),</w:t>
            </w:r>
          </w:p>
          <w:p w14:paraId="4FCC792D" w14:textId="77777777" w:rsidR="00E45929" w:rsidRPr="001B4A02" w:rsidRDefault="00000000" w:rsidP="00ED48A3">
            <w:pPr>
              <w:pStyle w:val="EMEANormal"/>
              <w:rPr>
                <w:szCs w:val="22"/>
                <w:lang w:val="cs-CZ"/>
              </w:rPr>
            </w:pPr>
            <w:r w:rsidRPr="001B4A02">
              <w:rPr>
                <w:szCs w:val="22"/>
                <w:lang w:val="cs-CZ"/>
              </w:rPr>
              <w:t>oportunní infekce</w:t>
            </w:r>
            <w:r w:rsidR="002378E0">
              <w:rPr>
                <w:szCs w:val="22"/>
                <w:lang w:val="cs-CZ"/>
              </w:rPr>
              <w:t xml:space="preserve"> a </w:t>
            </w:r>
            <w:r w:rsidRPr="001B4A02">
              <w:rPr>
                <w:szCs w:val="22"/>
                <w:lang w:val="cs-CZ"/>
              </w:rPr>
              <w:t>tuberkulóza (včetně kokcidiomykózy, histoplasmózy</w:t>
            </w:r>
            <w:r w:rsidR="002378E0">
              <w:rPr>
                <w:szCs w:val="22"/>
                <w:lang w:val="cs-CZ"/>
              </w:rPr>
              <w:t xml:space="preserve"> a </w:t>
            </w:r>
            <w:r w:rsidRPr="001B4A02">
              <w:rPr>
                <w:szCs w:val="22"/>
                <w:lang w:val="cs-CZ"/>
              </w:rPr>
              <w:t>infekcí způsobených mycobacterium avium complex),</w:t>
            </w:r>
          </w:p>
          <w:p w14:paraId="72519D85" w14:textId="77777777" w:rsidR="00E45929" w:rsidRPr="001B4A02" w:rsidRDefault="00000000" w:rsidP="00ED48A3">
            <w:pPr>
              <w:pStyle w:val="EMEANormal"/>
              <w:rPr>
                <w:szCs w:val="22"/>
                <w:lang w:val="cs-CZ"/>
              </w:rPr>
            </w:pPr>
            <w:r w:rsidRPr="001B4A02">
              <w:rPr>
                <w:szCs w:val="22"/>
                <w:lang w:val="cs-CZ"/>
              </w:rPr>
              <w:t>bakteriální infekce,</w:t>
            </w:r>
          </w:p>
          <w:p w14:paraId="4014DFEB" w14:textId="77777777" w:rsidR="00E45929" w:rsidRPr="001B4A02" w:rsidRDefault="00000000" w:rsidP="00ED48A3">
            <w:pPr>
              <w:pStyle w:val="EMEANormal"/>
              <w:rPr>
                <w:szCs w:val="22"/>
                <w:lang w:val="cs-CZ"/>
              </w:rPr>
            </w:pPr>
            <w:r w:rsidRPr="001B4A02">
              <w:rPr>
                <w:szCs w:val="22"/>
                <w:lang w:val="cs-CZ"/>
              </w:rPr>
              <w:t>oční infekce,</w:t>
            </w:r>
          </w:p>
          <w:p w14:paraId="7BDF03B9" w14:textId="77777777" w:rsidR="00E45929" w:rsidRPr="001B4A02" w:rsidRDefault="00000000" w:rsidP="00ED48A3">
            <w:pPr>
              <w:pStyle w:val="EMEANormal"/>
              <w:rPr>
                <w:szCs w:val="22"/>
                <w:lang w:val="cs-CZ"/>
              </w:rPr>
            </w:pPr>
            <w:r w:rsidRPr="001B4A02">
              <w:rPr>
                <w:szCs w:val="22"/>
                <w:lang w:val="cs-CZ"/>
              </w:rPr>
              <w:t>divertikulitida</w:t>
            </w:r>
            <w:r w:rsidRPr="001B4A02">
              <w:rPr>
                <w:szCs w:val="22"/>
                <w:vertAlign w:val="superscript"/>
                <w:lang w:val="cs-CZ"/>
              </w:rPr>
              <w:t>1)</w:t>
            </w:r>
          </w:p>
          <w:p w14:paraId="359EC9BE" w14:textId="77777777" w:rsidR="00E45929" w:rsidRPr="001B4A02" w:rsidRDefault="00E45929" w:rsidP="00ED48A3">
            <w:pPr>
              <w:pStyle w:val="EMEANormal"/>
              <w:rPr>
                <w:szCs w:val="22"/>
                <w:lang w:val="cs-CZ"/>
              </w:rPr>
            </w:pPr>
          </w:p>
        </w:tc>
      </w:tr>
      <w:tr w:rsidR="00534A2D" w14:paraId="257E0F2C" w14:textId="77777777" w:rsidTr="00961CF6">
        <w:trPr>
          <w:cantSplit/>
          <w:trHeight w:val="274"/>
          <w:jc w:val="center"/>
        </w:trPr>
        <w:tc>
          <w:tcPr>
            <w:tcW w:w="2880" w:type="dxa"/>
            <w:vMerge w:val="restart"/>
            <w:tcBorders>
              <w:top w:val="single" w:sz="4" w:space="0" w:color="auto"/>
              <w:left w:val="single" w:sz="4" w:space="0" w:color="auto"/>
              <w:right w:val="single" w:sz="4" w:space="0" w:color="auto"/>
            </w:tcBorders>
          </w:tcPr>
          <w:p w14:paraId="6445A3C9" w14:textId="77777777" w:rsidR="00E45929" w:rsidRPr="001B4A02" w:rsidRDefault="00000000" w:rsidP="00ED48A3">
            <w:pPr>
              <w:pStyle w:val="EMEANormal"/>
              <w:tabs>
                <w:tab w:val="left" w:pos="0"/>
              </w:tabs>
              <w:suppressAutoHyphens w:val="0"/>
              <w:rPr>
                <w:szCs w:val="22"/>
                <w:lang w:val="cs-CZ"/>
              </w:rPr>
            </w:pPr>
            <w:r w:rsidRPr="001B4A02">
              <w:rPr>
                <w:szCs w:val="22"/>
                <w:lang w:val="cs-CZ"/>
              </w:rPr>
              <w:t>Novotvary benigní, maligní</w:t>
            </w:r>
            <w:r w:rsidR="002378E0">
              <w:rPr>
                <w:szCs w:val="22"/>
                <w:lang w:val="cs-CZ"/>
              </w:rPr>
              <w:t xml:space="preserve"> a </w:t>
            </w:r>
            <w:r w:rsidRPr="001B4A02">
              <w:rPr>
                <w:szCs w:val="22"/>
                <w:lang w:val="cs-CZ"/>
              </w:rPr>
              <w:t>blíže neurčené (zahrnující cysty</w:t>
            </w:r>
            <w:r w:rsidR="002378E0">
              <w:rPr>
                <w:szCs w:val="22"/>
                <w:lang w:val="cs-CZ"/>
              </w:rPr>
              <w:t xml:space="preserve"> a </w:t>
            </w:r>
            <w:r w:rsidRPr="001B4A02">
              <w:rPr>
                <w:szCs w:val="22"/>
                <w:lang w:val="cs-CZ"/>
              </w:rPr>
              <w:t>polypy)*</w:t>
            </w:r>
          </w:p>
        </w:tc>
        <w:tc>
          <w:tcPr>
            <w:tcW w:w="1440" w:type="dxa"/>
            <w:tcBorders>
              <w:top w:val="single" w:sz="4" w:space="0" w:color="auto"/>
              <w:left w:val="single" w:sz="4" w:space="0" w:color="auto"/>
              <w:bottom w:val="single" w:sz="4" w:space="0" w:color="auto"/>
              <w:right w:val="single" w:sz="4" w:space="0" w:color="auto"/>
            </w:tcBorders>
          </w:tcPr>
          <w:p w14:paraId="5EA94762" w14:textId="77777777" w:rsidR="00E45929"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1F2473FD" w14:textId="77777777" w:rsidR="00E45929" w:rsidRPr="001B4A02" w:rsidRDefault="00000000" w:rsidP="00ED48A3">
            <w:pPr>
              <w:pStyle w:val="EMEANormal"/>
              <w:rPr>
                <w:szCs w:val="22"/>
                <w:lang w:val="cs-CZ"/>
              </w:rPr>
            </w:pPr>
            <w:r w:rsidRPr="001B4A02">
              <w:rPr>
                <w:szCs w:val="22"/>
                <w:lang w:val="cs-CZ"/>
              </w:rPr>
              <w:t>Karcinom kůže vyjma melanomu (včetně karcinomu z bazálních buněk</w:t>
            </w:r>
            <w:r w:rsidR="002378E0">
              <w:rPr>
                <w:szCs w:val="22"/>
                <w:lang w:val="cs-CZ"/>
              </w:rPr>
              <w:t xml:space="preserve"> a </w:t>
            </w:r>
            <w:r w:rsidRPr="001B4A02">
              <w:rPr>
                <w:szCs w:val="22"/>
                <w:lang w:val="cs-CZ"/>
              </w:rPr>
              <w:t>skvamózního buněčného karcinomu),</w:t>
            </w:r>
          </w:p>
          <w:p w14:paraId="54826E47" w14:textId="77777777" w:rsidR="00E45929" w:rsidRPr="001B4A02" w:rsidRDefault="00000000" w:rsidP="00ED48A3">
            <w:pPr>
              <w:pStyle w:val="EMEANormal"/>
              <w:rPr>
                <w:szCs w:val="22"/>
                <w:lang w:val="cs-CZ"/>
              </w:rPr>
            </w:pPr>
            <w:r w:rsidRPr="001B4A02">
              <w:rPr>
                <w:szCs w:val="22"/>
                <w:lang w:val="cs-CZ"/>
              </w:rPr>
              <w:t>benigní neoplázie</w:t>
            </w:r>
          </w:p>
          <w:p w14:paraId="2ACD6A91" w14:textId="77777777" w:rsidR="00E45929" w:rsidRPr="001B4A02" w:rsidRDefault="00E45929" w:rsidP="00ED48A3">
            <w:pPr>
              <w:pStyle w:val="EMEANormal"/>
              <w:rPr>
                <w:szCs w:val="22"/>
                <w:lang w:val="cs-CZ"/>
              </w:rPr>
            </w:pPr>
          </w:p>
        </w:tc>
      </w:tr>
      <w:tr w:rsidR="00534A2D" w14:paraId="06DB6725" w14:textId="77777777" w:rsidTr="00961CF6">
        <w:trPr>
          <w:cantSplit/>
          <w:trHeight w:val="432"/>
          <w:jc w:val="center"/>
        </w:trPr>
        <w:tc>
          <w:tcPr>
            <w:tcW w:w="0" w:type="auto"/>
            <w:vMerge/>
            <w:tcBorders>
              <w:left w:val="single" w:sz="4" w:space="0" w:color="auto"/>
              <w:right w:val="single" w:sz="4" w:space="0" w:color="auto"/>
            </w:tcBorders>
            <w:vAlign w:val="center"/>
          </w:tcPr>
          <w:p w14:paraId="7018E44C"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5FB253C" w14:textId="77777777" w:rsidR="00E45929"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0ED01863" w14:textId="77777777" w:rsidR="00E45929" w:rsidRPr="001B4A02" w:rsidRDefault="00000000" w:rsidP="00ED48A3">
            <w:pPr>
              <w:pStyle w:val="EMEANormal"/>
              <w:rPr>
                <w:szCs w:val="22"/>
                <w:lang w:val="cs-CZ"/>
              </w:rPr>
            </w:pPr>
            <w:r w:rsidRPr="001B4A02">
              <w:rPr>
                <w:szCs w:val="22"/>
                <w:lang w:val="cs-CZ"/>
              </w:rPr>
              <w:t>Lymfom**,</w:t>
            </w:r>
          </w:p>
          <w:p w14:paraId="60443A2C" w14:textId="77777777" w:rsidR="00E45929" w:rsidRPr="001B4A02" w:rsidRDefault="00000000" w:rsidP="00ED48A3">
            <w:pPr>
              <w:pStyle w:val="EMEANormal"/>
              <w:rPr>
                <w:szCs w:val="22"/>
                <w:lang w:val="cs-CZ"/>
              </w:rPr>
            </w:pPr>
            <w:r w:rsidRPr="001B4A02">
              <w:rPr>
                <w:szCs w:val="22"/>
                <w:lang w:val="cs-CZ"/>
              </w:rPr>
              <w:t>novotvary solidních orgánů (včetně karcinomu prsu, plicní neoplázie</w:t>
            </w:r>
            <w:r w:rsidR="002378E0">
              <w:rPr>
                <w:szCs w:val="22"/>
                <w:lang w:val="cs-CZ"/>
              </w:rPr>
              <w:t xml:space="preserve"> a </w:t>
            </w:r>
            <w:r w:rsidRPr="001B4A02">
              <w:rPr>
                <w:szCs w:val="22"/>
                <w:lang w:val="cs-CZ"/>
              </w:rPr>
              <w:t>neoplázie štítné žlázy),</w:t>
            </w:r>
          </w:p>
          <w:p w14:paraId="34788A45" w14:textId="77777777" w:rsidR="00E45929" w:rsidRPr="001B4A02" w:rsidRDefault="00000000" w:rsidP="00ED48A3">
            <w:pPr>
              <w:pStyle w:val="EMEANormal"/>
              <w:rPr>
                <w:szCs w:val="22"/>
                <w:lang w:val="cs-CZ"/>
              </w:rPr>
            </w:pPr>
            <w:r w:rsidRPr="001B4A02">
              <w:rPr>
                <w:szCs w:val="22"/>
                <w:lang w:val="cs-CZ"/>
              </w:rPr>
              <w:t>melanom**</w:t>
            </w:r>
          </w:p>
          <w:p w14:paraId="0F5D3C35" w14:textId="77777777" w:rsidR="00E45929" w:rsidRPr="001B4A02" w:rsidRDefault="00E45929" w:rsidP="00ED48A3">
            <w:pPr>
              <w:pStyle w:val="EMEANormal"/>
              <w:rPr>
                <w:szCs w:val="22"/>
                <w:lang w:val="cs-CZ"/>
              </w:rPr>
            </w:pPr>
          </w:p>
        </w:tc>
      </w:tr>
      <w:tr w:rsidR="00534A2D" w14:paraId="4445322D" w14:textId="77777777" w:rsidTr="00961CF6">
        <w:trPr>
          <w:cantSplit/>
          <w:trHeight w:val="432"/>
          <w:jc w:val="center"/>
        </w:trPr>
        <w:tc>
          <w:tcPr>
            <w:tcW w:w="0" w:type="auto"/>
            <w:vMerge/>
            <w:tcBorders>
              <w:left w:val="single" w:sz="4" w:space="0" w:color="auto"/>
              <w:right w:val="single" w:sz="4" w:space="0" w:color="auto"/>
            </w:tcBorders>
            <w:vAlign w:val="center"/>
          </w:tcPr>
          <w:p w14:paraId="2A109829"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59AA2CB1" w14:textId="77777777" w:rsidR="00E45929" w:rsidRPr="001B4A02" w:rsidRDefault="00000000" w:rsidP="00ED48A3">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70816D4C" w14:textId="77777777" w:rsidR="00E45929" w:rsidRDefault="00000000" w:rsidP="00ED48A3">
            <w:pPr>
              <w:pStyle w:val="EMEANormal"/>
              <w:rPr>
                <w:szCs w:val="22"/>
                <w:lang w:val="cs-CZ"/>
              </w:rPr>
            </w:pPr>
            <w:r w:rsidRPr="001B4A02">
              <w:rPr>
                <w:szCs w:val="22"/>
                <w:lang w:val="cs-CZ"/>
              </w:rPr>
              <w:t>Leukémie</w:t>
            </w:r>
            <w:r w:rsidRPr="001B4A02">
              <w:rPr>
                <w:szCs w:val="22"/>
                <w:vertAlign w:val="superscript"/>
                <w:lang w:val="cs-CZ"/>
              </w:rPr>
              <w:t>1)</w:t>
            </w:r>
          </w:p>
          <w:p w14:paraId="304AE523" w14:textId="77777777" w:rsidR="00C416F7" w:rsidRPr="00C416F7" w:rsidRDefault="00C416F7" w:rsidP="00ED48A3">
            <w:pPr>
              <w:pStyle w:val="EMEANormal"/>
              <w:rPr>
                <w:szCs w:val="22"/>
                <w:lang w:val="cs-CZ"/>
              </w:rPr>
            </w:pPr>
          </w:p>
        </w:tc>
      </w:tr>
      <w:tr w:rsidR="00534A2D" w14:paraId="5F3D07C9" w14:textId="77777777" w:rsidTr="00961CF6">
        <w:trPr>
          <w:cantSplit/>
          <w:trHeight w:val="432"/>
          <w:jc w:val="center"/>
        </w:trPr>
        <w:tc>
          <w:tcPr>
            <w:tcW w:w="0" w:type="auto"/>
            <w:vMerge/>
            <w:tcBorders>
              <w:left w:val="single" w:sz="4" w:space="0" w:color="auto"/>
              <w:bottom w:val="single" w:sz="4" w:space="0" w:color="auto"/>
              <w:right w:val="single" w:sz="4" w:space="0" w:color="auto"/>
            </w:tcBorders>
            <w:vAlign w:val="center"/>
          </w:tcPr>
          <w:p w14:paraId="2DA2C69C"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58AA157A" w14:textId="77777777" w:rsidR="00E45929" w:rsidRPr="001B4A02" w:rsidRDefault="00000000" w:rsidP="00ED48A3">
            <w:pPr>
              <w:pStyle w:val="EMEANormal"/>
              <w:rPr>
                <w:szCs w:val="22"/>
                <w:lang w:val="cs-CZ"/>
              </w:rPr>
            </w:pPr>
            <w:r w:rsidRPr="001B4A02">
              <w:rPr>
                <w:szCs w:val="22"/>
                <w:lang w:val="cs-CZ"/>
              </w:rPr>
              <w:t>Není známo</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1006DC1D" w14:textId="77777777" w:rsidR="00E45929" w:rsidRPr="001B4A02" w:rsidRDefault="00000000" w:rsidP="00ED48A3">
            <w:pPr>
              <w:pStyle w:val="EMEANormal"/>
              <w:rPr>
                <w:szCs w:val="22"/>
                <w:lang w:val="cs-CZ"/>
              </w:rPr>
            </w:pPr>
            <w:r w:rsidRPr="001B4A02">
              <w:rPr>
                <w:szCs w:val="22"/>
                <w:lang w:val="cs-CZ"/>
              </w:rPr>
              <w:t>Hepatosplenický T-buněčný lymfom</w:t>
            </w:r>
            <w:r w:rsidRPr="001B4A02">
              <w:rPr>
                <w:szCs w:val="22"/>
                <w:vertAlign w:val="superscript"/>
                <w:lang w:val="cs-CZ"/>
              </w:rPr>
              <w:t>1)</w:t>
            </w:r>
            <w:r w:rsidR="004B7C04" w:rsidRPr="001B4A02">
              <w:rPr>
                <w:szCs w:val="22"/>
                <w:lang w:val="cs-CZ"/>
              </w:rPr>
              <w:t>,</w:t>
            </w:r>
          </w:p>
          <w:p w14:paraId="72370280" w14:textId="77777777" w:rsidR="009A21A5" w:rsidRDefault="00000000" w:rsidP="009A21A5">
            <w:pPr>
              <w:pStyle w:val="EMEANormal"/>
              <w:rPr>
                <w:lang w:val="cs-CZ"/>
              </w:rPr>
            </w:pPr>
            <w:r w:rsidRPr="001B4A02">
              <w:rPr>
                <w:lang w:val="cs-CZ"/>
              </w:rPr>
              <w:t>karcinom z Merkelových buněk (neuroendokrinní karcinom kůže)</w:t>
            </w:r>
            <w:r w:rsidRPr="001B4A02">
              <w:rPr>
                <w:vertAlign w:val="superscript"/>
                <w:lang w:val="cs-CZ"/>
              </w:rPr>
              <w:t>1</w:t>
            </w:r>
            <w:r>
              <w:rPr>
                <w:lang w:val="cs-CZ"/>
              </w:rPr>
              <w:t>,</w:t>
            </w:r>
          </w:p>
          <w:p w14:paraId="4367CAA8" w14:textId="77777777" w:rsidR="00E45929" w:rsidRPr="009A21A5" w:rsidRDefault="00000000" w:rsidP="009A21A5">
            <w:pPr>
              <w:pStyle w:val="EMEANormal"/>
              <w:rPr>
                <w:lang w:val="cs-CZ"/>
              </w:rPr>
            </w:pPr>
            <w:r>
              <w:rPr>
                <w:lang w:val="cs-CZ"/>
              </w:rPr>
              <w:t xml:space="preserve">Kaposiho </w:t>
            </w:r>
            <w:r w:rsidRPr="009A21A5">
              <w:rPr>
                <w:lang w:val="cs-CZ"/>
              </w:rPr>
              <w:t>sarkom</w:t>
            </w:r>
          </w:p>
          <w:p w14:paraId="7FD66712" w14:textId="77777777" w:rsidR="00E45929" w:rsidRPr="001B4A02" w:rsidRDefault="00E45929" w:rsidP="00ED48A3">
            <w:pPr>
              <w:pStyle w:val="EMEANormal"/>
              <w:rPr>
                <w:szCs w:val="22"/>
                <w:lang w:val="cs-CZ"/>
              </w:rPr>
            </w:pPr>
          </w:p>
        </w:tc>
      </w:tr>
      <w:tr w:rsidR="00534A2D" w14:paraId="1D01321F" w14:textId="77777777" w:rsidTr="00961CF6">
        <w:trPr>
          <w:cantSplit/>
          <w:trHeight w:val="127"/>
          <w:jc w:val="center"/>
        </w:trPr>
        <w:tc>
          <w:tcPr>
            <w:tcW w:w="2880" w:type="dxa"/>
            <w:vMerge w:val="restart"/>
            <w:tcBorders>
              <w:top w:val="single" w:sz="4" w:space="0" w:color="auto"/>
              <w:left w:val="single" w:sz="4" w:space="0" w:color="auto"/>
              <w:bottom w:val="single" w:sz="4" w:space="0" w:color="auto"/>
              <w:right w:val="single" w:sz="4" w:space="0" w:color="auto"/>
            </w:tcBorders>
          </w:tcPr>
          <w:p w14:paraId="436099BD" w14:textId="77777777" w:rsidR="00E45929" w:rsidRPr="001B4A02" w:rsidRDefault="00000000" w:rsidP="00ED48A3">
            <w:pPr>
              <w:pStyle w:val="EMEANormal"/>
              <w:tabs>
                <w:tab w:val="left" w:pos="0"/>
              </w:tabs>
              <w:rPr>
                <w:szCs w:val="22"/>
                <w:lang w:val="cs-CZ"/>
              </w:rPr>
            </w:pPr>
            <w:r w:rsidRPr="001B4A02">
              <w:rPr>
                <w:szCs w:val="22"/>
                <w:lang w:val="cs-CZ"/>
              </w:rPr>
              <w:t>Poruchy krve</w:t>
            </w:r>
            <w:r w:rsidR="002378E0">
              <w:rPr>
                <w:szCs w:val="22"/>
                <w:lang w:val="cs-CZ"/>
              </w:rPr>
              <w:t xml:space="preserve"> a </w:t>
            </w:r>
            <w:r w:rsidRPr="001B4A02">
              <w:rPr>
                <w:szCs w:val="22"/>
                <w:lang w:val="cs-CZ"/>
              </w:rPr>
              <w:t>lymfatického systému*</w:t>
            </w:r>
          </w:p>
        </w:tc>
        <w:tc>
          <w:tcPr>
            <w:tcW w:w="1440" w:type="dxa"/>
            <w:tcBorders>
              <w:top w:val="single" w:sz="4" w:space="0" w:color="auto"/>
              <w:left w:val="single" w:sz="4" w:space="0" w:color="auto"/>
              <w:bottom w:val="single" w:sz="4" w:space="0" w:color="auto"/>
              <w:right w:val="single" w:sz="4" w:space="0" w:color="auto"/>
            </w:tcBorders>
          </w:tcPr>
          <w:p w14:paraId="6BF6BAD4" w14:textId="77777777" w:rsidR="00E45929" w:rsidRPr="001B4A02" w:rsidRDefault="00000000" w:rsidP="00ED48A3">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736A48AE" w14:textId="77777777" w:rsidR="00E45929" w:rsidRPr="001B4A02" w:rsidRDefault="00000000" w:rsidP="00ED48A3">
            <w:pPr>
              <w:pStyle w:val="EMEANormal"/>
              <w:rPr>
                <w:szCs w:val="22"/>
                <w:lang w:val="cs-CZ"/>
              </w:rPr>
            </w:pPr>
            <w:r w:rsidRPr="001B4A02">
              <w:rPr>
                <w:szCs w:val="22"/>
                <w:lang w:val="cs-CZ"/>
              </w:rPr>
              <w:t>Leukopenie (včetně neutropenie</w:t>
            </w:r>
            <w:r w:rsidR="002378E0">
              <w:rPr>
                <w:szCs w:val="22"/>
                <w:lang w:val="cs-CZ"/>
              </w:rPr>
              <w:t xml:space="preserve"> a </w:t>
            </w:r>
            <w:r w:rsidRPr="001B4A02">
              <w:rPr>
                <w:szCs w:val="22"/>
                <w:lang w:val="cs-CZ"/>
              </w:rPr>
              <w:t>agranulocytózy),</w:t>
            </w:r>
          </w:p>
          <w:p w14:paraId="4F732A2E" w14:textId="77777777" w:rsidR="00E45929" w:rsidRPr="001B4A02" w:rsidRDefault="00000000" w:rsidP="00ED48A3">
            <w:pPr>
              <w:pStyle w:val="EMEANormal"/>
              <w:rPr>
                <w:szCs w:val="22"/>
                <w:lang w:val="cs-CZ"/>
              </w:rPr>
            </w:pPr>
            <w:r w:rsidRPr="001B4A02">
              <w:rPr>
                <w:szCs w:val="22"/>
                <w:lang w:val="cs-CZ"/>
              </w:rPr>
              <w:t>anémie</w:t>
            </w:r>
          </w:p>
          <w:p w14:paraId="10260101" w14:textId="77777777" w:rsidR="00E45929" w:rsidRPr="001B4A02" w:rsidRDefault="00E45929" w:rsidP="00ED48A3">
            <w:pPr>
              <w:pStyle w:val="EMEANormal"/>
              <w:rPr>
                <w:szCs w:val="22"/>
                <w:lang w:val="cs-CZ"/>
              </w:rPr>
            </w:pPr>
          </w:p>
        </w:tc>
      </w:tr>
      <w:tr w:rsidR="00534A2D" w14:paraId="735E3366" w14:textId="77777777" w:rsidTr="00961CF6">
        <w:trPr>
          <w:cantSplit/>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1EC8FED"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7B5A4791" w14:textId="77777777" w:rsidR="00E45929"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51788906" w14:textId="77777777" w:rsidR="00E45929" w:rsidRPr="001B4A02" w:rsidRDefault="00000000" w:rsidP="00ED48A3">
            <w:pPr>
              <w:pStyle w:val="EMEANormal"/>
              <w:rPr>
                <w:szCs w:val="22"/>
                <w:lang w:val="cs-CZ"/>
              </w:rPr>
            </w:pPr>
            <w:r w:rsidRPr="001B4A02">
              <w:rPr>
                <w:szCs w:val="22"/>
                <w:lang w:val="cs-CZ"/>
              </w:rPr>
              <w:t>Leukocytóza,</w:t>
            </w:r>
          </w:p>
          <w:p w14:paraId="182D950E" w14:textId="77777777" w:rsidR="00E45929" w:rsidRPr="001B4A02" w:rsidRDefault="00000000" w:rsidP="00ED48A3">
            <w:pPr>
              <w:pStyle w:val="EMEANormal"/>
              <w:rPr>
                <w:szCs w:val="22"/>
                <w:lang w:val="cs-CZ"/>
              </w:rPr>
            </w:pPr>
            <w:r w:rsidRPr="001B4A02">
              <w:rPr>
                <w:szCs w:val="22"/>
                <w:lang w:val="cs-CZ"/>
              </w:rPr>
              <w:t>trombocytopenie</w:t>
            </w:r>
          </w:p>
          <w:p w14:paraId="27BC06D0" w14:textId="77777777" w:rsidR="00E45929" w:rsidRPr="001B4A02" w:rsidRDefault="00E45929" w:rsidP="00ED48A3">
            <w:pPr>
              <w:pStyle w:val="EMEANormal"/>
              <w:rPr>
                <w:szCs w:val="22"/>
                <w:lang w:val="cs-CZ"/>
              </w:rPr>
            </w:pPr>
          </w:p>
        </w:tc>
      </w:tr>
      <w:tr w:rsidR="00534A2D" w14:paraId="653239A8" w14:textId="77777777" w:rsidTr="00961CF6">
        <w:trPr>
          <w:cantSplit/>
          <w:trHeight w:val="8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FE6C816"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5396F3E5" w14:textId="77777777" w:rsidR="00E45929"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6117746D" w14:textId="77777777" w:rsidR="00E45929" w:rsidRPr="001B4A02" w:rsidRDefault="00000000" w:rsidP="00ED48A3">
            <w:pPr>
              <w:pStyle w:val="EMEANormal"/>
              <w:rPr>
                <w:szCs w:val="22"/>
                <w:lang w:val="cs-CZ"/>
              </w:rPr>
            </w:pPr>
            <w:r w:rsidRPr="001B4A02">
              <w:rPr>
                <w:szCs w:val="22"/>
                <w:lang w:val="cs-CZ"/>
              </w:rPr>
              <w:t>Idiopatická trombocytopenická purpura</w:t>
            </w:r>
          </w:p>
          <w:p w14:paraId="5BDA6A70" w14:textId="77777777" w:rsidR="00E45929" w:rsidRPr="001B4A02" w:rsidRDefault="00E45929" w:rsidP="00ED48A3">
            <w:pPr>
              <w:pStyle w:val="EMEANormal"/>
              <w:rPr>
                <w:szCs w:val="22"/>
                <w:lang w:val="cs-CZ"/>
              </w:rPr>
            </w:pPr>
          </w:p>
        </w:tc>
      </w:tr>
      <w:tr w:rsidR="00534A2D" w14:paraId="3B029D9A" w14:textId="77777777" w:rsidTr="00961CF6">
        <w:trPr>
          <w:cantSplit/>
          <w:trHeight w:val="8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2DABC3E"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C748B0A" w14:textId="77777777" w:rsidR="00E45929" w:rsidRPr="001B4A02" w:rsidRDefault="00000000" w:rsidP="00ED48A3">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0E06C36C" w14:textId="77777777" w:rsidR="00E45929" w:rsidRPr="001B4A02" w:rsidRDefault="00000000" w:rsidP="00ED48A3">
            <w:pPr>
              <w:pStyle w:val="EMEANormal"/>
              <w:rPr>
                <w:szCs w:val="22"/>
                <w:lang w:val="cs-CZ"/>
              </w:rPr>
            </w:pPr>
            <w:r w:rsidRPr="001B4A02">
              <w:rPr>
                <w:szCs w:val="22"/>
                <w:lang w:val="cs-CZ"/>
              </w:rPr>
              <w:t>Pancytopenie</w:t>
            </w:r>
          </w:p>
          <w:p w14:paraId="3483AFF8" w14:textId="77777777" w:rsidR="00E45929" w:rsidRPr="001B4A02" w:rsidRDefault="00E45929" w:rsidP="00ED48A3">
            <w:pPr>
              <w:pStyle w:val="EMEANormal"/>
              <w:rPr>
                <w:szCs w:val="22"/>
                <w:lang w:val="cs-CZ"/>
              </w:rPr>
            </w:pPr>
          </w:p>
        </w:tc>
      </w:tr>
      <w:tr w:rsidR="00534A2D" w14:paraId="38B063BD" w14:textId="77777777" w:rsidTr="00961CF6">
        <w:trPr>
          <w:cantSplit/>
          <w:trHeight w:val="260"/>
          <w:jc w:val="center"/>
        </w:trPr>
        <w:tc>
          <w:tcPr>
            <w:tcW w:w="2880" w:type="dxa"/>
            <w:vMerge w:val="restart"/>
            <w:tcBorders>
              <w:top w:val="single" w:sz="4" w:space="0" w:color="auto"/>
              <w:left w:val="single" w:sz="4" w:space="0" w:color="auto"/>
              <w:right w:val="single" w:sz="4" w:space="0" w:color="auto"/>
            </w:tcBorders>
          </w:tcPr>
          <w:p w14:paraId="6E64F4FC" w14:textId="77777777" w:rsidR="00E45929" w:rsidRPr="001B4A02" w:rsidRDefault="00000000" w:rsidP="00ED48A3">
            <w:pPr>
              <w:tabs>
                <w:tab w:val="left" w:pos="0"/>
              </w:tabs>
              <w:ind w:left="0" w:firstLine="0"/>
              <w:rPr>
                <w:szCs w:val="22"/>
              </w:rPr>
            </w:pPr>
            <w:r w:rsidRPr="001B4A02">
              <w:rPr>
                <w:szCs w:val="22"/>
              </w:rPr>
              <w:t>Poruchy imunitního systému*</w:t>
            </w:r>
          </w:p>
        </w:tc>
        <w:tc>
          <w:tcPr>
            <w:tcW w:w="1440" w:type="dxa"/>
            <w:tcBorders>
              <w:top w:val="single" w:sz="4" w:space="0" w:color="auto"/>
              <w:left w:val="single" w:sz="4" w:space="0" w:color="auto"/>
              <w:bottom w:val="single" w:sz="4" w:space="0" w:color="auto"/>
              <w:right w:val="single" w:sz="4" w:space="0" w:color="auto"/>
            </w:tcBorders>
          </w:tcPr>
          <w:p w14:paraId="321751CC" w14:textId="77777777" w:rsidR="00E45929"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43A9C877" w14:textId="77777777" w:rsidR="00E45929" w:rsidRPr="001B4A02" w:rsidRDefault="00000000" w:rsidP="00ED48A3">
            <w:pPr>
              <w:pStyle w:val="EMEANormal"/>
              <w:rPr>
                <w:szCs w:val="22"/>
                <w:lang w:val="cs-CZ"/>
              </w:rPr>
            </w:pPr>
            <w:r w:rsidRPr="001B4A02">
              <w:rPr>
                <w:szCs w:val="22"/>
                <w:lang w:val="cs-CZ"/>
              </w:rPr>
              <w:t>Hypersenzitivita,</w:t>
            </w:r>
          </w:p>
          <w:p w14:paraId="637C5066" w14:textId="77777777" w:rsidR="00E45929" w:rsidRPr="001B4A02" w:rsidRDefault="00000000" w:rsidP="00ED48A3">
            <w:pPr>
              <w:pStyle w:val="EMEANormal"/>
              <w:rPr>
                <w:szCs w:val="22"/>
                <w:lang w:val="cs-CZ"/>
              </w:rPr>
            </w:pPr>
            <w:r w:rsidRPr="001B4A02">
              <w:rPr>
                <w:szCs w:val="22"/>
                <w:lang w:val="cs-CZ"/>
              </w:rPr>
              <w:t>alergie (včetně sezónní alergie)</w:t>
            </w:r>
          </w:p>
          <w:p w14:paraId="33254AB9" w14:textId="77777777" w:rsidR="00E45929" w:rsidRPr="001B4A02" w:rsidRDefault="00E45929" w:rsidP="00ED48A3">
            <w:pPr>
              <w:pStyle w:val="EMEANormal"/>
              <w:rPr>
                <w:szCs w:val="22"/>
                <w:lang w:val="cs-CZ"/>
              </w:rPr>
            </w:pPr>
          </w:p>
        </w:tc>
      </w:tr>
      <w:tr w:rsidR="00534A2D" w14:paraId="348EC1BA" w14:textId="77777777" w:rsidTr="00961CF6">
        <w:trPr>
          <w:cantSplit/>
          <w:trHeight w:val="260"/>
          <w:jc w:val="center"/>
        </w:trPr>
        <w:tc>
          <w:tcPr>
            <w:tcW w:w="2880" w:type="dxa"/>
            <w:vMerge/>
            <w:tcBorders>
              <w:left w:val="single" w:sz="4" w:space="0" w:color="auto"/>
              <w:right w:val="single" w:sz="4" w:space="0" w:color="auto"/>
            </w:tcBorders>
          </w:tcPr>
          <w:p w14:paraId="61EF1CE7" w14:textId="77777777" w:rsidR="00E45929" w:rsidRPr="001B4A02" w:rsidRDefault="00E45929" w:rsidP="00ED48A3">
            <w:pPr>
              <w:tabs>
                <w:tab w:val="left" w:pos="0"/>
              </w:tabs>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D34C28E" w14:textId="77777777" w:rsidR="00E45929"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5C1885FE" w14:textId="77777777" w:rsidR="00E45929" w:rsidRDefault="00000000" w:rsidP="00ED48A3">
            <w:pPr>
              <w:pStyle w:val="EMEANormal"/>
              <w:rPr>
                <w:szCs w:val="22"/>
                <w:lang w:val="cs-CZ"/>
              </w:rPr>
            </w:pPr>
            <w:r w:rsidRPr="001B4A02">
              <w:rPr>
                <w:szCs w:val="22"/>
                <w:lang w:val="cs-CZ"/>
              </w:rPr>
              <w:t>Sarkoidóza</w:t>
            </w:r>
            <w:r w:rsidRPr="001B4A02">
              <w:rPr>
                <w:szCs w:val="22"/>
                <w:vertAlign w:val="superscript"/>
                <w:lang w:val="cs-CZ"/>
              </w:rPr>
              <w:t>1)</w:t>
            </w:r>
            <w:r w:rsidRPr="001B4A02">
              <w:rPr>
                <w:szCs w:val="22"/>
                <w:lang w:val="cs-CZ"/>
              </w:rPr>
              <w:t>, vaskulitida</w:t>
            </w:r>
          </w:p>
          <w:p w14:paraId="33D95B42" w14:textId="77777777" w:rsidR="00A20953" w:rsidRPr="001B4A02" w:rsidRDefault="00A20953" w:rsidP="00ED48A3">
            <w:pPr>
              <w:pStyle w:val="EMEANormal"/>
              <w:rPr>
                <w:szCs w:val="22"/>
                <w:lang w:val="cs-CZ"/>
              </w:rPr>
            </w:pPr>
          </w:p>
        </w:tc>
      </w:tr>
      <w:tr w:rsidR="00534A2D" w14:paraId="4FE86057" w14:textId="77777777" w:rsidTr="00961CF6">
        <w:trPr>
          <w:cantSplit/>
          <w:trHeight w:val="260"/>
          <w:jc w:val="center"/>
        </w:trPr>
        <w:tc>
          <w:tcPr>
            <w:tcW w:w="2880" w:type="dxa"/>
            <w:vMerge/>
            <w:tcBorders>
              <w:left w:val="single" w:sz="4" w:space="0" w:color="auto"/>
              <w:bottom w:val="single" w:sz="4" w:space="0" w:color="auto"/>
              <w:right w:val="single" w:sz="4" w:space="0" w:color="auto"/>
            </w:tcBorders>
          </w:tcPr>
          <w:p w14:paraId="63AAD2BC" w14:textId="77777777" w:rsidR="00E45929" w:rsidRPr="001B4A02" w:rsidRDefault="00E45929" w:rsidP="00ED48A3">
            <w:pPr>
              <w:tabs>
                <w:tab w:val="left" w:pos="0"/>
              </w:tabs>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B637228" w14:textId="77777777" w:rsidR="00E45929" w:rsidRPr="001B4A02" w:rsidRDefault="00000000" w:rsidP="00ED48A3">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211F25AD" w14:textId="77777777" w:rsidR="00E45929" w:rsidRDefault="00000000" w:rsidP="00ED48A3">
            <w:pPr>
              <w:pStyle w:val="EMEANormal"/>
              <w:rPr>
                <w:szCs w:val="22"/>
                <w:lang w:val="cs-CZ"/>
              </w:rPr>
            </w:pPr>
            <w:r w:rsidRPr="001B4A02">
              <w:rPr>
                <w:szCs w:val="22"/>
                <w:lang w:val="cs-CZ"/>
              </w:rPr>
              <w:t>anafylaxe</w:t>
            </w:r>
            <w:r w:rsidRPr="001B4A02">
              <w:rPr>
                <w:szCs w:val="22"/>
                <w:vertAlign w:val="superscript"/>
                <w:lang w:val="cs-CZ"/>
              </w:rPr>
              <w:t>1)</w:t>
            </w:r>
          </w:p>
          <w:p w14:paraId="42F519B7" w14:textId="77777777" w:rsidR="00A20953" w:rsidRPr="00A20953" w:rsidRDefault="00A20953" w:rsidP="00ED48A3">
            <w:pPr>
              <w:pStyle w:val="EMEANormal"/>
              <w:rPr>
                <w:szCs w:val="22"/>
                <w:lang w:val="cs-CZ"/>
              </w:rPr>
            </w:pPr>
          </w:p>
        </w:tc>
      </w:tr>
      <w:tr w:rsidR="00534A2D" w14:paraId="51083AA6" w14:textId="77777777" w:rsidTr="00961CF6">
        <w:trPr>
          <w:cantSplit/>
          <w:trHeight w:val="127"/>
          <w:jc w:val="center"/>
        </w:trPr>
        <w:tc>
          <w:tcPr>
            <w:tcW w:w="2880" w:type="dxa"/>
            <w:vMerge w:val="restart"/>
            <w:tcBorders>
              <w:top w:val="single" w:sz="4" w:space="0" w:color="auto"/>
              <w:left w:val="single" w:sz="4" w:space="0" w:color="auto"/>
              <w:bottom w:val="single" w:sz="4" w:space="0" w:color="auto"/>
              <w:right w:val="single" w:sz="4" w:space="0" w:color="auto"/>
            </w:tcBorders>
          </w:tcPr>
          <w:p w14:paraId="20C4C1CC" w14:textId="77777777" w:rsidR="00E45929" w:rsidRPr="001B4A02" w:rsidRDefault="00000000" w:rsidP="00ED48A3">
            <w:pPr>
              <w:pStyle w:val="EMEANormal"/>
              <w:tabs>
                <w:tab w:val="left" w:pos="0"/>
              </w:tabs>
              <w:rPr>
                <w:szCs w:val="22"/>
                <w:lang w:val="cs-CZ"/>
              </w:rPr>
            </w:pPr>
            <w:r w:rsidRPr="001B4A02">
              <w:rPr>
                <w:szCs w:val="22"/>
                <w:lang w:val="cs-CZ"/>
              </w:rPr>
              <w:t>Poruchy metabolismu</w:t>
            </w:r>
            <w:r w:rsidR="002378E0">
              <w:rPr>
                <w:szCs w:val="22"/>
                <w:lang w:val="cs-CZ"/>
              </w:rPr>
              <w:t xml:space="preserve"> a </w:t>
            </w:r>
            <w:r w:rsidRPr="001B4A02">
              <w:rPr>
                <w:szCs w:val="22"/>
                <w:lang w:val="cs-CZ"/>
              </w:rPr>
              <w:t>výživy</w:t>
            </w:r>
          </w:p>
        </w:tc>
        <w:tc>
          <w:tcPr>
            <w:tcW w:w="1440" w:type="dxa"/>
            <w:tcBorders>
              <w:top w:val="single" w:sz="4" w:space="0" w:color="auto"/>
              <w:left w:val="single" w:sz="4" w:space="0" w:color="auto"/>
              <w:bottom w:val="single" w:sz="4" w:space="0" w:color="auto"/>
              <w:right w:val="single" w:sz="4" w:space="0" w:color="auto"/>
            </w:tcBorders>
          </w:tcPr>
          <w:p w14:paraId="374B80EF" w14:textId="77777777" w:rsidR="00E45929" w:rsidRPr="001B4A02" w:rsidRDefault="00000000" w:rsidP="00ED48A3">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669E11C9" w14:textId="77777777" w:rsidR="00E45929" w:rsidRPr="001B4A02" w:rsidRDefault="00000000" w:rsidP="00ED48A3">
            <w:pPr>
              <w:pStyle w:val="EMEANormal"/>
              <w:rPr>
                <w:szCs w:val="22"/>
                <w:lang w:val="cs-CZ"/>
              </w:rPr>
            </w:pPr>
            <w:r w:rsidRPr="001B4A02">
              <w:rPr>
                <w:szCs w:val="22"/>
                <w:lang w:val="cs-CZ"/>
              </w:rPr>
              <w:t>Zvýšení lipidů</w:t>
            </w:r>
          </w:p>
          <w:p w14:paraId="591D385D" w14:textId="77777777" w:rsidR="00E45929" w:rsidRPr="001B4A02" w:rsidRDefault="00E45929" w:rsidP="00ED48A3">
            <w:pPr>
              <w:pStyle w:val="EMEANormal"/>
              <w:rPr>
                <w:szCs w:val="22"/>
                <w:lang w:val="cs-CZ"/>
              </w:rPr>
            </w:pPr>
          </w:p>
        </w:tc>
      </w:tr>
      <w:tr w:rsidR="00534A2D" w14:paraId="18602772" w14:textId="77777777" w:rsidTr="00961CF6">
        <w:trPr>
          <w:cantSplit/>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3BEDD9A"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C483AFC" w14:textId="77777777" w:rsidR="00E45929"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4A0B8773" w14:textId="77777777" w:rsidR="00E45929" w:rsidRPr="001B4A02" w:rsidRDefault="00000000" w:rsidP="00ED48A3">
            <w:pPr>
              <w:pStyle w:val="EMEANormal"/>
              <w:rPr>
                <w:szCs w:val="22"/>
                <w:lang w:val="cs-CZ"/>
              </w:rPr>
            </w:pPr>
            <w:r w:rsidRPr="001B4A02">
              <w:rPr>
                <w:szCs w:val="22"/>
                <w:lang w:val="cs-CZ"/>
              </w:rPr>
              <w:t>Hypokal</w:t>
            </w:r>
            <w:r w:rsidR="006E7ECF">
              <w:rPr>
                <w:szCs w:val="22"/>
                <w:lang w:val="cs-CZ"/>
              </w:rPr>
              <w:t>e</w:t>
            </w:r>
            <w:r w:rsidRPr="001B4A02">
              <w:rPr>
                <w:szCs w:val="22"/>
                <w:lang w:val="cs-CZ"/>
              </w:rPr>
              <w:t>mie,</w:t>
            </w:r>
          </w:p>
          <w:p w14:paraId="37581F91" w14:textId="77777777" w:rsidR="00E45929" w:rsidRPr="001B4A02" w:rsidRDefault="00000000" w:rsidP="00ED48A3">
            <w:pPr>
              <w:pStyle w:val="EMEANormal"/>
              <w:rPr>
                <w:szCs w:val="22"/>
                <w:lang w:val="cs-CZ"/>
              </w:rPr>
            </w:pPr>
            <w:r w:rsidRPr="001B4A02">
              <w:rPr>
                <w:szCs w:val="22"/>
                <w:lang w:val="cs-CZ"/>
              </w:rPr>
              <w:t>zvýšení kyseliny močové,</w:t>
            </w:r>
          </w:p>
          <w:p w14:paraId="4ABFE0E1" w14:textId="77777777" w:rsidR="00E45929" w:rsidRPr="001B4A02" w:rsidRDefault="00000000" w:rsidP="00ED48A3">
            <w:pPr>
              <w:pStyle w:val="EMEANormal"/>
              <w:rPr>
                <w:szCs w:val="22"/>
                <w:lang w:val="cs-CZ"/>
              </w:rPr>
            </w:pPr>
            <w:r w:rsidRPr="001B4A02">
              <w:rPr>
                <w:szCs w:val="22"/>
                <w:lang w:val="cs-CZ"/>
              </w:rPr>
              <w:t>abnormální hladina sodíku v</w:t>
            </w:r>
            <w:r w:rsidR="004B7C04" w:rsidRPr="001B4A02">
              <w:rPr>
                <w:szCs w:val="22"/>
                <w:lang w:val="cs-CZ"/>
              </w:rPr>
              <w:t> </w:t>
            </w:r>
            <w:r w:rsidRPr="001B4A02">
              <w:rPr>
                <w:szCs w:val="22"/>
                <w:lang w:val="cs-CZ"/>
              </w:rPr>
              <w:t>krvi,</w:t>
            </w:r>
          </w:p>
          <w:p w14:paraId="3E230476" w14:textId="77777777" w:rsidR="00E45929" w:rsidRPr="001B4A02" w:rsidRDefault="00000000" w:rsidP="00ED48A3">
            <w:pPr>
              <w:pStyle w:val="EMEANormal"/>
              <w:rPr>
                <w:szCs w:val="22"/>
                <w:lang w:val="cs-CZ"/>
              </w:rPr>
            </w:pPr>
            <w:r w:rsidRPr="001B4A02">
              <w:rPr>
                <w:szCs w:val="22"/>
                <w:lang w:val="cs-CZ"/>
              </w:rPr>
              <w:t>hypokalc</w:t>
            </w:r>
            <w:r w:rsidR="006E7ECF">
              <w:rPr>
                <w:szCs w:val="22"/>
                <w:lang w:val="cs-CZ"/>
              </w:rPr>
              <w:t>e</w:t>
            </w:r>
            <w:r w:rsidRPr="001B4A02">
              <w:rPr>
                <w:szCs w:val="22"/>
                <w:lang w:val="cs-CZ"/>
              </w:rPr>
              <w:t>mie,</w:t>
            </w:r>
          </w:p>
          <w:p w14:paraId="606EEBD8" w14:textId="77777777" w:rsidR="00E45929" w:rsidRPr="001B4A02" w:rsidRDefault="00000000" w:rsidP="00ED48A3">
            <w:pPr>
              <w:pStyle w:val="EMEANormal"/>
              <w:rPr>
                <w:szCs w:val="22"/>
                <w:lang w:val="cs-CZ"/>
              </w:rPr>
            </w:pPr>
            <w:r w:rsidRPr="001B4A02">
              <w:rPr>
                <w:szCs w:val="22"/>
                <w:lang w:val="cs-CZ"/>
              </w:rPr>
              <w:t>hyperglyk</w:t>
            </w:r>
            <w:r w:rsidR="006E7ECF">
              <w:rPr>
                <w:szCs w:val="22"/>
                <w:lang w:val="cs-CZ"/>
              </w:rPr>
              <w:t>e</w:t>
            </w:r>
            <w:r w:rsidRPr="001B4A02">
              <w:rPr>
                <w:szCs w:val="22"/>
                <w:lang w:val="cs-CZ"/>
              </w:rPr>
              <w:t>mie,</w:t>
            </w:r>
          </w:p>
          <w:p w14:paraId="1A5ABA87" w14:textId="77777777" w:rsidR="00E45929" w:rsidRPr="001B4A02" w:rsidRDefault="00000000" w:rsidP="00ED48A3">
            <w:pPr>
              <w:pStyle w:val="EMEANormal"/>
              <w:rPr>
                <w:szCs w:val="22"/>
                <w:lang w:val="cs-CZ"/>
              </w:rPr>
            </w:pPr>
            <w:r w:rsidRPr="001B4A02">
              <w:rPr>
                <w:szCs w:val="22"/>
                <w:lang w:val="cs-CZ"/>
              </w:rPr>
              <w:t>hypofosfat</w:t>
            </w:r>
            <w:r w:rsidR="006E7ECF">
              <w:rPr>
                <w:szCs w:val="22"/>
                <w:lang w:val="cs-CZ"/>
              </w:rPr>
              <w:t>e</w:t>
            </w:r>
            <w:r w:rsidRPr="001B4A02">
              <w:rPr>
                <w:szCs w:val="22"/>
                <w:lang w:val="cs-CZ"/>
              </w:rPr>
              <w:t>mie,</w:t>
            </w:r>
          </w:p>
          <w:p w14:paraId="25B28697" w14:textId="77777777" w:rsidR="00E45929" w:rsidRDefault="00000000" w:rsidP="00ED48A3">
            <w:pPr>
              <w:pStyle w:val="EMEANormal"/>
              <w:rPr>
                <w:szCs w:val="22"/>
                <w:lang w:val="cs-CZ"/>
              </w:rPr>
            </w:pPr>
            <w:r w:rsidRPr="001B4A02">
              <w:rPr>
                <w:szCs w:val="22"/>
                <w:lang w:val="cs-CZ"/>
              </w:rPr>
              <w:t>dehydratace</w:t>
            </w:r>
          </w:p>
          <w:p w14:paraId="4CE21583" w14:textId="77777777" w:rsidR="00701677" w:rsidRPr="001B4A02" w:rsidRDefault="00701677" w:rsidP="00ED48A3">
            <w:pPr>
              <w:pStyle w:val="EMEANormal"/>
              <w:rPr>
                <w:szCs w:val="22"/>
                <w:lang w:val="cs-CZ"/>
              </w:rPr>
            </w:pPr>
          </w:p>
        </w:tc>
      </w:tr>
      <w:tr w:rsidR="00534A2D" w14:paraId="56B37A16" w14:textId="77777777" w:rsidTr="005132DE">
        <w:trPr>
          <w:cantSplit/>
          <w:trHeight w:val="782"/>
          <w:jc w:val="center"/>
        </w:trPr>
        <w:tc>
          <w:tcPr>
            <w:tcW w:w="2880" w:type="dxa"/>
            <w:tcBorders>
              <w:top w:val="single" w:sz="4" w:space="0" w:color="auto"/>
              <w:left w:val="single" w:sz="4" w:space="0" w:color="auto"/>
              <w:bottom w:val="single" w:sz="4" w:space="0" w:color="auto"/>
              <w:right w:val="single" w:sz="4" w:space="0" w:color="auto"/>
            </w:tcBorders>
          </w:tcPr>
          <w:p w14:paraId="3BD6069F" w14:textId="77777777" w:rsidR="00E45929" w:rsidRPr="001B4A02" w:rsidRDefault="00000000" w:rsidP="00ED48A3">
            <w:pPr>
              <w:pStyle w:val="EMEANormal"/>
              <w:tabs>
                <w:tab w:val="left" w:pos="0"/>
              </w:tabs>
              <w:rPr>
                <w:szCs w:val="22"/>
                <w:lang w:val="cs-CZ"/>
              </w:rPr>
            </w:pPr>
            <w:r w:rsidRPr="001B4A02">
              <w:rPr>
                <w:szCs w:val="22"/>
                <w:lang w:val="cs-CZ"/>
              </w:rPr>
              <w:t>Psychiatrické poruchy</w:t>
            </w:r>
          </w:p>
        </w:tc>
        <w:tc>
          <w:tcPr>
            <w:tcW w:w="1440" w:type="dxa"/>
            <w:tcBorders>
              <w:top w:val="single" w:sz="4" w:space="0" w:color="auto"/>
              <w:left w:val="single" w:sz="4" w:space="0" w:color="auto"/>
              <w:bottom w:val="single" w:sz="4" w:space="0" w:color="auto"/>
              <w:right w:val="single" w:sz="4" w:space="0" w:color="auto"/>
            </w:tcBorders>
          </w:tcPr>
          <w:p w14:paraId="1CC8E32C" w14:textId="77777777" w:rsidR="00E45929"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61BFC78E" w14:textId="77777777" w:rsidR="00E45929" w:rsidRPr="001B4A02" w:rsidRDefault="00000000" w:rsidP="00ED48A3">
            <w:pPr>
              <w:pStyle w:val="EMEANormal"/>
              <w:rPr>
                <w:szCs w:val="22"/>
                <w:lang w:val="cs-CZ"/>
              </w:rPr>
            </w:pPr>
            <w:r w:rsidRPr="001B4A02">
              <w:rPr>
                <w:szCs w:val="22"/>
                <w:lang w:val="cs-CZ"/>
              </w:rPr>
              <w:t>Alterace nálady (včetně deprese),</w:t>
            </w:r>
          </w:p>
          <w:p w14:paraId="155771BF" w14:textId="77777777" w:rsidR="00E45929" w:rsidRPr="001B4A02" w:rsidRDefault="00000000" w:rsidP="00ED48A3">
            <w:pPr>
              <w:pStyle w:val="EMEANormal"/>
              <w:rPr>
                <w:szCs w:val="22"/>
                <w:lang w:val="cs-CZ"/>
              </w:rPr>
            </w:pPr>
            <w:r w:rsidRPr="001B4A02">
              <w:rPr>
                <w:szCs w:val="22"/>
                <w:lang w:val="cs-CZ"/>
              </w:rPr>
              <w:t>úzkost, nespavost</w:t>
            </w:r>
          </w:p>
        </w:tc>
      </w:tr>
      <w:tr w:rsidR="00534A2D" w14:paraId="1CDD399A" w14:textId="77777777" w:rsidTr="00DB7D9B">
        <w:trPr>
          <w:cantSplit/>
          <w:trHeight w:val="127"/>
          <w:jc w:val="center"/>
        </w:trPr>
        <w:tc>
          <w:tcPr>
            <w:tcW w:w="2880" w:type="dxa"/>
            <w:vMerge w:val="restart"/>
            <w:tcBorders>
              <w:top w:val="single" w:sz="4" w:space="0" w:color="auto"/>
              <w:left w:val="single" w:sz="4" w:space="0" w:color="auto"/>
              <w:bottom w:val="single" w:sz="4" w:space="0" w:color="auto"/>
              <w:right w:val="single" w:sz="4" w:space="0" w:color="auto"/>
            </w:tcBorders>
          </w:tcPr>
          <w:p w14:paraId="3E5F85B2" w14:textId="77777777" w:rsidR="00E45929" w:rsidRPr="001B4A02" w:rsidRDefault="00000000" w:rsidP="00ED48A3">
            <w:pPr>
              <w:pStyle w:val="EMEANormal"/>
              <w:tabs>
                <w:tab w:val="left" w:pos="0"/>
              </w:tabs>
              <w:rPr>
                <w:szCs w:val="22"/>
                <w:lang w:val="cs-CZ"/>
              </w:rPr>
            </w:pPr>
            <w:r w:rsidRPr="001B4A02">
              <w:rPr>
                <w:szCs w:val="22"/>
                <w:lang w:val="cs-CZ"/>
              </w:rPr>
              <w:t>Poruchy nervového systému*</w:t>
            </w:r>
          </w:p>
        </w:tc>
        <w:tc>
          <w:tcPr>
            <w:tcW w:w="1440" w:type="dxa"/>
            <w:tcBorders>
              <w:top w:val="single" w:sz="4" w:space="0" w:color="auto"/>
              <w:left w:val="single" w:sz="4" w:space="0" w:color="auto"/>
              <w:bottom w:val="single" w:sz="4" w:space="0" w:color="auto"/>
              <w:right w:val="single" w:sz="4" w:space="0" w:color="auto"/>
            </w:tcBorders>
          </w:tcPr>
          <w:p w14:paraId="7198C01F" w14:textId="77777777" w:rsidR="00E45929" w:rsidRPr="001B4A02" w:rsidRDefault="00000000" w:rsidP="00ED48A3">
            <w:pPr>
              <w:pStyle w:val="EMEANormal"/>
              <w:tabs>
                <w:tab w:val="clear" w:pos="562"/>
              </w:tabs>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0C0F69E3" w14:textId="77777777" w:rsidR="00E45929" w:rsidRPr="001B4A02" w:rsidRDefault="00000000" w:rsidP="00ED48A3">
            <w:pPr>
              <w:pStyle w:val="EMEANormal"/>
              <w:rPr>
                <w:szCs w:val="22"/>
                <w:lang w:val="cs-CZ"/>
              </w:rPr>
            </w:pPr>
            <w:r w:rsidRPr="001B4A02">
              <w:rPr>
                <w:szCs w:val="22"/>
                <w:lang w:val="cs-CZ"/>
              </w:rPr>
              <w:t>Bolest hlavy</w:t>
            </w:r>
          </w:p>
          <w:p w14:paraId="465DF06C" w14:textId="77777777" w:rsidR="00E45929" w:rsidRPr="001B4A02" w:rsidRDefault="00E45929" w:rsidP="00ED48A3">
            <w:pPr>
              <w:pStyle w:val="EMEANormal"/>
              <w:rPr>
                <w:szCs w:val="22"/>
                <w:lang w:val="cs-CZ"/>
              </w:rPr>
            </w:pPr>
          </w:p>
        </w:tc>
      </w:tr>
      <w:tr w:rsidR="00534A2D" w14:paraId="1EA0736E" w14:textId="77777777" w:rsidTr="00DB7D9B">
        <w:trPr>
          <w:cantSplit/>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DF77EAB"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4AC34907" w14:textId="77777777" w:rsidR="00E45929" w:rsidRPr="001B4A02" w:rsidRDefault="00000000" w:rsidP="00ED48A3">
            <w:pPr>
              <w:pStyle w:val="EMEANormal"/>
              <w:tabs>
                <w:tab w:val="clear" w:pos="562"/>
              </w:tabs>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40D56264" w14:textId="77777777" w:rsidR="00E45929" w:rsidRPr="001B4A02" w:rsidRDefault="00000000" w:rsidP="00ED48A3">
            <w:pPr>
              <w:pStyle w:val="EMEANormal"/>
              <w:rPr>
                <w:szCs w:val="22"/>
                <w:lang w:val="cs-CZ"/>
              </w:rPr>
            </w:pPr>
            <w:r w:rsidRPr="001B4A02">
              <w:rPr>
                <w:szCs w:val="22"/>
                <w:lang w:val="cs-CZ"/>
              </w:rPr>
              <w:t>Parestezie (včetně hypest</w:t>
            </w:r>
            <w:r w:rsidR="006E7ECF">
              <w:rPr>
                <w:szCs w:val="22"/>
                <w:lang w:val="cs-CZ"/>
              </w:rPr>
              <w:t>e</w:t>
            </w:r>
            <w:r w:rsidRPr="001B4A02">
              <w:rPr>
                <w:szCs w:val="22"/>
                <w:lang w:val="cs-CZ"/>
              </w:rPr>
              <w:t>zie),</w:t>
            </w:r>
          </w:p>
          <w:p w14:paraId="552C6FCB" w14:textId="77777777" w:rsidR="00E45929" w:rsidRPr="001B4A02" w:rsidRDefault="00000000" w:rsidP="00ED48A3">
            <w:pPr>
              <w:pStyle w:val="EMEANormal"/>
              <w:rPr>
                <w:szCs w:val="22"/>
                <w:lang w:val="cs-CZ"/>
              </w:rPr>
            </w:pPr>
            <w:r w:rsidRPr="001B4A02">
              <w:rPr>
                <w:szCs w:val="22"/>
                <w:lang w:val="cs-CZ"/>
              </w:rPr>
              <w:t>migréna,</w:t>
            </w:r>
          </w:p>
          <w:p w14:paraId="24C993F1" w14:textId="77777777" w:rsidR="00E45929" w:rsidRPr="001B4A02" w:rsidRDefault="00000000" w:rsidP="00ED48A3">
            <w:pPr>
              <w:pStyle w:val="EMEANormal"/>
              <w:rPr>
                <w:szCs w:val="22"/>
                <w:lang w:val="cs-CZ"/>
              </w:rPr>
            </w:pPr>
            <w:r w:rsidRPr="001B4A02">
              <w:rPr>
                <w:szCs w:val="22"/>
                <w:lang w:val="cs-CZ"/>
              </w:rPr>
              <w:t>útlak nervových kořenů</w:t>
            </w:r>
          </w:p>
          <w:p w14:paraId="643D4C2E" w14:textId="77777777" w:rsidR="00E45929" w:rsidRPr="001B4A02" w:rsidRDefault="00E45929" w:rsidP="00ED48A3">
            <w:pPr>
              <w:pStyle w:val="EMEANormal"/>
              <w:rPr>
                <w:szCs w:val="22"/>
                <w:lang w:val="cs-CZ"/>
              </w:rPr>
            </w:pPr>
          </w:p>
        </w:tc>
      </w:tr>
      <w:tr w:rsidR="00534A2D" w14:paraId="0CDD6072" w14:textId="77777777" w:rsidTr="00DB7D9B">
        <w:trPr>
          <w:cantSplit/>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78F9F6"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181A1249" w14:textId="77777777" w:rsidR="00E45929" w:rsidRPr="001B4A02" w:rsidRDefault="00000000" w:rsidP="00ED48A3">
            <w:pPr>
              <w:pStyle w:val="EMEANormal"/>
              <w:tabs>
                <w:tab w:val="clear" w:pos="562"/>
              </w:tabs>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3B3C2BAC" w14:textId="77777777" w:rsidR="00E45929" w:rsidRPr="001B4A02" w:rsidRDefault="00000000" w:rsidP="00ED48A3">
            <w:pPr>
              <w:pStyle w:val="EMEANormal"/>
              <w:rPr>
                <w:szCs w:val="22"/>
                <w:lang w:val="cs-CZ"/>
              </w:rPr>
            </w:pPr>
            <w:r w:rsidRPr="001B4A02">
              <w:rPr>
                <w:szCs w:val="22"/>
                <w:lang w:val="cs-CZ"/>
              </w:rPr>
              <w:t>Cévní mozková příhoda</w:t>
            </w:r>
            <w:r w:rsidRPr="001B4A02">
              <w:rPr>
                <w:szCs w:val="22"/>
                <w:vertAlign w:val="superscript"/>
                <w:lang w:val="cs-CZ"/>
              </w:rPr>
              <w:t>1)</w:t>
            </w:r>
            <w:r w:rsidRPr="001B4A02">
              <w:rPr>
                <w:szCs w:val="22"/>
                <w:lang w:val="cs-CZ"/>
              </w:rPr>
              <w:t>,</w:t>
            </w:r>
          </w:p>
          <w:p w14:paraId="0E644552" w14:textId="77777777" w:rsidR="00E45929" w:rsidRPr="001B4A02" w:rsidRDefault="00000000" w:rsidP="00ED48A3">
            <w:pPr>
              <w:pStyle w:val="EMEANormal"/>
              <w:rPr>
                <w:szCs w:val="22"/>
                <w:lang w:val="cs-CZ"/>
              </w:rPr>
            </w:pPr>
            <w:r w:rsidRPr="001B4A02">
              <w:rPr>
                <w:szCs w:val="22"/>
                <w:lang w:val="cs-CZ"/>
              </w:rPr>
              <w:t>třes,</w:t>
            </w:r>
          </w:p>
          <w:p w14:paraId="37C41A7B" w14:textId="77777777" w:rsidR="00E45929" w:rsidRPr="001B4A02" w:rsidRDefault="00000000" w:rsidP="00ED48A3">
            <w:pPr>
              <w:pStyle w:val="EMEANormal"/>
              <w:rPr>
                <w:szCs w:val="22"/>
                <w:lang w:val="cs-CZ"/>
              </w:rPr>
            </w:pPr>
            <w:r w:rsidRPr="001B4A02">
              <w:rPr>
                <w:szCs w:val="22"/>
                <w:lang w:val="cs-CZ"/>
              </w:rPr>
              <w:t>neuropatie</w:t>
            </w:r>
          </w:p>
          <w:p w14:paraId="7938A34B" w14:textId="77777777" w:rsidR="00E45929" w:rsidRPr="001B4A02" w:rsidRDefault="00E45929" w:rsidP="00ED48A3">
            <w:pPr>
              <w:pStyle w:val="EMEANormal"/>
              <w:rPr>
                <w:szCs w:val="22"/>
                <w:lang w:val="cs-CZ"/>
              </w:rPr>
            </w:pPr>
          </w:p>
        </w:tc>
      </w:tr>
      <w:tr w:rsidR="00534A2D" w14:paraId="212B6E3D" w14:textId="77777777" w:rsidTr="00DB7D9B">
        <w:trPr>
          <w:cantSplit/>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3C9B3FB"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C0A715D" w14:textId="77777777" w:rsidR="00E45929" w:rsidRPr="001B4A02" w:rsidRDefault="00000000" w:rsidP="00ED48A3">
            <w:pPr>
              <w:pStyle w:val="EMEANormal"/>
              <w:tabs>
                <w:tab w:val="clear" w:pos="562"/>
              </w:tabs>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07ABB3B6" w14:textId="77777777" w:rsidR="00E45929" w:rsidRPr="001B4A02" w:rsidRDefault="00000000" w:rsidP="00ED48A3">
            <w:pPr>
              <w:pStyle w:val="EMEANormal"/>
              <w:rPr>
                <w:szCs w:val="22"/>
                <w:lang w:val="cs-CZ"/>
              </w:rPr>
            </w:pPr>
            <w:r w:rsidRPr="001B4A02">
              <w:rPr>
                <w:szCs w:val="22"/>
                <w:lang w:val="cs-CZ"/>
              </w:rPr>
              <w:t>Roztroušená skleróza,</w:t>
            </w:r>
          </w:p>
          <w:p w14:paraId="611A0610" w14:textId="77777777" w:rsidR="00E45929" w:rsidRPr="001B4A02" w:rsidRDefault="00000000" w:rsidP="00ED48A3">
            <w:pPr>
              <w:pStyle w:val="EMEANormal"/>
              <w:rPr>
                <w:szCs w:val="22"/>
                <w:lang w:val="cs-CZ"/>
              </w:rPr>
            </w:pPr>
            <w:r w:rsidRPr="001B4A02">
              <w:rPr>
                <w:szCs w:val="22"/>
                <w:lang w:val="cs-CZ"/>
              </w:rPr>
              <w:t>demyelinizační poruchy (např. optická neuritida, Guillain-Barré syndrom)</w:t>
            </w:r>
            <w:r w:rsidRPr="001B4A02">
              <w:rPr>
                <w:szCs w:val="22"/>
                <w:vertAlign w:val="superscript"/>
                <w:lang w:val="cs-CZ"/>
              </w:rPr>
              <w:t>1)</w:t>
            </w:r>
          </w:p>
          <w:p w14:paraId="3E676F73" w14:textId="77777777" w:rsidR="00E45929" w:rsidRPr="001B4A02" w:rsidRDefault="00E45929" w:rsidP="00ED48A3">
            <w:pPr>
              <w:pStyle w:val="EMEANormal"/>
              <w:rPr>
                <w:szCs w:val="22"/>
                <w:lang w:val="cs-CZ"/>
              </w:rPr>
            </w:pPr>
          </w:p>
        </w:tc>
      </w:tr>
      <w:tr w:rsidR="00534A2D" w14:paraId="155AD31D" w14:textId="77777777" w:rsidTr="00DB7D9B">
        <w:trPr>
          <w:cantSplit/>
          <w:trHeight w:val="259"/>
          <w:jc w:val="center"/>
        </w:trPr>
        <w:tc>
          <w:tcPr>
            <w:tcW w:w="2880" w:type="dxa"/>
            <w:vMerge w:val="restart"/>
            <w:tcBorders>
              <w:top w:val="single" w:sz="4" w:space="0" w:color="auto"/>
              <w:left w:val="single" w:sz="4" w:space="0" w:color="auto"/>
              <w:bottom w:val="single" w:sz="4" w:space="0" w:color="auto"/>
              <w:right w:val="single" w:sz="4" w:space="0" w:color="auto"/>
            </w:tcBorders>
          </w:tcPr>
          <w:p w14:paraId="1A30DD60" w14:textId="77777777" w:rsidR="00E45929" w:rsidRPr="001B4A02" w:rsidRDefault="00000000" w:rsidP="00ED48A3">
            <w:pPr>
              <w:pStyle w:val="EMEANormal"/>
              <w:tabs>
                <w:tab w:val="left" w:pos="0"/>
              </w:tabs>
              <w:rPr>
                <w:szCs w:val="22"/>
                <w:lang w:val="cs-CZ"/>
              </w:rPr>
            </w:pPr>
            <w:r w:rsidRPr="001B4A02">
              <w:rPr>
                <w:szCs w:val="22"/>
                <w:lang w:val="cs-CZ"/>
              </w:rPr>
              <w:t>Poruchy oka</w:t>
            </w:r>
          </w:p>
        </w:tc>
        <w:tc>
          <w:tcPr>
            <w:tcW w:w="1440" w:type="dxa"/>
            <w:tcBorders>
              <w:top w:val="single" w:sz="4" w:space="0" w:color="auto"/>
              <w:left w:val="single" w:sz="4" w:space="0" w:color="auto"/>
              <w:bottom w:val="single" w:sz="4" w:space="0" w:color="auto"/>
              <w:right w:val="single" w:sz="4" w:space="0" w:color="auto"/>
            </w:tcBorders>
          </w:tcPr>
          <w:p w14:paraId="5FA95CBA" w14:textId="77777777" w:rsidR="00E45929"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7F5735E4" w14:textId="77777777" w:rsidR="00E45929" w:rsidRPr="001B4A02" w:rsidRDefault="00000000" w:rsidP="00ED48A3">
            <w:pPr>
              <w:pStyle w:val="EMEANormal"/>
              <w:rPr>
                <w:szCs w:val="22"/>
                <w:lang w:val="cs-CZ"/>
              </w:rPr>
            </w:pPr>
            <w:r w:rsidRPr="001B4A02">
              <w:rPr>
                <w:szCs w:val="22"/>
                <w:lang w:val="cs-CZ"/>
              </w:rPr>
              <w:t>Poruchy zraku,</w:t>
            </w:r>
          </w:p>
          <w:p w14:paraId="4FBB625D" w14:textId="77777777" w:rsidR="00E45929" w:rsidRPr="001B4A02" w:rsidRDefault="00000000" w:rsidP="00ED48A3">
            <w:pPr>
              <w:pStyle w:val="EMEANormal"/>
              <w:rPr>
                <w:szCs w:val="22"/>
                <w:lang w:val="cs-CZ"/>
              </w:rPr>
            </w:pPr>
            <w:r w:rsidRPr="001B4A02">
              <w:rPr>
                <w:szCs w:val="22"/>
                <w:lang w:val="cs-CZ"/>
              </w:rPr>
              <w:t>konjunktivitida,</w:t>
            </w:r>
          </w:p>
          <w:p w14:paraId="62B97169" w14:textId="77777777" w:rsidR="00E45929" w:rsidRPr="001B4A02" w:rsidRDefault="00000000" w:rsidP="00ED48A3">
            <w:pPr>
              <w:pStyle w:val="EMEANormal"/>
              <w:rPr>
                <w:szCs w:val="22"/>
                <w:lang w:val="cs-CZ"/>
              </w:rPr>
            </w:pPr>
            <w:r w:rsidRPr="001B4A02">
              <w:rPr>
                <w:szCs w:val="22"/>
                <w:lang w:val="cs-CZ"/>
              </w:rPr>
              <w:t>blefaritida,</w:t>
            </w:r>
          </w:p>
          <w:p w14:paraId="7F40AAFF" w14:textId="77777777" w:rsidR="00E45929" w:rsidRPr="001B4A02" w:rsidRDefault="00000000" w:rsidP="00ED48A3">
            <w:pPr>
              <w:pStyle w:val="EMEANormal"/>
              <w:rPr>
                <w:szCs w:val="22"/>
                <w:lang w:val="cs-CZ"/>
              </w:rPr>
            </w:pPr>
            <w:r w:rsidRPr="001B4A02">
              <w:rPr>
                <w:szCs w:val="22"/>
                <w:lang w:val="cs-CZ"/>
              </w:rPr>
              <w:t>otoky oka</w:t>
            </w:r>
          </w:p>
          <w:p w14:paraId="6EED0161" w14:textId="77777777" w:rsidR="00E45929" w:rsidRPr="001B4A02" w:rsidRDefault="00E45929" w:rsidP="00ED48A3">
            <w:pPr>
              <w:pStyle w:val="EMEANormal"/>
              <w:rPr>
                <w:szCs w:val="22"/>
                <w:lang w:val="cs-CZ"/>
              </w:rPr>
            </w:pPr>
          </w:p>
        </w:tc>
      </w:tr>
      <w:tr w:rsidR="00534A2D" w14:paraId="451DB120" w14:textId="77777777" w:rsidTr="00DB7D9B">
        <w:trPr>
          <w:cantSplit/>
          <w:trHeight w:val="25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861B02A"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36B010AD" w14:textId="77777777" w:rsidR="00E45929"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1B7C9963" w14:textId="77777777" w:rsidR="00E45929" w:rsidRPr="001B4A02" w:rsidRDefault="00000000" w:rsidP="00ED48A3">
            <w:pPr>
              <w:pStyle w:val="EMEANormal"/>
              <w:rPr>
                <w:szCs w:val="22"/>
                <w:lang w:val="cs-CZ"/>
              </w:rPr>
            </w:pPr>
            <w:r w:rsidRPr="001B4A02">
              <w:rPr>
                <w:szCs w:val="22"/>
                <w:lang w:val="cs-CZ"/>
              </w:rPr>
              <w:t>Diplopie</w:t>
            </w:r>
          </w:p>
          <w:p w14:paraId="16152AF5" w14:textId="77777777" w:rsidR="00E45929" w:rsidRPr="001B4A02" w:rsidRDefault="00E45929" w:rsidP="00ED48A3">
            <w:pPr>
              <w:pStyle w:val="EMEANormal"/>
              <w:rPr>
                <w:szCs w:val="22"/>
                <w:lang w:val="cs-CZ"/>
              </w:rPr>
            </w:pPr>
          </w:p>
        </w:tc>
      </w:tr>
      <w:tr w:rsidR="00534A2D" w14:paraId="23DD2B14" w14:textId="77777777" w:rsidTr="00DB7D9B">
        <w:trPr>
          <w:cantSplit/>
          <w:trHeight w:val="96"/>
          <w:jc w:val="center"/>
        </w:trPr>
        <w:tc>
          <w:tcPr>
            <w:tcW w:w="2880" w:type="dxa"/>
            <w:vMerge w:val="restart"/>
            <w:tcBorders>
              <w:top w:val="single" w:sz="4" w:space="0" w:color="auto"/>
              <w:left w:val="single" w:sz="4" w:space="0" w:color="auto"/>
              <w:bottom w:val="single" w:sz="4" w:space="0" w:color="auto"/>
              <w:right w:val="single" w:sz="4" w:space="0" w:color="auto"/>
            </w:tcBorders>
            <w:shd w:val="clear" w:color="auto" w:fill="FFFFFF"/>
          </w:tcPr>
          <w:p w14:paraId="1F20F457" w14:textId="77777777" w:rsidR="00E45929" w:rsidRPr="001B4A02" w:rsidRDefault="00000000" w:rsidP="00ED48A3">
            <w:pPr>
              <w:pStyle w:val="EMEANormal"/>
              <w:tabs>
                <w:tab w:val="left" w:pos="0"/>
              </w:tabs>
              <w:rPr>
                <w:szCs w:val="22"/>
                <w:lang w:val="cs-CZ"/>
              </w:rPr>
            </w:pPr>
            <w:r w:rsidRPr="001B4A02">
              <w:rPr>
                <w:szCs w:val="22"/>
                <w:lang w:val="cs-CZ"/>
              </w:rPr>
              <w:t>Poruchy ucha</w:t>
            </w:r>
            <w:r w:rsidR="002378E0">
              <w:rPr>
                <w:szCs w:val="22"/>
                <w:lang w:val="cs-CZ"/>
              </w:rPr>
              <w:t xml:space="preserve"> a </w:t>
            </w:r>
            <w:r w:rsidRPr="001B4A02">
              <w:rPr>
                <w:szCs w:val="22"/>
                <w:lang w:val="cs-CZ"/>
              </w:rPr>
              <w:t>labyrintu</w:t>
            </w:r>
          </w:p>
        </w:tc>
        <w:tc>
          <w:tcPr>
            <w:tcW w:w="1440" w:type="dxa"/>
            <w:tcBorders>
              <w:top w:val="single" w:sz="4" w:space="0" w:color="auto"/>
              <w:left w:val="single" w:sz="4" w:space="0" w:color="auto"/>
              <w:bottom w:val="single" w:sz="4" w:space="0" w:color="auto"/>
              <w:right w:val="single" w:sz="4" w:space="0" w:color="auto"/>
            </w:tcBorders>
          </w:tcPr>
          <w:p w14:paraId="4E4A6DAB" w14:textId="77777777" w:rsidR="00E45929"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185E1E94" w14:textId="77777777" w:rsidR="00E45929" w:rsidRPr="001B4A02" w:rsidRDefault="00000000" w:rsidP="00ED48A3">
            <w:pPr>
              <w:pStyle w:val="EMEANormal"/>
              <w:rPr>
                <w:szCs w:val="22"/>
                <w:lang w:val="cs-CZ"/>
              </w:rPr>
            </w:pPr>
            <w:r w:rsidRPr="001B4A02">
              <w:rPr>
                <w:szCs w:val="22"/>
                <w:lang w:val="cs-CZ"/>
              </w:rPr>
              <w:t>Vertigo</w:t>
            </w:r>
          </w:p>
          <w:p w14:paraId="6DC7C4FE" w14:textId="77777777" w:rsidR="00E45929" w:rsidRPr="001B4A02" w:rsidRDefault="00E45929" w:rsidP="00ED48A3">
            <w:pPr>
              <w:pStyle w:val="EMEANormal"/>
              <w:rPr>
                <w:szCs w:val="22"/>
                <w:lang w:val="cs-CZ"/>
              </w:rPr>
            </w:pPr>
          </w:p>
        </w:tc>
      </w:tr>
      <w:tr w:rsidR="00534A2D" w14:paraId="49920434" w14:textId="77777777" w:rsidTr="00DB7D9B">
        <w:trPr>
          <w:cantSplit/>
          <w:trHeight w:val="40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6CA59D5"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4BE529BA" w14:textId="77777777" w:rsidR="00E45929"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317EAD65" w14:textId="77777777" w:rsidR="00E45929" w:rsidRPr="001B4A02" w:rsidRDefault="00000000" w:rsidP="00ED48A3">
            <w:pPr>
              <w:pStyle w:val="EMEANormal"/>
              <w:rPr>
                <w:szCs w:val="22"/>
                <w:lang w:val="cs-CZ"/>
              </w:rPr>
            </w:pPr>
            <w:r w:rsidRPr="001B4A02">
              <w:rPr>
                <w:szCs w:val="22"/>
                <w:lang w:val="cs-CZ"/>
              </w:rPr>
              <w:t>Ztráta sluchu,</w:t>
            </w:r>
          </w:p>
          <w:p w14:paraId="63CED9F3" w14:textId="77777777" w:rsidR="00E45929" w:rsidRPr="001B4A02" w:rsidRDefault="00000000" w:rsidP="00ED48A3">
            <w:pPr>
              <w:pStyle w:val="EMEANormal"/>
              <w:rPr>
                <w:szCs w:val="22"/>
                <w:lang w:val="cs-CZ"/>
              </w:rPr>
            </w:pPr>
            <w:r w:rsidRPr="001B4A02">
              <w:rPr>
                <w:szCs w:val="22"/>
                <w:lang w:val="cs-CZ"/>
              </w:rPr>
              <w:t>tinitus</w:t>
            </w:r>
          </w:p>
          <w:p w14:paraId="118C2C73" w14:textId="77777777" w:rsidR="00E45929" w:rsidRPr="001B4A02" w:rsidRDefault="00E45929" w:rsidP="00ED48A3">
            <w:pPr>
              <w:pStyle w:val="EMEANormal"/>
              <w:rPr>
                <w:szCs w:val="22"/>
                <w:lang w:val="cs-CZ"/>
              </w:rPr>
            </w:pPr>
          </w:p>
        </w:tc>
      </w:tr>
      <w:tr w:rsidR="00534A2D" w14:paraId="39DBFC53" w14:textId="77777777" w:rsidTr="00DB7D9B">
        <w:trPr>
          <w:cantSplit/>
          <w:trHeight w:val="127"/>
          <w:jc w:val="center"/>
        </w:trPr>
        <w:tc>
          <w:tcPr>
            <w:tcW w:w="2880" w:type="dxa"/>
            <w:vMerge w:val="restart"/>
            <w:tcBorders>
              <w:top w:val="single" w:sz="4" w:space="0" w:color="auto"/>
              <w:left w:val="single" w:sz="4" w:space="0" w:color="auto"/>
              <w:bottom w:val="single" w:sz="4" w:space="0" w:color="auto"/>
              <w:right w:val="single" w:sz="4" w:space="0" w:color="auto"/>
            </w:tcBorders>
          </w:tcPr>
          <w:p w14:paraId="01B82339" w14:textId="77777777" w:rsidR="00E45929" w:rsidRPr="001B4A02" w:rsidRDefault="00000000" w:rsidP="00ED48A3">
            <w:pPr>
              <w:pStyle w:val="EMEANormal"/>
              <w:tabs>
                <w:tab w:val="left" w:pos="0"/>
              </w:tabs>
              <w:rPr>
                <w:szCs w:val="22"/>
                <w:lang w:val="cs-CZ"/>
              </w:rPr>
            </w:pPr>
            <w:r w:rsidRPr="001B4A02">
              <w:rPr>
                <w:szCs w:val="22"/>
                <w:lang w:val="cs-CZ"/>
              </w:rPr>
              <w:t>Srdeční poruchy*</w:t>
            </w:r>
          </w:p>
        </w:tc>
        <w:tc>
          <w:tcPr>
            <w:tcW w:w="1440" w:type="dxa"/>
            <w:tcBorders>
              <w:top w:val="single" w:sz="4" w:space="0" w:color="auto"/>
              <w:left w:val="single" w:sz="4" w:space="0" w:color="auto"/>
              <w:bottom w:val="single" w:sz="4" w:space="0" w:color="auto"/>
              <w:right w:val="single" w:sz="4" w:space="0" w:color="auto"/>
            </w:tcBorders>
          </w:tcPr>
          <w:p w14:paraId="102BFD81" w14:textId="77777777" w:rsidR="00E45929"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02A8EF66" w14:textId="77777777" w:rsidR="00E45929" w:rsidRPr="001B4A02" w:rsidRDefault="00000000" w:rsidP="00ED48A3">
            <w:pPr>
              <w:pStyle w:val="EMEANormal"/>
              <w:rPr>
                <w:szCs w:val="22"/>
                <w:lang w:val="cs-CZ"/>
              </w:rPr>
            </w:pPr>
            <w:r w:rsidRPr="001B4A02">
              <w:rPr>
                <w:szCs w:val="22"/>
                <w:lang w:val="cs-CZ"/>
              </w:rPr>
              <w:t>Tachykardie</w:t>
            </w:r>
          </w:p>
          <w:p w14:paraId="25F4C2A5" w14:textId="77777777" w:rsidR="00E45929" w:rsidRPr="001B4A02" w:rsidRDefault="00E45929" w:rsidP="00ED48A3">
            <w:pPr>
              <w:pStyle w:val="EMEANormal"/>
              <w:rPr>
                <w:szCs w:val="22"/>
                <w:lang w:val="cs-CZ"/>
              </w:rPr>
            </w:pPr>
          </w:p>
        </w:tc>
      </w:tr>
      <w:tr w:rsidR="00534A2D" w14:paraId="35DC1326" w14:textId="77777777" w:rsidTr="00DB7D9B">
        <w:trPr>
          <w:cantSplit/>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76BD877"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F5C1EAE" w14:textId="77777777" w:rsidR="00E45929"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5C11BDB2" w14:textId="77777777" w:rsidR="00E45929" w:rsidRPr="001B4A02" w:rsidRDefault="00000000" w:rsidP="00ED48A3">
            <w:pPr>
              <w:pStyle w:val="EMEANormal"/>
              <w:rPr>
                <w:szCs w:val="22"/>
                <w:lang w:val="cs-CZ"/>
              </w:rPr>
            </w:pPr>
            <w:r w:rsidRPr="001B4A02">
              <w:rPr>
                <w:szCs w:val="22"/>
                <w:lang w:val="cs-CZ"/>
              </w:rPr>
              <w:t>Infarkt myokardu</w:t>
            </w:r>
            <w:r w:rsidRPr="001B4A02">
              <w:rPr>
                <w:szCs w:val="22"/>
                <w:vertAlign w:val="superscript"/>
                <w:lang w:val="cs-CZ"/>
              </w:rPr>
              <w:t>1)</w:t>
            </w:r>
            <w:r w:rsidRPr="001B4A02">
              <w:rPr>
                <w:szCs w:val="22"/>
                <w:lang w:val="cs-CZ"/>
              </w:rPr>
              <w:t>,</w:t>
            </w:r>
          </w:p>
          <w:p w14:paraId="2FA73041" w14:textId="77777777" w:rsidR="00E45929" w:rsidRPr="001B4A02" w:rsidRDefault="00000000" w:rsidP="00ED48A3">
            <w:pPr>
              <w:pStyle w:val="EMEANormal"/>
              <w:rPr>
                <w:szCs w:val="22"/>
                <w:lang w:val="cs-CZ"/>
              </w:rPr>
            </w:pPr>
            <w:r w:rsidRPr="001B4A02">
              <w:rPr>
                <w:szCs w:val="22"/>
                <w:lang w:val="cs-CZ"/>
              </w:rPr>
              <w:t>arytmie,</w:t>
            </w:r>
          </w:p>
          <w:p w14:paraId="3BF2F83E" w14:textId="77777777" w:rsidR="00E45929" w:rsidRPr="001B4A02" w:rsidRDefault="00000000" w:rsidP="00ED48A3">
            <w:pPr>
              <w:pStyle w:val="EMEANormal"/>
              <w:rPr>
                <w:szCs w:val="22"/>
                <w:lang w:val="cs-CZ"/>
              </w:rPr>
            </w:pPr>
            <w:r w:rsidRPr="001B4A02">
              <w:rPr>
                <w:szCs w:val="22"/>
                <w:lang w:val="cs-CZ"/>
              </w:rPr>
              <w:t>městnavé srdeční selhání</w:t>
            </w:r>
          </w:p>
          <w:p w14:paraId="732A3910" w14:textId="77777777" w:rsidR="00E45929" w:rsidRPr="001B4A02" w:rsidRDefault="00E45929" w:rsidP="00ED48A3">
            <w:pPr>
              <w:pStyle w:val="EMEANormal"/>
              <w:rPr>
                <w:szCs w:val="22"/>
                <w:lang w:val="cs-CZ"/>
              </w:rPr>
            </w:pPr>
          </w:p>
        </w:tc>
      </w:tr>
      <w:tr w:rsidR="00534A2D" w14:paraId="1A002546" w14:textId="77777777" w:rsidTr="00DB7D9B">
        <w:trPr>
          <w:cantSplit/>
          <w:trHeight w:val="25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6D767DA"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0B8083D" w14:textId="77777777" w:rsidR="00E45929" w:rsidRPr="001B4A02" w:rsidRDefault="00000000" w:rsidP="00ED48A3">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4F20D12B" w14:textId="77777777" w:rsidR="00E45929" w:rsidRPr="001B4A02" w:rsidRDefault="00000000" w:rsidP="00ED48A3">
            <w:pPr>
              <w:pStyle w:val="EMEANormal"/>
              <w:rPr>
                <w:szCs w:val="22"/>
                <w:lang w:val="cs-CZ"/>
              </w:rPr>
            </w:pPr>
            <w:r w:rsidRPr="001B4A02">
              <w:rPr>
                <w:szCs w:val="22"/>
                <w:lang w:val="cs-CZ"/>
              </w:rPr>
              <w:t>Srdeční zástava</w:t>
            </w:r>
          </w:p>
          <w:p w14:paraId="390543A0" w14:textId="77777777" w:rsidR="00E45929" w:rsidRPr="001B4A02" w:rsidRDefault="00E45929" w:rsidP="00ED48A3">
            <w:pPr>
              <w:pStyle w:val="EMEANormal"/>
              <w:rPr>
                <w:szCs w:val="22"/>
                <w:lang w:val="cs-CZ"/>
              </w:rPr>
            </w:pPr>
          </w:p>
        </w:tc>
      </w:tr>
      <w:tr w:rsidR="00534A2D" w14:paraId="3957E059" w14:textId="77777777" w:rsidTr="00DB7D9B">
        <w:trPr>
          <w:cantSplit/>
          <w:trHeight w:val="143"/>
          <w:jc w:val="center"/>
        </w:trPr>
        <w:tc>
          <w:tcPr>
            <w:tcW w:w="2880" w:type="dxa"/>
            <w:vMerge w:val="restart"/>
            <w:tcBorders>
              <w:top w:val="single" w:sz="4" w:space="0" w:color="auto"/>
              <w:left w:val="single" w:sz="4" w:space="0" w:color="auto"/>
              <w:bottom w:val="single" w:sz="4" w:space="0" w:color="auto"/>
              <w:right w:val="single" w:sz="4" w:space="0" w:color="auto"/>
            </w:tcBorders>
          </w:tcPr>
          <w:p w14:paraId="12A2A13C" w14:textId="77777777" w:rsidR="00E45929" w:rsidRPr="001B4A02" w:rsidRDefault="00000000" w:rsidP="00ED48A3">
            <w:pPr>
              <w:pStyle w:val="EMEANormal"/>
              <w:tabs>
                <w:tab w:val="left" w:pos="0"/>
              </w:tabs>
              <w:rPr>
                <w:szCs w:val="22"/>
                <w:lang w:val="cs-CZ"/>
              </w:rPr>
            </w:pPr>
            <w:r w:rsidRPr="001B4A02">
              <w:rPr>
                <w:szCs w:val="22"/>
                <w:lang w:val="cs-CZ"/>
              </w:rPr>
              <w:t>Cévní poruchy</w:t>
            </w:r>
          </w:p>
        </w:tc>
        <w:tc>
          <w:tcPr>
            <w:tcW w:w="1440" w:type="dxa"/>
            <w:tcBorders>
              <w:top w:val="single" w:sz="4" w:space="0" w:color="auto"/>
              <w:left w:val="single" w:sz="4" w:space="0" w:color="auto"/>
              <w:bottom w:val="single" w:sz="4" w:space="0" w:color="auto"/>
              <w:right w:val="single" w:sz="4" w:space="0" w:color="auto"/>
            </w:tcBorders>
          </w:tcPr>
          <w:p w14:paraId="0410341F" w14:textId="77777777" w:rsidR="00E45929"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7CAC3B03" w14:textId="77777777" w:rsidR="00E45929" w:rsidRPr="001B4A02" w:rsidRDefault="00000000" w:rsidP="00ED48A3">
            <w:pPr>
              <w:pStyle w:val="EMEANormal"/>
              <w:rPr>
                <w:szCs w:val="22"/>
                <w:lang w:val="cs-CZ"/>
              </w:rPr>
            </w:pPr>
            <w:r w:rsidRPr="001B4A02">
              <w:rPr>
                <w:szCs w:val="22"/>
                <w:lang w:val="cs-CZ"/>
              </w:rPr>
              <w:t>Hypertenze,</w:t>
            </w:r>
          </w:p>
          <w:p w14:paraId="7660D34E" w14:textId="77777777" w:rsidR="00E45929" w:rsidRPr="001B4A02" w:rsidRDefault="00000000" w:rsidP="00ED48A3">
            <w:pPr>
              <w:pStyle w:val="EMEANormal"/>
              <w:rPr>
                <w:szCs w:val="22"/>
                <w:lang w:val="cs-CZ"/>
              </w:rPr>
            </w:pPr>
            <w:r w:rsidRPr="001B4A02">
              <w:rPr>
                <w:szCs w:val="22"/>
                <w:lang w:val="cs-CZ"/>
              </w:rPr>
              <w:t>záchvaty zrudnutí,</w:t>
            </w:r>
          </w:p>
          <w:p w14:paraId="7B9742DB" w14:textId="77777777" w:rsidR="00E45929" w:rsidRPr="001B4A02" w:rsidRDefault="00000000" w:rsidP="00ED48A3">
            <w:pPr>
              <w:pStyle w:val="EMEANormal"/>
              <w:rPr>
                <w:szCs w:val="22"/>
                <w:lang w:val="cs-CZ"/>
              </w:rPr>
            </w:pPr>
            <w:r w:rsidRPr="001B4A02">
              <w:rPr>
                <w:szCs w:val="22"/>
                <w:lang w:val="cs-CZ"/>
              </w:rPr>
              <w:t>hematomy</w:t>
            </w:r>
          </w:p>
          <w:p w14:paraId="74ECBE92" w14:textId="77777777" w:rsidR="00E45929" w:rsidRPr="001B4A02" w:rsidRDefault="00E45929" w:rsidP="00ED48A3">
            <w:pPr>
              <w:pStyle w:val="EMEANormal"/>
              <w:rPr>
                <w:szCs w:val="22"/>
                <w:lang w:val="cs-CZ"/>
              </w:rPr>
            </w:pPr>
          </w:p>
        </w:tc>
      </w:tr>
      <w:tr w:rsidR="00534A2D" w14:paraId="4A369175" w14:textId="77777777" w:rsidTr="00DB7D9B">
        <w:trPr>
          <w:cantSplit/>
          <w:trHeight w:val="14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B46932A"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5D88B47B" w14:textId="77777777" w:rsidR="00E45929"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6080C732" w14:textId="77777777" w:rsidR="00E45929" w:rsidRPr="001B4A02" w:rsidRDefault="00000000" w:rsidP="00ED48A3">
            <w:pPr>
              <w:pStyle w:val="EMEANormal"/>
              <w:rPr>
                <w:szCs w:val="22"/>
                <w:lang w:val="cs-CZ"/>
              </w:rPr>
            </w:pPr>
            <w:r w:rsidRPr="001B4A02">
              <w:rPr>
                <w:szCs w:val="22"/>
                <w:lang w:val="cs-CZ"/>
              </w:rPr>
              <w:t>Aneurysma aorty,</w:t>
            </w:r>
          </w:p>
          <w:p w14:paraId="4766B450" w14:textId="77777777" w:rsidR="00E45929" w:rsidRPr="001B4A02" w:rsidRDefault="00000000" w:rsidP="00ED48A3">
            <w:pPr>
              <w:pStyle w:val="EMEANormal"/>
              <w:rPr>
                <w:szCs w:val="22"/>
                <w:lang w:val="cs-CZ"/>
              </w:rPr>
            </w:pPr>
            <w:r w:rsidRPr="001B4A02">
              <w:rPr>
                <w:szCs w:val="22"/>
                <w:lang w:val="cs-CZ"/>
              </w:rPr>
              <w:t>cévní arteriální okluze,</w:t>
            </w:r>
          </w:p>
          <w:p w14:paraId="4A203129" w14:textId="77777777" w:rsidR="00E45929" w:rsidRPr="001B4A02" w:rsidRDefault="00000000" w:rsidP="00ED48A3">
            <w:pPr>
              <w:pStyle w:val="EMEANormal"/>
              <w:rPr>
                <w:szCs w:val="22"/>
                <w:lang w:val="cs-CZ"/>
              </w:rPr>
            </w:pPr>
            <w:r w:rsidRPr="001B4A02">
              <w:rPr>
                <w:szCs w:val="22"/>
                <w:lang w:val="cs-CZ"/>
              </w:rPr>
              <w:t>tromoflebitida</w:t>
            </w:r>
          </w:p>
          <w:p w14:paraId="500AD267" w14:textId="77777777" w:rsidR="00E45929" w:rsidRPr="001B4A02" w:rsidRDefault="00E45929" w:rsidP="00ED48A3">
            <w:pPr>
              <w:pStyle w:val="EMEANormal"/>
              <w:rPr>
                <w:szCs w:val="22"/>
                <w:lang w:val="cs-CZ"/>
              </w:rPr>
            </w:pPr>
          </w:p>
        </w:tc>
      </w:tr>
      <w:tr w:rsidR="00534A2D" w14:paraId="716369AA" w14:textId="77777777" w:rsidTr="00DB7D9B">
        <w:trPr>
          <w:cantSplit/>
          <w:trHeight w:val="391"/>
          <w:jc w:val="center"/>
        </w:trPr>
        <w:tc>
          <w:tcPr>
            <w:tcW w:w="2880" w:type="dxa"/>
            <w:vMerge w:val="restart"/>
            <w:tcBorders>
              <w:top w:val="single" w:sz="4" w:space="0" w:color="auto"/>
              <w:left w:val="single" w:sz="4" w:space="0" w:color="auto"/>
              <w:right w:val="single" w:sz="4" w:space="0" w:color="auto"/>
            </w:tcBorders>
          </w:tcPr>
          <w:p w14:paraId="2A771FC1" w14:textId="77777777" w:rsidR="00E45929" w:rsidRPr="001B4A02" w:rsidRDefault="00000000" w:rsidP="00ED48A3">
            <w:pPr>
              <w:pStyle w:val="EMEANormal"/>
              <w:tabs>
                <w:tab w:val="left" w:pos="0"/>
              </w:tabs>
              <w:rPr>
                <w:szCs w:val="22"/>
                <w:lang w:val="cs-CZ"/>
              </w:rPr>
            </w:pPr>
            <w:r w:rsidRPr="001B4A02">
              <w:rPr>
                <w:szCs w:val="22"/>
                <w:lang w:val="cs-CZ"/>
              </w:rPr>
              <w:t>Respirační, hrudní</w:t>
            </w:r>
            <w:r w:rsidR="002378E0">
              <w:rPr>
                <w:szCs w:val="22"/>
                <w:lang w:val="cs-CZ"/>
              </w:rPr>
              <w:t xml:space="preserve"> a </w:t>
            </w:r>
            <w:r w:rsidRPr="001B4A02">
              <w:rPr>
                <w:szCs w:val="22"/>
                <w:lang w:val="cs-CZ"/>
              </w:rPr>
              <w:t>mediastinální poruchy*</w:t>
            </w:r>
          </w:p>
        </w:tc>
        <w:tc>
          <w:tcPr>
            <w:tcW w:w="1440" w:type="dxa"/>
            <w:tcBorders>
              <w:top w:val="single" w:sz="4" w:space="0" w:color="auto"/>
              <w:left w:val="single" w:sz="4" w:space="0" w:color="auto"/>
              <w:bottom w:val="single" w:sz="4" w:space="0" w:color="auto"/>
              <w:right w:val="single" w:sz="4" w:space="0" w:color="auto"/>
            </w:tcBorders>
          </w:tcPr>
          <w:p w14:paraId="3709F852" w14:textId="77777777" w:rsidR="00E45929"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14882707" w14:textId="77777777" w:rsidR="00E45929" w:rsidRPr="001B4A02" w:rsidRDefault="00000000" w:rsidP="00ED48A3">
            <w:pPr>
              <w:pStyle w:val="EMEANormal"/>
              <w:rPr>
                <w:szCs w:val="22"/>
                <w:lang w:val="cs-CZ"/>
              </w:rPr>
            </w:pPr>
            <w:r w:rsidRPr="001B4A02">
              <w:rPr>
                <w:szCs w:val="22"/>
                <w:lang w:val="cs-CZ"/>
              </w:rPr>
              <w:t>Astma,</w:t>
            </w:r>
          </w:p>
          <w:p w14:paraId="464DE4BA" w14:textId="77777777" w:rsidR="00E45929" w:rsidRPr="001B4A02" w:rsidRDefault="00000000" w:rsidP="00ED48A3">
            <w:pPr>
              <w:pStyle w:val="EMEANormal"/>
              <w:rPr>
                <w:szCs w:val="22"/>
                <w:lang w:val="cs-CZ"/>
              </w:rPr>
            </w:pPr>
            <w:r w:rsidRPr="001B4A02">
              <w:rPr>
                <w:szCs w:val="22"/>
                <w:lang w:val="cs-CZ"/>
              </w:rPr>
              <w:t>dyspnoe,</w:t>
            </w:r>
          </w:p>
          <w:p w14:paraId="354C7B5A" w14:textId="77777777" w:rsidR="00E45929" w:rsidRPr="001B4A02" w:rsidRDefault="00000000" w:rsidP="00ED48A3">
            <w:pPr>
              <w:pStyle w:val="EMEANormal"/>
              <w:rPr>
                <w:szCs w:val="22"/>
                <w:lang w:val="cs-CZ"/>
              </w:rPr>
            </w:pPr>
            <w:r w:rsidRPr="001B4A02">
              <w:rPr>
                <w:szCs w:val="22"/>
                <w:lang w:val="cs-CZ"/>
              </w:rPr>
              <w:t>kašel</w:t>
            </w:r>
          </w:p>
          <w:p w14:paraId="522505FC" w14:textId="77777777" w:rsidR="00E45929" w:rsidRPr="001B4A02" w:rsidRDefault="00E45929" w:rsidP="00ED48A3">
            <w:pPr>
              <w:pStyle w:val="EMEANormal"/>
              <w:rPr>
                <w:szCs w:val="22"/>
                <w:lang w:val="cs-CZ"/>
              </w:rPr>
            </w:pPr>
          </w:p>
        </w:tc>
      </w:tr>
      <w:tr w:rsidR="00534A2D" w14:paraId="317BE3CD" w14:textId="77777777" w:rsidTr="00DB7D9B">
        <w:trPr>
          <w:cantSplit/>
          <w:trHeight w:val="234"/>
          <w:jc w:val="center"/>
        </w:trPr>
        <w:tc>
          <w:tcPr>
            <w:tcW w:w="0" w:type="auto"/>
            <w:vMerge/>
            <w:tcBorders>
              <w:left w:val="single" w:sz="4" w:space="0" w:color="auto"/>
              <w:right w:val="single" w:sz="4" w:space="0" w:color="auto"/>
            </w:tcBorders>
            <w:vAlign w:val="center"/>
          </w:tcPr>
          <w:p w14:paraId="0DD985CA"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6CEE4091" w14:textId="77777777" w:rsidR="00E45929"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0B2FDEA2" w14:textId="77777777" w:rsidR="00E45929" w:rsidRPr="001B4A02" w:rsidRDefault="00000000" w:rsidP="00ED48A3">
            <w:pPr>
              <w:pStyle w:val="EMEANormal"/>
              <w:rPr>
                <w:szCs w:val="22"/>
                <w:lang w:val="cs-CZ"/>
              </w:rPr>
            </w:pPr>
            <w:r w:rsidRPr="001B4A02">
              <w:rPr>
                <w:szCs w:val="22"/>
                <w:lang w:val="cs-CZ"/>
              </w:rPr>
              <w:t>Plicní embolie,</w:t>
            </w:r>
            <w:r w:rsidRPr="001B4A02">
              <w:rPr>
                <w:szCs w:val="22"/>
                <w:vertAlign w:val="superscript"/>
                <w:lang w:val="cs-CZ"/>
              </w:rPr>
              <w:t>1)</w:t>
            </w:r>
          </w:p>
          <w:p w14:paraId="467CAC51" w14:textId="77777777" w:rsidR="00E45929" w:rsidRPr="001B4A02" w:rsidRDefault="00000000" w:rsidP="00ED48A3">
            <w:pPr>
              <w:pStyle w:val="EMEANormal"/>
              <w:rPr>
                <w:szCs w:val="22"/>
                <w:lang w:val="cs-CZ"/>
              </w:rPr>
            </w:pPr>
            <w:r w:rsidRPr="001B4A02">
              <w:rPr>
                <w:szCs w:val="22"/>
                <w:lang w:val="cs-CZ"/>
              </w:rPr>
              <w:t>intersticiální plicní choroba,</w:t>
            </w:r>
          </w:p>
          <w:p w14:paraId="37EB737F" w14:textId="77777777" w:rsidR="00E45929" w:rsidRPr="001B4A02" w:rsidRDefault="00000000" w:rsidP="00ED48A3">
            <w:pPr>
              <w:pStyle w:val="EMEANormal"/>
              <w:rPr>
                <w:szCs w:val="22"/>
                <w:lang w:val="cs-CZ"/>
              </w:rPr>
            </w:pPr>
            <w:r w:rsidRPr="001B4A02">
              <w:rPr>
                <w:szCs w:val="22"/>
                <w:lang w:val="cs-CZ"/>
              </w:rPr>
              <w:t>chronická obstrukční plicní nemoc,</w:t>
            </w:r>
          </w:p>
          <w:p w14:paraId="5EBAA155" w14:textId="77777777" w:rsidR="00E45929" w:rsidRPr="001B4A02" w:rsidRDefault="00000000" w:rsidP="00ED48A3">
            <w:pPr>
              <w:pStyle w:val="EMEANormal"/>
              <w:rPr>
                <w:szCs w:val="22"/>
                <w:lang w:val="cs-CZ"/>
              </w:rPr>
            </w:pPr>
            <w:r w:rsidRPr="001B4A02">
              <w:rPr>
                <w:szCs w:val="22"/>
                <w:lang w:val="cs-CZ"/>
              </w:rPr>
              <w:t>pneumonitida,</w:t>
            </w:r>
          </w:p>
          <w:p w14:paraId="38CC1DAF" w14:textId="77777777" w:rsidR="00E45929" w:rsidRPr="001B4A02" w:rsidRDefault="00000000" w:rsidP="00ED48A3">
            <w:pPr>
              <w:pStyle w:val="EMEANormal"/>
              <w:rPr>
                <w:szCs w:val="22"/>
                <w:lang w:val="cs-CZ"/>
              </w:rPr>
            </w:pPr>
            <w:r w:rsidRPr="001B4A02">
              <w:rPr>
                <w:szCs w:val="22"/>
                <w:lang w:val="cs-CZ"/>
              </w:rPr>
              <w:t>pleurální výpotek</w:t>
            </w:r>
            <w:r w:rsidRPr="001B4A02">
              <w:rPr>
                <w:szCs w:val="22"/>
                <w:vertAlign w:val="superscript"/>
                <w:lang w:val="cs-CZ"/>
              </w:rPr>
              <w:t>1)</w:t>
            </w:r>
          </w:p>
          <w:p w14:paraId="099B9A52" w14:textId="77777777" w:rsidR="00E45929" w:rsidRPr="001B4A02" w:rsidRDefault="00E45929" w:rsidP="00ED48A3">
            <w:pPr>
              <w:pStyle w:val="EMEANormal"/>
              <w:rPr>
                <w:szCs w:val="22"/>
                <w:lang w:val="cs-CZ"/>
              </w:rPr>
            </w:pPr>
          </w:p>
        </w:tc>
      </w:tr>
      <w:tr w:rsidR="00534A2D" w14:paraId="4FE86A46" w14:textId="77777777" w:rsidTr="00DB7D9B">
        <w:trPr>
          <w:cantSplit/>
          <w:trHeight w:val="234"/>
          <w:jc w:val="center"/>
        </w:trPr>
        <w:tc>
          <w:tcPr>
            <w:tcW w:w="0" w:type="auto"/>
            <w:vMerge/>
            <w:tcBorders>
              <w:left w:val="single" w:sz="4" w:space="0" w:color="auto"/>
              <w:bottom w:val="single" w:sz="4" w:space="0" w:color="auto"/>
              <w:right w:val="single" w:sz="4" w:space="0" w:color="auto"/>
            </w:tcBorders>
            <w:vAlign w:val="center"/>
          </w:tcPr>
          <w:p w14:paraId="78DF0929"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1F6F53FF" w14:textId="77777777" w:rsidR="00E45929" w:rsidRPr="001B4A02" w:rsidRDefault="00000000" w:rsidP="00ED48A3">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0CF618E9" w14:textId="77777777" w:rsidR="00E45929" w:rsidRPr="001B4A02" w:rsidRDefault="00000000" w:rsidP="00ED48A3">
            <w:pPr>
              <w:pStyle w:val="EMEANormal"/>
              <w:rPr>
                <w:szCs w:val="22"/>
                <w:vertAlign w:val="superscript"/>
                <w:lang w:val="cs-CZ"/>
              </w:rPr>
            </w:pPr>
            <w:r w:rsidRPr="001B4A02">
              <w:rPr>
                <w:szCs w:val="22"/>
                <w:lang w:val="cs-CZ"/>
              </w:rPr>
              <w:t>Plicní fibróza</w:t>
            </w:r>
            <w:r w:rsidRPr="001B4A02">
              <w:rPr>
                <w:szCs w:val="22"/>
                <w:vertAlign w:val="superscript"/>
                <w:lang w:val="cs-CZ"/>
              </w:rPr>
              <w:t>1)</w:t>
            </w:r>
          </w:p>
          <w:p w14:paraId="582649C2" w14:textId="77777777" w:rsidR="00E45929" w:rsidRPr="001B4A02" w:rsidRDefault="00E45929" w:rsidP="00ED48A3">
            <w:pPr>
              <w:pStyle w:val="EMEANormal"/>
              <w:rPr>
                <w:szCs w:val="22"/>
                <w:lang w:val="cs-CZ"/>
              </w:rPr>
            </w:pPr>
          </w:p>
        </w:tc>
      </w:tr>
      <w:tr w:rsidR="00534A2D" w14:paraId="0F113A83" w14:textId="77777777" w:rsidTr="00DB7D9B">
        <w:trPr>
          <w:cantSplit/>
          <w:trHeight w:val="261"/>
          <w:jc w:val="center"/>
        </w:trPr>
        <w:tc>
          <w:tcPr>
            <w:tcW w:w="2880" w:type="dxa"/>
            <w:vMerge w:val="restart"/>
            <w:tcBorders>
              <w:top w:val="single" w:sz="4" w:space="0" w:color="auto"/>
              <w:left w:val="single" w:sz="4" w:space="0" w:color="auto"/>
              <w:right w:val="single" w:sz="4" w:space="0" w:color="auto"/>
            </w:tcBorders>
          </w:tcPr>
          <w:p w14:paraId="2241CE42" w14:textId="77777777" w:rsidR="00E45929" w:rsidRPr="001B4A02" w:rsidRDefault="00000000" w:rsidP="00ED48A3">
            <w:pPr>
              <w:pStyle w:val="EMEANormal"/>
              <w:tabs>
                <w:tab w:val="left" w:pos="0"/>
              </w:tabs>
              <w:rPr>
                <w:szCs w:val="22"/>
                <w:lang w:val="cs-CZ"/>
              </w:rPr>
            </w:pPr>
            <w:r w:rsidRPr="001B4A02">
              <w:rPr>
                <w:szCs w:val="22"/>
                <w:lang w:val="cs-CZ"/>
              </w:rPr>
              <w:t>Gastrointestinální poruchy</w:t>
            </w:r>
          </w:p>
        </w:tc>
        <w:tc>
          <w:tcPr>
            <w:tcW w:w="1440" w:type="dxa"/>
            <w:tcBorders>
              <w:top w:val="single" w:sz="4" w:space="0" w:color="auto"/>
              <w:left w:val="single" w:sz="4" w:space="0" w:color="auto"/>
              <w:bottom w:val="single" w:sz="4" w:space="0" w:color="auto"/>
              <w:right w:val="single" w:sz="4" w:space="0" w:color="auto"/>
            </w:tcBorders>
          </w:tcPr>
          <w:p w14:paraId="519270C0" w14:textId="77777777" w:rsidR="00E45929" w:rsidRPr="001B4A02" w:rsidRDefault="00000000" w:rsidP="00ED48A3">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79FC471E" w14:textId="77777777" w:rsidR="00E45929" w:rsidRPr="001B4A02" w:rsidRDefault="00000000" w:rsidP="00ED48A3">
            <w:pPr>
              <w:pStyle w:val="EMEANormal"/>
              <w:rPr>
                <w:szCs w:val="22"/>
                <w:lang w:val="cs-CZ"/>
              </w:rPr>
            </w:pPr>
            <w:r w:rsidRPr="001B4A02">
              <w:rPr>
                <w:szCs w:val="22"/>
                <w:lang w:val="cs-CZ"/>
              </w:rPr>
              <w:t>Bolest břicha,</w:t>
            </w:r>
          </w:p>
          <w:p w14:paraId="5E415424" w14:textId="77777777" w:rsidR="00E45929" w:rsidRPr="001B4A02" w:rsidRDefault="00000000" w:rsidP="00ED48A3">
            <w:pPr>
              <w:pStyle w:val="EMEANormal"/>
              <w:rPr>
                <w:szCs w:val="22"/>
                <w:lang w:val="cs-CZ"/>
              </w:rPr>
            </w:pPr>
            <w:r w:rsidRPr="001B4A02">
              <w:rPr>
                <w:szCs w:val="22"/>
                <w:lang w:val="cs-CZ"/>
              </w:rPr>
              <w:t>nau</w:t>
            </w:r>
            <w:r w:rsidR="00664E8D">
              <w:rPr>
                <w:szCs w:val="22"/>
                <w:lang w:val="cs-CZ"/>
              </w:rPr>
              <w:t>z</w:t>
            </w:r>
            <w:r w:rsidRPr="001B4A02">
              <w:rPr>
                <w:szCs w:val="22"/>
                <w:lang w:val="cs-CZ"/>
              </w:rPr>
              <w:t>ea</w:t>
            </w:r>
            <w:r w:rsidR="002378E0">
              <w:rPr>
                <w:szCs w:val="22"/>
                <w:lang w:val="cs-CZ"/>
              </w:rPr>
              <w:t xml:space="preserve"> a </w:t>
            </w:r>
            <w:r w:rsidRPr="001B4A02">
              <w:rPr>
                <w:szCs w:val="22"/>
                <w:lang w:val="cs-CZ"/>
              </w:rPr>
              <w:t>zvracení</w:t>
            </w:r>
          </w:p>
          <w:p w14:paraId="0B45C7DE" w14:textId="77777777" w:rsidR="00E45929" w:rsidRPr="001B4A02" w:rsidRDefault="00E45929" w:rsidP="00ED48A3">
            <w:pPr>
              <w:pStyle w:val="EMEANormal"/>
              <w:rPr>
                <w:szCs w:val="22"/>
                <w:lang w:val="cs-CZ"/>
              </w:rPr>
            </w:pPr>
          </w:p>
        </w:tc>
      </w:tr>
      <w:tr w:rsidR="00534A2D" w14:paraId="3CEDC0CD" w14:textId="77777777" w:rsidTr="00DB7D9B">
        <w:trPr>
          <w:cantSplit/>
          <w:trHeight w:val="260"/>
          <w:jc w:val="center"/>
        </w:trPr>
        <w:tc>
          <w:tcPr>
            <w:tcW w:w="0" w:type="auto"/>
            <w:vMerge/>
            <w:tcBorders>
              <w:left w:val="single" w:sz="4" w:space="0" w:color="auto"/>
              <w:right w:val="single" w:sz="4" w:space="0" w:color="auto"/>
            </w:tcBorders>
            <w:vAlign w:val="center"/>
          </w:tcPr>
          <w:p w14:paraId="22FE632C"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142F4F93" w14:textId="77777777" w:rsidR="00E45929" w:rsidRPr="001B4A02" w:rsidRDefault="00000000" w:rsidP="00ED48A3">
            <w:pPr>
              <w:pStyle w:val="EMEANormal"/>
              <w:tabs>
                <w:tab w:val="left" w:pos="100"/>
              </w:tabs>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760C83E7" w14:textId="77777777" w:rsidR="00E45929" w:rsidRPr="001B4A02" w:rsidRDefault="00000000" w:rsidP="00ED48A3">
            <w:pPr>
              <w:pStyle w:val="EMEANormal"/>
              <w:rPr>
                <w:szCs w:val="22"/>
                <w:lang w:val="cs-CZ"/>
              </w:rPr>
            </w:pPr>
            <w:r w:rsidRPr="001B4A02">
              <w:rPr>
                <w:szCs w:val="22"/>
                <w:lang w:val="cs-CZ"/>
              </w:rPr>
              <w:t>Krvácení z GI traktu,</w:t>
            </w:r>
          </w:p>
          <w:p w14:paraId="592D3C63" w14:textId="77777777" w:rsidR="00E45929" w:rsidRPr="001B4A02" w:rsidRDefault="00000000" w:rsidP="00ED48A3">
            <w:pPr>
              <w:pStyle w:val="EMEANormal"/>
              <w:rPr>
                <w:szCs w:val="22"/>
                <w:lang w:val="cs-CZ"/>
              </w:rPr>
            </w:pPr>
            <w:r w:rsidRPr="001B4A02">
              <w:rPr>
                <w:szCs w:val="22"/>
                <w:lang w:val="cs-CZ"/>
              </w:rPr>
              <w:t>dyspepsie,</w:t>
            </w:r>
          </w:p>
          <w:p w14:paraId="37728B64" w14:textId="77777777" w:rsidR="00E45929" w:rsidRPr="001B4A02" w:rsidRDefault="00000000" w:rsidP="00ED48A3">
            <w:pPr>
              <w:pStyle w:val="EMEANormal"/>
              <w:rPr>
                <w:szCs w:val="22"/>
                <w:lang w:val="cs-CZ"/>
              </w:rPr>
            </w:pPr>
            <w:r w:rsidRPr="001B4A02">
              <w:rPr>
                <w:szCs w:val="22"/>
                <w:lang w:val="cs-CZ"/>
              </w:rPr>
              <w:t>gastroesofageální refl</w:t>
            </w:r>
            <w:r w:rsidR="00936E7B">
              <w:rPr>
                <w:szCs w:val="22"/>
                <w:lang w:val="cs-CZ"/>
              </w:rPr>
              <w:t>u</w:t>
            </w:r>
            <w:r w:rsidRPr="001B4A02">
              <w:rPr>
                <w:szCs w:val="22"/>
                <w:lang w:val="cs-CZ"/>
              </w:rPr>
              <w:t>xní choroba,</w:t>
            </w:r>
          </w:p>
          <w:p w14:paraId="405A449C" w14:textId="77777777" w:rsidR="00E45929" w:rsidRPr="001B4A02" w:rsidRDefault="00000000" w:rsidP="00ED48A3">
            <w:pPr>
              <w:pStyle w:val="EMEANormal"/>
              <w:rPr>
                <w:szCs w:val="22"/>
                <w:lang w:val="cs-CZ"/>
              </w:rPr>
            </w:pPr>
            <w:r w:rsidRPr="001B4A02">
              <w:rPr>
                <w:szCs w:val="22"/>
                <w:lang w:val="cs-CZ"/>
              </w:rPr>
              <w:t>sicca syndrom</w:t>
            </w:r>
          </w:p>
          <w:p w14:paraId="6206E0DF" w14:textId="77777777" w:rsidR="00E45929" w:rsidRPr="001B4A02" w:rsidRDefault="00E45929" w:rsidP="00ED48A3">
            <w:pPr>
              <w:pStyle w:val="EMEANormal"/>
              <w:rPr>
                <w:szCs w:val="22"/>
                <w:lang w:val="cs-CZ"/>
              </w:rPr>
            </w:pPr>
          </w:p>
        </w:tc>
      </w:tr>
      <w:tr w:rsidR="00534A2D" w14:paraId="6424ED9B" w14:textId="77777777" w:rsidTr="00DB7D9B">
        <w:trPr>
          <w:cantSplit/>
          <w:trHeight w:val="260"/>
          <w:jc w:val="center"/>
        </w:trPr>
        <w:tc>
          <w:tcPr>
            <w:tcW w:w="0" w:type="auto"/>
            <w:vMerge/>
            <w:tcBorders>
              <w:left w:val="single" w:sz="4" w:space="0" w:color="auto"/>
              <w:right w:val="single" w:sz="4" w:space="0" w:color="auto"/>
            </w:tcBorders>
            <w:vAlign w:val="center"/>
          </w:tcPr>
          <w:p w14:paraId="080A40A2"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C5E3742" w14:textId="77777777" w:rsidR="00E45929"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157A9F7E" w14:textId="77777777" w:rsidR="00E45929" w:rsidRPr="001B4A02" w:rsidRDefault="00000000" w:rsidP="00ED48A3">
            <w:pPr>
              <w:pStyle w:val="EMEANormal"/>
              <w:rPr>
                <w:szCs w:val="22"/>
                <w:lang w:val="cs-CZ"/>
              </w:rPr>
            </w:pPr>
            <w:r w:rsidRPr="001B4A02">
              <w:rPr>
                <w:szCs w:val="22"/>
                <w:lang w:val="cs-CZ"/>
              </w:rPr>
              <w:t>Pankreatitida,</w:t>
            </w:r>
          </w:p>
          <w:p w14:paraId="1C456750" w14:textId="77777777" w:rsidR="00E45929" w:rsidRPr="001B4A02" w:rsidRDefault="00000000" w:rsidP="00ED48A3">
            <w:pPr>
              <w:pStyle w:val="EMEANormal"/>
              <w:rPr>
                <w:szCs w:val="22"/>
                <w:lang w:val="cs-CZ"/>
              </w:rPr>
            </w:pPr>
            <w:r w:rsidRPr="001B4A02">
              <w:rPr>
                <w:szCs w:val="22"/>
                <w:lang w:val="cs-CZ"/>
              </w:rPr>
              <w:t>dysfagie,</w:t>
            </w:r>
          </w:p>
          <w:p w14:paraId="2D9926EE" w14:textId="77777777" w:rsidR="00E45929" w:rsidRPr="001B4A02" w:rsidRDefault="00000000" w:rsidP="00ED48A3">
            <w:pPr>
              <w:pStyle w:val="EMEANormal"/>
              <w:rPr>
                <w:szCs w:val="22"/>
                <w:lang w:val="cs-CZ"/>
              </w:rPr>
            </w:pPr>
            <w:r w:rsidRPr="001B4A02">
              <w:rPr>
                <w:szCs w:val="22"/>
                <w:lang w:val="cs-CZ"/>
              </w:rPr>
              <w:t>edém obličeje</w:t>
            </w:r>
          </w:p>
          <w:p w14:paraId="67773B25" w14:textId="77777777" w:rsidR="00E45929" w:rsidRPr="001B4A02" w:rsidRDefault="00E45929" w:rsidP="00ED48A3">
            <w:pPr>
              <w:pStyle w:val="EMEANormal"/>
              <w:rPr>
                <w:szCs w:val="22"/>
                <w:lang w:val="cs-CZ"/>
              </w:rPr>
            </w:pPr>
          </w:p>
        </w:tc>
      </w:tr>
      <w:tr w:rsidR="00534A2D" w14:paraId="35941BEE" w14:textId="77777777" w:rsidTr="00DB7D9B">
        <w:trPr>
          <w:cantSplit/>
          <w:trHeight w:val="260"/>
          <w:jc w:val="center"/>
        </w:trPr>
        <w:tc>
          <w:tcPr>
            <w:tcW w:w="0" w:type="auto"/>
            <w:vMerge/>
            <w:tcBorders>
              <w:left w:val="single" w:sz="4" w:space="0" w:color="auto"/>
              <w:bottom w:val="single" w:sz="4" w:space="0" w:color="auto"/>
              <w:right w:val="single" w:sz="4" w:space="0" w:color="auto"/>
            </w:tcBorders>
            <w:vAlign w:val="center"/>
          </w:tcPr>
          <w:p w14:paraId="77BC341D"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A283074" w14:textId="77777777" w:rsidR="00E45929" w:rsidRPr="001B4A02" w:rsidRDefault="00000000" w:rsidP="00ED48A3">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42D7859E" w14:textId="77777777" w:rsidR="00E45929" w:rsidRPr="001B4A02" w:rsidRDefault="00000000" w:rsidP="00ED48A3">
            <w:pPr>
              <w:pStyle w:val="EMEANormal"/>
              <w:rPr>
                <w:szCs w:val="22"/>
                <w:vertAlign w:val="superscript"/>
                <w:lang w:val="cs-CZ"/>
              </w:rPr>
            </w:pPr>
            <w:r w:rsidRPr="001B4A02">
              <w:rPr>
                <w:szCs w:val="22"/>
                <w:lang w:val="cs-CZ"/>
              </w:rPr>
              <w:t>Perforace střeva</w:t>
            </w:r>
            <w:r w:rsidRPr="001B4A02">
              <w:rPr>
                <w:szCs w:val="22"/>
                <w:vertAlign w:val="superscript"/>
                <w:lang w:val="cs-CZ"/>
              </w:rPr>
              <w:t>1)</w:t>
            </w:r>
          </w:p>
          <w:p w14:paraId="612DD012" w14:textId="77777777" w:rsidR="00E45929" w:rsidRPr="001B4A02" w:rsidRDefault="00E45929" w:rsidP="00ED48A3">
            <w:pPr>
              <w:pStyle w:val="EMEANormal"/>
              <w:rPr>
                <w:szCs w:val="22"/>
                <w:lang w:val="cs-CZ"/>
              </w:rPr>
            </w:pPr>
          </w:p>
        </w:tc>
      </w:tr>
      <w:tr w:rsidR="00534A2D" w14:paraId="74D9E570" w14:textId="77777777" w:rsidTr="00DB7D9B">
        <w:trPr>
          <w:trHeight w:val="138"/>
          <w:jc w:val="center"/>
        </w:trPr>
        <w:tc>
          <w:tcPr>
            <w:tcW w:w="2880" w:type="dxa"/>
            <w:vMerge w:val="restart"/>
            <w:tcBorders>
              <w:top w:val="single" w:sz="4" w:space="0" w:color="auto"/>
              <w:left w:val="single" w:sz="4" w:space="0" w:color="auto"/>
              <w:right w:val="single" w:sz="4" w:space="0" w:color="auto"/>
            </w:tcBorders>
          </w:tcPr>
          <w:p w14:paraId="0E0047B0" w14:textId="77777777" w:rsidR="00E45929" w:rsidRPr="001B4A02" w:rsidRDefault="00000000" w:rsidP="00ED48A3">
            <w:pPr>
              <w:keepNext/>
              <w:tabs>
                <w:tab w:val="left" w:pos="0"/>
              </w:tabs>
              <w:ind w:left="0" w:firstLine="0"/>
              <w:rPr>
                <w:szCs w:val="22"/>
              </w:rPr>
            </w:pPr>
            <w:r w:rsidRPr="001B4A02">
              <w:rPr>
                <w:szCs w:val="22"/>
              </w:rPr>
              <w:t>Poruchy jater</w:t>
            </w:r>
            <w:r w:rsidR="002378E0">
              <w:rPr>
                <w:szCs w:val="22"/>
              </w:rPr>
              <w:t xml:space="preserve"> a </w:t>
            </w:r>
            <w:r w:rsidRPr="001B4A02">
              <w:rPr>
                <w:szCs w:val="22"/>
              </w:rPr>
              <w:t>žlučových cest*</w:t>
            </w:r>
          </w:p>
        </w:tc>
        <w:tc>
          <w:tcPr>
            <w:tcW w:w="1440" w:type="dxa"/>
            <w:tcBorders>
              <w:top w:val="single" w:sz="4" w:space="0" w:color="auto"/>
              <w:left w:val="single" w:sz="4" w:space="0" w:color="auto"/>
              <w:bottom w:val="single" w:sz="4" w:space="0" w:color="auto"/>
              <w:right w:val="single" w:sz="4" w:space="0" w:color="auto"/>
            </w:tcBorders>
          </w:tcPr>
          <w:p w14:paraId="3BCAF6B1" w14:textId="77777777" w:rsidR="00E45929" w:rsidRPr="001B4A02" w:rsidRDefault="00000000" w:rsidP="00ED48A3">
            <w:pPr>
              <w:pStyle w:val="EMEANormal"/>
              <w:keepNext/>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7466B046" w14:textId="77777777" w:rsidR="00E45929" w:rsidRPr="001B4A02" w:rsidRDefault="00000000" w:rsidP="00ED48A3">
            <w:pPr>
              <w:pStyle w:val="EMEANormal"/>
              <w:keepNext/>
              <w:rPr>
                <w:szCs w:val="22"/>
                <w:lang w:val="cs-CZ"/>
              </w:rPr>
            </w:pPr>
            <w:r w:rsidRPr="001B4A02">
              <w:rPr>
                <w:szCs w:val="22"/>
                <w:lang w:val="cs-CZ"/>
              </w:rPr>
              <w:t>Zvýšení jaterních enzymů</w:t>
            </w:r>
          </w:p>
          <w:p w14:paraId="228574AD" w14:textId="77777777" w:rsidR="00E45929" w:rsidRPr="001B4A02" w:rsidRDefault="00E45929" w:rsidP="00ED48A3">
            <w:pPr>
              <w:pStyle w:val="EMEANormal"/>
              <w:keepNext/>
              <w:rPr>
                <w:szCs w:val="22"/>
                <w:lang w:val="cs-CZ"/>
              </w:rPr>
            </w:pPr>
          </w:p>
        </w:tc>
      </w:tr>
      <w:tr w:rsidR="00534A2D" w14:paraId="30F3754D" w14:textId="77777777" w:rsidTr="00DB7D9B">
        <w:trPr>
          <w:trHeight w:val="137"/>
          <w:jc w:val="center"/>
        </w:trPr>
        <w:tc>
          <w:tcPr>
            <w:tcW w:w="0" w:type="auto"/>
            <w:vMerge/>
            <w:tcBorders>
              <w:left w:val="single" w:sz="4" w:space="0" w:color="auto"/>
              <w:right w:val="single" w:sz="4" w:space="0" w:color="auto"/>
            </w:tcBorders>
            <w:vAlign w:val="center"/>
          </w:tcPr>
          <w:p w14:paraId="6643FCA9" w14:textId="77777777" w:rsidR="00E45929" w:rsidRPr="001B4A02" w:rsidRDefault="00E45929" w:rsidP="00ED48A3">
            <w:pPr>
              <w:keepNext/>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5940CCB7" w14:textId="77777777" w:rsidR="00E45929" w:rsidRPr="001B4A02" w:rsidRDefault="00000000" w:rsidP="00ED48A3">
            <w:pPr>
              <w:pStyle w:val="EMEANormal"/>
              <w:keepNext/>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25FA62D9" w14:textId="77777777" w:rsidR="00E45929" w:rsidRPr="001B4A02" w:rsidRDefault="00000000" w:rsidP="00ED48A3">
            <w:pPr>
              <w:pStyle w:val="EMEANormal"/>
              <w:keepNext/>
              <w:rPr>
                <w:szCs w:val="22"/>
                <w:lang w:val="cs-CZ"/>
              </w:rPr>
            </w:pPr>
            <w:r w:rsidRPr="001B4A02">
              <w:rPr>
                <w:szCs w:val="22"/>
                <w:lang w:val="cs-CZ"/>
              </w:rPr>
              <w:t>Steatóza jater,</w:t>
            </w:r>
          </w:p>
          <w:p w14:paraId="11AED48F" w14:textId="77777777" w:rsidR="00E45929" w:rsidRPr="001B4A02" w:rsidRDefault="00000000" w:rsidP="00ED48A3">
            <w:pPr>
              <w:pStyle w:val="EMEANormal"/>
              <w:keepNext/>
              <w:rPr>
                <w:szCs w:val="22"/>
                <w:lang w:val="cs-CZ"/>
              </w:rPr>
            </w:pPr>
            <w:r w:rsidRPr="001B4A02">
              <w:rPr>
                <w:szCs w:val="22"/>
                <w:lang w:val="cs-CZ"/>
              </w:rPr>
              <w:t>cholecystitida</w:t>
            </w:r>
            <w:r w:rsidR="002378E0">
              <w:rPr>
                <w:szCs w:val="22"/>
                <w:lang w:val="cs-CZ"/>
              </w:rPr>
              <w:t xml:space="preserve"> a </w:t>
            </w:r>
            <w:r w:rsidRPr="001B4A02">
              <w:rPr>
                <w:szCs w:val="22"/>
                <w:lang w:val="cs-CZ"/>
              </w:rPr>
              <w:t>cholelithiáza,</w:t>
            </w:r>
          </w:p>
          <w:p w14:paraId="7B1D2E7D" w14:textId="77777777" w:rsidR="00E45929" w:rsidRPr="001B4A02" w:rsidRDefault="00000000" w:rsidP="00ED48A3">
            <w:pPr>
              <w:pStyle w:val="EMEANormal"/>
              <w:keepNext/>
              <w:rPr>
                <w:szCs w:val="22"/>
                <w:lang w:val="cs-CZ"/>
              </w:rPr>
            </w:pPr>
            <w:r w:rsidRPr="001B4A02">
              <w:rPr>
                <w:szCs w:val="22"/>
                <w:lang w:val="cs-CZ"/>
              </w:rPr>
              <w:t>zvýšení bilirubinu</w:t>
            </w:r>
          </w:p>
          <w:p w14:paraId="298D689F" w14:textId="77777777" w:rsidR="00E45929" w:rsidRPr="001B4A02" w:rsidRDefault="00E45929" w:rsidP="00ED48A3">
            <w:pPr>
              <w:pStyle w:val="EMEANormal"/>
              <w:keepNext/>
              <w:rPr>
                <w:szCs w:val="22"/>
                <w:lang w:val="cs-CZ"/>
              </w:rPr>
            </w:pPr>
          </w:p>
        </w:tc>
      </w:tr>
      <w:tr w:rsidR="00534A2D" w14:paraId="49F4A559" w14:textId="77777777" w:rsidTr="00DB7D9B">
        <w:trPr>
          <w:trHeight w:val="390"/>
          <w:jc w:val="center"/>
        </w:trPr>
        <w:tc>
          <w:tcPr>
            <w:tcW w:w="0" w:type="auto"/>
            <w:vMerge/>
            <w:tcBorders>
              <w:left w:val="single" w:sz="4" w:space="0" w:color="auto"/>
              <w:right w:val="single" w:sz="4" w:space="0" w:color="auto"/>
            </w:tcBorders>
            <w:vAlign w:val="center"/>
          </w:tcPr>
          <w:p w14:paraId="06E7E723" w14:textId="77777777" w:rsidR="00E45929" w:rsidRPr="001B4A02" w:rsidRDefault="00E45929" w:rsidP="00ED48A3">
            <w:pPr>
              <w:keepNext/>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99AED3B" w14:textId="77777777" w:rsidR="00E45929" w:rsidRPr="001B4A02" w:rsidRDefault="00000000" w:rsidP="00ED48A3">
            <w:pPr>
              <w:pStyle w:val="EMEANormal"/>
              <w:keepNext/>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178B96CD" w14:textId="77777777" w:rsidR="00E45929" w:rsidRPr="001B4A02" w:rsidRDefault="00000000" w:rsidP="00ED48A3">
            <w:pPr>
              <w:pStyle w:val="EMEANormal"/>
              <w:keepNext/>
              <w:rPr>
                <w:szCs w:val="22"/>
                <w:lang w:val="cs-CZ"/>
              </w:rPr>
            </w:pPr>
            <w:r w:rsidRPr="001B4A02">
              <w:rPr>
                <w:szCs w:val="22"/>
                <w:lang w:val="cs-CZ"/>
              </w:rPr>
              <w:t>Hepatitida</w:t>
            </w:r>
            <w:r w:rsidR="009A58F2" w:rsidRPr="001B4A02">
              <w:rPr>
                <w:szCs w:val="22"/>
                <w:lang w:val="cs-CZ"/>
              </w:rPr>
              <w:t>,</w:t>
            </w:r>
          </w:p>
          <w:p w14:paraId="6124E9F2" w14:textId="77777777" w:rsidR="00E45929" w:rsidRPr="001B4A02" w:rsidRDefault="00000000" w:rsidP="00ED48A3">
            <w:pPr>
              <w:pStyle w:val="EMEANormal"/>
              <w:keepNext/>
              <w:rPr>
                <w:szCs w:val="22"/>
                <w:lang w:val="cs-CZ"/>
              </w:rPr>
            </w:pPr>
            <w:r w:rsidRPr="001B4A02">
              <w:rPr>
                <w:szCs w:val="22"/>
                <w:lang w:val="cs-CZ"/>
              </w:rPr>
              <w:t>reaktivace hepatitidy B</w:t>
            </w:r>
            <w:r w:rsidRPr="001B4A02">
              <w:rPr>
                <w:szCs w:val="22"/>
                <w:vertAlign w:val="superscript"/>
                <w:lang w:val="cs-CZ"/>
              </w:rPr>
              <w:t>1)</w:t>
            </w:r>
            <w:r w:rsidR="009A58F2" w:rsidRPr="001B4A02">
              <w:rPr>
                <w:szCs w:val="22"/>
                <w:lang w:val="cs-CZ"/>
              </w:rPr>
              <w:t>,</w:t>
            </w:r>
          </w:p>
          <w:p w14:paraId="602FE0F3" w14:textId="77777777" w:rsidR="00E45929" w:rsidRPr="001B4A02" w:rsidRDefault="00000000" w:rsidP="00ED48A3">
            <w:pPr>
              <w:pStyle w:val="EMEANormal"/>
              <w:keepNext/>
              <w:rPr>
                <w:szCs w:val="22"/>
                <w:lang w:val="cs-CZ"/>
              </w:rPr>
            </w:pPr>
            <w:r w:rsidRPr="001B4A02">
              <w:rPr>
                <w:szCs w:val="22"/>
                <w:lang w:val="cs-CZ"/>
              </w:rPr>
              <w:t>autoimunní hepatitida</w:t>
            </w:r>
            <w:r w:rsidRPr="001B4A02">
              <w:rPr>
                <w:szCs w:val="22"/>
                <w:vertAlign w:val="superscript"/>
                <w:lang w:val="cs-CZ"/>
              </w:rPr>
              <w:t>1)</w:t>
            </w:r>
          </w:p>
          <w:p w14:paraId="27D5A3AB" w14:textId="77777777" w:rsidR="00E45929" w:rsidRPr="001B4A02" w:rsidRDefault="00E45929" w:rsidP="00ED48A3">
            <w:pPr>
              <w:pStyle w:val="EMEANormal"/>
              <w:keepNext/>
              <w:rPr>
                <w:szCs w:val="22"/>
                <w:lang w:val="cs-CZ"/>
              </w:rPr>
            </w:pPr>
          </w:p>
        </w:tc>
      </w:tr>
      <w:tr w:rsidR="00534A2D" w14:paraId="6E21EE3F" w14:textId="77777777" w:rsidTr="00DB7D9B">
        <w:trPr>
          <w:trHeight w:val="390"/>
          <w:jc w:val="center"/>
        </w:trPr>
        <w:tc>
          <w:tcPr>
            <w:tcW w:w="0" w:type="auto"/>
            <w:vMerge/>
            <w:tcBorders>
              <w:left w:val="single" w:sz="4" w:space="0" w:color="auto"/>
              <w:bottom w:val="nil"/>
              <w:right w:val="single" w:sz="4" w:space="0" w:color="auto"/>
            </w:tcBorders>
            <w:vAlign w:val="center"/>
          </w:tcPr>
          <w:p w14:paraId="49781316" w14:textId="77777777" w:rsidR="00E45929" w:rsidRPr="001B4A02" w:rsidRDefault="00E45929" w:rsidP="00ED48A3">
            <w:pPr>
              <w:keepNext/>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1E80FEF9" w14:textId="77777777" w:rsidR="00D95B9A" w:rsidRPr="001B4A02" w:rsidRDefault="00000000" w:rsidP="00701677">
            <w:pPr>
              <w:pStyle w:val="EMEANormal"/>
              <w:keepNext/>
              <w:rPr>
                <w:szCs w:val="22"/>
                <w:lang w:val="cs-CZ"/>
              </w:rPr>
            </w:pPr>
            <w:r w:rsidRPr="001B4A02">
              <w:rPr>
                <w:szCs w:val="22"/>
                <w:lang w:val="cs-CZ"/>
              </w:rPr>
              <w:t>Není známo</w:t>
            </w:r>
          </w:p>
        </w:tc>
        <w:tc>
          <w:tcPr>
            <w:tcW w:w="4689" w:type="dxa"/>
            <w:tcBorders>
              <w:top w:val="single" w:sz="4" w:space="0" w:color="auto"/>
              <w:left w:val="single" w:sz="4" w:space="0" w:color="auto"/>
              <w:bottom w:val="single" w:sz="4" w:space="0" w:color="auto"/>
              <w:right w:val="single" w:sz="4" w:space="0" w:color="auto"/>
            </w:tcBorders>
            <w:shd w:val="clear" w:color="auto" w:fill="auto"/>
          </w:tcPr>
          <w:p w14:paraId="55C250FA" w14:textId="77777777" w:rsidR="00E45929" w:rsidRDefault="00000000" w:rsidP="00ED48A3">
            <w:pPr>
              <w:pStyle w:val="EMEANormal"/>
              <w:keepNext/>
              <w:rPr>
                <w:szCs w:val="22"/>
                <w:lang w:val="cs-CZ"/>
              </w:rPr>
            </w:pPr>
            <w:r w:rsidRPr="001B4A02">
              <w:rPr>
                <w:szCs w:val="22"/>
                <w:lang w:val="cs-CZ"/>
              </w:rPr>
              <w:t>Selhání jater</w:t>
            </w:r>
            <w:r w:rsidRPr="001B4A02">
              <w:rPr>
                <w:szCs w:val="22"/>
                <w:vertAlign w:val="superscript"/>
                <w:lang w:val="cs-CZ"/>
              </w:rPr>
              <w:t>1)</w:t>
            </w:r>
          </w:p>
          <w:p w14:paraId="1AA95B58" w14:textId="77777777" w:rsidR="00701677" w:rsidRPr="00701677" w:rsidRDefault="00701677" w:rsidP="00ED48A3">
            <w:pPr>
              <w:pStyle w:val="EMEANormal"/>
              <w:keepNext/>
              <w:rPr>
                <w:szCs w:val="22"/>
                <w:lang w:val="cs-CZ"/>
              </w:rPr>
            </w:pPr>
          </w:p>
        </w:tc>
      </w:tr>
      <w:tr w:rsidR="00534A2D" w14:paraId="2C8B1E44" w14:textId="77777777" w:rsidTr="00DB7D9B">
        <w:trPr>
          <w:cantSplit/>
          <w:trHeight w:val="127"/>
          <w:jc w:val="center"/>
        </w:trPr>
        <w:tc>
          <w:tcPr>
            <w:tcW w:w="2880" w:type="dxa"/>
            <w:vMerge w:val="restart"/>
            <w:tcBorders>
              <w:top w:val="single" w:sz="4" w:space="0" w:color="auto"/>
              <w:left w:val="single" w:sz="4" w:space="0" w:color="auto"/>
              <w:right w:val="single" w:sz="4" w:space="0" w:color="auto"/>
            </w:tcBorders>
          </w:tcPr>
          <w:p w14:paraId="26BDD854" w14:textId="77777777" w:rsidR="006855DE" w:rsidRPr="001B4A02" w:rsidRDefault="00000000" w:rsidP="00ED48A3">
            <w:pPr>
              <w:pStyle w:val="EMEANormal"/>
              <w:tabs>
                <w:tab w:val="left" w:pos="0"/>
              </w:tabs>
              <w:rPr>
                <w:szCs w:val="22"/>
                <w:lang w:val="cs-CZ"/>
              </w:rPr>
            </w:pPr>
            <w:r w:rsidRPr="001B4A02">
              <w:rPr>
                <w:szCs w:val="22"/>
                <w:lang w:val="cs-CZ"/>
              </w:rPr>
              <w:t>Poruchy kůže</w:t>
            </w:r>
            <w:r>
              <w:rPr>
                <w:szCs w:val="22"/>
                <w:lang w:val="cs-CZ"/>
              </w:rPr>
              <w:t xml:space="preserve"> a </w:t>
            </w:r>
            <w:r w:rsidRPr="001B4A02">
              <w:rPr>
                <w:szCs w:val="22"/>
                <w:lang w:val="cs-CZ"/>
              </w:rPr>
              <w:t>podkožní tkáně</w:t>
            </w:r>
          </w:p>
        </w:tc>
        <w:tc>
          <w:tcPr>
            <w:tcW w:w="1440" w:type="dxa"/>
            <w:tcBorders>
              <w:top w:val="single" w:sz="4" w:space="0" w:color="auto"/>
              <w:left w:val="single" w:sz="4" w:space="0" w:color="auto"/>
              <w:bottom w:val="single" w:sz="4" w:space="0" w:color="auto"/>
              <w:right w:val="single" w:sz="4" w:space="0" w:color="auto"/>
            </w:tcBorders>
          </w:tcPr>
          <w:p w14:paraId="5C20E8A7" w14:textId="77777777" w:rsidR="006855DE" w:rsidRPr="001B4A02" w:rsidRDefault="00000000" w:rsidP="00ED48A3">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758A3C36" w14:textId="77777777" w:rsidR="006855DE" w:rsidRPr="001B4A02" w:rsidRDefault="00000000" w:rsidP="00ED48A3">
            <w:pPr>
              <w:pStyle w:val="EMEANormal"/>
              <w:rPr>
                <w:szCs w:val="22"/>
                <w:lang w:val="cs-CZ"/>
              </w:rPr>
            </w:pPr>
            <w:r w:rsidRPr="001B4A02">
              <w:rPr>
                <w:szCs w:val="22"/>
                <w:lang w:val="cs-CZ"/>
              </w:rPr>
              <w:t>Rash (včetně exfoliativního rashe)</w:t>
            </w:r>
          </w:p>
          <w:p w14:paraId="5334D2E3" w14:textId="77777777" w:rsidR="006855DE" w:rsidRPr="001B4A02" w:rsidRDefault="006855DE" w:rsidP="00ED48A3">
            <w:pPr>
              <w:pStyle w:val="EMEANormal"/>
              <w:rPr>
                <w:szCs w:val="22"/>
                <w:lang w:val="cs-CZ"/>
              </w:rPr>
            </w:pPr>
          </w:p>
        </w:tc>
      </w:tr>
      <w:tr w:rsidR="00534A2D" w14:paraId="274245EE" w14:textId="77777777" w:rsidTr="00DB7D9B">
        <w:trPr>
          <w:cantSplit/>
          <w:trHeight w:val="127"/>
          <w:jc w:val="center"/>
        </w:trPr>
        <w:tc>
          <w:tcPr>
            <w:tcW w:w="0" w:type="auto"/>
            <w:vMerge/>
            <w:tcBorders>
              <w:left w:val="single" w:sz="4" w:space="0" w:color="auto"/>
              <w:right w:val="single" w:sz="4" w:space="0" w:color="auto"/>
            </w:tcBorders>
            <w:vAlign w:val="center"/>
          </w:tcPr>
          <w:p w14:paraId="7014DB56" w14:textId="77777777" w:rsidR="006855DE" w:rsidRPr="001B4A02" w:rsidRDefault="006855DE"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6B2F5AC4" w14:textId="77777777" w:rsidR="006855DE"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12B9FA08" w14:textId="77777777" w:rsidR="006855DE" w:rsidRPr="001B4A02" w:rsidRDefault="00000000" w:rsidP="00ED48A3">
            <w:pPr>
              <w:pStyle w:val="EMEANormal"/>
              <w:rPr>
                <w:lang w:val="cs-CZ"/>
              </w:rPr>
            </w:pPr>
            <w:r w:rsidRPr="001B4A02">
              <w:rPr>
                <w:lang w:val="cs-CZ"/>
              </w:rPr>
              <w:t>Nový výskyt nebo zhoršení psoriázy (včetně palmoplantární pustulózní psoriázy)</w:t>
            </w:r>
            <w:r w:rsidRPr="001B4A02">
              <w:rPr>
                <w:szCs w:val="22"/>
                <w:vertAlign w:val="superscript"/>
                <w:lang w:val="cs-CZ"/>
              </w:rPr>
              <w:t>1)</w:t>
            </w:r>
            <w:r w:rsidRPr="001B4A02">
              <w:rPr>
                <w:lang w:val="cs-CZ"/>
              </w:rPr>
              <w:t>,</w:t>
            </w:r>
          </w:p>
          <w:p w14:paraId="03B9BCE2" w14:textId="77777777" w:rsidR="006855DE" w:rsidRPr="001B4A02" w:rsidRDefault="00000000" w:rsidP="00ED48A3">
            <w:pPr>
              <w:pStyle w:val="EMEANormal"/>
              <w:rPr>
                <w:szCs w:val="22"/>
                <w:lang w:val="cs-CZ"/>
              </w:rPr>
            </w:pPr>
            <w:r w:rsidRPr="001B4A02">
              <w:rPr>
                <w:szCs w:val="22"/>
                <w:lang w:val="cs-CZ"/>
              </w:rPr>
              <w:t>urtikarie,</w:t>
            </w:r>
          </w:p>
          <w:p w14:paraId="078FD185" w14:textId="77777777" w:rsidR="006855DE" w:rsidRPr="001B4A02" w:rsidRDefault="00000000" w:rsidP="00ED48A3">
            <w:pPr>
              <w:pStyle w:val="EMEANormal"/>
              <w:rPr>
                <w:szCs w:val="22"/>
                <w:lang w:val="cs-CZ"/>
              </w:rPr>
            </w:pPr>
            <w:r w:rsidRPr="001B4A02">
              <w:rPr>
                <w:szCs w:val="22"/>
                <w:lang w:val="cs-CZ"/>
              </w:rPr>
              <w:t>tvorba modřin (včetně purpury),</w:t>
            </w:r>
          </w:p>
          <w:p w14:paraId="33657D43" w14:textId="77777777" w:rsidR="006855DE" w:rsidRPr="001B4A02" w:rsidRDefault="00000000" w:rsidP="00ED48A3">
            <w:pPr>
              <w:pStyle w:val="EMEANormal"/>
              <w:rPr>
                <w:szCs w:val="22"/>
                <w:lang w:val="cs-CZ"/>
              </w:rPr>
            </w:pPr>
            <w:r w:rsidRPr="001B4A02">
              <w:rPr>
                <w:szCs w:val="22"/>
                <w:lang w:val="cs-CZ"/>
              </w:rPr>
              <w:t>dermatitida (včetně ekzému),</w:t>
            </w:r>
          </w:p>
          <w:p w14:paraId="578331AE" w14:textId="77777777" w:rsidR="006855DE" w:rsidRPr="001B4A02" w:rsidRDefault="00000000" w:rsidP="00ED48A3">
            <w:pPr>
              <w:pStyle w:val="EMEANormal"/>
              <w:rPr>
                <w:szCs w:val="22"/>
                <w:lang w:val="cs-CZ"/>
              </w:rPr>
            </w:pPr>
            <w:r w:rsidRPr="001B4A02">
              <w:rPr>
                <w:szCs w:val="22"/>
                <w:lang w:val="cs-CZ"/>
              </w:rPr>
              <w:t>onychoklázie,</w:t>
            </w:r>
          </w:p>
          <w:p w14:paraId="5F15BED8" w14:textId="77777777" w:rsidR="006855DE" w:rsidRPr="001B4A02" w:rsidRDefault="00000000" w:rsidP="00ED48A3">
            <w:pPr>
              <w:pStyle w:val="EMEANormal"/>
              <w:rPr>
                <w:szCs w:val="22"/>
                <w:lang w:val="cs-CZ"/>
              </w:rPr>
            </w:pPr>
            <w:r w:rsidRPr="001B4A02">
              <w:rPr>
                <w:szCs w:val="22"/>
                <w:lang w:val="cs-CZ"/>
              </w:rPr>
              <w:t>hyperhidróza,</w:t>
            </w:r>
          </w:p>
          <w:p w14:paraId="60474E1E" w14:textId="77777777" w:rsidR="006855DE" w:rsidRPr="001B4A02" w:rsidRDefault="00000000" w:rsidP="00ED48A3">
            <w:pPr>
              <w:pStyle w:val="EMEANormal"/>
              <w:rPr>
                <w:szCs w:val="22"/>
                <w:lang w:val="cs-CZ"/>
              </w:rPr>
            </w:pPr>
            <w:r w:rsidRPr="001B4A02">
              <w:rPr>
                <w:szCs w:val="22"/>
                <w:lang w:val="cs-CZ"/>
              </w:rPr>
              <w:t>alopecie</w:t>
            </w:r>
            <w:r w:rsidRPr="001B4A02">
              <w:rPr>
                <w:szCs w:val="22"/>
                <w:vertAlign w:val="superscript"/>
                <w:lang w:val="cs-CZ"/>
              </w:rPr>
              <w:t>1)</w:t>
            </w:r>
            <w:r w:rsidRPr="001B4A02">
              <w:rPr>
                <w:szCs w:val="22"/>
                <w:lang w:val="cs-CZ"/>
              </w:rPr>
              <w:t>,</w:t>
            </w:r>
          </w:p>
          <w:p w14:paraId="2A8CB316" w14:textId="77777777" w:rsidR="006855DE" w:rsidRPr="001B4A02" w:rsidRDefault="00000000" w:rsidP="00ED48A3">
            <w:pPr>
              <w:pStyle w:val="EMEANormal"/>
              <w:rPr>
                <w:szCs w:val="22"/>
                <w:lang w:val="cs-CZ"/>
              </w:rPr>
            </w:pPr>
            <w:r w:rsidRPr="001B4A02">
              <w:rPr>
                <w:szCs w:val="22"/>
                <w:lang w:val="cs-CZ"/>
              </w:rPr>
              <w:t>pruritus</w:t>
            </w:r>
          </w:p>
          <w:p w14:paraId="72BF12D4" w14:textId="77777777" w:rsidR="006855DE" w:rsidRPr="001B4A02" w:rsidRDefault="006855DE" w:rsidP="00ED48A3">
            <w:pPr>
              <w:pStyle w:val="EMEANormal"/>
              <w:rPr>
                <w:szCs w:val="22"/>
                <w:lang w:val="cs-CZ"/>
              </w:rPr>
            </w:pPr>
          </w:p>
        </w:tc>
      </w:tr>
      <w:tr w:rsidR="00534A2D" w14:paraId="541B748B" w14:textId="77777777" w:rsidTr="00DB7D9B">
        <w:trPr>
          <w:cantSplit/>
          <w:trHeight w:val="132"/>
          <w:jc w:val="center"/>
        </w:trPr>
        <w:tc>
          <w:tcPr>
            <w:tcW w:w="0" w:type="auto"/>
            <w:vMerge/>
            <w:tcBorders>
              <w:left w:val="single" w:sz="4" w:space="0" w:color="auto"/>
              <w:right w:val="single" w:sz="4" w:space="0" w:color="auto"/>
            </w:tcBorders>
            <w:vAlign w:val="center"/>
          </w:tcPr>
          <w:p w14:paraId="34817921" w14:textId="77777777" w:rsidR="006855DE" w:rsidRPr="001B4A02" w:rsidRDefault="006855DE"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6610AD45" w14:textId="77777777" w:rsidR="006855DE"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28D41871" w14:textId="77777777" w:rsidR="006855DE" w:rsidRPr="001B4A02" w:rsidRDefault="00000000" w:rsidP="00ED48A3">
            <w:pPr>
              <w:pStyle w:val="EMEANormal"/>
              <w:rPr>
                <w:szCs w:val="22"/>
                <w:lang w:val="cs-CZ"/>
              </w:rPr>
            </w:pPr>
            <w:r w:rsidRPr="001B4A02">
              <w:rPr>
                <w:szCs w:val="22"/>
                <w:lang w:val="cs-CZ"/>
              </w:rPr>
              <w:t>Noční pocení,</w:t>
            </w:r>
          </w:p>
          <w:p w14:paraId="6BBA81DD" w14:textId="77777777" w:rsidR="006855DE" w:rsidRPr="001B4A02" w:rsidRDefault="00000000" w:rsidP="00ED48A3">
            <w:pPr>
              <w:pStyle w:val="EMEANormal"/>
              <w:rPr>
                <w:szCs w:val="22"/>
                <w:lang w:val="cs-CZ"/>
              </w:rPr>
            </w:pPr>
            <w:r w:rsidRPr="001B4A02">
              <w:rPr>
                <w:szCs w:val="22"/>
                <w:lang w:val="cs-CZ"/>
              </w:rPr>
              <w:t>zjizvení</w:t>
            </w:r>
          </w:p>
          <w:p w14:paraId="6D14DAD1" w14:textId="77777777" w:rsidR="006855DE" w:rsidRPr="001B4A02" w:rsidRDefault="006855DE" w:rsidP="00ED48A3">
            <w:pPr>
              <w:pStyle w:val="EMEANormal"/>
              <w:rPr>
                <w:szCs w:val="22"/>
                <w:lang w:val="cs-CZ"/>
              </w:rPr>
            </w:pPr>
          </w:p>
        </w:tc>
      </w:tr>
      <w:tr w:rsidR="00534A2D" w14:paraId="2AF61393" w14:textId="77777777" w:rsidTr="00DB7D9B">
        <w:trPr>
          <w:cantSplit/>
          <w:trHeight w:val="132"/>
          <w:jc w:val="center"/>
        </w:trPr>
        <w:tc>
          <w:tcPr>
            <w:tcW w:w="0" w:type="auto"/>
            <w:vMerge/>
            <w:tcBorders>
              <w:left w:val="single" w:sz="4" w:space="0" w:color="auto"/>
              <w:right w:val="single" w:sz="4" w:space="0" w:color="auto"/>
            </w:tcBorders>
            <w:vAlign w:val="center"/>
          </w:tcPr>
          <w:p w14:paraId="3C52D2A3" w14:textId="77777777" w:rsidR="006855DE" w:rsidRPr="001B4A02" w:rsidRDefault="006855DE"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50677E65" w14:textId="77777777" w:rsidR="006855DE" w:rsidRPr="001B4A02" w:rsidRDefault="00000000" w:rsidP="006855DE">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2D68D7F6" w14:textId="77777777" w:rsidR="006855DE" w:rsidRPr="001B4A02" w:rsidRDefault="00000000" w:rsidP="00ED48A3">
            <w:pPr>
              <w:pStyle w:val="EMEANormal"/>
              <w:rPr>
                <w:lang w:val="cs-CZ"/>
              </w:rPr>
            </w:pPr>
            <w:r w:rsidRPr="001B4A02">
              <w:rPr>
                <w:lang w:val="cs-CZ"/>
              </w:rPr>
              <w:t>Erythema multiforme</w:t>
            </w:r>
            <w:r w:rsidRPr="001B4A02">
              <w:rPr>
                <w:szCs w:val="22"/>
                <w:vertAlign w:val="superscript"/>
                <w:lang w:val="cs-CZ"/>
              </w:rPr>
              <w:t>1)</w:t>
            </w:r>
            <w:r w:rsidRPr="001B4A02">
              <w:rPr>
                <w:lang w:val="cs-CZ"/>
              </w:rPr>
              <w:t>,</w:t>
            </w:r>
          </w:p>
          <w:p w14:paraId="2A31C818" w14:textId="77777777" w:rsidR="006855DE" w:rsidRPr="001B4A02" w:rsidRDefault="00000000" w:rsidP="00ED48A3">
            <w:pPr>
              <w:pStyle w:val="EMEANormal"/>
              <w:rPr>
                <w:lang w:val="cs-CZ"/>
              </w:rPr>
            </w:pPr>
            <w:r w:rsidRPr="001B4A02">
              <w:rPr>
                <w:lang w:val="cs-CZ"/>
              </w:rPr>
              <w:t>Stevens</w:t>
            </w:r>
            <w:r>
              <w:rPr>
                <w:lang w:val="cs-CZ"/>
              </w:rPr>
              <w:t>ův</w:t>
            </w:r>
            <w:r w:rsidRPr="001B4A02">
              <w:rPr>
                <w:lang w:val="cs-CZ"/>
              </w:rPr>
              <w:t>-Johnsonův syndrom</w:t>
            </w:r>
            <w:r w:rsidRPr="001B4A02">
              <w:rPr>
                <w:szCs w:val="22"/>
                <w:vertAlign w:val="superscript"/>
                <w:lang w:val="cs-CZ"/>
              </w:rPr>
              <w:t>1)</w:t>
            </w:r>
            <w:r w:rsidRPr="001B4A02">
              <w:rPr>
                <w:lang w:val="cs-CZ"/>
              </w:rPr>
              <w:t>,</w:t>
            </w:r>
          </w:p>
          <w:p w14:paraId="52D5FE62" w14:textId="77777777" w:rsidR="006855DE" w:rsidRPr="001B4A02" w:rsidRDefault="00000000" w:rsidP="00ED48A3">
            <w:pPr>
              <w:pStyle w:val="EMEANormal"/>
              <w:rPr>
                <w:lang w:val="cs-CZ"/>
              </w:rPr>
            </w:pPr>
            <w:r w:rsidRPr="001B4A02">
              <w:rPr>
                <w:lang w:val="cs-CZ"/>
              </w:rPr>
              <w:t>angioedém</w:t>
            </w:r>
            <w:r w:rsidRPr="001B4A02">
              <w:rPr>
                <w:szCs w:val="22"/>
                <w:vertAlign w:val="superscript"/>
                <w:lang w:val="cs-CZ"/>
              </w:rPr>
              <w:t>1)</w:t>
            </w:r>
            <w:r w:rsidRPr="001B4A02">
              <w:rPr>
                <w:lang w:val="cs-CZ"/>
              </w:rPr>
              <w:t>,</w:t>
            </w:r>
          </w:p>
          <w:p w14:paraId="768CE23F" w14:textId="77777777" w:rsidR="006855DE" w:rsidRPr="00AA3D24" w:rsidRDefault="00000000" w:rsidP="00ED48A3">
            <w:pPr>
              <w:pStyle w:val="EMEANormal"/>
              <w:rPr>
                <w:szCs w:val="22"/>
                <w:lang w:val="cs-CZ"/>
              </w:rPr>
            </w:pPr>
            <w:r w:rsidRPr="001B4A02">
              <w:rPr>
                <w:szCs w:val="22"/>
                <w:lang w:val="cs-CZ"/>
              </w:rPr>
              <w:t>kožní vaskulitida</w:t>
            </w:r>
            <w:r w:rsidRPr="001B4A02">
              <w:rPr>
                <w:szCs w:val="22"/>
                <w:vertAlign w:val="superscript"/>
                <w:lang w:val="cs-CZ"/>
              </w:rPr>
              <w:t>1)</w:t>
            </w:r>
            <w:r>
              <w:rPr>
                <w:szCs w:val="22"/>
                <w:lang w:val="cs-CZ"/>
              </w:rPr>
              <w:t>,</w:t>
            </w:r>
          </w:p>
          <w:p w14:paraId="15D07344" w14:textId="77777777" w:rsidR="006855DE" w:rsidRDefault="00000000" w:rsidP="008F59DC">
            <w:pPr>
              <w:pStyle w:val="EMEANormal"/>
              <w:rPr>
                <w:szCs w:val="22"/>
                <w:lang w:val="cs-CZ"/>
              </w:rPr>
            </w:pPr>
            <w:r>
              <w:rPr>
                <w:szCs w:val="22"/>
                <w:lang w:val="cs-CZ"/>
              </w:rPr>
              <w:t>lichenoidní kožní reakce</w:t>
            </w:r>
            <w:r w:rsidRPr="001B4A02">
              <w:rPr>
                <w:szCs w:val="22"/>
                <w:vertAlign w:val="superscript"/>
                <w:lang w:val="cs-CZ"/>
              </w:rPr>
              <w:t>1</w:t>
            </w:r>
            <w:r>
              <w:rPr>
                <w:szCs w:val="22"/>
                <w:vertAlign w:val="superscript"/>
                <w:lang w:val="cs-CZ"/>
              </w:rPr>
              <w:t>)</w:t>
            </w:r>
          </w:p>
          <w:p w14:paraId="78E2AC3A" w14:textId="77777777" w:rsidR="006855DE" w:rsidRPr="001B4A02" w:rsidRDefault="006855DE" w:rsidP="00ED48A3">
            <w:pPr>
              <w:pStyle w:val="EMEANormal"/>
              <w:rPr>
                <w:szCs w:val="22"/>
                <w:lang w:val="cs-CZ"/>
              </w:rPr>
            </w:pPr>
          </w:p>
        </w:tc>
      </w:tr>
      <w:tr w:rsidR="00534A2D" w14:paraId="7713A1E6" w14:textId="77777777" w:rsidTr="00336B48">
        <w:trPr>
          <w:cantSplit/>
          <w:trHeight w:val="132"/>
          <w:jc w:val="center"/>
        </w:trPr>
        <w:tc>
          <w:tcPr>
            <w:tcW w:w="0" w:type="auto"/>
            <w:vMerge/>
            <w:tcBorders>
              <w:left w:val="single" w:sz="4" w:space="0" w:color="auto"/>
              <w:bottom w:val="single" w:sz="4" w:space="0" w:color="auto"/>
              <w:right w:val="single" w:sz="4" w:space="0" w:color="auto"/>
            </w:tcBorders>
            <w:vAlign w:val="center"/>
          </w:tcPr>
          <w:p w14:paraId="3D59B476" w14:textId="77777777" w:rsidR="006855DE" w:rsidRPr="001B4A02" w:rsidRDefault="006855DE"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356CE657" w14:textId="77777777" w:rsidR="006855DE" w:rsidRPr="001B4A02" w:rsidRDefault="00000000" w:rsidP="00ED48A3">
            <w:pPr>
              <w:pStyle w:val="EMEANormal"/>
              <w:rPr>
                <w:szCs w:val="22"/>
                <w:lang w:val="cs-CZ"/>
              </w:rPr>
            </w:pPr>
            <w:r w:rsidRPr="001B4A02">
              <w:rPr>
                <w:szCs w:val="22"/>
                <w:lang w:val="cs-CZ"/>
              </w:rPr>
              <w:t>Není známo</w:t>
            </w:r>
          </w:p>
        </w:tc>
        <w:tc>
          <w:tcPr>
            <w:tcW w:w="4689" w:type="dxa"/>
            <w:tcBorders>
              <w:top w:val="single" w:sz="4" w:space="0" w:color="auto"/>
              <w:left w:val="single" w:sz="4" w:space="0" w:color="auto"/>
              <w:bottom w:val="single" w:sz="4" w:space="0" w:color="auto"/>
              <w:right w:val="single" w:sz="4" w:space="0" w:color="auto"/>
            </w:tcBorders>
          </w:tcPr>
          <w:p w14:paraId="2DCD586B" w14:textId="77777777" w:rsidR="006C668A" w:rsidRPr="001B4A02" w:rsidRDefault="00000000" w:rsidP="006C668A">
            <w:pPr>
              <w:pStyle w:val="EMEANormal"/>
              <w:rPr>
                <w:szCs w:val="22"/>
                <w:lang w:val="cs-CZ"/>
              </w:rPr>
            </w:pPr>
            <w:r w:rsidRPr="001B4A02">
              <w:rPr>
                <w:szCs w:val="22"/>
                <w:lang w:val="cs-CZ"/>
              </w:rPr>
              <w:t>Zhoršení příznaků dermatomyozitidy</w:t>
            </w:r>
            <w:r w:rsidRPr="001B4A02">
              <w:rPr>
                <w:szCs w:val="22"/>
                <w:vertAlign w:val="superscript"/>
                <w:lang w:val="cs-CZ"/>
              </w:rPr>
              <w:t>1)</w:t>
            </w:r>
          </w:p>
          <w:p w14:paraId="39C5DF48" w14:textId="77777777" w:rsidR="006855DE" w:rsidRPr="001B4A02" w:rsidRDefault="006855DE" w:rsidP="006C668A">
            <w:pPr>
              <w:pStyle w:val="EMEANormal"/>
              <w:rPr>
                <w:lang w:val="cs-CZ"/>
              </w:rPr>
            </w:pPr>
          </w:p>
        </w:tc>
      </w:tr>
      <w:tr w:rsidR="00534A2D" w14:paraId="14F1ADD9" w14:textId="77777777" w:rsidTr="00DB7D9B">
        <w:trPr>
          <w:cantSplit/>
          <w:trHeight w:val="86"/>
          <w:jc w:val="center"/>
        </w:trPr>
        <w:tc>
          <w:tcPr>
            <w:tcW w:w="2880" w:type="dxa"/>
            <w:vMerge w:val="restart"/>
            <w:tcBorders>
              <w:top w:val="single" w:sz="4" w:space="0" w:color="auto"/>
              <w:left w:val="single" w:sz="4" w:space="0" w:color="auto"/>
              <w:bottom w:val="single" w:sz="4" w:space="0" w:color="auto"/>
              <w:right w:val="single" w:sz="4" w:space="0" w:color="auto"/>
            </w:tcBorders>
          </w:tcPr>
          <w:p w14:paraId="4736DF1A" w14:textId="77777777" w:rsidR="00E45929" w:rsidRPr="001B4A02" w:rsidRDefault="00000000" w:rsidP="00ED48A3">
            <w:pPr>
              <w:tabs>
                <w:tab w:val="left" w:pos="0"/>
              </w:tabs>
              <w:ind w:left="0" w:firstLine="0"/>
              <w:rPr>
                <w:szCs w:val="22"/>
              </w:rPr>
            </w:pPr>
            <w:r w:rsidRPr="001B4A02">
              <w:rPr>
                <w:szCs w:val="22"/>
              </w:rPr>
              <w:t xml:space="preserve">Poruchy </w:t>
            </w:r>
            <w:r w:rsidR="007C35FF" w:rsidRPr="001B4A02">
              <w:rPr>
                <w:szCs w:val="22"/>
              </w:rPr>
              <w:t>svalové</w:t>
            </w:r>
            <w:r w:rsidR="002378E0">
              <w:rPr>
                <w:szCs w:val="22"/>
              </w:rPr>
              <w:t xml:space="preserve"> a </w:t>
            </w:r>
            <w:r w:rsidR="007C35FF" w:rsidRPr="001B4A02">
              <w:rPr>
                <w:szCs w:val="22"/>
              </w:rPr>
              <w:t>kosterní soustavy</w:t>
            </w:r>
            <w:r w:rsidR="002378E0">
              <w:rPr>
                <w:szCs w:val="22"/>
              </w:rPr>
              <w:t xml:space="preserve"> a </w:t>
            </w:r>
            <w:r w:rsidRPr="001B4A02">
              <w:rPr>
                <w:szCs w:val="22"/>
              </w:rPr>
              <w:t>pojivové tkáně</w:t>
            </w:r>
          </w:p>
        </w:tc>
        <w:tc>
          <w:tcPr>
            <w:tcW w:w="1440" w:type="dxa"/>
            <w:tcBorders>
              <w:top w:val="single" w:sz="4" w:space="0" w:color="auto"/>
              <w:left w:val="single" w:sz="4" w:space="0" w:color="auto"/>
              <w:bottom w:val="single" w:sz="4" w:space="0" w:color="auto"/>
              <w:right w:val="single" w:sz="4" w:space="0" w:color="auto"/>
            </w:tcBorders>
          </w:tcPr>
          <w:p w14:paraId="1F19CDAD" w14:textId="77777777" w:rsidR="00E45929" w:rsidRPr="001B4A02" w:rsidRDefault="00000000" w:rsidP="00ED48A3">
            <w:pPr>
              <w:pStyle w:val="EMEANormal"/>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3BF42889" w14:textId="77777777" w:rsidR="00E45929" w:rsidRPr="001B4A02" w:rsidRDefault="00000000" w:rsidP="00ED48A3">
            <w:pPr>
              <w:pStyle w:val="EMEANormal"/>
              <w:tabs>
                <w:tab w:val="clear" w:pos="562"/>
                <w:tab w:val="left" w:pos="708"/>
              </w:tabs>
              <w:suppressAutoHyphens w:val="0"/>
              <w:rPr>
                <w:lang w:val="cs-CZ"/>
              </w:rPr>
            </w:pPr>
            <w:r w:rsidRPr="001B4A02">
              <w:rPr>
                <w:lang w:val="cs-CZ"/>
              </w:rPr>
              <w:t>Muskuloskeletální bolest</w:t>
            </w:r>
          </w:p>
          <w:p w14:paraId="20C3DC93" w14:textId="77777777" w:rsidR="00E45929" w:rsidRPr="001B4A02" w:rsidRDefault="00E45929" w:rsidP="00ED48A3">
            <w:pPr>
              <w:pStyle w:val="EMEANormal"/>
              <w:tabs>
                <w:tab w:val="clear" w:pos="562"/>
                <w:tab w:val="left" w:pos="708"/>
              </w:tabs>
              <w:suppressAutoHyphens w:val="0"/>
              <w:rPr>
                <w:lang w:val="cs-CZ"/>
              </w:rPr>
            </w:pPr>
          </w:p>
        </w:tc>
      </w:tr>
      <w:tr w:rsidR="00534A2D" w14:paraId="12B4FD9C" w14:textId="77777777" w:rsidTr="00DB7D9B">
        <w:trPr>
          <w:cantSplit/>
          <w:trHeight w:val="8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6A72B63"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2638285E" w14:textId="77777777" w:rsidR="00E45929"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537168DA" w14:textId="77777777" w:rsidR="00E45929" w:rsidRPr="001B4A02" w:rsidRDefault="00000000" w:rsidP="00ED48A3">
            <w:pPr>
              <w:pStyle w:val="EMEANormal"/>
              <w:tabs>
                <w:tab w:val="clear" w:pos="562"/>
                <w:tab w:val="left" w:pos="708"/>
              </w:tabs>
              <w:suppressAutoHyphens w:val="0"/>
              <w:rPr>
                <w:lang w:val="cs-CZ"/>
              </w:rPr>
            </w:pPr>
            <w:r w:rsidRPr="001B4A02">
              <w:rPr>
                <w:lang w:val="cs-CZ"/>
              </w:rPr>
              <w:t>Svalové spasmy (včetně zvýšení kreatinfosfokinázy v krvi)</w:t>
            </w:r>
          </w:p>
          <w:p w14:paraId="40D050B5" w14:textId="77777777" w:rsidR="00E45929" w:rsidRPr="001B4A02" w:rsidRDefault="00E45929" w:rsidP="00ED48A3">
            <w:pPr>
              <w:pStyle w:val="EMEANormal"/>
              <w:tabs>
                <w:tab w:val="clear" w:pos="562"/>
                <w:tab w:val="left" w:pos="708"/>
              </w:tabs>
              <w:suppressAutoHyphens w:val="0"/>
              <w:rPr>
                <w:lang w:val="cs-CZ"/>
              </w:rPr>
            </w:pPr>
          </w:p>
        </w:tc>
      </w:tr>
      <w:tr w:rsidR="00534A2D" w14:paraId="464C5F60" w14:textId="77777777" w:rsidTr="00DB7D9B">
        <w:trPr>
          <w:cantSplit/>
          <w:trHeight w:val="8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471F295"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62741EB6" w14:textId="77777777" w:rsidR="00E45929"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1BCB0B21" w14:textId="77777777" w:rsidR="00E45929" w:rsidRPr="001B4A02" w:rsidRDefault="00000000" w:rsidP="00ED48A3">
            <w:pPr>
              <w:pStyle w:val="EMEANormal"/>
              <w:tabs>
                <w:tab w:val="clear" w:pos="562"/>
                <w:tab w:val="left" w:pos="708"/>
              </w:tabs>
              <w:suppressAutoHyphens w:val="0"/>
              <w:rPr>
                <w:lang w:val="cs-CZ"/>
              </w:rPr>
            </w:pPr>
            <w:r w:rsidRPr="001B4A02">
              <w:rPr>
                <w:lang w:val="cs-CZ"/>
              </w:rPr>
              <w:t>Rhabdomyolýza,</w:t>
            </w:r>
          </w:p>
          <w:p w14:paraId="5776B0C0" w14:textId="77777777" w:rsidR="00E45929" w:rsidRPr="001B4A02" w:rsidRDefault="00000000" w:rsidP="00ED48A3">
            <w:pPr>
              <w:pStyle w:val="EMEANormal"/>
              <w:tabs>
                <w:tab w:val="clear" w:pos="562"/>
                <w:tab w:val="left" w:pos="708"/>
              </w:tabs>
              <w:suppressAutoHyphens w:val="0"/>
              <w:rPr>
                <w:lang w:val="cs-CZ"/>
              </w:rPr>
            </w:pPr>
            <w:r w:rsidRPr="001B4A02">
              <w:rPr>
                <w:lang w:val="cs-CZ"/>
              </w:rPr>
              <w:t>systémový lupus eryt</w:t>
            </w:r>
            <w:r w:rsidR="00936E7B">
              <w:rPr>
                <w:lang w:val="cs-CZ"/>
              </w:rPr>
              <w:t>h</w:t>
            </w:r>
            <w:r w:rsidR="00936E7B" w:rsidRPr="001B4A02">
              <w:rPr>
                <w:lang w:val="cs-CZ"/>
              </w:rPr>
              <w:t>emato</w:t>
            </w:r>
            <w:r w:rsidR="00936E7B">
              <w:rPr>
                <w:lang w:val="cs-CZ"/>
              </w:rPr>
              <w:t>des</w:t>
            </w:r>
          </w:p>
          <w:p w14:paraId="7F67A5B0" w14:textId="77777777" w:rsidR="00E45929" w:rsidRPr="001B4A02" w:rsidRDefault="00E45929" w:rsidP="00ED48A3">
            <w:pPr>
              <w:pStyle w:val="EMEANormal"/>
              <w:tabs>
                <w:tab w:val="clear" w:pos="562"/>
                <w:tab w:val="left" w:pos="708"/>
              </w:tabs>
              <w:suppressAutoHyphens w:val="0"/>
              <w:rPr>
                <w:lang w:val="cs-CZ"/>
              </w:rPr>
            </w:pPr>
          </w:p>
        </w:tc>
      </w:tr>
      <w:tr w:rsidR="00534A2D" w14:paraId="0A9AE2CD" w14:textId="77777777" w:rsidTr="00DB7D9B">
        <w:trPr>
          <w:cantSplit/>
          <w:trHeight w:val="14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AF3CB40"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75C94D3C" w14:textId="77777777" w:rsidR="00E45929" w:rsidRPr="001B4A02" w:rsidRDefault="00000000" w:rsidP="00ED48A3">
            <w:pPr>
              <w:pStyle w:val="EMEANormal"/>
              <w:rPr>
                <w:szCs w:val="22"/>
                <w:lang w:val="cs-CZ"/>
              </w:rPr>
            </w:pPr>
            <w:r w:rsidRPr="001B4A02">
              <w:rPr>
                <w:szCs w:val="22"/>
                <w:lang w:val="cs-CZ"/>
              </w:rPr>
              <w:t>Vzácné</w:t>
            </w:r>
          </w:p>
        </w:tc>
        <w:tc>
          <w:tcPr>
            <w:tcW w:w="4689" w:type="dxa"/>
            <w:tcBorders>
              <w:top w:val="single" w:sz="4" w:space="0" w:color="auto"/>
              <w:left w:val="single" w:sz="4" w:space="0" w:color="auto"/>
              <w:bottom w:val="single" w:sz="4" w:space="0" w:color="auto"/>
              <w:right w:val="single" w:sz="4" w:space="0" w:color="auto"/>
            </w:tcBorders>
          </w:tcPr>
          <w:p w14:paraId="46A4E1B8" w14:textId="77777777" w:rsidR="00E45929" w:rsidRPr="001B4A02" w:rsidRDefault="00000000" w:rsidP="00ED48A3">
            <w:pPr>
              <w:pStyle w:val="EMEANormal"/>
              <w:tabs>
                <w:tab w:val="clear" w:pos="562"/>
                <w:tab w:val="left" w:pos="708"/>
              </w:tabs>
              <w:suppressAutoHyphens w:val="0"/>
              <w:rPr>
                <w:lang w:val="cs-CZ"/>
              </w:rPr>
            </w:pPr>
            <w:r w:rsidRPr="001B4A02">
              <w:rPr>
                <w:lang w:val="cs-CZ"/>
              </w:rPr>
              <w:t>Lupus-like syndrom</w:t>
            </w:r>
            <w:r w:rsidRPr="001B4A02">
              <w:rPr>
                <w:szCs w:val="22"/>
                <w:vertAlign w:val="superscript"/>
                <w:lang w:val="cs-CZ"/>
              </w:rPr>
              <w:t>1)</w:t>
            </w:r>
          </w:p>
          <w:p w14:paraId="3E74317A" w14:textId="77777777" w:rsidR="00E45929" w:rsidRPr="001B4A02" w:rsidRDefault="00E45929" w:rsidP="00ED48A3">
            <w:pPr>
              <w:pStyle w:val="EMEANormal"/>
              <w:tabs>
                <w:tab w:val="clear" w:pos="562"/>
                <w:tab w:val="left" w:pos="708"/>
              </w:tabs>
              <w:suppressAutoHyphens w:val="0"/>
              <w:rPr>
                <w:lang w:val="cs-CZ"/>
              </w:rPr>
            </w:pPr>
          </w:p>
        </w:tc>
      </w:tr>
      <w:tr w:rsidR="00534A2D" w14:paraId="2F32E544" w14:textId="77777777" w:rsidTr="00DB7D9B">
        <w:trPr>
          <w:cantSplit/>
          <w:trHeight w:val="392"/>
          <w:jc w:val="center"/>
        </w:trPr>
        <w:tc>
          <w:tcPr>
            <w:tcW w:w="2880" w:type="dxa"/>
            <w:vMerge w:val="restart"/>
            <w:tcBorders>
              <w:top w:val="single" w:sz="4" w:space="0" w:color="auto"/>
              <w:left w:val="single" w:sz="4" w:space="0" w:color="auto"/>
              <w:bottom w:val="single" w:sz="4" w:space="0" w:color="auto"/>
              <w:right w:val="single" w:sz="4" w:space="0" w:color="auto"/>
            </w:tcBorders>
          </w:tcPr>
          <w:p w14:paraId="72FB7EE7" w14:textId="77777777" w:rsidR="00E45929" w:rsidRPr="001B4A02" w:rsidRDefault="00000000" w:rsidP="00ED48A3">
            <w:pPr>
              <w:pStyle w:val="EMEANormal"/>
              <w:tabs>
                <w:tab w:val="left" w:pos="0"/>
              </w:tabs>
              <w:rPr>
                <w:szCs w:val="22"/>
                <w:lang w:val="cs-CZ"/>
              </w:rPr>
            </w:pPr>
            <w:r w:rsidRPr="001B4A02">
              <w:rPr>
                <w:szCs w:val="22"/>
                <w:lang w:val="cs-CZ"/>
              </w:rPr>
              <w:t>Poruchy ledvin</w:t>
            </w:r>
            <w:r w:rsidR="002378E0">
              <w:rPr>
                <w:szCs w:val="22"/>
                <w:lang w:val="cs-CZ"/>
              </w:rPr>
              <w:t xml:space="preserve"> a </w:t>
            </w:r>
            <w:r w:rsidRPr="001B4A02">
              <w:rPr>
                <w:szCs w:val="22"/>
                <w:lang w:val="cs-CZ"/>
              </w:rPr>
              <w:t>močových cest</w:t>
            </w:r>
          </w:p>
        </w:tc>
        <w:tc>
          <w:tcPr>
            <w:tcW w:w="1440" w:type="dxa"/>
            <w:tcBorders>
              <w:top w:val="single" w:sz="4" w:space="0" w:color="auto"/>
              <w:left w:val="single" w:sz="4" w:space="0" w:color="auto"/>
              <w:bottom w:val="single" w:sz="4" w:space="0" w:color="auto"/>
              <w:right w:val="single" w:sz="4" w:space="0" w:color="auto"/>
            </w:tcBorders>
          </w:tcPr>
          <w:p w14:paraId="3540591B" w14:textId="77777777" w:rsidR="00E45929"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00A73DF3" w14:textId="77777777" w:rsidR="00E45929" w:rsidRPr="001B4A02" w:rsidRDefault="00000000" w:rsidP="00ED48A3">
            <w:pPr>
              <w:pStyle w:val="EMEANormal"/>
              <w:rPr>
                <w:szCs w:val="22"/>
                <w:lang w:val="cs-CZ"/>
              </w:rPr>
            </w:pPr>
            <w:r w:rsidRPr="001B4A02">
              <w:rPr>
                <w:szCs w:val="22"/>
                <w:lang w:val="cs-CZ"/>
              </w:rPr>
              <w:t>Poškození ledvin,</w:t>
            </w:r>
          </w:p>
          <w:p w14:paraId="2B003E4A" w14:textId="77777777" w:rsidR="00E45929" w:rsidRPr="001B4A02" w:rsidRDefault="00000000" w:rsidP="00ED48A3">
            <w:pPr>
              <w:pStyle w:val="EMEANormal"/>
              <w:rPr>
                <w:szCs w:val="22"/>
                <w:lang w:val="cs-CZ"/>
              </w:rPr>
            </w:pPr>
            <w:r w:rsidRPr="001B4A02">
              <w:rPr>
                <w:szCs w:val="22"/>
                <w:lang w:val="cs-CZ"/>
              </w:rPr>
              <w:t>hematurie</w:t>
            </w:r>
          </w:p>
          <w:p w14:paraId="43625A66" w14:textId="77777777" w:rsidR="00E45929" w:rsidRPr="001B4A02" w:rsidRDefault="00E45929" w:rsidP="00ED48A3">
            <w:pPr>
              <w:pStyle w:val="EMEANormal"/>
              <w:rPr>
                <w:szCs w:val="22"/>
                <w:lang w:val="cs-CZ"/>
              </w:rPr>
            </w:pPr>
          </w:p>
        </w:tc>
      </w:tr>
      <w:tr w:rsidR="00534A2D" w14:paraId="0460E863" w14:textId="77777777" w:rsidTr="00DB7D9B">
        <w:trPr>
          <w:cantSplit/>
          <w:trHeight w:val="392"/>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E923A91" w14:textId="77777777" w:rsidR="00E45929" w:rsidRPr="001B4A02" w:rsidRDefault="00E45929" w:rsidP="00ED48A3">
            <w:pPr>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5ADDB6D9" w14:textId="77777777" w:rsidR="00E45929"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06BC8B70" w14:textId="77777777" w:rsidR="00E45929" w:rsidRPr="001B4A02" w:rsidRDefault="00000000" w:rsidP="00ED48A3">
            <w:pPr>
              <w:pStyle w:val="EMEANormal"/>
              <w:rPr>
                <w:szCs w:val="22"/>
                <w:lang w:val="cs-CZ"/>
              </w:rPr>
            </w:pPr>
            <w:r w:rsidRPr="001B4A02">
              <w:rPr>
                <w:szCs w:val="22"/>
                <w:lang w:val="cs-CZ"/>
              </w:rPr>
              <w:t>Nykturie</w:t>
            </w:r>
          </w:p>
          <w:p w14:paraId="0A3DEAAF" w14:textId="77777777" w:rsidR="00E45929" w:rsidRPr="001B4A02" w:rsidRDefault="00E45929" w:rsidP="00ED48A3">
            <w:pPr>
              <w:pStyle w:val="EMEANormal"/>
              <w:rPr>
                <w:szCs w:val="22"/>
                <w:lang w:val="cs-CZ"/>
              </w:rPr>
            </w:pPr>
          </w:p>
        </w:tc>
      </w:tr>
      <w:tr w:rsidR="00534A2D" w14:paraId="36EF8D5E" w14:textId="77777777" w:rsidTr="005132DE">
        <w:trPr>
          <w:cantSplit/>
          <w:trHeight w:val="518"/>
          <w:jc w:val="center"/>
        </w:trPr>
        <w:tc>
          <w:tcPr>
            <w:tcW w:w="2880" w:type="dxa"/>
            <w:tcBorders>
              <w:top w:val="single" w:sz="4" w:space="0" w:color="auto"/>
              <w:left w:val="single" w:sz="4" w:space="0" w:color="auto"/>
              <w:bottom w:val="single" w:sz="4" w:space="0" w:color="auto"/>
              <w:right w:val="single" w:sz="4" w:space="0" w:color="auto"/>
            </w:tcBorders>
          </w:tcPr>
          <w:p w14:paraId="14BFC2E8" w14:textId="77777777" w:rsidR="00E45929" w:rsidRPr="001B4A02" w:rsidRDefault="00000000" w:rsidP="00ED48A3">
            <w:pPr>
              <w:pStyle w:val="EMEANormal"/>
              <w:tabs>
                <w:tab w:val="left" w:pos="0"/>
              </w:tabs>
              <w:rPr>
                <w:szCs w:val="22"/>
                <w:lang w:val="cs-CZ"/>
              </w:rPr>
            </w:pPr>
            <w:r w:rsidRPr="001B4A02">
              <w:rPr>
                <w:szCs w:val="22"/>
                <w:lang w:val="cs-CZ"/>
              </w:rPr>
              <w:t>Poruchy reprodukčního systému</w:t>
            </w:r>
            <w:r w:rsidR="002378E0">
              <w:rPr>
                <w:szCs w:val="22"/>
                <w:lang w:val="cs-CZ"/>
              </w:rPr>
              <w:t xml:space="preserve"> a </w:t>
            </w:r>
            <w:r w:rsidRPr="001B4A02">
              <w:rPr>
                <w:szCs w:val="22"/>
                <w:lang w:val="cs-CZ"/>
              </w:rPr>
              <w:t xml:space="preserve">prsu </w:t>
            </w:r>
          </w:p>
          <w:p w14:paraId="1BA506D0" w14:textId="77777777" w:rsidR="00E45929" w:rsidRPr="001B4A02" w:rsidRDefault="00E45929" w:rsidP="00ED48A3">
            <w:pPr>
              <w:pStyle w:val="EMEANormal"/>
              <w:tabs>
                <w:tab w:val="left" w:pos="0"/>
              </w:tabs>
              <w:rPr>
                <w:szCs w:val="22"/>
                <w:lang w:val="cs-CZ"/>
              </w:rPr>
            </w:pPr>
          </w:p>
        </w:tc>
        <w:tc>
          <w:tcPr>
            <w:tcW w:w="1440" w:type="dxa"/>
            <w:tcBorders>
              <w:top w:val="single" w:sz="4" w:space="0" w:color="auto"/>
              <w:left w:val="single" w:sz="4" w:space="0" w:color="auto"/>
              <w:bottom w:val="single" w:sz="4" w:space="0" w:color="auto"/>
              <w:right w:val="single" w:sz="4" w:space="0" w:color="auto"/>
            </w:tcBorders>
          </w:tcPr>
          <w:p w14:paraId="25032CCF" w14:textId="77777777" w:rsidR="00E45929" w:rsidRPr="001B4A02" w:rsidRDefault="00000000" w:rsidP="00ED48A3">
            <w:pPr>
              <w:pStyle w:val="EMEANormal"/>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05DAD379" w14:textId="77777777" w:rsidR="00E45929" w:rsidRPr="001B4A02" w:rsidRDefault="00000000" w:rsidP="00ED48A3">
            <w:pPr>
              <w:pStyle w:val="EMEANormal"/>
              <w:rPr>
                <w:szCs w:val="22"/>
                <w:lang w:val="cs-CZ"/>
              </w:rPr>
            </w:pPr>
            <w:r w:rsidRPr="001B4A02">
              <w:rPr>
                <w:szCs w:val="22"/>
                <w:lang w:val="cs-CZ"/>
              </w:rPr>
              <w:t>Erektilní dysfunkce</w:t>
            </w:r>
          </w:p>
        </w:tc>
      </w:tr>
      <w:tr w:rsidR="00534A2D" w14:paraId="452CBC9F" w14:textId="77777777" w:rsidTr="00DB7D9B">
        <w:trPr>
          <w:cantSplit/>
          <w:trHeight w:val="127"/>
          <w:jc w:val="center"/>
        </w:trPr>
        <w:tc>
          <w:tcPr>
            <w:tcW w:w="2880" w:type="dxa"/>
            <w:vMerge w:val="restart"/>
            <w:tcBorders>
              <w:top w:val="single" w:sz="4" w:space="0" w:color="auto"/>
              <w:left w:val="single" w:sz="4" w:space="0" w:color="auto"/>
              <w:bottom w:val="single" w:sz="4" w:space="0" w:color="auto"/>
              <w:right w:val="single" w:sz="4" w:space="0" w:color="auto"/>
            </w:tcBorders>
          </w:tcPr>
          <w:p w14:paraId="1F0F22C5" w14:textId="77777777" w:rsidR="00E45929" w:rsidRPr="001B4A02" w:rsidRDefault="00000000" w:rsidP="00ED48A3">
            <w:pPr>
              <w:pStyle w:val="EMEANormal"/>
              <w:tabs>
                <w:tab w:val="left" w:pos="0"/>
              </w:tabs>
              <w:rPr>
                <w:szCs w:val="22"/>
                <w:lang w:val="cs-CZ"/>
              </w:rPr>
            </w:pPr>
            <w:r w:rsidRPr="001B4A02">
              <w:rPr>
                <w:szCs w:val="22"/>
                <w:lang w:val="cs-CZ"/>
              </w:rPr>
              <w:t>Celkové poruchy</w:t>
            </w:r>
            <w:r w:rsidR="002378E0">
              <w:rPr>
                <w:szCs w:val="22"/>
                <w:lang w:val="cs-CZ"/>
              </w:rPr>
              <w:t xml:space="preserve"> a </w:t>
            </w:r>
            <w:r w:rsidRPr="001B4A02">
              <w:rPr>
                <w:szCs w:val="22"/>
                <w:lang w:val="cs-CZ"/>
              </w:rPr>
              <w:t>reakce v</w:t>
            </w:r>
            <w:r w:rsidR="009A58F2" w:rsidRPr="001B4A02">
              <w:rPr>
                <w:szCs w:val="22"/>
                <w:lang w:val="cs-CZ"/>
              </w:rPr>
              <w:t> </w:t>
            </w:r>
            <w:r w:rsidRPr="001B4A02">
              <w:rPr>
                <w:szCs w:val="22"/>
                <w:lang w:val="cs-CZ"/>
              </w:rPr>
              <w:t>místě aplikace*</w:t>
            </w:r>
          </w:p>
        </w:tc>
        <w:tc>
          <w:tcPr>
            <w:tcW w:w="1440" w:type="dxa"/>
            <w:tcBorders>
              <w:top w:val="single" w:sz="4" w:space="0" w:color="auto"/>
              <w:left w:val="single" w:sz="4" w:space="0" w:color="auto"/>
              <w:bottom w:val="single" w:sz="4" w:space="0" w:color="auto"/>
              <w:right w:val="single" w:sz="4" w:space="0" w:color="auto"/>
            </w:tcBorders>
          </w:tcPr>
          <w:p w14:paraId="22B5AE51" w14:textId="77777777" w:rsidR="00E45929" w:rsidRPr="001B4A02" w:rsidRDefault="00000000" w:rsidP="00ED48A3">
            <w:pPr>
              <w:pStyle w:val="EMEANormal"/>
              <w:keepNext/>
              <w:rPr>
                <w:szCs w:val="22"/>
                <w:lang w:val="cs-CZ"/>
              </w:rPr>
            </w:pPr>
            <w:r w:rsidRPr="001B4A02">
              <w:rPr>
                <w:szCs w:val="22"/>
                <w:lang w:val="cs-CZ"/>
              </w:rPr>
              <w:t>Velmi časté</w:t>
            </w:r>
          </w:p>
        </w:tc>
        <w:tc>
          <w:tcPr>
            <w:tcW w:w="4689" w:type="dxa"/>
            <w:tcBorders>
              <w:top w:val="single" w:sz="4" w:space="0" w:color="auto"/>
              <w:left w:val="single" w:sz="4" w:space="0" w:color="auto"/>
              <w:bottom w:val="single" w:sz="4" w:space="0" w:color="auto"/>
              <w:right w:val="single" w:sz="4" w:space="0" w:color="auto"/>
            </w:tcBorders>
          </w:tcPr>
          <w:p w14:paraId="2EED2F98" w14:textId="77777777" w:rsidR="00E45929" w:rsidRPr="001B4A02" w:rsidRDefault="00000000" w:rsidP="00ED48A3">
            <w:pPr>
              <w:pStyle w:val="EMEANormal"/>
              <w:keepNext/>
              <w:rPr>
                <w:szCs w:val="22"/>
                <w:lang w:val="cs-CZ"/>
              </w:rPr>
            </w:pPr>
            <w:r w:rsidRPr="001B4A02">
              <w:rPr>
                <w:szCs w:val="22"/>
                <w:lang w:val="cs-CZ"/>
              </w:rPr>
              <w:t>Reakce v místě injekčního vpichu (včetně erytému v místě vpichu injekce)</w:t>
            </w:r>
          </w:p>
          <w:p w14:paraId="5C47AFB6" w14:textId="77777777" w:rsidR="00E45929" w:rsidRPr="001B4A02" w:rsidRDefault="00E45929" w:rsidP="00ED48A3">
            <w:pPr>
              <w:pStyle w:val="EMEANormal"/>
              <w:keepNext/>
              <w:rPr>
                <w:szCs w:val="22"/>
                <w:lang w:val="cs-CZ"/>
              </w:rPr>
            </w:pPr>
          </w:p>
        </w:tc>
      </w:tr>
      <w:tr w:rsidR="00534A2D" w14:paraId="5C3A9995" w14:textId="77777777" w:rsidTr="00DB7D9B">
        <w:trPr>
          <w:cantSplit/>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04D01FE" w14:textId="77777777" w:rsidR="00E45929" w:rsidRPr="001B4A02" w:rsidRDefault="00E45929" w:rsidP="00ED48A3">
            <w:pPr>
              <w:keepNext/>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5524C23" w14:textId="77777777" w:rsidR="00E45929" w:rsidRPr="001B4A02" w:rsidRDefault="00000000" w:rsidP="00ED48A3">
            <w:pPr>
              <w:pStyle w:val="EMEANormal"/>
              <w:keepNext/>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413F8C8B" w14:textId="77777777" w:rsidR="00E45929" w:rsidRPr="001B4A02" w:rsidRDefault="00000000" w:rsidP="00ED48A3">
            <w:pPr>
              <w:pStyle w:val="EMEANormal"/>
              <w:keepNext/>
              <w:rPr>
                <w:szCs w:val="22"/>
                <w:lang w:val="cs-CZ"/>
              </w:rPr>
            </w:pPr>
            <w:r w:rsidRPr="001B4A02">
              <w:rPr>
                <w:szCs w:val="22"/>
                <w:lang w:val="cs-CZ"/>
              </w:rPr>
              <w:t>Bolest na hrudi,</w:t>
            </w:r>
          </w:p>
          <w:p w14:paraId="3DFF8251" w14:textId="77777777" w:rsidR="00E45929" w:rsidRPr="001B4A02" w:rsidRDefault="00000000" w:rsidP="00ED48A3">
            <w:pPr>
              <w:pStyle w:val="EMEANormal"/>
              <w:keepNext/>
              <w:rPr>
                <w:szCs w:val="22"/>
                <w:lang w:val="cs-CZ"/>
              </w:rPr>
            </w:pPr>
            <w:r w:rsidRPr="001B4A02">
              <w:rPr>
                <w:szCs w:val="22"/>
                <w:lang w:val="cs-CZ"/>
              </w:rPr>
              <w:t>edém,</w:t>
            </w:r>
          </w:p>
          <w:p w14:paraId="0E3744C1" w14:textId="77777777" w:rsidR="00E45929" w:rsidRPr="001B4A02" w:rsidRDefault="00000000" w:rsidP="00ED48A3">
            <w:pPr>
              <w:pStyle w:val="EMEANormal"/>
              <w:keepNext/>
              <w:rPr>
                <w:szCs w:val="22"/>
                <w:lang w:val="cs-CZ"/>
              </w:rPr>
            </w:pPr>
            <w:r w:rsidRPr="001B4A02">
              <w:rPr>
                <w:szCs w:val="22"/>
                <w:lang w:val="cs-CZ"/>
              </w:rPr>
              <w:t>pyrexie</w:t>
            </w:r>
            <w:r w:rsidRPr="001B4A02">
              <w:rPr>
                <w:szCs w:val="22"/>
                <w:vertAlign w:val="superscript"/>
                <w:lang w:val="cs-CZ"/>
              </w:rPr>
              <w:t>1)</w:t>
            </w:r>
          </w:p>
          <w:p w14:paraId="79556618" w14:textId="77777777" w:rsidR="00E45929" w:rsidRPr="001B4A02" w:rsidRDefault="00E45929" w:rsidP="00ED48A3">
            <w:pPr>
              <w:pStyle w:val="EMEANormal"/>
              <w:keepNext/>
              <w:rPr>
                <w:szCs w:val="22"/>
                <w:lang w:val="cs-CZ"/>
              </w:rPr>
            </w:pPr>
          </w:p>
        </w:tc>
      </w:tr>
      <w:tr w:rsidR="00534A2D" w14:paraId="622C1F83" w14:textId="77777777" w:rsidTr="00DB7D9B">
        <w:trPr>
          <w:cantSplit/>
          <w:trHeight w:val="25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F22D480" w14:textId="77777777" w:rsidR="00E45929" w:rsidRPr="001B4A02" w:rsidRDefault="00E45929" w:rsidP="00ED48A3">
            <w:pPr>
              <w:keepNext/>
              <w:ind w:left="0" w:firstLine="0"/>
              <w:rPr>
                <w:szCs w:val="22"/>
              </w:rPr>
            </w:pPr>
          </w:p>
        </w:tc>
        <w:tc>
          <w:tcPr>
            <w:tcW w:w="1440" w:type="dxa"/>
            <w:tcBorders>
              <w:top w:val="single" w:sz="4" w:space="0" w:color="auto"/>
              <w:left w:val="single" w:sz="4" w:space="0" w:color="auto"/>
              <w:bottom w:val="single" w:sz="4" w:space="0" w:color="auto"/>
              <w:right w:val="single" w:sz="4" w:space="0" w:color="auto"/>
            </w:tcBorders>
          </w:tcPr>
          <w:p w14:paraId="063F1782" w14:textId="77777777" w:rsidR="00E45929" w:rsidRPr="001B4A02" w:rsidRDefault="00000000" w:rsidP="00ED48A3">
            <w:pPr>
              <w:pStyle w:val="EMEANormal"/>
              <w:keepNext/>
              <w:rPr>
                <w:szCs w:val="22"/>
                <w:lang w:val="cs-CZ"/>
              </w:rPr>
            </w:pPr>
            <w:r w:rsidRPr="001B4A02">
              <w:rPr>
                <w:szCs w:val="22"/>
                <w:lang w:val="cs-CZ"/>
              </w:rPr>
              <w:t>Méně časté</w:t>
            </w:r>
          </w:p>
        </w:tc>
        <w:tc>
          <w:tcPr>
            <w:tcW w:w="4689" w:type="dxa"/>
            <w:tcBorders>
              <w:top w:val="single" w:sz="4" w:space="0" w:color="auto"/>
              <w:left w:val="single" w:sz="4" w:space="0" w:color="auto"/>
              <w:bottom w:val="single" w:sz="4" w:space="0" w:color="auto"/>
              <w:right w:val="single" w:sz="4" w:space="0" w:color="auto"/>
            </w:tcBorders>
          </w:tcPr>
          <w:p w14:paraId="3D758402" w14:textId="77777777" w:rsidR="00E45929" w:rsidRPr="001B4A02" w:rsidRDefault="00000000" w:rsidP="00ED48A3">
            <w:pPr>
              <w:pStyle w:val="EMEANormal"/>
              <w:keepNext/>
              <w:rPr>
                <w:szCs w:val="22"/>
                <w:lang w:val="cs-CZ"/>
              </w:rPr>
            </w:pPr>
            <w:r w:rsidRPr="001B4A02">
              <w:rPr>
                <w:szCs w:val="22"/>
                <w:lang w:val="cs-CZ"/>
              </w:rPr>
              <w:t>Záněty</w:t>
            </w:r>
          </w:p>
          <w:p w14:paraId="605619E4" w14:textId="77777777" w:rsidR="00E45929" w:rsidRPr="001B4A02" w:rsidRDefault="00E45929" w:rsidP="00ED48A3">
            <w:pPr>
              <w:pStyle w:val="EMEANormal"/>
              <w:keepNext/>
              <w:rPr>
                <w:szCs w:val="22"/>
                <w:lang w:val="cs-CZ"/>
              </w:rPr>
            </w:pPr>
          </w:p>
        </w:tc>
      </w:tr>
      <w:tr w:rsidR="00534A2D" w14:paraId="1AC0BD70" w14:textId="77777777" w:rsidTr="00DB7D9B">
        <w:trPr>
          <w:trHeight w:val="296"/>
          <w:jc w:val="center"/>
        </w:trPr>
        <w:tc>
          <w:tcPr>
            <w:tcW w:w="2880" w:type="dxa"/>
            <w:vMerge w:val="restart"/>
            <w:tcBorders>
              <w:top w:val="single" w:sz="4" w:space="0" w:color="auto"/>
              <w:left w:val="single" w:sz="4" w:space="0" w:color="auto"/>
              <w:right w:val="single" w:sz="4" w:space="0" w:color="auto"/>
            </w:tcBorders>
          </w:tcPr>
          <w:p w14:paraId="51C1BCB4" w14:textId="77777777" w:rsidR="00390971" w:rsidRPr="001B4A02" w:rsidRDefault="00000000" w:rsidP="00ED48A3">
            <w:pPr>
              <w:pStyle w:val="EMEANormal"/>
              <w:tabs>
                <w:tab w:val="left" w:pos="0"/>
              </w:tabs>
              <w:rPr>
                <w:szCs w:val="22"/>
                <w:lang w:val="cs-CZ"/>
              </w:rPr>
            </w:pPr>
            <w:r w:rsidRPr="001B4A02">
              <w:rPr>
                <w:szCs w:val="22"/>
                <w:lang w:val="cs-CZ"/>
              </w:rPr>
              <w:t>Vyšetření*</w:t>
            </w:r>
          </w:p>
        </w:tc>
        <w:tc>
          <w:tcPr>
            <w:tcW w:w="1440" w:type="dxa"/>
            <w:tcBorders>
              <w:top w:val="single" w:sz="4" w:space="0" w:color="auto"/>
              <w:left w:val="single" w:sz="4" w:space="0" w:color="auto"/>
              <w:bottom w:val="nil"/>
              <w:right w:val="single" w:sz="4" w:space="0" w:color="auto"/>
            </w:tcBorders>
          </w:tcPr>
          <w:p w14:paraId="1071369C" w14:textId="77777777" w:rsidR="00390971"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nil"/>
              <w:right w:val="single" w:sz="4" w:space="0" w:color="auto"/>
            </w:tcBorders>
          </w:tcPr>
          <w:p w14:paraId="6248C3C1" w14:textId="77777777" w:rsidR="00390971" w:rsidRPr="001B4A02" w:rsidRDefault="00000000" w:rsidP="00ED48A3">
            <w:pPr>
              <w:pStyle w:val="EMEANormal"/>
              <w:rPr>
                <w:szCs w:val="22"/>
                <w:lang w:val="cs-CZ"/>
              </w:rPr>
            </w:pPr>
            <w:r w:rsidRPr="001B4A02">
              <w:rPr>
                <w:szCs w:val="22"/>
                <w:lang w:val="cs-CZ"/>
              </w:rPr>
              <w:t>Poruchy koagulace</w:t>
            </w:r>
            <w:r>
              <w:rPr>
                <w:szCs w:val="22"/>
                <w:lang w:val="cs-CZ"/>
              </w:rPr>
              <w:t xml:space="preserve"> a </w:t>
            </w:r>
            <w:r w:rsidRPr="001B4A02">
              <w:rPr>
                <w:szCs w:val="22"/>
                <w:lang w:val="cs-CZ"/>
              </w:rPr>
              <w:t>krvácení (včetně prodloužení aktivovaného parciálního tromboplastinového času),</w:t>
            </w:r>
          </w:p>
          <w:p w14:paraId="1C8AAF16" w14:textId="77777777" w:rsidR="00390971" w:rsidRPr="001B4A02" w:rsidRDefault="00000000" w:rsidP="00ED48A3">
            <w:pPr>
              <w:pStyle w:val="EMEANormal"/>
              <w:rPr>
                <w:szCs w:val="22"/>
                <w:lang w:val="cs-CZ"/>
              </w:rPr>
            </w:pPr>
            <w:r w:rsidRPr="001B4A02">
              <w:rPr>
                <w:szCs w:val="22"/>
                <w:lang w:val="cs-CZ"/>
              </w:rPr>
              <w:t>pozitivní test autoprotilátek (včetně protilátek proti dvoušroubovici DNA),</w:t>
            </w:r>
          </w:p>
          <w:p w14:paraId="0F6BAF05" w14:textId="77777777" w:rsidR="00390971" w:rsidRPr="001B4A02" w:rsidRDefault="00000000" w:rsidP="00ED48A3">
            <w:pPr>
              <w:pStyle w:val="EMEANormal"/>
              <w:rPr>
                <w:szCs w:val="22"/>
                <w:lang w:val="cs-CZ"/>
              </w:rPr>
            </w:pPr>
            <w:r w:rsidRPr="001B4A02">
              <w:rPr>
                <w:szCs w:val="22"/>
                <w:lang w:val="cs-CZ"/>
              </w:rPr>
              <w:t>zvýšení laktátdehydrogenázy v krvi</w:t>
            </w:r>
          </w:p>
          <w:p w14:paraId="312605FE" w14:textId="77777777" w:rsidR="00390971" w:rsidRPr="001B4A02" w:rsidRDefault="00390971" w:rsidP="00ED48A3">
            <w:pPr>
              <w:pStyle w:val="EMEANormal"/>
              <w:rPr>
                <w:szCs w:val="22"/>
                <w:lang w:val="cs-CZ"/>
              </w:rPr>
            </w:pPr>
          </w:p>
        </w:tc>
      </w:tr>
      <w:tr w:rsidR="00534A2D" w14:paraId="7A4A94F3" w14:textId="77777777" w:rsidTr="00390971">
        <w:trPr>
          <w:trHeight w:val="296"/>
          <w:jc w:val="center"/>
        </w:trPr>
        <w:tc>
          <w:tcPr>
            <w:tcW w:w="2880" w:type="dxa"/>
            <w:vMerge/>
            <w:tcBorders>
              <w:left w:val="single" w:sz="4" w:space="0" w:color="auto"/>
              <w:bottom w:val="nil"/>
              <w:right w:val="single" w:sz="4" w:space="0" w:color="auto"/>
            </w:tcBorders>
          </w:tcPr>
          <w:p w14:paraId="6F303532" w14:textId="77777777" w:rsidR="00390971" w:rsidRPr="001B4A02" w:rsidRDefault="00390971" w:rsidP="00390971">
            <w:pPr>
              <w:pStyle w:val="EMEANormal"/>
              <w:tabs>
                <w:tab w:val="left" w:pos="0"/>
              </w:tabs>
              <w:rPr>
                <w:szCs w:val="22"/>
                <w:lang w:val="cs-CZ"/>
              </w:rPr>
            </w:pPr>
          </w:p>
        </w:tc>
        <w:tc>
          <w:tcPr>
            <w:tcW w:w="1440" w:type="dxa"/>
            <w:tcBorders>
              <w:top w:val="single" w:sz="4" w:space="0" w:color="auto"/>
              <w:left w:val="single" w:sz="4" w:space="0" w:color="auto"/>
              <w:bottom w:val="nil"/>
              <w:right w:val="single" w:sz="4" w:space="0" w:color="auto"/>
            </w:tcBorders>
          </w:tcPr>
          <w:p w14:paraId="2775B241" w14:textId="77777777" w:rsidR="00390971" w:rsidRPr="001B4A02" w:rsidRDefault="00000000" w:rsidP="00390971">
            <w:pPr>
              <w:pStyle w:val="EMEANormal"/>
              <w:rPr>
                <w:szCs w:val="22"/>
                <w:lang w:val="cs-CZ"/>
              </w:rPr>
            </w:pPr>
            <w:r w:rsidRPr="001B4A02">
              <w:rPr>
                <w:szCs w:val="22"/>
                <w:lang w:val="cs-CZ"/>
              </w:rPr>
              <w:t>Není známo</w:t>
            </w:r>
          </w:p>
        </w:tc>
        <w:tc>
          <w:tcPr>
            <w:tcW w:w="4689" w:type="dxa"/>
            <w:tcBorders>
              <w:top w:val="single" w:sz="4" w:space="0" w:color="auto"/>
              <w:left w:val="single" w:sz="4" w:space="0" w:color="auto"/>
              <w:bottom w:val="nil"/>
              <w:right w:val="single" w:sz="4" w:space="0" w:color="auto"/>
            </w:tcBorders>
          </w:tcPr>
          <w:p w14:paraId="69444173" w14:textId="77777777" w:rsidR="00390971" w:rsidRDefault="00000000" w:rsidP="00390971">
            <w:pPr>
              <w:pStyle w:val="EMEANormal"/>
              <w:rPr>
                <w:color w:val="000000"/>
                <w:szCs w:val="22"/>
                <w:lang w:val="cs-CZ" w:eastAsia="cs-CZ"/>
              </w:rPr>
            </w:pPr>
            <w:r w:rsidRPr="0027760D">
              <w:rPr>
                <w:color w:val="000000"/>
                <w:szCs w:val="22"/>
                <w:lang w:val="cs-CZ" w:eastAsia="cs-CZ"/>
              </w:rPr>
              <w:t>Zvýšení tělesné hmotnosti</w:t>
            </w:r>
            <w:r w:rsidRPr="0027760D">
              <w:rPr>
                <w:color w:val="000000"/>
                <w:szCs w:val="22"/>
                <w:vertAlign w:val="superscript"/>
                <w:lang w:val="cs-CZ" w:eastAsia="cs-CZ"/>
              </w:rPr>
              <w:t>2)</w:t>
            </w:r>
          </w:p>
          <w:p w14:paraId="7A8FD0CF" w14:textId="77777777" w:rsidR="00390971" w:rsidRPr="001B4A02" w:rsidRDefault="00390971" w:rsidP="00390971">
            <w:pPr>
              <w:pStyle w:val="EMEANormal"/>
              <w:rPr>
                <w:szCs w:val="22"/>
                <w:lang w:val="cs-CZ"/>
              </w:rPr>
            </w:pPr>
          </w:p>
        </w:tc>
      </w:tr>
      <w:tr w:rsidR="00534A2D" w14:paraId="4B8266AB" w14:textId="77777777" w:rsidTr="005132DE">
        <w:trPr>
          <w:jc w:val="center"/>
        </w:trPr>
        <w:tc>
          <w:tcPr>
            <w:tcW w:w="2880" w:type="dxa"/>
            <w:tcBorders>
              <w:top w:val="single" w:sz="4" w:space="0" w:color="auto"/>
              <w:left w:val="single" w:sz="4" w:space="0" w:color="auto"/>
              <w:bottom w:val="single" w:sz="4" w:space="0" w:color="auto"/>
              <w:right w:val="single" w:sz="4" w:space="0" w:color="auto"/>
            </w:tcBorders>
          </w:tcPr>
          <w:p w14:paraId="1A4122F1" w14:textId="77777777" w:rsidR="00D95B9A" w:rsidRPr="001B4A02" w:rsidRDefault="00000000" w:rsidP="00ED48A3">
            <w:pPr>
              <w:pStyle w:val="EMEANormal"/>
              <w:tabs>
                <w:tab w:val="left" w:pos="0"/>
              </w:tabs>
              <w:rPr>
                <w:szCs w:val="22"/>
                <w:lang w:val="cs-CZ"/>
              </w:rPr>
            </w:pPr>
            <w:r w:rsidRPr="001B4A02">
              <w:rPr>
                <w:szCs w:val="22"/>
                <w:lang w:val="cs-CZ"/>
              </w:rPr>
              <w:t>Poranění, otravy</w:t>
            </w:r>
            <w:r w:rsidR="002378E0">
              <w:rPr>
                <w:szCs w:val="22"/>
                <w:lang w:val="cs-CZ"/>
              </w:rPr>
              <w:t xml:space="preserve"> a </w:t>
            </w:r>
            <w:r w:rsidRPr="001B4A02">
              <w:rPr>
                <w:szCs w:val="22"/>
                <w:lang w:val="cs-CZ"/>
              </w:rPr>
              <w:t>procedurální komplikace</w:t>
            </w:r>
          </w:p>
        </w:tc>
        <w:tc>
          <w:tcPr>
            <w:tcW w:w="1440" w:type="dxa"/>
            <w:tcBorders>
              <w:top w:val="single" w:sz="4" w:space="0" w:color="auto"/>
              <w:left w:val="single" w:sz="4" w:space="0" w:color="auto"/>
              <w:bottom w:val="single" w:sz="4" w:space="0" w:color="auto"/>
              <w:right w:val="single" w:sz="4" w:space="0" w:color="auto"/>
            </w:tcBorders>
          </w:tcPr>
          <w:p w14:paraId="4FE64A59" w14:textId="77777777" w:rsidR="00E45929" w:rsidRPr="001B4A02" w:rsidRDefault="00000000" w:rsidP="00ED48A3">
            <w:pPr>
              <w:pStyle w:val="EMEANormal"/>
              <w:rPr>
                <w:szCs w:val="22"/>
                <w:lang w:val="cs-CZ"/>
              </w:rPr>
            </w:pPr>
            <w:r w:rsidRPr="001B4A02">
              <w:rPr>
                <w:szCs w:val="22"/>
                <w:lang w:val="cs-CZ"/>
              </w:rPr>
              <w:t>Časté</w:t>
            </w:r>
          </w:p>
        </w:tc>
        <w:tc>
          <w:tcPr>
            <w:tcW w:w="4689" w:type="dxa"/>
            <w:tcBorders>
              <w:top w:val="single" w:sz="4" w:space="0" w:color="auto"/>
              <w:left w:val="single" w:sz="4" w:space="0" w:color="auto"/>
              <w:bottom w:val="single" w:sz="4" w:space="0" w:color="auto"/>
              <w:right w:val="single" w:sz="4" w:space="0" w:color="auto"/>
            </w:tcBorders>
          </w:tcPr>
          <w:p w14:paraId="50BF0728" w14:textId="77777777" w:rsidR="00E45929" w:rsidRPr="001B4A02" w:rsidRDefault="00000000" w:rsidP="00ED48A3">
            <w:pPr>
              <w:pStyle w:val="EMEANormal"/>
              <w:rPr>
                <w:szCs w:val="22"/>
                <w:lang w:val="cs-CZ"/>
              </w:rPr>
            </w:pPr>
            <w:r w:rsidRPr="001B4A02">
              <w:rPr>
                <w:szCs w:val="22"/>
                <w:lang w:val="cs-CZ"/>
              </w:rPr>
              <w:t>Poruchy hojení</w:t>
            </w:r>
          </w:p>
        </w:tc>
      </w:tr>
    </w:tbl>
    <w:p w14:paraId="64A97F7E" w14:textId="77777777" w:rsidR="00332340" w:rsidRPr="001B4A02" w:rsidRDefault="00332340" w:rsidP="00ED48A3">
      <w:pPr>
        <w:rPr>
          <w:szCs w:val="22"/>
        </w:rPr>
      </w:pPr>
    </w:p>
    <w:p w14:paraId="558CE8A7" w14:textId="77777777" w:rsidR="00E45929" w:rsidRPr="001B4A02" w:rsidRDefault="00000000" w:rsidP="00ED48A3">
      <w:pPr>
        <w:rPr>
          <w:szCs w:val="22"/>
        </w:rPr>
      </w:pPr>
      <w:r w:rsidRPr="001B4A02">
        <w:rPr>
          <w:szCs w:val="22"/>
        </w:rPr>
        <w:t>*</w:t>
      </w:r>
      <w:r w:rsidR="009A58F2" w:rsidRPr="001B4A02">
        <w:rPr>
          <w:szCs w:val="22"/>
        </w:rPr>
        <w:t> </w:t>
      </w:r>
      <w:r w:rsidRPr="001B4A02">
        <w:rPr>
          <w:szCs w:val="22"/>
        </w:rPr>
        <w:t>další informace lze nalézt na jiných místech textu, v bodech 4.3, 4.</w:t>
      </w:r>
      <w:r w:rsidR="007A3E3B" w:rsidRPr="001B4A02">
        <w:rPr>
          <w:szCs w:val="22"/>
        </w:rPr>
        <w:t>4</w:t>
      </w:r>
      <w:r w:rsidR="002378E0">
        <w:rPr>
          <w:szCs w:val="22"/>
        </w:rPr>
        <w:t xml:space="preserve"> a </w:t>
      </w:r>
      <w:r w:rsidRPr="001B4A02">
        <w:rPr>
          <w:szCs w:val="22"/>
        </w:rPr>
        <w:t>4.8</w:t>
      </w:r>
    </w:p>
    <w:p w14:paraId="19C62D61" w14:textId="77777777" w:rsidR="00E45929" w:rsidRPr="001B4A02" w:rsidRDefault="00000000" w:rsidP="00ED48A3">
      <w:pPr>
        <w:rPr>
          <w:szCs w:val="22"/>
        </w:rPr>
      </w:pPr>
      <w:r w:rsidRPr="001B4A02">
        <w:rPr>
          <w:szCs w:val="22"/>
        </w:rPr>
        <w:t>**</w:t>
      </w:r>
      <w:r w:rsidR="009A58F2" w:rsidRPr="001B4A02">
        <w:rPr>
          <w:szCs w:val="22"/>
        </w:rPr>
        <w:t> </w:t>
      </w:r>
      <w:r w:rsidRPr="001B4A02">
        <w:rPr>
          <w:szCs w:val="22"/>
        </w:rPr>
        <w:t>včetně otevřené fáze prodloužených studií</w:t>
      </w:r>
    </w:p>
    <w:p w14:paraId="62C7AC7E" w14:textId="77777777" w:rsidR="00E45929" w:rsidRPr="001B4A02" w:rsidRDefault="00000000" w:rsidP="00ED48A3">
      <w:pPr>
        <w:rPr>
          <w:szCs w:val="22"/>
        </w:rPr>
      </w:pPr>
      <w:r w:rsidRPr="001B4A02">
        <w:rPr>
          <w:szCs w:val="22"/>
          <w:vertAlign w:val="superscript"/>
        </w:rPr>
        <w:t>1)</w:t>
      </w:r>
      <w:r w:rsidR="009A58F2" w:rsidRPr="001B4A02">
        <w:rPr>
          <w:szCs w:val="22"/>
        </w:rPr>
        <w:t> </w:t>
      </w:r>
      <w:r w:rsidRPr="001B4A02">
        <w:rPr>
          <w:bCs/>
          <w:szCs w:val="22"/>
        </w:rPr>
        <w:t>včetně údajů ze spontánního hlášení</w:t>
      </w:r>
    </w:p>
    <w:p w14:paraId="213137D7" w14:textId="77777777" w:rsidR="00390971" w:rsidRPr="008D2E61" w:rsidRDefault="00000000" w:rsidP="00390971">
      <w:pPr>
        <w:pStyle w:val="Default"/>
        <w:rPr>
          <w:rFonts w:eastAsia="Times New Roman"/>
          <w:sz w:val="22"/>
          <w:szCs w:val="22"/>
          <w:lang w:val="cs-CZ" w:eastAsia="cs-CZ"/>
        </w:rPr>
      </w:pPr>
      <w:r w:rsidRPr="008D2E61">
        <w:rPr>
          <w:sz w:val="22"/>
          <w:szCs w:val="22"/>
          <w:vertAlign w:val="superscript"/>
          <w:lang w:val="cs-CZ"/>
        </w:rPr>
        <w:t>2)</w:t>
      </w:r>
      <w:r w:rsidRPr="008D2E61">
        <w:rPr>
          <w:sz w:val="22"/>
          <w:szCs w:val="22"/>
          <w:lang w:val="cs-CZ"/>
        </w:rPr>
        <w:t> </w:t>
      </w:r>
      <w:r w:rsidRPr="008D2E61">
        <w:rPr>
          <w:sz w:val="22"/>
          <w:szCs w:val="22"/>
          <w:lang w:val="cs-CZ" w:eastAsia="cs-CZ"/>
        </w:rPr>
        <w:t>Průměrná změna tělesné hmotnosti od výchozí hodnoty se v</w:t>
      </w:r>
      <w:r>
        <w:rPr>
          <w:sz w:val="22"/>
          <w:szCs w:val="22"/>
          <w:lang w:val="cs-CZ" w:eastAsia="cs-CZ"/>
        </w:rPr>
        <w:t> </w:t>
      </w:r>
      <w:r w:rsidRPr="008D2E61">
        <w:rPr>
          <w:sz w:val="22"/>
          <w:szCs w:val="22"/>
          <w:lang w:val="cs-CZ" w:eastAsia="cs-CZ"/>
        </w:rPr>
        <w:t>případě adalimumabu pohybovala od 0,3 do 1,0</w:t>
      </w:r>
      <w:r>
        <w:rPr>
          <w:sz w:val="22"/>
          <w:szCs w:val="22"/>
          <w:lang w:val="cs-CZ" w:eastAsia="cs-CZ"/>
        </w:rPr>
        <w:t> </w:t>
      </w:r>
      <w:r w:rsidRPr="008D2E61">
        <w:rPr>
          <w:sz w:val="22"/>
          <w:szCs w:val="22"/>
          <w:lang w:val="cs-CZ" w:eastAsia="cs-CZ"/>
        </w:rPr>
        <w:t>kg v</w:t>
      </w:r>
      <w:r>
        <w:rPr>
          <w:sz w:val="22"/>
          <w:szCs w:val="22"/>
          <w:lang w:val="cs-CZ" w:eastAsia="cs-CZ"/>
        </w:rPr>
        <w:t> </w:t>
      </w:r>
      <w:r w:rsidRPr="008D2E61">
        <w:rPr>
          <w:sz w:val="22"/>
          <w:szCs w:val="22"/>
          <w:lang w:val="cs-CZ" w:eastAsia="cs-CZ"/>
        </w:rPr>
        <w:t>indikacích pro dospělé v</w:t>
      </w:r>
      <w:r>
        <w:rPr>
          <w:sz w:val="22"/>
          <w:szCs w:val="22"/>
          <w:lang w:val="cs-CZ" w:eastAsia="cs-CZ"/>
        </w:rPr>
        <w:t> </w:t>
      </w:r>
      <w:r w:rsidRPr="008D2E61">
        <w:rPr>
          <w:sz w:val="22"/>
          <w:szCs w:val="22"/>
          <w:lang w:val="cs-CZ" w:eastAsia="cs-CZ"/>
        </w:rPr>
        <w:t>porovnání s</w:t>
      </w:r>
      <w:r>
        <w:rPr>
          <w:sz w:val="22"/>
          <w:szCs w:val="22"/>
          <w:lang w:val="cs-CZ" w:eastAsia="cs-CZ"/>
        </w:rPr>
        <w:t> </w:t>
      </w:r>
      <w:r w:rsidRPr="008D2E61">
        <w:rPr>
          <w:sz w:val="22"/>
          <w:szCs w:val="22"/>
          <w:lang w:val="cs-CZ" w:eastAsia="cs-CZ"/>
        </w:rPr>
        <w:t>(mínus) -0,4</w:t>
      </w:r>
      <w:r>
        <w:rPr>
          <w:sz w:val="22"/>
          <w:szCs w:val="22"/>
          <w:lang w:val="cs-CZ" w:eastAsia="cs-CZ"/>
        </w:rPr>
        <w:t> </w:t>
      </w:r>
      <w:r w:rsidRPr="008D2E61">
        <w:rPr>
          <w:sz w:val="22"/>
          <w:szCs w:val="22"/>
          <w:lang w:val="cs-CZ" w:eastAsia="cs-CZ"/>
        </w:rPr>
        <w:t>kg až 0,4</w:t>
      </w:r>
      <w:r>
        <w:rPr>
          <w:sz w:val="22"/>
          <w:szCs w:val="22"/>
          <w:lang w:val="cs-CZ" w:eastAsia="cs-CZ"/>
        </w:rPr>
        <w:t> </w:t>
      </w:r>
      <w:r w:rsidRPr="008D2E61">
        <w:rPr>
          <w:sz w:val="22"/>
          <w:szCs w:val="22"/>
          <w:lang w:val="cs-CZ" w:eastAsia="cs-CZ"/>
        </w:rPr>
        <w:t>kg v</w:t>
      </w:r>
      <w:r>
        <w:rPr>
          <w:sz w:val="22"/>
          <w:szCs w:val="22"/>
          <w:lang w:val="cs-CZ" w:eastAsia="cs-CZ"/>
        </w:rPr>
        <w:t> </w:t>
      </w:r>
      <w:r w:rsidRPr="008D2E61">
        <w:rPr>
          <w:sz w:val="22"/>
          <w:szCs w:val="22"/>
          <w:lang w:val="cs-CZ" w:eastAsia="cs-CZ"/>
        </w:rPr>
        <w:t>případě placeba během léčby po dobu 4–6 měsíců. Zvýšení tělesné hmotnosti o</w:t>
      </w:r>
      <w:r>
        <w:rPr>
          <w:sz w:val="22"/>
          <w:szCs w:val="22"/>
          <w:lang w:val="cs-CZ" w:eastAsia="cs-CZ"/>
        </w:rPr>
        <w:t> </w:t>
      </w:r>
      <w:r w:rsidRPr="008D2E61">
        <w:rPr>
          <w:sz w:val="22"/>
          <w:szCs w:val="22"/>
          <w:lang w:val="cs-CZ" w:eastAsia="cs-CZ"/>
        </w:rPr>
        <w:t>5–6</w:t>
      </w:r>
      <w:r>
        <w:rPr>
          <w:sz w:val="22"/>
          <w:szCs w:val="22"/>
          <w:lang w:val="cs-CZ" w:eastAsia="cs-CZ"/>
        </w:rPr>
        <w:t> </w:t>
      </w:r>
      <w:r w:rsidRPr="008D2E61">
        <w:rPr>
          <w:sz w:val="22"/>
          <w:szCs w:val="22"/>
          <w:lang w:val="cs-CZ" w:eastAsia="cs-CZ"/>
        </w:rPr>
        <w:t>kg bylo pozorováno rovněž v</w:t>
      </w:r>
      <w:r>
        <w:rPr>
          <w:sz w:val="22"/>
          <w:szCs w:val="22"/>
          <w:lang w:val="cs-CZ" w:eastAsia="cs-CZ"/>
        </w:rPr>
        <w:t> </w:t>
      </w:r>
      <w:r w:rsidRPr="008D2E61">
        <w:rPr>
          <w:sz w:val="22"/>
          <w:szCs w:val="22"/>
          <w:lang w:val="cs-CZ" w:eastAsia="cs-CZ"/>
        </w:rPr>
        <w:t>dlouhodobých prodloužených studiích, které nezahrnovaly kontrolní skupinu, s</w:t>
      </w:r>
      <w:r>
        <w:rPr>
          <w:sz w:val="22"/>
          <w:szCs w:val="22"/>
          <w:lang w:val="cs-CZ" w:eastAsia="cs-CZ"/>
        </w:rPr>
        <w:t> </w:t>
      </w:r>
      <w:r w:rsidRPr="008D2E61">
        <w:rPr>
          <w:sz w:val="22"/>
          <w:szCs w:val="22"/>
          <w:lang w:val="cs-CZ" w:eastAsia="cs-CZ"/>
        </w:rPr>
        <w:t>průměrnou expozicí přípravku přibližně 1–2 roky, zejména u</w:t>
      </w:r>
      <w:r>
        <w:rPr>
          <w:sz w:val="22"/>
          <w:szCs w:val="22"/>
          <w:lang w:val="cs-CZ" w:eastAsia="cs-CZ"/>
        </w:rPr>
        <w:t> </w:t>
      </w:r>
      <w:r w:rsidRPr="008D2E61">
        <w:rPr>
          <w:sz w:val="22"/>
          <w:szCs w:val="22"/>
          <w:lang w:val="cs-CZ" w:eastAsia="cs-CZ"/>
        </w:rPr>
        <w:t>pacientů s</w:t>
      </w:r>
      <w:r>
        <w:rPr>
          <w:sz w:val="22"/>
          <w:szCs w:val="22"/>
          <w:lang w:val="cs-CZ" w:eastAsia="cs-CZ"/>
        </w:rPr>
        <w:t> </w:t>
      </w:r>
      <w:r w:rsidRPr="008D2E61">
        <w:rPr>
          <w:sz w:val="22"/>
          <w:szCs w:val="22"/>
          <w:lang w:val="cs-CZ" w:eastAsia="cs-CZ"/>
        </w:rPr>
        <w:t>Crohnovou chorobou a</w:t>
      </w:r>
      <w:r>
        <w:rPr>
          <w:sz w:val="22"/>
          <w:szCs w:val="22"/>
          <w:lang w:val="cs-CZ" w:eastAsia="cs-CZ"/>
        </w:rPr>
        <w:t> </w:t>
      </w:r>
      <w:r w:rsidRPr="008D2E61">
        <w:rPr>
          <w:sz w:val="22"/>
          <w:szCs w:val="22"/>
          <w:lang w:val="cs-CZ" w:eastAsia="cs-CZ"/>
        </w:rPr>
        <w:t>ulcerózní kolitidou. Mechanismus tohoto účinku není jasný, mohl by však souviset s</w:t>
      </w:r>
      <w:r>
        <w:rPr>
          <w:sz w:val="22"/>
          <w:szCs w:val="22"/>
          <w:lang w:val="cs-CZ" w:eastAsia="cs-CZ"/>
        </w:rPr>
        <w:t> </w:t>
      </w:r>
      <w:r w:rsidRPr="008D2E61">
        <w:rPr>
          <w:sz w:val="22"/>
          <w:szCs w:val="22"/>
          <w:lang w:val="cs-CZ" w:eastAsia="cs-CZ"/>
        </w:rPr>
        <w:t>protizánětlivým účinkem adalimumabu.</w:t>
      </w:r>
    </w:p>
    <w:p w14:paraId="7837F351" w14:textId="77777777" w:rsidR="00E45929" w:rsidRPr="001B4A02" w:rsidRDefault="00E45929" w:rsidP="00ED48A3">
      <w:pPr>
        <w:pStyle w:val="EMEANormal"/>
        <w:rPr>
          <w:szCs w:val="22"/>
          <w:u w:val="single"/>
          <w:lang w:val="cs-CZ"/>
        </w:rPr>
      </w:pPr>
    </w:p>
    <w:p w14:paraId="157E5DD1" w14:textId="77777777" w:rsidR="00E45929" w:rsidRPr="001B4A02" w:rsidRDefault="00000000" w:rsidP="00ED48A3">
      <w:pPr>
        <w:keepNext/>
        <w:ind w:left="0" w:firstLine="0"/>
        <w:rPr>
          <w:u w:val="single"/>
        </w:rPr>
      </w:pPr>
      <w:r w:rsidRPr="001B4A02">
        <w:rPr>
          <w:u w:val="single"/>
        </w:rPr>
        <w:t>Hidradenitis suppurativa</w:t>
      </w:r>
    </w:p>
    <w:p w14:paraId="2BE1EA47" w14:textId="77777777" w:rsidR="00E45929" w:rsidRPr="001B4A02" w:rsidRDefault="00E45929" w:rsidP="00ED48A3">
      <w:pPr>
        <w:keepNext/>
        <w:ind w:left="0" w:firstLine="0"/>
      </w:pPr>
    </w:p>
    <w:p w14:paraId="14E566FC" w14:textId="77777777" w:rsidR="00E7724C" w:rsidRPr="001B4A02" w:rsidRDefault="00000000" w:rsidP="00ED48A3">
      <w:pPr>
        <w:pStyle w:val="EMEANormal"/>
        <w:rPr>
          <w:szCs w:val="22"/>
          <w:lang w:val="cs-CZ"/>
        </w:rPr>
      </w:pPr>
      <w:r w:rsidRPr="001B4A02">
        <w:rPr>
          <w:lang w:val="cs-CZ"/>
        </w:rPr>
        <w:t>Bezpečnostní profil u</w:t>
      </w:r>
      <w:r w:rsidR="009A58F2" w:rsidRPr="001B4A02">
        <w:rPr>
          <w:lang w:val="cs-CZ"/>
        </w:rPr>
        <w:t> </w:t>
      </w:r>
      <w:r w:rsidRPr="001B4A02">
        <w:rPr>
          <w:lang w:val="cs-CZ"/>
        </w:rPr>
        <w:t>pacientů s</w:t>
      </w:r>
      <w:r w:rsidR="009A58F2" w:rsidRPr="001B4A02">
        <w:rPr>
          <w:lang w:val="cs-CZ"/>
        </w:rPr>
        <w:t> </w:t>
      </w:r>
      <w:r w:rsidRPr="001B4A02">
        <w:rPr>
          <w:lang w:val="cs-CZ"/>
        </w:rPr>
        <w:t>hidradenitis suppurativa léčených přípravkem Humira jednou týdně byl v</w:t>
      </w:r>
      <w:r w:rsidR="009A58F2" w:rsidRPr="001B4A02">
        <w:rPr>
          <w:lang w:val="cs-CZ"/>
        </w:rPr>
        <w:t> </w:t>
      </w:r>
      <w:r w:rsidRPr="001B4A02">
        <w:rPr>
          <w:lang w:val="cs-CZ"/>
        </w:rPr>
        <w:t>souladu se známým bezpečnostním profilem přípravku Humira.</w:t>
      </w:r>
    </w:p>
    <w:p w14:paraId="3FAC8612" w14:textId="77777777" w:rsidR="00E7724C" w:rsidRPr="001B4A02" w:rsidRDefault="00E7724C" w:rsidP="00ED48A3">
      <w:pPr>
        <w:rPr>
          <w:u w:val="single"/>
        </w:rPr>
      </w:pPr>
    </w:p>
    <w:p w14:paraId="58A0470A" w14:textId="77777777" w:rsidR="00E45929" w:rsidRPr="001B4A02" w:rsidRDefault="00000000" w:rsidP="00ED48A3">
      <w:pPr>
        <w:keepNext/>
        <w:rPr>
          <w:szCs w:val="22"/>
          <w:u w:val="single"/>
        </w:rPr>
      </w:pPr>
      <w:r w:rsidRPr="001B4A02">
        <w:rPr>
          <w:szCs w:val="22"/>
          <w:u w:val="single"/>
        </w:rPr>
        <w:t>Uveitida</w:t>
      </w:r>
    </w:p>
    <w:p w14:paraId="17D2370F" w14:textId="77777777" w:rsidR="00E45929" w:rsidRPr="001B4A02" w:rsidRDefault="00E45929" w:rsidP="00ED48A3">
      <w:pPr>
        <w:keepNext/>
        <w:rPr>
          <w:szCs w:val="22"/>
          <w:u w:val="single"/>
        </w:rPr>
      </w:pPr>
    </w:p>
    <w:p w14:paraId="7696E78E" w14:textId="77777777" w:rsidR="00E7724C" w:rsidRPr="001B4A02" w:rsidRDefault="00000000" w:rsidP="00ED48A3">
      <w:pPr>
        <w:ind w:left="0" w:firstLine="0"/>
        <w:rPr>
          <w:szCs w:val="22"/>
        </w:rPr>
      </w:pPr>
      <w:r w:rsidRPr="001B4A02">
        <w:t>Bezpečnostní profil u</w:t>
      </w:r>
      <w:r w:rsidR="009A58F2" w:rsidRPr="001B4A02">
        <w:t> </w:t>
      </w:r>
      <w:r w:rsidRPr="001B4A02">
        <w:t>pacientů s</w:t>
      </w:r>
      <w:r w:rsidR="009A58F2" w:rsidRPr="001B4A02">
        <w:t> </w:t>
      </w:r>
      <w:r w:rsidRPr="001B4A02">
        <w:t>uveitidou léčených přípravkem Humira jednou za dva týdny byl v souladu se známým bezpečnostním profilem přípravku Humira.</w:t>
      </w:r>
    </w:p>
    <w:p w14:paraId="163E19C4" w14:textId="77777777" w:rsidR="00E7724C" w:rsidRPr="001B4A02" w:rsidRDefault="00E7724C" w:rsidP="00ED48A3">
      <w:pPr>
        <w:pStyle w:val="EMEANormal"/>
        <w:rPr>
          <w:szCs w:val="22"/>
          <w:lang w:val="cs-CZ"/>
        </w:rPr>
      </w:pPr>
    </w:p>
    <w:p w14:paraId="676F2C53" w14:textId="77777777" w:rsidR="00E45929" w:rsidRPr="001B4A02" w:rsidRDefault="00000000" w:rsidP="00ED48A3">
      <w:pPr>
        <w:keepNext/>
        <w:ind w:left="0" w:firstLine="0"/>
        <w:rPr>
          <w:u w:val="single"/>
        </w:rPr>
      </w:pPr>
      <w:r w:rsidRPr="001B4A02">
        <w:rPr>
          <w:u w:val="single"/>
        </w:rPr>
        <w:t>Popis vybraných nežádoucích účinků</w:t>
      </w:r>
    </w:p>
    <w:p w14:paraId="2F0447DE" w14:textId="77777777" w:rsidR="00E45929" w:rsidRPr="001B4A02" w:rsidRDefault="00E45929" w:rsidP="00ED48A3">
      <w:pPr>
        <w:keepNext/>
        <w:ind w:left="0" w:firstLine="0"/>
        <w:rPr>
          <w:u w:val="single"/>
        </w:rPr>
      </w:pPr>
    </w:p>
    <w:p w14:paraId="5245CFB6" w14:textId="77777777" w:rsidR="00E45929" w:rsidRPr="001B4A02" w:rsidRDefault="00000000" w:rsidP="00ED48A3">
      <w:pPr>
        <w:keepNext/>
        <w:ind w:left="0" w:firstLine="0"/>
        <w:rPr>
          <w:i/>
        </w:rPr>
      </w:pPr>
      <w:r w:rsidRPr="001B4A02">
        <w:rPr>
          <w:i/>
        </w:rPr>
        <w:t>Reakce v místě injekčního vpichu</w:t>
      </w:r>
    </w:p>
    <w:p w14:paraId="5B3E5E92" w14:textId="77777777" w:rsidR="00E45929" w:rsidRPr="001B4A02" w:rsidRDefault="00E45929" w:rsidP="00ED48A3">
      <w:pPr>
        <w:keepNext/>
        <w:ind w:left="0" w:firstLine="0"/>
      </w:pPr>
    </w:p>
    <w:p w14:paraId="02BEDEA2" w14:textId="77777777" w:rsidR="00E7724C" w:rsidRPr="001B4A02" w:rsidRDefault="00000000" w:rsidP="00ED48A3">
      <w:pPr>
        <w:ind w:left="0" w:firstLine="0"/>
      </w:pPr>
      <w:r w:rsidRPr="001B4A02">
        <w:t>V</w:t>
      </w:r>
      <w:r w:rsidR="009A58F2" w:rsidRPr="001B4A02">
        <w:t> </w:t>
      </w:r>
      <w:r w:rsidRPr="001B4A02">
        <w:t>klíčových kontrolovaných studiích se u 12,9</w:t>
      </w:r>
      <w:r w:rsidR="009A58F2" w:rsidRPr="001B4A02">
        <w:t> </w:t>
      </w:r>
      <w:r w:rsidRPr="001B4A02">
        <w:t>% dětských</w:t>
      </w:r>
      <w:r w:rsidR="002378E0">
        <w:t xml:space="preserve"> a </w:t>
      </w:r>
      <w:r w:rsidRPr="001B4A02">
        <w:t>dospělých pacientů léčených přípravkem Humira vyvinuly reakce v místě vpichu (erytém a/nebo svědění, krvácení, bolest nebo otok) v porovnání se 7,2</w:t>
      </w:r>
      <w:r w:rsidR="009A58F2" w:rsidRPr="001B4A02">
        <w:t> </w:t>
      </w:r>
      <w:r w:rsidRPr="001B4A02">
        <w:t>% pacientů léčených placebem nebo aktivní kontrolou. Reakce v místě injekčního vpichu nevyžadovaly přerušení podávání léčivého přípravku.</w:t>
      </w:r>
    </w:p>
    <w:p w14:paraId="6F6FAD4A" w14:textId="77777777" w:rsidR="00E7724C" w:rsidRPr="001B4A02" w:rsidRDefault="00E7724C" w:rsidP="00ED48A3"/>
    <w:p w14:paraId="2A57D1D1" w14:textId="77777777" w:rsidR="00E45929" w:rsidRPr="001B4A02" w:rsidRDefault="00000000" w:rsidP="003B610F">
      <w:pPr>
        <w:keepNext/>
        <w:ind w:left="0" w:firstLine="0"/>
        <w:rPr>
          <w:i/>
        </w:rPr>
      </w:pPr>
      <w:r w:rsidRPr="001B4A02">
        <w:rPr>
          <w:i/>
        </w:rPr>
        <w:t>Infekce</w:t>
      </w:r>
    </w:p>
    <w:p w14:paraId="061918EB" w14:textId="77777777" w:rsidR="00E45929" w:rsidRPr="001B4A02" w:rsidRDefault="00E45929" w:rsidP="003B610F">
      <w:pPr>
        <w:keepNext/>
        <w:ind w:left="0" w:firstLine="0"/>
      </w:pPr>
    </w:p>
    <w:p w14:paraId="0BDDA89F" w14:textId="77777777" w:rsidR="00E45929" w:rsidRPr="001B4A02" w:rsidRDefault="00000000" w:rsidP="00ED48A3">
      <w:pPr>
        <w:ind w:left="0" w:firstLine="0"/>
        <w:rPr>
          <w:szCs w:val="22"/>
        </w:rPr>
      </w:pPr>
      <w:r w:rsidRPr="001B4A02">
        <w:t>V</w:t>
      </w:r>
      <w:r w:rsidR="009A58F2" w:rsidRPr="001B4A02">
        <w:t> </w:t>
      </w:r>
      <w:r w:rsidRPr="001B4A02">
        <w:t>klíčových kontrolovaných studiích se u dětských</w:t>
      </w:r>
      <w:r w:rsidR="002378E0">
        <w:t xml:space="preserve"> a </w:t>
      </w:r>
      <w:r w:rsidRPr="001B4A02">
        <w:t>dospělých pacientů léčených přípravkem Humira vyskytla infekce ve frekvenci 1,51</w:t>
      </w:r>
      <w:r w:rsidR="002378E0">
        <w:t xml:space="preserve"> a </w:t>
      </w:r>
      <w:r w:rsidRPr="001B4A02">
        <w:t>u pacientů léčených placebem nebo aktivní kontrolou ve frekvenci 1,46</w:t>
      </w:r>
      <w:r w:rsidR="009A58F2" w:rsidRPr="001B4A02">
        <w:t xml:space="preserve"> </w:t>
      </w:r>
      <w:r w:rsidRPr="001B4A02">
        <w:t xml:space="preserve">případů na pacienta léčeného po dobu jednoho roku (případ/pacient/rok). </w:t>
      </w:r>
      <w:r w:rsidRPr="001B4A02">
        <w:rPr>
          <w:szCs w:val="22"/>
        </w:rPr>
        <w:t>Jednalo se především o nazofaryngitidu, infekci horních cest dýchacích</w:t>
      </w:r>
      <w:r w:rsidR="002378E0">
        <w:rPr>
          <w:szCs w:val="22"/>
        </w:rPr>
        <w:t xml:space="preserve"> a </w:t>
      </w:r>
      <w:r w:rsidRPr="001B4A02">
        <w:rPr>
          <w:szCs w:val="22"/>
        </w:rPr>
        <w:t>sinusitidu. Většina pacientů pokračovala po vyléčení inf</w:t>
      </w:r>
      <w:r w:rsidR="004C2FD7" w:rsidRPr="001B4A02">
        <w:rPr>
          <w:szCs w:val="22"/>
        </w:rPr>
        <w:t>ekce v léčbě přípravkem Humira.</w:t>
      </w:r>
    </w:p>
    <w:p w14:paraId="519A868C" w14:textId="77777777" w:rsidR="00E45929" w:rsidRPr="001B4A02" w:rsidRDefault="00E45929" w:rsidP="00ED48A3">
      <w:pPr>
        <w:ind w:left="0" w:firstLine="0"/>
        <w:rPr>
          <w:szCs w:val="22"/>
        </w:rPr>
      </w:pPr>
    </w:p>
    <w:p w14:paraId="302877D6" w14:textId="77777777" w:rsidR="00E45929" w:rsidRPr="001B4A02" w:rsidRDefault="00000000" w:rsidP="00ED48A3">
      <w:pPr>
        <w:ind w:left="0" w:firstLine="0"/>
      </w:pPr>
      <w:r w:rsidRPr="001B4A02">
        <w:t>Výskyt závažných infekcí u</w:t>
      </w:r>
      <w:r w:rsidR="009A58F2" w:rsidRPr="001B4A02">
        <w:t> </w:t>
      </w:r>
      <w:r w:rsidRPr="001B4A02">
        <w:t>pacientů léčených přípravkem Humira činil 0,0</w:t>
      </w:r>
      <w:r w:rsidR="007B1382" w:rsidRPr="001B4A02">
        <w:t>4</w:t>
      </w:r>
      <w:r w:rsidRPr="001B4A02">
        <w:t> případů/pacient/rok</w:t>
      </w:r>
      <w:r w:rsidR="002378E0">
        <w:t xml:space="preserve"> a </w:t>
      </w:r>
      <w:r w:rsidRPr="001B4A02">
        <w:t>u pacientů léčených placebem nebo aktivní kontrolou 0,0</w:t>
      </w:r>
      <w:r w:rsidR="007B1382" w:rsidRPr="001B4A02">
        <w:t>3</w:t>
      </w:r>
      <w:r w:rsidR="004C2FD7" w:rsidRPr="001B4A02">
        <w:t> případů/pacient/rok.</w:t>
      </w:r>
    </w:p>
    <w:p w14:paraId="1B8A1174" w14:textId="77777777" w:rsidR="00E45929" w:rsidRPr="001B4A02" w:rsidRDefault="00E45929" w:rsidP="00ED48A3">
      <w:pPr>
        <w:ind w:left="0" w:firstLine="0"/>
      </w:pPr>
    </w:p>
    <w:p w14:paraId="1ACC5846" w14:textId="77777777" w:rsidR="00E45929" w:rsidRPr="001B4A02" w:rsidRDefault="00000000" w:rsidP="00ED48A3">
      <w:pPr>
        <w:ind w:left="0" w:firstLine="0"/>
      </w:pPr>
      <w:r w:rsidRPr="001B4A02">
        <w:rPr>
          <w:szCs w:val="22"/>
        </w:rPr>
        <w:t>V kontrolovaných</w:t>
      </w:r>
      <w:r w:rsidR="002378E0">
        <w:rPr>
          <w:szCs w:val="22"/>
        </w:rPr>
        <w:t xml:space="preserve"> a </w:t>
      </w:r>
      <w:r w:rsidRPr="001B4A02">
        <w:rPr>
          <w:szCs w:val="22"/>
        </w:rPr>
        <w:t>otevřených studiích u</w:t>
      </w:r>
      <w:r w:rsidR="009A58F2" w:rsidRPr="001B4A02">
        <w:rPr>
          <w:szCs w:val="22"/>
        </w:rPr>
        <w:t> </w:t>
      </w:r>
      <w:r w:rsidRPr="001B4A02">
        <w:rPr>
          <w:szCs w:val="22"/>
        </w:rPr>
        <w:t xml:space="preserve">dospělých i pediatrických pacientů s přípravkem Humira byly hlášeny závažné infekce (včetně </w:t>
      </w:r>
      <w:r w:rsidR="00C3156D" w:rsidRPr="001B4A02">
        <w:rPr>
          <w:szCs w:val="22"/>
        </w:rPr>
        <w:t>fatálních</w:t>
      </w:r>
      <w:r w:rsidRPr="001B4A02">
        <w:rPr>
          <w:szCs w:val="22"/>
        </w:rPr>
        <w:t xml:space="preserve"> infekcí, které se vyskytovaly vzácně), jako jsou tuberkulóza (včetně miliární</w:t>
      </w:r>
      <w:r w:rsidR="002378E0">
        <w:rPr>
          <w:szCs w:val="22"/>
        </w:rPr>
        <w:t xml:space="preserve"> a </w:t>
      </w:r>
      <w:r w:rsidRPr="001B4A02">
        <w:rPr>
          <w:szCs w:val="22"/>
        </w:rPr>
        <w:t>mimoplicní tuberkulózy)</w:t>
      </w:r>
      <w:r w:rsidR="002378E0">
        <w:rPr>
          <w:szCs w:val="22"/>
        </w:rPr>
        <w:t xml:space="preserve"> a </w:t>
      </w:r>
      <w:r w:rsidRPr="001B4A02">
        <w:rPr>
          <w:szCs w:val="22"/>
        </w:rPr>
        <w:t xml:space="preserve">invazivní oportunní infekce (např. </w:t>
      </w:r>
      <w:r w:rsidR="00C3156D" w:rsidRPr="001B4A02">
        <w:rPr>
          <w:szCs w:val="22"/>
        </w:rPr>
        <w:t>diseminovaná</w:t>
      </w:r>
      <w:r w:rsidRPr="001B4A02">
        <w:rPr>
          <w:szCs w:val="22"/>
        </w:rPr>
        <w:t xml:space="preserve"> nebo mimoplicní histoplasmóza, blastocystóza, kokcidiomykóza, pneumocystóza, kandidóza, aspergilóza</w:t>
      </w:r>
      <w:r w:rsidR="002378E0">
        <w:rPr>
          <w:szCs w:val="22"/>
        </w:rPr>
        <w:t xml:space="preserve"> a </w:t>
      </w:r>
      <w:r w:rsidRPr="001B4A02">
        <w:rPr>
          <w:szCs w:val="22"/>
        </w:rPr>
        <w:t>listerióza). Většina případů tuberkulózy se vyskytla v prvních osmi měsících po zahájení léčby</w:t>
      </w:r>
      <w:r w:rsidR="002378E0">
        <w:rPr>
          <w:szCs w:val="22"/>
        </w:rPr>
        <w:t xml:space="preserve"> a </w:t>
      </w:r>
      <w:r w:rsidRPr="001B4A02">
        <w:rPr>
          <w:szCs w:val="22"/>
        </w:rPr>
        <w:t>mohlo se jednat o opětovné vzplanutí latentního onemocnění.</w:t>
      </w:r>
    </w:p>
    <w:p w14:paraId="2C6333B2" w14:textId="77777777" w:rsidR="00E45929" w:rsidRPr="001B4A02" w:rsidRDefault="00E45929" w:rsidP="00ED48A3">
      <w:pPr>
        <w:ind w:left="0" w:firstLine="0"/>
      </w:pPr>
    </w:p>
    <w:p w14:paraId="74C30B54" w14:textId="77777777" w:rsidR="00E45929" w:rsidRPr="001B4A02" w:rsidRDefault="00000000" w:rsidP="00ED48A3">
      <w:pPr>
        <w:pStyle w:val="EMEAHeadingUnderline"/>
        <w:keepNext/>
        <w:tabs>
          <w:tab w:val="clear" w:pos="562"/>
        </w:tabs>
        <w:suppressAutoHyphens w:val="0"/>
        <w:spacing w:beforeLines="0" w:before="0" w:afterLines="0" w:after="0"/>
        <w:rPr>
          <w:i/>
          <w:szCs w:val="24"/>
          <w:u w:val="none"/>
          <w:lang w:val="cs-CZ"/>
        </w:rPr>
      </w:pPr>
      <w:r w:rsidRPr="001B4A02">
        <w:rPr>
          <w:i/>
          <w:szCs w:val="24"/>
          <w:u w:val="none"/>
          <w:lang w:val="cs-CZ"/>
        </w:rPr>
        <w:t>Maligní onemocněn</w:t>
      </w:r>
      <w:r w:rsidR="004C2FD7" w:rsidRPr="001B4A02">
        <w:rPr>
          <w:i/>
          <w:szCs w:val="24"/>
          <w:u w:val="none"/>
          <w:lang w:val="cs-CZ"/>
        </w:rPr>
        <w:t>í</w:t>
      </w:r>
      <w:r w:rsidR="002378E0">
        <w:rPr>
          <w:i/>
          <w:szCs w:val="24"/>
          <w:u w:val="none"/>
          <w:lang w:val="cs-CZ"/>
        </w:rPr>
        <w:t xml:space="preserve"> a </w:t>
      </w:r>
      <w:r w:rsidR="004C2FD7" w:rsidRPr="001B4A02">
        <w:rPr>
          <w:i/>
          <w:szCs w:val="24"/>
          <w:u w:val="none"/>
          <w:lang w:val="cs-CZ"/>
        </w:rPr>
        <w:t>lymfoproliferativní poruchy</w:t>
      </w:r>
    </w:p>
    <w:p w14:paraId="79968348" w14:textId="77777777" w:rsidR="00E45929" w:rsidRPr="001B4A02" w:rsidRDefault="00E45929" w:rsidP="00ED48A3">
      <w:pPr>
        <w:keepNext/>
      </w:pPr>
    </w:p>
    <w:p w14:paraId="1E376568" w14:textId="77777777" w:rsidR="00E45929" w:rsidRPr="001B4A02" w:rsidRDefault="00000000" w:rsidP="00ED48A3">
      <w:pPr>
        <w:pStyle w:val="EMEANormal"/>
        <w:tabs>
          <w:tab w:val="clear" w:pos="562"/>
        </w:tabs>
        <w:suppressAutoHyphens w:val="0"/>
        <w:rPr>
          <w:lang w:val="cs-CZ"/>
        </w:rPr>
      </w:pPr>
      <w:r w:rsidRPr="001B4A02">
        <w:rPr>
          <w:lang w:val="cs-CZ"/>
        </w:rPr>
        <w:t>Ve studiích s přípravkem Humira nebyly u 249 pediatrických pacientů s juvenilní idiopatickou artritidou (polyartikulární juvenilní idiopatickou artritidou</w:t>
      </w:r>
      <w:r w:rsidR="002378E0">
        <w:rPr>
          <w:lang w:val="cs-CZ"/>
        </w:rPr>
        <w:t xml:space="preserve"> a </w:t>
      </w:r>
      <w:r w:rsidRPr="001B4A02">
        <w:rPr>
          <w:lang w:val="cs-CZ"/>
        </w:rPr>
        <w:t>entezopatickou</w:t>
      </w:r>
      <w:r w:rsidR="009A58F2" w:rsidRPr="001B4A02">
        <w:rPr>
          <w:lang w:val="cs-CZ"/>
        </w:rPr>
        <w:t xml:space="preserve"> </w:t>
      </w:r>
      <w:r w:rsidRPr="001B4A02">
        <w:rPr>
          <w:lang w:val="cs-CZ"/>
        </w:rPr>
        <w:t>artritidou) pozorovány žádné malignity při expozici odpovídající 655,6 pacientorokům léčby. Žádné malignity nebyly navíc pozorovány ani u</w:t>
      </w:r>
      <w:r w:rsidR="009A58F2" w:rsidRPr="001B4A02">
        <w:rPr>
          <w:lang w:val="cs-CZ"/>
        </w:rPr>
        <w:t> </w:t>
      </w:r>
      <w:r w:rsidRPr="001B4A02">
        <w:rPr>
          <w:lang w:val="cs-CZ"/>
        </w:rPr>
        <w:t>192 pediatrických pacientů při expozici 498,1 pacientoroků léčby v průběhu studií s přípravkem Humira, zaměřených na pediatrické pacienty s Crohnovou chorobou. Žádné malignity nebyly pozorovány u</w:t>
      </w:r>
      <w:r w:rsidR="009A58F2" w:rsidRPr="001B4A02">
        <w:rPr>
          <w:lang w:val="cs-CZ"/>
        </w:rPr>
        <w:t> </w:t>
      </w:r>
      <w:r w:rsidRPr="001B4A02">
        <w:rPr>
          <w:lang w:val="cs-CZ"/>
        </w:rPr>
        <w:t>77 pediatrických pacientů při expozici 80 pacientoroků léčby v průběhu studie s přípravkem Humira u</w:t>
      </w:r>
      <w:r w:rsidR="009A58F2" w:rsidRPr="001B4A02">
        <w:rPr>
          <w:lang w:val="cs-CZ"/>
        </w:rPr>
        <w:t> </w:t>
      </w:r>
      <w:r w:rsidRPr="001B4A02">
        <w:rPr>
          <w:lang w:val="cs-CZ"/>
        </w:rPr>
        <w:t>pediatrických pacientů s chronickou ložiskovou psoriázou.</w:t>
      </w:r>
      <w:r w:rsidR="00D20AE9" w:rsidRPr="001B4A02">
        <w:rPr>
          <w:lang w:val="cs-CZ"/>
        </w:rPr>
        <w:t xml:space="preserve"> </w:t>
      </w:r>
      <w:r w:rsidR="00FA04EC" w:rsidRPr="00295D4C">
        <w:rPr>
          <w:lang w:val="cs-CZ"/>
        </w:rPr>
        <w:t>Žádné malignity nebyly pozorovány u</w:t>
      </w:r>
      <w:r w:rsidR="00390F17" w:rsidRPr="001B4A02">
        <w:rPr>
          <w:lang w:val="cs-CZ"/>
        </w:rPr>
        <w:t> </w:t>
      </w:r>
      <w:r w:rsidR="00FA04EC" w:rsidRPr="00295D4C">
        <w:rPr>
          <w:lang w:val="cs-CZ"/>
        </w:rPr>
        <w:t>93 pediatrických pacientů při expozici 65,3 pacientoroků léčby v</w:t>
      </w:r>
      <w:r w:rsidR="00390F17" w:rsidRPr="001B4A02">
        <w:rPr>
          <w:lang w:val="cs-CZ"/>
        </w:rPr>
        <w:t> </w:t>
      </w:r>
      <w:r w:rsidR="00FA04EC" w:rsidRPr="00295D4C">
        <w:rPr>
          <w:lang w:val="cs-CZ"/>
        </w:rPr>
        <w:t>průběhu studie s</w:t>
      </w:r>
      <w:r w:rsidR="00390F17" w:rsidRPr="001B4A02">
        <w:rPr>
          <w:lang w:val="cs-CZ"/>
        </w:rPr>
        <w:t> </w:t>
      </w:r>
      <w:r w:rsidR="00FA04EC" w:rsidRPr="00295D4C">
        <w:rPr>
          <w:lang w:val="cs-CZ"/>
        </w:rPr>
        <w:t>přípravkem Humira u</w:t>
      </w:r>
      <w:r w:rsidR="00390F17" w:rsidRPr="001B4A02">
        <w:rPr>
          <w:lang w:val="cs-CZ"/>
        </w:rPr>
        <w:t> </w:t>
      </w:r>
      <w:r w:rsidR="00FA04EC" w:rsidRPr="00295D4C">
        <w:rPr>
          <w:lang w:val="cs-CZ"/>
        </w:rPr>
        <w:t>pediatrických pacientů s</w:t>
      </w:r>
      <w:r w:rsidR="00390F17" w:rsidRPr="001B4A02">
        <w:rPr>
          <w:lang w:val="cs-CZ"/>
        </w:rPr>
        <w:t> </w:t>
      </w:r>
      <w:r w:rsidR="00FA04EC" w:rsidRPr="00295D4C">
        <w:rPr>
          <w:lang w:val="cs-CZ"/>
        </w:rPr>
        <w:t>ulcerózní kolitidou</w:t>
      </w:r>
      <w:r w:rsidR="00ED5D7C" w:rsidRPr="001D2137">
        <w:rPr>
          <w:rStyle w:val="normaltextrun"/>
          <w:shd w:val="clear" w:color="auto" w:fill="FFFFFF"/>
          <w:lang w:val="cs-CZ"/>
        </w:rPr>
        <w:t xml:space="preserve">. </w:t>
      </w:r>
      <w:r w:rsidR="00D20AE9" w:rsidRPr="001B4A02">
        <w:rPr>
          <w:szCs w:val="22"/>
          <w:lang w:val="cs-CZ"/>
        </w:rPr>
        <w:t>U</w:t>
      </w:r>
      <w:r w:rsidR="005C0B4E" w:rsidRPr="001B4A02">
        <w:rPr>
          <w:szCs w:val="22"/>
          <w:lang w:val="cs-CZ"/>
        </w:rPr>
        <w:t> </w:t>
      </w:r>
      <w:r w:rsidR="00D20AE9" w:rsidRPr="001B4A02">
        <w:rPr>
          <w:szCs w:val="22"/>
          <w:lang w:val="cs-CZ"/>
        </w:rPr>
        <w:t>60</w:t>
      </w:r>
      <w:r w:rsidR="009B61F3" w:rsidRPr="001B4A02">
        <w:rPr>
          <w:szCs w:val="22"/>
          <w:lang w:val="cs-CZ"/>
        </w:rPr>
        <w:t xml:space="preserve"> </w:t>
      </w:r>
      <w:r w:rsidR="00D20AE9" w:rsidRPr="001B4A02">
        <w:rPr>
          <w:szCs w:val="22"/>
          <w:lang w:val="cs-CZ"/>
        </w:rPr>
        <w:t>pediatrických pacientů s</w:t>
      </w:r>
      <w:r w:rsidR="005C0B4E" w:rsidRPr="001B4A02">
        <w:rPr>
          <w:szCs w:val="22"/>
          <w:lang w:val="cs-CZ"/>
        </w:rPr>
        <w:t> </w:t>
      </w:r>
      <w:r w:rsidR="00D20AE9" w:rsidRPr="001B4A02">
        <w:rPr>
          <w:szCs w:val="22"/>
          <w:lang w:val="cs-CZ"/>
        </w:rPr>
        <w:t xml:space="preserve">expozicí 58,4 pacientoroků </w:t>
      </w:r>
      <w:r w:rsidR="008C775C" w:rsidRPr="001B4A02">
        <w:rPr>
          <w:szCs w:val="22"/>
          <w:lang w:val="cs-CZ"/>
        </w:rPr>
        <w:t xml:space="preserve">nebyly pozorovány žádné malignity </w:t>
      </w:r>
      <w:r w:rsidR="00D20AE9" w:rsidRPr="001B4A02">
        <w:rPr>
          <w:szCs w:val="22"/>
          <w:lang w:val="cs-CZ"/>
        </w:rPr>
        <w:t>během klinického hodnocení s</w:t>
      </w:r>
      <w:r w:rsidR="005C0B4E" w:rsidRPr="001B4A02">
        <w:rPr>
          <w:szCs w:val="22"/>
          <w:lang w:val="cs-CZ"/>
        </w:rPr>
        <w:t> </w:t>
      </w:r>
      <w:r w:rsidR="00D20AE9" w:rsidRPr="001B4A02">
        <w:rPr>
          <w:szCs w:val="22"/>
          <w:lang w:val="cs-CZ"/>
        </w:rPr>
        <w:t>přípravkem Humira u</w:t>
      </w:r>
      <w:r w:rsidR="005C0B4E" w:rsidRPr="001B4A02">
        <w:rPr>
          <w:szCs w:val="22"/>
          <w:lang w:val="cs-CZ"/>
        </w:rPr>
        <w:t> </w:t>
      </w:r>
      <w:r w:rsidR="00D20AE9" w:rsidRPr="001B4A02">
        <w:rPr>
          <w:szCs w:val="22"/>
          <w:lang w:val="cs-CZ"/>
        </w:rPr>
        <w:t>pediatrických pacientů s</w:t>
      </w:r>
      <w:r w:rsidR="005C0B4E" w:rsidRPr="001B4A02">
        <w:rPr>
          <w:szCs w:val="22"/>
          <w:lang w:val="cs-CZ"/>
        </w:rPr>
        <w:t> </w:t>
      </w:r>
      <w:r w:rsidR="00D20AE9" w:rsidRPr="001B4A02">
        <w:rPr>
          <w:szCs w:val="22"/>
          <w:lang w:val="cs-CZ"/>
        </w:rPr>
        <w:t>uveitidou.</w:t>
      </w:r>
    </w:p>
    <w:p w14:paraId="4E3A112F" w14:textId="77777777" w:rsidR="00E45929" w:rsidRPr="001B4A02" w:rsidRDefault="00E45929" w:rsidP="00ED48A3">
      <w:pPr>
        <w:pStyle w:val="EMEANormal"/>
        <w:tabs>
          <w:tab w:val="clear" w:pos="562"/>
          <w:tab w:val="left" w:pos="708"/>
        </w:tabs>
        <w:suppressAutoHyphens w:val="0"/>
        <w:rPr>
          <w:lang w:val="cs-CZ"/>
        </w:rPr>
      </w:pPr>
    </w:p>
    <w:p w14:paraId="24B22014" w14:textId="77777777" w:rsidR="00E45929" w:rsidRPr="001B4A02" w:rsidRDefault="00000000" w:rsidP="00ED48A3">
      <w:pPr>
        <w:pStyle w:val="EMEANormal"/>
        <w:tabs>
          <w:tab w:val="clear" w:pos="562"/>
        </w:tabs>
        <w:suppressAutoHyphens w:val="0"/>
        <w:rPr>
          <w:lang w:val="cs-CZ"/>
        </w:rPr>
      </w:pPr>
      <w:r w:rsidRPr="001B4A02">
        <w:rPr>
          <w:lang w:val="cs-CZ"/>
        </w:rPr>
        <w:t>V průběhu kontrolovaného období klíčových klinických studií u</w:t>
      </w:r>
      <w:r w:rsidR="009A58F2" w:rsidRPr="001B4A02">
        <w:rPr>
          <w:lang w:val="cs-CZ"/>
        </w:rPr>
        <w:t> </w:t>
      </w:r>
      <w:r w:rsidRPr="001B4A02">
        <w:rPr>
          <w:lang w:val="cs-CZ"/>
        </w:rPr>
        <w:t>dospělých pacientů s přípravkem Humira, v trvání nejméně 12 týdnů</w:t>
      </w:r>
      <w:r w:rsidR="007B1382" w:rsidRPr="001B4A02">
        <w:rPr>
          <w:lang w:val="cs-CZ"/>
        </w:rPr>
        <w:t>,</w:t>
      </w:r>
      <w:r w:rsidRPr="001B4A02">
        <w:rPr>
          <w:lang w:val="cs-CZ"/>
        </w:rPr>
        <w:t xml:space="preserve"> byly u pacientů se středně těžkou až těžkou aktivní revmatoidní artritidou, ankylozující spondylitidou, </w:t>
      </w:r>
      <w:r w:rsidRPr="001B4A02">
        <w:rPr>
          <w:szCs w:val="22"/>
          <w:lang w:val="cs-CZ"/>
        </w:rPr>
        <w:t>axiální spondylartritidou bez radiologického průkazu AS,</w:t>
      </w:r>
      <w:r w:rsidRPr="001B4A02">
        <w:rPr>
          <w:lang w:val="cs-CZ"/>
        </w:rPr>
        <w:t xml:space="preserve"> psoriatickou artritidou, psoriázou, hidradenitis suppurativa, Crohnovou chorobou, ulcerózní kolitidou</w:t>
      </w:r>
      <w:r w:rsidR="002378E0">
        <w:rPr>
          <w:lang w:val="cs-CZ"/>
        </w:rPr>
        <w:t xml:space="preserve"> a </w:t>
      </w:r>
      <w:r w:rsidRPr="001B4A02">
        <w:rPr>
          <w:lang w:val="cs-CZ"/>
        </w:rPr>
        <w:t>uveitidou pozorovány případy malignit jiného druhu, než jsou lymfomy či nemelanomový karcinom kůže, s četností výskytu 6,8 (4,4</w:t>
      </w:r>
      <w:r w:rsidR="002378E0">
        <w:rPr>
          <w:lang w:val="cs-CZ"/>
        </w:rPr>
        <w:t xml:space="preserve"> a </w:t>
      </w:r>
      <w:r w:rsidRPr="001B4A02">
        <w:rPr>
          <w:lang w:val="cs-CZ"/>
        </w:rPr>
        <w:t>10,5) (na 1</w:t>
      </w:r>
      <w:r w:rsidR="00A67B50" w:rsidRPr="001B4A02">
        <w:rPr>
          <w:lang w:val="cs-CZ"/>
        </w:rPr>
        <w:t> </w:t>
      </w:r>
      <w:r w:rsidRPr="001B4A02">
        <w:rPr>
          <w:lang w:val="cs-CZ"/>
        </w:rPr>
        <w:t xml:space="preserve">000 pacientoroků při 95% intervalu spolehlivosti, </w:t>
      </w:r>
      <w:r w:rsidRPr="001B4A02">
        <w:rPr>
          <w:iCs/>
          <w:lang w:val="cs-CZ"/>
        </w:rPr>
        <w:t>v</w:t>
      </w:r>
      <w:r w:rsidR="009A58F2" w:rsidRPr="001B4A02">
        <w:rPr>
          <w:iCs/>
          <w:lang w:val="cs-CZ"/>
        </w:rPr>
        <w:t> </w:t>
      </w:r>
      <w:r w:rsidRPr="001B4A02">
        <w:rPr>
          <w:iCs/>
          <w:lang w:val="cs-CZ"/>
        </w:rPr>
        <w:t>porovnání</w:t>
      </w:r>
      <w:r w:rsidRPr="001B4A02">
        <w:rPr>
          <w:lang w:val="cs-CZ"/>
        </w:rPr>
        <w:t xml:space="preserve"> s četností jejich výskytu 6,3 (3,4</w:t>
      </w:r>
      <w:r w:rsidR="002378E0">
        <w:rPr>
          <w:lang w:val="cs-CZ"/>
        </w:rPr>
        <w:t xml:space="preserve"> a </w:t>
      </w:r>
      <w:r w:rsidRPr="001B4A02">
        <w:rPr>
          <w:lang w:val="cs-CZ"/>
        </w:rPr>
        <w:t>11,8) na 1</w:t>
      </w:r>
      <w:r w:rsidR="00A67B50" w:rsidRPr="001B4A02">
        <w:rPr>
          <w:lang w:val="cs-CZ"/>
        </w:rPr>
        <w:t> </w:t>
      </w:r>
      <w:r w:rsidRPr="001B4A02">
        <w:rPr>
          <w:lang w:val="cs-CZ"/>
        </w:rPr>
        <w:t>000 pacientoroků u kontrolní skupiny. Skupina s přípravkem Humira zahrnovala 5 291 pacientů</w:t>
      </w:r>
      <w:r w:rsidR="002378E0">
        <w:rPr>
          <w:lang w:val="cs-CZ"/>
        </w:rPr>
        <w:t xml:space="preserve"> a </w:t>
      </w:r>
      <w:r w:rsidRPr="001B4A02">
        <w:rPr>
          <w:lang w:val="cs-CZ"/>
        </w:rPr>
        <w:t>3 444 pacientů bylo v kontrolní skupině (průměrná doba trvání léčby byla 4,0 měsíce u</w:t>
      </w:r>
      <w:r w:rsidR="00A37254" w:rsidRPr="001B4A02">
        <w:rPr>
          <w:lang w:val="cs-CZ"/>
        </w:rPr>
        <w:t> </w:t>
      </w:r>
      <w:r w:rsidRPr="001B4A02">
        <w:rPr>
          <w:lang w:val="cs-CZ"/>
        </w:rPr>
        <w:t>přípravku Humira</w:t>
      </w:r>
      <w:r w:rsidR="002378E0">
        <w:rPr>
          <w:lang w:val="cs-CZ"/>
        </w:rPr>
        <w:t xml:space="preserve"> a </w:t>
      </w:r>
      <w:r w:rsidRPr="001B4A02">
        <w:rPr>
          <w:lang w:val="cs-CZ"/>
        </w:rPr>
        <w:t>3,8 měsíce u pacientů léčených kontrolou). Četnost výskytu kožních karcinomů nemelanomového typu (95% interval spolehlivosti) byla 8,8 (6,0</w:t>
      </w:r>
      <w:r w:rsidR="002378E0">
        <w:rPr>
          <w:lang w:val="cs-CZ"/>
        </w:rPr>
        <w:t xml:space="preserve"> a </w:t>
      </w:r>
      <w:r w:rsidRPr="001B4A02">
        <w:rPr>
          <w:lang w:val="cs-CZ"/>
        </w:rPr>
        <w:t>13,0) na 1</w:t>
      </w:r>
      <w:r w:rsidR="00A67B50" w:rsidRPr="001B4A02">
        <w:rPr>
          <w:lang w:val="cs-CZ"/>
        </w:rPr>
        <w:t> </w:t>
      </w:r>
      <w:r w:rsidRPr="001B4A02">
        <w:rPr>
          <w:lang w:val="cs-CZ"/>
        </w:rPr>
        <w:t>000 pacientoroků u</w:t>
      </w:r>
      <w:r w:rsidR="00A37254" w:rsidRPr="001B4A02">
        <w:rPr>
          <w:lang w:val="cs-CZ"/>
        </w:rPr>
        <w:t> </w:t>
      </w:r>
      <w:r w:rsidRPr="001B4A02">
        <w:rPr>
          <w:lang w:val="cs-CZ"/>
        </w:rPr>
        <w:t>pacientů léčených přípravkem Humira</w:t>
      </w:r>
      <w:r w:rsidR="002378E0">
        <w:rPr>
          <w:lang w:val="cs-CZ"/>
        </w:rPr>
        <w:t xml:space="preserve"> a </w:t>
      </w:r>
      <w:r w:rsidRPr="001B4A02">
        <w:rPr>
          <w:lang w:val="cs-CZ"/>
        </w:rPr>
        <w:t>3,2 (1,3</w:t>
      </w:r>
      <w:r w:rsidR="002378E0">
        <w:rPr>
          <w:lang w:val="cs-CZ"/>
        </w:rPr>
        <w:t xml:space="preserve"> a </w:t>
      </w:r>
      <w:r w:rsidRPr="001B4A02">
        <w:rPr>
          <w:lang w:val="cs-CZ"/>
        </w:rPr>
        <w:t>7,6) na 1</w:t>
      </w:r>
      <w:r w:rsidR="00A67B50" w:rsidRPr="001B4A02">
        <w:rPr>
          <w:lang w:val="cs-CZ"/>
        </w:rPr>
        <w:t> </w:t>
      </w:r>
      <w:r w:rsidRPr="001B4A02">
        <w:rPr>
          <w:lang w:val="cs-CZ"/>
        </w:rPr>
        <w:t>000 pacientoroků v kontrolní skupině. Z těchto kožních karcinomů se skvamózní buněčný karcinom vyskytoval s četností 2,7 (1,4</w:t>
      </w:r>
      <w:r w:rsidR="002378E0">
        <w:rPr>
          <w:lang w:val="cs-CZ"/>
        </w:rPr>
        <w:t xml:space="preserve"> a </w:t>
      </w:r>
      <w:r w:rsidRPr="001B4A02">
        <w:rPr>
          <w:lang w:val="cs-CZ"/>
        </w:rPr>
        <w:t>5,4) na 1</w:t>
      </w:r>
      <w:r w:rsidR="00A67B50" w:rsidRPr="001B4A02">
        <w:rPr>
          <w:lang w:val="cs-CZ"/>
        </w:rPr>
        <w:t> </w:t>
      </w:r>
      <w:r w:rsidRPr="001B4A02">
        <w:rPr>
          <w:lang w:val="cs-CZ"/>
        </w:rPr>
        <w:t>000 pacient</w:t>
      </w:r>
      <w:r w:rsidR="00530130" w:rsidRPr="001B4A02">
        <w:rPr>
          <w:lang w:val="cs-CZ"/>
        </w:rPr>
        <w:t>oroků</w:t>
      </w:r>
      <w:r w:rsidRPr="001B4A02">
        <w:rPr>
          <w:lang w:val="cs-CZ"/>
        </w:rPr>
        <w:t xml:space="preserve"> při 95% intervalu spolehlivosti u</w:t>
      </w:r>
      <w:r w:rsidR="00A37254" w:rsidRPr="001B4A02">
        <w:rPr>
          <w:lang w:val="cs-CZ"/>
        </w:rPr>
        <w:t> </w:t>
      </w:r>
      <w:r w:rsidRPr="001B4A02">
        <w:rPr>
          <w:lang w:val="cs-CZ"/>
        </w:rPr>
        <w:t>pacientů léčených přípravkem Humira</w:t>
      </w:r>
      <w:r w:rsidR="002378E0">
        <w:rPr>
          <w:lang w:val="cs-CZ"/>
        </w:rPr>
        <w:t xml:space="preserve"> a </w:t>
      </w:r>
      <w:r w:rsidRPr="001B4A02">
        <w:rPr>
          <w:lang w:val="cs-CZ"/>
        </w:rPr>
        <w:t>0,6 (0,1</w:t>
      </w:r>
      <w:r w:rsidR="002378E0">
        <w:rPr>
          <w:lang w:val="cs-CZ"/>
        </w:rPr>
        <w:t xml:space="preserve"> a </w:t>
      </w:r>
      <w:r w:rsidRPr="001B4A02">
        <w:rPr>
          <w:lang w:val="cs-CZ"/>
        </w:rPr>
        <w:t>4,5) na 1</w:t>
      </w:r>
      <w:r w:rsidR="00A67B50" w:rsidRPr="001B4A02">
        <w:rPr>
          <w:lang w:val="cs-CZ"/>
        </w:rPr>
        <w:t> </w:t>
      </w:r>
      <w:r w:rsidRPr="001B4A02">
        <w:rPr>
          <w:lang w:val="cs-CZ"/>
        </w:rPr>
        <w:t>000 pacientoroků u kontrolních pacientů. Četnost výskytu lymfomů (95% interval spolehlivosti) byla 0,7 (0,2</w:t>
      </w:r>
      <w:r w:rsidR="002378E0">
        <w:rPr>
          <w:lang w:val="cs-CZ"/>
        </w:rPr>
        <w:t xml:space="preserve"> a </w:t>
      </w:r>
      <w:r w:rsidRPr="001B4A02">
        <w:rPr>
          <w:lang w:val="cs-CZ"/>
        </w:rPr>
        <w:t>2,7) na 1</w:t>
      </w:r>
      <w:r w:rsidR="00A67B50" w:rsidRPr="001B4A02">
        <w:rPr>
          <w:lang w:val="cs-CZ"/>
        </w:rPr>
        <w:t> </w:t>
      </w:r>
      <w:r w:rsidRPr="001B4A02">
        <w:rPr>
          <w:lang w:val="cs-CZ"/>
        </w:rPr>
        <w:t>000 pacientoroků u</w:t>
      </w:r>
      <w:r w:rsidR="00A37254" w:rsidRPr="001B4A02">
        <w:rPr>
          <w:lang w:val="cs-CZ"/>
        </w:rPr>
        <w:t> </w:t>
      </w:r>
      <w:r w:rsidRPr="001B4A02">
        <w:rPr>
          <w:lang w:val="cs-CZ"/>
        </w:rPr>
        <w:t>pacientů léčených přípravkem Humira</w:t>
      </w:r>
      <w:r w:rsidR="002378E0">
        <w:rPr>
          <w:lang w:val="cs-CZ"/>
        </w:rPr>
        <w:t xml:space="preserve"> a </w:t>
      </w:r>
      <w:r w:rsidRPr="001B4A02">
        <w:rPr>
          <w:lang w:val="cs-CZ"/>
        </w:rPr>
        <w:t>0,6 (0,1</w:t>
      </w:r>
      <w:r w:rsidR="002378E0">
        <w:rPr>
          <w:lang w:val="cs-CZ"/>
        </w:rPr>
        <w:t xml:space="preserve"> a </w:t>
      </w:r>
      <w:r w:rsidRPr="001B4A02">
        <w:rPr>
          <w:lang w:val="cs-CZ"/>
        </w:rPr>
        <w:t>4,5) na 1</w:t>
      </w:r>
      <w:r w:rsidR="00A67B50" w:rsidRPr="001B4A02">
        <w:rPr>
          <w:lang w:val="cs-CZ"/>
        </w:rPr>
        <w:t> </w:t>
      </w:r>
      <w:r w:rsidRPr="001B4A02">
        <w:rPr>
          <w:lang w:val="cs-CZ"/>
        </w:rPr>
        <w:t>000 pacient</w:t>
      </w:r>
      <w:r w:rsidR="00545FBD" w:rsidRPr="001B4A02">
        <w:rPr>
          <w:lang w:val="cs-CZ"/>
        </w:rPr>
        <w:t>oroků</w:t>
      </w:r>
      <w:r w:rsidRPr="001B4A02">
        <w:rPr>
          <w:lang w:val="cs-CZ"/>
        </w:rPr>
        <w:t xml:space="preserve"> u kontrolních pacientů.</w:t>
      </w:r>
    </w:p>
    <w:p w14:paraId="6085573C" w14:textId="77777777" w:rsidR="00E45929" w:rsidRPr="001B4A02" w:rsidRDefault="00E45929" w:rsidP="00ED48A3">
      <w:pPr>
        <w:pStyle w:val="EMEANormal"/>
        <w:tabs>
          <w:tab w:val="clear" w:pos="562"/>
        </w:tabs>
        <w:suppressAutoHyphens w:val="0"/>
        <w:rPr>
          <w:szCs w:val="22"/>
          <w:lang w:val="cs-CZ"/>
        </w:rPr>
      </w:pPr>
    </w:p>
    <w:p w14:paraId="76708CEF" w14:textId="77777777" w:rsidR="00E45929" w:rsidRPr="001B4A02" w:rsidRDefault="00000000" w:rsidP="00ED48A3">
      <w:pPr>
        <w:pStyle w:val="EMEANormal"/>
        <w:tabs>
          <w:tab w:val="clear" w:pos="562"/>
        </w:tabs>
        <w:suppressAutoHyphens w:val="0"/>
        <w:rPr>
          <w:szCs w:val="22"/>
          <w:lang w:val="cs-CZ"/>
        </w:rPr>
      </w:pPr>
      <w:r w:rsidRPr="001B4A02">
        <w:rPr>
          <w:szCs w:val="22"/>
          <w:lang w:val="cs-CZ"/>
        </w:rPr>
        <w:t>Když se zkombinují kontrolovaná období těchto studií</w:t>
      </w:r>
      <w:r w:rsidR="002378E0">
        <w:rPr>
          <w:szCs w:val="22"/>
          <w:lang w:val="cs-CZ"/>
        </w:rPr>
        <w:t xml:space="preserve"> a </w:t>
      </w:r>
      <w:r w:rsidRPr="001B4A02">
        <w:rPr>
          <w:szCs w:val="22"/>
          <w:lang w:val="cs-CZ"/>
        </w:rPr>
        <w:t>probíhající</w:t>
      </w:r>
      <w:r w:rsidR="002378E0">
        <w:rPr>
          <w:szCs w:val="22"/>
          <w:lang w:val="cs-CZ"/>
        </w:rPr>
        <w:t xml:space="preserve"> a </w:t>
      </w:r>
      <w:r w:rsidRPr="001B4A02">
        <w:rPr>
          <w:szCs w:val="22"/>
          <w:lang w:val="cs-CZ"/>
        </w:rPr>
        <w:t>ukončené otevřené rozšířené fáze studií s průměrnou délkou trvání přibližně 3,3 roku, zahrnující 6 427 pacientů</w:t>
      </w:r>
      <w:r w:rsidR="002378E0">
        <w:rPr>
          <w:szCs w:val="22"/>
          <w:lang w:val="cs-CZ"/>
        </w:rPr>
        <w:t xml:space="preserve"> a </w:t>
      </w:r>
      <w:r w:rsidRPr="001B4A02">
        <w:rPr>
          <w:szCs w:val="22"/>
          <w:lang w:val="cs-CZ"/>
        </w:rPr>
        <w:t>více než 26 439 pacient</w:t>
      </w:r>
      <w:r w:rsidRPr="001B4A02">
        <w:rPr>
          <w:lang w:val="cs-CZ"/>
        </w:rPr>
        <w:t>oroků</w:t>
      </w:r>
      <w:r w:rsidRPr="001B4A02">
        <w:rPr>
          <w:szCs w:val="22"/>
          <w:lang w:val="cs-CZ"/>
        </w:rPr>
        <w:t xml:space="preserve"> léčby, pak pozorovaná četnost výskytu malignit jiného typu, než jsou lymfomy</w:t>
      </w:r>
      <w:r w:rsidR="002378E0">
        <w:rPr>
          <w:szCs w:val="22"/>
          <w:lang w:val="cs-CZ"/>
        </w:rPr>
        <w:t xml:space="preserve"> a </w:t>
      </w:r>
      <w:r w:rsidRPr="001B4A02">
        <w:rPr>
          <w:szCs w:val="22"/>
          <w:lang w:val="cs-CZ"/>
        </w:rPr>
        <w:t>nemelanomové karcinomy kůže, činí přibližně 8,5</w:t>
      </w:r>
      <w:r w:rsidRPr="001B4A02">
        <w:rPr>
          <w:szCs w:val="22"/>
          <w:shd w:val="clear" w:color="auto" w:fill="FFFFFF"/>
          <w:lang w:val="cs-CZ"/>
        </w:rPr>
        <w:t xml:space="preserve"> na 1</w:t>
      </w:r>
      <w:r w:rsidR="00A67B50" w:rsidRPr="001B4A02">
        <w:rPr>
          <w:szCs w:val="22"/>
          <w:shd w:val="clear" w:color="auto" w:fill="FFFFFF"/>
          <w:lang w:val="cs-CZ"/>
        </w:rPr>
        <w:t> </w:t>
      </w:r>
      <w:r w:rsidRPr="001B4A02">
        <w:rPr>
          <w:szCs w:val="22"/>
          <w:shd w:val="clear" w:color="auto" w:fill="FFFFFF"/>
          <w:lang w:val="cs-CZ"/>
        </w:rPr>
        <w:t>000</w:t>
      </w:r>
      <w:r w:rsidRPr="001B4A02">
        <w:rPr>
          <w:szCs w:val="22"/>
          <w:lang w:val="cs-CZ"/>
        </w:rPr>
        <w:t> pacient</w:t>
      </w:r>
      <w:r w:rsidRPr="001B4A02">
        <w:rPr>
          <w:lang w:val="cs-CZ"/>
        </w:rPr>
        <w:t>oroků</w:t>
      </w:r>
      <w:r w:rsidRPr="001B4A02">
        <w:rPr>
          <w:szCs w:val="22"/>
          <w:lang w:val="cs-CZ"/>
        </w:rPr>
        <w:t>. Pozorovaná četnost výskytu nemelanomového typu kožního karcinomu činí přibližně 9,6</w:t>
      </w:r>
      <w:r w:rsidRPr="001B4A02">
        <w:rPr>
          <w:szCs w:val="22"/>
          <w:shd w:val="clear" w:color="auto" w:fill="FFFFFF"/>
          <w:lang w:val="cs-CZ"/>
        </w:rPr>
        <w:t xml:space="preserve"> na 1</w:t>
      </w:r>
      <w:r w:rsidR="00A67B50" w:rsidRPr="001B4A02">
        <w:rPr>
          <w:szCs w:val="22"/>
          <w:shd w:val="clear" w:color="auto" w:fill="FFFFFF"/>
          <w:lang w:val="cs-CZ"/>
        </w:rPr>
        <w:t> </w:t>
      </w:r>
      <w:r w:rsidRPr="001B4A02">
        <w:rPr>
          <w:szCs w:val="22"/>
          <w:shd w:val="clear" w:color="auto" w:fill="FFFFFF"/>
          <w:lang w:val="cs-CZ"/>
        </w:rPr>
        <w:t>000</w:t>
      </w:r>
      <w:r w:rsidRPr="001B4A02">
        <w:rPr>
          <w:szCs w:val="22"/>
          <w:lang w:val="cs-CZ"/>
        </w:rPr>
        <w:t> pacient</w:t>
      </w:r>
      <w:r w:rsidRPr="001B4A02">
        <w:rPr>
          <w:lang w:val="cs-CZ"/>
        </w:rPr>
        <w:t>oroků</w:t>
      </w:r>
      <w:r w:rsidR="002378E0">
        <w:rPr>
          <w:szCs w:val="22"/>
          <w:lang w:val="cs-CZ"/>
        </w:rPr>
        <w:t xml:space="preserve"> a </w:t>
      </w:r>
      <w:r w:rsidRPr="001B4A02">
        <w:rPr>
          <w:szCs w:val="22"/>
          <w:lang w:val="cs-CZ"/>
        </w:rPr>
        <w:t>pozorovaná četnost lymfomů je přibližně 1,3 na 1</w:t>
      </w:r>
      <w:r w:rsidR="00A67B50" w:rsidRPr="001B4A02">
        <w:rPr>
          <w:szCs w:val="22"/>
          <w:lang w:val="cs-CZ"/>
        </w:rPr>
        <w:t> </w:t>
      </w:r>
      <w:r w:rsidRPr="001B4A02">
        <w:rPr>
          <w:szCs w:val="22"/>
          <w:lang w:val="cs-CZ"/>
        </w:rPr>
        <w:t>000 pacient</w:t>
      </w:r>
      <w:r w:rsidRPr="001B4A02">
        <w:rPr>
          <w:lang w:val="cs-CZ"/>
        </w:rPr>
        <w:t>oroků</w:t>
      </w:r>
      <w:r w:rsidRPr="001B4A02">
        <w:rPr>
          <w:szCs w:val="22"/>
          <w:lang w:val="cs-CZ"/>
        </w:rPr>
        <w:t>.</w:t>
      </w:r>
    </w:p>
    <w:p w14:paraId="56DB9B7E" w14:textId="77777777" w:rsidR="00E45929" w:rsidRPr="001B4A02" w:rsidRDefault="00E45929" w:rsidP="00ED48A3">
      <w:pPr>
        <w:ind w:left="0" w:firstLine="0"/>
      </w:pPr>
    </w:p>
    <w:p w14:paraId="41E9158D" w14:textId="77777777" w:rsidR="00E45929" w:rsidRPr="001B4A02" w:rsidRDefault="00000000" w:rsidP="00ED48A3">
      <w:pPr>
        <w:ind w:left="0" w:firstLine="0"/>
      </w:pPr>
      <w:r w:rsidRPr="001B4A02">
        <w:t>Ve sledování po uvedení přípravku na trh v období od ledna 2003 do prosince 2010,</w:t>
      </w:r>
      <w:r w:rsidR="002378E0">
        <w:t xml:space="preserve"> a </w:t>
      </w:r>
      <w:r w:rsidRPr="001B4A02">
        <w:t xml:space="preserve">to především u pacientů s revmatoidní artritidou, činil výskyt </w:t>
      </w:r>
      <w:r w:rsidRPr="001B4A02">
        <w:rPr>
          <w:szCs w:val="22"/>
          <w:shd w:val="clear" w:color="auto" w:fill="FFFFFF"/>
        </w:rPr>
        <w:t xml:space="preserve">všech </w:t>
      </w:r>
      <w:r w:rsidR="00DE1627">
        <w:rPr>
          <w:szCs w:val="22"/>
          <w:shd w:val="clear" w:color="auto" w:fill="FFFFFF"/>
        </w:rPr>
        <w:t xml:space="preserve">spontánně </w:t>
      </w:r>
      <w:r w:rsidRPr="001B4A02">
        <w:rPr>
          <w:szCs w:val="22"/>
          <w:shd w:val="clear" w:color="auto" w:fill="FFFFFF"/>
        </w:rPr>
        <w:t>hlášených malignit přibližně 2,7 na 1</w:t>
      </w:r>
      <w:r w:rsidR="00A67B50" w:rsidRPr="001B4A02">
        <w:rPr>
          <w:szCs w:val="22"/>
          <w:shd w:val="clear" w:color="auto" w:fill="FFFFFF"/>
        </w:rPr>
        <w:t> </w:t>
      </w:r>
      <w:r w:rsidRPr="001B4A02">
        <w:rPr>
          <w:szCs w:val="22"/>
          <w:shd w:val="clear" w:color="auto" w:fill="FFFFFF"/>
        </w:rPr>
        <w:t>000 </w:t>
      </w:r>
      <w:r w:rsidRPr="001B4A02">
        <w:rPr>
          <w:szCs w:val="22"/>
        </w:rPr>
        <w:t>pacient</w:t>
      </w:r>
      <w:r w:rsidR="00530130" w:rsidRPr="001B4A02">
        <w:rPr>
          <w:szCs w:val="22"/>
        </w:rPr>
        <w:t>oroků</w:t>
      </w:r>
      <w:r w:rsidRPr="001B4A02">
        <w:rPr>
          <w:szCs w:val="22"/>
        </w:rPr>
        <w:t xml:space="preserve"> léčby. </w:t>
      </w:r>
      <w:r w:rsidR="00DE1627">
        <w:rPr>
          <w:szCs w:val="22"/>
        </w:rPr>
        <w:t>Spontánně h</w:t>
      </w:r>
      <w:r w:rsidRPr="001B4A02">
        <w:rPr>
          <w:szCs w:val="22"/>
        </w:rPr>
        <w:t>lášená četnost výskytu u kožního karcinomu nemelanomového typu činila přibližně 0,2</w:t>
      </w:r>
      <w:r w:rsidR="002378E0">
        <w:rPr>
          <w:szCs w:val="22"/>
        </w:rPr>
        <w:t xml:space="preserve"> a </w:t>
      </w:r>
      <w:r w:rsidRPr="001B4A02">
        <w:rPr>
          <w:szCs w:val="22"/>
        </w:rPr>
        <w:t>u lymfomů přibližně 0,3 na 1</w:t>
      </w:r>
      <w:r w:rsidR="00A67B50" w:rsidRPr="001B4A02">
        <w:rPr>
          <w:szCs w:val="22"/>
        </w:rPr>
        <w:t> </w:t>
      </w:r>
      <w:r w:rsidRPr="001B4A02">
        <w:rPr>
          <w:szCs w:val="22"/>
        </w:rPr>
        <w:t>000 pacient</w:t>
      </w:r>
      <w:r w:rsidRPr="001B4A02">
        <w:t>oroků</w:t>
      </w:r>
      <w:r w:rsidRPr="001B4A02">
        <w:rPr>
          <w:szCs w:val="22"/>
        </w:rPr>
        <w:t xml:space="preserve"> léčby (viz bod 4.4).</w:t>
      </w:r>
      <w:r w:rsidRPr="001B4A02">
        <w:t xml:space="preserve"> </w:t>
      </w:r>
    </w:p>
    <w:p w14:paraId="25ECA7D4" w14:textId="77777777" w:rsidR="00E45929" w:rsidRPr="001B4A02" w:rsidRDefault="00E45929" w:rsidP="00ED48A3">
      <w:pPr>
        <w:ind w:left="0" w:firstLine="0"/>
        <w:rPr>
          <w:u w:val="single"/>
        </w:rPr>
      </w:pPr>
    </w:p>
    <w:p w14:paraId="02EF2F2F" w14:textId="77777777" w:rsidR="00E45929" w:rsidRPr="001B4A02" w:rsidRDefault="00000000" w:rsidP="00ED48A3">
      <w:pPr>
        <w:ind w:left="0" w:firstLine="0"/>
        <w:rPr>
          <w:u w:val="single"/>
        </w:rPr>
      </w:pPr>
      <w:r w:rsidRPr="001B4A02">
        <w:t>U</w:t>
      </w:r>
      <w:r w:rsidR="00A37254" w:rsidRPr="001B4A02">
        <w:t> </w:t>
      </w:r>
      <w:r w:rsidRPr="001B4A02">
        <w:t>pacientů léčených adalimumabem byly hlášeny vzácné postmarketingové případy hepatosplenického T-buněčného lymfomu (viz bod 4.4).</w:t>
      </w:r>
    </w:p>
    <w:p w14:paraId="2CF1D646" w14:textId="77777777" w:rsidR="00E45929" w:rsidRPr="001B4A02" w:rsidRDefault="00E45929" w:rsidP="00ED48A3">
      <w:pPr>
        <w:ind w:left="0" w:firstLine="0"/>
        <w:rPr>
          <w:u w:val="single"/>
        </w:rPr>
      </w:pPr>
    </w:p>
    <w:p w14:paraId="54B5F7C0" w14:textId="77777777" w:rsidR="00E45929" w:rsidRPr="001B4A02" w:rsidRDefault="00000000" w:rsidP="00ED48A3">
      <w:pPr>
        <w:keepNext/>
        <w:ind w:left="0" w:firstLine="0"/>
        <w:rPr>
          <w:i/>
        </w:rPr>
      </w:pPr>
      <w:r w:rsidRPr="001B4A02">
        <w:rPr>
          <w:i/>
        </w:rPr>
        <w:t>Autoprotilátky</w:t>
      </w:r>
    </w:p>
    <w:p w14:paraId="63EE53B2" w14:textId="77777777" w:rsidR="00E45929" w:rsidRPr="001B4A02" w:rsidRDefault="00E45929" w:rsidP="00ED48A3">
      <w:pPr>
        <w:keepNext/>
        <w:ind w:left="0" w:firstLine="0"/>
      </w:pPr>
    </w:p>
    <w:p w14:paraId="490DB06D" w14:textId="77777777" w:rsidR="00E45929" w:rsidRPr="001B4A02" w:rsidRDefault="00000000" w:rsidP="00ED48A3">
      <w:pPr>
        <w:ind w:left="0" w:firstLine="0"/>
      </w:pPr>
      <w:r w:rsidRPr="001B4A02">
        <w:t>U pacientů bylo prováděno vyšetření na autoprotilátky v různých časových intervalech studií I–V s revmatoidní artritidou. V těchto studiích byly u 11,9</w:t>
      </w:r>
      <w:r w:rsidR="00D35031" w:rsidRPr="001B4A02">
        <w:t> </w:t>
      </w:r>
      <w:r w:rsidRPr="001B4A02">
        <w:t>% pacientů léčených přípravkem Humira</w:t>
      </w:r>
      <w:r w:rsidR="002378E0">
        <w:t xml:space="preserve"> a </w:t>
      </w:r>
      <w:r w:rsidRPr="001B4A02">
        <w:t>u 8,1</w:t>
      </w:r>
      <w:r w:rsidR="00D35031" w:rsidRPr="001B4A02">
        <w:t> </w:t>
      </w:r>
      <w:r w:rsidRPr="001B4A02">
        <w:t>% pacientů léčených placebem</w:t>
      </w:r>
      <w:r w:rsidR="002378E0">
        <w:t xml:space="preserve"> a </w:t>
      </w:r>
      <w:r w:rsidRPr="001B4A02">
        <w:t xml:space="preserve">aktivní kontrolou, kteří měli negativní výchozí titry antinukleárních protilátek, zjištěny pozitivní titry </w:t>
      </w:r>
      <w:r w:rsidR="00D00F8F">
        <w:t>v</w:t>
      </w:r>
      <w:r w:rsidR="00390F17" w:rsidRPr="001B4A02">
        <w:t> </w:t>
      </w:r>
      <w:r w:rsidR="00D00F8F">
        <w:t>týdnu 24</w:t>
      </w:r>
      <w:r w:rsidRPr="001B4A02">
        <w:t xml:space="preserve"> léčby. U dvou pacientů z 3</w:t>
      </w:r>
      <w:r w:rsidR="00A67B50" w:rsidRPr="001B4A02">
        <w:t> </w:t>
      </w:r>
      <w:r w:rsidRPr="001B4A02">
        <w:t>441 nemocných léčených přípravkem Humira ve všech studiích s revmatoidní</w:t>
      </w:r>
      <w:r w:rsidR="002378E0">
        <w:t xml:space="preserve"> a </w:t>
      </w:r>
      <w:r w:rsidRPr="001B4A02">
        <w:t>psoriatickou artritidou došlo k rozvoji klinických příznaků naznačujících možnost nového vzniku syndromu podobnému lupusu. Po vysazení léčby došlo u</w:t>
      </w:r>
      <w:r w:rsidR="00D35031" w:rsidRPr="001B4A02">
        <w:t> </w:t>
      </w:r>
      <w:r w:rsidRPr="001B4A02">
        <w:t>těchto pacientů ke zlepšení. U žádného pacienta nedošlo k rozvoji lupózní nefritidy či symptomů postižení centrálního nervového systému.</w:t>
      </w:r>
    </w:p>
    <w:p w14:paraId="2D361A7E" w14:textId="77777777" w:rsidR="00E45929" w:rsidRPr="001B4A02" w:rsidRDefault="00E45929" w:rsidP="00ED48A3">
      <w:pPr>
        <w:ind w:left="0" w:firstLine="0"/>
      </w:pPr>
    </w:p>
    <w:p w14:paraId="0FA325E6" w14:textId="77777777" w:rsidR="00E45929" w:rsidRPr="001B4A02" w:rsidRDefault="00000000" w:rsidP="00ED48A3">
      <w:pPr>
        <w:keepNext/>
        <w:jc w:val="both"/>
        <w:rPr>
          <w:i/>
          <w:szCs w:val="22"/>
        </w:rPr>
      </w:pPr>
      <w:r w:rsidRPr="001B4A02">
        <w:rPr>
          <w:i/>
          <w:szCs w:val="22"/>
        </w:rPr>
        <w:t>Hepatobiliá</w:t>
      </w:r>
      <w:r w:rsidR="00C114D7" w:rsidRPr="001B4A02">
        <w:rPr>
          <w:i/>
          <w:szCs w:val="22"/>
        </w:rPr>
        <w:t>r</w:t>
      </w:r>
      <w:r w:rsidRPr="001B4A02">
        <w:rPr>
          <w:i/>
          <w:szCs w:val="22"/>
        </w:rPr>
        <w:t>ní poruchy</w:t>
      </w:r>
    </w:p>
    <w:p w14:paraId="00F19F08" w14:textId="77777777" w:rsidR="00E45929" w:rsidRPr="001B4A02" w:rsidRDefault="00E45929" w:rsidP="00ED48A3">
      <w:pPr>
        <w:keepNext/>
        <w:jc w:val="both"/>
        <w:rPr>
          <w:szCs w:val="22"/>
          <w:u w:val="single"/>
        </w:rPr>
      </w:pPr>
    </w:p>
    <w:p w14:paraId="506EAB68" w14:textId="77777777" w:rsidR="00E45929" w:rsidRPr="001B4A02" w:rsidRDefault="00000000" w:rsidP="00ED48A3">
      <w:pPr>
        <w:pStyle w:val="EMEANormal"/>
        <w:tabs>
          <w:tab w:val="clear" w:pos="562"/>
          <w:tab w:val="left" w:pos="708"/>
        </w:tabs>
        <w:suppressAutoHyphens w:val="0"/>
        <w:rPr>
          <w:iCs/>
          <w:shd w:val="clear" w:color="auto" w:fill="FFFFFF"/>
          <w:lang w:val="cs-CZ"/>
        </w:rPr>
      </w:pPr>
      <w:r w:rsidRPr="001B4A02">
        <w:rPr>
          <w:szCs w:val="22"/>
          <w:lang w:val="cs-CZ"/>
        </w:rPr>
        <w:t xml:space="preserve">V kontrolovaných klinických studiích fáze </w:t>
      </w:r>
      <w:r w:rsidR="005A2758" w:rsidRPr="001B4A02">
        <w:rPr>
          <w:szCs w:val="22"/>
          <w:lang w:val="cs-CZ"/>
        </w:rPr>
        <w:t>3</w:t>
      </w:r>
      <w:r w:rsidRPr="001B4A02">
        <w:rPr>
          <w:szCs w:val="22"/>
          <w:lang w:val="cs-CZ"/>
        </w:rPr>
        <w:t xml:space="preserve"> s přípravkem Humira, </w:t>
      </w:r>
      <w:r w:rsidRPr="001B4A02">
        <w:rPr>
          <w:szCs w:val="22"/>
          <w:shd w:val="clear" w:color="auto" w:fill="FFFFFF"/>
          <w:lang w:val="cs-CZ"/>
        </w:rPr>
        <w:t>zaměřených na revmatoidní artritidu</w:t>
      </w:r>
      <w:r w:rsidR="002378E0">
        <w:rPr>
          <w:szCs w:val="22"/>
          <w:shd w:val="clear" w:color="auto" w:fill="FFFFFF"/>
          <w:lang w:val="cs-CZ"/>
        </w:rPr>
        <w:t xml:space="preserve"> a </w:t>
      </w:r>
      <w:r w:rsidRPr="001B4A02">
        <w:rPr>
          <w:szCs w:val="22"/>
          <w:shd w:val="clear" w:color="auto" w:fill="FFFFFF"/>
          <w:lang w:val="cs-CZ"/>
        </w:rPr>
        <w:t xml:space="preserve">psoriatickou artritidu, se po sledovanou dobu trvání v rozmezí od 4 do 104 týdnů objevilo zvýšení ALT </w:t>
      </w:r>
      <w:r w:rsidRPr="001B4A02">
        <w:rPr>
          <w:lang w:val="cs-CZ"/>
        </w:rPr>
        <w:t>≥ 3 x ULN</w:t>
      </w:r>
      <w:r w:rsidRPr="001B4A02">
        <w:rPr>
          <w:szCs w:val="22"/>
          <w:shd w:val="clear" w:color="auto" w:fill="FFFFFF"/>
          <w:lang w:val="cs-CZ"/>
        </w:rPr>
        <w:t xml:space="preserve"> u</w:t>
      </w:r>
      <w:r w:rsidR="00D35031" w:rsidRPr="001B4A02">
        <w:rPr>
          <w:szCs w:val="22"/>
          <w:shd w:val="clear" w:color="auto" w:fill="FFFFFF"/>
          <w:lang w:val="cs-CZ"/>
        </w:rPr>
        <w:t> </w:t>
      </w:r>
      <w:r w:rsidRPr="001B4A02">
        <w:rPr>
          <w:szCs w:val="22"/>
          <w:shd w:val="clear" w:color="auto" w:fill="FFFFFF"/>
          <w:lang w:val="cs-CZ"/>
        </w:rPr>
        <w:t>3,7</w:t>
      </w:r>
      <w:r w:rsidR="00D35031" w:rsidRPr="001B4A02">
        <w:rPr>
          <w:szCs w:val="22"/>
          <w:shd w:val="clear" w:color="auto" w:fill="FFFFFF"/>
          <w:lang w:val="cs-CZ"/>
        </w:rPr>
        <w:t> </w:t>
      </w:r>
      <w:r w:rsidRPr="001B4A02">
        <w:rPr>
          <w:szCs w:val="22"/>
          <w:shd w:val="clear" w:color="auto" w:fill="FFFFFF"/>
          <w:lang w:val="cs-CZ"/>
        </w:rPr>
        <w:t>% pacientů léčených přípravkem Humira</w:t>
      </w:r>
      <w:r w:rsidR="002378E0">
        <w:rPr>
          <w:szCs w:val="22"/>
          <w:shd w:val="clear" w:color="auto" w:fill="FFFFFF"/>
          <w:lang w:val="cs-CZ"/>
        </w:rPr>
        <w:t xml:space="preserve"> a </w:t>
      </w:r>
      <w:r w:rsidRPr="001B4A02">
        <w:rPr>
          <w:szCs w:val="22"/>
          <w:shd w:val="clear" w:color="auto" w:fill="FFFFFF"/>
          <w:lang w:val="cs-CZ"/>
        </w:rPr>
        <w:t>u</w:t>
      </w:r>
      <w:r w:rsidR="00D35031" w:rsidRPr="001B4A02">
        <w:rPr>
          <w:szCs w:val="22"/>
          <w:shd w:val="clear" w:color="auto" w:fill="FFFFFF"/>
          <w:lang w:val="cs-CZ"/>
        </w:rPr>
        <w:t> </w:t>
      </w:r>
      <w:r w:rsidRPr="001B4A02">
        <w:rPr>
          <w:szCs w:val="22"/>
          <w:shd w:val="clear" w:color="auto" w:fill="FFFFFF"/>
          <w:lang w:val="cs-CZ"/>
        </w:rPr>
        <w:t>1,6</w:t>
      </w:r>
      <w:r w:rsidR="00D35031" w:rsidRPr="001B4A02">
        <w:rPr>
          <w:szCs w:val="22"/>
          <w:shd w:val="clear" w:color="auto" w:fill="FFFFFF"/>
          <w:lang w:val="cs-CZ"/>
        </w:rPr>
        <w:t> </w:t>
      </w:r>
      <w:r w:rsidRPr="001B4A02">
        <w:rPr>
          <w:szCs w:val="22"/>
          <w:shd w:val="clear" w:color="auto" w:fill="FFFFFF"/>
          <w:lang w:val="cs-CZ"/>
        </w:rPr>
        <w:t>% pacientů léčených kontrolním přípravkem.</w:t>
      </w:r>
    </w:p>
    <w:p w14:paraId="40B282C8" w14:textId="77777777" w:rsidR="00E45929" w:rsidRPr="001B4A02" w:rsidRDefault="00E45929" w:rsidP="00ED48A3">
      <w:pPr>
        <w:pStyle w:val="EMEANormal"/>
        <w:shd w:val="clear" w:color="auto" w:fill="FFFFFF"/>
        <w:rPr>
          <w:szCs w:val="22"/>
          <w:shd w:val="clear" w:color="auto" w:fill="FFFFFF"/>
          <w:lang w:val="cs-CZ"/>
        </w:rPr>
      </w:pPr>
    </w:p>
    <w:p w14:paraId="1B501B55" w14:textId="77777777" w:rsidR="00E45929" w:rsidRPr="001B4A02" w:rsidRDefault="00000000" w:rsidP="00ED48A3">
      <w:pPr>
        <w:pStyle w:val="EMEANormal"/>
        <w:shd w:val="clear" w:color="auto" w:fill="FFFFFF"/>
        <w:rPr>
          <w:shd w:val="clear" w:color="auto" w:fill="FFFFFF"/>
          <w:lang w:val="cs-CZ"/>
        </w:rPr>
      </w:pPr>
      <w:r w:rsidRPr="001B4A02">
        <w:rPr>
          <w:shd w:val="clear" w:color="auto" w:fill="FFFFFF"/>
          <w:lang w:val="cs-CZ"/>
        </w:rPr>
        <w:t xml:space="preserve">V kontrolovaných </w:t>
      </w:r>
      <w:r w:rsidR="00D35031" w:rsidRPr="001B4A02">
        <w:rPr>
          <w:szCs w:val="22"/>
          <w:lang w:val="cs-CZ"/>
        </w:rPr>
        <w:t xml:space="preserve">klinických </w:t>
      </w:r>
      <w:r w:rsidRPr="001B4A02">
        <w:rPr>
          <w:shd w:val="clear" w:color="auto" w:fill="FFFFFF"/>
          <w:lang w:val="cs-CZ"/>
        </w:rPr>
        <w:t>studiích fáze 3 s </w:t>
      </w:r>
      <w:r w:rsidR="00C223B0" w:rsidRPr="001B4A02">
        <w:rPr>
          <w:szCs w:val="22"/>
          <w:lang w:val="cs-CZ"/>
        </w:rPr>
        <w:t xml:space="preserve">přípravkem </w:t>
      </w:r>
      <w:r w:rsidRPr="001B4A02">
        <w:rPr>
          <w:shd w:val="clear" w:color="auto" w:fill="FFFFFF"/>
          <w:lang w:val="cs-CZ"/>
        </w:rPr>
        <w:t>Humir</w:t>
      </w:r>
      <w:r w:rsidR="00C223B0" w:rsidRPr="001B4A02">
        <w:rPr>
          <w:shd w:val="clear" w:color="auto" w:fill="FFFFFF"/>
          <w:lang w:val="cs-CZ"/>
        </w:rPr>
        <w:t>a</w:t>
      </w:r>
      <w:r w:rsidRPr="001B4A02">
        <w:rPr>
          <w:shd w:val="clear" w:color="auto" w:fill="FFFFFF"/>
          <w:lang w:val="cs-CZ"/>
        </w:rPr>
        <w:t xml:space="preserve"> u</w:t>
      </w:r>
      <w:r w:rsidR="00D35031" w:rsidRPr="001B4A02">
        <w:rPr>
          <w:shd w:val="clear" w:color="auto" w:fill="FFFFFF"/>
          <w:lang w:val="cs-CZ"/>
        </w:rPr>
        <w:t> </w:t>
      </w:r>
      <w:r w:rsidRPr="001B4A02">
        <w:rPr>
          <w:shd w:val="clear" w:color="auto" w:fill="FFFFFF"/>
          <w:lang w:val="cs-CZ"/>
        </w:rPr>
        <w:t xml:space="preserve">pacientů s polyartikulární juvenilní idiopatickou artritidou ve věku 4 </w:t>
      </w:r>
      <w:r w:rsidR="00451F21" w:rsidRPr="001B4A02">
        <w:rPr>
          <w:shd w:val="clear" w:color="auto" w:fill="FFFFFF"/>
          <w:lang w:val="cs-CZ"/>
        </w:rPr>
        <w:t>až</w:t>
      </w:r>
      <w:r w:rsidRPr="001B4A02">
        <w:rPr>
          <w:shd w:val="clear" w:color="auto" w:fill="FFFFFF"/>
          <w:lang w:val="cs-CZ"/>
        </w:rPr>
        <w:t xml:space="preserve"> 17 let</w:t>
      </w:r>
      <w:r w:rsidR="002378E0">
        <w:rPr>
          <w:shd w:val="clear" w:color="auto" w:fill="FFFFFF"/>
          <w:lang w:val="cs-CZ"/>
        </w:rPr>
        <w:t xml:space="preserve"> a </w:t>
      </w:r>
      <w:r w:rsidRPr="001B4A02">
        <w:rPr>
          <w:shd w:val="clear" w:color="auto" w:fill="FFFFFF"/>
          <w:lang w:val="cs-CZ"/>
        </w:rPr>
        <w:t>entezopatickou</w:t>
      </w:r>
      <w:r w:rsidR="00D35031" w:rsidRPr="001B4A02">
        <w:rPr>
          <w:shd w:val="clear" w:color="auto" w:fill="FFFFFF"/>
          <w:lang w:val="cs-CZ"/>
        </w:rPr>
        <w:t xml:space="preserve"> </w:t>
      </w:r>
      <w:r w:rsidRPr="001B4A02">
        <w:rPr>
          <w:shd w:val="clear" w:color="auto" w:fill="FFFFFF"/>
          <w:lang w:val="cs-CZ"/>
        </w:rPr>
        <w:t xml:space="preserve">artritidou ve věku 6 </w:t>
      </w:r>
      <w:r w:rsidR="00451F21" w:rsidRPr="001B4A02">
        <w:rPr>
          <w:shd w:val="clear" w:color="auto" w:fill="FFFFFF"/>
          <w:lang w:val="cs-CZ"/>
        </w:rPr>
        <w:t>až</w:t>
      </w:r>
      <w:r w:rsidRPr="001B4A02">
        <w:rPr>
          <w:shd w:val="clear" w:color="auto" w:fill="FFFFFF"/>
          <w:lang w:val="cs-CZ"/>
        </w:rPr>
        <w:t xml:space="preserve"> 17 let se </w:t>
      </w:r>
      <w:r w:rsidR="00D35031" w:rsidRPr="001B4A02">
        <w:rPr>
          <w:szCs w:val="22"/>
          <w:shd w:val="clear" w:color="auto" w:fill="FFFFFF"/>
          <w:lang w:val="cs-CZ"/>
        </w:rPr>
        <w:t>objevilo zvýšení</w:t>
      </w:r>
      <w:r w:rsidRPr="001B4A02">
        <w:rPr>
          <w:shd w:val="clear" w:color="auto" w:fill="FFFFFF"/>
          <w:lang w:val="cs-CZ"/>
        </w:rPr>
        <w:t xml:space="preserve"> ALT </w:t>
      </w:r>
      <w:r w:rsidRPr="001B4A02">
        <w:rPr>
          <w:iCs/>
          <w:lang w:val="cs-CZ"/>
        </w:rPr>
        <w:t>≥ 3 x ULN u</w:t>
      </w:r>
      <w:r w:rsidR="00D35031" w:rsidRPr="001B4A02">
        <w:rPr>
          <w:iCs/>
          <w:lang w:val="cs-CZ"/>
        </w:rPr>
        <w:t> </w:t>
      </w:r>
      <w:r w:rsidRPr="001B4A02">
        <w:rPr>
          <w:iCs/>
          <w:lang w:val="cs-CZ"/>
        </w:rPr>
        <w:t>6,1</w:t>
      </w:r>
      <w:r w:rsidR="00D35031" w:rsidRPr="001B4A02">
        <w:rPr>
          <w:iCs/>
          <w:lang w:val="cs-CZ"/>
        </w:rPr>
        <w:t> </w:t>
      </w:r>
      <w:r w:rsidRPr="001B4A02">
        <w:rPr>
          <w:iCs/>
          <w:lang w:val="cs-CZ"/>
        </w:rPr>
        <w:t xml:space="preserve">% pacientů léčených </w:t>
      </w:r>
      <w:r w:rsidR="00C223B0" w:rsidRPr="001B4A02">
        <w:rPr>
          <w:szCs w:val="22"/>
          <w:lang w:val="cs-CZ"/>
        </w:rPr>
        <w:t xml:space="preserve">přípravkem </w:t>
      </w:r>
      <w:r w:rsidRPr="001B4A02">
        <w:rPr>
          <w:iCs/>
          <w:lang w:val="cs-CZ"/>
        </w:rPr>
        <w:t>Humir</w:t>
      </w:r>
      <w:r w:rsidR="00C223B0" w:rsidRPr="001B4A02">
        <w:rPr>
          <w:iCs/>
          <w:lang w:val="cs-CZ"/>
        </w:rPr>
        <w:t>a</w:t>
      </w:r>
      <w:r w:rsidR="002378E0">
        <w:rPr>
          <w:iCs/>
          <w:lang w:val="cs-CZ"/>
        </w:rPr>
        <w:t xml:space="preserve"> a </w:t>
      </w:r>
      <w:r w:rsidRPr="001B4A02">
        <w:rPr>
          <w:iCs/>
          <w:lang w:val="cs-CZ"/>
        </w:rPr>
        <w:t>u</w:t>
      </w:r>
      <w:r w:rsidR="00D35031" w:rsidRPr="001B4A02">
        <w:rPr>
          <w:iCs/>
          <w:lang w:val="cs-CZ"/>
        </w:rPr>
        <w:t> </w:t>
      </w:r>
      <w:r w:rsidRPr="001B4A02">
        <w:rPr>
          <w:iCs/>
          <w:lang w:val="cs-CZ"/>
        </w:rPr>
        <w:t>1,3</w:t>
      </w:r>
      <w:r w:rsidR="00D35031" w:rsidRPr="001B4A02">
        <w:rPr>
          <w:iCs/>
          <w:lang w:val="cs-CZ"/>
        </w:rPr>
        <w:t> </w:t>
      </w:r>
      <w:r w:rsidRPr="001B4A02">
        <w:rPr>
          <w:iCs/>
          <w:lang w:val="cs-CZ"/>
        </w:rPr>
        <w:t>% pacientů léčených v</w:t>
      </w:r>
      <w:r w:rsidR="00D35031" w:rsidRPr="001B4A02">
        <w:rPr>
          <w:iCs/>
          <w:lang w:val="cs-CZ"/>
        </w:rPr>
        <w:t> </w:t>
      </w:r>
      <w:r w:rsidRPr="001B4A02">
        <w:rPr>
          <w:iCs/>
          <w:lang w:val="cs-CZ"/>
        </w:rPr>
        <w:t xml:space="preserve">kontrolní skupině. Ve většině případů se zvýšení ALT vyskytlo při současném podávání methotrexátu. Žádné zvýšení ALT ≥ 3 x ULN se nevyskytlo ve fázi </w:t>
      </w:r>
      <w:r w:rsidR="00D35031" w:rsidRPr="001B4A02">
        <w:rPr>
          <w:iCs/>
          <w:lang w:val="cs-CZ"/>
        </w:rPr>
        <w:t>3</w:t>
      </w:r>
      <w:r w:rsidRPr="001B4A02">
        <w:rPr>
          <w:iCs/>
          <w:lang w:val="cs-CZ"/>
        </w:rPr>
        <w:t xml:space="preserve"> klinické studie s</w:t>
      </w:r>
      <w:r w:rsidR="00D35031" w:rsidRPr="001B4A02">
        <w:rPr>
          <w:iCs/>
          <w:lang w:val="cs-CZ"/>
        </w:rPr>
        <w:t xml:space="preserve"> přípravkem </w:t>
      </w:r>
      <w:r w:rsidRPr="001B4A02">
        <w:rPr>
          <w:iCs/>
          <w:lang w:val="cs-CZ"/>
        </w:rPr>
        <w:t>Humir</w:t>
      </w:r>
      <w:r w:rsidR="00D35031" w:rsidRPr="001B4A02">
        <w:rPr>
          <w:iCs/>
          <w:lang w:val="cs-CZ"/>
        </w:rPr>
        <w:t>a</w:t>
      </w:r>
      <w:r w:rsidRPr="001B4A02">
        <w:rPr>
          <w:iCs/>
          <w:lang w:val="cs-CZ"/>
        </w:rPr>
        <w:t xml:space="preserve"> u</w:t>
      </w:r>
      <w:r w:rsidR="00D35031" w:rsidRPr="001B4A02">
        <w:rPr>
          <w:iCs/>
          <w:lang w:val="cs-CZ"/>
        </w:rPr>
        <w:t> </w:t>
      </w:r>
      <w:r w:rsidRPr="001B4A02">
        <w:rPr>
          <w:iCs/>
          <w:lang w:val="cs-CZ"/>
        </w:rPr>
        <w:t>pacientů s</w:t>
      </w:r>
      <w:r w:rsidR="00D35031" w:rsidRPr="001B4A02">
        <w:rPr>
          <w:iCs/>
          <w:lang w:val="cs-CZ"/>
        </w:rPr>
        <w:t> </w:t>
      </w:r>
      <w:r w:rsidRPr="001B4A02">
        <w:rPr>
          <w:iCs/>
          <w:lang w:val="cs-CZ"/>
        </w:rPr>
        <w:t xml:space="preserve">polyartikulární juvenilní idiopatickou artritidou ve věku 2 </w:t>
      </w:r>
      <w:r w:rsidR="00451F21" w:rsidRPr="001B4A02">
        <w:rPr>
          <w:shd w:val="clear" w:color="auto" w:fill="FFFFFF"/>
          <w:lang w:val="cs-CZ"/>
        </w:rPr>
        <w:t>až</w:t>
      </w:r>
      <w:r w:rsidRPr="001B4A02">
        <w:rPr>
          <w:iCs/>
          <w:lang w:val="cs-CZ"/>
        </w:rPr>
        <w:t xml:space="preserve"> </w:t>
      </w:r>
      <w:r w:rsidRPr="001B4A02">
        <w:rPr>
          <w:lang w:val="cs-CZ"/>
        </w:rPr>
        <w:t xml:space="preserve">&lt; </w:t>
      </w:r>
      <w:r w:rsidRPr="001B4A02">
        <w:rPr>
          <w:iCs/>
          <w:lang w:val="cs-CZ"/>
        </w:rPr>
        <w:t>4 let.</w:t>
      </w:r>
    </w:p>
    <w:p w14:paraId="6B355C33" w14:textId="77777777" w:rsidR="00A67B50" w:rsidRPr="001B4A02" w:rsidRDefault="00A67B50" w:rsidP="00ED48A3">
      <w:pPr>
        <w:pStyle w:val="EMEANormal"/>
        <w:shd w:val="clear" w:color="auto" w:fill="FFFFFF"/>
        <w:rPr>
          <w:shd w:val="clear" w:color="auto" w:fill="FFFFFF"/>
          <w:lang w:val="cs-CZ"/>
        </w:rPr>
      </w:pPr>
    </w:p>
    <w:p w14:paraId="791F05F0" w14:textId="77777777" w:rsidR="00E45929" w:rsidRPr="001B4A02" w:rsidRDefault="00000000" w:rsidP="00ED48A3">
      <w:pPr>
        <w:pStyle w:val="EMEANormal"/>
        <w:shd w:val="clear" w:color="auto" w:fill="FFFFFF"/>
        <w:rPr>
          <w:shd w:val="clear" w:color="auto" w:fill="FFFFFF"/>
          <w:lang w:val="cs-CZ"/>
        </w:rPr>
      </w:pPr>
      <w:r w:rsidRPr="001B4A02">
        <w:rPr>
          <w:shd w:val="clear" w:color="auto" w:fill="FFFFFF"/>
          <w:lang w:val="cs-CZ"/>
        </w:rPr>
        <w:t xml:space="preserve">V kontrolovaných klinických studiích fáze </w:t>
      </w:r>
      <w:r w:rsidR="005A2758" w:rsidRPr="001B4A02">
        <w:rPr>
          <w:shd w:val="clear" w:color="auto" w:fill="FFFFFF"/>
          <w:lang w:val="cs-CZ"/>
        </w:rPr>
        <w:t>3</w:t>
      </w:r>
      <w:r w:rsidRPr="001B4A02">
        <w:rPr>
          <w:shd w:val="clear" w:color="auto" w:fill="FFFFFF"/>
          <w:lang w:val="cs-CZ"/>
        </w:rPr>
        <w:t xml:space="preserve"> s přípravkem Humira u</w:t>
      </w:r>
      <w:r w:rsidR="00D35031" w:rsidRPr="001B4A02">
        <w:rPr>
          <w:shd w:val="clear" w:color="auto" w:fill="FFFFFF"/>
          <w:lang w:val="cs-CZ"/>
        </w:rPr>
        <w:t> </w:t>
      </w:r>
      <w:r w:rsidRPr="001B4A02">
        <w:rPr>
          <w:shd w:val="clear" w:color="auto" w:fill="FFFFFF"/>
          <w:lang w:val="cs-CZ"/>
        </w:rPr>
        <w:t xml:space="preserve">pacientů s Crohnovou </w:t>
      </w:r>
      <w:r w:rsidR="00C3156D" w:rsidRPr="001B4A02">
        <w:rPr>
          <w:shd w:val="clear" w:color="auto" w:fill="FFFFFF"/>
          <w:lang w:val="cs-CZ"/>
        </w:rPr>
        <w:t>chorobou</w:t>
      </w:r>
      <w:r w:rsidR="002378E0">
        <w:rPr>
          <w:shd w:val="clear" w:color="auto" w:fill="FFFFFF"/>
          <w:lang w:val="cs-CZ"/>
        </w:rPr>
        <w:t xml:space="preserve"> a </w:t>
      </w:r>
      <w:r w:rsidRPr="001B4A02">
        <w:rPr>
          <w:shd w:val="clear" w:color="auto" w:fill="FFFFFF"/>
          <w:lang w:val="cs-CZ"/>
        </w:rPr>
        <w:t xml:space="preserve">ulcerózní kolitidou se po sledovanou dobu trvání v rozmezí od 4 do 52 týdnů objevilo zvýšení </w:t>
      </w:r>
      <w:r w:rsidRPr="001B4A02">
        <w:rPr>
          <w:szCs w:val="22"/>
          <w:shd w:val="clear" w:color="auto" w:fill="FFFFFF"/>
          <w:lang w:val="cs-CZ"/>
        </w:rPr>
        <w:t xml:space="preserve">ALT </w:t>
      </w:r>
      <w:r w:rsidRPr="001B4A02">
        <w:rPr>
          <w:lang w:val="cs-CZ"/>
        </w:rPr>
        <w:t>≥</w:t>
      </w:r>
      <w:r w:rsidR="004C2FD7" w:rsidRPr="001B4A02">
        <w:rPr>
          <w:lang w:val="cs-CZ"/>
        </w:rPr>
        <w:t> </w:t>
      </w:r>
      <w:r w:rsidRPr="001B4A02">
        <w:rPr>
          <w:lang w:val="cs-CZ"/>
        </w:rPr>
        <w:t>3 x ULN</w:t>
      </w:r>
      <w:r w:rsidRPr="001B4A02">
        <w:rPr>
          <w:szCs w:val="22"/>
          <w:shd w:val="clear" w:color="auto" w:fill="FFFFFF"/>
          <w:lang w:val="cs-CZ"/>
        </w:rPr>
        <w:t xml:space="preserve"> u</w:t>
      </w:r>
      <w:r w:rsidR="00D35031" w:rsidRPr="001B4A02">
        <w:rPr>
          <w:szCs w:val="22"/>
          <w:shd w:val="clear" w:color="auto" w:fill="FFFFFF"/>
          <w:lang w:val="cs-CZ"/>
        </w:rPr>
        <w:t> </w:t>
      </w:r>
      <w:r w:rsidRPr="001B4A02">
        <w:rPr>
          <w:szCs w:val="22"/>
          <w:shd w:val="clear" w:color="auto" w:fill="FFFFFF"/>
          <w:lang w:val="cs-CZ"/>
        </w:rPr>
        <w:t>0,9</w:t>
      </w:r>
      <w:r w:rsidR="00D35031" w:rsidRPr="001B4A02">
        <w:rPr>
          <w:szCs w:val="22"/>
          <w:shd w:val="clear" w:color="auto" w:fill="FFFFFF"/>
          <w:lang w:val="cs-CZ"/>
        </w:rPr>
        <w:t> </w:t>
      </w:r>
      <w:r w:rsidRPr="001B4A02">
        <w:rPr>
          <w:szCs w:val="22"/>
          <w:shd w:val="clear" w:color="auto" w:fill="FFFFFF"/>
          <w:lang w:val="cs-CZ"/>
        </w:rPr>
        <w:t>% pacientů léčených přípravkem Humira</w:t>
      </w:r>
      <w:r w:rsidR="002378E0">
        <w:rPr>
          <w:szCs w:val="22"/>
          <w:shd w:val="clear" w:color="auto" w:fill="FFFFFF"/>
          <w:lang w:val="cs-CZ"/>
        </w:rPr>
        <w:t xml:space="preserve"> a </w:t>
      </w:r>
      <w:r w:rsidRPr="001B4A02">
        <w:rPr>
          <w:szCs w:val="22"/>
          <w:shd w:val="clear" w:color="auto" w:fill="FFFFFF"/>
          <w:lang w:val="cs-CZ"/>
        </w:rPr>
        <w:t>u</w:t>
      </w:r>
      <w:r w:rsidR="00D35031" w:rsidRPr="001B4A02">
        <w:rPr>
          <w:szCs w:val="22"/>
          <w:shd w:val="clear" w:color="auto" w:fill="FFFFFF"/>
          <w:lang w:val="cs-CZ"/>
        </w:rPr>
        <w:t> </w:t>
      </w:r>
      <w:r w:rsidRPr="001B4A02">
        <w:rPr>
          <w:szCs w:val="22"/>
          <w:shd w:val="clear" w:color="auto" w:fill="FFFFFF"/>
          <w:lang w:val="cs-CZ"/>
        </w:rPr>
        <w:t>0,9</w:t>
      </w:r>
      <w:r w:rsidR="00D35031" w:rsidRPr="001B4A02">
        <w:rPr>
          <w:szCs w:val="22"/>
          <w:shd w:val="clear" w:color="auto" w:fill="FFFFFF"/>
          <w:lang w:val="cs-CZ"/>
        </w:rPr>
        <w:t> </w:t>
      </w:r>
      <w:r w:rsidRPr="001B4A02">
        <w:rPr>
          <w:szCs w:val="22"/>
          <w:shd w:val="clear" w:color="auto" w:fill="FFFFFF"/>
          <w:lang w:val="cs-CZ"/>
        </w:rPr>
        <w:t>% pacientů léčených kontrolním přípravkem</w:t>
      </w:r>
      <w:r w:rsidRPr="001B4A02">
        <w:rPr>
          <w:shd w:val="clear" w:color="auto" w:fill="FFFFFF"/>
          <w:lang w:val="cs-CZ"/>
        </w:rPr>
        <w:t>.</w:t>
      </w:r>
    </w:p>
    <w:p w14:paraId="3633BA4E" w14:textId="77777777" w:rsidR="00E45929" w:rsidRPr="001B4A02" w:rsidRDefault="00E45929" w:rsidP="00ED48A3">
      <w:pPr>
        <w:pStyle w:val="EMEANormal"/>
        <w:shd w:val="clear" w:color="auto" w:fill="FFFFFF"/>
        <w:rPr>
          <w:shd w:val="clear" w:color="auto" w:fill="FFFFFF"/>
          <w:lang w:val="cs-CZ"/>
        </w:rPr>
      </w:pPr>
    </w:p>
    <w:p w14:paraId="797F0E63" w14:textId="77777777" w:rsidR="00E45929" w:rsidRPr="001B4A02" w:rsidRDefault="00000000" w:rsidP="00ED48A3">
      <w:pPr>
        <w:pStyle w:val="EMEANormal"/>
        <w:shd w:val="clear" w:color="auto" w:fill="FFFFFF"/>
        <w:rPr>
          <w:iCs/>
          <w:lang w:val="cs-CZ"/>
        </w:rPr>
      </w:pPr>
      <w:r w:rsidRPr="001B4A02">
        <w:rPr>
          <w:shd w:val="clear" w:color="auto" w:fill="FFFFFF"/>
          <w:lang w:val="cs-CZ"/>
        </w:rPr>
        <w:t xml:space="preserve">V klinické studii fáze </w:t>
      </w:r>
      <w:r w:rsidR="005A2758" w:rsidRPr="001B4A02">
        <w:rPr>
          <w:shd w:val="clear" w:color="auto" w:fill="FFFFFF"/>
          <w:lang w:val="cs-CZ"/>
        </w:rPr>
        <w:t>3</w:t>
      </w:r>
      <w:r w:rsidRPr="001B4A02">
        <w:rPr>
          <w:shd w:val="clear" w:color="auto" w:fill="FFFFFF"/>
          <w:lang w:val="cs-CZ"/>
        </w:rPr>
        <w:t xml:space="preserve"> s přípravkem Humira u</w:t>
      </w:r>
      <w:r w:rsidR="00D35031" w:rsidRPr="001B4A02">
        <w:rPr>
          <w:shd w:val="clear" w:color="auto" w:fill="FFFFFF"/>
          <w:lang w:val="cs-CZ"/>
        </w:rPr>
        <w:t> </w:t>
      </w:r>
      <w:r w:rsidRPr="001B4A02">
        <w:rPr>
          <w:shd w:val="clear" w:color="auto" w:fill="FFFFFF"/>
          <w:lang w:val="cs-CZ"/>
        </w:rPr>
        <w:t>pediatrických pacientů s Crohnovou chorobou, která hodnotila účinnost</w:t>
      </w:r>
      <w:r w:rsidR="002378E0">
        <w:rPr>
          <w:shd w:val="clear" w:color="auto" w:fill="FFFFFF"/>
          <w:lang w:val="cs-CZ"/>
        </w:rPr>
        <w:t xml:space="preserve"> a </w:t>
      </w:r>
      <w:r w:rsidRPr="001B4A02">
        <w:rPr>
          <w:shd w:val="clear" w:color="auto" w:fill="FFFFFF"/>
          <w:lang w:val="cs-CZ"/>
        </w:rPr>
        <w:t xml:space="preserve">bezpečnost dvou udržovacích dávkovacích režimů upravených dle hmotnosti po hmotnostně upravené indukční léčbě do 52 týdnů léčby, se </w:t>
      </w:r>
      <w:r w:rsidR="00D35031" w:rsidRPr="001B4A02">
        <w:rPr>
          <w:szCs w:val="22"/>
          <w:shd w:val="clear" w:color="auto" w:fill="FFFFFF"/>
          <w:lang w:val="cs-CZ"/>
        </w:rPr>
        <w:t>objevilo zvýšení</w:t>
      </w:r>
      <w:r w:rsidRPr="001B4A02">
        <w:rPr>
          <w:shd w:val="clear" w:color="auto" w:fill="FFFFFF"/>
          <w:lang w:val="cs-CZ"/>
        </w:rPr>
        <w:t xml:space="preserve"> ALT </w:t>
      </w:r>
      <w:r w:rsidRPr="001B4A02">
        <w:rPr>
          <w:iCs/>
          <w:lang w:val="cs-CZ"/>
        </w:rPr>
        <w:t>≥ 3 x ULN u</w:t>
      </w:r>
      <w:r w:rsidR="00D35031" w:rsidRPr="001B4A02">
        <w:rPr>
          <w:iCs/>
          <w:lang w:val="cs-CZ"/>
        </w:rPr>
        <w:t> </w:t>
      </w:r>
      <w:r w:rsidRPr="001B4A02">
        <w:rPr>
          <w:iCs/>
          <w:lang w:val="cs-CZ"/>
        </w:rPr>
        <w:t>2,6</w:t>
      </w:r>
      <w:r w:rsidR="00D35031" w:rsidRPr="001B4A02">
        <w:rPr>
          <w:iCs/>
          <w:lang w:val="cs-CZ"/>
        </w:rPr>
        <w:t> </w:t>
      </w:r>
      <w:r w:rsidRPr="001B4A02">
        <w:rPr>
          <w:iCs/>
          <w:lang w:val="cs-CZ"/>
        </w:rPr>
        <w:t>% (5 ze</w:t>
      </w:r>
      <w:r w:rsidR="00D35031" w:rsidRPr="001B4A02">
        <w:rPr>
          <w:iCs/>
          <w:lang w:val="cs-CZ"/>
        </w:rPr>
        <w:t xml:space="preserve"> </w:t>
      </w:r>
      <w:r w:rsidRPr="001B4A02">
        <w:rPr>
          <w:iCs/>
          <w:lang w:val="cs-CZ"/>
        </w:rPr>
        <w:t>192) pacientů, z</w:t>
      </w:r>
      <w:r w:rsidR="00D35031" w:rsidRPr="001B4A02">
        <w:rPr>
          <w:iCs/>
          <w:lang w:val="cs-CZ"/>
        </w:rPr>
        <w:t> </w:t>
      </w:r>
      <w:r w:rsidRPr="001B4A02">
        <w:rPr>
          <w:iCs/>
          <w:lang w:val="cs-CZ"/>
        </w:rPr>
        <w:t>nichž 4 byli vystaveni současné léčbě imunosupresiv.</w:t>
      </w:r>
    </w:p>
    <w:p w14:paraId="1A57D3D1" w14:textId="77777777" w:rsidR="00E45929" w:rsidRPr="001B4A02" w:rsidRDefault="00E45929" w:rsidP="00ED48A3">
      <w:pPr>
        <w:pStyle w:val="EMEANormal"/>
        <w:shd w:val="clear" w:color="auto" w:fill="FFFFFF"/>
        <w:rPr>
          <w:shd w:val="clear" w:color="auto" w:fill="FFFFFF"/>
          <w:lang w:val="cs-CZ"/>
        </w:rPr>
      </w:pPr>
    </w:p>
    <w:p w14:paraId="3665C979" w14:textId="77777777" w:rsidR="00E45929" w:rsidRPr="001B4A02" w:rsidRDefault="00000000" w:rsidP="00ED48A3">
      <w:pPr>
        <w:pStyle w:val="EMEANormal"/>
        <w:shd w:val="clear" w:color="auto" w:fill="FFFFFF"/>
        <w:rPr>
          <w:szCs w:val="22"/>
          <w:shd w:val="clear" w:color="auto" w:fill="FFFFFF"/>
          <w:lang w:val="cs-CZ"/>
        </w:rPr>
      </w:pPr>
      <w:r w:rsidRPr="001B4A02">
        <w:rPr>
          <w:iCs/>
          <w:shd w:val="clear" w:color="auto" w:fill="FFFFFF"/>
          <w:lang w:val="cs-CZ"/>
        </w:rPr>
        <w:t xml:space="preserve">V kontrolovaných klinických studiích fáze </w:t>
      </w:r>
      <w:r w:rsidR="005A2758" w:rsidRPr="001B4A02">
        <w:rPr>
          <w:iCs/>
          <w:shd w:val="clear" w:color="auto" w:fill="FFFFFF"/>
          <w:lang w:val="cs-CZ"/>
        </w:rPr>
        <w:t>3</w:t>
      </w:r>
      <w:r w:rsidRPr="001B4A02">
        <w:rPr>
          <w:iCs/>
          <w:shd w:val="clear" w:color="auto" w:fill="FFFFFF"/>
          <w:lang w:val="cs-CZ"/>
        </w:rPr>
        <w:t xml:space="preserve"> s přípravkem Humira u</w:t>
      </w:r>
      <w:r w:rsidR="00F55A10" w:rsidRPr="001B4A02">
        <w:rPr>
          <w:iCs/>
          <w:shd w:val="clear" w:color="auto" w:fill="FFFFFF"/>
          <w:lang w:val="cs-CZ"/>
        </w:rPr>
        <w:t> </w:t>
      </w:r>
      <w:r w:rsidRPr="001B4A02">
        <w:rPr>
          <w:iCs/>
          <w:shd w:val="clear" w:color="auto" w:fill="FFFFFF"/>
          <w:lang w:val="cs-CZ"/>
        </w:rPr>
        <w:t>pacientů s ložiskovou psoriázou se po sledovanou dobu trvání v rozmezí od 12 do 24 týdnů objevilo</w:t>
      </w:r>
      <w:r w:rsidRPr="001B4A02">
        <w:rPr>
          <w:szCs w:val="22"/>
          <w:shd w:val="clear" w:color="auto" w:fill="FFFFFF"/>
          <w:lang w:val="cs-CZ"/>
        </w:rPr>
        <w:t xml:space="preserve"> zvýšení ALT </w:t>
      </w:r>
      <w:r w:rsidRPr="001B4A02">
        <w:rPr>
          <w:lang w:val="cs-CZ"/>
        </w:rPr>
        <w:t>≥ 3 x ULN</w:t>
      </w:r>
      <w:r w:rsidRPr="001B4A02">
        <w:rPr>
          <w:szCs w:val="22"/>
          <w:shd w:val="clear" w:color="auto" w:fill="FFFFFF"/>
          <w:lang w:val="cs-CZ"/>
        </w:rPr>
        <w:t xml:space="preserve"> u</w:t>
      </w:r>
      <w:r w:rsidR="00F55A10" w:rsidRPr="001B4A02">
        <w:rPr>
          <w:szCs w:val="22"/>
          <w:shd w:val="clear" w:color="auto" w:fill="FFFFFF"/>
          <w:lang w:val="cs-CZ"/>
        </w:rPr>
        <w:t> </w:t>
      </w:r>
      <w:r w:rsidRPr="001B4A02">
        <w:rPr>
          <w:szCs w:val="22"/>
          <w:shd w:val="clear" w:color="auto" w:fill="FFFFFF"/>
          <w:lang w:val="cs-CZ"/>
        </w:rPr>
        <w:t>1,8</w:t>
      </w:r>
      <w:r w:rsidR="00F55A10" w:rsidRPr="001B4A02">
        <w:rPr>
          <w:szCs w:val="22"/>
          <w:shd w:val="clear" w:color="auto" w:fill="FFFFFF"/>
          <w:lang w:val="cs-CZ"/>
        </w:rPr>
        <w:t> </w:t>
      </w:r>
      <w:r w:rsidRPr="001B4A02">
        <w:rPr>
          <w:szCs w:val="22"/>
          <w:shd w:val="clear" w:color="auto" w:fill="FFFFFF"/>
          <w:lang w:val="cs-CZ"/>
        </w:rPr>
        <w:t>% pacientů léčených přípravkem Humira</w:t>
      </w:r>
      <w:r w:rsidR="002378E0">
        <w:rPr>
          <w:szCs w:val="22"/>
          <w:shd w:val="clear" w:color="auto" w:fill="FFFFFF"/>
          <w:lang w:val="cs-CZ"/>
        </w:rPr>
        <w:t xml:space="preserve"> a </w:t>
      </w:r>
      <w:r w:rsidRPr="001B4A02">
        <w:rPr>
          <w:szCs w:val="22"/>
          <w:shd w:val="clear" w:color="auto" w:fill="FFFFFF"/>
          <w:lang w:val="cs-CZ"/>
        </w:rPr>
        <w:t>u</w:t>
      </w:r>
      <w:r w:rsidR="00F55A10" w:rsidRPr="001B4A02">
        <w:rPr>
          <w:szCs w:val="22"/>
          <w:shd w:val="clear" w:color="auto" w:fill="FFFFFF"/>
          <w:lang w:val="cs-CZ"/>
        </w:rPr>
        <w:t> </w:t>
      </w:r>
      <w:r w:rsidRPr="001B4A02">
        <w:rPr>
          <w:szCs w:val="22"/>
          <w:shd w:val="clear" w:color="auto" w:fill="FFFFFF"/>
          <w:lang w:val="cs-CZ"/>
        </w:rPr>
        <w:t>1,8</w:t>
      </w:r>
      <w:r w:rsidR="00F55A10" w:rsidRPr="001B4A02">
        <w:rPr>
          <w:szCs w:val="22"/>
          <w:shd w:val="clear" w:color="auto" w:fill="FFFFFF"/>
          <w:lang w:val="cs-CZ"/>
        </w:rPr>
        <w:t> </w:t>
      </w:r>
      <w:r w:rsidRPr="001B4A02">
        <w:rPr>
          <w:szCs w:val="22"/>
          <w:shd w:val="clear" w:color="auto" w:fill="FFFFFF"/>
          <w:lang w:val="cs-CZ"/>
        </w:rPr>
        <w:t xml:space="preserve">% pacientů </w:t>
      </w:r>
      <w:r w:rsidR="004C2FD7" w:rsidRPr="001B4A02">
        <w:rPr>
          <w:szCs w:val="22"/>
          <w:shd w:val="clear" w:color="auto" w:fill="FFFFFF"/>
          <w:lang w:val="cs-CZ"/>
        </w:rPr>
        <w:t>léčených kontrolním přípravkem.</w:t>
      </w:r>
    </w:p>
    <w:p w14:paraId="79EF0AE8" w14:textId="77777777" w:rsidR="00E45929" w:rsidRPr="001B4A02" w:rsidRDefault="00E45929" w:rsidP="00ED48A3">
      <w:pPr>
        <w:pStyle w:val="EMEANormal"/>
        <w:shd w:val="clear" w:color="auto" w:fill="FFFFFF"/>
        <w:rPr>
          <w:shd w:val="clear" w:color="auto" w:fill="FFFFFF"/>
          <w:lang w:val="cs-CZ"/>
        </w:rPr>
      </w:pPr>
    </w:p>
    <w:p w14:paraId="62827252" w14:textId="77777777" w:rsidR="00E45929" w:rsidRPr="001B4A02" w:rsidRDefault="00000000" w:rsidP="00ED48A3">
      <w:pPr>
        <w:pStyle w:val="EMEANormal"/>
        <w:shd w:val="clear" w:color="auto" w:fill="FFFFFF"/>
        <w:rPr>
          <w:lang w:val="cs-CZ"/>
        </w:rPr>
      </w:pPr>
      <w:r w:rsidRPr="001B4A02">
        <w:rPr>
          <w:shd w:val="clear" w:color="auto" w:fill="FFFFFF"/>
          <w:lang w:val="cs-CZ"/>
        </w:rPr>
        <w:t xml:space="preserve">Žádné zvýšení ALT </w:t>
      </w:r>
      <w:r w:rsidRPr="001B4A02">
        <w:rPr>
          <w:lang w:val="cs-CZ"/>
        </w:rPr>
        <w:t>≥ 3 x ULN se nevyskytlo v</w:t>
      </w:r>
      <w:r w:rsidR="00F55A10" w:rsidRPr="001B4A02">
        <w:rPr>
          <w:lang w:val="cs-CZ"/>
        </w:rPr>
        <w:t> </w:t>
      </w:r>
      <w:r w:rsidRPr="001B4A02">
        <w:rPr>
          <w:lang w:val="cs-CZ"/>
        </w:rPr>
        <w:t xml:space="preserve">klinické studii fáze </w:t>
      </w:r>
      <w:r w:rsidR="00F55A10" w:rsidRPr="001B4A02">
        <w:rPr>
          <w:lang w:val="cs-CZ"/>
        </w:rPr>
        <w:t>3</w:t>
      </w:r>
      <w:r w:rsidRPr="001B4A02">
        <w:rPr>
          <w:lang w:val="cs-CZ"/>
        </w:rPr>
        <w:t xml:space="preserve"> s přípravkem Humira u</w:t>
      </w:r>
      <w:r w:rsidR="00F55A10" w:rsidRPr="001B4A02">
        <w:rPr>
          <w:lang w:val="cs-CZ"/>
        </w:rPr>
        <w:t> </w:t>
      </w:r>
      <w:r w:rsidRPr="001B4A02">
        <w:rPr>
          <w:lang w:val="cs-CZ"/>
        </w:rPr>
        <w:t>pediatrických pacientů s ložiskovou psoriázou.</w:t>
      </w:r>
    </w:p>
    <w:p w14:paraId="4168A05C" w14:textId="77777777" w:rsidR="00E45929" w:rsidRPr="001B4A02" w:rsidRDefault="00E45929" w:rsidP="00ED48A3">
      <w:pPr>
        <w:pStyle w:val="EMEANormal"/>
        <w:shd w:val="clear" w:color="auto" w:fill="FFFFFF"/>
        <w:rPr>
          <w:shd w:val="clear" w:color="auto" w:fill="FFFFFF"/>
          <w:lang w:val="cs-CZ"/>
        </w:rPr>
      </w:pPr>
    </w:p>
    <w:p w14:paraId="65DCCAD4" w14:textId="77777777" w:rsidR="00E45929" w:rsidRPr="001B4A02" w:rsidRDefault="00000000" w:rsidP="00ED48A3">
      <w:pPr>
        <w:pStyle w:val="EMEANormal"/>
        <w:shd w:val="clear" w:color="auto" w:fill="FFFFFF"/>
        <w:rPr>
          <w:shd w:val="clear" w:color="auto" w:fill="FFFFFF"/>
          <w:lang w:val="cs-CZ"/>
        </w:rPr>
      </w:pPr>
      <w:r w:rsidRPr="001B4A02">
        <w:rPr>
          <w:shd w:val="clear" w:color="auto" w:fill="FFFFFF"/>
          <w:lang w:val="cs-CZ"/>
        </w:rPr>
        <w:t>V</w:t>
      </w:r>
      <w:r w:rsidR="00D35031" w:rsidRPr="001B4A02">
        <w:rPr>
          <w:shd w:val="clear" w:color="auto" w:fill="FFFFFF"/>
          <w:lang w:val="cs-CZ"/>
        </w:rPr>
        <w:t> </w:t>
      </w:r>
      <w:r w:rsidRPr="001B4A02">
        <w:rPr>
          <w:shd w:val="clear" w:color="auto" w:fill="FFFFFF"/>
          <w:lang w:val="cs-CZ"/>
        </w:rPr>
        <w:t>kontrolovaných klinických studiích s</w:t>
      </w:r>
      <w:r w:rsidR="00F55A10" w:rsidRPr="001B4A02">
        <w:rPr>
          <w:shd w:val="clear" w:color="auto" w:fill="FFFFFF"/>
          <w:lang w:val="cs-CZ"/>
        </w:rPr>
        <w:t> </w:t>
      </w:r>
      <w:r w:rsidRPr="001B4A02">
        <w:rPr>
          <w:shd w:val="clear" w:color="auto" w:fill="FFFFFF"/>
          <w:lang w:val="cs-CZ"/>
        </w:rPr>
        <w:t>přípravkem Humira (úvodní dávky 160</w:t>
      </w:r>
      <w:r w:rsidR="00874DE1">
        <w:rPr>
          <w:shd w:val="clear" w:color="auto" w:fill="FFFFFF"/>
          <w:lang w:val="cs-CZ"/>
        </w:rPr>
        <w:t> mg</w:t>
      </w:r>
      <w:r w:rsidRPr="001B4A02">
        <w:rPr>
          <w:shd w:val="clear" w:color="auto" w:fill="FFFFFF"/>
          <w:lang w:val="cs-CZ"/>
        </w:rPr>
        <w:t xml:space="preserve"> v</w:t>
      </w:r>
      <w:r w:rsidR="00F55A10" w:rsidRPr="001B4A02">
        <w:rPr>
          <w:shd w:val="clear" w:color="auto" w:fill="FFFFFF"/>
          <w:lang w:val="cs-CZ"/>
        </w:rPr>
        <w:t> </w:t>
      </w:r>
      <w:r w:rsidRPr="001B4A02">
        <w:rPr>
          <w:shd w:val="clear" w:color="auto" w:fill="FFFFFF"/>
          <w:lang w:val="cs-CZ"/>
        </w:rPr>
        <w:t>týdnu 0</w:t>
      </w:r>
      <w:r w:rsidR="002378E0">
        <w:rPr>
          <w:shd w:val="clear" w:color="auto" w:fill="FFFFFF"/>
          <w:lang w:val="cs-CZ"/>
        </w:rPr>
        <w:t xml:space="preserve"> a </w:t>
      </w:r>
      <w:r w:rsidRPr="001B4A02">
        <w:rPr>
          <w:shd w:val="clear" w:color="auto" w:fill="FFFFFF"/>
          <w:lang w:val="cs-CZ"/>
        </w:rPr>
        <w:t>80</w:t>
      </w:r>
      <w:r w:rsidR="00874DE1">
        <w:rPr>
          <w:shd w:val="clear" w:color="auto" w:fill="FFFFFF"/>
          <w:lang w:val="cs-CZ"/>
        </w:rPr>
        <w:t> mg</w:t>
      </w:r>
      <w:r w:rsidRPr="001B4A02">
        <w:rPr>
          <w:shd w:val="clear" w:color="auto" w:fill="FFFFFF"/>
          <w:lang w:val="cs-CZ"/>
        </w:rPr>
        <w:t xml:space="preserve"> v</w:t>
      </w:r>
      <w:r w:rsidR="00D35031" w:rsidRPr="001B4A02">
        <w:rPr>
          <w:shd w:val="clear" w:color="auto" w:fill="FFFFFF"/>
          <w:lang w:val="cs-CZ"/>
        </w:rPr>
        <w:t> </w:t>
      </w:r>
      <w:r w:rsidRPr="001B4A02">
        <w:rPr>
          <w:shd w:val="clear" w:color="auto" w:fill="FFFFFF"/>
          <w:lang w:val="cs-CZ"/>
        </w:rPr>
        <w:t>týdnu 2, následované 40</w:t>
      </w:r>
      <w:r w:rsidR="00874DE1">
        <w:rPr>
          <w:shd w:val="clear" w:color="auto" w:fill="FFFFFF"/>
          <w:lang w:val="cs-CZ"/>
        </w:rPr>
        <w:t> mg</w:t>
      </w:r>
      <w:r w:rsidRPr="001B4A02">
        <w:rPr>
          <w:shd w:val="clear" w:color="auto" w:fill="FFFFFF"/>
          <w:lang w:val="cs-CZ"/>
        </w:rPr>
        <w:t xml:space="preserve"> jednou týdně počínaje týdnem 4) u</w:t>
      </w:r>
      <w:r w:rsidR="00F55A10" w:rsidRPr="001B4A02">
        <w:rPr>
          <w:shd w:val="clear" w:color="auto" w:fill="FFFFFF"/>
          <w:lang w:val="cs-CZ"/>
        </w:rPr>
        <w:t> </w:t>
      </w:r>
      <w:r w:rsidRPr="001B4A02">
        <w:rPr>
          <w:shd w:val="clear" w:color="auto" w:fill="FFFFFF"/>
          <w:lang w:val="cs-CZ"/>
        </w:rPr>
        <w:t>pacientů s</w:t>
      </w:r>
      <w:r w:rsidR="00F55A10" w:rsidRPr="001B4A02">
        <w:rPr>
          <w:shd w:val="clear" w:color="auto" w:fill="FFFFFF"/>
          <w:lang w:val="cs-CZ"/>
        </w:rPr>
        <w:t> </w:t>
      </w:r>
      <w:r w:rsidRPr="001B4A02">
        <w:rPr>
          <w:shd w:val="clear" w:color="auto" w:fill="FFFFFF"/>
          <w:lang w:val="cs-CZ"/>
        </w:rPr>
        <w:t>hidradenitis suppurativa se sledovanou dobou trvání v</w:t>
      </w:r>
      <w:r w:rsidR="00F55A10" w:rsidRPr="001B4A02">
        <w:rPr>
          <w:shd w:val="clear" w:color="auto" w:fill="FFFFFF"/>
          <w:lang w:val="cs-CZ"/>
        </w:rPr>
        <w:t> </w:t>
      </w:r>
      <w:r w:rsidRPr="001B4A02">
        <w:rPr>
          <w:shd w:val="clear" w:color="auto" w:fill="FFFFFF"/>
          <w:lang w:val="cs-CZ"/>
        </w:rPr>
        <w:t>rozmezí od 12 do 16 týdnů se objevilo zvýšení ALT ≥ 3 x ULN u</w:t>
      </w:r>
      <w:r w:rsidR="00F55A10" w:rsidRPr="001B4A02">
        <w:rPr>
          <w:shd w:val="clear" w:color="auto" w:fill="FFFFFF"/>
          <w:lang w:val="cs-CZ"/>
        </w:rPr>
        <w:t> </w:t>
      </w:r>
      <w:r w:rsidRPr="001B4A02">
        <w:rPr>
          <w:shd w:val="clear" w:color="auto" w:fill="FFFFFF"/>
          <w:lang w:val="cs-CZ"/>
        </w:rPr>
        <w:t>0,3</w:t>
      </w:r>
      <w:r w:rsidR="00F55A10" w:rsidRPr="001B4A02">
        <w:rPr>
          <w:shd w:val="clear" w:color="auto" w:fill="FFFFFF"/>
          <w:lang w:val="cs-CZ"/>
        </w:rPr>
        <w:t> </w:t>
      </w:r>
      <w:r w:rsidRPr="001B4A02">
        <w:rPr>
          <w:shd w:val="clear" w:color="auto" w:fill="FFFFFF"/>
          <w:lang w:val="cs-CZ"/>
        </w:rPr>
        <w:t>% pacientů léčených přípravkem Humira</w:t>
      </w:r>
      <w:r w:rsidR="002378E0">
        <w:rPr>
          <w:shd w:val="clear" w:color="auto" w:fill="FFFFFF"/>
          <w:lang w:val="cs-CZ"/>
        </w:rPr>
        <w:t xml:space="preserve"> a </w:t>
      </w:r>
      <w:r w:rsidRPr="001B4A02">
        <w:rPr>
          <w:shd w:val="clear" w:color="auto" w:fill="FFFFFF"/>
          <w:lang w:val="cs-CZ"/>
        </w:rPr>
        <w:t>u</w:t>
      </w:r>
      <w:r w:rsidR="00F55A10" w:rsidRPr="001B4A02">
        <w:rPr>
          <w:shd w:val="clear" w:color="auto" w:fill="FFFFFF"/>
          <w:lang w:val="cs-CZ"/>
        </w:rPr>
        <w:t> </w:t>
      </w:r>
      <w:r w:rsidRPr="001B4A02">
        <w:rPr>
          <w:shd w:val="clear" w:color="auto" w:fill="FFFFFF"/>
          <w:lang w:val="cs-CZ"/>
        </w:rPr>
        <w:t>0,6</w:t>
      </w:r>
      <w:r w:rsidR="00F55A10" w:rsidRPr="001B4A02">
        <w:rPr>
          <w:shd w:val="clear" w:color="auto" w:fill="FFFFFF"/>
          <w:lang w:val="cs-CZ"/>
        </w:rPr>
        <w:t> </w:t>
      </w:r>
      <w:r w:rsidRPr="001B4A02">
        <w:rPr>
          <w:shd w:val="clear" w:color="auto" w:fill="FFFFFF"/>
          <w:lang w:val="cs-CZ"/>
        </w:rPr>
        <w:t>% pacientů léčených kontrolním přípravkem.</w:t>
      </w:r>
    </w:p>
    <w:p w14:paraId="625E05F3" w14:textId="77777777" w:rsidR="00E45929" w:rsidRPr="001B4A02" w:rsidRDefault="00E45929" w:rsidP="00ED48A3">
      <w:pPr>
        <w:pStyle w:val="EMEANormal"/>
        <w:shd w:val="clear" w:color="auto" w:fill="FFFFFF"/>
        <w:rPr>
          <w:shd w:val="clear" w:color="auto" w:fill="FFFFFF"/>
          <w:lang w:val="cs-CZ"/>
        </w:rPr>
      </w:pPr>
    </w:p>
    <w:p w14:paraId="4C171A70" w14:textId="77777777" w:rsidR="00E45929" w:rsidRPr="001B4A02" w:rsidRDefault="00000000" w:rsidP="00ED48A3">
      <w:pPr>
        <w:autoSpaceDE w:val="0"/>
        <w:autoSpaceDN w:val="0"/>
        <w:adjustRightInd w:val="0"/>
        <w:ind w:left="0" w:firstLine="0"/>
        <w:rPr>
          <w:iCs/>
        </w:rPr>
      </w:pPr>
      <w:r w:rsidRPr="001B4A02">
        <w:rPr>
          <w:shd w:val="clear" w:color="auto" w:fill="FFFFFF"/>
        </w:rPr>
        <w:t>V</w:t>
      </w:r>
      <w:r w:rsidR="00F55A10" w:rsidRPr="001B4A02">
        <w:rPr>
          <w:shd w:val="clear" w:color="auto" w:fill="FFFFFF"/>
        </w:rPr>
        <w:t> </w:t>
      </w:r>
      <w:r w:rsidRPr="001B4A02">
        <w:rPr>
          <w:shd w:val="clear" w:color="auto" w:fill="FFFFFF"/>
        </w:rPr>
        <w:t>kontrolovaných klinických studiích s</w:t>
      </w:r>
      <w:r w:rsidR="00F55A10" w:rsidRPr="001B4A02">
        <w:rPr>
          <w:shd w:val="clear" w:color="auto" w:fill="FFFFFF"/>
        </w:rPr>
        <w:t> </w:t>
      </w:r>
      <w:r w:rsidRPr="001B4A02">
        <w:rPr>
          <w:shd w:val="clear" w:color="auto" w:fill="FFFFFF"/>
        </w:rPr>
        <w:t>přípravkem Humira (úvodní dávky 80</w:t>
      </w:r>
      <w:r w:rsidR="00874DE1">
        <w:rPr>
          <w:shd w:val="clear" w:color="auto" w:fill="FFFFFF"/>
        </w:rPr>
        <w:t> mg</w:t>
      </w:r>
      <w:r w:rsidRPr="001B4A02">
        <w:rPr>
          <w:shd w:val="clear" w:color="auto" w:fill="FFFFFF"/>
        </w:rPr>
        <w:t xml:space="preserve"> v</w:t>
      </w:r>
      <w:r w:rsidR="00F55A10" w:rsidRPr="001B4A02">
        <w:rPr>
          <w:shd w:val="clear" w:color="auto" w:fill="FFFFFF"/>
        </w:rPr>
        <w:t> </w:t>
      </w:r>
      <w:r w:rsidRPr="001B4A02">
        <w:rPr>
          <w:shd w:val="clear" w:color="auto" w:fill="FFFFFF"/>
        </w:rPr>
        <w:t>týdnu 0, následované 40</w:t>
      </w:r>
      <w:r w:rsidR="00874DE1">
        <w:rPr>
          <w:shd w:val="clear" w:color="auto" w:fill="FFFFFF"/>
        </w:rPr>
        <w:t> mg</w:t>
      </w:r>
      <w:r w:rsidRPr="001B4A02">
        <w:rPr>
          <w:shd w:val="clear" w:color="auto" w:fill="FFFFFF"/>
        </w:rPr>
        <w:t xml:space="preserve"> jednou za dva týdny počínaje týdnem 1) se u</w:t>
      </w:r>
      <w:r w:rsidR="009B61F3" w:rsidRPr="001B4A02">
        <w:rPr>
          <w:shd w:val="clear" w:color="auto" w:fill="FFFFFF"/>
        </w:rPr>
        <w:t> </w:t>
      </w:r>
      <w:r w:rsidR="00B77B48" w:rsidRPr="001B4A02">
        <w:rPr>
          <w:shd w:val="clear" w:color="auto" w:fill="FFFFFF"/>
        </w:rPr>
        <w:t>dospělých</w:t>
      </w:r>
      <w:r w:rsidR="00F55A10" w:rsidRPr="001B4A02">
        <w:rPr>
          <w:shd w:val="clear" w:color="auto" w:fill="FFFFFF"/>
        </w:rPr>
        <w:t> </w:t>
      </w:r>
      <w:r w:rsidRPr="001B4A02">
        <w:rPr>
          <w:shd w:val="clear" w:color="auto" w:fill="FFFFFF"/>
        </w:rPr>
        <w:t>pacientů s uveitidou léčených až po dobu 80 týdnů se střední expozicí 166,5 dne v případě terapie přípravkem Humira</w:t>
      </w:r>
      <w:r w:rsidR="002378E0">
        <w:rPr>
          <w:shd w:val="clear" w:color="auto" w:fill="FFFFFF"/>
        </w:rPr>
        <w:t xml:space="preserve"> a </w:t>
      </w:r>
      <w:r w:rsidRPr="001B4A02">
        <w:rPr>
          <w:shd w:val="clear" w:color="auto" w:fill="FFFFFF"/>
        </w:rPr>
        <w:t>105,0 dne v případě terapie kontrolním přípravkem objevilo zvýšení ALT ≥</w:t>
      </w:r>
      <w:r w:rsidR="001165D4" w:rsidRPr="001B4A02">
        <w:rPr>
          <w:shd w:val="clear" w:color="auto" w:fill="FFFFFF"/>
        </w:rPr>
        <w:t> </w:t>
      </w:r>
      <w:r w:rsidRPr="001B4A02">
        <w:rPr>
          <w:shd w:val="clear" w:color="auto" w:fill="FFFFFF"/>
        </w:rPr>
        <w:t>3 x ULN u</w:t>
      </w:r>
      <w:r w:rsidR="00530130" w:rsidRPr="001B4A02">
        <w:rPr>
          <w:shd w:val="clear" w:color="auto" w:fill="FFFFFF"/>
        </w:rPr>
        <w:t> </w:t>
      </w:r>
      <w:r w:rsidRPr="001B4A02">
        <w:rPr>
          <w:shd w:val="clear" w:color="auto" w:fill="FFFFFF"/>
        </w:rPr>
        <w:t>2,4</w:t>
      </w:r>
      <w:r w:rsidR="00530130" w:rsidRPr="001B4A02">
        <w:rPr>
          <w:shd w:val="clear" w:color="auto" w:fill="FFFFFF"/>
        </w:rPr>
        <w:t> </w:t>
      </w:r>
      <w:r w:rsidRPr="001B4A02">
        <w:rPr>
          <w:shd w:val="clear" w:color="auto" w:fill="FFFFFF"/>
        </w:rPr>
        <w:t>% pacientů léčených přípravkem Humira</w:t>
      </w:r>
      <w:r w:rsidR="002378E0">
        <w:rPr>
          <w:shd w:val="clear" w:color="auto" w:fill="FFFFFF"/>
        </w:rPr>
        <w:t xml:space="preserve"> a </w:t>
      </w:r>
      <w:r w:rsidRPr="001B4A02">
        <w:rPr>
          <w:shd w:val="clear" w:color="auto" w:fill="FFFFFF"/>
        </w:rPr>
        <w:t>u</w:t>
      </w:r>
      <w:r w:rsidR="00530130" w:rsidRPr="001B4A02">
        <w:rPr>
          <w:shd w:val="clear" w:color="auto" w:fill="FFFFFF"/>
        </w:rPr>
        <w:t> </w:t>
      </w:r>
      <w:r w:rsidRPr="001B4A02">
        <w:rPr>
          <w:shd w:val="clear" w:color="auto" w:fill="FFFFFF"/>
        </w:rPr>
        <w:t>2,4</w:t>
      </w:r>
      <w:r w:rsidR="00530130" w:rsidRPr="001B4A02">
        <w:rPr>
          <w:shd w:val="clear" w:color="auto" w:fill="FFFFFF"/>
        </w:rPr>
        <w:t> </w:t>
      </w:r>
      <w:r w:rsidRPr="001B4A02">
        <w:rPr>
          <w:shd w:val="clear" w:color="auto" w:fill="FFFFFF"/>
        </w:rPr>
        <w:t>% pacientů léčených kontrolním přípravkem.</w:t>
      </w:r>
    </w:p>
    <w:p w14:paraId="2D5E0864" w14:textId="77777777" w:rsidR="00E45929" w:rsidRPr="001B4A02" w:rsidRDefault="00E45929" w:rsidP="00ED48A3">
      <w:pPr>
        <w:ind w:left="0" w:firstLine="0"/>
        <w:rPr>
          <w:shd w:val="clear" w:color="auto" w:fill="FFFFFF"/>
        </w:rPr>
      </w:pPr>
    </w:p>
    <w:p w14:paraId="0B74A5AB" w14:textId="77777777" w:rsidR="00245623" w:rsidRPr="001D2137" w:rsidRDefault="00000000" w:rsidP="00245623">
      <w:pPr>
        <w:ind w:left="0" w:firstLine="0"/>
        <w:rPr>
          <w:rStyle w:val="normaltextrun"/>
          <w:shd w:val="clear" w:color="auto" w:fill="FFFFFF"/>
        </w:rPr>
      </w:pPr>
      <w:r>
        <w:rPr>
          <w:rStyle w:val="normaltextrun"/>
          <w:shd w:val="clear" w:color="auto" w:fill="FFFFFF"/>
        </w:rPr>
        <w:t>V kontrolované klinické studii fáze 3 s</w:t>
      </w:r>
      <w:r w:rsidR="00390F17">
        <w:rPr>
          <w:rStyle w:val="normaltextrun"/>
          <w:shd w:val="clear" w:color="auto" w:fill="FFFFFF"/>
        </w:rPr>
        <w:t> </w:t>
      </w:r>
      <w:r>
        <w:rPr>
          <w:rStyle w:val="normaltextrun"/>
          <w:shd w:val="clear" w:color="auto" w:fill="FFFFFF"/>
        </w:rPr>
        <w:t>přípravkem Humira u pediatrických pacientů s ulcerózní kolitidou (n=93), která hodnotila účinnost</w:t>
      </w:r>
      <w:r w:rsidR="002378E0">
        <w:rPr>
          <w:rStyle w:val="normaltextrun"/>
          <w:shd w:val="clear" w:color="auto" w:fill="FFFFFF"/>
        </w:rPr>
        <w:t xml:space="preserve"> a </w:t>
      </w:r>
      <w:r>
        <w:rPr>
          <w:rStyle w:val="normaltextrun"/>
          <w:shd w:val="clear" w:color="auto" w:fill="FFFFFF"/>
        </w:rPr>
        <w:t>bezpečnost udržovací dávky 0,6 mg/kg (maximální dávka 40 mg) každý druhý týden (n=31)</w:t>
      </w:r>
      <w:r w:rsidR="002378E0">
        <w:rPr>
          <w:rStyle w:val="normaltextrun"/>
          <w:shd w:val="clear" w:color="auto" w:fill="FFFFFF"/>
        </w:rPr>
        <w:t xml:space="preserve"> a </w:t>
      </w:r>
      <w:r>
        <w:rPr>
          <w:rStyle w:val="normaltextrun"/>
          <w:shd w:val="clear" w:color="auto" w:fill="FFFFFF"/>
        </w:rPr>
        <w:t>udržovací dávky 0,6 mg/kg (maximální dávka 40 mg) každý týden (n=32) po indukční dávce upravené podle tělesné hmotnosti 2,4 mg/kg (maximální dávka 160 mg) v týdnech 0</w:t>
      </w:r>
      <w:r w:rsidR="002378E0">
        <w:rPr>
          <w:rStyle w:val="normaltextrun"/>
          <w:shd w:val="clear" w:color="auto" w:fill="FFFFFF"/>
        </w:rPr>
        <w:t xml:space="preserve"> a </w:t>
      </w:r>
      <w:r>
        <w:rPr>
          <w:rStyle w:val="normaltextrun"/>
          <w:shd w:val="clear" w:color="auto" w:fill="FFFFFF"/>
        </w:rPr>
        <w:t>1,</w:t>
      </w:r>
      <w:r w:rsidR="002378E0">
        <w:rPr>
          <w:rStyle w:val="normaltextrun"/>
          <w:shd w:val="clear" w:color="auto" w:fill="FFFFFF"/>
        </w:rPr>
        <w:t xml:space="preserve"> a </w:t>
      </w:r>
      <w:r>
        <w:rPr>
          <w:rStyle w:val="normaltextrun"/>
          <w:shd w:val="clear" w:color="auto" w:fill="FFFFFF"/>
        </w:rPr>
        <w:t>1,2 mg/kg (maximální dávka 80 mg) v</w:t>
      </w:r>
      <w:r w:rsidR="00390F17">
        <w:rPr>
          <w:rStyle w:val="normaltextrun"/>
          <w:shd w:val="clear" w:color="auto" w:fill="FFFFFF"/>
        </w:rPr>
        <w:t> </w:t>
      </w:r>
      <w:r>
        <w:rPr>
          <w:rStyle w:val="normaltextrun"/>
          <w:shd w:val="clear" w:color="auto" w:fill="FFFFFF"/>
        </w:rPr>
        <w:t xml:space="preserve">týdnu 2 (n=63) nebo </w:t>
      </w:r>
      <w:r w:rsidRPr="0031470C">
        <w:rPr>
          <w:rStyle w:val="normaltextrun"/>
          <w:shd w:val="clear" w:color="auto" w:fill="FFFFFF"/>
        </w:rPr>
        <w:t>indukční dávce 2,</w:t>
      </w:r>
      <w:r>
        <w:rPr>
          <w:rStyle w:val="normaltextrun"/>
          <w:shd w:val="clear" w:color="auto" w:fill="FFFFFF"/>
        </w:rPr>
        <w:t>4 mg/kg (maximální dávka 160 mg) v týdnu 0, placebo v týdnu 1</w:t>
      </w:r>
      <w:r w:rsidR="002378E0">
        <w:rPr>
          <w:rStyle w:val="normaltextrun"/>
          <w:shd w:val="clear" w:color="auto" w:fill="FFFFFF"/>
        </w:rPr>
        <w:t xml:space="preserve"> a </w:t>
      </w:r>
      <w:r>
        <w:rPr>
          <w:rStyle w:val="normaltextrun"/>
          <w:shd w:val="clear" w:color="auto" w:fill="FFFFFF"/>
        </w:rPr>
        <w:t>1,2 mg/kg (maximální dávka 80 mg) v</w:t>
      </w:r>
      <w:r w:rsidR="00390F17">
        <w:rPr>
          <w:rStyle w:val="normaltextrun"/>
          <w:shd w:val="clear" w:color="auto" w:fill="FFFFFF"/>
        </w:rPr>
        <w:t> </w:t>
      </w:r>
      <w:r>
        <w:rPr>
          <w:rStyle w:val="normaltextrun"/>
          <w:shd w:val="clear" w:color="auto" w:fill="FFFFFF"/>
        </w:rPr>
        <w:t>týdnu 2 (n=30), se objevilo zvýšení ALT ≥ 3x ULN u 1,1</w:t>
      </w:r>
      <w:r w:rsidR="00390F17" w:rsidRPr="001B4A02">
        <w:t> </w:t>
      </w:r>
      <w:r>
        <w:rPr>
          <w:rStyle w:val="normaltextrun"/>
          <w:shd w:val="clear" w:color="auto" w:fill="FFFFFF"/>
        </w:rPr>
        <w:t>% (1/93) pacientů.</w:t>
      </w:r>
    </w:p>
    <w:p w14:paraId="15045396" w14:textId="77777777" w:rsidR="00ED5D7C" w:rsidRDefault="00ED5D7C" w:rsidP="00ED5D7C"/>
    <w:p w14:paraId="62075963" w14:textId="77777777" w:rsidR="00E45929" w:rsidRPr="001B4A02" w:rsidRDefault="00000000" w:rsidP="00ED48A3">
      <w:pPr>
        <w:ind w:left="0" w:firstLine="0"/>
        <w:rPr>
          <w:shd w:val="clear" w:color="auto" w:fill="FFFFFF"/>
        </w:rPr>
      </w:pPr>
      <w:r w:rsidRPr="001B4A02">
        <w:rPr>
          <w:shd w:val="clear" w:color="auto" w:fill="FFFFFF"/>
        </w:rPr>
        <w:t>V klinických studiích napříč všemi indikacemi byli pacienti se zvýšeným ALT asymptomatičtí</w:t>
      </w:r>
      <w:r w:rsidR="002378E0">
        <w:rPr>
          <w:shd w:val="clear" w:color="auto" w:fill="FFFFFF"/>
        </w:rPr>
        <w:t xml:space="preserve"> a </w:t>
      </w:r>
      <w:r w:rsidRPr="001B4A02">
        <w:rPr>
          <w:shd w:val="clear" w:color="auto" w:fill="FFFFFF"/>
        </w:rPr>
        <w:t>ve většině případů bylo zvýšení ALT přechodné</w:t>
      </w:r>
      <w:r w:rsidR="002378E0">
        <w:rPr>
          <w:shd w:val="clear" w:color="auto" w:fill="FFFFFF"/>
        </w:rPr>
        <w:t xml:space="preserve"> a </w:t>
      </w:r>
      <w:r w:rsidRPr="001B4A02">
        <w:rPr>
          <w:shd w:val="clear" w:color="auto" w:fill="FFFFFF"/>
        </w:rPr>
        <w:t>vymizelo s pokračováním léčby. Nicméně po uvedení přípravku na trh byly u</w:t>
      </w:r>
      <w:r w:rsidR="00530130" w:rsidRPr="001B4A02">
        <w:rPr>
          <w:shd w:val="clear" w:color="auto" w:fill="FFFFFF"/>
        </w:rPr>
        <w:t> </w:t>
      </w:r>
      <w:r w:rsidRPr="001B4A02">
        <w:rPr>
          <w:shd w:val="clear" w:color="auto" w:fill="FFFFFF"/>
        </w:rPr>
        <w:t>pacientů, jimž byl podáván adalimumab, hlášeny případy selhání jater, stejně jako případy méně závažných poruch jater, které mohou selhání jater předcházet, jako je hepatitida, včetně autoimunní hepatitidy.</w:t>
      </w:r>
    </w:p>
    <w:p w14:paraId="4EFD1823" w14:textId="77777777" w:rsidR="00E45929" w:rsidRPr="001B4A02" w:rsidRDefault="00E45929" w:rsidP="00ED48A3">
      <w:pPr>
        <w:ind w:left="0" w:firstLine="0"/>
        <w:rPr>
          <w:u w:val="single"/>
        </w:rPr>
      </w:pPr>
    </w:p>
    <w:p w14:paraId="5E93C324" w14:textId="77777777" w:rsidR="00E45929" w:rsidRPr="001B4A02" w:rsidRDefault="00000000" w:rsidP="003B610F">
      <w:pPr>
        <w:pStyle w:val="EMEANormal"/>
        <w:keepNext/>
        <w:shd w:val="clear" w:color="auto" w:fill="FFFFFF"/>
        <w:rPr>
          <w:u w:val="single"/>
          <w:shd w:val="clear" w:color="auto" w:fill="FFFFFF"/>
          <w:lang w:val="cs-CZ"/>
        </w:rPr>
      </w:pPr>
      <w:r w:rsidRPr="001B4A02">
        <w:rPr>
          <w:u w:val="single"/>
          <w:shd w:val="clear" w:color="auto" w:fill="FFFFFF"/>
          <w:lang w:val="cs-CZ"/>
        </w:rPr>
        <w:t>Současná léčba azathioprinem/</w:t>
      </w:r>
      <w:r w:rsidR="00F6219F" w:rsidRPr="001B4A02">
        <w:rPr>
          <w:u w:val="single"/>
          <w:shd w:val="clear" w:color="auto" w:fill="FFFFFF"/>
          <w:lang w:val="cs-CZ"/>
        </w:rPr>
        <w:t>6-</w:t>
      </w:r>
      <w:r w:rsidRPr="001B4A02">
        <w:rPr>
          <w:u w:val="single"/>
          <w:shd w:val="clear" w:color="auto" w:fill="FFFFFF"/>
          <w:lang w:val="cs-CZ"/>
        </w:rPr>
        <w:t>merkaptopurinem</w:t>
      </w:r>
    </w:p>
    <w:p w14:paraId="65B22068" w14:textId="77777777" w:rsidR="00E45929" w:rsidRPr="001B4A02" w:rsidRDefault="00E45929" w:rsidP="003B610F">
      <w:pPr>
        <w:pStyle w:val="EMEANormal"/>
        <w:keepNext/>
        <w:tabs>
          <w:tab w:val="clear" w:pos="562"/>
        </w:tabs>
        <w:suppressAutoHyphens w:val="0"/>
        <w:rPr>
          <w:shd w:val="clear" w:color="auto" w:fill="FFFFFF"/>
          <w:lang w:val="cs-CZ"/>
        </w:rPr>
      </w:pPr>
    </w:p>
    <w:p w14:paraId="7D9217EF" w14:textId="77777777" w:rsidR="00E7724C" w:rsidRPr="001B4A02" w:rsidRDefault="00000000" w:rsidP="00ED48A3">
      <w:pPr>
        <w:pStyle w:val="EMEANormal"/>
        <w:rPr>
          <w:lang w:val="cs-CZ"/>
        </w:rPr>
      </w:pPr>
      <w:r w:rsidRPr="001B4A02">
        <w:rPr>
          <w:shd w:val="clear" w:color="auto" w:fill="FFFFFF"/>
          <w:lang w:val="cs-CZ"/>
        </w:rPr>
        <w:t>Ve studiích s Crohnovou chorobou byla u</w:t>
      </w:r>
      <w:r w:rsidR="00530130" w:rsidRPr="001B4A02">
        <w:rPr>
          <w:shd w:val="clear" w:color="auto" w:fill="FFFFFF"/>
          <w:lang w:val="cs-CZ"/>
        </w:rPr>
        <w:t> </w:t>
      </w:r>
      <w:r w:rsidRPr="001B4A02">
        <w:rPr>
          <w:shd w:val="clear" w:color="auto" w:fill="FFFFFF"/>
          <w:lang w:val="cs-CZ"/>
        </w:rPr>
        <w:t>dospělých pacientů léčených kombinací přípravku Humira spolu s azathioprinem/</w:t>
      </w:r>
      <w:r w:rsidR="00C806C1" w:rsidRPr="001B4A02">
        <w:rPr>
          <w:shd w:val="clear" w:color="auto" w:fill="FFFFFF"/>
          <w:lang w:val="cs-CZ"/>
        </w:rPr>
        <w:t>6-</w:t>
      </w:r>
      <w:r w:rsidRPr="001B4A02">
        <w:rPr>
          <w:shd w:val="clear" w:color="auto" w:fill="FFFFFF"/>
          <w:lang w:val="cs-CZ"/>
        </w:rPr>
        <w:t>merkaptopurinem pozorována vyšší incidence malignit</w:t>
      </w:r>
      <w:r w:rsidR="002378E0">
        <w:rPr>
          <w:shd w:val="clear" w:color="auto" w:fill="FFFFFF"/>
          <w:lang w:val="cs-CZ"/>
        </w:rPr>
        <w:t xml:space="preserve"> a </w:t>
      </w:r>
      <w:r w:rsidRPr="001B4A02">
        <w:rPr>
          <w:shd w:val="clear" w:color="auto" w:fill="FFFFFF"/>
          <w:lang w:val="cs-CZ"/>
        </w:rPr>
        <w:t>závažných nežádoucích účinků souvisejících s infekcemi v porovnání s pacienty, kteří byli léčeni pouze přípravkem Humira.</w:t>
      </w:r>
    </w:p>
    <w:p w14:paraId="68AD2A14" w14:textId="77777777" w:rsidR="00E7724C" w:rsidRPr="001B4A02" w:rsidRDefault="00E7724C" w:rsidP="00ED48A3">
      <w:pPr>
        <w:pStyle w:val="EMEANormal"/>
        <w:rPr>
          <w:lang w:val="cs-CZ"/>
        </w:rPr>
      </w:pPr>
    </w:p>
    <w:p w14:paraId="56341DA7" w14:textId="77777777" w:rsidR="00E45929" w:rsidRPr="001B4A02" w:rsidRDefault="00000000" w:rsidP="003B610F">
      <w:pPr>
        <w:pStyle w:val="EMEANormal"/>
        <w:keepNext/>
        <w:shd w:val="clear" w:color="auto" w:fill="FFFFFF"/>
        <w:rPr>
          <w:u w:val="single"/>
          <w:shd w:val="clear" w:color="auto" w:fill="FFFFFF"/>
          <w:lang w:val="cs-CZ"/>
        </w:rPr>
      </w:pPr>
      <w:r w:rsidRPr="001B4A02">
        <w:rPr>
          <w:u w:val="single"/>
          <w:shd w:val="clear" w:color="auto" w:fill="FFFFFF"/>
          <w:lang w:val="cs-CZ"/>
        </w:rPr>
        <w:t>Hlášení podezření na nežádoucí účinky</w:t>
      </w:r>
    </w:p>
    <w:p w14:paraId="28626816" w14:textId="77777777" w:rsidR="00E45929" w:rsidRPr="001B4A02" w:rsidRDefault="00E45929" w:rsidP="003B610F">
      <w:pPr>
        <w:pStyle w:val="EMEANormal"/>
        <w:keepNext/>
        <w:shd w:val="clear" w:color="auto" w:fill="FFFFFF"/>
        <w:rPr>
          <w:shd w:val="clear" w:color="auto" w:fill="FFFFFF"/>
          <w:lang w:val="cs-CZ"/>
        </w:rPr>
      </w:pPr>
    </w:p>
    <w:p w14:paraId="623FD45B" w14:textId="77777777" w:rsidR="00E7724C" w:rsidRPr="001B4A02" w:rsidRDefault="00000000" w:rsidP="00ED48A3">
      <w:pPr>
        <w:ind w:left="0" w:firstLine="0"/>
      </w:pPr>
      <w:r w:rsidRPr="001B4A02">
        <w:rPr>
          <w:shd w:val="clear" w:color="auto" w:fill="FFFFFF"/>
        </w:rPr>
        <w:t>Hlášení podezření na nežádoucí účinky po registraci léčivého přípravku je důležité. Umožňuje to pokračovat ve sledování poměru přínosů</w:t>
      </w:r>
      <w:r w:rsidR="002378E0">
        <w:rPr>
          <w:shd w:val="clear" w:color="auto" w:fill="FFFFFF"/>
        </w:rPr>
        <w:t xml:space="preserve"> a </w:t>
      </w:r>
      <w:r w:rsidRPr="001B4A02">
        <w:rPr>
          <w:shd w:val="clear" w:color="auto" w:fill="FFFFFF"/>
        </w:rPr>
        <w:t xml:space="preserve">rizik léčivého přípravku. Žádáme zdravotnické pracovníky, aby hlásili podezření na nežádoucí účinky prostřednictvím </w:t>
      </w:r>
      <w:r w:rsidRPr="001B4A02">
        <w:rPr>
          <w:shd w:val="clear" w:color="auto" w:fill="A6A6A6"/>
        </w:rPr>
        <w:t>národního systému hlášení nežádoucích účinků uvedeného v </w:t>
      </w:r>
      <w:hyperlink r:id="rId20" w:history="1">
        <w:r w:rsidR="00E7724C" w:rsidRPr="001B4A02">
          <w:rPr>
            <w:rStyle w:val="Hyperlink"/>
            <w:shd w:val="clear" w:color="auto" w:fill="A6A6A6"/>
          </w:rPr>
          <w:t>Dodatku V</w:t>
        </w:r>
      </w:hyperlink>
      <w:r w:rsidRPr="001B4A02">
        <w:rPr>
          <w:shd w:val="clear" w:color="auto" w:fill="FFFFFF"/>
        </w:rPr>
        <w:t>.</w:t>
      </w:r>
    </w:p>
    <w:p w14:paraId="45C28206" w14:textId="77777777" w:rsidR="00E7724C" w:rsidRPr="001B4A02" w:rsidRDefault="00E7724C" w:rsidP="00ED48A3"/>
    <w:p w14:paraId="5202E749" w14:textId="77777777" w:rsidR="00E45929" w:rsidRPr="001B4A02" w:rsidRDefault="00000000" w:rsidP="00A15B7A">
      <w:pPr>
        <w:keepNext/>
        <w:outlineLvl w:val="1"/>
      </w:pPr>
      <w:r w:rsidRPr="001B4A02">
        <w:rPr>
          <w:b/>
        </w:rPr>
        <w:t>4.9</w:t>
      </w:r>
      <w:r w:rsidRPr="001B4A02">
        <w:rPr>
          <w:b/>
        </w:rPr>
        <w:tab/>
        <w:t>Předávkování</w:t>
      </w:r>
    </w:p>
    <w:p w14:paraId="546FC3D2" w14:textId="77777777" w:rsidR="00E7724C" w:rsidRPr="001B4A02" w:rsidRDefault="00E7724C" w:rsidP="003B610F">
      <w:pPr>
        <w:keepNext/>
      </w:pPr>
    </w:p>
    <w:p w14:paraId="5EB82322" w14:textId="77777777" w:rsidR="00E45929" w:rsidRPr="001B4A02" w:rsidRDefault="00000000" w:rsidP="00ED48A3">
      <w:pPr>
        <w:ind w:left="0" w:firstLine="0"/>
      </w:pPr>
      <w:r w:rsidRPr="001B4A02">
        <w:t>V klinických studiích nebyla pozorována toxicita omezující dávku léku. Nejvyšší hodnocenou dávkou bylo opakované intravenózní podávání 10 mg/kg, což je přibližně 15násobek doporučené dávky.</w:t>
      </w:r>
    </w:p>
    <w:p w14:paraId="5928B301" w14:textId="77777777" w:rsidR="00D427E8" w:rsidRPr="001B4A02" w:rsidRDefault="00D427E8" w:rsidP="00D427E8">
      <w:pPr>
        <w:ind w:left="0" w:firstLine="0"/>
      </w:pPr>
    </w:p>
    <w:p w14:paraId="09681D89" w14:textId="77777777" w:rsidR="00D427E8" w:rsidRPr="001B4A02" w:rsidRDefault="00D427E8" w:rsidP="00D427E8">
      <w:pPr>
        <w:ind w:left="0" w:firstLine="0"/>
      </w:pPr>
    </w:p>
    <w:p w14:paraId="7A41C105" w14:textId="77777777" w:rsidR="00E45929" w:rsidRPr="001B4A02" w:rsidRDefault="00000000" w:rsidP="00A15B7A">
      <w:pPr>
        <w:keepNext/>
        <w:outlineLvl w:val="0"/>
        <w:rPr>
          <w:b/>
        </w:rPr>
      </w:pPr>
      <w:r w:rsidRPr="001B4A02">
        <w:rPr>
          <w:b/>
        </w:rPr>
        <w:t>5.</w:t>
      </w:r>
      <w:r w:rsidRPr="001B4A02">
        <w:rPr>
          <w:b/>
        </w:rPr>
        <w:tab/>
        <w:t>FARMAKOLOGICKÉ VLASTNOSTI</w:t>
      </w:r>
    </w:p>
    <w:p w14:paraId="4796DC1F" w14:textId="77777777" w:rsidR="00E45929" w:rsidRPr="001B4A02" w:rsidRDefault="00E45929" w:rsidP="00F1755A">
      <w:pPr>
        <w:keepNext/>
        <w:ind w:left="0" w:firstLine="0"/>
        <w:rPr>
          <w:b/>
        </w:rPr>
      </w:pPr>
    </w:p>
    <w:p w14:paraId="01875C1F" w14:textId="77777777" w:rsidR="00E45929" w:rsidRPr="001B4A02" w:rsidRDefault="00000000" w:rsidP="00A15B7A">
      <w:pPr>
        <w:keepNext/>
        <w:outlineLvl w:val="1"/>
      </w:pPr>
      <w:r w:rsidRPr="001B4A02">
        <w:rPr>
          <w:b/>
        </w:rPr>
        <w:t>5.1</w:t>
      </w:r>
      <w:r w:rsidRPr="001B4A02">
        <w:rPr>
          <w:b/>
        </w:rPr>
        <w:tab/>
        <w:t>Farmakodynamické vlastnosti</w:t>
      </w:r>
    </w:p>
    <w:p w14:paraId="40E5AFFC" w14:textId="77777777" w:rsidR="00D427E8" w:rsidRPr="001B4A02" w:rsidRDefault="00D427E8" w:rsidP="00F1755A">
      <w:pPr>
        <w:keepNext/>
        <w:ind w:left="0" w:firstLine="0"/>
      </w:pPr>
    </w:p>
    <w:p w14:paraId="469D1C28" w14:textId="77777777" w:rsidR="00E45929" w:rsidRPr="001B4A02" w:rsidRDefault="00000000" w:rsidP="003B610F">
      <w:pPr>
        <w:ind w:left="0" w:firstLine="0"/>
      </w:pPr>
      <w:r w:rsidRPr="001B4A02">
        <w:t>Farmakoterapeutická skupina: Imunosupresiva, Inhibitory tumor nekrotizujícího faktoru alfa (TNF-</w:t>
      </w:r>
      <w:r w:rsidR="004A3A99" w:rsidRPr="004A3A99">
        <w:t>α</w:t>
      </w:r>
      <w:r w:rsidRPr="001B4A02">
        <w:t>), ATC kód: L04AB04</w:t>
      </w:r>
    </w:p>
    <w:p w14:paraId="144E0606" w14:textId="77777777" w:rsidR="00E45929" w:rsidRPr="001B4A02" w:rsidRDefault="00E45929" w:rsidP="00ED48A3">
      <w:pPr>
        <w:ind w:left="0" w:firstLine="0"/>
        <w:rPr>
          <w:u w:val="single"/>
        </w:rPr>
      </w:pPr>
    </w:p>
    <w:p w14:paraId="1049BF57" w14:textId="77777777" w:rsidR="00E45929" w:rsidRPr="001B4A02" w:rsidRDefault="00000000" w:rsidP="00ED48A3">
      <w:pPr>
        <w:keepNext/>
        <w:ind w:left="0" w:firstLine="0"/>
      </w:pPr>
      <w:r w:rsidRPr="001B4A02">
        <w:rPr>
          <w:u w:val="single"/>
        </w:rPr>
        <w:t>Mechanismus účinku</w:t>
      </w:r>
    </w:p>
    <w:p w14:paraId="783E380E" w14:textId="77777777" w:rsidR="00E45929" w:rsidRPr="001B4A02" w:rsidRDefault="00E45929" w:rsidP="00ED48A3">
      <w:pPr>
        <w:keepNext/>
        <w:ind w:left="0" w:firstLine="0"/>
      </w:pPr>
    </w:p>
    <w:p w14:paraId="05F96DEC" w14:textId="77777777" w:rsidR="00E45929" w:rsidRPr="001B4A02" w:rsidRDefault="00000000" w:rsidP="00ED48A3">
      <w:pPr>
        <w:ind w:left="0" w:firstLine="0"/>
      </w:pPr>
      <w:r w:rsidRPr="001B4A02">
        <w:t>Adalimumab se specificky váže na TNF</w:t>
      </w:r>
      <w:r w:rsidR="002378E0">
        <w:t xml:space="preserve"> a </w:t>
      </w:r>
      <w:r w:rsidRPr="001B4A02">
        <w:t>neutralizuje biologickou funkci TNF blokováním jeho interakce s p55</w:t>
      </w:r>
      <w:r w:rsidR="002378E0">
        <w:t xml:space="preserve"> a </w:t>
      </w:r>
      <w:r w:rsidRPr="001B4A02">
        <w:t>p75 TNF receptorů na povrchu buněk.</w:t>
      </w:r>
    </w:p>
    <w:p w14:paraId="4CFA9B86" w14:textId="77777777" w:rsidR="00E45929" w:rsidRPr="001B4A02" w:rsidRDefault="00E45929" w:rsidP="00ED48A3">
      <w:pPr>
        <w:ind w:left="0" w:firstLine="0"/>
      </w:pPr>
    </w:p>
    <w:p w14:paraId="452D44A3" w14:textId="77777777" w:rsidR="00E45929" w:rsidRPr="001B4A02" w:rsidRDefault="00000000" w:rsidP="00ED48A3">
      <w:pPr>
        <w:ind w:left="0" w:firstLine="0"/>
      </w:pPr>
      <w:r w:rsidRPr="001B4A02">
        <w:t>Adalimumab rovněž moduluje biologickou odpověď, která je indukována nebo regulována TNF, včetně změn hladin adhezních molekul zodpovědných za migraci leukocytů (ELAM-1, VACM-1</w:t>
      </w:r>
      <w:r w:rsidR="002378E0">
        <w:t xml:space="preserve"> a </w:t>
      </w:r>
      <w:r w:rsidRPr="001B4A02">
        <w:t>ICAM-1 při IC</w:t>
      </w:r>
      <w:r w:rsidRPr="001B4A02">
        <w:rPr>
          <w:vertAlign w:val="subscript"/>
        </w:rPr>
        <w:t>50</w:t>
      </w:r>
      <w:r w:rsidRPr="001B4A02">
        <w:t xml:space="preserve"> 0,1</w:t>
      </w:r>
      <w:r w:rsidR="00F67928" w:rsidRPr="001B4A02">
        <w:t>–</w:t>
      </w:r>
      <w:r w:rsidRPr="001B4A02">
        <w:t>0,2 nM).</w:t>
      </w:r>
    </w:p>
    <w:p w14:paraId="74AEFCB3" w14:textId="77777777" w:rsidR="00E7724C" w:rsidRPr="001B4A02" w:rsidRDefault="00E7724C" w:rsidP="00ED48A3"/>
    <w:p w14:paraId="782156E9" w14:textId="77777777" w:rsidR="0025371F" w:rsidRPr="001B4A02" w:rsidRDefault="00000000" w:rsidP="00ED48A3">
      <w:pPr>
        <w:keepNext/>
        <w:ind w:left="0" w:firstLine="0"/>
        <w:rPr>
          <w:u w:val="single"/>
        </w:rPr>
      </w:pPr>
      <w:r w:rsidRPr="001B4A02">
        <w:rPr>
          <w:u w:val="single"/>
        </w:rPr>
        <w:t>Farmakodynamické účinky</w:t>
      </w:r>
    </w:p>
    <w:p w14:paraId="32101A76" w14:textId="77777777" w:rsidR="0025371F" w:rsidRPr="001B4A02" w:rsidRDefault="0025371F" w:rsidP="00ED48A3">
      <w:pPr>
        <w:keepNext/>
        <w:ind w:left="0" w:firstLine="0"/>
      </w:pPr>
    </w:p>
    <w:p w14:paraId="2ED3F769" w14:textId="77777777" w:rsidR="0025371F" w:rsidRPr="001B4A02" w:rsidRDefault="00000000" w:rsidP="00ED48A3">
      <w:pPr>
        <w:ind w:left="0" w:firstLine="0"/>
      </w:pPr>
      <w:r w:rsidRPr="001B4A02">
        <w:t>Po léčbě přípravkem Humira byl u pacientů s revmatoidní artritidou v porovnání s výchozím stavem pozorován rychlý pokles hladin ukazatelů akutní fáze zánětu (C-reaktivní protein (CRP)</w:t>
      </w:r>
      <w:r w:rsidR="002378E0">
        <w:t xml:space="preserve"> a </w:t>
      </w:r>
      <w:r w:rsidRPr="001B4A02">
        <w:t>sedimentace erytrocytů (FW)</w:t>
      </w:r>
      <w:r w:rsidR="001D6F43" w:rsidRPr="001B4A02">
        <w:t>)</w:t>
      </w:r>
      <w:r w:rsidR="002378E0">
        <w:t xml:space="preserve"> a </w:t>
      </w:r>
      <w:r w:rsidRPr="001B4A02">
        <w:t>sérových cytokinů (IL-6). Po podání přípravku Humira byly rovněž sníženy sérové koncentrace matrixových metaloproteináz (MMP-1</w:t>
      </w:r>
      <w:r w:rsidR="002378E0">
        <w:t xml:space="preserve"> a </w:t>
      </w:r>
      <w:r w:rsidRPr="001B4A02">
        <w:t>MMP-3), které vyvolávají přestavbu tkání způsobující destrukci chrupavek. U</w:t>
      </w:r>
      <w:r w:rsidR="001D6F43" w:rsidRPr="001B4A02">
        <w:t> </w:t>
      </w:r>
      <w:r w:rsidRPr="001B4A02">
        <w:t>pacientů léčených přípravkem Humira obvykle došlo ke zlepšení hematologických známek chronického zánětu.</w:t>
      </w:r>
    </w:p>
    <w:p w14:paraId="14C7491E" w14:textId="77777777" w:rsidR="0025371F" w:rsidRPr="001B4A02" w:rsidRDefault="0025371F" w:rsidP="00ED48A3">
      <w:pPr>
        <w:ind w:left="0" w:firstLine="0"/>
        <w:rPr>
          <w:u w:val="single"/>
        </w:rPr>
      </w:pPr>
    </w:p>
    <w:p w14:paraId="3C4CD2CC" w14:textId="77777777" w:rsidR="0025371F" w:rsidRPr="001B4A02" w:rsidRDefault="00000000" w:rsidP="00ED48A3">
      <w:pPr>
        <w:pStyle w:val="EMEANormal"/>
        <w:tabs>
          <w:tab w:val="clear" w:pos="562"/>
        </w:tabs>
        <w:suppressAutoHyphens w:val="0"/>
        <w:rPr>
          <w:lang w:val="cs-CZ"/>
        </w:rPr>
      </w:pPr>
      <w:r w:rsidRPr="001B4A02">
        <w:rPr>
          <w:lang w:val="cs-CZ"/>
        </w:rPr>
        <w:t>Rychlý pokles hladin CRP během léčby přípravkem Humira byl také pozorován u</w:t>
      </w:r>
      <w:r w:rsidR="001D6F43" w:rsidRPr="001B4A02">
        <w:rPr>
          <w:lang w:val="cs-CZ"/>
        </w:rPr>
        <w:t> </w:t>
      </w:r>
      <w:r w:rsidRPr="001B4A02">
        <w:rPr>
          <w:lang w:val="cs-CZ"/>
        </w:rPr>
        <w:t>pacientů s polyartikulární juvenilní idiopatickou artritidou, Crohnovou chorobou, ulcerózní kolitidou</w:t>
      </w:r>
      <w:r w:rsidR="002378E0">
        <w:rPr>
          <w:lang w:val="cs-CZ"/>
        </w:rPr>
        <w:t xml:space="preserve"> a </w:t>
      </w:r>
      <w:r w:rsidRPr="001B4A02">
        <w:rPr>
          <w:lang w:val="cs-CZ"/>
        </w:rPr>
        <w:t>hidradenitis suppurativa. U</w:t>
      </w:r>
      <w:r w:rsidR="001D6F43" w:rsidRPr="001B4A02">
        <w:rPr>
          <w:lang w:val="cs-CZ"/>
        </w:rPr>
        <w:t> </w:t>
      </w:r>
      <w:r w:rsidRPr="001B4A02">
        <w:rPr>
          <w:lang w:val="cs-CZ"/>
        </w:rPr>
        <w:t>pacientů s Crohnovou chorobou bylo také pozorováno snížení počtu buněk exprimujících markery zánětlivých faktorů v tlustém střevě, což zahrnovalo i významný pokles exprese TNFα. Endoskopické zkoumání střevní sliznice jednoznačně prokázalo slizniční hojení u pacientů léčených adalimumabem.</w:t>
      </w:r>
    </w:p>
    <w:p w14:paraId="6A3FC036" w14:textId="77777777" w:rsidR="00DB5C44" w:rsidRPr="001B4A02" w:rsidRDefault="00DB5C44" w:rsidP="00ED48A3">
      <w:pPr>
        <w:pStyle w:val="EMEAHeadingUnderline"/>
        <w:spacing w:beforeLines="0" w:before="0" w:afterLines="0" w:after="0"/>
        <w:rPr>
          <w:lang w:val="cs-CZ"/>
        </w:rPr>
      </w:pPr>
    </w:p>
    <w:p w14:paraId="2ABDCB3C" w14:textId="77777777" w:rsidR="00DB5C44" w:rsidRPr="001B4A02" w:rsidRDefault="00000000" w:rsidP="00ED48A3">
      <w:pPr>
        <w:keepNext/>
        <w:ind w:left="0" w:firstLine="0"/>
        <w:rPr>
          <w:u w:val="single"/>
        </w:rPr>
      </w:pPr>
      <w:r w:rsidRPr="001B4A02">
        <w:rPr>
          <w:u w:val="single"/>
        </w:rPr>
        <w:t>Klinická účinnost</w:t>
      </w:r>
      <w:r w:rsidR="002378E0">
        <w:rPr>
          <w:u w:val="single"/>
        </w:rPr>
        <w:t xml:space="preserve"> a </w:t>
      </w:r>
      <w:r w:rsidRPr="001B4A02">
        <w:rPr>
          <w:u w:val="single"/>
        </w:rPr>
        <w:t>bezpečnost</w:t>
      </w:r>
    </w:p>
    <w:p w14:paraId="4E2A7AB0" w14:textId="77777777" w:rsidR="00E7724C" w:rsidRPr="001B4A02" w:rsidRDefault="00E7724C" w:rsidP="00ED48A3">
      <w:pPr>
        <w:pStyle w:val="EMEANormal"/>
        <w:keepNext/>
        <w:rPr>
          <w:lang w:val="cs-CZ"/>
        </w:rPr>
      </w:pPr>
    </w:p>
    <w:p w14:paraId="4EB18D20" w14:textId="77777777" w:rsidR="00D259AA" w:rsidRPr="001B4A02" w:rsidRDefault="00000000" w:rsidP="003B610F">
      <w:pPr>
        <w:pStyle w:val="EMEAHeadingUnderline"/>
        <w:keepNext/>
        <w:tabs>
          <w:tab w:val="clear" w:pos="562"/>
        </w:tabs>
        <w:suppressAutoHyphens w:val="0"/>
        <w:spacing w:beforeLines="0" w:before="0" w:afterLines="0" w:after="0"/>
        <w:rPr>
          <w:i/>
          <w:u w:val="none"/>
          <w:lang w:val="cs-CZ"/>
        </w:rPr>
      </w:pPr>
      <w:r w:rsidRPr="001B4A02">
        <w:rPr>
          <w:i/>
          <w:u w:val="none"/>
          <w:lang w:val="cs-CZ"/>
        </w:rPr>
        <w:t>Revmatoidní artritida</w:t>
      </w:r>
    </w:p>
    <w:p w14:paraId="0C7FE0A4" w14:textId="77777777" w:rsidR="00D259AA" w:rsidRPr="001B4A02" w:rsidRDefault="00D259AA" w:rsidP="003B610F">
      <w:pPr>
        <w:keepNext/>
        <w:ind w:left="0" w:firstLine="0"/>
      </w:pPr>
    </w:p>
    <w:p w14:paraId="20D9A927" w14:textId="77777777" w:rsidR="00D259AA" w:rsidRPr="001B4A02" w:rsidRDefault="00000000" w:rsidP="00D259AA">
      <w:pPr>
        <w:ind w:left="0" w:firstLine="0"/>
      </w:pPr>
      <w:r w:rsidRPr="001B4A02">
        <w:t>Přípravek Humira byl hodnocen u více než 3 000 pacientů ve všech klinických studiích s revmatoidní artritidou. Účinnost</w:t>
      </w:r>
      <w:r w:rsidR="002378E0">
        <w:t xml:space="preserve"> a </w:t>
      </w:r>
      <w:r w:rsidRPr="001B4A02">
        <w:t>bezpečnost přípravku Humira byly hodnoceny v 5 randomizovaných, dvojitě zaslepených</w:t>
      </w:r>
      <w:r w:rsidR="002378E0">
        <w:t xml:space="preserve"> a </w:t>
      </w:r>
      <w:r w:rsidRPr="001B4A02">
        <w:t xml:space="preserve">dobře kontrolovaných studiích. Někteří pacienti byli léčeni </w:t>
      </w:r>
      <w:r w:rsidRPr="001B4A02">
        <w:rPr>
          <w:szCs w:val="22"/>
        </w:rPr>
        <w:t>po dobu až 120 </w:t>
      </w:r>
      <w:r w:rsidRPr="001B4A02">
        <w:t>měsíců. Bolest v místě injekčního vpichu přípravku Humira 40</w:t>
      </w:r>
      <w:r w:rsidR="00874DE1" w:rsidRPr="00005EC2">
        <w:rPr>
          <w:szCs w:val="22"/>
        </w:rPr>
        <w:t> </w:t>
      </w:r>
      <w:r w:rsidRPr="001B4A02">
        <w:t>mg/0,4</w:t>
      </w:r>
      <w:r w:rsidR="00874DE1" w:rsidRPr="00005EC2">
        <w:rPr>
          <w:szCs w:val="22"/>
        </w:rPr>
        <w:t> </w:t>
      </w:r>
      <w:r w:rsidRPr="001B4A02">
        <w:t xml:space="preserve">ml byla hodnocena ve dvou randomizovaných, aktivně kontrolovaných, dvojitě zaslepených, </w:t>
      </w:r>
      <w:r w:rsidR="007E3412">
        <w:t>z</w:t>
      </w:r>
      <w:r w:rsidRPr="001B4A02">
        <w:t>křížených studiích ve dvou obdobích.</w:t>
      </w:r>
    </w:p>
    <w:p w14:paraId="593B1223" w14:textId="77777777" w:rsidR="00D259AA" w:rsidRPr="001B4A02" w:rsidRDefault="00D259AA" w:rsidP="00D259AA">
      <w:pPr>
        <w:ind w:left="0" w:firstLine="0"/>
      </w:pPr>
    </w:p>
    <w:p w14:paraId="4A33A1CE" w14:textId="77777777" w:rsidR="00D259AA" w:rsidRPr="001B4A02" w:rsidRDefault="00000000" w:rsidP="00D259AA">
      <w:pPr>
        <w:ind w:left="0" w:firstLine="0"/>
      </w:pPr>
      <w:r w:rsidRPr="001B4A02">
        <w:t>Ve studii RA I bylo hodnoceno 271 pacientů se středně těžkou až těžkou aktivní revmatoidní artritidou, kteří byli ve věku 18 let</w:t>
      </w:r>
      <w:r w:rsidR="002378E0">
        <w:t xml:space="preserve"> a </w:t>
      </w:r>
      <w:r w:rsidRPr="001B4A02">
        <w:t>starší</w:t>
      </w:r>
      <w:r w:rsidR="002378E0">
        <w:t xml:space="preserve"> a </w:t>
      </w:r>
      <w:r w:rsidRPr="001B4A02">
        <w:t>selhala u nich léčba nejméně jedním chorobu modifikujícím antirevmatickým lékem</w:t>
      </w:r>
      <w:r w:rsidR="002378E0">
        <w:t xml:space="preserve"> a </w:t>
      </w:r>
      <w:r w:rsidRPr="001B4A02">
        <w:t>léčba methotrexátem v dávkách 12,5–25 mg (10 mg v případě nesnášenlivosti methotrexátu) jednou týdně nebyla dostatečně účinná, při konstantní dávce 10–25 mg methotrexátu jednou týdně. Pacienti dostávali dávky 20, 40 nebo 80 mg přípravku Humira nebo placebo každý druhý týden po dobu 24 týdnů.</w:t>
      </w:r>
    </w:p>
    <w:p w14:paraId="39D3348D" w14:textId="77777777" w:rsidR="00D259AA" w:rsidRPr="001B4A02" w:rsidRDefault="00D259AA" w:rsidP="00D259AA">
      <w:pPr>
        <w:ind w:left="0" w:firstLine="0"/>
      </w:pPr>
    </w:p>
    <w:p w14:paraId="7693E175" w14:textId="77777777" w:rsidR="00D259AA" w:rsidRPr="001B4A02" w:rsidRDefault="00000000" w:rsidP="00D259AA">
      <w:pPr>
        <w:ind w:left="0" w:firstLine="0"/>
      </w:pPr>
      <w:r w:rsidRPr="001B4A02">
        <w:t>Ve studii RA II bylo hodnoceno 544 pacientů se středně těžkou až těžkou aktivní revmatoidní artritidou, kteří byli ve věku 18 let</w:t>
      </w:r>
      <w:r w:rsidR="002378E0">
        <w:t xml:space="preserve"> a </w:t>
      </w:r>
      <w:r w:rsidRPr="001B4A02">
        <w:t>starší</w:t>
      </w:r>
      <w:r w:rsidR="002378E0">
        <w:t xml:space="preserve"> a </w:t>
      </w:r>
      <w:r w:rsidRPr="001B4A02">
        <w:t>selhala u nich léčba nejméně jedním chorobu modifikujícím antirevmatickým lékem. Pacientům byla po dobu 26 týdnů podávána subkutánně dávka 20 nebo 40 mg přípravku Humira každý druhý týden</w:t>
      </w:r>
      <w:r w:rsidR="002378E0">
        <w:t xml:space="preserve"> a </w:t>
      </w:r>
      <w:r w:rsidRPr="001B4A02">
        <w:t>placebo v týdnu bez podání aktivní léčby nebo placebo bylo podáváno jednou týdně po stejnou dobu. Ve studii nebyly povoleny žádné jiné chorobu modifikující antirevmatické léky.</w:t>
      </w:r>
    </w:p>
    <w:p w14:paraId="223D3659" w14:textId="77777777" w:rsidR="00D259AA" w:rsidRPr="001B4A02" w:rsidRDefault="00D259AA" w:rsidP="00D259AA">
      <w:pPr>
        <w:ind w:left="0" w:firstLine="0"/>
      </w:pPr>
    </w:p>
    <w:p w14:paraId="215ABD17" w14:textId="77777777" w:rsidR="00D259AA" w:rsidRPr="001B4A02" w:rsidRDefault="00000000" w:rsidP="00D259AA">
      <w:pPr>
        <w:ind w:left="0" w:firstLine="0"/>
      </w:pPr>
      <w:r w:rsidRPr="001B4A02">
        <w:t>Ve studii RA III bylo hodnoceno 619 pacientů se středně těžkou až těžkou aktivní revmatoidní artritidou, kteří byli ve věku 18 let</w:t>
      </w:r>
      <w:r w:rsidR="002378E0">
        <w:t xml:space="preserve"> a </w:t>
      </w:r>
      <w:r w:rsidRPr="001B4A02">
        <w:t>starší</w:t>
      </w:r>
      <w:r w:rsidR="002378E0">
        <w:t xml:space="preserve"> a </w:t>
      </w:r>
      <w:r w:rsidRPr="001B4A02">
        <w:t>u kterých nebyla odpověď na léčbu methotrexátem v dávkách 12,5–25 mg dostatečná nebo v případě nesnášenlivosti methotrexátu v dávce 10</w:t>
      </w:r>
      <w:r w:rsidR="00874DE1">
        <w:t> mg</w:t>
      </w:r>
      <w:r w:rsidRPr="001B4A02">
        <w:t xml:space="preserve"> týdně. Ve studii byly tři skupiny. První skupina dostávala injekce placeba jednou týdně po dobu 52 týdnů. Druhá skupina dostávala přípravek Humira 20 mg jednou týdně po dobu 52 týdnů. Třetí skupina byla léčena přípravkem Humira 40 mg každý druhý týden, přičemž v týdnu bez podávání aktivní látky dostávali pacienti placebo. Po ukončení prvních 52 týdnů bylo 457 pacientů zařazeno do otevřené prodloužené fáze studie, kdy bylo podáváno 40</w:t>
      </w:r>
      <w:r w:rsidR="00874DE1" w:rsidRPr="00005EC2">
        <w:rPr>
          <w:szCs w:val="22"/>
        </w:rPr>
        <w:t> </w:t>
      </w:r>
      <w:r w:rsidRPr="001B4A02">
        <w:t>mg</w:t>
      </w:r>
      <w:r w:rsidR="00874DE1">
        <w:t xml:space="preserve"> </w:t>
      </w:r>
      <w:r w:rsidRPr="001B4A02">
        <w:t>přípravku Humira/MTX každý druhý týden</w:t>
      </w:r>
      <w:r w:rsidRPr="001B4A02">
        <w:rPr>
          <w:szCs w:val="22"/>
        </w:rPr>
        <w:t xml:space="preserve"> po dobu až 10 let</w:t>
      </w:r>
      <w:r w:rsidRPr="001B4A02">
        <w:t>.</w:t>
      </w:r>
    </w:p>
    <w:p w14:paraId="3114DD25" w14:textId="77777777" w:rsidR="00D259AA" w:rsidRPr="001B4A02" w:rsidRDefault="00D259AA" w:rsidP="00D259AA">
      <w:pPr>
        <w:ind w:left="0" w:firstLine="0"/>
      </w:pPr>
    </w:p>
    <w:p w14:paraId="08749A5A" w14:textId="77777777" w:rsidR="00D259AA" w:rsidRPr="001B4A02" w:rsidRDefault="00000000" w:rsidP="00D259AA">
      <w:pPr>
        <w:ind w:left="0" w:firstLine="0"/>
      </w:pPr>
      <w:r w:rsidRPr="001B4A02">
        <w:t>Studie RA IV primárně hodnotila bezpečnost léčby u 636 pacientů se středně těžkou až těžkou aktivní revmatoidní artritidou, kteří byli ve věku 18 let</w:t>
      </w:r>
      <w:r w:rsidR="002378E0">
        <w:t xml:space="preserve"> a </w:t>
      </w:r>
      <w:r w:rsidRPr="001B4A02">
        <w:t>starší. Studie se mohli zúčastnit pacienti, kteří dosud neužívali chorobu modifikující antirevmatické léky, i pacienti, kteří byli i v průběhu studie léčeni revmatologickou léčbou za předpokladu, že tato terapie byla stabilní po dobu nejméně 28 dní. Jednalo se o léčbu methotrexátem, leflunomidem, hydroxychlorochinem, sulfasalazinem a/nebo solemi zlata. Pacienti byli randomizováni na léčbu 40 mg přípravku Humira nebo placeba každý druhý týden po dobu 24 týdnů.</w:t>
      </w:r>
    </w:p>
    <w:p w14:paraId="7C52343A" w14:textId="77777777" w:rsidR="00D259AA" w:rsidRPr="001B4A02" w:rsidRDefault="00D259AA" w:rsidP="00D259AA">
      <w:pPr>
        <w:ind w:left="0" w:firstLine="0"/>
      </w:pPr>
    </w:p>
    <w:p w14:paraId="78AA847C" w14:textId="77777777" w:rsidR="00D259AA" w:rsidRPr="001B4A02" w:rsidRDefault="00000000" w:rsidP="00D259AA">
      <w:pPr>
        <w:ind w:left="0" w:firstLine="0"/>
      </w:pPr>
      <w:r w:rsidRPr="001B4A02">
        <w:t>Studie RA V hodnotila 799 dospělých pacientů se středně až výrazně aktivní časnou revmatoidní artritidou dosud neléčených methotrexátem (průměrné trvání nemoci méně než 9 měsíců). Tato studie hodnotila účinnost přípravku Humira 40 mg podávaného každý druhý týden/v kombin</w:t>
      </w:r>
      <w:r w:rsidR="00D0259F">
        <w:t>ované</w:t>
      </w:r>
      <w:r w:rsidRPr="001B4A02">
        <w:t xml:space="preserve"> terapii s methotrexátem, přípravku Humira 40 mg každý druhý týden v monoterapii</w:t>
      </w:r>
      <w:r w:rsidR="002378E0">
        <w:t xml:space="preserve"> a </w:t>
      </w:r>
      <w:r w:rsidRPr="001B4A02">
        <w:t xml:space="preserve">methotrexátu v monoterapii na snížení </w:t>
      </w:r>
      <w:r w:rsidR="00181641">
        <w:t>známek</w:t>
      </w:r>
      <w:r w:rsidR="002378E0">
        <w:t xml:space="preserve"> a </w:t>
      </w:r>
      <w:r w:rsidRPr="001B4A02">
        <w:t>příznaků</w:t>
      </w:r>
      <w:r w:rsidR="002378E0">
        <w:t xml:space="preserve"> a </w:t>
      </w:r>
      <w:r w:rsidRPr="001B4A02">
        <w:t>rychlost progrese poškození kloubů u revmatoidní artritidy po dobu 104 týdnů. Po ukončení prvních 104 týdnů bylo 497 pacientů zařazeno do otevřené prodloužené fáze, ve které bylo 40</w:t>
      </w:r>
      <w:r w:rsidR="00874DE1">
        <w:t> mg</w:t>
      </w:r>
      <w:r w:rsidRPr="001B4A02">
        <w:t xml:space="preserve"> přípravku Humira podáváno každý druhý týden po dobu 10 let.</w:t>
      </w:r>
    </w:p>
    <w:p w14:paraId="40A98D25" w14:textId="77777777" w:rsidR="00D259AA" w:rsidRPr="001B4A02" w:rsidRDefault="00D259AA" w:rsidP="00D259AA">
      <w:pPr>
        <w:ind w:left="0" w:firstLine="0"/>
      </w:pPr>
    </w:p>
    <w:p w14:paraId="4398A746" w14:textId="77777777" w:rsidR="00D259AA" w:rsidRPr="001B4A02" w:rsidRDefault="00000000" w:rsidP="00D259AA">
      <w:pPr>
        <w:ind w:left="0" w:firstLine="0"/>
      </w:pPr>
      <w:r w:rsidRPr="001B4A02">
        <w:t>Každá z RA studií VI</w:t>
      </w:r>
      <w:r w:rsidR="002378E0">
        <w:t xml:space="preserve"> a </w:t>
      </w:r>
      <w:r w:rsidRPr="001B4A02">
        <w:t xml:space="preserve">VII hodnotila 60 pacientů </w:t>
      </w:r>
      <w:r w:rsidRPr="001B4A02">
        <w:rPr>
          <w:szCs w:val="22"/>
        </w:rPr>
        <w:t xml:space="preserve">≥ 18 let </w:t>
      </w:r>
      <w:r w:rsidRPr="001B4A02">
        <w:t>se středně těžkou až těžkou aktivní revmatoidní artritidou. Zahrnutí pacienti buď již používali přípravek Humira 40</w:t>
      </w:r>
      <w:r w:rsidR="00874DE1">
        <w:t> mg</w:t>
      </w:r>
      <w:r w:rsidRPr="001B4A02">
        <w:t>/0,8</w:t>
      </w:r>
      <w:r w:rsidR="00874DE1" w:rsidRPr="00005EC2">
        <w:rPr>
          <w:szCs w:val="22"/>
        </w:rPr>
        <w:t> </w:t>
      </w:r>
      <w:r w:rsidRPr="001B4A02">
        <w:t>ml</w:t>
      </w:r>
      <w:r w:rsidR="002378E0">
        <w:t xml:space="preserve"> a </w:t>
      </w:r>
      <w:r w:rsidRPr="001B4A02">
        <w:t xml:space="preserve">hodnotili svoji průměrnou bolest v místě injekčního vpichu jako nejméně </w:t>
      </w:r>
      <w:r w:rsidR="00874DE1">
        <w:t>3</w:t>
      </w:r>
      <w:r w:rsidR="00874DE1" w:rsidRPr="00005EC2">
        <w:rPr>
          <w:szCs w:val="22"/>
        </w:rPr>
        <w:t> </w:t>
      </w:r>
      <w:r w:rsidRPr="001B4A02">
        <w:t>cm (na škále 0–10</w:t>
      </w:r>
      <w:r w:rsidR="00874DE1" w:rsidRPr="00005EC2">
        <w:rPr>
          <w:szCs w:val="22"/>
        </w:rPr>
        <w:t> </w:t>
      </w:r>
      <w:r w:rsidRPr="001B4A02">
        <w:t>cm VAS)</w:t>
      </w:r>
      <w:r w:rsidR="00E93420" w:rsidRPr="001B4A02">
        <w:t>,</w:t>
      </w:r>
      <w:r w:rsidRPr="001B4A02">
        <w:t xml:space="preserve"> nebo se jednalo o pacienty dosud neléčené biologickou léčbou, kteří používání přípravku Humira 40</w:t>
      </w:r>
      <w:r w:rsidR="00E93420" w:rsidRPr="001B4A02">
        <w:t> </w:t>
      </w:r>
      <w:r w:rsidRPr="001B4A02">
        <w:t>mg/0,8</w:t>
      </w:r>
      <w:r w:rsidR="00E93420" w:rsidRPr="001B4A02">
        <w:t> </w:t>
      </w:r>
      <w:r w:rsidRPr="001B4A02">
        <w:t>ml zahájili. Pacienti byli randomizováni do skupiny, která dostávala jednorázovou dávku přípravku Humira 40</w:t>
      </w:r>
      <w:r w:rsidR="00874DE1">
        <w:t> mg</w:t>
      </w:r>
      <w:r w:rsidRPr="001B4A02">
        <w:t>/0,8</w:t>
      </w:r>
      <w:r w:rsidR="00874DE1" w:rsidRPr="00005EC2">
        <w:rPr>
          <w:szCs w:val="22"/>
        </w:rPr>
        <w:t> </w:t>
      </w:r>
      <w:r w:rsidRPr="001B4A02">
        <w:t>ml nebo přípravku Humira 40</w:t>
      </w:r>
      <w:r w:rsidR="00874DE1">
        <w:t> mg</w:t>
      </w:r>
      <w:r w:rsidRPr="001B4A02">
        <w:t>/0,4</w:t>
      </w:r>
      <w:r w:rsidR="00874DE1" w:rsidRPr="00005EC2">
        <w:rPr>
          <w:szCs w:val="22"/>
        </w:rPr>
        <w:t> </w:t>
      </w:r>
      <w:r w:rsidRPr="001B4A02">
        <w:t>ml, následovanou jednorázovou injekcí opačné léčby při další dávce.</w:t>
      </w:r>
    </w:p>
    <w:p w14:paraId="5255F24F" w14:textId="77777777" w:rsidR="00D259AA" w:rsidRPr="001B4A02" w:rsidRDefault="00D259AA" w:rsidP="00D259AA">
      <w:pPr>
        <w:ind w:left="0" w:firstLine="0"/>
      </w:pPr>
    </w:p>
    <w:p w14:paraId="463D9E49" w14:textId="77777777" w:rsidR="00D259AA" w:rsidRPr="001B4A02" w:rsidRDefault="00000000" w:rsidP="00D259AA">
      <w:pPr>
        <w:ind w:left="0" w:firstLine="0"/>
      </w:pPr>
      <w:r w:rsidRPr="001B4A02">
        <w:t>Primárním cílovým parametrem ve studiích RA I, II</w:t>
      </w:r>
      <w:r w:rsidR="002378E0">
        <w:t xml:space="preserve"> a </w:t>
      </w:r>
      <w:r w:rsidRPr="001B4A02">
        <w:t>III</w:t>
      </w:r>
      <w:r w:rsidR="002378E0">
        <w:t xml:space="preserve"> a </w:t>
      </w:r>
      <w:r w:rsidRPr="001B4A02">
        <w:t xml:space="preserve">sekundárním cílovým parametrem ve studii RA IV bylo procento pacientů, kteří dosáhli odpověď ACR 20 </w:t>
      </w:r>
      <w:r w:rsidR="00D00F8F">
        <w:t>v</w:t>
      </w:r>
      <w:r w:rsidR="005D2EB7">
        <w:t> </w:t>
      </w:r>
      <w:r w:rsidR="00D00F8F">
        <w:t>týdnu 24 nebo 26</w:t>
      </w:r>
      <w:r w:rsidRPr="001B4A02">
        <w:t>. Primárním cílovým parametrem ve studii RA V bylo procento pacientů, kteří dosáhli odpověď ACR 50 v týdnu 52. Ve studiích RA III</w:t>
      </w:r>
      <w:r w:rsidR="002378E0">
        <w:t xml:space="preserve"> a </w:t>
      </w:r>
      <w:r w:rsidRPr="001B4A02">
        <w:t xml:space="preserve">V bylo dalším primárním cílovým parametrem </w:t>
      </w:r>
      <w:r w:rsidR="00D00F8F">
        <w:t>v</w:t>
      </w:r>
      <w:r w:rsidR="005D2EB7">
        <w:t> </w:t>
      </w:r>
      <w:r w:rsidR="00D00F8F">
        <w:t>týdnu 52</w:t>
      </w:r>
      <w:r w:rsidR="00974EB9">
        <w:t xml:space="preserve"> </w:t>
      </w:r>
      <w:r w:rsidRPr="001B4A02">
        <w:t>zpomalení progrese onemocnění (stanovené pomocí RTG vyšetření). Studie RA III měla také primárním cílovým parametrem změnu kvality života. Primárním cílovým parametrem RA studií VI</w:t>
      </w:r>
      <w:r w:rsidR="002378E0">
        <w:t xml:space="preserve"> a </w:t>
      </w:r>
      <w:r w:rsidRPr="001B4A02">
        <w:t>VII byla bolest v místě injekčního vpichu ihned po podání injekce, měřeno za použití škály 0–10</w:t>
      </w:r>
      <w:r w:rsidR="00B76F26" w:rsidRPr="00005EC2">
        <w:rPr>
          <w:szCs w:val="22"/>
        </w:rPr>
        <w:t> </w:t>
      </w:r>
      <w:r w:rsidRPr="001B4A02">
        <w:t>cm VAS.</w:t>
      </w:r>
    </w:p>
    <w:p w14:paraId="44EE2B57" w14:textId="77777777" w:rsidR="00D259AA" w:rsidRPr="001B4A02" w:rsidRDefault="00D259AA" w:rsidP="00D259AA">
      <w:pPr>
        <w:ind w:left="0" w:firstLine="0"/>
      </w:pPr>
    </w:p>
    <w:p w14:paraId="000173C3" w14:textId="77777777" w:rsidR="00D259AA" w:rsidRPr="001B4A02" w:rsidRDefault="00000000" w:rsidP="003B610F">
      <w:pPr>
        <w:keepNext/>
        <w:ind w:left="0" w:firstLine="0"/>
        <w:rPr>
          <w:i/>
          <w:u w:val="single"/>
        </w:rPr>
      </w:pPr>
      <w:r w:rsidRPr="001B4A02">
        <w:rPr>
          <w:i/>
          <w:u w:val="single"/>
        </w:rPr>
        <w:t>ACR odpověď</w:t>
      </w:r>
    </w:p>
    <w:p w14:paraId="52C2BA6F" w14:textId="77777777" w:rsidR="00D259AA" w:rsidRPr="001B4A02" w:rsidRDefault="00D259AA" w:rsidP="003B610F">
      <w:pPr>
        <w:keepNext/>
        <w:ind w:left="0" w:firstLine="0"/>
      </w:pPr>
    </w:p>
    <w:p w14:paraId="13770FD1" w14:textId="77777777" w:rsidR="00D259AA" w:rsidRPr="001B4A02" w:rsidRDefault="00000000" w:rsidP="00D259AA">
      <w:pPr>
        <w:ind w:left="0" w:firstLine="0"/>
      </w:pPr>
      <w:r w:rsidRPr="001B4A02">
        <w:t>Procento pacientů léčených přípravkem Humira, kteří dosáhli odpověď ACR 20, 50</w:t>
      </w:r>
      <w:r w:rsidR="002378E0">
        <w:t xml:space="preserve"> a </w:t>
      </w:r>
      <w:r w:rsidRPr="001B4A02">
        <w:t>70, bylo ve studiích RA I, II</w:t>
      </w:r>
      <w:r w:rsidR="002378E0">
        <w:t xml:space="preserve"> a </w:t>
      </w:r>
      <w:r w:rsidRPr="001B4A02">
        <w:t xml:space="preserve">III shodné. Výsledky při podávání dávky 40 mg každý druhý týden jsou shrnuty v tabulce </w:t>
      </w:r>
      <w:r w:rsidR="00E331EB">
        <w:t>5</w:t>
      </w:r>
      <w:r w:rsidRPr="001B4A02">
        <w:t>.</w:t>
      </w:r>
    </w:p>
    <w:p w14:paraId="59A67DF2" w14:textId="77777777" w:rsidR="003B610F" w:rsidRPr="001B4A02" w:rsidRDefault="003B610F" w:rsidP="00D259AA">
      <w:pPr>
        <w:ind w:left="0" w:firstLine="0"/>
      </w:pPr>
    </w:p>
    <w:p w14:paraId="633A8F85" w14:textId="77777777" w:rsidR="00D259AA" w:rsidRPr="001B4A02" w:rsidRDefault="00000000" w:rsidP="00D259AA">
      <w:pPr>
        <w:keepNext/>
        <w:ind w:left="0" w:firstLine="0"/>
        <w:jc w:val="center"/>
        <w:rPr>
          <w:b/>
          <w:szCs w:val="22"/>
        </w:rPr>
      </w:pPr>
      <w:r w:rsidRPr="001B4A02">
        <w:rPr>
          <w:b/>
          <w:szCs w:val="22"/>
        </w:rPr>
        <w:t xml:space="preserve">Tabulka </w:t>
      </w:r>
      <w:r w:rsidR="00E331EB">
        <w:rPr>
          <w:b/>
          <w:szCs w:val="22"/>
        </w:rPr>
        <w:t>5</w:t>
      </w:r>
      <w:r w:rsidR="00E331EB" w:rsidRPr="001B4A02">
        <w:rPr>
          <w:b/>
          <w:szCs w:val="22"/>
        </w:rPr>
        <w:t xml:space="preserve"> </w:t>
      </w:r>
    </w:p>
    <w:p w14:paraId="58A0BCA7" w14:textId="77777777" w:rsidR="00D259AA" w:rsidRPr="001B4A02" w:rsidRDefault="00000000" w:rsidP="00D259AA">
      <w:pPr>
        <w:keepNext/>
        <w:ind w:left="0" w:firstLine="0"/>
        <w:jc w:val="center"/>
        <w:rPr>
          <w:b/>
          <w:szCs w:val="22"/>
        </w:rPr>
      </w:pPr>
      <w:r w:rsidRPr="001B4A02">
        <w:rPr>
          <w:b/>
          <w:szCs w:val="22"/>
        </w:rPr>
        <w:t>ACR odpověď v placebem kontrolovaných studiích</w:t>
      </w:r>
    </w:p>
    <w:p w14:paraId="29723C9E" w14:textId="77777777" w:rsidR="00D259AA" w:rsidRPr="001B4A02" w:rsidRDefault="00000000" w:rsidP="00D259AA">
      <w:pPr>
        <w:keepNext/>
        <w:ind w:left="0" w:firstLine="0"/>
        <w:jc w:val="center"/>
        <w:rPr>
          <w:b/>
          <w:szCs w:val="22"/>
        </w:rPr>
      </w:pPr>
      <w:r w:rsidRPr="001B4A02">
        <w:rPr>
          <w:b/>
          <w:szCs w:val="22"/>
        </w:rPr>
        <w:t>(Procento pacientů)</w:t>
      </w:r>
    </w:p>
    <w:tbl>
      <w:tblPr>
        <w:tblW w:w="9124" w:type="dxa"/>
        <w:tblInd w:w="16" w:type="dxa"/>
        <w:tblLayout w:type="fixed"/>
        <w:tblCellMar>
          <w:left w:w="0" w:type="dxa"/>
          <w:right w:w="0" w:type="dxa"/>
        </w:tblCellMar>
        <w:tblLook w:val="0000" w:firstRow="0" w:lastRow="0" w:firstColumn="0" w:lastColumn="0" w:noHBand="0" w:noVBand="0"/>
      </w:tblPr>
      <w:tblGrid>
        <w:gridCol w:w="1080"/>
        <w:gridCol w:w="1456"/>
        <w:gridCol w:w="1559"/>
        <w:gridCol w:w="992"/>
        <w:gridCol w:w="993"/>
        <w:gridCol w:w="1417"/>
        <w:gridCol w:w="1627"/>
      </w:tblGrid>
      <w:tr w:rsidR="00534A2D" w14:paraId="07766771" w14:textId="77777777" w:rsidTr="00D45BC2">
        <w:tc>
          <w:tcPr>
            <w:tcW w:w="9124" w:type="dxa"/>
            <w:gridSpan w:val="7"/>
            <w:tcBorders>
              <w:bottom w:val="single" w:sz="4" w:space="0" w:color="auto"/>
            </w:tcBorders>
          </w:tcPr>
          <w:p w14:paraId="1E8C4D19" w14:textId="77777777" w:rsidR="00D259AA" w:rsidRPr="001B4A02" w:rsidRDefault="00D259AA" w:rsidP="00D45BC2">
            <w:pPr>
              <w:keepNext/>
              <w:ind w:left="0" w:firstLine="0"/>
              <w:rPr>
                <w:szCs w:val="22"/>
              </w:rPr>
            </w:pPr>
          </w:p>
        </w:tc>
      </w:tr>
      <w:tr w:rsidR="00534A2D" w14:paraId="6FE3DA9A" w14:textId="77777777" w:rsidTr="00D45BC2">
        <w:trPr>
          <w:cantSplit/>
        </w:trPr>
        <w:tc>
          <w:tcPr>
            <w:tcW w:w="1080" w:type="dxa"/>
            <w:tcBorders>
              <w:top w:val="single" w:sz="4" w:space="0" w:color="auto"/>
              <w:left w:val="single" w:sz="4" w:space="0" w:color="auto"/>
              <w:right w:val="single" w:sz="6" w:space="0" w:color="auto"/>
            </w:tcBorders>
          </w:tcPr>
          <w:p w14:paraId="646B05BB" w14:textId="77777777" w:rsidR="00D259AA" w:rsidRPr="001B4A02" w:rsidRDefault="00000000" w:rsidP="00D45BC2">
            <w:pPr>
              <w:keepNext/>
              <w:ind w:left="0" w:firstLine="0"/>
              <w:rPr>
                <w:szCs w:val="22"/>
              </w:rPr>
            </w:pPr>
            <w:r w:rsidRPr="001B4A02">
              <w:rPr>
                <w:szCs w:val="22"/>
              </w:rPr>
              <w:t>Odpověď</w:t>
            </w:r>
          </w:p>
        </w:tc>
        <w:tc>
          <w:tcPr>
            <w:tcW w:w="3015" w:type="dxa"/>
            <w:gridSpan w:val="2"/>
            <w:tcBorders>
              <w:top w:val="single" w:sz="4" w:space="0" w:color="auto"/>
              <w:left w:val="single" w:sz="6" w:space="0" w:color="auto"/>
              <w:bottom w:val="single" w:sz="4" w:space="0" w:color="auto"/>
              <w:right w:val="single" w:sz="6" w:space="0" w:color="auto"/>
            </w:tcBorders>
          </w:tcPr>
          <w:p w14:paraId="78C7D329" w14:textId="77777777" w:rsidR="00D259AA" w:rsidRPr="001B4A02" w:rsidRDefault="00000000" w:rsidP="00D45BC2">
            <w:pPr>
              <w:keepNext/>
              <w:ind w:left="0" w:firstLine="0"/>
              <w:jc w:val="center"/>
              <w:rPr>
                <w:szCs w:val="22"/>
              </w:rPr>
            </w:pPr>
            <w:r w:rsidRPr="001B4A02">
              <w:rPr>
                <w:szCs w:val="22"/>
              </w:rPr>
              <w:t>Studie RA I</w:t>
            </w:r>
            <w:r w:rsidRPr="001B4A02">
              <w:rPr>
                <w:szCs w:val="22"/>
                <w:vertAlign w:val="superscript"/>
              </w:rPr>
              <w:t>a</w:t>
            </w:r>
            <w:r w:rsidRPr="001B4A02">
              <w:rPr>
                <w:szCs w:val="22"/>
              </w:rPr>
              <w:t>**</w:t>
            </w:r>
          </w:p>
        </w:tc>
        <w:tc>
          <w:tcPr>
            <w:tcW w:w="1985" w:type="dxa"/>
            <w:gridSpan w:val="2"/>
            <w:tcBorders>
              <w:top w:val="single" w:sz="4" w:space="0" w:color="auto"/>
              <w:left w:val="single" w:sz="6" w:space="0" w:color="auto"/>
              <w:bottom w:val="single" w:sz="4" w:space="0" w:color="auto"/>
              <w:right w:val="single" w:sz="6" w:space="0" w:color="auto"/>
            </w:tcBorders>
          </w:tcPr>
          <w:p w14:paraId="24FCD23E" w14:textId="77777777" w:rsidR="00D259AA" w:rsidRPr="001B4A02" w:rsidRDefault="00000000" w:rsidP="00D45BC2">
            <w:pPr>
              <w:keepNext/>
              <w:ind w:left="0" w:firstLine="0"/>
              <w:jc w:val="center"/>
              <w:rPr>
                <w:szCs w:val="22"/>
              </w:rPr>
            </w:pPr>
            <w:r w:rsidRPr="001B4A02">
              <w:rPr>
                <w:szCs w:val="22"/>
              </w:rPr>
              <w:t>Studie RA II</w:t>
            </w:r>
            <w:r w:rsidRPr="001B4A02">
              <w:rPr>
                <w:szCs w:val="22"/>
                <w:vertAlign w:val="superscript"/>
              </w:rPr>
              <w:t>a</w:t>
            </w:r>
            <w:r w:rsidRPr="001B4A02">
              <w:rPr>
                <w:szCs w:val="22"/>
              </w:rPr>
              <w:t>**</w:t>
            </w:r>
          </w:p>
        </w:tc>
        <w:tc>
          <w:tcPr>
            <w:tcW w:w="3044" w:type="dxa"/>
            <w:gridSpan w:val="2"/>
            <w:tcBorders>
              <w:top w:val="single" w:sz="4" w:space="0" w:color="auto"/>
              <w:left w:val="single" w:sz="6" w:space="0" w:color="auto"/>
              <w:bottom w:val="single" w:sz="4" w:space="0" w:color="auto"/>
              <w:right w:val="single" w:sz="4" w:space="0" w:color="auto"/>
            </w:tcBorders>
          </w:tcPr>
          <w:p w14:paraId="121A623A" w14:textId="77777777" w:rsidR="00D259AA" w:rsidRPr="001B4A02" w:rsidRDefault="00000000" w:rsidP="00D45BC2">
            <w:pPr>
              <w:keepNext/>
              <w:ind w:left="0" w:firstLine="0"/>
              <w:jc w:val="center"/>
              <w:rPr>
                <w:szCs w:val="22"/>
              </w:rPr>
            </w:pPr>
            <w:r w:rsidRPr="001B4A02">
              <w:rPr>
                <w:szCs w:val="22"/>
              </w:rPr>
              <w:t>Studie RA III</w:t>
            </w:r>
            <w:r w:rsidRPr="001B4A02">
              <w:rPr>
                <w:szCs w:val="22"/>
                <w:vertAlign w:val="superscript"/>
              </w:rPr>
              <w:t>a</w:t>
            </w:r>
            <w:r w:rsidRPr="001B4A02">
              <w:rPr>
                <w:szCs w:val="22"/>
              </w:rPr>
              <w:t>**</w:t>
            </w:r>
          </w:p>
          <w:p w14:paraId="19370C69" w14:textId="77777777" w:rsidR="00D259AA" w:rsidRPr="001B4A02" w:rsidRDefault="00D259AA" w:rsidP="00D45BC2">
            <w:pPr>
              <w:keepNext/>
              <w:ind w:left="0" w:firstLine="0"/>
              <w:jc w:val="center"/>
              <w:rPr>
                <w:szCs w:val="22"/>
              </w:rPr>
            </w:pPr>
          </w:p>
        </w:tc>
      </w:tr>
      <w:tr w:rsidR="00534A2D" w14:paraId="0C961535" w14:textId="77777777" w:rsidTr="00D45BC2">
        <w:trPr>
          <w:cantSplit/>
        </w:trPr>
        <w:tc>
          <w:tcPr>
            <w:tcW w:w="1080" w:type="dxa"/>
            <w:tcBorders>
              <w:left w:val="single" w:sz="4" w:space="0" w:color="auto"/>
              <w:bottom w:val="single" w:sz="4" w:space="0" w:color="auto"/>
              <w:right w:val="single" w:sz="4" w:space="0" w:color="auto"/>
            </w:tcBorders>
          </w:tcPr>
          <w:p w14:paraId="13464A92" w14:textId="77777777" w:rsidR="00D259AA" w:rsidRPr="001B4A02" w:rsidRDefault="00D259AA" w:rsidP="00D45BC2">
            <w:pPr>
              <w:keepNext/>
              <w:ind w:left="0" w:firstLine="0"/>
              <w:rPr>
                <w:szCs w:val="22"/>
              </w:rPr>
            </w:pPr>
          </w:p>
        </w:tc>
        <w:tc>
          <w:tcPr>
            <w:tcW w:w="1456" w:type="dxa"/>
            <w:tcBorders>
              <w:top w:val="single" w:sz="4" w:space="0" w:color="auto"/>
              <w:left w:val="single" w:sz="4" w:space="0" w:color="auto"/>
              <w:bottom w:val="single" w:sz="4" w:space="0" w:color="auto"/>
              <w:right w:val="single" w:sz="4" w:space="0" w:color="auto"/>
            </w:tcBorders>
          </w:tcPr>
          <w:p w14:paraId="0AA78A00" w14:textId="77777777" w:rsidR="00D259AA" w:rsidRPr="001B4A02" w:rsidRDefault="00000000" w:rsidP="00D45BC2">
            <w:pPr>
              <w:keepNext/>
              <w:ind w:left="0" w:firstLine="0"/>
              <w:jc w:val="center"/>
              <w:rPr>
                <w:szCs w:val="22"/>
              </w:rPr>
            </w:pPr>
            <w:r w:rsidRPr="001B4A02">
              <w:rPr>
                <w:szCs w:val="22"/>
              </w:rPr>
              <w:t>Placebo/MTX</w:t>
            </w:r>
            <w:r w:rsidRPr="001B4A02">
              <w:rPr>
                <w:szCs w:val="22"/>
                <w:vertAlign w:val="superscript"/>
              </w:rPr>
              <w:t>c</w:t>
            </w:r>
          </w:p>
          <w:p w14:paraId="5865D600" w14:textId="77777777" w:rsidR="00D259AA" w:rsidRPr="001B4A02" w:rsidRDefault="00000000" w:rsidP="00D45BC2">
            <w:pPr>
              <w:keepNext/>
              <w:ind w:left="0" w:firstLine="0"/>
              <w:jc w:val="center"/>
              <w:rPr>
                <w:szCs w:val="22"/>
              </w:rPr>
            </w:pPr>
            <w:r w:rsidRPr="001B4A02">
              <w:rPr>
                <w:szCs w:val="22"/>
              </w:rPr>
              <w:t>n=60</w:t>
            </w:r>
          </w:p>
        </w:tc>
        <w:tc>
          <w:tcPr>
            <w:tcW w:w="1559" w:type="dxa"/>
            <w:tcBorders>
              <w:top w:val="single" w:sz="4" w:space="0" w:color="auto"/>
              <w:left w:val="single" w:sz="4" w:space="0" w:color="auto"/>
              <w:bottom w:val="single" w:sz="4" w:space="0" w:color="auto"/>
              <w:right w:val="single" w:sz="4" w:space="0" w:color="auto"/>
            </w:tcBorders>
          </w:tcPr>
          <w:p w14:paraId="55CF9A16" w14:textId="77777777" w:rsidR="00D259AA" w:rsidRPr="001B4A02" w:rsidRDefault="00000000" w:rsidP="00D45BC2">
            <w:pPr>
              <w:keepNext/>
              <w:ind w:left="0" w:firstLine="0"/>
              <w:jc w:val="center"/>
              <w:rPr>
                <w:szCs w:val="22"/>
              </w:rPr>
            </w:pPr>
            <w:r w:rsidRPr="001B4A02">
              <w:rPr>
                <w:szCs w:val="22"/>
              </w:rPr>
              <w:t>Humira</w:t>
            </w:r>
            <w:r w:rsidRPr="001B4A02">
              <w:rPr>
                <w:szCs w:val="22"/>
                <w:vertAlign w:val="superscript"/>
              </w:rPr>
              <w:t>b</w:t>
            </w:r>
            <w:r w:rsidRPr="001B4A02">
              <w:rPr>
                <w:szCs w:val="22"/>
              </w:rPr>
              <w:t>/MTX</w:t>
            </w:r>
            <w:r w:rsidRPr="001B4A02">
              <w:rPr>
                <w:szCs w:val="22"/>
                <w:vertAlign w:val="superscript"/>
              </w:rPr>
              <w:t>c</w:t>
            </w:r>
          </w:p>
          <w:p w14:paraId="185720E6" w14:textId="77777777" w:rsidR="00D259AA" w:rsidRPr="001B4A02" w:rsidRDefault="00000000" w:rsidP="00D45BC2">
            <w:pPr>
              <w:keepNext/>
              <w:ind w:left="0" w:firstLine="0"/>
              <w:jc w:val="center"/>
              <w:rPr>
                <w:szCs w:val="22"/>
              </w:rPr>
            </w:pPr>
            <w:r w:rsidRPr="001B4A02">
              <w:rPr>
                <w:szCs w:val="22"/>
              </w:rPr>
              <w:t>n=63</w:t>
            </w:r>
          </w:p>
        </w:tc>
        <w:tc>
          <w:tcPr>
            <w:tcW w:w="992" w:type="dxa"/>
            <w:tcBorders>
              <w:top w:val="single" w:sz="4" w:space="0" w:color="auto"/>
              <w:left w:val="single" w:sz="4" w:space="0" w:color="auto"/>
              <w:bottom w:val="single" w:sz="4" w:space="0" w:color="auto"/>
              <w:right w:val="single" w:sz="4" w:space="0" w:color="auto"/>
            </w:tcBorders>
          </w:tcPr>
          <w:p w14:paraId="6195E867" w14:textId="77777777" w:rsidR="00D259AA" w:rsidRPr="001B4A02" w:rsidRDefault="00000000" w:rsidP="00D45BC2">
            <w:pPr>
              <w:keepNext/>
              <w:ind w:left="0" w:firstLine="0"/>
              <w:jc w:val="center"/>
              <w:rPr>
                <w:szCs w:val="22"/>
              </w:rPr>
            </w:pPr>
            <w:r w:rsidRPr="001B4A02">
              <w:rPr>
                <w:szCs w:val="22"/>
              </w:rPr>
              <w:t>Placebo</w:t>
            </w:r>
          </w:p>
          <w:p w14:paraId="4F0190E2" w14:textId="77777777" w:rsidR="00D259AA" w:rsidRPr="001B4A02" w:rsidRDefault="00000000" w:rsidP="00D45BC2">
            <w:pPr>
              <w:keepNext/>
              <w:ind w:left="0" w:firstLine="0"/>
              <w:jc w:val="center"/>
              <w:rPr>
                <w:szCs w:val="22"/>
              </w:rPr>
            </w:pPr>
            <w:r w:rsidRPr="001B4A02">
              <w:rPr>
                <w:szCs w:val="22"/>
              </w:rPr>
              <w:t>n=110</w:t>
            </w:r>
          </w:p>
        </w:tc>
        <w:tc>
          <w:tcPr>
            <w:tcW w:w="993" w:type="dxa"/>
            <w:tcBorders>
              <w:top w:val="single" w:sz="4" w:space="0" w:color="auto"/>
              <w:left w:val="single" w:sz="4" w:space="0" w:color="auto"/>
              <w:bottom w:val="single" w:sz="4" w:space="0" w:color="auto"/>
              <w:right w:val="single" w:sz="4" w:space="0" w:color="auto"/>
            </w:tcBorders>
          </w:tcPr>
          <w:p w14:paraId="0A20034C" w14:textId="77777777" w:rsidR="00D259AA" w:rsidRPr="001B4A02" w:rsidRDefault="00000000" w:rsidP="00D45BC2">
            <w:pPr>
              <w:keepNext/>
              <w:ind w:left="0" w:firstLine="0"/>
              <w:jc w:val="center"/>
              <w:rPr>
                <w:szCs w:val="22"/>
              </w:rPr>
            </w:pPr>
            <w:r w:rsidRPr="001B4A02">
              <w:rPr>
                <w:szCs w:val="22"/>
              </w:rPr>
              <w:t>Humira</w:t>
            </w:r>
            <w:r w:rsidRPr="001B4A02">
              <w:rPr>
                <w:szCs w:val="22"/>
                <w:vertAlign w:val="superscript"/>
              </w:rPr>
              <w:t>b</w:t>
            </w:r>
          </w:p>
          <w:p w14:paraId="092B423F" w14:textId="77777777" w:rsidR="00D259AA" w:rsidRPr="001B4A02" w:rsidRDefault="00000000" w:rsidP="00D45BC2">
            <w:pPr>
              <w:keepNext/>
              <w:ind w:left="0" w:firstLine="0"/>
              <w:jc w:val="center"/>
              <w:rPr>
                <w:szCs w:val="22"/>
              </w:rPr>
            </w:pPr>
            <w:r w:rsidRPr="001B4A02">
              <w:rPr>
                <w:szCs w:val="22"/>
              </w:rPr>
              <w:t>n=113</w:t>
            </w:r>
          </w:p>
        </w:tc>
        <w:tc>
          <w:tcPr>
            <w:tcW w:w="1417" w:type="dxa"/>
            <w:tcBorders>
              <w:top w:val="single" w:sz="4" w:space="0" w:color="auto"/>
              <w:left w:val="single" w:sz="4" w:space="0" w:color="auto"/>
              <w:bottom w:val="single" w:sz="4" w:space="0" w:color="auto"/>
              <w:right w:val="single" w:sz="4" w:space="0" w:color="auto"/>
            </w:tcBorders>
          </w:tcPr>
          <w:p w14:paraId="5B9910E0" w14:textId="77777777" w:rsidR="00D259AA" w:rsidRPr="001B4A02" w:rsidRDefault="00000000" w:rsidP="00D45BC2">
            <w:pPr>
              <w:keepNext/>
              <w:ind w:left="0" w:firstLine="0"/>
              <w:jc w:val="center"/>
              <w:rPr>
                <w:szCs w:val="22"/>
              </w:rPr>
            </w:pPr>
            <w:r w:rsidRPr="001B4A02">
              <w:rPr>
                <w:szCs w:val="22"/>
              </w:rPr>
              <w:t>Placebo/MTX</w:t>
            </w:r>
            <w:r w:rsidRPr="001B4A02">
              <w:rPr>
                <w:szCs w:val="22"/>
                <w:vertAlign w:val="superscript"/>
              </w:rPr>
              <w:t>c</w:t>
            </w:r>
          </w:p>
          <w:p w14:paraId="1A293EBD" w14:textId="77777777" w:rsidR="00D259AA" w:rsidRPr="001B4A02" w:rsidRDefault="00000000" w:rsidP="00D45BC2">
            <w:pPr>
              <w:keepNext/>
              <w:ind w:left="0" w:firstLine="0"/>
              <w:jc w:val="center"/>
              <w:rPr>
                <w:szCs w:val="22"/>
              </w:rPr>
            </w:pPr>
            <w:r w:rsidRPr="001B4A02">
              <w:rPr>
                <w:szCs w:val="22"/>
              </w:rPr>
              <w:t>n=200</w:t>
            </w:r>
          </w:p>
        </w:tc>
        <w:tc>
          <w:tcPr>
            <w:tcW w:w="1627" w:type="dxa"/>
            <w:tcBorders>
              <w:top w:val="single" w:sz="4" w:space="0" w:color="auto"/>
              <w:left w:val="single" w:sz="4" w:space="0" w:color="auto"/>
              <w:bottom w:val="single" w:sz="4" w:space="0" w:color="auto"/>
              <w:right w:val="single" w:sz="4" w:space="0" w:color="auto"/>
            </w:tcBorders>
          </w:tcPr>
          <w:p w14:paraId="3B589893" w14:textId="77777777" w:rsidR="00D259AA" w:rsidRPr="001B4A02" w:rsidRDefault="00000000" w:rsidP="00D45BC2">
            <w:pPr>
              <w:keepNext/>
              <w:ind w:left="0" w:firstLine="0"/>
              <w:jc w:val="center"/>
              <w:rPr>
                <w:szCs w:val="22"/>
              </w:rPr>
            </w:pPr>
            <w:r w:rsidRPr="001B4A02">
              <w:rPr>
                <w:szCs w:val="22"/>
              </w:rPr>
              <w:t>Humira</w:t>
            </w:r>
            <w:r w:rsidRPr="001B4A02">
              <w:rPr>
                <w:szCs w:val="22"/>
                <w:vertAlign w:val="superscript"/>
              </w:rPr>
              <w:t>b</w:t>
            </w:r>
            <w:r w:rsidRPr="001B4A02">
              <w:rPr>
                <w:szCs w:val="22"/>
              </w:rPr>
              <w:t>/MTX</w:t>
            </w:r>
            <w:r w:rsidRPr="001B4A02">
              <w:rPr>
                <w:szCs w:val="22"/>
                <w:vertAlign w:val="superscript"/>
              </w:rPr>
              <w:t>c</w:t>
            </w:r>
          </w:p>
          <w:p w14:paraId="50E216EB" w14:textId="77777777" w:rsidR="00D259AA" w:rsidRPr="001B4A02" w:rsidRDefault="00000000" w:rsidP="00D45BC2">
            <w:pPr>
              <w:keepNext/>
              <w:ind w:left="0" w:firstLine="0"/>
              <w:jc w:val="center"/>
              <w:rPr>
                <w:szCs w:val="22"/>
              </w:rPr>
            </w:pPr>
            <w:r w:rsidRPr="001B4A02">
              <w:rPr>
                <w:szCs w:val="22"/>
              </w:rPr>
              <w:t>n=207</w:t>
            </w:r>
          </w:p>
        </w:tc>
      </w:tr>
      <w:tr w:rsidR="00534A2D" w14:paraId="1CBA6203" w14:textId="77777777" w:rsidTr="00D45BC2">
        <w:trPr>
          <w:cantSplit/>
        </w:trPr>
        <w:tc>
          <w:tcPr>
            <w:tcW w:w="1080" w:type="dxa"/>
            <w:tcBorders>
              <w:top w:val="single" w:sz="4" w:space="0" w:color="auto"/>
              <w:left w:val="single" w:sz="4" w:space="0" w:color="auto"/>
              <w:bottom w:val="single" w:sz="4" w:space="0" w:color="auto"/>
              <w:right w:val="single" w:sz="4" w:space="0" w:color="auto"/>
            </w:tcBorders>
          </w:tcPr>
          <w:p w14:paraId="74B851F1" w14:textId="77777777" w:rsidR="00D259AA" w:rsidRPr="001B4A02" w:rsidRDefault="00000000" w:rsidP="00D45BC2">
            <w:pPr>
              <w:keepNext/>
              <w:ind w:left="0" w:firstLine="0"/>
              <w:rPr>
                <w:szCs w:val="22"/>
              </w:rPr>
            </w:pPr>
            <w:r w:rsidRPr="001B4A02">
              <w:rPr>
                <w:szCs w:val="22"/>
              </w:rPr>
              <w:t>ACR 20</w:t>
            </w:r>
          </w:p>
        </w:tc>
        <w:tc>
          <w:tcPr>
            <w:tcW w:w="1456" w:type="dxa"/>
            <w:tcBorders>
              <w:top w:val="single" w:sz="4" w:space="0" w:color="auto"/>
              <w:left w:val="single" w:sz="4" w:space="0" w:color="auto"/>
              <w:bottom w:val="single" w:sz="4" w:space="0" w:color="auto"/>
              <w:right w:val="single" w:sz="4" w:space="0" w:color="auto"/>
            </w:tcBorders>
          </w:tcPr>
          <w:p w14:paraId="5E2C7386" w14:textId="77777777" w:rsidR="00D259AA" w:rsidRPr="001B4A02" w:rsidRDefault="00D259AA" w:rsidP="00D45BC2">
            <w:pPr>
              <w:keepNext/>
              <w:ind w:left="0" w:firstLine="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14:paraId="6A58C7F3" w14:textId="77777777" w:rsidR="00D259AA" w:rsidRPr="001B4A02" w:rsidRDefault="00D259AA" w:rsidP="00D45BC2">
            <w:pPr>
              <w:keepNext/>
              <w:ind w:left="0" w:firstLine="0"/>
              <w:jc w:val="center"/>
              <w:rPr>
                <w:szCs w:val="22"/>
              </w:rPr>
            </w:pPr>
          </w:p>
        </w:tc>
        <w:tc>
          <w:tcPr>
            <w:tcW w:w="992" w:type="dxa"/>
            <w:tcBorders>
              <w:top w:val="single" w:sz="4" w:space="0" w:color="auto"/>
              <w:left w:val="single" w:sz="4" w:space="0" w:color="auto"/>
              <w:bottom w:val="single" w:sz="4" w:space="0" w:color="auto"/>
              <w:right w:val="single" w:sz="4" w:space="0" w:color="auto"/>
            </w:tcBorders>
          </w:tcPr>
          <w:p w14:paraId="6AFBA12C" w14:textId="77777777" w:rsidR="00D259AA" w:rsidRPr="001B4A02" w:rsidRDefault="00D259AA" w:rsidP="00D45BC2">
            <w:pPr>
              <w:keepNext/>
              <w:ind w:left="0" w:firstLine="0"/>
              <w:jc w:val="center"/>
              <w:rPr>
                <w:szCs w:val="22"/>
              </w:rPr>
            </w:pPr>
          </w:p>
        </w:tc>
        <w:tc>
          <w:tcPr>
            <w:tcW w:w="993" w:type="dxa"/>
            <w:tcBorders>
              <w:top w:val="single" w:sz="4" w:space="0" w:color="auto"/>
              <w:left w:val="single" w:sz="4" w:space="0" w:color="auto"/>
              <w:bottom w:val="single" w:sz="4" w:space="0" w:color="auto"/>
              <w:right w:val="single" w:sz="4" w:space="0" w:color="auto"/>
            </w:tcBorders>
          </w:tcPr>
          <w:p w14:paraId="52630467" w14:textId="77777777" w:rsidR="00D259AA" w:rsidRPr="001B4A02" w:rsidRDefault="00D259AA" w:rsidP="00D45BC2">
            <w:pPr>
              <w:keepNext/>
              <w:ind w:left="0" w:firstLine="0"/>
              <w:jc w:val="center"/>
              <w:rPr>
                <w:szCs w:val="22"/>
              </w:rPr>
            </w:pPr>
          </w:p>
        </w:tc>
        <w:tc>
          <w:tcPr>
            <w:tcW w:w="1417" w:type="dxa"/>
            <w:tcBorders>
              <w:top w:val="single" w:sz="4" w:space="0" w:color="auto"/>
              <w:left w:val="single" w:sz="4" w:space="0" w:color="auto"/>
              <w:bottom w:val="single" w:sz="4" w:space="0" w:color="auto"/>
              <w:right w:val="single" w:sz="4" w:space="0" w:color="auto"/>
            </w:tcBorders>
          </w:tcPr>
          <w:p w14:paraId="3BACC127" w14:textId="77777777" w:rsidR="00D259AA" w:rsidRPr="001B4A02" w:rsidRDefault="00D259AA" w:rsidP="00D45BC2">
            <w:pPr>
              <w:keepNext/>
              <w:ind w:left="0" w:firstLine="0"/>
              <w:jc w:val="center"/>
              <w:rPr>
                <w:szCs w:val="22"/>
              </w:rPr>
            </w:pPr>
          </w:p>
        </w:tc>
        <w:tc>
          <w:tcPr>
            <w:tcW w:w="1627" w:type="dxa"/>
            <w:tcBorders>
              <w:top w:val="single" w:sz="4" w:space="0" w:color="auto"/>
              <w:left w:val="single" w:sz="4" w:space="0" w:color="auto"/>
              <w:bottom w:val="single" w:sz="4" w:space="0" w:color="auto"/>
              <w:right w:val="single" w:sz="4" w:space="0" w:color="auto"/>
            </w:tcBorders>
          </w:tcPr>
          <w:p w14:paraId="6D7AD7EC" w14:textId="77777777" w:rsidR="00D259AA" w:rsidRPr="001B4A02" w:rsidRDefault="00D259AA" w:rsidP="00D45BC2">
            <w:pPr>
              <w:keepNext/>
              <w:ind w:left="0" w:firstLine="0"/>
              <w:jc w:val="center"/>
              <w:rPr>
                <w:szCs w:val="22"/>
              </w:rPr>
            </w:pPr>
          </w:p>
        </w:tc>
      </w:tr>
      <w:tr w:rsidR="00534A2D" w14:paraId="2368F28F" w14:textId="77777777" w:rsidTr="00D45BC2">
        <w:trPr>
          <w:cantSplit/>
        </w:trPr>
        <w:tc>
          <w:tcPr>
            <w:tcW w:w="1080" w:type="dxa"/>
            <w:tcBorders>
              <w:top w:val="single" w:sz="4" w:space="0" w:color="auto"/>
              <w:left w:val="single" w:sz="4" w:space="0" w:color="auto"/>
              <w:bottom w:val="single" w:sz="4" w:space="0" w:color="auto"/>
              <w:right w:val="single" w:sz="4" w:space="0" w:color="auto"/>
            </w:tcBorders>
          </w:tcPr>
          <w:p w14:paraId="354EC882" w14:textId="77777777" w:rsidR="00D259AA" w:rsidRPr="001B4A02" w:rsidRDefault="00000000" w:rsidP="00D45BC2">
            <w:pPr>
              <w:keepNext/>
              <w:ind w:left="0" w:firstLine="0"/>
              <w:rPr>
                <w:szCs w:val="22"/>
              </w:rPr>
            </w:pPr>
            <w:r w:rsidRPr="001B4A02">
              <w:rPr>
                <w:szCs w:val="22"/>
              </w:rPr>
              <w:t xml:space="preserve">  6 měsíců</w:t>
            </w:r>
          </w:p>
        </w:tc>
        <w:tc>
          <w:tcPr>
            <w:tcW w:w="1456" w:type="dxa"/>
            <w:tcBorders>
              <w:top w:val="single" w:sz="4" w:space="0" w:color="auto"/>
              <w:left w:val="single" w:sz="4" w:space="0" w:color="auto"/>
              <w:bottom w:val="single" w:sz="4" w:space="0" w:color="auto"/>
              <w:right w:val="single" w:sz="4" w:space="0" w:color="auto"/>
            </w:tcBorders>
          </w:tcPr>
          <w:p w14:paraId="2A6EFEA4" w14:textId="77777777" w:rsidR="00D259AA" w:rsidRPr="001B4A02" w:rsidRDefault="00000000" w:rsidP="00D45BC2">
            <w:pPr>
              <w:keepNext/>
              <w:ind w:left="0" w:firstLine="0"/>
              <w:jc w:val="center"/>
              <w:rPr>
                <w:szCs w:val="22"/>
              </w:rPr>
            </w:pPr>
            <w:r w:rsidRPr="001B4A02">
              <w:rPr>
                <w:szCs w:val="22"/>
              </w:rPr>
              <w:t>13,3 %</w:t>
            </w:r>
          </w:p>
        </w:tc>
        <w:tc>
          <w:tcPr>
            <w:tcW w:w="1559" w:type="dxa"/>
            <w:tcBorders>
              <w:top w:val="single" w:sz="4" w:space="0" w:color="auto"/>
              <w:left w:val="single" w:sz="4" w:space="0" w:color="auto"/>
              <w:bottom w:val="single" w:sz="4" w:space="0" w:color="auto"/>
              <w:right w:val="single" w:sz="4" w:space="0" w:color="auto"/>
            </w:tcBorders>
          </w:tcPr>
          <w:p w14:paraId="7F2BA421" w14:textId="77777777" w:rsidR="00D259AA" w:rsidRPr="001B4A02" w:rsidRDefault="00000000" w:rsidP="00D45BC2">
            <w:pPr>
              <w:keepNext/>
              <w:ind w:left="0" w:firstLine="0"/>
              <w:jc w:val="center"/>
              <w:rPr>
                <w:szCs w:val="22"/>
              </w:rPr>
            </w:pPr>
            <w:r w:rsidRPr="001B4A02">
              <w:rPr>
                <w:szCs w:val="22"/>
              </w:rPr>
              <w:t>65,1 %</w:t>
            </w:r>
          </w:p>
        </w:tc>
        <w:tc>
          <w:tcPr>
            <w:tcW w:w="992" w:type="dxa"/>
            <w:tcBorders>
              <w:top w:val="single" w:sz="4" w:space="0" w:color="auto"/>
              <w:left w:val="single" w:sz="4" w:space="0" w:color="auto"/>
              <w:bottom w:val="single" w:sz="4" w:space="0" w:color="auto"/>
              <w:right w:val="single" w:sz="4" w:space="0" w:color="auto"/>
            </w:tcBorders>
          </w:tcPr>
          <w:p w14:paraId="48447BED" w14:textId="77777777" w:rsidR="00D259AA" w:rsidRPr="001B4A02" w:rsidRDefault="00000000" w:rsidP="00D45BC2">
            <w:pPr>
              <w:keepNext/>
              <w:ind w:left="0" w:firstLine="0"/>
              <w:jc w:val="center"/>
              <w:rPr>
                <w:szCs w:val="22"/>
              </w:rPr>
            </w:pPr>
            <w:r w:rsidRPr="001B4A02">
              <w:rPr>
                <w:szCs w:val="22"/>
              </w:rPr>
              <w:t>19,1 %</w:t>
            </w:r>
          </w:p>
        </w:tc>
        <w:tc>
          <w:tcPr>
            <w:tcW w:w="993" w:type="dxa"/>
            <w:tcBorders>
              <w:top w:val="single" w:sz="4" w:space="0" w:color="auto"/>
              <w:left w:val="single" w:sz="4" w:space="0" w:color="auto"/>
              <w:bottom w:val="single" w:sz="4" w:space="0" w:color="auto"/>
              <w:right w:val="single" w:sz="4" w:space="0" w:color="auto"/>
            </w:tcBorders>
          </w:tcPr>
          <w:p w14:paraId="06530958" w14:textId="77777777" w:rsidR="00D259AA" w:rsidRPr="001B4A02" w:rsidRDefault="00000000" w:rsidP="00D45BC2">
            <w:pPr>
              <w:pStyle w:val="CommentText"/>
              <w:keepNext/>
              <w:ind w:left="0" w:firstLine="0"/>
              <w:jc w:val="center"/>
              <w:rPr>
                <w:sz w:val="22"/>
                <w:szCs w:val="22"/>
                <w:lang w:val="cs-CZ"/>
              </w:rPr>
            </w:pPr>
            <w:r w:rsidRPr="001B4A02">
              <w:rPr>
                <w:sz w:val="22"/>
                <w:szCs w:val="22"/>
                <w:lang w:val="cs-CZ"/>
              </w:rPr>
              <w:t>46,0 %</w:t>
            </w:r>
          </w:p>
        </w:tc>
        <w:tc>
          <w:tcPr>
            <w:tcW w:w="1417" w:type="dxa"/>
            <w:tcBorders>
              <w:top w:val="single" w:sz="4" w:space="0" w:color="auto"/>
              <w:left w:val="single" w:sz="4" w:space="0" w:color="auto"/>
              <w:bottom w:val="single" w:sz="4" w:space="0" w:color="auto"/>
              <w:right w:val="single" w:sz="4" w:space="0" w:color="auto"/>
            </w:tcBorders>
          </w:tcPr>
          <w:p w14:paraId="3A9A2B11" w14:textId="77777777" w:rsidR="00D259AA" w:rsidRPr="001B4A02" w:rsidRDefault="00000000" w:rsidP="00D45BC2">
            <w:pPr>
              <w:keepNext/>
              <w:ind w:left="0" w:firstLine="0"/>
              <w:jc w:val="center"/>
              <w:rPr>
                <w:szCs w:val="22"/>
              </w:rPr>
            </w:pPr>
            <w:r w:rsidRPr="001B4A02">
              <w:rPr>
                <w:szCs w:val="22"/>
              </w:rPr>
              <w:t>29,5 %</w:t>
            </w:r>
          </w:p>
        </w:tc>
        <w:tc>
          <w:tcPr>
            <w:tcW w:w="1627" w:type="dxa"/>
            <w:tcBorders>
              <w:top w:val="single" w:sz="4" w:space="0" w:color="auto"/>
              <w:left w:val="single" w:sz="4" w:space="0" w:color="auto"/>
              <w:bottom w:val="single" w:sz="4" w:space="0" w:color="auto"/>
              <w:right w:val="single" w:sz="4" w:space="0" w:color="auto"/>
            </w:tcBorders>
          </w:tcPr>
          <w:p w14:paraId="47730A8F" w14:textId="77777777" w:rsidR="00D259AA" w:rsidRPr="001B4A02" w:rsidRDefault="00000000" w:rsidP="00D45BC2">
            <w:pPr>
              <w:keepNext/>
              <w:ind w:left="0" w:firstLine="0"/>
              <w:jc w:val="center"/>
              <w:rPr>
                <w:szCs w:val="22"/>
              </w:rPr>
            </w:pPr>
            <w:r w:rsidRPr="001B4A02">
              <w:rPr>
                <w:szCs w:val="22"/>
              </w:rPr>
              <w:t>63,3 %</w:t>
            </w:r>
          </w:p>
        </w:tc>
      </w:tr>
      <w:tr w:rsidR="00534A2D" w14:paraId="17FD028E" w14:textId="77777777" w:rsidTr="00D45BC2">
        <w:trPr>
          <w:cantSplit/>
        </w:trPr>
        <w:tc>
          <w:tcPr>
            <w:tcW w:w="1080" w:type="dxa"/>
            <w:tcBorders>
              <w:top w:val="single" w:sz="4" w:space="0" w:color="auto"/>
              <w:left w:val="single" w:sz="4" w:space="0" w:color="auto"/>
              <w:bottom w:val="single" w:sz="4" w:space="0" w:color="auto"/>
              <w:right w:val="single" w:sz="4" w:space="0" w:color="auto"/>
            </w:tcBorders>
          </w:tcPr>
          <w:p w14:paraId="0C2E0CED" w14:textId="77777777" w:rsidR="00D259AA" w:rsidRPr="001B4A02" w:rsidRDefault="00000000" w:rsidP="00D45BC2">
            <w:pPr>
              <w:keepNext/>
              <w:ind w:left="0" w:firstLine="0"/>
              <w:rPr>
                <w:szCs w:val="22"/>
              </w:rPr>
            </w:pPr>
            <w:r w:rsidRPr="001B4A02">
              <w:rPr>
                <w:szCs w:val="22"/>
              </w:rPr>
              <w:t xml:space="preserve">  12 měsíců</w:t>
            </w:r>
          </w:p>
        </w:tc>
        <w:tc>
          <w:tcPr>
            <w:tcW w:w="1456" w:type="dxa"/>
            <w:tcBorders>
              <w:top w:val="single" w:sz="4" w:space="0" w:color="auto"/>
              <w:left w:val="single" w:sz="4" w:space="0" w:color="auto"/>
              <w:bottom w:val="single" w:sz="4" w:space="0" w:color="auto"/>
              <w:right w:val="single" w:sz="4" w:space="0" w:color="auto"/>
            </w:tcBorders>
          </w:tcPr>
          <w:p w14:paraId="5DB2A3AE" w14:textId="77777777" w:rsidR="00D259AA" w:rsidRPr="001B4A02" w:rsidRDefault="00000000" w:rsidP="00D45BC2">
            <w:pPr>
              <w:keepNext/>
              <w:ind w:left="0" w:firstLine="0"/>
              <w:jc w:val="center"/>
              <w:rPr>
                <w:szCs w:val="22"/>
              </w:rPr>
            </w:pPr>
            <w:r w:rsidRPr="001B4A02">
              <w:rPr>
                <w:szCs w:val="22"/>
              </w:rPr>
              <w:t>NA</w:t>
            </w:r>
          </w:p>
        </w:tc>
        <w:tc>
          <w:tcPr>
            <w:tcW w:w="1559" w:type="dxa"/>
            <w:tcBorders>
              <w:top w:val="single" w:sz="4" w:space="0" w:color="auto"/>
              <w:left w:val="single" w:sz="4" w:space="0" w:color="auto"/>
              <w:bottom w:val="single" w:sz="4" w:space="0" w:color="auto"/>
              <w:right w:val="single" w:sz="4" w:space="0" w:color="auto"/>
            </w:tcBorders>
          </w:tcPr>
          <w:p w14:paraId="293E4445" w14:textId="77777777" w:rsidR="00D259AA" w:rsidRPr="001B4A02" w:rsidRDefault="00000000" w:rsidP="00D45BC2">
            <w:pPr>
              <w:keepNext/>
              <w:ind w:left="0" w:firstLine="0"/>
              <w:jc w:val="center"/>
              <w:rPr>
                <w:szCs w:val="22"/>
              </w:rPr>
            </w:pPr>
            <w:r w:rsidRPr="001B4A02">
              <w:rPr>
                <w:szCs w:val="22"/>
              </w:rPr>
              <w:t>NA</w:t>
            </w:r>
          </w:p>
        </w:tc>
        <w:tc>
          <w:tcPr>
            <w:tcW w:w="992" w:type="dxa"/>
            <w:tcBorders>
              <w:top w:val="single" w:sz="4" w:space="0" w:color="auto"/>
              <w:left w:val="single" w:sz="4" w:space="0" w:color="auto"/>
              <w:bottom w:val="single" w:sz="4" w:space="0" w:color="auto"/>
              <w:right w:val="single" w:sz="4" w:space="0" w:color="auto"/>
            </w:tcBorders>
          </w:tcPr>
          <w:p w14:paraId="54CDE0C9" w14:textId="77777777" w:rsidR="00D259AA" w:rsidRPr="001B4A02" w:rsidRDefault="00000000" w:rsidP="00D45BC2">
            <w:pPr>
              <w:keepNext/>
              <w:ind w:left="0" w:firstLine="0"/>
              <w:jc w:val="center"/>
              <w:rPr>
                <w:szCs w:val="22"/>
              </w:rPr>
            </w:pPr>
            <w:r w:rsidRPr="001B4A02">
              <w:rPr>
                <w:szCs w:val="22"/>
              </w:rPr>
              <w:t>NA</w:t>
            </w:r>
          </w:p>
        </w:tc>
        <w:tc>
          <w:tcPr>
            <w:tcW w:w="993" w:type="dxa"/>
            <w:tcBorders>
              <w:top w:val="single" w:sz="4" w:space="0" w:color="auto"/>
              <w:left w:val="single" w:sz="4" w:space="0" w:color="auto"/>
              <w:bottom w:val="single" w:sz="4" w:space="0" w:color="auto"/>
              <w:right w:val="single" w:sz="4" w:space="0" w:color="auto"/>
            </w:tcBorders>
          </w:tcPr>
          <w:p w14:paraId="79355110" w14:textId="77777777" w:rsidR="00D259AA" w:rsidRPr="001B4A02" w:rsidRDefault="00000000" w:rsidP="00D45BC2">
            <w:pPr>
              <w:keepNext/>
              <w:ind w:left="0" w:firstLine="0"/>
              <w:jc w:val="center"/>
              <w:rPr>
                <w:szCs w:val="22"/>
              </w:rPr>
            </w:pPr>
            <w:r w:rsidRPr="001B4A02">
              <w:rPr>
                <w:szCs w:val="22"/>
              </w:rPr>
              <w:t>NA</w:t>
            </w:r>
          </w:p>
        </w:tc>
        <w:tc>
          <w:tcPr>
            <w:tcW w:w="1417" w:type="dxa"/>
            <w:tcBorders>
              <w:top w:val="single" w:sz="4" w:space="0" w:color="auto"/>
              <w:left w:val="single" w:sz="4" w:space="0" w:color="auto"/>
              <w:bottom w:val="single" w:sz="4" w:space="0" w:color="auto"/>
              <w:right w:val="single" w:sz="4" w:space="0" w:color="auto"/>
            </w:tcBorders>
          </w:tcPr>
          <w:p w14:paraId="0D73CF0C" w14:textId="77777777" w:rsidR="00D259AA" w:rsidRPr="001B4A02" w:rsidRDefault="00000000" w:rsidP="00D45BC2">
            <w:pPr>
              <w:keepNext/>
              <w:ind w:left="0" w:firstLine="0"/>
              <w:jc w:val="center"/>
              <w:rPr>
                <w:szCs w:val="22"/>
              </w:rPr>
            </w:pPr>
            <w:r w:rsidRPr="001B4A02">
              <w:rPr>
                <w:szCs w:val="22"/>
              </w:rPr>
              <w:t>24,0 %</w:t>
            </w:r>
          </w:p>
        </w:tc>
        <w:tc>
          <w:tcPr>
            <w:tcW w:w="1627" w:type="dxa"/>
            <w:tcBorders>
              <w:top w:val="single" w:sz="4" w:space="0" w:color="auto"/>
              <w:left w:val="single" w:sz="4" w:space="0" w:color="auto"/>
              <w:bottom w:val="single" w:sz="4" w:space="0" w:color="auto"/>
              <w:right w:val="single" w:sz="4" w:space="0" w:color="auto"/>
            </w:tcBorders>
          </w:tcPr>
          <w:p w14:paraId="2EDAB921" w14:textId="77777777" w:rsidR="00D259AA" w:rsidRPr="001B4A02" w:rsidRDefault="00000000" w:rsidP="00D45BC2">
            <w:pPr>
              <w:keepNext/>
              <w:ind w:left="0" w:firstLine="0"/>
              <w:jc w:val="center"/>
              <w:rPr>
                <w:szCs w:val="22"/>
              </w:rPr>
            </w:pPr>
            <w:r w:rsidRPr="001B4A02">
              <w:rPr>
                <w:szCs w:val="22"/>
              </w:rPr>
              <w:t>58,9 %</w:t>
            </w:r>
          </w:p>
        </w:tc>
      </w:tr>
      <w:tr w:rsidR="00534A2D" w14:paraId="112E38FF" w14:textId="77777777" w:rsidTr="00D45BC2">
        <w:trPr>
          <w:cantSplit/>
        </w:trPr>
        <w:tc>
          <w:tcPr>
            <w:tcW w:w="1080" w:type="dxa"/>
            <w:tcBorders>
              <w:top w:val="single" w:sz="4" w:space="0" w:color="auto"/>
              <w:left w:val="single" w:sz="4" w:space="0" w:color="auto"/>
              <w:bottom w:val="single" w:sz="4" w:space="0" w:color="auto"/>
              <w:right w:val="single" w:sz="4" w:space="0" w:color="auto"/>
            </w:tcBorders>
          </w:tcPr>
          <w:p w14:paraId="6057B3B6" w14:textId="77777777" w:rsidR="00D259AA" w:rsidRPr="001B4A02" w:rsidRDefault="00000000" w:rsidP="00D45BC2">
            <w:pPr>
              <w:keepNext/>
              <w:ind w:left="0" w:firstLine="0"/>
              <w:rPr>
                <w:szCs w:val="22"/>
              </w:rPr>
            </w:pPr>
            <w:r w:rsidRPr="001B4A02">
              <w:rPr>
                <w:szCs w:val="22"/>
              </w:rPr>
              <w:t>ACR 50</w:t>
            </w:r>
          </w:p>
        </w:tc>
        <w:tc>
          <w:tcPr>
            <w:tcW w:w="1456" w:type="dxa"/>
            <w:tcBorders>
              <w:top w:val="single" w:sz="4" w:space="0" w:color="auto"/>
              <w:left w:val="single" w:sz="4" w:space="0" w:color="auto"/>
              <w:bottom w:val="single" w:sz="4" w:space="0" w:color="auto"/>
              <w:right w:val="single" w:sz="4" w:space="0" w:color="auto"/>
            </w:tcBorders>
          </w:tcPr>
          <w:p w14:paraId="1F963AD1" w14:textId="77777777" w:rsidR="00D259AA" w:rsidRPr="001B4A02" w:rsidRDefault="00D259AA" w:rsidP="00D45BC2">
            <w:pPr>
              <w:keepNext/>
              <w:ind w:left="0" w:firstLine="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14:paraId="615B1467" w14:textId="77777777" w:rsidR="00D259AA" w:rsidRPr="001B4A02" w:rsidRDefault="00D259AA" w:rsidP="00D45BC2">
            <w:pPr>
              <w:keepNext/>
              <w:ind w:left="0" w:firstLine="0"/>
              <w:jc w:val="center"/>
              <w:rPr>
                <w:szCs w:val="22"/>
              </w:rPr>
            </w:pPr>
          </w:p>
        </w:tc>
        <w:tc>
          <w:tcPr>
            <w:tcW w:w="992" w:type="dxa"/>
            <w:tcBorders>
              <w:top w:val="single" w:sz="4" w:space="0" w:color="auto"/>
              <w:left w:val="single" w:sz="4" w:space="0" w:color="auto"/>
              <w:bottom w:val="single" w:sz="4" w:space="0" w:color="auto"/>
              <w:right w:val="single" w:sz="4" w:space="0" w:color="auto"/>
            </w:tcBorders>
          </w:tcPr>
          <w:p w14:paraId="7E2AA142" w14:textId="77777777" w:rsidR="00D259AA" w:rsidRPr="001B4A02" w:rsidRDefault="00D259AA" w:rsidP="00D45BC2">
            <w:pPr>
              <w:keepNext/>
              <w:ind w:left="0" w:firstLine="0"/>
              <w:jc w:val="center"/>
              <w:rPr>
                <w:szCs w:val="22"/>
              </w:rPr>
            </w:pPr>
          </w:p>
        </w:tc>
        <w:tc>
          <w:tcPr>
            <w:tcW w:w="993" w:type="dxa"/>
            <w:tcBorders>
              <w:top w:val="single" w:sz="4" w:space="0" w:color="auto"/>
              <w:left w:val="single" w:sz="4" w:space="0" w:color="auto"/>
              <w:bottom w:val="single" w:sz="4" w:space="0" w:color="auto"/>
              <w:right w:val="single" w:sz="4" w:space="0" w:color="auto"/>
            </w:tcBorders>
          </w:tcPr>
          <w:p w14:paraId="44796C1E" w14:textId="77777777" w:rsidR="00D259AA" w:rsidRPr="001B4A02" w:rsidRDefault="00D259AA" w:rsidP="00D45BC2">
            <w:pPr>
              <w:keepNext/>
              <w:ind w:left="0" w:firstLine="0"/>
              <w:jc w:val="center"/>
              <w:rPr>
                <w:szCs w:val="22"/>
              </w:rPr>
            </w:pPr>
          </w:p>
        </w:tc>
        <w:tc>
          <w:tcPr>
            <w:tcW w:w="1417" w:type="dxa"/>
            <w:tcBorders>
              <w:top w:val="single" w:sz="4" w:space="0" w:color="auto"/>
              <w:left w:val="single" w:sz="4" w:space="0" w:color="auto"/>
              <w:bottom w:val="single" w:sz="4" w:space="0" w:color="auto"/>
              <w:right w:val="single" w:sz="4" w:space="0" w:color="auto"/>
            </w:tcBorders>
          </w:tcPr>
          <w:p w14:paraId="0135A095" w14:textId="77777777" w:rsidR="00D259AA" w:rsidRPr="001B4A02" w:rsidRDefault="00D259AA" w:rsidP="00D45BC2">
            <w:pPr>
              <w:keepNext/>
              <w:ind w:left="0" w:firstLine="0"/>
              <w:jc w:val="center"/>
              <w:rPr>
                <w:szCs w:val="22"/>
              </w:rPr>
            </w:pPr>
          </w:p>
        </w:tc>
        <w:tc>
          <w:tcPr>
            <w:tcW w:w="1627" w:type="dxa"/>
            <w:tcBorders>
              <w:top w:val="single" w:sz="4" w:space="0" w:color="auto"/>
              <w:left w:val="single" w:sz="4" w:space="0" w:color="auto"/>
              <w:bottom w:val="single" w:sz="4" w:space="0" w:color="auto"/>
              <w:right w:val="single" w:sz="4" w:space="0" w:color="auto"/>
            </w:tcBorders>
          </w:tcPr>
          <w:p w14:paraId="015E13E7" w14:textId="77777777" w:rsidR="00D259AA" w:rsidRPr="001B4A02" w:rsidRDefault="00D259AA" w:rsidP="00D45BC2">
            <w:pPr>
              <w:keepNext/>
              <w:ind w:left="0" w:firstLine="0"/>
              <w:jc w:val="center"/>
              <w:rPr>
                <w:szCs w:val="22"/>
              </w:rPr>
            </w:pPr>
          </w:p>
        </w:tc>
      </w:tr>
      <w:tr w:rsidR="00534A2D" w14:paraId="06AD8588" w14:textId="77777777" w:rsidTr="00D45BC2">
        <w:trPr>
          <w:cantSplit/>
        </w:trPr>
        <w:tc>
          <w:tcPr>
            <w:tcW w:w="1080" w:type="dxa"/>
            <w:tcBorders>
              <w:top w:val="single" w:sz="4" w:space="0" w:color="auto"/>
              <w:left w:val="single" w:sz="4" w:space="0" w:color="auto"/>
              <w:bottom w:val="single" w:sz="4" w:space="0" w:color="auto"/>
              <w:right w:val="single" w:sz="4" w:space="0" w:color="auto"/>
            </w:tcBorders>
          </w:tcPr>
          <w:p w14:paraId="354D56D4" w14:textId="77777777" w:rsidR="00D259AA" w:rsidRPr="001B4A02" w:rsidRDefault="00000000" w:rsidP="00D45BC2">
            <w:pPr>
              <w:keepNext/>
              <w:ind w:left="0" w:firstLine="0"/>
              <w:rPr>
                <w:szCs w:val="22"/>
              </w:rPr>
            </w:pPr>
            <w:r w:rsidRPr="001B4A02">
              <w:rPr>
                <w:szCs w:val="22"/>
              </w:rPr>
              <w:t xml:space="preserve">  6 měsíců</w:t>
            </w:r>
          </w:p>
        </w:tc>
        <w:tc>
          <w:tcPr>
            <w:tcW w:w="1456" w:type="dxa"/>
            <w:tcBorders>
              <w:top w:val="single" w:sz="4" w:space="0" w:color="auto"/>
              <w:left w:val="single" w:sz="4" w:space="0" w:color="auto"/>
              <w:bottom w:val="single" w:sz="4" w:space="0" w:color="auto"/>
              <w:right w:val="single" w:sz="4" w:space="0" w:color="auto"/>
            </w:tcBorders>
          </w:tcPr>
          <w:p w14:paraId="7308D971" w14:textId="77777777" w:rsidR="00D259AA" w:rsidRPr="001B4A02" w:rsidRDefault="00000000" w:rsidP="00D45BC2">
            <w:pPr>
              <w:keepNext/>
              <w:ind w:left="0" w:firstLine="0"/>
              <w:jc w:val="center"/>
              <w:rPr>
                <w:szCs w:val="22"/>
              </w:rPr>
            </w:pPr>
            <w:r w:rsidRPr="001B4A02">
              <w:rPr>
                <w:szCs w:val="22"/>
              </w:rPr>
              <w:t>6,7 %</w:t>
            </w:r>
          </w:p>
        </w:tc>
        <w:tc>
          <w:tcPr>
            <w:tcW w:w="1559" w:type="dxa"/>
            <w:tcBorders>
              <w:top w:val="single" w:sz="4" w:space="0" w:color="auto"/>
              <w:left w:val="single" w:sz="4" w:space="0" w:color="auto"/>
              <w:bottom w:val="single" w:sz="4" w:space="0" w:color="auto"/>
              <w:right w:val="single" w:sz="4" w:space="0" w:color="auto"/>
            </w:tcBorders>
          </w:tcPr>
          <w:p w14:paraId="358AC51E" w14:textId="77777777" w:rsidR="00D259AA" w:rsidRPr="001B4A02" w:rsidRDefault="00000000" w:rsidP="00D45BC2">
            <w:pPr>
              <w:keepNext/>
              <w:ind w:left="0" w:firstLine="0"/>
              <w:jc w:val="center"/>
              <w:rPr>
                <w:szCs w:val="22"/>
              </w:rPr>
            </w:pPr>
            <w:r w:rsidRPr="001B4A02">
              <w:rPr>
                <w:szCs w:val="22"/>
              </w:rPr>
              <w:t>52,4 %</w:t>
            </w:r>
          </w:p>
        </w:tc>
        <w:tc>
          <w:tcPr>
            <w:tcW w:w="992" w:type="dxa"/>
            <w:tcBorders>
              <w:top w:val="single" w:sz="4" w:space="0" w:color="auto"/>
              <w:left w:val="single" w:sz="4" w:space="0" w:color="auto"/>
              <w:bottom w:val="single" w:sz="4" w:space="0" w:color="auto"/>
              <w:right w:val="single" w:sz="4" w:space="0" w:color="auto"/>
            </w:tcBorders>
          </w:tcPr>
          <w:p w14:paraId="27B8D1E9" w14:textId="77777777" w:rsidR="00D259AA" w:rsidRPr="001B4A02" w:rsidRDefault="00000000" w:rsidP="00D45BC2">
            <w:pPr>
              <w:keepNext/>
              <w:ind w:left="0" w:firstLine="0"/>
              <w:jc w:val="center"/>
              <w:rPr>
                <w:szCs w:val="22"/>
              </w:rPr>
            </w:pPr>
            <w:r w:rsidRPr="001B4A02">
              <w:rPr>
                <w:szCs w:val="22"/>
              </w:rPr>
              <w:t>8,2 %</w:t>
            </w:r>
          </w:p>
        </w:tc>
        <w:tc>
          <w:tcPr>
            <w:tcW w:w="993" w:type="dxa"/>
            <w:tcBorders>
              <w:top w:val="single" w:sz="4" w:space="0" w:color="auto"/>
              <w:left w:val="single" w:sz="4" w:space="0" w:color="auto"/>
              <w:bottom w:val="single" w:sz="4" w:space="0" w:color="auto"/>
              <w:right w:val="single" w:sz="4" w:space="0" w:color="auto"/>
            </w:tcBorders>
          </w:tcPr>
          <w:p w14:paraId="7859B274" w14:textId="77777777" w:rsidR="00D259AA" w:rsidRPr="001B4A02" w:rsidRDefault="00000000" w:rsidP="00D45BC2">
            <w:pPr>
              <w:keepNext/>
              <w:ind w:left="0" w:firstLine="0"/>
              <w:jc w:val="center"/>
              <w:rPr>
                <w:szCs w:val="22"/>
              </w:rPr>
            </w:pPr>
            <w:r w:rsidRPr="001B4A02">
              <w:rPr>
                <w:szCs w:val="22"/>
              </w:rPr>
              <w:t>22,1 %</w:t>
            </w:r>
          </w:p>
        </w:tc>
        <w:tc>
          <w:tcPr>
            <w:tcW w:w="1417" w:type="dxa"/>
            <w:tcBorders>
              <w:top w:val="single" w:sz="4" w:space="0" w:color="auto"/>
              <w:left w:val="single" w:sz="4" w:space="0" w:color="auto"/>
              <w:bottom w:val="single" w:sz="4" w:space="0" w:color="auto"/>
              <w:right w:val="single" w:sz="4" w:space="0" w:color="auto"/>
            </w:tcBorders>
          </w:tcPr>
          <w:p w14:paraId="2420120A" w14:textId="77777777" w:rsidR="00D259AA" w:rsidRPr="001B4A02" w:rsidRDefault="00000000" w:rsidP="00D45BC2">
            <w:pPr>
              <w:keepNext/>
              <w:ind w:left="0" w:firstLine="0"/>
              <w:jc w:val="center"/>
              <w:rPr>
                <w:szCs w:val="22"/>
              </w:rPr>
            </w:pPr>
            <w:r w:rsidRPr="001B4A02">
              <w:rPr>
                <w:szCs w:val="22"/>
              </w:rPr>
              <w:t>9,5 %</w:t>
            </w:r>
          </w:p>
        </w:tc>
        <w:tc>
          <w:tcPr>
            <w:tcW w:w="1627" w:type="dxa"/>
            <w:tcBorders>
              <w:top w:val="single" w:sz="4" w:space="0" w:color="auto"/>
              <w:left w:val="single" w:sz="4" w:space="0" w:color="auto"/>
              <w:bottom w:val="single" w:sz="4" w:space="0" w:color="auto"/>
              <w:right w:val="single" w:sz="4" w:space="0" w:color="auto"/>
            </w:tcBorders>
          </w:tcPr>
          <w:p w14:paraId="7D60D3E2" w14:textId="77777777" w:rsidR="00D259AA" w:rsidRPr="001B4A02" w:rsidRDefault="00000000" w:rsidP="00D45BC2">
            <w:pPr>
              <w:keepNext/>
              <w:ind w:left="0" w:firstLine="0"/>
              <w:jc w:val="center"/>
              <w:rPr>
                <w:szCs w:val="22"/>
              </w:rPr>
            </w:pPr>
            <w:r w:rsidRPr="001B4A02">
              <w:rPr>
                <w:szCs w:val="22"/>
              </w:rPr>
              <w:t>39,1 %</w:t>
            </w:r>
          </w:p>
        </w:tc>
      </w:tr>
      <w:tr w:rsidR="00534A2D" w14:paraId="3CE69D4A" w14:textId="77777777" w:rsidTr="00D45BC2">
        <w:trPr>
          <w:cantSplit/>
        </w:trPr>
        <w:tc>
          <w:tcPr>
            <w:tcW w:w="1080" w:type="dxa"/>
            <w:tcBorders>
              <w:top w:val="single" w:sz="4" w:space="0" w:color="auto"/>
              <w:left w:val="single" w:sz="4" w:space="0" w:color="auto"/>
              <w:bottom w:val="single" w:sz="4" w:space="0" w:color="auto"/>
              <w:right w:val="single" w:sz="4" w:space="0" w:color="auto"/>
            </w:tcBorders>
          </w:tcPr>
          <w:p w14:paraId="49E872C5" w14:textId="77777777" w:rsidR="00D259AA" w:rsidRPr="001B4A02" w:rsidRDefault="00000000" w:rsidP="00D45BC2">
            <w:pPr>
              <w:keepNext/>
              <w:ind w:left="0" w:firstLine="0"/>
              <w:rPr>
                <w:szCs w:val="22"/>
              </w:rPr>
            </w:pPr>
            <w:r w:rsidRPr="001B4A02">
              <w:rPr>
                <w:szCs w:val="22"/>
              </w:rPr>
              <w:t xml:space="preserve">  12 měsíců</w:t>
            </w:r>
          </w:p>
        </w:tc>
        <w:tc>
          <w:tcPr>
            <w:tcW w:w="1456" w:type="dxa"/>
            <w:tcBorders>
              <w:top w:val="single" w:sz="4" w:space="0" w:color="auto"/>
              <w:left w:val="single" w:sz="4" w:space="0" w:color="auto"/>
              <w:bottom w:val="single" w:sz="4" w:space="0" w:color="auto"/>
              <w:right w:val="single" w:sz="4" w:space="0" w:color="auto"/>
            </w:tcBorders>
          </w:tcPr>
          <w:p w14:paraId="7587CA87" w14:textId="77777777" w:rsidR="00D259AA" w:rsidRPr="001B4A02" w:rsidRDefault="00000000" w:rsidP="00D45BC2">
            <w:pPr>
              <w:keepNext/>
              <w:ind w:left="0" w:firstLine="0"/>
              <w:jc w:val="center"/>
              <w:rPr>
                <w:szCs w:val="22"/>
              </w:rPr>
            </w:pPr>
            <w:r w:rsidRPr="001B4A02">
              <w:rPr>
                <w:szCs w:val="22"/>
              </w:rPr>
              <w:t>NA</w:t>
            </w:r>
          </w:p>
        </w:tc>
        <w:tc>
          <w:tcPr>
            <w:tcW w:w="1559" w:type="dxa"/>
            <w:tcBorders>
              <w:top w:val="single" w:sz="4" w:space="0" w:color="auto"/>
              <w:left w:val="single" w:sz="4" w:space="0" w:color="auto"/>
              <w:bottom w:val="single" w:sz="4" w:space="0" w:color="auto"/>
              <w:right w:val="single" w:sz="4" w:space="0" w:color="auto"/>
            </w:tcBorders>
          </w:tcPr>
          <w:p w14:paraId="75718A83" w14:textId="77777777" w:rsidR="00D259AA" w:rsidRPr="001B4A02" w:rsidRDefault="00000000" w:rsidP="00D45BC2">
            <w:pPr>
              <w:keepNext/>
              <w:ind w:left="0" w:firstLine="0"/>
              <w:jc w:val="center"/>
              <w:rPr>
                <w:szCs w:val="22"/>
              </w:rPr>
            </w:pPr>
            <w:r w:rsidRPr="001B4A02">
              <w:rPr>
                <w:szCs w:val="22"/>
              </w:rPr>
              <w:t>NA</w:t>
            </w:r>
          </w:p>
        </w:tc>
        <w:tc>
          <w:tcPr>
            <w:tcW w:w="992" w:type="dxa"/>
            <w:tcBorders>
              <w:top w:val="single" w:sz="4" w:space="0" w:color="auto"/>
              <w:left w:val="single" w:sz="4" w:space="0" w:color="auto"/>
              <w:bottom w:val="single" w:sz="4" w:space="0" w:color="auto"/>
              <w:right w:val="single" w:sz="4" w:space="0" w:color="auto"/>
            </w:tcBorders>
          </w:tcPr>
          <w:p w14:paraId="1FDBABF8" w14:textId="77777777" w:rsidR="00D259AA" w:rsidRPr="001B4A02" w:rsidRDefault="00000000" w:rsidP="00D45BC2">
            <w:pPr>
              <w:keepNext/>
              <w:ind w:left="0" w:firstLine="0"/>
              <w:jc w:val="center"/>
              <w:rPr>
                <w:szCs w:val="22"/>
              </w:rPr>
            </w:pPr>
            <w:r w:rsidRPr="001B4A02">
              <w:rPr>
                <w:szCs w:val="22"/>
              </w:rPr>
              <w:t>NA</w:t>
            </w:r>
          </w:p>
        </w:tc>
        <w:tc>
          <w:tcPr>
            <w:tcW w:w="993" w:type="dxa"/>
            <w:tcBorders>
              <w:top w:val="single" w:sz="4" w:space="0" w:color="auto"/>
              <w:left w:val="single" w:sz="4" w:space="0" w:color="auto"/>
              <w:bottom w:val="single" w:sz="4" w:space="0" w:color="auto"/>
              <w:right w:val="single" w:sz="4" w:space="0" w:color="auto"/>
            </w:tcBorders>
          </w:tcPr>
          <w:p w14:paraId="4960FD9E" w14:textId="77777777" w:rsidR="00D259AA" w:rsidRPr="001B4A02" w:rsidRDefault="00000000" w:rsidP="00D45BC2">
            <w:pPr>
              <w:keepNext/>
              <w:ind w:left="0" w:firstLine="0"/>
              <w:jc w:val="center"/>
              <w:rPr>
                <w:szCs w:val="22"/>
              </w:rPr>
            </w:pPr>
            <w:r w:rsidRPr="001B4A02">
              <w:rPr>
                <w:szCs w:val="22"/>
              </w:rPr>
              <w:t>NA</w:t>
            </w:r>
          </w:p>
        </w:tc>
        <w:tc>
          <w:tcPr>
            <w:tcW w:w="1417" w:type="dxa"/>
            <w:tcBorders>
              <w:top w:val="single" w:sz="4" w:space="0" w:color="auto"/>
              <w:left w:val="single" w:sz="4" w:space="0" w:color="auto"/>
              <w:bottom w:val="single" w:sz="4" w:space="0" w:color="auto"/>
              <w:right w:val="single" w:sz="4" w:space="0" w:color="auto"/>
            </w:tcBorders>
          </w:tcPr>
          <w:p w14:paraId="28EE7CE7" w14:textId="77777777" w:rsidR="00D259AA" w:rsidRPr="001B4A02" w:rsidRDefault="00000000" w:rsidP="00D45BC2">
            <w:pPr>
              <w:keepNext/>
              <w:ind w:left="0" w:firstLine="0"/>
              <w:jc w:val="center"/>
              <w:rPr>
                <w:szCs w:val="22"/>
              </w:rPr>
            </w:pPr>
            <w:r w:rsidRPr="001B4A02">
              <w:rPr>
                <w:szCs w:val="22"/>
              </w:rPr>
              <w:t>9,5 %</w:t>
            </w:r>
          </w:p>
        </w:tc>
        <w:tc>
          <w:tcPr>
            <w:tcW w:w="1627" w:type="dxa"/>
            <w:tcBorders>
              <w:top w:val="single" w:sz="4" w:space="0" w:color="auto"/>
              <w:left w:val="single" w:sz="4" w:space="0" w:color="auto"/>
              <w:bottom w:val="single" w:sz="4" w:space="0" w:color="auto"/>
              <w:right w:val="single" w:sz="4" w:space="0" w:color="auto"/>
            </w:tcBorders>
          </w:tcPr>
          <w:p w14:paraId="603A6FF9" w14:textId="77777777" w:rsidR="00D259AA" w:rsidRPr="001B4A02" w:rsidRDefault="00000000" w:rsidP="00D45BC2">
            <w:pPr>
              <w:keepNext/>
              <w:ind w:left="0" w:firstLine="0"/>
              <w:jc w:val="center"/>
              <w:rPr>
                <w:szCs w:val="22"/>
              </w:rPr>
            </w:pPr>
            <w:r w:rsidRPr="001B4A02">
              <w:rPr>
                <w:szCs w:val="22"/>
              </w:rPr>
              <w:t>41,5 %</w:t>
            </w:r>
          </w:p>
        </w:tc>
      </w:tr>
      <w:tr w:rsidR="00534A2D" w14:paraId="21AF9D4D" w14:textId="77777777" w:rsidTr="00D45BC2">
        <w:trPr>
          <w:cantSplit/>
        </w:trPr>
        <w:tc>
          <w:tcPr>
            <w:tcW w:w="1080" w:type="dxa"/>
            <w:tcBorders>
              <w:top w:val="single" w:sz="4" w:space="0" w:color="auto"/>
              <w:left w:val="single" w:sz="4" w:space="0" w:color="auto"/>
              <w:bottom w:val="single" w:sz="4" w:space="0" w:color="auto"/>
              <w:right w:val="single" w:sz="4" w:space="0" w:color="auto"/>
            </w:tcBorders>
          </w:tcPr>
          <w:p w14:paraId="762D070E" w14:textId="77777777" w:rsidR="00D259AA" w:rsidRPr="001B4A02" w:rsidRDefault="00000000" w:rsidP="00D45BC2">
            <w:pPr>
              <w:keepNext/>
              <w:ind w:left="0" w:firstLine="0"/>
              <w:rPr>
                <w:szCs w:val="22"/>
              </w:rPr>
            </w:pPr>
            <w:r w:rsidRPr="001B4A02">
              <w:rPr>
                <w:noProof/>
                <w:szCs w:val="22"/>
                <w:lang w:val="en-US"/>
              </w:rPr>
              <mc:AlternateContent>
                <mc:Choice Requires="wps">
                  <w:drawing>
                    <wp:anchor distT="0" distB="0" distL="114300" distR="114300" simplePos="0" relativeHeight="251666432" behindDoc="0" locked="0" layoutInCell="0" allowOverlap="1" wp14:anchorId="4523B7A2" wp14:editId="06488E95">
                      <wp:simplePos x="0" y="0"/>
                      <wp:positionH relativeFrom="column">
                        <wp:posOffset>-4972050</wp:posOffset>
                      </wp:positionH>
                      <wp:positionV relativeFrom="paragraph">
                        <wp:posOffset>38735</wp:posOffset>
                      </wp:positionV>
                      <wp:extent cx="3543300" cy="342900"/>
                      <wp:effectExtent l="0" t="0" r="0" b="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2277B" w14:textId="77777777" w:rsidR="008F1B0E" w:rsidRDefault="008F1B0E" w:rsidP="00D259AA">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523B7A2" id="_x0000_s1031" type="#_x0000_t202" style="position:absolute;margin-left:-391.5pt;margin-top:3.05pt;width:279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MsqYceoBAAC3AwAADgAAAAAAAAAAAAAAAAAuAgAAZHJzL2Uyb0RvYy54&#10;bWxQSwECLQAUAAYACAAAACEAFQe2a94AAAAKAQAADwAAAAAAAAAAAAAAAABEBAAAZHJzL2Rvd25y&#10;ZXYueG1sUEsFBgAAAAAEAAQA8wAAAE8FAAAAAA==&#10;" o:allowincell="f" stroked="f">
                      <v:textbox>
                        <w:txbxContent>
                          <w:p w14:paraId="4AD2277B" w14:textId="77777777" w:rsidR="008F1B0E" w:rsidRDefault="008F1B0E" w:rsidP="00D259AA">
                            <w:pPr>
                              <w:rPr>
                                <w:sz w:val="20"/>
                              </w:rPr>
                            </w:pPr>
                          </w:p>
                        </w:txbxContent>
                      </v:textbox>
                    </v:shape>
                  </w:pict>
                </mc:Fallback>
              </mc:AlternateContent>
            </w:r>
            <w:r w:rsidRPr="001B4A02">
              <w:rPr>
                <w:szCs w:val="22"/>
              </w:rPr>
              <w:t>ACR 70</w:t>
            </w:r>
          </w:p>
        </w:tc>
        <w:tc>
          <w:tcPr>
            <w:tcW w:w="1456" w:type="dxa"/>
            <w:tcBorders>
              <w:top w:val="single" w:sz="4" w:space="0" w:color="auto"/>
              <w:left w:val="single" w:sz="4" w:space="0" w:color="auto"/>
              <w:bottom w:val="single" w:sz="4" w:space="0" w:color="auto"/>
              <w:right w:val="single" w:sz="4" w:space="0" w:color="auto"/>
            </w:tcBorders>
          </w:tcPr>
          <w:p w14:paraId="3874A8DC" w14:textId="77777777" w:rsidR="00D259AA" w:rsidRPr="001B4A02" w:rsidRDefault="00D259AA" w:rsidP="00D45BC2">
            <w:pPr>
              <w:keepNext/>
              <w:ind w:left="0" w:firstLine="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14:paraId="6E7ED4AA" w14:textId="77777777" w:rsidR="00D259AA" w:rsidRPr="001B4A02" w:rsidRDefault="00D259AA" w:rsidP="00D45BC2">
            <w:pPr>
              <w:keepNext/>
              <w:ind w:left="0" w:firstLine="0"/>
              <w:jc w:val="center"/>
              <w:rPr>
                <w:szCs w:val="22"/>
              </w:rPr>
            </w:pPr>
          </w:p>
        </w:tc>
        <w:tc>
          <w:tcPr>
            <w:tcW w:w="992" w:type="dxa"/>
            <w:tcBorders>
              <w:top w:val="single" w:sz="4" w:space="0" w:color="auto"/>
              <w:left w:val="single" w:sz="4" w:space="0" w:color="auto"/>
              <w:bottom w:val="single" w:sz="4" w:space="0" w:color="auto"/>
              <w:right w:val="single" w:sz="4" w:space="0" w:color="auto"/>
            </w:tcBorders>
          </w:tcPr>
          <w:p w14:paraId="12B1684F" w14:textId="77777777" w:rsidR="00D259AA" w:rsidRPr="001B4A02" w:rsidRDefault="00D259AA" w:rsidP="00D45BC2">
            <w:pPr>
              <w:keepNext/>
              <w:ind w:left="0" w:firstLine="0"/>
              <w:jc w:val="center"/>
              <w:rPr>
                <w:szCs w:val="22"/>
              </w:rPr>
            </w:pPr>
          </w:p>
        </w:tc>
        <w:tc>
          <w:tcPr>
            <w:tcW w:w="993" w:type="dxa"/>
            <w:tcBorders>
              <w:top w:val="single" w:sz="4" w:space="0" w:color="auto"/>
              <w:left w:val="single" w:sz="4" w:space="0" w:color="auto"/>
              <w:bottom w:val="single" w:sz="4" w:space="0" w:color="auto"/>
              <w:right w:val="single" w:sz="4" w:space="0" w:color="auto"/>
            </w:tcBorders>
          </w:tcPr>
          <w:p w14:paraId="3AFB5D91" w14:textId="77777777" w:rsidR="00D259AA" w:rsidRPr="001B4A02" w:rsidRDefault="00D259AA" w:rsidP="00D45BC2">
            <w:pPr>
              <w:keepNext/>
              <w:ind w:left="0" w:firstLine="0"/>
              <w:jc w:val="center"/>
              <w:rPr>
                <w:szCs w:val="22"/>
              </w:rPr>
            </w:pPr>
          </w:p>
        </w:tc>
        <w:tc>
          <w:tcPr>
            <w:tcW w:w="1417" w:type="dxa"/>
            <w:tcBorders>
              <w:top w:val="single" w:sz="4" w:space="0" w:color="auto"/>
              <w:left w:val="single" w:sz="4" w:space="0" w:color="auto"/>
              <w:bottom w:val="single" w:sz="4" w:space="0" w:color="auto"/>
              <w:right w:val="single" w:sz="4" w:space="0" w:color="auto"/>
            </w:tcBorders>
          </w:tcPr>
          <w:p w14:paraId="5841465C" w14:textId="77777777" w:rsidR="00D259AA" w:rsidRPr="001B4A02" w:rsidRDefault="00D259AA" w:rsidP="00D45BC2">
            <w:pPr>
              <w:keepNext/>
              <w:ind w:left="0" w:firstLine="0"/>
              <w:jc w:val="center"/>
              <w:rPr>
                <w:szCs w:val="22"/>
              </w:rPr>
            </w:pPr>
          </w:p>
        </w:tc>
        <w:tc>
          <w:tcPr>
            <w:tcW w:w="1627" w:type="dxa"/>
            <w:tcBorders>
              <w:top w:val="single" w:sz="4" w:space="0" w:color="auto"/>
              <w:left w:val="single" w:sz="4" w:space="0" w:color="auto"/>
              <w:bottom w:val="single" w:sz="4" w:space="0" w:color="auto"/>
              <w:right w:val="single" w:sz="4" w:space="0" w:color="auto"/>
            </w:tcBorders>
          </w:tcPr>
          <w:p w14:paraId="5B352A96" w14:textId="77777777" w:rsidR="00D259AA" w:rsidRPr="001B4A02" w:rsidRDefault="00D259AA" w:rsidP="00D45BC2">
            <w:pPr>
              <w:keepNext/>
              <w:ind w:left="0" w:firstLine="0"/>
              <w:jc w:val="center"/>
              <w:rPr>
                <w:szCs w:val="22"/>
              </w:rPr>
            </w:pPr>
          </w:p>
        </w:tc>
      </w:tr>
      <w:tr w:rsidR="00534A2D" w14:paraId="2C9C8315" w14:textId="77777777" w:rsidTr="00D45BC2">
        <w:trPr>
          <w:cantSplit/>
        </w:trPr>
        <w:tc>
          <w:tcPr>
            <w:tcW w:w="1080" w:type="dxa"/>
            <w:tcBorders>
              <w:top w:val="single" w:sz="4" w:space="0" w:color="auto"/>
              <w:left w:val="single" w:sz="4" w:space="0" w:color="auto"/>
              <w:bottom w:val="single" w:sz="4" w:space="0" w:color="auto"/>
              <w:right w:val="single" w:sz="4" w:space="0" w:color="auto"/>
            </w:tcBorders>
          </w:tcPr>
          <w:p w14:paraId="69326085" w14:textId="77777777" w:rsidR="00D259AA" w:rsidRPr="001B4A02" w:rsidRDefault="00000000" w:rsidP="00D45BC2">
            <w:pPr>
              <w:keepNext/>
              <w:ind w:left="0" w:firstLine="0"/>
              <w:rPr>
                <w:szCs w:val="22"/>
              </w:rPr>
            </w:pPr>
            <w:r w:rsidRPr="001B4A02">
              <w:rPr>
                <w:szCs w:val="22"/>
              </w:rPr>
              <w:t xml:space="preserve">  6 měsíců</w:t>
            </w:r>
          </w:p>
        </w:tc>
        <w:tc>
          <w:tcPr>
            <w:tcW w:w="1456" w:type="dxa"/>
            <w:tcBorders>
              <w:top w:val="single" w:sz="4" w:space="0" w:color="auto"/>
              <w:left w:val="single" w:sz="4" w:space="0" w:color="auto"/>
              <w:bottom w:val="single" w:sz="4" w:space="0" w:color="auto"/>
              <w:right w:val="single" w:sz="4" w:space="0" w:color="auto"/>
            </w:tcBorders>
          </w:tcPr>
          <w:p w14:paraId="4CADCE71" w14:textId="77777777" w:rsidR="00D259AA" w:rsidRPr="001B4A02" w:rsidRDefault="00000000" w:rsidP="00D45BC2">
            <w:pPr>
              <w:keepNext/>
              <w:ind w:left="0" w:firstLine="0"/>
              <w:jc w:val="center"/>
              <w:rPr>
                <w:szCs w:val="22"/>
              </w:rPr>
            </w:pPr>
            <w:r w:rsidRPr="001B4A02">
              <w:rPr>
                <w:szCs w:val="22"/>
              </w:rPr>
              <w:t>3,3 %</w:t>
            </w:r>
          </w:p>
        </w:tc>
        <w:tc>
          <w:tcPr>
            <w:tcW w:w="1559" w:type="dxa"/>
            <w:tcBorders>
              <w:top w:val="single" w:sz="4" w:space="0" w:color="auto"/>
              <w:left w:val="single" w:sz="4" w:space="0" w:color="auto"/>
              <w:bottom w:val="single" w:sz="4" w:space="0" w:color="auto"/>
              <w:right w:val="single" w:sz="4" w:space="0" w:color="auto"/>
            </w:tcBorders>
          </w:tcPr>
          <w:p w14:paraId="42D5B61E" w14:textId="77777777" w:rsidR="00D259AA" w:rsidRPr="001B4A02" w:rsidRDefault="00000000" w:rsidP="00D45BC2">
            <w:pPr>
              <w:keepNext/>
              <w:ind w:left="0" w:firstLine="0"/>
              <w:jc w:val="center"/>
              <w:rPr>
                <w:szCs w:val="22"/>
              </w:rPr>
            </w:pPr>
            <w:r w:rsidRPr="001B4A02">
              <w:rPr>
                <w:szCs w:val="22"/>
              </w:rPr>
              <w:t>23,8 %</w:t>
            </w:r>
          </w:p>
        </w:tc>
        <w:tc>
          <w:tcPr>
            <w:tcW w:w="992" w:type="dxa"/>
            <w:tcBorders>
              <w:top w:val="single" w:sz="4" w:space="0" w:color="auto"/>
              <w:left w:val="single" w:sz="4" w:space="0" w:color="auto"/>
              <w:bottom w:val="single" w:sz="4" w:space="0" w:color="auto"/>
              <w:right w:val="single" w:sz="4" w:space="0" w:color="auto"/>
            </w:tcBorders>
          </w:tcPr>
          <w:p w14:paraId="1BB87A69" w14:textId="77777777" w:rsidR="00D259AA" w:rsidRPr="001B4A02" w:rsidRDefault="00000000" w:rsidP="00D45BC2">
            <w:pPr>
              <w:keepNext/>
              <w:ind w:left="0" w:firstLine="0"/>
              <w:jc w:val="center"/>
              <w:rPr>
                <w:szCs w:val="22"/>
              </w:rPr>
            </w:pPr>
            <w:r w:rsidRPr="001B4A02">
              <w:rPr>
                <w:szCs w:val="22"/>
              </w:rPr>
              <w:t>1,8 %</w:t>
            </w:r>
          </w:p>
        </w:tc>
        <w:tc>
          <w:tcPr>
            <w:tcW w:w="993" w:type="dxa"/>
            <w:tcBorders>
              <w:top w:val="single" w:sz="4" w:space="0" w:color="auto"/>
              <w:left w:val="single" w:sz="4" w:space="0" w:color="auto"/>
              <w:bottom w:val="single" w:sz="4" w:space="0" w:color="auto"/>
              <w:right w:val="single" w:sz="4" w:space="0" w:color="auto"/>
            </w:tcBorders>
          </w:tcPr>
          <w:p w14:paraId="0F3CDC00" w14:textId="77777777" w:rsidR="00D259AA" w:rsidRPr="001B4A02" w:rsidRDefault="00000000" w:rsidP="00D45BC2">
            <w:pPr>
              <w:keepNext/>
              <w:ind w:left="0" w:firstLine="0"/>
              <w:jc w:val="center"/>
              <w:rPr>
                <w:szCs w:val="22"/>
              </w:rPr>
            </w:pPr>
            <w:r w:rsidRPr="001B4A02">
              <w:rPr>
                <w:szCs w:val="22"/>
              </w:rPr>
              <w:t>12,4 %</w:t>
            </w:r>
          </w:p>
        </w:tc>
        <w:tc>
          <w:tcPr>
            <w:tcW w:w="1417" w:type="dxa"/>
            <w:tcBorders>
              <w:top w:val="single" w:sz="4" w:space="0" w:color="auto"/>
              <w:left w:val="single" w:sz="4" w:space="0" w:color="auto"/>
              <w:bottom w:val="single" w:sz="4" w:space="0" w:color="auto"/>
              <w:right w:val="single" w:sz="4" w:space="0" w:color="auto"/>
            </w:tcBorders>
          </w:tcPr>
          <w:p w14:paraId="2CD094EA" w14:textId="77777777" w:rsidR="00D259AA" w:rsidRPr="001B4A02" w:rsidRDefault="00000000" w:rsidP="00D45BC2">
            <w:pPr>
              <w:keepNext/>
              <w:ind w:left="0" w:firstLine="0"/>
              <w:jc w:val="center"/>
              <w:rPr>
                <w:szCs w:val="22"/>
              </w:rPr>
            </w:pPr>
            <w:r w:rsidRPr="001B4A02">
              <w:rPr>
                <w:szCs w:val="22"/>
              </w:rPr>
              <w:t>2,5 %</w:t>
            </w:r>
          </w:p>
        </w:tc>
        <w:tc>
          <w:tcPr>
            <w:tcW w:w="1627" w:type="dxa"/>
            <w:tcBorders>
              <w:top w:val="single" w:sz="4" w:space="0" w:color="auto"/>
              <w:left w:val="single" w:sz="4" w:space="0" w:color="auto"/>
              <w:bottom w:val="single" w:sz="4" w:space="0" w:color="auto"/>
              <w:right w:val="single" w:sz="4" w:space="0" w:color="auto"/>
            </w:tcBorders>
          </w:tcPr>
          <w:p w14:paraId="58ED8F3A" w14:textId="77777777" w:rsidR="00D259AA" w:rsidRPr="001B4A02" w:rsidRDefault="00000000" w:rsidP="00D45BC2">
            <w:pPr>
              <w:keepNext/>
              <w:ind w:left="0" w:firstLine="0"/>
              <w:jc w:val="center"/>
              <w:rPr>
                <w:szCs w:val="22"/>
              </w:rPr>
            </w:pPr>
            <w:r w:rsidRPr="001B4A02">
              <w:rPr>
                <w:szCs w:val="22"/>
              </w:rPr>
              <w:t>20,8 %</w:t>
            </w:r>
          </w:p>
        </w:tc>
      </w:tr>
      <w:tr w:rsidR="00534A2D" w14:paraId="14BD7C16" w14:textId="77777777" w:rsidTr="00D45BC2">
        <w:trPr>
          <w:cantSplit/>
        </w:trPr>
        <w:tc>
          <w:tcPr>
            <w:tcW w:w="1080" w:type="dxa"/>
            <w:tcBorders>
              <w:top w:val="single" w:sz="4" w:space="0" w:color="auto"/>
              <w:left w:val="single" w:sz="4" w:space="0" w:color="auto"/>
              <w:bottom w:val="single" w:sz="4" w:space="0" w:color="auto"/>
              <w:right w:val="single" w:sz="4" w:space="0" w:color="auto"/>
            </w:tcBorders>
          </w:tcPr>
          <w:p w14:paraId="0B5D7C65" w14:textId="77777777" w:rsidR="00D259AA" w:rsidRPr="001B4A02" w:rsidRDefault="00000000" w:rsidP="00D45BC2">
            <w:pPr>
              <w:keepNext/>
              <w:ind w:left="0" w:firstLine="0"/>
              <w:rPr>
                <w:szCs w:val="22"/>
              </w:rPr>
            </w:pPr>
            <w:r w:rsidRPr="001B4A02">
              <w:rPr>
                <w:szCs w:val="22"/>
              </w:rPr>
              <w:t xml:space="preserve">  12 měsíců</w:t>
            </w:r>
          </w:p>
        </w:tc>
        <w:tc>
          <w:tcPr>
            <w:tcW w:w="1456" w:type="dxa"/>
            <w:tcBorders>
              <w:top w:val="single" w:sz="4" w:space="0" w:color="auto"/>
              <w:left w:val="single" w:sz="4" w:space="0" w:color="auto"/>
              <w:bottom w:val="single" w:sz="4" w:space="0" w:color="auto"/>
              <w:right w:val="single" w:sz="4" w:space="0" w:color="auto"/>
            </w:tcBorders>
          </w:tcPr>
          <w:p w14:paraId="1C79F846" w14:textId="77777777" w:rsidR="00D259AA" w:rsidRPr="001B4A02" w:rsidRDefault="00000000" w:rsidP="00D45BC2">
            <w:pPr>
              <w:keepNext/>
              <w:ind w:left="0" w:firstLine="0"/>
              <w:jc w:val="center"/>
              <w:rPr>
                <w:szCs w:val="22"/>
              </w:rPr>
            </w:pPr>
            <w:r w:rsidRPr="001B4A02">
              <w:rPr>
                <w:szCs w:val="22"/>
              </w:rPr>
              <w:t>NA</w:t>
            </w:r>
          </w:p>
        </w:tc>
        <w:tc>
          <w:tcPr>
            <w:tcW w:w="1559" w:type="dxa"/>
            <w:tcBorders>
              <w:top w:val="single" w:sz="4" w:space="0" w:color="auto"/>
              <w:left w:val="single" w:sz="4" w:space="0" w:color="auto"/>
              <w:bottom w:val="single" w:sz="4" w:space="0" w:color="auto"/>
              <w:right w:val="single" w:sz="4" w:space="0" w:color="auto"/>
            </w:tcBorders>
          </w:tcPr>
          <w:p w14:paraId="0E365725" w14:textId="77777777" w:rsidR="00D259AA" w:rsidRPr="001B4A02" w:rsidRDefault="00000000" w:rsidP="00D45BC2">
            <w:pPr>
              <w:keepNext/>
              <w:ind w:left="0" w:firstLine="0"/>
              <w:jc w:val="center"/>
              <w:rPr>
                <w:szCs w:val="22"/>
              </w:rPr>
            </w:pPr>
            <w:r w:rsidRPr="001B4A02">
              <w:rPr>
                <w:szCs w:val="22"/>
              </w:rPr>
              <w:t>NA</w:t>
            </w:r>
          </w:p>
        </w:tc>
        <w:tc>
          <w:tcPr>
            <w:tcW w:w="992" w:type="dxa"/>
            <w:tcBorders>
              <w:top w:val="single" w:sz="4" w:space="0" w:color="auto"/>
              <w:left w:val="single" w:sz="4" w:space="0" w:color="auto"/>
              <w:bottom w:val="single" w:sz="4" w:space="0" w:color="auto"/>
              <w:right w:val="single" w:sz="4" w:space="0" w:color="auto"/>
            </w:tcBorders>
          </w:tcPr>
          <w:p w14:paraId="55B9E561" w14:textId="77777777" w:rsidR="00D259AA" w:rsidRPr="001B4A02" w:rsidRDefault="00000000" w:rsidP="00D45BC2">
            <w:pPr>
              <w:keepNext/>
              <w:ind w:left="0" w:firstLine="0"/>
              <w:jc w:val="center"/>
              <w:rPr>
                <w:szCs w:val="22"/>
              </w:rPr>
            </w:pPr>
            <w:r w:rsidRPr="001B4A02">
              <w:rPr>
                <w:szCs w:val="22"/>
              </w:rPr>
              <w:t>NA</w:t>
            </w:r>
          </w:p>
        </w:tc>
        <w:tc>
          <w:tcPr>
            <w:tcW w:w="993" w:type="dxa"/>
            <w:tcBorders>
              <w:top w:val="single" w:sz="4" w:space="0" w:color="auto"/>
              <w:left w:val="single" w:sz="4" w:space="0" w:color="auto"/>
              <w:bottom w:val="single" w:sz="4" w:space="0" w:color="auto"/>
              <w:right w:val="single" w:sz="4" w:space="0" w:color="auto"/>
            </w:tcBorders>
          </w:tcPr>
          <w:p w14:paraId="57A1AA41" w14:textId="77777777" w:rsidR="00D259AA" w:rsidRPr="001B4A02" w:rsidRDefault="00000000" w:rsidP="00D45BC2">
            <w:pPr>
              <w:keepNext/>
              <w:ind w:left="0" w:firstLine="0"/>
              <w:jc w:val="center"/>
              <w:rPr>
                <w:szCs w:val="22"/>
              </w:rPr>
            </w:pPr>
            <w:r w:rsidRPr="001B4A02">
              <w:rPr>
                <w:szCs w:val="22"/>
              </w:rPr>
              <w:t>NA</w:t>
            </w:r>
          </w:p>
        </w:tc>
        <w:tc>
          <w:tcPr>
            <w:tcW w:w="1417" w:type="dxa"/>
            <w:tcBorders>
              <w:top w:val="single" w:sz="4" w:space="0" w:color="auto"/>
              <w:left w:val="single" w:sz="4" w:space="0" w:color="auto"/>
              <w:bottom w:val="single" w:sz="4" w:space="0" w:color="auto"/>
              <w:right w:val="single" w:sz="4" w:space="0" w:color="auto"/>
            </w:tcBorders>
          </w:tcPr>
          <w:p w14:paraId="700D6EA8" w14:textId="77777777" w:rsidR="00D259AA" w:rsidRPr="001B4A02" w:rsidRDefault="00000000" w:rsidP="00D45BC2">
            <w:pPr>
              <w:keepNext/>
              <w:ind w:left="0" w:firstLine="0"/>
              <w:jc w:val="center"/>
              <w:rPr>
                <w:szCs w:val="22"/>
              </w:rPr>
            </w:pPr>
            <w:r w:rsidRPr="001B4A02">
              <w:rPr>
                <w:szCs w:val="22"/>
              </w:rPr>
              <w:t>4,5 %</w:t>
            </w:r>
          </w:p>
        </w:tc>
        <w:tc>
          <w:tcPr>
            <w:tcW w:w="1627" w:type="dxa"/>
            <w:tcBorders>
              <w:top w:val="single" w:sz="4" w:space="0" w:color="auto"/>
              <w:left w:val="single" w:sz="4" w:space="0" w:color="auto"/>
              <w:bottom w:val="single" w:sz="4" w:space="0" w:color="auto"/>
              <w:right w:val="single" w:sz="4" w:space="0" w:color="auto"/>
            </w:tcBorders>
          </w:tcPr>
          <w:p w14:paraId="4E5B0436" w14:textId="77777777" w:rsidR="00D259AA" w:rsidRPr="001B4A02" w:rsidRDefault="00000000" w:rsidP="00D45BC2">
            <w:pPr>
              <w:keepNext/>
              <w:ind w:left="0" w:firstLine="0"/>
              <w:jc w:val="center"/>
              <w:rPr>
                <w:szCs w:val="22"/>
              </w:rPr>
            </w:pPr>
            <w:r w:rsidRPr="001B4A02">
              <w:rPr>
                <w:szCs w:val="22"/>
              </w:rPr>
              <w:t>23,2 %</w:t>
            </w:r>
          </w:p>
        </w:tc>
      </w:tr>
      <w:tr w:rsidR="00534A2D" w14:paraId="3A5DBC11" w14:textId="77777777" w:rsidTr="00D45BC2">
        <w:trPr>
          <w:cantSplit/>
        </w:trPr>
        <w:tc>
          <w:tcPr>
            <w:tcW w:w="9124" w:type="dxa"/>
            <w:gridSpan w:val="7"/>
            <w:tcBorders>
              <w:top w:val="single" w:sz="4" w:space="0" w:color="auto"/>
            </w:tcBorders>
          </w:tcPr>
          <w:p w14:paraId="444E241F" w14:textId="77777777" w:rsidR="00D259AA" w:rsidRPr="001B4A02" w:rsidRDefault="00000000" w:rsidP="00D45BC2">
            <w:pPr>
              <w:keepNext/>
              <w:ind w:left="0" w:firstLine="0"/>
              <w:rPr>
                <w:sz w:val="20"/>
              </w:rPr>
            </w:pPr>
            <w:r w:rsidRPr="001B4A02">
              <w:rPr>
                <w:szCs w:val="22"/>
                <w:vertAlign w:val="superscript"/>
              </w:rPr>
              <w:t>a</w:t>
            </w:r>
            <w:r w:rsidRPr="001B4A02">
              <w:rPr>
                <w:szCs w:val="22"/>
              </w:rPr>
              <w:t xml:space="preserve"> </w:t>
            </w:r>
            <w:r w:rsidRPr="001B4A02">
              <w:rPr>
                <w:sz w:val="20"/>
              </w:rPr>
              <w:t>Studie RA I za 24 týdnů, Studie RA II za 26 týdnů</w:t>
            </w:r>
            <w:r w:rsidR="002378E0">
              <w:rPr>
                <w:sz w:val="20"/>
              </w:rPr>
              <w:t xml:space="preserve"> a </w:t>
            </w:r>
            <w:r w:rsidRPr="001B4A02">
              <w:rPr>
                <w:sz w:val="20"/>
              </w:rPr>
              <w:t>Studie RA III za 24</w:t>
            </w:r>
            <w:r w:rsidR="002378E0">
              <w:rPr>
                <w:sz w:val="20"/>
              </w:rPr>
              <w:t xml:space="preserve"> a </w:t>
            </w:r>
            <w:r w:rsidRPr="001B4A02">
              <w:rPr>
                <w:sz w:val="20"/>
              </w:rPr>
              <w:t>52 týdnů</w:t>
            </w:r>
          </w:p>
          <w:p w14:paraId="04CC81B9" w14:textId="77777777" w:rsidR="00D259AA" w:rsidRPr="001B4A02" w:rsidRDefault="00000000" w:rsidP="00D45BC2">
            <w:pPr>
              <w:keepNext/>
              <w:ind w:left="0" w:firstLine="0"/>
              <w:rPr>
                <w:sz w:val="20"/>
              </w:rPr>
            </w:pPr>
            <w:r w:rsidRPr="001B4A02">
              <w:rPr>
                <w:sz w:val="20"/>
                <w:vertAlign w:val="superscript"/>
              </w:rPr>
              <w:t>b</w:t>
            </w:r>
            <w:r w:rsidRPr="001B4A02">
              <w:rPr>
                <w:sz w:val="20"/>
              </w:rPr>
              <w:t xml:space="preserve"> přípravek Humira 40 mg podávaný každý druhý týden</w:t>
            </w:r>
          </w:p>
          <w:p w14:paraId="34993C1F" w14:textId="77777777" w:rsidR="00D259AA" w:rsidRPr="001B4A02" w:rsidRDefault="00000000" w:rsidP="00D45BC2">
            <w:pPr>
              <w:keepNext/>
              <w:ind w:left="0" w:firstLine="0"/>
              <w:rPr>
                <w:sz w:val="20"/>
              </w:rPr>
            </w:pPr>
            <w:r w:rsidRPr="001B4A02">
              <w:rPr>
                <w:sz w:val="20"/>
                <w:vertAlign w:val="superscript"/>
              </w:rPr>
              <w:t>c</w:t>
            </w:r>
            <w:r w:rsidRPr="001B4A02">
              <w:rPr>
                <w:sz w:val="20"/>
              </w:rPr>
              <w:t xml:space="preserve"> MTX = methotrexát</w:t>
            </w:r>
          </w:p>
          <w:p w14:paraId="75A447A7" w14:textId="77777777" w:rsidR="00D259AA" w:rsidRPr="001B4A02" w:rsidRDefault="00000000" w:rsidP="00D45BC2">
            <w:pPr>
              <w:keepNext/>
              <w:ind w:left="0" w:firstLine="0"/>
              <w:rPr>
                <w:szCs w:val="22"/>
              </w:rPr>
            </w:pPr>
            <w:r w:rsidRPr="001B4A02">
              <w:rPr>
                <w:sz w:val="20"/>
              </w:rPr>
              <w:t>**p&lt;0,01, přípravek Humira versus placebo</w:t>
            </w:r>
          </w:p>
        </w:tc>
      </w:tr>
    </w:tbl>
    <w:p w14:paraId="3904AF51" w14:textId="77777777" w:rsidR="00D259AA" w:rsidRPr="001B4A02" w:rsidRDefault="00D259AA" w:rsidP="003B610F">
      <w:pPr>
        <w:ind w:left="0" w:firstLine="0"/>
      </w:pPr>
    </w:p>
    <w:p w14:paraId="03C699C9" w14:textId="77777777" w:rsidR="00D259AA" w:rsidRPr="001B4A02" w:rsidRDefault="00000000" w:rsidP="00D259AA">
      <w:pPr>
        <w:ind w:left="0" w:firstLine="0"/>
      </w:pPr>
      <w:r w:rsidRPr="001B4A02">
        <w:t>Ve studiích RA I–IV došlo po 24</w:t>
      </w:r>
      <w:r w:rsidR="002378E0">
        <w:t xml:space="preserve"> a </w:t>
      </w:r>
      <w:r w:rsidRPr="001B4A02">
        <w:t>26 týdnech léčby v porovnání s placebem ke zlepšení všech jednotlivých složek kritérií odpovědi ACR (počet bolestivých</w:t>
      </w:r>
      <w:r w:rsidR="002378E0">
        <w:t xml:space="preserve"> a </w:t>
      </w:r>
      <w:r w:rsidRPr="001B4A02">
        <w:t>oteklých kloubů, hodnocení aktivity onemocnění</w:t>
      </w:r>
      <w:r w:rsidR="002378E0">
        <w:t xml:space="preserve"> a </w:t>
      </w:r>
      <w:r w:rsidRPr="001B4A02">
        <w:t>bolesti lékařem</w:t>
      </w:r>
      <w:r w:rsidR="002378E0">
        <w:t xml:space="preserve"> a </w:t>
      </w:r>
      <w:r w:rsidRPr="001B4A02">
        <w:t>pacientem, skóre indexu disability (HAQ)</w:t>
      </w:r>
      <w:r w:rsidR="002378E0">
        <w:t xml:space="preserve"> a </w:t>
      </w:r>
      <w:r w:rsidRPr="001B4A02">
        <w:t>hodnoty CRP (mg/dl)). Ve studii RA III toto zlepšení přetrvávalo po dobu 52 týdnů.</w:t>
      </w:r>
    </w:p>
    <w:p w14:paraId="750661F3" w14:textId="77777777" w:rsidR="00D259AA" w:rsidRPr="001B4A02" w:rsidRDefault="00D259AA" w:rsidP="00D259AA">
      <w:pPr>
        <w:ind w:left="0" w:firstLine="0"/>
        <w:rPr>
          <w:szCs w:val="22"/>
        </w:rPr>
      </w:pPr>
    </w:p>
    <w:p w14:paraId="10E88E62" w14:textId="77777777" w:rsidR="00D259AA" w:rsidRPr="001B4A02" w:rsidRDefault="00000000" w:rsidP="00D259AA">
      <w:pPr>
        <w:ind w:left="0" w:firstLine="0"/>
      </w:pPr>
      <w:r w:rsidRPr="001B4A02">
        <w:rPr>
          <w:szCs w:val="22"/>
        </w:rPr>
        <w:t xml:space="preserve">V otevřené prodloužené studii </w:t>
      </w:r>
      <w:r w:rsidR="00F628C8">
        <w:rPr>
          <w:szCs w:val="22"/>
        </w:rPr>
        <w:t>RA III</w:t>
      </w:r>
      <w:r w:rsidRPr="001B4A02">
        <w:rPr>
          <w:szCs w:val="22"/>
        </w:rPr>
        <w:t xml:space="preserve"> </w:t>
      </w:r>
      <w:r w:rsidRPr="00FA0236">
        <w:rPr>
          <w:szCs w:val="22"/>
        </w:rPr>
        <w:t>si</w:t>
      </w:r>
      <w:r w:rsidRPr="001B4A02">
        <w:rPr>
          <w:szCs w:val="22"/>
        </w:rPr>
        <w:t xml:space="preserve"> většina pacientů, kteří dosáhli odpovědi dle ACR, udržela odpověď v trvání až 10 let. Z celkového počtu 207 pacientů, kteří byli randomizováni na přípravek Humira 40</w:t>
      </w:r>
      <w:r w:rsidR="00874DE1">
        <w:rPr>
          <w:szCs w:val="22"/>
        </w:rPr>
        <w:t> mg</w:t>
      </w:r>
      <w:r w:rsidRPr="001B4A02">
        <w:rPr>
          <w:szCs w:val="22"/>
        </w:rPr>
        <w:t xml:space="preserve"> každý druhý týden, jich 114 pokračovalo v léčbě přípravkem Humira každý druhý týden po dobu 5 let. Z těchto pacientů 86 (75,4</w:t>
      </w:r>
      <w:r w:rsidR="006008CB">
        <w:rPr>
          <w:szCs w:val="22"/>
        </w:rPr>
        <w:t> %</w:t>
      </w:r>
      <w:r w:rsidRPr="001B4A02">
        <w:rPr>
          <w:szCs w:val="22"/>
        </w:rPr>
        <w:t>) dosáhlo odpovědi ACR 20; 72 pacientů (63,2</w:t>
      </w:r>
      <w:r w:rsidR="006008CB">
        <w:rPr>
          <w:szCs w:val="22"/>
        </w:rPr>
        <w:t> %</w:t>
      </w:r>
      <w:r w:rsidRPr="001B4A02">
        <w:rPr>
          <w:szCs w:val="22"/>
        </w:rPr>
        <w:t>) dosáhlo odpovědi ACR 50</w:t>
      </w:r>
      <w:r w:rsidR="002378E0">
        <w:rPr>
          <w:szCs w:val="22"/>
        </w:rPr>
        <w:t xml:space="preserve"> a </w:t>
      </w:r>
      <w:r w:rsidRPr="001B4A02">
        <w:rPr>
          <w:szCs w:val="22"/>
        </w:rPr>
        <w:t>41 pacientů (36</w:t>
      </w:r>
      <w:r w:rsidR="006008CB">
        <w:rPr>
          <w:szCs w:val="22"/>
        </w:rPr>
        <w:t> %</w:t>
      </w:r>
      <w:r w:rsidRPr="001B4A02">
        <w:rPr>
          <w:szCs w:val="22"/>
        </w:rPr>
        <w:t>) dosáhlo odpovědi ACR 70. Z celkového počtu 207 pacientů jich 81 pokračovalo v léčbě přípravkem Humira v dávce 40</w:t>
      </w:r>
      <w:r w:rsidR="00874DE1">
        <w:rPr>
          <w:szCs w:val="22"/>
        </w:rPr>
        <w:t> mg</w:t>
      </w:r>
      <w:r w:rsidRPr="001B4A02">
        <w:rPr>
          <w:szCs w:val="22"/>
        </w:rPr>
        <w:t xml:space="preserve"> každý druhý týden po dobu 10 let. Mezi těmito dosáhlo 64 pacientů (79</w:t>
      </w:r>
      <w:r w:rsidR="006008CB">
        <w:rPr>
          <w:szCs w:val="22"/>
        </w:rPr>
        <w:t> %</w:t>
      </w:r>
      <w:r w:rsidRPr="001B4A02">
        <w:rPr>
          <w:szCs w:val="22"/>
        </w:rPr>
        <w:t>) odpovědi ACR 20, 56 pacientů (69,1</w:t>
      </w:r>
      <w:r w:rsidR="00DA6955">
        <w:rPr>
          <w:szCs w:val="22"/>
        </w:rPr>
        <w:t> </w:t>
      </w:r>
      <w:r w:rsidRPr="001B4A02">
        <w:rPr>
          <w:szCs w:val="22"/>
        </w:rPr>
        <w:t>%) dosáhlo odpovědi ACR 50</w:t>
      </w:r>
      <w:r w:rsidR="002378E0">
        <w:rPr>
          <w:szCs w:val="22"/>
        </w:rPr>
        <w:t xml:space="preserve"> a </w:t>
      </w:r>
      <w:r w:rsidRPr="001B4A02">
        <w:rPr>
          <w:szCs w:val="22"/>
        </w:rPr>
        <w:t>43 pacientů (53,1</w:t>
      </w:r>
      <w:r w:rsidR="006008CB">
        <w:rPr>
          <w:szCs w:val="22"/>
        </w:rPr>
        <w:t> %</w:t>
      </w:r>
      <w:r w:rsidRPr="001B4A02">
        <w:rPr>
          <w:szCs w:val="22"/>
        </w:rPr>
        <w:t>) dosáhlo odpovědi ACR 70.</w:t>
      </w:r>
    </w:p>
    <w:p w14:paraId="44AAF6AE" w14:textId="77777777" w:rsidR="00D259AA" w:rsidRPr="001B4A02" w:rsidRDefault="00D259AA" w:rsidP="00D259AA">
      <w:pPr>
        <w:ind w:left="0" w:firstLine="0"/>
      </w:pPr>
    </w:p>
    <w:p w14:paraId="6DC64A13" w14:textId="77777777" w:rsidR="00D259AA" w:rsidRPr="001B4A02" w:rsidRDefault="00000000" w:rsidP="00D259AA">
      <w:pPr>
        <w:ind w:left="0" w:firstLine="0"/>
      </w:pPr>
      <w:r w:rsidRPr="001B4A02">
        <w:t>Ve studii RA IV byla ACR 20 odpověď u pacientů léčených přípravkem Humira</w:t>
      </w:r>
      <w:r w:rsidR="002378E0">
        <w:t xml:space="preserve"> a </w:t>
      </w:r>
      <w:r w:rsidRPr="001B4A02">
        <w:t>standardní léčbou statisticky významně lepší než u pacientů léčených placebem</w:t>
      </w:r>
      <w:r w:rsidR="002378E0">
        <w:t xml:space="preserve"> a </w:t>
      </w:r>
      <w:r w:rsidRPr="001B4A02">
        <w:t>standardní léčbou (p&lt;0,001).</w:t>
      </w:r>
    </w:p>
    <w:p w14:paraId="6B14A513" w14:textId="77777777" w:rsidR="00D259AA" w:rsidRPr="001B4A02" w:rsidRDefault="00D259AA" w:rsidP="00D259AA">
      <w:pPr>
        <w:ind w:left="0" w:firstLine="0"/>
      </w:pPr>
    </w:p>
    <w:p w14:paraId="120DB295" w14:textId="77777777" w:rsidR="00D259AA" w:rsidRPr="001B4A02" w:rsidRDefault="00000000" w:rsidP="00D259AA">
      <w:pPr>
        <w:ind w:left="0" w:firstLine="0"/>
        <w:rPr>
          <w:u w:val="single"/>
        </w:rPr>
      </w:pPr>
      <w:r w:rsidRPr="001B4A02">
        <w:t>Ve studiích RA I</w:t>
      </w:r>
      <w:r w:rsidRPr="001B4A02">
        <w:noBreakHyphen/>
      </w:r>
      <w:r w:rsidRPr="001B4A02">
        <w:rPr>
          <w:iCs/>
        </w:rPr>
        <w:t xml:space="preserve">IV </w:t>
      </w:r>
      <w:r w:rsidRPr="001B4A02">
        <w:t>dosáhli pacienti léčení přípravkem Humira statisticky významné odpovědi ACR 20</w:t>
      </w:r>
      <w:r w:rsidR="002378E0">
        <w:t xml:space="preserve"> a </w:t>
      </w:r>
      <w:r w:rsidRPr="001B4A02">
        <w:t>50 v porovnání s placebem již za jeden až dva týdny po zahájení léčby.</w:t>
      </w:r>
      <w:r w:rsidRPr="001B4A02">
        <w:rPr>
          <w:u w:val="single"/>
        </w:rPr>
        <w:t xml:space="preserve"> </w:t>
      </w:r>
    </w:p>
    <w:p w14:paraId="3288A82A" w14:textId="77777777" w:rsidR="00D259AA" w:rsidRPr="001B4A02" w:rsidRDefault="00D259AA" w:rsidP="00D259AA">
      <w:pPr>
        <w:ind w:left="0" w:firstLine="0"/>
        <w:rPr>
          <w:u w:val="single"/>
        </w:rPr>
      </w:pPr>
    </w:p>
    <w:p w14:paraId="3FA82947" w14:textId="77777777" w:rsidR="00D259AA" w:rsidRPr="001B4A02" w:rsidRDefault="00000000" w:rsidP="00D259AA">
      <w:pPr>
        <w:pStyle w:val="EMEANormal"/>
        <w:tabs>
          <w:tab w:val="clear" w:pos="562"/>
        </w:tabs>
        <w:suppressAutoHyphens w:val="0"/>
        <w:rPr>
          <w:lang w:val="cs-CZ"/>
        </w:rPr>
      </w:pPr>
      <w:r w:rsidRPr="001B4A02">
        <w:rPr>
          <w:lang w:val="cs-CZ"/>
        </w:rPr>
        <w:t>Ve studii RA V u pacientů s časnou revmatoidní artritidou, kteří dosud nebyli léčeni methotrexátem, vedla kombin</w:t>
      </w:r>
      <w:r w:rsidR="00181641">
        <w:rPr>
          <w:lang w:val="cs-CZ"/>
        </w:rPr>
        <w:t>ovaná</w:t>
      </w:r>
      <w:r w:rsidRPr="001B4A02">
        <w:rPr>
          <w:lang w:val="cs-CZ"/>
        </w:rPr>
        <w:t xml:space="preserve"> léčba přípravkem Humira</w:t>
      </w:r>
      <w:r w:rsidR="002378E0">
        <w:rPr>
          <w:lang w:val="cs-CZ"/>
        </w:rPr>
        <w:t xml:space="preserve"> a </w:t>
      </w:r>
      <w:r w:rsidRPr="001B4A02">
        <w:rPr>
          <w:lang w:val="cs-CZ"/>
        </w:rPr>
        <w:t>methotrexátem k rychlejší</w:t>
      </w:r>
      <w:r w:rsidR="002378E0">
        <w:rPr>
          <w:lang w:val="cs-CZ"/>
        </w:rPr>
        <w:t xml:space="preserve"> a </w:t>
      </w:r>
      <w:r w:rsidRPr="001B4A02">
        <w:rPr>
          <w:lang w:val="cs-CZ"/>
        </w:rPr>
        <w:t>významně větší odpovědi ACR než monoterapie methotrexátem</w:t>
      </w:r>
      <w:r w:rsidR="002378E0">
        <w:rPr>
          <w:lang w:val="cs-CZ"/>
        </w:rPr>
        <w:t xml:space="preserve"> a </w:t>
      </w:r>
      <w:r w:rsidRPr="001B4A02">
        <w:rPr>
          <w:lang w:val="cs-CZ"/>
        </w:rPr>
        <w:t xml:space="preserve">monoterapie přípravkem Humira </w:t>
      </w:r>
      <w:r w:rsidR="00D00F8F">
        <w:rPr>
          <w:lang w:val="cs-CZ"/>
        </w:rPr>
        <w:t>v</w:t>
      </w:r>
      <w:r w:rsidR="000F04DB">
        <w:rPr>
          <w:lang w:val="cs-CZ"/>
        </w:rPr>
        <w:t> </w:t>
      </w:r>
      <w:r w:rsidR="00D00F8F">
        <w:rPr>
          <w:lang w:val="cs-CZ"/>
        </w:rPr>
        <w:t>týdnu 52</w:t>
      </w:r>
      <w:r w:rsidR="002378E0">
        <w:rPr>
          <w:lang w:val="cs-CZ"/>
        </w:rPr>
        <w:t xml:space="preserve"> a </w:t>
      </w:r>
      <w:r w:rsidRPr="001B4A02">
        <w:rPr>
          <w:lang w:val="cs-CZ"/>
        </w:rPr>
        <w:t xml:space="preserve">odpověď přetrvávala i </w:t>
      </w:r>
      <w:r w:rsidR="00D00F8F">
        <w:rPr>
          <w:lang w:val="cs-CZ"/>
        </w:rPr>
        <w:t>v</w:t>
      </w:r>
      <w:r w:rsidR="000F04DB">
        <w:rPr>
          <w:lang w:val="cs-CZ"/>
        </w:rPr>
        <w:t> </w:t>
      </w:r>
      <w:r w:rsidR="00D00F8F">
        <w:rPr>
          <w:lang w:val="cs-CZ"/>
        </w:rPr>
        <w:t>týdnu 104</w:t>
      </w:r>
      <w:r w:rsidRPr="001B4A02">
        <w:rPr>
          <w:lang w:val="cs-CZ"/>
        </w:rPr>
        <w:t xml:space="preserve"> (viz tabulka </w:t>
      </w:r>
      <w:r w:rsidR="00E331EB">
        <w:rPr>
          <w:lang w:val="cs-CZ"/>
        </w:rPr>
        <w:t>6</w:t>
      </w:r>
      <w:r w:rsidRPr="001B4A02">
        <w:rPr>
          <w:lang w:val="cs-CZ"/>
        </w:rPr>
        <w:t>).</w:t>
      </w:r>
    </w:p>
    <w:p w14:paraId="3144505A" w14:textId="77777777" w:rsidR="00D259AA" w:rsidRPr="001B4A02" w:rsidRDefault="00D259AA" w:rsidP="003B610F">
      <w:pPr>
        <w:ind w:left="0" w:firstLine="0"/>
        <w:rPr>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1355"/>
        <w:gridCol w:w="1046"/>
        <w:gridCol w:w="992"/>
        <w:gridCol w:w="1560"/>
        <w:gridCol w:w="1417"/>
        <w:gridCol w:w="1559"/>
        <w:gridCol w:w="1309"/>
        <w:gridCol w:w="12"/>
      </w:tblGrid>
      <w:tr w:rsidR="00534A2D" w14:paraId="5CBE77E2" w14:textId="77777777" w:rsidTr="00D45BC2">
        <w:trPr>
          <w:gridBefore w:val="1"/>
          <w:wBefore w:w="9" w:type="dxa"/>
          <w:cantSplit/>
          <w:jc w:val="center"/>
        </w:trPr>
        <w:tc>
          <w:tcPr>
            <w:tcW w:w="9250" w:type="dxa"/>
            <w:gridSpan w:val="8"/>
            <w:tcBorders>
              <w:top w:val="nil"/>
              <w:left w:val="nil"/>
              <w:bottom w:val="nil"/>
              <w:right w:val="nil"/>
            </w:tcBorders>
            <w:vAlign w:val="center"/>
          </w:tcPr>
          <w:p w14:paraId="24CB5215" w14:textId="77777777" w:rsidR="00D259AA" w:rsidRPr="001B4A02" w:rsidRDefault="00000000" w:rsidP="00D45BC2">
            <w:pPr>
              <w:keepNext/>
              <w:jc w:val="center"/>
              <w:rPr>
                <w:b/>
              </w:rPr>
            </w:pPr>
            <w:r w:rsidRPr="001B4A02">
              <w:rPr>
                <w:b/>
              </w:rPr>
              <w:t xml:space="preserve">Tabulka </w:t>
            </w:r>
            <w:r w:rsidR="00E331EB">
              <w:rPr>
                <w:b/>
              </w:rPr>
              <w:t>6</w:t>
            </w:r>
            <w:r w:rsidR="00E331EB" w:rsidRPr="001B4A02">
              <w:rPr>
                <w:b/>
              </w:rPr>
              <w:t xml:space="preserve"> </w:t>
            </w:r>
          </w:p>
          <w:p w14:paraId="2718AAC0" w14:textId="77777777" w:rsidR="00D259AA" w:rsidRPr="001B4A02" w:rsidRDefault="00000000" w:rsidP="00D45BC2">
            <w:pPr>
              <w:keepNext/>
              <w:jc w:val="center"/>
              <w:rPr>
                <w:b/>
              </w:rPr>
            </w:pPr>
            <w:r w:rsidRPr="001B4A02">
              <w:rPr>
                <w:b/>
              </w:rPr>
              <w:t>Odpověď ACR ve studii RA V</w:t>
            </w:r>
          </w:p>
          <w:p w14:paraId="785B4749" w14:textId="77777777" w:rsidR="00D259AA" w:rsidRPr="001B4A02" w:rsidRDefault="00000000" w:rsidP="00D45BC2">
            <w:pPr>
              <w:keepNext/>
              <w:jc w:val="center"/>
              <w:rPr>
                <w:b/>
                <w:bCs/>
                <w:caps/>
              </w:rPr>
            </w:pPr>
            <w:r w:rsidRPr="001B4A02">
              <w:rPr>
                <w:b/>
              </w:rPr>
              <w:t>(Procento pacientů)</w:t>
            </w:r>
          </w:p>
          <w:p w14:paraId="60CABCEB" w14:textId="77777777" w:rsidR="00D259AA" w:rsidRPr="001B4A02" w:rsidRDefault="00D259AA" w:rsidP="00D45BC2">
            <w:pPr>
              <w:pStyle w:val="BodyText"/>
              <w:keepNext/>
              <w:tabs>
                <w:tab w:val="left" w:pos="3600"/>
                <w:tab w:val="center" w:pos="5760"/>
              </w:tabs>
              <w:jc w:val="center"/>
              <w:rPr>
                <w:bCs/>
                <w:i w:val="0"/>
                <w:lang w:val="cs-CZ"/>
              </w:rPr>
            </w:pPr>
          </w:p>
        </w:tc>
      </w:tr>
      <w:tr w:rsidR="00534A2D" w14:paraId="2A8C88EB" w14:textId="77777777" w:rsidTr="00D45BC2">
        <w:trPr>
          <w:gridAfter w:val="1"/>
          <w:wAfter w:w="12" w:type="dxa"/>
          <w:cantSplit/>
          <w:jc w:val="center"/>
        </w:trPr>
        <w:tc>
          <w:tcPr>
            <w:tcW w:w="1364" w:type="dxa"/>
            <w:gridSpan w:val="2"/>
            <w:vAlign w:val="center"/>
          </w:tcPr>
          <w:p w14:paraId="120A0441" w14:textId="77777777" w:rsidR="00D259AA" w:rsidRPr="001B4A02" w:rsidRDefault="00000000" w:rsidP="00D45BC2">
            <w:pPr>
              <w:keepNext/>
              <w:rPr>
                <w:b/>
                <w:bCs/>
              </w:rPr>
            </w:pPr>
            <w:r w:rsidRPr="001B4A02">
              <w:rPr>
                <w:b/>
                <w:bCs/>
              </w:rPr>
              <w:t>Odpověď</w:t>
            </w:r>
          </w:p>
        </w:tc>
        <w:tc>
          <w:tcPr>
            <w:tcW w:w="1046" w:type="dxa"/>
            <w:tcBorders>
              <w:bottom w:val="single" w:sz="4" w:space="0" w:color="auto"/>
            </w:tcBorders>
            <w:vAlign w:val="center"/>
          </w:tcPr>
          <w:p w14:paraId="2551DB5A" w14:textId="77777777" w:rsidR="00D259AA" w:rsidRPr="001B4A02" w:rsidRDefault="00000000" w:rsidP="00D45BC2">
            <w:pPr>
              <w:keepNext/>
              <w:jc w:val="center"/>
              <w:rPr>
                <w:b/>
                <w:bCs/>
              </w:rPr>
            </w:pPr>
            <w:r w:rsidRPr="001B4A02">
              <w:rPr>
                <w:b/>
                <w:bCs/>
              </w:rPr>
              <w:t>MTX</w:t>
            </w:r>
          </w:p>
          <w:p w14:paraId="5058C5D7" w14:textId="77777777" w:rsidR="00D259AA" w:rsidRPr="001B4A02" w:rsidRDefault="00000000" w:rsidP="00D45BC2">
            <w:pPr>
              <w:pStyle w:val="EndnoteText"/>
              <w:keepNext/>
              <w:jc w:val="center"/>
              <w:rPr>
                <w:b/>
                <w:bCs/>
                <w:lang w:val="cs-CZ"/>
              </w:rPr>
            </w:pPr>
            <w:r w:rsidRPr="001B4A02">
              <w:rPr>
                <w:b/>
                <w:bCs/>
                <w:lang w:val="cs-CZ"/>
              </w:rPr>
              <w:t>n=257</w:t>
            </w:r>
          </w:p>
        </w:tc>
        <w:tc>
          <w:tcPr>
            <w:tcW w:w="992" w:type="dxa"/>
            <w:tcBorders>
              <w:bottom w:val="single" w:sz="4" w:space="0" w:color="auto"/>
            </w:tcBorders>
            <w:vAlign w:val="center"/>
          </w:tcPr>
          <w:p w14:paraId="78AAA125" w14:textId="77777777" w:rsidR="00D259AA" w:rsidRPr="001B4A02" w:rsidRDefault="00000000" w:rsidP="00D45BC2">
            <w:pPr>
              <w:keepNext/>
              <w:jc w:val="center"/>
              <w:rPr>
                <w:b/>
                <w:bCs/>
              </w:rPr>
            </w:pPr>
            <w:r w:rsidRPr="001B4A02">
              <w:rPr>
                <w:b/>
                <w:bCs/>
              </w:rPr>
              <w:t>Humira</w:t>
            </w:r>
          </w:p>
          <w:p w14:paraId="44F4F2B1" w14:textId="77777777" w:rsidR="00D259AA" w:rsidRPr="001B4A02" w:rsidRDefault="00000000" w:rsidP="00D45BC2">
            <w:pPr>
              <w:keepNext/>
              <w:jc w:val="center"/>
              <w:rPr>
                <w:b/>
                <w:bCs/>
              </w:rPr>
            </w:pPr>
            <w:r w:rsidRPr="001B4A02">
              <w:rPr>
                <w:b/>
                <w:bCs/>
              </w:rPr>
              <w:t>n=274</w:t>
            </w:r>
          </w:p>
        </w:tc>
        <w:tc>
          <w:tcPr>
            <w:tcW w:w="1560" w:type="dxa"/>
            <w:tcBorders>
              <w:bottom w:val="single" w:sz="4" w:space="0" w:color="auto"/>
            </w:tcBorders>
            <w:vAlign w:val="center"/>
          </w:tcPr>
          <w:p w14:paraId="040F39A9" w14:textId="77777777" w:rsidR="00D259AA" w:rsidRPr="001B4A02" w:rsidRDefault="00000000" w:rsidP="00D45BC2">
            <w:pPr>
              <w:keepNext/>
              <w:jc w:val="center"/>
              <w:rPr>
                <w:b/>
                <w:bCs/>
              </w:rPr>
            </w:pPr>
            <w:r w:rsidRPr="001B4A02">
              <w:rPr>
                <w:b/>
                <w:bCs/>
              </w:rPr>
              <w:t>Humira/MTX</w:t>
            </w:r>
          </w:p>
          <w:p w14:paraId="5723B533" w14:textId="77777777" w:rsidR="00D259AA" w:rsidRPr="001B4A02" w:rsidRDefault="00000000" w:rsidP="00D45BC2">
            <w:pPr>
              <w:keepNext/>
              <w:jc w:val="center"/>
              <w:rPr>
                <w:b/>
                <w:bCs/>
              </w:rPr>
            </w:pPr>
            <w:r w:rsidRPr="001B4A02">
              <w:rPr>
                <w:b/>
                <w:bCs/>
              </w:rPr>
              <w:t>n=268</w:t>
            </w:r>
          </w:p>
        </w:tc>
        <w:tc>
          <w:tcPr>
            <w:tcW w:w="1417" w:type="dxa"/>
            <w:tcBorders>
              <w:bottom w:val="single" w:sz="4" w:space="0" w:color="auto"/>
            </w:tcBorders>
            <w:vAlign w:val="center"/>
          </w:tcPr>
          <w:p w14:paraId="0FEB5732" w14:textId="77777777" w:rsidR="00D259AA" w:rsidRPr="001B4A02" w:rsidRDefault="00000000" w:rsidP="00D45BC2">
            <w:pPr>
              <w:pStyle w:val="EndnoteText"/>
              <w:keepNext/>
              <w:jc w:val="center"/>
              <w:rPr>
                <w:b/>
                <w:bCs/>
                <w:lang w:val="cs-CZ"/>
              </w:rPr>
            </w:pPr>
            <w:r w:rsidRPr="001B4A02">
              <w:rPr>
                <w:b/>
                <w:bCs/>
                <w:lang w:val="cs-CZ"/>
              </w:rPr>
              <w:t>Hodnota p</w:t>
            </w:r>
            <w:r w:rsidRPr="001B4A02">
              <w:rPr>
                <w:b/>
                <w:bCs/>
                <w:vertAlign w:val="superscript"/>
                <w:lang w:val="cs-CZ"/>
              </w:rPr>
              <w:t>a</w:t>
            </w:r>
          </w:p>
        </w:tc>
        <w:tc>
          <w:tcPr>
            <w:tcW w:w="1559" w:type="dxa"/>
            <w:tcBorders>
              <w:bottom w:val="single" w:sz="4" w:space="0" w:color="auto"/>
            </w:tcBorders>
            <w:vAlign w:val="center"/>
          </w:tcPr>
          <w:p w14:paraId="527CE1B2" w14:textId="77777777" w:rsidR="00D259AA" w:rsidRPr="001B4A02" w:rsidRDefault="00000000" w:rsidP="00D45BC2">
            <w:pPr>
              <w:keepNext/>
              <w:jc w:val="center"/>
              <w:rPr>
                <w:b/>
                <w:bCs/>
              </w:rPr>
            </w:pPr>
            <w:r w:rsidRPr="001B4A02">
              <w:rPr>
                <w:b/>
                <w:bCs/>
              </w:rPr>
              <w:t>Hodnota p</w:t>
            </w:r>
            <w:r w:rsidRPr="001B4A02">
              <w:rPr>
                <w:b/>
                <w:bCs/>
                <w:vertAlign w:val="superscript"/>
              </w:rPr>
              <w:t>b</w:t>
            </w:r>
          </w:p>
        </w:tc>
        <w:tc>
          <w:tcPr>
            <w:tcW w:w="1309" w:type="dxa"/>
            <w:vAlign w:val="center"/>
          </w:tcPr>
          <w:p w14:paraId="1BEB3CE9" w14:textId="77777777" w:rsidR="00D259AA" w:rsidRPr="001B4A02" w:rsidRDefault="00000000" w:rsidP="00D45BC2">
            <w:pPr>
              <w:keepNext/>
              <w:jc w:val="center"/>
            </w:pPr>
            <w:r w:rsidRPr="001B4A02">
              <w:rPr>
                <w:b/>
                <w:bCs/>
              </w:rPr>
              <w:t>Hodnota p</w:t>
            </w:r>
            <w:r w:rsidRPr="001B4A02">
              <w:rPr>
                <w:b/>
                <w:bCs/>
                <w:vertAlign w:val="superscript"/>
              </w:rPr>
              <w:t>c</w:t>
            </w:r>
          </w:p>
        </w:tc>
      </w:tr>
      <w:tr w:rsidR="00534A2D" w14:paraId="6CCF98D3" w14:textId="77777777" w:rsidTr="00D45BC2">
        <w:trPr>
          <w:gridAfter w:val="1"/>
          <w:wAfter w:w="12" w:type="dxa"/>
          <w:cantSplit/>
          <w:jc w:val="center"/>
        </w:trPr>
        <w:tc>
          <w:tcPr>
            <w:tcW w:w="1364" w:type="dxa"/>
            <w:gridSpan w:val="2"/>
            <w:tcBorders>
              <w:right w:val="single" w:sz="4" w:space="0" w:color="auto"/>
            </w:tcBorders>
          </w:tcPr>
          <w:p w14:paraId="6C6D63C7" w14:textId="77777777" w:rsidR="00D259AA" w:rsidRPr="001B4A02" w:rsidRDefault="00000000" w:rsidP="00D45BC2">
            <w:pPr>
              <w:keepNext/>
            </w:pPr>
            <w:r w:rsidRPr="001B4A02">
              <w:t>ACR 20</w:t>
            </w:r>
          </w:p>
        </w:tc>
        <w:tc>
          <w:tcPr>
            <w:tcW w:w="1046" w:type="dxa"/>
            <w:tcBorders>
              <w:left w:val="single" w:sz="4" w:space="0" w:color="auto"/>
              <w:right w:val="single" w:sz="4" w:space="0" w:color="auto"/>
            </w:tcBorders>
          </w:tcPr>
          <w:p w14:paraId="3B99C347" w14:textId="77777777" w:rsidR="00D259AA" w:rsidRPr="001B4A02" w:rsidRDefault="00D259AA" w:rsidP="00D45BC2">
            <w:pPr>
              <w:keepNext/>
              <w:jc w:val="center"/>
            </w:pPr>
          </w:p>
        </w:tc>
        <w:tc>
          <w:tcPr>
            <w:tcW w:w="992" w:type="dxa"/>
            <w:tcBorders>
              <w:left w:val="single" w:sz="4" w:space="0" w:color="auto"/>
              <w:right w:val="single" w:sz="4" w:space="0" w:color="auto"/>
            </w:tcBorders>
          </w:tcPr>
          <w:p w14:paraId="14E5498C" w14:textId="77777777" w:rsidR="00D259AA" w:rsidRPr="001B4A02" w:rsidRDefault="00D259AA" w:rsidP="00D45BC2">
            <w:pPr>
              <w:keepNext/>
              <w:jc w:val="center"/>
            </w:pPr>
          </w:p>
        </w:tc>
        <w:tc>
          <w:tcPr>
            <w:tcW w:w="1560" w:type="dxa"/>
            <w:tcBorders>
              <w:left w:val="single" w:sz="4" w:space="0" w:color="auto"/>
              <w:right w:val="single" w:sz="4" w:space="0" w:color="auto"/>
            </w:tcBorders>
          </w:tcPr>
          <w:p w14:paraId="3B432FAA" w14:textId="77777777" w:rsidR="00D259AA" w:rsidRPr="001B4A02" w:rsidRDefault="00D259AA" w:rsidP="00D45BC2">
            <w:pPr>
              <w:keepNext/>
              <w:jc w:val="center"/>
            </w:pPr>
          </w:p>
        </w:tc>
        <w:tc>
          <w:tcPr>
            <w:tcW w:w="1417" w:type="dxa"/>
            <w:tcBorders>
              <w:left w:val="single" w:sz="4" w:space="0" w:color="auto"/>
              <w:right w:val="single" w:sz="4" w:space="0" w:color="auto"/>
            </w:tcBorders>
          </w:tcPr>
          <w:p w14:paraId="1B886241" w14:textId="77777777" w:rsidR="00D259AA" w:rsidRPr="001B4A02" w:rsidRDefault="00D259AA" w:rsidP="00D45BC2">
            <w:pPr>
              <w:keepNext/>
              <w:jc w:val="center"/>
            </w:pPr>
          </w:p>
        </w:tc>
        <w:tc>
          <w:tcPr>
            <w:tcW w:w="1559" w:type="dxa"/>
            <w:tcBorders>
              <w:left w:val="single" w:sz="4" w:space="0" w:color="auto"/>
              <w:right w:val="single" w:sz="4" w:space="0" w:color="auto"/>
            </w:tcBorders>
          </w:tcPr>
          <w:p w14:paraId="5A2E14C1" w14:textId="77777777" w:rsidR="00D259AA" w:rsidRPr="001B4A02" w:rsidRDefault="00D259AA" w:rsidP="00D45BC2">
            <w:pPr>
              <w:keepNext/>
              <w:jc w:val="center"/>
            </w:pPr>
          </w:p>
        </w:tc>
        <w:tc>
          <w:tcPr>
            <w:tcW w:w="1309" w:type="dxa"/>
            <w:tcBorders>
              <w:left w:val="single" w:sz="4" w:space="0" w:color="auto"/>
            </w:tcBorders>
          </w:tcPr>
          <w:p w14:paraId="34DF1258" w14:textId="77777777" w:rsidR="00D259AA" w:rsidRPr="001B4A02" w:rsidRDefault="00D259AA" w:rsidP="00D45BC2">
            <w:pPr>
              <w:keepNext/>
              <w:jc w:val="center"/>
            </w:pPr>
          </w:p>
        </w:tc>
      </w:tr>
      <w:tr w:rsidR="00534A2D" w14:paraId="0758D2F7" w14:textId="77777777" w:rsidTr="00D45BC2">
        <w:trPr>
          <w:gridAfter w:val="1"/>
          <w:wAfter w:w="12" w:type="dxa"/>
          <w:cantSplit/>
          <w:jc w:val="center"/>
        </w:trPr>
        <w:tc>
          <w:tcPr>
            <w:tcW w:w="1364" w:type="dxa"/>
            <w:gridSpan w:val="2"/>
            <w:tcBorders>
              <w:right w:val="single" w:sz="4" w:space="0" w:color="auto"/>
            </w:tcBorders>
          </w:tcPr>
          <w:p w14:paraId="7326D534" w14:textId="77777777" w:rsidR="00D259AA" w:rsidRPr="001B4A02" w:rsidRDefault="00000000" w:rsidP="00D45BC2">
            <w:pPr>
              <w:keepNext/>
            </w:pPr>
            <w:r w:rsidRPr="001B4A02">
              <w:tab/>
              <w:t>Týden 52</w:t>
            </w:r>
          </w:p>
        </w:tc>
        <w:tc>
          <w:tcPr>
            <w:tcW w:w="1046" w:type="dxa"/>
            <w:tcBorders>
              <w:left w:val="single" w:sz="4" w:space="0" w:color="auto"/>
              <w:right w:val="single" w:sz="4" w:space="0" w:color="auto"/>
            </w:tcBorders>
          </w:tcPr>
          <w:p w14:paraId="33CE2427" w14:textId="77777777" w:rsidR="00D259AA" w:rsidRPr="001B4A02" w:rsidRDefault="00000000" w:rsidP="00D45BC2">
            <w:pPr>
              <w:keepNext/>
              <w:jc w:val="center"/>
            </w:pPr>
            <w:r w:rsidRPr="001B4A02">
              <w:t>62,6 %</w:t>
            </w:r>
          </w:p>
        </w:tc>
        <w:tc>
          <w:tcPr>
            <w:tcW w:w="992" w:type="dxa"/>
            <w:tcBorders>
              <w:left w:val="single" w:sz="4" w:space="0" w:color="auto"/>
              <w:right w:val="single" w:sz="4" w:space="0" w:color="auto"/>
            </w:tcBorders>
          </w:tcPr>
          <w:p w14:paraId="064DB42E" w14:textId="77777777" w:rsidR="00D259AA" w:rsidRPr="001B4A02" w:rsidRDefault="00000000" w:rsidP="00D45BC2">
            <w:pPr>
              <w:keepNext/>
              <w:jc w:val="center"/>
            </w:pPr>
            <w:r w:rsidRPr="001B4A02">
              <w:t>54,4 %</w:t>
            </w:r>
          </w:p>
        </w:tc>
        <w:tc>
          <w:tcPr>
            <w:tcW w:w="1560" w:type="dxa"/>
            <w:tcBorders>
              <w:left w:val="single" w:sz="4" w:space="0" w:color="auto"/>
              <w:right w:val="single" w:sz="4" w:space="0" w:color="auto"/>
            </w:tcBorders>
          </w:tcPr>
          <w:p w14:paraId="6E05EB2D" w14:textId="77777777" w:rsidR="00D259AA" w:rsidRPr="001B4A02" w:rsidRDefault="00000000" w:rsidP="00D45BC2">
            <w:pPr>
              <w:keepNext/>
              <w:jc w:val="center"/>
            </w:pPr>
            <w:r w:rsidRPr="001B4A02">
              <w:t>72,8 %</w:t>
            </w:r>
          </w:p>
        </w:tc>
        <w:tc>
          <w:tcPr>
            <w:tcW w:w="1417" w:type="dxa"/>
            <w:tcBorders>
              <w:left w:val="single" w:sz="4" w:space="0" w:color="auto"/>
              <w:right w:val="single" w:sz="4" w:space="0" w:color="auto"/>
            </w:tcBorders>
          </w:tcPr>
          <w:p w14:paraId="741C0C77" w14:textId="77777777" w:rsidR="00D259AA" w:rsidRPr="001B4A02" w:rsidRDefault="00000000" w:rsidP="00D45BC2">
            <w:pPr>
              <w:keepNext/>
              <w:jc w:val="center"/>
            </w:pPr>
            <w:r w:rsidRPr="001B4A02">
              <w:t>0,013</w:t>
            </w:r>
          </w:p>
        </w:tc>
        <w:tc>
          <w:tcPr>
            <w:tcW w:w="1559" w:type="dxa"/>
            <w:tcBorders>
              <w:left w:val="single" w:sz="4" w:space="0" w:color="auto"/>
              <w:right w:val="single" w:sz="4" w:space="0" w:color="auto"/>
            </w:tcBorders>
          </w:tcPr>
          <w:p w14:paraId="73171974" w14:textId="77777777" w:rsidR="00D259AA" w:rsidRPr="001B4A02" w:rsidRDefault="00000000" w:rsidP="00D45BC2">
            <w:pPr>
              <w:keepNext/>
              <w:jc w:val="center"/>
            </w:pPr>
            <w:r w:rsidRPr="001B4A02">
              <w:t>&lt;0,001</w:t>
            </w:r>
          </w:p>
        </w:tc>
        <w:tc>
          <w:tcPr>
            <w:tcW w:w="1309" w:type="dxa"/>
            <w:tcBorders>
              <w:left w:val="single" w:sz="4" w:space="0" w:color="auto"/>
            </w:tcBorders>
          </w:tcPr>
          <w:p w14:paraId="58386A74" w14:textId="77777777" w:rsidR="00D259AA" w:rsidRPr="001B4A02" w:rsidRDefault="00000000" w:rsidP="00D45BC2">
            <w:pPr>
              <w:keepNext/>
              <w:jc w:val="center"/>
            </w:pPr>
            <w:r w:rsidRPr="001B4A02">
              <w:t>0,043</w:t>
            </w:r>
          </w:p>
        </w:tc>
      </w:tr>
      <w:tr w:rsidR="00534A2D" w14:paraId="4C6AA194" w14:textId="77777777" w:rsidTr="00D45BC2">
        <w:trPr>
          <w:gridAfter w:val="1"/>
          <w:wAfter w:w="12" w:type="dxa"/>
          <w:cantSplit/>
          <w:jc w:val="center"/>
        </w:trPr>
        <w:tc>
          <w:tcPr>
            <w:tcW w:w="1364" w:type="dxa"/>
            <w:gridSpan w:val="2"/>
            <w:tcBorders>
              <w:right w:val="single" w:sz="4" w:space="0" w:color="auto"/>
            </w:tcBorders>
          </w:tcPr>
          <w:p w14:paraId="75A1F3A4" w14:textId="77777777" w:rsidR="00D259AA" w:rsidRPr="001B4A02" w:rsidRDefault="00000000" w:rsidP="00D45BC2">
            <w:pPr>
              <w:keepNext/>
            </w:pPr>
            <w:r w:rsidRPr="001B4A02">
              <w:tab/>
              <w:t>Týden 104</w:t>
            </w:r>
          </w:p>
        </w:tc>
        <w:tc>
          <w:tcPr>
            <w:tcW w:w="1046" w:type="dxa"/>
            <w:tcBorders>
              <w:left w:val="single" w:sz="4" w:space="0" w:color="auto"/>
              <w:right w:val="single" w:sz="4" w:space="0" w:color="auto"/>
            </w:tcBorders>
          </w:tcPr>
          <w:p w14:paraId="610CD755" w14:textId="77777777" w:rsidR="00D259AA" w:rsidRPr="001B4A02" w:rsidRDefault="00000000" w:rsidP="00D45BC2">
            <w:pPr>
              <w:keepNext/>
              <w:jc w:val="center"/>
            </w:pPr>
            <w:r w:rsidRPr="001B4A02">
              <w:t>56,0 %</w:t>
            </w:r>
          </w:p>
        </w:tc>
        <w:tc>
          <w:tcPr>
            <w:tcW w:w="992" w:type="dxa"/>
            <w:tcBorders>
              <w:left w:val="single" w:sz="4" w:space="0" w:color="auto"/>
              <w:right w:val="single" w:sz="4" w:space="0" w:color="auto"/>
            </w:tcBorders>
          </w:tcPr>
          <w:p w14:paraId="44ADC25A" w14:textId="77777777" w:rsidR="00D259AA" w:rsidRPr="001B4A02" w:rsidRDefault="00000000" w:rsidP="00D45BC2">
            <w:pPr>
              <w:keepNext/>
              <w:jc w:val="center"/>
            </w:pPr>
            <w:r w:rsidRPr="001B4A02">
              <w:t>49,3 %</w:t>
            </w:r>
          </w:p>
        </w:tc>
        <w:tc>
          <w:tcPr>
            <w:tcW w:w="1560" w:type="dxa"/>
            <w:tcBorders>
              <w:left w:val="single" w:sz="4" w:space="0" w:color="auto"/>
              <w:right w:val="single" w:sz="4" w:space="0" w:color="auto"/>
            </w:tcBorders>
          </w:tcPr>
          <w:p w14:paraId="5905D4CE" w14:textId="77777777" w:rsidR="00D259AA" w:rsidRPr="001B4A02" w:rsidRDefault="00000000" w:rsidP="00D45BC2">
            <w:pPr>
              <w:keepNext/>
              <w:jc w:val="center"/>
            </w:pPr>
            <w:r w:rsidRPr="001B4A02">
              <w:t>69,4 %</w:t>
            </w:r>
          </w:p>
        </w:tc>
        <w:tc>
          <w:tcPr>
            <w:tcW w:w="1417" w:type="dxa"/>
            <w:tcBorders>
              <w:left w:val="single" w:sz="4" w:space="0" w:color="auto"/>
              <w:right w:val="single" w:sz="4" w:space="0" w:color="auto"/>
            </w:tcBorders>
          </w:tcPr>
          <w:p w14:paraId="4FC1C212" w14:textId="77777777" w:rsidR="00D259AA" w:rsidRPr="001B4A02" w:rsidRDefault="00000000" w:rsidP="00D45BC2">
            <w:pPr>
              <w:keepNext/>
              <w:jc w:val="center"/>
            </w:pPr>
            <w:r w:rsidRPr="001B4A02">
              <w:t>0,002</w:t>
            </w:r>
          </w:p>
        </w:tc>
        <w:tc>
          <w:tcPr>
            <w:tcW w:w="1559" w:type="dxa"/>
            <w:tcBorders>
              <w:left w:val="single" w:sz="4" w:space="0" w:color="auto"/>
              <w:right w:val="single" w:sz="4" w:space="0" w:color="auto"/>
            </w:tcBorders>
          </w:tcPr>
          <w:p w14:paraId="573F0135" w14:textId="77777777" w:rsidR="00D259AA" w:rsidRPr="001B4A02" w:rsidRDefault="00000000" w:rsidP="00D45BC2">
            <w:pPr>
              <w:keepNext/>
              <w:jc w:val="center"/>
            </w:pPr>
            <w:r w:rsidRPr="001B4A02">
              <w:t>&lt;0,001</w:t>
            </w:r>
          </w:p>
        </w:tc>
        <w:tc>
          <w:tcPr>
            <w:tcW w:w="1309" w:type="dxa"/>
            <w:tcBorders>
              <w:left w:val="single" w:sz="4" w:space="0" w:color="auto"/>
            </w:tcBorders>
          </w:tcPr>
          <w:p w14:paraId="271E31D6" w14:textId="77777777" w:rsidR="00D259AA" w:rsidRPr="001B4A02" w:rsidRDefault="00000000" w:rsidP="00D45BC2">
            <w:pPr>
              <w:keepNext/>
              <w:jc w:val="center"/>
            </w:pPr>
            <w:r w:rsidRPr="001B4A02">
              <w:t>0,140</w:t>
            </w:r>
          </w:p>
        </w:tc>
      </w:tr>
      <w:tr w:rsidR="00534A2D" w14:paraId="00EACD19" w14:textId="77777777" w:rsidTr="00D45BC2">
        <w:trPr>
          <w:gridAfter w:val="1"/>
          <w:wAfter w:w="12" w:type="dxa"/>
          <w:cantSplit/>
          <w:jc w:val="center"/>
        </w:trPr>
        <w:tc>
          <w:tcPr>
            <w:tcW w:w="1364" w:type="dxa"/>
            <w:gridSpan w:val="2"/>
            <w:tcBorders>
              <w:right w:val="single" w:sz="4" w:space="0" w:color="auto"/>
            </w:tcBorders>
          </w:tcPr>
          <w:p w14:paraId="31C58581" w14:textId="77777777" w:rsidR="00D259AA" w:rsidRPr="001B4A02" w:rsidRDefault="00000000" w:rsidP="00D45BC2">
            <w:pPr>
              <w:keepNext/>
            </w:pPr>
            <w:r w:rsidRPr="001B4A02">
              <w:t>ACR 50</w:t>
            </w:r>
          </w:p>
        </w:tc>
        <w:tc>
          <w:tcPr>
            <w:tcW w:w="1046" w:type="dxa"/>
            <w:tcBorders>
              <w:left w:val="single" w:sz="4" w:space="0" w:color="auto"/>
              <w:right w:val="single" w:sz="4" w:space="0" w:color="auto"/>
            </w:tcBorders>
          </w:tcPr>
          <w:p w14:paraId="019F7E6F" w14:textId="77777777" w:rsidR="00D259AA" w:rsidRPr="001B4A02" w:rsidRDefault="00D259AA" w:rsidP="00D45BC2">
            <w:pPr>
              <w:keepNext/>
              <w:jc w:val="center"/>
            </w:pPr>
          </w:p>
        </w:tc>
        <w:tc>
          <w:tcPr>
            <w:tcW w:w="992" w:type="dxa"/>
            <w:tcBorders>
              <w:left w:val="single" w:sz="4" w:space="0" w:color="auto"/>
              <w:right w:val="single" w:sz="4" w:space="0" w:color="auto"/>
            </w:tcBorders>
          </w:tcPr>
          <w:p w14:paraId="5EC21042" w14:textId="77777777" w:rsidR="00D259AA" w:rsidRPr="001B4A02" w:rsidRDefault="00D259AA" w:rsidP="00D45BC2">
            <w:pPr>
              <w:keepNext/>
              <w:jc w:val="center"/>
            </w:pPr>
          </w:p>
        </w:tc>
        <w:tc>
          <w:tcPr>
            <w:tcW w:w="1560" w:type="dxa"/>
            <w:tcBorders>
              <w:left w:val="single" w:sz="4" w:space="0" w:color="auto"/>
              <w:right w:val="single" w:sz="4" w:space="0" w:color="auto"/>
            </w:tcBorders>
          </w:tcPr>
          <w:p w14:paraId="55F6AD10" w14:textId="77777777" w:rsidR="00D259AA" w:rsidRPr="001B4A02" w:rsidRDefault="00D259AA" w:rsidP="00D45BC2">
            <w:pPr>
              <w:keepNext/>
              <w:jc w:val="center"/>
            </w:pPr>
          </w:p>
        </w:tc>
        <w:tc>
          <w:tcPr>
            <w:tcW w:w="1417" w:type="dxa"/>
            <w:tcBorders>
              <w:left w:val="single" w:sz="4" w:space="0" w:color="auto"/>
              <w:right w:val="single" w:sz="4" w:space="0" w:color="auto"/>
            </w:tcBorders>
          </w:tcPr>
          <w:p w14:paraId="735A1221" w14:textId="77777777" w:rsidR="00D259AA" w:rsidRPr="001B4A02" w:rsidRDefault="00D259AA" w:rsidP="00D45BC2">
            <w:pPr>
              <w:keepNext/>
              <w:jc w:val="center"/>
            </w:pPr>
          </w:p>
        </w:tc>
        <w:tc>
          <w:tcPr>
            <w:tcW w:w="1559" w:type="dxa"/>
            <w:tcBorders>
              <w:left w:val="single" w:sz="4" w:space="0" w:color="auto"/>
              <w:right w:val="single" w:sz="4" w:space="0" w:color="auto"/>
            </w:tcBorders>
          </w:tcPr>
          <w:p w14:paraId="61767B97" w14:textId="77777777" w:rsidR="00D259AA" w:rsidRPr="001B4A02" w:rsidRDefault="00D259AA" w:rsidP="00D45BC2">
            <w:pPr>
              <w:keepNext/>
              <w:jc w:val="center"/>
            </w:pPr>
          </w:p>
        </w:tc>
        <w:tc>
          <w:tcPr>
            <w:tcW w:w="1309" w:type="dxa"/>
            <w:tcBorders>
              <w:left w:val="single" w:sz="4" w:space="0" w:color="auto"/>
            </w:tcBorders>
          </w:tcPr>
          <w:p w14:paraId="19703696" w14:textId="77777777" w:rsidR="00D259AA" w:rsidRPr="001B4A02" w:rsidRDefault="00D259AA" w:rsidP="00D45BC2">
            <w:pPr>
              <w:keepNext/>
              <w:jc w:val="center"/>
            </w:pPr>
          </w:p>
        </w:tc>
      </w:tr>
      <w:tr w:rsidR="00534A2D" w14:paraId="1E2292D4" w14:textId="77777777" w:rsidTr="00D45BC2">
        <w:trPr>
          <w:gridAfter w:val="1"/>
          <w:wAfter w:w="12" w:type="dxa"/>
          <w:cantSplit/>
          <w:jc w:val="center"/>
        </w:trPr>
        <w:tc>
          <w:tcPr>
            <w:tcW w:w="1364" w:type="dxa"/>
            <w:gridSpan w:val="2"/>
          </w:tcPr>
          <w:p w14:paraId="4ACAD8D3" w14:textId="77777777" w:rsidR="00D259AA" w:rsidRPr="001B4A02" w:rsidRDefault="00000000" w:rsidP="00D45BC2">
            <w:pPr>
              <w:keepNext/>
            </w:pPr>
            <w:r w:rsidRPr="001B4A02">
              <w:tab/>
              <w:t>Týden 52</w:t>
            </w:r>
          </w:p>
        </w:tc>
        <w:tc>
          <w:tcPr>
            <w:tcW w:w="1046" w:type="dxa"/>
          </w:tcPr>
          <w:p w14:paraId="62ECFEF4" w14:textId="77777777" w:rsidR="00D259AA" w:rsidRPr="001B4A02" w:rsidRDefault="00000000" w:rsidP="00D45BC2">
            <w:pPr>
              <w:keepNext/>
              <w:jc w:val="center"/>
            </w:pPr>
            <w:r w:rsidRPr="001B4A02">
              <w:t>45,9 %</w:t>
            </w:r>
          </w:p>
        </w:tc>
        <w:tc>
          <w:tcPr>
            <w:tcW w:w="992" w:type="dxa"/>
          </w:tcPr>
          <w:p w14:paraId="38FDB5F3" w14:textId="77777777" w:rsidR="00D259AA" w:rsidRPr="001B4A02" w:rsidRDefault="00000000" w:rsidP="00D45BC2">
            <w:pPr>
              <w:keepNext/>
              <w:jc w:val="center"/>
            </w:pPr>
            <w:r w:rsidRPr="001B4A02">
              <w:t>41,2 %</w:t>
            </w:r>
          </w:p>
        </w:tc>
        <w:tc>
          <w:tcPr>
            <w:tcW w:w="1560" w:type="dxa"/>
          </w:tcPr>
          <w:p w14:paraId="783A06E9" w14:textId="77777777" w:rsidR="00D259AA" w:rsidRPr="001B4A02" w:rsidRDefault="00000000" w:rsidP="00D45BC2">
            <w:pPr>
              <w:keepNext/>
              <w:jc w:val="center"/>
            </w:pPr>
            <w:r w:rsidRPr="001B4A02">
              <w:t>61,6 %</w:t>
            </w:r>
          </w:p>
        </w:tc>
        <w:tc>
          <w:tcPr>
            <w:tcW w:w="1417" w:type="dxa"/>
          </w:tcPr>
          <w:p w14:paraId="65281E77" w14:textId="77777777" w:rsidR="00D259AA" w:rsidRPr="001B4A02" w:rsidRDefault="00000000" w:rsidP="00D45BC2">
            <w:pPr>
              <w:keepNext/>
              <w:jc w:val="center"/>
            </w:pPr>
            <w:r w:rsidRPr="001B4A02">
              <w:t>&lt;0,001</w:t>
            </w:r>
          </w:p>
        </w:tc>
        <w:tc>
          <w:tcPr>
            <w:tcW w:w="1559" w:type="dxa"/>
          </w:tcPr>
          <w:p w14:paraId="4F25A4F4" w14:textId="77777777" w:rsidR="00D259AA" w:rsidRPr="001B4A02" w:rsidRDefault="00000000" w:rsidP="00D45BC2">
            <w:pPr>
              <w:keepNext/>
              <w:jc w:val="center"/>
            </w:pPr>
            <w:r w:rsidRPr="001B4A02">
              <w:t>&lt;0,001</w:t>
            </w:r>
          </w:p>
        </w:tc>
        <w:tc>
          <w:tcPr>
            <w:tcW w:w="1309" w:type="dxa"/>
          </w:tcPr>
          <w:p w14:paraId="723609CB" w14:textId="77777777" w:rsidR="00D259AA" w:rsidRPr="001B4A02" w:rsidRDefault="00000000" w:rsidP="00D45BC2">
            <w:pPr>
              <w:keepNext/>
              <w:jc w:val="center"/>
            </w:pPr>
            <w:r w:rsidRPr="001B4A02">
              <w:t>0,317</w:t>
            </w:r>
          </w:p>
        </w:tc>
      </w:tr>
      <w:tr w:rsidR="00534A2D" w14:paraId="21D2E772" w14:textId="77777777" w:rsidTr="00D45BC2">
        <w:trPr>
          <w:gridAfter w:val="1"/>
          <w:wAfter w:w="12" w:type="dxa"/>
          <w:cantSplit/>
          <w:jc w:val="center"/>
        </w:trPr>
        <w:tc>
          <w:tcPr>
            <w:tcW w:w="1364" w:type="dxa"/>
            <w:gridSpan w:val="2"/>
          </w:tcPr>
          <w:p w14:paraId="2F67A004" w14:textId="77777777" w:rsidR="00D259AA" w:rsidRPr="001B4A02" w:rsidRDefault="00000000" w:rsidP="00D45BC2">
            <w:pPr>
              <w:keepNext/>
            </w:pPr>
            <w:r w:rsidRPr="001B4A02">
              <w:tab/>
              <w:t>Týden 104</w:t>
            </w:r>
          </w:p>
        </w:tc>
        <w:tc>
          <w:tcPr>
            <w:tcW w:w="1046" w:type="dxa"/>
            <w:tcBorders>
              <w:bottom w:val="single" w:sz="4" w:space="0" w:color="auto"/>
            </w:tcBorders>
          </w:tcPr>
          <w:p w14:paraId="35727A7E" w14:textId="77777777" w:rsidR="00D259AA" w:rsidRPr="001B4A02" w:rsidRDefault="00000000" w:rsidP="00D45BC2">
            <w:pPr>
              <w:keepNext/>
              <w:jc w:val="center"/>
            </w:pPr>
            <w:r w:rsidRPr="001B4A02">
              <w:t>42,8 %</w:t>
            </w:r>
          </w:p>
        </w:tc>
        <w:tc>
          <w:tcPr>
            <w:tcW w:w="992" w:type="dxa"/>
            <w:tcBorders>
              <w:bottom w:val="single" w:sz="4" w:space="0" w:color="auto"/>
            </w:tcBorders>
          </w:tcPr>
          <w:p w14:paraId="03D200BB" w14:textId="77777777" w:rsidR="00D259AA" w:rsidRPr="001B4A02" w:rsidRDefault="00000000" w:rsidP="00D45BC2">
            <w:pPr>
              <w:keepNext/>
              <w:jc w:val="center"/>
            </w:pPr>
            <w:r w:rsidRPr="001B4A02">
              <w:t>36,9 %</w:t>
            </w:r>
          </w:p>
        </w:tc>
        <w:tc>
          <w:tcPr>
            <w:tcW w:w="1560" w:type="dxa"/>
            <w:tcBorders>
              <w:bottom w:val="single" w:sz="4" w:space="0" w:color="auto"/>
            </w:tcBorders>
          </w:tcPr>
          <w:p w14:paraId="2A72A7F4" w14:textId="77777777" w:rsidR="00D259AA" w:rsidRPr="001B4A02" w:rsidRDefault="00000000" w:rsidP="00D45BC2">
            <w:pPr>
              <w:keepNext/>
              <w:jc w:val="center"/>
            </w:pPr>
            <w:r w:rsidRPr="001B4A02">
              <w:t>59,0 %</w:t>
            </w:r>
          </w:p>
        </w:tc>
        <w:tc>
          <w:tcPr>
            <w:tcW w:w="1417" w:type="dxa"/>
            <w:tcBorders>
              <w:bottom w:val="single" w:sz="4" w:space="0" w:color="auto"/>
            </w:tcBorders>
          </w:tcPr>
          <w:p w14:paraId="0BA200F4" w14:textId="77777777" w:rsidR="00D259AA" w:rsidRPr="001B4A02" w:rsidRDefault="00000000" w:rsidP="00D45BC2">
            <w:pPr>
              <w:keepNext/>
              <w:jc w:val="center"/>
            </w:pPr>
            <w:r w:rsidRPr="001B4A02">
              <w:t>&lt;0,001</w:t>
            </w:r>
          </w:p>
        </w:tc>
        <w:tc>
          <w:tcPr>
            <w:tcW w:w="1559" w:type="dxa"/>
            <w:tcBorders>
              <w:bottom w:val="single" w:sz="4" w:space="0" w:color="auto"/>
            </w:tcBorders>
          </w:tcPr>
          <w:p w14:paraId="610B44CA" w14:textId="77777777" w:rsidR="00D259AA" w:rsidRPr="001B4A02" w:rsidRDefault="00000000" w:rsidP="00D45BC2">
            <w:pPr>
              <w:keepNext/>
              <w:jc w:val="center"/>
            </w:pPr>
            <w:r w:rsidRPr="001B4A02">
              <w:t>&lt;0,001</w:t>
            </w:r>
          </w:p>
        </w:tc>
        <w:tc>
          <w:tcPr>
            <w:tcW w:w="1309" w:type="dxa"/>
          </w:tcPr>
          <w:p w14:paraId="085AE369" w14:textId="77777777" w:rsidR="00D259AA" w:rsidRPr="001B4A02" w:rsidRDefault="00000000" w:rsidP="00D45BC2">
            <w:pPr>
              <w:keepNext/>
              <w:jc w:val="center"/>
            </w:pPr>
            <w:r w:rsidRPr="001B4A02">
              <w:t>0,162</w:t>
            </w:r>
          </w:p>
        </w:tc>
      </w:tr>
      <w:tr w:rsidR="00534A2D" w14:paraId="0AB77F51" w14:textId="77777777" w:rsidTr="00D45BC2">
        <w:trPr>
          <w:gridAfter w:val="1"/>
          <w:wAfter w:w="12" w:type="dxa"/>
          <w:cantSplit/>
          <w:jc w:val="center"/>
        </w:trPr>
        <w:tc>
          <w:tcPr>
            <w:tcW w:w="1364" w:type="dxa"/>
            <w:gridSpan w:val="2"/>
            <w:tcBorders>
              <w:right w:val="single" w:sz="4" w:space="0" w:color="auto"/>
            </w:tcBorders>
          </w:tcPr>
          <w:p w14:paraId="3305D203" w14:textId="77777777" w:rsidR="00D259AA" w:rsidRPr="001B4A02" w:rsidRDefault="00000000" w:rsidP="00D45BC2">
            <w:pPr>
              <w:keepNext/>
            </w:pPr>
            <w:r w:rsidRPr="001B4A02">
              <w:t>ACR 70</w:t>
            </w:r>
          </w:p>
        </w:tc>
        <w:tc>
          <w:tcPr>
            <w:tcW w:w="1046" w:type="dxa"/>
            <w:tcBorders>
              <w:left w:val="single" w:sz="4" w:space="0" w:color="auto"/>
              <w:right w:val="single" w:sz="4" w:space="0" w:color="auto"/>
            </w:tcBorders>
          </w:tcPr>
          <w:p w14:paraId="01568F84" w14:textId="77777777" w:rsidR="00D259AA" w:rsidRPr="001B4A02" w:rsidRDefault="00D259AA" w:rsidP="00D45BC2">
            <w:pPr>
              <w:keepNext/>
              <w:jc w:val="center"/>
            </w:pPr>
          </w:p>
        </w:tc>
        <w:tc>
          <w:tcPr>
            <w:tcW w:w="992" w:type="dxa"/>
            <w:tcBorders>
              <w:left w:val="single" w:sz="4" w:space="0" w:color="auto"/>
              <w:right w:val="single" w:sz="4" w:space="0" w:color="auto"/>
            </w:tcBorders>
          </w:tcPr>
          <w:p w14:paraId="70CC66EF" w14:textId="77777777" w:rsidR="00D259AA" w:rsidRPr="001B4A02" w:rsidRDefault="00D259AA" w:rsidP="00D45BC2">
            <w:pPr>
              <w:keepNext/>
              <w:jc w:val="center"/>
            </w:pPr>
          </w:p>
        </w:tc>
        <w:tc>
          <w:tcPr>
            <w:tcW w:w="1560" w:type="dxa"/>
            <w:tcBorders>
              <w:left w:val="single" w:sz="4" w:space="0" w:color="auto"/>
              <w:right w:val="single" w:sz="4" w:space="0" w:color="auto"/>
            </w:tcBorders>
          </w:tcPr>
          <w:p w14:paraId="6C95D090" w14:textId="77777777" w:rsidR="00D259AA" w:rsidRPr="001B4A02" w:rsidRDefault="00D259AA" w:rsidP="00D45BC2">
            <w:pPr>
              <w:keepNext/>
              <w:jc w:val="center"/>
            </w:pPr>
          </w:p>
        </w:tc>
        <w:tc>
          <w:tcPr>
            <w:tcW w:w="1417" w:type="dxa"/>
            <w:tcBorders>
              <w:left w:val="single" w:sz="4" w:space="0" w:color="auto"/>
              <w:right w:val="single" w:sz="4" w:space="0" w:color="auto"/>
            </w:tcBorders>
          </w:tcPr>
          <w:p w14:paraId="4A6F25B7" w14:textId="77777777" w:rsidR="00D259AA" w:rsidRPr="001B4A02" w:rsidRDefault="00D259AA" w:rsidP="00D45BC2">
            <w:pPr>
              <w:keepNext/>
              <w:jc w:val="center"/>
            </w:pPr>
          </w:p>
        </w:tc>
        <w:tc>
          <w:tcPr>
            <w:tcW w:w="1559" w:type="dxa"/>
            <w:tcBorders>
              <w:left w:val="single" w:sz="4" w:space="0" w:color="auto"/>
              <w:right w:val="single" w:sz="4" w:space="0" w:color="auto"/>
            </w:tcBorders>
          </w:tcPr>
          <w:p w14:paraId="2506ABA2" w14:textId="77777777" w:rsidR="00D259AA" w:rsidRPr="001B4A02" w:rsidRDefault="00D259AA" w:rsidP="00D45BC2">
            <w:pPr>
              <w:keepNext/>
              <w:jc w:val="center"/>
            </w:pPr>
          </w:p>
        </w:tc>
        <w:tc>
          <w:tcPr>
            <w:tcW w:w="1309" w:type="dxa"/>
            <w:tcBorders>
              <w:left w:val="single" w:sz="4" w:space="0" w:color="auto"/>
            </w:tcBorders>
          </w:tcPr>
          <w:p w14:paraId="0BF32AA4" w14:textId="77777777" w:rsidR="00D259AA" w:rsidRPr="001B4A02" w:rsidRDefault="00D259AA" w:rsidP="00D45BC2">
            <w:pPr>
              <w:keepNext/>
              <w:jc w:val="center"/>
            </w:pPr>
          </w:p>
        </w:tc>
      </w:tr>
      <w:tr w:rsidR="00534A2D" w14:paraId="7FCD1482" w14:textId="77777777" w:rsidTr="00D45BC2">
        <w:trPr>
          <w:gridAfter w:val="1"/>
          <w:wAfter w:w="12" w:type="dxa"/>
          <w:cantSplit/>
          <w:trHeight w:val="70"/>
          <w:jc w:val="center"/>
        </w:trPr>
        <w:tc>
          <w:tcPr>
            <w:tcW w:w="1364" w:type="dxa"/>
            <w:gridSpan w:val="2"/>
          </w:tcPr>
          <w:p w14:paraId="3C9C0092" w14:textId="77777777" w:rsidR="00D259AA" w:rsidRPr="001B4A02" w:rsidRDefault="00000000" w:rsidP="00D45BC2">
            <w:pPr>
              <w:keepNext/>
            </w:pPr>
            <w:r w:rsidRPr="001B4A02">
              <w:tab/>
              <w:t>Týden 52</w:t>
            </w:r>
          </w:p>
        </w:tc>
        <w:tc>
          <w:tcPr>
            <w:tcW w:w="1046" w:type="dxa"/>
          </w:tcPr>
          <w:p w14:paraId="47CEB914" w14:textId="77777777" w:rsidR="00D259AA" w:rsidRPr="001B4A02" w:rsidRDefault="00000000" w:rsidP="00D45BC2">
            <w:pPr>
              <w:keepNext/>
              <w:jc w:val="center"/>
            </w:pPr>
            <w:r w:rsidRPr="001B4A02">
              <w:t>27,2 %</w:t>
            </w:r>
          </w:p>
        </w:tc>
        <w:tc>
          <w:tcPr>
            <w:tcW w:w="992" w:type="dxa"/>
          </w:tcPr>
          <w:p w14:paraId="609F1E83" w14:textId="77777777" w:rsidR="00D259AA" w:rsidRPr="001B4A02" w:rsidRDefault="00000000" w:rsidP="00D45BC2">
            <w:pPr>
              <w:keepNext/>
              <w:jc w:val="center"/>
            </w:pPr>
            <w:r w:rsidRPr="001B4A02">
              <w:t>25,9 %</w:t>
            </w:r>
          </w:p>
        </w:tc>
        <w:tc>
          <w:tcPr>
            <w:tcW w:w="1560" w:type="dxa"/>
          </w:tcPr>
          <w:p w14:paraId="53627728" w14:textId="77777777" w:rsidR="00D259AA" w:rsidRPr="001B4A02" w:rsidRDefault="00000000" w:rsidP="00D45BC2">
            <w:pPr>
              <w:keepNext/>
              <w:jc w:val="center"/>
            </w:pPr>
            <w:r w:rsidRPr="001B4A02">
              <w:t>45,5 %</w:t>
            </w:r>
          </w:p>
        </w:tc>
        <w:tc>
          <w:tcPr>
            <w:tcW w:w="1417" w:type="dxa"/>
          </w:tcPr>
          <w:p w14:paraId="03822522" w14:textId="77777777" w:rsidR="00D259AA" w:rsidRPr="001B4A02" w:rsidRDefault="00000000" w:rsidP="00D45BC2">
            <w:pPr>
              <w:keepNext/>
              <w:jc w:val="center"/>
            </w:pPr>
            <w:r w:rsidRPr="001B4A02">
              <w:t>&lt;0,001</w:t>
            </w:r>
          </w:p>
        </w:tc>
        <w:tc>
          <w:tcPr>
            <w:tcW w:w="1559" w:type="dxa"/>
          </w:tcPr>
          <w:p w14:paraId="32D73689" w14:textId="77777777" w:rsidR="00D259AA" w:rsidRPr="001B4A02" w:rsidRDefault="00000000" w:rsidP="00D45BC2">
            <w:pPr>
              <w:keepNext/>
              <w:jc w:val="center"/>
            </w:pPr>
            <w:r w:rsidRPr="001B4A02">
              <w:t>&lt;0,001</w:t>
            </w:r>
          </w:p>
        </w:tc>
        <w:tc>
          <w:tcPr>
            <w:tcW w:w="1309" w:type="dxa"/>
          </w:tcPr>
          <w:p w14:paraId="0553ED8E" w14:textId="77777777" w:rsidR="00D259AA" w:rsidRPr="001B4A02" w:rsidRDefault="00000000" w:rsidP="00D45BC2">
            <w:pPr>
              <w:keepNext/>
              <w:jc w:val="center"/>
            </w:pPr>
            <w:r w:rsidRPr="001B4A02">
              <w:t>0,656</w:t>
            </w:r>
          </w:p>
        </w:tc>
      </w:tr>
      <w:tr w:rsidR="00534A2D" w14:paraId="21B65F8D" w14:textId="77777777" w:rsidTr="00D45BC2">
        <w:trPr>
          <w:gridAfter w:val="1"/>
          <w:wAfter w:w="12" w:type="dxa"/>
          <w:cantSplit/>
          <w:jc w:val="center"/>
        </w:trPr>
        <w:tc>
          <w:tcPr>
            <w:tcW w:w="1364" w:type="dxa"/>
            <w:gridSpan w:val="2"/>
          </w:tcPr>
          <w:p w14:paraId="7998BAB5" w14:textId="77777777" w:rsidR="00D259AA" w:rsidRPr="001B4A02" w:rsidRDefault="00000000" w:rsidP="00D45BC2">
            <w:pPr>
              <w:keepNext/>
            </w:pPr>
            <w:r w:rsidRPr="001B4A02">
              <w:tab/>
              <w:t>Týden 104</w:t>
            </w:r>
          </w:p>
        </w:tc>
        <w:tc>
          <w:tcPr>
            <w:tcW w:w="1046" w:type="dxa"/>
          </w:tcPr>
          <w:p w14:paraId="733F98C7" w14:textId="77777777" w:rsidR="00D259AA" w:rsidRPr="001B4A02" w:rsidRDefault="00000000" w:rsidP="00D45BC2">
            <w:pPr>
              <w:keepNext/>
              <w:jc w:val="center"/>
            </w:pPr>
            <w:r w:rsidRPr="001B4A02">
              <w:t>28,4 %</w:t>
            </w:r>
          </w:p>
        </w:tc>
        <w:tc>
          <w:tcPr>
            <w:tcW w:w="992" w:type="dxa"/>
          </w:tcPr>
          <w:p w14:paraId="69D50134" w14:textId="77777777" w:rsidR="00D259AA" w:rsidRPr="001B4A02" w:rsidRDefault="00000000" w:rsidP="00D45BC2">
            <w:pPr>
              <w:keepNext/>
              <w:jc w:val="center"/>
            </w:pPr>
            <w:r w:rsidRPr="001B4A02">
              <w:t>28,1 %</w:t>
            </w:r>
          </w:p>
        </w:tc>
        <w:tc>
          <w:tcPr>
            <w:tcW w:w="1560" w:type="dxa"/>
          </w:tcPr>
          <w:p w14:paraId="2B9C0BEC" w14:textId="77777777" w:rsidR="00D259AA" w:rsidRPr="001B4A02" w:rsidRDefault="00000000" w:rsidP="00D45BC2">
            <w:pPr>
              <w:keepNext/>
              <w:jc w:val="center"/>
            </w:pPr>
            <w:r w:rsidRPr="001B4A02">
              <w:t>46,6 %</w:t>
            </w:r>
          </w:p>
        </w:tc>
        <w:tc>
          <w:tcPr>
            <w:tcW w:w="1417" w:type="dxa"/>
          </w:tcPr>
          <w:p w14:paraId="1C822305" w14:textId="77777777" w:rsidR="00D259AA" w:rsidRPr="001B4A02" w:rsidRDefault="00000000" w:rsidP="00D45BC2">
            <w:pPr>
              <w:keepNext/>
              <w:jc w:val="center"/>
            </w:pPr>
            <w:r w:rsidRPr="001B4A02">
              <w:t>&lt;0,001</w:t>
            </w:r>
          </w:p>
        </w:tc>
        <w:tc>
          <w:tcPr>
            <w:tcW w:w="1559" w:type="dxa"/>
          </w:tcPr>
          <w:p w14:paraId="478638D4" w14:textId="77777777" w:rsidR="00D259AA" w:rsidRPr="001B4A02" w:rsidRDefault="00000000" w:rsidP="00D45BC2">
            <w:pPr>
              <w:keepNext/>
              <w:jc w:val="center"/>
            </w:pPr>
            <w:r w:rsidRPr="001B4A02">
              <w:t>&lt;0,001</w:t>
            </w:r>
          </w:p>
        </w:tc>
        <w:tc>
          <w:tcPr>
            <w:tcW w:w="1309" w:type="dxa"/>
          </w:tcPr>
          <w:p w14:paraId="033EF7D5" w14:textId="77777777" w:rsidR="00D259AA" w:rsidRPr="001B4A02" w:rsidRDefault="00000000" w:rsidP="00D45BC2">
            <w:pPr>
              <w:keepNext/>
              <w:jc w:val="center"/>
            </w:pPr>
            <w:r w:rsidRPr="001B4A02">
              <w:t>0,864</w:t>
            </w:r>
          </w:p>
        </w:tc>
      </w:tr>
      <w:tr w:rsidR="00534A2D" w14:paraId="6B6BB40A" w14:textId="77777777" w:rsidTr="00D45BC2">
        <w:trPr>
          <w:gridBefore w:val="1"/>
          <w:wBefore w:w="9" w:type="dxa"/>
          <w:cantSplit/>
          <w:jc w:val="center"/>
        </w:trPr>
        <w:tc>
          <w:tcPr>
            <w:tcW w:w="9250" w:type="dxa"/>
            <w:gridSpan w:val="8"/>
          </w:tcPr>
          <w:p w14:paraId="6C7C6E67" w14:textId="77777777" w:rsidR="00D259AA" w:rsidRPr="007E3412" w:rsidRDefault="00000000" w:rsidP="00D45BC2">
            <w:pPr>
              <w:keepNext/>
              <w:tabs>
                <w:tab w:val="left" w:pos="330"/>
                <w:tab w:val="left" w:pos="10728"/>
              </w:tabs>
              <w:ind w:left="360" w:hanging="360"/>
              <w:rPr>
                <w:sz w:val="20"/>
              </w:rPr>
            </w:pPr>
            <w:r w:rsidRPr="001B4A02">
              <w:rPr>
                <w:sz w:val="20"/>
                <w:vertAlign w:val="superscript"/>
              </w:rPr>
              <w:t>a</w:t>
            </w:r>
            <w:r w:rsidRPr="001B4A02">
              <w:rPr>
                <w:sz w:val="20"/>
              </w:rPr>
              <w:t xml:space="preserve"> Hodnota p pochází z párového srovnání monoterapie methotrexátem</w:t>
            </w:r>
            <w:r w:rsidR="002378E0">
              <w:rPr>
                <w:sz w:val="20"/>
              </w:rPr>
              <w:t xml:space="preserve"> a </w:t>
            </w:r>
            <w:r w:rsidRPr="007E3412">
              <w:rPr>
                <w:sz w:val="20"/>
              </w:rPr>
              <w:t>kombin</w:t>
            </w:r>
            <w:r w:rsidR="00D0259F" w:rsidRPr="007E3412">
              <w:rPr>
                <w:sz w:val="20"/>
              </w:rPr>
              <w:t>ované</w:t>
            </w:r>
            <w:r w:rsidRPr="007E3412">
              <w:rPr>
                <w:sz w:val="20"/>
              </w:rPr>
              <w:t xml:space="preserve"> terapie přípravkem Humira/methotrexát pomocí Mann</w:t>
            </w:r>
            <w:r w:rsidRPr="007E3412">
              <w:rPr>
                <w:sz w:val="20"/>
              </w:rPr>
              <w:noBreakHyphen/>
              <w:t>Whitneova U testu.</w:t>
            </w:r>
          </w:p>
          <w:p w14:paraId="7CA44F83" w14:textId="77777777" w:rsidR="00D259AA" w:rsidRPr="001B4A02" w:rsidRDefault="00000000" w:rsidP="00D45BC2">
            <w:pPr>
              <w:pStyle w:val="BodyTextIndent"/>
              <w:keepNext/>
              <w:ind w:left="330" w:hanging="330"/>
              <w:rPr>
                <w:b w:val="0"/>
                <w:bCs/>
                <w:color w:val="auto"/>
                <w:sz w:val="20"/>
                <w:lang w:val="cs-CZ"/>
              </w:rPr>
            </w:pPr>
            <w:r w:rsidRPr="00DE3467">
              <w:rPr>
                <w:b w:val="0"/>
                <w:color w:val="auto"/>
                <w:sz w:val="20"/>
                <w:vertAlign w:val="superscript"/>
                <w:lang w:val="cs-CZ"/>
              </w:rPr>
              <w:t>b</w:t>
            </w:r>
            <w:r w:rsidRPr="007E3412">
              <w:rPr>
                <w:b w:val="0"/>
                <w:color w:val="auto"/>
                <w:sz w:val="20"/>
                <w:lang w:val="cs-CZ"/>
              </w:rPr>
              <w:t xml:space="preserve"> Hodnota p pochází z párového srovnání monoterapie přípravkem Humira</w:t>
            </w:r>
            <w:r w:rsidR="002378E0">
              <w:rPr>
                <w:b w:val="0"/>
                <w:color w:val="auto"/>
                <w:sz w:val="20"/>
                <w:lang w:val="cs-CZ"/>
              </w:rPr>
              <w:t xml:space="preserve"> a </w:t>
            </w:r>
            <w:r w:rsidRPr="0093374E">
              <w:rPr>
                <w:b w:val="0"/>
                <w:color w:val="auto"/>
                <w:sz w:val="20"/>
                <w:lang w:val="cs-CZ"/>
              </w:rPr>
              <w:t>kombin</w:t>
            </w:r>
            <w:r w:rsidR="00D0259F" w:rsidRPr="000F1E90">
              <w:rPr>
                <w:b w:val="0"/>
                <w:color w:val="auto"/>
                <w:sz w:val="20"/>
              </w:rPr>
              <w:t>ované</w:t>
            </w:r>
            <w:r w:rsidRPr="0093374E">
              <w:rPr>
                <w:b w:val="0"/>
                <w:color w:val="auto"/>
                <w:sz w:val="20"/>
                <w:lang w:val="cs-CZ"/>
              </w:rPr>
              <w:t xml:space="preserve"> </w:t>
            </w:r>
            <w:r w:rsidRPr="007E3412">
              <w:rPr>
                <w:b w:val="0"/>
                <w:color w:val="auto"/>
                <w:sz w:val="20"/>
                <w:lang w:val="cs-CZ"/>
              </w:rPr>
              <w:t>terapie</w:t>
            </w:r>
            <w:r w:rsidRPr="001B4A02">
              <w:rPr>
                <w:b w:val="0"/>
                <w:color w:val="auto"/>
                <w:sz w:val="20"/>
                <w:lang w:val="cs-CZ"/>
              </w:rPr>
              <w:t xml:space="preserve"> přípravkem Humira/methotrexát pomocí Mann</w:t>
            </w:r>
            <w:r w:rsidRPr="001B4A02">
              <w:rPr>
                <w:b w:val="0"/>
                <w:color w:val="auto"/>
                <w:sz w:val="20"/>
                <w:lang w:val="cs-CZ"/>
              </w:rPr>
              <w:noBreakHyphen/>
              <w:t>Whitneova U testu</w:t>
            </w:r>
            <w:r w:rsidRPr="001B4A02">
              <w:rPr>
                <w:b w:val="0"/>
                <w:bCs/>
                <w:color w:val="auto"/>
                <w:sz w:val="20"/>
                <w:lang w:val="cs-CZ"/>
              </w:rPr>
              <w:t>.</w:t>
            </w:r>
          </w:p>
          <w:p w14:paraId="468B5C96" w14:textId="77777777" w:rsidR="00D259AA" w:rsidRPr="001B4A02" w:rsidRDefault="00000000" w:rsidP="00D45BC2">
            <w:pPr>
              <w:pStyle w:val="BodyTextIndent"/>
              <w:keepNext/>
              <w:ind w:left="330" w:hanging="330"/>
              <w:rPr>
                <w:b w:val="0"/>
                <w:bCs/>
                <w:color w:val="auto"/>
                <w:lang w:val="cs-CZ"/>
              </w:rPr>
            </w:pPr>
            <w:r w:rsidRPr="001B4A02">
              <w:rPr>
                <w:b w:val="0"/>
                <w:bCs/>
                <w:color w:val="auto"/>
                <w:sz w:val="20"/>
                <w:vertAlign w:val="superscript"/>
                <w:lang w:val="cs-CZ"/>
              </w:rPr>
              <w:t>c</w:t>
            </w:r>
            <w:r w:rsidRPr="001B4A02">
              <w:rPr>
                <w:b w:val="0"/>
                <w:bCs/>
                <w:color w:val="auto"/>
                <w:sz w:val="20"/>
                <w:lang w:val="cs-CZ"/>
              </w:rPr>
              <w:t xml:space="preserve"> Hodnota p pochází z párového srovnání monoterapie přípravkem Humira</w:t>
            </w:r>
            <w:r w:rsidR="002378E0">
              <w:rPr>
                <w:b w:val="0"/>
                <w:bCs/>
                <w:color w:val="auto"/>
                <w:sz w:val="20"/>
                <w:lang w:val="cs-CZ"/>
              </w:rPr>
              <w:t xml:space="preserve"> a </w:t>
            </w:r>
            <w:r w:rsidRPr="001B4A02">
              <w:rPr>
                <w:b w:val="0"/>
                <w:bCs/>
                <w:color w:val="auto"/>
                <w:sz w:val="20"/>
                <w:lang w:val="cs-CZ"/>
              </w:rPr>
              <w:t xml:space="preserve">monoterapie methotrexátem pomocí </w:t>
            </w:r>
            <w:r w:rsidRPr="001B4A02">
              <w:rPr>
                <w:b w:val="0"/>
                <w:color w:val="auto"/>
                <w:sz w:val="20"/>
                <w:lang w:val="cs-CZ"/>
              </w:rPr>
              <w:t>Mann</w:t>
            </w:r>
            <w:r w:rsidRPr="001B4A02">
              <w:rPr>
                <w:b w:val="0"/>
                <w:color w:val="auto"/>
                <w:sz w:val="20"/>
                <w:lang w:val="cs-CZ"/>
              </w:rPr>
              <w:noBreakHyphen/>
              <w:t>Whitneova U testu</w:t>
            </w:r>
            <w:r w:rsidRPr="001B4A02">
              <w:rPr>
                <w:b w:val="0"/>
                <w:bCs/>
                <w:color w:val="auto"/>
                <w:sz w:val="20"/>
                <w:lang w:val="cs-CZ"/>
              </w:rPr>
              <w:t>.</w:t>
            </w:r>
          </w:p>
        </w:tc>
      </w:tr>
    </w:tbl>
    <w:p w14:paraId="1DE6E3C3" w14:textId="77777777" w:rsidR="00D259AA" w:rsidRPr="001B4A02" w:rsidRDefault="00D259AA" w:rsidP="00D259AA">
      <w:pPr>
        <w:pStyle w:val="EndnoteText"/>
        <w:rPr>
          <w:u w:val="single"/>
          <w:lang w:val="cs-CZ"/>
        </w:rPr>
      </w:pPr>
    </w:p>
    <w:p w14:paraId="3DBC7AB2" w14:textId="77777777" w:rsidR="00D259AA" w:rsidRPr="001B4A02" w:rsidRDefault="00000000" w:rsidP="00D259AA">
      <w:pPr>
        <w:pStyle w:val="EndnoteText"/>
        <w:ind w:left="0" w:firstLine="0"/>
        <w:rPr>
          <w:lang w:val="cs-CZ"/>
        </w:rPr>
      </w:pPr>
      <w:r w:rsidRPr="001B4A02">
        <w:rPr>
          <w:lang w:val="cs-CZ"/>
        </w:rPr>
        <w:t>V otevřené prodloužené fázi studie RA V byly odpovědi ACR na léčbu zachovány po dobu až 10 let. Z 542 pacientů, kteří byli randomizováni na léčbu přípravkem Humira 40</w:t>
      </w:r>
      <w:r w:rsidR="00874DE1">
        <w:rPr>
          <w:lang w:val="cs-CZ"/>
        </w:rPr>
        <w:t> mg</w:t>
      </w:r>
      <w:r w:rsidRPr="001B4A02">
        <w:rPr>
          <w:lang w:val="cs-CZ"/>
        </w:rPr>
        <w:t xml:space="preserve"> každý druhý týden, pokračovalo 170 pacientů v léčbě přípravkem Humira 40</w:t>
      </w:r>
      <w:r w:rsidR="00874DE1">
        <w:rPr>
          <w:lang w:val="cs-CZ"/>
        </w:rPr>
        <w:t> mg</w:t>
      </w:r>
      <w:r w:rsidRPr="001B4A02">
        <w:rPr>
          <w:lang w:val="cs-CZ"/>
        </w:rPr>
        <w:t xml:space="preserve"> každý druhý týden po dobu 10 let. Mezi těmi dosáhlo 154 pacientů (90,6 %) odpovědi ACR 20; 127 pacientů (74,7 %) dosáhlo odpovědi ACR 50</w:t>
      </w:r>
      <w:r w:rsidR="002378E0">
        <w:rPr>
          <w:lang w:val="cs-CZ"/>
        </w:rPr>
        <w:t xml:space="preserve"> a </w:t>
      </w:r>
      <w:r w:rsidRPr="001B4A02">
        <w:rPr>
          <w:lang w:val="cs-CZ"/>
        </w:rPr>
        <w:t>102 pacientů (60 %) dosáhlo odpovědi ACR 70.</w:t>
      </w:r>
    </w:p>
    <w:p w14:paraId="02BBC3C1" w14:textId="77777777" w:rsidR="00D259AA" w:rsidRPr="001B4A02" w:rsidRDefault="00D259AA" w:rsidP="00D259AA">
      <w:pPr>
        <w:pStyle w:val="EndnoteText"/>
        <w:ind w:left="0" w:firstLine="0"/>
        <w:rPr>
          <w:lang w:val="cs-CZ"/>
        </w:rPr>
      </w:pPr>
    </w:p>
    <w:p w14:paraId="7851625B" w14:textId="77777777" w:rsidR="00D259AA" w:rsidRPr="001B4A02" w:rsidRDefault="00000000" w:rsidP="00D259AA">
      <w:pPr>
        <w:pStyle w:val="EndnoteText"/>
        <w:ind w:left="0" w:firstLine="0"/>
        <w:rPr>
          <w:lang w:val="cs-CZ"/>
        </w:rPr>
      </w:pPr>
      <w:r w:rsidRPr="001B4A02">
        <w:rPr>
          <w:lang w:val="cs-CZ"/>
        </w:rPr>
        <w:t>V týdnu 52 dosáhlo 42,9 % pacientů léčených kombinací přípravku Humira/methotrexát klinickou remisi (DAS28 (CRP) &lt; 2,6) v porovnání s 20,6 % pacientů léčených methotrexátem v monoterapii</w:t>
      </w:r>
      <w:r w:rsidR="002378E0">
        <w:rPr>
          <w:lang w:val="cs-CZ"/>
        </w:rPr>
        <w:t xml:space="preserve"> a </w:t>
      </w:r>
      <w:r w:rsidRPr="001B4A02">
        <w:rPr>
          <w:lang w:val="cs-CZ"/>
        </w:rPr>
        <w:t xml:space="preserve">23,4 % pacientů léčených přípravkem Humira v monoterapii. </w:t>
      </w:r>
      <w:r w:rsidRPr="00D0259F">
        <w:rPr>
          <w:lang w:val="cs-CZ"/>
        </w:rPr>
        <w:t>Kombin</w:t>
      </w:r>
      <w:r w:rsidR="00D0259F">
        <w:t>ovan</w:t>
      </w:r>
      <w:r w:rsidR="00D0259F">
        <w:rPr>
          <w:lang w:val="cs-CZ"/>
        </w:rPr>
        <w:t>á</w:t>
      </w:r>
      <w:r w:rsidRPr="001B4A02">
        <w:rPr>
          <w:lang w:val="cs-CZ"/>
        </w:rPr>
        <w:t xml:space="preserve"> terapie přípravkem Humira/methotrexátem byla klinicky</w:t>
      </w:r>
      <w:r w:rsidR="002378E0">
        <w:rPr>
          <w:lang w:val="cs-CZ"/>
        </w:rPr>
        <w:t xml:space="preserve"> a </w:t>
      </w:r>
      <w:r w:rsidRPr="001B4A02">
        <w:rPr>
          <w:lang w:val="cs-CZ"/>
        </w:rPr>
        <w:t>statisticky lepší než monoterapie methotrexátem (p</w:t>
      </w:r>
      <w:r w:rsidRPr="001B4A02">
        <w:rPr>
          <w:rFonts w:ascii="Symbol" w:hAnsi="Symbol"/>
          <w:lang w:val="cs-CZ"/>
        </w:rPr>
        <w:sym w:font="Symbol" w:char="F03C"/>
      </w:r>
      <w:r w:rsidRPr="001B4A02">
        <w:rPr>
          <w:lang w:val="cs-CZ"/>
        </w:rPr>
        <w:t>0,001)</w:t>
      </w:r>
      <w:r w:rsidR="002378E0">
        <w:rPr>
          <w:lang w:val="cs-CZ"/>
        </w:rPr>
        <w:t xml:space="preserve"> a </w:t>
      </w:r>
      <w:r w:rsidRPr="001B4A02">
        <w:rPr>
          <w:lang w:val="cs-CZ"/>
        </w:rPr>
        <w:t>monoterapie přípravkem Humira (p</w:t>
      </w:r>
      <w:r w:rsidRPr="001B4A02">
        <w:rPr>
          <w:rFonts w:ascii="Symbol" w:hAnsi="Symbol"/>
          <w:lang w:val="cs-CZ"/>
        </w:rPr>
        <w:sym w:font="Symbol" w:char="F03C"/>
      </w:r>
      <w:r w:rsidRPr="001B4A02">
        <w:rPr>
          <w:lang w:val="cs-CZ"/>
        </w:rPr>
        <w:t>0,001) z hlediska dosažení stavu nízké aktivity choroby u pacientů se střední až těžkou formou revmatoidní artritidy diagnostikovanou v nedávné době.</w:t>
      </w:r>
    </w:p>
    <w:p w14:paraId="65373372" w14:textId="77777777" w:rsidR="00D259AA" w:rsidRPr="001B4A02" w:rsidRDefault="00000000" w:rsidP="00D259AA">
      <w:pPr>
        <w:pStyle w:val="EMEANormal"/>
        <w:tabs>
          <w:tab w:val="clear" w:pos="562"/>
        </w:tabs>
        <w:suppressAutoHyphens w:val="0"/>
        <w:rPr>
          <w:lang w:val="cs-CZ"/>
        </w:rPr>
      </w:pPr>
      <w:r w:rsidRPr="001B4A02">
        <w:rPr>
          <w:lang w:val="cs-CZ"/>
        </w:rPr>
        <w:t>Odpověď u obou větví studie s monoterapií byla podobná (p=0,447). Ze 342 subjektů, kte</w:t>
      </w:r>
      <w:r w:rsidR="007E3412">
        <w:rPr>
          <w:lang w:val="cs-CZ"/>
        </w:rPr>
        <w:t>ré</w:t>
      </w:r>
      <w:r w:rsidRPr="001B4A02">
        <w:rPr>
          <w:lang w:val="cs-CZ"/>
        </w:rPr>
        <w:t xml:space="preserve"> se </w:t>
      </w:r>
      <w:r w:rsidRPr="007E3412">
        <w:rPr>
          <w:lang w:val="cs-CZ"/>
        </w:rPr>
        <w:t>účastnil</w:t>
      </w:r>
      <w:r w:rsidR="00701BE3" w:rsidRPr="007E3412">
        <w:rPr>
          <w:lang w:val="cs-CZ"/>
        </w:rPr>
        <w:t>y</w:t>
      </w:r>
      <w:r w:rsidRPr="007E3412">
        <w:rPr>
          <w:lang w:val="cs-CZ"/>
        </w:rPr>
        <w:t xml:space="preserve"> otevřené</w:t>
      </w:r>
      <w:r w:rsidRPr="001B4A02">
        <w:rPr>
          <w:lang w:val="cs-CZ"/>
        </w:rPr>
        <w:t xml:space="preserve"> prodloužené fáze studie</w:t>
      </w:r>
      <w:r w:rsidR="002378E0">
        <w:rPr>
          <w:lang w:val="cs-CZ"/>
        </w:rPr>
        <w:t xml:space="preserve"> a </w:t>
      </w:r>
      <w:r w:rsidRPr="00701BE3">
        <w:rPr>
          <w:lang w:val="cs-CZ"/>
        </w:rPr>
        <w:t>byl</w:t>
      </w:r>
      <w:r w:rsidR="00701BE3">
        <w:rPr>
          <w:lang w:val="cs-CZ"/>
        </w:rPr>
        <w:t>y</w:t>
      </w:r>
      <w:r w:rsidRPr="001B4A02">
        <w:rPr>
          <w:lang w:val="cs-CZ"/>
        </w:rPr>
        <w:t xml:space="preserve"> randomizován</w:t>
      </w:r>
      <w:r w:rsidR="00701BE3">
        <w:rPr>
          <w:lang w:val="cs-CZ"/>
        </w:rPr>
        <w:t>y</w:t>
      </w:r>
      <w:r w:rsidRPr="001B4A02">
        <w:rPr>
          <w:lang w:val="cs-CZ"/>
        </w:rPr>
        <w:t xml:space="preserve"> na léčbu přípravkem Humira v monoterapii nebo přípravku Humira v kombinaci s methotrexátem, 171 pacientů dokončilo 10 let léčby přípravkem Humira. Z těchto pacientů dosáhlo remise po 10 letech 109 subjektů (63,7 %).</w:t>
      </w:r>
    </w:p>
    <w:p w14:paraId="11BD8D09" w14:textId="77777777" w:rsidR="00D259AA" w:rsidRPr="001B4A02" w:rsidRDefault="00D259AA" w:rsidP="00D259AA">
      <w:pPr>
        <w:ind w:left="0" w:firstLine="0"/>
        <w:rPr>
          <w:u w:val="single"/>
        </w:rPr>
      </w:pPr>
    </w:p>
    <w:p w14:paraId="2FD845F9" w14:textId="77777777" w:rsidR="00D259AA" w:rsidRPr="001B4A02" w:rsidRDefault="00000000" w:rsidP="003B610F">
      <w:pPr>
        <w:keepNext/>
        <w:ind w:left="0" w:firstLine="0"/>
        <w:rPr>
          <w:i/>
          <w:u w:val="single"/>
        </w:rPr>
      </w:pPr>
      <w:r w:rsidRPr="001B4A02">
        <w:rPr>
          <w:i/>
          <w:u w:val="single"/>
        </w:rPr>
        <w:t>RTG odpověď</w:t>
      </w:r>
    </w:p>
    <w:p w14:paraId="170121AC" w14:textId="77777777" w:rsidR="00D259AA" w:rsidRPr="001B4A02" w:rsidRDefault="00D259AA" w:rsidP="003B610F">
      <w:pPr>
        <w:keepNext/>
      </w:pPr>
    </w:p>
    <w:p w14:paraId="21759083" w14:textId="77777777" w:rsidR="00D259AA" w:rsidRPr="001B4A02" w:rsidRDefault="00000000" w:rsidP="00D259AA">
      <w:pPr>
        <w:ind w:left="0" w:firstLine="0"/>
      </w:pPr>
      <w:r w:rsidRPr="001B4A02">
        <w:t>Ve studii RA III, kde průměrné trvání revmatoidní artritidy u pacientů léčených přípravkem Humira bylo přibližně 11 let, bylo strukturální poškození kloubů hodnoceno radiograficky</w:t>
      </w:r>
      <w:r w:rsidR="002378E0">
        <w:t xml:space="preserve"> a </w:t>
      </w:r>
      <w:r w:rsidRPr="001B4A02">
        <w:t>vyjádřeno jako změna modifikovaného celkového Sharpova skóre (Total Sharp Score, TSS)</w:t>
      </w:r>
      <w:r w:rsidR="002378E0">
        <w:t xml:space="preserve"> a </w:t>
      </w:r>
      <w:r w:rsidRPr="001B4A02">
        <w:t>jeho komponent, skóre erozí</w:t>
      </w:r>
      <w:r w:rsidR="002378E0">
        <w:t xml:space="preserve"> a </w:t>
      </w:r>
      <w:r w:rsidRPr="001B4A02">
        <w:t>skóre zúžení kloubní štěrbiny. U pacientů léčených přípravkem Humira/methotrexátem byla zjištěna významně menší RTG progrese v 6.</w:t>
      </w:r>
      <w:r w:rsidR="002378E0">
        <w:t xml:space="preserve"> a </w:t>
      </w:r>
      <w:r w:rsidRPr="001B4A02">
        <w:t xml:space="preserve">12. měsíci léčby než u pacientů léčených methotrexátem v monoterapii (viz tabulka </w:t>
      </w:r>
      <w:r w:rsidR="00E331EB">
        <w:t>7</w:t>
      </w:r>
      <w:r w:rsidRPr="001B4A02">
        <w:t>).</w:t>
      </w:r>
    </w:p>
    <w:p w14:paraId="3635C0F1" w14:textId="77777777" w:rsidR="00D259AA" w:rsidRPr="001B4A02" w:rsidRDefault="00D259AA" w:rsidP="00D259AA">
      <w:pPr>
        <w:ind w:left="0" w:firstLine="0"/>
      </w:pPr>
    </w:p>
    <w:p w14:paraId="47379EBD" w14:textId="77777777" w:rsidR="00D259AA" w:rsidRPr="001B4A02" w:rsidRDefault="00000000" w:rsidP="00D259AA">
      <w:pPr>
        <w:ind w:left="0" w:firstLine="0"/>
      </w:pPr>
      <w:r w:rsidRPr="001B4A02">
        <w:t>Snížení stupně progrese strukturálního poškození u části pacientů v otevřené prodloužené RA studii III přetrvává</w:t>
      </w:r>
      <w:r w:rsidRPr="001B4A02">
        <w:rPr>
          <w:szCs w:val="22"/>
        </w:rPr>
        <w:t xml:space="preserve"> po dobu 8</w:t>
      </w:r>
      <w:r w:rsidR="002378E0">
        <w:rPr>
          <w:szCs w:val="22"/>
        </w:rPr>
        <w:t xml:space="preserve"> a </w:t>
      </w:r>
      <w:r w:rsidRPr="001B4A02">
        <w:rPr>
          <w:szCs w:val="22"/>
        </w:rPr>
        <w:t>10 let</w:t>
      </w:r>
      <w:r w:rsidRPr="001B4A02">
        <w:t>. Po 8 letech bylo 81 z 207 pacientů původně léčených přípravkem Humira v dávce 40</w:t>
      </w:r>
      <w:r w:rsidR="00874DE1">
        <w:t> mg</w:t>
      </w:r>
      <w:r w:rsidRPr="001B4A02">
        <w:t xml:space="preserve"> každý druhý týden radiograficky zhodnoceno. U 48 z těchto pacientů nedošlo k progresi strukturálního poškození, což bylo definováno jako 0,5 či nižší změna hodnoty mTSS v porovnání s výchozím stavem. Po 10 letech 79 z 207 pacientů původně léčených přípravkem Humira v dávce 40</w:t>
      </w:r>
      <w:r w:rsidR="00874DE1">
        <w:t> mg</w:t>
      </w:r>
      <w:r w:rsidRPr="001B4A02">
        <w:t xml:space="preserve"> každý druhý týden bylo radiograficky zhodnoceno. Mezi těmito se u 40 pacientů neprokázala progrese strukturálního poškození, definovaná jako změna mTSS o 0,5 nebo méně v porovnání s výchozím stavem.</w:t>
      </w:r>
    </w:p>
    <w:p w14:paraId="3BD1938C" w14:textId="77777777" w:rsidR="00D259AA" w:rsidRPr="001B4A02" w:rsidRDefault="00D259AA" w:rsidP="00D259AA">
      <w:pPr>
        <w:ind w:left="0"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1"/>
        <w:gridCol w:w="1642"/>
        <w:gridCol w:w="1824"/>
        <w:gridCol w:w="1824"/>
        <w:gridCol w:w="1300"/>
      </w:tblGrid>
      <w:tr w:rsidR="00534A2D" w14:paraId="352D103C" w14:textId="77777777" w:rsidTr="00D45BC2">
        <w:tc>
          <w:tcPr>
            <w:tcW w:w="8951" w:type="dxa"/>
            <w:gridSpan w:val="5"/>
            <w:tcBorders>
              <w:top w:val="nil"/>
              <w:left w:val="nil"/>
              <w:bottom w:val="single" w:sz="4" w:space="0" w:color="auto"/>
              <w:right w:val="nil"/>
            </w:tcBorders>
          </w:tcPr>
          <w:p w14:paraId="7216485C" w14:textId="77777777" w:rsidR="00D259AA" w:rsidRPr="001B4A02" w:rsidRDefault="00000000" w:rsidP="00D45BC2">
            <w:pPr>
              <w:jc w:val="center"/>
              <w:rPr>
                <w:b/>
                <w:bCs/>
              </w:rPr>
            </w:pPr>
            <w:r w:rsidRPr="001B4A02">
              <w:rPr>
                <w:b/>
                <w:bCs/>
              </w:rPr>
              <w:t xml:space="preserve">Tabulka </w:t>
            </w:r>
            <w:r w:rsidR="00E331EB">
              <w:rPr>
                <w:b/>
                <w:bCs/>
              </w:rPr>
              <w:t>7</w:t>
            </w:r>
            <w:r w:rsidR="00E331EB" w:rsidRPr="001B4A02">
              <w:rPr>
                <w:b/>
                <w:bCs/>
              </w:rPr>
              <w:t xml:space="preserve"> </w:t>
            </w:r>
          </w:p>
          <w:p w14:paraId="5BE2DDD7" w14:textId="77777777" w:rsidR="00D259AA" w:rsidRPr="001B4A02" w:rsidRDefault="00000000" w:rsidP="00D45BC2">
            <w:pPr>
              <w:jc w:val="center"/>
              <w:rPr>
                <w:b/>
                <w:bCs/>
                <w:highlight w:val="cyan"/>
              </w:rPr>
            </w:pPr>
            <w:r w:rsidRPr="001B4A02">
              <w:rPr>
                <w:b/>
                <w:bCs/>
              </w:rPr>
              <w:t>Průměrné RTG změny po 12 měsících ve studii RA III</w:t>
            </w:r>
          </w:p>
          <w:p w14:paraId="29657B04" w14:textId="77777777" w:rsidR="00D259AA" w:rsidRPr="001B4A02" w:rsidRDefault="00D259AA" w:rsidP="00D45BC2">
            <w:pPr>
              <w:rPr>
                <w:bCs/>
                <w:highlight w:val="red"/>
              </w:rPr>
            </w:pPr>
          </w:p>
        </w:tc>
      </w:tr>
      <w:tr w:rsidR="00534A2D" w14:paraId="3F866C6C" w14:textId="77777777" w:rsidTr="00D45BC2">
        <w:tc>
          <w:tcPr>
            <w:tcW w:w="2448" w:type="dxa"/>
            <w:tcBorders>
              <w:top w:val="single" w:sz="4" w:space="0" w:color="auto"/>
            </w:tcBorders>
          </w:tcPr>
          <w:p w14:paraId="1CD4A817" w14:textId="77777777" w:rsidR="00D259AA" w:rsidRPr="001B4A02" w:rsidRDefault="00D259AA" w:rsidP="00D45BC2"/>
        </w:tc>
        <w:tc>
          <w:tcPr>
            <w:tcW w:w="1620" w:type="dxa"/>
            <w:tcBorders>
              <w:top w:val="single" w:sz="4" w:space="0" w:color="auto"/>
            </w:tcBorders>
          </w:tcPr>
          <w:p w14:paraId="2541291D" w14:textId="77777777" w:rsidR="00D259AA" w:rsidRPr="001B4A02" w:rsidRDefault="00000000" w:rsidP="00D45BC2">
            <w:pPr>
              <w:ind w:left="0" w:firstLine="0"/>
              <w:jc w:val="center"/>
              <w:rPr>
                <w:vertAlign w:val="superscript"/>
              </w:rPr>
            </w:pPr>
            <w:r w:rsidRPr="001B4A02">
              <w:t>Placebo/MTX</w:t>
            </w:r>
            <w:r w:rsidRPr="001B4A02">
              <w:rPr>
                <w:vertAlign w:val="superscript"/>
              </w:rPr>
              <w:t>a</w:t>
            </w:r>
          </w:p>
        </w:tc>
        <w:tc>
          <w:tcPr>
            <w:tcW w:w="1800" w:type="dxa"/>
            <w:tcBorders>
              <w:top w:val="single" w:sz="4" w:space="0" w:color="auto"/>
            </w:tcBorders>
          </w:tcPr>
          <w:p w14:paraId="4FD2FE33" w14:textId="77777777" w:rsidR="00D259AA" w:rsidRPr="001B4A02" w:rsidRDefault="00000000" w:rsidP="00D45BC2">
            <w:pPr>
              <w:ind w:left="0" w:firstLine="0"/>
              <w:jc w:val="center"/>
            </w:pPr>
            <w:r w:rsidRPr="001B4A02">
              <w:t>Humira/MTX 40 mg každý druhý týden</w:t>
            </w:r>
          </w:p>
        </w:tc>
        <w:tc>
          <w:tcPr>
            <w:tcW w:w="1800" w:type="dxa"/>
            <w:tcBorders>
              <w:top w:val="single" w:sz="4" w:space="0" w:color="auto"/>
            </w:tcBorders>
          </w:tcPr>
          <w:p w14:paraId="6C6EBAFF" w14:textId="77777777" w:rsidR="00D259AA" w:rsidRPr="001B4A02" w:rsidRDefault="00000000" w:rsidP="00D45BC2">
            <w:pPr>
              <w:ind w:left="0" w:firstLine="0"/>
              <w:jc w:val="center"/>
            </w:pPr>
            <w:r w:rsidRPr="001B4A02">
              <w:t>Placebo/MTX-Humira/MTX (95% interval spolehlivosti</w:t>
            </w:r>
            <w:r w:rsidRPr="001B4A02">
              <w:rPr>
                <w:vertAlign w:val="superscript"/>
              </w:rPr>
              <w:t>b</w:t>
            </w:r>
            <w:r w:rsidRPr="001B4A02">
              <w:t>)</w:t>
            </w:r>
          </w:p>
        </w:tc>
        <w:tc>
          <w:tcPr>
            <w:tcW w:w="1283" w:type="dxa"/>
            <w:tcBorders>
              <w:top w:val="single" w:sz="4" w:space="0" w:color="auto"/>
            </w:tcBorders>
          </w:tcPr>
          <w:p w14:paraId="6F08CBFC" w14:textId="77777777" w:rsidR="00D259AA" w:rsidRPr="001B4A02" w:rsidRDefault="00000000" w:rsidP="00D45BC2">
            <w:pPr>
              <w:ind w:left="0" w:firstLine="0"/>
              <w:jc w:val="center"/>
            </w:pPr>
            <w:r w:rsidRPr="001B4A02">
              <w:t>Hodnota p</w:t>
            </w:r>
          </w:p>
        </w:tc>
      </w:tr>
      <w:tr w:rsidR="00534A2D" w14:paraId="5073EC6D" w14:textId="77777777" w:rsidTr="00D45BC2">
        <w:tc>
          <w:tcPr>
            <w:tcW w:w="2448" w:type="dxa"/>
          </w:tcPr>
          <w:p w14:paraId="22FA380A" w14:textId="77777777" w:rsidR="00D259AA" w:rsidRPr="001B4A02" w:rsidRDefault="00000000" w:rsidP="00D45BC2">
            <w:r w:rsidRPr="001B4A02">
              <w:t>Celkové Sharpovo skóre</w:t>
            </w:r>
          </w:p>
          <w:p w14:paraId="74449213" w14:textId="77777777" w:rsidR="00D259AA" w:rsidRPr="001B4A02" w:rsidRDefault="00D259AA" w:rsidP="00D45BC2"/>
        </w:tc>
        <w:tc>
          <w:tcPr>
            <w:tcW w:w="1620" w:type="dxa"/>
          </w:tcPr>
          <w:p w14:paraId="05A4D6D2" w14:textId="77777777" w:rsidR="00D259AA" w:rsidRPr="001B4A02" w:rsidRDefault="00000000" w:rsidP="00D45BC2">
            <w:pPr>
              <w:ind w:left="0" w:firstLine="0"/>
              <w:jc w:val="center"/>
            </w:pPr>
            <w:r w:rsidRPr="001B4A02">
              <w:t>2,7</w:t>
            </w:r>
          </w:p>
        </w:tc>
        <w:tc>
          <w:tcPr>
            <w:tcW w:w="1800" w:type="dxa"/>
          </w:tcPr>
          <w:p w14:paraId="1FD1E9C4" w14:textId="77777777" w:rsidR="00D259AA" w:rsidRPr="001B4A02" w:rsidRDefault="00000000" w:rsidP="00D45BC2">
            <w:pPr>
              <w:ind w:left="0" w:firstLine="0"/>
              <w:jc w:val="center"/>
            </w:pPr>
            <w:r w:rsidRPr="001B4A02">
              <w:t>0,1</w:t>
            </w:r>
          </w:p>
        </w:tc>
        <w:tc>
          <w:tcPr>
            <w:tcW w:w="1800" w:type="dxa"/>
          </w:tcPr>
          <w:p w14:paraId="5301D5E0" w14:textId="77777777" w:rsidR="00D259AA" w:rsidRPr="001B4A02" w:rsidRDefault="00000000" w:rsidP="00D45BC2">
            <w:pPr>
              <w:ind w:left="0" w:firstLine="0"/>
              <w:jc w:val="center"/>
            </w:pPr>
            <w:r w:rsidRPr="001B4A02">
              <w:t>2,6 (1,4; 3,8)</w:t>
            </w:r>
          </w:p>
        </w:tc>
        <w:tc>
          <w:tcPr>
            <w:tcW w:w="1283" w:type="dxa"/>
          </w:tcPr>
          <w:p w14:paraId="0876CBC5" w14:textId="77777777" w:rsidR="00D259AA" w:rsidRPr="001B4A02" w:rsidRDefault="00000000" w:rsidP="00D45BC2">
            <w:pPr>
              <w:ind w:left="0" w:firstLine="0"/>
              <w:jc w:val="center"/>
              <w:rPr>
                <w:vertAlign w:val="superscript"/>
              </w:rPr>
            </w:pPr>
            <w:r w:rsidRPr="001B4A02">
              <w:t>&lt;0,001</w:t>
            </w:r>
            <w:r w:rsidRPr="001B4A02">
              <w:rPr>
                <w:vertAlign w:val="superscript"/>
              </w:rPr>
              <w:t>c</w:t>
            </w:r>
          </w:p>
        </w:tc>
      </w:tr>
      <w:tr w:rsidR="00534A2D" w14:paraId="13014F3C" w14:textId="77777777" w:rsidTr="00D45BC2">
        <w:tc>
          <w:tcPr>
            <w:tcW w:w="2448" w:type="dxa"/>
          </w:tcPr>
          <w:p w14:paraId="0A4203B8" w14:textId="77777777" w:rsidR="00D259AA" w:rsidRPr="001B4A02" w:rsidRDefault="00000000" w:rsidP="00D45BC2">
            <w:r w:rsidRPr="001B4A02">
              <w:t>Skóre erozí</w:t>
            </w:r>
          </w:p>
          <w:p w14:paraId="21954F76" w14:textId="77777777" w:rsidR="00D259AA" w:rsidRPr="001B4A02" w:rsidRDefault="00D259AA" w:rsidP="00D45BC2"/>
        </w:tc>
        <w:tc>
          <w:tcPr>
            <w:tcW w:w="1620" w:type="dxa"/>
          </w:tcPr>
          <w:p w14:paraId="78161C62" w14:textId="77777777" w:rsidR="00D259AA" w:rsidRPr="001B4A02" w:rsidRDefault="00000000" w:rsidP="00D45BC2">
            <w:pPr>
              <w:ind w:left="0" w:firstLine="0"/>
              <w:jc w:val="center"/>
            </w:pPr>
            <w:r w:rsidRPr="001B4A02">
              <w:t>1,6</w:t>
            </w:r>
          </w:p>
        </w:tc>
        <w:tc>
          <w:tcPr>
            <w:tcW w:w="1800" w:type="dxa"/>
          </w:tcPr>
          <w:p w14:paraId="034BD67D" w14:textId="77777777" w:rsidR="00D259AA" w:rsidRPr="001B4A02" w:rsidRDefault="00000000" w:rsidP="00D45BC2">
            <w:pPr>
              <w:ind w:left="0" w:firstLine="0"/>
              <w:jc w:val="center"/>
            </w:pPr>
            <w:r w:rsidRPr="001B4A02">
              <w:t>0,0</w:t>
            </w:r>
          </w:p>
        </w:tc>
        <w:tc>
          <w:tcPr>
            <w:tcW w:w="1800" w:type="dxa"/>
          </w:tcPr>
          <w:p w14:paraId="0F7028B1" w14:textId="77777777" w:rsidR="00D259AA" w:rsidRPr="001B4A02" w:rsidRDefault="00000000" w:rsidP="00D45BC2">
            <w:pPr>
              <w:ind w:left="0" w:firstLine="0"/>
              <w:jc w:val="center"/>
            </w:pPr>
            <w:r w:rsidRPr="001B4A02">
              <w:t>1,6 (0,9; 2,2)</w:t>
            </w:r>
          </w:p>
        </w:tc>
        <w:tc>
          <w:tcPr>
            <w:tcW w:w="1283" w:type="dxa"/>
          </w:tcPr>
          <w:p w14:paraId="5CD5D961" w14:textId="77777777" w:rsidR="00D259AA" w:rsidRPr="001B4A02" w:rsidRDefault="00000000" w:rsidP="00D45BC2">
            <w:pPr>
              <w:ind w:left="0" w:firstLine="0"/>
              <w:jc w:val="center"/>
            </w:pPr>
            <w:r w:rsidRPr="001B4A02">
              <w:t>&lt;0,001</w:t>
            </w:r>
          </w:p>
        </w:tc>
      </w:tr>
      <w:tr w:rsidR="00534A2D" w14:paraId="248FFC91" w14:textId="77777777" w:rsidTr="00D45BC2">
        <w:tc>
          <w:tcPr>
            <w:tcW w:w="2448" w:type="dxa"/>
          </w:tcPr>
          <w:p w14:paraId="344960FA" w14:textId="77777777" w:rsidR="00D259AA" w:rsidRPr="001B4A02" w:rsidRDefault="00000000" w:rsidP="00D45BC2">
            <w:pPr>
              <w:rPr>
                <w:vertAlign w:val="superscript"/>
              </w:rPr>
            </w:pPr>
            <w:r w:rsidRPr="001B4A02">
              <w:t>Skóre JSN</w:t>
            </w:r>
            <w:r w:rsidRPr="001B4A02">
              <w:rPr>
                <w:vertAlign w:val="superscript"/>
              </w:rPr>
              <w:t>d</w:t>
            </w:r>
          </w:p>
          <w:p w14:paraId="7E1A28CA" w14:textId="77777777" w:rsidR="00D259AA" w:rsidRPr="001B4A02" w:rsidRDefault="00D259AA" w:rsidP="00D45BC2"/>
        </w:tc>
        <w:tc>
          <w:tcPr>
            <w:tcW w:w="1620" w:type="dxa"/>
          </w:tcPr>
          <w:p w14:paraId="4C9BC2A5" w14:textId="77777777" w:rsidR="00D259AA" w:rsidRPr="001B4A02" w:rsidRDefault="00000000" w:rsidP="00D45BC2">
            <w:pPr>
              <w:ind w:left="0" w:firstLine="0"/>
              <w:jc w:val="center"/>
            </w:pPr>
            <w:r w:rsidRPr="001B4A02">
              <w:t>1,0</w:t>
            </w:r>
          </w:p>
        </w:tc>
        <w:tc>
          <w:tcPr>
            <w:tcW w:w="1800" w:type="dxa"/>
          </w:tcPr>
          <w:p w14:paraId="0E871820" w14:textId="77777777" w:rsidR="00D259AA" w:rsidRPr="001B4A02" w:rsidRDefault="00000000" w:rsidP="00D45BC2">
            <w:pPr>
              <w:ind w:left="0" w:firstLine="0"/>
              <w:jc w:val="center"/>
            </w:pPr>
            <w:r w:rsidRPr="001B4A02">
              <w:t>0,1</w:t>
            </w:r>
          </w:p>
        </w:tc>
        <w:tc>
          <w:tcPr>
            <w:tcW w:w="1800" w:type="dxa"/>
          </w:tcPr>
          <w:p w14:paraId="6FB5317B" w14:textId="77777777" w:rsidR="00D259AA" w:rsidRPr="001B4A02" w:rsidRDefault="00000000" w:rsidP="00D45BC2">
            <w:pPr>
              <w:ind w:left="0" w:firstLine="0"/>
              <w:jc w:val="center"/>
            </w:pPr>
            <w:r w:rsidRPr="001B4A02">
              <w:t>0,9 (0,3; 1,4)</w:t>
            </w:r>
          </w:p>
        </w:tc>
        <w:tc>
          <w:tcPr>
            <w:tcW w:w="1283" w:type="dxa"/>
          </w:tcPr>
          <w:p w14:paraId="15381BD2" w14:textId="77777777" w:rsidR="00D259AA" w:rsidRPr="001B4A02" w:rsidRDefault="00000000" w:rsidP="00D45BC2">
            <w:pPr>
              <w:ind w:left="0" w:firstLine="0"/>
              <w:jc w:val="center"/>
            </w:pPr>
            <w:r w:rsidRPr="001B4A02">
              <w:t>0,002</w:t>
            </w:r>
          </w:p>
        </w:tc>
      </w:tr>
    </w:tbl>
    <w:p w14:paraId="42D8FFC5" w14:textId="77777777" w:rsidR="00D259AA" w:rsidRPr="001B4A02" w:rsidRDefault="00000000" w:rsidP="00D259AA">
      <w:pPr>
        <w:rPr>
          <w:sz w:val="20"/>
        </w:rPr>
      </w:pPr>
      <w:r w:rsidRPr="001B4A02">
        <w:rPr>
          <w:bCs/>
          <w:sz w:val="20"/>
          <w:vertAlign w:val="superscript"/>
        </w:rPr>
        <w:t xml:space="preserve">a </w:t>
      </w:r>
      <w:r w:rsidRPr="001B4A02">
        <w:rPr>
          <w:bCs/>
          <w:sz w:val="20"/>
        </w:rPr>
        <w:t>methotrex</w:t>
      </w:r>
      <w:r w:rsidRPr="001B4A02">
        <w:rPr>
          <w:sz w:val="20"/>
        </w:rPr>
        <w:t>át</w:t>
      </w:r>
    </w:p>
    <w:p w14:paraId="19D91225" w14:textId="77777777" w:rsidR="00D259AA" w:rsidRPr="001B4A02" w:rsidRDefault="00000000" w:rsidP="00D259AA">
      <w:pPr>
        <w:rPr>
          <w:sz w:val="20"/>
        </w:rPr>
      </w:pPr>
      <w:r w:rsidRPr="001B4A02">
        <w:rPr>
          <w:sz w:val="20"/>
          <w:vertAlign w:val="superscript"/>
        </w:rPr>
        <w:t xml:space="preserve">b </w:t>
      </w:r>
      <w:r w:rsidRPr="001B4A02">
        <w:rPr>
          <w:sz w:val="20"/>
        </w:rPr>
        <w:t>95% intervaly spolehlivosti pro rozdíly změny skóre mezi methotrexátem</w:t>
      </w:r>
      <w:r w:rsidR="002378E0">
        <w:rPr>
          <w:sz w:val="20"/>
        </w:rPr>
        <w:t xml:space="preserve"> a </w:t>
      </w:r>
      <w:r w:rsidRPr="001B4A02">
        <w:rPr>
          <w:sz w:val="20"/>
        </w:rPr>
        <w:t>přípravkem Humira</w:t>
      </w:r>
    </w:p>
    <w:p w14:paraId="3799C64C" w14:textId="77777777" w:rsidR="00D259AA" w:rsidRPr="001B4A02" w:rsidRDefault="00000000" w:rsidP="00D259AA">
      <w:pPr>
        <w:rPr>
          <w:sz w:val="20"/>
        </w:rPr>
      </w:pPr>
      <w:r w:rsidRPr="001B4A02">
        <w:rPr>
          <w:sz w:val="20"/>
          <w:vertAlign w:val="superscript"/>
        </w:rPr>
        <w:t xml:space="preserve">c </w:t>
      </w:r>
      <w:r w:rsidRPr="001B4A02">
        <w:rPr>
          <w:sz w:val="20"/>
        </w:rPr>
        <w:t>na základě analýzy pořadí</w:t>
      </w:r>
    </w:p>
    <w:p w14:paraId="21591592" w14:textId="77777777" w:rsidR="00D259AA" w:rsidRPr="001B4A02" w:rsidRDefault="00000000" w:rsidP="00D259AA">
      <w:pPr>
        <w:ind w:left="0" w:firstLine="0"/>
        <w:rPr>
          <w:sz w:val="20"/>
          <w:u w:val="single"/>
        </w:rPr>
      </w:pPr>
      <w:r w:rsidRPr="001B4A02">
        <w:rPr>
          <w:sz w:val="20"/>
          <w:vertAlign w:val="superscript"/>
        </w:rPr>
        <w:t xml:space="preserve">d </w:t>
      </w:r>
      <w:r w:rsidRPr="001B4A02">
        <w:rPr>
          <w:sz w:val="20"/>
        </w:rPr>
        <w:t>zúžení kloubní štěrbiny</w:t>
      </w:r>
    </w:p>
    <w:p w14:paraId="719D5236" w14:textId="77777777" w:rsidR="00D259AA" w:rsidRPr="001B4A02" w:rsidRDefault="00D259AA" w:rsidP="00D259AA">
      <w:pPr>
        <w:ind w:left="0" w:firstLine="0"/>
        <w:rPr>
          <w:u w:val="single"/>
        </w:rPr>
      </w:pPr>
    </w:p>
    <w:p w14:paraId="3B67C918" w14:textId="77777777" w:rsidR="00D259AA" w:rsidRPr="001B4A02" w:rsidRDefault="00000000" w:rsidP="00D259AA">
      <w:pPr>
        <w:ind w:left="0" w:firstLine="0"/>
      </w:pPr>
      <w:r w:rsidRPr="001B4A02">
        <w:t>Ve studii RA V bylo strukturální poškození kloubů hodnoceno radiograficky</w:t>
      </w:r>
      <w:r w:rsidR="002378E0">
        <w:t xml:space="preserve"> a </w:t>
      </w:r>
      <w:r w:rsidRPr="001B4A02">
        <w:t xml:space="preserve">vyjádřeno jako změna upraveného celkového Sharpova skóre (viz tabulka </w:t>
      </w:r>
      <w:r w:rsidR="00E331EB">
        <w:t>8</w:t>
      </w:r>
      <w:r w:rsidRPr="001B4A02">
        <w:t>).</w:t>
      </w:r>
    </w:p>
    <w:p w14:paraId="179A71B7" w14:textId="77777777" w:rsidR="00D259AA" w:rsidRPr="001B4A02" w:rsidRDefault="00D259AA" w:rsidP="00D259AA">
      <w:pPr>
        <w:keepNext/>
        <w:ind w:left="0" w:firstLine="0"/>
        <w:rPr>
          <w:u w:val="single"/>
        </w:rPr>
      </w:pPr>
    </w:p>
    <w:tbl>
      <w:tblPr>
        <w:tblW w:w="5095" w:type="pct"/>
        <w:tblLayout w:type="fixed"/>
        <w:tblLook w:val="0000" w:firstRow="0" w:lastRow="0" w:firstColumn="0" w:lastColumn="0" w:noHBand="0" w:noVBand="0"/>
      </w:tblPr>
      <w:tblGrid>
        <w:gridCol w:w="1075"/>
        <w:gridCol w:w="1384"/>
        <w:gridCol w:w="1386"/>
        <w:gridCol w:w="1522"/>
        <w:gridCol w:w="1247"/>
        <w:gridCol w:w="1323"/>
        <w:gridCol w:w="1306"/>
      </w:tblGrid>
      <w:tr w:rsidR="00534A2D" w14:paraId="27E8D4AA" w14:textId="77777777" w:rsidTr="00D45BC2">
        <w:tc>
          <w:tcPr>
            <w:tcW w:w="9463" w:type="dxa"/>
            <w:gridSpan w:val="7"/>
            <w:tcBorders>
              <w:bottom w:val="single" w:sz="4" w:space="0" w:color="auto"/>
            </w:tcBorders>
          </w:tcPr>
          <w:p w14:paraId="1B0944B6" w14:textId="77777777" w:rsidR="00D259AA" w:rsidRPr="001B4A02" w:rsidRDefault="00000000" w:rsidP="00D45BC2">
            <w:pPr>
              <w:pStyle w:val="Heading5"/>
              <w:jc w:val="center"/>
              <w:rPr>
                <w:b/>
                <w:bCs/>
                <w:noProof w:val="0"/>
                <w:lang w:val="cs-CZ"/>
              </w:rPr>
            </w:pPr>
            <w:r w:rsidRPr="001B4A02">
              <w:rPr>
                <w:b/>
                <w:bCs/>
                <w:noProof w:val="0"/>
                <w:lang w:val="cs-CZ"/>
              </w:rPr>
              <w:t xml:space="preserve">Tabulka </w:t>
            </w:r>
            <w:r w:rsidR="00E331EB">
              <w:rPr>
                <w:b/>
                <w:bCs/>
                <w:noProof w:val="0"/>
                <w:lang w:val="cs-CZ"/>
              </w:rPr>
              <w:t>8</w:t>
            </w:r>
            <w:r w:rsidR="00E331EB" w:rsidRPr="001B4A02">
              <w:rPr>
                <w:b/>
                <w:bCs/>
                <w:noProof w:val="0"/>
                <w:lang w:val="cs-CZ"/>
              </w:rPr>
              <w:t xml:space="preserve"> </w:t>
            </w:r>
          </w:p>
          <w:p w14:paraId="4D9DBBAE" w14:textId="77777777" w:rsidR="00D259AA" w:rsidRPr="001B4A02" w:rsidRDefault="00000000" w:rsidP="00D45BC2">
            <w:pPr>
              <w:pStyle w:val="Heading5"/>
              <w:jc w:val="center"/>
              <w:rPr>
                <w:b/>
                <w:bCs/>
                <w:noProof w:val="0"/>
                <w:lang w:val="cs-CZ"/>
              </w:rPr>
            </w:pPr>
            <w:r w:rsidRPr="001B4A02">
              <w:rPr>
                <w:b/>
                <w:bCs/>
                <w:noProof w:val="0"/>
                <w:lang w:val="cs-CZ"/>
              </w:rPr>
              <w:t>Radiografické průměrné změny v týdnu 52 ve studii RA V</w:t>
            </w:r>
          </w:p>
          <w:p w14:paraId="3735D994" w14:textId="77777777" w:rsidR="00D259AA" w:rsidRPr="001B4A02" w:rsidRDefault="00D259AA" w:rsidP="00D45BC2">
            <w:pPr>
              <w:keepNext/>
            </w:pPr>
          </w:p>
        </w:tc>
      </w:tr>
      <w:tr w:rsidR="00534A2D" w14:paraId="1B2D108A" w14:textId="77777777" w:rsidTr="00D45BC2">
        <w:tc>
          <w:tcPr>
            <w:tcW w:w="1100" w:type="dxa"/>
            <w:tcBorders>
              <w:top w:val="single" w:sz="4" w:space="0" w:color="auto"/>
              <w:left w:val="single" w:sz="4" w:space="0" w:color="auto"/>
              <w:bottom w:val="single" w:sz="4" w:space="0" w:color="auto"/>
              <w:right w:val="single" w:sz="4" w:space="0" w:color="auto"/>
            </w:tcBorders>
            <w:vAlign w:val="center"/>
          </w:tcPr>
          <w:p w14:paraId="2A3345B1" w14:textId="77777777" w:rsidR="00D259AA" w:rsidRPr="001B4A02" w:rsidRDefault="00D259AA" w:rsidP="00D45BC2">
            <w:pPr>
              <w:keepNext/>
              <w:ind w:left="0" w:firstLine="0"/>
            </w:pPr>
          </w:p>
        </w:tc>
        <w:tc>
          <w:tcPr>
            <w:tcW w:w="1417" w:type="dxa"/>
            <w:tcBorders>
              <w:top w:val="single" w:sz="4" w:space="0" w:color="auto"/>
              <w:left w:val="single" w:sz="4" w:space="0" w:color="auto"/>
              <w:bottom w:val="single" w:sz="4" w:space="0" w:color="auto"/>
              <w:right w:val="single" w:sz="4" w:space="0" w:color="auto"/>
            </w:tcBorders>
            <w:vAlign w:val="center"/>
          </w:tcPr>
          <w:p w14:paraId="0C05592B" w14:textId="77777777" w:rsidR="00D259AA" w:rsidRPr="001B4A02" w:rsidRDefault="00000000" w:rsidP="00D45BC2">
            <w:pPr>
              <w:keepNext/>
              <w:jc w:val="center"/>
            </w:pPr>
            <w:r w:rsidRPr="001B4A02">
              <w:t>MTX</w:t>
            </w:r>
          </w:p>
          <w:p w14:paraId="443A6D22" w14:textId="77777777" w:rsidR="00D259AA" w:rsidRPr="001B4A02" w:rsidRDefault="00000000" w:rsidP="00D45BC2">
            <w:pPr>
              <w:keepNext/>
              <w:jc w:val="center"/>
            </w:pPr>
            <w:r w:rsidRPr="001B4A02">
              <w:t>n=257</w:t>
            </w:r>
          </w:p>
          <w:p w14:paraId="10799921" w14:textId="77777777" w:rsidR="00D259AA" w:rsidRPr="001B4A02" w:rsidRDefault="00000000" w:rsidP="00D45BC2">
            <w:pPr>
              <w:keepNext/>
              <w:ind w:left="-120" w:firstLine="0"/>
              <w:jc w:val="center"/>
              <w:rPr>
                <w:sz w:val="18"/>
              </w:rPr>
            </w:pPr>
            <w:r w:rsidRPr="001B4A02">
              <w:rPr>
                <w:sz w:val="18"/>
              </w:rPr>
              <w:t>(95% interval spolehlivosti)</w:t>
            </w:r>
          </w:p>
        </w:tc>
        <w:tc>
          <w:tcPr>
            <w:tcW w:w="1419" w:type="dxa"/>
            <w:tcBorders>
              <w:top w:val="single" w:sz="4" w:space="0" w:color="auto"/>
              <w:left w:val="single" w:sz="4" w:space="0" w:color="auto"/>
              <w:bottom w:val="single" w:sz="4" w:space="0" w:color="auto"/>
              <w:right w:val="single" w:sz="4" w:space="0" w:color="auto"/>
            </w:tcBorders>
            <w:vAlign w:val="center"/>
          </w:tcPr>
          <w:p w14:paraId="23F4506C" w14:textId="77777777" w:rsidR="00D259AA" w:rsidRPr="001B4A02" w:rsidRDefault="00000000" w:rsidP="00D45BC2">
            <w:pPr>
              <w:keepNext/>
              <w:jc w:val="center"/>
            </w:pPr>
            <w:r w:rsidRPr="001B4A02">
              <w:t>Humira</w:t>
            </w:r>
          </w:p>
          <w:p w14:paraId="6EBDF302" w14:textId="77777777" w:rsidR="00D259AA" w:rsidRPr="001B4A02" w:rsidRDefault="00000000" w:rsidP="00D45BC2">
            <w:pPr>
              <w:pStyle w:val="EMEAFigureTitle"/>
              <w:keepNext/>
              <w:jc w:val="center"/>
              <w:rPr>
                <w:lang w:val="cs-CZ"/>
              </w:rPr>
            </w:pPr>
            <w:r w:rsidRPr="001B4A02">
              <w:rPr>
                <w:lang w:val="cs-CZ"/>
              </w:rPr>
              <w:t>n=274</w:t>
            </w:r>
          </w:p>
          <w:p w14:paraId="08208147" w14:textId="77777777" w:rsidR="00D259AA" w:rsidRPr="001B4A02" w:rsidRDefault="00000000" w:rsidP="00D45BC2">
            <w:pPr>
              <w:keepNext/>
              <w:ind w:left="0" w:firstLine="0"/>
              <w:jc w:val="center"/>
            </w:pPr>
            <w:r w:rsidRPr="001B4A02">
              <w:rPr>
                <w:sz w:val="18"/>
              </w:rPr>
              <w:t>(95% interval spolehlivosti)</w:t>
            </w:r>
          </w:p>
        </w:tc>
        <w:tc>
          <w:tcPr>
            <w:tcW w:w="1559" w:type="dxa"/>
            <w:tcBorders>
              <w:top w:val="single" w:sz="4" w:space="0" w:color="auto"/>
              <w:left w:val="single" w:sz="4" w:space="0" w:color="auto"/>
              <w:bottom w:val="single" w:sz="4" w:space="0" w:color="auto"/>
              <w:right w:val="single" w:sz="4" w:space="0" w:color="auto"/>
            </w:tcBorders>
            <w:vAlign w:val="center"/>
          </w:tcPr>
          <w:p w14:paraId="620C237C" w14:textId="77777777" w:rsidR="00D259AA" w:rsidRPr="001B4A02" w:rsidRDefault="00000000" w:rsidP="00D45BC2">
            <w:pPr>
              <w:keepNext/>
              <w:jc w:val="center"/>
            </w:pPr>
            <w:r w:rsidRPr="001B4A02">
              <w:t>Humira/MTX</w:t>
            </w:r>
          </w:p>
          <w:p w14:paraId="06BA29B6" w14:textId="77777777" w:rsidR="00D259AA" w:rsidRPr="001B4A02" w:rsidRDefault="00000000" w:rsidP="00D45BC2">
            <w:pPr>
              <w:pStyle w:val="EMEAFigureTitle"/>
              <w:keepNext/>
              <w:jc w:val="center"/>
              <w:rPr>
                <w:lang w:val="cs-CZ"/>
              </w:rPr>
            </w:pPr>
            <w:r w:rsidRPr="001B4A02">
              <w:rPr>
                <w:lang w:val="cs-CZ"/>
              </w:rPr>
              <w:t>n=268</w:t>
            </w:r>
          </w:p>
          <w:p w14:paraId="2EDEE08B" w14:textId="77777777" w:rsidR="00D259AA" w:rsidRPr="001B4A02" w:rsidRDefault="00000000" w:rsidP="00D45BC2">
            <w:pPr>
              <w:pStyle w:val="EMEANormal"/>
              <w:keepNext/>
              <w:jc w:val="center"/>
              <w:rPr>
                <w:sz w:val="18"/>
                <w:lang w:val="cs-CZ"/>
              </w:rPr>
            </w:pPr>
            <w:r w:rsidRPr="001B4A02">
              <w:rPr>
                <w:sz w:val="18"/>
                <w:lang w:val="cs-CZ"/>
              </w:rPr>
              <w:t>(95% interval spolehlivosti)</w:t>
            </w:r>
          </w:p>
        </w:tc>
        <w:tc>
          <w:tcPr>
            <w:tcW w:w="1276" w:type="dxa"/>
            <w:tcBorders>
              <w:top w:val="single" w:sz="4" w:space="0" w:color="auto"/>
              <w:left w:val="single" w:sz="4" w:space="0" w:color="auto"/>
              <w:bottom w:val="single" w:sz="4" w:space="0" w:color="auto"/>
              <w:right w:val="single" w:sz="4" w:space="0" w:color="auto"/>
            </w:tcBorders>
            <w:vAlign w:val="center"/>
          </w:tcPr>
          <w:p w14:paraId="3758FB87" w14:textId="77777777" w:rsidR="00D259AA" w:rsidRPr="001B4A02" w:rsidRDefault="00000000" w:rsidP="00D45BC2">
            <w:pPr>
              <w:pStyle w:val="EMEANormal"/>
              <w:keepNext/>
              <w:jc w:val="center"/>
              <w:rPr>
                <w:lang w:val="cs-CZ"/>
              </w:rPr>
            </w:pPr>
            <w:r w:rsidRPr="001B4A02">
              <w:rPr>
                <w:lang w:val="cs-CZ"/>
              </w:rPr>
              <w:t>Hodnota p</w:t>
            </w:r>
            <w:r w:rsidRPr="001B4A02">
              <w:rPr>
                <w:vertAlign w:val="superscript"/>
                <w:lang w:val="cs-CZ"/>
              </w:rPr>
              <w:t>a</w:t>
            </w:r>
          </w:p>
        </w:tc>
        <w:tc>
          <w:tcPr>
            <w:tcW w:w="1355" w:type="dxa"/>
            <w:tcBorders>
              <w:top w:val="single" w:sz="4" w:space="0" w:color="auto"/>
              <w:left w:val="single" w:sz="4" w:space="0" w:color="auto"/>
              <w:bottom w:val="single" w:sz="4" w:space="0" w:color="auto"/>
              <w:right w:val="single" w:sz="4" w:space="0" w:color="auto"/>
            </w:tcBorders>
            <w:vAlign w:val="center"/>
          </w:tcPr>
          <w:p w14:paraId="6BB64B5F" w14:textId="77777777" w:rsidR="00D259AA" w:rsidRPr="001B4A02" w:rsidRDefault="00000000" w:rsidP="00D45BC2">
            <w:pPr>
              <w:keepNext/>
              <w:jc w:val="center"/>
            </w:pPr>
            <w:r w:rsidRPr="001B4A02">
              <w:t>Hodnota p</w:t>
            </w:r>
            <w:r w:rsidRPr="001B4A02">
              <w:rPr>
                <w:vertAlign w:val="superscript"/>
              </w:rPr>
              <w:t>b</w:t>
            </w:r>
          </w:p>
        </w:tc>
        <w:tc>
          <w:tcPr>
            <w:tcW w:w="1337" w:type="dxa"/>
            <w:tcBorders>
              <w:top w:val="single" w:sz="4" w:space="0" w:color="auto"/>
              <w:left w:val="single" w:sz="4" w:space="0" w:color="auto"/>
              <w:bottom w:val="single" w:sz="4" w:space="0" w:color="auto"/>
              <w:right w:val="single" w:sz="4" w:space="0" w:color="auto"/>
            </w:tcBorders>
            <w:vAlign w:val="center"/>
          </w:tcPr>
          <w:p w14:paraId="4B7679D7" w14:textId="77777777" w:rsidR="00D259AA" w:rsidRPr="001B4A02" w:rsidRDefault="00000000" w:rsidP="00D45BC2">
            <w:pPr>
              <w:keepNext/>
              <w:jc w:val="center"/>
            </w:pPr>
            <w:r w:rsidRPr="001B4A02">
              <w:t>Hodnota p</w:t>
            </w:r>
            <w:r w:rsidRPr="001B4A02">
              <w:rPr>
                <w:vertAlign w:val="superscript"/>
              </w:rPr>
              <w:t>c</w:t>
            </w:r>
          </w:p>
        </w:tc>
      </w:tr>
      <w:tr w:rsidR="00534A2D" w14:paraId="69D0189C" w14:textId="77777777" w:rsidTr="00D45BC2">
        <w:tc>
          <w:tcPr>
            <w:tcW w:w="1100" w:type="dxa"/>
            <w:tcBorders>
              <w:top w:val="single" w:sz="4" w:space="0" w:color="auto"/>
              <w:left w:val="single" w:sz="4" w:space="0" w:color="auto"/>
              <w:bottom w:val="single" w:sz="4" w:space="0" w:color="auto"/>
              <w:right w:val="single" w:sz="4" w:space="0" w:color="auto"/>
            </w:tcBorders>
          </w:tcPr>
          <w:p w14:paraId="2AE03309" w14:textId="77777777" w:rsidR="00D259AA" w:rsidRPr="001B4A02" w:rsidRDefault="00000000" w:rsidP="00D45BC2">
            <w:pPr>
              <w:pStyle w:val="EMEAFigureTitle"/>
              <w:keepNext/>
              <w:rPr>
                <w:szCs w:val="24"/>
                <w:lang w:val="cs-CZ"/>
              </w:rPr>
            </w:pPr>
            <w:r w:rsidRPr="001B4A02">
              <w:rPr>
                <w:szCs w:val="24"/>
                <w:lang w:val="cs-CZ"/>
              </w:rPr>
              <w:t>Celkové Sharpovo skóre</w:t>
            </w:r>
          </w:p>
        </w:tc>
        <w:tc>
          <w:tcPr>
            <w:tcW w:w="1417" w:type="dxa"/>
            <w:tcBorders>
              <w:top w:val="single" w:sz="4" w:space="0" w:color="auto"/>
              <w:left w:val="single" w:sz="4" w:space="0" w:color="auto"/>
              <w:bottom w:val="single" w:sz="4" w:space="0" w:color="auto"/>
              <w:right w:val="single" w:sz="4" w:space="0" w:color="auto"/>
            </w:tcBorders>
          </w:tcPr>
          <w:p w14:paraId="76129CE2" w14:textId="77777777" w:rsidR="00D259AA" w:rsidRPr="001B4A02" w:rsidRDefault="00000000" w:rsidP="00D45BC2">
            <w:pPr>
              <w:keepNext/>
              <w:ind w:left="0" w:firstLine="0"/>
              <w:jc w:val="center"/>
            </w:pPr>
            <w:r w:rsidRPr="001B4A02">
              <w:t>5,7 (4,2–7,3)</w:t>
            </w:r>
          </w:p>
        </w:tc>
        <w:tc>
          <w:tcPr>
            <w:tcW w:w="1419" w:type="dxa"/>
            <w:tcBorders>
              <w:top w:val="single" w:sz="4" w:space="0" w:color="auto"/>
              <w:left w:val="single" w:sz="4" w:space="0" w:color="auto"/>
              <w:bottom w:val="single" w:sz="4" w:space="0" w:color="auto"/>
              <w:right w:val="single" w:sz="4" w:space="0" w:color="auto"/>
            </w:tcBorders>
          </w:tcPr>
          <w:p w14:paraId="43198848" w14:textId="77777777" w:rsidR="00D259AA" w:rsidRPr="001B4A02" w:rsidRDefault="00000000" w:rsidP="00D45BC2">
            <w:pPr>
              <w:pStyle w:val="EndnoteText"/>
              <w:keepNext/>
              <w:ind w:left="0" w:firstLine="0"/>
              <w:jc w:val="center"/>
              <w:rPr>
                <w:lang w:val="cs-CZ"/>
              </w:rPr>
            </w:pPr>
            <w:r w:rsidRPr="001B4A02">
              <w:rPr>
                <w:lang w:val="cs-CZ"/>
              </w:rPr>
              <w:t>3,0 (1,7–4,3)</w:t>
            </w:r>
          </w:p>
        </w:tc>
        <w:tc>
          <w:tcPr>
            <w:tcW w:w="1559" w:type="dxa"/>
            <w:tcBorders>
              <w:top w:val="single" w:sz="4" w:space="0" w:color="auto"/>
              <w:left w:val="single" w:sz="4" w:space="0" w:color="auto"/>
              <w:bottom w:val="single" w:sz="4" w:space="0" w:color="auto"/>
              <w:right w:val="single" w:sz="4" w:space="0" w:color="auto"/>
            </w:tcBorders>
          </w:tcPr>
          <w:p w14:paraId="458E0780" w14:textId="77777777" w:rsidR="00D259AA" w:rsidRPr="001B4A02" w:rsidRDefault="00000000" w:rsidP="00D45BC2">
            <w:pPr>
              <w:pStyle w:val="EndnoteText"/>
              <w:keepNext/>
              <w:ind w:left="0" w:firstLine="0"/>
              <w:jc w:val="center"/>
              <w:rPr>
                <w:lang w:val="cs-CZ"/>
              </w:rPr>
            </w:pPr>
            <w:r w:rsidRPr="001B4A02">
              <w:rPr>
                <w:lang w:val="cs-CZ"/>
              </w:rPr>
              <w:t>1,3 (0,5–2,1)</w:t>
            </w:r>
          </w:p>
        </w:tc>
        <w:tc>
          <w:tcPr>
            <w:tcW w:w="1276" w:type="dxa"/>
            <w:tcBorders>
              <w:top w:val="single" w:sz="4" w:space="0" w:color="auto"/>
              <w:left w:val="single" w:sz="4" w:space="0" w:color="auto"/>
              <w:bottom w:val="single" w:sz="4" w:space="0" w:color="auto"/>
              <w:right w:val="single" w:sz="4" w:space="0" w:color="auto"/>
            </w:tcBorders>
          </w:tcPr>
          <w:p w14:paraId="74C28F11" w14:textId="77777777" w:rsidR="00D259AA" w:rsidRPr="001B4A02" w:rsidRDefault="00000000" w:rsidP="00D45BC2">
            <w:pPr>
              <w:pStyle w:val="EndnoteText"/>
              <w:keepNext/>
              <w:ind w:left="0" w:firstLine="0"/>
              <w:jc w:val="center"/>
              <w:rPr>
                <w:lang w:val="cs-CZ"/>
              </w:rPr>
            </w:pPr>
            <w:r w:rsidRPr="001B4A02">
              <w:rPr>
                <w:lang w:val="cs-CZ"/>
              </w:rPr>
              <w:t>&lt;0,001</w:t>
            </w:r>
          </w:p>
        </w:tc>
        <w:tc>
          <w:tcPr>
            <w:tcW w:w="1355" w:type="dxa"/>
            <w:tcBorders>
              <w:top w:val="single" w:sz="4" w:space="0" w:color="auto"/>
              <w:left w:val="single" w:sz="4" w:space="0" w:color="auto"/>
              <w:bottom w:val="single" w:sz="4" w:space="0" w:color="auto"/>
              <w:right w:val="single" w:sz="4" w:space="0" w:color="auto"/>
            </w:tcBorders>
          </w:tcPr>
          <w:p w14:paraId="66F769A6" w14:textId="77777777" w:rsidR="00D259AA" w:rsidRPr="001B4A02" w:rsidRDefault="00000000" w:rsidP="00D45BC2">
            <w:pPr>
              <w:keepNext/>
              <w:ind w:left="0" w:firstLine="0"/>
              <w:jc w:val="center"/>
            </w:pPr>
            <w:r w:rsidRPr="001B4A02">
              <w:t>0,0020</w:t>
            </w:r>
          </w:p>
        </w:tc>
        <w:tc>
          <w:tcPr>
            <w:tcW w:w="1337" w:type="dxa"/>
            <w:tcBorders>
              <w:top w:val="single" w:sz="4" w:space="0" w:color="auto"/>
              <w:left w:val="single" w:sz="4" w:space="0" w:color="auto"/>
              <w:bottom w:val="single" w:sz="4" w:space="0" w:color="auto"/>
              <w:right w:val="single" w:sz="4" w:space="0" w:color="auto"/>
            </w:tcBorders>
          </w:tcPr>
          <w:p w14:paraId="3C9CE37D" w14:textId="77777777" w:rsidR="00D259AA" w:rsidRPr="001B4A02" w:rsidRDefault="00000000" w:rsidP="00D45BC2">
            <w:pPr>
              <w:keepNext/>
              <w:ind w:left="0" w:firstLine="0"/>
              <w:jc w:val="center"/>
            </w:pPr>
            <w:r w:rsidRPr="001B4A02">
              <w:t>&lt;0,001</w:t>
            </w:r>
          </w:p>
        </w:tc>
      </w:tr>
      <w:tr w:rsidR="00534A2D" w14:paraId="51C5F27F" w14:textId="77777777" w:rsidTr="00D45BC2">
        <w:tc>
          <w:tcPr>
            <w:tcW w:w="1100" w:type="dxa"/>
            <w:tcBorders>
              <w:top w:val="single" w:sz="4" w:space="0" w:color="auto"/>
              <w:left w:val="single" w:sz="4" w:space="0" w:color="auto"/>
              <w:bottom w:val="single" w:sz="4" w:space="0" w:color="auto"/>
              <w:right w:val="single" w:sz="4" w:space="0" w:color="auto"/>
            </w:tcBorders>
          </w:tcPr>
          <w:p w14:paraId="6F4D0F95" w14:textId="77777777" w:rsidR="00D259AA" w:rsidRPr="001B4A02" w:rsidRDefault="00000000" w:rsidP="00D45BC2">
            <w:pPr>
              <w:keepNext/>
              <w:ind w:left="0" w:firstLine="0"/>
            </w:pPr>
            <w:r w:rsidRPr="001B4A02">
              <w:t>Skóre eroze</w:t>
            </w:r>
          </w:p>
        </w:tc>
        <w:tc>
          <w:tcPr>
            <w:tcW w:w="1417" w:type="dxa"/>
            <w:tcBorders>
              <w:top w:val="single" w:sz="4" w:space="0" w:color="auto"/>
              <w:left w:val="single" w:sz="4" w:space="0" w:color="auto"/>
              <w:bottom w:val="single" w:sz="4" w:space="0" w:color="auto"/>
              <w:right w:val="single" w:sz="4" w:space="0" w:color="auto"/>
            </w:tcBorders>
          </w:tcPr>
          <w:p w14:paraId="7A5BAB14" w14:textId="77777777" w:rsidR="00D259AA" w:rsidRPr="001B4A02" w:rsidRDefault="00000000" w:rsidP="00D45BC2">
            <w:pPr>
              <w:keepNext/>
              <w:ind w:left="0" w:firstLine="0"/>
              <w:jc w:val="center"/>
            </w:pPr>
            <w:r w:rsidRPr="001B4A02">
              <w:t>3,7 (2,7–4,7)</w:t>
            </w:r>
          </w:p>
        </w:tc>
        <w:tc>
          <w:tcPr>
            <w:tcW w:w="1419" w:type="dxa"/>
            <w:tcBorders>
              <w:top w:val="single" w:sz="4" w:space="0" w:color="auto"/>
              <w:left w:val="single" w:sz="4" w:space="0" w:color="auto"/>
              <w:bottom w:val="single" w:sz="4" w:space="0" w:color="auto"/>
              <w:right w:val="single" w:sz="4" w:space="0" w:color="auto"/>
            </w:tcBorders>
          </w:tcPr>
          <w:p w14:paraId="29BF2A75" w14:textId="77777777" w:rsidR="00D259AA" w:rsidRPr="001B4A02" w:rsidRDefault="00000000" w:rsidP="00D45BC2">
            <w:pPr>
              <w:keepNext/>
              <w:ind w:left="0" w:firstLine="0"/>
              <w:jc w:val="center"/>
            </w:pPr>
            <w:r w:rsidRPr="001B4A02">
              <w:t>1,7 (1,0–2,4)</w:t>
            </w:r>
          </w:p>
        </w:tc>
        <w:tc>
          <w:tcPr>
            <w:tcW w:w="1559" w:type="dxa"/>
            <w:tcBorders>
              <w:top w:val="single" w:sz="4" w:space="0" w:color="auto"/>
              <w:left w:val="single" w:sz="4" w:space="0" w:color="auto"/>
              <w:bottom w:val="single" w:sz="4" w:space="0" w:color="auto"/>
              <w:right w:val="single" w:sz="4" w:space="0" w:color="auto"/>
            </w:tcBorders>
          </w:tcPr>
          <w:p w14:paraId="25CC9EA6" w14:textId="77777777" w:rsidR="00D259AA" w:rsidRPr="001B4A02" w:rsidRDefault="00000000" w:rsidP="00D45BC2">
            <w:pPr>
              <w:keepNext/>
              <w:ind w:left="0" w:firstLine="0"/>
              <w:jc w:val="center"/>
            </w:pPr>
            <w:r w:rsidRPr="001B4A02">
              <w:t>0,8 (0,4–1,2)</w:t>
            </w:r>
          </w:p>
        </w:tc>
        <w:tc>
          <w:tcPr>
            <w:tcW w:w="1276" w:type="dxa"/>
            <w:tcBorders>
              <w:top w:val="single" w:sz="4" w:space="0" w:color="auto"/>
              <w:left w:val="single" w:sz="4" w:space="0" w:color="auto"/>
              <w:bottom w:val="single" w:sz="4" w:space="0" w:color="auto"/>
              <w:right w:val="single" w:sz="4" w:space="0" w:color="auto"/>
            </w:tcBorders>
          </w:tcPr>
          <w:p w14:paraId="35EF1F78" w14:textId="77777777" w:rsidR="00D259AA" w:rsidRPr="001B4A02" w:rsidRDefault="00000000" w:rsidP="00D45BC2">
            <w:pPr>
              <w:keepNext/>
              <w:ind w:left="0" w:firstLine="0"/>
              <w:jc w:val="center"/>
            </w:pPr>
            <w:r w:rsidRPr="001B4A02">
              <w:t>&lt;0,001</w:t>
            </w:r>
          </w:p>
        </w:tc>
        <w:tc>
          <w:tcPr>
            <w:tcW w:w="1355" w:type="dxa"/>
            <w:tcBorders>
              <w:top w:val="single" w:sz="4" w:space="0" w:color="auto"/>
              <w:left w:val="single" w:sz="4" w:space="0" w:color="auto"/>
              <w:bottom w:val="single" w:sz="4" w:space="0" w:color="auto"/>
              <w:right w:val="single" w:sz="4" w:space="0" w:color="auto"/>
            </w:tcBorders>
          </w:tcPr>
          <w:p w14:paraId="31971E47" w14:textId="77777777" w:rsidR="00D259AA" w:rsidRPr="001B4A02" w:rsidRDefault="00000000" w:rsidP="00D45BC2">
            <w:pPr>
              <w:keepNext/>
              <w:ind w:left="0" w:firstLine="0"/>
              <w:jc w:val="center"/>
            </w:pPr>
            <w:r w:rsidRPr="001B4A02">
              <w:t>0,0082</w:t>
            </w:r>
          </w:p>
        </w:tc>
        <w:tc>
          <w:tcPr>
            <w:tcW w:w="1337" w:type="dxa"/>
            <w:tcBorders>
              <w:top w:val="single" w:sz="4" w:space="0" w:color="auto"/>
              <w:left w:val="single" w:sz="4" w:space="0" w:color="auto"/>
              <w:bottom w:val="single" w:sz="4" w:space="0" w:color="auto"/>
              <w:right w:val="single" w:sz="4" w:space="0" w:color="auto"/>
            </w:tcBorders>
          </w:tcPr>
          <w:p w14:paraId="0D7161E9" w14:textId="77777777" w:rsidR="00D259AA" w:rsidRPr="001B4A02" w:rsidRDefault="00000000" w:rsidP="00D45BC2">
            <w:pPr>
              <w:keepNext/>
              <w:ind w:left="0" w:firstLine="0"/>
              <w:jc w:val="center"/>
            </w:pPr>
            <w:r w:rsidRPr="001B4A02">
              <w:t>&lt;0,001</w:t>
            </w:r>
          </w:p>
        </w:tc>
      </w:tr>
      <w:tr w:rsidR="00534A2D" w14:paraId="48E79FC6" w14:textId="77777777" w:rsidTr="00D45BC2">
        <w:tc>
          <w:tcPr>
            <w:tcW w:w="1100" w:type="dxa"/>
            <w:tcBorders>
              <w:top w:val="single" w:sz="4" w:space="0" w:color="auto"/>
              <w:left w:val="single" w:sz="4" w:space="0" w:color="auto"/>
              <w:bottom w:val="single" w:sz="4" w:space="0" w:color="auto"/>
              <w:right w:val="single" w:sz="4" w:space="0" w:color="auto"/>
            </w:tcBorders>
          </w:tcPr>
          <w:p w14:paraId="31F4DD96" w14:textId="77777777" w:rsidR="00D259AA" w:rsidRPr="001B4A02" w:rsidRDefault="00000000" w:rsidP="00D45BC2">
            <w:pPr>
              <w:keepNext/>
              <w:ind w:left="0" w:firstLine="0"/>
            </w:pPr>
            <w:r w:rsidRPr="001B4A02">
              <w:t>JSN skóre</w:t>
            </w:r>
          </w:p>
        </w:tc>
        <w:tc>
          <w:tcPr>
            <w:tcW w:w="1417" w:type="dxa"/>
            <w:tcBorders>
              <w:top w:val="single" w:sz="4" w:space="0" w:color="auto"/>
              <w:left w:val="single" w:sz="4" w:space="0" w:color="auto"/>
              <w:bottom w:val="single" w:sz="4" w:space="0" w:color="auto"/>
              <w:right w:val="single" w:sz="4" w:space="0" w:color="auto"/>
            </w:tcBorders>
          </w:tcPr>
          <w:p w14:paraId="19E5891A" w14:textId="77777777" w:rsidR="00D259AA" w:rsidRPr="001B4A02" w:rsidRDefault="00000000" w:rsidP="00D45BC2">
            <w:pPr>
              <w:keepNext/>
              <w:ind w:left="0" w:firstLine="0"/>
              <w:jc w:val="center"/>
            </w:pPr>
            <w:r w:rsidRPr="001B4A02">
              <w:t>2,0 (1,2–2,8)</w:t>
            </w:r>
          </w:p>
        </w:tc>
        <w:tc>
          <w:tcPr>
            <w:tcW w:w="1419" w:type="dxa"/>
            <w:tcBorders>
              <w:top w:val="single" w:sz="4" w:space="0" w:color="auto"/>
              <w:left w:val="single" w:sz="4" w:space="0" w:color="auto"/>
              <w:bottom w:val="single" w:sz="4" w:space="0" w:color="auto"/>
              <w:right w:val="single" w:sz="4" w:space="0" w:color="auto"/>
            </w:tcBorders>
          </w:tcPr>
          <w:p w14:paraId="15C97A79" w14:textId="77777777" w:rsidR="00D259AA" w:rsidRPr="001B4A02" w:rsidRDefault="00000000" w:rsidP="00D45BC2">
            <w:pPr>
              <w:keepNext/>
              <w:ind w:left="0" w:firstLine="0"/>
              <w:jc w:val="center"/>
            </w:pPr>
            <w:r w:rsidRPr="001B4A02">
              <w:t>1,3 (0,5–2,1)</w:t>
            </w:r>
          </w:p>
        </w:tc>
        <w:tc>
          <w:tcPr>
            <w:tcW w:w="1559" w:type="dxa"/>
            <w:tcBorders>
              <w:top w:val="single" w:sz="4" w:space="0" w:color="auto"/>
              <w:left w:val="single" w:sz="4" w:space="0" w:color="auto"/>
              <w:bottom w:val="single" w:sz="4" w:space="0" w:color="auto"/>
              <w:right w:val="single" w:sz="4" w:space="0" w:color="auto"/>
            </w:tcBorders>
          </w:tcPr>
          <w:p w14:paraId="6D6C2721" w14:textId="77777777" w:rsidR="00D259AA" w:rsidRPr="001B4A02" w:rsidRDefault="00000000" w:rsidP="00D45BC2">
            <w:pPr>
              <w:keepNext/>
              <w:ind w:left="0" w:firstLine="0"/>
              <w:jc w:val="center"/>
            </w:pPr>
            <w:r w:rsidRPr="001B4A02">
              <w:t>0,5 (0–1,0)</w:t>
            </w:r>
          </w:p>
        </w:tc>
        <w:tc>
          <w:tcPr>
            <w:tcW w:w="1276" w:type="dxa"/>
            <w:tcBorders>
              <w:top w:val="single" w:sz="4" w:space="0" w:color="auto"/>
              <w:left w:val="single" w:sz="4" w:space="0" w:color="auto"/>
              <w:bottom w:val="single" w:sz="4" w:space="0" w:color="auto"/>
              <w:right w:val="single" w:sz="4" w:space="0" w:color="auto"/>
            </w:tcBorders>
          </w:tcPr>
          <w:p w14:paraId="69261F83" w14:textId="77777777" w:rsidR="00D259AA" w:rsidRPr="001B4A02" w:rsidRDefault="00000000" w:rsidP="00D45BC2">
            <w:pPr>
              <w:keepNext/>
              <w:ind w:left="0" w:firstLine="0"/>
              <w:jc w:val="center"/>
            </w:pPr>
            <w:r w:rsidRPr="001B4A02">
              <w:t>&lt;0,001</w:t>
            </w:r>
          </w:p>
        </w:tc>
        <w:tc>
          <w:tcPr>
            <w:tcW w:w="1355" w:type="dxa"/>
            <w:tcBorders>
              <w:top w:val="single" w:sz="4" w:space="0" w:color="auto"/>
              <w:left w:val="single" w:sz="4" w:space="0" w:color="auto"/>
              <w:bottom w:val="single" w:sz="4" w:space="0" w:color="auto"/>
              <w:right w:val="single" w:sz="4" w:space="0" w:color="auto"/>
            </w:tcBorders>
          </w:tcPr>
          <w:p w14:paraId="7693CE9C" w14:textId="77777777" w:rsidR="00D259AA" w:rsidRPr="001B4A02" w:rsidRDefault="00000000" w:rsidP="00D45BC2">
            <w:pPr>
              <w:keepNext/>
              <w:ind w:left="0" w:firstLine="0"/>
              <w:jc w:val="center"/>
            </w:pPr>
            <w:r w:rsidRPr="001B4A02">
              <w:t>0,0037</w:t>
            </w:r>
          </w:p>
        </w:tc>
        <w:tc>
          <w:tcPr>
            <w:tcW w:w="1337" w:type="dxa"/>
            <w:tcBorders>
              <w:top w:val="single" w:sz="4" w:space="0" w:color="auto"/>
              <w:left w:val="single" w:sz="4" w:space="0" w:color="auto"/>
              <w:bottom w:val="single" w:sz="4" w:space="0" w:color="auto"/>
              <w:right w:val="single" w:sz="4" w:space="0" w:color="auto"/>
            </w:tcBorders>
          </w:tcPr>
          <w:p w14:paraId="1F6A37B3" w14:textId="77777777" w:rsidR="00D259AA" w:rsidRPr="001B4A02" w:rsidRDefault="00000000" w:rsidP="00D45BC2">
            <w:pPr>
              <w:keepNext/>
              <w:ind w:left="0" w:firstLine="0"/>
              <w:jc w:val="center"/>
            </w:pPr>
            <w:r w:rsidRPr="001B4A02">
              <w:t>0,151</w:t>
            </w:r>
          </w:p>
        </w:tc>
      </w:tr>
      <w:tr w:rsidR="00534A2D" w14:paraId="48E6B0F5" w14:textId="77777777" w:rsidTr="00D45BC2">
        <w:tc>
          <w:tcPr>
            <w:tcW w:w="9463" w:type="dxa"/>
            <w:gridSpan w:val="7"/>
            <w:tcBorders>
              <w:top w:val="single" w:sz="4" w:space="0" w:color="auto"/>
              <w:left w:val="single" w:sz="4" w:space="0" w:color="auto"/>
              <w:bottom w:val="single" w:sz="4" w:space="0" w:color="auto"/>
              <w:right w:val="single" w:sz="4" w:space="0" w:color="auto"/>
            </w:tcBorders>
          </w:tcPr>
          <w:p w14:paraId="78E94F49" w14:textId="77777777" w:rsidR="00D259AA" w:rsidRPr="00D0259F" w:rsidRDefault="00000000" w:rsidP="00D45BC2">
            <w:pPr>
              <w:keepNext/>
              <w:tabs>
                <w:tab w:val="left" w:pos="330"/>
                <w:tab w:val="left" w:pos="10728"/>
              </w:tabs>
              <w:ind w:left="360" w:hanging="360"/>
              <w:rPr>
                <w:sz w:val="20"/>
              </w:rPr>
            </w:pPr>
            <w:r w:rsidRPr="001B4A02">
              <w:rPr>
                <w:sz w:val="20"/>
                <w:vertAlign w:val="superscript"/>
              </w:rPr>
              <w:t>a</w:t>
            </w:r>
            <w:r w:rsidRPr="001B4A02">
              <w:rPr>
                <w:sz w:val="20"/>
              </w:rPr>
              <w:t xml:space="preserve"> Hodnota p pochází z párového srovnání monoterapie methotrexátem</w:t>
            </w:r>
            <w:r w:rsidR="002378E0">
              <w:rPr>
                <w:sz w:val="20"/>
              </w:rPr>
              <w:t xml:space="preserve"> a </w:t>
            </w:r>
            <w:r w:rsidRPr="00D0259F">
              <w:rPr>
                <w:sz w:val="20"/>
              </w:rPr>
              <w:t>kombin</w:t>
            </w:r>
            <w:r w:rsidR="00D0259F" w:rsidRPr="00D0259F">
              <w:rPr>
                <w:sz w:val="20"/>
              </w:rPr>
              <w:t>ované</w:t>
            </w:r>
            <w:r w:rsidRPr="00D0259F">
              <w:rPr>
                <w:sz w:val="20"/>
              </w:rPr>
              <w:t xml:space="preserve"> terapie přípravkem Humira/methotrexát pomocí Mann</w:t>
            </w:r>
            <w:r w:rsidRPr="00D0259F">
              <w:rPr>
                <w:sz w:val="20"/>
              </w:rPr>
              <w:noBreakHyphen/>
              <w:t>Whitneova U testu.</w:t>
            </w:r>
          </w:p>
          <w:p w14:paraId="299393FD" w14:textId="77777777" w:rsidR="00D259AA" w:rsidRPr="001B4A02" w:rsidRDefault="00000000" w:rsidP="00D45BC2">
            <w:pPr>
              <w:keepNext/>
              <w:tabs>
                <w:tab w:val="left" w:pos="330"/>
              </w:tabs>
              <w:ind w:left="360" w:hanging="360"/>
              <w:rPr>
                <w:sz w:val="20"/>
              </w:rPr>
            </w:pPr>
            <w:r w:rsidRPr="00D0259F">
              <w:rPr>
                <w:sz w:val="20"/>
                <w:vertAlign w:val="superscript"/>
              </w:rPr>
              <w:t>b</w:t>
            </w:r>
            <w:r w:rsidRPr="00D0259F">
              <w:rPr>
                <w:sz w:val="20"/>
              </w:rPr>
              <w:t xml:space="preserve"> Hodnota p pochází z párového srovnán</w:t>
            </w:r>
            <w:r w:rsidRPr="007E3412">
              <w:rPr>
                <w:sz w:val="20"/>
              </w:rPr>
              <w:t>í monoterapie přípravkem Humira</w:t>
            </w:r>
            <w:r w:rsidR="002378E0">
              <w:rPr>
                <w:sz w:val="20"/>
              </w:rPr>
              <w:t xml:space="preserve"> a </w:t>
            </w:r>
            <w:r w:rsidRPr="007E3412">
              <w:rPr>
                <w:sz w:val="20"/>
              </w:rPr>
              <w:t>kombin</w:t>
            </w:r>
            <w:r w:rsidR="00D0259F" w:rsidRPr="00D0259F">
              <w:rPr>
                <w:sz w:val="20"/>
              </w:rPr>
              <w:t>ované</w:t>
            </w:r>
            <w:r w:rsidRPr="00D0259F">
              <w:rPr>
                <w:sz w:val="20"/>
              </w:rPr>
              <w:t xml:space="preserve"> terapie</w:t>
            </w:r>
            <w:r w:rsidRPr="001B4A02">
              <w:rPr>
                <w:sz w:val="20"/>
              </w:rPr>
              <w:t xml:space="preserve"> přípravkem Humira/methotrexát pomocí Mann</w:t>
            </w:r>
            <w:r w:rsidRPr="001B4A02">
              <w:rPr>
                <w:sz w:val="20"/>
              </w:rPr>
              <w:noBreakHyphen/>
              <w:t>Whitneova U testu.</w:t>
            </w:r>
          </w:p>
          <w:p w14:paraId="1DA11D1D" w14:textId="77777777" w:rsidR="00D259AA" w:rsidRPr="001B4A02" w:rsidRDefault="00000000" w:rsidP="00D45BC2">
            <w:pPr>
              <w:keepNext/>
              <w:tabs>
                <w:tab w:val="left" w:pos="330"/>
              </w:tabs>
              <w:ind w:left="360" w:hanging="360"/>
              <w:rPr>
                <w:bCs/>
              </w:rPr>
            </w:pPr>
            <w:r w:rsidRPr="001B4A02">
              <w:rPr>
                <w:bCs/>
                <w:sz w:val="20"/>
                <w:vertAlign w:val="superscript"/>
              </w:rPr>
              <w:t>c</w:t>
            </w:r>
            <w:r w:rsidRPr="001B4A02">
              <w:rPr>
                <w:bCs/>
                <w:sz w:val="20"/>
              </w:rPr>
              <w:t xml:space="preserve"> </w:t>
            </w:r>
            <w:r w:rsidRPr="001B4A02">
              <w:rPr>
                <w:sz w:val="20"/>
              </w:rPr>
              <w:t>Hodnota p pochází z párového srovnání monoterapie přípravkem Humira</w:t>
            </w:r>
            <w:r w:rsidR="002378E0">
              <w:rPr>
                <w:sz w:val="20"/>
              </w:rPr>
              <w:t xml:space="preserve"> a </w:t>
            </w:r>
            <w:r w:rsidRPr="001B4A02">
              <w:rPr>
                <w:sz w:val="20"/>
              </w:rPr>
              <w:t>monoterapie methotrexátem pomocí Mann</w:t>
            </w:r>
            <w:r w:rsidRPr="001B4A02">
              <w:rPr>
                <w:sz w:val="20"/>
              </w:rPr>
              <w:noBreakHyphen/>
              <w:t>Whitneova U testu.</w:t>
            </w:r>
          </w:p>
        </w:tc>
      </w:tr>
    </w:tbl>
    <w:p w14:paraId="551F9586" w14:textId="77777777" w:rsidR="00D259AA" w:rsidRPr="001B4A02" w:rsidRDefault="00D259AA" w:rsidP="00D259AA">
      <w:pPr>
        <w:pStyle w:val="EMEAHeadingUnderline"/>
        <w:tabs>
          <w:tab w:val="clear" w:pos="562"/>
        </w:tabs>
        <w:suppressAutoHyphens w:val="0"/>
        <w:spacing w:beforeLines="0" w:before="0" w:afterLines="0" w:after="0"/>
        <w:rPr>
          <w:lang w:val="cs-CZ"/>
        </w:rPr>
      </w:pPr>
    </w:p>
    <w:p w14:paraId="37B80C73" w14:textId="77777777" w:rsidR="00D259AA" w:rsidRPr="001B4A02" w:rsidRDefault="00000000" w:rsidP="00D259AA">
      <w:pPr>
        <w:pStyle w:val="EMEANormal"/>
        <w:rPr>
          <w:lang w:val="cs-CZ"/>
        </w:rPr>
      </w:pPr>
      <w:r w:rsidRPr="001B4A02">
        <w:rPr>
          <w:lang w:val="cs-CZ"/>
        </w:rPr>
        <w:t>Po 52</w:t>
      </w:r>
      <w:r w:rsidR="002378E0">
        <w:rPr>
          <w:lang w:val="cs-CZ"/>
        </w:rPr>
        <w:t xml:space="preserve"> a </w:t>
      </w:r>
      <w:r w:rsidRPr="001B4A02">
        <w:rPr>
          <w:lang w:val="cs-CZ"/>
        </w:rPr>
        <w:t>104 týdnech terapie bylo procento pacientů bez progrese (změna modifikovaného Sharpova skóre oproti výchozímu stavu ≤ 0,5) významně vyšší při kombin</w:t>
      </w:r>
      <w:r w:rsidR="00D0259F" w:rsidRPr="00F261A6">
        <w:rPr>
          <w:lang w:val="cs-CZ"/>
        </w:rPr>
        <w:t>ovan</w:t>
      </w:r>
      <w:r w:rsidR="00D0259F">
        <w:rPr>
          <w:lang w:val="cs-CZ"/>
        </w:rPr>
        <w:t>é</w:t>
      </w:r>
      <w:r w:rsidRPr="001B4A02">
        <w:rPr>
          <w:lang w:val="cs-CZ"/>
        </w:rPr>
        <w:t xml:space="preserve"> terapii přípravkem Humira/methotrexát (63,8 %, resp. 61,2 %) v porovnání s monoterapií methotrexátem (37,4 %, resp. 33,5 %, p&lt;0,001)</w:t>
      </w:r>
      <w:r w:rsidR="002378E0">
        <w:rPr>
          <w:lang w:val="cs-CZ"/>
        </w:rPr>
        <w:t xml:space="preserve"> a </w:t>
      </w:r>
      <w:r w:rsidRPr="001B4A02">
        <w:rPr>
          <w:lang w:val="cs-CZ"/>
        </w:rPr>
        <w:t>monoterapií přípravkem Humira (50,7 %, p&lt;0,002, resp. 44,5 %, p&lt;0,001).</w:t>
      </w:r>
    </w:p>
    <w:p w14:paraId="2AC2584B" w14:textId="77777777" w:rsidR="00D259AA" w:rsidRPr="001B4A02" w:rsidRDefault="00D259AA" w:rsidP="00D259AA">
      <w:pPr>
        <w:pStyle w:val="EMEANormal"/>
        <w:rPr>
          <w:lang w:val="cs-CZ"/>
        </w:rPr>
      </w:pPr>
    </w:p>
    <w:p w14:paraId="7CC1F7C7" w14:textId="77777777" w:rsidR="00D259AA" w:rsidRPr="001B4A02" w:rsidRDefault="00000000" w:rsidP="00D259AA">
      <w:pPr>
        <w:pStyle w:val="EMEANormal"/>
        <w:rPr>
          <w:lang w:val="cs-CZ"/>
        </w:rPr>
      </w:pPr>
      <w:r w:rsidRPr="001B4A02">
        <w:rPr>
          <w:lang w:val="cs-CZ"/>
        </w:rPr>
        <w:t>V otevřené prodloužené fázi studie RA V byla v desátém roce průměrná změna modifikovaného Sharpova skóre oproti výchozímu stavu 10,8, 9,2</w:t>
      </w:r>
      <w:r w:rsidR="002378E0">
        <w:rPr>
          <w:lang w:val="cs-CZ"/>
        </w:rPr>
        <w:t xml:space="preserve"> a </w:t>
      </w:r>
      <w:r w:rsidRPr="001B4A02">
        <w:rPr>
          <w:lang w:val="cs-CZ"/>
        </w:rPr>
        <w:t>3,9 u pacientů původně randomizovaných na léčbu methotrexátem v monot</w:t>
      </w:r>
      <w:r w:rsidR="00701BE3">
        <w:rPr>
          <w:lang w:val="cs-CZ"/>
        </w:rPr>
        <w:t>e</w:t>
      </w:r>
      <w:r w:rsidRPr="001B4A02">
        <w:rPr>
          <w:lang w:val="cs-CZ"/>
        </w:rPr>
        <w:t>rapii, přípravkem Humira v monoterapii</w:t>
      </w:r>
      <w:r w:rsidR="002378E0">
        <w:rPr>
          <w:lang w:val="cs-CZ"/>
        </w:rPr>
        <w:t xml:space="preserve"> a </w:t>
      </w:r>
      <w:r w:rsidRPr="001B4A02">
        <w:rPr>
          <w:lang w:val="cs-CZ"/>
        </w:rPr>
        <w:t>přípravkem Humira v kombinaci s methotrexátem. Odpovídající poměry pacientů bez radiografické progrese byly 31,3 %, 23,7 %</w:t>
      </w:r>
      <w:r w:rsidR="002378E0">
        <w:rPr>
          <w:lang w:val="cs-CZ"/>
        </w:rPr>
        <w:t xml:space="preserve"> a </w:t>
      </w:r>
      <w:r w:rsidRPr="001B4A02">
        <w:rPr>
          <w:lang w:val="cs-CZ"/>
        </w:rPr>
        <w:t>36,7 %.</w:t>
      </w:r>
    </w:p>
    <w:p w14:paraId="384B98E3" w14:textId="77777777" w:rsidR="00D259AA" w:rsidRPr="001B4A02" w:rsidRDefault="00D259AA" w:rsidP="00D259AA">
      <w:pPr>
        <w:ind w:left="0" w:firstLine="0"/>
        <w:rPr>
          <w:u w:val="single"/>
        </w:rPr>
      </w:pPr>
    </w:p>
    <w:p w14:paraId="4734FF3A" w14:textId="77777777" w:rsidR="00D259AA" w:rsidRPr="001B4A02" w:rsidRDefault="00000000" w:rsidP="003B610F">
      <w:pPr>
        <w:keepNext/>
        <w:ind w:left="0" w:firstLine="0"/>
        <w:rPr>
          <w:i/>
        </w:rPr>
      </w:pPr>
      <w:r w:rsidRPr="001B4A02">
        <w:rPr>
          <w:i/>
          <w:u w:val="single"/>
        </w:rPr>
        <w:t>Kvalita života</w:t>
      </w:r>
      <w:r w:rsidR="002378E0">
        <w:rPr>
          <w:i/>
          <w:u w:val="single"/>
        </w:rPr>
        <w:t xml:space="preserve"> a </w:t>
      </w:r>
      <w:r w:rsidRPr="001B4A02">
        <w:rPr>
          <w:i/>
          <w:u w:val="single"/>
        </w:rPr>
        <w:t>tělesné funkce</w:t>
      </w:r>
    </w:p>
    <w:p w14:paraId="573027D7" w14:textId="77777777" w:rsidR="00D259AA" w:rsidRPr="001B4A02" w:rsidRDefault="00D259AA" w:rsidP="003B610F">
      <w:pPr>
        <w:keepNext/>
        <w:ind w:left="0" w:firstLine="0"/>
      </w:pPr>
    </w:p>
    <w:p w14:paraId="6D753FCA" w14:textId="77777777" w:rsidR="00D259AA" w:rsidRPr="001B4A02" w:rsidRDefault="00000000" w:rsidP="00D259AA">
      <w:pPr>
        <w:ind w:left="0" w:firstLine="0"/>
      </w:pPr>
      <w:r w:rsidRPr="001B4A02">
        <w:t>Kvalita života odvozená od zdravotního stavu</w:t>
      </w:r>
      <w:r w:rsidR="002378E0">
        <w:t xml:space="preserve"> a </w:t>
      </w:r>
      <w:r w:rsidRPr="001B4A02">
        <w:t>tělesné funkce byly ve čtyřech původních kontrolovaných studiích hodnoceny indexem disability pomocí Dotazníku hodnocení zdraví (Health Assessment Ques</w:t>
      </w:r>
      <w:r w:rsidR="005079AD">
        <w:t>t</w:t>
      </w:r>
      <w:r w:rsidRPr="001B4A02">
        <w:t xml:space="preserve">ionnaire – HAQ). Tento parametr byl předem stanoveným primárním výsledným ukazatelem </w:t>
      </w:r>
      <w:r w:rsidR="00D00F8F">
        <w:t>v týdnu 52</w:t>
      </w:r>
      <w:r w:rsidRPr="001B4A02">
        <w:t xml:space="preserve"> ve studii RA III. U všech dávek/režimů podávání přípravku Humira ve všech čtyřech studiích bylo prokázáno statisticky významně větší zlepšení indexu disability HAQ mezi výchozí hodnotou</w:t>
      </w:r>
      <w:r w:rsidR="002378E0">
        <w:t xml:space="preserve"> a </w:t>
      </w:r>
      <w:r w:rsidRPr="001B4A02">
        <w:t>hodnotou v 6. měsíci v porovnání s placebem</w:t>
      </w:r>
      <w:r w:rsidR="002378E0">
        <w:t xml:space="preserve"> a </w:t>
      </w:r>
      <w:r w:rsidRPr="001B4A02">
        <w:t xml:space="preserve">ve studii RA III byly pozorovány stejné výsledky </w:t>
      </w:r>
      <w:r w:rsidR="00D00F8F">
        <w:t>v týdnu 52</w:t>
      </w:r>
      <w:r w:rsidRPr="001B4A02">
        <w:t>. Tyto nálezy podporují i výsledky Stručného formuláře průzkumu zdraví (SF 36) u všech dávek/režimů podávání přípravku Humira ve všech čtyřech studiích se statisticky významným zlepšením skóre souhrnu tělesných komponent (physical component summary – PCS)</w:t>
      </w:r>
      <w:r w:rsidR="002378E0">
        <w:t xml:space="preserve"> a </w:t>
      </w:r>
      <w:r w:rsidRPr="001B4A02">
        <w:t>statisticky významným zlepšením skóre příznaků bolesti</w:t>
      </w:r>
      <w:r w:rsidR="002378E0">
        <w:t xml:space="preserve"> a </w:t>
      </w:r>
      <w:r w:rsidRPr="001B4A02">
        <w:t xml:space="preserve">vitality při dávkování přípravku 40 mg každý druhý týden. Ve všech třech studiích, ve kterých byla </w:t>
      </w:r>
      <w:r w:rsidRPr="009D2DE7">
        <w:t>hodnocena únav</w:t>
      </w:r>
      <w:r w:rsidR="00701BE3" w:rsidRPr="009D2DE7">
        <w:t>a</w:t>
      </w:r>
      <w:r w:rsidRPr="001B4A02">
        <w:t xml:space="preserve"> (studie RA I, III, IV)</w:t>
      </w:r>
      <w:r w:rsidR="00596B06">
        <w:t>,</w:t>
      </w:r>
      <w:r w:rsidRPr="001B4A02">
        <w:t xml:space="preserve"> byl pozorován její statisticky významný pokles stanovením funkčního hodnocení léčby chronického onemocnění (FACIT).</w:t>
      </w:r>
    </w:p>
    <w:p w14:paraId="461D1CAC" w14:textId="77777777" w:rsidR="00D259AA" w:rsidRPr="001B4A02" w:rsidRDefault="00D259AA" w:rsidP="00D259AA">
      <w:pPr>
        <w:ind w:left="0" w:firstLine="0"/>
      </w:pPr>
    </w:p>
    <w:p w14:paraId="65E1C8BA" w14:textId="77777777" w:rsidR="00D259AA" w:rsidRPr="001B4A02" w:rsidRDefault="00000000" w:rsidP="00D259AA">
      <w:pPr>
        <w:ind w:left="0" w:firstLine="0"/>
      </w:pPr>
      <w:r w:rsidRPr="001B4A02">
        <w:t xml:space="preserve">Ve studii RA III se u většiny subjektů, </w:t>
      </w:r>
      <w:r w:rsidR="003075B3">
        <w:t>které</w:t>
      </w:r>
      <w:r w:rsidRPr="001B4A02">
        <w:t xml:space="preserve"> dosáhl</w:t>
      </w:r>
      <w:r w:rsidR="00701BE3">
        <w:t>y</w:t>
      </w:r>
      <w:r w:rsidRPr="001B4A02">
        <w:t xml:space="preserve"> zlepšení tělesných funkcí</w:t>
      </w:r>
      <w:r w:rsidR="002378E0">
        <w:t xml:space="preserve"> a </w:t>
      </w:r>
      <w:r w:rsidRPr="001B4A02">
        <w:t>pokračoval</w:t>
      </w:r>
      <w:r w:rsidR="00701BE3">
        <w:t>y</w:t>
      </w:r>
      <w:r w:rsidRPr="001B4A02">
        <w:t xml:space="preserve"> v léčbě, udrželo zlepšení až do týdne 520 (120 měsíců) nezaslepené fáze studie. Zlepšení kvality života bylo hodnoceno po dobu 156 týdnů (36 měsíců), toto zlepšení přetrvávalo v průběhu celého tohoto období.</w:t>
      </w:r>
    </w:p>
    <w:p w14:paraId="21DE6409" w14:textId="77777777" w:rsidR="00D259AA" w:rsidRPr="001B4A02" w:rsidRDefault="00D259AA" w:rsidP="00D259AA">
      <w:pPr>
        <w:ind w:left="0" w:firstLine="0"/>
      </w:pPr>
    </w:p>
    <w:p w14:paraId="6BB0664A" w14:textId="77777777" w:rsidR="00D259AA" w:rsidRPr="001B4A02" w:rsidRDefault="00000000" w:rsidP="00D259AA">
      <w:pPr>
        <w:ind w:left="0" w:firstLine="0"/>
      </w:pPr>
      <w:r w:rsidRPr="001B4A02">
        <w:t>Ve studii RA V se zlepšení indexu disability HAQ</w:t>
      </w:r>
      <w:r w:rsidR="002378E0">
        <w:t xml:space="preserve"> a </w:t>
      </w:r>
      <w:r w:rsidRPr="001B4A02">
        <w:t>tělesné komponenty v průzkumu SF 36 prokázalo jako větší (p&lt;0,001) při kombin</w:t>
      </w:r>
      <w:r w:rsidR="00D0259F">
        <w:t>ované</w:t>
      </w:r>
      <w:r w:rsidRPr="001B4A02">
        <w:t xml:space="preserve"> léčbě přípravkem Humira/methotrexátem </w:t>
      </w:r>
      <w:r w:rsidRPr="001B4A02">
        <w:rPr>
          <w:iCs/>
        </w:rPr>
        <w:t>v porovnání s</w:t>
      </w:r>
      <w:r w:rsidRPr="001B4A02">
        <w:t xml:space="preserve"> monoterapií methotrexátem </w:t>
      </w:r>
      <w:r w:rsidR="00D00F8F">
        <w:t>v</w:t>
      </w:r>
      <w:r w:rsidR="000F04DB">
        <w:t> </w:t>
      </w:r>
      <w:r w:rsidR="00D00F8F">
        <w:t>týdnu 52</w:t>
      </w:r>
      <w:r w:rsidR="002378E0">
        <w:t xml:space="preserve"> a </w:t>
      </w:r>
      <w:r w:rsidRPr="001B4A02">
        <w:t>zůstávalo větší až do týdne</w:t>
      </w:r>
      <w:r w:rsidR="000F04DB" w:rsidRPr="001B4A02">
        <w:t xml:space="preserve"> 104</w:t>
      </w:r>
      <w:r w:rsidRPr="001B4A02">
        <w:t>. Mezi 250 subjekty, které dokončily otevřenou prodlouženou fázi studie RA V, bylo po dobu 10 let léčby zachováno zlepšení fyzických funkcí.</w:t>
      </w:r>
    </w:p>
    <w:p w14:paraId="6951077C" w14:textId="77777777" w:rsidR="00D259AA" w:rsidRPr="001B4A02" w:rsidRDefault="00D259AA" w:rsidP="00D259AA">
      <w:pPr>
        <w:ind w:left="0" w:firstLine="0"/>
      </w:pPr>
    </w:p>
    <w:p w14:paraId="649921BF" w14:textId="77777777" w:rsidR="00D259AA" w:rsidRPr="001B4A02" w:rsidRDefault="00000000" w:rsidP="003B610F">
      <w:pPr>
        <w:keepNext/>
        <w:ind w:left="0" w:firstLine="0"/>
        <w:rPr>
          <w:i/>
          <w:u w:val="single"/>
        </w:rPr>
      </w:pPr>
      <w:r w:rsidRPr="001B4A02">
        <w:rPr>
          <w:i/>
          <w:u w:val="single"/>
        </w:rPr>
        <w:t>Bolest v místě injekčního vpichu</w:t>
      </w:r>
    </w:p>
    <w:p w14:paraId="61B08655" w14:textId="77777777" w:rsidR="00D259AA" w:rsidRPr="001B4A02" w:rsidRDefault="00D259AA" w:rsidP="003B610F">
      <w:pPr>
        <w:keepNext/>
        <w:ind w:left="0" w:firstLine="0"/>
      </w:pPr>
    </w:p>
    <w:p w14:paraId="4C1E64F0" w14:textId="77777777" w:rsidR="00D259AA" w:rsidRPr="001B4A02" w:rsidRDefault="00000000" w:rsidP="00D259AA">
      <w:pPr>
        <w:ind w:left="0" w:firstLine="0"/>
      </w:pPr>
      <w:r w:rsidRPr="001B4A02">
        <w:t xml:space="preserve">U sdružených </w:t>
      </w:r>
      <w:r w:rsidR="00701BE3">
        <w:t>z</w:t>
      </w:r>
      <w:r w:rsidRPr="001B4A02">
        <w:t>křížených RA studií VI</w:t>
      </w:r>
      <w:r w:rsidR="002378E0">
        <w:t xml:space="preserve"> a </w:t>
      </w:r>
      <w:r w:rsidRPr="001B4A02">
        <w:t>VII byl pozorován statisticky významný rozdíl bolesti v místě injekčního vpichu ihned po podání mezi přípravkem Humira 40</w:t>
      </w:r>
      <w:r w:rsidR="00874DE1">
        <w:t> mg</w:t>
      </w:r>
      <w:r w:rsidRPr="001B4A02">
        <w:t>/0,8</w:t>
      </w:r>
      <w:r w:rsidR="00874DE1" w:rsidRPr="00005EC2">
        <w:rPr>
          <w:szCs w:val="22"/>
        </w:rPr>
        <w:t> </w:t>
      </w:r>
      <w:r w:rsidRPr="001B4A02">
        <w:t>ml</w:t>
      </w:r>
      <w:r w:rsidR="002378E0">
        <w:t xml:space="preserve"> a </w:t>
      </w:r>
      <w:r w:rsidRPr="001B4A02">
        <w:t>Humira 40 mg/0,4</w:t>
      </w:r>
      <w:r w:rsidR="00874DE1" w:rsidRPr="00005EC2">
        <w:rPr>
          <w:szCs w:val="22"/>
        </w:rPr>
        <w:t> </w:t>
      </w:r>
      <w:r w:rsidRPr="001B4A02">
        <w:t>ml (střední VAS 3,7</w:t>
      </w:r>
      <w:r w:rsidR="00B76F26" w:rsidRPr="00005EC2">
        <w:rPr>
          <w:szCs w:val="22"/>
        </w:rPr>
        <w:t> </w:t>
      </w:r>
      <w:r w:rsidRPr="001B4A02">
        <w:t>cm vs. 1,2</w:t>
      </w:r>
      <w:r w:rsidR="00874DE1" w:rsidRPr="00005EC2">
        <w:rPr>
          <w:szCs w:val="22"/>
        </w:rPr>
        <w:t> </w:t>
      </w:r>
      <w:r w:rsidRPr="001B4A02">
        <w:t>cm, na stupnici 0–10</w:t>
      </w:r>
      <w:r w:rsidR="00874DE1" w:rsidRPr="00005EC2">
        <w:rPr>
          <w:szCs w:val="22"/>
        </w:rPr>
        <w:t> </w:t>
      </w:r>
      <w:r w:rsidRPr="001B4A02">
        <w:t>cm, P&lt;0,001). Toto představovalo 84% medián snížení bolesti v místě injekčního vpichu.</w:t>
      </w:r>
    </w:p>
    <w:p w14:paraId="451320E8" w14:textId="77777777" w:rsidR="00D259AA" w:rsidRPr="001B4A02" w:rsidRDefault="00D259AA" w:rsidP="003B610F">
      <w:pPr>
        <w:pStyle w:val="EMEANormal"/>
        <w:rPr>
          <w:lang w:val="cs-CZ"/>
        </w:rPr>
      </w:pPr>
    </w:p>
    <w:p w14:paraId="09E23655" w14:textId="77777777" w:rsidR="00DB5C44" w:rsidRPr="001B4A02" w:rsidRDefault="00000000" w:rsidP="00ED48A3">
      <w:pPr>
        <w:pStyle w:val="EMEANormal"/>
        <w:keepNext/>
        <w:tabs>
          <w:tab w:val="clear" w:pos="562"/>
          <w:tab w:val="left" w:pos="708"/>
        </w:tabs>
        <w:suppressAutoHyphens w:val="0"/>
        <w:rPr>
          <w:i/>
          <w:lang w:val="cs-CZ"/>
        </w:rPr>
      </w:pPr>
      <w:r w:rsidRPr="001B4A02">
        <w:rPr>
          <w:i/>
          <w:lang w:val="cs-CZ"/>
        </w:rPr>
        <w:t>Psoriáza</w:t>
      </w:r>
    </w:p>
    <w:p w14:paraId="464B0A62" w14:textId="77777777" w:rsidR="00DB5C44" w:rsidRPr="001B4A02" w:rsidRDefault="00DB5C44" w:rsidP="00ED48A3">
      <w:pPr>
        <w:keepNext/>
      </w:pPr>
    </w:p>
    <w:p w14:paraId="47DA3196" w14:textId="77777777" w:rsidR="00DB5C44" w:rsidRPr="001B4A02" w:rsidRDefault="00000000" w:rsidP="00ED48A3">
      <w:pPr>
        <w:ind w:left="0" w:firstLine="0"/>
      </w:pPr>
      <w:r w:rsidRPr="001B4A02">
        <w:t>Bezpečnost</w:t>
      </w:r>
      <w:r w:rsidR="002378E0">
        <w:t xml:space="preserve"> a </w:t>
      </w:r>
      <w:r w:rsidRPr="001B4A02">
        <w:t>účinnost přípravku Humira byla studována u</w:t>
      </w:r>
      <w:r w:rsidR="001D6F43" w:rsidRPr="001B4A02">
        <w:t> </w:t>
      </w:r>
      <w:r w:rsidRPr="001B4A02">
        <w:t>dospělých pacientů s chronickou ložiskovou psoriázou (</w:t>
      </w:r>
      <w:r w:rsidR="009D2A3C" w:rsidRPr="001B4A02">
        <w:rPr>
          <w:rFonts w:ascii="Symbol" w:hAnsi="Symbol"/>
        </w:rPr>
        <w:sym w:font="Symbol" w:char="F0B3"/>
      </w:r>
      <w:r w:rsidRPr="001B4A02">
        <w:t xml:space="preserve"> 10</w:t>
      </w:r>
      <w:r w:rsidR="001D6F43" w:rsidRPr="001B4A02">
        <w:t> </w:t>
      </w:r>
      <w:r w:rsidRPr="001B4A02">
        <w:t>% BSA</w:t>
      </w:r>
      <w:r w:rsidR="002378E0">
        <w:t xml:space="preserve"> a </w:t>
      </w:r>
      <w:r w:rsidRPr="001B4A02">
        <w:t xml:space="preserve">Psoriasis Area and Severity Index (PASI) </w:t>
      </w:r>
      <w:r w:rsidR="009D2A3C" w:rsidRPr="001B4A02">
        <w:rPr>
          <w:rFonts w:ascii="Symbol" w:hAnsi="Symbol"/>
        </w:rPr>
        <w:sym w:font="Symbol" w:char="F0B3"/>
      </w:r>
      <w:r w:rsidRPr="001B4A02">
        <w:t xml:space="preserve"> 12 nebo </w:t>
      </w:r>
      <w:r w:rsidR="009D2A3C" w:rsidRPr="001B4A02">
        <w:rPr>
          <w:rFonts w:ascii="Symbol" w:hAnsi="Symbol"/>
        </w:rPr>
        <w:sym w:font="Symbol" w:char="F0B3"/>
      </w:r>
      <w:r w:rsidRPr="001B4A02">
        <w:t xml:space="preserve"> 10), kteří byli kandidáty pro systémovou léčbu nebo fototerapii v randomizovaných, dvojitě zaslepených studiích. 73</w:t>
      </w:r>
      <w:r w:rsidR="004E0495" w:rsidRPr="001B4A02">
        <w:t> </w:t>
      </w:r>
      <w:r w:rsidRPr="001B4A02">
        <w:t>% pacientů zahrnutých do psoriatických studií I</w:t>
      </w:r>
      <w:r w:rsidR="002378E0">
        <w:t xml:space="preserve"> a </w:t>
      </w:r>
      <w:r w:rsidRPr="001B4A02">
        <w:t>II podstoupilo předcházející systémovou léčbu nebo fototerapii. Bezpečnost</w:t>
      </w:r>
      <w:r w:rsidR="002378E0">
        <w:t xml:space="preserve"> a </w:t>
      </w:r>
      <w:r w:rsidRPr="001B4A02">
        <w:t>účinnost přípravku Humira byla také studována u</w:t>
      </w:r>
      <w:r w:rsidR="004E0495" w:rsidRPr="001B4A02">
        <w:t> </w:t>
      </w:r>
      <w:r w:rsidRPr="001B4A02">
        <w:t xml:space="preserve">dospělých pacientů se středně </w:t>
      </w:r>
      <w:r w:rsidR="00CC2F88" w:rsidRPr="001B4A02">
        <w:t>těžkou až těžkou</w:t>
      </w:r>
      <w:r w:rsidRPr="001B4A02">
        <w:t xml:space="preserve"> ložiskovou psoriázou</w:t>
      </w:r>
      <w:r w:rsidR="002378E0">
        <w:t xml:space="preserve"> a </w:t>
      </w:r>
      <w:r w:rsidRPr="001B4A02">
        <w:t>současně s psoriázou na rukou a/nebo chodidlech, kteří byli kandidáty pro systémovou léčbu, v randomizované, dvojitě zaslepené studii (psoriatická studie III).</w:t>
      </w:r>
    </w:p>
    <w:p w14:paraId="18AD151F" w14:textId="77777777" w:rsidR="00DB5C44" w:rsidRPr="001B4A02" w:rsidRDefault="00DB5C44" w:rsidP="00ED48A3"/>
    <w:p w14:paraId="431000A2" w14:textId="77777777" w:rsidR="00DB5C44" w:rsidRPr="001B4A02" w:rsidRDefault="00000000" w:rsidP="00ED48A3">
      <w:pPr>
        <w:pStyle w:val="EMEANormal"/>
        <w:tabs>
          <w:tab w:val="clear" w:pos="562"/>
          <w:tab w:val="left" w:pos="708"/>
        </w:tabs>
        <w:suppressAutoHyphens w:val="0"/>
        <w:rPr>
          <w:lang w:val="cs-CZ"/>
        </w:rPr>
      </w:pPr>
      <w:r w:rsidRPr="001B4A02">
        <w:rPr>
          <w:lang w:val="cs-CZ"/>
        </w:rPr>
        <w:t>Psoriatická studie I (REVEAL) hodnotila 1</w:t>
      </w:r>
      <w:r w:rsidR="00530130" w:rsidRPr="001B4A02">
        <w:rPr>
          <w:lang w:val="cs-CZ"/>
        </w:rPr>
        <w:t> </w:t>
      </w:r>
      <w:r w:rsidRPr="001B4A02">
        <w:rPr>
          <w:lang w:val="cs-CZ"/>
        </w:rPr>
        <w:t>212 pacientů ve třech fázích léčby. Ve fázi A užívali pacienti placebo nebo přípravek Humira v úvodní dávce 80</w:t>
      </w:r>
      <w:r w:rsidR="00874DE1">
        <w:rPr>
          <w:lang w:val="cs-CZ"/>
        </w:rPr>
        <w:t> mg</w:t>
      </w:r>
      <w:r w:rsidRPr="001B4A02">
        <w:rPr>
          <w:lang w:val="cs-CZ"/>
        </w:rPr>
        <w:t>, následované dávkou 40</w:t>
      </w:r>
      <w:r w:rsidR="00874DE1">
        <w:rPr>
          <w:lang w:val="cs-CZ"/>
        </w:rPr>
        <w:t> mg</w:t>
      </w:r>
      <w:r w:rsidRPr="001B4A02">
        <w:rPr>
          <w:lang w:val="cs-CZ"/>
        </w:rPr>
        <w:t xml:space="preserve"> každý druhý týden počínaje prvním týdnem po podání dávky úvodní. Po 16 týdnech léčby pacienti, kteří dosáhli odpovědi alespoň PASI 75 (PASI kritérium zlepšení alespoň 75</w:t>
      </w:r>
      <w:r w:rsidR="004E0495" w:rsidRPr="001B4A02">
        <w:rPr>
          <w:lang w:val="cs-CZ"/>
        </w:rPr>
        <w:t> </w:t>
      </w:r>
      <w:r w:rsidRPr="001B4A02">
        <w:rPr>
          <w:lang w:val="cs-CZ"/>
        </w:rPr>
        <w:t>% ve vztahu k výchozímu stavu)</w:t>
      </w:r>
      <w:r w:rsidR="004E0495" w:rsidRPr="001B4A02">
        <w:rPr>
          <w:lang w:val="cs-CZ"/>
        </w:rPr>
        <w:t>,</w:t>
      </w:r>
      <w:r w:rsidRPr="001B4A02">
        <w:rPr>
          <w:lang w:val="cs-CZ"/>
        </w:rPr>
        <w:t xml:space="preserve"> postoupili do fáze B</w:t>
      </w:r>
      <w:r w:rsidR="002378E0">
        <w:rPr>
          <w:lang w:val="cs-CZ"/>
        </w:rPr>
        <w:t xml:space="preserve"> a </w:t>
      </w:r>
      <w:r w:rsidR="005D5238" w:rsidRPr="001B4A02">
        <w:rPr>
          <w:lang w:val="cs-CZ"/>
        </w:rPr>
        <w:t>po</w:t>
      </w:r>
      <w:r w:rsidRPr="001B4A02">
        <w:rPr>
          <w:lang w:val="cs-CZ"/>
        </w:rPr>
        <w:t>užívali 40</w:t>
      </w:r>
      <w:r w:rsidR="00874DE1">
        <w:rPr>
          <w:lang w:val="cs-CZ"/>
        </w:rPr>
        <w:t> mg</w:t>
      </w:r>
      <w:r w:rsidRPr="001B4A02">
        <w:rPr>
          <w:lang w:val="cs-CZ"/>
        </w:rPr>
        <w:t xml:space="preserve"> přípravku Humira každý druhý týden. Pacienti, u</w:t>
      </w:r>
      <w:r w:rsidR="004E0495" w:rsidRPr="001B4A02">
        <w:rPr>
          <w:lang w:val="cs-CZ"/>
        </w:rPr>
        <w:t> </w:t>
      </w:r>
      <w:r w:rsidRPr="001B4A02">
        <w:rPr>
          <w:lang w:val="cs-CZ"/>
        </w:rPr>
        <w:t>kterých přetrvávala odpověď PASI ≥ 75 v týdnu 33</w:t>
      </w:r>
      <w:r w:rsidR="002378E0">
        <w:rPr>
          <w:lang w:val="cs-CZ"/>
        </w:rPr>
        <w:t xml:space="preserve"> a </w:t>
      </w:r>
      <w:r w:rsidRPr="001B4A02">
        <w:rPr>
          <w:lang w:val="cs-CZ"/>
        </w:rPr>
        <w:t>byli původně randomizováni k aktivní terapii ve fázi A, byli re-randomizováni do fáze C</w:t>
      </w:r>
      <w:r w:rsidR="002378E0">
        <w:rPr>
          <w:lang w:val="cs-CZ"/>
        </w:rPr>
        <w:t xml:space="preserve"> a </w:t>
      </w:r>
      <w:r w:rsidR="005D5238" w:rsidRPr="001B4A02">
        <w:rPr>
          <w:lang w:val="cs-CZ"/>
        </w:rPr>
        <w:t>po</w:t>
      </w:r>
      <w:r w:rsidRPr="001B4A02">
        <w:rPr>
          <w:lang w:val="cs-CZ"/>
        </w:rPr>
        <w:t>užívali 40</w:t>
      </w:r>
      <w:r w:rsidR="00874DE1">
        <w:rPr>
          <w:lang w:val="cs-CZ"/>
        </w:rPr>
        <w:t> mg</w:t>
      </w:r>
      <w:r w:rsidRPr="001B4A02">
        <w:rPr>
          <w:lang w:val="cs-CZ"/>
        </w:rPr>
        <w:t xml:space="preserve"> přípravku Humira každý druhý týden nebo placebo po dobu dalších 19 týdnů. Napříč všemi léčenými skupinami bylo průměrné výchozí skóre PASI 18,9</w:t>
      </w:r>
      <w:r w:rsidR="002378E0">
        <w:rPr>
          <w:lang w:val="cs-CZ"/>
        </w:rPr>
        <w:t xml:space="preserve"> a </w:t>
      </w:r>
      <w:r w:rsidRPr="001B4A02">
        <w:rPr>
          <w:lang w:val="cs-CZ"/>
        </w:rPr>
        <w:t>výchozí skóre Physician’s Global Assessment (PGA) se pohybovalo od „středně těžkého“ (53</w:t>
      </w:r>
      <w:r w:rsidR="004E0495" w:rsidRPr="001B4A02">
        <w:rPr>
          <w:lang w:val="cs-CZ"/>
        </w:rPr>
        <w:t> </w:t>
      </w:r>
      <w:r w:rsidRPr="001B4A02">
        <w:rPr>
          <w:lang w:val="cs-CZ"/>
        </w:rPr>
        <w:t>% sledovaných subjektů) po</w:t>
      </w:r>
      <w:r w:rsidR="007978AF">
        <w:rPr>
          <w:lang w:val="cs-CZ"/>
        </w:rPr>
        <w:t xml:space="preserve"> </w:t>
      </w:r>
      <w:r w:rsidRPr="001B4A02">
        <w:rPr>
          <w:lang w:val="cs-CZ"/>
        </w:rPr>
        <w:t>„těžké“ (41</w:t>
      </w:r>
      <w:r w:rsidR="004E0495" w:rsidRPr="001B4A02">
        <w:rPr>
          <w:lang w:val="cs-CZ"/>
        </w:rPr>
        <w:t> </w:t>
      </w:r>
      <w:r w:rsidRPr="001B4A02">
        <w:rPr>
          <w:lang w:val="cs-CZ"/>
        </w:rPr>
        <w:t>%) až „velmi těžké“ (6</w:t>
      </w:r>
      <w:r w:rsidR="004E0495" w:rsidRPr="001B4A02">
        <w:rPr>
          <w:lang w:val="cs-CZ"/>
        </w:rPr>
        <w:t> </w:t>
      </w:r>
      <w:r w:rsidRPr="001B4A02">
        <w:rPr>
          <w:lang w:val="cs-CZ"/>
        </w:rPr>
        <w:t>%).</w:t>
      </w:r>
    </w:p>
    <w:p w14:paraId="57F50D6F" w14:textId="77777777" w:rsidR="00DB5C44" w:rsidRPr="001B4A02" w:rsidRDefault="00DB5C44" w:rsidP="00ED48A3">
      <w:pPr>
        <w:pStyle w:val="EMEANormal"/>
        <w:tabs>
          <w:tab w:val="clear" w:pos="562"/>
          <w:tab w:val="left" w:pos="708"/>
        </w:tabs>
        <w:suppressAutoHyphens w:val="0"/>
        <w:rPr>
          <w:lang w:val="cs-CZ"/>
        </w:rPr>
      </w:pPr>
    </w:p>
    <w:p w14:paraId="6F113935" w14:textId="77777777" w:rsidR="00DB5C44" w:rsidRPr="001B4A02" w:rsidRDefault="00000000" w:rsidP="00ED48A3">
      <w:pPr>
        <w:pStyle w:val="EMEANormal"/>
        <w:tabs>
          <w:tab w:val="clear" w:pos="562"/>
          <w:tab w:val="left" w:pos="708"/>
        </w:tabs>
        <w:suppressAutoHyphens w:val="0"/>
        <w:rPr>
          <w:lang w:val="cs-CZ"/>
        </w:rPr>
      </w:pPr>
      <w:r w:rsidRPr="001B4A02">
        <w:rPr>
          <w:lang w:val="cs-CZ"/>
        </w:rPr>
        <w:t>Psoriatická studie II (CHAMPION) porovnávala účinnost</w:t>
      </w:r>
      <w:r w:rsidR="002378E0">
        <w:rPr>
          <w:lang w:val="cs-CZ"/>
        </w:rPr>
        <w:t xml:space="preserve"> a </w:t>
      </w:r>
      <w:r w:rsidRPr="001B4A02">
        <w:rPr>
          <w:lang w:val="cs-CZ"/>
        </w:rPr>
        <w:t xml:space="preserve">bezpečnost přípravku Humira </w:t>
      </w:r>
      <w:r w:rsidRPr="001B4A02">
        <w:rPr>
          <w:iCs/>
          <w:lang w:val="cs-CZ"/>
        </w:rPr>
        <w:t>oproti</w:t>
      </w:r>
      <w:r w:rsidRPr="001B4A02">
        <w:rPr>
          <w:lang w:val="cs-CZ"/>
        </w:rPr>
        <w:t xml:space="preserve"> methotrexátu</w:t>
      </w:r>
      <w:r w:rsidR="002378E0">
        <w:rPr>
          <w:lang w:val="cs-CZ"/>
        </w:rPr>
        <w:t xml:space="preserve"> a </w:t>
      </w:r>
      <w:r w:rsidRPr="001B4A02">
        <w:rPr>
          <w:lang w:val="cs-CZ"/>
        </w:rPr>
        <w:t>placebu u</w:t>
      </w:r>
      <w:r w:rsidR="00C4111E" w:rsidRPr="001B4A02">
        <w:rPr>
          <w:lang w:val="cs-CZ"/>
        </w:rPr>
        <w:t> </w:t>
      </w:r>
      <w:r w:rsidRPr="001B4A02">
        <w:rPr>
          <w:lang w:val="cs-CZ"/>
        </w:rPr>
        <w:t>271 pacientů. Pacienti užívali placebo</w:t>
      </w:r>
      <w:r w:rsidR="002378E0">
        <w:rPr>
          <w:lang w:val="cs-CZ"/>
        </w:rPr>
        <w:t xml:space="preserve"> a </w:t>
      </w:r>
      <w:r w:rsidRPr="001B4A02">
        <w:rPr>
          <w:lang w:val="cs-CZ"/>
        </w:rPr>
        <w:t>MTX v úvodní dávce 7,5</w:t>
      </w:r>
      <w:r w:rsidR="00874DE1">
        <w:rPr>
          <w:lang w:val="cs-CZ"/>
        </w:rPr>
        <w:t> mg</w:t>
      </w:r>
      <w:r w:rsidRPr="001B4A02">
        <w:rPr>
          <w:lang w:val="cs-CZ"/>
        </w:rPr>
        <w:t>, která se následně zvyšovala až do týdne 12 do maximální dávky 25</w:t>
      </w:r>
      <w:r w:rsidR="00874DE1">
        <w:rPr>
          <w:lang w:val="cs-CZ"/>
        </w:rPr>
        <w:t> mg</w:t>
      </w:r>
      <w:r w:rsidRPr="001B4A02">
        <w:rPr>
          <w:lang w:val="cs-CZ"/>
        </w:rPr>
        <w:t xml:space="preserve">, nebo </w:t>
      </w:r>
      <w:r w:rsidR="005D5238" w:rsidRPr="001B4A02">
        <w:rPr>
          <w:lang w:val="cs-CZ"/>
        </w:rPr>
        <w:t>po</w:t>
      </w:r>
      <w:r w:rsidRPr="001B4A02">
        <w:rPr>
          <w:lang w:val="cs-CZ"/>
        </w:rPr>
        <w:t xml:space="preserve">užívali </w:t>
      </w:r>
      <w:r w:rsidR="00EE5BAE" w:rsidRPr="001B4A02">
        <w:rPr>
          <w:lang w:val="cs-CZ"/>
        </w:rPr>
        <w:t>úvodní</w:t>
      </w:r>
      <w:r w:rsidRPr="001B4A02">
        <w:rPr>
          <w:lang w:val="cs-CZ"/>
        </w:rPr>
        <w:t xml:space="preserve"> dávku 80</w:t>
      </w:r>
      <w:r w:rsidR="00874DE1">
        <w:rPr>
          <w:lang w:val="cs-CZ"/>
        </w:rPr>
        <w:t> mg</w:t>
      </w:r>
      <w:r w:rsidRPr="001B4A02">
        <w:rPr>
          <w:lang w:val="cs-CZ"/>
        </w:rPr>
        <w:t xml:space="preserve"> přípravku Humira, následované dávkou 40</w:t>
      </w:r>
      <w:r w:rsidR="00874DE1">
        <w:rPr>
          <w:lang w:val="cs-CZ"/>
        </w:rPr>
        <w:t> mg</w:t>
      </w:r>
      <w:r w:rsidRPr="001B4A02">
        <w:rPr>
          <w:lang w:val="cs-CZ"/>
        </w:rPr>
        <w:t xml:space="preserve"> každý druhý týden (počínaje prvním týdnem po </w:t>
      </w:r>
      <w:r w:rsidR="00EE5BAE" w:rsidRPr="001B4A02">
        <w:rPr>
          <w:lang w:val="cs-CZ"/>
        </w:rPr>
        <w:t>úvodní</w:t>
      </w:r>
      <w:r w:rsidRPr="001B4A02">
        <w:rPr>
          <w:lang w:val="cs-CZ"/>
        </w:rPr>
        <w:t xml:space="preserve"> dávce) po dobu 16 týdnů. Nejsou dostupné žádné údaje o</w:t>
      </w:r>
      <w:r w:rsidR="00C4111E" w:rsidRPr="001B4A02">
        <w:rPr>
          <w:lang w:val="cs-CZ"/>
        </w:rPr>
        <w:t> </w:t>
      </w:r>
      <w:r w:rsidRPr="001B4A02">
        <w:rPr>
          <w:lang w:val="cs-CZ"/>
        </w:rPr>
        <w:t>porovnání přípravku Humira</w:t>
      </w:r>
      <w:r w:rsidR="002378E0">
        <w:rPr>
          <w:lang w:val="cs-CZ"/>
        </w:rPr>
        <w:t xml:space="preserve"> a </w:t>
      </w:r>
      <w:r w:rsidRPr="001B4A02">
        <w:rPr>
          <w:lang w:val="cs-CZ"/>
        </w:rPr>
        <w:t>MTX po této 16týdenní léčbě. Pacientům, kteří užívali MTX</w:t>
      </w:r>
      <w:r w:rsidR="002378E0">
        <w:rPr>
          <w:lang w:val="cs-CZ"/>
        </w:rPr>
        <w:t xml:space="preserve"> a </w:t>
      </w:r>
      <w:r w:rsidRPr="001B4A02">
        <w:rPr>
          <w:lang w:val="cs-CZ"/>
        </w:rPr>
        <w:t>kteří dosáhli odpovědi PASI ≥ 50 v týdnu 8 a/nebo 12, nebyla dávka dále navyšována. Napříč všemi léčenými skupinami bylo průměrné PASI skóre 19,7</w:t>
      </w:r>
      <w:r w:rsidR="002378E0">
        <w:rPr>
          <w:lang w:val="cs-CZ"/>
        </w:rPr>
        <w:t xml:space="preserve"> a </w:t>
      </w:r>
      <w:r w:rsidRPr="001B4A02">
        <w:rPr>
          <w:lang w:val="cs-CZ"/>
        </w:rPr>
        <w:t>výchozí PGA skóre se pohybovalo od „mírného“ (&lt; 1</w:t>
      </w:r>
      <w:r w:rsidR="00C4111E" w:rsidRPr="001B4A02">
        <w:rPr>
          <w:lang w:val="cs-CZ"/>
        </w:rPr>
        <w:t> </w:t>
      </w:r>
      <w:r w:rsidRPr="001B4A02">
        <w:rPr>
          <w:lang w:val="cs-CZ"/>
        </w:rPr>
        <w:t>%) po „středně těžké“ (48</w:t>
      </w:r>
      <w:r w:rsidR="00C4111E" w:rsidRPr="001B4A02">
        <w:rPr>
          <w:lang w:val="cs-CZ"/>
        </w:rPr>
        <w:t> </w:t>
      </w:r>
      <w:r w:rsidRPr="001B4A02">
        <w:rPr>
          <w:lang w:val="cs-CZ"/>
        </w:rPr>
        <w:t>%), „těžké“ (46</w:t>
      </w:r>
      <w:r w:rsidR="00C4111E" w:rsidRPr="001B4A02">
        <w:rPr>
          <w:lang w:val="cs-CZ"/>
        </w:rPr>
        <w:t> </w:t>
      </w:r>
      <w:r w:rsidRPr="001B4A02">
        <w:rPr>
          <w:lang w:val="cs-CZ"/>
        </w:rPr>
        <w:t>%) až „velmi těžké“ (6</w:t>
      </w:r>
      <w:r w:rsidR="00C4111E" w:rsidRPr="001B4A02">
        <w:rPr>
          <w:lang w:val="cs-CZ"/>
        </w:rPr>
        <w:t> </w:t>
      </w:r>
      <w:r w:rsidRPr="001B4A02">
        <w:rPr>
          <w:lang w:val="cs-CZ"/>
        </w:rPr>
        <w:t>%).</w:t>
      </w:r>
    </w:p>
    <w:p w14:paraId="02CC96F3" w14:textId="77777777" w:rsidR="00DB5C44" w:rsidRPr="001B4A02" w:rsidRDefault="00DB5C44" w:rsidP="00ED48A3">
      <w:pPr>
        <w:pStyle w:val="EMEANormal"/>
        <w:tabs>
          <w:tab w:val="clear" w:pos="562"/>
          <w:tab w:val="left" w:pos="708"/>
        </w:tabs>
        <w:suppressAutoHyphens w:val="0"/>
        <w:rPr>
          <w:lang w:val="cs-CZ"/>
        </w:rPr>
      </w:pPr>
    </w:p>
    <w:p w14:paraId="7DC7A2F1" w14:textId="77777777" w:rsidR="00E7724C" w:rsidRPr="001B4A02" w:rsidRDefault="00000000" w:rsidP="00ED48A3">
      <w:pPr>
        <w:autoSpaceDE w:val="0"/>
        <w:autoSpaceDN w:val="0"/>
        <w:adjustRightInd w:val="0"/>
        <w:ind w:left="0" w:firstLine="0"/>
        <w:rPr>
          <w:highlight w:val="yellow"/>
        </w:rPr>
      </w:pPr>
      <w:r w:rsidRPr="001B4A02">
        <w:t xml:space="preserve">Pacienti, kteří se účastnili celé fáze </w:t>
      </w:r>
      <w:r w:rsidR="00525073" w:rsidRPr="001B4A02">
        <w:t>2</w:t>
      </w:r>
      <w:r w:rsidR="002378E0">
        <w:t xml:space="preserve"> a </w:t>
      </w:r>
      <w:r w:rsidRPr="001B4A02">
        <w:t xml:space="preserve">fáze </w:t>
      </w:r>
      <w:r w:rsidR="00525073" w:rsidRPr="001B4A02">
        <w:t>3</w:t>
      </w:r>
      <w:r w:rsidRPr="001B4A02">
        <w:t xml:space="preserve"> psoriatických studií, byli vhodní k tomu, aby byli zařazeni do otevřené fáze prodloužené studie, v níž byl přípravek Humira podáván minimálně po dobu dalších 108 týdnů.</w:t>
      </w:r>
    </w:p>
    <w:p w14:paraId="6EC3005F" w14:textId="77777777" w:rsidR="00E7724C" w:rsidRPr="001B4A02" w:rsidRDefault="00E7724C" w:rsidP="00ED48A3">
      <w:pPr>
        <w:autoSpaceDE w:val="0"/>
        <w:autoSpaceDN w:val="0"/>
        <w:adjustRightInd w:val="0"/>
        <w:rPr>
          <w:highlight w:val="yellow"/>
        </w:rPr>
      </w:pPr>
    </w:p>
    <w:p w14:paraId="49F220FE" w14:textId="77777777" w:rsidR="00E7724C" w:rsidRPr="001B4A02" w:rsidRDefault="00000000" w:rsidP="00ED48A3">
      <w:pPr>
        <w:autoSpaceDE w:val="0"/>
        <w:autoSpaceDN w:val="0"/>
        <w:adjustRightInd w:val="0"/>
        <w:ind w:left="0" w:firstLine="0"/>
      </w:pPr>
      <w:r w:rsidRPr="001B4A02">
        <w:t>V psoriatických studiích I</w:t>
      </w:r>
      <w:r w:rsidR="002378E0">
        <w:t xml:space="preserve"> a </w:t>
      </w:r>
      <w:r w:rsidRPr="001B4A02">
        <w:t xml:space="preserve">II byl primárním cílovým parametrem podíl pacientů, kteří dosáhli odpovědi PASI 75 v týdnu 16 od výchozího stavu </w:t>
      </w:r>
      <w:r w:rsidRPr="001B4A02">
        <w:rPr>
          <w:szCs w:val="22"/>
        </w:rPr>
        <w:t xml:space="preserve">(viz tabulky </w:t>
      </w:r>
      <w:r w:rsidR="00E331EB">
        <w:rPr>
          <w:szCs w:val="22"/>
        </w:rPr>
        <w:t>9</w:t>
      </w:r>
      <w:r w:rsidR="002378E0">
        <w:rPr>
          <w:szCs w:val="22"/>
        </w:rPr>
        <w:t xml:space="preserve"> a </w:t>
      </w:r>
      <w:r w:rsidR="00E331EB">
        <w:rPr>
          <w:szCs w:val="22"/>
        </w:rPr>
        <w:t>10</w:t>
      </w:r>
      <w:r w:rsidRPr="001B4A02">
        <w:rPr>
          <w:szCs w:val="22"/>
        </w:rPr>
        <w:t>).</w:t>
      </w:r>
    </w:p>
    <w:p w14:paraId="68E87A13" w14:textId="77777777" w:rsidR="00E7724C" w:rsidRPr="001B4A02" w:rsidRDefault="00E7724C" w:rsidP="004C2FD7">
      <w:pPr>
        <w:pStyle w:val="DefaultText"/>
        <w:rPr>
          <w:rFonts w:ascii="Times New Roman" w:hAnsi="Times New Roman"/>
          <w:lang w:val="cs-CZ"/>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1"/>
        <w:gridCol w:w="2409"/>
        <w:gridCol w:w="3685"/>
      </w:tblGrid>
      <w:tr w:rsidR="00534A2D" w14:paraId="556AB268" w14:textId="77777777" w:rsidTr="00F51027">
        <w:trPr>
          <w:cantSplit/>
          <w:jc w:val="center"/>
        </w:trPr>
        <w:tc>
          <w:tcPr>
            <w:tcW w:w="8505" w:type="dxa"/>
            <w:gridSpan w:val="3"/>
            <w:tcBorders>
              <w:top w:val="nil"/>
              <w:left w:val="nil"/>
              <w:right w:val="nil"/>
            </w:tcBorders>
          </w:tcPr>
          <w:p w14:paraId="39A027E2" w14:textId="77777777" w:rsidR="00E7724C" w:rsidRPr="001B4A02" w:rsidRDefault="00000000" w:rsidP="00ED48A3">
            <w:pPr>
              <w:pStyle w:val="DefaultText"/>
              <w:keepNext/>
              <w:jc w:val="center"/>
              <w:rPr>
                <w:rFonts w:ascii="Times New Roman" w:hAnsi="Times New Roman"/>
                <w:b/>
                <w:bCs w:val="0"/>
                <w:lang w:val="cs-CZ"/>
              </w:rPr>
            </w:pPr>
            <w:r w:rsidRPr="001B4A02">
              <w:rPr>
                <w:rFonts w:ascii="Times New Roman" w:hAnsi="Times New Roman"/>
                <w:b/>
                <w:bCs w:val="0"/>
                <w:lang w:val="cs-CZ"/>
              </w:rPr>
              <w:t xml:space="preserve">Tabulka </w:t>
            </w:r>
            <w:r w:rsidR="00E331EB">
              <w:rPr>
                <w:rFonts w:ascii="Times New Roman" w:hAnsi="Times New Roman"/>
                <w:b/>
                <w:bCs w:val="0"/>
                <w:lang w:val="cs-CZ"/>
              </w:rPr>
              <w:t>9</w:t>
            </w:r>
          </w:p>
          <w:p w14:paraId="5026E20A" w14:textId="77777777" w:rsidR="00DB5C44" w:rsidRPr="001B4A02" w:rsidRDefault="00000000" w:rsidP="00ED48A3">
            <w:pPr>
              <w:pStyle w:val="DefaultText"/>
              <w:keepNext/>
              <w:jc w:val="center"/>
              <w:rPr>
                <w:rFonts w:ascii="Times New Roman" w:hAnsi="Times New Roman"/>
                <w:b/>
                <w:bCs w:val="0"/>
                <w:lang w:val="cs-CZ"/>
              </w:rPr>
            </w:pPr>
            <w:r w:rsidRPr="001B4A02">
              <w:rPr>
                <w:rFonts w:ascii="Times New Roman" w:hAnsi="Times New Roman"/>
                <w:b/>
                <w:bCs w:val="0"/>
                <w:lang w:val="cs-CZ"/>
              </w:rPr>
              <w:t xml:space="preserve">Studie </w:t>
            </w:r>
            <w:r w:rsidR="00E7724C" w:rsidRPr="001B4A02">
              <w:rPr>
                <w:rFonts w:ascii="Times New Roman" w:hAnsi="Times New Roman"/>
                <w:b/>
                <w:bCs w:val="0"/>
                <w:lang w:val="cs-CZ"/>
              </w:rPr>
              <w:t>Ps I (REVEAL)</w:t>
            </w:r>
          </w:p>
          <w:p w14:paraId="7EBA8AC5" w14:textId="77777777" w:rsidR="00E7724C" w:rsidRPr="001B4A02" w:rsidRDefault="00000000" w:rsidP="00ED48A3">
            <w:pPr>
              <w:pStyle w:val="DefaultText"/>
              <w:keepNext/>
              <w:jc w:val="center"/>
              <w:rPr>
                <w:rFonts w:ascii="Times New Roman" w:hAnsi="Times New Roman"/>
                <w:b/>
                <w:bCs w:val="0"/>
                <w:lang w:val="cs-CZ"/>
              </w:rPr>
            </w:pPr>
            <w:r w:rsidRPr="001B4A02">
              <w:rPr>
                <w:rFonts w:ascii="Times New Roman" w:hAnsi="Times New Roman"/>
                <w:b/>
                <w:bCs w:val="0"/>
                <w:szCs w:val="22"/>
                <w:lang w:val="cs-CZ"/>
              </w:rPr>
              <w:t>Výsledky účinnosti za 16 týdnů</w:t>
            </w:r>
          </w:p>
        </w:tc>
      </w:tr>
      <w:tr w:rsidR="00534A2D" w14:paraId="20C0AF00" w14:textId="77777777" w:rsidTr="00F51027">
        <w:trPr>
          <w:cantSplit/>
          <w:jc w:val="center"/>
        </w:trPr>
        <w:tc>
          <w:tcPr>
            <w:tcW w:w="2411" w:type="dxa"/>
            <w:vAlign w:val="center"/>
          </w:tcPr>
          <w:p w14:paraId="794B2FF2" w14:textId="77777777" w:rsidR="00DB5C44" w:rsidRPr="001B4A02" w:rsidRDefault="00DB5C44" w:rsidP="00ED48A3">
            <w:pPr>
              <w:pStyle w:val="DefaultText"/>
              <w:keepNext/>
              <w:rPr>
                <w:rFonts w:ascii="Times New Roman" w:hAnsi="Times New Roman"/>
                <w:b/>
                <w:bCs w:val="0"/>
                <w:lang w:val="cs-CZ"/>
              </w:rPr>
            </w:pPr>
          </w:p>
        </w:tc>
        <w:tc>
          <w:tcPr>
            <w:tcW w:w="2409" w:type="dxa"/>
            <w:vAlign w:val="center"/>
          </w:tcPr>
          <w:p w14:paraId="547B53E5" w14:textId="77777777" w:rsidR="001835FF" w:rsidRPr="001B4A02" w:rsidRDefault="00000000" w:rsidP="00ED48A3">
            <w:pPr>
              <w:pStyle w:val="DefaultText"/>
              <w:keepNext/>
              <w:jc w:val="center"/>
              <w:rPr>
                <w:rFonts w:ascii="Times New Roman" w:hAnsi="Times New Roman"/>
                <w:b/>
                <w:bCs w:val="0"/>
                <w:lang w:val="cs-CZ"/>
              </w:rPr>
            </w:pPr>
            <w:r w:rsidRPr="001B4A02">
              <w:rPr>
                <w:rFonts w:ascii="Times New Roman" w:hAnsi="Times New Roman"/>
                <w:b/>
                <w:bCs w:val="0"/>
                <w:lang w:val="cs-CZ"/>
              </w:rPr>
              <w:t>Placebo</w:t>
            </w:r>
          </w:p>
          <w:p w14:paraId="1A4E5122" w14:textId="77777777" w:rsidR="001835FF" w:rsidRPr="001B4A02" w:rsidRDefault="00000000" w:rsidP="00ED48A3">
            <w:pPr>
              <w:pStyle w:val="DefaultText"/>
              <w:keepNext/>
              <w:jc w:val="center"/>
              <w:rPr>
                <w:rFonts w:ascii="Times New Roman" w:hAnsi="Times New Roman"/>
                <w:b/>
                <w:bCs w:val="0"/>
                <w:lang w:val="cs-CZ"/>
              </w:rPr>
            </w:pPr>
            <w:r>
              <w:rPr>
                <w:rFonts w:ascii="Times New Roman" w:hAnsi="Times New Roman"/>
                <w:b/>
                <w:bCs w:val="0"/>
                <w:lang w:val="cs-CZ"/>
              </w:rPr>
              <w:t>n</w:t>
            </w:r>
            <w:r w:rsidRPr="001B4A02">
              <w:rPr>
                <w:rFonts w:ascii="Times New Roman" w:hAnsi="Times New Roman"/>
                <w:b/>
                <w:bCs w:val="0"/>
                <w:lang w:val="cs-CZ"/>
              </w:rPr>
              <w:t>=398</w:t>
            </w:r>
          </w:p>
          <w:p w14:paraId="498B5021" w14:textId="77777777" w:rsidR="00DB5C44" w:rsidRPr="001B4A02" w:rsidRDefault="00000000" w:rsidP="00ED48A3">
            <w:pPr>
              <w:pStyle w:val="DefaultText"/>
              <w:keepNext/>
              <w:jc w:val="center"/>
              <w:rPr>
                <w:rFonts w:ascii="Times New Roman" w:hAnsi="Times New Roman"/>
                <w:b/>
                <w:bCs w:val="0"/>
                <w:lang w:val="cs-CZ"/>
              </w:rPr>
            </w:pPr>
            <w:r w:rsidRPr="001B4A02">
              <w:rPr>
                <w:rFonts w:ascii="Times New Roman" w:hAnsi="Times New Roman"/>
                <w:b/>
                <w:bCs w:val="0"/>
                <w:lang w:val="cs-CZ"/>
              </w:rPr>
              <w:t>n (%)</w:t>
            </w:r>
          </w:p>
        </w:tc>
        <w:tc>
          <w:tcPr>
            <w:tcW w:w="3685" w:type="dxa"/>
            <w:vAlign w:val="center"/>
          </w:tcPr>
          <w:p w14:paraId="008DE679" w14:textId="77777777" w:rsidR="00DB5C44" w:rsidRPr="001B4A02" w:rsidRDefault="00000000" w:rsidP="00ED48A3">
            <w:pPr>
              <w:pStyle w:val="DefaultText"/>
              <w:jc w:val="center"/>
              <w:rPr>
                <w:rFonts w:ascii="Times New Roman" w:hAnsi="Times New Roman"/>
                <w:b/>
                <w:bCs w:val="0"/>
                <w:szCs w:val="22"/>
                <w:lang w:val="cs-CZ"/>
              </w:rPr>
            </w:pPr>
            <w:r w:rsidRPr="001B4A02">
              <w:rPr>
                <w:rFonts w:ascii="Times New Roman" w:hAnsi="Times New Roman"/>
                <w:b/>
                <w:bCs w:val="0"/>
                <w:szCs w:val="22"/>
                <w:lang w:val="cs-CZ"/>
              </w:rPr>
              <w:t>Humira 40</w:t>
            </w:r>
            <w:r w:rsidR="00874DE1">
              <w:rPr>
                <w:rFonts w:ascii="Times New Roman" w:hAnsi="Times New Roman"/>
                <w:b/>
                <w:bCs w:val="0"/>
                <w:szCs w:val="22"/>
                <w:lang w:val="cs-CZ"/>
              </w:rPr>
              <w:t> mg</w:t>
            </w:r>
            <w:r w:rsidRPr="001B4A02">
              <w:rPr>
                <w:rFonts w:ascii="Times New Roman" w:hAnsi="Times New Roman"/>
                <w:b/>
                <w:bCs w:val="0"/>
                <w:szCs w:val="22"/>
                <w:lang w:val="cs-CZ"/>
              </w:rPr>
              <w:t xml:space="preserve"> každý druhý týden</w:t>
            </w:r>
          </w:p>
          <w:p w14:paraId="5ECF5352" w14:textId="77777777" w:rsidR="00DB5C44" w:rsidRPr="001B4A02" w:rsidRDefault="00000000" w:rsidP="00ED48A3">
            <w:pPr>
              <w:pStyle w:val="DefaultText"/>
              <w:jc w:val="center"/>
              <w:rPr>
                <w:rFonts w:ascii="Times New Roman" w:hAnsi="Times New Roman"/>
                <w:b/>
                <w:bCs w:val="0"/>
                <w:szCs w:val="22"/>
                <w:lang w:val="cs-CZ"/>
              </w:rPr>
            </w:pPr>
            <w:r>
              <w:rPr>
                <w:rFonts w:ascii="Times New Roman" w:hAnsi="Times New Roman"/>
                <w:b/>
                <w:bCs w:val="0"/>
                <w:szCs w:val="22"/>
                <w:lang w:val="cs-CZ"/>
              </w:rPr>
              <w:t>n</w:t>
            </w:r>
            <w:r w:rsidRPr="001B4A02">
              <w:rPr>
                <w:rFonts w:ascii="Times New Roman" w:hAnsi="Times New Roman"/>
                <w:b/>
                <w:bCs w:val="0"/>
                <w:szCs w:val="22"/>
                <w:lang w:val="cs-CZ"/>
              </w:rPr>
              <w:t>=814</w:t>
            </w:r>
          </w:p>
          <w:p w14:paraId="52BC66CD" w14:textId="77777777" w:rsidR="00DB5C44" w:rsidRPr="001B4A02" w:rsidRDefault="00000000" w:rsidP="00ED48A3">
            <w:pPr>
              <w:pStyle w:val="DefaultText"/>
              <w:keepNext/>
              <w:jc w:val="center"/>
              <w:rPr>
                <w:rFonts w:ascii="Times New Roman" w:hAnsi="Times New Roman"/>
                <w:b/>
                <w:bCs w:val="0"/>
                <w:lang w:val="cs-CZ"/>
              </w:rPr>
            </w:pPr>
            <w:r w:rsidRPr="001B4A02">
              <w:rPr>
                <w:rFonts w:ascii="Times New Roman" w:hAnsi="Times New Roman"/>
                <w:b/>
                <w:bCs w:val="0"/>
                <w:szCs w:val="22"/>
                <w:lang w:val="cs-CZ"/>
              </w:rPr>
              <w:t>n (%)</w:t>
            </w:r>
          </w:p>
        </w:tc>
      </w:tr>
      <w:tr w:rsidR="00534A2D" w14:paraId="233C4456" w14:textId="77777777" w:rsidTr="00F51027">
        <w:trPr>
          <w:cantSplit/>
          <w:jc w:val="center"/>
        </w:trPr>
        <w:tc>
          <w:tcPr>
            <w:tcW w:w="2411" w:type="dxa"/>
          </w:tcPr>
          <w:p w14:paraId="1B065564" w14:textId="77777777" w:rsidR="00DB5C44" w:rsidRPr="001B4A02" w:rsidRDefault="00000000" w:rsidP="00ED48A3">
            <w:pPr>
              <w:pStyle w:val="DefaultText"/>
              <w:keepNext/>
              <w:rPr>
                <w:rFonts w:ascii="Times New Roman" w:hAnsi="Times New Roman"/>
                <w:b/>
                <w:bCs w:val="0"/>
                <w:lang w:val="cs-CZ"/>
              </w:rPr>
            </w:pPr>
            <w:r w:rsidRPr="001B4A02">
              <w:rPr>
                <w:rFonts w:ascii="Symbol" w:hAnsi="Symbol"/>
                <w:b/>
                <w:lang w:val="cs-CZ"/>
              </w:rPr>
              <w:sym w:font="Symbol" w:char="F0B3"/>
            </w:r>
            <w:r w:rsidRPr="001B4A02">
              <w:rPr>
                <w:rFonts w:ascii="Times New Roman" w:hAnsi="Times New Roman"/>
                <w:b/>
                <w:lang w:val="cs-CZ"/>
              </w:rPr>
              <w:t xml:space="preserve"> </w:t>
            </w:r>
            <w:r w:rsidRPr="001B4A02">
              <w:rPr>
                <w:rFonts w:ascii="Times New Roman" w:hAnsi="Times New Roman"/>
                <w:b/>
                <w:bCs w:val="0"/>
                <w:szCs w:val="22"/>
                <w:lang w:val="cs-CZ"/>
              </w:rPr>
              <w:t>PASI 75</w:t>
            </w:r>
            <w:r w:rsidRPr="001B4A02">
              <w:rPr>
                <w:rFonts w:ascii="Times New Roman" w:hAnsi="Times New Roman"/>
                <w:b/>
                <w:bCs w:val="0"/>
                <w:szCs w:val="22"/>
                <w:vertAlign w:val="superscript"/>
                <w:lang w:val="cs-CZ"/>
              </w:rPr>
              <w:t>a</w:t>
            </w:r>
          </w:p>
        </w:tc>
        <w:tc>
          <w:tcPr>
            <w:tcW w:w="2409" w:type="dxa"/>
          </w:tcPr>
          <w:p w14:paraId="5D068E41" w14:textId="77777777" w:rsidR="00DB5C44" w:rsidRPr="001B4A02" w:rsidRDefault="00000000" w:rsidP="00ED48A3">
            <w:pPr>
              <w:pStyle w:val="DefaultText"/>
              <w:keepNext/>
              <w:jc w:val="center"/>
              <w:rPr>
                <w:rFonts w:ascii="Times New Roman" w:hAnsi="Times New Roman"/>
                <w:lang w:val="cs-CZ"/>
              </w:rPr>
            </w:pPr>
            <w:r w:rsidRPr="001B4A02">
              <w:rPr>
                <w:rFonts w:ascii="Times New Roman" w:hAnsi="Times New Roman"/>
                <w:szCs w:val="22"/>
                <w:lang w:val="cs-CZ"/>
              </w:rPr>
              <w:t>26 (6,5)</w:t>
            </w:r>
          </w:p>
        </w:tc>
        <w:tc>
          <w:tcPr>
            <w:tcW w:w="3685" w:type="dxa"/>
          </w:tcPr>
          <w:p w14:paraId="5F8C44E7" w14:textId="77777777" w:rsidR="00DB5C44" w:rsidRPr="001B4A02" w:rsidRDefault="00000000" w:rsidP="00ED48A3">
            <w:pPr>
              <w:pStyle w:val="DefaultText"/>
              <w:keepNext/>
              <w:jc w:val="center"/>
              <w:rPr>
                <w:rFonts w:ascii="Times New Roman" w:hAnsi="Times New Roman"/>
                <w:lang w:val="cs-CZ"/>
              </w:rPr>
            </w:pPr>
            <w:r w:rsidRPr="001B4A02">
              <w:rPr>
                <w:rFonts w:ascii="Times New Roman" w:hAnsi="Times New Roman"/>
                <w:szCs w:val="22"/>
                <w:lang w:val="cs-CZ"/>
              </w:rPr>
              <w:t>578 (70,9)</w:t>
            </w:r>
            <w:r w:rsidRPr="001B4A02">
              <w:rPr>
                <w:rFonts w:ascii="Times New Roman" w:hAnsi="Times New Roman"/>
                <w:szCs w:val="22"/>
                <w:vertAlign w:val="superscript"/>
                <w:lang w:val="cs-CZ"/>
              </w:rPr>
              <w:t>b</w:t>
            </w:r>
          </w:p>
        </w:tc>
      </w:tr>
      <w:tr w:rsidR="00534A2D" w14:paraId="2163071D" w14:textId="77777777" w:rsidTr="00F51027">
        <w:trPr>
          <w:cantSplit/>
          <w:trHeight w:val="70"/>
          <w:jc w:val="center"/>
        </w:trPr>
        <w:tc>
          <w:tcPr>
            <w:tcW w:w="2411" w:type="dxa"/>
          </w:tcPr>
          <w:p w14:paraId="5A1658BA" w14:textId="77777777" w:rsidR="00DB5C44" w:rsidRPr="001B4A02" w:rsidRDefault="00000000" w:rsidP="00ED48A3">
            <w:pPr>
              <w:pStyle w:val="DefaultText"/>
              <w:keepNext/>
              <w:rPr>
                <w:rFonts w:ascii="Times New Roman" w:hAnsi="Times New Roman"/>
                <w:b/>
                <w:bCs w:val="0"/>
                <w:lang w:val="cs-CZ"/>
              </w:rPr>
            </w:pPr>
            <w:r w:rsidRPr="001B4A02">
              <w:rPr>
                <w:rFonts w:ascii="Times New Roman" w:hAnsi="Times New Roman"/>
                <w:b/>
                <w:bCs w:val="0"/>
                <w:szCs w:val="22"/>
                <w:lang w:val="cs-CZ"/>
              </w:rPr>
              <w:t>PASI 100</w:t>
            </w:r>
          </w:p>
        </w:tc>
        <w:tc>
          <w:tcPr>
            <w:tcW w:w="2409" w:type="dxa"/>
          </w:tcPr>
          <w:p w14:paraId="2656CE55" w14:textId="77777777" w:rsidR="00DB5C44" w:rsidRPr="001B4A02" w:rsidRDefault="00000000" w:rsidP="00ED48A3">
            <w:pPr>
              <w:pStyle w:val="DefaultText"/>
              <w:keepNext/>
              <w:jc w:val="center"/>
              <w:rPr>
                <w:rFonts w:ascii="Times New Roman" w:hAnsi="Times New Roman"/>
                <w:lang w:val="cs-CZ"/>
              </w:rPr>
            </w:pPr>
            <w:r w:rsidRPr="001B4A02">
              <w:rPr>
                <w:rFonts w:ascii="Times New Roman" w:hAnsi="Times New Roman"/>
                <w:szCs w:val="22"/>
                <w:lang w:val="cs-CZ"/>
              </w:rPr>
              <w:t>3 (0,8)</w:t>
            </w:r>
          </w:p>
        </w:tc>
        <w:tc>
          <w:tcPr>
            <w:tcW w:w="3685" w:type="dxa"/>
          </w:tcPr>
          <w:p w14:paraId="6B3668E5" w14:textId="77777777" w:rsidR="00DB5C44" w:rsidRPr="001B4A02" w:rsidRDefault="00000000" w:rsidP="00ED48A3">
            <w:pPr>
              <w:pStyle w:val="DefaultText"/>
              <w:keepNext/>
              <w:jc w:val="center"/>
              <w:rPr>
                <w:rFonts w:ascii="Times New Roman" w:hAnsi="Times New Roman"/>
                <w:lang w:val="cs-CZ"/>
              </w:rPr>
            </w:pPr>
            <w:r w:rsidRPr="001B4A02">
              <w:rPr>
                <w:rFonts w:ascii="Times New Roman" w:hAnsi="Times New Roman"/>
                <w:szCs w:val="22"/>
                <w:lang w:val="cs-CZ"/>
              </w:rPr>
              <w:t>163 (20,0)</w:t>
            </w:r>
            <w:r w:rsidRPr="001B4A02">
              <w:rPr>
                <w:rFonts w:ascii="Times New Roman" w:hAnsi="Times New Roman"/>
                <w:szCs w:val="22"/>
                <w:vertAlign w:val="superscript"/>
                <w:lang w:val="cs-CZ"/>
              </w:rPr>
              <w:t>b</w:t>
            </w:r>
          </w:p>
        </w:tc>
      </w:tr>
      <w:tr w:rsidR="00534A2D" w14:paraId="4A987710" w14:textId="77777777" w:rsidTr="00F51027">
        <w:trPr>
          <w:cantSplit/>
          <w:jc w:val="center"/>
        </w:trPr>
        <w:tc>
          <w:tcPr>
            <w:tcW w:w="2411" w:type="dxa"/>
          </w:tcPr>
          <w:p w14:paraId="6F14A8FE" w14:textId="77777777" w:rsidR="00DB5C44" w:rsidRPr="001B4A02" w:rsidRDefault="00000000" w:rsidP="00ED48A3">
            <w:pPr>
              <w:pStyle w:val="DefaultText"/>
              <w:keepNext/>
              <w:rPr>
                <w:rFonts w:ascii="Times New Roman" w:hAnsi="Times New Roman"/>
                <w:b/>
                <w:bCs w:val="0"/>
                <w:lang w:val="cs-CZ"/>
              </w:rPr>
            </w:pPr>
            <w:r w:rsidRPr="001B4A02">
              <w:rPr>
                <w:rFonts w:ascii="Times New Roman" w:hAnsi="Times New Roman"/>
                <w:b/>
                <w:bCs w:val="0"/>
                <w:szCs w:val="22"/>
                <w:lang w:val="cs-CZ"/>
              </w:rPr>
              <w:t>PGA: čistý/minimální</w:t>
            </w:r>
          </w:p>
        </w:tc>
        <w:tc>
          <w:tcPr>
            <w:tcW w:w="2409" w:type="dxa"/>
          </w:tcPr>
          <w:p w14:paraId="06A400BA" w14:textId="77777777" w:rsidR="00DB5C44" w:rsidRPr="001B4A02" w:rsidRDefault="00000000" w:rsidP="00ED48A3">
            <w:pPr>
              <w:pStyle w:val="DefaultText"/>
              <w:keepNext/>
              <w:jc w:val="center"/>
              <w:rPr>
                <w:rFonts w:ascii="Times New Roman" w:hAnsi="Times New Roman"/>
                <w:lang w:val="cs-CZ"/>
              </w:rPr>
            </w:pPr>
            <w:r w:rsidRPr="001B4A02">
              <w:rPr>
                <w:rFonts w:ascii="Times New Roman" w:hAnsi="Times New Roman"/>
                <w:szCs w:val="22"/>
                <w:lang w:val="cs-CZ"/>
              </w:rPr>
              <w:t>17 (4,3)</w:t>
            </w:r>
          </w:p>
        </w:tc>
        <w:tc>
          <w:tcPr>
            <w:tcW w:w="3685" w:type="dxa"/>
          </w:tcPr>
          <w:p w14:paraId="5CBC9B23" w14:textId="77777777" w:rsidR="00DB5C44" w:rsidRPr="001B4A02" w:rsidRDefault="00000000" w:rsidP="00ED48A3">
            <w:pPr>
              <w:pStyle w:val="DefaultText"/>
              <w:keepNext/>
              <w:jc w:val="center"/>
              <w:rPr>
                <w:rFonts w:ascii="Times New Roman" w:hAnsi="Times New Roman"/>
                <w:lang w:val="cs-CZ"/>
              </w:rPr>
            </w:pPr>
            <w:r w:rsidRPr="001B4A02">
              <w:rPr>
                <w:rFonts w:ascii="Times New Roman" w:hAnsi="Times New Roman"/>
                <w:szCs w:val="22"/>
                <w:lang w:val="cs-CZ"/>
              </w:rPr>
              <w:t>506 (62,2)</w:t>
            </w:r>
            <w:r w:rsidRPr="001B4A02">
              <w:rPr>
                <w:rFonts w:ascii="Times New Roman" w:hAnsi="Times New Roman"/>
                <w:szCs w:val="22"/>
                <w:vertAlign w:val="superscript"/>
                <w:lang w:val="cs-CZ"/>
              </w:rPr>
              <w:t>b</w:t>
            </w:r>
          </w:p>
        </w:tc>
      </w:tr>
      <w:tr w:rsidR="00534A2D" w14:paraId="08CD0B5A" w14:textId="77777777" w:rsidTr="00F51027">
        <w:trPr>
          <w:cantSplit/>
          <w:jc w:val="center"/>
        </w:trPr>
        <w:tc>
          <w:tcPr>
            <w:tcW w:w="8505" w:type="dxa"/>
            <w:gridSpan w:val="3"/>
          </w:tcPr>
          <w:p w14:paraId="561C897C" w14:textId="77777777" w:rsidR="00DB5C44" w:rsidRPr="001B4A02" w:rsidRDefault="00000000" w:rsidP="00ED48A3">
            <w:pPr>
              <w:pStyle w:val="DefaultText"/>
              <w:rPr>
                <w:rFonts w:ascii="Times New Roman" w:hAnsi="Times New Roman"/>
                <w:szCs w:val="22"/>
                <w:lang w:val="cs-CZ"/>
              </w:rPr>
            </w:pPr>
            <w:r w:rsidRPr="001B4A02">
              <w:rPr>
                <w:rFonts w:ascii="Times New Roman" w:hAnsi="Times New Roman"/>
                <w:szCs w:val="22"/>
                <w:vertAlign w:val="superscript"/>
                <w:lang w:val="cs-CZ"/>
              </w:rPr>
              <w:t>a</w:t>
            </w:r>
            <w:r w:rsidRPr="001B4A02">
              <w:rPr>
                <w:rFonts w:ascii="Times New Roman" w:hAnsi="Times New Roman"/>
                <w:szCs w:val="22"/>
                <w:lang w:val="cs-CZ"/>
              </w:rPr>
              <w:t xml:space="preserve"> Procento pacientů, kteří dosáhli PASI</w:t>
            </w:r>
            <w:r w:rsidR="002F4790" w:rsidRPr="001B4A02">
              <w:rPr>
                <w:rFonts w:ascii="Times New Roman" w:hAnsi="Times New Roman"/>
                <w:szCs w:val="22"/>
                <w:lang w:val="cs-CZ"/>
              </w:rPr>
              <w:t> </w:t>
            </w:r>
            <w:r w:rsidRPr="001B4A02">
              <w:rPr>
                <w:rFonts w:ascii="Times New Roman" w:hAnsi="Times New Roman"/>
                <w:szCs w:val="22"/>
                <w:lang w:val="cs-CZ"/>
              </w:rPr>
              <w:t>75, bylo vypočteno jako střední průměr hodnot</w:t>
            </w:r>
          </w:p>
          <w:p w14:paraId="1FD350BC" w14:textId="77777777" w:rsidR="00DB5C44" w:rsidRPr="001B4A02" w:rsidRDefault="00000000" w:rsidP="00ED48A3">
            <w:pPr>
              <w:pStyle w:val="DefaultText"/>
              <w:keepNext/>
              <w:rPr>
                <w:rFonts w:ascii="Times New Roman" w:hAnsi="Times New Roman"/>
                <w:lang w:val="cs-CZ"/>
              </w:rPr>
            </w:pPr>
            <w:r w:rsidRPr="001B4A02">
              <w:rPr>
                <w:rFonts w:ascii="Times New Roman" w:hAnsi="Times New Roman"/>
                <w:sz w:val="20"/>
                <w:vertAlign w:val="superscript"/>
                <w:lang w:val="cs-CZ"/>
              </w:rPr>
              <w:t>b</w:t>
            </w:r>
            <w:r w:rsidR="00A97963" w:rsidRPr="001B4A02">
              <w:rPr>
                <w:rFonts w:ascii="Times New Roman" w:hAnsi="Times New Roman"/>
                <w:szCs w:val="22"/>
                <w:lang w:val="cs-CZ"/>
              </w:rPr>
              <w:t xml:space="preserve"> p&lt;0,</w:t>
            </w:r>
            <w:r w:rsidRPr="001B4A02">
              <w:rPr>
                <w:rFonts w:ascii="Times New Roman" w:hAnsi="Times New Roman"/>
                <w:szCs w:val="22"/>
                <w:lang w:val="cs-CZ"/>
              </w:rPr>
              <w:t xml:space="preserve">001, </w:t>
            </w:r>
            <w:r w:rsidR="004C58C9" w:rsidRPr="001B4A02">
              <w:rPr>
                <w:rFonts w:ascii="Times New Roman" w:hAnsi="Times New Roman"/>
                <w:szCs w:val="22"/>
                <w:lang w:val="cs-CZ"/>
              </w:rPr>
              <w:t>p</w:t>
            </w:r>
            <w:r w:rsidR="00F67928" w:rsidRPr="001B4A02">
              <w:rPr>
                <w:rFonts w:ascii="Times New Roman" w:hAnsi="Times New Roman"/>
                <w:szCs w:val="22"/>
                <w:lang w:val="cs-CZ"/>
              </w:rPr>
              <w:t xml:space="preserve">řípravek </w:t>
            </w:r>
            <w:r w:rsidRPr="001B4A02">
              <w:rPr>
                <w:rFonts w:ascii="Times New Roman" w:hAnsi="Times New Roman"/>
                <w:szCs w:val="22"/>
                <w:lang w:val="cs-CZ"/>
              </w:rPr>
              <w:t>Humira vs. placebo</w:t>
            </w:r>
          </w:p>
        </w:tc>
      </w:tr>
    </w:tbl>
    <w:p w14:paraId="3D392103" w14:textId="77777777" w:rsidR="00E7724C" w:rsidRPr="001B4A02" w:rsidRDefault="00E7724C" w:rsidP="00ED48A3">
      <w:pPr>
        <w:pStyle w:val="BodyText3"/>
        <w:rPr>
          <w:b w:val="0"/>
          <w:i w:val="0"/>
          <w:lang w:val="cs-CZ"/>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7"/>
        <w:gridCol w:w="1155"/>
        <w:gridCol w:w="1288"/>
        <w:gridCol w:w="3685"/>
      </w:tblGrid>
      <w:tr w:rsidR="00534A2D" w14:paraId="54BF84E1" w14:textId="77777777" w:rsidTr="00F51027">
        <w:trPr>
          <w:cantSplit/>
          <w:jc w:val="center"/>
        </w:trPr>
        <w:tc>
          <w:tcPr>
            <w:tcW w:w="8505" w:type="dxa"/>
            <w:gridSpan w:val="4"/>
            <w:tcBorders>
              <w:top w:val="nil"/>
              <w:left w:val="nil"/>
              <w:right w:val="nil"/>
            </w:tcBorders>
          </w:tcPr>
          <w:p w14:paraId="53B43519" w14:textId="77777777" w:rsidR="00E7724C" w:rsidRPr="00E331EB" w:rsidRDefault="00000000" w:rsidP="00ED48A3">
            <w:pPr>
              <w:pStyle w:val="DefaultText"/>
              <w:keepNext/>
              <w:jc w:val="center"/>
              <w:rPr>
                <w:rFonts w:ascii="Times New Roman" w:hAnsi="Times New Roman"/>
                <w:b/>
                <w:bCs w:val="0"/>
                <w:lang w:val="cs-CZ"/>
              </w:rPr>
            </w:pPr>
            <w:r w:rsidRPr="00E331EB">
              <w:rPr>
                <w:rFonts w:ascii="Times New Roman" w:hAnsi="Times New Roman"/>
                <w:b/>
                <w:bCs w:val="0"/>
                <w:lang w:val="cs-CZ"/>
              </w:rPr>
              <w:t xml:space="preserve">Tabulka </w:t>
            </w:r>
            <w:r w:rsidR="00E331EB" w:rsidRPr="00E331EB">
              <w:rPr>
                <w:rFonts w:ascii="Times New Roman" w:hAnsi="Times New Roman"/>
                <w:b/>
                <w:bCs w:val="0"/>
                <w:lang w:val="cs-CZ"/>
              </w:rPr>
              <w:t>1</w:t>
            </w:r>
            <w:r w:rsidR="00E331EB" w:rsidRPr="001D2137">
              <w:rPr>
                <w:rFonts w:ascii="Times New Roman" w:hAnsi="Times New Roman"/>
                <w:b/>
                <w:lang w:val="cs-CZ"/>
              </w:rPr>
              <w:t>0</w:t>
            </w:r>
          </w:p>
          <w:p w14:paraId="4365E516" w14:textId="77777777" w:rsidR="00DB5C44" w:rsidRPr="00E331EB" w:rsidRDefault="00000000" w:rsidP="00ED48A3">
            <w:pPr>
              <w:pStyle w:val="DefaultText"/>
              <w:keepNext/>
              <w:jc w:val="center"/>
              <w:rPr>
                <w:rFonts w:ascii="Times New Roman" w:hAnsi="Times New Roman"/>
                <w:b/>
                <w:bCs w:val="0"/>
                <w:lang w:val="cs-CZ"/>
              </w:rPr>
            </w:pPr>
            <w:r w:rsidRPr="00E331EB">
              <w:rPr>
                <w:rFonts w:ascii="Times New Roman" w:hAnsi="Times New Roman"/>
                <w:b/>
                <w:bCs w:val="0"/>
                <w:lang w:val="cs-CZ"/>
              </w:rPr>
              <w:t xml:space="preserve">Studie </w:t>
            </w:r>
            <w:r w:rsidR="00E7724C" w:rsidRPr="00E331EB">
              <w:rPr>
                <w:rFonts w:ascii="Times New Roman" w:hAnsi="Times New Roman"/>
                <w:b/>
                <w:bCs w:val="0"/>
                <w:lang w:val="cs-CZ"/>
              </w:rPr>
              <w:t xml:space="preserve">Ps II (CHAMPION) </w:t>
            </w:r>
          </w:p>
          <w:p w14:paraId="37125123" w14:textId="77777777" w:rsidR="00E7724C" w:rsidRPr="00E331EB" w:rsidRDefault="00000000" w:rsidP="00ED48A3">
            <w:pPr>
              <w:pStyle w:val="DefaultText"/>
              <w:keepNext/>
              <w:jc w:val="center"/>
              <w:rPr>
                <w:rFonts w:ascii="Times New Roman" w:hAnsi="Times New Roman"/>
                <w:b/>
                <w:bCs w:val="0"/>
                <w:lang w:val="cs-CZ"/>
              </w:rPr>
            </w:pPr>
            <w:r w:rsidRPr="00E331EB">
              <w:rPr>
                <w:rFonts w:ascii="Times New Roman" w:hAnsi="Times New Roman"/>
                <w:b/>
                <w:bCs w:val="0"/>
                <w:szCs w:val="22"/>
                <w:lang w:val="cs-CZ"/>
              </w:rPr>
              <w:t>Výsledky účinnosti za 16 týdnů</w:t>
            </w:r>
          </w:p>
        </w:tc>
      </w:tr>
      <w:tr w:rsidR="00534A2D" w14:paraId="7311F1EC" w14:textId="77777777" w:rsidTr="00B14511">
        <w:trPr>
          <w:cantSplit/>
          <w:jc w:val="center"/>
        </w:trPr>
        <w:tc>
          <w:tcPr>
            <w:tcW w:w="2377" w:type="dxa"/>
          </w:tcPr>
          <w:p w14:paraId="52598B6C" w14:textId="77777777" w:rsidR="00DB5C44" w:rsidRPr="001B4A02" w:rsidRDefault="00DB5C44" w:rsidP="00ED48A3">
            <w:pPr>
              <w:pStyle w:val="DefaultText"/>
              <w:keepNext/>
              <w:jc w:val="center"/>
              <w:rPr>
                <w:rFonts w:ascii="Times New Roman" w:hAnsi="Times New Roman"/>
                <w:b/>
                <w:bCs w:val="0"/>
                <w:lang w:val="cs-CZ"/>
              </w:rPr>
            </w:pPr>
          </w:p>
        </w:tc>
        <w:tc>
          <w:tcPr>
            <w:tcW w:w="1155" w:type="dxa"/>
            <w:vAlign w:val="center"/>
          </w:tcPr>
          <w:p w14:paraId="50468659" w14:textId="77777777" w:rsidR="00DB5C44" w:rsidRPr="001B4A02" w:rsidRDefault="00000000" w:rsidP="00ED48A3">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Placebo</w:t>
            </w:r>
          </w:p>
          <w:p w14:paraId="3C9CF58D" w14:textId="77777777" w:rsidR="00DB5C44" w:rsidRPr="001B4A02" w:rsidRDefault="00000000" w:rsidP="00ED48A3">
            <w:pPr>
              <w:pStyle w:val="DefaultText"/>
              <w:keepNext/>
              <w:jc w:val="center"/>
              <w:rPr>
                <w:rFonts w:ascii="Times New Roman" w:hAnsi="Times New Roman"/>
                <w:b/>
                <w:bCs w:val="0"/>
                <w:szCs w:val="22"/>
                <w:lang w:val="cs-CZ"/>
              </w:rPr>
            </w:pPr>
            <w:r>
              <w:rPr>
                <w:rFonts w:ascii="Times New Roman" w:hAnsi="Times New Roman"/>
                <w:b/>
                <w:bCs w:val="0"/>
                <w:szCs w:val="22"/>
                <w:lang w:val="cs-CZ"/>
              </w:rPr>
              <w:t>n</w:t>
            </w:r>
            <w:r w:rsidRPr="001B4A02">
              <w:rPr>
                <w:rFonts w:ascii="Times New Roman" w:hAnsi="Times New Roman"/>
                <w:b/>
                <w:bCs w:val="0"/>
                <w:szCs w:val="22"/>
                <w:lang w:val="cs-CZ"/>
              </w:rPr>
              <w:t>=53</w:t>
            </w:r>
          </w:p>
          <w:p w14:paraId="6C84E74E" w14:textId="77777777" w:rsidR="00DB5C44" w:rsidRPr="001B4A02" w:rsidRDefault="00000000" w:rsidP="00ED48A3">
            <w:pPr>
              <w:pStyle w:val="DefaultText"/>
              <w:keepNext/>
              <w:jc w:val="center"/>
              <w:rPr>
                <w:rFonts w:ascii="Times New Roman" w:hAnsi="Times New Roman"/>
                <w:b/>
                <w:bCs w:val="0"/>
                <w:lang w:val="cs-CZ"/>
              </w:rPr>
            </w:pPr>
            <w:r w:rsidRPr="001B4A02">
              <w:rPr>
                <w:rFonts w:ascii="Times New Roman" w:hAnsi="Times New Roman"/>
                <w:b/>
                <w:bCs w:val="0"/>
                <w:szCs w:val="22"/>
                <w:lang w:val="cs-CZ"/>
              </w:rPr>
              <w:t>n (%)</w:t>
            </w:r>
          </w:p>
        </w:tc>
        <w:tc>
          <w:tcPr>
            <w:tcW w:w="1288" w:type="dxa"/>
            <w:vAlign w:val="center"/>
          </w:tcPr>
          <w:p w14:paraId="41AA874F" w14:textId="77777777" w:rsidR="00DB5C44" w:rsidRPr="001B4A02" w:rsidRDefault="00000000" w:rsidP="00ED48A3">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MTX</w:t>
            </w:r>
          </w:p>
          <w:p w14:paraId="4615B1CC" w14:textId="77777777" w:rsidR="00DB5C44" w:rsidRPr="001B4A02" w:rsidRDefault="00000000" w:rsidP="00ED48A3">
            <w:pPr>
              <w:pStyle w:val="DefaultText"/>
              <w:keepNext/>
              <w:jc w:val="center"/>
              <w:rPr>
                <w:rFonts w:ascii="Times New Roman" w:hAnsi="Times New Roman"/>
                <w:b/>
                <w:bCs w:val="0"/>
                <w:szCs w:val="22"/>
                <w:lang w:val="cs-CZ"/>
              </w:rPr>
            </w:pPr>
            <w:r>
              <w:rPr>
                <w:rFonts w:ascii="Times New Roman" w:hAnsi="Times New Roman"/>
                <w:b/>
                <w:bCs w:val="0"/>
                <w:szCs w:val="22"/>
                <w:lang w:val="cs-CZ"/>
              </w:rPr>
              <w:t>n</w:t>
            </w:r>
            <w:r w:rsidRPr="001B4A02">
              <w:rPr>
                <w:rFonts w:ascii="Times New Roman" w:hAnsi="Times New Roman"/>
                <w:b/>
                <w:bCs w:val="0"/>
                <w:szCs w:val="22"/>
                <w:lang w:val="cs-CZ"/>
              </w:rPr>
              <w:t>=110</w:t>
            </w:r>
          </w:p>
          <w:p w14:paraId="4952BF9E" w14:textId="77777777" w:rsidR="00DB5C44" w:rsidRPr="001B4A02" w:rsidRDefault="00000000" w:rsidP="00ED48A3">
            <w:pPr>
              <w:pStyle w:val="DefaultText"/>
              <w:keepNext/>
              <w:jc w:val="center"/>
              <w:rPr>
                <w:rFonts w:ascii="Times New Roman" w:hAnsi="Times New Roman"/>
                <w:b/>
                <w:bCs w:val="0"/>
                <w:lang w:val="cs-CZ"/>
              </w:rPr>
            </w:pPr>
            <w:r w:rsidRPr="001B4A02">
              <w:rPr>
                <w:rFonts w:ascii="Times New Roman" w:hAnsi="Times New Roman"/>
                <w:b/>
                <w:bCs w:val="0"/>
                <w:szCs w:val="22"/>
                <w:lang w:val="cs-CZ"/>
              </w:rPr>
              <w:t>n (%)</w:t>
            </w:r>
          </w:p>
        </w:tc>
        <w:tc>
          <w:tcPr>
            <w:tcW w:w="3685" w:type="dxa"/>
            <w:vAlign w:val="center"/>
          </w:tcPr>
          <w:p w14:paraId="068DE871" w14:textId="77777777" w:rsidR="00DB5C44" w:rsidRPr="001B4A02" w:rsidRDefault="00000000" w:rsidP="00ED48A3">
            <w:pPr>
              <w:pStyle w:val="DefaultText"/>
              <w:keepNext/>
              <w:jc w:val="center"/>
              <w:rPr>
                <w:rFonts w:ascii="Times New Roman" w:hAnsi="Times New Roman"/>
                <w:b/>
                <w:bCs w:val="0"/>
                <w:szCs w:val="22"/>
                <w:lang w:val="cs-CZ"/>
              </w:rPr>
            </w:pPr>
            <w:r w:rsidRPr="001B4A02">
              <w:rPr>
                <w:rFonts w:ascii="Times New Roman" w:hAnsi="Times New Roman"/>
                <w:b/>
                <w:bCs w:val="0"/>
                <w:szCs w:val="22"/>
                <w:lang w:val="cs-CZ"/>
              </w:rPr>
              <w:t>Humira 40</w:t>
            </w:r>
            <w:r w:rsidR="00874DE1">
              <w:rPr>
                <w:rFonts w:ascii="Times New Roman" w:hAnsi="Times New Roman"/>
                <w:b/>
                <w:bCs w:val="0"/>
                <w:szCs w:val="22"/>
                <w:lang w:val="cs-CZ"/>
              </w:rPr>
              <w:t> mg</w:t>
            </w:r>
            <w:r w:rsidRPr="001B4A02">
              <w:rPr>
                <w:rFonts w:ascii="Times New Roman" w:hAnsi="Times New Roman"/>
                <w:b/>
                <w:bCs w:val="0"/>
                <w:szCs w:val="22"/>
                <w:lang w:val="cs-CZ"/>
              </w:rPr>
              <w:t xml:space="preserve"> každý druhý týden</w:t>
            </w:r>
          </w:p>
          <w:p w14:paraId="0D1AFAF0" w14:textId="77777777" w:rsidR="00DB5C44" w:rsidRPr="001B4A02" w:rsidRDefault="00000000" w:rsidP="00ED48A3">
            <w:pPr>
              <w:pStyle w:val="DefaultText"/>
              <w:keepNext/>
              <w:jc w:val="center"/>
              <w:rPr>
                <w:rFonts w:ascii="Times New Roman" w:hAnsi="Times New Roman"/>
                <w:b/>
                <w:bCs w:val="0"/>
                <w:szCs w:val="22"/>
                <w:lang w:val="cs-CZ"/>
              </w:rPr>
            </w:pPr>
            <w:r>
              <w:rPr>
                <w:rFonts w:ascii="Times New Roman" w:hAnsi="Times New Roman"/>
                <w:b/>
                <w:bCs w:val="0"/>
                <w:szCs w:val="22"/>
                <w:lang w:val="cs-CZ"/>
              </w:rPr>
              <w:t>n</w:t>
            </w:r>
            <w:r w:rsidRPr="001B4A02">
              <w:rPr>
                <w:rFonts w:ascii="Times New Roman" w:hAnsi="Times New Roman"/>
                <w:b/>
                <w:bCs w:val="0"/>
                <w:szCs w:val="22"/>
                <w:lang w:val="cs-CZ"/>
              </w:rPr>
              <w:t>=108</w:t>
            </w:r>
          </w:p>
          <w:p w14:paraId="5F199264" w14:textId="77777777" w:rsidR="00DB5C44" w:rsidRPr="001B4A02" w:rsidRDefault="00000000" w:rsidP="00ED48A3">
            <w:pPr>
              <w:pStyle w:val="DefaultText"/>
              <w:keepNext/>
              <w:jc w:val="center"/>
              <w:rPr>
                <w:rFonts w:ascii="Times New Roman" w:hAnsi="Times New Roman"/>
                <w:b/>
                <w:bCs w:val="0"/>
                <w:lang w:val="cs-CZ"/>
              </w:rPr>
            </w:pPr>
            <w:r w:rsidRPr="001B4A02">
              <w:rPr>
                <w:rFonts w:ascii="Times New Roman" w:hAnsi="Times New Roman"/>
                <w:b/>
                <w:bCs w:val="0"/>
                <w:szCs w:val="22"/>
                <w:lang w:val="cs-CZ"/>
              </w:rPr>
              <w:t>n (%)</w:t>
            </w:r>
          </w:p>
        </w:tc>
      </w:tr>
      <w:tr w:rsidR="00534A2D" w14:paraId="57BA51D7" w14:textId="77777777" w:rsidTr="00B14511">
        <w:trPr>
          <w:cantSplit/>
          <w:jc w:val="center"/>
        </w:trPr>
        <w:tc>
          <w:tcPr>
            <w:tcW w:w="2377" w:type="dxa"/>
          </w:tcPr>
          <w:p w14:paraId="127AE4A5" w14:textId="77777777" w:rsidR="00DB5C44" w:rsidRPr="001B4A02" w:rsidRDefault="00000000" w:rsidP="00ED48A3">
            <w:pPr>
              <w:pStyle w:val="DefaultText"/>
              <w:keepNext/>
              <w:rPr>
                <w:rFonts w:ascii="Times New Roman" w:hAnsi="Times New Roman"/>
                <w:b/>
                <w:bCs w:val="0"/>
                <w:lang w:val="cs-CZ"/>
              </w:rPr>
            </w:pPr>
            <w:r w:rsidRPr="001B4A02">
              <w:rPr>
                <w:rFonts w:ascii="Symbol" w:hAnsi="Symbol"/>
                <w:b/>
                <w:lang w:val="cs-CZ"/>
              </w:rPr>
              <w:sym w:font="Symbol" w:char="F0B3"/>
            </w:r>
            <w:r w:rsidRPr="001B4A02">
              <w:rPr>
                <w:rFonts w:ascii="Times New Roman" w:hAnsi="Times New Roman"/>
                <w:b/>
                <w:lang w:val="cs-CZ"/>
              </w:rPr>
              <w:t xml:space="preserve"> </w:t>
            </w:r>
            <w:r w:rsidRPr="001B4A02">
              <w:rPr>
                <w:rFonts w:ascii="Times New Roman" w:hAnsi="Times New Roman"/>
                <w:b/>
                <w:bCs w:val="0"/>
                <w:szCs w:val="22"/>
                <w:lang w:val="cs-CZ"/>
              </w:rPr>
              <w:t>PASI 75</w:t>
            </w:r>
          </w:p>
        </w:tc>
        <w:tc>
          <w:tcPr>
            <w:tcW w:w="1155" w:type="dxa"/>
          </w:tcPr>
          <w:p w14:paraId="0FA255CD" w14:textId="77777777" w:rsidR="00DB5C44" w:rsidRPr="001B4A02" w:rsidRDefault="00000000" w:rsidP="00ED48A3">
            <w:pPr>
              <w:pStyle w:val="DefaultText"/>
              <w:keepNext/>
              <w:jc w:val="center"/>
              <w:rPr>
                <w:rFonts w:ascii="Times New Roman" w:hAnsi="Times New Roman"/>
                <w:lang w:val="cs-CZ"/>
              </w:rPr>
            </w:pPr>
            <w:r w:rsidRPr="001B4A02">
              <w:rPr>
                <w:rFonts w:ascii="Times New Roman" w:hAnsi="Times New Roman"/>
                <w:szCs w:val="22"/>
                <w:lang w:val="cs-CZ"/>
              </w:rPr>
              <w:t>10 (18,9)</w:t>
            </w:r>
          </w:p>
        </w:tc>
        <w:tc>
          <w:tcPr>
            <w:tcW w:w="1288" w:type="dxa"/>
          </w:tcPr>
          <w:p w14:paraId="61C2545D" w14:textId="77777777" w:rsidR="00DB5C44" w:rsidRPr="001B4A02" w:rsidRDefault="00000000" w:rsidP="00ED48A3">
            <w:pPr>
              <w:pStyle w:val="DefaultText"/>
              <w:keepNext/>
              <w:jc w:val="center"/>
              <w:rPr>
                <w:rFonts w:ascii="Times New Roman" w:hAnsi="Times New Roman"/>
                <w:lang w:val="cs-CZ"/>
              </w:rPr>
            </w:pPr>
            <w:r w:rsidRPr="001B4A02">
              <w:rPr>
                <w:rFonts w:ascii="Times New Roman" w:hAnsi="Times New Roman"/>
                <w:szCs w:val="22"/>
                <w:lang w:val="cs-CZ"/>
              </w:rPr>
              <w:t>39 (35,5)</w:t>
            </w:r>
          </w:p>
        </w:tc>
        <w:tc>
          <w:tcPr>
            <w:tcW w:w="3685" w:type="dxa"/>
          </w:tcPr>
          <w:p w14:paraId="772B6B25" w14:textId="77777777" w:rsidR="00DB5C44" w:rsidRPr="001B4A02" w:rsidRDefault="00000000" w:rsidP="00ED48A3">
            <w:pPr>
              <w:pStyle w:val="DefaultText"/>
              <w:keepNext/>
              <w:jc w:val="center"/>
              <w:rPr>
                <w:rFonts w:ascii="Times New Roman" w:hAnsi="Times New Roman"/>
                <w:lang w:val="cs-CZ"/>
              </w:rPr>
            </w:pPr>
            <w:r w:rsidRPr="001B4A02">
              <w:rPr>
                <w:rFonts w:ascii="Times New Roman" w:hAnsi="Times New Roman"/>
                <w:szCs w:val="22"/>
                <w:lang w:val="cs-CZ"/>
              </w:rPr>
              <w:t>86 (79,6)</w:t>
            </w:r>
            <w:r w:rsidRPr="001B4A02">
              <w:rPr>
                <w:rFonts w:ascii="Times New Roman" w:hAnsi="Times New Roman"/>
                <w:szCs w:val="22"/>
                <w:vertAlign w:val="superscript"/>
                <w:lang w:val="cs-CZ"/>
              </w:rPr>
              <w:t xml:space="preserve"> a, b</w:t>
            </w:r>
          </w:p>
        </w:tc>
      </w:tr>
      <w:tr w:rsidR="00534A2D" w14:paraId="402F59BA" w14:textId="77777777" w:rsidTr="00B14511">
        <w:trPr>
          <w:cantSplit/>
          <w:jc w:val="center"/>
        </w:trPr>
        <w:tc>
          <w:tcPr>
            <w:tcW w:w="2377" w:type="dxa"/>
          </w:tcPr>
          <w:p w14:paraId="21E2986C" w14:textId="77777777" w:rsidR="00DB5C44" w:rsidRPr="001B4A02" w:rsidRDefault="00000000" w:rsidP="00ED48A3">
            <w:pPr>
              <w:pStyle w:val="DefaultText"/>
              <w:keepNext/>
              <w:rPr>
                <w:rFonts w:ascii="Times New Roman" w:hAnsi="Times New Roman"/>
                <w:b/>
                <w:bCs w:val="0"/>
                <w:lang w:val="cs-CZ"/>
              </w:rPr>
            </w:pPr>
            <w:r w:rsidRPr="001B4A02">
              <w:rPr>
                <w:rFonts w:ascii="Times New Roman" w:hAnsi="Times New Roman"/>
                <w:b/>
                <w:bCs w:val="0"/>
                <w:szCs w:val="22"/>
                <w:lang w:val="cs-CZ"/>
              </w:rPr>
              <w:t>PASI 100</w:t>
            </w:r>
          </w:p>
        </w:tc>
        <w:tc>
          <w:tcPr>
            <w:tcW w:w="1155" w:type="dxa"/>
          </w:tcPr>
          <w:p w14:paraId="0CFE2F9E" w14:textId="77777777" w:rsidR="00DB5C44" w:rsidRPr="001B4A02" w:rsidRDefault="00000000" w:rsidP="00ED48A3">
            <w:pPr>
              <w:pStyle w:val="DefaultText"/>
              <w:keepNext/>
              <w:jc w:val="center"/>
              <w:rPr>
                <w:rFonts w:ascii="Times New Roman" w:hAnsi="Times New Roman"/>
                <w:lang w:val="cs-CZ"/>
              </w:rPr>
            </w:pPr>
            <w:r w:rsidRPr="001B4A02">
              <w:rPr>
                <w:rFonts w:ascii="Times New Roman" w:hAnsi="Times New Roman"/>
                <w:szCs w:val="22"/>
                <w:lang w:val="cs-CZ"/>
              </w:rPr>
              <w:t>1 (1,9)</w:t>
            </w:r>
          </w:p>
        </w:tc>
        <w:tc>
          <w:tcPr>
            <w:tcW w:w="1288" w:type="dxa"/>
          </w:tcPr>
          <w:p w14:paraId="0E7585B6" w14:textId="77777777" w:rsidR="00DB5C44" w:rsidRPr="001B4A02" w:rsidRDefault="00000000" w:rsidP="00ED48A3">
            <w:pPr>
              <w:pStyle w:val="DefaultText"/>
              <w:keepNext/>
              <w:jc w:val="center"/>
              <w:rPr>
                <w:rFonts w:ascii="Times New Roman" w:hAnsi="Times New Roman"/>
                <w:lang w:val="cs-CZ"/>
              </w:rPr>
            </w:pPr>
            <w:r w:rsidRPr="001B4A02">
              <w:rPr>
                <w:rFonts w:ascii="Times New Roman" w:hAnsi="Times New Roman"/>
                <w:szCs w:val="22"/>
                <w:lang w:val="cs-CZ"/>
              </w:rPr>
              <w:t>8 (7,3)</w:t>
            </w:r>
          </w:p>
        </w:tc>
        <w:tc>
          <w:tcPr>
            <w:tcW w:w="3685" w:type="dxa"/>
          </w:tcPr>
          <w:p w14:paraId="4D974B44" w14:textId="77777777" w:rsidR="00DB5C44" w:rsidRPr="001B4A02" w:rsidRDefault="00000000" w:rsidP="00ED48A3">
            <w:pPr>
              <w:pStyle w:val="DefaultText"/>
              <w:keepNext/>
              <w:jc w:val="center"/>
              <w:rPr>
                <w:rFonts w:ascii="Times New Roman" w:hAnsi="Times New Roman"/>
                <w:lang w:val="cs-CZ"/>
              </w:rPr>
            </w:pPr>
            <w:r w:rsidRPr="001B4A02">
              <w:rPr>
                <w:rFonts w:ascii="Times New Roman" w:hAnsi="Times New Roman"/>
                <w:szCs w:val="22"/>
                <w:lang w:val="cs-CZ"/>
              </w:rPr>
              <w:t>18 (16,7)</w:t>
            </w:r>
            <w:r w:rsidRPr="001B4A02">
              <w:rPr>
                <w:rFonts w:ascii="Times New Roman" w:hAnsi="Times New Roman"/>
                <w:szCs w:val="22"/>
                <w:vertAlign w:val="superscript"/>
                <w:lang w:val="cs-CZ"/>
              </w:rPr>
              <w:t xml:space="preserve"> c, d</w:t>
            </w:r>
          </w:p>
        </w:tc>
      </w:tr>
      <w:tr w:rsidR="00534A2D" w14:paraId="4F2DFC5F" w14:textId="77777777" w:rsidTr="00B14511">
        <w:trPr>
          <w:cantSplit/>
          <w:jc w:val="center"/>
        </w:trPr>
        <w:tc>
          <w:tcPr>
            <w:tcW w:w="2377" w:type="dxa"/>
          </w:tcPr>
          <w:p w14:paraId="73920F3B" w14:textId="77777777" w:rsidR="00DB5C44" w:rsidRPr="001B4A02" w:rsidRDefault="00000000" w:rsidP="00ED48A3">
            <w:pPr>
              <w:pStyle w:val="DefaultText"/>
              <w:keepNext/>
              <w:rPr>
                <w:rFonts w:ascii="Times New Roman" w:hAnsi="Times New Roman"/>
                <w:b/>
                <w:bCs w:val="0"/>
                <w:lang w:val="cs-CZ"/>
              </w:rPr>
            </w:pPr>
            <w:r w:rsidRPr="001B4A02">
              <w:rPr>
                <w:rFonts w:ascii="Times New Roman" w:hAnsi="Times New Roman"/>
                <w:b/>
                <w:bCs w:val="0"/>
                <w:szCs w:val="22"/>
                <w:lang w:val="cs-CZ"/>
              </w:rPr>
              <w:t>PGA: čistý/minimální</w:t>
            </w:r>
          </w:p>
        </w:tc>
        <w:tc>
          <w:tcPr>
            <w:tcW w:w="1155" w:type="dxa"/>
          </w:tcPr>
          <w:p w14:paraId="455F4265" w14:textId="77777777" w:rsidR="00DB5C44" w:rsidRPr="001B4A02" w:rsidRDefault="00000000" w:rsidP="00ED48A3">
            <w:pPr>
              <w:pStyle w:val="DefaultText"/>
              <w:keepNext/>
              <w:jc w:val="center"/>
              <w:rPr>
                <w:rFonts w:ascii="Times New Roman" w:hAnsi="Times New Roman"/>
                <w:lang w:val="cs-CZ"/>
              </w:rPr>
            </w:pPr>
            <w:r w:rsidRPr="001B4A02">
              <w:rPr>
                <w:rFonts w:ascii="Times New Roman" w:hAnsi="Times New Roman"/>
                <w:szCs w:val="22"/>
                <w:lang w:val="cs-CZ"/>
              </w:rPr>
              <w:t>6 (11,3)</w:t>
            </w:r>
          </w:p>
        </w:tc>
        <w:tc>
          <w:tcPr>
            <w:tcW w:w="1288" w:type="dxa"/>
          </w:tcPr>
          <w:p w14:paraId="7282EF2F" w14:textId="77777777" w:rsidR="00DB5C44" w:rsidRPr="001B4A02" w:rsidRDefault="00000000" w:rsidP="00ED48A3">
            <w:pPr>
              <w:pStyle w:val="DefaultText"/>
              <w:keepNext/>
              <w:jc w:val="center"/>
              <w:rPr>
                <w:rFonts w:ascii="Times New Roman" w:hAnsi="Times New Roman"/>
                <w:lang w:val="cs-CZ"/>
              </w:rPr>
            </w:pPr>
            <w:r w:rsidRPr="001B4A02">
              <w:rPr>
                <w:rFonts w:ascii="Times New Roman" w:hAnsi="Times New Roman"/>
                <w:szCs w:val="22"/>
                <w:lang w:val="cs-CZ"/>
              </w:rPr>
              <w:t>33 (30,0)</w:t>
            </w:r>
          </w:p>
        </w:tc>
        <w:tc>
          <w:tcPr>
            <w:tcW w:w="3685" w:type="dxa"/>
          </w:tcPr>
          <w:p w14:paraId="241EDDC1" w14:textId="77777777" w:rsidR="00DB5C44" w:rsidRPr="001B4A02" w:rsidRDefault="00000000" w:rsidP="00ED48A3">
            <w:pPr>
              <w:pStyle w:val="DefaultText"/>
              <w:keepNext/>
              <w:jc w:val="center"/>
              <w:rPr>
                <w:rFonts w:ascii="Times New Roman" w:hAnsi="Times New Roman"/>
                <w:lang w:val="cs-CZ"/>
              </w:rPr>
            </w:pPr>
            <w:r w:rsidRPr="001B4A02">
              <w:rPr>
                <w:rFonts w:ascii="Times New Roman" w:hAnsi="Times New Roman"/>
                <w:szCs w:val="22"/>
                <w:lang w:val="cs-CZ"/>
              </w:rPr>
              <w:t>79 (73,1)</w:t>
            </w:r>
            <w:r w:rsidRPr="001B4A02">
              <w:rPr>
                <w:rFonts w:ascii="Times New Roman" w:hAnsi="Times New Roman"/>
                <w:szCs w:val="22"/>
                <w:vertAlign w:val="superscript"/>
                <w:lang w:val="cs-CZ"/>
              </w:rPr>
              <w:t xml:space="preserve"> a, b</w:t>
            </w:r>
          </w:p>
        </w:tc>
      </w:tr>
      <w:tr w:rsidR="00534A2D" w14:paraId="78C22C2B" w14:textId="77777777" w:rsidTr="00F51027">
        <w:trPr>
          <w:cantSplit/>
          <w:jc w:val="center"/>
        </w:trPr>
        <w:tc>
          <w:tcPr>
            <w:tcW w:w="8505" w:type="dxa"/>
            <w:gridSpan w:val="4"/>
          </w:tcPr>
          <w:p w14:paraId="32379863" w14:textId="77777777" w:rsidR="00DB5C44" w:rsidRPr="001B4A02" w:rsidRDefault="00000000" w:rsidP="00ED48A3">
            <w:pPr>
              <w:pStyle w:val="DefaultText"/>
              <w:keepNext/>
              <w:rPr>
                <w:rFonts w:ascii="Times New Roman" w:hAnsi="Times New Roman"/>
                <w:szCs w:val="22"/>
                <w:lang w:val="cs-CZ"/>
              </w:rPr>
            </w:pPr>
            <w:r w:rsidRPr="001B4A02">
              <w:rPr>
                <w:rFonts w:ascii="Times New Roman" w:hAnsi="Times New Roman"/>
                <w:szCs w:val="22"/>
                <w:vertAlign w:val="superscript"/>
                <w:lang w:val="cs-CZ"/>
              </w:rPr>
              <w:t>a</w:t>
            </w:r>
            <w:r w:rsidRPr="001B4A02">
              <w:rPr>
                <w:rFonts w:ascii="Times New Roman" w:hAnsi="Times New Roman"/>
                <w:szCs w:val="22"/>
                <w:lang w:val="cs-CZ"/>
              </w:rPr>
              <w:t xml:space="preserve"> p&lt;0</w:t>
            </w:r>
            <w:r w:rsidR="00A97963" w:rsidRPr="001B4A02">
              <w:rPr>
                <w:rFonts w:ascii="Times New Roman" w:hAnsi="Times New Roman"/>
                <w:szCs w:val="22"/>
                <w:lang w:val="cs-CZ"/>
              </w:rPr>
              <w:t>,</w:t>
            </w:r>
            <w:r w:rsidRPr="001B4A02">
              <w:rPr>
                <w:rFonts w:ascii="Times New Roman" w:hAnsi="Times New Roman"/>
                <w:szCs w:val="22"/>
                <w:lang w:val="cs-CZ"/>
              </w:rPr>
              <w:t>001</w:t>
            </w:r>
            <w:r w:rsidR="004C58C9" w:rsidRPr="001B4A02">
              <w:rPr>
                <w:rFonts w:ascii="Times New Roman" w:hAnsi="Times New Roman"/>
                <w:szCs w:val="22"/>
                <w:lang w:val="cs-CZ"/>
              </w:rPr>
              <w:t>,</w:t>
            </w:r>
            <w:r w:rsidRPr="001B4A02">
              <w:rPr>
                <w:rFonts w:ascii="Times New Roman" w:hAnsi="Times New Roman"/>
                <w:szCs w:val="22"/>
                <w:lang w:val="cs-CZ"/>
              </w:rPr>
              <w:t xml:space="preserve"> </w:t>
            </w:r>
            <w:r w:rsidR="004C58C9" w:rsidRPr="001B4A02">
              <w:rPr>
                <w:rFonts w:ascii="Times New Roman" w:hAnsi="Times New Roman"/>
                <w:szCs w:val="22"/>
                <w:lang w:val="cs-CZ"/>
              </w:rPr>
              <w:t>p</w:t>
            </w:r>
            <w:r w:rsidR="00F67928" w:rsidRPr="001B4A02">
              <w:rPr>
                <w:rFonts w:ascii="Times New Roman" w:hAnsi="Times New Roman"/>
                <w:szCs w:val="22"/>
                <w:lang w:val="cs-CZ"/>
              </w:rPr>
              <w:t xml:space="preserve">řípravek </w:t>
            </w:r>
            <w:r w:rsidRPr="001B4A02">
              <w:rPr>
                <w:rFonts w:ascii="Times New Roman" w:hAnsi="Times New Roman"/>
                <w:szCs w:val="22"/>
                <w:lang w:val="cs-CZ"/>
              </w:rPr>
              <w:t xml:space="preserve">Humira vs. </w:t>
            </w:r>
            <w:r w:rsidR="00C769FB" w:rsidRPr="001B4A02">
              <w:rPr>
                <w:rFonts w:ascii="Times New Roman" w:hAnsi="Times New Roman"/>
                <w:szCs w:val="22"/>
                <w:lang w:val="cs-CZ"/>
              </w:rPr>
              <w:t>p</w:t>
            </w:r>
            <w:r w:rsidRPr="001B4A02">
              <w:rPr>
                <w:rFonts w:ascii="Times New Roman" w:hAnsi="Times New Roman"/>
                <w:szCs w:val="22"/>
                <w:lang w:val="cs-CZ"/>
              </w:rPr>
              <w:t>lacebo</w:t>
            </w:r>
          </w:p>
          <w:p w14:paraId="19DDD992" w14:textId="77777777" w:rsidR="00DB5C44" w:rsidRPr="001B4A02" w:rsidRDefault="00000000" w:rsidP="00ED48A3">
            <w:pPr>
              <w:pStyle w:val="DefaultText"/>
              <w:keepNext/>
              <w:rPr>
                <w:rFonts w:ascii="Times New Roman" w:hAnsi="Times New Roman"/>
                <w:szCs w:val="22"/>
                <w:lang w:val="cs-CZ"/>
              </w:rPr>
            </w:pPr>
            <w:r w:rsidRPr="001B4A02">
              <w:rPr>
                <w:rFonts w:ascii="Times New Roman" w:hAnsi="Times New Roman"/>
                <w:szCs w:val="22"/>
                <w:vertAlign w:val="superscript"/>
                <w:lang w:val="cs-CZ"/>
              </w:rPr>
              <w:t>b</w:t>
            </w:r>
            <w:r w:rsidRPr="001B4A02">
              <w:rPr>
                <w:rFonts w:ascii="Times New Roman" w:hAnsi="Times New Roman"/>
                <w:szCs w:val="22"/>
                <w:lang w:val="cs-CZ"/>
              </w:rPr>
              <w:t xml:space="preserve"> p&lt;0</w:t>
            </w:r>
            <w:r w:rsidR="00A97963" w:rsidRPr="001B4A02">
              <w:rPr>
                <w:rFonts w:ascii="Times New Roman" w:hAnsi="Times New Roman"/>
                <w:szCs w:val="22"/>
                <w:lang w:val="cs-CZ"/>
              </w:rPr>
              <w:t>,</w:t>
            </w:r>
            <w:r w:rsidRPr="001B4A02">
              <w:rPr>
                <w:rFonts w:ascii="Times New Roman" w:hAnsi="Times New Roman"/>
                <w:szCs w:val="22"/>
                <w:lang w:val="cs-CZ"/>
              </w:rPr>
              <w:t>001</w:t>
            </w:r>
            <w:r w:rsidR="004C58C9" w:rsidRPr="001B4A02">
              <w:rPr>
                <w:rFonts w:ascii="Times New Roman" w:hAnsi="Times New Roman"/>
                <w:szCs w:val="22"/>
                <w:lang w:val="cs-CZ"/>
              </w:rPr>
              <w:t>,</w:t>
            </w:r>
            <w:r w:rsidRPr="001B4A02">
              <w:rPr>
                <w:rFonts w:ascii="Times New Roman" w:hAnsi="Times New Roman"/>
                <w:szCs w:val="22"/>
                <w:lang w:val="cs-CZ"/>
              </w:rPr>
              <w:t xml:space="preserve"> </w:t>
            </w:r>
            <w:r w:rsidR="004C58C9" w:rsidRPr="001B4A02">
              <w:rPr>
                <w:rFonts w:ascii="Times New Roman" w:hAnsi="Times New Roman"/>
                <w:szCs w:val="22"/>
                <w:lang w:val="cs-CZ"/>
              </w:rPr>
              <w:t>p</w:t>
            </w:r>
            <w:r w:rsidR="00F67928" w:rsidRPr="001B4A02">
              <w:rPr>
                <w:rFonts w:ascii="Times New Roman" w:hAnsi="Times New Roman"/>
                <w:szCs w:val="22"/>
                <w:lang w:val="cs-CZ"/>
              </w:rPr>
              <w:t xml:space="preserve">řípravek </w:t>
            </w:r>
            <w:r w:rsidRPr="001B4A02">
              <w:rPr>
                <w:rFonts w:ascii="Times New Roman" w:hAnsi="Times New Roman"/>
                <w:szCs w:val="22"/>
                <w:lang w:val="cs-CZ"/>
              </w:rPr>
              <w:t>Humira vs. methotrexát</w:t>
            </w:r>
          </w:p>
          <w:p w14:paraId="6EF07414" w14:textId="77777777" w:rsidR="00DB5C44" w:rsidRPr="001B4A02" w:rsidRDefault="00000000" w:rsidP="00ED48A3">
            <w:pPr>
              <w:pStyle w:val="DefaultText"/>
              <w:keepNext/>
              <w:rPr>
                <w:rFonts w:ascii="Times New Roman" w:hAnsi="Times New Roman"/>
                <w:szCs w:val="22"/>
                <w:lang w:val="cs-CZ"/>
              </w:rPr>
            </w:pPr>
            <w:r w:rsidRPr="001B4A02">
              <w:rPr>
                <w:rFonts w:ascii="Times New Roman" w:hAnsi="Times New Roman"/>
                <w:szCs w:val="22"/>
                <w:vertAlign w:val="superscript"/>
                <w:lang w:val="cs-CZ"/>
              </w:rPr>
              <w:t>c</w:t>
            </w:r>
            <w:r w:rsidRPr="001B4A02">
              <w:rPr>
                <w:rFonts w:ascii="Times New Roman" w:hAnsi="Times New Roman"/>
                <w:szCs w:val="22"/>
                <w:lang w:val="cs-CZ"/>
              </w:rPr>
              <w:t xml:space="preserve"> p&lt;0</w:t>
            </w:r>
            <w:r w:rsidR="00A97963" w:rsidRPr="001B4A02">
              <w:rPr>
                <w:rFonts w:ascii="Times New Roman" w:hAnsi="Times New Roman"/>
                <w:szCs w:val="22"/>
                <w:lang w:val="cs-CZ"/>
              </w:rPr>
              <w:t>,</w:t>
            </w:r>
            <w:r w:rsidRPr="001B4A02">
              <w:rPr>
                <w:rFonts w:ascii="Times New Roman" w:hAnsi="Times New Roman"/>
                <w:szCs w:val="22"/>
                <w:lang w:val="cs-CZ"/>
              </w:rPr>
              <w:t>01</w:t>
            </w:r>
            <w:r w:rsidR="004C58C9" w:rsidRPr="001B4A02">
              <w:rPr>
                <w:rFonts w:ascii="Times New Roman" w:hAnsi="Times New Roman"/>
                <w:szCs w:val="22"/>
                <w:lang w:val="cs-CZ"/>
              </w:rPr>
              <w:t>,</w:t>
            </w:r>
            <w:r w:rsidRPr="001B4A02">
              <w:rPr>
                <w:rFonts w:ascii="Times New Roman" w:hAnsi="Times New Roman"/>
                <w:szCs w:val="22"/>
                <w:lang w:val="cs-CZ"/>
              </w:rPr>
              <w:t xml:space="preserve"> </w:t>
            </w:r>
            <w:r w:rsidR="004C58C9" w:rsidRPr="001B4A02">
              <w:rPr>
                <w:rFonts w:ascii="Times New Roman" w:hAnsi="Times New Roman"/>
                <w:szCs w:val="22"/>
                <w:lang w:val="cs-CZ"/>
              </w:rPr>
              <w:t>p</w:t>
            </w:r>
            <w:r w:rsidR="00F67928" w:rsidRPr="001B4A02">
              <w:rPr>
                <w:rFonts w:ascii="Times New Roman" w:hAnsi="Times New Roman"/>
                <w:szCs w:val="22"/>
                <w:lang w:val="cs-CZ"/>
              </w:rPr>
              <w:t xml:space="preserve">řípravek </w:t>
            </w:r>
            <w:r w:rsidRPr="001B4A02">
              <w:rPr>
                <w:rFonts w:ascii="Times New Roman" w:hAnsi="Times New Roman"/>
                <w:szCs w:val="22"/>
                <w:lang w:val="cs-CZ"/>
              </w:rPr>
              <w:t>Humira vs. placebo</w:t>
            </w:r>
          </w:p>
          <w:p w14:paraId="19A20C65" w14:textId="77777777" w:rsidR="00DB5C44" w:rsidRPr="001B4A02" w:rsidRDefault="00000000" w:rsidP="00ED48A3">
            <w:pPr>
              <w:pStyle w:val="DefaultText"/>
              <w:keepNext/>
              <w:rPr>
                <w:rFonts w:ascii="Times New Roman" w:hAnsi="Times New Roman"/>
                <w:lang w:val="cs-CZ"/>
              </w:rPr>
            </w:pPr>
            <w:r w:rsidRPr="001B4A02">
              <w:rPr>
                <w:rFonts w:ascii="Times New Roman" w:hAnsi="Times New Roman"/>
                <w:szCs w:val="22"/>
                <w:vertAlign w:val="superscript"/>
                <w:lang w:val="cs-CZ"/>
              </w:rPr>
              <w:t>d</w:t>
            </w:r>
            <w:r w:rsidRPr="001B4A02">
              <w:rPr>
                <w:rFonts w:ascii="Times New Roman" w:hAnsi="Times New Roman"/>
                <w:szCs w:val="22"/>
                <w:lang w:val="cs-CZ"/>
              </w:rPr>
              <w:t xml:space="preserve"> p&lt;0</w:t>
            </w:r>
            <w:r w:rsidR="00A97963" w:rsidRPr="001B4A02">
              <w:rPr>
                <w:rFonts w:ascii="Times New Roman" w:hAnsi="Times New Roman"/>
                <w:szCs w:val="22"/>
                <w:lang w:val="cs-CZ"/>
              </w:rPr>
              <w:t>,</w:t>
            </w:r>
            <w:r w:rsidRPr="001B4A02">
              <w:rPr>
                <w:rFonts w:ascii="Times New Roman" w:hAnsi="Times New Roman"/>
                <w:szCs w:val="22"/>
                <w:lang w:val="cs-CZ"/>
              </w:rPr>
              <w:t>05</w:t>
            </w:r>
            <w:r w:rsidR="004C58C9" w:rsidRPr="001B4A02">
              <w:rPr>
                <w:rFonts w:ascii="Times New Roman" w:hAnsi="Times New Roman"/>
                <w:szCs w:val="22"/>
                <w:lang w:val="cs-CZ"/>
              </w:rPr>
              <w:t>,</w:t>
            </w:r>
            <w:r w:rsidRPr="001B4A02">
              <w:rPr>
                <w:rFonts w:ascii="Times New Roman" w:hAnsi="Times New Roman"/>
                <w:szCs w:val="22"/>
                <w:lang w:val="cs-CZ"/>
              </w:rPr>
              <w:t xml:space="preserve"> </w:t>
            </w:r>
            <w:r w:rsidR="004C58C9" w:rsidRPr="001B4A02">
              <w:rPr>
                <w:rFonts w:ascii="Times New Roman" w:hAnsi="Times New Roman"/>
                <w:szCs w:val="22"/>
                <w:lang w:val="cs-CZ"/>
              </w:rPr>
              <w:t>p</w:t>
            </w:r>
            <w:r w:rsidR="00F67928" w:rsidRPr="001B4A02">
              <w:rPr>
                <w:rFonts w:ascii="Times New Roman" w:hAnsi="Times New Roman"/>
                <w:szCs w:val="22"/>
                <w:lang w:val="cs-CZ"/>
              </w:rPr>
              <w:t xml:space="preserve">řípravek </w:t>
            </w:r>
            <w:r w:rsidRPr="001B4A02">
              <w:rPr>
                <w:rFonts w:ascii="Times New Roman" w:hAnsi="Times New Roman"/>
                <w:szCs w:val="22"/>
                <w:lang w:val="cs-CZ"/>
              </w:rPr>
              <w:t>Humira vs. methotrexát</w:t>
            </w:r>
          </w:p>
        </w:tc>
      </w:tr>
    </w:tbl>
    <w:p w14:paraId="4C2577A3" w14:textId="77777777" w:rsidR="00E7724C" w:rsidRPr="001B4A02" w:rsidRDefault="00E7724C" w:rsidP="00ED48A3">
      <w:pPr>
        <w:rPr>
          <w:bCs/>
          <w:szCs w:val="22"/>
        </w:rPr>
      </w:pPr>
    </w:p>
    <w:p w14:paraId="546B9888" w14:textId="77777777" w:rsidR="00DB5C44" w:rsidRPr="001B4A02" w:rsidRDefault="00000000" w:rsidP="00ED48A3">
      <w:pPr>
        <w:pStyle w:val="EMEANormal"/>
        <w:tabs>
          <w:tab w:val="clear" w:pos="562"/>
          <w:tab w:val="left" w:pos="708"/>
        </w:tabs>
        <w:suppressAutoHyphens w:val="0"/>
        <w:rPr>
          <w:lang w:val="cs-CZ"/>
        </w:rPr>
      </w:pPr>
      <w:r w:rsidRPr="001B4A02">
        <w:rPr>
          <w:lang w:val="cs-CZ"/>
        </w:rPr>
        <w:t>V psoriatické studii I došlo u</w:t>
      </w:r>
      <w:r w:rsidR="00997A9C" w:rsidRPr="001B4A02">
        <w:rPr>
          <w:lang w:val="cs-CZ"/>
        </w:rPr>
        <w:t> </w:t>
      </w:r>
      <w:r w:rsidRPr="001B4A02">
        <w:rPr>
          <w:lang w:val="cs-CZ"/>
        </w:rPr>
        <w:t>28</w:t>
      </w:r>
      <w:r w:rsidR="00997A9C" w:rsidRPr="001B4A02">
        <w:rPr>
          <w:lang w:val="cs-CZ"/>
        </w:rPr>
        <w:t> </w:t>
      </w:r>
      <w:r w:rsidRPr="001B4A02">
        <w:rPr>
          <w:lang w:val="cs-CZ"/>
        </w:rPr>
        <w:t>% pacientů, kteří dosáhli odpovědi PASI 75</w:t>
      </w:r>
      <w:r w:rsidR="002378E0">
        <w:rPr>
          <w:lang w:val="cs-CZ"/>
        </w:rPr>
        <w:t xml:space="preserve"> a </w:t>
      </w:r>
      <w:r w:rsidRPr="001B4A02">
        <w:rPr>
          <w:lang w:val="cs-CZ"/>
        </w:rPr>
        <w:t>byli re-randomizováni na placebo v týdnu 33, ke „ztrátě adekvátní odpovědi“ (PASI skóre po týdnu 33</w:t>
      </w:r>
      <w:r w:rsidR="002378E0">
        <w:rPr>
          <w:lang w:val="cs-CZ"/>
        </w:rPr>
        <w:t xml:space="preserve"> a </w:t>
      </w:r>
      <w:r w:rsidRPr="001B4A02">
        <w:rPr>
          <w:lang w:val="cs-CZ"/>
        </w:rPr>
        <w:t>v</w:t>
      </w:r>
      <w:r w:rsidR="00997A9C" w:rsidRPr="001B4A02">
        <w:rPr>
          <w:lang w:val="cs-CZ"/>
        </w:rPr>
        <w:t> </w:t>
      </w:r>
      <w:r w:rsidRPr="001B4A02">
        <w:rPr>
          <w:lang w:val="cs-CZ"/>
        </w:rPr>
        <w:t>týdnu 52 nebo před ním, které vyústilo v</w:t>
      </w:r>
      <w:r w:rsidR="00997A9C" w:rsidRPr="001B4A02">
        <w:rPr>
          <w:lang w:val="cs-CZ"/>
        </w:rPr>
        <w:t> </w:t>
      </w:r>
      <w:r w:rsidRPr="001B4A02">
        <w:rPr>
          <w:lang w:val="cs-CZ"/>
        </w:rPr>
        <w:t>odpověď PASI &lt; 50 vzhledem k výchozímu stavu s minimálně 6bodovým vzestupem PASI skóre vzhledem k týdnu 33), v porovnání s</w:t>
      </w:r>
      <w:r w:rsidR="00997A9C" w:rsidRPr="001B4A02">
        <w:rPr>
          <w:lang w:val="cs-CZ"/>
        </w:rPr>
        <w:t> </w:t>
      </w:r>
      <w:r w:rsidRPr="001B4A02">
        <w:rPr>
          <w:lang w:val="cs-CZ"/>
        </w:rPr>
        <w:t>5</w:t>
      </w:r>
      <w:r w:rsidR="00997A9C" w:rsidRPr="001B4A02">
        <w:rPr>
          <w:lang w:val="cs-CZ"/>
        </w:rPr>
        <w:t> </w:t>
      </w:r>
      <w:r w:rsidRPr="001B4A02">
        <w:rPr>
          <w:lang w:val="cs-CZ"/>
        </w:rPr>
        <w:t>% těch, kteří pokračovali v léčbě přípravkem Humira, p&lt;0,001. Z pacientů, u</w:t>
      </w:r>
      <w:r w:rsidR="00CD6D96" w:rsidRPr="001B4A02">
        <w:rPr>
          <w:lang w:val="cs-CZ"/>
        </w:rPr>
        <w:t> </w:t>
      </w:r>
      <w:r w:rsidRPr="001B4A02">
        <w:rPr>
          <w:lang w:val="cs-CZ"/>
        </w:rPr>
        <w:t>kte</w:t>
      </w:r>
      <w:r w:rsidR="00CD6D96" w:rsidRPr="001B4A02">
        <w:rPr>
          <w:lang w:val="cs-CZ"/>
        </w:rPr>
        <w:t>r</w:t>
      </w:r>
      <w:r w:rsidRPr="001B4A02">
        <w:rPr>
          <w:lang w:val="cs-CZ"/>
        </w:rPr>
        <w:t>ých došlo ke „ztrátě adekvátní odpovědi“ po re-randomizaci na placebo</w:t>
      </w:r>
      <w:r w:rsidR="002378E0">
        <w:rPr>
          <w:lang w:val="cs-CZ"/>
        </w:rPr>
        <w:t xml:space="preserve"> a </w:t>
      </w:r>
      <w:r w:rsidRPr="001B4A02">
        <w:rPr>
          <w:lang w:val="cs-CZ"/>
        </w:rPr>
        <w:t>kteří byli zařazeni do otevřené prodloužené fáze studie, došlo u</w:t>
      </w:r>
      <w:r w:rsidR="00997A9C" w:rsidRPr="001B4A02">
        <w:rPr>
          <w:lang w:val="cs-CZ"/>
        </w:rPr>
        <w:t> </w:t>
      </w:r>
      <w:r w:rsidRPr="001B4A02">
        <w:rPr>
          <w:lang w:val="cs-CZ"/>
        </w:rPr>
        <w:t>38</w:t>
      </w:r>
      <w:r w:rsidR="00997A9C" w:rsidRPr="001B4A02">
        <w:rPr>
          <w:lang w:val="cs-CZ"/>
        </w:rPr>
        <w:t> </w:t>
      </w:r>
      <w:r w:rsidRPr="001B4A02">
        <w:rPr>
          <w:lang w:val="cs-CZ"/>
        </w:rPr>
        <w:t>% pacientů (25 z</w:t>
      </w:r>
      <w:r w:rsidR="00997A9C" w:rsidRPr="001B4A02">
        <w:rPr>
          <w:lang w:val="cs-CZ"/>
        </w:rPr>
        <w:t> </w:t>
      </w:r>
      <w:r w:rsidRPr="001B4A02">
        <w:rPr>
          <w:lang w:val="cs-CZ"/>
        </w:rPr>
        <w:t>66) k opětovnému návratu odpovědi PASI 75 po 12 týdnech léčby</w:t>
      </w:r>
      <w:r w:rsidR="002378E0">
        <w:rPr>
          <w:lang w:val="cs-CZ"/>
        </w:rPr>
        <w:t xml:space="preserve"> a </w:t>
      </w:r>
      <w:r w:rsidRPr="001B4A02">
        <w:rPr>
          <w:lang w:val="cs-CZ"/>
        </w:rPr>
        <w:t>u</w:t>
      </w:r>
      <w:r w:rsidR="00997A9C" w:rsidRPr="001B4A02">
        <w:rPr>
          <w:lang w:val="cs-CZ"/>
        </w:rPr>
        <w:t> </w:t>
      </w:r>
      <w:r w:rsidRPr="001B4A02">
        <w:rPr>
          <w:lang w:val="cs-CZ"/>
        </w:rPr>
        <w:t>55</w:t>
      </w:r>
      <w:r w:rsidR="00997A9C" w:rsidRPr="001B4A02">
        <w:rPr>
          <w:lang w:val="cs-CZ"/>
        </w:rPr>
        <w:t> </w:t>
      </w:r>
      <w:r w:rsidRPr="001B4A02">
        <w:rPr>
          <w:lang w:val="cs-CZ"/>
        </w:rPr>
        <w:t>% pacientů (36 z</w:t>
      </w:r>
      <w:r w:rsidR="00997A9C" w:rsidRPr="001B4A02">
        <w:rPr>
          <w:lang w:val="cs-CZ"/>
        </w:rPr>
        <w:t> </w:t>
      </w:r>
      <w:r w:rsidRPr="001B4A02">
        <w:rPr>
          <w:lang w:val="cs-CZ"/>
        </w:rPr>
        <w:t>66) po 24 týdnech léčby.</w:t>
      </w:r>
    </w:p>
    <w:p w14:paraId="3EC77DF6" w14:textId="77777777" w:rsidR="00DB5C44" w:rsidRPr="001B4A02" w:rsidRDefault="00DB5C44" w:rsidP="00ED48A3">
      <w:pPr>
        <w:rPr>
          <w:szCs w:val="22"/>
          <w:highlight w:val="yellow"/>
        </w:rPr>
      </w:pPr>
    </w:p>
    <w:p w14:paraId="06381712" w14:textId="77777777" w:rsidR="00DB5C44" w:rsidRPr="001B4A02" w:rsidRDefault="00000000" w:rsidP="00ED48A3">
      <w:pPr>
        <w:pStyle w:val="EMEANormal"/>
        <w:tabs>
          <w:tab w:val="clear" w:pos="562"/>
          <w:tab w:val="left" w:pos="708"/>
        </w:tabs>
        <w:suppressAutoHyphens w:val="0"/>
        <w:rPr>
          <w:lang w:val="cs-CZ"/>
        </w:rPr>
      </w:pPr>
      <w:r w:rsidRPr="001B4A02">
        <w:rPr>
          <w:lang w:val="cs-CZ"/>
        </w:rPr>
        <w:t>Celkem 233 pacientů, kteří dosáhli odpovědi PASI 75 v týdnu 16</w:t>
      </w:r>
      <w:r w:rsidR="002378E0">
        <w:rPr>
          <w:lang w:val="cs-CZ"/>
        </w:rPr>
        <w:t xml:space="preserve"> a </w:t>
      </w:r>
      <w:r w:rsidRPr="001B4A02">
        <w:rPr>
          <w:lang w:val="cs-CZ"/>
        </w:rPr>
        <w:t>v týdnu 33, pokračovalo v léčbě přípravkem Humira po dobu 52 týdnů v psoriatické s</w:t>
      </w:r>
      <w:r w:rsidR="007978AF">
        <w:rPr>
          <w:lang w:val="cs-CZ"/>
        </w:rPr>
        <w:t>t</w:t>
      </w:r>
      <w:r w:rsidRPr="001B4A02">
        <w:rPr>
          <w:lang w:val="cs-CZ"/>
        </w:rPr>
        <w:t>udii I</w:t>
      </w:r>
      <w:r w:rsidR="002378E0">
        <w:rPr>
          <w:lang w:val="cs-CZ"/>
        </w:rPr>
        <w:t xml:space="preserve"> a </w:t>
      </w:r>
      <w:r w:rsidRPr="001B4A02">
        <w:rPr>
          <w:lang w:val="cs-CZ"/>
        </w:rPr>
        <w:t>postoupilo do otevřené prodloužené fáze studie. Po dalších 108 týdnech otevřené fáze léčby (celkem 160 týdnů) dosáhlo 74,7</w:t>
      </w:r>
      <w:r w:rsidR="00997A9C" w:rsidRPr="001B4A02">
        <w:rPr>
          <w:lang w:val="cs-CZ"/>
        </w:rPr>
        <w:t> </w:t>
      </w:r>
      <w:r w:rsidRPr="001B4A02">
        <w:rPr>
          <w:lang w:val="cs-CZ"/>
        </w:rPr>
        <w:t>% z těchto pacientů jasné nebo minimální úrovně odpovědi v</w:t>
      </w:r>
      <w:r w:rsidR="00997A9C" w:rsidRPr="001B4A02">
        <w:rPr>
          <w:lang w:val="cs-CZ"/>
        </w:rPr>
        <w:t> </w:t>
      </w:r>
      <w:r w:rsidRPr="001B4A02">
        <w:rPr>
          <w:lang w:val="cs-CZ"/>
        </w:rPr>
        <w:t>PASI 75</w:t>
      </w:r>
      <w:r w:rsidR="002378E0">
        <w:rPr>
          <w:lang w:val="cs-CZ"/>
        </w:rPr>
        <w:t xml:space="preserve"> a </w:t>
      </w:r>
      <w:r w:rsidRPr="001B4A02">
        <w:rPr>
          <w:lang w:val="cs-CZ"/>
        </w:rPr>
        <w:t>59</w:t>
      </w:r>
      <w:r w:rsidR="00997A9C" w:rsidRPr="001B4A02">
        <w:rPr>
          <w:lang w:val="cs-CZ"/>
        </w:rPr>
        <w:t> </w:t>
      </w:r>
      <w:r w:rsidRPr="001B4A02">
        <w:rPr>
          <w:lang w:val="cs-CZ"/>
        </w:rPr>
        <w:t>% z nich dosáhlo stejné úrovně v</w:t>
      </w:r>
      <w:r w:rsidR="00997A9C" w:rsidRPr="001B4A02">
        <w:rPr>
          <w:lang w:val="cs-CZ"/>
        </w:rPr>
        <w:t> </w:t>
      </w:r>
      <w:r w:rsidRPr="001B4A02">
        <w:rPr>
          <w:lang w:val="cs-CZ"/>
        </w:rPr>
        <w:t>PGA. V analýzách, v nichž byli všichni pacienti, kteří ze studie odstoupili z důvodu nežádoucích účinků či nedostatečné účinnosti nebo kteří vyžadovali navyšování dávky, považováni za neodpovídající na léčbu, bylo u</w:t>
      </w:r>
      <w:r w:rsidR="00997A9C" w:rsidRPr="001B4A02">
        <w:rPr>
          <w:lang w:val="cs-CZ"/>
        </w:rPr>
        <w:t> </w:t>
      </w:r>
      <w:r w:rsidRPr="001B4A02">
        <w:rPr>
          <w:lang w:val="cs-CZ"/>
        </w:rPr>
        <w:t>těchto pacientů po dalších 108 týdnech otevřené fáze léčby (celkem 160 týdnů) dosaženo jasné nebo minimální odpovědi v</w:t>
      </w:r>
      <w:r w:rsidR="00997A9C" w:rsidRPr="001B4A02">
        <w:rPr>
          <w:lang w:val="cs-CZ"/>
        </w:rPr>
        <w:t> </w:t>
      </w:r>
      <w:r w:rsidRPr="001B4A02">
        <w:rPr>
          <w:lang w:val="cs-CZ"/>
        </w:rPr>
        <w:t>PASI 75</w:t>
      </w:r>
      <w:r w:rsidR="002378E0">
        <w:rPr>
          <w:lang w:val="cs-CZ"/>
        </w:rPr>
        <w:t xml:space="preserve"> a </w:t>
      </w:r>
      <w:r w:rsidRPr="001B4A02">
        <w:rPr>
          <w:lang w:val="cs-CZ"/>
        </w:rPr>
        <w:t>PGA celkem u</w:t>
      </w:r>
      <w:r w:rsidR="00997A9C" w:rsidRPr="001B4A02">
        <w:rPr>
          <w:lang w:val="cs-CZ"/>
        </w:rPr>
        <w:t> </w:t>
      </w:r>
      <w:r w:rsidRPr="001B4A02">
        <w:rPr>
          <w:lang w:val="cs-CZ"/>
        </w:rPr>
        <w:t>69,9</w:t>
      </w:r>
      <w:r w:rsidR="00997A9C" w:rsidRPr="001B4A02">
        <w:rPr>
          <w:lang w:val="cs-CZ"/>
        </w:rPr>
        <w:t> </w:t>
      </w:r>
      <w:r w:rsidRPr="001B4A02">
        <w:rPr>
          <w:lang w:val="cs-CZ"/>
        </w:rPr>
        <w:t>% v případě PASI 75</w:t>
      </w:r>
      <w:r w:rsidR="002378E0">
        <w:rPr>
          <w:lang w:val="cs-CZ"/>
        </w:rPr>
        <w:t xml:space="preserve"> a </w:t>
      </w:r>
      <w:r w:rsidRPr="001B4A02">
        <w:rPr>
          <w:lang w:val="cs-CZ"/>
        </w:rPr>
        <w:t>55,7</w:t>
      </w:r>
      <w:r w:rsidR="00997A9C" w:rsidRPr="001B4A02">
        <w:rPr>
          <w:lang w:val="cs-CZ"/>
        </w:rPr>
        <w:t> </w:t>
      </w:r>
      <w:r w:rsidRPr="001B4A02">
        <w:rPr>
          <w:lang w:val="cs-CZ"/>
        </w:rPr>
        <w:t>% u</w:t>
      </w:r>
      <w:r w:rsidR="00997A9C" w:rsidRPr="001B4A02">
        <w:rPr>
          <w:lang w:val="cs-CZ"/>
        </w:rPr>
        <w:t> </w:t>
      </w:r>
      <w:r w:rsidRPr="001B4A02">
        <w:rPr>
          <w:lang w:val="cs-CZ"/>
        </w:rPr>
        <w:t>PGA.</w:t>
      </w:r>
    </w:p>
    <w:p w14:paraId="30D9B2B4" w14:textId="77777777" w:rsidR="00DB5C44" w:rsidRPr="001B4A02" w:rsidRDefault="00DB5C44" w:rsidP="00ED48A3">
      <w:pPr>
        <w:rPr>
          <w:szCs w:val="22"/>
        </w:rPr>
      </w:pPr>
    </w:p>
    <w:p w14:paraId="2AA980D4" w14:textId="77777777" w:rsidR="00DB5C44" w:rsidRPr="001B4A02" w:rsidRDefault="00000000" w:rsidP="00ED48A3">
      <w:pPr>
        <w:pStyle w:val="EMEANormal"/>
        <w:tabs>
          <w:tab w:val="clear" w:pos="562"/>
          <w:tab w:val="left" w:pos="708"/>
        </w:tabs>
        <w:suppressAutoHyphens w:val="0"/>
        <w:rPr>
          <w:lang w:val="cs-CZ"/>
        </w:rPr>
      </w:pPr>
      <w:r w:rsidRPr="001B4A02">
        <w:rPr>
          <w:lang w:val="cs-CZ"/>
        </w:rPr>
        <w:t>Celkem 347 na léčbu stabilně odpovídajících pacientů se účastnilo otevřené fáze studie, ve které byl adalimumab vysazen</w:t>
      </w:r>
      <w:r w:rsidR="002378E0">
        <w:rPr>
          <w:lang w:val="cs-CZ"/>
        </w:rPr>
        <w:t xml:space="preserve"> a </w:t>
      </w:r>
      <w:r w:rsidRPr="001B4A02">
        <w:rPr>
          <w:lang w:val="cs-CZ"/>
        </w:rPr>
        <w:t>opětovně nasazen. V</w:t>
      </w:r>
      <w:r w:rsidR="00997A9C" w:rsidRPr="001B4A02">
        <w:rPr>
          <w:lang w:val="cs-CZ"/>
        </w:rPr>
        <w:t> </w:t>
      </w:r>
      <w:r w:rsidRPr="001B4A02">
        <w:rPr>
          <w:lang w:val="cs-CZ"/>
        </w:rPr>
        <w:t>průběhu období po vysazení se symptomy psoriázy vrátily po čase zpět s</w:t>
      </w:r>
      <w:r w:rsidR="00766F95" w:rsidRPr="001B4A02">
        <w:rPr>
          <w:lang w:val="cs-CZ"/>
        </w:rPr>
        <w:t> </w:t>
      </w:r>
      <w:r w:rsidRPr="001B4A02">
        <w:rPr>
          <w:lang w:val="cs-CZ"/>
        </w:rPr>
        <w:t>průměrnou dobou návratu (pokles v</w:t>
      </w:r>
      <w:r w:rsidR="00766F95" w:rsidRPr="001B4A02">
        <w:rPr>
          <w:lang w:val="cs-CZ"/>
        </w:rPr>
        <w:t> </w:t>
      </w:r>
      <w:r w:rsidRPr="001B4A02">
        <w:rPr>
          <w:lang w:val="cs-CZ"/>
        </w:rPr>
        <w:t>PGA na mírné nebo horší) při</w:t>
      </w:r>
      <w:r w:rsidR="007978AF">
        <w:rPr>
          <w:lang w:val="cs-CZ"/>
        </w:rPr>
        <w:t>b</w:t>
      </w:r>
      <w:r w:rsidRPr="001B4A02">
        <w:rPr>
          <w:lang w:val="cs-CZ"/>
        </w:rPr>
        <w:t>ližně 5 měsíců. U</w:t>
      </w:r>
      <w:r w:rsidR="00766F95" w:rsidRPr="001B4A02">
        <w:rPr>
          <w:lang w:val="cs-CZ"/>
        </w:rPr>
        <w:t> </w:t>
      </w:r>
      <w:r w:rsidRPr="001B4A02">
        <w:rPr>
          <w:lang w:val="cs-CZ"/>
        </w:rPr>
        <w:t>žádného z</w:t>
      </w:r>
      <w:r w:rsidR="00766F95" w:rsidRPr="001B4A02">
        <w:rPr>
          <w:lang w:val="cs-CZ"/>
        </w:rPr>
        <w:t> </w:t>
      </w:r>
      <w:r w:rsidRPr="001B4A02">
        <w:rPr>
          <w:lang w:val="cs-CZ"/>
        </w:rPr>
        <w:t>těchto pacientů nedošlo k</w:t>
      </w:r>
      <w:r w:rsidR="00766F95" w:rsidRPr="001B4A02">
        <w:rPr>
          <w:lang w:val="cs-CZ"/>
        </w:rPr>
        <w:t> </w:t>
      </w:r>
      <w:r w:rsidRPr="001B4A02">
        <w:rPr>
          <w:lang w:val="cs-CZ"/>
        </w:rPr>
        <w:t>rebound fenoménu po dobu vysazení léčby. Celkem 76,5</w:t>
      </w:r>
      <w:r w:rsidR="00766F95" w:rsidRPr="001B4A02">
        <w:rPr>
          <w:lang w:val="cs-CZ"/>
        </w:rPr>
        <w:t> </w:t>
      </w:r>
      <w:r w:rsidRPr="001B4A02">
        <w:rPr>
          <w:lang w:val="cs-CZ"/>
        </w:rPr>
        <w:t>% pacientů (218 z</w:t>
      </w:r>
      <w:r w:rsidR="00766F95" w:rsidRPr="001B4A02">
        <w:rPr>
          <w:lang w:val="cs-CZ"/>
        </w:rPr>
        <w:t> </w:t>
      </w:r>
      <w:r w:rsidRPr="001B4A02">
        <w:rPr>
          <w:lang w:val="cs-CZ"/>
        </w:rPr>
        <w:t>285), kteří přešli do fáze znovunasazení adalimumabu, mělo po 16 týdnech léčby jasnou nebo minimální úroveň odpovědi v</w:t>
      </w:r>
      <w:r w:rsidR="00766F95" w:rsidRPr="001B4A02">
        <w:rPr>
          <w:lang w:val="cs-CZ"/>
        </w:rPr>
        <w:t> </w:t>
      </w:r>
      <w:r w:rsidRPr="001B4A02">
        <w:rPr>
          <w:lang w:val="cs-CZ"/>
        </w:rPr>
        <w:t>PGA, bez ohledu na to, zda se u</w:t>
      </w:r>
      <w:r w:rsidR="00766F95" w:rsidRPr="001B4A02">
        <w:rPr>
          <w:lang w:val="cs-CZ"/>
        </w:rPr>
        <w:t> </w:t>
      </w:r>
      <w:r w:rsidRPr="001B4A02">
        <w:rPr>
          <w:lang w:val="cs-CZ"/>
        </w:rPr>
        <w:t>nich v</w:t>
      </w:r>
      <w:r w:rsidR="00766F95" w:rsidRPr="001B4A02">
        <w:rPr>
          <w:lang w:val="cs-CZ"/>
        </w:rPr>
        <w:t> </w:t>
      </w:r>
      <w:r w:rsidRPr="001B4A02">
        <w:rPr>
          <w:lang w:val="cs-CZ"/>
        </w:rPr>
        <w:t>průběhu období, kdy byl lék vysazen, objevil relaps (u</w:t>
      </w:r>
      <w:r w:rsidR="00766F95" w:rsidRPr="001B4A02">
        <w:rPr>
          <w:lang w:val="cs-CZ"/>
        </w:rPr>
        <w:t> </w:t>
      </w:r>
      <w:r w:rsidRPr="001B4A02">
        <w:rPr>
          <w:lang w:val="cs-CZ"/>
        </w:rPr>
        <w:t>69,1</w:t>
      </w:r>
      <w:r w:rsidR="00766F95" w:rsidRPr="001B4A02">
        <w:rPr>
          <w:lang w:val="cs-CZ"/>
        </w:rPr>
        <w:t> </w:t>
      </w:r>
      <w:r w:rsidRPr="001B4A02">
        <w:rPr>
          <w:lang w:val="cs-CZ"/>
        </w:rPr>
        <w:t>% [123 z</w:t>
      </w:r>
      <w:r w:rsidR="00766F95" w:rsidRPr="001B4A02">
        <w:rPr>
          <w:lang w:val="cs-CZ"/>
        </w:rPr>
        <w:t> </w:t>
      </w:r>
      <w:r w:rsidRPr="001B4A02">
        <w:rPr>
          <w:lang w:val="cs-CZ"/>
        </w:rPr>
        <w:t>178] se objevil relaps</w:t>
      </w:r>
      <w:r w:rsidR="002378E0">
        <w:rPr>
          <w:lang w:val="cs-CZ"/>
        </w:rPr>
        <w:t xml:space="preserve"> a </w:t>
      </w:r>
      <w:r w:rsidRPr="001B4A02">
        <w:rPr>
          <w:lang w:val="cs-CZ"/>
        </w:rPr>
        <w:t>88,8</w:t>
      </w:r>
      <w:r w:rsidR="00766F95" w:rsidRPr="001B4A02">
        <w:rPr>
          <w:lang w:val="cs-CZ"/>
        </w:rPr>
        <w:t> </w:t>
      </w:r>
      <w:r w:rsidRPr="001B4A02">
        <w:rPr>
          <w:lang w:val="cs-CZ"/>
        </w:rPr>
        <w:t>% [95 ze 107] bylo v</w:t>
      </w:r>
      <w:r w:rsidR="00766F95" w:rsidRPr="001B4A02">
        <w:rPr>
          <w:lang w:val="cs-CZ"/>
        </w:rPr>
        <w:t> </w:t>
      </w:r>
      <w:r w:rsidRPr="001B4A02">
        <w:rPr>
          <w:lang w:val="cs-CZ"/>
        </w:rPr>
        <w:t>tomto období bez relapsu). V</w:t>
      </w:r>
      <w:r w:rsidR="00766F95" w:rsidRPr="001B4A02">
        <w:rPr>
          <w:lang w:val="cs-CZ"/>
        </w:rPr>
        <w:t> </w:t>
      </w:r>
      <w:r w:rsidRPr="001B4A02">
        <w:rPr>
          <w:lang w:val="cs-CZ"/>
        </w:rPr>
        <w:t>průběhu doby po znovunasazení léčby byl pozorován podobný bezpečnostní profil jako v</w:t>
      </w:r>
      <w:r w:rsidR="00766F95" w:rsidRPr="001B4A02">
        <w:rPr>
          <w:lang w:val="cs-CZ"/>
        </w:rPr>
        <w:t> </w:t>
      </w:r>
      <w:r w:rsidRPr="001B4A02">
        <w:rPr>
          <w:lang w:val="cs-CZ"/>
        </w:rPr>
        <w:t>období před vysazením léčby.</w:t>
      </w:r>
    </w:p>
    <w:p w14:paraId="43C00BE6" w14:textId="77777777" w:rsidR="00DB5C44" w:rsidRPr="001B4A02" w:rsidRDefault="00DB5C44" w:rsidP="00ED48A3"/>
    <w:p w14:paraId="399549F3" w14:textId="77777777" w:rsidR="00DB5C44" w:rsidRPr="001B4A02" w:rsidRDefault="00000000" w:rsidP="00ED48A3">
      <w:pPr>
        <w:pStyle w:val="EMEANormal"/>
        <w:tabs>
          <w:tab w:val="clear" w:pos="562"/>
          <w:tab w:val="left" w:pos="708"/>
        </w:tabs>
        <w:suppressAutoHyphens w:val="0"/>
        <w:rPr>
          <w:lang w:val="cs-CZ"/>
        </w:rPr>
      </w:pPr>
      <w:r w:rsidRPr="001B4A02">
        <w:rPr>
          <w:lang w:val="cs-CZ"/>
        </w:rPr>
        <w:t>Významné zlepšení v týdnu 16 oproti výchozímu stavu v porovnání s léčbou placebem (studie I</w:t>
      </w:r>
      <w:r w:rsidR="002378E0">
        <w:rPr>
          <w:lang w:val="cs-CZ"/>
        </w:rPr>
        <w:t xml:space="preserve"> a </w:t>
      </w:r>
      <w:r w:rsidRPr="001B4A02">
        <w:rPr>
          <w:lang w:val="cs-CZ"/>
        </w:rPr>
        <w:t>II)</w:t>
      </w:r>
      <w:r w:rsidR="002378E0">
        <w:rPr>
          <w:lang w:val="cs-CZ"/>
        </w:rPr>
        <w:t xml:space="preserve"> a </w:t>
      </w:r>
      <w:r w:rsidRPr="001B4A02">
        <w:rPr>
          <w:lang w:val="cs-CZ"/>
        </w:rPr>
        <w:t>MTX (studie II) bylo prokázáno v DLQI (Dermatology Life Quality Index). Ve studii I došlo také k</w:t>
      </w:r>
      <w:r w:rsidR="00766F95" w:rsidRPr="001B4A02">
        <w:rPr>
          <w:lang w:val="cs-CZ"/>
        </w:rPr>
        <w:t> </w:t>
      </w:r>
      <w:r w:rsidRPr="001B4A02">
        <w:rPr>
          <w:lang w:val="cs-CZ"/>
        </w:rPr>
        <w:t>významnému zlepšení fyzické</w:t>
      </w:r>
      <w:r w:rsidR="002378E0">
        <w:rPr>
          <w:lang w:val="cs-CZ"/>
        </w:rPr>
        <w:t xml:space="preserve"> a </w:t>
      </w:r>
      <w:r w:rsidRPr="001B4A02">
        <w:rPr>
          <w:lang w:val="cs-CZ"/>
        </w:rPr>
        <w:t>mentální části celkového skóre SF-36 v porovnání s placebem.</w:t>
      </w:r>
    </w:p>
    <w:p w14:paraId="2F42CF7D" w14:textId="77777777" w:rsidR="00DB5C44" w:rsidRPr="001B4A02" w:rsidRDefault="00DB5C44" w:rsidP="00ED48A3">
      <w:pPr>
        <w:pStyle w:val="EMEANormal"/>
        <w:tabs>
          <w:tab w:val="clear" w:pos="562"/>
          <w:tab w:val="left" w:pos="708"/>
        </w:tabs>
        <w:suppressAutoHyphens w:val="0"/>
        <w:rPr>
          <w:lang w:val="cs-CZ"/>
        </w:rPr>
      </w:pPr>
    </w:p>
    <w:p w14:paraId="311EAA94" w14:textId="77777777" w:rsidR="00DB5C44" w:rsidRPr="001B4A02" w:rsidRDefault="00000000" w:rsidP="00ED48A3">
      <w:pPr>
        <w:pStyle w:val="EMEANormal"/>
        <w:tabs>
          <w:tab w:val="clear" w:pos="562"/>
          <w:tab w:val="left" w:pos="708"/>
        </w:tabs>
        <w:suppressAutoHyphens w:val="0"/>
        <w:rPr>
          <w:lang w:val="cs-CZ"/>
        </w:rPr>
      </w:pPr>
      <w:r w:rsidRPr="001B4A02">
        <w:rPr>
          <w:lang w:val="cs-CZ"/>
        </w:rPr>
        <w:t>V otevřené prodloužené studii u</w:t>
      </w:r>
      <w:r w:rsidR="00766F95" w:rsidRPr="001B4A02">
        <w:rPr>
          <w:lang w:val="cs-CZ"/>
        </w:rPr>
        <w:t> </w:t>
      </w:r>
      <w:r w:rsidRPr="001B4A02">
        <w:rPr>
          <w:lang w:val="cs-CZ"/>
        </w:rPr>
        <w:t>pacientů, u</w:t>
      </w:r>
      <w:r w:rsidR="00766F95" w:rsidRPr="001B4A02">
        <w:rPr>
          <w:lang w:val="cs-CZ"/>
        </w:rPr>
        <w:t> </w:t>
      </w:r>
      <w:r w:rsidRPr="001B4A02">
        <w:rPr>
          <w:lang w:val="cs-CZ"/>
        </w:rPr>
        <w:t>nichž byla z důvodu odpovědi PASI pod 50</w:t>
      </w:r>
      <w:r w:rsidR="006008CB">
        <w:rPr>
          <w:lang w:val="cs-CZ"/>
        </w:rPr>
        <w:t> %</w:t>
      </w:r>
      <w:r w:rsidRPr="001B4A02">
        <w:rPr>
          <w:lang w:val="cs-CZ"/>
        </w:rPr>
        <w:t xml:space="preserve"> dávka zvýšena ze 40</w:t>
      </w:r>
      <w:r w:rsidR="00874DE1">
        <w:rPr>
          <w:lang w:val="cs-CZ"/>
        </w:rPr>
        <w:t> mg</w:t>
      </w:r>
      <w:r w:rsidRPr="001B4A02">
        <w:rPr>
          <w:lang w:val="cs-CZ"/>
        </w:rPr>
        <w:t xml:space="preserve"> každý druhý týden na 40</w:t>
      </w:r>
      <w:r w:rsidR="00874DE1">
        <w:rPr>
          <w:lang w:val="cs-CZ"/>
        </w:rPr>
        <w:t> mg</w:t>
      </w:r>
      <w:r w:rsidRPr="001B4A02">
        <w:rPr>
          <w:lang w:val="cs-CZ"/>
        </w:rPr>
        <w:t xml:space="preserve"> týdně, dosáhlo opětovného návratu odpovědi PASI 75 celkem 26,4</w:t>
      </w:r>
      <w:r w:rsidR="00766F95" w:rsidRPr="001B4A02">
        <w:rPr>
          <w:lang w:val="cs-CZ"/>
        </w:rPr>
        <w:t> </w:t>
      </w:r>
      <w:r w:rsidRPr="001B4A02">
        <w:rPr>
          <w:lang w:val="cs-CZ"/>
        </w:rPr>
        <w:t>% pacientů (92</w:t>
      </w:r>
      <w:r w:rsidR="00766F95" w:rsidRPr="001B4A02">
        <w:rPr>
          <w:lang w:val="cs-CZ"/>
        </w:rPr>
        <w:t xml:space="preserve"> z </w:t>
      </w:r>
      <w:r w:rsidRPr="001B4A02">
        <w:rPr>
          <w:lang w:val="cs-CZ"/>
        </w:rPr>
        <w:t>349) v týdnu 12</w:t>
      </w:r>
      <w:r w:rsidR="002378E0">
        <w:rPr>
          <w:lang w:val="cs-CZ"/>
        </w:rPr>
        <w:t xml:space="preserve"> a </w:t>
      </w:r>
      <w:r w:rsidRPr="001B4A02">
        <w:rPr>
          <w:lang w:val="cs-CZ"/>
        </w:rPr>
        <w:t>37,8</w:t>
      </w:r>
      <w:r w:rsidR="00766F95" w:rsidRPr="001B4A02">
        <w:rPr>
          <w:lang w:val="cs-CZ"/>
        </w:rPr>
        <w:t> </w:t>
      </w:r>
      <w:r w:rsidRPr="001B4A02">
        <w:rPr>
          <w:lang w:val="cs-CZ"/>
        </w:rPr>
        <w:t>% (132</w:t>
      </w:r>
      <w:r w:rsidR="00766F95" w:rsidRPr="001B4A02">
        <w:rPr>
          <w:lang w:val="cs-CZ"/>
        </w:rPr>
        <w:t xml:space="preserve"> z </w:t>
      </w:r>
      <w:r w:rsidRPr="001B4A02">
        <w:rPr>
          <w:lang w:val="cs-CZ"/>
        </w:rPr>
        <w:t>349) v týdnu 24.</w:t>
      </w:r>
    </w:p>
    <w:p w14:paraId="0082C424" w14:textId="77777777" w:rsidR="00DB5C44" w:rsidRPr="001B4A02" w:rsidRDefault="00DB5C44" w:rsidP="00ED48A3">
      <w:pPr>
        <w:pStyle w:val="EMEANormal"/>
        <w:tabs>
          <w:tab w:val="clear" w:pos="562"/>
          <w:tab w:val="left" w:pos="708"/>
        </w:tabs>
        <w:suppressAutoHyphens w:val="0"/>
        <w:rPr>
          <w:lang w:val="cs-CZ"/>
        </w:rPr>
      </w:pPr>
    </w:p>
    <w:p w14:paraId="33AB3A6C" w14:textId="77777777" w:rsidR="00E7724C" w:rsidRPr="001B4A02" w:rsidRDefault="00000000" w:rsidP="00ED48A3">
      <w:pPr>
        <w:pStyle w:val="EMEANormal"/>
        <w:rPr>
          <w:lang w:val="cs-CZ"/>
        </w:rPr>
      </w:pPr>
      <w:r w:rsidRPr="001B4A02">
        <w:rPr>
          <w:lang w:val="cs-CZ"/>
        </w:rPr>
        <w:t>Psoriatická studie III (</w:t>
      </w:r>
      <w:r w:rsidR="00F96338" w:rsidRPr="001B4A02">
        <w:rPr>
          <w:lang w:val="cs-CZ"/>
        </w:rPr>
        <w:t>REACH</w:t>
      </w:r>
      <w:r w:rsidRPr="001B4A02">
        <w:rPr>
          <w:lang w:val="cs-CZ"/>
        </w:rPr>
        <w:t>) srovnávala účinnost</w:t>
      </w:r>
      <w:r w:rsidR="002378E0">
        <w:rPr>
          <w:lang w:val="cs-CZ"/>
        </w:rPr>
        <w:t xml:space="preserve"> a </w:t>
      </w:r>
      <w:r w:rsidRPr="001B4A02">
        <w:rPr>
          <w:lang w:val="cs-CZ"/>
        </w:rPr>
        <w:t>bezpečnost přípravku Humira v porovnání s</w:t>
      </w:r>
      <w:r w:rsidR="00766F95" w:rsidRPr="001B4A02">
        <w:rPr>
          <w:lang w:val="cs-CZ"/>
        </w:rPr>
        <w:t> </w:t>
      </w:r>
      <w:r w:rsidRPr="001B4A02">
        <w:rPr>
          <w:lang w:val="cs-CZ"/>
        </w:rPr>
        <w:t>placebem u</w:t>
      </w:r>
      <w:r w:rsidR="00766F95" w:rsidRPr="001B4A02">
        <w:rPr>
          <w:lang w:val="cs-CZ"/>
        </w:rPr>
        <w:t> </w:t>
      </w:r>
      <w:r w:rsidRPr="001B4A02">
        <w:rPr>
          <w:lang w:val="cs-CZ"/>
        </w:rPr>
        <w:t>72 pacientů se středně těžkou až těžkou chronickou ložiskovou psoriázou</w:t>
      </w:r>
      <w:r w:rsidR="002378E0">
        <w:rPr>
          <w:lang w:val="cs-CZ"/>
        </w:rPr>
        <w:t xml:space="preserve"> a </w:t>
      </w:r>
      <w:r w:rsidRPr="001B4A02">
        <w:rPr>
          <w:lang w:val="cs-CZ"/>
        </w:rPr>
        <w:t>psoriázou na rukou a/nebo chodidlech. Pacienti dostávali úvodní dávku 80</w:t>
      </w:r>
      <w:r w:rsidR="00874DE1">
        <w:rPr>
          <w:lang w:val="cs-CZ"/>
        </w:rPr>
        <w:t> mg</w:t>
      </w:r>
      <w:r w:rsidRPr="001B4A02">
        <w:rPr>
          <w:lang w:val="cs-CZ"/>
        </w:rPr>
        <w:t xml:space="preserve"> </w:t>
      </w:r>
      <w:r w:rsidR="00766F95" w:rsidRPr="001B4A02">
        <w:rPr>
          <w:lang w:val="cs-CZ"/>
        </w:rPr>
        <w:t xml:space="preserve">přípravku </w:t>
      </w:r>
      <w:r w:rsidRPr="001B4A02">
        <w:rPr>
          <w:lang w:val="cs-CZ"/>
        </w:rPr>
        <w:t>Humir</w:t>
      </w:r>
      <w:r w:rsidR="00766F95" w:rsidRPr="001B4A02">
        <w:rPr>
          <w:lang w:val="cs-CZ"/>
        </w:rPr>
        <w:t>a</w:t>
      </w:r>
      <w:r w:rsidRPr="001B4A02">
        <w:rPr>
          <w:lang w:val="cs-CZ"/>
        </w:rPr>
        <w:t>, po níž následovala dávka 40</w:t>
      </w:r>
      <w:r w:rsidR="00874DE1">
        <w:rPr>
          <w:lang w:val="cs-CZ"/>
        </w:rPr>
        <w:t> mg</w:t>
      </w:r>
      <w:r w:rsidRPr="001B4A02">
        <w:rPr>
          <w:lang w:val="cs-CZ"/>
        </w:rPr>
        <w:t xml:space="preserve"> každý druhý týden (počínaje prvním týdnem po úvodní dávce)</w:t>
      </w:r>
      <w:r w:rsidR="00DE2CB3" w:rsidRPr="001B4A02">
        <w:rPr>
          <w:lang w:val="cs-CZ"/>
        </w:rPr>
        <w:t>,</w:t>
      </w:r>
      <w:r w:rsidRPr="001B4A02">
        <w:rPr>
          <w:lang w:val="cs-CZ"/>
        </w:rPr>
        <w:t xml:space="preserve"> nebo placebo po dobu 16 týdnů. V týdnu 16 významně větší část pacientů, kteří byli léčeni přípravkem Humira, dosáhla PGA skóre (Physician´s Global Assessment) „čisté“ nebo „téměř čisté“ pro ruce a/nebo chodidla ve srovnání s pacienty, kteří dostávali placebo (30</w:t>
      </w:r>
      <w:r w:rsidR="001835FF" w:rsidRPr="001B4A02">
        <w:rPr>
          <w:lang w:val="cs-CZ"/>
        </w:rPr>
        <w:t>,</w:t>
      </w:r>
      <w:r w:rsidRPr="001B4A02">
        <w:rPr>
          <w:lang w:val="cs-CZ"/>
        </w:rPr>
        <w:t>6</w:t>
      </w:r>
      <w:r w:rsidR="00766F95" w:rsidRPr="001B4A02">
        <w:rPr>
          <w:lang w:val="cs-CZ"/>
        </w:rPr>
        <w:t> </w:t>
      </w:r>
      <w:r w:rsidRPr="001B4A02">
        <w:rPr>
          <w:lang w:val="cs-CZ"/>
        </w:rPr>
        <w:t>% versus 4</w:t>
      </w:r>
      <w:r w:rsidR="00766F95" w:rsidRPr="001B4A02">
        <w:rPr>
          <w:lang w:val="cs-CZ"/>
        </w:rPr>
        <w:t>,</w:t>
      </w:r>
      <w:r w:rsidRPr="001B4A02">
        <w:rPr>
          <w:lang w:val="cs-CZ"/>
        </w:rPr>
        <w:t>3</w:t>
      </w:r>
      <w:r w:rsidR="00766F95" w:rsidRPr="001B4A02">
        <w:rPr>
          <w:lang w:val="cs-CZ"/>
        </w:rPr>
        <w:t> </w:t>
      </w:r>
      <w:r w:rsidRPr="001B4A02">
        <w:rPr>
          <w:lang w:val="cs-CZ"/>
        </w:rPr>
        <w:t>%, resp. [P = 0</w:t>
      </w:r>
      <w:r w:rsidR="001835FF" w:rsidRPr="001B4A02">
        <w:rPr>
          <w:lang w:val="cs-CZ"/>
        </w:rPr>
        <w:t>,</w:t>
      </w:r>
      <w:r w:rsidRPr="001B4A02">
        <w:rPr>
          <w:lang w:val="cs-CZ"/>
        </w:rPr>
        <w:t>014]).</w:t>
      </w:r>
    </w:p>
    <w:p w14:paraId="4AED148E" w14:textId="77777777" w:rsidR="00E7724C" w:rsidRPr="001B4A02" w:rsidRDefault="00E7724C" w:rsidP="00ED48A3">
      <w:pPr>
        <w:pStyle w:val="EMEANormal"/>
        <w:rPr>
          <w:lang w:val="cs-CZ"/>
        </w:rPr>
      </w:pPr>
    </w:p>
    <w:p w14:paraId="043A7055" w14:textId="77777777" w:rsidR="009E36E4" w:rsidRPr="001B4A02" w:rsidRDefault="00000000" w:rsidP="00ED48A3">
      <w:pPr>
        <w:pStyle w:val="EMEANormal"/>
        <w:tabs>
          <w:tab w:val="clear" w:pos="562"/>
          <w:tab w:val="left" w:pos="708"/>
        </w:tabs>
        <w:suppressAutoHyphens w:val="0"/>
        <w:rPr>
          <w:lang w:val="cs-CZ"/>
        </w:rPr>
      </w:pPr>
      <w:r w:rsidRPr="001B4A02">
        <w:rPr>
          <w:lang w:val="cs-CZ"/>
        </w:rPr>
        <w:t>Psoriatická studie IV porovnávala účinnost</w:t>
      </w:r>
      <w:r w:rsidR="002378E0">
        <w:rPr>
          <w:lang w:val="cs-CZ"/>
        </w:rPr>
        <w:t xml:space="preserve"> a </w:t>
      </w:r>
      <w:r w:rsidRPr="001B4A02">
        <w:rPr>
          <w:lang w:val="cs-CZ"/>
        </w:rPr>
        <w:t>bezpečnost přípravku Humira oproti</w:t>
      </w:r>
      <w:r w:rsidRPr="001B4A02">
        <w:rPr>
          <w:i/>
          <w:lang w:val="cs-CZ"/>
        </w:rPr>
        <w:t xml:space="preserve"> </w:t>
      </w:r>
      <w:r w:rsidRPr="001B4A02">
        <w:rPr>
          <w:lang w:val="cs-CZ"/>
        </w:rPr>
        <w:t>placebu u</w:t>
      </w:r>
      <w:r w:rsidR="002F4790" w:rsidRPr="001B4A02">
        <w:rPr>
          <w:lang w:val="cs-CZ"/>
        </w:rPr>
        <w:t> </w:t>
      </w:r>
      <w:r w:rsidRPr="001B4A02">
        <w:rPr>
          <w:lang w:val="cs-CZ"/>
        </w:rPr>
        <w:t>217 dospělých pacientů se středně těžkou až těžkou psoriázou nehtů. Pacienti dostávali úvodní dávku 80</w:t>
      </w:r>
      <w:r w:rsidR="00874DE1">
        <w:rPr>
          <w:lang w:val="cs-CZ"/>
        </w:rPr>
        <w:t> mg</w:t>
      </w:r>
      <w:r w:rsidRPr="001B4A02">
        <w:rPr>
          <w:lang w:val="cs-CZ"/>
        </w:rPr>
        <w:t xml:space="preserve"> přípravku Humira následovanou dávkou 40</w:t>
      </w:r>
      <w:r w:rsidR="00874DE1">
        <w:rPr>
          <w:lang w:val="cs-CZ"/>
        </w:rPr>
        <w:t> mg</w:t>
      </w:r>
      <w:r w:rsidRPr="001B4A02">
        <w:rPr>
          <w:lang w:val="cs-CZ"/>
        </w:rPr>
        <w:t xml:space="preserve"> každý druhý týden (počínaje prvním týdnem po </w:t>
      </w:r>
      <w:r w:rsidR="00EE5BAE" w:rsidRPr="001B4A02">
        <w:rPr>
          <w:lang w:val="cs-CZ"/>
        </w:rPr>
        <w:t>úvodní</w:t>
      </w:r>
      <w:r w:rsidRPr="001B4A02">
        <w:rPr>
          <w:lang w:val="cs-CZ"/>
        </w:rPr>
        <w:t xml:space="preserve"> dávce)</w:t>
      </w:r>
      <w:r w:rsidR="00DE2CB3" w:rsidRPr="001B4A02">
        <w:rPr>
          <w:lang w:val="cs-CZ"/>
        </w:rPr>
        <w:t>,</w:t>
      </w:r>
      <w:r w:rsidRPr="001B4A02">
        <w:rPr>
          <w:lang w:val="cs-CZ"/>
        </w:rPr>
        <w:t xml:space="preserve"> nebo placebo po dobu 26 týdnů</w:t>
      </w:r>
      <w:r w:rsidR="007E2F50" w:rsidRPr="001B4A02">
        <w:rPr>
          <w:lang w:val="cs-CZ"/>
        </w:rPr>
        <w:t>,</w:t>
      </w:r>
      <w:r w:rsidRPr="001B4A02">
        <w:rPr>
          <w:lang w:val="cs-CZ"/>
        </w:rPr>
        <w:t xml:space="preserve"> následované otevřenou fází léčby přípravkem Humira po následujících 26 týdnů. Hodnocení psoriázy nehtů zahrnovalo „Modified Nail Psoriasis Severity Index“ (mNAPSI), „Physician´s Global Assessment of Fingernail Psoriasis“ (PGA-F)</w:t>
      </w:r>
      <w:r w:rsidR="002378E0">
        <w:rPr>
          <w:lang w:val="cs-CZ"/>
        </w:rPr>
        <w:t xml:space="preserve"> a </w:t>
      </w:r>
      <w:r w:rsidRPr="001B4A02">
        <w:rPr>
          <w:lang w:val="cs-CZ"/>
        </w:rPr>
        <w:t xml:space="preserve">„Nail Psoriasis Severity Index“ (NAPSI) (viz tabulka </w:t>
      </w:r>
      <w:r w:rsidR="00E331EB">
        <w:rPr>
          <w:lang w:val="cs-CZ"/>
        </w:rPr>
        <w:t>11</w:t>
      </w:r>
      <w:r w:rsidRPr="001B4A02">
        <w:rPr>
          <w:lang w:val="cs-CZ"/>
        </w:rPr>
        <w:t>). Léčba přípravkem Humira byla prospěšná u</w:t>
      </w:r>
      <w:r w:rsidR="002F4790" w:rsidRPr="001B4A02">
        <w:rPr>
          <w:lang w:val="cs-CZ"/>
        </w:rPr>
        <w:t> </w:t>
      </w:r>
      <w:r w:rsidRPr="001B4A02">
        <w:rPr>
          <w:lang w:val="cs-CZ"/>
        </w:rPr>
        <w:t>pacientů s psoriázou nehtů s různým rozsahem postižení kůže (</w:t>
      </w:r>
      <w:r w:rsidRPr="001B4A02">
        <w:rPr>
          <w:szCs w:val="22"/>
          <w:lang w:val="cs-CZ"/>
        </w:rPr>
        <w:t>BSA</w:t>
      </w:r>
      <w:r w:rsidR="002F4790" w:rsidRPr="001B4A02">
        <w:rPr>
          <w:szCs w:val="22"/>
          <w:lang w:val="cs-CZ"/>
        </w:rPr>
        <w:t xml:space="preserve"> </w:t>
      </w:r>
      <w:r w:rsidRPr="001B4A02">
        <w:rPr>
          <w:szCs w:val="22"/>
          <w:lang w:val="cs-CZ"/>
        </w:rPr>
        <w:t>≥</w:t>
      </w:r>
      <w:r w:rsidR="002F4790" w:rsidRPr="001B4A02">
        <w:rPr>
          <w:szCs w:val="22"/>
          <w:lang w:val="cs-CZ"/>
        </w:rPr>
        <w:t> </w:t>
      </w:r>
      <w:r w:rsidRPr="001B4A02">
        <w:rPr>
          <w:szCs w:val="22"/>
          <w:lang w:val="cs-CZ"/>
        </w:rPr>
        <w:t>10</w:t>
      </w:r>
      <w:r w:rsidR="002F4790" w:rsidRPr="001B4A02">
        <w:rPr>
          <w:szCs w:val="22"/>
          <w:lang w:val="cs-CZ"/>
        </w:rPr>
        <w:t> </w:t>
      </w:r>
      <w:r w:rsidRPr="001B4A02">
        <w:rPr>
          <w:szCs w:val="22"/>
          <w:lang w:val="cs-CZ"/>
        </w:rPr>
        <w:t>% (60</w:t>
      </w:r>
      <w:r w:rsidR="002F4790" w:rsidRPr="001B4A02">
        <w:rPr>
          <w:szCs w:val="22"/>
          <w:lang w:val="cs-CZ"/>
        </w:rPr>
        <w:t> </w:t>
      </w:r>
      <w:r w:rsidRPr="001B4A02">
        <w:rPr>
          <w:szCs w:val="22"/>
          <w:lang w:val="cs-CZ"/>
        </w:rPr>
        <w:t>% pacientů)</w:t>
      </w:r>
      <w:r w:rsidR="002378E0">
        <w:rPr>
          <w:szCs w:val="22"/>
          <w:lang w:val="cs-CZ"/>
        </w:rPr>
        <w:t xml:space="preserve"> a </w:t>
      </w:r>
      <w:r w:rsidRPr="001B4A02">
        <w:rPr>
          <w:szCs w:val="22"/>
          <w:lang w:val="cs-CZ"/>
        </w:rPr>
        <w:t>BSA</w:t>
      </w:r>
      <w:r w:rsidR="002F4790" w:rsidRPr="001B4A02">
        <w:rPr>
          <w:szCs w:val="22"/>
          <w:lang w:val="cs-CZ"/>
        </w:rPr>
        <w:t xml:space="preserve"> </w:t>
      </w:r>
      <w:r w:rsidRPr="001B4A02">
        <w:rPr>
          <w:szCs w:val="22"/>
          <w:lang w:val="cs-CZ"/>
        </w:rPr>
        <w:t>&lt;</w:t>
      </w:r>
      <w:r w:rsidR="002F4790" w:rsidRPr="001B4A02">
        <w:rPr>
          <w:szCs w:val="22"/>
          <w:lang w:val="cs-CZ"/>
        </w:rPr>
        <w:t> </w:t>
      </w:r>
      <w:r w:rsidRPr="001B4A02">
        <w:rPr>
          <w:szCs w:val="22"/>
          <w:lang w:val="cs-CZ"/>
        </w:rPr>
        <w:t>10</w:t>
      </w:r>
      <w:r w:rsidR="002F4790" w:rsidRPr="001B4A02">
        <w:rPr>
          <w:szCs w:val="22"/>
          <w:lang w:val="cs-CZ"/>
        </w:rPr>
        <w:t> </w:t>
      </w:r>
      <w:r w:rsidRPr="001B4A02">
        <w:rPr>
          <w:szCs w:val="22"/>
          <w:lang w:val="cs-CZ"/>
        </w:rPr>
        <w:t>%</w:t>
      </w:r>
      <w:r w:rsidR="002378E0">
        <w:rPr>
          <w:szCs w:val="22"/>
          <w:lang w:val="cs-CZ"/>
        </w:rPr>
        <w:t xml:space="preserve"> a </w:t>
      </w:r>
      <w:r w:rsidRPr="001B4A02">
        <w:rPr>
          <w:szCs w:val="22"/>
          <w:lang w:val="cs-CZ"/>
        </w:rPr>
        <w:t>≥</w:t>
      </w:r>
      <w:r w:rsidR="002F4790" w:rsidRPr="001B4A02">
        <w:rPr>
          <w:szCs w:val="22"/>
          <w:lang w:val="cs-CZ"/>
        </w:rPr>
        <w:t> </w:t>
      </w:r>
      <w:r w:rsidRPr="001B4A02">
        <w:rPr>
          <w:szCs w:val="22"/>
          <w:lang w:val="cs-CZ"/>
        </w:rPr>
        <w:t>5</w:t>
      </w:r>
      <w:r w:rsidR="002F4790" w:rsidRPr="001B4A02">
        <w:rPr>
          <w:szCs w:val="22"/>
          <w:lang w:val="cs-CZ"/>
        </w:rPr>
        <w:t> </w:t>
      </w:r>
      <w:r w:rsidRPr="001B4A02">
        <w:rPr>
          <w:szCs w:val="22"/>
          <w:lang w:val="cs-CZ"/>
        </w:rPr>
        <w:t>% (40</w:t>
      </w:r>
      <w:r w:rsidR="002F4790" w:rsidRPr="001B4A02">
        <w:rPr>
          <w:szCs w:val="22"/>
          <w:lang w:val="cs-CZ"/>
        </w:rPr>
        <w:t> </w:t>
      </w:r>
      <w:r w:rsidRPr="001B4A02">
        <w:rPr>
          <w:szCs w:val="22"/>
          <w:lang w:val="cs-CZ"/>
        </w:rPr>
        <w:t>% pacientů)).</w:t>
      </w:r>
    </w:p>
    <w:p w14:paraId="50F4157D" w14:textId="77777777" w:rsidR="009E36E4" w:rsidRPr="001B4A02" w:rsidRDefault="009E36E4" w:rsidP="00ED48A3">
      <w:pPr>
        <w:pStyle w:val="gtcbodytext"/>
        <w:spacing w:before="0" w:after="0" w:line="240" w:lineRule="auto"/>
        <w:rPr>
          <w:sz w:val="22"/>
          <w:szCs w:val="22"/>
          <w:lang w:val="cs-CZ"/>
        </w:rPr>
      </w:pPr>
    </w:p>
    <w:p w14:paraId="3EE9477C" w14:textId="77777777" w:rsidR="009E36E4" w:rsidRPr="001B4A02" w:rsidRDefault="00000000" w:rsidP="00F9384F">
      <w:pPr>
        <w:pStyle w:val="gtctabletitleotherwise"/>
        <w:spacing w:before="0"/>
        <w:rPr>
          <w:bCs w:val="0"/>
          <w:sz w:val="22"/>
          <w:szCs w:val="22"/>
          <w:lang w:val="cs-CZ"/>
        </w:rPr>
      </w:pPr>
      <w:r w:rsidRPr="001B4A02">
        <w:rPr>
          <w:bCs w:val="0"/>
          <w:sz w:val="22"/>
          <w:szCs w:val="22"/>
          <w:lang w:val="cs-CZ"/>
        </w:rPr>
        <w:t xml:space="preserve">Tabulka </w:t>
      </w:r>
      <w:r w:rsidR="00E331EB">
        <w:rPr>
          <w:bCs w:val="0"/>
          <w:sz w:val="22"/>
          <w:szCs w:val="22"/>
          <w:lang w:val="cs-CZ"/>
        </w:rPr>
        <w:t>11</w:t>
      </w:r>
    </w:p>
    <w:p w14:paraId="1668292E" w14:textId="77777777" w:rsidR="009E36E4" w:rsidRPr="001B4A02" w:rsidRDefault="00000000" w:rsidP="00F9384F">
      <w:pPr>
        <w:pStyle w:val="gtctabletitleotherwise"/>
        <w:spacing w:before="0"/>
        <w:rPr>
          <w:sz w:val="22"/>
          <w:szCs w:val="22"/>
          <w:lang w:val="cs-CZ"/>
        </w:rPr>
      </w:pPr>
      <w:r w:rsidRPr="001B4A02">
        <w:rPr>
          <w:bCs w:val="0"/>
          <w:sz w:val="22"/>
          <w:szCs w:val="22"/>
          <w:lang w:val="cs-CZ"/>
        </w:rPr>
        <w:t>Výsledky účinnosti v</w:t>
      </w:r>
      <w:r w:rsidR="004B7DA6" w:rsidRPr="001B4A02">
        <w:rPr>
          <w:bCs w:val="0"/>
          <w:sz w:val="22"/>
          <w:szCs w:val="22"/>
          <w:lang w:val="cs-CZ"/>
        </w:rPr>
        <w:t> </w:t>
      </w:r>
      <w:r w:rsidRPr="001B4A02">
        <w:rPr>
          <w:bCs w:val="0"/>
          <w:sz w:val="22"/>
          <w:szCs w:val="22"/>
          <w:lang w:val="cs-CZ"/>
        </w:rPr>
        <w:t>týdnech 16, 26</w:t>
      </w:r>
      <w:r w:rsidR="002378E0">
        <w:rPr>
          <w:bCs w:val="0"/>
          <w:sz w:val="22"/>
          <w:szCs w:val="22"/>
          <w:lang w:val="cs-CZ"/>
        </w:rPr>
        <w:t xml:space="preserve"> a </w:t>
      </w:r>
      <w:r w:rsidRPr="001B4A02">
        <w:rPr>
          <w:bCs w:val="0"/>
          <w:sz w:val="22"/>
          <w:szCs w:val="22"/>
          <w:lang w:val="cs-CZ"/>
        </w:rPr>
        <w:t>52</w:t>
      </w:r>
      <w:r w:rsidR="004B7DA6" w:rsidRPr="001B4A02">
        <w:rPr>
          <w:bCs w:val="0"/>
          <w:sz w:val="22"/>
          <w:szCs w:val="22"/>
          <w:lang w:val="cs-CZ"/>
        </w:rPr>
        <w:t xml:space="preserve"> </w:t>
      </w:r>
      <w:r w:rsidRPr="001B4A02">
        <w:rPr>
          <w:bCs w:val="0"/>
          <w:sz w:val="22"/>
          <w:szCs w:val="22"/>
          <w:lang w:val="cs-CZ"/>
        </w:rPr>
        <w:t>u</w:t>
      </w:r>
      <w:r w:rsidR="004B7DA6" w:rsidRPr="001B4A02">
        <w:rPr>
          <w:bCs w:val="0"/>
          <w:sz w:val="22"/>
          <w:szCs w:val="22"/>
          <w:lang w:val="cs-CZ"/>
        </w:rPr>
        <w:t> </w:t>
      </w:r>
      <w:r w:rsidRPr="001B4A02">
        <w:rPr>
          <w:bCs w:val="0"/>
          <w:sz w:val="22"/>
          <w:szCs w:val="22"/>
          <w:lang w:val="cs-CZ"/>
        </w:rPr>
        <w:t>psoriatické studie IV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134"/>
        <w:gridCol w:w="1417"/>
        <w:gridCol w:w="1134"/>
        <w:gridCol w:w="1418"/>
        <w:gridCol w:w="1417"/>
      </w:tblGrid>
      <w:tr w:rsidR="00534A2D" w14:paraId="610E5EA3" w14:textId="77777777" w:rsidTr="00F51027">
        <w:tc>
          <w:tcPr>
            <w:tcW w:w="2802" w:type="dxa"/>
            <w:vMerge w:val="restart"/>
            <w:shd w:val="clear" w:color="auto" w:fill="auto"/>
          </w:tcPr>
          <w:p w14:paraId="350087FA" w14:textId="77777777" w:rsidR="009E36E4" w:rsidRPr="001B4A02" w:rsidRDefault="00000000" w:rsidP="00F9384F">
            <w:pPr>
              <w:pStyle w:val="gtctablespaceafter"/>
              <w:spacing w:after="0"/>
              <w:rPr>
                <w:sz w:val="22"/>
                <w:szCs w:val="22"/>
                <w:lang w:val="cs-CZ"/>
              </w:rPr>
            </w:pPr>
            <w:r w:rsidRPr="001B4A02">
              <w:rPr>
                <w:sz w:val="22"/>
                <w:szCs w:val="22"/>
                <w:lang w:val="cs-CZ"/>
              </w:rPr>
              <w:t>Primární cílový parametr</w:t>
            </w:r>
          </w:p>
        </w:tc>
        <w:tc>
          <w:tcPr>
            <w:tcW w:w="2551" w:type="dxa"/>
            <w:gridSpan w:val="2"/>
            <w:shd w:val="clear" w:color="auto" w:fill="auto"/>
          </w:tcPr>
          <w:p w14:paraId="706D597C" w14:textId="77777777" w:rsidR="009E36E4" w:rsidRPr="001B4A02" w:rsidRDefault="00000000" w:rsidP="00F9384F">
            <w:pPr>
              <w:pStyle w:val="gtctablespaceafter"/>
              <w:spacing w:after="0"/>
              <w:jc w:val="center"/>
              <w:rPr>
                <w:sz w:val="22"/>
                <w:szCs w:val="22"/>
                <w:lang w:val="cs-CZ"/>
              </w:rPr>
            </w:pPr>
            <w:r w:rsidRPr="001B4A02">
              <w:rPr>
                <w:sz w:val="22"/>
                <w:szCs w:val="22"/>
                <w:lang w:val="cs-CZ"/>
              </w:rPr>
              <w:t>Týden 16</w:t>
            </w:r>
          </w:p>
          <w:p w14:paraId="2E0ED7D1" w14:textId="77777777" w:rsidR="009E36E4" w:rsidRPr="001B4A02" w:rsidRDefault="00000000" w:rsidP="00F9384F">
            <w:pPr>
              <w:pStyle w:val="gtctablespaceafter"/>
              <w:spacing w:after="0"/>
              <w:jc w:val="center"/>
              <w:rPr>
                <w:sz w:val="22"/>
                <w:szCs w:val="22"/>
                <w:lang w:val="cs-CZ"/>
              </w:rPr>
            </w:pPr>
            <w:r w:rsidRPr="001B4A02">
              <w:rPr>
                <w:sz w:val="22"/>
                <w:szCs w:val="22"/>
                <w:lang w:val="cs-CZ"/>
              </w:rPr>
              <w:t>Placebem kontrolovaná</w:t>
            </w:r>
          </w:p>
        </w:tc>
        <w:tc>
          <w:tcPr>
            <w:tcW w:w="2552" w:type="dxa"/>
            <w:gridSpan w:val="2"/>
            <w:shd w:val="clear" w:color="auto" w:fill="auto"/>
          </w:tcPr>
          <w:p w14:paraId="0A7A4AD1" w14:textId="77777777" w:rsidR="009E36E4" w:rsidRPr="001B4A02" w:rsidRDefault="00000000" w:rsidP="00F9384F">
            <w:pPr>
              <w:pStyle w:val="gtctablespaceafter"/>
              <w:spacing w:after="0"/>
              <w:jc w:val="center"/>
              <w:rPr>
                <w:sz w:val="22"/>
                <w:szCs w:val="22"/>
                <w:lang w:val="cs-CZ"/>
              </w:rPr>
            </w:pPr>
            <w:r w:rsidRPr="001B4A02">
              <w:rPr>
                <w:sz w:val="22"/>
                <w:szCs w:val="22"/>
                <w:lang w:val="cs-CZ"/>
              </w:rPr>
              <w:t>Týden 26</w:t>
            </w:r>
          </w:p>
          <w:p w14:paraId="1094D7E5" w14:textId="77777777" w:rsidR="009E36E4" w:rsidRPr="001B4A02" w:rsidRDefault="00000000" w:rsidP="00F9384F">
            <w:pPr>
              <w:pStyle w:val="gtctablespaceafter"/>
              <w:spacing w:after="0"/>
              <w:jc w:val="center"/>
              <w:rPr>
                <w:sz w:val="22"/>
                <w:szCs w:val="22"/>
                <w:lang w:val="cs-CZ"/>
              </w:rPr>
            </w:pPr>
            <w:r w:rsidRPr="001B4A02">
              <w:rPr>
                <w:sz w:val="22"/>
                <w:szCs w:val="22"/>
                <w:lang w:val="cs-CZ"/>
              </w:rPr>
              <w:t>Placebem kontrolovaná</w:t>
            </w:r>
          </w:p>
        </w:tc>
        <w:tc>
          <w:tcPr>
            <w:tcW w:w="1417" w:type="dxa"/>
            <w:shd w:val="clear" w:color="auto" w:fill="auto"/>
          </w:tcPr>
          <w:p w14:paraId="392B26DC" w14:textId="77777777" w:rsidR="009E36E4" w:rsidRPr="001B4A02" w:rsidRDefault="00000000" w:rsidP="00F9384F">
            <w:pPr>
              <w:pStyle w:val="gtctablespaceafter"/>
              <w:spacing w:after="0"/>
              <w:jc w:val="center"/>
              <w:rPr>
                <w:sz w:val="22"/>
                <w:szCs w:val="22"/>
                <w:lang w:val="cs-CZ"/>
              </w:rPr>
            </w:pPr>
            <w:r w:rsidRPr="001B4A02">
              <w:rPr>
                <w:sz w:val="22"/>
                <w:szCs w:val="22"/>
                <w:lang w:val="cs-CZ"/>
              </w:rPr>
              <w:t>Týden 52</w:t>
            </w:r>
          </w:p>
          <w:p w14:paraId="477EA861" w14:textId="77777777" w:rsidR="009E36E4" w:rsidRPr="001B4A02" w:rsidRDefault="00000000" w:rsidP="00F9384F">
            <w:pPr>
              <w:pStyle w:val="gtctablespaceafter"/>
              <w:spacing w:after="0"/>
              <w:jc w:val="center"/>
              <w:rPr>
                <w:sz w:val="22"/>
                <w:szCs w:val="22"/>
                <w:lang w:val="cs-CZ"/>
              </w:rPr>
            </w:pPr>
            <w:r w:rsidRPr="001B4A02">
              <w:rPr>
                <w:sz w:val="22"/>
                <w:szCs w:val="22"/>
                <w:lang w:val="cs-CZ"/>
              </w:rPr>
              <w:t>Otevřená</w:t>
            </w:r>
          </w:p>
        </w:tc>
      </w:tr>
      <w:tr w:rsidR="00534A2D" w14:paraId="6C5D6448" w14:textId="77777777" w:rsidTr="00F51027">
        <w:tc>
          <w:tcPr>
            <w:tcW w:w="2802" w:type="dxa"/>
            <w:vMerge/>
            <w:shd w:val="clear" w:color="auto" w:fill="auto"/>
          </w:tcPr>
          <w:p w14:paraId="7F518567" w14:textId="77777777" w:rsidR="009E36E4" w:rsidRPr="001B4A02" w:rsidRDefault="009E36E4" w:rsidP="00F9384F">
            <w:pPr>
              <w:pStyle w:val="gtctablespaceafter"/>
              <w:spacing w:after="0"/>
              <w:rPr>
                <w:sz w:val="22"/>
                <w:szCs w:val="22"/>
                <w:lang w:val="cs-CZ"/>
              </w:rPr>
            </w:pPr>
          </w:p>
        </w:tc>
        <w:tc>
          <w:tcPr>
            <w:tcW w:w="1134" w:type="dxa"/>
            <w:shd w:val="clear" w:color="auto" w:fill="auto"/>
          </w:tcPr>
          <w:p w14:paraId="7577B9B9" w14:textId="77777777" w:rsidR="004B7DA6" w:rsidRPr="001B4A02" w:rsidRDefault="00000000" w:rsidP="00F9384F">
            <w:pPr>
              <w:pStyle w:val="gtctablespaceafter"/>
              <w:spacing w:after="0"/>
              <w:jc w:val="center"/>
              <w:rPr>
                <w:sz w:val="22"/>
                <w:lang w:val="cs-CZ"/>
              </w:rPr>
            </w:pPr>
            <w:r w:rsidRPr="001B4A02">
              <w:rPr>
                <w:sz w:val="22"/>
                <w:lang w:val="cs-CZ"/>
              </w:rPr>
              <w:t>Placebo</w:t>
            </w:r>
          </w:p>
          <w:p w14:paraId="0D1CF169" w14:textId="77777777" w:rsidR="009E36E4" w:rsidRPr="001B4A02" w:rsidRDefault="00000000" w:rsidP="00F9384F">
            <w:pPr>
              <w:pStyle w:val="gtctablespaceafter"/>
              <w:spacing w:after="0"/>
              <w:jc w:val="center"/>
              <w:rPr>
                <w:sz w:val="22"/>
                <w:szCs w:val="22"/>
                <w:lang w:val="cs-CZ"/>
              </w:rPr>
            </w:pPr>
            <w:r>
              <w:rPr>
                <w:sz w:val="22"/>
                <w:lang w:val="cs-CZ"/>
              </w:rPr>
              <w:t>n</w:t>
            </w:r>
            <w:r w:rsidRPr="001B4A02">
              <w:rPr>
                <w:sz w:val="22"/>
                <w:lang w:val="cs-CZ"/>
              </w:rPr>
              <w:t>=108</w:t>
            </w:r>
          </w:p>
        </w:tc>
        <w:tc>
          <w:tcPr>
            <w:tcW w:w="1417" w:type="dxa"/>
            <w:shd w:val="clear" w:color="auto" w:fill="auto"/>
          </w:tcPr>
          <w:p w14:paraId="2A65FEB8" w14:textId="77777777" w:rsidR="009E36E4" w:rsidRPr="001B4A02" w:rsidRDefault="00000000" w:rsidP="00F9384F">
            <w:pPr>
              <w:pStyle w:val="In-texttable"/>
              <w:keepNext w:val="0"/>
              <w:spacing w:line="240" w:lineRule="auto"/>
              <w:jc w:val="center"/>
              <w:rPr>
                <w:rFonts w:ascii="Times New Roman" w:hAnsi="Times New Roman"/>
                <w:sz w:val="22"/>
                <w:lang w:val="cs-CZ"/>
              </w:rPr>
            </w:pPr>
            <w:r w:rsidRPr="001B4A02">
              <w:rPr>
                <w:rFonts w:ascii="Times New Roman" w:hAnsi="Times New Roman"/>
                <w:sz w:val="22"/>
                <w:lang w:val="cs-CZ"/>
              </w:rPr>
              <w:t>Humira</w:t>
            </w:r>
          </w:p>
          <w:p w14:paraId="25E9ADD0" w14:textId="77777777" w:rsidR="004B7DA6" w:rsidRPr="001B4A02" w:rsidRDefault="00000000" w:rsidP="00F9384F">
            <w:pPr>
              <w:pStyle w:val="gtctablespaceafter"/>
              <w:spacing w:after="0"/>
              <w:jc w:val="center"/>
              <w:rPr>
                <w:sz w:val="22"/>
                <w:lang w:val="cs-CZ"/>
              </w:rPr>
            </w:pPr>
            <w:r w:rsidRPr="001B4A02">
              <w:rPr>
                <w:sz w:val="22"/>
                <w:lang w:val="cs-CZ"/>
              </w:rPr>
              <w:t>40</w:t>
            </w:r>
            <w:r w:rsidR="00874DE1">
              <w:rPr>
                <w:sz w:val="22"/>
                <w:lang w:val="cs-CZ"/>
              </w:rPr>
              <w:t> mg</w:t>
            </w:r>
            <w:r w:rsidRPr="001B4A02">
              <w:rPr>
                <w:sz w:val="22"/>
                <w:lang w:val="cs-CZ"/>
              </w:rPr>
              <w:t xml:space="preserve"> každý druhý týden</w:t>
            </w:r>
          </w:p>
          <w:p w14:paraId="10BDDDA8" w14:textId="77777777" w:rsidR="009E36E4" w:rsidRPr="001B4A02" w:rsidRDefault="00000000" w:rsidP="00F9384F">
            <w:pPr>
              <w:pStyle w:val="gtctablespaceafter"/>
              <w:spacing w:after="0"/>
              <w:jc w:val="center"/>
              <w:rPr>
                <w:sz w:val="22"/>
                <w:szCs w:val="22"/>
                <w:lang w:val="cs-CZ"/>
              </w:rPr>
            </w:pPr>
            <w:r>
              <w:rPr>
                <w:sz w:val="22"/>
                <w:lang w:val="cs-CZ"/>
              </w:rPr>
              <w:t>n</w:t>
            </w:r>
            <w:r w:rsidRPr="001B4A02">
              <w:rPr>
                <w:sz w:val="22"/>
                <w:lang w:val="cs-CZ"/>
              </w:rPr>
              <w:t>=109</w:t>
            </w:r>
          </w:p>
        </w:tc>
        <w:tc>
          <w:tcPr>
            <w:tcW w:w="1134" w:type="dxa"/>
            <w:shd w:val="clear" w:color="auto" w:fill="auto"/>
          </w:tcPr>
          <w:p w14:paraId="5EED2862" w14:textId="77777777" w:rsidR="004B7DA6" w:rsidRPr="001B4A02" w:rsidRDefault="00000000" w:rsidP="00F9384F">
            <w:pPr>
              <w:pStyle w:val="gtctablespaceafter"/>
              <w:spacing w:after="0"/>
              <w:jc w:val="center"/>
              <w:rPr>
                <w:sz w:val="22"/>
                <w:lang w:val="cs-CZ"/>
              </w:rPr>
            </w:pPr>
            <w:r w:rsidRPr="001B4A02">
              <w:rPr>
                <w:sz w:val="22"/>
                <w:lang w:val="cs-CZ"/>
              </w:rPr>
              <w:t>Placebo</w:t>
            </w:r>
          </w:p>
          <w:p w14:paraId="4B3313D7" w14:textId="77777777" w:rsidR="009E36E4" w:rsidRPr="001B4A02" w:rsidRDefault="00000000" w:rsidP="00F9384F">
            <w:pPr>
              <w:pStyle w:val="gtctablespaceafter"/>
              <w:spacing w:after="0"/>
              <w:jc w:val="center"/>
              <w:rPr>
                <w:sz w:val="22"/>
                <w:szCs w:val="22"/>
                <w:lang w:val="cs-CZ"/>
              </w:rPr>
            </w:pPr>
            <w:r>
              <w:rPr>
                <w:sz w:val="22"/>
                <w:lang w:val="cs-CZ"/>
              </w:rPr>
              <w:t>n</w:t>
            </w:r>
            <w:r w:rsidRPr="001B4A02">
              <w:rPr>
                <w:sz w:val="22"/>
                <w:lang w:val="cs-CZ"/>
              </w:rPr>
              <w:t>=108</w:t>
            </w:r>
          </w:p>
        </w:tc>
        <w:tc>
          <w:tcPr>
            <w:tcW w:w="1418" w:type="dxa"/>
            <w:shd w:val="clear" w:color="auto" w:fill="auto"/>
          </w:tcPr>
          <w:p w14:paraId="018CE997" w14:textId="77777777" w:rsidR="009E36E4" w:rsidRPr="001B4A02" w:rsidRDefault="00000000" w:rsidP="00F9384F">
            <w:pPr>
              <w:pStyle w:val="In-texttable"/>
              <w:keepNext w:val="0"/>
              <w:spacing w:line="240" w:lineRule="auto"/>
              <w:jc w:val="center"/>
              <w:rPr>
                <w:rFonts w:ascii="Times New Roman" w:hAnsi="Times New Roman"/>
                <w:sz w:val="22"/>
                <w:lang w:val="cs-CZ"/>
              </w:rPr>
            </w:pPr>
            <w:r w:rsidRPr="001B4A02">
              <w:rPr>
                <w:rFonts w:ascii="Times New Roman" w:hAnsi="Times New Roman"/>
                <w:sz w:val="22"/>
                <w:lang w:val="cs-CZ"/>
              </w:rPr>
              <w:t>Humira</w:t>
            </w:r>
          </w:p>
          <w:p w14:paraId="15E9E81A" w14:textId="77777777" w:rsidR="004B7DA6" w:rsidRPr="001B4A02" w:rsidRDefault="00000000" w:rsidP="00F9384F">
            <w:pPr>
              <w:pStyle w:val="gtctablespaceafter"/>
              <w:spacing w:after="0"/>
              <w:jc w:val="center"/>
              <w:rPr>
                <w:sz w:val="22"/>
                <w:lang w:val="cs-CZ"/>
              </w:rPr>
            </w:pPr>
            <w:r w:rsidRPr="001B4A02">
              <w:rPr>
                <w:sz w:val="22"/>
                <w:lang w:val="cs-CZ"/>
              </w:rPr>
              <w:t>40</w:t>
            </w:r>
            <w:r w:rsidR="00874DE1">
              <w:rPr>
                <w:sz w:val="22"/>
                <w:lang w:val="cs-CZ"/>
              </w:rPr>
              <w:t> mg</w:t>
            </w:r>
            <w:r w:rsidRPr="001B4A02">
              <w:rPr>
                <w:sz w:val="22"/>
                <w:lang w:val="cs-CZ"/>
              </w:rPr>
              <w:t xml:space="preserve"> každý druhý týden</w:t>
            </w:r>
          </w:p>
          <w:p w14:paraId="4979E14C" w14:textId="77777777" w:rsidR="009E36E4" w:rsidRPr="001B4A02" w:rsidRDefault="00000000" w:rsidP="00F9384F">
            <w:pPr>
              <w:pStyle w:val="gtctablespaceafter"/>
              <w:spacing w:after="0"/>
              <w:jc w:val="center"/>
              <w:rPr>
                <w:sz w:val="22"/>
                <w:szCs w:val="22"/>
                <w:lang w:val="cs-CZ"/>
              </w:rPr>
            </w:pPr>
            <w:r>
              <w:rPr>
                <w:sz w:val="22"/>
                <w:lang w:val="cs-CZ"/>
              </w:rPr>
              <w:t>n</w:t>
            </w:r>
            <w:r w:rsidRPr="001B4A02">
              <w:rPr>
                <w:sz w:val="22"/>
                <w:lang w:val="cs-CZ"/>
              </w:rPr>
              <w:t>=109</w:t>
            </w:r>
          </w:p>
        </w:tc>
        <w:tc>
          <w:tcPr>
            <w:tcW w:w="1417" w:type="dxa"/>
            <w:shd w:val="clear" w:color="auto" w:fill="auto"/>
          </w:tcPr>
          <w:p w14:paraId="63C4FA42" w14:textId="77777777" w:rsidR="009E36E4" w:rsidRPr="001B4A02" w:rsidRDefault="00000000" w:rsidP="00F9384F">
            <w:pPr>
              <w:pStyle w:val="In-texttable"/>
              <w:keepNext w:val="0"/>
              <w:spacing w:line="240" w:lineRule="auto"/>
              <w:jc w:val="center"/>
              <w:rPr>
                <w:rFonts w:ascii="Times New Roman" w:hAnsi="Times New Roman"/>
                <w:sz w:val="22"/>
                <w:lang w:val="cs-CZ"/>
              </w:rPr>
            </w:pPr>
            <w:r w:rsidRPr="001B4A02">
              <w:rPr>
                <w:rFonts w:ascii="Times New Roman" w:hAnsi="Times New Roman"/>
                <w:sz w:val="22"/>
                <w:lang w:val="cs-CZ"/>
              </w:rPr>
              <w:t>Humira</w:t>
            </w:r>
          </w:p>
          <w:p w14:paraId="16C1AFD0" w14:textId="77777777" w:rsidR="004B7DA6" w:rsidRPr="001B4A02" w:rsidRDefault="00000000" w:rsidP="00F9384F">
            <w:pPr>
              <w:pStyle w:val="gtctablespaceafter"/>
              <w:spacing w:after="0"/>
              <w:jc w:val="center"/>
              <w:rPr>
                <w:sz w:val="22"/>
                <w:lang w:val="cs-CZ"/>
              </w:rPr>
            </w:pPr>
            <w:r w:rsidRPr="001B4A02">
              <w:rPr>
                <w:sz w:val="22"/>
                <w:lang w:val="cs-CZ"/>
              </w:rPr>
              <w:t>40</w:t>
            </w:r>
            <w:r w:rsidR="00874DE1">
              <w:rPr>
                <w:sz w:val="22"/>
                <w:lang w:val="cs-CZ"/>
              </w:rPr>
              <w:t> mg</w:t>
            </w:r>
            <w:r w:rsidRPr="001B4A02">
              <w:rPr>
                <w:sz w:val="22"/>
                <w:lang w:val="cs-CZ"/>
              </w:rPr>
              <w:t xml:space="preserve"> každý druhý týden</w:t>
            </w:r>
          </w:p>
          <w:p w14:paraId="1F827F61" w14:textId="77777777" w:rsidR="009E36E4" w:rsidRPr="001B4A02" w:rsidRDefault="00000000" w:rsidP="00F9384F">
            <w:pPr>
              <w:pStyle w:val="gtctablespaceafter"/>
              <w:spacing w:after="0"/>
              <w:jc w:val="center"/>
              <w:rPr>
                <w:sz w:val="22"/>
                <w:szCs w:val="22"/>
                <w:lang w:val="cs-CZ"/>
              </w:rPr>
            </w:pPr>
            <w:r>
              <w:rPr>
                <w:sz w:val="22"/>
                <w:lang w:val="cs-CZ"/>
              </w:rPr>
              <w:t>n</w:t>
            </w:r>
            <w:r w:rsidRPr="001B4A02">
              <w:rPr>
                <w:sz w:val="22"/>
                <w:lang w:val="cs-CZ"/>
              </w:rPr>
              <w:t>=80</w:t>
            </w:r>
          </w:p>
        </w:tc>
      </w:tr>
      <w:tr w:rsidR="00534A2D" w14:paraId="63C4F7A2" w14:textId="77777777" w:rsidTr="00F51027">
        <w:tc>
          <w:tcPr>
            <w:tcW w:w="2802" w:type="dxa"/>
            <w:shd w:val="clear" w:color="auto" w:fill="auto"/>
          </w:tcPr>
          <w:p w14:paraId="55DD1943" w14:textId="77777777" w:rsidR="009E36E4" w:rsidRPr="001B4A02" w:rsidRDefault="00000000" w:rsidP="00F9384F">
            <w:pPr>
              <w:pStyle w:val="gtctablespaceafter"/>
              <w:spacing w:after="0"/>
              <w:rPr>
                <w:sz w:val="22"/>
                <w:szCs w:val="22"/>
                <w:lang w:val="cs-CZ"/>
              </w:rPr>
            </w:pPr>
            <w:r w:rsidRPr="001B4A02">
              <w:rPr>
                <w:sz w:val="22"/>
                <w:lang w:val="cs-CZ"/>
              </w:rPr>
              <w:t>≥ mNAPSI 75 (%)</w:t>
            </w:r>
          </w:p>
        </w:tc>
        <w:tc>
          <w:tcPr>
            <w:tcW w:w="1134" w:type="dxa"/>
            <w:shd w:val="clear" w:color="auto" w:fill="auto"/>
          </w:tcPr>
          <w:p w14:paraId="1E1F09F7" w14:textId="77777777" w:rsidR="009E36E4" w:rsidRPr="001B4A02" w:rsidRDefault="00000000" w:rsidP="00F9384F">
            <w:pPr>
              <w:pStyle w:val="gtctablespaceafter"/>
              <w:spacing w:after="0"/>
              <w:jc w:val="center"/>
              <w:rPr>
                <w:sz w:val="22"/>
                <w:szCs w:val="22"/>
                <w:lang w:val="cs-CZ"/>
              </w:rPr>
            </w:pPr>
            <w:r w:rsidRPr="001B4A02">
              <w:rPr>
                <w:sz w:val="22"/>
                <w:szCs w:val="22"/>
                <w:lang w:val="cs-CZ"/>
              </w:rPr>
              <w:t>2,9</w:t>
            </w:r>
          </w:p>
        </w:tc>
        <w:tc>
          <w:tcPr>
            <w:tcW w:w="1417" w:type="dxa"/>
            <w:shd w:val="clear" w:color="auto" w:fill="auto"/>
          </w:tcPr>
          <w:p w14:paraId="27CE0E6A" w14:textId="77777777" w:rsidR="009E36E4" w:rsidRPr="001B4A02" w:rsidRDefault="00000000" w:rsidP="00F9384F">
            <w:pPr>
              <w:pStyle w:val="gtctablespaceafter"/>
              <w:spacing w:after="0"/>
              <w:jc w:val="center"/>
              <w:rPr>
                <w:sz w:val="22"/>
                <w:szCs w:val="22"/>
                <w:lang w:val="cs-CZ"/>
              </w:rPr>
            </w:pPr>
            <w:r w:rsidRPr="001B4A02">
              <w:rPr>
                <w:sz w:val="22"/>
                <w:szCs w:val="22"/>
                <w:lang w:val="cs-CZ"/>
              </w:rPr>
              <w:t>26,0</w:t>
            </w:r>
            <w:r w:rsidRPr="001B4A02">
              <w:rPr>
                <w:sz w:val="22"/>
                <w:szCs w:val="22"/>
                <w:vertAlign w:val="superscript"/>
                <w:lang w:val="cs-CZ"/>
              </w:rPr>
              <w:t>a</w:t>
            </w:r>
          </w:p>
        </w:tc>
        <w:tc>
          <w:tcPr>
            <w:tcW w:w="1134" w:type="dxa"/>
            <w:shd w:val="clear" w:color="auto" w:fill="auto"/>
          </w:tcPr>
          <w:p w14:paraId="270BCF80" w14:textId="77777777" w:rsidR="009E36E4" w:rsidRPr="001B4A02" w:rsidRDefault="00000000" w:rsidP="00F9384F">
            <w:pPr>
              <w:jc w:val="center"/>
              <w:rPr>
                <w:szCs w:val="22"/>
              </w:rPr>
            </w:pPr>
            <w:r w:rsidRPr="001B4A02">
              <w:rPr>
                <w:szCs w:val="22"/>
              </w:rPr>
              <w:t>3,4</w:t>
            </w:r>
          </w:p>
        </w:tc>
        <w:tc>
          <w:tcPr>
            <w:tcW w:w="1418" w:type="dxa"/>
            <w:shd w:val="clear" w:color="auto" w:fill="auto"/>
          </w:tcPr>
          <w:p w14:paraId="0B2436EC" w14:textId="77777777" w:rsidR="009E36E4" w:rsidRPr="001B4A02" w:rsidRDefault="00000000" w:rsidP="00F9384F">
            <w:pPr>
              <w:jc w:val="center"/>
              <w:rPr>
                <w:szCs w:val="22"/>
              </w:rPr>
            </w:pPr>
            <w:r w:rsidRPr="001B4A02">
              <w:rPr>
                <w:szCs w:val="22"/>
              </w:rPr>
              <w:t>46,6</w:t>
            </w:r>
            <w:r w:rsidRPr="001B4A02">
              <w:rPr>
                <w:szCs w:val="22"/>
                <w:vertAlign w:val="superscript"/>
              </w:rPr>
              <w:t>a</w:t>
            </w:r>
          </w:p>
        </w:tc>
        <w:tc>
          <w:tcPr>
            <w:tcW w:w="1417" w:type="dxa"/>
            <w:shd w:val="clear" w:color="auto" w:fill="auto"/>
          </w:tcPr>
          <w:p w14:paraId="075BB1E9" w14:textId="77777777" w:rsidR="009E36E4" w:rsidRPr="001B4A02" w:rsidRDefault="00000000" w:rsidP="00F9384F">
            <w:pPr>
              <w:pStyle w:val="gtctablespaceafter"/>
              <w:spacing w:after="0"/>
              <w:jc w:val="center"/>
              <w:rPr>
                <w:sz w:val="22"/>
                <w:szCs w:val="22"/>
                <w:lang w:val="cs-CZ"/>
              </w:rPr>
            </w:pPr>
            <w:r w:rsidRPr="001B4A02">
              <w:rPr>
                <w:sz w:val="22"/>
                <w:szCs w:val="22"/>
                <w:lang w:val="cs-CZ"/>
              </w:rPr>
              <w:t>65,0</w:t>
            </w:r>
          </w:p>
        </w:tc>
      </w:tr>
      <w:tr w:rsidR="00534A2D" w14:paraId="4B62B5FA" w14:textId="77777777" w:rsidTr="00F51027">
        <w:tc>
          <w:tcPr>
            <w:tcW w:w="2802" w:type="dxa"/>
            <w:shd w:val="clear" w:color="auto" w:fill="auto"/>
          </w:tcPr>
          <w:p w14:paraId="165CE057" w14:textId="77777777" w:rsidR="009E36E4" w:rsidRPr="001B4A02" w:rsidRDefault="00000000" w:rsidP="00F9384F">
            <w:pPr>
              <w:pStyle w:val="gtctablespaceafter"/>
              <w:spacing w:after="0"/>
              <w:rPr>
                <w:sz w:val="22"/>
                <w:szCs w:val="22"/>
                <w:lang w:val="cs-CZ"/>
              </w:rPr>
            </w:pPr>
            <w:r w:rsidRPr="001B4A02">
              <w:rPr>
                <w:sz w:val="22"/>
                <w:szCs w:val="22"/>
                <w:lang w:val="cs-CZ"/>
              </w:rPr>
              <w:t>PGA-F čistý/minimální</w:t>
            </w:r>
            <w:r w:rsidR="002378E0">
              <w:rPr>
                <w:sz w:val="22"/>
                <w:szCs w:val="22"/>
                <w:lang w:val="cs-CZ"/>
              </w:rPr>
              <w:t xml:space="preserve"> a </w:t>
            </w:r>
            <w:r w:rsidRPr="001B4A02">
              <w:rPr>
                <w:sz w:val="22"/>
                <w:szCs w:val="22"/>
                <w:lang w:val="cs-CZ"/>
              </w:rPr>
              <w:t>≥</w:t>
            </w:r>
            <w:r w:rsidR="004B7DA6" w:rsidRPr="001B4A02">
              <w:rPr>
                <w:sz w:val="22"/>
                <w:szCs w:val="22"/>
                <w:lang w:val="cs-CZ"/>
              </w:rPr>
              <w:t> </w:t>
            </w:r>
            <w:r w:rsidRPr="001B4A02">
              <w:rPr>
                <w:sz w:val="22"/>
                <w:szCs w:val="22"/>
                <w:lang w:val="cs-CZ"/>
              </w:rPr>
              <w:t>2stupňové zlepšení (%)</w:t>
            </w:r>
          </w:p>
        </w:tc>
        <w:tc>
          <w:tcPr>
            <w:tcW w:w="1134" w:type="dxa"/>
            <w:shd w:val="clear" w:color="auto" w:fill="auto"/>
          </w:tcPr>
          <w:p w14:paraId="04171EF5" w14:textId="77777777" w:rsidR="009E36E4" w:rsidRPr="001B4A02" w:rsidRDefault="00000000" w:rsidP="00F9384F">
            <w:pPr>
              <w:pStyle w:val="gtctablespaceafter"/>
              <w:spacing w:after="0"/>
              <w:jc w:val="center"/>
              <w:rPr>
                <w:sz w:val="22"/>
                <w:szCs w:val="22"/>
                <w:lang w:val="cs-CZ"/>
              </w:rPr>
            </w:pPr>
            <w:r w:rsidRPr="001B4A02">
              <w:rPr>
                <w:sz w:val="22"/>
                <w:szCs w:val="22"/>
                <w:lang w:val="cs-CZ"/>
              </w:rPr>
              <w:t>2,9</w:t>
            </w:r>
          </w:p>
        </w:tc>
        <w:tc>
          <w:tcPr>
            <w:tcW w:w="1417" w:type="dxa"/>
            <w:shd w:val="clear" w:color="auto" w:fill="auto"/>
          </w:tcPr>
          <w:p w14:paraId="060B5D12" w14:textId="77777777" w:rsidR="009E36E4" w:rsidRPr="001B4A02" w:rsidRDefault="00000000" w:rsidP="00F9384F">
            <w:pPr>
              <w:pStyle w:val="gtctablespaceafter"/>
              <w:spacing w:after="0"/>
              <w:jc w:val="center"/>
              <w:rPr>
                <w:sz w:val="22"/>
                <w:szCs w:val="22"/>
                <w:lang w:val="cs-CZ"/>
              </w:rPr>
            </w:pPr>
            <w:r w:rsidRPr="001B4A02">
              <w:rPr>
                <w:sz w:val="22"/>
                <w:szCs w:val="22"/>
                <w:lang w:val="cs-CZ"/>
              </w:rPr>
              <w:t>29,7</w:t>
            </w:r>
            <w:r w:rsidRPr="001B4A02">
              <w:rPr>
                <w:sz w:val="22"/>
                <w:szCs w:val="22"/>
                <w:vertAlign w:val="superscript"/>
                <w:lang w:val="cs-CZ"/>
              </w:rPr>
              <w:t>a</w:t>
            </w:r>
          </w:p>
        </w:tc>
        <w:tc>
          <w:tcPr>
            <w:tcW w:w="1134" w:type="dxa"/>
            <w:shd w:val="clear" w:color="auto" w:fill="auto"/>
          </w:tcPr>
          <w:p w14:paraId="7CFE3AA0" w14:textId="77777777" w:rsidR="009E36E4" w:rsidRPr="001B4A02" w:rsidRDefault="00000000" w:rsidP="00F9384F">
            <w:pPr>
              <w:jc w:val="center"/>
              <w:rPr>
                <w:szCs w:val="22"/>
              </w:rPr>
            </w:pPr>
            <w:r w:rsidRPr="001B4A02">
              <w:rPr>
                <w:szCs w:val="22"/>
              </w:rPr>
              <w:t>6,9</w:t>
            </w:r>
          </w:p>
        </w:tc>
        <w:tc>
          <w:tcPr>
            <w:tcW w:w="1418" w:type="dxa"/>
            <w:shd w:val="clear" w:color="auto" w:fill="auto"/>
          </w:tcPr>
          <w:p w14:paraId="401C0A14" w14:textId="77777777" w:rsidR="009E36E4" w:rsidRPr="001B4A02" w:rsidRDefault="00000000" w:rsidP="00F9384F">
            <w:pPr>
              <w:jc w:val="center"/>
              <w:rPr>
                <w:szCs w:val="22"/>
              </w:rPr>
            </w:pPr>
            <w:r w:rsidRPr="001B4A02">
              <w:rPr>
                <w:szCs w:val="22"/>
              </w:rPr>
              <w:t>48,9</w:t>
            </w:r>
            <w:r w:rsidRPr="001B4A02">
              <w:rPr>
                <w:szCs w:val="22"/>
                <w:vertAlign w:val="superscript"/>
              </w:rPr>
              <w:t>a</w:t>
            </w:r>
          </w:p>
        </w:tc>
        <w:tc>
          <w:tcPr>
            <w:tcW w:w="1417" w:type="dxa"/>
            <w:shd w:val="clear" w:color="auto" w:fill="auto"/>
          </w:tcPr>
          <w:p w14:paraId="0EBB8825" w14:textId="77777777" w:rsidR="009E36E4" w:rsidRPr="001B4A02" w:rsidRDefault="00000000" w:rsidP="00F9384F">
            <w:pPr>
              <w:pStyle w:val="gtctablespaceafter"/>
              <w:spacing w:after="0"/>
              <w:jc w:val="center"/>
              <w:rPr>
                <w:sz w:val="22"/>
                <w:szCs w:val="22"/>
                <w:lang w:val="cs-CZ"/>
              </w:rPr>
            </w:pPr>
            <w:r w:rsidRPr="001B4A02">
              <w:rPr>
                <w:sz w:val="22"/>
                <w:szCs w:val="22"/>
                <w:lang w:val="cs-CZ"/>
              </w:rPr>
              <w:t>61,3</w:t>
            </w:r>
          </w:p>
        </w:tc>
      </w:tr>
      <w:tr w:rsidR="00534A2D" w14:paraId="025C091A" w14:textId="77777777" w:rsidTr="00F51027">
        <w:tc>
          <w:tcPr>
            <w:tcW w:w="2802" w:type="dxa"/>
            <w:shd w:val="clear" w:color="auto" w:fill="auto"/>
          </w:tcPr>
          <w:p w14:paraId="24EC1D0D" w14:textId="77777777" w:rsidR="009E36E4" w:rsidRPr="001B4A02" w:rsidRDefault="00000000" w:rsidP="00F9384F">
            <w:pPr>
              <w:pStyle w:val="gtctablespaceafter"/>
              <w:spacing w:after="0"/>
              <w:rPr>
                <w:sz w:val="22"/>
                <w:szCs w:val="22"/>
                <w:lang w:val="cs-CZ"/>
              </w:rPr>
            </w:pPr>
            <w:r w:rsidRPr="001B4A02">
              <w:rPr>
                <w:sz w:val="22"/>
                <w:szCs w:val="22"/>
                <w:lang w:val="cs-CZ"/>
              </w:rPr>
              <w:t>Procentuální změna v</w:t>
            </w:r>
            <w:r w:rsidR="004B7DA6" w:rsidRPr="001B4A02">
              <w:rPr>
                <w:sz w:val="22"/>
                <w:szCs w:val="22"/>
                <w:lang w:val="cs-CZ"/>
              </w:rPr>
              <w:t> </w:t>
            </w:r>
            <w:r w:rsidRPr="001B4A02">
              <w:rPr>
                <w:sz w:val="22"/>
                <w:szCs w:val="22"/>
                <w:lang w:val="cs-CZ"/>
              </w:rPr>
              <w:t>celkovém NAPSI nehtů (%)</w:t>
            </w:r>
          </w:p>
        </w:tc>
        <w:tc>
          <w:tcPr>
            <w:tcW w:w="1134" w:type="dxa"/>
            <w:shd w:val="clear" w:color="auto" w:fill="auto"/>
          </w:tcPr>
          <w:p w14:paraId="11233E69" w14:textId="77777777" w:rsidR="009E36E4" w:rsidRPr="001B4A02" w:rsidRDefault="00000000" w:rsidP="00F9384F">
            <w:pPr>
              <w:pStyle w:val="gtctablespaceafter"/>
              <w:spacing w:after="0"/>
              <w:jc w:val="center"/>
              <w:rPr>
                <w:sz w:val="22"/>
                <w:szCs w:val="22"/>
                <w:lang w:val="cs-CZ"/>
              </w:rPr>
            </w:pPr>
            <w:r w:rsidRPr="001B4A02">
              <w:rPr>
                <w:sz w:val="22"/>
                <w:szCs w:val="22"/>
                <w:lang w:val="cs-CZ"/>
              </w:rPr>
              <w:t>-7,8</w:t>
            </w:r>
          </w:p>
        </w:tc>
        <w:tc>
          <w:tcPr>
            <w:tcW w:w="1417" w:type="dxa"/>
            <w:shd w:val="clear" w:color="auto" w:fill="auto"/>
          </w:tcPr>
          <w:p w14:paraId="101E0EF3" w14:textId="77777777" w:rsidR="009E36E4" w:rsidRPr="001B4A02" w:rsidRDefault="00000000" w:rsidP="00F9384F">
            <w:pPr>
              <w:pStyle w:val="gtctablespaceafter"/>
              <w:spacing w:after="0"/>
              <w:jc w:val="center"/>
              <w:rPr>
                <w:sz w:val="22"/>
                <w:szCs w:val="22"/>
                <w:lang w:val="cs-CZ"/>
              </w:rPr>
            </w:pPr>
            <w:r w:rsidRPr="001B4A02">
              <w:rPr>
                <w:sz w:val="22"/>
                <w:szCs w:val="22"/>
                <w:lang w:val="cs-CZ"/>
              </w:rPr>
              <w:t>-44,2</w:t>
            </w:r>
            <w:r w:rsidRPr="001B4A02">
              <w:rPr>
                <w:sz w:val="22"/>
                <w:szCs w:val="22"/>
                <w:vertAlign w:val="superscript"/>
                <w:lang w:val="cs-CZ"/>
              </w:rPr>
              <w:t>a</w:t>
            </w:r>
          </w:p>
        </w:tc>
        <w:tc>
          <w:tcPr>
            <w:tcW w:w="1134" w:type="dxa"/>
            <w:shd w:val="clear" w:color="auto" w:fill="auto"/>
          </w:tcPr>
          <w:p w14:paraId="6C303AB8" w14:textId="77777777" w:rsidR="009E36E4" w:rsidRPr="001B4A02" w:rsidRDefault="00000000" w:rsidP="00F9384F">
            <w:pPr>
              <w:jc w:val="center"/>
              <w:rPr>
                <w:szCs w:val="22"/>
              </w:rPr>
            </w:pPr>
            <w:r w:rsidRPr="001B4A02">
              <w:rPr>
                <w:szCs w:val="22"/>
              </w:rPr>
              <w:t>-11,5</w:t>
            </w:r>
          </w:p>
        </w:tc>
        <w:tc>
          <w:tcPr>
            <w:tcW w:w="1418" w:type="dxa"/>
            <w:shd w:val="clear" w:color="auto" w:fill="auto"/>
          </w:tcPr>
          <w:p w14:paraId="114998C3" w14:textId="77777777" w:rsidR="009E36E4" w:rsidRPr="001B4A02" w:rsidRDefault="00000000" w:rsidP="00F9384F">
            <w:pPr>
              <w:jc w:val="center"/>
              <w:rPr>
                <w:szCs w:val="22"/>
              </w:rPr>
            </w:pPr>
            <w:r w:rsidRPr="001B4A02">
              <w:rPr>
                <w:szCs w:val="22"/>
              </w:rPr>
              <w:t>-56,2</w:t>
            </w:r>
            <w:r w:rsidRPr="001B4A02">
              <w:rPr>
                <w:szCs w:val="22"/>
                <w:vertAlign w:val="superscript"/>
              </w:rPr>
              <w:t>a</w:t>
            </w:r>
          </w:p>
        </w:tc>
        <w:tc>
          <w:tcPr>
            <w:tcW w:w="1417" w:type="dxa"/>
            <w:shd w:val="clear" w:color="auto" w:fill="auto"/>
          </w:tcPr>
          <w:p w14:paraId="4F762451" w14:textId="77777777" w:rsidR="009E36E4" w:rsidRPr="001B4A02" w:rsidRDefault="00000000" w:rsidP="00F9384F">
            <w:pPr>
              <w:pStyle w:val="gtctablespaceafter"/>
              <w:spacing w:after="0"/>
              <w:jc w:val="center"/>
              <w:rPr>
                <w:sz w:val="22"/>
                <w:szCs w:val="22"/>
                <w:lang w:val="cs-CZ"/>
              </w:rPr>
            </w:pPr>
            <w:r w:rsidRPr="001B4A02">
              <w:rPr>
                <w:sz w:val="22"/>
                <w:szCs w:val="22"/>
                <w:lang w:val="cs-CZ"/>
              </w:rPr>
              <w:t>-72,2</w:t>
            </w:r>
          </w:p>
        </w:tc>
      </w:tr>
      <w:tr w:rsidR="00534A2D" w14:paraId="6A9E392F" w14:textId="77777777" w:rsidTr="004B7DA6">
        <w:tc>
          <w:tcPr>
            <w:tcW w:w="9322" w:type="dxa"/>
            <w:gridSpan w:val="6"/>
            <w:shd w:val="clear" w:color="auto" w:fill="auto"/>
          </w:tcPr>
          <w:p w14:paraId="1FD5DD79" w14:textId="77777777" w:rsidR="009E36E4" w:rsidRPr="001B4A02" w:rsidRDefault="00000000" w:rsidP="00F9384F">
            <w:pPr>
              <w:pStyle w:val="gtctablespaceafter"/>
              <w:spacing w:after="0"/>
              <w:rPr>
                <w:sz w:val="22"/>
                <w:szCs w:val="22"/>
                <w:lang w:val="cs-CZ"/>
              </w:rPr>
            </w:pPr>
            <w:r w:rsidRPr="001B4A02">
              <w:rPr>
                <w:sz w:val="22"/>
                <w:szCs w:val="22"/>
                <w:vertAlign w:val="superscript"/>
                <w:lang w:val="cs-CZ"/>
              </w:rPr>
              <w:t>a</w:t>
            </w:r>
            <w:r w:rsidRPr="001B4A02">
              <w:rPr>
                <w:sz w:val="22"/>
                <w:szCs w:val="22"/>
                <w:lang w:val="cs-CZ"/>
              </w:rPr>
              <w:t xml:space="preserve"> p&lt;0,001, </w:t>
            </w:r>
            <w:r w:rsidR="004C58C9" w:rsidRPr="001B4A02">
              <w:rPr>
                <w:sz w:val="22"/>
                <w:szCs w:val="22"/>
                <w:lang w:val="cs-CZ"/>
              </w:rPr>
              <w:t>p</w:t>
            </w:r>
            <w:r w:rsidR="004B7DA6" w:rsidRPr="001B4A02">
              <w:rPr>
                <w:sz w:val="22"/>
                <w:szCs w:val="22"/>
                <w:lang w:val="cs-CZ"/>
              </w:rPr>
              <w:t xml:space="preserve">řípravek </w:t>
            </w:r>
            <w:r w:rsidRPr="001B4A02">
              <w:rPr>
                <w:sz w:val="22"/>
                <w:szCs w:val="22"/>
                <w:lang w:val="cs-CZ"/>
              </w:rPr>
              <w:t xml:space="preserve">Humira vs. placebo </w:t>
            </w:r>
          </w:p>
        </w:tc>
      </w:tr>
    </w:tbl>
    <w:p w14:paraId="5304A2D4" w14:textId="77777777" w:rsidR="009E36E4" w:rsidRPr="001B4A02" w:rsidRDefault="009E36E4" w:rsidP="00ED48A3"/>
    <w:p w14:paraId="73E78849" w14:textId="77777777" w:rsidR="009E36E4" w:rsidRPr="001B4A02" w:rsidRDefault="00000000" w:rsidP="00ED48A3">
      <w:pPr>
        <w:ind w:left="0" w:firstLine="0"/>
      </w:pPr>
      <w:r w:rsidRPr="001B4A02">
        <w:t>U</w:t>
      </w:r>
      <w:r w:rsidR="004B7DA6" w:rsidRPr="001B4A02">
        <w:t> </w:t>
      </w:r>
      <w:r w:rsidRPr="001B4A02">
        <w:t>pacientů léčených přípravkem Humira bylo prokázáno statisticky významné zlepšení v</w:t>
      </w:r>
      <w:r w:rsidR="004B7DA6" w:rsidRPr="001B4A02">
        <w:t> </w:t>
      </w:r>
      <w:r w:rsidRPr="001B4A02">
        <w:t>týdnu 26 ve srovnání s</w:t>
      </w:r>
      <w:r w:rsidR="004B7DA6" w:rsidRPr="001B4A02">
        <w:t> </w:t>
      </w:r>
      <w:r w:rsidRPr="001B4A02">
        <w:t>placebem v</w:t>
      </w:r>
      <w:r w:rsidR="004B7DA6" w:rsidRPr="001B4A02">
        <w:t> </w:t>
      </w:r>
      <w:r w:rsidRPr="001B4A02">
        <w:t>DLQI.</w:t>
      </w:r>
    </w:p>
    <w:p w14:paraId="14646098" w14:textId="77777777" w:rsidR="009E36E4" w:rsidRPr="001B4A02" w:rsidRDefault="009E36E4" w:rsidP="00ED48A3">
      <w:pPr>
        <w:pStyle w:val="EMEANormal"/>
        <w:rPr>
          <w:lang w:val="cs-CZ"/>
        </w:rPr>
      </w:pPr>
    </w:p>
    <w:p w14:paraId="69DA554C" w14:textId="77777777" w:rsidR="00DB5C44" w:rsidRPr="001B4A02" w:rsidRDefault="00000000" w:rsidP="00ED48A3">
      <w:pPr>
        <w:keepNext/>
        <w:ind w:left="0" w:firstLine="0"/>
        <w:rPr>
          <w:rFonts w:eastAsia="Calibri"/>
          <w:i/>
          <w:szCs w:val="22"/>
        </w:rPr>
      </w:pPr>
      <w:r w:rsidRPr="001B4A02">
        <w:rPr>
          <w:rFonts w:eastAsia="Calibri"/>
          <w:i/>
          <w:szCs w:val="22"/>
        </w:rPr>
        <w:t>Hidradenitis suppurativa</w:t>
      </w:r>
    </w:p>
    <w:p w14:paraId="780739A5" w14:textId="77777777" w:rsidR="00DB5C44" w:rsidRPr="001B4A02" w:rsidRDefault="00DB5C44" w:rsidP="00ED48A3">
      <w:pPr>
        <w:keepNext/>
        <w:rPr>
          <w:rFonts w:eastAsia="MS Mincho"/>
          <w:szCs w:val="22"/>
          <w:lang w:eastAsia="ja-JP"/>
        </w:rPr>
      </w:pPr>
    </w:p>
    <w:p w14:paraId="483B6481" w14:textId="77777777" w:rsidR="00DB5C44" w:rsidRPr="001B4A02" w:rsidRDefault="00000000" w:rsidP="00ED48A3">
      <w:pPr>
        <w:ind w:left="0" w:firstLine="0"/>
        <w:rPr>
          <w:rFonts w:eastAsia="Calibri"/>
          <w:szCs w:val="22"/>
        </w:rPr>
      </w:pPr>
      <w:r w:rsidRPr="001B4A02">
        <w:rPr>
          <w:rFonts w:eastAsia="Calibri"/>
          <w:szCs w:val="22"/>
        </w:rPr>
        <w:t>Bezpečnost</w:t>
      </w:r>
      <w:r w:rsidR="002378E0">
        <w:rPr>
          <w:rFonts w:eastAsia="Calibri"/>
          <w:szCs w:val="22"/>
        </w:rPr>
        <w:t xml:space="preserve"> a </w:t>
      </w:r>
      <w:r w:rsidRPr="001B4A02">
        <w:rPr>
          <w:rFonts w:eastAsia="Calibri"/>
          <w:szCs w:val="22"/>
        </w:rPr>
        <w:t>účinnost přípravku Humira byla hodnocena v randomizovaných, dvojitě zaslepených, placebem kontrolovaných studiích</w:t>
      </w:r>
      <w:r w:rsidR="002378E0">
        <w:rPr>
          <w:rFonts w:eastAsia="Calibri"/>
          <w:szCs w:val="22"/>
        </w:rPr>
        <w:t xml:space="preserve"> a </w:t>
      </w:r>
      <w:r w:rsidRPr="001B4A02">
        <w:rPr>
          <w:rFonts w:eastAsia="Calibri"/>
          <w:szCs w:val="22"/>
        </w:rPr>
        <w:t>v otevřené prodloužené studii u</w:t>
      </w:r>
      <w:r w:rsidR="004B7DA6" w:rsidRPr="001B4A02">
        <w:rPr>
          <w:rFonts w:eastAsia="Calibri"/>
          <w:szCs w:val="22"/>
        </w:rPr>
        <w:t> </w:t>
      </w:r>
      <w:r w:rsidRPr="001B4A02">
        <w:rPr>
          <w:rFonts w:eastAsia="Calibri"/>
          <w:szCs w:val="22"/>
        </w:rPr>
        <w:t>dospělých pacientů se středně těžkou až těžkou hidradenitis suppurativa (HS), kteří netolerovali, měli kontraindikace nebo nedostatečnou odpověď na nejméně 3 měsíce trvající systémovou léčbu antibiotiky. Pacienti ve studii HS-I</w:t>
      </w:r>
      <w:r w:rsidR="002378E0">
        <w:rPr>
          <w:rFonts w:eastAsia="Calibri"/>
          <w:szCs w:val="22"/>
        </w:rPr>
        <w:t xml:space="preserve"> a </w:t>
      </w:r>
      <w:r w:rsidRPr="001B4A02">
        <w:rPr>
          <w:rFonts w:eastAsia="Calibri"/>
          <w:szCs w:val="22"/>
        </w:rPr>
        <w:t>HS-II měli stupeň onemocnění II nebo III podle klasifikace Hurley s nejméně 3 abscesy nebo zánětlivými ložisky.</w:t>
      </w:r>
    </w:p>
    <w:p w14:paraId="298B828E" w14:textId="77777777" w:rsidR="00DB5C44" w:rsidRPr="001B4A02" w:rsidRDefault="00DB5C44" w:rsidP="00ED48A3">
      <w:pPr>
        <w:rPr>
          <w:rFonts w:eastAsia="MS Mincho"/>
          <w:szCs w:val="22"/>
          <w:lang w:eastAsia="ja-JP"/>
        </w:rPr>
      </w:pPr>
    </w:p>
    <w:p w14:paraId="681C4552" w14:textId="77777777" w:rsidR="00DB5C44" w:rsidRPr="001B4A02" w:rsidRDefault="00000000" w:rsidP="00ED48A3">
      <w:pPr>
        <w:ind w:left="0" w:firstLine="0"/>
        <w:rPr>
          <w:rFonts w:eastAsia="Calibri"/>
          <w:szCs w:val="22"/>
        </w:rPr>
      </w:pPr>
      <w:r w:rsidRPr="001B4A02">
        <w:rPr>
          <w:rFonts w:eastAsia="Calibri"/>
          <w:szCs w:val="22"/>
        </w:rPr>
        <w:t>Studie HS-I (PIONEER I) hodnotila 307 pacientů se dvěma léčebnými fázemi. Během fáze A dostávali pacienti placebo nebo přípravek Humira v </w:t>
      </w:r>
      <w:r w:rsidR="00EE5BAE" w:rsidRPr="001B4A02">
        <w:t>úvodní</w:t>
      </w:r>
      <w:r w:rsidRPr="001B4A02">
        <w:rPr>
          <w:rFonts w:eastAsia="Calibri"/>
          <w:szCs w:val="22"/>
        </w:rPr>
        <w:t xml:space="preserve"> dávce 160</w:t>
      </w:r>
      <w:r w:rsidR="00874DE1">
        <w:rPr>
          <w:rFonts w:eastAsia="Calibri"/>
          <w:szCs w:val="22"/>
        </w:rPr>
        <w:t> mg</w:t>
      </w:r>
      <w:r w:rsidRPr="001B4A02">
        <w:rPr>
          <w:rFonts w:eastAsia="Calibri"/>
          <w:szCs w:val="22"/>
        </w:rPr>
        <w:t xml:space="preserve"> v týdnu 0, 80</w:t>
      </w:r>
      <w:r w:rsidR="00874DE1">
        <w:rPr>
          <w:rFonts w:eastAsia="Calibri"/>
          <w:szCs w:val="22"/>
        </w:rPr>
        <w:t> mg</w:t>
      </w:r>
      <w:r w:rsidRPr="001B4A02">
        <w:rPr>
          <w:rFonts w:eastAsia="Calibri"/>
          <w:szCs w:val="22"/>
        </w:rPr>
        <w:t xml:space="preserve"> v týdnu 2</w:t>
      </w:r>
      <w:r w:rsidR="002378E0">
        <w:rPr>
          <w:rFonts w:eastAsia="Calibri"/>
          <w:szCs w:val="22"/>
        </w:rPr>
        <w:t xml:space="preserve"> a </w:t>
      </w:r>
      <w:r w:rsidRPr="001B4A02">
        <w:rPr>
          <w:rFonts w:eastAsia="Calibri"/>
          <w:szCs w:val="22"/>
        </w:rPr>
        <w:t>40</w:t>
      </w:r>
      <w:r w:rsidR="00874DE1">
        <w:rPr>
          <w:rFonts w:eastAsia="Calibri"/>
          <w:szCs w:val="22"/>
        </w:rPr>
        <w:t> mg</w:t>
      </w:r>
      <w:r w:rsidRPr="001B4A02">
        <w:rPr>
          <w:rFonts w:eastAsia="Calibri"/>
          <w:szCs w:val="22"/>
        </w:rPr>
        <w:t xml:space="preserve"> každý týden počínaje týdnem 4 do týdne 11. Během studie nebyla dovolena současná léčba antibiotiky. Po 12 týdnech léčby byli pacienti, kteří dostávali ve fázi A přípravek Humira, opětovně randomizováni ve fázi B do 1 ze 3 léčebných skupin (</w:t>
      </w:r>
      <w:r w:rsidR="00B86D3A" w:rsidRPr="001B4A02">
        <w:rPr>
          <w:rFonts w:eastAsia="Calibri"/>
          <w:szCs w:val="22"/>
        </w:rPr>
        <w:t xml:space="preserve">přípravek </w:t>
      </w:r>
      <w:r w:rsidRPr="001B4A02">
        <w:rPr>
          <w:rFonts w:eastAsia="Calibri"/>
          <w:szCs w:val="22"/>
        </w:rPr>
        <w:t>Humira 40</w:t>
      </w:r>
      <w:r w:rsidR="00874DE1">
        <w:rPr>
          <w:rFonts w:eastAsia="Calibri"/>
          <w:szCs w:val="22"/>
        </w:rPr>
        <w:t> mg</w:t>
      </w:r>
      <w:r w:rsidRPr="001B4A02">
        <w:rPr>
          <w:rFonts w:eastAsia="Calibri"/>
          <w:szCs w:val="22"/>
        </w:rPr>
        <w:t xml:space="preserve"> jednou týdně, </w:t>
      </w:r>
      <w:r w:rsidR="00B86D3A" w:rsidRPr="001B4A02">
        <w:rPr>
          <w:rFonts w:eastAsia="Calibri"/>
          <w:szCs w:val="22"/>
        </w:rPr>
        <w:t xml:space="preserve">přípravek </w:t>
      </w:r>
      <w:r w:rsidRPr="001B4A02">
        <w:rPr>
          <w:rFonts w:eastAsia="Calibri"/>
          <w:szCs w:val="22"/>
        </w:rPr>
        <w:t>Humira 40</w:t>
      </w:r>
      <w:r w:rsidR="00874DE1">
        <w:rPr>
          <w:rFonts w:eastAsia="Calibri"/>
          <w:szCs w:val="22"/>
        </w:rPr>
        <w:t> mg</w:t>
      </w:r>
      <w:r w:rsidRPr="001B4A02">
        <w:rPr>
          <w:rFonts w:eastAsia="Calibri"/>
          <w:szCs w:val="22"/>
        </w:rPr>
        <w:t xml:space="preserve"> každý druhý týden nebo placebo od týdne 12 do týdne 35). Pacienti, kteří byli ve fázi A randomizováni do skupiny placeba, byli ve fázi B převedeni na přípravek Humira 40</w:t>
      </w:r>
      <w:r w:rsidR="00874DE1">
        <w:rPr>
          <w:rFonts w:eastAsia="Calibri"/>
          <w:szCs w:val="22"/>
        </w:rPr>
        <w:t> mg</w:t>
      </w:r>
      <w:r w:rsidRPr="001B4A02">
        <w:rPr>
          <w:rFonts w:eastAsia="Calibri"/>
          <w:szCs w:val="22"/>
        </w:rPr>
        <w:t xml:space="preserve"> jednou týdně.</w:t>
      </w:r>
    </w:p>
    <w:p w14:paraId="1F9C3C6C" w14:textId="77777777" w:rsidR="00DB5C44" w:rsidRPr="001B4A02" w:rsidRDefault="00DB5C44" w:rsidP="00ED48A3">
      <w:pPr>
        <w:rPr>
          <w:rFonts w:eastAsia="MS Mincho"/>
          <w:szCs w:val="22"/>
          <w:lang w:eastAsia="ja-JP"/>
        </w:rPr>
      </w:pPr>
    </w:p>
    <w:p w14:paraId="47C6C8B6" w14:textId="77777777" w:rsidR="00DB5C44" w:rsidRPr="001B4A02" w:rsidRDefault="00000000" w:rsidP="00ED48A3">
      <w:pPr>
        <w:ind w:left="0" w:firstLine="0"/>
        <w:rPr>
          <w:rFonts w:eastAsia="Calibri"/>
          <w:szCs w:val="22"/>
        </w:rPr>
      </w:pPr>
      <w:r w:rsidRPr="001B4A02">
        <w:rPr>
          <w:rFonts w:eastAsia="Calibri"/>
          <w:szCs w:val="22"/>
        </w:rPr>
        <w:t>Studie HS-II (PIONEER II) hodnotila 326 pacientů se dvěma léčebnými fázemi. Během fáze A dostávali pacienti placebo nebo přípravek Humira v </w:t>
      </w:r>
      <w:r w:rsidR="00EE5BAE" w:rsidRPr="001B4A02">
        <w:t>úvodní</w:t>
      </w:r>
      <w:r w:rsidRPr="001B4A02">
        <w:rPr>
          <w:rFonts w:eastAsia="Calibri"/>
          <w:szCs w:val="22"/>
        </w:rPr>
        <w:t xml:space="preserve"> dávce 160</w:t>
      </w:r>
      <w:r w:rsidR="00874DE1">
        <w:rPr>
          <w:rFonts w:eastAsia="Calibri"/>
          <w:szCs w:val="22"/>
        </w:rPr>
        <w:t> mg</w:t>
      </w:r>
      <w:r w:rsidRPr="001B4A02">
        <w:rPr>
          <w:rFonts w:eastAsia="Calibri"/>
          <w:szCs w:val="22"/>
        </w:rPr>
        <w:t xml:space="preserve"> v týdnu 0</w:t>
      </w:r>
      <w:r w:rsidR="002378E0">
        <w:rPr>
          <w:rFonts w:eastAsia="Calibri"/>
          <w:szCs w:val="22"/>
        </w:rPr>
        <w:t xml:space="preserve"> a </w:t>
      </w:r>
      <w:r w:rsidRPr="001B4A02">
        <w:rPr>
          <w:rFonts w:eastAsia="Calibri"/>
          <w:szCs w:val="22"/>
        </w:rPr>
        <w:t>80</w:t>
      </w:r>
      <w:r w:rsidR="00874DE1">
        <w:rPr>
          <w:rFonts w:eastAsia="Calibri"/>
          <w:szCs w:val="22"/>
        </w:rPr>
        <w:t> mg</w:t>
      </w:r>
      <w:r w:rsidRPr="001B4A02">
        <w:rPr>
          <w:rFonts w:eastAsia="Calibri"/>
          <w:szCs w:val="22"/>
        </w:rPr>
        <w:t xml:space="preserve"> v týdnu 2</w:t>
      </w:r>
      <w:r w:rsidR="002378E0">
        <w:rPr>
          <w:rFonts w:eastAsia="Calibri"/>
          <w:szCs w:val="22"/>
        </w:rPr>
        <w:t xml:space="preserve"> a </w:t>
      </w:r>
      <w:r w:rsidRPr="001B4A02">
        <w:rPr>
          <w:rFonts w:eastAsia="Calibri"/>
          <w:szCs w:val="22"/>
        </w:rPr>
        <w:t>40</w:t>
      </w:r>
      <w:r w:rsidR="00874DE1">
        <w:rPr>
          <w:rFonts w:eastAsia="Calibri"/>
          <w:szCs w:val="22"/>
        </w:rPr>
        <w:t> mg</w:t>
      </w:r>
      <w:r w:rsidRPr="001B4A02">
        <w:rPr>
          <w:rFonts w:eastAsia="Calibri"/>
          <w:szCs w:val="22"/>
        </w:rPr>
        <w:t xml:space="preserve"> každý týden počínaje týdnem 4 do týdne 11. 19,3</w:t>
      </w:r>
      <w:r w:rsidR="008C03A3" w:rsidRPr="001B4A02">
        <w:rPr>
          <w:rFonts w:eastAsia="Calibri"/>
          <w:szCs w:val="22"/>
        </w:rPr>
        <w:t> </w:t>
      </w:r>
      <w:r w:rsidRPr="001B4A02">
        <w:rPr>
          <w:rFonts w:eastAsia="Calibri"/>
          <w:szCs w:val="22"/>
        </w:rPr>
        <w:t>% pacientů kontinuálně pokračovalo během studie v antibiotické léčbě. Po 12 týdnech léčby byli pacienti, kteří dostávali ve fázi A přípravek Humira, opětovně randomizováni ve fázi B do 1 ze 3 léčebných skupin (</w:t>
      </w:r>
      <w:r w:rsidR="00B86D3A" w:rsidRPr="001B4A02">
        <w:rPr>
          <w:rFonts w:eastAsia="Calibri"/>
          <w:szCs w:val="22"/>
        </w:rPr>
        <w:t xml:space="preserve">přípravek </w:t>
      </w:r>
      <w:r w:rsidRPr="001B4A02">
        <w:rPr>
          <w:rFonts w:eastAsia="Calibri"/>
          <w:szCs w:val="22"/>
        </w:rPr>
        <w:t>Humira 40</w:t>
      </w:r>
      <w:r w:rsidR="00874DE1">
        <w:rPr>
          <w:rFonts w:eastAsia="Calibri"/>
          <w:szCs w:val="22"/>
        </w:rPr>
        <w:t> mg</w:t>
      </w:r>
      <w:r w:rsidRPr="001B4A02">
        <w:rPr>
          <w:rFonts w:eastAsia="Calibri"/>
          <w:szCs w:val="22"/>
        </w:rPr>
        <w:t xml:space="preserve"> jednou týdně, </w:t>
      </w:r>
      <w:r w:rsidR="00B86D3A" w:rsidRPr="001B4A02">
        <w:rPr>
          <w:rFonts w:eastAsia="Calibri"/>
          <w:szCs w:val="22"/>
        </w:rPr>
        <w:t xml:space="preserve">přípravek </w:t>
      </w:r>
      <w:r w:rsidRPr="001B4A02">
        <w:rPr>
          <w:rFonts w:eastAsia="Calibri"/>
          <w:szCs w:val="22"/>
        </w:rPr>
        <w:t>Humira 40</w:t>
      </w:r>
      <w:r w:rsidR="00874DE1">
        <w:rPr>
          <w:rFonts w:eastAsia="Calibri"/>
          <w:szCs w:val="22"/>
        </w:rPr>
        <w:t> mg</w:t>
      </w:r>
      <w:r w:rsidRPr="001B4A02">
        <w:rPr>
          <w:rFonts w:eastAsia="Calibri"/>
          <w:szCs w:val="22"/>
        </w:rPr>
        <w:t xml:space="preserve"> každý druhý týden nebo placebo od týdne 12 do týdne 35). Pacienti, kteří byli ve fázi í A randomizováni do skupiny placeba, dostávali placebo i ve fázi B.</w:t>
      </w:r>
    </w:p>
    <w:p w14:paraId="300EC0EA" w14:textId="77777777" w:rsidR="00DB5C44" w:rsidRPr="001B4A02" w:rsidRDefault="00DB5C44" w:rsidP="00ED48A3">
      <w:pPr>
        <w:rPr>
          <w:rFonts w:eastAsia="MS Mincho"/>
          <w:szCs w:val="22"/>
          <w:lang w:eastAsia="ja-JP"/>
        </w:rPr>
      </w:pPr>
    </w:p>
    <w:p w14:paraId="410B9FD5" w14:textId="77777777" w:rsidR="00DB5C44" w:rsidRPr="001B4A02" w:rsidRDefault="00000000" w:rsidP="00ED48A3">
      <w:pPr>
        <w:ind w:left="0" w:firstLine="0"/>
        <w:rPr>
          <w:rFonts w:eastAsia="Calibri"/>
          <w:szCs w:val="22"/>
        </w:rPr>
      </w:pPr>
      <w:r w:rsidRPr="001B4A02">
        <w:rPr>
          <w:rFonts w:eastAsia="Calibri"/>
          <w:szCs w:val="22"/>
        </w:rPr>
        <w:t>Pacienti, kteří se účastnili studií HS-I</w:t>
      </w:r>
      <w:r w:rsidR="002378E0">
        <w:rPr>
          <w:rFonts w:eastAsia="Calibri"/>
          <w:szCs w:val="22"/>
        </w:rPr>
        <w:t xml:space="preserve"> a </w:t>
      </w:r>
      <w:r w:rsidRPr="001B4A02">
        <w:rPr>
          <w:rFonts w:eastAsia="Calibri"/>
          <w:szCs w:val="22"/>
        </w:rPr>
        <w:t>HS-II, byli vhodní k tomu, aby byli zařazeni do otevřené fáze prodloužené studie, ve které byl přípravek Humira 40</w:t>
      </w:r>
      <w:r w:rsidR="00874DE1">
        <w:rPr>
          <w:rFonts w:eastAsia="Calibri"/>
          <w:szCs w:val="22"/>
        </w:rPr>
        <w:t> mg</w:t>
      </w:r>
      <w:r w:rsidRPr="001B4A02">
        <w:rPr>
          <w:rFonts w:eastAsia="Calibri"/>
          <w:szCs w:val="22"/>
        </w:rPr>
        <w:t xml:space="preserve"> podáván jednou týdně. </w:t>
      </w:r>
      <w:r w:rsidR="00E44CC0" w:rsidRPr="001B4A02">
        <w:rPr>
          <w:szCs w:val="22"/>
          <w:lang w:eastAsia="ja-JP"/>
        </w:rPr>
        <w:t xml:space="preserve">Průměrná expozice </w:t>
      </w:r>
      <w:r w:rsidR="00D532C1" w:rsidRPr="001B4A02">
        <w:rPr>
          <w:szCs w:val="22"/>
          <w:lang w:eastAsia="ja-JP"/>
        </w:rPr>
        <w:t>v</w:t>
      </w:r>
      <w:r w:rsidR="00B86D3A" w:rsidRPr="001B4A02">
        <w:rPr>
          <w:szCs w:val="22"/>
          <w:lang w:eastAsia="ja-JP"/>
        </w:rPr>
        <w:t> </w:t>
      </w:r>
      <w:r w:rsidR="00D532C1" w:rsidRPr="001B4A02">
        <w:rPr>
          <w:szCs w:val="22"/>
          <w:lang w:eastAsia="ja-JP"/>
        </w:rPr>
        <w:t>celé</w:t>
      </w:r>
      <w:r w:rsidR="00E44CC0" w:rsidRPr="001B4A02">
        <w:rPr>
          <w:szCs w:val="22"/>
          <w:lang w:eastAsia="ja-JP"/>
        </w:rPr>
        <w:t xml:space="preserve"> populac</w:t>
      </w:r>
      <w:r w:rsidR="00D532C1" w:rsidRPr="001B4A02">
        <w:rPr>
          <w:szCs w:val="22"/>
          <w:lang w:eastAsia="ja-JP"/>
        </w:rPr>
        <w:t>i</w:t>
      </w:r>
      <w:r w:rsidR="00E44CC0" w:rsidRPr="001B4A02">
        <w:rPr>
          <w:szCs w:val="22"/>
          <w:lang w:eastAsia="ja-JP"/>
        </w:rPr>
        <w:t xml:space="preserve"> </w:t>
      </w:r>
      <w:r w:rsidR="00B92186" w:rsidRPr="001B4A02">
        <w:rPr>
          <w:szCs w:val="22"/>
          <w:lang w:eastAsia="ja-JP"/>
        </w:rPr>
        <w:t>užívající adalimumab</w:t>
      </w:r>
      <w:r w:rsidR="00E44CC0" w:rsidRPr="001B4A02">
        <w:rPr>
          <w:szCs w:val="22"/>
          <w:lang w:eastAsia="ja-JP"/>
        </w:rPr>
        <w:t xml:space="preserve"> byla 762 dnů. </w:t>
      </w:r>
      <w:r w:rsidRPr="001B4A02">
        <w:rPr>
          <w:rFonts w:eastAsia="Calibri"/>
          <w:szCs w:val="22"/>
        </w:rPr>
        <w:t>Ve všech 3 studiích pacienti denně prováděli lokální antiseptické ošetření.</w:t>
      </w:r>
    </w:p>
    <w:p w14:paraId="75FF8B83" w14:textId="77777777" w:rsidR="00DB5C44" w:rsidRPr="001B4A02" w:rsidRDefault="00DB5C44" w:rsidP="00ED48A3">
      <w:pPr>
        <w:rPr>
          <w:rFonts w:eastAsia="MS Mincho"/>
          <w:bCs/>
          <w:szCs w:val="22"/>
          <w:lang w:eastAsia="ja-JP"/>
        </w:rPr>
      </w:pPr>
    </w:p>
    <w:p w14:paraId="67981853" w14:textId="77777777" w:rsidR="00DB5C44" w:rsidRPr="001B4A02" w:rsidRDefault="00000000" w:rsidP="00ED48A3">
      <w:pPr>
        <w:ind w:left="0" w:firstLine="0"/>
        <w:rPr>
          <w:rFonts w:eastAsia="Calibri"/>
          <w:i/>
          <w:szCs w:val="22"/>
          <w:u w:val="single"/>
        </w:rPr>
      </w:pPr>
      <w:r w:rsidRPr="001B4A02">
        <w:rPr>
          <w:rFonts w:eastAsia="Calibri"/>
          <w:i/>
          <w:szCs w:val="22"/>
          <w:u w:val="single"/>
        </w:rPr>
        <w:t>Klinická odpověď</w:t>
      </w:r>
    </w:p>
    <w:p w14:paraId="50EA0C2E" w14:textId="77777777" w:rsidR="00DB5C44" w:rsidRPr="001B4A02" w:rsidRDefault="00DB5C44" w:rsidP="00ED48A3">
      <w:pPr>
        <w:rPr>
          <w:rFonts w:eastAsia="MS Mincho"/>
          <w:szCs w:val="22"/>
          <w:lang w:eastAsia="ja-JP"/>
        </w:rPr>
      </w:pPr>
    </w:p>
    <w:p w14:paraId="3DE22D5B" w14:textId="77777777" w:rsidR="00A2661F" w:rsidRPr="001B4A02" w:rsidRDefault="00000000" w:rsidP="00ED48A3">
      <w:pPr>
        <w:ind w:left="0" w:firstLine="0"/>
        <w:rPr>
          <w:rFonts w:eastAsia="Calibri"/>
          <w:szCs w:val="22"/>
        </w:rPr>
      </w:pPr>
      <w:r w:rsidRPr="001B4A02">
        <w:rPr>
          <w:rFonts w:eastAsia="Calibri"/>
          <w:szCs w:val="22"/>
        </w:rPr>
        <w:t>Redukce zánětlivých lézí</w:t>
      </w:r>
      <w:r w:rsidR="002378E0">
        <w:rPr>
          <w:rFonts w:eastAsia="Calibri"/>
          <w:szCs w:val="22"/>
        </w:rPr>
        <w:t xml:space="preserve"> a </w:t>
      </w:r>
      <w:r w:rsidRPr="001B4A02">
        <w:rPr>
          <w:rFonts w:eastAsia="Calibri"/>
          <w:szCs w:val="22"/>
        </w:rPr>
        <w:t>prevence zhoršení abscesů</w:t>
      </w:r>
      <w:r w:rsidR="002378E0">
        <w:rPr>
          <w:rFonts w:eastAsia="Calibri"/>
          <w:szCs w:val="22"/>
        </w:rPr>
        <w:t xml:space="preserve"> a </w:t>
      </w:r>
      <w:r w:rsidRPr="001B4A02">
        <w:t>píštělí s výtokem</w:t>
      </w:r>
      <w:r w:rsidRPr="001B4A02">
        <w:rPr>
          <w:rFonts w:eastAsia="Calibri"/>
          <w:szCs w:val="22"/>
        </w:rPr>
        <w:t xml:space="preserve"> byl</w:t>
      </w:r>
      <w:r w:rsidR="008C03A3" w:rsidRPr="001B4A02">
        <w:rPr>
          <w:rFonts w:eastAsia="Calibri"/>
          <w:szCs w:val="22"/>
        </w:rPr>
        <w:t>y</w:t>
      </w:r>
      <w:r w:rsidRPr="001B4A02">
        <w:rPr>
          <w:rFonts w:eastAsia="Calibri"/>
          <w:szCs w:val="22"/>
        </w:rPr>
        <w:t xml:space="preserve"> posuzován</w:t>
      </w:r>
      <w:r w:rsidR="008C03A3" w:rsidRPr="001B4A02">
        <w:rPr>
          <w:rFonts w:eastAsia="Calibri"/>
          <w:szCs w:val="22"/>
        </w:rPr>
        <w:t>y</w:t>
      </w:r>
      <w:r w:rsidRPr="001B4A02">
        <w:rPr>
          <w:rFonts w:eastAsia="Calibri"/>
          <w:szCs w:val="22"/>
        </w:rPr>
        <w:t xml:space="preserve"> za použití klinické odpovědi „Hidradenitis Suppurativa Clinical Response“ (HiSCR; minimálně 50% snížení v celkovém počtu abscesů</w:t>
      </w:r>
      <w:r w:rsidR="002378E0">
        <w:rPr>
          <w:rFonts w:eastAsia="Calibri"/>
          <w:szCs w:val="22"/>
        </w:rPr>
        <w:t xml:space="preserve"> a </w:t>
      </w:r>
      <w:r w:rsidRPr="001B4A02">
        <w:rPr>
          <w:rFonts w:eastAsia="Calibri"/>
          <w:szCs w:val="22"/>
        </w:rPr>
        <w:t>zánětlivých nodulů s nezvýšením počtu abscesů</w:t>
      </w:r>
      <w:r w:rsidR="002378E0">
        <w:rPr>
          <w:rFonts w:eastAsia="Calibri"/>
          <w:szCs w:val="22"/>
        </w:rPr>
        <w:t xml:space="preserve"> a </w:t>
      </w:r>
      <w:r w:rsidRPr="001B4A02">
        <w:rPr>
          <w:rFonts w:eastAsia="Calibri"/>
          <w:szCs w:val="22"/>
        </w:rPr>
        <w:t xml:space="preserve">nezvýšením počtu </w:t>
      </w:r>
      <w:r w:rsidRPr="001B4A02">
        <w:t>píštělí s výtokem</w:t>
      </w:r>
      <w:r w:rsidRPr="001B4A02">
        <w:rPr>
          <w:rFonts w:eastAsia="Calibri"/>
          <w:szCs w:val="22"/>
        </w:rPr>
        <w:t xml:space="preserve"> proti výchozím hodnotám). Snížení bolesti kůže spojené s HS bylo posuzováno za použití číselné škály (Numeric Rating Scale) u</w:t>
      </w:r>
      <w:r w:rsidR="008C03A3" w:rsidRPr="001B4A02">
        <w:rPr>
          <w:rFonts w:eastAsia="Calibri"/>
          <w:szCs w:val="22"/>
        </w:rPr>
        <w:t> </w:t>
      </w:r>
      <w:r w:rsidRPr="001B4A02">
        <w:rPr>
          <w:rFonts w:eastAsia="Calibri"/>
          <w:szCs w:val="22"/>
        </w:rPr>
        <w:t>pacientů, kteří vstoupili do studie s počáteční bodovou hodnotou 3 nebo větší na 11 bodové škále.</w:t>
      </w:r>
    </w:p>
    <w:p w14:paraId="28F2E46F" w14:textId="77777777" w:rsidR="00A2661F" w:rsidRPr="001B4A02" w:rsidRDefault="00A2661F" w:rsidP="00ED48A3">
      <w:pPr>
        <w:rPr>
          <w:szCs w:val="22"/>
        </w:rPr>
      </w:pPr>
    </w:p>
    <w:p w14:paraId="09325124" w14:textId="77777777" w:rsidR="00A2661F" w:rsidRPr="001B4A02" w:rsidRDefault="00000000" w:rsidP="00ED48A3">
      <w:pPr>
        <w:ind w:left="0" w:firstLine="0"/>
        <w:rPr>
          <w:rFonts w:eastAsia="Calibri"/>
          <w:szCs w:val="22"/>
        </w:rPr>
      </w:pPr>
      <w:r w:rsidRPr="001B4A02">
        <w:rPr>
          <w:rFonts w:eastAsia="Calibri"/>
          <w:szCs w:val="22"/>
        </w:rPr>
        <w:t xml:space="preserve">V týdnu 12 dosáhla </w:t>
      </w:r>
      <w:r w:rsidRPr="001B4A02">
        <w:t>odpovědi podle</w:t>
      </w:r>
      <w:r w:rsidRPr="001B4A02">
        <w:rPr>
          <w:rFonts w:eastAsia="Calibri"/>
          <w:szCs w:val="22"/>
        </w:rPr>
        <w:t xml:space="preserve"> HiSCR významně větší část pacientů léčených přípravkem Humira versus placebo. V týdnu 12 pocítila významně větší část pacientů ve studii HS-II klinicky relevantní snížení bolesti kůže spojené s HS (viz tabulka </w:t>
      </w:r>
      <w:r w:rsidR="00E331EB">
        <w:rPr>
          <w:rFonts w:eastAsia="Calibri"/>
          <w:szCs w:val="22"/>
        </w:rPr>
        <w:t>12</w:t>
      </w:r>
      <w:r w:rsidRPr="001B4A02">
        <w:rPr>
          <w:rFonts w:eastAsia="Calibri"/>
          <w:szCs w:val="22"/>
        </w:rPr>
        <w:t>). U</w:t>
      </w:r>
      <w:r w:rsidR="008C03A3" w:rsidRPr="001B4A02">
        <w:rPr>
          <w:rFonts w:eastAsia="Calibri"/>
          <w:szCs w:val="22"/>
        </w:rPr>
        <w:t> </w:t>
      </w:r>
      <w:r w:rsidRPr="001B4A02">
        <w:rPr>
          <w:rFonts w:eastAsia="Calibri"/>
          <w:szCs w:val="22"/>
        </w:rPr>
        <w:t>pacientů léčených přípravkem Humira došlo během počátečních 12 týdnů léčby k významnému snížení rizika vzplanutí onemocnění.</w:t>
      </w:r>
    </w:p>
    <w:p w14:paraId="6A5F8B3F" w14:textId="77777777" w:rsidR="00E7724C" w:rsidRPr="001B4A02" w:rsidRDefault="00E7724C" w:rsidP="00A945E6">
      <w:pPr>
        <w:keepNext/>
        <w:rPr>
          <w:szCs w:val="22"/>
        </w:rPr>
      </w:pPr>
    </w:p>
    <w:p w14:paraId="6E6DE06D" w14:textId="77777777" w:rsidR="00E7724C" w:rsidRPr="001B4A02" w:rsidRDefault="00000000" w:rsidP="00A945E6">
      <w:pPr>
        <w:keepNext/>
        <w:keepLines/>
        <w:widowControl w:val="0"/>
        <w:ind w:left="360"/>
        <w:jc w:val="center"/>
        <w:rPr>
          <w:rFonts w:eastAsia="MS Mincho"/>
          <w:b/>
          <w:szCs w:val="22"/>
          <w:lang w:eastAsia="ja-JP"/>
        </w:rPr>
      </w:pPr>
      <w:r w:rsidRPr="001B4A02">
        <w:rPr>
          <w:rFonts w:eastAsia="MS Mincho"/>
          <w:b/>
          <w:szCs w:val="22"/>
          <w:lang w:eastAsia="ja-JP"/>
        </w:rPr>
        <w:t xml:space="preserve">Tabulka </w:t>
      </w:r>
      <w:r w:rsidR="00E331EB">
        <w:rPr>
          <w:rFonts w:eastAsia="MS Mincho"/>
          <w:b/>
          <w:szCs w:val="22"/>
          <w:lang w:eastAsia="ja-JP"/>
        </w:rPr>
        <w:t>12</w:t>
      </w:r>
      <w:r w:rsidRPr="001B4A02">
        <w:rPr>
          <w:rFonts w:eastAsia="MS Mincho"/>
          <w:b/>
          <w:szCs w:val="22"/>
          <w:lang w:eastAsia="ja-JP"/>
        </w:rPr>
        <w:t xml:space="preserve">: </w:t>
      </w:r>
      <w:r w:rsidRPr="001B4A02">
        <w:rPr>
          <w:rFonts w:eastAsia="MS Mincho"/>
          <w:b/>
          <w:bCs/>
          <w:iCs/>
          <w:szCs w:val="22"/>
          <w:lang w:eastAsia="ja-JP"/>
        </w:rPr>
        <w:t>Výsledky účinnosti v</w:t>
      </w:r>
      <w:r w:rsidR="008C03A3" w:rsidRPr="001B4A02">
        <w:rPr>
          <w:rFonts w:eastAsia="MS Mincho"/>
          <w:b/>
          <w:bCs/>
          <w:iCs/>
          <w:szCs w:val="22"/>
          <w:lang w:eastAsia="ja-JP"/>
        </w:rPr>
        <w:t> </w:t>
      </w:r>
      <w:r w:rsidRPr="001B4A02">
        <w:rPr>
          <w:rFonts w:eastAsia="MS Mincho"/>
          <w:b/>
          <w:bCs/>
          <w:iCs/>
          <w:szCs w:val="22"/>
          <w:lang w:eastAsia="ja-JP"/>
        </w:rPr>
        <w:t>týdnu 12, Studie HS I</w:t>
      </w:r>
      <w:r w:rsidR="002378E0">
        <w:rPr>
          <w:rFonts w:eastAsia="MS Mincho"/>
          <w:b/>
          <w:bCs/>
          <w:iCs/>
          <w:szCs w:val="22"/>
          <w:lang w:eastAsia="ja-JP"/>
        </w:rPr>
        <w:t xml:space="preserve"> a </w:t>
      </w:r>
      <w:r w:rsidRPr="001B4A02">
        <w:rPr>
          <w:rFonts w:eastAsia="MS Mincho"/>
          <w:b/>
          <w:bCs/>
          <w:iCs/>
          <w:szCs w:val="22"/>
          <w:lang w:eastAsia="ja-JP"/>
        </w:rPr>
        <w:t>II</w:t>
      </w: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534A2D" w14:paraId="3F05283F" w14:textId="77777777" w:rsidTr="00F51027">
        <w:trPr>
          <w:jc w:val="center"/>
        </w:trPr>
        <w:tc>
          <w:tcPr>
            <w:tcW w:w="2847" w:type="dxa"/>
            <w:vMerge w:val="restart"/>
            <w:tcMar>
              <w:top w:w="0" w:type="dxa"/>
              <w:left w:w="115" w:type="dxa"/>
              <w:bottom w:w="0" w:type="dxa"/>
              <w:right w:w="115" w:type="dxa"/>
            </w:tcMar>
          </w:tcPr>
          <w:p w14:paraId="0847AF0F" w14:textId="77777777" w:rsidR="00F163FA" w:rsidRPr="001B4A02" w:rsidRDefault="00F163FA" w:rsidP="00A945E6">
            <w:pPr>
              <w:keepNext/>
              <w:widowControl w:val="0"/>
              <w:rPr>
                <w:b/>
              </w:rPr>
            </w:pPr>
          </w:p>
        </w:tc>
        <w:tc>
          <w:tcPr>
            <w:tcW w:w="3186" w:type="dxa"/>
            <w:gridSpan w:val="2"/>
            <w:tcMar>
              <w:top w:w="0" w:type="dxa"/>
              <w:left w:w="115" w:type="dxa"/>
              <w:bottom w:w="0" w:type="dxa"/>
              <w:right w:w="115" w:type="dxa"/>
            </w:tcMar>
          </w:tcPr>
          <w:p w14:paraId="411396DC" w14:textId="77777777" w:rsidR="00F163FA" w:rsidRPr="001B4A02" w:rsidRDefault="00000000" w:rsidP="00A945E6">
            <w:pPr>
              <w:keepNext/>
              <w:widowControl w:val="0"/>
              <w:jc w:val="center"/>
              <w:rPr>
                <w:b/>
                <w:bCs/>
              </w:rPr>
            </w:pPr>
            <w:r w:rsidRPr="001B4A02">
              <w:rPr>
                <w:b/>
                <w:bCs/>
                <w:szCs w:val="24"/>
              </w:rPr>
              <w:t>HS Studie I</w:t>
            </w:r>
          </w:p>
        </w:tc>
        <w:tc>
          <w:tcPr>
            <w:tcW w:w="3260" w:type="dxa"/>
            <w:gridSpan w:val="2"/>
            <w:tcMar>
              <w:top w:w="0" w:type="dxa"/>
              <w:left w:w="115" w:type="dxa"/>
              <w:bottom w:w="0" w:type="dxa"/>
              <w:right w:w="115" w:type="dxa"/>
            </w:tcMar>
          </w:tcPr>
          <w:p w14:paraId="278F498B" w14:textId="77777777" w:rsidR="00F163FA" w:rsidRPr="001B4A02" w:rsidRDefault="00000000" w:rsidP="00A945E6">
            <w:pPr>
              <w:keepNext/>
              <w:widowControl w:val="0"/>
              <w:jc w:val="center"/>
              <w:rPr>
                <w:b/>
                <w:bCs/>
              </w:rPr>
            </w:pPr>
            <w:r w:rsidRPr="001B4A02">
              <w:rPr>
                <w:b/>
                <w:bCs/>
                <w:szCs w:val="24"/>
              </w:rPr>
              <w:t>HS Studie II</w:t>
            </w:r>
          </w:p>
        </w:tc>
      </w:tr>
      <w:tr w:rsidR="00534A2D" w14:paraId="18B9D4F0" w14:textId="77777777" w:rsidTr="00F51027">
        <w:trPr>
          <w:jc w:val="center"/>
        </w:trPr>
        <w:tc>
          <w:tcPr>
            <w:tcW w:w="2847" w:type="dxa"/>
            <w:vMerge/>
            <w:tcMar>
              <w:top w:w="0" w:type="dxa"/>
              <w:left w:w="115" w:type="dxa"/>
              <w:bottom w:w="0" w:type="dxa"/>
              <w:right w:w="115" w:type="dxa"/>
            </w:tcMar>
            <w:hideMark/>
          </w:tcPr>
          <w:p w14:paraId="43E5CF0E" w14:textId="77777777" w:rsidR="00F163FA" w:rsidRPr="001B4A02" w:rsidRDefault="00F163FA" w:rsidP="00A945E6">
            <w:pPr>
              <w:keepNext/>
              <w:widowControl w:val="0"/>
            </w:pPr>
          </w:p>
        </w:tc>
        <w:tc>
          <w:tcPr>
            <w:tcW w:w="1440" w:type="dxa"/>
            <w:tcMar>
              <w:top w:w="0" w:type="dxa"/>
              <w:left w:w="115" w:type="dxa"/>
              <w:bottom w:w="0" w:type="dxa"/>
              <w:right w:w="115" w:type="dxa"/>
            </w:tcMar>
            <w:vAlign w:val="center"/>
            <w:hideMark/>
          </w:tcPr>
          <w:p w14:paraId="62452194" w14:textId="77777777" w:rsidR="00F163FA" w:rsidRPr="001B4A02" w:rsidRDefault="00000000" w:rsidP="00A945E6">
            <w:pPr>
              <w:keepNext/>
              <w:widowControl w:val="0"/>
              <w:jc w:val="center"/>
            </w:pPr>
            <w:r w:rsidRPr="001B4A02">
              <w:rPr>
                <w:b/>
                <w:bCs/>
                <w:szCs w:val="24"/>
              </w:rPr>
              <w:t>Placebo</w:t>
            </w:r>
          </w:p>
        </w:tc>
        <w:tc>
          <w:tcPr>
            <w:tcW w:w="1746" w:type="dxa"/>
            <w:tcMar>
              <w:top w:w="0" w:type="dxa"/>
              <w:left w:w="115" w:type="dxa"/>
              <w:bottom w:w="0" w:type="dxa"/>
              <w:right w:w="115" w:type="dxa"/>
            </w:tcMar>
            <w:vAlign w:val="center"/>
            <w:hideMark/>
          </w:tcPr>
          <w:p w14:paraId="11260E46" w14:textId="77777777" w:rsidR="00F163FA" w:rsidRPr="001B4A02" w:rsidRDefault="00000000" w:rsidP="00A945E6">
            <w:pPr>
              <w:keepNext/>
              <w:widowControl w:val="0"/>
              <w:ind w:left="0" w:firstLine="0"/>
              <w:jc w:val="center"/>
              <w:rPr>
                <w:b/>
                <w:bCs/>
              </w:rPr>
            </w:pPr>
            <w:r w:rsidRPr="001B4A02">
              <w:rPr>
                <w:b/>
                <w:bCs/>
                <w:szCs w:val="24"/>
              </w:rPr>
              <w:t>Humira 40</w:t>
            </w:r>
            <w:r w:rsidR="00874DE1">
              <w:rPr>
                <w:b/>
                <w:bCs/>
                <w:szCs w:val="24"/>
              </w:rPr>
              <w:t> mg</w:t>
            </w:r>
            <w:r w:rsidRPr="001B4A02">
              <w:rPr>
                <w:b/>
                <w:bCs/>
                <w:szCs w:val="24"/>
              </w:rPr>
              <w:t xml:space="preserve"> jednou týdně</w:t>
            </w:r>
          </w:p>
        </w:tc>
        <w:tc>
          <w:tcPr>
            <w:tcW w:w="1404" w:type="dxa"/>
            <w:tcMar>
              <w:top w:w="0" w:type="dxa"/>
              <w:left w:w="115" w:type="dxa"/>
              <w:bottom w:w="0" w:type="dxa"/>
              <w:right w:w="115" w:type="dxa"/>
            </w:tcMar>
            <w:vAlign w:val="center"/>
            <w:hideMark/>
          </w:tcPr>
          <w:p w14:paraId="7BFE4F4B" w14:textId="77777777" w:rsidR="00F163FA" w:rsidRPr="001B4A02" w:rsidRDefault="00000000" w:rsidP="00A945E6">
            <w:pPr>
              <w:keepNext/>
              <w:widowControl w:val="0"/>
              <w:jc w:val="center"/>
              <w:rPr>
                <w:b/>
                <w:bCs/>
              </w:rPr>
            </w:pPr>
            <w:r w:rsidRPr="001B4A02">
              <w:rPr>
                <w:b/>
                <w:bCs/>
                <w:szCs w:val="24"/>
              </w:rPr>
              <w:t>Placebo</w:t>
            </w:r>
          </w:p>
        </w:tc>
        <w:tc>
          <w:tcPr>
            <w:tcW w:w="1856" w:type="dxa"/>
            <w:tcMar>
              <w:top w:w="0" w:type="dxa"/>
              <w:left w:w="115" w:type="dxa"/>
              <w:bottom w:w="0" w:type="dxa"/>
              <w:right w:w="115" w:type="dxa"/>
            </w:tcMar>
            <w:vAlign w:val="center"/>
            <w:hideMark/>
          </w:tcPr>
          <w:p w14:paraId="6634F577" w14:textId="77777777" w:rsidR="00F163FA" w:rsidRPr="001B4A02" w:rsidRDefault="00000000" w:rsidP="00A945E6">
            <w:pPr>
              <w:keepNext/>
              <w:widowControl w:val="0"/>
              <w:ind w:left="0" w:firstLine="0"/>
              <w:jc w:val="center"/>
              <w:rPr>
                <w:b/>
                <w:bCs/>
              </w:rPr>
            </w:pPr>
            <w:r w:rsidRPr="001B4A02">
              <w:rPr>
                <w:b/>
                <w:bCs/>
                <w:szCs w:val="24"/>
              </w:rPr>
              <w:t>Humira 40</w:t>
            </w:r>
            <w:r w:rsidR="00874DE1">
              <w:rPr>
                <w:b/>
                <w:bCs/>
                <w:szCs w:val="24"/>
              </w:rPr>
              <w:t> mg</w:t>
            </w:r>
            <w:r w:rsidRPr="001B4A02">
              <w:rPr>
                <w:b/>
                <w:bCs/>
                <w:szCs w:val="24"/>
              </w:rPr>
              <w:t xml:space="preserve"> jednou týdně</w:t>
            </w:r>
          </w:p>
        </w:tc>
      </w:tr>
      <w:tr w:rsidR="00534A2D" w14:paraId="77A39F3F" w14:textId="77777777" w:rsidTr="00F51027">
        <w:trPr>
          <w:trHeight w:val="755"/>
          <w:jc w:val="center"/>
        </w:trPr>
        <w:tc>
          <w:tcPr>
            <w:tcW w:w="2847" w:type="dxa"/>
            <w:tcMar>
              <w:top w:w="0" w:type="dxa"/>
              <w:left w:w="115" w:type="dxa"/>
              <w:bottom w:w="0" w:type="dxa"/>
              <w:right w:w="115" w:type="dxa"/>
            </w:tcMar>
            <w:hideMark/>
          </w:tcPr>
          <w:p w14:paraId="2C2AB496" w14:textId="77777777" w:rsidR="00F163FA" w:rsidRPr="001B4A02" w:rsidRDefault="00000000" w:rsidP="007C5EA6">
            <w:pPr>
              <w:keepNext/>
              <w:widowControl w:val="0"/>
              <w:ind w:left="0" w:firstLine="0"/>
            </w:pPr>
            <w:r w:rsidRPr="001B4A02">
              <w:rPr>
                <w:szCs w:val="24"/>
              </w:rPr>
              <w:t xml:space="preserve">Klinická odpověď </w:t>
            </w:r>
            <w:r w:rsidR="008C03A3" w:rsidRPr="001B4A02">
              <w:rPr>
                <w:szCs w:val="24"/>
              </w:rPr>
              <w:t>„</w:t>
            </w:r>
            <w:r w:rsidRPr="001B4A02">
              <w:rPr>
                <w:szCs w:val="24"/>
              </w:rPr>
              <w:t>Hidradenitis Suppurativa Clinical Response</w:t>
            </w:r>
            <w:r w:rsidR="008C03A3" w:rsidRPr="001B4A02">
              <w:rPr>
                <w:szCs w:val="24"/>
              </w:rPr>
              <w:t>“</w:t>
            </w:r>
            <w:r w:rsidRPr="001B4A02">
              <w:rPr>
                <w:szCs w:val="24"/>
              </w:rPr>
              <w:t xml:space="preserve"> (HiSCR)</w:t>
            </w:r>
            <w:r w:rsidRPr="001B4A02">
              <w:rPr>
                <w:szCs w:val="24"/>
                <w:vertAlign w:val="superscript"/>
              </w:rPr>
              <w:t>a</w:t>
            </w:r>
          </w:p>
        </w:tc>
        <w:tc>
          <w:tcPr>
            <w:tcW w:w="1440" w:type="dxa"/>
            <w:tcMar>
              <w:top w:w="0" w:type="dxa"/>
              <w:left w:w="115" w:type="dxa"/>
              <w:bottom w:w="0" w:type="dxa"/>
              <w:right w:w="115" w:type="dxa"/>
            </w:tcMar>
            <w:hideMark/>
          </w:tcPr>
          <w:p w14:paraId="7D5E9736" w14:textId="77777777" w:rsidR="00D916C2" w:rsidRPr="001B4A02" w:rsidRDefault="00000000" w:rsidP="00A945E6">
            <w:pPr>
              <w:keepNext/>
              <w:widowControl w:val="0"/>
              <w:ind w:left="0" w:firstLine="0"/>
              <w:jc w:val="center"/>
              <w:rPr>
                <w:szCs w:val="24"/>
              </w:rPr>
            </w:pPr>
            <w:r>
              <w:rPr>
                <w:szCs w:val="24"/>
              </w:rPr>
              <w:t>n</w:t>
            </w:r>
            <w:r w:rsidR="00F163FA" w:rsidRPr="001B4A02">
              <w:rPr>
                <w:szCs w:val="24"/>
              </w:rPr>
              <w:t>=154</w:t>
            </w:r>
          </w:p>
          <w:p w14:paraId="30DBDFB7" w14:textId="77777777" w:rsidR="00F163FA" w:rsidRPr="001B4A02" w:rsidRDefault="00000000" w:rsidP="00A945E6">
            <w:pPr>
              <w:keepNext/>
              <w:widowControl w:val="0"/>
              <w:ind w:left="0" w:firstLine="0"/>
              <w:jc w:val="center"/>
            </w:pPr>
            <w:r w:rsidRPr="001B4A02">
              <w:rPr>
                <w:szCs w:val="24"/>
              </w:rPr>
              <w:t>40 (26,0</w:t>
            </w:r>
            <w:r w:rsidR="008C03A3" w:rsidRPr="001B4A02">
              <w:rPr>
                <w:szCs w:val="24"/>
              </w:rPr>
              <w:t> </w:t>
            </w:r>
            <w:r w:rsidRPr="001B4A02">
              <w:rPr>
                <w:szCs w:val="24"/>
              </w:rPr>
              <w:t>%)</w:t>
            </w:r>
          </w:p>
        </w:tc>
        <w:tc>
          <w:tcPr>
            <w:tcW w:w="1746" w:type="dxa"/>
            <w:tcMar>
              <w:top w:w="0" w:type="dxa"/>
              <w:left w:w="115" w:type="dxa"/>
              <w:bottom w:w="0" w:type="dxa"/>
              <w:right w:w="115" w:type="dxa"/>
            </w:tcMar>
            <w:hideMark/>
          </w:tcPr>
          <w:p w14:paraId="7E2234EF" w14:textId="77777777" w:rsidR="00D916C2" w:rsidRPr="001B4A02" w:rsidRDefault="00000000" w:rsidP="00A945E6">
            <w:pPr>
              <w:keepNext/>
              <w:widowControl w:val="0"/>
              <w:ind w:left="0" w:firstLine="0"/>
              <w:jc w:val="center"/>
              <w:rPr>
                <w:szCs w:val="24"/>
              </w:rPr>
            </w:pPr>
            <w:r>
              <w:rPr>
                <w:szCs w:val="24"/>
              </w:rPr>
              <w:t>n</w:t>
            </w:r>
            <w:r w:rsidR="00F163FA" w:rsidRPr="001B4A02">
              <w:rPr>
                <w:szCs w:val="24"/>
              </w:rPr>
              <w:t>=153</w:t>
            </w:r>
          </w:p>
          <w:p w14:paraId="0155C3A4" w14:textId="77777777" w:rsidR="00F163FA" w:rsidRPr="001B4A02" w:rsidRDefault="00000000" w:rsidP="00A945E6">
            <w:pPr>
              <w:keepNext/>
              <w:widowControl w:val="0"/>
              <w:ind w:left="0" w:firstLine="0"/>
              <w:jc w:val="center"/>
            </w:pPr>
            <w:r w:rsidRPr="001B4A02">
              <w:rPr>
                <w:szCs w:val="24"/>
              </w:rPr>
              <w:t>64 (41,8</w:t>
            </w:r>
            <w:r w:rsidR="008C03A3" w:rsidRPr="001B4A02">
              <w:rPr>
                <w:szCs w:val="24"/>
              </w:rPr>
              <w:t> </w:t>
            </w:r>
            <w:r w:rsidRPr="001B4A02">
              <w:rPr>
                <w:szCs w:val="24"/>
              </w:rPr>
              <w:t>%)</w:t>
            </w:r>
            <w:r w:rsidRPr="001B4A02">
              <w:rPr>
                <w:szCs w:val="24"/>
                <w:vertAlign w:val="superscript"/>
              </w:rPr>
              <w:t>*</w:t>
            </w:r>
          </w:p>
        </w:tc>
        <w:tc>
          <w:tcPr>
            <w:tcW w:w="1404" w:type="dxa"/>
            <w:tcMar>
              <w:top w:w="0" w:type="dxa"/>
              <w:left w:w="115" w:type="dxa"/>
              <w:bottom w:w="0" w:type="dxa"/>
              <w:right w:w="115" w:type="dxa"/>
            </w:tcMar>
          </w:tcPr>
          <w:p w14:paraId="523F2625" w14:textId="77777777" w:rsidR="00F163FA" w:rsidRPr="001B4A02" w:rsidRDefault="00000000" w:rsidP="00A945E6">
            <w:pPr>
              <w:keepNext/>
              <w:widowControl w:val="0"/>
              <w:tabs>
                <w:tab w:val="left" w:pos="562"/>
              </w:tabs>
              <w:suppressAutoHyphens/>
              <w:ind w:left="0" w:firstLine="0"/>
              <w:jc w:val="center"/>
              <w:rPr>
                <w:szCs w:val="24"/>
              </w:rPr>
            </w:pPr>
            <w:r>
              <w:rPr>
                <w:szCs w:val="24"/>
              </w:rPr>
              <w:t>n</w:t>
            </w:r>
            <w:r w:rsidRPr="001B4A02">
              <w:rPr>
                <w:szCs w:val="24"/>
              </w:rPr>
              <w:t>=163</w:t>
            </w:r>
          </w:p>
          <w:p w14:paraId="5BA742CA" w14:textId="77777777" w:rsidR="00F163FA" w:rsidRPr="001B4A02" w:rsidRDefault="00000000" w:rsidP="00A945E6">
            <w:pPr>
              <w:keepNext/>
              <w:widowControl w:val="0"/>
              <w:ind w:left="0" w:firstLine="0"/>
              <w:jc w:val="center"/>
            </w:pPr>
            <w:r w:rsidRPr="001B4A02">
              <w:rPr>
                <w:szCs w:val="24"/>
              </w:rPr>
              <w:t>45 (27,6</w:t>
            </w:r>
            <w:r w:rsidR="008C03A3" w:rsidRPr="001B4A02">
              <w:rPr>
                <w:szCs w:val="24"/>
              </w:rPr>
              <w:t> </w:t>
            </w:r>
            <w:r w:rsidRPr="001B4A02">
              <w:rPr>
                <w:szCs w:val="24"/>
              </w:rPr>
              <w:t>%)</w:t>
            </w:r>
          </w:p>
        </w:tc>
        <w:tc>
          <w:tcPr>
            <w:tcW w:w="1856" w:type="dxa"/>
            <w:tcMar>
              <w:top w:w="0" w:type="dxa"/>
              <w:left w:w="115" w:type="dxa"/>
              <w:bottom w:w="0" w:type="dxa"/>
              <w:right w:w="115" w:type="dxa"/>
            </w:tcMar>
          </w:tcPr>
          <w:p w14:paraId="3ABA3386" w14:textId="77777777" w:rsidR="00F163FA" w:rsidRPr="001B4A02" w:rsidRDefault="00000000" w:rsidP="00A945E6">
            <w:pPr>
              <w:keepNext/>
              <w:widowControl w:val="0"/>
              <w:tabs>
                <w:tab w:val="left" w:pos="562"/>
              </w:tabs>
              <w:suppressAutoHyphens/>
              <w:ind w:left="0" w:firstLine="0"/>
              <w:jc w:val="center"/>
              <w:rPr>
                <w:szCs w:val="24"/>
              </w:rPr>
            </w:pPr>
            <w:r>
              <w:rPr>
                <w:szCs w:val="24"/>
              </w:rPr>
              <w:t>n</w:t>
            </w:r>
            <w:r w:rsidRPr="001B4A02">
              <w:rPr>
                <w:szCs w:val="24"/>
              </w:rPr>
              <w:t>=163</w:t>
            </w:r>
          </w:p>
          <w:p w14:paraId="145763FD" w14:textId="77777777" w:rsidR="00F163FA" w:rsidRPr="001B4A02" w:rsidRDefault="00000000" w:rsidP="00A945E6">
            <w:pPr>
              <w:keepNext/>
              <w:widowControl w:val="0"/>
              <w:ind w:left="0" w:firstLine="0"/>
              <w:jc w:val="center"/>
            </w:pPr>
            <w:r w:rsidRPr="001B4A02">
              <w:rPr>
                <w:szCs w:val="24"/>
              </w:rPr>
              <w:t>96 (58,9</w:t>
            </w:r>
            <w:r w:rsidR="008C03A3" w:rsidRPr="001B4A02">
              <w:rPr>
                <w:szCs w:val="24"/>
              </w:rPr>
              <w:t> </w:t>
            </w:r>
            <w:r w:rsidRPr="001B4A02">
              <w:rPr>
                <w:szCs w:val="24"/>
              </w:rPr>
              <w:t>%)</w:t>
            </w:r>
            <w:r w:rsidRPr="001B4A02">
              <w:rPr>
                <w:szCs w:val="24"/>
                <w:vertAlign w:val="superscript"/>
              </w:rPr>
              <w:t>***</w:t>
            </w:r>
          </w:p>
        </w:tc>
      </w:tr>
      <w:tr w:rsidR="00534A2D" w14:paraId="3D5F23C8" w14:textId="77777777" w:rsidTr="00F51027">
        <w:trPr>
          <w:jc w:val="center"/>
        </w:trPr>
        <w:tc>
          <w:tcPr>
            <w:tcW w:w="2847" w:type="dxa"/>
            <w:tcMar>
              <w:top w:w="0" w:type="dxa"/>
              <w:left w:w="115" w:type="dxa"/>
              <w:bottom w:w="0" w:type="dxa"/>
              <w:right w:w="115" w:type="dxa"/>
            </w:tcMar>
            <w:hideMark/>
          </w:tcPr>
          <w:p w14:paraId="5B2138E2" w14:textId="77777777" w:rsidR="00F163FA" w:rsidRPr="001B4A02" w:rsidRDefault="00000000" w:rsidP="00A945E6">
            <w:pPr>
              <w:keepNext/>
              <w:widowControl w:val="0"/>
            </w:pPr>
            <w:r w:rsidRPr="001B4A02">
              <w:rPr>
                <w:szCs w:val="24"/>
              </w:rPr>
              <w:t>≥</w:t>
            </w:r>
            <w:r w:rsidR="008C03A3" w:rsidRPr="001B4A02">
              <w:rPr>
                <w:szCs w:val="24"/>
              </w:rPr>
              <w:t> </w:t>
            </w:r>
            <w:r w:rsidRPr="001B4A02">
              <w:rPr>
                <w:szCs w:val="24"/>
              </w:rPr>
              <w:t xml:space="preserve">30% </w:t>
            </w:r>
            <w:r w:rsidR="008C03A3" w:rsidRPr="001B4A02">
              <w:rPr>
                <w:szCs w:val="24"/>
              </w:rPr>
              <w:t>s</w:t>
            </w:r>
            <w:r w:rsidRPr="001B4A02">
              <w:rPr>
                <w:szCs w:val="24"/>
              </w:rPr>
              <w:t>nížení bolesti kůže</w:t>
            </w:r>
            <w:r w:rsidRPr="001B4A02">
              <w:rPr>
                <w:szCs w:val="24"/>
                <w:vertAlign w:val="superscript"/>
              </w:rPr>
              <w:t>b</w:t>
            </w:r>
          </w:p>
        </w:tc>
        <w:tc>
          <w:tcPr>
            <w:tcW w:w="1440" w:type="dxa"/>
            <w:tcMar>
              <w:top w:w="0" w:type="dxa"/>
              <w:left w:w="115" w:type="dxa"/>
              <w:bottom w:w="0" w:type="dxa"/>
              <w:right w:w="115" w:type="dxa"/>
            </w:tcMar>
            <w:hideMark/>
          </w:tcPr>
          <w:p w14:paraId="24901FD4" w14:textId="77777777" w:rsidR="00D916C2" w:rsidRPr="001B4A02" w:rsidRDefault="00000000" w:rsidP="00A945E6">
            <w:pPr>
              <w:keepNext/>
              <w:widowControl w:val="0"/>
              <w:ind w:left="0" w:firstLine="0"/>
              <w:jc w:val="center"/>
              <w:rPr>
                <w:szCs w:val="24"/>
              </w:rPr>
            </w:pPr>
            <w:r>
              <w:rPr>
                <w:szCs w:val="24"/>
              </w:rPr>
              <w:t>n</w:t>
            </w:r>
            <w:r w:rsidR="00F163FA" w:rsidRPr="001B4A02">
              <w:rPr>
                <w:szCs w:val="24"/>
              </w:rPr>
              <w:t>=109</w:t>
            </w:r>
          </w:p>
          <w:p w14:paraId="4821C6CE" w14:textId="77777777" w:rsidR="00F163FA" w:rsidRPr="001B4A02" w:rsidRDefault="00000000" w:rsidP="00A945E6">
            <w:pPr>
              <w:keepNext/>
              <w:widowControl w:val="0"/>
              <w:ind w:left="0" w:firstLine="0"/>
              <w:jc w:val="center"/>
            </w:pPr>
            <w:r w:rsidRPr="001B4A02">
              <w:rPr>
                <w:szCs w:val="24"/>
              </w:rPr>
              <w:t>27 (24,8</w:t>
            </w:r>
            <w:r w:rsidR="008C03A3" w:rsidRPr="001B4A02">
              <w:rPr>
                <w:szCs w:val="24"/>
              </w:rPr>
              <w:t> </w:t>
            </w:r>
            <w:r w:rsidRPr="001B4A02">
              <w:rPr>
                <w:szCs w:val="24"/>
              </w:rPr>
              <w:t>%)</w:t>
            </w:r>
          </w:p>
        </w:tc>
        <w:tc>
          <w:tcPr>
            <w:tcW w:w="1746" w:type="dxa"/>
            <w:tcMar>
              <w:top w:w="0" w:type="dxa"/>
              <w:left w:w="115" w:type="dxa"/>
              <w:bottom w:w="0" w:type="dxa"/>
              <w:right w:w="115" w:type="dxa"/>
            </w:tcMar>
            <w:hideMark/>
          </w:tcPr>
          <w:p w14:paraId="52D4AEEB" w14:textId="77777777" w:rsidR="00D916C2" w:rsidRPr="001B4A02" w:rsidRDefault="00000000" w:rsidP="00A945E6">
            <w:pPr>
              <w:keepNext/>
              <w:widowControl w:val="0"/>
              <w:ind w:left="0" w:firstLine="0"/>
              <w:jc w:val="center"/>
              <w:rPr>
                <w:szCs w:val="24"/>
              </w:rPr>
            </w:pPr>
            <w:r>
              <w:rPr>
                <w:szCs w:val="24"/>
              </w:rPr>
              <w:t>n</w:t>
            </w:r>
            <w:r w:rsidR="00F163FA" w:rsidRPr="001B4A02">
              <w:rPr>
                <w:szCs w:val="24"/>
              </w:rPr>
              <w:t>=122</w:t>
            </w:r>
          </w:p>
          <w:p w14:paraId="44473E4B" w14:textId="77777777" w:rsidR="00F163FA" w:rsidRPr="001B4A02" w:rsidRDefault="00000000" w:rsidP="00A945E6">
            <w:pPr>
              <w:keepNext/>
              <w:widowControl w:val="0"/>
              <w:ind w:left="0" w:firstLine="0"/>
              <w:jc w:val="center"/>
            </w:pPr>
            <w:r w:rsidRPr="001B4A02">
              <w:rPr>
                <w:szCs w:val="24"/>
              </w:rPr>
              <w:t>34 (27,9</w:t>
            </w:r>
            <w:r w:rsidR="008C03A3" w:rsidRPr="001B4A02">
              <w:rPr>
                <w:szCs w:val="24"/>
              </w:rPr>
              <w:t> </w:t>
            </w:r>
            <w:r w:rsidRPr="001B4A02">
              <w:rPr>
                <w:szCs w:val="24"/>
              </w:rPr>
              <w:t>%)</w:t>
            </w:r>
          </w:p>
        </w:tc>
        <w:tc>
          <w:tcPr>
            <w:tcW w:w="1404" w:type="dxa"/>
            <w:tcMar>
              <w:top w:w="0" w:type="dxa"/>
              <w:left w:w="115" w:type="dxa"/>
              <w:bottom w:w="0" w:type="dxa"/>
              <w:right w:w="115" w:type="dxa"/>
            </w:tcMar>
          </w:tcPr>
          <w:p w14:paraId="7C2DA3AD" w14:textId="77777777" w:rsidR="00F163FA" w:rsidRPr="001B4A02" w:rsidRDefault="00000000" w:rsidP="00A945E6">
            <w:pPr>
              <w:keepNext/>
              <w:widowControl w:val="0"/>
              <w:tabs>
                <w:tab w:val="left" w:pos="562"/>
              </w:tabs>
              <w:suppressAutoHyphens/>
              <w:ind w:left="0" w:firstLine="0"/>
              <w:jc w:val="center"/>
              <w:rPr>
                <w:szCs w:val="24"/>
              </w:rPr>
            </w:pPr>
            <w:r>
              <w:rPr>
                <w:szCs w:val="24"/>
              </w:rPr>
              <w:t>n</w:t>
            </w:r>
            <w:r w:rsidRPr="001B4A02">
              <w:rPr>
                <w:szCs w:val="24"/>
              </w:rPr>
              <w:t>=111</w:t>
            </w:r>
          </w:p>
          <w:p w14:paraId="7DED1B48" w14:textId="77777777" w:rsidR="00F163FA" w:rsidRPr="001B4A02" w:rsidRDefault="00000000" w:rsidP="00A945E6">
            <w:pPr>
              <w:keepNext/>
              <w:widowControl w:val="0"/>
              <w:ind w:left="0" w:firstLine="0"/>
              <w:jc w:val="center"/>
            </w:pPr>
            <w:r w:rsidRPr="001B4A02">
              <w:rPr>
                <w:szCs w:val="24"/>
              </w:rPr>
              <w:t>23 (20,7</w:t>
            </w:r>
            <w:r w:rsidR="008C03A3" w:rsidRPr="001B4A02">
              <w:rPr>
                <w:szCs w:val="24"/>
              </w:rPr>
              <w:t> </w:t>
            </w:r>
            <w:r w:rsidRPr="001B4A02">
              <w:rPr>
                <w:szCs w:val="24"/>
              </w:rPr>
              <w:t>%)</w:t>
            </w:r>
          </w:p>
        </w:tc>
        <w:tc>
          <w:tcPr>
            <w:tcW w:w="1856" w:type="dxa"/>
            <w:tcMar>
              <w:top w:w="0" w:type="dxa"/>
              <w:left w:w="115" w:type="dxa"/>
              <w:bottom w:w="0" w:type="dxa"/>
              <w:right w:w="115" w:type="dxa"/>
            </w:tcMar>
          </w:tcPr>
          <w:p w14:paraId="0C3C87AE" w14:textId="77777777" w:rsidR="00F163FA" w:rsidRPr="001B4A02" w:rsidRDefault="00000000" w:rsidP="00A945E6">
            <w:pPr>
              <w:keepNext/>
              <w:widowControl w:val="0"/>
              <w:tabs>
                <w:tab w:val="left" w:pos="562"/>
              </w:tabs>
              <w:suppressAutoHyphens/>
              <w:ind w:left="0" w:firstLine="0"/>
              <w:jc w:val="center"/>
              <w:rPr>
                <w:szCs w:val="24"/>
              </w:rPr>
            </w:pPr>
            <w:r>
              <w:rPr>
                <w:szCs w:val="24"/>
              </w:rPr>
              <w:t>n</w:t>
            </w:r>
            <w:r w:rsidRPr="001B4A02">
              <w:rPr>
                <w:szCs w:val="24"/>
              </w:rPr>
              <w:t>=105</w:t>
            </w:r>
          </w:p>
          <w:p w14:paraId="092DCEB1" w14:textId="77777777" w:rsidR="00F163FA" w:rsidRPr="001B4A02" w:rsidRDefault="00000000" w:rsidP="00A945E6">
            <w:pPr>
              <w:keepNext/>
              <w:widowControl w:val="0"/>
              <w:ind w:left="0" w:firstLine="0"/>
              <w:jc w:val="center"/>
            </w:pPr>
            <w:r w:rsidRPr="001B4A02">
              <w:rPr>
                <w:szCs w:val="24"/>
              </w:rPr>
              <w:t>48 (45,7</w:t>
            </w:r>
            <w:r w:rsidR="008C03A3" w:rsidRPr="001B4A02">
              <w:rPr>
                <w:szCs w:val="24"/>
              </w:rPr>
              <w:t> </w:t>
            </w:r>
            <w:r w:rsidRPr="001B4A02">
              <w:rPr>
                <w:szCs w:val="24"/>
              </w:rPr>
              <w:t>%)</w:t>
            </w:r>
            <w:r w:rsidRPr="001B4A02">
              <w:rPr>
                <w:szCs w:val="24"/>
                <w:vertAlign w:val="superscript"/>
              </w:rPr>
              <w:t>***</w:t>
            </w:r>
          </w:p>
        </w:tc>
      </w:tr>
      <w:tr w:rsidR="00534A2D" w14:paraId="6869E0AF" w14:textId="77777777" w:rsidTr="00E7724C">
        <w:trPr>
          <w:jc w:val="center"/>
        </w:trPr>
        <w:tc>
          <w:tcPr>
            <w:tcW w:w="9293" w:type="dxa"/>
            <w:gridSpan w:val="5"/>
            <w:tcMar>
              <w:top w:w="0" w:type="dxa"/>
              <w:left w:w="115" w:type="dxa"/>
              <w:bottom w:w="0" w:type="dxa"/>
              <w:right w:w="115" w:type="dxa"/>
            </w:tcMar>
            <w:vAlign w:val="center"/>
          </w:tcPr>
          <w:p w14:paraId="05EC9470" w14:textId="77777777" w:rsidR="00F163FA" w:rsidRPr="001B4A02" w:rsidRDefault="00000000" w:rsidP="00A945E6">
            <w:pPr>
              <w:keepNext/>
              <w:widowControl w:val="0"/>
              <w:suppressAutoHyphens/>
              <w:ind w:left="280" w:firstLine="0"/>
              <w:rPr>
                <w:szCs w:val="22"/>
              </w:rPr>
            </w:pPr>
            <w:r w:rsidRPr="001B4A02">
              <w:rPr>
                <w:szCs w:val="22"/>
              </w:rPr>
              <w:t xml:space="preserve">* </w:t>
            </w:r>
            <w:r w:rsidRPr="001B4A02">
              <w:rPr>
                <w:i/>
                <w:szCs w:val="22"/>
              </w:rPr>
              <w:t>P</w:t>
            </w:r>
            <w:r w:rsidRPr="001B4A02">
              <w:rPr>
                <w:szCs w:val="22"/>
              </w:rPr>
              <w:t xml:space="preserve"> &lt; 0,05, ***</w:t>
            </w:r>
            <w:r w:rsidR="008C03A3" w:rsidRPr="001B4A02">
              <w:rPr>
                <w:szCs w:val="22"/>
              </w:rPr>
              <w:t> </w:t>
            </w:r>
            <w:r w:rsidRPr="001B4A02">
              <w:rPr>
                <w:i/>
                <w:szCs w:val="22"/>
              </w:rPr>
              <w:t xml:space="preserve">P </w:t>
            </w:r>
            <w:r w:rsidRPr="001B4A02">
              <w:rPr>
                <w:szCs w:val="22"/>
              </w:rPr>
              <w:t xml:space="preserve">&lt; 0,001, </w:t>
            </w:r>
            <w:r w:rsidR="00B85453" w:rsidRPr="001B4A02">
              <w:rPr>
                <w:szCs w:val="22"/>
              </w:rPr>
              <w:t>p</w:t>
            </w:r>
            <w:r w:rsidR="008C03A3" w:rsidRPr="001B4A02">
              <w:rPr>
                <w:szCs w:val="22"/>
              </w:rPr>
              <w:t>řípravek</w:t>
            </w:r>
            <w:r w:rsidR="00B56BD5" w:rsidRPr="001B4A02">
              <w:rPr>
                <w:szCs w:val="22"/>
              </w:rPr>
              <w:t xml:space="preserve"> </w:t>
            </w:r>
            <w:r w:rsidRPr="001B4A02">
              <w:rPr>
                <w:szCs w:val="22"/>
              </w:rPr>
              <w:t xml:space="preserve">Humira versus placebo </w:t>
            </w:r>
          </w:p>
          <w:p w14:paraId="60074BED" w14:textId="77777777" w:rsidR="00F163FA" w:rsidRPr="001B4A02" w:rsidRDefault="00000000" w:rsidP="00A945E6">
            <w:pPr>
              <w:keepNext/>
              <w:keepLines/>
              <w:widowControl w:val="0"/>
              <w:numPr>
                <w:ilvl w:val="0"/>
                <w:numId w:val="166"/>
              </w:numPr>
              <w:suppressAutoHyphens/>
              <w:ind w:left="280" w:hanging="280"/>
              <w:rPr>
                <w:szCs w:val="22"/>
              </w:rPr>
            </w:pPr>
            <w:r w:rsidRPr="001B4A02">
              <w:rPr>
                <w:szCs w:val="22"/>
              </w:rPr>
              <w:t>U</w:t>
            </w:r>
            <w:r w:rsidR="003245EC" w:rsidRPr="001B4A02">
              <w:rPr>
                <w:szCs w:val="22"/>
              </w:rPr>
              <w:t> </w:t>
            </w:r>
            <w:r w:rsidRPr="001B4A02">
              <w:rPr>
                <w:szCs w:val="22"/>
              </w:rPr>
              <w:t>všech randomizovaných pacientů.</w:t>
            </w:r>
          </w:p>
          <w:p w14:paraId="12F8A8A1" w14:textId="77777777" w:rsidR="00E7724C" w:rsidRPr="001B4A02" w:rsidRDefault="00000000" w:rsidP="00A945E6">
            <w:pPr>
              <w:keepNext/>
              <w:keepLines/>
              <w:widowControl w:val="0"/>
              <w:numPr>
                <w:ilvl w:val="0"/>
                <w:numId w:val="166"/>
              </w:numPr>
              <w:ind w:left="280" w:hanging="280"/>
            </w:pPr>
            <w:r w:rsidRPr="001B4A02">
              <w:rPr>
                <w:szCs w:val="22"/>
              </w:rPr>
              <w:t>U</w:t>
            </w:r>
            <w:r w:rsidR="003245EC" w:rsidRPr="001B4A02">
              <w:rPr>
                <w:szCs w:val="22"/>
              </w:rPr>
              <w:t> </w:t>
            </w:r>
            <w:r w:rsidRPr="001B4A02">
              <w:rPr>
                <w:szCs w:val="22"/>
              </w:rPr>
              <w:t>pacientů s</w:t>
            </w:r>
            <w:r w:rsidR="003245EC" w:rsidRPr="001B4A02">
              <w:rPr>
                <w:szCs w:val="22"/>
              </w:rPr>
              <w:t> </w:t>
            </w:r>
            <w:r w:rsidRPr="001B4A02">
              <w:rPr>
                <w:szCs w:val="22"/>
              </w:rPr>
              <w:t>výchozí hodnotou bolesti kůže spojené s</w:t>
            </w:r>
            <w:r w:rsidR="003245EC" w:rsidRPr="001B4A02">
              <w:rPr>
                <w:szCs w:val="22"/>
              </w:rPr>
              <w:t> </w:t>
            </w:r>
            <w:r w:rsidRPr="001B4A02">
              <w:rPr>
                <w:szCs w:val="22"/>
              </w:rPr>
              <w:t>HS ≥ 3, na podkladě číselné škály 0–10; 0 = žádná bolest kůže, 10 = bolest kůže tak velká, jak si jen lze představit.</w:t>
            </w:r>
          </w:p>
        </w:tc>
      </w:tr>
    </w:tbl>
    <w:p w14:paraId="40DD7C41" w14:textId="77777777" w:rsidR="00E7724C" w:rsidRPr="001B4A02" w:rsidRDefault="00E7724C" w:rsidP="00ED48A3">
      <w:pPr>
        <w:rPr>
          <w:szCs w:val="22"/>
        </w:rPr>
      </w:pPr>
    </w:p>
    <w:p w14:paraId="0BF4ABEC" w14:textId="77777777" w:rsidR="00F163FA" w:rsidRPr="001B4A02" w:rsidRDefault="00000000" w:rsidP="00ED48A3">
      <w:pPr>
        <w:ind w:left="0" w:firstLine="0"/>
        <w:rPr>
          <w:rFonts w:eastAsia="Calibri"/>
          <w:szCs w:val="22"/>
        </w:rPr>
      </w:pPr>
      <w:r w:rsidRPr="001B4A02">
        <w:rPr>
          <w:rFonts w:eastAsia="Calibri"/>
          <w:szCs w:val="22"/>
        </w:rPr>
        <w:t>Léčba přípravkem Humira 40</w:t>
      </w:r>
      <w:r w:rsidR="00874DE1">
        <w:rPr>
          <w:rFonts w:eastAsia="Calibri"/>
          <w:szCs w:val="22"/>
        </w:rPr>
        <w:t> mg</w:t>
      </w:r>
      <w:r w:rsidRPr="001B4A02">
        <w:rPr>
          <w:rFonts w:eastAsia="Calibri"/>
          <w:szCs w:val="22"/>
        </w:rPr>
        <w:t xml:space="preserve"> jednou týdně významně snížila riziko zhoršení abscesů</w:t>
      </w:r>
      <w:r w:rsidR="002378E0">
        <w:rPr>
          <w:rFonts w:eastAsia="Calibri"/>
          <w:szCs w:val="22"/>
        </w:rPr>
        <w:t xml:space="preserve"> a </w:t>
      </w:r>
      <w:r w:rsidRPr="001B4A02">
        <w:rPr>
          <w:rFonts w:eastAsia="Calibri"/>
          <w:szCs w:val="22"/>
        </w:rPr>
        <w:t>píštělí s</w:t>
      </w:r>
      <w:r w:rsidR="003245EC" w:rsidRPr="001B4A02">
        <w:rPr>
          <w:rFonts w:eastAsia="Calibri"/>
          <w:szCs w:val="22"/>
        </w:rPr>
        <w:t> </w:t>
      </w:r>
      <w:r w:rsidRPr="001B4A02">
        <w:rPr>
          <w:rFonts w:eastAsia="Calibri"/>
          <w:szCs w:val="22"/>
        </w:rPr>
        <w:t>výtokem. Přibližně dvakrát větší část pacientů ve skupině placeba během prvních 12 týdnů trvání studie HS-I</w:t>
      </w:r>
      <w:r w:rsidR="002378E0">
        <w:rPr>
          <w:rFonts w:eastAsia="Calibri"/>
          <w:szCs w:val="22"/>
        </w:rPr>
        <w:t xml:space="preserve"> a </w:t>
      </w:r>
      <w:r w:rsidRPr="001B4A02">
        <w:rPr>
          <w:rFonts w:eastAsia="Calibri"/>
          <w:szCs w:val="22"/>
        </w:rPr>
        <w:t>HS-II, ve srovnání s pacienty ve skupině s přípravkem Humira, pocítila zhoršení abscesů (23,0</w:t>
      </w:r>
      <w:r w:rsidR="003245EC" w:rsidRPr="001B4A02">
        <w:rPr>
          <w:rFonts w:eastAsia="Calibri"/>
          <w:szCs w:val="22"/>
        </w:rPr>
        <w:t> </w:t>
      </w:r>
      <w:r w:rsidRPr="001B4A02">
        <w:rPr>
          <w:rFonts w:eastAsia="Calibri"/>
          <w:szCs w:val="22"/>
        </w:rPr>
        <w:t>% vs. 11,4</w:t>
      </w:r>
      <w:r w:rsidR="003245EC" w:rsidRPr="001B4A02">
        <w:rPr>
          <w:rFonts w:eastAsia="Calibri"/>
          <w:szCs w:val="22"/>
        </w:rPr>
        <w:t> </w:t>
      </w:r>
      <w:r w:rsidRPr="001B4A02">
        <w:rPr>
          <w:rFonts w:eastAsia="Calibri"/>
          <w:szCs w:val="22"/>
        </w:rPr>
        <w:t>%, resp.)</w:t>
      </w:r>
      <w:r w:rsidR="002378E0">
        <w:rPr>
          <w:rFonts w:eastAsia="Calibri"/>
          <w:szCs w:val="22"/>
        </w:rPr>
        <w:t xml:space="preserve"> a </w:t>
      </w:r>
      <w:r w:rsidRPr="001B4A02">
        <w:rPr>
          <w:rFonts w:eastAsia="Calibri"/>
          <w:szCs w:val="22"/>
        </w:rPr>
        <w:t>píštělí s výtokem (30,0</w:t>
      </w:r>
      <w:r w:rsidR="003245EC" w:rsidRPr="001B4A02">
        <w:rPr>
          <w:rFonts w:eastAsia="Calibri"/>
          <w:szCs w:val="22"/>
        </w:rPr>
        <w:t> </w:t>
      </w:r>
      <w:r w:rsidRPr="001B4A02">
        <w:rPr>
          <w:rFonts w:eastAsia="Calibri"/>
          <w:szCs w:val="22"/>
        </w:rPr>
        <w:t>% vs. 13,9</w:t>
      </w:r>
      <w:r w:rsidR="003245EC" w:rsidRPr="001B4A02">
        <w:rPr>
          <w:rFonts w:eastAsia="Calibri"/>
          <w:szCs w:val="22"/>
        </w:rPr>
        <w:t> </w:t>
      </w:r>
      <w:r w:rsidRPr="001B4A02">
        <w:rPr>
          <w:rFonts w:eastAsia="Calibri"/>
          <w:szCs w:val="22"/>
        </w:rPr>
        <w:t>%, resp.).</w:t>
      </w:r>
    </w:p>
    <w:p w14:paraId="44743C33" w14:textId="77777777" w:rsidR="00F163FA" w:rsidRPr="001B4A02" w:rsidRDefault="00F163FA" w:rsidP="00ED48A3">
      <w:pPr>
        <w:ind w:left="0" w:firstLine="0"/>
        <w:rPr>
          <w:rFonts w:eastAsia="Calibri"/>
          <w:szCs w:val="22"/>
        </w:rPr>
      </w:pPr>
    </w:p>
    <w:p w14:paraId="3A364499" w14:textId="77777777" w:rsidR="00F163FA" w:rsidRPr="001B4A02" w:rsidRDefault="00000000" w:rsidP="00ED48A3">
      <w:pPr>
        <w:ind w:left="0" w:firstLine="0"/>
        <w:rPr>
          <w:rFonts w:eastAsia="Calibri"/>
          <w:szCs w:val="22"/>
        </w:rPr>
      </w:pPr>
      <w:r w:rsidRPr="001B4A02">
        <w:rPr>
          <w:rFonts w:eastAsia="Calibri"/>
          <w:szCs w:val="22"/>
        </w:rPr>
        <w:t>Větší zlepšení v týdnu 12 oproti výchozím hodnotám ve srovnání s placebem bylo demonstrováno v kvalitě života týkající se zdraví</w:t>
      </w:r>
      <w:r w:rsidR="002378E0">
        <w:rPr>
          <w:rFonts w:eastAsia="Calibri"/>
          <w:szCs w:val="22"/>
        </w:rPr>
        <w:t xml:space="preserve"> a </w:t>
      </w:r>
      <w:r w:rsidRPr="001B4A02">
        <w:rPr>
          <w:rFonts w:eastAsia="Calibri"/>
          <w:szCs w:val="22"/>
        </w:rPr>
        <w:t>specificky kůže, dle měření Dermatologického indexu kvality života (Dermatology Life Quality Index DLQI; Studie HS-I</w:t>
      </w:r>
      <w:r w:rsidR="002378E0">
        <w:rPr>
          <w:rFonts w:eastAsia="Calibri"/>
          <w:szCs w:val="22"/>
        </w:rPr>
        <w:t xml:space="preserve"> a </w:t>
      </w:r>
      <w:r w:rsidRPr="001B4A02">
        <w:rPr>
          <w:rFonts w:eastAsia="Calibri"/>
          <w:szCs w:val="22"/>
        </w:rPr>
        <w:t>HS-II), celkovou spokojeností pacienta s léčbou, dle měření Dotazníku spokojenosti s léčbou (Treatment Satisfaction Questionnaire – medication, TSQM; Studie HS-I</w:t>
      </w:r>
      <w:r w:rsidR="002378E0">
        <w:rPr>
          <w:rFonts w:eastAsia="Calibri"/>
          <w:szCs w:val="22"/>
        </w:rPr>
        <w:t xml:space="preserve"> a </w:t>
      </w:r>
      <w:r w:rsidRPr="001B4A02">
        <w:rPr>
          <w:rFonts w:eastAsia="Calibri"/>
          <w:szCs w:val="22"/>
        </w:rPr>
        <w:t>HS-II)</w:t>
      </w:r>
      <w:r w:rsidR="002378E0">
        <w:rPr>
          <w:rFonts w:eastAsia="Calibri"/>
          <w:szCs w:val="22"/>
        </w:rPr>
        <w:t xml:space="preserve"> a </w:t>
      </w:r>
      <w:r w:rsidRPr="001B4A02">
        <w:rPr>
          <w:rFonts w:eastAsia="Calibri"/>
          <w:szCs w:val="22"/>
        </w:rPr>
        <w:t>fyzickým zdravím dle měření skóre souhrnu tělesných komponent (physical component summary) SF-36 (Studie HS-I).</w:t>
      </w:r>
    </w:p>
    <w:p w14:paraId="4EF273C7" w14:textId="77777777" w:rsidR="00F163FA" w:rsidRPr="001B4A02" w:rsidRDefault="00F163FA" w:rsidP="00ED48A3">
      <w:pPr>
        <w:rPr>
          <w:rFonts w:eastAsia="Calibri"/>
          <w:szCs w:val="22"/>
        </w:rPr>
      </w:pPr>
    </w:p>
    <w:p w14:paraId="46507D19" w14:textId="77777777" w:rsidR="00E7724C" w:rsidRPr="001B4A02" w:rsidRDefault="00000000" w:rsidP="00ED48A3">
      <w:pPr>
        <w:pStyle w:val="EMEANormal"/>
        <w:rPr>
          <w:rFonts w:eastAsia="Calibri"/>
          <w:szCs w:val="22"/>
          <w:lang w:val="cs-CZ"/>
        </w:rPr>
      </w:pPr>
      <w:r w:rsidRPr="001B4A02">
        <w:rPr>
          <w:rFonts w:eastAsia="Calibri"/>
          <w:szCs w:val="22"/>
          <w:lang w:val="cs-CZ"/>
        </w:rPr>
        <w:t>U</w:t>
      </w:r>
      <w:r w:rsidR="003245EC" w:rsidRPr="001B4A02">
        <w:rPr>
          <w:rFonts w:eastAsia="Calibri"/>
          <w:szCs w:val="22"/>
          <w:lang w:val="cs-CZ"/>
        </w:rPr>
        <w:t> </w:t>
      </w:r>
      <w:r w:rsidRPr="001B4A02">
        <w:rPr>
          <w:rFonts w:eastAsia="Calibri"/>
          <w:szCs w:val="22"/>
          <w:lang w:val="cs-CZ"/>
        </w:rPr>
        <w:t>pacientů s alespoň částečnou odpovědí na léčbu přípravkem Humira 40</w:t>
      </w:r>
      <w:r w:rsidR="00874DE1">
        <w:rPr>
          <w:rFonts w:eastAsia="Calibri"/>
          <w:szCs w:val="22"/>
          <w:lang w:val="cs-CZ"/>
        </w:rPr>
        <w:t> mg</w:t>
      </w:r>
      <w:r w:rsidRPr="001B4A02">
        <w:rPr>
          <w:rFonts w:eastAsia="Calibri"/>
          <w:szCs w:val="22"/>
          <w:lang w:val="cs-CZ"/>
        </w:rPr>
        <w:t xml:space="preserve"> jednou týdně v týdnu 12 byla hodnota HiSCR v týdnu 36 větší u</w:t>
      </w:r>
      <w:r w:rsidR="003245EC" w:rsidRPr="001B4A02">
        <w:rPr>
          <w:rFonts w:eastAsia="Calibri"/>
          <w:szCs w:val="22"/>
          <w:lang w:val="cs-CZ"/>
        </w:rPr>
        <w:t> </w:t>
      </w:r>
      <w:r w:rsidRPr="001B4A02">
        <w:rPr>
          <w:rFonts w:eastAsia="Calibri"/>
          <w:szCs w:val="22"/>
          <w:lang w:val="cs-CZ"/>
        </w:rPr>
        <w:t>pacientů, kteří pokračovali v léčbě přípravkem Humira jednou týdně, než u</w:t>
      </w:r>
      <w:r w:rsidR="003245EC" w:rsidRPr="001B4A02">
        <w:rPr>
          <w:rFonts w:eastAsia="Calibri"/>
          <w:szCs w:val="22"/>
          <w:lang w:val="cs-CZ"/>
        </w:rPr>
        <w:t> </w:t>
      </w:r>
      <w:r w:rsidRPr="001B4A02">
        <w:rPr>
          <w:rFonts w:eastAsia="Calibri"/>
          <w:szCs w:val="22"/>
          <w:lang w:val="cs-CZ"/>
        </w:rPr>
        <w:t>pacientů, u</w:t>
      </w:r>
      <w:r w:rsidR="003245EC" w:rsidRPr="001B4A02">
        <w:rPr>
          <w:rFonts w:eastAsia="Calibri"/>
          <w:szCs w:val="22"/>
          <w:lang w:val="cs-CZ"/>
        </w:rPr>
        <w:t> </w:t>
      </w:r>
      <w:r w:rsidRPr="001B4A02">
        <w:rPr>
          <w:rFonts w:eastAsia="Calibri"/>
          <w:szCs w:val="22"/>
          <w:lang w:val="cs-CZ"/>
        </w:rPr>
        <w:t>kterých byla frekvence dávkování snížena na jednou za dva týdny nebo u</w:t>
      </w:r>
      <w:r w:rsidR="003245EC" w:rsidRPr="001B4A02">
        <w:rPr>
          <w:rFonts w:eastAsia="Calibri"/>
          <w:szCs w:val="22"/>
          <w:lang w:val="cs-CZ"/>
        </w:rPr>
        <w:t> </w:t>
      </w:r>
      <w:r w:rsidRPr="001B4A02">
        <w:rPr>
          <w:rFonts w:eastAsia="Calibri"/>
          <w:szCs w:val="22"/>
          <w:lang w:val="cs-CZ"/>
        </w:rPr>
        <w:t xml:space="preserve">kterých byla léčba přerušena (viz tabulka </w:t>
      </w:r>
      <w:r w:rsidR="00E331EB">
        <w:rPr>
          <w:rFonts w:eastAsia="Calibri"/>
          <w:szCs w:val="22"/>
          <w:lang w:val="cs-CZ"/>
        </w:rPr>
        <w:t>13</w:t>
      </w:r>
      <w:r w:rsidRPr="001B4A02">
        <w:rPr>
          <w:rFonts w:eastAsia="Calibri"/>
          <w:szCs w:val="22"/>
          <w:lang w:val="cs-CZ"/>
        </w:rPr>
        <w:t>).</w:t>
      </w:r>
    </w:p>
    <w:p w14:paraId="18DBFFD3" w14:textId="77777777" w:rsidR="002F6522" w:rsidRPr="001B4A02" w:rsidRDefault="002F6522" w:rsidP="00ED48A3">
      <w:pPr>
        <w:pStyle w:val="EMEANormal"/>
        <w:rPr>
          <w:lang w:val="cs-CZ"/>
        </w:rPr>
      </w:pPr>
    </w:p>
    <w:p w14:paraId="4AF21007" w14:textId="77777777" w:rsidR="00E7724C" w:rsidRPr="001B4A02" w:rsidRDefault="00000000" w:rsidP="00ED48A3">
      <w:pPr>
        <w:pStyle w:val="Paragraph"/>
        <w:keepNext/>
        <w:spacing w:after="0" w:line="240" w:lineRule="auto"/>
        <w:jc w:val="center"/>
        <w:rPr>
          <w:b/>
          <w:sz w:val="22"/>
          <w:szCs w:val="22"/>
          <w:lang w:val="cs-CZ"/>
        </w:rPr>
      </w:pPr>
      <w:r w:rsidRPr="001B4A02">
        <w:rPr>
          <w:b/>
          <w:sz w:val="22"/>
          <w:szCs w:val="22"/>
          <w:lang w:val="cs-CZ"/>
        </w:rPr>
        <w:t>Tabulka </w:t>
      </w:r>
      <w:r w:rsidR="00E331EB">
        <w:rPr>
          <w:b/>
          <w:sz w:val="22"/>
          <w:szCs w:val="22"/>
          <w:lang w:val="cs-CZ"/>
        </w:rPr>
        <w:t>13</w:t>
      </w:r>
      <w:r w:rsidRPr="001B4A02">
        <w:rPr>
          <w:b/>
          <w:sz w:val="22"/>
          <w:szCs w:val="22"/>
          <w:lang w:val="cs-CZ"/>
        </w:rPr>
        <w:t xml:space="preserve">: </w:t>
      </w:r>
      <w:r w:rsidR="002F6522" w:rsidRPr="001B4A02">
        <w:rPr>
          <w:b/>
          <w:sz w:val="22"/>
          <w:szCs w:val="22"/>
          <w:lang w:val="cs-CZ"/>
        </w:rPr>
        <w:t>Poměr pacientů</w:t>
      </w:r>
      <w:r w:rsidR="002F6522" w:rsidRPr="001B4A02">
        <w:rPr>
          <w:b/>
          <w:sz w:val="22"/>
          <w:szCs w:val="22"/>
          <w:vertAlign w:val="superscript"/>
          <w:lang w:val="cs-CZ"/>
        </w:rPr>
        <w:t>a</w:t>
      </w:r>
      <w:r w:rsidR="002F6522" w:rsidRPr="001B4A02">
        <w:rPr>
          <w:b/>
          <w:sz w:val="22"/>
          <w:szCs w:val="22"/>
          <w:lang w:val="cs-CZ"/>
        </w:rPr>
        <w:t>, kteří dosáhli HiSCR</w:t>
      </w:r>
      <w:r w:rsidR="002F6522" w:rsidRPr="001B4A02">
        <w:rPr>
          <w:b/>
          <w:sz w:val="22"/>
          <w:szCs w:val="22"/>
          <w:vertAlign w:val="superscript"/>
          <w:lang w:val="cs-CZ"/>
        </w:rPr>
        <w:t>b</w:t>
      </w:r>
      <w:r w:rsidR="002F6522" w:rsidRPr="001B4A02">
        <w:rPr>
          <w:b/>
          <w:sz w:val="22"/>
          <w:szCs w:val="22"/>
          <w:lang w:val="cs-CZ"/>
        </w:rPr>
        <w:t xml:space="preserve"> v</w:t>
      </w:r>
      <w:r w:rsidR="003245EC" w:rsidRPr="001B4A02">
        <w:rPr>
          <w:b/>
          <w:sz w:val="22"/>
          <w:szCs w:val="22"/>
          <w:lang w:val="cs-CZ"/>
        </w:rPr>
        <w:t> </w:t>
      </w:r>
      <w:r w:rsidR="002F6522" w:rsidRPr="001B4A02">
        <w:rPr>
          <w:b/>
          <w:sz w:val="22"/>
          <w:szCs w:val="22"/>
          <w:lang w:val="cs-CZ"/>
        </w:rPr>
        <w:t>týdnech 24</w:t>
      </w:r>
      <w:r w:rsidR="002378E0">
        <w:rPr>
          <w:b/>
          <w:sz w:val="22"/>
          <w:szCs w:val="22"/>
          <w:lang w:val="cs-CZ"/>
        </w:rPr>
        <w:t xml:space="preserve"> a </w:t>
      </w:r>
      <w:r w:rsidR="002F6522" w:rsidRPr="001B4A02">
        <w:rPr>
          <w:b/>
          <w:sz w:val="22"/>
          <w:szCs w:val="22"/>
          <w:lang w:val="cs-CZ"/>
        </w:rPr>
        <w:t>36 po opětovném přeřazení léčby přípravkem Humira týdně v</w:t>
      </w:r>
      <w:r w:rsidR="003245EC" w:rsidRPr="001B4A02">
        <w:rPr>
          <w:b/>
          <w:sz w:val="22"/>
          <w:szCs w:val="22"/>
          <w:lang w:val="cs-CZ"/>
        </w:rPr>
        <w:t> </w:t>
      </w:r>
      <w:r w:rsidR="002F6522" w:rsidRPr="001B4A02">
        <w:rPr>
          <w:b/>
          <w:sz w:val="22"/>
          <w:szCs w:val="22"/>
          <w:lang w:val="cs-CZ"/>
        </w:rPr>
        <w:t>týdnu 12</w:t>
      </w:r>
    </w:p>
    <w:tbl>
      <w:tblPr>
        <w:tblW w:w="8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1"/>
        <w:gridCol w:w="2268"/>
        <w:gridCol w:w="2325"/>
        <w:gridCol w:w="2363"/>
      </w:tblGrid>
      <w:tr w:rsidR="00534A2D" w14:paraId="4DABF150" w14:textId="77777777" w:rsidTr="00F51027">
        <w:trPr>
          <w:tblHeader/>
          <w:jc w:val="center"/>
        </w:trPr>
        <w:tc>
          <w:tcPr>
            <w:tcW w:w="1571" w:type="dxa"/>
            <w:shd w:val="clear" w:color="auto" w:fill="auto"/>
            <w:vAlign w:val="bottom"/>
          </w:tcPr>
          <w:p w14:paraId="435DB63B" w14:textId="77777777" w:rsidR="002F6522" w:rsidRPr="001B4A02" w:rsidRDefault="002F6522" w:rsidP="00ED48A3">
            <w:pPr>
              <w:pStyle w:val="TableLeft"/>
              <w:spacing w:before="0" w:after="0" w:line="240" w:lineRule="auto"/>
              <w:rPr>
                <w:b/>
                <w:sz w:val="22"/>
                <w:szCs w:val="22"/>
                <w:lang w:val="cs-CZ"/>
              </w:rPr>
            </w:pPr>
          </w:p>
        </w:tc>
        <w:tc>
          <w:tcPr>
            <w:tcW w:w="2268" w:type="dxa"/>
            <w:shd w:val="clear" w:color="auto" w:fill="auto"/>
          </w:tcPr>
          <w:p w14:paraId="7D24DF87" w14:textId="77777777" w:rsidR="00D916C2" w:rsidRPr="001B4A02" w:rsidRDefault="00000000" w:rsidP="00ED48A3">
            <w:pPr>
              <w:pStyle w:val="TableLeft"/>
              <w:spacing w:before="0" w:after="0" w:line="240" w:lineRule="auto"/>
              <w:jc w:val="center"/>
              <w:rPr>
                <w:b/>
                <w:sz w:val="22"/>
                <w:szCs w:val="22"/>
                <w:lang w:val="cs-CZ"/>
              </w:rPr>
            </w:pPr>
            <w:r w:rsidRPr="001B4A02">
              <w:rPr>
                <w:b/>
                <w:sz w:val="22"/>
                <w:szCs w:val="22"/>
                <w:lang w:val="cs-CZ"/>
              </w:rPr>
              <w:t>Placebo</w:t>
            </w:r>
          </w:p>
          <w:p w14:paraId="0AA0460B" w14:textId="77777777" w:rsidR="00D916C2" w:rsidRPr="001B4A02" w:rsidRDefault="00000000" w:rsidP="00ED48A3">
            <w:pPr>
              <w:pStyle w:val="TableLeft"/>
              <w:spacing w:before="0" w:after="0" w:line="240" w:lineRule="auto"/>
              <w:jc w:val="center"/>
              <w:rPr>
                <w:b/>
                <w:sz w:val="22"/>
                <w:szCs w:val="22"/>
                <w:lang w:val="cs-CZ"/>
              </w:rPr>
            </w:pPr>
            <w:r w:rsidRPr="001B4A02">
              <w:rPr>
                <w:b/>
                <w:sz w:val="22"/>
                <w:szCs w:val="22"/>
                <w:lang w:val="cs-CZ"/>
              </w:rPr>
              <w:t>(ukončení léčby)</w:t>
            </w:r>
          </w:p>
          <w:p w14:paraId="41ABBB2F" w14:textId="77777777" w:rsidR="002F6522" w:rsidRPr="001B4A02" w:rsidRDefault="00000000" w:rsidP="00ED48A3">
            <w:pPr>
              <w:pStyle w:val="TableLeft"/>
              <w:spacing w:before="0" w:after="0" w:line="240" w:lineRule="auto"/>
              <w:jc w:val="center"/>
              <w:rPr>
                <w:b/>
                <w:sz w:val="22"/>
                <w:szCs w:val="22"/>
                <w:lang w:val="cs-CZ"/>
              </w:rPr>
            </w:pPr>
            <w:r>
              <w:rPr>
                <w:b/>
                <w:sz w:val="22"/>
                <w:szCs w:val="22"/>
                <w:lang w:val="cs-CZ"/>
              </w:rPr>
              <w:t>n</w:t>
            </w:r>
            <w:r w:rsidRPr="001B4A02">
              <w:rPr>
                <w:b/>
                <w:sz w:val="22"/>
                <w:szCs w:val="22"/>
                <w:lang w:val="cs-CZ"/>
              </w:rPr>
              <w:t>=73</w:t>
            </w:r>
          </w:p>
        </w:tc>
        <w:tc>
          <w:tcPr>
            <w:tcW w:w="2325" w:type="dxa"/>
            <w:shd w:val="clear" w:color="auto" w:fill="auto"/>
          </w:tcPr>
          <w:p w14:paraId="7438D3D6" w14:textId="77777777" w:rsidR="00D916C2" w:rsidRPr="001B4A02" w:rsidRDefault="00000000" w:rsidP="00ED48A3">
            <w:pPr>
              <w:pStyle w:val="TableLeft"/>
              <w:spacing w:before="0" w:after="0" w:line="240" w:lineRule="auto"/>
              <w:jc w:val="center"/>
              <w:rPr>
                <w:b/>
                <w:sz w:val="22"/>
                <w:szCs w:val="22"/>
                <w:lang w:val="cs-CZ"/>
              </w:rPr>
            </w:pPr>
            <w:r w:rsidRPr="001B4A02">
              <w:rPr>
                <w:b/>
                <w:sz w:val="22"/>
                <w:szCs w:val="22"/>
                <w:lang w:val="cs-CZ"/>
              </w:rPr>
              <w:t>Humira 40</w:t>
            </w:r>
            <w:r w:rsidR="00874DE1">
              <w:rPr>
                <w:b/>
                <w:sz w:val="22"/>
                <w:szCs w:val="22"/>
                <w:lang w:val="cs-CZ"/>
              </w:rPr>
              <w:t> mg</w:t>
            </w:r>
          </w:p>
          <w:p w14:paraId="4323A9CF" w14:textId="77777777" w:rsidR="00D916C2" w:rsidRPr="001B4A02" w:rsidRDefault="00000000" w:rsidP="00ED48A3">
            <w:pPr>
              <w:pStyle w:val="TableLeft"/>
              <w:spacing w:before="0" w:after="0" w:line="240" w:lineRule="auto"/>
              <w:jc w:val="center"/>
              <w:rPr>
                <w:b/>
                <w:sz w:val="22"/>
                <w:szCs w:val="22"/>
                <w:lang w:val="cs-CZ"/>
              </w:rPr>
            </w:pPr>
            <w:r w:rsidRPr="001B4A02">
              <w:rPr>
                <w:b/>
                <w:sz w:val="22"/>
                <w:szCs w:val="22"/>
                <w:lang w:val="cs-CZ"/>
              </w:rPr>
              <w:t>každý druhý týden</w:t>
            </w:r>
          </w:p>
          <w:p w14:paraId="4A3647C9" w14:textId="77777777" w:rsidR="002F6522" w:rsidRPr="001B4A02" w:rsidRDefault="00000000" w:rsidP="00ED48A3">
            <w:pPr>
              <w:pStyle w:val="TableLeft"/>
              <w:spacing w:before="0" w:after="0" w:line="240" w:lineRule="auto"/>
              <w:jc w:val="center"/>
              <w:rPr>
                <w:b/>
                <w:sz w:val="22"/>
                <w:szCs w:val="22"/>
                <w:lang w:val="cs-CZ"/>
              </w:rPr>
            </w:pPr>
            <w:r>
              <w:rPr>
                <w:b/>
                <w:sz w:val="22"/>
                <w:szCs w:val="22"/>
                <w:lang w:val="cs-CZ"/>
              </w:rPr>
              <w:t>n</w:t>
            </w:r>
            <w:r w:rsidRPr="001B4A02">
              <w:rPr>
                <w:b/>
                <w:sz w:val="22"/>
                <w:szCs w:val="22"/>
                <w:lang w:val="cs-CZ"/>
              </w:rPr>
              <w:t>=70</w:t>
            </w:r>
          </w:p>
        </w:tc>
        <w:tc>
          <w:tcPr>
            <w:tcW w:w="2363" w:type="dxa"/>
            <w:shd w:val="clear" w:color="auto" w:fill="auto"/>
          </w:tcPr>
          <w:p w14:paraId="1F6CBED7" w14:textId="77777777" w:rsidR="00D916C2" w:rsidRPr="001B4A02" w:rsidRDefault="00000000" w:rsidP="00ED48A3">
            <w:pPr>
              <w:pStyle w:val="TableLeft"/>
              <w:spacing w:before="0" w:after="0" w:line="240" w:lineRule="auto"/>
              <w:jc w:val="center"/>
              <w:rPr>
                <w:b/>
                <w:sz w:val="22"/>
                <w:szCs w:val="22"/>
                <w:lang w:val="cs-CZ"/>
              </w:rPr>
            </w:pPr>
            <w:r w:rsidRPr="001B4A02">
              <w:rPr>
                <w:b/>
                <w:sz w:val="22"/>
                <w:szCs w:val="22"/>
                <w:lang w:val="cs-CZ"/>
              </w:rPr>
              <w:t>Humira 40</w:t>
            </w:r>
            <w:r w:rsidR="00874DE1">
              <w:rPr>
                <w:b/>
                <w:sz w:val="22"/>
                <w:szCs w:val="22"/>
                <w:lang w:val="cs-CZ"/>
              </w:rPr>
              <w:t> mg</w:t>
            </w:r>
          </w:p>
          <w:p w14:paraId="29E20943" w14:textId="77777777" w:rsidR="00D916C2" w:rsidRPr="001B4A02" w:rsidRDefault="00000000" w:rsidP="00ED48A3">
            <w:pPr>
              <w:pStyle w:val="TableLeft"/>
              <w:spacing w:before="0" w:after="0" w:line="240" w:lineRule="auto"/>
              <w:jc w:val="center"/>
              <w:rPr>
                <w:b/>
                <w:sz w:val="22"/>
                <w:szCs w:val="22"/>
                <w:lang w:val="cs-CZ"/>
              </w:rPr>
            </w:pPr>
            <w:r w:rsidRPr="001B4A02">
              <w:rPr>
                <w:b/>
                <w:sz w:val="22"/>
                <w:szCs w:val="22"/>
                <w:lang w:val="cs-CZ"/>
              </w:rPr>
              <w:t>jednou týdně</w:t>
            </w:r>
          </w:p>
          <w:p w14:paraId="5F8A09EF" w14:textId="77777777" w:rsidR="002F6522" w:rsidRPr="001B4A02" w:rsidRDefault="00000000" w:rsidP="00ED48A3">
            <w:pPr>
              <w:pStyle w:val="TableLeft"/>
              <w:spacing w:before="0" w:after="0" w:line="240" w:lineRule="auto"/>
              <w:jc w:val="center"/>
              <w:rPr>
                <w:b/>
                <w:sz w:val="22"/>
                <w:szCs w:val="22"/>
                <w:lang w:val="cs-CZ"/>
              </w:rPr>
            </w:pPr>
            <w:r>
              <w:rPr>
                <w:b/>
                <w:sz w:val="22"/>
                <w:szCs w:val="22"/>
                <w:lang w:val="cs-CZ"/>
              </w:rPr>
              <w:t>n</w:t>
            </w:r>
            <w:r w:rsidRPr="001B4A02">
              <w:rPr>
                <w:b/>
                <w:sz w:val="22"/>
                <w:szCs w:val="22"/>
                <w:lang w:val="cs-CZ"/>
              </w:rPr>
              <w:t>=70</w:t>
            </w:r>
          </w:p>
        </w:tc>
      </w:tr>
      <w:tr w:rsidR="00534A2D" w14:paraId="51DF6D67" w14:textId="77777777" w:rsidTr="00F51027">
        <w:trPr>
          <w:jc w:val="center"/>
        </w:trPr>
        <w:tc>
          <w:tcPr>
            <w:tcW w:w="1571" w:type="dxa"/>
            <w:shd w:val="clear" w:color="auto" w:fill="auto"/>
          </w:tcPr>
          <w:p w14:paraId="58555B95" w14:textId="77777777" w:rsidR="002F6522" w:rsidRPr="001B4A02" w:rsidRDefault="00000000" w:rsidP="00ED48A3">
            <w:pPr>
              <w:pStyle w:val="TableLeft"/>
              <w:spacing w:before="0" w:after="0" w:line="240" w:lineRule="auto"/>
              <w:rPr>
                <w:sz w:val="22"/>
                <w:szCs w:val="22"/>
                <w:lang w:val="cs-CZ"/>
              </w:rPr>
            </w:pPr>
            <w:r w:rsidRPr="001B4A02">
              <w:rPr>
                <w:sz w:val="22"/>
                <w:szCs w:val="22"/>
                <w:lang w:val="cs-CZ"/>
              </w:rPr>
              <w:t>Týden 24</w:t>
            </w:r>
          </w:p>
        </w:tc>
        <w:tc>
          <w:tcPr>
            <w:tcW w:w="2268" w:type="dxa"/>
            <w:shd w:val="clear" w:color="auto" w:fill="auto"/>
          </w:tcPr>
          <w:p w14:paraId="5DA754F2" w14:textId="77777777" w:rsidR="002F6522" w:rsidRPr="001B4A02" w:rsidRDefault="00000000" w:rsidP="00ED48A3">
            <w:pPr>
              <w:pStyle w:val="TableLeft"/>
              <w:spacing w:before="0" w:after="0" w:line="240" w:lineRule="auto"/>
              <w:jc w:val="center"/>
              <w:rPr>
                <w:sz w:val="22"/>
                <w:szCs w:val="22"/>
                <w:lang w:val="cs-CZ"/>
              </w:rPr>
            </w:pPr>
            <w:r w:rsidRPr="001B4A02">
              <w:rPr>
                <w:sz w:val="22"/>
                <w:szCs w:val="22"/>
                <w:lang w:val="cs-CZ"/>
              </w:rPr>
              <w:t>24 (32,9</w:t>
            </w:r>
            <w:r w:rsidR="003245EC" w:rsidRPr="001B4A02">
              <w:rPr>
                <w:sz w:val="22"/>
                <w:szCs w:val="22"/>
                <w:lang w:val="cs-CZ"/>
              </w:rPr>
              <w:t> </w:t>
            </w:r>
            <w:r w:rsidRPr="001B4A02">
              <w:rPr>
                <w:sz w:val="22"/>
                <w:szCs w:val="22"/>
                <w:lang w:val="cs-CZ"/>
              </w:rPr>
              <w:t>%)</w:t>
            </w:r>
          </w:p>
        </w:tc>
        <w:tc>
          <w:tcPr>
            <w:tcW w:w="2325" w:type="dxa"/>
            <w:shd w:val="clear" w:color="auto" w:fill="auto"/>
          </w:tcPr>
          <w:p w14:paraId="77729E61" w14:textId="77777777" w:rsidR="002F6522" w:rsidRPr="001B4A02" w:rsidRDefault="00000000" w:rsidP="00ED48A3">
            <w:pPr>
              <w:pStyle w:val="TableLeft"/>
              <w:spacing w:before="0" w:after="0" w:line="240" w:lineRule="auto"/>
              <w:jc w:val="center"/>
              <w:rPr>
                <w:sz w:val="22"/>
                <w:szCs w:val="22"/>
                <w:lang w:val="cs-CZ"/>
              </w:rPr>
            </w:pPr>
            <w:r w:rsidRPr="001B4A02">
              <w:rPr>
                <w:sz w:val="22"/>
                <w:szCs w:val="22"/>
                <w:lang w:val="cs-CZ"/>
              </w:rPr>
              <w:t>36 (51,4</w:t>
            </w:r>
            <w:r w:rsidR="003245EC" w:rsidRPr="001B4A02">
              <w:rPr>
                <w:sz w:val="22"/>
                <w:szCs w:val="22"/>
                <w:lang w:val="cs-CZ"/>
              </w:rPr>
              <w:t> </w:t>
            </w:r>
            <w:r w:rsidRPr="001B4A02">
              <w:rPr>
                <w:sz w:val="22"/>
                <w:szCs w:val="22"/>
                <w:lang w:val="cs-CZ"/>
              </w:rPr>
              <w:t>%)</w:t>
            </w:r>
          </w:p>
        </w:tc>
        <w:tc>
          <w:tcPr>
            <w:tcW w:w="2363" w:type="dxa"/>
            <w:shd w:val="clear" w:color="auto" w:fill="auto"/>
          </w:tcPr>
          <w:p w14:paraId="0332E09C" w14:textId="77777777" w:rsidR="002F6522" w:rsidRPr="001B4A02" w:rsidRDefault="00000000" w:rsidP="00ED48A3">
            <w:pPr>
              <w:pStyle w:val="TableLeft"/>
              <w:spacing w:before="0" w:after="0" w:line="240" w:lineRule="auto"/>
              <w:jc w:val="center"/>
              <w:rPr>
                <w:sz w:val="22"/>
                <w:szCs w:val="22"/>
                <w:lang w:val="cs-CZ"/>
              </w:rPr>
            </w:pPr>
            <w:r w:rsidRPr="001B4A02">
              <w:rPr>
                <w:sz w:val="22"/>
                <w:szCs w:val="22"/>
                <w:lang w:val="cs-CZ"/>
              </w:rPr>
              <w:t>40 (57,1</w:t>
            </w:r>
            <w:r w:rsidR="003245EC" w:rsidRPr="001B4A02">
              <w:rPr>
                <w:sz w:val="22"/>
                <w:szCs w:val="22"/>
                <w:lang w:val="cs-CZ"/>
              </w:rPr>
              <w:t> </w:t>
            </w:r>
            <w:r w:rsidRPr="001B4A02">
              <w:rPr>
                <w:sz w:val="22"/>
                <w:szCs w:val="22"/>
                <w:lang w:val="cs-CZ"/>
              </w:rPr>
              <w:t>%)</w:t>
            </w:r>
          </w:p>
        </w:tc>
      </w:tr>
      <w:tr w:rsidR="00534A2D" w14:paraId="5AEB0CDA" w14:textId="77777777" w:rsidTr="00F51027">
        <w:trPr>
          <w:jc w:val="center"/>
        </w:trPr>
        <w:tc>
          <w:tcPr>
            <w:tcW w:w="1571" w:type="dxa"/>
            <w:shd w:val="clear" w:color="auto" w:fill="auto"/>
          </w:tcPr>
          <w:p w14:paraId="0374F31F" w14:textId="77777777" w:rsidR="002F6522" w:rsidRPr="001B4A02" w:rsidRDefault="00000000" w:rsidP="00ED48A3">
            <w:pPr>
              <w:pStyle w:val="TableLeft"/>
              <w:spacing w:before="0" w:after="0" w:line="240" w:lineRule="auto"/>
              <w:rPr>
                <w:sz w:val="22"/>
                <w:szCs w:val="22"/>
                <w:lang w:val="cs-CZ"/>
              </w:rPr>
            </w:pPr>
            <w:r w:rsidRPr="001B4A02">
              <w:rPr>
                <w:sz w:val="22"/>
                <w:szCs w:val="22"/>
                <w:lang w:val="cs-CZ"/>
              </w:rPr>
              <w:t>Týden 36</w:t>
            </w:r>
          </w:p>
        </w:tc>
        <w:tc>
          <w:tcPr>
            <w:tcW w:w="2268" w:type="dxa"/>
            <w:shd w:val="clear" w:color="auto" w:fill="auto"/>
          </w:tcPr>
          <w:p w14:paraId="389FA98E" w14:textId="77777777" w:rsidR="002F6522" w:rsidRPr="001B4A02" w:rsidRDefault="00000000" w:rsidP="00ED48A3">
            <w:pPr>
              <w:pStyle w:val="TableLeft"/>
              <w:spacing w:before="0" w:after="0" w:line="240" w:lineRule="auto"/>
              <w:jc w:val="center"/>
              <w:rPr>
                <w:sz w:val="22"/>
                <w:szCs w:val="22"/>
                <w:lang w:val="cs-CZ"/>
              </w:rPr>
            </w:pPr>
            <w:r w:rsidRPr="001B4A02">
              <w:rPr>
                <w:sz w:val="22"/>
                <w:szCs w:val="22"/>
                <w:lang w:val="cs-CZ"/>
              </w:rPr>
              <w:t>22 (30,1</w:t>
            </w:r>
            <w:r w:rsidR="003245EC" w:rsidRPr="001B4A02">
              <w:rPr>
                <w:sz w:val="22"/>
                <w:szCs w:val="22"/>
                <w:lang w:val="cs-CZ"/>
              </w:rPr>
              <w:t> </w:t>
            </w:r>
            <w:r w:rsidRPr="001B4A02">
              <w:rPr>
                <w:sz w:val="22"/>
                <w:szCs w:val="22"/>
                <w:lang w:val="cs-CZ"/>
              </w:rPr>
              <w:t>%)</w:t>
            </w:r>
          </w:p>
        </w:tc>
        <w:tc>
          <w:tcPr>
            <w:tcW w:w="2325" w:type="dxa"/>
            <w:shd w:val="clear" w:color="auto" w:fill="auto"/>
          </w:tcPr>
          <w:p w14:paraId="60387663" w14:textId="77777777" w:rsidR="002F6522" w:rsidRPr="001B4A02" w:rsidRDefault="00000000" w:rsidP="00ED48A3">
            <w:pPr>
              <w:pStyle w:val="TableLeft"/>
              <w:spacing w:before="0" w:after="0" w:line="240" w:lineRule="auto"/>
              <w:jc w:val="center"/>
              <w:rPr>
                <w:sz w:val="22"/>
                <w:szCs w:val="22"/>
                <w:lang w:val="cs-CZ"/>
              </w:rPr>
            </w:pPr>
            <w:r w:rsidRPr="001B4A02">
              <w:rPr>
                <w:sz w:val="22"/>
                <w:szCs w:val="22"/>
                <w:lang w:val="cs-CZ"/>
              </w:rPr>
              <w:t>28 (40,0</w:t>
            </w:r>
            <w:r w:rsidR="003245EC" w:rsidRPr="001B4A02">
              <w:rPr>
                <w:sz w:val="22"/>
                <w:szCs w:val="22"/>
                <w:lang w:val="cs-CZ"/>
              </w:rPr>
              <w:t> </w:t>
            </w:r>
            <w:r w:rsidRPr="001B4A02">
              <w:rPr>
                <w:sz w:val="22"/>
                <w:szCs w:val="22"/>
                <w:lang w:val="cs-CZ"/>
              </w:rPr>
              <w:t>%)</w:t>
            </w:r>
          </w:p>
        </w:tc>
        <w:tc>
          <w:tcPr>
            <w:tcW w:w="2363" w:type="dxa"/>
            <w:shd w:val="clear" w:color="auto" w:fill="auto"/>
          </w:tcPr>
          <w:p w14:paraId="7122B0F1" w14:textId="77777777" w:rsidR="002F6522" w:rsidRPr="001B4A02" w:rsidRDefault="00000000" w:rsidP="00ED48A3">
            <w:pPr>
              <w:pStyle w:val="TableLeft"/>
              <w:spacing w:before="0" w:after="0" w:line="240" w:lineRule="auto"/>
              <w:jc w:val="center"/>
              <w:rPr>
                <w:sz w:val="22"/>
                <w:szCs w:val="22"/>
                <w:lang w:val="cs-CZ"/>
              </w:rPr>
            </w:pPr>
            <w:r w:rsidRPr="001B4A02">
              <w:rPr>
                <w:sz w:val="22"/>
                <w:szCs w:val="22"/>
                <w:lang w:val="cs-CZ"/>
              </w:rPr>
              <w:t>39 (55,7</w:t>
            </w:r>
            <w:r w:rsidR="003245EC" w:rsidRPr="001B4A02">
              <w:rPr>
                <w:sz w:val="22"/>
                <w:szCs w:val="22"/>
                <w:lang w:val="cs-CZ"/>
              </w:rPr>
              <w:t> </w:t>
            </w:r>
            <w:r w:rsidRPr="001B4A02">
              <w:rPr>
                <w:sz w:val="22"/>
                <w:szCs w:val="22"/>
                <w:lang w:val="cs-CZ"/>
              </w:rPr>
              <w:t>%)</w:t>
            </w:r>
          </w:p>
        </w:tc>
      </w:tr>
      <w:tr w:rsidR="00534A2D" w14:paraId="6848EFD3" w14:textId="77777777" w:rsidTr="00F51027">
        <w:trPr>
          <w:jc w:val="center"/>
        </w:trPr>
        <w:tc>
          <w:tcPr>
            <w:tcW w:w="8527" w:type="dxa"/>
            <w:gridSpan w:val="4"/>
            <w:shd w:val="clear" w:color="auto" w:fill="auto"/>
          </w:tcPr>
          <w:p w14:paraId="0658F86A" w14:textId="77777777" w:rsidR="002F6522" w:rsidRPr="001B4A02" w:rsidRDefault="00000000" w:rsidP="00ED48A3">
            <w:pPr>
              <w:keepNext/>
              <w:keepLines/>
              <w:numPr>
                <w:ilvl w:val="0"/>
                <w:numId w:val="167"/>
              </w:numPr>
              <w:ind w:left="259" w:hanging="259"/>
              <w:rPr>
                <w:rFonts w:eastAsia="MS Mincho"/>
                <w:szCs w:val="22"/>
                <w:lang w:eastAsia="ja-JP"/>
              </w:rPr>
            </w:pPr>
            <w:r w:rsidRPr="001B4A02">
              <w:rPr>
                <w:rFonts w:eastAsia="MS Mincho"/>
                <w:szCs w:val="22"/>
                <w:lang w:eastAsia="ja-JP"/>
              </w:rPr>
              <w:t>Pacienti s alespoň částečnou odpovědí na léčbu přípravkem Humira 40</w:t>
            </w:r>
            <w:r w:rsidR="00874DE1">
              <w:rPr>
                <w:rFonts w:eastAsia="MS Mincho"/>
                <w:szCs w:val="22"/>
                <w:lang w:eastAsia="ja-JP"/>
              </w:rPr>
              <w:t> mg</w:t>
            </w:r>
            <w:r w:rsidRPr="001B4A02">
              <w:rPr>
                <w:rFonts w:eastAsia="MS Mincho"/>
                <w:szCs w:val="22"/>
                <w:lang w:eastAsia="ja-JP"/>
              </w:rPr>
              <w:t xml:space="preserve"> jednou týdně po 12 týdnech léčby.</w:t>
            </w:r>
          </w:p>
          <w:p w14:paraId="1E3EBF98" w14:textId="77777777" w:rsidR="00E7724C" w:rsidRPr="001B4A02" w:rsidRDefault="00000000" w:rsidP="00ED48A3">
            <w:pPr>
              <w:pStyle w:val="TableFootnoteLetter"/>
              <w:keepNext/>
              <w:numPr>
                <w:ilvl w:val="0"/>
                <w:numId w:val="167"/>
              </w:numPr>
              <w:spacing w:before="0" w:line="240" w:lineRule="auto"/>
              <w:ind w:left="259" w:hanging="259"/>
              <w:rPr>
                <w:rFonts w:ascii="Times New Roman" w:hAnsi="Times New Roman"/>
                <w:sz w:val="22"/>
                <w:szCs w:val="22"/>
                <w:lang w:val="cs-CZ"/>
              </w:rPr>
            </w:pPr>
            <w:r w:rsidRPr="001B4A02">
              <w:rPr>
                <w:rFonts w:ascii="Times New Roman" w:hAnsi="Times New Roman"/>
                <w:sz w:val="22"/>
                <w:szCs w:val="22"/>
                <w:lang w:val="cs-CZ"/>
              </w:rPr>
              <w:t>U</w:t>
            </w:r>
            <w:r w:rsidR="003245EC" w:rsidRPr="001B4A02">
              <w:rPr>
                <w:rFonts w:ascii="Times New Roman" w:hAnsi="Times New Roman"/>
                <w:sz w:val="22"/>
                <w:szCs w:val="22"/>
                <w:lang w:val="cs-CZ"/>
              </w:rPr>
              <w:t> </w:t>
            </w:r>
            <w:r w:rsidRPr="001B4A02">
              <w:rPr>
                <w:rFonts w:ascii="Times New Roman" w:hAnsi="Times New Roman"/>
                <w:sz w:val="22"/>
                <w:szCs w:val="22"/>
                <w:lang w:val="cs-CZ"/>
              </w:rPr>
              <w:t>pacientů vyhovující</w:t>
            </w:r>
            <w:r w:rsidR="00525073" w:rsidRPr="001B4A02">
              <w:rPr>
                <w:rFonts w:ascii="Times New Roman" w:hAnsi="Times New Roman"/>
                <w:sz w:val="22"/>
                <w:szCs w:val="22"/>
                <w:lang w:val="cs-CZ"/>
              </w:rPr>
              <w:t>ch</w:t>
            </w:r>
            <w:r w:rsidRPr="001B4A02">
              <w:rPr>
                <w:rFonts w:ascii="Times New Roman" w:hAnsi="Times New Roman"/>
                <w:sz w:val="22"/>
                <w:szCs w:val="22"/>
                <w:lang w:val="cs-CZ"/>
              </w:rPr>
              <w:t xml:space="preserve"> kritériím stanoveným v</w:t>
            </w:r>
            <w:r w:rsidR="003245EC" w:rsidRPr="001B4A02">
              <w:rPr>
                <w:rFonts w:ascii="Times New Roman" w:hAnsi="Times New Roman"/>
                <w:sz w:val="22"/>
                <w:szCs w:val="22"/>
                <w:lang w:val="cs-CZ"/>
              </w:rPr>
              <w:t> </w:t>
            </w:r>
            <w:r w:rsidRPr="001B4A02">
              <w:rPr>
                <w:rFonts w:ascii="Times New Roman" w:hAnsi="Times New Roman"/>
                <w:sz w:val="22"/>
                <w:szCs w:val="22"/>
                <w:lang w:val="cs-CZ"/>
              </w:rPr>
              <w:t>protokolu pro ztrátu odpovědi nebo žádné zlepšení bylo požadováno vyřazení ze studie</w:t>
            </w:r>
            <w:r w:rsidR="002378E0">
              <w:rPr>
                <w:rFonts w:ascii="Times New Roman" w:hAnsi="Times New Roman"/>
                <w:sz w:val="22"/>
                <w:szCs w:val="22"/>
                <w:lang w:val="cs-CZ"/>
              </w:rPr>
              <w:t xml:space="preserve"> a </w:t>
            </w:r>
            <w:r w:rsidRPr="001B4A02">
              <w:rPr>
                <w:rFonts w:ascii="Times New Roman" w:hAnsi="Times New Roman"/>
                <w:sz w:val="22"/>
                <w:szCs w:val="22"/>
                <w:lang w:val="cs-CZ"/>
              </w:rPr>
              <w:t>byli započteni jako pacienti, kteří neodpovídali na léčbu.</w:t>
            </w:r>
          </w:p>
        </w:tc>
      </w:tr>
    </w:tbl>
    <w:p w14:paraId="5125680A" w14:textId="77777777" w:rsidR="00E7724C" w:rsidRPr="001B4A02" w:rsidRDefault="00E7724C" w:rsidP="00ED48A3">
      <w:pPr>
        <w:rPr>
          <w:szCs w:val="22"/>
        </w:rPr>
      </w:pPr>
    </w:p>
    <w:p w14:paraId="2315212D" w14:textId="77777777" w:rsidR="005132DE" w:rsidRPr="001B4A02" w:rsidRDefault="00000000" w:rsidP="00ED48A3">
      <w:pPr>
        <w:ind w:left="0" w:firstLine="0"/>
        <w:rPr>
          <w:rFonts w:eastAsia="Calibri"/>
          <w:szCs w:val="22"/>
        </w:rPr>
      </w:pPr>
      <w:r w:rsidRPr="001B4A02">
        <w:rPr>
          <w:rFonts w:eastAsia="Calibri"/>
          <w:szCs w:val="22"/>
        </w:rPr>
        <w:t>U</w:t>
      </w:r>
      <w:r w:rsidR="003245EC" w:rsidRPr="001B4A02">
        <w:rPr>
          <w:rFonts w:eastAsia="Calibri"/>
          <w:szCs w:val="22"/>
        </w:rPr>
        <w:t> </w:t>
      </w:r>
      <w:r w:rsidRPr="001B4A02">
        <w:rPr>
          <w:rFonts w:eastAsia="Calibri"/>
          <w:szCs w:val="22"/>
        </w:rPr>
        <w:t>pacientů, kteří měli alespoň částečnou odpověď na léčbu v týdnu 12</w:t>
      </w:r>
      <w:r w:rsidR="002378E0">
        <w:rPr>
          <w:rFonts w:eastAsia="Calibri"/>
          <w:szCs w:val="22"/>
        </w:rPr>
        <w:t xml:space="preserve"> a </w:t>
      </w:r>
      <w:r w:rsidRPr="001B4A02">
        <w:rPr>
          <w:rFonts w:eastAsia="Calibri"/>
          <w:szCs w:val="22"/>
        </w:rPr>
        <w:t xml:space="preserve">kteří dostávali kontinuálně léčbu přípravkem Humira jednou týdně, byla v týdnu 48 hodnota HiSCR </w:t>
      </w:r>
      <w:r w:rsidR="00E44CC0" w:rsidRPr="001B4A02">
        <w:rPr>
          <w:szCs w:val="22"/>
        </w:rPr>
        <w:t>68,3 %</w:t>
      </w:r>
      <w:r w:rsidR="002378E0">
        <w:rPr>
          <w:szCs w:val="22"/>
        </w:rPr>
        <w:t xml:space="preserve"> a </w:t>
      </w:r>
      <w:r w:rsidR="00E44CC0" w:rsidRPr="001B4A02">
        <w:rPr>
          <w:szCs w:val="22"/>
        </w:rPr>
        <w:t>v</w:t>
      </w:r>
      <w:r w:rsidR="00D41D1A" w:rsidRPr="001B4A02">
        <w:rPr>
          <w:szCs w:val="22"/>
        </w:rPr>
        <w:t> </w:t>
      </w:r>
      <w:r w:rsidR="00E44CC0" w:rsidRPr="001B4A02">
        <w:rPr>
          <w:szCs w:val="22"/>
        </w:rPr>
        <w:t>týdnu 96 byla 65,1 %. Při dlouhodobější léčbě přípravkem Humira</w:t>
      </w:r>
      <w:r w:rsidR="00B947E9" w:rsidRPr="001B4A02">
        <w:rPr>
          <w:szCs w:val="22"/>
        </w:rPr>
        <w:t xml:space="preserve"> </w:t>
      </w:r>
      <w:r w:rsidR="00D532C1" w:rsidRPr="001B4A02">
        <w:rPr>
          <w:szCs w:val="22"/>
        </w:rPr>
        <w:t xml:space="preserve">v dávce </w:t>
      </w:r>
      <w:r w:rsidR="00B947E9" w:rsidRPr="001B4A02">
        <w:rPr>
          <w:szCs w:val="22"/>
        </w:rPr>
        <w:t>40</w:t>
      </w:r>
      <w:r w:rsidR="00874DE1">
        <w:rPr>
          <w:szCs w:val="22"/>
        </w:rPr>
        <w:t> mg</w:t>
      </w:r>
      <w:r w:rsidR="00E44CC0" w:rsidRPr="001B4A02">
        <w:rPr>
          <w:szCs w:val="22"/>
        </w:rPr>
        <w:t xml:space="preserve"> </w:t>
      </w:r>
      <w:r w:rsidR="00B92186" w:rsidRPr="001B4A02">
        <w:rPr>
          <w:szCs w:val="22"/>
        </w:rPr>
        <w:t xml:space="preserve">jednou </w:t>
      </w:r>
      <w:r w:rsidR="00E44CC0" w:rsidRPr="001B4A02">
        <w:rPr>
          <w:szCs w:val="22"/>
        </w:rPr>
        <w:t xml:space="preserve">týdně po dobu 96 týdnů nebyly identifikovány žádné nové </w:t>
      </w:r>
      <w:r w:rsidR="000E342D" w:rsidRPr="001B4A02">
        <w:rPr>
          <w:szCs w:val="22"/>
        </w:rPr>
        <w:t xml:space="preserve">bezpečnostní </w:t>
      </w:r>
      <w:r w:rsidR="00E44CC0" w:rsidRPr="001B4A02">
        <w:rPr>
          <w:szCs w:val="22"/>
        </w:rPr>
        <w:t>nálezy.</w:t>
      </w:r>
    </w:p>
    <w:p w14:paraId="7CA67125" w14:textId="77777777" w:rsidR="005132DE" w:rsidRPr="001B4A02" w:rsidRDefault="005132DE" w:rsidP="00ED48A3">
      <w:pPr>
        <w:ind w:left="0" w:firstLine="0"/>
        <w:rPr>
          <w:rFonts w:eastAsia="Calibri"/>
          <w:szCs w:val="22"/>
        </w:rPr>
      </w:pPr>
    </w:p>
    <w:p w14:paraId="184F8251" w14:textId="77777777" w:rsidR="005132DE" w:rsidRPr="001B4A02" w:rsidRDefault="00000000" w:rsidP="00ED48A3">
      <w:pPr>
        <w:ind w:left="0" w:firstLine="0"/>
        <w:rPr>
          <w:rFonts w:eastAsia="Calibri"/>
          <w:szCs w:val="22"/>
        </w:rPr>
      </w:pPr>
      <w:r w:rsidRPr="001B4A02">
        <w:rPr>
          <w:rFonts w:eastAsia="Calibri"/>
          <w:szCs w:val="22"/>
        </w:rPr>
        <w:t>U</w:t>
      </w:r>
      <w:r w:rsidR="003245EC" w:rsidRPr="001B4A02">
        <w:rPr>
          <w:rFonts w:eastAsia="Calibri"/>
          <w:szCs w:val="22"/>
        </w:rPr>
        <w:t> </w:t>
      </w:r>
      <w:r w:rsidRPr="001B4A02">
        <w:rPr>
          <w:rFonts w:eastAsia="Calibri"/>
          <w:szCs w:val="22"/>
        </w:rPr>
        <w:t>pacientů, u</w:t>
      </w:r>
      <w:r w:rsidR="003245EC" w:rsidRPr="001B4A02">
        <w:rPr>
          <w:rFonts w:eastAsia="Calibri"/>
          <w:szCs w:val="22"/>
        </w:rPr>
        <w:t> </w:t>
      </w:r>
      <w:r w:rsidRPr="001B4A02">
        <w:rPr>
          <w:rFonts w:eastAsia="Calibri"/>
          <w:szCs w:val="22"/>
        </w:rPr>
        <w:t>kterých byla léčba přípravkem Humira přerušena v týdnu 12 ve studiích HS-I</w:t>
      </w:r>
      <w:r w:rsidR="002378E0">
        <w:rPr>
          <w:rFonts w:eastAsia="Calibri"/>
          <w:szCs w:val="22"/>
        </w:rPr>
        <w:t xml:space="preserve"> a </w:t>
      </w:r>
      <w:r w:rsidRPr="001B4A02">
        <w:rPr>
          <w:rFonts w:eastAsia="Calibri"/>
          <w:szCs w:val="22"/>
        </w:rPr>
        <w:t>HS-II, se hodnoty HiSCR 12 týdnů po opětovném nasazení přípravku Humira 40</w:t>
      </w:r>
      <w:r w:rsidR="00874DE1">
        <w:rPr>
          <w:rFonts w:eastAsia="Calibri"/>
          <w:szCs w:val="22"/>
        </w:rPr>
        <w:t> mg</w:t>
      </w:r>
      <w:r w:rsidRPr="001B4A02">
        <w:rPr>
          <w:rFonts w:eastAsia="Calibri"/>
          <w:szCs w:val="22"/>
        </w:rPr>
        <w:t xml:space="preserve"> jednou týdně vrátily na úroveň podobnou té, která byla pozorována před vysazením (56,0</w:t>
      </w:r>
      <w:r w:rsidR="003245EC" w:rsidRPr="001B4A02">
        <w:rPr>
          <w:rFonts w:eastAsia="Calibri"/>
          <w:szCs w:val="22"/>
        </w:rPr>
        <w:t> </w:t>
      </w:r>
      <w:r w:rsidRPr="001B4A02">
        <w:rPr>
          <w:rFonts w:eastAsia="Calibri"/>
          <w:szCs w:val="22"/>
        </w:rPr>
        <w:t>%).</w:t>
      </w:r>
    </w:p>
    <w:p w14:paraId="3D472A3A" w14:textId="77777777" w:rsidR="00E7724C" w:rsidRPr="001B4A02" w:rsidRDefault="00E7724C" w:rsidP="00ED48A3">
      <w:pPr>
        <w:pStyle w:val="EMEANormal"/>
        <w:rPr>
          <w:rFonts w:eastAsia="TimesNewRoman"/>
          <w:szCs w:val="22"/>
          <w:lang w:val="cs-CZ"/>
        </w:rPr>
      </w:pPr>
    </w:p>
    <w:p w14:paraId="6E2BD3E0" w14:textId="77777777" w:rsidR="0091521C" w:rsidRPr="001B4A02" w:rsidRDefault="00000000" w:rsidP="00ED48A3">
      <w:pPr>
        <w:keepNext/>
        <w:ind w:left="0" w:firstLine="0"/>
        <w:rPr>
          <w:i/>
        </w:rPr>
      </w:pPr>
      <w:r w:rsidRPr="001B4A02">
        <w:rPr>
          <w:i/>
        </w:rPr>
        <w:t>Crohnova choroba</w:t>
      </w:r>
    </w:p>
    <w:p w14:paraId="226C2C4B" w14:textId="77777777" w:rsidR="00E7724C" w:rsidRPr="001B4A02" w:rsidRDefault="00E7724C" w:rsidP="003B610F">
      <w:pPr>
        <w:pStyle w:val="EMEANormal"/>
        <w:keepNext/>
        <w:rPr>
          <w:lang w:val="cs-CZ"/>
        </w:rPr>
      </w:pPr>
    </w:p>
    <w:p w14:paraId="2AEBECB9" w14:textId="77777777" w:rsidR="0091521C" w:rsidRPr="001B4A02" w:rsidRDefault="00000000" w:rsidP="00ED48A3">
      <w:pPr>
        <w:pStyle w:val="EMEANormal"/>
        <w:tabs>
          <w:tab w:val="clear" w:pos="562"/>
        </w:tabs>
        <w:suppressAutoHyphens w:val="0"/>
        <w:rPr>
          <w:lang w:val="cs-CZ"/>
        </w:rPr>
      </w:pPr>
      <w:r w:rsidRPr="001B4A02">
        <w:rPr>
          <w:lang w:val="cs-CZ"/>
        </w:rPr>
        <w:t>Bezpečnost</w:t>
      </w:r>
      <w:r w:rsidR="002378E0">
        <w:rPr>
          <w:lang w:val="cs-CZ"/>
        </w:rPr>
        <w:t xml:space="preserve"> a </w:t>
      </w:r>
      <w:r w:rsidRPr="001B4A02">
        <w:rPr>
          <w:lang w:val="cs-CZ"/>
        </w:rPr>
        <w:t>účinnost přípravku Humira byla ověřena u</w:t>
      </w:r>
      <w:r w:rsidR="00E91405" w:rsidRPr="001B4A02">
        <w:rPr>
          <w:lang w:val="cs-CZ"/>
        </w:rPr>
        <w:t> </w:t>
      </w:r>
      <w:r w:rsidRPr="001B4A02">
        <w:rPr>
          <w:lang w:val="cs-CZ"/>
        </w:rPr>
        <w:t>více než 1</w:t>
      </w:r>
      <w:r w:rsidR="00E91405" w:rsidRPr="001B4A02">
        <w:rPr>
          <w:lang w:val="cs-CZ"/>
        </w:rPr>
        <w:t> </w:t>
      </w:r>
      <w:r w:rsidRPr="001B4A02">
        <w:rPr>
          <w:lang w:val="cs-CZ"/>
        </w:rPr>
        <w:t xml:space="preserve">500 pacientů se středně těžkou až těžkou aktivní Crohnovou chorobou (index aktivity Crohnovy choroby (CDAI) </w:t>
      </w:r>
      <w:r w:rsidR="009D2A3C" w:rsidRPr="001B4A02">
        <w:rPr>
          <w:rFonts w:ascii="Symbol" w:hAnsi="Symbol"/>
          <w:lang w:val="cs-CZ"/>
        </w:rPr>
        <w:sym w:font="Symbol" w:char="F0B3"/>
      </w:r>
      <w:r w:rsidRPr="001B4A02">
        <w:rPr>
          <w:lang w:val="cs-CZ"/>
        </w:rPr>
        <w:t> 220</w:t>
      </w:r>
      <w:r w:rsidR="002378E0">
        <w:rPr>
          <w:lang w:val="cs-CZ"/>
        </w:rPr>
        <w:t xml:space="preserve"> a </w:t>
      </w:r>
      <w:r w:rsidRPr="001B4A02">
        <w:rPr>
          <w:rFonts w:ascii="Symbol" w:hAnsi="Symbol"/>
          <w:lang w:val="cs-CZ"/>
        </w:rPr>
        <w:sym w:font="Symbol" w:char="F0A3"/>
      </w:r>
      <w:r w:rsidRPr="001B4A02">
        <w:rPr>
          <w:lang w:val="cs-CZ"/>
        </w:rPr>
        <w:t> 450) v randomizovaných, dvojitě zaslepených, placebem kontrolovaných studiích. Bylo povoleno současné podávání konstantních dávek aminosylicylátů, kortikosteroidů a/nebo imunomodulačních léků, přičemž 80</w:t>
      </w:r>
      <w:r w:rsidR="00E91405" w:rsidRPr="001B4A02">
        <w:rPr>
          <w:lang w:val="cs-CZ"/>
        </w:rPr>
        <w:t> </w:t>
      </w:r>
      <w:r w:rsidRPr="001B4A02">
        <w:rPr>
          <w:lang w:val="cs-CZ"/>
        </w:rPr>
        <w:t>% pacientů pokračovalo v užívání nejméně jednoho z těchto léků.</w:t>
      </w:r>
    </w:p>
    <w:p w14:paraId="37E546E1" w14:textId="77777777" w:rsidR="0091521C" w:rsidRPr="001B4A02" w:rsidRDefault="0091521C" w:rsidP="00ED48A3">
      <w:pPr>
        <w:ind w:left="0" w:firstLine="0"/>
      </w:pPr>
    </w:p>
    <w:p w14:paraId="71DCFF20" w14:textId="77777777" w:rsidR="0091521C" w:rsidRPr="001B4A02" w:rsidRDefault="00000000" w:rsidP="00ED48A3">
      <w:pPr>
        <w:ind w:left="0" w:firstLine="0"/>
      </w:pPr>
      <w:r w:rsidRPr="001B4A02">
        <w:t xml:space="preserve">Indukce klinické remise (definovaná jako CDAI </w:t>
      </w:r>
      <w:r w:rsidRPr="001B4A02">
        <w:rPr>
          <w:rFonts w:ascii="Symbol" w:hAnsi="Symbol"/>
        </w:rPr>
        <w:sym w:font="Symbol" w:char="F03C"/>
      </w:r>
      <w:r w:rsidRPr="001B4A02">
        <w:t> 150) byla hodnocena ve dvou studiích, studii CD I (CLASSIC I)</w:t>
      </w:r>
      <w:r w:rsidR="002378E0">
        <w:t xml:space="preserve"> a </w:t>
      </w:r>
      <w:r w:rsidRPr="001B4A02">
        <w:t>studii CD II (GAIN). Ve studii CD I bylo 299 pacientů dosud neléčených TNF-antagonisty randomizováno do jedné ze čtyř terapeutických s</w:t>
      </w:r>
      <w:r w:rsidR="007978AF">
        <w:t>k</w:t>
      </w:r>
      <w:r w:rsidRPr="001B4A02">
        <w:t>upin; pacienti užívající placebo v týdnech 0</w:t>
      </w:r>
      <w:r w:rsidR="002378E0">
        <w:t xml:space="preserve"> a </w:t>
      </w:r>
      <w:r w:rsidRPr="001B4A02">
        <w:t xml:space="preserve">2, </w:t>
      </w:r>
      <w:r w:rsidR="005D5238" w:rsidRPr="001B4A02">
        <w:t>po</w:t>
      </w:r>
      <w:r w:rsidRPr="001B4A02">
        <w:t>užívající přípravek Humira v dávce 160</w:t>
      </w:r>
      <w:r w:rsidR="00874DE1">
        <w:t> mg</w:t>
      </w:r>
      <w:r w:rsidRPr="001B4A02">
        <w:t xml:space="preserve"> v týdnu 0</w:t>
      </w:r>
      <w:r w:rsidR="002378E0">
        <w:t xml:space="preserve"> a </w:t>
      </w:r>
      <w:r w:rsidRPr="001B4A02">
        <w:t>80 mg v týdnu 2, nebo 80 mg v</w:t>
      </w:r>
      <w:r w:rsidR="00E91405" w:rsidRPr="001B4A02">
        <w:t> </w:t>
      </w:r>
      <w:r w:rsidRPr="001B4A02">
        <w:t>týdnu 0</w:t>
      </w:r>
      <w:r w:rsidR="002378E0">
        <w:t xml:space="preserve"> a </w:t>
      </w:r>
      <w:r w:rsidRPr="001B4A02">
        <w:t>40 mg v týdnu 2, případně 40 mg v týdnu 0</w:t>
      </w:r>
      <w:r w:rsidR="002378E0">
        <w:t xml:space="preserve"> a </w:t>
      </w:r>
      <w:r w:rsidRPr="001B4A02">
        <w:t>20 mg týdnu 2. Ve studii CD II bylo 325 pacientů, u</w:t>
      </w:r>
      <w:r w:rsidR="00E91405" w:rsidRPr="001B4A02">
        <w:t> </w:t>
      </w:r>
      <w:r w:rsidRPr="001B4A02">
        <w:t xml:space="preserve">kterých došlo ke ztrátě odpovědi či k rozvoji intolerance na infliximab, randomizováno do skupin, kdy </w:t>
      </w:r>
      <w:r w:rsidR="005D5238" w:rsidRPr="001B4A02">
        <w:t>po</w:t>
      </w:r>
      <w:r w:rsidRPr="001B4A02">
        <w:t>užívali buď přípravek Humira v dávce 160 mg v týdnu 0</w:t>
      </w:r>
      <w:r w:rsidR="002378E0">
        <w:t xml:space="preserve"> a </w:t>
      </w:r>
      <w:r w:rsidRPr="001B4A02">
        <w:t>80 mg v týdnu 2</w:t>
      </w:r>
      <w:r w:rsidR="00E91405" w:rsidRPr="001B4A02">
        <w:t>,</w:t>
      </w:r>
      <w:r w:rsidRPr="001B4A02">
        <w:t xml:space="preserve"> nebo placebo v týdnech 0</w:t>
      </w:r>
      <w:r w:rsidR="002378E0">
        <w:t xml:space="preserve"> a </w:t>
      </w:r>
      <w:r w:rsidRPr="001B4A02">
        <w:t>2. Primárně na léčbu neodpovídající pacienti byli ze studií vyřazení,</w:t>
      </w:r>
      <w:r w:rsidR="002378E0">
        <w:t xml:space="preserve"> a </w:t>
      </w:r>
      <w:r w:rsidRPr="001B4A02">
        <w:t>proto nebyli dále hodnoceni.</w:t>
      </w:r>
    </w:p>
    <w:p w14:paraId="46346337" w14:textId="77777777" w:rsidR="0091521C" w:rsidRPr="001B4A02" w:rsidRDefault="0091521C" w:rsidP="00ED48A3">
      <w:pPr>
        <w:ind w:left="0" w:firstLine="0"/>
      </w:pPr>
    </w:p>
    <w:p w14:paraId="62CF00BB" w14:textId="77777777" w:rsidR="0091521C" w:rsidRPr="001B4A02" w:rsidRDefault="00000000" w:rsidP="00ED48A3">
      <w:pPr>
        <w:ind w:left="0" w:firstLine="0"/>
      </w:pPr>
      <w:r w:rsidRPr="001B4A02">
        <w:t xml:space="preserve">Přetrvávání klinické remise bylo hodnoceno ve studii CD III (CHARM). V nezaslepené fázi studie CD III </w:t>
      </w:r>
      <w:r w:rsidR="005D5238" w:rsidRPr="001B4A02">
        <w:t>po</w:t>
      </w:r>
      <w:r w:rsidRPr="001B4A02">
        <w:t>užívalo 854 pacientů dávku 80 mg v týdnu 0</w:t>
      </w:r>
      <w:r w:rsidR="002378E0">
        <w:t xml:space="preserve"> a </w:t>
      </w:r>
      <w:r w:rsidRPr="001B4A02">
        <w:t xml:space="preserve">40 mg v týdnu 2. V týdnu 4 byli pacienti randomizováni do skupin, kdy </w:t>
      </w:r>
      <w:r w:rsidR="005D5238" w:rsidRPr="001B4A02">
        <w:t>po</w:t>
      </w:r>
      <w:r w:rsidRPr="001B4A02">
        <w:t xml:space="preserve">užívali buď 40 mg každý druhý týden, 40 mg každý týden nebo placebo při celkové délce trvání studie 56 týdnů. Pacienti s klinickou odpovědí na léčbu v týdnu 4 (pokles CDAI </w:t>
      </w:r>
      <w:r w:rsidR="009D2A3C" w:rsidRPr="001B4A02">
        <w:rPr>
          <w:rFonts w:ascii="Symbol" w:hAnsi="Symbol"/>
        </w:rPr>
        <w:sym w:font="Symbol" w:char="F0B3"/>
      </w:r>
      <w:r w:rsidRPr="001B4A02">
        <w:t> 70) byli stratifikováni</w:t>
      </w:r>
      <w:r w:rsidR="002378E0">
        <w:t xml:space="preserve"> a </w:t>
      </w:r>
      <w:r w:rsidRPr="001B4A02">
        <w:t>hodnoceni odděleně od těch, kteří v týdnu 4 klinické odpovědi nedosáhli. Snižování dávek kortikosteroidů bylo povoleno po týdnu 8.</w:t>
      </w:r>
    </w:p>
    <w:p w14:paraId="3A5BF846" w14:textId="77777777" w:rsidR="0091521C" w:rsidRPr="001B4A02" w:rsidRDefault="0091521C" w:rsidP="00ED48A3">
      <w:pPr>
        <w:pStyle w:val="EMEANormal"/>
        <w:rPr>
          <w:lang w:val="cs-CZ"/>
        </w:rPr>
      </w:pPr>
    </w:p>
    <w:p w14:paraId="7550764F" w14:textId="77777777" w:rsidR="00E7724C" w:rsidRPr="001B4A02" w:rsidRDefault="00000000" w:rsidP="00ED48A3">
      <w:pPr>
        <w:pStyle w:val="EMEANormal"/>
        <w:rPr>
          <w:lang w:val="cs-CZ"/>
        </w:rPr>
      </w:pPr>
      <w:r w:rsidRPr="001B4A02">
        <w:rPr>
          <w:lang w:val="cs-CZ"/>
        </w:rPr>
        <w:t>Indukce remise</w:t>
      </w:r>
      <w:r w:rsidR="002378E0">
        <w:rPr>
          <w:lang w:val="cs-CZ"/>
        </w:rPr>
        <w:t xml:space="preserve"> a </w:t>
      </w:r>
      <w:r w:rsidRPr="001B4A02">
        <w:rPr>
          <w:lang w:val="cs-CZ"/>
        </w:rPr>
        <w:t>četnost odpovědí ve studiích CD I</w:t>
      </w:r>
      <w:r w:rsidR="002378E0">
        <w:rPr>
          <w:lang w:val="cs-CZ"/>
        </w:rPr>
        <w:t xml:space="preserve"> a </w:t>
      </w:r>
      <w:r w:rsidRPr="001B4A02">
        <w:rPr>
          <w:lang w:val="cs-CZ"/>
        </w:rPr>
        <w:t xml:space="preserve">CD II uvádí tabulka </w:t>
      </w:r>
      <w:r w:rsidR="00E331EB">
        <w:rPr>
          <w:lang w:val="cs-CZ"/>
        </w:rPr>
        <w:t>14</w:t>
      </w:r>
      <w:r w:rsidRPr="001B4A02">
        <w:rPr>
          <w:lang w:val="cs-CZ"/>
        </w:rPr>
        <w:t>.</w:t>
      </w:r>
    </w:p>
    <w:p w14:paraId="2AD7AF95" w14:textId="77777777" w:rsidR="00E7724C" w:rsidRPr="001B4A02" w:rsidRDefault="00E7724C" w:rsidP="00E93420">
      <w:pPr>
        <w:pStyle w:val="EMEANormal"/>
        <w:rPr>
          <w:lang w:val="cs-CZ"/>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1"/>
        <w:gridCol w:w="1192"/>
        <w:gridCol w:w="1249"/>
        <w:gridCol w:w="1310"/>
        <w:gridCol w:w="1360"/>
        <w:gridCol w:w="1816"/>
      </w:tblGrid>
      <w:tr w:rsidR="00534A2D" w14:paraId="45FC3517" w14:textId="77777777" w:rsidTr="00AE7CA4">
        <w:trPr>
          <w:cantSplit/>
        </w:trPr>
        <w:tc>
          <w:tcPr>
            <w:tcW w:w="9238" w:type="dxa"/>
            <w:gridSpan w:val="6"/>
            <w:tcBorders>
              <w:top w:val="nil"/>
              <w:left w:val="nil"/>
              <w:right w:val="nil"/>
            </w:tcBorders>
          </w:tcPr>
          <w:p w14:paraId="2F77BCC6" w14:textId="77777777" w:rsidR="00E7724C" w:rsidRPr="001B4A02" w:rsidRDefault="00000000" w:rsidP="00F1755A">
            <w:pPr>
              <w:pStyle w:val="TableText"/>
              <w:spacing w:before="0" w:after="0" w:line="240" w:lineRule="auto"/>
              <w:jc w:val="center"/>
              <w:rPr>
                <w:b/>
                <w:bCs/>
                <w:sz w:val="22"/>
                <w:szCs w:val="22"/>
                <w:lang w:val="cs-CZ"/>
              </w:rPr>
            </w:pPr>
            <w:r w:rsidRPr="001B4A02">
              <w:rPr>
                <w:b/>
                <w:bCs/>
                <w:sz w:val="22"/>
                <w:szCs w:val="22"/>
                <w:lang w:val="cs-CZ"/>
              </w:rPr>
              <w:t xml:space="preserve">Tabulka </w:t>
            </w:r>
            <w:r w:rsidR="00E331EB">
              <w:rPr>
                <w:b/>
                <w:bCs/>
                <w:sz w:val="22"/>
                <w:szCs w:val="22"/>
                <w:lang w:val="cs-CZ"/>
              </w:rPr>
              <w:t>14</w:t>
            </w:r>
          </w:p>
          <w:p w14:paraId="1F91C303" w14:textId="77777777" w:rsidR="006764B2" w:rsidRPr="001B4A02" w:rsidRDefault="00000000" w:rsidP="00F1755A">
            <w:pPr>
              <w:keepNext/>
              <w:ind w:left="0" w:firstLine="0"/>
              <w:jc w:val="center"/>
              <w:rPr>
                <w:b/>
                <w:bCs/>
                <w:szCs w:val="22"/>
              </w:rPr>
            </w:pPr>
            <w:r w:rsidRPr="001B4A02">
              <w:rPr>
                <w:b/>
                <w:bCs/>
                <w:szCs w:val="22"/>
              </w:rPr>
              <w:t>Indukce klinické remise</w:t>
            </w:r>
            <w:r w:rsidR="002378E0">
              <w:rPr>
                <w:b/>
                <w:bCs/>
                <w:szCs w:val="22"/>
              </w:rPr>
              <w:t xml:space="preserve"> a </w:t>
            </w:r>
            <w:r w:rsidRPr="001B4A02">
              <w:rPr>
                <w:b/>
                <w:bCs/>
                <w:szCs w:val="22"/>
              </w:rPr>
              <w:t>odpověd</w:t>
            </w:r>
            <w:r w:rsidR="00A34706">
              <w:rPr>
                <w:b/>
                <w:bCs/>
                <w:szCs w:val="22"/>
              </w:rPr>
              <w:t>i</w:t>
            </w:r>
          </w:p>
          <w:p w14:paraId="35F2FDB7" w14:textId="77777777" w:rsidR="006764B2" w:rsidRPr="001B4A02" w:rsidRDefault="00000000" w:rsidP="00F1755A">
            <w:pPr>
              <w:keepNext/>
              <w:ind w:left="0" w:firstLine="0"/>
              <w:jc w:val="center"/>
              <w:rPr>
                <w:szCs w:val="22"/>
              </w:rPr>
            </w:pPr>
            <w:r w:rsidRPr="001B4A02">
              <w:rPr>
                <w:b/>
                <w:bCs/>
                <w:szCs w:val="22"/>
              </w:rPr>
              <w:t>(Procento pacientů)</w:t>
            </w:r>
          </w:p>
        </w:tc>
      </w:tr>
      <w:tr w:rsidR="00534A2D" w14:paraId="7BE775CB" w14:textId="77777777" w:rsidTr="00AE7CA4">
        <w:trPr>
          <w:cantSplit/>
        </w:trPr>
        <w:tc>
          <w:tcPr>
            <w:tcW w:w="2311" w:type="dxa"/>
          </w:tcPr>
          <w:p w14:paraId="778D8480" w14:textId="77777777" w:rsidR="006764B2" w:rsidRPr="001B4A02" w:rsidRDefault="006764B2" w:rsidP="00F1755A">
            <w:pPr>
              <w:pStyle w:val="TableText"/>
              <w:spacing w:before="0" w:after="0" w:line="240" w:lineRule="auto"/>
              <w:rPr>
                <w:b/>
                <w:bCs/>
                <w:sz w:val="22"/>
                <w:szCs w:val="22"/>
                <w:lang w:val="cs-CZ"/>
              </w:rPr>
            </w:pPr>
          </w:p>
        </w:tc>
        <w:tc>
          <w:tcPr>
            <w:tcW w:w="3751" w:type="dxa"/>
            <w:gridSpan w:val="3"/>
          </w:tcPr>
          <w:p w14:paraId="0B2117D7" w14:textId="77777777" w:rsidR="006764B2" w:rsidRPr="001B4A02" w:rsidRDefault="00000000" w:rsidP="00F1755A">
            <w:pPr>
              <w:pStyle w:val="TableText"/>
              <w:spacing w:before="0" w:after="0" w:line="240" w:lineRule="auto"/>
              <w:jc w:val="center"/>
              <w:rPr>
                <w:b/>
                <w:bCs/>
                <w:sz w:val="22"/>
                <w:szCs w:val="22"/>
                <w:lang w:val="cs-CZ"/>
              </w:rPr>
            </w:pPr>
            <w:r w:rsidRPr="001B4A02">
              <w:rPr>
                <w:b/>
                <w:bCs/>
                <w:sz w:val="22"/>
                <w:szCs w:val="22"/>
                <w:lang w:val="cs-CZ"/>
              </w:rPr>
              <w:t>Studie CD I: Pacienti dosud neléčení infliximabem</w:t>
            </w:r>
          </w:p>
        </w:tc>
        <w:tc>
          <w:tcPr>
            <w:tcW w:w="3176" w:type="dxa"/>
            <w:gridSpan w:val="2"/>
          </w:tcPr>
          <w:p w14:paraId="0F9C57F8" w14:textId="77777777" w:rsidR="006764B2" w:rsidRPr="001B4A02" w:rsidRDefault="00000000" w:rsidP="00F1755A">
            <w:pPr>
              <w:pStyle w:val="TableText"/>
              <w:spacing w:before="0" w:after="0" w:line="240" w:lineRule="auto"/>
              <w:jc w:val="center"/>
              <w:rPr>
                <w:b/>
                <w:bCs/>
                <w:sz w:val="22"/>
                <w:szCs w:val="22"/>
                <w:lang w:val="cs-CZ"/>
              </w:rPr>
            </w:pPr>
            <w:r w:rsidRPr="001B4A02">
              <w:rPr>
                <w:b/>
                <w:bCs/>
                <w:sz w:val="22"/>
                <w:szCs w:val="22"/>
                <w:lang w:val="cs-CZ"/>
              </w:rPr>
              <w:t>Studie CD: Pacienti dříve léčení infliximabem</w:t>
            </w:r>
          </w:p>
        </w:tc>
      </w:tr>
      <w:tr w:rsidR="00534A2D" w14:paraId="1EC11DE6" w14:textId="77777777" w:rsidTr="00AE7CA4">
        <w:trPr>
          <w:cantSplit/>
        </w:trPr>
        <w:tc>
          <w:tcPr>
            <w:tcW w:w="2311" w:type="dxa"/>
          </w:tcPr>
          <w:p w14:paraId="799EEF7E" w14:textId="77777777" w:rsidR="006764B2" w:rsidRPr="001B4A02" w:rsidRDefault="006764B2" w:rsidP="00F1755A">
            <w:pPr>
              <w:pStyle w:val="TableText"/>
              <w:spacing w:before="0" w:after="0" w:line="240" w:lineRule="auto"/>
              <w:jc w:val="center"/>
              <w:rPr>
                <w:b/>
                <w:bCs/>
                <w:sz w:val="22"/>
                <w:szCs w:val="22"/>
                <w:lang w:val="cs-CZ"/>
              </w:rPr>
            </w:pPr>
          </w:p>
        </w:tc>
        <w:tc>
          <w:tcPr>
            <w:tcW w:w="1192" w:type="dxa"/>
          </w:tcPr>
          <w:p w14:paraId="6156B3A0" w14:textId="77777777" w:rsidR="006764B2" w:rsidRPr="001B4A02" w:rsidRDefault="00000000" w:rsidP="00F1755A">
            <w:pPr>
              <w:keepNext/>
              <w:ind w:left="0" w:firstLine="0"/>
              <w:jc w:val="center"/>
              <w:rPr>
                <w:b/>
                <w:bCs/>
                <w:szCs w:val="22"/>
              </w:rPr>
            </w:pPr>
            <w:r w:rsidRPr="001B4A02">
              <w:rPr>
                <w:b/>
                <w:bCs/>
                <w:szCs w:val="22"/>
              </w:rPr>
              <w:t>Placebo</w:t>
            </w:r>
          </w:p>
          <w:p w14:paraId="5635EEE5" w14:textId="77777777" w:rsidR="006764B2" w:rsidRPr="001B4A02" w:rsidRDefault="00000000" w:rsidP="00F1755A">
            <w:pPr>
              <w:pStyle w:val="TableText"/>
              <w:spacing w:before="0" w:after="0" w:line="240" w:lineRule="auto"/>
              <w:jc w:val="center"/>
              <w:rPr>
                <w:b/>
                <w:bCs/>
                <w:sz w:val="22"/>
                <w:szCs w:val="22"/>
                <w:lang w:val="cs-CZ"/>
              </w:rPr>
            </w:pPr>
            <w:r>
              <w:rPr>
                <w:b/>
                <w:bCs/>
                <w:sz w:val="22"/>
                <w:szCs w:val="22"/>
                <w:lang w:val="cs-CZ"/>
              </w:rPr>
              <w:t>n</w:t>
            </w:r>
            <w:r w:rsidRPr="001B4A02">
              <w:rPr>
                <w:b/>
                <w:bCs/>
                <w:sz w:val="22"/>
                <w:szCs w:val="22"/>
                <w:lang w:val="cs-CZ"/>
              </w:rPr>
              <w:t>=74</w:t>
            </w:r>
          </w:p>
        </w:tc>
        <w:tc>
          <w:tcPr>
            <w:tcW w:w="1249" w:type="dxa"/>
          </w:tcPr>
          <w:p w14:paraId="6E1AA500" w14:textId="77777777" w:rsidR="006764B2" w:rsidRPr="001B4A02" w:rsidRDefault="00000000" w:rsidP="00F1755A">
            <w:pPr>
              <w:keepNext/>
              <w:ind w:left="0" w:firstLine="0"/>
              <w:jc w:val="center"/>
              <w:rPr>
                <w:b/>
                <w:bCs/>
                <w:szCs w:val="22"/>
              </w:rPr>
            </w:pPr>
            <w:r w:rsidRPr="001B4A02">
              <w:rPr>
                <w:b/>
                <w:bCs/>
                <w:szCs w:val="22"/>
              </w:rPr>
              <w:t>Humira 80/40 mg</w:t>
            </w:r>
          </w:p>
          <w:p w14:paraId="0F38DABA" w14:textId="77777777" w:rsidR="006764B2" w:rsidRPr="001B4A02" w:rsidRDefault="00000000" w:rsidP="00F1755A">
            <w:pPr>
              <w:pStyle w:val="TableText"/>
              <w:spacing w:before="0" w:after="0" w:line="240" w:lineRule="auto"/>
              <w:jc w:val="center"/>
              <w:rPr>
                <w:b/>
                <w:bCs/>
                <w:sz w:val="22"/>
                <w:szCs w:val="22"/>
                <w:lang w:val="cs-CZ"/>
              </w:rPr>
            </w:pPr>
            <w:r>
              <w:rPr>
                <w:b/>
                <w:bCs/>
                <w:sz w:val="22"/>
                <w:szCs w:val="22"/>
                <w:lang w:val="cs-CZ"/>
              </w:rPr>
              <w:t>n</w:t>
            </w:r>
            <w:r w:rsidRPr="001B4A02">
              <w:rPr>
                <w:b/>
                <w:bCs/>
                <w:sz w:val="22"/>
                <w:szCs w:val="22"/>
                <w:lang w:val="cs-CZ"/>
              </w:rPr>
              <w:t>=75</w:t>
            </w:r>
          </w:p>
        </w:tc>
        <w:tc>
          <w:tcPr>
            <w:tcW w:w="1310" w:type="dxa"/>
          </w:tcPr>
          <w:p w14:paraId="132BD070" w14:textId="77777777" w:rsidR="006764B2" w:rsidRPr="001B4A02" w:rsidRDefault="00000000" w:rsidP="00F1755A">
            <w:pPr>
              <w:keepNext/>
              <w:ind w:left="0" w:firstLine="0"/>
              <w:jc w:val="center"/>
              <w:rPr>
                <w:b/>
                <w:bCs/>
                <w:szCs w:val="22"/>
              </w:rPr>
            </w:pPr>
            <w:r w:rsidRPr="001B4A02">
              <w:rPr>
                <w:b/>
                <w:bCs/>
                <w:szCs w:val="22"/>
              </w:rPr>
              <w:t>Humira 160/80 mg</w:t>
            </w:r>
          </w:p>
          <w:p w14:paraId="12E81B60" w14:textId="77777777" w:rsidR="006764B2" w:rsidRPr="001B4A02" w:rsidRDefault="00000000" w:rsidP="00F1755A">
            <w:pPr>
              <w:pStyle w:val="TableText"/>
              <w:spacing w:before="0" w:after="0" w:line="240" w:lineRule="auto"/>
              <w:jc w:val="center"/>
              <w:rPr>
                <w:b/>
                <w:bCs/>
                <w:sz w:val="22"/>
                <w:szCs w:val="22"/>
                <w:lang w:val="cs-CZ"/>
              </w:rPr>
            </w:pPr>
            <w:r>
              <w:rPr>
                <w:b/>
                <w:bCs/>
                <w:sz w:val="22"/>
                <w:szCs w:val="22"/>
                <w:lang w:val="cs-CZ"/>
              </w:rPr>
              <w:t>n</w:t>
            </w:r>
            <w:r w:rsidRPr="001B4A02">
              <w:rPr>
                <w:b/>
                <w:bCs/>
                <w:sz w:val="22"/>
                <w:szCs w:val="22"/>
                <w:lang w:val="cs-CZ"/>
              </w:rPr>
              <w:t>=76</w:t>
            </w:r>
          </w:p>
        </w:tc>
        <w:tc>
          <w:tcPr>
            <w:tcW w:w="1360" w:type="dxa"/>
          </w:tcPr>
          <w:p w14:paraId="6D6EFEAD" w14:textId="77777777" w:rsidR="006764B2" w:rsidRPr="001B4A02" w:rsidRDefault="00000000" w:rsidP="00F1755A">
            <w:pPr>
              <w:keepNext/>
              <w:ind w:left="0" w:firstLine="0"/>
              <w:jc w:val="center"/>
              <w:rPr>
                <w:b/>
                <w:bCs/>
                <w:szCs w:val="22"/>
              </w:rPr>
            </w:pPr>
            <w:r w:rsidRPr="001B4A02">
              <w:rPr>
                <w:b/>
                <w:bCs/>
                <w:szCs w:val="22"/>
              </w:rPr>
              <w:t>Placebo</w:t>
            </w:r>
          </w:p>
          <w:p w14:paraId="562D13A7" w14:textId="77777777" w:rsidR="006764B2" w:rsidRPr="001B4A02" w:rsidRDefault="00000000" w:rsidP="00F1755A">
            <w:pPr>
              <w:pStyle w:val="TableText"/>
              <w:spacing w:before="0" w:after="0" w:line="240" w:lineRule="auto"/>
              <w:jc w:val="center"/>
              <w:rPr>
                <w:b/>
                <w:bCs/>
                <w:sz w:val="22"/>
                <w:szCs w:val="22"/>
                <w:lang w:val="cs-CZ"/>
              </w:rPr>
            </w:pPr>
            <w:r>
              <w:rPr>
                <w:b/>
                <w:bCs/>
                <w:sz w:val="22"/>
                <w:szCs w:val="22"/>
                <w:lang w:val="cs-CZ"/>
              </w:rPr>
              <w:t>n</w:t>
            </w:r>
            <w:r w:rsidRPr="001B4A02">
              <w:rPr>
                <w:b/>
                <w:bCs/>
                <w:sz w:val="22"/>
                <w:szCs w:val="22"/>
                <w:lang w:val="cs-CZ"/>
              </w:rPr>
              <w:t>=166</w:t>
            </w:r>
          </w:p>
        </w:tc>
        <w:tc>
          <w:tcPr>
            <w:tcW w:w="1816" w:type="dxa"/>
          </w:tcPr>
          <w:p w14:paraId="1A57E196" w14:textId="77777777" w:rsidR="006764B2" w:rsidRPr="001B4A02" w:rsidRDefault="00000000" w:rsidP="00F1755A">
            <w:pPr>
              <w:keepNext/>
              <w:ind w:left="0" w:firstLine="0"/>
              <w:jc w:val="center"/>
              <w:rPr>
                <w:b/>
                <w:bCs/>
                <w:szCs w:val="22"/>
              </w:rPr>
            </w:pPr>
            <w:r w:rsidRPr="001B4A02">
              <w:rPr>
                <w:b/>
                <w:bCs/>
                <w:szCs w:val="22"/>
              </w:rPr>
              <w:t>Humira 160/80 mg</w:t>
            </w:r>
          </w:p>
          <w:p w14:paraId="3875EAE5" w14:textId="77777777" w:rsidR="006764B2" w:rsidRPr="001B4A02" w:rsidRDefault="00000000" w:rsidP="00F1755A">
            <w:pPr>
              <w:pStyle w:val="TableText"/>
              <w:spacing w:before="0" w:after="0" w:line="240" w:lineRule="auto"/>
              <w:jc w:val="center"/>
              <w:rPr>
                <w:b/>
                <w:bCs/>
                <w:sz w:val="22"/>
                <w:szCs w:val="22"/>
                <w:lang w:val="cs-CZ"/>
              </w:rPr>
            </w:pPr>
            <w:r>
              <w:rPr>
                <w:b/>
                <w:bCs/>
                <w:sz w:val="22"/>
                <w:szCs w:val="22"/>
                <w:lang w:val="cs-CZ"/>
              </w:rPr>
              <w:t>n</w:t>
            </w:r>
            <w:r w:rsidRPr="001B4A02">
              <w:rPr>
                <w:b/>
                <w:bCs/>
                <w:sz w:val="22"/>
                <w:szCs w:val="22"/>
                <w:lang w:val="cs-CZ"/>
              </w:rPr>
              <w:t>=159</w:t>
            </w:r>
          </w:p>
        </w:tc>
      </w:tr>
      <w:tr w:rsidR="00534A2D" w14:paraId="14F0BBF8" w14:textId="77777777" w:rsidTr="00F51027">
        <w:trPr>
          <w:cantSplit/>
        </w:trPr>
        <w:tc>
          <w:tcPr>
            <w:tcW w:w="2311" w:type="dxa"/>
          </w:tcPr>
          <w:p w14:paraId="71A4B7B3" w14:textId="77777777" w:rsidR="006764B2" w:rsidRPr="001B4A02" w:rsidRDefault="00000000" w:rsidP="00F1755A">
            <w:pPr>
              <w:pStyle w:val="TableText"/>
              <w:spacing w:before="0" w:after="0" w:line="240" w:lineRule="auto"/>
              <w:rPr>
                <w:sz w:val="22"/>
                <w:szCs w:val="22"/>
                <w:lang w:val="cs-CZ"/>
              </w:rPr>
            </w:pPr>
            <w:r w:rsidRPr="001B4A02">
              <w:rPr>
                <w:sz w:val="22"/>
                <w:szCs w:val="22"/>
                <w:lang w:val="cs-CZ"/>
              </w:rPr>
              <w:t>Týden 4</w:t>
            </w:r>
          </w:p>
        </w:tc>
        <w:tc>
          <w:tcPr>
            <w:tcW w:w="1192" w:type="dxa"/>
          </w:tcPr>
          <w:p w14:paraId="5728423D" w14:textId="77777777" w:rsidR="006764B2" w:rsidRPr="001B4A02" w:rsidRDefault="006764B2" w:rsidP="00F1755A">
            <w:pPr>
              <w:pStyle w:val="TableText"/>
              <w:spacing w:before="0" w:after="0" w:line="240" w:lineRule="auto"/>
              <w:jc w:val="center"/>
              <w:rPr>
                <w:sz w:val="22"/>
                <w:szCs w:val="22"/>
                <w:lang w:val="cs-CZ"/>
              </w:rPr>
            </w:pPr>
          </w:p>
        </w:tc>
        <w:tc>
          <w:tcPr>
            <w:tcW w:w="1249" w:type="dxa"/>
          </w:tcPr>
          <w:p w14:paraId="3E8213DF" w14:textId="77777777" w:rsidR="006764B2" w:rsidRPr="001B4A02" w:rsidRDefault="006764B2" w:rsidP="00F1755A">
            <w:pPr>
              <w:pStyle w:val="TableText"/>
              <w:spacing w:before="0" w:after="0" w:line="240" w:lineRule="auto"/>
              <w:jc w:val="center"/>
              <w:rPr>
                <w:sz w:val="22"/>
                <w:szCs w:val="22"/>
                <w:lang w:val="cs-CZ"/>
              </w:rPr>
            </w:pPr>
          </w:p>
        </w:tc>
        <w:tc>
          <w:tcPr>
            <w:tcW w:w="1310" w:type="dxa"/>
          </w:tcPr>
          <w:p w14:paraId="1F413991" w14:textId="77777777" w:rsidR="006764B2" w:rsidRPr="001B4A02" w:rsidRDefault="006764B2" w:rsidP="00F1755A">
            <w:pPr>
              <w:pStyle w:val="TableText"/>
              <w:spacing w:before="0" w:after="0" w:line="240" w:lineRule="auto"/>
              <w:jc w:val="center"/>
              <w:rPr>
                <w:sz w:val="22"/>
                <w:szCs w:val="22"/>
                <w:lang w:val="cs-CZ"/>
              </w:rPr>
            </w:pPr>
          </w:p>
        </w:tc>
        <w:tc>
          <w:tcPr>
            <w:tcW w:w="1360" w:type="dxa"/>
          </w:tcPr>
          <w:p w14:paraId="244A2434" w14:textId="77777777" w:rsidR="006764B2" w:rsidRPr="001B4A02" w:rsidRDefault="006764B2" w:rsidP="00F1755A">
            <w:pPr>
              <w:pStyle w:val="TableText"/>
              <w:spacing w:before="0" w:after="0" w:line="240" w:lineRule="auto"/>
              <w:jc w:val="center"/>
              <w:rPr>
                <w:sz w:val="22"/>
                <w:szCs w:val="22"/>
                <w:lang w:val="cs-CZ"/>
              </w:rPr>
            </w:pPr>
          </w:p>
        </w:tc>
        <w:tc>
          <w:tcPr>
            <w:tcW w:w="1816" w:type="dxa"/>
          </w:tcPr>
          <w:p w14:paraId="4B5B9F07" w14:textId="77777777" w:rsidR="006764B2" w:rsidRPr="001B4A02" w:rsidRDefault="006764B2" w:rsidP="00F1755A">
            <w:pPr>
              <w:pStyle w:val="TableText"/>
              <w:spacing w:before="0" w:after="0" w:line="240" w:lineRule="auto"/>
              <w:jc w:val="center"/>
              <w:rPr>
                <w:sz w:val="22"/>
                <w:szCs w:val="22"/>
                <w:lang w:val="cs-CZ"/>
              </w:rPr>
            </w:pPr>
          </w:p>
        </w:tc>
      </w:tr>
      <w:tr w:rsidR="00534A2D" w14:paraId="76C3ACBE" w14:textId="77777777" w:rsidTr="00F51027">
        <w:trPr>
          <w:cantSplit/>
        </w:trPr>
        <w:tc>
          <w:tcPr>
            <w:tcW w:w="2311" w:type="dxa"/>
          </w:tcPr>
          <w:p w14:paraId="7267C633" w14:textId="77777777" w:rsidR="006764B2" w:rsidRPr="001B4A02" w:rsidRDefault="00000000" w:rsidP="00F1755A">
            <w:pPr>
              <w:pStyle w:val="TableText"/>
              <w:spacing w:before="0" w:after="0" w:line="240" w:lineRule="auto"/>
              <w:rPr>
                <w:sz w:val="22"/>
                <w:szCs w:val="22"/>
                <w:lang w:val="cs-CZ"/>
              </w:rPr>
            </w:pPr>
            <w:r w:rsidRPr="001B4A02">
              <w:rPr>
                <w:sz w:val="22"/>
                <w:szCs w:val="22"/>
                <w:lang w:val="cs-CZ"/>
              </w:rPr>
              <w:t>Klinická remise</w:t>
            </w:r>
          </w:p>
        </w:tc>
        <w:tc>
          <w:tcPr>
            <w:tcW w:w="1192" w:type="dxa"/>
          </w:tcPr>
          <w:p w14:paraId="122B79B5" w14:textId="77777777" w:rsidR="006764B2" w:rsidRPr="001B4A02" w:rsidRDefault="00000000" w:rsidP="00F1755A">
            <w:pPr>
              <w:pStyle w:val="TableText"/>
              <w:spacing w:before="0" w:after="0" w:line="240" w:lineRule="auto"/>
              <w:jc w:val="center"/>
              <w:rPr>
                <w:sz w:val="22"/>
                <w:szCs w:val="22"/>
                <w:lang w:val="cs-CZ"/>
              </w:rPr>
            </w:pPr>
            <w:r w:rsidRPr="001B4A02">
              <w:rPr>
                <w:sz w:val="22"/>
                <w:szCs w:val="22"/>
                <w:lang w:val="cs-CZ"/>
              </w:rPr>
              <w:t>12</w:t>
            </w:r>
            <w:r w:rsidR="00E91405" w:rsidRPr="001B4A02">
              <w:rPr>
                <w:sz w:val="22"/>
                <w:szCs w:val="22"/>
                <w:lang w:val="cs-CZ"/>
              </w:rPr>
              <w:t> </w:t>
            </w:r>
            <w:r w:rsidRPr="001B4A02">
              <w:rPr>
                <w:sz w:val="22"/>
                <w:szCs w:val="22"/>
                <w:lang w:val="cs-CZ"/>
              </w:rPr>
              <w:t>%</w:t>
            </w:r>
          </w:p>
        </w:tc>
        <w:tc>
          <w:tcPr>
            <w:tcW w:w="1249" w:type="dxa"/>
          </w:tcPr>
          <w:p w14:paraId="28E8CCE0" w14:textId="77777777" w:rsidR="006764B2" w:rsidRPr="001B4A02" w:rsidRDefault="00000000" w:rsidP="00F1755A">
            <w:pPr>
              <w:pStyle w:val="TableText"/>
              <w:spacing w:before="0" w:after="0" w:line="240" w:lineRule="auto"/>
              <w:jc w:val="center"/>
              <w:rPr>
                <w:bCs/>
                <w:iCs/>
                <w:sz w:val="22"/>
                <w:szCs w:val="22"/>
                <w:lang w:val="cs-CZ"/>
              </w:rPr>
            </w:pPr>
            <w:r w:rsidRPr="001B4A02">
              <w:rPr>
                <w:sz w:val="22"/>
                <w:szCs w:val="22"/>
                <w:lang w:val="cs-CZ"/>
              </w:rPr>
              <w:t>24</w:t>
            </w:r>
            <w:r w:rsidR="00E91405" w:rsidRPr="001B4A02">
              <w:rPr>
                <w:sz w:val="22"/>
                <w:szCs w:val="22"/>
                <w:lang w:val="cs-CZ"/>
              </w:rPr>
              <w:t> </w:t>
            </w:r>
            <w:r w:rsidRPr="001B4A02">
              <w:rPr>
                <w:sz w:val="22"/>
                <w:szCs w:val="22"/>
                <w:lang w:val="cs-CZ"/>
              </w:rPr>
              <w:t>%</w:t>
            </w:r>
          </w:p>
        </w:tc>
        <w:tc>
          <w:tcPr>
            <w:tcW w:w="1310" w:type="dxa"/>
          </w:tcPr>
          <w:p w14:paraId="06088917" w14:textId="77777777" w:rsidR="006764B2" w:rsidRPr="001B4A02" w:rsidRDefault="00000000" w:rsidP="00F1755A">
            <w:pPr>
              <w:pStyle w:val="TableText"/>
              <w:spacing w:before="0" w:after="0" w:line="240" w:lineRule="auto"/>
              <w:jc w:val="center"/>
              <w:rPr>
                <w:bCs/>
                <w:iCs/>
                <w:sz w:val="22"/>
                <w:szCs w:val="22"/>
                <w:lang w:val="cs-CZ"/>
              </w:rPr>
            </w:pPr>
            <w:r w:rsidRPr="001B4A02">
              <w:rPr>
                <w:sz w:val="22"/>
                <w:szCs w:val="22"/>
                <w:lang w:val="cs-CZ"/>
              </w:rPr>
              <w:t>36</w:t>
            </w:r>
            <w:r w:rsidR="00E91405" w:rsidRPr="001B4A02">
              <w:rPr>
                <w:sz w:val="22"/>
                <w:szCs w:val="22"/>
                <w:lang w:val="cs-CZ"/>
              </w:rPr>
              <w:t> </w:t>
            </w:r>
            <w:r w:rsidRPr="001B4A02">
              <w:rPr>
                <w:sz w:val="22"/>
                <w:szCs w:val="22"/>
                <w:lang w:val="cs-CZ"/>
              </w:rPr>
              <w:t>%</w:t>
            </w:r>
            <w:r w:rsidRPr="001B4A02">
              <w:rPr>
                <w:rFonts w:ascii="Symbol" w:hAnsi="Symbol"/>
                <w:sz w:val="22"/>
                <w:szCs w:val="22"/>
                <w:vertAlign w:val="superscript"/>
                <w:lang w:val="cs-CZ"/>
              </w:rPr>
              <w:sym w:font="Symbol" w:char="F02A"/>
            </w:r>
          </w:p>
        </w:tc>
        <w:tc>
          <w:tcPr>
            <w:tcW w:w="1360" w:type="dxa"/>
          </w:tcPr>
          <w:p w14:paraId="107FF76C" w14:textId="77777777" w:rsidR="006764B2" w:rsidRPr="001B4A02" w:rsidRDefault="00000000" w:rsidP="00F1755A">
            <w:pPr>
              <w:pStyle w:val="TableText"/>
              <w:spacing w:before="0" w:after="0" w:line="240" w:lineRule="auto"/>
              <w:jc w:val="center"/>
              <w:rPr>
                <w:sz w:val="22"/>
                <w:szCs w:val="22"/>
                <w:lang w:val="cs-CZ"/>
              </w:rPr>
            </w:pPr>
            <w:r w:rsidRPr="001B4A02">
              <w:rPr>
                <w:sz w:val="22"/>
                <w:szCs w:val="22"/>
                <w:lang w:val="cs-CZ"/>
              </w:rPr>
              <w:t>7</w:t>
            </w:r>
            <w:r w:rsidR="00E91405" w:rsidRPr="001B4A02">
              <w:rPr>
                <w:sz w:val="22"/>
                <w:szCs w:val="22"/>
                <w:lang w:val="cs-CZ"/>
              </w:rPr>
              <w:t> </w:t>
            </w:r>
            <w:r w:rsidRPr="001B4A02">
              <w:rPr>
                <w:sz w:val="22"/>
                <w:szCs w:val="22"/>
                <w:lang w:val="cs-CZ"/>
              </w:rPr>
              <w:t>%</w:t>
            </w:r>
          </w:p>
        </w:tc>
        <w:tc>
          <w:tcPr>
            <w:tcW w:w="1816" w:type="dxa"/>
          </w:tcPr>
          <w:p w14:paraId="1843A954" w14:textId="77777777" w:rsidR="006764B2" w:rsidRPr="001B4A02" w:rsidRDefault="00000000" w:rsidP="00F1755A">
            <w:pPr>
              <w:pStyle w:val="TableText"/>
              <w:spacing w:before="0" w:after="0" w:line="240" w:lineRule="auto"/>
              <w:jc w:val="center"/>
              <w:rPr>
                <w:sz w:val="22"/>
                <w:szCs w:val="22"/>
                <w:lang w:val="cs-CZ"/>
              </w:rPr>
            </w:pPr>
            <w:r w:rsidRPr="001B4A02">
              <w:rPr>
                <w:sz w:val="22"/>
                <w:szCs w:val="22"/>
                <w:lang w:val="cs-CZ"/>
              </w:rPr>
              <w:t>21</w:t>
            </w:r>
            <w:r w:rsidR="00E91405" w:rsidRPr="001B4A02">
              <w:rPr>
                <w:sz w:val="22"/>
                <w:szCs w:val="22"/>
                <w:lang w:val="cs-CZ"/>
              </w:rPr>
              <w:t> </w:t>
            </w:r>
            <w:r w:rsidRPr="001B4A02">
              <w:rPr>
                <w:sz w:val="22"/>
                <w:szCs w:val="22"/>
                <w:lang w:val="cs-CZ"/>
              </w:rPr>
              <w:t>%</w:t>
            </w:r>
            <w:r w:rsidRPr="001B4A02">
              <w:rPr>
                <w:rFonts w:ascii="Symbol" w:hAnsi="Symbol"/>
                <w:sz w:val="22"/>
                <w:szCs w:val="22"/>
                <w:vertAlign w:val="superscript"/>
                <w:lang w:val="cs-CZ"/>
              </w:rPr>
              <w:sym w:font="Symbol" w:char="F02A"/>
            </w:r>
          </w:p>
        </w:tc>
      </w:tr>
      <w:tr w:rsidR="00534A2D" w14:paraId="5C27A69F" w14:textId="77777777" w:rsidTr="00AE7CA4">
        <w:trPr>
          <w:cantSplit/>
        </w:trPr>
        <w:tc>
          <w:tcPr>
            <w:tcW w:w="2311" w:type="dxa"/>
          </w:tcPr>
          <w:p w14:paraId="4BC6DBD3" w14:textId="77777777" w:rsidR="006764B2" w:rsidRPr="001B4A02" w:rsidRDefault="00000000" w:rsidP="00F1755A">
            <w:pPr>
              <w:pStyle w:val="TableText"/>
              <w:spacing w:before="0" w:after="0" w:line="240" w:lineRule="auto"/>
              <w:rPr>
                <w:sz w:val="22"/>
                <w:szCs w:val="22"/>
                <w:lang w:val="cs-CZ"/>
              </w:rPr>
            </w:pPr>
            <w:r w:rsidRPr="001B4A02">
              <w:rPr>
                <w:sz w:val="22"/>
                <w:szCs w:val="22"/>
                <w:lang w:val="cs-CZ"/>
              </w:rPr>
              <w:t>Klinická odpověď (CR-100)</w:t>
            </w:r>
          </w:p>
        </w:tc>
        <w:tc>
          <w:tcPr>
            <w:tcW w:w="1192" w:type="dxa"/>
          </w:tcPr>
          <w:p w14:paraId="26EC0F96" w14:textId="77777777" w:rsidR="006764B2" w:rsidRPr="001B4A02" w:rsidRDefault="00000000" w:rsidP="00F1755A">
            <w:pPr>
              <w:pStyle w:val="TableText"/>
              <w:spacing w:before="0" w:after="0" w:line="240" w:lineRule="auto"/>
              <w:jc w:val="center"/>
              <w:rPr>
                <w:sz w:val="22"/>
                <w:szCs w:val="22"/>
                <w:lang w:val="cs-CZ"/>
              </w:rPr>
            </w:pPr>
            <w:r w:rsidRPr="001B4A02">
              <w:rPr>
                <w:sz w:val="22"/>
                <w:szCs w:val="22"/>
                <w:lang w:val="cs-CZ"/>
              </w:rPr>
              <w:t>24</w:t>
            </w:r>
            <w:r w:rsidR="00E91405" w:rsidRPr="001B4A02">
              <w:rPr>
                <w:sz w:val="22"/>
                <w:szCs w:val="22"/>
                <w:lang w:val="cs-CZ"/>
              </w:rPr>
              <w:t> </w:t>
            </w:r>
            <w:r w:rsidRPr="001B4A02">
              <w:rPr>
                <w:sz w:val="22"/>
                <w:szCs w:val="22"/>
                <w:lang w:val="cs-CZ"/>
              </w:rPr>
              <w:t>%</w:t>
            </w:r>
          </w:p>
        </w:tc>
        <w:tc>
          <w:tcPr>
            <w:tcW w:w="1249" w:type="dxa"/>
          </w:tcPr>
          <w:p w14:paraId="491EB07A" w14:textId="77777777" w:rsidR="006764B2" w:rsidRPr="001B4A02" w:rsidRDefault="00000000" w:rsidP="00F1755A">
            <w:pPr>
              <w:pStyle w:val="TableText"/>
              <w:spacing w:before="0" w:after="0" w:line="240" w:lineRule="auto"/>
              <w:jc w:val="center"/>
              <w:rPr>
                <w:sz w:val="22"/>
                <w:szCs w:val="22"/>
                <w:lang w:val="cs-CZ"/>
              </w:rPr>
            </w:pPr>
            <w:r w:rsidRPr="001B4A02">
              <w:rPr>
                <w:sz w:val="22"/>
                <w:szCs w:val="22"/>
                <w:lang w:val="cs-CZ"/>
              </w:rPr>
              <w:t>37</w:t>
            </w:r>
            <w:r w:rsidR="00E91405" w:rsidRPr="001B4A02">
              <w:rPr>
                <w:sz w:val="22"/>
                <w:szCs w:val="22"/>
                <w:lang w:val="cs-CZ"/>
              </w:rPr>
              <w:t> </w:t>
            </w:r>
            <w:r w:rsidRPr="001B4A02">
              <w:rPr>
                <w:sz w:val="22"/>
                <w:szCs w:val="22"/>
                <w:lang w:val="cs-CZ"/>
              </w:rPr>
              <w:t>%</w:t>
            </w:r>
          </w:p>
        </w:tc>
        <w:tc>
          <w:tcPr>
            <w:tcW w:w="1310" w:type="dxa"/>
          </w:tcPr>
          <w:p w14:paraId="396520FF" w14:textId="77777777" w:rsidR="006764B2" w:rsidRPr="001B4A02" w:rsidRDefault="00000000" w:rsidP="00F1755A">
            <w:pPr>
              <w:pStyle w:val="TableText"/>
              <w:spacing w:before="0" w:after="0" w:line="240" w:lineRule="auto"/>
              <w:jc w:val="center"/>
              <w:rPr>
                <w:sz w:val="22"/>
                <w:szCs w:val="22"/>
                <w:lang w:val="cs-CZ"/>
              </w:rPr>
            </w:pPr>
            <w:r w:rsidRPr="001B4A02">
              <w:rPr>
                <w:sz w:val="22"/>
                <w:szCs w:val="22"/>
                <w:lang w:val="cs-CZ"/>
              </w:rPr>
              <w:t>49</w:t>
            </w:r>
            <w:r w:rsidR="00E91405" w:rsidRPr="001B4A02">
              <w:rPr>
                <w:sz w:val="22"/>
                <w:szCs w:val="22"/>
                <w:lang w:val="cs-CZ"/>
              </w:rPr>
              <w:t> </w:t>
            </w:r>
            <w:r w:rsidRPr="001B4A02">
              <w:rPr>
                <w:sz w:val="22"/>
                <w:szCs w:val="22"/>
                <w:lang w:val="cs-CZ"/>
              </w:rPr>
              <w:t>%</w:t>
            </w:r>
            <w:r w:rsidRPr="001B4A02">
              <w:rPr>
                <w:rFonts w:ascii="Symbol" w:hAnsi="Symbol"/>
                <w:sz w:val="22"/>
                <w:szCs w:val="22"/>
                <w:vertAlign w:val="superscript"/>
                <w:lang w:val="cs-CZ"/>
              </w:rPr>
              <w:sym w:font="Symbol" w:char="F02A"/>
            </w:r>
            <w:r w:rsidRPr="001B4A02">
              <w:rPr>
                <w:rFonts w:ascii="Symbol" w:hAnsi="Symbol"/>
                <w:sz w:val="22"/>
                <w:szCs w:val="22"/>
                <w:vertAlign w:val="superscript"/>
                <w:lang w:val="cs-CZ"/>
              </w:rPr>
              <w:sym w:font="Symbol" w:char="F02A"/>
            </w:r>
          </w:p>
        </w:tc>
        <w:tc>
          <w:tcPr>
            <w:tcW w:w="1360" w:type="dxa"/>
          </w:tcPr>
          <w:p w14:paraId="77AFA6F5" w14:textId="77777777" w:rsidR="006764B2" w:rsidRPr="001B4A02" w:rsidRDefault="00000000" w:rsidP="00F1755A">
            <w:pPr>
              <w:pStyle w:val="TableText"/>
              <w:spacing w:before="0" w:after="0" w:line="240" w:lineRule="auto"/>
              <w:jc w:val="center"/>
              <w:rPr>
                <w:sz w:val="22"/>
                <w:szCs w:val="22"/>
                <w:lang w:val="cs-CZ"/>
              </w:rPr>
            </w:pPr>
            <w:r w:rsidRPr="001B4A02">
              <w:rPr>
                <w:sz w:val="22"/>
                <w:szCs w:val="22"/>
                <w:lang w:val="cs-CZ"/>
              </w:rPr>
              <w:t>25</w:t>
            </w:r>
            <w:r w:rsidR="00E91405" w:rsidRPr="001B4A02">
              <w:rPr>
                <w:sz w:val="22"/>
                <w:szCs w:val="22"/>
                <w:lang w:val="cs-CZ"/>
              </w:rPr>
              <w:t> </w:t>
            </w:r>
            <w:r w:rsidRPr="001B4A02">
              <w:rPr>
                <w:sz w:val="22"/>
                <w:szCs w:val="22"/>
                <w:lang w:val="cs-CZ"/>
              </w:rPr>
              <w:t>%</w:t>
            </w:r>
          </w:p>
        </w:tc>
        <w:tc>
          <w:tcPr>
            <w:tcW w:w="1816" w:type="dxa"/>
          </w:tcPr>
          <w:p w14:paraId="28A4FA6B" w14:textId="77777777" w:rsidR="006764B2" w:rsidRPr="001B4A02" w:rsidRDefault="00000000" w:rsidP="00F1755A">
            <w:pPr>
              <w:pStyle w:val="TableText"/>
              <w:spacing w:before="0" w:after="0" w:line="240" w:lineRule="auto"/>
              <w:jc w:val="center"/>
              <w:rPr>
                <w:sz w:val="22"/>
                <w:szCs w:val="22"/>
                <w:lang w:val="cs-CZ"/>
              </w:rPr>
            </w:pPr>
            <w:r w:rsidRPr="001B4A02">
              <w:rPr>
                <w:sz w:val="22"/>
                <w:szCs w:val="22"/>
                <w:lang w:val="cs-CZ"/>
              </w:rPr>
              <w:t>38</w:t>
            </w:r>
            <w:r w:rsidR="00E91405" w:rsidRPr="001B4A02">
              <w:rPr>
                <w:sz w:val="22"/>
                <w:szCs w:val="22"/>
                <w:lang w:val="cs-CZ"/>
              </w:rPr>
              <w:t> </w:t>
            </w:r>
            <w:r w:rsidRPr="001B4A02">
              <w:rPr>
                <w:sz w:val="22"/>
                <w:szCs w:val="22"/>
                <w:lang w:val="cs-CZ"/>
              </w:rPr>
              <w:t>%</w:t>
            </w:r>
            <w:r w:rsidRPr="001B4A02">
              <w:rPr>
                <w:rFonts w:ascii="Symbol" w:hAnsi="Symbol"/>
                <w:sz w:val="22"/>
                <w:szCs w:val="22"/>
                <w:vertAlign w:val="superscript"/>
                <w:lang w:val="cs-CZ"/>
              </w:rPr>
              <w:sym w:font="Symbol" w:char="F02A"/>
            </w:r>
            <w:r w:rsidRPr="001B4A02">
              <w:rPr>
                <w:rFonts w:ascii="Symbol" w:hAnsi="Symbol"/>
                <w:sz w:val="22"/>
                <w:szCs w:val="22"/>
                <w:vertAlign w:val="superscript"/>
                <w:lang w:val="cs-CZ"/>
              </w:rPr>
              <w:sym w:font="Symbol" w:char="F02A"/>
            </w:r>
          </w:p>
        </w:tc>
      </w:tr>
      <w:tr w:rsidR="00534A2D" w14:paraId="7A18C7C8" w14:textId="77777777" w:rsidTr="00AE7CA4">
        <w:trPr>
          <w:cantSplit/>
        </w:trPr>
        <w:tc>
          <w:tcPr>
            <w:tcW w:w="9238" w:type="dxa"/>
            <w:gridSpan w:val="6"/>
            <w:tcBorders>
              <w:left w:val="nil"/>
              <w:bottom w:val="nil"/>
              <w:right w:val="nil"/>
            </w:tcBorders>
          </w:tcPr>
          <w:p w14:paraId="78301419" w14:textId="77777777" w:rsidR="006764B2" w:rsidRPr="001B4A02" w:rsidRDefault="00000000" w:rsidP="00F1755A">
            <w:pPr>
              <w:pStyle w:val="EMEANormal"/>
              <w:keepNext/>
              <w:tabs>
                <w:tab w:val="clear" w:pos="562"/>
                <w:tab w:val="left" w:pos="708"/>
              </w:tabs>
              <w:suppressAutoHyphens w:val="0"/>
              <w:rPr>
                <w:szCs w:val="22"/>
                <w:lang w:val="cs-CZ"/>
              </w:rPr>
            </w:pPr>
            <w:r w:rsidRPr="001B4A02">
              <w:rPr>
                <w:szCs w:val="22"/>
                <w:lang w:val="cs-CZ"/>
              </w:rPr>
              <w:t>Všechny hodnoty p slouží k párovému srovnání hodnot pro přípravek Humira versus placebo</w:t>
            </w:r>
          </w:p>
          <w:p w14:paraId="67800A53" w14:textId="77777777" w:rsidR="006764B2" w:rsidRPr="001B4A02" w:rsidRDefault="00000000" w:rsidP="00F1755A">
            <w:pPr>
              <w:pStyle w:val="EMEANormal"/>
              <w:keepNext/>
              <w:tabs>
                <w:tab w:val="clear" w:pos="562"/>
                <w:tab w:val="left" w:pos="708"/>
              </w:tabs>
              <w:suppressAutoHyphens w:val="0"/>
              <w:rPr>
                <w:szCs w:val="22"/>
                <w:lang w:val="cs-CZ"/>
              </w:rPr>
            </w:pPr>
            <w:r w:rsidRPr="001B4A02">
              <w:rPr>
                <w:rFonts w:ascii="Symbol" w:hAnsi="Symbol"/>
                <w:szCs w:val="22"/>
                <w:vertAlign w:val="superscript"/>
                <w:lang w:val="cs-CZ"/>
              </w:rPr>
              <w:sym w:font="Symbol" w:char="F02A"/>
            </w:r>
            <w:r w:rsidRPr="001B4A02">
              <w:rPr>
                <w:szCs w:val="22"/>
                <w:lang w:val="cs-CZ"/>
              </w:rPr>
              <w:t xml:space="preserve"> p </w:t>
            </w:r>
            <w:r w:rsidRPr="001B4A02">
              <w:rPr>
                <w:rFonts w:ascii="Symbol" w:hAnsi="Symbol"/>
                <w:szCs w:val="22"/>
                <w:lang w:val="cs-CZ"/>
              </w:rPr>
              <w:sym w:font="Symbol" w:char="F03C"/>
            </w:r>
            <w:r w:rsidRPr="001B4A02">
              <w:rPr>
                <w:szCs w:val="22"/>
                <w:lang w:val="cs-CZ"/>
              </w:rPr>
              <w:t xml:space="preserve"> 0,001</w:t>
            </w:r>
          </w:p>
          <w:p w14:paraId="36190D1C" w14:textId="77777777" w:rsidR="00E7724C" w:rsidRPr="001B4A02" w:rsidRDefault="00000000" w:rsidP="00F1755A">
            <w:pPr>
              <w:keepNext/>
              <w:ind w:left="0" w:firstLine="0"/>
              <w:rPr>
                <w:szCs w:val="22"/>
              </w:rPr>
            </w:pPr>
            <w:r w:rsidRPr="001B4A02">
              <w:rPr>
                <w:rFonts w:ascii="Symbol" w:hAnsi="Symbol"/>
                <w:szCs w:val="22"/>
                <w:vertAlign w:val="superscript"/>
              </w:rPr>
              <w:sym w:font="Symbol" w:char="F02A"/>
            </w:r>
            <w:r w:rsidRPr="001B4A02">
              <w:rPr>
                <w:rFonts w:ascii="Symbol" w:hAnsi="Symbol"/>
                <w:szCs w:val="22"/>
                <w:vertAlign w:val="superscript"/>
              </w:rPr>
              <w:sym w:font="Symbol" w:char="F02A"/>
            </w:r>
            <w:r w:rsidRPr="001B4A02">
              <w:rPr>
                <w:szCs w:val="22"/>
              </w:rPr>
              <w:t xml:space="preserve"> p </w:t>
            </w:r>
            <w:r w:rsidRPr="001B4A02">
              <w:rPr>
                <w:rFonts w:ascii="Symbol" w:hAnsi="Symbol"/>
                <w:szCs w:val="22"/>
              </w:rPr>
              <w:sym w:font="Symbol" w:char="F03C"/>
            </w:r>
            <w:r w:rsidRPr="001B4A02">
              <w:rPr>
                <w:szCs w:val="22"/>
              </w:rPr>
              <w:t xml:space="preserve"> 0,01</w:t>
            </w:r>
          </w:p>
        </w:tc>
      </w:tr>
    </w:tbl>
    <w:p w14:paraId="23B530FB" w14:textId="77777777" w:rsidR="00E7724C" w:rsidRPr="001B4A02" w:rsidRDefault="00E7724C" w:rsidP="00ED48A3">
      <w:pPr>
        <w:pStyle w:val="EMEANormal"/>
        <w:rPr>
          <w:lang w:val="cs-CZ"/>
        </w:rPr>
      </w:pPr>
    </w:p>
    <w:p w14:paraId="7924C141" w14:textId="77777777" w:rsidR="001F1B80" w:rsidRPr="001B4A02" w:rsidRDefault="00000000" w:rsidP="00ED48A3">
      <w:pPr>
        <w:pStyle w:val="EMEANormal"/>
        <w:tabs>
          <w:tab w:val="clear" w:pos="562"/>
          <w:tab w:val="left" w:pos="708"/>
        </w:tabs>
        <w:suppressAutoHyphens w:val="0"/>
        <w:rPr>
          <w:lang w:val="cs-CZ"/>
        </w:rPr>
      </w:pPr>
      <w:r w:rsidRPr="001B4A02">
        <w:rPr>
          <w:lang w:val="cs-CZ"/>
        </w:rPr>
        <w:t>U</w:t>
      </w:r>
      <w:r w:rsidR="00E91405" w:rsidRPr="001B4A02">
        <w:rPr>
          <w:lang w:val="cs-CZ"/>
        </w:rPr>
        <w:t> </w:t>
      </w:r>
      <w:r w:rsidRPr="001B4A02">
        <w:rPr>
          <w:lang w:val="cs-CZ"/>
        </w:rPr>
        <w:t>obou úvodních dávkovacích schémat, u</w:t>
      </w:r>
      <w:r w:rsidR="00E91405" w:rsidRPr="001B4A02">
        <w:rPr>
          <w:lang w:val="cs-CZ"/>
        </w:rPr>
        <w:t> </w:t>
      </w:r>
      <w:r w:rsidRPr="001B4A02">
        <w:rPr>
          <w:lang w:val="cs-CZ"/>
        </w:rPr>
        <w:t>160/80 mg i u</w:t>
      </w:r>
      <w:r w:rsidR="00E91405" w:rsidRPr="001B4A02">
        <w:rPr>
          <w:lang w:val="cs-CZ"/>
        </w:rPr>
        <w:t> </w:t>
      </w:r>
      <w:r w:rsidRPr="001B4A02">
        <w:rPr>
          <w:lang w:val="cs-CZ"/>
        </w:rPr>
        <w:t>80/40 mg, byly v období do týdne 8 pozorovány podobné počty remisí, nežádoucí účinky byly častěji pozorovány</w:t>
      </w:r>
      <w:r w:rsidR="004C2FD7" w:rsidRPr="001B4A02">
        <w:rPr>
          <w:lang w:val="cs-CZ"/>
        </w:rPr>
        <w:t xml:space="preserve"> ve skupině se 160/80 mg.</w:t>
      </w:r>
    </w:p>
    <w:p w14:paraId="1216E409" w14:textId="77777777" w:rsidR="001F1B80" w:rsidRPr="001B4A02" w:rsidRDefault="001F1B80" w:rsidP="00ED48A3">
      <w:pPr>
        <w:pStyle w:val="EMEANormal"/>
        <w:tabs>
          <w:tab w:val="clear" w:pos="562"/>
          <w:tab w:val="left" w:pos="708"/>
        </w:tabs>
        <w:suppressAutoHyphens w:val="0"/>
        <w:rPr>
          <w:lang w:val="cs-CZ"/>
        </w:rPr>
      </w:pPr>
    </w:p>
    <w:p w14:paraId="1336E5D8" w14:textId="77777777" w:rsidR="001F1B80" w:rsidRPr="001B4A02" w:rsidRDefault="00000000" w:rsidP="00ED48A3">
      <w:pPr>
        <w:pStyle w:val="EMEANormal"/>
        <w:tabs>
          <w:tab w:val="clear" w:pos="562"/>
          <w:tab w:val="left" w:pos="708"/>
        </w:tabs>
        <w:suppressAutoHyphens w:val="0"/>
        <w:rPr>
          <w:lang w:val="cs-CZ"/>
        </w:rPr>
      </w:pPr>
      <w:r w:rsidRPr="001B4A02">
        <w:rPr>
          <w:lang w:val="cs-CZ"/>
        </w:rPr>
        <w:t>Ve studii CD III dosáhlo v týdnu 4 58</w:t>
      </w:r>
      <w:r w:rsidR="00E91405" w:rsidRPr="001B4A02">
        <w:rPr>
          <w:lang w:val="cs-CZ"/>
        </w:rPr>
        <w:t> </w:t>
      </w:r>
      <w:r w:rsidRPr="001B4A02">
        <w:rPr>
          <w:lang w:val="cs-CZ"/>
        </w:rPr>
        <w:t>% pacientů (499 z 854) klinické odpovědi</w:t>
      </w:r>
      <w:r w:rsidR="002378E0">
        <w:rPr>
          <w:lang w:val="cs-CZ"/>
        </w:rPr>
        <w:t xml:space="preserve"> a </w:t>
      </w:r>
      <w:r w:rsidRPr="001B4A02">
        <w:rPr>
          <w:lang w:val="cs-CZ"/>
        </w:rPr>
        <w:t>byli zařazeni do primárního hodnocení. Z těchto pacientů, jež v týdnu 4 dosáhli klinické odpovědi na léčbu, bylo 48</w:t>
      </w:r>
      <w:r w:rsidR="00E91405" w:rsidRPr="001B4A02">
        <w:rPr>
          <w:lang w:val="cs-CZ"/>
        </w:rPr>
        <w:t> </w:t>
      </w:r>
      <w:r w:rsidRPr="001B4A02">
        <w:rPr>
          <w:lang w:val="cs-CZ"/>
        </w:rPr>
        <w:t>% už dříve vystaveno antagonistům TNF. Doba trvání remise</w:t>
      </w:r>
      <w:r w:rsidR="002378E0">
        <w:rPr>
          <w:lang w:val="cs-CZ"/>
        </w:rPr>
        <w:t xml:space="preserve"> a </w:t>
      </w:r>
      <w:r w:rsidRPr="001B4A02">
        <w:rPr>
          <w:lang w:val="cs-CZ"/>
        </w:rPr>
        <w:t xml:space="preserve">počty odpovídajících pacientů jsou uvedeny v tabulce </w:t>
      </w:r>
      <w:r w:rsidR="00E331EB">
        <w:rPr>
          <w:lang w:val="cs-CZ"/>
        </w:rPr>
        <w:t>15</w:t>
      </w:r>
      <w:r w:rsidRPr="001B4A02">
        <w:rPr>
          <w:lang w:val="cs-CZ"/>
        </w:rPr>
        <w:t>. Výsledky klinické odpovědi zůstávaly konstantní bez ohledu na předchozí expozici TNF antagonistům.</w:t>
      </w:r>
    </w:p>
    <w:p w14:paraId="3C1C4844" w14:textId="77777777" w:rsidR="001F1B80" w:rsidRPr="001B4A02" w:rsidRDefault="001F1B80" w:rsidP="00ED48A3">
      <w:pPr>
        <w:pStyle w:val="EMEANormal"/>
        <w:tabs>
          <w:tab w:val="clear" w:pos="562"/>
          <w:tab w:val="left" w:pos="708"/>
        </w:tabs>
        <w:suppressAutoHyphens w:val="0"/>
        <w:rPr>
          <w:u w:val="single"/>
          <w:lang w:val="cs-CZ"/>
        </w:rPr>
      </w:pPr>
    </w:p>
    <w:p w14:paraId="240D2668" w14:textId="77777777" w:rsidR="001F1B80" w:rsidRPr="001B4A02" w:rsidRDefault="00000000" w:rsidP="00ED48A3">
      <w:pPr>
        <w:pStyle w:val="EMEANormal"/>
        <w:tabs>
          <w:tab w:val="clear" w:pos="562"/>
          <w:tab w:val="left" w:pos="708"/>
        </w:tabs>
        <w:suppressAutoHyphens w:val="0"/>
        <w:rPr>
          <w:lang w:val="cs-CZ"/>
        </w:rPr>
      </w:pPr>
      <w:r w:rsidRPr="001B4A02">
        <w:rPr>
          <w:lang w:val="cs-CZ"/>
        </w:rPr>
        <w:t>Počet hospitalizací</w:t>
      </w:r>
      <w:r w:rsidR="002378E0">
        <w:rPr>
          <w:lang w:val="cs-CZ"/>
        </w:rPr>
        <w:t xml:space="preserve"> a </w:t>
      </w:r>
      <w:r w:rsidRPr="001B4A02">
        <w:rPr>
          <w:lang w:val="cs-CZ"/>
        </w:rPr>
        <w:t>chirurgických zákroků, spojených s tímto onemocněním, byl v týdnu 56 statisticky signifikantně snížen u</w:t>
      </w:r>
      <w:r w:rsidR="00E91405" w:rsidRPr="001B4A02">
        <w:rPr>
          <w:lang w:val="cs-CZ"/>
        </w:rPr>
        <w:t> </w:t>
      </w:r>
      <w:r w:rsidRPr="001B4A02">
        <w:rPr>
          <w:lang w:val="cs-CZ"/>
        </w:rPr>
        <w:t xml:space="preserve">pacientů </w:t>
      </w:r>
      <w:r w:rsidR="005D5238" w:rsidRPr="001B4A02">
        <w:rPr>
          <w:lang w:val="cs-CZ"/>
        </w:rPr>
        <w:t>po</w:t>
      </w:r>
      <w:r w:rsidRPr="001B4A02">
        <w:rPr>
          <w:lang w:val="cs-CZ"/>
        </w:rPr>
        <w:t>užívajících adalimumab v</w:t>
      </w:r>
      <w:r w:rsidR="00E91405" w:rsidRPr="001B4A02">
        <w:rPr>
          <w:lang w:val="cs-CZ"/>
        </w:rPr>
        <w:t> </w:t>
      </w:r>
      <w:r w:rsidRPr="001B4A02">
        <w:rPr>
          <w:lang w:val="cs-CZ"/>
        </w:rPr>
        <w:t>porovnání s placebem.</w:t>
      </w:r>
    </w:p>
    <w:p w14:paraId="2787251F" w14:textId="77777777" w:rsidR="00E7724C" w:rsidRPr="001B4A02" w:rsidRDefault="00E7724C" w:rsidP="00ED48A3">
      <w:pPr>
        <w:pStyle w:val="EMEANormal"/>
        <w:rPr>
          <w:lang w:val="cs-CZ"/>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418"/>
        <w:gridCol w:w="2409"/>
        <w:gridCol w:w="2410"/>
      </w:tblGrid>
      <w:tr w:rsidR="00534A2D" w14:paraId="43757CEB" w14:textId="77777777" w:rsidTr="00F51027">
        <w:trPr>
          <w:cantSplit/>
        </w:trPr>
        <w:tc>
          <w:tcPr>
            <w:tcW w:w="9214" w:type="dxa"/>
            <w:gridSpan w:val="4"/>
            <w:tcBorders>
              <w:top w:val="nil"/>
              <w:left w:val="nil"/>
              <w:bottom w:val="single" w:sz="4" w:space="0" w:color="auto"/>
              <w:right w:val="nil"/>
            </w:tcBorders>
          </w:tcPr>
          <w:p w14:paraId="06A7D8BA" w14:textId="77777777" w:rsidR="00E7724C" w:rsidRPr="001B4A02" w:rsidRDefault="00000000" w:rsidP="00ED48A3">
            <w:pPr>
              <w:pStyle w:val="TableText"/>
              <w:keepNext w:val="0"/>
              <w:spacing w:before="0" w:after="0" w:line="240" w:lineRule="auto"/>
              <w:jc w:val="center"/>
              <w:rPr>
                <w:b/>
                <w:bCs/>
                <w:sz w:val="22"/>
                <w:lang w:val="cs-CZ"/>
              </w:rPr>
            </w:pPr>
            <w:r w:rsidRPr="001B4A02">
              <w:rPr>
                <w:b/>
                <w:bCs/>
                <w:sz w:val="22"/>
                <w:lang w:val="cs-CZ"/>
              </w:rPr>
              <w:t xml:space="preserve">Tabulka </w:t>
            </w:r>
            <w:r w:rsidR="00E331EB">
              <w:rPr>
                <w:b/>
                <w:bCs/>
                <w:sz w:val="22"/>
                <w:lang w:val="cs-CZ"/>
              </w:rPr>
              <w:t>15</w:t>
            </w:r>
          </w:p>
          <w:p w14:paraId="70320F77" w14:textId="77777777" w:rsidR="001F1B80" w:rsidRPr="001B4A02" w:rsidRDefault="00000000" w:rsidP="00ED48A3">
            <w:pPr>
              <w:pStyle w:val="EMEANormal"/>
              <w:keepNext/>
              <w:tabs>
                <w:tab w:val="clear" w:pos="562"/>
                <w:tab w:val="left" w:pos="708"/>
              </w:tabs>
              <w:suppressAutoHyphens w:val="0"/>
              <w:jc w:val="center"/>
              <w:rPr>
                <w:b/>
                <w:bCs/>
                <w:szCs w:val="22"/>
                <w:lang w:val="cs-CZ"/>
              </w:rPr>
            </w:pPr>
            <w:r w:rsidRPr="001B4A02">
              <w:rPr>
                <w:b/>
                <w:bCs/>
                <w:lang w:val="cs-CZ"/>
              </w:rPr>
              <w:t>Přetrvávání klinické remise</w:t>
            </w:r>
            <w:r w:rsidR="002378E0">
              <w:rPr>
                <w:b/>
                <w:bCs/>
                <w:lang w:val="cs-CZ"/>
              </w:rPr>
              <w:t xml:space="preserve"> a </w:t>
            </w:r>
            <w:r w:rsidRPr="001B4A02">
              <w:rPr>
                <w:b/>
                <w:bCs/>
                <w:szCs w:val="22"/>
                <w:lang w:val="cs-CZ"/>
              </w:rPr>
              <w:t>odpovědi</w:t>
            </w:r>
          </w:p>
          <w:p w14:paraId="4B883567" w14:textId="77777777" w:rsidR="00E7724C" w:rsidRPr="001B4A02" w:rsidRDefault="00000000" w:rsidP="00ED48A3">
            <w:pPr>
              <w:pStyle w:val="TableText"/>
              <w:keepNext w:val="0"/>
              <w:spacing w:before="0" w:after="0" w:line="240" w:lineRule="auto"/>
              <w:jc w:val="center"/>
              <w:rPr>
                <w:b/>
                <w:bCs/>
                <w:sz w:val="22"/>
                <w:lang w:val="cs-CZ"/>
              </w:rPr>
            </w:pPr>
            <w:r w:rsidRPr="001B4A02">
              <w:rPr>
                <w:b/>
                <w:bCs/>
                <w:sz w:val="22"/>
                <w:szCs w:val="22"/>
                <w:lang w:val="cs-CZ"/>
              </w:rPr>
              <w:t>(Procento pacientů)</w:t>
            </w:r>
          </w:p>
        </w:tc>
      </w:tr>
      <w:tr w:rsidR="00534A2D" w14:paraId="0676E6C3" w14:textId="77777777" w:rsidTr="00F51027">
        <w:tc>
          <w:tcPr>
            <w:tcW w:w="2977" w:type="dxa"/>
          </w:tcPr>
          <w:p w14:paraId="0D462EAC" w14:textId="77777777" w:rsidR="001F1B80" w:rsidRPr="001B4A02" w:rsidRDefault="001F1B80" w:rsidP="00ED48A3">
            <w:pPr>
              <w:pStyle w:val="TableText"/>
              <w:keepNext w:val="0"/>
              <w:spacing w:before="0" w:after="0" w:line="240" w:lineRule="auto"/>
              <w:rPr>
                <w:b/>
                <w:bCs/>
                <w:sz w:val="22"/>
                <w:szCs w:val="22"/>
                <w:lang w:val="cs-CZ"/>
              </w:rPr>
            </w:pPr>
          </w:p>
        </w:tc>
        <w:tc>
          <w:tcPr>
            <w:tcW w:w="1418" w:type="dxa"/>
          </w:tcPr>
          <w:p w14:paraId="58793428" w14:textId="77777777" w:rsidR="001F1B80" w:rsidRPr="001B4A02" w:rsidRDefault="00000000" w:rsidP="00ED48A3">
            <w:pPr>
              <w:pStyle w:val="TableText"/>
              <w:keepNext w:val="0"/>
              <w:spacing w:before="0" w:after="0" w:line="240" w:lineRule="auto"/>
              <w:jc w:val="center"/>
              <w:rPr>
                <w:b/>
                <w:bCs/>
                <w:sz w:val="22"/>
                <w:szCs w:val="22"/>
                <w:lang w:val="cs-CZ"/>
              </w:rPr>
            </w:pPr>
            <w:r w:rsidRPr="001B4A02">
              <w:rPr>
                <w:b/>
                <w:bCs/>
                <w:sz w:val="22"/>
                <w:szCs w:val="22"/>
                <w:lang w:val="cs-CZ"/>
              </w:rPr>
              <w:t>Placebo</w:t>
            </w:r>
          </w:p>
        </w:tc>
        <w:tc>
          <w:tcPr>
            <w:tcW w:w="2409" w:type="dxa"/>
          </w:tcPr>
          <w:p w14:paraId="3CD2BACC" w14:textId="77777777" w:rsidR="001F1B80" w:rsidRPr="001B4A02" w:rsidRDefault="00000000" w:rsidP="00ED48A3">
            <w:pPr>
              <w:pStyle w:val="TableText"/>
              <w:keepNext w:val="0"/>
              <w:spacing w:before="0" w:after="0" w:line="240" w:lineRule="auto"/>
              <w:jc w:val="center"/>
              <w:rPr>
                <w:b/>
                <w:bCs/>
                <w:sz w:val="22"/>
                <w:szCs w:val="22"/>
                <w:lang w:val="cs-CZ"/>
              </w:rPr>
            </w:pPr>
            <w:r w:rsidRPr="001B4A02">
              <w:rPr>
                <w:b/>
                <w:bCs/>
                <w:sz w:val="22"/>
                <w:szCs w:val="22"/>
                <w:lang w:val="cs-CZ"/>
              </w:rPr>
              <w:t>Humira v dávce 40 mg každý druhý týden</w:t>
            </w:r>
          </w:p>
        </w:tc>
        <w:tc>
          <w:tcPr>
            <w:tcW w:w="2410" w:type="dxa"/>
          </w:tcPr>
          <w:p w14:paraId="7B54FCE5" w14:textId="77777777" w:rsidR="001F1B80" w:rsidRPr="001B4A02" w:rsidRDefault="00000000" w:rsidP="00ED48A3">
            <w:pPr>
              <w:pStyle w:val="TableText"/>
              <w:keepNext w:val="0"/>
              <w:spacing w:before="0" w:after="0" w:line="240" w:lineRule="auto"/>
              <w:jc w:val="center"/>
              <w:rPr>
                <w:b/>
                <w:bCs/>
                <w:sz w:val="22"/>
                <w:szCs w:val="22"/>
                <w:lang w:val="cs-CZ"/>
              </w:rPr>
            </w:pPr>
            <w:r w:rsidRPr="001B4A02">
              <w:rPr>
                <w:b/>
                <w:bCs/>
                <w:sz w:val="22"/>
                <w:szCs w:val="22"/>
                <w:lang w:val="cs-CZ"/>
              </w:rPr>
              <w:t>Humira v dávce 40 mg týdně</w:t>
            </w:r>
          </w:p>
        </w:tc>
      </w:tr>
      <w:tr w:rsidR="00534A2D" w14:paraId="1D91C2D1" w14:textId="77777777" w:rsidTr="00F51027">
        <w:tc>
          <w:tcPr>
            <w:tcW w:w="2977" w:type="dxa"/>
          </w:tcPr>
          <w:p w14:paraId="1A7F8D33" w14:textId="77777777" w:rsidR="001F1B80" w:rsidRPr="001B4A02" w:rsidRDefault="00000000" w:rsidP="00ED48A3">
            <w:pPr>
              <w:pStyle w:val="TableText"/>
              <w:keepNext w:val="0"/>
              <w:spacing w:before="0" w:after="0" w:line="240" w:lineRule="auto"/>
              <w:rPr>
                <w:b/>
                <w:bCs/>
                <w:sz w:val="22"/>
                <w:szCs w:val="22"/>
                <w:lang w:val="cs-CZ"/>
              </w:rPr>
            </w:pPr>
            <w:r w:rsidRPr="001B4A02">
              <w:rPr>
                <w:b/>
                <w:bCs/>
                <w:sz w:val="22"/>
                <w:szCs w:val="22"/>
                <w:lang w:val="cs-CZ"/>
              </w:rPr>
              <w:t>Týden 26</w:t>
            </w:r>
          </w:p>
        </w:tc>
        <w:tc>
          <w:tcPr>
            <w:tcW w:w="1418" w:type="dxa"/>
          </w:tcPr>
          <w:p w14:paraId="2A58A682" w14:textId="77777777" w:rsidR="001F1B80" w:rsidRPr="001B4A02" w:rsidRDefault="00000000" w:rsidP="00ED48A3">
            <w:pPr>
              <w:pStyle w:val="TableText"/>
              <w:keepNext w:val="0"/>
              <w:spacing w:before="0" w:after="0" w:line="240" w:lineRule="auto"/>
              <w:jc w:val="center"/>
              <w:rPr>
                <w:b/>
                <w:bCs/>
                <w:sz w:val="22"/>
                <w:szCs w:val="22"/>
                <w:lang w:val="cs-CZ"/>
              </w:rPr>
            </w:pPr>
            <w:r>
              <w:rPr>
                <w:b/>
                <w:bCs/>
                <w:sz w:val="22"/>
                <w:szCs w:val="22"/>
                <w:lang w:val="cs-CZ"/>
              </w:rPr>
              <w:t>n</w:t>
            </w:r>
            <w:r w:rsidRPr="001B4A02">
              <w:rPr>
                <w:b/>
                <w:bCs/>
                <w:sz w:val="22"/>
                <w:szCs w:val="22"/>
                <w:lang w:val="cs-CZ"/>
              </w:rPr>
              <w:t>=170</w:t>
            </w:r>
          </w:p>
        </w:tc>
        <w:tc>
          <w:tcPr>
            <w:tcW w:w="2409" w:type="dxa"/>
          </w:tcPr>
          <w:p w14:paraId="25F89FEC" w14:textId="77777777" w:rsidR="001F1B80" w:rsidRPr="001B4A02" w:rsidRDefault="00000000" w:rsidP="00ED48A3">
            <w:pPr>
              <w:pStyle w:val="TableText"/>
              <w:keepNext w:val="0"/>
              <w:spacing w:before="0" w:after="0" w:line="240" w:lineRule="auto"/>
              <w:jc w:val="center"/>
              <w:rPr>
                <w:b/>
                <w:bCs/>
                <w:sz w:val="22"/>
                <w:szCs w:val="22"/>
                <w:lang w:val="cs-CZ"/>
              </w:rPr>
            </w:pPr>
            <w:r>
              <w:rPr>
                <w:b/>
                <w:bCs/>
                <w:sz w:val="22"/>
                <w:szCs w:val="22"/>
                <w:lang w:val="cs-CZ"/>
              </w:rPr>
              <w:t>n</w:t>
            </w:r>
            <w:r w:rsidRPr="001B4A02">
              <w:rPr>
                <w:b/>
                <w:bCs/>
                <w:sz w:val="22"/>
                <w:szCs w:val="22"/>
                <w:lang w:val="cs-CZ"/>
              </w:rPr>
              <w:t>=172</w:t>
            </w:r>
          </w:p>
        </w:tc>
        <w:tc>
          <w:tcPr>
            <w:tcW w:w="2410" w:type="dxa"/>
          </w:tcPr>
          <w:p w14:paraId="4E1BDA47" w14:textId="77777777" w:rsidR="001F1B80" w:rsidRPr="001B4A02" w:rsidRDefault="00000000" w:rsidP="00ED48A3">
            <w:pPr>
              <w:pStyle w:val="TableText"/>
              <w:keepNext w:val="0"/>
              <w:spacing w:before="0" w:after="0" w:line="240" w:lineRule="auto"/>
              <w:jc w:val="center"/>
              <w:rPr>
                <w:b/>
                <w:bCs/>
                <w:sz w:val="22"/>
                <w:szCs w:val="22"/>
                <w:lang w:val="cs-CZ"/>
              </w:rPr>
            </w:pPr>
            <w:r>
              <w:rPr>
                <w:b/>
                <w:bCs/>
                <w:sz w:val="22"/>
                <w:szCs w:val="22"/>
                <w:lang w:val="cs-CZ"/>
              </w:rPr>
              <w:t>n</w:t>
            </w:r>
            <w:r w:rsidRPr="001B4A02">
              <w:rPr>
                <w:b/>
                <w:bCs/>
                <w:sz w:val="22"/>
                <w:szCs w:val="22"/>
                <w:lang w:val="cs-CZ"/>
              </w:rPr>
              <w:t>=157</w:t>
            </w:r>
          </w:p>
        </w:tc>
      </w:tr>
      <w:tr w:rsidR="00534A2D" w14:paraId="10DBD7ED" w14:textId="77777777" w:rsidTr="00F51027">
        <w:tc>
          <w:tcPr>
            <w:tcW w:w="2977" w:type="dxa"/>
          </w:tcPr>
          <w:p w14:paraId="7BEB8A6A" w14:textId="77777777" w:rsidR="001F1B80" w:rsidRPr="001B4A02" w:rsidRDefault="00000000" w:rsidP="00ED48A3">
            <w:pPr>
              <w:pStyle w:val="TableText"/>
              <w:keepNext w:val="0"/>
              <w:spacing w:before="0" w:after="0" w:line="240" w:lineRule="auto"/>
              <w:rPr>
                <w:sz w:val="22"/>
                <w:szCs w:val="22"/>
                <w:lang w:val="cs-CZ"/>
              </w:rPr>
            </w:pPr>
            <w:r w:rsidRPr="001B4A02">
              <w:rPr>
                <w:sz w:val="22"/>
                <w:szCs w:val="22"/>
                <w:lang w:val="cs-CZ"/>
              </w:rPr>
              <w:t>Klinická remise</w:t>
            </w:r>
          </w:p>
        </w:tc>
        <w:tc>
          <w:tcPr>
            <w:tcW w:w="1418" w:type="dxa"/>
          </w:tcPr>
          <w:p w14:paraId="1629F115"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17</w:t>
            </w:r>
            <w:r w:rsidR="00911165" w:rsidRPr="001B4A02">
              <w:rPr>
                <w:sz w:val="22"/>
                <w:szCs w:val="22"/>
                <w:lang w:val="cs-CZ"/>
              </w:rPr>
              <w:t> </w:t>
            </w:r>
            <w:r w:rsidRPr="001B4A02">
              <w:rPr>
                <w:sz w:val="22"/>
                <w:szCs w:val="22"/>
                <w:lang w:val="cs-CZ"/>
              </w:rPr>
              <w:t>%</w:t>
            </w:r>
          </w:p>
        </w:tc>
        <w:tc>
          <w:tcPr>
            <w:tcW w:w="2409" w:type="dxa"/>
          </w:tcPr>
          <w:p w14:paraId="62126DBF"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40</w:t>
            </w:r>
            <w:r w:rsidR="00911165" w:rsidRPr="001B4A02">
              <w:rPr>
                <w:sz w:val="22"/>
                <w:szCs w:val="22"/>
                <w:lang w:val="cs-CZ"/>
              </w:rPr>
              <w:t> </w:t>
            </w:r>
            <w:r w:rsidRPr="001B4A02">
              <w:rPr>
                <w:sz w:val="22"/>
                <w:szCs w:val="22"/>
                <w:lang w:val="cs-CZ"/>
              </w:rPr>
              <w:t>%</w:t>
            </w:r>
            <w:r w:rsidRPr="001B4A02">
              <w:rPr>
                <w:rFonts w:ascii="Symbol" w:hAnsi="Symbol"/>
                <w:sz w:val="22"/>
                <w:szCs w:val="22"/>
                <w:vertAlign w:val="superscript"/>
                <w:lang w:val="cs-CZ"/>
              </w:rPr>
              <w:sym w:font="Symbol" w:char="F02A"/>
            </w:r>
          </w:p>
        </w:tc>
        <w:tc>
          <w:tcPr>
            <w:tcW w:w="2410" w:type="dxa"/>
          </w:tcPr>
          <w:p w14:paraId="78091E49"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47</w:t>
            </w:r>
            <w:r w:rsidR="00911165" w:rsidRPr="001B4A02">
              <w:rPr>
                <w:sz w:val="22"/>
                <w:szCs w:val="22"/>
                <w:lang w:val="cs-CZ"/>
              </w:rPr>
              <w:t> </w:t>
            </w:r>
            <w:r w:rsidRPr="001B4A02">
              <w:rPr>
                <w:sz w:val="22"/>
                <w:szCs w:val="22"/>
                <w:lang w:val="cs-CZ"/>
              </w:rPr>
              <w:t>%</w:t>
            </w:r>
            <w:r w:rsidRPr="001B4A02">
              <w:rPr>
                <w:rFonts w:ascii="Symbol" w:hAnsi="Symbol"/>
                <w:sz w:val="22"/>
                <w:szCs w:val="22"/>
                <w:vertAlign w:val="superscript"/>
                <w:lang w:val="cs-CZ"/>
              </w:rPr>
              <w:sym w:font="Symbol" w:char="F02A"/>
            </w:r>
          </w:p>
        </w:tc>
      </w:tr>
      <w:tr w:rsidR="00534A2D" w14:paraId="6254A025" w14:textId="77777777" w:rsidTr="00F51027">
        <w:tc>
          <w:tcPr>
            <w:tcW w:w="2977" w:type="dxa"/>
          </w:tcPr>
          <w:p w14:paraId="5CF746E2" w14:textId="77777777" w:rsidR="001F1B80" w:rsidRPr="001B4A02" w:rsidRDefault="00000000" w:rsidP="00ED48A3">
            <w:pPr>
              <w:pStyle w:val="TableText"/>
              <w:keepNext w:val="0"/>
              <w:spacing w:before="0" w:after="0" w:line="240" w:lineRule="auto"/>
              <w:rPr>
                <w:sz w:val="22"/>
                <w:szCs w:val="22"/>
                <w:lang w:val="cs-CZ"/>
              </w:rPr>
            </w:pPr>
            <w:r w:rsidRPr="001B4A02">
              <w:rPr>
                <w:sz w:val="22"/>
                <w:szCs w:val="22"/>
                <w:lang w:val="cs-CZ"/>
              </w:rPr>
              <w:t>Klinická odpověď (CR-100)</w:t>
            </w:r>
          </w:p>
        </w:tc>
        <w:tc>
          <w:tcPr>
            <w:tcW w:w="1418" w:type="dxa"/>
          </w:tcPr>
          <w:p w14:paraId="15673740"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27</w:t>
            </w:r>
            <w:r w:rsidR="00911165" w:rsidRPr="001B4A02">
              <w:rPr>
                <w:sz w:val="22"/>
                <w:szCs w:val="22"/>
                <w:lang w:val="cs-CZ"/>
              </w:rPr>
              <w:t> </w:t>
            </w:r>
            <w:r w:rsidRPr="001B4A02">
              <w:rPr>
                <w:sz w:val="22"/>
                <w:szCs w:val="22"/>
                <w:lang w:val="cs-CZ"/>
              </w:rPr>
              <w:t>%</w:t>
            </w:r>
          </w:p>
        </w:tc>
        <w:tc>
          <w:tcPr>
            <w:tcW w:w="2409" w:type="dxa"/>
          </w:tcPr>
          <w:p w14:paraId="33BF6259"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52</w:t>
            </w:r>
            <w:r w:rsidR="00911165" w:rsidRPr="001B4A02">
              <w:rPr>
                <w:sz w:val="22"/>
                <w:szCs w:val="22"/>
                <w:lang w:val="cs-CZ"/>
              </w:rPr>
              <w:t> </w:t>
            </w:r>
            <w:r w:rsidRPr="001B4A02">
              <w:rPr>
                <w:sz w:val="22"/>
                <w:szCs w:val="22"/>
                <w:lang w:val="cs-CZ"/>
              </w:rPr>
              <w:t>%</w:t>
            </w:r>
            <w:r w:rsidRPr="001B4A02">
              <w:rPr>
                <w:rFonts w:ascii="Symbol" w:hAnsi="Symbol"/>
                <w:sz w:val="22"/>
                <w:szCs w:val="22"/>
                <w:vertAlign w:val="superscript"/>
                <w:lang w:val="cs-CZ"/>
              </w:rPr>
              <w:sym w:font="Symbol" w:char="F02A"/>
            </w:r>
          </w:p>
        </w:tc>
        <w:tc>
          <w:tcPr>
            <w:tcW w:w="2410" w:type="dxa"/>
          </w:tcPr>
          <w:p w14:paraId="502CD0D7"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52</w:t>
            </w:r>
            <w:r w:rsidR="00911165" w:rsidRPr="001B4A02">
              <w:rPr>
                <w:sz w:val="22"/>
                <w:szCs w:val="22"/>
                <w:lang w:val="cs-CZ"/>
              </w:rPr>
              <w:t> </w:t>
            </w:r>
            <w:r w:rsidRPr="001B4A02">
              <w:rPr>
                <w:sz w:val="22"/>
                <w:szCs w:val="22"/>
                <w:lang w:val="cs-CZ"/>
              </w:rPr>
              <w:t>%</w:t>
            </w:r>
            <w:r w:rsidRPr="001B4A02">
              <w:rPr>
                <w:rFonts w:ascii="Symbol" w:hAnsi="Symbol"/>
                <w:sz w:val="22"/>
                <w:szCs w:val="22"/>
                <w:vertAlign w:val="superscript"/>
                <w:lang w:val="cs-CZ"/>
              </w:rPr>
              <w:sym w:font="Symbol" w:char="F02A"/>
            </w:r>
          </w:p>
        </w:tc>
      </w:tr>
      <w:tr w:rsidR="00534A2D" w14:paraId="4789544A" w14:textId="77777777" w:rsidTr="00F51027">
        <w:tc>
          <w:tcPr>
            <w:tcW w:w="2977" w:type="dxa"/>
          </w:tcPr>
          <w:p w14:paraId="639095B0" w14:textId="77777777" w:rsidR="001F1B80" w:rsidRPr="001B4A02" w:rsidRDefault="00000000" w:rsidP="00ED48A3">
            <w:pPr>
              <w:pStyle w:val="TableText"/>
              <w:keepNext w:val="0"/>
              <w:tabs>
                <w:tab w:val="clear" w:pos="360"/>
              </w:tabs>
              <w:spacing w:before="0" w:after="0" w:line="240" w:lineRule="auto"/>
              <w:rPr>
                <w:sz w:val="22"/>
                <w:szCs w:val="22"/>
                <w:lang w:val="cs-CZ"/>
              </w:rPr>
            </w:pPr>
            <w:r w:rsidRPr="001B4A02">
              <w:rPr>
                <w:sz w:val="22"/>
                <w:szCs w:val="22"/>
                <w:lang w:val="cs-CZ"/>
              </w:rPr>
              <w:t xml:space="preserve">Pacienti v remisi bez užívání steroidů po dobu </w:t>
            </w:r>
            <w:r w:rsidR="009D2A3C" w:rsidRPr="001B4A02">
              <w:rPr>
                <w:rFonts w:ascii="Symbol" w:hAnsi="Symbol"/>
                <w:lang w:val="cs-CZ"/>
              </w:rPr>
              <w:sym w:font="Symbol" w:char="F0B3"/>
            </w:r>
            <w:r w:rsidRPr="001B4A02">
              <w:rPr>
                <w:sz w:val="22"/>
                <w:szCs w:val="22"/>
                <w:lang w:val="cs-CZ"/>
              </w:rPr>
              <w:t> 90 dní</w:t>
            </w:r>
            <w:r w:rsidRPr="001B4A02">
              <w:rPr>
                <w:sz w:val="22"/>
                <w:szCs w:val="22"/>
                <w:vertAlign w:val="superscript"/>
                <w:lang w:val="cs-CZ"/>
              </w:rPr>
              <w:t>a</w:t>
            </w:r>
          </w:p>
        </w:tc>
        <w:tc>
          <w:tcPr>
            <w:tcW w:w="1418" w:type="dxa"/>
          </w:tcPr>
          <w:p w14:paraId="3CCB7082"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3</w:t>
            </w:r>
            <w:r w:rsidR="00911165" w:rsidRPr="001B4A02">
              <w:rPr>
                <w:sz w:val="22"/>
                <w:szCs w:val="22"/>
                <w:lang w:val="cs-CZ"/>
              </w:rPr>
              <w:t> </w:t>
            </w:r>
            <w:r w:rsidRPr="001B4A02">
              <w:rPr>
                <w:sz w:val="22"/>
                <w:szCs w:val="22"/>
                <w:lang w:val="cs-CZ"/>
              </w:rPr>
              <w:t>% (2 z 66)</w:t>
            </w:r>
          </w:p>
        </w:tc>
        <w:tc>
          <w:tcPr>
            <w:tcW w:w="2409" w:type="dxa"/>
          </w:tcPr>
          <w:p w14:paraId="63A7F075"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19</w:t>
            </w:r>
            <w:r w:rsidR="00911165" w:rsidRPr="001B4A02">
              <w:rPr>
                <w:sz w:val="22"/>
                <w:szCs w:val="22"/>
                <w:lang w:val="cs-CZ"/>
              </w:rPr>
              <w:t> </w:t>
            </w:r>
            <w:r w:rsidRPr="001B4A02">
              <w:rPr>
                <w:sz w:val="22"/>
                <w:szCs w:val="22"/>
                <w:lang w:val="cs-CZ"/>
              </w:rPr>
              <w:t>% (11 z 58)</w:t>
            </w:r>
            <w:r w:rsidRPr="001B4A02">
              <w:rPr>
                <w:rFonts w:ascii="Symbol" w:hAnsi="Symbol"/>
                <w:sz w:val="22"/>
                <w:szCs w:val="22"/>
                <w:vertAlign w:val="superscript"/>
                <w:lang w:val="cs-CZ"/>
              </w:rPr>
              <w:sym w:font="Symbol" w:char="F02A"/>
            </w:r>
            <w:r w:rsidRPr="001B4A02">
              <w:rPr>
                <w:rFonts w:ascii="Symbol" w:hAnsi="Symbol"/>
                <w:sz w:val="22"/>
                <w:szCs w:val="22"/>
                <w:vertAlign w:val="superscript"/>
                <w:lang w:val="cs-CZ"/>
              </w:rPr>
              <w:sym w:font="Symbol" w:char="F02A"/>
            </w:r>
          </w:p>
        </w:tc>
        <w:tc>
          <w:tcPr>
            <w:tcW w:w="2410" w:type="dxa"/>
          </w:tcPr>
          <w:p w14:paraId="3CC0B26A"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15</w:t>
            </w:r>
            <w:r w:rsidR="00911165" w:rsidRPr="001B4A02">
              <w:rPr>
                <w:sz w:val="22"/>
                <w:szCs w:val="22"/>
                <w:lang w:val="cs-CZ"/>
              </w:rPr>
              <w:t> </w:t>
            </w:r>
            <w:r w:rsidRPr="001B4A02">
              <w:rPr>
                <w:sz w:val="22"/>
                <w:szCs w:val="22"/>
                <w:lang w:val="cs-CZ"/>
              </w:rPr>
              <w:t>% (11 ze 74)</w:t>
            </w:r>
            <w:r w:rsidRPr="001B4A02">
              <w:rPr>
                <w:rFonts w:ascii="Symbol" w:hAnsi="Symbol"/>
                <w:sz w:val="22"/>
                <w:szCs w:val="22"/>
                <w:vertAlign w:val="superscript"/>
                <w:lang w:val="cs-CZ"/>
              </w:rPr>
              <w:sym w:font="Symbol" w:char="F02A"/>
            </w:r>
            <w:r w:rsidRPr="001B4A02">
              <w:rPr>
                <w:rFonts w:ascii="Symbol" w:hAnsi="Symbol"/>
                <w:sz w:val="22"/>
                <w:szCs w:val="22"/>
                <w:vertAlign w:val="superscript"/>
                <w:lang w:val="cs-CZ"/>
              </w:rPr>
              <w:sym w:font="Symbol" w:char="F02A"/>
            </w:r>
          </w:p>
        </w:tc>
      </w:tr>
      <w:tr w:rsidR="00534A2D" w14:paraId="7FF214F2" w14:textId="77777777" w:rsidTr="00F51027">
        <w:tc>
          <w:tcPr>
            <w:tcW w:w="2977" w:type="dxa"/>
          </w:tcPr>
          <w:p w14:paraId="7A73752B" w14:textId="77777777" w:rsidR="001F1B80" w:rsidRPr="001B4A02" w:rsidRDefault="00000000" w:rsidP="00ED48A3">
            <w:pPr>
              <w:pStyle w:val="TableText"/>
              <w:keepNext w:val="0"/>
              <w:spacing w:before="0" w:after="0" w:line="240" w:lineRule="auto"/>
              <w:rPr>
                <w:b/>
                <w:bCs/>
                <w:sz w:val="22"/>
                <w:szCs w:val="22"/>
                <w:lang w:val="cs-CZ"/>
              </w:rPr>
            </w:pPr>
            <w:r w:rsidRPr="001B4A02">
              <w:rPr>
                <w:b/>
                <w:bCs/>
                <w:sz w:val="22"/>
                <w:szCs w:val="22"/>
                <w:lang w:val="cs-CZ"/>
              </w:rPr>
              <w:t>Týden 56</w:t>
            </w:r>
          </w:p>
        </w:tc>
        <w:tc>
          <w:tcPr>
            <w:tcW w:w="1418" w:type="dxa"/>
          </w:tcPr>
          <w:p w14:paraId="3A62EE1B" w14:textId="77777777" w:rsidR="001F1B80" w:rsidRPr="001B4A02" w:rsidRDefault="00000000" w:rsidP="00ED48A3">
            <w:pPr>
              <w:pStyle w:val="TableText"/>
              <w:keepNext w:val="0"/>
              <w:spacing w:before="0" w:after="0" w:line="240" w:lineRule="auto"/>
              <w:jc w:val="center"/>
              <w:rPr>
                <w:b/>
                <w:bCs/>
                <w:sz w:val="22"/>
                <w:szCs w:val="22"/>
                <w:lang w:val="cs-CZ"/>
              </w:rPr>
            </w:pPr>
            <w:r>
              <w:rPr>
                <w:b/>
                <w:bCs/>
                <w:sz w:val="22"/>
                <w:szCs w:val="22"/>
                <w:lang w:val="cs-CZ"/>
              </w:rPr>
              <w:t>n</w:t>
            </w:r>
            <w:r w:rsidRPr="001B4A02">
              <w:rPr>
                <w:b/>
                <w:bCs/>
                <w:sz w:val="22"/>
                <w:szCs w:val="22"/>
                <w:lang w:val="cs-CZ"/>
              </w:rPr>
              <w:t>=170</w:t>
            </w:r>
          </w:p>
        </w:tc>
        <w:tc>
          <w:tcPr>
            <w:tcW w:w="2409" w:type="dxa"/>
          </w:tcPr>
          <w:p w14:paraId="0055427A" w14:textId="77777777" w:rsidR="001F1B80" w:rsidRPr="001B4A02" w:rsidRDefault="00000000" w:rsidP="00ED48A3">
            <w:pPr>
              <w:pStyle w:val="TableText"/>
              <w:keepNext w:val="0"/>
              <w:spacing w:before="0" w:after="0" w:line="240" w:lineRule="auto"/>
              <w:jc w:val="center"/>
              <w:rPr>
                <w:b/>
                <w:bCs/>
                <w:sz w:val="22"/>
                <w:szCs w:val="22"/>
                <w:lang w:val="cs-CZ"/>
              </w:rPr>
            </w:pPr>
            <w:r>
              <w:rPr>
                <w:b/>
                <w:bCs/>
                <w:sz w:val="22"/>
                <w:szCs w:val="22"/>
                <w:lang w:val="cs-CZ"/>
              </w:rPr>
              <w:t>n</w:t>
            </w:r>
            <w:r w:rsidRPr="001B4A02">
              <w:rPr>
                <w:b/>
                <w:bCs/>
                <w:sz w:val="22"/>
                <w:szCs w:val="22"/>
                <w:lang w:val="cs-CZ"/>
              </w:rPr>
              <w:t>=172</w:t>
            </w:r>
          </w:p>
        </w:tc>
        <w:tc>
          <w:tcPr>
            <w:tcW w:w="2410" w:type="dxa"/>
          </w:tcPr>
          <w:p w14:paraId="61E3EC6E" w14:textId="77777777" w:rsidR="001F1B80" w:rsidRPr="001B4A02" w:rsidRDefault="00000000" w:rsidP="00ED48A3">
            <w:pPr>
              <w:pStyle w:val="TableText"/>
              <w:keepNext w:val="0"/>
              <w:spacing w:before="0" w:after="0" w:line="240" w:lineRule="auto"/>
              <w:jc w:val="center"/>
              <w:rPr>
                <w:b/>
                <w:bCs/>
                <w:sz w:val="22"/>
                <w:szCs w:val="22"/>
                <w:lang w:val="cs-CZ"/>
              </w:rPr>
            </w:pPr>
            <w:r>
              <w:rPr>
                <w:b/>
                <w:bCs/>
                <w:sz w:val="22"/>
                <w:szCs w:val="22"/>
                <w:lang w:val="cs-CZ"/>
              </w:rPr>
              <w:t>n</w:t>
            </w:r>
            <w:r w:rsidRPr="001B4A02">
              <w:rPr>
                <w:b/>
                <w:bCs/>
                <w:sz w:val="22"/>
                <w:szCs w:val="22"/>
                <w:lang w:val="cs-CZ"/>
              </w:rPr>
              <w:t>=157</w:t>
            </w:r>
          </w:p>
        </w:tc>
      </w:tr>
      <w:tr w:rsidR="00534A2D" w14:paraId="15477CC9" w14:textId="77777777" w:rsidTr="00F51027">
        <w:tc>
          <w:tcPr>
            <w:tcW w:w="2977" w:type="dxa"/>
          </w:tcPr>
          <w:p w14:paraId="051A801A" w14:textId="77777777" w:rsidR="001F1B80" w:rsidRPr="001B4A02" w:rsidRDefault="00000000" w:rsidP="00ED48A3">
            <w:pPr>
              <w:pStyle w:val="TableText"/>
              <w:keepNext w:val="0"/>
              <w:spacing w:before="0" w:after="0" w:line="240" w:lineRule="auto"/>
              <w:rPr>
                <w:sz w:val="22"/>
                <w:szCs w:val="22"/>
                <w:lang w:val="cs-CZ"/>
              </w:rPr>
            </w:pPr>
            <w:r w:rsidRPr="001B4A02">
              <w:rPr>
                <w:sz w:val="22"/>
                <w:szCs w:val="22"/>
                <w:lang w:val="cs-CZ"/>
              </w:rPr>
              <w:t>Klinická remise</w:t>
            </w:r>
          </w:p>
        </w:tc>
        <w:tc>
          <w:tcPr>
            <w:tcW w:w="1418" w:type="dxa"/>
          </w:tcPr>
          <w:p w14:paraId="64B12668"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12%</w:t>
            </w:r>
          </w:p>
        </w:tc>
        <w:tc>
          <w:tcPr>
            <w:tcW w:w="2409" w:type="dxa"/>
          </w:tcPr>
          <w:p w14:paraId="7B1B5020"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36</w:t>
            </w:r>
            <w:r w:rsidR="00911165" w:rsidRPr="001B4A02">
              <w:rPr>
                <w:sz w:val="22"/>
                <w:szCs w:val="22"/>
                <w:lang w:val="cs-CZ"/>
              </w:rPr>
              <w:t> </w:t>
            </w:r>
            <w:r w:rsidRPr="001B4A02">
              <w:rPr>
                <w:sz w:val="22"/>
                <w:szCs w:val="22"/>
                <w:lang w:val="cs-CZ"/>
              </w:rPr>
              <w:t>%</w:t>
            </w:r>
            <w:r w:rsidRPr="001B4A02">
              <w:rPr>
                <w:rFonts w:ascii="Symbol" w:hAnsi="Symbol"/>
                <w:sz w:val="22"/>
                <w:szCs w:val="22"/>
                <w:vertAlign w:val="superscript"/>
                <w:lang w:val="cs-CZ"/>
              </w:rPr>
              <w:sym w:font="Symbol" w:char="F02A"/>
            </w:r>
          </w:p>
        </w:tc>
        <w:tc>
          <w:tcPr>
            <w:tcW w:w="2410" w:type="dxa"/>
          </w:tcPr>
          <w:p w14:paraId="61DDCE7D"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41</w:t>
            </w:r>
            <w:r w:rsidR="00911165" w:rsidRPr="001B4A02">
              <w:rPr>
                <w:sz w:val="22"/>
                <w:szCs w:val="22"/>
                <w:lang w:val="cs-CZ"/>
              </w:rPr>
              <w:t> </w:t>
            </w:r>
            <w:r w:rsidRPr="001B4A02">
              <w:rPr>
                <w:sz w:val="22"/>
                <w:szCs w:val="22"/>
                <w:lang w:val="cs-CZ"/>
              </w:rPr>
              <w:t>%</w:t>
            </w:r>
            <w:r w:rsidRPr="001B4A02">
              <w:rPr>
                <w:rFonts w:ascii="Symbol" w:hAnsi="Symbol"/>
                <w:sz w:val="22"/>
                <w:szCs w:val="22"/>
                <w:vertAlign w:val="superscript"/>
                <w:lang w:val="cs-CZ"/>
              </w:rPr>
              <w:sym w:font="Symbol" w:char="F02A"/>
            </w:r>
          </w:p>
        </w:tc>
      </w:tr>
      <w:tr w:rsidR="00534A2D" w14:paraId="447CD167" w14:textId="77777777" w:rsidTr="00F51027">
        <w:tc>
          <w:tcPr>
            <w:tcW w:w="2977" w:type="dxa"/>
          </w:tcPr>
          <w:p w14:paraId="728AE9A8" w14:textId="77777777" w:rsidR="001F1B80" w:rsidRPr="001B4A02" w:rsidRDefault="00000000" w:rsidP="00ED48A3">
            <w:pPr>
              <w:pStyle w:val="TableText"/>
              <w:keepNext w:val="0"/>
              <w:spacing w:before="0" w:after="0" w:line="240" w:lineRule="auto"/>
              <w:rPr>
                <w:sz w:val="22"/>
                <w:szCs w:val="22"/>
                <w:lang w:val="cs-CZ"/>
              </w:rPr>
            </w:pPr>
            <w:r w:rsidRPr="001B4A02">
              <w:rPr>
                <w:sz w:val="22"/>
                <w:szCs w:val="22"/>
                <w:lang w:val="cs-CZ"/>
              </w:rPr>
              <w:t>Klinická odpověď (CR-100)</w:t>
            </w:r>
          </w:p>
        </w:tc>
        <w:tc>
          <w:tcPr>
            <w:tcW w:w="1418" w:type="dxa"/>
          </w:tcPr>
          <w:p w14:paraId="5632CC8A"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17%</w:t>
            </w:r>
          </w:p>
        </w:tc>
        <w:tc>
          <w:tcPr>
            <w:tcW w:w="2409" w:type="dxa"/>
          </w:tcPr>
          <w:p w14:paraId="75DDA35F"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41</w:t>
            </w:r>
            <w:r w:rsidR="00911165" w:rsidRPr="001B4A02">
              <w:rPr>
                <w:sz w:val="22"/>
                <w:szCs w:val="22"/>
                <w:lang w:val="cs-CZ"/>
              </w:rPr>
              <w:t> </w:t>
            </w:r>
            <w:r w:rsidRPr="001B4A02">
              <w:rPr>
                <w:sz w:val="22"/>
                <w:szCs w:val="22"/>
                <w:lang w:val="cs-CZ"/>
              </w:rPr>
              <w:t>%</w:t>
            </w:r>
            <w:r w:rsidRPr="001B4A02">
              <w:rPr>
                <w:rFonts w:ascii="Symbol" w:hAnsi="Symbol"/>
                <w:sz w:val="22"/>
                <w:szCs w:val="22"/>
                <w:vertAlign w:val="superscript"/>
                <w:lang w:val="cs-CZ"/>
              </w:rPr>
              <w:sym w:font="Symbol" w:char="F02A"/>
            </w:r>
          </w:p>
        </w:tc>
        <w:tc>
          <w:tcPr>
            <w:tcW w:w="2410" w:type="dxa"/>
          </w:tcPr>
          <w:p w14:paraId="52D15A2A"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48</w:t>
            </w:r>
            <w:r w:rsidR="00911165" w:rsidRPr="001B4A02">
              <w:rPr>
                <w:sz w:val="22"/>
                <w:szCs w:val="22"/>
                <w:lang w:val="cs-CZ"/>
              </w:rPr>
              <w:t> </w:t>
            </w:r>
            <w:r w:rsidRPr="001B4A02">
              <w:rPr>
                <w:sz w:val="22"/>
                <w:szCs w:val="22"/>
                <w:lang w:val="cs-CZ"/>
              </w:rPr>
              <w:t>%</w:t>
            </w:r>
            <w:r w:rsidRPr="001B4A02">
              <w:rPr>
                <w:rFonts w:ascii="Symbol" w:hAnsi="Symbol"/>
                <w:sz w:val="22"/>
                <w:szCs w:val="22"/>
                <w:vertAlign w:val="superscript"/>
                <w:lang w:val="cs-CZ"/>
              </w:rPr>
              <w:sym w:font="Symbol" w:char="F02A"/>
            </w:r>
          </w:p>
        </w:tc>
      </w:tr>
      <w:tr w:rsidR="00534A2D" w14:paraId="0087AD44" w14:textId="77777777" w:rsidTr="00F51027">
        <w:tc>
          <w:tcPr>
            <w:tcW w:w="2977" w:type="dxa"/>
            <w:tcBorders>
              <w:bottom w:val="single" w:sz="4" w:space="0" w:color="auto"/>
            </w:tcBorders>
          </w:tcPr>
          <w:p w14:paraId="037A3596" w14:textId="77777777" w:rsidR="001F1B80" w:rsidRPr="001B4A02" w:rsidRDefault="00000000" w:rsidP="00ED48A3">
            <w:pPr>
              <w:pStyle w:val="TableText"/>
              <w:keepNext w:val="0"/>
              <w:tabs>
                <w:tab w:val="clear" w:pos="360"/>
              </w:tabs>
              <w:spacing w:before="0" w:after="0" w:line="240" w:lineRule="auto"/>
              <w:rPr>
                <w:sz w:val="22"/>
                <w:szCs w:val="22"/>
                <w:lang w:val="cs-CZ"/>
              </w:rPr>
            </w:pPr>
            <w:r w:rsidRPr="001B4A02">
              <w:rPr>
                <w:sz w:val="22"/>
                <w:szCs w:val="22"/>
                <w:lang w:val="cs-CZ"/>
              </w:rPr>
              <w:t xml:space="preserve">Pacienti v remisi bez užívání steroidů po dobu </w:t>
            </w:r>
            <w:r w:rsidR="009D2A3C" w:rsidRPr="001B4A02">
              <w:rPr>
                <w:rFonts w:ascii="Symbol" w:hAnsi="Symbol"/>
                <w:lang w:val="cs-CZ"/>
              </w:rPr>
              <w:sym w:font="Symbol" w:char="F0B3"/>
            </w:r>
            <w:r w:rsidRPr="001B4A02">
              <w:rPr>
                <w:sz w:val="22"/>
                <w:szCs w:val="22"/>
                <w:lang w:val="cs-CZ"/>
              </w:rPr>
              <w:t> 90 dní</w:t>
            </w:r>
            <w:r w:rsidRPr="001B4A02">
              <w:rPr>
                <w:sz w:val="22"/>
                <w:szCs w:val="22"/>
                <w:vertAlign w:val="superscript"/>
                <w:lang w:val="cs-CZ"/>
              </w:rPr>
              <w:t>a</w:t>
            </w:r>
          </w:p>
        </w:tc>
        <w:tc>
          <w:tcPr>
            <w:tcW w:w="1418" w:type="dxa"/>
            <w:tcBorders>
              <w:bottom w:val="single" w:sz="4" w:space="0" w:color="auto"/>
            </w:tcBorders>
          </w:tcPr>
          <w:p w14:paraId="026674D1"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5</w:t>
            </w:r>
            <w:r w:rsidR="00911165" w:rsidRPr="001B4A02">
              <w:rPr>
                <w:sz w:val="22"/>
                <w:szCs w:val="22"/>
                <w:lang w:val="cs-CZ"/>
              </w:rPr>
              <w:t> </w:t>
            </w:r>
            <w:r w:rsidRPr="001B4A02">
              <w:rPr>
                <w:sz w:val="22"/>
                <w:szCs w:val="22"/>
                <w:lang w:val="cs-CZ"/>
              </w:rPr>
              <w:t>% (3 z 66)</w:t>
            </w:r>
          </w:p>
        </w:tc>
        <w:tc>
          <w:tcPr>
            <w:tcW w:w="2409" w:type="dxa"/>
            <w:tcBorders>
              <w:bottom w:val="single" w:sz="4" w:space="0" w:color="auto"/>
            </w:tcBorders>
          </w:tcPr>
          <w:p w14:paraId="2F9C27AE"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29</w:t>
            </w:r>
            <w:r w:rsidR="00911165" w:rsidRPr="001B4A02">
              <w:rPr>
                <w:sz w:val="22"/>
                <w:szCs w:val="22"/>
                <w:lang w:val="cs-CZ"/>
              </w:rPr>
              <w:t> </w:t>
            </w:r>
            <w:r w:rsidRPr="001B4A02">
              <w:rPr>
                <w:sz w:val="22"/>
                <w:szCs w:val="22"/>
                <w:lang w:val="cs-CZ"/>
              </w:rPr>
              <w:t>% (17 z</w:t>
            </w:r>
            <w:r w:rsidR="00911165" w:rsidRPr="001B4A02">
              <w:rPr>
                <w:sz w:val="22"/>
                <w:szCs w:val="22"/>
                <w:lang w:val="cs-CZ"/>
              </w:rPr>
              <w:t> </w:t>
            </w:r>
            <w:r w:rsidRPr="001B4A02">
              <w:rPr>
                <w:sz w:val="22"/>
                <w:szCs w:val="22"/>
                <w:lang w:val="cs-CZ"/>
              </w:rPr>
              <w:t>58)</w:t>
            </w:r>
            <w:r w:rsidRPr="001B4A02">
              <w:rPr>
                <w:rFonts w:ascii="Symbol" w:hAnsi="Symbol"/>
                <w:sz w:val="22"/>
                <w:szCs w:val="22"/>
                <w:vertAlign w:val="superscript"/>
                <w:lang w:val="cs-CZ"/>
              </w:rPr>
              <w:sym w:font="Symbol" w:char="F02A"/>
            </w:r>
          </w:p>
        </w:tc>
        <w:tc>
          <w:tcPr>
            <w:tcW w:w="2410" w:type="dxa"/>
            <w:tcBorders>
              <w:bottom w:val="single" w:sz="4" w:space="0" w:color="auto"/>
            </w:tcBorders>
          </w:tcPr>
          <w:p w14:paraId="14AB0912" w14:textId="77777777" w:rsidR="001F1B80" w:rsidRPr="001B4A02" w:rsidRDefault="00000000" w:rsidP="00ED48A3">
            <w:pPr>
              <w:pStyle w:val="TableText"/>
              <w:keepNext w:val="0"/>
              <w:spacing w:before="0" w:after="0" w:line="240" w:lineRule="auto"/>
              <w:jc w:val="center"/>
              <w:rPr>
                <w:sz w:val="22"/>
                <w:szCs w:val="22"/>
                <w:lang w:val="cs-CZ"/>
              </w:rPr>
            </w:pPr>
            <w:r w:rsidRPr="001B4A02">
              <w:rPr>
                <w:sz w:val="22"/>
                <w:szCs w:val="22"/>
                <w:lang w:val="cs-CZ"/>
              </w:rPr>
              <w:t>20</w:t>
            </w:r>
            <w:r w:rsidR="00911165" w:rsidRPr="001B4A02">
              <w:rPr>
                <w:sz w:val="22"/>
                <w:szCs w:val="22"/>
                <w:lang w:val="cs-CZ"/>
              </w:rPr>
              <w:t> </w:t>
            </w:r>
            <w:r w:rsidRPr="001B4A02">
              <w:rPr>
                <w:sz w:val="22"/>
                <w:szCs w:val="22"/>
                <w:lang w:val="cs-CZ"/>
              </w:rPr>
              <w:t>% (15 ze 74)</w:t>
            </w:r>
            <w:r w:rsidRPr="001B4A02">
              <w:rPr>
                <w:rFonts w:ascii="Symbol" w:hAnsi="Symbol"/>
                <w:sz w:val="22"/>
                <w:szCs w:val="22"/>
                <w:vertAlign w:val="superscript"/>
                <w:lang w:val="cs-CZ"/>
              </w:rPr>
              <w:sym w:font="Symbol" w:char="F02A"/>
            </w:r>
            <w:r w:rsidRPr="001B4A02">
              <w:rPr>
                <w:rFonts w:ascii="Symbol" w:hAnsi="Symbol"/>
                <w:sz w:val="22"/>
                <w:szCs w:val="22"/>
                <w:vertAlign w:val="superscript"/>
                <w:lang w:val="cs-CZ"/>
              </w:rPr>
              <w:sym w:font="Symbol" w:char="F02A"/>
            </w:r>
          </w:p>
        </w:tc>
      </w:tr>
      <w:tr w:rsidR="00534A2D" w14:paraId="2FFC51FE" w14:textId="77777777" w:rsidTr="00F51027">
        <w:trPr>
          <w:cantSplit/>
        </w:trPr>
        <w:tc>
          <w:tcPr>
            <w:tcW w:w="9214" w:type="dxa"/>
            <w:gridSpan w:val="4"/>
            <w:tcBorders>
              <w:top w:val="single" w:sz="4" w:space="0" w:color="auto"/>
              <w:left w:val="nil"/>
              <w:bottom w:val="nil"/>
              <w:right w:val="nil"/>
            </w:tcBorders>
          </w:tcPr>
          <w:p w14:paraId="700EC63E" w14:textId="77777777" w:rsidR="001F1B80" w:rsidRPr="001B4A02" w:rsidRDefault="00000000" w:rsidP="00ED48A3">
            <w:pPr>
              <w:pStyle w:val="EMEANormal"/>
              <w:keepNext/>
              <w:tabs>
                <w:tab w:val="clear" w:pos="562"/>
                <w:tab w:val="left" w:pos="708"/>
              </w:tabs>
              <w:suppressAutoHyphens w:val="0"/>
              <w:rPr>
                <w:bCs/>
                <w:szCs w:val="22"/>
                <w:lang w:val="cs-CZ"/>
              </w:rPr>
            </w:pPr>
            <w:r w:rsidRPr="001B4A02">
              <w:rPr>
                <w:rFonts w:ascii="Symbol" w:hAnsi="Symbol"/>
                <w:szCs w:val="22"/>
                <w:vertAlign w:val="superscript"/>
                <w:lang w:val="cs-CZ"/>
              </w:rPr>
              <w:sym w:font="Symbol" w:char="F02A"/>
            </w:r>
            <w:r w:rsidRPr="001B4A02">
              <w:rPr>
                <w:szCs w:val="22"/>
                <w:vertAlign w:val="superscript"/>
                <w:lang w:val="cs-CZ"/>
              </w:rPr>
              <w:t xml:space="preserve"> </w:t>
            </w:r>
            <w:r w:rsidRPr="001B4A02">
              <w:rPr>
                <w:szCs w:val="22"/>
                <w:lang w:val="cs-CZ"/>
              </w:rPr>
              <w:t xml:space="preserve">p </w:t>
            </w:r>
            <w:r w:rsidRPr="001B4A02">
              <w:rPr>
                <w:rFonts w:ascii="Symbol" w:hAnsi="Symbol"/>
                <w:szCs w:val="22"/>
                <w:lang w:val="cs-CZ"/>
              </w:rPr>
              <w:sym w:font="Symbol" w:char="F03C"/>
            </w:r>
            <w:r w:rsidRPr="001B4A02">
              <w:rPr>
                <w:szCs w:val="22"/>
                <w:lang w:val="cs-CZ"/>
              </w:rPr>
              <w:t xml:space="preserve"> 0,001 </w:t>
            </w:r>
            <w:r w:rsidRPr="001B4A02">
              <w:rPr>
                <w:bCs/>
                <w:szCs w:val="22"/>
                <w:lang w:val="cs-CZ"/>
              </w:rPr>
              <w:t>párové srovnání hodnot pro přípravek Humira versus placebo</w:t>
            </w:r>
          </w:p>
          <w:p w14:paraId="01D82FBD" w14:textId="77777777" w:rsidR="001F1B80" w:rsidRPr="001B4A02" w:rsidRDefault="00000000" w:rsidP="00ED48A3">
            <w:pPr>
              <w:pStyle w:val="EMEANormal"/>
              <w:keepNext/>
              <w:tabs>
                <w:tab w:val="clear" w:pos="562"/>
                <w:tab w:val="left" w:pos="708"/>
              </w:tabs>
              <w:suppressAutoHyphens w:val="0"/>
              <w:rPr>
                <w:bCs/>
                <w:szCs w:val="22"/>
                <w:lang w:val="cs-CZ"/>
              </w:rPr>
            </w:pPr>
            <w:r w:rsidRPr="001B4A02">
              <w:rPr>
                <w:rFonts w:ascii="Symbol" w:hAnsi="Symbol"/>
                <w:bCs/>
                <w:szCs w:val="22"/>
                <w:vertAlign w:val="superscript"/>
                <w:lang w:val="cs-CZ"/>
              </w:rPr>
              <w:sym w:font="Symbol" w:char="F02A"/>
            </w:r>
            <w:r w:rsidRPr="001B4A02">
              <w:rPr>
                <w:rFonts w:ascii="Symbol" w:hAnsi="Symbol"/>
                <w:bCs/>
                <w:szCs w:val="22"/>
                <w:vertAlign w:val="superscript"/>
                <w:lang w:val="cs-CZ"/>
              </w:rPr>
              <w:sym w:font="Symbol" w:char="F02A"/>
            </w:r>
            <w:r w:rsidRPr="001B4A02">
              <w:rPr>
                <w:bCs/>
                <w:szCs w:val="22"/>
                <w:lang w:val="cs-CZ"/>
              </w:rPr>
              <w:t xml:space="preserve"> p </w:t>
            </w:r>
            <w:r w:rsidRPr="001B4A02">
              <w:rPr>
                <w:rFonts w:ascii="Symbol" w:hAnsi="Symbol"/>
                <w:bCs/>
                <w:szCs w:val="22"/>
                <w:lang w:val="cs-CZ"/>
              </w:rPr>
              <w:sym w:font="Symbol" w:char="F03C"/>
            </w:r>
            <w:r w:rsidRPr="001B4A02">
              <w:rPr>
                <w:bCs/>
                <w:szCs w:val="22"/>
                <w:lang w:val="cs-CZ"/>
              </w:rPr>
              <w:t xml:space="preserve"> 0,02 párové srovnání hodnot pro přípravek Humira versus placebo</w:t>
            </w:r>
          </w:p>
          <w:p w14:paraId="5DAC2460" w14:textId="77777777" w:rsidR="00E7724C" w:rsidRPr="001B4A02" w:rsidRDefault="00000000" w:rsidP="00ED48A3">
            <w:pPr>
              <w:pStyle w:val="EMEANormal"/>
              <w:keepNext/>
              <w:numPr>
                <w:ilvl w:val="0"/>
                <w:numId w:val="223"/>
              </w:numPr>
              <w:tabs>
                <w:tab w:val="clear" w:pos="562"/>
                <w:tab w:val="left" w:pos="299"/>
              </w:tabs>
              <w:suppressAutoHyphens w:val="0"/>
              <w:ind w:left="0" w:firstLine="0"/>
              <w:rPr>
                <w:szCs w:val="22"/>
                <w:lang w:val="cs-CZ"/>
              </w:rPr>
            </w:pPr>
            <w:r w:rsidRPr="001B4A02">
              <w:rPr>
                <w:szCs w:val="22"/>
                <w:lang w:val="cs-CZ"/>
              </w:rPr>
              <w:t>u</w:t>
            </w:r>
            <w:r w:rsidR="00965038" w:rsidRPr="001B4A02">
              <w:rPr>
                <w:szCs w:val="22"/>
                <w:lang w:val="cs-CZ"/>
              </w:rPr>
              <w:t> </w:t>
            </w:r>
            <w:r w:rsidRPr="001B4A02">
              <w:rPr>
                <w:szCs w:val="22"/>
                <w:lang w:val="cs-CZ"/>
              </w:rPr>
              <w:t>těch, kteří užívali kortikosteroidy ve výchozí situaci</w:t>
            </w:r>
          </w:p>
        </w:tc>
      </w:tr>
    </w:tbl>
    <w:p w14:paraId="7DE242F4" w14:textId="77777777" w:rsidR="00E7724C" w:rsidRPr="001B4A02" w:rsidRDefault="00E7724C" w:rsidP="00ED48A3">
      <w:pPr>
        <w:pStyle w:val="EMEANormal"/>
        <w:rPr>
          <w:szCs w:val="22"/>
          <w:lang w:val="cs-CZ"/>
        </w:rPr>
      </w:pPr>
    </w:p>
    <w:p w14:paraId="6C2F87FE" w14:textId="77777777" w:rsidR="001F1B80" w:rsidRPr="001B4A02" w:rsidRDefault="00000000" w:rsidP="00ED48A3">
      <w:pPr>
        <w:ind w:left="0" w:firstLine="0"/>
        <w:rPr>
          <w:szCs w:val="22"/>
        </w:rPr>
      </w:pPr>
      <w:r w:rsidRPr="001B4A02">
        <w:rPr>
          <w:szCs w:val="22"/>
        </w:rPr>
        <w:t xml:space="preserve">Z celkového množství pacientů, kteří </w:t>
      </w:r>
      <w:r w:rsidR="00911165" w:rsidRPr="001B4A02">
        <w:rPr>
          <w:szCs w:val="22"/>
        </w:rPr>
        <w:t xml:space="preserve">byli </w:t>
      </w:r>
      <w:r w:rsidRPr="001B4A02">
        <w:rPr>
          <w:szCs w:val="22"/>
        </w:rPr>
        <w:t>v týdnu 4 bez odpovědi na léčbu, dosáhlo v týdnu 12 odpovědi 43</w:t>
      </w:r>
      <w:r w:rsidR="008322C3" w:rsidRPr="001B4A02">
        <w:rPr>
          <w:szCs w:val="22"/>
        </w:rPr>
        <w:t> </w:t>
      </w:r>
      <w:r w:rsidRPr="001B4A02">
        <w:rPr>
          <w:szCs w:val="22"/>
        </w:rPr>
        <w:t>% pacientů léčených přípravkem Humira, ve srovnání s 30</w:t>
      </w:r>
      <w:r w:rsidR="008322C3" w:rsidRPr="001B4A02">
        <w:rPr>
          <w:szCs w:val="22"/>
        </w:rPr>
        <w:t> </w:t>
      </w:r>
      <w:r w:rsidRPr="001B4A02">
        <w:rPr>
          <w:szCs w:val="22"/>
        </w:rPr>
        <w:t>% pacientů, jež dostávali placebo. Tyto výsledky naznačují, že někteří pacienti, kteří nedosáhli odpovědi v týdnu 4</w:t>
      </w:r>
      <w:r w:rsidR="008322C3" w:rsidRPr="001B4A02">
        <w:rPr>
          <w:szCs w:val="22"/>
        </w:rPr>
        <w:t>,</w:t>
      </w:r>
      <w:r w:rsidRPr="001B4A02">
        <w:rPr>
          <w:szCs w:val="22"/>
        </w:rPr>
        <w:t xml:space="preserve"> profitují z pokračování udržovací léčby do týdne 12. Léčba pokračující po 12 týdnu nevedla k významně více odpovědím (viz bod 4.2).</w:t>
      </w:r>
    </w:p>
    <w:p w14:paraId="76811720" w14:textId="77777777" w:rsidR="001F1B80" w:rsidRPr="001B4A02" w:rsidRDefault="001F1B80" w:rsidP="00ED48A3">
      <w:pPr>
        <w:rPr>
          <w:szCs w:val="22"/>
        </w:rPr>
      </w:pPr>
    </w:p>
    <w:p w14:paraId="51613091" w14:textId="77777777" w:rsidR="00E7724C" w:rsidRPr="001B4A02" w:rsidRDefault="00000000" w:rsidP="00ED48A3">
      <w:pPr>
        <w:ind w:left="0" w:firstLine="0"/>
        <w:rPr>
          <w:bCs/>
        </w:rPr>
      </w:pPr>
      <w:r w:rsidRPr="001B4A02">
        <w:rPr>
          <w:szCs w:val="22"/>
        </w:rPr>
        <w:t>117 z 276 pacientů</w:t>
      </w:r>
      <w:r w:rsidRPr="001B4A02">
        <w:t xml:space="preserve"> účastnících se studie CD I</w:t>
      </w:r>
      <w:r w:rsidR="002378E0">
        <w:t xml:space="preserve"> a </w:t>
      </w:r>
      <w:r w:rsidRPr="001B4A02">
        <w:t>272 ze 777 pacientů účastnících se studie CD II</w:t>
      </w:r>
      <w:r w:rsidR="002378E0">
        <w:t xml:space="preserve"> a </w:t>
      </w:r>
      <w:r w:rsidRPr="001B4A02">
        <w:t>III pokračovalo v </w:t>
      </w:r>
      <w:r w:rsidR="005D5238" w:rsidRPr="001B4A02">
        <w:t>po</w:t>
      </w:r>
      <w:r w:rsidRPr="001B4A02">
        <w:t>užívání adalimumabu po dobu minimálně 3 let v otevřené fázi studie. 88 z těchto 117</w:t>
      </w:r>
      <w:r w:rsidR="002378E0">
        <w:t xml:space="preserve"> a </w:t>
      </w:r>
      <w:r w:rsidRPr="001B4A02">
        <w:t>189 z těchto 272 pacientů dospělo ke klinické remisi. Klinická odpověď (CR-100) přetrvávala u</w:t>
      </w:r>
      <w:r w:rsidR="00AC0F38" w:rsidRPr="001B4A02">
        <w:t> </w:t>
      </w:r>
      <w:r w:rsidRPr="001B4A02">
        <w:t>102 pacientů z těchto 117</w:t>
      </w:r>
      <w:r w:rsidR="002378E0">
        <w:t xml:space="preserve"> a </w:t>
      </w:r>
      <w:r w:rsidRPr="001B4A02">
        <w:t>u</w:t>
      </w:r>
      <w:r w:rsidR="00AC0F38" w:rsidRPr="001B4A02">
        <w:t> </w:t>
      </w:r>
      <w:r w:rsidRPr="001B4A02">
        <w:t>233 z těchto 272 pacientů.</w:t>
      </w:r>
    </w:p>
    <w:p w14:paraId="189113F4" w14:textId="77777777" w:rsidR="00E7724C" w:rsidRPr="001B4A02" w:rsidRDefault="00E7724C" w:rsidP="00ED48A3">
      <w:pPr>
        <w:rPr>
          <w:bCs/>
        </w:rPr>
      </w:pPr>
    </w:p>
    <w:p w14:paraId="10B732FD" w14:textId="77777777" w:rsidR="001F1B80" w:rsidRPr="001B4A02" w:rsidRDefault="00000000" w:rsidP="003B610F">
      <w:pPr>
        <w:pStyle w:val="EMEANormal"/>
        <w:keepNext/>
        <w:tabs>
          <w:tab w:val="clear" w:pos="562"/>
          <w:tab w:val="left" w:pos="708"/>
        </w:tabs>
        <w:suppressAutoHyphens w:val="0"/>
        <w:rPr>
          <w:i/>
          <w:u w:val="single"/>
          <w:lang w:val="cs-CZ"/>
        </w:rPr>
      </w:pPr>
      <w:r w:rsidRPr="001B4A02">
        <w:rPr>
          <w:i/>
          <w:u w:val="single"/>
          <w:lang w:val="cs-CZ"/>
        </w:rPr>
        <w:t>Kvalita života</w:t>
      </w:r>
    </w:p>
    <w:p w14:paraId="5F2BC1FD" w14:textId="77777777" w:rsidR="001F1B80" w:rsidRPr="001B4A02" w:rsidRDefault="001F1B80" w:rsidP="003B610F">
      <w:pPr>
        <w:pStyle w:val="EMEANormal"/>
        <w:keepNext/>
        <w:tabs>
          <w:tab w:val="clear" w:pos="562"/>
          <w:tab w:val="left" w:pos="708"/>
        </w:tabs>
        <w:suppressAutoHyphens w:val="0"/>
        <w:rPr>
          <w:lang w:val="cs-CZ"/>
        </w:rPr>
      </w:pPr>
    </w:p>
    <w:p w14:paraId="2CBDFBF3" w14:textId="77777777" w:rsidR="00E7724C" w:rsidRPr="001B4A02" w:rsidRDefault="00000000" w:rsidP="00ED48A3">
      <w:pPr>
        <w:pStyle w:val="EMEANormal"/>
        <w:rPr>
          <w:bCs/>
          <w:lang w:val="cs-CZ"/>
        </w:rPr>
      </w:pPr>
      <w:r w:rsidRPr="001B4A02">
        <w:rPr>
          <w:lang w:val="cs-CZ"/>
        </w:rPr>
        <w:t>Ve studiích CD I</w:t>
      </w:r>
      <w:r w:rsidR="002378E0">
        <w:rPr>
          <w:lang w:val="cs-CZ"/>
        </w:rPr>
        <w:t xml:space="preserve"> a </w:t>
      </w:r>
      <w:r w:rsidRPr="001B4A02">
        <w:rPr>
          <w:lang w:val="cs-CZ"/>
        </w:rPr>
        <w:t>CD II bylo v týdnu 4 u</w:t>
      </w:r>
      <w:r w:rsidR="00AC0F38" w:rsidRPr="001B4A02">
        <w:rPr>
          <w:lang w:val="cs-CZ"/>
        </w:rPr>
        <w:t> </w:t>
      </w:r>
      <w:r w:rsidRPr="001B4A02">
        <w:rPr>
          <w:lang w:val="cs-CZ"/>
        </w:rPr>
        <w:t xml:space="preserve">pacientů, randomizovaných do skupin </w:t>
      </w:r>
      <w:r w:rsidR="005D5238" w:rsidRPr="001B4A02">
        <w:rPr>
          <w:lang w:val="cs-CZ"/>
        </w:rPr>
        <w:t>po</w:t>
      </w:r>
      <w:r w:rsidRPr="001B4A02">
        <w:rPr>
          <w:lang w:val="cs-CZ"/>
        </w:rPr>
        <w:t>užívajících přípravek Humira v dávce 80/40 mg</w:t>
      </w:r>
      <w:r w:rsidR="002378E0">
        <w:rPr>
          <w:lang w:val="cs-CZ"/>
        </w:rPr>
        <w:t xml:space="preserve"> a </w:t>
      </w:r>
      <w:r w:rsidRPr="001B4A02">
        <w:rPr>
          <w:lang w:val="cs-CZ"/>
        </w:rPr>
        <w:t>160/80 mg, dosaženo, ve srovnání s placebem, úplného skóre ve specifickém, na chorobu zaměřeném dotazníku IBDQ (inflammatory bowel disease questionnaire), u studie CD III v týdnech 26</w:t>
      </w:r>
      <w:r w:rsidR="002378E0">
        <w:rPr>
          <w:lang w:val="cs-CZ"/>
        </w:rPr>
        <w:t xml:space="preserve"> a </w:t>
      </w:r>
      <w:r w:rsidRPr="001B4A02">
        <w:rPr>
          <w:lang w:val="cs-CZ"/>
        </w:rPr>
        <w:t>56 byly tyto výsledky rovněž pozorovány ve skupině léčené adalimumabem, v porovnání se skupinou léčenou placebem.</w:t>
      </w:r>
    </w:p>
    <w:p w14:paraId="0F77687B" w14:textId="77777777" w:rsidR="00E7724C" w:rsidRPr="001B4A02" w:rsidRDefault="00E7724C" w:rsidP="00ED48A3">
      <w:pPr>
        <w:pStyle w:val="EMEANormal"/>
        <w:rPr>
          <w:bCs/>
          <w:lang w:val="cs-CZ"/>
        </w:rPr>
      </w:pPr>
    </w:p>
    <w:p w14:paraId="72EFE9EF" w14:textId="77777777" w:rsidR="001F1B80" w:rsidRPr="001B4A02" w:rsidRDefault="00000000" w:rsidP="003B610F">
      <w:pPr>
        <w:keepNext/>
        <w:ind w:left="0" w:firstLine="0"/>
        <w:rPr>
          <w:i/>
        </w:rPr>
      </w:pPr>
      <w:r w:rsidRPr="001B4A02">
        <w:rPr>
          <w:i/>
        </w:rPr>
        <w:t>Ulcerózní kolitida</w:t>
      </w:r>
    </w:p>
    <w:p w14:paraId="78EE58F4" w14:textId="77777777" w:rsidR="001F1B80" w:rsidRPr="001B4A02" w:rsidRDefault="001F1B80" w:rsidP="003B610F">
      <w:pPr>
        <w:keepNext/>
        <w:ind w:left="0" w:firstLine="0"/>
      </w:pPr>
    </w:p>
    <w:p w14:paraId="6AD76E77" w14:textId="77777777" w:rsidR="001F1B80" w:rsidRPr="001B4A02" w:rsidRDefault="00000000" w:rsidP="00ED48A3">
      <w:pPr>
        <w:pStyle w:val="EMEANormal"/>
        <w:tabs>
          <w:tab w:val="clear" w:pos="562"/>
          <w:tab w:val="left" w:pos="708"/>
        </w:tabs>
        <w:suppressAutoHyphens w:val="0"/>
        <w:rPr>
          <w:lang w:val="cs-CZ"/>
        </w:rPr>
      </w:pPr>
      <w:r w:rsidRPr="001B4A02">
        <w:rPr>
          <w:lang w:val="cs-CZ"/>
        </w:rPr>
        <w:t>Bezpečnost</w:t>
      </w:r>
      <w:r w:rsidR="002378E0">
        <w:rPr>
          <w:lang w:val="cs-CZ"/>
        </w:rPr>
        <w:t xml:space="preserve"> a </w:t>
      </w:r>
      <w:r w:rsidRPr="001B4A02">
        <w:rPr>
          <w:lang w:val="cs-CZ"/>
        </w:rPr>
        <w:t>účinnost vícenásobného podání přípravku Humira byla ověřena u</w:t>
      </w:r>
      <w:r w:rsidR="00FC4306" w:rsidRPr="001B4A02">
        <w:rPr>
          <w:lang w:val="cs-CZ"/>
        </w:rPr>
        <w:t> </w:t>
      </w:r>
      <w:r w:rsidRPr="001B4A02">
        <w:rPr>
          <w:lang w:val="cs-CZ"/>
        </w:rPr>
        <w:t>dospělých pacientů se středně těžkou až těžkou aktivní ulcerózní kolitidou (Mayo skóre 6 až 12 včetně endoskopického podskóre od 2 do 3) v randomizovaných dvojitě zaslepených placebem kontrolovaných studiích.</w:t>
      </w:r>
    </w:p>
    <w:p w14:paraId="65B5C5BC" w14:textId="77777777" w:rsidR="001F1B80" w:rsidRPr="001B4A02" w:rsidRDefault="001F1B80" w:rsidP="00ED48A3">
      <w:pPr>
        <w:pStyle w:val="EMEANormal"/>
        <w:tabs>
          <w:tab w:val="clear" w:pos="562"/>
          <w:tab w:val="left" w:pos="708"/>
        </w:tabs>
        <w:suppressAutoHyphens w:val="0"/>
        <w:rPr>
          <w:lang w:val="cs-CZ"/>
        </w:rPr>
      </w:pPr>
    </w:p>
    <w:p w14:paraId="096FBCE7" w14:textId="77777777" w:rsidR="001F1B80" w:rsidRPr="001B4A02" w:rsidRDefault="00000000" w:rsidP="00ED48A3">
      <w:pPr>
        <w:ind w:left="0" w:firstLine="0"/>
      </w:pPr>
      <w:r w:rsidRPr="001B4A02">
        <w:t>Ve studii UC-I bylo zařazeno 390 pacientů v minulosti antagonisty TNF neléčených (naivních), kteří byli randomizováni do skupin, kdy jim bylo podáváno buď placebo v týdnu 0</w:t>
      </w:r>
      <w:r w:rsidR="002378E0">
        <w:t xml:space="preserve"> a </w:t>
      </w:r>
      <w:r w:rsidRPr="001B4A02">
        <w:t>2</w:t>
      </w:r>
      <w:r w:rsidR="002378E0">
        <w:t xml:space="preserve"> a </w:t>
      </w:r>
      <w:r w:rsidRPr="001B4A02">
        <w:t>160</w:t>
      </w:r>
      <w:r w:rsidR="00874DE1">
        <w:t> mg</w:t>
      </w:r>
      <w:r w:rsidRPr="001B4A02">
        <w:t xml:space="preserve"> přípravku Humira v týdnu 0</w:t>
      </w:r>
      <w:r w:rsidR="002378E0">
        <w:t xml:space="preserve"> a </w:t>
      </w:r>
      <w:r w:rsidRPr="001B4A02">
        <w:t>následně 80</w:t>
      </w:r>
      <w:r w:rsidR="00874DE1">
        <w:t> mg</w:t>
      </w:r>
      <w:r w:rsidRPr="001B4A02">
        <w:t xml:space="preserve"> v týdnu 2</w:t>
      </w:r>
      <w:r w:rsidR="004629A3" w:rsidRPr="001B4A02">
        <w:t>,</w:t>
      </w:r>
      <w:r w:rsidRPr="001B4A02">
        <w:t xml:space="preserve"> nebo 80</w:t>
      </w:r>
      <w:r w:rsidR="00874DE1">
        <w:t> mg</w:t>
      </w:r>
      <w:r w:rsidRPr="001B4A02">
        <w:t xml:space="preserve"> přípravku Humira v týdnu 0</w:t>
      </w:r>
      <w:r w:rsidR="002378E0">
        <w:t xml:space="preserve"> a </w:t>
      </w:r>
      <w:r w:rsidRPr="001B4A02">
        <w:t>následně 40</w:t>
      </w:r>
      <w:r w:rsidR="00874DE1">
        <w:t> mg</w:t>
      </w:r>
      <w:r w:rsidRPr="001B4A02">
        <w:t xml:space="preserve"> v týdnu 2. Po týdnu 2 dostávali pacienti v obou ramenech s adalimumabem dávku 40</w:t>
      </w:r>
      <w:r w:rsidR="00874DE1">
        <w:t> mg</w:t>
      </w:r>
      <w:r w:rsidRPr="001B4A02">
        <w:t xml:space="preserve"> každý druhý týden. Klinická remise (definovaná jako Mayo skóre ≤ 2 bez podskóre &gt; 1) byla hodnocena v</w:t>
      </w:r>
      <w:r w:rsidR="004629A3" w:rsidRPr="001B4A02">
        <w:t> </w:t>
      </w:r>
      <w:r w:rsidRPr="001B4A02">
        <w:t>týdnu 8.</w:t>
      </w:r>
    </w:p>
    <w:p w14:paraId="1EAEAA35" w14:textId="77777777" w:rsidR="001F1B80" w:rsidRPr="001B4A02" w:rsidRDefault="001F1B80" w:rsidP="00ED48A3">
      <w:pPr>
        <w:ind w:left="0" w:firstLine="0"/>
      </w:pPr>
    </w:p>
    <w:p w14:paraId="2DC48740" w14:textId="77777777" w:rsidR="001F1B80" w:rsidRPr="001B4A02" w:rsidRDefault="00000000" w:rsidP="00ED48A3">
      <w:pPr>
        <w:ind w:left="0" w:firstLine="0"/>
      </w:pPr>
      <w:r w:rsidRPr="001B4A02">
        <w:t>Ve studii UC-II dostávalo 248 pacientů dávku 160</w:t>
      </w:r>
      <w:r w:rsidR="00874DE1">
        <w:t> mg</w:t>
      </w:r>
      <w:r w:rsidRPr="001B4A02">
        <w:t xml:space="preserve"> přípravku Humira v týdnu 0, 80</w:t>
      </w:r>
      <w:r w:rsidR="00874DE1">
        <w:t> mg</w:t>
      </w:r>
      <w:r w:rsidRPr="001B4A02">
        <w:t xml:space="preserve"> v týdnu 2</w:t>
      </w:r>
      <w:r w:rsidR="002378E0">
        <w:t xml:space="preserve"> a </w:t>
      </w:r>
      <w:r w:rsidRPr="001B4A02">
        <w:t>následně 40</w:t>
      </w:r>
      <w:r w:rsidR="00874DE1">
        <w:t> mg</w:t>
      </w:r>
      <w:r w:rsidRPr="001B4A02">
        <w:t xml:space="preserve"> každý druhý týden</w:t>
      </w:r>
      <w:r w:rsidR="002378E0">
        <w:t xml:space="preserve"> a </w:t>
      </w:r>
      <w:r w:rsidRPr="001B4A02">
        <w:t>246 pacientů dostávalo placebo. U</w:t>
      </w:r>
      <w:r w:rsidR="004629A3" w:rsidRPr="001B4A02">
        <w:t> </w:t>
      </w:r>
      <w:r w:rsidRPr="001B4A02">
        <w:t>klinických výsledků byla hodnocena indukce remise v týdnu 8</w:t>
      </w:r>
      <w:r w:rsidR="002378E0">
        <w:t xml:space="preserve"> a </w:t>
      </w:r>
      <w:r w:rsidRPr="001B4A02">
        <w:t>přetrvávání remise do týdne 52.</w:t>
      </w:r>
    </w:p>
    <w:p w14:paraId="67856D7A" w14:textId="77777777" w:rsidR="001F1B80" w:rsidRPr="001B4A02" w:rsidRDefault="001F1B80" w:rsidP="00ED48A3">
      <w:pPr>
        <w:ind w:left="0" w:firstLine="0"/>
      </w:pPr>
    </w:p>
    <w:p w14:paraId="04C5C940" w14:textId="77777777" w:rsidR="001F1B80" w:rsidRPr="001B4A02" w:rsidRDefault="00000000" w:rsidP="00ED48A3">
      <w:pPr>
        <w:pStyle w:val="EMEANormal"/>
        <w:rPr>
          <w:lang w:val="cs-CZ"/>
        </w:rPr>
      </w:pPr>
      <w:r w:rsidRPr="001B4A02">
        <w:rPr>
          <w:lang w:val="cs-CZ"/>
        </w:rPr>
        <w:t>Pacienti, u</w:t>
      </w:r>
      <w:r w:rsidR="004629A3" w:rsidRPr="001B4A02">
        <w:rPr>
          <w:lang w:val="cs-CZ"/>
        </w:rPr>
        <w:t> </w:t>
      </w:r>
      <w:r w:rsidRPr="001B4A02">
        <w:rPr>
          <w:lang w:val="cs-CZ"/>
        </w:rPr>
        <w:t>nichž byla léčba zahájena dávkou 160/80</w:t>
      </w:r>
      <w:r w:rsidR="00874DE1">
        <w:rPr>
          <w:lang w:val="cs-CZ"/>
        </w:rPr>
        <w:t> mg</w:t>
      </w:r>
      <w:r w:rsidRPr="001B4A02">
        <w:rPr>
          <w:lang w:val="cs-CZ"/>
        </w:rPr>
        <w:t xml:space="preserve"> přípravku Humira, dosáhli klinické remise v</w:t>
      </w:r>
      <w:r w:rsidR="004629A3" w:rsidRPr="001B4A02">
        <w:rPr>
          <w:lang w:val="cs-CZ"/>
        </w:rPr>
        <w:t> </w:t>
      </w:r>
      <w:r w:rsidRPr="001B4A02">
        <w:rPr>
          <w:lang w:val="cs-CZ"/>
        </w:rPr>
        <w:t>týdnu 8 v signifikantně vyšším procentu v porovnání s placebem,</w:t>
      </w:r>
      <w:r w:rsidR="002378E0">
        <w:rPr>
          <w:lang w:val="cs-CZ"/>
        </w:rPr>
        <w:t xml:space="preserve"> a </w:t>
      </w:r>
      <w:r w:rsidRPr="001B4A02">
        <w:rPr>
          <w:lang w:val="cs-CZ"/>
        </w:rPr>
        <w:t>to jak ve studii UC-I, kde remise dosáhlo 18</w:t>
      </w:r>
      <w:r w:rsidR="004629A3" w:rsidRPr="001B4A02">
        <w:rPr>
          <w:lang w:val="cs-CZ"/>
        </w:rPr>
        <w:t> </w:t>
      </w:r>
      <w:r w:rsidRPr="001B4A02">
        <w:rPr>
          <w:lang w:val="cs-CZ"/>
        </w:rPr>
        <w:t>% pacientů léčených přípravkem Humira versus 9</w:t>
      </w:r>
      <w:r w:rsidR="004629A3" w:rsidRPr="001B4A02">
        <w:rPr>
          <w:lang w:val="cs-CZ"/>
        </w:rPr>
        <w:t> </w:t>
      </w:r>
      <w:r w:rsidRPr="001B4A02">
        <w:rPr>
          <w:lang w:val="cs-CZ"/>
        </w:rPr>
        <w:t>% pacientů léčených placebem (p=0,031), tak ve studii UC-II, kde remise dosáhlo 17</w:t>
      </w:r>
      <w:r w:rsidR="004629A3" w:rsidRPr="001B4A02">
        <w:rPr>
          <w:lang w:val="cs-CZ"/>
        </w:rPr>
        <w:t> </w:t>
      </w:r>
      <w:r w:rsidRPr="001B4A02">
        <w:rPr>
          <w:lang w:val="cs-CZ"/>
        </w:rPr>
        <w:t>% pacientů léčených přípravkem Humira versus 9</w:t>
      </w:r>
      <w:r w:rsidR="004629A3" w:rsidRPr="001B4A02">
        <w:rPr>
          <w:lang w:val="cs-CZ"/>
        </w:rPr>
        <w:t> </w:t>
      </w:r>
      <w:r w:rsidRPr="001B4A02">
        <w:rPr>
          <w:lang w:val="cs-CZ"/>
        </w:rPr>
        <w:t>% pacientů léčených placebem (p=0,019). U</w:t>
      </w:r>
      <w:r w:rsidR="004629A3" w:rsidRPr="001B4A02">
        <w:rPr>
          <w:lang w:val="cs-CZ"/>
        </w:rPr>
        <w:t> </w:t>
      </w:r>
      <w:r w:rsidRPr="001B4A02">
        <w:rPr>
          <w:lang w:val="cs-CZ"/>
        </w:rPr>
        <w:t>21 ze 41 subjektů (51</w:t>
      </w:r>
      <w:r w:rsidR="004629A3" w:rsidRPr="001B4A02">
        <w:rPr>
          <w:lang w:val="cs-CZ"/>
        </w:rPr>
        <w:t> </w:t>
      </w:r>
      <w:r w:rsidRPr="001B4A02">
        <w:rPr>
          <w:lang w:val="cs-CZ"/>
        </w:rPr>
        <w:t>%), jimž byl ve studii UC-II podáván přípravek Humira</w:t>
      </w:r>
      <w:r w:rsidR="002378E0">
        <w:rPr>
          <w:lang w:val="cs-CZ"/>
        </w:rPr>
        <w:t xml:space="preserve"> a </w:t>
      </w:r>
      <w:r w:rsidRPr="001B4A02">
        <w:rPr>
          <w:lang w:val="cs-CZ"/>
        </w:rPr>
        <w:t>kte</w:t>
      </w:r>
      <w:r w:rsidR="009E024F">
        <w:rPr>
          <w:lang w:val="cs-CZ"/>
        </w:rPr>
        <w:t>ré</w:t>
      </w:r>
      <w:r w:rsidRPr="001B4A02">
        <w:rPr>
          <w:lang w:val="cs-CZ"/>
        </w:rPr>
        <w:t xml:space="preserve"> dosáhl</w:t>
      </w:r>
      <w:r w:rsidR="009E024F">
        <w:rPr>
          <w:lang w:val="cs-CZ"/>
        </w:rPr>
        <w:t>y</w:t>
      </w:r>
      <w:r w:rsidRPr="001B4A02">
        <w:rPr>
          <w:lang w:val="cs-CZ"/>
        </w:rPr>
        <w:t xml:space="preserve"> remise v týdnu 8, bylo dosaženo remise i v týdnu 52.</w:t>
      </w:r>
    </w:p>
    <w:p w14:paraId="32C64D41" w14:textId="77777777" w:rsidR="00D61165" w:rsidRPr="001B4A02" w:rsidRDefault="00D61165" w:rsidP="00ED48A3">
      <w:pPr>
        <w:ind w:left="0" w:firstLine="0"/>
      </w:pPr>
    </w:p>
    <w:p w14:paraId="7C8E8882" w14:textId="77777777" w:rsidR="00D61165" w:rsidRPr="001B4A02" w:rsidRDefault="00000000" w:rsidP="00ED48A3">
      <w:pPr>
        <w:ind w:left="0" w:firstLine="0"/>
      </w:pPr>
      <w:r w:rsidRPr="001B4A02">
        <w:t xml:space="preserve">Výsledky z celé populace studie UC-II jsou zobrazeny v tabulce </w:t>
      </w:r>
      <w:r w:rsidR="00E331EB">
        <w:t>16</w:t>
      </w:r>
      <w:r w:rsidRPr="001B4A02">
        <w:t>.</w:t>
      </w:r>
    </w:p>
    <w:p w14:paraId="0317D186" w14:textId="77777777" w:rsidR="004C2FD7" w:rsidRPr="001B4A02" w:rsidRDefault="004C2FD7" w:rsidP="00ED48A3">
      <w:pPr>
        <w:ind w:left="0" w:firstLine="0"/>
      </w:pPr>
    </w:p>
    <w:p w14:paraId="43CDC38B" w14:textId="77777777" w:rsidR="00E7724C" w:rsidRPr="001B4A02" w:rsidRDefault="00000000" w:rsidP="00ED48A3">
      <w:pPr>
        <w:pStyle w:val="EMEANormal"/>
        <w:jc w:val="center"/>
        <w:rPr>
          <w:rFonts w:eastAsia="Arial Unicode MS"/>
          <w:b/>
          <w:bCs/>
          <w:szCs w:val="22"/>
          <w:lang w:val="cs-CZ"/>
        </w:rPr>
      </w:pPr>
      <w:r w:rsidRPr="001B4A02">
        <w:rPr>
          <w:rFonts w:eastAsia="Arial Unicode MS"/>
          <w:b/>
          <w:bCs/>
          <w:szCs w:val="22"/>
          <w:lang w:val="cs-CZ"/>
        </w:rPr>
        <w:t xml:space="preserve">Tabulka </w:t>
      </w:r>
      <w:r w:rsidR="00E331EB">
        <w:rPr>
          <w:rFonts w:eastAsia="Arial Unicode MS"/>
          <w:b/>
          <w:bCs/>
          <w:szCs w:val="22"/>
          <w:lang w:val="cs-CZ"/>
        </w:rPr>
        <w:t>16</w:t>
      </w:r>
    </w:p>
    <w:p w14:paraId="47D37860" w14:textId="77777777" w:rsidR="00636A15" w:rsidRPr="001B4A02" w:rsidRDefault="00000000" w:rsidP="00ED48A3">
      <w:pPr>
        <w:keepNext/>
        <w:ind w:left="0" w:firstLine="0"/>
        <w:jc w:val="center"/>
        <w:rPr>
          <w:b/>
        </w:rPr>
      </w:pPr>
      <w:r w:rsidRPr="001B4A02">
        <w:rPr>
          <w:b/>
        </w:rPr>
        <w:t>Odpovědi, remise</w:t>
      </w:r>
      <w:r w:rsidR="002378E0">
        <w:rPr>
          <w:b/>
        </w:rPr>
        <w:t xml:space="preserve"> a </w:t>
      </w:r>
      <w:r w:rsidRPr="001B4A02">
        <w:rPr>
          <w:b/>
        </w:rPr>
        <w:t>slizniční hojení ve studii UC-II</w:t>
      </w:r>
    </w:p>
    <w:p w14:paraId="16BDD34B" w14:textId="77777777" w:rsidR="00636A15" w:rsidRPr="001B4A02" w:rsidRDefault="00000000" w:rsidP="00ED48A3">
      <w:pPr>
        <w:pStyle w:val="EMEANormal"/>
        <w:jc w:val="center"/>
        <w:rPr>
          <w:rFonts w:eastAsia="Arial Unicode MS"/>
          <w:b/>
          <w:bCs/>
          <w:szCs w:val="22"/>
          <w:lang w:val="cs-CZ"/>
        </w:rPr>
      </w:pPr>
      <w:r w:rsidRPr="001B4A02">
        <w:rPr>
          <w:b/>
          <w:lang w:val="cs-CZ"/>
        </w:rPr>
        <w:t>(</w:t>
      </w:r>
      <w:r w:rsidR="004629A3" w:rsidRPr="001B4A02">
        <w:rPr>
          <w:b/>
          <w:lang w:val="cs-CZ"/>
        </w:rPr>
        <w:t>P</w:t>
      </w:r>
      <w:r w:rsidRPr="001B4A02">
        <w:rPr>
          <w:b/>
          <w:lang w:val="cs-CZ"/>
        </w:rPr>
        <w:t>rocento pacientů)</w:t>
      </w:r>
    </w:p>
    <w:tbl>
      <w:tblPr>
        <w:tblW w:w="4500" w:type="pct"/>
        <w:tblInd w:w="15" w:type="dxa"/>
        <w:tblCellMar>
          <w:top w:w="15" w:type="dxa"/>
          <w:left w:w="15" w:type="dxa"/>
          <w:bottom w:w="15" w:type="dxa"/>
          <w:right w:w="15" w:type="dxa"/>
        </w:tblCellMar>
        <w:tblLook w:val="0000" w:firstRow="0" w:lastRow="0" w:firstColumn="0" w:lastColumn="0" w:noHBand="0" w:noVBand="0"/>
      </w:tblPr>
      <w:tblGrid>
        <w:gridCol w:w="4808"/>
        <w:gridCol w:w="1052"/>
        <w:gridCol w:w="2304"/>
      </w:tblGrid>
      <w:tr w:rsidR="00534A2D" w14:paraId="7F1E2F11" w14:textId="77777777" w:rsidTr="00F51027">
        <w:tc>
          <w:tcPr>
            <w:tcW w:w="2945" w:type="pct"/>
            <w:tcBorders>
              <w:top w:val="single" w:sz="6" w:space="0" w:color="000000"/>
              <w:left w:val="nil"/>
              <w:bottom w:val="single" w:sz="6" w:space="0" w:color="000000"/>
              <w:right w:val="nil"/>
            </w:tcBorders>
          </w:tcPr>
          <w:p w14:paraId="0B5FA49D" w14:textId="77777777" w:rsidR="00E7724C" w:rsidRPr="001B4A02" w:rsidRDefault="00E7724C" w:rsidP="00ED48A3">
            <w:pPr>
              <w:jc w:val="center"/>
              <w:rPr>
                <w:rFonts w:eastAsia="Arial Unicode MS"/>
              </w:rPr>
            </w:pPr>
          </w:p>
        </w:tc>
        <w:tc>
          <w:tcPr>
            <w:tcW w:w="644" w:type="pct"/>
            <w:tcBorders>
              <w:top w:val="single" w:sz="6" w:space="0" w:color="000000"/>
              <w:left w:val="nil"/>
              <w:bottom w:val="single" w:sz="6" w:space="0" w:color="000000"/>
              <w:right w:val="nil"/>
            </w:tcBorders>
          </w:tcPr>
          <w:p w14:paraId="6F3ACFA2" w14:textId="77777777" w:rsidR="00E7724C" w:rsidRPr="001B4A02" w:rsidRDefault="00000000" w:rsidP="00ED48A3">
            <w:pPr>
              <w:jc w:val="center"/>
              <w:rPr>
                <w:rFonts w:eastAsia="Arial Unicode MS"/>
              </w:rPr>
            </w:pPr>
            <w:r w:rsidRPr="001B4A02">
              <w:rPr>
                <w:rStyle w:val="bold4"/>
                <w:rFonts w:eastAsia="Arial Unicode MS"/>
              </w:rPr>
              <w:t>Placebo</w:t>
            </w:r>
            <w:r w:rsidRPr="001B4A02">
              <w:rPr>
                <w:rFonts w:eastAsia="Arial Unicode MS"/>
              </w:rPr>
              <w:br/>
            </w:r>
          </w:p>
        </w:tc>
        <w:tc>
          <w:tcPr>
            <w:tcW w:w="1411" w:type="pct"/>
            <w:tcBorders>
              <w:top w:val="single" w:sz="6" w:space="0" w:color="000000"/>
              <w:left w:val="nil"/>
              <w:bottom w:val="single" w:sz="6" w:space="0" w:color="000000"/>
              <w:right w:val="nil"/>
            </w:tcBorders>
          </w:tcPr>
          <w:p w14:paraId="3E3C6752" w14:textId="77777777" w:rsidR="00E7724C" w:rsidRPr="001B4A02" w:rsidRDefault="00000000" w:rsidP="00ED48A3">
            <w:pPr>
              <w:jc w:val="center"/>
              <w:rPr>
                <w:rStyle w:val="bold4"/>
                <w:rFonts w:eastAsia="Arial Unicode MS"/>
              </w:rPr>
            </w:pPr>
            <w:r w:rsidRPr="001B4A02">
              <w:rPr>
                <w:rStyle w:val="bold4"/>
                <w:rFonts w:eastAsia="Arial Unicode MS"/>
              </w:rPr>
              <w:t xml:space="preserve">Humira 40 mg </w:t>
            </w:r>
          </w:p>
          <w:p w14:paraId="2E549D2A" w14:textId="77777777" w:rsidR="00E7724C" w:rsidRPr="001B4A02" w:rsidRDefault="00000000" w:rsidP="00ED48A3">
            <w:pPr>
              <w:jc w:val="center"/>
              <w:rPr>
                <w:rFonts w:eastAsia="Arial Unicode MS"/>
              </w:rPr>
            </w:pPr>
            <w:r w:rsidRPr="001B4A02">
              <w:rPr>
                <w:rStyle w:val="bold4"/>
                <w:rFonts w:eastAsia="Arial Unicode MS"/>
              </w:rPr>
              <w:t>každý druhý týden</w:t>
            </w:r>
          </w:p>
        </w:tc>
      </w:tr>
      <w:tr w:rsidR="00534A2D" w14:paraId="789559CB" w14:textId="77777777" w:rsidTr="00F51027">
        <w:tc>
          <w:tcPr>
            <w:tcW w:w="2945" w:type="pct"/>
            <w:tcBorders>
              <w:top w:val="single" w:sz="6" w:space="0" w:color="000000"/>
              <w:left w:val="nil"/>
              <w:bottom w:val="single" w:sz="6" w:space="0" w:color="000000"/>
              <w:right w:val="nil"/>
            </w:tcBorders>
          </w:tcPr>
          <w:p w14:paraId="4400A513" w14:textId="77777777" w:rsidR="00636A15" w:rsidRPr="001B4A02" w:rsidRDefault="00000000" w:rsidP="00ED48A3">
            <w:pPr>
              <w:rPr>
                <w:rFonts w:eastAsia="Arial Unicode MS"/>
              </w:rPr>
            </w:pPr>
            <w:r w:rsidRPr="001B4A02">
              <w:rPr>
                <w:rFonts w:eastAsia="Arial Unicode MS"/>
              </w:rPr>
              <w:t>Týden 52</w:t>
            </w:r>
          </w:p>
        </w:tc>
        <w:tc>
          <w:tcPr>
            <w:tcW w:w="644" w:type="pct"/>
            <w:tcBorders>
              <w:top w:val="single" w:sz="6" w:space="0" w:color="000000"/>
              <w:left w:val="nil"/>
              <w:bottom w:val="single" w:sz="6" w:space="0" w:color="000000"/>
              <w:right w:val="nil"/>
            </w:tcBorders>
          </w:tcPr>
          <w:p w14:paraId="67C99427" w14:textId="77777777" w:rsidR="00636A15" w:rsidRPr="001B4A02" w:rsidRDefault="00000000" w:rsidP="00ED48A3">
            <w:pPr>
              <w:jc w:val="center"/>
              <w:rPr>
                <w:rStyle w:val="bold4"/>
                <w:rFonts w:eastAsia="Arial Unicode MS"/>
              </w:rPr>
            </w:pPr>
            <w:r>
              <w:rPr>
                <w:b/>
              </w:rPr>
              <w:t>n</w:t>
            </w:r>
            <w:r w:rsidRPr="001B4A02">
              <w:rPr>
                <w:b/>
              </w:rPr>
              <w:t>=246</w:t>
            </w:r>
          </w:p>
        </w:tc>
        <w:tc>
          <w:tcPr>
            <w:tcW w:w="1411" w:type="pct"/>
            <w:tcBorders>
              <w:top w:val="single" w:sz="6" w:space="0" w:color="000000"/>
              <w:left w:val="nil"/>
              <w:bottom w:val="single" w:sz="6" w:space="0" w:color="000000"/>
              <w:right w:val="nil"/>
            </w:tcBorders>
          </w:tcPr>
          <w:p w14:paraId="3B459C98" w14:textId="77777777" w:rsidR="00636A15" w:rsidRPr="001B4A02" w:rsidRDefault="00000000" w:rsidP="00ED48A3">
            <w:pPr>
              <w:jc w:val="center"/>
              <w:rPr>
                <w:rStyle w:val="bold4"/>
                <w:rFonts w:eastAsia="Arial Unicode MS"/>
              </w:rPr>
            </w:pPr>
            <w:r>
              <w:rPr>
                <w:b/>
              </w:rPr>
              <w:t>n</w:t>
            </w:r>
            <w:r w:rsidRPr="001B4A02">
              <w:rPr>
                <w:b/>
              </w:rPr>
              <w:t>=248</w:t>
            </w:r>
          </w:p>
        </w:tc>
      </w:tr>
      <w:tr w:rsidR="00534A2D" w14:paraId="1C6845AD" w14:textId="77777777" w:rsidTr="00F51027">
        <w:tc>
          <w:tcPr>
            <w:tcW w:w="2945" w:type="pct"/>
            <w:tcBorders>
              <w:top w:val="nil"/>
              <w:left w:val="nil"/>
              <w:right w:val="nil"/>
            </w:tcBorders>
          </w:tcPr>
          <w:p w14:paraId="14A2B423" w14:textId="77777777" w:rsidR="00636A15" w:rsidRPr="001B4A02" w:rsidRDefault="00000000" w:rsidP="00ED48A3">
            <w:pPr>
              <w:rPr>
                <w:rFonts w:eastAsia="Arial Unicode MS"/>
              </w:rPr>
            </w:pPr>
            <w:r w:rsidRPr="001B4A02">
              <w:t>Klinická odpověď</w:t>
            </w:r>
          </w:p>
        </w:tc>
        <w:tc>
          <w:tcPr>
            <w:tcW w:w="644" w:type="pct"/>
            <w:tcBorders>
              <w:top w:val="nil"/>
              <w:left w:val="nil"/>
              <w:right w:val="nil"/>
            </w:tcBorders>
          </w:tcPr>
          <w:p w14:paraId="40E57210" w14:textId="77777777" w:rsidR="00636A15" w:rsidRPr="001B4A02" w:rsidRDefault="00000000" w:rsidP="00ED48A3">
            <w:pPr>
              <w:jc w:val="center"/>
              <w:rPr>
                <w:rFonts w:eastAsia="Arial Unicode MS"/>
              </w:rPr>
            </w:pPr>
            <w:r w:rsidRPr="001B4A02">
              <w:t>18</w:t>
            </w:r>
            <w:r w:rsidR="004629A3" w:rsidRPr="001B4A02">
              <w:t> </w:t>
            </w:r>
            <w:r w:rsidRPr="001B4A02">
              <w:t>%</w:t>
            </w:r>
          </w:p>
        </w:tc>
        <w:tc>
          <w:tcPr>
            <w:tcW w:w="1411" w:type="pct"/>
            <w:tcBorders>
              <w:top w:val="nil"/>
              <w:left w:val="nil"/>
              <w:right w:val="nil"/>
            </w:tcBorders>
          </w:tcPr>
          <w:p w14:paraId="3D55B75D" w14:textId="77777777" w:rsidR="00636A15" w:rsidRPr="001B4A02" w:rsidRDefault="00000000" w:rsidP="00ED48A3">
            <w:pPr>
              <w:jc w:val="center"/>
              <w:rPr>
                <w:rFonts w:eastAsia="Arial Unicode MS"/>
                <w:sz w:val="20"/>
              </w:rPr>
            </w:pPr>
            <w:r w:rsidRPr="001B4A02">
              <w:t>30</w:t>
            </w:r>
            <w:r w:rsidR="004629A3" w:rsidRPr="001B4A02">
              <w:t> </w:t>
            </w:r>
            <w:r w:rsidRPr="001B4A02">
              <w:t>%*</w:t>
            </w:r>
          </w:p>
        </w:tc>
      </w:tr>
      <w:tr w:rsidR="00534A2D" w14:paraId="05DC7CA4" w14:textId="77777777" w:rsidTr="00F51027">
        <w:tc>
          <w:tcPr>
            <w:tcW w:w="2945" w:type="pct"/>
            <w:tcBorders>
              <w:top w:val="nil"/>
              <w:left w:val="nil"/>
              <w:right w:val="nil"/>
            </w:tcBorders>
          </w:tcPr>
          <w:p w14:paraId="6745BDFC" w14:textId="77777777" w:rsidR="00636A15" w:rsidRPr="001B4A02" w:rsidRDefault="00000000" w:rsidP="00ED48A3">
            <w:pPr>
              <w:rPr>
                <w:rFonts w:eastAsia="Arial Unicode MS"/>
              </w:rPr>
            </w:pPr>
            <w:r w:rsidRPr="001B4A02">
              <w:t>Klinická remise</w:t>
            </w:r>
          </w:p>
        </w:tc>
        <w:tc>
          <w:tcPr>
            <w:tcW w:w="644" w:type="pct"/>
            <w:tcBorders>
              <w:top w:val="nil"/>
              <w:left w:val="nil"/>
              <w:right w:val="nil"/>
            </w:tcBorders>
          </w:tcPr>
          <w:p w14:paraId="799658F7" w14:textId="77777777" w:rsidR="00636A15" w:rsidRPr="001B4A02" w:rsidRDefault="00000000" w:rsidP="00ED48A3">
            <w:pPr>
              <w:jc w:val="center"/>
              <w:rPr>
                <w:rFonts w:eastAsia="Arial Unicode MS"/>
              </w:rPr>
            </w:pPr>
            <w:r w:rsidRPr="001B4A02">
              <w:t>9</w:t>
            </w:r>
            <w:r w:rsidR="004629A3" w:rsidRPr="001B4A02">
              <w:t> </w:t>
            </w:r>
            <w:r w:rsidRPr="001B4A02">
              <w:t>%</w:t>
            </w:r>
          </w:p>
        </w:tc>
        <w:tc>
          <w:tcPr>
            <w:tcW w:w="1411" w:type="pct"/>
            <w:tcBorders>
              <w:top w:val="nil"/>
              <w:left w:val="nil"/>
              <w:right w:val="nil"/>
            </w:tcBorders>
          </w:tcPr>
          <w:p w14:paraId="17DFF591" w14:textId="77777777" w:rsidR="00636A15" w:rsidRPr="001B4A02" w:rsidRDefault="00000000" w:rsidP="00ED48A3">
            <w:pPr>
              <w:jc w:val="center"/>
              <w:rPr>
                <w:rFonts w:eastAsia="Arial Unicode MS"/>
              </w:rPr>
            </w:pPr>
            <w:r w:rsidRPr="001B4A02">
              <w:t>17</w:t>
            </w:r>
            <w:r w:rsidR="004629A3" w:rsidRPr="001B4A02">
              <w:t> </w:t>
            </w:r>
            <w:r w:rsidRPr="001B4A02">
              <w:t>%*</w:t>
            </w:r>
          </w:p>
        </w:tc>
      </w:tr>
      <w:tr w:rsidR="00534A2D" w14:paraId="637E0CD3" w14:textId="77777777" w:rsidTr="00F51027">
        <w:tc>
          <w:tcPr>
            <w:tcW w:w="2945" w:type="pct"/>
            <w:tcBorders>
              <w:top w:val="nil"/>
              <w:left w:val="nil"/>
              <w:right w:val="nil"/>
            </w:tcBorders>
          </w:tcPr>
          <w:p w14:paraId="76A6658F" w14:textId="77777777" w:rsidR="00636A15" w:rsidRPr="001B4A02" w:rsidRDefault="00000000" w:rsidP="00ED48A3">
            <w:pPr>
              <w:rPr>
                <w:rFonts w:eastAsia="Arial Unicode MS"/>
              </w:rPr>
            </w:pPr>
            <w:r w:rsidRPr="001B4A02">
              <w:t>Sliziniční hojení</w:t>
            </w:r>
          </w:p>
        </w:tc>
        <w:tc>
          <w:tcPr>
            <w:tcW w:w="644" w:type="pct"/>
            <w:tcBorders>
              <w:top w:val="nil"/>
              <w:left w:val="nil"/>
              <w:right w:val="nil"/>
            </w:tcBorders>
          </w:tcPr>
          <w:p w14:paraId="689311D0" w14:textId="77777777" w:rsidR="00636A15" w:rsidRPr="001B4A02" w:rsidRDefault="00000000" w:rsidP="00ED48A3">
            <w:pPr>
              <w:jc w:val="center"/>
              <w:rPr>
                <w:rFonts w:eastAsia="Arial Unicode MS"/>
              </w:rPr>
            </w:pPr>
            <w:r w:rsidRPr="001B4A02">
              <w:t>15</w:t>
            </w:r>
            <w:r w:rsidR="004629A3" w:rsidRPr="001B4A02">
              <w:t> </w:t>
            </w:r>
            <w:r w:rsidRPr="001B4A02">
              <w:t>%</w:t>
            </w:r>
          </w:p>
        </w:tc>
        <w:tc>
          <w:tcPr>
            <w:tcW w:w="1411" w:type="pct"/>
            <w:tcBorders>
              <w:top w:val="nil"/>
              <w:left w:val="nil"/>
              <w:right w:val="nil"/>
            </w:tcBorders>
          </w:tcPr>
          <w:p w14:paraId="6D1F43EF" w14:textId="77777777" w:rsidR="00636A15" w:rsidRPr="001B4A02" w:rsidRDefault="00000000" w:rsidP="00ED48A3">
            <w:pPr>
              <w:jc w:val="center"/>
              <w:rPr>
                <w:rFonts w:eastAsia="Arial Unicode MS"/>
              </w:rPr>
            </w:pPr>
            <w:r w:rsidRPr="001B4A02">
              <w:t>25</w:t>
            </w:r>
            <w:r w:rsidR="004629A3" w:rsidRPr="001B4A02">
              <w:t> </w:t>
            </w:r>
            <w:r w:rsidRPr="001B4A02">
              <w:t>%*</w:t>
            </w:r>
          </w:p>
        </w:tc>
      </w:tr>
      <w:tr w:rsidR="00534A2D" w14:paraId="0EB7EE6B" w14:textId="77777777" w:rsidTr="00F51027">
        <w:tc>
          <w:tcPr>
            <w:tcW w:w="2945" w:type="pct"/>
            <w:tcBorders>
              <w:top w:val="nil"/>
              <w:left w:val="nil"/>
              <w:right w:val="nil"/>
            </w:tcBorders>
          </w:tcPr>
          <w:p w14:paraId="75BEF528" w14:textId="77777777" w:rsidR="00636A15" w:rsidRPr="001B4A02" w:rsidRDefault="00000000" w:rsidP="00ED48A3">
            <w:pPr>
              <w:keepNext/>
              <w:ind w:left="0" w:firstLine="0"/>
            </w:pPr>
            <w:r w:rsidRPr="001B4A02">
              <w:t>Remise bez steroidů po ≥ 90 dní</w:t>
            </w:r>
            <w:r w:rsidRPr="001B4A02">
              <w:rPr>
                <w:vertAlign w:val="superscript"/>
              </w:rPr>
              <w:t xml:space="preserve">a </w:t>
            </w:r>
          </w:p>
          <w:p w14:paraId="39CFFF0F" w14:textId="77777777" w:rsidR="00636A15" w:rsidRPr="001B4A02" w:rsidRDefault="00636A15" w:rsidP="00ED48A3">
            <w:pPr>
              <w:rPr>
                <w:rFonts w:eastAsia="Arial Unicode MS"/>
              </w:rPr>
            </w:pPr>
          </w:p>
        </w:tc>
        <w:tc>
          <w:tcPr>
            <w:tcW w:w="644" w:type="pct"/>
            <w:tcBorders>
              <w:top w:val="nil"/>
              <w:left w:val="nil"/>
              <w:right w:val="nil"/>
            </w:tcBorders>
          </w:tcPr>
          <w:p w14:paraId="7B78C247" w14:textId="77777777" w:rsidR="00636A15" w:rsidRPr="001B4A02" w:rsidRDefault="00000000" w:rsidP="00ED48A3">
            <w:pPr>
              <w:keepNext/>
              <w:ind w:left="0" w:firstLine="0"/>
              <w:jc w:val="center"/>
            </w:pPr>
            <w:r w:rsidRPr="001B4A02">
              <w:t>6</w:t>
            </w:r>
            <w:r w:rsidR="004629A3" w:rsidRPr="001B4A02">
              <w:t> </w:t>
            </w:r>
            <w:r w:rsidRPr="001B4A02">
              <w:t>%</w:t>
            </w:r>
          </w:p>
          <w:p w14:paraId="62C22A35" w14:textId="77777777" w:rsidR="00636A15" w:rsidRPr="001B4A02" w:rsidRDefault="00000000" w:rsidP="00ED48A3">
            <w:pPr>
              <w:jc w:val="center"/>
              <w:rPr>
                <w:rFonts w:eastAsia="Arial Unicode MS"/>
              </w:rPr>
            </w:pPr>
            <w:r w:rsidRPr="001B4A02">
              <w:t>(</w:t>
            </w:r>
            <w:r w:rsidR="00E406F7">
              <w:t>n</w:t>
            </w:r>
            <w:r w:rsidRPr="001B4A02">
              <w:t>=140)</w:t>
            </w:r>
          </w:p>
        </w:tc>
        <w:tc>
          <w:tcPr>
            <w:tcW w:w="1411" w:type="pct"/>
            <w:tcBorders>
              <w:top w:val="nil"/>
              <w:left w:val="nil"/>
              <w:right w:val="nil"/>
            </w:tcBorders>
          </w:tcPr>
          <w:p w14:paraId="4DDA1C61" w14:textId="77777777" w:rsidR="00636A15" w:rsidRPr="001B4A02" w:rsidRDefault="00000000" w:rsidP="00ED48A3">
            <w:pPr>
              <w:keepNext/>
              <w:ind w:left="0" w:firstLine="0"/>
              <w:jc w:val="center"/>
            </w:pPr>
            <w:r w:rsidRPr="001B4A02">
              <w:t>13</w:t>
            </w:r>
            <w:r w:rsidR="004629A3" w:rsidRPr="001B4A02">
              <w:t> </w:t>
            </w:r>
            <w:r w:rsidRPr="001B4A02">
              <w:t>%*</w:t>
            </w:r>
          </w:p>
          <w:p w14:paraId="437F8902" w14:textId="77777777" w:rsidR="00636A15" w:rsidRPr="001B4A02" w:rsidRDefault="00000000" w:rsidP="00ED48A3">
            <w:pPr>
              <w:ind w:left="1301"/>
              <w:rPr>
                <w:rFonts w:eastAsia="Arial Unicode MS"/>
              </w:rPr>
            </w:pPr>
            <w:r w:rsidRPr="001B4A02">
              <w:t>(</w:t>
            </w:r>
            <w:r w:rsidR="00E406F7">
              <w:t>n</w:t>
            </w:r>
            <w:r w:rsidRPr="001B4A02">
              <w:t>=150)</w:t>
            </w:r>
          </w:p>
        </w:tc>
      </w:tr>
      <w:tr w:rsidR="00534A2D" w14:paraId="72C2EF19" w14:textId="77777777" w:rsidTr="00F51027">
        <w:tc>
          <w:tcPr>
            <w:tcW w:w="2945" w:type="pct"/>
            <w:tcBorders>
              <w:top w:val="nil"/>
              <w:left w:val="nil"/>
              <w:right w:val="nil"/>
            </w:tcBorders>
          </w:tcPr>
          <w:p w14:paraId="4142266F" w14:textId="77777777" w:rsidR="00636A15" w:rsidRPr="001B4A02" w:rsidRDefault="00000000" w:rsidP="00ED48A3">
            <w:pPr>
              <w:rPr>
                <w:rFonts w:eastAsia="Arial Unicode MS"/>
              </w:rPr>
            </w:pPr>
            <w:r w:rsidRPr="001B4A02">
              <w:rPr>
                <w:rFonts w:eastAsia="Arial Unicode MS"/>
              </w:rPr>
              <w:t>Týden 8</w:t>
            </w:r>
            <w:r w:rsidR="002378E0">
              <w:rPr>
                <w:rFonts w:eastAsia="Arial Unicode MS"/>
              </w:rPr>
              <w:t xml:space="preserve"> a </w:t>
            </w:r>
            <w:r w:rsidRPr="001B4A02">
              <w:rPr>
                <w:rFonts w:eastAsia="Arial Unicode MS"/>
              </w:rPr>
              <w:t>52</w:t>
            </w:r>
          </w:p>
        </w:tc>
        <w:tc>
          <w:tcPr>
            <w:tcW w:w="644" w:type="pct"/>
            <w:tcBorders>
              <w:top w:val="nil"/>
              <w:left w:val="nil"/>
              <w:right w:val="nil"/>
            </w:tcBorders>
          </w:tcPr>
          <w:p w14:paraId="21C94692" w14:textId="77777777" w:rsidR="00636A15" w:rsidRPr="001B4A02" w:rsidRDefault="00636A15" w:rsidP="00ED48A3">
            <w:pPr>
              <w:jc w:val="center"/>
              <w:rPr>
                <w:rFonts w:eastAsia="Arial Unicode MS"/>
              </w:rPr>
            </w:pPr>
          </w:p>
        </w:tc>
        <w:tc>
          <w:tcPr>
            <w:tcW w:w="1411" w:type="pct"/>
            <w:tcBorders>
              <w:top w:val="nil"/>
              <w:left w:val="nil"/>
              <w:right w:val="nil"/>
            </w:tcBorders>
          </w:tcPr>
          <w:p w14:paraId="41A50523" w14:textId="77777777" w:rsidR="00636A15" w:rsidRPr="001B4A02" w:rsidRDefault="00636A15" w:rsidP="00ED48A3">
            <w:pPr>
              <w:jc w:val="center"/>
              <w:rPr>
                <w:rFonts w:eastAsia="Arial Unicode MS"/>
              </w:rPr>
            </w:pPr>
          </w:p>
        </w:tc>
      </w:tr>
      <w:tr w:rsidR="00534A2D" w14:paraId="70AB5EEE" w14:textId="77777777" w:rsidTr="00F51027">
        <w:tc>
          <w:tcPr>
            <w:tcW w:w="2945" w:type="pct"/>
            <w:tcBorders>
              <w:top w:val="nil"/>
              <w:left w:val="nil"/>
              <w:right w:val="nil"/>
            </w:tcBorders>
          </w:tcPr>
          <w:p w14:paraId="3B5B74B0" w14:textId="77777777" w:rsidR="00636A15" w:rsidRPr="001B4A02" w:rsidRDefault="00000000" w:rsidP="00ED48A3">
            <w:pPr>
              <w:rPr>
                <w:rFonts w:eastAsia="Arial Unicode MS"/>
              </w:rPr>
            </w:pPr>
            <w:r w:rsidRPr="001B4A02">
              <w:t>Udržení odpovědi</w:t>
            </w:r>
          </w:p>
        </w:tc>
        <w:tc>
          <w:tcPr>
            <w:tcW w:w="644" w:type="pct"/>
            <w:tcBorders>
              <w:top w:val="nil"/>
              <w:left w:val="nil"/>
              <w:right w:val="nil"/>
            </w:tcBorders>
          </w:tcPr>
          <w:p w14:paraId="3E985F47" w14:textId="77777777" w:rsidR="00636A15" w:rsidRPr="001B4A02" w:rsidRDefault="00000000" w:rsidP="00ED48A3">
            <w:pPr>
              <w:jc w:val="center"/>
              <w:rPr>
                <w:rFonts w:eastAsia="Arial Unicode MS"/>
              </w:rPr>
            </w:pPr>
            <w:r w:rsidRPr="001B4A02">
              <w:t>12</w:t>
            </w:r>
            <w:r w:rsidR="004629A3" w:rsidRPr="001B4A02">
              <w:t> </w:t>
            </w:r>
            <w:r w:rsidRPr="001B4A02">
              <w:t>%</w:t>
            </w:r>
          </w:p>
        </w:tc>
        <w:tc>
          <w:tcPr>
            <w:tcW w:w="1411" w:type="pct"/>
            <w:tcBorders>
              <w:top w:val="nil"/>
              <w:left w:val="nil"/>
              <w:right w:val="nil"/>
            </w:tcBorders>
          </w:tcPr>
          <w:p w14:paraId="768BEA60" w14:textId="77777777" w:rsidR="00636A15" w:rsidRPr="001B4A02" w:rsidRDefault="00000000" w:rsidP="00ED48A3">
            <w:pPr>
              <w:jc w:val="center"/>
              <w:rPr>
                <w:rFonts w:eastAsia="Arial Unicode MS"/>
              </w:rPr>
            </w:pPr>
            <w:r w:rsidRPr="001B4A02">
              <w:t>24</w:t>
            </w:r>
            <w:r w:rsidR="004629A3" w:rsidRPr="001B4A02">
              <w:t> </w:t>
            </w:r>
            <w:r w:rsidRPr="001B4A02">
              <w:t>%**</w:t>
            </w:r>
          </w:p>
        </w:tc>
      </w:tr>
      <w:tr w:rsidR="00534A2D" w14:paraId="707D7DBB" w14:textId="77777777" w:rsidTr="00F51027">
        <w:tc>
          <w:tcPr>
            <w:tcW w:w="2945" w:type="pct"/>
            <w:tcBorders>
              <w:top w:val="nil"/>
              <w:left w:val="nil"/>
              <w:right w:val="nil"/>
            </w:tcBorders>
          </w:tcPr>
          <w:p w14:paraId="7965CC9D" w14:textId="77777777" w:rsidR="00636A15" w:rsidRPr="001B4A02" w:rsidRDefault="00000000" w:rsidP="00ED48A3">
            <w:pPr>
              <w:rPr>
                <w:rFonts w:eastAsia="Arial Unicode MS"/>
              </w:rPr>
            </w:pPr>
            <w:r w:rsidRPr="001B4A02">
              <w:t>Udržení remise</w:t>
            </w:r>
          </w:p>
        </w:tc>
        <w:tc>
          <w:tcPr>
            <w:tcW w:w="644" w:type="pct"/>
            <w:tcBorders>
              <w:top w:val="nil"/>
              <w:left w:val="nil"/>
              <w:right w:val="nil"/>
            </w:tcBorders>
          </w:tcPr>
          <w:p w14:paraId="5167A27D" w14:textId="77777777" w:rsidR="00636A15" w:rsidRPr="001B4A02" w:rsidRDefault="00000000" w:rsidP="00ED48A3">
            <w:pPr>
              <w:jc w:val="center"/>
              <w:rPr>
                <w:rFonts w:eastAsia="Arial Unicode MS"/>
              </w:rPr>
            </w:pPr>
            <w:r w:rsidRPr="001B4A02">
              <w:t>4</w:t>
            </w:r>
            <w:r w:rsidR="004629A3" w:rsidRPr="001B4A02">
              <w:t> </w:t>
            </w:r>
            <w:r w:rsidRPr="001B4A02">
              <w:t>%</w:t>
            </w:r>
          </w:p>
        </w:tc>
        <w:tc>
          <w:tcPr>
            <w:tcW w:w="1411" w:type="pct"/>
            <w:tcBorders>
              <w:top w:val="nil"/>
              <w:left w:val="nil"/>
              <w:right w:val="nil"/>
            </w:tcBorders>
          </w:tcPr>
          <w:p w14:paraId="0FD16E34" w14:textId="77777777" w:rsidR="00636A15" w:rsidRPr="001B4A02" w:rsidRDefault="00000000" w:rsidP="00ED48A3">
            <w:pPr>
              <w:jc w:val="center"/>
              <w:rPr>
                <w:rFonts w:eastAsia="Arial Unicode MS"/>
              </w:rPr>
            </w:pPr>
            <w:r w:rsidRPr="001B4A02">
              <w:t>8</w:t>
            </w:r>
            <w:r w:rsidR="004629A3" w:rsidRPr="001B4A02">
              <w:t> </w:t>
            </w:r>
            <w:r w:rsidRPr="001B4A02">
              <w:t>%*</w:t>
            </w:r>
          </w:p>
        </w:tc>
      </w:tr>
      <w:tr w:rsidR="00534A2D" w14:paraId="2621B475" w14:textId="77777777" w:rsidTr="00F51027">
        <w:tc>
          <w:tcPr>
            <w:tcW w:w="2945" w:type="pct"/>
            <w:tcBorders>
              <w:top w:val="nil"/>
              <w:left w:val="nil"/>
              <w:bottom w:val="single" w:sz="6" w:space="0" w:color="000000"/>
              <w:right w:val="nil"/>
            </w:tcBorders>
          </w:tcPr>
          <w:p w14:paraId="194D5BA8" w14:textId="77777777" w:rsidR="00636A15" w:rsidRPr="001B4A02" w:rsidRDefault="00000000" w:rsidP="00ED48A3">
            <w:pPr>
              <w:rPr>
                <w:rFonts w:eastAsia="Arial Unicode MS"/>
              </w:rPr>
            </w:pPr>
            <w:r w:rsidRPr="001B4A02">
              <w:t>Udržení slizničního hojení</w:t>
            </w:r>
          </w:p>
        </w:tc>
        <w:tc>
          <w:tcPr>
            <w:tcW w:w="644" w:type="pct"/>
            <w:tcBorders>
              <w:top w:val="nil"/>
              <w:left w:val="nil"/>
              <w:bottom w:val="single" w:sz="6" w:space="0" w:color="000000"/>
              <w:right w:val="nil"/>
            </w:tcBorders>
          </w:tcPr>
          <w:p w14:paraId="47C20516" w14:textId="77777777" w:rsidR="00636A15" w:rsidRPr="001B4A02" w:rsidRDefault="00000000" w:rsidP="00ED48A3">
            <w:pPr>
              <w:jc w:val="center"/>
              <w:rPr>
                <w:rFonts w:eastAsia="Arial Unicode MS"/>
              </w:rPr>
            </w:pPr>
            <w:r w:rsidRPr="001B4A02">
              <w:t>11</w:t>
            </w:r>
            <w:r w:rsidR="004629A3" w:rsidRPr="001B4A02">
              <w:t> </w:t>
            </w:r>
            <w:r w:rsidRPr="001B4A02">
              <w:t>%</w:t>
            </w:r>
          </w:p>
        </w:tc>
        <w:tc>
          <w:tcPr>
            <w:tcW w:w="1411" w:type="pct"/>
            <w:tcBorders>
              <w:top w:val="nil"/>
              <w:left w:val="nil"/>
              <w:bottom w:val="single" w:sz="6" w:space="0" w:color="000000"/>
              <w:right w:val="nil"/>
            </w:tcBorders>
          </w:tcPr>
          <w:p w14:paraId="7949FAA6" w14:textId="77777777" w:rsidR="00636A15" w:rsidRPr="001B4A02" w:rsidRDefault="00000000" w:rsidP="00ED48A3">
            <w:pPr>
              <w:jc w:val="center"/>
              <w:rPr>
                <w:rFonts w:eastAsia="Arial Unicode MS"/>
              </w:rPr>
            </w:pPr>
            <w:r w:rsidRPr="001B4A02">
              <w:t>19</w:t>
            </w:r>
            <w:r w:rsidR="004629A3" w:rsidRPr="001B4A02">
              <w:t> </w:t>
            </w:r>
            <w:r w:rsidRPr="001B4A02">
              <w:t>%*</w:t>
            </w:r>
          </w:p>
        </w:tc>
      </w:tr>
      <w:tr w:rsidR="00534A2D" w14:paraId="6432DDDC" w14:textId="77777777" w:rsidTr="00F51027">
        <w:tc>
          <w:tcPr>
            <w:tcW w:w="5000" w:type="pct"/>
            <w:gridSpan w:val="3"/>
            <w:tcBorders>
              <w:top w:val="nil"/>
              <w:left w:val="nil"/>
              <w:bottom w:val="nil"/>
              <w:right w:val="nil"/>
            </w:tcBorders>
          </w:tcPr>
          <w:p w14:paraId="7614B39C" w14:textId="77777777" w:rsidR="00636A15" w:rsidRPr="001B4A02" w:rsidRDefault="00000000" w:rsidP="00ED48A3">
            <w:pPr>
              <w:keepNext/>
              <w:ind w:left="0" w:firstLine="0"/>
              <w:rPr>
                <w:szCs w:val="22"/>
              </w:rPr>
            </w:pPr>
            <w:r w:rsidRPr="001B4A02">
              <w:rPr>
                <w:szCs w:val="22"/>
              </w:rPr>
              <w:t>Klinická remise je definována jako Mayo skóre ≤ 2 bez podskóre &gt; 1;</w:t>
            </w:r>
          </w:p>
          <w:p w14:paraId="133B4FFA" w14:textId="77777777" w:rsidR="00636A15" w:rsidRPr="001B4A02" w:rsidRDefault="00000000" w:rsidP="00ED48A3">
            <w:pPr>
              <w:keepNext/>
              <w:ind w:left="0" w:firstLine="0"/>
              <w:rPr>
                <w:szCs w:val="22"/>
              </w:rPr>
            </w:pPr>
            <w:r w:rsidRPr="001B4A02">
              <w:rPr>
                <w:szCs w:val="22"/>
              </w:rPr>
              <w:t xml:space="preserve">Klinická odpověď je snížení oproti výchozímu stavu v Mayo skóre </w:t>
            </w:r>
            <w:r w:rsidRPr="001B4A02">
              <w:rPr>
                <w:rFonts w:eastAsia="Arial Unicode MS"/>
                <w:szCs w:val="22"/>
              </w:rPr>
              <w:t xml:space="preserve">≥ </w:t>
            </w:r>
            <w:r w:rsidRPr="001B4A02">
              <w:rPr>
                <w:szCs w:val="22"/>
              </w:rPr>
              <w:t>3 body</w:t>
            </w:r>
            <w:r w:rsidR="002378E0">
              <w:rPr>
                <w:szCs w:val="22"/>
              </w:rPr>
              <w:t xml:space="preserve"> a </w:t>
            </w:r>
            <w:r w:rsidRPr="001B4A02">
              <w:rPr>
                <w:rFonts w:eastAsia="Arial Unicode MS"/>
                <w:szCs w:val="22"/>
              </w:rPr>
              <w:t xml:space="preserve">≥ </w:t>
            </w:r>
            <w:r w:rsidRPr="001B4A02">
              <w:rPr>
                <w:szCs w:val="22"/>
              </w:rPr>
              <w:t>30</w:t>
            </w:r>
            <w:r w:rsidR="00D122C9" w:rsidRPr="001B4A02">
              <w:rPr>
                <w:szCs w:val="22"/>
              </w:rPr>
              <w:t> </w:t>
            </w:r>
            <w:r w:rsidRPr="001B4A02">
              <w:rPr>
                <w:szCs w:val="22"/>
              </w:rPr>
              <w:t>% plus snížení</w:t>
            </w:r>
            <w:r w:rsidR="00D122C9" w:rsidRPr="001B4A02">
              <w:rPr>
                <w:szCs w:val="22"/>
              </w:rPr>
              <w:t xml:space="preserve"> </w:t>
            </w:r>
            <w:r w:rsidR="007A11FF">
              <w:rPr>
                <w:szCs w:val="22"/>
              </w:rPr>
              <w:t>pod</w:t>
            </w:r>
            <w:r w:rsidRPr="001B4A02">
              <w:rPr>
                <w:szCs w:val="22"/>
              </w:rPr>
              <w:t xml:space="preserve">skóre rektálního krvácení </w:t>
            </w:r>
            <w:r w:rsidRPr="001B4A02">
              <w:rPr>
                <w:rFonts w:eastAsia="Arial Unicode MS"/>
                <w:szCs w:val="22"/>
              </w:rPr>
              <w:t>[RBS] ≥ 1</w:t>
            </w:r>
            <w:r w:rsidRPr="001B4A02">
              <w:rPr>
                <w:szCs w:val="22"/>
              </w:rPr>
              <w:t xml:space="preserve"> nebo absolutního RBS 0 nebo 1;</w:t>
            </w:r>
          </w:p>
          <w:p w14:paraId="6577D74D" w14:textId="77777777" w:rsidR="00636A15" w:rsidRPr="001B4A02" w:rsidRDefault="00000000" w:rsidP="00ED48A3">
            <w:pPr>
              <w:keepNext/>
              <w:ind w:left="0" w:firstLine="0"/>
              <w:rPr>
                <w:szCs w:val="22"/>
              </w:rPr>
            </w:pPr>
            <w:r w:rsidRPr="001B4A02">
              <w:rPr>
                <w:szCs w:val="22"/>
              </w:rPr>
              <w:t>*</w:t>
            </w:r>
            <w:r w:rsidR="00D122C9" w:rsidRPr="001B4A02">
              <w:rPr>
                <w:szCs w:val="22"/>
              </w:rPr>
              <w:t> </w:t>
            </w:r>
            <w:r w:rsidRPr="001B4A02">
              <w:rPr>
                <w:szCs w:val="22"/>
              </w:rPr>
              <w:t>p&lt;0,05 párovné porovnání hodnot u</w:t>
            </w:r>
            <w:r w:rsidR="004629A3" w:rsidRPr="001B4A02">
              <w:rPr>
                <w:szCs w:val="22"/>
              </w:rPr>
              <w:t> </w:t>
            </w:r>
            <w:r w:rsidRPr="001B4A02">
              <w:rPr>
                <w:szCs w:val="22"/>
              </w:rPr>
              <w:t>p</w:t>
            </w:r>
            <w:r w:rsidR="004C2FD7" w:rsidRPr="001B4A02">
              <w:rPr>
                <w:szCs w:val="22"/>
              </w:rPr>
              <w:t>řípravku Humira versus placebo.</w:t>
            </w:r>
          </w:p>
          <w:p w14:paraId="418B88A1" w14:textId="77777777" w:rsidR="00636A15" w:rsidRPr="001B4A02" w:rsidRDefault="00000000" w:rsidP="00ED48A3">
            <w:pPr>
              <w:keepNext/>
              <w:ind w:left="0" w:firstLine="0"/>
              <w:rPr>
                <w:szCs w:val="22"/>
              </w:rPr>
            </w:pPr>
            <w:r w:rsidRPr="001B4A02">
              <w:rPr>
                <w:szCs w:val="22"/>
              </w:rPr>
              <w:t>**</w:t>
            </w:r>
            <w:r w:rsidR="004629A3" w:rsidRPr="001B4A02">
              <w:rPr>
                <w:szCs w:val="22"/>
              </w:rPr>
              <w:t> </w:t>
            </w:r>
            <w:r w:rsidRPr="001B4A02">
              <w:rPr>
                <w:szCs w:val="22"/>
              </w:rPr>
              <w:t>p&lt;0,001 párovné porovnání hodnot u</w:t>
            </w:r>
            <w:r w:rsidR="004629A3" w:rsidRPr="001B4A02">
              <w:rPr>
                <w:szCs w:val="22"/>
              </w:rPr>
              <w:t> </w:t>
            </w:r>
            <w:r w:rsidRPr="001B4A02">
              <w:rPr>
                <w:szCs w:val="22"/>
              </w:rPr>
              <w:t>přípravku Humira versus placebo.</w:t>
            </w:r>
          </w:p>
          <w:p w14:paraId="2105524B" w14:textId="77777777" w:rsidR="00E7724C" w:rsidRPr="001B4A02" w:rsidRDefault="00000000" w:rsidP="00ED48A3">
            <w:pPr>
              <w:keepNext/>
              <w:ind w:left="0" w:firstLine="0"/>
              <w:rPr>
                <w:rFonts w:eastAsia="Arial Unicode MS"/>
                <w:b/>
              </w:rPr>
            </w:pPr>
            <w:r w:rsidRPr="001B4A02">
              <w:rPr>
                <w:szCs w:val="22"/>
                <w:vertAlign w:val="superscript"/>
              </w:rPr>
              <w:t>a</w:t>
            </w:r>
            <w:r w:rsidRPr="001B4A02">
              <w:rPr>
                <w:szCs w:val="22"/>
              </w:rPr>
              <w:t xml:space="preserve"> Z těch, kterým byly původně podávány kortikosteroidy.</w:t>
            </w:r>
          </w:p>
        </w:tc>
      </w:tr>
    </w:tbl>
    <w:p w14:paraId="0E76403A" w14:textId="77777777" w:rsidR="00E7724C" w:rsidRPr="001B4A02" w:rsidRDefault="00E7724C" w:rsidP="00ED48A3">
      <w:pPr>
        <w:pStyle w:val="EMEANormal"/>
        <w:rPr>
          <w:iCs/>
          <w:szCs w:val="22"/>
          <w:lang w:val="cs-CZ"/>
        </w:rPr>
      </w:pPr>
    </w:p>
    <w:p w14:paraId="698ABBD9" w14:textId="77777777" w:rsidR="00636A15" w:rsidRPr="001B4A02" w:rsidRDefault="00000000" w:rsidP="00ED48A3">
      <w:pPr>
        <w:ind w:left="0" w:firstLine="0"/>
      </w:pPr>
      <w:r w:rsidRPr="001B4A02">
        <w:t>Z pacientů, u</w:t>
      </w:r>
      <w:r w:rsidR="004629A3" w:rsidRPr="001B4A02">
        <w:t> </w:t>
      </w:r>
      <w:r w:rsidRPr="001B4A02">
        <w:t>kterých existovala odpověď v týdnu 8, došlo u</w:t>
      </w:r>
      <w:r w:rsidR="004629A3" w:rsidRPr="001B4A02">
        <w:t> </w:t>
      </w:r>
      <w:r w:rsidRPr="001B4A02">
        <w:t>47</w:t>
      </w:r>
      <w:r w:rsidR="004629A3" w:rsidRPr="001B4A02">
        <w:t> </w:t>
      </w:r>
      <w:r w:rsidRPr="001B4A02">
        <w:t>% k</w:t>
      </w:r>
      <w:r w:rsidR="004629A3" w:rsidRPr="001B4A02">
        <w:t> </w:t>
      </w:r>
      <w:r w:rsidRPr="001B4A02">
        <w:t>odpovědi, 29</w:t>
      </w:r>
      <w:r w:rsidR="004629A3" w:rsidRPr="001B4A02">
        <w:t> </w:t>
      </w:r>
      <w:r w:rsidRPr="001B4A02">
        <w:t>% bylo v remisi, u</w:t>
      </w:r>
      <w:r w:rsidR="004629A3" w:rsidRPr="001B4A02">
        <w:t> </w:t>
      </w:r>
      <w:r w:rsidRPr="001B4A02">
        <w:t>41</w:t>
      </w:r>
      <w:r w:rsidR="004629A3" w:rsidRPr="001B4A02">
        <w:t> </w:t>
      </w:r>
      <w:r w:rsidRPr="001B4A02">
        <w:t>% došlo ke slizničnímu hojení</w:t>
      </w:r>
      <w:r w:rsidR="002378E0">
        <w:t xml:space="preserve"> a </w:t>
      </w:r>
      <w:r w:rsidRPr="001B4A02">
        <w:t>20</w:t>
      </w:r>
      <w:r w:rsidR="004629A3" w:rsidRPr="001B4A02">
        <w:t> </w:t>
      </w:r>
      <w:r w:rsidRPr="001B4A02">
        <w:t xml:space="preserve">% bylo v remisi bez steroidů </w:t>
      </w:r>
      <w:r w:rsidRPr="001B4A02">
        <w:rPr>
          <w:iCs/>
          <w:szCs w:val="22"/>
        </w:rPr>
        <w:t>≥ 9</w:t>
      </w:r>
      <w:r w:rsidRPr="001B4A02">
        <w:t>0 dnů v týdnu 52.</w:t>
      </w:r>
    </w:p>
    <w:p w14:paraId="0A555851" w14:textId="77777777" w:rsidR="00636A15" w:rsidRPr="001B4A02" w:rsidRDefault="00636A15" w:rsidP="00ED48A3">
      <w:pPr>
        <w:ind w:left="0" w:firstLine="0"/>
      </w:pPr>
    </w:p>
    <w:p w14:paraId="0729BECC" w14:textId="77777777" w:rsidR="00636A15" w:rsidRPr="001B4A02" w:rsidRDefault="00000000" w:rsidP="00ED48A3">
      <w:pPr>
        <w:ind w:left="0" w:firstLine="0"/>
      </w:pPr>
      <w:r w:rsidRPr="001B4A02">
        <w:t>Přibližně u</w:t>
      </w:r>
      <w:r w:rsidR="004629A3" w:rsidRPr="001B4A02">
        <w:t> </w:t>
      </w:r>
      <w:r w:rsidRPr="001B4A02">
        <w:t>40</w:t>
      </w:r>
      <w:r w:rsidR="004629A3" w:rsidRPr="001B4A02">
        <w:t> </w:t>
      </w:r>
      <w:r w:rsidRPr="001B4A02">
        <w:t>% pacientů ve studii UC-II selhala dřívější anti-TNF léčba infliximabem. Účinnost adalimumabu u</w:t>
      </w:r>
      <w:r w:rsidR="004629A3" w:rsidRPr="001B4A02">
        <w:t> </w:t>
      </w:r>
      <w:r w:rsidRPr="001B4A02">
        <w:t>těchto pacientů byla snížena v porovnání s anti-TNF naivními pacienty. Mezi pacienty, u</w:t>
      </w:r>
      <w:r w:rsidR="004629A3" w:rsidRPr="001B4A02">
        <w:t> </w:t>
      </w:r>
      <w:r w:rsidRPr="001B4A02">
        <w:t>nichž selhala předchozí anti-TNF terapie, dosáhl</w:t>
      </w:r>
      <w:r w:rsidR="004629A3" w:rsidRPr="001B4A02">
        <w:t>y</w:t>
      </w:r>
      <w:r w:rsidRPr="001B4A02">
        <w:t xml:space="preserve"> v týdnu 52 remise 3</w:t>
      </w:r>
      <w:r w:rsidR="004629A3" w:rsidRPr="001B4A02">
        <w:t> </w:t>
      </w:r>
      <w:r w:rsidRPr="001B4A02">
        <w:t>% pacientů na placebu</w:t>
      </w:r>
      <w:r w:rsidR="002378E0">
        <w:t xml:space="preserve"> a </w:t>
      </w:r>
      <w:r w:rsidRPr="001B4A02">
        <w:t>10</w:t>
      </w:r>
      <w:r w:rsidR="004629A3" w:rsidRPr="001B4A02">
        <w:t> </w:t>
      </w:r>
      <w:r w:rsidRPr="001B4A02">
        <w:t xml:space="preserve">% pacientů na adalimumabu. </w:t>
      </w:r>
    </w:p>
    <w:p w14:paraId="67894165" w14:textId="77777777" w:rsidR="00636A15" w:rsidRPr="001B4A02" w:rsidRDefault="00636A15" w:rsidP="00ED48A3">
      <w:pPr>
        <w:ind w:left="0" w:firstLine="0"/>
      </w:pPr>
    </w:p>
    <w:p w14:paraId="179E9CC1" w14:textId="77777777" w:rsidR="00E7724C" w:rsidRPr="001B4A02" w:rsidRDefault="00000000" w:rsidP="00ED48A3">
      <w:pPr>
        <w:pStyle w:val="EMEANormal"/>
        <w:rPr>
          <w:lang w:val="cs-CZ"/>
        </w:rPr>
      </w:pPr>
      <w:r w:rsidRPr="001B4A02">
        <w:rPr>
          <w:lang w:val="cs-CZ"/>
        </w:rPr>
        <w:t>Pacienti ve studiích UC-I</w:t>
      </w:r>
      <w:r w:rsidR="002378E0">
        <w:rPr>
          <w:lang w:val="cs-CZ"/>
        </w:rPr>
        <w:t xml:space="preserve"> a </w:t>
      </w:r>
      <w:r w:rsidRPr="001B4A02">
        <w:rPr>
          <w:lang w:val="cs-CZ"/>
        </w:rPr>
        <w:t>UC-II měli možnost přejít do otevřené dlouhodobé prodloužené studie (UC-III). Po 3 letech terapie adalimumabem pokračovala u</w:t>
      </w:r>
      <w:r w:rsidR="004629A3" w:rsidRPr="001B4A02">
        <w:rPr>
          <w:lang w:val="cs-CZ"/>
        </w:rPr>
        <w:t> </w:t>
      </w:r>
      <w:r w:rsidRPr="001B4A02">
        <w:rPr>
          <w:lang w:val="cs-CZ"/>
        </w:rPr>
        <w:t>75</w:t>
      </w:r>
      <w:r w:rsidR="004629A3" w:rsidRPr="001B4A02">
        <w:rPr>
          <w:lang w:val="cs-CZ"/>
        </w:rPr>
        <w:t> </w:t>
      </w:r>
      <w:r w:rsidRPr="001B4A02">
        <w:rPr>
          <w:lang w:val="cs-CZ"/>
        </w:rPr>
        <w:t>% (301</w:t>
      </w:r>
      <w:r w:rsidR="004629A3" w:rsidRPr="001B4A02">
        <w:rPr>
          <w:lang w:val="cs-CZ"/>
        </w:rPr>
        <w:t xml:space="preserve"> z </w:t>
      </w:r>
      <w:r w:rsidRPr="001B4A02">
        <w:rPr>
          <w:lang w:val="cs-CZ"/>
        </w:rPr>
        <w:t>402) klinická remise dle částečného Mayo skóre.</w:t>
      </w:r>
    </w:p>
    <w:p w14:paraId="3AF06285" w14:textId="77777777" w:rsidR="00636A15" w:rsidRPr="001B4A02" w:rsidRDefault="00636A15" w:rsidP="00ED48A3">
      <w:pPr>
        <w:pStyle w:val="EMEANormal"/>
        <w:rPr>
          <w:szCs w:val="22"/>
          <w:lang w:val="cs-CZ"/>
        </w:rPr>
      </w:pPr>
    </w:p>
    <w:p w14:paraId="330049F4" w14:textId="77777777" w:rsidR="00636A15" w:rsidRPr="001B4A02" w:rsidRDefault="00000000" w:rsidP="00ED48A3">
      <w:pPr>
        <w:keepNext/>
        <w:ind w:left="0" w:firstLine="0"/>
        <w:rPr>
          <w:i/>
          <w:u w:val="single"/>
        </w:rPr>
      </w:pPr>
      <w:r w:rsidRPr="001B4A02">
        <w:rPr>
          <w:i/>
          <w:u w:val="single"/>
        </w:rPr>
        <w:t>Míra hospitalizace</w:t>
      </w:r>
    </w:p>
    <w:p w14:paraId="2D21F3FA" w14:textId="77777777" w:rsidR="00E7724C" w:rsidRPr="001B4A02" w:rsidRDefault="00E7724C" w:rsidP="00ED48A3">
      <w:pPr>
        <w:keepNext/>
        <w:rPr>
          <w:szCs w:val="22"/>
        </w:rPr>
      </w:pPr>
    </w:p>
    <w:p w14:paraId="0A998B99" w14:textId="77777777" w:rsidR="00843E47" w:rsidRPr="001B4A02" w:rsidRDefault="00000000" w:rsidP="00ED48A3">
      <w:pPr>
        <w:ind w:left="0" w:firstLine="0"/>
      </w:pPr>
      <w:r w:rsidRPr="001B4A02">
        <w:t>Během 52 týdnů studií UC-I</w:t>
      </w:r>
      <w:r w:rsidR="002378E0">
        <w:t xml:space="preserve"> a </w:t>
      </w:r>
      <w:r w:rsidRPr="001B4A02">
        <w:t>UC-II byla pozorována nízká míra hospitalizace ze všech příčin</w:t>
      </w:r>
      <w:r w:rsidR="002378E0">
        <w:t xml:space="preserve"> a </w:t>
      </w:r>
      <w:r w:rsidRPr="001B4A02">
        <w:t>hospitalizace z důvodu UC pro léčebné rameno adalimumabu ve srovnání s placebem. Počet hospitalizací ze všech příčin v léčebné skupině adalimumabu bylo 0,18 na pacienta</w:t>
      </w:r>
      <w:r w:rsidR="002378E0">
        <w:t xml:space="preserve"> a </w:t>
      </w:r>
      <w:r w:rsidRPr="001B4A02">
        <w:t>rok, vs. 0,26 na pacienta</w:t>
      </w:r>
      <w:r w:rsidR="002378E0">
        <w:t xml:space="preserve"> a </w:t>
      </w:r>
      <w:r w:rsidRPr="001B4A02">
        <w:t>rok ve skupině placeba</w:t>
      </w:r>
      <w:r w:rsidR="002378E0">
        <w:t xml:space="preserve"> a </w:t>
      </w:r>
      <w:r w:rsidRPr="001B4A02">
        <w:t>odpovídající počty hospitalizací z důvodu UC byly 0,12 na pacienta</w:t>
      </w:r>
      <w:r w:rsidR="002378E0">
        <w:t xml:space="preserve"> a </w:t>
      </w:r>
      <w:r w:rsidRPr="001B4A02">
        <w:t>rok vs. 0,22 na pacienta</w:t>
      </w:r>
      <w:r w:rsidR="002378E0">
        <w:t xml:space="preserve"> a </w:t>
      </w:r>
      <w:r w:rsidRPr="001B4A02">
        <w:t>rok.</w:t>
      </w:r>
    </w:p>
    <w:p w14:paraId="3F8D34E3" w14:textId="77777777" w:rsidR="00E7724C" w:rsidRPr="001B4A02" w:rsidRDefault="00E7724C" w:rsidP="00ED48A3">
      <w:pPr>
        <w:pStyle w:val="EMEANormal"/>
        <w:rPr>
          <w:szCs w:val="22"/>
          <w:lang w:val="cs-CZ"/>
        </w:rPr>
      </w:pPr>
    </w:p>
    <w:p w14:paraId="2732CD2C" w14:textId="77777777" w:rsidR="00843E47" w:rsidRPr="001B4A02" w:rsidRDefault="00000000" w:rsidP="003B610F">
      <w:pPr>
        <w:keepNext/>
        <w:ind w:left="0" w:firstLine="0"/>
        <w:rPr>
          <w:i/>
          <w:u w:val="single"/>
        </w:rPr>
      </w:pPr>
      <w:r w:rsidRPr="001B4A02">
        <w:rPr>
          <w:i/>
          <w:u w:val="single"/>
        </w:rPr>
        <w:t>Kvalita života</w:t>
      </w:r>
    </w:p>
    <w:p w14:paraId="62F5C941" w14:textId="77777777" w:rsidR="00843E47" w:rsidRPr="001B4A02" w:rsidRDefault="00843E47" w:rsidP="003B610F">
      <w:pPr>
        <w:keepNext/>
        <w:ind w:left="0" w:firstLine="0"/>
      </w:pPr>
    </w:p>
    <w:p w14:paraId="0A36AC44" w14:textId="77777777" w:rsidR="00E7724C" w:rsidRPr="001B4A02" w:rsidRDefault="00000000" w:rsidP="00ED48A3">
      <w:pPr>
        <w:pStyle w:val="EMEANormal"/>
        <w:rPr>
          <w:lang w:val="cs-CZ"/>
        </w:rPr>
      </w:pPr>
      <w:r w:rsidRPr="001B4A02">
        <w:rPr>
          <w:lang w:val="cs-CZ"/>
        </w:rPr>
        <w:t>Ve studii UC-II vedla léčba adalimumabem ke zlepšení v IBDQ skóre (</w:t>
      </w:r>
      <w:r w:rsidR="005079AD">
        <w:rPr>
          <w:lang w:val="cs-CZ"/>
        </w:rPr>
        <w:t>Inflammatory Bowel Disease Ques</w:t>
      </w:r>
      <w:r w:rsidRPr="001B4A02">
        <w:rPr>
          <w:lang w:val="cs-CZ"/>
        </w:rPr>
        <w:t xml:space="preserve">tionnaire). </w:t>
      </w:r>
    </w:p>
    <w:p w14:paraId="6E7B6486" w14:textId="77777777" w:rsidR="00E7724C" w:rsidRPr="001B4A02" w:rsidRDefault="00E7724C" w:rsidP="00ED48A3">
      <w:pPr>
        <w:pStyle w:val="EMEANormal"/>
        <w:rPr>
          <w:lang w:val="cs-CZ"/>
        </w:rPr>
      </w:pPr>
    </w:p>
    <w:p w14:paraId="0ECC4EE3" w14:textId="77777777" w:rsidR="00843E47" w:rsidRPr="001B4A02" w:rsidRDefault="00000000" w:rsidP="00ED48A3">
      <w:pPr>
        <w:pStyle w:val="EMEANormal"/>
        <w:keepNext/>
        <w:rPr>
          <w:bCs/>
          <w:i/>
          <w:szCs w:val="22"/>
          <w:lang w:val="cs-CZ"/>
        </w:rPr>
      </w:pPr>
      <w:r w:rsidRPr="001B4A02">
        <w:rPr>
          <w:bCs/>
          <w:i/>
          <w:szCs w:val="22"/>
          <w:lang w:val="cs-CZ"/>
        </w:rPr>
        <w:t>Uveitida</w:t>
      </w:r>
    </w:p>
    <w:p w14:paraId="4EFB04A6" w14:textId="77777777" w:rsidR="00843E47" w:rsidRPr="001B4A02" w:rsidRDefault="00843E47" w:rsidP="00ED48A3">
      <w:pPr>
        <w:pStyle w:val="EMEANormal"/>
        <w:keepNext/>
        <w:rPr>
          <w:bCs/>
          <w:szCs w:val="22"/>
          <w:lang w:val="cs-CZ"/>
        </w:rPr>
      </w:pPr>
    </w:p>
    <w:p w14:paraId="0EEE3843" w14:textId="77777777" w:rsidR="00843E47" w:rsidRPr="001B4A02" w:rsidRDefault="00000000" w:rsidP="00ED48A3">
      <w:pPr>
        <w:pStyle w:val="EMEANormal"/>
        <w:rPr>
          <w:szCs w:val="22"/>
          <w:lang w:val="cs-CZ"/>
        </w:rPr>
      </w:pPr>
      <w:r w:rsidRPr="001B4A02">
        <w:rPr>
          <w:szCs w:val="22"/>
          <w:lang w:val="cs-CZ"/>
        </w:rPr>
        <w:t>Bezpečnost</w:t>
      </w:r>
      <w:r w:rsidR="002378E0">
        <w:rPr>
          <w:szCs w:val="22"/>
          <w:lang w:val="cs-CZ"/>
        </w:rPr>
        <w:t xml:space="preserve"> a </w:t>
      </w:r>
      <w:r w:rsidRPr="001B4A02">
        <w:rPr>
          <w:szCs w:val="22"/>
          <w:lang w:val="cs-CZ"/>
        </w:rPr>
        <w:t>účinnost přípravku Humira byla hodnocena u</w:t>
      </w:r>
      <w:r w:rsidR="00F64B72" w:rsidRPr="001B4A02">
        <w:rPr>
          <w:szCs w:val="22"/>
          <w:lang w:val="cs-CZ"/>
        </w:rPr>
        <w:t> </w:t>
      </w:r>
      <w:r w:rsidRPr="001B4A02">
        <w:rPr>
          <w:szCs w:val="22"/>
          <w:lang w:val="cs-CZ"/>
        </w:rPr>
        <w:t>dospělých pacientů s</w:t>
      </w:r>
      <w:r w:rsidR="00F64B72" w:rsidRPr="001B4A02">
        <w:rPr>
          <w:szCs w:val="22"/>
          <w:lang w:val="cs-CZ"/>
        </w:rPr>
        <w:t> </w:t>
      </w:r>
      <w:r w:rsidRPr="001B4A02">
        <w:rPr>
          <w:szCs w:val="22"/>
          <w:lang w:val="cs-CZ"/>
        </w:rPr>
        <w:t>neinfekční intermediální</w:t>
      </w:r>
      <w:r w:rsidR="002378E0">
        <w:rPr>
          <w:szCs w:val="22"/>
          <w:lang w:val="cs-CZ"/>
        </w:rPr>
        <w:t xml:space="preserve"> a </w:t>
      </w:r>
      <w:r w:rsidRPr="001B4A02">
        <w:rPr>
          <w:szCs w:val="22"/>
          <w:lang w:val="cs-CZ"/>
        </w:rPr>
        <w:t>zadní uveitidou</w:t>
      </w:r>
      <w:r w:rsidR="002378E0">
        <w:rPr>
          <w:szCs w:val="22"/>
          <w:lang w:val="cs-CZ"/>
        </w:rPr>
        <w:t xml:space="preserve"> a </w:t>
      </w:r>
      <w:r w:rsidRPr="001B4A02">
        <w:rPr>
          <w:szCs w:val="22"/>
          <w:lang w:val="cs-CZ"/>
        </w:rPr>
        <w:t>panuveitidou, s</w:t>
      </w:r>
      <w:r w:rsidR="00F64B72" w:rsidRPr="001B4A02">
        <w:rPr>
          <w:szCs w:val="22"/>
          <w:lang w:val="cs-CZ"/>
        </w:rPr>
        <w:t> </w:t>
      </w:r>
      <w:r w:rsidR="00D532C1" w:rsidRPr="001B4A02">
        <w:rPr>
          <w:szCs w:val="22"/>
          <w:lang w:val="cs-CZ"/>
        </w:rPr>
        <w:t xml:space="preserve">vyloučením </w:t>
      </w:r>
      <w:r w:rsidRPr="001B4A02">
        <w:rPr>
          <w:szCs w:val="22"/>
          <w:lang w:val="cs-CZ"/>
        </w:rPr>
        <w:t>pacientů s</w:t>
      </w:r>
      <w:r w:rsidR="00F64B72" w:rsidRPr="001B4A02">
        <w:rPr>
          <w:szCs w:val="22"/>
          <w:lang w:val="cs-CZ"/>
        </w:rPr>
        <w:t> </w:t>
      </w:r>
      <w:r w:rsidRPr="001B4A02">
        <w:rPr>
          <w:szCs w:val="22"/>
          <w:lang w:val="cs-CZ"/>
        </w:rPr>
        <w:t xml:space="preserve">izolovanou přední uveitidou, ve dvou randomizovaných, dvojitě </w:t>
      </w:r>
      <w:r w:rsidR="00FF1CB8" w:rsidRPr="001B4A02">
        <w:rPr>
          <w:szCs w:val="22"/>
          <w:lang w:val="cs-CZ"/>
        </w:rPr>
        <w:t>za</w:t>
      </w:r>
      <w:r w:rsidRPr="001B4A02">
        <w:rPr>
          <w:szCs w:val="22"/>
          <w:lang w:val="cs-CZ"/>
        </w:rPr>
        <w:t>slep</w:t>
      </w:r>
      <w:r w:rsidR="00FF1CB8" w:rsidRPr="001B4A02">
        <w:rPr>
          <w:szCs w:val="22"/>
          <w:lang w:val="cs-CZ"/>
        </w:rPr>
        <w:t>en</w:t>
      </w:r>
      <w:r w:rsidRPr="001B4A02">
        <w:rPr>
          <w:szCs w:val="22"/>
          <w:lang w:val="cs-CZ"/>
        </w:rPr>
        <w:t>ých, placebem kontrolovaných studiích (UV I</w:t>
      </w:r>
      <w:r w:rsidR="002378E0">
        <w:rPr>
          <w:szCs w:val="22"/>
          <w:lang w:val="cs-CZ"/>
        </w:rPr>
        <w:t xml:space="preserve"> a </w:t>
      </w:r>
      <w:r w:rsidRPr="001B4A02">
        <w:rPr>
          <w:szCs w:val="22"/>
          <w:lang w:val="cs-CZ"/>
        </w:rPr>
        <w:t>II). Pacienti dostávali placebo nebo přípravek Humira v</w:t>
      </w:r>
      <w:r w:rsidR="00F64B72" w:rsidRPr="001B4A02">
        <w:rPr>
          <w:szCs w:val="22"/>
          <w:lang w:val="cs-CZ"/>
        </w:rPr>
        <w:t> </w:t>
      </w:r>
      <w:r w:rsidRPr="001B4A02">
        <w:rPr>
          <w:szCs w:val="22"/>
          <w:lang w:val="cs-CZ"/>
        </w:rPr>
        <w:t>úvodní dávce 80 mg</w:t>
      </w:r>
      <w:r w:rsidR="00F64B72" w:rsidRPr="001B4A02">
        <w:rPr>
          <w:szCs w:val="22"/>
          <w:lang w:val="cs-CZ"/>
        </w:rPr>
        <w:t>,</w:t>
      </w:r>
      <w:r w:rsidRPr="001B4A02">
        <w:rPr>
          <w:szCs w:val="22"/>
          <w:lang w:val="cs-CZ"/>
        </w:rPr>
        <w:t xml:space="preserve"> následované 40 mg podávanými jednou za dva týdny počínaje </w:t>
      </w:r>
      <w:r w:rsidR="00D532C1" w:rsidRPr="001B4A02">
        <w:rPr>
          <w:szCs w:val="22"/>
          <w:lang w:val="cs-CZ"/>
        </w:rPr>
        <w:t>jeden týden</w:t>
      </w:r>
      <w:r w:rsidRPr="001B4A02">
        <w:rPr>
          <w:szCs w:val="22"/>
          <w:lang w:val="cs-CZ"/>
        </w:rPr>
        <w:t xml:space="preserve"> po úvodní dávce. </w:t>
      </w:r>
      <w:r w:rsidR="00D532C1" w:rsidRPr="001B4A02">
        <w:rPr>
          <w:szCs w:val="22"/>
          <w:lang w:val="cs-CZ"/>
        </w:rPr>
        <w:t xml:space="preserve">Současné podávání </w:t>
      </w:r>
      <w:r w:rsidRPr="001B4A02">
        <w:rPr>
          <w:szCs w:val="22"/>
          <w:lang w:val="cs-CZ"/>
        </w:rPr>
        <w:t xml:space="preserve">stálé dávky jednoho nebiologického imunosupresiva </w:t>
      </w:r>
      <w:r w:rsidR="00D532C1" w:rsidRPr="001B4A02">
        <w:rPr>
          <w:szCs w:val="22"/>
          <w:lang w:val="cs-CZ"/>
        </w:rPr>
        <w:t>bylo povoleno</w:t>
      </w:r>
      <w:r w:rsidRPr="001B4A02">
        <w:rPr>
          <w:szCs w:val="22"/>
          <w:lang w:val="cs-CZ"/>
        </w:rPr>
        <w:t xml:space="preserve">. </w:t>
      </w:r>
    </w:p>
    <w:p w14:paraId="63F121A7" w14:textId="77777777" w:rsidR="00843E47" w:rsidRPr="001B4A02" w:rsidRDefault="00843E47" w:rsidP="00ED48A3">
      <w:pPr>
        <w:pStyle w:val="EMEANormal"/>
        <w:rPr>
          <w:szCs w:val="22"/>
          <w:lang w:val="cs-CZ"/>
        </w:rPr>
      </w:pPr>
    </w:p>
    <w:p w14:paraId="34A4F02A" w14:textId="77777777" w:rsidR="00843E47" w:rsidRPr="001B4A02" w:rsidRDefault="00000000" w:rsidP="00ED48A3">
      <w:pPr>
        <w:pStyle w:val="EMEANormal"/>
        <w:rPr>
          <w:szCs w:val="22"/>
          <w:lang w:val="cs-CZ"/>
        </w:rPr>
      </w:pPr>
      <w:r w:rsidRPr="001B4A02">
        <w:rPr>
          <w:szCs w:val="22"/>
          <w:lang w:val="cs-CZ"/>
        </w:rPr>
        <w:t>Studie UV I hodnotila 217 pacientů s</w:t>
      </w:r>
      <w:r w:rsidR="00F64B72" w:rsidRPr="001B4A02">
        <w:rPr>
          <w:szCs w:val="22"/>
          <w:lang w:val="cs-CZ"/>
        </w:rPr>
        <w:t> </w:t>
      </w:r>
      <w:r w:rsidRPr="001B4A02">
        <w:rPr>
          <w:szCs w:val="22"/>
          <w:lang w:val="cs-CZ"/>
        </w:rPr>
        <w:t>aktivní uveitidou přetrvávající i přes léčbu kortikosteroidy (perorální prednison v</w:t>
      </w:r>
      <w:r w:rsidR="00F64B72" w:rsidRPr="001B4A02">
        <w:rPr>
          <w:szCs w:val="22"/>
          <w:lang w:val="cs-CZ"/>
        </w:rPr>
        <w:t> </w:t>
      </w:r>
      <w:r w:rsidRPr="001B4A02">
        <w:rPr>
          <w:szCs w:val="22"/>
          <w:lang w:val="cs-CZ"/>
        </w:rPr>
        <w:t xml:space="preserve">dávce 10 až 60 mg/den). Všichni pacienti dostávali při vstupu do studie dvoutýdenní standardizovanou dávku prednisonu 60 mg/den. Tato dávka se pak podle závazného harmonogramu snižovala, přičemž do týdne 15 byly kortikosteroidy zcela vysazeny. </w:t>
      </w:r>
    </w:p>
    <w:p w14:paraId="369E55B2" w14:textId="77777777" w:rsidR="00843E47" w:rsidRPr="001B4A02" w:rsidRDefault="00843E47" w:rsidP="00ED48A3">
      <w:pPr>
        <w:pStyle w:val="EMEANormal"/>
        <w:rPr>
          <w:szCs w:val="22"/>
          <w:lang w:val="cs-CZ"/>
        </w:rPr>
      </w:pPr>
    </w:p>
    <w:p w14:paraId="734A70B7" w14:textId="77777777" w:rsidR="00843E47" w:rsidRPr="001B4A02" w:rsidRDefault="00000000" w:rsidP="00ED48A3">
      <w:pPr>
        <w:pStyle w:val="EMEANormal"/>
        <w:rPr>
          <w:szCs w:val="22"/>
          <w:lang w:val="cs-CZ"/>
        </w:rPr>
      </w:pPr>
      <w:r w:rsidRPr="001B4A02">
        <w:rPr>
          <w:szCs w:val="22"/>
          <w:lang w:val="cs-CZ"/>
        </w:rPr>
        <w:t>Studie UV II hodnotila 226 pacientů s</w:t>
      </w:r>
      <w:r w:rsidR="00F64B72" w:rsidRPr="001B4A02">
        <w:rPr>
          <w:szCs w:val="22"/>
          <w:lang w:val="cs-CZ"/>
        </w:rPr>
        <w:t> </w:t>
      </w:r>
      <w:r w:rsidRPr="001B4A02">
        <w:rPr>
          <w:szCs w:val="22"/>
          <w:lang w:val="cs-CZ"/>
        </w:rPr>
        <w:t>neaktivní uveitidou vyžadující ke kontrole onemocnění výchozí chronickou terapii kortikosteroidy (perorální prednison v</w:t>
      </w:r>
      <w:r w:rsidR="00F64B72" w:rsidRPr="001B4A02">
        <w:rPr>
          <w:szCs w:val="22"/>
          <w:lang w:val="cs-CZ"/>
        </w:rPr>
        <w:t> </w:t>
      </w:r>
      <w:r w:rsidRPr="001B4A02">
        <w:rPr>
          <w:szCs w:val="22"/>
          <w:lang w:val="cs-CZ"/>
        </w:rPr>
        <w:t>dávce 10 až 35 mg/den). Tato dávka se pak podle závazného harmonogramu snižovala, přičemž do týdne 19 byly kortikosteroidy zcela vysazeny.</w:t>
      </w:r>
    </w:p>
    <w:p w14:paraId="09D321A2" w14:textId="77777777" w:rsidR="00843E47" w:rsidRPr="001B4A02" w:rsidRDefault="00843E47" w:rsidP="00ED48A3">
      <w:pPr>
        <w:pStyle w:val="EMEANormal"/>
        <w:rPr>
          <w:szCs w:val="22"/>
          <w:lang w:val="cs-CZ"/>
        </w:rPr>
      </w:pPr>
    </w:p>
    <w:p w14:paraId="03BDEECA" w14:textId="77777777" w:rsidR="00E7724C" w:rsidRPr="001B4A02" w:rsidRDefault="00000000" w:rsidP="00ED48A3">
      <w:pPr>
        <w:pStyle w:val="EMEANormal"/>
        <w:rPr>
          <w:szCs w:val="22"/>
          <w:lang w:val="cs-CZ"/>
        </w:rPr>
      </w:pPr>
      <w:r w:rsidRPr="001B4A02">
        <w:rPr>
          <w:szCs w:val="22"/>
          <w:lang w:val="cs-CZ"/>
        </w:rPr>
        <w:t>Primárním cílovým parametrem účinnosti v</w:t>
      </w:r>
      <w:r w:rsidR="00F64B72" w:rsidRPr="001B4A02">
        <w:rPr>
          <w:szCs w:val="22"/>
          <w:lang w:val="cs-CZ"/>
        </w:rPr>
        <w:t> </w:t>
      </w:r>
      <w:r w:rsidRPr="001B4A02">
        <w:rPr>
          <w:szCs w:val="22"/>
          <w:lang w:val="cs-CZ"/>
        </w:rPr>
        <w:t xml:space="preserve">obou studiích byla </w:t>
      </w:r>
      <w:r w:rsidR="00F64B72" w:rsidRPr="001B4A02">
        <w:rPr>
          <w:szCs w:val="22"/>
          <w:lang w:val="cs-CZ"/>
        </w:rPr>
        <w:t>„</w:t>
      </w:r>
      <w:r w:rsidRPr="001B4A02">
        <w:rPr>
          <w:szCs w:val="22"/>
          <w:lang w:val="cs-CZ"/>
        </w:rPr>
        <w:t xml:space="preserve">doba do selhání </w:t>
      </w:r>
      <w:r w:rsidR="00D532C1" w:rsidRPr="001B4A02">
        <w:rPr>
          <w:szCs w:val="22"/>
          <w:lang w:val="cs-CZ"/>
        </w:rPr>
        <w:t>léčby</w:t>
      </w:r>
      <w:r w:rsidR="00F64B72" w:rsidRPr="001B4A02">
        <w:rPr>
          <w:szCs w:val="22"/>
          <w:lang w:val="cs-CZ"/>
        </w:rPr>
        <w:t>“</w:t>
      </w:r>
      <w:r w:rsidRPr="001B4A02">
        <w:rPr>
          <w:szCs w:val="22"/>
          <w:lang w:val="cs-CZ"/>
        </w:rPr>
        <w:t>. Selhání léčby bylo definováno vícesložkovým výstupem založeným na zánětlivých chorioretinálních a/nebo zánětlivých retinálních vaskulárních lézích, počtu buněk v</w:t>
      </w:r>
      <w:r w:rsidR="00F64B72" w:rsidRPr="001B4A02">
        <w:rPr>
          <w:szCs w:val="22"/>
          <w:lang w:val="cs-CZ"/>
        </w:rPr>
        <w:t> </w:t>
      </w:r>
      <w:r w:rsidRPr="001B4A02">
        <w:rPr>
          <w:szCs w:val="22"/>
          <w:lang w:val="cs-CZ"/>
        </w:rPr>
        <w:t>přední komoře (AC), stupni zákalu ve sklivci (VH)</w:t>
      </w:r>
      <w:r w:rsidR="002378E0">
        <w:rPr>
          <w:szCs w:val="22"/>
          <w:lang w:val="cs-CZ"/>
        </w:rPr>
        <w:t xml:space="preserve"> a </w:t>
      </w:r>
      <w:r w:rsidRPr="001B4A02">
        <w:rPr>
          <w:szCs w:val="22"/>
          <w:lang w:val="cs-CZ"/>
        </w:rPr>
        <w:t xml:space="preserve">nejlepší korigované zrakové ostrosti (BCVA). </w:t>
      </w:r>
    </w:p>
    <w:p w14:paraId="287E71EF" w14:textId="77777777" w:rsidR="00E7724C" w:rsidRPr="001B4A02" w:rsidRDefault="00E7724C" w:rsidP="00ED48A3">
      <w:pPr>
        <w:pStyle w:val="EMEANormal"/>
        <w:rPr>
          <w:lang w:val="cs-CZ"/>
        </w:rPr>
      </w:pPr>
    </w:p>
    <w:p w14:paraId="15E59A4B" w14:textId="77777777" w:rsidR="00843E47" w:rsidRPr="001B4A02" w:rsidRDefault="00000000" w:rsidP="00ED48A3">
      <w:pPr>
        <w:pStyle w:val="EMEANormal"/>
        <w:keepNext/>
        <w:rPr>
          <w:i/>
          <w:szCs w:val="22"/>
          <w:u w:val="single"/>
          <w:lang w:val="cs-CZ"/>
        </w:rPr>
      </w:pPr>
      <w:r w:rsidRPr="001B4A02">
        <w:rPr>
          <w:i/>
          <w:szCs w:val="22"/>
          <w:u w:val="single"/>
          <w:lang w:val="cs-CZ"/>
        </w:rPr>
        <w:t>Klinická odpověď</w:t>
      </w:r>
    </w:p>
    <w:p w14:paraId="245CF921" w14:textId="77777777" w:rsidR="00843E47" w:rsidRPr="001B4A02" w:rsidRDefault="00843E47" w:rsidP="00ED48A3">
      <w:pPr>
        <w:pStyle w:val="EMEANormal"/>
        <w:keepNext/>
        <w:rPr>
          <w:i/>
          <w:szCs w:val="22"/>
          <w:u w:val="single"/>
          <w:lang w:val="cs-CZ"/>
        </w:rPr>
      </w:pPr>
    </w:p>
    <w:p w14:paraId="1DCE1E36" w14:textId="77777777" w:rsidR="00E7724C" w:rsidRPr="001B4A02" w:rsidRDefault="00000000" w:rsidP="00ED48A3">
      <w:pPr>
        <w:pStyle w:val="EMEANormal"/>
        <w:rPr>
          <w:szCs w:val="22"/>
          <w:lang w:val="cs-CZ"/>
        </w:rPr>
      </w:pPr>
      <w:r w:rsidRPr="001B4A02">
        <w:rPr>
          <w:szCs w:val="22"/>
          <w:lang w:val="cs-CZ"/>
        </w:rPr>
        <w:t>Výsledky z</w:t>
      </w:r>
      <w:r w:rsidR="00F64B72" w:rsidRPr="001B4A02">
        <w:rPr>
          <w:szCs w:val="22"/>
          <w:lang w:val="cs-CZ"/>
        </w:rPr>
        <w:t> </w:t>
      </w:r>
      <w:r w:rsidRPr="001B4A02">
        <w:rPr>
          <w:szCs w:val="22"/>
          <w:lang w:val="cs-CZ"/>
        </w:rPr>
        <w:t>obou studií prokázaly statisticky významné snížení rizika selhání léčby u</w:t>
      </w:r>
      <w:r w:rsidR="00F64B72" w:rsidRPr="001B4A02">
        <w:rPr>
          <w:szCs w:val="22"/>
          <w:lang w:val="cs-CZ"/>
        </w:rPr>
        <w:t> </w:t>
      </w:r>
      <w:r w:rsidRPr="001B4A02">
        <w:rPr>
          <w:szCs w:val="22"/>
          <w:lang w:val="cs-CZ"/>
        </w:rPr>
        <w:t>pacientů léčených přípravkem Humira v</w:t>
      </w:r>
      <w:r w:rsidR="00F64B72" w:rsidRPr="001B4A02">
        <w:rPr>
          <w:szCs w:val="22"/>
          <w:lang w:val="cs-CZ"/>
        </w:rPr>
        <w:t> </w:t>
      </w:r>
      <w:r w:rsidRPr="001B4A02">
        <w:rPr>
          <w:szCs w:val="22"/>
          <w:lang w:val="cs-CZ"/>
        </w:rPr>
        <w:t>porovnání s</w:t>
      </w:r>
      <w:r w:rsidR="00F64B72" w:rsidRPr="001B4A02">
        <w:rPr>
          <w:szCs w:val="22"/>
          <w:lang w:val="cs-CZ"/>
        </w:rPr>
        <w:t> </w:t>
      </w:r>
      <w:r w:rsidRPr="001B4A02">
        <w:rPr>
          <w:szCs w:val="22"/>
          <w:lang w:val="cs-CZ"/>
        </w:rPr>
        <w:t>pacienty dostávajícími placebo (</w:t>
      </w:r>
      <w:r w:rsidR="00D532C1" w:rsidRPr="001B4A02">
        <w:rPr>
          <w:szCs w:val="22"/>
          <w:lang w:val="cs-CZ"/>
        </w:rPr>
        <w:t xml:space="preserve">viz </w:t>
      </w:r>
      <w:r w:rsidRPr="001B4A02">
        <w:rPr>
          <w:szCs w:val="22"/>
          <w:lang w:val="cs-CZ"/>
        </w:rPr>
        <w:t xml:space="preserve">tabulka </w:t>
      </w:r>
      <w:r w:rsidR="002D74C7">
        <w:rPr>
          <w:szCs w:val="22"/>
          <w:lang w:val="cs-CZ"/>
        </w:rPr>
        <w:t>17</w:t>
      </w:r>
      <w:r w:rsidRPr="001B4A02">
        <w:rPr>
          <w:szCs w:val="22"/>
          <w:lang w:val="cs-CZ"/>
        </w:rPr>
        <w:t>). Obě studie prokázaly časný</w:t>
      </w:r>
      <w:r w:rsidR="002378E0">
        <w:rPr>
          <w:szCs w:val="22"/>
          <w:lang w:val="cs-CZ"/>
        </w:rPr>
        <w:t xml:space="preserve"> a </w:t>
      </w:r>
      <w:r w:rsidRPr="001B4A02">
        <w:rPr>
          <w:szCs w:val="22"/>
          <w:lang w:val="cs-CZ"/>
        </w:rPr>
        <w:t>setrvalý účinek přípravku Humira na četnost selhání léčby v</w:t>
      </w:r>
      <w:r w:rsidR="00F64B72" w:rsidRPr="001B4A02">
        <w:rPr>
          <w:szCs w:val="22"/>
          <w:lang w:val="cs-CZ"/>
        </w:rPr>
        <w:t> </w:t>
      </w:r>
      <w:r w:rsidRPr="001B4A02">
        <w:rPr>
          <w:szCs w:val="22"/>
          <w:lang w:val="cs-CZ"/>
        </w:rPr>
        <w:t>porovnání s</w:t>
      </w:r>
      <w:r w:rsidR="00F64B72" w:rsidRPr="001B4A02">
        <w:rPr>
          <w:szCs w:val="22"/>
          <w:lang w:val="cs-CZ"/>
        </w:rPr>
        <w:t> </w:t>
      </w:r>
      <w:r w:rsidRPr="001B4A02">
        <w:rPr>
          <w:szCs w:val="22"/>
          <w:lang w:val="cs-CZ"/>
        </w:rPr>
        <w:t>placebem (</w:t>
      </w:r>
      <w:r w:rsidR="00D532C1" w:rsidRPr="001B4A02">
        <w:rPr>
          <w:szCs w:val="22"/>
          <w:lang w:val="cs-CZ"/>
        </w:rPr>
        <w:t xml:space="preserve">viz </w:t>
      </w:r>
      <w:r w:rsidRPr="001B4A02">
        <w:rPr>
          <w:szCs w:val="22"/>
          <w:lang w:val="cs-CZ"/>
        </w:rPr>
        <w:t xml:space="preserve">obrázek 1). </w:t>
      </w:r>
    </w:p>
    <w:p w14:paraId="0769D271" w14:textId="77777777" w:rsidR="00EB5C82" w:rsidRPr="001B4A02" w:rsidRDefault="00EB5C82" w:rsidP="004C2FD7">
      <w:pPr>
        <w:pStyle w:val="EMEANormal"/>
        <w:jc w:val="center"/>
        <w:rPr>
          <w:b/>
          <w:szCs w:val="22"/>
          <w:lang w:val="cs-CZ"/>
        </w:rPr>
      </w:pPr>
    </w:p>
    <w:p w14:paraId="01BADDD8" w14:textId="77777777" w:rsidR="00E7724C" w:rsidRPr="001B4A02" w:rsidRDefault="00000000" w:rsidP="00F1755A">
      <w:pPr>
        <w:pStyle w:val="EMEANormal"/>
        <w:keepNext/>
        <w:jc w:val="center"/>
        <w:rPr>
          <w:b/>
          <w:szCs w:val="22"/>
          <w:lang w:val="cs-CZ"/>
        </w:rPr>
      </w:pPr>
      <w:r w:rsidRPr="001B4A02">
        <w:rPr>
          <w:b/>
          <w:szCs w:val="22"/>
          <w:lang w:val="cs-CZ"/>
        </w:rPr>
        <w:t xml:space="preserve">Tabulka </w:t>
      </w:r>
      <w:r w:rsidR="002D74C7">
        <w:rPr>
          <w:b/>
          <w:szCs w:val="22"/>
          <w:lang w:val="cs-CZ"/>
        </w:rPr>
        <w:t>17</w:t>
      </w:r>
      <w:r w:rsidR="002D74C7" w:rsidRPr="001B4A02">
        <w:rPr>
          <w:b/>
          <w:szCs w:val="22"/>
          <w:lang w:val="cs-CZ"/>
        </w:rPr>
        <w:t xml:space="preserve"> </w:t>
      </w:r>
    </w:p>
    <w:p w14:paraId="78DD620F" w14:textId="77777777" w:rsidR="00E7724C" w:rsidRPr="001B4A02" w:rsidRDefault="00000000" w:rsidP="00F1755A">
      <w:pPr>
        <w:pStyle w:val="EMEANormal"/>
        <w:keepNext/>
        <w:jc w:val="center"/>
        <w:rPr>
          <w:b/>
          <w:szCs w:val="22"/>
          <w:lang w:val="cs-CZ"/>
        </w:rPr>
      </w:pPr>
      <w:r w:rsidRPr="001B4A02">
        <w:rPr>
          <w:b/>
          <w:szCs w:val="22"/>
          <w:lang w:val="cs-CZ"/>
        </w:rPr>
        <w:t xml:space="preserve">Doba do selhání </w:t>
      </w:r>
      <w:r w:rsidR="00D532C1" w:rsidRPr="001B4A02">
        <w:rPr>
          <w:b/>
          <w:szCs w:val="22"/>
          <w:lang w:val="cs-CZ"/>
        </w:rPr>
        <w:t xml:space="preserve">léčby </w:t>
      </w:r>
      <w:r w:rsidRPr="001B4A02">
        <w:rPr>
          <w:b/>
          <w:szCs w:val="22"/>
          <w:lang w:val="cs-CZ"/>
        </w:rPr>
        <w:t>ve studiích UV I</w:t>
      </w:r>
      <w:r w:rsidR="002378E0">
        <w:rPr>
          <w:b/>
          <w:szCs w:val="22"/>
          <w:lang w:val="cs-CZ"/>
        </w:rPr>
        <w:t xml:space="preserve"> a </w:t>
      </w:r>
      <w:r w:rsidRPr="001B4A02">
        <w:rPr>
          <w:b/>
          <w:szCs w:val="22"/>
          <w:lang w:val="cs-CZ"/>
        </w:rPr>
        <w:t>UV II</w:t>
      </w:r>
    </w:p>
    <w:p w14:paraId="6007DB4D" w14:textId="77777777" w:rsidR="00E7724C" w:rsidRPr="001B4A02" w:rsidRDefault="00E7724C" w:rsidP="00F1755A">
      <w:pPr>
        <w:pStyle w:val="EMEANormal"/>
        <w:keepNext/>
        <w:jc w:val="center"/>
        <w:rPr>
          <w:b/>
          <w:szCs w:val="22"/>
          <w:lang w:val="cs-CZ"/>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534A2D" w14:paraId="4DE9C97B" w14:textId="77777777" w:rsidTr="00AB6A06">
        <w:tc>
          <w:tcPr>
            <w:tcW w:w="2268" w:type="dxa"/>
            <w:tcBorders>
              <w:top w:val="single" w:sz="4" w:space="0" w:color="auto"/>
              <w:bottom w:val="single" w:sz="4" w:space="0" w:color="auto"/>
            </w:tcBorders>
            <w:shd w:val="clear" w:color="auto" w:fill="auto"/>
          </w:tcPr>
          <w:p w14:paraId="28750180" w14:textId="77777777" w:rsidR="00EB5C82" w:rsidRPr="001B4A02" w:rsidRDefault="00000000" w:rsidP="00F1755A">
            <w:pPr>
              <w:pStyle w:val="EMEANormal"/>
              <w:keepNext/>
              <w:tabs>
                <w:tab w:val="right" w:pos="2052"/>
              </w:tabs>
              <w:rPr>
                <w:b/>
                <w:szCs w:val="22"/>
                <w:lang w:val="cs-CZ"/>
              </w:rPr>
            </w:pPr>
            <w:r w:rsidRPr="001B4A02">
              <w:rPr>
                <w:b/>
                <w:szCs w:val="22"/>
                <w:lang w:val="cs-CZ"/>
              </w:rPr>
              <w:t>Analýza</w:t>
            </w:r>
            <w:r w:rsidRPr="001B4A02">
              <w:rPr>
                <w:b/>
                <w:szCs w:val="22"/>
                <w:lang w:val="cs-CZ"/>
              </w:rPr>
              <w:tab/>
            </w:r>
          </w:p>
          <w:p w14:paraId="2BC74DE3" w14:textId="77777777" w:rsidR="00EB5C82" w:rsidRPr="001B4A02" w:rsidRDefault="00000000" w:rsidP="00F1755A">
            <w:pPr>
              <w:pStyle w:val="EMEANormal"/>
              <w:keepNext/>
              <w:rPr>
                <w:b/>
                <w:szCs w:val="22"/>
                <w:lang w:val="cs-CZ"/>
              </w:rPr>
            </w:pPr>
            <w:r w:rsidRPr="001B4A02">
              <w:rPr>
                <w:b/>
                <w:szCs w:val="22"/>
                <w:lang w:val="cs-CZ"/>
              </w:rPr>
              <w:tab/>
              <w:t>Léčba</w:t>
            </w:r>
          </w:p>
        </w:tc>
        <w:tc>
          <w:tcPr>
            <w:tcW w:w="720" w:type="dxa"/>
            <w:tcBorders>
              <w:top w:val="single" w:sz="4" w:space="0" w:color="auto"/>
              <w:bottom w:val="single" w:sz="4" w:space="0" w:color="auto"/>
            </w:tcBorders>
            <w:shd w:val="clear" w:color="auto" w:fill="auto"/>
          </w:tcPr>
          <w:p w14:paraId="1803D4C2" w14:textId="77777777" w:rsidR="00EB5C82" w:rsidRPr="001B4A02" w:rsidRDefault="00000000" w:rsidP="00F1755A">
            <w:pPr>
              <w:pStyle w:val="EMEANormal"/>
              <w:keepNext/>
              <w:rPr>
                <w:b/>
                <w:szCs w:val="22"/>
                <w:lang w:val="cs-CZ"/>
              </w:rPr>
            </w:pPr>
            <w:r>
              <w:rPr>
                <w:b/>
                <w:szCs w:val="22"/>
                <w:lang w:val="cs-CZ"/>
              </w:rPr>
              <w:t>n</w:t>
            </w:r>
          </w:p>
        </w:tc>
        <w:tc>
          <w:tcPr>
            <w:tcW w:w="1170" w:type="dxa"/>
            <w:tcBorders>
              <w:top w:val="single" w:sz="4" w:space="0" w:color="auto"/>
              <w:bottom w:val="single" w:sz="4" w:space="0" w:color="auto"/>
            </w:tcBorders>
            <w:shd w:val="clear" w:color="auto" w:fill="auto"/>
          </w:tcPr>
          <w:p w14:paraId="6605E167" w14:textId="77777777" w:rsidR="00EB5C82" w:rsidRPr="001B4A02" w:rsidRDefault="00000000" w:rsidP="00F1755A">
            <w:pPr>
              <w:pStyle w:val="EMEANormal"/>
              <w:keepNext/>
              <w:rPr>
                <w:b/>
                <w:szCs w:val="22"/>
                <w:lang w:val="cs-CZ"/>
              </w:rPr>
            </w:pPr>
            <w:r w:rsidRPr="001B4A02">
              <w:rPr>
                <w:b/>
                <w:szCs w:val="22"/>
                <w:lang w:val="cs-CZ"/>
              </w:rPr>
              <w:t>Selhání</w:t>
            </w:r>
            <w:r w:rsidRPr="001B4A02">
              <w:rPr>
                <w:b/>
                <w:szCs w:val="22"/>
                <w:lang w:val="cs-CZ"/>
              </w:rPr>
              <w:br/>
            </w:r>
            <w:r w:rsidR="0093374E">
              <w:rPr>
                <w:b/>
                <w:szCs w:val="22"/>
                <w:lang w:val="cs-CZ"/>
              </w:rPr>
              <w:t>n</w:t>
            </w:r>
            <w:r w:rsidRPr="001B4A02">
              <w:rPr>
                <w:b/>
                <w:szCs w:val="22"/>
                <w:lang w:val="cs-CZ"/>
              </w:rPr>
              <w:t xml:space="preserve"> (%)</w:t>
            </w:r>
          </w:p>
        </w:tc>
        <w:tc>
          <w:tcPr>
            <w:tcW w:w="1890" w:type="dxa"/>
            <w:tcBorders>
              <w:top w:val="single" w:sz="4" w:space="0" w:color="auto"/>
              <w:bottom w:val="single" w:sz="4" w:space="0" w:color="auto"/>
            </w:tcBorders>
            <w:shd w:val="clear" w:color="auto" w:fill="auto"/>
          </w:tcPr>
          <w:p w14:paraId="0AA51ED6" w14:textId="77777777" w:rsidR="00EB5C82" w:rsidRPr="001B4A02" w:rsidRDefault="00000000" w:rsidP="00F1755A">
            <w:pPr>
              <w:pStyle w:val="EMEANormal"/>
              <w:keepNext/>
              <w:rPr>
                <w:b/>
                <w:szCs w:val="22"/>
                <w:lang w:val="cs-CZ"/>
              </w:rPr>
            </w:pPr>
            <w:r w:rsidRPr="001B4A02">
              <w:rPr>
                <w:b/>
                <w:szCs w:val="22"/>
                <w:lang w:val="cs-CZ"/>
              </w:rPr>
              <w:t>Střední doba do selhání (měsíce)</w:t>
            </w:r>
          </w:p>
        </w:tc>
        <w:tc>
          <w:tcPr>
            <w:tcW w:w="720" w:type="dxa"/>
            <w:tcBorders>
              <w:top w:val="single" w:sz="4" w:space="0" w:color="auto"/>
              <w:bottom w:val="single" w:sz="4" w:space="0" w:color="auto"/>
            </w:tcBorders>
            <w:shd w:val="clear" w:color="auto" w:fill="auto"/>
          </w:tcPr>
          <w:p w14:paraId="7B9CB93A" w14:textId="77777777" w:rsidR="00EB5C82" w:rsidRPr="001B4A02" w:rsidRDefault="00000000" w:rsidP="00F1755A">
            <w:pPr>
              <w:pStyle w:val="EMEANormal"/>
              <w:keepNext/>
              <w:rPr>
                <w:b/>
                <w:szCs w:val="22"/>
                <w:lang w:val="cs-CZ"/>
              </w:rPr>
            </w:pPr>
            <w:r w:rsidRPr="001B4A02">
              <w:rPr>
                <w:b/>
                <w:szCs w:val="22"/>
                <w:lang w:val="cs-CZ"/>
              </w:rPr>
              <w:t>HR</w:t>
            </w:r>
            <w:r w:rsidRPr="001B4A02">
              <w:rPr>
                <w:b/>
                <w:szCs w:val="22"/>
                <w:vertAlign w:val="superscript"/>
                <w:lang w:val="cs-CZ"/>
              </w:rPr>
              <w:t>a</w:t>
            </w:r>
          </w:p>
        </w:tc>
        <w:tc>
          <w:tcPr>
            <w:tcW w:w="1170" w:type="dxa"/>
            <w:tcBorders>
              <w:top w:val="single" w:sz="4" w:space="0" w:color="auto"/>
              <w:bottom w:val="single" w:sz="4" w:space="0" w:color="auto"/>
            </w:tcBorders>
            <w:shd w:val="clear" w:color="auto" w:fill="auto"/>
          </w:tcPr>
          <w:p w14:paraId="467ADCD5" w14:textId="77777777" w:rsidR="00EB5C82" w:rsidRPr="001B4A02" w:rsidRDefault="00000000" w:rsidP="00F1755A">
            <w:pPr>
              <w:pStyle w:val="EMEANormal"/>
              <w:keepNext/>
              <w:rPr>
                <w:b/>
                <w:szCs w:val="22"/>
                <w:lang w:val="cs-CZ"/>
              </w:rPr>
            </w:pPr>
            <w:r w:rsidRPr="001B4A02">
              <w:rPr>
                <w:b/>
                <w:szCs w:val="22"/>
                <w:lang w:val="cs-CZ"/>
              </w:rPr>
              <w:t>CI 95% pro HR</w:t>
            </w:r>
            <w:r w:rsidRPr="001B4A02">
              <w:rPr>
                <w:b/>
                <w:szCs w:val="22"/>
                <w:vertAlign w:val="superscript"/>
                <w:lang w:val="cs-CZ"/>
              </w:rPr>
              <w:t>a</w:t>
            </w:r>
          </w:p>
        </w:tc>
        <w:tc>
          <w:tcPr>
            <w:tcW w:w="1080" w:type="dxa"/>
            <w:tcBorders>
              <w:top w:val="single" w:sz="4" w:space="0" w:color="auto"/>
              <w:bottom w:val="single" w:sz="4" w:space="0" w:color="auto"/>
            </w:tcBorders>
            <w:shd w:val="clear" w:color="auto" w:fill="auto"/>
          </w:tcPr>
          <w:p w14:paraId="7276AD78" w14:textId="77777777" w:rsidR="00EB5C82" w:rsidRPr="001B4A02" w:rsidRDefault="00000000" w:rsidP="00F1755A">
            <w:pPr>
              <w:pStyle w:val="EMEANormal"/>
              <w:keepNext/>
              <w:rPr>
                <w:b/>
                <w:szCs w:val="22"/>
                <w:lang w:val="cs-CZ"/>
              </w:rPr>
            </w:pPr>
            <w:r w:rsidRPr="001B4A02">
              <w:rPr>
                <w:b/>
                <w:i/>
                <w:szCs w:val="22"/>
                <w:lang w:val="cs-CZ"/>
              </w:rPr>
              <w:t>P</w:t>
            </w:r>
            <w:r w:rsidRPr="001B4A02">
              <w:rPr>
                <w:b/>
                <w:szCs w:val="22"/>
                <w:lang w:val="cs-CZ"/>
              </w:rPr>
              <w:t xml:space="preserve"> hodnota</w:t>
            </w:r>
            <w:r w:rsidRPr="001B4A02">
              <w:rPr>
                <w:szCs w:val="22"/>
                <w:vertAlign w:val="superscript"/>
                <w:lang w:val="cs-CZ"/>
              </w:rPr>
              <w:t>b</w:t>
            </w:r>
          </w:p>
        </w:tc>
      </w:tr>
      <w:tr w:rsidR="00534A2D" w14:paraId="5932C78E" w14:textId="77777777" w:rsidTr="00E7724C">
        <w:tc>
          <w:tcPr>
            <w:tcW w:w="9018" w:type="dxa"/>
            <w:gridSpan w:val="7"/>
            <w:tcBorders>
              <w:top w:val="single" w:sz="4" w:space="0" w:color="auto"/>
              <w:bottom w:val="nil"/>
            </w:tcBorders>
            <w:shd w:val="clear" w:color="auto" w:fill="auto"/>
          </w:tcPr>
          <w:p w14:paraId="1CE35B50" w14:textId="77777777" w:rsidR="00EB5C82" w:rsidRPr="001B4A02" w:rsidRDefault="00000000" w:rsidP="00F1755A">
            <w:pPr>
              <w:pStyle w:val="EMEANormal"/>
              <w:keepNext/>
              <w:rPr>
                <w:b/>
                <w:szCs w:val="22"/>
                <w:lang w:val="cs-CZ"/>
              </w:rPr>
            </w:pPr>
            <w:r w:rsidRPr="001B4A02">
              <w:rPr>
                <w:b/>
                <w:szCs w:val="22"/>
                <w:lang w:val="cs-CZ"/>
              </w:rPr>
              <w:t xml:space="preserve">Doba do selhání </w:t>
            </w:r>
            <w:r w:rsidR="00D532C1" w:rsidRPr="001B4A02">
              <w:rPr>
                <w:b/>
                <w:szCs w:val="22"/>
                <w:lang w:val="cs-CZ"/>
              </w:rPr>
              <w:t>léčby</w:t>
            </w:r>
            <w:r w:rsidRPr="001B4A02">
              <w:rPr>
                <w:b/>
                <w:szCs w:val="22"/>
                <w:lang w:val="cs-CZ"/>
              </w:rPr>
              <w:t xml:space="preserve"> v</w:t>
            </w:r>
            <w:r w:rsidR="00F64B72" w:rsidRPr="001B4A02">
              <w:rPr>
                <w:b/>
                <w:szCs w:val="22"/>
                <w:lang w:val="cs-CZ"/>
              </w:rPr>
              <w:t> </w:t>
            </w:r>
            <w:r w:rsidRPr="001B4A02">
              <w:rPr>
                <w:b/>
                <w:szCs w:val="22"/>
                <w:lang w:val="cs-CZ"/>
              </w:rPr>
              <w:t>týdnu 6 nebo později ve studii UV I</w:t>
            </w:r>
          </w:p>
        </w:tc>
      </w:tr>
      <w:tr w:rsidR="00534A2D" w14:paraId="6F4F9447" w14:textId="77777777" w:rsidTr="00AB6A06">
        <w:tc>
          <w:tcPr>
            <w:tcW w:w="2988" w:type="dxa"/>
            <w:gridSpan w:val="2"/>
            <w:tcBorders>
              <w:top w:val="nil"/>
              <w:bottom w:val="nil"/>
            </w:tcBorders>
            <w:shd w:val="clear" w:color="auto" w:fill="auto"/>
          </w:tcPr>
          <w:p w14:paraId="0C1E74F8" w14:textId="77777777" w:rsidR="00EB5C82" w:rsidRPr="001B4A02" w:rsidRDefault="00000000" w:rsidP="00F1755A">
            <w:pPr>
              <w:pStyle w:val="EMEANormal"/>
              <w:keepNext/>
              <w:rPr>
                <w:szCs w:val="22"/>
                <w:lang w:val="cs-CZ"/>
              </w:rPr>
            </w:pPr>
            <w:r w:rsidRPr="001B4A02">
              <w:rPr>
                <w:szCs w:val="22"/>
                <w:lang w:val="cs-CZ"/>
              </w:rPr>
              <w:t>Primární analýza (ITT)</w:t>
            </w:r>
          </w:p>
        </w:tc>
        <w:tc>
          <w:tcPr>
            <w:tcW w:w="1170" w:type="dxa"/>
            <w:tcBorders>
              <w:top w:val="nil"/>
              <w:bottom w:val="nil"/>
            </w:tcBorders>
            <w:shd w:val="clear" w:color="auto" w:fill="auto"/>
          </w:tcPr>
          <w:p w14:paraId="077A1488" w14:textId="77777777" w:rsidR="00EB5C82" w:rsidRPr="001B4A02" w:rsidRDefault="00EB5C82" w:rsidP="00F1755A">
            <w:pPr>
              <w:pStyle w:val="EMEANormal"/>
              <w:keepNext/>
              <w:rPr>
                <w:szCs w:val="22"/>
                <w:lang w:val="cs-CZ"/>
              </w:rPr>
            </w:pPr>
          </w:p>
        </w:tc>
        <w:tc>
          <w:tcPr>
            <w:tcW w:w="1890" w:type="dxa"/>
            <w:tcBorders>
              <w:top w:val="nil"/>
              <w:bottom w:val="nil"/>
            </w:tcBorders>
            <w:shd w:val="clear" w:color="auto" w:fill="auto"/>
          </w:tcPr>
          <w:p w14:paraId="71724EFD" w14:textId="77777777" w:rsidR="00EB5C82" w:rsidRPr="001B4A02" w:rsidRDefault="00EB5C82" w:rsidP="00F1755A">
            <w:pPr>
              <w:pStyle w:val="EMEANormal"/>
              <w:keepNext/>
              <w:rPr>
                <w:szCs w:val="22"/>
                <w:lang w:val="cs-CZ"/>
              </w:rPr>
            </w:pPr>
          </w:p>
        </w:tc>
        <w:tc>
          <w:tcPr>
            <w:tcW w:w="720" w:type="dxa"/>
            <w:tcBorders>
              <w:top w:val="nil"/>
              <w:bottom w:val="nil"/>
            </w:tcBorders>
            <w:shd w:val="clear" w:color="auto" w:fill="auto"/>
          </w:tcPr>
          <w:p w14:paraId="494D38D8" w14:textId="77777777" w:rsidR="00EB5C82" w:rsidRPr="001B4A02" w:rsidRDefault="00EB5C82" w:rsidP="00F1755A">
            <w:pPr>
              <w:pStyle w:val="EMEANormal"/>
              <w:keepNext/>
              <w:rPr>
                <w:szCs w:val="22"/>
                <w:lang w:val="cs-CZ"/>
              </w:rPr>
            </w:pPr>
          </w:p>
        </w:tc>
        <w:tc>
          <w:tcPr>
            <w:tcW w:w="1170" w:type="dxa"/>
            <w:tcBorders>
              <w:top w:val="nil"/>
              <w:bottom w:val="nil"/>
            </w:tcBorders>
            <w:shd w:val="clear" w:color="auto" w:fill="auto"/>
          </w:tcPr>
          <w:p w14:paraId="328A96E7" w14:textId="77777777" w:rsidR="00EB5C82" w:rsidRPr="001B4A02" w:rsidRDefault="00EB5C82" w:rsidP="00F1755A">
            <w:pPr>
              <w:pStyle w:val="EMEANormal"/>
              <w:keepNext/>
              <w:rPr>
                <w:szCs w:val="22"/>
                <w:lang w:val="cs-CZ"/>
              </w:rPr>
            </w:pPr>
          </w:p>
        </w:tc>
        <w:tc>
          <w:tcPr>
            <w:tcW w:w="1080" w:type="dxa"/>
            <w:tcBorders>
              <w:top w:val="nil"/>
              <w:bottom w:val="nil"/>
            </w:tcBorders>
            <w:shd w:val="clear" w:color="auto" w:fill="auto"/>
          </w:tcPr>
          <w:p w14:paraId="09CBECFE" w14:textId="77777777" w:rsidR="00EB5C82" w:rsidRPr="001B4A02" w:rsidRDefault="00EB5C82" w:rsidP="00F1755A">
            <w:pPr>
              <w:pStyle w:val="EMEANormal"/>
              <w:keepNext/>
              <w:rPr>
                <w:szCs w:val="22"/>
                <w:lang w:val="cs-CZ"/>
              </w:rPr>
            </w:pPr>
          </w:p>
        </w:tc>
      </w:tr>
      <w:tr w:rsidR="00534A2D" w14:paraId="3194CAE0" w14:textId="77777777" w:rsidTr="00AB6A06">
        <w:tc>
          <w:tcPr>
            <w:tcW w:w="2268" w:type="dxa"/>
            <w:tcBorders>
              <w:top w:val="nil"/>
              <w:bottom w:val="nil"/>
            </w:tcBorders>
            <w:shd w:val="clear" w:color="auto" w:fill="auto"/>
          </w:tcPr>
          <w:p w14:paraId="5AF856FC" w14:textId="77777777" w:rsidR="00EB5C82" w:rsidRPr="001B4A02" w:rsidRDefault="00000000" w:rsidP="00F1755A">
            <w:pPr>
              <w:pStyle w:val="EMEANormal"/>
              <w:keepNext/>
              <w:rPr>
                <w:szCs w:val="22"/>
                <w:lang w:val="cs-CZ"/>
              </w:rPr>
            </w:pPr>
            <w:r w:rsidRPr="001B4A02">
              <w:rPr>
                <w:szCs w:val="22"/>
                <w:lang w:val="cs-CZ"/>
              </w:rPr>
              <w:tab/>
              <w:t>Placebo</w:t>
            </w:r>
          </w:p>
        </w:tc>
        <w:tc>
          <w:tcPr>
            <w:tcW w:w="720" w:type="dxa"/>
            <w:tcBorders>
              <w:top w:val="nil"/>
              <w:bottom w:val="nil"/>
            </w:tcBorders>
            <w:shd w:val="clear" w:color="auto" w:fill="auto"/>
          </w:tcPr>
          <w:p w14:paraId="042DF0AB" w14:textId="77777777" w:rsidR="00EB5C82" w:rsidRPr="001B4A02" w:rsidRDefault="00000000" w:rsidP="00F1755A">
            <w:pPr>
              <w:pStyle w:val="EMEANormal"/>
              <w:keepNext/>
              <w:rPr>
                <w:szCs w:val="22"/>
                <w:lang w:val="cs-CZ"/>
              </w:rPr>
            </w:pPr>
            <w:r w:rsidRPr="001B4A02">
              <w:rPr>
                <w:szCs w:val="22"/>
                <w:lang w:val="cs-CZ"/>
              </w:rPr>
              <w:t>107</w:t>
            </w:r>
          </w:p>
        </w:tc>
        <w:tc>
          <w:tcPr>
            <w:tcW w:w="1170" w:type="dxa"/>
            <w:tcBorders>
              <w:top w:val="nil"/>
              <w:bottom w:val="nil"/>
            </w:tcBorders>
            <w:shd w:val="clear" w:color="auto" w:fill="auto"/>
          </w:tcPr>
          <w:p w14:paraId="717691E8" w14:textId="77777777" w:rsidR="00EB5C82" w:rsidRPr="001B4A02" w:rsidRDefault="00000000" w:rsidP="00F1755A">
            <w:pPr>
              <w:pStyle w:val="EMEANormal"/>
              <w:keepNext/>
              <w:rPr>
                <w:szCs w:val="22"/>
                <w:lang w:val="cs-CZ"/>
              </w:rPr>
            </w:pPr>
            <w:r w:rsidRPr="001B4A02">
              <w:rPr>
                <w:szCs w:val="22"/>
                <w:lang w:val="cs-CZ"/>
              </w:rPr>
              <w:t>84 (78,5)</w:t>
            </w:r>
          </w:p>
        </w:tc>
        <w:tc>
          <w:tcPr>
            <w:tcW w:w="1890" w:type="dxa"/>
            <w:tcBorders>
              <w:top w:val="nil"/>
              <w:bottom w:val="nil"/>
            </w:tcBorders>
            <w:shd w:val="clear" w:color="auto" w:fill="auto"/>
          </w:tcPr>
          <w:p w14:paraId="6CC85D8D" w14:textId="77777777" w:rsidR="00EB5C82" w:rsidRPr="001B4A02" w:rsidRDefault="00000000" w:rsidP="00F1755A">
            <w:pPr>
              <w:pStyle w:val="EMEANormal"/>
              <w:keepNext/>
              <w:rPr>
                <w:szCs w:val="22"/>
                <w:lang w:val="cs-CZ"/>
              </w:rPr>
            </w:pPr>
            <w:r w:rsidRPr="001B4A02">
              <w:rPr>
                <w:szCs w:val="22"/>
                <w:lang w:val="cs-CZ"/>
              </w:rPr>
              <w:t>3,0</w:t>
            </w:r>
          </w:p>
        </w:tc>
        <w:tc>
          <w:tcPr>
            <w:tcW w:w="720" w:type="dxa"/>
            <w:tcBorders>
              <w:top w:val="nil"/>
              <w:bottom w:val="nil"/>
            </w:tcBorders>
            <w:shd w:val="clear" w:color="auto" w:fill="auto"/>
          </w:tcPr>
          <w:p w14:paraId="5DB9D631" w14:textId="77777777" w:rsidR="00EB5C82" w:rsidRPr="001B4A02" w:rsidRDefault="00000000" w:rsidP="00F1755A">
            <w:pPr>
              <w:pStyle w:val="EMEANormal"/>
              <w:keepNext/>
              <w:rPr>
                <w:szCs w:val="22"/>
                <w:lang w:val="cs-CZ"/>
              </w:rPr>
            </w:pPr>
            <w:r w:rsidRPr="001B4A02">
              <w:rPr>
                <w:szCs w:val="22"/>
                <w:lang w:val="cs-CZ"/>
              </w:rPr>
              <w:t>--</w:t>
            </w:r>
          </w:p>
        </w:tc>
        <w:tc>
          <w:tcPr>
            <w:tcW w:w="1170" w:type="dxa"/>
            <w:tcBorders>
              <w:top w:val="nil"/>
              <w:bottom w:val="nil"/>
            </w:tcBorders>
            <w:shd w:val="clear" w:color="auto" w:fill="auto"/>
          </w:tcPr>
          <w:p w14:paraId="3D5B0C43" w14:textId="77777777" w:rsidR="00EB5C82" w:rsidRPr="001B4A02" w:rsidRDefault="00000000" w:rsidP="00F1755A">
            <w:pPr>
              <w:pStyle w:val="EMEANormal"/>
              <w:keepNext/>
              <w:rPr>
                <w:szCs w:val="22"/>
                <w:lang w:val="cs-CZ"/>
              </w:rPr>
            </w:pPr>
            <w:r w:rsidRPr="001B4A02">
              <w:rPr>
                <w:szCs w:val="22"/>
                <w:lang w:val="cs-CZ"/>
              </w:rPr>
              <w:t>--</w:t>
            </w:r>
          </w:p>
        </w:tc>
        <w:tc>
          <w:tcPr>
            <w:tcW w:w="1080" w:type="dxa"/>
            <w:tcBorders>
              <w:top w:val="nil"/>
              <w:bottom w:val="nil"/>
            </w:tcBorders>
            <w:shd w:val="clear" w:color="auto" w:fill="auto"/>
          </w:tcPr>
          <w:p w14:paraId="68F246D8" w14:textId="77777777" w:rsidR="00EB5C82" w:rsidRPr="001B4A02" w:rsidRDefault="00000000" w:rsidP="00F1755A">
            <w:pPr>
              <w:pStyle w:val="EMEANormal"/>
              <w:keepNext/>
              <w:rPr>
                <w:szCs w:val="22"/>
                <w:lang w:val="cs-CZ"/>
              </w:rPr>
            </w:pPr>
            <w:r w:rsidRPr="001B4A02">
              <w:rPr>
                <w:szCs w:val="22"/>
                <w:lang w:val="cs-CZ"/>
              </w:rPr>
              <w:t>--</w:t>
            </w:r>
          </w:p>
        </w:tc>
      </w:tr>
      <w:tr w:rsidR="00534A2D" w14:paraId="447C5AB8" w14:textId="77777777" w:rsidTr="00AB6A06">
        <w:tc>
          <w:tcPr>
            <w:tcW w:w="2268" w:type="dxa"/>
            <w:tcBorders>
              <w:top w:val="nil"/>
              <w:bottom w:val="single" w:sz="4" w:space="0" w:color="auto"/>
            </w:tcBorders>
            <w:shd w:val="clear" w:color="auto" w:fill="auto"/>
          </w:tcPr>
          <w:p w14:paraId="3437B743" w14:textId="77777777" w:rsidR="00EB5C82" w:rsidRPr="001B4A02" w:rsidRDefault="00000000" w:rsidP="00F1755A">
            <w:pPr>
              <w:pStyle w:val="EMEANormal"/>
              <w:keepNext/>
              <w:rPr>
                <w:szCs w:val="22"/>
                <w:lang w:val="cs-CZ"/>
              </w:rPr>
            </w:pPr>
            <w:r w:rsidRPr="001B4A02">
              <w:rPr>
                <w:szCs w:val="22"/>
                <w:lang w:val="cs-CZ"/>
              </w:rPr>
              <w:tab/>
              <w:t>Adalimumab</w:t>
            </w:r>
          </w:p>
        </w:tc>
        <w:tc>
          <w:tcPr>
            <w:tcW w:w="720" w:type="dxa"/>
            <w:tcBorders>
              <w:top w:val="nil"/>
              <w:bottom w:val="single" w:sz="4" w:space="0" w:color="auto"/>
            </w:tcBorders>
            <w:shd w:val="clear" w:color="auto" w:fill="auto"/>
          </w:tcPr>
          <w:p w14:paraId="587E4E8B" w14:textId="77777777" w:rsidR="00EB5C82" w:rsidRPr="001B4A02" w:rsidRDefault="00000000" w:rsidP="00F1755A">
            <w:pPr>
              <w:pStyle w:val="EMEANormal"/>
              <w:keepNext/>
              <w:rPr>
                <w:szCs w:val="22"/>
                <w:lang w:val="cs-CZ"/>
              </w:rPr>
            </w:pPr>
            <w:r w:rsidRPr="001B4A02">
              <w:rPr>
                <w:szCs w:val="22"/>
                <w:lang w:val="cs-CZ"/>
              </w:rPr>
              <w:t>110</w:t>
            </w:r>
          </w:p>
        </w:tc>
        <w:tc>
          <w:tcPr>
            <w:tcW w:w="1170" w:type="dxa"/>
            <w:tcBorders>
              <w:top w:val="nil"/>
              <w:bottom w:val="single" w:sz="4" w:space="0" w:color="auto"/>
            </w:tcBorders>
            <w:shd w:val="clear" w:color="auto" w:fill="auto"/>
          </w:tcPr>
          <w:p w14:paraId="00981619" w14:textId="77777777" w:rsidR="00EB5C82" w:rsidRPr="001B4A02" w:rsidRDefault="00000000" w:rsidP="00F1755A">
            <w:pPr>
              <w:pStyle w:val="EMEANormal"/>
              <w:keepNext/>
              <w:rPr>
                <w:szCs w:val="22"/>
                <w:lang w:val="cs-CZ"/>
              </w:rPr>
            </w:pPr>
            <w:r w:rsidRPr="001B4A02">
              <w:rPr>
                <w:szCs w:val="22"/>
                <w:lang w:val="cs-CZ"/>
              </w:rPr>
              <w:t>60 (54,5)</w:t>
            </w:r>
          </w:p>
        </w:tc>
        <w:tc>
          <w:tcPr>
            <w:tcW w:w="1890" w:type="dxa"/>
            <w:tcBorders>
              <w:top w:val="nil"/>
              <w:bottom w:val="single" w:sz="4" w:space="0" w:color="auto"/>
            </w:tcBorders>
            <w:shd w:val="clear" w:color="auto" w:fill="auto"/>
          </w:tcPr>
          <w:p w14:paraId="65946A43" w14:textId="77777777" w:rsidR="00EB5C82" w:rsidRPr="001B4A02" w:rsidRDefault="00000000" w:rsidP="00F1755A">
            <w:pPr>
              <w:pStyle w:val="EMEANormal"/>
              <w:keepNext/>
              <w:rPr>
                <w:szCs w:val="22"/>
                <w:lang w:val="cs-CZ"/>
              </w:rPr>
            </w:pPr>
            <w:r w:rsidRPr="001B4A02">
              <w:rPr>
                <w:szCs w:val="22"/>
                <w:lang w:val="cs-CZ"/>
              </w:rPr>
              <w:t>5,6</w:t>
            </w:r>
          </w:p>
        </w:tc>
        <w:tc>
          <w:tcPr>
            <w:tcW w:w="720" w:type="dxa"/>
            <w:tcBorders>
              <w:top w:val="nil"/>
              <w:bottom w:val="single" w:sz="4" w:space="0" w:color="auto"/>
            </w:tcBorders>
            <w:shd w:val="clear" w:color="auto" w:fill="auto"/>
          </w:tcPr>
          <w:p w14:paraId="09BD7A7D" w14:textId="77777777" w:rsidR="00EB5C82" w:rsidRPr="001B4A02" w:rsidRDefault="00000000" w:rsidP="00F1755A">
            <w:pPr>
              <w:pStyle w:val="EMEANormal"/>
              <w:keepNext/>
              <w:rPr>
                <w:szCs w:val="22"/>
                <w:lang w:val="cs-CZ"/>
              </w:rPr>
            </w:pPr>
            <w:r w:rsidRPr="001B4A02">
              <w:rPr>
                <w:szCs w:val="22"/>
                <w:lang w:val="cs-CZ"/>
              </w:rPr>
              <w:t>0,50</w:t>
            </w:r>
          </w:p>
        </w:tc>
        <w:tc>
          <w:tcPr>
            <w:tcW w:w="1170" w:type="dxa"/>
            <w:tcBorders>
              <w:top w:val="nil"/>
              <w:bottom w:val="single" w:sz="4" w:space="0" w:color="auto"/>
            </w:tcBorders>
            <w:shd w:val="clear" w:color="auto" w:fill="auto"/>
          </w:tcPr>
          <w:p w14:paraId="4510CCCD" w14:textId="77777777" w:rsidR="00EB5C82" w:rsidRPr="001B4A02" w:rsidRDefault="00000000" w:rsidP="00F1755A">
            <w:pPr>
              <w:pStyle w:val="EMEANormal"/>
              <w:keepNext/>
              <w:rPr>
                <w:szCs w:val="22"/>
                <w:lang w:val="cs-CZ"/>
              </w:rPr>
            </w:pPr>
            <w:r w:rsidRPr="001B4A02">
              <w:rPr>
                <w:szCs w:val="22"/>
                <w:lang w:val="cs-CZ"/>
              </w:rPr>
              <w:t>0,36, 0,70</w:t>
            </w:r>
            <w:r w:rsidRPr="001B4A02">
              <w:rPr>
                <w:szCs w:val="22"/>
                <w:vertAlign w:val="superscript"/>
                <w:lang w:val="cs-CZ"/>
              </w:rPr>
              <w:t xml:space="preserve"> </w:t>
            </w:r>
          </w:p>
        </w:tc>
        <w:tc>
          <w:tcPr>
            <w:tcW w:w="1080" w:type="dxa"/>
            <w:tcBorders>
              <w:top w:val="nil"/>
              <w:bottom w:val="single" w:sz="4" w:space="0" w:color="auto"/>
            </w:tcBorders>
            <w:shd w:val="clear" w:color="auto" w:fill="auto"/>
          </w:tcPr>
          <w:p w14:paraId="308DA193" w14:textId="77777777" w:rsidR="00EB5C82" w:rsidRPr="001B4A02" w:rsidRDefault="00000000" w:rsidP="00F1755A">
            <w:pPr>
              <w:pStyle w:val="EMEANormal"/>
              <w:keepNext/>
              <w:rPr>
                <w:szCs w:val="22"/>
                <w:lang w:val="cs-CZ"/>
              </w:rPr>
            </w:pPr>
            <w:r w:rsidRPr="001B4A02">
              <w:rPr>
                <w:szCs w:val="22"/>
                <w:lang w:val="cs-CZ"/>
              </w:rPr>
              <w:t>&lt; 0,001</w:t>
            </w:r>
          </w:p>
        </w:tc>
      </w:tr>
      <w:tr w:rsidR="00534A2D" w14:paraId="3462E0B2" w14:textId="77777777" w:rsidTr="00E7724C">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shd w:val="clear" w:color="auto" w:fill="auto"/>
          </w:tcPr>
          <w:p w14:paraId="71B12845" w14:textId="77777777" w:rsidR="00EB5C82" w:rsidRPr="001B4A02" w:rsidRDefault="00000000" w:rsidP="00F1755A">
            <w:pPr>
              <w:pStyle w:val="EMEANormal"/>
              <w:keepNext/>
              <w:rPr>
                <w:b/>
                <w:szCs w:val="22"/>
                <w:lang w:val="cs-CZ"/>
              </w:rPr>
            </w:pPr>
            <w:r w:rsidRPr="001B4A02">
              <w:rPr>
                <w:b/>
                <w:szCs w:val="22"/>
                <w:lang w:val="cs-CZ"/>
              </w:rPr>
              <w:t xml:space="preserve">Doba do selhání </w:t>
            </w:r>
            <w:r w:rsidR="00D532C1" w:rsidRPr="001B4A02">
              <w:rPr>
                <w:b/>
                <w:szCs w:val="22"/>
                <w:lang w:val="cs-CZ"/>
              </w:rPr>
              <w:t>léčby</w:t>
            </w:r>
            <w:r w:rsidRPr="001B4A02">
              <w:rPr>
                <w:b/>
                <w:szCs w:val="22"/>
                <w:lang w:val="cs-CZ"/>
              </w:rPr>
              <w:t xml:space="preserve"> v</w:t>
            </w:r>
            <w:r w:rsidR="00F64B72" w:rsidRPr="001B4A02">
              <w:rPr>
                <w:b/>
                <w:szCs w:val="22"/>
                <w:lang w:val="cs-CZ"/>
              </w:rPr>
              <w:t> </w:t>
            </w:r>
            <w:r w:rsidRPr="001B4A02">
              <w:rPr>
                <w:b/>
                <w:szCs w:val="22"/>
                <w:lang w:val="cs-CZ"/>
              </w:rPr>
              <w:t>týdnu 2 nebo později ve studii UV II</w:t>
            </w:r>
          </w:p>
        </w:tc>
      </w:tr>
      <w:tr w:rsidR="00534A2D" w14:paraId="60C61EEA" w14:textId="77777777" w:rsidTr="00AB6A06">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shd w:val="clear" w:color="auto" w:fill="auto"/>
          </w:tcPr>
          <w:p w14:paraId="5052C96E" w14:textId="77777777" w:rsidR="00EB5C82" w:rsidRPr="001B4A02" w:rsidRDefault="00000000" w:rsidP="00F1755A">
            <w:pPr>
              <w:pStyle w:val="EMEANormal"/>
              <w:keepNext/>
              <w:rPr>
                <w:szCs w:val="22"/>
                <w:lang w:val="cs-CZ"/>
              </w:rPr>
            </w:pPr>
            <w:r w:rsidRPr="001B4A02">
              <w:rPr>
                <w:szCs w:val="22"/>
                <w:lang w:val="cs-CZ"/>
              </w:rPr>
              <w:t>Primární analýza (ITT)</w:t>
            </w:r>
          </w:p>
        </w:tc>
        <w:tc>
          <w:tcPr>
            <w:tcW w:w="1170" w:type="dxa"/>
            <w:tcBorders>
              <w:top w:val="nil"/>
              <w:left w:val="nil"/>
              <w:bottom w:val="nil"/>
              <w:right w:val="nil"/>
            </w:tcBorders>
            <w:shd w:val="clear" w:color="auto" w:fill="auto"/>
          </w:tcPr>
          <w:p w14:paraId="130666B7" w14:textId="77777777" w:rsidR="00EB5C82" w:rsidRPr="001B4A02" w:rsidRDefault="00EB5C82" w:rsidP="00F1755A">
            <w:pPr>
              <w:pStyle w:val="EMEANormal"/>
              <w:keepNext/>
              <w:rPr>
                <w:szCs w:val="22"/>
                <w:lang w:val="cs-CZ"/>
              </w:rPr>
            </w:pPr>
          </w:p>
        </w:tc>
        <w:tc>
          <w:tcPr>
            <w:tcW w:w="1890" w:type="dxa"/>
            <w:tcBorders>
              <w:top w:val="nil"/>
              <w:left w:val="nil"/>
              <w:bottom w:val="nil"/>
              <w:right w:val="nil"/>
            </w:tcBorders>
            <w:shd w:val="clear" w:color="auto" w:fill="auto"/>
          </w:tcPr>
          <w:p w14:paraId="779F4794" w14:textId="77777777" w:rsidR="00EB5C82" w:rsidRPr="001B4A02" w:rsidRDefault="00EB5C82" w:rsidP="00F1755A">
            <w:pPr>
              <w:pStyle w:val="EMEANormal"/>
              <w:keepNext/>
              <w:rPr>
                <w:szCs w:val="22"/>
                <w:lang w:val="cs-CZ"/>
              </w:rPr>
            </w:pPr>
          </w:p>
        </w:tc>
        <w:tc>
          <w:tcPr>
            <w:tcW w:w="720" w:type="dxa"/>
            <w:tcBorders>
              <w:top w:val="nil"/>
              <w:left w:val="nil"/>
              <w:bottom w:val="nil"/>
              <w:right w:val="nil"/>
            </w:tcBorders>
            <w:shd w:val="clear" w:color="auto" w:fill="auto"/>
          </w:tcPr>
          <w:p w14:paraId="3489F573" w14:textId="77777777" w:rsidR="00EB5C82" w:rsidRPr="001B4A02" w:rsidRDefault="00EB5C82" w:rsidP="00F1755A">
            <w:pPr>
              <w:pStyle w:val="EMEANormal"/>
              <w:keepNext/>
              <w:rPr>
                <w:szCs w:val="22"/>
                <w:lang w:val="cs-CZ"/>
              </w:rPr>
            </w:pPr>
          </w:p>
        </w:tc>
        <w:tc>
          <w:tcPr>
            <w:tcW w:w="1170" w:type="dxa"/>
            <w:tcBorders>
              <w:top w:val="nil"/>
              <w:left w:val="nil"/>
              <w:bottom w:val="nil"/>
              <w:right w:val="nil"/>
            </w:tcBorders>
            <w:shd w:val="clear" w:color="auto" w:fill="auto"/>
          </w:tcPr>
          <w:p w14:paraId="2B99F9D8" w14:textId="77777777" w:rsidR="00EB5C82" w:rsidRPr="001B4A02" w:rsidRDefault="00EB5C82" w:rsidP="00F1755A">
            <w:pPr>
              <w:pStyle w:val="EMEANormal"/>
              <w:keepNext/>
              <w:rPr>
                <w:szCs w:val="22"/>
                <w:lang w:val="cs-CZ"/>
              </w:rPr>
            </w:pPr>
          </w:p>
        </w:tc>
        <w:tc>
          <w:tcPr>
            <w:tcW w:w="1080" w:type="dxa"/>
            <w:tcBorders>
              <w:top w:val="nil"/>
              <w:left w:val="nil"/>
              <w:bottom w:val="nil"/>
              <w:right w:val="nil"/>
            </w:tcBorders>
            <w:shd w:val="clear" w:color="auto" w:fill="auto"/>
          </w:tcPr>
          <w:p w14:paraId="4D12AEBB" w14:textId="77777777" w:rsidR="00EB5C82" w:rsidRPr="001B4A02" w:rsidRDefault="00EB5C82" w:rsidP="00F1755A">
            <w:pPr>
              <w:pStyle w:val="EMEANormal"/>
              <w:keepNext/>
              <w:rPr>
                <w:szCs w:val="22"/>
                <w:lang w:val="cs-CZ"/>
              </w:rPr>
            </w:pPr>
          </w:p>
        </w:tc>
      </w:tr>
      <w:tr w:rsidR="00534A2D" w14:paraId="151916EC" w14:textId="77777777" w:rsidTr="00AB6A06">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shd w:val="clear" w:color="auto" w:fill="auto"/>
          </w:tcPr>
          <w:p w14:paraId="2B9CCED3" w14:textId="77777777" w:rsidR="00EB5C82" w:rsidRPr="001B4A02" w:rsidRDefault="00000000" w:rsidP="00F1755A">
            <w:pPr>
              <w:pStyle w:val="EMEANormal"/>
              <w:keepNext/>
              <w:rPr>
                <w:szCs w:val="22"/>
                <w:lang w:val="cs-CZ"/>
              </w:rPr>
            </w:pPr>
            <w:r w:rsidRPr="001B4A02">
              <w:rPr>
                <w:szCs w:val="22"/>
                <w:lang w:val="cs-CZ"/>
              </w:rPr>
              <w:tab/>
              <w:t>Placebo</w:t>
            </w:r>
          </w:p>
        </w:tc>
        <w:tc>
          <w:tcPr>
            <w:tcW w:w="720" w:type="dxa"/>
            <w:tcBorders>
              <w:top w:val="nil"/>
              <w:left w:val="nil"/>
              <w:bottom w:val="nil"/>
              <w:right w:val="nil"/>
            </w:tcBorders>
            <w:shd w:val="clear" w:color="auto" w:fill="auto"/>
          </w:tcPr>
          <w:p w14:paraId="39B749FF" w14:textId="77777777" w:rsidR="00EB5C82" w:rsidRPr="001B4A02" w:rsidRDefault="00000000" w:rsidP="00F1755A">
            <w:pPr>
              <w:pStyle w:val="EMEANormal"/>
              <w:keepNext/>
              <w:rPr>
                <w:szCs w:val="22"/>
                <w:lang w:val="cs-CZ"/>
              </w:rPr>
            </w:pPr>
            <w:r w:rsidRPr="001B4A02">
              <w:rPr>
                <w:szCs w:val="22"/>
                <w:lang w:val="cs-CZ"/>
              </w:rPr>
              <w:t>111</w:t>
            </w:r>
          </w:p>
        </w:tc>
        <w:tc>
          <w:tcPr>
            <w:tcW w:w="1170" w:type="dxa"/>
            <w:tcBorders>
              <w:top w:val="nil"/>
              <w:left w:val="nil"/>
              <w:bottom w:val="nil"/>
              <w:right w:val="nil"/>
            </w:tcBorders>
            <w:shd w:val="clear" w:color="auto" w:fill="auto"/>
          </w:tcPr>
          <w:p w14:paraId="479E9134" w14:textId="77777777" w:rsidR="00EB5C82" w:rsidRPr="001B4A02" w:rsidRDefault="00000000" w:rsidP="00F1755A">
            <w:pPr>
              <w:pStyle w:val="EMEANormal"/>
              <w:keepNext/>
              <w:rPr>
                <w:szCs w:val="22"/>
                <w:lang w:val="cs-CZ"/>
              </w:rPr>
            </w:pPr>
            <w:r w:rsidRPr="001B4A02">
              <w:rPr>
                <w:szCs w:val="22"/>
                <w:lang w:val="cs-CZ"/>
              </w:rPr>
              <w:t>61 (55,0)</w:t>
            </w:r>
          </w:p>
        </w:tc>
        <w:tc>
          <w:tcPr>
            <w:tcW w:w="1890" w:type="dxa"/>
            <w:tcBorders>
              <w:top w:val="nil"/>
              <w:left w:val="nil"/>
              <w:bottom w:val="nil"/>
              <w:right w:val="nil"/>
            </w:tcBorders>
            <w:shd w:val="clear" w:color="auto" w:fill="auto"/>
          </w:tcPr>
          <w:p w14:paraId="2935625E" w14:textId="77777777" w:rsidR="00EB5C82" w:rsidRPr="001B4A02" w:rsidRDefault="00000000" w:rsidP="00F1755A">
            <w:pPr>
              <w:pStyle w:val="EMEANormal"/>
              <w:keepNext/>
              <w:rPr>
                <w:szCs w:val="22"/>
                <w:lang w:val="cs-CZ"/>
              </w:rPr>
            </w:pPr>
            <w:r w:rsidRPr="001B4A02">
              <w:rPr>
                <w:szCs w:val="22"/>
                <w:lang w:val="cs-CZ"/>
              </w:rPr>
              <w:t>8,3</w:t>
            </w:r>
          </w:p>
        </w:tc>
        <w:tc>
          <w:tcPr>
            <w:tcW w:w="720" w:type="dxa"/>
            <w:tcBorders>
              <w:top w:val="nil"/>
              <w:left w:val="nil"/>
              <w:bottom w:val="nil"/>
              <w:right w:val="nil"/>
            </w:tcBorders>
            <w:shd w:val="clear" w:color="auto" w:fill="auto"/>
          </w:tcPr>
          <w:p w14:paraId="000B67E6" w14:textId="77777777" w:rsidR="00EB5C82" w:rsidRPr="001B4A02" w:rsidRDefault="00000000" w:rsidP="00F1755A">
            <w:pPr>
              <w:pStyle w:val="EMEANormal"/>
              <w:keepNext/>
              <w:rPr>
                <w:szCs w:val="22"/>
                <w:lang w:val="cs-CZ"/>
              </w:rPr>
            </w:pPr>
            <w:r w:rsidRPr="001B4A02">
              <w:rPr>
                <w:szCs w:val="22"/>
                <w:lang w:val="cs-CZ"/>
              </w:rPr>
              <w:t>--</w:t>
            </w:r>
          </w:p>
        </w:tc>
        <w:tc>
          <w:tcPr>
            <w:tcW w:w="1170" w:type="dxa"/>
            <w:tcBorders>
              <w:top w:val="nil"/>
              <w:left w:val="nil"/>
              <w:bottom w:val="nil"/>
              <w:right w:val="nil"/>
            </w:tcBorders>
            <w:shd w:val="clear" w:color="auto" w:fill="auto"/>
          </w:tcPr>
          <w:p w14:paraId="509D9B6D" w14:textId="77777777" w:rsidR="00EB5C82" w:rsidRPr="001B4A02" w:rsidRDefault="00000000" w:rsidP="00F1755A">
            <w:pPr>
              <w:pStyle w:val="EMEANormal"/>
              <w:keepNext/>
              <w:rPr>
                <w:szCs w:val="22"/>
                <w:lang w:val="cs-CZ"/>
              </w:rPr>
            </w:pPr>
            <w:r w:rsidRPr="001B4A02">
              <w:rPr>
                <w:szCs w:val="22"/>
                <w:lang w:val="cs-CZ"/>
              </w:rPr>
              <w:t>--</w:t>
            </w:r>
          </w:p>
        </w:tc>
        <w:tc>
          <w:tcPr>
            <w:tcW w:w="1080" w:type="dxa"/>
            <w:tcBorders>
              <w:top w:val="nil"/>
              <w:left w:val="nil"/>
              <w:bottom w:val="nil"/>
              <w:right w:val="nil"/>
            </w:tcBorders>
            <w:shd w:val="clear" w:color="auto" w:fill="auto"/>
          </w:tcPr>
          <w:p w14:paraId="49607945" w14:textId="77777777" w:rsidR="00EB5C82" w:rsidRPr="001B4A02" w:rsidRDefault="00000000" w:rsidP="00F1755A">
            <w:pPr>
              <w:pStyle w:val="EMEANormal"/>
              <w:keepNext/>
              <w:rPr>
                <w:szCs w:val="22"/>
                <w:lang w:val="cs-CZ"/>
              </w:rPr>
            </w:pPr>
            <w:r w:rsidRPr="001B4A02">
              <w:rPr>
                <w:szCs w:val="22"/>
                <w:lang w:val="cs-CZ"/>
              </w:rPr>
              <w:t>--</w:t>
            </w:r>
          </w:p>
        </w:tc>
      </w:tr>
      <w:tr w:rsidR="00534A2D" w14:paraId="705216AB" w14:textId="77777777" w:rsidTr="00AB6A06">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shd w:val="clear" w:color="auto" w:fill="auto"/>
          </w:tcPr>
          <w:p w14:paraId="7E9120D1" w14:textId="77777777" w:rsidR="00EB5C82" w:rsidRPr="001B4A02" w:rsidRDefault="00000000" w:rsidP="00F1755A">
            <w:pPr>
              <w:pStyle w:val="EMEANormal"/>
              <w:keepNext/>
              <w:rPr>
                <w:szCs w:val="22"/>
                <w:lang w:val="cs-CZ"/>
              </w:rPr>
            </w:pPr>
            <w:r w:rsidRPr="001B4A02">
              <w:rPr>
                <w:szCs w:val="22"/>
                <w:lang w:val="cs-CZ"/>
              </w:rPr>
              <w:tab/>
              <w:t>Adalimumab</w:t>
            </w:r>
          </w:p>
        </w:tc>
        <w:tc>
          <w:tcPr>
            <w:tcW w:w="720" w:type="dxa"/>
            <w:tcBorders>
              <w:top w:val="nil"/>
              <w:left w:val="nil"/>
              <w:bottom w:val="single" w:sz="4" w:space="0" w:color="auto"/>
              <w:right w:val="nil"/>
            </w:tcBorders>
            <w:shd w:val="clear" w:color="auto" w:fill="auto"/>
          </w:tcPr>
          <w:p w14:paraId="20A4DDE6" w14:textId="77777777" w:rsidR="00EB5C82" w:rsidRPr="001B4A02" w:rsidRDefault="00000000" w:rsidP="00F1755A">
            <w:pPr>
              <w:pStyle w:val="EMEANormal"/>
              <w:keepNext/>
              <w:rPr>
                <w:szCs w:val="22"/>
                <w:lang w:val="cs-CZ"/>
              </w:rPr>
            </w:pPr>
            <w:r w:rsidRPr="001B4A02">
              <w:rPr>
                <w:szCs w:val="22"/>
                <w:lang w:val="cs-CZ"/>
              </w:rPr>
              <w:t>115</w:t>
            </w:r>
          </w:p>
        </w:tc>
        <w:tc>
          <w:tcPr>
            <w:tcW w:w="1170" w:type="dxa"/>
            <w:tcBorders>
              <w:top w:val="nil"/>
              <w:left w:val="nil"/>
              <w:bottom w:val="single" w:sz="4" w:space="0" w:color="auto"/>
              <w:right w:val="nil"/>
            </w:tcBorders>
            <w:shd w:val="clear" w:color="auto" w:fill="auto"/>
          </w:tcPr>
          <w:p w14:paraId="6FE190A7" w14:textId="77777777" w:rsidR="00EB5C82" w:rsidRPr="001B4A02" w:rsidRDefault="00000000" w:rsidP="00F1755A">
            <w:pPr>
              <w:pStyle w:val="EMEANormal"/>
              <w:keepNext/>
              <w:rPr>
                <w:szCs w:val="22"/>
                <w:lang w:val="cs-CZ"/>
              </w:rPr>
            </w:pPr>
            <w:r w:rsidRPr="001B4A02">
              <w:rPr>
                <w:szCs w:val="22"/>
                <w:lang w:val="cs-CZ"/>
              </w:rPr>
              <w:t>45 (39,1)</w:t>
            </w:r>
          </w:p>
        </w:tc>
        <w:tc>
          <w:tcPr>
            <w:tcW w:w="1890" w:type="dxa"/>
            <w:tcBorders>
              <w:top w:val="nil"/>
              <w:left w:val="nil"/>
              <w:bottom w:val="single" w:sz="4" w:space="0" w:color="auto"/>
              <w:right w:val="nil"/>
            </w:tcBorders>
            <w:shd w:val="clear" w:color="auto" w:fill="auto"/>
          </w:tcPr>
          <w:p w14:paraId="3B77372D" w14:textId="77777777" w:rsidR="00EB5C82" w:rsidRPr="001B4A02" w:rsidRDefault="00000000" w:rsidP="00F1755A">
            <w:pPr>
              <w:pStyle w:val="EMEANormal"/>
              <w:keepNext/>
              <w:rPr>
                <w:szCs w:val="22"/>
                <w:lang w:val="cs-CZ"/>
              </w:rPr>
            </w:pPr>
            <w:r w:rsidRPr="001B4A02">
              <w:rPr>
                <w:szCs w:val="22"/>
                <w:lang w:val="cs-CZ"/>
              </w:rPr>
              <w:t>NE</w:t>
            </w:r>
            <w:r w:rsidRPr="001B4A02">
              <w:rPr>
                <w:szCs w:val="22"/>
                <w:vertAlign w:val="superscript"/>
                <w:lang w:val="cs-CZ"/>
              </w:rPr>
              <w:t>c</w:t>
            </w:r>
          </w:p>
        </w:tc>
        <w:tc>
          <w:tcPr>
            <w:tcW w:w="720" w:type="dxa"/>
            <w:tcBorders>
              <w:top w:val="nil"/>
              <w:left w:val="nil"/>
              <w:bottom w:val="single" w:sz="4" w:space="0" w:color="auto"/>
              <w:right w:val="nil"/>
            </w:tcBorders>
            <w:shd w:val="clear" w:color="auto" w:fill="auto"/>
          </w:tcPr>
          <w:p w14:paraId="678C9163" w14:textId="77777777" w:rsidR="00EB5C82" w:rsidRPr="001B4A02" w:rsidRDefault="00000000" w:rsidP="00F1755A">
            <w:pPr>
              <w:pStyle w:val="EMEANormal"/>
              <w:keepNext/>
              <w:rPr>
                <w:szCs w:val="22"/>
                <w:lang w:val="cs-CZ"/>
              </w:rPr>
            </w:pPr>
            <w:r w:rsidRPr="001B4A02">
              <w:rPr>
                <w:szCs w:val="22"/>
                <w:lang w:val="cs-CZ"/>
              </w:rPr>
              <w:t>0,57</w:t>
            </w:r>
          </w:p>
        </w:tc>
        <w:tc>
          <w:tcPr>
            <w:tcW w:w="1170" w:type="dxa"/>
            <w:tcBorders>
              <w:top w:val="nil"/>
              <w:left w:val="nil"/>
              <w:bottom w:val="single" w:sz="4" w:space="0" w:color="auto"/>
              <w:right w:val="nil"/>
            </w:tcBorders>
            <w:shd w:val="clear" w:color="auto" w:fill="auto"/>
          </w:tcPr>
          <w:p w14:paraId="16B26D37" w14:textId="77777777" w:rsidR="00EB5C82" w:rsidRPr="001B4A02" w:rsidRDefault="00000000" w:rsidP="00F1755A">
            <w:pPr>
              <w:pStyle w:val="EMEANormal"/>
              <w:keepNext/>
              <w:rPr>
                <w:szCs w:val="22"/>
                <w:lang w:val="cs-CZ"/>
              </w:rPr>
            </w:pPr>
            <w:r w:rsidRPr="001B4A02">
              <w:rPr>
                <w:szCs w:val="22"/>
                <w:lang w:val="cs-CZ"/>
              </w:rPr>
              <w:t>0,39, 0,84</w:t>
            </w:r>
          </w:p>
        </w:tc>
        <w:tc>
          <w:tcPr>
            <w:tcW w:w="1080" w:type="dxa"/>
            <w:tcBorders>
              <w:top w:val="nil"/>
              <w:left w:val="nil"/>
              <w:bottom w:val="single" w:sz="4" w:space="0" w:color="auto"/>
              <w:right w:val="nil"/>
            </w:tcBorders>
            <w:shd w:val="clear" w:color="auto" w:fill="auto"/>
          </w:tcPr>
          <w:p w14:paraId="5614A02F" w14:textId="77777777" w:rsidR="00EB5C82" w:rsidRPr="001B4A02" w:rsidRDefault="00000000" w:rsidP="00F1755A">
            <w:pPr>
              <w:pStyle w:val="EMEANormal"/>
              <w:keepNext/>
              <w:rPr>
                <w:szCs w:val="22"/>
                <w:lang w:val="cs-CZ"/>
              </w:rPr>
            </w:pPr>
            <w:r w:rsidRPr="001B4A02">
              <w:rPr>
                <w:szCs w:val="22"/>
                <w:lang w:val="cs-CZ"/>
              </w:rPr>
              <w:t>0,004</w:t>
            </w:r>
          </w:p>
        </w:tc>
      </w:tr>
    </w:tbl>
    <w:p w14:paraId="183C9808" w14:textId="77777777" w:rsidR="00EB5C82" w:rsidRPr="001B4A02" w:rsidRDefault="00000000" w:rsidP="00F1755A">
      <w:pPr>
        <w:pStyle w:val="EMEANormal"/>
        <w:keepNext/>
        <w:rPr>
          <w:szCs w:val="22"/>
          <w:lang w:val="cs-CZ"/>
        </w:rPr>
      </w:pPr>
      <w:r w:rsidRPr="001B4A02">
        <w:rPr>
          <w:szCs w:val="22"/>
          <w:lang w:val="cs-CZ"/>
        </w:rPr>
        <w:t xml:space="preserve">Poznámka: </w:t>
      </w:r>
      <w:r w:rsidR="00F64B72" w:rsidRPr="001B4A02">
        <w:rPr>
          <w:szCs w:val="22"/>
          <w:lang w:val="cs-CZ"/>
        </w:rPr>
        <w:t>s</w:t>
      </w:r>
      <w:r w:rsidRPr="001B4A02">
        <w:rPr>
          <w:szCs w:val="22"/>
          <w:lang w:val="cs-CZ"/>
        </w:rPr>
        <w:t xml:space="preserve">elhání </w:t>
      </w:r>
      <w:r w:rsidR="00D532C1" w:rsidRPr="001B4A02">
        <w:rPr>
          <w:szCs w:val="22"/>
          <w:lang w:val="cs-CZ"/>
        </w:rPr>
        <w:t xml:space="preserve">léčby </w:t>
      </w:r>
      <w:r w:rsidRPr="001B4A02">
        <w:rPr>
          <w:szCs w:val="22"/>
          <w:lang w:val="cs-CZ"/>
        </w:rPr>
        <w:t>v</w:t>
      </w:r>
      <w:r w:rsidR="00F64B72" w:rsidRPr="001B4A02">
        <w:rPr>
          <w:szCs w:val="22"/>
          <w:lang w:val="cs-CZ"/>
        </w:rPr>
        <w:t> </w:t>
      </w:r>
      <w:r w:rsidRPr="001B4A02">
        <w:rPr>
          <w:szCs w:val="22"/>
          <w:lang w:val="cs-CZ"/>
        </w:rPr>
        <w:t>týdnu 6 nebo později (studie UV I) nebo v</w:t>
      </w:r>
      <w:r w:rsidR="00F64B72" w:rsidRPr="001B4A02">
        <w:rPr>
          <w:szCs w:val="22"/>
          <w:lang w:val="cs-CZ"/>
        </w:rPr>
        <w:t> </w:t>
      </w:r>
      <w:r w:rsidRPr="001B4A02">
        <w:rPr>
          <w:szCs w:val="22"/>
          <w:lang w:val="cs-CZ"/>
        </w:rPr>
        <w:t>týdnu 2 či později (studie UV II) bylo počítáno jako příhoda. Ukončení studie z</w:t>
      </w:r>
      <w:r w:rsidR="00F64B72" w:rsidRPr="001B4A02">
        <w:rPr>
          <w:szCs w:val="22"/>
          <w:lang w:val="cs-CZ"/>
        </w:rPr>
        <w:t> </w:t>
      </w:r>
      <w:r w:rsidRPr="001B4A02">
        <w:rPr>
          <w:szCs w:val="22"/>
          <w:lang w:val="cs-CZ"/>
        </w:rPr>
        <w:t xml:space="preserve">důvodů jiných než kvůli selhání </w:t>
      </w:r>
      <w:r w:rsidR="00D532C1" w:rsidRPr="001B4A02">
        <w:rPr>
          <w:szCs w:val="22"/>
          <w:lang w:val="cs-CZ"/>
        </w:rPr>
        <w:t xml:space="preserve">léčby </w:t>
      </w:r>
      <w:r w:rsidRPr="001B4A02">
        <w:rPr>
          <w:szCs w:val="22"/>
          <w:lang w:val="cs-CZ"/>
        </w:rPr>
        <w:t xml:space="preserve">bylo </w:t>
      </w:r>
      <w:r w:rsidR="00D532C1" w:rsidRPr="001B4A02">
        <w:rPr>
          <w:szCs w:val="22"/>
          <w:lang w:val="cs-CZ"/>
        </w:rPr>
        <w:t xml:space="preserve">zaznamenáno </w:t>
      </w:r>
      <w:r w:rsidRPr="001B4A02">
        <w:rPr>
          <w:szCs w:val="22"/>
          <w:lang w:val="cs-CZ"/>
        </w:rPr>
        <w:t>v</w:t>
      </w:r>
      <w:r w:rsidR="00F64B72" w:rsidRPr="001B4A02">
        <w:rPr>
          <w:szCs w:val="22"/>
          <w:lang w:val="cs-CZ"/>
        </w:rPr>
        <w:t> </w:t>
      </w:r>
      <w:r w:rsidRPr="001B4A02">
        <w:rPr>
          <w:szCs w:val="22"/>
          <w:lang w:val="cs-CZ"/>
        </w:rPr>
        <w:t>době ukončení.</w:t>
      </w:r>
    </w:p>
    <w:p w14:paraId="67A132C3" w14:textId="77777777" w:rsidR="00EB5C82" w:rsidRPr="001B4A02" w:rsidRDefault="00000000" w:rsidP="00F1755A">
      <w:pPr>
        <w:pStyle w:val="EMEANormal"/>
        <w:keepNext/>
        <w:numPr>
          <w:ilvl w:val="0"/>
          <w:numId w:val="224"/>
        </w:numPr>
        <w:tabs>
          <w:tab w:val="clear" w:pos="562"/>
        </w:tabs>
        <w:ind w:left="284" w:hanging="284"/>
        <w:rPr>
          <w:szCs w:val="22"/>
          <w:lang w:val="cs-CZ"/>
        </w:rPr>
      </w:pPr>
      <w:r w:rsidRPr="001B4A02">
        <w:rPr>
          <w:szCs w:val="22"/>
          <w:lang w:val="cs-CZ"/>
        </w:rPr>
        <w:t>HR adalimumab vs. placebo z</w:t>
      </w:r>
      <w:r w:rsidR="00F64B72" w:rsidRPr="001B4A02">
        <w:rPr>
          <w:szCs w:val="22"/>
          <w:lang w:val="cs-CZ"/>
        </w:rPr>
        <w:t> </w:t>
      </w:r>
      <w:r w:rsidRPr="001B4A02">
        <w:rPr>
          <w:szCs w:val="22"/>
          <w:lang w:val="cs-CZ"/>
        </w:rPr>
        <w:t>regrese poměrných rizik s</w:t>
      </w:r>
      <w:r w:rsidR="00F64B72" w:rsidRPr="001B4A02">
        <w:rPr>
          <w:szCs w:val="22"/>
          <w:lang w:val="cs-CZ"/>
        </w:rPr>
        <w:t> </w:t>
      </w:r>
      <w:r w:rsidRPr="001B4A02">
        <w:rPr>
          <w:szCs w:val="22"/>
          <w:lang w:val="cs-CZ"/>
        </w:rPr>
        <w:t>faktorem</w:t>
      </w:r>
      <w:r w:rsidR="008E65C9" w:rsidRPr="001B4A02">
        <w:rPr>
          <w:szCs w:val="22"/>
          <w:lang w:val="cs-CZ"/>
        </w:rPr>
        <w:t>,</w:t>
      </w:r>
      <w:r w:rsidR="00D532C1" w:rsidRPr="001B4A02">
        <w:rPr>
          <w:szCs w:val="22"/>
          <w:lang w:val="cs-CZ"/>
        </w:rPr>
        <w:t xml:space="preserve"> jako je léčba</w:t>
      </w:r>
      <w:r w:rsidR="00F64B72" w:rsidRPr="001B4A02">
        <w:rPr>
          <w:szCs w:val="22"/>
          <w:lang w:val="cs-CZ"/>
        </w:rPr>
        <w:t>.</w:t>
      </w:r>
    </w:p>
    <w:p w14:paraId="2E254419" w14:textId="77777777" w:rsidR="00EB5C82" w:rsidRPr="001B4A02" w:rsidRDefault="00000000" w:rsidP="00F1755A">
      <w:pPr>
        <w:pStyle w:val="EMEANormal"/>
        <w:keepNext/>
        <w:numPr>
          <w:ilvl w:val="0"/>
          <w:numId w:val="224"/>
        </w:numPr>
        <w:tabs>
          <w:tab w:val="clear" w:pos="562"/>
        </w:tabs>
        <w:ind w:left="284" w:hanging="284"/>
        <w:rPr>
          <w:szCs w:val="22"/>
          <w:lang w:val="cs-CZ"/>
        </w:rPr>
      </w:pPr>
      <w:r w:rsidRPr="001B4A02">
        <w:rPr>
          <w:szCs w:val="22"/>
          <w:lang w:val="cs-CZ"/>
        </w:rPr>
        <w:t xml:space="preserve">2stranná </w:t>
      </w:r>
      <w:r w:rsidRPr="001B4A02">
        <w:rPr>
          <w:i/>
          <w:szCs w:val="22"/>
          <w:lang w:val="cs-CZ"/>
        </w:rPr>
        <w:t>P</w:t>
      </w:r>
      <w:r w:rsidRPr="001B4A02">
        <w:rPr>
          <w:szCs w:val="22"/>
          <w:lang w:val="cs-CZ"/>
        </w:rPr>
        <w:t xml:space="preserve"> hodnota z</w:t>
      </w:r>
      <w:r w:rsidR="00F64B72" w:rsidRPr="001B4A02">
        <w:rPr>
          <w:szCs w:val="22"/>
          <w:lang w:val="cs-CZ"/>
        </w:rPr>
        <w:t> </w:t>
      </w:r>
      <w:r w:rsidRPr="001B4A02">
        <w:rPr>
          <w:szCs w:val="22"/>
          <w:lang w:val="cs-CZ"/>
        </w:rPr>
        <w:t>log rank testu</w:t>
      </w:r>
      <w:r w:rsidR="00F64B72" w:rsidRPr="001B4A02">
        <w:rPr>
          <w:szCs w:val="22"/>
          <w:lang w:val="cs-CZ"/>
        </w:rPr>
        <w:t>.</w:t>
      </w:r>
    </w:p>
    <w:p w14:paraId="66B24414" w14:textId="77777777" w:rsidR="00EB5C82" w:rsidRPr="001B4A02" w:rsidRDefault="00000000" w:rsidP="00F1755A">
      <w:pPr>
        <w:pStyle w:val="EMEANormal"/>
        <w:keepNext/>
        <w:numPr>
          <w:ilvl w:val="0"/>
          <w:numId w:val="224"/>
        </w:numPr>
        <w:tabs>
          <w:tab w:val="clear" w:pos="562"/>
        </w:tabs>
        <w:ind w:left="284" w:hanging="284"/>
        <w:rPr>
          <w:szCs w:val="22"/>
          <w:lang w:val="cs-CZ"/>
        </w:rPr>
      </w:pPr>
      <w:r w:rsidRPr="001B4A02">
        <w:rPr>
          <w:szCs w:val="22"/>
          <w:lang w:val="cs-CZ"/>
        </w:rPr>
        <w:t>NE = nehodnotitelný. K příhodě došlo u</w:t>
      </w:r>
      <w:r w:rsidR="00F64B72" w:rsidRPr="001B4A02">
        <w:rPr>
          <w:szCs w:val="22"/>
          <w:lang w:val="cs-CZ"/>
        </w:rPr>
        <w:t> </w:t>
      </w:r>
      <w:r w:rsidRPr="001B4A02">
        <w:rPr>
          <w:szCs w:val="22"/>
          <w:lang w:val="cs-CZ"/>
        </w:rPr>
        <w:t>méně než poloviny rizikových subjektů</w:t>
      </w:r>
      <w:r w:rsidR="00F64B72" w:rsidRPr="001B4A02">
        <w:rPr>
          <w:szCs w:val="22"/>
          <w:lang w:val="cs-CZ"/>
        </w:rPr>
        <w:t>.</w:t>
      </w:r>
    </w:p>
    <w:p w14:paraId="5FEA9AAA" w14:textId="77777777" w:rsidR="008333D3" w:rsidRPr="001B4A02" w:rsidRDefault="008333D3" w:rsidP="00ED48A3">
      <w:pPr>
        <w:pStyle w:val="EMEANormal"/>
        <w:jc w:val="center"/>
        <w:rPr>
          <w:b/>
          <w:szCs w:val="22"/>
          <w:lang w:val="cs-CZ"/>
        </w:rPr>
      </w:pPr>
    </w:p>
    <w:p w14:paraId="463C5F13" w14:textId="77777777" w:rsidR="00E7724C" w:rsidRPr="001B4A02" w:rsidRDefault="00000000" w:rsidP="003B610F">
      <w:pPr>
        <w:pStyle w:val="EMEANormal"/>
        <w:keepNext/>
        <w:jc w:val="center"/>
        <w:rPr>
          <w:b/>
          <w:szCs w:val="22"/>
          <w:lang w:val="cs-CZ"/>
        </w:rPr>
      </w:pPr>
      <w:r w:rsidRPr="001B4A02">
        <w:rPr>
          <w:b/>
          <w:szCs w:val="22"/>
          <w:lang w:val="cs-CZ"/>
        </w:rPr>
        <w:t xml:space="preserve">Obrázek 1: Kaplan-Meierovy křivky shrnující dobu do selhání </w:t>
      </w:r>
      <w:r w:rsidR="00D532C1" w:rsidRPr="001B4A02">
        <w:rPr>
          <w:b/>
          <w:szCs w:val="22"/>
          <w:lang w:val="cs-CZ"/>
        </w:rPr>
        <w:t>léčby</w:t>
      </w:r>
      <w:r w:rsidRPr="001B4A02">
        <w:rPr>
          <w:b/>
          <w:szCs w:val="22"/>
          <w:lang w:val="cs-CZ"/>
        </w:rPr>
        <w:t xml:space="preserve"> v</w:t>
      </w:r>
      <w:r w:rsidR="00F64B72" w:rsidRPr="001B4A02">
        <w:rPr>
          <w:b/>
          <w:szCs w:val="22"/>
          <w:lang w:val="cs-CZ"/>
        </w:rPr>
        <w:t> </w:t>
      </w:r>
      <w:r w:rsidRPr="001B4A02">
        <w:rPr>
          <w:b/>
          <w:szCs w:val="22"/>
          <w:lang w:val="cs-CZ"/>
        </w:rPr>
        <w:t>týdnu 6 nebo později (studie UV I) nebo v</w:t>
      </w:r>
      <w:r w:rsidR="00F64B72" w:rsidRPr="001B4A02">
        <w:rPr>
          <w:b/>
          <w:szCs w:val="22"/>
          <w:lang w:val="cs-CZ"/>
        </w:rPr>
        <w:t> </w:t>
      </w:r>
      <w:r w:rsidRPr="001B4A02">
        <w:rPr>
          <w:b/>
          <w:szCs w:val="22"/>
          <w:lang w:val="cs-CZ"/>
        </w:rPr>
        <w:t xml:space="preserve">týdnu 2 nebo později (studie UV II) </w:t>
      </w:r>
    </w:p>
    <w:p w14:paraId="15182449" w14:textId="77777777" w:rsidR="00E7724C" w:rsidRPr="001B4A02" w:rsidRDefault="00E7724C" w:rsidP="003B610F">
      <w:pPr>
        <w:pStyle w:val="EMEANormal"/>
        <w:keepNext/>
        <w:jc w:val="center"/>
        <w:rPr>
          <w:b/>
          <w:szCs w:val="22"/>
          <w:lang w:val="cs-CZ"/>
        </w:rPr>
      </w:pPr>
    </w:p>
    <w:tbl>
      <w:tblPr>
        <w:tblW w:w="9481" w:type="dxa"/>
        <w:tblLayout w:type="fixed"/>
        <w:tblLook w:val="04A0" w:firstRow="1" w:lastRow="0" w:firstColumn="1" w:lastColumn="0" w:noHBand="0" w:noVBand="1"/>
      </w:tblPr>
      <w:tblGrid>
        <w:gridCol w:w="675"/>
        <w:gridCol w:w="3496"/>
        <w:gridCol w:w="1170"/>
        <w:gridCol w:w="1350"/>
        <w:gridCol w:w="900"/>
        <w:gridCol w:w="1890"/>
      </w:tblGrid>
      <w:tr w:rsidR="00534A2D" w14:paraId="5CC7B911" w14:textId="77777777" w:rsidTr="004C2FD7">
        <w:trPr>
          <w:cantSplit/>
          <w:trHeight w:val="3806"/>
        </w:trPr>
        <w:tc>
          <w:tcPr>
            <w:tcW w:w="675" w:type="dxa"/>
            <w:shd w:val="clear" w:color="auto" w:fill="auto"/>
            <w:textDirection w:val="btLr"/>
            <w:vAlign w:val="bottom"/>
          </w:tcPr>
          <w:p w14:paraId="5A34C9D4" w14:textId="77777777" w:rsidR="00E7724C" w:rsidRPr="001B4A02" w:rsidRDefault="00000000" w:rsidP="00D532C1">
            <w:pPr>
              <w:pStyle w:val="EMEANormal"/>
              <w:ind w:left="113" w:right="113"/>
              <w:jc w:val="center"/>
              <w:rPr>
                <w:b/>
                <w:szCs w:val="22"/>
                <w:lang w:val="cs-CZ"/>
              </w:rPr>
            </w:pPr>
            <w:r w:rsidRPr="001B4A02">
              <w:rPr>
                <w:b/>
                <w:szCs w:val="22"/>
                <w:lang w:val="cs-CZ"/>
              </w:rPr>
              <w:t xml:space="preserve">ČETNOST SELHÁNÍ </w:t>
            </w:r>
            <w:r w:rsidR="00D532C1" w:rsidRPr="001B4A02">
              <w:rPr>
                <w:b/>
                <w:szCs w:val="22"/>
                <w:lang w:val="cs-CZ"/>
              </w:rPr>
              <w:t xml:space="preserve">LÉČBY </w:t>
            </w:r>
            <w:r w:rsidRPr="001B4A02">
              <w:rPr>
                <w:b/>
                <w:szCs w:val="22"/>
                <w:lang w:val="cs-CZ"/>
              </w:rPr>
              <w:t>(%)</w:t>
            </w:r>
          </w:p>
        </w:tc>
        <w:tc>
          <w:tcPr>
            <w:tcW w:w="8806" w:type="dxa"/>
            <w:gridSpan w:val="5"/>
            <w:shd w:val="clear" w:color="auto" w:fill="auto"/>
            <w:vAlign w:val="bottom"/>
          </w:tcPr>
          <w:p w14:paraId="362FA488" w14:textId="77777777" w:rsidR="00E7724C" w:rsidRPr="001B4A02" w:rsidRDefault="00000000" w:rsidP="004C2FD7">
            <w:pPr>
              <w:pStyle w:val="EMEANormal"/>
              <w:ind w:left="-108"/>
              <w:rPr>
                <w:szCs w:val="22"/>
                <w:lang w:val="cs-CZ"/>
              </w:rPr>
            </w:pPr>
            <w:r w:rsidRPr="001B4A02">
              <w:rPr>
                <w:noProof/>
                <w:szCs w:val="22"/>
              </w:rPr>
              <w:drawing>
                <wp:inline distT="0" distB="0" distL="0" distR="0" wp14:anchorId="28929D9B" wp14:editId="1BB514FC">
                  <wp:extent cx="5408930" cy="2208530"/>
                  <wp:effectExtent l="0" t="0" r="1270" b="1270"/>
                  <wp:docPr id="497" name="Picture 14"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Picture 14" descr="Humira Uveitis Figure 5_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08930" cy="2208530"/>
                          </a:xfrm>
                          <a:prstGeom prst="rect">
                            <a:avLst/>
                          </a:prstGeom>
                          <a:noFill/>
                          <a:ln>
                            <a:noFill/>
                          </a:ln>
                        </pic:spPr>
                      </pic:pic>
                    </a:graphicData>
                  </a:graphic>
                </wp:inline>
              </w:drawing>
            </w:r>
          </w:p>
        </w:tc>
      </w:tr>
      <w:tr w:rsidR="00534A2D" w14:paraId="34ADC3E3" w14:textId="77777777" w:rsidTr="004C2FD7">
        <w:tc>
          <w:tcPr>
            <w:tcW w:w="675" w:type="dxa"/>
            <w:shd w:val="clear" w:color="auto" w:fill="auto"/>
          </w:tcPr>
          <w:p w14:paraId="75139BD6" w14:textId="77777777" w:rsidR="00E7724C" w:rsidRPr="001B4A02" w:rsidRDefault="00E7724C" w:rsidP="00ED48A3">
            <w:pPr>
              <w:pStyle w:val="EMEANormal"/>
              <w:rPr>
                <w:szCs w:val="22"/>
                <w:lang w:val="cs-CZ"/>
              </w:rPr>
            </w:pPr>
          </w:p>
        </w:tc>
        <w:tc>
          <w:tcPr>
            <w:tcW w:w="8806" w:type="dxa"/>
            <w:gridSpan w:val="5"/>
            <w:shd w:val="clear" w:color="auto" w:fill="auto"/>
          </w:tcPr>
          <w:p w14:paraId="0C4E58B5" w14:textId="77777777" w:rsidR="00E7724C" w:rsidRPr="001B4A02" w:rsidRDefault="00000000" w:rsidP="00ED48A3">
            <w:pPr>
              <w:pStyle w:val="EMEANormal"/>
              <w:jc w:val="center"/>
              <w:rPr>
                <w:b/>
                <w:szCs w:val="22"/>
                <w:lang w:val="cs-CZ"/>
              </w:rPr>
            </w:pPr>
            <w:r w:rsidRPr="001B4A02">
              <w:rPr>
                <w:b/>
                <w:szCs w:val="22"/>
                <w:lang w:val="cs-CZ"/>
              </w:rPr>
              <w:t>ČAS (MĚSÍCE)</w:t>
            </w:r>
          </w:p>
        </w:tc>
      </w:tr>
      <w:tr w:rsidR="00534A2D" w14:paraId="2268DBC9" w14:textId="77777777" w:rsidTr="004C2FD7">
        <w:tc>
          <w:tcPr>
            <w:tcW w:w="675" w:type="dxa"/>
            <w:shd w:val="clear" w:color="auto" w:fill="auto"/>
          </w:tcPr>
          <w:p w14:paraId="0940B4C8" w14:textId="77777777" w:rsidR="00E7724C" w:rsidRPr="001B4A02" w:rsidRDefault="00E7724C" w:rsidP="00ED48A3">
            <w:pPr>
              <w:pStyle w:val="EMEANormal"/>
              <w:rPr>
                <w:szCs w:val="22"/>
                <w:lang w:val="cs-CZ"/>
              </w:rPr>
            </w:pPr>
          </w:p>
        </w:tc>
        <w:tc>
          <w:tcPr>
            <w:tcW w:w="3496" w:type="dxa"/>
            <w:shd w:val="clear" w:color="auto" w:fill="auto"/>
          </w:tcPr>
          <w:p w14:paraId="126423EB" w14:textId="77777777" w:rsidR="00E7724C" w:rsidRPr="001B4A02" w:rsidRDefault="00000000" w:rsidP="00ED48A3">
            <w:pPr>
              <w:pStyle w:val="EMEANormal"/>
              <w:rPr>
                <w:szCs w:val="22"/>
                <w:lang w:val="cs-CZ"/>
              </w:rPr>
            </w:pPr>
            <w:r w:rsidRPr="001B4A02">
              <w:rPr>
                <w:szCs w:val="22"/>
                <w:lang w:val="cs-CZ"/>
              </w:rPr>
              <w:t>Studie UV I                       Léčba</w:t>
            </w:r>
          </w:p>
        </w:tc>
        <w:tc>
          <w:tcPr>
            <w:tcW w:w="1170" w:type="dxa"/>
            <w:shd w:val="clear" w:color="auto" w:fill="auto"/>
          </w:tcPr>
          <w:p w14:paraId="26C297E2" w14:textId="77777777" w:rsidR="00E7724C" w:rsidRPr="001B4A02" w:rsidRDefault="00000000" w:rsidP="00ED48A3">
            <w:pPr>
              <w:pStyle w:val="EMEANormal"/>
              <w:jc w:val="right"/>
              <w:rPr>
                <w:szCs w:val="22"/>
                <w:lang w:val="cs-CZ"/>
              </w:rPr>
            </w:pPr>
            <w:r w:rsidRPr="001B4A02">
              <w:rPr>
                <w:noProof/>
                <w:szCs w:val="22"/>
              </w:rPr>
              <w:drawing>
                <wp:inline distT="0" distB="0" distL="0" distR="0" wp14:anchorId="0CF2BA94" wp14:editId="56EC67A0">
                  <wp:extent cx="405130" cy="180975"/>
                  <wp:effectExtent l="0" t="0" r="0" b="9525"/>
                  <wp:docPr id="498" name="Picture 1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 13"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5130" cy="180975"/>
                          </a:xfrm>
                          <a:prstGeom prst="rect">
                            <a:avLst/>
                          </a:prstGeom>
                          <a:noFill/>
                          <a:ln>
                            <a:noFill/>
                          </a:ln>
                        </pic:spPr>
                      </pic:pic>
                    </a:graphicData>
                  </a:graphic>
                </wp:inline>
              </w:drawing>
            </w:r>
          </w:p>
        </w:tc>
        <w:tc>
          <w:tcPr>
            <w:tcW w:w="1350" w:type="dxa"/>
            <w:shd w:val="clear" w:color="auto" w:fill="auto"/>
          </w:tcPr>
          <w:p w14:paraId="124984B5" w14:textId="77777777" w:rsidR="00E7724C" w:rsidRPr="001B4A02" w:rsidRDefault="00000000" w:rsidP="00ED48A3">
            <w:pPr>
              <w:pStyle w:val="EMEANormal"/>
              <w:rPr>
                <w:szCs w:val="22"/>
                <w:lang w:val="cs-CZ"/>
              </w:rPr>
            </w:pPr>
            <w:r w:rsidRPr="001B4A02">
              <w:rPr>
                <w:szCs w:val="22"/>
                <w:lang w:val="cs-CZ"/>
              </w:rPr>
              <w:t>Placebo</w:t>
            </w:r>
          </w:p>
        </w:tc>
        <w:tc>
          <w:tcPr>
            <w:tcW w:w="900" w:type="dxa"/>
            <w:shd w:val="clear" w:color="auto" w:fill="auto"/>
          </w:tcPr>
          <w:p w14:paraId="2974D1CC" w14:textId="77777777" w:rsidR="00E7724C" w:rsidRPr="001B4A02" w:rsidRDefault="00000000" w:rsidP="00ED48A3">
            <w:pPr>
              <w:pStyle w:val="EMEANormal"/>
              <w:jc w:val="right"/>
              <w:rPr>
                <w:szCs w:val="22"/>
                <w:lang w:val="cs-CZ"/>
              </w:rPr>
            </w:pPr>
            <w:r w:rsidRPr="001B4A02">
              <w:rPr>
                <w:noProof/>
                <w:szCs w:val="22"/>
              </w:rPr>
              <w:drawing>
                <wp:inline distT="0" distB="0" distL="0" distR="0" wp14:anchorId="4650573E" wp14:editId="132FB181">
                  <wp:extent cx="569595" cy="180975"/>
                  <wp:effectExtent l="0" t="0" r="1905" b="9525"/>
                  <wp:docPr id="499" name="Picture 1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icture 12"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9595" cy="180975"/>
                          </a:xfrm>
                          <a:prstGeom prst="rect">
                            <a:avLst/>
                          </a:prstGeom>
                          <a:noFill/>
                          <a:ln>
                            <a:noFill/>
                          </a:ln>
                        </pic:spPr>
                      </pic:pic>
                    </a:graphicData>
                  </a:graphic>
                </wp:inline>
              </w:drawing>
            </w:r>
          </w:p>
        </w:tc>
        <w:tc>
          <w:tcPr>
            <w:tcW w:w="1890" w:type="dxa"/>
            <w:shd w:val="clear" w:color="auto" w:fill="auto"/>
          </w:tcPr>
          <w:p w14:paraId="01A141E0" w14:textId="77777777" w:rsidR="00E7724C" w:rsidRPr="001B4A02" w:rsidRDefault="00000000" w:rsidP="00ED48A3">
            <w:pPr>
              <w:pStyle w:val="EMEANormal"/>
              <w:rPr>
                <w:szCs w:val="22"/>
                <w:lang w:val="cs-CZ"/>
              </w:rPr>
            </w:pPr>
            <w:r w:rsidRPr="001B4A02">
              <w:rPr>
                <w:szCs w:val="22"/>
                <w:lang w:val="cs-CZ"/>
              </w:rPr>
              <w:t>Adalimumab</w:t>
            </w:r>
          </w:p>
        </w:tc>
      </w:tr>
      <w:tr w:rsidR="00534A2D" w14:paraId="47EDD095" w14:textId="77777777" w:rsidTr="004C2FD7">
        <w:trPr>
          <w:trHeight w:val="3869"/>
        </w:trPr>
        <w:tc>
          <w:tcPr>
            <w:tcW w:w="675" w:type="dxa"/>
            <w:shd w:val="clear" w:color="auto" w:fill="auto"/>
            <w:textDirection w:val="btLr"/>
            <w:vAlign w:val="bottom"/>
          </w:tcPr>
          <w:p w14:paraId="2BC46458" w14:textId="77777777" w:rsidR="00E7724C" w:rsidRPr="001B4A02" w:rsidRDefault="00000000" w:rsidP="00D532C1">
            <w:pPr>
              <w:pStyle w:val="EMEANormal"/>
              <w:keepNext/>
              <w:jc w:val="center"/>
              <w:rPr>
                <w:szCs w:val="22"/>
                <w:lang w:val="cs-CZ"/>
              </w:rPr>
            </w:pPr>
            <w:r w:rsidRPr="001B4A02">
              <w:rPr>
                <w:b/>
                <w:szCs w:val="22"/>
                <w:lang w:val="cs-CZ"/>
              </w:rPr>
              <w:t xml:space="preserve">ČETNOST SELHÁNÍ </w:t>
            </w:r>
            <w:r w:rsidR="00D532C1" w:rsidRPr="001B4A02">
              <w:rPr>
                <w:b/>
                <w:szCs w:val="22"/>
                <w:lang w:val="cs-CZ"/>
              </w:rPr>
              <w:t xml:space="preserve">LÉČBY </w:t>
            </w:r>
            <w:r w:rsidRPr="001B4A02">
              <w:rPr>
                <w:b/>
                <w:szCs w:val="22"/>
                <w:lang w:val="cs-CZ"/>
              </w:rPr>
              <w:t>(%)</w:t>
            </w:r>
          </w:p>
        </w:tc>
        <w:tc>
          <w:tcPr>
            <w:tcW w:w="8806" w:type="dxa"/>
            <w:gridSpan w:val="5"/>
            <w:shd w:val="clear" w:color="auto" w:fill="auto"/>
            <w:vAlign w:val="bottom"/>
          </w:tcPr>
          <w:p w14:paraId="284A5D66" w14:textId="77777777" w:rsidR="00E7724C" w:rsidRPr="001B4A02" w:rsidRDefault="00000000" w:rsidP="004C2FD7">
            <w:pPr>
              <w:pStyle w:val="EMEANormal"/>
              <w:keepNext/>
              <w:ind w:left="-108"/>
              <w:rPr>
                <w:szCs w:val="22"/>
                <w:lang w:val="cs-CZ"/>
              </w:rPr>
            </w:pPr>
            <w:r w:rsidRPr="001B4A02">
              <w:rPr>
                <w:noProof/>
                <w:szCs w:val="22"/>
              </w:rPr>
              <w:drawing>
                <wp:inline distT="0" distB="0" distL="0" distR="0" wp14:anchorId="27B95C62" wp14:editId="0D19F020">
                  <wp:extent cx="5417185" cy="2182495"/>
                  <wp:effectExtent l="0" t="0" r="0" b="8255"/>
                  <wp:docPr id="500" name="Picture 11"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11" descr="Humira Uveitis Figure 5_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17185" cy="2182495"/>
                          </a:xfrm>
                          <a:prstGeom prst="rect">
                            <a:avLst/>
                          </a:prstGeom>
                          <a:noFill/>
                          <a:ln>
                            <a:noFill/>
                          </a:ln>
                        </pic:spPr>
                      </pic:pic>
                    </a:graphicData>
                  </a:graphic>
                </wp:inline>
              </w:drawing>
            </w:r>
          </w:p>
        </w:tc>
      </w:tr>
      <w:tr w:rsidR="00534A2D" w14:paraId="55B31D3A" w14:textId="77777777" w:rsidTr="004C2FD7">
        <w:tc>
          <w:tcPr>
            <w:tcW w:w="675" w:type="dxa"/>
            <w:shd w:val="clear" w:color="auto" w:fill="auto"/>
          </w:tcPr>
          <w:p w14:paraId="0967C102" w14:textId="77777777" w:rsidR="00E7724C" w:rsidRPr="001B4A02" w:rsidRDefault="00E7724C" w:rsidP="00ED48A3">
            <w:pPr>
              <w:pStyle w:val="EMEANormal"/>
              <w:keepNext/>
              <w:rPr>
                <w:szCs w:val="22"/>
                <w:lang w:val="cs-CZ"/>
              </w:rPr>
            </w:pPr>
          </w:p>
        </w:tc>
        <w:tc>
          <w:tcPr>
            <w:tcW w:w="8806" w:type="dxa"/>
            <w:gridSpan w:val="5"/>
            <w:shd w:val="clear" w:color="auto" w:fill="auto"/>
          </w:tcPr>
          <w:p w14:paraId="6C640F7D" w14:textId="77777777" w:rsidR="00E7724C" w:rsidRPr="001B4A02" w:rsidRDefault="00000000" w:rsidP="00ED48A3">
            <w:pPr>
              <w:pStyle w:val="EMEANormal"/>
              <w:keepNext/>
              <w:jc w:val="center"/>
              <w:rPr>
                <w:b/>
                <w:szCs w:val="22"/>
                <w:lang w:val="cs-CZ"/>
              </w:rPr>
            </w:pPr>
            <w:r w:rsidRPr="001B4A02">
              <w:rPr>
                <w:b/>
                <w:szCs w:val="22"/>
                <w:lang w:val="cs-CZ"/>
              </w:rPr>
              <w:t>ČAS (MĚSÍCE)</w:t>
            </w:r>
          </w:p>
        </w:tc>
      </w:tr>
      <w:tr w:rsidR="00534A2D" w14:paraId="15657D48" w14:textId="77777777" w:rsidTr="004C2FD7">
        <w:trPr>
          <w:trHeight w:val="369"/>
        </w:trPr>
        <w:tc>
          <w:tcPr>
            <w:tcW w:w="675" w:type="dxa"/>
            <w:shd w:val="clear" w:color="auto" w:fill="auto"/>
          </w:tcPr>
          <w:p w14:paraId="53752CC9" w14:textId="77777777" w:rsidR="00E7724C" w:rsidRPr="001B4A02" w:rsidRDefault="00E7724C" w:rsidP="00ED48A3">
            <w:pPr>
              <w:pStyle w:val="EMEANormal"/>
              <w:keepNext/>
              <w:rPr>
                <w:szCs w:val="22"/>
                <w:lang w:val="cs-CZ"/>
              </w:rPr>
            </w:pPr>
          </w:p>
        </w:tc>
        <w:tc>
          <w:tcPr>
            <w:tcW w:w="3496" w:type="dxa"/>
            <w:shd w:val="clear" w:color="auto" w:fill="auto"/>
          </w:tcPr>
          <w:p w14:paraId="5143F861" w14:textId="77777777" w:rsidR="00E7724C" w:rsidRPr="001B4A02" w:rsidRDefault="00000000" w:rsidP="003B610F">
            <w:pPr>
              <w:pStyle w:val="EMEANormal"/>
              <w:rPr>
                <w:szCs w:val="22"/>
                <w:lang w:val="cs-CZ"/>
              </w:rPr>
            </w:pPr>
            <w:r w:rsidRPr="001B4A02">
              <w:rPr>
                <w:szCs w:val="22"/>
                <w:lang w:val="cs-CZ"/>
              </w:rPr>
              <w:t>Stud</w:t>
            </w:r>
            <w:r w:rsidR="00EB5C82" w:rsidRPr="001B4A02">
              <w:rPr>
                <w:szCs w:val="22"/>
                <w:lang w:val="cs-CZ"/>
              </w:rPr>
              <w:t>ie</w:t>
            </w:r>
            <w:r w:rsidRPr="001B4A02">
              <w:rPr>
                <w:szCs w:val="22"/>
                <w:lang w:val="cs-CZ"/>
              </w:rPr>
              <w:t xml:space="preserve"> UV II                      </w:t>
            </w:r>
            <w:r w:rsidR="00EB5C82" w:rsidRPr="001B4A02">
              <w:rPr>
                <w:szCs w:val="22"/>
                <w:lang w:val="cs-CZ"/>
              </w:rPr>
              <w:t>Léčba</w:t>
            </w:r>
          </w:p>
        </w:tc>
        <w:tc>
          <w:tcPr>
            <w:tcW w:w="1170" w:type="dxa"/>
            <w:shd w:val="clear" w:color="auto" w:fill="auto"/>
          </w:tcPr>
          <w:p w14:paraId="379C8784" w14:textId="77777777" w:rsidR="00E7724C" w:rsidRPr="001B4A02" w:rsidRDefault="00000000" w:rsidP="00ED48A3">
            <w:pPr>
              <w:pStyle w:val="EMEANormal"/>
              <w:keepNext/>
              <w:jc w:val="right"/>
              <w:rPr>
                <w:szCs w:val="22"/>
                <w:lang w:val="cs-CZ"/>
              </w:rPr>
            </w:pPr>
            <w:r w:rsidRPr="001B4A02">
              <w:rPr>
                <w:noProof/>
                <w:szCs w:val="22"/>
              </w:rPr>
              <w:drawing>
                <wp:inline distT="0" distB="0" distL="0" distR="0" wp14:anchorId="371DAAE8" wp14:editId="0832515D">
                  <wp:extent cx="405130" cy="180975"/>
                  <wp:effectExtent l="0" t="0" r="0" b="9525"/>
                  <wp:docPr id="501" name="Picture 10"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10"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5130" cy="180975"/>
                          </a:xfrm>
                          <a:prstGeom prst="rect">
                            <a:avLst/>
                          </a:prstGeom>
                          <a:noFill/>
                          <a:ln>
                            <a:noFill/>
                          </a:ln>
                        </pic:spPr>
                      </pic:pic>
                    </a:graphicData>
                  </a:graphic>
                </wp:inline>
              </w:drawing>
            </w:r>
          </w:p>
        </w:tc>
        <w:tc>
          <w:tcPr>
            <w:tcW w:w="1350" w:type="dxa"/>
            <w:shd w:val="clear" w:color="auto" w:fill="auto"/>
          </w:tcPr>
          <w:p w14:paraId="0B07AA79" w14:textId="77777777" w:rsidR="00E7724C" w:rsidRPr="001B4A02" w:rsidRDefault="00000000" w:rsidP="00ED48A3">
            <w:pPr>
              <w:pStyle w:val="EMEANormal"/>
              <w:keepNext/>
              <w:rPr>
                <w:szCs w:val="22"/>
                <w:lang w:val="cs-CZ"/>
              </w:rPr>
            </w:pPr>
            <w:r w:rsidRPr="001B4A02">
              <w:rPr>
                <w:szCs w:val="22"/>
                <w:lang w:val="cs-CZ"/>
              </w:rPr>
              <w:t>Placebo</w:t>
            </w:r>
          </w:p>
        </w:tc>
        <w:tc>
          <w:tcPr>
            <w:tcW w:w="900" w:type="dxa"/>
            <w:shd w:val="clear" w:color="auto" w:fill="auto"/>
          </w:tcPr>
          <w:p w14:paraId="40239D6D" w14:textId="77777777" w:rsidR="00E7724C" w:rsidRPr="001B4A02" w:rsidRDefault="00000000" w:rsidP="00ED48A3">
            <w:pPr>
              <w:pStyle w:val="EMEANormal"/>
              <w:keepNext/>
              <w:jc w:val="right"/>
              <w:rPr>
                <w:szCs w:val="22"/>
                <w:lang w:val="cs-CZ"/>
              </w:rPr>
            </w:pPr>
            <w:r w:rsidRPr="001B4A02">
              <w:rPr>
                <w:noProof/>
                <w:szCs w:val="22"/>
              </w:rPr>
              <w:drawing>
                <wp:inline distT="0" distB="0" distL="0" distR="0" wp14:anchorId="0D68106A" wp14:editId="6C4A6BC0">
                  <wp:extent cx="569595" cy="180975"/>
                  <wp:effectExtent l="0" t="0" r="1905" b="9525"/>
                  <wp:docPr id="502" name="Picture 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9"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9595" cy="180975"/>
                          </a:xfrm>
                          <a:prstGeom prst="rect">
                            <a:avLst/>
                          </a:prstGeom>
                          <a:noFill/>
                          <a:ln>
                            <a:noFill/>
                          </a:ln>
                        </pic:spPr>
                      </pic:pic>
                    </a:graphicData>
                  </a:graphic>
                </wp:inline>
              </w:drawing>
            </w:r>
          </w:p>
        </w:tc>
        <w:tc>
          <w:tcPr>
            <w:tcW w:w="1890" w:type="dxa"/>
            <w:shd w:val="clear" w:color="auto" w:fill="auto"/>
          </w:tcPr>
          <w:p w14:paraId="315B44A7" w14:textId="77777777" w:rsidR="00E7724C" w:rsidRPr="001B4A02" w:rsidRDefault="00000000" w:rsidP="00ED48A3">
            <w:pPr>
              <w:pStyle w:val="EMEANormal"/>
              <w:keepNext/>
              <w:rPr>
                <w:szCs w:val="22"/>
                <w:lang w:val="cs-CZ"/>
              </w:rPr>
            </w:pPr>
            <w:r w:rsidRPr="001B4A02">
              <w:rPr>
                <w:szCs w:val="22"/>
                <w:lang w:val="cs-CZ"/>
              </w:rPr>
              <w:t>Adalimumab</w:t>
            </w:r>
          </w:p>
        </w:tc>
      </w:tr>
      <w:tr w:rsidR="00534A2D" w14:paraId="6EF3E6D6" w14:textId="77777777" w:rsidTr="004C2FD7">
        <w:trPr>
          <w:trHeight w:val="629"/>
        </w:trPr>
        <w:tc>
          <w:tcPr>
            <w:tcW w:w="9481" w:type="dxa"/>
            <w:gridSpan w:val="6"/>
            <w:shd w:val="clear" w:color="auto" w:fill="auto"/>
            <w:vAlign w:val="center"/>
          </w:tcPr>
          <w:p w14:paraId="7183F8FD" w14:textId="77777777" w:rsidR="00EB5C82" w:rsidRPr="001B4A02" w:rsidRDefault="00000000" w:rsidP="00D532C1">
            <w:pPr>
              <w:pStyle w:val="EMEANormal"/>
              <w:rPr>
                <w:szCs w:val="22"/>
                <w:lang w:val="cs-CZ"/>
              </w:rPr>
            </w:pPr>
            <w:r w:rsidRPr="001B4A02">
              <w:rPr>
                <w:szCs w:val="22"/>
                <w:lang w:val="cs-CZ"/>
              </w:rPr>
              <w:t xml:space="preserve">Poznámka: P# = </w:t>
            </w:r>
            <w:r w:rsidR="00F64B72" w:rsidRPr="001B4A02">
              <w:rPr>
                <w:szCs w:val="22"/>
                <w:lang w:val="cs-CZ"/>
              </w:rPr>
              <w:t>p</w:t>
            </w:r>
            <w:r w:rsidRPr="001B4A02">
              <w:rPr>
                <w:szCs w:val="22"/>
                <w:lang w:val="cs-CZ"/>
              </w:rPr>
              <w:t xml:space="preserve">lacebo (počet příhod/počet </w:t>
            </w:r>
            <w:r w:rsidR="00D532C1" w:rsidRPr="001B4A02">
              <w:rPr>
                <w:szCs w:val="22"/>
                <w:lang w:val="cs-CZ"/>
              </w:rPr>
              <w:t>v</w:t>
            </w:r>
            <w:r w:rsidR="00D41D1A" w:rsidRPr="001B4A02">
              <w:rPr>
                <w:szCs w:val="22"/>
                <w:lang w:val="cs-CZ"/>
              </w:rPr>
              <w:t> </w:t>
            </w:r>
            <w:r w:rsidR="00D532C1" w:rsidRPr="001B4A02">
              <w:rPr>
                <w:szCs w:val="22"/>
                <w:lang w:val="cs-CZ"/>
              </w:rPr>
              <w:t>riziku</w:t>
            </w:r>
            <w:r w:rsidRPr="001B4A02">
              <w:rPr>
                <w:szCs w:val="22"/>
                <w:lang w:val="cs-CZ"/>
              </w:rPr>
              <w:t xml:space="preserve">); A# = </w:t>
            </w:r>
            <w:r w:rsidR="00B85453" w:rsidRPr="001B4A02">
              <w:rPr>
                <w:szCs w:val="22"/>
                <w:lang w:val="cs-CZ"/>
              </w:rPr>
              <w:t xml:space="preserve">přípravek </w:t>
            </w:r>
            <w:r w:rsidRPr="001B4A02">
              <w:rPr>
                <w:szCs w:val="22"/>
                <w:lang w:val="cs-CZ"/>
              </w:rPr>
              <w:t xml:space="preserve">HUMIRA (počet příhod/počet </w:t>
            </w:r>
            <w:r w:rsidR="00D532C1" w:rsidRPr="001B4A02">
              <w:rPr>
                <w:szCs w:val="22"/>
                <w:lang w:val="cs-CZ"/>
              </w:rPr>
              <w:t>v</w:t>
            </w:r>
            <w:r w:rsidR="00D41D1A" w:rsidRPr="001B4A02">
              <w:rPr>
                <w:szCs w:val="22"/>
                <w:lang w:val="cs-CZ"/>
              </w:rPr>
              <w:t> </w:t>
            </w:r>
            <w:r w:rsidR="00D532C1" w:rsidRPr="001B4A02">
              <w:rPr>
                <w:szCs w:val="22"/>
                <w:lang w:val="cs-CZ"/>
              </w:rPr>
              <w:t>riziku</w:t>
            </w:r>
            <w:r w:rsidRPr="001B4A02">
              <w:rPr>
                <w:szCs w:val="22"/>
                <w:lang w:val="cs-CZ"/>
              </w:rPr>
              <w:t>)</w:t>
            </w:r>
          </w:p>
        </w:tc>
      </w:tr>
    </w:tbl>
    <w:p w14:paraId="1DEB935C" w14:textId="77777777" w:rsidR="00EB5C82" w:rsidRPr="001B4A02" w:rsidRDefault="00EB5C82" w:rsidP="00ED48A3">
      <w:pPr>
        <w:pStyle w:val="EMEANormal"/>
        <w:rPr>
          <w:lang w:val="cs-CZ"/>
        </w:rPr>
      </w:pPr>
    </w:p>
    <w:p w14:paraId="7180EE63" w14:textId="77777777" w:rsidR="00E7724C" w:rsidRPr="001B4A02" w:rsidRDefault="00000000" w:rsidP="00ED48A3">
      <w:pPr>
        <w:pStyle w:val="EMEANormal"/>
        <w:rPr>
          <w:lang w:val="cs-CZ"/>
        </w:rPr>
      </w:pPr>
      <w:r w:rsidRPr="001B4A02">
        <w:rPr>
          <w:lang w:val="cs-CZ"/>
        </w:rPr>
        <w:t>Ve studii UV I byly pozorovány statisticky významné rozdíly ve prospěch adalimumabu v</w:t>
      </w:r>
      <w:r w:rsidR="00E7542A" w:rsidRPr="001B4A02">
        <w:rPr>
          <w:lang w:val="cs-CZ"/>
        </w:rPr>
        <w:t> </w:t>
      </w:r>
      <w:r w:rsidRPr="001B4A02">
        <w:rPr>
          <w:lang w:val="cs-CZ"/>
        </w:rPr>
        <w:t>porovnání s</w:t>
      </w:r>
      <w:r w:rsidR="00E7542A" w:rsidRPr="001B4A02">
        <w:rPr>
          <w:lang w:val="cs-CZ"/>
        </w:rPr>
        <w:t> </w:t>
      </w:r>
      <w:r w:rsidRPr="001B4A02">
        <w:rPr>
          <w:lang w:val="cs-CZ"/>
        </w:rPr>
        <w:t>placebem u</w:t>
      </w:r>
      <w:r w:rsidR="00E7542A" w:rsidRPr="001B4A02">
        <w:rPr>
          <w:lang w:val="cs-CZ"/>
        </w:rPr>
        <w:t> </w:t>
      </w:r>
      <w:r w:rsidRPr="001B4A02">
        <w:rPr>
          <w:lang w:val="cs-CZ"/>
        </w:rPr>
        <w:t>každé</w:t>
      </w:r>
      <w:r w:rsidR="00D532C1" w:rsidRPr="001B4A02">
        <w:rPr>
          <w:lang w:val="cs-CZ"/>
        </w:rPr>
        <w:t>ho důvodu</w:t>
      </w:r>
      <w:r w:rsidRPr="001B4A02">
        <w:rPr>
          <w:lang w:val="cs-CZ"/>
        </w:rPr>
        <w:t xml:space="preserve"> selhání </w:t>
      </w:r>
      <w:r w:rsidR="00D532C1" w:rsidRPr="001B4A02">
        <w:rPr>
          <w:lang w:val="cs-CZ"/>
        </w:rPr>
        <w:t>léčby</w:t>
      </w:r>
      <w:r w:rsidRPr="001B4A02">
        <w:rPr>
          <w:lang w:val="cs-CZ"/>
        </w:rPr>
        <w:t>. Ve studii UV II byly pozorovány statisticky významné rozdíly jen u</w:t>
      </w:r>
      <w:r w:rsidR="00E7542A" w:rsidRPr="001B4A02">
        <w:rPr>
          <w:lang w:val="cs-CZ"/>
        </w:rPr>
        <w:t> </w:t>
      </w:r>
      <w:r w:rsidRPr="001B4A02">
        <w:rPr>
          <w:lang w:val="cs-CZ"/>
        </w:rPr>
        <w:t xml:space="preserve">zrakové ostrosti, ale ostatní </w:t>
      </w:r>
      <w:r w:rsidR="00D532C1" w:rsidRPr="001B4A02">
        <w:rPr>
          <w:lang w:val="cs-CZ"/>
        </w:rPr>
        <w:t>důvody byly početně</w:t>
      </w:r>
      <w:r w:rsidRPr="001B4A02">
        <w:rPr>
          <w:lang w:val="cs-CZ"/>
        </w:rPr>
        <w:t xml:space="preserve"> ve prospěch adalimumab</w:t>
      </w:r>
      <w:r w:rsidR="00E7542A" w:rsidRPr="001B4A02">
        <w:rPr>
          <w:lang w:val="cs-CZ"/>
        </w:rPr>
        <w:t>u</w:t>
      </w:r>
      <w:r w:rsidRPr="001B4A02">
        <w:rPr>
          <w:lang w:val="cs-CZ"/>
        </w:rPr>
        <w:t>.</w:t>
      </w:r>
    </w:p>
    <w:p w14:paraId="7A462E1E" w14:textId="77777777" w:rsidR="000A116E" w:rsidRPr="001B4A02" w:rsidRDefault="000A116E" w:rsidP="00ED48A3">
      <w:pPr>
        <w:pStyle w:val="EMEANormal"/>
        <w:rPr>
          <w:lang w:val="cs-CZ"/>
        </w:rPr>
      </w:pPr>
    </w:p>
    <w:p w14:paraId="7164334D" w14:textId="77777777" w:rsidR="000A116E" w:rsidRPr="001B4A02" w:rsidRDefault="00000000" w:rsidP="000A116E">
      <w:pPr>
        <w:ind w:left="0" w:firstLine="0"/>
      </w:pPr>
      <w:r w:rsidRPr="001B4A02">
        <w:t>Ze 417</w:t>
      </w:r>
      <w:r w:rsidR="009663D1" w:rsidRPr="001B4A02">
        <w:t xml:space="preserve"> </w:t>
      </w:r>
      <w:r w:rsidR="00723D64" w:rsidRPr="001B4A02">
        <w:t>subjektů</w:t>
      </w:r>
      <w:r w:rsidRPr="001B4A02">
        <w:t xml:space="preserve"> zařazených do nekontrolovaných dlouhodobých prodloužení studií UV I</w:t>
      </w:r>
      <w:r w:rsidR="002378E0">
        <w:t xml:space="preserve"> a </w:t>
      </w:r>
      <w:r w:rsidRPr="001B4A02">
        <w:t>UV II bylo 46</w:t>
      </w:r>
      <w:r w:rsidR="009663D1" w:rsidRPr="001B4A02">
        <w:t xml:space="preserve"> </w:t>
      </w:r>
      <w:r w:rsidR="00723D64" w:rsidRPr="001B4A02">
        <w:t>subjektů</w:t>
      </w:r>
      <w:r w:rsidRPr="001B4A02">
        <w:t xml:space="preserve"> považováno za nezpůsobilé (např. vyvinuly se sekundární komplikace diabetické retinopatie v důsledku katarakty nebo vitrektomie)</w:t>
      </w:r>
      <w:r w:rsidR="002378E0">
        <w:t xml:space="preserve"> a </w:t>
      </w:r>
      <w:r w:rsidRPr="001B4A02">
        <w:t>byl</w:t>
      </w:r>
      <w:r w:rsidR="00723D64" w:rsidRPr="001B4A02">
        <w:t>o</w:t>
      </w:r>
      <w:r w:rsidRPr="001B4A02">
        <w:t xml:space="preserve"> vyřazen</w:t>
      </w:r>
      <w:r w:rsidR="00723D64" w:rsidRPr="001B4A02">
        <w:t>o</w:t>
      </w:r>
      <w:r w:rsidRPr="001B4A02">
        <w:t xml:space="preserve"> z primární analýzy </w:t>
      </w:r>
      <w:r w:rsidR="00FD6A84" w:rsidRPr="001B4A02">
        <w:t>účinnosti. Z</w:t>
      </w:r>
      <w:r w:rsidR="007C3379" w:rsidRPr="001B4A02">
        <w:t> </w:t>
      </w:r>
      <w:r w:rsidRPr="001B4A02">
        <w:t>371</w:t>
      </w:r>
      <w:r w:rsidR="009663D1" w:rsidRPr="001B4A02">
        <w:t xml:space="preserve"> </w:t>
      </w:r>
      <w:r w:rsidRPr="001B4A02">
        <w:t xml:space="preserve">zbývajících pacientů dosáhlo 276 hodnotitelných </w:t>
      </w:r>
      <w:r w:rsidR="009663D1" w:rsidRPr="001B4A02">
        <w:t xml:space="preserve">pacientů </w:t>
      </w:r>
      <w:r w:rsidRPr="001B4A02">
        <w:t xml:space="preserve">78 týdnů otevřené léčby adalimumabem. Na základě přístupu pozorovaných dat bylo 222 (80,4 %) </w:t>
      </w:r>
      <w:r w:rsidR="009663D1" w:rsidRPr="001B4A02">
        <w:t xml:space="preserve">pacientů </w:t>
      </w:r>
      <w:r w:rsidRPr="001B4A02">
        <w:t>v klidu (bez aktivních zánětlivých lézí, stupeň AC buněk ≤</w:t>
      </w:r>
      <w:r w:rsidR="008E5C77" w:rsidRPr="001B4A02">
        <w:t> </w:t>
      </w:r>
      <w:r w:rsidRPr="001B4A02">
        <w:t>0,5+, VH stupeň ≤</w:t>
      </w:r>
      <w:r w:rsidR="008E5C77" w:rsidRPr="001B4A02">
        <w:t> </w:t>
      </w:r>
      <w:r w:rsidRPr="001B4A02">
        <w:t xml:space="preserve">0,5+) </w:t>
      </w:r>
      <w:r w:rsidR="009663D1" w:rsidRPr="001B4A02">
        <w:t>na současné dávce</w:t>
      </w:r>
      <w:r w:rsidRPr="001B4A02">
        <w:t xml:space="preserve"> steroidů ≤</w:t>
      </w:r>
      <w:r w:rsidR="008E5C77" w:rsidRPr="001B4A02">
        <w:t> </w:t>
      </w:r>
      <w:r w:rsidRPr="001B4A02">
        <w:t>7,5 mg denně</w:t>
      </w:r>
      <w:r w:rsidR="002378E0">
        <w:t xml:space="preserve"> a </w:t>
      </w:r>
      <w:r w:rsidRPr="001B4A02">
        <w:t xml:space="preserve">184 (66,7 %) </w:t>
      </w:r>
      <w:r w:rsidR="009663D1" w:rsidRPr="001B4A02">
        <w:t xml:space="preserve">pacientů </w:t>
      </w:r>
      <w:r w:rsidRPr="001B4A02">
        <w:t>bylo v klidu bez podávání steroidů. BCVA se buď zlepšila</w:t>
      </w:r>
      <w:r w:rsidR="00723D64" w:rsidRPr="001B4A02">
        <w:t>,</w:t>
      </w:r>
      <w:r w:rsidRPr="001B4A02">
        <w:t xml:space="preserve"> nebo udržela (zhoršení o</w:t>
      </w:r>
      <w:r w:rsidR="00923691" w:rsidRPr="001B4A02">
        <w:t> </w:t>
      </w:r>
      <w:r w:rsidRPr="001B4A02">
        <w:t>&lt;</w:t>
      </w:r>
      <w:r w:rsidR="009B56B1" w:rsidRPr="001B4A02">
        <w:t> </w:t>
      </w:r>
      <w:r w:rsidRPr="001B4A02">
        <w:t>5 písmen) u</w:t>
      </w:r>
      <w:r w:rsidR="00A02FA4" w:rsidRPr="001B4A02">
        <w:t> </w:t>
      </w:r>
      <w:r w:rsidRPr="001B4A02">
        <w:t>88,4 % očí v týdnu 78. Z</w:t>
      </w:r>
      <w:r w:rsidR="007C3379" w:rsidRPr="001B4A02">
        <w:t> </w:t>
      </w:r>
      <w:r w:rsidRPr="001B4A02">
        <w:t xml:space="preserve">pacientů, kteří ukončili studii před týdnem 78, 11 % ukončilo studii </w:t>
      </w:r>
      <w:r w:rsidR="00FD6A84" w:rsidRPr="001B4A02">
        <w:t>z</w:t>
      </w:r>
      <w:r w:rsidR="007C3379" w:rsidRPr="001B4A02">
        <w:t> </w:t>
      </w:r>
      <w:r w:rsidR="00FD6A84" w:rsidRPr="001B4A02">
        <w:t>důvodu</w:t>
      </w:r>
      <w:r w:rsidRPr="001B4A02">
        <w:t xml:space="preserve"> nežádoucích příhod</w:t>
      </w:r>
      <w:r w:rsidR="002378E0">
        <w:t xml:space="preserve"> a </w:t>
      </w:r>
      <w:r w:rsidRPr="001B4A02">
        <w:t>5 % v důsledku nedostatečné odpovědi na léčbu adalimumabem.</w:t>
      </w:r>
    </w:p>
    <w:p w14:paraId="2C10FB4C" w14:textId="77777777" w:rsidR="00E7724C" w:rsidRPr="001B4A02" w:rsidRDefault="00E7724C" w:rsidP="00ED48A3">
      <w:pPr>
        <w:pStyle w:val="EMEANormal"/>
        <w:rPr>
          <w:lang w:val="cs-CZ"/>
        </w:rPr>
      </w:pPr>
    </w:p>
    <w:p w14:paraId="228562DC" w14:textId="77777777" w:rsidR="00EB5C82" w:rsidRPr="001B4A02" w:rsidRDefault="00000000" w:rsidP="003B610F">
      <w:pPr>
        <w:pStyle w:val="EMEANormal"/>
        <w:keepNext/>
        <w:rPr>
          <w:i/>
          <w:szCs w:val="22"/>
          <w:u w:val="single"/>
          <w:lang w:val="cs-CZ"/>
        </w:rPr>
      </w:pPr>
      <w:r w:rsidRPr="001B4A02">
        <w:rPr>
          <w:i/>
          <w:szCs w:val="22"/>
          <w:u w:val="single"/>
          <w:lang w:val="cs-CZ"/>
        </w:rPr>
        <w:t>Kvalita života</w:t>
      </w:r>
    </w:p>
    <w:p w14:paraId="722E5A00" w14:textId="77777777" w:rsidR="00EB5C82" w:rsidRPr="001B4A02" w:rsidRDefault="00EB5C82" w:rsidP="003B610F">
      <w:pPr>
        <w:pStyle w:val="EMEANormal"/>
        <w:keepNext/>
        <w:rPr>
          <w:i/>
          <w:szCs w:val="22"/>
          <w:u w:val="single"/>
          <w:lang w:val="cs-CZ"/>
        </w:rPr>
      </w:pPr>
    </w:p>
    <w:p w14:paraId="773FA829" w14:textId="77777777" w:rsidR="00E7724C" w:rsidRPr="001B4A02" w:rsidRDefault="00000000" w:rsidP="00ED48A3">
      <w:pPr>
        <w:pStyle w:val="EMEANormal"/>
        <w:rPr>
          <w:lang w:val="cs-CZ"/>
        </w:rPr>
      </w:pPr>
      <w:r w:rsidRPr="001B4A02">
        <w:rPr>
          <w:lang w:val="cs-CZ"/>
        </w:rPr>
        <w:t xml:space="preserve">Pacienty hlášené </w:t>
      </w:r>
      <w:r w:rsidR="00D532C1" w:rsidRPr="001B4A02">
        <w:rPr>
          <w:lang w:val="cs-CZ"/>
        </w:rPr>
        <w:t xml:space="preserve">výsledky zahrnující </w:t>
      </w:r>
      <w:r w:rsidRPr="001B4A02">
        <w:rPr>
          <w:lang w:val="cs-CZ"/>
        </w:rPr>
        <w:t>zrakové funkce byly hodnoceny v</w:t>
      </w:r>
      <w:r w:rsidR="00E7542A" w:rsidRPr="001B4A02">
        <w:rPr>
          <w:lang w:val="cs-CZ"/>
        </w:rPr>
        <w:t> </w:t>
      </w:r>
      <w:r w:rsidRPr="001B4A02">
        <w:rPr>
          <w:lang w:val="cs-CZ"/>
        </w:rPr>
        <w:t xml:space="preserve">obou klinických studiích za pomoci NEI VFQ-25. Přípravek Humira měl </w:t>
      </w:r>
      <w:r w:rsidR="00D532C1" w:rsidRPr="001B4A02">
        <w:rPr>
          <w:lang w:val="cs-CZ"/>
        </w:rPr>
        <w:t xml:space="preserve">početně </w:t>
      </w:r>
      <w:r w:rsidRPr="001B4A02">
        <w:rPr>
          <w:lang w:val="cs-CZ"/>
        </w:rPr>
        <w:t xml:space="preserve">lepší výsledky ve většině podskóre, přičemž ve studii UV I byl statisticky významný střední rozdíl zaznamenán </w:t>
      </w:r>
      <w:r w:rsidR="00D532C1" w:rsidRPr="001B4A02">
        <w:rPr>
          <w:lang w:val="cs-CZ"/>
        </w:rPr>
        <w:t>všeobecně u</w:t>
      </w:r>
      <w:r w:rsidR="007C3379" w:rsidRPr="001B4A02">
        <w:rPr>
          <w:lang w:val="cs-CZ"/>
        </w:rPr>
        <w:t> </w:t>
      </w:r>
      <w:r w:rsidR="00D532C1" w:rsidRPr="001B4A02">
        <w:rPr>
          <w:lang w:val="cs-CZ"/>
        </w:rPr>
        <w:t>zraku</w:t>
      </w:r>
      <w:r w:rsidRPr="001B4A02">
        <w:rPr>
          <w:lang w:val="cs-CZ"/>
        </w:rPr>
        <w:t>, bolesti oka, vidění na blízko, duševního zdraví</w:t>
      </w:r>
      <w:r w:rsidR="002378E0">
        <w:rPr>
          <w:lang w:val="cs-CZ"/>
        </w:rPr>
        <w:t xml:space="preserve"> a </w:t>
      </w:r>
      <w:r w:rsidRPr="001B4A02">
        <w:rPr>
          <w:lang w:val="cs-CZ"/>
        </w:rPr>
        <w:t>celkového skóre,</w:t>
      </w:r>
      <w:r w:rsidR="002378E0">
        <w:rPr>
          <w:lang w:val="cs-CZ"/>
        </w:rPr>
        <w:t xml:space="preserve"> a </w:t>
      </w:r>
      <w:r w:rsidRPr="001B4A02">
        <w:rPr>
          <w:lang w:val="cs-CZ"/>
        </w:rPr>
        <w:t xml:space="preserve">ve studii UV II </w:t>
      </w:r>
      <w:r w:rsidR="00D532C1" w:rsidRPr="001B4A02">
        <w:rPr>
          <w:lang w:val="cs-CZ"/>
        </w:rPr>
        <w:t>všeobecně u</w:t>
      </w:r>
      <w:r w:rsidR="007C3379" w:rsidRPr="001B4A02">
        <w:rPr>
          <w:lang w:val="cs-CZ"/>
        </w:rPr>
        <w:t> </w:t>
      </w:r>
      <w:r w:rsidR="00D532C1" w:rsidRPr="001B4A02">
        <w:rPr>
          <w:lang w:val="cs-CZ"/>
        </w:rPr>
        <w:t>zraku</w:t>
      </w:r>
      <w:r w:rsidR="002378E0">
        <w:rPr>
          <w:lang w:val="cs-CZ"/>
        </w:rPr>
        <w:t xml:space="preserve"> a </w:t>
      </w:r>
      <w:r w:rsidRPr="001B4A02">
        <w:rPr>
          <w:lang w:val="cs-CZ"/>
        </w:rPr>
        <w:t xml:space="preserve">duševního zdraví. </w:t>
      </w:r>
      <w:r w:rsidR="00D532C1" w:rsidRPr="001B4A02">
        <w:rPr>
          <w:lang w:val="cs-CZ"/>
        </w:rPr>
        <w:t xml:space="preserve">Početně nebylo </w:t>
      </w:r>
      <w:r w:rsidRPr="001B4A02">
        <w:rPr>
          <w:lang w:val="cs-CZ"/>
        </w:rPr>
        <w:t>zlepšení zraku vlivem přípravku Humira ve studii UV I pozorováno u barevného vidění</w:t>
      </w:r>
      <w:r w:rsidR="002378E0">
        <w:rPr>
          <w:lang w:val="cs-CZ"/>
        </w:rPr>
        <w:t xml:space="preserve"> a </w:t>
      </w:r>
      <w:r w:rsidRPr="001B4A02">
        <w:rPr>
          <w:lang w:val="cs-CZ"/>
        </w:rPr>
        <w:t>ve studii UV II u</w:t>
      </w:r>
      <w:r w:rsidR="00E7542A" w:rsidRPr="001B4A02">
        <w:rPr>
          <w:lang w:val="cs-CZ"/>
        </w:rPr>
        <w:t> </w:t>
      </w:r>
      <w:r w:rsidRPr="001B4A02">
        <w:rPr>
          <w:lang w:val="cs-CZ"/>
        </w:rPr>
        <w:t>barevného vidění, periferního vidění</w:t>
      </w:r>
      <w:r w:rsidR="002378E0">
        <w:rPr>
          <w:lang w:val="cs-CZ"/>
        </w:rPr>
        <w:t xml:space="preserve"> a </w:t>
      </w:r>
      <w:r w:rsidRPr="001B4A02">
        <w:rPr>
          <w:lang w:val="cs-CZ"/>
        </w:rPr>
        <w:t>vidění na blízko.</w:t>
      </w:r>
    </w:p>
    <w:p w14:paraId="602317F7" w14:textId="77777777" w:rsidR="00824742" w:rsidRPr="001B4A02" w:rsidRDefault="00824742" w:rsidP="00ED48A3">
      <w:pPr>
        <w:pStyle w:val="EMEANormal"/>
        <w:rPr>
          <w:lang w:val="cs-CZ"/>
        </w:rPr>
      </w:pPr>
    </w:p>
    <w:p w14:paraId="3D5B4E4D" w14:textId="77777777" w:rsidR="00EB5C82" w:rsidRPr="001B4A02" w:rsidRDefault="00000000" w:rsidP="00ED48A3">
      <w:pPr>
        <w:pStyle w:val="EMEANormal"/>
        <w:keepNext/>
        <w:tabs>
          <w:tab w:val="clear" w:pos="562"/>
        </w:tabs>
        <w:suppressAutoHyphens w:val="0"/>
        <w:rPr>
          <w:u w:val="single"/>
          <w:lang w:val="cs-CZ"/>
        </w:rPr>
      </w:pPr>
      <w:r w:rsidRPr="001B4A02">
        <w:rPr>
          <w:u w:val="single"/>
          <w:lang w:val="cs-CZ"/>
        </w:rPr>
        <w:t>Imunogenita</w:t>
      </w:r>
    </w:p>
    <w:p w14:paraId="72D7A534" w14:textId="77777777" w:rsidR="00EB5C82" w:rsidRPr="001B4A02" w:rsidRDefault="00EB5C82" w:rsidP="00ED48A3">
      <w:pPr>
        <w:keepNext/>
        <w:ind w:left="0" w:firstLine="0"/>
      </w:pPr>
    </w:p>
    <w:p w14:paraId="55E9B5CC" w14:textId="77777777" w:rsidR="00EB5C82" w:rsidRPr="001B4A02" w:rsidRDefault="00000000" w:rsidP="00ED48A3">
      <w:pPr>
        <w:ind w:left="0" w:firstLine="0"/>
      </w:pPr>
      <w:r w:rsidRPr="001B4A02">
        <w:t>Tvorba protilátek proti adalimumabu je spojena se zvýšenou clearance</w:t>
      </w:r>
      <w:r w:rsidR="002378E0">
        <w:t xml:space="preserve"> a </w:t>
      </w:r>
      <w:r w:rsidRPr="001B4A02">
        <w:t>sníženou účinností adalimumabu. Mezi přítomností protilátek proti adalimumabu</w:t>
      </w:r>
      <w:r w:rsidR="002378E0">
        <w:t xml:space="preserve"> a </w:t>
      </w:r>
      <w:r w:rsidRPr="001B4A02">
        <w:t>výskytem nežádoucích účinků neexistuje žádná zjevná korelace.</w:t>
      </w:r>
    </w:p>
    <w:p w14:paraId="01F04155" w14:textId="77777777" w:rsidR="00EB5C82" w:rsidRPr="001B4A02" w:rsidRDefault="00EB5C82" w:rsidP="00ED48A3">
      <w:pPr>
        <w:ind w:left="0" w:firstLine="0"/>
      </w:pPr>
    </w:p>
    <w:p w14:paraId="790714C5" w14:textId="77777777" w:rsidR="00D259AA" w:rsidRPr="001B4A02" w:rsidRDefault="00000000" w:rsidP="00D259AA">
      <w:pPr>
        <w:ind w:left="0" w:firstLine="0"/>
      </w:pPr>
      <w:r w:rsidRPr="001B4A02">
        <w:t>Pacientům ve studiích v</w:t>
      </w:r>
      <w:r w:rsidR="00E93420" w:rsidRPr="001B4A02">
        <w:t> </w:t>
      </w:r>
      <w:r w:rsidRPr="001B4A02">
        <w:t>indikaci</w:t>
      </w:r>
      <w:r w:rsidR="00E93420" w:rsidRPr="001B4A02">
        <w:t xml:space="preserve"> </w:t>
      </w:r>
      <w:r w:rsidRPr="001B4A02">
        <w:t>revmatoidní artritida I, II</w:t>
      </w:r>
      <w:r w:rsidR="002378E0">
        <w:t xml:space="preserve"> a </w:t>
      </w:r>
      <w:r w:rsidRPr="001B4A02">
        <w:t>III byly v různých časových okamžicích prováděny testy na přítomnost protilátek proti adalimumabu,</w:t>
      </w:r>
      <w:r w:rsidR="002378E0">
        <w:t xml:space="preserve"> a </w:t>
      </w:r>
      <w:r w:rsidRPr="001B4A02">
        <w:t>to během 6 až 12měsíčního období léčby. V klíčových studiích byly detekovány protilátky proti adalimumabu u 5,5 % (58 z 1 053) pacientů léčených adalimumabem v porovnání s 0,5 % (2 ze 370)</w:t>
      </w:r>
      <w:r w:rsidR="00E93420" w:rsidRPr="001B4A02">
        <w:t xml:space="preserve"> </w:t>
      </w:r>
      <w:r w:rsidRPr="001B4A02">
        <w:t>pacientů léčených placebem. U pacientů, kteří nebyli souběžně léčeni methotrexátem, byl tento výskyt 12,4 % v porovnání s 0,6 % v případech, kdy byl adalimumab podáván spolu s léčbou methotrexátem.</w:t>
      </w:r>
    </w:p>
    <w:p w14:paraId="1FB4C0EF" w14:textId="77777777" w:rsidR="00D259AA" w:rsidRPr="001B4A02" w:rsidRDefault="00D259AA" w:rsidP="00ED48A3">
      <w:pPr>
        <w:ind w:left="0" w:firstLine="0"/>
      </w:pPr>
    </w:p>
    <w:p w14:paraId="745A4280" w14:textId="77777777" w:rsidR="00EB5C82" w:rsidRPr="001B4A02" w:rsidRDefault="00000000" w:rsidP="00ED48A3">
      <w:pPr>
        <w:ind w:left="0" w:firstLine="0"/>
      </w:pPr>
      <w:r w:rsidRPr="001B4A02">
        <w:t>U</w:t>
      </w:r>
      <w:r w:rsidR="00E7542A" w:rsidRPr="001B4A02">
        <w:t> </w:t>
      </w:r>
      <w:r w:rsidRPr="001B4A02">
        <w:t>pacientů s Crohnovou chorobou byly protilátky proti adalimumabu identifikovány u</w:t>
      </w:r>
      <w:r w:rsidR="00E7542A" w:rsidRPr="001B4A02">
        <w:t> </w:t>
      </w:r>
      <w:r w:rsidRPr="001B4A02">
        <w:t>7 z 269 subjektů (2,6</w:t>
      </w:r>
      <w:r w:rsidR="00E7542A" w:rsidRPr="001B4A02">
        <w:t> </w:t>
      </w:r>
      <w:r w:rsidRPr="001B4A02">
        <w:t>%)</w:t>
      </w:r>
      <w:r w:rsidR="002378E0">
        <w:t xml:space="preserve"> a </w:t>
      </w:r>
      <w:r w:rsidR="00836790" w:rsidRPr="001B4A02">
        <w:t>u</w:t>
      </w:r>
      <w:r w:rsidR="00E7542A" w:rsidRPr="001B4A02">
        <w:t> </w:t>
      </w:r>
      <w:r w:rsidR="00836790" w:rsidRPr="001B4A02">
        <w:t>pacientů s ulcerózní kolitidou byly protilátky proti adalimumabu identifikovány u</w:t>
      </w:r>
      <w:r w:rsidR="00E7542A" w:rsidRPr="001B4A02">
        <w:t> </w:t>
      </w:r>
      <w:r w:rsidR="00836790" w:rsidRPr="001B4A02">
        <w:t>19 z 487 subjektů (3,9</w:t>
      </w:r>
      <w:r w:rsidR="00E7542A" w:rsidRPr="001B4A02">
        <w:t> </w:t>
      </w:r>
      <w:r w:rsidR="00836790" w:rsidRPr="001B4A02">
        <w:t>%)</w:t>
      </w:r>
      <w:r w:rsidRPr="001B4A02">
        <w:t>.</w:t>
      </w:r>
    </w:p>
    <w:p w14:paraId="45B612C0" w14:textId="77777777" w:rsidR="00EB5C82" w:rsidRPr="001B4A02" w:rsidRDefault="00EB5C82" w:rsidP="00ED48A3">
      <w:pPr>
        <w:pStyle w:val="EMEANormal"/>
        <w:tabs>
          <w:tab w:val="clear" w:pos="562"/>
        </w:tabs>
        <w:suppressAutoHyphens w:val="0"/>
        <w:rPr>
          <w:lang w:val="cs-CZ"/>
        </w:rPr>
      </w:pPr>
    </w:p>
    <w:p w14:paraId="74FA191A" w14:textId="77777777" w:rsidR="00EB5C82" w:rsidRPr="001B4A02" w:rsidRDefault="00000000" w:rsidP="00ED48A3">
      <w:pPr>
        <w:pStyle w:val="EMEANormal"/>
        <w:tabs>
          <w:tab w:val="clear" w:pos="562"/>
        </w:tabs>
        <w:suppressAutoHyphens w:val="0"/>
        <w:rPr>
          <w:lang w:val="cs-CZ"/>
        </w:rPr>
      </w:pPr>
      <w:r w:rsidRPr="001B4A02">
        <w:rPr>
          <w:lang w:val="cs-CZ"/>
        </w:rPr>
        <w:t>U</w:t>
      </w:r>
      <w:r w:rsidR="00E7542A" w:rsidRPr="001B4A02">
        <w:rPr>
          <w:lang w:val="cs-CZ"/>
        </w:rPr>
        <w:t> </w:t>
      </w:r>
      <w:r w:rsidRPr="001B4A02">
        <w:rPr>
          <w:lang w:val="cs-CZ"/>
        </w:rPr>
        <w:t>dospělých pacientů s psoriázou byly protilátky proti adalimumabu identifikovány u</w:t>
      </w:r>
      <w:r w:rsidR="00E7542A" w:rsidRPr="001B4A02">
        <w:rPr>
          <w:lang w:val="cs-CZ"/>
        </w:rPr>
        <w:t> </w:t>
      </w:r>
      <w:r w:rsidRPr="001B4A02">
        <w:rPr>
          <w:lang w:val="cs-CZ"/>
        </w:rPr>
        <w:t>77 z</w:t>
      </w:r>
      <w:r w:rsidR="00E7542A" w:rsidRPr="001B4A02">
        <w:rPr>
          <w:lang w:val="cs-CZ"/>
        </w:rPr>
        <w:t> </w:t>
      </w:r>
      <w:r w:rsidRPr="001B4A02">
        <w:rPr>
          <w:lang w:val="cs-CZ"/>
        </w:rPr>
        <w:t>920 subjektů (8,4</w:t>
      </w:r>
      <w:r w:rsidR="004E785E" w:rsidRPr="001B4A02">
        <w:rPr>
          <w:lang w:val="cs-CZ"/>
        </w:rPr>
        <w:t> %)</w:t>
      </w:r>
      <w:r w:rsidR="007D76EF" w:rsidRPr="001B4A02">
        <w:rPr>
          <w:lang w:val="cs-CZ"/>
        </w:rPr>
        <w:t xml:space="preserve"> léčených adalimumabem v</w:t>
      </w:r>
      <w:r w:rsidR="00E7542A" w:rsidRPr="001B4A02">
        <w:rPr>
          <w:lang w:val="cs-CZ"/>
        </w:rPr>
        <w:t> </w:t>
      </w:r>
      <w:r w:rsidR="007D76EF" w:rsidRPr="001B4A02">
        <w:rPr>
          <w:lang w:val="cs-CZ"/>
        </w:rPr>
        <w:t>monoterapii.</w:t>
      </w:r>
    </w:p>
    <w:p w14:paraId="39A1F3FB" w14:textId="77777777" w:rsidR="00EB5C82" w:rsidRPr="001B4A02" w:rsidRDefault="00EB5C82" w:rsidP="00ED48A3">
      <w:pPr>
        <w:ind w:left="0" w:firstLine="0"/>
      </w:pPr>
    </w:p>
    <w:p w14:paraId="1519AFA4" w14:textId="77777777" w:rsidR="00EB5C82" w:rsidRPr="001B4A02" w:rsidRDefault="00000000" w:rsidP="00ED48A3">
      <w:pPr>
        <w:ind w:left="0" w:firstLine="0"/>
      </w:pPr>
      <w:r w:rsidRPr="001B4A02">
        <w:t>U</w:t>
      </w:r>
      <w:r w:rsidR="00E7542A" w:rsidRPr="001B4A02">
        <w:t> </w:t>
      </w:r>
      <w:r w:rsidRPr="001B4A02">
        <w:t>dospělých pacientů s</w:t>
      </w:r>
      <w:r w:rsidR="00E7542A" w:rsidRPr="001B4A02">
        <w:t> </w:t>
      </w:r>
      <w:r w:rsidRPr="001B4A02">
        <w:t>ložiskovou psoriázou, léčených dlouhodobě adalimumabem v monoterapii, kteří se účastnili studie, ve které byl adalimumab vysazen</w:t>
      </w:r>
      <w:r w:rsidR="002378E0">
        <w:t xml:space="preserve"> a </w:t>
      </w:r>
      <w:r w:rsidRPr="001B4A02">
        <w:t>opětovně nasazen, byl počet protilátek proti adalimumabu po znovunasazení (</w:t>
      </w:r>
      <w:r w:rsidR="00743767" w:rsidRPr="001B4A02">
        <w:t>u</w:t>
      </w:r>
      <w:r w:rsidR="007C3379" w:rsidRPr="001B4A02">
        <w:t> </w:t>
      </w:r>
      <w:r w:rsidR="00743767" w:rsidRPr="001B4A02">
        <w:t>11 z</w:t>
      </w:r>
      <w:r w:rsidR="007C3379" w:rsidRPr="001B4A02">
        <w:t> </w:t>
      </w:r>
      <w:r w:rsidR="00743767" w:rsidRPr="001B4A02">
        <w:t>482 pacientů</w:t>
      </w:r>
      <w:r w:rsidR="006307E1" w:rsidRPr="001B4A02">
        <w:t xml:space="preserve">, </w:t>
      </w:r>
      <w:r w:rsidR="006307E1">
        <w:t>2,3</w:t>
      </w:r>
      <w:r w:rsidR="006307E1" w:rsidRPr="001B4A02">
        <w:t> %</w:t>
      </w:r>
      <w:r w:rsidRPr="001B4A02">
        <w:t>) podobný jako jejich počet pozorovaný před vysazením léčiva (</w:t>
      </w:r>
      <w:r w:rsidR="00AA419E" w:rsidRPr="001B4A02">
        <w:t>u</w:t>
      </w:r>
      <w:r w:rsidR="007C3379" w:rsidRPr="001B4A02">
        <w:t> </w:t>
      </w:r>
      <w:r w:rsidR="00AA419E" w:rsidRPr="001B4A02">
        <w:t>11 z</w:t>
      </w:r>
      <w:r w:rsidR="007C3379" w:rsidRPr="001B4A02">
        <w:t> </w:t>
      </w:r>
      <w:r w:rsidR="00AA419E" w:rsidRPr="001B4A02">
        <w:t>590 pacientů</w:t>
      </w:r>
      <w:r w:rsidRPr="001B4A02">
        <w:t>, 1,9</w:t>
      </w:r>
      <w:r w:rsidR="00E7542A" w:rsidRPr="001B4A02">
        <w:t> </w:t>
      </w:r>
      <w:r w:rsidRPr="001B4A02">
        <w:t>%).</w:t>
      </w:r>
    </w:p>
    <w:p w14:paraId="1573D6AF" w14:textId="77777777" w:rsidR="00EB5C82" w:rsidRPr="001B4A02" w:rsidRDefault="00EB5C82" w:rsidP="00ED48A3">
      <w:pPr>
        <w:ind w:left="0" w:firstLine="0"/>
      </w:pPr>
    </w:p>
    <w:p w14:paraId="17FFC295" w14:textId="77777777" w:rsidR="00EB5C82" w:rsidRPr="001B4A02" w:rsidRDefault="00000000" w:rsidP="00ED48A3">
      <w:pPr>
        <w:ind w:left="0" w:firstLine="0"/>
      </w:pPr>
      <w:r w:rsidRPr="001B4A02">
        <w:t>U</w:t>
      </w:r>
      <w:r w:rsidR="00E7542A" w:rsidRPr="001B4A02">
        <w:t> </w:t>
      </w:r>
      <w:r w:rsidRPr="001B4A02">
        <w:t xml:space="preserve">pacientů se středně </w:t>
      </w:r>
      <w:r w:rsidR="00CC2F88" w:rsidRPr="001B4A02">
        <w:t>těžkou až těžkou</w:t>
      </w:r>
      <w:r w:rsidRPr="001B4A02">
        <w:t xml:space="preserve"> hidradenitis suppurativa byly protilátky proti adalimumabu identifikovány u</w:t>
      </w:r>
      <w:r w:rsidR="00E7542A" w:rsidRPr="001B4A02">
        <w:t> </w:t>
      </w:r>
      <w:r w:rsidRPr="001B4A02">
        <w:t>10 z</w:t>
      </w:r>
      <w:r w:rsidR="00E7542A" w:rsidRPr="001B4A02">
        <w:t> </w:t>
      </w:r>
      <w:r w:rsidRPr="001B4A02">
        <w:t>99 subjektů (10,1</w:t>
      </w:r>
      <w:r w:rsidR="00E7542A" w:rsidRPr="001B4A02">
        <w:t> </w:t>
      </w:r>
      <w:r w:rsidRPr="001B4A02">
        <w:t>%) léčených adalimumabem.</w:t>
      </w:r>
    </w:p>
    <w:p w14:paraId="49D87AC9" w14:textId="77777777" w:rsidR="00EB5C82" w:rsidRPr="001B4A02" w:rsidRDefault="00EB5C82" w:rsidP="00ED48A3">
      <w:pPr>
        <w:ind w:left="0" w:firstLine="0"/>
      </w:pPr>
    </w:p>
    <w:p w14:paraId="10EB54C1" w14:textId="77777777" w:rsidR="00EB5C82" w:rsidRPr="001B4A02" w:rsidRDefault="00000000" w:rsidP="00ED48A3">
      <w:pPr>
        <w:ind w:left="0" w:firstLine="0"/>
      </w:pPr>
      <w:r w:rsidRPr="001B4A02">
        <w:t>U</w:t>
      </w:r>
      <w:r w:rsidR="00E7542A" w:rsidRPr="001B4A02">
        <w:t> </w:t>
      </w:r>
      <w:r w:rsidRPr="001B4A02">
        <w:t>pediatrických pacientů se středně těžkou až těžkou aktivní Crohnovou chorobou byl u</w:t>
      </w:r>
      <w:r w:rsidR="00C06ED4" w:rsidRPr="001B4A02">
        <w:t> </w:t>
      </w:r>
      <w:r w:rsidRPr="001B4A02">
        <w:t>pacientů, kteří dostávali adalimumab, počet protilátek proti adalimumabu 3,3</w:t>
      </w:r>
      <w:r w:rsidR="00C06ED4" w:rsidRPr="001B4A02">
        <w:t> </w:t>
      </w:r>
      <w:r w:rsidRPr="001B4A02">
        <w:t>%.</w:t>
      </w:r>
    </w:p>
    <w:p w14:paraId="2F1F1A86" w14:textId="77777777" w:rsidR="00EB5C82" w:rsidRPr="001B4A02" w:rsidRDefault="00EB5C82" w:rsidP="00ED48A3">
      <w:pPr>
        <w:tabs>
          <w:tab w:val="left" w:pos="1294"/>
        </w:tabs>
        <w:autoSpaceDE w:val="0"/>
        <w:autoSpaceDN w:val="0"/>
        <w:adjustRightInd w:val="0"/>
        <w:ind w:left="0" w:firstLine="0"/>
        <w:rPr>
          <w:bCs/>
          <w:iCs/>
        </w:rPr>
      </w:pPr>
    </w:p>
    <w:p w14:paraId="5749592D" w14:textId="77777777" w:rsidR="00EB5C82" w:rsidRPr="001B4A02" w:rsidRDefault="00000000" w:rsidP="00ED48A3">
      <w:pPr>
        <w:tabs>
          <w:tab w:val="left" w:pos="1294"/>
        </w:tabs>
        <w:autoSpaceDE w:val="0"/>
        <w:autoSpaceDN w:val="0"/>
        <w:adjustRightInd w:val="0"/>
        <w:ind w:left="0" w:firstLine="0"/>
        <w:rPr>
          <w:bCs/>
          <w:iCs/>
        </w:rPr>
      </w:pPr>
      <w:r w:rsidRPr="001B4A02">
        <w:rPr>
          <w:bCs/>
          <w:iCs/>
        </w:rPr>
        <w:t>U</w:t>
      </w:r>
      <w:r w:rsidR="00E7542A" w:rsidRPr="001B4A02">
        <w:rPr>
          <w:bCs/>
          <w:iCs/>
        </w:rPr>
        <w:t> </w:t>
      </w:r>
      <w:r w:rsidR="00C10CEB" w:rsidRPr="001B4A02">
        <w:rPr>
          <w:bCs/>
          <w:iCs/>
        </w:rPr>
        <w:t xml:space="preserve">dospělých </w:t>
      </w:r>
      <w:r w:rsidRPr="001B4A02">
        <w:rPr>
          <w:bCs/>
          <w:iCs/>
        </w:rPr>
        <w:t xml:space="preserve">pacientů s neinfekční uveitidou </w:t>
      </w:r>
      <w:r w:rsidRPr="001B4A02">
        <w:t>byly protilátky proti adalimumabu identifikovány u </w:t>
      </w:r>
      <w:r w:rsidRPr="001B4A02">
        <w:rPr>
          <w:bCs/>
          <w:iCs/>
        </w:rPr>
        <w:t>4,8 % (12</w:t>
      </w:r>
      <w:r w:rsidR="00C06ED4" w:rsidRPr="001B4A02">
        <w:rPr>
          <w:bCs/>
          <w:iCs/>
        </w:rPr>
        <w:t xml:space="preserve"> z </w:t>
      </w:r>
      <w:r w:rsidRPr="001B4A02">
        <w:rPr>
          <w:bCs/>
          <w:iCs/>
        </w:rPr>
        <w:t>249) pacientů léčených adalimumabem.</w:t>
      </w:r>
    </w:p>
    <w:p w14:paraId="33EEECAA" w14:textId="77777777" w:rsidR="00E331EB" w:rsidRDefault="00E331EB" w:rsidP="00E331EB"/>
    <w:p w14:paraId="6FF9FD03" w14:textId="77777777" w:rsidR="00974EB9" w:rsidRPr="00D01607" w:rsidRDefault="00000000" w:rsidP="00974EB9">
      <w:pPr>
        <w:ind w:left="0" w:firstLine="0"/>
      </w:pPr>
      <w:r>
        <w:t>U </w:t>
      </w:r>
      <w:r w:rsidR="00457856" w:rsidRPr="001B4A02">
        <w:t xml:space="preserve">pediatrických </w:t>
      </w:r>
      <w:r>
        <w:t>pacientů se středně těžkou až těžkou aktivní ulcerózní kolitidou byl u</w:t>
      </w:r>
      <w:r w:rsidR="00457856" w:rsidRPr="001B4A02">
        <w:rPr>
          <w:szCs w:val="22"/>
        </w:rPr>
        <w:t> </w:t>
      </w:r>
      <w:r>
        <w:t>pacientů, kteří dostávali adalimumab, počet protilátek proti adalimumabu 3</w:t>
      </w:r>
      <w:r w:rsidR="00457856" w:rsidRPr="001B4A02">
        <w:rPr>
          <w:szCs w:val="22"/>
        </w:rPr>
        <w:t> </w:t>
      </w:r>
      <w:r>
        <w:t>%.</w:t>
      </w:r>
    </w:p>
    <w:p w14:paraId="646C5253" w14:textId="77777777" w:rsidR="00974EB9" w:rsidRDefault="00974EB9" w:rsidP="00ED48A3">
      <w:pPr>
        <w:pStyle w:val="EMEANormal"/>
        <w:rPr>
          <w:lang w:val="cs-CZ"/>
        </w:rPr>
      </w:pPr>
    </w:p>
    <w:p w14:paraId="2A9F2C45" w14:textId="77777777" w:rsidR="00E7724C" w:rsidRPr="001B4A02" w:rsidRDefault="00000000" w:rsidP="00ED48A3">
      <w:pPr>
        <w:pStyle w:val="EMEANormal"/>
        <w:rPr>
          <w:szCs w:val="22"/>
          <w:lang w:val="cs-CZ"/>
        </w:rPr>
      </w:pPr>
      <w:r w:rsidRPr="001B4A02">
        <w:rPr>
          <w:lang w:val="cs-CZ"/>
        </w:rPr>
        <w:t>Protože imunogenní analýzy jsou specifické pro příslušný přípravek, není možné kvantitativní srovnání proti jiným přípravkům.</w:t>
      </w:r>
    </w:p>
    <w:p w14:paraId="37721F0B" w14:textId="77777777" w:rsidR="006D751C" w:rsidRPr="001B4A02" w:rsidRDefault="006D751C" w:rsidP="00D427E8">
      <w:pPr>
        <w:pStyle w:val="EMEANormal"/>
        <w:rPr>
          <w:szCs w:val="22"/>
          <w:lang w:val="cs-CZ"/>
        </w:rPr>
      </w:pPr>
    </w:p>
    <w:p w14:paraId="301DC9E1" w14:textId="77777777" w:rsidR="00EB5C82" w:rsidRPr="001B4A02" w:rsidRDefault="00000000" w:rsidP="00D427E8">
      <w:pPr>
        <w:keepNext/>
        <w:ind w:left="0" w:firstLine="0"/>
        <w:rPr>
          <w:u w:val="single"/>
        </w:rPr>
      </w:pPr>
      <w:r w:rsidRPr="001B4A02">
        <w:rPr>
          <w:u w:val="single"/>
        </w:rPr>
        <w:t>Pediatrická populace</w:t>
      </w:r>
    </w:p>
    <w:p w14:paraId="01D69143" w14:textId="77777777" w:rsidR="00EB5C82" w:rsidRPr="001B4A02" w:rsidRDefault="00EB5C82" w:rsidP="003B610F">
      <w:pPr>
        <w:pStyle w:val="EMEAHeading2SPC"/>
        <w:keepNext/>
        <w:spacing w:beforeLines="0" w:afterLines="0"/>
        <w:outlineLvl w:val="9"/>
        <w:rPr>
          <w:rFonts w:ascii="Times New Roman" w:hAnsi="Times New Roman"/>
          <w:b w:val="0"/>
          <w:color w:val="000000"/>
          <w:szCs w:val="22"/>
          <w:lang w:val="cs-CZ"/>
        </w:rPr>
      </w:pPr>
    </w:p>
    <w:p w14:paraId="1F8F669F" w14:textId="77777777" w:rsidR="00E331EB" w:rsidRPr="001B4A02" w:rsidRDefault="00000000" w:rsidP="00E331EB">
      <w:pPr>
        <w:pStyle w:val="EMEANormal"/>
        <w:keepNext/>
        <w:rPr>
          <w:i/>
          <w:lang w:val="cs-CZ"/>
        </w:rPr>
      </w:pPr>
      <w:r w:rsidRPr="001B4A02">
        <w:rPr>
          <w:i/>
          <w:iCs/>
          <w:szCs w:val="22"/>
          <w:lang w:val="cs-CZ"/>
        </w:rPr>
        <w:t>Hidradenitis suppurativa u dospívajících</w:t>
      </w:r>
    </w:p>
    <w:p w14:paraId="5B60ACD7" w14:textId="77777777" w:rsidR="00E331EB" w:rsidRPr="001B4A02" w:rsidRDefault="00E331EB" w:rsidP="00E331EB">
      <w:pPr>
        <w:pStyle w:val="EMEANormal"/>
        <w:keepNext/>
        <w:rPr>
          <w:lang w:val="cs-CZ"/>
        </w:rPr>
      </w:pPr>
    </w:p>
    <w:p w14:paraId="26D3A519" w14:textId="77777777" w:rsidR="00E331EB" w:rsidRPr="001B4A02" w:rsidRDefault="00000000" w:rsidP="00E331EB">
      <w:pPr>
        <w:ind w:left="0" w:firstLine="0"/>
        <w:rPr>
          <w:rFonts w:eastAsia="Calibri"/>
          <w:szCs w:val="22"/>
        </w:rPr>
      </w:pPr>
      <w:r w:rsidRPr="001B4A02">
        <w:rPr>
          <w:szCs w:val="22"/>
        </w:rPr>
        <w:t>U dospívajících pacientů s HS nejsou k dispozici žádné klinické studie u přípravku Humira. Účinnost adalimumabu v léčbě dospívajících pacientů s HS je predikována na základě prokázané účinnosti</w:t>
      </w:r>
      <w:r w:rsidR="002378E0">
        <w:rPr>
          <w:szCs w:val="22"/>
        </w:rPr>
        <w:t xml:space="preserve"> a </w:t>
      </w:r>
      <w:r w:rsidRPr="001B4A02">
        <w:rPr>
          <w:szCs w:val="22"/>
        </w:rPr>
        <w:t>vztahu expozice-odpověď u dospělých pacientů s HS</w:t>
      </w:r>
      <w:r w:rsidR="002378E0">
        <w:rPr>
          <w:szCs w:val="22"/>
        </w:rPr>
        <w:t xml:space="preserve"> a </w:t>
      </w:r>
      <w:r w:rsidRPr="001B4A02">
        <w:rPr>
          <w:szCs w:val="22"/>
        </w:rPr>
        <w:t>pravděpodobnosti, že průběh onemocnění, patofyziologie</w:t>
      </w:r>
      <w:r w:rsidR="002378E0">
        <w:rPr>
          <w:szCs w:val="22"/>
        </w:rPr>
        <w:t xml:space="preserve"> a </w:t>
      </w:r>
      <w:r w:rsidRPr="001B4A02">
        <w:rPr>
          <w:szCs w:val="22"/>
        </w:rPr>
        <w:t>účinky léku budou značně podobné jako u dospělých se stejnými úrovněmi expozice. Bezpečnost doporučené dávky adalimumabu u dospívající populace s HS vychází z bezpečnostního profilu adalimumabu napříč indikacemi jak u dospělých, tak u pediatrických pacientů při podobných nebo častějších dávkách (viz bod 5.2).</w:t>
      </w:r>
    </w:p>
    <w:p w14:paraId="207186A0" w14:textId="77777777" w:rsidR="00E331EB" w:rsidRPr="001B4A02" w:rsidRDefault="00E331EB" w:rsidP="00E331EB">
      <w:pPr>
        <w:ind w:left="0" w:firstLine="0"/>
        <w:rPr>
          <w:i/>
        </w:rPr>
      </w:pPr>
    </w:p>
    <w:p w14:paraId="3E467A19" w14:textId="77777777" w:rsidR="00E331EB" w:rsidRPr="001B4A02" w:rsidRDefault="00000000" w:rsidP="00E331EB">
      <w:pPr>
        <w:keepNext/>
        <w:ind w:left="0" w:firstLine="0"/>
        <w:rPr>
          <w:i/>
        </w:rPr>
      </w:pPr>
      <w:r w:rsidRPr="001B4A02">
        <w:rPr>
          <w:i/>
        </w:rPr>
        <w:t>Crohnova choroba u pediatrických pacientů</w:t>
      </w:r>
    </w:p>
    <w:p w14:paraId="30C6DFFC" w14:textId="77777777" w:rsidR="00E331EB" w:rsidRPr="001B4A02" w:rsidRDefault="00E331EB" w:rsidP="00E331EB">
      <w:pPr>
        <w:keepNext/>
        <w:ind w:left="0" w:firstLine="0"/>
      </w:pPr>
    </w:p>
    <w:p w14:paraId="588B8449" w14:textId="77777777" w:rsidR="00E331EB" w:rsidRPr="001B4A02" w:rsidRDefault="00000000" w:rsidP="00E331EB">
      <w:pPr>
        <w:ind w:left="0" w:firstLine="0"/>
      </w:pPr>
      <w:r w:rsidRPr="001B4A02">
        <w:t>Přípravek Humira byl hodnocen v multicentrické, randomizované, dvojitě zaslepené klinické studii, zaměřené na hodnocení účinnosti</w:t>
      </w:r>
      <w:r w:rsidR="002378E0">
        <w:t xml:space="preserve"> a </w:t>
      </w:r>
      <w:r w:rsidRPr="001B4A02">
        <w:t>bezpečnosti úvodní</w:t>
      </w:r>
      <w:r w:rsidR="002378E0">
        <w:t xml:space="preserve"> a </w:t>
      </w:r>
      <w:r w:rsidRPr="001B4A02">
        <w:t>udržovací léčby s dávkováním v závislosti na tělesné hmotnosti (&lt; 40</w:t>
      </w:r>
      <w:r w:rsidR="002767FC">
        <w:rPr>
          <w:szCs w:val="22"/>
        </w:rPr>
        <w:t> kg</w:t>
      </w:r>
      <w:r w:rsidRPr="001B4A02">
        <w:t xml:space="preserve"> nebo ≥ 40</w:t>
      </w:r>
      <w:r w:rsidR="002767FC">
        <w:rPr>
          <w:szCs w:val="22"/>
        </w:rPr>
        <w:t> kg</w:t>
      </w:r>
      <w:r w:rsidRPr="001B4A02">
        <w:t>) u 192 pediatrických subjektů ve věkovém roz</w:t>
      </w:r>
      <w:r>
        <w:t>m</w:t>
      </w:r>
      <w:r w:rsidRPr="001B4A02">
        <w:t>ezí 6 až 17 let (včetně) se středně těžkou až těžkou Crohnovou chorobou (</w:t>
      </w:r>
      <w:r w:rsidRPr="001B4A02">
        <w:rPr>
          <w:szCs w:val="22"/>
        </w:rPr>
        <w:t>Crohn's Disease</w:t>
      </w:r>
      <w:r w:rsidRPr="001B4A02">
        <w:t>, CD), definovanou pediatrickým indexem aktivity Crohnovy choroby (PCDAI) se skóre &gt; 3</w:t>
      </w:r>
      <w:r>
        <w:t>0</w:t>
      </w:r>
      <w:r w:rsidRPr="001B4A02">
        <w:t>. Subjekty musely splňovat tato kritéria: musela u nich selhat konvenční léčba Crohnovy choroby (včetně kortikosteroidů a/nebo imunomodulátorů). Dále u nich muselo dojít ke ztrátě odpovědi na léčbu, nebo netolerovaly infliximab.</w:t>
      </w:r>
    </w:p>
    <w:p w14:paraId="7B5ED821" w14:textId="77777777" w:rsidR="00E331EB" w:rsidRPr="001B4A02" w:rsidRDefault="00E331EB" w:rsidP="00E331EB">
      <w:pPr>
        <w:ind w:left="0" w:firstLine="0"/>
      </w:pPr>
    </w:p>
    <w:p w14:paraId="0096749C" w14:textId="77777777" w:rsidR="00E331EB" w:rsidRPr="001B4A02" w:rsidRDefault="00000000" w:rsidP="00E331EB">
      <w:pPr>
        <w:tabs>
          <w:tab w:val="left" w:pos="1294"/>
        </w:tabs>
        <w:autoSpaceDE w:val="0"/>
        <w:autoSpaceDN w:val="0"/>
        <w:adjustRightInd w:val="0"/>
        <w:ind w:left="0" w:firstLine="0"/>
      </w:pPr>
      <w:r w:rsidRPr="001B4A02">
        <w:t>Všechny subjekty dostaly v otevřené fázi úvodní dávku v závislosti na jejich výchozí tělesné hmotnosti: 160</w:t>
      </w:r>
      <w:r w:rsidR="00874DE1" w:rsidRPr="00005EC2">
        <w:rPr>
          <w:szCs w:val="22"/>
        </w:rPr>
        <w:t> </w:t>
      </w:r>
      <w:r w:rsidRPr="001B4A02">
        <w:t>mg v týdnu 0</w:t>
      </w:r>
      <w:r w:rsidR="002378E0">
        <w:t xml:space="preserve"> a </w:t>
      </w:r>
      <w:r w:rsidRPr="001B4A02">
        <w:t>80</w:t>
      </w:r>
      <w:r w:rsidR="00874DE1" w:rsidRPr="00005EC2">
        <w:rPr>
          <w:szCs w:val="22"/>
        </w:rPr>
        <w:t> </w:t>
      </w:r>
      <w:r w:rsidRPr="001B4A02">
        <w:t>mg v týdnu 2 u subjektů ≥ 40</w:t>
      </w:r>
      <w:r w:rsidR="002767FC">
        <w:rPr>
          <w:szCs w:val="22"/>
        </w:rPr>
        <w:t> kg</w:t>
      </w:r>
      <w:r w:rsidR="002378E0">
        <w:t xml:space="preserve"> a </w:t>
      </w:r>
      <w:r w:rsidRPr="001B4A02">
        <w:t>80</w:t>
      </w:r>
      <w:r w:rsidR="00874DE1" w:rsidRPr="00005EC2">
        <w:rPr>
          <w:szCs w:val="22"/>
        </w:rPr>
        <w:t> </w:t>
      </w:r>
      <w:r w:rsidRPr="001B4A02">
        <w:t>mg v týdnu 0</w:t>
      </w:r>
      <w:r w:rsidR="002378E0">
        <w:t xml:space="preserve"> a </w:t>
      </w:r>
      <w:r w:rsidRPr="001B4A02">
        <w:t>40</w:t>
      </w:r>
      <w:r w:rsidR="00874DE1" w:rsidRPr="00005EC2">
        <w:rPr>
          <w:szCs w:val="22"/>
        </w:rPr>
        <w:t> </w:t>
      </w:r>
      <w:r w:rsidRPr="001B4A02">
        <w:t>mg v týdnu 2 u subjektů &lt; 40</w:t>
      </w:r>
      <w:r w:rsidR="002767FC">
        <w:rPr>
          <w:szCs w:val="22"/>
        </w:rPr>
        <w:t> kg</w:t>
      </w:r>
      <w:r w:rsidRPr="001B4A02">
        <w:t>.</w:t>
      </w:r>
    </w:p>
    <w:p w14:paraId="270439A6" w14:textId="77777777" w:rsidR="00E331EB" w:rsidRPr="001B4A02" w:rsidRDefault="00E331EB" w:rsidP="00E331EB">
      <w:pPr>
        <w:tabs>
          <w:tab w:val="left" w:pos="1294"/>
        </w:tabs>
        <w:autoSpaceDE w:val="0"/>
        <w:autoSpaceDN w:val="0"/>
        <w:adjustRightInd w:val="0"/>
      </w:pPr>
    </w:p>
    <w:p w14:paraId="682458E4" w14:textId="77777777" w:rsidR="00E331EB" w:rsidRPr="001B4A02" w:rsidRDefault="00000000" w:rsidP="00E331EB">
      <w:pPr>
        <w:pStyle w:val="EMEANormal"/>
        <w:rPr>
          <w:lang w:val="cs-CZ"/>
        </w:rPr>
      </w:pPr>
      <w:r w:rsidRPr="001B4A02">
        <w:rPr>
          <w:lang w:val="cs-CZ"/>
        </w:rPr>
        <w:t>V týdnu 4 byly subjekty randomizovány v poměru 1:1 v závislosti na jejich tělesné hmotnosti v daném čase</w:t>
      </w:r>
      <w:r w:rsidR="002378E0">
        <w:rPr>
          <w:lang w:val="cs-CZ"/>
        </w:rPr>
        <w:t xml:space="preserve"> a </w:t>
      </w:r>
      <w:r w:rsidRPr="001B4A02">
        <w:rPr>
          <w:lang w:val="cs-CZ"/>
        </w:rPr>
        <w:t xml:space="preserve">byla jim v režimu udržovací léčby podávána buď snížená dávka, nebo dávka standardní, jak je patrno v tabulce </w:t>
      </w:r>
      <w:r w:rsidR="002D74C7">
        <w:rPr>
          <w:lang w:val="cs-CZ"/>
        </w:rPr>
        <w:t>18</w:t>
      </w:r>
      <w:r w:rsidRPr="001B4A02">
        <w:rPr>
          <w:lang w:val="cs-CZ"/>
        </w:rPr>
        <w:t>.</w:t>
      </w:r>
    </w:p>
    <w:p w14:paraId="55730206" w14:textId="77777777" w:rsidR="00E331EB" w:rsidRPr="001B4A02" w:rsidRDefault="00E331EB" w:rsidP="00E331EB">
      <w:pPr>
        <w:pStyle w:val="EMEANormal"/>
        <w:rPr>
          <w:lang w:val="cs-CZ"/>
        </w:rPr>
      </w:pPr>
    </w:p>
    <w:tbl>
      <w:tblPr>
        <w:tblW w:w="0" w:type="auto"/>
        <w:jc w:val="center"/>
        <w:tblLook w:val="01E0" w:firstRow="1" w:lastRow="1" w:firstColumn="1" w:lastColumn="1" w:noHBand="0" w:noVBand="0"/>
      </w:tblPr>
      <w:tblGrid>
        <w:gridCol w:w="2317"/>
        <w:gridCol w:w="2686"/>
        <w:gridCol w:w="2748"/>
      </w:tblGrid>
      <w:tr w:rsidR="00534A2D" w14:paraId="7EB65E61" w14:textId="77777777" w:rsidTr="00E571F5">
        <w:trPr>
          <w:trHeight w:val="263"/>
          <w:jc w:val="center"/>
        </w:trPr>
        <w:tc>
          <w:tcPr>
            <w:tcW w:w="7751" w:type="dxa"/>
            <w:gridSpan w:val="3"/>
            <w:shd w:val="clear" w:color="auto" w:fill="auto"/>
          </w:tcPr>
          <w:p w14:paraId="38218496" w14:textId="77777777" w:rsidR="00E331EB" w:rsidRPr="001B4A02" w:rsidRDefault="00000000" w:rsidP="00E571F5">
            <w:pPr>
              <w:pStyle w:val="EMEANormal"/>
              <w:keepNext/>
              <w:jc w:val="center"/>
              <w:rPr>
                <w:b/>
                <w:szCs w:val="24"/>
                <w:lang w:val="cs-CZ"/>
              </w:rPr>
            </w:pPr>
            <w:r w:rsidRPr="001B4A02">
              <w:rPr>
                <w:b/>
                <w:szCs w:val="24"/>
                <w:lang w:val="cs-CZ"/>
              </w:rPr>
              <w:t xml:space="preserve">Tabulka </w:t>
            </w:r>
            <w:r w:rsidR="002D74C7">
              <w:rPr>
                <w:b/>
                <w:szCs w:val="24"/>
                <w:lang w:val="cs-CZ"/>
              </w:rPr>
              <w:t>1</w:t>
            </w:r>
            <w:r w:rsidR="002D74C7">
              <w:rPr>
                <w:b/>
                <w:szCs w:val="24"/>
              </w:rPr>
              <w:t>8</w:t>
            </w:r>
          </w:p>
          <w:p w14:paraId="78E83140" w14:textId="77777777" w:rsidR="00E331EB" w:rsidRPr="001B4A02" w:rsidRDefault="00000000" w:rsidP="00E571F5">
            <w:pPr>
              <w:pStyle w:val="EMEANormal"/>
              <w:keepNext/>
              <w:jc w:val="center"/>
              <w:rPr>
                <w:szCs w:val="24"/>
                <w:lang w:val="cs-CZ"/>
              </w:rPr>
            </w:pPr>
            <w:r w:rsidRPr="001B4A02">
              <w:rPr>
                <w:b/>
                <w:szCs w:val="24"/>
                <w:lang w:val="cs-CZ"/>
              </w:rPr>
              <w:t>Režim udržovací dávky</w:t>
            </w:r>
          </w:p>
        </w:tc>
      </w:tr>
      <w:tr w:rsidR="00534A2D" w14:paraId="7A21E2CE" w14:textId="77777777" w:rsidTr="00E571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317" w:type="dxa"/>
            <w:shd w:val="clear" w:color="auto" w:fill="auto"/>
          </w:tcPr>
          <w:p w14:paraId="354FB270" w14:textId="77777777" w:rsidR="00E331EB" w:rsidRPr="001B4A02" w:rsidRDefault="00000000" w:rsidP="00E571F5">
            <w:pPr>
              <w:pStyle w:val="EMEANormal"/>
              <w:rPr>
                <w:b/>
                <w:szCs w:val="24"/>
                <w:lang w:val="cs-CZ"/>
              </w:rPr>
            </w:pPr>
            <w:r w:rsidRPr="001B4A02">
              <w:rPr>
                <w:b/>
                <w:szCs w:val="24"/>
                <w:lang w:val="cs-CZ"/>
              </w:rPr>
              <w:t>Hmotnost pacienta</w:t>
            </w:r>
          </w:p>
        </w:tc>
        <w:tc>
          <w:tcPr>
            <w:tcW w:w="2686" w:type="dxa"/>
            <w:shd w:val="clear" w:color="auto" w:fill="auto"/>
          </w:tcPr>
          <w:p w14:paraId="4D7D4EA0" w14:textId="77777777" w:rsidR="00E331EB" w:rsidRPr="001B4A02" w:rsidRDefault="00000000" w:rsidP="00E571F5">
            <w:pPr>
              <w:pStyle w:val="EMEANormal"/>
              <w:jc w:val="center"/>
              <w:rPr>
                <w:b/>
                <w:szCs w:val="24"/>
                <w:lang w:val="cs-CZ"/>
              </w:rPr>
            </w:pPr>
            <w:r w:rsidRPr="001B4A02">
              <w:rPr>
                <w:b/>
                <w:szCs w:val="24"/>
                <w:lang w:val="cs-CZ"/>
              </w:rPr>
              <w:t>Snížená dávka</w:t>
            </w:r>
          </w:p>
        </w:tc>
        <w:tc>
          <w:tcPr>
            <w:tcW w:w="2748" w:type="dxa"/>
            <w:shd w:val="clear" w:color="auto" w:fill="auto"/>
          </w:tcPr>
          <w:p w14:paraId="5B3E2518" w14:textId="77777777" w:rsidR="00E331EB" w:rsidRPr="001B4A02" w:rsidRDefault="00000000" w:rsidP="00E571F5">
            <w:pPr>
              <w:pStyle w:val="EMEANormal"/>
              <w:jc w:val="center"/>
              <w:rPr>
                <w:b/>
                <w:szCs w:val="24"/>
                <w:lang w:val="cs-CZ"/>
              </w:rPr>
            </w:pPr>
            <w:r w:rsidRPr="001B4A02">
              <w:rPr>
                <w:b/>
                <w:szCs w:val="24"/>
                <w:lang w:val="cs-CZ"/>
              </w:rPr>
              <w:t>Standardní dávka</w:t>
            </w:r>
          </w:p>
        </w:tc>
      </w:tr>
      <w:tr w:rsidR="00534A2D" w14:paraId="57A54140" w14:textId="77777777" w:rsidTr="00E571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317" w:type="dxa"/>
            <w:shd w:val="clear" w:color="auto" w:fill="auto"/>
          </w:tcPr>
          <w:p w14:paraId="0106F7EB" w14:textId="77777777" w:rsidR="00E331EB" w:rsidRPr="001B4A02" w:rsidRDefault="00000000" w:rsidP="00E571F5">
            <w:pPr>
              <w:pStyle w:val="EMEANormal"/>
              <w:rPr>
                <w:szCs w:val="24"/>
                <w:lang w:val="cs-CZ"/>
              </w:rPr>
            </w:pPr>
            <w:r w:rsidRPr="001B4A02">
              <w:rPr>
                <w:szCs w:val="24"/>
                <w:lang w:val="cs-CZ"/>
              </w:rPr>
              <w:t>&lt; 40</w:t>
            </w:r>
            <w:r w:rsidR="002767FC">
              <w:rPr>
                <w:szCs w:val="22"/>
              </w:rPr>
              <w:t> kg</w:t>
            </w:r>
          </w:p>
        </w:tc>
        <w:tc>
          <w:tcPr>
            <w:tcW w:w="2686" w:type="dxa"/>
            <w:shd w:val="clear" w:color="auto" w:fill="auto"/>
          </w:tcPr>
          <w:p w14:paraId="0361A840" w14:textId="77777777" w:rsidR="00E331EB" w:rsidRPr="001B4A02" w:rsidRDefault="00000000" w:rsidP="00E571F5">
            <w:pPr>
              <w:pStyle w:val="EMEANormal"/>
              <w:jc w:val="center"/>
              <w:rPr>
                <w:szCs w:val="24"/>
                <w:lang w:val="cs-CZ"/>
              </w:rPr>
            </w:pPr>
            <w:r w:rsidRPr="001B4A02">
              <w:rPr>
                <w:szCs w:val="24"/>
                <w:lang w:val="cs-CZ"/>
              </w:rPr>
              <w:t>10</w:t>
            </w:r>
            <w:r w:rsidR="00874DE1" w:rsidRPr="00005EC2">
              <w:rPr>
                <w:szCs w:val="22"/>
              </w:rPr>
              <w:t> </w:t>
            </w:r>
            <w:r w:rsidRPr="001B4A02">
              <w:rPr>
                <w:szCs w:val="24"/>
                <w:lang w:val="cs-CZ"/>
              </w:rPr>
              <w:t>mg každý druhý týden</w:t>
            </w:r>
          </w:p>
        </w:tc>
        <w:tc>
          <w:tcPr>
            <w:tcW w:w="2748" w:type="dxa"/>
            <w:shd w:val="clear" w:color="auto" w:fill="auto"/>
          </w:tcPr>
          <w:p w14:paraId="5480435E" w14:textId="77777777" w:rsidR="00E331EB" w:rsidRPr="001B4A02" w:rsidRDefault="00000000" w:rsidP="00E571F5">
            <w:pPr>
              <w:pStyle w:val="EMEANormal"/>
              <w:jc w:val="center"/>
              <w:rPr>
                <w:szCs w:val="24"/>
                <w:lang w:val="cs-CZ"/>
              </w:rPr>
            </w:pPr>
            <w:r w:rsidRPr="001B4A02">
              <w:rPr>
                <w:szCs w:val="24"/>
                <w:lang w:val="cs-CZ"/>
              </w:rPr>
              <w:t>20</w:t>
            </w:r>
            <w:r w:rsidR="00874DE1" w:rsidRPr="00005EC2">
              <w:rPr>
                <w:szCs w:val="22"/>
              </w:rPr>
              <w:t> </w:t>
            </w:r>
            <w:r w:rsidRPr="001B4A02">
              <w:rPr>
                <w:szCs w:val="24"/>
                <w:lang w:val="cs-CZ"/>
              </w:rPr>
              <w:t>mg každý druhý týden</w:t>
            </w:r>
          </w:p>
        </w:tc>
      </w:tr>
      <w:tr w:rsidR="00534A2D" w14:paraId="21835DFF" w14:textId="77777777" w:rsidTr="00E571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317" w:type="dxa"/>
            <w:shd w:val="clear" w:color="auto" w:fill="auto"/>
          </w:tcPr>
          <w:p w14:paraId="79C51581" w14:textId="77777777" w:rsidR="00E331EB" w:rsidRPr="001B4A02" w:rsidRDefault="00000000" w:rsidP="00E571F5">
            <w:pPr>
              <w:pStyle w:val="EMEANormal"/>
              <w:rPr>
                <w:szCs w:val="24"/>
                <w:lang w:val="cs-CZ"/>
              </w:rPr>
            </w:pPr>
            <w:r w:rsidRPr="001B4A02">
              <w:rPr>
                <w:szCs w:val="24"/>
                <w:lang w:val="cs-CZ"/>
              </w:rPr>
              <w:t>≥ 40</w:t>
            </w:r>
            <w:r w:rsidR="002767FC">
              <w:rPr>
                <w:szCs w:val="22"/>
              </w:rPr>
              <w:t> kg</w:t>
            </w:r>
          </w:p>
        </w:tc>
        <w:tc>
          <w:tcPr>
            <w:tcW w:w="2686" w:type="dxa"/>
            <w:shd w:val="clear" w:color="auto" w:fill="auto"/>
          </w:tcPr>
          <w:p w14:paraId="18D6ED3A" w14:textId="77777777" w:rsidR="00E331EB" w:rsidRPr="001B4A02" w:rsidRDefault="00000000" w:rsidP="00E571F5">
            <w:pPr>
              <w:pStyle w:val="EMEANormal"/>
              <w:jc w:val="center"/>
              <w:rPr>
                <w:szCs w:val="24"/>
                <w:lang w:val="cs-CZ"/>
              </w:rPr>
            </w:pPr>
            <w:r w:rsidRPr="001B4A02">
              <w:rPr>
                <w:szCs w:val="24"/>
                <w:lang w:val="cs-CZ"/>
              </w:rPr>
              <w:t>20</w:t>
            </w:r>
            <w:r w:rsidR="00874DE1" w:rsidRPr="00005EC2">
              <w:rPr>
                <w:szCs w:val="22"/>
              </w:rPr>
              <w:t> </w:t>
            </w:r>
            <w:r w:rsidRPr="001B4A02">
              <w:rPr>
                <w:szCs w:val="24"/>
                <w:lang w:val="cs-CZ"/>
              </w:rPr>
              <w:t>mg každý druhý týden</w:t>
            </w:r>
          </w:p>
        </w:tc>
        <w:tc>
          <w:tcPr>
            <w:tcW w:w="2748" w:type="dxa"/>
            <w:shd w:val="clear" w:color="auto" w:fill="auto"/>
          </w:tcPr>
          <w:p w14:paraId="08578B30" w14:textId="77777777" w:rsidR="00E331EB" w:rsidRPr="001B4A02" w:rsidRDefault="00000000" w:rsidP="00E571F5">
            <w:pPr>
              <w:pStyle w:val="EMEANormal"/>
              <w:jc w:val="center"/>
              <w:rPr>
                <w:szCs w:val="24"/>
                <w:lang w:val="cs-CZ"/>
              </w:rPr>
            </w:pPr>
            <w:r w:rsidRPr="001B4A02">
              <w:rPr>
                <w:szCs w:val="24"/>
                <w:lang w:val="cs-CZ"/>
              </w:rPr>
              <w:t>40</w:t>
            </w:r>
            <w:r w:rsidR="00874DE1" w:rsidRPr="00005EC2">
              <w:rPr>
                <w:szCs w:val="22"/>
              </w:rPr>
              <w:t> </w:t>
            </w:r>
            <w:r w:rsidRPr="001B4A02">
              <w:rPr>
                <w:szCs w:val="24"/>
                <w:lang w:val="cs-CZ"/>
              </w:rPr>
              <w:t>mg každý druhý týden</w:t>
            </w:r>
          </w:p>
        </w:tc>
      </w:tr>
    </w:tbl>
    <w:p w14:paraId="47B9C3E5" w14:textId="77777777" w:rsidR="00E331EB" w:rsidRPr="001B4A02" w:rsidRDefault="00E331EB" w:rsidP="00E331EB">
      <w:pPr>
        <w:pStyle w:val="EMEANormal"/>
        <w:rPr>
          <w:szCs w:val="24"/>
          <w:lang w:val="cs-CZ"/>
        </w:rPr>
      </w:pPr>
    </w:p>
    <w:p w14:paraId="3C9D143D" w14:textId="77777777" w:rsidR="00E331EB" w:rsidRPr="001B4A02" w:rsidRDefault="00000000" w:rsidP="00E331EB">
      <w:pPr>
        <w:keepNext/>
        <w:ind w:left="0" w:firstLine="0"/>
        <w:rPr>
          <w:i/>
          <w:u w:val="single"/>
        </w:rPr>
      </w:pPr>
      <w:r w:rsidRPr="001B4A02">
        <w:rPr>
          <w:i/>
          <w:u w:val="single"/>
        </w:rPr>
        <w:t>Výsledky hodnocení účinnosti</w:t>
      </w:r>
    </w:p>
    <w:p w14:paraId="711E3F26" w14:textId="77777777" w:rsidR="00E331EB" w:rsidRPr="001B4A02" w:rsidRDefault="00E331EB" w:rsidP="00E331EB">
      <w:pPr>
        <w:pStyle w:val="EMEANormal"/>
        <w:keepNext/>
        <w:rPr>
          <w:szCs w:val="24"/>
          <w:lang w:val="cs-CZ"/>
        </w:rPr>
      </w:pPr>
    </w:p>
    <w:p w14:paraId="30699096" w14:textId="77777777" w:rsidR="00E331EB" w:rsidRPr="001B4A02" w:rsidRDefault="00000000" w:rsidP="00E331EB">
      <w:pPr>
        <w:ind w:left="0" w:firstLine="0"/>
      </w:pPr>
      <w:r w:rsidRPr="001B4A02">
        <w:t>Primárním cílem studie bylo dosažení klinické remise v týdnu 26, definované jako skóre PCDAI ≤ 10.</w:t>
      </w:r>
    </w:p>
    <w:p w14:paraId="5CDCA707" w14:textId="77777777" w:rsidR="00E331EB" w:rsidRPr="001B4A02" w:rsidRDefault="00E331EB" w:rsidP="00E331EB">
      <w:pPr>
        <w:ind w:left="0" w:firstLine="0"/>
      </w:pPr>
    </w:p>
    <w:p w14:paraId="18009DE6" w14:textId="77777777" w:rsidR="00E331EB" w:rsidRPr="001B4A02" w:rsidRDefault="00000000" w:rsidP="00E331EB">
      <w:pPr>
        <w:autoSpaceDE w:val="0"/>
        <w:autoSpaceDN w:val="0"/>
        <w:adjustRightInd w:val="0"/>
        <w:ind w:left="0" w:firstLine="0"/>
      </w:pPr>
      <w:r w:rsidRPr="001B4A02">
        <w:t>Rozsah klinické remise</w:t>
      </w:r>
      <w:r w:rsidR="002378E0">
        <w:t xml:space="preserve"> a </w:t>
      </w:r>
      <w:r w:rsidRPr="001B4A02">
        <w:t xml:space="preserve">klinické odpovědi (definované jako snížení skóre PCDAI o minimálně 15 bodů v porovnání s výchozím stavem) je prezentován v tabulce </w:t>
      </w:r>
      <w:r w:rsidR="002D74C7">
        <w:t>19</w:t>
      </w:r>
      <w:r w:rsidRPr="001B4A02">
        <w:t xml:space="preserve">. Rozsah míry vysazení kortikosteroidů nebo imunomodulátorů je prezentován v tabulce </w:t>
      </w:r>
      <w:r w:rsidR="002D74C7">
        <w:t>20</w:t>
      </w:r>
      <w:r w:rsidRPr="001B4A02">
        <w:t>.</w:t>
      </w:r>
    </w:p>
    <w:p w14:paraId="6AB638AC" w14:textId="77777777" w:rsidR="00E331EB" w:rsidRPr="001B4A02" w:rsidRDefault="00E331EB" w:rsidP="00E331EB">
      <w:pPr>
        <w:autoSpaceDE w:val="0"/>
        <w:autoSpaceDN w:val="0"/>
        <w:adjustRightInd w:val="0"/>
        <w:ind w:left="0" w:firstLine="0"/>
      </w:pPr>
    </w:p>
    <w:tbl>
      <w:tblPr>
        <w:tblW w:w="0" w:type="auto"/>
        <w:jc w:val="center"/>
        <w:tblCellMar>
          <w:left w:w="0" w:type="dxa"/>
          <w:right w:w="0" w:type="dxa"/>
        </w:tblCellMar>
        <w:tblLook w:val="00A0" w:firstRow="1" w:lastRow="0" w:firstColumn="1" w:lastColumn="0" w:noHBand="0" w:noVBand="0"/>
      </w:tblPr>
      <w:tblGrid>
        <w:gridCol w:w="2977"/>
        <w:gridCol w:w="2393"/>
        <w:gridCol w:w="2272"/>
        <w:gridCol w:w="1413"/>
      </w:tblGrid>
      <w:tr w:rsidR="00534A2D" w14:paraId="6DFB09FA" w14:textId="77777777" w:rsidTr="00E571F5">
        <w:trPr>
          <w:jc w:val="center"/>
        </w:trPr>
        <w:tc>
          <w:tcPr>
            <w:tcW w:w="9124" w:type="dxa"/>
            <w:gridSpan w:val="4"/>
            <w:tcBorders>
              <w:top w:val="single" w:sz="6" w:space="0" w:color="000000"/>
              <w:left w:val="single" w:sz="6" w:space="0" w:color="000000"/>
              <w:bottom w:val="single" w:sz="6" w:space="0" w:color="000000"/>
              <w:right w:val="single" w:sz="6" w:space="0" w:color="000000"/>
            </w:tcBorders>
          </w:tcPr>
          <w:p w14:paraId="6BA9208F" w14:textId="77777777" w:rsidR="00E331EB" w:rsidRPr="001B4A02" w:rsidRDefault="00000000" w:rsidP="00E571F5">
            <w:pPr>
              <w:keepNext/>
              <w:tabs>
                <w:tab w:val="left" w:pos="-878"/>
              </w:tabs>
              <w:autoSpaceDE w:val="0"/>
              <w:autoSpaceDN w:val="0"/>
              <w:adjustRightInd w:val="0"/>
              <w:jc w:val="center"/>
              <w:rPr>
                <w:b/>
                <w:bCs/>
                <w:szCs w:val="22"/>
              </w:rPr>
            </w:pPr>
            <w:r w:rsidRPr="001B4A02">
              <w:rPr>
                <w:b/>
                <w:bCs/>
                <w:szCs w:val="22"/>
              </w:rPr>
              <w:t xml:space="preserve">Tabulka </w:t>
            </w:r>
            <w:r w:rsidR="002D74C7">
              <w:rPr>
                <w:b/>
                <w:bCs/>
                <w:szCs w:val="22"/>
              </w:rPr>
              <w:t>19</w:t>
            </w:r>
          </w:p>
          <w:p w14:paraId="5252F460" w14:textId="77777777" w:rsidR="00E331EB" w:rsidRPr="001B4A02" w:rsidRDefault="00000000" w:rsidP="00E571F5">
            <w:pPr>
              <w:keepNext/>
              <w:tabs>
                <w:tab w:val="left" w:pos="-878"/>
              </w:tabs>
              <w:autoSpaceDE w:val="0"/>
              <w:autoSpaceDN w:val="0"/>
              <w:adjustRightInd w:val="0"/>
              <w:jc w:val="center"/>
              <w:rPr>
                <w:b/>
                <w:bCs/>
                <w:szCs w:val="22"/>
              </w:rPr>
            </w:pPr>
            <w:r w:rsidRPr="001B4A02">
              <w:rPr>
                <w:b/>
                <w:bCs/>
                <w:szCs w:val="22"/>
              </w:rPr>
              <w:t>Studie u pediatrických pacientů s Crohnovou chorobou</w:t>
            </w:r>
          </w:p>
          <w:p w14:paraId="5375EC67" w14:textId="77777777" w:rsidR="00E331EB" w:rsidRPr="001B4A02" w:rsidRDefault="00000000" w:rsidP="00E571F5">
            <w:pPr>
              <w:keepNext/>
              <w:tabs>
                <w:tab w:val="left" w:pos="-878"/>
              </w:tabs>
              <w:autoSpaceDE w:val="0"/>
              <w:autoSpaceDN w:val="0"/>
              <w:adjustRightInd w:val="0"/>
              <w:jc w:val="center"/>
              <w:rPr>
                <w:b/>
                <w:bCs/>
                <w:szCs w:val="22"/>
              </w:rPr>
            </w:pPr>
            <w:r w:rsidRPr="001B4A02">
              <w:rPr>
                <w:b/>
                <w:bCs/>
                <w:szCs w:val="22"/>
              </w:rPr>
              <w:t>PCDAI klinická remise</w:t>
            </w:r>
            <w:r w:rsidR="002378E0">
              <w:rPr>
                <w:b/>
                <w:bCs/>
                <w:szCs w:val="22"/>
              </w:rPr>
              <w:t xml:space="preserve"> a </w:t>
            </w:r>
            <w:r w:rsidRPr="001B4A02">
              <w:rPr>
                <w:b/>
                <w:bCs/>
                <w:szCs w:val="22"/>
              </w:rPr>
              <w:t>odpověď</w:t>
            </w:r>
          </w:p>
        </w:tc>
      </w:tr>
      <w:tr w:rsidR="00534A2D" w14:paraId="40FABA70" w14:textId="77777777" w:rsidTr="00E571F5">
        <w:trPr>
          <w:jc w:val="center"/>
        </w:trPr>
        <w:tc>
          <w:tcPr>
            <w:tcW w:w="3004" w:type="dxa"/>
            <w:tcBorders>
              <w:top w:val="single" w:sz="6" w:space="0" w:color="000000"/>
              <w:left w:val="single" w:sz="6" w:space="0" w:color="000000"/>
              <w:bottom w:val="single" w:sz="6" w:space="0" w:color="000000"/>
              <w:right w:val="single" w:sz="6" w:space="0" w:color="000000"/>
            </w:tcBorders>
          </w:tcPr>
          <w:p w14:paraId="52BA9E80" w14:textId="77777777" w:rsidR="00E331EB" w:rsidRPr="001B4A02" w:rsidRDefault="00E331EB" w:rsidP="00E571F5">
            <w:pPr>
              <w:keepNext/>
              <w:keepLines/>
              <w:tabs>
                <w:tab w:val="left" w:pos="-1080"/>
              </w:tabs>
              <w:autoSpaceDE w:val="0"/>
              <w:autoSpaceDN w:val="0"/>
              <w:adjustRightInd w:val="0"/>
              <w:jc w:val="center"/>
              <w:rPr>
                <w:b/>
                <w:bCs/>
                <w:szCs w:val="22"/>
              </w:rPr>
            </w:pPr>
          </w:p>
        </w:tc>
        <w:tc>
          <w:tcPr>
            <w:tcW w:w="2410" w:type="dxa"/>
            <w:tcBorders>
              <w:top w:val="single" w:sz="6" w:space="0" w:color="000000"/>
              <w:left w:val="single" w:sz="6" w:space="0" w:color="000000"/>
              <w:bottom w:val="single" w:sz="6" w:space="0" w:color="000000"/>
              <w:right w:val="single" w:sz="6" w:space="0" w:color="000000"/>
            </w:tcBorders>
          </w:tcPr>
          <w:p w14:paraId="5C5F76E1" w14:textId="77777777" w:rsidR="00E331EB"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Standardní dávka</w:t>
            </w:r>
          </w:p>
          <w:p w14:paraId="55608288" w14:textId="77777777" w:rsidR="00E331EB"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40/20</w:t>
            </w:r>
            <w:r w:rsidR="00874DE1" w:rsidRPr="00005EC2">
              <w:rPr>
                <w:szCs w:val="22"/>
              </w:rPr>
              <w:t> </w:t>
            </w:r>
            <w:r w:rsidRPr="001B4A02">
              <w:rPr>
                <w:b/>
                <w:bCs/>
                <w:szCs w:val="22"/>
              </w:rPr>
              <w:t>mg</w:t>
            </w:r>
          </w:p>
          <w:p w14:paraId="727C91B7" w14:textId="77777777" w:rsidR="00E331EB"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každý druhý týden</w:t>
            </w:r>
          </w:p>
          <w:p w14:paraId="2FEF126B" w14:textId="77777777" w:rsidR="00E331EB" w:rsidRPr="001B4A02" w:rsidRDefault="00000000" w:rsidP="00E571F5">
            <w:pPr>
              <w:keepNext/>
              <w:keepLines/>
              <w:tabs>
                <w:tab w:val="left" w:pos="-1080"/>
              </w:tabs>
              <w:autoSpaceDE w:val="0"/>
              <w:autoSpaceDN w:val="0"/>
              <w:adjustRightInd w:val="0"/>
              <w:ind w:left="0" w:firstLine="0"/>
              <w:jc w:val="center"/>
              <w:rPr>
                <w:b/>
                <w:bCs/>
                <w:szCs w:val="22"/>
              </w:rPr>
            </w:pPr>
            <w:r>
              <w:rPr>
                <w:b/>
                <w:bCs/>
                <w:szCs w:val="22"/>
              </w:rPr>
              <w:t>n</w:t>
            </w:r>
            <w:r w:rsidRPr="001B4A02">
              <w:rPr>
                <w:b/>
                <w:bCs/>
                <w:szCs w:val="22"/>
              </w:rPr>
              <w:t>=93</w:t>
            </w:r>
          </w:p>
        </w:tc>
        <w:tc>
          <w:tcPr>
            <w:tcW w:w="2290" w:type="dxa"/>
            <w:tcBorders>
              <w:top w:val="single" w:sz="6" w:space="0" w:color="000000"/>
              <w:left w:val="single" w:sz="6" w:space="0" w:color="000000"/>
              <w:bottom w:val="single" w:sz="6" w:space="0" w:color="000000"/>
              <w:right w:val="single" w:sz="6" w:space="0" w:color="000000"/>
            </w:tcBorders>
          </w:tcPr>
          <w:p w14:paraId="01A24CF2" w14:textId="77777777" w:rsidR="00E331EB"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Snížená dávka</w:t>
            </w:r>
          </w:p>
          <w:p w14:paraId="4A6E8A9F" w14:textId="77777777" w:rsidR="00E331EB"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20/10</w:t>
            </w:r>
            <w:r w:rsidR="00874DE1" w:rsidRPr="00005EC2">
              <w:rPr>
                <w:szCs w:val="22"/>
              </w:rPr>
              <w:t> </w:t>
            </w:r>
            <w:r w:rsidRPr="001B4A02">
              <w:rPr>
                <w:b/>
                <w:bCs/>
                <w:szCs w:val="22"/>
              </w:rPr>
              <w:t>mg</w:t>
            </w:r>
          </w:p>
          <w:p w14:paraId="0DC8E423" w14:textId="77777777" w:rsidR="00E331EB"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každý druhý týden</w:t>
            </w:r>
          </w:p>
          <w:p w14:paraId="6EE4C0A5" w14:textId="77777777" w:rsidR="00E331EB" w:rsidRPr="001B4A02" w:rsidRDefault="00000000" w:rsidP="00E571F5">
            <w:pPr>
              <w:keepNext/>
              <w:keepLines/>
              <w:tabs>
                <w:tab w:val="left" w:pos="-1080"/>
              </w:tabs>
              <w:autoSpaceDE w:val="0"/>
              <w:autoSpaceDN w:val="0"/>
              <w:adjustRightInd w:val="0"/>
              <w:ind w:left="0" w:firstLine="0"/>
              <w:jc w:val="center"/>
              <w:rPr>
                <w:b/>
                <w:bCs/>
                <w:szCs w:val="22"/>
              </w:rPr>
            </w:pPr>
            <w:r>
              <w:rPr>
                <w:b/>
                <w:bCs/>
                <w:szCs w:val="22"/>
              </w:rPr>
              <w:t>n</w:t>
            </w:r>
            <w:r w:rsidRPr="001B4A02">
              <w:rPr>
                <w:b/>
                <w:bCs/>
                <w:szCs w:val="22"/>
              </w:rPr>
              <w:t>=9</w:t>
            </w:r>
            <w:r>
              <w:rPr>
                <w:b/>
                <w:bCs/>
                <w:szCs w:val="22"/>
              </w:rPr>
              <w:t>5</w:t>
            </w:r>
          </w:p>
        </w:tc>
        <w:tc>
          <w:tcPr>
            <w:tcW w:w="1420" w:type="dxa"/>
            <w:tcBorders>
              <w:top w:val="single" w:sz="6" w:space="0" w:color="000000"/>
              <w:left w:val="single" w:sz="6" w:space="0" w:color="000000"/>
              <w:bottom w:val="single" w:sz="6" w:space="0" w:color="000000"/>
              <w:right w:val="single" w:sz="6" w:space="0" w:color="000000"/>
            </w:tcBorders>
          </w:tcPr>
          <w:p w14:paraId="58BF610B" w14:textId="77777777" w:rsidR="00E331EB" w:rsidRPr="001B4A02" w:rsidRDefault="00000000" w:rsidP="00E571F5">
            <w:pPr>
              <w:keepNext/>
              <w:keepLines/>
              <w:tabs>
                <w:tab w:val="left" w:pos="-1080"/>
              </w:tabs>
              <w:autoSpaceDE w:val="0"/>
              <w:autoSpaceDN w:val="0"/>
              <w:adjustRightInd w:val="0"/>
              <w:ind w:left="0" w:firstLine="0"/>
              <w:jc w:val="center"/>
              <w:rPr>
                <w:b/>
                <w:bCs/>
                <w:szCs w:val="22"/>
              </w:rPr>
            </w:pPr>
            <w:r w:rsidRPr="001B4A02">
              <w:rPr>
                <w:b/>
                <w:bCs/>
                <w:szCs w:val="22"/>
              </w:rPr>
              <w:t>P hodnota</w:t>
            </w:r>
            <w:r w:rsidRPr="001B4A02">
              <w:rPr>
                <w:b/>
                <w:bCs/>
                <w:szCs w:val="22"/>
                <w:vertAlign w:val="superscript"/>
              </w:rPr>
              <w:t>*</w:t>
            </w:r>
          </w:p>
        </w:tc>
      </w:tr>
      <w:tr w:rsidR="00534A2D" w14:paraId="391BFC02" w14:textId="77777777" w:rsidTr="00E571F5">
        <w:trPr>
          <w:jc w:val="center"/>
        </w:trPr>
        <w:tc>
          <w:tcPr>
            <w:tcW w:w="3004" w:type="dxa"/>
            <w:tcBorders>
              <w:top w:val="single" w:sz="6" w:space="0" w:color="000000"/>
              <w:left w:val="single" w:sz="6" w:space="0" w:color="000000"/>
              <w:bottom w:val="single" w:sz="6" w:space="0" w:color="000000"/>
              <w:right w:val="single" w:sz="6" w:space="0" w:color="000000"/>
            </w:tcBorders>
            <w:vAlign w:val="bottom"/>
          </w:tcPr>
          <w:p w14:paraId="6DCF338D" w14:textId="77777777" w:rsidR="00E331EB" w:rsidRPr="001B4A02" w:rsidRDefault="00000000" w:rsidP="00E571F5">
            <w:pPr>
              <w:keepNext/>
              <w:keepLines/>
              <w:autoSpaceDE w:val="0"/>
              <w:autoSpaceDN w:val="0"/>
              <w:adjustRightInd w:val="0"/>
              <w:ind w:left="0" w:firstLine="0"/>
              <w:rPr>
                <w:b/>
                <w:szCs w:val="22"/>
              </w:rPr>
            </w:pPr>
            <w:r w:rsidRPr="001B4A02">
              <w:rPr>
                <w:b/>
                <w:szCs w:val="22"/>
              </w:rPr>
              <w:t>Týden 26</w:t>
            </w:r>
          </w:p>
        </w:tc>
        <w:tc>
          <w:tcPr>
            <w:tcW w:w="2410" w:type="dxa"/>
            <w:tcBorders>
              <w:top w:val="single" w:sz="6" w:space="0" w:color="000000"/>
              <w:left w:val="single" w:sz="6" w:space="0" w:color="000000"/>
              <w:bottom w:val="single" w:sz="6" w:space="0" w:color="000000"/>
              <w:right w:val="single" w:sz="6" w:space="0" w:color="000000"/>
            </w:tcBorders>
            <w:vAlign w:val="bottom"/>
          </w:tcPr>
          <w:p w14:paraId="40F99265" w14:textId="77777777" w:rsidR="00E331EB" w:rsidRPr="001B4A02" w:rsidRDefault="00E331EB" w:rsidP="00E571F5">
            <w:pPr>
              <w:keepNext/>
              <w:keepLines/>
              <w:tabs>
                <w:tab w:val="left" w:pos="-1080"/>
              </w:tabs>
              <w:autoSpaceDE w:val="0"/>
              <w:autoSpaceDN w:val="0"/>
              <w:adjustRightInd w:val="0"/>
              <w:ind w:left="0" w:firstLine="0"/>
              <w:jc w:val="center"/>
              <w:rPr>
                <w:b/>
                <w:szCs w:val="22"/>
              </w:rPr>
            </w:pPr>
          </w:p>
        </w:tc>
        <w:tc>
          <w:tcPr>
            <w:tcW w:w="2290" w:type="dxa"/>
            <w:tcBorders>
              <w:top w:val="single" w:sz="6" w:space="0" w:color="000000"/>
              <w:left w:val="single" w:sz="6" w:space="0" w:color="000000"/>
              <w:bottom w:val="single" w:sz="6" w:space="0" w:color="000000"/>
              <w:right w:val="single" w:sz="6" w:space="0" w:color="000000"/>
            </w:tcBorders>
            <w:vAlign w:val="bottom"/>
          </w:tcPr>
          <w:p w14:paraId="4172155E" w14:textId="77777777" w:rsidR="00E331EB" w:rsidRPr="001B4A02" w:rsidRDefault="00E331EB" w:rsidP="00E571F5">
            <w:pPr>
              <w:keepNext/>
              <w:keepLines/>
              <w:tabs>
                <w:tab w:val="left" w:pos="-1080"/>
              </w:tabs>
              <w:autoSpaceDE w:val="0"/>
              <w:autoSpaceDN w:val="0"/>
              <w:adjustRightInd w:val="0"/>
              <w:ind w:left="0" w:firstLine="0"/>
              <w:jc w:val="center"/>
              <w:rPr>
                <w:b/>
                <w:szCs w:val="22"/>
              </w:rPr>
            </w:pPr>
          </w:p>
        </w:tc>
        <w:tc>
          <w:tcPr>
            <w:tcW w:w="1420" w:type="dxa"/>
            <w:tcBorders>
              <w:top w:val="single" w:sz="6" w:space="0" w:color="000000"/>
              <w:left w:val="single" w:sz="6" w:space="0" w:color="000000"/>
              <w:bottom w:val="single" w:sz="6" w:space="0" w:color="000000"/>
              <w:right w:val="single" w:sz="6" w:space="0" w:color="000000"/>
            </w:tcBorders>
            <w:vAlign w:val="bottom"/>
          </w:tcPr>
          <w:p w14:paraId="50AA8779" w14:textId="77777777" w:rsidR="00E331EB" w:rsidRPr="001B4A02" w:rsidRDefault="00E331EB" w:rsidP="00E571F5">
            <w:pPr>
              <w:keepNext/>
              <w:autoSpaceDE w:val="0"/>
              <w:autoSpaceDN w:val="0"/>
              <w:adjustRightInd w:val="0"/>
              <w:ind w:left="0" w:firstLine="0"/>
              <w:jc w:val="center"/>
              <w:rPr>
                <w:szCs w:val="22"/>
              </w:rPr>
            </w:pPr>
          </w:p>
        </w:tc>
      </w:tr>
      <w:tr w:rsidR="00534A2D" w14:paraId="0426398E" w14:textId="77777777" w:rsidTr="00E571F5">
        <w:trPr>
          <w:jc w:val="center"/>
        </w:trPr>
        <w:tc>
          <w:tcPr>
            <w:tcW w:w="3004" w:type="dxa"/>
            <w:tcBorders>
              <w:top w:val="single" w:sz="6" w:space="0" w:color="000000"/>
              <w:left w:val="single" w:sz="6" w:space="0" w:color="000000"/>
              <w:bottom w:val="single" w:sz="6" w:space="0" w:color="000000"/>
              <w:right w:val="single" w:sz="6" w:space="0" w:color="000000"/>
            </w:tcBorders>
            <w:vAlign w:val="bottom"/>
          </w:tcPr>
          <w:p w14:paraId="019FA469" w14:textId="77777777" w:rsidR="00E331EB" w:rsidRPr="001B4A02" w:rsidRDefault="00000000" w:rsidP="00E571F5">
            <w:pPr>
              <w:keepNext/>
              <w:keepLines/>
              <w:autoSpaceDE w:val="0"/>
              <w:autoSpaceDN w:val="0"/>
              <w:adjustRightInd w:val="0"/>
              <w:ind w:left="0" w:firstLine="0"/>
              <w:rPr>
                <w:bCs/>
                <w:szCs w:val="22"/>
              </w:rPr>
            </w:pPr>
            <w:r w:rsidRPr="001B4A02">
              <w:rPr>
                <w:bCs/>
                <w:szCs w:val="22"/>
              </w:rPr>
              <w:t>Klinická remise</w:t>
            </w:r>
          </w:p>
        </w:tc>
        <w:tc>
          <w:tcPr>
            <w:tcW w:w="2410" w:type="dxa"/>
            <w:tcBorders>
              <w:top w:val="single" w:sz="6" w:space="0" w:color="000000"/>
              <w:left w:val="single" w:sz="6" w:space="0" w:color="000000"/>
              <w:bottom w:val="single" w:sz="6" w:space="0" w:color="000000"/>
              <w:right w:val="single" w:sz="6" w:space="0" w:color="000000"/>
            </w:tcBorders>
            <w:vAlign w:val="bottom"/>
          </w:tcPr>
          <w:p w14:paraId="6472EECA" w14:textId="77777777" w:rsidR="00E331EB"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38,7</w:t>
            </w:r>
            <w:r>
              <w:rPr>
                <w:szCs w:val="22"/>
              </w:rPr>
              <w:t> %</w:t>
            </w:r>
          </w:p>
        </w:tc>
        <w:tc>
          <w:tcPr>
            <w:tcW w:w="2290" w:type="dxa"/>
            <w:tcBorders>
              <w:top w:val="single" w:sz="6" w:space="0" w:color="000000"/>
              <w:left w:val="single" w:sz="6" w:space="0" w:color="000000"/>
              <w:bottom w:val="single" w:sz="6" w:space="0" w:color="000000"/>
              <w:right w:val="single" w:sz="6" w:space="0" w:color="000000"/>
            </w:tcBorders>
            <w:vAlign w:val="bottom"/>
          </w:tcPr>
          <w:p w14:paraId="283FA064" w14:textId="77777777" w:rsidR="00E331EB"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28,4</w:t>
            </w:r>
            <w:r>
              <w:rPr>
                <w:szCs w:val="22"/>
              </w:rPr>
              <w:t> %</w:t>
            </w:r>
          </w:p>
        </w:tc>
        <w:tc>
          <w:tcPr>
            <w:tcW w:w="1420" w:type="dxa"/>
            <w:tcBorders>
              <w:top w:val="single" w:sz="6" w:space="0" w:color="000000"/>
              <w:left w:val="single" w:sz="6" w:space="0" w:color="000000"/>
              <w:bottom w:val="single" w:sz="6" w:space="0" w:color="000000"/>
              <w:right w:val="single" w:sz="6" w:space="0" w:color="000000"/>
            </w:tcBorders>
            <w:vAlign w:val="bottom"/>
          </w:tcPr>
          <w:p w14:paraId="2BF8D593" w14:textId="77777777" w:rsidR="00E331EB"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0,075</w:t>
            </w:r>
          </w:p>
        </w:tc>
      </w:tr>
      <w:tr w:rsidR="00534A2D" w14:paraId="433A8AB8" w14:textId="77777777" w:rsidTr="00E571F5">
        <w:trPr>
          <w:jc w:val="center"/>
        </w:trPr>
        <w:tc>
          <w:tcPr>
            <w:tcW w:w="3004" w:type="dxa"/>
            <w:tcBorders>
              <w:top w:val="single" w:sz="6" w:space="0" w:color="000000"/>
              <w:left w:val="single" w:sz="6" w:space="0" w:color="000000"/>
              <w:bottom w:val="single" w:sz="6" w:space="0" w:color="000000"/>
              <w:right w:val="single" w:sz="6" w:space="0" w:color="000000"/>
            </w:tcBorders>
            <w:vAlign w:val="bottom"/>
          </w:tcPr>
          <w:p w14:paraId="497AA532" w14:textId="77777777" w:rsidR="00E331EB" w:rsidRPr="001B4A02" w:rsidRDefault="00000000" w:rsidP="00E571F5">
            <w:pPr>
              <w:keepNext/>
              <w:keepLines/>
              <w:autoSpaceDE w:val="0"/>
              <w:autoSpaceDN w:val="0"/>
              <w:adjustRightInd w:val="0"/>
              <w:ind w:left="0" w:firstLine="0"/>
              <w:rPr>
                <w:bCs/>
                <w:szCs w:val="22"/>
              </w:rPr>
            </w:pPr>
            <w:r w:rsidRPr="001B4A02">
              <w:rPr>
                <w:bCs/>
                <w:szCs w:val="22"/>
              </w:rPr>
              <w:t>Klinická odpověď</w:t>
            </w:r>
          </w:p>
        </w:tc>
        <w:tc>
          <w:tcPr>
            <w:tcW w:w="2410" w:type="dxa"/>
            <w:tcBorders>
              <w:top w:val="single" w:sz="6" w:space="0" w:color="000000"/>
              <w:left w:val="single" w:sz="6" w:space="0" w:color="000000"/>
              <w:bottom w:val="single" w:sz="6" w:space="0" w:color="000000"/>
              <w:right w:val="single" w:sz="6" w:space="0" w:color="000000"/>
            </w:tcBorders>
          </w:tcPr>
          <w:p w14:paraId="01205A3E" w14:textId="77777777" w:rsidR="00E331EB"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59,1</w:t>
            </w:r>
            <w:r>
              <w:rPr>
                <w:szCs w:val="22"/>
              </w:rPr>
              <w:t> %</w:t>
            </w:r>
          </w:p>
        </w:tc>
        <w:tc>
          <w:tcPr>
            <w:tcW w:w="2290" w:type="dxa"/>
            <w:tcBorders>
              <w:top w:val="single" w:sz="6" w:space="0" w:color="000000"/>
              <w:left w:val="single" w:sz="6" w:space="0" w:color="000000"/>
              <w:bottom w:val="single" w:sz="6" w:space="0" w:color="000000"/>
              <w:right w:val="single" w:sz="6" w:space="0" w:color="000000"/>
            </w:tcBorders>
          </w:tcPr>
          <w:p w14:paraId="51329F4A" w14:textId="77777777" w:rsidR="00E331EB"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48,4</w:t>
            </w:r>
            <w:r>
              <w:rPr>
                <w:szCs w:val="22"/>
              </w:rPr>
              <w:t> %</w:t>
            </w:r>
          </w:p>
        </w:tc>
        <w:tc>
          <w:tcPr>
            <w:tcW w:w="1420" w:type="dxa"/>
            <w:tcBorders>
              <w:top w:val="single" w:sz="6" w:space="0" w:color="000000"/>
              <w:left w:val="single" w:sz="6" w:space="0" w:color="000000"/>
              <w:bottom w:val="single" w:sz="6" w:space="0" w:color="000000"/>
              <w:right w:val="single" w:sz="6" w:space="0" w:color="000000"/>
            </w:tcBorders>
            <w:vAlign w:val="bottom"/>
          </w:tcPr>
          <w:p w14:paraId="1E15BE84" w14:textId="77777777" w:rsidR="00E331EB"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0,073</w:t>
            </w:r>
          </w:p>
        </w:tc>
      </w:tr>
      <w:tr w:rsidR="00534A2D" w14:paraId="09DEF83E" w14:textId="77777777" w:rsidTr="00E571F5">
        <w:trPr>
          <w:jc w:val="center"/>
        </w:trPr>
        <w:tc>
          <w:tcPr>
            <w:tcW w:w="3004" w:type="dxa"/>
            <w:tcBorders>
              <w:top w:val="single" w:sz="6" w:space="0" w:color="000000"/>
              <w:left w:val="single" w:sz="6" w:space="0" w:color="000000"/>
              <w:bottom w:val="single" w:sz="6" w:space="0" w:color="000000"/>
              <w:right w:val="single" w:sz="6" w:space="0" w:color="000000"/>
            </w:tcBorders>
            <w:vAlign w:val="bottom"/>
          </w:tcPr>
          <w:p w14:paraId="37E89A99" w14:textId="77777777" w:rsidR="00E331EB" w:rsidRPr="001B4A02" w:rsidRDefault="00000000" w:rsidP="00E571F5">
            <w:pPr>
              <w:keepNext/>
              <w:keepLines/>
              <w:autoSpaceDE w:val="0"/>
              <w:autoSpaceDN w:val="0"/>
              <w:adjustRightInd w:val="0"/>
              <w:ind w:left="0" w:firstLine="0"/>
              <w:rPr>
                <w:b/>
                <w:szCs w:val="22"/>
              </w:rPr>
            </w:pPr>
            <w:r w:rsidRPr="001B4A02">
              <w:rPr>
                <w:b/>
                <w:szCs w:val="22"/>
              </w:rPr>
              <w:t>Týden 52</w:t>
            </w:r>
          </w:p>
        </w:tc>
        <w:tc>
          <w:tcPr>
            <w:tcW w:w="2410" w:type="dxa"/>
            <w:tcBorders>
              <w:top w:val="single" w:sz="6" w:space="0" w:color="000000"/>
              <w:left w:val="single" w:sz="6" w:space="0" w:color="000000"/>
              <w:bottom w:val="single" w:sz="6" w:space="0" w:color="000000"/>
              <w:right w:val="single" w:sz="6" w:space="0" w:color="000000"/>
            </w:tcBorders>
            <w:vAlign w:val="bottom"/>
          </w:tcPr>
          <w:p w14:paraId="717FACAE" w14:textId="77777777" w:rsidR="00E331EB" w:rsidRPr="001B4A02" w:rsidRDefault="00E331EB" w:rsidP="00E571F5">
            <w:pPr>
              <w:keepNext/>
              <w:keepLines/>
              <w:tabs>
                <w:tab w:val="left" w:pos="-1080"/>
              </w:tabs>
              <w:autoSpaceDE w:val="0"/>
              <w:autoSpaceDN w:val="0"/>
              <w:adjustRightInd w:val="0"/>
              <w:ind w:left="0" w:firstLine="0"/>
              <w:jc w:val="center"/>
              <w:rPr>
                <w:b/>
                <w:szCs w:val="22"/>
              </w:rPr>
            </w:pPr>
          </w:p>
        </w:tc>
        <w:tc>
          <w:tcPr>
            <w:tcW w:w="2290" w:type="dxa"/>
            <w:tcBorders>
              <w:top w:val="single" w:sz="6" w:space="0" w:color="000000"/>
              <w:left w:val="single" w:sz="6" w:space="0" w:color="000000"/>
              <w:bottom w:val="single" w:sz="6" w:space="0" w:color="000000"/>
              <w:right w:val="single" w:sz="6" w:space="0" w:color="000000"/>
            </w:tcBorders>
            <w:vAlign w:val="bottom"/>
          </w:tcPr>
          <w:p w14:paraId="4A108BE4" w14:textId="77777777" w:rsidR="00E331EB" w:rsidRPr="001B4A02" w:rsidRDefault="00E331EB" w:rsidP="00E571F5">
            <w:pPr>
              <w:keepNext/>
              <w:keepLines/>
              <w:tabs>
                <w:tab w:val="left" w:pos="-1080"/>
              </w:tabs>
              <w:autoSpaceDE w:val="0"/>
              <w:autoSpaceDN w:val="0"/>
              <w:adjustRightInd w:val="0"/>
              <w:ind w:left="0" w:firstLine="0"/>
              <w:jc w:val="center"/>
              <w:rPr>
                <w:b/>
                <w:szCs w:val="22"/>
              </w:rPr>
            </w:pPr>
          </w:p>
        </w:tc>
        <w:tc>
          <w:tcPr>
            <w:tcW w:w="1420" w:type="dxa"/>
            <w:tcBorders>
              <w:top w:val="single" w:sz="6" w:space="0" w:color="000000"/>
              <w:left w:val="single" w:sz="6" w:space="0" w:color="000000"/>
              <w:bottom w:val="single" w:sz="6" w:space="0" w:color="000000"/>
              <w:right w:val="single" w:sz="6" w:space="0" w:color="000000"/>
            </w:tcBorders>
            <w:vAlign w:val="bottom"/>
          </w:tcPr>
          <w:p w14:paraId="77D38D41" w14:textId="77777777" w:rsidR="00E331EB" w:rsidRPr="001B4A02" w:rsidRDefault="00E331EB" w:rsidP="00E571F5">
            <w:pPr>
              <w:keepNext/>
              <w:autoSpaceDE w:val="0"/>
              <w:autoSpaceDN w:val="0"/>
              <w:adjustRightInd w:val="0"/>
              <w:ind w:left="0" w:firstLine="0"/>
              <w:jc w:val="center"/>
              <w:rPr>
                <w:b/>
                <w:szCs w:val="22"/>
              </w:rPr>
            </w:pPr>
          </w:p>
        </w:tc>
      </w:tr>
      <w:tr w:rsidR="00534A2D" w14:paraId="7DEE9673" w14:textId="77777777" w:rsidTr="00E571F5">
        <w:trPr>
          <w:jc w:val="center"/>
        </w:trPr>
        <w:tc>
          <w:tcPr>
            <w:tcW w:w="3004" w:type="dxa"/>
            <w:tcBorders>
              <w:top w:val="single" w:sz="6" w:space="0" w:color="000000"/>
              <w:left w:val="single" w:sz="6" w:space="0" w:color="000000"/>
              <w:bottom w:val="single" w:sz="6" w:space="0" w:color="000000"/>
              <w:right w:val="single" w:sz="6" w:space="0" w:color="000000"/>
            </w:tcBorders>
            <w:vAlign w:val="bottom"/>
          </w:tcPr>
          <w:p w14:paraId="49E61F4A" w14:textId="77777777" w:rsidR="00E331EB" w:rsidRPr="001B4A02" w:rsidRDefault="00000000" w:rsidP="00E571F5">
            <w:pPr>
              <w:keepNext/>
              <w:keepLines/>
              <w:autoSpaceDE w:val="0"/>
              <w:autoSpaceDN w:val="0"/>
              <w:adjustRightInd w:val="0"/>
              <w:ind w:left="0" w:firstLine="0"/>
              <w:rPr>
                <w:bCs/>
                <w:szCs w:val="22"/>
              </w:rPr>
            </w:pPr>
            <w:r w:rsidRPr="001B4A02">
              <w:rPr>
                <w:bCs/>
                <w:szCs w:val="22"/>
              </w:rPr>
              <w:t>Klinická remise</w:t>
            </w:r>
          </w:p>
        </w:tc>
        <w:tc>
          <w:tcPr>
            <w:tcW w:w="2410" w:type="dxa"/>
            <w:tcBorders>
              <w:top w:val="single" w:sz="6" w:space="0" w:color="000000"/>
              <w:left w:val="single" w:sz="6" w:space="0" w:color="000000"/>
              <w:bottom w:val="single" w:sz="6" w:space="0" w:color="000000"/>
              <w:right w:val="single" w:sz="6" w:space="0" w:color="000000"/>
            </w:tcBorders>
          </w:tcPr>
          <w:p w14:paraId="1C4B3FA3" w14:textId="77777777" w:rsidR="00E331EB"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33,3</w:t>
            </w:r>
            <w:r>
              <w:rPr>
                <w:szCs w:val="22"/>
              </w:rPr>
              <w:t> %</w:t>
            </w:r>
          </w:p>
        </w:tc>
        <w:tc>
          <w:tcPr>
            <w:tcW w:w="2290" w:type="dxa"/>
            <w:tcBorders>
              <w:top w:val="single" w:sz="6" w:space="0" w:color="000000"/>
              <w:left w:val="single" w:sz="6" w:space="0" w:color="000000"/>
              <w:bottom w:val="single" w:sz="6" w:space="0" w:color="000000"/>
              <w:right w:val="single" w:sz="6" w:space="0" w:color="000000"/>
            </w:tcBorders>
          </w:tcPr>
          <w:p w14:paraId="0DD51D52" w14:textId="77777777" w:rsidR="00E331EB"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23,2</w:t>
            </w:r>
            <w:r>
              <w:rPr>
                <w:szCs w:val="22"/>
              </w:rPr>
              <w:t> %</w:t>
            </w:r>
          </w:p>
        </w:tc>
        <w:tc>
          <w:tcPr>
            <w:tcW w:w="1420" w:type="dxa"/>
            <w:tcBorders>
              <w:top w:val="single" w:sz="6" w:space="0" w:color="000000"/>
              <w:left w:val="single" w:sz="6" w:space="0" w:color="000000"/>
              <w:bottom w:val="single" w:sz="6" w:space="0" w:color="000000"/>
              <w:right w:val="single" w:sz="6" w:space="0" w:color="000000"/>
            </w:tcBorders>
          </w:tcPr>
          <w:p w14:paraId="43D282BE" w14:textId="77777777" w:rsidR="00E331EB"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0,100</w:t>
            </w:r>
          </w:p>
        </w:tc>
      </w:tr>
      <w:tr w:rsidR="00534A2D" w14:paraId="3796BE08" w14:textId="77777777" w:rsidTr="00E571F5">
        <w:trPr>
          <w:jc w:val="center"/>
        </w:trPr>
        <w:tc>
          <w:tcPr>
            <w:tcW w:w="3004" w:type="dxa"/>
            <w:tcBorders>
              <w:top w:val="single" w:sz="6" w:space="0" w:color="000000"/>
              <w:left w:val="single" w:sz="6" w:space="0" w:color="000000"/>
              <w:bottom w:val="single" w:sz="6" w:space="0" w:color="000000"/>
              <w:right w:val="single" w:sz="6" w:space="0" w:color="000000"/>
            </w:tcBorders>
            <w:vAlign w:val="bottom"/>
          </w:tcPr>
          <w:p w14:paraId="450EBB67" w14:textId="77777777" w:rsidR="00E331EB" w:rsidRPr="001B4A02" w:rsidRDefault="00000000" w:rsidP="00E571F5">
            <w:pPr>
              <w:keepNext/>
              <w:keepLines/>
              <w:autoSpaceDE w:val="0"/>
              <w:autoSpaceDN w:val="0"/>
              <w:adjustRightInd w:val="0"/>
              <w:ind w:left="0" w:firstLine="0"/>
              <w:rPr>
                <w:b/>
                <w:bCs/>
                <w:szCs w:val="22"/>
              </w:rPr>
            </w:pPr>
            <w:r w:rsidRPr="001B4A02">
              <w:rPr>
                <w:bCs/>
                <w:szCs w:val="22"/>
              </w:rPr>
              <w:t>Klinická odpověď</w:t>
            </w:r>
          </w:p>
        </w:tc>
        <w:tc>
          <w:tcPr>
            <w:tcW w:w="2410" w:type="dxa"/>
            <w:tcBorders>
              <w:top w:val="single" w:sz="6" w:space="0" w:color="000000"/>
              <w:left w:val="single" w:sz="6" w:space="0" w:color="000000"/>
              <w:bottom w:val="single" w:sz="6" w:space="0" w:color="000000"/>
              <w:right w:val="single" w:sz="6" w:space="0" w:color="000000"/>
            </w:tcBorders>
          </w:tcPr>
          <w:p w14:paraId="6138418C" w14:textId="77777777" w:rsidR="00E331EB"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41,9</w:t>
            </w:r>
            <w:r>
              <w:rPr>
                <w:szCs w:val="22"/>
              </w:rPr>
              <w:t> %</w:t>
            </w:r>
          </w:p>
        </w:tc>
        <w:tc>
          <w:tcPr>
            <w:tcW w:w="2290" w:type="dxa"/>
            <w:tcBorders>
              <w:top w:val="single" w:sz="6" w:space="0" w:color="000000"/>
              <w:left w:val="single" w:sz="6" w:space="0" w:color="000000"/>
              <w:bottom w:val="single" w:sz="6" w:space="0" w:color="000000"/>
              <w:right w:val="single" w:sz="6" w:space="0" w:color="000000"/>
            </w:tcBorders>
          </w:tcPr>
          <w:p w14:paraId="46377D9D" w14:textId="77777777" w:rsidR="00E331EB"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28,4</w:t>
            </w:r>
            <w:r>
              <w:rPr>
                <w:szCs w:val="22"/>
              </w:rPr>
              <w:t> %</w:t>
            </w:r>
          </w:p>
        </w:tc>
        <w:tc>
          <w:tcPr>
            <w:tcW w:w="1420" w:type="dxa"/>
            <w:tcBorders>
              <w:top w:val="single" w:sz="6" w:space="0" w:color="000000"/>
              <w:left w:val="single" w:sz="6" w:space="0" w:color="000000"/>
              <w:bottom w:val="single" w:sz="6" w:space="0" w:color="000000"/>
              <w:right w:val="single" w:sz="6" w:space="0" w:color="000000"/>
            </w:tcBorders>
          </w:tcPr>
          <w:p w14:paraId="59DABD23" w14:textId="77777777" w:rsidR="00E331EB" w:rsidRPr="001B4A02" w:rsidRDefault="00000000" w:rsidP="00E571F5">
            <w:pPr>
              <w:keepNext/>
              <w:keepLines/>
              <w:tabs>
                <w:tab w:val="left" w:pos="-1080"/>
              </w:tabs>
              <w:autoSpaceDE w:val="0"/>
              <w:autoSpaceDN w:val="0"/>
              <w:adjustRightInd w:val="0"/>
              <w:ind w:left="0" w:firstLine="0"/>
              <w:jc w:val="center"/>
              <w:rPr>
                <w:szCs w:val="22"/>
              </w:rPr>
            </w:pPr>
            <w:r w:rsidRPr="001B4A02">
              <w:rPr>
                <w:szCs w:val="22"/>
              </w:rPr>
              <w:t>0,038</w:t>
            </w:r>
          </w:p>
        </w:tc>
      </w:tr>
      <w:tr w:rsidR="00534A2D" w14:paraId="381CEA81" w14:textId="77777777" w:rsidTr="00E571F5">
        <w:trPr>
          <w:jc w:val="center"/>
        </w:trPr>
        <w:tc>
          <w:tcPr>
            <w:tcW w:w="9124" w:type="dxa"/>
            <w:gridSpan w:val="4"/>
            <w:tcBorders>
              <w:top w:val="single" w:sz="6" w:space="0" w:color="000000"/>
              <w:left w:val="single" w:sz="6" w:space="0" w:color="000000"/>
              <w:bottom w:val="single" w:sz="6" w:space="0" w:color="000000"/>
              <w:right w:val="single" w:sz="6" w:space="0" w:color="000000"/>
            </w:tcBorders>
          </w:tcPr>
          <w:p w14:paraId="2D051C56" w14:textId="77777777" w:rsidR="00E331EB" w:rsidRPr="001B4A02" w:rsidRDefault="00000000" w:rsidP="00E571F5">
            <w:pPr>
              <w:keepNext/>
              <w:keepLines/>
              <w:tabs>
                <w:tab w:val="left" w:pos="-1080"/>
              </w:tabs>
              <w:autoSpaceDE w:val="0"/>
              <w:autoSpaceDN w:val="0"/>
              <w:adjustRightInd w:val="0"/>
              <w:rPr>
                <w:szCs w:val="22"/>
              </w:rPr>
            </w:pPr>
            <w:r w:rsidRPr="001B4A02">
              <w:rPr>
                <w:szCs w:val="22"/>
              </w:rPr>
              <w:t>* p hodnota pro standardní dávku v porovnání se sníženou dávkou</w:t>
            </w:r>
          </w:p>
        </w:tc>
      </w:tr>
    </w:tbl>
    <w:p w14:paraId="485D39D8" w14:textId="77777777" w:rsidR="00E331EB" w:rsidRPr="001B4A02" w:rsidRDefault="00E331EB" w:rsidP="00E331EB">
      <w:pPr>
        <w:tabs>
          <w:tab w:val="left" w:pos="1294"/>
        </w:tabs>
        <w:autoSpaceDE w:val="0"/>
        <w:autoSpaceDN w:val="0"/>
        <w:adjustRightInd w:val="0"/>
        <w:rPr>
          <w:szCs w:val="22"/>
        </w:rPr>
      </w:pPr>
    </w:p>
    <w:tbl>
      <w:tblPr>
        <w:tblW w:w="5000" w:type="pct"/>
        <w:jc w:val="center"/>
        <w:tblCellMar>
          <w:left w:w="0" w:type="dxa"/>
          <w:right w:w="0" w:type="dxa"/>
        </w:tblCellMar>
        <w:tblLook w:val="00A0" w:firstRow="1" w:lastRow="0" w:firstColumn="1" w:lastColumn="0" w:noHBand="0" w:noVBand="0"/>
      </w:tblPr>
      <w:tblGrid>
        <w:gridCol w:w="3008"/>
        <w:gridCol w:w="2394"/>
        <w:gridCol w:w="2168"/>
        <w:gridCol w:w="1485"/>
      </w:tblGrid>
      <w:tr w:rsidR="00534A2D" w14:paraId="2C2820AC" w14:textId="77777777" w:rsidTr="00E571F5">
        <w:trPr>
          <w:jc w:val="center"/>
        </w:trPr>
        <w:tc>
          <w:tcPr>
            <w:tcW w:w="8440" w:type="dxa"/>
            <w:gridSpan w:val="4"/>
            <w:tcBorders>
              <w:top w:val="single" w:sz="6" w:space="0" w:color="000000"/>
              <w:left w:val="single" w:sz="6" w:space="0" w:color="000000"/>
              <w:bottom w:val="single" w:sz="6" w:space="0" w:color="000000"/>
              <w:right w:val="single" w:sz="6" w:space="0" w:color="000000"/>
            </w:tcBorders>
          </w:tcPr>
          <w:p w14:paraId="3B80EB49" w14:textId="77777777" w:rsidR="00E331EB" w:rsidRPr="001B4A02" w:rsidRDefault="00000000" w:rsidP="00970906">
            <w:pPr>
              <w:keepNext/>
              <w:tabs>
                <w:tab w:val="left" w:pos="-878"/>
              </w:tabs>
              <w:autoSpaceDE w:val="0"/>
              <w:autoSpaceDN w:val="0"/>
              <w:adjustRightInd w:val="0"/>
              <w:ind w:left="0"/>
              <w:jc w:val="center"/>
              <w:rPr>
                <w:b/>
                <w:bCs/>
              </w:rPr>
            </w:pPr>
            <w:r w:rsidRPr="001B4A02">
              <w:rPr>
                <w:b/>
                <w:bCs/>
                <w:szCs w:val="22"/>
              </w:rPr>
              <w:t xml:space="preserve">Tabulka </w:t>
            </w:r>
            <w:r w:rsidR="002D74C7">
              <w:rPr>
                <w:b/>
                <w:bCs/>
                <w:szCs w:val="22"/>
              </w:rPr>
              <w:t>20</w:t>
            </w:r>
          </w:p>
          <w:p w14:paraId="5BCF24DD" w14:textId="77777777" w:rsidR="00E331EB" w:rsidRPr="001B4A02" w:rsidRDefault="00000000" w:rsidP="00970906">
            <w:pPr>
              <w:keepNext/>
              <w:tabs>
                <w:tab w:val="left" w:pos="-878"/>
              </w:tabs>
              <w:autoSpaceDE w:val="0"/>
              <w:autoSpaceDN w:val="0"/>
              <w:adjustRightInd w:val="0"/>
              <w:ind w:left="0"/>
              <w:jc w:val="center"/>
              <w:rPr>
                <w:b/>
                <w:bCs/>
                <w:szCs w:val="22"/>
              </w:rPr>
            </w:pPr>
            <w:r w:rsidRPr="001B4A02">
              <w:rPr>
                <w:b/>
                <w:bCs/>
                <w:szCs w:val="22"/>
              </w:rPr>
              <w:t>Studie u pediatrických pacientů s Crohnovou chorobou</w:t>
            </w:r>
          </w:p>
          <w:p w14:paraId="34C607DB" w14:textId="77777777" w:rsidR="00E331EB" w:rsidRPr="001B4A02" w:rsidRDefault="00000000" w:rsidP="00970906">
            <w:pPr>
              <w:keepNext/>
              <w:tabs>
                <w:tab w:val="left" w:pos="-878"/>
              </w:tabs>
              <w:autoSpaceDE w:val="0"/>
              <w:autoSpaceDN w:val="0"/>
              <w:adjustRightInd w:val="0"/>
              <w:ind w:left="0"/>
              <w:jc w:val="center"/>
              <w:rPr>
                <w:b/>
                <w:bCs/>
              </w:rPr>
            </w:pPr>
            <w:r w:rsidRPr="001B4A02">
              <w:rPr>
                <w:b/>
                <w:bCs/>
                <w:szCs w:val="22"/>
              </w:rPr>
              <w:t>Vysazení kortikosteroidů nebo imunomodulátorů</w:t>
            </w:r>
            <w:r w:rsidR="002378E0">
              <w:rPr>
                <w:b/>
                <w:bCs/>
                <w:szCs w:val="22"/>
              </w:rPr>
              <w:t xml:space="preserve"> a </w:t>
            </w:r>
            <w:r w:rsidRPr="001B4A02">
              <w:rPr>
                <w:b/>
                <w:bCs/>
                <w:szCs w:val="22"/>
              </w:rPr>
              <w:t>remise píštělí</w:t>
            </w:r>
          </w:p>
        </w:tc>
      </w:tr>
      <w:tr w:rsidR="00534A2D" w14:paraId="5E92A9FB" w14:textId="77777777" w:rsidTr="00E571F5">
        <w:trPr>
          <w:jc w:val="center"/>
        </w:trPr>
        <w:tc>
          <w:tcPr>
            <w:tcW w:w="2804" w:type="dxa"/>
            <w:tcBorders>
              <w:top w:val="single" w:sz="6" w:space="0" w:color="000000"/>
              <w:left w:val="single" w:sz="6" w:space="0" w:color="000000"/>
              <w:bottom w:val="single" w:sz="6" w:space="0" w:color="000000"/>
              <w:right w:val="single" w:sz="6" w:space="0" w:color="000000"/>
            </w:tcBorders>
          </w:tcPr>
          <w:p w14:paraId="1A7A1E3C" w14:textId="77777777" w:rsidR="00E331EB" w:rsidRPr="001B4A02" w:rsidRDefault="00E331EB" w:rsidP="00970906">
            <w:pPr>
              <w:keepNext/>
              <w:keepLines/>
              <w:tabs>
                <w:tab w:val="left" w:pos="-1080"/>
              </w:tabs>
              <w:autoSpaceDE w:val="0"/>
              <w:autoSpaceDN w:val="0"/>
              <w:adjustRightInd w:val="0"/>
              <w:ind w:left="0"/>
              <w:jc w:val="center"/>
              <w:rPr>
                <w:b/>
                <w:bCs/>
              </w:rPr>
            </w:pPr>
          </w:p>
        </w:tc>
        <w:tc>
          <w:tcPr>
            <w:tcW w:w="2231" w:type="dxa"/>
            <w:tcBorders>
              <w:top w:val="single" w:sz="6" w:space="0" w:color="000000"/>
              <w:left w:val="single" w:sz="6" w:space="0" w:color="000000"/>
              <w:bottom w:val="single" w:sz="6" w:space="0" w:color="000000"/>
              <w:right w:val="single" w:sz="6" w:space="0" w:color="000000"/>
            </w:tcBorders>
          </w:tcPr>
          <w:p w14:paraId="59E69CAB" w14:textId="77777777" w:rsidR="00E331EB" w:rsidRPr="001B4A02" w:rsidRDefault="00000000" w:rsidP="00970906">
            <w:pPr>
              <w:keepNext/>
              <w:keepLines/>
              <w:tabs>
                <w:tab w:val="left" w:pos="-1080"/>
              </w:tabs>
              <w:autoSpaceDE w:val="0"/>
              <w:autoSpaceDN w:val="0"/>
              <w:adjustRightInd w:val="0"/>
              <w:ind w:left="0" w:firstLine="0"/>
              <w:jc w:val="center"/>
              <w:rPr>
                <w:b/>
                <w:bCs/>
                <w:szCs w:val="22"/>
              </w:rPr>
            </w:pPr>
            <w:r w:rsidRPr="001B4A02">
              <w:rPr>
                <w:b/>
                <w:bCs/>
                <w:szCs w:val="22"/>
              </w:rPr>
              <w:t>Standardní dávka</w:t>
            </w:r>
          </w:p>
          <w:p w14:paraId="7F1520C9" w14:textId="77777777" w:rsidR="00E331EB" w:rsidRPr="001B4A02" w:rsidRDefault="00000000" w:rsidP="00970906">
            <w:pPr>
              <w:keepNext/>
              <w:keepLines/>
              <w:tabs>
                <w:tab w:val="left" w:pos="-1080"/>
              </w:tabs>
              <w:autoSpaceDE w:val="0"/>
              <w:autoSpaceDN w:val="0"/>
              <w:adjustRightInd w:val="0"/>
              <w:ind w:left="0" w:firstLine="0"/>
              <w:jc w:val="center"/>
              <w:rPr>
                <w:b/>
                <w:bCs/>
                <w:szCs w:val="22"/>
              </w:rPr>
            </w:pPr>
            <w:r w:rsidRPr="001B4A02">
              <w:rPr>
                <w:b/>
                <w:bCs/>
                <w:szCs w:val="22"/>
              </w:rPr>
              <w:t>40/20</w:t>
            </w:r>
            <w:r w:rsidR="00874DE1" w:rsidRPr="00005EC2">
              <w:rPr>
                <w:szCs w:val="22"/>
              </w:rPr>
              <w:t> </w:t>
            </w:r>
            <w:r w:rsidRPr="001B4A02">
              <w:rPr>
                <w:b/>
                <w:bCs/>
                <w:szCs w:val="22"/>
              </w:rPr>
              <w:t>mg</w:t>
            </w:r>
          </w:p>
          <w:p w14:paraId="6897C8F6" w14:textId="77777777" w:rsidR="00E331EB" w:rsidRPr="001B4A02" w:rsidRDefault="00000000" w:rsidP="00970906">
            <w:pPr>
              <w:keepNext/>
              <w:keepLines/>
              <w:tabs>
                <w:tab w:val="left" w:pos="-1080"/>
              </w:tabs>
              <w:autoSpaceDE w:val="0"/>
              <w:autoSpaceDN w:val="0"/>
              <w:adjustRightInd w:val="0"/>
              <w:ind w:left="0" w:firstLine="0"/>
              <w:jc w:val="center"/>
              <w:rPr>
                <w:b/>
                <w:bCs/>
              </w:rPr>
            </w:pPr>
            <w:r w:rsidRPr="001B4A02">
              <w:rPr>
                <w:b/>
                <w:bCs/>
                <w:szCs w:val="22"/>
              </w:rPr>
              <w:t>každý druhý týden</w:t>
            </w:r>
          </w:p>
        </w:tc>
        <w:tc>
          <w:tcPr>
            <w:tcW w:w="2021" w:type="dxa"/>
            <w:tcBorders>
              <w:top w:val="single" w:sz="6" w:space="0" w:color="000000"/>
              <w:left w:val="single" w:sz="6" w:space="0" w:color="000000"/>
              <w:bottom w:val="single" w:sz="6" w:space="0" w:color="000000"/>
              <w:right w:val="single" w:sz="6" w:space="0" w:color="000000"/>
            </w:tcBorders>
          </w:tcPr>
          <w:p w14:paraId="22056EA5" w14:textId="77777777" w:rsidR="00E331EB" w:rsidRPr="001B4A02" w:rsidRDefault="00000000" w:rsidP="00970906">
            <w:pPr>
              <w:keepNext/>
              <w:keepLines/>
              <w:tabs>
                <w:tab w:val="left" w:pos="-1080"/>
              </w:tabs>
              <w:autoSpaceDE w:val="0"/>
              <w:autoSpaceDN w:val="0"/>
              <w:adjustRightInd w:val="0"/>
              <w:ind w:left="0" w:firstLine="0"/>
              <w:jc w:val="center"/>
              <w:rPr>
                <w:b/>
                <w:bCs/>
                <w:szCs w:val="22"/>
              </w:rPr>
            </w:pPr>
            <w:r w:rsidRPr="001B4A02">
              <w:rPr>
                <w:b/>
                <w:bCs/>
                <w:szCs w:val="22"/>
              </w:rPr>
              <w:t>Snížená dávka</w:t>
            </w:r>
          </w:p>
          <w:p w14:paraId="45726B49" w14:textId="77777777" w:rsidR="00E331EB" w:rsidRPr="001B4A02" w:rsidRDefault="00000000" w:rsidP="00970906">
            <w:pPr>
              <w:keepNext/>
              <w:keepLines/>
              <w:tabs>
                <w:tab w:val="left" w:pos="-1080"/>
              </w:tabs>
              <w:autoSpaceDE w:val="0"/>
              <w:autoSpaceDN w:val="0"/>
              <w:adjustRightInd w:val="0"/>
              <w:ind w:left="0" w:firstLine="0"/>
              <w:jc w:val="center"/>
              <w:rPr>
                <w:b/>
                <w:bCs/>
                <w:szCs w:val="22"/>
              </w:rPr>
            </w:pPr>
            <w:r w:rsidRPr="001B4A02">
              <w:rPr>
                <w:b/>
                <w:bCs/>
                <w:szCs w:val="22"/>
              </w:rPr>
              <w:t>20/10</w:t>
            </w:r>
            <w:r w:rsidR="00874DE1" w:rsidRPr="00005EC2">
              <w:rPr>
                <w:szCs w:val="22"/>
              </w:rPr>
              <w:t> </w:t>
            </w:r>
            <w:r w:rsidRPr="001B4A02">
              <w:rPr>
                <w:b/>
                <w:bCs/>
                <w:szCs w:val="22"/>
              </w:rPr>
              <w:t>mg</w:t>
            </w:r>
          </w:p>
          <w:p w14:paraId="518AA3F7" w14:textId="77777777" w:rsidR="00E331EB" w:rsidRPr="001B4A02" w:rsidRDefault="00000000" w:rsidP="00970906">
            <w:pPr>
              <w:keepNext/>
              <w:keepLines/>
              <w:tabs>
                <w:tab w:val="left" w:pos="-1080"/>
              </w:tabs>
              <w:autoSpaceDE w:val="0"/>
              <w:autoSpaceDN w:val="0"/>
              <w:adjustRightInd w:val="0"/>
              <w:ind w:left="0" w:firstLine="0"/>
              <w:jc w:val="center"/>
              <w:rPr>
                <w:b/>
                <w:bCs/>
              </w:rPr>
            </w:pPr>
            <w:r w:rsidRPr="001B4A02">
              <w:rPr>
                <w:b/>
                <w:bCs/>
                <w:szCs w:val="22"/>
              </w:rPr>
              <w:t>každý druhý týden</w:t>
            </w:r>
          </w:p>
        </w:tc>
        <w:tc>
          <w:tcPr>
            <w:tcW w:w="1384" w:type="dxa"/>
            <w:tcBorders>
              <w:top w:val="single" w:sz="6" w:space="0" w:color="000000"/>
              <w:left w:val="single" w:sz="6" w:space="0" w:color="000000"/>
              <w:bottom w:val="single" w:sz="6" w:space="0" w:color="000000"/>
              <w:right w:val="single" w:sz="6" w:space="0" w:color="000000"/>
            </w:tcBorders>
          </w:tcPr>
          <w:p w14:paraId="4EC10968" w14:textId="77777777" w:rsidR="00E331EB" w:rsidRPr="001B4A02" w:rsidRDefault="00000000" w:rsidP="00970906">
            <w:pPr>
              <w:keepNext/>
              <w:keepLines/>
              <w:tabs>
                <w:tab w:val="left" w:pos="-1080"/>
              </w:tabs>
              <w:autoSpaceDE w:val="0"/>
              <w:autoSpaceDN w:val="0"/>
              <w:adjustRightInd w:val="0"/>
              <w:ind w:left="0" w:firstLine="0"/>
              <w:jc w:val="center"/>
              <w:rPr>
                <w:b/>
                <w:bCs/>
              </w:rPr>
            </w:pPr>
            <w:r w:rsidRPr="001B4A02">
              <w:rPr>
                <w:b/>
                <w:bCs/>
                <w:szCs w:val="22"/>
              </w:rPr>
              <w:t>P hodnota</w:t>
            </w:r>
            <w:r w:rsidRPr="001B4A02">
              <w:rPr>
                <w:b/>
                <w:bCs/>
                <w:szCs w:val="22"/>
                <w:vertAlign w:val="superscript"/>
              </w:rPr>
              <w:t>1</w:t>
            </w:r>
          </w:p>
        </w:tc>
      </w:tr>
      <w:tr w:rsidR="00534A2D" w14:paraId="222AD37E" w14:textId="77777777" w:rsidTr="00E571F5">
        <w:trPr>
          <w:jc w:val="center"/>
        </w:trPr>
        <w:tc>
          <w:tcPr>
            <w:tcW w:w="2804" w:type="dxa"/>
            <w:tcBorders>
              <w:top w:val="single" w:sz="6" w:space="0" w:color="000000"/>
              <w:left w:val="single" w:sz="6" w:space="0" w:color="000000"/>
              <w:bottom w:val="single" w:sz="6" w:space="0" w:color="000000"/>
              <w:right w:val="single" w:sz="6" w:space="0" w:color="000000"/>
            </w:tcBorders>
            <w:vAlign w:val="bottom"/>
          </w:tcPr>
          <w:p w14:paraId="3B8FDBCC" w14:textId="77777777" w:rsidR="00E331EB" w:rsidRPr="001B4A02" w:rsidRDefault="00000000" w:rsidP="00970906">
            <w:pPr>
              <w:keepNext/>
              <w:keepLines/>
              <w:autoSpaceDE w:val="0"/>
              <w:autoSpaceDN w:val="0"/>
              <w:adjustRightInd w:val="0"/>
              <w:ind w:left="8" w:firstLine="0"/>
              <w:rPr>
                <w:b/>
              </w:rPr>
            </w:pPr>
            <w:r w:rsidRPr="001B4A02">
              <w:rPr>
                <w:b/>
                <w:szCs w:val="22"/>
              </w:rPr>
              <w:t>Vysazení kortikosteroidů</w:t>
            </w:r>
          </w:p>
        </w:tc>
        <w:tc>
          <w:tcPr>
            <w:tcW w:w="2231" w:type="dxa"/>
            <w:tcBorders>
              <w:top w:val="single" w:sz="6" w:space="0" w:color="000000"/>
              <w:left w:val="single" w:sz="6" w:space="0" w:color="000000"/>
              <w:bottom w:val="single" w:sz="6" w:space="0" w:color="000000"/>
              <w:right w:val="single" w:sz="6" w:space="0" w:color="000000"/>
            </w:tcBorders>
            <w:vAlign w:val="bottom"/>
          </w:tcPr>
          <w:p w14:paraId="18F0043E" w14:textId="77777777" w:rsidR="00E331EB" w:rsidRPr="001B4A02" w:rsidRDefault="00000000" w:rsidP="00970906">
            <w:pPr>
              <w:keepNext/>
              <w:keepLines/>
              <w:tabs>
                <w:tab w:val="left" w:pos="-1080"/>
              </w:tabs>
              <w:autoSpaceDE w:val="0"/>
              <w:autoSpaceDN w:val="0"/>
              <w:adjustRightInd w:val="0"/>
              <w:ind w:left="0" w:firstLine="0"/>
              <w:jc w:val="center"/>
              <w:rPr>
                <w:b/>
              </w:rPr>
            </w:pPr>
            <w:r>
              <w:rPr>
                <w:b/>
                <w:szCs w:val="22"/>
              </w:rPr>
              <w:t>n</w:t>
            </w:r>
            <w:r w:rsidRPr="001B4A02">
              <w:rPr>
                <w:b/>
                <w:szCs w:val="22"/>
              </w:rPr>
              <w:t>=33</w:t>
            </w:r>
          </w:p>
        </w:tc>
        <w:tc>
          <w:tcPr>
            <w:tcW w:w="2021" w:type="dxa"/>
            <w:tcBorders>
              <w:top w:val="single" w:sz="6" w:space="0" w:color="000000"/>
              <w:left w:val="single" w:sz="6" w:space="0" w:color="000000"/>
              <w:bottom w:val="single" w:sz="6" w:space="0" w:color="000000"/>
              <w:right w:val="single" w:sz="6" w:space="0" w:color="000000"/>
            </w:tcBorders>
            <w:vAlign w:val="bottom"/>
          </w:tcPr>
          <w:p w14:paraId="4ADF7DEA" w14:textId="77777777" w:rsidR="00E331EB" w:rsidRPr="001B4A02" w:rsidRDefault="00000000" w:rsidP="00970906">
            <w:pPr>
              <w:keepNext/>
              <w:keepLines/>
              <w:tabs>
                <w:tab w:val="left" w:pos="-1080"/>
              </w:tabs>
              <w:autoSpaceDE w:val="0"/>
              <w:autoSpaceDN w:val="0"/>
              <w:adjustRightInd w:val="0"/>
              <w:ind w:left="0" w:firstLine="0"/>
              <w:jc w:val="center"/>
              <w:rPr>
                <w:b/>
              </w:rPr>
            </w:pPr>
            <w:r>
              <w:rPr>
                <w:b/>
                <w:szCs w:val="22"/>
              </w:rPr>
              <w:t>n</w:t>
            </w:r>
            <w:r w:rsidRPr="001B4A02">
              <w:rPr>
                <w:b/>
                <w:szCs w:val="22"/>
              </w:rPr>
              <w:t>=38</w:t>
            </w:r>
          </w:p>
        </w:tc>
        <w:tc>
          <w:tcPr>
            <w:tcW w:w="1384" w:type="dxa"/>
            <w:tcBorders>
              <w:top w:val="single" w:sz="6" w:space="0" w:color="000000"/>
              <w:left w:val="single" w:sz="6" w:space="0" w:color="000000"/>
              <w:bottom w:val="single" w:sz="6" w:space="0" w:color="000000"/>
              <w:right w:val="single" w:sz="6" w:space="0" w:color="000000"/>
            </w:tcBorders>
            <w:vAlign w:val="bottom"/>
          </w:tcPr>
          <w:p w14:paraId="7AEE471B" w14:textId="77777777" w:rsidR="00E331EB" w:rsidRPr="001B4A02" w:rsidRDefault="00E331EB" w:rsidP="00970906">
            <w:pPr>
              <w:keepNext/>
              <w:autoSpaceDE w:val="0"/>
              <w:autoSpaceDN w:val="0"/>
              <w:adjustRightInd w:val="0"/>
              <w:ind w:left="0" w:firstLine="0"/>
              <w:jc w:val="center"/>
              <w:rPr>
                <w:b/>
              </w:rPr>
            </w:pPr>
          </w:p>
        </w:tc>
      </w:tr>
      <w:tr w:rsidR="00534A2D" w14:paraId="112EEE2F" w14:textId="77777777" w:rsidTr="00E571F5">
        <w:trPr>
          <w:jc w:val="center"/>
        </w:trPr>
        <w:tc>
          <w:tcPr>
            <w:tcW w:w="2804" w:type="dxa"/>
            <w:tcBorders>
              <w:top w:val="single" w:sz="6" w:space="0" w:color="000000"/>
              <w:left w:val="single" w:sz="6" w:space="0" w:color="000000"/>
              <w:bottom w:val="single" w:sz="6" w:space="0" w:color="000000"/>
              <w:right w:val="single" w:sz="6" w:space="0" w:color="000000"/>
            </w:tcBorders>
            <w:vAlign w:val="bottom"/>
          </w:tcPr>
          <w:p w14:paraId="600045D7" w14:textId="77777777" w:rsidR="00E331EB" w:rsidRPr="001B4A02" w:rsidRDefault="00000000" w:rsidP="00970906">
            <w:pPr>
              <w:keepNext/>
              <w:keepLines/>
              <w:autoSpaceDE w:val="0"/>
              <w:autoSpaceDN w:val="0"/>
              <w:adjustRightInd w:val="0"/>
              <w:ind w:left="8" w:firstLine="0"/>
              <w:rPr>
                <w:bCs/>
              </w:rPr>
            </w:pPr>
            <w:r w:rsidRPr="001B4A02">
              <w:rPr>
                <w:bCs/>
                <w:szCs w:val="22"/>
              </w:rPr>
              <w:t>Týden 26</w:t>
            </w:r>
          </w:p>
        </w:tc>
        <w:tc>
          <w:tcPr>
            <w:tcW w:w="2231" w:type="dxa"/>
            <w:tcBorders>
              <w:top w:val="single" w:sz="6" w:space="0" w:color="000000"/>
              <w:left w:val="single" w:sz="6" w:space="0" w:color="000000"/>
              <w:bottom w:val="single" w:sz="6" w:space="0" w:color="000000"/>
              <w:right w:val="single" w:sz="6" w:space="0" w:color="000000"/>
            </w:tcBorders>
            <w:vAlign w:val="bottom"/>
          </w:tcPr>
          <w:p w14:paraId="0584245F" w14:textId="77777777" w:rsidR="00E331EB" w:rsidRPr="001B4A02" w:rsidRDefault="00000000" w:rsidP="00970906">
            <w:pPr>
              <w:keepNext/>
              <w:keepLines/>
              <w:tabs>
                <w:tab w:val="left" w:pos="-1080"/>
              </w:tabs>
              <w:autoSpaceDE w:val="0"/>
              <w:autoSpaceDN w:val="0"/>
              <w:adjustRightInd w:val="0"/>
              <w:ind w:left="0" w:firstLine="0"/>
              <w:jc w:val="center"/>
            </w:pPr>
            <w:r w:rsidRPr="001B4A02">
              <w:rPr>
                <w:szCs w:val="22"/>
              </w:rPr>
              <w:t>84,8</w:t>
            </w:r>
            <w:r>
              <w:rPr>
                <w:szCs w:val="22"/>
              </w:rPr>
              <w:t> %</w:t>
            </w:r>
          </w:p>
        </w:tc>
        <w:tc>
          <w:tcPr>
            <w:tcW w:w="2021" w:type="dxa"/>
            <w:tcBorders>
              <w:top w:val="single" w:sz="6" w:space="0" w:color="000000"/>
              <w:left w:val="single" w:sz="6" w:space="0" w:color="000000"/>
              <w:bottom w:val="single" w:sz="6" w:space="0" w:color="000000"/>
              <w:right w:val="single" w:sz="6" w:space="0" w:color="000000"/>
            </w:tcBorders>
            <w:vAlign w:val="bottom"/>
          </w:tcPr>
          <w:p w14:paraId="39740D21" w14:textId="77777777" w:rsidR="00E331EB" w:rsidRPr="001B4A02" w:rsidRDefault="00000000" w:rsidP="00970906">
            <w:pPr>
              <w:keepNext/>
              <w:keepLines/>
              <w:tabs>
                <w:tab w:val="left" w:pos="-1080"/>
              </w:tabs>
              <w:autoSpaceDE w:val="0"/>
              <w:autoSpaceDN w:val="0"/>
              <w:adjustRightInd w:val="0"/>
              <w:ind w:left="0" w:firstLine="0"/>
              <w:jc w:val="center"/>
            </w:pPr>
            <w:r w:rsidRPr="001B4A02">
              <w:rPr>
                <w:szCs w:val="22"/>
              </w:rPr>
              <w:t>65,8</w:t>
            </w:r>
            <w:r>
              <w:rPr>
                <w:szCs w:val="22"/>
              </w:rPr>
              <w:t> %</w:t>
            </w:r>
          </w:p>
        </w:tc>
        <w:tc>
          <w:tcPr>
            <w:tcW w:w="1384" w:type="dxa"/>
            <w:tcBorders>
              <w:top w:val="single" w:sz="6" w:space="0" w:color="000000"/>
              <w:left w:val="single" w:sz="6" w:space="0" w:color="000000"/>
              <w:bottom w:val="single" w:sz="6" w:space="0" w:color="000000"/>
              <w:right w:val="single" w:sz="6" w:space="0" w:color="000000"/>
            </w:tcBorders>
            <w:vAlign w:val="bottom"/>
          </w:tcPr>
          <w:p w14:paraId="342882CE" w14:textId="77777777" w:rsidR="00E331EB" w:rsidRPr="001B4A02" w:rsidRDefault="00000000" w:rsidP="00970906">
            <w:pPr>
              <w:keepNext/>
              <w:keepLines/>
              <w:tabs>
                <w:tab w:val="left" w:pos="-1080"/>
              </w:tabs>
              <w:autoSpaceDE w:val="0"/>
              <w:autoSpaceDN w:val="0"/>
              <w:adjustRightInd w:val="0"/>
              <w:ind w:left="0" w:firstLine="0"/>
              <w:jc w:val="center"/>
            </w:pPr>
            <w:r w:rsidRPr="001B4A02">
              <w:rPr>
                <w:szCs w:val="22"/>
              </w:rPr>
              <w:t>0,066</w:t>
            </w:r>
          </w:p>
        </w:tc>
      </w:tr>
      <w:tr w:rsidR="00534A2D" w14:paraId="26A7FCC8" w14:textId="77777777" w:rsidTr="00E571F5">
        <w:trPr>
          <w:jc w:val="center"/>
        </w:trPr>
        <w:tc>
          <w:tcPr>
            <w:tcW w:w="2804" w:type="dxa"/>
            <w:tcBorders>
              <w:top w:val="single" w:sz="6" w:space="0" w:color="000000"/>
              <w:left w:val="single" w:sz="6" w:space="0" w:color="000000"/>
              <w:bottom w:val="single" w:sz="6" w:space="0" w:color="000000"/>
              <w:right w:val="single" w:sz="6" w:space="0" w:color="000000"/>
            </w:tcBorders>
            <w:vAlign w:val="bottom"/>
          </w:tcPr>
          <w:p w14:paraId="50743047" w14:textId="77777777" w:rsidR="00E331EB" w:rsidRPr="001B4A02" w:rsidRDefault="00000000" w:rsidP="00970906">
            <w:pPr>
              <w:keepNext/>
              <w:keepLines/>
              <w:autoSpaceDE w:val="0"/>
              <w:autoSpaceDN w:val="0"/>
              <w:adjustRightInd w:val="0"/>
              <w:ind w:left="8" w:firstLine="0"/>
              <w:rPr>
                <w:bCs/>
              </w:rPr>
            </w:pPr>
            <w:r w:rsidRPr="001B4A02">
              <w:rPr>
                <w:bCs/>
                <w:szCs w:val="22"/>
              </w:rPr>
              <w:t>Týden 52</w:t>
            </w:r>
          </w:p>
        </w:tc>
        <w:tc>
          <w:tcPr>
            <w:tcW w:w="2231" w:type="dxa"/>
            <w:tcBorders>
              <w:top w:val="single" w:sz="6" w:space="0" w:color="000000"/>
              <w:left w:val="single" w:sz="6" w:space="0" w:color="000000"/>
              <w:bottom w:val="single" w:sz="6" w:space="0" w:color="000000"/>
              <w:right w:val="single" w:sz="6" w:space="0" w:color="000000"/>
            </w:tcBorders>
          </w:tcPr>
          <w:p w14:paraId="146CFE45" w14:textId="77777777" w:rsidR="00E331EB" w:rsidRPr="001B4A02" w:rsidRDefault="00000000" w:rsidP="00970906">
            <w:pPr>
              <w:keepNext/>
              <w:keepLines/>
              <w:tabs>
                <w:tab w:val="left" w:pos="-1080"/>
              </w:tabs>
              <w:autoSpaceDE w:val="0"/>
              <w:autoSpaceDN w:val="0"/>
              <w:adjustRightInd w:val="0"/>
              <w:ind w:left="0" w:firstLine="0"/>
              <w:jc w:val="center"/>
            </w:pPr>
            <w:r w:rsidRPr="001B4A02">
              <w:rPr>
                <w:szCs w:val="22"/>
              </w:rPr>
              <w:t>69,7</w:t>
            </w:r>
            <w:r>
              <w:rPr>
                <w:szCs w:val="22"/>
              </w:rPr>
              <w:t> %</w:t>
            </w:r>
          </w:p>
        </w:tc>
        <w:tc>
          <w:tcPr>
            <w:tcW w:w="2021" w:type="dxa"/>
            <w:tcBorders>
              <w:top w:val="single" w:sz="6" w:space="0" w:color="000000"/>
              <w:left w:val="single" w:sz="6" w:space="0" w:color="000000"/>
              <w:bottom w:val="single" w:sz="6" w:space="0" w:color="000000"/>
              <w:right w:val="single" w:sz="6" w:space="0" w:color="000000"/>
            </w:tcBorders>
          </w:tcPr>
          <w:p w14:paraId="346354D0" w14:textId="77777777" w:rsidR="00E331EB" w:rsidRPr="001B4A02" w:rsidRDefault="00000000" w:rsidP="00970906">
            <w:pPr>
              <w:keepNext/>
              <w:keepLines/>
              <w:tabs>
                <w:tab w:val="left" w:pos="-1080"/>
              </w:tabs>
              <w:autoSpaceDE w:val="0"/>
              <w:autoSpaceDN w:val="0"/>
              <w:adjustRightInd w:val="0"/>
              <w:ind w:left="0" w:firstLine="0"/>
              <w:jc w:val="center"/>
            </w:pPr>
            <w:r w:rsidRPr="001B4A02">
              <w:rPr>
                <w:szCs w:val="22"/>
              </w:rPr>
              <w:t>60,5</w:t>
            </w:r>
            <w:r>
              <w:rPr>
                <w:szCs w:val="22"/>
              </w:rPr>
              <w:t> %</w:t>
            </w:r>
          </w:p>
        </w:tc>
        <w:tc>
          <w:tcPr>
            <w:tcW w:w="1384" w:type="dxa"/>
            <w:tcBorders>
              <w:top w:val="single" w:sz="6" w:space="0" w:color="000000"/>
              <w:left w:val="single" w:sz="6" w:space="0" w:color="000000"/>
              <w:bottom w:val="single" w:sz="6" w:space="0" w:color="000000"/>
              <w:right w:val="single" w:sz="6" w:space="0" w:color="000000"/>
            </w:tcBorders>
            <w:vAlign w:val="bottom"/>
          </w:tcPr>
          <w:p w14:paraId="61B98ECB" w14:textId="77777777" w:rsidR="00E331EB" w:rsidRPr="001B4A02" w:rsidRDefault="00000000" w:rsidP="00970906">
            <w:pPr>
              <w:keepNext/>
              <w:keepLines/>
              <w:tabs>
                <w:tab w:val="left" w:pos="-1080"/>
              </w:tabs>
              <w:autoSpaceDE w:val="0"/>
              <w:autoSpaceDN w:val="0"/>
              <w:adjustRightInd w:val="0"/>
              <w:ind w:left="0" w:firstLine="0"/>
              <w:jc w:val="center"/>
            </w:pPr>
            <w:r w:rsidRPr="001B4A02">
              <w:rPr>
                <w:szCs w:val="22"/>
              </w:rPr>
              <w:t>0,420</w:t>
            </w:r>
          </w:p>
        </w:tc>
      </w:tr>
      <w:tr w:rsidR="00534A2D" w14:paraId="0AEE2E94" w14:textId="77777777" w:rsidTr="00E571F5">
        <w:trPr>
          <w:jc w:val="center"/>
        </w:trPr>
        <w:tc>
          <w:tcPr>
            <w:tcW w:w="2804" w:type="dxa"/>
            <w:tcBorders>
              <w:top w:val="single" w:sz="6" w:space="0" w:color="000000"/>
              <w:left w:val="single" w:sz="6" w:space="0" w:color="000000"/>
              <w:bottom w:val="single" w:sz="6" w:space="0" w:color="000000"/>
              <w:right w:val="single" w:sz="6" w:space="0" w:color="000000"/>
            </w:tcBorders>
            <w:vAlign w:val="bottom"/>
          </w:tcPr>
          <w:p w14:paraId="159941E0" w14:textId="77777777" w:rsidR="00E331EB" w:rsidRPr="001B4A02" w:rsidRDefault="00000000" w:rsidP="00970906">
            <w:pPr>
              <w:keepNext/>
              <w:keepLines/>
              <w:autoSpaceDE w:val="0"/>
              <w:autoSpaceDN w:val="0"/>
              <w:adjustRightInd w:val="0"/>
              <w:ind w:left="8" w:firstLine="0"/>
              <w:rPr>
                <w:b/>
              </w:rPr>
            </w:pPr>
            <w:r w:rsidRPr="001B4A02">
              <w:rPr>
                <w:b/>
                <w:szCs w:val="22"/>
              </w:rPr>
              <w:t>Vysazení imunomodulátorů</w:t>
            </w:r>
            <w:r w:rsidRPr="001B4A02">
              <w:rPr>
                <w:b/>
                <w:szCs w:val="22"/>
                <w:vertAlign w:val="superscript"/>
              </w:rPr>
              <w:t>2</w:t>
            </w:r>
          </w:p>
        </w:tc>
        <w:tc>
          <w:tcPr>
            <w:tcW w:w="2231" w:type="dxa"/>
            <w:tcBorders>
              <w:top w:val="single" w:sz="6" w:space="0" w:color="000000"/>
              <w:left w:val="single" w:sz="6" w:space="0" w:color="000000"/>
              <w:bottom w:val="single" w:sz="6" w:space="0" w:color="000000"/>
              <w:right w:val="single" w:sz="6" w:space="0" w:color="000000"/>
            </w:tcBorders>
            <w:vAlign w:val="bottom"/>
          </w:tcPr>
          <w:p w14:paraId="3380F136" w14:textId="77777777" w:rsidR="00E331EB" w:rsidRPr="001B4A02" w:rsidRDefault="00000000" w:rsidP="00970906">
            <w:pPr>
              <w:keepNext/>
              <w:keepLines/>
              <w:tabs>
                <w:tab w:val="left" w:pos="-1080"/>
              </w:tabs>
              <w:autoSpaceDE w:val="0"/>
              <w:autoSpaceDN w:val="0"/>
              <w:adjustRightInd w:val="0"/>
              <w:ind w:left="0" w:firstLine="0"/>
              <w:jc w:val="center"/>
              <w:rPr>
                <w:b/>
              </w:rPr>
            </w:pPr>
            <w:r>
              <w:rPr>
                <w:b/>
                <w:szCs w:val="22"/>
              </w:rPr>
              <w:t>n</w:t>
            </w:r>
            <w:r w:rsidRPr="001B4A02">
              <w:rPr>
                <w:b/>
                <w:szCs w:val="22"/>
              </w:rPr>
              <w:t>=60</w:t>
            </w:r>
          </w:p>
        </w:tc>
        <w:tc>
          <w:tcPr>
            <w:tcW w:w="2021" w:type="dxa"/>
            <w:tcBorders>
              <w:top w:val="single" w:sz="6" w:space="0" w:color="000000"/>
              <w:left w:val="single" w:sz="6" w:space="0" w:color="000000"/>
              <w:bottom w:val="single" w:sz="6" w:space="0" w:color="000000"/>
              <w:right w:val="single" w:sz="6" w:space="0" w:color="000000"/>
            </w:tcBorders>
            <w:vAlign w:val="bottom"/>
          </w:tcPr>
          <w:p w14:paraId="74B27F5A" w14:textId="77777777" w:rsidR="00E331EB" w:rsidRPr="001B4A02" w:rsidRDefault="00000000" w:rsidP="00970906">
            <w:pPr>
              <w:keepNext/>
              <w:keepLines/>
              <w:tabs>
                <w:tab w:val="left" w:pos="-1080"/>
              </w:tabs>
              <w:autoSpaceDE w:val="0"/>
              <w:autoSpaceDN w:val="0"/>
              <w:adjustRightInd w:val="0"/>
              <w:ind w:left="0" w:firstLine="0"/>
              <w:jc w:val="center"/>
              <w:rPr>
                <w:b/>
              </w:rPr>
            </w:pPr>
            <w:r>
              <w:rPr>
                <w:b/>
                <w:szCs w:val="22"/>
              </w:rPr>
              <w:t>n</w:t>
            </w:r>
            <w:r w:rsidRPr="001B4A02">
              <w:rPr>
                <w:b/>
                <w:szCs w:val="22"/>
              </w:rPr>
              <w:t>=57</w:t>
            </w:r>
          </w:p>
        </w:tc>
        <w:tc>
          <w:tcPr>
            <w:tcW w:w="1384" w:type="dxa"/>
            <w:tcBorders>
              <w:top w:val="single" w:sz="6" w:space="0" w:color="000000"/>
              <w:left w:val="single" w:sz="6" w:space="0" w:color="000000"/>
              <w:bottom w:val="single" w:sz="6" w:space="0" w:color="000000"/>
              <w:right w:val="single" w:sz="6" w:space="0" w:color="000000"/>
            </w:tcBorders>
            <w:vAlign w:val="bottom"/>
          </w:tcPr>
          <w:p w14:paraId="7ECC9E9F" w14:textId="77777777" w:rsidR="00E331EB" w:rsidRPr="001B4A02" w:rsidRDefault="00E331EB" w:rsidP="00970906">
            <w:pPr>
              <w:keepNext/>
              <w:autoSpaceDE w:val="0"/>
              <w:autoSpaceDN w:val="0"/>
              <w:adjustRightInd w:val="0"/>
              <w:ind w:left="0" w:firstLine="0"/>
              <w:jc w:val="center"/>
              <w:rPr>
                <w:b/>
              </w:rPr>
            </w:pPr>
          </w:p>
        </w:tc>
      </w:tr>
      <w:tr w:rsidR="00534A2D" w14:paraId="71D0F431" w14:textId="77777777" w:rsidTr="00E571F5">
        <w:trPr>
          <w:jc w:val="center"/>
        </w:trPr>
        <w:tc>
          <w:tcPr>
            <w:tcW w:w="2804" w:type="dxa"/>
            <w:tcBorders>
              <w:top w:val="single" w:sz="6" w:space="0" w:color="000000"/>
              <w:left w:val="single" w:sz="6" w:space="0" w:color="000000"/>
              <w:bottom w:val="single" w:sz="6" w:space="0" w:color="000000"/>
              <w:right w:val="single" w:sz="6" w:space="0" w:color="000000"/>
            </w:tcBorders>
          </w:tcPr>
          <w:p w14:paraId="6E7D9E22" w14:textId="77777777" w:rsidR="00E331EB" w:rsidRPr="001B4A02" w:rsidRDefault="00000000" w:rsidP="00970906">
            <w:pPr>
              <w:keepNext/>
              <w:keepLines/>
              <w:autoSpaceDE w:val="0"/>
              <w:autoSpaceDN w:val="0"/>
              <w:adjustRightInd w:val="0"/>
              <w:ind w:left="8" w:firstLine="0"/>
              <w:rPr>
                <w:bCs/>
              </w:rPr>
            </w:pPr>
            <w:r w:rsidRPr="001B4A02">
              <w:rPr>
                <w:bCs/>
                <w:szCs w:val="22"/>
              </w:rPr>
              <w:t>Týden 52</w:t>
            </w:r>
          </w:p>
        </w:tc>
        <w:tc>
          <w:tcPr>
            <w:tcW w:w="2231" w:type="dxa"/>
            <w:tcBorders>
              <w:top w:val="single" w:sz="6" w:space="0" w:color="000000"/>
              <w:left w:val="single" w:sz="6" w:space="0" w:color="000000"/>
              <w:bottom w:val="single" w:sz="6" w:space="0" w:color="000000"/>
              <w:right w:val="single" w:sz="6" w:space="0" w:color="000000"/>
            </w:tcBorders>
          </w:tcPr>
          <w:p w14:paraId="64286B4C" w14:textId="77777777" w:rsidR="00E331EB" w:rsidRPr="001B4A02" w:rsidRDefault="00000000" w:rsidP="00970906">
            <w:pPr>
              <w:keepNext/>
              <w:keepLines/>
              <w:tabs>
                <w:tab w:val="left" w:pos="-1080"/>
              </w:tabs>
              <w:autoSpaceDE w:val="0"/>
              <w:autoSpaceDN w:val="0"/>
              <w:adjustRightInd w:val="0"/>
              <w:ind w:left="0" w:firstLine="0"/>
              <w:jc w:val="center"/>
            </w:pPr>
            <w:r w:rsidRPr="001B4A02">
              <w:rPr>
                <w:szCs w:val="22"/>
              </w:rPr>
              <w:t>30,0</w:t>
            </w:r>
            <w:r>
              <w:rPr>
                <w:szCs w:val="22"/>
              </w:rPr>
              <w:t> %</w:t>
            </w:r>
          </w:p>
        </w:tc>
        <w:tc>
          <w:tcPr>
            <w:tcW w:w="2021" w:type="dxa"/>
            <w:tcBorders>
              <w:top w:val="single" w:sz="6" w:space="0" w:color="000000"/>
              <w:left w:val="single" w:sz="6" w:space="0" w:color="000000"/>
              <w:bottom w:val="single" w:sz="6" w:space="0" w:color="000000"/>
              <w:right w:val="single" w:sz="6" w:space="0" w:color="000000"/>
            </w:tcBorders>
          </w:tcPr>
          <w:p w14:paraId="7DA920A4" w14:textId="77777777" w:rsidR="00E331EB" w:rsidRPr="001B4A02" w:rsidRDefault="00000000" w:rsidP="00970906">
            <w:pPr>
              <w:keepNext/>
              <w:keepLines/>
              <w:tabs>
                <w:tab w:val="left" w:pos="-1080"/>
              </w:tabs>
              <w:autoSpaceDE w:val="0"/>
              <w:autoSpaceDN w:val="0"/>
              <w:adjustRightInd w:val="0"/>
              <w:ind w:left="0" w:firstLine="0"/>
              <w:jc w:val="center"/>
            </w:pPr>
            <w:r w:rsidRPr="001B4A02">
              <w:rPr>
                <w:szCs w:val="22"/>
              </w:rPr>
              <w:t>29,8</w:t>
            </w:r>
            <w:r>
              <w:rPr>
                <w:szCs w:val="22"/>
              </w:rPr>
              <w:t> %</w:t>
            </w:r>
          </w:p>
        </w:tc>
        <w:tc>
          <w:tcPr>
            <w:tcW w:w="1384" w:type="dxa"/>
            <w:tcBorders>
              <w:top w:val="single" w:sz="6" w:space="0" w:color="000000"/>
              <w:left w:val="single" w:sz="6" w:space="0" w:color="000000"/>
              <w:bottom w:val="single" w:sz="6" w:space="0" w:color="000000"/>
              <w:right w:val="single" w:sz="6" w:space="0" w:color="000000"/>
            </w:tcBorders>
          </w:tcPr>
          <w:p w14:paraId="5C563235" w14:textId="77777777" w:rsidR="00E331EB" w:rsidRPr="001B4A02" w:rsidRDefault="00000000" w:rsidP="00970906">
            <w:pPr>
              <w:keepNext/>
              <w:keepLines/>
              <w:tabs>
                <w:tab w:val="left" w:pos="-1080"/>
              </w:tabs>
              <w:autoSpaceDE w:val="0"/>
              <w:autoSpaceDN w:val="0"/>
              <w:adjustRightInd w:val="0"/>
              <w:ind w:left="0" w:firstLine="0"/>
              <w:jc w:val="center"/>
            </w:pPr>
            <w:r w:rsidRPr="001B4A02">
              <w:rPr>
                <w:szCs w:val="22"/>
              </w:rPr>
              <w:t>0,983</w:t>
            </w:r>
          </w:p>
        </w:tc>
      </w:tr>
      <w:tr w:rsidR="00534A2D" w14:paraId="6E3063A4" w14:textId="77777777" w:rsidTr="00E571F5">
        <w:trPr>
          <w:jc w:val="center"/>
        </w:trPr>
        <w:tc>
          <w:tcPr>
            <w:tcW w:w="2804" w:type="dxa"/>
            <w:tcBorders>
              <w:top w:val="single" w:sz="6" w:space="0" w:color="000000"/>
              <w:left w:val="single" w:sz="6" w:space="0" w:color="000000"/>
              <w:bottom w:val="single" w:sz="6" w:space="0" w:color="000000"/>
              <w:right w:val="single" w:sz="6" w:space="0" w:color="000000"/>
            </w:tcBorders>
          </w:tcPr>
          <w:p w14:paraId="7834ECF0" w14:textId="77777777" w:rsidR="00E331EB" w:rsidRPr="001B4A02" w:rsidRDefault="00000000" w:rsidP="00970906">
            <w:pPr>
              <w:keepNext/>
              <w:keepLines/>
              <w:autoSpaceDE w:val="0"/>
              <w:autoSpaceDN w:val="0"/>
              <w:adjustRightInd w:val="0"/>
              <w:ind w:left="8" w:firstLine="0"/>
              <w:rPr>
                <w:b/>
                <w:bCs/>
              </w:rPr>
            </w:pPr>
            <w:r w:rsidRPr="001B4A02">
              <w:rPr>
                <w:b/>
              </w:rPr>
              <w:t>Remise píštělí</w:t>
            </w:r>
            <w:r w:rsidRPr="001B4A02">
              <w:rPr>
                <w:b/>
                <w:vertAlign w:val="superscript"/>
              </w:rPr>
              <w:t>3</w:t>
            </w:r>
          </w:p>
        </w:tc>
        <w:tc>
          <w:tcPr>
            <w:tcW w:w="2231" w:type="dxa"/>
            <w:tcBorders>
              <w:top w:val="single" w:sz="6" w:space="0" w:color="000000"/>
              <w:left w:val="single" w:sz="6" w:space="0" w:color="000000"/>
              <w:bottom w:val="single" w:sz="6" w:space="0" w:color="000000"/>
              <w:right w:val="single" w:sz="6" w:space="0" w:color="000000"/>
            </w:tcBorders>
          </w:tcPr>
          <w:p w14:paraId="2172BE2F" w14:textId="77777777" w:rsidR="00E331EB" w:rsidRPr="001B4A02" w:rsidRDefault="00000000" w:rsidP="00970906">
            <w:pPr>
              <w:keepNext/>
              <w:keepLines/>
              <w:tabs>
                <w:tab w:val="left" w:pos="-1080"/>
              </w:tabs>
              <w:autoSpaceDE w:val="0"/>
              <w:autoSpaceDN w:val="0"/>
              <w:adjustRightInd w:val="0"/>
              <w:ind w:left="0" w:firstLine="0"/>
              <w:jc w:val="center"/>
            </w:pPr>
            <w:r>
              <w:rPr>
                <w:b/>
                <w:szCs w:val="22"/>
              </w:rPr>
              <w:t>n</w:t>
            </w:r>
            <w:r w:rsidRPr="001B4A02">
              <w:rPr>
                <w:b/>
                <w:szCs w:val="22"/>
              </w:rPr>
              <w:t>=15</w:t>
            </w:r>
          </w:p>
        </w:tc>
        <w:tc>
          <w:tcPr>
            <w:tcW w:w="2021" w:type="dxa"/>
            <w:tcBorders>
              <w:top w:val="single" w:sz="6" w:space="0" w:color="000000"/>
              <w:left w:val="single" w:sz="6" w:space="0" w:color="000000"/>
              <w:bottom w:val="single" w:sz="6" w:space="0" w:color="000000"/>
              <w:right w:val="single" w:sz="6" w:space="0" w:color="000000"/>
            </w:tcBorders>
          </w:tcPr>
          <w:p w14:paraId="49F6C274" w14:textId="77777777" w:rsidR="00E331EB" w:rsidRPr="001B4A02" w:rsidRDefault="00000000" w:rsidP="00970906">
            <w:pPr>
              <w:keepNext/>
              <w:keepLines/>
              <w:tabs>
                <w:tab w:val="left" w:pos="-1080"/>
              </w:tabs>
              <w:autoSpaceDE w:val="0"/>
              <w:autoSpaceDN w:val="0"/>
              <w:adjustRightInd w:val="0"/>
              <w:ind w:left="0" w:firstLine="0"/>
              <w:jc w:val="center"/>
            </w:pPr>
            <w:r>
              <w:rPr>
                <w:b/>
                <w:szCs w:val="22"/>
              </w:rPr>
              <w:t>n</w:t>
            </w:r>
            <w:r w:rsidRPr="001B4A02">
              <w:rPr>
                <w:b/>
                <w:szCs w:val="22"/>
              </w:rPr>
              <w:t>=21</w:t>
            </w:r>
          </w:p>
        </w:tc>
        <w:tc>
          <w:tcPr>
            <w:tcW w:w="1384" w:type="dxa"/>
            <w:tcBorders>
              <w:top w:val="single" w:sz="6" w:space="0" w:color="000000"/>
              <w:left w:val="single" w:sz="6" w:space="0" w:color="000000"/>
              <w:bottom w:val="single" w:sz="6" w:space="0" w:color="000000"/>
              <w:right w:val="single" w:sz="6" w:space="0" w:color="000000"/>
            </w:tcBorders>
          </w:tcPr>
          <w:p w14:paraId="1A8EAA85" w14:textId="77777777" w:rsidR="00E331EB" w:rsidRPr="001B4A02" w:rsidRDefault="00E331EB" w:rsidP="00970906">
            <w:pPr>
              <w:keepNext/>
              <w:keepLines/>
              <w:tabs>
                <w:tab w:val="left" w:pos="-1080"/>
              </w:tabs>
              <w:autoSpaceDE w:val="0"/>
              <w:autoSpaceDN w:val="0"/>
              <w:adjustRightInd w:val="0"/>
              <w:ind w:left="0" w:firstLine="0"/>
              <w:jc w:val="center"/>
            </w:pPr>
          </w:p>
        </w:tc>
      </w:tr>
      <w:tr w:rsidR="00534A2D" w14:paraId="379EE620" w14:textId="77777777" w:rsidTr="00E571F5">
        <w:trPr>
          <w:jc w:val="center"/>
        </w:trPr>
        <w:tc>
          <w:tcPr>
            <w:tcW w:w="2804" w:type="dxa"/>
            <w:tcBorders>
              <w:top w:val="single" w:sz="6" w:space="0" w:color="000000"/>
              <w:left w:val="single" w:sz="6" w:space="0" w:color="000000"/>
              <w:bottom w:val="single" w:sz="6" w:space="0" w:color="000000"/>
              <w:right w:val="single" w:sz="6" w:space="0" w:color="000000"/>
            </w:tcBorders>
          </w:tcPr>
          <w:p w14:paraId="516B74AD" w14:textId="77777777" w:rsidR="00E331EB" w:rsidRPr="001B4A02" w:rsidRDefault="00000000" w:rsidP="00970906">
            <w:pPr>
              <w:keepNext/>
              <w:keepLines/>
              <w:autoSpaceDE w:val="0"/>
              <w:autoSpaceDN w:val="0"/>
              <w:adjustRightInd w:val="0"/>
              <w:ind w:left="8" w:firstLine="0"/>
              <w:rPr>
                <w:bCs/>
              </w:rPr>
            </w:pPr>
            <w:r w:rsidRPr="001B4A02">
              <w:rPr>
                <w:bCs/>
                <w:szCs w:val="22"/>
              </w:rPr>
              <w:t>Týden 26</w:t>
            </w:r>
          </w:p>
        </w:tc>
        <w:tc>
          <w:tcPr>
            <w:tcW w:w="2231" w:type="dxa"/>
            <w:tcBorders>
              <w:top w:val="single" w:sz="6" w:space="0" w:color="000000"/>
              <w:left w:val="single" w:sz="6" w:space="0" w:color="000000"/>
              <w:bottom w:val="single" w:sz="6" w:space="0" w:color="000000"/>
              <w:right w:val="single" w:sz="6" w:space="0" w:color="000000"/>
            </w:tcBorders>
          </w:tcPr>
          <w:p w14:paraId="2267F27B" w14:textId="77777777" w:rsidR="00E331EB" w:rsidRPr="001B4A02" w:rsidRDefault="00000000" w:rsidP="00970906">
            <w:pPr>
              <w:keepNext/>
              <w:keepLines/>
              <w:tabs>
                <w:tab w:val="left" w:pos="-1080"/>
              </w:tabs>
              <w:autoSpaceDE w:val="0"/>
              <w:autoSpaceDN w:val="0"/>
              <w:adjustRightInd w:val="0"/>
              <w:ind w:left="0" w:firstLine="0"/>
              <w:jc w:val="center"/>
            </w:pPr>
            <w:r w:rsidRPr="001B4A02">
              <w:t>46,7</w:t>
            </w:r>
            <w:r>
              <w:t> %</w:t>
            </w:r>
          </w:p>
        </w:tc>
        <w:tc>
          <w:tcPr>
            <w:tcW w:w="2021" w:type="dxa"/>
            <w:tcBorders>
              <w:top w:val="single" w:sz="6" w:space="0" w:color="000000"/>
              <w:left w:val="single" w:sz="6" w:space="0" w:color="000000"/>
              <w:bottom w:val="single" w:sz="6" w:space="0" w:color="000000"/>
              <w:right w:val="single" w:sz="6" w:space="0" w:color="000000"/>
            </w:tcBorders>
          </w:tcPr>
          <w:p w14:paraId="08CE262A" w14:textId="77777777" w:rsidR="00E331EB" w:rsidRPr="001B4A02" w:rsidRDefault="00000000" w:rsidP="00970906">
            <w:pPr>
              <w:keepNext/>
              <w:keepLines/>
              <w:tabs>
                <w:tab w:val="left" w:pos="-1080"/>
              </w:tabs>
              <w:autoSpaceDE w:val="0"/>
              <w:autoSpaceDN w:val="0"/>
              <w:adjustRightInd w:val="0"/>
              <w:ind w:left="0" w:firstLine="0"/>
              <w:jc w:val="center"/>
            </w:pPr>
            <w:r w:rsidRPr="001B4A02">
              <w:t>38,1</w:t>
            </w:r>
            <w:r>
              <w:t> %</w:t>
            </w:r>
          </w:p>
        </w:tc>
        <w:tc>
          <w:tcPr>
            <w:tcW w:w="1384" w:type="dxa"/>
            <w:tcBorders>
              <w:top w:val="single" w:sz="6" w:space="0" w:color="000000"/>
              <w:left w:val="single" w:sz="6" w:space="0" w:color="000000"/>
              <w:bottom w:val="single" w:sz="6" w:space="0" w:color="000000"/>
              <w:right w:val="single" w:sz="6" w:space="0" w:color="000000"/>
            </w:tcBorders>
          </w:tcPr>
          <w:p w14:paraId="679AC5B0" w14:textId="77777777" w:rsidR="00E331EB" w:rsidRPr="001B4A02" w:rsidRDefault="00000000" w:rsidP="00970906">
            <w:pPr>
              <w:keepNext/>
              <w:keepLines/>
              <w:tabs>
                <w:tab w:val="left" w:pos="-1080"/>
              </w:tabs>
              <w:autoSpaceDE w:val="0"/>
              <w:autoSpaceDN w:val="0"/>
              <w:adjustRightInd w:val="0"/>
              <w:ind w:left="0" w:firstLine="0"/>
              <w:jc w:val="center"/>
            </w:pPr>
            <w:r w:rsidRPr="001B4A02">
              <w:t>0,608</w:t>
            </w:r>
          </w:p>
        </w:tc>
      </w:tr>
      <w:tr w:rsidR="00534A2D" w14:paraId="0C573817" w14:textId="77777777" w:rsidTr="00E571F5">
        <w:trPr>
          <w:jc w:val="center"/>
        </w:trPr>
        <w:tc>
          <w:tcPr>
            <w:tcW w:w="2804" w:type="dxa"/>
            <w:tcBorders>
              <w:top w:val="single" w:sz="6" w:space="0" w:color="000000"/>
              <w:left w:val="single" w:sz="6" w:space="0" w:color="000000"/>
              <w:bottom w:val="single" w:sz="4" w:space="0" w:color="auto"/>
              <w:right w:val="single" w:sz="6" w:space="0" w:color="000000"/>
            </w:tcBorders>
          </w:tcPr>
          <w:p w14:paraId="65EF36C2" w14:textId="77777777" w:rsidR="00E331EB" w:rsidRPr="001B4A02" w:rsidRDefault="00000000" w:rsidP="00970906">
            <w:pPr>
              <w:keepNext/>
              <w:keepLines/>
              <w:autoSpaceDE w:val="0"/>
              <w:autoSpaceDN w:val="0"/>
              <w:adjustRightInd w:val="0"/>
              <w:ind w:left="8" w:firstLine="0"/>
              <w:rPr>
                <w:bCs/>
              </w:rPr>
            </w:pPr>
            <w:r w:rsidRPr="001B4A02">
              <w:t>Týden 52</w:t>
            </w:r>
          </w:p>
        </w:tc>
        <w:tc>
          <w:tcPr>
            <w:tcW w:w="2231" w:type="dxa"/>
            <w:tcBorders>
              <w:top w:val="single" w:sz="6" w:space="0" w:color="000000"/>
              <w:left w:val="single" w:sz="6" w:space="0" w:color="000000"/>
              <w:bottom w:val="single" w:sz="4" w:space="0" w:color="auto"/>
              <w:right w:val="single" w:sz="6" w:space="0" w:color="000000"/>
            </w:tcBorders>
          </w:tcPr>
          <w:p w14:paraId="2514A837" w14:textId="77777777" w:rsidR="00E331EB" w:rsidRPr="001B4A02" w:rsidRDefault="00000000" w:rsidP="00970906">
            <w:pPr>
              <w:keepNext/>
              <w:keepLines/>
              <w:tabs>
                <w:tab w:val="left" w:pos="-1080"/>
              </w:tabs>
              <w:autoSpaceDE w:val="0"/>
              <w:autoSpaceDN w:val="0"/>
              <w:adjustRightInd w:val="0"/>
              <w:ind w:left="0" w:firstLine="0"/>
              <w:jc w:val="center"/>
            </w:pPr>
            <w:r w:rsidRPr="001B4A02">
              <w:t>40,0</w:t>
            </w:r>
            <w:r>
              <w:t> %</w:t>
            </w:r>
          </w:p>
        </w:tc>
        <w:tc>
          <w:tcPr>
            <w:tcW w:w="2021" w:type="dxa"/>
            <w:tcBorders>
              <w:top w:val="single" w:sz="6" w:space="0" w:color="000000"/>
              <w:left w:val="single" w:sz="6" w:space="0" w:color="000000"/>
              <w:bottom w:val="single" w:sz="4" w:space="0" w:color="auto"/>
              <w:right w:val="single" w:sz="6" w:space="0" w:color="000000"/>
            </w:tcBorders>
          </w:tcPr>
          <w:p w14:paraId="24860380" w14:textId="77777777" w:rsidR="00E331EB" w:rsidRPr="001B4A02" w:rsidRDefault="00000000" w:rsidP="00970906">
            <w:pPr>
              <w:keepNext/>
              <w:keepLines/>
              <w:tabs>
                <w:tab w:val="left" w:pos="-1080"/>
              </w:tabs>
              <w:autoSpaceDE w:val="0"/>
              <w:autoSpaceDN w:val="0"/>
              <w:adjustRightInd w:val="0"/>
              <w:ind w:left="0" w:firstLine="0"/>
              <w:jc w:val="center"/>
            </w:pPr>
            <w:r w:rsidRPr="001B4A02">
              <w:t>23,8</w:t>
            </w:r>
            <w:r>
              <w:t> %</w:t>
            </w:r>
          </w:p>
        </w:tc>
        <w:tc>
          <w:tcPr>
            <w:tcW w:w="1384" w:type="dxa"/>
            <w:tcBorders>
              <w:top w:val="single" w:sz="6" w:space="0" w:color="000000"/>
              <w:left w:val="single" w:sz="6" w:space="0" w:color="000000"/>
              <w:bottom w:val="single" w:sz="4" w:space="0" w:color="auto"/>
              <w:right w:val="single" w:sz="6" w:space="0" w:color="000000"/>
            </w:tcBorders>
          </w:tcPr>
          <w:p w14:paraId="4440FDD9" w14:textId="77777777" w:rsidR="00E331EB" w:rsidRPr="001B4A02" w:rsidRDefault="00000000" w:rsidP="00970906">
            <w:pPr>
              <w:keepNext/>
              <w:keepLines/>
              <w:tabs>
                <w:tab w:val="left" w:pos="-1080"/>
              </w:tabs>
              <w:autoSpaceDE w:val="0"/>
              <w:autoSpaceDN w:val="0"/>
              <w:adjustRightInd w:val="0"/>
              <w:ind w:left="0" w:firstLine="0"/>
              <w:jc w:val="center"/>
            </w:pPr>
            <w:r w:rsidRPr="001B4A02">
              <w:t>0,303</w:t>
            </w:r>
          </w:p>
        </w:tc>
      </w:tr>
      <w:tr w:rsidR="00534A2D" w14:paraId="5A3D095E" w14:textId="77777777" w:rsidTr="00E571F5">
        <w:trPr>
          <w:trHeight w:val="177"/>
          <w:jc w:val="center"/>
        </w:trPr>
        <w:tc>
          <w:tcPr>
            <w:tcW w:w="8440" w:type="dxa"/>
            <w:gridSpan w:val="4"/>
            <w:tcBorders>
              <w:top w:val="single" w:sz="4" w:space="0" w:color="auto"/>
            </w:tcBorders>
          </w:tcPr>
          <w:p w14:paraId="090F7E0F" w14:textId="77777777" w:rsidR="00E331EB" w:rsidRPr="007E416D" w:rsidRDefault="00000000" w:rsidP="00970906">
            <w:pPr>
              <w:keepNext/>
              <w:keepLines/>
              <w:autoSpaceDE w:val="0"/>
              <w:autoSpaceDN w:val="0"/>
              <w:adjustRightInd w:val="0"/>
              <w:ind w:left="0" w:firstLine="0"/>
              <w:rPr>
                <w:sz w:val="20"/>
              </w:rPr>
            </w:pPr>
            <w:r w:rsidRPr="007E416D">
              <w:rPr>
                <w:sz w:val="20"/>
                <w:vertAlign w:val="superscript"/>
              </w:rPr>
              <w:t>1</w:t>
            </w:r>
            <w:r w:rsidRPr="007E416D">
              <w:rPr>
                <w:sz w:val="20"/>
              </w:rPr>
              <w:t xml:space="preserve"> p hodnota pro standardní dávku v porovnání se sníženou dávkou</w:t>
            </w:r>
          </w:p>
          <w:p w14:paraId="3263C5AA" w14:textId="77777777" w:rsidR="00E331EB" w:rsidRPr="007E416D" w:rsidRDefault="00000000" w:rsidP="00970906">
            <w:pPr>
              <w:keepNext/>
              <w:keepLines/>
              <w:autoSpaceDE w:val="0"/>
              <w:autoSpaceDN w:val="0"/>
              <w:adjustRightInd w:val="0"/>
              <w:ind w:left="255" w:hanging="255"/>
              <w:rPr>
                <w:sz w:val="20"/>
              </w:rPr>
            </w:pPr>
            <w:r w:rsidRPr="007E416D">
              <w:rPr>
                <w:sz w:val="20"/>
                <w:vertAlign w:val="superscript"/>
              </w:rPr>
              <w:t>2</w:t>
            </w:r>
            <w:r w:rsidRPr="007E416D">
              <w:rPr>
                <w:sz w:val="20"/>
              </w:rPr>
              <w:t xml:space="preserve"> Léčba imunosupresivy může být vysazena teprve až v týdnu 26 dle úsudku investigátora, pokud subjekt splňuje kritéria považovaná za odpověď</w:t>
            </w:r>
          </w:p>
          <w:p w14:paraId="38A2D7C9" w14:textId="77777777" w:rsidR="00E331EB" w:rsidRPr="001B4A02" w:rsidRDefault="00000000" w:rsidP="00970906">
            <w:pPr>
              <w:keepNext/>
              <w:keepLines/>
              <w:autoSpaceDE w:val="0"/>
              <w:autoSpaceDN w:val="0"/>
              <w:adjustRightInd w:val="0"/>
              <w:ind w:left="0" w:firstLine="0"/>
              <w:rPr>
                <w:szCs w:val="22"/>
              </w:rPr>
            </w:pPr>
            <w:r w:rsidRPr="007E416D">
              <w:rPr>
                <w:sz w:val="20"/>
                <w:vertAlign w:val="superscript"/>
              </w:rPr>
              <w:t>3</w:t>
            </w:r>
            <w:r w:rsidRPr="007E416D">
              <w:rPr>
                <w:sz w:val="20"/>
              </w:rPr>
              <w:t xml:space="preserve"> Přetrvávání uzavření všech píštělí po dobu 2 po sobě jdoucích vizit, které byly ve výchozím stavu secernující</w:t>
            </w:r>
          </w:p>
        </w:tc>
      </w:tr>
    </w:tbl>
    <w:p w14:paraId="729D42B2" w14:textId="77777777" w:rsidR="00E331EB" w:rsidRPr="001B4A02" w:rsidRDefault="00E331EB" w:rsidP="00E331EB">
      <w:pPr>
        <w:tabs>
          <w:tab w:val="left" w:pos="1294"/>
        </w:tabs>
        <w:autoSpaceDE w:val="0"/>
        <w:autoSpaceDN w:val="0"/>
        <w:adjustRightInd w:val="0"/>
        <w:rPr>
          <w:szCs w:val="22"/>
        </w:rPr>
      </w:pPr>
    </w:p>
    <w:p w14:paraId="1614A7EB" w14:textId="77777777" w:rsidR="00E331EB" w:rsidRPr="001B4A02" w:rsidRDefault="00000000" w:rsidP="00E331EB">
      <w:pPr>
        <w:ind w:left="0" w:firstLine="0"/>
      </w:pPr>
      <w:r w:rsidRPr="001B4A02">
        <w:t>Bylo pozorováno statisticky významné zvýšení (zlepšení) Body Mass Indexu</w:t>
      </w:r>
      <w:r w:rsidR="002378E0">
        <w:t xml:space="preserve"> a </w:t>
      </w:r>
      <w:r w:rsidRPr="001B4A02">
        <w:t>rychlosti růstu v týdnu 26</w:t>
      </w:r>
      <w:r w:rsidR="002378E0">
        <w:t xml:space="preserve"> a </w:t>
      </w:r>
      <w:r w:rsidRPr="001B4A02">
        <w:t>52 v porovnání s výchozím stavem.</w:t>
      </w:r>
    </w:p>
    <w:p w14:paraId="317AA296" w14:textId="77777777" w:rsidR="00E331EB" w:rsidRPr="001B4A02" w:rsidRDefault="00E331EB" w:rsidP="00E331EB">
      <w:pPr>
        <w:ind w:left="0" w:firstLine="0"/>
      </w:pPr>
    </w:p>
    <w:p w14:paraId="48BC2185" w14:textId="77777777" w:rsidR="00E331EB" w:rsidRPr="001B4A02" w:rsidRDefault="00000000" w:rsidP="00E331EB">
      <w:pPr>
        <w:ind w:left="0" w:firstLine="0"/>
      </w:pPr>
      <w:r w:rsidRPr="001B4A02">
        <w:t>Statisticky</w:t>
      </w:r>
      <w:r w:rsidR="002378E0">
        <w:t xml:space="preserve"> a </w:t>
      </w:r>
      <w:r w:rsidRPr="001B4A02">
        <w:t>klinicky významné zlepšení v parametrech kvality života (včetně IMPACT III) v porovnání s výchozím stavem bylo také pozorováno v obou terapeutických skupinách.</w:t>
      </w:r>
    </w:p>
    <w:p w14:paraId="745EBAAA" w14:textId="77777777" w:rsidR="00E331EB" w:rsidRPr="001B4A02" w:rsidRDefault="00E331EB" w:rsidP="00E331EB">
      <w:pPr>
        <w:ind w:left="0" w:firstLine="0"/>
      </w:pPr>
    </w:p>
    <w:p w14:paraId="712BF34E" w14:textId="77777777" w:rsidR="00E331EB" w:rsidRPr="001B4A02" w:rsidRDefault="00000000" w:rsidP="00E331EB">
      <w:pPr>
        <w:pStyle w:val="EMEANormal"/>
        <w:rPr>
          <w:lang w:val="cs-CZ"/>
        </w:rPr>
      </w:pPr>
      <w:r w:rsidRPr="001B4A02">
        <w:rPr>
          <w:lang w:val="cs-CZ"/>
        </w:rPr>
        <w:t>Sto pacientů (n=100) ze studie s Crohnovou chorobou u pediatrických pacientů bylo zařazeno do otevřené dlouhodobé prodloužené fáze studie. Po 5 letech léčby adalimumabem přetrvávala klinická remise u 74 % (37 z 50) pacientů setrvávajících ve studii</w:t>
      </w:r>
      <w:r w:rsidR="002378E0">
        <w:rPr>
          <w:lang w:val="cs-CZ"/>
        </w:rPr>
        <w:t xml:space="preserve"> a </w:t>
      </w:r>
      <w:r w:rsidRPr="001B4A02">
        <w:rPr>
          <w:lang w:val="cs-CZ"/>
        </w:rPr>
        <w:t>u 92 % (46 z 50) pacientů přetrvávala klinická odpověď podle PCDAI.</w:t>
      </w:r>
    </w:p>
    <w:p w14:paraId="3E21F8BD" w14:textId="77777777" w:rsidR="00E331EB" w:rsidRDefault="00E331EB" w:rsidP="00E331EB">
      <w:pPr>
        <w:pStyle w:val="EMEANormal"/>
        <w:rPr>
          <w:bCs/>
          <w:lang w:val="cs-CZ"/>
        </w:rPr>
      </w:pPr>
    </w:p>
    <w:p w14:paraId="385038D0" w14:textId="77777777" w:rsidR="00245623" w:rsidRDefault="00000000" w:rsidP="00245623">
      <w:pPr>
        <w:keepNext/>
        <w:rPr>
          <w:bCs/>
          <w:i/>
        </w:rPr>
      </w:pPr>
      <w:r>
        <w:rPr>
          <w:i/>
        </w:rPr>
        <w:t>Ulcerózní kolitida u pediatrických pacientů</w:t>
      </w:r>
    </w:p>
    <w:p w14:paraId="78A04858" w14:textId="77777777" w:rsidR="00245623" w:rsidRPr="00D01607" w:rsidRDefault="00245623" w:rsidP="00245623">
      <w:pPr>
        <w:keepNext/>
        <w:rPr>
          <w:bCs/>
          <w:i/>
        </w:rPr>
      </w:pPr>
    </w:p>
    <w:p w14:paraId="38044E6E" w14:textId="77777777" w:rsidR="00245623" w:rsidRDefault="00000000" w:rsidP="00245623">
      <w:pPr>
        <w:ind w:left="0" w:firstLine="0"/>
      </w:pPr>
      <w:r>
        <w:t>Bezpečnost</w:t>
      </w:r>
      <w:r w:rsidR="002378E0">
        <w:t xml:space="preserve"> a </w:t>
      </w:r>
      <w:r>
        <w:t>účinnost přípravku Humira byla hodnocena v multicentrické, randomizované, dvojitě zaslepené studii u 93 pediatrických pacientů ve věku od 5 do 17 let se středně těžkou až těžkou ulcerózní kolitidou (Mayo skóre 6 až 12 s podskóre endoskopie 2 až 3 body, potvrzeno centrálně odečtenou endoskopií), kteří měli nedostatečnou odpověď nebo intoleranci na konvenční terapii. V</w:t>
      </w:r>
      <w:r w:rsidR="000E6EA0">
        <w:t> </w:t>
      </w:r>
      <w:r>
        <w:t>této studii u</w:t>
      </w:r>
      <w:r w:rsidR="00A57F08">
        <w:rPr>
          <w:rStyle w:val="normaltextrun"/>
        </w:rPr>
        <w:t> </w:t>
      </w:r>
      <w:r>
        <w:t>přibližně 16</w:t>
      </w:r>
      <w:r w:rsidR="00A57F08">
        <w:rPr>
          <w:rStyle w:val="normaltextrun"/>
        </w:rPr>
        <w:t> </w:t>
      </w:r>
      <w:r>
        <w:t>% pacientů selhala dřívější anti-TNF léčba. Pacienti, kteří dostávali kortikosteroidy při zařazení do studie, mohli po týdnu 4 začít svoji léčbu kortikosteroidy</w:t>
      </w:r>
      <w:r w:rsidRPr="00CC48C6">
        <w:t xml:space="preserve"> </w:t>
      </w:r>
      <w:r>
        <w:t>snižovat.</w:t>
      </w:r>
    </w:p>
    <w:p w14:paraId="1841B28C" w14:textId="77777777" w:rsidR="00245623" w:rsidRPr="00D01607" w:rsidRDefault="00245623" w:rsidP="00245623">
      <w:pPr>
        <w:ind w:left="0" w:firstLine="0"/>
      </w:pPr>
    </w:p>
    <w:p w14:paraId="2B6B5D82" w14:textId="77777777" w:rsidR="00245623" w:rsidRDefault="00000000" w:rsidP="00245623">
      <w:pPr>
        <w:ind w:left="0" w:firstLine="0"/>
        <w:rPr>
          <w:rStyle w:val="eop"/>
          <w:shd w:val="clear" w:color="auto" w:fill="FFFFFF"/>
        </w:rPr>
      </w:pPr>
      <w:r>
        <w:rPr>
          <w:rStyle w:val="normaltextrun"/>
          <w:shd w:val="clear" w:color="auto" w:fill="FFFFFF"/>
        </w:rPr>
        <w:t>V</w:t>
      </w:r>
      <w:r w:rsidR="000E6EA0">
        <w:rPr>
          <w:rStyle w:val="normaltextrun"/>
          <w:shd w:val="clear" w:color="auto" w:fill="FFFFFF"/>
        </w:rPr>
        <w:t> </w:t>
      </w:r>
      <w:r>
        <w:rPr>
          <w:rStyle w:val="normaltextrun"/>
          <w:shd w:val="clear" w:color="auto" w:fill="FFFFFF"/>
        </w:rPr>
        <w:t>indukčním období studie bylo randomizováno 77 pacientů v poměru 3:2 k užívání dvojitě zaslepené léčby přípravkem Humira v indukční dávce 2,4</w:t>
      </w:r>
      <w:r w:rsidR="00874DE1" w:rsidRPr="00005EC2">
        <w:rPr>
          <w:szCs w:val="22"/>
        </w:rPr>
        <w:t> </w:t>
      </w:r>
      <w:r>
        <w:rPr>
          <w:rStyle w:val="normaltextrun"/>
          <w:shd w:val="clear" w:color="auto" w:fill="FFFFFF"/>
        </w:rPr>
        <w:t>mg/kg (maximální dávka 160</w:t>
      </w:r>
      <w:r w:rsidR="00874DE1" w:rsidRPr="00005EC2">
        <w:rPr>
          <w:szCs w:val="22"/>
        </w:rPr>
        <w:t> </w:t>
      </w:r>
      <w:r>
        <w:rPr>
          <w:rStyle w:val="normaltextrun"/>
          <w:shd w:val="clear" w:color="auto" w:fill="FFFFFF"/>
        </w:rPr>
        <w:t>mg) v </w:t>
      </w:r>
      <w:r w:rsidRPr="00BC5CBC">
        <w:rPr>
          <w:rStyle w:val="normaltextrun"/>
          <w:shd w:val="clear" w:color="auto" w:fill="FFFFFF"/>
        </w:rPr>
        <w:t>týdnech 0</w:t>
      </w:r>
      <w:r w:rsidR="002378E0">
        <w:rPr>
          <w:rStyle w:val="normaltextrun"/>
          <w:shd w:val="clear" w:color="auto" w:fill="FFFFFF"/>
        </w:rPr>
        <w:t xml:space="preserve"> a </w:t>
      </w:r>
      <w:r w:rsidRPr="00BC5CBC">
        <w:rPr>
          <w:rStyle w:val="normaltextrun"/>
          <w:shd w:val="clear" w:color="auto" w:fill="FFFFFF"/>
        </w:rPr>
        <w:t>1</w:t>
      </w:r>
      <w:r w:rsidR="002378E0">
        <w:rPr>
          <w:rStyle w:val="normaltextrun"/>
          <w:shd w:val="clear" w:color="auto" w:fill="FFFFFF"/>
        </w:rPr>
        <w:t xml:space="preserve"> a </w:t>
      </w:r>
      <w:r>
        <w:rPr>
          <w:rStyle w:val="normaltextrun"/>
          <w:shd w:val="clear" w:color="auto" w:fill="FFFFFF"/>
        </w:rPr>
        <w:t>1,2</w:t>
      </w:r>
      <w:r w:rsidR="00874DE1" w:rsidRPr="00005EC2">
        <w:rPr>
          <w:szCs w:val="22"/>
        </w:rPr>
        <w:t> </w:t>
      </w:r>
      <w:r>
        <w:rPr>
          <w:rStyle w:val="normaltextrun"/>
          <w:shd w:val="clear" w:color="auto" w:fill="FFFFFF"/>
        </w:rPr>
        <w:t>mg/kg (maximální dávka 80</w:t>
      </w:r>
      <w:r w:rsidR="00874DE1" w:rsidRPr="00005EC2">
        <w:rPr>
          <w:szCs w:val="22"/>
        </w:rPr>
        <w:t> </w:t>
      </w:r>
      <w:r>
        <w:rPr>
          <w:rStyle w:val="normaltextrun"/>
          <w:shd w:val="clear" w:color="auto" w:fill="FFFFFF"/>
        </w:rPr>
        <w:t>mg) v</w:t>
      </w:r>
      <w:r w:rsidR="000E6EA0">
        <w:rPr>
          <w:rStyle w:val="normaltextrun"/>
          <w:shd w:val="clear" w:color="auto" w:fill="FFFFFF"/>
        </w:rPr>
        <w:t> </w:t>
      </w:r>
      <w:r>
        <w:rPr>
          <w:rStyle w:val="normaltextrun"/>
          <w:shd w:val="clear" w:color="auto" w:fill="FFFFFF"/>
        </w:rPr>
        <w:t>týdnu 2; nebo indukční dávce 2,4</w:t>
      </w:r>
      <w:r w:rsidR="00874DE1" w:rsidRPr="00005EC2">
        <w:rPr>
          <w:szCs w:val="22"/>
        </w:rPr>
        <w:t> </w:t>
      </w:r>
      <w:r>
        <w:rPr>
          <w:rStyle w:val="normaltextrun"/>
          <w:shd w:val="clear" w:color="auto" w:fill="FFFFFF"/>
        </w:rPr>
        <w:t>mg/kg (maximální dávka 160</w:t>
      </w:r>
      <w:r w:rsidR="00874DE1" w:rsidRPr="00005EC2">
        <w:rPr>
          <w:szCs w:val="22"/>
        </w:rPr>
        <w:t> </w:t>
      </w:r>
      <w:r>
        <w:rPr>
          <w:rStyle w:val="normaltextrun"/>
          <w:shd w:val="clear" w:color="auto" w:fill="FFFFFF"/>
        </w:rPr>
        <w:t>mg) v týdnu 0, placebo v </w:t>
      </w:r>
      <w:r w:rsidRPr="00BC5CBC">
        <w:rPr>
          <w:rStyle w:val="normaltextrun"/>
          <w:shd w:val="clear" w:color="auto" w:fill="FFFFFF"/>
        </w:rPr>
        <w:t>týdnu 1</w:t>
      </w:r>
      <w:r w:rsidR="002378E0">
        <w:rPr>
          <w:rStyle w:val="normaltextrun"/>
          <w:shd w:val="clear" w:color="auto" w:fill="FFFFFF"/>
        </w:rPr>
        <w:t xml:space="preserve"> a </w:t>
      </w:r>
      <w:r>
        <w:rPr>
          <w:rStyle w:val="normaltextrun"/>
          <w:shd w:val="clear" w:color="auto" w:fill="FFFFFF"/>
        </w:rPr>
        <w:t>1,2</w:t>
      </w:r>
      <w:r w:rsidR="00874DE1" w:rsidRPr="00005EC2">
        <w:rPr>
          <w:szCs w:val="22"/>
        </w:rPr>
        <w:t> </w:t>
      </w:r>
      <w:r>
        <w:rPr>
          <w:rStyle w:val="normaltextrun"/>
          <w:shd w:val="clear" w:color="auto" w:fill="FFFFFF"/>
        </w:rPr>
        <w:t>mg/kg (maximální dávka 80</w:t>
      </w:r>
      <w:r w:rsidR="00874DE1" w:rsidRPr="00005EC2">
        <w:rPr>
          <w:szCs w:val="22"/>
        </w:rPr>
        <w:t> </w:t>
      </w:r>
      <w:r>
        <w:rPr>
          <w:rStyle w:val="normaltextrun"/>
          <w:shd w:val="clear" w:color="auto" w:fill="FFFFFF"/>
        </w:rPr>
        <w:t>mg) v</w:t>
      </w:r>
      <w:r w:rsidR="00874DE1">
        <w:rPr>
          <w:rStyle w:val="normaltextrun"/>
          <w:shd w:val="clear" w:color="auto" w:fill="FFFFFF"/>
        </w:rPr>
        <w:t> </w:t>
      </w:r>
      <w:r>
        <w:rPr>
          <w:rStyle w:val="normaltextrun"/>
          <w:shd w:val="clear" w:color="auto" w:fill="FFFFFF"/>
        </w:rPr>
        <w:t>týdnu 2.</w:t>
      </w:r>
      <w:r w:rsidR="00874DE1">
        <w:rPr>
          <w:shd w:val="clear" w:color="auto" w:fill="FFFFFF"/>
        </w:rPr>
        <w:t xml:space="preserve"> </w:t>
      </w:r>
      <w:r>
        <w:rPr>
          <w:rStyle w:val="normaltextrun"/>
          <w:shd w:val="clear" w:color="auto" w:fill="FFFFFF"/>
        </w:rPr>
        <w:t>Obě skupiny dostávaly 0,6</w:t>
      </w:r>
      <w:r w:rsidR="00874DE1" w:rsidRPr="00005EC2">
        <w:rPr>
          <w:szCs w:val="22"/>
        </w:rPr>
        <w:t> </w:t>
      </w:r>
      <w:r>
        <w:rPr>
          <w:rStyle w:val="normaltextrun"/>
          <w:shd w:val="clear" w:color="auto" w:fill="FFFFFF"/>
        </w:rPr>
        <w:t>mg/kg (maximální dávka 40</w:t>
      </w:r>
      <w:r w:rsidR="00874DE1" w:rsidRPr="00005EC2">
        <w:rPr>
          <w:szCs w:val="22"/>
        </w:rPr>
        <w:t> </w:t>
      </w:r>
      <w:r>
        <w:rPr>
          <w:rStyle w:val="normaltextrun"/>
          <w:shd w:val="clear" w:color="auto" w:fill="FFFFFF"/>
        </w:rPr>
        <w:t>mg) v</w:t>
      </w:r>
      <w:r w:rsidR="000E6EA0">
        <w:rPr>
          <w:rStyle w:val="normaltextrun"/>
          <w:shd w:val="clear" w:color="auto" w:fill="FFFFFF"/>
        </w:rPr>
        <w:t> </w:t>
      </w:r>
      <w:r>
        <w:rPr>
          <w:rStyle w:val="normaltextrun"/>
          <w:shd w:val="clear" w:color="auto" w:fill="FFFFFF"/>
        </w:rPr>
        <w:t>týdnech 4</w:t>
      </w:r>
      <w:r w:rsidR="002378E0">
        <w:rPr>
          <w:rStyle w:val="normaltextrun"/>
          <w:shd w:val="clear" w:color="auto" w:fill="FFFFFF"/>
        </w:rPr>
        <w:t xml:space="preserve"> a </w:t>
      </w:r>
      <w:r>
        <w:rPr>
          <w:rStyle w:val="normaltextrun"/>
          <w:shd w:val="clear" w:color="auto" w:fill="FFFFFF"/>
        </w:rPr>
        <w:t>6.</w:t>
      </w:r>
      <w:r>
        <w:rPr>
          <w:shd w:val="clear" w:color="auto" w:fill="FFFFFF"/>
        </w:rPr>
        <w:t> </w:t>
      </w:r>
      <w:r>
        <w:rPr>
          <w:rStyle w:val="normaltextrun"/>
          <w:shd w:val="clear" w:color="auto" w:fill="FFFFFF"/>
        </w:rPr>
        <w:t>Po změně designu studie dostalo zbývajících 16 pacientů zařazených do indukčního období otevřenou léčbu přípravkem Humira v indukční dávce 2,4</w:t>
      </w:r>
      <w:r w:rsidR="00874DE1" w:rsidRPr="00005EC2">
        <w:rPr>
          <w:szCs w:val="22"/>
        </w:rPr>
        <w:t> </w:t>
      </w:r>
      <w:r>
        <w:rPr>
          <w:rStyle w:val="normaltextrun"/>
          <w:shd w:val="clear" w:color="auto" w:fill="FFFFFF"/>
        </w:rPr>
        <w:t>mg/kg (maximální dávka 160</w:t>
      </w:r>
      <w:r w:rsidR="00874DE1" w:rsidRPr="00005EC2">
        <w:rPr>
          <w:szCs w:val="22"/>
        </w:rPr>
        <w:t> </w:t>
      </w:r>
      <w:r>
        <w:rPr>
          <w:rStyle w:val="normaltextrun"/>
          <w:shd w:val="clear" w:color="auto" w:fill="FFFFFF"/>
        </w:rPr>
        <w:t>mg) v </w:t>
      </w:r>
      <w:r w:rsidRPr="00BC5CBC">
        <w:rPr>
          <w:rStyle w:val="normaltextrun"/>
          <w:shd w:val="clear" w:color="auto" w:fill="FFFFFF"/>
        </w:rPr>
        <w:t>týdnech 0</w:t>
      </w:r>
      <w:r w:rsidR="002378E0">
        <w:rPr>
          <w:rStyle w:val="normaltextrun"/>
          <w:shd w:val="clear" w:color="auto" w:fill="FFFFFF"/>
        </w:rPr>
        <w:t xml:space="preserve"> a </w:t>
      </w:r>
      <w:r w:rsidRPr="00BC5CBC">
        <w:rPr>
          <w:rStyle w:val="normaltextrun"/>
          <w:shd w:val="clear" w:color="auto" w:fill="FFFFFF"/>
        </w:rPr>
        <w:t>1</w:t>
      </w:r>
      <w:r w:rsidR="002378E0">
        <w:rPr>
          <w:rStyle w:val="normaltextrun"/>
          <w:shd w:val="clear" w:color="auto" w:fill="FFFFFF"/>
        </w:rPr>
        <w:t xml:space="preserve"> a </w:t>
      </w:r>
      <w:r>
        <w:rPr>
          <w:rStyle w:val="normaltextrun"/>
          <w:shd w:val="clear" w:color="auto" w:fill="FFFFFF"/>
        </w:rPr>
        <w:t>1,2</w:t>
      </w:r>
      <w:r w:rsidR="00874DE1" w:rsidRPr="00005EC2">
        <w:rPr>
          <w:szCs w:val="22"/>
        </w:rPr>
        <w:t> </w:t>
      </w:r>
      <w:r>
        <w:rPr>
          <w:rStyle w:val="normaltextrun"/>
          <w:shd w:val="clear" w:color="auto" w:fill="FFFFFF"/>
        </w:rPr>
        <w:t>mg/kg (maximální dávka 80</w:t>
      </w:r>
      <w:r w:rsidR="00874DE1" w:rsidRPr="00005EC2">
        <w:rPr>
          <w:szCs w:val="22"/>
        </w:rPr>
        <w:t> </w:t>
      </w:r>
      <w:r>
        <w:rPr>
          <w:rStyle w:val="normaltextrun"/>
          <w:shd w:val="clear" w:color="auto" w:fill="FFFFFF"/>
        </w:rPr>
        <w:t>mg) v</w:t>
      </w:r>
      <w:r w:rsidR="000E6EA0">
        <w:rPr>
          <w:rStyle w:val="normaltextrun"/>
          <w:shd w:val="clear" w:color="auto" w:fill="FFFFFF"/>
        </w:rPr>
        <w:t> </w:t>
      </w:r>
      <w:r>
        <w:rPr>
          <w:rStyle w:val="normaltextrun"/>
          <w:shd w:val="clear" w:color="auto" w:fill="FFFFFF"/>
        </w:rPr>
        <w:t>týdnu 2.</w:t>
      </w:r>
    </w:p>
    <w:p w14:paraId="50EF03FD" w14:textId="77777777" w:rsidR="00245623" w:rsidRPr="00D01607" w:rsidRDefault="00245623" w:rsidP="00245623">
      <w:pPr>
        <w:ind w:left="0" w:firstLine="0"/>
      </w:pPr>
    </w:p>
    <w:p w14:paraId="7C78F0DA" w14:textId="77777777" w:rsidR="00245623" w:rsidRDefault="00000000" w:rsidP="00245623">
      <w:pPr>
        <w:ind w:left="0" w:firstLine="0"/>
        <w:rPr>
          <w:rStyle w:val="normaltextrun"/>
          <w:shd w:val="clear" w:color="auto" w:fill="FFFFFF"/>
        </w:rPr>
      </w:pPr>
      <w:r>
        <w:rPr>
          <w:rStyle w:val="normaltextrun"/>
          <w:shd w:val="clear" w:color="auto" w:fill="FFFFFF"/>
        </w:rPr>
        <w:t>V</w:t>
      </w:r>
      <w:r w:rsidR="000E6EA0">
        <w:rPr>
          <w:rStyle w:val="normaltextrun"/>
          <w:shd w:val="clear" w:color="auto" w:fill="FFFFFF"/>
        </w:rPr>
        <w:t> </w:t>
      </w:r>
      <w:r w:rsidRPr="00BC5CBC">
        <w:rPr>
          <w:rStyle w:val="normaltextrun"/>
          <w:shd w:val="clear" w:color="auto" w:fill="FFFFFF"/>
        </w:rPr>
        <w:t>týdnu 8</w:t>
      </w:r>
      <w:r>
        <w:rPr>
          <w:rStyle w:val="normaltextrun"/>
          <w:shd w:val="clear" w:color="auto" w:fill="FFFFFF"/>
        </w:rPr>
        <w:t xml:space="preserve"> bylo 62 pacientů, kteří prokázali klinickou odpověď na parciálním Mayo skóre (PMS; definováno jako pokles PMS ≥ 2 body</w:t>
      </w:r>
      <w:r w:rsidR="002378E0">
        <w:rPr>
          <w:rStyle w:val="normaltextrun"/>
          <w:shd w:val="clear" w:color="auto" w:fill="FFFFFF"/>
        </w:rPr>
        <w:t xml:space="preserve"> a </w:t>
      </w:r>
      <w:r>
        <w:rPr>
          <w:rStyle w:val="normaltextrun"/>
          <w:shd w:val="clear" w:color="auto" w:fill="FFFFFF"/>
        </w:rPr>
        <w:t>≥ 30</w:t>
      </w:r>
      <w:r w:rsidR="00A57F08">
        <w:rPr>
          <w:rStyle w:val="normaltextrun"/>
        </w:rPr>
        <w:t> </w:t>
      </w:r>
      <w:r>
        <w:rPr>
          <w:rStyle w:val="normaltextrun"/>
          <w:shd w:val="clear" w:color="auto" w:fill="FFFFFF"/>
        </w:rPr>
        <w:t>% oproti výchozí hodnotě), randomizováno rovnoměrně do dvojitě zaslepené udržovací léčby přípravkem Humira s dávkou 0,6</w:t>
      </w:r>
      <w:r w:rsidR="00874DE1" w:rsidRPr="00005EC2">
        <w:rPr>
          <w:szCs w:val="22"/>
        </w:rPr>
        <w:t> </w:t>
      </w:r>
      <w:r>
        <w:rPr>
          <w:rStyle w:val="normaltextrun"/>
          <w:shd w:val="clear" w:color="auto" w:fill="FFFFFF"/>
        </w:rPr>
        <w:t>mg/kg (maximální dávka 40</w:t>
      </w:r>
      <w:r w:rsidR="00107A9D">
        <w:rPr>
          <w:rStyle w:val="normaltextrun"/>
          <w:shd w:val="clear" w:color="auto" w:fill="FFFFFF"/>
        </w:rPr>
        <w:t> </w:t>
      </w:r>
      <w:r>
        <w:rPr>
          <w:rStyle w:val="normaltextrun"/>
          <w:shd w:val="clear" w:color="auto" w:fill="FFFFFF"/>
        </w:rPr>
        <w:t>mg) každý týden nebo udržovací dávkou 0,6</w:t>
      </w:r>
      <w:r w:rsidR="00874DE1" w:rsidRPr="00005EC2">
        <w:rPr>
          <w:szCs w:val="22"/>
        </w:rPr>
        <w:t> </w:t>
      </w:r>
      <w:r>
        <w:rPr>
          <w:rStyle w:val="normaltextrun"/>
          <w:shd w:val="clear" w:color="auto" w:fill="FFFFFF"/>
        </w:rPr>
        <w:t>mg/kg (maximální dávka 40</w:t>
      </w:r>
      <w:r w:rsidR="00874DE1" w:rsidRPr="00005EC2">
        <w:rPr>
          <w:szCs w:val="22"/>
        </w:rPr>
        <w:t> </w:t>
      </w:r>
      <w:r>
        <w:rPr>
          <w:rStyle w:val="normaltextrun"/>
          <w:shd w:val="clear" w:color="auto" w:fill="FFFFFF"/>
        </w:rPr>
        <w:t xml:space="preserve">mg) </w:t>
      </w:r>
      <w:r w:rsidR="009428F1">
        <w:rPr>
          <w:rStyle w:val="normaltextrun"/>
          <w:shd w:val="clear" w:color="auto" w:fill="FFFFFF"/>
        </w:rPr>
        <w:t>jednou za dva týdny</w:t>
      </w:r>
      <w:r>
        <w:rPr>
          <w:rStyle w:val="normaltextrun"/>
          <w:shd w:val="clear" w:color="auto" w:fill="FFFFFF"/>
        </w:rPr>
        <w:t>.</w:t>
      </w:r>
      <w:r w:rsidR="009428F1">
        <w:rPr>
          <w:rStyle w:val="normaltextrun"/>
          <w:shd w:val="clear" w:color="auto" w:fill="FFFFFF"/>
        </w:rPr>
        <w:t xml:space="preserve"> </w:t>
      </w:r>
      <w:r>
        <w:rPr>
          <w:rStyle w:val="normaltextrun"/>
          <w:shd w:val="clear" w:color="auto" w:fill="FFFFFF"/>
        </w:rPr>
        <w:t>Před změnou designu studie bylo dalších 12 pacientů, kteří prokázali klinickou odpověď podle PMS, randomizováno k</w:t>
      </w:r>
      <w:r w:rsidR="00107A9D">
        <w:rPr>
          <w:rStyle w:val="normaltextrun"/>
          <w:shd w:val="clear" w:color="auto" w:fill="FFFFFF"/>
        </w:rPr>
        <w:t> </w:t>
      </w:r>
      <w:r>
        <w:rPr>
          <w:rStyle w:val="normaltextrun"/>
          <w:shd w:val="clear" w:color="auto" w:fill="FFFFFF"/>
        </w:rPr>
        <w:t>užívání placeba, ale nebyli zahrnuti do potvrzující analýzy účinnosti.</w:t>
      </w:r>
    </w:p>
    <w:p w14:paraId="46BCC345" w14:textId="77777777" w:rsidR="00245623" w:rsidRPr="00D01607" w:rsidRDefault="00245623" w:rsidP="00245623">
      <w:pPr>
        <w:ind w:left="0" w:firstLine="0"/>
        <w:rPr>
          <w:shd w:val="clear" w:color="auto" w:fill="FFFFFF"/>
        </w:rPr>
      </w:pPr>
    </w:p>
    <w:p w14:paraId="529C1372" w14:textId="77777777" w:rsidR="00245623" w:rsidRDefault="00000000" w:rsidP="00245623">
      <w:pPr>
        <w:ind w:left="0" w:firstLine="0"/>
      </w:pPr>
      <w:r>
        <w:t>Vzplanutí nemoci bylo definováno jako zvýšení PMS nejméně o 3 body (u pacientů s PMS 0 až 2 v </w:t>
      </w:r>
      <w:r w:rsidRPr="00BC5CBC">
        <w:t>týdnu 8</w:t>
      </w:r>
      <w:r>
        <w:t>), nejméně 2 body (u pacientů s PMS 3 až 4 v </w:t>
      </w:r>
      <w:r w:rsidRPr="00BC5CBC">
        <w:t>týdnu 8</w:t>
      </w:r>
      <w:r>
        <w:t>) nebo alespoň o 1 bod (u pacientů s PMS 5 až 6 v </w:t>
      </w:r>
      <w:r w:rsidRPr="00BC5CBC">
        <w:t>týdnu 8</w:t>
      </w:r>
      <w:r>
        <w:t>).</w:t>
      </w:r>
    </w:p>
    <w:p w14:paraId="48A2CD09" w14:textId="77777777" w:rsidR="00245623" w:rsidRPr="00D01607" w:rsidRDefault="00245623" w:rsidP="00245623">
      <w:pPr>
        <w:ind w:left="0" w:firstLine="0"/>
      </w:pPr>
    </w:p>
    <w:p w14:paraId="28A0BD32" w14:textId="77777777" w:rsidR="00245623" w:rsidRPr="00D01607" w:rsidRDefault="00000000" w:rsidP="00245623">
      <w:pPr>
        <w:ind w:left="0" w:firstLine="0"/>
      </w:pPr>
      <w:r>
        <w:t>Pacienti, kteří splnili kritéria pro vzplanutí nemoci v</w:t>
      </w:r>
      <w:r w:rsidR="000E6EA0">
        <w:t> </w:t>
      </w:r>
      <w:r>
        <w:t>týdnu 12 nebo později, byli randomizováni do skupiny, která dostávala opětovně indukční dávku 2,4</w:t>
      </w:r>
      <w:r w:rsidR="00874DE1" w:rsidRPr="00005EC2">
        <w:rPr>
          <w:szCs w:val="22"/>
        </w:rPr>
        <w:t> </w:t>
      </w:r>
      <w:r>
        <w:t>mg/kg (maximální dávka 160</w:t>
      </w:r>
      <w:r w:rsidR="00874DE1" w:rsidRPr="00005EC2">
        <w:rPr>
          <w:szCs w:val="22"/>
        </w:rPr>
        <w:t> </w:t>
      </w:r>
      <w:r>
        <w:t>mg) nebo dávku 0,6</w:t>
      </w:r>
      <w:r w:rsidR="00874DE1" w:rsidRPr="00005EC2">
        <w:rPr>
          <w:szCs w:val="22"/>
        </w:rPr>
        <w:t> </w:t>
      </w:r>
      <w:r>
        <w:t>mg/kg (maximální dávka 40</w:t>
      </w:r>
      <w:r w:rsidR="00874DE1" w:rsidRPr="00005EC2">
        <w:rPr>
          <w:szCs w:val="22"/>
        </w:rPr>
        <w:t> </w:t>
      </w:r>
      <w:r>
        <w:t>mg),</w:t>
      </w:r>
      <w:r w:rsidR="002378E0">
        <w:t xml:space="preserve"> a </w:t>
      </w:r>
      <w:r>
        <w:t>pokračovali v léčbě svým příslušným režimem udržovací dávky.</w:t>
      </w:r>
    </w:p>
    <w:p w14:paraId="3986E25C" w14:textId="77777777" w:rsidR="00245623" w:rsidRPr="001D2137" w:rsidRDefault="00000000" w:rsidP="00245623">
      <w:pPr>
        <w:pStyle w:val="gtcbodytext"/>
        <w:keepNext/>
        <w:spacing w:after="0" w:line="240" w:lineRule="auto"/>
        <w:rPr>
          <w:i/>
          <w:sz w:val="22"/>
          <w:szCs w:val="22"/>
          <w:lang w:val="cs-CZ"/>
        </w:rPr>
      </w:pPr>
      <w:r w:rsidRPr="001D2137">
        <w:rPr>
          <w:i/>
          <w:sz w:val="22"/>
          <w:lang w:val="cs-CZ"/>
        </w:rPr>
        <w:t xml:space="preserve">Výsledky </w:t>
      </w:r>
      <w:r>
        <w:rPr>
          <w:i/>
          <w:sz w:val="22"/>
          <w:lang w:val="cs-CZ"/>
        </w:rPr>
        <w:t xml:space="preserve">hodnocení </w:t>
      </w:r>
      <w:r w:rsidRPr="001D2137">
        <w:rPr>
          <w:i/>
          <w:sz w:val="22"/>
          <w:lang w:val="cs-CZ"/>
        </w:rPr>
        <w:t>účinnosti</w:t>
      </w:r>
    </w:p>
    <w:p w14:paraId="06A6A9EF" w14:textId="77777777" w:rsidR="00245623" w:rsidRPr="001D2137" w:rsidRDefault="00245623" w:rsidP="00245623">
      <w:pPr>
        <w:pStyle w:val="gtcbodytext"/>
        <w:keepNext/>
        <w:spacing w:before="0" w:after="0" w:line="240" w:lineRule="auto"/>
        <w:rPr>
          <w:i/>
          <w:sz w:val="22"/>
          <w:szCs w:val="22"/>
          <w:lang w:val="cs-CZ"/>
        </w:rPr>
      </w:pPr>
    </w:p>
    <w:p w14:paraId="42D1E661" w14:textId="77777777" w:rsidR="00245623" w:rsidRDefault="00000000" w:rsidP="00245623">
      <w:pPr>
        <w:ind w:left="0" w:firstLine="0"/>
        <w:textAlignment w:val="baseline"/>
      </w:pPr>
      <w:r>
        <w:t>Společnými primárními cílovými parametry studie byla klinická remise podle PMS (definovaná jako PMS ≤ 2</w:t>
      </w:r>
      <w:r w:rsidR="002378E0">
        <w:t xml:space="preserve"> a </w:t>
      </w:r>
      <w:r>
        <w:t>žádné individuální podskóre &gt; 1) v </w:t>
      </w:r>
      <w:r w:rsidRPr="00BC5CBC">
        <w:t>týdnu 8</w:t>
      </w:r>
      <w:r w:rsidR="002378E0">
        <w:t xml:space="preserve"> a </w:t>
      </w:r>
      <w:r>
        <w:t>klinická remise podle FMS (úplné Mayo skóre) (definovaná jako Mayo skóre ≤ 2</w:t>
      </w:r>
      <w:r w:rsidR="002378E0">
        <w:t xml:space="preserve"> a </w:t>
      </w:r>
      <w:r>
        <w:t>žádné individuální podskóre &gt; 1) v</w:t>
      </w:r>
      <w:r w:rsidR="000E6EA0">
        <w:t> </w:t>
      </w:r>
      <w:r>
        <w:t>týdnu 52 u pacientů, kteří dosáhli klinické odpovědi podle PMS v </w:t>
      </w:r>
      <w:r w:rsidRPr="00BC5CBC">
        <w:t>týdnu 8</w:t>
      </w:r>
      <w:r>
        <w:t>.</w:t>
      </w:r>
    </w:p>
    <w:p w14:paraId="097FE5B1" w14:textId="77777777" w:rsidR="00245623" w:rsidRPr="00D01607" w:rsidRDefault="00245623" w:rsidP="00245623">
      <w:pPr>
        <w:ind w:left="0" w:firstLine="0"/>
        <w:textAlignment w:val="baseline"/>
        <w:rPr>
          <w:lang w:eastAsia="en-GB"/>
        </w:rPr>
      </w:pPr>
    </w:p>
    <w:p w14:paraId="0A9B7199" w14:textId="77777777" w:rsidR="00245623" w:rsidRDefault="00000000" w:rsidP="00245623">
      <w:pPr>
        <w:ind w:left="0" w:firstLine="0"/>
        <w:textAlignment w:val="baseline"/>
      </w:pPr>
      <w:r>
        <w:t>Míry klinické remise podle PMS v </w:t>
      </w:r>
      <w:r w:rsidRPr="00BC5CBC">
        <w:t>týdnu 8</w:t>
      </w:r>
      <w:r>
        <w:t xml:space="preserve"> u pacientů v každé z dvojitě zaslepených indukčních skupin přípravku Humira jsou shrnuty v</w:t>
      </w:r>
      <w:r w:rsidR="00022A9A">
        <w:t> </w:t>
      </w:r>
      <w:r>
        <w:t>tabulce 2</w:t>
      </w:r>
      <w:r w:rsidR="00B4761D">
        <w:t>1</w:t>
      </w:r>
      <w:r>
        <w:t>.</w:t>
      </w:r>
    </w:p>
    <w:p w14:paraId="0861BA33" w14:textId="77777777" w:rsidR="00022A9A" w:rsidRPr="00D01607" w:rsidRDefault="00022A9A" w:rsidP="00245623">
      <w:pPr>
        <w:ind w:left="0" w:firstLine="0"/>
        <w:textAlignment w:val="baseline"/>
      </w:pPr>
    </w:p>
    <w:p w14:paraId="2830F22C" w14:textId="77777777" w:rsidR="00245623" w:rsidRPr="001D2137" w:rsidRDefault="00000000" w:rsidP="00022A9A">
      <w:pPr>
        <w:pStyle w:val="gtcbodytext"/>
        <w:keepNext/>
        <w:spacing w:before="0" w:after="0" w:line="240" w:lineRule="auto"/>
        <w:jc w:val="center"/>
        <w:rPr>
          <w:sz w:val="22"/>
          <w:szCs w:val="22"/>
          <w:lang w:val="cs-CZ"/>
        </w:rPr>
      </w:pPr>
      <w:r w:rsidRPr="001D2137">
        <w:rPr>
          <w:b/>
          <w:sz w:val="22"/>
          <w:lang w:val="cs-CZ"/>
        </w:rPr>
        <w:t>Tabulka 2</w:t>
      </w:r>
      <w:r w:rsidR="00B4761D">
        <w:rPr>
          <w:b/>
          <w:sz w:val="22"/>
          <w:lang w:val="cs-CZ"/>
        </w:rPr>
        <w:t>1</w:t>
      </w:r>
      <w:r w:rsidRPr="001D2137">
        <w:rPr>
          <w:b/>
          <w:sz w:val="22"/>
          <w:lang w:val="cs-CZ"/>
        </w:rPr>
        <w:t>: Klinická remise podle PMS po 8 týdnech</w:t>
      </w:r>
    </w:p>
    <w:tbl>
      <w:tblPr>
        <w:tblW w:w="5000" w:type="pct"/>
        <w:jc w:val="center"/>
        <w:tblLook w:val="04A0" w:firstRow="1" w:lastRow="0" w:firstColumn="1" w:lastColumn="0" w:noHBand="0" w:noVBand="1"/>
      </w:tblPr>
      <w:tblGrid>
        <w:gridCol w:w="2242"/>
        <w:gridCol w:w="3376"/>
        <w:gridCol w:w="3437"/>
      </w:tblGrid>
      <w:tr w:rsidR="00534A2D" w14:paraId="63F224D4" w14:textId="77777777" w:rsidTr="00022A9A">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8C74BEF" w14:textId="77777777" w:rsidR="00245623" w:rsidRPr="00D01607" w:rsidRDefault="00245623" w:rsidP="00022A9A">
            <w:pPr>
              <w:keepNext/>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B91ABF" w14:textId="77777777" w:rsidR="00245623" w:rsidRPr="00D01607" w:rsidRDefault="00000000" w:rsidP="00022A9A">
            <w:pPr>
              <w:pStyle w:val="paragraph0"/>
              <w:keepNext/>
              <w:spacing w:before="0" w:beforeAutospacing="0" w:after="0" w:afterAutospacing="0"/>
              <w:jc w:val="center"/>
              <w:textAlignment w:val="baseline"/>
              <w:rPr>
                <w:sz w:val="22"/>
                <w:szCs w:val="22"/>
              </w:rPr>
            </w:pPr>
            <w:r>
              <w:rPr>
                <w:rStyle w:val="spellingerror"/>
                <w:b/>
              </w:rPr>
              <w:t>Humira</w:t>
            </w:r>
            <w:r>
              <w:rPr>
                <w:rStyle w:val="spellingerror"/>
                <w:b/>
                <w:vertAlign w:val="superscript"/>
              </w:rPr>
              <w:t>a</w:t>
            </w:r>
            <w:r>
              <w:rPr>
                <w:rStyle w:val="eop"/>
              </w:rPr>
              <w:t> </w:t>
            </w:r>
          </w:p>
          <w:p w14:paraId="2843BBDF" w14:textId="77777777" w:rsidR="00245623" w:rsidRPr="00950D86" w:rsidRDefault="00000000" w:rsidP="00022A9A">
            <w:pPr>
              <w:keepNext/>
              <w:ind w:left="0" w:firstLine="0"/>
              <w:jc w:val="center"/>
              <w:rPr>
                <w:rStyle w:val="eop"/>
                <w:b/>
                <w:bCs/>
              </w:rPr>
            </w:pPr>
            <w:r w:rsidRPr="00950D86">
              <w:rPr>
                <w:rStyle w:val="normaltextrun"/>
                <w:b/>
                <w:bCs/>
              </w:rPr>
              <w:t>Maximálně 160</w:t>
            </w:r>
            <w:r w:rsidR="00874DE1" w:rsidRPr="00005EC2">
              <w:rPr>
                <w:szCs w:val="22"/>
              </w:rPr>
              <w:t> </w:t>
            </w:r>
            <w:r w:rsidRPr="00950D86">
              <w:rPr>
                <w:rStyle w:val="normaltextrun"/>
                <w:b/>
                <w:bCs/>
              </w:rPr>
              <w:t>mg v týdnu 0 / placebo v týdnu 1</w:t>
            </w:r>
          </w:p>
          <w:p w14:paraId="498B337A" w14:textId="77777777" w:rsidR="00245623" w:rsidRPr="00D01607" w:rsidRDefault="00000000" w:rsidP="00022A9A">
            <w:pPr>
              <w:keepNext/>
              <w:ind w:left="0" w:firstLine="0"/>
              <w:jc w:val="center"/>
            </w:pPr>
            <w:r>
              <w:rPr>
                <w:rStyle w:val="eop"/>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C42A483" w14:textId="77777777" w:rsidR="00245623" w:rsidRPr="00D01607" w:rsidRDefault="00000000" w:rsidP="00022A9A">
            <w:pPr>
              <w:pStyle w:val="paragraph0"/>
              <w:keepNext/>
              <w:spacing w:before="0" w:beforeAutospacing="0" w:after="0" w:afterAutospacing="0"/>
              <w:jc w:val="center"/>
              <w:textAlignment w:val="baseline"/>
              <w:rPr>
                <w:sz w:val="22"/>
                <w:szCs w:val="22"/>
              </w:rPr>
            </w:pPr>
            <w:r>
              <w:rPr>
                <w:rStyle w:val="spellingerror"/>
                <w:b/>
              </w:rPr>
              <w:t>Humira</w:t>
            </w:r>
            <w:r>
              <w:rPr>
                <w:rStyle w:val="spellingerror"/>
                <w:b/>
                <w:vertAlign w:val="superscript"/>
              </w:rPr>
              <w:t>b</w:t>
            </w:r>
            <w:r>
              <w:rPr>
                <w:rStyle w:val="normaltextrun"/>
                <w:sz w:val="22"/>
                <w:vertAlign w:val="superscript"/>
              </w:rPr>
              <w:t>, c</w:t>
            </w:r>
            <w:r>
              <w:rPr>
                <w:rStyle w:val="eop"/>
              </w:rPr>
              <w:t> </w:t>
            </w:r>
          </w:p>
          <w:p w14:paraId="23AE2396" w14:textId="77777777" w:rsidR="00245623" w:rsidRPr="00950D86" w:rsidRDefault="00000000" w:rsidP="00022A9A">
            <w:pPr>
              <w:keepNext/>
              <w:ind w:left="0" w:firstLine="0"/>
              <w:jc w:val="center"/>
              <w:rPr>
                <w:rStyle w:val="eop"/>
                <w:b/>
                <w:bCs/>
              </w:rPr>
            </w:pPr>
            <w:r w:rsidRPr="00950D86">
              <w:rPr>
                <w:rStyle w:val="normaltextrun"/>
                <w:b/>
                <w:bCs/>
              </w:rPr>
              <w:t>Maximálně 160</w:t>
            </w:r>
            <w:r w:rsidR="00874DE1" w:rsidRPr="00005EC2">
              <w:rPr>
                <w:szCs w:val="22"/>
              </w:rPr>
              <w:t> </w:t>
            </w:r>
            <w:r w:rsidRPr="00950D86">
              <w:rPr>
                <w:rStyle w:val="normaltextrun"/>
                <w:b/>
                <w:bCs/>
              </w:rPr>
              <w:t>mg v týdnech 0</w:t>
            </w:r>
            <w:r w:rsidR="002378E0">
              <w:rPr>
                <w:rStyle w:val="normaltextrun"/>
                <w:b/>
                <w:bCs/>
              </w:rPr>
              <w:t xml:space="preserve"> a </w:t>
            </w:r>
            <w:r w:rsidRPr="00950D86">
              <w:rPr>
                <w:rStyle w:val="normaltextrun"/>
                <w:b/>
                <w:bCs/>
              </w:rPr>
              <w:t>1</w:t>
            </w:r>
          </w:p>
          <w:p w14:paraId="6A97FDD8" w14:textId="77777777" w:rsidR="00245623" w:rsidRPr="00D01607" w:rsidRDefault="00000000" w:rsidP="00022A9A">
            <w:pPr>
              <w:keepNext/>
              <w:ind w:left="0" w:firstLine="0"/>
              <w:jc w:val="center"/>
            </w:pPr>
            <w:r>
              <w:rPr>
                <w:rStyle w:val="eop"/>
              </w:rPr>
              <w:t>n=47</w:t>
            </w:r>
          </w:p>
        </w:tc>
      </w:tr>
      <w:tr w:rsidR="00534A2D" w14:paraId="154FD38A" w14:textId="77777777" w:rsidTr="00022A9A">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7BBF4B" w14:textId="77777777" w:rsidR="00245623" w:rsidRPr="00D01607" w:rsidRDefault="00000000" w:rsidP="00022A9A">
            <w:pPr>
              <w:keepNext/>
            </w:pPr>
            <w:r>
              <w:t>Klinická remise</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56677C3" w14:textId="77777777" w:rsidR="00245623" w:rsidRPr="00D01607" w:rsidRDefault="00000000" w:rsidP="00022A9A">
            <w:pPr>
              <w:keepNext/>
              <w:jc w:val="center"/>
            </w:pPr>
            <w:r>
              <w:t>13/30 (43,3 %)</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70D53AD" w14:textId="77777777" w:rsidR="00245623" w:rsidRPr="00D01607" w:rsidRDefault="00000000" w:rsidP="00022A9A">
            <w:pPr>
              <w:keepNext/>
              <w:jc w:val="center"/>
              <w:rPr>
                <w:vertAlign w:val="superscript"/>
              </w:rPr>
            </w:pPr>
            <w:r>
              <w:t>28/47 (59,6 %)</w:t>
            </w:r>
          </w:p>
        </w:tc>
      </w:tr>
      <w:tr w:rsidR="00534A2D" w14:paraId="22E64888" w14:textId="77777777" w:rsidTr="00022A9A">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27317BF" w14:textId="77777777" w:rsidR="00245623" w:rsidRPr="00950D86" w:rsidRDefault="00000000" w:rsidP="00303AC4">
            <w:pPr>
              <w:pStyle w:val="paragraph0"/>
              <w:spacing w:before="0" w:beforeAutospacing="0" w:after="0" w:afterAutospacing="0"/>
              <w:textAlignment w:val="baseline"/>
              <w:rPr>
                <w:sz w:val="22"/>
                <w:szCs w:val="22"/>
              </w:rPr>
            </w:pPr>
            <w:r>
              <w:rPr>
                <w:rStyle w:val="normaltextrun"/>
                <w:sz w:val="22"/>
                <w:vertAlign w:val="superscript"/>
              </w:rPr>
              <w:t>a</w:t>
            </w:r>
            <w:r w:rsidR="00950D86">
              <w:rPr>
                <w:rStyle w:val="normaltextrun"/>
                <w:sz w:val="22"/>
                <w:vertAlign w:val="superscript"/>
              </w:rPr>
              <w:t xml:space="preserve"> </w:t>
            </w:r>
            <w:r>
              <w:rPr>
                <w:rStyle w:val="normaltextrun"/>
                <w:sz w:val="22"/>
              </w:rPr>
              <w:t>Humira 2,4</w:t>
            </w:r>
            <w:r w:rsidR="00874DE1" w:rsidRPr="00005EC2">
              <w:rPr>
                <w:sz w:val="22"/>
                <w:szCs w:val="22"/>
              </w:rPr>
              <w:t> </w:t>
            </w:r>
            <w:r>
              <w:rPr>
                <w:rStyle w:val="normaltextrun"/>
                <w:sz w:val="22"/>
              </w:rPr>
              <w:t>mg/kg (maximální dávka 160</w:t>
            </w:r>
            <w:r w:rsidR="00874DE1" w:rsidRPr="00005EC2">
              <w:rPr>
                <w:sz w:val="22"/>
                <w:szCs w:val="22"/>
              </w:rPr>
              <w:t> </w:t>
            </w:r>
            <w:r>
              <w:rPr>
                <w:rStyle w:val="normaltextrun"/>
                <w:sz w:val="22"/>
              </w:rPr>
              <w:t>mg) v týdnu 0, placebo v týdnu 1</w:t>
            </w:r>
            <w:r w:rsidR="002378E0">
              <w:rPr>
                <w:rStyle w:val="normaltextrun"/>
                <w:sz w:val="22"/>
              </w:rPr>
              <w:t xml:space="preserve"> a </w:t>
            </w:r>
            <w:r>
              <w:rPr>
                <w:rStyle w:val="normaltextrun"/>
                <w:sz w:val="22"/>
              </w:rPr>
              <w:t>1,2</w:t>
            </w:r>
            <w:r w:rsidR="00874DE1" w:rsidRPr="00005EC2">
              <w:rPr>
                <w:sz w:val="22"/>
                <w:szCs w:val="22"/>
              </w:rPr>
              <w:t> </w:t>
            </w:r>
            <w:r>
              <w:rPr>
                <w:rStyle w:val="normaltextrun"/>
                <w:sz w:val="22"/>
              </w:rPr>
              <w:t>mg/kg (maximální dávka 80</w:t>
            </w:r>
            <w:r w:rsidR="00874DE1" w:rsidRPr="00005EC2">
              <w:rPr>
                <w:sz w:val="22"/>
                <w:szCs w:val="22"/>
              </w:rPr>
              <w:t> </w:t>
            </w:r>
            <w:r w:rsidRPr="00950D86">
              <w:rPr>
                <w:rStyle w:val="normaltextrun"/>
                <w:sz w:val="22"/>
                <w:szCs w:val="22"/>
              </w:rPr>
              <w:t>mg) v</w:t>
            </w:r>
            <w:r w:rsidR="00022A9A" w:rsidRPr="00950D86">
              <w:rPr>
                <w:rStyle w:val="normaltextrun"/>
                <w:sz w:val="22"/>
                <w:szCs w:val="22"/>
              </w:rPr>
              <w:t> </w:t>
            </w:r>
            <w:r w:rsidRPr="00950D86">
              <w:rPr>
                <w:rStyle w:val="normaltextrun"/>
                <w:sz w:val="22"/>
                <w:szCs w:val="22"/>
              </w:rPr>
              <w:t>týdnu</w:t>
            </w:r>
            <w:r w:rsidRPr="00950D86">
              <w:rPr>
                <w:rStyle w:val="eop"/>
                <w:sz w:val="22"/>
                <w:szCs w:val="22"/>
              </w:rPr>
              <w:t xml:space="preserve"> 2</w:t>
            </w:r>
          </w:p>
          <w:p w14:paraId="0462C039" w14:textId="77777777" w:rsidR="00245623" w:rsidRPr="00950D86" w:rsidRDefault="00000000" w:rsidP="00303AC4">
            <w:pPr>
              <w:pStyle w:val="paragraph0"/>
              <w:spacing w:before="0" w:beforeAutospacing="0" w:after="0" w:afterAutospacing="0"/>
              <w:textAlignment w:val="baseline"/>
              <w:rPr>
                <w:sz w:val="22"/>
                <w:szCs w:val="22"/>
              </w:rPr>
            </w:pPr>
            <w:r w:rsidRPr="00950D86">
              <w:rPr>
                <w:rStyle w:val="normaltextrun"/>
                <w:sz w:val="22"/>
                <w:szCs w:val="22"/>
                <w:vertAlign w:val="superscript"/>
              </w:rPr>
              <w:t>b</w:t>
            </w:r>
            <w:r w:rsidR="00950D86" w:rsidRPr="00950D86">
              <w:rPr>
                <w:rStyle w:val="normaltextrun"/>
                <w:sz w:val="22"/>
                <w:szCs w:val="22"/>
                <w:vertAlign w:val="superscript"/>
              </w:rPr>
              <w:t xml:space="preserve"> </w:t>
            </w:r>
            <w:r w:rsidRPr="00950D86">
              <w:rPr>
                <w:rStyle w:val="normaltextrun"/>
                <w:sz w:val="22"/>
                <w:szCs w:val="22"/>
              </w:rPr>
              <w:t>Humira 2,4</w:t>
            </w:r>
            <w:r w:rsidR="00874DE1" w:rsidRPr="00005EC2">
              <w:rPr>
                <w:sz w:val="22"/>
                <w:szCs w:val="22"/>
              </w:rPr>
              <w:t> </w:t>
            </w:r>
            <w:r w:rsidRPr="00950D86">
              <w:rPr>
                <w:rStyle w:val="normaltextrun"/>
                <w:sz w:val="22"/>
                <w:szCs w:val="22"/>
              </w:rPr>
              <w:t>mg/kg (maximální dávka 160</w:t>
            </w:r>
            <w:r w:rsidR="00874DE1" w:rsidRPr="00005EC2">
              <w:rPr>
                <w:sz w:val="22"/>
                <w:szCs w:val="22"/>
              </w:rPr>
              <w:t> </w:t>
            </w:r>
            <w:r w:rsidRPr="00950D86">
              <w:rPr>
                <w:rStyle w:val="normaltextrun"/>
                <w:sz w:val="22"/>
                <w:szCs w:val="22"/>
              </w:rPr>
              <w:t>mg) v týdnech 0</w:t>
            </w:r>
            <w:r w:rsidR="002378E0">
              <w:rPr>
                <w:rStyle w:val="normaltextrun"/>
                <w:sz w:val="22"/>
                <w:szCs w:val="22"/>
              </w:rPr>
              <w:t xml:space="preserve"> a </w:t>
            </w:r>
            <w:r w:rsidRPr="00950D86">
              <w:rPr>
                <w:rStyle w:val="normaltextrun"/>
                <w:sz w:val="22"/>
                <w:szCs w:val="22"/>
              </w:rPr>
              <w:t>1</w:t>
            </w:r>
            <w:r w:rsidR="002378E0">
              <w:rPr>
                <w:rStyle w:val="normaltextrun"/>
                <w:sz w:val="22"/>
                <w:szCs w:val="22"/>
              </w:rPr>
              <w:t xml:space="preserve"> a </w:t>
            </w:r>
            <w:r w:rsidRPr="00950D86">
              <w:rPr>
                <w:rStyle w:val="normaltextrun"/>
                <w:sz w:val="22"/>
                <w:szCs w:val="22"/>
              </w:rPr>
              <w:t>1,2</w:t>
            </w:r>
            <w:r w:rsidR="00874DE1" w:rsidRPr="00005EC2">
              <w:rPr>
                <w:sz w:val="22"/>
                <w:szCs w:val="22"/>
              </w:rPr>
              <w:t> </w:t>
            </w:r>
            <w:r w:rsidRPr="00950D86">
              <w:rPr>
                <w:rStyle w:val="normaltextrun"/>
                <w:sz w:val="22"/>
                <w:szCs w:val="22"/>
              </w:rPr>
              <w:t>mg/kg (maximální dávka 80</w:t>
            </w:r>
            <w:r w:rsidR="00874DE1" w:rsidRPr="00005EC2">
              <w:rPr>
                <w:sz w:val="22"/>
                <w:szCs w:val="22"/>
              </w:rPr>
              <w:t> </w:t>
            </w:r>
            <w:r w:rsidRPr="00950D86">
              <w:rPr>
                <w:rStyle w:val="normaltextrun"/>
                <w:sz w:val="22"/>
                <w:szCs w:val="22"/>
              </w:rPr>
              <w:t>mg) v</w:t>
            </w:r>
            <w:r w:rsidR="00022A9A" w:rsidRPr="00950D86">
              <w:rPr>
                <w:rStyle w:val="normaltextrun"/>
                <w:sz w:val="22"/>
                <w:szCs w:val="22"/>
              </w:rPr>
              <w:t> </w:t>
            </w:r>
            <w:r w:rsidRPr="00950D86">
              <w:rPr>
                <w:rStyle w:val="normaltextrun"/>
                <w:sz w:val="22"/>
                <w:szCs w:val="22"/>
              </w:rPr>
              <w:t>týdnu</w:t>
            </w:r>
            <w:r w:rsidRPr="00950D86">
              <w:rPr>
                <w:rStyle w:val="eop"/>
                <w:sz w:val="22"/>
                <w:szCs w:val="22"/>
              </w:rPr>
              <w:t xml:space="preserve"> 2</w:t>
            </w:r>
          </w:p>
          <w:p w14:paraId="5B750945" w14:textId="77777777" w:rsidR="00245623" w:rsidRPr="00950D86" w:rsidRDefault="00000000" w:rsidP="00303AC4">
            <w:pPr>
              <w:pStyle w:val="paragraph0"/>
              <w:spacing w:before="0" w:beforeAutospacing="0" w:after="0" w:afterAutospacing="0"/>
              <w:textAlignment w:val="baseline"/>
              <w:rPr>
                <w:sz w:val="22"/>
                <w:szCs w:val="22"/>
              </w:rPr>
            </w:pPr>
            <w:r w:rsidRPr="00950D86">
              <w:rPr>
                <w:rStyle w:val="normaltextrun"/>
                <w:sz w:val="22"/>
                <w:szCs w:val="22"/>
                <w:vertAlign w:val="superscript"/>
              </w:rPr>
              <w:t>c</w:t>
            </w:r>
            <w:r w:rsidR="00950D86" w:rsidRPr="00950D86">
              <w:rPr>
                <w:rStyle w:val="normaltextrun"/>
                <w:sz w:val="22"/>
                <w:szCs w:val="22"/>
                <w:vertAlign w:val="superscript"/>
              </w:rPr>
              <w:t xml:space="preserve"> </w:t>
            </w:r>
            <w:r w:rsidRPr="00950D86">
              <w:rPr>
                <w:rStyle w:val="normaltextrun"/>
                <w:sz w:val="22"/>
                <w:szCs w:val="22"/>
              </w:rPr>
              <w:t>Nezahrnuje nezaslepenou indukční dávku přípravku Humira 2,4</w:t>
            </w:r>
            <w:r w:rsidR="00874DE1" w:rsidRPr="00005EC2">
              <w:rPr>
                <w:sz w:val="22"/>
                <w:szCs w:val="22"/>
              </w:rPr>
              <w:t> </w:t>
            </w:r>
            <w:r w:rsidRPr="00950D86">
              <w:rPr>
                <w:rStyle w:val="normaltextrun"/>
                <w:sz w:val="22"/>
                <w:szCs w:val="22"/>
              </w:rPr>
              <w:t>mg/kg (maximální dávka 160</w:t>
            </w:r>
            <w:r w:rsidR="00874DE1" w:rsidRPr="00005EC2">
              <w:rPr>
                <w:sz w:val="22"/>
                <w:szCs w:val="22"/>
              </w:rPr>
              <w:t> </w:t>
            </w:r>
            <w:r w:rsidRPr="00950D86">
              <w:rPr>
                <w:rStyle w:val="normaltextrun"/>
                <w:sz w:val="22"/>
                <w:szCs w:val="22"/>
              </w:rPr>
              <w:t>mg) v týdnech 0</w:t>
            </w:r>
            <w:r w:rsidR="002378E0">
              <w:rPr>
                <w:rStyle w:val="normaltextrun"/>
                <w:sz w:val="22"/>
                <w:szCs w:val="22"/>
              </w:rPr>
              <w:t xml:space="preserve"> a </w:t>
            </w:r>
            <w:r w:rsidRPr="00950D86">
              <w:rPr>
                <w:rStyle w:val="normaltextrun"/>
                <w:sz w:val="22"/>
                <w:szCs w:val="22"/>
              </w:rPr>
              <w:t>1</w:t>
            </w:r>
            <w:r w:rsidR="002378E0">
              <w:rPr>
                <w:rStyle w:val="normaltextrun"/>
                <w:sz w:val="22"/>
                <w:szCs w:val="22"/>
              </w:rPr>
              <w:t xml:space="preserve"> a </w:t>
            </w:r>
            <w:r w:rsidRPr="00950D86">
              <w:rPr>
                <w:rStyle w:val="normaltextrun"/>
                <w:sz w:val="22"/>
                <w:szCs w:val="22"/>
              </w:rPr>
              <w:t>1,2</w:t>
            </w:r>
            <w:r w:rsidR="00874DE1" w:rsidRPr="00005EC2">
              <w:rPr>
                <w:sz w:val="22"/>
                <w:szCs w:val="22"/>
              </w:rPr>
              <w:t> </w:t>
            </w:r>
            <w:r w:rsidRPr="00950D86">
              <w:rPr>
                <w:rStyle w:val="normaltextrun"/>
                <w:sz w:val="22"/>
                <w:szCs w:val="22"/>
              </w:rPr>
              <w:t>mg/kg (maximální dávka 80</w:t>
            </w:r>
            <w:r w:rsidR="00874DE1" w:rsidRPr="00005EC2">
              <w:rPr>
                <w:sz w:val="22"/>
                <w:szCs w:val="22"/>
              </w:rPr>
              <w:t> </w:t>
            </w:r>
            <w:r w:rsidRPr="00950D86">
              <w:rPr>
                <w:rStyle w:val="normaltextrun"/>
                <w:sz w:val="22"/>
                <w:szCs w:val="22"/>
              </w:rPr>
              <w:t>mg) v</w:t>
            </w:r>
            <w:r w:rsidR="00022A9A" w:rsidRPr="00950D86">
              <w:rPr>
                <w:rStyle w:val="normaltextrun"/>
                <w:sz w:val="22"/>
                <w:szCs w:val="22"/>
              </w:rPr>
              <w:t> </w:t>
            </w:r>
            <w:r w:rsidRPr="00950D86">
              <w:rPr>
                <w:rStyle w:val="normaltextrun"/>
                <w:sz w:val="22"/>
                <w:szCs w:val="22"/>
              </w:rPr>
              <w:t>týdnu 2</w:t>
            </w:r>
          </w:p>
          <w:p w14:paraId="33F18F9B" w14:textId="77777777" w:rsidR="00245623" w:rsidRPr="00950D86" w:rsidRDefault="00000000" w:rsidP="00303AC4">
            <w:pPr>
              <w:pStyle w:val="paragraph0"/>
              <w:spacing w:before="0" w:beforeAutospacing="0" w:after="0" w:afterAutospacing="0"/>
              <w:textAlignment w:val="baseline"/>
              <w:rPr>
                <w:sz w:val="22"/>
                <w:szCs w:val="22"/>
              </w:rPr>
            </w:pPr>
            <w:r w:rsidRPr="00950D86">
              <w:rPr>
                <w:rStyle w:val="normaltextrun"/>
                <w:sz w:val="22"/>
                <w:szCs w:val="22"/>
              </w:rPr>
              <w:t>Pozn. 1:</w:t>
            </w:r>
            <w:r w:rsidRPr="00950D86">
              <w:rPr>
                <w:sz w:val="22"/>
                <w:szCs w:val="22"/>
              </w:rPr>
              <w:t xml:space="preserve"> </w:t>
            </w:r>
            <w:r w:rsidRPr="00950D86">
              <w:rPr>
                <w:rStyle w:val="normaltextrun"/>
                <w:sz w:val="22"/>
                <w:szCs w:val="22"/>
              </w:rPr>
              <w:t>Obě indukční skupiny dostávaly 0,6</w:t>
            </w:r>
            <w:r w:rsidR="00874DE1" w:rsidRPr="00005EC2">
              <w:rPr>
                <w:sz w:val="22"/>
                <w:szCs w:val="22"/>
              </w:rPr>
              <w:t> </w:t>
            </w:r>
            <w:r w:rsidRPr="00950D86">
              <w:rPr>
                <w:rStyle w:val="normaltextrun"/>
                <w:sz w:val="22"/>
                <w:szCs w:val="22"/>
              </w:rPr>
              <w:t>mg/kg (maximální dávka 40</w:t>
            </w:r>
            <w:r w:rsidR="00874DE1" w:rsidRPr="00005EC2">
              <w:rPr>
                <w:sz w:val="22"/>
                <w:szCs w:val="22"/>
              </w:rPr>
              <w:t> </w:t>
            </w:r>
            <w:r w:rsidRPr="00950D86">
              <w:rPr>
                <w:rStyle w:val="normaltextrun"/>
                <w:sz w:val="22"/>
                <w:szCs w:val="22"/>
              </w:rPr>
              <w:t>mg) v</w:t>
            </w:r>
            <w:r w:rsidR="00022A9A" w:rsidRPr="00950D86">
              <w:rPr>
                <w:rStyle w:val="normaltextrun"/>
                <w:sz w:val="22"/>
                <w:szCs w:val="22"/>
              </w:rPr>
              <w:t> </w:t>
            </w:r>
            <w:r w:rsidRPr="00950D86">
              <w:rPr>
                <w:rStyle w:val="normaltextrun"/>
                <w:sz w:val="22"/>
                <w:szCs w:val="22"/>
              </w:rPr>
              <w:t>týdnech</w:t>
            </w:r>
            <w:r w:rsidRPr="00950D86">
              <w:rPr>
                <w:rStyle w:val="eop"/>
                <w:sz w:val="22"/>
                <w:szCs w:val="22"/>
              </w:rPr>
              <w:t xml:space="preserve"> 4</w:t>
            </w:r>
            <w:r w:rsidR="002378E0">
              <w:rPr>
                <w:rStyle w:val="eop"/>
                <w:sz w:val="22"/>
                <w:szCs w:val="22"/>
              </w:rPr>
              <w:t xml:space="preserve"> a </w:t>
            </w:r>
            <w:r w:rsidRPr="00950D86">
              <w:rPr>
                <w:rStyle w:val="eop"/>
                <w:sz w:val="22"/>
                <w:szCs w:val="22"/>
              </w:rPr>
              <w:t>6</w:t>
            </w:r>
          </w:p>
          <w:p w14:paraId="551F0A98" w14:textId="77777777" w:rsidR="00245623" w:rsidRPr="00D01607" w:rsidRDefault="00000000" w:rsidP="00303AC4">
            <w:pPr>
              <w:pStyle w:val="paragraph0"/>
              <w:spacing w:before="0" w:beforeAutospacing="0" w:after="0" w:afterAutospacing="0"/>
              <w:textAlignment w:val="baseline"/>
              <w:rPr>
                <w:sz w:val="22"/>
                <w:szCs w:val="22"/>
              </w:rPr>
            </w:pPr>
            <w:r w:rsidRPr="00950D86">
              <w:rPr>
                <w:rStyle w:val="normaltextrun"/>
                <w:sz w:val="22"/>
                <w:szCs w:val="22"/>
              </w:rPr>
              <w:t>Pozn. 2:</w:t>
            </w:r>
            <w:r w:rsidRPr="00950D86">
              <w:rPr>
                <w:sz w:val="22"/>
                <w:szCs w:val="22"/>
              </w:rPr>
              <w:t xml:space="preserve"> </w:t>
            </w:r>
            <w:r w:rsidRPr="00950D86">
              <w:rPr>
                <w:rStyle w:val="normaltextrun"/>
                <w:sz w:val="22"/>
                <w:szCs w:val="22"/>
              </w:rPr>
              <w:t>Pacienti s chybějícími hodnotami v týdnu 8 byli považováni za pacienty, kteří nesplnili cílový parametr</w:t>
            </w:r>
            <w:r>
              <w:rPr>
                <w:rStyle w:val="eop"/>
              </w:rPr>
              <w:t xml:space="preserve"> </w:t>
            </w:r>
          </w:p>
        </w:tc>
      </w:tr>
    </w:tbl>
    <w:p w14:paraId="77793EAD" w14:textId="77777777" w:rsidR="00245623" w:rsidRPr="00D01607" w:rsidRDefault="00245623" w:rsidP="00245623">
      <w:pPr>
        <w:rPr>
          <w:rStyle w:val="normaltextrun"/>
          <w:shd w:val="clear" w:color="auto" w:fill="FFFFFF"/>
        </w:rPr>
      </w:pPr>
    </w:p>
    <w:p w14:paraId="016678AC" w14:textId="77777777" w:rsidR="00245623" w:rsidRPr="00D01607" w:rsidRDefault="00000000" w:rsidP="00245623">
      <w:pPr>
        <w:ind w:left="0" w:firstLine="0"/>
      </w:pPr>
      <w:r>
        <w:rPr>
          <w:rStyle w:val="normaltextrun"/>
          <w:shd w:val="clear" w:color="auto" w:fill="FFFFFF"/>
        </w:rPr>
        <w:t>V</w:t>
      </w:r>
      <w:r w:rsidR="00950D86">
        <w:rPr>
          <w:rStyle w:val="normaltextrun"/>
          <w:shd w:val="clear" w:color="auto" w:fill="FFFFFF"/>
        </w:rPr>
        <w:t> </w:t>
      </w:r>
      <w:r>
        <w:rPr>
          <w:rStyle w:val="normaltextrun"/>
          <w:shd w:val="clear" w:color="auto" w:fill="FFFFFF"/>
        </w:rPr>
        <w:t>týdnu 52 byly klinická remise podle FMS u pacientů s odpovědí v </w:t>
      </w:r>
      <w:r w:rsidRPr="00BC5CBC">
        <w:rPr>
          <w:rStyle w:val="normaltextrun"/>
          <w:shd w:val="clear" w:color="auto" w:fill="FFFFFF"/>
        </w:rPr>
        <w:t>týdnu 8</w:t>
      </w:r>
      <w:r>
        <w:rPr>
          <w:rStyle w:val="normaltextrun"/>
          <w:shd w:val="clear" w:color="auto" w:fill="FFFFFF"/>
        </w:rPr>
        <w:t>, klinická odpověď podle FMS (definovaná jako snížení Mayo skóre o ≥ 3 body</w:t>
      </w:r>
      <w:r w:rsidR="002378E0">
        <w:rPr>
          <w:rStyle w:val="normaltextrun"/>
          <w:shd w:val="clear" w:color="auto" w:fill="FFFFFF"/>
        </w:rPr>
        <w:t xml:space="preserve"> a </w:t>
      </w:r>
      <w:r>
        <w:rPr>
          <w:rStyle w:val="normaltextrun"/>
          <w:shd w:val="clear" w:color="auto" w:fill="FFFFFF"/>
        </w:rPr>
        <w:t>≥ 30</w:t>
      </w:r>
      <w:r w:rsidR="00A57F08">
        <w:rPr>
          <w:rStyle w:val="normaltextrun"/>
        </w:rPr>
        <w:t> </w:t>
      </w:r>
      <w:r>
        <w:rPr>
          <w:rStyle w:val="normaltextrun"/>
          <w:shd w:val="clear" w:color="auto" w:fill="FFFFFF"/>
        </w:rPr>
        <w:t>% oproti výchozím hodnotám) u pacientů s odpovědí v </w:t>
      </w:r>
      <w:r w:rsidRPr="00BC5CBC">
        <w:rPr>
          <w:rStyle w:val="normaltextrun"/>
          <w:shd w:val="clear" w:color="auto" w:fill="FFFFFF"/>
        </w:rPr>
        <w:t>týdnu 8</w:t>
      </w:r>
      <w:r>
        <w:rPr>
          <w:rStyle w:val="normaltextrun"/>
          <w:shd w:val="clear" w:color="auto" w:fill="FFFFFF"/>
        </w:rPr>
        <w:t xml:space="preserve">, zhojení sliznice (definováno jako Mayo </w:t>
      </w:r>
      <w:r w:rsidR="007A11FF">
        <w:rPr>
          <w:rStyle w:val="normaltextrun"/>
          <w:shd w:val="clear" w:color="auto" w:fill="FFFFFF"/>
        </w:rPr>
        <w:t>pod</w:t>
      </w:r>
      <w:r>
        <w:rPr>
          <w:rStyle w:val="normaltextrun"/>
          <w:shd w:val="clear" w:color="auto" w:fill="FFFFFF"/>
        </w:rPr>
        <w:t>skóre endoskopie ≤ 1) u pacientů s odpovědí v </w:t>
      </w:r>
      <w:r w:rsidRPr="00BC5CBC">
        <w:rPr>
          <w:rStyle w:val="normaltextrun"/>
          <w:shd w:val="clear" w:color="auto" w:fill="FFFFFF"/>
        </w:rPr>
        <w:t>týdnu 8</w:t>
      </w:r>
      <w:r>
        <w:rPr>
          <w:rStyle w:val="normaltextrun"/>
          <w:shd w:val="clear" w:color="auto" w:fill="FFFFFF"/>
        </w:rPr>
        <w:t>, klinická remise podle FMS u pacientů s remisí v </w:t>
      </w:r>
      <w:r w:rsidRPr="00BC5CBC">
        <w:rPr>
          <w:rStyle w:val="normaltextrun"/>
          <w:shd w:val="clear" w:color="auto" w:fill="FFFFFF"/>
        </w:rPr>
        <w:t>týdnu 8</w:t>
      </w:r>
      <w:r w:rsidR="002378E0">
        <w:rPr>
          <w:rStyle w:val="normaltextrun"/>
          <w:shd w:val="clear" w:color="auto" w:fill="FFFFFF"/>
        </w:rPr>
        <w:t xml:space="preserve"> a </w:t>
      </w:r>
      <w:r>
        <w:rPr>
          <w:rStyle w:val="normaltextrun"/>
          <w:shd w:val="clear" w:color="auto" w:fill="FFFFFF"/>
        </w:rPr>
        <w:t>podíl subjektů v remisi bez kortikosteroidů podle FMS v </w:t>
      </w:r>
      <w:r w:rsidRPr="00BC5CBC">
        <w:rPr>
          <w:rStyle w:val="normaltextrun"/>
          <w:shd w:val="clear" w:color="auto" w:fill="FFFFFF"/>
        </w:rPr>
        <w:t>týdnu 8</w:t>
      </w:r>
      <w:r>
        <w:rPr>
          <w:rStyle w:val="normaltextrun"/>
          <w:shd w:val="clear" w:color="auto" w:fill="FFFFFF"/>
        </w:rPr>
        <w:t xml:space="preserve"> hodnoceny u pacientů, kteří dostávali přípravek Humira v dvojitě zaslepené maximální udržovací dávce 40</w:t>
      </w:r>
      <w:r w:rsidR="00874DE1" w:rsidRPr="00005EC2">
        <w:rPr>
          <w:szCs w:val="22"/>
        </w:rPr>
        <w:t> </w:t>
      </w:r>
      <w:r>
        <w:rPr>
          <w:rStyle w:val="normaltextrun"/>
          <w:shd w:val="clear" w:color="auto" w:fill="FFFFFF"/>
        </w:rPr>
        <w:t xml:space="preserve">mg </w:t>
      </w:r>
      <w:r w:rsidR="00107A9D">
        <w:t>jednou za dva týdny</w:t>
      </w:r>
      <w:r w:rsidR="00107A9D">
        <w:rPr>
          <w:rStyle w:val="spellingerror"/>
          <w:shd w:val="clear" w:color="auto" w:fill="FFFFFF"/>
        </w:rPr>
        <w:t xml:space="preserve"> </w:t>
      </w:r>
      <w:r>
        <w:rPr>
          <w:rStyle w:val="normaltextrun"/>
          <w:shd w:val="clear" w:color="auto" w:fill="FFFFFF"/>
        </w:rPr>
        <w:t>(0,6</w:t>
      </w:r>
      <w:r w:rsidR="00B4761D">
        <w:rPr>
          <w:rStyle w:val="normaltextrun"/>
          <w:shd w:val="clear" w:color="auto" w:fill="FFFFFF"/>
        </w:rPr>
        <w:t> </w:t>
      </w:r>
      <w:r>
        <w:rPr>
          <w:rStyle w:val="normaltextrun"/>
          <w:shd w:val="clear" w:color="auto" w:fill="FFFFFF"/>
        </w:rPr>
        <w:t>mg/kg)</w:t>
      </w:r>
      <w:r w:rsidR="002378E0">
        <w:rPr>
          <w:rStyle w:val="normaltextrun"/>
          <w:shd w:val="clear" w:color="auto" w:fill="FFFFFF"/>
        </w:rPr>
        <w:t xml:space="preserve"> a </w:t>
      </w:r>
      <w:r>
        <w:rPr>
          <w:rStyle w:val="normaltextrun"/>
          <w:shd w:val="clear" w:color="auto" w:fill="FFFFFF"/>
        </w:rPr>
        <w:t>maximální udržovací dávce 40</w:t>
      </w:r>
      <w:r w:rsidR="00874DE1" w:rsidRPr="00005EC2">
        <w:rPr>
          <w:szCs w:val="22"/>
        </w:rPr>
        <w:t> </w:t>
      </w:r>
      <w:r>
        <w:rPr>
          <w:rStyle w:val="normaltextrun"/>
          <w:shd w:val="clear" w:color="auto" w:fill="FFFFFF"/>
        </w:rPr>
        <w:t xml:space="preserve">mg </w:t>
      </w:r>
      <w:r w:rsidR="00107A9D">
        <w:t>každý týden</w:t>
      </w:r>
      <w:r w:rsidR="00107A9D">
        <w:rPr>
          <w:rStyle w:val="spellingerror"/>
          <w:shd w:val="clear" w:color="auto" w:fill="FFFFFF"/>
        </w:rPr>
        <w:t xml:space="preserve"> </w:t>
      </w:r>
      <w:r>
        <w:rPr>
          <w:rStyle w:val="normaltextrun"/>
          <w:shd w:val="clear" w:color="auto" w:fill="FFFFFF"/>
        </w:rPr>
        <w:t>(0,6</w:t>
      </w:r>
      <w:r w:rsidR="00874DE1" w:rsidRPr="00005EC2">
        <w:rPr>
          <w:szCs w:val="22"/>
        </w:rPr>
        <w:t> </w:t>
      </w:r>
      <w:r>
        <w:rPr>
          <w:rStyle w:val="normaltextrun"/>
          <w:shd w:val="clear" w:color="auto" w:fill="FFFFFF"/>
        </w:rPr>
        <w:t>mg/kg) (tabulka 2</w:t>
      </w:r>
      <w:r w:rsidR="00B4761D">
        <w:rPr>
          <w:rStyle w:val="normaltextrun"/>
          <w:shd w:val="clear" w:color="auto" w:fill="FFFFFF"/>
        </w:rPr>
        <w:t>2</w:t>
      </w:r>
      <w:r>
        <w:rPr>
          <w:rStyle w:val="normaltextrun"/>
          <w:shd w:val="clear" w:color="auto" w:fill="FFFFFF"/>
        </w:rPr>
        <w:t>).</w:t>
      </w:r>
    </w:p>
    <w:p w14:paraId="533021D8" w14:textId="77777777" w:rsidR="00245623" w:rsidRPr="00D01607" w:rsidRDefault="00245623" w:rsidP="00245623"/>
    <w:p w14:paraId="788F409F" w14:textId="77777777" w:rsidR="00245623" w:rsidRPr="00D01607" w:rsidRDefault="00000000" w:rsidP="008102BE">
      <w:pPr>
        <w:keepNext/>
        <w:ind w:left="0" w:firstLine="0"/>
        <w:jc w:val="center"/>
        <w:textAlignment w:val="baseline"/>
      </w:pPr>
      <w:r>
        <w:rPr>
          <w:b/>
        </w:rPr>
        <w:t>Tabulka 2</w:t>
      </w:r>
      <w:r w:rsidR="00B4761D">
        <w:rPr>
          <w:b/>
        </w:rPr>
        <w:t>2</w:t>
      </w:r>
      <w:r>
        <w:rPr>
          <w:b/>
        </w:rPr>
        <w:t>:</w:t>
      </w:r>
      <w:r>
        <w:t xml:space="preserve"> </w:t>
      </w:r>
      <w:r>
        <w:rPr>
          <w:b/>
        </w:rPr>
        <w:t>Výsledky účinnosti po 52 týdnech</w:t>
      </w:r>
    </w:p>
    <w:p w14:paraId="2AAF014F" w14:textId="77777777" w:rsidR="00245623" w:rsidRPr="00D01607" w:rsidRDefault="00245623" w:rsidP="008102BE">
      <w:pPr>
        <w:keepNext/>
        <w:ind w:left="0" w:firstLine="0"/>
        <w:jc w:val="center"/>
        <w:textAlignment w:val="baseline"/>
        <w:rPr>
          <w:lang w:eastAsia="en-GB"/>
        </w:rPr>
      </w:pP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7"/>
        <w:gridCol w:w="2841"/>
        <w:gridCol w:w="2967"/>
      </w:tblGrid>
      <w:tr w:rsidR="00534A2D" w14:paraId="3CA190F4" w14:textId="77777777" w:rsidTr="00240790">
        <w:trPr>
          <w:trHeight w:val="912"/>
          <w:jc w:val="center"/>
        </w:trPr>
        <w:tc>
          <w:tcPr>
            <w:tcW w:w="3247" w:type="dxa"/>
            <w:tcBorders>
              <w:top w:val="single" w:sz="6" w:space="0" w:color="auto"/>
              <w:left w:val="single" w:sz="6" w:space="0" w:color="auto"/>
              <w:bottom w:val="single" w:sz="6" w:space="0" w:color="auto"/>
              <w:right w:val="single" w:sz="6" w:space="0" w:color="auto"/>
            </w:tcBorders>
            <w:shd w:val="clear" w:color="auto" w:fill="auto"/>
            <w:hideMark/>
          </w:tcPr>
          <w:p w14:paraId="16D1FCC2" w14:textId="77777777" w:rsidR="00245623" w:rsidRPr="00D01607" w:rsidRDefault="00245623" w:rsidP="00303AC4">
            <w:pPr>
              <w:jc w:val="center"/>
              <w:textAlignment w:val="baseline"/>
              <w:rPr>
                <w:lang w:eastAsia="en-GB"/>
              </w:rPr>
            </w:pPr>
          </w:p>
        </w:tc>
        <w:tc>
          <w:tcPr>
            <w:tcW w:w="2841" w:type="dxa"/>
            <w:tcBorders>
              <w:top w:val="single" w:sz="6" w:space="0" w:color="auto"/>
              <w:left w:val="nil"/>
              <w:bottom w:val="single" w:sz="6" w:space="0" w:color="auto"/>
              <w:right w:val="single" w:sz="6" w:space="0" w:color="auto"/>
            </w:tcBorders>
            <w:shd w:val="clear" w:color="auto" w:fill="auto"/>
            <w:vAlign w:val="center"/>
            <w:hideMark/>
          </w:tcPr>
          <w:p w14:paraId="10DA55C7" w14:textId="77777777" w:rsidR="00245623" w:rsidRPr="00D01607" w:rsidRDefault="00000000" w:rsidP="008102BE">
            <w:pPr>
              <w:ind w:left="0" w:firstLine="0"/>
              <w:jc w:val="center"/>
              <w:textAlignment w:val="baseline"/>
            </w:pPr>
            <w:r>
              <w:rPr>
                <w:b/>
              </w:rPr>
              <w:t>Humira</w:t>
            </w:r>
            <w:r>
              <w:rPr>
                <w:b/>
                <w:vertAlign w:val="superscript"/>
              </w:rPr>
              <w:t>a</w:t>
            </w:r>
          </w:p>
          <w:p w14:paraId="231968B8" w14:textId="77777777" w:rsidR="00245623" w:rsidRPr="00D01607" w:rsidRDefault="00000000" w:rsidP="008102BE">
            <w:pPr>
              <w:ind w:left="0" w:firstLine="0"/>
              <w:jc w:val="center"/>
              <w:textAlignment w:val="baseline"/>
            </w:pPr>
            <w:r>
              <w:rPr>
                <w:b/>
              </w:rPr>
              <w:t>Maximálně 40</w:t>
            </w:r>
            <w:r w:rsidR="00874DE1" w:rsidRPr="00005EC2">
              <w:rPr>
                <w:szCs w:val="22"/>
              </w:rPr>
              <w:t> </w:t>
            </w:r>
            <w:r>
              <w:rPr>
                <w:b/>
              </w:rPr>
              <w:t>mg</w:t>
            </w:r>
            <w:r>
              <w:t xml:space="preserve"> </w:t>
            </w:r>
            <w:r>
              <w:rPr>
                <w:b/>
              </w:rPr>
              <w:t>jednou za</w:t>
            </w:r>
            <w:r w:rsidR="00874DE1" w:rsidRPr="00005EC2">
              <w:rPr>
                <w:szCs w:val="22"/>
              </w:rPr>
              <w:t> </w:t>
            </w:r>
            <w:r>
              <w:rPr>
                <w:b/>
              </w:rPr>
              <w:t>dva týdny</w:t>
            </w:r>
          </w:p>
          <w:p w14:paraId="20D321E1" w14:textId="77777777" w:rsidR="00245623" w:rsidRPr="00D01607" w:rsidRDefault="00000000" w:rsidP="008102BE">
            <w:pPr>
              <w:ind w:left="0" w:firstLine="0"/>
              <w:jc w:val="center"/>
              <w:textAlignment w:val="baseline"/>
            </w:pPr>
            <w:r>
              <w:t>n=31</w:t>
            </w:r>
          </w:p>
        </w:tc>
        <w:tc>
          <w:tcPr>
            <w:tcW w:w="2967" w:type="dxa"/>
            <w:tcBorders>
              <w:top w:val="single" w:sz="6" w:space="0" w:color="auto"/>
              <w:left w:val="nil"/>
              <w:bottom w:val="single" w:sz="6" w:space="0" w:color="auto"/>
              <w:right w:val="single" w:sz="6" w:space="0" w:color="auto"/>
            </w:tcBorders>
            <w:shd w:val="clear" w:color="auto" w:fill="auto"/>
            <w:vAlign w:val="center"/>
            <w:hideMark/>
          </w:tcPr>
          <w:p w14:paraId="5EC76FB5" w14:textId="77777777" w:rsidR="00245623" w:rsidRPr="00D01607" w:rsidRDefault="00000000" w:rsidP="008102BE">
            <w:pPr>
              <w:ind w:left="0" w:firstLine="0"/>
              <w:jc w:val="center"/>
              <w:textAlignment w:val="baseline"/>
            </w:pPr>
            <w:r>
              <w:rPr>
                <w:b/>
              </w:rPr>
              <w:t>Humira</w:t>
            </w:r>
            <w:r>
              <w:rPr>
                <w:b/>
                <w:vertAlign w:val="superscript"/>
              </w:rPr>
              <w:t>b</w:t>
            </w:r>
          </w:p>
          <w:p w14:paraId="24154AB9" w14:textId="77777777" w:rsidR="00245623" w:rsidRPr="00D01607" w:rsidRDefault="00000000" w:rsidP="008102BE">
            <w:pPr>
              <w:ind w:left="0" w:firstLine="0"/>
              <w:jc w:val="center"/>
              <w:textAlignment w:val="baseline"/>
            </w:pPr>
            <w:r>
              <w:rPr>
                <w:b/>
              </w:rPr>
              <w:t>Maximálně 40</w:t>
            </w:r>
            <w:r w:rsidR="00874DE1" w:rsidRPr="00005EC2">
              <w:rPr>
                <w:szCs w:val="22"/>
              </w:rPr>
              <w:t> </w:t>
            </w:r>
            <w:r>
              <w:rPr>
                <w:b/>
              </w:rPr>
              <w:t>mg</w:t>
            </w:r>
            <w:r>
              <w:t xml:space="preserve"> </w:t>
            </w:r>
            <w:r>
              <w:rPr>
                <w:b/>
              </w:rPr>
              <w:t>jednou týdně</w:t>
            </w:r>
          </w:p>
          <w:p w14:paraId="5FE0581F" w14:textId="77777777" w:rsidR="00245623" w:rsidRPr="00D01607" w:rsidRDefault="00000000" w:rsidP="008102BE">
            <w:pPr>
              <w:ind w:left="0" w:firstLine="0"/>
              <w:jc w:val="center"/>
              <w:textAlignment w:val="baseline"/>
            </w:pPr>
            <w:r>
              <w:t>n=31</w:t>
            </w:r>
          </w:p>
        </w:tc>
      </w:tr>
      <w:tr w:rsidR="00534A2D" w14:paraId="66143F3A" w14:textId="77777777" w:rsidTr="00240790">
        <w:trPr>
          <w:trHeight w:val="570"/>
          <w:jc w:val="center"/>
        </w:trPr>
        <w:tc>
          <w:tcPr>
            <w:tcW w:w="3247" w:type="dxa"/>
            <w:tcBorders>
              <w:top w:val="nil"/>
              <w:left w:val="single" w:sz="6" w:space="0" w:color="auto"/>
              <w:bottom w:val="single" w:sz="6" w:space="0" w:color="auto"/>
              <w:right w:val="single" w:sz="6" w:space="0" w:color="auto"/>
            </w:tcBorders>
            <w:shd w:val="clear" w:color="auto" w:fill="auto"/>
            <w:vAlign w:val="center"/>
            <w:hideMark/>
          </w:tcPr>
          <w:p w14:paraId="1D42A581" w14:textId="77777777" w:rsidR="00245623" w:rsidRPr="00D01607" w:rsidRDefault="00000000" w:rsidP="00303AC4">
            <w:pPr>
              <w:ind w:left="130" w:firstLine="0"/>
              <w:textAlignment w:val="baseline"/>
            </w:pPr>
            <w:r>
              <w:t>Klinická remise u pacientů s odpovědí s PMS v </w:t>
            </w:r>
            <w:r w:rsidRPr="00BC5CBC">
              <w:t>týdnu 8</w:t>
            </w:r>
          </w:p>
        </w:tc>
        <w:tc>
          <w:tcPr>
            <w:tcW w:w="2841" w:type="dxa"/>
            <w:tcBorders>
              <w:top w:val="nil"/>
              <w:left w:val="nil"/>
              <w:bottom w:val="single" w:sz="6" w:space="0" w:color="auto"/>
              <w:right w:val="single" w:sz="6" w:space="0" w:color="auto"/>
            </w:tcBorders>
            <w:shd w:val="clear" w:color="auto" w:fill="auto"/>
            <w:vAlign w:val="center"/>
            <w:hideMark/>
          </w:tcPr>
          <w:p w14:paraId="20D3F692" w14:textId="77777777" w:rsidR="00245623" w:rsidRPr="00D01607" w:rsidRDefault="00000000" w:rsidP="00303AC4">
            <w:pPr>
              <w:jc w:val="center"/>
              <w:textAlignment w:val="baseline"/>
            </w:pPr>
            <w:r>
              <w:t>9/31 (29,0 %)</w:t>
            </w:r>
          </w:p>
        </w:tc>
        <w:tc>
          <w:tcPr>
            <w:tcW w:w="2967" w:type="dxa"/>
            <w:tcBorders>
              <w:top w:val="nil"/>
              <w:left w:val="nil"/>
              <w:bottom w:val="single" w:sz="6" w:space="0" w:color="auto"/>
              <w:right w:val="single" w:sz="6" w:space="0" w:color="auto"/>
            </w:tcBorders>
            <w:shd w:val="clear" w:color="auto" w:fill="auto"/>
            <w:vAlign w:val="center"/>
            <w:hideMark/>
          </w:tcPr>
          <w:p w14:paraId="7EA6F50F" w14:textId="77777777" w:rsidR="00245623" w:rsidRPr="00D01607" w:rsidRDefault="00000000" w:rsidP="00303AC4">
            <w:pPr>
              <w:jc w:val="center"/>
              <w:textAlignment w:val="baseline"/>
            </w:pPr>
            <w:r>
              <w:t>14/31 (45,2 %)</w:t>
            </w:r>
          </w:p>
        </w:tc>
      </w:tr>
      <w:tr w:rsidR="00534A2D" w14:paraId="2F504C07" w14:textId="77777777" w:rsidTr="00240790">
        <w:trPr>
          <w:trHeight w:val="555"/>
          <w:jc w:val="center"/>
        </w:trPr>
        <w:tc>
          <w:tcPr>
            <w:tcW w:w="3247" w:type="dxa"/>
            <w:tcBorders>
              <w:top w:val="nil"/>
              <w:left w:val="single" w:sz="6" w:space="0" w:color="auto"/>
              <w:bottom w:val="single" w:sz="6" w:space="0" w:color="auto"/>
              <w:right w:val="single" w:sz="6" w:space="0" w:color="auto"/>
            </w:tcBorders>
            <w:shd w:val="clear" w:color="auto" w:fill="auto"/>
            <w:vAlign w:val="center"/>
            <w:hideMark/>
          </w:tcPr>
          <w:p w14:paraId="31CA7ACC" w14:textId="77777777" w:rsidR="00245623" w:rsidRPr="00D01607" w:rsidRDefault="00000000" w:rsidP="00303AC4">
            <w:pPr>
              <w:ind w:left="130" w:firstLine="0"/>
              <w:textAlignment w:val="baseline"/>
            </w:pPr>
            <w:r>
              <w:t>Klinická odpověď u pacientů s odpovědí s PMS v </w:t>
            </w:r>
            <w:r w:rsidRPr="00BC5CBC">
              <w:t>týdnu 8</w:t>
            </w:r>
          </w:p>
        </w:tc>
        <w:tc>
          <w:tcPr>
            <w:tcW w:w="2841" w:type="dxa"/>
            <w:tcBorders>
              <w:top w:val="nil"/>
              <w:left w:val="nil"/>
              <w:bottom w:val="single" w:sz="6" w:space="0" w:color="auto"/>
              <w:right w:val="single" w:sz="6" w:space="0" w:color="auto"/>
            </w:tcBorders>
            <w:shd w:val="clear" w:color="auto" w:fill="auto"/>
            <w:vAlign w:val="center"/>
            <w:hideMark/>
          </w:tcPr>
          <w:p w14:paraId="3FD5BF13" w14:textId="77777777" w:rsidR="00245623" w:rsidRPr="00D01607" w:rsidRDefault="00000000" w:rsidP="00303AC4">
            <w:pPr>
              <w:jc w:val="center"/>
              <w:textAlignment w:val="baseline"/>
            </w:pPr>
            <w:r>
              <w:t>19/31 (61,3 %)</w:t>
            </w:r>
          </w:p>
        </w:tc>
        <w:tc>
          <w:tcPr>
            <w:tcW w:w="2967" w:type="dxa"/>
            <w:tcBorders>
              <w:top w:val="nil"/>
              <w:left w:val="nil"/>
              <w:bottom w:val="single" w:sz="6" w:space="0" w:color="auto"/>
              <w:right w:val="single" w:sz="6" w:space="0" w:color="auto"/>
            </w:tcBorders>
            <w:shd w:val="clear" w:color="auto" w:fill="auto"/>
            <w:vAlign w:val="center"/>
            <w:hideMark/>
          </w:tcPr>
          <w:p w14:paraId="06100303" w14:textId="77777777" w:rsidR="00245623" w:rsidRPr="00D01607" w:rsidRDefault="00000000" w:rsidP="00303AC4">
            <w:pPr>
              <w:jc w:val="center"/>
              <w:textAlignment w:val="baseline"/>
            </w:pPr>
            <w:r>
              <w:t>21/31 (67,7 %)</w:t>
            </w:r>
          </w:p>
        </w:tc>
      </w:tr>
      <w:tr w:rsidR="00534A2D" w14:paraId="1B7E474C" w14:textId="77777777" w:rsidTr="00240790">
        <w:trPr>
          <w:jc w:val="center"/>
        </w:trPr>
        <w:tc>
          <w:tcPr>
            <w:tcW w:w="3247" w:type="dxa"/>
            <w:tcBorders>
              <w:top w:val="nil"/>
              <w:left w:val="single" w:sz="6" w:space="0" w:color="auto"/>
              <w:bottom w:val="single" w:sz="6" w:space="0" w:color="auto"/>
              <w:right w:val="single" w:sz="6" w:space="0" w:color="auto"/>
            </w:tcBorders>
            <w:shd w:val="clear" w:color="auto" w:fill="auto"/>
            <w:vAlign w:val="center"/>
            <w:hideMark/>
          </w:tcPr>
          <w:p w14:paraId="36817C63" w14:textId="77777777" w:rsidR="00245623" w:rsidRPr="00D01607" w:rsidRDefault="00000000" w:rsidP="00303AC4">
            <w:pPr>
              <w:ind w:left="130" w:firstLine="0"/>
              <w:textAlignment w:val="baseline"/>
            </w:pPr>
            <w:r>
              <w:t>Zhojení sliznice u pacientů s odpovědí s PMS v </w:t>
            </w:r>
            <w:r w:rsidRPr="00BC5CBC">
              <w:t>týdnu 8</w:t>
            </w:r>
          </w:p>
        </w:tc>
        <w:tc>
          <w:tcPr>
            <w:tcW w:w="2841" w:type="dxa"/>
            <w:tcBorders>
              <w:top w:val="nil"/>
              <w:left w:val="nil"/>
              <w:bottom w:val="single" w:sz="6" w:space="0" w:color="auto"/>
              <w:right w:val="single" w:sz="6" w:space="0" w:color="auto"/>
            </w:tcBorders>
            <w:shd w:val="clear" w:color="auto" w:fill="auto"/>
            <w:vAlign w:val="center"/>
            <w:hideMark/>
          </w:tcPr>
          <w:p w14:paraId="208DC59F" w14:textId="77777777" w:rsidR="00245623" w:rsidRPr="00D01607" w:rsidRDefault="00000000" w:rsidP="00303AC4">
            <w:pPr>
              <w:jc w:val="center"/>
              <w:textAlignment w:val="baseline"/>
            </w:pPr>
            <w:r>
              <w:t>12/31 (38,7 %)</w:t>
            </w:r>
          </w:p>
        </w:tc>
        <w:tc>
          <w:tcPr>
            <w:tcW w:w="2967" w:type="dxa"/>
            <w:tcBorders>
              <w:top w:val="nil"/>
              <w:left w:val="nil"/>
              <w:bottom w:val="single" w:sz="6" w:space="0" w:color="auto"/>
              <w:right w:val="single" w:sz="6" w:space="0" w:color="auto"/>
            </w:tcBorders>
            <w:shd w:val="clear" w:color="auto" w:fill="auto"/>
            <w:vAlign w:val="center"/>
            <w:hideMark/>
          </w:tcPr>
          <w:p w14:paraId="79E32E90" w14:textId="77777777" w:rsidR="00245623" w:rsidRPr="00D01607" w:rsidRDefault="00000000" w:rsidP="00303AC4">
            <w:pPr>
              <w:jc w:val="center"/>
              <w:textAlignment w:val="baseline"/>
            </w:pPr>
            <w:r>
              <w:t>16/31 (51,6 %)</w:t>
            </w:r>
          </w:p>
        </w:tc>
      </w:tr>
      <w:tr w:rsidR="00534A2D" w14:paraId="37E61399" w14:textId="77777777" w:rsidTr="00240790">
        <w:trPr>
          <w:jc w:val="center"/>
        </w:trPr>
        <w:tc>
          <w:tcPr>
            <w:tcW w:w="3247" w:type="dxa"/>
            <w:tcBorders>
              <w:top w:val="nil"/>
              <w:left w:val="single" w:sz="6" w:space="0" w:color="auto"/>
              <w:bottom w:val="single" w:sz="6" w:space="0" w:color="auto"/>
              <w:right w:val="single" w:sz="6" w:space="0" w:color="auto"/>
            </w:tcBorders>
            <w:shd w:val="clear" w:color="auto" w:fill="auto"/>
            <w:vAlign w:val="center"/>
            <w:hideMark/>
          </w:tcPr>
          <w:p w14:paraId="5681E12F" w14:textId="77777777" w:rsidR="00245623" w:rsidRPr="00D01607" w:rsidRDefault="00000000" w:rsidP="00303AC4">
            <w:pPr>
              <w:ind w:left="130" w:firstLine="0"/>
              <w:textAlignment w:val="baseline"/>
            </w:pPr>
            <w:r>
              <w:t>Klinická remise u pacientů s remisí s PMS v </w:t>
            </w:r>
            <w:r w:rsidRPr="00BC5CBC">
              <w:t>týdnu 8</w:t>
            </w:r>
          </w:p>
        </w:tc>
        <w:tc>
          <w:tcPr>
            <w:tcW w:w="2841" w:type="dxa"/>
            <w:tcBorders>
              <w:top w:val="nil"/>
              <w:left w:val="nil"/>
              <w:bottom w:val="single" w:sz="6" w:space="0" w:color="auto"/>
              <w:right w:val="single" w:sz="6" w:space="0" w:color="auto"/>
            </w:tcBorders>
            <w:shd w:val="clear" w:color="auto" w:fill="auto"/>
            <w:vAlign w:val="center"/>
            <w:hideMark/>
          </w:tcPr>
          <w:p w14:paraId="4FA8B937" w14:textId="77777777" w:rsidR="00245623" w:rsidRPr="00D01607" w:rsidRDefault="00000000" w:rsidP="00303AC4">
            <w:pPr>
              <w:jc w:val="center"/>
              <w:textAlignment w:val="baseline"/>
            </w:pPr>
            <w:r>
              <w:t>9/21 (42,9 %)</w:t>
            </w:r>
          </w:p>
        </w:tc>
        <w:tc>
          <w:tcPr>
            <w:tcW w:w="2967" w:type="dxa"/>
            <w:tcBorders>
              <w:top w:val="nil"/>
              <w:left w:val="nil"/>
              <w:bottom w:val="single" w:sz="6" w:space="0" w:color="auto"/>
              <w:right w:val="single" w:sz="6" w:space="0" w:color="auto"/>
            </w:tcBorders>
            <w:shd w:val="clear" w:color="auto" w:fill="auto"/>
            <w:vAlign w:val="center"/>
            <w:hideMark/>
          </w:tcPr>
          <w:p w14:paraId="16D65776" w14:textId="77777777" w:rsidR="00245623" w:rsidRPr="00D01607" w:rsidRDefault="00000000" w:rsidP="00303AC4">
            <w:pPr>
              <w:jc w:val="center"/>
              <w:textAlignment w:val="baseline"/>
            </w:pPr>
            <w:r>
              <w:t>10/22 (45,5 %)</w:t>
            </w:r>
          </w:p>
        </w:tc>
      </w:tr>
      <w:tr w:rsidR="00534A2D" w14:paraId="13A06823" w14:textId="77777777" w:rsidTr="00240790">
        <w:trPr>
          <w:jc w:val="center"/>
        </w:trPr>
        <w:tc>
          <w:tcPr>
            <w:tcW w:w="3247" w:type="dxa"/>
            <w:tcBorders>
              <w:top w:val="nil"/>
              <w:left w:val="single" w:sz="6" w:space="0" w:color="auto"/>
              <w:bottom w:val="single" w:sz="6" w:space="0" w:color="auto"/>
              <w:right w:val="single" w:sz="6" w:space="0" w:color="auto"/>
            </w:tcBorders>
            <w:shd w:val="clear" w:color="auto" w:fill="auto"/>
            <w:vAlign w:val="center"/>
            <w:hideMark/>
          </w:tcPr>
          <w:p w14:paraId="108AA43C" w14:textId="77777777" w:rsidR="00245623" w:rsidRPr="00D01607" w:rsidRDefault="00000000" w:rsidP="00303AC4">
            <w:pPr>
              <w:ind w:left="130" w:firstLine="0"/>
              <w:textAlignment w:val="baseline"/>
            </w:pPr>
            <w:r>
              <w:t>Remise bez kortikosteroidů v </w:t>
            </w:r>
            <w:r w:rsidRPr="00BC5CBC">
              <w:t>týdnu 8</w:t>
            </w:r>
            <w:r>
              <w:t xml:space="preserve"> u pacientů s odpovědí s PMS</w:t>
            </w:r>
            <w:r>
              <w:rPr>
                <w:vertAlign w:val="superscript"/>
              </w:rPr>
              <w:t>c</w:t>
            </w:r>
          </w:p>
        </w:tc>
        <w:tc>
          <w:tcPr>
            <w:tcW w:w="2841" w:type="dxa"/>
            <w:tcBorders>
              <w:top w:val="nil"/>
              <w:left w:val="nil"/>
              <w:bottom w:val="single" w:sz="6" w:space="0" w:color="auto"/>
              <w:right w:val="single" w:sz="6" w:space="0" w:color="auto"/>
            </w:tcBorders>
            <w:shd w:val="clear" w:color="auto" w:fill="auto"/>
            <w:vAlign w:val="center"/>
            <w:hideMark/>
          </w:tcPr>
          <w:p w14:paraId="31CB487F" w14:textId="77777777" w:rsidR="00245623" w:rsidRPr="00D01607" w:rsidRDefault="00000000" w:rsidP="00303AC4">
            <w:pPr>
              <w:jc w:val="center"/>
              <w:textAlignment w:val="baseline"/>
            </w:pPr>
            <w:r>
              <w:t>4/13 (30,8 %)</w:t>
            </w:r>
          </w:p>
        </w:tc>
        <w:tc>
          <w:tcPr>
            <w:tcW w:w="2967" w:type="dxa"/>
            <w:tcBorders>
              <w:top w:val="nil"/>
              <w:left w:val="nil"/>
              <w:bottom w:val="single" w:sz="6" w:space="0" w:color="auto"/>
              <w:right w:val="single" w:sz="6" w:space="0" w:color="auto"/>
            </w:tcBorders>
            <w:shd w:val="clear" w:color="auto" w:fill="auto"/>
            <w:vAlign w:val="center"/>
            <w:hideMark/>
          </w:tcPr>
          <w:p w14:paraId="5EA8FA8A" w14:textId="77777777" w:rsidR="00245623" w:rsidRPr="00D01607" w:rsidRDefault="00000000" w:rsidP="00303AC4">
            <w:pPr>
              <w:jc w:val="center"/>
              <w:textAlignment w:val="baseline"/>
            </w:pPr>
            <w:r>
              <w:t>5/16 (31,3 %)</w:t>
            </w:r>
          </w:p>
        </w:tc>
      </w:tr>
      <w:tr w:rsidR="00534A2D" w14:paraId="1E9F81D8" w14:textId="77777777" w:rsidTr="00240790">
        <w:trPr>
          <w:jc w:val="center"/>
        </w:trPr>
        <w:tc>
          <w:tcPr>
            <w:tcW w:w="9055" w:type="dxa"/>
            <w:gridSpan w:val="3"/>
            <w:tcBorders>
              <w:top w:val="nil"/>
              <w:left w:val="single" w:sz="6" w:space="0" w:color="auto"/>
              <w:bottom w:val="single" w:sz="6" w:space="0" w:color="auto"/>
              <w:right w:val="single" w:sz="6" w:space="0" w:color="auto"/>
            </w:tcBorders>
            <w:shd w:val="clear" w:color="auto" w:fill="auto"/>
            <w:hideMark/>
          </w:tcPr>
          <w:p w14:paraId="0BC7BEB1" w14:textId="77777777" w:rsidR="00245623" w:rsidRPr="00950D86" w:rsidRDefault="00000000" w:rsidP="00303AC4">
            <w:pPr>
              <w:textAlignment w:val="baseline"/>
              <w:rPr>
                <w:szCs w:val="22"/>
              </w:rPr>
            </w:pPr>
            <w:r w:rsidRPr="00950D86">
              <w:rPr>
                <w:szCs w:val="22"/>
                <w:vertAlign w:val="superscript"/>
              </w:rPr>
              <w:t>a</w:t>
            </w:r>
            <w:r w:rsidRPr="00950D86">
              <w:rPr>
                <w:szCs w:val="22"/>
              </w:rPr>
              <w:t> Humira 0,6</w:t>
            </w:r>
            <w:r w:rsidR="00874DE1" w:rsidRPr="00005EC2">
              <w:rPr>
                <w:szCs w:val="22"/>
              </w:rPr>
              <w:t> </w:t>
            </w:r>
            <w:r w:rsidRPr="00950D86">
              <w:rPr>
                <w:szCs w:val="22"/>
              </w:rPr>
              <w:t>mg/kg</w:t>
            </w:r>
            <w:r w:rsidR="00107A9D" w:rsidRPr="00950D86">
              <w:rPr>
                <w:szCs w:val="22"/>
              </w:rPr>
              <w:t xml:space="preserve"> </w:t>
            </w:r>
            <w:r w:rsidRPr="00950D86">
              <w:rPr>
                <w:szCs w:val="22"/>
              </w:rPr>
              <w:t>(maximální dávka 40mg)</w:t>
            </w:r>
            <w:r w:rsidR="00107A9D" w:rsidRPr="00950D86">
              <w:rPr>
                <w:szCs w:val="22"/>
              </w:rPr>
              <w:t xml:space="preserve"> </w:t>
            </w:r>
            <w:r w:rsidRPr="00950D86">
              <w:rPr>
                <w:szCs w:val="22"/>
              </w:rPr>
              <w:t>jednou za dva týdny</w:t>
            </w:r>
          </w:p>
          <w:p w14:paraId="08EB33B7" w14:textId="77777777" w:rsidR="00245623" w:rsidRPr="00950D86" w:rsidRDefault="00000000" w:rsidP="00303AC4">
            <w:pPr>
              <w:textAlignment w:val="baseline"/>
              <w:rPr>
                <w:szCs w:val="22"/>
              </w:rPr>
            </w:pPr>
            <w:r w:rsidRPr="00950D86">
              <w:rPr>
                <w:szCs w:val="22"/>
                <w:vertAlign w:val="superscript"/>
              </w:rPr>
              <w:t>b</w:t>
            </w:r>
            <w:r w:rsidRPr="00950D86">
              <w:rPr>
                <w:szCs w:val="22"/>
              </w:rPr>
              <w:t xml:space="preserve"> Humira 0,6</w:t>
            </w:r>
            <w:r w:rsidR="00874DE1" w:rsidRPr="00005EC2">
              <w:rPr>
                <w:szCs w:val="22"/>
              </w:rPr>
              <w:t> </w:t>
            </w:r>
            <w:r w:rsidRPr="00950D86">
              <w:rPr>
                <w:szCs w:val="22"/>
              </w:rPr>
              <w:t>mg/kg</w:t>
            </w:r>
            <w:r w:rsidR="00107A9D" w:rsidRPr="00950D86">
              <w:rPr>
                <w:szCs w:val="22"/>
              </w:rPr>
              <w:t xml:space="preserve"> </w:t>
            </w:r>
            <w:r w:rsidRPr="00950D86">
              <w:rPr>
                <w:szCs w:val="22"/>
              </w:rPr>
              <w:t>(maximální dávka 40</w:t>
            </w:r>
            <w:r w:rsidR="00874DE1" w:rsidRPr="00005EC2">
              <w:rPr>
                <w:szCs w:val="22"/>
              </w:rPr>
              <w:t> </w:t>
            </w:r>
            <w:r w:rsidRPr="00950D86">
              <w:rPr>
                <w:szCs w:val="22"/>
              </w:rPr>
              <w:t>mg)</w:t>
            </w:r>
            <w:r w:rsidR="00107A9D" w:rsidRPr="00950D86">
              <w:rPr>
                <w:szCs w:val="22"/>
              </w:rPr>
              <w:t xml:space="preserve"> </w:t>
            </w:r>
            <w:r w:rsidRPr="00950D86">
              <w:rPr>
                <w:szCs w:val="22"/>
              </w:rPr>
              <w:t>jednou týdně</w:t>
            </w:r>
          </w:p>
          <w:p w14:paraId="422BBBC9" w14:textId="77777777" w:rsidR="00245623" w:rsidRPr="00950D86" w:rsidRDefault="00000000" w:rsidP="00303AC4">
            <w:pPr>
              <w:textAlignment w:val="baseline"/>
              <w:rPr>
                <w:szCs w:val="22"/>
              </w:rPr>
            </w:pPr>
            <w:r w:rsidRPr="00950D86">
              <w:rPr>
                <w:szCs w:val="22"/>
                <w:vertAlign w:val="superscript"/>
              </w:rPr>
              <w:t>c</w:t>
            </w:r>
            <w:r w:rsidRPr="00950D86">
              <w:rPr>
                <w:szCs w:val="22"/>
              </w:rPr>
              <w:t xml:space="preserve"> U pacientů, kteří na počátku dostávali souběžně kortikosteroidy</w:t>
            </w:r>
          </w:p>
          <w:p w14:paraId="22CFF2BA" w14:textId="77777777" w:rsidR="00245623" w:rsidRPr="00950D86" w:rsidRDefault="00000000" w:rsidP="00950D86">
            <w:pPr>
              <w:ind w:left="0" w:firstLine="0"/>
              <w:textAlignment w:val="baseline"/>
              <w:rPr>
                <w:szCs w:val="22"/>
              </w:rPr>
            </w:pPr>
            <w:r w:rsidRPr="00950D86">
              <w:rPr>
                <w:szCs w:val="22"/>
              </w:rPr>
              <w:t>Pozn.: Pacienti s chybějícími hodnotami v</w:t>
            </w:r>
            <w:r w:rsidR="000E6EA0" w:rsidRPr="00950D86">
              <w:rPr>
                <w:szCs w:val="22"/>
              </w:rPr>
              <w:t> </w:t>
            </w:r>
            <w:r w:rsidRPr="00950D86">
              <w:rPr>
                <w:szCs w:val="22"/>
              </w:rPr>
              <w:t>týdnu 52 nebo randomizovaní k opětovné indukční nebo udržovací léčbě byli považováni za pacienty bez odpovědi pro cílové parametry v</w:t>
            </w:r>
            <w:r w:rsidR="000E6EA0" w:rsidRPr="00950D86">
              <w:rPr>
                <w:szCs w:val="22"/>
              </w:rPr>
              <w:t> </w:t>
            </w:r>
            <w:r w:rsidRPr="00950D86">
              <w:rPr>
                <w:szCs w:val="22"/>
              </w:rPr>
              <w:t>týdnu 52</w:t>
            </w:r>
          </w:p>
        </w:tc>
      </w:tr>
    </w:tbl>
    <w:p w14:paraId="6844FEC1" w14:textId="77777777" w:rsidR="00245623" w:rsidRPr="00D01607" w:rsidRDefault="00245623" w:rsidP="00245623"/>
    <w:p w14:paraId="39EE104D" w14:textId="77777777" w:rsidR="00245623" w:rsidRPr="00D01607" w:rsidRDefault="00000000" w:rsidP="00245623">
      <w:pPr>
        <w:ind w:left="0" w:firstLine="0"/>
      </w:pPr>
      <w:r>
        <w:t>Mezi další výzkumné cílové parametry účinnosti patřil</w:t>
      </w:r>
      <w:r w:rsidR="00950D86">
        <w:t>y</w:t>
      </w:r>
      <w:r>
        <w:t xml:space="preserve"> klinická odpověď podle indexu aktivity pediatrické ulcerózní kolitidy (PUCAI) (definovaná jako pokles PUCAI o ≥ 20 bodů oproti výchozí hodnotě)</w:t>
      </w:r>
      <w:r w:rsidR="002378E0">
        <w:t xml:space="preserve"> a </w:t>
      </w:r>
      <w:r>
        <w:t>klinická remise podle PUCAI (definovaná jako PUCAI &lt;10) v </w:t>
      </w:r>
      <w:r w:rsidRPr="00BC5CBC">
        <w:t>týdnu 8</w:t>
      </w:r>
      <w:r w:rsidR="002378E0">
        <w:t xml:space="preserve"> a </w:t>
      </w:r>
      <w:r>
        <w:t>týdnu 52 (tabulka 2</w:t>
      </w:r>
      <w:r w:rsidR="00D22A5D">
        <w:t>3</w:t>
      </w:r>
      <w:r>
        <w:t>).</w:t>
      </w:r>
    </w:p>
    <w:p w14:paraId="7CF419CF" w14:textId="77777777" w:rsidR="00245623" w:rsidRPr="00D01607" w:rsidRDefault="00245623" w:rsidP="00245623"/>
    <w:tbl>
      <w:tblPr>
        <w:tblW w:w="5000" w:type="pct"/>
        <w:jc w:val="center"/>
        <w:tblCellMar>
          <w:left w:w="0" w:type="dxa"/>
          <w:right w:w="0" w:type="dxa"/>
        </w:tblCellMar>
        <w:tblLook w:val="04A0" w:firstRow="1" w:lastRow="0" w:firstColumn="1" w:lastColumn="0" w:noHBand="0" w:noVBand="1"/>
      </w:tblPr>
      <w:tblGrid>
        <w:gridCol w:w="3119"/>
        <w:gridCol w:w="3260"/>
        <w:gridCol w:w="2692"/>
      </w:tblGrid>
      <w:tr w:rsidR="00534A2D" w14:paraId="7A904333" w14:textId="77777777" w:rsidTr="00240790">
        <w:trPr>
          <w:trHeight w:val="60"/>
          <w:jc w:val="center"/>
        </w:trPr>
        <w:tc>
          <w:tcPr>
            <w:tcW w:w="9071" w:type="dxa"/>
            <w:gridSpan w:val="3"/>
            <w:tcMar>
              <w:top w:w="0" w:type="dxa"/>
              <w:left w:w="108" w:type="dxa"/>
              <w:bottom w:w="0" w:type="dxa"/>
              <w:right w:w="108" w:type="dxa"/>
            </w:tcMar>
            <w:hideMark/>
          </w:tcPr>
          <w:p w14:paraId="3B8F111C" w14:textId="77777777" w:rsidR="00245623" w:rsidRPr="00D01607" w:rsidRDefault="00000000" w:rsidP="008102BE">
            <w:pPr>
              <w:keepNext/>
              <w:jc w:val="center"/>
              <w:rPr>
                <w:b/>
                <w:bCs/>
              </w:rPr>
            </w:pPr>
            <w:r>
              <w:rPr>
                <w:b/>
              </w:rPr>
              <w:t>Tabulka 2</w:t>
            </w:r>
            <w:r w:rsidR="00D22A5D">
              <w:rPr>
                <w:b/>
              </w:rPr>
              <w:t>3</w:t>
            </w:r>
            <w:r>
              <w:rPr>
                <w:b/>
              </w:rPr>
              <w:t>: Výsledky výzkumných cílových parametrů podle PUCAI</w:t>
            </w:r>
          </w:p>
        </w:tc>
      </w:tr>
      <w:tr w:rsidR="00534A2D" w14:paraId="49920BFA" w14:textId="77777777" w:rsidTr="00240790">
        <w:trPr>
          <w:trHeight w:val="265"/>
          <w:jc w:val="center"/>
        </w:trPr>
        <w:tc>
          <w:tcPr>
            <w:tcW w:w="3119"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0B6EE82D" w14:textId="77777777" w:rsidR="00245623" w:rsidRPr="00D01607" w:rsidRDefault="00245623" w:rsidP="008102BE">
            <w:pPr>
              <w:keepNext/>
            </w:pPr>
          </w:p>
        </w:tc>
        <w:tc>
          <w:tcPr>
            <w:tcW w:w="59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CDC883" w14:textId="77777777" w:rsidR="00245623" w:rsidRPr="00D01607" w:rsidRDefault="00000000" w:rsidP="008102BE">
            <w:pPr>
              <w:keepNext/>
              <w:jc w:val="center"/>
              <w:rPr>
                <w:b/>
                <w:bCs/>
              </w:rPr>
            </w:pPr>
            <w:r>
              <w:rPr>
                <w:b/>
              </w:rPr>
              <w:t>Týden 8</w:t>
            </w:r>
          </w:p>
        </w:tc>
      </w:tr>
      <w:tr w:rsidR="00534A2D" w14:paraId="4D632C2A" w14:textId="77777777" w:rsidTr="00240790">
        <w:trPr>
          <w:trHeight w:val="1042"/>
          <w:jc w:val="center"/>
        </w:trPr>
        <w:tc>
          <w:tcPr>
            <w:tcW w:w="3119" w:type="dxa"/>
            <w:vMerge/>
            <w:tcBorders>
              <w:top w:val="single" w:sz="4" w:space="0" w:color="auto"/>
              <w:left w:val="single" w:sz="8" w:space="0" w:color="auto"/>
              <w:bottom w:val="single" w:sz="8" w:space="0" w:color="auto"/>
              <w:right w:val="single" w:sz="4" w:space="0" w:color="auto"/>
            </w:tcBorders>
            <w:vAlign w:val="center"/>
            <w:hideMark/>
          </w:tcPr>
          <w:p w14:paraId="02E24D1E" w14:textId="77777777" w:rsidR="00245623" w:rsidRPr="00D01607" w:rsidRDefault="00245623" w:rsidP="008102BE">
            <w:pPr>
              <w:keepNext/>
            </w:pP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B51C77" w14:textId="77777777" w:rsidR="00245623" w:rsidRPr="00D01607" w:rsidRDefault="00000000" w:rsidP="008102BE">
            <w:pPr>
              <w:keepNext/>
              <w:ind w:left="0" w:firstLine="0"/>
              <w:jc w:val="center"/>
              <w:rPr>
                <w:b/>
                <w:bCs/>
                <w:vertAlign w:val="superscript"/>
              </w:rPr>
            </w:pPr>
            <w:r>
              <w:rPr>
                <w:b/>
              </w:rPr>
              <w:t>Humira</w:t>
            </w:r>
            <w:r>
              <w:rPr>
                <w:b/>
                <w:vertAlign w:val="superscript"/>
              </w:rPr>
              <w:t>a</w:t>
            </w:r>
          </w:p>
          <w:p w14:paraId="4511CD49" w14:textId="77777777" w:rsidR="00245623" w:rsidRPr="00D01607" w:rsidRDefault="00000000" w:rsidP="008102BE">
            <w:pPr>
              <w:keepNext/>
              <w:ind w:left="0" w:firstLine="0"/>
              <w:jc w:val="center"/>
              <w:rPr>
                <w:b/>
                <w:bCs/>
              </w:rPr>
            </w:pPr>
            <w:r>
              <w:rPr>
                <w:b/>
              </w:rPr>
              <w:t>Maximálně 160</w:t>
            </w:r>
            <w:r w:rsidR="00874DE1" w:rsidRPr="00005EC2">
              <w:rPr>
                <w:szCs w:val="22"/>
              </w:rPr>
              <w:t> </w:t>
            </w:r>
            <w:r w:rsidRPr="008102BE">
              <w:rPr>
                <w:b/>
              </w:rPr>
              <w:t>mg v týdnu 0/ placebo v týdnu</w:t>
            </w:r>
            <w:r>
              <w:rPr>
                <w:b/>
              </w:rPr>
              <w:t xml:space="preserve"> 1</w:t>
            </w:r>
          </w:p>
          <w:p w14:paraId="56FD4202" w14:textId="77777777" w:rsidR="00245623" w:rsidRPr="00D01607" w:rsidRDefault="00000000" w:rsidP="008102BE">
            <w:pPr>
              <w:keepNext/>
              <w:ind w:left="0" w:firstLine="0"/>
              <w:jc w:val="center"/>
            </w:pPr>
            <w:r>
              <w:t>n=30</w:t>
            </w:r>
          </w:p>
        </w:tc>
        <w:tc>
          <w:tcPr>
            <w:tcW w:w="26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DA346C" w14:textId="77777777" w:rsidR="00245623" w:rsidRPr="00D01607" w:rsidRDefault="00000000" w:rsidP="008102BE">
            <w:pPr>
              <w:keepNext/>
              <w:ind w:left="0" w:firstLine="0"/>
              <w:jc w:val="center"/>
              <w:rPr>
                <w:b/>
                <w:bCs/>
                <w:vertAlign w:val="superscript"/>
              </w:rPr>
            </w:pPr>
            <w:r>
              <w:rPr>
                <w:b/>
              </w:rPr>
              <w:t>Humira</w:t>
            </w:r>
            <w:r>
              <w:rPr>
                <w:b/>
                <w:vertAlign w:val="superscript"/>
              </w:rPr>
              <w:t>b,c</w:t>
            </w:r>
          </w:p>
          <w:p w14:paraId="6A19EA13" w14:textId="77777777" w:rsidR="00245623" w:rsidRPr="00D01607" w:rsidRDefault="00000000" w:rsidP="008102BE">
            <w:pPr>
              <w:keepNext/>
              <w:ind w:left="0" w:firstLine="0"/>
              <w:jc w:val="center"/>
              <w:rPr>
                <w:b/>
                <w:bCs/>
              </w:rPr>
            </w:pPr>
            <w:r>
              <w:rPr>
                <w:b/>
              </w:rPr>
              <w:t>Maximálně 160</w:t>
            </w:r>
            <w:r w:rsidR="00874DE1" w:rsidRPr="00005EC2">
              <w:rPr>
                <w:szCs w:val="22"/>
              </w:rPr>
              <w:t> </w:t>
            </w:r>
            <w:r>
              <w:rPr>
                <w:b/>
              </w:rPr>
              <w:t>mg v týdnech 0</w:t>
            </w:r>
            <w:r w:rsidR="002378E0">
              <w:rPr>
                <w:b/>
              </w:rPr>
              <w:t xml:space="preserve"> a </w:t>
            </w:r>
            <w:r>
              <w:rPr>
                <w:b/>
              </w:rPr>
              <w:t xml:space="preserve">1 </w:t>
            </w:r>
          </w:p>
          <w:p w14:paraId="7F35C8BE" w14:textId="77777777" w:rsidR="00245623" w:rsidRPr="00D01607" w:rsidRDefault="00000000" w:rsidP="008102BE">
            <w:pPr>
              <w:keepNext/>
              <w:ind w:left="0" w:firstLine="0"/>
              <w:jc w:val="center"/>
            </w:pPr>
            <w:r>
              <w:t>n=47</w:t>
            </w:r>
          </w:p>
        </w:tc>
      </w:tr>
      <w:tr w:rsidR="00534A2D" w14:paraId="2FE7E920" w14:textId="77777777" w:rsidTr="00240790">
        <w:trPr>
          <w:trHeight w:val="202"/>
          <w:jc w:val="center"/>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A22CEF" w14:textId="77777777" w:rsidR="00245623" w:rsidRPr="00D01607" w:rsidRDefault="00000000" w:rsidP="00303AC4">
            <w:r>
              <w:t>Klinická remise podle PUCAI</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18A2B953" w14:textId="77777777" w:rsidR="00245623" w:rsidRPr="00D01607" w:rsidRDefault="00000000" w:rsidP="00303AC4">
            <w:pPr>
              <w:jc w:val="center"/>
            </w:pPr>
            <w:r>
              <w:t>10/30 (33,3 %)</w:t>
            </w:r>
          </w:p>
        </w:tc>
        <w:tc>
          <w:tcPr>
            <w:tcW w:w="2692" w:type="dxa"/>
            <w:tcBorders>
              <w:top w:val="nil"/>
              <w:left w:val="nil"/>
              <w:bottom w:val="single" w:sz="8" w:space="0" w:color="auto"/>
              <w:right w:val="single" w:sz="8" w:space="0" w:color="auto"/>
            </w:tcBorders>
            <w:tcMar>
              <w:top w:w="0" w:type="dxa"/>
              <w:left w:w="108" w:type="dxa"/>
              <w:bottom w:w="0" w:type="dxa"/>
              <w:right w:w="108" w:type="dxa"/>
            </w:tcMar>
            <w:hideMark/>
          </w:tcPr>
          <w:p w14:paraId="35AC593A" w14:textId="77777777" w:rsidR="00245623" w:rsidRPr="00D01607" w:rsidRDefault="00000000" w:rsidP="00303AC4">
            <w:pPr>
              <w:jc w:val="center"/>
            </w:pPr>
            <w:r>
              <w:t>22/47 (46,8 %)</w:t>
            </w:r>
          </w:p>
        </w:tc>
      </w:tr>
      <w:tr w:rsidR="00534A2D" w14:paraId="00A05550" w14:textId="77777777" w:rsidTr="00240790">
        <w:trPr>
          <w:trHeight w:val="238"/>
          <w:jc w:val="center"/>
        </w:trPr>
        <w:tc>
          <w:tcPr>
            <w:tcW w:w="31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EE74F68" w14:textId="77777777" w:rsidR="00245623" w:rsidRPr="00D01607" w:rsidRDefault="00000000" w:rsidP="00303AC4">
            <w:r>
              <w:t>Klinická odpověď podle PUCAI</w:t>
            </w:r>
          </w:p>
        </w:tc>
        <w:tc>
          <w:tcPr>
            <w:tcW w:w="3260" w:type="dxa"/>
            <w:tcBorders>
              <w:top w:val="nil"/>
              <w:left w:val="nil"/>
              <w:bottom w:val="single" w:sz="4" w:space="0" w:color="auto"/>
              <w:right w:val="single" w:sz="8" w:space="0" w:color="auto"/>
            </w:tcBorders>
            <w:tcMar>
              <w:top w:w="0" w:type="dxa"/>
              <w:left w:w="108" w:type="dxa"/>
              <w:bottom w:w="0" w:type="dxa"/>
              <w:right w:w="108" w:type="dxa"/>
            </w:tcMar>
            <w:hideMark/>
          </w:tcPr>
          <w:p w14:paraId="3ADE405E" w14:textId="77777777" w:rsidR="00245623" w:rsidRPr="00D01607" w:rsidRDefault="00000000" w:rsidP="00303AC4">
            <w:pPr>
              <w:jc w:val="center"/>
            </w:pPr>
            <w:r>
              <w:t>15/30 (50,0 %)</w:t>
            </w:r>
          </w:p>
        </w:tc>
        <w:tc>
          <w:tcPr>
            <w:tcW w:w="2692" w:type="dxa"/>
            <w:tcBorders>
              <w:top w:val="nil"/>
              <w:left w:val="nil"/>
              <w:bottom w:val="single" w:sz="4" w:space="0" w:color="auto"/>
              <w:right w:val="single" w:sz="8" w:space="0" w:color="auto"/>
            </w:tcBorders>
            <w:tcMar>
              <w:top w:w="0" w:type="dxa"/>
              <w:left w:w="108" w:type="dxa"/>
              <w:bottom w:w="0" w:type="dxa"/>
              <w:right w:w="108" w:type="dxa"/>
            </w:tcMar>
            <w:hideMark/>
          </w:tcPr>
          <w:p w14:paraId="7B582C17" w14:textId="77777777" w:rsidR="00245623" w:rsidRPr="00D01607" w:rsidRDefault="00000000" w:rsidP="00303AC4">
            <w:pPr>
              <w:jc w:val="center"/>
            </w:pPr>
            <w:r>
              <w:t>32/47 (68,1 %)</w:t>
            </w:r>
          </w:p>
        </w:tc>
      </w:tr>
      <w:tr w:rsidR="00534A2D" w14:paraId="08A36759" w14:textId="77777777" w:rsidTr="00240790">
        <w:trPr>
          <w:trHeight w:val="238"/>
          <w:jc w:val="center"/>
        </w:trPr>
        <w:tc>
          <w:tcPr>
            <w:tcW w:w="3119"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21F5815B" w14:textId="77777777" w:rsidR="00245623" w:rsidRPr="00D01607" w:rsidRDefault="00245623" w:rsidP="00303AC4"/>
        </w:tc>
        <w:tc>
          <w:tcPr>
            <w:tcW w:w="595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627048BD" w14:textId="77777777" w:rsidR="00245623" w:rsidRPr="00D01607" w:rsidRDefault="00000000" w:rsidP="00303AC4">
            <w:pPr>
              <w:jc w:val="center"/>
              <w:rPr>
                <w:b/>
                <w:bCs/>
              </w:rPr>
            </w:pPr>
            <w:r>
              <w:rPr>
                <w:b/>
              </w:rPr>
              <w:t>Týden 52</w:t>
            </w:r>
          </w:p>
        </w:tc>
      </w:tr>
      <w:tr w:rsidR="00534A2D" w14:paraId="1E9FCEBF" w14:textId="77777777" w:rsidTr="00240790">
        <w:trPr>
          <w:trHeight w:val="238"/>
          <w:jc w:val="center"/>
        </w:trPr>
        <w:tc>
          <w:tcPr>
            <w:tcW w:w="3119" w:type="dxa"/>
            <w:vMerge/>
            <w:tcBorders>
              <w:top w:val="nil"/>
              <w:left w:val="single" w:sz="8" w:space="0" w:color="auto"/>
              <w:bottom w:val="single" w:sz="4" w:space="0" w:color="auto"/>
              <w:right w:val="single" w:sz="8" w:space="0" w:color="auto"/>
            </w:tcBorders>
            <w:vAlign w:val="center"/>
            <w:hideMark/>
          </w:tcPr>
          <w:p w14:paraId="7FC073AE" w14:textId="77777777" w:rsidR="00245623" w:rsidRPr="00D01607" w:rsidRDefault="00245623" w:rsidP="00303AC4"/>
        </w:tc>
        <w:tc>
          <w:tcPr>
            <w:tcW w:w="3260" w:type="dxa"/>
            <w:tcBorders>
              <w:top w:val="nil"/>
              <w:left w:val="nil"/>
              <w:bottom w:val="single" w:sz="4" w:space="0" w:color="auto"/>
              <w:right w:val="single" w:sz="8" w:space="0" w:color="auto"/>
            </w:tcBorders>
            <w:tcMar>
              <w:top w:w="0" w:type="dxa"/>
              <w:left w:w="108" w:type="dxa"/>
              <w:bottom w:w="0" w:type="dxa"/>
              <w:right w:w="108" w:type="dxa"/>
            </w:tcMar>
            <w:hideMark/>
          </w:tcPr>
          <w:p w14:paraId="1522DCD0" w14:textId="77777777" w:rsidR="00245623" w:rsidRPr="00D01607" w:rsidRDefault="00000000" w:rsidP="008102BE">
            <w:pPr>
              <w:ind w:left="0" w:firstLine="0"/>
              <w:jc w:val="center"/>
              <w:rPr>
                <w:b/>
                <w:bCs/>
                <w:vertAlign w:val="superscript"/>
              </w:rPr>
            </w:pPr>
            <w:r>
              <w:rPr>
                <w:b/>
              </w:rPr>
              <w:t>Humira</w:t>
            </w:r>
            <w:r>
              <w:rPr>
                <w:b/>
                <w:vertAlign w:val="superscript"/>
              </w:rPr>
              <w:t>d</w:t>
            </w:r>
          </w:p>
          <w:p w14:paraId="757DE21D" w14:textId="77777777" w:rsidR="00245623" w:rsidRPr="00D01607" w:rsidRDefault="00000000" w:rsidP="008102BE">
            <w:pPr>
              <w:ind w:left="0" w:firstLine="0"/>
              <w:jc w:val="center"/>
              <w:rPr>
                <w:b/>
                <w:bCs/>
              </w:rPr>
            </w:pPr>
            <w:r>
              <w:rPr>
                <w:b/>
              </w:rPr>
              <w:t>Maximálně 40</w:t>
            </w:r>
            <w:r w:rsidR="00874DE1" w:rsidRPr="00005EC2">
              <w:rPr>
                <w:szCs w:val="22"/>
              </w:rPr>
              <w:t> </w:t>
            </w:r>
            <w:r>
              <w:rPr>
                <w:b/>
              </w:rPr>
              <w:t>mg jednou za</w:t>
            </w:r>
            <w:r w:rsidR="00874DE1" w:rsidRPr="00005EC2">
              <w:rPr>
                <w:szCs w:val="22"/>
              </w:rPr>
              <w:t> </w:t>
            </w:r>
            <w:r>
              <w:rPr>
                <w:b/>
              </w:rPr>
              <w:t>dva týdny</w:t>
            </w:r>
          </w:p>
          <w:p w14:paraId="79586878" w14:textId="77777777" w:rsidR="00245623" w:rsidRPr="00D01607" w:rsidRDefault="00000000" w:rsidP="008102BE">
            <w:pPr>
              <w:ind w:left="0" w:firstLine="0"/>
              <w:jc w:val="center"/>
            </w:pPr>
            <w:r>
              <w:t>n=31</w:t>
            </w:r>
          </w:p>
        </w:tc>
        <w:tc>
          <w:tcPr>
            <w:tcW w:w="2692" w:type="dxa"/>
            <w:tcBorders>
              <w:top w:val="nil"/>
              <w:left w:val="nil"/>
              <w:bottom w:val="single" w:sz="4" w:space="0" w:color="auto"/>
              <w:right w:val="single" w:sz="8" w:space="0" w:color="auto"/>
            </w:tcBorders>
            <w:tcMar>
              <w:top w:w="0" w:type="dxa"/>
              <w:left w:w="108" w:type="dxa"/>
              <w:bottom w:w="0" w:type="dxa"/>
              <w:right w:w="108" w:type="dxa"/>
            </w:tcMar>
            <w:hideMark/>
          </w:tcPr>
          <w:p w14:paraId="4FACC033" w14:textId="77777777" w:rsidR="00245623" w:rsidRPr="00D01607" w:rsidRDefault="00000000" w:rsidP="008102BE">
            <w:pPr>
              <w:ind w:left="0" w:firstLine="0"/>
              <w:jc w:val="center"/>
              <w:rPr>
                <w:b/>
                <w:bCs/>
                <w:vertAlign w:val="superscript"/>
              </w:rPr>
            </w:pPr>
            <w:r>
              <w:rPr>
                <w:b/>
              </w:rPr>
              <w:t>Humira</w:t>
            </w:r>
            <w:r>
              <w:rPr>
                <w:b/>
                <w:vertAlign w:val="superscript"/>
              </w:rPr>
              <w:t>e</w:t>
            </w:r>
          </w:p>
          <w:p w14:paraId="31564111" w14:textId="77777777" w:rsidR="00245623" w:rsidRPr="00D01607" w:rsidRDefault="00000000" w:rsidP="008102BE">
            <w:pPr>
              <w:ind w:left="0" w:firstLine="0"/>
              <w:jc w:val="center"/>
              <w:rPr>
                <w:b/>
                <w:bCs/>
              </w:rPr>
            </w:pPr>
            <w:r>
              <w:rPr>
                <w:b/>
              </w:rPr>
              <w:t>Maximálně 40</w:t>
            </w:r>
            <w:r w:rsidR="00874DE1" w:rsidRPr="00005EC2">
              <w:rPr>
                <w:szCs w:val="22"/>
              </w:rPr>
              <w:t> </w:t>
            </w:r>
            <w:r>
              <w:rPr>
                <w:b/>
              </w:rPr>
              <w:t>mg jednou týdně</w:t>
            </w:r>
          </w:p>
          <w:p w14:paraId="550AE92A" w14:textId="77777777" w:rsidR="00245623" w:rsidRPr="00D01607" w:rsidRDefault="00000000" w:rsidP="008102BE">
            <w:pPr>
              <w:ind w:left="0" w:firstLine="0"/>
              <w:jc w:val="center"/>
            </w:pPr>
            <w:r>
              <w:t>n=31</w:t>
            </w:r>
          </w:p>
        </w:tc>
      </w:tr>
      <w:tr w:rsidR="00534A2D" w14:paraId="2DAF64DC" w14:textId="77777777" w:rsidTr="00240790">
        <w:trPr>
          <w:trHeight w:val="238"/>
          <w:jc w:val="center"/>
        </w:trPr>
        <w:tc>
          <w:tcPr>
            <w:tcW w:w="31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3CB2ABC" w14:textId="77777777" w:rsidR="00245623" w:rsidRPr="00D01607" w:rsidRDefault="00000000" w:rsidP="00303AC4">
            <w:pPr>
              <w:tabs>
                <w:tab w:val="left" w:pos="36"/>
              </w:tabs>
              <w:ind w:left="36" w:hanging="36"/>
            </w:pPr>
            <w:r>
              <w:t>Klinická remise podle PUCAI v </w:t>
            </w:r>
            <w:r w:rsidRPr="00BC5CBC">
              <w:t>týdnu 8</w:t>
            </w:r>
            <w:r>
              <w:t xml:space="preserve"> u pacientů s odpovědí s PMS</w:t>
            </w:r>
          </w:p>
        </w:tc>
        <w:tc>
          <w:tcPr>
            <w:tcW w:w="3260" w:type="dxa"/>
            <w:tcBorders>
              <w:top w:val="nil"/>
              <w:left w:val="nil"/>
              <w:bottom w:val="single" w:sz="4" w:space="0" w:color="auto"/>
              <w:right w:val="single" w:sz="8" w:space="0" w:color="auto"/>
            </w:tcBorders>
            <w:tcMar>
              <w:top w:w="0" w:type="dxa"/>
              <w:left w:w="108" w:type="dxa"/>
              <w:bottom w:w="0" w:type="dxa"/>
              <w:right w:w="108" w:type="dxa"/>
            </w:tcMar>
            <w:hideMark/>
          </w:tcPr>
          <w:p w14:paraId="543354B9" w14:textId="77777777" w:rsidR="00245623" w:rsidRPr="00D01607" w:rsidRDefault="00000000" w:rsidP="00303AC4">
            <w:pPr>
              <w:jc w:val="center"/>
            </w:pPr>
            <w:r>
              <w:t>14/31 (45,2 %)</w:t>
            </w:r>
          </w:p>
        </w:tc>
        <w:tc>
          <w:tcPr>
            <w:tcW w:w="2692" w:type="dxa"/>
            <w:tcBorders>
              <w:top w:val="nil"/>
              <w:left w:val="nil"/>
              <w:bottom w:val="single" w:sz="4" w:space="0" w:color="auto"/>
              <w:right w:val="single" w:sz="8" w:space="0" w:color="auto"/>
            </w:tcBorders>
            <w:tcMar>
              <w:top w:w="0" w:type="dxa"/>
              <w:left w:w="108" w:type="dxa"/>
              <w:bottom w:w="0" w:type="dxa"/>
              <w:right w:w="108" w:type="dxa"/>
            </w:tcMar>
            <w:hideMark/>
          </w:tcPr>
          <w:p w14:paraId="504622BC" w14:textId="77777777" w:rsidR="00245623" w:rsidRPr="00D01607" w:rsidRDefault="00000000" w:rsidP="00303AC4">
            <w:pPr>
              <w:jc w:val="center"/>
            </w:pPr>
            <w:r>
              <w:t>18/31 (58,1 %)</w:t>
            </w:r>
          </w:p>
        </w:tc>
      </w:tr>
      <w:tr w:rsidR="00534A2D" w14:paraId="7BA4E084" w14:textId="77777777" w:rsidTr="00240790">
        <w:trPr>
          <w:trHeight w:val="238"/>
          <w:jc w:val="center"/>
        </w:trPr>
        <w:tc>
          <w:tcPr>
            <w:tcW w:w="31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CBD083D" w14:textId="77777777" w:rsidR="00245623" w:rsidRPr="00D01607" w:rsidRDefault="00000000" w:rsidP="00303AC4">
            <w:pPr>
              <w:tabs>
                <w:tab w:val="left" w:pos="36"/>
              </w:tabs>
              <w:ind w:left="36" w:hanging="36"/>
            </w:pPr>
            <w:r>
              <w:t>Klinická odpověď podle PUCAI v </w:t>
            </w:r>
            <w:r w:rsidRPr="00BC5CBC">
              <w:t>týdnu 8</w:t>
            </w:r>
            <w:r>
              <w:t xml:space="preserve"> u pacientů s odpovědí s PMS</w:t>
            </w:r>
          </w:p>
        </w:tc>
        <w:tc>
          <w:tcPr>
            <w:tcW w:w="3260" w:type="dxa"/>
            <w:tcBorders>
              <w:top w:val="nil"/>
              <w:left w:val="nil"/>
              <w:bottom w:val="single" w:sz="4" w:space="0" w:color="auto"/>
              <w:right w:val="single" w:sz="8" w:space="0" w:color="auto"/>
            </w:tcBorders>
            <w:tcMar>
              <w:top w:w="0" w:type="dxa"/>
              <w:left w:w="108" w:type="dxa"/>
              <w:bottom w:w="0" w:type="dxa"/>
              <w:right w:w="108" w:type="dxa"/>
            </w:tcMar>
            <w:hideMark/>
          </w:tcPr>
          <w:p w14:paraId="3AF1EE77" w14:textId="77777777" w:rsidR="00245623" w:rsidRPr="00D01607" w:rsidRDefault="00000000" w:rsidP="00303AC4">
            <w:pPr>
              <w:jc w:val="center"/>
            </w:pPr>
            <w:r>
              <w:t>18/31 (58,1 %)</w:t>
            </w:r>
          </w:p>
        </w:tc>
        <w:tc>
          <w:tcPr>
            <w:tcW w:w="2692" w:type="dxa"/>
            <w:tcBorders>
              <w:top w:val="nil"/>
              <w:left w:val="nil"/>
              <w:bottom w:val="single" w:sz="4" w:space="0" w:color="auto"/>
              <w:right w:val="single" w:sz="8" w:space="0" w:color="auto"/>
            </w:tcBorders>
            <w:tcMar>
              <w:top w:w="0" w:type="dxa"/>
              <w:left w:w="108" w:type="dxa"/>
              <w:bottom w:w="0" w:type="dxa"/>
              <w:right w:w="108" w:type="dxa"/>
            </w:tcMar>
            <w:hideMark/>
          </w:tcPr>
          <w:p w14:paraId="6E56310E" w14:textId="77777777" w:rsidR="00245623" w:rsidRPr="00D01607" w:rsidRDefault="00000000" w:rsidP="00303AC4">
            <w:pPr>
              <w:jc w:val="center"/>
            </w:pPr>
            <w:r>
              <w:t>16/31 (51,6 %)</w:t>
            </w:r>
          </w:p>
        </w:tc>
      </w:tr>
      <w:tr w:rsidR="00534A2D" w14:paraId="3AD14EBF" w14:textId="77777777" w:rsidTr="00240790">
        <w:trPr>
          <w:trHeight w:val="533"/>
          <w:jc w:val="center"/>
        </w:trPr>
        <w:tc>
          <w:tcPr>
            <w:tcW w:w="9071"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F4620A9" w14:textId="77777777" w:rsidR="00245623" w:rsidRPr="00D01607" w:rsidRDefault="00000000" w:rsidP="00303AC4">
            <w:pPr>
              <w:ind w:left="0" w:firstLine="0"/>
              <w:rPr>
                <w:rStyle w:val="eop"/>
              </w:rPr>
            </w:pPr>
            <w:r>
              <w:rPr>
                <w:vertAlign w:val="superscript"/>
              </w:rPr>
              <w:t xml:space="preserve">a </w:t>
            </w:r>
            <w:r>
              <w:rPr>
                <w:rStyle w:val="normaltextrun"/>
              </w:rPr>
              <w:t>Humira 2,4</w:t>
            </w:r>
            <w:r w:rsidR="00874DE1" w:rsidRPr="00005EC2">
              <w:rPr>
                <w:szCs w:val="22"/>
              </w:rPr>
              <w:t> </w:t>
            </w:r>
            <w:r>
              <w:rPr>
                <w:rStyle w:val="normaltextrun"/>
              </w:rPr>
              <w:t>mg/kg (maximální dávka 160</w:t>
            </w:r>
            <w:r w:rsidR="00874DE1" w:rsidRPr="00005EC2">
              <w:rPr>
                <w:szCs w:val="22"/>
              </w:rPr>
              <w:t> </w:t>
            </w:r>
            <w:r>
              <w:rPr>
                <w:rStyle w:val="normaltextrun"/>
              </w:rPr>
              <w:t>mg) v </w:t>
            </w:r>
            <w:r w:rsidRPr="00BC5CBC">
              <w:rPr>
                <w:rStyle w:val="normaltextrun"/>
              </w:rPr>
              <w:t>týdnu 0</w:t>
            </w:r>
            <w:r>
              <w:rPr>
                <w:rStyle w:val="normaltextrun"/>
              </w:rPr>
              <w:t>, placebo v týdnu 1</w:t>
            </w:r>
            <w:r w:rsidR="002378E0">
              <w:rPr>
                <w:rStyle w:val="normaltextrun"/>
              </w:rPr>
              <w:t xml:space="preserve"> a </w:t>
            </w:r>
            <w:r>
              <w:rPr>
                <w:rStyle w:val="normaltextrun"/>
              </w:rPr>
              <w:t>1,2</w:t>
            </w:r>
            <w:r w:rsidR="00874DE1" w:rsidRPr="00005EC2">
              <w:rPr>
                <w:szCs w:val="22"/>
              </w:rPr>
              <w:t> </w:t>
            </w:r>
            <w:r>
              <w:rPr>
                <w:rStyle w:val="normaltextrun"/>
              </w:rPr>
              <w:t>mg/kg (maximální dávka 80</w:t>
            </w:r>
            <w:r w:rsidR="00874DE1" w:rsidRPr="00005EC2">
              <w:rPr>
                <w:szCs w:val="22"/>
              </w:rPr>
              <w:t> </w:t>
            </w:r>
            <w:r>
              <w:rPr>
                <w:rStyle w:val="normaltextrun"/>
              </w:rPr>
              <w:t>mg) v</w:t>
            </w:r>
            <w:r w:rsidR="000E6EA0">
              <w:rPr>
                <w:rStyle w:val="normaltextrun"/>
              </w:rPr>
              <w:t> </w:t>
            </w:r>
            <w:r>
              <w:rPr>
                <w:rStyle w:val="normaltextrun"/>
              </w:rPr>
              <w:t>týdnu</w:t>
            </w:r>
            <w:r>
              <w:rPr>
                <w:rStyle w:val="eop"/>
              </w:rPr>
              <w:t xml:space="preserve"> 2</w:t>
            </w:r>
          </w:p>
          <w:p w14:paraId="405FE536" w14:textId="77777777" w:rsidR="00245623" w:rsidRPr="00D01607" w:rsidRDefault="00000000" w:rsidP="00303AC4">
            <w:pPr>
              <w:pStyle w:val="paragraph0"/>
              <w:spacing w:before="0" w:beforeAutospacing="0" w:after="0" w:afterAutospacing="0"/>
              <w:textAlignment w:val="baseline"/>
              <w:rPr>
                <w:rStyle w:val="eop"/>
                <w:szCs w:val="22"/>
              </w:rPr>
            </w:pPr>
            <w:r>
              <w:rPr>
                <w:sz w:val="22"/>
                <w:vertAlign w:val="superscript"/>
              </w:rPr>
              <w:t xml:space="preserve">b </w:t>
            </w:r>
            <w:r>
              <w:rPr>
                <w:rStyle w:val="normaltextrun"/>
                <w:sz w:val="22"/>
              </w:rPr>
              <w:t>Humira 2,4</w:t>
            </w:r>
            <w:r w:rsidR="00874DE1" w:rsidRPr="00005EC2">
              <w:rPr>
                <w:sz w:val="22"/>
                <w:szCs w:val="22"/>
              </w:rPr>
              <w:t> </w:t>
            </w:r>
            <w:r>
              <w:rPr>
                <w:rStyle w:val="normaltextrun"/>
                <w:sz w:val="22"/>
              </w:rPr>
              <w:t>mg/kg (maximální dávka 160</w:t>
            </w:r>
            <w:r w:rsidR="00874DE1" w:rsidRPr="00005EC2">
              <w:rPr>
                <w:sz w:val="22"/>
                <w:szCs w:val="22"/>
              </w:rPr>
              <w:t> </w:t>
            </w:r>
            <w:r>
              <w:rPr>
                <w:rStyle w:val="normaltextrun"/>
                <w:sz w:val="22"/>
              </w:rPr>
              <w:t>mg) v týdnech 0</w:t>
            </w:r>
            <w:r w:rsidR="002378E0">
              <w:rPr>
                <w:rStyle w:val="normaltextrun"/>
                <w:sz w:val="22"/>
              </w:rPr>
              <w:t xml:space="preserve"> a </w:t>
            </w:r>
            <w:r>
              <w:rPr>
                <w:rStyle w:val="normaltextrun"/>
                <w:sz w:val="22"/>
              </w:rPr>
              <w:t>1</w:t>
            </w:r>
            <w:r w:rsidR="002378E0">
              <w:rPr>
                <w:rStyle w:val="normaltextrun"/>
                <w:sz w:val="22"/>
              </w:rPr>
              <w:t xml:space="preserve"> a </w:t>
            </w:r>
            <w:r>
              <w:rPr>
                <w:rStyle w:val="normaltextrun"/>
                <w:sz w:val="22"/>
              </w:rPr>
              <w:t>1,2</w:t>
            </w:r>
            <w:r w:rsidR="00874DE1" w:rsidRPr="00005EC2">
              <w:rPr>
                <w:sz w:val="22"/>
                <w:szCs w:val="22"/>
              </w:rPr>
              <w:t> </w:t>
            </w:r>
            <w:r>
              <w:rPr>
                <w:rStyle w:val="normaltextrun"/>
                <w:sz w:val="22"/>
              </w:rPr>
              <w:t>mg/kg (maximální dávka 80</w:t>
            </w:r>
            <w:r w:rsidR="00874DE1" w:rsidRPr="00005EC2">
              <w:rPr>
                <w:sz w:val="22"/>
                <w:szCs w:val="22"/>
              </w:rPr>
              <w:t> </w:t>
            </w:r>
            <w:r>
              <w:rPr>
                <w:rStyle w:val="normaltextrun"/>
                <w:sz w:val="22"/>
              </w:rPr>
              <w:t>mg) v</w:t>
            </w:r>
            <w:r w:rsidR="000E6EA0">
              <w:rPr>
                <w:rStyle w:val="normaltextrun"/>
                <w:sz w:val="22"/>
              </w:rPr>
              <w:t> </w:t>
            </w:r>
            <w:r>
              <w:rPr>
                <w:rStyle w:val="normaltextrun"/>
                <w:sz w:val="22"/>
              </w:rPr>
              <w:t>týdnu 2</w:t>
            </w:r>
            <w:r>
              <w:rPr>
                <w:rStyle w:val="eop"/>
              </w:rPr>
              <w:t xml:space="preserve"> </w:t>
            </w:r>
          </w:p>
          <w:p w14:paraId="39E91F29" w14:textId="77777777" w:rsidR="00245623" w:rsidRPr="00D01607" w:rsidRDefault="00000000" w:rsidP="00303AC4">
            <w:pPr>
              <w:pStyle w:val="paragraph0"/>
              <w:spacing w:before="0" w:beforeAutospacing="0" w:after="0" w:afterAutospacing="0"/>
              <w:textAlignment w:val="baseline"/>
              <w:rPr>
                <w:rStyle w:val="normaltextrun"/>
                <w:sz w:val="22"/>
                <w:szCs w:val="22"/>
              </w:rPr>
            </w:pPr>
            <w:r>
              <w:rPr>
                <w:rStyle w:val="normaltextrun"/>
                <w:sz w:val="22"/>
                <w:vertAlign w:val="superscript"/>
              </w:rPr>
              <w:t xml:space="preserve">c </w:t>
            </w:r>
            <w:r>
              <w:rPr>
                <w:rStyle w:val="normaltextrun"/>
                <w:sz w:val="22"/>
              </w:rPr>
              <w:t>Nezahrnuje nezaslepenou indukční dávku přípravku Humira 2,4</w:t>
            </w:r>
            <w:r w:rsidR="00874DE1" w:rsidRPr="00005EC2">
              <w:rPr>
                <w:sz w:val="22"/>
                <w:szCs w:val="22"/>
              </w:rPr>
              <w:t> </w:t>
            </w:r>
            <w:r>
              <w:rPr>
                <w:rStyle w:val="normaltextrun"/>
                <w:sz w:val="22"/>
              </w:rPr>
              <w:t>mg/kg (maximální dávka 160</w:t>
            </w:r>
            <w:r w:rsidR="00874DE1" w:rsidRPr="00005EC2">
              <w:rPr>
                <w:sz w:val="22"/>
                <w:szCs w:val="22"/>
              </w:rPr>
              <w:t> </w:t>
            </w:r>
            <w:r>
              <w:rPr>
                <w:rStyle w:val="normaltextrun"/>
                <w:sz w:val="22"/>
              </w:rPr>
              <w:t>mg) v týdnech 0</w:t>
            </w:r>
            <w:r w:rsidR="002378E0">
              <w:rPr>
                <w:rStyle w:val="normaltextrun"/>
                <w:sz w:val="22"/>
              </w:rPr>
              <w:t xml:space="preserve"> a </w:t>
            </w:r>
            <w:r>
              <w:rPr>
                <w:rStyle w:val="normaltextrun"/>
                <w:sz w:val="22"/>
              </w:rPr>
              <w:t>1</w:t>
            </w:r>
            <w:r w:rsidR="002378E0">
              <w:rPr>
                <w:rStyle w:val="normaltextrun"/>
                <w:sz w:val="22"/>
              </w:rPr>
              <w:t xml:space="preserve"> a </w:t>
            </w:r>
            <w:r>
              <w:rPr>
                <w:rStyle w:val="normaltextrun"/>
                <w:sz w:val="22"/>
              </w:rPr>
              <w:t>1,2</w:t>
            </w:r>
            <w:r w:rsidR="00874DE1" w:rsidRPr="00005EC2">
              <w:rPr>
                <w:sz w:val="22"/>
                <w:szCs w:val="22"/>
              </w:rPr>
              <w:t> </w:t>
            </w:r>
            <w:r>
              <w:rPr>
                <w:rStyle w:val="normaltextrun"/>
                <w:sz w:val="22"/>
              </w:rPr>
              <w:t>mg/kg (maximální dávka 80</w:t>
            </w:r>
            <w:r w:rsidR="00874DE1" w:rsidRPr="00005EC2">
              <w:rPr>
                <w:sz w:val="22"/>
                <w:szCs w:val="22"/>
              </w:rPr>
              <w:t> </w:t>
            </w:r>
            <w:r>
              <w:rPr>
                <w:rStyle w:val="normaltextrun"/>
                <w:sz w:val="22"/>
              </w:rPr>
              <w:t>mg) v</w:t>
            </w:r>
            <w:r w:rsidR="000E6EA0">
              <w:rPr>
                <w:rStyle w:val="normaltextrun"/>
                <w:sz w:val="22"/>
              </w:rPr>
              <w:t> </w:t>
            </w:r>
            <w:r>
              <w:rPr>
                <w:rStyle w:val="normaltextrun"/>
                <w:sz w:val="22"/>
              </w:rPr>
              <w:t xml:space="preserve">týdnu 2 </w:t>
            </w:r>
          </w:p>
          <w:p w14:paraId="3F5D39DE" w14:textId="77777777" w:rsidR="00245623" w:rsidRPr="00D01607" w:rsidRDefault="00000000" w:rsidP="00303AC4">
            <w:pPr>
              <w:pStyle w:val="paragraph0"/>
              <w:spacing w:before="0" w:beforeAutospacing="0" w:after="0" w:afterAutospacing="0"/>
              <w:textAlignment w:val="baseline"/>
              <w:rPr>
                <w:sz w:val="22"/>
                <w:szCs w:val="22"/>
              </w:rPr>
            </w:pPr>
            <w:r>
              <w:rPr>
                <w:rStyle w:val="normaltextrun"/>
                <w:sz w:val="22"/>
                <w:vertAlign w:val="superscript"/>
              </w:rPr>
              <w:t>d</w:t>
            </w:r>
            <w:r>
              <w:rPr>
                <w:sz w:val="22"/>
              </w:rPr>
              <w:t xml:space="preserve"> Humira 0,6</w:t>
            </w:r>
            <w:r w:rsidR="00874DE1" w:rsidRPr="00005EC2">
              <w:rPr>
                <w:sz w:val="22"/>
                <w:szCs w:val="22"/>
              </w:rPr>
              <w:t> </w:t>
            </w:r>
            <w:r>
              <w:rPr>
                <w:sz w:val="22"/>
              </w:rPr>
              <w:t>mg/kg</w:t>
            </w:r>
            <w:r w:rsidR="000E6EA0">
              <w:rPr>
                <w:sz w:val="22"/>
              </w:rPr>
              <w:t xml:space="preserve"> </w:t>
            </w:r>
            <w:r>
              <w:rPr>
                <w:sz w:val="22"/>
              </w:rPr>
              <w:t>(maximální dávka 40</w:t>
            </w:r>
            <w:r w:rsidR="00874DE1" w:rsidRPr="00005EC2">
              <w:rPr>
                <w:sz w:val="22"/>
                <w:szCs w:val="22"/>
              </w:rPr>
              <w:t> </w:t>
            </w:r>
            <w:r>
              <w:rPr>
                <w:sz w:val="22"/>
              </w:rPr>
              <w:t>mg)</w:t>
            </w:r>
            <w:r w:rsidR="000E6EA0">
              <w:rPr>
                <w:sz w:val="22"/>
              </w:rPr>
              <w:t xml:space="preserve"> </w:t>
            </w:r>
            <w:r>
              <w:rPr>
                <w:sz w:val="22"/>
              </w:rPr>
              <w:t>jednou za dva týdny</w:t>
            </w:r>
          </w:p>
          <w:p w14:paraId="7681C88C" w14:textId="77777777" w:rsidR="00245623" w:rsidRPr="00D01607" w:rsidRDefault="00000000" w:rsidP="00303AC4">
            <w:pPr>
              <w:ind w:left="0" w:firstLine="0"/>
            </w:pPr>
            <w:r>
              <w:rPr>
                <w:vertAlign w:val="superscript"/>
              </w:rPr>
              <w:t>e</w:t>
            </w:r>
            <w:r>
              <w:t xml:space="preserve"> Humira 0,6</w:t>
            </w:r>
            <w:r w:rsidR="00874DE1" w:rsidRPr="00005EC2">
              <w:rPr>
                <w:szCs w:val="22"/>
              </w:rPr>
              <w:t> </w:t>
            </w:r>
            <w:r>
              <w:t>mg/kg</w:t>
            </w:r>
            <w:r w:rsidR="000E6EA0">
              <w:t xml:space="preserve"> </w:t>
            </w:r>
            <w:r>
              <w:t>(maximální dávka 40</w:t>
            </w:r>
            <w:r w:rsidR="00874DE1" w:rsidRPr="00005EC2">
              <w:rPr>
                <w:szCs w:val="22"/>
              </w:rPr>
              <w:t> </w:t>
            </w:r>
            <w:r>
              <w:t>mg)</w:t>
            </w:r>
            <w:r w:rsidR="000E6EA0">
              <w:t xml:space="preserve"> </w:t>
            </w:r>
            <w:r>
              <w:t>jednou týdně</w:t>
            </w:r>
          </w:p>
          <w:p w14:paraId="6BF786F6" w14:textId="77777777" w:rsidR="00245623" w:rsidRPr="00D01607" w:rsidRDefault="00000000" w:rsidP="00303AC4">
            <w:pPr>
              <w:pStyle w:val="paragraph0"/>
              <w:spacing w:before="0" w:beforeAutospacing="0" w:after="0" w:afterAutospacing="0"/>
              <w:textAlignment w:val="baseline"/>
              <w:rPr>
                <w:sz w:val="22"/>
                <w:szCs w:val="22"/>
              </w:rPr>
            </w:pPr>
            <w:r>
              <w:rPr>
                <w:rStyle w:val="normaltextrun"/>
                <w:sz w:val="22"/>
              </w:rPr>
              <w:t>Pozn. 1:</w:t>
            </w:r>
            <w:r>
              <w:rPr>
                <w:sz w:val="22"/>
              </w:rPr>
              <w:t xml:space="preserve"> </w:t>
            </w:r>
            <w:r>
              <w:rPr>
                <w:rStyle w:val="normaltextrun"/>
                <w:sz w:val="22"/>
              </w:rPr>
              <w:t>Obě indukční skupiny dostávaly 0,6</w:t>
            </w:r>
            <w:r w:rsidR="00874DE1" w:rsidRPr="00005EC2">
              <w:rPr>
                <w:sz w:val="22"/>
                <w:szCs w:val="22"/>
              </w:rPr>
              <w:t> </w:t>
            </w:r>
            <w:r>
              <w:rPr>
                <w:rStyle w:val="normaltextrun"/>
                <w:sz w:val="22"/>
              </w:rPr>
              <w:t>mg/kg (maximální dávka 40</w:t>
            </w:r>
            <w:r w:rsidR="00874DE1" w:rsidRPr="00005EC2">
              <w:rPr>
                <w:sz w:val="22"/>
                <w:szCs w:val="22"/>
              </w:rPr>
              <w:t> </w:t>
            </w:r>
            <w:r>
              <w:rPr>
                <w:rStyle w:val="normaltextrun"/>
                <w:sz w:val="22"/>
              </w:rPr>
              <w:t>mg) v</w:t>
            </w:r>
            <w:r w:rsidR="000E6EA0">
              <w:rPr>
                <w:rStyle w:val="normaltextrun"/>
                <w:sz w:val="22"/>
              </w:rPr>
              <w:t> </w:t>
            </w:r>
            <w:r>
              <w:rPr>
                <w:rStyle w:val="normaltextrun"/>
                <w:sz w:val="22"/>
              </w:rPr>
              <w:t>týdnu 4</w:t>
            </w:r>
            <w:r w:rsidR="002378E0">
              <w:rPr>
                <w:rStyle w:val="normaltextrun"/>
                <w:sz w:val="22"/>
              </w:rPr>
              <w:t xml:space="preserve"> a </w:t>
            </w:r>
            <w:r>
              <w:rPr>
                <w:rStyle w:val="normaltextrun"/>
                <w:sz w:val="22"/>
              </w:rPr>
              <w:t>6</w:t>
            </w:r>
            <w:r>
              <w:rPr>
                <w:rStyle w:val="eop"/>
              </w:rPr>
              <w:t xml:space="preserve"> </w:t>
            </w:r>
          </w:p>
          <w:p w14:paraId="12017EFC" w14:textId="77777777" w:rsidR="00245623" w:rsidRPr="00950D86" w:rsidRDefault="00000000" w:rsidP="00303AC4">
            <w:pPr>
              <w:pStyle w:val="paragraph0"/>
              <w:spacing w:before="0" w:beforeAutospacing="0" w:after="0" w:afterAutospacing="0"/>
              <w:textAlignment w:val="baseline"/>
              <w:rPr>
                <w:rStyle w:val="eop"/>
                <w:sz w:val="22"/>
                <w:szCs w:val="22"/>
              </w:rPr>
            </w:pPr>
            <w:r>
              <w:rPr>
                <w:rStyle w:val="normaltextrun"/>
                <w:sz w:val="22"/>
              </w:rPr>
              <w:t>Pozn. 2:</w:t>
            </w:r>
            <w:r>
              <w:rPr>
                <w:sz w:val="22"/>
              </w:rPr>
              <w:t xml:space="preserve"> </w:t>
            </w:r>
            <w:r w:rsidRPr="00950D86">
              <w:rPr>
                <w:rStyle w:val="normaltextrun"/>
                <w:sz w:val="22"/>
                <w:szCs w:val="22"/>
              </w:rPr>
              <w:t>Pacienti s chybějícími hodnotami v týdnu 8 byli považováni za pacienty, kteří nesplnili cílové parametry</w:t>
            </w:r>
            <w:r w:rsidRPr="00950D86">
              <w:rPr>
                <w:rStyle w:val="eop"/>
                <w:sz w:val="22"/>
                <w:szCs w:val="22"/>
              </w:rPr>
              <w:t xml:space="preserve"> </w:t>
            </w:r>
          </w:p>
          <w:p w14:paraId="5E714783" w14:textId="77777777" w:rsidR="00245623" w:rsidRPr="00D01607" w:rsidRDefault="00000000" w:rsidP="00303AC4">
            <w:pPr>
              <w:pStyle w:val="paragraph0"/>
              <w:spacing w:before="0" w:beforeAutospacing="0" w:after="0" w:afterAutospacing="0"/>
              <w:textAlignment w:val="baseline"/>
              <w:rPr>
                <w:sz w:val="22"/>
                <w:szCs w:val="22"/>
              </w:rPr>
            </w:pPr>
            <w:r w:rsidRPr="00950D86">
              <w:rPr>
                <w:rStyle w:val="eop"/>
                <w:sz w:val="22"/>
                <w:szCs w:val="22"/>
              </w:rPr>
              <w:t>Pozn. 3:</w:t>
            </w:r>
            <w:r w:rsidRPr="00950D86">
              <w:rPr>
                <w:sz w:val="22"/>
                <w:szCs w:val="22"/>
              </w:rPr>
              <w:t xml:space="preserve"> Pacienti s chybějícími hodnotami v</w:t>
            </w:r>
            <w:r w:rsidR="000E6EA0" w:rsidRPr="00950D86">
              <w:rPr>
                <w:sz w:val="22"/>
                <w:szCs w:val="22"/>
              </w:rPr>
              <w:t> </w:t>
            </w:r>
            <w:r w:rsidRPr="00950D86">
              <w:rPr>
                <w:sz w:val="22"/>
                <w:szCs w:val="22"/>
              </w:rPr>
              <w:t>týdnu 52 nebo randomizovaní k opětovné indukční nebo udržovací léčbě byli považováni za pacienty bez odpovědi pro cílové parametry v</w:t>
            </w:r>
            <w:r w:rsidR="000E6EA0" w:rsidRPr="00950D86">
              <w:rPr>
                <w:sz w:val="22"/>
                <w:szCs w:val="22"/>
              </w:rPr>
              <w:t> </w:t>
            </w:r>
            <w:r w:rsidRPr="00950D86">
              <w:rPr>
                <w:sz w:val="22"/>
                <w:szCs w:val="22"/>
              </w:rPr>
              <w:t>týdnu 52</w:t>
            </w:r>
          </w:p>
        </w:tc>
      </w:tr>
    </w:tbl>
    <w:p w14:paraId="0AC6CD48" w14:textId="77777777" w:rsidR="00245623" w:rsidRPr="00D01607" w:rsidRDefault="00245623" w:rsidP="00245623"/>
    <w:p w14:paraId="07BDF91C" w14:textId="77777777" w:rsidR="00245623" w:rsidRDefault="00000000" w:rsidP="00245623">
      <w:pPr>
        <w:ind w:left="0" w:firstLine="0"/>
      </w:pPr>
      <w:r>
        <w:t>Z</w:t>
      </w:r>
      <w:r w:rsidR="000E6EA0">
        <w:t> </w:t>
      </w:r>
      <w:r>
        <w:t>pacientů léčených přípravkem Humira, kteří během udržovacího období podstoupili opětovnou indukční léčbu, dosáhlo 2/6 (33</w:t>
      </w:r>
      <w:r w:rsidR="00A57F08">
        <w:rPr>
          <w:rStyle w:val="normaltextrun"/>
        </w:rPr>
        <w:t> </w:t>
      </w:r>
      <w:r>
        <w:t>%) klinické odpovědi podle FMS v</w:t>
      </w:r>
      <w:r w:rsidR="000E6EA0">
        <w:t> </w:t>
      </w:r>
      <w:r>
        <w:t>týdnu 52.</w:t>
      </w:r>
    </w:p>
    <w:p w14:paraId="1E0A5242" w14:textId="77777777" w:rsidR="00245623" w:rsidRPr="00D01607" w:rsidRDefault="00245623" w:rsidP="00245623">
      <w:pPr>
        <w:ind w:left="0" w:firstLine="0"/>
      </w:pPr>
    </w:p>
    <w:p w14:paraId="0D027277" w14:textId="77777777" w:rsidR="00245623" w:rsidRDefault="00000000" w:rsidP="00245623">
      <w:pPr>
        <w:keepNext/>
        <w:ind w:left="0" w:firstLine="0"/>
        <w:rPr>
          <w:bCs/>
          <w:i/>
          <w:u w:val="single"/>
        </w:rPr>
      </w:pPr>
      <w:r>
        <w:rPr>
          <w:i/>
          <w:u w:val="single"/>
        </w:rPr>
        <w:t>Kvalita života</w:t>
      </w:r>
    </w:p>
    <w:p w14:paraId="31EDF375" w14:textId="77777777" w:rsidR="00245623" w:rsidRPr="00D01607" w:rsidRDefault="00245623" w:rsidP="00245623">
      <w:pPr>
        <w:keepNext/>
        <w:ind w:left="0" w:firstLine="0"/>
        <w:rPr>
          <w:bCs/>
          <w:i/>
          <w:u w:val="single"/>
        </w:rPr>
      </w:pPr>
    </w:p>
    <w:p w14:paraId="10A19A23" w14:textId="77777777" w:rsidR="00245623" w:rsidRPr="00D01607" w:rsidRDefault="00000000" w:rsidP="00245623">
      <w:pPr>
        <w:keepNext/>
        <w:ind w:left="0" w:firstLine="0"/>
      </w:pPr>
      <w:r>
        <w:t>U skupin léčených přípravkem Humira bylo pozorováno klinicky významné zlepšení v</w:t>
      </w:r>
      <w:r w:rsidR="000E6EA0">
        <w:t> </w:t>
      </w:r>
      <w:r w:rsidRPr="001B4A02">
        <w:t xml:space="preserve">parametrech kvality života (včetně </w:t>
      </w:r>
      <w:r w:rsidRPr="00986E88">
        <w:rPr>
          <w:szCs w:val="22"/>
        </w:rPr>
        <w:t>WPAI</w:t>
      </w:r>
      <w:r w:rsidRPr="001B4A02">
        <w:t xml:space="preserve"> </w:t>
      </w:r>
      <w:r>
        <w:t>skóre</w:t>
      </w:r>
      <w:r w:rsidR="002378E0">
        <w:t xml:space="preserve"> a </w:t>
      </w:r>
      <w:r w:rsidRPr="001B4A02">
        <w:t>IMPACT III</w:t>
      </w:r>
      <w:r>
        <w:t>).</w:t>
      </w:r>
    </w:p>
    <w:p w14:paraId="22A2E0E5" w14:textId="77777777" w:rsidR="00245623" w:rsidRDefault="00245623" w:rsidP="00245623">
      <w:pPr>
        <w:ind w:left="0" w:firstLine="0"/>
      </w:pPr>
    </w:p>
    <w:p w14:paraId="5D9A8329" w14:textId="77777777" w:rsidR="00245623" w:rsidRDefault="00000000" w:rsidP="00245623">
      <w:pPr>
        <w:ind w:left="0" w:firstLine="0"/>
      </w:pPr>
      <w:r w:rsidRPr="001F29A6">
        <w:t>U skupin léčených adalimumabem vysokou udržovací dávkou maximálně 40</w:t>
      </w:r>
      <w:r>
        <w:t> </w:t>
      </w:r>
      <w:r w:rsidRPr="001F29A6">
        <w:t>mg (0,6</w:t>
      </w:r>
      <w:r>
        <w:t> </w:t>
      </w:r>
      <w:r w:rsidRPr="001F29A6">
        <w:t>mg/kg) týdně bylo pozorováno klinicky významné zvýšení (zlepšení) rychlosti růstu</w:t>
      </w:r>
      <w:r w:rsidR="002378E0">
        <w:t xml:space="preserve"> a </w:t>
      </w:r>
      <w:r w:rsidRPr="001F29A6">
        <w:t>klinicky významné zvýšení (zlepšení) Body Mass Indexu v porovnání s výchozím stavem</w:t>
      </w:r>
      <w:r>
        <w:t>.</w:t>
      </w:r>
    </w:p>
    <w:p w14:paraId="0BA6B129" w14:textId="77777777" w:rsidR="00265599" w:rsidRPr="001B4A02" w:rsidRDefault="00265599" w:rsidP="00E331EB">
      <w:pPr>
        <w:pStyle w:val="EMEANormal"/>
        <w:rPr>
          <w:bCs/>
          <w:lang w:val="cs-CZ"/>
        </w:rPr>
      </w:pPr>
    </w:p>
    <w:p w14:paraId="14E72FA3" w14:textId="77777777" w:rsidR="002D74C7" w:rsidRPr="001B4A02" w:rsidRDefault="00000000" w:rsidP="002D74C7">
      <w:pPr>
        <w:keepNext/>
        <w:rPr>
          <w:i/>
          <w:color w:val="000000"/>
        </w:rPr>
      </w:pPr>
      <w:r w:rsidRPr="001B4A02">
        <w:rPr>
          <w:i/>
          <w:color w:val="000000"/>
        </w:rPr>
        <w:t>Uveitida u pediatrických pacientů</w:t>
      </w:r>
    </w:p>
    <w:p w14:paraId="041B4D78" w14:textId="77777777" w:rsidR="002D74C7" w:rsidRPr="001B4A02" w:rsidRDefault="002D74C7" w:rsidP="002D74C7">
      <w:pPr>
        <w:keepNext/>
        <w:rPr>
          <w:color w:val="000000"/>
        </w:rPr>
      </w:pPr>
    </w:p>
    <w:p w14:paraId="2677B27D" w14:textId="77777777" w:rsidR="002D74C7" w:rsidRPr="001B4A02" w:rsidRDefault="00000000" w:rsidP="002D74C7">
      <w:pPr>
        <w:pStyle w:val="gtcbodytext"/>
        <w:spacing w:before="0" w:after="0" w:line="240" w:lineRule="auto"/>
        <w:rPr>
          <w:bCs/>
          <w:sz w:val="22"/>
          <w:szCs w:val="20"/>
          <w:lang w:val="cs-CZ"/>
        </w:rPr>
      </w:pPr>
      <w:r w:rsidRPr="001B4A02">
        <w:rPr>
          <w:bCs/>
          <w:sz w:val="22"/>
          <w:szCs w:val="22"/>
          <w:lang w:val="cs-CZ"/>
        </w:rPr>
        <w:t>Bezpečnost</w:t>
      </w:r>
      <w:r w:rsidR="002378E0">
        <w:rPr>
          <w:bCs/>
          <w:sz w:val="22"/>
          <w:szCs w:val="22"/>
          <w:lang w:val="cs-CZ"/>
        </w:rPr>
        <w:t xml:space="preserve"> a </w:t>
      </w:r>
      <w:r w:rsidRPr="001B4A02">
        <w:rPr>
          <w:bCs/>
          <w:sz w:val="22"/>
          <w:szCs w:val="22"/>
          <w:lang w:val="cs-CZ"/>
        </w:rPr>
        <w:t>účinnost přípravku Humira byla hodnocena v randomizované, dvojitě zaslepené, kontrolované studii u 90 pediatrických pacientů ve věku od 2 do &lt; 18 let s neinfekční přední uveitidou související s JIA, kteří byli refrakterní na nejméně 12týdenní léčbu methotrexátem. Pacienti dostávali buď placebo, nebo 20 mg adalimumabu (pokud měli tělesnou hmotnost &lt; 30</w:t>
      </w:r>
      <w:r w:rsidR="002767FC">
        <w:rPr>
          <w:bCs/>
          <w:sz w:val="22"/>
          <w:szCs w:val="22"/>
          <w:lang w:val="cs-CZ"/>
        </w:rPr>
        <w:t> kg</w:t>
      </w:r>
      <w:r w:rsidRPr="001B4A02">
        <w:rPr>
          <w:bCs/>
          <w:sz w:val="22"/>
          <w:szCs w:val="22"/>
          <w:lang w:val="cs-CZ"/>
        </w:rPr>
        <w:t>) nebo 40 mg adalimumabu (pokud měli tělesnou hmotnost ≥ 30</w:t>
      </w:r>
      <w:r w:rsidR="002767FC">
        <w:rPr>
          <w:bCs/>
          <w:sz w:val="22"/>
          <w:szCs w:val="22"/>
          <w:lang w:val="cs-CZ"/>
        </w:rPr>
        <w:t> kg</w:t>
      </w:r>
      <w:r w:rsidRPr="001B4A02">
        <w:rPr>
          <w:bCs/>
          <w:sz w:val="22"/>
          <w:szCs w:val="22"/>
          <w:lang w:val="cs-CZ"/>
        </w:rPr>
        <w:t xml:space="preserve">) každý druhý týden v kombinaci se svou úvodní dávkou methotrexátu. </w:t>
      </w:r>
    </w:p>
    <w:p w14:paraId="59071A3C" w14:textId="77777777" w:rsidR="002D74C7" w:rsidRPr="001B4A02" w:rsidRDefault="002D74C7" w:rsidP="002D74C7">
      <w:pPr>
        <w:pStyle w:val="gtcbodytext"/>
        <w:spacing w:before="0" w:after="0" w:line="240" w:lineRule="auto"/>
        <w:rPr>
          <w:bCs/>
          <w:sz w:val="22"/>
          <w:szCs w:val="20"/>
          <w:lang w:val="cs-CZ"/>
        </w:rPr>
      </w:pPr>
    </w:p>
    <w:p w14:paraId="00864BD0" w14:textId="77777777" w:rsidR="002D74C7" w:rsidRPr="001B4A02" w:rsidRDefault="00000000" w:rsidP="002D74C7">
      <w:pPr>
        <w:pStyle w:val="gtcbodytext"/>
        <w:spacing w:before="0" w:after="0" w:line="240" w:lineRule="auto"/>
        <w:rPr>
          <w:bCs/>
          <w:sz w:val="22"/>
          <w:szCs w:val="20"/>
          <w:lang w:val="cs-CZ"/>
        </w:rPr>
      </w:pPr>
      <w:r w:rsidRPr="001B4A02">
        <w:rPr>
          <w:bCs/>
          <w:sz w:val="22"/>
          <w:szCs w:val="22"/>
          <w:lang w:val="cs-CZ"/>
        </w:rPr>
        <w:t>Primárním cílovým ukazatelem byla doba do selhání léčby. Kritériem pro stanovení selhání léčby bylo zhoršení nebo trvalé nezlepšení očního zánětu, částečné zlepšení s rozvojem trvalých očních komorbidit nebo zhoršení očních komorbidit, nepovolené použití souběžné léčby</w:t>
      </w:r>
      <w:r w:rsidR="002378E0">
        <w:rPr>
          <w:bCs/>
          <w:sz w:val="22"/>
          <w:szCs w:val="22"/>
          <w:lang w:val="cs-CZ"/>
        </w:rPr>
        <w:t xml:space="preserve"> a </w:t>
      </w:r>
      <w:r w:rsidRPr="001B4A02">
        <w:rPr>
          <w:bCs/>
          <w:sz w:val="22"/>
          <w:szCs w:val="22"/>
          <w:lang w:val="cs-CZ"/>
        </w:rPr>
        <w:t>přerušení léčby po delší časové období.</w:t>
      </w:r>
    </w:p>
    <w:p w14:paraId="3B172023" w14:textId="77777777" w:rsidR="002D74C7" w:rsidRPr="001B4A02" w:rsidRDefault="002D74C7" w:rsidP="002D74C7">
      <w:pPr>
        <w:pStyle w:val="gtcbodytext"/>
        <w:spacing w:before="0" w:after="0" w:line="240" w:lineRule="auto"/>
        <w:rPr>
          <w:bCs/>
          <w:sz w:val="22"/>
          <w:szCs w:val="20"/>
          <w:lang w:val="cs-CZ"/>
        </w:rPr>
      </w:pPr>
    </w:p>
    <w:p w14:paraId="0138B3B0" w14:textId="77777777" w:rsidR="002D74C7" w:rsidRPr="001B4A02" w:rsidRDefault="00000000" w:rsidP="002D74C7">
      <w:pPr>
        <w:pStyle w:val="EMEAHeadingUnderline"/>
        <w:keepNext/>
        <w:spacing w:beforeLines="0" w:before="0" w:afterLines="0" w:after="0"/>
        <w:rPr>
          <w:i/>
          <w:lang w:val="cs-CZ"/>
        </w:rPr>
      </w:pPr>
      <w:r w:rsidRPr="001B4A02">
        <w:rPr>
          <w:i/>
          <w:iCs/>
          <w:szCs w:val="22"/>
          <w:lang w:val="cs-CZ"/>
        </w:rPr>
        <w:t>Klinická odpověď</w:t>
      </w:r>
    </w:p>
    <w:p w14:paraId="77522520" w14:textId="77777777" w:rsidR="002D74C7" w:rsidRPr="001B4A02" w:rsidRDefault="002D74C7" w:rsidP="002D74C7">
      <w:pPr>
        <w:pStyle w:val="gtcbodytext"/>
        <w:keepNext/>
        <w:spacing w:before="0" w:after="0" w:line="240" w:lineRule="auto"/>
        <w:rPr>
          <w:i/>
          <w:u w:val="single"/>
          <w:lang w:val="cs-CZ"/>
        </w:rPr>
      </w:pPr>
    </w:p>
    <w:p w14:paraId="256733B0" w14:textId="77777777" w:rsidR="002D74C7" w:rsidRPr="001B4A02" w:rsidRDefault="00000000" w:rsidP="002D74C7">
      <w:pPr>
        <w:pStyle w:val="EMEANormal"/>
        <w:rPr>
          <w:bCs/>
          <w:szCs w:val="22"/>
          <w:bdr w:val="nil"/>
          <w:lang w:val="cs-CZ"/>
        </w:rPr>
      </w:pPr>
      <w:r w:rsidRPr="001B4A02">
        <w:rPr>
          <w:bCs/>
          <w:szCs w:val="22"/>
          <w:lang w:val="cs-CZ"/>
        </w:rPr>
        <w:t>Adalimumab významně prodloužil dobu do selhání léčby v porovnání s placebem (viz obrázek 2, P &lt; 0,0001 z log rank testu). Medián doby do selhání léčby byl 24,1 týdnů u pacientů s placebem, zatímco medián doby do selhání léčby nebylo možné odhadnout u pacientů léčených adalimumabem, protože léčba selhala u méně než poloviny těchto pacientů. Adalimumab významně snížil riziko selhání léčby o 75 % v porovnání s placebem, jak je uvedeno podle hodnoty poměru rizik (HR = 0,25 [95% CI: 0,12; 0,49]).</w:t>
      </w:r>
    </w:p>
    <w:p w14:paraId="0336BE15" w14:textId="77777777" w:rsidR="002D74C7" w:rsidRPr="001B4A02" w:rsidRDefault="002D74C7" w:rsidP="002D74C7">
      <w:pPr>
        <w:pStyle w:val="EMEANormal"/>
        <w:rPr>
          <w:bCs/>
          <w:szCs w:val="22"/>
          <w:bdr w:val="nil"/>
          <w:lang w:val="cs-CZ"/>
        </w:rPr>
      </w:pPr>
    </w:p>
    <w:p w14:paraId="6626E89E" w14:textId="77777777" w:rsidR="002D74C7" w:rsidRPr="001B4A02" w:rsidRDefault="00000000" w:rsidP="002D74C7">
      <w:pPr>
        <w:pStyle w:val="EMEANormal"/>
        <w:keepNext/>
        <w:jc w:val="center"/>
        <w:rPr>
          <w:b/>
          <w:szCs w:val="22"/>
          <w:lang w:val="cs-CZ"/>
        </w:rPr>
      </w:pPr>
      <w:r w:rsidRPr="001B4A02">
        <w:rPr>
          <w:b/>
          <w:bCs/>
          <w:szCs w:val="22"/>
          <w:lang w:val="cs-CZ"/>
        </w:rPr>
        <w:t>Obrázek 2: Kaplan-Meierovy křivky shrnující dobu do selhání léčby ve studii u pediatrických pacientů s uveitidou</w:t>
      </w:r>
    </w:p>
    <w:p w14:paraId="7DB6F00E" w14:textId="77777777" w:rsidR="002D74C7" w:rsidRPr="001B4A02" w:rsidRDefault="002D74C7" w:rsidP="002D74C7">
      <w:pPr>
        <w:pStyle w:val="EMEANormal"/>
        <w:keepNext/>
        <w:jc w:val="center"/>
        <w:rPr>
          <w:b/>
          <w:szCs w:val="22"/>
          <w:highlight w:val="yellow"/>
          <w:lang w:val="cs-CZ"/>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534A2D" w14:paraId="2AF304FC" w14:textId="77777777" w:rsidTr="00E571F5">
        <w:trPr>
          <w:cantSplit/>
          <w:trHeight w:val="3806"/>
        </w:trPr>
        <w:tc>
          <w:tcPr>
            <w:tcW w:w="468" w:type="dxa"/>
            <w:shd w:val="clear" w:color="auto" w:fill="auto"/>
            <w:textDirection w:val="btLr"/>
            <w:vAlign w:val="bottom"/>
          </w:tcPr>
          <w:p w14:paraId="6E244730" w14:textId="77777777" w:rsidR="002D74C7" w:rsidRPr="001B4A02" w:rsidRDefault="00000000" w:rsidP="00E571F5">
            <w:pPr>
              <w:pStyle w:val="EMEANormal"/>
              <w:keepNext/>
              <w:ind w:left="113" w:right="113"/>
              <w:jc w:val="center"/>
              <w:rPr>
                <w:b/>
                <w:szCs w:val="22"/>
                <w:lang w:val="cs-CZ"/>
              </w:rPr>
            </w:pPr>
            <w:r w:rsidRPr="001B4A02">
              <w:rPr>
                <w:b/>
                <w:szCs w:val="22"/>
                <w:lang w:val="cs-CZ"/>
              </w:rPr>
              <w:t>PRAVDĚPODOBNOST SELHÁNÍ LÉČBY</w:t>
            </w:r>
          </w:p>
        </w:tc>
        <w:tc>
          <w:tcPr>
            <w:tcW w:w="8820" w:type="dxa"/>
            <w:gridSpan w:val="5"/>
            <w:shd w:val="clear" w:color="auto" w:fill="auto"/>
            <w:vAlign w:val="bottom"/>
          </w:tcPr>
          <w:p w14:paraId="00CBF141" w14:textId="77777777" w:rsidR="002D74C7" w:rsidRPr="001B4A02" w:rsidRDefault="00000000" w:rsidP="00E571F5">
            <w:pPr>
              <w:pStyle w:val="EMEANormal"/>
              <w:keepNext/>
              <w:rPr>
                <w:szCs w:val="22"/>
                <w:lang w:val="cs-CZ"/>
              </w:rPr>
            </w:pPr>
            <w:r w:rsidRPr="001B4A02">
              <w:rPr>
                <w:noProof/>
                <w:szCs w:val="22"/>
              </w:rPr>
              <w:drawing>
                <wp:inline distT="0" distB="0" distL="0" distR="0" wp14:anchorId="7E149C42" wp14:editId="77BB8563">
                  <wp:extent cx="5486400" cy="4545965"/>
                  <wp:effectExtent l="0" t="0" r="0" b="6985"/>
                  <wp:docPr id="37" name="obrázek 503"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503" descr="Humira PED UV KM Curve REVISED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4545965"/>
                          </a:xfrm>
                          <a:prstGeom prst="rect">
                            <a:avLst/>
                          </a:prstGeom>
                          <a:noFill/>
                          <a:ln>
                            <a:noFill/>
                          </a:ln>
                        </pic:spPr>
                      </pic:pic>
                    </a:graphicData>
                  </a:graphic>
                </wp:inline>
              </w:drawing>
            </w:r>
          </w:p>
        </w:tc>
      </w:tr>
      <w:tr w:rsidR="00534A2D" w14:paraId="358938E4" w14:textId="77777777" w:rsidTr="00E571F5">
        <w:tc>
          <w:tcPr>
            <w:tcW w:w="468" w:type="dxa"/>
            <w:shd w:val="clear" w:color="auto" w:fill="auto"/>
          </w:tcPr>
          <w:p w14:paraId="4812FE21" w14:textId="77777777" w:rsidR="002D74C7" w:rsidRPr="001B4A02" w:rsidRDefault="002D74C7" w:rsidP="00E571F5">
            <w:pPr>
              <w:pStyle w:val="EMEANormal"/>
              <w:keepNext/>
              <w:rPr>
                <w:szCs w:val="22"/>
                <w:lang w:val="cs-CZ"/>
              </w:rPr>
            </w:pPr>
          </w:p>
        </w:tc>
        <w:tc>
          <w:tcPr>
            <w:tcW w:w="8820" w:type="dxa"/>
            <w:gridSpan w:val="5"/>
            <w:shd w:val="clear" w:color="auto" w:fill="auto"/>
          </w:tcPr>
          <w:p w14:paraId="1BAC2161" w14:textId="77777777" w:rsidR="002D74C7" w:rsidRPr="001B4A02" w:rsidRDefault="00000000" w:rsidP="00E571F5">
            <w:pPr>
              <w:pStyle w:val="EMEANormal"/>
              <w:keepNext/>
              <w:jc w:val="center"/>
              <w:rPr>
                <w:b/>
                <w:szCs w:val="22"/>
                <w:lang w:val="cs-CZ"/>
              </w:rPr>
            </w:pPr>
            <w:r w:rsidRPr="001B4A02">
              <w:rPr>
                <w:b/>
                <w:szCs w:val="22"/>
                <w:lang w:val="cs-CZ"/>
              </w:rPr>
              <w:t>ČAS (TÝDNY)</w:t>
            </w:r>
          </w:p>
        </w:tc>
      </w:tr>
      <w:tr w:rsidR="00534A2D" w14:paraId="151982E0" w14:textId="77777777" w:rsidTr="00E571F5">
        <w:tc>
          <w:tcPr>
            <w:tcW w:w="468" w:type="dxa"/>
            <w:shd w:val="clear" w:color="auto" w:fill="auto"/>
          </w:tcPr>
          <w:p w14:paraId="6C585493" w14:textId="77777777" w:rsidR="002D74C7" w:rsidRPr="001B4A02" w:rsidRDefault="002D74C7" w:rsidP="00E571F5">
            <w:pPr>
              <w:pStyle w:val="EMEANormal"/>
              <w:keepNext/>
              <w:rPr>
                <w:szCs w:val="22"/>
                <w:lang w:val="cs-CZ"/>
              </w:rPr>
            </w:pPr>
          </w:p>
        </w:tc>
        <w:tc>
          <w:tcPr>
            <w:tcW w:w="3510" w:type="dxa"/>
            <w:shd w:val="clear" w:color="auto" w:fill="auto"/>
          </w:tcPr>
          <w:p w14:paraId="13B16BC3" w14:textId="77777777" w:rsidR="002D74C7" w:rsidRPr="001B4A02" w:rsidRDefault="00000000" w:rsidP="00E571F5">
            <w:pPr>
              <w:pStyle w:val="EMEANormal"/>
              <w:keepNext/>
              <w:rPr>
                <w:szCs w:val="22"/>
                <w:lang w:val="cs-CZ"/>
              </w:rPr>
            </w:pPr>
            <w:r w:rsidRPr="001B4A02">
              <w:rPr>
                <w:szCs w:val="22"/>
                <w:lang w:val="cs-CZ"/>
              </w:rPr>
              <w:t>Léčba</w:t>
            </w:r>
          </w:p>
        </w:tc>
        <w:tc>
          <w:tcPr>
            <w:tcW w:w="1170" w:type="dxa"/>
            <w:shd w:val="clear" w:color="auto" w:fill="auto"/>
            <w:vAlign w:val="bottom"/>
          </w:tcPr>
          <w:p w14:paraId="187FE219" w14:textId="77777777" w:rsidR="002D74C7" w:rsidRPr="001B4A02" w:rsidRDefault="00000000" w:rsidP="00E571F5">
            <w:pPr>
              <w:pStyle w:val="EMEANormal"/>
              <w:keepNext/>
              <w:jc w:val="center"/>
              <w:rPr>
                <w:szCs w:val="22"/>
                <w:lang w:val="cs-CZ"/>
              </w:rPr>
            </w:pPr>
            <w:r w:rsidRPr="001B4A02">
              <w:rPr>
                <w:noProof/>
                <w:szCs w:val="22"/>
              </w:rPr>
              <w:drawing>
                <wp:inline distT="0" distB="0" distL="0" distR="0" wp14:anchorId="6FF91914" wp14:editId="424406AE">
                  <wp:extent cx="457200" cy="120650"/>
                  <wp:effectExtent l="0" t="0" r="0" b="0"/>
                  <wp:docPr id="38" name="obrázek 504"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504" descr="Humira PED UV KM Curve 1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57200" cy="120650"/>
                          </a:xfrm>
                          <a:prstGeom prst="rect">
                            <a:avLst/>
                          </a:prstGeom>
                          <a:noFill/>
                          <a:ln>
                            <a:noFill/>
                          </a:ln>
                        </pic:spPr>
                      </pic:pic>
                    </a:graphicData>
                  </a:graphic>
                </wp:inline>
              </w:drawing>
            </w:r>
          </w:p>
        </w:tc>
        <w:tc>
          <w:tcPr>
            <w:tcW w:w="1350" w:type="dxa"/>
            <w:shd w:val="clear" w:color="auto" w:fill="auto"/>
          </w:tcPr>
          <w:p w14:paraId="7D118CC7" w14:textId="77777777" w:rsidR="002D74C7" w:rsidRPr="001B4A02" w:rsidRDefault="00000000" w:rsidP="00E571F5">
            <w:pPr>
              <w:pStyle w:val="EMEANormal"/>
              <w:keepNext/>
              <w:rPr>
                <w:szCs w:val="22"/>
                <w:lang w:val="cs-CZ"/>
              </w:rPr>
            </w:pPr>
            <w:r w:rsidRPr="001B4A02">
              <w:rPr>
                <w:szCs w:val="22"/>
                <w:lang w:val="cs-CZ"/>
              </w:rPr>
              <w:t>Placebo</w:t>
            </w:r>
          </w:p>
        </w:tc>
        <w:tc>
          <w:tcPr>
            <w:tcW w:w="900" w:type="dxa"/>
            <w:shd w:val="clear" w:color="auto" w:fill="auto"/>
            <w:vAlign w:val="center"/>
          </w:tcPr>
          <w:p w14:paraId="2552BB3C" w14:textId="77777777" w:rsidR="002D74C7" w:rsidRPr="001B4A02" w:rsidRDefault="00000000" w:rsidP="00E571F5">
            <w:pPr>
              <w:pStyle w:val="EMEANormal"/>
              <w:keepNext/>
              <w:rPr>
                <w:szCs w:val="22"/>
                <w:lang w:val="cs-CZ"/>
              </w:rPr>
            </w:pPr>
            <w:r w:rsidRPr="001B4A02">
              <w:rPr>
                <w:noProof/>
                <w:szCs w:val="22"/>
              </w:rPr>
              <w:drawing>
                <wp:inline distT="0" distB="0" distL="0" distR="0" wp14:anchorId="46C12923" wp14:editId="7B53FB14">
                  <wp:extent cx="457200" cy="86360"/>
                  <wp:effectExtent l="0" t="0" r="0" b="8890"/>
                  <wp:docPr id="39" name="obrázek 505"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505"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86360"/>
                          </a:xfrm>
                          <a:prstGeom prst="rect">
                            <a:avLst/>
                          </a:prstGeom>
                          <a:noFill/>
                          <a:ln>
                            <a:noFill/>
                          </a:ln>
                        </pic:spPr>
                      </pic:pic>
                    </a:graphicData>
                  </a:graphic>
                </wp:inline>
              </w:drawing>
            </w:r>
          </w:p>
        </w:tc>
        <w:tc>
          <w:tcPr>
            <w:tcW w:w="1890" w:type="dxa"/>
            <w:shd w:val="clear" w:color="auto" w:fill="auto"/>
          </w:tcPr>
          <w:p w14:paraId="71E5B9E5" w14:textId="77777777" w:rsidR="002D74C7" w:rsidRPr="001B4A02" w:rsidRDefault="00000000" w:rsidP="00E571F5">
            <w:pPr>
              <w:pStyle w:val="EMEANormal"/>
              <w:keepNext/>
              <w:rPr>
                <w:szCs w:val="22"/>
                <w:lang w:val="cs-CZ"/>
              </w:rPr>
            </w:pPr>
            <w:r w:rsidRPr="001B4A02">
              <w:rPr>
                <w:szCs w:val="22"/>
                <w:lang w:val="cs-CZ"/>
              </w:rPr>
              <w:t>Adalimumab</w:t>
            </w:r>
          </w:p>
        </w:tc>
      </w:tr>
      <w:tr w:rsidR="00534A2D" w14:paraId="16E80A0C" w14:textId="77777777" w:rsidTr="00E571F5">
        <w:tc>
          <w:tcPr>
            <w:tcW w:w="468" w:type="dxa"/>
            <w:shd w:val="clear" w:color="auto" w:fill="auto"/>
          </w:tcPr>
          <w:p w14:paraId="0EBE8872" w14:textId="77777777" w:rsidR="002D74C7" w:rsidRPr="001B4A02" w:rsidRDefault="002D74C7" w:rsidP="00E571F5">
            <w:pPr>
              <w:pStyle w:val="EMEANormal"/>
              <w:rPr>
                <w:szCs w:val="22"/>
                <w:lang w:val="cs-CZ"/>
              </w:rPr>
            </w:pPr>
          </w:p>
        </w:tc>
        <w:tc>
          <w:tcPr>
            <w:tcW w:w="8820" w:type="dxa"/>
            <w:gridSpan w:val="5"/>
            <w:shd w:val="clear" w:color="auto" w:fill="auto"/>
          </w:tcPr>
          <w:p w14:paraId="3E853250" w14:textId="77777777" w:rsidR="002D74C7" w:rsidRPr="001B4A02" w:rsidRDefault="00000000" w:rsidP="00E571F5">
            <w:pPr>
              <w:pStyle w:val="EMEANormal"/>
              <w:rPr>
                <w:szCs w:val="22"/>
                <w:lang w:val="cs-CZ"/>
              </w:rPr>
            </w:pPr>
            <w:r w:rsidRPr="001B4A02">
              <w:rPr>
                <w:szCs w:val="22"/>
                <w:lang w:val="cs-CZ"/>
              </w:rPr>
              <w:t>Poznámka: P = Placebo (počet v riziku); H = přípravek HUMIRA (počet v riziku).</w:t>
            </w:r>
          </w:p>
        </w:tc>
      </w:tr>
    </w:tbl>
    <w:p w14:paraId="5ED61FCF" w14:textId="77777777" w:rsidR="002D74C7" w:rsidRPr="001B4A02" w:rsidRDefault="002D74C7" w:rsidP="002D74C7">
      <w:pPr>
        <w:pStyle w:val="EMEANormal"/>
        <w:rPr>
          <w:lang w:val="cs-CZ"/>
        </w:rPr>
      </w:pPr>
    </w:p>
    <w:p w14:paraId="578F43E8" w14:textId="77777777" w:rsidR="00EB5C82" w:rsidRPr="001B4A02" w:rsidRDefault="00000000" w:rsidP="00A15B7A">
      <w:pPr>
        <w:keepNext/>
        <w:outlineLvl w:val="1"/>
        <w:rPr>
          <w:b/>
        </w:rPr>
      </w:pPr>
      <w:r w:rsidRPr="001B4A02">
        <w:rPr>
          <w:b/>
        </w:rPr>
        <w:t>5.2</w:t>
      </w:r>
      <w:r w:rsidRPr="001B4A02">
        <w:rPr>
          <w:b/>
        </w:rPr>
        <w:tab/>
        <w:t>Farmakokinetické vlastnosti</w:t>
      </w:r>
    </w:p>
    <w:p w14:paraId="2E2CF0DA" w14:textId="77777777" w:rsidR="00EB5C82" w:rsidRPr="001B4A02" w:rsidRDefault="00EB5C82" w:rsidP="003B610F">
      <w:pPr>
        <w:keepNext/>
        <w:ind w:left="0" w:firstLine="0"/>
      </w:pPr>
    </w:p>
    <w:p w14:paraId="0D209F4F" w14:textId="77777777" w:rsidR="00EB5C82" w:rsidRPr="001B4A02" w:rsidRDefault="00000000" w:rsidP="003B610F">
      <w:pPr>
        <w:keepNext/>
        <w:ind w:left="0" w:firstLine="0"/>
        <w:rPr>
          <w:u w:val="single"/>
        </w:rPr>
      </w:pPr>
      <w:r w:rsidRPr="001B4A02">
        <w:rPr>
          <w:u w:val="single"/>
        </w:rPr>
        <w:t>Absorpce</w:t>
      </w:r>
      <w:r w:rsidR="002378E0">
        <w:rPr>
          <w:u w:val="single"/>
        </w:rPr>
        <w:t xml:space="preserve"> a </w:t>
      </w:r>
      <w:r w:rsidRPr="001B4A02">
        <w:rPr>
          <w:u w:val="single"/>
        </w:rPr>
        <w:t>distribuce</w:t>
      </w:r>
    </w:p>
    <w:p w14:paraId="378C5172" w14:textId="77777777" w:rsidR="00EB5C82" w:rsidRPr="001B4A02" w:rsidRDefault="00EB5C82" w:rsidP="003B610F">
      <w:pPr>
        <w:keepNext/>
        <w:ind w:left="0" w:firstLine="0"/>
      </w:pPr>
    </w:p>
    <w:p w14:paraId="1D1D61A6" w14:textId="77777777" w:rsidR="00EB5C82" w:rsidRPr="001B4A02" w:rsidRDefault="00000000" w:rsidP="00ED48A3">
      <w:pPr>
        <w:ind w:left="0" w:firstLine="0"/>
      </w:pPr>
      <w:r w:rsidRPr="001B4A02">
        <w:t>Po jednorázovém subkutánním podání dávky 40 mg byla absorpce</w:t>
      </w:r>
      <w:r w:rsidR="002378E0">
        <w:t xml:space="preserve"> a </w:t>
      </w:r>
      <w:r w:rsidRPr="001B4A02">
        <w:t>distribuce adalimumabu pomalá</w:t>
      </w:r>
      <w:r w:rsidR="002378E0">
        <w:t xml:space="preserve"> a </w:t>
      </w:r>
      <w:r w:rsidRPr="001B4A02">
        <w:t>vrcholové sérové koncentrace byly dosaženy zhruba za 5 dní po jeho podání. Průměrná biologická dostupnost adalimumabu se odhaduje na 64</w:t>
      </w:r>
      <w:r w:rsidR="00C06ED4" w:rsidRPr="001B4A02">
        <w:t> </w:t>
      </w:r>
      <w:r w:rsidRPr="001B4A02">
        <w:t>%,</w:t>
      </w:r>
      <w:r w:rsidR="002378E0">
        <w:t xml:space="preserve"> a </w:t>
      </w:r>
      <w:r w:rsidRPr="001B4A02">
        <w:t>to na základě výsledků ze tří studií s podáním jednorázové dávky 40 mg subkutánně. Po jednorázových intravenózních dávkách v rozmezí 0,25</w:t>
      </w:r>
      <w:r w:rsidR="00FC7BA4" w:rsidRPr="001B4A02">
        <w:t>–</w:t>
      </w:r>
      <w:r w:rsidRPr="001B4A02">
        <w:t>10 mg/kg byly koncentrace léku úměrné podané dávce. Po dávkách 0,5 mg/kg (cca 40 mg) se clearance pohybovala mezi 11</w:t>
      </w:r>
      <w:r w:rsidR="00FC7BA4" w:rsidRPr="001B4A02">
        <w:t>–</w:t>
      </w:r>
      <w:r w:rsidRPr="001B4A02">
        <w:t>15 ml/hod, distribuční objem (V</w:t>
      </w:r>
      <w:r w:rsidRPr="001B4A02">
        <w:rPr>
          <w:vertAlign w:val="subscript"/>
        </w:rPr>
        <w:t>ss</w:t>
      </w:r>
      <w:r w:rsidRPr="001B4A02">
        <w:t>) se pohyboval mezi 5</w:t>
      </w:r>
      <w:r w:rsidR="00FC7BA4" w:rsidRPr="001B4A02">
        <w:t>–</w:t>
      </w:r>
      <w:r w:rsidRPr="001B4A02">
        <w:t>6 l</w:t>
      </w:r>
      <w:r w:rsidR="002378E0">
        <w:t xml:space="preserve"> a </w:t>
      </w:r>
      <w:r w:rsidRPr="001B4A02">
        <w:t>průměrný terminální poločas byl přibližně 2 týdny. Koncentrace adalimumabu v synoviální tekutině u několika pacientů s revmatoidní artritidou představovala 31</w:t>
      </w:r>
      <w:r w:rsidR="00C06ED4" w:rsidRPr="001B4A02">
        <w:t>–</w:t>
      </w:r>
      <w:r w:rsidRPr="001B4A02">
        <w:t>96</w:t>
      </w:r>
      <w:r w:rsidR="00C06ED4" w:rsidRPr="001B4A02">
        <w:t> </w:t>
      </w:r>
      <w:r w:rsidRPr="001B4A02">
        <w:t>% sérové koncentrace léku.</w:t>
      </w:r>
    </w:p>
    <w:p w14:paraId="0B37F1FA" w14:textId="77777777" w:rsidR="00EB5C82" w:rsidRPr="001B4A02" w:rsidRDefault="00EB5C82" w:rsidP="00ED48A3">
      <w:pPr>
        <w:ind w:left="0" w:firstLine="0"/>
      </w:pPr>
    </w:p>
    <w:p w14:paraId="7C4AC109" w14:textId="77777777" w:rsidR="005C74D0" w:rsidRPr="001B4A02" w:rsidRDefault="00000000" w:rsidP="005C74D0">
      <w:pPr>
        <w:ind w:left="0" w:firstLine="0"/>
      </w:pPr>
      <w:r w:rsidRPr="001B4A02">
        <w:t>Po subkutánním podání 40 mg adalimumabu každý druhý týden byla průměrná nejnižší koncentrace v ustáleném stavu přibližně 5 μg/ml (bez souběžného podávání methotrexátu)</w:t>
      </w:r>
      <w:r w:rsidR="002378E0">
        <w:t xml:space="preserve"> a </w:t>
      </w:r>
      <w:r w:rsidRPr="001B4A02">
        <w:t>8–9 μg/ml (při současném podávání methotrexátu). Nejnižší sérové koncentrace adalimumabu v ustáleném stavu stoupaly u pacientů s revmatoidní artritidou (RA) přibližně proporcionálně s dávkou při subkutánním podávání 20, 40</w:t>
      </w:r>
      <w:r w:rsidR="002378E0">
        <w:t xml:space="preserve"> a </w:t>
      </w:r>
      <w:r w:rsidRPr="001B4A02">
        <w:t>80 mg každý druhý týden i každý týden.</w:t>
      </w:r>
    </w:p>
    <w:p w14:paraId="5ADC5F78" w14:textId="77777777" w:rsidR="005C74D0" w:rsidRPr="001B4A02" w:rsidRDefault="005C74D0" w:rsidP="00ED48A3">
      <w:pPr>
        <w:ind w:left="0" w:firstLine="0"/>
      </w:pPr>
    </w:p>
    <w:p w14:paraId="53475955" w14:textId="77777777" w:rsidR="00EB5C82" w:rsidRPr="001B4A02" w:rsidRDefault="00000000" w:rsidP="00ED48A3">
      <w:pPr>
        <w:ind w:left="0" w:firstLine="0"/>
      </w:pPr>
      <w:r w:rsidRPr="001B4A02">
        <w:t>U</w:t>
      </w:r>
      <w:r w:rsidR="00C06ED4" w:rsidRPr="001B4A02">
        <w:t> </w:t>
      </w:r>
      <w:r w:rsidR="007D76EF" w:rsidRPr="001B4A02">
        <w:t>dospělých</w:t>
      </w:r>
      <w:r w:rsidRPr="001B4A02">
        <w:t xml:space="preserve"> pacientů s psoriázou léčených adalimumabem v monoterapii v dávce 40</w:t>
      </w:r>
      <w:r w:rsidR="00874DE1">
        <w:t> mg</w:t>
      </w:r>
      <w:r w:rsidRPr="001B4A02">
        <w:t xml:space="preserve"> každý druhý týden byly průměrné nejnižší koncent</w:t>
      </w:r>
      <w:r w:rsidR="004C2FD7" w:rsidRPr="001B4A02">
        <w:t>race v ustáleném stavu 5</w:t>
      </w:r>
      <w:r w:rsidR="00883A75">
        <w:t> </w:t>
      </w:r>
      <w:r w:rsidR="004C2FD7" w:rsidRPr="001B4A02">
        <w:t>μg/ml.</w:t>
      </w:r>
    </w:p>
    <w:p w14:paraId="733AEA71" w14:textId="77777777" w:rsidR="00EB5C82" w:rsidRPr="001B4A02" w:rsidRDefault="00EB5C82" w:rsidP="00ED48A3">
      <w:pPr>
        <w:ind w:left="0" w:firstLine="0"/>
      </w:pPr>
    </w:p>
    <w:p w14:paraId="3640E5B7" w14:textId="77777777" w:rsidR="00EB5C82" w:rsidRPr="001B4A02" w:rsidRDefault="00000000" w:rsidP="00ED48A3">
      <w:pPr>
        <w:ind w:left="0" w:firstLine="0"/>
        <w:rPr>
          <w:rFonts w:eastAsia="Calibri"/>
          <w:szCs w:val="22"/>
        </w:rPr>
      </w:pPr>
      <w:r w:rsidRPr="001B4A02">
        <w:rPr>
          <w:rFonts w:eastAsia="Calibri"/>
          <w:szCs w:val="22"/>
        </w:rPr>
        <w:t xml:space="preserve">Při </w:t>
      </w:r>
      <w:r w:rsidR="0011294F" w:rsidRPr="001B4A02">
        <w:rPr>
          <w:rFonts w:eastAsia="Calibri"/>
          <w:szCs w:val="22"/>
        </w:rPr>
        <w:t>po</w:t>
      </w:r>
      <w:r w:rsidRPr="001B4A02">
        <w:rPr>
          <w:rFonts w:eastAsia="Calibri"/>
          <w:szCs w:val="22"/>
        </w:rPr>
        <w:t>užití dávky 160</w:t>
      </w:r>
      <w:r w:rsidR="00874DE1">
        <w:rPr>
          <w:rFonts w:eastAsia="Calibri"/>
          <w:szCs w:val="22"/>
        </w:rPr>
        <w:t> mg</w:t>
      </w:r>
      <w:r w:rsidRPr="001B4A02">
        <w:rPr>
          <w:rFonts w:eastAsia="Calibri"/>
          <w:szCs w:val="22"/>
        </w:rPr>
        <w:t xml:space="preserve"> přípravku Humira v týdnu 0</w:t>
      </w:r>
      <w:r w:rsidR="007E2F50" w:rsidRPr="001B4A02">
        <w:rPr>
          <w:rFonts w:eastAsia="Calibri"/>
          <w:szCs w:val="22"/>
        </w:rPr>
        <w:t>,</w:t>
      </w:r>
      <w:r w:rsidRPr="001B4A02">
        <w:rPr>
          <w:rFonts w:eastAsia="Calibri"/>
          <w:szCs w:val="22"/>
        </w:rPr>
        <w:t xml:space="preserve"> následované dávkou 80</w:t>
      </w:r>
      <w:r w:rsidR="00874DE1">
        <w:rPr>
          <w:rFonts w:eastAsia="Calibri"/>
          <w:szCs w:val="22"/>
        </w:rPr>
        <w:t> mg</w:t>
      </w:r>
      <w:r w:rsidRPr="001B4A02">
        <w:rPr>
          <w:rFonts w:eastAsia="Calibri"/>
          <w:szCs w:val="22"/>
        </w:rPr>
        <w:t xml:space="preserve"> v týdnu 2</w:t>
      </w:r>
      <w:r w:rsidR="006F2326" w:rsidRPr="001B4A02">
        <w:rPr>
          <w:rFonts w:eastAsia="Calibri"/>
          <w:szCs w:val="22"/>
        </w:rPr>
        <w:t>,</w:t>
      </w:r>
      <w:r w:rsidRPr="001B4A02">
        <w:rPr>
          <w:rFonts w:eastAsia="Calibri"/>
          <w:szCs w:val="22"/>
        </w:rPr>
        <w:t xml:space="preserve"> bylo u</w:t>
      </w:r>
      <w:r w:rsidR="00C06ED4" w:rsidRPr="001B4A02">
        <w:rPr>
          <w:rFonts w:eastAsia="Calibri"/>
          <w:szCs w:val="22"/>
        </w:rPr>
        <w:t> </w:t>
      </w:r>
      <w:r w:rsidRPr="001B4A02">
        <w:rPr>
          <w:rFonts w:eastAsia="Calibri"/>
          <w:szCs w:val="22"/>
        </w:rPr>
        <w:t>dospělých pacientů s hidradenitis suppurativa dosaženo nejnižších sérových koncentrac</w:t>
      </w:r>
      <w:r w:rsidR="00F413FA" w:rsidRPr="001B4A02">
        <w:rPr>
          <w:rFonts w:eastAsia="Calibri"/>
          <w:szCs w:val="22"/>
        </w:rPr>
        <w:t>í</w:t>
      </w:r>
      <w:r w:rsidRPr="001B4A02">
        <w:rPr>
          <w:rFonts w:eastAsia="Calibri"/>
          <w:szCs w:val="22"/>
        </w:rPr>
        <w:t xml:space="preserve"> adalimumabu přibližně 7–8</w:t>
      </w:r>
      <w:r w:rsidR="00883A75">
        <w:t> </w:t>
      </w:r>
      <w:r w:rsidR="00883A75" w:rsidRPr="001B4A02">
        <w:t>μg</w:t>
      </w:r>
      <w:r w:rsidRPr="001B4A02">
        <w:rPr>
          <w:rFonts w:eastAsia="Calibri"/>
          <w:szCs w:val="22"/>
        </w:rPr>
        <w:t>/ml v týdnu 2</w:t>
      </w:r>
      <w:r w:rsidR="002378E0">
        <w:rPr>
          <w:rFonts w:eastAsia="Calibri"/>
          <w:szCs w:val="22"/>
        </w:rPr>
        <w:t xml:space="preserve"> a </w:t>
      </w:r>
      <w:r w:rsidRPr="001B4A02">
        <w:rPr>
          <w:rFonts w:eastAsia="Calibri"/>
          <w:szCs w:val="22"/>
        </w:rPr>
        <w:t>4. Průměrné nejnižší ustálené koncentrace v týdnu 12 do týdne 36 byly přibližně 8–10</w:t>
      </w:r>
      <w:r w:rsidR="00883A75">
        <w:t> </w:t>
      </w:r>
      <w:r w:rsidR="00883A75" w:rsidRPr="001B4A02">
        <w:t>μg</w:t>
      </w:r>
      <w:r w:rsidRPr="001B4A02">
        <w:rPr>
          <w:rFonts w:eastAsia="Calibri"/>
          <w:szCs w:val="22"/>
        </w:rPr>
        <w:t>/ml při léčbě dávkou adalimumabu 40</w:t>
      </w:r>
      <w:r w:rsidR="00874DE1">
        <w:rPr>
          <w:rFonts w:eastAsia="Calibri"/>
          <w:szCs w:val="22"/>
        </w:rPr>
        <w:t> mg</w:t>
      </w:r>
      <w:r w:rsidRPr="001B4A02">
        <w:rPr>
          <w:rFonts w:eastAsia="Calibri"/>
          <w:szCs w:val="22"/>
        </w:rPr>
        <w:t xml:space="preserve"> jednou týdně.</w:t>
      </w:r>
    </w:p>
    <w:p w14:paraId="72B97046" w14:textId="77777777" w:rsidR="00EB5C82" w:rsidRPr="001B4A02" w:rsidRDefault="00EB5C82" w:rsidP="00ED48A3">
      <w:pPr>
        <w:ind w:left="0" w:firstLine="0"/>
        <w:rPr>
          <w:rFonts w:eastAsia="Calibri"/>
          <w:szCs w:val="22"/>
        </w:rPr>
      </w:pPr>
    </w:p>
    <w:p w14:paraId="4F15229E" w14:textId="77777777" w:rsidR="00EB5C82" w:rsidRPr="001B4A02" w:rsidRDefault="00000000" w:rsidP="00ED48A3">
      <w:pPr>
        <w:ind w:left="0" w:firstLine="0"/>
        <w:rPr>
          <w:iCs/>
          <w:szCs w:val="22"/>
          <w:bdr w:val="nil"/>
        </w:rPr>
      </w:pPr>
      <w:r w:rsidRPr="001B4A02">
        <w:rPr>
          <w:iCs/>
          <w:szCs w:val="22"/>
        </w:rPr>
        <w:t>Expozice adalimumabu u</w:t>
      </w:r>
      <w:r w:rsidR="00FC295D" w:rsidRPr="001B4A02">
        <w:rPr>
          <w:iCs/>
          <w:szCs w:val="22"/>
        </w:rPr>
        <w:t> </w:t>
      </w:r>
      <w:r w:rsidRPr="001B4A02">
        <w:rPr>
          <w:iCs/>
          <w:szCs w:val="22"/>
        </w:rPr>
        <w:t>dospívajících pacientů s</w:t>
      </w:r>
      <w:r w:rsidR="00FC295D" w:rsidRPr="001B4A02">
        <w:rPr>
          <w:iCs/>
          <w:szCs w:val="22"/>
        </w:rPr>
        <w:t> </w:t>
      </w:r>
      <w:r w:rsidRPr="001B4A02">
        <w:rPr>
          <w:iCs/>
          <w:szCs w:val="22"/>
        </w:rPr>
        <w:t>HS byla predikována pomocí populačního farmakokinetického modelování</w:t>
      </w:r>
      <w:r w:rsidR="002378E0">
        <w:rPr>
          <w:iCs/>
          <w:szCs w:val="22"/>
        </w:rPr>
        <w:t xml:space="preserve"> a </w:t>
      </w:r>
      <w:r w:rsidRPr="001B4A02">
        <w:rPr>
          <w:iCs/>
          <w:szCs w:val="22"/>
        </w:rPr>
        <w:t>simulace na základě farmakokinetiky napříč indikacemi u</w:t>
      </w:r>
      <w:r w:rsidR="00FC295D" w:rsidRPr="001B4A02">
        <w:rPr>
          <w:iCs/>
          <w:szCs w:val="22"/>
        </w:rPr>
        <w:t> </w:t>
      </w:r>
      <w:r w:rsidRPr="001B4A02">
        <w:rPr>
          <w:iCs/>
          <w:szCs w:val="22"/>
        </w:rPr>
        <w:t>dalších pediatrických pacientů (pediatrická psoriáza, juvenilní idiopatická artritida, pediatrická Crohnova choroba</w:t>
      </w:r>
      <w:r w:rsidR="002378E0">
        <w:rPr>
          <w:iCs/>
          <w:szCs w:val="22"/>
        </w:rPr>
        <w:t xml:space="preserve"> a </w:t>
      </w:r>
      <w:r w:rsidRPr="001B4A02">
        <w:rPr>
          <w:iCs/>
          <w:szCs w:val="22"/>
        </w:rPr>
        <w:t xml:space="preserve">entezopatická artritida). Doporučený </w:t>
      </w:r>
      <w:r w:rsidR="009663D1" w:rsidRPr="001B4A02">
        <w:rPr>
          <w:iCs/>
          <w:szCs w:val="22"/>
        </w:rPr>
        <w:t>režim</w:t>
      </w:r>
      <w:r w:rsidRPr="001B4A02">
        <w:rPr>
          <w:iCs/>
          <w:szCs w:val="22"/>
        </w:rPr>
        <w:t xml:space="preserve"> dávkování u</w:t>
      </w:r>
      <w:r w:rsidR="00FC295D" w:rsidRPr="001B4A02">
        <w:rPr>
          <w:iCs/>
          <w:szCs w:val="22"/>
        </w:rPr>
        <w:t> </w:t>
      </w:r>
      <w:r w:rsidRPr="001B4A02">
        <w:rPr>
          <w:iCs/>
          <w:szCs w:val="22"/>
        </w:rPr>
        <w:t>dospívajících s</w:t>
      </w:r>
      <w:r w:rsidR="00FC295D" w:rsidRPr="001B4A02">
        <w:rPr>
          <w:iCs/>
          <w:szCs w:val="22"/>
        </w:rPr>
        <w:t> </w:t>
      </w:r>
      <w:r w:rsidRPr="001B4A02">
        <w:rPr>
          <w:iCs/>
          <w:szCs w:val="22"/>
        </w:rPr>
        <w:t>HS je 40 mg každý druhý týden. Vzhledem k tomu, že expozice adalimumabu může být ovlivněna tělesnou hmotností, může být u</w:t>
      </w:r>
      <w:r w:rsidR="00FC295D" w:rsidRPr="001B4A02">
        <w:rPr>
          <w:iCs/>
          <w:szCs w:val="22"/>
        </w:rPr>
        <w:t> </w:t>
      </w:r>
      <w:r w:rsidR="007633DC">
        <w:t>dospívajících</w:t>
      </w:r>
      <w:r w:rsidRPr="001B4A02">
        <w:rPr>
          <w:iCs/>
          <w:szCs w:val="22"/>
        </w:rPr>
        <w:t xml:space="preserve"> s vyšší tělesnou hmotností</w:t>
      </w:r>
      <w:r w:rsidR="002378E0">
        <w:rPr>
          <w:iCs/>
          <w:szCs w:val="22"/>
        </w:rPr>
        <w:t xml:space="preserve"> a </w:t>
      </w:r>
      <w:r w:rsidRPr="001B4A02">
        <w:rPr>
          <w:iCs/>
          <w:szCs w:val="22"/>
        </w:rPr>
        <w:t>nedostatečnou odpovědí prospěšné dávkování 40 mg jednou týdně.</w:t>
      </w:r>
    </w:p>
    <w:p w14:paraId="78DDE488" w14:textId="77777777" w:rsidR="00EB5C82" w:rsidRPr="001B4A02" w:rsidRDefault="00EB5C82" w:rsidP="00ED48A3">
      <w:pPr>
        <w:ind w:left="0" w:firstLine="0"/>
      </w:pPr>
    </w:p>
    <w:p w14:paraId="73952D24" w14:textId="77777777" w:rsidR="00EB5C82" w:rsidRPr="001B4A02" w:rsidRDefault="00000000" w:rsidP="00ED48A3">
      <w:pPr>
        <w:ind w:left="0" w:firstLine="0"/>
      </w:pPr>
      <w:r w:rsidRPr="001B4A02">
        <w:t xml:space="preserve">Při </w:t>
      </w:r>
      <w:r w:rsidR="0011294F" w:rsidRPr="001B4A02">
        <w:t>po</w:t>
      </w:r>
      <w:r w:rsidRPr="001B4A02">
        <w:t xml:space="preserve">užití </w:t>
      </w:r>
      <w:r w:rsidR="006F2326" w:rsidRPr="001B4A02">
        <w:t>úvodní</w:t>
      </w:r>
      <w:r w:rsidRPr="001B4A02">
        <w:t xml:space="preserve"> dávky 80 mg přípravku Humira v</w:t>
      </w:r>
      <w:r w:rsidR="00FC295D" w:rsidRPr="001B4A02">
        <w:t> </w:t>
      </w:r>
      <w:r w:rsidRPr="001B4A02">
        <w:t>týdnu 0, následované dávkou 40 mg v týdnu 2, bylo u</w:t>
      </w:r>
      <w:r w:rsidR="00FC295D" w:rsidRPr="001B4A02">
        <w:t> </w:t>
      </w:r>
      <w:r w:rsidRPr="001B4A02">
        <w:t xml:space="preserve">pacientů s Crohnovou </w:t>
      </w:r>
      <w:r w:rsidR="00AA419E" w:rsidRPr="001B4A02">
        <w:t>chorobou</w:t>
      </w:r>
      <w:r w:rsidRPr="001B4A02">
        <w:t xml:space="preserve"> během indukční</w:t>
      </w:r>
      <w:r w:rsidR="00A86BA6" w:rsidRPr="001B4A02">
        <w:t xml:space="preserve"> fáze léčby</w:t>
      </w:r>
      <w:r w:rsidRPr="001B4A02">
        <w:t xml:space="preserve"> dosaženo nejnižších sérových koncentrací adalimumabu přibližně 5,5</w:t>
      </w:r>
      <w:r w:rsidR="00883A75">
        <w:t> </w:t>
      </w:r>
      <w:r w:rsidR="00883A75" w:rsidRPr="001B4A02">
        <w:t>μg</w:t>
      </w:r>
      <w:r w:rsidRPr="001B4A02">
        <w:t xml:space="preserve">/ml. Při </w:t>
      </w:r>
      <w:r w:rsidR="006F2326" w:rsidRPr="001B4A02">
        <w:t>úvodní</w:t>
      </w:r>
      <w:r w:rsidRPr="001B4A02">
        <w:t xml:space="preserve"> dávce 160 mg přípravku Humira v týdnu 0, následované dávkou 80 mg přípravku Humira v týdnu 2, došlo v průběhu indukční</w:t>
      </w:r>
      <w:r w:rsidR="00A86BA6" w:rsidRPr="001B4A02">
        <w:t xml:space="preserve"> fáze léčby</w:t>
      </w:r>
      <w:r w:rsidRPr="001B4A02">
        <w:t xml:space="preserve"> k dosažení nejnižších sérových koncentrací adalimumabu přibližně 12</w:t>
      </w:r>
      <w:r w:rsidR="00883A75">
        <w:t> </w:t>
      </w:r>
      <w:r w:rsidR="00883A75" w:rsidRPr="001B4A02">
        <w:t>μg</w:t>
      </w:r>
      <w:r w:rsidRPr="001B4A02">
        <w:t>/ml. U</w:t>
      </w:r>
      <w:r w:rsidR="00FC295D" w:rsidRPr="001B4A02">
        <w:t> </w:t>
      </w:r>
      <w:r w:rsidRPr="001B4A02">
        <w:t>pacientů s Crohnovou chorobou, kteří dostávali udržovací dávku přípravku Humira 40 mg každý druhý týden, byly pozorovány průměrné nejnižší ustálené hladiny přibližně 7</w:t>
      </w:r>
      <w:r w:rsidR="00883A75">
        <w:t> </w:t>
      </w:r>
      <w:r w:rsidR="00883A75" w:rsidRPr="001B4A02">
        <w:t>μg</w:t>
      </w:r>
      <w:r w:rsidRPr="001B4A02">
        <w:t>/ml.</w:t>
      </w:r>
    </w:p>
    <w:p w14:paraId="3CF1A21C" w14:textId="77777777" w:rsidR="00EB5C82" w:rsidRPr="001B4A02" w:rsidRDefault="00EB5C82" w:rsidP="00ED48A3">
      <w:pPr>
        <w:ind w:left="0" w:firstLine="0"/>
      </w:pPr>
    </w:p>
    <w:p w14:paraId="1CE4D288" w14:textId="77777777" w:rsidR="00EB5C82" w:rsidRPr="001B4A02" w:rsidRDefault="00000000" w:rsidP="00ED48A3">
      <w:pPr>
        <w:ind w:left="0" w:firstLine="0"/>
      </w:pPr>
      <w:r w:rsidRPr="001B4A02">
        <w:t>U</w:t>
      </w:r>
      <w:r w:rsidR="00FC295D" w:rsidRPr="001B4A02">
        <w:t> </w:t>
      </w:r>
      <w:r w:rsidRPr="001B4A02">
        <w:t>pediatrických pacientů se středně těžkou až těžkou Crohnovou chorobou v otevřené fázi studie byly úvodní dávky adalimumabu v týdnech 0</w:t>
      </w:r>
      <w:r w:rsidR="002378E0">
        <w:t xml:space="preserve"> a </w:t>
      </w:r>
      <w:r w:rsidRPr="001B4A02">
        <w:t>2 buď 160/80</w:t>
      </w:r>
      <w:r w:rsidR="00874DE1">
        <w:t> mg</w:t>
      </w:r>
      <w:r w:rsidR="001251EB" w:rsidRPr="001B4A02">
        <w:t>,</w:t>
      </w:r>
      <w:r w:rsidRPr="001B4A02">
        <w:t xml:space="preserve"> nebo 80/40</w:t>
      </w:r>
      <w:r w:rsidR="00874DE1">
        <w:t> mg</w:t>
      </w:r>
      <w:r w:rsidRPr="001B4A02">
        <w:t>, v</w:t>
      </w:r>
      <w:r w:rsidR="001251EB" w:rsidRPr="001B4A02">
        <w:t> </w:t>
      </w:r>
      <w:r w:rsidRPr="001B4A02">
        <w:t>závislosti na tělesné hmotnosti, přičemž hranicí byla hmotnost 40</w:t>
      </w:r>
      <w:r w:rsidR="002767FC">
        <w:t> kg</w:t>
      </w:r>
      <w:r w:rsidRPr="001B4A02">
        <w:t>. V týdnu 4 byli pacienti randomizováni v poměru 1:1</w:t>
      </w:r>
      <w:r w:rsidR="002378E0">
        <w:t xml:space="preserve"> a </w:t>
      </w:r>
      <w:r w:rsidRPr="001B4A02">
        <w:t>dostávali v pokračovací léčbě buď standardní dávku (40/20</w:t>
      </w:r>
      <w:r w:rsidR="00874DE1">
        <w:t> mg</w:t>
      </w:r>
      <w:r w:rsidRPr="001B4A02">
        <w:t xml:space="preserve"> každý druhý týden)</w:t>
      </w:r>
      <w:r w:rsidR="001251EB" w:rsidRPr="001B4A02">
        <w:t>,</w:t>
      </w:r>
      <w:r w:rsidRPr="001B4A02">
        <w:t xml:space="preserve"> nebo sníženou dávku (20/10</w:t>
      </w:r>
      <w:r w:rsidR="00874DE1">
        <w:t> mg</w:t>
      </w:r>
      <w:r w:rsidRPr="001B4A02">
        <w:t xml:space="preserve"> každý druhý týden) v závislosti na jejich tělesné hmotnosti. Průměrné nejnižší </w:t>
      </w:r>
      <w:r w:rsidRPr="001B4A02">
        <w:rPr>
          <w:szCs w:val="22"/>
          <w:lang w:eastAsia="en-GB"/>
        </w:rPr>
        <w:t>(</w:t>
      </w:r>
      <w:r w:rsidRPr="001B4A02">
        <w:rPr>
          <w:rFonts w:eastAsia="Arial Unicode MS"/>
        </w:rPr>
        <w:t>±SD) sérové koncentrace adalimumabu, kterých dosáhli pacienti v týdnu 4</w:t>
      </w:r>
      <w:r w:rsidR="001251EB" w:rsidRPr="001B4A02">
        <w:rPr>
          <w:rFonts w:eastAsia="Arial Unicode MS"/>
        </w:rPr>
        <w:t>,</w:t>
      </w:r>
      <w:r w:rsidRPr="001B4A02">
        <w:rPr>
          <w:rFonts w:eastAsia="Arial Unicode MS"/>
        </w:rPr>
        <w:t xml:space="preserve"> byly 15,7 ± 6,6</w:t>
      </w:r>
      <w:r w:rsidR="00883A75">
        <w:t> </w:t>
      </w:r>
      <w:r w:rsidR="00883A75" w:rsidRPr="001B4A02">
        <w:t>μg</w:t>
      </w:r>
      <w:r w:rsidRPr="001B4A02">
        <w:t>/ml u</w:t>
      </w:r>
      <w:r w:rsidR="001251EB" w:rsidRPr="001B4A02">
        <w:t> </w:t>
      </w:r>
      <w:r w:rsidRPr="001B4A02">
        <w:t>pacientů ≥ 40</w:t>
      </w:r>
      <w:r w:rsidR="002767FC">
        <w:t> kg</w:t>
      </w:r>
      <w:r w:rsidRPr="001B4A02">
        <w:t xml:space="preserve"> (160/80</w:t>
      </w:r>
      <w:r w:rsidR="00874DE1">
        <w:t> mg</w:t>
      </w:r>
      <w:r w:rsidRPr="001B4A02">
        <w:t>)</w:t>
      </w:r>
      <w:r w:rsidR="002378E0">
        <w:t xml:space="preserve"> a </w:t>
      </w:r>
      <w:r w:rsidRPr="001B4A02">
        <w:t>10,6 ± 6,1</w:t>
      </w:r>
      <w:r w:rsidR="00883A75">
        <w:t> </w:t>
      </w:r>
      <w:r w:rsidR="00883A75" w:rsidRPr="001B4A02">
        <w:t>μg</w:t>
      </w:r>
      <w:r w:rsidRPr="001B4A02">
        <w:t>/ml u</w:t>
      </w:r>
      <w:r w:rsidR="001251EB" w:rsidRPr="001B4A02">
        <w:t> </w:t>
      </w:r>
      <w:r w:rsidRPr="001B4A02">
        <w:t>pacientů &lt; 40</w:t>
      </w:r>
      <w:r w:rsidR="00874DE1">
        <w:t> mg</w:t>
      </w:r>
      <w:r w:rsidRPr="001B4A02">
        <w:t xml:space="preserve"> (80/40</w:t>
      </w:r>
      <w:r w:rsidR="00874DE1">
        <w:t> mg</w:t>
      </w:r>
      <w:r w:rsidRPr="001B4A02">
        <w:t>).</w:t>
      </w:r>
    </w:p>
    <w:p w14:paraId="116D7464" w14:textId="77777777" w:rsidR="00EB5C82" w:rsidRPr="001B4A02" w:rsidRDefault="00EB5C82" w:rsidP="00ED48A3">
      <w:pPr>
        <w:ind w:left="0" w:firstLine="0"/>
      </w:pPr>
    </w:p>
    <w:p w14:paraId="2F16D0A9" w14:textId="77777777" w:rsidR="00EB5C82" w:rsidRPr="001B4A02" w:rsidRDefault="00000000" w:rsidP="00ED48A3">
      <w:pPr>
        <w:ind w:left="0" w:firstLine="0"/>
      </w:pPr>
      <w:r w:rsidRPr="001B4A02">
        <w:t>U</w:t>
      </w:r>
      <w:r w:rsidR="001251EB" w:rsidRPr="001B4A02">
        <w:t> </w:t>
      </w:r>
      <w:r w:rsidRPr="001B4A02">
        <w:t>pacientů, kteří setrvávali na léčbě tak, jak byli randomizováni, byly průměrné nejnižší (±SD) koncentrace v týdnu 52 9,5 ± 5,6</w:t>
      </w:r>
      <w:r w:rsidR="00883A75">
        <w:t> </w:t>
      </w:r>
      <w:r w:rsidR="00883A75" w:rsidRPr="001B4A02">
        <w:t>μg</w:t>
      </w:r>
      <w:r w:rsidRPr="001B4A02">
        <w:t>/ml u</w:t>
      </w:r>
      <w:r w:rsidR="001251EB" w:rsidRPr="001B4A02">
        <w:t> </w:t>
      </w:r>
      <w:r w:rsidRPr="001B4A02">
        <w:t xml:space="preserve">skupiny, která </w:t>
      </w:r>
      <w:r w:rsidR="005D5238" w:rsidRPr="001B4A02">
        <w:t>po</w:t>
      </w:r>
      <w:r w:rsidRPr="001B4A02">
        <w:t>užívala standardní dávku</w:t>
      </w:r>
      <w:r w:rsidR="001251EB" w:rsidRPr="001B4A02">
        <w:t>,</w:t>
      </w:r>
      <w:r w:rsidR="002378E0">
        <w:t xml:space="preserve"> a </w:t>
      </w:r>
      <w:r w:rsidRPr="001B4A02">
        <w:t>3,5 ± 2,2</w:t>
      </w:r>
      <w:r w:rsidR="00883A75">
        <w:t> </w:t>
      </w:r>
      <w:r w:rsidR="00883A75" w:rsidRPr="001B4A02">
        <w:t>μg</w:t>
      </w:r>
      <w:r w:rsidRPr="001B4A02">
        <w:t>/ml u</w:t>
      </w:r>
      <w:r w:rsidR="001251EB" w:rsidRPr="001B4A02">
        <w:t> </w:t>
      </w:r>
      <w:r w:rsidRPr="001B4A02">
        <w:t>skupiny</w:t>
      </w:r>
      <w:r w:rsidR="001251EB" w:rsidRPr="001B4A02">
        <w:t>,</w:t>
      </w:r>
      <w:r w:rsidRPr="001B4A02">
        <w:t xml:space="preserve"> která </w:t>
      </w:r>
      <w:r w:rsidR="005D5238" w:rsidRPr="001B4A02">
        <w:t>po</w:t>
      </w:r>
      <w:r w:rsidRPr="001B4A02">
        <w:t>užívala sníženou dávku. Průměrné nejnižší koncentrace adalimumabu se udržely u</w:t>
      </w:r>
      <w:r w:rsidR="001251EB" w:rsidRPr="001B4A02">
        <w:t> </w:t>
      </w:r>
      <w:r w:rsidRPr="001B4A02">
        <w:t>těch pacientů, u</w:t>
      </w:r>
      <w:r w:rsidR="001251EB" w:rsidRPr="001B4A02">
        <w:t> </w:t>
      </w:r>
      <w:r w:rsidRPr="001B4A02">
        <w:t>nichž se s podáváním adalimumabu každý druhý týden pokračovalo 52 týdnů. U</w:t>
      </w:r>
      <w:r w:rsidR="001251EB" w:rsidRPr="001B4A02">
        <w:t> </w:t>
      </w:r>
      <w:r w:rsidRPr="001B4A02">
        <w:t>pacientů, u</w:t>
      </w:r>
      <w:r w:rsidR="001251EB" w:rsidRPr="001B4A02">
        <w:t> </w:t>
      </w:r>
      <w:r w:rsidRPr="001B4A02">
        <w:t>kterých byla dávka zvýšena z podávání každý druhý týden na jednou týdně, byly průměrné (±SD) sérové koncentrace adalimumabu v týdnu 52 15,3 ± 11,4</w:t>
      </w:r>
      <w:r w:rsidR="00883A75">
        <w:t> </w:t>
      </w:r>
      <w:r w:rsidR="00883A75" w:rsidRPr="001B4A02">
        <w:t>μg</w:t>
      </w:r>
      <w:r w:rsidRPr="001B4A02">
        <w:t>/ml (40/2</w:t>
      </w:r>
      <w:r w:rsidR="001251EB" w:rsidRPr="001B4A02">
        <w:t>0</w:t>
      </w:r>
      <w:r w:rsidR="00874DE1">
        <w:t> mg</w:t>
      </w:r>
      <w:r w:rsidRPr="001B4A02">
        <w:t>, jednou týdně)</w:t>
      </w:r>
      <w:r w:rsidR="002378E0">
        <w:t xml:space="preserve"> a </w:t>
      </w:r>
      <w:r w:rsidRPr="001B4A02">
        <w:t>6,7 ± 3,5</w:t>
      </w:r>
      <w:r w:rsidR="00883A75">
        <w:t> </w:t>
      </w:r>
      <w:r w:rsidR="00883A75" w:rsidRPr="001B4A02">
        <w:t>μg</w:t>
      </w:r>
      <w:r w:rsidRPr="001B4A02">
        <w:t>/ml (20/10</w:t>
      </w:r>
      <w:r w:rsidR="00874DE1">
        <w:t> mg</w:t>
      </w:r>
      <w:r w:rsidRPr="001B4A02">
        <w:t>, jednou týdně).</w:t>
      </w:r>
    </w:p>
    <w:p w14:paraId="194F9CF1" w14:textId="77777777" w:rsidR="00EB5C82" w:rsidRPr="001B4A02" w:rsidRDefault="00EB5C82" w:rsidP="00ED48A3">
      <w:pPr>
        <w:ind w:left="0" w:firstLine="0"/>
      </w:pPr>
    </w:p>
    <w:p w14:paraId="1E449036" w14:textId="77777777" w:rsidR="00EB5C82" w:rsidRPr="001B4A02" w:rsidRDefault="00000000" w:rsidP="00ED48A3">
      <w:pPr>
        <w:ind w:left="0" w:firstLine="0"/>
      </w:pPr>
      <w:r w:rsidRPr="001B4A02">
        <w:t>U</w:t>
      </w:r>
      <w:r w:rsidR="001251EB" w:rsidRPr="001B4A02">
        <w:t> </w:t>
      </w:r>
      <w:r w:rsidRPr="001B4A02">
        <w:t>pacientů s ulcerózní kolitidou, jimž byla podána úvodní dávka 160</w:t>
      </w:r>
      <w:r w:rsidR="00874DE1">
        <w:t> mg</w:t>
      </w:r>
      <w:r w:rsidR="00DA6955">
        <w:t xml:space="preserve"> </w:t>
      </w:r>
      <w:r w:rsidR="00DA6955" w:rsidRPr="00FA0236">
        <w:t>v týdnu 0</w:t>
      </w:r>
      <w:r w:rsidRPr="00FA0236">
        <w:t>,</w:t>
      </w:r>
      <w:r w:rsidRPr="001B4A02">
        <w:t xml:space="preserve"> následov</w:t>
      </w:r>
      <w:r w:rsidR="001251EB" w:rsidRPr="001B4A02">
        <w:t>a</w:t>
      </w:r>
      <w:r w:rsidRPr="001B4A02">
        <w:t>n</w:t>
      </w:r>
      <w:r w:rsidR="001251EB" w:rsidRPr="001B4A02">
        <w:t>á</w:t>
      </w:r>
      <w:r w:rsidRPr="001B4A02">
        <w:t xml:space="preserve"> dávkou 80</w:t>
      </w:r>
      <w:r w:rsidR="00874DE1">
        <w:t> mg</w:t>
      </w:r>
      <w:r w:rsidRPr="001B4A02">
        <w:t xml:space="preserve"> v týdnu 2, byly dosaženy nejnižší koncentrace adalimumabu </w:t>
      </w:r>
      <w:r w:rsidR="001251EB" w:rsidRPr="001B4A02">
        <w:t xml:space="preserve">přibližně </w:t>
      </w:r>
      <w:r w:rsidRPr="001B4A02">
        <w:t>12</w:t>
      </w:r>
      <w:r w:rsidR="00883A75">
        <w:rPr>
          <w:rStyle w:val="normaltextrun"/>
        </w:rPr>
        <w:t> </w:t>
      </w:r>
      <w:r w:rsidRPr="001B4A02">
        <w:t>μg/ml během období indukce. Průměrné nejnižší hladiny v ustáleném stavu přibližně 8</w:t>
      </w:r>
      <w:r w:rsidR="00883A75">
        <w:rPr>
          <w:rStyle w:val="normaltextrun"/>
        </w:rPr>
        <w:t> </w:t>
      </w:r>
      <w:r w:rsidRPr="001B4A02">
        <w:t>μg/ml byly pozorovány u</w:t>
      </w:r>
      <w:r w:rsidR="001251EB" w:rsidRPr="001B4A02">
        <w:t> </w:t>
      </w:r>
      <w:r w:rsidRPr="001B4A02">
        <w:t>pacientů s</w:t>
      </w:r>
      <w:r w:rsidR="001251EB" w:rsidRPr="001B4A02">
        <w:t> </w:t>
      </w:r>
      <w:r w:rsidRPr="001B4A02">
        <w:t>ulcerózní kolitidou, kterým byla podávána udržovací dávka 40</w:t>
      </w:r>
      <w:r w:rsidR="00874DE1">
        <w:t> mg</w:t>
      </w:r>
      <w:r w:rsidRPr="001B4A02">
        <w:t xml:space="preserve"> přípravku Humira každý druhý týden.</w:t>
      </w:r>
    </w:p>
    <w:p w14:paraId="475D261B" w14:textId="77777777" w:rsidR="00EB5C82" w:rsidRPr="001B4A02" w:rsidRDefault="00EB5C82" w:rsidP="00ED48A3">
      <w:pPr>
        <w:ind w:left="0" w:firstLine="0"/>
      </w:pPr>
    </w:p>
    <w:p w14:paraId="5B8BC661" w14:textId="77777777" w:rsidR="009428F1" w:rsidRDefault="00000000" w:rsidP="009428F1">
      <w:pPr>
        <w:ind w:left="0" w:firstLine="0"/>
      </w:pPr>
      <w:r>
        <w:t>Po subkutánním podání dávky 0,6</w:t>
      </w:r>
      <w:r>
        <w:rPr>
          <w:rStyle w:val="normaltextrun"/>
        </w:rPr>
        <w:t> </w:t>
      </w:r>
      <w:r>
        <w:t>mg/kg (maximální dávka 40</w:t>
      </w:r>
      <w:r>
        <w:rPr>
          <w:rStyle w:val="normaltextrun"/>
        </w:rPr>
        <w:t> </w:t>
      </w:r>
      <w:r>
        <w:t>mg) jednou za dva týdny na základě tělesné hmotnosti pediatrickým pacientům s ulcerózní kolitidou byla nejnižší sérová koncentrace v ustáleném stavu v 52. týdnu 5,01 ± 3,28</w:t>
      </w:r>
      <w:r>
        <w:rPr>
          <w:rStyle w:val="normaltextrun"/>
        </w:rPr>
        <w:t> </w:t>
      </w:r>
      <w:r>
        <w:t>µg/ml. U</w:t>
      </w:r>
      <w:r>
        <w:rPr>
          <w:rStyle w:val="normaltextrun"/>
        </w:rPr>
        <w:t> </w:t>
      </w:r>
      <w:r>
        <w:t>pacientů, kteří dostávali 0,6</w:t>
      </w:r>
      <w:r>
        <w:rPr>
          <w:rStyle w:val="normaltextrun"/>
        </w:rPr>
        <w:t> </w:t>
      </w:r>
      <w:r>
        <w:t>mg/kg (maximální dávka 40</w:t>
      </w:r>
      <w:r>
        <w:rPr>
          <w:rStyle w:val="normaltextrun"/>
        </w:rPr>
        <w:t> </w:t>
      </w:r>
      <w:r>
        <w:t>mg) každý týden, byla průměrná (±SD) nejnižší sérová koncentrace adalimumabu v ustáleném stavu v 52. týdnu 15,7 ± 5,60</w:t>
      </w:r>
      <w:r>
        <w:rPr>
          <w:rStyle w:val="normaltextrun"/>
        </w:rPr>
        <w:t> </w:t>
      </w:r>
      <w:r>
        <w:t>μg/ml.</w:t>
      </w:r>
    </w:p>
    <w:p w14:paraId="1C4658A6" w14:textId="77777777" w:rsidR="00D2183E" w:rsidRDefault="00D2183E" w:rsidP="00D1567C">
      <w:pPr>
        <w:autoSpaceDE w:val="0"/>
        <w:autoSpaceDN w:val="0"/>
        <w:adjustRightInd w:val="0"/>
        <w:ind w:left="0" w:firstLine="0"/>
        <w:rPr>
          <w:szCs w:val="22"/>
        </w:rPr>
      </w:pPr>
    </w:p>
    <w:p w14:paraId="51C390E0" w14:textId="77777777" w:rsidR="00EB5C82" w:rsidRPr="001B4A02" w:rsidRDefault="00000000" w:rsidP="00ED48A3">
      <w:pPr>
        <w:autoSpaceDE w:val="0"/>
        <w:autoSpaceDN w:val="0"/>
        <w:adjustRightInd w:val="0"/>
        <w:ind w:left="0" w:firstLine="0"/>
        <w:rPr>
          <w:szCs w:val="22"/>
        </w:rPr>
      </w:pPr>
      <w:r w:rsidRPr="001B4A02">
        <w:rPr>
          <w:szCs w:val="22"/>
        </w:rPr>
        <w:t>U</w:t>
      </w:r>
      <w:r w:rsidR="00C10CEB" w:rsidRPr="001B4A02">
        <w:rPr>
          <w:szCs w:val="22"/>
        </w:rPr>
        <w:t xml:space="preserve"> dospělých</w:t>
      </w:r>
      <w:r w:rsidR="001251EB" w:rsidRPr="001B4A02">
        <w:rPr>
          <w:szCs w:val="22"/>
        </w:rPr>
        <w:t> </w:t>
      </w:r>
      <w:r w:rsidRPr="001B4A02">
        <w:rPr>
          <w:szCs w:val="22"/>
        </w:rPr>
        <w:t xml:space="preserve">pacientů s uveitidou, </w:t>
      </w:r>
      <w:r w:rsidRPr="001B4A02">
        <w:t>jimž byla podána úvodní dávka 80</w:t>
      </w:r>
      <w:r w:rsidR="00874DE1">
        <w:t> mg</w:t>
      </w:r>
      <w:r w:rsidRPr="001B4A02">
        <w:t xml:space="preserve"> adalimumabu v týdnu 0, následov</w:t>
      </w:r>
      <w:r w:rsidR="001251EB" w:rsidRPr="001B4A02">
        <w:t>a</w:t>
      </w:r>
      <w:r w:rsidRPr="001B4A02">
        <w:t>ná dávkou 40</w:t>
      </w:r>
      <w:r w:rsidR="00874DE1">
        <w:t> mg</w:t>
      </w:r>
      <w:r w:rsidRPr="001B4A02">
        <w:t xml:space="preserve"> každý druhý týden počínaje týdnem 1, byly zjištěny střední hladiny v ustáleném stavu přibližně </w:t>
      </w:r>
      <w:r w:rsidRPr="001B4A02">
        <w:rPr>
          <w:szCs w:val="22"/>
        </w:rPr>
        <w:t>8 až 10 </w:t>
      </w:r>
      <w:r w:rsidRPr="001B4A02">
        <w:rPr>
          <w:rFonts w:ascii="Symbol" w:hAnsi="Symbol"/>
          <w:szCs w:val="22"/>
        </w:rPr>
        <w:sym w:font="Symbol" w:char="F06D"/>
      </w:r>
      <w:r w:rsidRPr="001B4A02">
        <w:rPr>
          <w:szCs w:val="22"/>
        </w:rPr>
        <w:t>g/ml.</w:t>
      </w:r>
    </w:p>
    <w:p w14:paraId="5699C088" w14:textId="77777777" w:rsidR="001360B3" w:rsidRPr="001B4A02" w:rsidRDefault="001360B3" w:rsidP="00ED48A3">
      <w:pPr>
        <w:autoSpaceDE w:val="0"/>
        <w:autoSpaceDN w:val="0"/>
        <w:adjustRightInd w:val="0"/>
        <w:ind w:left="0" w:firstLine="0"/>
        <w:rPr>
          <w:szCs w:val="22"/>
        </w:rPr>
      </w:pPr>
    </w:p>
    <w:p w14:paraId="637C1578" w14:textId="77777777" w:rsidR="001360B3" w:rsidRPr="001B4A02" w:rsidRDefault="00000000" w:rsidP="00ED48A3">
      <w:pPr>
        <w:autoSpaceDE w:val="0"/>
        <w:autoSpaceDN w:val="0"/>
        <w:adjustRightInd w:val="0"/>
        <w:ind w:left="0" w:firstLine="0"/>
        <w:rPr>
          <w:iCs/>
          <w:szCs w:val="22"/>
          <w:bdr w:val="nil"/>
        </w:rPr>
      </w:pPr>
      <w:r w:rsidRPr="001B4A02">
        <w:rPr>
          <w:iCs/>
          <w:szCs w:val="22"/>
        </w:rPr>
        <w:t>Expozice adalimumabu u</w:t>
      </w:r>
      <w:r w:rsidR="00A02FA4" w:rsidRPr="001B4A02">
        <w:rPr>
          <w:iCs/>
          <w:szCs w:val="22"/>
        </w:rPr>
        <w:t> </w:t>
      </w:r>
      <w:r w:rsidR="00B92186" w:rsidRPr="001B4A02">
        <w:rPr>
          <w:iCs/>
          <w:szCs w:val="22"/>
        </w:rPr>
        <w:t xml:space="preserve">pediatrických </w:t>
      </w:r>
      <w:r w:rsidRPr="001B4A02">
        <w:rPr>
          <w:iCs/>
          <w:szCs w:val="22"/>
        </w:rPr>
        <w:t>pacientů s</w:t>
      </w:r>
      <w:r w:rsidR="005C0B4E" w:rsidRPr="001B4A02">
        <w:rPr>
          <w:iCs/>
          <w:szCs w:val="22"/>
        </w:rPr>
        <w:t> </w:t>
      </w:r>
      <w:r w:rsidRPr="001B4A02">
        <w:rPr>
          <w:iCs/>
          <w:szCs w:val="22"/>
        </w:rPr>
        <w:t>uveitidou byla predikována pomocí populačního farmakokinetického modelování</w:t>
      </w:r>
      <w:r w:rsidR="002378E0">
        <w:rPr>
          <w:iCs/>
          <w:szCs w:val="22"/>
        </w:rPr>
        <w:t xml:space="preserve"> a </w:t>
      </w:r>
      <w:r w:rsidRPr="001B4A02">
        <w:rPr>
          <w:iCs/>
          <w:szCs w:val="22"/>
        </w:rPr>
        <w:t>simulace na základě farmakokinetiky se zkříženou indikací u</w:t>
      </w:r>
      <w:r w:rsidR="007375A0" w:rsidRPr="001B4A02">
        <w:rPr>
          <w:iCs/>
          <w:szCs w:val="22"/>
        </w:rPr>
        <w:t> </w:t>
      </w:r>
      <w:r w:rsidRPr="001B4A02">
        <w:rPr>
          <w:iCs/>
          <w:szCs w:val="22"/>
        </w:rPr>
        <w:t>dalších pediatrických pacientů (psoriáza</w:t>
      </w:r>
      <w:r w:rsidR="00D532C1" w:rsidRPr="001B4A02">
        <w:rPr>
          <w:iCs/>
          <w:szCs w:val="22"/>
        </w:rPr>
        <w:t xml:space="preserve"> u</w:t>
      </w:r>
      <w:r w:rsidR="00923691" w:rsidRPr="001B4A02">
        <w:rPr>
          <w:iCs/>
          <w:szCs w:val="22"/>
        </w:rPr>
        <w:t> </w:t>
      </w:r>
      <w:r w:rsidR="00D532C1" w:rsidRPr="001B4A02">
        <w:rPr>
          <w:iCs/>
          <w:szCs w:val="22"/>
        </w:rPr>
        <w:t>dětí</w:t>
      </w:r>
      <w:r w:rsidRPr="001B4A02">
        <w:rPr>
          <w:iCs/>
          <w:szCs w:val="22"/>
        </w:rPr>
        <w:t>, juvenilní idiopatická artritida, Crohnova nemoc</w:t>
      </w:r>
      <w:r w:rsidR="00D532C1" w:rsidRPr="001B4A02">
        <w:rPr>
          <w:iCs/>
          <w:szCs w:val="22"/>
        </w:rPr>
        <w:t xml:space="preserve"> u</w:t>
      </w:r>
      <w:r w:rsidR="00923691" w:rsidRPr="001B4A02">
        <w:rPr>
          <w:iCs/>
          <w:szCs w:val="22"/>
        </w:rPr>
        <w:t> </w:t>
      </w:r>
      <w:r w:rsidR="00D532C1" w:rsidRPr="001B4A02">
        <w:rPr>
          <w:iCs/>
          <w:szCs w:val="22"/>
        </w:rPr>
        <w:t>dětí</w:t>
      </w:r>
      <w:r w:rsidR="002378E0">
        <w:rPr>
          <w:iCs/>
          <w:szCs w:val="22"/>
        </w:rPr>
        <w:t xml:space="preserve"> a </w:t>
      </w:r>
      <w:r w:rsidRPr="001B4A02">
        <w:rPr>
          <w:iCs/>
          <w:szCs w:val="22"/>
        </w:rPr>
        <w:t>entezopatická artritida). Nejsou k</w:t>
      </w:r>
      <w:r w:rsidR="00923691" w:rsidRPr="001B4A02">
        <w:rPr>
          <w:iCs/>
          <w:szCs w:val="22"/>
        </w:rPr>
        <w:t> </w:t>
      </w:r>
      <w:r w:rsidRPr="001B4A02">
        <w:rPr>
          <w:iCs/>
          <w:szCs w:val="22"/>
        </w:rPr>
        <w:t>dispozici žádné klinické údaje o</w:t>
      </w:r>
      <w:r w:rsidR="00923691" w:rsidRPr="001B4A02">
        <w:rPr>
          <w:iCs/>
          <w:szCs w:val="22"/>
        </w:rPr>
        <w:t> </w:t>
      </w:r>
      <w:r w:rsidRPr="001B4A02">
        <w:rPr>
          <w:iCs/>
          <w:szCs w:val="22"/>
        </w:rPr>
        <w:t xml:space="preserve">použití </w:t>
      </w:r>
      <w:r w:rsidR="00B92186" w:rsidRPr="001B4A02">
        <w:rPr>
          <w:iCs/>
          <w:szCs w:val="22"/>
        </w:rPr>
        <w:t>úvodní</w:t>
      </w:r>
      <w:r w:rsidRPr="001B4A02">
        <w:rPr>
          <w:iCs/>
          <w:szCs w:val="22"/>
        </w:rPr>
        <w:t xml:space="preserve"> dávky u</w:t>
      </w:r>
      <w:r w:rsidR="00923691" w:rsidRPr="001B4A02">
        <w:rPr>
          <w:iCs/>
          <w:szCs w:val="22"/>
        </w:rPr>
        <w:t> </w:t>
      </w:r>
      <w:r w:rsidRPr="001B4A02">
        <w:rPr>
          <w:iCs/>
          <w:szCs w:val="22"/>
        </w:rPr>
        <w:t>dětí ve věku &lt;</w:t>
      </w:r>
      <w:r w:rsidR="000C196B" w:rsidRPr="001B4A02">
        <w:rPr>
          <w:iCs/>
          <w:szCs w:val="22"/>
        </w:rPr>
        <w:t> </w:t>
      </w:r>
      <w:r w:rsidRPr="001B4A02">
        <w:rPr>
          <w:iCs/>
          <w:szCs w:val="22"/>
        </w:rPr>
        <w:t xml:space="preserve">6 let. </w:t>
      </w:r>
      <w:r w:rsidR="00D532C1" w:rsidRPr="001B4A02">
        <w:rPr>
          <w:iCs/>
          <w:szCs w:val="22"/>
        </w:rPr>
        <w:t>Předpokládané</w:t>
      </w:r>
      <w:r w:rsidRPr="001B4A02">
        <w:rPr>
          <w:iCs/>
          <w:szCs w:val="22"/>
        </w:rPr>
        <w:t xml:space="preserve"> expozice ukazují, že bez methotrexátu může </w:t>
      </w:r>
      <w:r w:rsidR="00B92186" w:rsidRPr="001B4A02">
        <w:rPr>
          <w:iCs/>
          <w:szCs w:val="22"/>
        </w:rPr>
        <w:t>úvodní</w:t>
      </w:r>
      <w:r w:rsidRPr="001B4A02">
        <w:rPr>
          <w:iCs/>
          <w:szCs w:val="22"/>
        </w:rPr>
        <w:t xml:space="preserve"> dávka vést k</w:t>
      </w:r>
      <w:r w:rsidR="00923691" w:rsidRPr="001B4A02">
        <w:rPr>
          <w:iCs/>
          <w:szCs w:val="22"/>
        </w:rPr>
        <w:t> </w:t>
      </w:r>
      <w:r w:rsidR="00B92186" w:rsidRPr="001B4A02">
        <w:rPr>
          <w:iCs/>
          <w:szCs w:val="22"/>
        </w:rPr>
        <w:t>počátečním</w:t>
      </w:r>
      <w:r w:rsidRPr="001B4A02">
        <w:rPr>
          <w:iCs/>
          <w:szCs w:val="22"/>
        </w:rPr>
        <w:t>u zvýšení systémové expozice.</w:t>
      </w:r>
    </w:p>
    <w:p w14:paraId="2A50844C" w14:textId="77777777" w:rsidR="00C10CEB" w:rsidRPr="001B4A02" w:rsidRDefault="00C10CEB" w:rsidP="00ED48A3">
      <w:pPr>
        <w:autoSpaceDE w:val="0"/>
        <w:autoSpaceDN w:val="0"/>
        <w:adjustRightInd w:val="0"/>
        <w:ind w:left="0" w:firstLine="0"/>
        <w:rPr>
          <w:iCs/>
          <w:szCs w:val="22"/>
          <w:bdr w:val="nil"/>
        </w:rPr>
      </w:pPr>
    </w:p>
    <w:p w14:paraId="6DF01A11" w14:textId="77777777" w:rsidR="005C74D0" w:rsidRPr="001B4A02" w:rsidRDefault="00000000" w:rsidP="005C74D0">
      <w:pPr>
        <w:tabs>
          <w:tab w:val="left" w:pos="0"/>
        </w:tabs>
        <w:autoSpaceDE w:val="0"/>
        <w:autoSpaceDN w:val="0"/>
        <w:adjustRightInd w:val="0"/>
        <w:ind w:left="0" w:firstLine="0"/>
      </w:pPr>
      <w:r w:rsidRPr="001B4A02">
        <w:t>Populační farmakokinetické</w:t>
      </w:r>
      <w:r w:rsidR="002378E0">
        <w:t xml:space="preserve"> a </w:t>
      </w:r>
      <w:r w:rsidRPr="001B4A02">
        <w:t>farmakokineticko/farmakodynamické modelování</w:t>
      </w:r>
      <w:r w:rsidR="002378E0">
        <w:t xml:space="preserve"> a </w:t>
      </w:r>
      <w:r w:rsidRPr="001B4A02">
        <w:t>simulace předpověděly srovnatelné expozice</w:t>
      </w:r>
      <w:r w:rsidR="002378E0">
        <w:t xml:space="preserve"> a </w:t>
      </w:r>
      <w:r w:rsidRPr="001B4A02">
        <w:t>účinnost adalimumabu u</w:t>
      </w:r>
      <w:r w:rsidR="00E93420" w:rsidRPr="001B4A02">
        <w:t> </w:t>
      </w:r>
      <w:r w:rsidRPr="001B4A02">
        <w:t>pacientů léčených dávkou 80</w:t>
      </w:r>
      <w:r w:rsidR="00874DE1">
        <w:t> mg</w:t>
      </w:r>
      <w:r w:rsidRPr="001B4A02">
        <w:t xml:space="preserve"> jednou za dva týdny při srovnání s dávkou 40</w:t>
      </w:r>
      <w:r w:rsidR="00874DE1">
        <w:t> mg</w:t>
      </w:r>
      <w:r w:rsidRPr="001B4A02">
        <w:t xml:space="preserve"> jednou týdně (včetně dospělých pacientů s RA, HS, UC, CD nebo psoriázou, dospívajících pacientů s HS</w:t>
      </w:r>
      <w:r w:rsidR="002378E0">
        <w:t xml:space="preserve"> a </w:t>
      </w:r>
      <w:r w:rsidRPr="001B4A02">
        <w:t>pediatrických pacientů ≥ 40</w:t>
      </w:r>
      <w:r w:rsidR="002767FC">
        <w:t> kg</w:t>
      </w:r>
      <w:r w:rsidRPr="001B4A02">
        <w:t xml:space="preserve"> s</w:t>
      </w:r>
      <w:r w:rsidR="00D2183E">
        <w:t> </w:t>
      </w:r>
      <w:r w:rsidRPr="001B4A02">
        <w:t>CD</w:t>
      </w:r>
      <w:r w:rsidR="002378E0">
        <w:t xml:space="preserve"> a </w:t>
      </w:r>
      <w:r w:rsidR="00D2183E">
        <w:t>UC</w:t>
      </w:r>
      <w:r w:rsidRPr="001B4A02">
        <w:t>).</w:t>
      </w:r>
    </w:p>
    <w:p w14:paraId="2F2502CD" w14:textId="77777777" w:rsidR="005C74D0" w:rsidRPr="001B4A02" w:rsidRDefault="005C74D0" w:rsidP="00ED48A3">
      <w:pPr>
        <w:autoSpaceDE w:val="0"/>
        <w:autoSpaceDN w:val="0"/>
        <w:adjustRightInd w:val="0"/>
        <w:ind w:left="0" w:firstLine="0"/>
        <w:rPr>
          <w:iCs/>
          <w:szCs w:val="22"/>
          <w:bdr w:val="nil"/>
        </w:rPr>
      </w:pPr>
    </w:p>
    <w:p w14:paraId="39E9396E" w14:textId="77777777" w:rsidR="00C10CEB" w:rsidRPr="007E416D" w:rsidRDefault="00000000" w:rsidP="003B610F">
      <w:pPr>
        <w:keepNext/>
        <w:autoSpaceDE w:val="0"/>
        <w:autoSpaceDN w:val="0"/>
        <w:adjustRightInd w:val="0"/>
        <w:rPr>
          <w:u w:val="single"/>
        </w:rPr>
      </w:pPr>
      <w:r w:rsidRPr="007E416D">
        <w:rPr>
          <w:u w:val="single"/>
        </w:rPr>
        <w:t>Vztah expozice-odpověď u pediatrické populace</w:t>
      </w:r>
    </w:p>
    <w:p w14:paraId="434D0B53" w14:textId="77777777" w:rsidR="00C10CEB" w:rsidRPr="001B4A02" w:rsidRDefault="00C10CEB" w:rsidP="003B610F">
      <w:pPr>
        <w:keepNext/>
        <w:autoSpaceDE w:val="0"/>
        <w:autoSpaceDN w:val="0"/>
        <w:adjustRightInd w:val="0"/>
        <w:ind w:left="0" w:firstLine="0"/>
        <w:rPr>
          <w:highlight w:val="yellow"/>
        </w:rPr>
      </w:pPr>
    </w:p>
    <w:p w14:paraId="7DB84B3C" w14:textId="77777777" w:rsidR="00C10CEB" w:rsidRPr="001B4A02" w:rsidRDefault="00000000" w:rsidP="00C10CEB">
      <w:pPr>
        <w:autoSpaceDE w:val="0"/>
        <w:autoSpaceDN w:val="0"/>
        <w:adjustRightInd w:val="0"/>
        <w:ind w:left="0" w:firstLine="0"/>
      </w:pPr>
      <w:r w:rsidRPr="001B4A02">
        <w:t>Na základě dat z</w:t>
      </w:r>
      <w:r w:rsidR="007C3379" w:rsidRPr="001B4A02">
        <w:t> </w:t>
      </w:r>
      <w:r w:rsidRPr="001B4A02">
        <w:t>klinické studie u</w:t>
      </w:r>
      <w:r w:rsidR="007C3379" w:rsidRPr="001B4A02">
        <w:t> </w:t>
      </w:r>
      <w:r w:rsidRPr="001B4A02">
        <w:t>pacientů s</w:t>
      </w:r>
      <w:r w:rsidR="007C3379" w:rsidRPr="001B4A02">
        <w:t> </w:t>
      </w:r>
      <w:r w:rsidRPr="001B4A02">
        <w:t>JIA (pJIA</w:t>
      </w:r>
      <w:r w:rsidR="002378E0">
        <w:t xml:space="preserve"> a </w:t>
      </w:r>
      <w:r w:rsidRPr="001B4A02">
        <w:t xml:space="preserve">ERA) byl stanoven </w:t>
      </w:r>
      <w:r w:rsidR="00AA419E" w:rsidRPr="001B4A02">
        <w:t>vztah expozice</w:t>
      </w:r>
      <w:r w:rsidRPr="001B4A02">
        <w:t>-odpověď mezi plazmatickými koncentracemi</w:t>
      </w:r>
      <w:r w:rsidR="002378E0">
        <w:t xml:space="preserve"> a </w:t>
      </w:r>
      <w:r w:rsidRPr="001B4A02">
        <w:t>PedACR 50 odpovědí. Zjevná plazmatická koncentrace adalimumabu, která vede k</w:t>
      </w:r>
      <w:r w:rsidR="007C3379" w:rsidRPr="001B4A02">
        <w:t> </w:t>
      </w:r>
      <w:r w:rsidRPr="001B4A02">
        <w:t xml:space="preserve">poloviční maximální pravděpodobnosti </w:t>
      </w:r>
      <w:r w:rsidR="000D6934" w:rsidRPr="001B4A02">
        <w:t>PedACR 50 odpovědi (EC50), byla</w:t>
      </w:r>
      <w:r w:rsidRPr="001B4A02">
        <w:t xml:space="preserve"> 3 μg/ml (95% CI: 1–6 μg/ml). </w:t>
      </w:r>
    </w:p>
    <w:p w14:paraId="222B4611" w14:textId="77777777" w:rsidR="00C10CEB" w:rsidRPr="001B4A02" w:rsidRDefault="00C10CEB" w:rsidP="00C10CEB">
      <w:pPr>
        <w:autoSpaceDE w:val="0"/>
        <w:autoSpaceDN w:val="0"/>
        <w:adjustRightInd w:val="0"/>
        <w:ind w:left="0" w:firstLine="0"/>
      </w:pPr>
    </w:p>
    <w:p w14:paraId="712BCB05" w14:textId="77777777" w:rsidR="00C10CEB" w:rsidRPr="001B4A02" w:rsidRDefault="00000000" w:rsidP="00C10CEB">
      <w:pPr>
        <w:autoSpaceDE w:val="0"/>
        <w:autoSpaceDN w:val="0"/>
        <w:adjustRightInd w:val="0"/>
        <w:ind w:left="0" w:firstLine="0"/>
      </w:pPr>
      <w:r w:rsidRPr="001B4A02">
        <w:t>Vztah expozice-odpověď mezi koncentrací adalimumabu</w:t>
      </w:r>
      <w:r w:rsidR="002378E0">
        <w:t xml:space="preserve"> a </w:t>
      </w:r>
      <w:r w:rsidRPr="001B4A02">
        <w:t>účinností u</w:t>
      </w:r>
      <w:r w:rsidR="007C3379" w:rsidRPr="001B4A02">
        <w:t> </w:t>
      </w:r>
      <w:r w:rsidRPr="001B4A02">
        <w:t>pediatrických pacientů se závažnou chronickou ložiskovou psoriázou byl stanoven pro PASI 75</w:t>
      </w:r>
      <w:r w:rsidR="002378E0">
        <w:t xml:space="preserve"> a </w:t>
      </w:r>
      <w:r w:rsidRPr="001B4A02">
        <w:t>PGA jasný nebo minimální, v</w:t>
      </w:r>
      <w:r w:rsidR="007375A0" w:rsidRPr="001B4A02">
        <w:t> </w:t>
      </w:r>
      <w:r w:rsidRPr="001B4A02">
        <w:t>uvedeném pořadí. PASI 75</w:t>
      </w:r>
      <w:r w:rsidR="002378E0">
        <w:t xml:space="preserve"> a </w:t>
      </w:r>
      <w:r w:rsidRPr="001B4A02">
        <w:t>PGA jasný nebo minimální se zvyšoval se zvyšujícími se koncentracemi adalimumabu s</w:t>
      </w:r>
      <w:r w:rsidR="005C0B4E" w:rsidRPr="001B4A02">
        <w:t> </w:t>
      </w:r>
      <w:r w:rsidRPr="001B4A02">
        <w:t>podobnou zjevnou EC50 přibližně 4,5 μg/ml (95% CI 0,4–47,6</w:t>
      </w:r>
      <w:r w:rsidR="002378E0">
        <w:t xml:space="preserve"> a </w:t>
      </w:r>
      <w:r w:rsidRPr="001B4A02">
        <w:t>1,9–10,5, v</w:t>
      </w:r>
      <w:r w:rsidR="007375A0" w:rsidRPr="001B4A02">
        <w:t> </w:t>
      </w:r>
      <w:r w:rsidRPr="001B4A02">
        <w:t>uvedeném pořadí).</w:t>
      </w:r>
    </w:p>
    <w:p w14:paraId="38187EA5" w14:textId="77777777" w:rsidR="00EB5C82" w:rsidRPr="001B4A02" w:rsidRDefault="00EB5C82" w:rsidP="00ED48A3">
      <w:pPr>
        <w:ind w:left="0" w:firstLine="0"/>
        <w:rPr>
          <w:u w:val="single"/>
        </w:rPr>
      </w:pPr>
    </w:p>
    <w:p w14:paraId="1EBF5549" w14:textId="77777777" w:rsidR="00EB5C82" w:rsidRPr="001B4A02" w:rsidRDefault="00000000" w:rsidP="00F1755A">
      <w:pPr>
        <w:keepNext/>
        <w:ind w:left="0" w:firstLine="0"/>
        <w:rPr>
          <w:u w:val="single"/>
        </w:rPr>
      </w:pPr>
      <w:r w:rsidRPr="001B4A02">
        <w:rPr>
          <w:u w:val="single"/>
        </w:rPr>
        <w:t>Eliminace</w:t>
      </w:r>
    </w:p>
    <w:p w14:paraId="2D37A717" w14:textId="77777777" w:rsidR="00EB5C82" w:rsidRPr="001B4A02" w:rsidRDefault="00EB5C82" w:rsidP="00F1755A">
      <w:pPr>
        <w:keepNext/>
        <w:ind w:left="0" w:firstLine="0"/>
      </w:pPr>
    </w:p>
    <w:p w14:paraId="4B11E177" w14:textId="77777777" w:rsidR="00EB5C82" w:rsidRPr="001B4A02" w:rsidRDefault="00000000" w:rsidP="003B610F">
      <w:pPr>
        <w:ind w:left="0" w:firstLine="0"/>
      </w:pPr>
      <w:r w:rsidRPr="001B4A02">
        <w:t>Populační farmakokinetické analýzy s údaji od více než 1</w:t>
      </w:r>
      <w:r w:rsidR="006D751C" w:rsidRPr="001B4A02">
        <w:t> </w:t>
      </w:r>
      <w:r w:rsidRPr="001B4A02">
        <w:t>300 pacientů s RA zjistily trend směrem k vyšší zdánlivé clearance adalimumabu s rostoucí tělesnou váhou. Po úpravě váhových rozdílů, pohlaví</w:t>
      </w:r>
      <w:r w:rsidR="002378E0">
        <w:t xml:space="preserve"> a </w:t>
      </w:r>
      <w:r w:rsidRPr="001B4A02">
        <w:t>věku byl zřejmý minimální efekt na clearance adalimumabu. Koncentrace volného adalimumabu v séru (nevázaného na protilátky proti adalimumabu, AAA) byly nižší u</w:t>
      </w:r>
      <w:r w:rsidR="001251EB" w:rsidRPr="001B4A02">
        <w:t> </w:t>
      </w:r>
      <w:r w:rsidRPr="001B4A02">
        <w:t xml:space="preserve">pacientů s detekovanými </w:t>
      </w:r>
      <w:r w:rsidR="004C2FD7" w:rsidRPr="001B4A02">
        <w:t>protilátkami proti adalimumabu.</w:t>
      </w:r>
    </w:p>
    <w:p w14:paraId="08037058" w14:textId="77777777" w:rsidR="00EB5C82" w:rsidRPr="001B4A02" w:rsidRDefault="00EB5C82" w:rsidP="00D427E8">
      <w:pPr>
        <w:ind w:left="0" w:firstLine="0"/>
      </w:pPr>
    </w:p>
    <w:p w14:paraId="06F998D8" w14:textId="77777777" w:rsidR="00EB5C82" w:rsidRPr="001B4A02" w:rsidRDefault="00000000" w:rsidP="003B610F">
      <w:pPr>
        <w:keepNext/>
        <w:ind w:left="0" w:firstLine="0"/>
        <w:rPr>
          <w:u w:val="single"/>
        </w:rPr>
      </w:pPr>
      <w:r w:rsidRPr="001B4A02">
        <w:rPr>
          <w:u w:val="single"/>
        </w:rPr>
        <w:t>Po</w:t>
      </w:r>
      <w:r w:rsidR="00DD7440" w:rsidRPr="001B4A02">
        <w:rPr>
          <w:u w:val="single"/>
        </w:rPr>
        <w:t>rucha fun</w:t>
      </w:r>
      <w:r w:rsidR="00696488" w:rsidRPr="001B4A02">
        <w:rPr>
          <w:u w:val="single"/>
        </w:rPr>
        <w:t>k</w:t>
      </w:r>
      <w:r w:rsidR="00DD7440" w:rsidRPr="001B4A02">
        <w:rPr>
          <w:u w:val="single"/>
        </w:rPr>
        <w:t>ce</w:t>
      </w:r>
      <w:r w:rsidRPr="001B4A02">
        <w:rPr>
          <w:u w:val="single"/>
        </w:rPr>
        <w:t xml:space="preserve"> jater nebo ledvin</w:t>
      </w:r>
    </w:p>
    <w:p w14:paraId="306944C7" w14:textId="77777777" w:rsidR="00EB5C82" w:rsidRPr="007E226E" w:rsidRDefault="00EB5C82" w:rsidP="003B610F">
      <w:pPr>
        <w:keepNext/>
        <w:ind w:left="0" w:firstLine="0"/>
      </w:pPr>
    </w:p>
    <w:p w14:paraId="51804382" w14:textId="77777777" w:rsidR="00E7724C" w:rsidRPr="00596B06" w:rsidRDefault="00000000" w:rsidP="00D427E8">
      <w:pPr>
        <w:pStyle w:val="EMEAHeading2SPC"/>
        <w:spacing w:beforeLines="0" w:afterLines="0"/>
        <w:outlineLvl w:val="9"/>
        <w:rPr>
          <w:rFonts w:ascii="Times New Roman" w:hAnsi="Times New Roman"/>
          <w:b w:val="0"/>
          <w:lang w:val="cs-CZ"/>
        </w:rPr>
      </w:pPr>
      <w:r w:rsidRPr="00F261A6">
        <w:rPr>
          <w:rFonts w:ascii="Times New Roman" w:hAnsi="Times New Roman"/>
          <w:b w:val="0"/>
          <w:lang w:val="cs-CZ"/>
        </w:rPr>
        <w:t>Pou</w:t>
      </w:r>
      <w:r w:rsidR="00EB5C82" w:rsidRPr="007E226E">
        <w:rPr>
          <w:rFonts w:ascii="Times New Roman" w:hAnsi="Times New Roman"/>
          <w:b w:val="0"/>
          <w:lang w:val="cs-CZ"/>
        </w:rPr>
        <w:t>žití přípravku Humira nebylo studováno u</w:t>
      </w:r>
      <w:r w:rsidR="001066FB" w:rsidRPr="007E226E">
        <w:rPr>
          <w:rFonts w:ascii="Times New Roman" w:hAnsi="Times New Roman"/>
          <w:b w:val="0"/>
          <w:lang w:val="cs-CZ"/>
        </w:rPr>
        <w:t> </w:t>
      </w:r>
      <w:r w:rsidR="00EB5C82" w:rsidRPr="007E226E">
        <w:rPr>
          <w:rFonts w:ascii="Times New Roman" w:hAnsi="Times New Roman"/>
          <w:b w:val="0"/>
          <w:lang w:val="cs-CZ"/>
        </w:rPr>
        <w:t>pacientů s po</w:t>
      </w:r>
      <w:r w:rsidR="001066FB" w:rsidRPr="007D2CA3">
        <w:rPr>
          <w:rFonts w:ascii="Times New Roman" w:hAnsi="Times New Roman"/>
          <w:b w:val="0"/>
          <w:lang w:val="cs-CZ"/>
        </w:rPr>
        <w:t>ruc</w:t>
      </w:r>
      <w:r w:rsidR="00696488" w:rsidRPr="007D2CA3">
        <w:rPr>
          <w:rFonts w:ascii="Times New Roman" w:hAnsi="Times New Roman"/>
          <w:b w:val="0"/>
          <w:lang w:val="cs-CZ"/>
        </w:rPr>
        <w:t>h</w:t>
      </w:r>
      <w:r w:rsidR="001066FB" w:rsidRPr="00596B06">
        <w:rPr>
          <w:rFonts w:ascii="Times New Roman" w:hAnsi="Times New Roman"/>
          <w:b w:val="0"/>
          <w:lang w:val="cs-CZ"/>
        </w:rPr>
        <w:t>ou funkce</w:t>
      </w:r>
      <w:r w:rsidR="00EB5C82" w:rsidRPr="00596B06">
        <w:rPr>
          <w:rFonts w:ascii="Times New Roman" w:hAnsi="Times New Roman"/>
          <w:b w:val="0"/>
          <w:lang w:val="cs-CZ"/>
        </w:rPr>
        <w:t xml:space="preserve"> jater nebo ledvin.</w:t>
      </w:r>
    </w:p>
    <w:p w14:paraId="40AABB6D" w14:textId="77777777" w:rsidR="00E7724C" w:rsidRPr="007E226E" w:rsidRDefault="00E7724C" w:rsidP="00D427E8">
      <w:pPr>
        <w:pStyle w:val="EMEANormal"/>
        <w:rPr>
          <w:lang w:val="cs-CZ"/>
        </w:rPr>
      </w:pPr>
    </w:p>
    <w:p w14:paraId="70E51F55" w14:textId="77777777" w:rsidR="00EB5C82" w:rsidRPr="001B4A02" w:rsidRDefault="00000000" w:rsidP="00A15B7A">
      <w:pPr>
        <w:keepNext/>
        <w:outlineLvl w:val="1"/>
        <w:rPr>
          <w:b/>
        </w:rPr>
      </w:pPr>
      <w:r w:rsidRPr="001B4A02">
        <w:rPr>
          <w:b/>
        </w:rPr>
        <w:t>5.3</w:t>
      </w:r>
      <w:r w:rsidRPr="001B4A02">
        <w:rPr>
          <w:b/>
        </w:rPr>
        <w:tab/>
        <w:t>Předklinické údaje vztahující se k bezpečnosti</w:t>
      </w:r>
    </w:p>
    <w:p w14:paraId="20EFFECF" w14:textId="77777777" w:rsidR="00EB5C82" w:rsidRPr="001B4A02" w:rsidRDefault="00EB5C82" w:rsidP="003B610F">
      <w:pPr>
        <w:keepNext/>
        <w:ind w:left="0" w:firstLine="0"/>
      </w:pPr>
    </w:p>
    <w:p w14:paraId="320F19A6" w14:textId="77777777" w:rsidR="00EB5C82" w:rsidRPr="001B4A02" w:rsidRDefault="00000000" w:rsidP="00ED48A3">
      <w:pPr>
        <w:ind w:left="0" w:firstLine="0"/>
      </w:pPr>
      <w:r w:rsidRPr="001B4A02">
        <w:t>Neklinické údaje získané na základě studií toxicity po jednorázovém podání, toxicity po opakovaném podání</w:t>
      </w:r>
      <w:r w:rsidR="002378E0">
        <w:t xml:space="preserve"> a </w:t>
      </w:r>
      <w:r w:rsidRPr="001B4A02">
        <w:t>genotoxicity neodhalily žádné zvláštní riziko pro člově</w:t>
      </w:r>
      <w:r w:rsidR="004C2FD7" w:rsidRPr="001B4A02">
        <w:t>ka.</w:t>
      </w:r>
    </w:p>
    <w:p w14:paraId="0857D5F7" w14:textId="77777777" w:rsidR="00EB5C82" w:rsidRPr="001B4A02" w:rsidRDefault="00EB5C82" w:rsidP="00ED48A3">
      <w:pPr>
        <w:pStyle w:val="EndnoteText"/>
        <w:ind w:left="0" w:firstLine="0"/>
        <w:rPr>
          <w:lang w:val="cs-CZ"/>
        </w:rPr>
      </w:pPr>
    </w:p>
    <w:p w14:paraId="2CB82459" w14:textId="77777777" w:rsidR="00E7724C" w:rsidRPr="001B4A02" w:rsidRDefault="00000000" w:rsidP="00ED48A3">
      <w:pPr>
        <w:pStyle w:val="EMEABullet2"/>
        <w:numPr>
          <w:ilvl w:val="0"/>
          <w:numId w:val="0"/>
        </w:numPr>
        <w:tabs>
          <w:tab w:val="clear" w:pos="567"/>
        </w:tabs>
        <w:rPr>
          <w:lang w:val="cs-CZ"/>
        </w:rPr>
      </w:pPr>
      <w:r w:rsidRPr="001B4A02">
        <w:rPr>
          <w:lang w:val="cs-CZ"/>
        </w:rPr>
        <w:t xml:space="preserve">Ve studii u opic makaka jávského </w:t>
      </w:r>
      <w:r w:rsidRPr="001B4A02">
        <w:rPr>
          <w:i/>
          <w:iCs/>
          <w:lang w:val="cs-CZ"/>
        </w:rPr>
        <w:t>(Macaca fascicularis)</w:t>
      </w:r>
      <w:r w:rsidRPr="001B4A02">
        <w:rPr>
          <w:lang w:val="cs-CZ"/>
        </w:rPr>
        <w:t>, kterým byly podávány dávky adalimumabu 0,30</w:t>
      </w:r>
      <w:r w:rsidR="002378E0">
        <w:rPr>
          <w:lang w:val="cs-CZ"/>
        </w:rPr>
        <w:t xml:space="preserve"> a </w:t>
      </w:r>
      <w:r w:rsidRPr="001B4A02">
        <w:rPr>
          <w:lang w:val="cs-CZ"/>
        </w:rPr>
        <w:t>100 mg/kg (9</w:t>
      </w:r>
      <w:r w:rsidR="00FC7BA4" w:rsidRPr="001B4A02">
        <w:rPr>
          <w:lang w:val="cs-CZ"/>
        </w:rPr>
        <w:t>–</w:t>
      </w:r>
      <w:r w:rsidRPr="001B4A02">
        <w:rPr>
          <w:lang w:val="cs-CZ"/>
        </w:rPr>
        <w:t>17 opic ve skupině) sledující embryofetální toxicitu</w:t>
      </w:r>
      <w:r w:rsidR="002378E0">
        <w:rPr>
          <w:lang w:val="cs-CZ"/>
        </w:rPr>
        <w:t xml:space="preserve"> a </w:t>
      </w:r>
      <w:r w:rsidRPr="001B4A02">
        <w:rPr>
          <w:lang w:val="cs-CZ"/>
        </w:rPr>
        <w:t>perinatální vývoj, nebyl zjištěn žádný faktor naznačující poškození plodů</w:t>
      </w:r>
      <w:r w:rsidR="00634C67">
        <w:rPr>
          <w:lang w:val="cs-CZ"/>
        </w:rPr>
        <w:t xml:space="preserve"> vlivem adalimumabu</w:t>
      </w:r>
      <w:r w:rsidRPr="001B4A02">
        <w:rPr>
          <w:lang w:val="cs-CZ"/>
        </w:rPr>
        <w:t>. Ani studie karcinogenity, ani standardní hodnocení toxického vlivu na fertilitu</w:t>
      </w:r>
      <w:r w:rsidR="002378E0">
        <w:rPr>
          <w:lang w:val="cs-CZ"/>
        </w:rPr>
        <w:t xml:space="preserve"> a </w:t>
      </w:r>
      <w:r w:rsidRPr="001B4A02">
        <w:rPr>
          <w:lang w:val="cs-CZ"/>
        </w:rPr>
        <w:t>studie postnatální toxicity s adalimumabem nebyly prováděny, protože neexistuje vhodný model pro protilátky s omezenou zkříženou reaktivitou na TNF hlodavců</w:t>
      </w:r>
      <w:r w:rsidR="002378E0">
        <w:rPr>
          <w:lang w:val="cs-CZ"/>
        </w:rPr>
        <w:t xml:space="preserve"> a </w:t>
      </w:r>
      <w:r w:rsidRPr="001B4A02">
        <w:rPr>
          <w:lang w:val="cs-CZ"/>
        </w:rPr>
        <w:t>na rozvoj neutralizačních protilátek u hlodavců.</w:t>
      </w:r>
    </w:p>
    <w:p w14:paraId="2F5725FA" w14:textId="77777777" w:rsidR="00E7724C" w:rsidRPr="001B4A02" w:rsidRDefault="00E7724C" w:rsidP="00D427E8">
      <w:pPr>
        <w:pStyle w:val="EMEANormal"/>
        <w:rPr>
          <w:lang w:val="cs-CZ"/>
        </w:rPr>
      </w:pPr>
    </w:p>
    <w:p w14:paraId="3D58B1C6" w14:textId="77777777" w:rsidR="00E7724C" w:rsidRPr="001B4A02" w:rsidRDefault="00E7724C" w:rsidP="00ED48A3">
      <w:pPr>
        <w:pStyle w:val="EMEANormal"/>
        <w:rPr>
          <w:lang w:val="cs-CZ"/>
        </w:rPr>
      </w:pPr>
    </w:p>
    <w:p w14:paraId="0EA8DD7D" w14:textId="77777777" w:rsidR="00EB5C82" w:rsidRPr="001B4A02" w:rsidRDefault="00000000" w:rsidP="00A15B7A">
      <w:pPr>
        <w:keepNext/>
        <w:outlineLvl w:val="0"/>
        <w:rPr>
          <w:b/>
        </w:rPr>
      </w:pPr>
      <w:r w:rsidRPr="001B4A02">
        <w:rPr>
          <w:b/>
        </w:rPr>
        <w:t>6.</w:t>
      </w:r>
      <w:r w:rsidRPr="001B4A02">
        <w:rPr>
          <w:b/>
        </w:rPr>
        <w:tab/>
        <w:t>FARMACEUTICKÉ ÚDAJE</w:t>
      </w:r>
    </w:p>
    <w:p w14:paraId="7F45AEBE" w14:textId="77777777" w:rsidR="00D427E8" w:rsidRPr="001B4A02" w:rsidRDefault="00D427E8" w:rsidP="00D427E8">
      <w:pPr>
        <w:pStyle w:val="EMEANormal"/>
        <w:keepNext/>
        <w:rPr>
          <w:lang w:val="cs-CZ"/>
        </w:rPr>
      </w:pPr>
    </w:p>
    <w:p w14:paraId="2F4DA0EA" w14:textId="77777777" w:rsidR="00E7724C" w:rsidRPr="001B4A02" w:rsidRDefault="00000000" w:rsidP="00ED48A3">
      <w:pPr>
        <w:pStyle w:val="EMEAHeading2SPCEmpty"/>
        <w:keepNext/>
        <w:tabs>
          <w:tab w:val="clear" w:pos="562"/>
        </w:tabs>
        <w:spacing w:afterLines="0"/>
        <w:ind w:left="567" w:hanging="567"/>
        <w:rPr>
          <w:rFonts w:ascii="Times New Roman" w:hAnsi="Times New Roman"/>
          <w:lang w:val="cs-CZ"/>
        </w:rPr>
      </w:pPr>
      <w:r w:rsidRPr="001B4A02">
        <w:rPr>
          <w:rFonts w:ascii="Times New Roman" w:hAnsi="Times New Roman"/>
          <w:lang w:val="cs-CZ"/>
        </w:rPr>
        <w:t>6.1</w:t>
      </w:r>
      <w:r w:rsidRPr="001B4A02">
        <w:rPr>
          <w:rFonts w:ascii="Times New Roman" w:hAnsi="Times New Roman"/>
          <w:lang w:val="cs-CZ"/>
        </w:rPr>
        <w:tab/>
      </w:r>
      <w:r w:rsidR="00C1362E" w:rsidRPr="001B4A02">
        <w:rPr>
          <w:rFonts w:ascii="Times New Roman" w:hAnsi="Times New Roman"/>
          <w:lang w:val="cs-CZ"/>
        </w:rPr>
        <w:t>Seznam pomocných látek</w:t>
      </w:r>
    </w:p>
    <w:p w14:paraId="50230E71" w14:textId="77777777" w:rsidR="00E7724C" w:rsidRPr="001B4A02" w:rsidRDefault="00E7724C" w:rsidP="00ED48A3">
      <w:pPr>
        <w:pStyle w:val="EMEANormal"/>
        <w:keepNext/>
        <w:rPr>
          <w:lang w:val="cs-CZ"/>
        </w:rPr>
      </w:pPr>
    </w:p>
    <w:p w14:paraId="6BEDF24B" w14:textId="77777777" w:rsidR="00E7724C" w:rsidRPr="001B4A02" w:rsidRDefault="00000000" w:rsidP="00ED48A3">
      <w:pPr>
        <w:keepNext/>
        <w:autoSpaceDE w:val="0"/>
        <w:autoSpaceDN w:val="0"/>
        <w:adjustRightInd w:val="0"/>
        <w:rPr>
          <w:bCs/>
        </w:rPr>
      </w:pPr>
      <w:r w:rsidRPr="001B4A02">
        <w:rPr>
          <w:bCs/>
        </w:rPr>
        <w:t>Mannitol</w:t>
      </w:r>
    </w:p>
    <w:p w14:paraId="22752102" w14:textId="77777777" w:rsidR="00E7724C" w:rsidRPr="001B4A02" w:rsidRDefault="00000000" w:rsidP="00ED48A3">
      <w:pPr>
        <w:keepNext/>
        <w:autoSpaceDE w:val="0"/>
        <w:autoSpaceDN w:val="0"/>
        <w:adjustRightInd w:val="0"/>
        <w:rPr>
          <w:bCs/>
        </w:rPr>
      </w:pPr>
      <w:r w:rsidRPr="001B4A02">
        <w:rPr>
          <w:bCs/>
        </w:rPr>
        <w:t>Polysorb</w:t>
      </w:r>
      <w:r w:rsidR="00C1362E" w:rsidRPr="001B4A02">
        <w:rPr>
          <w:bCs/>
        </w:rPr>
        <w:t>át</w:t>
      </w:r>
      <w:r w:rsidRPr="001B4A02">
        <w:rPr>
          <w:bCs/>
        </w:rPr>
        <w:t xml:space="preserve"> 80</w:t>
      </w:r>
    </w:p>
    <w:p w14:paraId="028003A6" w14:textId="77777777" w:rsidR="00E7724C" w:rsidRPr="001B4A02" w:rsidRDefault="00000000" w:rsidP="004C2FD7">
      <w:pPr>
        <w:autoSpaceDE w:val="0"/>
        <w:autoSpaceDN w:val="0"/>
        <w:adjustRightInd w:val="0"/>
        <w:rPr>
          <w:bCs/>
        </w:rPr>
      </w:pPr>
      <w:r w:rsidRPr="001B4A02">
        <w:rPr>
          <w:bCs/>
        </w:rPr>
        <w:t xml:space="preserve">Voda </w:t>
      </w:r>
      <w:r w:rsidR="00202301" w:rsidRPr="001B4A02">
        <w:rPr>
          <w:bCs/>
        </w:rPr>
        <w:t>pro</w:t>
      </w:r>
      <w:r w:rsidRPr="001B4A02">
        <w:rPr>
          <w:bCs/>
        </w:rPr>
        <w:t xml:space="preserve"> injekci</w:t>
      </w:r>
    </w:p>
    <w:p w14:paraId="0418BA72" w14:textId="77777777" w:rsidR="00E7724C" w:rsidRPr="001B4A02" w:rsidRDefault="00E7724C" w:rsidP="00ED48A3">
      <w:pPr>
        <w:autoSpaceDE w:val="0"/>
        <w:autoSpaceDN w:val="0"/>
        <w:adjustRightInd w:val="0"/>
        <w:rPr>
          <w:bCs/>
        </w:rPr>
      </w:pPr>
    </w:p>
    <w:p w14:paraId="43B5514D" w14:textId="77777777" w:rsidR="00C1362E" w:rsidRPr="001B4A02" w:rsidRDefault="00000000" w:rsidP="00A15B7A">
      <w:pPr>
        <w:keepNext/>
        <w:outlineLvl w:val="1"/>
        <w:rPr>
          <w:b/>
        </w:rPr>
      </w:pPr>
      <w:r w:rsidRPr="001B4A02">
        <w:rPr>
          <w:b/>
        </w:rPr>
        <w:t>6.2</w:t>
      </w:r>
      <w:r w:rsidRPr="001B4A02">
        <w:rPr>
          <w:b/>
        </w:rPr>
        <w:tab/>
        <w:t>Inkompatibility</w:t>
      </w:r>
    </w:p>
    <w:p w14:paraId="1DFCD60D" w14:textId="77777777" w:rsidR="00C1362E" w:rsidRPr="001B4A02" w:rsidRDefault="00C1362E" w:rsidP="00ED48A3">
      <w:pPr>
        <w:keepNext/>
        <w:ind w:left="0" w:firstLine="0"/>
      </w:pPr>
    </w:p>
    <w:p w14:paraId="07AC682C" w14:textId="77777777" w:rsidR="00E7724C" w:rsidRPr="001B4A02" w:rsidRDefault="00000000" w:rsidP="004C2FD7">
      <w:pPr>
        <w:ind w:left="0" w:firstLine="0"/>
      </w:pPr>
      <w:r w:rsidRPr="001B4A02">
        <w:t>Studie kompatibility nejsou k dispozici,</w:t>
      </w:r>
      <w:r w:rsidR="002378E0">
        <w:t xml:space="preserve"> a </w:t>
      </w:r>
      <w:r w:rsidRPr="001B4A02">
        <w:t>proto tento léčivý přípravek nesmí být mísen s </w:t>
      </w:r>
      <w:r w:rsidR="003E27EB">
        <w:t>jinými</w:t>
      </w:r>
      <w:r w:rsidRPr="001B4A02">
        <w:t xml:space="preserve"> léčivými přípravky.</w:t>
      </w:r>
    </w:p>
    <w:p w14:paraId="7C252357" w14:textId="77777777" w:rsidR="00E7724C" w:rsidRPr="001B4A02" w:rsidRDefault="00E7724C" w:rsidP="00ED48A3"/>
    <w:p w14:paraId="37C9CC1F" w14:textId="77777777" w:rsidR="00C1362E" w:rsidRPr="001B4A02" w:rsidRDefault="00000000" w:rsidP="00A15B7A">
      <w:pPr>
        <w:keepNext/>
        <w:outlineLvl w:val="1"/>
        <w:rPr>
          <w:b/>
        </w:rPr>
      </w:pPr>
      <w:r w:rsidRPr="001B4A02">
        <w:rPr>
          <w:b/>
        </w:rPr>
        <w:t>6.3</w:t>
      </w:r>
      <w:r w:rsidRPr="001B4A02">
        <w:rPr>
          <w:b/>
        </w:rPr>
        <w:tab/>
        <w:t>Doba použitelnosti</w:t>
      </w:r>
    </w:p>
    <w:p w14:paraId="53A8A37E" w14:textId="77777777" w:rsidR="00E7724C" w:rsidRPr="001B4A02" w:rsidRDefault="00E7724C" w:rsidP="00ED48A3">
      <w:pPr>
        <w:pStyle w:val="EMEANormal"/>
        <w:keepNext/>
        <w:rPr>
          <w:lang w:val="cs-CZ"/>
        </w:rPr>
      </w:pPr>
    </w:p>
    <w:p w14:paraId="0794F7A3" w14:textId="77777777" w:rsidR="00E7724C" w:rsidRPr="001B4A02" w:rsidRDefault="00000000" w:rsidP="00932C6F">
      <w:r w:rsidRPr="001B4A02">
        <w:t>2 </w:t>
      </w:r>
      <w:r w:rsidR="00C1362E" w:rsidRPr="001B4A02">
        <w:t>roky</w:t>
      </w:r>
    </w:p>
    <w:p w14:paraId="78ECDA0A" w14:textId="77777777" w:rsidR="00E7724C" w:rsidRPr="001B4A02" w:rsidRDefault="00E7724C" w:rsidP="004C2FD7"/>
    <w:p w14:paraId="3175A9D2" w14:textId="77777777" w:rsidR="00E7724C" w:rsidRPr="001B4A02" w:rsidRDefault="00000000" w:rsidP="003B610F">
      <w:pPr>
        <w:pStyle w:val="EMEAHeading2SPC"/>
        <w:keepNext/>
        <w:tabs>
          <w:tab w:val="clear" w:pos="562"/>
        </w:tabs>
        <w:spacing w:beforeLines="0" w:afterLines="0"/>
        <w:ind w:left="567" w:hanging="567"/>
        <w:rPr>
          <w:rFonts w:ascii="Times New Roman" w:hAnsi="Times New Roman"/>
          <w:lang w:val="cs-CZ"/>
        </w:rPr>
      </w:pPr>
      <w:r w:rsidRPr="001B4A02">
        <w:rPr>
          <w:rFonts w:ascii="Times New Roman" w:hAnsi="Times New Roman"/>
          <w:lang w:val="cs-CZ"/>
        </w:rPr>
        <w:t>6.4</w:t>
      </w:r>
      <w:r w:rsidRPr="001B4A02">
        <w:rPr>
          <w:rFonts w:ascii="Times New Roman" w:hAnsi="Times New Roman"/>
          <w:lang w:val="cs-CZ"/>
        </w:rPr>
        <w:tab/>
      </w:r>
      <w:r w:rsidR="00FD16F0" w:rsidRPr="001B4A02">
        <w:rPr>
          <w:rFonts w:ascii="Times New Roman" w:hAnsi="Times New Roman"/>
          <w:lang w:val="cs-CZ"/>
        </w:rPr>
        <w:t>Zvláštní opatření pro uchovávání</w:t>
      </w:r>
    </w:p>
    <w:p w14:paraId="0A009E41" w14:textId="77777777" w:rsidR="00E7724C" w:rsidRPr="001B4A02" w:rsidRDefault="00E7724C" w:rsidP="003B610F">
      <w:pPr>
        <w:pStyle w:val="EMEANormal"/>
        <w:keepNext/>
        <w:rPr>
          <w:lang w:val="cs-CZ"/>
        </w:rPr>
      </w:pPr>
    </w:p>
    <w:p w14:paraId="54C3E998" w14:textId="77777777" w:rsidR="00E7724C" w:rsidRPr="001B4A02" w:rsidRDefault="00000000" w:rsidP="00ED48A3">
      <w:pPr>
        <w:ind w:left="0" w:firstLine="0"/>
      </w:pPr>
      <w:r w:rsidRPr="001B4A02">
        <w:t xml:space="preserve">Uchovávejte v chladničce (2 </w:t>
      </w:r>
      <w:r w:rsidRPr="001B4A02">
        <w:rPr>
          <w:rFonts w:ascii="Symbol" w:hAnsi="Symbol"/>
        </w:rPr>
        <w:sym w:font="Symbol" w:char="F0B0"/>
      </w:r>
      <w:r w:rsidRPr="001B4A02">
        <w:t>C</w:t>
      </w:r>
      <w:r w:rsidR="0067459F">
        <w:t xml:space="preserve"> </w:t>
      </w:r>
      <w:r w:rsidR="006D751C" w:rsidRPr="001B4A02">
        <w:t>–</w:t>
      </w:r>
      <w:r w:rsidR="0067459F">
        <w:t xml:space="preserve"> </w:t>
      </w:r>
      <w:r w:rsidRPr="001B4A02">
        <w:t>8 °C). Chraňte před mrazem. Uchovávejte</w:t>
      </w:r>
      <w:r w:rsidR="009C794B" w:rsidRPr="001B4A02">
        <w:t xml:space="preserve"> předplněnou</w:t>
      </w:r>
      <w:r w:rsidRPr="001B4A02">
        <w:t xml:space="preserve"> injekční stříkačku </w:t>
      </w:r>
      <w:r w:rsidR="00A45EAD" w:rsidRPr="001B4A02">
        <w:t xml:space="preserve">nebo předplněné pero </w:t>
      </w:r>
      <w:r w:rsidRPr="001B4A02">
        <w:t>v krabičce, aby byl přípravek chráněn před světlem.</w:t>
      </w:r>
    </w:p>
    <w:p w14:paraId="7AE55F15" w14:textId="77777777" w:rsidR="00E7724C" w:rsidRPr="001B4A02" w:rsidRDefault="00E7724C" w:rsidP="00ED48A3"/>
    <w:p w14:paraId="4C7D93ED" w14:textId="77777777" w:rsidR="00E7724C" w:rsidRPr="001B4A02" w:rsidRDefault="00000000" w:rsidP="00ED48A3">
      <w:pPr>
        <w:ind w:left="0" w:firstLine="0"/>
      </w:pPr>
      <w:r w:rsidRPr="001B4A02">
        <w:t xml:space="preserve">Jednotlivé předplněné injekční stříkačky </w:t>
      </w:r>
      <w:r w:rsidR="001F18E9" w:rsidRPr="001B4A02">
        <w:t xml:space="preserve">nebo předplněná pera </w:t>
      </w:r>
      <w:r w:rsidRPr="001B4A02">
        <w:t xml:space="preserve">přípravku Humira </w:t>
      </w:r>
      <w:r w:rsidR="00EC661C" w:rsidRPr="001B4A02">
        <w:t>mají</w:t>
      </w:r>
      <w:r w:rsidRPr="001B4A02">
        <w:t xml:space="preserve"> být uchovávány při teplotě do maxim</w:t>
      </w:r>
      <w:r w:rsidR="00EC661C" w:rsidRPr="001B4A02">
        <w:t>álně</w:t>
      </w:r>
      <w:r w:rsidRPr="001B4A02">
        <w:t xml:space="preserve"> 25 °C po dobu až 14 dní. Injekční stříkačka </w:t>
      </w:r>
      <w:r w:rsidR="001F18E9" w:rsidRPr="001B4A02">
        <w:t xml:space="preserve">nebo pero </w:t>
      </w:r>
      <w:r w:rsidRPr="001B4A02">
        <w:t>musí být chráněn</w:t>
      </w:r>
      <w:r w:rsidR="001F18E9" w:rsidRPr="001B4A02">
        <w:t>y</w:t>
      </w:r>
      <w:r w:rsidRPr="001B4A02">
        <w:t xml:space="preserve"> před světlem</w:t>
      </w:r>
      <w:r w:rsidR="002378E0">
        <w:t xml:space="preserve"> a </w:t>
      </w:r>
      <w:r w:rsidRPr="001B4A02">
        <w:t>znehodnocen</w:t>
      </w:r>
      <w:r w:rsidR="001F18E9" w:rsidRPr="001B4A02">
        <w:t>y</w:t>
      </w:r>
      <w:r w:rsidRPr="001B4A02">
        <w:t>, pokud ne</w:t>
      </w:r>
      <w:r w:rsidR="001F18E9" w:rsidRPr="001B4A02">
        <w:t>jsou</w:t>
      </w:r>
      <w:r w:rsidRPr="001B4A02">
        <w:t xml:space="preserve"> použit</w:t>
      </w:r>
      <w:r w:rsidR="001F18E9" w:rsidRPr="001B4A02">
        <w:t>y</w:t>
      </w:r>
      <w:r w:rsidRPr="001B4A02">
        <w:t xml:space="preserve"> v průběhu těchto 14 dní.</w:t>
      </w:r>
    </w:p>
    <w:p w14:paraId="08A0C923" w14:textId="77777777" w:rsidR="00E7724C" w:rsidRPr="001B4A02" w:rsidRDefault="00E7724C" w:rsidP="00ED48A3"/>
    <w:p w14:paraId="1B50F59F" w14:textId="77777777" w:rsidR="00E7724C" w:rsidRPr="001B4A02" w:rsidRDefault="00000000" w:rsidP="003B610F">
      <w:pPr>
        <w:pStyle w:val="EMEAHeading2SPC"/>
        <w:keepNext/>
        <w:tabs>
          <w:tab w:val="clear" w:pos="562"/>
        </w:tabs>
        <w:spacing w:beforeLines="0" w:afterLines="0"/>
        <w:ind w:left="567" w:hanging="567"/>
        <w:rPr>
          <w:rFonts w:ascii="Times New Roman" w:hAnsi="Times New Roman"/>
          <w:lang w:val="cs-CZ"/>
        </w:rPr>
      </w:pPr>
      <w:r w:rsidRPr="001B4A02">
        <w:rPr>
          <w:rFonts w:ascii="Times New Roman" w:hAnsi="Times New Roman"/>
          <w:lang w:val="cs-CZ"/>
        </w:rPr>
        <w:t>6.5</w:t>
      </w:r>
      <w:r w:rsidRPr="001B4A02">
        <w:rPr>
          <w:rFonts w:ascii="Times New Roman" w:hAnsi="Times New Roman"/>
          <w:lang w:val="cs-CZ"/>
        </w:rPr>
        <w:tab/>
      </w:r>
      <w:r w:rsidR="00FD16F0" w:rsidRPr="001B4A02">
        <w:rPr>
          <w:rFonts w:ascii="Times New Roman" w:hAnsi="Times New Roman"/>
          <w:lang w:val="cs-CZ"/>
        </w:rPr>
        <w:t>Druh obalu</w:t>
      </w:r>
      <w:r w:rsidR="002378E0">
        <w:rPr>
          <w:rFonts w:ascii="Times New Roman" w:hAnsi="Times New Roman"/>
          <w:lang w:val="cs-CZ"/>
        </w:rPr>
        <w:t xml:space="preserve"> a </w:t>
      </w:r>
      <w:r w:rsidR="00FD16F0" w:rsidRPr="001B4A02">
        <w:rPr>
          <w:rFonts w:ascii="Times New Roman" w:hAnsi="Times New Roman"/>
          <w:lang w:val="cs-CZ"/>
        </w:rPr>
        <w:t>obsah balení</w:t>
      </w:r>
    </w:p>
    <w:p w14:paraId="0BEB8731" w14:textId="77777777" w:rsidR="00E7724C" w:rsidRPr="001B4A02" w:rsidRDefault="00E7724C" w:rsidP="003B610F">
      <w:pPr>
        <w:pStyle w:val="EMEANormal"/>
        <w:keepNext/>
        <w:rPr>
          <w:lang w:val="cs-CZ"/>
        </w:rPr>
      </w:pPr>
    </w:p>
    <w:p w14:paraId="65AE1FA4" w14:textId="77777777" w:rsidR="008D6442" w:rsidRPr="00874DE1" w:rsidRDefault="00000000" w:rsidP="003B610F">
      <w:pPr>
        <w:keepNext/>
        <w:ind w:left="0" w:firstLine="0"/>
        <w:rPr>
          <w:u w:val="single"/>
        </w:rPr>
      </w:pPr>
      <w:r w:rsidRPr="00874DE1">
        <w:rPr>
          <w:u w:val="single"/>
        </w:rPr>
        <w:t>Humira 80</w:t>
      </w:r>
      <w:r w:rsidR="00874DE1" w:rsidRPr="00874DE1">
        <w:rPr>
          <w:szCs w:val="22"/>
          <w:u w:val="single"/>
        </w:rPr>
        <w:t> </w:t>
      </w:r>
      <w:r w:rsidRPr="00874DE1">
        <w:rPr>
          <w:u w:val="single"/>
        </w:rPr>
        <w:t>mg injekční roztok v předplněné injekční stříkačce</w:t>
      </w:r>
    </w:p>
    <w:p w14:paraId="6400C34C" w14:textId="77777777" w:rsidR="00FD16F0" w:rsidRPr="001B4A02" w:rsidRDefault="00000000" w:rsidP="00ED48A3">
      <w:pPr>
        <w:ind w:left="0" w:firstLine="0"/>
      </w:pPr>
      <w:r w:rsidRPr="001B4A02">
        <w:t>Humira 80</w:t>
      </w:r>
      <w:r w:rsidR="00874DE1" w:rsidRPr="00005EC2">
        <w:rPr>
          <w:szCs w:val="22"/>
        </w:rPr>
        <w:t> </w:t>
      </w:r>
      <w:r w:rsidRPr="001B4A02">
        <w:t xml:space="preserve">mg injekční roztok v předplněné injekční stříkačce na jedno použití (injekční stříkačka ze skla </w:t>
      </w:r>
      <w:r w:rsidR="00B07F2E">
        <w:t>třídy</w:t>
      </w:r>
      <w:r w:rsidRPr="001B4A02">
        <w:t xml:space="preserve"> I), která dále obsahuje píst (bromobutylová </w:t>
      </w:r>
      <w:r w:rsidR="00FA6F46" w:rsidRPr="001B4A02">
        <w:t>pryž</w:t>
      </w:r>
      <w:r w:rsidRPr="001B4A02">
        <w:t>)</w:t>
      </w:r>
      <w:r w:rsidR="002378E0">
        <w:t xml:space="preserve"> a </w:t>
      </w:r>
      <w:r w:rsidRPr="001B4A02">
        <w:t xml:space="preserve">jehlu </w:t>
      </w:r>
      <w:r w:rsidR="00CC6A09" w:rsidRPr="001B4A02">
        <w:t>s</w:t>
      </w:r>
      <w:r w:rsidR="00E91405" w:rsidRPr="001B4A02">
        <w:t> </w:t>
      </w:r>
      <w:r w:rsidRPr="001B4A02">
        <w:t>kryt</w:t>
      </w:r>
      <w:r w:rsidR="00CC6A09" w:rsidRPr="001B4A02">
        <w:t>em</w:t>
      </w:r>
      <w:r w:rsidRPr="001B4A02">
        <w:t xml:space="preserve"> (termoplastický elastomer).</w:t>
      </w:r>
    </w:p>
    <w:p w14:paraId="0C5129F5" w14:textId="77777777" w:rsidR="00FD16F0" w:rsidRPr="001B4A02" w:rsidRDefault="00FD16F0" w:rsidP="00ED48A3"/>
    <w:p w14:paraId="20C34C56" w14:textId="77777777" w:rsidR="00E7724C" w:rsidRPr="001B4A02" w:rsidRDefault="00000000" w:rsidP="003B610F">
      <w:pPr>
        <w:keepNext/>
      </w:pPr>
      <w:r w:rsidRPr="001B4A02">
        <w:t>Balení:</w:t>
      </w:r>
    </w:p>
    <w:p w14:paraId="7F5438C9" w14:textId="77777777" w:rsidR="00E7724C" w:rsidRPr="001B4A02" w:rsidRDefault="00000000" w:rsidP="00ED48A3">
      <w:pPr>
        <w:numPr>
          <w:ilvl w:val="0"/>
          <w:numId w:val="121"/>
        </w:numPr>
        <w:tabs>
          <w:tab w:val="clear" w:pos="720"/>
        </w:tabs>
        <w:suppressAutoHyphens/>
        <w:ind w:left="567" w:hanging="567"/>
      </w:pPr>
      <w:r w:rsidRPr="001B4A02">
        <w:t xml:space="preserve">1 </w:t>
      </w:r>
      <w:r w:rsidR="009F6226" w:rsidRPr="001B4A02">
        <w:t>předplněná injekční stříkačka</w:t>
      </w:r>
      <w:r w:rsidRPr="001B4A02">
        <w:t xml:space="preserve"> (0</w:t>
      </w:r>
      <w:r w:rsidR="009F6226" w:rsidRPr="001B4A02">
        <w:t>,</w:t>
      </w:r>
      <w:r w:rsidRPr="001B4A02">
        <w:t xml:space="preserve">8 ml </w:t>
      </w:r>
      <w:r w:rsidR="009F6226" w:rsidRPr="001B4A02">
        <w:t>sterilního roztoku</w:t>
      </w:r>
      <w:r w:rsidRPr="001B4A02">
        <w:t xml:space="preserve">) </w:t>
      </w:r>
      <w:r w:rsidR="009F6226" w:rsidRPr="001B4A02">
        <w:t>s 1 tamp</w:t>
      </w:r>
      <w:ins w:id="8452" w:author="Abbvie02" w:date="2025-05-16T12:25:00Z">
        <w:r w:rsidR="00576B2A">
          <w:t>o</w:t>
        </w:r>
      </w:ins>
      <w:del w:id="8453" w:author="Abbvie02" w:date="2025-05-16T12:25:00Z">
        <w:r w:rsidR="009F6226" w:rsidRPr="001B4A02">
          <w:delText>ó</w:delText>
        </w:r>
      </w:del>
      <w:r w:rsidR="009F6226" w:rsidRPr="001B4A02">
        <w:t>nem napuštěným alkoholem, v blistru</w:t>
      </w:r>
      <w:r w:rsidRPr="001B4A02">
        <w:t xml:space="preserve">. </w:t>
      </w:r>
    </w:p>
    <w:p w14:paraId="5D13640A" w14:textId="77777777" w:rsidR="00AC2B34" w:rsidRDefault="00AC2B34" w:rsidP="00ED48A3"/>
    <w:p w14:paraId="4BF1B890" w14:textId="77777777" w:rsidR="008D6442" w:rsidRPr="00874DE1" w:rsidRDefault="00000000" w:rsidP="003B610F">
      <w:pPr>
        <w:keepNext/>
        <w:ind w:left="0" w:firstLine="0"/>
        <w:rPr>
          <w:u w:val="single"/>
        </w:rPr>
      </w:pPr>
      <w:r w:rsidRPr="00874DE1">
        <w:rPr>
          <w:u w:val="single"/>
        </w:rPr>
        <w:t>Humira 80</w:t>
      </w:r>
      <w:r w:rsidR="00874DE1" w:rsidRPr="00874DE1">
        <w:rPr>
          <w:szCs w:val="22"/>
          <w:u w:val="single"/>
        </w:rPr>
        <w:t> </w:t>
      </w:r>
      <w:r w:rsidRPr="00874DE1">
        <w:rPr>
          <w:u w:val="single"/>
        </w:rPr>
        <w:t>mg injekční roztok v předplněném peru</w:t>
      </w:r>
    </w:p>
    <w:p w14:paraId="1342397E" w14:textId="77777777" w:rsidR="008D6442" w:rsidRPr="001B4A02" w:rsidRDefault="00000000" w:rsidP="00ED48A3">
      <w:pPr>
        <w:ind w:left="0" w:firstLine="0"/>
      </w:pPr>
      <w:r w:rsidRPr="001B4A02">
        <w:t>Humira 80</w:t>
      </w:r>
      <w:r w:rsidR="00874DE1" w:rsidRPr="00005EC2">
        <w:rPr>
          <w:szCs w:val="22"/>
        </w:rPr>
        <w:t> </w:t>
      </w:r>
      <w:r w:rsidRPr="001B4A02">
        <w:t xml:space="preserve">mg injekční roztok v předplněném peru na jedno použití, určeném pro použití pacientem, </w:t>
      </w:r>
      <w:r w:rsidR="00EE6989" w:rsidRPr="001B4A02">
        <w:t>uvnitř kterého se nachází</w:t>
      </w:r>
      <w:r w:rsidRPr="001B4A02">
        <w:t xml:space="preserve"> předplněn</w:t>
      </w:r>
      <w:r w:rsidR="00EE6989" w:rsidRPr="001B4A02">
        <w:t>á</w:t>
      </w:r>
      <w:r w:rsidRPr="001B4A02">
        <w:t xml:space="preserve"> injekční stříkačk</w:t>
      </w:r>
      <w:r w:rsidR="00EE6989" w:rsidRPr="001B4A02">
        <w:t>a</w:t>
      </w:r>
      <w:r w:rsidRPr="001B4A02">
        <w:t xml:space="preserve">. Stříkačka uvnitř pera je vyrobena ze skla </w:t>
      </w:r>
      <w:r w:rsidR="00B07F2E">
        <w:t>třídy</w:t>
      </w:r>
      <w:r w:rsidRPr="001B4A02">
        <w:t xml:space="preserve"> I</w:t>
      </w:r>
      <w:r w:rsidR="002378E0">
        <w:t xml:space="preserve"> a </w:t>
      </w:r>
      <w:r w:rsidRPr="001B4A02">
        <w:t>dále obsahuje píst (bromobutylová pryž)</w:t>
      </w:r>
      <w:r w:rsidR="002378E0">
        <w:t xml:space="preserve"> a </w:t>
      </w:r>
      <w:r w:rsidR="00EE6989" w:rsidRPr="001B4A02">
        <w:t>jehlu s krytem (termoplastický elastomer).</w:t>
      </w:r>
    </w:p>
    <w:p w14:paraId="6EA44DB1" w14:textId="77777777" w:rsidR="008D6442" w:rsidRPr="001B4A02" w:rsidRDefault="008D6442" w:rsidP="00ED48A3">
      <w:pPr>
        <w:ind w:left="0" w:firstLine="0"/>
      </w:pPr>
    </w:p>
    <w:p w14:paraId="304584F9" w14:textId="77777777" w:rsidR="008D6442" w:rsidRPr="001B4A02" w:rsidRDefault="00000000" w:rsidP="003B610F">
      <w:pPr>
        <w:keepNext/>
        <w:ind w:left="0" w:firstLine="0"/>
      </w:pPr>
      <w:r w:rsidRPr="001B4A02">
        <w:t>Balení:</w:t>
      </w:r>
    </w:p>
    <w:p w14:paraId="760B2017" w14:textId="77777777" w:rsidR="00EE6989" w:rsidRPr="001B4A02" w:rsidRDefault="00000000" w:rsidP="00ED48A3">
      <w:pPr>
        <w:numPr>
          <w:ilvl w:val="0"/>
          <w:numId w:val="232"/>
        </w:numPr>
        <w:ind w:left="567" w:hanging="567"/>
      </w:pPr>
      <w:r w:rsidRPr="001B4A02">
        <w:t>1 předplněné pero (0,8</w:t>
      </w:r>
      <w:r w:rsidR="00874DE1" w:rsidRPr="00005EC2">
        <w:rPr>
          <w:szCs w:val="22"/>
        </w:rPr>
        <w:t> </w:t>
      </w:r>
      <w:r w:rsidRPr="001B4A02">
        <w:t>ml sterilního roztoku) se 2 tamp</w:t>
      </w:r>
      <w:ins w:id="8454" w:author="Abbvie02" w:date="2025-05-16T12:25:00Z">
        <w:r w:rsidR="00576B2A">
          <w:t>o</w:t>
        </w:r>
      </w:ins>
      <w:del w:id="8455" w:author="Abbvie02" w:date="2025-05-16T12:25:00Z">
        <w:r w:rsidRPr="001B4A02">
          <w:delText>ó</w:delText>
        </w:r>
      </w:del>
      <w:r w:rsidRPr="001B4A02">
        <w:t>ny napuštěnými alkoholem, vše v blistru.</w:t>
      </w:r>
    </w:p>
    <w:p w14:paraId="23DB182E" w14:textId="77777777" w:rsidR="002A0506" w:rsidRDefault="00000000" w:rsidP="002A0506">
      <w:pPr>
        <w:numPr>
          <w:ilvl w:val="0"/>
          <w:numId w:val="232"/>
        </w:numPr>
        <w:ind w:left="567" w:hanging="567"/>
      </w:pPr>
      <w:r>
        <w:t>3 předplněná pera (0,8</w:t>
      </w:r>
      <w:r w:rsidR="00874DE1" w:rsidRPr="00005EC2">
        <w:rPr>
          <w:szCs w:val="22"/>
        </w:rPr>
        <w:t> </w:t>
      </w:r>
      <w:r>
        <w:t>ml sterilního roztoku) se 4 tamp</w:t>
      </w:r>
      <w:ins w:id="8456" w:author="Abbvie02" w:date="2025-05-16T12:25:00Z">
        <w:r w:rsidR="00576B2A">
          <w:t>o</w:t>
        </w:r>
      </w:ins>
      <w:del w:id="8457" w:author="Abbvie02" w:date="2025-05-16T12:25:00Z">
        <w:r>
          <w:delText>ó</w:delText>
        </w:r>
      </w:del>
      <w:r>
        <w:t>ny napuštěnými alkoholem, vše v blistru.</w:t>
      </w:r>
    </w:p>
    <w:p w14:paraId="273B6013" w14:textId="77777777" w:rsidR="00EE6989" w:rsidRPr="001B4A02" w:rsidRDefault="00EE6989" w:rsidP="00ED48A3">
      <w:pPr>
        <w:ind w:left="0" w:firstLine="0"/>
      </w:pPr>
    </w:p>
    <w:p w14:paraId="2BE177B2" w14:textId="77777777" w:rsidR="00EE6989" w:rsidRPr="001B4A02" w:rsidRDefault="00000000" w:rsidP="00ED48A3">
      <w:pPr>
        <w:ind w:left="0" w:firstLine="0"/>
      </w:pPr>
      <w:r w:rsidRPr="001B4A02">
        <w:t>Na trhu nemusí být všechny velikosti balení.</w:t>
      </w:r>
    </w:p>
    <w:p w14:paraId="03B9A363" w14:textId="77777777" w:rsidR="008D6442" w:rsidRPr="001B4A02" w:rsidRDefault="008D6442" w:rsidP="00ED48A3"/>
    <w:p w14:paraId="03BDB787" w14:textId="77777777" w:rsidR="00E7724C" w:rsidRPr="001B4A02" w:rsidRDefault="00000000" w:rsidP="003B610F">
      <w:pPr>
        <w:pStyle w:val="EMEAHeading2SPC"/>
        <w:keepNext/>
        <w:tabs>
          <w:tab w:val="clear" w:pos="562"/>
        </w:tabs>
        <w:spacing w:beforeLines="0" w:afterLines="0"/>
        <w:ind w:left="567" w:hanging="567"/>
        <w:rPr>
          <w:rFonts w:ascii="Times New Roman" w:hAnsi="Times New Roman"/>
          <w:lang w:val="cs-CZ"/>
        </w:rPr>
      </w:pPr>
      <w:r w:rsidRPr="001B4A02">
        <w:rPr>
          <w:rFonts w:ascii="Times New Roman" w:hAnsi="Times New Roman"/>
          <w:lang w:val="cs-CZ"/>
        </w:rPr>
        <w:t>6.6</w:t>
      </w:r>
      <w:r w:rsidRPr="001B4A02">
        <w:rPr>
          <w:rFonts w:ascii="Times New Roman" w:hAnsi="Times New Roman"/>
          <w:lang w:val="cs-CZ"/>
        </w:rPr>
        <w:tab/>
      </w:r>
      <w:r w:rsidR="005274AC" w:rsidRPr="001B4A02">
        <w:rPr>
          <w:rFonts w:ascii="Times New Roman" w:hAnsi="Times New Roman"/>
          <w:lang w:val="cs-CZ"/>
        </w:rPr>
        <w:t>Zvláštní opatření pro likvidaci přípravku</w:t>
      </w:r>
    </w:p>
    <w:p w14:paraId="2036701D" w14:textId="77777777" w:rsidR="00E7724C" w:rsidRPr="001B4A02" w:rsidRDefault="00E7724C" w:rsidP="003B610F">
      <w:pPr>
        <w:pStyle w:val="EMEANormal"/>
        <w:keepNext/>
        <w:rPr>
          <w:lang w:val="cs-CZ"/>
        </w:rPr>
      </w:pPr>
    </w:p>
    <w:p w14:paraId="6377D99B" w14:textId="77777777" w:rsidR="005274AC" w:rsidRPr="001B4A02" w:rsidRDefault="00000000" w:rsidP="00ED48A3">
      <w:pPr>
        <w:ind w:left="0" w:firstLine="0"/>
      </w:pPr>
      <w:r w:rsidRPr="001B4A02">
        <w:t>Všechen nepoužitý přípravek nebo odpadní materiál musí být zlikvidován v souladu s místními požadavky.</w:t>
      </w:r>
    </w:p>
    <w:p w14:paraId="07E3FDAF" w14:textId="77777777" w:rsidR="00E7724C" w:rsidRPr="001B4A02" w:rsidRDefault="00E7724C" w:rsidP="00ED48A3"/>
    <w:p w14:paraId="5087C50A" w14:textId="77777777" w:rsidR="00E7724C" w:rsidRPr="001B4A02" w:rsidRDefault="00E7724C" w:rsidP="00ED48A3"/>
    <w:p w14:paraId="039EFFC1" w14:textId="77777777" w:rsidR="005274AC" w:rsidRPr="001B4A02" w:rsidRDefault="00000000" w:rsidP="00A15B7A">
      <w:pPr>
        <w:keepNext/>
        <w:outlineLvl w:val="0"/>
        <w:rPr>
          <w:b/>
        </w:rPr>
      </w:pPr>
      <w:r w:rsidRPr="001B4A02">
        <w:rPr>
          <w:b/>
        </w:rPr>
        <w:t>7.</w:t>
      </w:r>
      <w:r w:rsidRPr="001B4A02">
        <w:rPr>
          <w:b/>
        </w:rPr>
        <w:tab/>
        <w:t>DRŽITEL ROZHODNUTÍ O REGISTRACI</w:t>
      </w:r>
    </w:p>
    <w:p w14:paraId="05C650E7" w14:textId="77777777" w:rsidR="005274AC" w:rsidRPr="001B4A02" w:rsidRDefault="005274AC" w:rsidP="00ED48A3">
      <w:pPr>
        <w:keepNext/>
        <w:ind w:left="0" w:firstLine="0"/>
      </w:pPr>
    </w:p>
    <w:p w14:paraId="241A73D4" w14:textId="77777777" w:rsidR="00556E01" w:rsidRPr="001B4A02" w:rsidRDefault="00000000" w:rsidP="00556E01">
      <w:pPr>
        <w:keepNext/>
        <w:autoSpaceDE w:val="0"/>
        <w:autoSpaceDN w:val="0"/>
        <w:adjustRightInd w:val="0"/>
        <w:spacing w:line="240" w:lineRule="atLeast"/>
        <w:rPr>
          <w:szCs w:val="22"/>
          <w:lang w:eastAsia="en-GB"/>
        </w:rPr>
      </w:pPr>
      <w:r w:rsidRPr="001B4A02">
        <w:rPr>
          <w:szCs w:val="22"/>
          <w:lang w:eastAsia="en-GB"/>
        </w:rPr>
        <w:t>AbbVie Deutschland GmbH &amp; Co. KG</w:t>
      </w:r>
    </w:p>
    <w:p w14:paraId="25DA518D" w14:textId="77777777" w:rsidR="00556E01" w:rsidRPr="001B4A02" w:rsidRDefault="00000000" w:rsidP="00556E01">
      <w:pPr>
        <w:keepNext/>
        <w:autoSpaceDE w:val="0"/>
        <w:autoSpaceDN w:val="0"/>
        <w:adjustRightInd w:val="0"/>
        <w:spacing w:line="240" w:lineRule="atLeast"/>
        <w:rPr>
          <w:szCs w:val="22"/>
          <w:lang w:eastAsia="en-GB"/>
        </w:rPr>
      </w:pPr>
      <w:r w:rsidRPr="001B4A02">
        <w:rPr>
          <w:szCs w:val="22"/>
          <w:lang w:eastAsia="en-GB"/>
        </w:rPr>
        <w:t>Knollstrasse</w:t>
      </w:r>
    </w:p>
    <w:p w14:paraId="43775747" w14:textId="77777777" w:rsidR="00556E01" w:rsidRPr="001B4A02" w:rsidRDefault="00000000" w:rsidP="00556E01">
      <w:pPr>
        <w:keepNext/>
        <w:autoSpaceDE w:val="0"/>
        <w:autoSpaceDN w:val="0"/>
        <w:adjustRightInd w:val="0"/>
        <w:spacing w:line="240" w:lineRule="atLeast"/>
        <w:rPr>
          <w:szCs w:val="22"/>
          <w:lang w:eastAsia="en-GB"/>
        </w:rPr>
      </w:pPr>
      <w:r w:rsidRPr="001B4A02">
        <w:rPr>
          <w:szCs w:val="22"/>
          <w:lang w:eastAsia="en-GB"/>
        </w:rPr>
        <w:t>67061 Ludwigshafen</w:t>
      </w:r>
    </w:p>
    <w:p w14:paraId="545C1C74" w14:textId="77777777" w:rsidR="005274AC" w:rsidRPr="001B4A02" w:rsidRDefault="00000000" w:rsidP="00ED48A3">
      <w:pPr>
        <w:ind w:left="0" w:firstLine="0"/>
      </w:pPr>
      <w:r w:rsidRPr="001B4A02">
        <w:rPr>
          <w:szCs w:val="22"/>
          <w:lang w:eastAsia="en-GB"/>
        </w:rPr>
        <w:t>Německo</w:t>
      </w:r>
    </w:p>
    <w:p w14:paraId="6CBC69ED" w14:textId="77777777" w:rsidR="00E7724C" w:rsidRPr="001B4A02" w:rsidRDefault="00E7724C" w:rsidP="00ED48A3">
      <w:pPr>
        <w:autoSpaceDE w:val="0"/>
        <w:autoSpaceDN w:val="0"/>
        <w:adjustRightInd w:val="0"/>
        <w:rPr>
          <w:szCs w:val="22"/>
          <w:lang w:eastAsia="en-GB"/>
        </w:rPr>
      </w:pPr>
    </w:p>
    <w:p w14:paraId="1338967F" w14:textId="77777777" w:rsidR="00E7724C" w:rsidRPr="001B4A02" w:rsidRDefault="00E7724C" w:rsidP="00ED48A3">
      <w:pPr>
        <w:autoSpaceDE w:val="0"/>
        <w:autoSpaceDN w:val="0"/>
        <w:adjustRightInd w:val="0"/>
        <w:rPr>
          <w:szCs w:val="22"/>
          <w:lang w:eastAsia="en-GB"/>
        </w:rPr>
      </w:pPr>
    </w:p>
    <w:p w14:paraId="7CF2411A" w14:textId="77777777" w:rsidR="00E7724C" w:rsidRPr="001B4A02" w:rsidRDefault="00000000" w:rsidP="00A15B7A">
      <w:pPr>
        <w:pStyle w:val="EMEAHeading1"/>
        <w:keepNext/>
        <w:tabs>
          <w:tab w:val="clear" w:pos="562"/>
        </w:tabs>
        <w:spacing w:beforeLines="0" w:afterLines="0"/>
        <w:ind w:left="567" w:hanging="567"/>
        <w:rPr>
          <w:rFonts w:ascii="Times New Roman" w:hAnsi="Times New Roman"/>
          <w:lang w:val="cs-CZ"/>
        </w:rPr>
      </w:pPr>
      <w:r w:rsidRPr="001B4A02">
        <w:rPr>
          <w:rFonts w:ascii="Times New Roman" w:hAnsi="Times New Roman"/>
          <w:lang w:val="cs-CZ"/>
        </w:rPr>
        <w:t>8.</w:t>
      </w:r>
      <w:r w:rsidRPr="001B4A02">
        <w:rPr>
          <w:rFonts w:ascii="Times New Roman" w:hAnsi="Times New Roman"/>
          <w:lang w:val="cs-CZ"/>
        </w:rPr>
        <w:tab/>
      </w:r>
      <w:r w:rsidR="0076554D" w:rsidRPr="001B4A02">
        <w:rPr>
          <w:rFonts w:ascii="Times New Roman" w:hAnsi="Times New Roman"/>
          <w:lang w:val="cs-CZ"/>
        </w:rPr>
        <w:t>REGISTRAČNÍ ČÍSL</w:t>
      </w:r>
      <w:r w:rsidR="004771E5" w:rsidRPr="001B4A02">
        <w:rPr>
          <w:rFonts w:ascii="Times New Roman" w:hAnsi="Times New Roman"/>
          <w:lang w:val="cs-CZ"/>
        </w:rPr>
        <w:t>A</w:t>
      </w:r>
    </w:p>
    <w:p w14:paraId="74B880C6" w14:textId="77777777" w:rsidR="00E7724C" w:rsidRPr="001B4A02" w:rsidRDefault="00E7724C" w:rsidP="00ED48A3">
      <w:pPr>
        <w:pStyle w:val="EMEANormal"/>
        <w:keepNext/>
        <w:rPr>
          <w:lang w:val="cs-CZ"/>
        </w:rPr>
      </w:pPr>
    </w:p>
    <w:p w14:paraId="65310F5C" w14:textId="77777777" w:rsidR="00D97455" w:rsidRPr="001B4A02" w:rsidRDefault="00000000" w:rsidP="00ED48A3">
      <w:pPr>
        <w:keepNext/>
        <w:ind w:left="0" w:firstLine="0"/>
        <w:rPr>
          <w:u w:val="single"/>
        </w:rPr>
      </w:pPr>
      <w:r w:rsidRPr="001B4A02">
        <w:rPr>
          <w:u w:val="single"/>
        </w:rPr>
        <w:t>Humira 80</w:t>
      </w:r>
      <w:r w:rsidR="00584B90" w:rsidRPr="001B4A02">
        <w:rPr>
          <w:u w:val="single"/>
        </w:rPr>
        <w:t> </w:t>
      </w:r>
      <w:r w:rsidRPr="001B4A02">
        <w:rPr>
          <w:u w:val="single"/>
        </w:rPr>
        <w:t>mg injekční roztok v předplněné injekční stříkačce</w:t>
      </w:r>
    </w:p>
    <w:p w14:paraId="262717C3" w14:textId="77777777" w:rsidR="00E7724C" w:rsidRPr="001B4A02" w:rsidRDefault="00000000" w:rsidP="004C2FD7">
      <w:r w:rsidRPr="001B4A02">
        <w:t>EU/1/03/256/</w:t>
      </w:r>
      <w:r w:rsidR="009E36E4" w:rsidRPr="001B4A02">
        <w:t>020</w:t>
      </w:r>
    </w:p>
    <w:p w14:paraId="44C7576D" w14:textId="77777777" w:rsidR="00AC2B34" w:rsidRDefault="00AC2B34" w:rsidP="00ED48A3">
      <w:pPr>
        <w:pStyle w:val="EMEANormal"/>
        <w:suppressAutoHyphens w:val="0"/>
        <w:rPr>
          <w:lang w:val="cs-CZ"/>
        </w:rPr>
      </w:pPr>
    </w:p>
    <w:p w14:paraId="2E71C44B" w14:textId="77777777" w:rsidR="00D97455" w:rsidRPr="001B4A02" w:rsidRDefault="00000000" w:rsidP="003B610F">
      <w:pPr>
        <w:keepNext/>
        <w:ind w:left="0" w:firstLine="0"/>
        <w:rPr>
          <w:u w:val="single"/>
        </w:rPr>
      </w:pPr>
      <w:r w:rsidRPr="001B4A02">
        <w:rPr>
          <w:u w:val="single"/>
        </w:rPr>
        <w:t>Humira 80</w:t>
      </w:r>
      <w:r w:rsidR="00584B90" w:rsidRPr="001B4A02">
        <w:rPr>
          <w:u w:val="single"/>
        </w:rPr>
        <w:t> </w:t>
      </w:r>
      <w:r w:rsidRPr="001B4A02">
        <w:rPr>
          <w:u w:val="single"/>
        </w:rPr>
        <w:t>mg injekční roztok v předplněném peru</w:t>
      </w:r>
    </w:p>
    <w:p w14:paraId="5D8446F6" w14:textId="77777777" w:rsidR="00D97455" w:rsidRPr="001B4A02" w:rsidRDefault="00000000" w:rsidP="00ED48A3">
      <w:pPr>
        <w:pStyle w:val="EMEANormal"/>
        <w:rPr>
          <w:lang w:val="cs-CZ"/>
        </w:rPr>
      </w:pPr>
      <w:r w:rsidRPr="001B4A02">
        <w:rPr>
          <w:lang w:val="cs-CZ"/>
        </w:rPr>
        <w:t>EU/1/03/256/</w:t>
      </w:r>
      <w:r w:rsidR="00A45EAD" w:rsidRPr="001B4A02">
        <w:rPr>
          <w:lang w:val="cs-CZ"/>
        </w:rPr>
        <w:t>021</w:t>
      </w:r>
    </w:p>
    <w:p w14:paraId="36A343C7" w14:textId="77777777" w:rsidR="002A0506" w:rsidRDefault="00000000" w:rsidP="002A0506">
      <w:pPr>
        <w:pStyle w:val="EMEANormal"/>
        <w:rPr>
          <w:lang w:val="cs-CZ"/>
        </w:rPr>
      </w:pPr>
      <w:r>
        <w:rPr>
          <w:lang w:val="cs-CZ"/>
        </w:rPr>
        <w:t>EU/1/03/256/027</w:t>
      </w:r>
    </w:p>
    <w:p w14:paraId="306BFF29" w14:textId="77777777" w:rsidR="00D97455" w:rsidRPr="001B4A02" w:rsidRDefault="00D97455" w:rsidP="00ED48A3">
      <w:pPr>
        <w:pStyle w:val="EMEANormal"/>
        <w:suppressAutoHyphens w:val="0"/>
        <w:rPr>
          <w:lang w:val="cs-CZ"/>
        </w:rPr>
      </w:pPr>
    </w:p>
    <w:p w14:paraId="3A28A7E1" w14:textId="77777777" w:rsidR="00E7724C" w:rsidRPr="001B4A02" w:rsidRDefault="00E7724C" w:rsidP="00ED48A3">
      <w:pPr>
        <w:pStyle w:val="EMEANormal"/>
        <w:suppressAutoHyphens w:val="0"/>
        <w:rPr>
          <w:lang w:val="cs-CZ"/>
        </w:rPr>
      </w:pPr>
    </w:p>
    <w:p w14:paraId="44BD305D" w14:textId="77777777" w:rsidR="0076554D" w:rsidRPr="001B4A02" w:rsidRDefault="00000000" w:rsidP="00A15B7A">
      <w:pPr>
        <w:keepNext/>
        <w:outlineLvl w:val="0"/>
        <w:rPr>
          <w:b/>
        </w:rPr>
      </w:pPr>
      <w:r w:rsidRPr="001B4A02">
        <w:rPr>
          <w:b/>
        </w:rPr>
        <w:t>9.</w:t>
      </w:r>
      <w:r w:rsidRPr="001B4A02">
        <w:rPr>
          <w:b/>
        </w:rPr>
        <w:tab/>
        <w:t>DATUM PRVNÍ REGISTRACE/PRODLOUŽENÍ REGISTRACE</w:t>
      </w:r>
    </w:p>
    <w:p w14:paraId="28F54085" w14:textId="77777777" w:rsidR="0076554D" w:rsidRPr="001B4A02" w:rsidRDefault="0076554D" w:rsidP="003B610F">
      <w:pPr>
        <w:keepNext/>
        <w:ind w:left="0" w:firstLine="0"/>
      </w:pPr>
    </w:p>
    <w:p w14:paraId="63B8F4E6" w14:textId="77777777" w:rsidR="0076554D" w:rsidRPr="001B4A02" w:rsidRDefault="00000000" w:rsidP="00ED48A3">
      <w:pPr>
        <w:textAlignment w:val="top"/>
        <w:rPr>
          <w:szCs w:val="22"/>
        </w:rPr>
      </w:pPr>
      <w:r w:rsidRPr="001B4A02">
        <w:rPr>
          <w:szCs w:val="22"/>
        </w:rPr>
        <w:t>Datum první registrace: 8. z</w:t>
      </w:r>
      <w:r w:rsidRPr="001B4A02">
        <w:rPr>
          <w:rStyle w:val="hps"/>
          <w:color w:val="000000"/>
          <w:szCs w:val="22"/>
        </w:rPr>
        <w:t xml:space="preserve">áří </w:t>
      </w:r>
      <w:r w:rsidRPr="001B4A02">
        <w:rPr>
          <w:rStyle w:val="hps"/>
          <w:szCs w:val="22"/>
        </w:rPr>
        <w:t>2003</w:t>
      </w:r>
    </w:p>
    <w:p w14:paraId="4997F971" w14:textId="77777777" w:rsidR="0076554D" w:rsidRPr="001B4A02" w:rsidRDefault="00000000" w:rsidP="00ED48A3">
      <w:pPr>
        <w:textAlignment w:val="top"/>
        <w:rPr>
          <w:szCs w:val="22"/>
        </w:rPr>
      </w:pPr>
      <w:r w:rsidRPr="001B4A02">
        <w:rPr>
          <w:szCs w:val="22"/>
        </w:rPr>
        <w:t>Datum posledního prodloužení</w:t>
      </w:r>
      <w:r w:rsidR="0043226A" w:rsidRPr="0043226A">
        <w:rPr>
          <w:szCs w:val="22"/>
        </w:rPr>
        <w:t xml:space="preserve"> registrace</w:t>
      </w:r>
      <w:r w:rsidRPr="001B4A02">
        <w:rPr>
          <w:szCs w:val="22"/>
        </w:rPr>
        <w:t xml:space="preserve">: 8. </w:t>
      </w:r>
      <w:r w:rsidRPr="001B4A02">
        <w:rPr>
          <w:rStyle w:val="hps"/>
          <w:szCs w:val="22"/>
        </w:rPr>
        <w:t>září 2008</w:t>
      </w:r>
    </w:p>
    <w:p w14:paraId="66492E61" w14:textId="77777777" w:rsidR="0076554D" w:rsidRPr="001B4A02" w:rsidRDefault="0076554D" w:rsidP="00ED48A3">
      <w:pPr>
        <w:ind w:left="0" w:firstLine="0"/>
      </w:pPr>
    </w:p>
    <w:p w14:paraId="20852046" w14:textId="77777777" w:rsidR="0076554D" w:rsidRPr="001B4A02" w:rsidRDefault="0076554D" w:rsidP="00ED48A3">
      <w:pPr>
        <w:ind w:left="0" w:firstLine="0"/>
      </w:pPr>
    </w:p>
    <w:p w14:paraId="2E33D986" w14:textId="77777777" w:rsidR="0076554D" w:rsidRPr="001B4A02" w:rsidRDefault="00000000" w:rsidP="00A15B7A">
      <w:pPr>
        <w:pStyle w:val="EndnoteText"/>
        <w:keepNext/>
        <w:outlineLvl w:val="0"/>
        <w:rPr>
          <w:b/>
          <w:lang w:val="cs-CZ"/>
        </w:rPr>
      </w:pPr>
      <w:r w:rsidRPr="001B4A02">
        <w:rPr>
          <w:b/>
          <w:lang w:val="cs-CZ"/>
        </w:rPr>
        <w:t>10.</w:t>
      </w:r>
      <w:r w:rsidRPr="001B4A02">
        <w:rPr>
          <w:b/>
          <w:lang w:val="cs-CZ"/>
        </w:rPr>
        <w:tab/>
        <w:t>DATUM REVIZE TEXTU</w:t>
      </w:r>
    </w:p>
    <w:p w14:paraId="162CB715" w14:textId="77777777" w:rsidR="0076554D" w:rsidRPr="001B4A02" w:rsidRDefault="0076554D" w:rsidP="00ED48A3">
      <w:pPr>
        <w:keepNext/>
        <w:ind w:left="0" w:firstLine="0"/>
      </w:pPr>
    </w:p>
    <w:p w14:paraId="4C786C75" w14:textId="77777777" w:rsidR="00275B76" w:rsidRPr="001B4A02" w:rsidRDefault="00000000" w:rsidP="003B610F">
      <w:pPr>
        <w:ind w:left="0" w:firstLine="0"/>
        <w:rPr>
          <w:del w:id="8458" w:author="AbbVie1" w:date="2025-05-13T09:55:00Z"/>
        </w:rPr>
      </w:pPr>
      <w:r w:rsidRPr="001B4A02">
        <w:t>Podrobné informace o</w:t>
      </w:r>
      <w:r w:rsidR="00E91405" w:rsidRPr="001B4A02">
        <w:t> </w:t>
      </w:r>
      <w:r w:rsidRPr="001B4A02">
        <w:t xml:space="preserve">tomto léčivém přípravku jsou k dispozici na webových stránkách Evropské agentury pro léčivé přípravky </w:t>
      </w:r>
      <w:ins w:id="8459" w:author="AbbVie1" w:date="2025-05-13T09:55:00Z">
        <w:r>
          <w:fldChar w:fldCharType="begin"/>
        </w:r>
        <w:r>
          <w:instrText>HYPERLINK "</w:instrText>
        </w:r>
      </w:ins>
      <w:r w:rsidRPr="001B4A02">
        <w:instrText>http</w:instrText>
      </w:r>
      <w:ins w:id="8460" w:author="AbbVie1" w:date="2025-05-13T09:54:00Z">
        <w:r>
          <w:instrText>s</w:instrText>
        </w:r>
      </w:ins>
      <w:r w:rsidRPr="001B4A02">
        <w:instrText>://www.ema.europa.eu</w:instrText>
      </w:r>
      <w:ins w:id="8461" w:author="AbbVie1" w:date="2025-05-13T09:55:00Z">
        <w:r>
          <w:instrText>"</w:instrText>
        </w:r>
        <w:r>
          <w:fldChar w:fldCharType="separate"/>
        </w:r>
      </w:ins>
      <w:r w:rsidRPr="004C0040">
        <w:rPr>
          <w:rStyle w:val="Hyperlink"/>
        </w:rPr>
        <w:t>http</w:t>
      </w:r>
      <w:ins w:id="8462" w:author="AbbVie1" w:date="2025-05-13T09:54:00Z">
        <w:r w:rsidRPr="004C0040">
          <w:rPr>
            <w:rStyle w:val="Hyperlink"/>
          </w:rPr>
          <w:t>s</w:t>
        </w:r>
      </w:ins>
      <w:r w:rsidRPr="004C0040">
        <w:rPr>
          <w:rStyle w:val="Hyperlink"/>
        </w:rPr>
        <w:t>://www.ema.europa.eu</w:t>
      </w:r>
      <w:ins w:id="8463" w:author="AbbVie1" w:date="2025-05-13T09:55:00Z">
        <w:r>
          <w:fldChar w:fldCharType="end"/>
        </w:r>
      </w:ins>
    </w:p>
    <w:p w14:paraId="42E59773" w14:textId="77777777" w:rsidR="00073F8F" w:rsidRPr="001B4A02" w:rsidRDefault="00000000">
      <w:pPr>
        <w:ind w:left="0" w:firstLine="0"/>
        <w:pPrChange w:id="8464" w:author="AbbVie1" w:date="2025-05-13T09:55:00Z">
          <w:pPr/>
        </w:pPrChange>
      </w:pPr>
      <w:r w:rsidRPr="001B4A02">
        <w:br w:type="page"/>
      </w:r>
    </w:p>
    <w:p w14:paraId="7CEFF389" w14:textId="77777777" w:rsidR="00073F8F" w:rsidRPr="001B4A02" w:rsidRDefault="00073F8F" w:rsidP="00ED48A3">
      <w:pPr>
        <w:jc w:val="center"/>
        <w:rPr>
          <w:b/>
        </w:rPr>
      </w:pPr>
    </w:p>
    <w:p w14:paraId="1C5ECA07" w14:textId="77777777" w:rsidR="00073F8F" w:rsidRPr="001B4A02" w:rsidRDefault="00073F8F" w:rsidP="00ED48A3">
      <w:pPr>
        <w:jc w:val="center"/>
        <w:rPr>
          <w:b/>
        </w:rPr>
      </w:pPr>
    </w:p>
    <w:p w14:paraId="7B7940BC" w14:textId="77777777" w:rsidR="00073F8F" w:rsidRPr="001B4A02" w:rsidRDefault="00073F8F" w:rsidP="00ED48A3">
      <w:pPr>
        <w:jc w:val="center"/>
        <w:rPr>
          <w:b/>
        </w:rPr>
      </w:pPr>
    </w:p>
    <w:p w14:paraId="75B57676" w14:textId="77777777" w:rsidR="00073F8F" w:rsidRPr="001B4A02" w:rsidRDefault="00073F8F" w:rsidP="00ED48A3">
      <w:pPr>
        <w:jc w:val="center"/>
        <w:rPr>
          <w:b/>
        </w:rPr>
      </w:pPr>
    </w:p>
    <w:p w14:paraId="4D8E8AF9" w14:textId="77777777" w:rsidR="00073F8F" w:rsidRPr="001B4A02" w:rsidRDefault="00073F8F" w:rsidP="00ED48A3">
      <w:pPr>
        <w:jc w:val="center"/>
        <w:rPr>
          <w:b/>
        </w:rPr>
      </w:pPr>
    </w:p>
    <w:p w14:paraId="707640E8" w14:textId="77777777" w:rsidR="00073F8F" w:rsidRPr="001B4A02" w:rsidRDefault="00073F8F" w:rsidP="00ED48A3">
      <w:pPr>
        <w:jc w:val="center"/>
        <w:rPr>
          <w:b/>
        </w:rPr>
      </w:pPr>
    </w:p>
    <w:p w14:paraId="03A4E4F1" w14:textId="77777777" w:rsidR="00073F8F" w:rsidRPr="001B4A02" w:rsidRDefault="00073F8F" w:rsidP="00ED48A3">
      <w:pPr>
        <w:jc w:val="center"/>
        <w:rPr>
          <w:b/>
        </w:rPr>
      </w:pPr>
    </w:p>
    <w:p w14:paraId="67EFB150" w14:textId="77777777" w:rsidR="00073F8F" w:rsidRPr="001B4A02" w:rsidRDefault="00073F8F" w:rsidP="00ED48A3">
      <w:pPr>
        <w:jc w:val="center"/>
        <w:rPr>
          <w:b/>
        </w:rPr>
      </w:pPr>
    </w:p>
    <w:p w14:paraId="71723A01" w14:textId="77777777" w:rsidR="00073F8F" w:rsidRPr="001B4A02" w:rsidRDefault="00073F8F" w:rsidP="00ED48A3">
      <w:pPr>
        <w:jc w:val="center"/>
        <w:rPr>
          <w:b/>
        </w:rPr>
      </w:pPr>
    </w:p>
    <w:p w14:paraId="46282070" w14:textId="77777777" w:rsidR="00073F8F" w:rsidRPr="001B4A02" w:rsidRDefault="00073F8F" w:rsidP="00ED48A3">
      <w:pPr>
        <w:jc w:val="center"/>
        <w:rPr>
          <w:b/>
        </w:rPr>
      </w:pPr>
    </w:p>
    <w:p w14:paraId="0C714E12" w14:textId="77777777" w:rsidR="00073F8F" w:rsidRPr="001B4A02" w:rsidRDefault="00073F8F" w:rsidP="00ED48A3">
      <w:pPr>
        <w:jc w:val="center"/>
        <w:rPr>
          <w:b/>
        </w:rPr>
      </w:pPr>
    </w:p>
    <w:p w14:paraId="71CCB2CC" w14:textId="77777777" w:rsidR="00073F8F" w:rsidRPr="001B4A02" w:rsidRDefault="00073F8F" w:rsidP="00ED48A3">
      <w:pPr>
        <w:jc w:val="center"/>
        <w:rPr>
          <w:b/>
        </w:rPr>
      </w:pPr>
    </w:p>
    <w:p w14:paraId="54F42708" w14:textId="77777777" w:rsidR="00073F8F" w:rsidRPr="001B4A02" w:rsidRDefault="00073F8F" w:rsidP="00ED48A3">
      <w:pPr>
        <w:jc w:val="center"/>
        <w:rPr>
          <w:b/>
        </w:rPr>
      </w:pPr>
    </w:p>
    <w:p w14:paraId="358A3F8A" w14:textId="77777777" w:rsidR="00073F8F" w:rsidRPr="001B4A02" w:rsidRDefault="00073F8F" w:rsidP="00ED48A3">
      <w:pPr>
        <w:jc w:val="center"/>
        <w:rPr>
          <w:b/>
        </w:rPr>
      </w:pPr>
    </w:p>
    <w:p w14:paraId="13B45E9D" w14:textId="77777777" w:rsidR="00073F8F" w:rsidRPr="001B4A02" w:rsidRDefault="00073F8F" w:rsidP="00ED48A3">
      <w:pPr>
        <w:jc w:val="center"/>
        <w:rPr>
          <w:b/>
        </w:rPr>
      </w:pPr>
    </w:p>
    <w:p w14:paraId="099E5979" w14:textId="77777777" w:rsidR="00073F8F" w:rsidRPr="001B4A02" w:rsidRDefault="00073F8F" w:rsidP="00ED48A3">
      <w:pPr>
        <w:jc w:val="center"/>
        <w:rPr>
          <w:b/>
        </w:rPr>
      </w:pPr>
    </w:p>
    <w:p w14:paraId="1ADB1F6C" w14:textId="77777777" w:rsidR="00073F8F" w:rsidRPr="001B4A02" w:rsidRDefault="00073F8F" w:rsidP="00ED48A3">
      <w:pPr>
        <w:jc w:val="center"/>
        <w:rPr>
          <w:b/>
        </w:rPr>
      </w:pPr>
    </w:p>
    <w:p w14:paraId="63512901" w14:textId="77777777" w:rsidR="00073F8F" w:rsidRDefault="00073F8F" w:rsidP="00ED48A3">
      <w:pPr>
        <w:jc w:val="center"/>
        <w:rPr>
          <w:b/>
        </w:rPr>
      </w:pPr>
    </w:p>
    <w:p w14:paraId="3B9F0319" w14:textId="77777777" w:rsidR="009D158B" w:rsidRPr="001B4A02" w:rsidRDefault="009D158B" w:rsidP="00ED48A3">
      <w:pPr>
        <w:jc w:val="center"/>
        <w:rPr>
          <w:b/>
        </w:rPr>
      </w:pPr>
    </w:p>
    <w:p w14:paraId="5E46B9F6" w14:textId="77777777" w:rsidR="00073F8F" w:rsidRPr="001B4A02" w:rsidRDefault="00073F8F" w:rsidP="00ED48A3">
      <w:pPr>
        <w:jc w:val="center"/>
        <w:rPr>
          <w:b/>
        </w:rPr>
      </w:pPr>
    </w:p>
    <w:p w14:paraId="5A58F113" w14:textId="77777777" w:rsidR="00073F8F" w:rsidRPr="001B4A02" w:rsidRDefault="00073F8F" w:rsidP="00ED48A3">
      <w:pPr>
        <w:jc w:val="center"/>
        <w:rPr>
          <w:b/>
        </w:rPr>
      </w:pPr>
    </w:p>
    <w:p w14:paraId="21255686" w14:textId="77777777" w:rsidR="00073F8F" w:rsidRPr="001B4A02" w:rsidRDefault="00073F8F" w:rsidP="00ED48A3">
      <w:pPr>
        <w:jc w:val="center"/>
        <w:rPr>
          <w:b/>
        </w:rPr>
      </w:pPr>
    </w:p>
    <w:p w14:paraId="30750662" w14:textId="77777777" w:rsidR="00073F8F" w:rsidRPr="001B4A02" w:rsidRDefault="00073F8F" w:rsidP="00ED48A3">
      <w:pPr>
        <w:jc w:val="center"/>
        <w:rPr>
          <w:b/>
        </w:rPr>
      </w:pPr>
    </w:p>
    <w:p w14:paraId="14829DD1" w14:textId="77777777" w:rsidR="00073F8F" w:rsidRPr="001B4A02" w:rsidRDefault="00000000" w:rsidP="00A15B7A">
      <w:pPr>
        <w:jc w:val="center"/>
        <w:outlineLvl w:val="0"/>
        <w:rPr>
          <w:b/>
        </w:rPr>
      </w:pPr>
      <w:r w:rsidRPr="001B4A02">
        <w:rPr>
          <w:b/>
        </w:rPr>
        <w:t>PŘÍLOHA II</w:t>
      </w:r>
    </w:p>
    <w:p w14:paraId="71ED27F3" w14:textId="77777777" w:rsidR="00073F8F" w:rsidRPr="001B4A02" w:rsidRDefault="00073F8F" w:rsidP="00ED48A3">
      <w:pPr>
        <w:tabs>
          <w:tab w:val="left" w:pos="1701"/>
        </w:tabs>
        <w:ind w:left="1701" w:right="1416"/>
      </w:pPr>
    </w:p>
    <w:p w14:paraId="32228AFE" w14:textId="77777777" w:rsidR="00073F8F" w:rsidRPr="001B4A02" w:rsidRDefault="00000000" w:rsidP="00ED48A3">
      <w:pPr>
        <w:tabs>
          <w:tab w:val="left" w:pos="1701"/>
        </w:tabs>
        <w:ind w:left="1701" w:right="1416"/>
        <w:rPr>
          <w:b/>
        </w:rPr>
      </w:pPr>
      <w:r w:rsidRPr="001B4A02">
        <w:rPr>
          <w:b/>
        </w:rPr>
        <w:t>A.</w:t>
      </w:r>
      <w:r w:rsidRPr="001B4A02">
        <w:rPr>
          <w:b/>
        </w:rPr>
        <w:tab/>
        <w:t>VÝROBC</w:t>
      </w:r>
      <w:r w:rsidR="00EA78B1" w:rsidRPr="001B4A02">
        <w:rPr>
          <w:b/>
        </w:rPr>
        <w:t>I</w:t>
      </w:r>
      <w:r w:rsidRPr="001B4A02">
        <w:rPr>
          <w:b/>
        </w:rPr>
        <w:t xml:space="preserve"> BIOLOGICKÉ LÉČIVÉ LÁTKY A VÝROBC</w:t>
      </w:r>
      <w:r w:rsidR="00EA78B1" w:rsidRPr="001B4A02">
        <w:rPr>
          <w:b/>
        </w:rPr>
        <w:t>I</w:t>
      </w:r>
      <w:r w:rsidRPr="001B4A02">
        <w:rPr>
          <w:b/>
        </w:rPr>
        <w:t xml:space="preserve"> ODPOVĚDN</w:t>
      </w:r>
      <w:r w:rsidR="00EA78B1" w:rsidRPr="001B4A02">
        <w:rPr>
          <w:b/>
        </w:rPr>
        <w:t>Í</w:t>
      </w:r>
      <w:r w:rsidRPr="001B4A02">
        <w:rPr>
          <w:b/>
        </w:rPr>
        <w:t xml:space="preserve"> ZA PROPOUŠTĚNÍ ŠARŽÍ</w:t>
      </w:r>
    </w:p>
    <w:p w14:paraId="723AF389" w14:textId="77777777" w:rsidR="00073F8F" w:rsidRPr="001B4A02" w:rsidRDefault="00073F8F" w:rsidP="00ED48A3">
      <w:pPr>
        <w:tabs>
          <w:tab w:val="left" w:pos="1701"/>
        </w:tabs>
        <w:ind w:left="1701" w:right="1416"/>
        <w:rPr>
          <w:bCs/>
        </w:rPr>
      </w:pPr>
    </w:p>
    <w:p w14:paraId="5A9DB0A0" w14:textId="77777777" w:rsidR="00073F8F" w:rsidRPr="001B4A02" w:rsidRDefault="00000000" w:rsidP="00ED48A3">
      <w:pPr>
        <w:numPr>
          <w:ilvl w:val="0"/>
          <w:numId w:val="37"/>
        </w:numPr>
        <w:ind w:right="1416"/>
      </w:pPr>
      <w:r w:rsidRPr="001B4A02">
        <w:rPr>
          <w:b/>
        </w:rPr>
        <w:t xml:space="preserve">PODMÍNKY </w:t>
      </w:r>
      <w:r w:rsidR="00DB0AFF" w:rsidRPr="001B4A02">
        <w:rPr>
          <w:b/>
        </w:rPr>
        <w:t xml:space="preserve">NEBO OMEZENÍ VÝDEJE A POUŽITÍ </w:t>
      </w:r>
    </w:p>
    <w:p w14:paraId="6E8DCCA7" w14:textId="77777777" w:rsidR="00DB0AFF" w:rsidRPr="001B4A02" w:rsidRDefault="00DB0AFF" w:rsidP="00ED48A3">
      <w:pPr>
        <w:ind w:left="1689" w:right="1416" w:firstLine="0"/>
      </w:pPr>
    </w:p>
    <w:p w14:paraId="50F11D66" w14:textId="77777777" w:rsidR="00DB0AFF" w:rsidRPr="001B4A02" w:rsidRDefault="00000000" w:rsidP="00ED48A3">
      <w:pPr>
        <w:numPr>
          <w:ilvl w:val="0"/>
          <w:numId w:val="37"/>
        </w:numPr>
        <w:ind w:right="-1"/>
        <w:rPr>
          <w:b/>
        </w:rPr>
      </w:pPr>
      <w:r w:rsidRPr="001B4A02">
        <w:rPr>
          <w:b/>
        </w:rPr>
        <w:t>DALŠÍ PODMÍNKY A POŽADAVKY REGISTRACE</w:t>
      </w:r>
    </w:p>
    <w:p w14:paraId="4D01C046" w14:textId="77777777" w:rsidR="00DB0AFF" w:rsidRPr="001B4A02" w:rsidRDefault="00DB0AFF" w:rsidP="00ED48A3">
      <w:pPr>
        <w:pStyle w:val="Odstavecseseznamem1"/>
        <w:spacing w:line="240" w:lineRule="auto"/>
        <w:ind w:right="-1"/>
        <w:rPr>
          <w:b/>
        </w:rPr>
      </w:pPr>
    </w:p>
    <w:p w14:paraId="573A1EAF" w14:textId="77777777" w:rsidR="00DB0AFF" w:rsidRPr="001B4A02" w:rsidRDefault="00000000" w:rsidP="00ED48A3">
      <w:pPr>
        <w:numPr>
          <w:ilvl w:val="0"/>
          <w:numId w:val="37"/>
        </w:numPr>
        <w:ind w:right="-1"/>
        <w:rPr>
          <w:b/>
        </w:rPr>
      </w:pPr>
      <w:r w:rsidRPr="001B4A02">
        <w:rPr>
          <w:b/>
        </w:rPr>
        <w:t>PODMÍNKY NEBO OMEZENÍ S OHLEDEM NA BEZPEČNÉ A ÚČINNÉ POUŽÍVÁNÍ LÉČIVÉHO PŘÍPRAVKU</w:t>
      </w:r>
    </w:p>
    <w:p w14:paraId="6BB816EF" w14:textId="77777777" w:rsidR="00073F8F" w:rsidRPr="001B4A02" w:rsidRDefault="00000000" w:rsidP="00ED48A3">
      <w:pPr>
        <w:pStyle w:val="BMLeftAligned"/>
      </w:pPr>
      <w:r w:rsidRPr="001B4A02">
        <w:br w:type="page"/>
        <w:t>A.</w:t>
      </w:r>
      <w:r w:rsidRPr="001B4A02">
        <w:tab/>
        <w:t>VÝROBC</w:t>
      </w:r>
      <w:r w:rsidR="00A469B5" w:rsidRPr="001B4A02">
        <w:t>I</w:t>
      </w:r>
      <w:r w:rsidRPr="001B4A02">
        <w:t xml:space="preserve"> BIOLOGICKÉ LÉČIVÉ LÁTKY A VÝROBC</w:t>
      </w:r>
      <w:r w:rsidR="00EA78B1" w:rsidRPr="001B4A02">
        <w:t>I</w:t>
      </w:r>
      <w:r w:rsidRPr="001B4A02">
        <w:t xml:space="preserve"> ODPOVĚDN</w:t>
      </w:r>
      <w:r w:rsidR="00EA78B1" w:rsidRPr="001B4A02">
        <w:t>Í</w:t>
      </w:r>
      <w:r w:rsidRPr="001B4A02">
        <w:t xml:space="preserve"> ZA PROPOUŠTĚNÍ ŠARŽÍ</w:t>
      </w:r>
    </w:p>
    <w:p w14:paraId="1054B63A" w14:textId="77777777" w:rsidR="00073F8F" w:rsidRPr="001B4A02" w:rsidRDefault="00073F8F" w:rsidP="00ED48A3">
      <w:pPr>
        <w:ind w:right="1416"/>
      </w:pPr>
    </w:p>
    <w:p w14:paraId="1CDF9C06" w14:textId="77777777" w:rsidR="00073F8F" w:rsidRPr="001B4A02" w:rsidRDefault="00000000" w:rsidP="00ED48A3">
      <w:pPr>
        <w:rPr>
          <w:u w:val="single"/>
        </w:rPr>
      </w:pPr>
      <w:r w:rsidRPr="001B4A02">
        <w:rPr>
          <w:u w:val="single"/>
        </w:rPr>
        <w:t>Název</w:t>
      </w:r>
      <w:r w:rsidR="002378E0">
        <w:rPr>
          <w:u w:val="single"/>
        </w:rPr>
        <w:t xml:space="preserve"> a </w:t>
      </w:r>
      <w:r w:rsidRPr="001B4A02">
        <w:rPr>
          <w:u w:val="single"/>
        </w:rPr>
        <w:t>adresa výrobc</w:t>
      </w:r>
      <w:r w:rsidR="00A469B5" w:rsidRPr="001B4A02">
        <w:rPr>
          <w:u w:val="single"/>
        </w:rPr>
        <w:t>ů</w:t>
      </w:r>
      <w:r w:rsidR="004C2FD7" w:rsidRPr="001B4A02">
        <w:rPr>
          <w:u w:val="single"/>
        </w:rPr>
        <w:t xml:space="preserve"> biologické léčivé látky</w:t>
      </w:r>
    </w:p>
    <w:p w14:paraId="49715A8F" w14:textId="77777777" w:rsidR="00073F8F" w:rsidRPr="001B4A02" w:rsidRDefault="00073F8F" w:rsidP="00ED48A3">
      <w:pPr>
        <w:ind w:right="1416"/>
      </w:pPr>
    </w:p>
    <w:p w14:paraId="1CAC0BA0" w14:textId="77777777" w:rsidR="00073F8F" w:rsidRPr="001B4A02" w:rsidRDefault="00000000" w:rsidP="00ED48A3">
      <w:pPr>
        <w:tabs>
          <w:tab w:val="left" w:pos="1134"/>
        </w:tabs>
        <w:rPr>
          <w:color w:val="000000"/>
        </w:rPr>
      </w:pPr>
      <w:r w:rsidRPr="001B4A02">
        <w:rPr>
          <w:color w:val="000000"/>
        </w:rPr>
        <w:t>AbbVie Bioresearch Center</w:t>
      </w:r>
    </w:p>
    <w:p w14:paraId="0F46AD47" w14:textId="77777777" w:rsidR="00073F8F" w:rsidRPr="001B4A02" w:rsidRDefault="00000000" w:rsidP="00ED48A3">
      <w:pPr>
        <w:tabs>
          <w:tab w:val="left" w:pos="1134"/>
        </w:tabs>
        <w:rPr>
          <w:color w:val="000000"/>
        </w:rPr>
      </w:pPr>
      <w:r w:rsidRPr="001B4A02">
        <w:rPr>
          <w:color w:val="000000"/>
        </w:rPr>
        <w:t>100 Research Drive</w:t>
      </w:r>
    </w:p>
    <w:p w14:paraId="25724075" w14:textId="77777777" w:rsidR="00073F8F" w:rsidRPr="001B4A02" w:rsidRDefault="00000000" w:rsidP="00ED48A3">
      <w:pPr>
        <w:tabs>
          <w:tab w:val="left" w:pos="1134"/>
        </w:tabs>
        <w:rPr>
          <w:color w:val="000000"/>
        </w:rPr>
      </w:pPr>
      <w:r w:rsidRPr="001B4A02">
        <w:rPr>
          <w:color w:val="000000"/>
        </w:rPr>
        <w:t>Worcester</w:t>
      </w:r>
    </w:p>
    <w:p w14:paraId="2B1F7CCE" w14:textId="77777777" w:rsidR="00073F8F" w:rsidRPr="001B4A02" w:rsidRDefault="00000000" w:rsidP="00ED48A3">
      <w:pPr>
        <w:tabs>
          <w:tab w:val="left" w:pos="1134"/>
        </w:tabs>
        <w:rPr>
          <w:color w:val="000000"/>
        </w:rPr>
      </w:pPr>
      <w:r w:rsidRPr="001B4A02">
        <w:rPr>
          <w:color w:val="000000"/>
        </w:rPr>
        <w:t>MA 01605</w:t>
      </w:r>
    </w:p>
    <w:p w14:paraId="7203BC6E" w14:textId="77777777" w:rsidR="00073F8F" w:rsidRPr="001B4A02" w:rsidRDefault="00000000" w:rsidP="00ED48A3">
      <w:pPr>
        <w:ind w:right="1416"/>
      </w:pPr>
      <w:r w:rsidRPr="001B4A02">
        <w:rPr>
          <w:color w:val="000000"/>
        </w:rPr>
        <w:t>USA</w:t>
      </w:r>
    </w:p>
    <w:p w14:paraId="1460C0C0" w14:textId="77777777" w:rsidR="00D84F68" w:rsidRPr="001B4A02" w:rsidRDefault="00D84F68" w:rsidP="00ED48A3"/>
    <w:p w14:paraId="5ECF31BB" w14:textId="77777777" w:rsidR="00867744" w:rsidRPr="001B4A02" w:rsidRDefault="00000000" w:rsidP="00ED48A3">
      <w:r w:rsidRPr="001B4A02">
        <w:t>a</w:t>
      </w:r>
    </w:p>
    <w:p w14:paraId="4DB3C4AD" w14:textId="77777777" w:rsidR="00867744" w:rsidRPr="001B4A02" w:rsidRDefault="00867744" w:rsidP="00ED48A3"/>
    <w:p w14:paraId="048CF05A" w14:textId="77777777" w:rsidR="00867744" w:rsidRPr="001B4A02" w:rsidRDefault="00000000" w:rsidP="00ED48A3">
      <w:pPr>
        <w:tabs>
          <w:tab w:val="left" w:pos="562"/>
        </w:tabs>
      </w:pPr>
      <w:r w:rsidRPr="001B4A02">
        <w:t>AbbVie Biotechnology Ltd.</w:t>
      </w:r>
    </w:p>
    <w:p w14:paraId="2DED5575" w14:textId="77777777" w:rsidR="00867744" w:rsidRPr="001B4A02" w:rsidRDefault="00000000" w:rsidP="00ED48A3">
      <w:pPr>
        <w:pStyle w:val="EMEANormal"/>
        <w:rPr>
          <w:szCs w:val="24"/>
          <w:lang w:val="cs-CZ"/>
        </w:rPr>
      </w:pPr>
      <w:r w:rsidRPr="001B4A02">
        <w:rPr>
          <w:szCs w:val="24"/>
          <w:lang w:val="cs-CZ"/>
        </w:rPr>
        <w:t>Road No. 2, Km. 59.2</w:t>
      </w:r>
    </w:p>
    <w:p w14:paraId="04F43C27" w14:textId="77777777" w:rsidR="00867744" w:rsidRPr="001B4A02" w:rsidRDefault="00000000" w:rsidP="00ED48A3">
      <w:pPr>
        <w:tabs>
          <w:tab w:val="left" w:pos="562"/>
        </w:tabs>
      </w:pPr>
      <w:r w:rsidRPr="001B4A02">
        <w:t>Barceloneta</w:t>
      </w:r>
    </w:p>
    <w:p w14:paraId="28B4650F" w14:textId="77777777" w:rsidR="00867744" w:rsidRPr="001B4A02" w:rsidRDefault="00000000" w:rsidP="00ED48A3">
      <w:pPr>
        <w:numPr>
          <w:ilvl w:val="12"/>
          <w:numId w:val="0"/>
        </w:numPr>
        <w:tabs>
          <w:tab w:val="left" w:pos="720"/>
        </w:tabs>
      </w:pPr>
      <w:r w:rsidRPr="001B4A02">
        <w:t>Portoriko 00617</w:t>
      </w:r>
    </w:p>
    <w:p w14:paraId="2B95AF77" w14:textId="77777777" w:rsidR="00867744" w:rsidRPr="001B4A02" w:rsidRDefault="00867744" w:rsidP="00ED48A3">
      <w:pPr>
        <w:numPr>
          <w:ilvl w:val="12"/>
          <w:numId w:val="0"/>
        </w:numPr>
        <w:tabs>
          <w:tab w:val="left" w:pos="720"/>
        </w:tabs>
      </w:pPr>
    </w:p>
    <w:p w14:paraId="287938DB" w14:textId="77777777" w:rsidR="00E9256F" w:rsidRPr="001B4A02" w:rsidRDefault="00000000" w:rsidP="00ED48A3">
      <w:pPr>
        <w:numPr>
          <w:ilvl w:val="12"/>
          <w:numId w:val="0"/>
        </w:numPr>
        <w:tabs>
          <w:tab w:val="left" w:pos="720"/>
        </w:tabs>
      </w:pPr>
      <w:r w:rsidRPr="001B4A02">
        <w:t>a</w:t>
      </w:r>
    </w:p>
    <w:p w14:paraId="4D86EE1E" w14:textId="77777777" w:rsidR="00E9256F" w:rsidRPr="001B4A02" w:rsidRDefault="00E9256F" w:rsidP="00ED48A3">
      <w:pPr>
        <w:numPr>
          <w:ilvl w:val="12"/>
          <w:numId w:val="0"/>
        </w:numPr>
        <w:tabs>
          <w:tab w:val="left" w:pos="720"/>
        </w:tabs>
      </w:pPr>
    </w:p>
    <w:p w14:paraId="4C69D674" w14:textId="77777777" w:rsidR="00E9256F" w:rsidRPr="001B4A02" w:rsidRDefault="00000000" w:rsidP="00ED48A3">
      <w:pPr>
        <w:autoSpaceDE w:val="0"/>
        <w:autoSpaceDN w:val="0"/>
        <w:adjustRightInd w:val="0"/>
        <w:rPr>
          <w:bCs/>
          <w:szCs w:val="22"/>
        </w:rPr>
      </w:pPr>
      <w:r w:rsidRPr="001B4A02">
        <w:rPr>
          <w:bCs/>
          <w:szCs w:val="22"/>
        </w:rPr>
        <w:t>Lonza Biologics Tuas PTE Ltd</w:t>
      </w:r>
    </w:p>
    <w:p w14:paraId="13550D04" w14:textId="77777777" w:rsidR="00E9256F" w:rsidRPr="001B4A02" w:rsidRDefault="00000000" w:rsidP="00ED48A3">
      <w:pPr>
        <w:autoSpaceDE w:val="0"/>
        <w:autoSpaceDN w:val="0"/>
        <w:adjustRightInd w:val="0"/>
        <w:rPr>
          <w:bCs/>
          <w:szCs w:val="22"/>
        </w:rPr>
      </w:pPr>
      <w:r w:rsidRPr="001B4A02">
        <w:rPr>
          <w:bCs/>
          <w:szCs w:val="22"/>
        </w:rPr>
        <w:t>35 Tuas South Ave 6</w:t>
      </w:r>
    </w:p>
    <w:p w14:paraId="40E10302" w14:textId="77777777" w:rsidR="00E9256F" w:rsidRDefault="00000000" w:rsidP="00ED48A3">
      <w:pPr>
        <w:rPr>
          <w:bCs/>
          <w:szCs w:val="22"/>
        </w:rPr>
      </w:pPr>
      <w:r w:rsidRPr="001B4A02">
        <w:rPr>
          <w:bCs/>
          <w:szCs w:val="22"/>
        </w:rPr>
        <w:t>Singapur 637377</w:t>
      </w:r>
    </w:p>
    <w:p w14:paraId="133D322E" w14:textId="77777777" w:rsidR="00754BB2" w:rsidRDefault="00754BB2" w:rsidP="00ED48A3">
      <w:pPr>
        <w:rPr>
          <w:szCs w:val="22"/>
        </w:rPr>
      </w:pPr>
    </w:p>
    <w:p w14:paraId="2DBAC902" w14:textId="77777777" w:rsidR="00754BB2" w:rsidRDefault="00000000" w:rsidP="00ED48A3">
      <w:pPr>
        <w:rPr>
          <w:szCs w:val="22"/>
        </w:rPr>
      </w:pPr>
      <w:r>
        <w:rPr>
          <w:szCs w:val="22"/>
        </w:rPr>
        <w:t>a</w:t>
      </w:r>
    </w:p>
    <w:p w14:paraId="71BE1157" w14:textId="77777777" w:rsidR="00754BB2" w:rsidRDefault="00754BB2" w:rsidP="00ED48A3">
      <w:pPr>
        <w:rPr>
          <w:szCs w:val="22"/>
        </w:rPr>
      </w:pPr>
    </w:p>
    <w:p w14:paraId="23AC189D" w14:textId="77777777" w:rsidR="00754BB2" w:rsidRPr="00B12143" w:rsidRDefault="00000000" w:rsidP="00754BB2">
      <w:pPr>
        <w:rPr>
          <w:bCs/>
          <w:szCs w:val="22"/>
        </w:rPr>
      </w:pPr>
      <w:r w:rsidRPr="00B12143">
        <w:rPr>
          <w:bCs/>
          <w:szCs w:val="22"/>
        </w:rPr>
        <w:t>AbbVie Ope</w:t>
      </w:r>
      <w:r>
        <w:rPr>
          <w:bCs/>
          <w:szCs w:val="22"/>
        </w:rPr>
        <w:t>rations Singapore PTE Ltd</w:t>
      </w:r>
    </w:p>
    <w:p w14:paraId="1C3908FE" w14:textId="77777777" w:rsidR="00754BB2" w:rsidRPr="00B12143" w:rsidRDefault="00000000" w:rsidP="00754BB2">
      <w:pPr>
        <w:rPr>
          <w:bCs/>
          <w:szCs w:val="22"/>
        </w:rPr>
      </w:pPr>
      <w:r w:rsidRPr="00B12143">
        <w:rPr>
          <w:bCs/>
          <w:szCs w:val="22"/>
        </w:rPr>
        <w:t>23 Tuas South Avenue 6</w:t>
      </w:r>
    </w:p>
    <w:p w14:paraId="531AB677" w14:textId="77777777" w:rsidR="00754BB2" w:rsidRPr="00754BB2" w:rsidRDefault="00000000" w:rsidP="00754BB2">
      <w:pPr>
        <w:rPr>
          <w:bCs/>
          <w:szCs w:val="22"/>
        </w:rPr>
      </w:pPr>
      <w:r w:rsidRPr="00B12143">
        <w:rPr>
          <w:bCs/>
          <w:szCs w:val="22"/>
        </w:rPr>
        <w:t>Singap</w:t>
      </w:r>
      <w:r>
        <w:rPr>
          <w:bCs/>
          <w:szCs w:val="22"/>
        </w:rPr>
        <w:t>ur</w:t>
      </w:r>
      <w:r w:rsidRPr="00B12143">
        <w:rPr>
          <w:bCs/>
          <w:szCs w:val="22"/>
        </w:rPr>
        <w:t xml:space="preserve"> 637022</w:t>
      </w:r>
    </w:p>
    <w:p w14:paraId="42D6C3EE" w14:textId="77777777" w:rsidR="00073F8F" w:rsidRPr="001B4A02" w:rsidRDefault="00073F8F" w:rsidP="00ED48A3"/>
    <w:p w14:paraId="44274CFD" w14:textId="77777777" w:rsidR="00073F8F" w:rsidRPr="001B4A02" w:rsidRDefault="00000000" w:rsidP="00ED48A3">
      <w:r w:rsidRPr="001B4A02">
        <w:rPr>
          <w:u w:val="single"/>
        </w:rPr>
        <w:t>Název</w:t>
      </w:r>
      <w:r w:rsidR="002378E0">
        <w:rPr>
          <w:u w:val="single"/>
        </w:rPr>
        <w:t xml:space="preserve"> a </w:t>
      </w:r>
      <w:r w:rsidRPr="001B4A02">
        <w:rPr>
          <w:u w:val="single"/>
        </w:rPr>
        <w:t>adresa výrobc</w:t>
      </w:r>
      <w:r w:rsidR="00641B32">
        <w:rPr>
          <w:u w:val="single"/>
        </w:rPr>
        <w:t>e</w:t>
      </w:r>
      <w:r w:rsidRPr="001B4A02">
        <w:rPr>
          <w:u w:val="single"/>
        </w:rPr>
        <w:t xml:space="preserve"> odpovědn</w:t>
      </w:r>
      <w:r w:rsidR="00641B32">
        <w:rPr>
          <w:u w:val="single"/>
        </w:rPr>
        <w:t>ého</w:t>
      </w:r>
      <w:r w:rsidRPr="001B4A02">
        <w:rPr>
          <w:u w:val="single"/>
        </w:rPr>
        <w:t xml:space="preserve"> za propouštění šarží</w:t>
      </w:r>
    </w:p>
    <w:p w14:paraId="32C16359" w14:textId="77777777" w:rsidR="00073F8F" w:rsidRPr="001B4A02" w:rsidRDefault="00073F8F" w:rsidP="00ED48A3"/>
    <w:p w14:paraId="400D1437" w14:textId="77777777" w:rsidR="00EE07EB" w:rsidRPr="001B4A02" w:rsidRDefault="00000000" w:rsidP="00ED48A3">
      <w:r w:rsidRPr="001B4A02">
        <w:t>AbbVie Biotechnology GmbH</w:t>
      </w:r>
    </w:p>
    <w:p w14:paraId="50CD5560" w14:textId="77777777" w:rsidR="00EE07EB" w:rsidRPr="001B4A02" w:rsidRDefault="00000000" w:rsidP="00ED48A3">
      <w:r w:rsidRPr="001B4A02">
        <w:t>Knollstrasse</w:t>
      </w:r>
    </w:p>
    <w:p w14:paraId="70512415" w14:textId="77777777" w:rsidR="00EE07EB" w:rsidRPr="001B4A02" w:rsidRDefault="00000000" w:rsidP="00ED48A3">
      <w:r w:rsidRPr="001B4A02">
        <w:t>67061 Ludwigshafen</w:t>
      </w:r>
    </w:p>
    <w:p w14:paraId="73E21C28" w14:textId="77777777" w:rsidR="00EE07EB" w:rsidRPr="001B4A02" w:rsidRDefault="00000000" w:rsidP="00ED48A3">
      <w:r w:rsidRPr="001B4A02">
        <w:t>Německo</w:t>
      </w:r>
    </w:p>
    <w:p w14:paraId="445F2557" w14:textId="77777777" w:rsidR="00EE07EB" w:rsidRPr="001B4A02" w:rsidRDefault="00EE07EB" w:rsidP="00ED48A3"/>
    <w:p w14:paraId="1128495C" w14:textId="77777777" w:rsidR="00EE07EB" w:rsidRPr="001B4A02" w:rsidRDefault="00EE07EB" w:rsidP="00ED48A3">
      <w:pPr>
        <w:ind w:left="0" w:firstLine="0"/>
      </w:pPr>
    </w:p>
    <w:p w14:paraId="5192FE3A" w14:textId="77777777" w:rsidR="00073F8F" w:rsidRPr="001B4A02" w:rsidRDefault="00000000" w:rsidP="00066147">
      <w:pPr>
        <w:pStyle w:val="BMLeftAligned"/>
        <w:keepNext/>
      </w:pPr>
      <w:r w:rsidRPr="001B4A02">
        <w:t>B.</w:t>
      </w:r>
      <w:r w:rsidRPr="001B4A02">
        <w:tab/>
        <w:t xml:space="preserve">PODMÍNKY </w:t>
      </w:r>
      <w:r w:rsidR="004C2FD7" w:rsidRPr="001B4A02">
        <w:t>NEBO OMEZENÍ VÝDEJE A POUŽITÍ</w:t>
      </w:r>
    </w:p>
    <w:p w14:paraId="0F2FCC91" w14:textId="77777777" w:rsidR="00073F8F" w:rsidRPr="001B4A02" w:rsidRDefault="00073F8F" w:rsidP="00066147">
      <w:pPr>
        <w:keepNext/>
      </w:pPr>
    </w:p>
    <w:p w14:paraId="37C793D1" w14:textId="77777777" w:rsidR="00073F8F" w:rsidRPr="001B4A02" w:rsidRDefault="00000000" w:rsidP="00ED48A3">
      <w:pPr>
        <w:numPr>
          <w:ilvl w:val="12"/>
          <w:numId w:val="0"/>
        </w:numPr>
      </w:pPr>
      <w:r w:rsidRPr="001B4A02">
        <w:t>Výdej léčivého přípravku je vázán na lékařský předpis s</w:t>
      </w:r>
      <w:r w:rsidR="005C0B4E" w:rsidRPr="001B4A02">
        <w:t> </w:t>
      </w:r>
      <w:r w:rsidRPr="001B4A02">
        <w:t>omezením (viz Příloha I: Souhrn údajů o přípravku, bod 4.2).</w:t>
      </w:r>
    </w:p>
    <w:p w14:paraId="7E7E9B27" w14:textId="77777777" w:rsidR="00073F8F" w:rsidRPr="001B4A02" w:rsidRDefault="00073F8F" w:rsidP="00ED48A3">
      <w:pPr>
        <w:numPr>
          <w:ilvl w:val="12"/>
          <w:numId w:val="0"/>
        </w:numPr>
      </w:pPr>
    </w:p>
    <w:p w14:paraId="5A132C64" w14:textId="77777777" w:rsidR="00985700" w:rsidRPr="001B4A02" w:rsidRDefault="00985700" w:rsidP="00ED48A3">
      <w:pPr>
        <w:numPr>
          <w:ilvl w:val="12"/>
          <w:numId w:val="0"/>
        </w:numPr>
      </w:pPr>
    </w:p>
    <w:p w14:paraId="2C9AD0AC" w14:textId="77777777" w:rsidR="00073F8F" w:rsidRPr="001B4A02" w:rsidRDefault="00000000" w:rsidP="00ED48A3">
      <w:pPr>
        <w:pStyle w:val="BMLeftAligned"/>
        <w:keepNext/>
      </w:pPr>
      <w:r w:rsidRPr="001B4A02">
        <w:t>C.</w:t>
      </w:r>
      <w:r w:rsidRPr="001B4A02">
        <w:tab/>
        <w:t>DALŠÍ PODMÍNKY PODMÍNKY A POŽADAVKY REGISTRACE</w:t>
      </w:r>
    </w:p>
    <w:p w14:paraId="4A440FE1" w14:textId="77777777" w:rsidR="00073F8F" w:rsidRPr="001B4A02" w:rsidRDefault="00073F8F" w:rsidP="00ED48A3">
      <w:pPr>
        <w:pStyle w:val="EMEANormal"/>
        <w:keepNext/>
        <w:tabs>
          <w:tab w:val="clear" w:pos="562"/>
        </w:tabs>
        <w:suppressAutoHyphens w:val="0"/>
        <w:rPr>
          <w:bCs/>
          <w:lang w:val="cs-CZ"/>
        </w:rPr>
      </w:pPr>
    </w:p>
    <w:p w14:paraId="302209D3" w14:textId="77777777" w:rsidR="002A4842" w:rsidRPr="001B4A02" w:rsidRDefault="00000000" w:rsidP="00ED48A3">
      <w:pPr>
        <w:keepNext/>
        <w:numPr>
          <w:ilvl w:val="0"/>
          <w:numId w:val="94"/>
        </w:numPr>
        <w:ind w:left="924" w:hanging="924"/>
        <w:rPr>
          <w:b/>
        </w:rPr>
      </w:pPr>
      <w:r w:rsidRPr="001B4A02">
        <w:rPr>
          <w:b/>
        </w:rPr>
        <w:t>Pravidelně aktualizované zprávy o bezpečnosti</w:t>
      </w:r>
      <w:r w:rsidR="00D2183E">
        <w:rPr>
          <w:b/>
        </w:rPr>
        <w:t xml:space="preserve"> (PSUR)</w:t>
      </w:r>
    </w:p>
    <w:p w14:paraId="24DFAA63" w14:textId="77777777" w:rsidR="00F34089" w:rsidRPr="001B4A02" w:rsidRDefault="00F34089" w:rsidP="00ED48A3">
      <w:pPr>
        <w:ind w:left="0" w:firstLine="0"/>
      </w:pPr>
    </w:p>
    <w:p w14:paraId="33985D6D" w14:textId="77777777" w:rsidR="00A469B5" w:rsidRPr="001B4A02" w:rsidRDefault="00000000" w:rsidP="00ED48A3">
      <w:pPr>
        <w:ind w:left="0" w:firstLine="0"/>
      </w:pPr>
      <w:r w:rsidRPr="001B4A02">
        <w:t xml:space="preserve">Požadavky pro předkládání </w:t>
      </w:r>
      <w:r w:rsidR="00D2183E">
        <w:t>PSUR</w:t>
      </w:r>
      <w:r w:rsidRPr="001B4A02">
        <w:t xml:space="preserve"> pro tento léčivý přípravek jsou uvedeny v seznamu referečních dat Unie (seznam EURD) stanoveném v</w:t>
      </w:r>
      <w:r w:rsidR="00C17239" w:rsidRPr="001B4A02">
        <w:t> </w:t>
      </w:r>
      <w:r w:rsidRPr="001B4A02">
        <w:t>čl. 107c odst. 7 směrnice 2001/83/EC</w:t>
      </w:r>
      <w:r w:rsidR="002378E0">
        <w:t xml:space="preserve"> a </w:t>
      </w:r>
      <w:r w:rsidRPr="001B4A02">
        <w:t>jakékoli následné změny jsou zveřejněny na evropském webovém portálu pro léčivé přípravky.</w:t>
      </w:r>
    </w:p>
    <w:p w14:paraId="7744E0AE" w14:textId="77777777" w:rsidR="00A469B5" w:rsidRPr="001B4A02" w:rsidRDefault="00A469B5" w:rsidP="00ED48A3">
      <w:pPr>
        <w:ind w:right="-1"/>
      </w:pPr>
    </w:p>
    <w:p w14:paraId="286C7B5B" w14:textId="77777777" w:rsidR="005F2B6A" w:rsidRPr="001B4A02" w:rsidRDefault="005F2B6A" w:rsidP="00ED48A3">
      <w:pPr>
        <w:pStyle w:val="BMLeftAligned"/>
        <w:rPr>
          <w:b w:val="0"/>
        </w:rPr>
      </w:pPr>
    </w:p>
    <w:p w14:paraId="64C52D8B" w14:textId="77777777" w:rsidR="00A469B5" w:rsidRPr="001B4A02" w:rsidRDefault="00000000" w:rsidP="00ED48A3">
      <w:pPr>
        <w:pStyle w:val="BMLeftAligned"/>
        <w:rPr>
          <w:iCs/>
        </w:rPr>
      </w:pPr>
      <w:r w:rsidRPr="001B4A02">
        <w:t>D.</w:t>
      </w:r>
      <w:r w:rsidRPr="001B4A02">
        <w:tab/>
        <w:t>PODMÍNKY NEBO OMEZENÍ S OHLEDEM NA BEZPEČNÉ A ÚČINNÉ POUŽÍVÁNÍ LÉČIVÉHO PŘÍPRAVKU</w:t>
      </w:r>
    </w:p>
    <w:p w14:paraId="7B712561" w14:textId="77777777" w:rsidR="00A469B5" w:rsidRPr="001B4A02" w:rsidRDefault="00A469B5" w:rsidP="00ED48A3">
      <w:pPr>
        <w:tabs>
          <w:tab w:val="left" w:pos="0"/>
        </w:tabs>
        <w:ind w:right="-1"/>
        <w:rPr>
          <w:b/>
        </w:rPr>
      </w:pPr>
    </w:p>
    <w:p w14:paraId="3EB3EC0E" w14:textId="77777777" w:rsidR="00A469B5" w:rsidRPr="001B4A02" w:rsidRDefault="00000000" w:rsidP="00ED48A3">
      <w:pPr>
        <w:numPr>
          <w:ilvl w:val="0"/>
          <w:numId w:val="76"/>
        </w:numPr>
        <w:tabs>
          <w:tab w:val="left" w:pos="0"/>
        </w:tabs>
        <w:ind w:right="-1" w:hanging="927"/>
        <w:rPr>
          <w:b/>
          <w:iCs/>
        </w:rPr>
      </w:pPr>
      <w:r w:rsidRPr="001B4A02">
        <w:rPr>
          <w:b/>
          <w:iCs/>
        </w:rPr>
        <w:t>Plán řízení rizik (RMP)</w:t>
      </w:r>
    </w:p>
    <w:p w14:paraId="1773ABA2" w14:textId="77777777" w:rsidR="00A469B5" w:rsidRPr="001B4A02" w:rsidRDefault="00A469B5" w:rsidP="00ED48A3">
      <w:pPr>
        <w:tabs>
          <w:tab w:val="left" w:pos="0"/>
        </w:tabs>
        <w:ind w:right="-1"/>
        <w:rPr>
          <w:iCs/>
        </w:rPr>
      </w:pPr>
    </w:p>
    <w:p w14:paraId="4B8C1176" w14:textId="77777777" w:rsidR="00A469B5" w:rsidRPr="001B4A02" w:rsidRDefault="00000000" w:rsidP="00ED48A3">
      <w:pPr>
        <w:tabs>
          <w:tab w:val="left" w:pos="0"/>
        </w:tabs>
        <w:ind w:left="0" w:right="-1" w:firstLine="0"/>
        <w:rPr>
          <w:iCs/>
        </w:rPr>
      </w:pPr>
      <w:r w:rsidRPr="001B4A02">
        <w:rPr>
          <w:iCs/>
        </w:rPr>
        <w:t xml:space="preserve">Držitel rozhodnutí o registraci </w:t>
      </w:r>
      <w:r w:rsidR="00D2183E">
        <w:rPr>
          <w:iCs/>
        </w:rPr>
        <w:t xml:space="preserve">(MAH) </w:t>
      </w:r>
      <w:r w:rsidRPr="001B4A02">
        <w:rPr>
          <w:iCs/>
        </w:rPr>
        <w:t>uskuteční požadované činnosti</w:t>
      </w:r>
      <w:r w:rsidR="002378E0">
        <w:rPr>
          <w:iCs/>
        </w:rPr>
        <w:t xml:space="preserve"> a </w:t>
      </w:r>
      <w:r w:rsidRPr="001B4A02">
        <w:rPr>
          <w:iCs/>
        </w:rPr>
        <w:t>intervence v oblasti farmakovigilance podrobně popsané ve schváleném RMP uvedeném v</w:t>
      </w:r>
      <w:r w:rsidR="005C0B4E" w:rsidRPr="001B4A02">
        <w:rPr>
          <w:iCs/>
        </w:rPr>
        <w:t> </w:t>
      </w:r>
      <w:r w:rsidRPr="001B4A02">
        <w:rPr>
          <w:iCs/>
        </w:rPr>
        <w:t>modulu 1.8.2 registrace</w:t>
      </w:r>
      <w:r w:rsidR="002378E0">
        <w:rPr>
          <w:iCs/>
        </w:rPr>
        <w:t xml:space="preserve"> a </w:t>
      </w:r>
      <w:r w:rsidRPr="001B4A02">
        <w:rPr>
          <w:iCs/>
        </w:rPr>
        <w:t>veškerých schválených následných aktualizací RMP.</w:t>
      </w:r>
    </w:p>
    <w:p w14:paraId="5786AAC4" w14:textId="77777777" w:rsidR="00A469B5" w:rsidRPr="001B4A02" w:rsidRDefault="00A469B5" w:rsidP="00ED48A3">
      <w:pPr>
        <w:tabs>
          <w:tab w:val="left" w:pos="0"/>
        </w:tabs>
        <w:ind w:right="-1"/>
        <w:rPr>
          <w:iCs/>
        </w:rPr>
      </w:pPr>
    </w:p>
    <w:p w14:paraId="6452054E" w14:textId="77777777" w:rsidR="00D2183E" w:rsidRPr="006B4557" w:rsidRDefault="00000000" w:rsidP="00D2183E">
      <w:pPr>
        <w:pStyle w:val="Normln1"/>
        <w:spacing w:line="240" w:lineRule="auto"/>
        <w:ind w:right="-1"/>
        <w:rPr>
          <w:iCs/>
          <w:noProof/>
          <w:szCs w:val="22"/>
        </w:rPr>
      </w:pPr>
      <w:r>
        <w:t>Aktualizovaný RMP je třeba předložit:</w:t>
      </w:r>
    </w:p>
    <w:p w14:paraId="39A274F3" w14:textId="77777777" w:rsidR="00A469B5" w:rsidRPr="001B4A02" w:rsidRDefault="00000000" w:rsidP="00ED48A3">
      <w:pPr>
        <w:numPr>
          <w:ilvl w:val="0"/>
          <w:numId w:val="76"/>
        </w:numPr>
        <w:tabs>
          <w:tab w:val="left" w:pos="0"/>
        </w:tabs>
        <w:ind w:left="567" w:right="-1" w:hanging="284"/>
        <w:rPr>
          <w:iCs/>
        </w:rPr>
      </w:pPr>
      <w:r w:rsidRPr="001B4A02">
        <w:rPr>
          <w:iCs/>
        </w:rPr>
        <w:t>na žádost Evropské agentury pro léčivé přípravky,</w:t>
      </w:r>
    </w:p>
    <w:p w14:paraId="286D7288" w14:textId="77777777" w:rsidR="00A469B5" w:rsidRPr="001B4A02" w:rsidRDefault="00000000" w:rsidP="00ED48A3">
      <w:pPr>
        <w:numPr>
          <w:ilvl w:val="0"/>
          <w:numId w:val="76"/>
        </w:numPr>
        <w:tabs>
          <w:tab w:val="left" w:pos="0"/>
        </w:tabs>
        <w:ind w:left="567" w:right="-1" w:hanging="284"/>
        <w:rPr>
          <w:iCs/>
        </w:rPr>
      </w:pPr>
      <w:r w:rsidRPr="001B4A02">
        <w:rPr>
          <w:iCs/>
        </w:rPr>
        <w:t>při každé změně systému řízení rizik, zejména v důsledku obdržení nových informací, které mohou vést k významným změnám poměru přínosů</w:t>
      </w:r>
      <w:r w:rsidR="002378E0">
        <w:rPr>
          <w:iCs/>
        </w:rPr>
        <w:t xml:space="preserve"> a </w:t>
      </w:r>
      <w:r w:rsidRPr="001B4A02">
        <w:rPr>
          <w:iCs/>
        </w:rPr>
        <w:t>rizik, nebo z důvodu dosažení význačného milníku (v</w:t>
      </w:r>
      <w:r w:rsidR="000447EA">
        <w:rPr>
          <w:iCs/>
        </w:rPr>
        <w:t> </w:t>
      </w:r>
      <w:r w:rsidRPr="001B4A02">
        <w:rPr>
          <w:iCs/>
        </w:rPr>
        <w:t>rámci farmakovigilance nebo minimalizace rizik).</w:t>
      </w:r>
    </w:p>
    <w:p w14:paraId="09CFA699" w14:textId="77777777" w:rsidR="00A469B5" w:rsidRPr="001B4A02" w:rsidRDefault="00A469B5" w:rsidP="00ED48A3">
      <w:pPr>
        <w:tabs>
          <w:tab w:val="left" w:pos="0"/>
        </w:tabs>
        <w:ind w:right="-1"/>
        <w:rPr>
          <w:iCs/>
        </w:rPr>
      </w:pPr>
    </w:p>
    <w:p w14:paraId="7E36F13A" w14:textId="77777777" w:rsidR="00A469B5" w:rsidRPr="001B4A02" w:rsidRDefault="00000000" w:rsidP="00ED48A3">
      <w:pPr>
        <w:numPr>
          <w:ilvl w:val="0"/>
          <w:numId w:val="76"/>
        </w:numPr>
        <w:tabs>
          <w:tab w:val="left" w:pos="0"/>
        </w:tabs>
        <w:ind w:right="-1" w:hanging="927"/>
        <w:rPr>
          <w:b/>
          <w:iCs/>
        </w:rPr>
      </w:pPr>
      <w:r w:rsidRPr="001B4A02">
        <w:rPr>
          <w:b/>
          <w:iCs/>
        </w:rPr>
        <w:t>Další opatření k minimalizaci rizik</w:t>
      </w:r>
    </w:p>
    <w:p w14:paraId="1CD14060" w14:textId="77777777" w:rsidR="00A469B5" w:rsidRPr="001B4A02" w:rsidRDefault="00A469B5" w:rsidP="00ED48A3">
      <w:pPr>
        <w:tabs>
          <w:tab w:val="left" w:pos="0"/>
        </w:tabs>
        <w:ind w:right="-1"/>
        <w:rPr>
          <w:iCs/>
        </w:rPr>
      </w:pPr>
    </w:p>
    <w:p w14:paraId="229F518F" w14:textId="77777777" w:rsidR="00073F8F" w:rsidRPr="001B4A02" w:rsidRDefault="00000000" w:rsidP="00ED48A3">
      <w:pPr>
        <w:pStyle w:val="EMEANormal"/>
        <w:tabs>
          <w:tab w:val="clear" w:pos="562"/>
        </w:tabs>
        <w:suppressAutoHyphens w:val="0"/>
        <w:rPr>
          <w:bCs/>
          <w:lang w:val="cs-CZ"/>
        </w:rPr>
      </w:pPr>
      <w:r>
        <w:rPr>
          <w:bCs/>
          <w:lang w:val="cs-CZ"/>
        </w:rPr>
        <w:t xml:space="preserve">Informační kartička </w:t>
      </w:r>
      <w:r w:rsidR="0085501C">
        <w:rPr>
          <w:bCs/>
          <w:lang w:val="cs-CZ"/>
        </w:rPr>
        <w:t>(pro dospělého i dětského pacienta) obsahuje následující důležité části:</w:t>
      </w:r>
    </w:p>
    <w:p w14:paraId="550894A5" w14:textId="77777777" w:rsidR="00073F8F" w:rsidRPr="001B4A02" w:rsidRDefault="00073F8F" w:rsidP="00ED48A3">
      <w:pPr>
        <w:pStyle w:val="EMEANormal"/>
        <w:tabs>
          <w:tab w:val="clear" w:pos="562"/>
        </w:tabs>
        <w:suppressAutoHyphens w:val="0"/>
        <w:rPr>
          <w:bCs/>
          <w:lang w:val="cs-CZ"/>
        </w:rPr>
      </w:pPr>
    </w:p>
    <w:p w14:paraId="453B5289" w14:textId="77777777" w:rsidR="00073F8F" w:rsidRPr="001B4A02" w:rsidRDefault="00000000" w:rsidP="0067453A">
      <w:pPr>
        <w:pStyle w:val="EMEANormal"/>
        <w:numPr>
          <w:ilvl w:val="0"/>
          <w:numId w:val="270"/>
        </w:numPr>
        <w:tabs>
          <w:tab w:val="clear" w:pos="562"/>
        </w:tabs>
        <w:suppressAutoHyphens w:val="0"/>
        <w:ind w:left="567" w:hanging="567"/>
        <w:rPr>
          <w:bCs/>
          <w:lang w:val="cs-CZ"/>
        </w:rPr>
      </w:pPr>
      <w:r w:rsidRPr="001B4A02">
        <w:rPr>
          <w:bCs/>
          <w:lang w:val="cs-CZ"/>
        </w:rPr>
        <w:t>infekc</w:t>
      </w:r>
      <w:r w:rsidR="0085501C">
        <w:rPr>
          <w:bCs/>
          <w:lang w:val="cs-CZ"/>
        </w:rPr>
        <w:t>e</w:t>
      </w:r>
      <w:r w:rsidRPr="001B4A02">
        <w:rPr>
          <w:bCs/>
          <w:lang w:val="cs-CZ"/>
        </w:rPr>
        <w:t xml:space="preserve">, </w:t>
      </w:r>
      <w:r w:rsidR="0085501C">
        <w:rPr>
          <w:bCs/>
          <w:lang w:val="cs-CZ"/>
        </w:rPr>
        <w:t>včetně</w:t>
      </w:r>
      <w:r w:rsidRPr="001B4A02">
        <w:rPr>
          <w:bCs/>
          <w:lang w:val="cs-CZ"/>
        </w:rPr>
        <w:t xml:space="preserve"> tuberkulózy </w:t>
      </w:r>
    </w:p>
    <w:p w14:paraId="0FDA2E62" w14:textId="77777777" w:rsidR="00073F8F" w:rsidRPr="001B4A02" w:rsidRDefault="00000000" w:rsidP="0067453A">
      <w:pPr>
        <w:pStyle w:val="EMEANormal"/>
        <w:numPr>
          <w:ilvl w:val="0"/>
          <w:numId w:val="270"/>
        </w:numPr>
        <w:tabs>
          <w:tab w:val="clear" w:pos="562"/>
        </w:tabs>
        <w:suppressAutoHyphens w:val="0"/>
        <w:ind w:left="567" w:hanging="567"/>
        <w:rPr>
          <w:bCs/>
          <w:lang w:val="cs-CZ"/>
        </w:rPr>
      </w:pPr>
      <w:r>
        <w:rPr>
          <w:bCs/>
          <w:lang w:val="cs-CZ"/>
        </w:rPr>
        <w:t>rakovina</w:t>
      </w:r>
    </w:p>
    <w:p w14:paraId="40322C8F" w14:textId="77777777" w:rsidR="00073F8F" w:rsidRPr="001B4A02" w:rsidRDefault="00000000" w:rsidP="0067453A">
      <w:pPr>
        <w:pStyle w:val="EMEANormal"/>
        <w:numPr>
          <w:ilvl w:val="0"/>
          <w:numId w:val="270"/>
        </w:numPr>
        <w:tabs>
          <w:tab w:val="clear" w:pos="562"/>
        </w:tabs>
        <w:suppressAutoHyphens w:val="0"/>
        <w:ind w:left="567" w:hanging="567"/>
        <w:rPr>
          <w:bCs/>
          <w:lang w:val="cs-CZ"/>
        </w:rPr>
      </w:pPr>
      <w:r>
        <w:rPr>
          <w:bCs/>
          <w:lang w:val="cs-CZ"/>
        </w:rPr>
        <w:t xml:space="preserve">problémy </w:t>
      </w:r>
      <w:r w:rsidRPr="001B4A02">
        <w:rPr>
          <w:bCs/>
          <w:lang w:val="cs-CZ"/>
        </w:rPr>
        <w:t>nervového systému</w:t>
      </w:r>
    </w:p>
    <w:p w14:paraId="5FE44450" w14:textId="77777777" w:rsidR="00073F8F" w:rsidRPr="001B4A02" w:rsidRDefault="00000000" w:rsidP="0067453A">
      <w:pPr>
        <w:pStyle w:val="EMEANormal"/>
        <w:numPr>
          <w:ilvl w:val="0"/>
          <w:numId w:val="270"/>
        </w:numPr>
        <w:tabs>
          <w:tab w:val="clear" w:pos="562"/>
        </w:tabs>
        <w:suppressAutoHyphens w:val="0"/>
        <w:ind w:left="567" w:hanging="567"/>
        <w:rPr>
          <w:bCs/>
          <w:lang w:val="cs-CZ"/>
        </w:rPr>
      </w:pPr>
      <w:r>
        <w:rPr>
          <w:bCs/>
          <w:lang w:val="cs-CZ"/>
        </w:rPr>
        <w:t>očkování</w:t>
      </w:r>
    </w:p>
    <w:p w14:paraId="531D8D26" w14:textId="77777777" w:rsidR="008E495E" w:rsidRPr="001B4A02" w:rsidRDefault="008E495E" w:rsidP="00ED48A3">
      <w:pPr>
        <w:numPr>
          <w:ilvl w:val="12"/>
          <w:numId w:val="0"/>
        </w:numPr>
      </w:pPr>
    </w:p>
    <w:p w14:paraId="2FBCCDB6" w14:textId="77777777" w:rsidR="00073F8F" w:rsidRPr="001B4A02" w:rsidRDefault="00000000" w:rsidP="00D427E8">
      <w:pPr>
        <w:ind w:left="0" w:firstLine="0"/>
        <w:jc w:val="center"/>
        <w:rPr>
          <w:b/>
        </w:rPr>
      </w:pPr>
      <w:r w:rsidRPr="001B4A02">
        <w:rPr>
          <w:b/>
        </w:rPr>
        <w:br w:type="page"/>
      </w:r>
    </w:p>
    <w:p w14:paraId="792C8FF6" w14:textId="77777777" w:rsidR="00073F8F" w:rsidRPr="001B4A02" w:rsidRDefault="00073F8F" w:rsidP="00D427E8">
      <w:pPr>
        <w:ind w:left="0" w:firstLine="0"/>
        <w:jc w:val="center"/>
        <w:rPr>
          <w:b/>
        </w:rPr>
      </w:pPr>
    </w:p>
    <w:p w14:paraId="3D9BD032" w14:textId="77777777" w:rsidR="00073F8F" w:rsidRPr="001B4A02" w:rsidRDefault="00073F8F" w:rsidP="00D427E8">
      <w:pPr>
        <w:ind w:left="0" w:firstLine="0"/>
        <w:jc w:val="center"/>
        <w:rPr>
          <w:b/>
        </w:rPr>
      </w:pPr>
    </w:p>
    <w:p w14:paraId="1D8EE383" w14:textId="77777777" w:rsidR="00073F8F" w:rsidRPr="001B4A02" w:rsidRDefault="00073F8F" w:rsidP="00D427E8">
      <w:pPr>
        <w:ind w:left="0" w:firstLine="0"/>
        <w:jc w:val="center"/>
        <w:rPr>
          <w:b/>
        </w:rPr>
      </w:pPr>
    </w:p>
    <w:p w14:paraId="0DBAC7CC" w14:textId="77777777" w:rsidR="00073F8F" w:rsidRPr="001B4A02" w:rsidRDefault="00073F8F" w:rsidP="00D427E8">
      <w:pPr>
        <w:ind w:left="0" w:firstLine="0"/>
        <w:jc w:val="center"/>
        <w:rPr>
          <w:b/>
        </w:rPr>
      </w:pPr>
    </w:p>
    <w:p w14:paraId="518FA138" w14:textId="77777777" w:rsidR="00073F8F" w:rsidRPr="001B4A02" w:rsidRDefault="00073F8F" w:rsidP="00D427E8">
      <w:pPr>
        <w:ind w:left="0" w:firstLine="0"/>
        <w:jc w:val="center"/>
        <w:rPr>
          <w:b/>
        </w:rPr>
      </w:pPr>
    </w:p>
    <w:p w14:paraId="0E28BF75" w14:textId="77777777" w:rsidR="00073F8F" w:rsidRPr="001B4A02" w:rsidRDefault="00073F8F" w:rsidP="00D427E8">
      <w:pPr>
        <w:ind w:left="0" w:firstLine="0"/>
        <w:jc w:val="center"/>
        <w:rPr>
          <w:b/>
        </w:rPr>
      </w:pPr>
    </w:p>
    <w:p w14:paraId="4C45A460" w14:textId="77777777" w:rsidR="00073F8F" w:rsidRPr="001B4A02" w:rsidRDefault="00073F8F" w:rsidP="00D427E8">
      <w:pPr>
        <w:ind w:left="0" w:firstLine="0"/>
        <w:jc w:val="center"/>
        <w:rPr>
          <w:b/>
        </w:rPr>
      </w:pPr>
    </w:p>
    <w:p w14:paraId="26BFCB8C" w14:textId="77777777" w:rsidR="00073F8F" w:rsidRPr="001B4A02" w:rsidRDefault="00073F8F" w:rsidP="00D427E8">
      <w:pPr>
        <w:ind w:left="0" w:firstLine="0"/>
        <w:jc w:val="center"/>
        <w:rPr>
          <w:b/>
        </w:rPr>
      </w:pPr>
    </w:p>
    <w:p w14:paraId="26F07714" w14:textId="77777777" w:rsidR="00073F8F" w:rsidRPr="001B4A02" w:rsidRDefault="00073F8F" w:rsidP="00D427E8">
      <w:pPr>
        <w:ind w:left="0" w:firstLine="0"/>
        <w:jc w:val="center"/>
        <w:rPr>
          <w:b/>
        </w:rPr>
      </w:pPr>
    </w:p>
    <w:p w14:paraId="7214FD19" w14:textId="77777777" w:rsidR="00073F8F" w:rsidRPr="001B4A02" w:rsidRDefault="00073F8F" w:rsidP="00D427E8">
      <w:pPr>
        <w:ind w:left="0" w:firstLine="0"/>
        <w:jc w:val="center"/>
        <w:rPr>
          <w:b/>
        </w:rPr>
      </w:pPr>
    </w:p>
    <w:p w14:paraId="2A3EA92F" w14:textId="77777777" w:rsidR="00073F8F" w:rsidRPr="001B4A02" w:rsidRDefault="00073F8F" w:rsidP="00D427E8">
      <w:pPr>
        <w:ind w:left="0" w:firstLine="0"/>
        <w:jc w:val="center"/>
        <w:rPr>
          <w:b/>
        </w:rPr>
      </w:pPr>
    </w:p>
    <w:p w14:paraId="40ED48B7" w14:textId="77777777" w:rsidR="00073F8F" w:rsidRPr="001B4A02" w:rsidRDefault="00073F8F" w:rsidP="00D427E8">
      <w:pPr>
        <w:ind w:left="0" w:firstLine="0"/>
        <w:jc w:val="center"/>
        <w:rPr>
          <w:b/>
        </w:rPr>
      </w:pPr>
    </w:p>
    <w:p w14:paraId="6A0B69BF" w14:textId="77777777" w:rsidR="00073F8F" w:rsidRPr="001B4A02" w:rsidRDefault="00073F8F" w:rsidP="00D427E8">
      <w:pPr>
        <w:ind w:left="0" w:firstLine="0"/>
        <w:jc w:val="center"/>
        <w:rPr>
          <w:b/>
        </w:rPr>
      </w:pPr>
    </w:p>
    <w:p w14:paraId="52E4B959" w14:textId="77777777" w:rsidR="00073F8F" w:rsidRPr="001B4A02" w:rsidRDefault="00073F8F" w:rsidP="00D427E8">
      <w:pPr>
        <w:ind w:left="0" w:firstLine="0"/>
        <w:jc w:val="center"/>
        <w:rPr>
          <w:b/>
        </w:rPr>
      </w:pPr>
    </w:p>
    <w:p w14:paraId="2BA779EE" w14:textId="77777777" w:rsidR="00073F8F" w:rsidRPr="001B4A02" w:rsidRDefault="00073F8F" w:rsidP="00D427E8">
      <w:pPr>
        <w:ind w:left="0" w:firstLine="0"/>
        <w:jc w:val="center"/>
        <w:rPr>
          <w:b/>
        </w:rPr>
      </w:pPr>
    </w:p>
    <w:p w14:paraId="52FD56D5" w14:textId="77777777" w:rsidR="00073F8F" w:rsidRPr="001B4A02" w:rsidRDefault="00073F8F" w:rsidP="00D427E8">
      <w:pPr>
        <w:ind w:left="0" w:firstLine="0"/>
        <w:jc w:val="center"/>
        <w:rPr>
          <w:b/>
        </w:rPr>
      </w:pPr>
    </w:p>
    <w:p w14:paraId="5BF90C22" w14:textId="77777777" w:rsidR="00073F8F" w:rsidRDefault="00073F8F" w:rsidP="00D427E8">
      <w:pPr>
        <w:ind w:left="0" w:firstLine="0"/>
        <w:jc w:val="center"/>
        <w:rPr>
          <w:b/>
        </w:rPr>
      </w:pPr>
    </w:p>
    <w:p w14:paraId="7C535D9F" w14:textId="77777777" w:rsidR="009D158B" w:rsidRPr="001B4A02" w:rsidRDefault="009D158B" w:rsidP="00D427E8">
      <w:pPr>
        <w:ind w:left="0" w:firstLine="0"/>
        <w:jc w:val="center"/>
        <w:rPr>
          <w:b/>
        </w:rPr>
      </w:pPr>
    </w:p>
    <w:p w14:paraId="253BA4D5" w14:textId="77777777" w:rsidR="00073F8F" w:rsidRPr="001B4A02" w:rsidRDefault="00073F8F" w:rsidP="00D427E8">
      <w:pPr>
        <w:ind w:left="0" w:firstLine="0"/>
        <w:jc w:val="center"/>
        <w:rPr>
          <w:b/>
        </w:rPr>
      </w:pPr>
    </w:p>
    <w:p w14:paraId="7C2F53D2" w14:textId="77777777" w:rsidR="00073F8F" w:rsidRPr="001B4A02" w:rsidRDefault="00073F8F" w:rsidP="00D427E8">
      <w:pPr>
        <w:ind w:left="0" w:firstLine="0"/>
        <w:jc w:val="center"/>
        <w:rPr>
          <w:b/>
        </w:rPr>
      </w:pPr>
    </w:p>
    <w:p w14:paraId="3EAF9454" w14:textId="77777777" w:rsidR="00073F8F" w:rsidRPr="001B4A02" w:rsidRDefault="00073F8F" w:rsidP="00D427E8">
      <w:pPr>
        <w:ind w:left="0" w:firstLine="0"/>
        <w:jc w:val="center"/>
        <w:rPr>
          <w:b/>
        </w:rPr>
      </w:pPr>
    </w:p>
    <w:p w14:paraId="70DA29DD" w14:textId="77777777" w:rsidR="00073F8F" w:rsidRPr="001B4A02" w:rsidRDefault="00073F8F" w:rsidP="00D427E8">
      <w:pPr>
        <w:ind w:left="0" w:firstLine="0"/>
        <w:jc w:val="center"/>
        <w:rPr>
          <w:b/>
        </w:rPr>
      </w:pPr>
    </w:p>
    <w:p w14:paraId="7C84EAD5" w14:textId="77777777" w:rsidR="00073F8F" w:rsidRPr="001B4A02" w:rsidRDefault="00073F8F" w:rsidP="00D427E8">
      <w:pPr>
        <w:ind w:left="0" w:firstLine="0"/>
        <w:jc w:val="center"/>
        <w:rPr>
          <w:b/>
        </w:rPr>
      </w:pPr>
    </w:p>
    <w:p w14:paraId="1231EEC8" w14:textId="77777777" w:rsidR="00073F8F" w:rsidRPr="001B4A02" w:rsidRDefault="00000000" w:rsidP="00ED48A3">
      <w:pPr>
        <w:ind w:left="0" w:firstLine="0"/>
        <w:jc w:val="center"/>
        <w:outlineLvl w:val="0"/>
        <w:rPr>
          <w:b/>
        </w:rPr>
      </w:pPr>
      <w:r w:rsidRPr="001B4A02">
        <w:rPr>
          <w:b/>
        </w:rPr>
        <w:t>PŘÍLOHA III</w:t>
      </w:r>
    </w:p>
    <w:p w14:paraId="20A23CCF" w14:textId="77777777" w:rsidR="00073F8F" w:rsidRPr="001B4A02" w:rsidRDefault="00073F8F" w:rsidP="00ED48A3">
      <w:pPr>
        <w:jc w:val="center"/>
        <w:rPr>
          <w:b/>
        </w:rPr>
      </w:pPr>
    </w:p>
    <w:p w14:paraId="0B0395FD" w14:textId="77777777" w:rsidR="00073F8F" w:rsidRPr="001B4A02" w:rsidRDefault="00000000" w:rsidP="0009084E">
      <w:pPr>
        <w:ind w:left="0" w:firstLine="0"/>
        <w:jc w:val="center"/>
        <w:rPr>
          <w:b/>
        </w:rPr>
      </w:pPr>
      <w:r w:rsidRPr="001B4A02">
        <w:rPr>
          <w:b/>
        </w:rPr>
        <w:t>OZNAČENÍ NA OBALU A PŘÍBALOVÁ INFORMACE</w:t>
      </w:r>
    </w:p>
    <w:p w14:paraId="239DB4A6" w14:textId="77777777" w:rsidR="00073F8F" w:rsidRPr="001B4A02" w:rsidRDefault="00000000" w:rsidP="00ED48A3">
      <w:pPr>
        <w:ind w:left="0" w:firstLine="0"/>
      </w:pPr>
      <w:r w:rsidRPr="001B4A02">
        <w:br w:type="page"/>
      </w:r>
    </w:p>
    <w:p w14:paraId="7427FE72" w14:textId="77777777" w:rsidR="00073F8F" w:rsidRPr="001B4A02" w:rsidRDefault="00073F8F" w:rsidP="00ED48A3">
      <w:pPr>
        <w:ind w:left="0" w:firstLine="0"/>
      </w:pPr>
    </w:p>
    <w:p w14:paraId="3D5959D2" w14:textId="77777777" w:rsidR="00073F8F" w:rsidRPr="001B4A02" w:rsidRDefault="00073F8F" w:rsidP="00ED48A3">
      <w:pPr>
        <w:ind w:left="0" w:firstLine="0"/>
      </w:pPr>
    </w:p>
    <w:p w14:paraId="27D79140" w14:textId="77777777" w:rsidR="00073F8F" w:rsidRPr="001B4A02" w:rsidRDefault="00073F8F" w:rsidP="00ED48A3">
      <w:pPr>
        <w:ind w:left="0" w:firstLine="0"/>
      </w:pPr>
    </w:p>
    <w:p w14:paraId="13EC146D" w14:textId="77777777" w:rsidR="00073F8F" w:rsidRPr="001B4A02" w:rsidRDefault="00073F8F" w:rsidP="00ED48A3">
      <w:pPr>
        <w:ind w:left="0" w:firstLine="0"/>
      </w:pPr>
    </w:p>
    <w:p w14:paraId="62D85AB5" w14:textId="77777777" w:rsidR="00073F8F" w:rsidRPr="001B4A02" w:rsidRDefault="00073F8F" w:rsidP="00ED48A3">
      <w:pPr>
        <w:ind w:left="0" w:firstLine="0"/>
      </w:pPr>
    </w:p>
    <w:p w14:paraId="211CCC0A" w14:textId="77777777" w:rsidR="00073F8F" w:rsidRPr="001B4A02" w:rsidRDefault="00073F8F" w:rsidP="00ED48A3">
      <w:pPr>
        <w:ind w:left="0" w:firstLine="0"/>
      </w:pPr>
    </w:p>
    <w:p w14:paraId="68CC5FE4" w14:textId="77777777" w:rsidR="00073F8F" w:rsidRPr="001B4A02" w:rsidRDefault="00073F8F" w:rsidP="00ED48A3">
      <w:pPr>
        <w:ind w:left="0" w:firstLine="0"/>
      </w:pPr>
    </w:p>
    <w:p w14:paraId="038799E1" w14:textId="77777777" w:rsidR="00073F8F" w:rsidRPr="001B4A02" w:rsidRDefault="00073F8F" w:rsidP="00ED48A3">
      <w:pPr>
        <w:ind w:left="0" w:firstLine="0"/>
      </w:pPr>
    </w:p>
    <w:p w14:paraId="0426FD5F" w14:textId="77777777" w:rsidR="00073F8F" w:rsidRPr="001B4A02" w:rsidRDefault="00073F8F" w:rsidP="00ED48A3">
      <w:pPr>
        <w:ind w:left="0" w:firstLine="0"/>
      </w:pPr>
    </w:p>
    <w:p w14:paraId="66D2D491" w14:textId="77777777" w:rsidR="00073F8F" w:rsidRPr="001B4A02" w:rsidRDefault="00073F8F" w:rsidP="00ED48A3">
      <w:pPr>
        <w:ind w:left="0" w:firstLine="0"/>
      </w:pPr>
    </w:p>
    <w:p w14:paraId="41319B36" w14:textId="77777777" w:rsidR="00073F8F" w:rsidRPr="001B4A02" w:rsidRDefault="00073F8F" w:rsidP="00ED48A3">
      <w:pPr>
        <w:ind w:left="0" w:firstLine="0"/>
      </w:pPr>
    </w:p>
    <w:p w14:paraId="271C4CF9" w14:textId="77777777" w:rsidR="00073F8F" w:rsidRPr="001B4A02" w:rsidRDefault="00073F8F" w:rsidP="00ED48A3"/>
    <w:p w14:paraId="03C1A495" w14:textId="77777777" w:rsidR="00073F8F" w:rsidRPr="001B4A02" w:rsidRDefault="00073F8F" w:rsidP="00ED48A3"/>
    <w:p w14:paraId="36D39D7B" w14:textId="77777777" w:rsidR="00073F8F" w:rsidRPr="001B4A02" w:rsidRDefault="00073F8F" w:rsidP="00ED48A3"/>
    <w:p w14:paraId="6F4D37BF" w14:textId="77777777" w:rsidR="00073F8F" w:rsidRDefault="00073F8F" w:rsidP="00ED48A3"/>
    <w:p w14:paraId="00607FD8" w14:textId="77777777" w:rsidR="009D158B" w:rsidRPr="001B4A02" w:rsidRDefault="009D158B" w:rsidP="00ED48A3"/>
    <w:p w14:paraId="111532DA" w14:textId="77777777" w:rsidR="00073F8F" w:rsidRPr="001B4A02" w:rsidRDefault="00073F8F" w:rsidP="00ED48A3"/>
    <w:p w14:paraId="754C7D35" w14:textId="77777777" w:rsidR="00073F8F" w:rsidRPr="001B4A02" w:rsidRDefault="00073F8F" w:rsidP="00ED48A3"/>
    <w:p w14:paraId="126C4250" w14:textId="77777777" w:rsidR="00073F8F" w:rsidRPr="001B4A02" w:rsidRDefault="00073F8F" w:rsidP="00ED48A3"/>
    <w:p w14:paraId="5E38BDDE" w14:textId="77777777" w:rsidR="00073F8F" w:rsidRPr="001B4A02" w:rsidRDefault="00073F8F" w:rsidP="00ED48A3"/>
    <w:p w14:paraId="41D8E070" w14:textId="77777777" w:rsidR="00073F8F" w:rsidRPr="001B4A02" w:rsidRDefault="00073F8F" w:rsidP="00ED48A3"/>
    <w:p w14:paraId="38270D04" w14:textId="77777777" w:rsidR="00073F8F" w:rsidRPr="001B4A02" w:rsidRDefault="00073F8F" w:rsidP="00ED48A3"/>
    <w:p w14:paraId="4D2B349C" w14:textId="77777777" w:rsidR="00073F8F" w:rsidRPr="001B4A02" w:rsidRDefault="00073F8F" w:rsidP="00ED48A3"/>
    <w:p w14:paraId="0D8E1C91" w14:textId="77777777" w:rsidR="00073F8F" w:rsidRPr="001B4A02" w:rsidRDefault="00000000" w:rsidP="00ED48A3">
      <w:pPr>
        <w:pStyle w:val="BMCENTRED"/>
      </w:pPr>
      <w:r w:rsidRPr="001B4A02">
        <w:t>A. OZNAČENÍ NA OBALU</w:t>
      </w:r>
    </w:p>
    <w:p w14:paraId="1FEA9CA0" w14:textId="77777777" w:rsidR="00934FD3" w:rsidRPr="001B4A02" w:rsidRDefault="00000000" w:rsidP="00934FD3">
      <w:r w:rsidRPr="001B4A0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DFD9CB6" w14:textId="77777777" w:rsidTr="00B73639">
        <w:tc>
          <w:tcPr>
            <w:tcW w:w="9287" w:type="dxa"/>
          </w:tcPr>
          <w:p w14:paraId="06877793" w14:textId="77777777" w:rsidR="00934FD3" w:rsidRPr="001B4A02" w:rsidRDefault="00000000" w:rsidP="00934FD3">
            <w:pPr>
              <w:ind w:left="0" w:firstLine="0"/>
              <w:rPr>
                <w:b/>
              </w:rPr>
            </w:pPr>
            <w:r w:rsidRPr="001B4A02">
              <w:rPr>
                <w:b/>
                <w:u w:val="single"/>
              </w:rPr>
              <w:br w:type="page"/>
            </w:r>
            <w:r w:rsidRPr="001B4A02">
              <w:rPr>
                <w:b/>
              </w:rPr>
              <w:t>ÚDAJE UVÁDĚNÉ NA VNĚJŠÍM OBALU</w:t>
            </w:r>
          </w:p>
          <w:p w14:paraId="160306E4" w14:textId="77777777" w:rsidR="00934FD3" w:rsidRPr="001B4A02" w:rsidRDefault="00934FD3" w:rsidP="00934FD3">
            <w:pPr>
              <w:rPr>
                <w:b/>
              </w:rPr>
            </w:pPr>
          </w:p>
          <w:p w14:paraId="0D2C0D0E" w14:textId="77777777" w:rsidR="00934FD3" w:rsidRPr="001B4A02" w:rsidRDefault="00000000" w:rsidP="00934FD3">
            <w:pPr>
              <w:rPr>
                <w:b/>
                <w:caps/>
              </w:rPr>
            </w:pPr>
            <w:r w:rsidRPr="001B4A02">
              <w:rPr>
                <w:b/>
                <w:caps/>
              </w:rPr>
              <w:t>Krabička</w:t>
            </w:r>
          </w:p>
        </w:tc>
      </w:tr>
    </w:tbl>
    <w:p w14:paraId="3571EF06" w14:textId="77777777" w:rsidR="00934FD3" w:rsidRPr="001B4A02" w:rsidRDefault="00934FD3" w:rsidP="00934FD3"/>
    <w:p w14:paraId="6EEB8B39"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575A852" w14:textId="77777777" w:rsidTr="007040EB">
        <w:tc>
          <w:tcPr>
            <w:tcW w:w="9287" w:type="dxa"/>
          </w:tcPr>
          <w:p w14:paraId="5D4905F0" w14:textId="77777777" w:rsidR="00DB71B8" w:rsidRPr="001B4A02" w:rsidRDefault="00000000" w:rsidP="007040EB">
            <w:pPr>
              <w:tabs>
                <w:tab w:val="left" w:pos="142"/>
              </w:tabs>
              <w:rPr>
                <w:b/>
              </w:rPr>
            </w:pPr>
            <w:r w:rsidRPr="001B4A02">
              <w:rPr>
                <w:b/>
              </w:rPr>
              <w:t>1.</w:t>
            </w:r>
            <w:r w:rsidRPr="001B4A02">
              <w:rPr>
                <w:b/>
              </w:rPr>
              <w:tab/>
              <w:t>NÁZEV LÉČIVÉHO PŘÍPRAVKU</w:t>
            </w:r>
          </w:p>
        </w:tc>
      </w:tr>
    </w:tbl>
    <w:p w14:paraId="1DC72D5B" w14:textId="77777777" w:rsidR="00DB71B8" w:rsidRPr="001B4A02" w:rsidRDefault="00DB71B8" w:rsidP="00DB71B8"/>
    <w:p w14:paraId="7D23AE2F" w14:textId="77777777" w:rsidR="00DB71B8" w:rsidRPr="001B4A02" w:rsidRDefault="00000000" w:rsidP="004D0686">
      <w:pPr>
        <w:outlineLvl w:val="0"/>
      </w:pPr>
      <w:r w:rsidRPr="001B4A02">
        <w:t>Humira 20 mg injekční roztok v předplněné injekční stříkačce</w:t>
      </w:r>
    </w:p>
    <w:p w14:paraId="5CDE2EC5" w14:textId="77777777" w:rsidR="00DB71B8" w:rsidRPr="001B4A02" w:rsidRDefault="00000000" w:rsidP="00DB71B8">
      <w:r w:rsidRPr="001B4A02">
        <w:t>adalimumab</w:t>
      </w:r>
      <w:del w:id="8465" w:author="Abbvie02" w:date="2025-05-16T11:47:00Z">
        <w:r w:rsidRPr="001B4A02">
          <w:delText>um</w:delText>
        </w:r>
      </w:del>
    </w:p>
    <w:p w14:paraId="52B51268" w14:textId="77777777" w:rsidR="00DB71B8" w:rsidRPr="001B4A02" w:rsidRDefault="00DB71B8" w:rsidP="00DB71B8"/>
    <w:p w14:paraId="07900DA1"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D3B5E85" w14:textId="77777777" w:rsidTr="007040EB">
        <w:tc>
          <w:tcPr>
            <w:tcW w:w="9287" w:type="dxa"/>
          </w:tcPr>
          <w:p w14:paraId="3C6797E7" w14:textId="77777777" w:rsidR="00DB71B8" w:rsidRPr="001B4A02" w:rsidRDefault="00000000" w:rsidP="007040EB">
            <w:pPr>
              <w:tabs>
                <w:tab w:val="left" w:pos="142"/>
              </w:tabs>
              <w:rPr>
                <w:b/>
              </w:rPr>
            </w:pPr>
            <w:r w:rsidRPr="001B4A02">
              <w:rPr>
                <w:b/>
              </w:rPr>
              <w:t>2.</w:t>
            </w:r>
            <w:r w:rsidRPr="001B4A02">
              <w:rPr>
                <w:b/>
              </w:rPr>
              <w:tab/>
              <w:t>OBSAH LÉČIVÉ LÁTKY</w:t>
            </w:r>
          </w:p>
        </w:tc>
      </w:tr>
    </w:tbl>
    <w:p w14:paraId="19A5F9D9" w14:textId="77777777" w:rsidR="00DB71B8" w:rsidRPr="001B4A02" w:rsidRDefault="00DB71B8" w:rsidP="00DB71B8"/>
    <w:p w14:paraId="0F6EB21B" w14:textId="77777777" w:rsidR="00DB71B8" w:rsidRPr="001B4A02" w:rsidRDefault="00000000" w:rsidP="00DB71B8">
      <w:r w:rsidRPr="001B4A02">
        <w:t xml:space="preserve">Jedna 0,2ml předplněná injekční stříkačka obsahuje </w:t>
      </w:r>
      <w:del w:id="8466" w:author="Abbvie02" w:date="2025-05-16T11:48:00Z">
        <w:r w:rsidRPr="001B4A02">
          <w:delText xml:space="preserve">adalimumabum </w:delText>
        </w:r>
      </w:del>
      <w:r w:rsidRPr="001B4A02">
        <w:t>20</w:t>
      </w:r>
      <w:r w:rsidR="00874DE1">
        <w:t> mg</w:t>
      </w:r>
      <w:ins w:id="8467" w:author="Abbvie02" w:date="2025-05-16T11:48:00Z">
        <w:r w:rsidR="00BB1309" w:rsidRPr="00BB1309">
          <w:t xml:space="preserve"> </w:t>
        </w:r>
        <w:r w:rsidR="00BB1309" w:rsidRPr="001B4A02">
          <w:t>adalimumabu</w:t>
        </w:r>
      </w:ins>
      <w:r w:rsidRPr="001B4A02">
        <w:t>.</w:t>
      </w:r>
    </w:p>
    <w:p w14:paraId="24B37919" w14:textId="77777777" w:rsidR="00DB71B8" w:rsidRPr="001B4A02" w:rsidRDefault="00DB71B8" w:rsidP="00DB71B8"/>
    <w:p w14:paraId="14396BE8"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3006CD0" w14:textId="77777777" w:rsidTr="007040EB">
        <w:tc>
          <w:tcPr>
            <w:tcW w:w="9287" w:type="dxa"/>
          </w:tcPr>
          <w:p w14:paraId="79ED631E" w14:textId="77777777" w:rsidR="00DB71B8" w:rsidRPr="001B4A02" w:rsidRDefault="00000000" w:rsidP="007040EB">
            <w:pPr>
              <w:tabs>
                <w:tab w:val="left" w:pos="142"/>
              </w:tabs>
              <w:rPr>
                <w:b/>
              </w:rPr>
            </w:pPr>
            <w:r w:rsidRPr="001B4A02">
              <w:rPr>
                <w:b/>
              </w:rPr>
              <w:t>3.</w:t>
            </w:r>
            <w:r w:rsidRPr="001B4A02">
              <w:rPr>
                <w:b/>
              </w:rPr>
              <w:tab/>
              <w:t>SEZNAM POMOCNÝCH LÁTEK</w:t>
            </w:r>
          </w:p>
        </w:tc>
      </w:tr>
    </w:tbl>
    <w:p w14:paraId="625B253A" w14:textId="77777777" w:rsidR="00DB71B8" w:rsidRPr="001B4A02" w:rsidRDefault="00DB71B8" w:rsidP="00DB71B8"/>
    <w:p w14:paraId="5DB00EB7" w14:textId="77777777" w:rsidR="00DB71B8" w:rsidRPr="001B4A02" w:rsidRDefault="00000000" w:rsidP="00DB71B8">
      <w:pPr>
        <w:ind w:left="0" w:firstLine="0"/>
      </w:pPr>
      <w:r w:rsidRPr="001B4A02">
        <w:t>Pomocné látky: mannitol, polysorbát 80</w:t>
      </w:r>
      <w:r w:rsidR="002378E0">
        <w:t xml:space="preserve"> a </w:t>
      </w:r>
      <w:r w:rsidRPr="001B4A02">
        <w:t xml:space="preserve">voda </w:t>
      </w:r>
      <w:r w:rsidR="00202301" w:rsidRPr="001B4A02">
        <w:t>pro</w:t>
      </w:r>
      <w:r w:rsidRPr="001B4A02">
        <w:t xml:space="preserve"> injekci. Další informace naleznete v příbalové informaci.</w:t>
      </w:r>
    </w:p>
    <w:p w14:paraId="46316ADB" w14:textId="77777777" w:rsidR="00DB71B8" w:rsidRPr="001B4A02" w:rsidRDefault="00DB71B8" w:rsidP="00DB71B8"/>
    <w:p w14:paraId="70DD2E5E"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4AEE09D" w14:textId="77777777" w:rsidTr="007040EB">
        <w:tc>
          <w:tcPr>
            <w:tcW w:w="9287" w:type="dxa"/>
          </w:tcPr>
          <w:p w14:paraId="7048D20B" w14:textId="77777777" w:rsidR="00DB71B8" w:rsidRPr="001B4A02" w:rsidRDefault="00000000" w:rsidP="007040EB">
            <w:pPr>
              <w:tabs>
                <w:tab w:val="left" w:pos="142"/>
              </w:tabs>
              <w:rPr>
                <w:b/>
              </w:rPr>
            </w:pPr>
            <w:r w:rsidRPr="001B4A02">
              <w:rPr>
                <w:b/>
              </w:rPr>
              <w:t>4.</w:t>
            </w:r>
            <w:r w:rsidRPr="001B4A02">
              <w:rPr>
                <w:b/>
              </w:rPr>
              <w:tab/>
              <w:t>LÉKOVÁ FORMA A OBSAH BALENÍ</w:t>
            </w:r>
          </w:p>
        </w:tc>
      </w:tr>
    </w:tbl>
    <w:p w14:paraId="33EBC12D" w14:textId="77777777" w:rsidR="00DB71B8" w:rsidRPr="001B4A02" w:rsidRDefault="00DB71B8" w:rsidP="00DB71B8"/>
    <w:p w14:paraId="765EA287" w14:textId="77777777" w:rsidR="00DB71B8" w:rsidRPr="001B4A02" w:rsidRDefault="00000000" w:rsidP="00DB71B8">
      <w:r w:rsidRPr="001B4A02">
        <w:rPr>
          <w:szCs w:val="22"/>
          <w:highlight w:val="lightGray"/>
        </w:rPr>
        <w:t>Injekč</w:t>
      </w:r>
      <w:r w:rsidR="007760E0" w:rsidRPr="001B4A02">
        <w:rPr>
          <w:szCs w:val="22"/>
          <w:highlight w:val="lightGray"/>
        </w:rPr>
        <w:t>n</w:t>
      </w:r>
      <w:r w:rsidRPr="001B4A02">
        <w:rPr>
          <w:szCs w:val="22"/>
          <w:highlight w:val="lightGray"/>
        </w:rPr>
        <w:t>í roztok</w:t>
      </w:r>
    </w:p>
    <w:p w14:paraId="278E0450" w14:textId="77777777" w:rsidR="00DB71B8" w:rsidRPr="001B4A02" w:rsidRDefault="00000000" w:rsidP="00DB71B8">
      <w:r w:rsidRPr="001B4A02">
        <w:t>2 předplněné injekční stříkačky</w:t>
      </w:r>
    </w:p>
    <w:p w14:paraId="0E4840DD" w14:textId="77777777" w:rsidR="00DB71B8" w:rsidRPr="001B4A02" w:rsidRDefault="00000000" w:rsidP="00DB71B8">
      <w:r w:rsidRPr="001B4A02">
        <w:t>2 tamp</w:t>
      </w:r>
      <w:ins w:id="8468" w:author="Abbvie02" w:date="2025-05-16T12:25:00Z">
        <w:r w:rsidR="00576B2A">
          <w:t>o</w:t>
        </w:r>
      </w:ins>
      <w:del w:id="8469" w:author="Abbvie02" w:date="2025-05-16T12:25:00Z">
        <w:r w:rsidRPr="001B4A02">
          <w:delText>ó</w:delText>
        </w:r>
      </w:del>
      <w:r w:rsidRPr="001B4A02">
        <w:t>ny napuštěné alkoholem</w:t>
      </w:r>
    </w:p>
    <w:p w14:paraId="04ED22EC" w14:textId="77777777" w:rsidR="00DB71B8" w:rsidRPr="001B4A02" w:rsidRDefault="00DB71B8" w:rsidP="00DB71B8"/>
    <w:p w14:paraId="186179E6"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FABAAD7" w14:textId="77777777" w:rsidTr="007040EB">
        <w:tc>
          <w:tcPr>
            <w:tcW w:w="9287" w:type="dxa"/>
          </w:tcPr>
          <w:p w14:paraId="6E8E2EF0" w14:textId="77777777" w:rsidR="00DB71B8" w:rsidRPr="001B4A02" w:rsidRDefault="00000000" w:rsidP="007040EB">
            <w:pPr>
              <w:tabs>
                <w:tab w:val="left" w:pos="142"/>
              </w:tabs>
              <w:rPr>
                <w:b/>
              </w:rPr>
            </w:pPr>
            <w:r w:rsidRPr="001B4A02">
              <w:rPr>
                <w:b/>
              </w:rPr>
              <w:t>5.</w:t>
            </w:r>
            <w:r w:rsidRPr="001B4A02">
              <w:rPr>
                <w:b/>
              </w:rPr>
              <w:tab/>
              <w:t>ZPŮSOB A CESTA PODÁNÍ</w:t>
            </w:r>
          </w:p>
        </w:tc>
      </w:tr>
    </w:tbl>
    <w:p w14:paraId="57C5EB79" w14:textId="77777777" w:rsidR="00DB71B8" w:rsidRPr="001B4A02" w:rsidRDefault="00DB71B8" w:rsidP="00DB71B8"/>
    <w:p w14:paraId="5EE753FA" w14:textId="77777777" w:rsidR="00DB71B8" w:rsidRPr="001B4A02" w:rsidRDefault="00000000" w:rsidP="00DB71B8">
      <w:r w:rsidRPr="001B4A02">
        <w:t>Subkutánní podání</w:t>
      </w:r>
    </w:p>
    <w:p w14:paraId="6B8D818C" w14:textId="77777777" w:rsidR="00DB71B8" w:rsidRPr="001B4A02" w:rsidRDefault="00DB71B8" w:rsidP="00DB71B8"/>
    <w:p w14:paraId="2EAFCEFF" w14:textId="77777777" w:rsidR="00DB71B8" w:rsidRPr="001B4A02" w:rsidRDefault="00000000" w:rsidP="00DB71B8">
      <w:r w:rsidRPr="001B4A02">
        <w:t>Před použitím si přečtěte příbalovou informaci.</w:t>
      </w:r>
    </w:p>
    <w:p w14:paraId="29A4DF49" w14:textId="77777777" w:rsidR="00DB71B8" w:rsidRPr="001B4A02" w:rsidRDefault="00DB71B8" w:rsidP="00DB71B8"/>
    <w:p w14:paraId="3516B469" w14:textId="77777777" w:rsidR="00DB71B8" w:rsidRPr="001B4A02" w:rsidRDefault="00000000" w:rsidP="00DB71B8">
      <w:r w:rsidRPr="001B4A02">
        <w:t>Pouze k</w:t>
      </w:r>
      <w:r w:rsidR="003E79DF">
        <w:t> </w:t>
      </w:r>
      <w:r w:rsidRPr="001B4A02">
        <w:t>jednorázovému použití</w:t>
      </w:r>
      <w:r w:rsidR="004343F9" w:rsidRPr="001B4A02">
        <w:t>.</w:t>
      </w:r>
    </w:p>
    <w:p w14:paraId="4313DF29" w14:textId="77777777" w:rsidR="00DB71B8" w:rsidRPr="001B4A02" w:rsidRDefault="00DB71B8" w:rsidP="00DB71B8"/>
    <w:p w14:paraId="6C64F884" w14:textId="77777777" w:rsidR="00DB71B8" w:rsidRPr="001B4A02" w:rsidRDefault="00000000" w:rsidP="00DB71B8">
      <w:r w:rsidRPr="001B4A02">
        <w:t xml:space="preserve">Pro </w:t>
      </w:r>
      <w:r w:rsidR="00E01AD4" w:rsidRPr="001B4A02">
        <w:t xml:space="preserve">pediatrické </w:t>
      </w:r>
      <w:r w:rsidR="001B38C5" w:rsidRPr="001B4A02">
        <w:t>po</w:t>
      </w:r>
      <w:r w:rsidR="00E01AD4" w:rsidRPr="001B4A02">
        <w:t>užit</w:t>
      </w:r>
      <w:r w:rsidR="001B38C5" w:rsidRPr="001B4A02">
        <w:t>í</w:t>
      </w:r>
    </w:p>
    <w:p w14:paraId="789ECADF" w14:textId="77777777" w:rsidR="00DB71B8" w:rsidRPr="001B4A02" w:rsidRDefault="00DB71B8" w:rsidP="00DB71B8"/>
    <w:p w14:paraId="7ED9D501"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6FF2CA2" w14:textId="77777777" w:rsidTr="007040EB">
        <w:tc>
          <w:tcPr>
            <w:tcW w:w="9287" w:type="dxa"/>
          </w:tcPr>
          <w:p w14:paraId="05CD7B48" w14:textId="77777777" w:rsidR="00DB71B8" w:rsidRPr="001B4A02" w:rsidRDefault="00000000" w:rsidP="007040EB">
            <w:pPr>
              <w:tabs>
                <w:tab w:val="left" w:pos="142"/>
              </w:tabs>
              <w:rPr>
                <w:b/>
              </w:rPr>
            </w:pPr>
            <w:r w:rsidRPr="001B4A02">
              <w:rPr>
                <w:b/>
              </w:rPr>
              <w:t>6.</w:t>
            </w:r>
            <w:r w:rsidRPr="001B4A02">
              <w:rPr>
                <w:b/>
              </w:rPr>
              <w:tab/>
              <w:t>ZVLÁŠTNÍ UPOZORNĚNÍ, ŽE LÉČIVÝ PŘÍPRAVEK MUSÍ BÝT UCHOVÁVÁN MIMO DOHLED A DOSAH DĚTÍ</w:t>
            </w:r>
          </w:p>
        </w:tc>
      </w:tr>
    </w:tbl>
    <w:p w14:paraId="76601485" w14:textId="77777777" w:rsidR="00DB71B8" w:rsidRPr="001B4A02" w:rsidRDefault="00DB71B8" w:rsidP="00DB71B8"/>
    <w:p w14:paraId="5F003211" w14:textId="77777777" w:rsidR="00DB71B8" w:rsidRPr="001B4A02" w:rsidRDefault="00000000" w:rsidP="00DB71B8">
      <w:r w:rsidRPr="001B4A02">
        <w:t>Uchovávejte mimo dohled</w:t>
      </w:r>
      <w:r w:rsidR="002378E0">
        <w:t xml:space="preserve"> a </w:t>
      </w:r>
      <w:r w:rsidRPr="001B4A02">
        <w:t>dosah dětí.</w:t>
      </w:r>
    </w:p>
    <w:p w14:paraId="258DAAD7" w14:textId="77777777" w:rsidR="00DB71B8" w:rsidRPr="001B4A02" w:rsidRDefault="00DB71B8" w:rsidP="00DB71B8"/>
    <w:p w14:paraId="46DFCCD4"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A785445" w14:textId="77777777" w:rsidTr="007040EB">
        <w:tc>
          <w:tcPr>
            <w:tcW w:w="9287" w:type="dxa"/>
          </w:tcPr>
          <w:p w14:paraId="12C1A8E0" w14:textId="77777777" w:rsidR="00DB71B8" w:rsidRPr="001B4A02" w:rsidRDefault="00000000" w:rsidP="007040EB">
            <w:pPr>
              <w:tabs>
                <w:tab w:val="left" w:pos="142"/>
              </w:tabs>
              <w:rPr>
                <w:b/>
              </w:rPr>
            </w:pPr>
            <w:r w:rsidRPr="001B4A02">
              <w:rPr>
                <w:b/>
              </w:rPr>
              <w:t>7.</w:t>
            </w:r>
            <w:r w:rsidRPr="001B4A02">
              <w:rPr>
                <w:b/>
              </w:rPr>
              <w:tab/>
              <w:t>DALŠÍ ZVLÁŠTNÍ UPOZORNĚNÍ, POKUD JE POTŘEBNÉ</w:t>
            </w:r>
          </w:p>
        </w:tc>
      </w:tr>
    </w:tbl>
    <w:p w14:paraId="6545AC10" w14:textId="77777777" w:rsidR="00DB71B8" w:rsidRPr="001B4A02" w:rsidRDefault="00DB71B8" w:rsidP="00DB71B8"/>
    <w:p w14:paraId="3CE6C937"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BEA0C35" w14:textId="77777777" w:rsidTr="007040EB">
        <w:tc>
          <w:tcPr>
            <w:tcW w:w="9287" w:type="dxa"/>
          </w:tcPr>
          <w:p w14:paraId="7CC20FEE" w14:textId="77777777" w:rsidR="00DB71B8" w:rsidRPr="001B4A02" w:rsidRDefault="00000000" w:rsidP="007040EB">
            <w:pPr>
              <w:tabs>
                <w:tab w:val="left" w:pos="142"/>
              </w:tabs>
              <w:rPr>
                <w:b/>
              </w:rPr>
            </w:pPr>
            <w:r w:rsidRPr="001B4A02">
              <w:rPr>
                <w:b/>
              </w:rPr>
              <w:t>8.</w:t>
            </w:r>
            <w:r w:rsidRPr="001B4A02">
              <w:rPr>
                <w:b/>
              </w:rPr>
              <w:tab/>
              <w:t>POUŽITELNOST</w:t>
            </w:r>
          </w:p>
        </w:tc>
      </w:tr>
    </w:tbl>
    <w:p w14:paraId="1CE312B7" w14:textId="77777777" w:rsidR="00DB71B8" w:rsidRPr="001B4A02" w:rsidRDefault="00DB71B8" w:rsidP="00DB71B8"/>
    <w:p w14:paraId="4E51B891" w14:textId="77777777" w:rsidR="00DB71B8" w:rsidRPr="001B4A02" w:rsidRDefault="00000000" w:rsidP="00DB71B8">
      <w:r w:rsidRPr="001B4A02">
        <w:t xml:space="preserve">EXP </w:t>
      </w:r>
    </w:p>
    <w:p w14:paraId="30227475" w14:textId="77777777" w:rsidR="00DB71B8" w:rsidRPr="001B4A02" w:rsidRDefault="00DB71B8" w:rsidP="00DB71B8"/>
    <w:p w14:paraId="34DA87EB"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A05AFAC" w14:textId="77777777" w:rsidTr="007040EB">
        <w:tc>
          <w:tcPr>
            <w:tcW w:w="9287" w:type="dxa"/>
          </w:tcPr>
          <w:p w14:paraId="3E9D0CED" w14:textId="77777777" w:rsidR="00DB71B8" w:rsidRPr="001B4A02" w:rsidRDefault="00000000" w:rsidP="007040EB">
            <w:pPr>
              <w:keepNext/>
              <w:tabs>
                <w:tab w:val="left" w:pos="142"/>
              </w:tabs>
            </w:pPr>
            <w:r w:rsidRPr="001B4A02">
              <w:rPr>
                <w:b/>
              </w:rPr>
              <w:t>9.</w:t>
            </w:r>
            <w:r w:rsidRPr="001B4A02">
              <w:rPr>
                <w:b/>
              </w:rPr>
              <w:tab/>
              <w:t>ZVLÁŠTNÍ PODMÍNKY PRO UCHOVÁVÁNÍ</w:t>
            </w:r>
          </w:p>
        </w:tc>
      </w:tr>
    </w:tbl>
    <w:p w14:paraId="37312F94" w14:textId="77777777" w:rsidR="00DB71B8" w:rsidRPr="001B4A02" w:rsidRDefault="00DB71B8" w:rsidP="00DB71B8">
      <w:pPr>
        <w:keepNext/>
        <w:ind w:left="0" w:firstLine="0"/>
      </w:pPr>
    </w:p>
    <w:p w14:paraId="74FB0F4A" w14:textId="77777777" w:rsidR="00DB71B8" w:rsidRPr="001B4A02" w:rsidRDefault="00000000" w:rsidP="00DB71B8">
      <w:pPr>
        <w:keepNext/>
      </w:pPr>
      <w:r w:rsidRPr="001B4A02">
        <w:t>Uchovávejte v chladničce. Chraňte před mrazem.</w:t>
      </w:r>
    </w:p>
    <w:p w14:paraId="5E867182" w14:textId="77777777" w:rsidR="00DB71B8" w:rsidRPr="001B4A02" w:rsidRDefault="00000000" w:rsidP="00DB71B8">
      <w:pPr>
        <w:keepNext/>
      </w:pPr>
      <w:r w:rsidRPr="001B4A02">
        <w:t>Pro další možnosti uchovávání viz příbalov</w:t>
      </w:r>
      <w:r w:rsidR="00DE3467">
        <w:t>á</w:t>
      </w:r>
      <w:r w:rsidRPr="001B4A02">
        <w:t xml:space="preserve"> informac</w:t>
      </w:r>
      <w:r w:rsidR="00DE3467">
        <w:t>e</w:t>
      </w:r>
      <w:r w:rsidRPr="001B4A02">
        <w:t>.</w:t>
      </w:r>
    </w:p>
    <w:p w14:paraId="66BD6A28" w14:textId="77777777" w:rsidR="00DB71B8" w:rsidRPr="001B4A02" w:rsidRDefault="00DB71B8" w:rsidP="00DB71B8">
      <w:pPr>
        <w:keepNext/>
        <w:ind w:left="0" w:firstLine="0"/>
      </w:pPr>
    </w:p>
    <w:p w14:paraId="0B9E69E2" w14:textId="77777777" w:rsidR="00DB71B8" w:rsidRPr="001B4A02" w:rsidRDefault="00000000" w:rsidP="00DB71B8">
      <w:pPr>
        <w:keepNext/>
      </w:pPr>
      <w:r w:rsidRPr="001B4A02">
        <w:t>Uchovávejte injekční stříkačku v krabičce, aby byl přípravek chráněn před světlem.</w:t>
      </w:r>
    </w:p>
    <w:p w14:paraId="5750C569" w14:textId="77777777" w:rsidR="00DB71B8" w:rsidRPr="001B4A02" w:rsidRDefault="00DB71B8" w:rsidP="00DB71B8">
      <w:pPr>
        <w:keepNext/>
      </w:pPr>
    </w:p>
    <w:p w14:paraId="50B243D5" w14:textId="77777777" w:rsidR="00DB71B8" w:rsidRPr="001B4A02" w:rsidRDefault="00DB71B8" w:rsidP="00A804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26674A4" w14:textId="77777777" w:rsidTr="007040EB">
        <w:tc>
          <w:tcPr>
            <w:tcW w:w="9287" w:type="dxa"/>
          </w:tcPr>
          <w:p w14:paraId="61E1116D" w14:textId="77777777" w:rsidR="00DB71B8" w:rsidRPr="001B4A02" w:rsidRDefault="00000000" w:rsidP="007040EB">
            <w:pPr>
              <w:tabs>
                <w:tab w:val="left" w:pos="142"/>
              </w:tabs>
              <w:rPr>
                <w:b/>
              </w:rPr>
            </w:pPr>
            <w:r w:rsidRPr="001B4A02">
              <w:rPr>
                <w:b/>
              </w:rPr>
              <w:t>10.</w:t>
            </w:r>
            <w:r w:rsidRPr="001B4A02">
              <w:rPr>
                <w:b/>
              </w:rPr>
              <w:tab/>
              <w:t>ZVLÁŠTNÍ OPATŘENÍ PRO LIKVIDACI NEPOUŽITÝCH LÉČIVÝCH PŘÍPRAVKŮ NEBO ODPADU Z NICH, POKUD JE TO VHODNÉ</w:t>
            </w:r>
          </w:p>
        </w:tc>
      </w:tr>
    </w:tbl>
    <w:p w14:paraId="7F957C95" w14:textId="77777777" w:rsidR="00DB71B8" w:rsidRPr="001B4A02" w:rsidRDefault="00DB71B8" w:rsidP="00DB71B8"/>
    <w:p w14:paraId="24D96B7F"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8069251" w14:textId="77777777" w:rsidTr="007040EB">
        <w:tc>
          <w:tcPr>
            <w:tcW w:w="9287" w:type="dxa"/>
          </w:tcPr>
          <w:p w14:paraId="43FDBB48" w14:textId="77777777" w:rsidR="00DB71B8" w:rsidRPr="001B4A02" w:rsidRDefault="00000000" w:rsidP="007040EB">
            <w:pPr>
              <w:tabs>
                <w:tab w:val="left" w:pos="142"/>
              </w:tabs>
              <w:rPr>
                <w:b/>
              </w:rPr>
            </w:pPr>
            <w:r w:rsidRPr="001B4A02">
              <w:rPr>
                <w:b/>
              </w:rPr>
              <w:t>11.</w:t>
            </w:r>
            <w:r w:rsidRPr="001B4A02">
              <w:rPr>
                <w:b/>
              </w:rPr>
              <w:tab/>
              <w:t>NÁZEV A ADRESA DRŽITELE ROZHODNUTÍ O REGISTRACI</w:t>
            </w:r>
          </w:p>
        </w:tc>
      </w:tr>
    </w:tbl>
    <w:p w14:paraId="2F283379" w14:textId="77777777" w:rsidR="00DB71B8" w:rsidRPr="001B4A02" w:rsidRDefault="00DB71B8" w:rsidP="00DB71B8"/>
    <w:p w14:paraId="344B8126" w14:textId="77777777" w:rsidR="00556E01" w:rsidRPr="001B4A02" w:rsidRDefault="00000000" w:rsidP="00556E01">
      <w:pPr>
        <w:keepNext/>
        <w:autoSpaceDE w:val="0"/>
        <w:autoSpaceDN w:val="0"/>
        <w:adjustRightInd w:val="0"/>
        <w:spacing w:line="240" w:lineRule="atLeast"/>
        <w:rPr>
          <w:szCs w:val="22"/>
          <w:lang w:eastAsia="en-GB"/>
        </w:rPr>
      </w:pPr>
      <w:r w:rsidRPr="001B4A02">
        <w:rPr>
          <w:szCs w:val="22"/>
          <w:lang w:eastAsia="en-GB"/>
        </w:rPr>
        <w:t>AbbVie Deutschland GmbH &amp; Co. KG</w:t>
      </w:r>
    </w:p>
    <w:p w14:paraId="4FA660A0" w14:textId="77777777" w:rsidR="00556E01" w:rsidRPr="001B4A02" w:rsidRDefault="00000000" w:rsidP="00556E01">
      <w:pPr>
        <w:keepNext/>
        <w:autoSpaceDE w:val="0"/>
        <w:autoSpaceDN w:val="0"/>
        <w:adjustRightInd w:val="0"/>
        <w:spacing w:line="240" w:lineRule="atLeast"/>
        <w:rPr>
          <w:szCs w:val="22"/>
          <w:lang w:eastAsia="en-GB"/>
        </w:rPr>
      </w:pPr>
      <w:r w:rsidRPr="001B4A02">
        <w:rPr>
          <w:szCs w:val="22"/>
          <w:lang w:eastAsia="en-GB"/>
        </w:rPr>
        <w:t>Knollstrasse</w:t>
      </w:r>
    </w:p>
    <w:p w14:paraId="3CD5C174" w14:textId="77777777" w:rsidR="00556E01" w:rsidRPr="001B4A02" w:rsidRDefault="00000000" w:rsidP="00556E01">
      <w:pPr>
        <w:keepNext/>
        <w:autoSpaceDE w:val="0"/>
        <w:autoSpaceDN w:val="0"/>
        <w:adjustRightInd w:val="0"/>
        <w:spacing w:line="240" w:lineRule="atLeast"/>
        <w:rPr>
          <w:szCs w:val="22"/>
          <w:lang w:eastAsia="en-GB"/>
        </w:rPr>
      </w:pPr>
      <w:r w:rsidRPr="001B4A02">
        <w:rPr>
          <w:szCs w:val="22"/>
          <w:lang w:eastAsia="en-GB"/>
        </w:rPr>
        <w:t>67061 Ludwigshafen</w:t>
      </w:r>
    </w:p>
    <w:p w14:paraId="6F6B451F" w14:textId="77777777" w:rsidR="00DB71B8" w:rsidRPr="001B4A02" w:rsidRDefault="00000000" w:rsidP="00DB71B8">
      <w:pPr>
        <w:ind w:left="0" w:firstLine="0"/>
      </w:pPr>
      <w:r w:rsidRPr="001B4A02">
        <w:rPr>
          <w:szCs w:val="22"/>
          <w:lang w:eastAsia="en-GB"/>
        </w:rPr>
        <w:t>Německo</w:t>
      </w:r>
    </w:p>
    <w:p w14:paraId="0147A922" w14:textId="77777777" w:rsidR="00DB71B8" w:rsidRPr="001B4A02" w:rsidRDefault="00DB71B8" w:rsidP="00DB71B8"/>
    <w:p w14:paraId="35301C00"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E6C7538" w14:textId="77777777" w:rsidTr="007040EB">
        <w:tc>
          <w:tcPr>
            <w:tcW w:w="9287" w:type="dxa"/>
          </w:tcPr>
          <w:p w14:paraId="11AEEAA5" w14:textId="77777777" w:rsidR="00DB71B8" w:rsidRPr="001B4A02" w:rsidRDefault="00000000" w:rsidP="007040EB">
            <w:pPr>
              <w:tabs>
                <w:tab w:val="left" w:pos="142"/>
              </w:tabs>
              <w:rPr>
                <w:b/>
              </w:rPr>
            </w:pPr>
            <w:r w:rsidRPr="001B4A02">
              <w:rPr>
                <w:b/>
              </w:rPr>
              <w:t>12.</w:t>
            </w:r>
            <w:r w:rsidRPr="001B4A02">
              <w:rPr>
                <w:b/>
              </w:rPr>
              <w:tab/>
              <w:t>REGISTRAČNÍ ČÍSLO</w:t>
            </w:r>
          </w:p>
        </w:tc>
      </w:tr>
    </w:tbl>
    <w:p w14:paraId="21D9F386" w14:textId="77777777" w:rsidR="00DB71B8" w:rsidRPr="001B4A02" w:rsidRDefault="00DB71B8" w:rsidP="00DB71B8"/>
    <w:p w14:paraId="41601573" w14:textId="77777777" w:rsidR="00DB71B8" w:rsidRPr="001B4A02" w:rsidRDefault="00000000" w:rsidP="00DB71B8">
      <w:r w:rsidRPr="001B4A02">
        <w:t>EU/</w:t>
      </w:r>
      <w:r w:rsidR="00CF3E3F" w:rsidRPr="001B4A02">
        <w:t>1</w:t>
      </w:r>
      <w:r w:rsidRPr="001B4A02">
        <w:t>/</w:t>
      </w:r>
      <w:r w:rsidR="00CF3E3F" w:rsidRPr="001B4A02">
        <w:t>03</w:t>
      </w:r>
      <w:r w:rsidRPr="001B4A02">
        <w:t>/</w:t>
      </w:r>
      <w:r w:rsidR="00CF3E3F" w:rsidRPr="001B4A02">
        <w:t>256</w:t>
      </w:r>
      <w:r w:rsidRPr="001B4A02">
        <w:t>/</w:t>
      </w:r>
      <w:r w:rsidR="00CF3E3F" w:rsidRPr="001B4A02">
        <w:t>022</w:t>
      </w:r>
    </w:p>
    <w:p w14:paraId="1E23B858" w14:textId="77777777" w:rsidR="00DB71B8" w:rsidRPr="001B4A02" w:rsidRDefault="00DB71B8" w:rsidP="00DB71B8"/>
    <w:p w14:paraId="5B63BA18"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BA0715A" w14:textId="77777777" w:rsidTr="007040EB">
        <w:tc>
          <w:tcPr>
            <w:tcW w:w="9287" w:type="dxa"/>
          </w:tcPr>
          <w:p w14:paraId="1BE7186B" w14:textId="77777777" w:rsidR="00DB71B8" w:rsidRPr="001B4A02" w:rsidRDefault="00000000" w:rsidP="007040EB">
            <w:pPr>
              <w:tabs>
                <w:tab w:val="left" w:pos="142"/>
              </w:tabs>
              <w:rPr>
                <w:b/>
              </w:rPr>
            </w:pPr>
            <w:r w:rsidRPr="001B4A02">
              <w:rPr>
                <w:b/>
              </w:rPr>
              <w:t>13.</w:t>
            </w:r>
            <w:r w:rsidRPr="001B4A02">
              <w:rPr>
                <w:b/>
              </w:rPr>
              <w:tab/>
              <w:t>ČÍSLO ŠARŽE</w:t>
            </w:r>
          </w:p>
        </w:tc>
      </w:tr>
    </w:tbl>
    <w:p w14:paraId="2529512E" w14:textId="77777777" w:rsidR="00DB71B8" w:rsidRPr="001B4A02" w:rsidRDefault="00DB71B8" w:rsidP="00DB71B8"/>
    <w:p w14:paraId="3D1C1020" w14:textId="77777777" w:rsidR="00DB71B8" w:rsidRPr="001B4A02" w:rsidRDefault="00000000" w:rsidP="00DB71B8">
      <w:ins w:id="8470" w:author="Abbvie02" w:date="2025-05-16T12:36:00Z">
        <w:r>
          <w:t>Lot</w:t>
        </w:r>
      </w:ins>
      <w:del w:id="8471" w:author="Abbvie02" w:date="2025-05-16T12:36:00Z">
        <w:r w:rsidRPr="001B4A02">
          <w:delText>Č. šarže</w:delText>
        </w:r>
      </w:del>
    </w:p>
    <w:p w14:paraId="78A3813A" w14:textId="77777777" w:rsidR="00DB71B8" w:rsidRPr="001B4A02" w:rsidRDefault="00DB71B8" w:rsidP="00DB71B8"/>
    <w:p w14:paraId="33A17399"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0088EA1" w14:textId="77777777" w:rsidTr="007040EB">
        <w:tc>
          <w:tcPr>
            <w:tcW w:w="9287" w:type="dxa"/>
          </w:tcPr>
          <w:p w14:paraId="53DC9337" w14:textId="77777777" w:rsidR="00DB71B8" w:rsidRPr="001B4A02" w:rsidRDefault="00000000" w:rsidP="007040EB">
            <w:pPr>
              <w:tabs>
                <w:tab w:val="left" w:pos="142"/>
              </w:tabs>
              <w:rPr>
                <w:b/>
              </w:rPr>
            </w:pPr>
            <w:r w:rsidRPr="001B4A02">
              <w:rPr>
                <w:b/>
              </w:rPr>
              <w:t>14.</w:t>
            </w:r>
            <w:r w:rsidRPr="001B4A02">
              <w:rPr>
                <w:b/>
              </w:rPr>
              <w:tab/>
              <w:t>KLASIFIKACE PRO VÝDEJ</w:t>
            </w:r>
          </w:p>
        </w:tc>
      </w:tr>
    </w:tbl>
    <w:p w14:paraId="735494AC" w14:textId="77777777" w:rsidR="00DB71B8" w:rsidRPr="001B4A02" w:rsidRDefault="00DB71B8" w:rsidP="00DB71B8">
      <w:pPr>
        <w:ind w:left="0" w:firstLine="0"/>
      </w:pPr>
    </w:p>
    <w:p w14:paraId="0ED870B1"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C1BD900" w14:textId="77777777" w:rsidTr="007040EB">
        <w:tc>
          <w:tcPr>
            <w:tcW w:w="9287" w:type="dxa"/>
          </w:tcPr>
          <w:p w14:paraId="2067E07D" w14:textId="77777777" w:rsidR="00DB71B8" w:rsidRPr="001B4A02" w:rsidRDefault="00000000" w:rsidP="007040EB">
            <w:pPr>
              <w:tabs>
                <w:tab w:val="left" w:pos="142"/>
              </w:tabs>
              <w:rPr>
                <w:b/>
              </w:rPr>
            </w:pPr>
            <w:r w:rsidRPr="001B4A02">
              <w:rPr>
                <w:b/>
              </w:rPr>
              <w:t>15.</w:t>
            </w:r>
            <w:r w:rsidRPr="001B4A02">
              <w:rPr>
                <w:b/>
              </w:rPr>
              <w:tab/>
              <w:t>NÁVOD K POUŽITÍ</w:t>
            </w:r>
          </w:p>
        </w:tc>
      </w:tr>
    </w:tbl>
    <w:p w14:paraId="6360BAAD" w14:textId="77777777" w:rsidR="00DB71B8" w:rsidRPr="001B4A02" w:rsidRDefault="00DB71B8" w:rsidP="00DB71B8">
      <w:pPr>
        <w:rPr>
          <w:u w:val="single"/>
        </w:rPr>
      </w:pPr>
    </w:p>
    <w:p w14:paraId="10E66B59" w14:textId="77777777" w:rsidR="00DB71B8" w:rsidRPr="001B4A02" w:rsidRDefault="00DB71B8" w:rsidP="00DB71B8">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7F71DD7" w14:textId="77777777" w:rsidTr="007040EB">
        <w:tc>
          <w:tcPr>
            <w:tcW w:w="9287" w:type="dxa"/>
          </w:tcPr>
          <w:p w14:paraId="72B0E968" w14:textId="77777777" w:rsidR="00DB71B8" w:rsidRPr="001B4A02" w:rsidRDefault="00000000" w:rsidP="007040EB">
            <w:pPr>
              <w:tabs>
                <w:tab w:val="left" w:pos="142"/>
              </w:tabs>
              <w:rPr>
                <w:b/>
              </w:rPr>
            </w:pPr>
            <w:r w:rsidRPr="001B4A02">
              <w:rPr>
                <w:b/>
              </w:rPr>
              <w:t>16.</w:t>
            </w:r>
            <w:r w:rsidRPr="001B4A02">
              <w:rPr>
                <w:b/>
              </w:rPr>
              <w:tab/>
              <w:t>INFORMACE V BRAILLOVĚ PÍSMU</w:t>
            </w:r>
          </w:p>
        </w:tc>
      </w:tr>
    </w:tbl>
    <w:p w14:paraId="2E4079AE" w14:textId="77777777" w:rsidR="00DB71B8" w:rsidRPr="001B4A02" w:rsidRDefault="00DB71B8" w:rsidP="00DB71B8">
      <w:pPr>
        <w:rPr>
          <w:u w:val="single"/>
        </w:rPr>
      </w:pPr>
    </w:p>
    <w:p w14:paraId="7A88C101" w14:textId="77777777" w:rsidR="00DB71B8" w:rsidRPr="001B4A02" w:rsidRDefault="00000000" w:rsidP="00DB71B8">
      <w:r w:rsidRPr="001B4A02">
        <w:t>Humira 20</w:t>
      </w:r>
      <w:r w:rsidR="00874DE1">
        <w:t> mg</w:t>
      </w:r>
    </w:p>
    <w:p w14:paraId="6B61376D" w14:textId="77777777" w:rsidR="00DB71B8" w:rsidRPr="001B4A02" w:rsidRDefault="00DB71B8" w:rsidP="00DB71B8">
      <w:pPr>
        <w:rPr>
          <w:u w:val="single"/>
        </w:rPr>
      </w:pPr>
    </w:p>
    <w:p w14:paraId="0B983860" w14:textId="77777777" w:rsidR="00DB71B8" w:rsidRPr="001B4A02" w:rsidRDefault="00DB71B8" w:rsidP="00DB71B8">
      <w:pPr>
        <w:rPr>
          <w:u w:val="single"/>
        </w:rPr>
      </w:pPr>
    </w:p>
    <w:p w14:paraId="69B78461" w14:textId="77777777" w:rsidR="00DB71B8" w:rsidRPr="001B4A02" w:rsidRDefault="00000000" w:rsidP="00DB71B8">
      <w:pPr>
        <w:pStyle w:val="EMEAHeadingBoxedTitle"/>
        <w:ind w:left="0" w:firstLine="0"/>
        <w:rPr>
          <w:rFonts w:ascii="Times New Roman" w:hAnsi="Times New Roman"/>
          <w:b/>
          <w:bCs/>
          <w:lang w:val="cs-CZ"/>
        </w:rPr>
      </w:pPr>
      <w:r w:rsidRPr="001B4A02">
        <w:rPr>
          <w:rFonts w:ascii="Times New Roman" w:hAnsi="Times New Roman"/>
          <w:b/>
          <w:bCs/>
          <w:lang w:val="cs-CZ"/>
        </w:rPr>
        <w:t>17.</w:t>
      </w:r>
      <w:r w:rsidRPr="001B4A02">
        <w:rPr>
          <w:rFonts w:ascii="Times New Roman" w:hAnsi="Times New Roman"/>
          <w:b/>
          <w:bCs/>
          <w:lang w:val="cs-CZ"/>
        </w:rPr>
        <w:tab/>
        <w:t xml:space="preserve">JEDINEČNÝ IDENTIFIKÁTOR – 2D ČÁROVÝ KÓD </w:t>
      </w:r>
    </w:p>
    <w:p w14:paraId="405E5E58" w14:textId="77777777" w:rsidR="00DB71B8" w:rsidRPr="001B4A02" w:rsidRDefault="00DB71B8" w:rsidP="00DB71B8"/>
    <w:p w14:paraId="7F563F64" w14:textId="77777777" w:rsidR="00DB71B8" w:rsidRPr="001B4A02" w:rsidRDefault="00000000" w:rsidP="00DB71B8">
      <w:pPr>
        <w:rPr>
          <w:shd w:val="clear" w:color="auto" w:fill="BFBFBF"/>
        </w:rPr>
      </w:pPr>
      <w:r w:rsidRPr="001B4A02">
        <w:rPr>
          <w:shd w:val="clear" w:color="auto" w:fill="BFBFBF"/>
        </w:rPr>
        <w:t>2D čárový kód s jedinečným identifikátorem.</w:t>
      </w:r>
    </w:p>
    <w:p w14:paraId="2ACACEF9" w14:textId="77777777" w:rsidR="00DB71B8" w:rsidRPr="001B4A02" w:rsidRDefault="00DB71B8" w:rsidP="00DB71B8">
      <w:pPr>
        <w:rPr>
          <w:shd w:val="clear" w:color="auto" w:fill="BFBFBF"/>
        </w:rPr>
      </w:pPr>
    </w:p>
    <w:p w14:paraId="4172F2CF" w14:textId="77777777" w:rsidR="00DB71B8" w:rsidRPr="001B4A02" w:rsidRDefault="00DB71B8" w:rsidP="00DB71B8"/>
    <w:p w14:paraId="71D9CC8F" w14:textId="77777777" w:rsidR="00DB71B8" w:rsidRPr="001B4A02" w:rsidRDefault="00000000" w:rsidP="00DB71B8">
      <w:pPr>
        <w:pStyle w:val="EMEAHeadingBoxedTitle"/>
        <w:keepNext/>
        <w:ind w:left="0" w:firstLine="0"/>
        <w:rPr>
          <w:rFonts w:ascii="Times New Roman" w:hAnsi="Times New Roman"/>
          <w:lang w:val="cs-CZ"/>
        </w:rPr>
      </w:pPr>
      <w:r w:rsidRPr="001B4A02">
        <w:rPr>
          <w:rFonts w:ascii="Times New Roman" w:hAnsi="Times New Roman"/>
          <w:b/>
          <w:bCs/>
          <w:lang w:val="cs-CZ"/>
        </w:rPr>
        <w:t>18.</w:t>
      </w:r>
      <w:r w:rsidRPr="001B4A02">
        <w:rPr>
          <w:rFonts w:ascii="Times New Roman" w:hAnsi="Times New Roman"/>
          <w:b/>
          <w:bCs/>
          <w:lang w:val="cs-CZ"/>
        </w:rPr>
        <w:tab/>
        <w:t>JEDINEČNÝ IDENTIFIKÁTOR – DATA ČITELNÁ OKEM</w:t>
      </w:r>
    </w:p>
    <w:p w14:paraId="4B89703A" w14:textId="77777777" w:rsidR="00DB71B8" w:rsidRPr="001B4A02" w:rsidRDefault="00DB71B8" w:rsidP="00DB71B8">
      <w:pPr>
        <w:keepNext/>
        <w:ind w:left="540" w:hanging="540"/>
      </w:pPr>
    </w:p>
    <w:p w14:paraId="72A338A9" w14:textId="77777777" w:rsidR="00DB71B8" w:rsidRPr="001B4A02" w:rsidRDefault="00000000" w:rsidP="00DB71B8">
      <w:pPr>
        <w:keepNext/>
        <w:ind w:left="540" w:hanging="540"/>
      </w:pPr>
      <w:r w:rsidRPr="001B4A02">
        <w:t>PC</w:t>
      </w:r>
    </w:p>
    <w:p w14:paraId="7AC19231" w14:textId="77777777" w:rsidR="00DB71B8" w:rsidRPr="001B4A02" w:rsidRDefault="00000000" w:rsidP="00DB71B8">
      <w:pPr>
        <w:keepNext/>
        <w:ind w:left="540" w:hanging="540"/>
      </w:pPr>
      <w:r w:rsidRPr="001B4A02">
        <w:t>SN</w:t>
      </w:r>
    </w:p>
    <w:p w14:paraId="6F126A18" w14:textId="77777777" w:rsidR="00DB71B8" w:rsidRPr="001B4A02" w:rsidRDefault="00000000" w:rsidP="00DB71B8">
      <w:pPr>
        <w:keepNext/>
        <w:ind w:left="540" w:hanging="540"/>
      </w:pPr>
      <w:r w:rsidRPr="00BA0A72">
        <w:rPr>
          <w:highlight w:val="lightGray"/>
        </w:rPr>
        <w:t>NN</w:t>
      </w:r>
    </w:p>
    <w:p w14:paraId="307D0425" w14:textId="77777777" w:rsidR="00380A2E" w:rsidRPr="001B4A02" w:rsidRDefault="00380A2E" w:rsidP="00ED48A3"/>
    <w:p w14:paraId="4714C8CC" w14:textId="77777777" w:rsidR="00DB71B8" w:rsidRPr="001B4A02" w:rsidRDefault="00000000" w:rsidP="00DB71B8">
      <w:r w:rsidRPr="001B4A0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68C954C" w14:textId="77777777" w:rsidTr="007040EB">
        <w:tc>
          <w:tcPr>
            <w:tcW w:w="9287" w:type="dxa"/>
          </w:tcPr>
          <w:p w14:paraId="03680D49" w14:textId="77777777" w:rsidR="00DB71B8" w:rsidRPr="001B4A02" w:rsidRDefault="00000000" w:rsidP="007040EB">
            <w:pPr>
              <w:rPr>
                <w:b/>
              </w:rPr>
            </w:pPr>
            <w:r w:rsidRPr="001B4A02">
              <w:rPr>
                <w:b/>
                <w:u w:val="single"/>
              </w:rPr>
              <w:br w:type="page"/>
            </w:r>
            <w:r w:rsidRPr="001B4A02">
              <w:rPr>
                <w:b/>
              </w:rPr>
              <w:t>MINIMÁLNÍ ÚDAJE UVÁDĚNÉ NA BLISTRECH NEBO STRIPECH</w:t>
            </w:r>
          </w:p>
          <w:p w14:paraId="49D24E75" w14:textId="77777777" w:rsidR="00DB71B8" w:rsidRPr="001B4A02" w:rsidRDefault="00DB71B8" w:rsidP="007040EB">
            <w:pPr>
              <w:rPr>
                <w:b/>
              </w:rPr>
            </w:pPr>
          </w:p>
          <w:p w14:paraId="2418CD66" w14:textId="77777777" w:rsidR="00DB71B8" w:rsidRPr="001B4A02" w:rsidRDefault="00000000" w:rsidP="007040EB">
            <w:pPr>
              <w:rPr>
                <w:b/>
                <w:caps/>
              </w:rPr>
            </w:pPr>
            <w:r w:rsidRPr="001B4A02">
              <w:rPr>
                <w:b/>
                <w:caps/>
              </w:rPr>
              <w:t>blistr</w:t>
            </w:r>
          </w:p>
        </w:tc>
      </w:tr>
    </w:tbl>
    <w:p w14:paraId="3A487D3F" w14:textId="77777777" w:rsidR="00DB71B8" w:rsidRPr="001B4A02" w:rsidRDefault="00DB71B8" w:rsidP="00DB71B8"/>
    <w:p w14:paraId="09F99E4D"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BAEAF30" w14:textId="77777777" w:rsidTr="007040EB">
        <w:tc>
          <w:tcPr>
            <w:tcW w:w="9287" w:type="dxa"/>
          </w:tcPr>
          <w:p w14:paraId="483A9D3B" w14:textId="77777777" w:rsidR="00DB71B8" w:rsidRPr="001B4A02" w:rsidRDefault="00000000" w:rsidP="007040EB">
            <w:pPr>
              <w:tabs>
                <w:tab w:val="left" w:pos="142"/>
              </w:tabs>
              <w:rPr>
                <w:b/>
              </w:rPr>
            </w:pPr>
            <w:r w:rsidRPr="001B4A02">
              <w:rPr>
                <w:b/>
              </w:rPr>
              <w:t>1.</w:t>
            </w:r>
            <w:r w:rsidRPr="001B4A02">
              <w:rPr>
                <w:b/>
              </w:rPr>
              <w:tab/>
              <w:t>NÁZEV LÉČIVÉHO PŘÍPRAVKU</w:t>
            </w:r>
          </w:p>
        </w:tc>
      </w:tr>
    </w:tbl>
    <w:p w14:paraId="4783743E" w14:textId="77777777" w:rsidR="00DB71B8" w:rsidRPr="001B4A02" w:rsidRDefault="00DB71B8" w:rsidP="00DB71B8"/>
    <w:p w14:paraId="190F4405" w14:textId="77777777" w:rsidR="00DB71B8" w:rsidRPr="001B4A02" w:rsidRDefault="00000000" w:rsidP="00DB71B8">
      <w:r w:rsidRPr="001B4A02">
        <w:t>Humira 20 mg injekční roztok v předplněné injekční stříkačce</w:t>
      </w:r>
    </w:p>
    <w:p w14:paraId="79B130F4" w14:textId="77777777" w:rsidR="00DB71B8" w:rsidRPr="001B4A02" w:rsidRDefault="00000000" w:rsidP="00DB71B8">
      <w:r w:rsidRPr="001B4A02">
        <w:t>adalimumab</w:t>
      </w:r>
      <w:del w:id="8472" w:author="Abbvie02" w:date="2025-05-16T11:48:00Z">
        <w:r w:rsidRPr="001B4A02">
          <w:delText>um</w:delText>
        </w:r>
      </w:del>
    </w:p>
    <w:p w14:paraId="1DB0093D" w14:textId="77777777" w:rsidR="00DB71B8" w:rsidRPr="001B4A02" w:rsidRDefault="00DB71B8" w:rsidP="00DB71B8"/>
    <w:p w14:paraId="055F21BC"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CF7806C" w14:textId="77777777" w:rsidTr="007040EB">
        <w:tc>
          <w:tcPr>
            <w:tcW w:w="9287" w:type="dxa"/>
          </w:tcPr>
          <w:p w14:paraId="2D9DE218" w14:textId="77777777" w:rsidR="00DB71B8" w:rsidRPr="001B4A02" w:rsidRDefault="00000000" w:rsidP="007040EB">
            <w:pPr>
              <w:tabs>
                <w:tab w:val="left" w:pos="142"/>
              </w:tabs>
              <w:rPr>
                <w:b/>
              </w:rPr>
            </w:pPr>
            <w:r w:rsidRPr="001B4A02">
              <w:rPr>
                <w:b/>
              </w:rPr>
              <w:t>2.</w:t>
            </w:r>
            <w:r w:rsidRPr="001B4A02">
              <w:rPr>
                <w:b/>
              </w:rPr>
              <w:tab/>
              <w:t>NÁZEV DRŽITELE ROZHODNUTÍ O REGISTRACI</w:t>
            </w:r>
          </w:p>
        </w:tc>
      </w:tr>
    </w:tbl>
    <w:p w14:paraId="5E067092" w14:textId="77777777" w:rsidR="00DB71B8" w:rsidRPr="001B4A02" w:rsidRDefault="00DB71B8" w:rsidP="00DB71B8"/>
    <w:p w14:paraId="381979DD" w14:textId="77777777" w:rsidR="00DB71B8" w:rsidRPr="001B4A02" w:rsidRDefault="00000000" w:rsidP="00DB71B8">
      <w:r w:rsidRPr="001B4A02">
        <w:t>AbbVie</w:t>
      </w:r>
      <w:r w:rsidR="00012C3F" w:rsidRPr="001B4A02">
        <w:t xml:space="preserve"> </w:t>
      </w:r>
      <w:r w:rsidR="00012C3F" w:rsidRPr="001B4A02">
        <w:rPr>
          <w:highlight w:val="lightGray"/>
        </w:rPr>
        <w:t>(logo)</w:t>
      </w:r>
    </w:p>
    <w:p w14:paraId="4464F18C" w14:textId="77777777" w:rsidR="00DB71B8" w:rsidRPr="001B4A02" w:rsidRDefault="00DB71B8" w:rsidP="00DB71B8"/>
    <w:p w14:paraId="6F934EAA"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95D5930" w14:textId="77777777" w:rsidTr="007040EB">
        <w:tc>
          <w:tcPr>
            <w:tcW w:w="9287" w:type="dxa"/>
          </w:tcPr>
          <w:p w14:paraId="013DC28D" w14:textId="77777777" w:rsidR="00DB71B8" w:rsidRPr="001B4A02" w:rsidRDefault="00000000" w:rsidP="007040EB">
            <w:pPr>
              <w:tabs>
                <w:tab w:val="left" w:pos="142"/>
              </w:tabs>
              <w:rPr>
                <w:b/>
              </w:rPr>
            </w:pPr>
            <w:r w:rsidRPr="001B4A02">
              <w:rPr>
                <w:b/>
              </w:rPr>
              <w:t>3.</w:t>
            </w:r>
            <w:r w:rsidRPr="001B4A02">
              <w:rPr>
                <w:b/>
              </w:rPr>
              <w:tab/>
              <w:t>POUŽITELNOST</w:t>
            </w:r>
          </w:p>
        </w:tc>
      </w:tr>
    </w:tbl>
    <w:p w14:paraId="4D336898" w14:textId="77777777" w:rsidR="00DB71B8" w:rsidRPr="001B4A02" w:rsidRDefault="00DB71B8" w:rsidP="00DB71B8"/>
    <w:p w14:paraId="48407293" w14:textId="77777777" w:rsidR="00DB71B8" w:rsidRPr="001B4A02" w:rsidRDefault="00000000" w:rsidP="00DB71B8">
      <w:r w:rsidRPr="001B4A02">
        <w:t xml:space="preserve">EXP </w:t>
      </w:r>
    </w:p>
    <w:p w14:paraId="6B7845B2" w14:textId="77777777" w:rsidR="00DB71B8" w:rsidRPr="001B4A02" w:rsidRDefault="00DB71B8" w:rsidP="00DB71B8"/>
    <w:p w14:paraId="0016A4C5"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259F4CE" w14:textId="77777777" w:rsidTr="007040EB">
        <w:tc>
          <w:tcPr>
            <w:tcW w:w="9287" w:type="dxa"/>
          </w:tcPr>
          <w:p w14:paraId="7FBBCAA4" w14:textId="77777777" w:rsidR="00DB71B8" w:rsidRPr="001B4A02" w:rsidRDefault="00000000" w:rsidP="007040EB">
            <w:pPr>
              <w:tabs>
                <w:tab w:val="left" w:pos="142"/>
              </w:tabs>
              <w:rPr>
                <w:b/>
              </w:rPr>
            </w:pPr>
            <w:r w:rsidRPr="001B4A02">
              <w:rPr>
                <w:b/>
              </w:rPr>
              <w:t>4.</w:t>
            </w:r>
            <w:r w:rsidRPr="001B4A02">
              <w:rPr>
                <w:b/>
              </w:rPr>
              <w:tab/>
              <w:t>ČÍSLO ŠARŽE</w:t>
            </w:r>
          </w:p>
        </w:tc>
      </w:tr>
    </w:tbl>
    <w:p w14:paraId="30117ACC" w14:textId="77777777" w:rsidR="00DB71B8" w:rsidRPr="001B4A02" w:rsidRDefault="00DB71B8" w:rsidP="00DB71B8"/>
    <w:p w14:paraId="29A0B688" w14:textId="77777777" w:rsidR="00DB71B8" w:rsidRPr="001B4A02" w:rsidRDefault="00000000" w:rsidP="00DB71B8">
      <w:r w:rsidRPr="001B4A02">
        <w:t>Lot</w:t>
      </w:r>
    </w:p>
    <w:p w14:paraId="158751C1" w14:textId="77777777" w:rsidR="00B26A1C" w:rsidRPr="001B4A02" w:rsidRDefault="00B26A1C" w:rsidP="00DB71B8"/>
    <w:p w14:paraId="0358247F" w14:textId="77777777" w:rsidR="00DB71B8" w:rsidRPr="001B4A02" w:rsidRDefault="00DB71B8" w:rsidP="00DB71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8A8DD8E" w14:textId="77777777" w:rsidTr="007040EB">
        <w:tc>
          <w:tcPr>
            <w:tcW w:w="9287" w:type="dxa"/>
          </w:tcPr>
          <w:p w14:paraId="677CC545" w14:textId="77777777" w:rsidR="00DB71B8" w:rsidRPr="001B4A02" w:rsidRDefault="00000000" w:rsidP="007040EB">
            <w:pPr>
              <w:tabs>
                <w:tab w:val="left" w:pos="142"/>
              </w:tabs>
              <w:rPr>
                <w:b/>
              </w:rPr>
            </w:pPr>
            <w:r w:rsidRPr="001B4A02">
              <w:rPr>
                <w:b/>
              </w:rPr>
              <w:t>5.</w:t>
            </w:r>
            <w:r w:rsidRPr="001B4A02">
              <w:rPr>
                <w:b/>
              </w:rPr>
              <w:tab/>
              <w:t>JINÉ</w:t>
            </w:r>
          </w:p>
        </w:tc>
      </w:tr>
    </w:tbl>
    <w:p w14:paraId="4148633B" w14:textId="77777777" w:rsidR="00DB71B8" w:rsidRPr="001B4A02" w:rsidRDefault="00DB71B8" w:rsidP="00DB71B8">
      <w:pPr>
        <w:ind w:left="0" w:firstLine="0"/>
        <w:rPr>
          <w:u w:val="single"/>
        </w:rPr>
      </w:pPr>
    </w:p>
    <w:p w14:paraId="1113B5B0" w14:textId="77777777" w:rsidR="00DB71B8" w:rsidRPr="001B4A02" w:rsidRDefault="00000000" w:rsidP="00DB71B8">
      <w:r w:rsidRPr="001B4A02">
        <w:t>Pro informace o uchovávání viz příbalov</w:t>
      </w:r>
      <w:r w:rsidR="00DE3467">
        <w:t>á</w:t>
      </w:r>
      <w:r w:rsidRPr="001B4A02">
        <w:t xml:space="preserve"> informac</w:t>
      </w:r>
      <w:r w:rsidR="00DE3467">
        <w:t>e</w:t>
      </w:r>
      <w:r w:rsidRPr="001B4A02">
        <w:t xml:space="preserve">. </w:t>
      </w:r>
    </w:p>
    <w:p w14:paraId="3C2DDFF4" w14:textId="77777777" w:rsidR="00DB71B8" w:rsidRPr="001B4A02" w:rsidRDefault="00DB71B8" w:rsidP="00DB71B8"/>
    <w:p w14:paraId="46F56443" w14:textId="77777777" w:rsidR="00DB71B8" w:rsidRPr="001B4A02" w:rsidRDefault="00000000" w:rsidP="00DB71B8">
      <w:r w:rsidRPr="001B4A02">
        <w:t>Pouze k jednorázovému použití.</w:t>
      </w:r>
    </w:p>
    <w:p w14:paraId="4F144943" w14:textId="77777777" w:rsidR="00DB71B8" w:rsidRPr="001B4A02" w:rsidRDefault="00DB71B8" w:rsidP="00DB71B8"/>
    <w:p w14:paraId="584B70E5" w14:textId="77777777" w:rsidR="00DB71B8" w:rsidRPr="001B4A02" w:rsidRDefault="00000000" w:rsidP="00DB71B8">
      <w:r w:rsidRPr="001B4A02">
        <w:t>Pro</w:t>
      </w:r>
      <w:r w:rsidR="00E01AD4" w:rsidRPr="001B4A02">
        <w:t xml:space="preserve"> pediatrické </w:t>
      </w:r>
      <w:r w:rsidRPr="001B4A02">
        <w:t>po</w:t>
      </w:r>
      <w:r w:rsidR="00E01AD4" w:rsidRPr="001B4A02">
        <w:t>užití</w:t>
      </w:r>
    </w:p>
    <w:p w14:paraId="6136EE0F" w14:textId="77777777" w:rsidR="0000361B" w:rsidRDefault="0000361B" w:rsidP="0000361B">
      <w:pPr>
        <w:rPr>
          <w:highlight w:val="lightGray"/>
        </w:rPr>
      </w:pPr>
    </w:p>
    <w:p w14:paraId="1357B2BB" w14:textId="77777777" w:rsidR="00E01AD4" w:rsidRPr="001B4A02" w:rsidRDefault="00000000" w:rsidP="00E01AD4">
      <w:pPr>
        <w:rPr>
          <w:u w:val="single"/>
        </w:rPr>
      </w:pPr>
      <w:r w:rsidRPr="001B4A0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2E4FDA5" w14:textId="77777777" w:rsidTr="007040EB">
        <w:trPr>
          <w:trHeight w:val="785"/>
        </w:trPr>
        <w:tc>
          <w:tcPr>
            <w:tcW w:w="9287" w:type="dxa"/>
            <w:tcBorders>
              <w:bottom w:val="single" w:sz="4" w:space="0" w:color="auto"/>
            </w:tcBorders>
          </w:tcPr>
          <w:p w14:paraId="26707E63" w14:textId="77777777" w:rsidR="00E01AD4" w:rsidRPr="001B4A02" w:rsidRDefault="00000000" w:rsidP="007040EB">
            <w:pPr>
              <w:rPr>
                <w:b/>
              </w:rPr>
            </w:pPr>
            <w:r w:rsidRPr="001B4A02">
              <w:rPr>
                <w:b/>
              </w:rPr>
              <w:t>MINIMÁLNÍ ÚDAJE UVÁDĚNÉ NA MALÉM VNITŘNÍM OBALU</w:t>
            </w:r>
          </w:p>
          <w:p w14:paraId="44AD5642" w14:textId="77777777" w:rsidR="00E01AD4" w:rsidRPr="001B4A02" w:rsidRDefault="00E01AD4" w:rsidP="007040EB">
            <w:pPr>
              <w:rPr>
                <w:b/>
              </w:rPr>
            </w:pPr>
          </w:p>
          <w:p w14:paraId="48D307F4" w14:textId="77777777" w:rsidR="00E01AD4" w:rsidRPr="001B4A02" w:rsidRDefault="00000000" w:rsidP="007040EB">
            <w:pPr>
              <w:ind w:left="0" w:firstLine="0"/>
              <w:rPr>
                <w:b/>
                <w:caps/>
              </w:rPr>
            </w:pPr>
            <w:r w:rsidRPr="001B4A02">
              <w:rPr>
                <w:b/>
                <w:caps/>
              </w:rPr>
              <w:t>Etiketa na INJEKČNÍ STŘÍKAČCE</w:t>
            </w:r>
          </w:p>
        </w:tc>
      </w:tr>
    </w:tbl>
    <w:p w14:paraId="05E39343" w14:textId="77777777" w:rsidR="00E01AD4" w:rsidRPr="001B4A02" w:rsidRDefault="00E01AD4" w:rsidP="00E01AD4"/>
    <w:p w14:paraId="06952F89" w14:textId="77777777" w:rsidR="00E01AD4" w:rsidRPr="001B4A02" w:rsidRDefault="00E01AD4" w:rsidP="00E01A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360E856" w14:textId="77777777" w:rsidTr="007040EB">
        <w:tc>
          <w:tcPr>
            <w:tcW w:w="9287" w:type="dxa"/>
          </w:tcPr>
          <w:p w14:paraId="244D451B" w14:textId="77777777" w:rsidR="00E01AD4" w:rsidRPr="001B4A02" w:rsidRDefault="00000000" w:rsidP="007040EB">
            <w:pPr>
              <w:tabs>
                <w:tab w:val="left" w:pos="142"/>
              </w:tabs>
              <w:rPr>
                <w:b/>
              </w:rPr>
            </w:pPr>
            <w:r w:rsidRPr="001B4A02">
              <w:rPr>
                <w:b/>
              </w:rPr>
              <w:t>1.</w:t>
            </w:r>
            <w:r w:rsidRPr="001B4A02">
              <w:rPr>
                <w:b/>
              </w:rPr>
              <w:tab/>
              <w:t>NÁZEV LÉČIVÉHO PŘÍPRAVKU A CESTA PODÁNÍ</w:t>
            </w:r>
          </w:p>
        </w:tc>
      </w:tr>
    </w:tbl>
    <w:p w14:paraId="77BE08AD" w14:textId="77777777" w:rsidR="00E01AD4" w:rsidRPr="001B4A02" w:rsidRDefault="00E01AD4" w:rsidP="00E01AD4"/>
    <w:p w14:paraId="505FC218" w14:textId="77777777" w:rsidR="00E01AD4" w:rsidRPr="001B4A02" w:rsidRDefault="00000000" w:rsidP="00E01AD4">
      <w:r w:rsidRPr="001B4A02">
        <w:t>Humira 20 mg injekce</w:t>
      </w:r>
    </w:p>
    <w:p w14:paraId="04A5E645" w14:textId="77777777" w:rsidR="00E01AD4" w:rsidRPr="001B4A02" w:rsidRDefault="00000000" w:rsidP="00E01AD4">
      <w:r w:rsidRPr="001B4A02">
        <w:t>adalimumab</w:t>
      </w:r>
      <w:del w:id="8473" w:author="Abbvie02" w:date="2025-05-16T11:48:00Z">
        <w:r w:rsidRPr="001B4A02">
          <w:delText>um</w:delText>
        </w:r>
      </w:del>
    </w:p>
    <w:p w14:paraId="6B7F867B" w14:textId="77777777" w:rsidR="00E01AD4" w:rsidRPr="001B4A02" w:rsidRDefault="00000000" w:rsidP="00E01AD4">
      <w:pPr>
        <w:rPr>
          <w:b/>
        </w:rPr>
      </w:pPr>
      <w:r w:rsidRPr="001B4A02">
        <w:t>s.c.</w:t>
      </w:r>
    </w:p>
    <w:p w14:paraId="16571D57" w14:textId="77777777" w:rsidR="00E01AD4" w:rsidRPr="001B4A02" w:rsidRDefault="00E01AD4" w:rsidP="00E01AD4"/>
    <w:p w14:paraId="270D4170" w14:textId="77777777" w:rsidR="00E01AD4" w:rsidRPr="001B4A02" w:rsidRDefault="00E01AD4" w:rsidP="00E01A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99B6F24" w14:textId="77777777" w:rsidTr="007040EB">
        <w:tc>
          <w:tcPr>
            <w:tcW w:w="9287" w:type="dxa"/>
          </w:tcPr>
          <w:p w14:paraId="42942D52" w14:textId="77777777" w:rsidR="00E01AD4" w:rsidRPr="001B4A02" w:rsidRDefault="00000000" w:rsidP="007040EB">
            <w:pPr>
              <w:tabs>
                <w:tab w:val="left" w:pos="142"/>
              </w:tabs>
              <w:rPr>
                <w:b/>
              </w:rPr>
            </w:pPr>
            <w:r w:rsidRPr="001B4A02">
              <w:rPr>
                <w:b/>
              </w:rPr>
              <w:t>2.</w:t>
            </w:r>
            <w:r w:rsidRPr="001B4A02">
              <w:rPr>
                <w:b/>
              </w:rPr>
              <w:tab/>
              <w:t>ZPŮSOB PODÁNÍ</w:t>
            </w:r>
          </w:p>
        </w:tc>
      </w:tr>
    </w:tbl>
    <w:p w14:paraId="6B039570" w14:textId="77777777" w:rsidR="00E01AD4" w:rsidRPr="001B4A02" w:rsidRDefault="00E01AD4" w:rsidP="00E01AD4"/>
    <w:p w14:paraId="0388CFF8" w14:textId="77777777" w:rsidR="00E01AD4" w:rsidRPr="001B4A02" w:rsidRDefault="00E01AD4" w:rsidP="00E01A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AF54698" w14:textId="77777777" w:rsidTr="007040EB">
        <w:tc>
          <w:tcPr>
            <w:tcW w:w="9287" w:type="dxa"/>
          </w:tcPr>
          <w:p w14:paraId="329F0E53" w14:textId="77777777" w:rsidR="00E01AD4" w:rsidRPr="001B4A02" w:rsidRDefault="00000000" w:rsidP="007040EB">
            <w:pPr>
              <w:tabs>
                <w:tab w:val="left" w:pos="142"/>
              </w:tabs>
              <w:rPr>
                <w:b/>
              </w:rPr>
            </w:pPr>
            <w:r w:rsidRPr="001B4A02">
              <w:rPr>
                <w:b/>
              </w:rPr>
              <w:t>3.</w:t>
            </w:r>
            <w:r w:rsidRPr="001B4A02">
              <w:rPr>
                <w:b/>
              </w:rPr>
              <w:tab/>
              <w:t>POUŽITELNOST</w:t>
            </w:r>
          </w:p>
        </w:tc>
      </w:tr>
    </w:tbl>
    <w:p w14:paraId="4EA1F0C9" w14:textId="77777777" w:rsidR="00E01AD4" w:rsidRPr="001B4A02" w:rsidRDefault="00E01AD4" w:rsidP="00E01AD4"/>
    <w:p w14:paraId="359F385F" w14:textId="77777777" w:rsidR="00E01AD4" w:rsidRPr="001B4A02" w:rsidRDefault="00000000" w:rsidP="00E01AD4">
      <w:r w:rsidRPr="001B4A02">
        <w:t>EXP</w:t>
      </w:r>
    </w:p>
    <w:p w14:paraId="384256D3" w14:textId="77777777" w:rsidR="00E01AD4" w:rsidRPr="001B4A02" w:rsidRDefault="00E01AD4" w:rsidP="00E01AD4"/>
    <w:p w14:paraId="6409ACF9" w14:textId="77777777" w:rsidR="00E01AD4" w:rsidRPr="001B4A02" w:rsidRDefault="00E01AD4" w:rsidP="00E01A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64353B0" w14:textId="77777777" w:rsidTr="007040EB">
        <w:tc>
          <w:tcPr>
            <w:tcW w:w="9287" w:type="dxa"/>
          </w:tcPr>
          <w:p w14:paraId="623DC1DE" w14:textId="77777777" w:rsidR="00E01AD4" w:rsidRPr="001B4A02" w:rsidRDefault="00000000" w:rsidP="007040EB">
            <w:pPr>
              <w:tabs>
                <w:tab w:val="left" w:pos="142"/>
              </w:tabs>
              <w:rPr>
                <w:b/>
              </w:rPr>
            </w:pPr>
            <w:r w:rsidRPr="001B4A02">
              <w:rPr>
                <w:b/>
              </w:rPr>
              <w:t>4.</w:t>
            </w:r>
            <w:r w:rsidRPr="001B4A02">
              <w:rPr>
                <w:b/>
              </w:rPr>
              <w:tab/>
              <w:t>ČÍSLO ŠARŽE</w:t>
            </w:r>
          </w:p>
        </w:tc>
      </w:tr>
    </w:tbl>
    <w:p w14:paraId="0FEE7250" w14:textId="77777777" w:rsidR="00E01AD4" w:rsidRPr="001B4A02" w:rsidRDefault="00E01AD4" w:rsidP="00E01AD4"/>
    <w:p w14:paraId="49A425C7" w14:textId="77777777" w:rsidR="00E01AD4" w:rsidRPr="001B4A02" w:rsidRDefault="00000000" w:rsidP="00E01AD4">
      <w:pPr>
        <w:ind w:right="113"/>
      </w:pPr>
      <w:r w:rsidRPr="001B4A02">
        <w:t>Lot</w:t>
      </w:r>
    </w:p>
    <w:p w14:paraId="394A1E68" w14:textId="77777777" w:rsidR="00E01AD4" w:rsidRPr="001B4A02" w:rsidRDefault="00E01AD4" w:rsidP="00E01AD4">
      <w:pPr>
        <w:ind w:right="113"/>
      </w:pPr>
    </w:p>
    <w:p w14:paraId="6B7D50D3" w14:textId="77777777" w:rsidR="00E01AD4" w:rsidRPr="001B4A02" w:rsidRDefault="00E01AD4" w:rsidP="00E01AD4">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E79B0DD" w14:textId="77777777" w:rsidTr="007040EB">
        <w:tc>
          <w:tcPr>
            <w:tcW w:w="9287" w:type="dxa"/>
          </w:tcPr>
          <w:p w14:paraId="41928EB6" w14:textId="77777777" w:rsidR="00E01AD4" w:rsidRPr="001B4A02" w:rsidRDefault="00000000" w:rsidP="007040EB">
            <w:pPr>
              <w:tabs>
                <w:tab w:val="left" w:pos="142"/>
              </w:tabs>
              <w:rPr>
                <w:b/>
              </w:rPr>
            </w:pPr>
            <w:r w:rsidRPr="001B4A02">
              <w:rPr>
                <w:b/>
              </w:rPr>
              <w:t>5.</w:t>
            </w:r>
            <w:r w:rsidRPr="001B4A02">
              <w:rPr>
                <w:b/>
              </w:rPr>
              <w:tab/>
              <w:t>OBSAH UDANÝ JAKO HMOTNOST, OBJEM NEBO POČET DÁVEK</w:t>
            </w:r>
          </w:p>
        </w:tc>
      </w:tr>
    </w:tbl>
    <w:p w14:paraId="0D82D279" w14:textId="77777777" w:rsidR="00E01AD4" w:rsidRPr="001B4A02" w:rsidRDefault="00E01AD4" w:rsidP="00E01AD4"/>
    <w:p w14:paraId="6ED12AAB" w14:textId="77777777" w:rsidR="00E01AD4" w:rsidRPr="001B4A02" w:rsidRDefault="00000000" w:rsidP="00E01AD4">
      <w:r w:rsidRPr="001B4A02">
        <w:t>20 mg</w:t>
      </w:r>
      <w:r w:rsidRPr="001B4A02">
        <w:rPr>
          <w:highlight w:val="lightGray"/>
        </w:rPr>
        <w:t>/0,2 ml</w:t>
      </w:r>
    </w:p>
    <w:p w14:paraId="695EE398" w14:textId="77777777" w:rsidR="00E01AD4" w:rsidRPr="001B4A02" w:rsidRDefault="00E01AD4" w:rsidP="00E01AD4"/>
    <w:p w14:paraId="784E399F" w14:textId="77777777" w:rsidR="00E01AD4" w:rsidRPr="001B4A02" w:rsidRDefault="00E01AD4" w:rsidP="00E01A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C52D2D2" w14:textId="77777777" w:rsidTr="007040EB">
        <w:tc>
          <w:tcPr>
            <w:tcW w:w="9287" w:type="dxa"/>
          </w:tcPr>
          <w:p w14:paraId="6C058F2E" w14:textId="77777777" w:rsidR="00E01AD4" w:rsidRPr="001B4A02" w:rsidRDefault="00000000" w:rsidP="007040EB">
            <w:pPr>
              <w:tabs>
                <w:tab w:val="left" w:pos="142"/>
              </w:tabs>
              <w:rPr>
                <w:b/>
              </w:rPr>
            </w:pPr>
            <w:r w:rsidRPr="001B4A02">
              <w:rPr>
                <w:b/>
              </w:rPr>
              <w:t>6.</w:t>
            </w:r>
            <w:r w:rsidRPr="001B4A02">
              <w:rPr>
                <w:b/>
              </w:rPr>
              <w:tab/>
              <w:t>JINÉ</w:t>
            </w:r>
          </w:p>
        </w:tc>
      </w:tr>
    </w:tbl>
    <w:p w14:paraId="006E868E" w14:textId="77777777" w:rsidR="00E01AD4" w:rsidRPr="001B4A02" w:rsidRDefault="00E01AD4" w:rsidP="00DB71B8"/>
    <w:p w14:paraId="2B2C94E8" w14:textId="77777777" w:rsidR="00E01AD4" w:rsidRPr="001B4A02" w:rsidRDefault="00000000" w:rsidP="00DB71B8">
      <w:r w:rsidRPr="001B4A02">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8474" w:author="AbbVie1" w:date="2025-05-13T09:57:00Z">
          <w:tblPr>
            <w:tblW w:w="0" w:type="auto"/>
            <w:tblLayout w:type="fixed"/>
            <w:tblLook w:val="04A0" w:firstRow="1" w:lastRow="0" w:firstColumn="1" w:lastColumn="0" w:noHBand="0" w:noVBand="1"/>
          </w:tblPr>
        </w:tblPrChange>
      </w:tblPr>
      <w:tblGrid>
        <w:gridCol w:w="9287"/>
        <w:tblGridChange w:id="8475">
          <w:tblGrid>
            <w:gridCol w:w="5"/>
            <w:gridCol w:w="355"/>
            <w:gridCol w:w="8932"/>
          </w:tblGrid>
        </w:tblGridChange>
      </w:tblGrid>
      <w:tr w:rsidR="00534A2D" w14:paraId="2A0484C9" w14:textId="77777777" w:rsidTr="0073620E">
        <w:trPr>
          <w:del w:id="8476" w:author="AbbVie1" w:date="2025-05-13T09:57:00Z"/>
          <w:trPrChange w:id="8477" w:author="AbbVie1" w:date="2025-05-13T09:57:00Z">
            <w:trPr>
              <w:gridAfter w:val="0"/>
            </w:trPr>
          </w:trPrChange>
        </w:trPr>
        <w:tc>
          <w:tcPr>
            <w:tcW w:w="9287" w:type="dxa"/>
            <w:tcPrChange w:id="8478" w:author="AbbVie1" w:date="2025-05-13T09:57:00Z">
              <w:tcPr>
                <w:tcW w:w="9287" w:type="dxa"/>
                <w:gridSpan w:val="2"/>
              </w:tcPr>
            </w:tcPrChange>
          </w:tcPr>
          <w:p w14:paraId="68595F46" w14:textId="77777777" w:rsidR="00D3167C" w:rsidRPr="00490910" w:rsidRDefault="00000000" w:rsidP="00AD6F48">
            <w:pPr>
              <w:ind w:left="0" w:firstLine="0"/>
              <w:rPr>
                <w:del w:id="8479" w:author="AbbVie1" w:date="2025-05-13T09:57:00Z"/>
                <w:b/>
              </w:rPr>
            </w:pPr>
            <w:del w:id="8480" w:author="AbbVie1" w:date="2025-05-13T09:57:00Z">
              <w:r w:rsidRPr="00490910">
                <w:rPr>
                  <w:b/>
                  <w:u w:val="single"/>
                </w:rPr>
                <w:br w:type="page"/>
              </w:r>
              <w:r w:rsidRPr="00490910">
                <w:rPr>
                  <w:b/>
                </w:rPr>
                <w:delText>ÚDAJE UVÁDĚNÉ NA VNĚJŠÍM OBALU</w:delText>
              </w:r>
            </w:del>
          </w:p>
          <w:p w14:paraId="47A8E159" w14:textId="77777777" w:rsidR="00D3167C" w:rsidRPr="00CA2697" w:rsidRDefault="00D3167C" w:rsidP="00AD6F48">
            <w:pPr>
              <w:rPr>
                <w:del w:id="8481" w:author="AbbVie1" w:date="2025-05-13T09:57:00Z"/>
              </w:rPr>
            </w:pPr>
          </w:p>
          <w:p w14:paraId="34D9FE7B" w14:textId="77777777" w:rsidR="00D3167C" w:rsidRPr="00490910" w:rsidRDefault="00000000" w:rsidP="00AD6F48">
            <w:pPr>
              <w:rPr>
                <w:del w:id="8482" w:author="AbbVie1" w:date="2025-05-13T09:57:00Z"/>
                <w:b/>
                <w:caps/>
              </w:rPr>
            </w:pPr>
            <w:del w:id="8483" w:author="AbbVie1" w:date="2025-05-13T09:57:00Z">
              <w:r w:rsidRPr="00490910">
                <w:rPr>
                  <w:b/>
                  <w:caps/>
                </w:rPr>
                <w:delText>Krabička</w:delText>
              </w:r>
            </w:del>
          </w:p>
        </w:tc>
      </w:tr>
    </w:tbl>
    <w:p w14:paraId="0A66CD2B" w14:textId="77777777" w:rsidR="00D3167C" w:rsidRPr="00490910" w:rsidRDefault="00D3167C" w:rsidP="00D3167C">
      <w:pPr>
        <w:rPr>
          <w:del w:id="8484" w:author="AbbVie1" w:date="2025-05-13T09:57:00Z"/>
        </w:rPr>
      </w:pPr>
    </w:p>
    <w:p w14:paraId="24D99C4D" w14:textId="77777777" w:rsidR="00380A2E" w:rsidRPr="001B4A02" w:rsidRDefault="00380A2E" w:rsidP="00ED48A3">
      <w:pPr>
        <w:rPr>
          <w:del w:id="8485"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9773621" w14:textId="77777777" w:rsidTr="00380A2E">
        <w:trPr>
          <w:del w:id="8486"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4B4DF9DB" w14:textId="77777777" w:rsidR="00380A2E" w:rsidRPr="001B4A02" w:rsidRDefault="00000000" w:rsidP="00ED48A3">
            <w:pPr>
              <w:tabs>
                <w:tab w:val="left" w:pos="142"/>
              </w:tabs>
              <w:rPr>
                <w:del w:id="8487" w:author="AbbVie1" w:date="2025-05-13T09:57:00Z"/>
                <w:b/>
              </w:rPr>
            </w:pPr>
            <w:del w:id="8488" w:author="AbbVie1" w:date="2025-05-13T09:57:00Z">
              <w:r w:rsidRPr="001B4A02">
                <w:rPr>
                  <w:b/>
                </w:rPr>
                <w:delText>1.</w:delText>
              </w:r>
              <w:r w:rsidRPr="001B4A02">
                <w:rPr>
                  <w:b/>
                </w:rPr>
                <w:tab/>
                <w:delText>NÁZEV LÉČIVÉHO PŘÍPRAVKU</w:delText>
              </w:r>
            </w:del>
          </w:p>
        </w:tc>
      </w:tr>
    </w:tbl>
    <w:p w14:paraId="3D645539" w14:textId="77777777" w:rsidR="00380A2E" w:rsidRPr="001B4A02" w:rsidRDefault="00380A2E" w:rsidP="00ED48A3">
      <w:pPr>
        <w:rPr>
          <w:del w:id="8489" w:author="AbbVie1" w:date="2025-05-13T09:57:00Z"/>
        </w:rPr>
      </w:pPr>
    </w:p>
    <w:p w14:paraId="4D263F40" w14:textId="77777777" w:rsidR="00E01AD4" w:rsidRPr="001B4A02" w:rsidRDefault="00000000" w:rsidP="004D0686">
      <w:pPr>
        <w:outlineLvl w:val="0"/>
        <w:rPr>
          <w:del w:id="8490" w:author="AbbVie1" w:date="2025-05-13T09:57:00Z"/>
        </w:rPr>
      </w:pPr>
      <w:del w:id="8491" w:author="AbbVie1" w:date="2025-05-13T09:57:00Z">
        <w:r w:rsidRPr="001B4A02">
          <w:delText>Humira 40 mg</w:delText>
        </w:r>
        <w:r w:rsidR="0001183F" w:rsidRPr="001B4A02">
          <w:delText>/0,8</w:delText>
        </w:r>
        <w:r w:rsidR="00874DE1" w:rsidRPr="00005EC2">
          <w:rPr>
            <w:szCs w:val="22"/>
          </w:rPr>
          <w:delText> </w:delText>
        </w:r>
        <w:r w:rsidR="0001183F" w:rsidRPr="001B4A02">
          <w:delText xml:space="preserve">ml </w:delText>
        </w:r>
        <w:r w:rsidRPr="001B4A02">
          <w:delText>injekční roztok</w:delText>
        </w:r>
        <w:r w:rsidR="00B07F54" w:rsidRPr="001B4A02">
          <w:delText xml:space="preserve"> </w:delText>
        </w:r>
      </w:del>
    </w:p>
    <w:p w14:paraId="4F556865" w14:textId="77777777" w:rsidR="00380A2E" w:rsidRPr="001B4A02" w:rsidRDefault="00000000" w:rsidP="00ED48A3">
      <w:pPr>
        <w:rPr>
          <w:del w:id="8492" w:author="AbbVie1" w:date="2025-05-13T09:57:00Z"/>
        </w:rPr>
      </w:pPr>
      <w:del w:id="8493" w:author="AbbVie1" w:date="2025-05-13T09:57:00Z">
        <w:r w:rsidRPr="001B4A02">
          <w:delText>adalimumabum</w:delText>
        </w:r>
      </w:del>
    </w:p>
    <w:p w14:paraId="1A92C4FC" w14:textId="77777777" w:rsidR="00380A2E" w:rsidRPr="001B4A02" w:rsidRDefault="00380A2E" w:rsidP="00ED48A3">
      <w:pPr>
        <w:rPr>
          <w:del w:id="8494" w:author="AbbVie1" w:date="2025-05-13T09:57:00Z"/>
        </w:rPr>
      </w:pPr>
    </w:p>
    <w:p w14:paraId="0B9BA64E" w14:textId="77777777" w:rsidR="00380A2E" w:rsidRPr="001B4A02" w:rsidRDefault="00380A2E" w:rsidP="00ED48A3">
      <w:pPr>
        <w:rPr>
          <w:del w:id="8495"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4773378" w14:textId="77777777" w:rsidTr="00380A2E">
        <w:trPr>
          <w:del w:id="8496"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6D47BEFF" w14:textId="77777777" w:rsidR="00380A2E" w:rsidRPr="001B4A02" w:rsidRDefault="00000000" w:rsidP="00ED48A3">
            <w:pPr>
              <w:tabs>
                <w:tab w:val="left" w:pos="142"/>
              </w:tabs>
              <w:rPr>
                <w:del w:id="8497" w:author="AbbVie1" w:date="2025-05-13T09:57:00Z"/>
                <w:b/>
              </w:rPr>
            </w:pPr>
            <w:del w:id="8498" w:author="AbbVie1" w:date="2025-05-13T09:57:00Z">
              <w:r w:rsidRPr="001B4A02">
                <w:rPr>
                  <w:b/>
                </w:rPr>
                <w:delText>2.</w:delText>
              </w:r>
              <w:r w:rsidRPr="001B4A02">
                <w:rPr>
                  <w:b/>
                </w:rPr>
                <w:tab/>
                <w:delText>OBSAH LÉČIVÉ LÁTKY</w:delText>
              </w:r>
            </w:del>
          </w:p>
        </w:tc>
      </w:tr>
    </w:tbl>
    <w:p w14:paraId="1BFE8618" w14:textId="77777777" w:rsidR="00380A2E" w:rsidRPr="001B4A02" w:rsidRDefault="00380A2E" w:rsidP="00ED48A3">
      <w:pPr>
        <w:rPr>
          <w:del w:id="8499" w:author="AbbVie1" w:date="2025-05-13T09:57:00Z"/>
        </w:rPr>
      </w:pPr>
    </w:p>
    <w:p w14:paraId="0E6B182B" w14:textId="77777777" w:rsidR="00380A2E" w:rsidRPr="001B4A02" w:rsidRDefault="00000000" w:rsidP="00ED48A3">
      <w:pPr>
        <w:rPr>
          <w:del w:id="8500" w:author="AbbVie1" w:date="2025-05-13T09:57:00Z"/>
        </w:rPr>
      </w:pPr>
      <w:del w:id="8501" w:author="AbbVie1" w:date="2025-05-13T09:57:00Z">
        <w:r w:rsidRPr="001B4A02">
          <w:delText>Jedna 0,8ml injekční lahvička obsahuje adalimumabum 40</w:delText>
        </w:r>
        <w:r w:rsidR="00874DE1" w:rsidRPr="00005EC2">
          <w:rPr>
            <w:szCs w:val="22"/>
          </w:rPr>
          <w:delText> </w:delText>
        </w:r>
        <w:r w:rsidRPr="001B4A02">
          <w:delText>mg</w:delText>
        </w:r>
        <w:r w:rsidR="004D43B2" w:rsidRPr="001B4A02">
          <w:delText>.</w:delText>
        </w:r>
      </w:del>
    </w:p>
    <w:p w14:paraId="3D8AEE1B" w14:textId="77777777" w:rsidR="00380A2E" w:rsidRPr="001B4A02" w:rsidRDefault="00380A2E" w:rsidP="00ED48A3">
      <w:pPr>
        <w:rPr>
          <w:del w:id="8502" w:author="AbbVie1" w:date="2025-05-13T09:57:00Z"/>
        </w:rPr>
      </w:pPr>
    </w:p>
    <w:p w14:paraId="15DD5C66" w14:textId="77777777" w:rsidR="00380A2E" w:rsidRPr="001B4A02" w:rsidRDefault="00380A2E" w:rsidP="00ED48A3">
      <w:pPr>
        <w:rPr>
          <w:del w:id="8503"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AE5331D" w14:textId="77777777" w:rsidTr="00380A2E">
        <w:trPr>
          <w:del w:id="8504"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682E7FAE" w14:textId="77777777" w:rsidR="00380A2E" w:rsidRPr="001B4A02" w:rsidRDefault="00000000" w:rsidP="00ED48A3">
            <w:pPr>
              <w:tabs>
                <w:tab w:val="left" w:pos="142"/>
              </w:tabs>
              <w:rPr>
                <w:del w:id="8505" w:author="AbbVie1" w:date="2025-05-13T09:57:00Z"/>
                <w:b/>
              </w:rPr>
            </w:pPr>
            <w:del w:id="8506" w:author="AbbVie1" w:date="2025-05-13T09:57:00Z">
              <w:r w:rsidRPr="001B4A02">
                <w:rPr>
                  <w:b/>
                </w:rPr>
                <w:delText>3.</w:delText>
              </w:r>
              <w:r w:rsidRPr="001B4A02">
                <w:rPr>
                  <w:b/>
                </w:rPr>
                <w:tab/>
                <w:delText>SEZNAM POMOCNÝCH LÁTEK</w:delText>
              </w:r>
            </w:del>
          </w:p>
        </w:tc>
      </w:tr>
    </w:tbl>
    <w:p w14:paraId="25E6D7DF" w14:textId="77777777" w:rsidR="00380A2E" w:rsidRPr="001B4A02" w:rsidRDefault="00380A2E" w:rsidP="00ED48A3">
      <w:pPr>
        <w:rPr>
          <w:del w:id="8507" w:author="AbbVie1" w:date="2025-05-13T09:57:00Z"/>
        </w:rPr>
      </w:pPr>
    </w:p>
    <w:p w14:paraId="23F454EA" w14:textId="77777777" w:rsidR="00380A2E" w:rsidRPr="001B4A02" w:rsidRDefault="00000000" w:rsidP="00ED48A3">
      <w:pPr>
        <w:ind w:left="0" w:firstLine="0"/>
        <w:rPr>
          <w:del w:id="8508" w:author="AbbVie1" w:date="2025-05-13T09:57:00Z"/>
        </w:rPr>
      </w:pPr>
      <w:del w:id="8509" w:author="AbbVie1" w:date="2025-05-13T09:57:00Z">
        <w:r w:rsidRPr="001B4A02">
          <w:delText xml:space="preserve">Pomocné látky: mannitol, monohydrát kyseliny citronové, dihydrát </w:delText>
        </w:r>
        <w:r w:rsidR="007A4774" w:rsidRPr="001B4A02">
          <w:delText>natrium-citrátu</w:delText>
        </w:r>
        <w:r w:rsidRPr="001B4A02">
          <w:delText>, dihydrát dihydrogenfosforečnanu sodného, dihydrát hydrogenfosforečnanu sodného, chlorid sodný, polysorbát 80, hydroxid sodný</w:delText>
        </w:r>
        <w:r w:rsidR="002378E0">
          <w:delText xml:space="preserve"> a </w:delText>
        </w:r>
        <w:r w:rsidRPr="001B4A02">
          <w:delText xml:space="preserve">voda </w:delText>
        </w:r>
        <w:r w:rsidR="00202301" w:rsidRPr="001B4A02">
          <w:delText>pro</w:delText>
        </w:r>
        <w:r w:rsidRPr="001B4A02">
          <w:delText xml:space="preserve"> injekci. Další informace naleznete v příbalové informaci.</w:delText>
        </w:r>
      </w:del>
    </w:p>
    <w:p w14:paraId="6F6A52BF" w14:textId="77777777" w:rsidR="00380A2E" w:rsidRPr="001B4A02" w:rsidRDefault="00380A2E" w:rsidP="00ED48A3">
      <w:pPr>
        <w:rPr>
          <w:del w:id="8510" w:author="AbbVie1" w:date="2025-05-13T09:57:00Z"/>
        </w:rPr>
      </w:pPr>
    </w:p>
    <w:p w14:paraId="5CF55D00" w14:textId="77777777" w:rsidR="00380A2E" w:rsidRPr="001B4A02" w:rsidRDefault="00380A2E" w:rsidP="00ED48A3">
      <w:pPr>
        <w:rPr>
          <w:del w:id="8511"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DEF51AC" w14:textId="77777777" w:rsidTr="00380A2E">
        <w:trPr>
          <w:del w:id="8512"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4BFDAD54" w14:textId="77777777" w:rsidR="00380A2E" w:rsidRPr="001B4A02" w:rsidRDefault="00000000" w:rsidP="00ED48A3">
            <w:pPr>
              <w:tabs>
                <w:tab w:val="left" w:pos="142"/>
              </w:tabs>
              <w:rPr>
                <w:del w:id="8513" w:author="AbbVie1" w:date="2025-05-13T09:57:00Z"/>
                <w:b/>
              </w:rPr>
            </w:pPr>
            <w:del w:id="8514" w:author="AbbVie1" w:date="2025-05-13T09:57:00Z">
              <w:r w:rsidRPr="001B4A02">
                <w:rPr>
                  <w:b/>
                </w:rPr>
                <w:delText>4.</w:delText>
              </w:r>
              <w:r w:rsidRPr="001B4A02">
                <w:rPr>
                  <w:b/>
                </w:rPr>
                <w:tab/>
                <w:delText xml:space="preserve">LÉKOVÁ FORMA A </w:delText>
              </w:r>
              <w:r w:rsidR="007E1237" w:rsidRPr="001B4A02">
                <w:rPr>
                  <w:b/>
                </w:rPr>
                <w:delText xml:space="preserve">OBSAH </w:delText>
              </w:r>
              <w:r w:rsidRPr="001B4A02">
                <w:rPr>
                  <w:b/>
                </w:rPr>
                <w:delText>BALENÍ</w:delText>
              </w:r>
            </w:del>
          </w:p>
        </w:tc>
      </w:tr>
    </w:tbl>
    <w:p w14:paraId="411D0B60" w14:textId="77777777" w:rsidR="00380A2E" w:rsidRPr="001B4A02" w:rsidRDefault="00380A2E" w:rsidP="00ED48A3">
      <w:pPr>
        <w:rPr>
          <w:del w:id="8515" w:author="AbbVie1" w:date="2025-05-13T09:57:00Z"/>
        </w:rPr>
      </w:pPr>
    </w:p>
    <w:p w14:paraId="124A3E31" w14:textId="77777777" w:rsidR="00E01AD4" w:rsidRPr="001B4A02" w:rsidRDefault="00000000" w:rsidP="00ED48A3">
      <w:pPr>
        <w:rPr>
          <w:del w:id="8516" w:author="AbbVie1" w:date="2025-05-13T09:57:00Z"/>
        </w:rPr>
      </w:pPr>
      <w:del w:id="8517" w:author="AbbVie1" w:date="2025-05-13T09:57:00Z">
        <w:r w:rsidRPr="001B4A02">
          <w:rPr>
            <w:highlight w:val="lightGray"/>
          </w:rPr>
          <w:delText>Injekční roztok</w:delText>
        </w:r>
      </w:del>
    </w:p>
    <w:p w14:paraId="454088E2" w14:textId="77777777" w:rsidR="0001183F" w:rsidRPr="001B4A02" w:rsidRDefault="00000000" w:rsidP="00ED48A3">
      <w:pPr>
        <w:rPr>
          <w:del w:id="8518" w:author="AbbVie1" w:date="2025-05-13T09:57:00Z"/>
        </w:rPr>
      </w:pPr>
      <w:del w:id="8519" w:author="AbbVie1" w:date="2025-05-13T09:57:00Z">
        <w:r w:rsidRPr="001B4A02">
          <w:delText>Obsahuje 2 krabičky, každá z nich k jednorázovému injekčnímu podání</w:delText>
        </w:r>
        <w:r w:rsidR="004D43B2" w:rsidRPr="001B4A02">
          <w:delText>.</w:delText>
        </w:r>
      </w:del>
    </w:p>
    <w:p w14:paraId="57D030F3" w14:textId="77777777" w:rsidR="0001183F" w:rsidRPr="001B4A02" w:rsidRDefault="00000000" w:rsidP="00ED48A3">
      <w:pPr>
        <w:rPr>
          <w:del w:id="8520" w:author="AbbVie1" w:date="2025-05-13T09:57:00Z"/>
          <w:b/>
        </w:rPr>
      </w:pPr>
      <w:del w:id="8521" w:author="AbbVie1" w:date="2025-05-13T09:57:00Z">
        <w:r w:rsidRPr="001B4A02">
          <w:rPr>
            <w:b/>
          </w:rPr>
          <w:delText>Každá krabička obsahuje:</w:delText>
        </w:r>
      </w:del>
    </w:p>
    <w:p w14:paraId="68F2B4DD" w14:textId="77777777" w:rsidR="00380A2E" w:rsidRPr="001B4A02" w:rsidRDefault="00000000" w:rsidP="00ED48A3">
      <w:pPr>
        <w:rPr>
          <w:del w:id="8522" w:author="AbbVie1" w:date="2025-05-13T09:57:00Z"/>
        </w:rPr>
      </w:pPr>
      <w:del w:id="8523" w:author="AbbVie1" w:date="2025-05-13T09:57:00Z">
        <w:r w:rsidRPr="001B4A02">
          <w:delText xml:space="preserve">1 injekční lahvička </w:delText>
        </w:r>
      </w:del>
    </w:p>
    <w:p w14:paraId="42117347" w14:textId="77777777" w:rsidR="00380A2E" w:rsidRPr="001B4A02" w:rsidRDefault="00000000" w:rsidP="00ED48A3">
      <w:pPr>
        <w:rPr>
          <w:del w:id="8524" w:author="AbbVie1" w:date="2025-05-13T09:57:00Z"/>
        </w:rPr>
      </w:pPr>
      <w:del w:id="8525" w:author="AbbVie1" w:date="2025-05-13T09:57:00Z">
        <w:r w:rsidRPr="001B4A02">
          <w:delText>1 sterilní injekční stříkačka</w:delText>
        </w:r>
      </w:del>
    </w:p>
    <w:p w14:paraId="32804156" w14:textId="77777777" w:rsidR="002B4707" w:rsidRPr="001B4A02" w:rsidRDefault="00000000" w:rsidP="00ED48A3">
      <w:pPr>
        <w:rPr>
          <w:del w:id="8526" w:author="AbbVie1" w:date="2025-05-13T09:57:00Z"/>
        </w:rPr>
      </w:pPr>
      <w:del w:id="8527" w:author="AbbVie1" w:date="2025-05-13T09:57:00Z">
        <w:r w:rsidRPr="001B4A02">
          <w:delText>1 sterilní jehla</w:delText>
        </w:r>
      </w:del>
    </w:p>
    <w:p w14:paraId="7D575236" w14:textId="77777777" w:rsidR="002B4707" w:rsidRPr="001B4A02" w:rsidRDefault="00000000" w:rsidP="00ED48A3">
      <w:pPr>
        <w:rPr>
          <w:del w:id="8528" w:author="AbbVie1" w:date="2025-05-13T09:57:00Z"/>
        </w:rPr>
      </w:pPr>
      <w:del w:id="8529" w:author="AbbVie1" w:date="2025-05-13T09:57:00Z">
        <w:r w:rsidRPr="001B4A02">
          <w:delText>1 sterilní adaptér k lahvičce</w:delText>
        </w:r>
      </w:del>
    </w:p>
    <w:p w14:paraId="19F9D6E2" w14:textId="77777777" w:rsidR="00380A2E" w:rsidRPr="001B4A02" w:rsidRDefault="00000000" w:rsidP="00ED48A3">
      <w:pPr>
        <w:rPr>
          <w:del w:id="8530" w:author="AbbVie1" w:date="2025-05-13T09:57:00Z"/>
        </w:rPr>
      </w:pPr>
      <w:del w:id="8531" w:author="AbbVie1" w:date="2025-05-13T09:57:00Z">
        <w:r w:rsidRPr="001B4A02">
          <w:delText>2 tampóny napuštěné alkoholem</w:delText>
        </w:r>
      </w:del>
    </w:p>
    <w:p w14:paraId="20B559EB" w14:textId="77777777" w:rsidR="00380A2E" w:rsidRPr="001B4A02" w:rsidRDefault="00380A2E" w:rsidP="00ED48A3">
      <w:pPr>
        <w:rPr>
          <w:del w:id="8532" w:author="AbbVie1" w:date="2025-05-13T09:57:00Z"/>
        </w:rPr>
      </w:pPr>
    </w:p>
    <w:p w14:paraId="68476097" w14:textId="77777777" w:rsidR="00380A2E" w:rsidRPr="001B4A02" w:rsidRDefault="00380A2E" w:rsidP="00ED48A3">
      <w:pPr>
        <w:rPr>
          <w:del w:id="8533"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E02A578" w14:textId="77777777" w:rsidTr="00380A2E">
        <w:trPr>
          <w:del w:id="8534"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155160FE" w14:textId="77777777" w:rsidR="00380A2E" w:rsidRPr="001B4A02" w:rsidRDefault="00000000" w:rsidP="00ED48A3">
            <w:pPr>
              <w:tabs>
                <w:tab w:val="left" w:pos="142"/>
              </w:tabs>
              <w:rPr>
                <w:del w:id="8535" w:author="AbbVie1" w:date="2025-05-13T09:57:00Z"/>
                <w:b/>
              </w:rPr>
            </w:pPr>
            <w:del w:id="8536" w:author="AbbVie1" w:date="2025-05-13T09:57:00Z">
              <w:r w:rsidRPr="001B4A02">
                <w:rPr>
                  <w:b/>
                </w:rPr>
                <w:delText>5.</w:delText>
              </w:r>
              <w:r w:rsidRPr="001B4A02">
                <w:rPr>
                  <w:b/>
                </w:rPr>
                <w:tab/>
                <w:delText>ZPŮSOB A CESTA PODÁNÍ</w:delText>
              </w:r>
            </w:del>
          </w:p>
        </w:tc>
      </w:tr>
    </w:tbl>
    <w:p w14:paraId="7692EB72" w14:textId="77777777" w:rsidR="00380A2E" w:rsidRPr="001B4A02" w:rsidRDefault="00380A2E" w:rsidP="00ED48A3">
      <w:pPr>
        <w:rPr>
          <w:del w:id="8537" w:author="AbbVie1" w:date="2025-05-13T09:57:00Z"/>
        </w:rPr>
      </w:pPr>
    </w:p>
    <w:p w14:paraId="7D5F622E" w14:textId="77777777" w:rsidR="00380A2E" w:rsidRPr="001B4A02" w:rsidRDefault="00000000" w:rsidP="00ED48A3">
      <w:pPr>
        <w:rPr>
          <w:del w:id="8538" w:author="AbbVie1" w:date="2025-05-13T09:57:00Z"/>
        </w:rPr>
      </w:pPr>
      <w:del w:id="8539" w:author="AbbVie1" w:date="2025-05-13T09:57:00Z">
        <w:r w:rsidRPr="001B4A02">
          <w:delText>Subkutánní podání</w:delText>
        </w:r>
      </w:del>
    </w:p>
    <w:p w14:paraId="4F4682F5" w14:textId="77777777" w:rsidR="00380A2E" w:rsidRPr="001B4A02" w:rsidRDefault="00380A2E" w:rsidP="00ED48A3">
      <w:pPr>
        <w:rPr>
          <w:del w:id="8540" w:author="AbbVie1" w:date="2025-05-13T09:57:00Z"/>
        </w:rPr>
      </w:pPr>
    </w:p>
    <w:p w14:paraId="5F1AE1C5" w14:textId="77777777" w:rsidR="00380A2E" w:rsidRPr="001B4A02" w:rsidRDefault="00000000" w:rsidP="00ED48A3">
      <w:pPr>
        <w:rPr>
          <w:del w:id="8541" w:author="AbbVie1" w:date="2025-05-13T09:57:00Z"/>
        </w:rPr>
      </w:pPr>
      <w:del w:id="8542" w:author="AbbVie1" w:date="2025-05-13T09:57:00Z">
        <w:r w:rsidRPr="001B4A02">
          <w:delText>Před použitím si přečtěte příbalovou informaci.</w:delText>
        </w:r>
      </w:del>
    </w:p>
    <w:p w14:paraId="25542A92" w14:textId="77777777" w:rsidR="00E01AD4" w:rsidRPr="001B4A02" w:rsidRDefault="00E01AD4" w:rsidP="00ED48A3">
      <w:pPr>
        <w:rPr>
          <w:del w:id="8543" w:author="AbbVie1" w:date="2025-05-13T09:57:00Z"/>
        </w:rPr>
      </w:pPr>
    </w:p>
    <w:p w14:paraId="28F1DB03" w14:textId="77777777" w:rsidR="00E01AD4" w:rsidRPr="001B4A02" w:rsidRDefault="00000000" w:rsidP="00ED48A3">
      <w:pPr>
        <w:rPr>
          <w:del w:id="8544" w:author="AbbVie1" w:date="2025-05-13T09:57:00Z"/>
        </w:rPr>
      </w:pPr>
      <w:del w:id="8545" w:author="AbbVie1" w:date="2025-05-13T09:57:00Z">
        <w:r w:rsidRPr="001B4A02">
          <w:delText>Pro pediatrické použití</w:delText>
        </w:r>
      </w:del>
    </w:p>
    <w:p w14:paraId="616BCFDD" w14:textId="77777777" w:rsidR="00380A2E" w:rsidRPr="001B4A02" w:rsidRDefault="00380A2E" w:rsidP="00ED48A3">
      <w:pPr>
        <w:rPr>
          <w:del w:id="8546" w:author="AbbVie1" w:date="2025-05-13T09:57:00Z"/>
        </w:rPr>
      </w:pPr>
    </w:p>
    <w:p w14:paraId="00123FF5" w14:textId="77777777" w:rsidR="00380A2E" w:rsidRPr="001B4A02" w:rsidRDefault="00380A2E" w:rsidP="00ED48A3">
      <w:pPr>
        <w:rPr>
          <w:del w:id="8547"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B46069A" w14:textId="77777777" w:rsidTr="00380A2E">
        <w:trPr>
          <w:del w:id="8548"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572C5858" w14:textId="77777777" w:rsidR="00380A2E" w:rsidRPr="001B4A02" w:rsidRDefault="00000000" w:rsidP="00ED48A3">
            <w:pPr>
              <w:tabs>
                <w:tab w:val="left" w:pos="142"/>
              </w:tabs>
              <w:rPr>
                <w:del w:id="8549" w:author="AbbVie1" w:date="2025-05-13T09:57:00Z"/>
                <w:b/>
              </w:rPr>
            </w:pPr>
            <w:del w:id="8550" w:author="AbbVie1" w:date="2025-05-13T09:57:00Z">
              <w:r w:rsidRPr="001B4A02">
                <w:rPr>
                  <w:b/>
                </w:rPr>
                <w:delText>6.</w:delText>
              </w:r>
              <w:r w:rsidRPr="001B4A02">
                <w:rPr>
                  <w:b/>
                </w:rPr>
                <w:tab/>
                <w:delText xml:space="preserve">ZVLÁŠTNÍ UPOZORNĚNÍ, ŽE LÉČIVÝ PŘÍPRAVEK MUSÍ BÝT UCHOVÁVÁN MIMO </w:delText>
              </w:r>
              <w:r w:rsidR="0041401B" w:rsidRPr="001B4A02">
                <w:rPr>
                  <w:b/>
                </w:rPr>
                <w:delText xml:space="preserve">DOHLED A </w:delText>
              </w:r>
              <w:r w:rsidRPr="001B4A02">
                <w:rPr>
                  <w:b/>
                </w:rPr>
                <w:delText>DOSAH DĚTÍ</w:delText>
              </w:r>
            </w:del>
          </w:p>
        </w:tc>
      </w:tr>
    </w:tbl>
    <w:p w14:paraId="2878393C" w14:textId="77777777" w:rsidR="00380A2E" w:rsidRPr="001B4A02" w:rsidRDefault="00380A2E" w:rsidP="00ED48A3">
      <w:pPr>
        <w:rPr>
          <w:del w:id="8551" w:author="AbbVie1" w:date="2025-05-13T09:57:00Z"/>
        </w:rPr>
      </w:pPr>
    </w:p>
    <w:p w14:paraId="27386CDE" w14:textId="77777777" w:rsidR="00380A2E" w:rsidRPr="001B4A02" w:rsidRDefault="00000000" w:rsidP="007F7787">
      <w:pPr>
        <w:rPr>
          <w:del w:id="8552" w:author="AbbVie1" w:date="2025-05-13T09:57:00Z"/>
        </w:rPr>
      </w:pPr>
      <w:del w:id="8553" w:author="AbbVie1" w:date="2025-05-13T09:57:00Z">
        <w:r w:rsidRPr="001B4A02">
          <w:delText xml:space="preserve">Uchovávejte mimo </w:delText>
        </w:r>
        <w:r w:rsidR="0041401B" w:rsidRPr="001B4A02">
          <w:delText>dohled</w:delText>
        </w:r>
        <w:r w:rsidR="002378E0">
          <w:delText xml:space="preserve"> a </w:delText>
        </w:r>
        <w:r w:rsidRPr="001B4A02">
          <w:delText>dosah dětí.</w:delText>
        </w:r>
      </w:del>
    </w:p>
    <w:p w14:paraId="3AB551B9" w14:textId="77777777" w:rsidR="00380A2E" w:rsidRPr="001B4A02" w:rsidRDefault="00380A2E" w:rsidP="00ED48A3">
      <w:pPr>
        <w:rPr>
          <w:del w:id="8554" w:author="AbbVie1" w:date="2025-05-13T09:57:00Z"/>
        </w:rPr>
      </w:pPr>
    </w:p>
    <w:p w14:paraId="590CEE36" w14:textId="77777777" w:rsidR="00380A2E" w:rsidRPr="001B4A02" w:rsidRDefault="00380A2E" w:rsidP="00ED48A3">
      <w:pPr>
        <w:rPr>
          <w:del w:id="8555"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9900052" w14:textId="77777777" w:rsidTr="00380A2E">
        <w:trPr>
          <w:del w:id="8556"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601B7CCF" w14:textId="77777777" w:rsidR="00380A2E" w:rsidRPr="001B4A02" w:rsidRDefault="00000000" w:rsidP="00ED48A3">
            <w:pPr>
              <w:tabs>
                <w:tab w:val="left" w:pos="142"/>
              </w:tabs>
              <w:rPr>
                <w:del w:id="8557" w:author="AbbVie1" w:date="2025-05-13T09:57:00Z"/>
                <w:b/>
              </w:rPr>
            </w:pPr>
            <w:del w:id="8558" w:author="AbbVie1" w:date="2025-05-13T09:57:00Z">
              <w:r w:rsidRPr="001B4A02">
                <w:rPr>
                  <w:b/>
                </w:rPr>
                <w:delText>7.</w:delText>
              </w:r>
              <w:r w:rsidRPr="001B4A02">
                <w:rPr>
                  <w:b/>
                </w:rPr>
                <w:tab/>
                <w:delText>DALŠÍ ZVLÁŠTNÍ UPOZORNĚNÍ, POKUD JE POTŘEBNÉ</w:delText>
              </w:r>
            </w:del>
          </w:p>
        </w:tc>
      </w:tr>
    </w:tbl>
    <w:p w14:paraId="44690B93" w14:textId="77777777" w:rsidR="00380A2E" w:rsidRPr="001B4A02" w:rsidRDefault="00380A2E" w:rsidP="00ED48A3">
      <w:pPr>
        <w:rPr>
          <w:del w:id="8559" w:author="AbbVie1" w:date="2025-05-13T09:57:00Z"/>
        </w:rPr>
      </w:pPr>
    </w:p>
    <w:p w14:paraId="0CEDF2AD" w14:textId="77777777" w:rsidR="00380A2E" w:rsidRPr="001B4A02" w:rsidRDefault="00380A2E" w:rsidP="00ED48A3">
      <w:pPr>
        <w:rPr>
          <w:del w:id="8560"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71324A9" w14:textId="77777777" w:rsidTr="00380A2E">
        <w:trPr>
          <w:del w:id="8561"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1F839C62" w14:textId="77777777" w:rsidR="00380A2E" w:rsidRPr="001B4A02" w:rsidRDefault="00000000" w:rsidP="00746304">
            <w:pPr>
              <w:keepNext/>
              <w:tabs>
                <w:tab w:val="left" w:pos="142"/>
              </w:tabs>
              <w:rPr>
                <w:del w:id="8562" w:author="AbbVie1" w:date="2025-05-13T09:57:00Z"/>
                <w:b/>
              </w:rPr>
            </w:pPr>
            <w:del w:id="8563" w:author="AbbVie1" w:date="2025-05-13T09:57:00Z">
              <w:r w:rsidRPr="001B4A02">
                <w:rPr>
                  <w:b/>
                </w:rPr>
                <w:delText>8.</w:delText>
              </w:r>
              <w:r w:rsidRPr="001B4A02">
                <w:rPr>
                  <w:b/>
                </w:rPr>
                <w:tab/>
                <w:delText>POUŽITELNOST</w:delText>
              </w:r>
            </w:del>
          </w:p>
        </w:tc>
      </w:tr>
    </w:tbl>
    <w:p w14:paraId="54721EB1" w14:textId="77777777" w:rsidR="00380A2E" w:rsidRPr="001B4A02" w:rsidRDefault="00380A2E" w:rsidP="00746304">
      <w:pPr>
        <w:keepNext/>
        <w:rPr>
          <w:del w:id="8564" w:author="AbbVie1" w:date="2025-05-13T09:57:00Z"/>
        </w:rPr>
      </w:pPr>
    </w:p>
    <w:p w14:paraId="39104817" w14:textId="77777777" w:rsidR="00380A2E" w:rsidRPr="001B4A02" w:rsidRDefault="00000000" w:rsidP="00746304">
      <w:pPr>
        <w:keepNext/>
        <w:rPr>
          <w:del w:id="8565" w:author="AbbVie1" w:date="2025-05-13T09:57:00Z"/>
        </w:rPr>
      </w:pPr>
      <w:del w:id="8566" w:author="AbbVie1" w:date="2025-05-13T09:57:00Z">
        <w:r w:rsidRPr="001B4A02">
          <w:delText xml:space="preserve">EXP </w:delText>
        </w:r>
      </w:del>
    </w:p>
    <w:p w14:paraId="40AA6163" w14:textId="77777777" w:rsidR="00380A2E" w:rsidRPr="001B4A02" w:rsidRDefault="00380A2E" w:rsidP="00746304">
      <w:pPr>
        <w:keepNext/>
        <w:rPr>
          <w:del w:id="8567" w:author="AbbVie1" w:date="2025-05-13T09:57:00Z"/>
        </w:rPr>
      </w:pPr>
    </w:p>
    <w:p w14:paraId="6366F44B" w14:textId="77777777" w:rsidR="00380A2E" w:rsidRPr="001B4A02" w:rsidRDefault="00380A2E" w:rsidP="00ED48A3">
      <w:pPr>
        <w:rPr>
          <w:del w:id="8568"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5ABEDAF" w14:textId="77777777" w:rsidTr="00380A2E">
        <w:trPr>
          <w:del w:id="8569"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7FB6DF92" w14:textId="77777777" w:rsidR="00380A2E" w:rsidRPr="001B4A02" w:rsidRDefault="00000000" w:rsidP="00ED48A3">
            <w:pPr>
              <w:tabs>
                <w:tab w:val="left" w:pos="142"/>
              </w:tabs>
              <w:rPr>
                <w:del w:id="8570" w:author="AbbVie1" w:date="2025-05-13T09:57:00Z"/>
              </w:rPr>
            </w:pPr>
            <w:del w:id="8571" w:author="AbbVie1" w:date="2025-05-13T09:57:00Z">
              <w:r w:rsidRPr="001B4A02">
                <w:rPr>
                  <w:b/>
                </w:rPr>
                <w:delText>9.</w:delText>
              </w:r>
              <w:r w:rsidRPr="001B4A02">
                <w:rPr>
                  <w:b/>
                </w:rPr>
                <w:tab/>
                <w:delText>ZVLÁŠTNÍ PODMÍNKY PRO UCHOVÁVÁNÍ</w:delText>
              </w:r>
            </w:del>
          </w:p>
        </w:tc>
      </w:tr>
    </w:tbl>
    <w:p w14:paraId="4FCA1FF9" w14:textId="77777777" w:rsidR="00380A2E" w:rsidRPr="001B4A02" w:rsidRDefault="00380A2E" w:rsidP="00ED48A3">
      <w:pPr>
        <w:ind w:left="0" w:firstLine="0"/>
        <w:rPr>
          <w:del w:id="8572" w:author="AbbVie1" w:date="2025-05-13T09:57:00Z"/>
        </w:rPr>
      </w:pPr>
    </w:p>
    <w:p w14:paraId="183985A7" w14:textId="77777777" w:rsidR="00380A2E" w:rsidRPr="001B4A02" w:rsidRDefault="00000000" w:rsidP="00ED48A3">
      <w:pPr>
        <w:rPr>
          <w:del w:id="8573" w:author="AbbVie1" w:date="2025-05-13T09:57:00Z"/>
        </w:rPr>
      </w:pPr>
      <w:del w:id="8574" w:author="AbbVie1" w:date="2025-05-13T09:57:00Z">
        <w:r w:rsidRPr="001B4A02">
          <w:delText>Uchovávejte v chladničce. Chraňte před mrazem.</w:delText>
        </w:r>
      </w:del>
    </w:p>
    <w:p w14:paraId="71C9043F" w14:textId="77777777" w:rsidR="00380A2E" w:rsidRPr="001B4A02" w:rsidRDefault="00000000" w:rsidP="00ED48A3">
      <w:pPr>
        <w:ind w:left="0" w:firstLine="0"/>
        <w:rPr>
          <w:del w:id="8575" w:author="AbbVie1" w:date="2025-05-13T09:57:00Z"/>
        </w:rPr>
      </w:pPr>
      <w:del w:id="8576" w:author="AbbVie1" w:date="2025-05-13T09:57:00Z">
        <w:r w:rsidRPr="001B4A02">
          <w:delText>Uchovávejte injekční lahvičku v krabičce</w:delText>
        </w:r>
        <w:r w:rsidR="007250BE" w:rsidRPr="001B4A02">
          <w:delText>, aby byl přípravek chráněn před světlem</w:delText>
        </w:r>
        <w:r w:rsidRPr="001B4A02">
          <w:delText>.</w:delText>
        </w:r>
      </w:del>
    </w:p>
    <w:p w14:paraId="47B4E803" w14:textId="77777777" w:rsidR="00380A2E" w:rsidRPr="001B4A02" w:rsidRDefault="00380A2E" w:rsidP="00ED48A3">
      <w:pPr>
        <w:rPr>
          <w:del w:id="8577" w:author="AbbVie1" w:date="2025-05-13T09:57:00Z"/>
        </w:rPr>
      </w:pPr>
    </w:p>
    <w:p w14:paraId="02359023" w14:textId="77777777" w:rsidR="00380A2E" w:rsidRPr="001B4A02" w:rsidRDefault="00380A2E" w:rsidP="00ED48A3">
      <w:pPr>
        <w:rPr>
          <w:del w:id="8578"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2D1B8BD" w14:textId="77777777" w:rsidTr="00380A2E">
        <w:trPr>
          <w:del w:id="8579"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5BE74869" w14:textId="77777777" w:rsidR="00380A2E" w:rsidRPr="001B4A02" w:rsidRDefault="00000000" w:rsidP="00ED48A3">
            <w:pPr>
              <w:tabs>
                <w:tab w:val="left" w:pos="142"/>
              </w:tabs>
              <w:rPr>
                <w:del w:id="8580" w:author="AbbVie1" w:date="2025-05-13T09:57:00Z"/>
                <w:b/>
              </w:rPr>
            </w:pPr>
            <w:del w:id="8581" w:author="AbbVie1" w:date="2025-05-13T09:57:00Z">
              <w:r w:rsidRPr="001B4A02">
                <w:rPr>
                  <w:b/>
                </w:rPr>
                <w:delText>10.</w:delText>
              </w:r>
              <w:r w:rsidRPr="001B4A02">
                <w:rPr>
                  <w:b/>
                </w:rPr>
                <w:tab/>
                <w:delText>ZVLÁŠTNÍ OPATŘENÍ PRO LIKVIDACI NEPOUŽITÝCH LÉČIVÝCH PŘÍPRAVKŮ NEBO ODPADU Z </w:delText>
              </w:r>
              <w:r w:rsidR="007E1237" w:rsidRPr="001B4A02">
                <w:rPr>
                  <w:b/>
                </w:rPr>
                <w:delText>NICH</w:delText>
              </w:r>
              <w:r w:rsidRPr="001B4A02">
                <w:rPr>
                  <w:b/>
                </w:rPr>
                <w:delText>, POKUD JE TO VHODNÉ</w:delText>
              </w:r>
            </w:del>
          </w:p>
        </w:tc>
      </w:tr>
    </w:tbl>
    <w:p w14:paraId="52A91E46" w14:textId="77777777" w:rsidR="00380A2E" w:rsidRPr="001B4A02" w:rsidRDefault="00380A2E" w:rsidP="00ED48A3">
      <w:pPr>
        <w:rPr>
          <w:del w:id="8582" w:author="AbbVie1" w:date="2025-05-13T09:57:00Z"/>
        </w:rPr>
      </w:pPr>
    </w:p>
    <w:p w14:paraId="3CFB47AF" w14:textId="77777777" w:rsidR="00380A2E" w:rsidRPr="001B4A02" w:rsidRDefault="00380A2E" w:rsidP="00ED48A3">
      <w:pPr>
        <w:rPr>
          <w:del w:id="8583"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30A17DB" w14:textId="77777777" w:rsidTr="00380A2E">
        <w:trPr>
          <w:del w:id="8584"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0EF9DFC4" w14:textId="77777777" w:rsidR="00380A2E" w:rsidRPr="001B4A02" w:rsidRDefault="00000000" w:rsidP="00ED48A3">
            <w:pPr>
              <w:tabs>
                <w:tab w:val="left" w:pos="142"/>
              </w:tabs>
              <w:rPr>
                <w:del w:id="8585" w:author="AbbVie1" w:date="2025-05-13T09:57:00Z"/>
                <w:b/>
              </w:rPr>
            </w:pPr>
            <w:del w:id="8586" w:author="AbbVie1" w:date="2025-05-13T09:57:00Z">
              <w:r w:rsidRPr="001B4A02">
                <w:rPr>
                  <w:b/>
                </w:rPr>
                <w:delText>11.</w:delText>
              </w:r>
              <w:r w:rsidRPr="001B4A02">
                <w:rPr>
                  <w:b/>
                </w:rPr>
                <w:tab/>
                <w:delText>NÁZEV A ADRESA DRŽITELE ROZHODNUTÍ O REGISTRACI</w:delText>
              </w:r>
            </w:del>
          </w:p>
        </w:tc>
      </w:tr>
    </w:tbl>
    <w:p w14:paraId="5541E222" w14:textId="77777777" w:rsidR="00380A2E" w:rsidRPr="001B4A02" w:rsidRDefault="00380A2E" w:rsidP="00ED48A3">
      <w:pPr>
        <w:rPr>
          <w:del w:id="8587" w:author="AbbVie1" w:date="2025-05-13T09:57:00Z"/>
        </w:rPr>
      </w:pPr>
    </w:p>
    <w:p w14:paraId="5B8D0752" w14:textId="77777777" w:rsidR="00E86403" w:rsidRPr="001B4A02" w:rsidRDefault="00000000" w:rsidP="00E86403">
      <w:pPr>
        <w:keepNext/>
        <w:autoSpaceDE w:val="0"/>
        <w:autoSpaceDN w:val="0"/>
        <w:adjustRightInd w:val="0"/>
        <w:spacing w:line="240" w:lineRule="atLeast"/>
        <w:rPr>
          <w:del w:id="8588" w:author="AbbVie1" w:date="2025-05-13T09:57:00Z"/>
          <w:szCs w:val="22"/>
          <w:lang w:eastAsia="en-GB"/>
        </w:rPr>
      </w:pPr>
      <w:del w:id="8589" w:author="AbbVie1" w:date="2025-05-13T09:57:00Z">
        <w:r w:rsidRPr="001B4A02">
          <w:rPr>
            <w:szCs w:val="22"/>
            <w:lang w:eastAsia="en-GB"/>
          </w:rPr>
          <w:delText>AbbVie Deutschland GmbH &amp; Co. KG</w:delText>
        </w:r>
      </w:del>
    </w:p>
    <w:p w14:paraId="4C5EADE1" w14:textId="77777777" w:rsidR="00E86403" w:rsidRPr="001B4A02" w:rsidRDefault="00000000" w:rsidP="00E86403">
      <w:pPr>
        <w:keepNext/>
        <w:autoSpaceDE w:val="0"/>
        <w:autoSpaceDN w:val="0"/>
        <w:adjustRightInd w:val="0"/>
        <w:spacing w:line="240" w:lineRule="atLeast"/>
        <w:rPr>
          <w:del w:id="8590" w:author="AbbVie1" w:date="2025-05-13T09:57:00Z"/>
          <w:szCs w:val="22"/>
          <w:lang w:eastAsia="en-GB"/>
        </w:rPr>
      </w:pPr>
      <w:del w:id="8591" w:author="AbbVie1" w:date="2025-05-13T09:57:00Z">
        <w:r w:rsidRPr="001B4A02">
          <w:rPr>
            <w:szCs w:val="22"/>
            <w:lang w:eastAsia="en-GB"/>
          </w:rPr>
          <w:delText>Knollstrasse</w:delText>
        </w:r>
      </w:del>
    </w:p>
    <w:p w14:paraId="67416974" w14:textId="77777777" w:rsidR="00E86403" w:rsidRPr="001B4A02" w:rsidRDefault="00000000" w:rsidP="00E86403">
      <w:pPr>
        <w:keepNext/>
        <w:autoSpaceDE w:val="0"/>
        <w:autoSpaceDN w:val="0"/>
        <w:adjustRightInd w:val="0"/>
        <w:spacing w:line="240" w:lineRule="atLeast"/>
        <w:rPr>
          <w:del w:id="8592" w:author="AbbVie1" w:date="2025-05-13T09:57:00Z"/>
          <w:szCs w:val="22"/>
          <w:lang w:eastAsia="en-GB"/>
        </w:rPr>
      </w:pPr>
      <w:del w:id="8593" w:author="AbbVie1" w:date="2025-05-13T09:57:00Z">
        <w:r w:rsidRPr="001B4A02">
          <w:rPr>
            <w:szCs w:val="22"/>
            <w:lang w:eastAsia="en-GB"/>
          </w:rPr>
          <w:delText>67061 Ludwigshafen</w:delText>
        </w:r>
      </w:del>
    </w:p>
    <w:p w14:paraId="53776360" w14:textId="77777777" w:rsidR="00380A2E" w:rsidRPr="001B4A02" w:rsidRDefault="00000000" w:rsidP="00ED48A3">
      <w:pPr>
        <w:ind w:left="0" w:firstLine="0"/>
        <w:rPr>
          <w:del w:id="8594" w:author="AbbVie1" w:date="2025-05-13T09:57:00Z"/>
        </w:rPr>
      </w:pPr>
      <w:del w:id="8595" w:author="AbbVie1" w:date="2025-05-13T09:57:00Z">
        <w:r w:rsidRPr="001B4A02">
          <w:rPr>
            <w:szCs w:val="22"/>
            <w:lang w:eastAsia="en-GB"/>
          </w:rPr>
          <w:delText>Německo</w:delText>
        </w:r>
      </w:del>
    </w:p>
    <w:p w14:paraId="262C4AB8" w14:textId="77777777" w:rsidR="00380A2E" w:rsidRPr="001B4A02" w:rsidRDefault="00380A2E" w:rsidP="00ED48A3">
      <w:pPr>
        <w:rPr>
          <w:del w:id="8596" w:author="AbbVie1" w:date="2025-05-13T09:57:00Z"/>
        </w:rPr>
      </w:pPr>
    </w:p>
    <w:p w14:paraId="0C3B3D74" w14:textId="77777777" w:rsidR="00C96A5A" w:rsidRPr="001B4A02" w:rsidRDefault="00C96A5A" w:rsidP="00ED48A3">
      <w:pPr>
        <w:rPr>
          <w:del w:id="8597"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5CA646C" w14:textId="77777777" w:rsidTr="00380A2E">
        <w:trPr>
          <w:del w:id="8598"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57B13EFD" w14:textId="77777777" w:rsidR="00380A2E" w:rsidRPr="001B4A02" w:rsidRDefault="00000000" w:rsidP="00ED48A3">
            <w:pPr>
              <w:tabs>
                <w:tab w:val="left" w:pos="142"/>
              </w:tabs>
              <w:rPr>
                <w:del w:id="8599" w:author="AbbVie1" w:date="2025-05-13T09:57:00Z"/>
                <w:b/>
              </w:rPr>
            </w:pPr>
            <w:del w:id="8600" w:author="AbbVie1" w:date="2025-05-13T09:57:00Z">
              <w:r w:rsidRPr="001B4A02">
                <w:rPr>
                  <w:b/>
                </w:rPr>
                <w:delText>12.</w:delText>
              </w:r>
              <w:r w:rsidRPr="001B4A02">
                <w:rPr>
                  <w:b/>
                </w:rPr>
                <w:tab/>
                <w:delText>REGISTRAČNÍ ČÍSLO</w:delText>
              </w:r>
            </w:del>
          </w:p>
        </w:tc>
      </w:tr>
    </w:tbl>
    <w:p w14:paraId="007B6E63" w14:textId="77777777" w:rsidR="00380A2E" w:rsidRPr="001B4A02" w:rsidRDefault="00380A2E" w:rsidP="00ED48A3">
      <w:pPr>
        <w:rPr>
          <w:del w:id="8601" w:author="AbbVie1" w:date="2025-05-13T09:57:00Z"/>
        </w:rPr>
      </w:pPr>
    </w:p>
    <w:p w14:paraId="1A4675B4" w14:textId="77777777" w:rsidR="00380A2E" w:rsidRPr="001B4A02" w:rsidRDefault="00000000" w:rsidP="007F7787">
      <w:pPr>
        <w:rPr>
          <w:del w:id="8602" w:author="AbbVie1" w:date="2025-05-13T09:57:00Z"/>
        </w:rPr>
      </w:pPr>
      <w:del w:id="8603" w:author="AbbVie1" w:date="2025-05-13T09:57:00Z">
        <w:r w:rsidRPr="001B4A02">
          <w:delText>EU/1/03/256/001</w:delText>
        </w:r>
      </w:del>
    </w:p>
    <w:p w14:paraId="1C1E348A" w14:textId="77777777" w:rsidR="00380A2E" w:rsidRPr="001B4A02" w:rsidRDefault="00380A2E" w:rsidP="00ED48A3">
      <w:pPr>
        <w:rPr>
          <w:del w:id="8604" w:author="AbbVie1" w:date="2025-05-13T09:57:00Z"/>
        </w:rPr>
      </w:pPr>
    </w:p>
    <w:p w14:paraId="4DD24F50" w14:textId="77777777" w:rsidR="00380A2E" w:rsidRPr="001B4A02" w:rsidRDefault="00380A2E" w:rsidP="00ED48A3">
      <w:pPr>
        <w:rPr>
          <w:del w:id="8605"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153F129" w14:textId="77777777" w:rsidTr="00380A2E">
        <w:trPr>
          <w:del w:id="8606"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18398299" w14:textId="77777777" w:rsidR="00380A2E" w:rsidRPr="001B4A02" w:rsidRDefault="00000000" w:rsidP="00ED48A3">
            <w:pPr>
              <w:tabs>
                <w:tab w:val="left" w:pos="142"/>
              </w:tabs>
              <w:rPr>
                <w:del w:id="8607" w:author="AbbVie1" w:date="2025-05-13T09:57:00Z"/>
                <w:b/>
              </w:rPr>
            </w:pPr>
            <w:del w:id="8608" w:author="AbbVie1" w:date="2025-05-13T09:57:00Z">
              <w:r w:rsidRPr="001B4A02">
                <w:rPr>
                  <w:b/>
                </w:rPr>
                <w:delText>13.</w:delText>
              </w:r>
              <w:r w:rsidRPr="001B4A02">
                <w:rPr>
                  <w:b/>
                </w:rPr>
                <w:tab/>
                <w:delText>ČÍSLO ŠARŽE</w:delText>
              </w:r>
            </w:del>
          </w:p>
        </w:tc>
      </w:tr>
    </w:tbl>
    <w:p w14:paraId="3C5799F8" w14:textId="77777777" w:rsidR="00380A2E" w:rsidRPr="001B4A02" w:rsidRDefault="00380A2E" w:rsidP="00ED48A3">
      <w:pPr>
        <w:rPr>
          <w:del w:id="8609" w:author="AbbVie1" w:date="2025-05-13T09:57:00Z"/>
        </w:rPr>
      </w:pPr>
    </w:p>
    <w:p w14:paraId="07BAA47A" w14:textId="77777777" w:rsidR="00380A2E" w:rsidRPr="001B4A02" w:rsidRDefault="00000000" w:rsidP="00ED48A3">
      <w:pPr>
        <w:rPr>
          <w:del w:id="8610" w:author="AbbVie1" w:date="2025-05-13T09:57:00Z"/>
        </w:rPr>
      </w:pPr>
      <w:del w:id="8611" w:author="AbbVie1" w:date="2025-05-13T09:57:00Z">
        <w:r w:rsidRPr="001B4A02">
          <w:delText>Č. šarže</w:delText>
        </w:r>
      </w:del>
    </w:p>
    <w:p w14:paraId="1E448695" w14:textId="77777777" w:rsidR="00380A2E" w:rsidRPr="001B4A02" w:rsidRDefault="00380A2E" w:rsidP="00ED48A3">
      <w:pPr>
        <w:rPr>
          <w:del w:id="8612" w:author="AbbVie1" w:date="2025-05-13T09:57:00Z"/>
        </w:rPr>
      </w:pPr>
    </w:p>
    <w:p w14:paraId="45EBC6B0" w14:textId="77777777" w:rsidR="00380A2E" w:rsidRPr="001B4A02" w:rsidRDefault="00380A2E" w:rsidP="00ED48A3">
      <w:pPr>
        <w:rPr>
          <w:del w:id="8613"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D54E1A4" w14:textId="77777777" w:rsidTr="00380A2E">
        <w:trPr>
          <w:del w:id="8614"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01322F80" w14:textId="77777777" w:rsidR="00380A2E" w:rsidRPr="001B4A02" w:rsidRDefault="00000000" w:rsidP="00ED48A3">
            <w:pPr>
              <w:tabs>
                <w:tab w:val="left" w:pos="142"/>
              </w:tabs>
              <w:rPr>
                <w:del w:id="8615" w:author="AbbVie1" w:date="2025-05-13T09:57:00Z"/>
                <w:b/>
              </w:rPr>
            </w:pPr>
            <w:del w:id="8616" w:author="AbbVie1" w:date="2025-05-13T09:57:00Z">
              <w:r w:rsidRPr="001B4A02">
                <w:rPr>
                  <w:b/>
                </w:rPr>
                <w:delText>14.</w:delText>
              </w:r>
              <w:r w:rsidRPr="001B4A02">
                <w:rPr>
                  <w:b/>
                </w:rPr>
                <w:tab/>
                <w:delText>KLASIFIKACE PRO VÝDEJ</w:delText>
              </w:r>
            </w:del>
          </w:p>
        </w:tc>
      </w:tr>
    </w:tbl>
    <w:p w14:paraId="3C614DDC" w14:textId="77777777" w:rsidR="00380A2E" w:rsidRPr="001B4A02" w:rsidRDefault="00380A2E" w:rsidP="00ED48A3">
      <w:pPr>
        <w:ind w:left="0" w:firstLine="0"/>
        <w:rPr>
          <w:del w:id="8617" w:author="AbbVie1" w:date="2025-05-13T09:57:00Z"/>
        </w:rPr>
      </w:pPr>
    </w:p>
    <w:p w14:paraId="7BF4CAE8" w14:textId="77777777" w:rsidR="00380A2E" w:rsidRPr="001B4A02" w:rsidRDefault="00380A2E" w:rsidP="00ED48A3">
      <w:pPr>
        <w:rPr>
          <w:del w:id="8618"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5C38AC2" w14:textId="77777777" w:rsidTr="00380A2E">
        <w:trPr>
          <w:del w:id="8619"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79192C40" w14:textId="77777777" w:rsidR="00380A2E" w:rsidRPr="001B4A02" w:rsidRDefault="00000000" w:rsidP="00ED48A3">
            <w:pPr>
              <w:tabs>
                <w:tab w:val="left" w:pos="142"/>
              </w:tabs>
              <w:rPr>
                <w:del w:id="8620" w:author="AbbVie1" w:date="2025-05-13T09:57:00Z"/>
                <w:b/>
              </w:rPr>
            </w:pPr>
            <w:del w:id="8621" w:author="AbbVie1" w:date="2025-05-13T09:57:00Z">
              <w:r w:rsidRPr="001B4A02">
                <w:rPr>
                  <w:b/>
                </w:rPr>
                <w:delText>15.</w:delText>
              </w:r>
              <w:r w:rsidRPr="001B4A02">
                <w:rPr>
                  <w:b/>
                </w:rPr>
                <w:tab/>
                <w:delText>NÁVOD K POUŽITÍ</w:delText>
              </w:r>
            </w:del>
          </w:p>
        </w:tc>
      </w:tr>
    </w:tbl>
    <w:p w14:paraId="49AF29E4" w14:textId="77777777" w:rsidR="00380A2E" w:rsidRPr="001B4A02" w:rsidRDefault="00380A2E" w:rsidP="00ED48A3">
      <w:pPr>
        <w:rPr>
          <w:del w:id="8622" w:author="AbbVie1" w:date="2025-05-13T09:57:00Z"/>
          <w:u w:val="single"/>
        </w:rPr>
      </w:pPr>
    </w:p>
    <w:p w14:paraId="5FE6DB81" w14:textId="77777777" w:rsidR="00380A2E" w:rsidRPr="001B4A02" w:rsidRDefault="00380A2E" w:rsidP="00ED48A3">
      <w:pPr>
        <w:rPr>
          <w:del w:id="8623" w:author="AbbVie1" w:date="2025-05-13T09:57:00Z"/>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03E15CC" w14:textId="77777777" w:rsidTr="00380A2E">
        <w:trPr>
          <w:del w:id="8624" w:author="AbbVie1" w:date="2025-05-13T09:57:00Z"/>
        </w:trPr>
        <w:tc>
          <w:tcPr>
            <w:tcW w:w="9287" w:type="dxa"/>
            <w:tcBorders>
              <w:top w:val="single" w:sz="4" w:space="0" w:color="auto"/>
              <w:left w:val="single" w:sz="4" w:space="0" w:color="auto"/>
              <w:bottom w:val="single" w:sz="4" w:space="0" w:color="auto"/>
              <w:right w:val="single" w:sz="4" w:space="0" w:color="auto"/>
            </w:tcBorders>
          </w:tcPr>
          <w:p w14:paraId="367FCF3D" w14:textId="77777777" w:rsidR="00380A2E" w:rsidRPr="001B4A02" w:rsidRDefault="00000000" w:rsidP="00ED48A3">
            <w:pPr>
              <w:tabs>
                <w:tab w:val="left" w:pos="142"/>
              </w:tabs>
              <w:rPr>
                <w:del w:id="8625" w:author="AbbVie1" w:date="2025-05-13T09:57:00Z"/>
                <w:b/>
              </w:rPr>
            </w:pPr>
            <w:del w:id="8626" w:author="AbbVie1" w:date="2025-05-13T09:57:00Z">
              <w:r w:rsidRPr="001B4A02">
                <w:rPr>
                  <w:b/>
                </w:rPr>
                <w:delText>16.</w:delText>
              </w:r>
              <w:r w:rsidRPr="001B4A02">
                <w:rPr>
                  <w:b/>
                </w:rPr>
                <w:tab/>
                <w:delText>INFORMACE V BRAILLOVĚ PÍSMU</w:delText>
              </w:r>
            </w:del>
          </w:p>
        </w:tc>
      </w:tr>
    </w:tbl>
    <w:p w14:paraId="48D72D9E" w14:textId="77777777" w:rsidR="00380A2E" w:rsidRPr="001B4A02" w:rsidRDefault="00380A2E" w:rsidP="00ED48A3">
      <w:pPr>
        <w:rPr>
          <w:del w:id="8627" w:author="AbbVie1" w:date="2025-05-13T09:57:00Z"/>
          <w:u w:val="single"/>
        </w:rPr>
      </w:pPr>
    </w:p>
    <w:p w14:paraId="01FDDF91" w14:textId="77777777" w:rsidR="00380A2E" w:rsidRPr="001B4A02" w:rsidRDefault="00000000" w:rsidP="00ED48A3">
      <w:pPr>
        <w:rPr>
          <w:del w:id="8628" w:author="AbbVie1" w:date="2025-05-13T09:57:00Z"/>
        </w:rPr>
      </w:pPr>
      <w:del w:id="8629" w:author="AbbVie1" w:date="2025-05-13T09:57:00Z">
        <w:r w:rsidRPr="001B4A02">
          <w:delText>Humira 40 mg</w:delText>
        </w:r>
      </w:del>
    </w:p>
    <w:p w14:paraId="03767700" w14:textId="77777777" w:rsidR="006C4A01" w:rsidRPr="001B4A02" w:rsidRDefault="006C4A01" w:rsidP="00ED48A3">
      <w:pPr>
        <w:rPr>
          <w:del w:id="8630" w:author="AbbVie1" w:date="2025-05-13T09:57:00Z"/>
        </w:rPr>
      </w:pPr>
    </w:p>
    <w:p w14:paraId="72BFECC1" w14:textId="77777777" w:rsidR="006C4A01" w:rsidRPr="001B4A02" w:rsidRDefault="006C4A01" w:rsidP="00ED48A3">
      <w:pPr>
        <w:rPr>
          <w:del w:id="8631" w:author="AbbVie1" w:date="2025-05-13T09:57:00Z"/>
        </w:rPr>
      </w:pPr>
    </w:p>
    <w:p w14:paraId="47EA89F6" w14:textId="77777777" w:rsidR="006C4A01" w:rsidRPr="001B4A02" w:rsidRDefault="00000000" w:rsidP="00ED48A3">
      <w:pPr>
        <w:pStyle w:val="EMEAHeadingBoxedTitle"/>
        <w:ind w:left="0" w:firstLine="0"/>
        <w:rPr>
          <w:del w:id="8632" w:author="AbbVie1" w:date="2025-05-13T09:57:00Z"/>
          <w:rFonts w:ascii="Times New Roman" w:hAnsi="Times New Roman"/>
          <w:b/>
          <w:bCs/>
          <w:lang w:val="cs-CZ"/>
        </w:rPr>
      </w:pPr>
      <w:del w:id="8633" w:author="AbbVie1" w:date="2025-05-13T09:57:00Z">
        <w:r w:rsidRPr="001B4A02">
          <w:rPr>
            <w:rFonts w:ascii="Times New Roman" w:hAnsi="Times New Roman"/>
            <w:b/>
            <w:bCs/>
            <w:lang w:val="cs-CZ"/>
          </w:rPr>
          <w:delText>17.</w:delText>
        </w:r>
        <w:r w:rsidRPr="001B4A02">
          <w:rPr>
            <w:rFonts w:ascii="Times New Roman" w:hAnsi="Times New Roman"/>
            <w:b/>
            <w:bCs/>
            <w:lang w:val="cs-CZ"/>
          </w:rPr>
          <w:tab/>
          <w:delText xml:space="preserve">JEDINEČNÝ IDENTIFIKÁTOR – 2D ČÁROVÝ KÓD </w:delText>
        </w:r>
      </w:del>
    </w:p>
    <w:p w14:paraId="0BBB759E" w14:textId="77777777" w:rsidR="006C4A01" w:rsidRPr="001B4A02" w:rsidRDefault="006C4A01" w:rsidP="00ED48A3">
      <w:pPr>
        <w:rPr>
          <w:del w:id="8634" w:author="AbbVie1" w:date="2025-05-13T09:57:00Z"/>
        </w:rPr>
      </w:pPr>
    </w:p>
    <w:p w14:paraId="319BDA4F" w14:textId="77777777" w:rsidR="006C4A01" w:rsidRPr="001B4A02" w:rsidRDefault="00000000" w:rsidP="00ED48A3">
      <w:pPr>
        <w:rPr>
          <w:del w:id="8635" w:author="AbbVie1" w:date="2025-05-13T09:57:00Z"/>
          <w:shd w:val="clear" w:color="auto" w:fill="BFBFBF"/>
        </w:rPr>
      </w:pPr>
      <w:del w:id="8636" w:author="AbbVie1" w:date="2025-05-13T09:57:00Z">
        <w:r w:rsidRPr="001B4A02">
          <w:rPr>
            <w:shd w:val="clear" w:color="auto" w:fill="BFBFBF"/>
          </w:rPr>
          <w:delText>2D čárový kód s jedinečným identifikátorem.</w:delText>
        </w:r>
      </w:del>
    </w:p>
    <w:p w14:paraId="4312CD1C" w14:textId="77777777" w:rsidR="006C4A01" w:rsidRPr="001B4A02" w:rsidRDefault="006C4A01" w:rsidP="00ED48A3">
      <w:pPr>
        <w:rPr>
          <w:del w:id="8637" w:author="AbbVie1" w:date="2025-05-13T09:57:00Z"/>
          <w:shd w:val="clear" w:color="auto" w:fill="BFBFBF"/>
        </w:rPr>
      </w:pPr>
    </w:p>
    <w:p w14:paraId="43537ECB" w14:textId="77777777" w:rsidR="006C4A01" w:rsidRPr="001B4A02" w:rsidRDefault="006C4A01" w:rsidP="00ED48A3">
      <w:pPr>
        <w:rPr>
          <w:del w:id="8638" w:author="AbbVie1" w:date="2025-05-13T09:57:00Z"/>
        </w:rPr>
      </w:pPr>
    </w:p>
    <w:p w14:paraId="7534007E" w14:textId="77777777" w:rsidR="00C04DF8" w:rsidRPr="001B4A02" w:rsidRDefault="00000000" w:rsidP="00ED48A3">
      <w:pPr>
        <w:pStyle w:val="EMEAHeadingBoxedTitle"/>
        <w:keepNext/>
        <w:ind w:left="0" w:firstLine="0"/>
        <w:rPr>
          <w:del w:id="8639" w:author="AbbVie1" w:date="2025-05-13T09:57:00Z"/>
          <w:rFonts w:ascii="Times New Roman" w:hAnsi="Times New Roman"/>
          <w:lang w:val="cs-CZ"/>
        </w:rPr>
      </w:pPr>
      <w:del w:id="8640" w:author="AbbVie1" w:date="2025-05-13T09:57:00Z">
        <w:r w:rsidRPr="001B4A02">
          <w:rPr>
            <w:rFonts w:ascii="Times New Roman" w:hAnsi="Times New Roman"/>
            <w:b/>
            <w:bCs/>
            <w:lang w:val="cs-CZ"/>
          </w:rPr>
          <w:delText>18.</w:delText>
        </w:r>
        <w:r w:rsidRPr="001B4A02">
          <w:rPr>
            <w:rFonts w:ascii="Times New Roman" w:hAnsi="Times New Roman"/>
            <w:b/>
            <w:bCs/>
            <w:lang w:val="cs-CZ"/>
          </w:rPr>
          <w:tab/>
          <w:delText>JEDINEČNÝ IDENTIFIKÁTOR – DATA ČITELNÁ OKEM</w:delText>
        </w:r>
      </w:del>
    </w:p>
    <w:p w14:paraId="6703DE4D" w14:textId="77777777" w:rsidR="00C04DF8" w:rsidRPr="001B4A02" w:rsidRDefault="00C04DF8" w:rsidP="00ED48A3">
      <w:pPr>
        <w:keepNext/>
        <w:ind w:left="540" w:hanging="540"/>
        <w:rPr>
          <w:del w:id="8641" w:author="AbbVie1" w:date="2025-05-13T09:57:00Z"/>
        </w:rPr>
      </w:pPr>
    </w:p>
    <w:p w14:paraId="1A742BFB" w14:textId="77777777" w:rsidR="00C04DF8" w:rsidRPr="001B4A02" w:rsidRDefault="00000000" w:rsidP="00ED48A3">
      <w:pPr>
        <w:keepNext/>
        <w:ind w:left="540" w:hanging="540"/>
        <w:rPr>
          <w:del w:id="8642" w:author="AbbVie1" w:date="2025-05-13T09:57:00Z"/>
        </w:rPr>
      </w:pPr>
      <w:del w:id="8643" w:author="AbbVie1" w:date="2025-05-13T09:57:00Z">
        <w:r w:rsidRPr="001B4A02">
          <w:delText>PC</w:delText>
        </w:r>
      </w:del>
    </w:p>
    <w:p w14:paraId="75C80742" w14:textId="77777777" w:rsidR="00C04DF8" w:rsidRPr="001B4A02" w:rsidRDefault="00000000" w:rsidP="00ED48A3">
      <w:pPr>
        <w:keepNext/>
        <w:ind w:left="540" w:hanging="540"/>
        <w:rPr>
          <w:del w:id="8644" w:author="AbbVie1" w:date="2025-05-13T09:57:00Z"/>
        </w:rPr>
      </w:pPr>
      <w:del w:id="8645" w:author="AbbVie1" w:date="2025-05-13T09:57:00Z">
        <w:r w:rsidRPr="001B4A02">
          <w:delText>SN</w:delText>
        </w:r>
      </w:del>
    </w:p>
    <w:p w14:paraId="15CB6F55" w14:textId="77777777" w:rsidR="00C04DF8" w:rsidRPr="001B4A02" w:rsidRDefault="00000000" w:rsidP="008D1953">
      <w:pPr>
        <w:keepNext/>
        <w:ind w:left="539" w:hanging="539"/>
        <w:rPr>
          <w:del w:id="8646" w:author="AbbVie1" w:date="2025-05-13T09:57:00Z"/>
        </w:rPr>
      </w:pPr>
      <w:del w:id="8647" w:author="AbbVie1" w:date="2025-05-13T09:57:00Z">
        <w:r w:rsidRPr="00BA0A72">
          <w:rPr>
            <w:highlight w:val="lightGray"/>
          </w:rPr>
          <w:delText>NN</w:delText>
        </w:r>
        <w:r w:rsidR="00CF3E3F" w:rsidRPr="00BA0A72">
          <w:rPr>
            <w:highlight w:val="lightGray"/>
          </w:rPr>
          <w:delText>:</w:delText>
        </w:r>
      </w:del>
    </w:p>
    <w:p w14:paraId="387AC933" w14:textId="77777777" w:rsidR="00C04DF8" w:rsidRPr="001B4A02" w:rsidRDefault="00C04DF8" w:rsidP="00ED48A3">
      <w:pPr>
        <w:rPr>
          <w:del w:id="8648" w:author="AbbVie1" w:date="2025-05-13T09:57:00Z"/>
        </w:rPr>
      </w:pPr>
    </w:p>
    <w:p w14:paraId="598581A4" w14:textId="77777777" w:rsidR="00073F8F" w:rsidRPr="001B4A02" w:rsidRDefault="00000000" w:rsidP="00ED48A3">
      <w:pPr>
        <w:rPr>
          <w:del w:id="8649" w:author="AbbVie1" w:date="2025-05-13T09:57:00Z"/>
        </w:rPr>
      </w:pPr>
      <w:del w:id="8650" w:author="AbbVie1" w:date="2025-05-13T09:57:00Z">
        <w:r w:rsidRPr="001B4A02">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081C6B2" w14:textId="77777777" w:rsidTr="00AD6F48">
        <w:trPr>
          <w:del w:id="8651" w:author="AbbVie1" w:date="2025-05-13T09:57:00Z"/>
        </w:trPr>
        <w:tc>
          <w:tcPr>
            <w:tcW w:w="9287" w:type="dxa"/>
          </w:tcPr>
          <w:p w14:paraId="71CB61CB" w14:textId="77777777" w:rsidR="00D3167C" w:rsidRPr="00490910" w:rsidRDefault="00000000" w:rsidP="00AD6F48">
            <w:pPr>
              <w:ind w:left="0" w:firstLine="0"/>
              <w:rPr>
                <w:del w:id="8652" w:author="AbbVie1" w:date="2025-05-13T09:57:00Z"/>
                <w:b/>
              </w:rPr>
            </w:pPr>
            <w:del w:id="8653" w:author="AbbVie1" w:date="2025-05-13T09:57:00Z">
              <w:r w:rsidRPr="00490910">
                <w:rPr>
                  <w:b/>
                  <w:u w:val="single"/>
                </w:rPr>
                <w:br w:type="page"/>
              </w:r>
              <w:r w:rsidRPr="00490910">
                <w:rPr>
                  <w:b/>
                </w:rPr>
                <w:delText>ÚDAJE UVÁDĚNÉ NA VNĚJŠÍM OBALU</w:delText>
              </w:r>
            </w:del>
          </w:p>
          <w:p w14:paraId="22739432" w14:textId="77777777" w:rsidR="00D3167C" w:rsidRPr="00CA2697" w:rsidRDefault="00D3167C" w:rsidP="00AD6F48">
            <w:pPr>
              <w:rPr>
                <w:del w:id="8654" w:author="AbbVie1" w:date="2025-05-13T09:57:00Z"/>
              </w:rPr>
            </w:pPr>
          </w:p>
          <w:p w14:paraId="470907EC" w14:textId="77777777" w:rsidR="00D3167C" w:rsidRPr="00490910" w:rsidRDefault="00000000" w:rsidP="00AD6F48">
            <w:pPr>
              <w:rPr>
                <w:del w:id="8655" w:author="AbbVie1" w:date="2025-05-13T09:57:00Z"/>
                <w:b/>
                <w:caps/>
              </w:rPr>
            </w:pPr>
            <w:del w:id="8656" w:author="AbbVie1" w:date="2025-05-13T09:57:00Z">
              <w:r>
                <w:rPr>
                  <w:b/>
                  <w:caps/>
                </w:rPr>
                <w:delText xml:space="preserve">VNITŘNÍ </w:delText>
              </w:r>
              <w:r w:rsidRPr="00490910">
                <w:rPr>
                  <w:b/>
                  <w:caps/>
                </w:rPr>
                <w:delText>Krabička</w:delText>
              </w:r>
            </w:del>
          </w:p>
        </w:tc>
      </w:tr>
    </w:tbl>
    <w:p w14:paraId="4DB06BF6" w14:textId="77777777" w:rsidR="00D3167C" w:rsidRPr="00490910" w:rsidRDefault="00D3167C" w:rsidP="00D3167C">
      <w:pPr>
        <w:rPr>
          <w:del w:id="8657" w:author="AbbVie1" w:date="2025-05-13T09:57:00Z"/>
        </w:rPr>
      </w:pPr>
    </w:p>
    <w:p w14:paraId="042A9948" w14:textId="77777777" w:rsidR="00D3167C" w:rsidRPr="001B4A02" w:rsidRDefault="00D3167C" w:rsidP="00ED48A3">
      <w:pPr>
        <w:rPr>
          <w:del w:id="8658"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FFB9301" w14:textId="77777777">
        <w:trPr>
          <w:del w:id="8659" w:author="AbbVie1" w:date="2025-05-13T09:57:00Z"/>
        </w:trPr>
        <w:tc>
          <w:tcPr>
            <w:tcW w:w="9287" w:type="dxa"/>
          </w:tcPr>
          <w:p w14:paraId="71471B9F" w14:textId="77777777" w:rsidR="00073F8F" w:rsidRPr="001B4A02" w:rsidRDefault="00000000" w:rsidP="00ED48A3">
            <w:pPr>
              <w:tabs>
                <w:tab w:val="left" w:pos="142"/>
              </w:tabs>
              <w:rPr>
                <w:del w:id="8660" w:author="AbbVie1" w:date="2025-05-13T09:57:00Z"/>
                <w:b/>
              </w:rPr>
            </w:pPr>
            <w:del w:id="8661" w:author="AbbVie1" w:date="2025-05-13T09:57:00Z">
              <w:r w:rsidRPr="001B4A02">
                <w:rPr>
                  <w:b/>
                </w:rPr>
                <w:delText>1.</w:delText>
              </w:r>
              <w:r w:rsidRPr="001B4A02">
                <w:rPr>
                  <w:b/>
                </w:rPr>
                <w:tab/>
                <w:delText>NÁZEV LÉČIVÉHO PŘÍPRAVKU</w:delText>
              </w:r>
            </w:del>
          </w:p>
        </w:tc>
      </w:tr>
    </w:tbl>
    <w:p w14:paraId="01436B1A" w14:textId="77777777" w:rsidR="00073F8F" w:rsidRPr="001B4A02" w:rsidRDefault="00073F8F" w:rsidP="00ED48A3">
      <w:pPr>
        <w:rPr>
          <w:del w:id="8662" w:author="AbbVie1" w:date="2025-05-13T09:57:00Z"/>
        </w:rPr>
      </w:pPr>
    </w:p>
    <w:p w14:paraId="127080D7" w14:textId="77777777" w:rsidR="00073F8F" w:rsidRPr="001B4A02" w:rsidRDefault="00000000" w:rsidP="00ED48A3">
      <w:pPr>
        <w:rPr>
          <w:del w:id="8663" w:author="AbbVie1" w:date="2025-05-13T09:57:00Z"/>
        </w:rPr>
      </w:pPr>
      <w:del w:id="8664" w:author="AbbVie1" w:date="2025-05-13T09:57:00Z">
        <w:r w:rsidRPr="001B4A02">
          <w:delText>Humira 40 mg</w:delText>
        </w:r>
        <w:r w:rsidR="00A7712A" w:rsidRPr="001B4A02">
          <w:delText>/0,8</w:delText>
        </w:r>
        <w:r w:rsidR="00874DE1" w:rsidRPr="00005EC2">
          <w:rPr>
            <w:szCs w:val="22"/>
          </w:rPr>
          <w:delText> </w:delText>
        </w:r>
        <w:r w:rsidR="00A7712A" w:rsidRPr="001B4A02">
          <w:delText>ml</w:delText>
        </w:r>
        <w:r w:rsidRPr="001B4A02">
          <w:delText xml:space="preserve"> injekční roztok</w:delText>
        </w:r>
        <w:r w:rsidR="00A7712A" w:rsidRPr="001B4A02">
          <w:delText xml:space="preserve"> </w:delText>
        </w:r>
      </w:del>
    </w:p>
    <w:p w14:paraId="010B7B06" w14:textId="77777777" w:rsidR="00073F8F" w:rsidRPr="001B4A02" w:rsidRDefault="00000000" w:rsidP="00ED48A3">
      <w:pPr>
        <w:rPr>
          <w:del w:id="8665" w:author="AbbVie1" w:date="2025-05-13T09:57:00Z"/>
        </w:rPr>
      </w:pPr>
      <w:del w:id="8666" w:author="AbbVie1" w:date="2025-05-13T09:57:00Z">
        <w:r w:rsidRPr="001B4A02">
          <w:delText>adalimumabum</w:delText>
        </w:r>
      </w:del>
    </w:p>
    <w:p w14:paraId="307B35AA" w14:textId="77777777" w:rsidR="00073F8F" w:rsidRPr="001B4A02" w:rsidRDefault="00073F8F" w:rsidP="00ED48A3">
      <w:pPr>
        <w:rPr>
          <w:del w:id="8667" w:author="AbbVie1" w:date="2025-05-13T09:57:00Z"/>
        </w:rPr>
      </w:pPr>
    </w:p>
    <w:p w14:paraId="01C6777E" w14:textId="77777777" w:rsidR="00073F8F" w:rsidRPr="001B4A02" w:rsidRDefault="00073F8F" w:rsidP="00ED48A3">
      <w:pPr>
        <w:rPr>
          <w:del w:id="8668"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978B7A1" w14:textId="77777777">
        <w:trPr>
          <w:del w:id="8669" w:author="AbbVie1" w:date="2025-05-13T09:57:00Z"/>
        </w:trPr>
        <w:tc>
          <w:tcPr>
            <w:tcW w:w="9287" w:type="dxa"/>
          </w:tcPr>
          <w:p w14:paraId="35E2D100" w14:textId="77777777" w:rsidR="00073F8F" w:rsidRPr="001B4A02" w:rsidRDefault="00000000" w:rsidP="00ED48A3">
            <w:pPr>
              <w:tabs>
                <w:tab w:val="left" w:pos="142"/>
              </w:tabs>
              <w:rPr>
                <w:del w:id="8670" w:author="AbbVie1" w:date="2025-05-13T09:57:00Z"/>
                <w:b/>
              </w:rPr>
            </w:pPr>
            <w:del w:id="8671" w:author="AbbVie1" w:date="2025-05-13T09:57:00Z">
              <w:r w:rsidRPr="001B4A02">
                <w:rPr>
                  <w:b/>
                </w:rPr>
                <w:delText>2.</w:delText>
              </w:r>
              <w:r w:rsidRPr="001B4A02">
                <w:rPr>
                  <w:b/>
                </w:rPr>
                <w:tab/>
                <w:delText>OBSAH LÉČIVÉ LÁTKY</w:delText>
              </w:r>
            </w:del>
          </w:p>
        </w:tc>
      </w:tr>
    </w:tbl>
    <w:p w14:paraId="0729890A" w14:textId="77777777" w:rsidR="00073F8F" w:rsidRPr="001B4A02" w:rsidRDefault="00073F8F" w:rsidP="00ED48A3">
      <w:pPr>
        <w:rPr>
          <w:del w:id="8672" w:author="AbbVie1" w:date="2025-05-13T09:57:00Z"/>
        </w:rPr>
      </w:pPr>
    </w:p>
    <w:p w14:paraId="5F7AE72C" w14:textId="77777777" w:rsidR="00073F8F" w:rsidRPr="001B4A02" w:rsidRDefault="00000000" w:rsidP="00ED48A3">
      <w:pPr>
        <w:rPr>
          <w:del w:id="8673" w:author="AbbVie1" w:date="2025-05-13T09:57:00Z"/>
        </w:rPr>
      </w:pPr>
      <w:del w:id="8674" w:author="AbbVie1" w:date="2025-05-13T09:57:00Z">
        <w:r w:rsidRPr="001B4A02">
          <w:delText>Jedna 0,8ml injekční lahvička obsahuje adalimumabu</w:delText>
        </w:r>
        <w:r w:rsidR="00921392" w:rsidRPr="001B4A02">
          <w:delText>m 40</w:delText>
        </w:r>
        <w:r w:rsidR="00874DE1" w:rsidRPr="00005EC2">
          <w:rPr>
            <w:szCs w:val="22"/>
          </w:rPr>
          <w:delText> </w:delText>
        </w:r>
        <w:r w:rsidR="00921392" w:rsidRPr="001B4A02">
          <w:delText>mg</w:delText>
        </w:r>
        <w:r w:rsidR="004D43B2" w:rsidRPr="001B4A02">
          <w:delText>.</w:delText>
        </w:r>
      </w:del>
    </w:p>
    <w:p w14:paraId="09037913" w14:textId="77777777" w:rsidR="00073F8F" w:rsidRPr="001B4A02" w:rsidRDefault="00073F8F" w:rsidP="00ED48A3">
      <w:pPr>
        <w:rPr>
          <w:del w:id="8675" w:author="AbbVie1" w:date="2025-05-13T09:57:00Z"/>
        </w:rPr>
      </w:pPr>
    </w:p>
    <w:p w14:paraId="65488B91" w14:textId="77777777" w:rsidR="00073F8F" w:rsidRPr="001B4A02" w:rsidRDefault="00073F8F" w:rsidP="00ED48A3">
      <w:pPr>
        <w:rPr>
          <w:del w:id="8676"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50E002A" w14:textId="77777777">
        <w:trPr>
          <w:del w:id="8677" w:author="AbbVie1" w:date="2025-05-13T09:57:00Z"/>
        </w:trPr>
        <w:tc>
          <w:tcPr>
            <w:tcW w:w="9287" w:type="dxa"/>
          </w:tcPr>
          <w:p w14:paraId="2B1F2653" w14:textId="77777777" w:rsidR="00073F8F" w:rsidRPr="001B4A02" w:rsidRDefault="00000000" w:rsidP="00ED48A3">
            <w:pPr>
              <w:tabs>
                <w:tab w:val="left" w:pos="142"/>
              </w:tabs>
              <w:rPr>
                <w:del w:id="8678" w:author="AbbVie1" w:date="2025-05-13T09:57:00Z"/>
                <w:b/>
              </w:rPr>
            </w:pPr>
            <w:del w:id="8679" w:author="AbbVie1" w:date="2025-05-13T09:57:00Z">
              <w:r w:rsidRPr="001B4A02">
                <w:rPr>
                  <w:b/>
                </w:rPr>
                <w:delText>3.</w:delText>
              </w:r>
              <w:r w:rsidRPr="001B4A02">
                <w:rPr>
                  <w:b/>
                </w:rPr>
                <w:tab/>
                <w:delText>SEZNAM POMOCNÝCH LÁTEK</w:delText>
              </w:r>
            </w:del>
          </w:p>
        </w:tc>
      </w:tr>
    </w:tbl>
    <w:p w14:paraId="65292612" w14:textId="77777777" w:rsidR="00073F8F" w:rsidRPr="001B4A02" w:rsidRDefault="00073F8F" w:rsidP="00ED48A3">
      <w:pPr>
        <w:rPr>
          <w:del w:id="8680" w:author="AbbVie1" w:date="2025-05-13T09:57:00Z"/>
        </w:rPr>
      </w:pPr>
    </w:p>
    <w:p w14:paraId="76A66012" w14:textId="77777777" w:rsidR="00073F8F" w:rsidRPr="001B4A02" w:rsidRDefault="00000000" w:rsidP="00ED48A3">
      <w:pPr>
        <w:ind w:left="0" w:firstLine="0"/>
        <w:rPr>
          <w:del w:id="8681" w:author="AbbVie1" w:date="2025-05-13T09:57:00Z"/>
        </w:rPr>
      </w:pPr>
      <w:del w:id="8682" w:author="AbbVie1" w:date="2025-05-13T09:57:00Z">
        <w:r w:rsidRPr="001B4A02">
          <w:delText xml:space="preserve">Pomocné látky: mannitol, monohydrát kyseliny citronové, dihydrát </w:delText>
        </w:r>
        <w:r w:rsidR="007A4774" w:rsidRPr="001B4A02">
          <w:delText>natrium-citrátu</w:delText>
        </w:r>
        <w:r w:rsidRPr="001B4A02">
          <w:delText>, dihydrát dihydrogenfosforečnanu sodného, dihydrát hydrogenfosforečnanu sodného, chlorid sodný, polysorbát 80, hydroxid sodný</w:delText>
        </w:r>
        <w:r w:rsidR="002378E0">
          <w:delText xml:space="preserve"> a </w:delText>
        </w:r>
        <w:r w:rsidRPr="001B4A02">
          <w:delText xml:space="preserve">voda </w:delText>
        </w:r>
        <w:r w:rsidR="00202301" w:rsidRPr="001B4A02">
          <w:delText>pro</w:delText>
        </w:r>
        <w:r w:rsidRPr="001B4A02">
          <w:delText xml:space="preserve"> injekci. Další informace naleznete v příbalové informaci.</w:delText>
        </w:r>
      </w:del>
    </w:p>
    <w:p w14:paraId="67C08314" w14:textId="77777777" w:rsidR="00073F8F" w:rsidRPr="001B4A02" w:rsidRDefault="00073F8F" w:rsidP="00ED48A3">
      <w:pPr>
        <w:rPr>
          <w:del w:id="8683" w:author="AbbVie1" w:date="2025-05-13T09:57:00Z"/>
        </w:rPr>
      </w:pPr>
    </w:p>
    <w:p w14:paraId="5F718FDF" w14:textId="77777777" w:rsidR="00073F8F" w:rsidRPr="001B4A02" w:rsidRDefault="00073F8F" w:rsidP="00ED48A3">
      <w:pPr>
        <w:rPr>
          <w:del w:id="8684"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56DE2B7" w14:textId="77777777">
        <w:trPr>
          <w:del w:id="8685" w:author="AbbVie1" w:date="2025-05-13T09:57:00Z"/>
        </w:trPr>
        <w:tc>
          <w:tcPr>
            <w:tcW w:w="9287" w:type="dxa"/>
          </w:tcPr>
          <w:p w14:paraId="22A956A6" w14:textId="77777777" w:rsidR="00073F8F" w:rsidRPr="001B4A02" w:rsidRDefault="00000000" w:rsidP="00ED48A3">
            <w:pPr>
              <w:tabs>
                <w:tab w:val="left" w:pos="142"/>
              </w:tabs>
              <w:rPr>
                <w:del w:id="8686" w:author="AbbVie1" w:date="2025-05-13T09:57:00Z"/>
                <w:b/>
              </w:rPr>
            </w:pPr>
            <w:del w:id="8687" w:author="AbbVie1" w:date="2025-05-13T09:57:00Z">
              <w:r w:rsidRPr="001B4A02">
                <w:rPr>
                  <w:b/>
                </w:rPr>
                <w:delText>4.</w:delText>
              </w:r>
              <w:r w:rsidRPr="001B4A02">
                <w:rPr>
                  <w:b/>
                </w:rPr>
                <w:tab/>
                <w:delText xml:space="preserve">LÉKOVÁ FORMA A </w:delText>
              </w:r>
              <w:r w:rsidR="00DE5AC6" w:rsidRPr="001B4A02">
                <w:rPr>
                  <w:b/>
                </w:rPr>
                <w:delText xml:space="preserve">OBSAH </w:delText>
              </w:r>
              <w:r w:rsidRPr="001B4A02">
                <w:rPr>
                  <w:b/>
                </w:rPr>
                <w:delText>BALENÍ</w:delText>
              </w:r>
            </w:del>
          </w:p>
        </w:tc>
      </w:tr>
    </w:tbl>
    <w:p w14:paraId="739F5A19" w14:textId="77777777" w:rsidR="00073F8F" w:rsidRPr="001B4A02" w:rsidRDefault="00073F8F" w:rsidP="00ED48A3">
      <w:pPr>
        <w:rPr>
          <w:del w:id="8688" w:author="AbbVie1" w:date="2025-05-13T09:57:00Z"/>
        </w:rPr>
      </w:pPr>
    </w:p>
    <w:p w14:paraId="43506632" w14:textId="77777777" w:rsidR="00E01AD4" w:rsidRPr="001B4A02" w:rsidRDefault="00000000" w:rsidP="00ED48A3">
      <w:pPr>
        <w:rPr>
          <w:del w:id="8689" w:author="AbbVie1" w:date="2025-05-13T09:57:00Z"/>
        </w:rPr>
      </w:pPr>
      <w:del w:id="8690" w:author="AbbVie1" w:date="2025-05-13T09:57:00Z">
        <w:r w:rsidRPr="001B4A02">
          <w:rPr>
            <w:highlight w:val="lightGray"/>
          </w:rPr>
          <w:delText>Injekční roztok</w:delText>
        </w:r>
      </w:del>
    </w:p>
    <w:p w14:paraId="7E6D6267" w14:textId="77777777" w:rsidR="00073F8F" w:rsidRPr="001B4A02" w:rsidRDefault="00000000" w:rsidP="00ED48A3">
      <w:pPr>
        <w:rPr>
          <w:del w:id="8691" w:author="AbbVie1" w:date="2025-05-13T09:57:00Z"/>
        </w:rPr>
      </w:pPr>
      <w:del w:id="8692" w:author="AbbVie1" w:date="2025-05-13T09:57:00Z">
        <w:r w:rsidRPr="001B4A02">
          <w:delText xml:space="preserve">1 injekční lahvička </w:delText>
        </w:r>
      </w:del>
    </w:p>
    <w:p w14:paraId="45650C3E" w14:textId="77777777" w:rsidR="00073F8F" w:rsidRPr="001B4A02" w:rsidRDefault="00000000" w:rsidP="00ED48A3">
      <w:pPr>
        <w:rPr>
          <w:del w:id="8693" w:author="AbbVie1" w:date="2025-05-13T09:57:00Z"/>
        </w:rPr>
      </w:pPr>
      <w:del w:id="8694" w:author="AbbVie1" w:date="2025-05-13T09:57:00Z">
        <w:r w:rsidRPr="001B4A02">
          <w:delText>1 sterilní injekční stříkačka</w:delText>
        </w:r>
      </w:del>
    </w:p>
    <w:p w14:paraId="5093860E" w14:textId="77777777" w:rsidR="00A7712A" w:rsidRPr="001B4A02" w:rsidRDefault="00000000" w:rsidP="00ED48A3">
      <w:pPr>
        <w:rPr>
          <w:del w:id="8695" w:author="AbbVie1" w:date="2025-05-13T09:57:00Z"/>
        </w:rPr>
      </w:pPr>
      <w:del w:id="8696" w:author="AbbVie1" w:date="2025-05-13T09:57:00Z">
        <w:r w:rsidRPr="001B4A02">
          <w:delText>1 sterilní jehla</w:delText>
        </w:r>
      </w:del>
    </w:p>
    <w:p w14:paraId="468AB7A1" w14:textId="77777777" w:rsidR="00A7712A" w:rsidRPr="001B4A02" w:rsidRDefault="00000000" w:rsidP="00ED48A3">
      <w:pPr>
        <w:rPr>
          <w:del w:id="8697" w:author="AbbVie1" w:date="2025-05-13T09:57:00Z"/>
        </w:rPr>
      </w:pPr>
      <w:del w:id="8698" w:author="AbbVie1" w:date="2025-05-13T09:57:00Z">
        <w:r w:rsidRPr="001B4A02">
          <w:delText>1 sterilní adaptér k lahvičce</w:delText>
        </w:r>
      </w:del>
    </w:p>
    <w:p w14:paraId="52B36E95" w14:textId="77777777" w:rsidR="00073F8F" w:rsidRPr="001B4A02" w:rsidRDefault="00000000" w:rsidP="00ED48A3">
      <w:pPr>
        <w:rPr>
          <w:del w:id="8699" w:author="AbbVie1" w:date="2025-05-13T09:57:00Z"/>
        </w:rPr>
      </w:pPr>
      <w:del w:id="8700" w:author="AbbVie1" w:date="2025-05-13T09:57:00Z">
        <w:r w:rsidRPr="001B4A02">
          <w:delText>2 tampóny napuštěné alkoholem</w:delText>
        </w:r>
      </w:del>
    </w:p>
    <w:p w14:paraId="48A634D4" w14:textId="77777777" w:rsidR="00073F8F" w:rsidRPr="001B4A02" w:rsidRDefault="00073F8F" w:rsidP="00ED48A3">
      <w:pPr>
        <w:rPr>
          <w:del w:id="8701" w:author="AbbVie1" w:date="2025-05-13T09:57:00Z"/>
        </w:rPr>
      </w:pPr>
    </w:p>
    <w:p w14:paraId="2B4575AB" w14:textId="77777777" w:rsidR="00073F8F" w:rsidRPr="001B4A02" w:rsidRDefault="00073F8F" w:rsidP="00ED48A3">
      <w:pPr>
        <w:rPr>
          <w:del w:id="8702"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9002D11" w14:textId="77777777">
        <w:trPr>
          <w:del w:id="8703" w:author="AbbVie1" w:date="2025-05-13T09:57:00Z"/>
        </w:trPr>
        <w:tc>
          <w:tcPr>
            <w:tcW w:w="9287" w:type="dxa"/>
          </w:tcPr>
          <w:p w14:paraId="22BFF3FE" w14:textId="77777777" w:rsidR="00073F8F" w:rsidRPr="001B4A02" w:rsidRDefault="00000000" w:rsidP="00ED48A3">
            <w:pPr>
              <w:tabs>
                <w:tab w:val="left" w:pos="142"/>
              </w:tabs>
              <w:rPr>
                <w:del w:id="8704" w:author="AbbVie1" w:date="2025-05-13T09:57:00Z"/>
                <w:b/>
              </w:rPr>
            </w:pPr>
            <w:del w:id="8705" w:author="AbbVie1" w:date="2025-05-13T09:57:00Z">
              <w:r w:rsidRPr="001B4A02">
                <w:rPr>
                  <w:b/>
                </w:rPr>
                <w:delText>5.</w:delText>
              </w:r>
              <w:r w:rsidRPr="001B4A02">
                <w:rPr>
                  <w:b/>
                </w:rPr>
                <w:tab/>
                <w:delText>ZPŮSOB A CESTA PODÁNÍ</w:delText>
              </w:r>
            </w:del>
          </w:p>
        </w:tc>
      </w:tr>
    </w:tbl>
    <w:p w14:paraId="56CDBE31" w14:textId="77777777" w:rsidR="00073F8F" w:rsidRPr="001B4A02" w:rsidRDefault="00073F8F" w:rsidP="00ED48A3">
      <w:pPr>
        <w:rPr>
          <w:del w:id="8706" w:author="AbbVie1" w:date="2025-05-13T09:57:00Z"/>
        </w:rPr>
      </w:pPr>
    </w:p>
    <w:p w14:paraId="2E062F8D" w14:textId="77777777" w:rsidR="00073F8F" w:rsidRPr="001B4A02" w:rsidRDefault="00000000" w:rsidP="00ED48A3">
      <w:pPr>
        <w:rPr>
          <w:del w:id="8707" w:author="AbbVie1" w:date="2025-05-13T09:57:00Z"/>
        </w:rPr>
      </w:pPr>
      <w:del w:id="8708" w:author="AbbVie1" w:date="2025-05-13T09:57:00Z">
        <w:r w:rsidRPr="001B4A02">
          <w:delText>Subkutánní podání</w:delText>
        </w:r>
      </w:del>
    </w:p>
    <w:p w14:paraId="3E5AEE38" w14:textId="77777777" w:rsidR="00073F8F" w:rsidRPr="001B4A02" w:rsidRDefault="00073F8F" w:rsidP="00ED48A3">
      <w:pPr>
        <w:rPr>
          <w:del w:id="8709" w:author="AbbVie1" w:date="2025-05-13T09:57:00Z"/>
        </w:rPr>
      </w:pPr>
    </w:p>
    <w:p w14:paraId="4171A473" w14:textId="77777777" w:rsidR="00073F8F" w:rsidRPr="001B4A02" w:rsidRDefault="00000000" w:rsidP="00ED48A3">
      <w:pPr>
        <w:rPr>
          <w:del w:id="8710" w:author="AbbVie1" w:date="2025-05-13T09:57:00Z"/>
        </w:rPr>
      </w:pPr>
      <w:del w:id="8711" w:author="AbbVie1" w:date="2025-05-13T09:57:00Z">
        <w:r w:rsidRPr="001B4A02">
          <w:delText>Před použitím si přečtěte příbalovou informaci.</w:delText>
        </w:r>
      </w:del>
    </w:p>
    <w:p w14:paraId="3FBE9BE8" w14:textId="77777777" w:rsidR="00594008" w:rsidRPr="001B4A02" w:rsidRDefault="00594008" w:rsidP="00ED48A3">
      <w:pPr>
        <w:rPr>
          <w:del w:id="8712" w:author="AbbVie1" w:date="2025-05-13T09:57:00Z"/>
        </w:rPr>
      </w:pPr>
    </w:p>
    <w:p w14:paraId="0E6FDBBE" w14:textId="77777777" w:rsidR="00594008" w:rsidRPr="001B4A02" w:rsidRDefault="00000000" w:rsidP="00ED48A3">
      <w:pPr>
        <w:rPr>
          <w:del w:id="8713" w:author="AbbVie1" w:date="2025-05-13T09:57:00Z"/>
        </w:rPr>
      </w:pPr>
      <w:del w:id="8714" w:author="AbbVie1" w:date="2025-05-13T09:57:00Z">
        <w:r w:rsidRPr="001B4A02">
          <w:delText>Pouze k jednorázovému použití.</w:delText>
        </w:r>
      </w:del>
    </w:p>
    <w:p w14:paraId="744DADEF" w14:textId="77777777" w:rsidR="00E01AD4" w:rsidRPr="001B4A02" w:rsidRDefault="00E01AD4" w:rsidP="00ED48A3">
      <w:pPr>
        <w:rPr>
          <w:del w:id="8715" w:author="AbbVie1" w:date="2025-05-13T09:57:00Z"/>
        </w:rPr>
      </w:pPr>
    </w:p>
    <w:p w14:paraId="6316A694" w14:textId="77777777" w:rsidR="00E01AD4" w:rsidRPr="001B4A02" w:rsidRDefault="00000000" w:rsidP="00ED48A3">
      <w:pPr>
        <w:rPr>
          <w:del w:id="8716" w:author="AbbVie1" w:date="2025-05-13T09:57:00Z"/>
        </w:rPr>
      </w:pPr>
      <w:del w:id="8717" w:author="AbbVie1" w:date="2025-05-13T09:57:00Z">
        <w:r w:rsidRPr="001B4A02">
          <w:delText>Pro pediatrické použití</w:delText>
        </w:r>
      </w:del>
    </w:p>
    <w:p w14:paraId="7701663C" w14:textId="77777777" w:rsidR="00073F8F" w:rsidRPr="001B4A02" w:rsidRDefault="00073F8F" w:rsidP="00ED48A3">
      <w:pPr>
        <w:rPr>
          <w:del w:id="8718" w:author="AbbVie1" w:date="2025-05-13T09:57:00Z"/>
        </w:rPr>
      </w:pPr>
    </w:p>
    <w:p w14:paraId="0BBC1046" w14:textId="77777777" w:rsidR="00073F8F" w:rsidRPr="001B4A02" w:rsidRDefault="00073F8F" w:rsidP="00ED48A3">
      <w:pPr>
        <w:rPr>
          <w:del w:id="8719"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3038CA4" w14:textId="77777777">
        <w:trPr>
          <w:del w:id="8720" w:author="AbbVie1" w:date="2025-05-13T09:57:00Z"/>
        </w:trPr>
        <w:tc>
          <w:tcPr>
            <w:tcW w:w="9287" w:type="dxa"/>
          </w:tcPr>
          <w:p w14:paraId="48C9064D" w14:textId="77777777" w:rsidR="00073F8F" w:rsidRPr="001B4A02" w:rsidRDefault="00000000" w:rsidP="00ED48A3">
            <w:pPr>
              <w:tabs>
                <w:tab w:val="left" w:pos="142"/>
              </w:tabs>
              <w:rPr>
                <w:del w:id="8721" w:author="AbbVie1" w:date="2025-05-13T09:57:00Z"/>
                <w:b/>
              </w:rPr>
            </w:pPr>
            <w:del w:id="8722" w:author="AbbVie1" w:date="2025-05-13T09:57:00Z">
              <w:r w:rsidRPr="001B4A02">
                <w:rPr>
                  <w:b/>
                </w:rPr>
                <w:delText>6.</w:delText>
              </w:r>
              <w:r w:rsidRPr="001B4A02">
                <w:rPr>
                  <w:b/>
                </w:rPr>
                <w:tab/>
                <w:delText xml:space="preserve">ZVLÁŠTNÍ UPOZORNĚNÍ, ŽE LÉČIVÝ PŘÍPRAVEK MUSÍ BÝT UCHOVÁVÁN MIMO </w:delText>
              </w:r>
              <w:r w:rsidR="0041401B" w:rsidRPr="001B4A02">
                <w:rPr>
                  <w:b/>
                </w:rPr>
                <w:delText xml:space="preserve">DOHLED A </w:delText>
              </w:r>
              <w:r w:rsidRPr="001B4A02">
                <w:rPr>
                  <w:b/>
                </w:rPr>
                <w:delText>DOSAH DĚTÍ</w:delText>
              </w:r>
            </w:del>
          </w:p>
        </w:tc>
      </w:tr>
    </w:tbl>
    <w:p w14:paraId="1A375329" w14:textId="77777777" w:rsidR="00073F8F" w:rsidRPr="001B4A02" w:rsidRDefault="00073F8F" w:rsidP="00ED48A3">
      <w:pPr>
        <w:rPr>
          <w:del w:id="8723" w:author="AbbVie1" w:date="2025-05-13T09:57:00Z"/>
        </w:rPr>
      </w:pPr>
    </w:p>
    <w:p w14:paraId="577E0EBB" w14:textId="77777777" w:rsidR="00073F8F" w:rsidRPr="001B4A02" w:rsidRDefault="00000000" w:rsidP="007F7787">
      <w:pPr>
        <w:rPr>
          <w:del w:id="8724" w:author="AbbVie1" w:date="2025-05-13T09:57:00Z"/>
        </w:rPr>
      </w:pPr>
      <w:del w:id="8725" w:author="AbbVie1" w:date="2025-05-13T09:57:00Z">
        <w:r w:rsidRPr="001B4A02">
          <w:delText xml:space="preserve">Uchovávejte mimo </w:delText>
        </w:r>
        <w:r w:rsidR="0041401B" w:rsidRPr="001B4A02">
          <w:delText>dohled</w:delText>
        </w:r>
        <w:r w:rsidR="002378E0">
          <w:delText xml:space="preserve"> a </w:delText>
        </w:r>
        <w:r w:rsidRPr="001B4A02">
          <w:delText>dosah dětí.</w:delText>
        </w:r>
      </w:del>
    </w:p>
    <w:p w14:paraId="1A07F6AD" w14:textId="77777777" w:rsidR="00073F8F" w:rsidRPr="001B4A02" w:rsidRDefault="00073F8F" w:rsidP="00ED48A3">
      <w:pPr>
        <w:rPr>
          <w:del w:id="8726" w:author="AbbVie1" w:date="2025-05-13T09:57:00Z"/>
        </w:rPr>
      </w:pPr>
    </w:p>
    <w:p w14:paraId="3E8EFD0D" w14:textId="77777777" w:rsidR="00073F8F" w:rsidRPr="001B4A02" w:rsidRDefault="00073F8F" w:rsidP="00ED48A3">
      <w:pPr>
        <w:rPr>
          <w:del w:id="8727"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21D7AE7" w14:textId="77777777">
        <w:trPr>
          <w:del w:id="8728" w:author="AbbVie1" w:date="2025-05-13T09:57:00Z"/>
        </w:trPr>
        <w:tc>
          <w:tcPr>
            <w:tcW w:w="9287" w:type="dxa"/>
          </w:tcPr>
          <w:p w14:paraId="0E8EAA07" w14:textId="77777777" w:rsidR="00073F8F" w:rsidRPr="001B4A02" w:rsidRDefault="00000000" w:rsidP="00ED48A3">
            <w:pPr>
              <w:tabs>
                <w:tab w:val="left" w:pos="142"/>
              </w:tabs>
              <w:rPr>
                <w:del w:id="8729" w:author="AbbVie1" w:date="2025-05-13T09:57:00Z"/>
                <w:b/>
              </w:rPr>
            </w:pPr>
            <w:del w:id="8730" w:author="AbbVie1" w:date="2025-05-13T09:57:00Z">
              <w:r w:rsidRPr="001B4A02">
                <w:rPr>
                  <w:b/>
                </w:rPr>
                <w:delText>7.</w:delText>
              </w:r>
              <w:r w:rsidRPr="001B4A02">
                <w:rPr>
                  <w:b/>
                </w:rPr>
                <w:tab/>
                <w:delText>DALŠÍ ZVLÁŠTNÍ UPOZORNĚNÍ, POKUD JE POTŘEBNÉ</w:delText>
              </w:r>
            </w:del>
          </w:p>
        </w:tc>
      </w:tr>
    </w:tbl>
    <w:p w14:paraId="1000B7C7" w14:textId="77777777" w:rsidR="00073F8F" w:rsidRPr="001B4A02" w:rsidRDefault="00073F8F" w:rsidP="00ED48A3">
      <w:pPr>
        <w:rPr>
          <w:del w:id="8731" w:author="AbbVie1" w:date="2025-05-13T09:57:00Z"/>
        </w:rPr>
      </w:pPr>
    </w:p>
    <w:p w14:paraId="06970831" w14:textId="77777777" w:rsidR="00073F8F" w:rsidRPr="001B4A02" w:rsidRDefault="00073F8F" w:rsidP="00ED48A3">
      <w:pPr>
        <w:rPr>
          <w:del w:id="8732"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F2B8BBB" w14:textId="77777777">
        <w:trPr>
          <w:del w:id="8733" w:author="AbbVie1" w:date="2025-05-13T09:57:00Z"/>
        </w:trPr>
        <w:tc>
          <w:tcPr>
            <w:tcW w:w="9287" w:type="dxa"/>
          </w:tcPr>
          <w:p w14:paraId="6B21EA6F" w14:textId="77777777" w:rsidR="00073F8F" w:rsidRPr="001B4A02" w:rsidRDefault="00000000" w:rsidP="00746304">
            <w:pPr>
              <w:keepNext/>
              <w:tabs>
                <w:tab w:val="left" w:pos="142"/>
              </w:tabs>
              <w:rPr>
                <w:del w:id="8734" w:author="AbbVie1" w:date="2025-05-13T09:57:00Z"/>
                <w:b/>
              </w:rPr>
            </w:pPr>
            <w:del w:id="8735" w:author="AbbVie1" w:date="2025-05-13T09:57:00Z">
              <w:r w:rsidRPr="001B4A02">
                <w:rPr>
                  <w:b/>
                </w:rPr>
                <w:delText>8.</w:delText>
              </w:r>
              <w:r w:rsidRPr="001B4A02">
                <w:rPr>
                  <w:b/>
                </w:rPr>
                <w:tab/>
                <w:delText>POUŽITELNOST</w:delText>
              </w:r>
            </w:del>
          </w:p>
        </w:tc>
      </w:tr>
    </w:tbl>
    <w:p w14:paraId="149C2B86" w14:textId="77777777" w:rsidR="00073F8F" w:rsidRPr="001B4A02" w:rsidRDefault="00073F8F" w:rsidP="00746304">
      <w:pPr>
        <w:keepNext/>
        <w:rPr>
          <w:del w:id="8736" w:author="AbbVie1" w:date="2025-05-13T09:57:00Z"/>
        </w:rPr>
      </w:pPr>
    </w:p>
    <w:p w14:paraId="463E7C0F" w14:textId="77777777" w:rsidR="00073F8F" w:rsidRPr="001B4A02" w:rsidRDefault="00000000" w:rsidP="00746304">
      <w:pPr>
        <w:keepNext/>
        <w:rPr>
          <w:del w:id="8737" w:author="AbbVie1" w:date="2025-05-13T09:57:00Z"/>
        </w:rPr>
      </w:pPr>
      <w:del w:id="8738" w:author="AbbVie1" w:date="2025-05-13T09:57:00Z">
        <w:r w:rsidRPr="001B4A02">
          <w:delText>EXP</w:delText>
        </w:r>
      </w:del>
    </w:p>
    <w:p w14:paraId="662A371F" w14:textId="77777777" w:rsidR="00073F8F" w:rsidRPr="001B4A02" w:rsidRDefault="00073F8F" w:rsidP="00ED48A3">
      <w:pPr>
        <w:rPr>
          <w:del w:id="8739" w:author="AbbVie1" w:date="2025-05-13T09:57:00Z"/>
        </w:rPr>
      </w:pPr>
    </w:p>
    <w:p w14:paraId="7C917AC6" w14:textId="77777777" w:rsidR="00073F8F" w:rsidRPr="001B4A02" w:rsidRDefault="00073F8F" w:rsidP="00ED48A3">
      <w:pPr>
        <w:rPr>
          <w:del w:id="8740"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7125662" w14:textId="77777777">
        <w:trPr>
          <w:del w:id="8741" w:author="AbbVie1" w:date="2025-05-13T09:57:00Z"/>
        </w:trPr>
        <w:tc>
          <w:tcPr>
            <w:tcW w:w="9287" w:type="dxa"/>
          </w:tcPr>
          <w:p w14:paraId="741FE7F3" w14:textId="77777777" w:rsidR="00073F8F" w:rsidRPr="001B4A02" w:rsidRDefault="00000000" w:rsidP="00ED48A3">
            <w:pPr>
              <w:tabs>
                <w:tab w:val="left" w:pos="142"/>
              </w:tabs>
              <w:rPr>
                <w:del w:id="8742" w:author="AbbVie1" w:date="2025-05-13T09:57:00Z"/>
              </w:rPr>
            </w:pPr>
            <w:del w:id="8743" w:author="AbbVie1" w:date="2025-05-13T09:57:00Z">
              <w:r w:rsidRPr="001B4A02">
                <w:rPr>
                  <w:b/>
                </w:rPr>
                <w:delText>9.</w:delText>
              </w:r>
              <w:r w:rsidRPr="001B4A02">
                <w:rPr>
                  <w:b/>
                </w:rPr>
                <w:tab/>
                <w:delText>ZVLÁŠTNÍ PODMÍNKY PRO UCHOVÁVÁNÍ</w:delText>
              </w:r>
            </w:del>
          </w:p>
        </w:tc>
      </w:tr>
    </w:tbl>
    <w:p w14:paraId="65889FE0" w14:textId="77777777" w:rsidR="00073F8F" w:rsidRPr="001B4A02" w:rsidRDefault="00073F8F" w:rsidP="00ED48A3">
      <w:pPr>
        <w:ind w:left="0" w:firstLine="0"/>
        <w:rPr>
          <w:del w:id="8744" w:author="AbbVie1" w:date="2025-05-13T09:57:00Z"/>
        </w:rPr>
      </w:pPr>
    </w:p>
    <w:p w14:paraId="456A5002" w14:textId="77777777" w:rsidR="00073F8F" w:rsidRPr="001B4A02" w:rsidRDefault="00000000" w:rsidP="00ED48A3">
      <w:pPr>
        <w:rPr>
          <w:del w:id="8745" w:author="AbbVie1" w:date="2025-05-13T09:57:00Z"/>
        </w:rPr>
      </w:pPr>
      <w:del w:id="8746" w:author="AbbVie1" w:date="2025-05-13T09:57:00Z">
        <w:r w:rsidRPr="001B4A02">
          <w:delText>Uchovávejte v chladničce. Chraňte před mrazem.</w:delText>
        </w:r>
      </w:del>
    </w:p>
    <w:p w14:paraId="1A8C2B54" w14:textId="77777777" w:rsidR="00073F8F" w:rsidRPr="001B4A02" w:rsidRDefault="00000000" w:rsidP="00ED48A3">
      <w:pPr>
        <w:ind w:left="0" w:firstLine="0"/>
        <w:rPr>
          <w:del w:id="8747" w:author="AbbVie1" w:date="2025-05-13T09:57:00Z"/>
        </w:rPr>
      </w:pPr>
      <w:del w:id="8748" w:author="AbbVie1" w:date="2025-05-13T09:57:00Z">
        <w:r w:rsidRPr="001B4A02">
          <w:delText>Uchovávejte injekční lahvičku v krabičce</w:delText>
        </w:r>
        <w:r w:rsidR="007250BE" w:rsidRPr="001B4A02">
          <w:delText>, aby byl přípravek chráněn před světlem</w:delText>
        </w:r>
        <w:r w:rsidRPr="001B4A02">
          <w:delText>.</w:delText>
        </w:r>
      </w:del>
    </w:p>
    <w:p w14:paraId="0E66FDC0" w14:textId="77777777" w:rsidR="00073F8F" w:rsidRPr="001B4A02" w:rsidRDefault="00073F8F" w:rsidP="00ED48A3">
      <w:pPr>
        <w:rPr>
          <w:del w:id="8749" w:author="AbbVie1" w:date="2025-05-13T09:57:00Z"/>
        </w:rPr>
      </w:pPr>
    </w:p>
    <w:p w14:paraId="20216620" w14:textId="77777777" w:rsidR="00073F8F" w:rsidRPr="001B4A02" w:rsidRDefault="00073F8F" w:rsidP="00ED48A3">
      <w:pPr>
        <w:rPr>
          <w:del w:id="8750"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72300BB" w14:textId="77777777">
        <w:trPr>
          <w:del w:id="8751" w:author="AbbVie1" w:date="2025-05-13T09:57:00Z"/>
        </w:trPr>
        <w:tc>
          <w:tcPr>
            <w:tcW w:w="9287" w:type="dxa"/>
          </w:tcPr>
          <w:p w14:paraId="3C579605" w14:textId="77777777" w:rsidR="00073F8F" w:rsidRPr="001B4A02" w:rsidRDefault="00000000" w:rsidP="00ED48A3">
            <w:pPr>
              <w:tabs>
                <w:tab w:val="left" w:pos="142"/>
              </w:tabs>
              <w:rPr>
                <w:del w:id="8752" w:author="AbbVie1" w:date="2025-05-13T09:57:00Z"/>
                <w:b/>
              </w:rPr>
            </w:pPr>
            <w:del w:id="8753" w:author="AbbVie1" w:date="2025-05-13T09:57:00Z">
              <w:r w:rsidRPr="001B4A02">
                <w:rPr>
                  <w:b/>
                </w:rPr>
                <w:delText>10.</w:delText>
              </w:r>
              <w:r w:rsidRPr="001B4A02">
                <w:rPr>
                  <w:b/>
                </w:rPr>
                <w:tab/>
                <w:delText>ZVLÁŠTNÍ OPATŘENÍ PRO LIKVIDACI NEPOUŽITÝCH LÉČIVÝCH PŘÍPRAVKŮ NEBO ODPADU Z </w:delText>
              </w:r>
              <w:r w:rsidR="00DE5AC6" w:rsidRPr="001B4A02">
                <w:rPr>
                  <w:b/>
                </w:rPr>
                <w:delText>NICH</w:delText>
              </w:r>
              <w:r w:rsidRPr="001B4A02">
                <w:rPr>
                  <w:b/>
                </w:rPr>
                <w:delText>, POKUD JE TO VHODNÉ</w:delText>
              </w:r>
            </w:del>
          </w:p>
        </w:tc>
      </w:tr>
    </w:tbl>
    <w:p w14:paraId="64DFC146" w14:textId="77777777" w:rsidR="00073F8F" w:rsidRPr="001B4A02" w:rsidRDefault="00073F8F" w:rsidP="00ED48A3">
      <w:pPr>
        <w:rPr>
          <w:del w:id="8754" w:author="AbbVie1" w:date="2025-05-13T09:57:00Z"/>
        </w:rPr>
      </w:pPr>
    </w:p>
    <w:p w14:paraId="7706953C" w14:textId="77777777" w:rsidR="00073F8F" w:rsidRPr="001B4A02" w:rsidRDefault="00073F8F" w:rsidP="00ED48A3">
      <w:pPr>
        <w:rPr>
          <w:del w:id="8755"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F3DC818" w14:textId="77777777">
        <w:trPr>
          <w:del w:id="8756" w:author="AbbVie1" w:date="2025-05-13T09:57:00Z"/>
        </w:trPr>
        <w:tc>
          <w:tcPr>
            <w:tcW w:w="9287" w:type="dxa"/>
          </w:tcPr>
          <w:p w14:paraId="529813D6" w14:textId="77777777" w:rsidR="00073F8F" w:rsidRPr="001B4A02" w:rsidRDefault="00000000" w:rsidP="00ED48A3">
            <w:pPr>
              <w:tabs>
                <w:tab w:val="left" w:pos="142"/>
              </w:tabs>
              <w:rPr>
                <w:del w:id="8757" w:author="AbbVie1" w:date="2025-05-13T09:57:00Z"/>
                <w:b/>
              </w:rPr>
            </w:pPr>
            <w:del w:id="8758" w:author="AbbVie1" w:date="2025-05-13T09:57:00Z">
              <w:r w:rsidRPr="001B4A02">
                <w:rPr>
                  <w:b/>
                </w:rPr>
                <w:delText>11.</w:delText>
              </w:r>
              <w:r w:rsidRPr="001B4A02">
                <w:rPr>
                  <w:b/>
                </w:rPr>
                <w:tab/>
                <w:delText>NÁZEV A ADRESA DRŽITELE ROZHODNUTÍ O REGISTRACI</w:delText>
              </w:r>
            </w:del>
          </w:p>
        </w:tc>
      </w:tr>
    </w:tbl>
    <w:p w14:paraId="703201E7" w14:textId="77777777" w:rsidR="00073F8F" w:rsidRPr="001B4A02" w:rsidRDefault="00073F8F" w:rsidP="00ED48A3">
      <w:pPr>
        <w:rPr>
          <w:del w:id="8759" w:author="AbbVie1" w:date="2025-05-13T09:57:00Z"/>
        </w:rPr>
      </w:pPr>
    </w:p>
    <w:p w14:paraId="497FFC2B" w14:textId="77777777" w:rsidR="00556E01" w:rsidRPr="001B4A02" w:rsidRDefault="00000000" w:rsidP="00556E01">
      <w:pPr>
        <w:keepNext/>
        <w:autoSpaceDE w:val="0"/>
        <w:autoSpaceDN w:val="0"/>
        <w:adjustRightInd w:val="0"/>
        <w:spacing w:line="240" w:lineRule="atLeast"/>
        <w:rPr>
          <w:del w:id="8760" w:author="AbbVie1" w:date="2025-05-13T09:57:00Z"/>
          <w:szCs w:val="22"/>
          <w:lang w:eastAsia="en-GB"/>
        </w:rPr>
      </w:pPr>
      <w:del w:id="8761" w:author="AbbVie1" w:date="2025-05-13T09:57:00Z">
        <w:r w:rsidRPr="001B4A02">
          <w:rPr>
            <w:szCs w:val="22"/>
            <w:lang w:eastAsia="en-GB"/>
          </w:rPr>
          <w:delText>AbbVie Deutschland GmbH &amp; Co. KG</w:delText>
        </w:r>
      </w:del>
    </w:p>
    <w:p w14:paraId="4DF9E433" w14:textId="77777777" w:rsidR="00556E01" w:rsidRPr="001B4A02" w:rsidRDefault="00000000" w:rsidP="00556E01">
      <w:pPr>
        <w:keepNext/>
        <w:autoSpaceDE w:val="0"/>
        <w:autoSpaceDN w:val="0"/>
        <w:adjustRightInd w:val="0"/>
        <w:spacing w:line="240" w:lineRule="atLeast"/>
        <w:rPr>
          <w:del w:id="8762" w:author="AbbVie1" w:date="2025-05-13T09:57:00Z"/>
          <w:szCs w:val="22"/>
          <w:lang w:eastAsia="en-GB"/>
        </w:rPr>
      </w:pPr>
      <w:del w:id="8763" w:author="AbbVie1" w:date="2025-05-13T09:57:00Z">
        <w:r w:rsidRPr="001B4A02">
          <w:rPr>
            <w:szCs w:val="22"/>
            <w:lang w:eastAsia="en-GB"/>
          </w:rPr>
          <w:delText>Knollstrasse</w:delText>
        </w:r>
      </w:del>
    </w:p>
    <w:p w14:paraId="06B4458F" w14:textId="77777777" w:rsidR="00556E01" w:rsidRPr="001B4A02" w:rsidRDefault="00000000" w:rsidP="00556E01">
      <w:pPr>
        <w:keepNext/>
        <w:autoSpaceDE w:val="0"/>
        <w:autoSpaceDN w:val="0"/>
        <w:adjustRightInd w:val="0"/>
        <w:spacing w:line="240" w:lineRule="atLeast"/>
        <w:rPr>
          <w:del w:id="8764" w:author="AbbVie1" w:date="2025-05-13T09:57:00Z"/>
          <w:szCs w:val="22"/>
          <w:lang w:eastAsia="en-GB"/>
        </w:rPr>
      </w:pPr>
      <w:del w:id="8765" w:author="AbbVie1" w:date="2025-05-13T09:57:00Z">
        <w:r w:rsidRPr="001B4A02">
          <w:rPr>
            <w:szCs w:val="22"/>
            <w:lang w:eastAsia="en-GB"/>
          </w:rPr>
          <w:delText>67061 Ludwigshafen</w:delText>
        </w:r>
      </w:del>
    </w:p>
    <w:p w14:paraId="4CDD27EF" w14:textId="77777777" w:rsidR="00073F8F" w:rsidRPr="001B4A02" w:rsidRDefault="00000000" w:rsidP="00ED48A3">
      <w:pPr>
        <w:ind w:left="0" w:firstLine="0"/>
        <w:rPr>
          <w:del w:id="8766" w:author="AbbVie1" w:date="2025-05-13T09:57:00Z"/>
        </w:rPr>
      </w:pPr>
      <w:del w:id="8767" w:author="AbbVie1" w:date="2025-05-13T09:57:00Z">
        <w:r w:rsidRPr="001B4A02">
          <w:rPr>
            <w:szCs w:val="22"/>
            <w:lang w:eastAsia="en-GB"/>
          </w:rPr>
          <w:delText>Německo</w:delText>
        </w:r>
      </w:del>
    </w:p>
    <w:p w14:paraId="5B51E360" w14:textId="77777777" w:rsidR="00073F8F" w:rsidRPr="001B4A02" w:rsidRDefault="00073F8F" w:rsidP="00ED48A3">
      <w:pPr>
        <w:rPr>
          <w:del w:id="8768" w:author="AbbVie1" w:date="2025-05-13T09:57:00Z"/>
        </w:rPr>
      </w:pPr>
    </w:p>
    <w:p w14:paraId="6F8CB4C3" w14:textId="77777777" w:rsidR="00C96A5A" w:rsidRPr="001B4A02" w:rsidRDefault="00C96A5A" w:rsidP="00ED48A3">
      <w:pPr>
        <w:rPr>
          <w:del w:id="8769"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C5E8D06" w14:textId="77777777">
        <w:trPr>
          <w:del w:id="8770" w:author="AbbVie1" w:date="2025-05-13T09:57:00Z"/>
        </w:trPr>
        <w:tc>
          <w:tcPr>
            <w:tcW w:w="9287" w:type="dxa"/>
          </w:tcPr>
          <w:p w14:paraId="03FF8359" w14:textId="77777777" w:rsidR="00073F8F" w:rsidRPr="001B4A02" w:rsidRDefault="00000000" w:rsidP="00ED48A3">
            <w:pPr>
              <w:tabs>
                <w:tab w:val="left" w:pos="142"/>
              </w:tabs>
              <w:rPr>
                <w:del w:id="8771" w:author="AbbVie1" w:date="2025-05-13T09:57:00Z"/>
                <w:b/>
              </w:rPr>
            </w:pPr>
            <w:del w:id="8772" w:author="AbbVie1" w:date="2025-05-13T09:57:00Z">
              <w:r w:rsidRPr="001B4A02">
                <w:rPr>
                  <w:b/>
                </w:rPr>
                <w:delText>12.</w:delText>
              </w:r>
              <w:r w:rsidRPr="001B4A02">
                <w:rPr>
                  <w:b/>
                </w:rPr>
                <w:tab/>
                <w:delText>REGISTRAČNÍ ČÍSLO</w:delText>
              </w:r>
            </w:del>
          </w:p>
        </w:tc>
      </w:tr>
    </w:tbl>
    <w:p w14:paraId="52551903" w14:textId="77777777" w:rsidR="00073F8F" w:rsidRPr="001B4A02" w:rsidRDefault="00073F8F" w:rsidP="007F7787">
      <w:pPr>
        <w:rPr>
          <w:del w:id="8773" w:author="AbbVie1" w:date="2025-05-13T09:57:00Z"/>
        </w:rPr>
      </w:pPr>
    </w:p>
    <w:p w14:paraId="25AD6F6B" w14:textId="77777777" w:rsidR="00073F8F" w:rsidRPr="001B4A02" w:rsidRDefault="00000000" w:rsidP="007F7787">
      <w:pPr>
        <w:rPr>
          <w:del w:id="8774" w:author="AbbVie1" w:date="2025-05-13T09:57:00Z"/>
        </w:rPr>
      </w:pPr>
      <w:del w:id="8775" w:author="AbbVie1" w:date="2025-05-13T09:57:00Z">
        <w:r w:rsidRPr="001B4A02">
          <w:delText>EU/1/03/256/001</w:delText>
        </w:r>
      </w:del>
    </w:p>
    <w:p w14:paraId="099821DC" w14:textId="77777777" w:rsidR="00073F8F" w:rsidRPr="001B4A02" w:rsidRDefault="00073F8F" w:rsidP="00ED48A3">
      <w:pPr>
        <w:rPr>
          <w:del w:id="8776" w:author="AbbVie1" w:date="2025-05-13T09:57:00Z"/>
        </w:rPr>
      </w:pPr>
    </w:p>
    <w:p w14:paraId="2C579B10" w14:textId="77777777" w:rsidR="00073F8F" w:rsidRPr="001B4A02" w:rsidRDefault="00073F8F" w:rsidP="00ED48A3">
      <w:pPr>
        <w:rPr>
          <w:del w:id="8777"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31F726C" w14:textId="77777777">
        <w:trPr>
          <w:del w:id="8778" w:author="AbbVie1" w:date="2025-05-13T09:57:00Z"/>
        </w:trPr>
        <w:tc>
          <w:tcPr>
            <w:tcW w:w="9287" w:type="dxa"/>
          </w:tcPr>
          <w:p w14:paraId="37E479BF" w14:textId="77777777" w:rsidR="00073F8F" w:rsidRPr="001B4A02" w:rsidRDefault="00000000" w:rsidP="00ED48A3">
            <w:pPr>
              <w:tabs>
                <w:tab w:val="left" w:pos="142"/>
              </w:tabs>
              <w:rPr>
                <w:del w:id="8779" w:author="AbbVie1" w:date="2025-05-13T09:57:00Z"/>
                <w:b/>
              </w:rPr>
            </w:pPr>
            <w:del w:id="8780" w:author="AbbVie1" w:date="2025-05-13T09:57:00Z">
              <w:r w:rsidRPr="001B4A02">
                <w:rPr>
                  <w:b/>
                </w:rPr>
                <w:delText>13.</w:delText>
              </w:r>
              <w:r w:rsidRPr="001B4A02">
                <w:rPr>
                  <w:b/>
                </w:rPr>
                <w:tab/>
                <w:delText>ČÍSLO ŠARŽE</w:delText>
              </w:r>
            </w:del>
          </w:p>
        </w:tc>
      </w:tr>
    </w:tbl>
    <w:p w14:paraId="7875717F" w14:textId="77777777" w:rsidR="00073F8F" w:rsidRPr="001B4A02" w:rsidRDefault="00073F8F" w:rsidP="00ED48A3">
      <w:pPr>
        <w:rPr>
          <w:del w:id="8781" w:author="AbbVie1" w:date="2025-05-13T09:57:00Z"/>
        </w:rPr>
      </w:pPr>
    </w:p>
    <w:p w14:paraId="4C90144A" w14:textId="77777777" w:rsidR="00073F8F" w:rsidRPr="001B4A02" w:rsidRDefault="00000000" w:rsidP="00ED48A3">
      <w:pPr>
        <w:rPr>
          <w:del w:id="8782" w:author="AbbVie1" w:date="2025-05-13T09:57:00Z"/>
        </w:rPr>
      </w:pPr>
      <w:del w:id="8783" w:author="AbbVie1" w:date="2025-05-13T09:57:00Z">
        <w:r w:rsidRPr="001B4A02">
          <w:delText>Č. šarže</w:delText>
        </w:r>
      </w:del>
    </w:p>
    <w:p w14:paraId="4E673E2A" w14:textId="77777777" w:rsidR="00073F8F" w:rsidRPr="001B4A02" w:rsidRDefault="00073F8F" w:rsidP="00ED48A3">
      <w:pPr>
        <w:rPr>
          <w:del w:id="8784" w:author="AbbVie1" w:date="2025-05-13T09:57:00Z"/>
        </w:rPr>
      </w:pPr>
    </w:p>
    <w:p w14:paraId="69C89E95" w14:textId="77777777" w:rsidR="00073F8F" w:rsidRPr="001B4A02" w:rsidRDefault="00073F8F" w:rsidP="00ED48A3">
      <w:pPr>
        <w:rPr>
          <w:del w:id="8785"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F6C44C3" w14:textId="77777777">
        <w:trPr>
          <w:del w:id="8786" w:author="AbbVie1" w:date="2025-05-13T09:57:00Z"/>
        </w:trPr>
        <w:tc>
          <w:tcPr>
            <w:tcW w:w="9287" w:type="dxa"/>
          </w:tcPr>
          <w:p w14:paraId="5078A55A" w14:textId="77777777" w:rsidR="00073F8F" w:rsidRPr="001B4A02" w:rsidRDefault="00000000" w:rsidP="00ED48A3">
            <w:pPr>
              <w:tabs>
                <w:tab w:val="left" w:pos="142"/>
              </w:tabs>
              <w:rPr>
                <w:del w:id="8787" w:author="AbbVie1" w:date="2025-05-13T09:57:00Z"/>
                <w:b/>
              </w:rPr>
            </w:pPr>
            <w:del w:id="8788" w:author="AbbVie1" w:date="2025-05-13T09:57:00Z">
              <w:r w:rsidRPr="001B4A02">
                <w:rPr>
                  <w:b/>
                </w:rPr>
                <w:delText>14.</w:delText>
              </w:r>
              <w:r w:rsidRPr="001B4A02">
                <w:rPr>
                  <w:b/>
                </w:rPr>
                <w:tab/>
                <w:delText>KLASIFIKACE PRO VÝDEJ</w:delText>
              </w:r>
            </w:del>
          </w:p>
        </w:tc>
      </w:tr>
    </w:tbl>
    <w:p w14:paraId="3796C93A" w14:textId="77777777" w:rsidR="00073F8F" w:rsidRPr="001B4A02" w:rsidRDefault="00073F8F" w:rsidP="00ED48A3">
      <w:pPr>
        <w:ind w:left="0" w:firstLine="0"/>
        <w:rPr>
          <w:del w:id="8789" w:author="AbbVie1" w:date="2025-05-13T09:57:00Z"/>
        </w:rPr>
      </w:pPr>
    </w:p>
    <w:p w14:paraId="2EB28E7D" w14:textId="77777777" w:rsidR="00073F8F" w:rsidRPr="001B4A02" w:rsidRDefault="00073F8F" w:rsidP="00ED48A3">
      <w:pPr>
        <w:rPr>
          <w:del w:id="8790"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0E3B3E5" w14:textId="77777777">
        <w:trPr>
          <w:del w:id="8791" w:author="AbbVie1" w:date="2025-05-13T09:57:00Z"/>
        </w:trPr>
        <w:tc>
          <w:tcPr>
            <w:tcW w:w="9287" w:type="dxa"/>
          </w:tcPr>
          <w:p w14:paraId="131111C7" w14:textId="77777777" w:rsidR="00073F8F" w:rsidRPr="001B4A02" w:rsidRDefault="00000000" w:rsidP="00ED48A3">
            <w:pPr>
              <w:tabs>
                <w:tab w:val="left" w:pos="142"/>
              </w:tabs>
              <w:rPr>
                <w:del w:id="8792" w:author="AbbVie1" w:date="2025-05-13T09:57:00Z"/>
                <w:b/>
              </w:rPr>
            </w:pPr>
            <w:del w:id="8793" w:author="AbbVie1" w:date="2025-05-13T09:57:00Z">
              <w:r w:rsidRPr="001B4A02">
                <w:rPr>
                  <w:b/>
                </w:rPr>
                <w:delText>15.</w:delText>
              </w:r>
              <w:r w:rsidRPr="001B4A02">
                <w:rPr>
                  <w:b/>
                </w:rPr>
                <w:tab/>
                <w:delText>NÁVOD K POUŽITÍ</w:delText>
              </w:r>
            </w:del>
          </w:p>
        </w:tc>
      </w:tr>
    </w:tbl>
    <w:p w14:paraId="0A791F4D" w14:textId="77777777" w:rsidR="00073F8F" w:rsidRPr="001B4A02" w:rsidRDefault="00073F8F" w:rsidP="00ED48A3">
      <w:pPr>
        <w:rPr>
          <w:del w:id="8794" w:author="AbbVie1" w:date="2025-05-13T09:57:00Z"/>
          <w:u w:val="single"/>
        </w:rPr>
      </w:pPr>
    </w:p>
    <w:p w14:paraId="63B28EE8" w14:textId="77777777" w:rsidR="00073F8F" w:rsidRPr="001B4A02" w:rsidRDefault="00073F8F" w:rsidP="00ED48A3">
      <w:pPr>
        <w:rPr>
          <w:del w:id="8795" w:author="AbbVie1" w:date="2025-05-13T09:57:00Z"/>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DB32311" w14:textId="77777777">
        <w:trPr>
          <w:del w:id="8796" w:author="AbbVie1" w:date="2025-05-13T09:57:00Z"/>
        </w:trPr>
        <w:tc>
          <w:tcPr>
            <w:tcW w:w="9287" w:type="dxa"/>
          </w:tcPr>
          <w:p w14:paraId="5421547D" w14:textId="77777777" w:rsidR="00073F8F" w:rsidRPr="001B4A02" w:rsidRDefault="00000000" w:rsidP="00ED48A3">
            <w:pPr>
              <w:tabs>
                <w:tab w:val="left" w:pos="142"/>
              </w:tabs>
              <w:rPr>
                <w:del w:id="8797" w:author="AbbVie1" w:date="2025-05-13T09:57:00Z"/>
                <w:b/>
              </w:rPr>
            </w:pPr>
            <w:del w:id="8798" w:author="AbbVie1" w:date="2025-05-13T09:57:00Z">
              <w:r w:rsidRPr="001B4A02">
                <w:rPr>
                  <w:b/>
                </w:rPr>
                <w:delText>16.</w:delText>
              </w:r>
              <w:r w:rsidRPr="001B4A02">
                <w:rPr>
                  <w:b/>
                </w:rPr>
                <w:tab/>
                <w:delText>INFORMACE V BRAILLOVĚ PÍSMU</w:delText>
              </w:r>
            </w:del>
          </w:p>
        </w:tc>
      </w:tr>
    </w:tbl>
    <w:p w14:paraId="7C550CFA" w14:textId="77777777" w:rsidR="00073F8F" w:rsidRPr="001B4A02" w:rsidRDefault="00073F8F" w:rsidP="00ED48A3">
      <w:pPr>
        <w:rPr>
          <w:del w:id="8799" w:author="AbbVie1" w:date="2025-05-13T09:57:00Z"/>
          <w:u w:val="single"/>
        </w:rPr>
      </w:pPr>
    </w:p>
    <w:p w14:paraId="65DFCFCC" w14:textId="77777777" w:rsidR="00073F8F" w:rsidRPr="001B4A02" w:rsidRDefault="00000000" w:rsidP="00ED48A3">
      <w:pPr>
        <w:rPr>
          <w:del w:id="8800" w:author="AbbVie1" w:date="2025-05-13T09:57:00Z"/>
        </w:rPr>
      </w:pPr>
      <w:del w:id="8801" w:author="AbbVie1" w:date="2025-05-13T09:57:00Z">
        <w:r w:rsidRPr="001B4A02">
          <w:delText>Humira 40 mg</w:delText>
        </w:r>
      </w:del>
    </w:p>
    <w:p w14:paraId="5633C469" w14:textId="77777777" w:rsidR="00400D97" w:rsidRPr="001B4A02" w:rsidRDefault="00400D97" w:rsidP="00ED48A3">
      <w:pPr>
        <w:rPr>
          <w:del w:id="8802" w:author="AbbVie1" w:date="2025-05-13T09:57:00Z"/>
        </w:rPr>
      </w:pPr>
    </w:p>
    <w:p w14:paraId="1B02E14A" w14:textId="77777777" w:rsidR="00400D97" w:rsidRPr="001B4A02" w:rsidRDefault="00400D97" w:rsidP="00ED48A3">
      <w:pPr>
        <w:rPr>
          <w:del w:id="8803" w:author="AbbVie1" w:date="2025-05-13T09:57:00Z"/>
        </w:rPr>
      </w:pPr>
    </w:p>
    <w:p w14:paraId="588991FF" w14:textId="77777777" w:rsidR="00400D97" w:rsidRPr="001B4A02" w:rsidRDefault="00000000" w:rsidP="00ED48A3">
      <w:pPr>
        <w:pStyle w:val="EMEAHeadingBoxedTitle"/>
        <w:ind w:left="0" w:firstLine="0"/>
        <w:rPr>
          <w:del w:id="8804" w:author="AbbVie1" w:date="2025-05-13T09:57:00Z"/>
          <w:rFonts w:ascii="Times New Roman" w:hAnsi="Times New Roman"/>
          <w:b/>
          <w:bCs/>
          <w:lang w:val="cs-CZ"/>
        </w:rPr>
      </w:pPr>
      <w:del w:id="8805" w:author="AbbVie1" w:date="2025-05-13T09:57:00Z">
        <w:r w:rsidRPr="001B4A02">
          <w:rPr>
            <w:rFonts w:ascii="Times New Roman" w:hAnsi="Times New Roman"/>
            <w:b/>
            <w:bCs/>
            <w:lang w:val="cs-CZ"/>
          </w:rPr>
          <w:delText>17.</w:delText>
        </w:r>
        <w:r w:rsidRPr="001B4A02">
          <w:rPr>
            <w:rFonts w:ascii="Times New Roman" w:hAnsi="Times New Roman"/>
            <w:b/>
            <w:bCs/>
            <w:lang w:val="cs-CZ"/>
          </w:rPr>
          <w:tab/>
          <w:delText xml:space="preserve">JEDINEČNÝ IDENTIFIKÁTOR – 2D ČÁROVÝ KÓD </w:delText>
        </w:r>
      </w:del>
    </w:p>
    <w:p w14:paraId="30B2D3BB" w14:textId="77777777" w:rsidR="00400D97" w:rsidRPr="001B4A02" w:rsidRDefault="00400D97" w:rsidP="00ED48A3">
      <w:pPr>
        <w:rPr>
          <w:del w:id="8806" w:author="AbbVie1" w:date="2025-05-13T09:57:00Z"/>
          <w:shd w:val="clear" w:color="auto" w:fill="BFBFBF"/>
        </w:rPr>
      </w:pPr>
    </w:p>
    <w:p w14:paraId="57717C95" w14:textId="77777777" w:rsidR="00400D97" w:rsidRPr="001B4A02" w:rsidRDefault="00400D97" w:rsidP="00ED48A3">
      <w:pPr>
        <w:rPr>
          <w:del w:id="8807" w:author="AbbVie1" w:date="2025-05-13T09:57:00Z"/>
          <w:shd w:val="clear" w:color="auto" w:fill="BFBFBF"/>
        </w:rPr>
      </w:pPr>
    </w:p>
    <w:p w14:paraId="37C53D31" w14:textId="77777777" w:rsidR="00400D97" w:rsidRPr="001B4A02" w:rsidRDefault="00000000" w:rsidP="00ED48A3">
      <w:pPr>
        <w:pStyle w:val="EMEAHeadingBoxedTitle"/>
        <w:keepNext/>
        <w:ind w:left="0" w:firstLine="0"/>
        <w:rPr>
          <w:del w:id="8808" w:author="AbbVie1" w:date="2025-05-13T09:57:00Z"/>
          <w:rFonts w:ascii="Times New Roman" w:hAnsi="Times New Roman"/>
          <w:lang w:val="cs-CZ"/>
        </w:rPr>
      </w:pPr>
      <w:del w:id="8809" w:author="AbbVie1" w:date="2025-05-13T09:57:00Z">
        <w:r w:rsidRPr="001B4A02">
          <w:rPr>
            <w:rFonts w:ascii="Times New Roman" w:hAnsi="Times New Roman"/>
            <w:b/>
            <w:bCs/>
            <w:lang w:val="cs-CZ"/>
          </w:rPr>
          <w:delText>18.</w:delText>
        </w:r>
        <w:r w:rsidRPr="001B4A02">
          <w:rPr>
            <w:rFonts w:ascii="Times New Roman" w:hAnsi="Times New Roman"/>
            <w:b/>
            <w:bCs/>
            <w:lang w:val="cs-CZ"/>
          </w:rPr>
          <w:tab/>
          <w:delText>JEDINEČNÝ IDENTIFIKÁTOR – DATA ČITELNÁ OKEM</w:delText>
        </w:r>
      </w:del>
    </w:p>
    <w:p w14:paraId="24C94B35" w14:textId="77777777" w:rsidR="00400D97" w:rsidRPr="001B4A02" w:rsidRDefault="00400D97" w:rsidP="00ED48A3">
      <w:pPr>
        <w:keepNext/>
        <w:ind w:left="540" w:hanging="540"/>
        <w:rPr>
          <w:del w:id="8810" w:author="AbbVie1" w:date="2025-05-13T09:57:00Z"/>
        </w:rPr>
      </w:pPr>
    </w:p>
    <w:p w14:paraId="5956F1E4" w14:textId="77777777" w:rsidR="00073F8F" w:rsidRPr="001B4A02" w:rsidRDefault="00000000" w:rsidP="00ED48A3">
      <w:pPr>
        <w:rPr>
          <w:del w:id="8811" w:author="AbbVie1" w:date="2025-05-13T09:57:00Z"/>
          <w:u w:val="single"/>
        </w:rPr>
      </w:pPr>
      <w:del w:id="8812" w:author="AbbVie1" w:date="2025-05-13T09:57:00Z">
        <w:r w:rsidRPr="001B4A02">
          <w:rPr>
            <w:u w:val="single"/>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78937D9" w14:textId="77777777">
        <w:trPr>
          <w:trHeight w:val="785"/>
          <w:del w:id="8813" w:author="AbbVie1" w:date="2025-05-13T09:57:00Z"/>
        </w:trPr>
        <w:tc>
          <w:tcPr>
            <w:tcW w:w="9287" w:type="dxa"/>
            <w:tcBorders>
              <w:bottom w:val="single" w:sz="4" w:space="0" w:color="auto"/>
            </w:tcBorders>
          </w:tcPr>
          <w:p w14:paraId="778A9629" w14:textId="77777777" w:rsidR="00073F8F" w:rsidRPr="001B4A02" w:rsidRDefault="00000000" w:rsidP="00ED48A3">
            <w:pPr>
              <w:rPr>
                <w:del w:id="8814" w:author="AbbVie1" w:date="2025-05-13T09:57:00Z"/>
                <w:b/>
              </w:rPr>
            </w:pPr>
            <w:del w:id="8815" w:author="AbbVie1" w:date="2025-05-13T09:57:00Z">
              <w:r w:rsidRPr="001B4A02">
                <w:br w:type="page"/>
              </w:r>
              <w:r w:rsidRPr="001B4A02">
                <w:rPr>
                  <w:b/>
                </w:rPr>
                <w:delText>MINIMÁLNÍ ÚDAJE UVÁDĚNÉ NA MALÉM VNITŘNÍM OBALU</w:delText>
              </w:r>
            </w:del>
          </w:p>
          <w:p w14:paraId="1AAF9709" w14:textId="77777777" w:rsidR="00073F8F" w:rsidRPr="001B4A02" w:rsidRDefault="00073F8F" w:rsidP="00ED48A3">
            <w:pPr>
              <w:rPr>
                <w:del w:id="8816" w:author="AbbVie1" w:date="2025-05-13T09:57:00Z"/>
                <w:b/>
              </w:rPr>
            </w:pPr>
          </w:p>
          <w:p w14:paraId="5D41FCB9" w14:textId="77777777" w:rsidR="00073F8F" w:rsidRPr="001B4A02" w:rsidRDefault="00000000" w:rsidP="00ED48A3">
            <w:pPr>
              <w:ind w:left="0" w:firstLine="0"/>
              <w:rPr>
                <w:del w:id="8817" w:author="AbbVie1" w:date="2025-05-13T09:57:00Z"/>
                <w:b/>
                <w:caps/>
              </w:rPr>
            </w:pPr>
            <w:del w:id="8818" w:author="AbbVie1" w:date="2025-05-13T09:57:00Z">
              <w:r w:rsidRPr="001B4A02">
                <w:rPr>
                  <w:b/>
                  <w:caps/>
                </w:rPr>
                <w:delText>Etiketa na injekční lahvičce</w:delText>
              </w:r>
            </w:del>
          </w:p>
        </w:tc>
      </w:tr>
    </w:tbl>
    <w:p w14:paraId="76305639" w14:textId="77777777" w:rsidR="00073F8F" w:rsidRPr="001B4A02" w:rsidRDefault="00073F8F" w:rsidP="00ED48A3">
      <w:pPr>
        <w:rPr>
          <w:del w:id="8819" w:author="AbbVie1" w:date="2025-05-13T09:57:00Z"/>
          <w:b/>
        </w:rPr>
      </w:pPr>
    </w:p>
    <w:p w14:paraId="3768B31B" w14:textId="77777777" w:rsidR="00073F8F" w:rsidRPr="001B4A02" w:rsidRDefault="00073F8F" w:rsidP="00ED48A3">
      <w:pPr>
        <w:rPr>
          <w:del w:id="8820" w:author="AbbVie1" w:date="2025-05-13T09:57:00Z"/>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C3AF2A2" w14:textId="77777777">
        <w:trPr>
          <w:del w:id="8821" w:author="AbbVie1" w:date="2025-05-13T09:57:00Z"/>
        </w:trPr>
        <w:tc>
          <w:tcPr>
            <w:tcW w:w="9287" w:type="dxa"/>
          </w:tcPr>
          <w:p w14:paraId="46ABE9F3" w14:textId="77777777" w:rsidR="00073F8F" w:rsidRPr="001B4A02" w:rsidRDefault="00000000" w:rsidP="00ED48A3">
            <w:pPr>
              <w:tabs>
                <w:tab w:val="left" w:pos="142"/>
              </w:tabs>
              <w:rPr>
                <w:del w:id="8822" w:author="AbbVie1" w:date="2025-05-13T09:57:00Z"/>
                <w:b/>
              </w:rPr>
            </w:pPr>
            <w:del w:id="8823" w:author="AbbVie1" w:date="2025-05-13T09:57:00Z">
              <w:r w:rsidRPr="001B4A02">
                <w:rPr>
                  <w:b/>
                </w:rPr>
                <w:delText>1.</w:delText>
              </w:r>
              <w:r w:rsidRPr="001B4A02">
                <w:rPr>
                  <w:b/>
                </w:rPr>
                <w:tab/>
                <w:delText>NÁZEV LÉČIVÉHO PŘÍPRAVKU A CESTA PODÁNÍ</w:delText>
              </w:r>
            </w:del>
          </w:p>
        </w:tc>
      </w:tr>
    </w:tbl>
    <w:p w14:paraId="0C7B0526" w14:textId="77777777" w:rsidR="00073F8F" w:rsidRPr="001B4A02" w:rsidRDefault="00073F8F" w:rsidP="00ED48A3">
      <w:pPr>
        <w:rPr>
          <w:del w:id="8824" w:author="AbbVie1" w:date="2025-05-13T09:57:00Z"/>
        </w:rPr>
      </w:pPr>
    </w:p>
    <w:p w14:paraId="6681438A" w14:textId="77777777" w:rsidR="00073F8F" w:rsidRPr="001B4A02" w:rsidRDefault="00000000" w:rsidP="00ED48A3">
      <w:pPr>
        <w:rPr>
          <w:del w:id="8825" w:author="AbbVie1" w:date="2025-05-13T09:57:00Z"/>
        </w:rPr>
      </w:pPr>
      <w:del w:id="8826" w:author="AbbVie1" w:date="2025-05-13T09:57:00Z">
        <w:r w:rsidRPr="001B4A02">
          <w:delText>Humira 40 mg</w:delText>
        </w:r>
        <w:r w:rsidR="008019A6" w:rsidRPr="001B4A02">
          <w:delText>/0,8 ml</w:delText>
        </w:r>
        <w:r w:rsidRPr="001B4A02">
          <w:delText xml:space="preserve"> injek</w:delText>
        </w:r>
        <w:r w:rsidR="007760E0" w:rsidRPr="001B4A02">
          <w:delText>ce</w:delText>
        </w:r>
      </w:del>
    </w:p>
    <w:p w14:paraId="080902F1" w14:textId="77777777" w:rsidR="00A31F94" w:rsidRPr="001B4A02" w:rsidRDefault="00000000" w:rsidP="00ED48A3">
      <w:pPr>
        <w:rPr>
          <w:del w:id="8827" w:author="AbbVie1" w:date="2025-05-13T09:57:00Z"/>
        </w:rPr>
      </w:pPr>
      <w:del w:id="8828" w:author="AbbVie1" w:date="2025-05-13T09:57:00Z">
        <w:r w:rsidRPr="001B4A02">
          <w:delText>adalimumabum</w:delText>
        </w:r>
      </w:del>
    </w:p>
    <w:p w14:paraId="5CC28A0D" w14:textId="77777777" w:rsidR="00594008" w:rsidRPr="001B4A02" w:rsidRDefault="00000000" w:rsidP="00ED48A3">
      <w:pPr>
        <w:rPr>
          <w:del w:id="8829" w:author="AbbVie1" w:date="2025-05-13T09:57:00Z"/>
        </w:rPr>
      </w:pPr>
      <w:del w:id="8830" w:author="AbbVie1" w:date="2025-05-13T09:57:00Z">
        <w:r w:rsidRPr="001B4A02">
          <w:delText>s.c.</w:delText>
        </w:r>
      </w:del>
    </w:p>
    <w:p w14:paraId="2E36FEE6" w14:textId="77777777" w:rsidR="00073F8F" w:rsidRPr="001B4A02" w:rsidRDefault="00073F8F" w:rsidP="00ED48A3">
      <w:pPr>
        <w:rPr>
          <w:del w:id="8831" w:author="AbbVie1" w:date="2025-05-13T09:57:00Z"/>
        </w:rPr>
      </w:pPr>
    </w:p>
    <w:p w14:paraId="0EDD7FCB" w14:textId="77777777" w:rsidR="00073F8F" w:rsidRPr="001B4A02" w:rsidRDefault="00073F8F" w:rsidP="00ED48A3">
      <w:pPr>
        <w:rPr>
          <w:del w:id="8832"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74CB09D" w14:textId="77777777">
        <w:trPr>
          <w:del w:id="8833" w:author="AbbVie1" w:date="2025-05-13T09:57:00Z"/>
        </w:trPr>
        <w:tc>
          <w:tcPr>
            <w:tcW w:w="9287" w:type="dxa"/>
          </w:tcPr>
          <w:p w14:paraId="627C5819" w14:textId="77777777" w:rsidR="00073F8F" w:rsidRPr="001B4A02" w:rsidRDefault="00000000" w:rsidP="00ED48A3">
            <w:pPr>
              <w:tabs>
                <w:tab w:val="left" w:pos="142"/>
              </w:tabs>
              <w:rPr>
                <w:del w:id="8834" w:author="AbbVie1" w:date="2025-05-13T09:57:00Z"/>
                <w:b/>
              </w:rPr>
            </w:pPr>
            <w:del w:id="8835" w:author="AbbVie1" w:date="2025-05-13T09:57:00Z">
              <w:r w:rsidRPr="001B4A02">
                <w:rPr>
                  <w:b/>
                </w:rPr>
                <w:delText>2.</w:delText>
              </w:r>
              <w:r w:rsidRPr="001B4A02">
                <w:rPr>
                  <w:b/>
                </w:rPr>
                <w:tab/>
                <w:delText>ZPŮSOB PODÁNÍ</w:delText>
              </w:r>
            </w:del>
          </w:p>
        </w:tc>
      </w:tr>
    </w:tbl>
    <w:p w14:paraId="342068B4" w14:textId="77777777" w:rsidR="00073F8F" w:rsidRPr="001B4A02" w:rsidRDefault="00073F8F" w:rsidP="00ED48A3">
      <w:pPr>
        <w:rPr>
          <w:del w:id="8836" w:author="AbbVie1" w:date="2025-05-13T09:57:00Z"/>
        </w:rPr>
      </w:pPr>
    </w:p>
    <w:p w14:paraId="5A5D89EC" w14:textId="77777777" w:rsidR="00073F8F" w:rsidRPr="001B4A02" w:rsidRDefault="00073F8F" w:rsidP="00ED48A3">
      <w:pPr>
        <w:rPr>
          <w:del w:id="8837"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B697074" w14:textId="77777777">
        <w:trPr>
          <w:del w:id="8838" w:author="AbbVie1" w:date="2025-05-13T09:57:00Z"/>
        </w:trPr>
        <w:tc>
          <w:tcPr>
            <w:tcW w:w="9287" w:type="dxa"/>
          </w:tcPr>
          <w:p w14:paraId="5180F5FB" w14:textId="77777777" w:rsidR="00073F8F" w:rsidRPr="001B4A02" w:rsidRDefault="00000000" w:rsidP="00ED48A3">
            <w:pPr>
              <w:tabs>
                <w:tab w:val="left" w:pos="142"/>
              </w:tabs>
              <w:rPr>
                <w:del w:id="8839" w:author="AbbVie1" w:date="2025-05-13T09:57:00Z"/>
                <w:b/>
              </w:rPr>
            </w:pPr>
            <w:del w:id="8840" w:author="AbbVie1" w:date="2025-05-13T09:57:00Z">
              <w:r w:rsidRPr="001B4A02">
                <w:rPr>
                  <w:b/>
                </w:rPr>
                <w:delText>3.</w:delText>
              </w:r>
              <w:r w:rsidRPr="001B4A02">
                <w:rPr>
                  <w:b/>
                </w:rPr>
                <w:tab/>
                <w:delText>POUŽITELNOST</w:delText>
              </w:r>
            </w:del>
          </w:p>
        </w:tc>
      </w:tr>
    </w:tbl>
    <w:p w14:paraId="770BFCE9" w14:textId="77777777" w:rsidR="00073F8F" w:rsidRPr="001B4A02" w:rsidRDefault="00073F8F" w:rsidP="00ED48A3">
      <w:pPr>
        <w:rPr>
          <w:del w:id="8841" w:author="AbbVie1" w:date="2025-05-13T09:57:00Z"/>
        </w:rPr>
      </w:pPr>
    </w:p>
    <w:p w14:paraId="21F270A1" w14:textId="77777777" w:rsidR="00073F8F" w:rsidRPr="001B4A02" w:rsidRDefault="00000000" w:rsidP="00ED48A3">
      <w:pPr>
        <w:rPr>
          <w:del w:id="8842" w:author="AbbVie1" w:date="2025-05-13T09:57:00Z"/>
        </w:rPr>
      </w:pPr>
      <w:del w:id="8843" w:author="AbbVie1" w:date="2025-05-13T09:57:00Z">
        <w:r w:rsidRPr="001B4A02">
          <w:delText xml:space="preserve">EXP </w:delText>
        </w:r>
      </w:del>
    </w:p>
    <w:p w14:paraId="6CD79F3C" w14:textId="77777777" w:rsidR="00073F8F" w:rsidRPr="001B4A02" w:rsidRDefault="00073F8F" w:rsidP="00ED48A3">
      <w:pPr>
        <w:rPr>
          <w:del w:id="8844" w:author="AbbVie1" w:date="2025-05-13T09:57:00Z"/>
        </w:rPr>
      </w:pPr>
    </w:p>
    <w:p w14:paraId="2704BD54" w14:textId="77777777" w:rsidR="00073F8F" w:rsidRPr="001B4A02" w:rsidRDefault="00073F8F" w:rsidP="00ED48A3">
      <w:pPr>
        <w:rPr>
          <w:del w:id="8845"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E9890F9" w14:textId="77777777">
        <w:trPr>
          <w:del w:id="8846" w:author="AbbVie1" w:date="2025-05-13T09:57:00Z"/>
        </w:trPr>
        <w:tc>
          <w:tcPr>
            <w:tcW w:w="9287" w:type="dxa"/>
          </w:tcPr>
          <w:p w14:paraId="7BE01528" w14:textId="77777777" w:rsidR="00073F8F" w:rsidRPr="001B4A02" w:rsidRDefault="00000000" w:rsidP="00ED48A3">
            <w:pPr>
              <w:tabs>
                <w:tab w:val="left" w:pos="142"/>
              </w:tabs>
              <w:rPr>
                <w:del w:id="8847" w:author="AbbVie1" w:date="2025-05-13T09:57:00Z"/>
                <w:b/>
              </w:rPr>
            </w:pPr>
            <w:del w:id="8848" w:author="AbbVie1" w:date="2025-05-13T09:57:00Z">
              <w:r w:rsidRPr="001B4A02">
                <w:rPr>
                  <w:b/>
                </w:rPr>
                <w:delText>4.</w:delText>
              </w:r>
              <w:r w:rsidRPr="001B4A02">
                <w:rPr>
                  <w:b/>
                </w:rPr>
                <w:tab/>
                <w:delText>ČÍSLO ŠARŽE</w:delText>
              </w:r>
            </w:del>
          </w:p>
        </w:tc>
      </w:tr>
    </w:tbl>
    <w:p w14:paraId="1DFE7A99" w14:textId="77777777" w:rsidR="00073F8F" w:rsidRPr="001B4A02" w:rsidRDefault="00073F8F" w:rsidP="00ED48A3">
      <w:pPr>
        <w:rPr>
          <w:del w:id="8849" w:author="AbbVie1" w:date="2025-05-13T09:57:00Z"/>
        </w:rPr>
      </w:pPr>
    </w:p>
    <w:p w14:paraId="46B206C4" w14:textId="77777777" w:rsidR="00073F8F" w:rsidRPr="001B4A02" w:rsidRDefault="00000000" w:rsidP="00ED48A3">
      <w:pPr>
        <w:ind w:right="113"/>
        <w:rPr>
          <w:del w:id="8850" w:author="AbbVie1" w:date="2025-05-13T09:57:00Z"/>
        </w:rPr>
      </w:pPr>
      <w:del w:id="8851" w:author="AbbVie1" w:date="2025-05-13T09:57:00Z">
        <w:r w:rsidRPr="001B4A02">
          <w:delText>Lot</w:delText>
        </w:r>
      </w:del>
    </w:p>
    <w:p w14:paraId="36BA561C" w14:textId="77777777" w:rsidR="00073F8F" w:rsidRPr="001B4A02" w:rsidRDefault="00073F8F" w:rsidP="00ED48A3">
      <w:pPr>
        <w:ind w:right="113"/>
        <w:rPr>
          <w:del w:id="8852" w:author="AbbVie1" w:date="2025-05-13T09:57:00Z"/>
        </w:rPr>
      </w:pPr>
    </w:p>
    <w:p w14:paraId="25863FE6" w14:textId="77777777" w:rsidR="00073F8F" w:rsidRPr="001B4A02" w:rsidRDefault="00073F8F" w:rsidP="00ED48A3">
      <w:pPr>
        <w:ind w:right="113"/>
        <w:rPr>
          <w:del w:id="8853"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10408FE" w14:textId="77777777">
        <w:trPr>
          <w:del w:id="8854" w:author="AbbVie1" w:date="2025-05-13T09:57:00Z"/>
        </w:trPr>
        <w:tc>
          <w:tcPr>
            <w:tcW w:w="9287" w:type="dxa"/>
          </w:tcPr>
          <w:p w14:paraId="2A4E1839" w14:textId="77777777" w:rsidR="00073F8F" w:rsidRPr="001B4A02" w:rsidRDefault="00000000" w:rsidP="00ED48A3">
            <w:pPr>
              <w:tabs>
                <w:tab w:val="left" w:pos="142"/>
              </w:tabs>
              <w:rPr>
                <w:del w:id="8855" w:author="AbbVie1" w:date="2025-05-13T09:57:00Z"/>
                <w:b/>
              </w:rPr>
            </w:pPr>
            <w:del w:id="8856" w:author="AbbVie1" w:date="2025-05-13T09:57:00Z">
              <w:r w:rsidRPr="001B4A02">
                <w:rPr>
                  <w:b/>
                </w:rPr>
                <w:delText>5.</w:delText>
              </w:r>
              <w:r w:rsidRPr="001B4A02">
                <w:rPr>
                  <w:b/>
                </w:rPr>
                <w:tab/>
                <w:delText>OBSAH UDANÝ JAKO HMOTNOST, OBJEM NEBO POČET DÁVEK</w:delText>
              </w:r>
            </w:del>
          </w:p>
        </w:tc>
      </w:tr>
    </w:tbl>
    <w:p w14:paraId="62D9BA49" w14:textId="77777777" w:rsidR="00073F8F" w:rsidRPr="001B4A02" w:rsidRDefault="00073F8F" w:rsidP="00ED48A3">
      <w:pPr>
        <w:rPr>
          <w:del w:id="8857" w:author="AbbVie1" w:date="2025-05-13T09:57:00Z"/>
        </w:rPr>
      </w:pPr>
    </w:p>
    <w:p w14:paraId="55CC5D55" w14:textId="77777777" w:rsidR="00073F8F" w:rsidRPr="001B4A02" w:rsidRDefault="00000000" w:rsidP="00ED48A3">
      <w:pPr>
        <w:rPr>
          <w:del w:id="8858" w:author="AbbVie1" w:date="2025-05-13T09:57:00Z"/>
        </w:rPr>
      </w:pPr>
      <w:del w:id="8859" w:author="AbbVie1" w:date="2025-05-13T09:57:00Z">
        <w:r w:rsidRPr="001B4A02">
          <w:delText>40 mg/0,8 ml</w:delText>
        </w:r>
      </w:del>
    </w:p>
    <w:p w14:paraId="1C25656A" w14:textId="77777777" w:rsidR="00073F8F" w:rsidRPr="001B4A02" w:rsidRDefault="00073F8F" w:rsidP="00ED48A3">
      <w:pPr>
        <w:ind w:left="0" w:firstLine="0"/>
        <w:rPr>
          <w:del w:id="8860" w:author="AbbVie1" w:date="2025-05-13T09:57:00Z"/>
        </w:rPr>
      </w:pPr>
    </w:p>
    <w:p w14:paraId="61B05DAF" w14:textId="77777777" w:rsidR="00073F8F" w:rsidRPr="001B4A02" w:rsidRDefault="00073F8F" w:rsidP="00ED48A3">
      <w:pPr>
        <w:ind w:left="0" w:firstLine="0"/>
        <w:rPr>
          <w:del w:id="8861"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4FFA99B" w14:textId="77777777">
        <w:trPr>
          <w:del w:id="8862" w:author="AbbVie1" w:date="2025-05-13T09:57:00Z"/>
        </w:trPr>
        <w:tc>
          <w:tcPr>
            <w:tcW w:w="9287" w:type="dxa"/>
          </w:tcPr>
          <w:p w14:paraId="4606FC08" w14:textId="77777777" w:rsidR="00073F8F" w:rsidRPr="001B4A02" w:rsidRDefault="00000000" w:rsidP="00ED48A3">
            <w:pPr>
              <w:tabs>
                <w:tab w:val="left" w:pos="142"/>
              </w:tabs>
              <w:rPr>
                <w:del w:id="8863" w:author="AbbVie1" w:date="2025-05-13T09:57:00Z"/>
                <w:b/>
              </w:rPr>
            </w:pPr>
            <w:del w:id="8864" w:author="AbbVie1" w:date="2025-05-13T09:57:00Z">
              <w:r w:rsidRPr="001B4A02">
                <w:rPr>
                  <w:b/>
                </w:rPr>
                <w:delText>6.</w:delText>
              </w:r>
              <w:r w:rsidRPr="001B4A02">
                <w:rPr>
                  <w:b/>
                </w:rPr>
                <w:tab/>
                <w:delText>JINÉ</w:delText>
              </w:r>
            </w:del>
          </w:p>
        </w:tc>
      </w:tr>
    </w:tbl>
    <w:p w14:paraId="2F1A6BF6" w14:textId="77777777" w:rsidR="00073F8F" w:rsidRPr="001B4A02" w:rsidRDefault="00073F8F" w:rsidP="00ED48A3">
      <w:pPr>
        <w:rPr>
          <w:del w:id="8865" w:author="AbbVie1" w:date="2025-05-13T09:57:00Z"/>
          <w:u w:val="single"/>
        </w:rPr>
      </w:pPr>
    </w:p>
    <w:p w14:paraId="23AC8F3D" w14:textId="77777777" w:rsidR="00943958" w:rsidRPr="001B4A02" w:rsidRDefault="00000000" w:rsidP="00ED48A3">
      <w:pPr>
        <w:ind w:left="0" w:firstLine="0"/>
        <w:rPr>
          <w:del w:id="8866" w:author="AbbVie1" w:date="2025-05-13T09:57:00Z"/>
        </w:rPr>
      </w:pPr>
      <w:del w:id="8867" w:author="AbbVie1" w:date="2025-05-13T09:57:00Z">
        <w:r w:rsidRPr="001B4A02">
          <w:delText>Pouze k jednorázovému použití</w:delText>
        </w:r>
        <w:r w:rsidR="004343F9" w:rsidRPr="001B4A02">
          <w:delText>.</w:delText>
        </w:r>
      </w:del>
    </w:p>
    <w:p w14:paraId="2DFFECF4" w14:textId="77777777" w:rsidR="00073F8F" w:rsidRPr="001B4A02" w:rsidRDefault="00073F8F" w:rsidP="00ED48A3">
      <w:pPr>
        <w:ind w:left="0" w:firstLine="0"/>
        <w:rPr>
          <w:del w:id="8868" w:author="AbbVie1" w:date="2025-05-13T09:57:00Z"/>
          <w:u w:val="single"/>
        </w:rPr>
      </w:pPr>
    </w:p>
    <w:p w14:paraId="4E3225A8" w14:textId="77777777" w:rsidR="00934FD3" w:rsidRPr="001B4A02" w:rsidRDefault="00000000" w:rsidP="00934FD3">
      <w:pPr>
        <w:rPr>
          <w:del w:id="8869" w:author="AbbVie1" w:date="2025-05-13T09:57:00Z"/>
        </w:rPr>
      </w:pPr>
      <w:del w:id="8870" w:author="AbbVie1" w:date="2025-05-13T09:57:00Z">
        <w:r w:rsidRPr="001B4A02">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0BDB4CC" w14:textId="77777777" w:rsidTr="007F754C">
        <w:trPr>
          <w:del w:id="8871" w:author="AbbVie1" w:date="2025-05-13T09:57:00Z"/>
        </w:trPr>
        <w:tc>
          <w:tcPr>
            <w:tcW w:w="9287" w:type="dxa"/>
          </w:tcPr>
          <w:p w14:paraId="74DB6FC6" w14:textId="77777777" w:rsidR="00934FD3" w:rsidRPr="001B4A02" w:rsidRDefault="00000000" w:rsidP="00B73639">
            <w:pPr>
              <w:ind w:left="0" w:firstLine="0"/>
              <w:rPr>
                <w:del w:id="8872" w:author="AbbVie1" w:date="2025-05-13T09:57:00Z"/>
                <w:b/>
              </w:rPr>
            </w:pPr>
            <w:del w:id="8873" w:author="AbbVie1" w:date="2025-05-13T09:57:00Z">
              <w:r w:rsidRPr="001B4A02">
                <w:rPr>
                  <w:b/>
                  <w:u w:val="single"/>
                </w:rPr>
                <w:br w:type="page"/>
              </w:r>
              <w:r w:rsidRPr="001B4A02">
                <w:rPr>
                  <w:b/>
                </w:rPr>
                <w:delText>ÚDAJE UVÁDĚNÉ NA VNĚJŠÍM OBALU</w:delText>
              </w:r>
            </w:del>
          </w:p>
          <w:p w14:paraId="215C05A7" w14:textId="77777777" w:rsidR="00934FD3" w:rsidRPr="001B4A02" w:rsidRDefault="00934FD3" w:rsidP="00B73639">
            <w:pPr>
              <w:rPr>
                <w:del w:id="8874" w:author="AbbVie1" w:date="2025-05-13T09:57:00Z"/>
                <w:b/>
              </w:rPr>
            </w:pPr>
          </w:p>
          <w:p w14:paraId="6251A1EC" w14:textId="77777777" w:rsidR="00934FD3" w:rsidRPr="001B4A02" w:rsidRDefault="00000000" w:rsidP="00B73639">
            <w:pPr>
              <w:rPr>
                <w:del w:id="8875" w:author="AbbVie1" w:date="2025-05-13T09:57:00Z"/>
                <w:b/>
                <w:caps/>
              </w:rPr>
            </w:pPr>
            <w:del w:id="8876" w:author="AbbVie1" w:date="2025-05-13T09:57:00Z">
              <w:r w:rsidRPr="001B4A02">
                <w:rPr>
                  <w:b/>
                  <w:caps/>
                </w:rPr>
                <w:delText>Krabička</w:delText>
              </w:r>
            </w:del>
          </w:p>
        </w:tc>
      </w:tr>
    </w:tbl>
    <w:p w14:paraId="38CDDCB0" w14:textId="77777777" w:rsidR="00934FD3" w:rsidRPr="001B4A02" w:rsidRDefault="00934FD3" w:rsidP="00934FD3">
      <w:pPr>
        <w:rPr>
          <w:del w:id="8877" w:author="AbbVie1" w:date="2025-05-13T09:57:00Z"/>
        </w:rPr>
      </w:pPr>
    </w:p>
    <w:p w14:paraId="4C98190A" w14:textId="77777777" w:rsidR="00073F8F" w:rsidRPr="001B4A02" w:rsidRDefault="00073F8F" w:rsidP="00ED48A3">
      <w:pPr>
        <w:rPr>
          <w:del w:id="8878"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4E4CFB6" w14:textId="77777777">
        <w:trPr>
          <w:del w:id="8879" w:author="AbbVie1" w:date="2025-05-13T09:57:00Z"/>
        </w:trPr>
        <w:tc>
          <w:tcPr>
            <w:tcW w:w="9287" w:type="dxa"/>
          </w:tcPr>
          <w:p w14:paraId="02056AF4" w14:textId="77777777" w:rsidR="00073F8F" w:rsidRPr="001B4A02" w:rsidRDefault="00000000" w:rsidP="00ED48A3">
            <w:pPr>
              <w:tabs>
                <w:tab w:val="left" w:pos="142"/>
              </w:tabs>
              <w:rPr>
                <w:del w:id="8880" w:author="AbbVie1" w:date="2025-05-13T09:57:00Z"/>
                <w:b/>
              </w:rPr>
            </w:pPr>
            <w:del w:id="8881" w:author="AbbVie1" w:date="2025-05-13T09:57:00Z">
              <w:r w:rsidRPr="001B4A02">
                <w:rPr>
                  <w:b/>
                </w:rPr>
                <w:delText>1.</w:delText>
              </w:r>
              <w:r w:rsidRPr="001B4A02">
                <w:rPr>
                  <w:b/>
                </w:rPr>
                <w:tab/>
                <w:delText>NÁZEV LÉČIVÉHO PŘÍPRAVKU</w:delText>
              </w:r>
            </w:del>
          </w:p>
        </w:tc>
      </w:tr>
    </w:tbl>
    <w:p w14:paraId="79012E04" w14:textId="77777777" w:rsidR="00073F8F" w:rsidRPr="001B4A02" w:rsidRDefault="00073F8F" w:rsidP="00ED48A3">
      <w:pPr>
        <w:rPr>
          <w:del w:id="8882" w:author="AbbVie1" w:date="2025-05-13T09:57:00Z"/>
        </w:rPr>
      </w:pPr>
    </w:p>
    <w:p w14:paraId="3D4F4970" w14:textId="77777777" w:rsidR="00073F8F" w:rsidRPr="001B4A02" w:rsidRDefault="00000000" w:rsidP="004D0686">
      <w:pPr>
        <w:outlineLvl w:val="0"/>
        <w:rPr>
          <w:del w:id="8883" w:author="AbbVie1" w:date="2025-05-13T09:57:00Z"/>
        </w:rPr>
      </w:pPr>
      <w:del w:id="8884" w:author="AbbVie1" w:date="2025-05-13T09:57:00Z">
        <w:r w:rsidRPr="001B4A02">
          <w:delText>Humira 40 mg injekční roztok v předplněné injekční stříkačce</w:delText>
        </w:r>
      </w:del>
    </w:p>
    <w:p w14:paraId="25C11C70" w14:textId="77777777" w:rsidR="00073F8F" w:rsidRPr="001B4A02" w:rsidRDefault="00000000" w:rsidP="00ED48A3">
      <w:pPr>
        <w:rPr>
          <w:del w:id="8885" w:author="AbbVie1" w:date="2025-05-13T09:57:00Z"/>
        </w:rPr>
      </w:pPr>
      <w:del w:id="8886" w:author="AbbVie1" w:date="2025-05-13T09:57:00Z">
        <w:r w:rsidRPr="001B4A02">
          <w:delText>adalimumabum</w:delText>
        </w:r>
      </w:del>
    </w:p>
    <w:p w14:paraId="7C6CCADA" w14:textId="77777777" w:rsidR="00073F8F" w:rsidRPr="001B4A02" w:rsidRDefault="00073F8F" w:rsidP="00ED48A3">
      <w:pPr>
        <w:rPr>
          <w:del w:id="8887" w:author="AbbVie1" w:date="2025-05-13T09:57:00Z"/>
        </w:rPr>
      </w:pPr>
    </w:p>
    <w:p w14:paraId="74AF090D" w14:textId="77777777" w:rsidR="00073F8F" w:rsidRPr="001B4A02" w:rsidRDefault="00073F8F" w:rsidP="00ED48A3">
      <w:pPr>
        <w:rPr>
          <w:del w:id="8888"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1534240" w14:textId="77777777">
        <w:trPr>
          <w:del w:id="8889" w:author="AbbVie1" w:date="2025-05-13T09:57:00Z"/>
        </w:trPr>
        <w:tc>
          <w:tcPr>
            <w:tcW w:w="9287" w:type="dxa"/>
          </w:tcPr>
          <w:p w14:paraId="79FB1B4D" w14:textId="77777777" w:rsidR="00073F8F" w:rsidRPr="001B4A02" w:rsidRDefault="00000000" w:rsidP="00ED48A3">
            <w:pPr>
              <w:tabs>
                <w:tab w:val="left" w:pos="142"/>
              </w:tabs>
              <w:rPr>
                <w:del w:id="8890" w:author="AbbVie1" w:date="2025-05-13T09:57:00Z"/>
                <w:b/>
              </w:rPr>
            </w:pPr>
            <w:del w:id="8891" w:author="AbbVie1" w:date="2025-05-13T09:57:00Z">
              <w:r w:rsidRPr="001B4A02">
                <w:rPr>
                  <w:b/>
                </w:rPr>
                <w:delText>2.</w:delText>
              </w:r>
              <w:r w:rsidRPr="001B4A02">
                <w:rPr>
                  <w:b/>
                </w:rPr>
                <w:tab/>
                <w:delText>OBSAH LÉČIVÉ LÁTKY</w:delText>
              </w:r>
            </w:del>
          </w:p>
        </w:tc>
      </w:tr>
    </w:tbl>
    <w:p w14:paraId="62214CAB" w14:textId="77777777" w:rsidR="00073F8F" w:rsidRPr="001B4A02" w:rsidRDefault="00073F8F" w:rsidP="00ED48A3">
      <w:pPr>
        <w:rPr>
          <w:del w:id="8892" w:author="AbbVie1" w:date="2025-05-13T09:57:00Z"/>
        </w:rPr>
      </w:pPr>
    </w:p>
    <w:p w14:paraId="32871789" w14:textId="77777777" w:rsidR="00073F8F" w:rsidRPr="001B4A02" w:rsidRDefault="00000000" w:rsidP="00ED48A3">
      <w:pPr>
        <w:rPr>
          <w:del w:id="8893" w:author="AbbVie1" w:date="2025-05-13T09:57:00Z"/>
        </w:rPr>
      </w:pPr>
      <w:del w:id="8894" w:author="AbbVie1" w:date="2025-05-13T09:57:00Z">
        <w:r w:rsidRPr="001B4A02">
          <w:delText>Jedna 0,8ml předplněná injekční stříkačka obsahuje adalimumabu</w:delText>
        </w:r>
        <w:r w:rsidR="00921392" w:rsidRPr="001B4A02">
          <w:delText>m 40</w:delText>
        </w:r>
        <w:r w:rsidR="00874DE1">
          <w:delText> mg</w:delText>
        </w:r>
        <w:r w:rsidR="004D43B2" w:rsidRPr="001B4A02">
          <w:delText>.</w:delText>
        </w:r>
      </w:del>
    </w:p>
    <w:p w14:paraId="039EAD54" w14:textId="77777777" w:rsidR="00073F8F" w:rsidRPr="001B4A02" w:rsidRDefault="00073F8F" w:rsidP="00ED48A3">
      <w:pPr>
        <w:rPr>
          <w:del w:id="8895" w:author="AbbVie1" w:date="2025-05-13T09:57:00Z"/>
        </w:rPr>
      </w:pPr>
    </w:p>
    <w:p w14:paraId="796C18B9" w14:textId="77777777" w:rsidR="00073F8F" w:rsidRPr="001B4A02" w:rsidRDefault="00073F8F" w:rsidP="00ED48A3">
      <w:pPr>
        <w:rPr>
          <w:del w:id="8896"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F64E15C" w14:textId="77777777">
        <w:trPr>
          <w:del w:id="8897" w:author="AbbVie1" w:date="2025-05-13T09:57:00Z"/>
        </w:trPr>
        <w:tc>
          <w:tcPr>
            <w:tcW w:w="9287" w:type="dxa"/>
          </w:tcPr>
          <w:p w14:paraId="42FD6DAA" w14:textId="77777777" w:rsidR="00073F8F" w:rsidRPr="001B4A02" w:rsidRDefault="00000000" w:rsidP="00ED48A3">
            <w:pPr>
              <w:tabs>
                <w:tab w:val="left" w:pos="142"/>
              </w:tabs>
              <w:rPr>
                <w:del w:id="8898" w:author="AbbVie1" w:date="2025-05-13T09:57:00Z"/>
                <w:b/>
              </w:rPr>
            </w:pPr>
            <w:del w:id="8899" w:author="AbbVie1" w:date="2025-05-13T09:57:00Z">
              <w:r w:rsidRPr="001B4A02">
                <w:rPr>
                  <w:b/>
                </w:rPr>
                <w:delText>3.</w:delText>
              </w:r>
              <w:r w:rsidRPr="001B4A02">
                <w:rPr>
                  <w:b/>
                </w:rPr>
                <w:tab/>
                <w:delText>SEZNAM POMOCNÝCH LÁTEK</w:delText>
              </w:r>
            </w:del>
          </w:p>
        </w:tc>
      </w:tr>
    </w:tbl>
    <w:p w14:paraId="2C264EA7" w14:textId="77777777" w:rsidR="00073F8F" w:rsidRPr="001B4A02" w:rsidRDefault="00073F8F" w:rsidP="00ED48A3">
      <w:pPr>
        <w:rPr>
          <w:del w:id="8900" w:author="AbbVie1" w:date="2025-05-13T09:57:00Z"/>
        </w:rPr>
      </w:pPr>
    </w:p>
    <w:p w14:paraId="54A43A67" w14:textId="77777777" w:rsidR="00073F8F" w:rsidRPr="001B4A02" w:rsidRDefault="00000000" w:rsidP="00ED48A3">
      <w:pPr>
        <w:ind w:left="0" w:firstLine="0"/>
        <w:rPr>
          <w:del w:id="8901" w:author="AbbVie1" w:date="2025-05-13T09:57:00Z"/>
        </w:rPr>
      </w:pPr>
      <w:del w:id="8902" w:author="AbbVie1" w:date="2025-05-13T09:57:00Z">
        <w:r w:rsidRPr="001B4A02">
          <w:delText xml:space="preserve">Pomocné látky: mannitol, monohydrát kyseliny citronové, dihydrát </w:delText>
        </w:r>
        <w:r w:rsidR="007A4774" w:rsidRPr="001B4A02">
          <w:delText>natrium-citrátu</w:delText>
        </w:r>
        <w:r w:rsidRPr="001B4A02">
          <w:delText>, dihydrát dihydrogenfosforečnanu sodného, dihydrát hydrogenfosforečnanu sodného, chlorid sodný, polysorbát 80, hydroxid sodný</w:delText>
        </w:r>
        <w:r w:rsidR="002378E0">
          <w:delText xml:space="preserve"> a </w:delText>
        </w:r>
        <w:r w:rsidRPr="001B4A02">
          <w:delText xml:space="preserve">voda </w:delText>
        </w:r>
        <w:r w:rsidR="00202301" w:rsidRPr="001B4A02">
          <w:delText>pro</w:delText>
        </w:r>
        <w:r w:rsidRPr="001B4A02">
          <w:delText xml:space="preserve"> injekci. Další informace naleznete v příbalové informaci.</w:delText>
        </w:r>
      </w:del>
    </w:p>
    <w:p w14:paraId="3B61642D" w14:textId="77777777" w:rsidR="00073F8F" w:rsidRPr="001B4A02" w:rsidRDefault="00073F8F" w:rsidP="00ED48A3">
      <w:pPr>
        <w:rPr>
          <w:del w:id="8903" w:author="AbbVie1" w:date="2025-05-13T09:57:00Z"/>
        </w:rPr>
      </w:pPr>
    </w:p>
    <w:p w14:paraId="224CD543" w14:textId="77777777" w:rsidR="00073F8F" w:rsidRPr="001B4A02" w:rsidRDefault="00073F8F" w:rsidP="00ED48A3">
      <w:pPr>
        <w:rPr>
          <w:del w:id="8904"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63EDC04" w14:textId="77777777">
        <w:trPr>
          <w:del w:id="8905" w:author="AbbVie1" w:date="2025-05-13T09:57:00Z"/>
        </w:trPr>
        <w:tc>
          <w:tcPr>
            <w:tcW w:w="9287" w:type="dxa"/>
          </w:tcPr>
          <w:p w14:paraId="789E26AE" w14:textId="77777777" w:rsidR="00073F8F" w:rsidRPr="001B4A02" w:rsidRDefault="00000000" w:rsidP="00ED48A3">
            <w:pPr>
              <w:tabs>
                <w:tab w:val="left" w:pos="142"/>
              </w:tabs>
              <w:rPr>
                <w:del w:id="8906" w:author="AbbVie1" w:date="2025-05-13T09:57:00Z"/>
                <w:b/>
              </w:rPr>
            </w:pPr>
            <w:del w:id="8907" w:author="AbbVie1" w:date="2025-05-13T09:57:00Z">
              <w:r w:rsidRPr="001B4A02">
                <w:rPr>
                  <w:b/>
                </w:rPr>
                <w:delText>4.</w:delText>
              </w:r>
              <w:r w:rsidRPr="001B4A02">
                <w:rPr>
                  <w:b/>
                </w:rPr>
                <w:tab/>
                <w:delText xml:space="preserve">LÉKOVÁ FORMA A </w:delText>
              </w:r>
              <w:r w:rsidR="00DE5AC6" w:rsidRPr="001B4A02">
                <w:rPr>
                  <w:b/>
                </w:rPr>
                <w:delText xml:space="preserve">OBSAH </w:delText>
              </w:r>
              <w:r w:rsidRPr="001B4A02">
                <w:rPr>
                  <w:b/>
                </w:rPr>
                <w:delText>BALENÍ</w:delText>
              </w:r>
            </w:del>
          </w:p>
        </w:tc>
      </w:tr>
    </w:tbl>
    <w:p w14:paraId="148B7A92" w14:textId="77777777" w:rsidR="00073F8F" w:rsidRPr="001B4A02" w:rsidRDefault="00073F8F" w:rsidP="00ED48A3">
      <w:pPr>
        <w:rPr>
          <w:del w:id="8908" w:author="AbbVie1" w:date="2025-05-13T09:57:00Z"/>
        </w:rPr>
      </w:pPr>
    </w:p>
    <w:p w14:paraId="45E9E2D8" w14:textId="77777777" w:rsidR="00E01AD4" w:rsidRPr="001B4A02" w:rsidRDefault="00000000" w:rsidP="00ED48A3">
      <w:pPr>
        <w:rPr>
          <w:del w:id="8909" w:author="AbbVie1" w:date="2025-05-13T09:57:00Z"/>
        </w:rPr>
      </w:pPr>
      <w:del w:id="8910" w:author="AbbVie1" w:date="2025-05-13T09:57:00Z">
        <w:r w:rsidRPr="001B4A02">
          <w:rPr>
            <w:highlight w:val="lightGray"/>
          </w:rPr>
          <w:delText>Injekční roztok</w:delText>
        </w:r>
      </w:del>
    </w:p>
    <w:p w14:paraId="38B04DF6" w14:textId="77777777" w:rsidR="00073F8F" w:rsidRPr="001B4A02" w:rsidRDefault="00000000" w:rsidP="00ED48A3">
      <w:pPr>
        <w:rPr>
          <w:del w:id="8911" w:author="AbbVie1" w:date="2025-05-13T09:57:00Z"/>
        </w:rPr>
      </w:pPr>
      <w:del w:id="8912" w:author="AbbVie1" w:date="2025-05-13T09:57:00Z">
        <w:r w:rsidRPr="001B4A02">
          <w:delText xml:space="preserve">1 předplněná injekční stříkačka </w:delText>
        </w:r>
      </w:del>
    </w:p>
    <w:p w14:paraId="5EABB9DF" w14:textId="77777777" w:rsidR="00073F8F" w:rsidRPr="001B4A02" w:rsidRDefault="00000000" w:rsidP="00ED48A3">
      <w:pPr>
        <w:rPr>
          <w:del w:id="8913" w:author="AbbVie1" w:date="2025-05-13T09:57:00Z"/>
        </w:rPr>
      </w:pPr>
      <w:del w:id="8914" w:author="AbbVie1" w:date="2025-05-13T09:57:00Z">
        <w:r w:rsidRPr="001B4A02">
          <w:delText>1 tampón napuštěný alkoholem</w:delText>
        </w:r>
      </w:del>
    </w:p>
    <w:p w14:paraId="7D06823D" w14:textId="77777777" w:rsidR="00594008" w:rsidRPr="001B4A02" w:rsidRDefault="00594008" w:rsidP="00ED48A3">
      <w:pPr>
        <w:rPr>
          <w:del w:id="8915" w:author="AbbVie1" w:date="2025-05-13T09:57:00Z"/>
        </w:rPr>
      </w:pPr>
    </w:p>
    <w:p w14:paraId="7DBF6361" w14:textId="77777777" w:rsidR="00594008" w:rsidRPr="001B4A02" w:rsidRDefault="00000000" w:rsidP="00ED48A3">
      <w:pPr>
        <w:rPr>
          <w:del w:id="8916" w:author="AbbVie1" w:date="2025-05-13T09:57:00Z"/>
          <w:highlight w:val="lightGray"/>
        </w:rPr>
      </w:pPr>
      <w:del w:id="8917" w:author="AbbVie1" w:date="2025-05-13T09:57:00Z">
        <w:r w:rsidRPr="001B4A02">
          <w:rPr>
            <w:highlight w:val="lightGray"/>
          </w:rPr>
          <w:delText>2 předplněné injekční stříkačky</w:delText>
        </w:r>
      </w:del>
    </w:p>
    <w:p w14:paraId="32547EF1" w14:textId="77777777" w:rsidR="00594008" w:rsidRPr="001B4A02" w:rsidRDefault="00000000" w:rsidP="00ED48A3">
      <w:pPr>
        <w:rPr>
          <w:del w:id="8918" w:author="AbbVie1" w:date="2025-05-13T09:57:00Z"/>
          <w:highlight w:val="lightGray"/>
        </w:rPr>
      </w:pPr>
      <w:del w:id="8919" w:author="AbbVie1" w:date="2025-05-13T09:57:00Z">
        <w:r w:rsidRPr="001B4A02">
          <w:rPr>
            <w:highlight w:val="lightGray"/>
          </w:rPr>
          <w:delText>2 tampóny nap</w:delText>
        </w:r>
        <w:r w:rsidR="00A80450" w:rsidRPr="001B4A02">
          <w:rPr>
            <w:highlight w:val="lightGray"/>
          </w:rPr>
          <w:delText>ušt</w:delText>
        </w:r>
        <w:r w:rsidRPr="001B4A02">
          <w:rPr>
            <w:highlight w:val="lightGray"/>
          </w:rPr>
          <w:delText>ěné alkoholem</w:delText>
        </w:r>
      </w:del>
    </w:p>
    <w:p w14:paraId="6E96C362" w14:textId="77777777" w:rsidR="00073F8F" w:rsidRPr="001B4A02" w:rsidRDefault="00073F8F" w:rsidP="00ED48A3">
      <w:pPr>
        <w:rPr>
          <w:del w:id="8920" w:author="AbbVie1" w:date="2025-05-13T09:57:00Z"/>
          <w:highlight w:val="lightGray"/>
        </w:rPr>
      </w:pPr>
    </w:p>
    <w:p w14:paraId="28D26CA8" w14:textId="77777777" w:rsidR="00594008" w:rsidRPr="001B4A02" w:rsidRDefault="00000000" w:rsidP="00594008">
      <w:pPr>
        <w:rPr>
          <w:del w:id="8921" w:author="AbbVie1" w:date="2025-05-13T09:57:00Z"/>
          <w:highlight w:val="lightGray"/>
        </w:rPr>
      </w:pPr>
      <w:del w:id="8922" w:author="AbbVie1" w:date="2025-05-13T09:57:00Z">
        <w:r w:rsidRPr="001B4A02">
          <w:rPr>
            <w:highlight w:val="lightGray"/>
          </w:rPr>
          <w:delText>4 předplněné injekční stříkačky</w:delText>
        </w:r>
      </w:del>
    </w:p>
    <w:p w14:paraId="2B9F2BCB" w14:textId="77777777" w:rsidR="00594008" w:rsidRPr="001B4A02" w:rsidRDefault="00000000" w:rsidP="00594008">
      <w:pPr>
        <w:rPr>
          <w:del w:id="8923" w:author="AbbVie1" w:date="2025-05-13T09:57:00Z"/>
          <w:highlight w:val="lightGray"/>
        </w:rPr>
      </w:pPr>
      <w:del w:id="8924" w:author="AbbVie1" w:date="2025-05-13T09:57:00Z">
        <w:r w:rsidRPr="001B4A02">
          <w:rPr>
            <w:highlight w:val="lightGray"/>
          </w:rPr>
          <w:delText>4 tampóny nap</w:delText>
        </w:r>
        <w:r w:rsidR="00A80450" w:rsidRPr="001B4A02">
          <w:rPr>
            <w:highlight w:val="lightGray"/>
          </w:rPr>
          <w:delText>ušt</w:delText>
        </w:r>
        <w:r w:rsidRPr="001B4A02">
          <w:rPr>
            <w:highlight w:val="lightGray"/>
          </w:rPr>
          <w:delText>ěné alkoholem</w:delText>
        </w:r>
      </w:del>
    </w:p>
    <w:p w14:paraId="145FDE85" w14:textId="77777777" w:rsidR="00594008" w:rsidRPr="001B4A02" w:rsidRDefault="00594008" w:rsidP="00ED48A3">
      <w:pPr>
        <w:rPr>
          <w:del w:id="8925" w:author="AbbVie1" w:date="2025-05-13T09:57:00Z"/>
          <w:highlight w:val="lightGray"/>
        </w:rPr>
      </w:pPr>
    </w:p>
    <w:p w14:paraId="3CE84AA4" w14:textId="77777777" w:rsidR="00594008" w:rsidRPr="001B4A02" w:rsidRDefault="00000000" w:rsidP="00594008">
      <w:pPr>
        <w:rPr>
          <w:del w:id="8926" w:author="AbbVie1" w:date="2025-05-13T09:57:00Z"/>
          <w:highlight w:val="lightGray"/>
        </w:rPr>
      </w:pPr>
      <w:del w:id="8927" w:author="AbbVie1" w:date="2025-05-13T09:57:00Z">
        <w:r w:rsidRPr="001B4A02">
          <w:rPr>
            <w:highlight w:val="lightGray"/>
          </w:rPr>
          <w:delText>6 předplněných injekčních stříkaček</w:delText>
        </w:r>
      </w:del>
    </w:p>
    <w:p w14:paraId="36844381" w14:textId="77777777" w:rsidR="00594008" w:rsidRPr="001B4A02" w:rsidRDefault="00000000" w:rsidP="00594008">
      <w:pPr>
        <w:rPr>
          <w:del w:id="8928" w:author="AbbVie1" w:date="2025-05-13T09:57:00Z"/>
        </w:rPr>
      </w:pPr>
      <w:del w:id="8929" w:author="AbbVie1" w:date="2025-05-13T09:57:00Z">
        <w:r w:rsidRPr="001B4A02">
          <w:rPr>
            <w:highlight w:val="lightGray"/>
          </w:rPr>
          <w:delText>6 tampónů nap</w:delText>
        </w:r>
        <w:r w:rsidR="00A80450" w:rsidRPr="001B4A02">
          <w:rPr>
            <w:highlight w:val="lightGray"/>
          </w:rPr>
          <w:delText>ušt</w:delText>
        </w:r>
        <w:r w:rsidRPr="001B4A02">
          <w:rPr>
            <w:highlight w:val="lightGray"/>
          </w:rPr>
          <w:delText>ěných alkoholem</w:delText>
        </w:r>
      </w:del>
    </w:p>
    <w:p w14:paraId="0B1E821C" w14:textId="77777777" w:rsidR="00594008" w:rsidRPr="001B4A02" w:rsidRDefault="00594008" w:rsidP="00ED48A3">
      <w:pPr>
        <w:rPr>
          <w:del w:id="8930" w:author="AbbVie1" w:date="2025-05-13T09:57:00Z"/>
        </w:rPr>
      </w:pPr>
    </w:p>
    <w:p w14:paraId="2C722246" w14:textId="77777777" w:rsidR="00073F8F" w:rsidRPr="001B4A02" w:rsidRDefault="00073F8F" w:rsidP="00ED48A3">
      <w:pPr>
        <w:rPr>
          <w:del w:id="8931"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B476E61" w14:textId="77777777">
        <w:trPr>
          <w:del w:id="8932" w:author="AbbVie1" w:date="2025-05-13T09:57:00Z"/>
        </w:trPr>
        <w:tc>
          <w:tcPr>
            <w:tcW w:w="9287" w:type="dxa"/>
          </w:tcPr>
          <w:p w14:paraId="31999074" w14:textId="77777777" w:rsidR="00073F8F" w:rsidRPr="001B4A02" w:rsidRDefault="00000000" w:rsidP="00ED48A3">
            <w:pPr>
              <w:tabs>
                <w:tab w:val="left" w:pos="142"/>
              </w:tabs>
              <w:rPr>
                <w:del w:id="8933" w:author="AbbVie1" w:date="2025-05-13T09:57:00Z"/>
                <w:b/>
              </w:rPr>
            </w:pPr>
            <w:del w:id="8934" w:author="AbbVie1" w:date="2025-05-13T09:57:00Z">
              <w:r w:rsidRPr="001B4A02">
                <w:rPr>
                  <w:b/>
                </w:rPr>
                <w:delText>5.</w:delText>
              </w:r>
              <w:r w:rsidRPr="001B4A02">
                <w:rPr>
                  <w:b/>
                </w:rPr>
                <w:tab/>
                <w:delText>ZPŮSOB A CESTA PODÁNÍ</w:delText>
              </w:r>
            </w:del>
          </w:p>
        </w:tc>
      </w:tr>
    </w:tbl>
    <w:p w14:paraId="2E6280F1" w14:textId="77777777" w:rsidR="00073F8F" w:rsidRPr="001B4A02" w:rsidRDefault="00073F8F" w:rsidP="00ED48A3">
      <w:pPr>
        <w:rPr>
          <w:del w:id="8935" w:author="AbbVie1" w:date="2025-05-13T09:57:00Z"/>
        </w:rPr>
      </w:pPr>
    </w:p>
    <w:p w14:paraId="13F96137" w14:textId="77777777" w:rsidR="00073F8F" w:rsidRPr="001B4A02" w:rsidRDefault="00000000" w:rsidP="00ED48A3">
      <w:pPr>
        <w:rPr>
          <w:del w:id="8936" w:author="AbbVie1" w:date="2025-05-13T09:57:00Z"/>
        </w:rPr>
      </w:pPr>
      <w:del w:id="8937" w:author="AbbVie1" w:date="2025-05-13T09:57:00Z">
        <w:r w:rsidRPr="001B4A02">
          <w:delText>Subkutánní podání</w:delText>
        </w:r>
      </w:del>
    </w:p>
    <w:p w14:paraId="61132F47" w14:textId="77777777" w:rsidR="00073F8F" w:rsidRPr="001B4A02" w:rsidRDefault="00073F8F" w:rsidP="00ED48A3">
      <w:pPr>
        <w:rPr>
          <w:del w:id="8938" w:author="AbbVie1" w:date="2025-05-13T09:57:00Z"/>
        </w:rPr>
      </w:pPr>
    </w:p>
    <w:p w14:paraId="3809AEC1" w14:textId="77777777" w:rsidR="00073F8F" w:rsidRPr="001B4A02" w:rsidRDefault="00000000" w:rsidP="00ED48A3">
      <w:pPr>
        <w:rPr>
          <w:del w:id="8939" w:author="AbbVie1" w:date="2025-05-13T09:57:00Z"/>
        </w:rPr>
      </w:pPr>
      <w:del w:id="8940" w:author="AbbVie1" w:date="2025-05-13T09:57:00Z">
        <w:r w:rsidRPr="001B4A02">
          <w:delText>Před použitím si přečtěte příbalovou informaci.</w:delText>
        </w:r>
      </w:del>
    </w:p>
    <w:p w14:paraId="6681F488" w14:textId="77777777" w:rsidR="00E01AD4" w:rsidRPr="001B4A02" w:rsidRDefault="00E01AD4" w:rsidP="00ED48A3">
      <w:pPr>
        <w:rPr>
          <w:del w:id="8941" w:author="AbbVie1" w:date="2025-05-13T09:57:00Z"/>
        </w:rPr>
      </w:pPr>
    </w:p>
    <w:p w14:paraId="228EFE1E" w14:textId="77777777" w:rsidR="00E01AD4" w:rsidRPr="001B4A02" w:rsidRDefault="00000000" w:rsidP="00ED48A3">
      <w:pPr>
        <w:rPr>
          <w:del w:id="8942" w:author="AbbVie1" w:date="2025-05-13T09:57:00Z"/>
        </w:rPr>
      </w:pPr>
      <w:del w:id="8943" w:author="AbbVie1" w:date="2025-05-13T09:57:00Z">
        <w:r w:rsidRPr="001B4A02">
          <w:delText>Pouze k jednorázovému použití.</w:delText>
        </w:r>
      </w:del>
    </w:p>
    <w:p w14:paraId="62B79046" w14:textId="77777777" w:rsidR="00073F8F" w:rsidRPr="001B4A02" w:rsidRDefault="00073F8F" w:rsidP="00ED48A3">
      <w:pPr>
        <w:rPr>
          <w:del w:id="8944" w:author="AbbVie1" w:date="2025-05-13T09:57:00Z"/>
        </w:rPr>
      </w:pPr>
    </w:p>
    <w:p w14:paraId="3726C34B" w14:textId="77777777" w:rsidR="00073F8F" w:rsidRPr="001B4A02" w:rsidRDefault="00073F8F" w:rsidP="00ED48A3">
      <w:pPr>
        <w:rPr>
          <w:del w:id="8945"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D058628" w14:textId="77777777">
        <w:trPr>
          <w:del w:id="8946" w:author="AbbVie1" w:date="2025-05-13T09:57:00Z"/>
        </w:trPr>
        <w:tc>
          <w:tcPr>
            <w:tcW w:w="9287" w:type="dxa"/>
          </w:tcPr>
          <w:p w14:paraId="651EE35E" w14:textId="77777777" w:rsidR="00073F8F" w:rsidRPr="001B4A02" w:rsidRDefault="00000000" w:rsidP="00ED48A3">
            <w:pPr>
              <w:tabs>
                <w:tab w:val="left" w:pos="142"/>
              </w:tabs>
              <w:rPr>
                <w:del w:id="8947" w:author="AbbVie1" w:date="2025-05-13T09:57:00Z"/>
                <w:b/>
              </w:rPr>
            </w:pPr>
            <w:del w:id="8948" w:author="AbbVie1" w:date="2025-05-13T09:57:00Z">
              <w:r w:rsidRPr="001B4A02">
                <w:rPr>
                  <w:b/>
                </w:rPr>
                <w:delText>6.</w:delText>
              </w:r>
              <w:r w:rsidRPr="001B4A02">
                <w:rPr>
                  <w:b/>
                </w:rPr>
                <w:tab/>
                <w:delText xml:space="preserve">ZVLÁŠTNÍ UPOZORNĚNÍ, ŽE LÉČIVÝ PŘÍPRAVEK MUSÍ BÝT UCHOVÁVÁN MIMO </w:delText>
              </w:r>
              <w:r w:rsidR="0041401B" w:rsidRPr="001B4A02">
                <w:rPr>
                  <w:b/>
                </w:rPr>
                <w:delText xml:space="preserve">DOHLED A </w:delText>
              </w:r>
              <w:r w:rsidRPr="001B4A02">
                <w:rPr>
                  <w:b/>
                </w:rPr>
                <w:delText>DOSAH DĚTÍ</w:delText>
              </w:r>
            </w:del>
          </w:p>
        </w:tc>
      </w:tr>
    </w:tbl>
    <w:p w14:paraId="07F893C9" w14:textId="77777777" w:rsidR="00073F8F" w:rsidRPr="001B4A02" w:rsidRDefault="00073F8F" w:rsidP="00ED48A3">
      <w:pPr>
        <w:rPr>
          <w:del w:id="8949" w:author="AbbVie1" w:date="2025-05-13T09:57:00Z"/>
        </w:rPr>
      </w:pPr>
    </w:p>
    <w:p w14:paraId="664A452F" w14:textId="77777777" w:rsidR="00073F8F" w:rsidRPr="001B4A02" w:rsidRDefault="00000000" w:rsidP="007F7787">
      <w:pPr>
        <w:rPr>
          <w:del w:id="8950" w:author="AbbVie1" w:date="2025-05-13T09:57:00Z"/>
        </w:rPr>
      </w:pPr>
      <w:del w:id="8951" w:author="AbbVie1" w:date="2025-05-13T09:57:00Z">
        <w:r w:rsidRPr="001B4A02">
          <w:delText xml:space="preserve">Uchovávejte mimo </w:delText>
        </w:r>
        <w:r w:rsidR="0041401B" w:rsidRPr="001B4A02">
          <w:delText>dohled</w:delText>
        </w:r>
        <w:r w:rsidR="002378E0">
          <w:delText xml:space="preserve"> a </w:delText>
        </w:r>
        <w:r w:rsidRPr="001B4A02">
          <w:delText>dosah dětí.</w:delText>
        </w:r>
      </w:del>
    </w:p>
    <w:p w14:paraId="4A4CFAA2" w14:textId="77777777" w:rsidR="00073F8F" w:rsidRPr="001B4A02" w:rsidRDefault="00073F8F" w:rsidP="00ED48A3">
      <w:pPr>
        <w:rPr>
          <w:del w:id="8952" w:author="AbbVie1" w:date="2025-05-13T09:57:00Z"/>
        </w:rPr>
      </w:pPr>
    </w:p>
    <w:p w14:paraId="0637FB89" w14:textId="77777777" w:rsidR="00073F8F" w:rsidRPr="001B4A02" w:rsidRDefault="00073F8F" w:rsidP="00ED48A3">
      <w:pPr>
        <w:rPr>
          <w:del w:id="8953"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17295F1" w14:textId="77777777">
        <w:trPr>
          <w:del w:id="8954" w:author="AbbVie1" w:date="2025-05-13T09:57:00Z"/>
        </w:trPr>
        <w:tc>
          <w:tcPr>
            <w:tcW w:w="9287" w:type="dxa"/>
          </w:tcPr>
          <w:p w14:paraId="2CB972B7" w14:textId="77777777" w:rsidR="00073F8F" w:rsidRPr="001B4A02" w:rsidRDefault="00000000" w:rsidP="00ED48A3">
            <w:pPr>
              <w:tabs>
                <w:tab w:val="left" w:pos="142"/>
              </w:tabs>
              <w:rPr>
                <w:del w:id="8955" w:author="AbbVie1" w:date="2025-05-13T09:57:00Z"/>
                <w:b/>
              </w:rPr>
            </w:pPr>
            <w:del w:id="8956" w:author="AbbVie1" w:date="2025-05-13T09:57:00Z">
              <w:r w:rsidRPr="001B4A02">
                <w:rPr>
                  <w:b/>
                </w:rPr>
                <w:delText>7.</w:delText>
              </w:r>
              <w:r w:rsidRPr="001B4A02">
                <w:rPr>
                  <w:b/>
                </w:rPr>
                <w:tab/>
                <w:delText>DALŠÍ ZVLÁŠTNÍ UPOZORNĚNÍ, POKUD JE POTŘEBNÉ</w:delText>
              </w:r>
            </w:del>
          </w:p>
        </w:tc>
      </w:tr>
    </w:tbl>
    <w:p w14:paraId="03EF38FD" w14:textId="77777777" w:rsidR="00073F8F" w:rsidRPr="001B4A02" w:rsidRDefault="00073F8F" w:rsidP="00ED48A3">
      <w:pPr>
        <w:rPr>
          <w:del w:id="8957" w:author="AbbVie1" w:date="2025-05-13T09:57:00Z"/>
        </w:rPr>
      </w:pPr>
    </w:p>
    <w:p w14:paraId="0B69EDBF" w14:textId="77777777" w:rsidR="00073F8F" w:rsidRPr="001B4A02" w:rsidRDefault="00073F8F" w:rsidP="00ED48A3">
      <w:pPr>
        <w:rPr>
          <w:del w:id="8958"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9FF1DC2" w14:textId="77777777">
        <w:trPr>
          <w:del w:id="8959" w:author="AbbVie1" w:date="2025-05-13T09:57:00Z"/>
        </w:trPr>
        <w:tc>
          <w:tcPr>
            <w:tcW w:w="9287" w:type="dxa"/>
          </w:tcPr>
          <w:p w14:paraId="79D275D3" w14:textId="77777777" w:rsidR="00073F8F" w:rsidRPr="001B4A02" w:rsidRDefault="00000000" w:rsidP="00ED48A3">
            <w:pPr>
              <w:tabs>
                <w:tab w:val="left" w:pos="142"/>
              </w:tabs>
              <w:rPr>
                <w:del w:id="8960" w:author="AbbVie1" w:date="2025-05-13T09:57:00Z"/>
                <w:b/>
              </w:rPr>
            </w:pPr>
            <w:del w:id="8961" w:author="AbbVie1" w:date="2025-05-13T09:57:00Z">
              <w:r w:rsidRPr="001B4A02">
                <w:rPr>
                  <w:b/>
                </w:rPr>
                <w:delText>8.</w:delText>
              </w:r>
              <w:r w:rsidRPr="001B4A02">
                <w:rPr>
                  <w:b/>
                </w:rPr>
                <w:tab/>
                <w:delText>POUŽITELNOST</w:delText>
              </w:r>
            </w:del>
          </w:p>
        </w:tc>
      </w:tr>
    </w:tbl>
    <w:p w14:paraId="6B2569ED" w14:textId="77777777" w:rsidR="00073F8F" w:rsidRPr="001B4A02" w:rsidRDefault="00073F8F" w:rsidP="00ED48A3">
      <w:pPr>
        <w:rPr>
          <w:del w:id="8962" w:author="AbbVie1" w:date="2025-05-13T09:57:00Z"/>
        </w:rPr>
      </w:pPr>
    </w:p>
    <w:p w14:paraId="155D89C2" w14:textId="77777777" w:rsidR="00073F8F" w:rsidRPr="001B4A02" w:rsidRDefault="00000000" w:rsidP="007F7787">
      <w:pPr>
        <w:rPr>
          <w:del w:id="8963" w:author="AbbVie1" w:date="2025-05-13T09:57:00Z"/>
        </w:rPr>
      </w:pPr>
      <w:del w:id="8964" w:author="AbbVie1" w:date="2025-05-13T09:57:00Z">
        <w:r w:rsidRPr="001B4A02">
          <w:delText xml:space="preserve">EXP </w:delText>
        </w:r>
      </w:del>
    </w:p>
    <w:p w14:paraId="407A973E" w14:textId="77777777" w:rsidR="00073F8F" w:rsidRPr="001B4A02" w:rsidRDefault="00073F8F" w:rsidP="00ED48A3">
      <w:pPr>
        <w:rPr>
          <w:del w:id="8965" w:author="AbbVie1" w:date="2025-05-13T09:57:00Z"/>
        </w:rPr>
      </w:pPr>
    </w:p>
    <w:p w14:paraId="3A08EF1B" w14:textId="77777777" w:rsidR="005F2B6A" w:rsidRPr="001B4A02" w:rsidRDefault="005F2B6A" w:rsidP="00ED48A3">
      <w:pPr>
        <w:rPr>
          <w:del w:id="8966"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91FF39E" w14:textId="77777777">
        <w:trPr>
          <w:del w:id="8967" w:author="AbbVie1" w:date="2025-05-13T09:57:00Z"/>
        </w:trPr>
        <w:tc>
          <w:tcPr>
            <w:tcW w:w="9287" w:type="dxa"/>
          </w:tcPr>
          <w:p w14:paraId="03C9A086" w14:textId="77777777" w:rsidR="00073F8F" w:rsidRPr="001B4A02" w:rsidRDefault="00000000" w:rsidP="00ED48A3">
            <w:pPr>
              <w:keepNext/>
              <w:tabs>
                <w:tab w:val="left" w:pos="142"/>
              </w:tabs>
              <w:rPr>
                <w:del w:id="8968" w:author="AbbVie1" w:date="2025-05-13T09:57:00Z"/>
              </w:rPr>
            </w:pPr>
            <w:del w:id="8969" w:author="AbbVie1" w:date="2025-05-13T09:57:00Z">
              <w:r w:rsidRPr="001B4A02">
                <w:rPr>
                  <w:b/>
                </w:rPr>
                <w:delText>9.</w:delText>
              </w:r>
              <w:r w:rsidRPr="001B4A02">
                <w:rPr>
                  <w:b/>
                </w:rPr>
                <w:tab/>
                <w:delText>ZVLÁŠTNÍ PODMÍNKY PRO UCHOVÁVÁNÍ</w:delText>
              </w:r>
            </w:del>
          </w:p>
        </w:tc>
      </w:tr>
    </w:tbl>
    <w:p w14:paraId="09D1E46B" w14:textId="77777777" w:rsidR="00073F8F" w:rsidRPr="001B4A02" w:rsidRDefault="00073F8F" w:rsidP="00ED48A3">
      <w:pPr>
        <w:keepNext/>
        <w:ind w:left="0" w:firstLine="0"/>
        <w:rPr>
          <w:del w:id="8970" w:author="AbbVie1" w:date="2025-05-13T09:57:00Z"/>
        </w:rPr>
      </w:pPr>
    </w:p>
    <w:p w14:paraId="5434A58D" w14:textId="77777777" w:rsidR="00073F8F" w:rsidRPr="001B4A02" w:rsidRDefault="00000000" w:rsidP="00ED48A3">
      <w:pPr>
        <w:keepNext/>
        <w:rPr>
          <w:del w:id="8971" w:author="AbbVie1" w:date="2025-05-13T09:57:00Z"/>
        </w:rPr>
      </w:pPr>
      <w:del w:id="8972" w:author="AbbVie1" w:date="2025-05-13T09:57:00Z">
        <w:r w:rsidRPr="001B4A02">
          <w:delText xml:space="preserve">Uchovávejte v chladničce. </w:delText>
        </w:r>
        <w:r w:rsidR="00F62C69" w:rsidRPr="001B4A02">
          <w:delText>Chraňte před mrazem.</w:delText>
        </w:r>
      </w:del>
    </w:p>
    <w:p w14:paraId="02BFF369" w14:textId="77777777" w:rsidR="007250BE" w:rsidRPr="001B4A02" w:rsidRDefault="00000000" w:rsidP="00ED48A3">
      <w:pPr>
        <w:keepNext/>
        <w:rPr>
          <w:del w:id="8973" w:author="AbbVie1" w:date="2025-05-13T09:57:00Z"/>
        </w:rPr>
      </w:pPr>
      <w:del w:id="8974" w:author="AbbVie1" w:date="2025-05-13T09:57:00Z">
        <w:r w:rsidRPr="001B4A02">
          <w:delText>Pro další možnosti uchovávání viz příbalov</w:delText>
        </w:r>
        <w:r w:rsidR="00DE3467">
          <w:delText>á</w:delText>
        </w:r>
        <w:r w:rsidRPr="001B4A02">
          <w:delText xml:space="preserve"> informac</w:delText>
        </w:r>
        <w:r w:rsidR="00DE3467">
          <w:delText>e</w:delText>
        </w:r>
        <w:r w:rsidRPr="001B4A02">
          <w:delText>.</w:delText>
        </w:r>
      </w:del>
    </w:p>
    <w:p w14:paraId="18E9A6D0" w14:textId="77777777" w:rsidR="00073F8F" w:rsidRPr="001B4A02" w:rsidRDefault="00073F8F" w:rsidP="00ED48A3">
      <w:pPr>
        <w:keepNext/>
        <w:ind w:left="0" w:firstLine="0"/>
        <w:rPr>
          <w:del w:id="8975" w:author="AbbVie1" w:date="2025-05-13T09:57:00Z"/>
        </w:rPr>
      </w:pPr>
    </w:p>
    <w:p w14:paraId="56B13EB9" w14:textId="77777777" w:rsidR="00073F8F" w:rsidRPr="001B4A02" w:rsidRDefault="00000000" w:rsidP="00ED48A3">
      <w:pPr>
        <w:keepNext/>
        <w:rPr>
          <w:del w:id="8976" w:author="AbbVie1" w:date="2025-05-13T09:57:00Z"/>
        </w:rPr>
      </w:pPr>
      <w:del w:id="8977" w:author="AbbVie1" w:date="2025-05-13T09:57:00Z">
        <w:r w:rsidRPr="001B4A02">
          <w:delText>Uchovávejte injekční stříkačku v krabičce</w:delText>
        </w:r>
        <w:r w:rsidR="007250BE" w:rsidRPr="001B4A02">
          <w:delText>, aby byl přípravek chráněn před světlem</w:delText>
        </w:r>
        <w:r w:rsidRPr="001B4A02">
          <w:delText>.</w:delText>
        </w:r>
      </w:del>
    </w:p>
    <w:p w14:paraId="68C022C9" w14:textId="77777777" w:rsidR="00073F8F" w:rsidRPr="001B4A02" w:rsidRDefault="00073F8F" w:rsidP="00ED48A3">
      <w:pPr>
        <w:keepNext/>
        <w:rPr>
          <w:del w:id="8978" w:author="AbbVie1" w:date="2025-05-13T09:57:00Z"/>
        </w:rPr>
      </w:pPr>
    </w:p>
    <w:p w14:paraId="2E036238" w14:textId="77777777" w:rsidR="00073F8F" w:rsidRPr="001B4A02" w:rsidRDefault="00073F8F" w:rsidP="00ED48A3">
      <w:pPr>
        <w:keepNext/>
        <w:rPr>
          <w:del w:id="8979"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723D331" w14:textId="77777777">
        <w:trPr>
          <w:del w:id="8980" w:author="AbbVie1" w:date="2025-05-13T09:57:00Z"/>
        </w:trPr>
        <w:tc>
          <w:tcPr>
            <w:tcW w:w="9287" w:type="dxa"/>
          </w:tcPr>
          <w:p w14:paraId="52DBD915" w14:textId="77777777" w:rsidR="00073F8F" w:rsidRPr="001B4A02" w:rsidRDefault="00000000" w:rsidP="00ED48A3">
            <w:pPr>
              <w:tabs>
                <w:tab w:val="left" w:pos="142"/>
              </w:tabs>
              <w:rPr>
                <w:del w:id="8981" w:author="AbbVie1" w:date="2025-05-13T09:57:00Z"/>
                <w:b/>
              </w:rPr>
            </w:pPr>
            <w:del w:id="8982" w:author="AbbVie1" w:date="2025-05-13T09:57:00Z">
              <w:r w:rsidRPr="001B4A02">
                <w:rPr>
                  <w:b/>
                </w:rPr>
                <w:delText>10.</w:delText>
              </w:r>
              <w:r w:rsidRPr="001B4A02">
                <w:rPr>
                  <w:b/>
                </w:rPr>
                <w:tab/>
                <w:delText>ZVLÁŠTNÍ OPATŘENÍ PRO LIKVIDACI NEPOUŽITÝCH LÉČIVÝCH PŘÍPRAVKŮ NEBO ODPADU Z </w:delText>
              </w:r>
              <w:r w:rsidR="00DE5AC6" w:rsidRPr="001B4A02">
                <w:rPr>
                  <w:b/>
                </w:rPr>
                <w:delText>NICH</w:delText>
              </w:r>
              <w:r w:rsidRPr="001B4A02">
                <w:rPr>
                  <w:b/>
                </w:rPr>
                <w:delText>, POKUD JE TO VHODNÉ</w:delText>
              </w:r>
            </w:del>
          </w:p>
        </w:tc>
      </w:tr>
    </w:tbl>
    <w:p w14:paraId="1469F378" w14:textId="77777777" w:rsidR="00073F8F" w:rsidRPr="001B4A02" w:rsidRDefault="00073F8F" w:rsidP="00ED48A3">
      <w:pPr>
        <w:rPr>
          <w:del w:id="8983" w:author="AbbVie1" w:date="2025-05-13T09:57:00Z"/>
        </w:rPr>
      </w:pPr>
    </w:p>
    <w:p w14:paraId="3FADEEF4" w14:textId="77777777" w:rsidR="00073F8F" w:rsidRPr="001B4A02" w:rsidRDefault="00073F8F" w:rsidP="00ED48A3">
      <w:pPr>
        <w:rPr>
          <w:del w:id="8984"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962BF65" w14:textId="77777777">
        <w:trPr>
          <w:del w:id="8985" w:author="AbbVie1" w:date="2025-05-13T09:57:00Z"/>
        </w:trPr>
        <w:tc>
          <w:tcPr>
            <w:tcW w:w="9287" w:type="dxa"/>
          </w:tcPr>
          <w:p w14:paraId="0EB4CE80" w14:textId="77777777" w:rsidR="00073F8F" w:rsidRPr="001B4A02" w:rsidRDefault="00000000" w:rsidP="00ED48A3">
            <w:pPr>
              <w:tabs>
                <w:tab w:val="left" w:pos="142"/>
              </w:tabs>
              <w:rPr>
                <w:del w:id="8986" w:author="AbbVie1" w:date="2025-05-13T09:57:00Z"/>
                <w:b/>
              </w:rPr>
            </w:pPr>
            <w:del w:id="8987" w:author="AbbVie1" w:date="2025-05-13T09:57:00Z">
              <w:r w:rsidRPr="001B4A02">
                <w:rPr>
                  <w:b/>
                </w:rPr>
                <w:delText>11.</w:delText>
              </w:r>
              <w:r w:rsidRPr="001B4A02">
                <w:rPr>
                  <w:b/>
                </w:rPr>
                <w:tab/>
                <w:delText>NÁZEV A ADRESA DRŽITELE ROZHODNUTÍ O REGISTRACI</w:delText>
              </w:r>
            </w:del>
          </w:p>
        </w:tc>
      </w:tr>
    </w:tbl>
    <w:p w14:paraId="6C5556B0" w14:textId="77777777" w:rsidR="00073F8F" w:rsidRPr="001B4A02" w:rsidRDefault="00073F8F" w:rsidP="00ED48A3">
      <w:pPr>
        <w:rPr>
          <w:del w:id="8988" w:author="AbbVie1" w:date="2025-05-13T09:57:00Z"/>
        </w:rPr>
      </w:pPr>
    </w:p>
    <w:p w14:paraId="20EB8557" w14:textId="77777777" w:rsidR="009030A2" w:rsidRPr="001B4A02" w:rsidRDefault="00000000" w:rsidP="009030A2">
      <w:pPr>
        <w:keepNext/>
        <w:autoSpaceDE w:val="0"/>
        <w:autoSpaceDN w:val="0"/>
        <w:adjustRightInd w:val="0"/>
        <w:spacing w:line="240" w:lineRule="atLeast"/>
        <w:rPr>
          <w:del w:id="8989" w:author="AbbVie1" w:date="2025-05-13T09:57:00Z"/>
          <w:szCs w:val="22"/>
          <w:lang w:eastAsia="en-GB"/>
        </w:rPr>
      </w:pPr>
      <w:del w:id="8990" w:author="AbbVie1" w:date="2025-05-13T09:57:00Z">
        <w:r w:rsidRPr="001B4A02">
          <w:rPr>
            <w:szCs w:val="22"/>
            <w:lang w:eastAsia="en-GB"/>
          </w:rPr>
          <w:delText>AbbVie Deutschland GmbH &amp; Co. KG</w:delText>
        </w:r>
      </w:del>
    </w:p>
    <w:p w14:paraId="06672790" w14:textId="77777777" w:rsidR="009030A2" w:rsidRPr="001B4A02" w:rsidRDefault="00000000" w:rsidP="009030A2">
      <w:pPr>
        <w:keepNext/>
        <w:autoSpaceDE w:val="0"/>
        <w:autoSpaceDN w:val="0"/>
        <w:adjustRightInd w:val="0"/>
        <w:spacing w:line="240" w:lineRule="atLeast"/>
        <w:rPr>
          <w:del w:id="8991" w:author="AbbVie1" w:date="2025-05-13T09:57:00Z"/>
          <w:szCs w:val="22"/>
          <w:lang w:eastAsia="en-GB"/>
        </w:rPr>
      </w:pPr>
      <w:del w:id="8992" w:author="AbbVie1" w:date="2025-05-13T09:57:00Z">
        <w:r w:rsidRPr="001B4A02">
          <w:rPr>
            <w:szCs w:val="22"/>
            <w:lang w:eastAsia="en-GB"/>
          </w:rPr>
          <w:delText>Knollstrasse</w:delText>
        </w:r>
      </w:del>
    </w:p>
    <w:p w14:paraId="3E656155" w14:textId="77777777" w:rsidR="009030A2" w:rsidRPr="001B4A02" w:rsidRDefault="00000000" w:rsidP="009030A2">
      <w:pPr>
        <w:keepNext/>
        <w:autoSpaceDE w:val="0"/>
        <w:autoSpaceDN w:val="0"/>
        <w:adjustRightInd w:val="0"/>
        <w:spacing w:line="240" w:lineRule="atLeast"/>
        <w:rPr>
          <w:del w:id="8993" w:author="AbbVie1" w:date="2025-05-13T09:57:00Z"/>
          <w:szCs w:val="22"/>
          <w:lang w:eastAsia="en-GB"/>
        </w:rPr>
      </w:pPr>
      <w:del w:id="8994" w:author="AbbVie1" w:date="2025-05-13T09:57:00Z">
        <w:r w:rsidRPr="001B4A02">
          <w:rPr>
            <w:szCs w:val="22"/>
            <w:lang w:eastAsia="en-GB"/>
          </w:rPr>
          <w:delText>67061 Ludwigshafen</w:delText>
        </w:r>
      </w:del>
    </w:p>
    <w:p w14:paraId="5253BF30" w14:textId="77777777" w:rsidR="00073F8F" w:rsidRPr="001B4A02" w:rsidRDefault="00000000" w:rsidP="00ED48A3">
      <w:pPr>
        <w:ind w:left="0" w:firstLine="0"/>
        <w:rPr>
          <w:del w:id="8995" w:author="AbbVie1" w:date="2025-05-13T09:57:00Z"/>
        </w:rPr>
      </w:pPr>
      <w:del w:id="8996" w:author="AbbVie1" w:date="2025-05-13T09:57:00Z">
        <w:r w:rsidRPr="001B4A02">
          <w:rPr>
            <w:szCs w:val="22"/>
            <w:lang w:eastAsia="en-GB"/>
          </w:rPr>
          <w:delText>Německo</w:delText>
        </w:r>
      </w:del>
    </w:p>
    <w:p w14:paraId="71DA6EF3" w14:textId="77777777" w:rsidR="00073F8F" w:rsidRPr="001B4A02" w:rsidRDefault="00073F8F" w:rsidP="00ED48A3">
      <w:pPr>
        <w:rPr>
          <w:del w:id="8997" w:author="AbbVie1" w:date="2025-05-13T09:57:00Z"/>
        </w:rPr>
      </w:pPr>
    </w:p>
    <w:p w14:paraId="63DF4A4D" w14:textId="77777777" w:rsidR="00C96A5A" w:rsidRPr="001B4A02" w:rsidRDefault="00C96A5A" w:rsidP="00ED48A3">
      <w:pPr>
        <w:rPr>
          <w:del w:id="8998"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BCF8CB0" w14:textId="77777777">
        <w:trPr>
          <w:del w:id="8999" w:author="AbbVie1" w:date="2025-05-13T09:57:00Z"/>
        </w:trPr>
        <w:tc>
          <w:tcPr>
            <w:tcW w:w="9287" w:type="dxa"/>
          </w:tcPr>
          <w:p w14:paraId="083246B7" w14:textId="77777777" w:rsidR="00073F8F" w:rsidRPr="001B4A02" w:rsidRDefault="00000000" w:rsidP="004343F9">
            <w:pPr>
              <w:tabs>
                <w:tab w:val="left" w:pos="142"/>
              </w:tabs>
              <w:rPr>
                <w:del w:id="9000" w:author="AbbVie1" w:date="2025-05-13T09:57:00Z"/>
                <w:b/>
              </w:rPr>
            </w:pPr>
            <w:del w:id="9001" w:author="AbbVie1" w:date="2025-05-13T09:57:00Z">
              <w:r w:rsidRPr="001B4A02">
                <w:rPr>
                  <w:b/>
                </w:rPr>
                <w:delText>12.</w:delText>
              </w:r>
              <w:r w:rsidRPr="001B4A02">
                <w:rPr>
                  <w:b/>
                </w:rPr>
                <w:tab/>
                <w:delText>REGISTRAČNÍ ČÍSL</w:delText>
              </w:r>
              <w:r w:rsidR="004343F9" w:rsidRPr="001B4A02">
                <w:rPr>
                  <w:b/>
                </w:rPr>
                <w:delText>A</w:delText>
              </w:r>
            </w:del>
          </w:p>
        </w:tc>
      </w:tr>
    </w:tbl>
    <w:p w14:paraId="3454E3E0" w14:textId="77777777" w:rsidR="00073F8F" w:rsidRPr="001B4A02" w:rsidRDefault="00073F8F" w:rsidP="00ED48A3">
      <w:pPr>
        <w:rPr>
          <w:del w:id="9002" w:author="AbbVie1" w:date="2025-05-13T09:57:00Z"/>
        </w:rPr>
      </w:pPr>
    </w:p>
    <w:p w14:paraId="37B6DB19" w14:textId="77777777" w:rsidR="00073F8F" w:rsidRPr="001B4A02" w:rsidRDefault="00000000" w:rsidP="007F7787">
      <w:pPr>
        <w:rPr>
          <w:del w:id="9003" w:author="AbbVie1" w:date="2025-05-13T09:57:00Z"/>
        </w:rPr>
      </w:pPr>
      <w:del w:id="9004" w:author="AbbVie1" w:date="2025-05-13T09:57:00Z">
        <w:r w:rsidRPr="001B4A02">
          <w:delText>EU/1/03/256/002</w:delText>
        </w:r>
      </w:del>
    </w:p>
    <w:p w14:paraId="7D0015EF" w14:textId="77777777" w:rsidR="0051013A" w:rsidRPr="001B4A02" w:rsidRDefault="00000000" w:rsidP="0051013A">
      <w:pPr>
        <w:ind w:left="540" w:hanging="540"/>
        <w:rPr>
          <w:del w:id="9005" w:author="AbbVie1" w:date="2025-05-13T09:57:00Z"/>
          <w:highlight w:val="lightGray"/>
        </w:rPr>
      </w:pPr>
      <w:del w:id="9006" w:author="AbbVie1" w:date="2025-05-13T09:57:00Z">
        <w:r w:rsidRPr="001B4A02">
          <w:rPr>
            <w:highlight w:val="lightGray"/>
          </w:rPr>
          <w:delText>EU/1/03/256/003</w:delText>
        </w:r>
      </w:del>
    </w:p>
    <w:p w14:paraId="07567973" w14:textId="77777777" w:rsidR="0051013A" w:rsidRPr="001B4A02" w:rsidRDefault="00000000" w:rsidP="0051013A">
      <w:pPr>
        <w:ind w:left="540" w:hanging="540"/>
        <w:rPr>
          <w:del w:id="9007" w:author="AbbVie1" w:date="2025-05-13T09:57:00Z"/>
          <w:highlight w:val="lightGray"/>
        </w:rPr>
      </w:pPr>
      <w:del w:id="9008" w:author="AbbVie1" w:date="2025-05-13T09:57:00Z">
        <w:r w:rsidRPr="001B4A02">
          <w:rPr>
            <w:highlight w:val="lightGray"/>
          </w:rPr>
          <w:delText>EU/1/03/256/004</w:delText>
        </w:r>
      </w:del>
    </w:p>
    <w:p w14:paraId="1B7DDB90" w14:textId="77777777" w:rsidR="0051013A" w:rsidRPr="001B4A02" w:rsidRDefault="00000000" w:rsidP="007F7787">
      <w:pPr>
        <w:rPr>
          <w:del w:id="9009" w:author="AbbVie1" w:date="2025-05-13T09:57:00Z"/>
        </w:rPr>
      </w:pPr>
      <w:del w:id="9010" w:author="AbbVie1" w:date="2025-05-13T09:57:00Z">
        <w:r w:rsidRPr="001B4A02">
          <w:rPr>
            <w:highlight w:val="lightGray"/>
          </w:rPr>
          <w:delText>EU/1/03/256/005</w:delText>
        </w:r>
      </w:del>
    </w:p>
    <w:p w14:paraId="465CF249" w14:textId="77777777" w:rsidR="00073F8F" w:rsidRPr="001B4A02" w:rsidRDefault="00073F8F" w:rsidP="00ED48A3">
      <w:pPr>
        <w:rPr>
          <w:del w:id="9011" w:author="AbbVie1" w:date="2025-05-13T09:57:00Z"/>
        </w:rPr>
      </w:pPr>
    </w:p>
    <w:p w14:paraId="76C7C597" w14:textId="77777777" w:rsidR="00073F8F" w:rsidRPr="001B4A02" w:rsidRDefault="00073F8F" w:rsidP="00ED48A3">
      <w:pPr>
        <w:rPr>
          <w:del w:id="9012"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8B037F5" w14:textId="77777777">
        <w:trPr>
          <w:del w:id="9013" w:author="AbbVie1" w:date="2025-05-13T09:57:00Z"/>
        </w:trPr>
        <w:tc>
          <w:tcPr>
            <w:tcW w:w="9287" w:type="dxa"/>
          </w:tcPr>
          <w:p w14:paraId="68F42159" w14:textId="77777777" w:rsidR="00073F8F" w:rsidRPr="001B4A02" w:rsidRDefault="00000000" w:rsidP="00ED48A3">
            <w:pPr>
              <w:tabs>
                <w:tab w:val="left" w:pos="142"/>
              </w:tabs>
              <w:rPr>
                <w:del w:id="9014" w:author="AbbVie1" w:date="2025-05-13T09:57:00Z"/>
                <w:b/>
              </w:rPr>
            </w:pPr>
            <w:del w:id="9015" w:author="AbbVie1" w:date="2025-05-13T09:57:00Z">
              <w:r w:rsidRPr="001B4A02">
                <w:rPr>
                  <w:b/>
                </w:rPr>
                <w:delText>13.</w:delText>
              </w:r>
              <w:r w:rsidRPr="001B4A02">
                <w:rPr>
                  <w:b/>
                </w:rPr>
                <w:tab/>
                <w:delText>ČÍSLO ŠARŽE</w:delText>
              </w:r>
            </w:del>
          </w:p>
        </w:tc>
      </w:tr>
    </w:tbl>
    <w:p w14:paraId="1B5FB009" w14:textId="77777777" w:rsidR="00073F8F" w:rsidRPr="001B4A02" w:rsidRDefault="00073F8F" w:rsidP="00ED48A3">
      <w:pPr>
        <w:rPr>
          <w:del w:id="9016" w:author="AbbVie1" w:date="2025-05-13T09:57:00Z"/>
        </w:rPr>
      </w:pPr>
    </w:p>
    <w:p w14:paraId="40F110D4" w14:textId="77777777" w:rsidR="00073F8F" w:rsidRPr="001B4A02" w:rsidRDefault="00000000" w:rsidP="00ED48A3">
      <w:pPr>
        <w:rPr>
          <w:del w:id="9017" w:author="AbbVie1" w:date="2025-05-13T09:57:00Z"/>
        </w:rPr>
      </w:pPr>
      <w:del w:id="9018" w:author="AbbVie1" w:date="2025-05-13T09:57:00Z">
        <w:r w:rsidRPr="001B4A02">
          <w:delText>Č. šarže</w:delText>
        </w:r>
      </w:del>
    </w:p>
    <w:p w14:paraId="7B1F5A65" w14:textId="77777777" w:rsidR="00073F8F" w:rsidRPr="001B4A02" w:rsidRDefault="00073F8F" w:rsidP="00ED48A3">
      <w:pPr>
        <w:rPr>
          <w:del w:id="9019" w:author="AbbVie1" w:date="2025-05-13T09:57:00Z"/>
        </w:rPr>
      </w:pPr>
    </w:p>
    <w:p w14:paraId="7CDBDC88" w14:textId="77777777" w:rsidR="00073F8F" w:rsidRPr="001B4A02" w:rsidRDefault="00073F8F" w:rsidP="00ED48A3">
      <w:pPr>
        <w:rPr>
          <w:del w:id="9020"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A87D677" w14:textId="77777777">
        <w:trPr>
          <w:del w:id="9021" w:author="AbbVie1" w:date="2025-05-13T09:57:00Z"/>
        </w:trPr>
        <w:tc>
          <w:tcPr>
            <w:tcW w:w="9287" w:type="dxa"/>
          </w:tcPr>
          <w:p w14:paraId="19A859C0" w14:textId="77777777" w:rsidR="00073F8F" w:rsidRPr="001B4A02" w:rsidRDefault="00000000" w:rsidP="00ED48A3">
            <w:pPr>
              <w:tabs>
                <w:tab w:val="left" w:pos="142"/>
              </w:tabs>
              <w:rPr>
                <w:del w:id="9022" w:author="AbbVie1" w:date="2025-05-13T09:57:00Z"/>
                <w:b/>
              </w:rPr>
            </w:pPr>
            <w:del w:id="9023" w:author="AbbVie1" w:date="2025-05-13T09:57:00Z">
              <w:r w:rsidRPr="001B4A02">
                <w:rPr>
                  <w:b/>
                </w:rPr>
                <w:delText>14.</w:delText>
              </w:r>
              <w:r w:rsidRPr="001B4A02">
                <w:rPr>
                  <w:b/>
                </w:rPr>
                <w:tab/>
                <w:delText>KLASIFIKACE PRO VÝDEJ</w:delText>
              </w:r>
            </w:del>
          </w:p>
        </w:tc>
      </w:tr>
    </w:tbl>
    <w:p w14:paraId="783B8A83" w14:textId="77777777" w:rsidR="00073F8F" w:rsidRPr="001B4A02" w:rsidRDefault="00073F8F" w:rsidP="00ED48A3">
      <w:pPr>
        <w:ind w:left="0" w:firstLine="0"/>
        <w:rPr>
          <w:del w:id="9024" w:author="AbbVie1" w:date="2025-05-13T09:57:00Z"/>
        </w:rPr>
      </w:pPr>
    </w:p>
    <w:p w14:paraId="1F3DCA63" w14:textId="77777777" w:rsidR="00073F8F" w:rsidRPr="001B4A02" w:rsidRDefault="00073F8F" w:rsidP="00ED48A3">
      <w:pPr>
        <w:rPr>
          <w:del w:id="9025"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A8C6C82" w14:textId="77777777">
        <w:trPr>
          <w:del w:id="9026" w:author="AbbVie1" w:date="2025-05-13T09:57:00Z"/>
        </w:trPr>
        <w:tc>
          <w:tcPr>
            <w:tcW w:w="9287" w:type="dxa"/>
          </w:tcPr>
          <w:p w14:paraId="208A091D" w14:textId="77777777" w:rsidR="00073F8F" w:rsidRPr="001B4A02" w:rsidRDefault="00000000" w:rsidP="00ED48A3">
            <w:pPr>
              <w:tabs>
                <w:tab w:val="left" w:pos="142"/>
              </w:tabs>
              <w:rPr>
                <w:del w:id="9027" w:author="AbbVie1" w:date="2025-05-13T09:57:00Z"/>
                <w:b/>
              </w:rPr>
            </w:pPr>
            <w:del w:id="9028" w:author="AbbVie1" w:date="2025-05-13T09:57:00Z">
              <w:r w:rsidRPr="001B4A02">
                <w:rPr>
                  <w:b/>
                </w:rPr>
                <w:delText>15.</w:delText>
              </w:r>
              <w:r w:rsidRPr="001B4A02">
                <w:rPr>
                  <w:b/>
                </w:rPr>
                <w:tab/>
                <w:delText>NÁVOD K</w:delText>
              </w:r>
              <w:r w:rsidR="00AA4ED4" w:rsidRPr="001B4A02">
                <w:rPr>
                  <w:b/>
                </w:rPr>
                <w:delText> </w:delText>
              </w:r>
              <w:r w:rsidRPr="001B4A02">
                <w:rPr>
                  <w:b/>
                </w:rPr>
                <w:delText>POUŽITÍ</w:delText>
              </w:r>
            </w:del>
          </w:p>
        </w:tc>
      </w:tr>
    </w:tbl>
    <w:p w14:paraId="282BA24D" w14:textId="77777777" w:rsidR="00073F8F" w:rsidRPr="001B4A02" w:rsidRDefault="00073F8F" w:rsidP="00ED48A3">
      <w:pPr>
        <w:rPr>
          <w:del w:id="9029" w:author="AbbVie1" w:date="2025-05-13T09:57:00Z"/>
          <w:u w:val="single"/>
        </w:rPr>
      </w:pPr>
    </w:p>
    <w:p w14:paraId="2CFE2D1B" w14:textId="77777777" w:rsidR="00073F8F" w:rsidRPr="001B4A02" w:rsidRDefault="00073F8F" w:rsidP="00ED48A3">
      <w:pPr>
        <w:rPr>
          <w:del w:id="9030" w:author="AbbVie1" w:date="2025-05-13T09:57:00Z"/>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BEF6791" w14:textId="77777777">
        <w:trPr>
          <w:del w:id="9031" w:author="AbbVie1" w:date="2025-05-13T09:57:00Z"/>
        </w:trPr>
        <w:tc>
          <w:tcPr>
            <w:tcW w:w="9287" w:type="dxa"/>
          </w:tcPr>
          <w:p w14:paraId="2E152313" w14:textId="77777777" w:rsidR="00073F8F" w:rsidRPr="001B4A02" w:rsidRDefault="00000000" w:rsidP="00ED48A3">
            <w:pPr>
              <w:tabs>
                <w:tab w:val="left" w:pos="142"/>
              </w:tabs>
              <w:rPr>
                <w:del w:id="9032" w:author="AbbVie1" w:date="2025-05-13T09:57:00Z"/>
                <w:b/>
              </w:rPr>
            </w:pPr>
            <w:del w:id="9033" w:author="AbbVie1" w:date="2025-05-13T09:57:00Z">
              <w:r w:rsidRPr="001B4A02">
                <w:rPr>
                  <w:b/>
                </w:rPr>
                <w:delText>16.</w:delText>
              </w:r>
              <w:r w:rsidRPr="001B4A02">
                <w:rPr>
                  <w:b/>
                </w:rPr>
                <w:tab/>
                <w:delText>INFORMACE V BRAILLOVĚ PÍSMU</w:delText>
              </w:r>
            </w:del>
          </w:p>
        </w:tc>
      </w:tr>
    </w:tbl>
    <w:p w14:paraId="2A651373" w14:textId="77777777" w:rsidR="00073F8F" w:rsidRPr="001B4A02" w:rsidRDefault="00073F8F" w:rsidP="00ED48A3">
      <w:pPr>
        <w:rPr>
          <w:del w:id="9034" w:author="AbbVie1" w:date="2025-05-13T09:57:00Z"/>
          <w:u w:val="single"/>
        </w:rPr>
      </w:pPr>
    </w:p>
    <w:p w14:paraId="02A7DA4E" w14:textId="77777777" w:rsidR="00073F8F" w:rsidRPr="001B4A02" w:rsidRDefault="00000000" w:rsidP="00ED48A3">
      <w:pPr>
        <w:rPr>
          <w:del w:id="9035" w:author="AbbVie1" w:date="2025-05-13T09:57:00Z"/>
        </w:rPr>
      </w:pPr>
      <w:del w:id="9036" w:author="AbbVie1" w:date="2025-05-13T09:57:00Z">
        <w:r w:rsidRPr="001B4A02">
          <w:delText>Humira 40 mg</w:delText>
        </w:r>
      </w:del>
    </w:p>
    <w:p w14:paraId="7C6E864C" w14:textId="77777777" w:rsidR="00073F8F" w:rsidRPr="001B4A02" w:rsidRDefault="00073F8F" w:rsidP="00ED48A3">
      <w:pPr>
        <w:rPr>
          <w:del w:id="9037" w:author="AbbVie1" w:date="2025-05-13T09:57:00Z"/>
          <w:u w:val="single"/>
        </w:rPr>
      </w:pPr>
    </w:p>
    <w:p w14:paraId="37231902" w14:textId="77777777" w:rsidR="00073F8F" w:rsidRPr="001B4A02" w:rsidRDefault="00073F8F" w:rsidP="00ED48A3">
      <w:pPr>
        <w:rPr>
          <w:del w:id="9038" w:author="AbbVie1" w:date="2025-05-13T09:57:00Z"/>
          <w:u w:val="single"/>
        </w:rPr>
      </w:pPr>
    </w:p>
    <w:p w14:paraId="588334D2" w14:textId="77777777" w:rsidR="00400D97" w:rsidRPr="001B4A02" w:rsidRDefault="00000000" w:rsidP="00ED48A3">
      <w:pPr>
        <w:pStyle w:val="EMEAHeadingBoxedTitle"/>
        <w:ind w:left="0" w:firstLine="0"/>
        <w:rPr>
          <w:del w:id="9039" w:author="AbbVie1" w:date="2025-05-13T09:57:00Z"/>
          <w:rFonts w:ascii="Times New Roman" w:hAnsi="Times New Roman"/>
          <w:b/>
          <w:bCs/>
          <w:lang w:val="cs-CZ"/>
        </w:rPr>
      </w:pPr>
      <w:del w:id="9040" w:author="AbbVie1" w:date="2025-05-13T09:57:00Z">
        <w:r w:rsidRPr="001B4A02">
          <w:rPr>
            <w:rFonts w:ascii="Times New Roman" w:hAnsi="Times New Roman"/>
            <w:b/>
            <w:bCs/>
            <w:lang w:val="cs-CZ"/>
          </w:rPr>
          <w:delText>17.</w:delText>
        </w:r>
        <w:r w:rsidRPr="001B4A02">
          <w:rPr>
            <w:rFonts w:ascii="Times New Roman" w:hAnsi="Times New Roman"/>
            <w:b/>
            <w:bCs/>
            <w:lang w:val="cs-CZ"/>
          </w:rPr>
          <w:tab/>
          <w:delText xml:space="preserve">JEDINEČNÝ IDENTIFIKÁTOR – 2D ČÁROVÝ KÓD </w:delText>
        </w:r>
      </w:del>
    </w:p>
    <w:p w14:paraId="3C8E46FD" w14:textId="77777777" w:rsidR="00400D97" w:rsidRPr="001B4A02" w:rsidRDefault="00400D97" w:rsidP="00ED48A3">
      <w:pPr>
        <w:rPr>
          <w:del w:id="9041" w:author="AbbVie1" w:date="2025-05-13T09:57:00Z"/>
        </w:rPr>
      </w:pPr>
    </w:p>
    <w:p w14:paraId="39462490" w14:textId="77777777" w:rsidR="00400D97" w:rsidRPr="001B4A02" w:rsidRDefault="00000000" w:rsidP="00ED48A3">
      <w:pPr>
        <w:rPr>
          <w:del w:id="9042" w:author="AbbVie1" w:date="2025-05-13T09:57:00Z"/>
          <w:shd w:val="clear" w:color="auto" w:fill="BFBFBF"/>
        </w:rPr>
      </w:pPr>
      <w:del w:id="9043" w:author="AbbVie1" w:date="2025-05-13T09:57:00Z">
        <w:r w:rsidRPr="001B4A02">
          <w:rPr>
            <w:shd w:val="clear" w:color="auto" w:fill="BFBFBF"/>
          </w:rPr>
          <w:delText>2D čárový kód s jedinečným identifikátorem.</w:delText>
        </w:r>
      </w:del>
    </w:p>
    <w:p w14:paraId="52F57B2F" w14:textId="77777777" w:rsidR="00400D97" w:rsidRPr="001B4A02" w:rsidRDefault="00400D97" w:rsidP="00ED48A3">
      <w:pPr>
        <w:rPr>
          <w:del w:id="9044" w:author="AbbVie1" w:date="2025-05-13T09:57:00Z"/>
          <w:shd w:val="clear" w:color="auto" w:fill="BFBFBF"/>
        </w:rPr>
      </w:pPr>
    </w:p>
    <w:p w14:paraId="2E838FDE" w14:textId="77777777" w:rsidR="00400D97" w:rsidRPr="001B4A02" w:rsidRDefault="00400D97" w:rsidP="00ED48A3">
      <w:pPr>
        <w:rPr>
          <w:del w:id="9045" w:author="AbbVie1" w:date="2025-05-13T09:57:00Z"/>
        </w:rPr>
      </w:pPr>
    </w:p>
    <w:p w14:paraId="083310AB" w14:textId="77777777" w:rsidR="00400D97" w:rsidRPr="001B4A02" w:rsidRDefault="00000000" w:rsidP="00ED48A3">
      <w:pPr>
        <w:pStyle w:val="EMEAHeadingBoxedTitle"/>
        <w:keepNext/>
        <w:ind w:left="0" w:firstLine="0"/>
        <w:rPr>
          <w:del w:id="9046" w:author="AbbVie1" w:date="2025-05-13T09:57:00Z"/>
          <w:rFonts w:ascii="Times New Roman" w:hAnsi="Times New Roman"/>
          <w:lang w:val="cs-CZ"/>
        </w:rPr>
      </w:pPr>
      <w:del w:id="9047" w:author="AbbVie1" w:date="2025-05-13T09:57:00Z">
        <w:r w:rsidRPr="001B4A02">
          <w:rPr>
            <w:rFonts w:ascii="Times New Roman" w:hAnsi="Times New Roman"/>
            <w:b/>
            <w:bCs/>
            <w:lang w:val="cs-CZ"/>
          </w:rPr>
          <w:delText>18.</w:delText>
        </w:r>
        <w:r w:rsidRPr="001B4A02">
          <w:rPr>
            <w:rFonts w:ascii="Times New Roman" w:hAnsi="Times New Roman"/>
            <w:b/>
            <w:bCs/>
            <w:lang w:val="cs-CZ"/>
          </w:rPr>
          <w:tab/>
          <w:delText>JEDINEČNÝ IDENTIFIKÁTOR – DATA ČITELNÁ OKEM</w:delText>
        </w:r>
      </w:del>
    </w:p>
    <w:p w14:paraId="2A131B82" w14:textId="77777777" w:rsidR="00400D97" w:rsidRPr="001B4A02" w:rsidRDefault="00400D97" w:rsidP="00ED48A3">
      <w:pPr>
        <w:keepNext/>
        <w:ind w:left="540" w:hanging="540"/>
        <w:rPr>
          <w:del w:id="9048" w:author="AbbVie1" w:date="2025-05-13T09:57:00Z"/>
        </w:rPr>
      </w:pPr>
    </w:p>
    <w:p w14:paraId="3A130439" w14:textId="77777777" w:rsidR="00400D97" w:rsidRPr="001B4A02" w:rsidRDefault="00000000" w:rsidP="00ED48A3">
      <w:pPr>
        <w:keepNext/>
        <w:ind w:left="540" w:hanging="540"/>
        <w:rPr>
          <w:del w:id="9049" w:author="AbbVie1" w:date="2025-05-13T09:57:00Z"/>
        </w:rPr>
      </w:pPr>
      <w:del w:id="9050" w:author="AbbVie1" w:date="2025-05-13T09:57:00Z">
        <w:r w:rsidRPr="001B4A02">
          <w:delText>PC</w:delText>
        </w:r>
      </w:del>
    </w:p>
    <w:p w14:paraId="0695C8D1" w14:textId="77777777" w:rsidR="00400D97" w:rsidRPr="001B4A02" w:rsidRDefault="00000000" w:rsidP="00ED48A3">
      <w:pPr>
        <w:keepNext/>
        <w:ind w:left="540" w:hanging="540"/>
        <w:rPr>
          <w:del w:id="9051" w:author="AbbVie1" w:date="2025-05-13T09:57:00Z"/>
        </w:rPr>
      </w:pPr>
      <w:del w:id="9052" w:author="AbbVie1" w:date="2025-05-13T09:57:00Z">
        <w:r w:rsidRPr="001B4A02">
          <w:delText>SN</w:delText>
        </w:r>
      </w:del>
    </w:p>
    <w:p w14:paraId="3B459FB1" w14:textId="77777777" w:rsidR="00400D97" w:rsidRPr="001B4A02" w:rsidRDefault="00000000" w:rsidP="008D1953">
      <w:pPr>
        <w:keepNext/>
        <w:ind w:left="539" w:hanging="539"/>
        <w:rPr>
          <w:del w:id="9053" w:author="AbbVie1" w:date="2025-05-13T09:57:00Z"/>
        </w:rPr>
      </w:pPr>
      <w:del w:id="9054" w:author="AbbVie1" w:date="2025-05-13T09:57:00Z">
        <w:r w:rsidRPr="00BA0A72">
          <w:rPr>
            <w:highlight w:val="lightGray"/>
          </w:rPr>
          <w:delText>NN</w:delText>
        </w:r>
      </w:del>
    </w:p>
    <w:p w14:paraId="790C11C1" w14:textId="77777777" w:rsidR="00400D97" w:rsidRPr="001B4A02" w:rsidRDefault="00400D97" w:rsidP="00ED48A3">
      <w:pPr>
        <w:rPr>
          <w:del w:id="9055" w:author="AbbVie1" w:date="2025-05-13T09:57:00Z"/>
        </w:rPr>
      </w:pPr>
    </w:p>
    <w:p w14:paraId="5F120BC1" w14:textId="77777777" w:rsidR="00073F8F" w:rsidRPr="001B4A02" w:rsidRDefault="00000000" w:rsidP="00ED48A3">
      <w:pPr>
        <w:rPr>
          <w:del w:id="9056" w:author="AbbVie1" w:date="2025-05-13T09:57:00Z"/>
        </w:rPr>
      </w:pPr>
      <w:del w:id="9057" w:author="AbbVie1" w:date="2025-05-13T09:57:00Z">
        <w:r w:rsidRPr="001B4A02">
          <w:br w:type="page"/>
        </w:r>
      </w:del>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7CAEB72" w14:textId="77777777" w:rsidTr="00480581">
        <w:trPr>
          <w:del w:id="9058" w:author="AbbVie1" w:date="2025-05-13T09:57:00Z"/>
        </w:trPr>
        <w:tc>
          <w:tcPr>
            <w:tcW w:w="9287" w:type="dxa"/>
          </w:tcPr>
          <w:p w14:paraId="5259C1A8" w14:textId="77777777" w:rsidR="00073F8F" w:rsidRPr="001B4A02" w:rsidRDefault="00000000" w:rsidP="00ED48A3">
            <w:pPr>
              <w:rPr>
                <w:del w:id="9059" w:author="AbbVie1" w:date="2025-05-13T09:57:00Z"/>
                <w:b/>
              </w:rPr>
            </w:pPr>
            <w:del w:id="9060" w:author="AbbVie1" w:date="2025-05-13T09:57:00Z">
              <w:r w:rsidRPr="001B4A02">
                <w:rPr>
                  <w:b/>
                  <w:u w:val="single"/>
                </w:rPr>
                <w:br w:type="page"/>
              </w:r>
              <w:r w:rsidRPr="001B4A02">
                <w:rPr>
                  <w:b/>
                </w:rPr>
                <w:delText>MINIMÁLNÍ ÚDAJE UVÁDĚNÉ NA BLISTRECH NEBO STRIPECH</w:delText>
              </w:r>
            </w:del>
          </w:p>
          <w:p w14:paraId="58671C00" w14:textId="77777777" w:rsidR="00073F8F" w:rsidRPr="001B4A02" w:rsidRDefault="00073F8F" w:rsidP="00ED48A3">
            <w:pPr>
              <w:rPr>
                <w:del w:id="9061" w:author="AbbVie1" w:date="2025-05-13T09:57:00Z"/>
                <w:b/>
              </w:rPr>
            </w:pPr>
          </w:p>
          <w:p w14:paraId="06AA2144" w14:textId="77777777" w:rsidR="00073F8F" w:rsidRPr="001B4A02" w:rsidRDefault="00000000" w:rsidP="00ED48A3">
            <w:pPr>
              <w:rPr>
                <w:del w:id="9062" w:author="AbbVie1" w:date="2025-05-13T09:57:00Z"/>
                <w:b/>
                <w:caps/>
              </w:rPr>
            </w:pPr>
            <w:del w:id="9063" w:author="AbbVie1" w:date="2025-05-13T09:57:00Z">
              <w:r w:rsidRPr="001B4A02">
                <w:rPr>
                  <w:b/>
                  <w:caps/>
                </w:rPr>
                <w:delText>Blistr</w:delText>
              </w:r>
            </w:del>
          </w:p>
        </w:tc>
      </w:tr>
    </w:tbl>
    <w:p w14:paraId="4EB741AA" w14:textId="77777777" w:rsidR="00073F8F" w:rsidRPr="001B4A02" w:rsidRDefault="00073F8F" w:rsidP="00ED48A3">
      <w:pPr>
        <w:rPr>
          <w:del w:id="9064" w:author="AbbVie1" w:date="2025-05-13T09:57:00Z"/>
        </w:rPr>
      </w:pPr>
    </w:p>
    <w:p w14:paraId="675EFB03" w14:textId="77777777" w:rsidR="00073F8F" w:rsidRPr="001B4A02" w:rsidRDefault="00073F8F" w:rsidP="00ED48A3">
      <w:pPr>
        <w:rPr>
          <w:del w:id="9065"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662E8CD" w14:textId="77777777">
        <w:trPr>
          <w:del w:id="9066" w:author="AbbVie1" w:date="2025-05-13T09:57:00Z"/>
        </w:trPr>
        <w:tc>
          <w:tcPr>
            <w:tcW w:w="9287" w:type="dxa"/>
          </w:tcPr>
          <w:p w14:paraId="41D07D47" w14:textId="77777777" w:rsidR="00073F8F" w:rsidRPr="001B4A02" w:rsidRDefault="00000000" w:rsidP="00ED48A3">
            <w:pPr>
              <w:tabs>
                <w:tab w:val="left" w:pos="142"/>
              </w:tabs>
              <w:rPr>
                <w:del w:id="9067" w:author="AbbVie1" w:date="2025-05-13T09:57:00Z"/>
                <w:b/>
              </w:rPr>
            </w:pPr>
            <w:del w:id="9068" w:author="AbbVie1" w:date="2025-05-13T09:57:00Z">
              <w:r w:rsidRPr="001B4A02">
                <w:rPr>
                  <w:b/>
                </w:rPr>
                <w:delText>1.</w:delText>
              </w:r>
              <w:r w:rsidRPr="001B4A02">
                <w:rPr>
                  <w:b/>
                </w:rPr>
                <w:tab/>
                <w:delText>NÁZEV LÉČIVÉHO PŘÍPRAVKU</w:delText>
              </w:r>
            </w:del>
          </w:p>
        </w:tc>
      </w:tr>
    </w:tbl>
    <w:p w14:paraId="4B8A02C6" w14:textId="77777777" w:rsidR="00073F8F" w:rsidRPr="001B4A02" w:rsidRDefault="00073F8F" w:rsidP="00ED48A3">
      <w:pPr>
        <w:rPr>
          <w:del w:id="9069" w:author="AbbVie1" w:date="2025-05-13T09:57:00Z"/>
        </w:rPr>
      </w:pPr>
    </w:p>
    <w:p w14:paraId="08993AFA" w14:textId="77777777" w:rsidR="00073F8F" w:rsidRPr="001B4A02" w:rsidRDefault="00000000" w:rsidP="00ED48A3">
      <w:pPr>
        <w:rPr>
          <w:del w:id="9070" w:author="AbbVie1" w:date="2025-05-13T09:57:00Z"/>
        </w:rPr>
      </w:pPr>
      <w:del w:id="9071" w:author="AbbVie1" w:date="2025-05-13T09:57:00Z">
        <w:r w:rsidRPr="001B4A02">
          <w:delText>Humira 40 mg injekční roztok v předplněné injekční stříkačce</w:delText>
        </w:r>
      </w:del>
    </w:p>
    <w:p w14:paraId="79784283" w14:textId="77777777" w:rsidR="00073F8F" w:rsidRPr="001B4A02" w:rsidRDefault="00000000" w:rsidP="00ED48A3">
      <w:pPr>
        <w:rPr>
          <w:del w:id="9072" w:author="AbbVie1" w:date="2025-05-13T09:57:00Z"/>
        </w:rPr>
      </w:pPr>
      <w:del w:id="9073" w:author="AbbVie1" w:date="2025-05-13T09:57:00Z">
        <w:r w:rsidRPr="001B4A02">
          <w:delText>adalimumabum</w:delText>
        </w:r>
      </w:del>
    </w:p>
    <w:p w14:paraId="159C968D" w14:textId="77777777" w:rsidR="00073F8F" w:rsidRPr="001B4A02" w:rsidRDefault="00073F8F" w:rsidP="00ED48A3">
      <w:pPr>
        <w:rPr>
          <w:del w:id="9074" w:author="AbbVie1" w:date="2025-05-13T09:57:00Z"/>
        </w:rPr>
      </w:pPr>
    </w:p>
    <w:p w14:paraId="3348558C" w14:textId="77777777" w:rsidR="00073F8F" w:rsidRPr="001B4A02" w:rsidRDefault="00073F8F" w:rsidP="00ED48A3">
      <w:pPr>
        <w:rPr>
          <w:del w:id="9075"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FAC5A44" w14:textId="77777777">
        <w:trPr>
          <w:del w:id="9076" w:author="AbbVie1" w:date="2025-05-13T09:57:00Z"/>
        </w:trPr>
        <w:tc>
          <w:tcPr>
            <w:tcW w:w="9287" w:type="dxa"/>
          </w:tcPr>
          <w:p w14:paraId="7906A9C8" w14:textId="77777777" w:rsidR="00073F8F" w:rsidRPr="001B4A02" w:rsidRDefault="00000000" w:rsidP="00ED48A3">
            <w:pPr>
              <w:tabs>
                <w:tab w:val="left" w:pos="142"/>
              </w:tabs>
              <w:rPr>
                <w:del w:id="9077" w:author="AbbVie1" w:date="2025-05-13T09:57:00Z"/>
                <w:b/>
              </w:rPr>
            </w:pPr>
            <w:del w:id="9078" w:author="AbbVie1" w:date="2025-05-13T09:57:00Z">
              <w:r w:rsidRPr="001B4A02">
                <w:rPr>
                  <w:b/>
                </w:rPr>
                <w:delText>2.</w:delText>
              </w:r>
              <w:r w:rsidRPr="001B4A02">
                <w:rPr>
                  <w:b/>
                </w:rPr>
                <w:tab/>
                <w:delText>NÁZEV DRŽITELE ROZHODNUTÍ O REGISTRACI</w:delText>
              </w:r>
            </w:del>
          </w:p>
        </w:tc>
      </w:tr>
    </w:tbl>
    <w:p w14:paraId="620F98E0" w14:textId="77777777" w:rsidR="00073F8F" w:rsidRPr="001B4A02" w:rsidRDefault="00073F8F" w:rsidP="00ED48A3">
      <w:pPr>
        <w:rPr>
          <w:del w:id="9079" w:author="AbbVie1" w:date="2025-05-13T09:57:00Z"/>
        </w:rPr>
      </w:pPr>
    </w:p>
    <w:p w14:paraId="0B68AFBB" w14:textId="77777777" w:rsidR="00073F8F" w:rsidRPr="001B4A02" w:rsidRDefault="00000000" w:rsidP="00ED48A3">
      <w:pPr>
        <w:rPr>
          <w:del w:id="9080" w:author="AbbVie1" w:date="2025-05-13T09:57:00Z"/>
        </w:rPr>
      </w:pPr>
      <w:del w:id="9081" w:author="AbbVie1" w:date="2025-05-13T09:57:00Z">
        <w:r w:rsidRPr="001B4A02">
          <w:delText>AbbVie</w:delText>
        </w:r>
        <w:r w:rsidR="00012C3F" w:rsidRPr="001B4A02">
          <w:delText xml:space="preserve"> </w:delText>
        </w:r>
        <w:r w:rsidR="00012C3F" w:rsidRPr="001B4A02">
          <w:rPr>
            <w:highlight w:val="lightGray"/>
          </w:rPr>
          <w:delText>(logo)</w:delText>
        </w:r>
      </w:del>
    </w:p>
    <w:p w14:paraId="4A2A510E" w14:textId="77777777" w:rsidR="00073F8F" w:rsidRPr="001B4A02" w:rsidRDefault="00073F8F" w:rsidP="00ED48A3">
      <w:pPr>
        <w:rPr>
          <w:del w:id="9082" w:author="AbbVie1" w:date="2025-05-13T09:57:00Z"/>
        </w:rPr>
      </w:pPr>
    </w:p>
    <w:p w14:paraId="547461CC" w14:textId="77777777" w:rsidR="00073F8F" w:rsidRPr="001B4A02" w:rsidRDefault="00073F8F" w:rsidP="00ED48A3">
      <w:pPr>
        <w:rPr>
          <w:del w:id="9083"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7B92E3A" w14:textId="77777777">
        <w:trPr>
          <w:del w:id="9084" w:author="AbbVie1" w:date="2025-05-13T09:57:00Z"/>
        </w:trPr>
        <w:tc>
          <w:tcPr>
            <w:tcW w:w="9287" w:type="dxa"/>
          </w:tcPr>
          <w:p w14:paraId="0FD8B58A" w14:textId="77777777" w:rsidR="00073F8F" w:rsidRPr="001B4A02" w:rsidRDefault="00000000" w:rsidP="00ED48A3">
            <w:pPr>
              <w:tabs>
                <w:tab w:val="left" w:pos="142"/>
              </w:tabs>
              <w:rPr>
                <w:del w:id="9085" w:author="AbbVie1" w:date="2025-05-13T09:57:00Z"/>
                <w:b/>
              </w:rPr>
            </w:pPr>
            <w:del w:id="9086" w:author="AbbVie1" w:date="2025-05-13T09:57:00Z">
              <w:r w:rsidRPr="001B4A02">
                <w:rPr>
                  <w:b/>
                </w:rPr>
                <w:delText>3.</w:delText>
              </w:r>
              <w:r w:rsidRPr="001B4A02">
                <w:rPr>
                  <w:b/>
                </w:rPr>
                <w:tab/>
                <w:delText>POUŽITELNOST</w:delText>
              </w:r>
            </w:del>
          </w:p>
        </w:tc>
      </w:tr>
    </w:tbl>
    <w:p w14:paraId="662F184C" w14:textId="77777777" w:rsidR="00073F8F" w:rsidRPr="001B4A02" w:rsidRDefault="00073F8F" w:rsidP="00ED48A3">
      <w:pPr>
        <w:rPr>
          <w:del w:id="9087" w:author="AbbVie1" w:date="2025-05-13T09:57:00Z"/>
        </w:rPr>
      </w:pPr>
    </w:p>
    <w:p w14:paraId="37C40269" w14:textId="77777777" w:rsidR="00073F8F" w:rsidRPr="001B4A02" w:rsidRDefault="00000000" w:rsidP="00ED48A3">
      <w:pPr>
        <w:rPr>
          <w:del w:id="9088" w:author="AbbVie1" w:date="2025-05-13T09:57:00Z"/>
        </w:rPr>
      </w:pPr>
      <w:del w:id="9089" w:author="AbbVie1" w:date="2025-05-13T09:57:00Z">
        <w:r w:rsidRPr="001B4A02">
          <w:delText xml:space="preserve">EXP </w:delText>
        </w:r>
      </w:del>
    </w:p>
    <w:p w14:paraId="759D5813" w14:textId="77777777" w:rsidR="00073F8F" w:rsidRPr="001B4A02" w:rsidRDefault="00073F8F" w:rsidP="00ED48A3">
      <w:pPr>
        <w:rPr>
          <w:del w:id="9090" w:author="AbbVie1" w:date="2025-05-13T09:57:00Z"/>
        </w:rPr>
      </w:pPr>
    </w:p>
    <w:p w14:paraId="3048BA41" w14:textId="77777777" w:rsidR="00073F8F" w:rsidRPr="001B4A02" w:rsidRDefault="00073F8F" w:rsidP="00ED48A3">
      <w:pPr>
        <w:rPr>
          <w:del w:id="9091"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9A8412A" w14:textId="77777777">
        <w:trPr>
          <w:del w:id="9092" w:author="AbbVie1" w:date="2025-05-13T09:57:00Z"/>
        </w:trPr>
        <w:tc>
          <w:tcPr>
            <w:tcW w:w="9287" w:type="dxa"/>
          </w:tcPr>
          <w:p w14:paraId="711E1212" w14:textId="77777777" w:rsidR="00073F8F" w:rsidRPr="001B4A02" w:rsidRDefault="00000000" w:rsidP="00ED48A3">
            <w:pPr>
              <w:tabs>
                <w:tab w:val="left" w:pos="142"/>
              </w:tabs>
              <w:rPr>
                <w:del w:id="9093" w:author="AbbVie1" w:date="2025-05-13T09:57:00Z"/>
                <w:b/>
              </w:rPr>
            </w:pPr>
            <w:del w:id="9094" w:author="AbbVie1" w:date="2025-05-13T09:57:00Z">
              <w:r w:rsidRPr="001B4A02">
                <w:rPr>
                  <w:b/>
                </w:rPr>
                <w:delText>4.</w:delText>
              </w:r>
              <w:r w:rsidRPr="001B4A02">
                <w:rPr>
                  <w:b/>
                </w:rPr>
                <w:tab/>
                <w:delText>ČÍSLO ŠARŽE</w:delText>
              </w:r>
            </w:del>
          </w:p>
        </w:tc>
      </w:tr>
    </w:tbl>
    <w:p w14:paraId="36D8AF37" w14:textId="77777777" w:rsidR="00073F8F" w:rsidRPr="001B4A02" w:rsidRDefault="00073F8F" w:rsidP="00ED48A3">
      <w:pPr>
        <w:rPr>
          <w:del w:id="9095" w:author="AbbVie1" w:date="2025-05-13T09:57:00Z"/>
        </w:rPr>
      </w:pPr>
    </w:p>
    <w:p w14:paraId="31C6AB58" w14:textId="77777777" w:rsidR="00073F8F" w:rsidRPr="001B4A02" w:rsidRDefault="00000000" w:rsidP="00ED48A3">
      <w:pPr>
        <w:rPr>
          <w:del w:id="9096" w:author="AbbVie1" w:date="2025-05-13T09:57:00Z"/>
        </w:rPr>
      </w:pPr>
      <w:del w:id="9097" w:author="AbbVie1" w:date="2025-05-13T09:57:00Z">
        <w:r w:rsidRPr="001B4A02">
          <w:delText>Č. šarže</w:delText>
        </w:r>
      </w:del>
    </w:p>
    <w:p w14:paraId="2DA82B0F" w14:textId="77777777" w:rsidR="00073F8F" w:rsidRPr="001B4A02" w:rsidRDefault="00073F8F" w:rsidP="00ED48A3">
      <w:pPr>
        <w:rPr>
          <w:del w:id="9098" w:author="AbbVie1" w:date="2025-05-13T09:57:00Z"/>
        </w:rPr>
      </w:pPr>
    </w:p>
    <w:p w14:paraId="27889AFE" w14:textId="77777777" w:rsidR="00073F8F" w:rsidRPr="001B4A02" w:rsidRDefault="00073F8F" w:rsidP="00ED48A3">
      <w:pPr>
        <w:rPr>
          <w:del w:id="9099"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3E625BA" w14:textId="77777777">
        <w:trPr>
          <w:del w:id="9100" w:author="AbbVie1" w:date="2025-05-13T09:57:00Z"/>
        </w:trPr>
        <w:tc>
          <w:tcPr>
            <w:tcW w:w="9287" w:type="dxa"/>
          </w:tcPr>
          <w:p w14:paraId="3EAED31F" w14:textId="77777777" w:rsidR="00073F8F" w:rsidRPr="001B4A02" w:rsidRDefault="00000000" w:rsidP="00ED48A3">
            <w:pPr>
              <w:tabs>
                <w:tab w:val="left" w:pos="142"/>
              </w:tabs>
              <w:rPr>
                <w:del w:id="9101" w:author="AbbVie1" w:date="2025-05-13T09:57:00Z"/>
                <w:b/>
              </w:rPr>
            </w:pPr>
            <w:del w:id="9102" w:author="AbbVie1" w:date="2025-05-13T09:57:00Z">
              <w:r w:rsidRPr="001B4A02">
                <w:rPr>
                  <w:b/>
                </w:rPr>
                <w:delText>5.</w:delText>
              </w:r>
              <w:r w:rsidRPr="001B4A02">
                <w:rPr>
                  <w:b/>
                </w:rPr>
                <w:tab/>
                <w:delText>JINÉ</w:delText>
              </w:r>
            </w:del>
          </w:p>
        </w:tc>
      </w:tr>
    </w:tbl>
    <w:p w14:paraId="3F4225C4" w14:textId="77777777" w:rsidR="00073F8F" w:rsidRPr="001B4A02" w:rsidRDefault="00073F8F" w:rsidP="00ED48A3">
      <w:pPr>
        <w:ind w:left="0" w:firstLine="0"/>
        <w:rPr>
          <w:del w:id="9103" w:author="AbbVie1" w:date="2025-05-13T09:57:00Z"/>
          <w:u w:val="single"/>
        </w:rPr>
      </w:pPr>
    </w:p>
    <w:p w14:paraId="67AF97D5" w14:textId="77777777" w:rsidR="00073F8F" w:rsidRPr="001B4A02" w:rsidRDefault="00000000" w:rsidP="00ED48A3">
      <w:pPr>
        <w:rPr>
          <w:del w:id="9104" w:author="AbbVie1" w:date="2025-05-13T09:57:00Z"/>
        </w:rPr>
      </w:pPr>
      <w:del w:id="9105" w:author="AbbVie1" w:date="2025-05-13T09:57:00Z">
        <w:r w:rsidRPr="001B4A02">
          <w:delText>Pro informace o uchovávání viz příbalov</w:delText>
        </w:r>
        <w:r w:rsidR="00DE3467">
          <w:delText>á</w:delText>
        </w:r>
        <w:r w:rsidRPr="001B4A02">
          <w:delText xml:space="preserve"> informac</w:delText>
        </w:r>
        <w:r w:rsidR="00DE3467">
          <w:delText>e</w:delText>
        </w:r>
        <w:r w:rsidRPr="001B4A02">
          <w:delText xml:space="preserve">. </w:delText>
        </w:r>
      </w:del>
    </w:p>
    <w:p w14:paraId="5660B918" w14:textId="77777777" w:rsidR="00073F8F" w:rsidRPr="001B4A02" w:rsidRDefault="00073F8F" w:rsidP="00ED48A3">
      <w:pPr>
        <w:rPr>
          <w:del w:id="9106" w:author="AbbVie1" w:date="2025-05-13T09:57:00Z"/>
        </w:rPr>
      </w:pPr>
    </w:p>
    <w:p w14:paraId="57A9AB14" w14:textId="77777777" w:rsidR="008D1953" w:rsidRDefault="00000000" w:rsidP="00ED48A3">
      <w:pPr>
        <w:rPr>
          <w:del w:id="9107" w:author="AbbVie1" w:date="2025-05-13T09:57:00Z"/>
        </w:rPr>
      </w:pPr>
      <w:del w:id="9108" w:author="AbbVie1" w:date="2025-05-13T09:57:00Z">
        <w:r w:rsidRPr="001B4A02">
          <w:delText xml:space="preserve">Pouze k jednorázovému </w:delText>
        </w:r>
        <w:r w:rsidR="00943958" w:rsidRPr="001B4A02">
          <w:delText>po</w:delText>
        </w:r>
        <w:r w:rsidRPr="001B4A02">
          <w:delText>užití</w:delText>
        </w:r>
        <w:r w:rsidR="007760E0" w:rsidRPr="001B4A02">
          <w:delText>.</w:delText>
        </w:r>
      </w:del>
    </w:p>
    <w:p w14:paraId="2315048B" w14:textId="77777777" w:rsidR="00073F8F" w:rsidRPr="001B4A02" w:rsidRDefault="00000000" w:rsidP="00ED48A3">
      <w:pPr>
        <w:rPr>
          <w:del w:id="9109" w:author="AbbVie1" w:date="2025-05-13T09:57:00Z"/>
          <w:b/>
        </w:rPr>
      </w:pPr>
      <w:del w:id="9110" w:author="AbbVie1" w:date="2025-05-13T09:57:00Z">
        <w:r w:rsidRPr="001B4A02">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97440DE" w14:textId="77777777" w:rsidTr="007F754C">
        <w:trPr>
          <w:trHeight w:val="785"/>
          <w:del w:id="9111" w:author="AbbVie1" w:date="2025-05-13T09:57:00Z"/>
        </w:trPr>
        <w:tc>
          <w:tcPr>
            <w:tcW w:w="9287" w:type="dxa"/>
            <w:tcBorders>
              <w:bottom w:val="single" w:sz="4" w:space="0" w:color="auto"/>
            </w:tcBorders>
          </w:tcPr>
          <w:p w14:paraId="785C2002" w14:textId="77777777" w:rsidR="00073F8F" w:rsidRPr="001B4A02" w:rsidRDefault="00000000" w:rsidP="00ED48A3">
            <w:pPr>
              <w:rPr>
                <w:del w:id="9112" w:author="AbbVie1" w:date="2025-05-13T09:57:00Z"/>
                <w:b/>
              </w:rPr>
            </w:pPr>
            <w:del w:id="9113" w:author="AbbVie1" w:date="2025-05-13T09:57:00Z">
              <w:r w:rsidRPr="001B4A02">
                <w:rPr>
                  <w:b/>
                </w:rPr>
                <w:delText>MINIMÁLNÍ ÚDAJE UVÁDĚNÉ NA MALÉM VNITŘNÍM OBALU</w:delText>
              </w:r>
            </w:del>
          </w:p>
          <w:p w14:paraId="0144F2ED" w14:textId="77777777" w:rsidR="00073F8F" w:rsidRPr="001B4A02" w:rsidRDefault="00073F8F" w:rsidP="00ED48A3">
            <w:pPr>
              <w:rPr>
                <w:del w:id="9114" w:author="AbbVie1" w:date="2025-05-13T09:57:00Z"/>
                <w:b/>
              </w:rPr>
            </w:pPr>
          </w:p>
          <w:p w14:paraId="4D282DDC" w14:textId="77777777" w:rsidR="00073F8F" w:rsidRPr="001B4A02" w:rsidRDefault="00000000" w:rsidP="00ED48A3">
            <w:pPr>
              <w:ind w:left="0" w:firstLine="0"/>
              <w:rPr>
                <w:del w:id="9115" w:author="AbbVie1" w:date="2025-05-13T09:57:00Z"/>
                <w:b/>
                <w:caps/>
              </w:rPr>
            </w:pPr>
            <w:del w:id="9116" w:author="AbbVie1" w:date="2025-05-13T09:57:00Z">
              <w:r w:rsidRPr="001B4A02">
                <w:rPr>
                  <w:b/>
                  <w:caps/>
                </w:rPr>
                <w:delText>Etiketa na injekční stříkačce</w:delText>
              </w:r>
            </w:del>
          </w:p>
        </w:tc>
      </w:tr>
    </w:tbl>
    <w:p w14:paraId="1BE951D4" w14:textId="77777777" w:rsidR="00073F8F" w:rsidRPr="001B4A02" w:rsidRDefault="00073F8F" w:rsidP="00ED48A3">
      <w:pPr>
        <w:rPr>
          <w:del w:id="9117" w:author="AbbVie1" w:date="2025-05-13T09:57:00Z"/>
          <w:b/>
        </w:rPr>
      </w:pPr>
    </w:p>
    <w:p w14:paraId="60F4E8F0" w14:textId="77777777" w:rsidR="00073F8F" w:rsidRPr="001B4A02" w:rsidRDefault="00073F8F" w:rsidP="00ED48A3">
      <w:pPr>
        <w:rPr>
          <w:del w:id="9118" w:author="AbbVie1" w:date="2025-05-13T09:57:00Z"/>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333C9C6" w14:textId="77777777">
        <w:trPr>
          <w:del w:id="9119" w:author="AbbVie1" w:date="2025-05-13T09:57:00Z"/>
        </w:trPr>
        <w:tc>
          <w:tcPr>
            <w:tcW w:w="9287" w:type="dxa"/>
          </w:tcPr>
          <w:p w14:paraId="2E991E7F" w14:textId="77777777" w:rsidR="00073F8F" w:rsidRPr="001B4A02" w:rsidRDefault="00000000" w:rsidP="00ED48A3">
            <w:pPr>
              <w:tabs>
                <w:tab w:val="left" w:pos="142"/>
              </w:tabs>
              <w:rPr>
                <w:del w:id="9120" w:author="AbbVie1" w:date="2025-05-13T09:57:00Z"/>
                <w:b/>
              </w:rPr>
            </w:pPr>
            <w:del w:id="9121" w:author="AbbVie1" w:date="2025-05-13T09:57:00Z">
              <w:r w:rsidRPr="001B4A02">
                <w:rPr>
                  <w:b/>
                </w:rPr>
                <w:delText>1.</w:delText>
              </w:r>
              <w:r w:rsidRPr="001B4A02">
                <w:rPr>
                  <w:b/>
                </w:rPr>
                <w:tab/>
                <w:delText>NÁZEV LÉČIVÉHO PŘÍPRAVKU A CESTA PODÁNÍ</w:delText>
              </w:r>
            </w:del>
          </w:p>
        </w:tc>
      </w:tr>
    </w:tbl>
    <w:p w14:paraId="34D09064" w14:textId="77777777" w:rsidR="00073F8F" w:rsidRPr="001B4A02" w:rsidRDefault="00073F8F" w:rsidP="00ED48A3">
      <w:pPr>
        <w:rPr>
          <w:del w:id="9122" w:author="AbbVie1" w:date="2025-05-13T09:57:00Z"/>
        </w:rPr>
      </w:pPr>
    </w:p>
    <w:p w14:paraId="40400F8A" w14:textId="77777777" w:rsidR="00073F8F" w:rsidRPr="001B4A02" w:rsidRDefault="00000000" w:rsidP="00ED48A3">
      <w:pPr>
        <w:rPr>
          <w:del w:id="9123" w:author="AbbVie1" w:date="2025-05-13T09:57:00Z"/>
        </w:rPr>
      </w:pPr>
      <w:del w:id="9124" w:author="AbbVie1" w:date="2025-05-13T09:57:00Z">
        <w:r w:rsidRPr="001B4A02">
          <w:delText>Humira 40 mg injekce</w:delText>
        </w:r>
      </w:del>
    </w:p>
    <w:p w14:paraId="74A0F859" w14:textId="77777777" w:rsidR="00073F8F" w:rsidRPr="001B4A02" w:rsidRDefault="00000000" w:rsidP="00ED48A3">
      <w:pPr>
        <w:rPr>
          <w:del w:id="9125" w:author="AbbVie1" w:date="2025-05-13T09:57:00Z"/>
        </w:rPr>
      </w:pPr>
      <w:del w:id="9126" w:author="AbbVie1" w:date="2025-05-13T09:57:00Z">
        <w:r w:rsidRPr="001B4A02">
          <w:delText>adalimumabum</w:delText>
        </w:r>
      </w:del>
    </w:p>
    <w:p w14:paraId="5E6458A7" w14:textId="77777777" w:rsidR="00073F8F" w:rsidRPr="001B4A02" w:rsidRDefault="00000000" w:rsidP="00ED48A3">
      <w:pPr>
        <w:rPr>
          <w:del w:id="9127" w:author="AbbVie1" w:date="2025-05-13T09:57:00Z"/>
          <w:b/>
        </w:rPr>
      </w:pPr>
      <w:del w:id="9128" w:author="AbbVie1" w:date="2025-05-13T09:57:00Z">
        <w:r w:rsidRPr="001B4A02">
          <w:delText>s.c.</w:delText>
        </w:r>
      </w:del>
    </w:p>
    <w:p w14:paraId="4AA9F547" w14:textId="77777777" w:rsidR="00073F8F" w:rsidRPr="001B4A02" w:rsidRDefault="00073F8F" w:rsidP="00ED48A3">
      <w:pPr>
        <w:rPr>
          <w:del w:id="9129" w:author="AbbVie1" w:date="2025-05-13T09:57:00Z"/>
        </w:rPr>
      </w:pPr>
    </w:p>
    <w:p w14:paraId="7533933C" w14:textId="77777777" w:rsidR="00073F8F" w:rsidRPr="001B4A02" w:rsidRDefault="00073F8F" w:rsidP="00ED48A3">
      <w:pPr>
        <w:rPr>
          <w:del w:id="9130"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A425413" w14:textId="77777777">
        <w:trPr>
          <w:del w:id="9131" w:author="AbbVie1" w:date="2025-05-13T09:57:00Z"/>
        </w:trPr>
        <w:tc>
          <w:tcPr>
            <w:tcW w:w="9287" w:type="dxa"/>
          </w:tcPr>
          <w:p w14:paraId="56A45AF5" w14:textId="77777777" w:rsidR="00073F8F" w:rsidRPr="001B4A02" w:rsidRDefault="00000000" w:rsidP="00ED48A3">
            <w:pPr>
              <w:tabs>
                <w:tab w:val="left" w:pos="142"/>
              </w:tabs>
              <w:rPr>
                <w:del w:id="9132" w:author="AbbVie1" w:date="2025-05-13T09:57:00Z"/>
                <w:b/>
              </w:rPr>
            </w:pPr>
            <w:del w:id="9133" w:author="AbbVie1" w:date="2025-05-13T09:57:00Z">
              <w:r w:rsidRPr="001B4A02">
                <w:rPr>
                  <w:b/>
                </w:rPr>
                <w:delText>2.</w:delText>
              </w:r>
              <w:r w:rsidRPr="001B4A02">
                <w:rPr>
                  <w:b/>
                </w:rPr>
                <w:tab/>
                <w:delText>ZPŮSOB PODÁNÍ</w:delText>
              </w:r>
            </w:del>
          </w:p>
        </w:tc>
      </w:tr>
    </w:tbl>
    <w:p w14:paraId="5DA04C65" w14:textId="77777777" w:rsidR="00073F8F" w:rsidRPr="001B4A02" w:rsidRDefault="00073F8F" w:rsidP="00ED48A3">
      <w:pPr>
        <w:rPr>
          <w:del w:id="9134" w:author="AbbVie1" w:date="2025-05-13T09:57:00Z"/>
        </w:rPr>
      </w:pPr>
    </w:p>
    <w:p w14:paraId="699FA351" w14:textId="77777777" w:rsidR="00073F8F" w:rsidRPr="001B4A02" w:rsidRDefault="00073F8F" w:rsidP="00ED48A3">
      <w:pPr>
        <w:rPr>
          <w:del w:id="9135"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4D347EA" w14:textId="77777777">
        <w:trPr>
          <w:del w:id="9136" w:author="AbbVie1" w:date="2025-05-13T09:57:00Z"/>
        </w:trPr>
        <w:tc>
          <w:tcPr>
            <w:tcW w:w="9287" w:type="dxa"/>
          </w:tcPr>
          <w:p w14:paraId="2C495875" w14:textId="77777777" w:rsidR="00073F8F" w:rsidRPr="001B4A02" w:rsidRDefault="00000000" w:rsidP="00ED48A3">
            <w:pPr>
              <w:tabs>
                <w:tab w:val="left" w:pos="142"/>
              </w:tabs>
              <w:rPr>
                <w:del w:id="9137" w:author="AbbVie1" w:date="2025-05-13T09:57:00Z"/>
                <w:b/>
              </w:rPr>
            </w:pPr>
            <w:del w:id="9138" w:author="AbbVie1" w:date="2025-05-13T09:57:00Z">
              <w:r w:rsidRPr="001B4A02">
                <w:rPr>
                  <w:b/>
                </w:rPr>
                <w:delText>3.</w:delText>
              </w:r>
              <w:r w:rsidRPr="001B4A02">
                <w:rPr>
                  <w:b/>
                </w:rPr>
                <w:tab/>
                <w:delText>POUŽITELNOST</w:delText>
              </w:r>
            </w:del>
          </w:p>
        </w:tc>
      </w:tr>
    </w:tbl>
    <w:p w14:paraId="087A9375" w14:textId="77777777" w:rsidR="00073F8F" w:rsidRPr="001B4A02" w:rsidRDefault="00073F8F" w:rsidP="00ED48A3">
      <w:pPr>
        <w:rPr>
          <w:del w:id="9139" w:author="AbbVie1" w:date="2025-05-13T09:57:00Z"/>
        </w:rPr>
      </w:pPr>
    </w:p>
    <w:p w14:paraId="6177B2DD" w14:textId="77777777" w:rsidR="00073F8F" w:rsidRPr="001B4A02" w:rsidRDefault="00000000" w:rsidP="00ED48A3">
      <w:pPr>
        <w:rPr>
          <w:del w:id="9140" w:author="AbbVie1" w:date="2025-05-13T09:57:00Z"/>
        </w:rPr>
      </w:pPr>
      <w:del w:id="9141" w:author="AbbVie1" w:date="2025-05-13T09:57:00Z">
        <w:r w:rsidRPr="001B4A02">
          <w:delText xml:space="preserve">EXP </w:delText>
        </w:r>
      </w:del>
    </w:p>
    <w:p w14:paraId="4815AD70" w14:textId="77777777" w:rsidR="00073F8F" w:rsidRPr="001B4A02" w:rsidRDefault="00073F8F" w:rsidP="00ED48A3">
      <w:pPr>
        <w:rPr>
          <w:del w:id="9142" w:author="AbbVie1" w:date="2025-05-13T09:57:00Z"/>
        </w:rPr>
      </w:pPr>
    </w:p>
    <w:p w14:paraId="02AB83C6" w14:textId="77777777" w:rsidR="00073F8F" w:rsidRPr="001B4A02" w:rsidRDefault="00073F8F" w:rsidP="00ED48A3">
      <w:pPr>
        <w:rPr>
          <w:del w:id="9143"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7A5B4D9" w14:textId="77777777">
        <w:trPr>
          <w:del w:id="9144" w:author="AbbVie1" w:date="2025-05-13T09:57:00Z"/>
        </w:trPr>
        <w:tc>
          <w:tcPr>
            <w:tcW w:w="9287" w:type="dxa"/>
          </w:tcPr>
          <w:p w14:paraId="08EAED7E" w14:textId="77777777" w:rsidR="00073F8F" w:rsidRPr="001B4A02" w:rsidRDefault="00000000" w:rsidP="00ED48A3">
            <w:pPr>
              <w:tabs>
                <w:tab w:val="left" w:pos="142"/>
              </w:tabs>
              <w:rPr>
                <w:del w:id="9145" w:author="AbbVie1" w:date="2025-05-13T09:57:00Z"/>
                <w:b/>
              </w:rPr>
            </w:pPr>
            <w:del w:id="9146" w:author="AbbVie1" w:date="2025-05-13T09:57:00Z">
              <w:r w:rsidRPr="001B4A02">
                <w:rPr>
                  <w:b/>
                </w:rPr>
                <w:delText>4.</w:delText>
              </w:r>
              <w:r w:rsidRPr="001B4A02">
                <w:rPr>
                  <w:b/>
                </w:rPr>
                <w:tab/>
                <w:delText>ČÍSLO ŠARŽE</w:delText>
              </w:r>
            </w:del>
          </w:p>
        </w:tc>
      </w:tr>
    </w:tbl>
    <w:p w14:paraId="6B17AA88" w14:textId="77777777" w:rsidR="00073F8F" w:rsidRPr="001B4A02" w:rsidRDefault="00073F8F" w:rsidP="00ED48A3">
      <w:pPr>
        <w:rPr>
          <w:del w:id="9147" w:author="AbbVie1" w:date="2025-05-13T09:57:00Z"/>
        </w:rPr>
      </w:pPr>
    </w:p>
    <w:p w14:paraId="05F61FCB" w14:textId="77777777" w:rsidR="00073F8F" w:rsidRPr="001B4A02" w:rsidRDefault="00000000" w:rsidP="00ED48A3">
      <w:pPr>
        <w:ind w:right="113"/>
        <w:rPr>
          <w:del w:id="9148" w:author="AbbVie1" w:date="2025-05-13T09:57:00Z"/>
        </w:rPr>
      </w:pPr>
      <w:del w:id="9149" w:author="AbbVie1" w:date="2025-05-13T09:57:00Z">
        <w:r w:rsidRPr="001B4A02">
          <w:delText>Lot</w:delText>
        </w:r>
      </w:del>
    </w:p>
    <w:p w14:paraId="4E2E4FF0" w14:textId="77777777" w:rsidR="00073F8F" w:rsidRPr="001B4A02" w:rsidRDefault="00073F8F" w:rsidP="00ED48A3">
      <w:pPr>
        <w:ind w:right="113"/>
        <w:rPr>
          <w:del w:id="9150" w:author="AbbVie1" w:date="2025-05-13T09:57:00Z"/>
        </w:rPr>
      </w:pPr>
    </w:p>
    <w:p w14:paraId="61BD95EF" w14:textId="77777777" w:rsidR="00073F8F" w:rsidRPr="001B4A02" w:rsidRDefault="00073F8F" w:rsidP="00ED48A3">
      <w:pPr>
        <w:ind w:right="113"/>
        <w:rPr>
          <w:del w:id="9151"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6103D3E" w14:textId="77777777">
        <w:trPr>
          <w:del w:id="9152" w:author="AbbVie1" w:date="2025-05-13T09:57:00Z"/>
        </w:trPr>
        <w:tc>
          <w:tcPr>
            <w:tcW w:w="9287" w:type="dxa"/>
          </w:tcPr>
          <w:p w14:paraId="412DD34E" w14:textId="77777777" w:rsidR="00073F8F" w:rsidRPr="001B4A02" w:rsidRDefault="00000000" w:rsidP="00ED48A3">
            <w:pPr>
              <w:tabs>
                <w:tab w:val="left" w:pos="142"/>
              </w:tabs>
              <w:rPr>
                <w:del w:id="9153" w:author="AbbVie1" w:date="2025-05-13T09:57:00Z"/>
                <w:b/>
              </w:rPr>
            </w:pPr>
            <w:del w:id="9154" w:author="AbbVie1" w:date="2025-05-13T09:57:00Z">
              <w:r w:rsidRPr="001B4A02">
                <w:rPr>
                  <w:b/>
                </w:rPr>
                <w:delText>5.</w:delText>
              </w:r>
              <w:r w:rsidRPr="001B4A02">
                <w:rPr>
                  <w:b/>
                </w:rPr>
                <w:tab/>
                <w:delText>OBSAH UDANÝ JAKO HMOTNOST, OBJEM NEBO POČET DÁVEK</w:delText>
              </w:r>
            </w:del>
          </w:p>
        </w:tc>
      </w:tr>
    </w:tbl>
    <w:p w14:paraId="080A2834" w14:textId="77777777" w:rsidR="00073F8F" w:rsidRPr="001B4A02" w:rsidRDefault="00073F8F" w:rsidP="00ED48A3">
      <w:pPr>
        <w:rPr>
          <w:del w:id="9155" w:author="AbbVie1" w:date="2025-05-13T09:57:00Z"/>
        </w:rPr>
      </w:pPr>
    </w:p>
    <w:p w14:paraId="08B4FA9B" w14:textId="77777777" w:rsidR="00073F8F" w:rsidRPr="001B4A02" w:rsidRDefault="00000000" w:rsidP="00ED48A3">
      <w:pPr>
        <w:rPr>
          <w:del w:id="9156" w:author="AbbVie1" w:date="2025-05-13T09:57:00Z"/>
        </w:rPr>
      </w:pPr>
      <w:del w:id="9157" w:author="AbbVie1" w:date="2025-05-13T09:57:00Z">
        <w:r w:rsidRPr="001B4A02">
          <w:delText>40 mg/0,8 ml</w:delText>
        </w:r>
      </w:del>
    </w:p>
    <w:p w14:paraId="21FECA20" w14:textId="77777777" w:rsidR="00073F8F" w:rsidRPr="001B4A02" w:rsidRDefault="00073F8F" w:rsidP="00ED48A3">
      <w:pPr>
        <w:rPr>
          <w:del w:id="9158" w:author="AbbVie1" w:date="2025-05-13T09:57:00Z"/>
        </w:rPr>
      </w:pPr>
    </w:p>
    <w:p w14:paraId="469D01D8" w14:textId="77777777" w:rsidR="00073F8F" w:rsidRPr="001B4A02" w:rsidRDefault="00073F8F" w:rsidP="00ED48A3">
      <w:pPr>
        <w:rPr>
          <w:del w:id="9159"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BCA3E82" w14:textId="77777777">
        <w:trPr>
          <w:del w:id="9160" w:author="AbbVie1" w:date="2025-05-13T09:57:00Z"/>
        </w:trPr>
        <w:tc>
          <w:tcPr>
            <w:tcW w:w="9287" w:type="dxa"/>
          </w:tcPr>
          <w:p w14:paraId="105C9B9B" w14:textId="77777777" w:rsidR="00073F8F" w:rsidRPr="001B4A02" w:rsidRDefault="00000000" w:rsidP="00ED48A3">
            <w:pPr>
              <w:tabs>
                <w:tab w:val="left" w:pos="142"/>
              </w:tabs>
              <w:rPr>
                <w:del w:id="9161" w:author="AbbVie1" w:date="2025-05-13T09:57:00Z"/>
                <w:b/>
              </w:rPr>
            </w:pPr>
            <w:del w:id="9162" w:author="AbbVie1" w:date="2025-05-13T09:57:00Z">
              <w:r w:rsidRPr="001B4A02">
                <w:rPr>
                  <w:b/>
                </w:rPr>
                <w:delText>6.</w:delText>
              </w:r>
              <w:r w:rsidRPr="001B4A02">
                <w:rPr>
                  <w:b/>
                </w:rPr>
                <w:tab/>
                <w:delText>JINÉ</w:delText>
              </w:r>
            </w:del>
          </w:p>
        </w:tc>
      </w:tr>
    </w:tbl>
    <w:p w14:paraId="28CCD9B8" w14:textId="77777777" w:rsidR="00073F8F" w:rsidRPr="001B4A02" w:rsidRDefault="00073F8F" w:rsidP="00ED48A3">
      <w:pPr>
        <w:ind w:left="0" w:firstLine="0"/>
        <w:rPr>
          <w:del w:id="9163" w:author="AbbVie1" w:date="2025-05-13T09:57:00Z"/>
          <w:u w:val="single"/>
        </w:rPr>
      </w:pPr>
    </w:p>
    <w:p w14:paraId="55C92F2D" w14:textId="77777777" w:rsidR="00073F8F" w:rsidRPr="001B4A02" w:rsidRDefault="00073F8F" w:rsidP="00ED48A3">
      <w:pPr>
        <w:rPr>
          <w:del w:id="9164" w:author="AbbVie1" w:date="2025-05-13T09:57:00Z"/>
        </w:rPr>
      </w:pPr>
    </w:p>
    <w:p w14:paraId="2223A831" w14:textId="77777777" w:rsidR="00934FD3" w:rsidRPr="001B4A02" w:rsidRDefault="00000000" w:rsidP="00934FD3">
      <w:pPr>
        <w:rPr>
          <w:del w:id="9165" w:author="AbbVie1" w:date="2025-05-13T09:57:00Z"/>
        </w:rPr>
      </w:pPr>
      <w:del w:id="9166" w:author="AbbVie1" w:date="2025-05-13T09:57:00Z">
        <w:r w:rsidRPr="001B4A02">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E31BA20" w14:textId="77777777" w:rsidTr="00B73639">
        <w:trPr>
          <w:del w:id="9167" w:author="AbbVie1" w:date="2025-05-13T09:57:00Z"/>
        </w:trPr>
        <w:tc>
          <w:tcPr>
            <w:tcW w:w="9287" w:type="dxa"/>
          </w:tcPr>
          <w:p w14:paraId="4CF82748" w14:textId="77777777" w:rsidR="00934FD3" w:rsidRPr="001B4A02" w:rsidRDefault="00000000" w:rsidP="00B73639">
            <w:pPr>
              <w:ind w:left="0" w:firstLine="0"/>
              <w:rPr>
                <w:del w:id="9168" w:author="AbbVie1" w:date="2025-05-13T09:57:00Z"/>
                <w:b/>
              </w:rPr>
            </w:pPr>
            <w:del w:id="9169" w:author="AbbVie1" w:date="2025-05-13T09:57:00Z">
              <w:r w:rsidRPr="001B4A02">
                <w:rPr>
                  <w:b/>
                  <w:u w:val="single"/>
                </w:rPr>
                <w:br w:type="page"/>
              </w:r>
              <w:r w:rsidRPr="001B4A02">
                <w:rPr>
                  <w:b/>
                </w:rPr>
                <w:delText>ÚDAJE UVÁDĚNÉ NA VNĚJŠÍM OBALU</w:delText>
              </w:r>
            </w:del>
          </w:p>
          <w:p w14:paraId="6707D9EF" w14:textId="77777777" w:rsidR="00934FD3" w:rsidRPr="001B4A02" w:rsidRDefault="00934FD3" w:rsidP="00B73639">
            <w:pPr>
              <w:rPr>
                <w:del w:id="9170" w:author="AbbVie1" w:date="2025-05-13T09:57:00Z"/>
                <w:b/>
              </w:rPr>
            </w:pPr>
          </w:p>
          <w:p w14:paraId="33408B6E" w14:textId="77777777" w:rsidR="00934FD3" w:rsidRPr="001B4A02" w:rsidRDefault="00000000" w:rsidP="00B73639">
            <w:pPr>
              <w:rPr>
                <w:del w:id="9171" w:author="AbbVie1" w:date="2025-05-13T09:57:00Z"/>
                <w:b/>
                <w:caps/>
              </w:rPr>
            </w:pPr>
            <w:del w:id="9172" w:author="AbbVie1" w:date="2025-05-13T09:57:00Z">
              <w:r w:rsidRPr="001B4A02">
                <w:rPr>
                  <w:b/>
                  <w:caps/>
                </w:rPr>
                <w:delText>Krabička</w:delText>
              </w:r>
            </w:del>
          </w:p>
        </w:tc>
      </w:tr>
    </w:tbl>
    <w:p w14:paraId="64BE3C2F" w14:textId="77777777" w:rsidR="00934FD3" w:rsidRPr="001B4A02" w:rsidRDefault="00934FD3" w:rsidP="00934FD3">
      <w:pPr>
        <w:rPr>
          <w:del w:id="9173" w:author="AbbVie1" w:date="2025-05-13T09:57:00Z"/>
        </w:rPr>
      </w:pPr>
    </w:p>
    <w:p w14:paraId="7117B9C1" w14:textId="77777777" w:rsidR="00073F8F" w:rsidRPr="001B4A02" w:rsidRDefault="00073F8F" w:rsidP="00934FD3">
      <w:pPr>
        <w:rPr>
          <w:del w:id="9174"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41605B4" w14:textId="77777777">
        <w:trPr>
          <w:del w:id="9175" w:author="AbbVie1" w:date="2025-05-13T09:57:00Z"/>
        </w:trPr>
        <w:tc>
          <w:tcPr>
            <w:tcW w:w="9287" w:type="dxa"/>
          </w:tcPr>
          <w:p w14:paraId="363E036C" w14:textId="77777777" w:rsidR="00073F8F" w:rsidRPr="001B4A02" w:rsidRDefault="00000000" w:rsidP="00ED48A3">
            <w:pPr>
              <w:tabs>
                <w:tab w:val="left" w:pos="142"/>
              </w:tabs>
              <w:rPr>
                <w:del w:id="9176" w:author="AbbVie1" w:date="2025-05-13T09:57:00Z"/>
                <w:b/>
              </w:rPr>
            </w:pPr>
            <w:del w:id="9177" w:author="AbbVie1" w:date="2025-05-13T09:57:00Z">
              <w:r w:rsidRPr="001B4A02">
                <w:rPr>
                  <w:b/>
                </w:rPr>
                <w:delText>1.</w:delText>
              </w:r>
              <w:r w:rsidRPr="001B4A02">
                <w:rPr>
                  <w:b/>
                </w:rPr>
                <w:tab/>
                <w:delText>NÁZEV LÉČIVÉHO PŘÍPRAVKU</w:delText>
              </w:r>
            </w:del>
          </w:p>
        </w:tc>
      </w:tr>
    </w:tbl>
    <w:p w14:paraId="5BE57818" w14:textId="77777777" w:rsidR="00073F8F" w:rsidRPr="001B4A02" w:rsidRDefault="00073F8F" w:rsidP="00ED48A3">
      <w:pPr>
        <w:rPr>
          <w:del w:id="9178" w:author="AbbVie1" w:date="2025-05-13T09:57:00Z"/>
        </w:rPr>
      </w:pPr>
    </w:p>
    <w:p w14:paraId="0D3D2948" w14:textId="77777777" w:rsidR="00073F8F" w:rsidRPr="001B4A02" w:rsidRDefault="00000000" w:rsidP="004D0686">
      <w:pPr>
        <w:outlineLvl w:val="0"/>
        <w:rPr>
          <w:del w:id="9179" w:author="AbbVie1" w:date="2025-05-13T09:57:00Z"/>
        </w:rPr>
      </w:pPr>
      <w:del w:id="9180" w:author="AbbVie1" w:date="2025-05-13T09:57:00Z">
        <w:r w:rsidRPr="001B4A02">
          <w:delText xml:space="preserve">Humira 40 mg injekční roztok v předplněné injekční stříkačce </w:delText>
        </w:r>
      </w:del>
    </w:p>
    <w:p w14:paraId="7E656C98" w14:textId="77777777" w:rsidR="00073F8F" w:rsidRPr="001B4A02" w:rsidRDefault="00000000" w:rsidP="00ED48A3">
      <w:pPr>
        <w:rPr>
          <w:del w:id="9181" w:author="AbbVie1" w:date="2025-05-13T09:57:00Z"/>
        </w:rPr>
      </w:pPr>
      <w:del w:id="9182" w:author="AbbVie1" w:date="2025-05-13T09:57:00Z">
        <w:r w:rsidRPr="001B4A02">
          <w:delText>adalimumabum</w:delText>
        </w:r>
      </w:del>
    </w:p>
    <w:p w14:paraId="14040153" w14:textId="77777777" w:rsidR="00073F8F" w:rsidRPr="001B4A02" w:rsidRDefault="00073F8F" w:rsidP="00ED48A3">
      <w:pPr>
        <w:rPr>
          <w:del w:id="9183" w:author="AbbVie1" w:date="2025-05-13T09:57:00Z"/>
        </w:rPr>
      </w:pPr>
    </w:p>
    <w:p w14:paraId="78B39B99" w14:textId="77777777" w:rsidR="00073F8F" w:rsidRPr="001B4A02" w:rsidRDefault="00073F8F" w:rsidP="00ED48A3">
      <w:pPr>
        <w:rPr>
          <w:del w:id="9184"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0DF5112" w14:textId="77777777">
        <w:trPr>
          <w:del w:id="9185" w:author="AbbVie1" w:date="2025-05-13T09:57:00Z"/>
        </w:trPr>
        <w:tc>
          <w:tcPr>
            <w:tcW w:w="9287" w:type="dxa"/>
          </w:tcPr>
          <w:p w14:paraId="1D65439B" w14:textId="77777777" w:rsidR="00073F8F" w:rsidRPr="001B4A02" w:rsidRDefault="00000000" w:rsidP="00ED48A3">
            <w:pPr>
              <w:tabs>
                <w:tab w:val="left" w:pos="142"/>
              </w:tabs>
              <w:rPr>
                <w:del w:id="9186" w:author="AbbVie1" w:date="2025-05-13T09:57:00Z"/>
                <w:b/>
              </w:rPr>
            </w:pPr>
            <w:del w:id="9187" w:author="AbbVie1" w:date="2025-05-13T09:57:00Z">
              <w:r w:rsidRPr="001B4A02">
                <w:rPr>
                  <w:b/>
                </w:rPr>
                <w:delText>2.</w:delText>
              </w:r>
              <w:r w:rsidRPr="001B4A02">
                <w:rPr>
                  <w:b/>
                </w:rPr>
                <w:tab/>
                <w:delText>OBSAH LÉČIVÉ LÁTKY</w:delText>
              </w:r>
            </w:del>
          </w:p>
        </w:tc>
      </w:tr>
    </w:tbl>
    <w:p w14:paraId="22360F7C" w14:textId="77777777" w:rsidR="00073F8F" w:rsidRPr="001B4A02" w:rsidRDefault="00073F8F" w:rsidP="00ED48A3">
      <w:pPr>
        <w:rPr>
          <w:del w:id="9188" w:author="AbbVie1" w:date="2025-05-13T09:57:00Z"/>
        </w:rPr>
      </w:pPr>
    </w:p>
    <w:p w14:paraId="0EFCC9C3" w14:textId="77777777" w:rsidR="00073F8F" w:rsidRPr="001B4A02" w:rsidRDefault="00000000" w:rsidP="00ED48A3">
      <w:pPr>
        <w:ind w:left="0" w:firstLine="0"/>
        <w:rPr>
          <w:del w:id="9189" w:author="AbbVie1" w:date="2025-05-13T09:57:00Z"/>
        </w:rPr>
      </w:pPr>
      <w:del w:id="9190" w:author="AbbVie1" w:date="2025-05-13T09:57:00Z">
        <w:r w:rsidRPr="001B4A02">
          <w:delText>Jedna 0,8ml předplněná injekční stříkačka s ochranným krytem jehly obsahuje adalimumabu</w:delText>
        </w:r>
        <w:r w:rsidR="00921392" w:rsidRPr="001B4A02">
          <w:delText>m 40</w:delText>
        </w:r>
        <w:r w:rsidR="00874DE1">
          <w:delText> mg</w:delText>
        </w:r>
        <w:r w:rsidR="004D43B2" w:rsidRPr="001B4A02">
          <w:delText>.</w:delText>
        </w:r>
      </w:del>
    </w:p>
    <w:p w14:paraId="12D4FCC8" w14:textId="77777777" w:rsidR="00073F8F" w:rsidRPr="001B4A02" w:rsidRDefault="00073F8F" w:rsidP="00ED48A3">
      <w:pPr>
        <w:rPr>
          <w:del w:id="9191" w:author="AbbVie1" w:date="2025-05-13T09:57:00Z"/>
        </w:rPr>
      </w:pPr>
    </w:p>
    <w:p w14:paraId="0FF24E50" w14:textId="77777777" w:rsidR="00073F8F" w:rsidRPr="001B4A02" w:rsidRDefault="00073F8F" w:rsidP="00ED48A3">
      <w:pPr>
        <w:rPr>
          <w:del w:id="9192"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B3C2935" w14:textId="77777777">
        <w:trPr>
          <w:del w:id="9193" w:author="AbbVie1" w:date="2025-05-13T09:57:00Z"/>
        </w:trPr>
        <w:tc>
          <w:tcPr>
            <w:tcW w:w="9287" w:type="dxa"/>
          </w:tcPr>
          <w:p w14:paraId="5DB31BBE" w14:textId="77777777" w:rsidR="00073F8F" w:rsidRPr="001B4A02" w:rsidRDefault="00000000" w:rsidP="00ED48A3">
            <w:pPr>
              <w:tabs>
                <w:tab w:val="left" w:pos="142"/>
              </w:tabs>
              <w:rPr>
                <w:del w:id="9194" w:author="AbbVie1" w:date="2025-05-13T09:57:00Z"/>
                <w:b/>
              </w:rPr>
            </w:pPr>
            <w:del w:id="9195" w:author="AbbVie1" w:date="2025-05-13T09:57:00Z">
              <w:r w:rsidRPr="001B4A02">
                <w:rPr>
                  <w:b/>
                </w:rPr>
                <w:delText>3.</w:delText>
              </w:r>
              <w:r w:rsidRPr="001B4A02">
                <w:rPr>
                  <w:b/>
                </w:rPr>
                <w:tab/>
                <w:delText>SEZNAM POMOCNÝCH LÁTEK</w:delText>
              </w:r>
            </w:del>
          </w:p>
        </w:tc>
      </w:tr>
    </w:tbl>
    <w:p w14:paraId="0E05A049" w14:textId="77777777" w:rsidR="00073F8F" w:rsidRPr="001B4A02" w:rsidRDefault="00073F8F" w:rsidP="00ED48A3">
      <w:pPr>
        <w:rPr>
          <w:del w:id="9196" w:author="AbbVie1" w:date="2025-05-13T09:57:00Z"/>
        </w:rPr>
      </w:pPr>
    </w:p>
    <w:p w14:paraId="08E2D5AF" w14:textId="77777777" w:rsidR="00073F8F" w:rsidRPr="001B4A02" w:rsidRDefault="00000000" w:rsidP="00ED48A3">
      <w:pPr>
        <w:ind w:left="0" w:firstLine="0"/>
        <w:rPr>
          <w:del w:id="9197" w:author="AbbVie1" w:date="2025-05-13T09:57:00Z"/>
        </w:rPr>
      </w:pPr>
      <w:del w:id="9198" w:author="AbbVie1" w:date="2025-05-13T09:57:00Z">
        <w:r w:rsidRPr="001B4A02">
          <w:delText xml:space="preserve">Pomocné látky: mannitol, monohydrát kyseliny citronové, dihydrát </w:delText>
        </w:r>
        <w:r w:rsidR="007A4774" w:rsidRPr="001B4A02">
          <w:delText>natrium-citrátu</w:delText>
        </w:r>
        <w:r w:rsidRPr="001B4A02">
          <w:delText>, dihydrát dihydrogenfosforečnanu sodného, dihydrát hydrogenfosforečnanu sodného, chlorid sodný, polysorbát 80, hydroxid sodný</w:delText>
        </w:r>
        <w:r w:rsidR="002378E0">
          <w:delText xml:space="preserve"> a </w:delText>
        </w:r>
        <w:r w:rsidRPr="001B4A02">
          <w:delText xml:space="preserve">voda </w:delText>
        </w:r>
        <w:r w:rsidR="00202301" w:rsidRPr="001B4A02">
          <w:delText>pro</w:delText>
        </w:r>
        <w:r w:rsidRPr="001B4A02">
          <w:delText xml:space="preserve"> injekci. Další informace naleznete v příbalové informaci.</w:delText>
        </w:r>
      </w:del>
    </w:p>
    <w:p w14:paraId="012C40CB" w14:textId="77777777" w:rsidR="00073F8F" w:rsidRPr="001B4A02" w:rsidRDefault="00073F8F" w:rsidP="00ED48A3">
      <w:pPr>
        <w:rPr>
          <w:del w:id="9199" w:author="AbbVie1" w:date="2025-05-13T09:57:00Z"/>
        </w:rPr>
      </w:pPr>
    </w:p>
    <w:p w14:paraId="19BE514A" w14:textId="77777777" w:rsidR="00073F8F" w:rsidRPr="001B4A02" w:rsidRDefault="00073F8F" w:rsidP="00ED48A3">
      <w:pPr>
        <w:rPr>
          <w:del w:id="9200"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1F88178" w14:textId="77777777">
        <w:trPr>
          <w:del w:id="9201" w:author="AbbVie1" w:date="2025-05-13T09:57:00Z"/>
        </w:trPr>
        <w:tc>
          <w:tcPr>
            <w:tcW w:w="9287" w:type="dxa"/>
          </w:tcPr>
          <w:p w14:paraId="35413770" w14:textId="77777777" w:rsidR="00073F8F" w:rsidRPr="001B4A02" w:rsidRDefault="00000000" w:rsidP="00ED48A3">
            <w:pPr>
              <w:tabs>
                <w:tab w:val="left" w:pos="142"/>
              </w:tabs>
              <w:rPr>
                <w:del w:id="9202" w:author="AbbVie1" w:date="2025-05-13T09:57:00Z"/>
                <w:b/>
              </w:rPr>
            </w:pPr>
            <w:del w:id="9203" w:author="AbbVie1" w:date="2025-05-13T09:57:00Z">
              <w:r w:rsidRPr="001B4A02">
                <w:rPr>
                  <w:b/>
                </w:rPr>
                <w:delText>4.</w:delText>
              </w:r>
              <w:r w:rsidRPr="001B4A02">
                <w:rPr>
                  <w:b/>
                </w:rPr>
                <w:tab/>
                <w:delText xml:space="preserve">LÉKOVÁ FORMA A </w:delText>
              </w:r>
              <w:r w:rsidR="00DE5AC6" w:rsidRPr="001B4A02">
                <w:rPr>
                  <w:b/>
                </w:rPr>
                <w:delText xml:space="preserve">OBSAH </w:delText>
              </w:r>
              <w:r w:rsidRPr="001B4A02">
                <w:rPr>
                  <w:b/>
                </w:rPr>
                <w:delText>BALENÍ</w:delText>
              </w:r>
            </w:del>
          </w:p>
        </w:tc>
      </w:tr>
    </w:tbl>
    <w:p w14:paraId="558B9625" w14:textId="77777777" w:rsidR="00073F8F" w:rsidRPr="001B4A02" w:rsidRDefault="00073F8F" w:rsidP="00ED48A3">
      <w:pPr>
        <w:rPr>
          <w:del w:id="9204" w:author="AbbVie1" w:date="2025-05-13T09:57:00Z"/>
        </w:rPr>
      </w:pPr>
    </w:p>
    <w:p w14:paraId="670BFED1" w14:textId="77777777" w:rsidR="008019A6" w:rsidRPr="001B4A02" w:rsidRDefault="00000000" w:rsidP="00ED48A3">
      <w:pPr>
        <w:rPr>
          <w:del w:id="9205" w:author="AbbVie1" w:date="2025-05-13T09:57:00Z"/>
        </w:rPr>
      </w:pPr>
      <w:del w:id="9206" w:author="AbbVie1" w:date="2025-05-13T09:57:00Z">
        <w:r w:rsidRPr="001B4A02">
          <w:rPr>
            <w:highlight w:val="lightGray"/>
          </w:rPr>
          <w:delText>Injekční roztok</w:delText>
        </w:r>
      </w:del>
    </w:p>
    <w:p w14:paraId="523B7356" w14:textId="77777777" w:rsidR="00073F8F" w:rsidRPr="001B4A02" w:rsidRDefault="00000000" w:rsidP="00ED48A3">
      <w:pPr>
        <w:rPr>
          <w:del w:id="9207" w:author="AbbVie1" w:date="2025-05-13T09:57:00Z"/>
        </w:rPr>
      </w:pPr>
      <w:del w:id="9208" w:author="AbbVie1" w:date="2025-05-13T09:57:00Z">
        <w:r w:rsidRPr="001B4A02">
          <w:delText xml:space="preserve">1 předplněná injekční stříkačka </w:delText>
        </w:r>
      </w:del>
    </w:p>
    <w:p w14:paraId="4DC49B29" w14:textId="77777777" w:rsidR="00073F8F" w:rsidRPr="001B4A02" w:rsidRDefault="00000000" w:rsidP="00ED48A3">
      <w:pPr>
        <w:rPr>
          <w:del w:id="9209" w:author="AbbVie1" w:date="2025-05-13T09:57:00Z"/>
        </w:rPr>
      </w:pPr>
      <w:del w:id="9210" w:author="AbbVie1" w:date="2025-05-13T09:57:00Z">
        <w:r w:rsidRPr="001B4A02">
          <w:delText>1 tampón napuštěný alkoholem</w:delText>
        </w:r>
      </w:del>
    </w:p>
    <w:p w14:paraId="0A814379" w14:textId="77777777" w:rsidR="00073F8F" w:rsidRPr="001B4A02" w:rsidRDefault="00073F8F" w:rsidP="00ED48A3">
      <w:pPr>
        <w:rPr>
          <w:del w:id="9211" w:author="AbbVie1" w:date="2025-05-13T09:57:00Z"/>
        </w:rPr>
      </w:pPr>
    </w:p>
    <w:p w14:paraId="1C0628B0" w14:textId="77777777" w:rsidR="00073F8F" w:rsidRPr="001B4A02" w:rsidRDefault="00073F8F" w:rsidP="00ED48A3">
      <w:pPr>
        <w:rPr>
          <w:del w:id="9212"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D8BB47F" w14:textId="77777777">
        <w:trPr>
          <w:del w:id="9213" w:author="AbbVie1" w:date="2025-05-13T09:57:00Z"/>
        </w:trPr>
        <w:tc>
          <w:tcPr>
            <w:tcW w:w="9287" w:type="dxa"/>
          </w:tcPr>
          <w:p w14:paraId="3353B677" w14:textId="77777777" w:rsidR="00073F8F" w:rsidRPr="001B4A02" w:rsidRDefault="00000000" w:rsidP="00ED48A3">
            <w:pPr>
              <w:tabs>
                <w:tab w:val="left" w:pos="142"/>
              </w:tabs>
              <w:rPr>
                <w:del w:id="9214" w:author="AbbVie1" w:date="2025-05-13T09:57:00Z"/>
                <w:b/>
              </w:rPr>
            </w:pPr>
            <w:del w:id="9215" w:author="AbbVie1" w:date="2025-05-13T09:57:00Z">
              <w:r w:rsidRPr="001B4A02">
                <w:rPr>
                  <w:b/>
                </w:rPr>
                <w:delText>5.</w:delText>
              </w:r>
              <w:r w:rsidRPr="001B4A02">
                <w:rPr>
                  <w:b/>
                </w:rPr>
                <w:tab/>
                <w:delText>ZPŮSOB A CESTA PODÁNÍ</w:delText>
              </w:r>
            </w:del>
          </w:p>
        </w:tc>
      </w:tr>
    </w:tbl>
    <w:p w14:paraId="639827A1" w14:textId="77777777" w:rsidR="00073F8F" w:rsidRPr="001B4A02" w:rsidRDefault="00073F8F" w:rsidP="00ED48A3">
      <w:pPr>
        <w:rPr>
          <w:del w:id="9216" w:author="AbbVie1" w:date="2025-05-13T09:57:00Z"/>
        </w:rPr>
      </w:pPr>
    </w:p>
    <w:p w14:paraId="5F352DDE" w14:textId="77777777" w:rsidR="00073F8F" w:rsidRPr="001B4A02" w:rsidRDefault="00000000" w:rsidP="00ED48A3">
      <w:pPr>
        <w:rPr>
          <w:del w:id="9217" w:author="AbbVie1" w:date="2025-05-13T09:57:00Z"/>
        </w:rPr>
      </w:pPr>
      <w:del w:id="9218" w:author="AbbVie1" w:date="2025-05-13T09:57:00Z">
        <w:r w:rsidRPr="001B4A02">
          <w:delText>Subkutánní podání</w:delText>
        </w:r>
      </w:del>
    </w:p>
    <w:p w14:paraId="162D8A72" w14:textId="77777777" w:rsidR="00073F8F" w:rsidRPr="001B4A02" w:rsidRDefault="00073F8F" w:rsidP="00ED48A3">
      <w:pPr>
        <w:rPr>
          <w:del w:id="9219" w:author="AbbVie1" w:date="2025-05-13T09:57:00Z"/>
        </w:rPr>
      </w:pPr>
    </w:p>
    <w:p w14:paraId="6C25075C" w14:textId="77777777" w:rsidR="00073F8F" w:rsidRPr="001B4A02" w:rsidRDefault="00000000" w:rsidP="00ED48A3">
      <w:pPr>
        <w:rPr>
          <w:del w:id="9220" w:author="AbbVie1" w:date="2025-05-13T09:57:00Z"/>
        </w:rPr>
      </w:pPr>
      <w:del w:id="9221" w:author="AbbVie1" w:date="2025-05-13T09:57:00Z">
        <w:r w:rsidRPr="001B4A02">
          <w:delText>Před použitím si přečtěte příbalovou informaci.</w:delText>
        </w:r>
      </w:del>
    </w:p>
    <w:p w14:paraId="63984D5B" w14:textId="77777777" w:rsidR="008019A6" w:rsidRPr="001B4A02" w:rsidRDefault="008019A6" w:rsidP="00ED48A3">
      <w:pPr>
        <w:rPr>
          <w:del w:id="9222" w:author="AbbVie1" w:date="2025-05-13T09:57:00Z"/>
        </w:rPr>
      </w:pPr>
    </w:p>
    <w:p w14:paraId="64DC7C7D" w14:textId="77777777" w:rsidR="008019A6" w:rsidRPr="001B4A02" w:rsidRDefault="00000000" w:rsidP="00ED48A3">
      <w:pPr>
        <w:rPr>
          <w:del w:id="9223" w:author="AbbVie1" w:date="2025-05-13T09:57:00Z"/>
        </w:rPr>
      </w:pPr>
      <w:del w:id="9224" w:author="AbbVie1" w:date="2025-05-13T09:57:00Z">
        <w:r w:rsidRPr="001B4A02">
          <w:delText>Pouze k jednorázovému použití.</w:delText>
        </w:r>
      </w:del>
    </w:p>
    <w:p w14:paraId="79A0BED8" w14:textId="77777777" w:rsidR="008019A6" w:rsidRPr="001B4A02" w:rsidRDefault="008019A6" w:rsidP="00ED48A3">
      <w:pPr>
        <w:rPr>
          <w:del w:id="9225" w:author="AbbVie1" w:date="2025-05-13T09:57:00Z"/>
        </w:rPr>
      </w:pPr>
    </w:p>
    <w:p w14:paraId="26C652D7" w14:textId="77777777" w:rsidR="008019A6" w:rsidRPr="001B4A02" w:rsidRDefault="00000000" w:rsidP="00ED48A3">
      <w:pPr>
        <w:rPr>
          <w:del w:id="9226" w:author="AbbVie1" w:date="2025-05-13T09:57:00Z"/>
        </w:rPr>
      </w:pPr>
      <w:del w:id="9227" w:author="AbbVie1" w:date="2025-05-13T09:57:00Z">
        <w:r w:rsidRPr="001B4A02">
          <w:delText>S ochranným krytem jehly</w:delText>
        </w:r>
      </w:del>
    </w:p>
    <w:p w14:paraId="2164CB03" w14:textId="77777777" w:rsidR="00073F8F" w:rsidRPr="001B4A02" w:rsidRDefault="00073F8F" w:rsidP="00ED48A3">
      <w:pPr>
        <w:rPr>
          <w:del w:id="9228" w:author="AbbVie1" w:date="2025-05-13T09:57:00Z"/>
        </w:rPr>
      </w:pPr>
    </w:p>
    <w:p w14:paraId="32CD01D1" w14:textId="77777777" w:rsidR="00073F8F" w:rsidRPr="001B4A02" w:rsidRDefault="00073F8F" w:rsidP="00ED48A3">
      <w:pPr>
        <w:rPr>
          <w:del w:id="9229"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011C981" w14:textId="77777777">
        <w:trPr>
          <w:del w:id="9230" w:author="AbbVie1" w:date="2025-05-13T09:57:00Z"/>
        </w:trPr>
        <w:tc>
          <w:tcPr>
            <w:tcW w:w="9287" w:type="dxa"/>
          </w:tcPr>
          <w:p w14:paraId="7DCB6C97" w14:textId="77777777" w:rsidR="00073F8F" w:rsidRPr="001B4A02" w:rsidRDefault="00000000" w:rsidP="00ED48A3">
            <w:pPr>
              <w:tabs>
                <w:tab w:val="left" w:pos="142"/>
              </w:tabs>
              <w:rPr>
                <w:del w:id="9231" w:author="AbbVie1" w:date="2025-05-13T09:57:00Z"/>
                <w:b/>
              </w:rPr>
            </w:pPr>
            <w:del w:id="9232" w:author="AbbVie1" w:date="2025-05-13T09:57:00Z">
              <w:r w:rsidRPr="001B4A02">
                <w:rPr>
                  <w:b/>
                </w:rPr>
                <w:delText>6.</w:delText>
              </w:r>
              <w:r w:rsidRPr="001B4A02">
                <w:rPr>
                  <w:b/>
                </w:rPr>
                <w:tab/>
                <w:delText xml:space="preserve">ZVLÁŠTNÍ UPOZORNĚNÍ, ŽE LÉČIVÝ PŘÍPRAVEK MUSÍ BÝT UCHOVÁVÁN MIMO </w:delText>
              </w:r>
              <w:r w:rsidR="0041401B" w:rsidRPr="001B4A02">
                <w:rPr>
                  <w:b/>
                </w:rPr>
                <w:delText xml:space="preserve">DOHLED A </w:delText>
              </w:r>
              <w:r w:rsidRPr="001B4A02">
                <w:rPr>
                  <w:b/>
                </w:rPr>
                <w:delText>DOSAH DĚTÍ</w:delText>
              </w:r>
            </w:del>
          </w:p>
        </w:tc>
      </w:tr>
    </w:tbl>
    <w:p w14:paraId="456C1C06" w14:textId="77777777" w:rsidR="00073F8F" w:rsidRPr="001B4A02" w:rsidRDefault="00073F8F" w:rsidP="00ED48A3">
      <w:pPr>
        <w:rPr>
          <w:del w:id="9233" w:author="AbbVie1" w:date="2025-05-13T09:57:00Z"/>
        </w:rPr>
      </w:pPr>
    </w:p>
    <w:p w14:paraId="5F7BFAEE" w14:textId="77777777" w:rsidR="00073F8F" w:rsidRPr="001B4A02" w:rsidRDefault="00000000" w:rsidP="007F7787">
      <w:pPr>
        <w:rPr>
          <w:del w:id="9234" w:author="AbbVie1" w:date="2025-05-13T09:57:00Z"/>
        </w:rPr>
      </w:pPr>
      <w:del w:id="9235" w:author="AbbVie1" w:date="2025-05-13T09:57:00Z">
        <w:r w:rsidRPr="001B4A02">
          <w:delText xml:space="preserve">Uchovávejte mimo </w:delText>
        </w:r>
        <w:r w:rsidR="0041401B" w:rsidRPr="001B4A02">
          <w:delText>dohled</w:delText>
        </w:r>
        <w:r w:rsidR="002378E0">
          <w:delText xml:space="preserve"> a </w:delText>
        </w:r>
        <w:r w:rsidRPr="001B4A02">
          <w:delText>dosah dětí.</w:delText>
        </w:r>
      </w:del>
    </w:p>
    <w:p w14:paraId="32566164" w14:textId="77777777" w:rsidR="00073F8F" w:rsidRPr="001B4A02" w:rsidRDefault="00073F8F" w:rsidP="00ED48A3">
      <w:pPr>
        <w:rPr>
          <w:del w:id="9236" w:author="AbbVie1" w:date="2025-05-13T09:57:00Z"/>
        </w:rPr>
      </w:pPr>
    </w:p>
    <w:p w14:paraId="36E30681" w14:textId="77777777" w:rsidR="00073F8F" w:rsidRPr="001B4A02" w:rsidRDefault="00073F8F" w:rsidP="00ED48A3">
      <w:pPr>
        <w:rPr>
          <w:del w:id="9237"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ADE711C" w14:textId="77777777">
        <w:trPr>
          <w:del w:id="9238" w:author="AbbVie1" w:date="2025-05-13T09:57:00Z"/>
        </w:trPr>
        <w:tc>
          <w:tcPr>
            <w:tcW w:w="9287" w:type="dxa"/>
          </w:tcPr>
          <w:p w14:paraId="3E7D6026" w14:textId="77777777" w:rsidR="00073F8F" w:rsidRPr="001B4A02" w:rsidRDefault="00000000" w:rsidP="00ED48A3">
            <w:pPr>
              <w:tabs>
                <w:tab w:val="left" w:pos="142"/>
              </w:tabs>
              <w:rPr>
                <w:del w:id="9239" w:author="AbbVie1" w:date="2025-05-13T09:57:00Z"/>
                <w:b/>
              </w:rPr>
            </w:pPr>
            <w:del w:id="9240" w:author="AbbVie1" w:date="2025-05-13T09:57:00Z">
              <w:r w:rsidRPr="001B4A02">
                <w:rPr>
                  <w:b/>
                </w:rPr>
                <w:delText>7.</w:delText>
              </w:r>
              <w:r w:rsidRPr="001B4A02">
                <w:rPr>
                  <w:b/>
                </w:rPr>
                <w:tab/>
                <w:delText>DALŠÍ ZVLÁŠTNÍ UPOZORNĚNÍ, POKUD JE POTŘEBNÉ</w:delText>
              </w:r>
            </w:del>
          </w:p>
        </w:tc>
      </w:tr>
    </w:tbl>
    <w:p w14:paraId="72A6412B" w14:textId="77777777" w:rsidR="00073F8F" w:rsidRPr="001B4A02" w:rsidRDefault="00073F8F" w:rsidP="00ED48A3">
      <w:pPr>
        <w:rPr>
          <w:del w:id="9241" w:author="AbbVie1" w:date="2025-05-13T09:57:00Z"/>
        </w:rPr>
      </w:pPr>
    </w:p>
    <w:p w14:paraId="6F1F1484" w14:textId="77777777" w:rsidR="00073F8F" w:rsidRPr="001B4A02" w:rsidRDefault="00073F8F" w:rsidP="00ED48A3">
      <w:pPr>
        <w:rPr>
          <w:del w:id="9242"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E80472D" w14:textId="77777777">
        <w:trPr>
          <w:del w:id="9243" w:author="AbbVie1" w:date="2025-05-13T09:57:00Z"/>
        </w:trPr>
        <w:tc>
          <w:tcPr>
            <w:tcW w:w="9287" w:type="dxa"/>
          </w:tcPr>
          <w:p w14:paraId="1662FC93" w14:textId="77777777" w:rsidR="00073F8F" w:rsidRPr="001B4A02" w:rsidRDefault="00000000" w:rsidP="00ED48A3">
            <w:pPr>
              <w:tabs>
                <w:tab w:val="left" w:pos="142"/>
              </w:tabs>
              <w:rPr>
                <w:del w:id="9244" w:author="AbbVie1" w:date="2025-05-13T09:57:00Z"/>
                <w:b/>
              </w:rPr>
            </w:pPr>
            <w:del w:id="9245" w:author="AbbVie1" w:date="2025-05-13T09:57:00Z">
              <w:r w:rsidRPr="001B4A02">
                <w:rPr>
                  <w:b/>
                </w:rPr>
                <w:delText>8.</w:delText>
              </w:r>
              <w:r w:rsidRPr="001B4A02">
                <w:rPr>
                  <w:b/>
                </w:rPr>
                <w:tab/>
                <w:delText>POUŽITELNOST</w:delText>
              </w:r>
            </w:del>
          </w:p>
        </w:tc>
      </w:tr>
    </w:tbl>
    <w:p w14:paraId="4A3776E4" w14:textId="77777777" w:rsidR="00073F8F" w:rsidRPr="001B4A02" w:rsidRDefault="00073F8F" w:rsidP="00ED48A3">
      <w:pPr>
        <w:rPr>
          <w:del w:id="9246" w:author="AbbVie1" w:date="2025-05-13T09:57:00Z"/>
        </w:rPr>
      </w:pPr>
    </w:p>
    <w:p w14:paraId="4CD8F83F" w14:textId="77777777" w:rsidR="00073F8F" w:rsidRPr="001B4A02" w:rsidRDefault="00000000" w:rsidP="007F7787">
      <w:pPr>
        <w:rPr>
          <w:del w:id="9247" w:author="AbbVie1" w:date="2025-05-13T09:57:00Z"/>
        </w:rPr>
      </w:pPr>
      <w:del w:id="9248" w:author="AbbVie1" w:date="2025-05-13T09:57:00Z">
        <w:r w:rsidRPr="001B4A02">
          <w:delText xml:space="preserve">EXP </w:delText>
        </w:r>
      </w:del>
    </w:p>
    <w:p w14:paraId="3AB8668C" w14:textId="77777777" w:rsidR="00073F8F" w:rsidRPr="001B4A02" w:rsidRDefault="00073F8F" w:rsidP="00ED48A3">
      <w:pPr>
        <w:rPr>
          <w:del w:id="9249" w:author="AbbVie1" w:date="2025-05-13T09:57:00Z"/>
        </w:rPr>
      </w:pPr>
    </w:p>
    <w:p w14:paraId="4F42E4A5" w14:textId="77777777" w:rsidR="00C21CB6" w:rsidRPr="001B4A02" w:rsidRDefault="00C21CB6" w:rsidP="00ED48A3">
      <w:pPr>
        <w:rPr>
          <w:del w:id="9250"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86A7393" w14:textId="77777777">
        <w:trPr>
          <w:del w:id="9251" w:author="AbbVie1" w:date="2025-05-13T09:57:00Z"/>
        </w:trPr>
        <w:tc>
          <w:tcPr>
            <w:tcW w:w="9287" w:type="dxa"/>
          </w:tcPr>
          <w:p w14:paraId="544A7B56" w14:textId="77777777" w:rsidR="00073F8F" w:rsidRPr="001B4A02" w:rsidRDefault="00000000" w:rsidP="00ED48A3">
            <w:pPr>
              <w:keepNext/>
              <w:tabs>
                <w:tab w:val="left" w:pos="142"/>
              </w:tabs>
              <w:rPr>
                <w:del w:id="9252" w:author="AbbVie1" w:date="2025-05-13T09:57:00Z"/>
              </w:rPr>
            </w:pPr>
            <w:del w:id="9253" w:author="AbbVie1" w:date="2025-05-13T09:57:00Z">
              <w:r w:rsidRPr="001B4A02">
                <w:rPr>
                  <w:b/>
                </w:rPr>
                <w:delText>9.</w:delText>
              </w:r>
              <w:r w:rsidRPr="001B4A02">
                <w:rPr>
                  <w:b/>
                </w:rPr>
                <w:tab/>
                <w:delText>ZVLÁŠTNÍ PODMÍNKY PRO UCHOVÁVÁNÍ</w:delText>
              </w:r>
            </w:del>
          </w:p>
        </w:tc>
      </w:tr>
    </w:tbl>
    <w:p w14:paraId="36E0A65E" w14:textId="77777777" w:rsidR="00073F8F" w:rsidRPr="001B4A02" w:rsidRDefault="00073F8F" w:rsidP="00ED48A3">
      <w:pPr>
        <w:keepNext/>
        <w:ind w:left="0" w:firstLine="0"/>
        <w:rPr>
          <w:del w:id="9254" w:author="AbbVie1" w:date="2025-05-13T09:57:00Z"/>
        </w:rPr>
      </w:pPr>
    </w:p>
    <w:p w14:paraId="635B476D" w14:textId="77777777" w:rsidR="00A31F94" w:rsidRPr="001B4A02" w:rsidRDefault="00000000" w:rsidP="00ED48A3">
      <w:pPr>
        <w:keepNext/>
        <w:ind w:left="0" w:firstLine="0"/>
        <w:rPr>
          <w:del w:id="9255" w:author="AbbVie1" w:date="2025-05-13T09:57:00Z"/>
        </w:rPr>
      </w:pPr>
      <w:del w:id="9256" w:author="AbbVie1" w:date="2025-05-13T09:57:00Z">
        <w:r w:rsidRPr="001B4A02">
          <w:delText>Uchovávejte v chladničce. Chraňte před mrazem.</w:delText>
        </w:r>
      </w:del>
    </w:p>
    <w:p w14:paraId="3FD0144A" w14:textId="77777777" w:rsidR="007250BE" w:rsidRPr="001B4A02" w:rsidRDefault="00000000" w:rsidP="00ED48A3">
      <w:pPr>
        <w:keepNext/>
        <w:rPr>
          <w:del w:id="9257" w:author="AbbVie1" w:date="2025-05-13T09:57:00Z"/>
        </w:rPr>
      </w:pPr>
      <w:del w:id="9258" w:author="AbbVie1" w:date="2025-05-13T09:57:00Z">
        <w:r w:rsidRPr="001B4A02">
          <w:delText>Pro další možnosti uchovávání viz příbalov</w:delText>
        </w:r>
        <w:r w:rsidR="00DE3467">
          <w:delText>á</w:delText>
        </w:r>
        <w:r w:rsidRPr="001B4A02">
          <w:delText xml:space="preserve"> informac</w:delText>
        </w:r>
        <w:r w:rsidR="00DE3467">
          <w:delText>e</w:delText>
        </w:r>
        <w:r w:rsidRPr="001B4A02">
          <w:delText>.</w:delText>
        </w:r>
      </w:del>
    </w:p>
    <w:p w14:paraId="2CA71FBE" w14:textId="77777777" w:rsidR="007250BE" w:rsidRPr="001B4A02" w:rsidRDefault="007250BE" w:rsidP="00ED48A3">
      <w:pPr>
        <w:keepNext/>
        <w:ind w:left="0" w:firstLine="0"/>
        <w:rPr>
          <w:del w:id="9259" w:author="AbbVie1" w:date="2025-05-13T09:57:00Z"/>
        </w:rPr>
      </w:pPr>
    </w:p>
    <w:p w14:paraId="22799318" w14:textId="77777777" w:rsidR="00073F8F" w:rsidRPr="001B4A02" w:rsidRDefault="00000000" w:rsidP="00ED48A3">
      <w:pPr>
        <w:keepNext/>
        <w:rPr>
          <w:del w:id="9260" w:author="AbbVie1" w:date="2025-05-13T09:57:00Z"/>
        </w:rPr>
      </w:pPr>
      <w:del w:id="9261" w:author="AbbVie1" w:date="2025-05-13T09:57:00Z">
        <w:r w:rsidRPr="001B4A02">
          <w:delText>Uchovávejte injekční stříkačku v krabičce</w:delText>
        </w:r>
        <w:r w:rsidR="007250BE" w:rsidRPr="001B4A02">
          <w:delText>, aby byl přípravek chráněn před světlem</w:delText>
        </w:r>
        <w:r w:rsidRPr="001B4A02">
          <w:delText>.</w:delText>
        </w:r>
      </w:del>
    </w:p>
    <w:p w14:paraId="2D0CB5BE" w14:textId="77777777" w:rsidR="00073F8F" w:rsidRPr="001B4A02" w:rsidRDefault="00073F8F" w:rsidP="00ED48A3">
      <w:pPr>
        <w:keepNext/>
        <w:rPr>
          <w:del w:id="9262" w:author="AbbVie1" w:date="2025-05-13T09:57:00Z"/>
        </w:rPr>
      </w:pPr>
    </w:p>
    <w:p w14:paraId="5BA51270" w14:textId="77777777" w:rsidR="00073F8F" w:rsidRPr="001B4A02" w:rsidRDefault="00073F8F" w:rsidP="004343F9">
      <w:pPr>
        <w:rPr>
          <w:del w:id="9263"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DC47279" w14:textId="77777777">
        <w:trPr>
          <w:del w:id="9264" w:author="AbbVie1" w:date="2025-05-13T09:57:00Z"/>
        </w:trPr>
        <w:tc>
          <w:tcPr>
            <w:tcW w:w="9287" w:type="dxa"/>
          </w:tcPr>
          <w:p w14:paraId="66C1396A" w14:textId="77777777" w:rsidR="00073F8F" w:rsidRPr="001B4A02" w:rsidRDefault="00000000" w:rsidP="00ED48A3">
            <w:pPr>
              <w:tabs>
                <w:tab w:val="left" w:pos="142"/>
              </w:tabs>
              <w:rPr>
                <w:del w:id="9265" w:author="AbbVie1" w:date="2025-05-13T09:57:00Z"/>
                <w:b/>
              </w:rPr>
            </w:pPr>
            <w:del w:id="9266" w:author="AbbVie1" w:date="2025-05-13T09:57:00Z">
              <w:r w:rsidRPr="001B4A02">
                <w:rPr>
                  <w:b/>
                </w:rPr>
                <w:delText>10.</w:delText>
              </w:r>
              <w:r w:rsidRPr="001B4A02">
                <w:rPr>
                  <w:b/>
                </w:rPr>
                <w:tab/>
                <w:delText>ZVLÁŠTNÍ OPATŘENÍ PRO LIKVIDACI NEPOUŽITÝCH LÉČIVÝCH PŘÍPRAVKŮ NEBO ODPADU Z </w:delText>
              </w:r>
              <w:r w:rsidR="00DE5AC6" w:rsidRPr="001B4A02">
                <w:rPr>
                  <w:b/>
                </w:rPr>
                <w:delText>NICH</w:delText>
              </w:r>
              <w:r w:rsidRPr="001B4A02">
                <w:rPr>
                  <w:b/>
                </w:rPr>
                <w:delText>, POKUD JE TO VHODNÉ</w:delText>
              </w:r>
            </w:del>
          </w:p>
        </w:tc>
      </w:tr>
    </w:tbl>
    <w:p w14:paraId="14685311" w14:textId="77777777" w:rsidR="00073F8F" w:rsidRPr="001B4A02" w:rsidRDefault="00073F8F" w:rsidP="00ED48A3">
      <w:pPr>
        <w:rPr>
          <w:del w:id="9267" w:author="AbbVie1" w:date="2025-05-13T09:57:00Z"/>
        </w:rPr>
      </w:pPr>
    </w:p>
    <w:p w14:paraId="0147751E" w14:textId="77777777" w:rsidR="00073F8F" w:rsidRPr="001B4A02" w:rsidRDefault="00073F8F" w:rsidP="00ED48A3">
      <w:pPr>
        <w:rPr>
          <w:del w:id="9268"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A5C45E6" w14:textId="77777777">
        <w:trPr>
          <w:del w:id="9269" w:author="AbbVie1" w:date="2025-05-13T09:57:00Z"/>
        </w:trPr>
        <w:tc>
          <w:tcPr>
            <w:tcW w:w="9287" w:type="dxa"/>
          </w:tcPr>
          <w:p w14:paraId="2D64AD62" w14:textId="77777777" w:rsidR="00073F8F" w:rsidRPr="001B4A02" w:rsidRDefault="00000000" w:rsidP="00ED48A3">
            <w:pPr>
              <w:tabs>
                <w:tab w:val="left" w:pos="142"/>
              </w:tabs>
              <w:rPr>
                <w:del w:id="9270" w:author="AbbVie1" w:date="2025-05-13T09:57:00Z"/>
                <w:b/>
              </w:rPr>
            </w:pPr>
            <w:del w:id="9271" w:author="AbbVie1" w:date="2025-05-13T09:57:00Z">
              <w:r w:rsidRPr="001B4A02">
                <w:rPr>
                  <w:b/>
                </w:rPr>
                <w:delText>11.</w:delText>
              </w:r>
              <w:r w:rsidRPr="001B4A02">
                <w:rPr>
                  <w:b/>
                </w:rPr>
                <w:tab/>
                <w:delText>NÁZEV A ADRESA DRŽITELE ROZHODNUTÍ O REGISTRACI</w:delText>
              </w:r>
            </w:del>
          </w:p>
        </w:tc>
      </w:tr>
    </w:tbl>
    <w:p w14:paraId="10F23780" w14:textId="77777777" w:rsidR="00073F8F" w:rsidRPr="001B4A02" w:rsidRDefault="00073F8F" w:rsidP="00ED48A3">
      <w:pPr>
        <w:rPr>
          <w:del w:id="9272" w:author="AbbVie1" w:date="2025-05-13T09:57:00Z"/>
        </w:rPr>
      </w:pPr>
    </w:p>
    <w:p w14:paraId="3747E867" w14:textId="77777777" w:rsidR="009030A2" w:rsidRPr="001B4A02" w:rsidRDefault="00000000" w:rsidP="009030A2">
      <w:pPr>
        <w:keepNext/>
        <w:autoSpaceDE w:val="0"/>
        <w:autoSpaceDN w:val="0"/>
        <w:adjustRightInd w:val="0"/>
        <w:spacing w:line="240" w:lineRule="atLeast"/>
        <w:rPr>
          <w:del w:id="9273" w:author="AbbVie1" w:date="2025-05-13T09:57:00Z"/>
          <w:szCs w:val="22"/>
          <w:lang w:eastAsia="en-GB"/>
        </w:rPr>
      </w:pPr>
      <w:del w:id="9274" w:author="AbbVie1" w:date="2025-05-13T09:57:00Z">
        <w:r w:rsidRPr="001B4A02">
          <w:rPr>
            <w:szCs w:val="22"/>
            <w:lang w:eastAsia="en-GB"/>
          </w:rPr>
          <w:delText>AbbVie Deutschland GmbH &amp; Co. KG</w:delText>
        </w:r>
      </w:del>
    </w:p>
    <w:p w14:paraId="5CAB90C5" w14:textId="77777777" w:rsidR="009030A2" w:rsidRPr="001B4A02" w:rsidRDefault="00000000" w:rsidP="009030A2">
      <w:pPr>
        <w:keepNext/>
        <w:autoSpaceDE w:val="0"/>
        <w:autoSpaceDN w:val="0"/>
        <w:adjustRightInd w:val="0"/>
        <w:spacing w:line="240" w:lineRule="atLeast"/>
        <w:rPr>
          <w:del w:id="9275" w:author="AbbVie1" w:date="2025-05-13T09:57:00Z"/>
          <w:szCs w:val="22"/>
          <w:lang w:eastAsia="en-GB"/>
        </w:rPr>
      </w:pPr>
      <w:del w:id="9276" w:author="AbbVie1" w:date="2025-05-13T09:57:00Z">
        <w:r w:rsidRPr="001B4A02">
          <w:rPr>
            <w:szCs w:val="22"/>
            <w:lang w:eastAsia="en-GB"/>
          </w:rPr>
          <w:delText>Knollstrasse</w:delText>
        </w:r>
      </w:del>
    </w:p>
    <w:p w14:paraId="3CDDB387" w14:textId="77777777" w:rsidR="009030A2" w:rsidRPr="001B4A02" w:rsidRDefault="00000000" w:rsidP="009030A2">
      <w:pPr>
        <w:keepNext/>
        <w:autoSpaceDE w:val="0"/>
        <w:autoSpaceDN w:val="0"/>
        <w:adjustRightInd w:val="0"/>
        <w:spacing w:line="240" w:lineRule="atLeast"/>
        <w:rPr>
          <w:del w:id="9277" w:author="AbbVie1" w:date="2025-05-13T09:57:00Z"/>
          <w:szCs w:val="22"/>
          <w:lang w:eastAsia="en-GB"/>
        </w:rPr>
      </w:pPr>
      <w:del w:id="9278" w:author="AbbVie1" w:date="2025-05-13T09:57:00Z">
        <w:r w:rsidRPr="001B4A02">
          <w:rPr>
            <w:szCs w:val="22"/>
            <w:lang w:eastAsia="en-GB"/>
          </w:rPr>
          <w:delText>67061 Ludwigshafen</w:delText>
        </w:r>
      </w:del>
    </w:p>
    <w:p w14:paraId="203D1358" w14:textId="77777777" w:rsidR="00073F8F" w:rsidRPr="001B4A02" w:rsidRDefault="00000000" w:rsidP="00ED48A3">
      <w:pPr>
        <w:ind w:left="0" w:firstLine="0"/>
        <w:rPr>
          <w:del w:id="9279" w:author="AbbVie1" w:date="2025-05-13T09:57:00Z"/>
        </w:rPr>
      </w:pPr>
      <w:del w:id="9280" w:author="AbbVie1" w:date="2025-05-13T09:57:00Z">
        <w:r w:rsidRPr="001B4A02">
          <w:rPr>
            <w:szCs w:val="22"/>
            <w:lang w:eastAsia="en-GB"/>
          </w:rPr>
          <w:delText>Německo</w:delText>
        </w:r>
      </w:del>
    </w:p>
    <w:p w14:paraId="621BCD84" w14:textId="77777777" w:rsidR="00073F8F" w:rsidRPr="001B4A02" w:rsidRDefault="00073F8F" w:rsidP="00ED48A3">
      <w:pPr>
        <w:rPr>
          <w:del w:id="9281" w:author="AbbVie1" w:date="2025-05-13T09:57:00Z"/>
        </w:rPr>
      </w:pPr>
    </w:p>
    <w:p w14:paraId="5FA823C8" w14:textId="77777777" w:rsidR="003E7CE1" w:rsidRPr="001B4A02" w:rsidRDefault="003E7CE1" w:rsidP="00ED48A3">
      <w:pPr>
        <w:rPr>
          <w:del w:id="9282"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2101824" w14:textId="77777777">
        <w:trPr>
          <w:del w:id="9283" w:author="AbbVie1" w:date="2025-05-13T09:57:00Z"/>
        </w:trPr>
        <w:tc>
          <w:tcPr>
            <w:tcW w:w="9287" w:type="dxa"/>
          </w:tcPr>
          <w:p w14:paraId="50719FE6" w14:textId="77777777" w:rsidR="00073F8F" w:rsidRPr="001B4A02" w:rsidRDefault="00000000" w:rsidP="00ED48A3">
            <w:pPr>
              <w:tabs>
                <w:tab w:val="left" w:pos="142"/>
              </w:tabs>
              <w:rPr>
                <w:del w:id="9284" w:author="AbbVie1" w:date="2025-05-13T09:57:00Z"/>
                <w:b/>
              </w:rPr>
            </w:pPr>
            <w:del w:id="9285" w:author="AbbVie1" w:date="2025-05-13T09:57:00Z">
              <w:r w:rsidRPr="001B4A02">
                <w:rPr>
                  <w:b/>
                </w:rPr>
                <w:delText>12.</w:delText>
              </w:r>
              <w:r w:rsidRPr="001B4A02">
                <w:rPr>
                  <w:b/>
                </w:rPr>
                <w:tab/>
                <w:delText>REGISTRAČNÍ ČÍSLO</w:delText>
              </w:r>
            </w:del>
          </w:p>
        </w:tc>
      </w:tr>
    </w:tbl>
    <w:p w14:paraId="2E7AF1E6" w14:textId="77777777" w:rsidR="00073F8F" w:rsidRPr="001B4A02" w:rsidRDefault="00073F8F" w:rsidP="00ED48A3">
      <w:pPr>
        <w:rPr>
          <w:del w:id="9286" w:author="AbbVie1" w:date="2025-05-13T09:57:00Z"/>
        </w:rPr>
      </w:pPr>
    </w:p>
    <w:p w14:paraId="3D9ECFB5" w14:textId="77777777" w:rsidR="00073F8F" w:rsidRPr="001B4A02" w:rsidRDefault="00000000" w:rsidP="007F7787">
      <w:pPr>
        <w:rPr>
          <w:del w:id="9287" w:author="AbbVie1" w:date="2025-05-13T09:57:00Z"/>
        </w:rPr>
      </w:pPr>
      <w:del w:id="9288" w:author="AbbVie1" w:date="2025-05-13T09:57:00Z">
        <w:r w:rsidRPr="001B4A02">
          <w:delText>EU/1/03/256/006</w:delText>
        </w:r>
      </w:del>
    </w:p>
    <w:p w14:paraId="109333B7" w14:textId="77777777" w:rsidR="00073F8F" w:rsidRPr="001B4A02" w:rsidRDefault="00073F8F" w:rsidP="00ED48A3">
      <w:pPr>
        <w:rPr>
          <w:del w:id="9289" w:author="AbbVie1" w:date="2025-05-13T09:57:00Z"/>
        </w:rPr>
      </w:pPr>
    </w:p>
    <w:p w14:paraId="7A33A89A" w14:textId="77777777" w:rsidR="00073F8F" w:rsidRPr="001B4A02" w:rsidRDefault="00073F8F" w:rsidP="00ED48A3">
      <w:pPr>
        <w:rPr>
          <w:del w:id="9290"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E7D9DD5" w14:textId="77777777">
        <w:trPr>
          <w:del w:id="9291" w:author="AbbVie1" w:date="2025-05-13T09:57:00Z"/>
        </w:trPr>
        <w:tc>
          <w:tcPr>
            <w:tcW w:w="9287" w:type="dxa"/>
          </w:tcPr>
          <w:p w14:paraId="2AD813D5" w14:textId="77777777" w:rsidR="00073F8F" w:rsidRPr="001B4A02" w:rsidRDefault="00000000" w:rsidP="00ED48A3">
            <w:pPr>
              <w:tabs>
                <w:tab w:val="left" w:pos="142"/>
              </w:tabs>
              <w:rPr>
                <w:del w:id="9292" w:author="AbbVie1" w:date="2025-05-13T09:57:00Z"/>
                <w:b/>
              </w:rPr>
            </w:pPr>
            <w:del w:id="9293" w:author="AbbVie1" w:date="2025-05-13T09:57:00Z">
              <w:r w:rsidRPr="001B4A02">
                <w:rPr>
                  <w:b/>
                </w:rPr>
                <w:delText>13.</w:delText>
              </w:r>
              <w:r w:rsidRPr="001B4A02">
                <w:rPr>
                  <w:b/>
                </w:rPr>
                <w:tab/>
                <w:delText>ČÍSLO ŠARŽE</w:delText>
              </w:r>
            </w:del>
          </w:p>
        </w:tc>
      </w:tr>
    </w:tbl>
    <w:p w14:paraId="741CCAD8" w14:textId="77777777" w:rsidR="00073F8F" w:rsidRPr="001B4A02" w:rsidRDefault="00073F8F" w:rsidP="00ED48A3">
      <w:pPr>
        <w:rPr>
          <w:del w:id="9294" w:author="AbbVie1" w:date="2025-05-13T09:57:00Z"/>
        </w:rPr>
      </w:pPr>
    </w:p>
    <w:p w14:paraId="0F9EB1D7" w14:textId="77777777" w:rsidR="00073F8F" w:rsidRPr="001B4A02" w:rsidRDefault="00000000" w:rsidP="00ED48A3">
      <w:pPr>
        <w:rPr>
          <w:del w:id="9295" w:author="AbbVie1" w:date="2025-05-13T09:57:00Z"/>
        </w:rPr>
      </w:pPr>
      <w:del w:id="9296" w:author="AbbVie1" w:date="2025-05-13T09:57:00Z">
        <w:r w:rsidRPr="001B4A02">
          <w:delText>Č. šarže</w:delText>
        </w:r>
      </w:del>
    </w:p>
    <w:p w14:paraId="561931D6" w14:textId="77777777" w:rsidR="00073F8F" w:rsidRPr="001B4A02" w:rsidRDefault="00073F8F" w:rsidP="00ED48A3">
      <w:pPr>
        <w:rPr>
          <w:del w:id="9297" w:author="AbbVie1" w:date="2025-05-13T09:57:00Z"/>
        </w:rPr>
      </w:pPr>
    </w:p>
    <w:p w14:paraId="1F99C971" w14:textId="77777777" w:rsidR="00073F8F" w:rsidRPr="001B4A02" w:rsidRDefault="00073F8F" w:rsidP="00ED48A3">
      <w:pPr>
        <w:rPr>
          <w:del w:id="9298"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EDA8C43" w14:textId="77777777">
        <w:trPr>
          <w:del w:id="9299" w:author="AbbVie1" w:date="2025-05-13T09:57:00Z"/>
        </w:trPr>
        <w:tc>
          <w:tcPr>
            <w:tcW w:w="9287" w:type="dxa"/>
          </w:tcPr>
          <w:p w14:paraId="69D1C0B3" w14:textId="77777777" w:rsidR="00073F8F" w:rsidRPr="001B4A02" w:rsidRDefault="00000000" w:rsidP="00ED48A3">
            <w:pPr>
              <w:tabs>
                <w:tab w:val="left" w:pos="142"/>
              </w:tabs>
              <w:rPr>
                <w:del w:id="9300" w:author="AbbVie1" w:date="2025-05-13T09:57:00Z"/>
                <w:b/>
              </w:rPr>
            </w:pPr>
            <w:del w:id="9301" w:author="AbbVie1" w:date="2025-05-13T09:57:00Z">
              <w:r w:rsidRPr="001B4A02">
                <w:rPr>
                  <w:b/>
                </w:rPr>
                <w:delText>14.</w:delText>
              </w:r>
              <w:r w:rsidRPr="001B4A02">
                <w:rPr>
                  <w:b/>
                </w:rPr>
                <w:tab/>
                <w:delText>KLASIFIKACE PRO VÝDEJ</w:delText>
              </w:r>
            </w:del>
          </w:p>
        </w:tc>
      </w:tr>
    </w:tbl>
    <w:p w14:paraId="1143BC23" w14:textId="77777777" w:rsidR="00073F8F" w:rsidRPr="001B4A02" w:rsidRDefault="00073F8F" w:rsidP="00ED48A3">
      <w:pPr>
        <w:ind w:left="0" w:firstLine="0"/>
        <w:rPr>
          <w:del w:id="9302" w:author="AbbVie1" w:date="2025-05-13T09:57:00Z"/>
        </w:rPr>
      </w:pPr>
    </w:p>
    <w:p w14:paraId="6E953D5D" w14:textId="77777777" w:rsidR="00073F8F" w:rsidRPr="001B4A02" w:rsidRDefault="00073F8F" w:rsidP="00ED48A3">
      <w:pPr>
        <w:rPr>
          <w:del w:id="9303"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675019F" w14:textId="77777777">
        <w:trPr>
          <w:del w:id="9304" w:author="AbbVie1" w:date="2025-05-13T09:57:00Z"/>
        </w:trPr>
        <w:tc>
          <w:tcPr>
            <w:tcW w:w="9287" w:type="dxa"/>
          </w:tcPr>
          <w:p w14:paraId="6E6010E5" w14:textId="77777777" w:rsidR="00073F8F" w:rsidRPr="001B4A02" w:rsidRDefault="00000000" w:rsidP="00ED48A3">
            <w:pPr>
              <w:tabs>
                <w:tab w:val="left" w:pos="142"/>
              </w:tabs>
              <w:rPr>
                <w:del w:id="9305" w:author="AbbVie1" w:date="2025-05-13T09:57:00Z"/>
                <w:b/>
              </w:rPr>
            </w:pPr>
            <w:del w:id="9306" w:author="AbbVie1" w:date="2025-05-13T09:57:00Z">
              <w:r w:rsidRPr="001B4A02">
                <w:rPr>
                  <w:b/>
                </w:rPr>
                <w:delText>15.</w:delText>
              </w:r>
              <w:r w:rsidRPr="001B4A02">
                <w:rPr>
                  <w:b/>
                </w:rPr>
                <w:tab/>
                <w:delText>NÁVOD K POUŽITÍ</w:delText>
              </w:r>
            </w:del>
          </w:p>
        </w:tc>
      </w:tr>
    </w:tbl>
    <w:p w14:paraId="01CC2847" w14:textId="77777777" w:rsidR="00073F8F" w:rsidRPr="001B4A02" w:rsidRDefault="00073F8F" w:rsidP="00ED48A3">
      <w:pPr>
        <w:rPr>
          <w:del w:id="9307" w:author="AbbVie1" w:date="2025-05-13T09:57:00Z"/>
          <w:u w:val="single"/>
        </w:rPr>
      </w:pPr>
    </w:p>
    <w:p w14:paraId="1031D47B" w14:textId="77777777" w:rsidR="00073F8F" w:rsidRPr="001B4A02" w:rsidRDefault="00073F8F" w:rsidP="00ED48A3">
      <w:pPr>
        <w:rPr>
          <w:del w:id="9308" w:author="AbbVie1" w:date="2025-05-13T09:57:00Z"/>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4B251CC" w14:textId="77777777">
        <w:trPr>
          <w:del w:id="9309" w:author="AbbVie1" w:date="2025-05-13T09:57:00Z"/>
        </w:trPr>
        <w:tc>
          <w:tcPr>
            <w:tcW w:w="9287" w:type="dxa"/>
          </w:tcPr>
          <w:p w14:paraId="62B13E5D" w14:textId="77777777" w:rsidR="00073F8F" w:rsidRPr="001B4A02" w:rsidRDefault="00000000" w:rsidP="00ED48A3">
            <w:pPr>
              <w:tabs>
                <w:tab w:val="left" w:pos="142"/>
              </w:tabs>
              <w:rPr>
                <w:del w:id="9310" w:author="AbbVie1" w:date="2025-05-13T09:57:00Z"/>
                <w:b/>
              </w:rPr>
            </w:pPr>
            <w:del w:id="9311" w:author="AbbVie1" w:date="2025-05-13T09:57:00Z">
              <w:r w:rsidRPr="001B4A02">
                <w:rPr>
                  <w:b/>
                </w:rPr>
                <w:delText>16.</w:delText>
              </w:r>
              <w:r w:rsidRPr="001B4A02">
                <w:rPr>
                  <w:b/>
                </w:rPr>
                <w:tab/>
                <w:delText>INFORMACE V BRAILLOVĚ PÍSMU</w:delText>
              </w:r>
            </w:del>
          </w:p>
        </w:tc>
      </w:tr>
    </w:tbl>
    <w:p w14:paraId="07F8DB0D" w14:textId="77777777" w:rsidR="00073F8F" w:rsidRPr="001B4A02" w:rsidRDefault="00073F8F" w:rsidP="00ED48A3">
      <w:pPr>
        <w:rPr>
          <w:del w:id="9312" w:author="AbbVie1" w:date="2025-05-13T09:57:00Z"/>
          <w:u w:val="single"/>
        </w:rPr>
      </w:pPr>
    </w:p>
    <w:p w14:paraId="70F83053" w14:textId="77777777" w:rsidR="00073F8F" w:rsidRPr="001B4A02" w:rsidRDefault="00000000" w:rsidP="00ED48A3">
      <w:pPr>
        <w:rPr>
          <w:del w:id="9313" w:author="AbbVie1" w:date="2025-05-13T09:57:00Z"/>
        </w:rPr>
      </w:pPr>
      <w:del w:id="9314" w:author="AbbVie1" w:date="2025-05-13T09:57:00Z">
        <w:r w:rsidRPr="001B4A02">
          <w:delText>Humira 40 mg</w:delText>
        </w:r>
      </w:del>
    </w:p>
    <w:p w14:paraId="7C62DF9A" w14:textId="77777777" w:rsidR="00073F8F" w:rsidRPr="001B4A02" w:rsidRDefault="00073F8F" w:rsidP="00ED48A3">
      <w:pPr>
        <w:rPr>
          <w:del w:id="9315" w:author="AbbVie1" w:date="2025-05-13T09:57:00Z"/>
          <w:u w:val="single"/>
        </w:rPr>
      </w:pPr>
    </w:p>
    <w:p w14:paraId="78291618" w14:textId="77777777" w:rsidR="00073F8F" w:rsidRPr="001B4A02" w:rsidRDefault="00073F8F" w:rsidP="00ED48A3">
      <w:pPr>
        <w:rPr>
          <w:del w:id="9316" w:author="AbbVie1" w:date="2025-05-13T09:57:00Z"/>
          <w:u w:val="single"/>
        </w:rPr>
      </w:pPr>
    </w:p>
    <w:p w14:paraId="5B41A05C" w14:textId="77777777" w:rsidR="00400D97" w:rsidRPr="001B4A02" w:rsidRDefault="00000000" w:rsidP="00ED48A3">
      <w:pPr>
        <w:pStyle w:val="EMEAHeadingBoxedTitle"/>
        <w:ind w:left="0" w:firstLine="0"/>
        <w:rPr>
          <w:del w:id="9317" w:author="AbbVie1" w:date="2025-05-13T09:57:00Z"/>
          <w:rFonts w:ascii="Times New Roman" w:hAnsi="Times New Roman"/>
          <w:b/>
          <w:bCs/>
          <w:lang w:val="cs-CZ"/>
        </w:rPr>
      </w:pPr>
      <w:del w:id="9318" w:author="AbbVie1" w:date="2025-05-13T09:57:00Z">
        <w:r w:rsidRPr="001B4A02">
          <w:rPr>
            <w:rFonts w:ascii="Times New Roman" w:hAnsi="Times New Roman"/>
            <w:b/>
            <w:bCs/>
            <w:lang w:val="cs-CZ"/>
          </w:rPr>
          <w:delText>17.</w:delText>
        </w:r>
        <w:r w:rsidRPr="001B4A02">
          <w:rPr>
            <w:rFonts w:ascii="Times New Roman" w:hAnsi="Times New Roman"/>
            <w:b/>
            <w:bCs/>
            <w:lang w:val="cs-CZ"/>
          </w:rPr>
          <w:tab/>
          <w:delText xml:space="preserve">JEDINEČNÝ IDENTIFIKÁTOR – 2D ČÁROVÝ KÓD </w:delText>
        </w:r>
      </w:del>
    </w:p>
    <w:p w14:paraId="7FB1DD2F" w14:textId="77777777" w:rsidR="00400D97" w:rsidRPr="001B4A02" w:rsidRDefault="00400D97" w:rsidP="00ED48A3">
      <w:pPr>
        <w:rPr>
          <w:del w:id="9319" w:author="AbbVie1" w:date="2025-05-13T09:57:00Z"/>
        </w:rPr>
      </w:pPr>
    </w:p>
    <w:p w14:paraId="657F4643" w14:textId="77777777" w:rsidR="00400D97" w:rsidRPr="001B4A02" w:rsidRDefault="00000000" w:rsidP="00ED48A3">
      <w:pPr>
        <w:rPr>
          <w:del w:id="9320" w:author="AbbVie1" w:date="2025-05-13T09:57:00Z"/>
          <w:shd w:val="clear" w:color="auto" w:fill="BFBFBF"/>
        </w:rPr>
      </w:pPr>
      <w:del w:id="9321" w:author="AbbVie1" w:date="2025-05-13T09:57:00Z">
        <w:r w:rsidRPr="001B4A02">
          <w:rPr>
            <w:shd w:val="clear" w:color="auto" w:fill="BFBFBF"/>
          </w:rPr>
          <w:delText>2D čárový kód s jedinečným identifikátorem.</w:delText>
        </w:r>
      </w:del>
    </w:p>
    <w:p w14:paraId="5EB771A6" w14:textId="77777777" w:rsidR="00400D97" w:rsidRPr="001B4A02" w:rsidRDefault="00400D97" w:rsidP="00ED48A3">
      <w:pPr>
        <w:rPr>
          <w:del w:id="9322" w:author="AbbVie1" w:date="2025-05-13T09:57:00Z"/>
          <w:shd w:val="clear" w:color="auto" w:fill="BFBFBF"/>
        </w:rPr>
      </w:pPr>
    </w:p>
    <w:p w14:paraId="3E8FCA11" w14:textId="77777777" w:rsidR="00400D97" w:rsidRPr="001B4A02" w:rsidRDefault="00400D97" w:rsidP="00ED48A3">
      <w:pPr>
        <w:rPr>
          <w:del w:id="9323" w:author="AbbVie1" w:date="2025-05-13T09:57:00Z"/>
        </w:rPr>
      </w:pPr>
    </w:p>
    <w:p w14:paraId="2D47C312" w14:textId="77777777" w:rsidR="00400D97" w:rsidRPr="001B4A02" w:rsidRDefault="00000000" w:rsidP="00ED48A3">
      <w:pPr>
        <w:pStyle w:val="EMEAHeadingBoxedTitle"/>
        <w:keepNext/>
        <w:ind w:left="0" w:firstLine="0"/>
        <w:rPr>
          <w:del w:id="9324" w:author="AbbVie1" w:date="2025-05-13T09:57:00Z"/>
          <w:rFonts w:ascii="Times New Roman" w:hAnsi="Times New Roman"/>
          <w:lang w:val="cs-CZ"/>
        </w:rPr>
      </w:pPr>
      <w:del w:id="9325" w:author="AbbVie1" w:date="2025-05-13T09:57:00Z">
        <w:r w:rsidRPr="001B4A02">
          <w:rPr>
            <w:rFonts w:ascii="Times New Roman" w:hAnsi="Times New Roman"/>
            <w:b/>
            <w:bCs/>
            <w:lang w:val="cs-CZ"/>
          </w:rPr>
          <w:delText>18.</w:delText>
        </w:r>
        <w:r w:rsidRPr="001B4A02">
          <w:rPr>
            <w:rFonts w:ascii="Times New Roman" w:hAnsi="Times New Roman"/>
            <w:b/>
            <w:bCs/>
            <w:lang w:val="cs-CZ"/>
          </w:rPr>
          <w:tab/>
          <w:delText>JEDINEČNÝ IDENTIFIKÁTOR – DATA ČITELNÁ OKEM</w:delText>
        </w:r>
      </w:del>
    </w:p>
    <w:p w14:paraId="35135BA9" w14:textId="77777777" w:rsidR="00400D97" w:rsidRPr="001B4A02" w:rsidRDefault="00400D97" w:rsidP="00ED48A3">
      <w:pPr>
        <w:keepNext/>
        <w:ind w:left="540" w:hanging="540"/>
        <w:rPr>
          <w:del w:id="9326" w:author="AbbVie1" w:date="2025-05-13T09:57:00Z"/>
        </w:rPr>
      </w:pPr>
    </w:p>
    <w:p w14:paraId="42B03F3B" w14:textId="77777777" w:rsidR="00400D97" w:rsidRPr="001B4A02" w:rsidRDefault="00000000" w:rsidP="00ED48A3">
      <w:pPr>
        <w:keepNext/>
        <w:ind w:left="540" w:hanging="540"/>
        <w:rPr>
          <w:del w:id="9327" w:author="AbbVie1" w:date="2025-05-13T09:57:00Z"/>
        </w:rPr>
      </w:pPr>
      <w:del w:id="9328" w:author="AbbVie1" w:date="2025-05-13T09:57:00Z">
        <w:r w:rsidRPr="001B4A02">
          <w:delText>PC</w:delText>
        </w:r>
      </w:del>
    </w:p>
    <w:p w14:paraId="7E76964B" w14:textId="77777777" w:rsidR="00400D97" w:rsidRPr="001B4A02" w:rsidRDefault="00000000" w:rsidP="00ED48A3">
      <w:pPr>
        <w:keepNext/>
        <w:ind w:left="540" w:hanging="540"/>
        <w:rPr>
          <w:del w:id="9329" w:author="AbbVie1" w:date="2025-05-13T09:57:00Z"/>
        </w:rPr>
      </w:pPr>
      <w:del w:id="9330" w:author="AbbVie1" w:date="2025-05-13T09:57:00Z">
        <w:r w:rsidRPr="001B4A02">
          <w:delText>SN</w:delText>
        </w:r>
      </w:del>
    </w:p>
    <w:p w14:paraId="2670AF9D" w14:textId="77777777" w:rsidR="00400D97" w:rsidRPr="001B4A02" w:rsidRDefault="00000000" w:rsidP="004343F9">
      <w:pPr>
        <w:ind w:left="539" w:hanging="539"/>
        <w:rPr>
          <w:del w:id="9331" w:author="AbbVie1" w:date="2025-05-13T09:57:00Z"/>
        </w:rPr>
      </w:pPr>
      <w:del w:id="9332" w:author="AbbVie1" w:date="2025-05-13T09:57:00Z">
        <w:r w:rsidRPr="00BA0A72">
          <w:rPr>
            <w:highlight w:val="lightGray"/>
          </w:rPr>
          <w:delText>NN</w:delText>
        </w:r>
      </w:del>
    </w:p>
    <w:p w14:paraId="4C0DD0F5" w14:textId="77777777" w:rsidR="00400D97" w:rsidRPr="001B4A02" w:rsidRDefault="00400D97" w:rsidP="00ED48A3">
      <w:pPr>
        <w:rPr>
          <w:del w:id="9333" w:author="AbbVie1" w:date="2025-05-13T09:57:00Z"/>
        </w:rPr>
      </w:pPr>
    </w:p>
    <w:p w14:paraId="49162650" w14:textId="77777777" w:rsidR="00073F8F" w:rsidRPr="001B4A02" w:rsidRDefault="00000000" w:rsidP="00ED48A3">
      <w:pPr>
        <w:rPr>
          <w:del w:id="9334" w:author="AbbVie1" w:date="2025-05-13T09:57:00Z"/>
        </w:rPr>
      </w:pPr>
      <w:del w:id="9335" w:author="AbbVie1" w:date="2025-05-13T09:57:00Z">
        <w:r w:rsidRPr="001B4A02">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D7F30B8" w14:textId="77777777">
        <w:trPr>
          <w:del w:id="9336" w:author="AbbVie1" w:date="2025-05-13T09:57:00Z"/>
        </w:trPr>
        <w:tc>
          <w:tcPr>
            <w:tcW w:w="9287" w:type="dxa"/>
          </w:tcPr>
          <w:p w14:paraId="71C8A6B2" w14:textId="77777777" w:rsidR="00073F8F" w:rsidRPr="001B4A02" w:rsidRDefault="00000000" w:rsidP="00ED48A3">
            <w:pPr>
              <w:rPr>
                <w:del w:id="9337" w:author="AbbVie1" w:date="2025-05-13T09:57:00Z"/>
                <w:b/>
              </w:rPr>
            </w:pPr>
            <w:del w:id="9338" w:author="AbbVie1" w:date="2025-05-13T09:57:00Z">
              <w:r w:rsidRPr="001B4A02">
                <w:rPr>
                  <w:b/>
                  <w:u w:val="single"/>
                </w:rPr>
                <w:br w:type="page"/>
              </w:r>
              <w:r w:rsidRPr="001B4A02">
                <w:rPr>
                  <w:b/>
                </w:rPr>
                <w:delText>MINIMÁLNÍ ÚDAJE UVÁDĚNÉ NA BLISTRECH NEBO STRIPECH</w:delText>
              </w:r>
            </w:del>
          </w:p>
          <w:p w14:paraId="39B0007D" w14:textId="77777777" w:rsidR="00073F8F" w:rsidRPr="001B4A02" w:rsidRDefault="00073F8F" w:rsidP="00ED48A3">
            <w:pPr>
              <w:rPr>
                <w:del w:id="9339" w:author="AbbVie1" w:date="2025-05-13T09:57:00Z"/>
                <w:b/>
              </w:rPr>
            </w:pPr>
          </w:p>
          <w:p w14:paraId="300F7EC6" w14:textId="77777777" w:rsidR="00073F8F" w:rsidRPr="001B4A02" w:rsidRDefault="00000000" w:rsidP="00ED48A3">
            <w:pPr>
              <w:rPr>
                <w:del w:id="9340" w:author="AbbVie1" w:date="2025-05-13T09:57:00Z"/>
                <w:b/>
                <w:caps/>
              </w:rPr>
            </w:pPr>
            <w:del w:id="9341" w:author="AbbVie1" w:date="2025-05-13T09:57:00Z">
              <w:r w:rsidRPr="001B4A02">
                <w:rPr>
                  <w:b/>
                  <w:caps/>
                </w:rPr>
                <w:delText>Blistr</w:delText>
              </w:r>
            </w:del>
          </w:p>
        </w:tc>
      </w:tr>
    </w:tbl>
    <w:p w14:paraId="737CE4EC" w14:textId="77777777" w:rsidR="00073F8F" w:rsidRPr="001B4A02" w:rsidRDefault="00073F8F" w:rsidP="00ED48A3">
      <w:pPr>
        <w:rPr>
          <w:del w:id="9342" w:author="AbbVie1" w:date="2025-05-13T09:57:00Z"/>
        </w:rPr>
      </w:pPr>
    </w:p>
    <w:p w14:paraId="19672906" w14:textId="77777777" w:rsidR="00073F8F" w:rsidRPr="001B4A02" w:rsidRDefault="00073F8F" w:rsidP="00ED48A3">
      <w:pPr>
        <w:rPr>
          <w:del w:id="9343"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70DB953" w14:textId="77777777">
        <w:trPr>
          <w:del w:id="9344" w:author="AbbVie1" w:date="2025-05-13T09:57:00Z"/>
        </w:trPr>
        <w:tc>
          <w:tcPr>
            <w:tcW w:w="9287" w:type="dxa"/>
          </w:tcPr>
          <w:p w14:paraId="259D8540" w14:textId="77777777" w:rsidR="00073F8F" w:rsidRPr="001B4A02" w:rsidRDefault="00000000" w:rsidP="00ED48A3">
            <w:pPr>
              <w:tabs>
                <w:tab w:val="left" w:pos="142"/>
              </w:tabs>
              <w:rPr>
                <w:del w:id="9345" w:author="AbbVie1" w:date="2025-05-13T09:57:00Z"/>
                <w:b/>
              </w:rPr>
            </w:pPr>
            <w:del w:id="9346" w:author="AbbVie1" w:date="2025-05-13T09:57:00Z">
              <w:r w:rsidRPr="001B4A02">
                <w:rPr>
                  <w:b/>
                </w:rPr>
                <w:delText>1.</w:delText>
              </w:r>
              <w:r w:rsidRPr="001B4A02">
                <w:rPr>
                  <w:b/>
                </w:rPr>
                <w:tab/>
                <w:delText>NÁZEV LÉČIVÉHO PŘÍPRAVKU</w:delText>
              </w:r>
            </w:del>
          </w:p>
        </w:tc>
      </w:tr>
    </w:tbl>
    <w:p w14:paraId="548B6D28" w14:textId="77777777" w:rsidR="00073F8F" w:rsidRPr="001B4A02" w:rsidRDefault="00073F8F" w:rsidP="00ED48A3">
      <w:pPr>
        <w:rPr>
          <w:del w:id="9347" w:author="AbbVie1" w:date="2025-05-13T09:57:00Z"/>
        </w:rPr>
      </w:pPr>
    </w:p>
    <w:p w14:paraId="03E786BB" w14:textId="77777777" w:rsidR="00073F8F" w:rsidRPr="001B4A02" w:rsidRDefault="00000000" w:rsidP="00ED48A3">
      <w:pPr>
        <w:rPr>
          <w:del w:id="9348" w:author="AbbVie1" w:date="2025-05-13T09:57:00Z"/>
        </w:rPr>
      </w:pPr>
      <w:del w:id="9349" w:author="AbbVie1" w:date="2025-05-13T09:57:00Z">
        <w:r w:rsidRPr="001B4A02">
          <w:delText xml:space="preserve">Humira 40 mg injekční roztok v předplněné injekční stříkačce </w:delText>
        </w:r>
      </w:del>
    </w:p>
    <w:p w14:paraId="64285653" w14:textId="77777777" w:rsidR="00073F8F" w:rsidRPr="001B4A02" w:rsidRDefault="00000000" w:rsidP="00ED48A3">
      <w:pPr>
        <w:rPr>
          <w:del w:id="9350" w:author="AbbVie1" w:date="2025-05-13T09:57:00Z"/>
        </w:rPr>
      </w:pPr>
      <w:del w:id="9351" w:author="AbbVie1" w:date="2025-05-13T09:57:00Z">
        <w:r w:rsidRPr="001B4A02">
          <w:delText>adalimumabum</w:delText>
        </w:r>
      </w:del>
    </w:p>
    <w:p w14:paraId="7A84964D" w14:textId="77777777" w:rsidR="00073F8F" w:rsidRPr="001B4A02" w:rsidRDefault="00073F8F" w:rsidP="00ED48A3">
      <w:pPr>
        <w:rPr>
          <w:del w:id="9352" w:author="AbbVie1" w:date="2025-05-13T09:57:00Z"/>
        </w:rPr>
      </w:pPr>
    </w:p>
    <w:p w14:paraId="4B86F43E" w14:textId="77777777" w:rsidR="00073F8F" w:rsidRPr="001B4A02" w:rsidRDefault="00073F8F" w:rsidP="00ED48A3">
      <w:pPr>
        <w:rPr>
          <w:del w:id="9353"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94F0A29" w14:textId="77777777">
        <w:trPr>
          <w:del w:id="9354" w:author="AbbVie1" w:date="2025-05-13T09:57:00Z"/>
        </w:trPr>
        <w:tc>
          <w:tcPr>
            <w:tcW w:w="9287" w:type="dxa"/>
          </w:tcPr>
          <w:p w14:paraId="1354DA80" w14:textId="77777777" w:rsidR="00073F8F" w:rsidRPr="001B4A02" w:rsidRDefault="00000000" w:rsidP="00ED48A3">
            <w:pPr>
              <w:tabs>
                <w:tab w:val="left" w:pos="142"/>
              </w:tabs>
              <w:rPr>
                <w:del w:id="9355" w:author="AbbVie1" w:date="2025-05-13T09:57:00Z"/>
                <w:b/>
              </w:rPr>
            </w:pPr>
            <w:del w:id="9356" w:author="AbbVie1" w:date="2025-05-13T09:57:00Z">
              <w:r w:rsidRPr="001B4A02">
                <w:rPr>
                  <w:b/>
                </w:rPr>
                <w:delText>2.</w:delText>
              </w:r>
              <w:r w:rsidRPr="001B4A02">
                <w:rPr>
                  <w:b/>
                </w:rPr>
                <w:tab/>
                <w:delText>NÁZEV DRŽITELE ROZHODNUTÍ O REGISTRACI</w:delText>
              </w:r>
            </w:del>
          </w:p>
        </w:tc>
      </w:tr>
    </w:tbl>
    <w:p w14:paraId="2845A070" w14:textId="77777777" w:rsidR="00073F8F" w:rsidRPr="001B4A02" w:rsidRDefault="00073F8F" w:rsidP="00ED48A3">
      <w:pPr>
        <w:rPr>
          <w:del w:id="9357" w:author="AbbVie1" w:date="2025-05-13T09:57:00Z"/>
        </w:rPr>
      </w:pPr>
    </w:p>
    <w:p w14:paraId="12289E7D" w14:textId="77777777" w:rsidR="00073F8F" w:rsidRPr="001B4A02" w:rsidRDefault="00000000" w:rsidP="00ED48A3">
      <w:pPr>
        <w:rPr>
          <w:del w:id="9358" w:author="AbbVie1" w:date="2025-05-13T09:57:00Z"/>
        </w:rPr>
      </w:pPr>
      <w:del w:id="9359" w:author="AbbVie1" w:date="2025-05-13T09:57:00Z">
        <w:r w:rsidRPr="001B4A02">
          <w:delText>AbbVie</w:delText>
        </w:r>
        <w:r w:rsidR="00012C3F" w:rsidRPr="001B4A02">
          <w:delText xml:space="preserve"> </w:delText>
        </w:r>
        <w:r w:rsidR="00012C3F" w:rsidRPr="001B4A02">
          <w:rPr>
            <w:highlight w:val="lightGray"/>
          </w:rPr>
          <w:delText>(logo)</w:delText>
        </w:r>
      </w:del>
    </w:p>
    <w:p w14:paraId="3B54E4EC" w14:textId="77777777" w:rsidR="00073F8F" w:rsidRPr="001B4A02" w:rsidRDefault="00073F8F" w:rsidP="00ED48A3">
      <w:pPr>
        <w:rPr>
          <w:del w:id="9360" w:author="AbbVie1" w:date="2025-05-13T09:57:00Z"/>
        </w:rPr>
      </w:pPr>
    </w:p>
    <w:p w14:paraId="42DEFE76" w14:textId="77777777" w:rsidR="00073F8F" w:rsidRPr="001B4A02" w:rsidRDefault="00073F8F" w:rsidP="00ED48A3">
      <w:pPr>
        <w:rPr>
          <w:del w:id="9361"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20AC76E" w14:textId="77777777">
        <w:trPr>
          <w:del w:id="9362" w:author="AbbVie1" w:date="2025-05-13T09:57:00Z"/>
        </w:trPr>
        <w:tc>
          <w:tcPr>
            <w:tcW w:w="9287" w:type="dxa"/>
          </w:tcPr>
          <w:p w14:paraId="7FD4CEB4" w14:textId="77777777" w:rsidR="00073F8F" w:rsidRPr="001B4A02" w:rsidRDefault="00000000" w:rsidP="00ED48A3">
            <w:pPr>
              <w:tabs>
                <w:tab w:val="left" w:pos="142"/>
              </w:tabs>
              <w:rPr>
                <w:del w:id="9363" w:author="AbbVie1" w:date="2025-05-13T09:57:00Z"/>
                <w:b/>
              </w:rPr>
            </w:pPr>
            <w:del w:id="9364" w:author="AbbVie1" w:date="2025-05-13T09:57:00Z">
              <w:r w:rsidRPr="001B4A02">
                <w:rPr>
                  <w:b/>
                </w:rPr>
                <w:delText>3.</w:delText>
              </w:r>
              <w:r w:rsidRPr="001B4A02">
                <w:rPr>
                  <w:b/>
                </w:rPr>
                <w:tab/>
                <w:delText>POUŽITELNOST</w:delText>
              </w:r>
            </w:del>
          </w:p>
        </w:tc>
      </w:tr>
    </w:tbl>
    <w:p w14:paraId="12917A24" w14:textId="77777777" w:rsidR="00073F8F" w:rsidRPr="001B4A02" w:rsidRDefault="00073F8F" w:rsidP="00ED48A3">
      <w:pPr>
        <w:rPr>
          <w:del w:id="9365" w:author="AbbVie1" w:date="2025-05-13T09:57:00Z"/>
        </w:rPr>
      </w:pPr>
    </w:p>
    <w:p w14:paraId="72076CE0" w14:textId="77777777" w:rsidR="00073F8F" w:rsidRPr="001B4A02" w:rsidRDefault="00000000" w:rsidP="00ED48A3">
      <w:pPr>
        <w:rPr>
          <w:del w:id="9366" w:author="AbbVie1" w:date="2025-05-13T09:57:00Z"/>
        </w:rPr>
      </w:pPr>
      <w:del w:id="9367" w:author="AbbVie1" w:date="2025-05-13T09:57:00Z">
        <w:r w:rsidRPr="001B4A02">
          <w:delText xml:space="preserve">EXP </w:delText>
        </w:r>
      </w:del>
    </w:p>
    <w:p w14:paraId="21E8B740" w14:textId="77777777" w:rsidR="00073F8F" w:rsidRPr="001B4A02" w:rsidRDefault="00073F8F" w:rsidP="00ED48A3">
      <w:pPr>
        <w:rPr>
          <w:del w:id="9368" w:author="AbbVie1" w:date="2025-05-13T09:57:00Z"/>
        </w:rPr>
      </w:pPr>
    </w:p>
    <w:p w14:paraId="77CADF0C" w14:textId="77777777" w:rsidR="00073F8F" w:rsidRPr="001B4A02" w:rsidRDefault="00073F8F" w:rsidP="00ED48A3">
      <w:pPr>
        <w:rPr>
          <w:del w:id="9369"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8C1ECF5" w14:textId="77777777">
        <w:trPr>
          <w:del w:id="9370" w:author="AbbVie1" w:date="2025-05-13T09:57:00Z"/>
        </w:trPr>
        <w:tc>
          <w:tcPr>
            <w:tcW w:w="9287" w:type="dxa"/>
          </w:tcPr>
          <w:p w14:paraId="3CDBD688" w14:textId="77777777" w:rsidR="00073F8F" w:rsidRPr="001B4A02" w:rsidRDefault="00000000" w:rsidP="00ED48A3">
            <w:pPr>
              <w:tabs>
                <w:tab w:val="left" w:pos="142"/>
              </w:tabs>
              <w:rPr>
                <w:del w:id="9371" w:author="AbbVie1" w:date="2025-05-13T09:57:00Z"/>
                <w:b/>
              </w:rPr>
            </w:pPr>
            <w:del w:id="9372" w:author="AbbVie1" w:date="2025-05-13T09:57:00Z">
              <w:r w:rsidRPr="001B4A02">
                <w:rPr>
                  <w:b/>
                </w:rPr>
                <w:delText>4.</w:delText>
              </w:r>
              <w:r w:rsidRPr="001B4A02">
                <w:rPr>
                  <w:b/>
                </w:rPr>
                <w:tab/>
                <w:delText>ČÍSLO ŠARŽE</w:delText>
              </w:r>
            </w:del>
          </w:p>
        </w:tc>
      </w:tr>
    </w:tbl>
    <w:p w14:paraId="22AC4CC5" w14:textId="77777777" w:rsidR="00073F8F" w:rsidRPr="001B4A02" w:rsidRDefault="00073F8F" w:rsidP="00ED48A3">
      <w:pPr>
        <w:rPr>
          <w:del w:id="9373" w:author="AbbVie1" w:date="2025-05-13T09:57:00Z"/>
        </w:rPr>
      </w:pPr>
    </w:p>
    <w:p w14:paraId="4709EC45" w14:textId="77777777" w:rsidR="00073F8F" w:rsidRPr="001B4A02" w:rsidRDefault="00000000" w:rsidP="00ED48A3">
      <w:pPr>
        <w:ind w:right="-449"/>
        <w:rPr>
          <w:del w:id="9374" w:author="AbbVie1" w:date="2025-05-13T09:57:00Z"/>
        </w:rPr>
      </w:pPr>
      <w:del w:id="9375" w:author="AbbVie1" w:date="2025-05-13T09:57:00Z">
        <w:r w:rsidRPr="001B4A02">
          <w:delText>Č. šarže</w:delText>
        </w:r>
      </w:del>
    </w:p>
    <w:p w14:paraId="62B9F093" w14:textId="77777777" w:rsidR="00073F8F" w:rsidRPr="001B4A02" w:rsidRDefault="00073F8F" w:rsidP="00ED48A3">
      <w:pPr>
        <w:ind w:left="0" w:right="-449" w:firstLine="0"/>
        <w:rPr>
          <w:del w:id="9376" w:author="AbbVie1" w:date="2025-05-13T09:57:00Z"/>
        </w:rPr>
      </w:pPr>
    </w:p>
    <w:p w14:paraId="124F2B9F" w14:textId="77777777" w:rsidR="00073F8F" w:rsidRPr="001B4A02" w:rsidRDefault="00073F8F" w:rsidP="00ED48A3">
      <w:pPr>
        <w:ind w:left="0" w:right="-449" w:firstLine="0"/>
        <w:rPr>
          <w:del w:id="9377"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9B77611" w14:textId="77777777">
        <w:trPr>
          <w:del w:id="9378" w:author="AbbVie1" w:date="2025-05-13T09:57:00Z"/>
        </w:trPr>
        <w:tc>
          <w:tcPr>
            <w:tcW w:w="9287" w:type="dxa"/>
          </w:tcPr>
          <w:p w14:paraId="02491BAD" w14:textId="77777777" w:rsidR="00073F8F" w:rsidRPr="001B4A02" w:rsidRDefault="00000000" w:rsidP="00ED48A3">
            <w:pPr>
              <w:tabs>
                <w:tab w:val="left" w:pos="142"/>
              </w:tabs>
              <w:rPr>
                <w:del w:id="9379" w:author="AbbVie1" w:date="2025-05-13T09:57:00Z"/>
                <w:b/>
              </w:rPr>
            </w:pPr>
            <w:del w:id="9380" w:author="AbbVie1" w:date="2025-05-13T09:57:00Z">
              <w:r w:rsidRPr="001B4A02">
                <w:rPr>
                  <w:b/>
                </w:rPr>
                <w:delText>5.</w:delText>
              </w:r>
              <w:r w:rsidRPr="001B4A02">
                <w:rPr>
                  <w:b/>
                </w:rPr>
                <w:tab/>
                <w:delText>JINÉ</w:delText>
              </w:r>
            </w:del>
          </w:p>
        </w:tc>
      </w:tr>
    </w:tbl>
    <w:p w14:paraId="1E394931" w14:textId="77777777" w:rsidR="00073F8F" w:rsidRPr="001B4A02" w:rsidRDefault="00073F8F" w:rsidP="00ED48A3">
      <w:pPr>
        <w:ind w:right="-449"/>
        <w:rPr>
          <w:del w:id="9381" w:author="AbbVie1" w:date="2025-05-13T09:57:00Z"/>
        </w:rPr>
      </w:pPr>
    </w:p>
    <w:p w14:paraId="16B98D35" w14:textId="77777777" w:rsidR="00073F8F" w:rsidRPr="001B4A02" w:rsidRDefault="00000000" w:rsidP="00ED48A3">
      <w:pPr>
        <w:rPr>
          <w:del w:id="9382" w:author="AbbVie1" w:date="2025-05-13T09:57:00Z"/>
        </w:rPr>
      </w:pPr>
      <w:del w:id="9383" w:author="AbbVie1" w:date="2025-05-13T09:57:00Z">
        <w:r w:rsidRPr="001B4A02">
          <w:delText>Pro informace o uchovávání viz příbalov</w:delText>
        </w:r>
        <w:r w:rsidR="00DE3467">
          <w:delText>á</w:delText>
        </w:r>
        <w:r w:rsidRPr="001B4A02">
          <w:delText xml:space="preserve"> informac</w:delText>
        </w:r>
        <w:r w:rsidR="00DE3467">
          <w:delText>e</w:delText>
        </w:r>
        <w:r w:rsidRPr="001B4A02">
          <w:delText>.</w:delText>
        </w:r>
      </w:del>
    </w:p>
    <w:p w14:paraId="676AEAC4" w14:textId="77777777" w:rsidR="009F4706" w:rsidRPr="001B4A02" w:rsidRDefault="009F4706" w:rsidP="00ED48A3">
      <w:pPr>
        <w:rPr>
          <w:del w:id="9384" w:author="AbbVie1" w:date="2025-05-13T09:57:00Z"/>
        </w:rPr>
      </w:pPr>
    </w:p>
    <w:p w14:paraId="0BBD4A1B" w14:textId="77777777" w:rsidR="008019A6" w:rsidRPr="001B4A02" w:rsidRDefault="00000000" w:rsidP="00ED48A3">
      <w:pPr>
        <w:rPr>
          <w:del w:id="9385" w:author="AbbVie1" w:date="2025-05-13T09:57:00Z"/>
        </w:rPr>
      </w:pPr>
      <w:del w:id="9386" w:author="AbbVie1" w:date="2025-05-13T09:57:00Z">
        <w:r w:rsidRPr="001B4A02">
          <w:delText xml:space="preserve">Pouze k jednorázovému </w:delText>
        </w:r>
        <w:r w:rsidR="00943958" w:rsidRPr="001B4A02">
          <w:delText>po</w:delText>
        </w:r>
        <w:r w:rsidRPr="001B4A02">
          <w:delText>užití.</w:delText>
        </w:r>
      </w:del>
    </w:p>
    <w:p w14:paraId="77D0ACAC" w14:textId="77777777" w:rsidR="009F4706" w:rsidRPr="005E10F5" w:rsidRDefault="009F4706" w:rsidP="00ED48A3">
      <w:pPr>
        <w:rPr>
          <w:del w:id="9387" w:author="AbbVie1" w:date="2025-05-13T09:57:00Z"/>
        </w:rPr>
      </w:pPr>
    </w:p>
    <w:p w14:paraId="1B7D2B89" w14:textId="77777777" w:rsidR="00073F8F" w:rsidRPr="005E10F5" w:rsidRDefault="00000000" w:rsidP="00ED48A3">
      <w:pPr>
        <w:rPr>
          <w:del w:id="9388" w:author="AbbVie1" w:date="2025-05-13T09:57:00Z"/>
        </w:rPr>
      </w:pPr>
      <w:del w:id="9389" w:author="AbbVie1" w:date="2025-05-13T09:57:00Z">
        <w:r w:rsidRPr="005E10F5">
          <w:delText>S ochranným krytem jehly</w:delText>
        </w:r>
        <w:r w:rsidR="0000361B" w:rsidRPr="005E10F5">
          <w:delText>.</w:delText>
        </w:r>
        <w:r w:rsidRPr="005E10F5">
          <w:delText xml:space="preserve"> </w:delText>
        </w:r>
      </w:del>
    </w:p>
    <w:p w14:paraId="2BFBF3B9" w14:textId="77777777" w:rsidR="00073F8F" w:rsidRPr="001B4A02" w:rsidRDefault="00000000" w:rsidP="00ED48A3">
      <w:pPr>
        <w:rPr>
          <w:del w:id="9390" w:author="AbbVie1" w:date="2025-05-13T09:57:00Z"/>
          <w:b/>
        </w:rPr>
      </w:pPr>
      <w:del w:id="9391" w:author="AbbVie1" w:date="2025-05-13T09:57:00Z">
        <w:r w:rsidRPr="001B4A02">
          <w:rPr>
            <w:b/>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AC1BE75" w14:textId="77777777">
        <w:trPr>
          <w:trHeight w:val="785"/>
          <w:del w:id="9392" w:author="AbbVie1" w:date="2025-05-13T09:57:00Z"/>
        </w:trPr>
        <w:tc>
          <w:tcPr>
            <w:tcW w:w="9287" w:type="dxa"/>
            <w:tcBorders>
              <w:bottom w:val="single" w:sz="4" w:space="0" w:color="auto"/>
            </w:tcBorders>
          </w:tcPr>
          <w:p w14:paraId="7BC1C896" w14:textId="77777777" w:rsidR="00073F8F" w:rsidRPr="001B4A02" w:rsidRDefault="00000000" w:rsidP="00ED48A3">
            <w:pPr>
              <w:rPr>
                <w:del w:id="9393" w:author="AbbVie1" w:date="2025-05-13T09:57:00Z"/>
                <w:b/>
              </w:rPr>
            </w:pPr>
            <w:del w:id="9394" w:author="AbbVie1" w:date="2025-05-13T09:57:00Z">
              <w:r w:rsidRPr="001B4A02">
                <w:rPr>
                  <w:b/>
                </w:rPr>
                <w:delText>MINIMÁLNÍ ÚDAJE UVÁDĚNÉ NA MALÉM VNITŘNÍM OBALU</w:delText>
              </w:r>
            </w:del>
          </w:p>
          <w:p w14:paraId="54390E2A" w14:textId="77777777" w:rsidR="00073F8F" w:rsidRPr="001B4A02" w:rsidRDefault="00073F8F" w:rsidP="00ED48A3">
            <w:pPr>
              <w:rPr>
                <w:del w:id="9395" w:author="AbbVie1" w:date="2025-05-13T09:57:00Z"/>
                <w:b/>
              </w:rPr>
            </w:pPr>
          </w:p>
          <w:p w14:paraId="2BE13BD9" w14:textId="77777777" w:rsidR="00073F8F" w:rsidRPr="001B4A02" w:rsidRDefault="00000000" w:rsidP="00ED48A3">
            <w:pPr>
              <w:ind w:left="0" w:firstLine="0"/>
              <w:rPr>
                <w:del w:id="9396" w:author="AbbVie1" w:date="2025-05-13T09:57:00Z"/>
                <w:b/>
                <w:caps/>
              </w:rPr>
            </w:pPr>
            <w:del w:id="9397" w:author="AbbVie1" w:date="2025-05-13T09:57:00Z">
              <w:r w:rsidRPr="001B4A02">
                <w:rPr>
                  <w:b/>
                  <w:caps/>
                </w:rPr>
                <w:delText>Etiketa na injekční stříkačce</w:delText>
              </w:r>
            </w:del>
          </w:p>
        </w:tc>
      </w:tr>
    </w:tbl>
    <w:p w14:paraId="75B48B68" w14:textId="77777777" w:rsidR="00073F8F" w:rsidRPr="001B4A02" w:rsidRDefault="00073F8F" w:rsidP="00ED48A3">
      <w:pPr>
        <w:rPr>
          <w:del w:id="9398" w:author="AbbVie1" w:date="2025-05-13T09:57:00Z"/>
        </w:rPr>
      </w:pPr>
    </w:p>
    <w:p w14:paraId="2A550D31" w14:textId="77777777" w:rsidR="00073F8F" w:rsidRPr="001B4A02" w:rsidRDefault="00073F8F" w:rsidP="00ED48A3">
      <w:pPr>
        <w:rPr>
          <w:del w:id="9399"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A8BEDFA" w14:textId="77777777">
        <w:trPr>
          <w:del w:id="9400" w:author="AbbVie1" w:date="2025-05-13T09:57:00Z"/>
        </w:trPr>
        <w:tc>
          <w:tcPr>
            <w:tcW w:w="9287" w:type="dxa"/>
          </w:tcPr>
          <w:p w14:paraId="1BE7E6BF" w14:textId="77777777" w:rsidR="00073F8F" w:rsidRPr="001B4A02" w:rsidRDefault="00000000" w:rsidP="00ED48A3">
            <w:pPr>
              <w:tabs>
                <w:tab w:val="left" w:pos="142"/>
              </w:tabs>
              <w:rPr>
                <w:del w:id="9401" w:author="AbbVie1" w:date="2025-05-13T09:57:00Z"/>
                <w:b/>
              </w:rPr>
            </w:pPr>
            <w:del w:id="9402" w:author="AbbVie1" w:date="2025-05-13T09:57:00Z">
              <w:r w:rsidRPr="001B4A02">
                <w:rPr>
                  <w:b/>
                </w:rPr>
                <w:delText>1.</w:delText>
              </w:r>
              <w:r w:rsidRPr="001B4A02">
                <w:rPr>
                  <w:b/>
                </w:rPr>
                <w:tab/>
                <w:delText>NÁZEV LÉČIVÉHO PŘÍPRAVKU A CESTA PODÁNÍ</w:delText>
              </w:r>
            </w:del>
          </w:p>
        </w:tc>
      </w:tr>
    </w:tbl>
    <w:p w14:paraId="55355953" w14:textId="77777777" w:rsidR="00073F8F" w:rsidRPr="001B4A02" w:rsidRDefault="00073F8F" w:rsidP="00ED48A3">
      <w:pPr>
        <w:rPr>
          <w:del w:id="9403" w:author="AbbVie1" w:date="2025-05-13T09:57:00Z"/>
        </w:rPr>
      </w:pPr>
    </w:p>
    <w:p w14:paraId="7AB0A642" w14:textId="77777777" w:rsidR="00073F8F" w:rsidRPr="005E10F5" w:rsidRDefault="00000000" w:rsidP="00ED48A3">
      <w:pPr>
        <w:rPr>
          <w:del w:id="9404" w:author="AbbVie1" w:date="2025-05-13T09:57:00Z"/>
        </w:rPr>
      </w:pPr>
      <w:del w:id="9405" w:author="AbbVie1" w:date="2025-05-13T09:57:00Z">
        <w:r w:rsidRPr="005E10F5">
          <w:delText>Humira 40 mg injekce</w:delText>
        </w:r>
      </w:del>
    </w:p>
    <w:p w14:paraId="65E71B66" w14:textId="77777777" w:rsidR="00073F8F" w:rsidRPr="005E10F5" w:rsidRDefault="00000000" w:rsidP="00ED48A3">
      <w:pPr>
        <w:rPr>
          <w:del w:id="9406" w:author="AbbVie1" w:date="2025-05-13T09:57:00Z"/>
        </w:rPr>
      </w:pPr>
      <w:del w:id="9407" w:author="AbbVie1" w:date="2025-05-13T09:57:00Z">
        <w:r w:rsidRPr="00E5443D">
          <w:delText>adalimumabum</w:delText>
        </w:r>
      </w:del>
    </w:p>
    <w:p w14:paraId="6E1307C5" w14:textId="77777777" w:rsidR="00073F8F" w:rsidRPr="005E10F5" w:rsidRDefault="00000000" w:rsidP="00ED48A3">
      <w:pPr>
        <w:rPr>
          <w:del w:id="9408" w:author="AbbVie1" w:date="2025-05-13T09:57:00Z"/>
        </w:rPr>
      </w:pPr>
      <w:del w:id="9409" w:author="AbbVie1" w:date="2025-05-13T09:57:00Z">
        <w:r w:rsidRPr="005E10F5">
          <w:delText>s.c.</w:delText>
        </w:r>
      </w:del>
    </w:p>
    <w:p w14:paraId="6B1E0A19" w14:textId="77777777" w:rsidR="00073F8F" w:rsidRPr="005E10F5" w:rsidRDefault="00073F8F" w:rsidP="00ED48A3">
      <w:pPr>
        <w:rPr>
          <w:del w:id="9410" w:author="AbbVie1" w:date="2025-05-13T09:57:00Z"/>
        </w:rPr>
      </w:pPr>
    </w:p>
    <w:p w14:paraId="7A7652E5" w14:textId="77777777" w:rsidR="00073F8F" w:rsidRPr="001B4A02" w:rsidRDefault="00073F8F" w:rsidP="00ED48A3">
      <w:pPr>
        <w:rPr>
          <w:del w:id="9411"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0444921" w14:textId="77777777">
        <w:trPr>
          <w:del w:id="9412" w:author="AbbVie1" w:date="2025-05-13T09:57:00Z"/>
        </w:trPr>
        <w:tc>
          <w:tcPr>
            <w:tcW w:w="9287" w:type="dxa"/>
          </w:tcPr>
          <w:p w14:paraId="28571819" w14:textId="77777777" w:rsidR="00073F8F" w:rsidRPr="001B4A02" w:rsidRDefault="00000000" w:rsidP="00ED48A3">
            <w:pPr>
              <w:tabs>
                <w:tab w:val="left" w:pos="142"/>
              </w:tabs>
              <w:rPr>
                <w:del w:id="9413" w:author="AbbVie1" w:date="2025-05-13T09:57:00Z"/>
                <w:b/>
              </w:rPr>
            </w:pPr>
            <w:del w:id="9414" w:author="AbbVie1" w:date="2025-05-13T09:57:00Z">
              <w:r w:rsidRPr="001B4A02">
                <w:rPr>
                  <w:b/>
                </w:rPr>
                <w:delText>2.</w:delText>
              </w:r>
              <w:r w:rsidRPr="001B4A02">
                <w:rPr>
                  <w:b/>
                </w:rPr>
                <w:tab/>
                <w:delText>ZPŮSOB PODÁNÍ</w:delText>
              </w:r>
            </w:del>
          </w:p>
        </w:tc>
      </w:tr>
    </w:tbl>
    <w:p w14:paraId="46B64CDB" w14:textId="77777777" w:rsidR="00073F8F" w:rsidRPr="001B4A02" w:rsidRDefault="00073F8F" w:rsidP="00ED48A3">
      <w:pPr>
        <w:rPr>
          <w:del w:id="9415" w:author="AbbVie1" w:date="2025-05-13T09:57:00Z"/>
        </w:rPr>
      </w:pPr>
    </w:p>
    <w:p w14:paraId="5AAF4D8A" w14:textId="77777777" w:rsidR="00073F8F" w:rsidRPr="001B4A02" w:rsidRDefault="00073F8F" w:rsidP="00ED48A3">
      <w:pPr>
        <w:rPr>
          <w:del w:id="9416"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6D1D4FF" w14:textId="77777777">
        <w:trPr>
          <w:del w:id="9417" w:author="AbbVie1" w:date="2025-05-13T09:57:00Z"/>
        </w:trPr>
        <w:tc>
          <w:tcPr>
            <w:tcW w:w="9287" w:type="dxa"/>
          </w:tcPr>
          <w:p w14:paraId="123E9B20" w14:textId="77777777" w:rsidR="00073F8F" w:rsidRPr="001B4A02" w:rsidRDefault="00000000" w:rsidP="00ED48A3">
            <w:pPr>
              <w:tabs>
                <w:tab w:val="left" w:pos="142"/>
              </w:tabs>
              <w:rPr>
                <w:del w:id="9418" w:author="AbbVie1" w:date="2025-05-13T09:57:00Z"/>
                <w:b/>
              </w:rPr>
            </w:pPr>
            <w:del w:id="9419" w:author="AbbVie1" w:date="2025-05-13T09:57:00Z">
              <w:r w:rsidRPr="001B4A02">
                <w:rPr>
                  <w:b/>
                </w:rPr>
                <w:delText>3.</w:delText>
              </w:r>
              <w:r w:rsidRPr="001B4A02">
                <w:rPr>
                  <w:b/>
                </w:rPr>
                <w:tab/>
                <w:delText>POUŽITELNOST</w:delText>
              </w:r>
            </w:del>
          </w:p>
        </w:tc>
      </w:tr>
    </w:tbl>
    <w:p w14:paraId="3AE50138" w14:textId="77777777" w:rsidR="00073F8F" w:rsidRPr="001B4A02" w:rsidRDefault="00073F8F" w:rsidP="00ED48A3">
      <w:pPr>
        <w:rPr>
          <w:del w:id="9420" w:author="AbbVie1" w:date="2025-05-13T09:57:00Z"/>
        </w:rPr>
      </w:pPr>
    </w:p>
    <w:p w14:paraId="7E6C9F3A" w14:textId="77777777" w:rsidR="00073F8F" w:rsidRPr="001B4A02" w:rsidRDefault="00000000" w:rsidP="00ED48A3">
      <w:pPr>
        <w:rPr>
          <w:del w:id="9421" w:author="AbbVie1" w:date="2025-05-13T09:57:00Z"/>
        </w:rPr>
      </w:pPr>
      <w:del w:id="9422" w:author="AbbVie1" w:date="2025-05-13T09:57:00Z">
        <w:r w:rsidRPr="001B4A02">
          <w:delText>EXP</w:delText>
        </w:r>
      </w:del>
    </w:p>
    <w:p w14:paraId="282564C4" w14:textId="77777777" w:rsidR="00073F8F" w:rsidRPr="001B4A02" w:rsidRDefault="00073F8F" w:rsidP="00ED48A3">
      <w:pPr>
        <w:rPr>
          <w:del w:id="9423" w:author="AbbVie1" w:date="2025-05-13T09:57:00Z"/>
        </w:rPr>
      </w:pPr>
    </w:p>
    <w:p w14:paraId="3D976DDF" w14:textId="77777777" w:rsidR="00073F8F" w:rsidRPr="001B4A02" w:rsidRDefault="00073F8F" w:rsidP="00ED48A3">
      <w:pPr>
        <w:rPr>
          <w:del w:id="9424"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4BC56FE" w14:textId="77777777">
        <w:trPr>
          <w:del w:id="9425" w:author="AbbVie1" w:date="2025-05-13T09:57:00Z"/>
        </w:trPr>
        <w:tc>
          <w:tcPr>
            <w:tcW w:w="9287" w:type="dxa"/>
          </w:tcPr>
          <w:p w14:paraId="755EE677" w14:textId="77777777" w:rsidR="00073F8F" w:rsidRPr="001B4A02" w:rsidRDefault="00000000" w:rsidP="00ED48A3">
            <w:pPr>
              <w:tabs>
                <w:tab w:val="left" w:pos="142"/>
              </w:tabs>
              <w:rPr>
                <w:del w:id="9426" w:author="AbbVie1" w:date="2025-05-13T09:57:00Z"/>
                <w:b/>
              </w:rPr>
            </w:pPr>
            <w:del w:id="9427" w:author="AbbVie1" w:date="2025-05-13T09:57:00Z">
              <w:r w:rsidRPr="001B4A02">
                <w:rPr>
                  <w:b/>
                </w:rPr>
                <w:delText>4.</w:delText>
              </w:r>
              <w:r w:rsidRPr="001B4A02">
                <w:rPr>
                  <w:b/>
                </w:rPr>
                <w:tab/>
                <w:delText>ČÍSLO ŠARŽE</w:delText>
              </w:r>
            </w:del>
          </w:p>
        </w:tc>
      </w:tr>
    </w:tbl>
    <w:p w14:paraId="5862408A" w14:textId="77777777" w:rsidR="00073F8F" w:rsidRPr="001B4A02" w:rsidRDefault="00073F8F" w:rsidP="00ED48A3">
      <w:pPr>
        <w:rPr>
          <w:del w:id="9428" w:author="AbbVie1" w:date="2025-05-13T09:57:00Z"/>
        </w:rPr>
      </w:pPr>
    </w:p>
    <w:p w14:paraId="4C52C80C" w14:textId="77777777" w:rsidR="00073F8F" w:rsidRPr="001B4A02" w:rsidRDefault="00000000" w:rsidP="00ED48A3">
      <w:pPr>
        <w:ind w:right="113"/>
        <w:rPr>
          <w:del w:id="9429" w:author="AbbVie1" w:date="2025-05-13T09:57:00Z"/>
        </w:rPr>
      </w:pPr>
      <w:del w:id="9430" w:author="AbbVie1" w:date="2025-05-13T09:57:00Z">
        <w:r w:rsidRPr="001B4A02">
          <w:delText>Lot</w:delText>
        </w:r>
      </w:del>
    </w:p>
    <w:p w14:paraId="1ED14D00" w14:textId="77777777" w:rsidR="00073F8F" w:rsidRPr="001B4A02" w:rsidRDefault="00073F8F" w:rsidP="00ED48A3">
      <w:pPr>
        <w:ind w:right="113"/>
        <w:rPr>
          <w:del w:id="9431" w:author="AbbVie1" w:date="2025-05-13T09:57:00Z"/>
        </w:rPr>
      </w:pPr>
    </w:p>
    <w:p w14:paraId="5E83CE44" w14:textId="77777777" w:rsidR="00073F8F" w:rsidRPr="001B4A02" w:rsidRDefault="00073F8F" w:rsidP="00ED48A3">
      <w:pPr>
        <w:ind w:right="113"/>
        <w:rPr>
          <w:del w:id="9432"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89F975B" w14:textId="77777777">
        <w:trPr>
          <w:del w:id="9433" w:author="AbbVie1" w:date="2025-05-13T09:57:00Z"/>
        </w:trPr>
        <w:tc>
          <w:tcPr>
            <w:tcW w:w="9287" w:type="dxa"/>
          </w:tcPr>
          <w:p w14:paraId="018CFBAC" w14:textId="77777777" w:rsidR="00073F8F" w:rsidRPr="001B4A02" w:rsidRDefault="00000000" w:rsidP="00ED48A3">
            <w:pPr>
              <w:tabs>
                <w:tab w:val="left" w:pos="142"/>
              </w:tabs>
              <w:rPr>
                <w:del w:id="9434" w:author="AbbVie1" w:date="2025-05-13T09:57:00Z"/>
                <w:b/>
              </w:rPr>
            </w:pPr>
            <w:del w:id="9435" w:author="AbbVie1" w:date="2025-05-13T09:57:00Z">
              <w:r w:rsidRPr="001B4A02">
                <w:rPr>
                  <w:b/>
                </w:rPr>
                <w:delText>5.</w:delText>
              </w:r>
              <w:r w:rsidRPr="001B4A02">
                <w:rPr>
                  <w:b/>
                </w:rPr>
                <w:tab/>
                <w:delText>OBSAH UDANÝ JAKO HMOTNOST, OBJEM NEBO POČET DÁVEK</w:delText>
              </w:r>
            </w:del>
          </w:p>
        </w:tc>
      </w:tr>
    </w:tbl>
    <w:p w14:paraId="3D7E356F" w14:textId="77777777" w:rsidR="00073F8F" w:rsidRPr="001B4A02" w:rsidRDefault="00073F8F" w:rsidP="00ED48A3">
      <w:pPr>
        <w:rPr>
          <w:del w:id="9436" w:author="AbbVie1" w:date="2025-05-13T09:57:00Z"/>
        </w:rPr>
      </w:pPr>
    </w:p>
    <w:p w14:paraId="2DD4AB38" w14:textId="77777777" w:rsidR="00073F8F" w:rsidRPr="001B4A02" w:rsidRDefault="00000000" w:rsidP="00ED48A3">
      <w:pPr>
        <w:rPr>
          <w:del w:id="9437" w:author="AbbVie1" w:date="2025-05-13T09:57:00Z"/>
        </w:rPr>
      </w:pPr>
      <w:del w:id="9438" w:author="AbbVie1" w:date="2025-05-13T09:57:00Z">
        <w:r w:rsidRPr="001B4A02">
          <w:delText>40 mg/0,8 ml</w:delText>
        </w:r>
      </w:del>
    </w:p>
    <w:p w14:paraId="52B954DD" w14:textId="77777777" w:rsidR="00073F8F" w:rsidRPr="001B4A02" w:rsidRDefault="00073F8F" w:rsidP="00ED48A3">
      <w:pPr>
        <w:rPr>
          <w:del w:id="9439" w:author="AbbVie1" w:date="2025-05-13T09:57:00Z"/>
        </w:rPr>
      </w:pPr>
    </w:p>
    <w:p w14:paraId="2AF9941A" w14:textId="77777777" w:rsidR="00073F8F" w:rsidRPr="001B4A02" w:rsidRDefault="00073F8F" w:rsidP="00ED48A3">
      <w:pPr>
        <w:rPr>
          <w:del w:id="9440"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83EFF03" w14:textId="77777777">
        <w:trPr>
          <w:del w:id="9441" w:author="AbbVie1" w:date="2025-05-13T09:57:00Z"/>
        </w:trPr>
        <w:tc>
          <w:tcPr>
            <w:tcW w:w="9287" w:type="dxa"/>
          </w:tcPr>
          <w:p w14:paraId="43B37FEA" w14:textId="77777777" w:rsidR="00073F8F" w:rsidRPr="001B4A02" w:rsidRDefault="00000000" w:rsidP="00ED48A3">
            <w:pPr>
              <w:tabs>
                <w:tab w:val="left" w:pos="142"/>
              </w:tabs>
              <w:rPr>
                <w:del w:id="9442" w:author="AbbVie1" w:date="2025-05-13T09:57:00Z"/>
                <w:b/>
              </w:rPr>
            </w:pPr>
            <w:del w:id="9443" w:author="AbbVie1" w:date="2025-05-13T09:57:00Z">
              <w:r w:rsidRPr="001B4A02">
                <w:rPr>
                  <w:b/>
                </w:rPr>
                <w:delText>6.</w:delText>
              </w:r>
              <w:r w:rsidRPr="001B4A02">
                <w:rPr>
                  <w:b/>
                </w:rPr>
                <w:tab/>
                <w:delText>JINÉ</w:delText>
              </w:r>
            </w:del>
          </w:p>
        </w:tc>
      </w:tr>
    </w:tbl>
    <w:p w14:paraId="03C9E91D" w14:textId="77777777" w:rsidR="00073F8F" w:rsidRPr="001B4A02" w:rsidRDefault="00073F8F" w:rsidP="00ED48A3">
      <w:pPr>
        <w:rPr>
          <w:del w:id="9444" w:author="AbbVie1" w:date="2025-05-13T09:57:00Z"/>
        </w:rPr>
      </w:pPr>
    </w:p>
    <w:p w14:paraId="7400BAE6" w14:textId="77777777" w:rsidR="00934FD3" w:rsidRPr="001B4A02" w:rsidRDefault="00000000" w:rsidP="00934FD3">
      <w:pPr>
        <w:rPr>
          <w:del w:id="9445" w:author="AbbVie1" w:date="2025-05-13T09:57:00Z"/>
        </w:rPr>
      </w:pPr>
      <w:del w:id="9446" w:author="AbbVie1" w:date="2025-05-13T09:57:00Z">
        <w:r w:rsidRPr="001B4A02">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D78E7A3" w14:textId="77777777" w:rsidTr="00B73639">
        <w:trPr>
          <w:del w:id="9447" w:author="AbbVie1" w:date="2025-05-13T09:57:00Z"/>
        </w:trPr>
        <w:tc>
          <w:tcPr>
            <w:tcW w:w="9287" w:type="dxa"/>
          </w:tcPr>
          <w:p w14:paraId="5B0F00B0" w14:textId="77777777" w:rsidR="00934FD3" w:rsidRPr="001B4A02" w:rsidRDefault="00000000" w:rsidP="00B73639">
            <w:pPr>
              <w:ind w:left="0" w:firstLine="0"/>
              <w:rPr>
                <w:del w:id="9448" w:author="AbbVie1" w:date="2025-05-13T09:57:00Z"/>
                <w:b/>
              </w:rPr>
            </w:pPr>
            <w:del w:id="9449" w:author="AbbVie1" w:date="2025-05-13T09:57:00Z">
              <w:r w:rsidRPr="001B4A02">
                <w:rPr>
                  <w:b/>
                  <w:u w:val="single"/>
                </w:rPr>
                <w:br w:type="page"/>
              </w:r>
              <w:r w:rsidRPr="001B4A02">
                <w:rPr>
                  <w:b/>
                </w:rPr>
                <w:delText>ÚDAJE UVÁDĚNÉ NA VNĚJŠÍM OBALU</w:delText>
              </w:r>
            </w:del>
          </w:p>
          <w:p w14:paraId="699A58F2" w14:textId="77777777" w:rsidR="00934FD3" w:rsidRPr="001B4A02" w:rsidRDefault="00934FD3" w:rsidP="00B73639">
            <w:pPr>
              <w:rPr>
                <w:del w:id="9450" w:author="AbbVie1" w:date="2025-05-13T09:57:00Z"/>
                <w:b/>
              </w:rPr>
            </w:pPr>
          </w:p>
          <w:p w14:paraId="6153232A" w14:textId="77777777" w:rsidR="00934FD3" w:rsidRPr="001B4A02" w:rsidRDefault="00000000" w:rsidP="00B73639">
            <w:pPr>
              <w:rPr>
                <w:del w:id="9451" w:author="AbbVie1" w:date="2025-05-13T09:57:00Z"/>
                <w:b/>
                <w:caps/>
              </w:rPr>
            </w:pPr>
            <w:del w:id="9452" w:author="AbbVie1" w:date="2025-05-13T09:57:00Z">
              <w:r w:rsidRPr="001B4A02">
                <w:rPr>
                  <w:b/>
                  <w:caps/>
                </w:rPr>
                <w:delText>Krabička</w:delText>
              </w:r>
            </w:del>
          </w:p>
        </w:tc>
      </w:tr>
    </w:tbl>
    <w:p w14:paraId="325B28D7" w14:textId="77777777" w:rsidR="00934FD3" w:rsidRPr="001B4A02" w:rsidRDefault="00934FD3" w:rsidP="00934FD3">
      <w:pPr>
        <w:rPr>
          <w:del w:id="9453" w:author="AbbVie1" w:date="2025-05-13T09:57:00Z"/>
        </w:rPr>
      </w:pPr>
    </w:p>
    <w:p w14:paraId="6E3A84AA" w14:textId="77777777" w:rsidR="00073F8F" w:rsidRPr="001B4A02" w:rsidRDefault="00073F8F" w:rsidP="00934FD3">
      <w:pPr>
        <w:rPr>
          <w:del w:id="9454"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4EF9D15" w14:textId="77777777">
        <w:trPr>
          <w:del w:id="9455" w:author="AbbVie1" w:date="2025-05-13T09:57:00Z"/>
        </w:trPr>
        <w:tc>
          <w:tcPr>
            <w:tcW w:w="9287" w:type="dxa"/>
          </w:tcPr>
          <w:p w14:paraId="56004F50" w14:textId="77777777" w:rsidR="00073F8F" w:rsidRPr="001B4A02" w:rsidRDefault="00000000" w:rsidP="00ED48A3">
            <w:pPr>
              <w:tabs>
                <w:tab w:val="left" w:pos="142"/>
              </w:tabs>
              <w:rPr>
                <w:del w:id="9456" w:author="AbbVie1" w:date="2025-05-13T09:57:00Z"/>
                <w:b/>
              </w:rPr>
            </w:pPr>
            <w:del w:id="9457" w:author="AbbVie1" w:date="2025-05-13T09:57:00Z">
              <w:r w:rsidRPr="001B4A02">
                <w:rPr>
                  <w:b/>
                </w:rPr>
                <w:delText>1.</w:delText>
              </w:r>
              <w:r w:rsidRPr="001B4A02">
                <w:rPr>
                  <w:b/>
                </w:rPr>
                <w:tab/>
                <w:delText>NÁZEV LÉČIVÉHO PŘÍPRAVKU</w:delText>
              </w:r>
            </w:del>
          </w:p>
        </w:tc>
      </w:tr>
    </w:tbl>
    <w:p w14:paraId="576A137B" w14:textId="77777777" w:rsidR="00073F8F" w:rsidRPr="001B4A02" w:rsidRDefault="00073F8F" w:rsidP="00ED48A3">
      <w:pPr>
        <w:rPr>
          <w:del w:id="9458" w:author="AbbVie1" w:date="2025-05-13T09:57:00Z"/>
        </w:rPr>
      </w:pPr>
    </w:p>
    <w:p w14:paraId="1B7A4242" w14:textId="77777777" w:rsidR="00073F8F" w:rsidRPr="001B4A02" w:rsidRDefault="00000000" w:rsidP="004D0686">
      <w:pPr>
        <w:outlineLvl w:val="0"/>
        <w:rPr>
          <w:del w:id="9459" w:author="AbbVie1" w:date="2025-05-13T09:57:00Z"/>
        </w:rPr>
      </w:pPr>
      <w:del w:id="9460" w:author="AbbVie1" w:date="2025-05-13T09:57:00Z">
        <w:r w:rsidRPr="001B4A02">
          <w:delText>Humira 40 mg injekční roztok v předplněném peru</w:delText>
        </w:r>
        <w:r w:rsidR="00BD7B86" w:rsidRPr="001B4A02">
          <w:delText xml:space="preserve"> </w:delText>
        </w:r>
      </w:del>
    </w:p>
    <w:p w14:paraId="3C4C9905" w14:textId="77777777" w:rsidR="00073F8F" w:rsidRPr="001B4A02" w:rsidRDefault="00000000" w:rsidP="00ED48A3">
      <w:pPr>
        <w:rPr>
          <w:del w:id="9461" w:author="AbbVie1" w:date="2025-05-13T09:57:00Z"/>
        </w:rPr>
      </w:pPr>
      <w:del w:id="9462" w:author="AbbVie1" w:date="2025-05-13T09:57:00Z">
        <w:r w:rsidRPr="001B4A02">
          <w:delText>adalimumabum</w:delText>
        </w:r>
      </w:del>
    </w:p>
    <w:p w14:paraId="619733C0" w14:textId="77777777" w:rsidR="00073F8F" w:rsidRPr="001B4A02" w:rsidRDefault="00073F8F" w:rsidP="00ED48A3">
      <w:pPr>
        <w:rPr>
          <w:del w:id="9463" w:author="AbbVie1" w:date="2025-05-13T09:57:00Z"/>
        </w:rPr>
      </w:pPr>
    </w:p>
    <w:p w14:paraId="00A92BEA" w14:textId="77777777" w:rsidR="00073F8F" w:rsidRPr="001B4A02" w:rsidRDefault="00073F8F" w:rsidP="00ED48A3">
      <w:pPr>
        <w:rPr>
          <w:del w:id="9464"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F51B2AD" w14:textId="77777777">
        <w:trPr>
          <w:del w:id="9465" w:author="AbbVie1" w:date="2025-05-13T09:57:00Z"/>
        </w:trPr>
        <w:tc>
          <w:tcPr>
            <w:tcW w:w="9287" w:type="dxa"/>
          </w:tcPr>
          <w:p w14:paraId="75065758" w14:textId="77777777" w:rsidR="00073F8F" w:rsidRPr="001B4A02" w:rsidRDefault="00000000" w:rsidP="00ED48A3">
            <w:pPr>
              <w:tabs>
                <w:tab w:val="left" w:pos="142"/>
              </w:tabs>
              <w:rPr>
                <w:del w:id="9466" w:author="AbbVie1" w:date="2025-05-13T09:57:00Z"/>
                <w:b/>
              </w:rPr>
            </w:pPr>
            <w:del w:id="9467" w:author="AbbVie1" w:date="2025-05-13T09:57:00Z">
              <w:r w:rsidRPr="001B4A02">
                <w:rPr>
                  <w:b/>
                </w:rPr>
                <w:delText>2.</w:delText>
              </w:r>
              <w:r w:rsidRPr="001B4A02">
                <w:rPr>
                  <w:b/>
                </w:rPr>
                <w:tab/>
                <w:delText>OBSAH LÉČIVÉ LÁTKY</w:delText>
              </w:r>
            </w:del>
          </w:p>
        </w:tc>
      </w:tr>
    </w:tbl>
    <w:p w14:paraId="4C403E7C" w14:textId="77777777" w:rsidR="00073F8F" w:rsidRPr="001B4A02" w:rsidRDefault="00073F8F" w:rsidP="00ED48A3">
      <w:pPr>
        <w:rPr>
          <w:del w:id="9468" w:author="AbbVie1" w:date="2025-05-13T09:57:00Z"/>
        </w:rPr>
      </w:pPr>
    </w:p>
    <w:p w14:paraId="57A9F842" w14:textId="77777777" w:rsidR="00073F8F" w:rsidRPr="001B4A02" w:rsidRDefault="00000000" w:rsidP="00ED48A3">
      <w:pPr>
        <w:rPr>
          <w:del w:id="9469" w:author="AbbVie1" w:date="2025-05-13T09:57:00Z"/>
        </w:rPr>
      </w:pPr>
      <w:del w:id="9470" w:author="AbbVie1" w:date="2025-05-13T09:57:00Z">
        <w:r w:rsidRPr="001B4A02">
          <w:delText>Jedno 0,8ml předplněné pero obsahuje adalimumabu</w:delText>
        </w:r>
        <w:r w:rsidR="00921392" w:rsidRPr="001B4A02">
          <w:delText>m 40</w:delText>
        </w:r>
        <w:r w:rsidR="00874DE1">
          <w:delText> mg</w:delText>
        </w:r>
        <w:r w:rsidR="001B4A02">
          <w:delText>.</w:delText>
        </w:r>
      </w:del>
    </w:p>
    <w:p w14:paraId="2EA5D452" w14:textId="77777777" w:rsidR="00073F8F" w:rsidRPr="001B4A02" w:rsidRDefault="00073F8F" w:rsidP="00ED48A3">
      <w:pPr>
        <w:rPr>
          <w:del w:id="9471" w:author="AbbVie1" w:date="2025-05-13T09:57:00Z"/>
        </w:rPr>
      </w:pPr>
    </w:p>
    <w:p w14:paraId="2ACF0730" w14:textId="77777777" w:rsidR="00073F8F" w:rsidRPr="001B4A02" w:rsidRDefault="00073F8F" w:rsidP="00ED48A3">
      <w:pPr>
        <w:rPr>
          <w:del w:id="9472"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3C26CA1" w14:textId="77777777">
        <w:trPr>
          <w:del w:id="9473" w:author="AbbVie1" w:date="2025-05-13T09:57:00Z"/>
        </w:trPr>
        <w:tc>
          <w:tcPr>
            <w:tcW w:w="9287" w:type="dxa"/>
          </w:tcPr>
          <w:p w14:paraId="63537528" w14:textId="77777777" w:rsidR="00073F8F" w:rsidRPr="001B4A02" w:rsidRDefault="00000000" w:rsidP="00ED48A3">
            <w:pPr>
              <w:tabs>
                <w:tab w:val="left" w:pos="142"/>
              </w:tabs>
              <w:rPr>
                <w:del w:id="9474" w:author="AbbVie1" w:date="2025-05-13T09:57:00Z"/>
                <w:b/>
              </w:rPr>
            </w:pPr>
            <w:del w:id="9475" w:author="AbbVie1" w:date="2025-05-13T09:57:00Z">
              <w:r w:rsidRPr="001B4A02">
                <w:rPr>
                  <w:b/>
                </w:rPr>
                <w:delText>3.</w:delText>
              </w:r>
              <w:r w:rsidRPr="001B4A02">
                <w:rPr>
                  <w:b/>
                </w:rPr>
                <w:tab/>
                <w:delText>SEZNAM POMOCNÝCH LÁTEK</w:delText>
              </w:r>
            </w:del>
          </w:p>
        </w:tc>
      </w:tr>
    </w:tbl>
    <w:p w14:paraId="24CE21F3" w14:textId="77777777" w:rsidR="00073F8F" w:rsidRPr="001B4A02" w:rsidRDefault="00073F8F" w:rsidP="00ED48A3">
      <w:pPr>
        <w:rPr>
          <w:del w:id="9476" w:author="AbbVie1" w:date="2025-05-13T09:57:00Z"/>
        </w:rPr>
      </w:pPr>
    </w:p>
    <w:p w14:paraId="12F9295E" w14:textId="77777777" w:rsidR="00073F8F" w:rsidRPr="001B4A02" w:rsidRDefault="00000000" w:rsidP="00ED48A3">
      <w:pPr>
        <w:ind w:left="0" w:firstLine="0"/>
        <w:rPr>
          <w:del w:id="9477" w:author="AbbVie1" w:date="2025-05-13T09:57:00Z"/>
        </w:rPr>
      </w:pPr>
      <w:del w:id="9478" w:author="AbbVie1" w:date="2025-05-13T09:57:00Z">
        <w:r w:rsidRPr="001B4A02">
          <w:delText xml:space="preserve">Pomocné látky: mannitol, monohydrát kyseliny citronové, dihydrát </w:delText>
        </w:r>
        <w:r w:rsidR="007A4774" w:rsidRPr="001B4A02">
          <w:delText>natrium-citrátu</w:delText>
        </w:r>
        <w:r w:rsidRPr="001B4A02">
          <w:delText>, dihydrát dihydrogenfosforečnanu sodného, dihydrát hydrogenfosforečnanu sodného, chlorid sodný, polysorbát 80, hydroxid sodný</w:delText>
        </w:r>
        <w:r w:rsidR="002378E0">
          <w:delText xml:space="preserve"> a </w:delText>
        </w:r>
        <w:r w:rsidRPr="001B4A02">
          <w:delText xml:space="preserve">voda </w:delText>
        </w:r>
        <w:r w:rsidR="00202301" w:rsidRPr="001B4A02">
          <w:delText>pro</w:delText>
        </w:r>
        <w:r w:rsidRPr="001B4A02">
          <w:delText xml:space="preserve"> injekci. Další informace naleznete v příbalové informaci.</w:delText>
        </w:r>
      </w:del>
    </w:p>
    <w:p w14:paraId="7BB4B690" w14:textId="77777777" w:rsidR="00073F8F" w:rsidRPr="001B4A02" w:rsidRDefault="00073F8F" w:rsidP="00ED48A3">
      <w:pPr>
        <w:rPr>
          <w:del w:id="9479" w:author="AbbVie1" w:date="2025-05-13T09:57:00Z"/>
        </w:rPr>
      </w:pPr>
    </w:p>
    <w:p w14:paraId="5ECCB416" w14:textId="77777777" w:rsidR="00073F8F" w:rsidRPr="001B4A02" w:rsidRDefault="00073F8F" w:rsidP="00ED48A3">
      <w:pPr>
        <w:rPr>
          <w:del w:id="9480"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49ADA38" w14:textId="77777777">
        <w:trPr>
          <w:del w:id="9481" w:author="AbbVie1" w:date="2025-05-13T09:57:00Z"/>
        </w:trPr>
        <w:tc>
          <w:tcPr>
            <w:tcW w:w="9287" w:type="dxa"/>
          </w:tcPr>
          <w:p w14:paraId="6E25A0E8" w14:textId="77777777" w:rsidR="00073F8F" w:rsidRPr="001B4A02" w:rsidRDefault="00000000" w:rsidP="00ED48A3">
            <w:pPr>
              <w:tabs>
                <w:tab w:val="left" w:pos="142"/>
              </w:tabs>
              <w:rPr>
                <w:del w:id="9482" w:author="AbbVie1" w:date="2025-05-13T09:57:00Z"/>
                <w:b/>
              </w:rPr>
            </w:pPr>
            <w:del w:id="9483" w:author="AbbVie1" w:date="2025-05-13T09:57:00Z">
              <w:r w:rsidRPr="001B4A02">
                <w:rPr>
                  <w:b/>
                </w:rPr>
                <w:delText>4.</w:delText>
              </w:r>
              <w:r w:rsidRPr="001B4A02">
                <w:rPr>
                  <w:b/>
                </w:rPr>
                <w:tab/>
                <w:delText xml:space="preserve">LÉKOVÁ FORMA A </w:delText>
              </w:r>
              <w:r w:rsidR="00DE5AC6" w:rsidRPr="001B4A02">
                <w:rPr>
                  <w:b/>
                </w:rPr>
                <w:delText xml:space="preserve">OBSAH </w:delText>
              </w:r>
              <w:r w:rsidRPr="001B4A02">
                <w:rPr>
                  <w:b/>
                </w:rPr>
                <w:delText>BALENÍ</w:delText>
              </w:r>
            </w:del>
          </w:p>
        </w:tc>
      </w:tr>
    </w:tbl>
    <w:p w14:paraId="33B26C96" w14:textId="77777777" w:rsidR="00073F8F" w:rsidRPr="001B4A02" w:rsidRDefault="00073F8F" w:rsidP="00ED48A3">
      <w:pPr>
        <w:rPr>
          <w:del w:id="9484" w:author="AbbVie1" w:date="2025-05-13T09:57:00Z"/>
        </w:rPr>
      </w:pPr>
    </w:p>
    <w:p w14:paraId="5EFC92F4" w14:textId="77777777" w:rsidR="008019A6" w:rsidRPr="001B4A02" w:rsidRDefault="00000000" w:rsidP="00ED48A3">
      <w:pPr>
        <w:rPr>
          <w:del w:id="9485" w:author="AbbVie1" w:date="2025-05-13T09:57:00Z"/>
        </w:rPr>
      </w:pPr>
      <w:del w:id="9486" w:author="AbbVie1" w:date="2025-05-13T09:57:00Z">
        <w:r w:rsidRPr="001B4A02">
          <w:rPr>
            <w:highlight w:val="lightGray"/>
          </w:rPr>
          <w:delText>Injekční roztok</w:delText>
        </w:r>
      </w:del>
    </w:p>
    <w:p w14:paraId="1A9E7A07" w14:textId="77777777" w:rsidR="00073F8F" w:rsidRPr="001B4A02" w:rsidRDefault="00000000" w:rsidP="00ED48A3">
      <w:pPr>
        <w:rPr>
          <w:del w:id="9487" w:author="AbbVie1" w:date="2025-05-13T09:57:00Z"/>
        </w:rPr>
      </w:pPr>
      <w:del w:id="9488" w:author="AbbVie1" w:date="2025-05-13T09:57:00Z">
        <w:r w:rsidRPr="001B4A02">
          <w:delText xml:space="preserve">1 předplněné pero </w:delText>
        </w:r>
      </w:del>
    </w:p>
    <w:p w14:paraId="4CBC1AC9" w14:textId="77777777" w:rsidR="00073F8F" w:rsidRPr="001B4A02" w:rsidRDefault="00000000" w:rsidP="00ED48A3">
      <w:pPr>
        <w:rPr>
          <w:del w:id="9489" w:author="AbbVie1" w:date="2025-05-13T09:57:00Z"/>
        </w:rPr>
      </w:pPr>
      <w:del w:id="9490" w:author="AbbVie1" w:date="2025-05-13T09:57:00Z">
        <w:r w:rsidRPr="001B4A02">
          <w:delText>2 tampóny napuštěné alkoholem</w:delText>
        </w:r>
      </w:del>
    </w:p>
    <w:p w14:paraId="675C6C5B" w14:textId="77777777" w:rsidR="009F4706" w:rsidRPr="001B4A02" w:rsidRDefault="009F4706" w:rsidP="00ED48A3">
      <w:pPr>
        <w:rPr>
          <w:del w:id="9491" w:author="AbbVie1" w:date="2025-05-13T09:57:00Z"/>
        </w:rPr>
      </w:pPr>
    </w:p>
    <w:p w14:paraId="5FB5C901" w14:textId="77777777" w:rsidR="009F4706" w:rsidRPr="001B4A02" w:rsidRDefault="00000000" w:rsidP="009F4706">
      <w:pPr>
        <w:rPr>
          <w:del w:id="9492" w:author="AbbVie1" w:date="2025-05-13T09:57:00Z"/>
          <w:highlight w:val="lightGray"/>
        </w:rPr>
      </w:pPr>
      <w:del w:id="9493" w:author="AbbVie1" w:date="2025-05-13T09:57:00Z">
        <w:r w:rsidRPr="001B4A02">
          <w:rPr>
            <w:highlight w:val="lightGray"/>
          </w:rPr>
          <w:delText xml:space="preserve">2 předplněná pera </w:delText>
        </w:r>
      </w:del>
    </w:p>
    <w:p w14:paraId="5BED256C" w14:textId="77777777" w:rsidR="009F4706" w:rsidRPr="001B4A02" w:rsidRDefault="00000000" w:rsidP="009F4706">
      <w:pPr>
        <w:rPr>
          <w:del w:id="9494" w:author="AbbVie1" w:date="2025-05-13T09:57:00Z"/>
          <w:highlight w:val="lightGray"/>
        </w:rPr>
      </w:pPr>
      <w:del w:id="9495" w:author="AbbVie1" w:date="2025-05-13T09:57:00Z">
        <w:r w:rsidRPr="001B4A02">
          <w:rPr>
            <w:highlight w:val="lightGray"/>
          </w:rPr>
          <w:delText>2 tampón</w:delText>
        </w:r>
        <w:r w:rsidR="00D43307" w:rsidRPr="001B4A02">
          <w:rPr>
            <w:highlight w:val="lightGray"/>
          </w:rPr>
          <w:delText>y</w:delText>
        </w:r>
        <w:r w:rsidRPr="001B4A02">
          <w:rPr>
            <w:highlight w:val="lightGray"/>
          </w:rPr>
          <w:delText xml:space="preserve"> napuštěn</w:delText>
        </w:r>
        <w:r w:rsidR="00D43307" w:rsidRPr="001B4A02">
          <w:rPr>
            <w:highlight w:val="lightGray"/>
          </w:rPr>
          <w:delText>é</w:delText>
        </w:r>
        <w:r w:rsidRPr="001B4A02">
          <w:rPr>
            <w:highlight w:val="lightGray"/>
          </w:rPr>
          <w:delText xml:space="preserve"> alkoholem</w:delText>
        </w:r>
      </w:del>
    </w:p>
    <w:p w14:paraId="33C175F4" w14:textId="77777777" w:rsidR="009F4706" w:rsidRPr="001B4A02" w:rsidRDefault="009F4706" w:rsidP="00ED48A3">
      <w:pPr>
        <w:rPr>
          <w:del w:id="9496" w:author="AbbVie1" w:date="2025-05-13T09:57:00Z"/>
          <w:highlight w:val="lightGray"/>
        </w:rPr>
      </w:pPr>
    </w:p>
    <w:p w14:paraId="1FD6E3B0" w14:textId="77777777" w:rsidR="009F4706" w:rsidRPr="001B4A02" w:rsidRDefault="00000000" w:rsidP="009F4706">
      <w:pPr>
        <w:rPr>
          <w:del w:id="9497" w:author="AbbVie1" w:date="2025-05-13T09:57:00Z"/>
          <w:highlight w:val="lightGray"/>
        </w:rPr>
      </w:pPr>
      <w:del w:id="9498" w:author="AbbVie1" w:date="2025-05-13T09:57:00Z">
        <w:r w:rsidRPr="001B4A02">
          <w:rPr>
            <w:highlight w:val="lightGray"/>
          </w:rPr>
          <w:delText xml:space="preserve">4 předplněná pera </w:delText>
        </w:r>
      </w:del>
    </w:p>
    <w:p w14:paraId="11E9ACCF" w14:textId="77777777" w:rsidR="009F4706" w:rsidRPr="001B4A02" w:rsidRDefault="00000000" w:rsidP="009F4706">
      <w:pPr>
        <w:rPr>
          <w:del w:id="9499" w:author="AbbVie1" w:date="2025-05-13T09:57:00Z"/>
          <w:highlight w:val="lightGray"/>
        </w:rPr>
      </w:pPr>
      <w:del w:id="9500" w:author="AbbVie1" w:date="2025-05-13T09:57:00Z">
        <w:r w:rsidRPr="001B4A02">
          <w:rPr>
            <w:highlight w:val="lightGray"/>
          </w:rPr>
          <w:delText>4 tampón</w:delText>
        </w:r>
        <w:r w:rsidR="00D43307" w:rsidRPr="001B4A02">
          <w:rPr>
            <w:highlight w:val="lightGray"/>
          </w:rPr>
          <w:delText>y</w:delText>
        </w:r>
        <w:r w:rsidRPr="001B4A02">
          <w:rPr>
            <w:highlight w:val="lightGray"/>
          </w:rPr>
          <w:delText xml:space="preserve"> napuštěn</w:delText>
        </w:r>
        <w:r w:rsidR="00D43307" w:rsidRPr="001B4A02">
          <w:rPr>
            <w:highlight w:val="lightGray"/>
          </w:rPr>
          <w:delText>é</w:delText>
        </w:r>
        <w:r w:rsidRPr="001B4A02">
          <w:rPr>
            <w:highlight w:val="lightGray"/>
          </w:rPr>
          <w:delText xml:space="preserve"> alkoholem</w:delText>
        </w:r>
      </w:del>
    </w:p>
    <w:p w14:paraId="4C973AD2" w14:textId="77777777" w:rsidR="009F4706" w:rsidRPr="001B4A02" w:rsidRDefault="009F4706" w:rsidP="00ED48A3">
      <w:pPr>
        <w:rPr>
          <w:del w:id="9501" w:author="AbbVie1" w:date="2025-05-13T09:57:00Z"/>
          <w:highlight w:val="lightGray"/>
        </w:rPr>
      </w:pPr>
    </w:p>
    <w:p w14:paraId="60B857EA" w14:textId="77777777" w:rsidR="009F4706" w:rsidRPr="001B4A02" w:rsidRDefault="00000000" w:rsidP="009F4706">
      <w:pPr>
        <w:rPr>
          <w:del w:id="9502" w:author="AbbVie1" w:date="2025-05-13T09:57:00Z"/>
          <w:highlight w:val="lightGray"/>
        </w:rPr>
      </w:pPr>
      <w:del w:id="9503" w:author="AbbVie1" w:date="2025-05-13T09:57:00Z">
        <w:r w:rsidRPr="001B4A02">
          <w:rPr>
            <w:highlight w:val="lightGray"/>
          </w:rPr>
          <w:delText xml:space="preserve">6 předplněných per </w:delText>
        </w:r>
      </w:del>
    </w:p>
    <w:p w14:paraId="1B118CBE" w14:textId="77777777" w:rsidR="009F4706" w:rsidRPr="001B4A02" w:rsidRDefault="00000000" w:rsidP="009F4706">
      <w:pPr>
        <w:rPr>
          <w:del w:id="9504" w:author="AbbVie1" w:date="2025-05-13T09:57:00Z"/>
        </w:rPr>
      </w:pPr>
      <w:del w:id="9505" w:author="AbbVie1" w:date="2025-05-13T09:57:00Z">
        <w:r w:rsidRPr="001B4A02">
          <w:rPr>
            <w:highlight w:val="lightGray"/>
          </w:rPr>
          <w:delText>6 tampónů napuštěných alkoholem</w:delText>
        </w:r>
      </w:del>
    </w:p>
    <w:p w14:paraId="0B511B9C" w14:textId="77777777" w:rsidR="009F4706" w:rsidRPr="001B4A02" w:rsidRDefault="009F4706" w:rsidP="00ED48A3">
      <w:pPr>
        <w:rPr>
          <w:del w:id="9506" w:author="AbbVie1" w:date="2025-05-13T09:57:00Z"/>
        </w:rPr>
      </w:pPr>
    </w:p>
    <w:p w14:paraId="419CE732" w14:textId="77777777" w:rsidR="00073F8F" w:rsidRPr="001B4A02" w:rsidRDefault="00073F8F" w:rsidP="00ED48A3">
      <w:pPr>
        <w:rPr>
          <w:del w:id="9507"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7EA49CF" w14:textId="77777777">
        <w:trPr>
          <w:del w:id="9508" w:author="AbbVie1" w:date="2025-05-13T09:57:00Z"/>
        </w:trPr>
        <w:tc>
          <w:tcPr>
            <w:tcW w:w="9287" w:type="dxa"/>
          </w:tcPr>
          <w:p w14:paraId="3B5E337E" w14:textId="77777777" w:rsidR="00073F8F" w:rsidRPr="001B4A02" w:rsidRDefault="00000000" w:rsidP="00ED48A3">
            <w:pPr>
              <w:tabs>
                <w:tab w:val="left" w:pos="142"/>
              </w:tabs>
              <w:rPr>
                <w:del w:id="9509" w:author="AbbVie1" w:date="2025-05-13T09:57:00Z"/>
                <w:b/>
              </w:rPr>
            </w:pPr>
            <w:del w:id="9510" w:author="AbbVie1" w:date="2025-05-13T09:57:00Z">
              <w:r w:rsidRPr="001B4A02">
                <w:rPr>
                  <w:b/>
                </w:rPr>
                <w:delText>5.</w:delText>
              </w:r>
              <w:r w:rsidRPr="001B4A02">
                <w:rPr>
                  <w:b/>
                </w:rPr>
                <w:tab/>
                <w:delText>ZPŮSOB A CESTA PODÁNÍ</w:delText>
              </w:r>
            </w:del>
          </w:p>
        </w:tc>
      </w:tr>
    </w:tbl>
    <w:p w14:paraId="621E464A" w14:textId="77777777" w:rsidR="00073F8F" w:rsidRPr="001B4A02" w:rsidRDefault="00073F8F" w:rsidP="00ED48A3">
      <w:pPr>
        <w:rPr>
          <w:del w:id="9511" w:author="AbbVie1" w:date="2025-05-13T09:57:00Z"/>
        </w:rPr>
      </w:pPr>
    </w:p>
    <w:p w14:paraId="3E7B78A6" w14:textId="77777777" w:rsidR="00073F8F" w:rsidRPr="001B4A02" w:rsidRDefault="00000000" w:rsidP="00ED48A3">
      <w:pPr>
        <w:rPr>
          <w:del w:id="9512" w:author="AbbVie1" w:date="2025-05-13T09:57:00Z"/>
        </w:rPr>
      </w:pPr>
      <w:del w:id="9513" w:author="AbbVie1" w:date="2025-05-13T09:57:00Z">
        <w:r w:rsidRPr="001B4A02">
          <w:delText>Subkutánní podání</w:delText>
        </w:r>
      </w:del>
    </w:p>
    <w:p w14:paraId="21D04422" w14:textId="77777777" w:rsidR="00073F8F" w:rsidRPr="001B4A02" w:rsidRDefault="00073F8F" w:rsidP="00ED48A3">
      <w:pPr>
        <w:rPr>
          <w:del w:id="9514" w:author="AbbVie1" w:date="2025-05-13T09:57:00Z"/>
        </w:rPr>
      </w:pPr>
    </w:p>
    <w:p w14:paraId="4DD29F4C" w14:textId="77777777" w:rsidR="00073F8F" w:rsidRPr="001B4A02" w:rsidRDefault="00000000" w:rsidP="00ED48A3">
      <w:pPr>
        <w:rPr>
          <w:del w:id="9515" w:author="AbbVie1" w:date="2025-05-13T09:57:00Z"/>
        </w:rPr>
      </w:pPr>
      <w:del w:id="9516" w:author="AbbVie1" w:date="2025-05-13T09:57:00Z">
        <w:r w:rsidRPr="001B4A02">
          <w:delText>Před použitím si přečtěte příbalovou informaci.</w:delText>
        </w:r>
      </w:del>
    </w:p>
    <w:p w14:paraId="2436035F" w14:textId="77777777" w:rsidR="008019A6" w:rsidRPr="001B4A02" w:rsidRDefault="008019A6" w:rsidP="00ED48A3">
      <w:pPr>
        <w:rPr>
          <w:del w:id="9517" w:author="AbbVie1" w:date="2025-05-13T09:57:00Z"/>
        </w:rPr>
      </w:pPr>
    </w:p>
    <w:p w14:paraId="472C2868" w14:textId="77777777" w:rsidR="008019A6" w:rsidRPr="001B4A02" w:rsidRDefault="00000000" w:rsidP="008019A6">
      <w:pPr>
        <w:rPr>
          <w:del w:id="9518" w:author="AbbVie1" w:date="2025-05-13T09:57:00Z"/>
        </w:rPr>
      </w:pPr>
      <w:del w:id="9519" w:author="AbbVie1" w:date="2025-05-13T09:57:00Z">
        <w:r w:rsidRPr="001B4A02">
          <w:delText>Pouze k jednorázovému použití</w:delText>
        </w:r>
        <w:r w:rsidR="004343F9" w:rsidRPr="001B4A02">
          <w:delText>.</w:delText>
        </w:r>
      </w:del>
    </w:p>
    <w:p w14:paraId="0416EFE8" w14:textId="77777777" w:rsidR="00073F8F" w:rsidRPr="001B4A02" w:rsidRDefault="00073F8F" w:rsidP="00ED48A3">
      <w:pPr>
        <w:rPr>
          <w:del w:id="9520" w:author="AbbVie1" w:date="2025-05-13T09:57:00Z"/>
        </w:rPr>
      </w:pPr>
    </w:p>
    <w:p w14:paraId="7EFE4DC0" w14:textId="77777777" w:rsidR="00073F8F" w:rsidRPr="001B4A02" w:rsidRDefault="00073F8F" w:rsidP="00ED48A3">
      <w:pPr>
        <w:rPr>
          <w:del w:id="9521"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46D04F9" w14:textId="77777777">
        <w:trPr>
          <w:del w:id="9522" w:author="AbbVie1" w:date="2025-05-13T09:57:00Z"/>
        </w:trPr>
        <w:tc>
          <w:tcPr>
            <w:tcW w:w="9287" w:type="dxa"/>
          </w:tcPr>
          <w:p w14:paraId="7CF9C0F9" w14:textId="77777777" w:rsidR="00073F8F" w:rsidRPr="001B4A02" w:rsidRDefault="00000000" w:rsidP="00ED48A3">
            <w:pPr>
              <w:tabs>
                <w:tab w:val="left" w:pos="142"/>
              </w:tabs>
              <w:rPr>
                <w:del w:id="9523" w:author="AbbVie1" w:date="2025-05-13T09:57:00Z"/>
                <w:b/>
              </w:rPr>
            </w:pPr>
            <w:del w:id="9524" w:author="AbbVie1" w:date="2025-05-13T09:57:00Z">
              <w:r w:rsidRPr="001B4A02">
                <w:rPr>
                  <w:b/>
                </w:rPr>
                <w:delText>6.</w:delText>
              </w:r>
              <w:r w:rsidRPr="001B4A02">
                <w:rPr>
                  <w:b/>
                </w:rPr>
                <w:tab/>
                <w:delText xml:space="preserve">ZVLÁŠTNÍ UPOZORNĚNÍ, ŽE LÉČIVÝ PŘÍPRAVEK MUSÍ BÝT UCHOVÁVÁN MIMO </w:delText>
              </w:r>
              <w:r w:rsidR="0041401B" w:rsidRPr="001B4A02">
                <w:rPr>
                  <w:b/>
                </w:rPr>
                <w:delText xml:space="preserve">DOHLED A </w:delText>
              </w:r>
              <w:r w:rsidRPr="001B4A02">
                <w:rPr>
                  <w:b/>
                </w:rPr>
                <w:delText>DOSAH DĚTÍ</w:delText>
              </w:r>
            </w:del>
          </w:p>
        </w:tc>
      </w:tr>
    </w:tbl>
    <w:p w14:paraId="35648951" w14:textId="77777777" w:rsidR="00073F8F" w:rsidRPr="001B4A02" w:rsidRDefault="00073F8F" w:rsidP="00ED48A3">
      <w:pPr>
        <w:rPr>
          <w:del w:id="9525" w:author="AbbVie1" w:date="2025-05-13T09:57:00Z"/>
        </w:rPr>
      </w:pPr>
    </w:p>
    <w:p w14:paraId="6CF4BF7D" w14:textId="77777777" w:rsidR="00073F8F" w:rsidRPr="001B4A02" w:rsidRDefault="00000000" w:rsidP="007F7787">
      <w:pPr>
        <w:rPr>
          <w:del w:id="9526" w:author="AbbVie1" w:date="2025-05-13T09:57:00Z"/>
        </w:rPr>
      </w:pPr>
      <w:del w:id="9527" w:author="AbbVie1" w:date="2025-05-13T09:57:00Z">
        <w:r w:rsidRPr="001B4A02">
          <w:delText>Uchovávejte mimo</w:delText>
        </w:r>
        <w:r w:rsidR="0041401B" w:rsidRPr="001B4A02">
          <w:delText xml:space="preserve"> dohled</w:delText>
        </w:r>
        <w:r w:rsidR="002378E0">
          <w:delText xml:space="preserve"> a </w:delText>
        </w:r>
        <w:r w:rsidRPr="001B4A02">
          <w:delText>dosah dětí.</w:delText>
        </w:r>
      </w:del>
    </w:p>
    <w:p w14:paraId="0463212A" w14:textId="77777777" w:rsidR="00073F8F" w:rsidRPr="001B4A02" w:rsidRDefault="00073F8F" w:rsidP="00ED48A3">
      <w:pPr>
        <w:rPr>
          <w:del w:id="9528" w:author="AbbVie1" w:date="2025-05-13T09:57:00Z"/>
        </w:rPr>
      </w:pPr>
    </w:p>
    <w:p w14:paraId="69FBFA62" w14:textId="77777777" w:rsidR="00073F8F" w:rsidRPr="001B4A02" w:rsidRDefault="00073F8F" w:rsidP="00ED48A3">
      <w:pPr>
        <w:rPr>
          <w:del w:id="9529"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1D78D73" w14:textId="77777777">
        <w:trPr>
          <w:del w:id="9530" w:author="AbbVie1" w:date="2025-05-13T09:57:00Z"/>
        </w:trPr>
        <w:tc>
          <w:tcPr>
            <w:tcW w:w="9287" w:type="dxa"/>
          </w:tcPr>
          <w:p w14:paraId="02C16F4D" w14:textId="77777777" w:rsidR="00073F8F" w:rsidRPr="001B4A02" w:rsidRDefault="00000000" w:rsidP="00ED48A3">
            <w:pPr>
              <w:tabs>
                <w:tab w:val="left" w:pos="142"/>
              </w:tabs>
              <w:rPr>
                <w:del w:id="9531" w:author="AbbVie1" w:date="2025-05-13T09:57:00Z"/>
                <w:b/>
              </w:rPr>
            </w:pPr>
            <w:del w:id="9532" w:author="AbbVie1" w:date="2025-05-13T09:57:00Z">
              <w:r w:rsidRPr="001B4A02">
                <w:rPr>
                  <w:b/>
                </w:rPr>
                <w:delText>7.</w:delText>
              </w:r>
              <w:r w:rsidRPr="001B4A02">
                <w:rPr>
                  <w:b/>
                </w:rPr>
                <w:tab/>
                <w:delText>DALŠÍ ZVLÁŠTNÍ UPOZORNĚNÍ, POKUD JE POTŘEBNÉ</w:delText>
              </w:r>
            </w:del>
          </w:p>
        </w:tc>
      </w:tr>
    </w:tbl>
    <w:p w14:paraId="555A62A0" w14:textId="77777777" w:rsidR="00073F8F" w:rsidRPr="001B4A02" w:rsidRDefault="00073F8F" w:rsidP="00ED48A3">
      <w:pPr>
        <w:rPr>
          <w:del w:id="9533" w:author="AbbVie1" w:date="2025-05-13T09:57:00Z"/>
        </w:rPr>
      </w:pPr>
    </w:p>
    <w:p w14:paraId="0786698C" w14:textId="77777777" w:rsidR="00073F8F" w:rsidRPr="001B4A02" w:rsidRDefault="00073F8F" w:rsidP="00ED48A3">
      <w:pPr>
        <w:rPr>
          <w:del w:id="9534"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19ED741" w14:textId="77777777">
        <w:trPr>
          <w:del w:id="9535" w:author="AbbVie1" w:date="2025-05-13T09:57:00Z"/>
        </w:trPr>
        <w:tc>
          <w:tcPr>
            <w:tcW w:w="9287" w:type="dxa"/>
          </w:tcPr>
          <w:p w14:paraId="4A8BD608" w14:textId="77777777" w:rsidR="00073F8F" w:rsidRPr="001B4A02" w:rsidRDefault="00000000" w:rsidP="00ED48A3">
            <w:pPr>
              <w:tabs>
                <w:tab w:val="left" w:pos="142"/>
              </w:tabs>
              <w:rPr>
                <w:del w:id="9536" w:author="AbbVie1" w:date="2025-05-13T09:57:00Z"/>
                <w:b/>
              </w:rPr>
            </w:pPr>
            <w:del w:id="9537" w:author="AbbVie1" w:date="2025-05-13T09:57:00Z">
              <w:r w:rsidRPr="001B4A02">
                <w:rPr>
                  <w:b/>
                </w:rPr>
                <w:delText>8.</w:delText>
              </w:r>
              <w:r w:rsidRPr="001B4A02">
                <w:rPr>
                  <w:b/>
                </w:rPr>
                <w:tab/>
                <w:delText>POUŽITELNOST</w:delText>
              </w:r>
            </w:del>
          </w:p>
        </w:tc>
      </w:tr>
    </w:tbl>
    <w:p w14:paraId="75B4DD75" w14:textId="77777777" w:rsidR="00073F8F" w:rsidRPr="001B4A02" w:rsidRDefault="00073F8F" w:rsidP="00ED48A3">
      <w:pPr>
        <w:rPr>
          <w:del w:id="9538" w:author="AbbVie1" w:date="2025-05-13T09:57:00Z"/>
        </w:rPr>
      </w:pPr>
    </w:p>
    <w:p w14:paraId="36A0D3A8" w14:textId="77777777" w:rsidR="00073F8F" w:rsidRPr="001B4A02" w:rsidRDefault="00000000" w:rsidP="007F7787">
      <w:pPr>
        <w:rPr>
          <w:del w:id="9539" w:author="AbbVie1" w:date="2025-05-13T09:57:00Z"/>
        </w:rPr>
      </w:pPr>
      <w:del w:id="9540" w:author="AbbVie1" w:date="2025-05-13T09:57:00Z">
        <w:r w:rsidRPr="001B4A02">
          <w:delText xml:space="preserve">EXP </w:delText>
        </w:r>
      </w:del>
    </w:p>
    <w:p w14:paraId="52E49B23" w14:textId="77777777" w:rsidR="00073F8F" w:rsidRPr="001B4A02" w:rsidRDefault="00073F8F" w:rsidP="00ED48A3">
      <w:pPr>
        <w:rPr>
          <w:del w:id="9541" w:author="AbbVie1" w:date="2025-05-13T09:57:00Z"/>
        </w:rPr>
      </w:pPr>
    </w:p>
    <w:p w14:paraId="27207604" w14:textId="77777777" w:rsidR="003B190C" w:rsidRPr="001B4A02" w:rsidRDefault="003B190C" w:rsidP="00ED48A3">
      <w:pPr>
        <w:rPr>
          <w:del w:id="9542"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6C18644" w14:textId="77777777">
        <w:trPr>
          <w:del w:id="9543" w:author="AbbVie1" w:date="2025-05-13T09:57:00Z"/>
        </w:trPr>
        <w:tc>
          <w:tcPr>
            <w:tcW w:w="9287" w:type="dxa"/>
          </w:tcPr>
          <w:p w14:paraId="235C4B4D" w14:textId="77777777" w:rsidR="00073F8F" w:rsidRPr="001B4A02" w:rsidRDefault="00000000" w:rsidP="00ED48A3">
            <w:pPr>
              <w:keepNext/>
              <w:tabs>
                <w:tab w:val="left" w:pos="142"/>
              </w:tabs>
              <w:rPr>
                <w:del w:id="9544" w:author="AbbVie1" w:date="2025-05-13T09:57:00Z"/>
              </w:rPr>
            </w:pPr>
            <w:del w:id="9545" w:author="AbbVie1" w:date="2025-05-13T09:57:00Z">
              <w:r w:rsidRPr="001B4A02">
                <w:rPr>
                  <w:b/>
                </w:rPr>
                <w:delText>9.</w:delText>
              </w:r>
              <w:r w:rsidRPr="001B4A02">
                <w:rPr>
                  <w:b/>
                </w:rPr>
                <w:tab/>
                <w:delText>ZVLÁŠTNÍ PODMÍNKY PRO UCHOVÁVÁNÍ</w:delText>
              </w:r>
            </w:del>
          </w:p>
        </w:tc>
      </w:tr>
    </w:tbl>
    <w:p w14:paraId="6948A881" w14:textId="77777777" w:rsidR="00073F8F" w:rsidRPr="001B4A02" w:rsidRDefault="00073F8F" w:rsidP="00ED48A3">
      <w:pPr>
        <w:keepNext/>
        <w:ind w:left="0" w:firstLine="0"/>
        <w:rPr>
          <w:del w:id="9546" w:author="AbbVie1" w:date="2025-05-13T09:57:00Z"/>
        </w:rPr>
      </w:pPr>
    </w:p>
    <w:p w14:paraId="237559D9" w14:textId="77777777" w:rsidR="00073F8F" w:rsidRPr="001B4A02" w:rsidRDefault="00000000" w:rsidP="00ED48A3">
      <w:pPr>
        <w:keepNext/>
        <w:ind w:left="0" w:firstLine="0"/>
        <w:rPr>
          <w:del w:id="9547" w:author="AbbVie1" w:date="2025-05-13T09:57:00Z"/>
        </w:rPr>
      </w:pPr>
      <w:del w:id="9548" w:author="AbbVie1" w:date="2025-05-13T09:57:00Z">
        <w:r w:rsidRPr="001B4A02">
          <w:delText xml:space="preserve">Uchovávejte v chladničce. </w:delText>
        </w:r>
        <w:r w:rsidR="00F62C69" w:rsidRPr="001B4A02">
          <w:delText>Chraňte před mrazem.</w:delText>
        </w:r>
      </w:del>
    </w:p>
    <w:p w14:paraId="68048C68" w14:textId="77777777" w:rsidR="007250BE" w:rsidRPr="001B4A02" w:rsidRDefault="00000000" w:rsidP="00ED48A3">
      <w:pPr>
        <w:keepNext/>
        <w:rPr>
          <w:del w:id="9549" w:author="AbbVie1" w:date="2025-05-13T09:57:00Z"/>
        </w:rPr>
      </w:pPr>
      <w:del w:id="9550" w:author="AbbVie1" w:date="2025-05-13T09:57:00Z">
        <w:r w:rsidRPr="001B4A02">
          <w:delText>Pro další možnosti uchovávání viz příbalov</w:delText>
        </w:r>
        <w:r w:rsidR="00DE3467">
          <w:delText>á</w:delText>
        </w:r>
        <w:r w:rsidRPr="001B4A02">
          <w:delText xml:space="preserve"> informac</w:delText>
        </w:r>
        <w:r w:rsidR="00DE3467">
          <w:delText>e</w:delText>
        </w:r>
        <w:r w:rsidRPr="001B4A02">
          <w:delText>.</w:delText>
        </w:r>
      </w:del>
    </w:p>
    <w:p w14:paraId="118B62ED" w14:textId="77777777" w:rsidR="007250BE" w:rsidRPr="001B4A02" w:rsidRDefault="007250BE" w:rsidP="00ED48A3">
      <w:pPr>
        <w:keepNext/>
        <w:rPr>
          <w:del w:id="9551" w:author="AbbVie1" w:date="2025-05-13T09:57:00Z"/>
        </w:rPr>
      </w:pPr>
    </w:p>
    <w:p w14:paraId="2B5EDC37" w14:textId="77777777" w:rsidR="00073F8F" w:rsidRPr="001B4A02" w:rsidRDefault="00000000" w:rsidP="00ED48A3">
      <w:pPr>
        <w:keepNext/>
        <w:rPr>
          <w:del w:id="9552" w:author="AbbVie1" w:date="2025-05-13T09:57:00Z"/>
        </w:rPr>
      </w:pPr>
      <w:del w:id="9553" w:author="AbbVie1" w:date="2025-05-13T09:57:00Z">
        <w:r w:rsidRPr="001B4A02">
          <w:delText>Uchovávejte předplněné pero v krabičce</w:delText>
        </w:r>
        <w:r w:rsidR="007250BE" w:rsidRPr="001B4A02">
          <w:delText>, aby byl přípravek chráněn před světlem</w:delText>
        </w:r>
        <w:r w:rsidRPr="001B4A02">
          <w:delText>.</w:delText>
        </w:r>
      </w:del>
    </w:p>
    <w:p w14:paraId="7132F3B5" w14:textId="77777777" w:rsidR="00073F8F" w:rsidRPr="001B4A02" w:rsidRDefault="00073F8F" w:rsidP="00ED48A3">
      <w:pPr>
        <w:keepNext/>
        <w:rPr>
          <w:del w:id="9554" w:author="AbbVie1" w:date="2025-05-13T09:57:00Z"/>
        </w:rPr>
      </w:pPr>
    </w:p>
    <w:p w14:paraId="4ABC5CC4" w14:textId="77777777" w:rsidR="00073F8F" w:rsidRPr="001B4A02" w:rsidRDefault="00073F8F" w:rsidP="004343F9">
      <w:pPr>
        <w:rPr>
          <w:del w:id="9555"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029E2FB" w14:textId="77777777">
        <w:trPr>
          <w:del w:id="9556" w:author="AbbVie1" w:date="2025-05-13T09:57:00Z"/>
        </w:trPr>
        <w:tc>
          <w:tcPr>
            <w:tcW w:w="9287" w:type="dxa"/>
          </w:tcPr>
          <w:p w14:paraId="373FA857" w14:textId="77777777" w:rsidR="00073F8F" w:rsidRPr="001B4A02" w:rsidRDefault="00000000" w:rsidP="00ED48A3">
            <w:pPr>
              <w:tabs>
                <w:tab w:val="left" w:pos="142"/>
              </w:tabs>
              <w:rPr>
                <w:del w:id="9557" w:author="AbbVie1" w:date="2025-05-13T09:57:00Z"/>
                <w:b/>
              </w:rPr>
            </w:pPr>
            <w:del w:id="9558" w:author="AbbVie1" w:date="2025-05-13T09:57:00Z">
              <w:r w:rsidRPr="001B4A02">
                <w:rPr>
                  <w:b/>
                </w:rPr>
                <w:delText>10.</w:delText>
              </w:r>
              <w:r w:rsidRPr="001B4A02">
                <w:rPr>
                  <w:b/>
                </w:rPr>
                <w:tab/>
                <w:delText>ZVLÁŠTNÍ OPATŘENÍ PRO LIKVIDACI NEPOUŽITÝCH LÉČIVÝCH PŘÍPRAVKŮ NEBO ODPADU Z </w:delText>
              </w:r>
              <w:r w:rsidR="00DE5AC6" w:rsidRPr="001B4A02">
                <w:rPr>
                  <w:b/>
                </w:rPr>
                <w:delText>NICH</w:delText>
              </w:r>
              <w:r w:rsidRPr="001B4A02">
                <w:rPr>
                  <w:b/>
                </w:rPr>
                <w:delText>, POKUD JE TO VHODNÉ</w:delText>
              </w:r>
            </w:del>
          </w:p>
        </w:tc>
      </w:tr>
    </w:tbl>
    <w:p w14:paraId="01F574B4" w14:textId="77777777" w:rsidR="00073F8F" w:rsidRPr="001B4A02" w:rsidRDefault="00073F8F" w:rsidP="00ED48A3">
      <w:pPr>
        <w:rPr>
          <w:del w:id="9559" w:author="AbbVie1" w:date="2025-05-13T09:57:00Z"/>
        </w:rPr>
      </w:pPr>
    </w:p>
    <w:p w14:paraId="408AD5BD" w14:textId="77777777" w:rsidR="00073F8F" w:rsidRPr="001B4A02" w:rsidRDefault="00073F8F" w:rsidP="00ED48A3">
      <w:pPr>
        <w:rPr>
          <w:del w:id="9560"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A896B14" w14:textId="77777777">
        <w:trPr>
          <w:del w:id="9561" w:author="AbbVie1" w:date="2025-05-13T09:57:00Z"/>
        </w:trPr>
        <w:tc>
          <w:tcPr>
            <w:tcW w:w="9287" w:type="dxa"/>
          </w:tcPr>
          <w:p w14:paraId="29367DEB" w14:textId="77777777" w:rsidR="00073F8F" w:rsidRPr="001B4A02" w:rsidRDefault="00000000" w:rsidP="00ED48A3">
            <w:pPr>
              <w:tabs>
                <w:tab w:val="left" w:pos="142"/>
              </w:tabs>
              <w:rPr>
                <w:del w:id="9562" w:author="AbbVie1" w:date="2025-05-13T09:57:00Z"/>
                <w:b/>
              </w:rPr>
            </w:pPr>
            <w:del w:id="9563" w:author="AbbVie1" w:date="2025-05-13T09:57:00Z">
              <w:r w:rsidRPr="001B4A02">
                <w:rPr>
                  <w:b/>
                </w:rPr>
                <w:delText>11.</w:delText>
              </w:r>
              <w:r w:rsidRPr="001B4A02">
                <w:rPr>
                  <w:b/>
                </w:rPr>
                <w:tab/>
                <w:delText>NÁZEV A ADRESA DRŽITELE ROZHODNUTÍ O REGISTRACI</w:delText>
              </w:r>
            </w:del>
          </w:p>
        </w:tc>
      </w:tr>
    </w:tbl>
    <w:p w14:paraId="74DD9569" w14:textId="77777777" w:rsidR="00073F8F" w:rsidRPr="001B4A02" w:rsidRDefault="00073F8F" w:rsidP="00ED48A3">
      <w:pPr>
        <w:rPr>
          <w:del w:id="9564" w:author="AbbVie1" w:date="2025-05-13T09:57:00Z"/>
        </w:rPr>
      </w:pPr>
    </w:p>
    <w:p w14:paraId="73B9D15B" w14:textId="77777777" w:rsidR="00E86403" w:rsidRPr="001B4A02" w:rsidRDefault="00000000" w:rsidP="00E86403">
      <w:pPr>
        <w:keepNext/>
        <w:autoSpaceDE w:val="0"/>
        <w:autoSpaceDN w:val="0"/>
        <w:adjustRightInd w:val="0"/>
        <w:spacing w:line="240" w:lineRule="atLeast"/>
        <w:rPr>
          <w:del w:id="9565" w:author="AbbVie1" w:date="2025-05-13T09:57:00Z"/>
          <w:szCs w:val="22"/>
          <w:lang w:eastAsia="en-GB"/>
        </w:rPr>
      </w:pPr>
      <w:del w:id="9566" w:author="AbbVie1" w:date="2025-05-13T09:57:00Z">
        <w:r w:rsidRPr="001B4A02">
          <w:rPr>
            <w:szCs w:val="22"/>
            <w:lang w:eastAsia="en-GB"/>
          </w:rPr>
          <w:delText>AbbVie Deutschland GmbH &amp; Co. KG</w:delText>
        </w:r>
      </w:del>
    </w:p>
    <w:p w14:paraId="3AA185C6" w14:textId="77777777" w:rsidR="00E86403" w:rsidRPr="001B4A02" w:rsidRDefault="00000000" w:rsidP="00E86403">
      <w:pPr>
        <w:keepNext/>
        <w:autoSpaceDE w:val="0"/>
        <w:autoSpaceDN w:val="0"/>
        <w:adjustRightInd w:val="0"/>
        <w:spacing w:line="240" w:lineRule="atLeast"/>
        <w:rPr>
          <w:del w:id="9567" w:author="AbbVie1" w:date="2025-05-13T09:57:00Z"/>
          <w:szCs w:val="22"/>
          <w:lang w:eastAsia="en-GB"/>
        </w:rPr>
      </w:pPr>
      <w:del w:id="9568" w:author="AbbVie1" w:date="2025-05-13T09:57:00Z">
        <w:r w:rsidRPr="001B4A02">
          <w:rPr>
            <w:szCs w:val="22"/>
            <w:lang w:eastAsia="en-GB"/>
          </w:rPr>
          <w:delText>Knollstrasse</w:delText>
        </w:r>
      </w:del>
    </w:p>
    <w:p w14:paraId="6195BE31" w14:textId="77777777" w:rsidR="00E86403" w:rsidRPr="001B4A02" w:rsidRDefault="00000000" w:rsidP="00E86403">
      <w:pPr>
        <w:keepNext/>
        <w:autoSpaceDE w:val="0"/>
        <w:autoSpaceDN w:val="0"/>
        <w:adjustRightInd w:val="0"/>
        <w:spacing w:line="240" w:lineRule="atLeast"/>
        <w:rPr>
          <w:del w:id="9569" w:author="AbbVie1" w:date="2025-05-13T09:57:00Z"/>
          <w:szCs w:val="22"/>
          <w:lang w:eastAsia="en-GB"/>
        </w:rPr>
      </w:pPr>
      <w:del w:id="9570" w:author="AbbVie1" w:date="2025-05-13T09:57:00Z">
        <w:r w:rsidRPr="001B4A02">
          <w:rPr>
            <w:szCs w:val="22"/>
            <w:lang w:eastAsia="en-GB"/>
          </w:rPr>
          <w:delText>67061 Ludwigshafen</w:delText>
        </w:r>
      </w:del>
    </w:p>
    <w:p w14:paraId="48AE3FA8" w14:textId="77777777" w:rsidR="00073F8F" w:rsidRPr="001B4A02" w:rsidRDefault="00000000" w:rsidP="00ED48A3">
      <w:pPr>
        <w:ind w:left="0" w:firstLine="0"/>
        <w:rPr>
          <w:del w:id="9571" w:author="AbbVie1" w:date="2025-05-13T09:57:00Z"/>
        </w:rPr>
      </w:pPr>
      <w:del w:id="9572" w:author="AbbVie1" w:date="2025-05-13T09:57:00Z">
        <w:r w:rsidRPr="001B4A02">
          <w:rPr>
            <w:szCs w:val="22"/>
            <w:lang w:eastAsia="en-GB"/>
          </w:rPr>
          <w:delText>Německo</w:delText>
        </w:r>
      </w:del>
    </w:p>
    <w:p w14:paraId="5FCCF269" w14:textId="77777777" w:rsidR="00073F8F" w:rsidRPr="001B4A02" w:rsidRDefault="00073F8F" w:rsidP="00ED48A3">
      <w:pPr>
        <w:rPr>
          <w:del w:id="9573" w:author="AbbVie1" w:date="2025-05-13T09:57:00Z"/>
        </w:rPr>
      </w:pPr>
    </w:p>
    <w:p w14:paraId="547C92F1" w14:textId="77777777" w:rsidR="003E7CE1" w:rsidRPr="001B4A02" w:rsidRDefault="003E7CE1" w:rsidP="00ED48A3">
      <w:pPr>
        <w:rPr>
          <w:del w:id="9574"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AACBC11" w14:textId="77777777">
        <w:trPr>
          <w:del w:id="9575" w:author="AbbVie1" w:date="2025-05-13T09:57:00Z"/>
        </w:trPr>
        <w:tc>
          <w:tcPr>
            <w:tcW w:w="9287" w:type="dxa"/>
          </w:tcPr>
          <w:p w14:paraId="4A1DF780" w14:textId="77777777" w:rsidR="00073F8F" w:rsidRPr="001B4A02" w:rsidRDefault="00000000" w:rsidP="00ED48A3">
            <w:pPr>
              <w:tabs>
                <w:tab w:val="left" w:pos="142"/>
              </w:tabs>
              <w:rPr>
                <w:del w:id="9576" w:author="AbbVie1" w:date="2025-05-13T09:57:00Z"/>
                <w:b/>
              </w:rPr>
            </w:pPr>
            <w:del w:id="9577" w:author="AbbVie1" w:date="2025-05-13T09:57:00Z">
              <w:r w:rsidRPr="001B4A02">
                <w:rPr>
                  <w:b/>
                </w:rPr>
                <w:delText>12.</w:delText>
              </w:r>
              <w:r w:rsidRPr="001B4A02">
                <w:rPr>
                  <w:b/>
                </w:rPr>
                <w:tab/>
                <w:delText>REGISTRAČNÍ ČÍSL</w:delText>
              </w:r>
              <w:r w:rsidR="004343F9" w:rsidRPr="001B4A02">
                <w:rPr>
                  <w:b/>
                </w:rPr>
                <w:delText>A</w:delText>
              </w:r>
            </w:del>
          </w:p>
        </w:tc>
      </w:tr>
    </w:tbl>
    <w:p w14:paraId="4FB7DED2" w14:textId="77777777" w:rsidR="00073F8F" w:rsidRPr="001B4A02" w:rsidRDefault="00073F8F" w:rsidP="00ED48A3">
      <w:pPr>
        <w:rPr>
          <w:del w:id="9578" w:author="AbbVie1" w:date="2025-05-13T09:57:00Z"/>
        </w:rPr>
      </w:pPr>
    </w:p>
    <w:p w14:paraId="5BEC07DD" w14:textId="77777777" w:rsidR="00073F8F" w:rsidRPr="001B4A02" w:rsidRDefault="00000000" w:rsidP="007F7787">
      <w:pPr>
        <w:rPr>
          <w:del w:id="9579" w:author="AbbVie1" w:date="2025-05-13T09:57:00Z"/>
        </w:rPr>
      </w:pPr>
      <w:del w:id="9580" w:author="AbbVie1" w:date="2025-05-13T09:57:00Z">
        <w:r w:rsidRPr="001B4A02">
          <w:delText>EU/1/03/256/007</w:delText>
        </w:r>
      </w:del>
    </w:p>
    <w:p w14:paraId="08F68081" w14:textId="77777777" w:rsidR="00E97653" w:rsidRPr="001B4A02" w:rsidRDefault="00000000" w:rsidP="00E97653">
      <w:pPr>
        <w:ind w:left="540" w:hanging="540"/>
        <w:rPr>
          <w:del w:id="9581" w:author="AbbVie1" w:date="2025-05-13T09:57:00Z"/>
          <w:highlight w:val="lightGray"/>
        </w:rPr>
      </w:pPr>
      <w:del w:id="9582" w:author="AbbVie1" w:date="2025-05-13T09:57:00Z">
        <w:r w:rsidRPr="001B4A02">
          <w:rPr>
            <w:highlight w:val="lightGray"/>
          </w:rPr>
          <w:delText>EU/1/03/256/008</w:delText>
        </w:r>
      </w:del>
    </w:p>
    <w:p w14:paraId="73AC98D2" w14:textId="77777777" w:rsidR="00E97653" w:rsidRPr="001B4A02" w:rsidRDefault="00000000" w:rsidP="00E97653">
      <w:pPr>
        <w:ind w:left="540" w:hanging="540"/>
        <w:rPr>
          <w:del w:id="9583" w:author="AbbVie1" w:date="2025-05-13T09:57:00Z"/>
          <w:highlight w:val="lightGray"/>
        </w:rPr>
      </w:pPr>
      <w:del w:id="9584" w:author="AbbVie1" w:date="2025-05-13T09:57:00Z">
        <w:r w:rsidRPr="001B4A02">
          <w:rPr>
            <w:highlight w:val="lightGray"/>
          </w:rPr>
          <w:delText>EU/1/03/256/009</w:delText>
        </w:r>
      </w:del>
    </w:p>
    <w:p w14:paraId="3F6FA6D3" w14:textId="77777777" w:rsidR="00073F8F" w:rsidRPr="001B4A02" w:rsidRDefault="00000000" w:rsidP="00ED48A3">
      <w:pPr>
        <w:rPr>
          <w:del w:id="9585" w:author="AbbVie1" w:date="2025-05-13T09:57:00Z"/>
        </w:rPr>
      </w:pPr>
      <w:del w:id="9586" w:author="AbbVie1" w:date="2025-05-13T09:57:00Z">
        <w:r w:rsidRPr="001B4A02">
          <w:rPr>
            <w:highlight w:val="lightGray"/>
          </w:rPr>
          <w:delText>EU/1/03/256/010</w:delText>
        </w:r>
      </w:del>
    </w:p>
    <w:p w14:paraId="395FD447" w14:textId="77777777" w:rsidR="00073F8F" w:rsidRPr="001B4A02" w:rsidRDefault="00073F8F" w:rsidP="00ED48A3">
      <w:pPr>
        <w:rPr>
          <w:del w:id="9587" w:author="AbbVie1" w:date="2025-05-13T09:57:00Z"/>
        </w:rPr>
      </w:pPr>
    </w:p>
    <w:p w14:paraId="2C5F89A7" w14:textId="77777777" w:rsidR="00746304" w:rsidRPr="001B4A02" w:rsidRDefault="00746304" w:rsidP="00ED48A3">
      <w:pPr>
        <w:rPr>
          <w:del w:id="9588"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8D2315F" w14:textId="77777777">
        <w:trPr>
          <w:del w:id="9589" w:author="AbbVie1" w:date="2025-05-13T09:57:00Z"/>
        </w:trPr>
        <w:tc>
          <w:tcPr>
            <w:tcW w:w="9287" w:type="dxa"/>
          </w:tcPr>
          <w:p w14:paraId="683087AF" w14:textId="77777777" w:rsidR="00073F8F" w:rsidRPr="001B4A02" w:rsidRDefault="00000000" w:rsidP="00ED48A3">
            <w:pPr>
              <w:tabs>
                <w:tab w:val="left" w:pos="142"/>
              </w:tabs>
              <w:rPr>
                <w:del w:id="9590" w:author="AbbVie1" w:date="2025-05-13T09:57:00Z"/>
                <w:b/>
              </w:rPr>
            </w:pPr>
            <w:del w:id="9591" w:author="AbbVie1" w:date="2025-05-13T09:57:00Z">
              <w:r w:rsidRPr="001B4A02">
                <w:rPr>
                  <w:b/>
                </w:rPr>
                <w:delText>13.</w:delText>
              </w:r>
              <w:r w:rsidRPr="001B4A02">
                <w:rPr>
                  <w:b/>
                </w:rPr>
                <w:tab/>
                <w:delText>ČÍSLO ŠARŽE</w:delText>
              </w:r>
            </w:del>
          </w:p>
        </w:tc>
      </w:tr>
    </w:tbl>
    <w:p w14:paraId="22BCD976" w14:textId="77777777" w:rsidR="00073F8F" w:rsidRPr="001B4A02" w:rsidRDefault="00073F8F" w:rsidP="00ED48A3">
      <w:pPr>
        <w:rPr>
          <w:del w:id="9592" w:author="AbbVie1" w:date="2025-05-13T09:57:00Z"/>
        </w:rPr>
      </w:pPr>
    </w:p>
    <w:p w14:paraId="41EF5670" w14:textId="77777777" w:rsidR="00073F8F" w:rsidRPr="001B4A02" w:rsidRDefault="00000000" w:rsidP="00ED48A3">
      <w:pPr>
        <w:rPr>
          <w:del w:id="9593" w:author="AbbVie1" w:date="2025-05-13T09:57:00Z"/>
        </w:rPr>
      </w:pPr>
      <w:del w:id="9594" w:author="AbbVie1" w:date="2025-05-13T09:57:00Z">
        <w:r w:rsidRPr="001B4A02">
          <w:delText>Č. šarže</w:delText>
        </w:r>
      </w:del>
    </w:p>
    <w:p w14:paraId="15D3E6F9" w14:textId="77777777" w:rsidR="00073F8F" w:rsidRPr="001B4A02" w:rsidRDefault="00073F8F" w:rsidP="00ED48A3">
      <w:pPr>
        <w:rPr>
          <w:del w:id="9595" w:author="AbbVie1" w:date="2025-05-13T09:57:00Z"/>
        </w:rPr>
      </w:pPr>
    </w:p>
    <w:p w14:paraId="7D50A197" w14:textId="77777777" w:rsidR="00073F8F" w:rsidRPr="001B4A02" w:rsidRDefault="00073F8F" w:rsidP="00ED48A3">
      <w:pPr>
        <w:rPr>
          <w:del w:id="9596"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9A207C0" w14:textId="77777777">
        <w:trPr>
          <w:del w:id="9597" w:author="AbbVie1" w:date="2025-05-13T09:57:00Z"/>
        </w:trPr>
        <w:tc>
          <w:tcPr>
            <w:tcW w:w="9287" w:type="dxa"/>
          </w:tcPr>
          <w:p w14:paraId="19541478" w14:textId="77777777" w:rsidR="00073F8F" w:rsidRPr="001B4A02" w:rsidRDefault="00000000" w:rsidP="00ED48A3">
            <w:pPr>
              <w:tabs>
                <w:tab w:val="left" w:pos="142"/>
              </w:tabs>
              <w:rPr>
                <w:del w:id="9598" w:author="AbbVie1" w:date="2025-05-13T09:57:00Z"/>
                <w:b/>
              </w:rPr>
            </w:pPr>
            <w:del w:id="9599" w:author="AbbVie1" w:date="2025-05-13T09:57:00Z">
              <w:r w:rsidRPr="001B4A02">
                <w:rPr>
                  <w:b/>
                </w:rPr>
                <w:delText>14.</w:delText>
              </w:r>
              <w:r w:rsidRPr="001B4A02">
                <w:rPr>
                  <w:b/>
                </w:rPr>
                <w:tab/>
                <w:delText>KLASIFIKACE PRO VÝDEJ</w:delText>
              </w:r>
            </w:del>
          </w:p>
        </w:tc>
      </w:tr>
    </w:tbl>
    <w:p w14:paraId="68102784" w14:textId="77777777" w:rsidR="00073F8F" w:rsidRPr="001B4A02" w:rsidRDefault="00073F8F" w:rsidP="00ED48A3">
      <w:pPr>
        <w:ind w:left="0" w:firstLine="0"/>
        <w:rPr>
          <w:del w:id="9600" w:author="AbbVie1" w:date="2025-05-13T09:57:00Z"/>
        </w:rPr>
      </w:pPr>
    </w:p>
    <w:p w14:paraId="4EC8D9D4" w14:textId="77777777" w:rsidR="00073F8F" w:rsidRPr="001B4A02" w:rsidRDefault="00073F8F" w:rsidP="00ED48A3">
      <w:pPr>
        <w:rPr>
          <w:del w:id="9601"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700303D" w14:textId="77777777">
        <w:trPr>
          <w:del w:id="9602" w:author="AbbVie1" w:date="2025-05-13T09:57:00Z"/>
        </w:trPr>
        <w:tc>
          <w:tcPr>
            <w:tcW w:w="9287" w:type="dxa"/>
          </w:tcPr>
          <w:p w14:paraId="0A5982EB" w14:textId="77777777" w:rsidR="00073F8F" w:rsidRPr="001B4A02" w:rsidRDefault="00000000" w:rsidP="00ED48A3">
            <w:pPr>
              <w:tabs>
                <w:tab w:val="left" w:pos="142"/>
              </w:tabs>
              <w:rPr>
                <w:del w:id="9603" w:author="AbbVie1" w:date="2025-05-13T09:57:00Z"/>
                <w:b/>
              </w:rPr>
            </w:pPr>
            <w:del w:id="9604" w:author="AbbVie1" w:date="2025-05-13T09:57:00Z">
              <w:r w:rsidRPr="001B4A02">
                <w:rPr>
                  <w:b/>
                </w:rPr>
                <w:delText>15.</w:delText>
              </w:r>
              <w:r w:rsidRPr="001B4A02">
                <w:rPr>
                  <w:b/>
                </w:rPr>
                <w:tab/>
                <w:delText>NÁVOD K POUŽITÍ</w:delText>
              </w:r>
            </w:del>
          </w:p>
        </w:tc>
      </w:tr>
    </w:tbl>
    <w:p w14:paraId="4D4756D9" w14:textId="77777777" w:rsidR="00073F8F" w:rsidRPr="001B4A02" w:rsidRDefault="00073F8F" w:rsidP="00ED48A3">
      <w:pPr>
        <w:rPr>
          <w:del w:id="9605" w:author="AbbVie1" w:date="2025-05-13T09:57:00Z"/>
          <w:u w:val="single"/>
        </w:rPr>
      </w:pPr>
    </w:p>
    <w:p w14:paraId="44DB8FA2" w14:textId="77777777" w:rsidR="00073F8F" w:rsidRPr="001B4A02" w:rsidRDefault="00073F8F" w:rsidP="00ED48A3">
      <w:pPr>
        <w:ind w:left="0" w:firstLine="0"/>
        <w:rPr>
          <w:del w:id="9606" w:author="AbbVie1" w:date="2025-05-13T09:57:00Z"/>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56592F2" w14:textId="77777777">
        <w:trPr>
          <w:del w:id="9607" w:author="AbbVie1" w:date="2025-05-13T09:57:00Z"/>
        </w:trPr>
        <w:tc>
          <w:tcPr>
            <w:tcW w:w="9287" w:type="dxa"/>
          </w:tcPr>
          <w:p w14:paraId="36221AA9" w14:textId="77777777" w:rsidR="00073F8F" w:rsidRPr="001B4A02" w:rsidRDefault="00000000" w:rsidP="00ED48A3">
            <w:pPr>
              <w:tabs>
                <w:tab w:val="left" w:pos="142"/>
              </w:tabs>
              <w:rPr>
                <w:del w:id="9608" w:author="AbbVie1" w:date="2025-05-13T09:57:00Z"/>
                <w:b/>
              </w:rPr>
            </w:pPr>
            <w:del w:id="9609" w:author="AbbVie1" w:date="2025-05-13T09:57:00Z">
              <w:r w:rsidRPr="001B4A02">
                <w:rPr>
                  <w:b/>
                </w:rPr>
                <w:delText>16.</w:delText>
              </w:r>
              <w:r w:rsidRPr="001B4A02">
                <w:rPr>
                  <w:b/>
                </w:rPr>
                <w:tab/>
                <w:delText>INFORMACE V BRAILLOVĚ PÍSMU</w:delText>
              </w:r>
            </w:del>
          </w:p>
        </w:tc>
      </w:tr>
    </w:tbl>
    <w:p w14:paraId="34C327AE" w14:textId="77777777" w:rsidR="00073F8F" w:rsidRPr="001B4A02" w:rsidRDefault="00073F8F" w:rsidP="00ED48A3">
      <w:pPr>
        <w:rPr>
          <w:del w:id="9610" w:author="AbbVie1" w:date="2025-05-13T09:57:00Z"/>
          <w:u w:val="single"/>
        </w:rPr>
      </w:pPr>
    </w:p>
    <w:p w14:paraId="3DD608EA" w14:textId="77777777" w:rsidR="00073F8F" w:rsidRPr="001B4A02" w:rsidRDefault="00000000" w:rsidP="00ED48A3">
      <w:pPr>
        <w:rPr>
          <w:del w:id="9611" w:author="AbbVie1" w:date="2025-05-13T09:57:00Z"/>
        </w:rPr>
      </w:pPr>
      <w:del w:id="9612" w:author="AbbVie1" w:date="2025-05-13T09:57:00Z">
        <w:r w:rsidRPr="001B4A02">
          <w:delText>Humira 40 mg</w:delText>
        </w:r>
      </w:del>
    </w:p>
    <w:p w14:paraId="5720D684" w14:textId="77777777" w:rsidR="00400D97" w:rsidRPr="001B4A02" w:rsidRDefault="00400D97" w:rsidP="00ED48A3">
      <w:pPr>
        <w:rPr>
          <w:del w:id="9613" w:author="AbbVie1" w:date="2025-05-13T09:57:00Z"/>
        </w:rPr>
      </w:pPr>
    </w:p>
    <w:p w14:paraId="21D27A2B" w14:textId="77777777" w:rsidR="00400D97" w:rsidRPr="001B4A02" w:rsidRDefault="00400D97" w:rsidP="00ED48A3">
      <w:pPr>
        <w:rPr>
          <w:del w:id="9614" w:author="AbbVie1" w:date="2025-05-13T09:57:00Z"/>
        </w:rPr>
      </w:pPr>
    </w:p>
    <w:p w14:paraId="22A592E6" w14:textId="77777777" w:rsidR="00400D97" w:rsidRPr="001B4A02" w:rsidRDefault="00000000" w:rsidP="00ED48A3">
      <w:pPr>
        <w:pStyle w:val="EMEAHeadingBoxedTitle"/>
        <w:ind w:left="0" w:firstLine="0"/>
        <w:rPr>
          <w:del w:id="9615" w:author="AbbVie1" w:date="2025-05-13T09:57:00Z"/>
          <w:rFonts w:ascii="Times New Roman" w:hAnsi="Times New Roman"/>
          <w:b/>
          <w:bCs/>
          <w:lang w:val="cs-CZ"/>
        </w:rPr>
      </w:pPr>
      <w:del w:id="9616" w:author="AbbVie1" w:date="2025-05-13T09:57:00Z">
        <w:r w:rsidRPr="001B4A02">
          <w:rPr>
            <w:rFonts w:ascii="Times New Roman" w:hAnsi="Times New Roman"/>
            <w:b/>
            <w:bCs/>
            <w:lang w:val="cs-CZ"/>
          </w:rPr>
          <w:delText>17.</w:delText>
        </w:r>
        <w:r w:rsidRPr="001B4A02">
          <w:rPr>
            <w:rFonts w:ascii="Times New Roman" w:hAnsi="Times New Roman"/>
            <w:b/>
            <w:bCs/>
            <w:lang w:val="cs-CZ"/>
          </w:rPr>
          <w:tab/>
          <w:delText xml:space="preserve">JEDINEČNÝ IDENTIFIKÁTOR – 2D ČÁROVÝ KÓD </w:delText>
        </w:r>
      </w:del>
    </w:p>
    <w:p w14:paraId="45013BC6" w14:textId="77777777" w:rsidR="00400D97" w:rsidRPr="001B4A02" w:rsidRDefault="00400D97" w:rsidP="00ED48A3">
      <w:pPr>
        <w:rPr>
          <w:del w:id="9617" w:author="AbbVie1" w:date="2025-05-13T09:57:00Z"/>
        </w:rPr>
      </w:pPr>
    </w:p>
    <w:p w14:paraId="5B5EF9F0" w14:textId="77777777" w:rsidR="00400D97" w:rsidRPr="001B4A02" w:rsidRDefault="00000000" w:rsidP="00ED48A3">
      <w:pPr>
        <w:rPr>
          <w:del w:id="9618" w:author="AbbVie1" w:date="2025-05-13T09:57:00Z"/>
          <w:shd w:val="clear" w:color="auto" w:fill="BFBFBF"/>
        </w:rPr>
      </w:pPr>
      <w:del w:id="9619" w:author="AbbVie1" w:date="2025-05-13T09:57:00Z">
        <w:r w:rsidRPr="001B4A02">
          <w:rPr>
            <w:shd w:val="clear" w:color="auto" w:fill="BFBFBF"/>
          </w:rPr>
          <w:delText>2D čárový kód s jedinečným identifikátorem.</w:delText>
        </w:r>
      </w:del>
    </w:p>
    <w:p w14:paraId="65A75250" w14:textId="77777777" w:rsidR="00400D97" w:rsidRPr="001B4A02" w:rsidRDefault="00400D97" w:rsidP="00ED48A3">
      <w:pPr>
        <w:rPr>
          <w:del w:id="9620" w:author="AbbVie1" w:date="2025-05-13T09:57:00Z"/>
          <w:shd w:val="clear" w:color="auto" w:fill="BFBFBF"/>
        </w:rPr>
      </w:pPr>
    </w:p>
    <w:p w14:paraId="5F0DB701" w14:textId="77777777" w:rsidR="00400D97" w:rsidRPr="001B4A02" w:rsidRDefault="00400D97" w:rsidP="00ED48A3">
      <w:pPr>
        <w:rPr>
          <w:del w:id="9621" w:author="AbbVie1" w:date="2025-05-13T09:57:00Z"/>
        </w:rPr>
      </w:pPr>
    </w:p>
    <w:p w14:paraId="2C328971" w14:textId="77777777" w:rsidR="00400D97" w:rsidRPr="001B4A02" w:rsidRDefault="00000000" w:rsidP="00ED48A3">
      <w:pPr>
        <w:pStyle w:val="EMEAHeadingBoxedTitle"/>
        <w:keepNext/>
        <w:ind w:left="0" w:firstLine="0"/>
        <w:rPr>
          <w:del w:id="9622" w:author="AbbVie1" w:date="2025-05-13T09:57:00Z"/>
          <w:rFonts w:ascii="Times New Roman" w:hAnsi="Times New Roman"/>
          <w:lang w:val="cs-CZ"/>
        </w:rPr>
      </w:pPr>
      <w:del w:id="9623" w:author="AbbVie1" w:date="2025-05-13T09:57:00Z">
        <w:r w:rsidRPr="001B4A02">
          <w:rPr>
            <w:rFonts w:ascii="Times New Roman" w:hAnsi="Times New Roman"/>
            <w:b/>
            <w:bCs/>
            <w:lang w:val="cs-CZ"/>
          </w:rPr>
          <w:delText>18.</w:delText>
        </w:r>
        <w:r w:rsidRPr="001B4A02">
          <w:rPr>
            <w:rFonts w:ascii="Times New Roman" w:hAnsi="Times New Roman"/>
            <w:b/>
            <w:bCs/>
            <w:lang w:val="cs-CZ"/>
          </w:rPr>
          <w:tab/>
          <w:delText>JEDINEČNÝ IDENTIFIKÁTOR – DATA ČITELNÁ OKEM</w:delText>
        </w:r>
      </w:del>
    </w:p>
    <w:p w14:paraId="29CF72FE" w14:textId="77777777" w:rsidR="00400D97" w:rsidRPr="001B4A02" w:rsidRDefault="00400D97" w:rsidP="00ED48A3">
      <w:pPr>
        <w:keepNext/>
        <w:ind w:left="540" w:hanging="540"/>
        <w:rPr>
          <w:del w:id="9624" w:author="AbbVie1" w:date="2025-05-13T09:57:00Z"/>
        </w:rPr>
      </w:pPr>
    </w:p>
    <w:p w14:paraId="167B43EE" w14:textId="77777777" w:rsidR="00400D97" w:rsidRPr="001B4A02" w:rsidRDefault="00000000" w:rsidP="00ED48A3">
      <w:pPr>
        <w:keepNext/>
        <w:ind w:left="540" w:hanging="540"/>
        <w:rPr>
          <w:del w:id="9625" w:author="AbbVie1" w:date="2025-05-13T09:57:00Z"/>
        </w:rPr>
      </w:pPr>
      <w:del w:id="9626" w:author="AbbVie1" w:date="2025-05-13T09:57:00Z">
        <w:r w:rsidRPr="001B4A02">
          <w:delText>PC</w:delText>
        </w:r>
      </w:del>
    </w:p>
    <w:p w14:paraId="11E9CA25" w14:textId="77777777" w:rsidR="00400D97" w:rsidRPr="001B4A02" w:rsidRDefault="00000000" w:rsidP="00ED48A3">
      <w:pPr>
        <w:keepNext/>
        <w:ind w:left="540" w:hanging="540"/>
        <w:rPr>
          <w:del w:id="9627" w:author="AbbVie1" w:date="2025-05-13T09:57:00Z"/>
        </w:rPr>
      </w:pPr>
      <w:del w:id="9628" w:author="AbbVie1" w:date="2025-05-13T09:57:00Z">
        <w:r w:rsidRPr="001B4A02">
          <w:delText>SN</w:delText>
        </w:r>
      </w:del>
    </w:p>
    <w:p w14:paraId="50FCA842" w14:textId="77777777" w:rsidR="00400D97" w:rsidRPr="001B4A02" w:rsidRDefault="00000000" w:rsidP="004343F9">
      <w:pPr>
        <w:ind w:left="539" w:hanging="539"/>
        <w:rPr>
          <w:del w:id="9629" w:author="AbbVie1" w:date="2025-05-13T09:57:00Z"/>
        </w:rPr>
      </w:pPr>
      <w:del w:id="9630" w:author="AbbVie1" w:date="2025-05-13T09:57:00Z">
        <w:r w:rsidRPr="00BA0A72">
          <w:rPr>
            <w:highlight w:val="lightGray"/>
          </w:rPr>
          <w:delText>NN</w:delText>
        </w:r>
      </w:del>
    </w:p>
    <w:p w14:paraId="07CFDC5F" w14:textId="77777777" w:rsidR="00400D97" w:rsidRPr="001B4A02" w:rsidRDefault="00400D97" w:rsidP="00ED48A3">
      <w:pPr>
        <w:rPr>
          <w:del w:id="9631" w:author="AbbVie1" w:date="2025-05-13T09:57:00Z"/>
        </w:rPr>
      </w:pPr>
    </w:p>
    <w:p w14:paraId="4C45EDAC" w14:textId="77777777" w:rsidR="00073F8F" w:rsidRPr="001B4A02" w:rsidRDefault="00000000" w:rsidP="00ED48A3">
      <w:pPr>
        <w:ind w:left="0" w:firstLine="0"/>
        <w:rPr>
          <w:del w:id="9632" w:author="AbbVie1" w:date="2025-05-13T09:57:00Z"/>
        </w:rPr>
      </w:pPr>
      <w:del w:id="9633" w:author="AbbVie1" w:date="2025-05-13T09:57:00Z">
        <w:r w:rsidRPr="001B4A02">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3463E55" w14:textId="77777777">
        <w:trPr>
          <w:del w:id="9634" w:author="AbbVie1" w:date="2025-05-13T09:57:00Z"/>
        </w:trPr>
        <w:tc>
          <w:tcPr>
            <w:tcW w:w="9287" w:type="dxa"/>
          </w:tcPr>
          <w:p w14:paraId="31BBAC10" w14:textId="77777777" w:rsidR="00073F8F" w:rsidRPr="001B4A02" w:rsidRDefault="00000000" w:rsidP="00ED48A3">
            <w:pPr>
              <w:rPr>
                <w:del w:id="9635" w:author="AbbVie1" w:date="2025-05-13T09:57:00Z"/>
                <w:b/>
              </w:rPr>
            </w:pPr>
            <w:del w:id="9636" w:author="AbbVie1" w:date="2025-05-13T09:57:00Z">
              <w:r w:rsidRPr="001B4A02">
                <w:rPr>
                  <w:b/>
                  <w:u w:val="single"/>
                </w:rPr>
                <w:br w:type="page"/>
              </w:r>
              <w:r w:rsidRPr="001B4A02">
                <w:rPr>
                  <w:b/>
                </w:rPr>
                <w:delText>MINIMÁLNÍ ÚDAJE UVÁDĚNÉ NA BLISTRECH NEBO STRIPECH</w:delText>
              </w:r>
            </w:del>
          </w:p>
          <w:p w14:paraId="07C4ADB8" w14:textId="77777777" w:rsidR="00073F8F" w:rsidRPr="001B4A02" w:rsidRDefault="00073F8F" w:rsidP="00ED48A3">
            <w:pPr>
              <w:rPr>
                <w:del w:id="9637" w:author="AbbVie1" w:date="2025-05-13T09:57:00Z"/>
                <w:b/>
              </w:rPr>
            </w:pPr>
          </w:p>
          <w:p w14:paraId="1F491F66" w14:textId="77777777" w:rsidR="00073F8F" w:rsidRPr="001B4A02" w:rsidRDefault="00000000" w:rsidP="00ED48A3">
            <w:pPr>
              <w:rPr>
                <w:del w:id="9638" w:author="AbbVie1" w:date="2025-05-13T09:57:00Z"/>
                <w:b/>
                <w:caps/>
              </w:rPr>
            </w:pPr>
            <w:del w:id="9639" w:author="AbbVie1" w:date="2025-05-13T09:57:00Z">
              <w:r w:rsidRPr="001B4A02">
                <w:rPr>
                  <w:b/>
                  <w:caps/>
                </w:rPr>
                <w:delText>Blistr</w:delText>
              </w:r>
            </w:del>
          </w:p>
        </w:tc>
      </w:tr>
    </w:tbl>
    <w:p w14:paraId="48D21826" w14:textId="77777777" w:rsidR="00073F8F" w:rsidRPr="001B4A02" w:rsidRDefault="00073F8F" w:rsidP="00ED48A3">
      <w:pPr>
        <w:rPr>
          <w:del w:id="9640" w:author="AbbVie1" w:date="2025-05-13T09:57:00Z"/>
        </w:rPr>
      </w:pPr>
    </w:p>
    <w:p w14:paraId="3EF53868" w14:textId="77777777" w:rsidR="00073F8F" w:rsidRPr="001B4A02" w:rsidRDefault="00073F8F" w:rsidP="00ED48A3">
      <w:pPr>
        <w:rPr>
          <w:del w:id="9641"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B306ED3" w14:textId="77777777">
        <w:trPr>
          <w:del w:id="9642" w:author="AbbVie1" w:date="2025-05-13T09:57:00Z"/>
        </w:trPr>
        <w:tc>
          <w:tcPr>
            <w:tcW w:w="9287" w:type="dxa"/>
          </w:tcPr>
          <w:p w14:paraId="6081B603" w14:textId="77777777" w:rsidR="00073F8F" w:rsidRPr="001B4A02" w:rsidRDefault="00000000" w:rsidP="00ED48A3">
            <w:pPr>
              <w:tabs>
                <w:tab w:val="left" w:pos="142"/>
              </w:tabs>
              <w:rPr>
                <w:del w:id="9643" w:author="AbbVie1" w:date="2025-05-13T09:57:00Z"/>
                <w:b/>
              </w:rPr>
            </w:pPr>
            <w:del w:id="9644" w:author="AbbVie1" w:date="2025-05-13T09:57:00Z">
              <w:r w:rsidRPr="001B4A02">
                <w:rPr>
                  <w:b/>
                </w:rPr>
                <w:delText>1.</w:delText>
              </w:r>
              <w:r w:rsidRPr="001B4A02">
                <w:rPr>
                  <w:b/>
                </w:rPr>
                <w:tab/>
                <w:delText>NÁZEV LÉČIVÉHO PŘÍPRAVKU</w:delText>
              </w:r>
            </w:del>
          </w:p>
        </w:tc>
      </w:tr>
    </w:tbl>
    <w:p w14:paraId="3C187769" w14:textId="77777777" w:rsidR="00073F8F" w:rsidRPr="001B4A02" w:rsidRDefault="00073F8F" w:rsidP="00ED48A3">
      <w:pPr>
        <w:rPr>
          <w:del w:id="9645" w:author="AbbVie1" w:date="2025-05-13T09:57:00Z"/>
        </w:rPr>
      </w:pPr>
    </w:p>
    <w:p w14:paraId="11A9BA35" w14:textId="77777777" w:rsidR="00073F8F" w:rsidRPr="001B4A02" w:rsidRDefault="00000000" w:rsidP="00ED48A3">
      <w:pPr>
        <w:rPr>
          <w:del w:id="9646" w:author="AbbVie1" w:date="2025-05-13T09:57:00Z"/>
        </w:rPr>
      </w:pPr>
      <w:del w:id="9647" w:author="AbbVie1" w:date="2025-05-13T09:57:00Z">
        <w:r w:rsidRPr="001B4A02">
          <w:delText>Humira 40 mg injekční roztok v předplněném peru</w:delText>
        </w:r>
      </w:del>
    </w:p>
    <w:p w14:paraId="37594C89" w14:textId="77777777" w:rsidR="00073F8F" w:rsidRPr="001B4A02" w:rsidRDefault="00000000" w:rsidP="00ED48A3">
      <w:pPr>
        <w:rPr>
          <w:del w:id="9648" w:author="AbbVie1" w:date="2025-05-13T09:57:00Z"/>
        </w:rPr>
      </w:pPr>
      <w:del w:id="9649" w:author="AbbVie1" w:date="2025-05-13T09:57:00Z">
        <w:r w:rsidRPr="001B4A02">
          <w:delText>adalimumabum</w:delText>
        </w:r>
      </w:del>
    </w:p>
    <w:p w14:paraId="77D9EFF8" w14:textId="77777777" w:rsidR="00073F8F" w:rsidRPr="001B4A02" w:rsidRDefault="00073F8F" w:rsidP="00ED48A3">
      <w:pPr>
        <w:rPr>
          <w:del w:id="9650" w:author="AbbVie1" w:date="2025-05-13T09:57:00Z"/>
        </w:rPr>
      </w:pPr>
    </w:p>
    <w:p w14:paraId="7ED7F2E1" w14:textId="77777777" w:rsidR="00073F8F" w:rsidRPr="001B4A02" w:rsidRDefault="00073F8F" w:rsidP="00ED48A3">
      <w:pPr>
        <w:rPr>
          <w:del w:id="9651"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AE40AD1" w14:textId="77777777">
        <w:trPr>
          <w:del w:id="9652" w:author="AbbVie1" w:date="2025-05-13T09:57:00Z"/>
        </w:trPr>
        <w:tc>
          <w:tcPr>
            <w:tcW w:w="9287" w:type="dxa"/>
          </w:tcPr>
          <w:p w14:paraId="3D8D9042" w14:textId="77777777" w:rsidR="00073F8F" w:rsidRPr="001B4A02" w:rsidRDefault="00000000" w:rsidP="00ED48A3">
            <w:pPr>
              <w:tabs>
                <w:tab w:val="left" w:pos="142"/>
              </w:tabs>
              <w:rPr>
                <w:del w:id="9653" w:author="AbbVie1" w:date="2025-05-13T09:57:00Z"/>
                <w:b/>
              </w:rPr>
            </w:pPr>
            <w:del w:id="9654" w:author="AbbVie1" w:date="2025-05-13T09:57:00Z">
              <w:r w:rsidRPr="001B4A02">
                <w:rPr>
                  <w:b/>
                </w:rPr>
                <w:delText>2.</w:delText>
              </w:r>
              <w:r w:rsidRPr="001B4A02">
                <w:rPr>
                  <w:b/>
                </w:rPr>
                <w:tab/>
                <w:delText>NÁZEV DRŽITELE ROZHODNUTÍ O REGISTRACI</w:delText>
              </w:r>
            </w:del>
          </w:p>
        </w:tc>
      </w:tr>
    </w:tbl>
    <w:p w14:paraId="197FE1C6" w14:textId="77777777" w:rsidR="00073F8F" w:rsidRPr="001B4A02" w:rsidRDefault="00073F8F" w:rsidP="00ED48A3">
      <w:pPr>
        <w:rPr>
          <w:del w:id="9655" w:author="AbbVie1" w:date="2025-05-13T09:57:00Z"/>
        </w:rPr>
      </w:pPr>
    </w:p>
    <w:p w14:paraId="5A05277E" w14:textId="77777777" w:rsidR="00073F8F" w:rsidRPr="001B4A02" w:rsidRDefault="00000000" w:rsidP="00ED48A3">
      <w:pPr>
        <w:rPr>
          <w:del w:id="9656" w:author="AbbVie1" w:date="2025-05-13T09:57:00Z"/>
        </w:rPr>
      </w:pPr>
      <w:del w:id="9657" w:author="AbbVie1" w:date="2025-05-13T09:57:00Z">
        <w:r w:rsidRPr="001B4A02">
          <w:delText>AbbVie</w:delText>
        </w:r>
        <w:r w:rsidR="00012C3F" w:rsidRPr="001B4A02">
          <w:delText xml:space="preserve"> </w:delText>
        </w:r>
        <w:r w:rsidR="00012C3F" w:rsidRPr="001B4A02">
          <w:rPr>
            <w:highlight w:val="lightGray"/>
          </w:rPr>
          <w:delText>(logo)</w:delText>
        </w:r>
      </w:del>
    </w:p>
    <w:p w14:paraId="12C90051" w14:textId="77777777" w:rsidR="00073F8F" w:rsidRPr="001B4A02" w:rsidRDefault="00073F8F" w:rsidP="00ED48A3">
      <w:pPr>
        <w:rPr>
          <w:del w:id="9658" w:author="AbbVie1" w:date="2025-05-13T09:57:00Z"/>
        </w:rPr>
      </w:pPr>
    </w:p>
    <w:p w14:paraId="441DDA59" w14:textId="77777777" w:rsidR="00073F8F" w:rsidRPr="001B4A02" w:rsidRDefault="00073F8F" w:rsidP="00ED48A3">
      <w:pPr>
        <w:rPr>
          <w:del w:id="9659"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2EADA38" w14:textId="77777777">
        <w:trPr>
          <w:del w:id="9660" w:author="AbbVie1" w:date="2025-05-13T09:57:00Z"/>
        </w:trPr>
        <w:tc>
          <w:tcPr>
            <w:tcW w:w="9287" w:type="dxa"/>
          </w:tcPr>
          <w:p w14:paraId="484E67A4" w14:textId="77777777" w:rsidR="00073F8F" w:rsidRPr="001B4A02" w:rsidRDefault="00000000" w:rsidP="00ED48A3">
            <w:pPr>
              <w:tabs>
                <w:tab w:val="left" w:pos="142"/>
              </w:tabs>
              <w:rPr>
                <w:del w:id="9661" w:author="AbbVie1" w:date="2025-05-13T09:57:00Z"/>
                <w:b/>
              </w:rPr>
            </w:pPr>
            <w:del w:id="9662" w:author="AbbVie1" w:date="2025-05-13T09:57:00Z">
              <w:r w:rsidRPr="001B4A02">
                <w:rPr>
                  <w:b/>
                </w:rPr>
                <w:delText>3.</w:delText>
              </w:r>
              <w:r w:rsidRPr="001B4A02">
                <w:rPr>
                  <w:b/>
                </w:rPr>
                <w:tab/>
                <w:delText>POUŽITELNOST</w:delText>
              </w:r>
            </w:del>
          </w:p>
        </w:tc>
      </w:tr>
    </w:tbl>
    <w:p w14:paraId="06C24F71" w14:textId="77777777" w:rsidR="00073F8F" w:rsidRPr="001B4A02" w:rsidRDefault="00073F8F" w:rsidP="00ED48A3">
      <w:pPr>
        <w:rPr>
          <w:del w:id="9663" w:author="AbbVie1" w:date="2025-05-13T09:57:00Z"/>
        </w:rPr>
      </w:pPr>
    </w:p>
    <w:p w14:paraId="676E6543" w14:textId="77777777" w:rsidR="00073F8F" w:rsidRPr="001B4A02" w:rsidRDefault="00000000" w:rsidP="00ED48A3">
      <w:pPr>
        <w:rPr>
          <w:del w:id="9664" w:author="AbbVie1" w:date="2025-05-13T09:57:00Z"/>
        </w:rPr>
      </w:pPr>
      <w:del w:id="9665" w:author="AbbVie1" w:date="2025-05-13T09:57:00Z">
        <w:r w:rsidRPr="001B4A02">
          <w:delText xml:space="preserve">EXP </w:delText>
        </w:r>
      </w:del>
    </w:p>
    <w:p w14:paraId="112FA98E" w14:textId="77777777" w:rsidR="00073F8F" w:rsidRPr="001B4A02" w:rsidRDefault="00073F8F" w:rsidP="00ED48A3">
      <w:pPr>
        <w:rPr>
          <w:del w:id="9666" w:author="AbbVie1" w:date="2025-05-13T09:57:00Z"/>
        </w:rPr>
      </w:pPr>
    </w:p>
    <w:p w14:paraId="6C885831" w14:textId="77777777" w:rsidR="00073F8F" w:rsidRPr="001B4A02" w:rsidRDefault="00073F8F" w:rsidP="00ED48A3">
      <w:pPr>
        <w:rPr>
          <w:del w:id="9667"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CE25AFD" w14:textId="77777777">
        <w:trPr>
          <w:del w:id="9668" w:author="AbbVie1" w:date="2025-05-13T09:57:00Z"/>
        </w:trPr>
        <w:tc>
          <w:tcPr>
            <w:tcW w:w="9287" w:type="dxa"/>
          </w:tcPr>
          <w:p w14:paraId="45AC4510" w14:textId="77777777" w:rsidR="00073F8F" w:rsidRPr="001B4A02" w:rsidRDefault="00000000" w:rsidP="00ED48A3">
            <w:pPr>
              <w:tabs>
                <w:tab w:val="left" w:pos="142"/>
              </w:tabs>
              <w:rPr>
                <w:del w:id="9669" w:author="AbbVie1" w:date="2025-05-13T09:57:00Z"/>
                <w:b/>
              </w:rPr>
            </w:pPr>
            <w:del w:id="9670" w:author="AbbVie1" w:date="2025-05-13T09:57:00Z">
              <w:r w:rsidRPr="001B4A02">
                <w:rPr>
                  <w:b/>
                </w:rPr>
                <w:delText>4.</w:delText>
              </w:r>
              <w:r w:rsidRPr="001B4A02">
                <w:rPr>
                  <w:b/>
                </w:rPr>
                <w:tab/>
                <w:delText>ČÍSLO ŠARŽE</w:delText>
              </w:r>
            </w:del>
          </w:p>
        </w:tc>
      </w:tr>
    </w:tbl>
    <w:p w14:paraId="12C9967F" w14:textId="77777777" w:rsidR="00073F8F" w:rsidRPr="001B4A02" w:rsidRDefault="00073F8F" w:rsidP="00ED48A3">
      <w:pPr>
        <w:rPr>
          <w:del w:id="9671" w:author="AbbVie1" w:date="2025-05-13T09:57:00Z"/>
        </w:rPr>
      </w:pPr>
    </w:p>
    <w:p w14:paraId="5A9F3FE8" w14:textId="77777777" w:rsidR="00073F8F" w:rsidRPr="001B4A02" w:rsidRDefault="00000000" w:rsidP="00ED48A3">
      <w:pPr>
        <w:rPr>
          <w:del w:id="9672" w:author="AbbVie1" w:date="2025-05-13T09:57:00Z"/>
        </w:rPr>
      </w:pPr>
      <w:del w:id="9673" w:author="AbbVie1" w:date="2025-05-13T09:57:00Z">
        <w:r w:rsidRPr="001B4A02">
          <w:delText xml:space="preserve">Č. šarže </w:delText>
        </w:r>
      </w:del>
    </w:p>
    <w:p w14:paraId="2A6382D8" w14:textId="77777777" w:rsidR="00073F8F" w:rsidRPr="001B4A02" w:rsidRDefault="00073F8F" w:rsidP="00ED48A3">
      <w:pPr>
        <w:rPr>
          <w:del w:id="9674" w:author="AbbVie1" w:date="2025-05-13T09:57:00Z"/>
        </w:rPr>
      </w:pPr>
    </w:p>
    <w:p w14:paraId="469F70F6" w14:textId="77777777" w:rsidR="00073F8F" w:rsidRPr="001B4A02" w:rsidRDefault="00073F8F" w:rsidP="00ED48A3">
      <w:pPr>
        <w:rPr>
          <w:del w:id="9675"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3672DDF" w14:textId="77777777">
        <w:trPr>
          <w:del w:id="9676" w:author="AbbVie1" w:date="2025-05-13T09:57:00Z"/>
        </w:trPr>
        <w:tc>
          <w:tcPr>
            <w:tcW w:w="9287" w:type="dxa"/>
          </w:tcPr>
          <w:p w14:paraId="6DBD54B2" w14:textId="77777777" w:rsidR="00073F8F" w:rsidRPr="001B4A02" w:rsidRDefault="00000000" w:rsidP="00ED48A3">
            <w:pPr>
              <w:tabs>
                <w:tab w:val="left" w:pos="142"/>
              </w:tabs>
              <w:rPr>
                <w:del w:id="9677" w:author="AbbVie1" w:date="2025-05-13T09:57:00Z"/>
                <w:b/>
              </w:rPr>
            </w:pPr>
            <w:del w:id="9678" w:author="AbbVie1" w:date="2025-05-13T09:57:00Z">
              <w:r w:rsidRPr="001B4A02">
                <w:rPr>
                  <w:b/>
                </w:rPr>
                <w:delText>5.</w:delText>
              </w:r>
              <w:r w:rsidRPr="001B4A02">
                <w:rPr>
                  <w:b/>
                </w:rPr>
                <w:tab/>
                <w:delText>JINÉ</w:delText>
              </w:r>
            </w:del>
          </w:p>
        </w:tc>
      </w:tr>
    </w:tbl>
    <w:p w14:paraId="78578B91" w14:textId="77777777" w:rsidR="00073F8F" w:rsidRPr="001B4A02" w:rsidRDefault="00073F8F" w:rsidP="00ED48A3">
      <w:pPr>
        <w:rPr>
          <w:del w:id="9679" w:author="AbbVie1" w:date="2025-05-13T09:57:00Z"/>
          <w:u w:val="single"/>
        </w:rPr>
      </w:pPr>
    </w:p>
    <w:p w14:paraId="5192256C" w14:textId="77777777" w:rsidR="00073F8F" w:rsidRPr="001B4A02" w:rsidRDefault="00000000" w:rsidP="00ED48A3">
      <w:pPr>
        <w:rPr>
          <w:del w:id="9680" w:author="AbbVie1" w:date="2025-05-13T09:57:00Z"/>
        </w:rPr>
      </w:pPr>
      <w:del w:id="9681" w:author="AbbVie1" w:date="2025-05-13T09:57:00Z">
        <w:r w:rsidRPr="001B4A02">
          <w:delText>Pro informace o uchovávání viz příbalov</w:delText>
        </w:r>
        <w:r w:rsidR="00DE3467">
          <w:delText>á</w:delText>
        </w:r>
        <w:r w:rsidRPr="001B4A02">
          <w:delText xml:space="preserve"> informac</w:delText>
        </w:r>
        <w:r w:rsidR="00DE3467">
          <w:delText>e</w:delText>
        </w:r>
        <w:r w:rsidRPr="001B4A02">
          <w:delText>.</w:delText>
        </w:r>
      </w:del>
    </w:p>
    <w:p w14:paraId="6EB281DD" w14:textId="77777777" w:rsidR="00E97653" w:rsidRPr="001B4A02" w:rsidRDefault="00E97653" w:rsidP="00ED48A3">
      <w:pPr>
        <w:rPr>
          <w:del w:id="9682" w:author="AbbVie1" w:date="2025-05-13T09:57:00Z"/>
        </w:rPr>
      </w:pPr>
    </w:p>
    <w:p w14:paraId="512CEF20" w14:textId="77777777" w:rsidR="00073F8F" w:rsidRPr="001B4A02" w:rsidRDefault="00000000" w:rsidP="00ED48A3">
      <w:pPr>
        <w:rPr>
          <w:del w:id="9683" w:author="AbbVie1" w:date="2025-05-13T09:57:00Z"/>
          <w:u w:val="single"/>
        </w:rPr>
      </w:pPr>
      <w:del w:id="9684" w:author="AbbVie1" w:date="2025-05-13T09:57:00Z">
        <w:r w:rsidRPr="001B4A02">
          <w:delText xml:space="preserve">Pouze k jednorázovému </w:delText>
        </w:r>
        <w:r w:rsidR="00C212D6" w:rsidRPr="001B4A02">
          <w:delText>po</w:delText>
        </w:r>
        <w:r w:rsidRPr="001B4A02">
          <w:delText>užití</w:delText>
        </w:r>
        <w:r w:rsidR="00E97653" w:rsidRPr="001B4A02">
          <w:delText>.</w:delText>
        </w:r>
      </w:del>
    </w:p>
    <w:p w14:paraId="43DE7192" w14:textId="77777777" w:rsidR="00073F8F" w:rsidRPr="001B4A02" w:rsidRDefault="00000000" w:rsidP="00ED48A3">
      <w:pPr>
        <w:rPr>
          <w:del w:id="9685" w:author="AbbVie1" w:date="2025-05-13T09:57:00Z"/>
        </w:rPr>
      </w:pPr>
      <w:del w:id="9686" w:author="AbbVie1" w:date="2025-05-13T09:57:00Z">
        <w:r w:rsidRPr="001B4A02">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BFF22E8" w14:textId="77777777">
        <w:trPr>
          <w:trHeight w:val="785"/>
          <w:del w:id="9687" w:author="AbbVie1" w:date="2025-05-13T09:57:00Z"/>
        </w:trPr>
        <w:tc>
          <w:tcPr>
            <w:tcW w:w="9287" w:type="dxa"/>
            <w:tcBorders>
              <w:bottom w:val="single" w:sz="4" w:space="0" w:color="auto"/>
            </w:tcBorders>
          </w:tcPr>
          <w:p w14:paraId="47B7CACD" w14:textId="77777777" w:rsidR="00073F8F" w:rsidRPr="001B4A02" w:rsidRDefault="00000000" w:rsidP="00ED48A3">
            <w:pPr>
              <w:rPr>
                <w:del w:id="9688" w:author="AbbVie1" w:date="2025-05-13T09:57:00Z"/>
                <w:b/>
              </w:rPr>
            </w:pPr>
            <w:del w:id="9689" w:author="AbbVie1" w:date="2025-05-13T09:57:00Z">
              <w:r w:rsidRPr="001B4A02">
                <w:rPr>
                  <w:b/>
                </w:rPr>
                <w:delText>MINIMÁLNÍ ÚDAJE UVÁDĚNÉ NA MALÉM VNITŘNÍM OBALU</w:delText>
              </w:r>
            </w:del>
          </w:p>
          <w:p w14:paraId="70EBEF5D" w14:textId="77777777" w:rsidR="00073F8F" w:rsidRPr="001B4A02" w:rsidRDefault="00073F8F" w:rsidP="00ED48A3">
            <w:pPr>
              <w:rPr>
                <w:del w:id="9690" w:author="AbbVie1" w:date="2025-05-13T09:57:00Z"/>
                <w:b/>
              </w:rPr>
            </w:pPr>
          </w:p>
          <w:p w14:paraId="264ABB46" w14:textId="77777777" w:rsidR="00073F8F" w:rsidRPr="001B4A02" w:rsidRDefault="00000000" w:rsidP="00ED48A3">
            <w:pPr>
              <w:ind w:left="0" w:firstLine="0"/>
              <w:rPr>
                <w:del w:id="9691" w:author="AbbVie1" w:date="2025-05-13T09:57:00Z"/>
                <w:b/>
                <w:caps/>
              </w:rPr>
            </w:pPr>
            <w:del w:id="9692" w:author="AbbVie1" w:date="2025-05-13T09:57:00Z">
              <w:r w:rsidRPr="001B4A02">
                <w:rPr>
                  <w:b/>
                  <w:caps/>
                </w:rPr>
                <w:delText>Etiketa na PERU</w:delText>
              </w:r>
            </w:del>
          </w:p>
        </w:tc>
      </w:tr>
    </w:tbl>
    <w:p w14:paraId="25EAD3C8" w14:textId="77777777" w:rsidR="00073F8F" w:rsidRPr="001B4A02" w:rsidRDefault="00073F8F" w:rsidP="00ED48A3">
      <w:pPr>
        <w:rPr>
          <w:del w:id="9693" w:author="AbbVie1" w:date="2025-05-13T09:57:00Z"/>
          <w:b/>
        </w:rPr>
      </w:pPr>
    </w:p>
    <w:p w14:paraId="3CCB6DA8" w14:textId="77777777" w:rsidR="00073F8F" w:rsidRPr="001B4A02" w:rsidRDefault="00073F8F" w:rsidP="00ED48A3">
      <w:pPr>
        <w:rPr>
          <w:del w:id="9694" w:author="AbbVie1" w:date="2025-05-13T09:57:00Z"/>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B9559DD" w14:textId="77777777">
        <w:trPr>
          <w:del w:id="9695" w:author="AbbVie1" w:date="2025-05-13T09:57:00Z"/>
        </w:trPr>
        <w:tc>
          <w:tcPr>
            <w:tcW w:w="9287" w:type="dxa"/>
          </w:tcPr>
          <w:p w14:paraId="633AA33D" w14:textId="77777777" w:rsidR="00073F8F" w:rsidRPr="001B4A02" w:rsidRDefault="00000000" w:rsidP="00ED48A3">
            <w:pPr>
              <w:tabs>
                <w:tab w:val="left" w:pos="142"/>
              </w:tabs>
              <w:rPr>
                <w:del w:id="9696" w:author="AbbVie1" w:date="2025-05-13T09:57:00Z"/>
                <w:b/>
              </w:rPr>
            </w:pPr>
            <w:del w:id="9697" w:author="AbbVie1" w:date="2025-05-13T09:57:00Z">
              <w:r w:rsidRPr="001B4A02">
                <w:rPr>
                  <w:b/>
                </w:rPr>
                <w:delText>1.</w:delText>
              </w:r>
              <w:r w:rsidRPr="001B4A02">
                <w:rPr>
                  <w:b/>
                </w:rPr>
                <w:tab/>
                <w:delText>NÁZEV LÉČIVÉHO PŘÍPRAVKU A CESTA PODÁNÍ</w:delText>
              </w:r>
            </w:del>
          </w:p>
        </w:tc>
      </w:tr>
    </w:tbl>
    <w:p w14:paraId="0BA5530C" w14:textId="77777777" w:rsidR="00073F8F" w:rsidRPr="001B4A02" w:rsidRDefault="00073F8F" w:rsidP="00ED48A3">
      <w:pPr>
        <w:rPr>
          <w:del w:id="9698" w:author="AbbVie1" w:date="2025-05-13T09:57:00Z"/>
        </w:rPr>
      </w:pPr>
    </w:p>
    <w:p w14:paraId="606FAC14" w14:textId="77777777" w:rsidR="00073F8F" w:rsidRPr="001B4A02" w:rsidRDefault="00000000" w:rsidP="00ED48A3">
      <w:pPr>
        <w:rPr>
          <w:del w:id="9699" w:author="AbbVie1" w:date="2025-05-13T09:57:00Z"/>
        </w:rPr>
      </w:pPr>
      <w:del w:id="9700" w:author="AbbVie1" w:date="2025-05-13T09:57:00Z">
        <w:r w:rsidRPr="001B4A02">
          <w:delText>Humira 40 mg injekce</w:delText>
        </w:r>
      </w:del>
    </w:p>
    <w:p w14:paraId="3729685D" w14:textId="77777777" w:rsidR="00073F8F" w:rsidRPr="001B4A02" w:rsidRDefault="00000000" w:rsidP="00ED48A3">
      <w:pPr>
        <w:rPr>
          <w:del w:id="9701" w:author="AbbVie1" w:date="2025-05-13T09:57:00Z"/>
        </w:rPr>
      </w:pPr>
      <w:del w:id="9702" w:author="AbbVie1" w:date="2025-05-13T09:57:00Z">
        <w:r w:rsidRPr="001B4A02">
          <w:delText>adalimumabum</w:delText>
        </w:r>
      </w:del>
    </w:p>
    <w:p w14:paraId="4A957D3E" w14:textId="77777777" w:rsidR="00073F8F" w:rsidRPr="001B4A02" w:rsidRDefault="00000000" w:rsidP="00ED48A3">
      <w:pPr>
        <w:rPr>
          <w:del w:id="9703" w:author="AbbVie1" w:date="2025-05-13T09:57:00Z"/>
          <w:b/>
        </w:rPr>
      </w:pPr>
      <w:del w:id="9704" w:author="AbbVie1" w:date="2025-05-13T09:57:00Z">
        <w:r w:rsidRPr="001B4A02">
          <w:delText>s.c.</w:delText>
        </w:r>
      </w:del>
    </w:p>
    <w:p w14:paraId="63F29BF9" w14:textId="77777777" w:rsidR="00073F8F" w:rsidRPr="001B4A02" w:rsidRDefault="00073F8F" w:rsidP="00ED48A3">
      <w:pPr>
        <w:rPr>
          <w:del w:id="9705" w:author="AbbVie1" w:date="2025-05-13T09:57:00Z"/>
        </w:rPr>
      </w:pPr>
    </w:p>
    <w:p w14:paraId="6D56813C" w14:textId="77777777" w:rsidR="00073F8F" w:rsidRPr="001B4A02" w:rsidRDefault="00073F8F" w:rsidP="00ED48A3">
      <w:pPr>
        <w:rPr>
          <w:del w:id="9706"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B22BDF5" w14:textId="77777777">
        <w:trPr>
          <w:del w:id="9707" w:author="AbbVie1" w:date="2025-05-13T09:57:00Z"/>
        </w:trPr>
        <w:tc>
          <w:tcPr>
            <w:tcW w:w="9287" w:type="dxa"/>
          </w:tcPr>
          <w:p w14:paraId="2AA8DC93" w14:textId="77777777" w:rsidR="00073F8F" w:rsidRPr="001B4A02" w:rsidRDefault="00000000" w:rsidP="00ED48A3">
            <w:pPr>
              <w:tabs>
                <w:tab w:val="left" w:pos="142"/>
              </w:tabs>
              <w:rPr>
                <w:del w:id="9708" w:author="AbbVie1" w:date="2025-05-13T09:57:00Z"/>
                <w:b/>
              </w:rPr>
            </w:pPr>
            <w:del w:id="9709" w:author="AbbVie1" w:date="2025-05-13T09:57:00Z">
              <w:r w:rsidRPr="001B4A02">
                <w:rPr>
                  <w:b/>
                </w:rPr>
                <w:delText>2.</w:delText>
              </w:r>
              <w:r w:rsidRPr="001B4A02">
                <w:rPr>
                  <w:b/>
                </w:rPr>
                <w:tab/>
                <w:delText>ZPŮSOB PODÁNÍ</w:delText>
              </w:r>
            </w:del>
          </w:p>
        </w:tc>
      </w:tr>
    </w:tbl>
    <w:p w14:paraId="6EDE2F93" w14:textId="77777777" w:rsidR="00073F8F" w:rsidRPr="001B4A02" w:rsidRDefault="00073F8F" w:rsidP="00ED48A3">
      <w:pPr>
        <w:rPr>
          <w:del w:id="9710" w:author="AbbVie1" w:date="2025-05-13T09:57:00Z"/>
        </w:rPr>
      </w:pPr>
    </w:p>
    <w:p w14:paraId="5CD416DB" w14:textId="77777777" w:rsidR="00073F8F" w:rsidRPr="001B4A02" w:rsidRDefault="00073F8F" w:rsidP="00ED48A3">
      <w:pPr>
        <w:rPr>
          <w:del w:id="9711"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6E910EA" w14:textId="77777777">
        <w:trPr>
          <w:del w:id="9712" w:author="AbbVie1" w:date="2025-05-13T09:57:00Z"/>
        </w:trPr>
        <w:tc>
          <w:tcPr>
            <w:tcW w:w="9287" w:type="dxa"/>
          </w:tcPr>
          <w:p w14:paraId="4F7DC485" w14:textId="77777777" w:rsidR="00073F8F" w:rsidRPr="001B4A02" w:rsidRDefault="00000000" w:rsidP="00ED48A3">
            <w:pPr>
              <w:tabs>
                <w:tab w:val="left" w:pos="142"/>
              </w:tabs>
              <w:rPr>
                <w:del w:id="9713" w:author="AbbVie1" w:date="2025-05-13T09:57:00Z"/>
                <w:b/>
              </w:rPr>
            </w:pPr>
            <w:del w:id="9714" w:author="AbbVie1" w:date="2025-05-13T09:57:00Z">
              <w:r w:rsidRPr="001B4A02">
                <w:rPr>
                  <w:b/>
                </w:rPr>
                <w:delText>3.</w:delText>
              </w:r>
              <w:r w:rsidRPr="001B4A02">
                <w:rPr>
                  <w:b/>
                </w:rPr>
                <w:tab/>
                <w:delText>POUŽITELNOST</w:delText>
              </w:r>
            </w:del>
          </w:p>
        </w:tc>
      </w:tr>
    </w:tbl>
    <w:p w14:paraId="563A9861" w14:textId="77777777" w:rsidR="00073F8F" w:rsidRPr="001B4A02" w:rsidRDefault="00073F8F" w:rsidP="00ED48A3">
      <w:pPr>
        <w:rPr>
          <w:del w:id="9715" w:author="AbbVie1" w:date="2025-05-13T09:57:00Z"/>
        </w:rPr>
      </w:pPr>
    </w:p>
    <w:p w14:paraId="20F4A3FF" w14:textId="77777777" w:rsidR="00073F8F" w:rsidRPr="001B4A02" w:rsidRDefault="00000000" w:rsidP="00ED48A3">
      <w:pPr>
        <w:rPr>
          <w:del w:id="9716" w:author="AbbVie1" w:date="2025-05-13T09:57:00Z"/>
        </w:rPr>
      </w:pPr>
      <w:del w:id="9717" w:author="AbbVie1" w:date="2025-05-13T09:57:00Z">
        <w:r w:rsidRPr="001B4A02">
          <w:delText>EXP</w:delText>
        </w:r>
      </w:del>
    </w:p>
    <w:p w14:paraId="6444308C" w14:textId="77777777" w:rsidR="00073F8F" w:rsidRPr="001B4A02" w:rsidRDefault="00073F8F" w:rsidP="00ED48A3">
      <w:pPr>
        <w:rPr>
          <w:del w:id="9718" w:author="AbbVie1" w:date="2025-05-13T09:57:00Z"/>
        </w:rPr>
      </w:pPr>
    </w:p>
    <w:p w14:paraId="27074C91" w14:textId="77777777" w:rsidR="00073F8F" w:rsidRPr="001B4A02" w:rsidRDefault="00073F8F" w:rsidP="00ED48A3">
      <w:pPr>
        <w:rPr>
          <w:del w:id="9719"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3B012F0" w14:textId="77777777">
        <w:trPr>
          <w:del w:id="9720" w:author="AbbVie1" w:date="2025-05-13T09:57:00Z"/>
        </w:trPr>
        <w:tc>
          <w:tcPr>
            <w:tcW w:w="9287" w:type="dxa"/>
          </w:tcPr>
          <w:p w14:paraId="5E112B1E" w14:textId="77777777" w:rsidR="00073F8F" w:rsidRPr="001B4A02" w:rsidRDefault="00000000" w:rsidP="00ED48A3">
            <w:pPr>
              <w:tabs>
                <w:tab w:val="left" w:pos="142"/>
              </w:tabs>
              <w:rPr>
                <w:del w:id="9721" w:author="AbbVie1" w:date="2025-05-13T09:57:00Z"/>
                <w:b/>
              </w:rPr>
            </w:pPr>
            <w:del w:id="9722" w:author="AbbVie1" w:date="2025-05-13T09:57:00Z">
              <w:r w:rsidRPr="001B4A02">
                <w:rPr>
                  <w:b/>
                </w:rPr>
                <w:delText>4.</w:delText>
              </w:r>
              <w:r w:rsidRPr="001B4A02">
                <w:rPr>
                  <w:b/>
                </w:rPr>
                <w:tab/>
                <w:delText>ČÍSLO ŠARŽE</w:delText>
              </w:r>
            </w:del>
          </w:p>
        </w:tc>
      </w:tr>
    </w:tbl>
    <w:p w14:paraId="24D35064" w14:textId="77777777" w:rsidR="00073F8F" w:rsidRPr="001B4A02" w:rsidRDefault="00073F8F" w:rsidP="00ED48A3">
      <w:pPr>
        <w:rPr>
          <w:del w:id="9723" w:author="AbbVie1" w:date="2025-05-13T09:57:00Z"/>
        </w:rPr>
      </w:pPr>
    </w:p>
    <w:p w14:paraId="59BFBF94" w14:textId="77777777" w:rsidR="00073F8F" w:rsidRPr="001B4A02" w:rsidRDefault="00000000" w:rsidP="00ED48A3">
      <w:pPr>
        <w:ind w:right="113"/>
        <w:rPr>
          <w:del w:id="9724" w:author="AbbVie1" w:date="2025-05-13T09:57:00Z"/>
        </w:rPr>
      </w:pPr>
      <w:del w:id="9725" w:author="AbbVie1" w:date="2025-05-13T09:57:00Z">
        <w:r w:rsidRPr="001B4A02">
          <w:delText>Lot</w:delText>
        </w:r>
      </w:del>
    </w:p>
    <w:p w14:paraId="2C2573E6" w14:textId="77777777" w:rsidR="00073F8F" w:rsidRPr="001B4A02" w:rsidRDefault="00073F8F" w:rsidP="00ED48A3">
      <w:pPr>
        <w:ind w:right="113"/>
        <w:rPr>
          <w:del w:id="9726" w:author="AbbVie1" w:date="2025-05-13T09:57:00Z"/>
        </w:rPr>
      </w:pPr>
    </w:p>
    <w:p w14:paraId="33DBFDF2" w14:textId="77777777" w:rsidR="00073F8F" w:rsidRPr="001B4A02" w:rsidRDefault="00073F8F" w:rsidP="00ED48A3">
      <w:pPr>
        <w:ind w:right="113"/>
        <w:rPr>
          <w:del w:id="9727"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8E941C6" w14:textId="77777777">
        <w:trPr>
          <w:del w:id="9728" w:author="AbbVie1" w:date="2025-05-13T09:57:00Z"/>
        </w:trPr>
        <w:tc>
          <w:tcPr>
            <w:tcW w:w="9287" w:type="dxa"/>
          </w:tcPr>
          <w:p w14:paraId="19A9FA05" w14:textId="77777777" w:rsidR="00073F8F" w:rsidRPr="001B4A02" w:rsidRDefault="00000000" w:rsidP="00ED48A3">
            <w:pPr>
              <w:tabs>
                <w:tab w:val="left" w:pos="142"/>
              </w:tabs>
              <w:rPr>
                <w:del w:id="9729" w:author="AbbVie1" w:date="2025-05-13T09:57:00Z"/>
                <w:b/>
              </w:rPr>
            </w:pPr>
            <w:del w:id="9730" w:author="AbbVie1" w:date="2025-05-13T09:57:00Z">
              <w:r w:rsidRPr="001B4A02">
                <w:rPr>
                  <w:b/>
                </w:rPr>
                <w:delText>5.</w:delText>
              </w:r>
              <w:r w:rsidRPr="001B4A02">
                <w:rPr>
                  <w:b/>
                </w:rPr>
                <w:tab/>
                <w:delText>OBSAH UDANÝ JAKO HMOTNOST, OBJEM NEBO POČET DÁVEK</w:delText>
              </w:r>
            </w:del>
          </w:p>
        </w:tc>
      </w:tr>
    </w:tbl>
    <w:p w14:paraId="178D0600" w14:textId="77777777" w:rsidR="00073F8F" w:rsidRPr="001B4A02" w:rsidRDefault="00073F8F" w:rsidP="00ED48A3">
      <w:pPr>
        <w:rPr>
          <w:del w:id="9731" w:author="AbbVie1" w:date="2025-05-13T09:57:00Z"/>
        </w:rPr>
      </w:pPr>
    </w:p>
    <w:p w14:paraId="182BE2E7" w14:textId="77777777" w:rsidR="00073F8F" w:rsidRPr="001B4A02" w:rsidRDefault="00000000" w:rsidP="00ED48A3">
      <w:pPr>
        <w:rPr>
          <w:del w:id="9732" w:author="AbbVie1" w:date="2025-05-13T09:57:00Z"/>
        </w:rPr>
      </w:pPr>
      <w:del w:id="9733" w:author="AbbVie1" w:date="2025-05-13T09:57:00Z">
        <w:r w:rsidRPr="001B4A02">
          <w:delText>40 mg/0,8 ml</w:delText>
        </w:r>
      </w:del>
    </w:p>
    <w:p w14:paraId="66AC7488" w14:textId="77777777" w:rsidR="00073F8F" w:rsidRPr="001B4A02" w:rsidRDefault="00073F8F" w:rsidP="00ED48A3">
      <w:pPr>
        <w:rPr>
          <w:del w:id="9734" w:author="AbbVie1" w:date="2025-05-13T09:57:00Z"/>
        </w:rPr>
      </w:pPr>
    </w:p>
    <w:p w14:paraId="00FF8397" w14:textId="77777777" w:rsidR="00073F8F" w:rsidRPr="001B4A02" w:rsidRDefault="00073F8F" w:rsidP="00ED48A3">
      <w:pPr>
        <w:rPr>
          <w:del w:id="9735" w:author="AbbVie1" w:date="2025-05-13T09: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E0F754F" w14:textId="77777777">
        <w:trPr>
          <w:del w:id="9736" w:author="AbbVie1" w:date="2025-05-13T09:57:00Z"/>
        </w:trPr>
        <w:tc>
          <w:tcPr>
            <w:tcW w:w="9287" w:type="dxa"/>
          </w:tcPr>
          <w:p w14:paraId="6567E6D5" w14:textId="77777777" w:rsidR="00073F8F" w:rsidRPr="001B4A02" w:rsidRDefault="00000000" w:rsidP="00ED48A3">
            <w:pPr>
              <w:tabs>
                <w:tab w:val="left" w:pos="142"/>
              </w:tabs>
              <w:rPr>
                <w:del w:id="9737" w:author="AbbVie1" w:date="2025-05-13T09:57:00Z"/>
                <w:b/>
              </w:rPr>
            </w:pPr>
            <w:del w:id="9738" w:author="AbbVie1" w:date="2025-05-13T09:57:00Z">
              <w:r w:rsidRPr="001B4A02">
                <w:rPr>
                  <w:b/>
                </w:rPr>
                <w:delText>6.</w:delText>
              </w:r>
              <w:r w:rsidRPr="001B4A02">
                <w:rPr>
                  <w:b/>
                </w:rPr>
                <w:tab/>
                <w:delText>JINÉ</w:delText>
              </w:r>
            </w:del>
          </w:p>
        </w:tc>
      </w:tr>
    </w:tbl>
    <w:p w14:paraId="12144DA4" w14:textId="77777777" w:rsidR="007051D8" w:rsidRPr="001B4A02" w:rsidRDefault="007051D8" w:rsidP="00ED48A3">
      <w:pPr>
        <w:ind w:left="0" w:firstLine="0"/>
        <w:rPr>
          <w:del w:id="9739" w:author="AbbVie1" w:date="2025-05-13T09:57:00Z"/>
        </w:rPr>
      </w:pPr>
    </w:p>
    <w:p w14:paraId="2FF33C4F" w14:textId="77777777" w:rsidR="00073F8F" w:rsidRPr="001B4A02" w:rsidRDefault="00073F8F" w:rsidP="00ED48A3">
      <w:pPr>
        <w:ind w:left="0" w:firstLine="0"/>
        <w:rPr>
          <w:del w:id="9740" w:author="AbbVie1" w:date="2025-05-13T09:57:00Z"/>
        </w:rPr>
      </w:pPr>
    </w:p>
    <w:p w14:paraId="215D713A" w14:textId="77777777" w:rsidR="006D243A" w:rsidRPr="001B4A02" w:rsidRDefault="00000000" w:rsidP="00ED48A3">
      <w:pPr>
        <w:ind w:left="0" w:firstLine="0"/>
      </w:pPr>
      <w:del w:id="9741" w:author="AbbVie1" w:date="2025-05-13T09:57:00Z">
        <w:r w:rsidRPr="001B4A02">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82378A4" w14:textId="77777777" w:rsidTr="00AD6F48">
        <w:tc>
          <w:tcPr>
            <w:tcW w:w="9287" w:type="dxa"/>
          </w:tcPr>
          <w:p w14:paraId="18CD7F56" w14:textId="77777777" w:rsidR="00D3167C" w:rsidRPr="00490910" w:rsidRDefault="00000000" w:rsidP="00AD6F48">
            <w:pPr>
              <w:ind w:left="0" w:firstLine="0"/>
              <w:rPr>
                <w:b/>
              </w:rPr>
            </w:pPr>
            <w:r w:rsidRPr="00490910">
              <w:rPr>
                <w:b/>
                <w:u w:val="single"/>
              </w:rPr>
              <w:br w:type="page"/>
            </w:r>
            <w:r w:rsidRPr="00490910">
              <w:rPr>
                <w:b/>
              </w:rPr>
              <w:t>ÚDAJE UVÁDĚNÉ NA VNĚJŠÍM OBALU</w:t>
            </w:r>
          </w:p>
          <w:p w14:paraId="1E9AC1BD" w14:textId="77777777" w:rsidR="00D3167C" w:rsidRPr="00CA2697" w:rsidRDefault="00D3167C" w:rsidP="00AD6F48"/>
          <w:p w14:paraId="32072BAE" w14:textId="77777777" w:rsidR="00D3167C" w:rsidRPr="00490910" w:rsidRDefault="00000000" w:rsidP="00AD6F48">
            <w:pPr>
              <w:rPr>
                <w:b/>
                <w:caps/>
              </w:rPr>
            </w:pPr>
            <w:r w:rsidRPr="00490910">
              <w:rPr>
                <w:b/>
                <w:caps/>
              </w:rPr>
              <w:t>Krabička</w:t>
            </w:r>
          </w:p>
        </w:tc>
      </w:tr>
    </w:tbl>
    <w:p w14:paraId="63D821E3" w14:textId="77777777" w:rsidR="006D243A" w:rsidRDefault="006D243A" w:rsidP="00ED48A3"/>
    <w:p w14:paraId="7598FA65" w14:textId="77777777" w:rsidR="00D3167C" w:rsidRPr="001B4A02" w:rsidRDefault="00D3167C"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E18FBD0" w14:textId="77777777" w:rsidTr="00187CC8">
        <w:tc>
          <w:tcPr>
            <w:tcW w:w="9287" w:type="dxa"/>
          </w:tcPr>
          <w:p w14:paraId="08CAFB57" w14:textId="77777777" w:rsidR="006D243A" w:rsidRPr="001B4A02" w:rsidRDefault="00000000" w:rsidP="00ED48A3">
            <w:pPr>
              <w:tabs>
                <w:tab w:val="left" w:pos="142"/>
              </w:tabs>
              <w:rPr>
                <w:b/>
              </w:rPr>
            </w:pPr>
            <w:r w:rsidRPr="001B4A02">
              <w:rPr>
                <w:b/>
              </w:rPr>
              <w:t>1.</w:t>
            </w:r>
            <w:r w:rsidRPr="001B4A02">
              <w:rPr>
                <w:b/>
              </w:rPr>
              <w:tab/>
              <w:t>NÁZEV LÉČIVÉHO PŘÍPRAVKU</w:t>
            </w:r>
          </w:p>
        </w:tc>
      </w:tr>
    </w:tbl>
    <w:p w14:paraId="4F815824" w14:textId="77777777" w:rsidR="006D243A" w:rsidRPr="001B4A02" w:rsidRDefault="006D243A" w:rsidP="00ED48A3"/>
    <w:p w14:paraId="301F4767" w14:textId="77777777" w:rsidR="006D243A" w:rsidRPr="001B4A02" w:rsidRDefault="00000000" w:rsidP="004D0686">
      <w:pPr>
        <w:outlineLvl w:val="0"/>
      </w:pPr>
      <w:r w:rsidRPr="001B4A02">
        <w:t>Humira 40 mg injekční roztok v předplněné injekční stříkačce</w:t>
      </w:r>
    </w:p>
    <w:p w14:paraId="3B030A98" w14:textId="77777777" w:rsidR="006D243A" w:rsidRPr="001B4A02" w:rsidRDefault="00000000" w:rsidP="00ED48A3">
      <w:r w:rsidRPr="001B4A02">
        <w:t>adalimumab</w:t>
      </w:r>
      <w:del w:id="9742" w:author="Abbvie02" w:date="2025-05-16T11:48:00Z">
        <w:r w:rsidRPr="001B4A02">
          <w:delText>um</w:delText>
        </w:r>
      </w:del>
    </w:p>
    <w:p w14:paraId="7EBA2A54" w14:textId="77777777" w:rsidR="006D243A" w:rsidRPr="001B4A02" w:rsidRDefault="006D243A" w:rsidP="00ED48A3"/>
    <w:p w14:paraId="46F6D2CC"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D31DFFC" w14:textId="77777777" w:rsidTr="00187CC8">
        <w:tc>
          <w:tcPr>
            <w:tcW w:w="9287" w:type="dxa"/>
          </w:tcPr>
          <w:p w14:paraId="0601C6BC" w14:textId="77777777" w:rsidR="006D243A" w:rsidRPr="001B4A02" w:rsidRDefault="00000000" w:rsidP="00ED48A3">
            <w:pPr>
              <w:tabs>
                <w:tab w:val="left" w:pos="142"/>
              </w:tabs>
              <w:rPr>
                <w:b/>
              </w:rPr>
            </w:pPr>
            <w:r w:rsidRPr="001B4A02">
              <w:rPr>
                <w:b/>
              </w:rPr>
              <w:t>2.</w:t>
            </w:r>
            <w:r w:rsidRPr="001B4A02">
              <w:rPr>
                <w:b/>
              </w:rPr>
              <w:tab/>
              <w:t>OBSAH LÉČIVÉ LÁTKY</w:t>
            </w:r>
          </w:p>
        </w:tc>
      </w:tr>
    </w:tbl>
    <w:p w14:paraId="4D6A772D" w14:textId="77777777" w:rsidR="006D243A" w:rsidRPr="001B4A02" w:rsidRDefault="006D243A" w:rsidP="00ED48A3"/>
    <w:p w14:paraId="086ACEC5" w14:textId="77777777" w:rsidR="006D243A" w:rsidRPr="001B4A02" w:rsidRDefault="00000000" w:rsidP="00ED48A3">
      <w:r w:rsidRPr="001B4A02">
        <w:t>Jedna 0,</w:t>
      </w:r>
      <w:r w:rsidR="00187CC8" w:rsidRPr="001B4A02">
        <w:t>4</w:t>
      </w:r>
      <w:r w:rsidRPr="001B4A02">
        <w:t xml:space="preserve">ml předplněná injekční stříkačka obsahuje </w:t>
      </w:r>
      <w:del w:id="9743" w:author="Abbvie02" w:date="2025-05-16T11:48:00Z">
        <w:r w:rsidRPr="001B4A02">
          <w:delText xml:space="preserve">adalimumabum </w:delText>
        </w:r>
      </w:del>
      <w:r w:rsidRPr="001B4A02">
        <w:t>40</w:t>
      </w:r>
      <w:r w:rsidR="00874DE1">
        <w:t> mg</w:t>
      </w:r>
      <w:ins w:id="9744" w:author="Abbvie02" w:date="2025-05-16T11:48:00Z">
        <w:r w:rsidR="00BB1309" w:rsidRPr="00BB1309">
          <w:t xml:space="preserve"> </w:t>
        </w:r>
        <w:r w:rsidR="00BB1309" w:rsidRPr="001B4A02">
          <w:t>adalimumabu</w:t>
        </w:r>
      </w:ins>
      <w:r w:rsidRPr="001B4A02">
        <w:t>.</w:t>
      </w:r>
    </w:p>
    <w:p w14:paraId="048B11BE" w14:textId="77777777" w:rsidR="006D243A" w:rsidRPr="001B4A02" w:rsidRDefault="006D243A" w:rsidP="00ED48A3"/>
    <w:p w14:paraId="66346603"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171661D" w14:textId="77777777" w:rsidTr="00187CC8">
        <w:tc>
          <w:tcPr>
            <w:tcW w:w="9287" w:type="dxa"/>
          </w:tcPr>
          <w:p w14:paraId="033A5F94" w14:textId="77777777" w:rsidR="006D243A" w:rsidRPr="001B4A02" w:rsidRDefault="00000000" w:rsidP="00ED48A3">
            <w:pPr>
              <w:tabs>
                <w:tab w:val="left" w:pos="142"/>
              </w:tabs>
              <w:rPr>
                <w:b/>
              </w:rPr>
            </w:pPr>
            <w:r w:rsidRPr="001B4A02">
              <w:rPr>
                <w:b/>
              </w:rPr>
              <w:t>3.</w:t>
            </w:r>
            <w:r w:rsidRPr="001B4A02">
              <w:rPr>
                <w:b/>
              </w:rPr>
              <w:tab/>
              <w:t>SEZNAM POMOCNÝCH LÁTEK</w:t>
            </w:r>
          </w:p>
        </w:tc>
      </w:tr>
    </w:tbl>
    <w:p w14:paraId="26674CF7" w14:textId="77777777" w:rsidR="006D243A" w:rsidRPr="001B4A02" w:rsidRDefault="006D243A" w:rsidP="00ED48A3"/>
    <w:p w14:paraId="640075D2" w14:textId="77777777" w:rsidR="006D243A" w:rsidRPr="001B4A02" w:rsidRDefault="00000000" w:rsidP="00ED48A3">
      <w:pPr>
        <w:ind w:left="0" w:firstLine="0"/>
      </w:pPr>
      <w:r w:rsidRPr="001B4A02">
        <w:t>Pomocné látky: mannitol, polysorbát 80</w:t>
      </w:r>
      <w:r w:rsidR="002378E0">
        <w:t xml:space="preserve"> a </w:t>
      </w:r>
      <w:r w:rsidRPr="001B4A02">
        <w:t xml:space="preserve">voda </w:t>
      </w:r>
      <w:r w:rsidR="00202301" w:rsidRPr="001B4A02">
        <w:t>pro</w:t>
      </w:r>
      <w:r w:rsidRPr="001B4A02">
        <w:t xml:space="preserve"> injekci. Další informace naleznete v příbalové informaci.</w:t>
      </w:r>
    </w:p>
    <w:p w14:paraId="00B4EE2E" w14:textId="77777777" w:rsidR="006D243A" w:rsidRPr="001B4A02" w:rsidRDefault="006D243A" w:rsidP="00ED48A3"/>
    <w:p w14:paraId="38221BF9"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57747E8" w14:textId="77777777" w:rsidTr="00187CC8">
        <w:tc>
          <w:tcPr>
            <w:tcW w:w="9287" w:type="dxa"/>
          </w:tcPr>
          <w:p w14:paraId="0F980151" w14:textId="77777777" w:rsidR="006D243A" w:rsidRPr="001B4A02" w:rsidRDefault="00000000" w:rsidP="00ED48A3">
            <w:pPr>
              <w:tabs>
                <w:tab w:val="left" w:pos="142"/>
              </w:tabs>
              <w:rPr>
                <w:b/>
              </w:rPr>
            </w:pPr>
            <w:r w:rsidRPr="001B4A02">
              <w:rPr>
                <w:b/>
              </w:rPr>
              <w:t>4.</w:t>
            </w:r>
            <w:r w:rsidRPr="001B4A02">
              <w:rPr>
                <w:b/>
              </w:rPr>
              <w:tab/>
              <w:t xml:space="preserve">LÉKOVÁ FORMA A </w:t>
            </w:r>
            <w:r w:rsidR="00DE5AC6" w:rsidRPr="001B4A02">
              <w:rPr>
                <w:b/>
              </w:rPr>
              <w:t xml:space="preserve">OBSAH </w:t>
            </w:r>
            <w:r w:rsidRPr="001B4A02">
              <w:rPr>
                <w:b/>
              </w:rPr>
              <w:t>BALENÍ</w:t>
            </w:r>
          </w:p>
        </w:tc>
      </w:tr>
    </w:tbl>
    <w:p w14:paraId="5C0E740F" w14:textId="77777777" w:rsidR="006D243A" w:rsidRPr="001B4A02" w:rsidRDefault="006D243A" w:rsidP="00ED48A3"/>
    <w:p w14:paraId="3187490E" w14:textId="77777777" w:rsidR="00E97653" w:rsidRPr="001B4A02" w:rsidRDefault="00000000" w:rsidP="00ED48A3">
      <w:r w:rsidRPr="001B4A02">
        <w:rPr>
          <w:highlight w:val="lightGray"/>
        </w:rPr>
        <w:t>Injekční roztok</w:t>
      </w:r>
    </w:p>
    <w:p w14:paraId="2E0A5D40" w14:textId="77777777" w:rsidR="006D243A" w:rsidRPr="001B4A02" w:rsidRDefault="00000000" w:rsidP="00ED48A3">
      <w:r w:rsidRPr="001B4A02">
        <w:t xml:space="preserve">1 předplněná injekční stříkačka </w:t>
      </w:r>
    </w:p>
    <w:p w14:paraId="5EA83ECF" w14:textId="77777777" w:rsidR="006D243A" w:rsidRPr="001B4A02" w:rsidRDefault="00000000" w:rsidP="00ED48A3">
      <w:r w:rsidRPr="001B4A02">
        <w:t>1 tamp</w:t>
      </w:r>
      <w:ins w:id="9745" w:author="Abbvie02" w:date="2025-05-16T12:26:00Z">
        <w:r w:rsidR="00576B2A">
          <w:t>o</w:t>
        </w:r>
      </w:ins>
      <w:del w:id="9746" w:author="Abbvie02" w:date="2025-05-16T12:26:00Z">
        <w:r w:rsidRPr="001B4A02">
          <w:delText>ó</w:delText>
        </w:r>
      </w:del>
      <w:r w:rsidRPr="001B4A02">
        <w:t>n napuštěný alkoholem</w:t>
      </w:r>
    </w:p>
    <w:p w14:paraId="777E6DE0" w14:textId="77777777" w:rsidR="00E97653" w:rsidRPr="001B4A02" w:rsidRDefault="00E97653" w:rsidP="00ED48A3"/>
    <w:p w14:paraId="484A330B" w14:textId="77777777" w:rsidR="00E97653" w:rsidRPr="001B4A02" w:rsidRDefault="00000000" w:rsidP="00E97653">
      <w:pPr>
        <w:ind w:left="540" w:hanging="540"/>
        <w:rPr>
          <w:highlight w:val="lightGray"/>
        </w:rPr>
      </w:pPr>
      <w:r w:rsidRPr="001B4A02">
        <w:rPr>
          <w:highlight w:val="lightGray"/>
        </w:rPr>
        <w:t>2 předplněné injekční st</w:t>
      </w:r>
      <w:r w:rsidR="001B4A02">
        <w:rPr>
          <w:highlight w:val="lightGray"/>
        </w:rPr>
        <w:t>ř</w:t>
      </w:r>
      <w:r w:rsidRPr="001B4A02">
        <w:rPr>
          <w:highlight w:val="lightGray"/>
        </w:rPr>
        <w:t>íkačky</w:t>
      </w:r>
    </w:p>
    <w:p w14:paraId="619512D2" w14:textId="77777777" w:rsidR="00E97653" w:rsidRPr="001B4A02" w:rsidRDefault="00000000" w:rsidP="00E97653">
      <w:pPr>
        <w:ind w:left="540" w:hanging="540"/>
        <w:rPr>
          <w:highlight w:val="lightGray"/>
        </w:rPr>
      </w:pPr>
      <w:r w:rsidRPr="001B4A02">
        <w:rPr>
          <w:highlight w:val="lightGray"/>
        </w:rPr>
        <w:t>2 tamp</w:t>
      </w:r>
      <w:ins w:id="9747" w:author="Abbvie02" w:date="2025-05-16T12:26:00Z">
        <w:r w:rsidR="00576B2A">
          <w:rPr>
            <w:highlight w:val="lightGray"/>
          </w:rPr>
          <w:t>o</w:t>
        </w:r>
      </w:ins>
      <w:del w:id="9748" w:author="Abbvie02" w:date="2025-05-16T12:26:00Z">
        <w:r w:rsidRPr="001B4A02">
          <w:rPr>
            <w:highlight w:val="lightGray"/>
          </w:rPr>
          <w:delText>ó</w:delText>
        </w:r>
      </w:del>
      <w:r w:rsidRPr="001B4A02">
        <w:rPr>
          <w:highlight w:val="lightGray"/>
        </w:rPr>
        <w:t xml:space="preserve">ny napuštěné alkoholem </w:t>
      </w:r>
    </w:p>
    <w:p w14:paraId="2EFFFCB9" w14:textId="77777777" w:rsidR="00E97653" w:rsidRPr="001B4A02" w:rsidRDefault="00E97653" w:rsidP="00E97653">
      <w:pPr>
        <w:ind w:left="540" w:hanging="540"/>
        <w:rPr>
          <w:highlight w:val="lightGray"/>
        </w:rPr>
      </w:pPr>
    </w:p>
    <w:p w14:paraId="2D8F1768" w14:textId="77777777" w:rsidR="00E97653" w:rsidRPr="001B4A02" w:rsidRDefault="00000000" w:rsidP="00E97653">
      <w:pPr>
        <w:ind w:left="540" w:hanging="540"/>
        <w:rPr>
          <w:highlight w:val="lightGray"/>
        </w:rPr>
      </w:pPr>
      <w:r w:rsidRPr="001B4A02">
        <w:rPr>
          <w:highlight w:val="lightGray"/>
        </w:rPr>
        <w:t>4 předplněné injekční stříkačky</w:t>
      </w:r>
    </w:p>
    <w:p w14:paraId="6581AE38" w14:textId="77777777" w:rsidR="00E97653" w:rsidRPr="001B4A02" w:rsidRDefault="00000000" w:rsidP="00E97653">
      <w:pPr>
        <w:ind w:left="540" w:hanging="540"/>
        <w:rPr>
          <w:highlight w:val="lightGray"/>
        </w:rPr>
      </w:pPr>
      <w:r w:rsidRPr="001B4A02">
        <w:rPr>
          <w:highlight w:val="lightGray"/>
        </w:rPr>
        <w:t>4 tamp</w:t>
      </w:r>
      <w:ins w:id="9749" w:author="Abbvie02" w:date="2025-05-16T12:26:00Z">
        <w:r w:rsidR="00576B2A">
          <w:rPr>
            <w:highlight w:val="lightGray"/>
          </w:rPr>
          <w:t>o</w:t>
        </w:r>
      </w:ins>
      <w:del w:id="9750" w:author="Abbvie02" w:date="2025-05-16T12:26:00Z">
        <w:r w:rsidRPr="001B4A02">
          <w:rPr>
            <w:highlight w:val="lightGray"/>
          </w:rPr>
          <w:delText>ó</w:delText>
        </w:r>
      </w:del>
      <w:r w:rsidRPr="001B4A02">
        <w:rPr>
          <w:highlight w:val="lightGray"/>
        </w:rPr>
        <w:t>ny napuštěné alkoholem</w:t>
      </w:r>
    </w:p>
    <w:p w14:paraId="3B059873" w14:textId="77777777" w:rsidR="00E97653" w:rsidRPr="001B4A02" w:rsidRDefault="00E97653" w:rsidP="00E97653">
      <w:pPr>
        <w:ind w:left="540" w:hanging="540"/>
        <w:rPr>
          <w:highlight w:val="lightGray"/>
        </w:rPr>
      </w:pPr>
    </w:p>
    <w:p w14:paraId="60B64227" w14:textId="77777777" w:rsidR="00E97653" w:rsidRPr="001B4A02" w:rsidRDefault="00000000" w:rsidP="00E97653">
      <w:pPr>
        <w:ind w:left="540" w:hanging="540"/>
        <w:rPr>
          <w:highlight w:val="lightGray"/>
        </w:rPr>
      </w:pPr>
      <w:r w:rsidRPr="001B4A02">
        <w:rPr>
          <w:highlight w:val="lightGray"/>
        </w:rPr>
        <w:t>6 předplněných injekčních stříkaček</w:t>
      </w:r>
    </w:p>
    <w:p w14:paraId="4B14ABDB" w14:textId="77777777" w:rsidR="00E97653" w:rsidRPr="001B4A02" w:rsidRDefault="00000000" w:rsidP="00E97653">
      <w:pPr>
        <w:ind w:left="540" w:hanging="540"/>
        <w:rPr>
          <w:szCs w:val="22"/>
        </w:rPr>
      </w:pPr>
      <w:r w:rsidRPr="001B4A02">
        <w:rPr>
          <w:highlight w:val="lightGray"/>
        </w:rPr>
        <w:t>6 tamp</w:t>
      </w:r>
      <w:ins w:id="9751" w:author="Abbvie02" w:date="2025-05-16T12:26:00Z">
        <w:r w:rsidR="00576B2A">
          <w:rPr>
            <w:highlight w:val="lightGray"/>
          </w:rPr>
          <w:t>o</w:t>
        </w:r>
      </w:ins>
      <w:del w:id="9752" w:author="Abbvie02" w:date="2025-05-16T12:26:00Z">
        <w:r w:rsidRPr="001B4A02">
          <w:rPr>
            <w:highlight w:val="lightGray"/>
          </w:rPr>
          <w:delText>ó</w:delText>
        </w:r>
      </w:del>
      <w:r w:rsidRPr="001B4A02">
        <w:rPr>
          <w:highlight w:val="lightGray"/>
        </w:rPr>
        <w:t>nů napuštěných alkoholem</w:t>
      </w:r>
    </w:p>
    <w:p w14:paraId="7311DAA7" w14:textId="77777777" w:rsidR="00E97653" w:rsidRPr="001B4A02" w:rsidRDefault="00E97653" w:rsidP="00ED48A3"/>
    <w:p w14:paraId="0EFE40AB"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16ABB76" w14:textId="77777777" w:rsidTr="00187CC8">
        <w:tc>
          <w:tcPr>
            <w:tcW w:w="9287" w:type="dxa"/>
          </w:tcPr>
          <w:p w14:paraId="4B03874F" w14:textId="77777777" w:rsidR="006D243A" w:rsidRPr="001B4A02" w:rsidRDefault="00000000" w:rsidP="00ED48A3">
            <w:pPr>
              <w:tabs>
                <w:tab w:val="left" w:pos="142"/>
              </w:tabs>
              <w:rPr>
                <w:b/>
              </w:rPr>
            </w:pPr>
            <w:r w:rsidRPr="001B4A02">
              <w:rPr>
                <w:b/>
              </w:rPr>
              <w:t>5.</w:t>
            </w:r>
            <w:r w:rsidRPr="001B4A02">
              <w:rPr>
                <w:b/>
              </w:rPr>
              <w:tab/>
              <w:t>ZPŮSOB A CESTA PODÁNÍ</w:t>
            </w:r>
          </w:p>
        </w:tc>
      </w:tr>
    </w:tbl>
    <w:p w14:paraId="56A68EEF" w14:textId="77777777" w:rsidR="006D243A" w:rsidRPr="001B4A02" w:rsidRDefault="006D243A" w:rsidP="00ED48A3"/>
    <w:p w14:paraId="4EC64456" w14:textId="77777777" w:rsidR="006D243A" w:rsidRPr="001B4A02" w:rsidRDefault="00000000" w:rsidP="00ED48A3">
      <w:r w:rsidRPr="001B4A02">
        <w:t>Subkutánní podání</w:t>
      </w:r>
    </w:p>
    <w:p w14:paraId="27386518" w14:textId="77777777" w:rsidR="006D243A" w:rsidRPr="001B4A02" w:rsidRDefault="006D243A" w:rsidP="00ED48A3"/>
    <w:p w14:paraId="398B18FE" w14:textId="77777777" w:rsidR="006D243A" w:rsidRPr="001B4A02" w:rsidRDefault="00000000" w:rsidP="00ED48A3">
      <w:r w:rsidRPr="001B4A02">
        <w:t>Před použitím si přečtěte příbalovou informaci.</w:t>
      </w:r>
    </w:p>
    <w:p w14:paraId="284AA8DC" w14:textId="77777777" w:rsidR="009954F1" w:rsidRPr="001B4A02" w:rsidRDefault="009954F1" w:rsidP="00ED48A3"/>
    <w:p w14:paraId="533CB891" w14:textId="77777777" w:rsidR="009954F1" w:rsidRPr="001B4A02" w:rsidRDefault="00000000" w:rsidP="00ED48A3">
      <w:r w:rsidRPr="001B4A02">
        <w:t>Pouze k jednorázovému použití.</w:t>
      </w:r>
    </w:p>
    <w:p w14:paraId="5B8178CD" w14:textId="77777777" w:rsidR="006D243A" w:rsidRPr="001B4A02" w:rsidRDefault="006D243A" w:rsidP="00ED48A3"/>
    <w:p w14:paraId="1104406B"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A2ADB6E" w14:textId="77777777" w:rsidTr="00187CC8">
        <w:tc>
          <w:tcPr>
            <w:tcW w:w="9287" w:type="dxa"/>
          </w:tcPr>
          <w:p w14:paraId="6B280A95" w14:textId="77777777" w:rsidR="006D243A" w:rsidRPr="001B4A02" w:rsidRDefault="00000000" w:rsidP="00ED48A3">
            <w:pPr>
              <w:tabs>
                <w:tab w:val="left" w:pos="142"/>
              </w:tabs>
              <w:rPr>
                <w:b/>
              </w:rPr>
            </w:pPr>
            <w:r w:rsidRPr="001B4A02">
              <w:rPr>
                <w:b/>
              </w:rPr>
              <w:t>6.</w:t>
            </w:r>
            <w:r w:rsidRPr="001B4A02">
              <w:rPr>
                <w:b/>
              </w:rPr>
              <w:tab/>
              <w:t>ZVLÁŠTNÍ UPOZORNĚNÍ, ŽE LÉČIVÝ PŘÍPRAVEK MUSÍ BÝT UCHOVÁVÁN MIMO DOHLED A DOSAH DĚTÍ</w:t>
            </w:r>
          </w:p>
        </w:tc>
      </w:tr>
    </w:tbl>
    <w:p w14:paraId="5930FAFA" w14:textId="77777777" w:rsidR="006D243A" w:rsidRPr="001B4A02" w:rsidRDefault="006D243A" w:rsidP="00ED48A3"/>
    <w:p w14:paraId="471937F0" w14:textId="77777777" w:rsidR="006D243A" w:rsidRPr="001B4A02" w:rsidRDefault="00000000" w:rsidP="007F7787">
      <w:r w:rsidRPr="001B4A02">
        <w:t>Uchovávejte mimo dohled</w:t>
      </w:r>
      <w:r w:rsidR="002378E0">
        <w:t xml:space="preserve"> a </w:t>
      </w:r>
      <w:r w:rsidRPr="001B4A02">
        <w:t>dosah dětí.</w:t>
      </w:r>
    </w:p>
    <w:p w14:paraId="2D83DA57" w14:textId="77777777" w:rsidR="006D243A" w:rsidRPr="001B4A02" w:rsidRDefault="006D243A" w:rsidP="00ED48A3"/>
    <w:p w14:paraId="365C0184"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4DA8678" w14:textId="77777777" w:rsidTr="00187CC8">
        <w:tc>
          <w:tcPr>
            <w:tcW w:w="9287" w:type="dxa"/>
          </w:tcPr>
          <w:p w14:paraId="02B2EA7E" w14:textId="77777777" w:rsidR="006D243A" w:rsidRPr="001B4A02" w:rsidRDefault="00000000" w:rsidP="00ED48A3">
            <w:pPr>
              <w:tabs>
                <w:tab w:val="left" w:pos="142"/>
              </w:tabs>
              <w:rPr>
                <w:b/>
              </w:rPr>
            </w:pPr>
            <w:r w:rsidRPr="001B4A02">
              <w:rPr>
                <w:b/>
              </w:rPr>
              <w:t>7.</w:t>
            </w:r>
            <w:r w:rsidRPr="001B4A02">
              <w:rPr>
                <w:b/>
              </w:rPr>
              <w:tab/>
              <w:t>DALŠÍ ZVLÁŠTNÍ UPOZORNĚNÍ, POKUD JE POTŘEBNÉ</w:t>
            </w:r>
          </w:p>
        </w:tc>
      </w:tr>
    </w:tbl>
    <w:p w14:paraId="6E6560E4" w14:textId="77777777" w:rsidR="006D243A" w:rsidRPr="001B4A02" w:rsidRDefault="006D243A" w:rsidP="00ED48A3"/>
    <w:p w14:paraId="4242FD9E"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35913BA" w14:textId="77777777" w:rsidTr="00187CC8">
        <w:tc>
          <w:tcPr>
            <w:tcW w:w="9287" w:type="dxa"/>
          </w:tcPr>
          <w:p w14:paraId="1F087ABB" w14:textId="77777777" w:rsidR="006D243A" w:rsidRPr="001B4A02" w:rsidRDefault="00000000" w:rsidP="00ED48A3">
            <w:pPr>
              <w:tabs>
                <w:tab w:val="left" w:pos="142"/>
              </w:tabs>
              <w:rPr>
                <w:b/>
              </w:rPr>
            </w:pPr>
            <w:r w:rsidRPr="001B4A02">
              <w:rPr>
                <w:b/>
              </w:rPr>
              <w:t>8.</w:t>
            </w:r>
            <w:r w:rsidRPr="001B4A02">
              <w:rPr>
                <w:b/>
              </w:rPr>
              <w:tab/>
              <w:t>POUŽITELNOST</w:t>
            </w:r>
          </w:p>
        </w:tc>
      </w:tr>
    </w:tbl>
    <w:p w14:paraId="2B569E76" w14:textId="77777777" w:rsidR="006D243A" w:rsidRPr="001B4A02" w:rsidRDefault="006D243A" w:rsidP="00ED48A3"/>
    <w:p w14:paraId="3509F12E" w14:textId="77777777" w:rsidR="006D243A" w:rsidRPr="001B4A02" w:rsidRDefault="00000000" w:rsidP="007F7787">
      <w:r w:rsidRPr="001B4A02">
        <w:t xml:space="preserve">EXP </w:t>
      </w:r>
    </w:p>
    <w:p w14:paraId="59764328" w14:textId="77777777" w:rsidR="006D243A" w:rsidRPr="001B4A02" w:rsidRDefault="006D243A" w:rsidP="00ED48A3"/>
    <w:p w14:paraId="28FB4061"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056C6A4" w14:textId="77777777" w:rsidTr="00187CC8">
        <w:tc>
          <w:tcPr>
            <w:tcW w:w="9287" w:type="dxa"/>
          </w:tcPr>
          <w:p w14:paraId="49E1A3D4" w14:textId="77777777" w:rsidR="006D243A" w:rsidRPr="001B4A02" w:rsidRDefault="00000000" w:rsidP="00ED48A3">
            <w:pPr>
              <w:keepNext/>
              <w:tabs>
                <w:tab w:val="left" w:pos="142"/>
              </w:tabs>
            </w:pPr>
            <w:r w:rsidRPr="001B4A02">
              <w:rPr>
                <w:b/>
              </w:rPr>
              <w:t>9.</w:t>
            </w:r>
            <w:r w:rsidRPr="001B4A02">
              <w:rPr>
                <w:b/>
              </w:rPr>
              <w:tab/>
              <w:t>ZVLÁŠTNÍ PODMÍNKY PRO UCHOVÁVÁNÍ</w:t>
            </w:r>
          </w:p>
        </w:tc>
      </w:tr>
    </w:tbl>
    <w:p w14:paraId="4C0F7E7C" w14:textId="77777777" w:rsidR="006D243A" w:rsidRPr="001B4A02" w:rsidRDefault="006D243A" w:rsidP="00ED48A3">
      <w:pPr>
        <w:keepNext/>
        <w:ind w:left="0" w:firstLine="0"/>
      </w:pPr>
    </w:p>
    <w:p w14:paraId="09742D19" w14:textId="77777777" w:rsidR="00187CC8" w:rsidRPr="001B4A02" w:rsidRDefault="00000000" w:rsidP="00ED48A3">
      <w:pPr>
        <w:keepNext/>
        <w:ind w:left="0" w:firstLine="0"/>
      </w:pPr>
      <w:r w:rsidRPr="001B4A02">
        <w:t>Uchovávejte v chladničce. Chraňte před mrazem.</w:t>
      </w:r>
    </w:p>
    <w:p w14:paraId="48F2C796" w14:textId="77777777" w:rsidR="006D243A" w:rsidRPr="001B4A02" w:rsidRDefault="00000000" w:rsidP="00ED48A3">
      <w:pPr>
        <w:keepNext/>
      </w:pPr>
      <w:r w:rsidRPr="001B4A02">
        <w:t>Pro další možnosti uchovávání viz příbalov</w:t>
      </w:r>
      <w:r w:rsidR="00DE3467">
        <w:t>á</w:t>
      </w:r>
      <w:r w:rsidRPr="001B4A02">
        <w:t xml:space="preserve"> informac</w:t>
      </w:r>
      <w:r w:rsidR="00DE3467">
        <w:t>e</w:t>
      </w:r>
      <w:r w:rsidRPr="001B4A02">
        <w:t>.</w:t>
      </w:r>
    </w:p>
    <w:p w14:paraId="24DFA57A" w14:textId="77777777" w:rsidR="006D243A" w:rsidRPr="001B4A02" w:rsidRDefault="006D243A" w:rsidP="00ED48A3">
      <w:pPr>
        <w:keepNext/>
      </w:pPr>
    </w:p>
    <w:p w14:paraId="32DC06F2" w14:textId="77777777" w:rsidR="006D243A" w:rsidRPr="001B4A02" w:rsidRDefault="00000000" w:rsidP="00ED48A3">
      <w:pPr>
        <w:keepNext/>
      </w:pPr>
      <w:r w:rsidRPr="001B4A02">
        <w:t>Uchovávejte injekční stříkačku v krabičce, aby byl přípravek chráněn před světlem.</w:t>
      </w:r>
    </w:p>
    <w:p w14:paraId="3E0352A6" w14:textId="77777777" w:rsidR="006D243A" w:rsidRPr="001B4A02" w:rsidRDefault="006D243A" w:rsidP="00ED48A3">
      <w:pPr>
        <w:keepNext/>
      </w:pPr>
    </w:p>
    <w:p w14:paraId="208670E4" w14:textId="77777777" w:rsidR="006D243A" w:rsidRPr="001B4A02" w:rsidRDefault="006D243A" w:rsidP="008F0EA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AEC5106" w14:textId="77777777" w:rsidTr="00187CC8">
        <w:tc>
          <w:tcPr>
            <w:tcW w:w="9287" w:type="dxa"/>
          </w:tcPr>
          <w:p w14:paraId="60A59259" w14:textId="77777777" w:rsidR="006D243A" w:rsidRPr="001B4A02" w:rsidRDefault="00000000" w:rsidP="00ED48A3">
            <w:pPr>
              <w:tabs>
                <w:tab w:val="left" w:pos="142"/>
              </w:tabs>
              <w:rPr>
                <w:b/>
              </w:rPr>
            </w:pPr>
            <w:r w:rsidRPr="001B4A02">
              <w:rPr>
                <w:b/>
              </w:rPr>
              <w:t>10.</w:t>
            </w:r>
            <w:r w:rsidRPr="001B4A02">
              <w:rPr>
                <w:b/>
              </w:rPr>
              <w:tab/>
              <w:t>ZVLÁŠTNÍ OPATŘENÍ PRO LIKVIDACI NEPOUŽITÝCH LÉČIVÝCH PŘÍPRAVKŮ NEBO ODPADU Z </w:t>
            </w:r>
            <w:r w:rsidR="00DE5AC6" w:rsidRPr="001B4A02">
              <w:rPr>
                <w:b/>
              </w:rPr>
              <w:t>NICH</w:t>
            </w:r>
            <w:r w:rsidRPr="001B4A02">
              <w:rPr>
                <w:b/>
              </w:rPr>
              <w:t>, POKUD JE TO VHODNÉ</w:t>
            </w:r>
          </w:p>
        </w:tc>
      </w:tr>
    </w:tbl>
    <w:p w14:paraId="66ED3436" w14:textId="77777777" w:rsidR="006D243A" w:rsidRPr="001B4A02" w:rsidRDefault="006D243A" w:rsidP="00ED48A3"/>
    <w:p w14:paraId="34F8DE13"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7B8182A" w14:textId="77777777" w:rsidTr="00187CC8">
        <w:tc>
          <w:tcPr>
            <w:tcW w:w="9287" w:type="dxa"/>
          </w:tcPr>
          <w:p w14:paraId="4A6C4C4E" w14:textId="77777777" w:rsidR="006D243A" w:rsidRPr="001B4A02" w:rsidRDefault="00000000" w:rsidP="00ED48A3">
            <w:pPr>
              <w:tabs>
                <w:tab w:val="left" w:pos="142"/>
              </w:tabs>
              <w:rPr>
                <w:b/>
              </w:rPr>
            </w:pPr>
            <w:r w:rsidRPr="001B4A02">
              <w:rPr>
                <w:b/>
              </w:rPr>
              <w:t>11.</w:t>
            </w:r>
            <w:r w:rsidRPr="001B4A02">
              <w:rPr>
                <w:b/>
              </w:rPr>
              <w:tab/>
              <w:t>NÁZEV A ADRESA DRŽITELE ROZHODNUTÍ O REGISTRACI</w:t>
            </w:r>
          </w:p>
        </w:tc>
      </w:tr>
    </w:tbl>
    <w:p w14:paraId="2C83D634" w14:textId="77777777" w:rsidR="006D243A" w:rsidRPr="001B4A02" w:rsidRDefault="006D243A" w:rsidP="00ED48A3"/>
    <w:p w14:paraId="58BD65A7" w14:textId="77777777" w:rsidR="00E86403" w:rsidRPr="001B4A02" w:rsidRDefault="00000000" w:rsidP="00E86403">
      <w:pPr>
        <w:keepNext/>
        <w:autoSpaceDE w:val="0"/>
        <w:autoSpaceDN w:val="0"/>
        <w:adjustRightInd w:val="0"/>
        <w:spacing w:line="240" w:lineRule="atLeast"/>
        <w:rPr>
          <w:szCs w:val="22"/>
          <w:lang w:eastAsia="en-GB"/>
        </w:rPr>
      </w:pPr>
      <w:r w:rsidRPr="001B4A02">
        <w:rPr>
          <w:szCs w:val="22"/>
          <w:lang w:eastAsia="en-GB"/>
        </w:rPr>
        <w:t>AbbVie Deutschland GmbH &amp; Co. KG</w:t>
      </w:r>
    </w:p>
    <w:p w14:paraId="74F18C8F" w14:textId="77777777" w:rsidR="00E86403" w:rsidRPr="001B4A02" w:rsidRDefault="00000000" w:rsidP="00E86403">
      <w:pPr>
        <w:keepNext/>
        <w:autoSpaceDE w:val="0"/>
        <w:autoSpaceDN w:val="0"/>
        <w:adjustRightInd w:val="0"/>
        <w:spacing w:line="240" w:lineRule="atLeast"/>
        <w:rPr>
          <w:szCs w:val="22"/>
          <w:lang w:eastAsia="en-GB"/>
        </w:rPr>
      </w:pPr>
      <w:r w:rsidRPr="001B4A02">
        <w:rPr>
          <w:szCs w:val="22"/>
          <w:lang w:eastAsia="en-GB"/>
        </w:rPr>
        <w:t>Knollstrasse</w:t>
      </w:r>
    </w:p>
    <w:p w14:paraId="71AA426E" w14:textId="77777777" w:rsidR="00E86403" w:rsidRPr="001B4A02" w:rsidRDefault="00000000" w:rsidP="00E86403">
      <w:pPr>
        <w:keepNext/>
        <w:autoSpaceDE w:val="0"/>
        <w:autoSpaceDN w:val="0"/>
        <w:adjustRightInd w:val="0"/>
        <w:spacing w:line="240" w:lineRule="atLeast"/>
        <w:rPr>
          <w:szCs w:val="22"/>
          <w:lang w:eastAsia="en-GB"/>
        </w:rPr>
      </w:pPr>
      <w:r w:rsidRPr="001B4A02">
        <w:rPr>
          <w:szCs w:val="22"/>
          <w:lang w:eastAsia="en-GB"/>
        </w:rPr>
        <w:t>67061 Ludwigshafen</w:t>
      </w:r>
    </w:p>
    <w:p w14:paraId="2BC37929" w14:textId="77777777" w:rsidR="006D243A" w:rsidRPr="001B4A02" w:rsidRDefault="00000000" w:rsidP="00ED48A3">
      <w:pPr>
        <w:ind w:left="0" w:firstLine="0"/>
      </w:pPr>
      <w:r w:rsidRPr="001B4A02">
        <w:rPr>
          <w:szCs w:val="22"/>
          <w:lang w:eastAsia="en-GB"/>
        </w:rPr>
        <w:t>Německo</w:t>
      </w:r>
    </w:p>
    <w:p w14:paraId="050BF5D6" w14:textId="77777777" w:rsidR="006D243A" w:rsidRPr="001B4A02" w:rsidRDefault="006D243A" w:rsidP="00ED48A3"/>
    <w:p w14:paraId="36E2C159"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620A3F3" w14:textId="77777777" w:rsidTr="00187CC8">
        <w:tc>
          <w:tcPr>
            <w:tcW w:w="9287" w:type="dxa"/>
          </w:tcPr>
          <w:p w14:paraId="34204C6C" w14:textId="77777777" w:rsidR="006D243A" w:rsidRPr="001B4A02" w:rsidRDefault="00000000" w:rsidP="00ED48A3">
            <w:pPr>
              <w:tabs>
                <w:tab w:val="left" w:pos="142"/>
              </w:tabs>
              <w:rPr>
                <w:b/>
              </w:rPr>
            </w:pPr>
            <w:r w:rsidRPr="001B4A02">
              <w:rPr>
                <w:b/>
              </w:rPr>
              <w:t>12.</w:t>
            </w:r>
            <w:r w:rsidRPr="001B4A02">
              <w:rPr>
                <w:b/>
              </w:rPr>
              <w:tab/>
              <w:t>REGISTRAČNÍ ČÍSL</w:t>
            </w:r>
            <w:r w:rsidR="008F0EA5" w:rsidRPr="001B4A02">
              <w:rPr>
                <w:b/>
              </w:rPr>
              <w:t>A</w:t>
            </w:r>
          </w:p>
        </w:tc>
      </w:tr>
    </w:tbl>
    <w:p w14:paraId="3D3E7D84" w14:textId="77777777" w:rsidR="006D243A" w:rsidRPr="001B4A02" w:rsidRDefault="006D243A" w:rsidP="00ED48A3"/>
    <w:p w14:paraId="2161FB6F" w14:textId="77777777" w:rsidR="006D243A" w:rsidRPr="001B4A02" w:rsidRDefault="00000000" w:rsidP="007F7787">
      <w:r w:rsidRPr="001B4A02">
        <w:t>EU/1/03/256/0</w:t>
      </w:r>
      <w:r w:rsidR="00E6522C" w:rsidRPr="001B4A02">
        <w:t>12</w:t>
      </w:r>
    </w:p>
    <w:p w14:paraId="46F799EE" w14:textId="77777777" w:rsidR="00E97653" w:rsidRPr="001B4A02" w:rsidRDefault="00000000" w:rsidP="00E97653">
      <w:pPr>
        <w:ind w:left="540" w:hanging="540"/>
        <w:rPr>
          <w:highlight w:val="lightGray"/>
        </w:rPr>
      </w:pPr>
      <w:r w:rsidRPr="001B4A02">
        <w:rPr>
          <w:highlight w:val="lightGray"/>
        </w:rPr>
        <w:t>EU/1/03/256/013</w:t>
      </w:r>
    </w:p>
    <w:p w14:paraId="23D919AD" w14:textId="77777777" w:rsidR="00E97653" w:rsidRPr="001B4A02" w:rsidRDefault="00000000" w:rsidP="00E97653">
      <w:pPr>
        <w:ind w:left="540" w:hanging="540"/>
        <w:rPr>
          <w:highlight w:val="lightGray"/>
        </w:rPr>
      </w:pPr>
      <w:r w:rsidRPr="001B4A02">
        <w:rPr>
          <w:highlight w:val="lightGray"/>
        </w:rPr>
        <w:t>EU/1/03/256/014</w:t>
      </w:r>
    </w:p>
    <w:p w14:paraId="5ABACFFF" w14:textId="77777777" w:rsidR="006D243A" w:rsidRPr="001B4A02" w:rsidRDefault="00000000" w:rsidP="00ED48A3">
      <w:r w:rsidRPr="001B4A02">
        <w:rPr>
          <w:highlight w:val="lightGray"/>
        </w:rPr>
        <w:t>EU/1/03/256/015</w:t>
      </w:r>
    </w:p>
    <w:p w14:paraId="4BCA54C9" w14:textId="77777777" w:rsidR="006D243A" w:rsidRPr="001B4A02" w:rsidRDefault="006D243A" w:rsidP="00ED48A3"/>
    <w:p w14:paraId="2C23731F" w14:textId="77777777" w:rsidR="00746304" w:rsidRPr="001B4A02" w:rsidRDefault="00746304"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5423BD3" w14:textId="77777777" w:rsidTr="00187CC8">
        <w:tc>
          <w:tcPr>
            <w:tcW w:w="9287" w:type="dxa"/>
          </w:tcPr>
          <w:p w14:paraId="67042667" w14:textId="77777777" w:rsidR="006D243A" w:rsidRPr="001B4A02" w:rsidRDefault="00000000" w:rsidP="00ED48A3">
            <w:pPr>
              <w:tabs>
                <w:tab w:val="left" w:pos="142"/>
              </w:tabs>
              <w:rPr>
                <w:b/>
              </w:rPr>
            </w:pPr>
            <w:r w:rsidRPr="001B4A02">
              <w:rPr>
                <w:b/>
              </w:rPr>
              <w:t>13.</w:t>
            </w:r>
            <w:r w:rsidRPr="001B4A02">
              <w:rPr>
                <w:b/>
              </w:rPr>
              <w:tab/>
              <w:t>ČÍSLO ŠARŽE</w:t>
            </w:r>
          </w:p>
        </w:tc>
      </w:tr>
    </w:tbl>
    <w:p w14:paraId="78FDD189" w14:textId="77777777" w:rsidR="006D243A" w:rsidRPr="001B4A02" w:rsidRDefault="006D243A" w:rsidP="00ED48A3"/>
    <w:p w14:paraId="3C5C6457" w14:textId="77777777" w:rsidR="006D243A" w:rsidRPr="001B4A02" w:rsidRDefault="00000000" w:rsidP="00ED48A3">
      <w:ins w:id="9753" w:author="Abbvie02" w:date="2025-05-16T12:37:00Z">
        <w:r>
          <w:t>Lot</w:t>
        </w:r>
      </w:ins>
      <w:del w:id="9754" w:author="Abbvie02" w:date="2025-05-16T12:37:00Z">
        <w:r w:rsidRPr="001B4A02">
          <w:delText>Č. šarže</w:delText>
        </w:r>
      </w:del>
    </w:p>
    <w:p w14:paraId="3F8222EA" w14:textId="77777777" w:rsidR="006D243A" w:rsidRPr="001B4A02" w:rsidRDefault="006D243A" w:rsidP="00ED48A3"/>
    <w:p w14:paraId="7E824585"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2518958" w14:textId="77777777" w:rsidTr="00187CC8">
        <w:tc>
          <w:tcPr>
            <w:tcW w:w="9287" w:type="dxa"/>
          </w:tcPr>
          <w:p w14:paraId="66B1E957" w14:textId="77777777" w:rsidR="006D243A" w:rsidRPr="001B4A02" w:rsidRDefault="00000000" w:rsidP="00ED48A3">
            <w:pPr>
              <w:tabs>
                <w:tab w:val="left" w:pos="142"/>
              </w:tabs>
              <w:rPr>
                <w:b/>
              </w:rPr>
            </w:pPr>
            <w:r w:rsidRPr="001B4A02">
              <w:rPr>
                <w:b/>
              </w:rPr>
              <w:t>14.</w:t>
            </w:r>
            <w:r w:rsidRPr="001B4A02">
              <w:rPr>
                <w:b/>
              </w:rPr>
              <w:tab/>
              <w:t>KLASIFIKACE PRO VÝDEJ</w:t>
            </w:r>
          </w:p>
        </w:tc>
      </w:tr>
    </w:tbl>
    <w:p w14:paraId="1D0ECD89" w14:textId="77777777" w:rsidR="006D243A" w:rsidRPr="001B4A02" w:rsidRDefault="006D243A" w:rsidP="00ED48A3"/>
    <w:p w14:paraId="5BEFCF11"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994AA32" w14:textId="77777777" w:rsidTr="00187CC8">
        <w:tc>
          <w:tcPr>
            <w:tcW w:w="9287" w:type="dxa"/>
          </w:tcPr>
          <w:p w14:paraId="19E7B843" w14:textId="77777777" w:rsidR="006D243A" w:rsidRPr="001B4A02" w:rsidRDefault="00000000" w:rsidP="00ED48A3">
            <w:pPr>
              <w:tabs>
                <w:tab w:val="left" w:pos="142"/>
              </w:tabs>
              <w:rPr>
                <w:b/>
              </w:rPr>
            </w:pPr>
            <w:r w:rsidRPr="001B4A02">
              <w:rPr>
                <w:b/>
              </w:rPr>
              <w:t>15.</w:t>
            </w:r>
            <w:r w:rsidRPr="001B4A02">
              <w:rPr>
                <w:b/>
              </w:rPr>
              <w:tab/>
              <w:t>NÁVOD K POUŽITÍ</w:t>
            </w:r>
          </w:p>
        </w:tc>
      </w:tr>
    </w:tbl>
    <w:p w14:paraId="0752216D" w14:textId="77777777" w:rsidR="006D243A" w:rsidRPr="001B4A02" w:rsidRDefault="006D243A" w:rsidP="00ED48A3">
      <w:pPr>
        <w:rPr>
          <w:u w:val="single"/>
        </w:rPr>
      </w:pPr>
    </w:p>
    <w:p w14:paraId="74D8FD3B" w14:textId="77777777" w:rsidR="006D243A" w:rsidRPr="001B4A02" w:rsidRDefault="006D243A" w:rsidP="00ED48A3">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06E89B1" w14:textId="77777777" w:rsidTr="00187CC8">
        <w:tc>
          <w:tcPr>
            <w:tcW w:w="9287" w:type="dxa"/>
          </w:tcPr>
          <w:p w14:paraId="4377A7D6" w14:textId="77777777" w:rsidR="006D243A" w:rsidRPr="001B4A02" w:rsidRDefault="00000000" w:rsidP="00ED48A3">
            <w:pPr>
              <w:tabs>
                <w:tab w:val="left" w:pos="142"/>
              </w:tabs>
              <w:rPr>
                <w:b/>
              </w:rPr>
            </w:pPr>
            <w:r w:rsidRPr="001B4A02">
              <w:rPr>
                <w:b/>
              </w:rPr>
              <w:t>16.</w:t>
            </w:r>
            <w:r w:rsidRPr="001B4A02">
              <w:rPr>
                <w:b/>
              </w:rPr>
              <w:tab/>
              <w:t>INFORMACE V BRAILLOVĚ PÍSMU</w:t>
            </w:r>
          </w:p>
        </w:tc>
      </w:tr>
    </w:tbl>
    <w:p w14:paraId="0BA53A0C" w14:textId="77777777" w:rsidR="006D243A" w:rsidRPr="001B4A02" w:rsidRDefault="006D243A" w:rsidP="00ED48A3">
      <w:pPr>
        <w:rPr>
          <w:u w:val="single"/>
        </w:rPr>
      </w:pPr>
    </w:p>
    <w:p w14:paraId="5CB0A3AB" w14:textId="77777777" w:rsidR="006D243A" w:rsidRPr="001B4A02" w:rsidRDefault="00000000" w:rsidP="00ED48A3">
      <w:r w:rsidRPr="001B4A02">
        <w:t>Humira 40 mg</w:t>
      </w:r>
    </w:p>
    <w:p w14:paraId="7F83B1A2" w14:textId="77777777" w:rsidR="006D243A" w:rsidRPr="001B4A02" w:rsidRDefault="006D243A" w:rsidP="00ED48A3">
      <w:pPr>
        <w:rPr>
          <w:u w:val="single"/>
        </w:rPr>
      </w:pPr>
    </w:p>
    <w:p w14:paraId="7A427DDF" w14:textId="77777777" w:rsidR="006D243A" w:rsidRPr="001B4A02" w:rsidRDefault="006D243A" w:rsidP="00ED48A3">
      <w:pPr>
        <w:rPr>
          <w:u w:val="single"/>
        </w:rPr>
      </w:pPr>
    </w:p>
    <w:p w14:paraId="63E3D51C" w14:textId="77777777" w:rsidR="00602FAE" w:rsidRPr="001B4A02" w:rsidRDefault="00000000" w:rsidP="00ED48A3">
      <w:pPr>
        <w:pStyle w:val="EMEAHeadingBoxedTitle"/>
        <w:ind w:left="0" w:firstLine="0"/>
        <w:rPr>
          <w:rFonts w:ascii="Times New Roman" w:hAnsi="Times New Roman"/>
          <w:b/>
          <w:bCs/>
          <w:lang w:val="cs-CZ"/>
        </w:rPr>
      </w:pPr>
      <w:r w:rsidRPr="001B4A02">
        <w:rPr>
          <w:rFonts w:ascii="Times New Roman" w:hAnsi="Times New Roman"/>
          <w:b/>
          <w:bCs/>
          <w:lang w:val="cs-CZ"/>
        </w:rPr>
        <w:t>17.</w:t>
      </w:r>
      <w:r w:rsidRPr="001B4A02">
        <w:rPr>
          <w:rFonts w:ascii="Times New Roman" w:hAnsi="Times New Roman"/>
          <w:b/>
          <w:bCs/>
          <w:lang w:val="cs-CZ"/>
        </w:rPr>
        <w:tab/>
        <w:t xml:space="preserve">JEDINEČNÝ IDENTIFIKÁTOR – 2D ČÁROVÝ KÓD </w:t>
      </w:r>
    </w:p>
    <w:p w14:paraId="3673922D" w14:textId="77777777" w:rsidR="00602FAE" w:rsidRPr="001B4A02" w:rsidRDefault="00602FAE" w:rsidP="00ED48A3"/>
    <w:p w14:paraId="0ABB9D9F" w14:textId="77777777" w:rsidR="00602FAE" w:rsidRPr="001B4A02" w:rsidRDefault="00000000" w:rsidP="00ED48A3">
      <w:pPr>
        <w:rPr>
          <w:shd w:val="clear" w:color="auto" w:fill="BFBFBF"/>
        </w:rPr>
      </w:pPr>
      <w:r w:rsidRPr="001B4A02">
        <w:rPr>
          <w:shd w:val="clear" w:color="auto" w:fill="BFBFBF"/>
        </w:rPr>
        <w:t>2D čárový kód s jedinečným identifikátorem.</w:t>
      </w:r>
    </w:p>
    <w:p w14:paraId="5A9A84FF" w14:textId="77777777" w:rsidR="00602FAE" w:rsidRPr="001B4A02" w:rsidRDefault="00602FAE" w:rsidP="00ED48A3">
      <w:pPr>
        <w:rPr>
          <w:shd w:val="clear" w:color="auto" w:fill="BFBFBF"/>
        </w:rPr>
      </w:pPr>
    </w:p>
    <w:p w14:paraId="74ED193A" w14:textId="77777777" w:rsidR="00602FAE" w:rsidRPr="001B4A02" w:rsidRDefault="00602FAE" w:rsidP="00ED48A3"/>
    <w:p w14:paraId="46EDCA2B" w14:textId="77777777" w:rsidR="00602FAE" w:rsidRPr="001B4A02" w:rsidRDefault="00000000" w:rsidP="00ED48A3">
      <w:pPr>
        <w:pStyle w:val="EMEAHeadingBoxedTitle"/>
        <w:keepNext/>
        <w:ind w:left="0" w:firstLine="0"/>
        <w:rPr>
          <w:rFonts w:ascii="Times New Roman" w:hAnsi="Times New Roman"/>
          <w:lang w:val="cs-CZ"/>
        </w:rPr>
      </w:pPr>
      <w:r w:rsidRPr="001B4A02">
        <w:rPr>
          <w:rFonts w:ascii="Times New Roman" w:hAnsi="Times New Roman"/>
          <w:b/>
          <w:bCs/>
          <w:lang w:val="cs-CZ"/>
        </w:rPr>
        <w:t>18.</w:t>
      </w:r>
      <w:r w:rsidRPr="001B4A02">
        <w:rPr>
          <w:rFonts w:ascii="Times New Roman" w:hAnsi="Times New Roman"/>
          <w:b/>
          <w:bCs/>
          <w:lang w:val="cs-CZ"/>
        </w:rPr>
        <w:tab/>
        <w:t>JEDINEČNÝ IDENTIFIKÁTOR – DATA ČITELNÁ OKEM</w:t>
      </w:r>
    </w:p>
    <w:p w14:paraId="2B71B674" w14:textId="77777777" w:rsidR="00602FAE" w:rsidRPr="001B4A02" w:rsidRDefault="00602FAE" w:rsidP="00ED48A3">
      <w:pPr>
        <w:keepNext/>
        <w:ind w:left="540" w:hanging="540"/>
      </w:pPr>
    </w:p>
    <w:p w14:paraId="44714A05" w14:textId="77777777" w:rsidR="00602FAE" w:rsidRPr="001B4A02" w:rsidRDefault="00000000" w:rsidP="00ED48A3">
      <w:pPr>
        <w:keepNext/>
        <w:ind w:left="540" w:hanging="540"/>
      </w:pPr>
      <w:r w:rsidRPr="001B4A02">
        <w:t>PC</w:t>
      </w:r>
    </w:p>
    <w:p w14:paraId="49317F67" w14:textId="77777777" w:rsidR="00602FAE" w:rsidRPr="001B4A02" w:rsidRDefault="00000000" w:rsidP="00ED48A3">
      <w:pPr>
        <w:keepNext/>
        <w:ind w:left="540" w:hanging="540"/>
      </w:pPr>
      <w:r w:rsidRPr="001B4A02">
        <w:t>SN</w:t>
      </w:r>
    </w:p>
    <w:p w14:paraId="0AF1673E" w14:textId="77777777" w:rsidR="00602FAE" w:rsidRDefault="00000000" w:rsidP="008D1953">
      <w:pPr>
        <w:keepNext/>
        <w:ind w:left="539" w:hanging="539"/>
        <w:rPr>
          <w:lang w:val="en-GB"/>
        </w:rPr>
      </w:pPr>
      <w:r w:rsidRPr="00BA0A72">
        <w:rPr>
          <w:highlight w:val="lightGray"/>
        </w:rPr>
        <w:t>NN</w:t>
      </w:r>
    </w:p>
    <w:p w14:paraId="6A125A50" w14:textId="77777777" w:rsidR="008D1953" w:rsidRPr="001B4A02" w:rsidRDefault="008D1953" w:rsidP="008F0EA5">
      <w:pPr>
        <w:ind w:left="540" w:hanging="540"/>
      </w:pPr>
    </w:p>
    <w:p w14:paraId="5D1F9005" w14:textId="77777777" w:rsidR="006D243A" w:rsidRPr="001B4A02" w:rsidRDefault="00000000" w:rsidP="00ED48A3">
      <w:r w:rsidRPr="001B4A0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537F059" w14:textId="77777777" w:rsidTr="00187CC8">
        <w:tc>
          <w:tcPr>
            <w:tcW w:w="9287" w:type="dxa"/>
          </w:tcPr>
          <w:p w14:paraId="1EE4EB4E" w14:textId="77777777" w:rsidR="006D243A" w:rsidRPr="001B4A02" w:rsidRDefault="00000000" w:rsidP="00ED48A3">
            <w:pPr>
              <w:rPr>
                <w:b/>
              </w:rPr>
            </w:pPr>
            <w:r w:rsidRPr="001B4A02">
              <w:rPr>
                <w:b/>
                <w:u w:val="single"/>
              </w:rPr>
              <w:br w:type="page"/>
            </w:r>
            <w:r w:rsidRPr="001B4A02">
              <w:rPr>
                <w:b/>
              </w:rPr>
              <w:t>MINIMÁLNÍ ÚDAJE UVÁDĚNÉ NA BLISTRECH NEBO STRIPECH</w:t>
            </w:r>
          </w:p>
          <w:p w14:paraId="4F23E0DB" w14:textId="77777777" w:rsidR="006D243A" w:rsidRPr="001B4A02" w:rsidRDefault="006D243A" w:rsidP="00ED48A3">
            <w:pPr>
              <w:rPr>
                <w:b/>
              </w:rPr>
            </w:pPr>
          </w:p>
          <w:p w14:paraId="2E762360" w14:textId="77777777" w:rsidR="006D243A" w:rsidRPr="001B4A02" w:rsidRDefault="00000000" w:rsidP="00ED48A3">
            <w:pPr>
              <w:rPr>
                <w:b/>
                <w:caps/>
              </w:rPr>
            </w:pPr>
            <w:r w:rsidRPr="001B4A02">
              <w:rPr>
                <w:b/>
                <w:caps/>
              </w:rPr>
              <w:t>BLISTR</w:t>
            </w:r>
          </w:p>
        </w:tc>
      </w:tr>
    </w:tbl>
    <w:p w14:paraId="4E0C2AF9" w14:textId="77777777" w:rsidR="006D243A" w:rsidRPr="001B4A02" w:rsidRDefault="006D243A" w:rsidP="00ED48A3"/>
    <w:p w14:paraId="43D9657A"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62B0C7F" w14:textId="77777777" w:rsidTr="00187CC8">
        <w:tc>
          <w:tcPr>
            <w:tcW w:w="9287" w:type="dxa"/>
          </w:tcPr>
          <w:p w14:paraId="0616DD0E" w14:textId="77777777" w:rsidR="006D243A" w:rsidRPr="001B4A02" w:rsidRDefault="00000000" w:rsidP="00ED48A3">
            <w:pPr>
              <w:tabs>
                <w:tab w:val="left" w:pos="142"/>
              </w:tabs>
              <w:rPr>
                <w:b/>
              </w:rPr>
            </w:pPr>
            <w:r w:rsidRPr="001B4A02">
              <w:rPr>
                <w:b/>
              </w:rPr>
              <w:t>1.</w:t>
            </w:r>
            <w:r w:rsidRPr="001B4A02">
              <w:rPr>
                <w:b/>
              </w:rPr>
              <w:tab/>
              <w:t>NÁZEV LÉČIVÉHO PŘÍPRAVKU</w:t>
            </w:r>
          </w:p>
        </w:tc>
      </w:tr>
    </w:tbl>
    <w:p w14:paraId="2C8B36A2" w14:textId="77777777" w:rsidR="006D243A" w:rsidRPr="001B4A02" w:rsidRDefault="006D243A" w:rsidP="00ED48A3"/>
    <w:p w14:paraId="73BBBE2A" w14:textId="77777777" w:rsidR="006D243A" w:rsidRPr="001B4A02" w:rsidRDefault="00000000" w:rsidP="00ED48A3">
      <w:r w:rsidRPr="001B4A02">
        <w:t>Humira 40 mg injekční roztok v předplněné injekční stříkačce</w:t>
      </w:r>
    </w:p>
    <w:p w14:paraId="047B3EE2" w14:textId="77777777" w:rsidR="006D243A" w:rsidRPr="001B4A02" w:rsidRDefault="00000000" w:rsidP="00ED48A3">
      <w:r w:rsidRPr="001B4A02">
        <w:t>adalimumab</w:t>
      </w:r>
      <w:del w:id="9755" w:author="Abbvie02" w:date="2025-05-16T11:49:00Z">
        <w:r w:rsidRPr="001B4A02">
          <w:delText>um</w:delText>
        </w:r>
      </w:del>
    </w:p>
    <w:p w14:paraId="07280DB1" w14:textId="77777777" w:rsidR="006D243A" w:rsidRPr="001B4A02" w:rsidRDefault="006D243A" w:rsidP="00ED48A3"/>
    <w:p w14:paraId="26A1EB83"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803F6B9" w14:textId="77777777" w:rsidTr="00187CC8">
        <w:tc>
          <w:tcPr>
            <w:tcW w:w="9287" w:type="dxa"/>
          </w:tcPr>
          <w:p w14:paraId="2CD4BA83" w14:textId="77777777" w:rsidR="006D243A" w:rsidRPr="001B4A02" w:rsidRDefault="00000000" w:rsidP="00ED48A3">
            <w:pPr>
              <w:tabs>
                <w:tab w:val="left" w:pos="142"/>
              </w:tabs>
              <w:rPr>
                <w:b/>
              </w:rPr>
            </w:pPr>
            <w:r w:rsidRPr="001B4A02">
              <w:rPr>
                <w:b/>
              </w:rPr>
              <w:t>2.</w:t>
            </w:r>
            <w:r w:rsidRPr="001B4A02">
              <w:rPr>
                <w:b/>
              </w:rPr>
              <w:tab/>
              <w:t>NÁZEV DRŽITELE ROZHODNUTÍ O REGISTRACI</w:t>
            </w:r>
          </w:p>
        </w:tc>
      </w:tr>
    </w:tbl>
    <w:p w14:paraId="4B1D0DD1" w14:textId="77777777" w:rsidR="006D243A" w:rsidRPr="001B4A02" w:rsidRDefault="006D243A" w:rsidP="00ED48A3"/>
    <w:p w14:paraId="34A7F972" w14:textId="77777777" w:rsidR="006D243A" w:rsidRPr="001B4A02" w:rsidRDefault="00000000" w:rsidP="00ED48A3">
      <w:r w:rsidRPr="001B4A02">
        <w:t>AbbVie</w:t>
      </w:r>
      <w:r w:rsidR="00012C3F" w:rsidRPr="001B4A02">
        <w:t xml:space="preserve"> </w:t>
      </w:r>
      <w:r w:rsidR="00012C3F" w:rsidRPr="001B4A02">
        <w:rPr>
          <w:highlight w:val="lightGray"/>
        </w:rPr>
        <w:t>(logo)</w:t>
      </w:r>
    </w:p>
    <w:p w14:paraId="2B19612F" w14:textId="77777777" w:rsidR="006D243A" w:rsidRPr="001B4A02" w:rsidRDefault="006D243A" w:rsidP="00ED48A3"/>
    <w:p w14:paraId="07B20897"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A59208F" w14:textId="77777777" w:rsidTr="00187CC8">
        <w:tc>
          <w:tcPr>
            <w:tcW w:w="9287" w:type="dxa"/>
          </w:tcPr>
          <w:p w14:paraId="54004B64" w14:textId="77777777" w:rsidR="006D243A" w:rsidRPr="001B4A02" w:rsidRDefault="00000000" w:rsidP="00ED48A3">
            <w:pPr>
              <w:tabs>
                <w:tab w:val="left" w:pos="142"/>
              </w:tabs>
              <w:rPr>
                <w:b/>
              </w:rPr>
            </w:pPr>
            <w:r w:rsidRPr="001B4A02">
              <w:rPr>
                <w:b/>
              </w:rPr>
              <w:t>3.</w:t>
            </w:r>
            <w:r w:rsidRPr="001B4A02">
              <w:rPr>
                <w:b/>
              </w:rPr>
              <w:tab/>
              <w:t>POUŽITELNOST</w:t>
            </w:r>
          </w:p>
        </w:tc>
      </w:tr>
    </w:tbl>
    <w:p w14:paraId="3842D0A3" w14:textId="77777777" w:rsidR="006D243A" w:rsidRPr="001B4A02" w:rsidRDefault="006D243A" w:rsidP="00ED48A3"/>
    <w:p w14:paraId="764ACA03" w14:textId="77777777" w:rsidR="006D243A" w:rsidRPr="001B4A02" w:rsidRDefault="00000000" w:rsidP="00ED48A3">
      <w:r w:rsidRPr="001B4A02">
        <w:t xml:space="preserve">EXP </w:t>
      </w:r>
    </w:p>
    <w:p w14:paraId="2E34DC43" w14:textId="77777777" w:rsidR="006D243A" w:rsidRPr="001B4A02" w:rsidRDefault="006D243A" w:rsidP="00ED48A3"/>
    <w:p w14:paraId="3CF2C3E4"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76220ED" w14:textId="77777777" w:rsidTr="00187CC8">
        <w:tc>
          <w:tcPr>
            <w:tcW w:w="9287" w:type="dxa"/>
          </w:tcPr>
          <w:p w14:paraId="4851DB98" w14:textId="77777777" w:rsidR="006D243A" w:rsidRPr="001B4A02" w:rsidRDefault="00000000" w:rsidP="00ED48A3">
            <w:pPr>
              <w:tabs>
                <w:tab w:val="left" w:pos="142"/>
              </w:tabs>
              <w:rPr>
                <w:b/>
              </w:rPr>
            </w:pPr>
            <w:r w:rsidRPr="001B4A02">
              <w:rPr>
                <w:b/>
              </w:rPr>
              <w:t>4.</w:t>
            </w:r>
            <w:r w:rsidRPr="001B4A02">
              <w:rPr>
                <w:b/>
              </w:rPr>
              <w:tab/>
              <w:t>ČÍSLO ŠARŽE</w:t>
            </w:r>
          </w:p>
        </w:tc>
      </w:tr>
    </w:tbl>
    <w:p w14:paraId="5A95DB3E" w14:textId="77777777" w:rsidR="006D243A" w:rsidRPr="001B4A02" w:rsidRDefault="006D243A" w:rsidP="00ED48A3"/>
    <w:p w14:paraId="4208CDBD" w14:textId="77777777" w:rsidR="006D243A" w:rsidRPr="001B4A02" w:rsidRDefault="00000000" w:rsidP="00ED48A3">
      <w:ins w:id="9756" w:author="Abbvie02" w:date="2025-05-16T12:37:00Z">
        <w:r>
          <w:t>Lot</w:t>
        </w:r>
      </w:ins>
      <w:del w:id="9757" w:author="Abbvie02" w:date="2025-05-16T12:37:00Z">
        <w:r w:rsidRPr="001B4A02">
          <w:delText>Č. šarže</w:delText>
        </w:r>
      </w:del>
    </w:p>
    <w:p w14:paraId="66C99AEF" w14:textId="77777777" w:rsidR="006D243A" w:rsidRPr="001B4A02" w:rsidRDefault="006D243A" w:rsidP="00ED48A3"/>
    <w:p w14:paraId="5F49A368"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8E14A82" w14:textId="77777777" w:rsidTr="00187CC8">
        <w:tc>
          <w:tcPr>
            <w:tcW w:w="9287" w:type="dxa"/>
          </w:tcPr>
          <w:p w14:paraId="270EABCB" w14:textId="77777777" w:rsidR="006D243A" w:rsidRPr="001B4A02" w:rsidRDefault="00000000" w:rsidP="00ED48A3">
            <w:pPr>
              <w:tabs>
                <w:tab w:val="left" w:pos="142"/>
              </w:tabs>
              <w:rPr>
                <w:b/>
              </w:rPr>
            </w:pPr>
            <w:r w:rsidRPr="001B4A02">
              <w:rPr>
                <w:b/>
              </w:rPr>
              <w:t>5.</w:t>
            </w:r>
            <w:r w:rsidRPr="001B4A02">
              <w:rPr>
                <w:b/>
              </w:rPr>
              <w:tab/>
              <w:t>JINÉ</w:t>
            </w:r>
          </w:p>
        </w:tc>
      </w:tr>
    </w:tbl>
    <w:p w14:paraId="75F44D2B" w14:textId="77777777" w:rsidR="006D243A" w:rsidRPr="001B4A02" w:rsidRDefault="006D243A" w:rsidP="00ED48A3">
      <w:pPr>
        <w:ind w:left="0" w:firstLine="0"/>
        <w:rPr>
          <w:u w:val="single"/>
        </w:rPr>
      </w:pPr>
    </w:p>
    <w:p w14:paraId="384152D9" w14:textId="77777777" w:rsidR="006D243A" w:rsidRPr="001B4A02" w:rsidRDefault="00000000" w:rsidP="007F7787">
      <w:pPr>
        <w:ind w:left="0" w:firstLine="0"/>
      </w:pPr>
      <w:r w:rsidRPr="001B4A02">
        <w:t>Pro informace o uchovávání viz příbalov</w:t>
      </w:r>
      <w:r w:rsidR="00DE3467">
        <w:t>á</w:t>
      </w:r>
      <w:r w:rsidRPr="001B4A02">
        <w:t xml:space="preserve"> informac</w:t>
      </w:r>
      <w:r w:rsidR="00DE3467">
        <w:t>e</w:t>
      </w:r>
      <w:r w:rsidRPr="001B4A02">
        <w:t xml:space="preserve">. </w:t>
      </w:r>
    </w:p>
    <w:p w14:paraId="3D141BC9" w14:textId="77777777" w:rsidR="006D243A" w:rsidRPr="001B4A02" w:rsidRDefault="006D243A" w:rsidP="007F7787">
      <w:pPr>
        <w:ind w:left="0" w:firstLine="0"/>
      </w:pPr>
    </w:p>
    <w:p w14:paraId="477AB666" w14:textId="77777777" w:rsidR="006F21AC" w:rsidRPr="001B4A02" w:rsidRDefault="00000000" w:rsidP="007F7787">
      <w:pPr>
        <w:ind w:left="0" w:firstLine="0"/>
      </w:pPr>
      <w:r w:rsidRPr="001B4A02">
        <w:t>Pouze k jednorázovému použití</w:t>
      </w:r>
      <w:r w:rsidR="007760E0" w:rsidRPr="001B4A02">
        <w:t>.</w:t>
      </w:r>
    </w:p>
    <w:p w14:paraId="49B452BA" w14:textId="77777777" w:rsidR="006F21AC" w:rsidRPr="001B4A02" w:rsidRDefault="006F21AC" w:rsidP="007F7787">
      <w:pPr>
        <w:ind w:left="0" w:firstLine="0"/>
      </w:pPr>
    </w:p>
    <w:p w14:paraId="25D68416" w14:textId="77777777" w:rsidR="007F7787" w:rsidRPr="001B4A02" w:rsidRDefault="00000000" w:rsidP="007F7787">
      <w:pPr>
        <w:ind w:left="0" w:firstLine="0"/>
      </w:pPr>
      <w:r w:rsidRPr="001B4A02">
        <w:t>40 mg/0,4 ml</w:t>
      </w:r>
      <w:r w:rsidR="006D243A" w:rsidRPr="001B4A02">
        <w:t xml:space="preserve"> </w:t>
      </w:r>
    </w:p>
    <w:p w14:paraId="319603A7" w14:textId="77777777" w:rsidR="0000361B" w:rsidRDefault="0000361B" w:rsidP="0000361B">
      <w:pPr>
        <w:rPr>
          <w:highlight w:val="lightGray"/>
        </w:rPr>
      </w:pPr>
    </w:p>
    <w:p w14:paraId="6316F854" w14:textId="77777777" w:rsidR="006D243A" w:rsidRPr="001B4A02" w:rsidRDefault="00000000" w:rsidP="007F7787">
      <w:pPr>
        <w:ind w:left="0" w:firstLine="0"/>
        <w:rPr>
          <w:b/>
        </w:rPr>
      </w:pPr>
      <w:r w:rsidRPr="001B4A0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DD305E1" w14:textId="77777777" w:rsidTr="00187CC8">
        <w:trPr>
          <w:trHeight w:val="785"/>
        </w:trPr>
        <w:tc>
          <w:tcPr>
            <w:tcW w:w="9287" w:type="dxa"/>
            <w:tcBorders>
              <w:bottom w:val="single" w:sz="4" w:space="0" w:color="auto"/>
            </w:tcBorders>
          </w:tcPr>
          <w:p w14:paraId="0341A67B" w14:textId="77777777" w:rsidR="006D243A" w:rsidRPr="001B4A02" w:rsidRDefault="00000000" w:rsidP="00ED48A3">
            <w:pPr>
              <w:rPr>
                <w:b/>
              </w:rPr>
            </w:pPr>
            <w:r w:rsidRPr="001B4A02">
              <w:rPr>
                <w:b/>
              </w:rPr>
              <w:t>MINIMÁLNÍ ÚDAJE UVÁDĚNÉ NA MALÉM VNITŘNÍM OBALU</w:t>
            </w:r>
          </w:p>
          <w:p w14:paraId="089C68BF" w14:textId="77777777" w:rsidR="006D243A" w:rsidRPr="001B4A02" w:rsidRDefault="006D243A" w:rsidP="00ED48A3">
            <w:pPr>
              <w:rPr>
                <w:b/>
              </w:rPr>
            </w:pPr>
          </w:p>
          <w:p w14:paraId="736B135F" w14:textId="77777777" w:rsidR="006D243A" w:rsidRPr="001B4A02" w:rsidRDefault="00000000" w:rsidP="00ED48A3">
            <w:pPr>
              <w:ind w:left="0" w:firstLine="0"/>
              <w:rPr>
                <w:b/>
                <w:caps/>
              </w:rPr>
            </w:pPr>
            <w:r w:rsidRPr="001B4A02">
              <w:rPr>
                <w:b/>
                <w:caps/>
              </w:rPr>
              <w:t>Etiketa na injekční stříkačce</w:t>
            </w:r>
          </w:p>
        </w:tc>
      </w:tr>
    </w:tbl>
    <w:p w14:paraId="53958CB0" w14:textId="77777777" w:rsidR="006D243A" w:rsidRPr="001B4A02" w:rsidRDefault="006D243A" w:rsidP="00ED48A3">
      <w:pPr>
        <w:rPr>
          <w:b/>
        </w:rPr>
      </w:pPr>
    </w:p>
    <w:p w14:paraId="2B4310D5" w14:textId="77777777" w:rsidR="006D243A" w:rsidRPr="001B4A02" w:rsidRDefault="006D243A" w:rsidP="00ED48A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8E64457" w14:textId="77777777" w:rsidTr="00187CC8">
        <w:tc>
          <w:tcPr>
            <w:tcW w:w="9287" w:type="dxa"/>
          </w:tcPr>
          <w:p w14:paraId="46E98D80" w14:textId="77777777" w:rsidR="006D243A" w:rsidRPr="001B4A02" w:rsidRDefault="00000000" w:rsidP="00ED48A3">
            <w:pPr>
              <w:tabs>
                <w:tab w:val="left" w:pos="142"/>
              </w:tabs>
              <w:rPr>
                <w:b/>
              </w:rPr>
            </w:pPr>
            <w:r w:rsidRPr="001B4A02">
              <w:rPr>
                <w:b/>
              </w:rPr>
              <w:t>1.</w:t>
            </w:r>
            <w:r w:rsidRPr="001B4A02">
              <w:rPr>
                <w:b/>
              </w:rPr>
              <w:tab/>
              <w:t>NÁZEV LÉČIVÉHO PŘÍPRAVKU A CESTA PODÁNÍ</w:t>
            </w:r>
          </w:p>
        </w:tc>
      </w:tr>
    </w:tbl>
    <w:p w14:paraId="04D8731C" w14:textId="77777777" w:rsidR="006D243A" w:rsidRPr="001B4A02" w:rsidRDefault="006D243A" w:rsidP="00ED48A3"/>
    <w:p w14:paraId="7EC4A0CE" w14:textId="77777777" w:rsidR="006D243A" w:rsidRPr="001B4A02" w:rsidRDefault="00000000" w:rsidP="00ED48A3">
      <w:r w:rsidRPr="001B4A02">
        <w:t>Humira 40 mg injekce</w:t>
      </w:r>
    </w:p>
    <w:p w14:paraId="585A0269" w14:textId="77777777" w:rsidR="006D243A" w:rsidRPr="001B4A02" w:rsidRDefault="00000000" w:rsidP="00ED48A3">
      <w:r w:rsidRPr="001B4A02">
        <w:t>adalimumab</w:t>
      </w:r>
      <w:del w:id="9758" w:author="Abbvie02" w:date="2025-05-16T11:49:00Z">
        <w:r w:rsidRPr="001B4A02">
          <w:delText>um</w:delText>
        </w:r>
      </w:del>
    </w:p>
    <w:p w14:paraId="101B4E7D" w14:textId="77777777" w:rsidR="006D243A" w:rsidRPr="001B4A02" w:rsidRDefault="00000000" w:rsidP="00ED48A3">
      <w:pPr>
        <w:rPr>
          <w:b/>
        </w:rPr>
      </w:pPr>
      <w:r w:rsidRPr="001B4A02">
        <w:t>s.c.</w:t>
      </w:r>
    </w:p>
    <w:p w14:paraId="029ECACF" w14:textId="77777777" w:rsidR="006D243A" w:rsidRPr="001B4A02" w:rsidRDefault="006D243A" w:rsidP="00ED48A3"/>
    <w:p w14:paraId="20D71FEC"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CBE430E" w14:textId="77777777" w:rsidTr="00187CC8">
        <w:tc>
          <w:tcPr>
            <w:tcW w:w="9287" w:type="dxa"/>
          </w:tcPr>
          <w:p w14:paraId="77F06777" w14:textId="77777777" w:rsidR="006D243A" w:rsidRPr="001B4A02" w:rsidRDefault="00000000" w:rsidP="00ED48A3">
            <w:pPr>
              <w:tabs>
                <w:tab w:val="left" w:pos="142"/>
              </w:tabs>
              <w:rPr>
                <w:b/>
              </w:rPr>
            </w:pPr>
            <w:r w:rsidRPr="001B4A02">
              <w:rPr>
                <w:b/>
              </w:rPr>
              <w:t>2.</w:t>
            </w:r>
            <w:r w:rsidRPr="001B4A02">
              <w:rPr>
                <w:b/>
              </w:rPr>
              <w:tab/>
              <w:t>ZPŮSOB PODÁNÍ</w:t>
            </w:r>
          </w:p>
        </w:tc>
      </w:tr>
    </w:tbl>
    <w:p w14:paraId="0A1F4FA0" w14:textId="77777777" w:rsidR="006D243A" w:rsidRPr="001B4A02" w:rsidRDefault="006D243A" w:rsidP="00ED48A3"/>
    <w:p w14:paraId="6E3E50F0"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F89A4B6" w14:textId="77777777" w:rsidTr="00187CC8">
        <w:tc>
          <w:tcPr>
            <w:tcW w:w="9287" w:type="dxa"/>
          </w:tcPr>
          <w:p w14:paraId="67B400A5" w14:textId="77777777" w:rsidR="006D243A" w:rsidRPr="001B4A02" w:rsidRDefault="00000000" w:rsidP="00ED48A3">
            <w:pPr>
              <w:tabs>
                <w:tab w:val="left" w:pos="142"/>
              </w:tabs>
              <w:rPr>
                <w:b/>
              </w:rPr>
            </w:pPr>
            <w:r w:rsidRPr="001B4A02">
              <w:rPr>
                <w:b/>
              </w:rPr>
              <w:t>3.</w:t>
            </w:r>
            <w:r w:rsidRPr="001B4A02">
              <w:rPr>
                <w:b/>
              </w:rPr>
              <w:tab/>
              <w:t>POUŽITELNOST</w:t>
            </w:r>
          </w:p>
        </w:tc>
      </w:tr>
    </w:tbl>
    <w:p w14:paraId="5E80D419" w14:textId="77777777" w:rsidR="006D243A" w:rsidRPr="001B4A02" w:rsidRDefault="006D243A" w:rsidP="00ED48A3"/>
    <w:p w14:paraId="0F55B833" w14:textId="77777777" w:rsidR="006D243A" w:rsidRPr="001B4A02" w:rsidRDefault="00000000" w:rsidP="00ED48A3">
      <w:r w:rsidRPr="001B4A02">
        <w:t xml:space="preserve">EXP </w:t>
      </w:r>
    </w:p>
    <w:p w14:paraId="66882C54" w14:textId="77777777" w:rsidR="006D243A" w:rsidRPr="001B4A02" w:rsidRDefault="006D243A" w:rsidP="00ED48A3"/>
    <w:p w14:paraId="11198E60"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78E99AF" w14:textId="77777777" w:rsidTr="00187CC8">
        <w:tc>
          <w:tcPr>
            <w:tcW w:w="9287" w:type="dxa"/>
          </w:tcPr>
          <w:p w14:paraId="1C77B605" w14:textId="77777777" w:rsidR="006D243A" w:rsidRPr="001B4A02" w:rsidRDefault="00000000" w:rsidP="00ED48A3">
            <w:pPr>
              <w:tabs>
                <w:tab w:val="left" w:pos="142"/>
              </w:tabs>
              <w:rPr>
                <w:b/>
              </w:rPr>
            </w:pPr>
            <w:r w:rsidRPr="001B4A02">
              <w:rPr>
                <w:b/>
              </w:rPr>
              <w:t>4.</w:t>
            </w:r>
            <w:r w:rsidRPr="001B4A02">
              <w:rPr>
                <w:b/>
              </w:rPr>
              <w:tab/>
              <w:t>ČÍSLO ŠARŽE</w:t>
            </w:r>
          </w:p>
        </w:tc>
      </w:tr>
    </w:tbl>
    <w:p w14:paraId="74AAAD6E" w14:textId="77777777" w:rsidR="006D243A" w:rsidRPr="001B4A02" w:rsidRDefault="006D243A" w:rsidP="00ED48A3"/>
    <w:p w14:paraId="52CC5384" w14:textId="77777777" w:rsidR="006D243A" w:rsidRPr="001B4A02" w:rsidRDefault="00000000" w:rsidP="00ED48A3">
      <w:pPr>
        <w:ind w:right="113"/>
      </w:pPr>
      <w:r w:rsidRPr="001B4A02">
        <w:t>Lot</w:t>
      </w:r>
    </w:p>
    <w:p w14:paraId="03ACC0DB" w14:textId="77777777" w:rsidR="006D243A" w:rsidRPr="001B4A02" w:rsidRDefault="006D243A" w:rsidP="00ED48A3">
      <w:pPr>
        <w:ind w:right="113"/>
      </w:pPr>
    </w:p>
    <w:p w14:paraId="156F3321" w14:textId="77777777" w:rsidR="006D243A" w:rsidRPr="001B4A02" w:rsidRDefault="006D243A" w:rsidP="00ED48A3">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B238A13" w14:textId="77777777" w:rsidTr="00187CC8">
        <w:tc>
          <w:tcPr>
            <w:tcW w:w="9287" w:type="dxa"/>
          </w:tcPr>
          <w:p w14:paraId="66093AD9" w14:textId="77777777" w:rsidR="006D243A" w:rsidRPr="001B4A02" w:rsidRDefault="00000000" w:rsidP="00ED48A3">
            <w:pPr>
              <w:tabs>
                <w:tab w:val="left" w:pos="142"/>
              </w:tabs>
              <w:rPr>
                <w:b/>
              </w:rPr>
            </w:pPr>
            <w:r w:rsidRPr="001B4A02">
              <w:rPr>
                <w:b/>
              </w:rPr>
              <w:t>5.</w:t>
            </w:r>
            <w:r w:rsidRPr="001B4A02">
              <w:rPr>
                <w:b/>
              </w:rPr>
              <w:tab/>
              <w:t>OBSAH UDANÝ JAKO HMOTNOST, OBJEM NEBO POČET DÁVEK</w:t>
            </w:r>
          </w:p>
        </w:tc>
      </w:tr>
    </w:tbl>
    <w:p w14:paraId="6D74BC50" w14:textId="77777777" w:rsidR="006D243A" w:rsidRPr="001B4A02" w:rsidRDefault="006D243A" w:rsidP="00ED48A3"/>
    <w:p w14:paraId="326938DB" w14:textId="77777777" w:rsidR="006D243A" w:rsidRPr="001B4A02" w:rsidRDefault="00000000" w:rsidP="00ED48A3">
      <w:r w:rsidRPr="001B4A02">
        <w:t>40 mg/0,</w:t>
      </w:r>
      <w:r w:rsidR="00187CC8" w:rsidRPr="001B4A02">
        <w:t>4</w:t>
      </w:r>
      <w:r w:rsidRPr="001B4A02">
        <w:t> ml</w:t>
      </w:r>
    </w:p>
    <w:p w14:paraId="09B703B3" w14:textId="77777777" w:rsidR="006D243A" w:rsidRPr="001B4A02" w:rsidRDefault="006D243A" w:rsidP="00ED48A3"/>
    <w:p w14:paraId="4D15B135" w14:textId="77777777" w:rsidR="006D243A" w:rsidRPr="001B4A02" w:rsidRDefault="006D243A"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3AB3D68" w14:textId="77777777" w:rsidTr="00187CC8">
        <w:tc>
          <w:tcPr>
            <w:tcW w:w="9287" w:type="dxa"/>
          </w:tcPr>
          <w:p w14:paraId="543C2D86" w14:textId="77777777" w:rsidR="006D243A" w:rsidRPr="001B4A02" w:rsidRDefault="00000000" w:rsidP="00ED48A3">
            <w:pPr>
              <w:tabs>
                <w:tab w:val="left" w:pos="142"/>
              </w:tabs>
              <w:rPr>
                <w:b/>
              </w:rPr>
            </w:pPr>
            <w:r w:rsidRPr="001B4A02">
              <w:rPr>
                <w:b/>
              </w:rPr>
              <w:t>6.</w:t>
            </w:r>
            <w:r w:rsidRPr="001B4A02">
              <w:rPr>
                <w:b/>
              </w:rPr>
              <w:tab/>
              <w:t>JINÉ</w:t>
            </w:r>
          </w:p>
        </w:tc>
      </w:tr>
    </w:tbl>
    <w:p w14:paraId="7B5F7C72" w14:textId="77777777" w:rsidR="00CA2697" w:rsidRDefault="00CA2697" w:rsidP="00ED48A3">
      <w:pPr>
        <w:ind w:left="0" w:firstLine="0"/>
        <w:rPr>
          <w:u w:val="single"/>
        </w:rPr>
      </w:pPr>
    </w:p>
    <w:p w14:paraId="19360E10" w14:textId="77777777" w:rsidR="00CA2697" w:rsidRDefault="00000000" w:rsidP="00A7544E">
      <w:pPr>
        <w:ind w:left="0" w:firstLine="0"/>
        <w:rPr>
          <w:u w:val="single"/>
        </w:rPr>
      </w:pPr>
      <w:r>
        <w:rPr>
          <w:u w:val="single"/>
        </w:rPr>
        <w:br w:type="page"/>
      </w:r>
    </w:p>
    <w:p w14:paraId="49C63DF9" w14:textId="77777777" w:rsidR="00934FD3" w:rsidRPr="001B4A02" w:rsidRDefault="00934FD3" w:rsidP="00934F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98C9470" w14:textId="77777777" w:rsidTr="00B73639">
        <w:tc>
          <w:tcPr>
            <w:tcW w:w="9287" w:type="dxa"/>
          </w:tcPr>
          <w:p w14:paraId="55446235" w14:textId="77777777" w:rsidR="00934FD3" w:rsidRPr="001B4A02" w:rsidRDefault="00000000" w:rsidP="00B73639">
            <w:pPr>
              <w:ind w:left="0" w:firstLine="0"/>
              <w:rPr>
                <w:b/>
              </w:rPr>
            </w:pPr>
            <w:r w:rsidRPr="001B4A02">
              <w:rPr>
                <w:b/>
                <w:u w:val="single"/>
              </w:rPr>
              <w:br w:type="page"/>
            </w:r>
            <w:r w:rsidRPr="001B4A02">
              <w:rPr>
                <w:b/>
              </w:rPr>
              <w:t>ÚDAJE UVÁDĚNÉ NA VNĚJŠÍM OBALU</w:t>
            </w:r>
          </w:p>
          <w:p w14:paraId="3B78628C" w14:textId="77777777" w:rsidR="00934FD3" w:rsidRPr="001B4A02" w:rsidRDefault="00934FD3" w:rsidP="00B73639">
            <w:pPr>
              <w:rPr>
                <w:b/>
              </w:rPr>
            </w:pPr>
          </w:p>
          <w:p w14:paraId="14695FCA" w14:textId="77777777" w:rsidR="00934FD3" w:rsidRPr="001B4A02" w:rsidRDefault="00000000" w:rsidP="00B73639">
            <w:pPr>
              <w:rPr>
                <w:b/>
                <w:caps/>
              </w:rPr>
            </w:pPr>
            <w:r w:rsidRPr="001B4A02">
              <w:rPr>
                <w:b/>
                <w:caps/>
              </w:rPr>
              <w:t>Krabička</w:t>
            </w:r>
          </w:p>
        </w:tc>
      </w:tr>
    </w:tbl>
    <w:p w14:paraId="11274E2E" w14:textId="77777777" w:rsidR="00934FD3" w:rsidRPr="001B4A02" w:rsidRDefault="00934FD3" w:rsidP="00934FD3"/>
    <w:p w14:paraId="2BEEE4BF" w14:textId="77777777" w:rsidR="00BA621F" w:rsidRPr="001B4A02" w:rsidRDefault="00BA621F" w:rsidP="00934F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96EE257" w14:textId="77777777" w:rsidTr="00090407">
        <w:tc>
          <w:tcPr>
            <w:tcW w:w="9287" w:type="dxa"/>
          </w:tcPr>
          <w:p w14:paraId="06CA4969" w14:textId="77777777" w:rsidR="00BA621F" w:rsidRPr="001B4A02" w:rsidRDefault="00000000" w:rsidP="00ED48A3">
            <w:pPr>
              <w:tabs>
                <w:tab w:val="left" w:pos="142"/>
              </w:tabs>
              <w:rPr>
                <w:b/>
              </w:rPr>
            </w:pPr>
            <w:r w:rsidRPr="001B4A02">
              <w:rPr>
                <w:b/>
              </w:rPr>
              <w:t>1.</w:t>
            </w:r>
            <w:r w:rsidRPr="001B4A02">
              <w:rPr>
                <w:b/>
              </w:rPr>
              <w:tab/>
              <w:t>NÁZEV LÉČIVÉHO PŘÍPRAVKU</w:t>
            </w:r>
          </w:p>
        </w:tc>
      </w:tr>
    </w:tbl>
    <w:p w14:paraId="4DEDE8FD" w14:textId="77777777" w:rsidR="00BA621F" w:rsidRPr="001B4A02" w:rsidRDefault="00BA621F" w:rsidP="00ED48A3"/>
    <w:p w14:paraId="3B101364" w14:textId="77777777" w:rsidR="00BA621F" w:rsidRPr="001B4A02" w:rsidRDefault="00000000" w:rsidP="004D0686">
      <w:pPr>
        <w:outlineLvl w:val="0"/>
      </w:pPr>
      <w:r w:rsidRPr="001B4A02">
        <w:t xml:space="preserve">Humira 40 mg injekční roztok v předplněném peru </w:t>
      </w:r>
    </w:p>
    <w:p w14:paraId="72C4C93A" w14:textId="77777777" w:rsidR="00BA621F" w:rsidRPr="001B4A02" w:rsidRDefault="00000000" w:rsidP="00ED48A3">
      <w:r w:rsidRPr="001B4A02">
        <w:t>adalimumab</w:t>
      </w:r>
      <w:del w:id="9759" w:author="Abbvie02" w:date="2025-05-16T11:49:00Z">
        <w:r w:rsidRPr="001B4A02">
          <w:delText>um</w:delText>
        </w:r>
      </w:del>
    </w:p>
    <w:p w14:paraId="0268B77A" w14:textId="77777777" w:rsidR="00BA621F" w:rsidRPr="001B4A02" w:rsidRDefault="00BA621F" w:rsidP="00ED48A3"/>
    <w:p w14:paraId="06536B1C" w14:textId="77777777" w:rsidR="00BA621F" w:rsidRPr="001B4A02" w:rsidRDefault="00BA621F"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75CFF18" w14:textId="77777777" w:rsidTr="00090407">
        <w:tc>
          <w:tcPr>
            <w:tcW w:w="9287" w:type="dxa"/>
          </w:tcPr>
          <w:p w14:paraId="4940D5F5" w14:textId="77777777" w:rsidR="00BA621F" w:rsidRPr="001B4A02" w:rsidRDefault="00000000" w:rsidP="00ED48A3">
            <w:pPr>
              <w:tabs>
                <w:tab w:val="left" w:pos="142"/>
              </w:tabs>
              <w:rPr>
                <w:b/>
              </w:rPr>
            </w:pPr>
            <w:r w:rsidRPr="001B4A02">
              <w:rPr>
                <w:b/>
              </w:rPr>
              <w:t>2.</w:t>
            </w:r>
            <w:r w:rsidRPr="001B4A02">
              <w:rPr>
                <w:b/>
              </w:rPr>
              <w:tab/>
              <w:t>OBSAH LÉČIVÉ LÁTKY</w:t>
            </w:r>
          </w:p>
        </w:tc>
      </w:tr>
    </w:tbl>
    <w:p w14:paraId="25B32A3D" w14:textId="77777777" w:rsidR="00BA621F" w:rsidRPr="001B4A02" w:rsidRDefault="00BA621F" w:rsidP="00ED48A3"/>
    <w:p w14:paraId="65683CED" w14:textId="77777777" w:rsidR="00BA621F" w:rsidRPr="001B4A02" w:rsidRDefault="00000000" w:rsidP="00ED48A3">
      <w:r w:rsidRPr="001B4A02">
        <w:t xml:space="preserve">Jedno 0,4ml předplněné pero obsahuje </w:t>
      </w:r>
      <w:del w:id="9760" w:author="Abbvie02" w:date="2025-05-16T11:49:00Z">
        <w:r w:rsidRPr="001B4A02">
          <w:delText xml:space="preserve">adalimumabum </w:delText>
        </w:r>
      </w:del>
      <w:r w:rsidRPr="001B4A02">
        <w:t>40</w:t>
      </w:r>
      <w:r w:rsidR="00874DE1">
        <w:t> mg</w:t>
      </w:r>
      <w:ins w:id="9761" w:author="Abbvie02" w:date="2025-05-16T11:49:00Z">
        <w:r w:rsidR="00BB1309" w:rsidRPr="00BB1309">
          <w:t xml:space="preserve"> </w:t>
        </w:r>
        <w:r w:rsidR="00BB1309" w:rsidRPr="001B4A02">
          <w:t>adalimumabu</w:t>
        </w:r>
      </w:ins>
      <w:r w:rsidR="00450EA6" w:rsidRPr="001B4A02">
        <w:t>.</w:t>
      </w:r>
    </w:p>
    <w:p w14:paraId="6AF636F9" w14:textId="77777777" w:rsidR="00BA621F" w:rsidRPr="001B4A02" w:rsidRDefault="00BA621F" w:rsidP="00ED48A3"/>
    <w:p w14:paraId="02A7D75C" w14:textId="77777777" w:rsidR="00BA621F" w:rsidRPr="001B4A02" w:rsidRDefault="00BA621F"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C6E1092" w14:textId="77777777" w:rsidTr="00090407">
        <w:tc>
          <w:tcPr>
            <w:tcW w:w="9287" w:type="dxa"/>
          </w:tcPr>
          <w:p w14:paraId="7BFDA349" w14:textId="77777777" w:rsidR="00BA621F" w:rsidRPr="001B4A02" w:rsidRDefault="00000000" w:rsidP="00ED48A3">
            <w:pPr>
              <w:tabs>
                <w:tab w:val="left" w:pos="142"/>
              </w:tabs>
              <w:rPr>
                <w:b/>
              </w:rPr>
            </w:pPr>
            <w:r w:rsidRPr="001B4A02">
              <w:rPr>
                <w:b/>
              </w:rPr>
              <w:t>3.</w:t>
            </w:r>
            <w:r w:rsidRPr="001B4A02">
              <w:rPr>
                <w:b/>
              </w:rPr>
              <w:tab/>
              <w:t>SEZNAM POMOCNÝCH LÁTEK</w:t>
            </w:r>
          </w:p>
        </w:tc>
      </w:tr>
    </w:tbl>
    <w:p w14:paraId="357E94EB" w14:textId="77777777" w:rsidR="00BA621F" w:rsidRPr="001B4A02" w:rsidRDefault="00BA621F" w:rsidP="00ED48A3"/>
    <w:p w14:paraId="5423DA14" w14:textId="77777777" w:rsidR="00BA621F" w:rsidRPr="001B4A02" w:rsidRDefault="00000000" w:rsidP="00ED48A3">
      <w:pPr>
        <w:ind w:left="0" w:firstLine="0"/>
      </w:pPr>
      <w:r w:rsidRPr="001B4A02">
        <w:t>Pomocné látky: mannitol, polysorbát 80</w:t>
      </w:r>
      <w:r w:rsidR="002378E0">
        <w:t xml:space="preserve"> a </w:t>
      </w:r>
      <w:r w:rsidRPr="001B4A02">
        <w:t xml:space="preserve">voda </w:t>
      </w:r>
      <w:r w:rsidR="00202301" w:rsidRPr="001B4A02">
        <w:t>pro</w:t>
      </w:r>
      <w:r w:rsidRPr="001B4A02">
        <w:t xml:space="preserve"> injekci. Další informace naleznete v příbalové informaci.</w:t>
      </w:r>
    </w:p>
    <w:p w14:paraId="7E7221E1" w14:textId="77777777" w:rsidR="00BA621F" w:rsidRPr="001B4A02" w:rsidRDefault="00BA621F" w:rsidP="00ED48A3"/>
    <w:p w14:paraId="7B8AB529" w14:textId="77777777" w:rsidR="00BA621F" w:rsidRPr="001B4A02" w:rsidRDefault="00BA621F"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CFA8896" w14:textId="77777777" w:rsidTr="00090407">
        <w:tc>
          <w:tcPr>
            <w:tcW w:w="9287" w:type="dxa"/>
          </w:tcPr>
          <w:p w14:paraId="1354F2FD" w14:textId="77777777" w:rsidR="00BA621F" w:rsidRPr="001B4A02" w:rsidRDefault="00000000" w:rsidP="00ED48A3">
            <w:pPr>
              <w:tabs>
                <w:tab w:val="left" w:pos="142"/>
              </w:tabs>
              <w:rPr>
                <w:b/>
              </w:rPr>
            </w:pPr>
            <w:r w:rsidRPr="001B4A02">
              <w:rPr>
                <w:b/>
              </w:rPr>
              <w:t>4.</w:t>
            </w:r>
            <w:r w:rsidRPr="001B4A02">
              <w:rPr>
                <w:b/>
              </w:rPr>
              <w:tab/>
              <w:t xml:space="preserve">LÉKOVÁ FORMA A </w:t>
            </w:r>
            <w:r w:rsidR="00DE5AC6" w:rsidRPr="001B4A02">
              <w:rPr>
                <w:b/>
              </w:rPr>
              <w:t xml:space="preserve">OBSAH </w:t>
            </w:r>
            <w:r w:rsidRPr="001B4A02">
              <w:rPr>
                <w:b/>
              </w:rPr>
              <w:t>BALENÍ</w:t>
            </w:r>
          </w:p>
        </w:tc>
      </w:tr>
    </w:tbl>
    <w:p w14:paraId="7256B091" w14:textId="77777777" w:rsidR="00BA621F" w:rsidRPr="001B4A02" w:rsidRDefault="00BA621F" w:rsidP="00ED48A3"/>
    <w:p w14:paraId="02C08EDC" w14:textId="77777777" w:rsidR="009954F1" w:rsidRPr="001B4A02" w:rsidRDefault="00000000" w:rsidP="00ED48A3">
      <w:r w:rsidRPr="001B4A02">
        <w:rPr>
          <w:highlight w:val="lightGray"/>
        </w:rPr>
        <w:t>Injekční roztok</w:t>
      </w:r>
    </w:p>
    <w:p w14:paraId="30353BDB" w14:textId="77777777" w:rsidR="00BA621F" w:rsidRPr="001B4A02" w:rsidRDefault="00000000" w:rsidP="00ED48A3">
      <w:r w:rsidRPr="001B4A02">
        <w:t xml:space="preserve">1 předplněné pero </w:t>
      </w:r>
    </w:p>
    <w:p w14:paraId="0546014E" w14:textId="77777777" w:rsidR="00BA621F" w:rsidRPr="001B4A02" w:rsidRDefault="00000000" w:rsidP="00ED48A3">
      <w:r w:rsidRPr="001B4A02">
        <w:t>2 tamp</w:t>
      </w:r>
      <w:ins w:id="9762" w:author="Abbvie02" w:date="2025-05-16T12:26:00Z">
        <w:r w:rsidR="00576B2A">
          <w:t>o</w:t>
        </w:r>
      </w:ins>
      <w:del w:id="9763" w:author="Abbvie02" w:date="2025-05-16T12:26:00Z">
        <w:r w:rsidRPr="001B4A02">
          <w:delText>ó</w:delText>
        </w:r>
      </w:del>
      <w:r w:rsidRPr="001B4A02">
        <w:t>ny napuštěné alkoholem</w:t>
      </w:r>
    </w:p>
    <w:p w14:paraId="69ACAF0D" w14:textId="77777777" w:rsidR="006F21AC" w:rsidRPr="001B4A02" w:rsidRDefault="006F21AC" w:rsidP="00ED48A3"/>
    <w:p w14:paraId="20C47BE3" w14:textId="77777777" w:rsidR="006F21AC" w:rsidRPr="001B4A02" w:rsidRDefault="00000000" w:rsidP="006F21AC">
      <w:pPr>
        <w:ind w:left="540" w:hanging="540"/>
        <w:rPr>
          <w:highlight w:val="lightGray"/>
        </w:rPr>
      </w:pPr>
      <w:r w:rsidRPr="001B4A02">
        <w:rPr>
          <w:highlight w:val="lightGray"/>
        </w:rPr>
        <w:t>2 předplněná pera</w:t>
      </w:r>
    </w:p>
    <w:p w14:paraId="2CD1781A" w14:textId="77777777" w:rsidR="006F21AC" w:rsidRPr="001B4A02" w:rsidRDefault="00000000" w:rsidP="006F21AC">
      <w:pPr>
        <w:ind w:left="540" w:hanging="540"/>
        <w:rPr>
          <w:highlight w:val="lightGray"/>
        </w:rPr>
      </w:pPr>
      <w:r w:rsidRPr="001B4A02">
        <w:rPr>
          <w:highlight w:val="lightGray"/>
        </w:rPr>
        <w:t>2 tamp</w:t>
      </w:r>
      <w:ins w:id="9764" w:author="Abbvie02" w:date="2025-05-16T12:26:00Z">
        <w:r w:rsidR="00576B2A">
          <w:rPr>
            <w:highlight w:val="lightGray"/>
          </w:rPr>
          <w:t>o</w:t>
        </w:r>
      </w:ins>
      <w:del w:id="9765" w:author="Abbvie02" w:date="2025-05-16T12:26:00Z">
        <w:r w:rsidRPr="001B4A02">
          <w:rPr>
            <w:highlight w:val="lightGray"/>
          </w:rPr>
          <w:delText>ó</w:delText>
        </w:r>
      </w:del>
      <w:r w:rsidRPr="001B4A02">
        <w:rPr>
          <w:highlight w:val="lightGray"/>
        </w:rPr>
        <w:t xml:space="preserve">ny napuštěné alkoholem </w:t>
      </w:r>
    </w:p>
    <w:p w14:paraId="7AF93F9B" w14:textId="77777777" w:rsidR="006F21AC" w:rsidRPr="001B4A02" w:rsidRDefault="006F21AC" w:rsidP="006F21AC">
      <w:pPr>
        <w:ind w:left="540" w:hanging="540"/>
        <w:rPr>
          <w:highlight w:val="lightGray"/>
        </w:rPr>
      </w:pPr>
    </w:p>
    <w:p w14:paraId="470A060F" w14:textId="77777777" w:rsidR="006F21AC" w:rsidRPr="001B4A02" w:rsidRDefault="00000000" w:rsidP="006F21AC">
      <w:pPr>
        <w:ind w:left="540" w:hanging="540"/>
        <w:rPr>
          <w:highlight w:val="lightGray"/>
        </w:rPr>
      </w:pPr>
      <w:r w:rsidRPr="001B4A02">
        <w:rPr>
          <w:highlight w:val="lightGray"/>
        </w:rPr>
        <w:t>4 předplněná pera</w:t>
      </w:r>
    </w:p>
    <w:p w14:paraId="669744E3" w14:textId="77777777" w:rsidR="006F21AC" w:rsidRPr="001B4A02" w:rsidRDefault="00000000" w:rsidP="006F21AC">
      <w:pPr>
        <w:ind w:left="540" w:hanging="540"/>
        <w:rPr>
          <w:highlight w:val="lightGray"/>
        </w:rPr>
      </w:pPr>
      <w:r w:rsidRPr="001B4A02">
        <w:rPr>
          <w:highlight w:val="lightGray"/>
        </w:rPr>
        <w:t>4 tamp</w:t>
      </w:r>
      <w:ins w:id="9766" w:author="Abbvie02" w:date="2025-05-16T12:26:00Z">
        <w:r w:rsidR="00576B2A">
          <w:rPr>
            <w:highlight w:val="lightGray"/>
          </w:rPr>
          <w:t>o</w:t>
        </w:r>
      </w:ins>
      <w:del w:id="9767" w:author="Abbvie02" w:date="2025-05-16T12:26:00Z">
        <w:r w:rsidRPr="001B4A02">
          <w:rPr>
            <w:highlight w:val="lightGray"/>
          </w:rPr>
          <w:delText>ó</w:delText>
        </w:r>
      </w:del>
      <w:r w:rsidRPr="001B4A02">
        <w:rPr>
          <w:highlight w:val="lightGray"/>
        </w:rPr>
        <w:t>ny napuštěné alkoholem</w:t>
      </w:r>
    </w:p>
    <w:p w14:paraId="543AB7B1" w14:textId="77777777" w:rsidR="006F21AC" w:rsidRPr="001B4A02" w:rsidRDefault="006F21AC" w:rsidP="006F21AC">
      <w:pPr>
        <w:ind w:left="540" w:hanging="540"/>
        <w:rPr>
          <w:highlight w:val="lightGray"/>
        </w:rPr>
      </w:pPr>
    </w:p>
    <w:p w14:paraId="6BA5EB79" w14:textId="77777777" w:rsidR="006F21AC" w:rsidRPr="001B4A02" w:rsidRDefault="00000000" w:rsidP="006F21AC">
      <w:pPr>
        <w:ind w:left="540" w:hanging="540"/>
        <w:rPr>
          <w:highlight w:val="lightGray"/>
        </w:rPr>
      </w:pPr>
      <w:r w:rsidRPr="001B4A02">
        <w:rPr>
          <w:highlight w:val="lightGray"/>
        </w:rPr>
        <w:t>6 předplněných per</w:t>
      </w:r>
    </w:p>
    <w:p w14:paraId="5747698E" w14:textId="77777777" w:rsidR="006F21AC" w:rsidRPr="001B4A02" w:rsidRDefault="00000000" w:rsidP="006F21AC">
      <w:r w:rsidRPr="001B4A02">
        <w:rPr>
          <w:highlight w:val="lightGray"/>
        </w:rPr>
        <w:t>6 tamp</w:t>
      </w:r>
      <w:ins w:id="9768" w:author="Abbvie02" w:date="2025-05-16T12:26:00Z">
        <w:r w:rsidR="00576B2A">
          <w:rPr>
            <w:highlight w:val="lightGray"/>
          </w:rPr>
          <w:t>o</w:t>
        </w:r>
      </w:ins>
      <w:del w:id="9769" w:author="Abbvie02" w:date="2025-05-16T12:26:00Z">
        <w:r w:rsidRPr="001B4A02">
          <w:rPr>
            <w:highlight w:val="lightGray"/>
          </w:rPr>
          <w:delText>ó</w:delText>
        </w:r>
      </w:del>
      <w:r w:rsidRPr="001B4A02">
        <w:rPr>
          <w:highlight w:val="lightGray"/>
        </w:rPr>
        <w:t xml:space="preserve">nů napuštěných alkoholem </w:t>
      </w:r>
    </w:p>
    <w:p w14:paraId="69A95C4D" w14:textId="77777777" w:rsidR="00BA621F" w:rsidRPr="001B4A02" w:rsidRDefault="00BA621F" w:rsidP="00ED48A3"/>
    <w:p w14:paraId="2146EF82" w14:textId="77777777" w:rsidR="00BA621F" w:rsidRPr="001B4A02" w:rsidRDefault="00BA621F"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0633EF1" w14:textId="77777777" w:rsidTr="00090407">
        <w:tc>
          <w:tcPr>
            <w:tcW w:w="9287" w:type="dxa"/>
          </w:tcPr>
          <w:p w14:paraId="395F1988" w14:textId="77777777" w:rsidR="00BA621F" w:rsidRPr="001B4A02" w:rsidRDefault="00000000" w:rsidP="00ED48A3">
            <w:pPr>
              <w:tabs>
                <w:tab w:val="left" w:pos="142"/>
              </w:tabs>
              <w:rPr>
                <w:b/>
              </w:rPr>
            </w:pPr>
            <w:r w:rsidRPr="001B4A02">
              <w:rPr>
                <w:b/>
              </w:rPr>
              <w:t>5.</w:t>
            </w:r>
            <w:r w:rsidRPr="001B4A02">
              <w:rPr>
                <w:b/>
              </w:rPr>
              <w:tab/>
              <w:t>ZPŮSOB A CESTA PODÁNÍ</w:t>
            </w:r>
          </w:p>
        </w:tc>
      </w:tr>
    </w:tbl>
    <w:p w14:paraId="4A72506F" w14:textId="77777777" w:rsidR="00BA621F" w:rsidRPr="001B4A02" w:rsidRDefault="00BA621F" w:rsidP="00ED48A3"/>
    <w:p w14:paraId="1E848499" w14:textId="77777777" w:rsidR="00BA621F" w:rsidRPr="001B4A02" w:rsidRDefault="00000000" w:rsidP="00ED48A3">
      <w:r w:rsidRPr="001B4A02">
        <w:t>Subkutánní podání</w:t>
      </w:r>
    </w:p>
    <w:p w14:paraId="5CDFA5FD" w14:textId="77777777" w:rsidR="00BA621F" w:rsidRPr="001B4A02" w:rsidRDefault="00BA621F" w:rsidP="00ED48A3"/>
    <w:p w14:paraId="0AEFD4E6" w14:textId="77777777" w:rsidR="00BA621F" w:rsidRPr="001B4A02" w:rsidRDefault="00000000" w:rsidP="00ED48A3">
      <w:r w:rsidRPr="001B4A02">
        <w:t>Před použitím si přečtěte příbalovou informaci.</w:t>
      </w:r>
    </w:p>
    <w:p w14:paraId="2DC723F1" w14:textId="77777777" w:rsidR="009954F1" w:rsidRPr="001B4A02" w:rsidRDefault="009954F1" w:rsidP="00ED48A3"/>
    <w:p w14:paraId="4BBAAAB8" w14:textId="77777777" w:rsidR="009954F1" w:rsidRPr="001B4A02" w:rsidRDefault="00000000" w:rsidP="00ED48A3">
      <w:r w:rsidRPr="001B4A02">
        <w:t>Pouze k jednorázovému použití.</w:t>
      </w:r>
    </w:p>
    <w:p w14:paraId="53342A56" w14:textId="77777777" w:rsidR="00BA621F" w:rsidRPr="001B4A02" w:rsidRDefault="00BA621F" w:rsidP="00ED48A3"/>
    <w:p w14:paraId="134908C0" w14:textId="77777777" w:rsidR="00BA621F" w:rsidRPr="001B4A02" w:rsidRDefault="00BA621F"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99DB142" w14:textId="77777777" w:rsidTr="00090407">
        <w:tc>
          <w:tcPr>
            <w:tcW w:w="9287" w:type="dxa"/>
          </w:tcPr>
          <w:p w14:paraId="73E1699D" w14:textId="77777777" w:rsidR="00BA621F" w:rsidRPr="001B4A02" w:rsidRDefault="00000000" w:rsidP="00ED48A3">
            <w:pPr>
              <w:tabs>
                <w:tab w:val="left" w:pos="142"/>
              </w:tabs>
              <w:rPr>
                <w:b/>
              </w:rPr>
            </w:pPr>
            <w:r w:rsidRPr="001B4A02">
              <w:rPr>
                <w:b/>
              </w:rPr>
              <w:t>6.</w:t>
            </w:r>
            <w:r w:rsidRPr="001B4A02">
              <w:rPr>
                <w:b/>
              </w:rPr>
              <w:tab/>
              <w:t>ZVLÁŠTNÍ UPOZORNĚNÍ, ŽE LÉČIVÝ PŘÍPRAVEK MUSÍ BÝT UCHOVÁVÁN MIMO DOHLED A DOSAH DĚTÍ</w:t>
            </w:r>
          </w:p>
        </w:tc>
      </w:tr>
    </w:tbl>
    <w:p w14:paraId="21A60952" w14:textId="77777777" w:rsidR="00BA621F" w:rsidRPr="001B4A02" w:rsidRDefault="00BA621F" w:rsidP="00ED48A3"/>
    <w:p w14:paraId="79C0482E" w14:textId="77777777" w:rsidR="00BA621F" w:rsidRPr="001B4A02" w:rsidRDefault="00000000" w:rsidP="007F7787">
      <w:r w:rsidRPr="001B4A02">
        <w:t>Uchovávejte mimo dohled</w:t>
      </w:r>
      <w:r w:rsidR="002378E0">
        <w:t xml:space="preserve"> a </w:t>
      </w:r>
      <w:r w:rsidRPr="001B4A02">
        <w:t>dosah dětí.</w:t>
      </w:r>
    </w:p>
    <w:p w14:paraId="609E1228" w14:textId="77777777" w:rsidR="00BA621F" w:rsidRPr="001B4A02" w:rsidRDefault="00BA621F" w:rsidP="00ED48A3"/>
    <w:p w14:paraId="2B2B75B4" w14:textId="77777777" w:rsidR="00BA621F" w:rsidRPr="001B4A02" w:rsidRDefault="00BA621F"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55CA442" w14:textId="77777777" w:rsidTr="00090407">
        <w:tc>
          <w:tcPr>
            <w:tcW w:w="9287" w:type="dxa"/>
          </w:tcPr>
          <w:p w14:paraId="3D4F46D1" w14:textId="77777777" w:rsidR="00BA621F" w:rsidRPr="001B4A02" w:rsidRDefault="00000000" w:rsidP="00ED48A3">
            <w:pPr>
              <w:tabs>
                <w:tab w:val="left" w:pos="142"/>
              </w:tabs>
              <w:rPr>
                <w:b/>
              </w:rPr>
            </w:pPr>
            <w:r w:rsidRPr="001B4A02">
              <w:rPr>
                <w:b/>
              </w:rPr>
              <w:t>7.</w:t>
            </w:r>
            <w:r w:rsidRPr="001B4A02">
              <w:rPr>
                <w:b/>
              </w:rPr>
              <w:tab/>
              <w:t>DALŠÍ ZVLÁŠTNÍ UPOZORNĚNÍ, POKUD JE POTŘEBNÉ</w:t>
            </w:r>
          </w:p>
        </w:tc>
      </w:tr>
    </w:tbl>
    <w:p w14:paraId="6E1633C4" w14:textId="77777777" w:rsidR="00BA621F" w:rsidRPr="001B4A02" w:rsidRDefault="00BA621F" w:rsidP="00ED48A3"/>
    <w:p w14:paraId="64CCE475" w14:textId="77777777" w:rsidR="00BA621F" w:rsidRPr="001B4A02" w:rsidRDefault="00BA621F"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D445B3D" w14:textId="77777777" w:rsidTr="00090407">
        <w:tc>
          <w:tcPr>
            <w:tcW w:w="9287" w:type="dxa"/>
          </w:tcPr>
          <w:p w14:paraId="236538E4" w14:textId="77777777" w:rsidR="00BA621F" w:rsidRPr="001B4A02" w:rsidRDefault="00000000" w:rsidP="00ED48A3">
            <w:pPr>
              <w:tabs>
                <w:tab w:val="left" w:pos="142"/>
              </w:tabs>
              <w:rPr>
                <w:b/>
              </w:rPr>
            </w:pPr>
            <w:r w:rsidRPr="001B4A02">
              <w:rPr>
                <w:b/>
              </w:rPr>
              <w:t>8.</w:t>
            </w:r>
            <w:r w:rsidRPr="001B4A02">
              <w:rPr>
                <w:b/>
              </w:rPr>
              <w:tab/>
              <w:t>POUŽITELNOST</w:t>
            </w:r>
          </w:p>
        </w:tc>
      </w:tr>
    </w:tbl>
    <w:p w14:paraId="426D4040" w14:textId="77777777" w:rsidR="00BA621F" w:rsidRPr="001B4A02" w:rsidRDefault="00BA621F" w:rsidP="00ED48A3"/>
    <w:p w14:paraId="7446B249" w14:textId="77777777" w:rsidR="00BA621F" w:rsidRPr="001B4A02" w:rsidRDefault="00000000" w:rsidP="007F7787">
      <w:r w:rsidRPr="001B4A02">
        <w:t xml:space="preserve">EXP </w:t>
      </w:r>
    </w:p>
    <w:p w14:paraId="57328EF5" w14:textId="77777777" w:rsidR="00BA621F" w:rsidRPr="001B4A02" w:rsidRDefault="00BA621F" w:rsidP="00ED48A3"/>
    <w:p w14:paraId="49A33155" w14:textId="77777777" w:rsidR="00BA621F" w:rsidRPr="001B4A02" w:rsidRDefault="00BA621F"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C456D2A" w14:textId="77777777" w:rsidTr="00090407">
        <w:tc>
          <w:tcPr>
            <w:tcW w:w="9287" w:type="dxa"/>
          </w:tcPr>
          <w:p w14:paraId="14A86C0A" w14:textId="77777777" w:rsidR="00BA621F" w:rsidRPr="001B4A02" w:rsidRDefault="00000000" w:rsidP="00ED48A3">
            <w:pPr>
              <w:keepNext/>
              <w:tabs>
                <w:tab w:val="left" w:pos="142"/>
              </w:tabs>
            </w:pPr>
            <w:r w:rsidRPr="001B4A02">
              <w:rPr>
                <w:b/>
              </w:rPr>
              <w:t>9.</w:t>
            </w:r>
            <w:r w:rsidRPr="001B4A02">
              <w:rPr>
                <w:b/>
              </w:rPr>
              <w:tab/>
              <w:t>ZVLÁŠTNÍ PODMÍNKY PRO UCHOVÁVÁNÍ</w:t>
            </w:r>
          </w:p>
        </w:tc>
      </w:tr>
    </w:tbl>
    <w:p w14:paraId="2E799A35" w14:textId="77777777" w:rsidR="00BA621F" w:rsidRPr="001B4A02" w:rsidRDefault="00BA621F" w:rsidP="00ED48A3">
      <w:pPr>
        <w:keepNext/>
        <w:ind w:left="0" w:firstLine="0"/>
      </w:pPr>
    </w:p>
    <w:p w14:paraId="0A1DB4B4" w14:textId="77777777" w:rsidR="00BA621F" w:rsidRPr="001B4A02" w:rsidRDefault="00000000" w:rsidP="00ED48A3">
      <w:pPr>
        <w:keepNext/>
        <w:ind w:left="0" w:firstLine="0"/>
      </w:pPr>
      <w:r w:rsidRPr="001B4A02">
        <w:t>Uchovávejte v chladničce. Chraňte před mrazem.</w:t>
      </w:r>
    </w:p>
    <w:p w14:paraId="30AA21E0" w14:textId="77777777" w:rsidR="00BA621F" w:rsidRPr="001B4A02" w:rsidRDefault="00000000" w:rsidP="00ED48A3">
      <w:pPr>
        <w:keepNext/>
      </w:pPr>
      <w:r w:rsidRPr="001B4A02">
        <w:t xml:space="preserve">Pro další možnosti uchovávání viz </w:t>
      </w:r>
      <w:r w:rsidRPr="00DE3467">
        <w:t>příbalov</w:t>
      </w:r>
      <w:r w:rsidR="00DE3467">
        <w:t>á</w:t>
      </w:r>
      <w:r w:rsidRPr="00DE3467">
        <w:t xml:space="preserve"> informac</w:t>
      </w:r>
      <w:r w:rsidR="00DE3467">
        <w:t>e</w:t>
      </w:r>
      <w:r w:rsidRPr="00DE3467">
        <w:t>.</w:t>
      </w:r>
    </w:p>
    <w:p w14:paraId="09E268F8" w14:textId="77777777" w:rsidR="00BA621F" w:rsidRPr="001B4A02" w:rsidRDefault="00BA621F" w:rsidP="00ED48A3">
      <w:pPr>
        <w:keepNext/>
      </w:pPr>
    </w:p>
    <w:p w14:paraId="4DE1965C" w14:textId="77777777" w:rsidR="00BA621F" w:rsidRPr="001B4A02" w:rsidRDefault="00000000" w:rsidP="00ED48A3">
      <w:pPr>
        <w:keepNext/>
      </w:pPr>
      <w:r w:rsidRPr="001B4A02">
        <w:t>Uchovávejte předplněné pero v krabičce, aby byl přípravek chráněn před světlem.</w:t>
      </w:r>
    </w:p>
    <w:p w14:paraId="62521DF6" w14:textId="77777777" w:rsidR="00BA621F" w:rsidRPr="001B4A02" w:rsidRDefault="00BA621F" w:rsidP="00ED48A3">
      <w:pPr>
        <w:keepNext/>
      </w:pPr>
    </w:p>
    <w:p w14:paraId="03545EB5" w14:textId="77777777" w:rsidR="00BA621F" w:rsidRPr="001B4A02" w:rsidRDefault="00BA621F" w:rsidP="008F0EA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8DF70FD" w14:textId="77777777" w:rsidTr="00090407">
        <w:tc>
          <w:tcPr>
            <w:tcW w:w="9287" w:type="dxa"/>
          </w:tcPr>
          <w:p w14:paraId="56C1EE4A" w14:textId="77777777" w:rsidR="00BA621F" w:rsidRPr="001B4A02" w:rsidRDefault="00000000" w:rsidP="00ED48A3">
            <w:pPr>
              <w:tabs>
                <w:tab w:val="left" w:pos="142"/>
              </w:tabs>
              <w:rPr>
                <w:b/>
              </w:rPr>
            </w:pPr>
            <w:r w:rsidRPr="001B4A02">
              <w:rPr>
                <w:b/>
              </w:rPr>
              <w:t>10.</w:t>
            </w:r>
            <w:r w:rsidRPr="001B4A02">
              <w:rPr>
                <w:b/>
              </w:rPr>
              <w:tab/>
              <w:t>ZVLÁŠTNÍ OPATŘENÍ PRO LIKVIDACI NEPOUŽITÝCH LÉČIVÝCH PŘÍPRAVKŮ NEBO ODPADU Z </w:t>
            </w:r>
            <w:r w:rsidR="00DE5AC6" w:rsidRPr="001B4A02">
              <w:rPr>
                <w:b/>
              </w:rPr>
              <w:t>NICH</w:t>
            </w:r>
            <w:r w:rsidRPr="001B4A02">
              <w:rPr>
                <w:b/>
              </w:rPr>
              <w:t>, POKUD JE TO VHODNÉ</w:t>
            </w:r>
          </w:p>
        </w:tc>
      </w:tr>
    </w:tbl>
    <w:p w14:paraId="5EFE7E2A" w14:textId="77777777" w:rsidR="00BA621F" w:rsidRPr="001B4A02" w:rsidRDefault="00BA621F" w:rsidP="00ED48A3"/>
    <w:p w14:paraId="643AEC72" w14:textId="77777777" w:rsidR="00BA621F" w:rsidRPr="001B4A02" w:rsidRDefault="00BA621F"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D430A89" w14:textId="77777777" w:rsidTr="00090407">
        <w:tc>
          <w:tcPr>
            <w:tcW w:w="9287" w:type="dxa"/>
          </w:tcPr>
          <w:p w14:paraId="438DAD6D" w14:textId="77777777" w:rsidR="00BA621F" w:rsidRPr="001B4A02" w:rsidRDefault="00000000" w:rsidP="00ED48A3">
            <w:pPr>
              <w:tabs>
                <w:tab w:val="left" w:pos="142"/>
              </w:tabs>
              <w:rPr>
                <w:b/>
              </w:rPr>
            </w:pPr>
            <w:r w:rsidRPr="001B4A02">
              <w:rPr>
                <w:b/>
              </w:rPr>
              <w:t>11.</w:t>
            </w:r>
            <w:r w:rsidRPr="001B4A02">
              <w:rPr>
                <w:b/>
              </w:rPr>
              <w:tab/>
              <w:t>NÁZEV A ADRESA DRŽITELE ROZHODNUTÍ O REGISTRACI</w:t>
            </w:r>
          </w:p>
        </w:tc>
      </w:tr>
    </w:tbl>
    <w:p w14:paraId="7FF7FEBC" w14:textId="77777777" w:rsidR="00BA621F" w:rsidRPr="001B4A02" w:rsidRDefault="00BA621F" w:rsidP="00ED48A3"/>
    <w:p w14:paraId="67F471BF" w14:textId="77777777" w:rsidR="00E86403" w:rsidRPr="001B4A02" w:rsidRDefault="00000000" w:rsidP="00E86403">
      <w:pPr>
        <w:keepNext/>
        <w:autoSpaceDE w:val="0"/>
        <w:autoSpaceDN w:val="0"/>
        <w:adjustRightInd w:val="0"/>
        <w:spacing w:line="240" w:lineRule="atLeast"/>
        <w:rPr>
          <w:szCs w:val="22"/>
          <w:lang w:eastAsia="en-GB"/>
        </w:rPr>
      </w:pPr>
      <w:r w:rsidRPr="001B4A02">
        <w:rPr>
          <w:szCs w:val="22"/>
          <w:lang w:eastAsia="en-GB"/>
        </w:rPr>
        <w:t>AbbVie Deutschland GmbH &amp; Co. KG</w:t>
      </w:r>
    </w:p>
    <w:p w14:paraId="27BCAB8B" w14:textId="77777777" w:rsidR="00E86403" w:rsidRPr="001B4A02" w:rsidRDefault="00000000" w:rsidP="00E86403">
      <w:pPr>
        <w:keepNext/>
        <w:autoSpaceDE w:val="0"/>
        <w:autoSpaceDN w:val="0"/>
        <w:adjustRightInd w:val="0"/>
        <w:spacing w:line="240" w:lineRule="atLeast"/>
        <w:rPr>
          <w:szCs w:val="22"/>
          <w:lang w:eastAsia="en-GB"/>
        </w:rPr>
      </w:pPr>
      <w:r w:rsidRPr="001B4A02">
        <w:rPr>
          <w:szCs w:val="22"/>
          <w:lang w:eastAsia="en-GB"/>
        </w:rPr>
        <w:t>Knollstrasse</w:t>
      </w:r>
    </w:p>
    <w:p w14:paraId="0C0DB057" w14:textId="77777777" w:rsidR="00E86403" w:rsidRPr="001B4A02" w:rsidRDefault="00000000" w:rsidP="00E86403">
      <w:pPr>
        <w:keepNext/>
        <w:autoSpaceDE w:val="0"/>
        <w:autoSpaceDN w:val="0"/>
        <w:adjustRightInd w:val="0"/>
        <w:spacing w:line="240" w:lineRule="atLeast"/>
        <w:rPr>
          <w:szCs w:val="22"/>
          <w:lang w:eastAsia="en-GB"/>
        </w:rPr>
      </w:pPr>
      <w:r w:rsidRPr="001B4A02">
        <w:rPr>
          <w:szCs w:val="22"/>
          <w:lang w:eastAsia="en-GB"/>
        </w:rPr>
        <w:t>67061 Ludwigshafen</w:t>
      </w:r>
    </w:p>
    <w:p w14:paraId="0432BFF8" w14:textId="77777777" w:rsidR="00BA621F" w:rsidRPr="001B4A02" w:rsidRDefault="00000000" w:rsidP="00ED48A3">
      <w:pPr>
        <w:ind w:left="0" w:firstLine="0"/>
      </w:pPr>
      <w:r w:rsidRPr="001B4A02">
        <w:rPr>
          <w:szCs w:val="22"/>
          <w:lang w:eastAsia="en-GB"/>
        </w:rPr>
        <w:t>Německo</w:t>
      </w:r>
    </w:p>
    <w:p w14:paraId="29FB2FB6" w14:textId="77777777" w:rsidR="00BA621F" w:rsidRPr="001B4A02" w:rsidRDefault="00BA621F" w:rsidP="00ED48A3"/>
    <w:p w14:paraId="24622FD0" w14:textId="77777777" w:rsidR="00BA621F" w:rsidRPr="001B4A02" w:rsidRDefault="00BA621F"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CCB10D5" w14:textId="77777777" w:rsidTr="00090407">
        <w:tc>
          <w:tcPr>
            <w:tcW w:w="9287" w:type="dxa"/>
          </w:tcPr>
          <w:p w14:paraId="65D0F81B" w14:textId="77777777" w:rsidR="00BA621F" w:rsidRPr="001B4A02" w:rsidRDefault="00000000" w:rsidP="00ED48A3">
            <w:pPr>
              <w:tabs>
                <w:tab w:val="left" w:pos="142"/>
              </w:tabs>
              <w:rPr>
                <w:b/>
              </w:rPr>
            </w:pPr>
            <w:r w:rsidRPr="001B4A02">
              <w:rPr>
                <w:b/>
              </w:rPr>
              <w:t>12.</w:t>
            </w:r>
            <w:r w:rsidRPr="001B4A02">
              <w:rPr>
                <w:b/>
              </w:rPr>
              <w:tab/>
              <w:t>REGISTRAČNÍ ČÍSL</w:t>
            </w:r>
            <w:r w:rsidR="008F0EA5" w:rsidRPr="001B4A02">
              <w:rPr>
                <w:b/>
              </w:rPr>
              <w:t>A</w:t>
            </w:r>
          </w:p>
        </w:tc>
      </w:tr>
    </w:tbl>
    <w:p w14:paraId="355179DF" w14:textId="77777777" w:rsidR="00BA621F" w:rsidRPr="001B4A02" w:rsidRDefault="00BA621F" w:rsidP="00ED48A3"/>
    <w:p w14:paraId="11BD2639" w14:textId="77777777" w:rsidR="00BA621F" w:rsidRPr="001B4A02" w:rsidRDefault="00000000" w:rsidP="007F7787">
      <w:r w:rsidRPr="001B4A02">
        <w:t>EU/1/03/256/016</w:t>
      </w:r>
    </w:p>
    <w:p w14:paraId="207013C1" w14:textId="77777777" w:rsidR="00B0574A" w:rsidRPr="001B4A02" w:rsidRDefault="00000000" w:rsidP="00B0574A">
      <w:pPr>
        <w:ind w:left="540" w:hanging="540"/>
        <w:rPr>
          <w:highlight w:val="lightGray"/>
        </w:rPr>
      </w:pPr>
      <w:r w:rsidRPr="001B4A02">
        <w:rPr>
          <w:highlight w:val="lightGray"/>
        </w:rPr>
        <w:t>EU/1/03/256/017</w:t>
      </w:r>
    </w:p>
    <w:p w14:paraId="06B28BB0" w14:textId="77777777" w:rsidR="00B0574A" w:rsidRPr="001B4A02" w:rsidRDefault="00000000" w:rsidP="00B0574A">
      <w:pPr>
        <w:ind w:left="540" w:hanging="540"/>
        <w:rPr>
          <w:highlight w:val="lightGray"/>
        </w:rPr>
      </w:pPr>
      <w:r w:rsidRPr="001B4A02">
        <w:rPr>
          <w:highlight w:val="lightGray"/>
        </w:rPr>
        <w:t>EU/1/03/256/018</w:t>
      </w:r>
    </w:p>
    <w:p w14:paraId="0AA597BD" w14:textId="77777777" w:rsidR="00BA621F" w:rsidRPr="001B4A02" w:rsidRDefault="00000000" w:rsidP="00ED48A3">
      <w:r w:rsidRPr="001B4A02">
        <w:rPr>
          <w:highlight w:val="lightGray"/>
        </w:rPr>
        <w:t>EU/1/03/256/019</w:t>
      </w:r>
    </w:p>
    <w:p w14:paraId="0DBAD500" w14:textId="77777777" w:rsidR="00BA621F" w:rsidRPr="001B4A02" w:rsidRDefault="00BA621F" w:rsidP="00ED48A3"/>
    <w:p w14:paraId="538A2256" w14:textId="77777777" w:rsidR="00F26878" w:rsidRPr="001B4A02" w:rsidRDefault="00F26878"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8453870" w14:textId="77777777" w:rsidTr="00090407">
        <w:tc>
          <w:tcPr>
            <w:tcW w:w="9287" w:type="dxa"/>
          </w:tcPr>
          <w:p w14:paraId="75542610" w14:textId="77777777" w:rsidR="00BA621F" w:rsidRPr="001B4A02" w:rsidRDefault="00000000" w:rsidP="00ED48A3">
            <w:pPr>
              <w:tabs>
                <w:tab w:val="left" w:pos="142"/>
              </w:tabs>
              <w:rPr>
                <w:b/>
              </w:rPr>
            </w:pPr>
            <w:r w:rsidRPr="001B4A02">
              <w:rPr>
                <w:b/>
              </w:rPr>
              <w:t>13.</w:t>
            </w:r>
            <w:r w:rsidRPr="001B4A02">
              <w:rPr>
                <w:b/>
              </w:rPr>
              <w:tab/>
              <w:t>ČÍSLO ŠARŽE</w:t>
            </w:r>
          </w:p>
        </w:tc>
      </w:tr>
    </w:tbl>
    <w:p w14:paraId="5292E7A5" w14:textId="77777777" w:rsidR="00BA621F" w:rsidRPr="001B4A02" w:rsidRDefault="00BA621F" w:rsidP="00ED48A3"/>
    <w:p w14:paraId="68CD7F4E" w14:textId="77777777" w:rsidR="00BA621F" w:rsidRPr="001B4A02" w:rsidRDefault="00000000" w:rsidP="00ED48A3">
      <w:ins w:id="9770" w:author="Abbvie02" w:date="2025-05-16T12:37:00Z">
        <w:r>
          <w:t>Lot</w:t>
        </w:r>
      </w:ins>
      <w:del w:id="9771" w:author="Abbvie02" w:date="2025-05-16T12:37:00Z">
        <w:r w:rsidRPr="001B4A02">
          <w:delText>Č. šarže</w:delText>
        </w:r>
      </w:del>
    </w:p>
    <w:p w14:paraId="2E99AF6D" w14:textId="77777777" w:rsidR="00BA621F" w:rsidRPr="001B4A02" w:rsidRDefault="00BA621F" w:rsidP="00ED48A3"/>
    <w:p w14:paraId="58EBA523" w14:textId="77777777" w:rsidR="00BA621F" w:rsidRPr="001B4A02" w:rsidRDefault="00BA621F"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9812B91" w14:textId="77777777" w:rsidTr="00090407">
        <w:tc>
          <w:tcPr>
            <w:tcW w:w="9287" w:type="dxa"/>
          </w:tcPr>
          <w:p w14:paraId="632B26ED" w14:textId="77777777" w:rsidR="00BA621F" w:rsidRPr="001B4A02" w:rsidRDefault="00000000" w:rsidP="00ED48A3">
            <w:pPr>
              <w:tabs>
                <w:tab w:val="left" w:pos="142"/>
              </w:tabs>
              <w:rPr>
                <w:b/>
              </w:rPr>
            </w:pPr>
            <w:r w:rsidRPr="001B4A02">
              <w:rPr>
                <w:b/>
              </w:rPr>
              <w:t>14.</w:t>
            </w:r>
            <w:r w:rsidRPr="001B4A02">
              <w:rPr>
                <w:b/>
              </w:rPr>
              <w:tab/>
              <w:t>KLASIFIKACE PRO VÝDEJ</w:t>
            </w:r>
          </w:p>
        </w:tc>
      </w:tr>
    </w:tbl>
    <w:p w14:paraId="3B710882" w14:textId="77777777" w:rsidR="00BA621F" w:rsidRPr="001B4A02" w:rsidRDefault="00BA621F" w:rsidP="00ED48A3"/>
    <w:p w14:paraId="7A602ADB" w14:textId="77777777" w:rsidR="00BA621F" w:rsidRPr="001B4A02" w:rsidRDefault="00BA621F"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05288DE" w14:textId="77777777" w:rsidTr="00090407">
        <w:tc>
          <w:tcPr>
            <w:tcW w:w="9287" w:type="dxa"/>
          </w:tcPr>
          <w:p w14:paraId="56590646" w14:textId="77777777" w:rsidR="00BA621F" w:rsidRPr="001B4A02" w:rsidRDefault="00000000" w:rsidP="00ED48A3">
            <w:pPr>
              <w:tabs>
                <w:tab w:val="left" w:pos="142"/>
              </w:tabs>
              <w:rPr>
                <w:b/>
              </w:rPr>
            </w:pPr>
            <w:r w:rsidRPr="001B4A02">
              <w:rPr>
                <w:b/>
              </w:rPr>
              <w:t>15.</w:t>
            </w:r>
            <w:r w:rsidRPr="001B4A02">
              <w:rPr>
                <w:b/>
              </w:rPr>
              <w:tab/>
              <w:t>NÁVOD K POUŽITÍ</w:t>
            </w:r>
          </w:p>
        </w:tc>
      </w:tr>
    </w:tbl>
    <w:p w14:paraId="69597387" w14:textId="77777777" w:rsidR="00BA621F" w:rsidRPr="001B4A02" w:rsidRDefault="00BA621F" w:rsidP="00ED48A3">
      <w:pPr>
        <w:rPr>
          <w:u w:val="single"/>
        </w:rPr>
      </w:pPr>
    </w:p>
    <w:p w14:paraId="27B1FBCE" w14:textId="77777777" w:rsidR="00BA621F" w:rsidRPr="001B4A02" w:rsidRDefault="00BA621F" w:rsidP="00ED48A3">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89A40BE" w14:textId="77777777" w:rsidTr="00090407">
        <w:tc>
          <w:tcPr>
            <w:tcW w:w="9287" w:type="dxa"/>
          </w:tcPr>
          <w:p w14:paraId="7215C7AE" w14:textId="77777777" w:rsidR="00BA621F" w:rsidRPr="001B4A02" w:rsidRDefault="00000000" w:rsidP="00ED48A3">
            <w:pPr>
              <w:tabs>
                <w:tab w:val="left" w:pos="142"/>
              </w:tabs>
              <w:rPr>
                <w:b/>
              </w:rPr>
            </w:pPr>
            <w:r w:rsidRPr="001B4A02">
              <w:rPr>
                <w:b/>
              </w:rPr>
              <w:t>16.</w:t>
            </w:r>
            <w:r w:rsidRPr="001B4A02">
              <w:rPr>
                <w:b/>
              </w:rPr>
              <w:tab/>
              <w:t>INFORMACE V BRAILLOVĚ PÍSMU</w:t>
            </w:r>
          </w:p>
        </w:tc>
      </w:tr>
    </w:tbl>
    <w:p w14:paraId="60B28D77" w14:textId="77777777" w:rsidR="00BA621F" w:rsidRPr="001B4A02" w:rsidRDefault="00BA621F" w:rsidP="00ED48A3">
      <w:pPr>
        <w:rPr>
          <w:u w:val="single"/>
        </w:rPr>
      </w:pPr>
    </w:p>
    <w:p w14:paraId="3CEA0345" w14:textId="77777777" w:rsidR="00BA621F" w:rsidRPr="001B4A02" w:rsidRDefault="00000000" w:rsidP="00ED48A3">
      <w:r w:rsidRPr="001B4A02">
        <w:t>Humira 40 mg</w:t>
      </w:r>
    </w:p>
    <w:p w14:paraId="788C3D43" w14:textId="77777777" w:rsidR="00602FAE" w:rsidRPr="001B4A02" w:rsidRDefault="00602FAE" w:rsidP="00ED48A3"/>
    <w:p w14:paraId="37173351" w14:textId="77777777" w:rsidR="00602FAE" w:rsidRPr="001B4A02" w:rsidRDefault="00602FAE" w:rsidP="00ED48A3"/>
    <w:p w14:paraId="10188D8F" w14:textId="77777777" w:rsidR="00602FAE" w:rsidRPr="001B4A02" w:rsidRDefault="00000000" w:rsidP="00ED48A3">
      <w:pPr>
        <w:pStyle w:val="EMEAHeadingBoxedTitle"/>
        <w:ind w:left="0" w:firstLine="0"/>
        <w:rPr>
          <w:rFonts w:ascii="Times New Roman" w:hAnsi="Times New Roman"/>
          <w:b/>
          <w:bCs/>
          <w:lang w:val="cs-CZ"/>
        </w:rPr>
      </w:pPr>
      <w:r w:rsidRPr="001B4A02">
        <w:rPr>
          <w:rFonts w:ascii="Times New Roman" w:hAnsi="Times New Roman"/>
          <w:b/>
          <w:bCs/>
          <w:lang w:val="cs-CZ"/>
        </w:rPr>
        <w:t>17.</w:t>
      </w:r>
      <w:r w:rsidRPr="001B4A02">
        <w:rPr>
          <w:rFonts w:ascii="Times New Roman" w:hAnsi="Times New Roman"/>
          <w:b/>
          <w:bCs/>
          <w:lang w:val="cs-CZ"/>
        </w:rPr>
        <w:tab/>
        <w:t xml:space="preserve">JEDINEČNÝ IDENTIFIKÁTOR – 2D ČÁROVÝ KÓD </w:t>
      </w:r>
    </w:p>
    <w:p w14:paraId="18FB6657" w14:textId="77777777" w:rsidR="00602FAE" w:rsidRPr="001B4A02" w:rsidRDefault="00602FAE" w:rsidP="00ED48A3"/>
    <w:p w14:paraId="7F91E4B4" w14:textId="77777777" w:rsidR="00602FAE" w:rsidRPr="001B4A02" w:rsidRDefault="00000000" w:rsidP="00ED48A3">
      <w:pPr>
        <w:rPr>
          <w:shd w:val="clear" w:color="auto" w:fill="BFBFBF"/>
        </w:rPr>
      </w:pPr>
      <w:r w:rsidRPr="001B4A02">
        <w:rPr>
          <w:shd w:val="clear" w:color="auto" w:fill="BFBFBF"/>
        </w:rPr>
        <w:t>2D čárový kód s jedinečným identifikátorem.</w:t>
      </w:r>
    </w:p>
    <w:p w14:paraId="1AFFCA13" w14:textId="77777777" w:rsidR="00602FAE" w:rsidRPr="001B4A02" w:rsidRDefault="00602FAE" w:rsidP="00ED48A3">
      <w:pPr>
        <w:rPr>
          <w:shd w:val="clear" w:color="auto" w:fill="BFBFBF"/>
        </w:rPr>
      </w:pPr>
    </w:p>
    <w:p w14:paraId="61F7F7F8" w14:textId="77777777" w:rsidR="00602FAE" w:rsidRPr="001B4A02" w:rsidRDefault="00602FAE" w:rsidP="00ED48A3"/>
    <w:p w14:paraId="00F0C05C" w14:textId="77777777" w:rsidR="00602FAE" w:rsidRPr="001B4A02" w:rsidRDefault="00000000" w:rsidP="00ED48A3">
      <w:pPr>
        <w:pStyle w:val="EMEAHeadingBoxedTitle"/>
        <w:keepNext/>
        <w:ind w:left="0" w:firstLine="0"/>
        <w:rPr>
          <w:rFonts w:ascii="Times New Roman" w:hAnsi="Times New Roman"/>
          <w:lang w:val="cs-CZ"/>
        </w:rPr>
      </w:pPr>
      <w:r w:rsidRPr="001B4A02">
        <w:rPr>
          <w:rFonts w:ascii="Times New Roman" w:hAnsi="Times New Roman"/>
          <w:b/>
          <w:bCs/>
          <w:lang w:val="cs-CZ"/>
        </w:rPr>
        <w:t>18.</w:t>
      </w:r>
      <w:r w:rsidRPr="001B4A02">
        <w:rPr>
          <w:rFonts w:ascii="Times New Roman" w:hAnsi="Times New Roman"/>
          <w:b/>
          <w:bCs/>
          <w:lang w:val="cs-CZ"/>
        </w:rPr>
        <w:tab/>
        <w:t>JEDINEČNÝ IDENTIFIKÁTOR – DATA ČITELNÁ OKEM</w:t>
      </w:r>
    </w:p>
    <w:p w14:paraId="2F10460A" w14:textId="77777777" w:rsidR="00602FAE" w:rsidRPr="001B4A02" w:rsidRDefault="00602FAE" w:rsidP="00ED48A3">
      <w:pPr>
        <w:keepNext/>
        <w:ind w:left="540" w:hanging="540"/>
      </w:pPr>
    </w:p>
    <w:p w14:paraId="1E5BC574" w14:textId="77777777" w:rsidR="00602FAE" w:rsidRPr="001B4A02" w:rsidRDefault="00000000" w:rsidP="00ED48A3">
      <w:pPr>
        <w:keepNext/>
        <w:ind w:left="540" w:hanging="540"/>
      </w:pPr>
      <w:r w:rsidRPr="001B4A02">
        <w:t>PC</w:t>
      </w:r>
    </w:p>
    <w:p w14:paraId="41B2AD9F" w14:textId="77777777" w:rsidR="00602FAE" w:rsidRPr="001B4A02" w:rsidRDefault="00000000" w:rsidP="00ED48A3">
      <w:pPr>
        <w:keepNext/>
        <w:ind w:left="540" w:hanging="540"/>
      </w:pPr>
      <w:r w:rsidRPr="001B4A02">
        <w:t>SN</w:t>
      </w:r>
    </w:p>
    <w:p w14:paraId="7EBB90FA" w14:textId="77777777" w:rsidR="00602FAE" w:rsidRDefault="00000000" w:rsidP="008D1953">
      <w:pPr>
        <w:keepNext/>
        <w:ind w:left="539" w:hanging="539"/>
        <w:rPr>
          <w:lang w:val="en-GB"/>
        </w:rPr>
      </w:pPr>
      <w:r w:rsidRPr="00BA0A72">
        <w:rPr>
          <w:highlight w:val="lightGray"/>
        </w:rPr>
        <w:t>NN</w:t>
      </w:r>
    </w:p>
    <w:p w14:paraId="7CB5B1AA" w14:textId="77777777" w:rsidR="008D1953" w:rsidRPr="001B4A02" w:rsidRDefault="008D1953" w:rsidP="008F0EA5">
      <w:pPr>
        <w:ind w:left="540" w:hanging="540"/>
      </w:pPr>
    </w:p>
    <w:p w14:paraId="616DC7DC" w14:textId="77777777" w:rsidR="00CC19D8" w:rsidRPr="001B4A02" w:rsidRDefault="00000000" w:rsidP="00ED48A3">
      <w:pPr>
        <w:ind w:left="0" w:firstLine="0"/>
      </w:pPr>
      <w:r w:rsidRPr="001B4A0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297202B" w14:textId="77777777" w:rsidTr="00090407">
        <w:tc>
          <w:tcPr>
            <w:tcW w:w="9287" w:type="dxa"/>
          </w:tcPr>
          <w:p w14:paraId="4B991B90" w14:textId="77777777" w:rsidR="00CC19D8" w:rsidRPr="001B4A02" w:rsidRDefault="00000000" w:rsidP="00ED48A3">
            <w:pPr>
              <w:rPr>
                <w:b/>
              </w:rPr>
            </w:pPr>
            <w:r w:rsidRPr="001B4A02">
              <w:rPr>
                <w:b/>
                <w:u w:val="single"/>
              </w:rPr>
              <w:br w:type="page"/>
            </w:r>
            <w:r w:rsidRPr="001B4A02">
              <w:rPr>
                <w:b/>
              </w:rPr>
              <w:t>MINIMÁLNÍ ÚDAJE UVÁDĚNÉ NA BLISTRECH NEBO STRIPECH</w:t>
            </w:r>
          </w:p>
          <w:p w14:paraId="4BC33895" w14:textId="77777777" w:rsidR="00CC19D8" w:rsidRPr="001B4A02" w:rsidRDefault="00CC19D8" w:rsidP="00ED48A3">
            <w:pPr>
              <w:rPr>
                <w:b/>
              </w:rPr>
            </w:pPr>
          </w:p>
          <w:p w14:paraId="1B5E7ABB" w14:textId="77777777" w:rsidR="00CC19D8" w:rsidRPr="001B4A02" w:rsidRDefault="00000000" w:rsidP="00ED48A3">
            <w:pPr>
              <w:rPr>
                <w:b/>
                <w:caps/>
              </w:rPr>
            </w:pPr>
            <w:r w:rsidRPr="001B4A02">
              <w:rPr>
                <w:b/>
                <w:caps/>
              </w:rPr>
              <w:t>Blistr</w:t>
            </w:r>
          </w:p>
        </w:tc>
      </w:tr>
    </w:tbl>
    <w:p w14:paraId="4AB9C8FE" w14:textId="77777777" w:rsidR="00CC19D8" w:rsidRPr="001B4A02" w:rsidRDefault="00CC19D8" w:rsidP="00ED48A3"/>
    <w:p w14:paraId="54609B07" w14:textId="77777777" w:rsidR="00CC19D8" w:rsidRPr="001B4A02" w:rsidRDefault="00CC19D8"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8E4E7A2" w14:textId="77777777" w:rsidTr="00090407">
        <w:tc>
          <w:tcPr>
            <w:tcW w:w="9287" w:type="dxa"/>
          </w:tcPr>
          <w:p w14:paraId="192844D2" w14:textId="77777777" w:rsidR="00CC19D8" w:rsidRPr="001B4A02" w:rsidRDefault="00000000" w:rsidP="00ED48A3">
            <w:pPr>
              <w:tabs>
                <w:tab w:val="left" w:pos="142"/>
              </w:tabs>
              <w:rPr>
                <w:b/>
              </w:rPr>
            </w:pPr>
            <w:r w:rsidRPr="001B4A02">
              <w:rPr>
                <w:b/>
              </w:rPr>
              <w:t>1.</w:t>
            </w:r>
            <w:r w:rsidRPr="001B4A02">
              <w:rPr>
                <w:b/>
              </w:rPr>
              <w:tab/>
              <w:t>NÁZEV LÉČIVÉHO PŘÍPRAVKU</w:t>
            </w:r>
          </w:p>
        </w:tc>
      </w:tr>
    </w:tbl>
    <w:p w14:paraId="4097064C" w14:textId="77777777" w:rsidR="00CC19D8" w:rsidRPr="001B4A02" w:rsidRDefault="00CC19D8" w:rsidP="00ED48A3"/>
    <w:p w14:paraId="7CD96048" w14:textId="77777777" w:rsidR="00CC19D8" w:rsidRPr="001B4A02" w:rsidRDefault="00000000" w:rsidP="00ED48A3">
      <w:r w:rsidRPr="001B4A02">
        <w:t>Humira 40 mg injekční roztok v předplněném peru</w:t>
      </w:r>
    </w:p>
    <w:p w14:paraId="3A4F9FB8" w14:textId="77777777" w:rsidR="00CC19D8" w:rsidRPr="001B4A02" w:rsidRDefault="00000000" w:rsidP="00ED48A3">
      <w:r w:rsidRPr="001B4A02">
        <w:t>adalimumab</w:t>
      </w:r>
      <w:del w:id="9772" w:author="Abbvie02" w:date="2025-05-16T11:49:00Z">
        <w:r w:rsidRPr="001B4A02">
          <w:delText>um</w:delText>
        </w:r>
      </w:del>
    </w:p>
    <w:p w14:paraId="1BAF2F89" w14:textId="77777777" w:rsidR="00CC19D8" w:rsidRPr="001B4A02" w:rsidRDefault="00CC19D8" w:rsidP="00ED48A3"/>
    <w:p w14:paraId="2ABF5E82" w14:textId="77777777" w:rsidR="00CC19D8" w:rsidRPr="001B4A02" w:rsidRDefault="00CC19D8"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87E419D" w14:textId="77777777" w:rsidTr="00090407">
        <w:tc>
          <w:tcPr>
            <w:tcW w:w="9287" w:type="dxa"/>
          </w:tcPr>
          <w:p w14:paraId="0A995C80" w14:textId="77777777" w:rsidR="00CC19D8" w:rsidRPr="001B4A02" w:rsidRDefault="00000000" w:rsidP="00ED48A3">
            <w:pPr>
              <w:tabs>
                <w:tab w:val="left" w:pos="142"/>
              </w:tabs>
              <w:rPr>
                <w:b/>
              </w:rPr>
            </w:pPr>
            <w:r w:rsidRPr="001B4A02">
              <w:rPr>
                <w:b/>
              </w:rPr>
              <w:t>2.</w:t>
            </w:r>
            <w:r w:rsidRPr="001B4A02">
              <w:rPr>
                <w:b/>
              </w:rPr>
              <w:tab/>
              <w:t>NÁZEV DRŽITELE ROZHODNUTÍ O REGISTRACI</w:t>
            </w:r>
          </w:p>
        </w:tc>
      </w:tr>
    </w:tbl>
    <w:p w14:paraId="5EA7F6D4" w14:textId="77777777" w:rsidR="00CC19D8" w:rsidRPr="001B4A02" w:rsidRDefault="00CC19D8" w:rsidP="00ED48A3"/>
    <w:p w14:paraId="6CB51833" w14:textId="77777777" w:rsidR="00CC19D8" w:rsidRPr="001B4A02" w:rsidRDefault="00000000" w:rsidP="00ED48A3">
      <w:r w:rsidRPr="001B4A02">
        <w:t>AbbVie</w:t>
      </w:r>
      <w:r w:rsidR="00012C3F" w:rsidRPr="001B4A02">
        <w:t xml:space="preserve"> </w:t>
      </w:r>
      <w:r w:rsidR="00012C3F" w:rsidRPr="001B4A02">
        <w:rPr>
          <w:highlight w:val="lightGray"/>
        </w:rPr>
        <w:t>(logo)</w:t>
      </w:r>
    </w:p>
    <w:p w14:paraId="7A6E6006" w14:textId="77777777" w:rsidR="00CC19D8" w:rsidRPr="001B4A02" w:rsidRDefault="00CC19D8" w:rsidP="00ED48A3"/>
    <w:p w14:paraId="7766BDFD" w14:textId="77777777" w:rsidR="00CC19D8" w:rsidRPr="001B4A02" w:rsidRDefault="00CC19D8"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44F3603" w14:textId="77777777" w:rsidTr="00090407">
        <w:tc>
          <w:tcPr>
            <w:tcW w:w="9287" w:type="dxa"/>
          </w:tcPr>
          <w:p w14:paraId="3B937DD5" w14:textId="77777777" w:rsidR="00CC19D8" w:rsidRPr="001B4A02" w:rsidRDefault="00000000" w:rsidP="00ED48A3">
            <w:pPr>
              <w:tabs>
                <w:tab w:val="left" w:pos="142"/>
              </w:tabs>
              <w:rPr>
                <w:b/>
              </w:rPr>
            </w:pPr>
            <w:r w:rsidRPr="001B4A02">
              <w:rPr>
                <w:b/>
              </w:rPr>
              <w:t>3.</w:t>
            </w:r>
            <w:r w:rsidRPr="001B4A02">
              <w:rPr>
                <w:b/>
              </w:rPr>
              <w:tab/>
              <w:t>POUŽITELNOST</w:t>
            </w:r>
          </w:p>
        </w:tc>
      </w:tr>
    </w:tbl>
    <w:p w14:paraId="0DD7DE92" w14:textId="77777777" w:rsidR="00CC19D8" w:rsidRPr="001B4A02" w:rsidRDefault="00CC19D8" w:rsidP="00ED48A3"/>
    <w:p w14:paraId="2D823379" w14:textId="77777777" w:rsidR="00CC19D8" w:rsidRPr="001B4A02" w:rsidRDefault="00000000" w:rsidP="00ED48A3">
      <w:r w:rsidRPr="001B4A02">
        <w:t xml:space="preserve">EXP </w:t>
      </w:r>
    </w:p>
    <w:p w14:paraId="76FD77C7" w14:textId="77777777" w:rsidR="00CC19D8" w:rsidRPr="001B4A02" w:rsidRDefault="00CC19D8" w:rsidP="00ED48A3"/>
    <w:p w14:paraId="74E910CA" w14:textId="77777777" w:rsidR="00CC19D8" w:rsidRPr="001B4A02" w:rsidRDefault="00CC19D8"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0A4FBBA" w14:textId="77777777" w:rsidTr="00090407">
        <w:tc>
          <w:tcPr>
            <w:tcW w:w="9287" w:type="dxa"/>
          </w:tcPr>
          <w:p w14:paraId="2C360D32" w14:textId="77777777" w:rsidR="00CC19D8" w:rsidRPr="001B4A02" w:rsidRDefault="00000000" w:rsidP="00ED48A3">
            <w:pPr>
              <w:tabs>
                <w:tab w:val="left" w:pos="142"/>
              </w:tabs>
              <w:rPr>
                <w:b/>
              </w:rPr>
            </w:pPr>
            <w:r w:rsidRPr="001B4A02">
              <w:rPr>
                <w:b/>
              </w:rPr>
              <w:t>4.</w:t>
            </w:r>
            <w:r w:rsidRPr="001B4A02">
              <w:rPr>
                <w:b/>
              </w:rPr>
              <w:tab/>
              <w:t>ČÍSLO ŠARŽE</w:t>
            </w:r>
          </w:p>
        </w:tc>
      </w:tr>
    </w:tbl>
    <w:p w14:paraId="4459C9C4" w14:textId="77777777" w:rsidR="00CC19D8" w:rsidRPr="001B4A02" w:rsidRDefault="00CC19D8" w:rsidP="00ED48A3"/>
    <w:p w14:paraId="439E2AB6" w14:textId="77777777" w:rsidR="00CC19D8" w:rsidRPr="001B4A02" w:rsidRDefault="00000000" w:rsidP="00ED48A3">
      <w:ins w:id="9773" w:author="Abbvie02" w:date="2025-05-16T12:37:00Z">
        <w:r>
          <w:t>Lot</w:t>
        </w:r>
      </w:ins>
      <w:del w:id="9774" w:author="Abbvie02" w:date="2025-05-16T12:37:00Z">
        <w:r w:rsidRPr="001B4A02">
          <w:delText>Č. šarže</w:delText>
        </w:r>
      </w:del>
      <w:r w:rsidRPr="001B4A02">
        <w:t xml:space="preserve"> </w:t>
      </w:r>
    </w:p>
    <w:p w14:paraId="25D95F09" w14:textId="77777777" w:rsidR="00CC19D8" w:rsidRPr="001B4A02" w:rsidRDefault="00CC19D8" w:rsidP="00ED48A3"/>
    <w:p w14:paraId="1F1FAAB9" w14:textId="77777777" w:rsidR="00CC19D8" w:rsidRPr="001B4A02" w:rsidRDefault="00CC19D8"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042557B" w14:textId="77777777" w:rsidTr="00090407">
        <w:tc>
          <w:tcPr>
            <w:tcW w:w="9287" w:type="dxa"/>
          </w:tcPr>
          <w:p w14:paraId="1CE53581" w14:textId="77777777" w:rsidR="00CC19D8" w:rsidRPr="001B4A02" w:rsidRDefault="00000000" w:rsidP="00ED48A3">
            <w:pPr>
              <w:tabs>
                <w:tab w:val="left" w:pos="142"/>
              </w:tabs>
              <w:rPr>
                <w:b/>
              </w:rPr>
            </w:pPr>
            <w:r w:rsidRPr="001B4A02">
              <w:rPr>
                <w:b/>
              </w:rPr>
              <w:t>5.</w:t>
            </w:r>
            <w:r w:rsidRPr="001B4A02">
              <w:rPr>
                <w:b/>
              </w:rPr>
              <w:tab/>
              <w:t>JINÉ</w:t>
            </w:r>
          </w:p>
        </w:tc>
      </w:tr>
    </w:tbl>
    <w:p w14:paraId="2BD60B54" w14:textId="77777777" w:rsidR="00CC19D8" w:rsidRPr="001B4A02" w:rsidRDefault="00CC19D8" w:rsidP="00ED48A3">
      <w:pPr>
        <w:rPr>
          <w:u w:val="single"/>
        </w:rPr>
      </w:pPr>
    </w:p>
    <w:p w14:paraId="4D7D5F78" w14:textId="77777777" w:rsidR="00CC19D8" w:rsidRPr="001B4A02" w:rsidRDefault="00000000" w:rsidP="00ED48A3">
      <w:r w:rsidRPr="001B4A02">
        <w:t>Pro informace o uchovávání viz příbalov</w:t>
      </w:r>
      <w:r w:rsidR="00DE3467">
        <w:t>á</w:t>
      </w:r>
      <w:r w:rsidRPr="001B4A02">
        <w:t xml:space="preserve"> informac</w:t>
      </w:r>
      <w:r w:rsidR="00DE3467">
        <w:t>e</w:t>
      </w:r>
      <w:r w:rsidRPr="001B4A02">
        <w:t>.</w:t>
      </w:r>
    </w:p>
    <w:p w14:paraId="5DC46325" w14:textId="77777777" w:rsidR="00B0574A" w:rsidRPr="001B4A02" w:rsidRDefault="00B0574A" w:rsidP="00ED48A3"/>
    <w:p w14:paraId="521C7980" w14:textId="77777777" w:rsidR="00BA621F" w:rsidRPr="001B4A02" w:rsidRDefault="00000000" w:rsidP="00ED48A3">
      <w:r w:rsidRPr="001B4A02">
        <w:t xml:space="preserve">Pouze k jednorázovému </w:t>
      </w:r>
      <w:r w:rsidR="007C5563" w:rsidRPr="001B4A02">
        <w:t>po</w:t>
      </w:r>
      <w:r w:rsidRPr="001B4A02">
        <w:t>užití</w:t>
      </w:r>
      <w:r w:rsidR="009954F1" w:rsidRPr="001B4A02">
        <w:t>.</w:t>
      </w:r>
    </w:p>
    <w:p w14:paraId="296E1565" w14:textId="77777777" w:rsidR="00B0574A" w:rsidRPr="001B4A02" w:rsidRDefault="00B0574A" w:rsidP="00ED48A3"/>
    <w:p w14:paraId="7F377AC3" w14:textId="77777777" w:rsidR="00BA621F" w:rsidRPr="001B4A02" w:rsidRDefault="00000000" w:rsidP="00ED48A3">
      <w:pPr>
        <w:rPr>
          <w:u w:val="single"/>
        </w:rPr>
      </w:pPr>
      <w:r w:rsidRPr="001B4A02">
        <w:t>40 mg/0,4</w:t>
      </w:r>
      <w:r w:rsidR="00443CD1" w:rsidRPr="001B4A02">
        <w:t> </w:t>
      </w:r>
      <w:r w:rsidRPr="001B4A02">
        <w:t>ml</w:t>
      </w:r>
    </w:p>
    <w:p w14:paraId="0E6D7817" w14:textId="77777777" w:rsidR="0000361B" w:rsidRDefault="0000361B" w:rsidP="00ED48A3"/>
    <w:p w14:paraId="18A4B78A" w14:textId="77777777" w:rsidR="00CC19D8" w:rsidRPr="001B4A02" w:rsidRDefault="00000000" w:rsidP="00ED48A3">
      <w:pPr>
        <w:rPr>
          <w:u w:val="single"/>
        </w:rPr>
      </w:pPr>
      <w:r w:rsidRPr="001B4A0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78D68AC" w14:textId="77777777" w:rsidTr="00090407">
        <w:trPr>
          <w:trHeight w:val="785"/>
        </w:trPr>
        <w:tc>
          <w:tcPr>
            <w:tcW w:w="9287" w:type="dxa"/>
            <w:tcBorders>
              <w:bottom w:val="single" w:sz="4" w:space="0" w:color="auto"/>
            </w:tcBorders>
          </w:tcPr>
          <w:p w14:paraId="0221F0EB" w14:textId="77777777" w:rsidR="00CC19D8" w:rsidRPr="001B4A02" w:rsidRDefault="00000000" w:rsidP="00ED48A3">
            <w:pPr>
              <w:rPr>
                <w:b/>
              </w:rPr>
            </w:pPr>
            <w:r w:rsidRPr="001B4A02">
              <w:rPr>
                <w:b/>
              </w:rPr>
              <w:t>MINIMÁLNÍ ÚDAJE UVÁDĚNÉ NA MALÉM VNITŘNÍM OBALU</w:t>
            </w:r>
          </w:p>
          <w:p w14:paraId="6B241B4B" w14:textId="77777777" w:rsidR="00CC19D8" w:rsidRPr="001B4A02" w:rsidRDefault="00CC19D8" w:rsidP="00ED48A3">
            <w:pPr>
              <w:rPr>
                <w:b/>
              </w:rPr>
            </w:pPr>
          </w:p>
          <w:p w14:paraId="633807BA" w14:textId="77777777" w:rsidR="00CC19D8" w:rsidRPr="001B4A02" w:rsidRDefault="00000000" w:rsidP="00ED48A3">
            <w:pPr>
              <w:ind w:left="0" w:firstLine="0"/>
              <w:rPr>
                <w:b/>
                <w:caps/>
              </w:rPr>
            </w:pPr>
            <w:r w:rsidRPr="001B4A02">
              <w:rPr>
                <w:b/>
                <w:caps/>
              </w:rPr>
              <w:t>Etiketa na PERU</w:t>
            </w:r>
          </w:p>
        </w:tc>
      </w:tr>
    </w:tbl>
    <w:p w14:paraId="06F5833A" w14:textId="77777777" w:rsidR="00CC19D8" w:rsidRPr="001B4A02" w:rsidRDefault="00CC19D8" w:rsidP="00ED48A3"/>
    <w:p w14:paraId="13B7FB8D" w14:textId="77777777" w:rsidR="00CC19D8" w:rsidRPr="001B4A02" w:rsidRDefault="00CC19D8"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F7369CD" w14:textId="77777777" w:rsidTr="00090407">
        <w:tc>
          <w:tcPr>
            <w:tcW w:w="9287" w:type="dxa"/>
          </w:tcPr>
          <w:p w14:paraId="1439FB89" w14:textId="77777777" w:rsidR="00CC19D8" w:rsidRPr="001B4A02" w:rsidRDefault="00000000" w:rsidP="00ED48A3">
            <w:pPr>
              <w:tabs>
                <w:tab w:val="left" w:pos="142"/>
              </w:tabs>
              <w:rPr>
                <w:b/>
              </w:rPr>
            </w:pPr>
            <w:r w:rsidRPr="001B4A02">
              <w:rPr>
                <w:b/>
              </w:rPr>
              <w:t>1.</w:t>
            </w:r>
            <w:r w:rsidRPr="001B4A02">
              <w:rPr>
                <w:b/>
              </w:rPr>
              <w:tab/>
              <w:t>NÁZEV LÉČIVÉHO PŘÍPRAVKU A CESTA PODÁNÍ</w:t>
            </w:r>
          </w:p>
        </w:tc>
      </w:tr>
    </w:tbl>
    <w:p w14:paraId="59AE8555" w14:textId="77777777" w:rsidR="00CC19D8" w:rsidRPr="001B4A02" w:rsidRDefault="00CC19D8" w:rsidP="00ED48A3"/>
    <w:p w14:paraId="173DFFFF" w14:textId="77777777" w:rsidR="00CC19D8" w:rsidRPr="001B4A02" w:rsidRDefault="00000000" w:rsidP="00ED48A3">
      <w:r w:rsidRPr="001B4A02">
        <w:t>Humira 40 mg injekce</w:t>
      </w:r>
    </w:p>
    <w:p w14:paraId="4092A59D" w14:textId="77777777" w:rsidR="00CC19D8" w:rsidRPr="001B4A02" w:rsidRDefault="00000000" w:rsidP="00ED48A3">
      <w:r w:rsidRPr="001B4A02">
        <w:t>adalimumab</w:t>
      </w:r>
      <w:del w:id="9775" w:author="Abbvie02" w:date="2025-05-16T11:49:00Z">
        <w:r w:rsidRPr="001B4A02">
          <w:delText>um</w:delText>
        </w:r>
      </w:del>
    </w:p>
    <w:p w14:paraId="54E858EB" w14:textId="77777777" w:rsidR="00CC19D8" w:rsidRPr="001B4A02" w:rsidRDefault="00000000" w:rsidP="00ED48A3">
      <w:pPr>
        <w:rPr>
          <w:b/>
        </w:rPr>
      </w:pPr>
      <w:r w:rsidRPr="001B4A02">
        <w:t>s.c.</w:t>
      </w:r>
    </w:p>
    <w:p w14:paraId="70A803E3" w14:textId="77777777" w:rsidR="00CC19D8" w:rsidRPr="001B4A02" w:rsidRDefault="00CC19D8" w:rsidP="00ED48A3"/>
    <w:p w14:paraId="78AA1778" w14:textId="77777777" w:rsidR="00CC19D8" w:rsidRPr="001B4A02" w:rsidRDefault="00CC19D8"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6023B35" w14:textId="77777777" w:rsidTr="00090407">
        <w:tc>
          <w:tcPr>
            <w:tcW w:w="9287" w:type="dxa"/>
          </w:tcPr>
          <w:p w14:paraId="3053481D" w14:textId="77777777" w:rsidR="00CC19D8" w:rsidRPr="001B4A02" w:rsidRDefault="00000000" w:rsidP="00ED48A3">
            <w:pPr>
              <w:tabs>
                <w:tab w:val="left" w:pos="142"/>
              </w:tabs>
              <w:rPr>
                <w:b/>
              </w:rPr>
            </w:pPr>
            <w:r w:rsidRPr="001B4A02">
              <w:rPr>
                <w:b/>
              </w:rPr>
              <w:t>2.</w:t>
            </w:r>
            <w:r w:rsidRPr="001B4A02">
              <w:rPr>
                <w:b/>
              </w:rPr>
              <w:tab/>
              <w:t>ZPŮSOB PODÁNÍ</w:t>
            </w:r>
          </w:p>
        </w:tc>
      </w:tr>
    </w:tbl>
    <w:p w14:paraId="1EA61C59" w14:textId="77777777" w:rsidR="00CC19D8" w:rsidRPr="001B4A02" w:rsidRDefault="00CC19D8" w:rsidP="00ED48A3"/>
    <w:p w14:paraId="659A4FBB" w14:textId="77777777" w:rsidR="00CC19D8" w:rsidRPr="001B4A02" w:rsidRDefault="00CC19D8"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13EBD92" w14:textId="77777777" w:rsidTr="00090407">
        <w:tc>
          <w:tcPr>
            <w:tcW w:w="9287" w:type="dxa"/>
          </w:tcPr>
          <w:p w14:paraId="6BF1AB1F" w14:textId="77777777" w:rsidR="00CC19D8" w:rsidRPr="001B4A02" w:rsidRDefault="00000000" w:rsidP="00ED48A3">
            <w:pPr>
              <w:tabs>
                <w:tab w:val="left" w:pos="142"/>
              </w:tabs>
              <w:rPr>
                <w:b/>
              </w:rPr>
            </w:pPr>
            <w:r w:rsidRPr="001B4A02">
              <w:rPr>
                <w:b/>
              </w:rPr>
              <w:t>3.</w:t>
            </w:r>
            <w:r w:rsidRPr="001B4A02">
              <w:rPr>
                <w:b/>
              </w:rPr>
              <w:tab/>
              <w:t>POUŽITELNOST</w:t>
            </w:r>
          </w:p>
        </w:tc>
      </w:tr>
    </w:tbl>
    <w:p w14:paraId="4EFB66E0" w14:textId="77777777" w:rsidR="00CC19D8" w:rsidRPr="001B4A02" w:rsidRDefault="00CC19D8" w:rsidP="00ED48A3"/>
    <w:p w14:paraId="1DA67B3D" w14:textId="77777777" w:rsidR="00CC19D8" w:rsidRPr="001B4A02" w:rsidRDefault="00000000" w:rsidP="00ED48A3">
      <w:r w:rsidRPr="001B4A02">
        <w:t>EXP</w:t>
      </w:r>
    </w:p>
    <w:p w14:paraId="16D2A12A" w14:textId="77777777" w:rsidR="00CC19D8" w:rsidRPr="001B4A02" w:rsidRDefault="00CC19D8" w:rsidP="00ED48A3"/>
    <w:p w14:paraId="297D7F1B" w14:textId="77777777" w:rsidR="00CC19D8" w:rsidRPr="001B4A02" w:rsidRDefault="00CC19D8"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D591C90" w14:textId="77777777" w:rsidTr="00090407">
        <w:tc>
          <w:tcPr>
            <w:tcW w:w="9287" w:type="dxa"/>
          </w:tcPr>
          <w:p w14:paraId="4E820726" w14:textId="77777777" w:rsidR="00CC19D8" w:rsidRPr="001B4A02" w:rsidRDefault="00000000" w:rsidP="00ED48A3">
            <w:pPr>
              <w:tabs>
                <w:tab w:val="left" w:pos="142"/>
              </w:tabs>
              <w:rPr>
                <w:b/>
              </w:rPr>
            </w:pPr>
            <w:r w:rsidRPr="001B4A02">
              <w:rPr>
                <w:b/>
              </w:rPr>
              <w:t>4.</w:t>
            </w:r>
            <w:r w:rsidRPr="001B4A02">
              <w:rPr>
                <w:b/>
              </w:rPr>
              <w:tab/>
              <w:t>ČÍSLO ŠARŽE</w:t>
            </w:r>
          </w:p>
        </w:tc>
      </w:tr>
    </w:tbl>
    <w:p w14:paraId="0EA99F66" w14:textId="77777777" w:rsidR="00CC19D8" w:rsidRPr="001B4A02" w:rsidRDefault="00CC19D8" w:rsidP="00ED48A3"/>
    <w:p w14:paraId="1C54D2DD" w14:textId="77777777" w:rsidR="00CC19D8" w:rsidRPr="001B4A02" w:rsidRDefault="00000000" w:rsidP="00ED48A3">
      <w:pPr>
        <w:ind w:right="113"/>
      </w:pPr>
      <w:r w:rsidRPr="001B4A02">
        <w:t>Lot</w:t>
      </w:r>
    </w:p>
    <w:p w14:paraId="7D2A34B5" w14:textId="77777777" w:rsidR="00CC19D8" w:rsidRPr="001B4A02" w:rsidRDefault="00CC19D8" w:rsidP="00ED48A3">
      <w:pPr>
        <w:ind w:right="113"/>
      </w:pPr>
    </w:p>
    <w:p w14:paraId="57350E72" w14:textId="77777777" w:rsidR="00CC19D8" w:rsidRPr="001B4A02" w:rsidRDefault="00CC19D8" w:rsidP="00ED48A3">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DB051CC" w14:textId="77777777" w:rsidTr="00090407">
        <w:tc>
          <w:tcPr>
            <w:tcW w:w="9287" w:type="dxa"/>
          </w:tcPr>
          <w:p w14:paraId="29780DA6" w14:textId="77777777" w:rsidR="00CC19D8" w:rsidRPr="001B4A02" w:rsidRDefault="00000000" w:rsidP="00ED48A3">
            <w:pPr>
              <w:tabs>
                <w:tab w:val="left" w:pos="142"/>
              </w:tabs>
              <w:rPr>
                <w:b/>
              </w:rPr>
            </w:pPr>
            <w:r w:rsidRPr="001B4A02">
              <w:rPr>
                <w:b/>
              </w:rPr>
              <w:t>5.</w:t>
            </w:r>
            <w:r w:rsidRPr="001B4A02">
              <w:rPr>
                <w:b/>
              </w:rPr>
              <w:tab/>
              <w:t>OBSAH UDANÝ JAKO HMOTNOST, OBJEM NEBO POČET DÁVEK</w:t>
            </w:r>
          </w:p>
        </w:tc>
      </w:tr>
    </w:tbl>
    <w:p w14:paraId="703EFDA9" w14:textId="77777777" w:rsidR="00CC19D8" w:rsidRPr="001B4A02" w:rsidRDefault="00CC19D8" w:rsidP="00ED48A3"/>
    <w:p w14:paraId="3B9634A8" w14:textId="77777777" w:rsidR="00CC19D8" w:rsidRPr="001B4A02" w:rsidRDefault="00000000" w:rsidP="00ED48A3">
      <w:r w:rsidRPr="001B4A02">
        <w:t>40 mg/0,</w:t>
      </w:r>
      <w:r w:rsidR="00BA621F" w:rsidRPr="001B4A02">
        <w:t>4</w:t>
      </w:r>
      <w:r w:rsidRPr="001B4A02">
        <w:t> ml</w:t>
      </w:r>
    </w:p>
    <w:p w14:paraId="0C6ED90A" w14:textId="77777777" w:rsidR="00CC19D8" w:rsidRPr="001B4A02" w:rsidRDefault="00CC19D8" w:rsidP="00ED48A3"/>
    <w:p w14:paraId="13891D77" w14:textId="77777777" w:rsidR="00CC19D8" w:rsidRPr="001B4A02" w:rsidRDefault="00CC19D8"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4B079B3" w14:textId="77777777" w:rsidTr="00090407">
        <w:tc>
          <w:tcPr>
            <w:tcW w:w="9287" w:type="dxa"/>
          </w:tcPr>
          <w:p w14:paraId="0E3C26FD" w14:textId="77777777" w:rsidR="00CC19D8" w:rsidRPr="001B4A02" w:rsidRDefault="00000000" w:rsidP="00ED48A3">
            <w:pPr>
              <w:tabs>
                <w:tab w:val="left" w:pos="142"/>
              </w:tabs>
              <w:rPr>
                <w:b/>
              </w:rPr>
            </w:pPr>
            <w:r w:rsidRPr="001B4A02">
              <w:rPr>
                <w:b/>
              </w:rPr>
              <w:t>6.</w:t>
            </w:r>
            <w:r w:rsidRPr="001B4A02">
              <w:rPr>
                <w:b/>
              </w:rPr>
              <w:tab/>
              <w:t>JINÉ</w:t>
            </w:r>
          </w:p>
        </w:tc>
      </w:tr>
    </w:tbl>
    <w:p w14:paraId="71398DEF" w14:textId="77777777" w:rsidR="00CC19D8" w:rsidRPr="001B4A02" w:rsidRDefault="00CC19D8" w:rsidP="00ED48A3">
      <w:pPr>
        <w:ind w:left="0" w:firstLine="0"/>
      </w:pPr>
    </w:p>
    <w:p w14:paraId="4806F5B9" w14:textId="77777777" w:rsidR="00CC19D8" w:rsidRPr="001B4A02" w:rsidRDefault="00CC19D8" w:rsidP="00ED48A3">
      <w:pPr>
        <w:ind w:left="0" w:firstLine="0"/>
      </w:pPr>
    </w:p>
    <w:p w14:paraId="4E0D8343" w14:textId="77777777" w:rsidR="002F02FC" w:rsidRPr="001B4A02" w:rsidRDefault="00000000" w:rsidP="00ED48A3">
      <w:pPr>
        <w:ind w:left="0" w:firstLine="0"/>
      </w:pPr>
      <w:r w:rsidRPr="001B4A02">
        <w:br w:type="page"/>
      </w:r>
    </w:p>
    <w:p w14:paraId="77717EFF" w14:textId="77777777" w:rsidR="002F02FC" w:rsidRPr="001B4A02" w:rsidRDefault="00000000" w:rsidP="00ED48A3">
      <w:pPr>
        <w:pStyle w:val="EMEAHeadingBoxedTitle"/>
        <w:tabs>
          <w:tab w:val="clear" w:pos="562"/>
        </w:tabs>
        <w:ind w:left="0" w:firstLine="0"/>
        <w:rPr>
          <w:rFonts w:ascii="Times New Roman" w:hAnsi="Times New Roman"/>
          <w:b/>
          <w:bCs/>
          <w:szCs w:val="22"/>
          <w:highlight w:val="yellow"/>
          <w:lang w:val="cs-CZ"/>
        </w:rPr>
      </w:pPr>
      <w:r w:rsidRPr="001B4A02">
        <w:rPr>
          <w:rFonts w:ascii="Times New Roman" w:hAnsi="Times New Roman"/>
          <w:b/>
          <w:szCs w:val="22"/>
          <w:lang w:val="cs-CZ"/>
        </w:rPr>
        <w:t>ÚDAJE UVÁDĚNÉ NA VNĚJŠÍM OBALU</w:t>
      </w:r>
    </w:p>
    <w:p w14:paraId="5821FEC9" w14:textId="77777777" w:rsidR="002F02FC" w:rsidRPr="001B4A02" w:rsidRDefault="002F02FC" w:rsidP="00ED48A3">
      <w:pPr>
        <w:pStyle w:val="EMEAHeadingBoxedTitle"/>
        <w:tabs>
          <w:tab w:val="clear" w:pos="562"/>
        </w:tabs>
        <w:ind w:left="0" w:firstLine="0"/>
        <w:rPr>
          <w:rFonts w:ascii="Times New Roman" w:hAnsi="Times New Roman"/>
          <w:b/>
          <w:bCs/>
          <w:szCs w:val="22"/>
          <w:lang w:val="cs-CZ"/>
        </w:rPr>
      </w:pPr>
    </w:p>
    <w:p w14:paraId="2B38527E" w14:textId="77777777" w:rsidR="002F02FC" w:rsidRPr="001B4A02" w:rsidRDefault="00000000" w:rsidP="00ED48A3">
      <w:pPr>
        <w:pStyle w:val="EMEAHeadingBoxedTitle"/>
        <w:tabs>
          <w:tab w:val="clear" w:pos="562"/>
        </w:tabs>
        <w:ind w:left="0" w:firstLine="0"/>
        <w:rPr>
          <w:rFonts w:ascii="Times New Roman" w:hAnsi="Times New Roman"/>
          <w:b/>
          <w:bCs/>
          <w:szCs w:val="22"/>
          <w:lang w:val="cs-CZ"/>
        </w:rPr>
      </w:pPr>
      <w:r w:rsidRPr="001B4A02">
        <w:rPr>
          <w:rFonts w:ascii="Times New Roman" w:hAnsi="Times New Roman"/>
          <w:b/>
          <w:bCs/>
          <w:szCs w:val="22"/>
          <w:lang w:val="cs-CZ"/>
        </w:rPr>
        <w:t>krabička</w:t>
      </w:r>
    </w:p>
    <w:p w14:paraId="2AC16DB6" w14:textId="77777777" w:rsidR="002F02FC" w:rsidRPr="001B4A02" w:rsidRDefault="002F02FC" w:rsidP="00ED48A3">
      <w:pPr>
        <w:pStyle w:val="EMEANormal"/>
        <w:rPr>
          <w:szCs w:val="22"/>
          <w:highlight w:val="yellow"/>
          <w:lang w:val="cs-CZ"/>
        </w:rPr>
      </w:pPr>
    </w:p>
    <w:p w14:paraId="599AB2F6" w14:textId="77777777" w:rsidR="002F02FC" w:rsidRPr="001B4A02" w:rsidRDefault="002F02FC" w:rsidP="00ED48A3">
      <w:pPr>
        <w:pStyle w:val="EMEANormal"/>
        <w:rPr>
          <w:szCs w:val="22"/>
          <w:highlight w:val="yellow"/>
          <w:lang w:val="cs-CZ"/>
        </w:rPr>
      </w:pPr>
    </w:p>
    <w:p w14:paraId="1ED06B06" w14:textId="77777777" w:rsidR="002F02FC" w:rsidRPr="001B4A02" w:rsidRDefault="00000000" w:rsidP="00ED48A3">
      <w:pPr>
        <w:pStyle w:val="EMEAHeadingBoxed1"/>
        <w:spacing w:beforeLines="0" w:afterLines="0" w:after="0"/>
        <w:rPr>
          <w:rFonts w:ascii="Times New Roman" w:hAnsi="Times New Roman"/>
          <w:szCs w:val="22"/>
          <w:lang w:val="cs-CZ"/>
        </w:rPr>
      </w:pPr>
      <w:r w:rsidRPr="001B4A02">
        <w:rPr>
          <w:rFonts w:ascii="Times New Roman" w:hAnsi="Times New Roman"/>
          <w:szCs w:val="22"/>
          <w:lang w:val="cs-CZ"/>
        </w:rPr>
        <w:t>1.</w:t>
      </w:r>
      <w:r w:rsidRPr="001B4A02">
        <w:rPr>
          <w:rFonts w:ascii="Times New Roman" w:hAnsi="Times New Roman"/>
          <w:szCs w:val="22"/>
          <w:lang w:val="cs-CZ"/>
        </w:rPr>
        <w:tab/>
        <w:t>NÁZEV LÉČIVÉHO PŘÍPRAVKU</w:t>
      </w:r>
    </w:p>
    <w:p w14:paraId="3CA68EFC" w14:textId="77777777" w:rsidR="002F02FC" w:rsidRPr="001B4A02" w:rsidRDefault="002F02FC" w:rsidP="00ED48A3">
      <w:pPr>
        <w:ind w:left="540" w:hanging="540"/>
        <w:rPr>
          <w:szCs w:val="22"/>
          <w:highlight w:val="yellow"/>
        </w:rPr>
      </w:pPr>
    </w:p>
    <w:p w14:paraId="5CC8302A" w14:textId="77777777" w:rsidR="002F02FC" w:rsidRPr="001B4A02" w:rsidRDefault="00000000" w:rsidP="004D0686">
      <w:pPr>
        <w:outlineLvl w:val="0"/>
        <w:rPr>
          <w:szCs w:val="22"/>
        </w:rPr>
      </w:pPr>
      <w:r w:rsidRPr="001B4A02">
        <w:rPr>
          <w:szCs w:val="22"/>
        </w:rPr>
        <w:t>Humira 80 mg injekční roztok v předplněné injekční stříkačce</w:t>
      </w:r>
    </w:p>
    <w:p w14:paraId="06EC9434" w14:textId="77777777" w:rsidR="002F02FC" w:rsidRPr="001B4A02" w:rsidRDefault="00000000" w:rsidP="00ED48A3">
      <w:pPr>
        <w:ind w:left="540" w:hanging="540"/>
        <w:rPr>
          <w:szCs w:val="22"/>
        </w:rPr>
      </w:pPr>
      <w:r w:rsidRPr="001B4A02">
        <w:rPr>
          <w:szCs w:val="22"/>
        </w:rPr>
        <w:t>adalimumab</w:t>
      </w:r>
      <w:del w:id="9776" w:author="Abbvie02" w:date="2025-05-16T11:49:00Z">
        <w:r w:rsidRPr="001B4A02">
          <w:rPr>
            <w:szCs w:val="22"/>
          </w:rPr>
          <w:delText>um</w:delText>
        </w:r>
      </w:del>
    </w:p>
    <w:p w14:paraId="3CFE334E" w14:textId="77777777" w:rsidR="002F02FC" w:rsidRPr="001B4A02" w:rsidRDefault="002F02FC" w:rsidP="00ED48A3">
      <w:pPr>
        <w:rPr>
          <w:szCs w:val="22"/>
        </w:rPr>
      </w:pPr>
    </w:p>
    <w:p w14:paraId="7F031BD0" w14:textId="77777777" w:rsidR="002F02FC" w:rsidRPr="001B4A02" w:rsidRDefault="002F02FC" w:rsidP="00ED48A3"/>
    <w:p w14:paraId="354EEAA8" w14:textId="77777777" w:rsidR="002F02FC" w:rsidRPr="001B4A02" w:rsidRDefault="00000000" w:rsidP="00ED48A3">
      <w:pPr>
        <w:pStyle w:val="EMEAHeadingBoxed"/>
        <w:spacing w:beforeLines="0" w:afterLines="0"/>
        <w:rPr>
          <w:rFonts w:ascii="Times New Roman" w:hAnsi="Times New Roman"/>
          <w:szCs w:val="22"/>
          <w:lang w:val="cs-CZ"/>
        </w:rPr>
      </w:pPr>
      <w:r w:rsidRPr="001B4A02">
        <w:rPr>
          <w:rFonts w:ascii="Times New Roman" w:hAnsi="Times New Roman"/>
          <w:szCs w:val="22"/>
          <w:lang w:val="cs-CZ"/>
        </w:rPr>
        <w:t>2.</w:t>
      </w:r>
      <w:r w:rsidRPr="001B4A02">
        <w:rPr>
          <w:rFonts w:ascii="Times New Roman" w:hAnsi="Times New Roman"/>
          <w:szCs w:val="22"/>
          <w:lang w:val="cs-CZ"/>
        </w:rPr>
        <w:tab/>
        <w:t>OBSAH LÉČIVÉ LÁTKY</w:t>
      </w:r>
    </w:p>
    <w:p w14:paraId="2F8CFEAE" w14:textId="77777777" w:rsidR="002F02FC" w:rsidRPr="001B4A02" w:rsidRDefault="002F02FC" w:rsidP="00ED48A3">
      <w:pPr>
        <w:ind w:left="540" w:hanging="540"/>
        <w:rPr>
          <w:szCs w:val="22"/>
        </w:rPr>
      </w:pPr>
    </w:p>
    <w:p w14:paraId="4F133645" w14:textId="77777777" w:rsidR="002F02FC" w:rsidRPr="001B4A02" w:rsidRDefault="00000000" w:rsidP="00ED48A3">
      <w:pPr>
        <w:rPr>
          <w:szCs w:val="22"/>
        </w:rPr>
      </w:pPr>
      <w:r w:rsidRPr="001B4A02">
        <w:rPr>
          <w:szCs w:val="22"/>
        </w:rPr>
        <w:t xml:space="preserve">Jedna 0,8ml předplněná injekční stříkačka obsahuje </w:t>
      </w:r>
      <w:del w:id="9777" w:author="Abbvie02" w:date="2025-05-16T11:49:00Z">
        <w:r w:rsidRPr="001B4A02">
          <w:rPr>
            <w:szCs w:val="22"/>
          </w:rPr>
          <w:delText xml:space="preserve">adalimumabum </w:delText>
        </w:r>
      </w:del>
      <w:r w:rsidRPr="001B4A02">
        <w:rPr>
          <w:szCs w:val="22"/>
        </w:rPr>
        <w:t>80</w:t>
      </w:r>
      <w:r w:rsidR="00874DE1">
        <w:rPr>
          <w:szCs w:val="22"/>
        </w:rPr>
        <w:t> mg</w:t>
      </w:r>
      <w:ins w:id="9778" w:author="Abbvie02" w:date="2025-05-16T11:49:00Z">
        <w:r w:rsidR="00BB1309" w:rsidRPr="00BB1309">
          <w:rPr>
            <w:szCs w:val="22"/>
          </w:rPr>
          <w:t xml:space="preserve"> </w:t>
        </w:r>
        <w:r w:rsidR="00BB1309" w:rsidRPr="001B4A02">
          <w:rPr>
            <w:szCs w:val="22"/>
          </w:rPr>
          <w:t>adalimumabu</w:t>
        </w:r>
      </w:ins>
      <w:r w:rsidRPr="001B4A02">
        <w:rPr>
          <w:szCs w:val="22"/>
        </w:rPr>
        <w:t>.</w:t>
      </w:r>
    </w:p>
    <w:p w14:paraId="2F15E5D6" w14:textId="77777777" w:rsidR="002F02FC" w:rsidRPr="001B4A02" w:rsidRDefault="002F02FC" w:rsidP="00ED48A3">
      <w:pPr>
        <w:ind w:left="540" w:hanging="540"/>
        <w:rPr>
          <w:szCs w:val="22"/>
          <w:highlight w:val="yellow"/>
        </w:rPr>
      </w:pPr>
    </w:p>
    <w:p w14:paraId="761F0460" w14:textId="77777777" w:rsidR="008349B2" w:rsidRPr="001B4A02" w:rsidRDefault="008349B2" w:rsidP="00ED48A3">
      <w:pPr>
        <w:ind w:left="540" w:hanging="540"/>
        <w:rPr>
          <w:szCs w:val="22"/>
          <w:highlight w:val="yellow"/>
        </w:rPr>
      </w:pPr>
    </w:p>
    <w:p w14:paraId="1EF7DB93" w14:textId="77777777" w:rsidR="002F02FC" w:rsidRPr="001B4A02" w:rsidRDefault="00000000" w:rsidP="00ED48A3">
      <w:pPr>
        <w:pStyle w:val="EMEAHeadingBoxed"/>
        <w:spacing w:beforeLines="0" w:afterLines="0"/>
        <w:rPr>
          <w:rFonts w:ascii="Times New Roman" w:hAnsi="Times New Roman"/>
          <w:szCs w:val="22"/>
          <w:lang w:val="cs-CZ"/>
        </w:rPr>
      </w:pPr>
      <w:r w:rsidRPr="001B4A02">
        <w:rPr>
          <w:rFonts w:ascii="Times New Roman" w:hAnsi="Times New Roman"/>
          <w:szCs w:val="22"/>
          <w:lang w:val="cs-CZ"/>
        </w:rPr>
        <w:t>3.</w:t>
      </w:r>
      <w:r w:rsidRPr="001B4A02">
        <w:rPr>
          <w:rFonts w:ascii="Times New Roman" w:hAnsi="Times New Roman"/>
          <w:szCs w:val="22"/>
          <w:lang w:val="cs-CZ"/>
        </w:rPr>
        <w:tab/>
        <w:t>SEZNAM POMOCNÝCH LÁTEK</w:t>
      </w:r>
    </w:p>
    <w:p w14:paraId="25AF6441" w14:textId="77777777" w:rsidR="002F02FC" w:rsidRPr="001B4A02" w:rsidRDefault="002F02FC" w:rsidP="00ED48A3">
      <w:pPr>
        <w:rPr>
          <w:szCs w:val="22"/>
          <w:highlight w:val="yellow"/>
        </w:rPr>
      </w:pPr>
    </w:p>
    <w:p w14:paraId="54A5E0E3" w14:textId="77777777" w:rsidR="002F02FC" w:rsidRPr="001B4A02" w:rsidRDefault="00000000" w:rsidP="00ED48A3">
      <w:pPr>
        <w:ind w:left="0" w:firstLine="0"/>
        <w:rPr>
          <w:szCs w:val="22"/>
          <w:highlight w:val="yellow"/>
        </w:rPr>
      </w:pPr>
      <w:r w:rsidRPr="001B4A02">
        <w:rPr>
          <w:szCs w:val="22"/>
        </w:rPr>
        <w:t>Pomocné látky: mannitol, polysorbát 80</w:t>
      </w:r>
      <w:r w:rsidR="002378E0">
        <w:rPr>
          <w:szCs w:val="22"/>
        </w:rPr>
        <w:t xml:space="preserve"> a </w:t>
      </w:r>
      <w:r w:rsidRPr="001B4A02">
        <w:rPr>
          <w:szCs w:val="22"/>
        </w:rPr>
        <w:t xml:space="preserve">voda </w:t>
      </w:r>
      <w:r w:rsidR="00202301" w:rsidRPr="001B4A02">
        <w:t>pro</w:t>
      </w:r>
      <w:r w:rsidRPr="001B4A02">
        <w:rPr>
          <w:szCs w:val="22"/>
        </w:rPr>
        <w:t xml:space="preserve"> injekci. Další informace naleznete v příbalové informaci.</w:t>
      </w:r>
    </w:p>
    <w:p w14:paraId="7AB1450B" w14:textId="77777777" w:rsidR="002F02FC" w:rsidRPr="001B4A02" w:rsidRDefault="002F02FC" w:rsidP="00ED48A3">
      <w:pPr>
        <w:rPr>
          <w:szCs w:val="22"/>
          <w:highlight w:val="yellow"/>
        </w:rPr>
      </w:pPr>
    </w:p>
    <w:p w14:paraId="7DB2BC5D" w14:textId="77777777" w:rsidR="00981A5A" w:rsidRPr="001B4A02" w:rsidRDefault="00981A5A" w:rsidP="00ED48A3">
      <w:pPr>
        <w:rPr>
          <w:szCs w:val="22"/>
          <w:highlight w:val="yellow"/>
        </w:rPr>
      </w:pPr>
    </w:p>
    <w:p w14:paraId="4CF14846" w14:textId="77777777" w:rsidR="002F02FC" w:rsidRPr="001B4A02" w:rsidRDefault="00000000" w:rsidP="00ED48A3">
      <w:pPr>
        <w:pStyle w:val="EMEAHeadingBoxed"/>
        <w:spacing w:beforeLines="0" w:afterLines="0"/>
        <w:rPr>
          <w:rFonts w:ascii="Times New Roman" w:hAnsi="Times New Roman"/>
          <w:szCs w:val="22"/>
          <w:lang w:val="cs-CZ"/>
        </w:rPr>
      </w:pPr>
      <w:r w:rsidRPr="001B4A02">
        <w:rPr>
          <w:rFonts w:ascii="Times New Roman" w:hAnsi="Times New Roman"/>
          <w:szCs w:val="22"/>
          <w:lang w:val="cs-CZ"/>
        </w:rPr>
        <w:t>4.</w:t>
      </w:r>
      <w:r w:rsidRPr="001B4A02">
        <w:rPr>
          <w:rFonts w:ascii="Times New Roman" w:hAnsi="Times New Roman"/>
          <w:szCs w:val="22"/>
          <w:lang w:val="cs-CZ"/>
        </w:rPr>
        <w:tab/>
        <w:t>LÉKOVÁ FORMA A OBSAH BALENÍ</w:t>
      </w:r>
    </w:p>
    <w:p w14:paraId="5F6E9572" w14:textId="77777777" w:rsidR="002F02FC" w:rsidRPr="001B4A02" w:rsidRDefault="002F02FC" w:rsidP="00ED48A3">
      <w:pPr>
        <w:ind w:left="540" w:hanging="540"/>
        <w:rPr>
          <w:szCs w:val="22"/>
          <w:highlight w:val="yellow"/>
        </w:rPr>
      </w:pPr>
    </w:p>
    <w:p w14:paraId="30682576" w14:textId="77777777" w:rsidR="009954F1" w:rsidRPr="001B4A02" w:rsidRDefault="00000000" w:rsidP="00ED48A3">
      <w:pPr>
        <w:rPr>
          <w:szCs w:val="22"/>
        </w:rPr>
      </w:pPr>
      <w:r w:rsidRPr="001B4A02">
        <w:rPr>
          <w:highlight w:val="lightGray"/>
        </w:rPr>
        <w:t>Injekční roztok</w:t>
      </w:r>
    </w:p>
    <w:p w14:paraId="2671DAB0" w14:textId="77777777" w:rsidR="002F02FC" w:rsidRPr="001B4A02" w:rsidRDefault="00000000" w:rsidP="00ED48A3">
      <w:pPr>
        <w:rPr>
          <w:szCs w:val="22"/>
        </w:rPr>
      </w:pPr>
      <w:r w:rsidRPr="001B4A02">
        <w:rPr>
          <w:szCs w:val="22"/>
        </w:rPr>
        <w:t xml:space="preserve">1 předplněná injekční stříkačka </w:t>
      </w:r>
    </w:p>
    <w:p w14:paraId="78DF5BF7" w14:textId="77777777" w:rsidR="002F02FC" w:rsidRPr="001B4A02" w:rsidRDefault="00000000" w:rsidP="00ED48A3">
      <w:pPr>
        <w:rPr>
          <w:szCs w:val="22"/>
        </w:rPr>
      </w:pPr>
      <w:r w:rsidRPr="001B4A02">
        <w:rPr>
          <w:szCs w:val="22"/>
        </w:rPr>
        <w:t>1 tamp</w:t>
      </w:r>
      <w:ins w:id="9779" w:author="Abbvie02" w:date="2025-05-16T12:26:00Z">
        <w:r w:rsidR="00576B2A">
          <w:rPr>
            <w:szCs w:val="22"/>
          </w:rPr>
          <w:t>o</w:t>
        </w:r>
      </w:ins>
      <w:del w:id="9780" w:author="Abbvie02" w:date="2025-05-16T12:26:00Z">
        <w:r w:rsidRPr="001B4A02">
          <w:rPr>
            <w:szCs w:val="22"/>
          </w:rPr>
          <w:delText>ó</w:delText>
        </w:r>
      </w:del>
      <w:r w:rsidRPr="001B4A02">
        <w:rPr>
          <w:szCs w:val="22"/>
        </w:rPr>
        <w:t>n napuštěný alkoholem</w:t>
      </w:r>
    </w:p>
    <w:p w14:paraId="2BD7FE41" w14:textId="77777777" w:rsidR="002F02FC" w:rsidRPr="001B4A02" w:rsidRDefault="002F02FC" w:rsidP="00ED48A3">
      <w:pPr>
        <w:ind w:left="540" w:hanging="540"/>
        <w:rPr>
          <w:szCs w:val="22"/>
          <w:highlight w:val="yellow"/>
        </w:rPr>
      </w:pPr>
    </w:p>
    <w:p w14:paraId="1841D045" w14:textId="77777777" w:rsidR="002F02FC" w:rsidRPr="001B4A02" w:rsidRDefault="002F02FC" w:rsidP="00ED48A3">
      <w:pPr>
        <w:ind w:left="540" w:hanging="540"/>
        <w:rPr>
          <w:i/>
          <w:szCs w:val="22"/>
          <w:highlight w:val="yellow"/>
        </w:rPr>
      </w:pPr>
    </w:p>
    <w:p w14:paraId="2FDF9393" w14:textId="77777777" w:rsidR="002F02FC" w:rsidRPr="001B4A02" w:rsidRDefault="00000000" w:rsidP="00ED48A3">
      <w:pPr>
        <w:pStyle w:val="EMEAHeadingBoxed"/>
        <w:spacing w:beforeLines="0" w:afterLines="0"/>
        <w:rPr>
          <w:rFonts w:ascii="Times New Roman" w:hAnsi="Times New Roman"/>
          <w:szCs w:val="22"/>
          <w:lang w:val="cs-CZ"/>
        </w:rPr>
      </w:pPr>
      <w:r w:rsidRPr="001B4A02">
        <w:rPr>
          <w:rFonts w:ascii="Times New Roman" w:hAnsi="Times New Roman"/>
          <w:szCs w:val="22"/>
          <w:lang w:val="cs-CZ"/>
        </w:rPr>
        <w:t>5.</w:t>
      </w:r>
      <w:r w:rsidRPr="001B4A02">
        <w:rPr>
          <w:rFonts w:ascii="Times New Roman" w:hAnsi="Times New Roman"/>
          <w:szCs w:val="22"/>
          <w:lang w:val="cs-CZ"/>
        </w:rPr>
        <w:tab/>
        <w:t>ZPŮSOB A CESTA PODÁNÍ</w:t>
      </w:r>
    </w:p>
    <w:p w14:paraId="2F2D4432" w14:textId="77777777" w:rsidR="002F02FC" w:rsidRPr="001B4A02" w:rsidRDefault="002F02FC" w:rsidP="00ED48A3">
      <w:pPr>
        <w:ind w:left="540" w:hanging="540"/>
        <w:rPr>
          <w:szCs w:val="22"/>
          <w:highlight w:val="yellow"/>
        </w:rPr>
      </w:pPr>
    </w:p>
    <w:p w14:paraId="769E0B2D" w14:textId="77777777" w:rsidR="002F02FC" w:rsidRPr="001B4A02" w:rsidRDefault="00000000" w:rsidP="00ED48A3">
      <w:pPr>
        <w:rPr>
          <w:szCs w:val="22"/>
        </w:rPr>
      </w:pPr>
      <w:r w:rsidRPr="001B4A02">
        <w:rPr>
          <w:szCs w:val="22"/>
        </w:rPr>
        <w:t>Subkutánní podání</w:t>
      </w:r>
    </w:p>
    <w:p w14:paraId="281FB576" w14:textId="77777777" w:rsidR="002F02FC" w:rsidRPr="001B4A02" w:rsidRDefault="002F02FC" w:rsidP="00ED48A3">
      <w:pPr>
        <w:rPr>
          <w:szCs w:val="22"/>
        </w:rPr>
      </w:pPr>
    </w:p>
    <w:p w14:paraId="638129EF" w14:textId="77777777" w:rsidR="002F02FC" w:rsidRPr="001B4A02" w:rsidRDefault="00000000" w:rsidP="00ED48A3">
      <w:pPr>
        <w:rPr>
          <w:szCs w:val="22"/>
        </w:rPr>
      </w:pPr>
      <w:r w:rsidRPr="001B4A02">
        <w:rPr>
          <w:szCs w:val="22"/>
        </w:rPr>
        <w:t>Před použitím si přečtěte příbalovou informaci.</w:t>
      </w:r>
    </w:p>
    <w:p w14:paraId="6D32AD42" w14:textId="77777777" w:rsidR="009954F1" w:rsidRPr="001B4A02" w:rsidRDefault="009954F1" w:rsidP="00ED48A3">
      <w:pPr>
        <w:rPr>
          <w:szCs w:val="22"/>
        </w:rPr>
      </w:pPr>
    </w:p>
    <w:p w14:paraId="4C2DAB58" w14:textId="77777777" w:rsidR="009954F1" w:rsidRPr="001B4A02" w:rsidRDefault="00000000" w:rsidP="00ED48A3">
      <w:pPr>
        <w:rPr>
          <w:szCs w:val="22"/>
        </w:rPr>
      </w:pPr>
      <w:r w:rsidRPr="001B4A02">
        <w:rPr>
          <w:szCs w:val="22"/>
        </w:rPr>
        <w:t>Pouze k jednorázovému použití.</w:t>
      </w:r>
    </w:p>
    <w:p w14:paraId="0F133E3E" w14:textId="77777777" w:rsidR="002F02FC" w:rsidRPr="001B4A02" w:rsidRDefault="002F02FC" w:rsidP="00ED48A3">
      <w:pPr>
        <w:ind w:left="540" w:hanging="540"/>
        <w:rPr>
          <w:szCs w:val="22"/>
          <w:highlight w:val="yellow"/>
        </w:rPr>
      </w:pPr>
    </w:p>
    <w:p w14:paraId="704779E2" w14:textId="77777777" w:rsidR="002F02FC" w:rsidRPr="001B4A02" w:rsidRDefault="002F02FC" w:rsidP="00ED48A3">
      <w:pPr>
        <w:ind w:left="540" w:hanging="540"/>
        <w:rPr>
          <w:szCs w:val="22"/>
          <w:highlight w:val="yellow"/>
        </w:rPr>
      </w:pPr>
    </w:p>
    <w:p w14:paraId="011BB723" w14:textId="77777777" w:rsidR="002F02FC" w:rsidRPr="001B4A02" w:rsidRDefault="00000000" w:rsidP="00ED48A3">
      <w:pPr>
        <w:pStyle w:val="EMEAHeadingBoxed"/>
        <w:spacing w:beforeLines="0" w:afterLines="0"/>
        <w:ind w:left="550" w:hanging="550"/>
        <w:rPr>
          <w:rFonts w:ascii="Times New Roman" w:hAnsi="Times New Roman"/>
          <w:szCs w:val="22"/>
          <w:lang w:val="cs-CZ"/>
        </w:rPr>
      </w:pPr>
      <w:r w:rsidRPr="001B4A02">
        <w:rPr>
          <w:rFonts w:ascii="Times New Roman" w:hAnsi="Times New Roman"/>
          <w:szCs w:val="22"/>
          <w:lang w:val="cs-CZ"/>
        </w:rPr>
        <w:t>6.</w:t>
      </w:r>
      <w:r w:rsidRPr="001B4A02">
        <w:rPr>
          <w:rFonts w:ascii="Times New Roman" w:hAnsi="Times New Roman"/>
          <w:szCs w:val="22"/>
          <w:lang w:val="cs-CZ"/>
        </w:rPr>
        <w:tab/>
        <w:t>ZVLÁŠTNÍ UPOZORNĚNÍ, ŽE LÉČIVÝ PŘÍPRAVEK MUSÍ BÝT UCHOVÁVÁN MIMO DOHLED A DOSAH DĚTÍ</w:t>
      </w:r>
    </w:p>
    <w:p w14:paraId="1F4D59B6" w14:textId="77777777" w:rsidR="002F02FC" w:rsidRPr="001B4A02" w:rsidRDefault="002F02FC" w:rsidP="00ED48A3">
      <w:pPr>
        <w:ind w:left="540" w:hanging="540"/>
        <w:rPr>
          <w:szCs w:val="22"/>
          <w:highlight w:val="yellow"/>
        </w:rPr>
      </w:pPr>
    </w:p>
    <w:p w14:paraId="75776418" w14:textId="77777777" w:rsidR="002F02FC" w:rsidRPr="001B4A02" w:rsidRDefault="00000000" w:rsidP="007F7787">
      <w:pPr>
        <w:ind w:left="0" w:firstLine="0"/>
        <w:rPr>
          <w:szCs w:val="22"/>
        </w:rPr>
      </w:pPr>
      <w:r w:rsidRPr="001B4A02">
        <w:rPr>
          <w:szCs w:val="22"/>
        </w:rPr>
        <w:t>Uchovávejte mimo dohled</w:t>
      </w:r>
      <w:r w:rsidR="002378E0">
        <w:rPr>
          <w:szCs w:val="22"/>
        </w:rPr>
        <w:t xml:space="preserve"> a </w:t>
      </w:r>
      <w:r w:rsidRPr="001B4A02">
        <w:rPr>
          <w:szCs w:val="22"/>
        </w:rPr>
        <w:t>dosah dětí.</w:t>
      </w:r>
    </w:p>
    <w:p w14:paraId="0047F548" w14:textId="77777777" w:rsidR="002F02FC" w:rsidRPr="001B4A02" w:rsidRDefault="002F02FC" w:rsidP="00ED48A3">
      <w:pPr>
        <w:ind w:left="540" w:hanging="540"/>
        <w:rPr>
          <w:szCs w:val="22"/>
          <w:highlight w:val="yellow"/>
        </w:rPr>
      </w:pPr>
    </w:p>
    <w:p w14:paraId="63996D19" w14:textId="77777777" w:rsidR="002F02FC" w:rsidRPr="001B4A02" w:rsidRDefault="002F02FC" w:rsidP="00ED48A3">
      <w:pPr>
        <w:ind w:left="540" w:hanging="540"/>
        <w:rPr>
          <w:szCs w:val="22"/>
          <w:highlight w:val="yellow"/>
        </w:rPr>
      </w:pPr>
    </w:p>
    <w:p w14:paraId="0FFB3CCA" w14:textId="77777777" w:rsidR="002F02FC" w:rsidRPr="001B4A02" w:rsidRDefault="00000000" w:rsidP="00ED48A3">
      <w:pPr>
        <w:pStyle w:val="EMEAHeadingBoxedEmpty"/>
        <w:spacing w:beforeLines="0"/>
        <w:rPr>
          <w:rFonts w:ascii="Times New Roman" w:hAnsi="Times New Roman"/>
          <w:szCs w:val="22"/>
          <w:lang w:val="cs-CZ"/>
        </w:rPr>
      </w:pPr>
      <w:r w:rsidRPr="001B4A02">
        <w:rPr>
          <w:rFonts w:ascii="Times New Roman" w:hAnsi="Times New Roman"/>
          <w:szCs w:val="22"/>
          <w:lang w:val="cs-CZ"/>
        </w:rPr>
        <w:t>7.</w:t>
      </w:r>
      <w:r w:rsidRPr="001B4A02">
        <w:rPr>
          <w:rFonts w:ascii="Times New Roman" w:hAnsi="Times New Roman"/>
          <w:szCs w:val="22"/>
          <w:lang w:val="cs-CZ"/>
        </w:rPr>
        <w:tab/>
        <w:t>DALŠÍ ZVLÁŠTNÍ UPOZORNĚNÍ, POKUD JE POTŘEBNÉ</w:t>
      </w:r>
    </w:p>
    <w:p w14:paraId="3457D80B" w14:textId="77777777" w:rsidR="002F02FC" w:rsidRPr="001B4A02" w:rsidRDefault="002F02FC" w:rsidP="00ED48A3">
      <w:pPr>
        <w:ind w:left="540" w:hanging="540"/>
        <w:rPr>
          <w:szCs w:val="22"/>
          <w:highlight w:val="yellow"/>
        </w:rPr>
      </w:pPr>
    </w:p>
    <w:p w14:paraId="2907DC7D" w14:textId="77777777" w:rsidR="002F02FC" w:rsidRPr="001B4A02" w:rsidRDefault="002F02FC" w:rsidP="00ED48A3">
      <w:pPr>
        <w:ind w:left="540" w:hanging="540"/>
        <w:rPr>
          <w:szCs w:val="22"/>
          <w:highlight w:val="yellow"/>
        </w:rPr>
      </w:pPr>
    </w:p>
    <w:p w14:paraId="2DA26D9F" w14:textId="77777777" w:rsidR="002F02FC" w:rsidRPr="001B4A02" w:rsidRDefault="00000000" w:rsidP="00ED48A3">
      <w:pPr>
        <w:pStyle w:val="EMEAHeadingBoxed1"/>
        <w:spacing w:beforeLines="0" w:afterLines="0" w:after="0"/>
        <w:rPr>
          <w:rFonts w:ascii="Times New Roman" w:hAnsi="Times New Roman"/>
          <w:szCs w:val="22"/>
          <w:lang w:val="cs-CZ"/>
        </w:rPr>
      </w:pPr>
      <w:r w:rsidRPr="001B4A02">
        <w:rPr>
          <w:rFonts w:ascii="Times New Roman" w:hAnsi="Times New Roman"/>
          <w:szCs w:val="22"/>
          <w:lang w:val="cs-CZ"/>
        </w:rPr>
        <w:t>8.</w:t>
      </w:r>
      <w:r w:rsidRPr="001B4A02">
        <w:rPr>
          <w:rFonts w:ascii="Times New Roman" w:hAnsi="Times New Roman"/>
          <w:szCs w:val="22"/>
          <w:lang w:val="cs-CZ"/>
        </w:rPr>
        <w:tab/>
        <w:t>POUŽITELNOST</w:t>
      </w:r>
    </w:p>
    <w:p w14:paraId="4B5427CE" w14:textId="77777777" w:rsidR="002F02FC" w:rsidRPr="001B4A02" w:rsidRDefault="002F02FC" w:rsidP="00ED48A3">
      <w:pPr>
        <w:ind w:left="540" w:hanging="540"/>
        <w:rPr>
          <w:szCs w:val="22"/>
          <w:highlight w:val="yellow"/>
        </w:rPr>
      </w:pPr>
    </w:p>
    <w:p w14:paraId="7687E8C4" w14:textId="77777777" w:rsidR="002F02FC" w:rsidRPr="001B4A02" w:rsidRDefault="00000000" w:rsidP="007F7787">
      <w:pPr>
        <w:ind w:left="0" w:firstLine="0"/>
        <w:rPr>
          <w:szCs w:val="22"/>
        </w:rPr>
      </w:pPr>
      <w:r w:rsidRPr="001B4A02">
        <w:rPr>
          <w:szCs w:val="22"/>
        </w:rPr>
        <w:t>EXP</w:t>
      </w:r>
    </w:p>
    <w:p w14:paraId="56F9ACB9" w14:textId="77777777" w:rsidR="002F02FC" w:rsidRPr="001B4A02" w:rsidRDefault="002F02FC" w:rsidP="00ED48A3">
      <w:pPr>
        <w:ind w:left="540" w:hanging="540"/>
        <w:rPr>
          <w:szCs w:val="22"/>
          <w:highlight w:val="yellow"/>
        </w:rPr>
      </w:pPr>
    </w:p>
    <w:p w14:paraId="4364296C" w14:textId="77777777" w:rsidR="002F02FC" w:rsidRPr="001B4A02" w:rsidRDefault="002F02FC" w:rsidP="00ED48A3">
      <w:pPr>
        <w:ind w:left="540" w:hanging="540"/>
        <w:rPr>
          <w:szCs w:val="22"/>
          <w:highlight w:val="yellow"/>
        </w:rPr>
      </w:pPr>
    </w:p>
    <w:p w14:paraId="7495E381" w14:textId="77777777" w:rsidR="002F02FC" w:rsidRPr="001B4A02" w:rsidRDefault="00000000" w:rsidP="00ED48A3">
      <w:pPr>
        <w:pStyle w:val="EMEAHeadingBoxed"/>
        <w:keepNext/>
        <w:spacing w:beforeLines="0" w:afterLines="0"/>
        <w:rPr>
          <w:rFonts w:ascii="Times New Roman" w:hAnsi="Times New Roman"/>
          <w:szCs w:val="22"/>
          <w:lang w:val="cs-CZ"/>
        </w:rPr>
      </w:pPr>
      <w:r w:rsidRPr="001B4A02">
        <w:rPr>
          <w:rFonts w:ascii="Times New Roman" w:hAnsi="Times New Roman"/>
          <w:szCs w:val="22"/>
          <w:lang w:val="cs-CZ"/>
        </w:rPr>
        <w:t>9.</w:t>
      </w:r>
      <w:r w:rsidRPr="001B4A02">
        <w:rPr>
          <w:rFonts w:ascii="Times New Roman" w:hAnsi="Times New Roman"/>
          <w:szCs w:val="22"/>
          <w:lang w:val="cs-CZ"/>
        </w:rPr>
        <w:tab/>
      </w:r>
      <w:r w:rsidR="00EA6C92" w:rsidRPr="001B4A02">
        <w:rPr>
          <w:rFonts w:ascii="Times New Roman" w:hAnsi="Times New Roman"/>
          <w:szCs w:val="22"/>
          <w:lang w:val="cs-CZ"/>
        </w:rPr>
        <w:t>ZVLÁŠTNÍ PODMÍNKY PRO UCHOVÁVÁNÍ</w:t>
      </w:r>
    </w:p>
    <w:p w14:paraId="3545D2CF" w14:textId="77777777" w:rsidR="002F02FC" w:rsidRPr="001B4A02" w:rsidRDefault="002F02FC" w:rsidP="00ED48A3">
      <w:pPr>
        <w:keepNext/>
        <w:ind w:left="540" w:hanging="540"/>
        <w:rPr>
          <w:szCs w:val="22"/>
          <w:highlight w:val="yellow"/>
        </w:rPr>
      </w:pPr>
    </w:p>
    <w:p w14:paraId="52B52E48" w14:textId="77777777" w:rsidR="00EA6C92" w:rsidRPr="001B4A02" w:rsidRDefault="00000000" w:rsidP="00ED48A3">
      <w:pPr>
        <w:keepNext/>
        <w:ind w:left="0" w:firstLine="0"/>
        <w:rPr>
          <w:szCs w:val="22"/>
        </w:rPr>
      </w:pPr>
      <w:r w:rsidRPr="001B4A02">
        <w:rPr>
          <w:szCs w:val="22"/>
        </w:rPr>
        <w:t>Uchovávejte v chladničce. Chraňte před mrazem.</w:t>
      </w:r>
    </w:p>
    <w:p w14:paraId="0BBD6D41" w14:textId="77777777" w:rsidR="00EA6C92" w:rsidRPr="001B4A02" w:rsidRDefault="00000000" w:rsidP="00ED48A3">
      <w:pPr>
        <w:keepNext/>
        <w:rPr>
          <w:szCs w:val="22"/>
        </w:rPr>
      </w:pPr>
      <w:r w:rsidRPr="001B4A02">
        <w:rPr>
          <w:szCs w:val="22"/>
        </w:rPr>
        <w:t>Pro další možnosti uchovávání viz příbalov</w:t>
      </w:r>
      <w:r w:rsidR="00DE3467">
        <w:rPr>
          <w:szCs w:val="22"/>
        </w:rPr>
        <w:t>á</w:t>
      </w:r>
      <w:r w:rsidRPr="001B4A02">
        <w:rPr>
          <w:szCs w:val="22"/>
        </w:rPr>
        <w:t xml:space="preserve"> informac</w:t>
      </w:r>
      <w:r w:rsidR="00DE3467">
        <w:rPr>
          <w:szCs w:val="22"/>
        </w:rPr>
        <w:t>e</w:t>
      </w:r>
      <w:r w:rsidRPr="001B4A02">
        <w:rPr>
          <w:szCs w:val="22"/>
        </w:rPr>
        <w:t>.</w:t>
      </w:r>
    </w:p>
    <w:p w14:paraId="7D151C12" w14:textId="77777777" w:rsidR="00EA6C92" w:rsidRPr="001B4A02" w:rsidRDefault="00EA6C92" w:rsidP="00ED48A3">
      <w:pPr>
        <w:keepNext/>
        <w:rPr>
          <w:szCs w:val="22"/>
        </w:rPr>
      </w:pPr>
    </w:p>
    <w:p w14:paraId="2DE2C6FE" w14:textId="77777777" w:rsidR="00EA6C92" w:rsidRPr="001B4A02" w:rsidRDefault="00000000" w:rsidP="00ED48A3">
      <w:pPr>
        <w:rPr>
          <w:szCs w:val="22"/>
        </w:rPr>
      </w:pPr>
      <w:r w:rsidRPr="001B4A02">
        <w:rPr>
          <w:szCs w:val="22"/>
        </w:rPr>
        <w:t>Uchovávejte injekční stříkačku v krabičce, aby byl přípravek chráněn před světlem.</w:t>
      </w:r>
    </w:p>
    <w:p w14:paraId="6FF8B9D7" w14:textId="77777777" w:rsidR="002F02FC" w:rsidRPr="001B4A02" w:rsidRDefault="002F02FC" w:rsidP="00ED48A3">
      <w:pPr>
        <w:ind w:left="540" w:hanging="540"/>
        <w:rPr>
          <w:szCs w:val="22"/>
          <w:highlight w:val="yellow"/>
        </w:rPr>
      </w:pPr>
    </w:p>
    <w:p w14:paraId="33FE5675" w14:textId="77777777" w:rsidR="002F02FC" w:rsidRPr="001B4A02" w:rsidRDefault="002F02FC" w:rsidP="00ED48A3">
      <w:pPr>
        <w:ind w:left="540" w:hanging="540"/>
        <w:rPr>
          <w:szCs w:val="22"/>
        </w:rPr>
      </w:pPr>
    </w:p>
    <w:p w14:paraId="3F4788F7" w14:textId="77777777" w:rsidR="002F02FC" w:rsidRPr="001B4A02" w:rsidRDefault="00000000" w:rsidP="00ED48A3">
      <w:pPr>
        <w:pStyle w:val="EMEAHeadingBoxedEmpty"/>
        <w:spacing w:beforeLines="0"/>
        <w:rPr>
          <w:rFonts w:ascii="Times New Roman" w:hAnsi="Times New Roman"/>
          <w:szCs w:val="22"/>
          <w:lang w:val="cs-CZ"/>
        </w:rPr>
      </w:pPr>
      <w:r w:rsidRPr="001B4A02">
        <w:rPr>
          <w:rFonts w:ascii="Times New Roman" w:hAnsi="Times New Roman"/>
          <w:szCs w:val="22"/>
          <w:lang w:val="cs-CZ"/>
        </w:rPr>
        <w:t>10.</w:t>
      </w:r>
      <w:r w:rsidRPr="001B4A02">
        <w:rPr>
          <w:rFonts w:ascii="Times New Roman" w:hAnsi="Times New Roman"/>
          <w:szCs w:val="22"/>
          <w:lang w:val="cs-CZ"/>
        </w:rPr>
        <w:tab/>
      </w:r>
      <w:r w:rsidR="00EA6C92" w:rsidRPr="001B4A02">
        <w:rPr>
          <w:rFonts w:ascii="Times New Roman" w:hAnsi="Times New Roman"/>
          <w:szCs w:val="22"/>
          <w:lang w:val="cs-CZ"/>
        </w:rPr>
        <w:t>ZVLÁŠTNÍ OPATŘENÍ PRO LIKVIDACI NEPOUŽITÝCH LÉČIVÝCH PŘÍPRAVKŮ NEBO ODPADU Z NICH, POKUD JE TO VHODNÉ</w:t>
      </w:r>
    </w:p>
    <w:p w14:paraId="365E49FE" w14:textId="77777777" w:rsidR="002F02FC" w:rsidRPr="001B4A02" w:rsidRDefault="002F02FC" w:rsidP="00ED48A3">
      <w:pPr>
        <w:ind w:left="540" w:hanging="540"/>
        <w:rPr>
          <w:szCs w:val="22"/>
        </w:rPr>
      </w:pPr>
    </w:p>
    <w:p w14:paraId="5A495C14" w14:textId="77777777" w:rsidR="002F02FC" w:rsidRPr="001B4A02" w:rsidRDefault="002F02FC" w:rsidP="00ED48A3">
      <w:pPr>
        <w:ind w:left="540" w:hanging="540"/>
        <w:rPr>
          <w:szCs w:val="22"/>
        </w:rPr>
      </w:pPr>
    </w:p>
    <w:p w14:paraId="4B5E5E0E" w14:textId="77777777" w:rsidR="002F02FC" w:rsidRPr="001B4A02" w:rsidRDefault="00000000" w:rsidP="00ED48A3">
      <w:pPr>
        <w:pStyle w:val="EMEAHeadingBoxed1"/>
        <w:spacing w:beforeLines="0" w:afterLines="0" w:after="0"/>
        <w:rPr>
          <w:rFonts w:ascii="Times New Roman" w:hAnsi="Times New Roman"/>
          <w:szCs w:val="22"/>
          <w:lang w:val="cs-CZ"/>
        </w:rPr>
      </w:pPr>
      <w:r w:rsidRPr="001B4A02">
        <w:rPr>
          <w:rFonts w:ascii="Times New Roman" w:hAnsi="Times New Roman"/>
          <w:szCs w:val="22"/>
          <w:lang w:val="cs-CZ"/>
        </w:rPr>
        <w:t>11.</w:t>
      </w:r>
      <w:r w:rsidRPr="001B4A02">
        <w:rPr>
          <w:rFonts w:ascii="Times New Roman" w:hAnsi="Times New Roman"/>
          <w:szCs w:val="22"/>
          <w:lang w:val="cs-CZ"/>
        </w:rPr>
        <w:tab/>
      </w:r>
      <w:r w:rsidR="00EA6C92" w:rsidRPr="001B4A02">
        <w:rPr>
          <w:rFonts w:ascii="Times New Roman" w:hAnsi="Times New Roman"/>
          <w:szCs w:val="22"/>
          <w:lang w:val="cs-CZ"/>
        </w:rPr>
        <w:t>NÁZEV A ADRESA DRŽITELE ROZHODNUTÍ O REGISTRACI</w:t>
      </w:r>
    </w:p>
    <w:p w14:paraId="7E4B2369" w14:textId="77777777" w:rsidR="002F02FC" w:rsidRPr="001B4A02" w:rsidRDefault="002F02FC" w:rsidP="00ED48A3">
      <w:pPr>
        <w:keepNext/>
        <w:autoSpaceDE w:val="0"/>
        <w:autoSpaceDN w:val="0"/>
        <w:adjustRightInd w:val="0"/>
        <w:rPr>
          <w:szCs w:val="22"/>
          <w:lang w:eastAsia="en-GB"/>
        </w:rPr>
      </w:pPr>
    </w:p>
    <w:p w14:paraId="239A7BAA" w14:textId="77777777" w:rsidR="00E86403" w:rsidRPr="001B4A02" w:rsidRDefault="00000000" w:rsidP="00E86403">
      <w:pPr>
        <w:keepNext/>
        <w:autoSpaceDE w:val="0"/>
        <w:autoSpaceDN w:val="0"/>
        <w:adjustRightInd w:val="0"/>
        <w:spacing w:line="240" w:lineRule="atLeast"/>
        <w:rPr>
          <w:szCs w:val="22"/>
          <w:lang w:eastAsia="en-GB"/>
        </w:rPr>
      </w:pPr>
      <w:r w:rsidRPr="001B4A02">
        <w:rPr>
          <w:szCs w:val="22"/>
          <w:lang w:eastAsia="en-GB"/>
        </w:rPr>
        <w:t>AbbVie Deutschland GmbH &amp; Co. KG</w:t>
      </w:r>
    </w:p>
    <w:p w14:paraId="788700CC" w14:textId="77777777" w:rsidR="00E86403" w:rsidRPr="001B4A02" w:rsidRDefault="00000000" w:rsidP="00E86403">
      <w:pPr>
        <w:keepNext/>
        <w:autoSpaceDE w:val="0"/>
        <w:autoSpaceDN w:val="0"/>
        <w:adjustRightInd w:val="0"/>
        <w:spacing w:line="240" w:lineRule="atLeast"/>
        <w:rPr>
          <w:szCs w:val="22"/>
          <w:lang w:eastAsia="en-GB"/>
        </w:rPr>
      </w:pPr>
      <w:r w:rsidRPr="001B4A02">
        <w:rPr>
          <w:szCs w:val="22"/>
          <w:lang w:eastAsia="en-GB"/>
        </w:rPr>
        <w:t>Knollstrasse</w:t>
      </w:r>
    </w:p>
    <w:p w14:paraId="6E367C5B" w14:textId="77777777" w:rsidR="00E86403" w:rsidRPr="001B4A02" w:rsidRDefault="00000000" w:rsidP="00E86403">
      <w:pPr>
        <w:keepNext/>
        <w:autoSpaceDE w:val="0"/>
        <w:autoSpaceDN w:val="0"/>
        <w:adjustRightInd w:val="0"/>
        <w:spacing w:line="240" w:lineRule="atLeast"/>
        <w:rPr>
          <w:szCs w:val="22"/>
          <w:lang w:eastAsia="en-GB"/>
        </w:rPr>
      </w:pPr>
      <w:r w:rsidRPr="001B4A02">
        <w:rPr>
          <w:szCs w:val="22"/>
          <w:lang w:eastAsia="en-GB"/>
        </w:rPr>
        <w:t>67061 Ludwigshafen</w:t>
      </w:r>
    </w:p>
    <w:p w14:paraId="3B4D9EC7" w14:textId="77777777" w:rsidR="00EA6C92" w:rsidRPr="001B4A02" w:rsidRDefault="00000000" w:rsidP="00ED48A3">
      <w:pPr>
        <w:ind w:left="0" w:firstLine="0"/>
        <w:rPr>
          <w:szCs w:val="22"/>
        </w:rPr>
      </w:pPr>
      <w:r w:rsidRPr="001B4A02">
        <w:rPr>
          <w:szCs w:val="22"/>
          <w:lang w:eastAsia="en-GB"/>
        </w:rPr>
        <w:t>Německo</w:t>
      </w:r>
    </w:p>
    <w:p w14:paraId="2BD10B8A" w14:textId="77777777" w:rsidR="00EA6C92" w:rsidRPr="001B4A02" w:rsidRDefault="00EA6C92" w:rsidP="00ED48A3">
      <w:pPr>
        <w:ind w:left="0" w:firstLine="0"/>
        <w:rPr>
          <w:szCs w:val="22"/>
        </w:rPr>
      </w:pPr>
    </w:p>
    <w:p w14:paraId="0DB47F68" w14:textId="77777777" w:rsidR="00F34089" w:rsidRPr="001B4A02" w:rsidRDefault="00F34089" w:rsidP="00ED48A3">
      <w:pPr>
        <w:ind w:left="0" w:firstLine="0"/>
        <w:rPr>
          <w:szCs w:val="22"/>
        </w:rPr>
      </w:pPr>
    </w:p>
    <w:p w14:paraId="60887D30" w14:textId="77777777" w:rsidR="002F02FC" w:rsidRPr="001B4A02" w:rsidRDefault="00000000" w:rsidP="00ED48A3">
      <w:pPr>
        <w:pStyle w:val="EMEAHeadingBoxed"/>
        <w:spacing w:beforeLines="0" w:afterLines="0"/>
        <w:rPr>
          <w:rFonts w:ascii="Times New Roman" w:hAnsi="Times New Roman"/>
          <w:szCs w:val="22"/>
          <w:lang w:val="cs-CZ"/>
        </w:rPr>
      </w:pPr>
      <w:r w:rsidRPr="001B4A02">
        <w:rPr>
          <w:rFonts w:ascii="Times New Roman" w:hAnsi="Times New Roman"/>
          <w:szCs w:val="22"/>
          <w:lang w:val="cs-CZ"/>
        </w:rPr>
        <w:t>12.</w:t>
      </w:r>
      <w:r w:rsidRPr="001B4A02">
        <w:rPr>
          <w:rFonts w:ascii="Times New Roman" w:hAnsi="Times New Roman"/>
          <w:szCs w:val="22"/>
          <w:lang w:val="cs-CZ"/>
        </w:rPr>
        <w:tab/>
      </w:r>
      <w:r w:rsidR="00EA6C92" w:rsidRPr="001B4A02">
        <w:rPr>
          <w:rFonts w:ascii="Times New Roman" w:hAnsi="Times New Roman"/>
          <w:szCs w:val="22"/>
          <w:lang w:val="cs-CZ"/>
        </w:rPr>
        <w:t>REGISTRAČNÍ ČÍSLO</w:t>
      </w:r>
    </w:p>
    <w:p w14:paraId="6F37946B" w14:textId="77777777" w:rsidR="002F02FC" w:rsidRPr="001B4A02" w:rsidRDefault="002F02FC" w:rsidP="00ED48A3">
      <w:pPr>
        <w:ind w:left="540" w:hanging="540"/>
        <w:rPr>
          <w:szCs w:val="22"/>
        </w:rPr>
      </w:pPr>
    </w:p>
    <w:p w14:paraId="4245C1FC" w14:textId="77777777" w:rsidR="002F02FC" w:rsidRPr="001B4A02" w:rsidRDefault="00000000" w:rsidP="007F7787">
      <w:pPr>
        <w:ind w:left="0" w:firstLine="0"/>
        <w:rPr>
          <w:szCs w:val="22"/>
        </w:rPr>
      </w:pPr>
      <w:r w:rsidRPr="001B4A02">
        <w:rPr>
          <w:szCs w:val="22"/>
        </w:rPr>
        <w:t>EU/1/03/256/</w:t>
      </w:r>
      <w:r w:rsidR="0031641E" w:rsidRPr="001B4A02">
        <w:rPr>
          <w:szCs w:val="22"/>
        </w:rPr>
        <w:t>020</w:t>
      </w:r>
    </w:p>
    <w:p w14:paraId="092FB6CB" w14:textId="77777777" w:rsidR="002F02FC" w:rsidRPr="001B4A02" w:rsidRDefault="002F02FC" w:rsidP="00ED48A3">
      <w:pPr>
        <w:ind w:left="540" w:hanging="540"/>
        <w:rPr>
          <w:szCs w:val="22"/>
          <w:highlight w:val="yellow"/>
        </w:rPr>
      </w:pPr>
    </w:p>
    <w:p w14:paraId="06843FD9" w14:textId="77777777" w:rsidR="002F02FC" w:rsidRPr="001B4A02" w:rsidRDefault="002F02FC" w:rsidP="00ED48A3">
      <w:pPr>
        <w:ind w:left="540" w:hanging="540"/>
        <w:rPr>
          <w:szCs w:val="22"/>
        </w:rPr>
      </w:pPr>
    </w:p>
    <w:p w14:paraId="1A9220DB" w14:textId="77777777" w:rsidR="002F02FC" w:rsidRPr="001B4A02" w:rsidRDefault="00000000" w:rsidP="00ED48A3">
      <w:pPr>
        <w:pStyle w:val="EMEAHeadingBoxed"/>
        <w:spacing w:beforeLines="0" w:afterLines="0"/>
        <w:rPr>
          <w:rFonts w:ascii="Times New Roman" w:hAnsi="Times New Roman"/>
          <w:szCs w:val="22"/>
          <w:lang w:val="cs-CZ"/>
        </w:rPr>
      </w:pPr>
      <w:r w:rsidRPr="001B4A02">
        <w:rPr>
          <w:rFonts w:ascii="Times New Roman" w:hAnsi="Times New Roman"/>
          <w:szCs w:val="22"/>
          <w:lang w:val="cs-CZ"/>
        </w:rPr>
        <w:t>13.</w:t>
      </w:r>
      <w:r w:rsidRPr="001B4A02">
        <w:rPr>
          <w:rFonts w:ascii="Times New Roman" w:hAnsi="Times New Roman"/>
          <w:szCs w:val="22"/>
          <w:lang w:val="cs-CZ"/>
        </w:rPr>
        <w:tab/>
      </w:r>
      <w:r w:rsidR="00EA6C92" w:rsidRPr="001B4A02">
        <w:rPr>
          <w:rFonts w:ascii="Times New Roman" w:hAnsi="Times New Roman"/>
          <w:szCs w:val="22"/>
          <w:lang w:val="cs-CZ"/>
        </w:rPr>
        <w:t>ČÍSLO ŠARŽE</w:t>
      </w:r>
    </w:p>
    <w:p w14:paraId="73032DCC" w14:textId="77777777" w:rsidR="002F02FC" w:rsidRPr="001B4A02" w:rsidRDefault="002F02FC" w:rsidP="00ED48A3">
      <w:pPr>
        <w:ind w:left="540" w:hanging="540"/>
        <w:rPr>
          <w:szCs w:val="22"/>
        </w:rPr>
      </w:pPr>
    </w:p>
    <w:p w14:paraId="5C00ECCF" w14:textId="77777777" w:rsidR="00EA6C92" w:rsidRPr="001B4A02" w:rsidRDefault="00000000" w:rsidP="00ED48A3">
      <w:pPr>
        <w:rPr>
          <w:szCs w:val="22"/>
        </w:rPr>
      </w:pPr>
      <w:ins w:id="9781" w:author="Abbvie02" w:date="2025-05-16T12:37:00Z">
        <w:r>
          <w:rPr>
            <w:szCs w:val="22"/>
          </w:rPr>
          <w:t>Lot</w:t>
        </w:r>
      </w:ins>
      <w:del w:id="9782" w:author="Abbvie02" w:date="2025-05-16T12:37:00Z">
        <w:r w:rsidRPr="001B4A02">
          <w:rPr>
            <w:szCs w:val="22"/>
          </w:rPr>
          <w:delText>Č. šarže</w:delText>
        </w:r>
      </w:del>
    </w:p>
    <w:p w14:paraId="2A89AB39" w14:textId="77777777" w:rsidR="002F02FC" w:rsidRPr="001B4A02" w:rsidRDefault="002F02FC" w:rsidP="00ED48A3">
      <w:pPr>
        <w:ind w:left="540" w:hanging="540"/>
        <w:rPr>
          <w:szCs w:val="22"/>
        </w:rPr>
      </w:pPr>
    </w:p>
    <w:p w14:paraId="7E7A845E" w14:textId="77777777" w:rsidR="002F02FC" w:rsidRPr="001B4A02" w:rsidRDefault="002F02FC" w:rsidP="00ED48A3">
      <w:pPr>
        <w:ind w:left="540" w:hanging="540"/>
        <w:rPr>
          <w:szCs w:val="22"/>
        </w:rPr>
      </w:pPr>
    </w:p>
    <w:p w14:paraId="3D35021C" w14:textId="77777777" w:rsidR="002F02FC" w:rsidRPr="001B4A02" w:rsidRDefault="00000000" w:rsidP="00ED48A3">
      <w:pPr>
        <w:pStyle w:val="EMEAHeadingBoxed"/>
        <w:spacing w:beforeLines="0" w:afterLines="0"/>
        <w:rPr>
          <w:rFonts w:ascii="Times New Roman" w:hAnsi="Times New Roman"/>
          <w:szCs w:val="22"/>
          <w:lang w:val="cs-CZ"/>
        </w:rPr>
      </w:pPr>
      <w:r w:rsidRPr="001B4A02">
        <w:rPr>
          <w:rFonts w:ascii="Times New Roman" w:hAnsi="Times New Roman"/>
          <w:szCs w:val="22"/>
          <w:lang w:val="cs-CZ"/>
        </w:rPr>
        <w:t>14.</w:t>
      </w:r>
      <w:r w:rsidRPr="001B4A02">
        <w:rPr>
          <w:rFonts w:ascii="Times New Roman" w:hAnsi="Times New Roman"/>
          <w:szCs w:val="22"/>
          <w:lang w:val="cs-CZ"/>
        </w:rPr>
        <w:tab/>
      </w:r>
      <w:r w:rsidR="00EA6C92" w:rsidRPr="001B4A02">
        <w:rPr>
          <w:rFonts w:ascii="Times New Roman" w:hAnsi="Times New Roman"/>
          <w:szCs w:val="22"/>
          <w:lang w:val="cs-CZ"/>
        </w:rPr>
        <w:t>KLASIFIKACE PRO VÝDEJ</w:t>
      </w:r>
    </w:p>
    <w:p w14:paraId="359EBEAB" w14:textId="77777777" w:rsidR="002F02FC" w:rsidRPr="001B4A02" w:rsidRDefault="002F02FC" w:rsidP="00ED48A3">
      <w:pPr>
        <w:ind w:left="540" w:hanging="540"/>
        <w:rPr>
          <w:szCs w:val="22"/>
        </w:rPr>
      </w:pPr>
    </w:p>
    <w:p w14:paraId="26057F70" w14:textId="77777777" w:rsidR="002F02FC" w:rsidRPr="001B4A02" w:rsidRDefault="002F02FC" w:rsidP="00ED48A3">
      <w:pPr>
        <w:ind w:left="540" w:hanging="540"/>
        <w:rPr>
          <w:szCs w:val="22"/>
        </w:rPr>
      </w:pPr>
    </w:p>
    <w:p w14:paraId="3BF6B2F2" w14:textId="77777777" w:rsidR="002F02FC" w:rsidRPr="001B4A02" w:rsidRDefault="00000000" w:rsidP="00ED48A3">
      <w:pPr>
        <w:pStyle w:val="EMEAHeadingBoxed"/>
        <w:spacing w:beforeLines="0" w:afterLines="0"/>
        <w:ind w:left="561" w:hanging="561"/>
        <w:rPr>
          <w:rFonts w:ascii="Times New Roman" w:hAnsi="Times New Roman"/>
          <w:szCs w:val="22"/>
          <w:lang w:val="cs-CZ"/>
        </w:rPr>
      </w:pPr>
      <w:r w:rsidRPr="001B4A02">
        <w:rPr>
          <w:rFonts w:ascii="Times New Roman" w:hAnsi="Times New Roman"/>
          <w:szCs w:val="22"/>
          <w:lang w:val="cs-CZ"/>
        </w:rPr>
        <w:t>15.</w:t>
      </w:r>
      <w:r w:rsidRPr="001B4A02">
        <w:rPr>
          <w:rFonts w:ascii="Times New Roman" w:hAnsi="Times New Roman"/>
          <w:szCs w:val="22"/>
          <w:lang w:val="cs-CZ"/>
        </w:rPr>
        <w:tab/>
      </w:r>
      <w:r w:rsidR="00EA6C92" w:rsidRPr="001B4A02">
        <w:rPr>
          <w:rFonts w:ascii="Times New Roman" w:hAnsi="Times New Roman"/>
          <w:szCs w:val="22"/>
          <w:lang w:val="cs-CZ"/>
        </w:rPr>
        <w:t>NÁVOD K POUŽITÍ</w:t>
      </w:r>
    </w:p>
    <w:p w14:paraId="023BBDCB" w14:textId="77777777" w:rsidR="002F02FC" w:rsidRPr="001B4A02" w:rsidRDefault="002F02FC" w:rsidP="00ED48A3">
      <w:pPr>
        <w:pStyle w:val="EMEANormal"/>
        <w:rPr>
          <w:szCs w:val="22"/>
          <w:lang w:val="cs-CZ"/>
        </w:rPr>
      </w:pPr>
    </w:p>
    <w:p w14:paraId="48ECB9FC" w14:textId="77777777" w:rsidR="002F02FC" w:rsidRPr="001B4A02" w:rsidRDefault="002F02FC" w:rsidP="00ED48A3">
      <w:pPr>
        <w:pStyle w:val="EMEANormal"/>
        <w:rPr>
          <w:szCs w:val="22"/>
          <w:lang w:val="cs-CZ"/>
        </w:rPr>
      </w:pPr>
    </w:p>
    <w:p w14:paraId="3CA7DCF4" w14:textId="77777777" w:rsidR="002F02FC" w:rsidRPr="001B4A02" w:rsidRDefault="00000000" w:rsidP="00ED48A3">
      <w:pPr>
        <w:pStyle w:val="EMEAHeadingBoxedTitle"/>
        <w:ind w:left="0" w:firstLine="0"/>
        <w:rPr>
          <w:rFonts w:ascii="Times New Roman" w:hAnsi="Times New Roman"/>
          <w:b/>
          <w:bCs/>
          <w:szCs w:val="22"/>
          <w:lang w:val="cs-CZ"/>
        </w:rPr>
      </w:pPr>
      <w:r w:rsidRPr="001B4A02">
        <w:rPr>
          <w:rFonts w:ascii="Times New Roman" w:hAnsi="Times New Roman"/>
          <w:b/>
          <w:bCs/>
          <w:szCs w:val="22"/>
          <w:lang w:val="cs-CZ"/>
        </w:rPr>
        <w:t>16.</w:t>
      </w:r>
      <w:r w:rsidRPr="001B4A02">
        <w:rPr>
          <w:rFonts w:ascii="Times New Roman" w:hAnsi="Times New Roman"/>
          <w:b/>
          <w:bCs/>
          <w:szCs w:val="22"/>
          <w:lang w:val="cs-CZ"/>
        </w:rPr>
        <w:tab/>
      </w:r>
      <w:r w:rsidR="00EA6C92" w:rsidRPr="001B4A02">
        <w:rPr>
          <w:rFonts w:ascii="Times New Roman" w:hAnsi="Times New Roman"/>
          <w:b/>
          <w:szCs w:val="22"/>
          <w:lang w:val="cs-CZ"/>
        </w:rPr>
        <w:t>INFORMACE V BRAILLOVĚ PÍSMU</w:t>
      </w:r>
    </w:p>
    <w:p w14:paraId="0ED45668" w14:textId="77777777" w:rsidR="002F02FC" w:rsidRPr="001B4A02" w:rsidRDefault="002F02FC" w:rsidP="00ED48A3">
      <w:pPr>
        <w:ind w:left="540" w:hanging="540"/>
        <w:rPr>
          <w:szCs w:val="22"/>
        </w:rPr>
      </w:pPr>
    </w:p>
    <w:p w14:paraId="03039E7D" w14:textId="77777777" w:rsidR="002F02FC" w:rsidRPr="001B4A02" w:rsidRDefault="00000000" w:rsidP="00ED48A3">
      <w:pPr>
        <w:ind w:left="540" w:hanging="540"/>
        <w:rPr>
          <w:szCs w:val="22"/>
        </w:rPr>
      </w:pPr>
      <w:r w:rsidRPr="001B4A02">
        <w:t>Humira 80</w:t>
      </w:r>
      <w:r w:rsidR="00874DE1">
        <w:t> mg</w:t>
      </w:r>
    </w:p>
    <w:p w14:paraId="3CE3D88F" w14:textId="77777777" w:rsidR="002F02FC" w:rsidRPr="001B4A02" w:rsidRDefault="002F02FC" w:rsidP="00ED48A3">
      <w:pPr>
        <w:ind w:left="540" w:hanging="540"/>
        <w:rPr>
          <w:szCs w:val="22"/>
        </w:rPr>
      </w:pPr>
    </w:p>
    <w:p w14:paraId="0BF7B3CE" w14:textId="77777777" w:rsidR="002F02FC" w:rsidRPr="001B4A02" w:rsidRDefault="002F02FC" w:rsidP="00ED48A3">
      <w:pPr>
        <w:ind w:left="540" w:hanging="540"/>
        <w:rPr>
          <w:szCs w:val="22"/>
        </w:rPr>
      </w:pPr>
    </w:p>
    <w:p w14:paraId="38B9A5C0" w14:textId="77777777" w:rsidR="002F02FC" w:rsidRPr="001B4A02" w:rsidRDefault="00000000" w:rsidP="00ED48A3">
      <w:pPr>
        <w:pStyle w:val="EMEAHeadingBoxedTitle"/>
        <w:ind w:left="0" w:firstLine="0"/>
        <w:rPr>
          <w:rFonts w:ascii="Times New Roman" w:hAnsi="Times New Roman"/>
          <w:b/>
          <w:bCs/>
          <w:szCs w:val="22"/>
          <w:lang w:val="cs-CZ"/>
        </w:rPr>
      </w:pPr>
      <w:r w:rsidRPr="001B4A02">
        <w:rPr>
          <w:rFonts w:ascii="Times New Roman" w:hAnsi="Times New Roman"/>
          <w:b/>
          <w:bCs/>
          <w:szCs w:val="22"/>
          <w:lang w:val="cs-CZ"/>
        </w:rPr>
        <w:t>17.</w:t>
      </w:r>
      <w:r w:rsidRPr="001B4A02">
        <w:rPr>
          <w:rFonts w:ascii="Times New Roman" w:hAnsi="Times New Roman"/>
          <w:b/>
          <w:bCs/>
          <w:szCs w:val="22"/>
          <w:lang w:val="cs-CZ"/>
        </w:rPr>
        <w:tab/>
      </w:r>
      <w:r w:rsidR="00EA6C92" w:rsidRPr="001B4A02">
        <w:rPr>
          <w:rFonts w:ascii="Times New Roman" w:hAnsi="Times New Roman"/>
          <w:b/>
          <w:bCs/>
          <w:szCs w:val="22"/>
          <w:lang w:val="cs-CZ"/>
        </w:rPr>
        <w:t>JEDINEČNÝ IDENTIFIKÁTOR – DATA ČITELNÁ OKEM</w:t>
      </w:r>
    </w:p>
    <w:p w14:paraId="45188E44" w14:textId="77777777" w:rsidR="002F02FC" w:rsidRPr="001B4A02" w:rsidRDefault="002F02FC" w:rsidP="00ED48A3">
      <w:pPr>
        <w:rPr>
          <w:szCs w:val="22"/>
        </w:rPr>
      </w:pPr>
    </w:p>
    <w:p w14:paraId="5A16A689" w14:textId="77777777" w:rsidR="002F02FC" w:rsidRPr="001B4A02" w:rsidRDefault="00000000" w:rsidP="00ED48A3">
      <w:pPr>
        <w:rPr>
          <w:szCs w:val="22"/>
          <w:shd w:val="clear" w:color="auto" w:fill="BFBFBF"/>
        </w:rPr>
      </w:pPr>
      <w:r w:rsidRPr="001B4A02">
        <w:rPr>
          <w:szCs w:val="22"/>
          <w:shd w:val="clear" w:color="auto" w:fill="BFBFBF"/>
        </w:rPr>
        <w:t xml:space="preserve">2D </w:t>
      </w:r>
      <w:r w:rsidR="00EA6C92" w:rsidRPr="001B4A02">
        <w:rPr>
          <w:szCs w:val="22"/>
          <w:shd w:val="clear" w:color="auto" w:fill="BFBFBF"/>
        </w:rPr>
        <w:t>čárový kód s jedinečným identifikátorem</w:t>
      </w:r>
      <w:r w:rsidRPr="001B4A02">
        <w:rPr>
          <w:szCs w:val="22"/>
          <w:shd w:val="clear" w:color="auto" w:fill="BFBFBF"/>
        </w:rPr>
        <w:t>.</w:t>
      </w:r>
    </w:p>
    <w:p w14:paraId="31FFBBD3" w14:textId="77777777" w:rsidR="002F02FC" w:rsidRPr="001B4A02" w:rsidRDefault="002F02FC" w:rsidP="00ED48A3">
      <w:pPr>
        <w:rPr>
          <w:szCs w:val="22"/>
          <w:shd w:val="clear" w:color="auto" w:fill="BFBFBF"/>
        </w:rPr>
      </w:pPr>
    </w:p>
    <w:p w14:paraId="3AD55044" w14:textId="77777777" w:rsidR="002F02FC" w:rsidRPr="001B4A02" w:rsidRDefault="002F02FC" w:rsidP="00ED48A3">
      <w:pPr>
        <w:rPr>
          <w:szCs w:val="22"/>
          <w:shd w:val="clear" w:color="auto" w:fill="BFBFBF"/>
        </w:rPr>
      </w:pPr>
    </w:p>
    <w:p w14:paraId="2475068A" w14:textId="77777777" w:rsidR="002F02FC" w:rsidRPr="001B4A02" w:rsidRDefault="00000000" w:rsidP="008D1953">
      <w:pPr>
        <w:pStyle w:val="EMEAHeadingBoxedTitle"/>
        <w:keepNext/>
        <w:ind w:left="0" w:firstLine="0"/>
        <w:rPr>
          <w:rFonts w:ascii="Times New Roman" w:hAnsi="Times New Roman"/>
          <w:szCs w:val="22"/>
          <w:lang w:val="cs-CZ"/>
        </w:rPr>
      </w:pPr>
      <w:r w:rsidRPr="001B4A02">
        <w:rPr>
          <w:rFonts w:ascii="Times New Roman" w:hAnsi="Times New Roman"/>
          <w:b/>
          <w:bCs/>
          <w:szCs w:val="22"/>
          <w:lang w:val="cs-CZ"/>
        </w:rPr>
        <w:t>18.</w:t>
      </w:r>
      <w:r w:rsidRPr="001B4A02">
        <w:rPr>
          <w:rFonts w:ascii="Times New Roman" w:hAnsi="Times New Roman"/>
          <w:b/>
          <w:bCs/>
          <w:szCs w:val="22"/>
          <w:lang w:val="cs-CZ"/>
        </w:rPr>
        <w:tab/>
      </w:r>
      <w:r w:rsidR="00EA6C92" w:rsidRPr="001B4A02">
        <w:rPr>
          <w:rFonts w:ascii="Times New Roman" w:hAnsi="Times New Roman"/>
          <w:b/>
          <w:bCs/>
          <w:szCs w:val="22"/>
          <w:lang w:val="cs-CZ"/>
        </w:rPr>
        <w:t>JEDINEČNÝ IDENTIFIKÁTOR – DATA ČITELNÁ OKEM</w:t>
      </w:r>
    </w:p>
    <w:p w14:paraId="38889AB3" w14:textId="77777777" w:rsidR="002F02FC" w:rsidRPr="001B4A02" w:rsidRDefault="002F02FC" w:rsidP="008D1953">
      <w:pPr>
        <w:keepNext/>
        <w:ind w:left="540" w:hanging="540"/>
        <w:rPr>
          <w:szCs w:val="22"/>
        </w:rPr>
      </w:pPr>
    </w:p>
    <w:p w14:paraId="6BA39233" w14:textId="77777777" w:rsidR="002F02FC" w:rsidRPr="001B4A02" w:rsidRDefault="00000000" w:rsidP="008D1953">
      <w:pPr>
        <w:keepNext/>
        <w:ind w:left="540" w:hanging="540"/>
        <w:rPr>
          <w:szCs w:val="22"/>
        </w:rPr>
      </w:pPr>
      <w:r w:rsidRPr="001B4A02">
        <w:rPr>
          <w:szCs w:val="22"/>
        </w:rPr>
        <w:t>PC</w:t>
      </w:r>
    </w:p>
    <w:p w14:paraId="7D2CB22C" w14:textId="77777777" w:rsidR="002F02FC" w:rsidRPr="001B4A02" w:rsidRDefault="00000000" w:rsidP="008D1953">
      <w:pPr>
        <w:keepNext/>
        <w:ind w:left="540" w:hanging="540"/>
        <w:rPr>
          <w:szCs w:val="22"/>
        </w:rPr>
      </w:pPr>
      <w:r w:rsidRPr="001B4A02">
        <w:rPr>
          <w:szCs w:val="22"/>
        </w:rPr>
        <w:t>SN</w:t>
      </w:r>
    </w:p>
    <w:p w14:paraId="36BC47BB" w14:textId="77777777" w:rsidR="002F02FC" w:rsidRPr="001B4A02" w:rsidRDefault="00000000" w:rsidP="008D1953">
      <w:pPr>
        <w:keepNext/>
        <w:ind w:left="540" w:hanging="540"/>
        <w:rPr>
          <w:szCs w:val="22"/>
        </w:rPr>
      </w:pPr>
      <w:r w:rsidRPr="00BA0A72">
        <w:rPr>
          <w:szCs w:val="22"/>
          <w:highlight w:val="lightGray"/>
        </w:rPr>
        <w:t>NN</w:t>
      </w:r>
    </w:p>
    <w:p w14:paraId="7018B39D" w14:textId="77777777" w:rsidR="002F02FC" w:rsidRPr="001B4A02" w:rsidRDefault="002F02FC" w:rsidP="00ED48A3">
      <w:pPr>
        <w:ind w:left="540" w:hanging="540"/>
        <w:rPr>
          <w:szCs w:val="22"/>
          <w:highlight w:val="yellow"/>
        </w:rPr>
      </w:pPr>
    </w:p>
    <w:p w14:paraId="7EAF7056" w14:textId="77777777" w:rsidR="002F02FC" w:rsidRPr="001B4A02" w:rsidRDefault="00000000" w:rsidP="007E5C3A">
      <w:pPr>
        <w:pBdr>
          <w:top w:val="single" w:sz="4" w:space="1" w:color="auto"/>
          <w:left w:val="single" w:sz="4" w:space="4" w:color="auto"/>
          <w:bottom w:val="single" w:sz="4" w:space="1" w:color="auto"/>
          <w:right w:val="single" w:sz="4" w:space="4" w:color="auto"/>
        </w:pBdr>
        <w:rPr>
          <w:b/>
        </w:rPr>
      </w:pPr>
      <w:r w:rsidRPr="001B4A02">
        <w:rPr>
          <w:b/>
          <w:szCs w:val="22"/>
          <w:u w:val="single"/>
        </w:rPr>
        <w:br w:type="page"/>
      </w:r>
      <w:r w:rsidRPr="001B4A02">
        <w:rPr>
          <w:b/>
          <w:szCs w:val="22"/>
        </w:rPr>
        <w:t>MINIMÁLNÍ ÚDAJE UVÁDĚNÉ NA BLISTRECH NEBO STRIPECH</w:t>
      </w:r>
    </w:p>
    <w:p w14:paraId="2B759F6F" w14:textId="77777777" w:rsidR="002F02FC" w:rsidRDefault="002F02FC" w:rsidP="007E5C3A">
      <w:pPr>
        <w:pBdr>
          <w:top w:val="single" w:sz="4" w:space="1" w:color="auto"/>
          <w:left w:val="single" w:sz="4" w:space="4" w:color="auto"/>
          <w:bottom w:val="single" w:sz="4" w:space="1" w:color="auto"/>
          <w:right w:val="single" w:sz="4" w:space="4" w:color="auto"/>
        </w:pBdr>
        <w:ind w:left="540" w:hanging="540"/>
        <w:rPr>
          <w:b/>
        </w:rPr>
      </w:pPr>
    </w:p>
    <w:p w14:paraId="5A723978" w14:textId="77777777" w:rsidR="0009084E" w:rsidRPr="001B4A02" w:rsidRDefault="00000000" w:rsidP="007E5C3A">
      <w:pPr>
        <w:pBdr>
          <w:top w:val="single" w:sz="4" w:space="1" w:color="auto"/>
          <w:left w:val="single" w:sz="4" w:space="4" w:color="auto"/>
          <w:bottom w:val="single" w:sz="4" w:space="1" w:color="auto"/>
          <w:right w:val="single" w:sz="4" w:space="4" w:color="auto"/>
        </w:pBdr>
        <w:ind w:left="540" w:hanging="540"/>
        <w:rPr>
          <w:b/>
        </w:rPr>
      </w:pPr>
      <w:r>
        <w:rPr>
          <w:b/>
        </w:rPr>
        <w:t>BLISTR</w:t>
      </w:r>
    </w:p>
    <w:p w14:paraId="6B1389C2" w14:textId="77777777" w:rsidR="002F02FC" w:rsidRPr="001B4A02" w:rsidRDefault="002F02FC" w:rsidP="007E5C3A">
      <w:pPr>
        <w:ind w:left="540" w:hanging="540"/>
      </w:pPr>
    </w:p>
    <w:p w14:paraId="6798B728" w14:textId="77777777" w:rsidR="002F02FC" w:rsidRPr="001B4A02" w:rsidRDefault="002F02FC" w:rsidP="007E5C3A">
      <w:pPr>
        <w:ind w:left="540" w:hanging="540"/>
      </w:pPr>
    </w:p>
    <w:p w14:paraId="68B77815" w14:textId="77777777" w:rsidR="002F02FC" w:rsidRPr="001B4A02" w:rsidRDefault="00000000" w:rsidP="007E5C3A">
      <w:pPr>
        <w:pStyle w:val="EMEAHeadingBoxed1"/>
        <w:spacing w:beforeLines="0" w:afterLines="0" w:after="0"/>
        <w:rPr>
          <w:rFonts w:ascii="Times New Roman" w:hAnsi="Times New Roman"/>
          <w:szCs w:val="22"/>
          <w:lang w:val="cs-CZ"/>
        </w:rPr>
      </w:pPr>
      <w:r w:rsidRPr="001B4A02">
        <w:rPr>
          <w:rFonts w:ascii="Times New Roman" w:hAnsi="Times New Roman"/>
          <w:szCs w:val="22"/>
          <w:lang w:val="cs-CZ"/>
        </w:rPr>
        <w:t>1.</w:t>
      </w:r>
      <w:r w:rsidRPr="001B4A02">
        <w:rPr>
          <w:rFonts w:ascii="Times New Roman" w:hAnsi="Times New Roman"/>
          <w:szCs w:val="22"/>
          <w:lang w:val="cs-CZ"/>
        </w:rPr>
        <w:tab/>
      </w:r>
      <w:r w:rsidR="008D112A" w:rsidRPr="001B4A02">
        <w:rPr>
          <w:rFonts w:ascii="Times New Roman" w:hAnsi="Times New Roman"/>
          <w:szCs w:val="22"/>
          <w:lang w:val="cs-CZ"/>
        </w:rPr>
        <w:t>NÁZEV LÉČIVÉHO PŘÍPRAVKU</w:t>
      </w:r>
    </w:p>
    <w:p w14:paraId="6186B5D0" w14:textId="77777777" w:rsidR="002F02FC" w:rsidRPr="001B4A02" w:rsidRDefault="002F02FC" w:rsidP="007E5C3A">
      <w:pPr>
        <w:ind w:left="540" w:hanging="540"/>
        <w:rPr>
          <w:szCs w:val="22"/>
        </w:rPr>
      </w:pPr>
    </w:p>
    <w:p w14:paraId="07F9D3E4" w14:textId="77777777" w:rsidR="008D112A" w:rsidRPr="001B4A02" w:rsidRDefault="00000000" w:rsidP="007E5C3A">
      <w:pPr>
        <w:rPr>
          <w:szCs w:val="22"/>
        </w:rPr>
      </w:pPr>
      <w:r w:rsidRPr="001B4A02">
        <w:rPr>
          <w:szCs w:val="22"/>
        </w:rPr>
        <w:t xml:space="preserve">Humira </w:t>
      </w:r>
      <w:r w:rsidRPr="001B4A02">
        <w:t>80 mg</w:t>
      </w:r>
      <w:r w:rsidRPr="001B4A02">
        <w:rPr>
          <w:szCs w:val="22"/>
        </w:rPr>
        <w:t xml:space="preserve"> injekční roztok v předplněné injekční stříkačce</w:t>
      </w:r>
    </w:p>
    <w:p w14:paraId="164297D0" w14:textId="77777777" w:rsidR="002F02FC" w:rsidRPr="001B4A02" w:rsidRDefault="00000000" w:rsidP="007E5C3A">
      <w:pPr>
        <w:ind w:left="540" w:hanging="540"/>
        <w:rPr>
          <w:szCs w:val="22"/>
        </w:rPr>
      </w:pPr>
      <w:r w:rsidRPr="001B4A02">
        <w:rPr>
          <w:szCs w:val="22"/>
        </w:rPr>
        <w:t>adalimumab</w:t>
      </w:r>
      <w:del w:id="9783" w:author="Abbvie02" w:date="2025-05-16T11:49:00Z">
        <w:r w:rsidRPr="001B4A02">
          <w:rPr>
            <w:szCs w:val="22"/>
          </w:rPr>
          <w:delText>um</w:delText>
        </w:r>
      </w:del>
    </w:p>
    <w:p w14:paraId="13C6D311" w14:textId="77777777" w:rsidR="002F02FC" w:rsidRPr="001B4A02" w:rsidRDefault="002F02FC" w:rsidP="007E5C3A">
      <w:pPr>
        <w:ind w:left="540" w:hanging="540"/>
        <w:rPr>
          <w:szCs w:val="22"/>
        </w:rPr>
      </w:pPr>
    </w:p>
    <w:p w14:paraId="4D9BF81C" w14:textId="77777777" w:rsidR="002F02FC" w:rsidRPr="001B4A02" w:rsidRDefault="002F02FC" w:rsidP="007E5C3A">
      <w:pPr>
        <w:ind w:left="540" w:hanging="540"/>
        <w:rPr>
          <w:szCs w:val="22"/>
        </w:rPr>
      </w:pPr>
    </w:p>
    <w:p w14:paraId="738A2834" w14:textId="77777777" w:rsidR="002F02FC" w:rsidRPr="001B4A02" w:rsidRDefault="00000000" w:rsidP="007E5C3A">
      <w:pPr>
        <w:pStyle w:val="EMEAHeadingBoxed"/>
        <w:tabs>
          <w:tab w:val="left" w:pos="-3300"/>
        </w:tabs>
        <w:spacing w:beforeLines="0" w:afterLines="0"/>
        <w:rPr>
          <w:rFonts w:ascii="Times New Roman" w:hAnsi="Times New Roman"/>
          <w:szCs w:val="22"/>
          <w:lang w:val="cs-CZ"/>
        </w:rPr>
      </w:pPr>
      <w:r w:rsidRPr="001B4A02">
        <w:rPr>
          <w:rFonts w:ascii="Times New Roman" w:hAnsi="Times New Roman"/>
          <w:szCs w:val="22"/>
          <w:lang w:val="cs-CZ"/>
        </w:rPr>
        <w:t>2.</w:t>
      </w:r>
      <w:r w:rsidRPr="001B4A02">
        <w:rPr>
          <w:rFonts w:ascii="Times New Roman" w:hAnsi="Times New Roman"/>
          <w:szCs w:val="22"/>
          <w:lang w:val="cs-CZ"/>
        </w:rPr>
        <w:tab/>
      </w:r>
      <w:r w:rsidR="008D112A" w:rsidRPr="001B4A02">
        <w:rPr>
          <w:rFonts w:ascii="Times New Roman" w:hAnsi="Times New Roman"/>
          <w:szCs w:val="22"/>
          <w:lang w:val="cs-CZ"/>
        </w:rPr>
        <w:t>NÁZEV DRŽITELE ROZHODNUTÍ O REGISTRACI</w:t>
      </w:r>
    </w:p>
    <w:p w14:paraId="16355186" w14:textId="77777777" w:rsidR="002F02FC" w:rsidRPr="001B4A02" w:rsidRDefault="002F02FC" w:rsidP="007E5C3A">
      <w:pPr>
        <w:ind w:left="540" w:hanging="540"/>
        <w:rPr>
          <w:szCs w:val="22"/>
        </w:rPr>
      </w:pPr>
    </w:p>
    <w:p w14:paraId="16853442" w14:textId="77777777" w:rsidR="002F02FC" w:rsidRPr="001B4A02" w:rsidRDefault="00000000" w:rsidP="007E5C3A">
      <w:pPr>
        <w:ind w:left="540" w:hanging="540"/>
        <w:rPr>
          <w:szCs w:val="22"/>
        </w:rPr>
      </w:pPr>
      <w:r w:rsidRPr="001B4A02">
        <w:rPr>
          <w:szCs w:val="22"/>
        </w:rPr>
        <w:t>AbbVie</w:t>
      </w:r>
      <w:r w:rsidR="00012C3F" w:rsidRPr="001B4A02">
        <w:t xml:space="preserve"> </w:t>
      </w:r>
      <w:r w:rsidR="00012C3F" w:rsidRPr="001B4A02">
        <w:rPr>
          <w:highlight w:val="lightGray"/>
        </w:rPr>
        <w:t>(logo)</w:t>
      </w:r>
    </w:p>
    <w:p w14:paraId="0F3292C2" w14:textId="77777777" w:rsidR="002F02FC" w:rsidRPr="001B4A02" w:rsidRDefault="002F02FC" w:rsidP="007E5C3A">
      <w:pPr>
        <w:ind w:left="540" w:hanging="540"/>
        <w:rPr>
          <w:szCs w:val="22"/>
        </w:rPr>
      </w:pPr>
    </w:p>
    <w:p w14:paraId="2234DA98" w14:textId="77777777" w:rsidR="002F02FC" w:rsidRPr="001B4A02" w:rsidRDefault="002F02FC" w:rsidP="007E5C3A">
      <w:pPr>
        <w:ind w:left="540" w:hanging="540"/>
        <w:rPr>
          <w:szCs w:val="22"/>
        </w:rPr>
      </w:pPr>
    </w:p>
    <w:p w14:paraId="60B2C2F2" w14:textId="77777777" w:rsidR="002F02FC" w:rsidRPr="001B4A02" w:rsidRDefault="00000000" w:rsidP="007E5C3A">
      <w:pPr>
        <w:pStyle w:val="EMEAHeadingBoxed"/>
        <w:spacing w:beforeLines="0" w:afterLines="0"/>
        <w:rPr>
          <w:rFonts w:ascii="Times New Roman" w:hAnsi="Times New Roman"/>
          <w:szCs w:val="22"/>
          <w:lang w:val="cs-CZ"/>
        </w:rPr>
      </w:pPr>
      <w:r w:rsidRPr="001B4A02">
        <w:rPr>
          <w:rFonts w:ascii="Times New Roman" w:hAnsi="Times New Roman"/>
          <w:szCs w:val="22"/>
          <w:lang w:val="cs-CZ"/>
        </w:rPr>
        <w:t>3.</w:t>
      </w:r>
      <w:r w:rsidRPr="001B4A02">
        <w:rPr>
          <w:rFonts w:ascii="Times New Roman" w:hAnsi="Times New Roman"/>
          <w:szCs w:val="22"/>
          <w:lang w:val="cs-CZ"/>
        </w:rPr>
        <w:tab/>
      </w:r>
      <w:r w:rsidR="008D112A" w:rsidRPr="001B4A02">
        <w:rPr>
          <w:rFonts w:ascii="Times New Roman" w:hAnsi="Times New Roman"/>
          <w:szCs w:val="22"/>
          <w:lang w:val="cs-CZ"/>
        </w:rPr>
        <w:t>POUŽITELNOST</w:t>
      </w:r>
    </w:p>
    <w:p w14:paraId="44EDB3ED" w14:textId="77777777" w:rsidR="002F02FC" w:rsidRPr="001B4A02" w:rsidRDefault="002F02FC" w:rsidP="007E5C3A">
      <w:pPr>
        <w:ind w:left="540" w:hanging="540"/>
        <w:rPr>
          <w:szCs w:val="22"/>
        </w:rPr>
      </w:pPr>
    </w:p>
    <w:p w14:paraId="6E1C6828" w14:textId="77777777" w:rsidR="002F02FC" w:rsidRPr="001B4A02" w:rsidRDefault="00000000" w:rsidP="007E5C3A">
      <w:pPr>
        <w:ind w:left="540" w:hanging="540"/>
        <w:rPr>
          <w:szCs w:val="22"/>
        </w:rPr>
      </w:pPr>
      <w:r w:rsidRPr="001B4A02">
        <w:rPr>
          <w:szCs w:val="22"/>
        </w:rPr>
        <w:t>EXP</w:t>
      </w:r>
    </w:p>
    <w:p w14:paraId="52D4B74C" w14:textId="77777777" w:rsidR="002F02FC" w:rsidRPr="001B4A02" w:rsidRDefault="002F02FC" w:rsidP="007E5C3A">
      <w:pPr>
        <w:ind w:left="540" w:hanging="540"/>
        <w:rPr>
          <w:szCs w:val="22"/>
        </w:rPr>
      </w:pPr>
    </w:p>
    <w:p w14:paraId="4588C6AF" w14:textId="77777777" w:rsidR="002F02FC" w:rsidRPr="001B4A02" w:rsidRDefault="002F02FC" w:rsidP="007E5C3A">
      <w:pPr>
        <w:ind w:left="540" w:hanging="540"/>
        <w:rPr>
          <w:szCs w:val="22"/>
        </w:rPr>
      </w:pPr>
    </w:p>
    <w:p w14:paraId="2B3B0CE1" w14:textId="77777777" w:rsidR="002F02FC" w:rsidRPr="001B4A02" w:rsidRDefault="00000000" w:rsidP="007E5C3A">
      <w:pPr>
        <w:pStyle w:val="EMEAHeadingBoxed"/>
        <w:spacing w:beforeLines="0" w:afterLines="0"/>
        <w:rPr>
          <w:rFonts w:ascii="Times New Roman" w:hAnsi="Times New Roman"/>
          <w:szCs w:val="22"/>
          <w:lang w:val="cs-CZ"/>
        </w:rPr>
      </w:pPr>
      <w:r w:rsidRPr="001B4A02">
        <w:rPr>
          <w:rFonts w:ascii="Times New Roman" w:hAnsi="Times New Roman"/>
          <w:szCs w:val="22"/>
          <w:lang w:val="cs-CZ"/>
        </w:rPr>
        <w:t>4.</w:t>
      </w:r>
      <w:r w:rsidRPr="001B4A02">
        <w:rPr>
          <w:rFonts w:ascii="Times New Roman" w:hAnsi="Times New Roman"/>
          <w:szCs w:val="22"/>
          <w:lang w:val="cs-CZ"/>
        </w:rPr>
        <w:tab/>
      </w:r>
      <w:r w:rsidR="008D112A" w:rsidRPr="001B4A02">
        <w:rPr>
          <w:rFonts w:ascii="Times New Roman" w:hAnsi="Times New Roman"/>
          <w:szCs w:val="22"/>
          <w:lang w:val="cs-CZ"/>
        </w:rPr>
        <w:t>číslo šarže</w:t>
      </w:r>
    </w:p>
    <w:p w14:paraId="1369DD65" w14:textId="77777777" w:rsidR="002F02FC" w:rsidRPr="001B4A02" w:rsidRDefault="002F02FC" w:rsidP="007E5C3A">
      <w:pPr>
        <w:ind w:left="540" w:hanging="540"/>
        <w:rPr>
          <w:szCs w:val="22"/>
        </w:rPr>
      </w:pPr>
    </w:p>
    <w:p w14:paraId="5F5F345F" w14:textId="77777777" w:rsidR="008D112A" w:rsidRPr="001B4A02" w:rsidRDefault="00000000" w:rsidP="007E5C3A">
      <w:pPr>
        <w:rPr>
          <w:szCs w:val="22"/>
        </w:rPr>
      </w:pPr>
      <w:ins w:id="9784" w:author="Abbvie02" w:date="2025-05-16T12:37:00Z">
        <w:r>
          <w:rPr>
            <w:szCs w:val="22"/>
          </w:rPr>
          <w:t>Lot</w:t>
        </w:r>
      </w:ins>
      <w:del w:id="9785" w:author="Abbvie02" w:date="2025-05-16T12:37:00Z">
        <w:r w:rsidRPr="001B4A02">
          <w:rPr>
            <w:szCs w:val="22"/>
          </w:rPr>
          <w:delText>Č. šarže</w:delText>
        </w:r>
      </w:del>
    </w:p>
    <w:p w14:paraId="626901B1" w14:textId="77777777" w:rsidR="002F02FC" w:rsidRPr="001B4A02" w:rsidRDefault="002F02FC" w:rsidP="007E5C3A">
      <w:pPr>
        <w:ind w:left="540" w:hanging="540"/>
        <w:rPr>
          <w:szCs w:val="22"/>
          <w:highlight w:val="yellow"/>
        </w:rPr>
      </w:pPr>
    </w:p>
    <w:p w14:paraId="7172D3B1" w14:textId="77777777" w:rsidR="002F02FC" w:rsidRPr="001B4A02" w:rsidRDefault="002F02FC" w:rsidP="007E5C3A">
      <w:pPr>
        <w:ind w:left="540" w:hanging="540"/>
        <w:rPr>
          <w:szCs w:val="22"/>
        </w:rPr>
      </w:pPr>
    </w:p>
    <w:p w14:paraId="5D3018D2" w14:textId="77777777" w:rsidR="002F02FC" w:rsidRPr="001B4A02" w:rsidRDefault="00000000" w:rsidP="007E5C3A">
      <w:pPr>
        <w:pStyle w:val="EMEAHeadingBoxed"/>
        <w:spacing w:beforeLines="0" w:afterLines="0"/>
        <w:ind w:left="0" w:firstLine="0"/>
        <w:rPr>
          <w:rFonts w:ascii="Times New Roman" w:hAnsi="Times New Roman"/>
          <w:szCs w:val="22"/>
          <w:lang w:val="cs-CZ"/>
        </w:rPr>
      </w:pPr>
      <w:r w:rsidRPr="001B4A02">
        <w:rPr>
          <w:rFonts w:ascii="Times New Roman" w:hAnsi="Times New Roman"/>
          <w:szCs w:val="22"/>
          <w:lang w:val="cs-CZ"/>
        </w:rPr>
        <w:t>5.</w:t>
      </w:r>
      <w:r w:rsidRPr="001B4A02">
        <w:rPr>
          <w:rFonts w:ascii="Times New Roman" w:hAnsi="Times New Roman"/>
          <w:szCs w:val="22"/>
          <w:lang w:val="cs-CZ"/>
        </w:rPr>
        <w:tab/>
      </w:r>
      <w:r w:rsidR="008D112A" w:rsidRPr="001B4A02">
        <w:rPr>
          <w:rFonts w:ascii="Times New Roman" w:hAnsi="Times New Roman"/>
          <w:szCs w:val="22"/>
          <w:lang w:val="cs-CZ"/>
        </w:rPr>
        <w:t>jiné</w:t>
      </w:r>
    </w:p>
    <w:p w14:paraId="1935234F" w14:textId="77777777" w:rsidR="002F02FC" w:rsidRPr="001B4A02" w:rsidRDefault="002F02FC" w:rsidP="007E5C3A">
      <w:pPr>
        <w:ind w:left="540" w:hanging="540"/>
        <w:rPr>
          <w:szCs w:val="22"/>
        </w:rPr>
      </w:pPr>
    </w:p>
    <w:p w14:paraId="26983A35" w14:textId="77777777" w:rsidR="008D112A" w:rsidRPr="001B4A02" w:rsidRDefault="00000000" w:rsidP="007E5C3A">
      <w:pPr>
        <w:rPr>
          <w:szCs w:val="22"/>
        </w:rPr>
      </w:pPr>
      <w:r w:rsidRPr="001B4A02">
        <w:rPr>
          <w:szCs w:val="22"/>
        </w:rPr>
        <w:t>Pro informace o uchovávání viz příbalov</w:t>
      </w:r>
      <w:r w:rsidR="00DE3467">
        <w:rPr>
          <w:szCs w:val="22"/>
        </w:rPr>
        <w:t>á</w:t>
      </w:r>
      <w:r w:rsidRPr="001B4A02">
        <w:rPr>
          <w:szCs w:val="22"/>
        </w:rPr>
        <w:t xml:space="preserve"> informac</w:t>
      </w:r>
      <w:r w:rsidR="00DE3467">
        <w:rPr>
          <w:szCs w:val="22"/>
        </w:rPr>
        <w:t>e</w:t>
      </w:r>
      <w:r w:rsidRPr="001B4A02">
        <w:rPr>
          <w:szCs w:val="22"/>
        </w:rPr>
        <w:t xml:space="preserve">. </w:t>
      </w:r>
    </w:p>
    <w:p w14:paraId="38FDD90C" w14:textId="77777777" w:rsidR="008D112A" w:rsidRPr="001B4A02" w:rsidRDefault="008D112A" w:rsidP="007E5C3A">
      <w:pPr>
        <w:rPr>
          <w:szCs w:val="22"/>
        </w:rPr>
      </w:pPr>
    </w:p>
    <w:p w14:paraId="7D7C7A5F" w14:textId="77777777" w:rsidR="002F02FC" w:rsidRPr="001B4A02" w:rsidRDefault="00000000" w:rsidP="007E5C3A">
      <w:pPr>
        <w:rPr>
          <w:szCs w:val="22"/>
        </w:rPr>
      </w:pPr>
      <w:r w:rsidRPr="001B4A02">
        <w:rPr>
          <w:szCs w:val="22"/>
        </w:rPr>
        <w:t>Pouze k jednorázovému použití</w:t>
      </w:r>
      <w:r w:rsidR="009954F1" w:rsidRPr="001B4A02">
        <w:rPr>
          <w:szCs w:val="22"/>
        </w:rPr>
        <w:t>.</w:t>
      </w:r>
    </w:p>
    <w:p w14:paraId="2B6F86A0" w14:textId="77777777" w:rsidR="0000361B" w:rsidRDefault="0000361B" w:rsidP="0000361B">
      <w:pPr>
        <w:rPr>
          <w:highlight w:val="lightGray"/>
        </w:rPr>
      </w:pPr>
    </w:p>
    <w:p w14:paraId="708C6231" w14:textId="77777777" w:rsidR="002F02FC" w:rsidRPr="001B4A02" w:rsidRDefault="00000000" w:rsidP="007E5C3A">
      <w:pPr>
        <w:pStyle w:val="EMEAHeadingBoxedTitle"/>
        <w:rPr>
          <w:rFonts w:ascii="Times New Roman" w:hAnsi="Times New Roman"/>
          <w:b/>
          <w:szCs w:val="22"/>
          <w:lang w:val="cs-CZ"/>
        </w:rPr>
      </w:pPr>
      <w:r w:rsidRPr="001B4A02">
        <w:rPr>
          <w:rFonts w:ascii="Times New Roman" w:hAnsi="Times New Roman"/>
          <w:b/>
          <w:szCs w:val="22"/>
          <w:lang w:val="cs-CZ"/>
        </w:rPr>
        <w:br w:type="page"/>
      </w:r>
      <w:r w:rsidR="008D112A" w:rsidRPr="001B4A02">
        <w:rPr>
          <w:rFonts w:ascii="Times New Roman" w:hAnsi="Times New Roman"/>
          <w:b/>
          <w:szCs w:val="22"/>
          <w:lang w:val="cs-CZ"/>
        </w:rPr>
        <w:t>MINIMÁLNÍ ÚDAJE UVÁDĚNÉ NA MALÉM VNITŘNÍM obalu</w:t>
      </w:r>
    </w:p>
    <w:p w14:paraId="549FE93C" w14:textId="77777777" w:rsidR="002F02FC" w:rsidRPr="001B4A02" w:rsidRDefault="002F02FC" w:rsidP="007E5C3A">
      <w:pPr>
        <w:pStyle w:val="EMEAHeadingBoxedTitle"/>
        <w:rPr>
          <w:rFonts w:ascii="Times New Roman" w:hAnsi="Times New Roman"/>
          <w:b/>
          <w:bCs/>
          <w:szCs w:val="22"/>
          <w:lang w:val="cs-CZ"/>
        </w:rPr>
      </w:pPr>
    </w:p>
    <w:p w14:paraId="15C39152" w14:textId="77777777" w:rsidR="002F02FC" w:rsidRPr="001B4A02" w:rsidRDefault="00000000" w:rsidP="007E5C3A">
      <w:pPr>
        <w:pStyle w:val="EMEAHeadingBoxedTitle"/>
        <w:rPr>
          <w:rFonts w:ascii="Times New Roman" w:hAnsi="Times New Roman"/>
          <w:b/>
          <w:bCs/>
          <w:szCs w:val="22"/>
          <w:lang w:val="cs-CZ"/>
        </w:rPr>
      </w:pPr>
      <w:r w:rsidRPr="001B4A02">
        <w:rPr>
          <w:rFonts w:ascii="Times New Roman" w:hAnsi="Times New Roman"/>
          <w:b/>
          <w:bCs/>
          <w:szCs w:val="22"/>
          <w:lang w:val="cs-CZ"/>
        </w:rPr>
        <w:t>etiketa na injekční stříkačce</w:t>
      </w:r>
    </w:p>
    <w:p w14:paraId="0AAAA732" w14:textId="77777777" w:rsidR="002F02FC" w:rsidRPr="001B4A02" w:rsidRDefault="002F02FC" w:rsidP="007E5C3A">
      <w:pPr>
        <w:pStyle w:val="EMEANormal"/>
        <w:rPr>
          <w:szCs w:val="22"/>
          <w:lang w:val="cs-CZ"/>
        </w:rPr>
      </w:pPr>
    </w:p>
    <w:p w14:paraId="4FDCE9AD" w14:textId="77777777" w:rsidR="002F02FC" w:rsidRPr="001B4A02" w:rsidRDefault="002F02FC" w:rsidP="007E5C3A">
      <w:pPr>
        <w:pStyle w:val="EMEANormal"/>
        <w:rPr>
          <w:szCs w:val="22"/>
          <w:lang w:val="cs-CZ"/>
        </w:rPr>
      </w:pPr>
    </w:p>
    <w:p w14:paraId="68FD7ABF" w14:textId="77777777" w:rsidR="002F02FC" w:rsidRPr="001B4A02" w:rsidRDefault="00000000" w:rsidP="007E5C3A">
      <w:pPr>
        <w:pStyle w:val="EMEAHeadingBoxed1"/>
        <w:spacing w:beforeLines="0" w:afterLines="0" w:after="0"/>
        <w:rPr>
          <w:rFonts w:ascii="Times New Roman" w:hAnsi="Times New Roman"/>
          <w:szCs w:val="22"/>
          <w:lang w:val="cs-CZ"/>
        </w:rPr>
      </w:pPr>
      <w:r w:rsidRPr="001B4A02">
        <w:rPr>
          <w:rFonts w:ascii="Times New Roman" w:hAnsi="Times New Roman"/>
          <w:szCs w:val="22"/>
          <w:lang w:val="cs-CZ"/>
        </w:rPr>
        <w:t>1.</w:t>
      </w:r>
      <w:r w:rsidRPr="001B4A02">
        <w:rPr>
          <w:rFonts w:ascii="Times New Roman" w:hAnsi="Times New Roman"/>
          <w:szCs w:val="22"/>
          <w:lang w:val="cs-CZ"/>
        </w:rPr>
        <w:tab/>
      </w:r>
      <w:r w:rsidR="008D112A" w:rsidRPr="001B4A02">
        <w:rPr>
          <w:rFonts w:ascii="Times New Roman" w:hAnsi="Times New Roman"/>
          <w:szCs w:val="22"/>
          <w:lang w:val="cs-CZ"/>
        </w:rPr>
        <w:t>NÁZEV LÉČIVÉHO PŘÍPRAVKU A CESTA PODÁNÍ</w:t>
      </w:r>
    </w:p>
    <w:p w14:paraId="5F5AD69D" w14:textId="77777777" w:rsidR="002F02FC" w:rsidRPr="001B4A02" w:rsidRDefault="002F02FC" w:rsidP="007E5C3A">
      <w:pPr>
        <w:ind w:left="540" w:hanging="540"/>
        <w:rPr>
          <w:szCs w:val="22"/>
        </w:rPr>
      </w:pPr>
    </w:p>
    <w:p w14:paraId="3AE82E16" w14:textId="77777777" w:rsidR="002F02FC" w:rsidRPr="001B4A02" w:rsidRDefault="00000000" w:rsidP="007E5C3A">
      <w:pPr>
        <w:ind w:left="540" w:hanging="540"/>
        <w:rPr>
          <w:szCs w:val="22"/>
        </w:rPr>
      </w:pPr>
      <w:r w:rsidRPr="001B4A02">
        <w:rPr>
          <w:szCs w:val="22"/>
        </w:rPr>
        <w:t xml:space="preserve">Humira 80 mg </w:t>
      </w:r>
      <w:r w:rsidR="008D112A" w:rsidRPr="001B4A02">
        <w:rPr>
          <w:szCs w:val="22"/>
        </w:rPr>
        <w:t>injekce</w:t>
      </w:r>
    </w:p>
    <w:p w14:paraId="783CCECA" w14:textId="77777777" w:rsidR="002F02FC" w:rsidRPr="001B4A02" w:rsidRDefault="00000000" w:rsidP="007E5C3A">
      <w:pPr>
        <w:ind w:left="540" w:hanging="540"/>
        <w:rPr>
          <w:szCs w:val="22"/>
        </w:rPr>
      </w:pPr>
      <w:r w:rsidRPr="001B4A02">
        <w:rPr>
          <w:szCs w:val="22"/>
        </w:rPr>
        <w:t>adalimumab</w:t>
      </w:r>
      <w:del w:id="9786" w:author="Abbvie02" w:date="2025-05-16T11:49:00Z">
        <w:r w:rsidR="008D112A" w:rsidRPr="001B4A02">
          <w:rPr>
            <w:szCs w:val="22"/>
          </w:rPr>
          <w:delText>um</w:delText>
        </w:r>
      </w:del>
    </w:p>
    <w:p w14:paraId="4FD6228E" w14:textId="77777777" w:rsidR="002F02FC" w:rsidRPr="001B4A02" w:rsidRDefault="00000000" w:rsidP="007E5C3A">
      <w:pPr>
        <w:pStyle w:val="EndnoteText"/>
        <w:ind w:left="540" w:hanging="540"/>
        <w:rPr>
          <w:szCs w:val="22"/>
          <w:lang w:val="cs-CZ"/>
        </w:rPr>
      </w:pPr>
      <w:r w:rsidRPr="001B4A02">
        <w:rPr>
          <w:szCs w:val="22"/>
          <w:lang w:val="cs-CZ"/>
        </w:rPr>
        <w:t>s.c.</w:t>
      </w:r>
    </w:p>
    <w:p w14:paraId="64F86F23" w14:textId="77777777" w:rsidR="002F02FC" w:rsidRPr="001B4A02" w:rsidRDefault="002F02FC" w:rsidP="007E5C3A">
      <w:pPr>
        <w:rPr>
          <w:szCs w:val="22"/>
          <w:highlight w:val="yellow"/>
        </w:rPr>
      </w:pPr>
    </w:p>
    <w:p w14:paraId="29CC6B7B" w14:textId="77777777" w:rsidR="002F02FC" w:rsidRPr="001B4A02" w:rsidRDefault="002F02FC" w:rsidP="007E5C3A">
      <w:pPr>
        <w:rPr>
          <w:szCs w:val="22"/>
        </w:rPr>
      </w:pPr>
    </w:p>
    <w:p w14:paraId="22441864" w14:textId="77777777" w:rsidR="002F02FC" w:rsidRPr="001B4A02" w:rsidRDefault="00000000" w:rsidP="007E5C3A">
      <w:pPr>
        <w:pStyle w:val="EMEAHeadingBoxedEmpty"/>
        <w:spacing w:beforeLines="0"/>
        <w:rPr>
          <w:rFonts w:ascii="Times New Roman" w:hAnsi="Times New Roman"/>
          <w:szCs w:val="22"/>
          <w:lang w:val="cs-CZ"/>
        </w:rPr>
      </w:pPr>
      <w:r w:rsidRPr="001B4A02">
        <w:rPr>
          <w:rFonts w:ascii="Times New Roman" w:hAnsi="Times New Roman"/>
          <w:szCs w:val="22"/>
          <w:lang w:val="cs-CZ"/>
        </w:rPr>
        <w:t>2.</w:t>
      </w:r>
      <w:r w:rsidRPr="001B4A02">
        <w:rPr>
          <w:rFonts w:ascii="Times New Roman" w:hAnsi="Times New Roman"/>
          <w:szCs w:val="22"/>
          <w:lang w:val="cs-CZ"/>
        </w:rPr>
        <w:tab/>
      </w:r>
      <w:r w:rsidR="008D112A" w:rsidRPr="001B4A02">
        <w:rPr>
          <w:rFonts w:ascii="Times New Roman" w:hAnsi="Times New Roman"/>
          <w:szCs w:val="22"/>
          <w:lang w:val="cs-CZ"/>
        </w:rPr>
        <w:t>ZPŮSOB PODÁNÍ</w:t>
      </w:r>
    </w:p>
    <w:p w14:paraId="29686B7A" w14:textId="77777777" w:rsidR="002F02FC" w:rsidRPr="001B4A02" w:rsidRDefault="002F02FC" w:rsidP="007E5C3A">
      <w:pPr>
        <w:ind w:left="540" w:hanging="540"/>
        <w:rPr>
          <w:szCs w:val="22"/>
        </w:rPr>
      </w:pPr>
    </w:p>
    <w:p w14:paraId="25EFF52C" w14:textId="77777777" w:rsidR="002F02FC" w:rsidRPr="001B4A02" w:rsidRDefault="002F02FC" w:rsidP="007E5C3A">
      <w:pPr>
        <w:ind w:left="540" w:hanging="540"/>
        <w:rPr>
          <w:szCs w:val="22"/>
        </w:rPr>
      </w:pPr>
    </w:p>
    <w:p w14:paraId="019D6843" w14:textId="77777777" w:rsidR="002F02FC" w:rsidRPr="001B4A02" w:rsidRDefault="00000000" w:rsidP="007E5C3A">
      <w:pPr>
        <w:pStyle w:val="EMEAHeadingBoxed1"/>
        <w:spacing w:beforeLines="0" w:afterLines="0" w:after="0"/>
        <w:rPr>
          <w:rFonts w:ascii="Times New Roman" w:hAnsi="Times New Roman"/>
          <w:szCs w:val="22"/>
          <w:lang w:val="cs-CZ"/>
        </w:rPr>
      </w:pPr>
      <w:r w:rsidRPr="001B4A02">
        <w:rPr>
          <w:rFonts w:ascii="Times New Roman" w:hAnsi="Times New Roman"/>
          <w:szCs w:val="22"/>
          <w:lang w:val="cs-CZ"/>
        </w:rPr>
        <w:t>3.</w:t>
      </w:r>
      <w:r w:rsidRPr="001B4A02">
        <w:rPr>
          <w:rFonts w:ascii="Times New Roman" w:hAnsi="Times New Roman"/>
          <w:szCs w:val="22"/>
          <w:lang w:val="cs-CZ"/>
        </w:rPr>
        <w:tab/>
      </w:r>
      <w:r w:rsidR="008D112A" w:rsidRPr="001B4A02">
        <w:rPr>
          <w:rFonts w:ascii="Times New Roman" w:hAnsi="Times New Roman"/>
          <w:szCs w:val="22"/>
          <w:lang w:val="cs-CZ"/>
        </w:rPr>
        <w:t>POUŽITELNOST</w:t>
      </w:r>
    </w:p>
    <w:p w14:paraId="0EB58C90" w14:textId="77777777" w:rsidR="002F02FC" w:rsidRPr="001B4A02" w:rsidRDefault="002F02FC" w:rsidP="007E5C3A">
      <w:pPr>
        <w:ind w:left="540" w:hanging="540"/>
        <w:rPr>
          <w:szCs w:val="22"/>
        </w:rPr>
      </w:pPr>
    </w:p>
    <w:p w14:paraId="65DE28F5" w14:textId="77777777" w:rsidR="002F02FC" w:rsidRPr="001B4A02" w:rsidRDefault="00000000" w:rsidP="007E5C3A">
      <w:pPr>
        <w:ind w:left="540" w:hanging="540"/>
        <w:rPr>
          <w:szCs w:val="22"/>
        </w:rPr>
      </w:pPr>
      <w:r w:rsidRPr="001B4A02">
        <w:rPr>
          <w:szCs w:val="22"/>
        </w:rPr>
        <w:t>EXP</w:t>
      </w:r>
    </w:p>
    <w:p w14:paraId="16D630A3" w14:textId="77777777" w:rsidR="002F02FC" w:rsidRPr="001B4A02" w:rsidRDefault="002F02FC" w:rsidP="007E5C3A">
      <w:pPr>
        <w:ind w:left="540" w:hanging="540"/>
        <w:rPr>
          <w:szCs w:val="22"/>
        </w:rPr>
      </w:pPr>
    </w:p>
    <w:p w14:paraId="32148F1E" w14:textId="77777777" w:rsidR="002F02FC" w:rsidRPr="001B4A02" w:rsidRDefault="002F02FC" w:rsidP="007E5C3A">
      <w:pPr>
        <w:ind w:left="540" w:hanging="540"/>
        <w:rPr>
          <w:szCs w:val="22"/>
        </w:rPr>
      </w:pPr>
    </w:p>
    <w:p w14:paraId="59C34AB0" w14:textId="77777777" w:rsidR="002F02FC" w:rsidRPr="001B4A02" w:rsidRDefault="00000000" w:rsidP="007E5C3A">
      <w:pPr>
        <w:pStyle w:val="EMEAHeadingBoxed"/>
        <w:spacing w:beforeLines="0" w:afterLines="0"/>
        <w:rPr>
          <w:rFonts w:ascii="Times New Roman" w:hAnsi="Times New Roman"/>
          <w:szCs w:val="22"/>
          <w:lang w:val="cs-CZ"/>
        </w:rPr>
      </w:pPr>
      <w:r w:rsidRPr="001B4A02">
        <w:rPr>
          <w:rFonts w:ascii="Times New Roman" w:hAnsi="Times New Roman"/>
          <w:szCs w:val="22"/>
          <w:lang w:val="cs-CZ"/>
        </w:rPr>
        <w:t>4.</w:t>
      </w:r>
      <w:r w:rsidRPr="001B4A02">
        <w:rPr>
          <w:rFonts w:ascii="Times New Roman" w:hAnsi="Times New Roman"/>
          <w:szCs w:val="22"/>
          <w:lang w:val="cs-CZ"/>
        </w:rPr>
        <w:tab/>
      </w:r>
      <w:r w:rsidR="008D112A" w:rsidRPr="001B4A02">
        <w:rPr>
          <w:rFonts w:ascii="Times New Roman" w:hAnsi="Times New Roman"/>
          <w:szCs w:val="22"/>
          <w:lang w:val="cs-CZ"/>
        </w:rPr>
        <w:t>ČÍSLO ŠARŽE</w:t>
      </w:r>
    </w:p>
    <w:p w14:paraId="34152525" w14:textId="77777777" w:rsidR="002F02FC" w:rsidRPr="001B4A02" w:rsidRDefault="002F02FC" w:rsidP="007E5C3A">
      <w:pPr>
        <w:ind w:left="540" w:hanging="540"/>
        <w:rPr>
          <w:szCs w:val="22"/>
        </w:rPr>
      </w:pPr>
    </w:p>
    <w:p w14:paraId="2A3EC2CD" w14:textId="77777777" w:rsidR="002F02FC" w:rsidRPr="001B4A02" w:rsidRDefault="00000000" w:rsidP="007E5C3A">
      <w:pPr>
        <w:ind w:left="540" w:hanging="540"/>
        <w:rPr>
          <w:szCs w:val="22"/>
        </w:rPr>
      </w:pPr>
      <w:r w:rsidRPr="001B4A02">
        <w:rPr>
          <w:szCs w:val="22"/>
        </w:rPr>
        <w:t>Lot</w:t>
      </w:r>
    </w:p>
    <w:p w14:paraId="44C3FB74" w14:textId="77777777" w:rsidR="002F02FC" w:rsidRPr="001B4A02" w:rsidRDefault="002F02FC" w:rsidP="007E5C3A">
      <w:pPr>
        <w:ind w:left="540" w:hanging="540"/>
        <w:rPr>
          <w:szCs w:val="22"/>
          <w:highlight w:val="yellow"/>
        </w:rPr>
      </w:pPr>
    </w:p>
    <w:p w14:paraId="2D9267D6" w14:textId="77777777" w:rsidR="002F02FC" w:rsidRPr="001B4A02" w:rsidRDefault="002F02FC" w:rsidP="007E5C3A">
      <w:pPr>
        <w:ind w:left="540" w:hanging="540"/>
        <w:rPr>
          <w:szCs w:val="22"/>
          <w:highlight w:val="yellow"/>
        </w:rPr>
      </w:pPr>
    </w:p>
    <w:p w14:paraId="64A63649" w14:textId="77777777" w:rsidR="002F02FC" w:rsidRPr="001B4A02" w:rsidRDefault="00000000" w:rsidP="007E5C3A">
      <w:pPr>
        <w:pStyle w:val="EMEAHeadingBoxed"/>
        <w:spacing w:beforeLines="0" w:afterLines="0"/>
        <w:rPr>
          <w:rFonts w:ascii="Times New Roman" w:hAnsi="Times New Roman"/>
          <w:szCs w:val="22"/>
          <w:lang w:val="cs-CZ"/>
        </w:rPr>
      </w:pPr>
      <w:r w:rsidRPr="001B4A02">
        <w:rPr>
          <w:rFonts w:ascii="Times New Roman" w:hAnsi="Times New Roman"/>
          <w:szCs w:val="22"/>
          <w:lang w:val="cs-CZ"/>
        </w:rPr>
        <w:t>5.</w:t>
      </w:r>
      <w:r w:rsidRPr="001B4A02">
        <w:rPr>
          <w:rFonts w:ascii="Times New Roman" w:hAnsi="Times New Roman"/>
          <w:szCs w:val="22"/>
          <w:lang w:val="cs-CZ"/>
        </w:rPr>
        <w:tab/>
      </w:r>
      <w:r w:rsidR="008D112A" w:rsidRPr="001B4A02">
        <w:rPr>
          <w:rFonts w:ascii="Times New Roman" w:hAnsi="Times New Roman"/>
          <w:szCs w:val="22"/>
          <w:lang w:val="cs-CZ"/>
        </w:rPr>
        <w:t>OBSAH UDANÝ JAKO HMOTNOST, OBJEM NEBO POČET DÁVEK</w:t>
      </w:r>
    </w:p>
    <w:p w14:paraId="577D7B8A" w14:textId="77777777" w:rsidR="002F02FC" w:rsidRPr="001B4A02" w:rsidRDefault="002F02FC" w:rsidP="007E5C3A">
      <w:pPr>
        <w:ind w:left="540" w:hanging="540"/>
        <w:rPr>
          <w:szCs w:val="22"/>
        </w:rPr>
      </w:pPr>
    </w:p>
    <w:p w14:paraId="03F941FE" w14:textId="77777777" w:rsidR="002F02FC" w:rsidRPr="001B4A02" w:rsidRDefault="00000000" w:rsidP="007E5C3A">
      <w:pPr>
        <w:ind w:left="540" w:hanging="540"/>
        <w:rPr>
          <w:szCs w:val="22"/>
        </w:rPr>
      </w:pPr>
      <w:r w:rsidRPr="001B4A02">
        <w:rPr>
          <w:szCs w:val="22"/>
        </w:rPr>
        <w:t>80 mg</w:t>
      </w:r>
      <w:r w:rsidR="009954F1" w:rsidRPr="001B4A02">
        <w:rPr>
          <w:szCs w:val="22"/>
          <w:highlight w:val="lightGray"/>
        </w:rPr>
        <w:t>/0,8 ml</w:t>
      </w:r>
    </w:p>
    <w:p w14:paraId="0C654D1F" w14:textId="77777777" w:rsidR="002F02FC" w:rsidRPr="001B4A02" w:rsidRDefault="002F02FC" w:rsidP="007E5C3A">
      <w:pPr>
        <w:ind w:left="540" w:hanging="540"/>
        <w:rPr>
          <w:szCs w:val="22"/>
        </w:rPr>
      </w:pPr>
    </w:p>
    <w:p w14:paraId="254C594F" w14:textId="77777777" w:rsidR="002F02FC" w:rsidRPr="001B4A02" w:rsidRDefault="002F02FC" w:rsidP="007E5C3A">
      <w:pPr>
        <w:ind w:left="540" w:hanging="540"/>
        <w:rPr>
          <w:szCs w:val="22"/>
        </w:rPr>
      </w:pPr>
    </w:p>
    <w:p w14:paraId="7D0AE444" w14:textId="77777777" w:rsidR="002F02FC" w:rsidRPr="001B4A02" w:rsidRDefault="00000000" w:rsidP="007E5C3A">
      <w:pPr>
        <w:pStyle w:val="EMEAHeadingBoxed"/>
        <w:spacing w:beforeLines="0" w:afterLines="0"/>
        <w:ind w:left="0" w:firstLine="0"/>
        <w:rPr>
          <w:rFonts w:ascii="Times New Roman" w:hAnsi="Times New Roman"/>
          <w:szCs w:val="22"/>
          <w:lang w:val="cs-CZ"/>
        </w:rPr>
      </w:pPr>
      <w:r w:rsidRPr="001B4A02">
        <w:rPr>
          <w:rFonts w:ascii="Times New Roman" w:hAnsi="Times New Roman"/>
          <w:szCs w:val="22"/>
          <w:lang w:val="cs-CZ"/>
        </w:rPr>
        <w:t>6.</w:t>
      </w:r>
      <w:r w:rsidRPr="001B4A02">
        <w:rPr>
          <w:rFonts w:ascii="Times New Roman" w:hAnsi="Times New Roman"/>
          <w:szCs w:val="22"/>
          <w:lang w:val="cs-CZ"/>
        </w:rPr>
        <w:tab/>
      </w:r>
      <w:r w:rsidR="008D112A" w:rsidRPr="001B4A02">
        <w:rPr>
          <w:rFonts w:ascii="Times New Roman" w:hAnsi="Times New Roman"/>
          <w:szCs w:val="22"/>
          <w:lang w:val="cs-CZ"/>
        </w:rPr>
        <w:t>jiné</w:t>
      </w:r>
    </w:p>
    <w:p w14:paraId="25E40A3A" w14:textId="77777777" w:rsidR="00CA2697" w:rsidRDefault="00000000">
      <w:pPr>
        <w:ind w:left="0" w:firstLine="0"/>
      </w:pPr>
      <w:r>
        <w:br w:type="page"/>
      </w:r>
    </w:p>
    <w:p w14:paraId="386920EC" w14:textId="77777777" w:rsidR="00073F8F" w:rsidRPr="001B4A02" w:rsidRDefault="00073F8F" w:rsidP="0000361B">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45D1CE2" w14:textId="77777777" w:rsidTr="00B73639">
        <w:tc>
          <w:tcPr>
            <w:tcW w:w="9287" w:type="dxa"/>
          </w:tcPr>
          <w:p w14:paraId="3420CD02" w14:textId="77777777" w:rsidR="00934FD3" w:rsidRPr="001B4A02" w:rsidRDefault="00000000" w:rsidP="00B73639">
            <w:pPr>
              <w:ind w:left="0" w:firstLine="0"/>
              <w:rPr>
                <w:b/>
              </w:rPr>
            </w:pPr>
            <w:r w:rsidRPr="001B4A02">
              <w:br w:type="page"/>
            </w:r>
            <w:r w:rsidRPr="001B4A02">
              <w:rPr>
                <w:b/>
                <w:u w:val="single"/>
              </w:rPr>
              <w:br w:type="page"/>
            </w:r>
            <w:r w:rsidRPr="001B4A02">
              <w:rPr>
                <w:b/>
              </w:rPr>
              <w:t>ÚDAJE UVÁDĚNÉ NA VNĚJŠÍM OBALU</w:t>
            </w:r>
          </w:p>
          <w:p w14:paraId="6965A64F" w14:textId="77777777" w:rsidR="00934FD3" w:rsidRPr="001B4A02" w:rsidRDefault="00934FD3" w:rsidP="00B73639">
            <w:pPr>
              <w:rPr>
                <w:b/>
              </w:rPr>
            </w:pPr>
          </w:p>
          <w:p w14:paraId="7BAA03B4" w14:textId="77777777" w:rsidR="00934FD3" w:rsidRPr="001B4A02" w:rsidRDefault="00000000" w:rsidP="00B73639">
            <w:pPr>
              <w:rPr>
                <w:b/>
                <w:caps/>
              </w:rPr>
            </w:pPr>
            <w:r w:rsidRPr="001B4A02">
              <w:rPr>
                <w:b/>
                <w:caps/>
              </w:rPr>
              <w:t>Krabička</w:t>
            </w:r>
          </w:p>
        </w:tc>
      </w:tr>
    </w:tbl>
    <w:p w14:paraId="4329D3C2" w14:textId="77777777" w:rsidR="00934FD3" w:rsidRPr="001B4A02" w:rsidRDefault="00934FD3" w:rsidP="00934FD3"/>
    <w:p w14:paraId="36AD8228" w14:textId="77777777" w:rsidR="00D00732" w:rsidRPr="001B4A02" w:rsidRDefault="00D00732" w:rsidP="0009084E">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3524B82" w14:textId="77777777" w:rsidTr="00B87DF7">
        <w:tc>
          <w:tcPr>
            <w:tcW w:w="9287" w:type="dxa"/>
          </w:tcPr>
          <w:p w14:paraId="396719B7" w14:textId="77777777" w:rsidR="00D00732" w:rsidRPr="001B4A02" w:rsidRDefault="00000000" w:rsidP="00ED48A3">
            <w:pPr>
              <w:tabs>
                <w:tab w:val="left" w:pos="142"/>
              </w:tabs>
              <w:rPr>
                <w:b/>
              </w:rPr>
            </w:pPr>
            <w:r w:rsidRPr="001B4A02">
              <w:rPr>
                <w:b/>
              </w:rPr>
              <w:t>1.</w:t>
            </w:r>
            <w:r w:rsidRPr="001B4A02">
              <w:rPr>
                <w:b/>
              </w:rPr>
              <w:tab/>
              <w:t>NÁZEV LÉČIVÉHO PŘÍPRAVKU</w:t>
            </w:r>
          </w:p>
        </w:tc>
      </w:tr>
    </w:tbl>
    <w:p w14:paraId="4727A5C0" w14:textId="77777777" w:rsidR="00D00732" w:rsidRPr="001B4A02" w:rsidRDefault="00D00732" w:rsidP="00ED48A3"/>
    <w:p w14:paraId="570E8353" w14:textId="77777777" w:rsidR="00D00732" w:rsidRPr="001B4A02" w:rsidRDefault="00000000" w:rsidP="004D0686">
      <w:pPr>
        <w:outlineLvl w:val="0"/>
      </w:pPr>
      <w:r w:rsidRPr="001B4A02">
        <w:t>Humira 80 mg injekční roztok v předplněném peru</w:t>
      </w:r>
    </w:p>
    <w:p w14:paraId="62D0F96B" w14:textId="77777777" w:rsidR="00D00732" w:rsidRPr="001B4A02" w:rsidRDefault="00000000" w:rsidP="00ED48A3">
      <w:r w:rsidRPr="001B4A02">
        <w:t>adalimumab</w:t>
      </w:r>
      <w:del w:id="9787" w:author="Abbvie02" w:date="2025-05-16T11:49:00Z">
        <w:r w:rsidRPr="001B4A02">
          <w:delText>um</w:delText>
        </w:r>
      </w:del>
    </w:p>
    <w:p w14:paraId="05FD57CA" w14:textId="77777777" w:rsidR="00D00732" w:rsidRPr="001B4A02" w:rsidRDefault="00D00732" w:rsidP="00ED48A3"/>
    <w:p w14:paraId="631D92A8"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6F4725C" w14:textId="77777777" w:rsidTr="00B87DF7">
        <w:tc>
          <w:tcPr>
            <w:tcW w:w="9287" w:type="dxa"/>
          </w:tcPr>
          <w:p w14:paraId="009032AB" w14:textId="77777777" w:rsidR="00D00732" w:rsidRPr="001B4A02" w:rsidRDefault="00000000" w:rsidP="00ED48A3">
            <w:pPr>
              <w:tabs>
                <w:tab w:val="left" w:pos="142"/>
              </w:tabs>
              <w:rPr>
                <w:b/>
              </w:rPr>
            </w:pPr>
            <w:r w:rsidRPr="001B4A02">
              <w:rPr>
                <w:b/>
              </w:rPr>
              <w:t>2.</w:t>
            </w:r>
            <w:r w:rsidRPr="001B4A02">
              <w:rPr>
                <w:b/>
              </w:rPr>
              <w:tab/>
              <w:t>OBSAH LÉČIVÉ LÁTKY</w:t>
            </w:r>
          </w:p>
        </w:tc>
      </w:tr>
    </w:tbl>
    <w:p w14:paraId="5AD3FBA7" w14:textId="77777777" w:rsidR="00D00732" w:rsidRPr="001B4A02" w:rsidRDefault="00D00732" w:rsidP="00ED48A3"/>
    <w:p w14:paraId="116A1EDF" w14:textId="77777777" w:rsidR="00D00732" w:rsidRPr="001B4A02" w:rsidRDefault="00000000" w:rsidP="00ED48A3">
      <w:r w:rsidRPr="001B4A02">
        <w:t xml:space="preserve">Jedno 0,8ml předplněné pero obsahuje </w:t>
      </w:r>
      <w:del w:id="9788" w:author="Abbvie02" w:date="2025-05-16T11:50:00Z">
        <w:r w:rsidRPr="001B4A02">
          <w:delText xml:space="preserve">adalimumabum </w:delText>
        </w:r>
      </w:del>
      <w:r w:rsidRPr="001B4A02">
        <w:t>80</w:t>
      </w:r>
      <w:r w:rsidR="00874DE1">
        <w:t> mg</w:t>
      </w:r>
      <w:ins w:id="9789" w:author="Abbvie02" w:date="2025-05-16T11:50:00Z">
        <w:r w:rsidR="00BB1309" w:rsidRPr="00BB1309">
          <w:t xml:space="preserve"> </w:t>
        </w:r>
        <w:r w:rsidR="00BB1309" w:rsidRPr="001B4A02">
          <w:t>adalimumabu</w:t>
        </w:r>
      </w:ins>
      <w:r w:rsidRPr="001B4A02">
        <w:t>.</w:t>
      </w:r>
    </w:p>
    <w:p w14:paraId="2F2F0563" w14:textId="77777777" w:rsidR="00D00732" w:rsidRPr="001B4A02" w:rsidRDefault="00D00732" w:rsidP="00ED48A3"/>
    <w:p w14:paraId="39EE7F88"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434BC7A" w14:textId="77777777" w:rsidTr="00B87DF7">
        <w:tc>
          <w:tcPr>
            <w:tcW w:w="9287" w:type="dxa"/>
          </w:tcPr>
          <w:p w14:paraId="0D9F52B6" w14:textId="77777777" w:rsidR="00D00732" w:rsidRPr="001B4A02" w:rsidRDefault="00000000" w:rsidP="00ED48A3">
            <w:pPr>
              <w:tabs>
                <w:tab w:val="left" w:pos="142"/>
              </w:tabs>
              <w:rPr>
                <w:b/>
              </w:rPr>
            </w:pPr>
            <w:r w:rsidRPr="001B4A02">
              <w:rPr>
                <w:b/>
              </w:rPr>
              <w:t>3.</w:t>
            </w:r>
            <w:r w:rsidRPr="001B4A02">
              <w:rPr>
                <w:b/>
              </w:rPr>
              <w:tab/>
              <w:t>SEZNAM POMOCNÝCH LÁTEK</w:t>
            </w:r>
          </w:p>
        </w:tc>
      </w:tr>
    </w:tbl>
    <w:p w14:paraId="662F5C2D" w14:textId="77777777" w:rsidR="00D00732" w:rsidRPr="001B4A02" w:rsidRDefault="00D00732" w:rsidP="00ED48A3"/>
    <w:p w14:paraId="41F00B9B" w14:textId="77777777" w:rsidR="00D00732" w:rsidRPr="001B4A02" w:rsidRDefault="00000000" w:rsidP="00ED48A3">
      <w:pPr>
        <w:ind w:left="0" w:firstLine="0"/>
      </w:pPr>
      <w:r w:rsidRPr="001B4A02">
        <w:t>Pomocné látky: mannitol, polysorbát 80</w:t>
      </w:r>
      <w:r w:rsidR="002378E0">
        <w:t xml:space="preserve"> a </w:t>
      </w:r>
      <w:r w:rsidRPr="001B4A02">
        <w:t xml:space="preserve">voda </w:t>
      </w:r>
      <w:r w:rsidR="00202301" w:rsidRPr="001B4A02">
        <w:t>pro</w:t>
      </w:r>
      <w:r w:rsidRPr="001B4A02">
        <w:t xml:space="preserve"> injekci. Další informace naleznete v příbalové informaci.</w:t>
      </w:r>
    </w:p>
    <w:p w14:paraId="30FA0A4F" w14:textId="77777777" w:rsidR="00D00732" w:rsidRPr="001B4A02" w:rsidRDefault="00D00732" w:rsidP="00ED48A3"/>
    <w:p w14:paraId="036A39BE"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52A536B" w14:textId="77777777" w:rsidTr="00B87DF7">
        <w:tc>
          <w:tcPr>
            <w:tcW w:w="9287" w:type="dxa"/>
          </w:tcPr>
          <w:p w14:paraId="1D35D49D" w14:textId="77777777" w:rsidR="00D00732" w:rsidRPr="001B4A02" w:rsidRDefault="00000000" w:rsidP="00ED48A3">
            <w:pPr>
              <w:tabs>
                <w:tab w:val="left" w:pos="142"/>
              </w:tabs>
              <w:rPr>
                <w:b/>
              </w:rPr>
            </w:pPr>
            <w:r w:rsidRPr="001B4A02">
              <w:rPr>
                <w:b/>
              </w:rPr>
              <w:t>4.</w:t>
            </w:r>
            <w:r w:rsidRPr="001B4A02">
              <w:rPr>
                <w:b/>
              </w:rPr>
              <w:tab/>
              <w:t>LÉKOVÁ FORMA A OBSAH BALENÍ</w:t>
            </w:r>
          </w:p>
        </w:tc>
      </w:tr>
    </w:tbl>
    <w:p w14:paraId="33CEF52E" w14:textId="77777777" w:rsidR="00D00732" w:rsidRPr="001B4A02" w:rsidRDefault="00D00732" w:rsidP="00ED48A3"/>
    <w:p w14:paraId="25A0C03A" w14:textId="77777777" w:rsidR="009954F1" w:rsidRPr="001B4A02" w:rsidRDefault="00000000" w:rsidP="00ED48A3">
      <w:r w:rsidRPr="001B4A02">
        <w:rPr>
          <w:highlight w:val="lightGray"/>
        </w:rPr>
        <w:t>Injekční roztok</w:t>
      </w:r>
    </w:p>
    <w:p w14:paraId="22FB34BC" w14:textId="77777777" w:rsidR="00D00732" w:rsidRPr="001B4A02" w:rsidRDefault="00000000" w:rsidP="00ED48A3">
      <w:r w:rsidRPr="001B4A02">
        <w:t xml:space="preserve">1 předplněné pero </w:t>
      </w:r>
    </w:p>
    <w:p w14:paraId="1A22C499" w14:textId="77777777" w:rsidR="00D00732" w:rsidRPr="001B4A02" w:rsidRDefault="00000000" w:rsidP="00ED48A3">
      <w:r w:rsidRPr="001B4A02">
        <w:t>2 tamp</w:t>
      </w:r>
      <w:ins w:id="9790" w:author="Abbvie02" w:date="2025-05-16T12:26:00Z">
        <w:r w:rsidR="00576B2A">
          <w:t>o</w:t>
        </w:r>
      </w:ins>
      <w:del w:id="9791" w:author="Abbvie02" w:date="2025-05-16T12:26:00Z">
        <w:r w:rsidRPr="001B4A02">
          <w:delText>ó</w:delText>
        </w:r>
      </w:del>
      <w:r w:rsidRPr="001B4A02">
        <w:t>ny napuštěné alkoholem</w:t>
      </w:r>
    </w:p>
    <w:p w14:paraId="42DCF32E" w14:textId="77777777" w:rsidR="002A0506" w:rsidRDefault="002A0506" w:rsidP="002A0506">
      <w:pPr>
        <w:ind w:left="0" w:firstLine="0"/>
      </w:pPr>
    </w:p>
    <w:p w14:paraId="3169FE22" w14:textId="77777777" w:rsidR="002A0506" w:rsidRDefault="00000000" w:rsidP="002A0506">
      <w:pPr>
        <w:ind w:left="0" w:firstLine="0"/>
        <w:rPr>
          <w:highlight w:val="lightGray"/>
        </w:rPr>
      </w:pPr>
      <w:r>
        <w:rPr>
          <w:highlight w:val="lightGray"/>
        </w:rPr>
        <w:t xml:space="preserve">3 předplněná pera </w:t>
      </w:r>
    </w:p>
    <w:p w14:paraId="4A4730B3" w14:textId="77777777" w:rsidR="002A0506" w:rsidRDefault="00000000" w:rsidP="002A0506">
      <w:pPr>
        <w:ind w:left="0" w:firstLine="0"/>
      </w:pPr>
      <w:r>
        <w:rPr>
          <w:highlight w:val="lightGray"/>
        </w:rPr>
        <w:t>4 tamp</w:t>
      </w:r>
      <w:ins w:id="9792" w:author="Abbvie02" w:date="2025-05-16T12:26:00Z">
        <w:r w:rsidR="00576B2A">
          <w:rPr>
            <w:highlight w:val="lightGray"/>
          </w:rPr>
          <w:t>o</w:t>
        </w:r>
      </w:ins>
      <w:del w:id="9793" w:author="Abbvie02" w:date="2025-05-16T12:26:00Z">
        <w:r>
          <w:rPr>
            <w:highlight w:val="lightGray"/>
          </w:rPr>
          <w:delText>ó</w:delText>
        </w:r>
      </w:del>
      <w:r>
        <w:rPr>
          <w:highlight w:val="lightGray"/>
        </w:rPr>
        <w:t>ny napuštěné alkoholem</w:t>
      </w:r>
    </w:p>
    <w:p w14:paraId="28240E68" w14:textId="77777777" w:rsidR="00D00732" w:rsidRPr="001B4A02" w:rsidRDefault="00D00732" w:rsidP="00ED48A3"/>
    <w:p w14:paraId="0A497B49"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BE0C4CE" w14:textId="77777777" w:rsidTr="00B87DF7">
        <w:tc>
          <w:tcPr>
            <w:tcW w:w="9287" w:type="dxa"/>
          </w:tcPr>
          <w:p w14:paraId="400B4848" w14:textId="77777777" w:rsidR="00D00732" w:rsidRPr="001B4A02" w:rsidRDefault="00000000" w:rsidP="00ED48A3">
            <w:pPr>
              <w:tabs>
                <w:tab w:val="left" w:pos="142"/>
              </w:tabs>
              <w:rPr>
                <w:b/>
              </w:rPr>
            </w:pPr>
            <w:r w:rsidRPr="001B4A02">
              <w:rPr>
                <w:b/>
              </w:rPr>
              <w:t>5.</w:t>
            </w:r>
            <w:r w:rsidRPr="001B4A02">
              <w:rPr>
                <w:b/>
              </w:rPr>
              <w:tab/>
              <w:t>ZPŮSOB A CESTA PODÁNÍ</w:t>
            </w:r>
          </w:p>
        </w:tc>
      </w:tr>
    </w:tbl>
    <w:p w14:paraId="48EAD3B9" w14:textId="77777777" w:rsidR="00D00732" w:rsidRPr="001B4A02" w:rsidRDefault="00D00732" w:rsidP="00ED48A3"/>
    <w:p w14:paraId="73C94595" w14:textId="77777777" w:rsidR="00D00732" w:rsidRPr="001B4A02" w:rsidRDefault="00000000" w:rsidP="00ED48A3">
      <w:r w:rsidRPr="001B4A02">
        <w:t>Subkutánní podání</w:t>
      </w:r>
    </w:p>
    <w:p w14:paraId="0B7F5C1E" w14:textId="77777777" w:rsidR="00D00732" w:rsidRPr="001B4A02" w:rsidRDefault="00D00732" w:rsidP="00ED48A3"/>
    <w:p w14:paraId="2FFDAF76" w14:textId="77777777" w:rsidR="00D00732" w:rsidRPr="001B4A02" w:rsidRDefault="00000000" w:rsidP="00ED48A3">
      <w:r w:rsidRPr="001B4A02">
        <w:t>Před použitím si přečtěte příbalovou informaci.</w:t>
      </w:r>
    </w:p>
    <w:p w14:paraId="3240FD10" w14:textId="77777777" w:rsidR="009954F1" w:rsidRPr="001B4A02" w:rsidRDefault="009954F1" w:rsidP="00ED48A3"/>
    <w:p w14:paraId="02391553" w14:textId="77777777" w:rsidR="009954F1" w:rsidRPr="001B4A02" w:rsidRDefault="00000000" w:rsidP="00ED48A3">
      <w:r w:rsidRPr="001B4A02">
        <w:t>Pouze k jednorázovému použití.</w:t>
      </w:r>
    </w:p>
    <w:p w14:paraId="62F3C1B4" w14:textId="77777777" w:rsidR="00D00732" w:rsidRPr="001B4A02" w:rsidRDefault="00D00732" w:rsidP="00ED48A3"/>
    <w:p w14:paraId="3C5B0B35"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6131B22" w14:textId="77777777" w:rsidTr="00B87DF7">
        <w:tc>
          <w:tcPr>
            <w:tcW w:w="9287" w:type="dxa"/>
          </w:tcPr>
          <w:p w14:paraId="0BC9C18E" w14:textId="77777777" w:rsidR="00D00732" w:rsidRPr="001B4A02" w:rsidRDefault="00000000" w:rsidP="00ED48A3">
            <w:pPr>
              <w:tabs>
                <w:tab w:val="left" w:pos="142"/>
              </w:tabs>
              <w:rPr>
                <w:b/>
              </w:rPr>
            </w:pPr>
            <w:r w:rsidRPr="001B4A02">
              <w:rPr>
                <w:b/>
              </w:rPr>
              <w:t>6.</w:t>
            </w:r>
            <w:r w:rsidRPr="001B4A02">
              <w:rPr>
                <w:b/>
              </w:rPr>
              <w:tab/>
              <w:t>ZVLÁŠTNÍ UPOZORNĚNÍ, ŽE LÉČIVÝ PŘÍPRAVEK MUSÍ BÝT UCHOVÁVÁN MIMO DOHLED A DOSAH DĚTÍ</w:t>
            </w:r>
          </w:p>
        </w:tc>
      </w:tr>
    </w:tbl>
    <w:p w14:paraId="3604CA2F" w14:textId="77777777" w:rsidR="00D00732" w:rsidRPr="001B4A02" w:rsidRDefault="00D00732" w:rsidP="00ED48A3"/>
    <w:p w14:paraId="70CD36F3" w14:textId="77777777" w:rsidR="00D00732" w:rsidRPr="001B4A02" w:rsidRDefault="00000000" w:rsidP="007F7787">
      <w:pPr>
        <w:ind w:left="0" w:firstLine="0"/>
      </w:pPr>
      <w:r w:rsidRPr="001B4A02">
        <w:t>Uchovávejte mimo dohled</w:t>
      </w:r>
      <w:r w:rsidR="002378E0">
        <w:t xml:space="preserve"> a </w:t>
      </w:r>
      <w:r w:rsidRPr="001B4A02">
        <w:t>dosah dětí.</w:t>
      </w:r>
    </w:p>
    <w:p w14:paraId="0BC20C3B" w14:textId="77777777" w:rsidR="00D00732" w:rsidRPr="001B4A02" w:rsidRDefault="00D00732" w:rsidP="00ED48A3"/>
    <w:p w14:paraId="2E5BE1F7"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C269207" w14:textId="77777777" w:rsidTr="00B87DF7">
        <w:tc>
          <w:tcPr>
            <w:tcW w:w="9287" w:type="dxa"/>
          </w:tcPr>
          <w:p w14:paraId="15F892DB" w14:textId="77777777" w:rsidR="00D00732" w:rsidRPr="001B4A02" w:rsidRDefault="00000000" w:rsidP="00ED48A3">
            <w:pPr>
              <w:tabs>
                <w:tab w:val="left" w:pos="142"/>
              </w:tabs>
              <w:rPr>
                <w:b/>
              </w:rPr>
            </w:pPr>
            <w:r w:rsidRPr="001B4A02">
              <w:rPr>
                <w:b/>
              </w:rPr>
              <w:t>7.</w:t>
            </w:r>
            <w:r w:rsidRPr="001B4A02">
              <w:rPr>
                <w:b/>
              </w:rPr>
              <w:tab/>
              <w:t>DALŠÍ ZVLÁŠTNÍ UPOZORNĚNÍ, POKUD JE POTŘEBNÉ</w:t>
            </w:r>
          </w:p>
        </w:tc>
      </w:tr>
    </w:tbl>
    <w:p w14:paraId="6EBD18C4" w14:textId="77777777" w:rsidR="00D00732" w:rsidRPr="001B4A02" w:rsidRDefault="00D00732" w:rsidP="00ED48A3"/>
    <w:p w14:paraId="676C0BB7"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2AD0E76" w14:textId="77777777" w:rsidTr="00B87DF7">
        <w:tc>
          <w:tcPr>
            <w:tcW w:w="9287" w:type="dxa"/>
          </w:tcPr>
          <w:p w14:paraId="370A56B4" w14:textId="77777777" w:rsidR="00D00732" w:rsidRPr="001B4A02" w:rsidRDefault="00000000" w:rsidP="00ED48A3">
            <w:pPr>
              <w:tabs>
                <w:tab w:val="left" w:pos="142"/>
              </w:tabs>
              <w:rPr>
                <w:b/>
              </w:rPr>
            </w:pPr>
            <w:r w:rsidRPr="001B4A02">
              <w:rPr>
                <w:b/>
              </w:rPr>
              <w:t>8.</w:t>
            </w:r>
            <w:r w:rsidRPr="001B4A02">
              <w:rPr>
                <w:b/>
              </w:rPr>
              <w:tab/>
              <w:t>POUŽITELNOST</w:t>
            </w:r>
          </w:p>
        </w:tc>
      </w:tr>
    </w:tbl>
    <w:p w14:paraId="64107AE3" w14:textId="77777777" w:rsidR="00D00732" w:rsidRPr="001B4A02" w:rsidRDefault="00D00732" w:rsidP="00ED48A3"/>
    <w:p w14:paraId="6747553E" w14:textId="77777777" w:rsidR="00D00732" w:rsidRPr="001B4A02" w:rsidRDefault="00000000" w:rsidP="007F7787">
      <w:pPr>
        <w:ind w:left="0" w:firstLine="0"/>
      </w:pPr>
      <w:r w:rsidRPr="001B4A02">
        <w:t xml:space="preserve">EXP </w:t>
      </w:r>
    </w:p>
    <w:p w14:paraId="369E1240" w14:textId="77777777" w:rsidR="00D00732" w:rsidRPr="001B4A02" w:rsidRDefault="00D00732" w:rsidP="00ED48A3"/>
    <w:p w14:paraId="692EFC36"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A60E14B" w14:textId="77777777" w:rsidTr="00B87DF7">
        <w:tc>
          <w:tcPr>
            <w:tcW w:w="9287" w:type="dxa"/>
          </w:tcPr>
          <w:p w14:paraId="4A8E9116" w14:textId="77777777" w:rsidR="00D00732" w:rsidRPr="001B4A02" w:rsidRDefault="00000000" w:rsidP="00ED48A3">
            <w:pPr>
              <w:keepNext/>
              <w:tabs>
                <w:tab w:val="left" w:pos="142"/>
              </w:tabs>
            </w:pPr>
            <w:r w:rsidRPr="001B4A02">
              <w:rPr>
                <w:b/>
              </w:rPr>
              <w:t>9.</w:t>
            </w:r>
            <w:r w:rsidRPr="001B4A02">
              <w:rPr>
                <w:b/>
              </w:rPr>
              <w:tab/>
              <w:t>ZVLÁŠTNÍ PODMÍNKY PRO UCHOVÁVÁNÍ</w:t>
            </w:r>
          </w:p>
        </w:tc>
      </w:tr>
    </w:tbl>
    <w:p w14:paraId="51AFCE17" w14:textId="77777777" w:rsidR="00D00732" w:rsidRPr="001B4A02" w:rsidRDefault="00D00732" w:rsidP="00ED48A3">
      <w:pPr>
        <w:keepNext/>
        <w:ind w:left="0" w:firstLine="0"/>
      </w:pPr>
    </w:p>
    <w:p w14:paraId="60822C02" w14:textId="77777777" w:rsidR="00D00732" w:rsidRPr="001B4A02" w:rsidRDefault="00000000" w:rsidP="00ED48A3">
      <w:pPr>
        <w:keepNext/>
      </w:pPr>
      <w:r w:rsidRPr="001B4A02">
        <w:t>Uchovávejte v chladničce. Chraňte před mrazem</w:t>
      </w:r>
      <w:r w:rsidR="00252102" w:rsidRPr="001B4A02">
        <w:t>.</w:t>
      </w:r>
    </w:p>
    <w:p w14:paraId="7CDF38E4" w14:textId="77777777" w:rsidR="00D00732" w:rsidRPr="001B4A02" w:rsidRDefault="00000000" w:rsidP="00ED48A3">
      <w:pPr>
        <w:keepNext/>
      </w:pPr>
      <w:r w:rsidRPr="001B4A02">
        <w:t>Pro další možnosti uchovávání viz příbalov</w:t>
      </w:r>
      <w:r w:rsidR="00DE3467">
        <w:t>á</w:t>
      </w:r>
      <w:r w:rsidRPr="001B4A02">
        <w:t xml:space="preserve"> informac</w:t>
      </w:r>
      <w:r w:rsidR="00DE3467">
        <w:t>e</w:t>
      </w:r>
      <w:r w:rsidRPr="001B4A02">
        <w:t>.</w:t>
      </w:r>
    </w:p>
    <w:p w14:paraId="1A967FD0" w14:textId="77777777" w:rsidR="00D00732" w:rsidRPr="001B4A02" w:rsidRDefault="00D00732" w:rsidP="00ED48A3">
      <w:pPr>
        <w:keepNext/>
      </w:pPr>
    </w:p>
    <w:p w14:paraId="1AB20124" w14:textId="77777777" w:rsidR="00D00732" w:rsidRPr="001B4A02" w:rsidRDefault="00000000" w:rsidP="00ED48A3">
      <w:pPr>
        <w:keepNext/>
      </w:pPr>
      <w:r w:rsidRPr="001B4A02">
        <w:t>Uchovávejte předplněné pero v krabičce, aby byl přípravek chráněn před světlem.</w:t>
      </w:r>
    </w:p>
    <w:p w14:paraId="39E28CDB" w14:textId="77777777" w:rsidR="00D00732" w:rsidRPr="001B4A02" w:rsidRDefault="00D00732" w:rsidP="00ED48A3">
      <w:pPr>
        <w:keepNext/>
      </w:pPr>
    </w:p>
    <w:p w14:paraId="4342920A" w14:textId="77777777" w:rsidR="00D00732" w:rsidRPr="001B4A02" w:rsidRDefault="00D00732" w:rsidP="008F0EA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12FE66E" w14:textId="77777777" w:rsidTr="00B87DF7">
        <w:tc>
          <w:tcPr>
            <w:tcW w:w="9287" w:type="dxa"/>
          </w:tcPr>
          <w:p w14:paraId="6BE9535C" w14:textId="77777777" w:rsidR="00D00732" w:rsidRPr="001B4A02" w:rsidRDefault="00000000" w:rsidP="00ED48A3">
            <w:pPr>
              <w:tabs>
                <w:tab w:val="left" w:pos="142"/>
              </w:tabs>
              <w:rPr>
                <w:b/>
              </w:rPr>
            </w:pPr>
            <w:r w:rsidRPr="001B4A02">
              <w:rPr>
                <w:b/>
              </w:rPr>
              <w:t>10.</w:t>
            </w:r>
            <w:r w:rsidRPr="001B4A02">
              <w:rPr>
                <w:b/>
              </w:rPr>
              <w:tab/>
              <w:t>ZVLÁŠTNÍ OPATŘENÍ PRO LIKVIDACI NEPOUŽITÝCH LÉČIVÝCH PŘÍPRAVKŮ NEBO ODPADU Z NICH, POKUD JE TO VHODNÉ</w:t>
            </w:r>
          </w:p>
        </w:tc>
      </w:tr>
    </w:tbl>
    <w:p w14:paraId="55A80D76" w14:textId="77777777" w:rsidR="00D00732" w:rsidRPr="001B4A02" w:rsidRDefault="00D00732" w:rsidP="00ED48A3"/>
    <w:p w14:paraId="2B193951"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268713C" w14:textId="77777777" w:rsidTr="00B87DF7">
        <w:tc>
          <w:tcPr>
            <w:tcW w:w="9287" w:type="dxa"/>
          </w:tcPr>
          <w:p w14:paraId="01B89CEA" w14:textId="77777777" w:rsidR="00D00732" w:rsidRPr="001B4A02" w:rsidRDefault="00000000" w:rsidP="00ED48A3">
            <w:pPr>
              <w:tabs>
                <w:tab w:val="left" w:pos="142"/>
              </w:tabs>
              <w:rPr>
                <w:b/>
              </w:rPr>
            </w:pPr>
            <w:r w:rsidRPr="001B4A02">
              <w:rPr>
                <w:b/>
              </w:rPr>
              <w:t>11.</w:t>
            </w:r>
            <w:r w:rsidRPr="001B4A02">
              <w:rPr>
                <w:b/>
              </w:rPr>
              <w:tab/>
              <w:t>NÁZEV A ADRESA DRŽITELE ROZHODNUTÍ O REGISTRACI</w:t>
            </w:r>
          </w:p>
        </w:tc>
      </w:tr>
    </w:tbl>
    <w:p w14:paraId="1BCCD56E" w14:textId="77777777" w:rsidR="00D00732" w:rsidRPr="001B4A02" w:rsidRDefault="00D00732" w:rsidP="00ED48A3"/>
    <w:p w14:paraId="1C24A425" w14:textId="77777777" w:rsidR="00E86403" w:rsidRPr="001B4A02" w:rsidRDefault="00000000" w:rsidP="00E86403">
      <w:pPr>
        <w:keepNext/>
        <w:autoSpaceDE w:val="0"/>
        <w:autoSpaceDN w:val="0"/>
        <w:adjustRightInd w:val="0"/>
        <w:spacing w:line="240" w:lineRule="atLeast"/>
        <w:rPr>
          <w:szCs w:val="22"/>
          <w:lang w:eastAsia="en-GB"/>
        </w:rPr>
      </w:pPr>
      <w:r w:rsidRPr="001B4A02">
        <w:rPr>
          <w:szCs w:val="22"/>
          <w:lang w:eastAsia="en-GB"/>
        </w:rPr>
        <w:t>AbbVie Deutschland GmbH &amp; Co. KG</w:t>
      </w:r>
    </w:p>
    <w:p w14:paraId="44B9E859" w14:textId="77777777" w:rsidR="00E86403" w:rsidRPr="001B4A02" w:rsidRDefault="00000000" w:rsidP="00E86403">
      <w:pPr>
        <w:keepNext/>
        <w:autoSpaceDE w:val="0"/>
        <w:autoSpaceDN w:val="0"/>
        <w:adjustRightInd w:val="0"/>
        <w:spacing w:line="240" w:lineRule="atLeast"/>
        <w:rPr>
          <w:szCs w:val="22"/>
          <w:lang w:eastAsia="en-GB"/>
        </w:rPr>
      </w:pPr>
      <w:r w:rsidRPr="001B4A02">
        <w:rPr>
          <w:szCs w:val="22"/>
          <w:lang w:eastAsia="en-GB"/>
        </w:rPr>
        <w:t>Knollstrasse</w:t>
      </w:r>
    </w:p>
    <w:p w14:paraId="2B136E0F" w14:textId="77777777" w:rsidR="00E86403" w:rsidRPr="001B4A02" w:rsidRDefault="00000000" w:rsidP="00E86403">
      <w:pPr>
        <w:keepNext/>
        <w:autoSpaceDE w:val="0"/>
        <w:autoSpaceDN w:val="0"/>
        <w:adjustRightInd w:val="0"/>
        <w:spacing w:line="240" w:lineRule="atLeast"/>
        <w:rPr>
          <w:szCs w:val="22"/>
          <w:lang w:eastAsia="en-GB"/>
        </w:rPr>
      </w:pPr>
      <w:r w:rsidRPr="001B4A02">
        <w:rPr>
          <w:szCs w:val="22"/>
          <w:lang w:eastAsia="en-GB"/>
        </w:rPr>
        <w:t>67061 Ludwigshafen</w:t>
      </w:r>
    </w:p>
    <w:p w14:paraId="2371F31E" w14:textId="77777777" w:rsidR="00D00732" w:rsidRPr="001B4A02" w:rsidRDefault="00000000" w:rsidP="00ED48A3">
      <w:pPr>
        <w:ind w:left="0" w:firstLine="0"/>
      </w:pPr>
      <w:r w:rsidRPr="001B4A02">
        <w:rPr>
          <w:szCs w:val="22"/>
          <w:lang w:eastAsia="en-GB"/>
        </w:rPr>
        <w:t>Německo</w:t>
      </w:r>
    </w:p>
    <w:p w14:paraId="65888C2E" w14:textId="77777777" w:rsidR="00D00732" w:rsidRPr="001B4A02" w:rsidRDefault="00D00732" w:rsidP="00ED48A3"/>
    <w:p w14:paraId="4276A916"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69D3D5F" w14:textId="77777777" w:rsidTr="00B87DF7">
        <w:tc>
          <w:tcPr>
            <w:tcW w:w="9287" w:type="dxa"/>
          </w:tcPr>
          <w:p w14:paraId="5D418BCE" w14:textId="77777777" w:rsidR="00D00732" w:rsidRPr="001B4A02" w:rsidRDefault="00000000" w:rsidP="00ED48A3">
            <w:pPr>
              <w:tabs>
                <w:tab w:val="left" w:pos="142"/>
              </w:tabs>
              <w:rPr>
                <w:b/>
              </w:rPr>
            </w:pPr>
            <w:r w:rsidRPr="001B4A02">
              <w:rPr>
                <w:b/>
              </w:rPr>
              <w:t>12.</w:t>
            </w:r>
            <w:r w:rsidRPr="001B4A02">
              <w:rPr>
                <w:b/>
              </w:rPr>
              <w:tab/>
              <w:t>REGISTRAČNÍ ČÍSL</w:t>
            </w:r>
            <w:r w:rsidR="002A0506">
              <w:rPr>
                <w:b/>
              </w:rPr>
              <w:t>A</w:t>
            </w:r>
          </w:p>
        </w:tc>
      </w:tr>
    </w:tbl>
    <w:p w14:paraId="49482FB1" w14:textId="77777777" w:rsidR="00D00732" w:rsidRPr="001B4A02" w:rsidRDefault="00D00732" w:rsidP="00ED48A3"/>
    <w:p w14:paraId="715A6C65" w14:textId="77777777" w:rsidR="00D00732" w:rsidRPr="001B4A02" w:rsidRDefault="00000000" w:rsidP="007F7787">
      <w:pPr>
        <w:ind w:left="0" w:firstLine="0"/>
      </w:pPr>
      <w:r w:rsidRPr="001B4A02">
        <w:t>EU/1/03/256/</w:t>
      </w:r>
      <w:r w:rsidR="00A45EAD" w:rsidRPr="001B4A02">
        <w:t>021</w:t>
      </w:r>
    </w:p>
    <w:p w14:paraId="34FD4964" w14:textId="77777777" w:rsidR="002A0506" w:rsidRDefault="00000000" w:rsidP="002A0506">
      <w:pPr>
        <w:pStyle w:val="EMEANormal"/>
        <w:rPr>
          <w:lang w:val="cs-CZ"/>
        </w:rPr>
      </w:pPr>
      <w:r w:rsidRPr="002A0506">
        <w:rPr>
          <w:highlight w:val="lightGray"/>
          <w:lang w:val="cs-CZ"/>
        </w:rPr>
        <w:t>EU/1/03/256/027</w:t>
      </w:r>
    </w:p>
    <w:p w14:paraId="73F54DFA" w14:textId="77777777" w:rsidR="00D00732" w:rsidRPr="001B4A02" w:rsidRDefault="00D00732" w:rsidP="00ED48A3"/>
    <w:p w14:paraId="24BD690E"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2D31377F" w14:textId="77777777" w:rsidTr="00B87DF7">
        <w:tc>
          <w:tcPr>
            <w:tcW w:w="9287" w:type="dxa"/>
          </w:tcPr>
          <w:p w14:paraId="11741408" w14:textId="77777777" w:rsidR="00D00732" w:rsidRPr="001B4A02" w:rsidRDefault="00000000" w:rsidP="00ED48A3">
            <w:pPr>
              <w:tabs>
                <w:tab w:val="left" w:pos="142"/>
              </w:tabs>
              <w:rPr>
                <w:b/>
              </w:rPr>
            </w:pPr>
            <w:r w:rsidRPr="001B4A02">
              <w:rPr>
                <w:b/>
              </w:rPr>
              <w:t>13.</w:t>
            </w:r>
            <w:r w:rsidRPr="001B4A02">
              <w:rPr>
                <w:b/>
              </w:rPr>
              <w:tab/>
              <w:t>ČÍSLO ŠARŽE</w:t>
            </w:r>
          </w:p>
        </w:tc>
      </w:tr>
    </w:tbl>
    <w:p w14:paraId="542ACCA4" w14:textId="77777777" w:rsidR="00D00732" w:rsidRPr="001B4A02" w:rsidRDefault="00D00732" w:rsidP="00ED48A3"/>
    <w:p w14:paraId="08F990B0" w14:textId="77777777" w:rsidR="00D00732" w:rsidRPr="001B4A02" w:rsidRDefault="00000000" w:rsidP="00ED48A3">
      <w:ins w:id="9794" w:author="Abbvie02" w:date="2025-05-16T12:38:00Z">
        <w:r>
          <w:t>Lot</w:t>
        </w:r>
      </w:ins>
      <w:del w:id="9795" w:author="Abbvie02" w:date="2025-05-16T12:38:00Z">
        <w:r w:rsidRPr="001B4A02">
          <w:delText>Č. šarže</w:delText>
        </w:r>
      </w:del>
    </w:p>
    <w:p w14:paraId="693072FF" w14:textId="77777777" w:rsidR="00D00732" w:rsidRPr="001B4A02" w:rsidRDefault="00D00732" w:rsidP="00ED48A3"/>
    <w:p w14:paraId="02B89049"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82926D9" w14:textId="77777777" w:rsidTr="00B87DF7">
        <w:tc>
          <w:tcPr>
            <w:tcW w:w="9287" w:type="dxa"/>
          </w:tcPr>
          <w:p w14:paraId="7D83E65B" w14:textId="77777777" w:rsidR="00D00732" w:rsidRPr="001B4A02" w:rsidRDefault="00000000" w:rsidP="00ED48A3">
            <w:pPr>
              <w:tabs>
                <w:tab w:val="left" w:pos="142"/>
              </w:tabs>
              <w:rPr>
                <w:b/>
              </w:rPr>
            </w:pPr>
            <w:r w:rsidRPr="001B4A02">
              <w:rPr>
                <w:b/>
              </w:rPr>
              <w:t>14.</w:t>
            </w:r>
            <w:r w:rsidRPr="001B4A02">
              <w:rPr>
                <w:b/>
              </w:rPr>
              <w:tab/>
              <w:t>KLASIFIKACE PRO VÝDEJ</w:t>
            </w:r>
          </w:p>
        </w:tc>
      </w:tr>
    </w:tbl>
    <w:p w14:paraId="6DC43210" w14:textId="77777777" w:rsidR="00D00732" w:rsidRPr="001B4A02" w:rsidRDefault="00D00732" w:rsidP="00ED48A3"/>
    <w:p w14:paraId="1AC18AD9"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D28C94E" w14:textId="77777777" w:rsidTr="00B87DF7">
        <w:tc>
          <w:tcPr>
            <w:tcW w:w="9287" w:type="dxa"/>
          </w:tcPr>
          <w:p w14:paraId="0DF86434" w14:textId="77777777" w:rsidR="00D00732" w:rsidRPr="001B4A02" w:rsidRDefault="00000000" w:rsidP="00ED48A3">
            <w:pPr>
              <w:tabs>
                <w:tab w:val="left" w:pos="142"/>
              </w:tabs>
              <w:rPr>
                <w:b/>
              </w:rPr>
            </w:pPr>
            <w:r w:rsidRPr="001B4A02">
              <w:rPr>
                <w:b/>
              </w:rPr>
              <w:t>15.</w:t>
            </w:r>
            <w:r w:rsidRPr="001B4A02">
              <w:rPr>
                <w:b/>
              </w:rPr>
              <w:tab/>
              <w:t>NÁVOD K POUŽITÍ</w:t>
            </w:r>
          </w:p>
        </w:tc>
      </w:tr>
    </w:tbl>
    <w:p w14:paraId="70BF6177" w14:textId="77777777" w:rsidR="00D00732" w:rsidRPr="001B4A02" w:rsidRDefault="00D00732" w:rsidP="00ED48A3">
      <w:pPr>
        <w:rPr>
          <w:u w:val="single"/>
        </w:rPr>
      </w:pPr>
    </w:p>
    <w:p w14:paraId="790B11E8" w14:textId="77777777" w:rsidR="00D00732" w:rsidRPr="001B4A02" w:rsidRDefault="00D00732" w:rsidP="00ED48A3">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40613DD" w14:textId="77777777" w:rsidTr="00B87DF7">
        <w:tc>
          <w:tcPr>
            <w:tcW w:w="9287" w:type="dxa"/>
          </w:tcPr>
          <w:p w14:paraId="38BADEE7" w14:textId="77777777" w:rsidR="00D00732" w:rsidRPr="001B4A02" w:rsidRDefault="00000000" w:rsidP="00ED48A3">
            <w:pPr>
              <w:tabs>
                <w:tab w:val="left" w:pos="142"/>
              </w:tabs>
              <w:rPr>
                <w:b/>
              </w:rPr>
            </w:pPr>
            <w:r w:rsidRPr="001B4A02">
              <w:rPr>
                <w:b/>
              </w:rPr>
              <w:t>16.</w:t>
            </w:r>
            <w:r w:rsidRPr="001B4A02">
              <w:rPr>
                <w:b/>
              </w:rPr>
              <w:tab/>
              <w:t>INFORMACE V BRAILLOVĚ PÍSMU</w:t>
            </w:r>
          </w:p>
        </w:tc>
      </w:tr>
    </w:tbl>
    <w:p w14:paraId="2834FE39" w14:textId="77777777" w:rsidR="00D00732" w:rsidRPr="001B4A02" w:rsidRDefault="00D00732" w:rsidP="00ED48A3">
      <w:pPr>
        <w:rPr>
          <w:u w:val="single"/>
        </w:rPr>
      </w:pPr>
    </w:p>
    <w:p w14:paraId="14098AC8" w14:textId="77777777" w:rsidR="00D00732" w:rsidRPr="001B4A02" w:rsidRDefault="00000000" w:rsidP="00ED48A3">
      <w:r w:rsidRPr="001B4A02">
        <w:t xml:space="preserve">Humira </w:t>
      </w:r>
      <w:r w:rsidR="00252102" w:rsidRPr="001B4A02">
        <w:t>8</w:t>
      </w:r>
      <w:r w:rsidRPr="001B4A02">
        <w:t>0 mg</w:t>
      </w:r>
    </w:p>
    <w:p w14:paraId="4D1DC55D" w14:textId="77777777" w:rsidR="00D00732" w:rsidRPr="001B4A02" w:rsidRDefault="00D00732" w:rsidP="00ED48A3"/>
    <w:p w14:paraId="0A296F28" w14:textId="77777777" w:rsidR="00D00732" w:rsidRPr="001B4A02" w:rsidRDefault="00D00732" w:rsidP="00ED48A3"/>
    <w:p w14:paraId="729A1A5C" w14:textId="77777777" w:rsidR="00D00732" w:rsidRPr="001B4A02" w:rsidRDefault="00000000" w:rsidP="00ED48A3">
      <w:pPr>
        <w:pStyle w:val="EMEAHeadingBoxedTitle"/>
        <w:ind w:left="0" w:firstLine="0"/>
        <w:rPr>
          <w:rFonts w:ascii="Times New Roman" w:hAnsi="Times New Roman"/>
          <w:b/>
          <w:bCs/>
          <w:lang w:val="cs-CZ"/>
        </w:rPr>
      </w:pPr>
      <w:r w:rsidRPr="001B4A02">
        <w:rPr>
          <w:rFonts w:ascii="Times New Roman" w:hAnsi="Times New Roman"/>
          <w:b/>
          <w:bCs/>
          <w:lang w:val="cs-CZ"/>
        </w:rPr>
        <w:t>17.</w:t>
      </w:r>
      <w:r w:rsidRPr="001B4A02">
        <w:rPr>
          <w:rFonts w:ascii="Times New Roman" w:hAnsi="Times New Roman"/>
          <w:b/>
          <w:bCs/>
          <w:lang w:val="cs-CZ"/>
        </w:rPr>
        <w:tab/>
        <w:t xml:space="preserve">JEDINEČNÝ IDENTIFIKÁTOR – 2D ČÁROVÝ KÓD </w:t>
      </w:r>
    </w:p>
    <w:p w14:paraId="1CF22A8B" w14:textId="77777777" w:rsidR="00D00732" w:rsidRPr="001B4A02" w:rsidRDefault="00D00732" w:rsidP="00ED48A3"/>
    <w:p w14:paraId="1156D85C" w14:textId="77777777" w:rsidR="00D00732" w:rsidRPr="001B4A02" w:rsidRDefault="00000000" w:rsidP="00ED48A3">
      <w:pPr>
        <w:rPr>
          <w:shd w:val="clear" w:color="auto" w:fill="BFBFBF"/>
        </w:rPr>
      </w:pPr>
      <w:r w:rsidRPr="001B4A02">
        <w:rPr>
          <w:shd w:val="clear" w:color="auto" w:fill="BFBFBF"/>
        </w:rPr>
        <w:t>2D čárový kód s jedinečným identifikátorem.</w:t>
      </w:r>
    </w:p>
    <w:p w14:paraId="4BB70E4C" w14:textId="77777777" w:rsidR="00D00732" w:rsidRPr="001B4A02" w:rsidRDefault="00D00732" w:rsidP="00ED48A3">
      <w:pPr>
        <w:rPr>
          <w:shd w:val="clear" w:color="auto" w:fill="BFBFBF"/>
        </w:rPr>
      </w:pPr>
    </w:p>
    <w:p w14:paraId="48AC6163" w14:textId="77777777" w:rsidR="00D00732" w:rsidRPr="001B4A02" w:rsidRDefault="00D00732" w:rsidP="00ED48A3"/>
    <w:p w14:paraId="1820DC66" w14:textId="77777777" w:rsidR="00D00732" w:rsidRPr="001B4A02" w:rsidRDefault="00000000" w:rsidP="00ED48A3">
      <w:pPr>
        <w:pStyle w:val="EMEAHeadingBoxedTitle"/>
        <w:keepNext/>
        <w:ind w:left="0" w:firstLine="0"/>
        <w:rPr>
          <w:rFonts w:ascii="Times New Roman" w:hAnsi="Times New Roman"/>
          <w:lang w:val="cs-CZ"/>
        </w:rPr>
      </w:pPr>
      <w:r w:rsidRPr="001B4A02">
        <w:rPr>
          <w:rFonts w:ascii="Times New Roman" w:hAnsi="Times New Roman"/>
          <w:b/>
          <w:bCs/>
          <w:lang w:val="cs-CZ"/>
        </w:rPr>
        <w:t>18.</w:t>
      </w:r>
      <w:r w:rsidRPr="001B4A02">
        <w:rPr>
          <w:rFonts w:ascii="Times New Roman" w:hAnsi="Times New Roman"/>
          <w:b/>
          <w:bCs/>
          <w:lang w:val="cs-CZ"/>
        </w:rPr>
        <w:tab/>
        <w:t>JEDINEČNÝ IDENTIFIKÁTOR – DATA ČITELNÁ OKEM</w:t>
      </w:r>
    </w:p>
    <w:p w14:paraId="3FB3E8D5" w14:textId="77777777" w:rsidR="00D00732" w:rsidRPr="001B4A02" w:rsidRDefault="00D00732" w:rsidP="00ED48A3">
      <w:pPr>
        <w:keepNext/>
        <w:ind w:left="540" w:hanging="540"/>
      </w:pPr>
    </w:p>
    <w:p w14:paraId="73F7FA8F" w14:textId="77777777" w:rsidR="00D00732" w:rsidRPr="001B4A02" w:rsidRDefault="00000000" w:rsidP="00ED48A3">
      <w:pPr>
        <w:keepNext/>
        <w:ind w:left="540" w:hanging="540"/>
      </w:pPr>
      <w:r w:rsidRPr="001B4A02">
        <w:t>PC</w:t>
      </w:r>
    </w:p>
    <w:p w14:paraId="0B542F39" w14:textId="77777777" w:rsidR="00D00732" w:rsidRPr="001B4A02" w:rsidRDefault="00000000" w:rsidP="00ED48A3">
      <w:pPr>
        <w:keepNext/>
        <w:ind w:left="540" w:hanging="540"/>
      </w:pPr>
      <w:r w:rsidRPr="001B4A02">
        <w:t>SN</w:t>
      </w:r>
    </w:p>
    <w:p w14:paraId="37A44725" w14:textId="77777777" w:rsidR="00D00732" w:rsidRPr="001B4A02" w:rsidRDefault="00000000" w:rsidP="008D1953">
      <w:pPr>
        <w:keepNext/>
        <w:ind w:left="539" w:hanging="539"/>
      </w:pPr>
      <w:r w:rsidRPr="00BA0A72">
        <w:rPr>
          <w:highlight w:val="lightGray"/>
        </w:rPr>
        <w:t>NN</w:t>
      </w:r>
    </w:p>
    <w:p w14:paraId="344A1B14" w14:textId="77777777" w:rsidR="00D427E8" w:rsidRPr="008D1953" w:rsidRDefault="00D427E8" w:rsidP="00D427E8">
      <w:pPr>
        <w:ind w:left="0" w:firstLine="0"/>
      </w:pPr>
    </w:p>
    <w:p w14:paraId="19FD906E" w14:textId="77777777" w:rsidR="00073F8F" w:rsidRPr="001B4A02" w:rsidRDefault="00000000" w:rsidP="00ED48A3">
      <w:pPr>
        <w:ind w:left="0" w:firstLine="0"/>
        <w:jc w:val="both"/>
      </w:pPr>
      <w:r w:rsidRPr="001B4A02">
        <w:br w:type="page"/>
      </w:r>
    </w:p>
    <w:p w14:paraId="2F9A8E59" w14:textId="77777777" w:rsidR="00D00732" w:rsidRPr="001B4A02" w:rsidRDefault="00000000" w:rsidP="00ED48A3">
      <w:pPr>
        <w:pBdr>
          <w:top w:val="single" w:sz="4" w:space="1" w:color="auto"/>
          <w:left w:val="single" w:sz="4" w:space="4" w:color="auto"/>
          <w:bottom w:val="single" w:sz="4" w:space="1" w:color="auto"/>
          <w:right w:val="single" w:sz="4" w:space="4" w:color="auto"/>
        </w:pBdr>
        <w:rPr>
          <w:b/>
        </w:rPr>
      </w:pPr>
      <w:r w:rsidRPr="001B4A02">
        <w:rPr>
          <w:b/>
          <w:szCs w:val="22"/>
        </w:rPr>
        <w:t>MINIMÁLNÍ ÚDAJE UVÁDĚNÉ NA BLISTRECH NEBO STRIPECH</w:t>
      </w:r>
    </w:p>
    <w:p w14:paraId="5753C39F" w14:textId="77777777" w:rsidR="00D00732" w:rsidRDefault="00D00732" w:rsidP="00ED48A3">
      <w:pPr>
        <w:pBdr>
          <w:top w:val="single" w:sz="4" w:space="1" w:color="auto"/>
          <w:left w:val="single" w:sz="4" w:space="4" w:color="auto"/>
          <w:bottom w:val="single" w:sz="4" w:space="1" w:color="auto"/>
          <w:right w:val="single" w:sz="4" w:space="4" w:color="auto"/>
        </w:pBdr>
        <w:ind w:left="540" w:hanging="540"/>
        <w:rPr>
          <w:b/>
        </w:rPr>
      </w:pPr>
    </w:p>
    <w:p w14:paraId="43849C0E" w14:textId="77777777" w:rsidR="0009084E" w:rsidRPr="001B4A02" w:rsidRDefault="00000000" w:rsidP="00ED48A3">
      <w:pPr>
        <w:pBdr>
          <w:top w:val="single" w:sz="4" w:space="1" w:color="auto"/>
          <w:left w:val="single" w:sz="4" w:space="4" w:color="auto"/>
          <w:bottom w:val="single" w:sz="4" w:space="1" w:color="auto"/>
          <w:right w:val="single" w:sz="4" w:space="4" w:color="auto"/>
        </w:pBdr>
        <w:ind w:left="540" w:hanging="540"/>
        <w:rPr>
          <w:b/>
        </w:rPr>
      </w:pPr>
      <w:r>
        <w:rPr>
          <w:b/>
        </w:rPr>
        <w:t>BLISTR</w:t>
      </w:r>
    </w:p>
    <w:p w14:paraId="51639123" w14:textId="77777777" w:rsidR="00D00732" w:rsidRPr="001B4A02" w:rsidRDefault="00D00732" w:rsidP="00ED48A3">
      <w:pPr>
        <w:ind w:left="540" w:hanging="540"/>
      </w:pPr>
    </w:p>
    <w:p w14:paraId="73C3D390" w14:textId="77777777" w:rsidR="00D00732" w:rsidRPr="001B4A02" w:rsidRDefault="00D00732" w:rsidP="00ED48A3">
      <w:pPr>
        <w:ind w:left="540" w:hanging="540"/>
      </w:pPr>
    </w:p>
    <w:p w14:paraId="3A983213" w14:textId="77777777" w:rsidR="00D00732" w:rsidRPr="001B4A02" w:rsidRDefault="00000000" w:rsidP="00ED48A3">
      <w:pPr>
        <w:pStyle w:val="EMEAHeadingBoxed1"/>
        <w:spacing w:beforeLines="0" w:afterLines="0" w:after="0"/>
        <w:rPr>
          <w:rFonts w:ascii="Times New Roman" w:hAnsi="Times New Roman"/>
          <w:szCs w:val="22"/>
          <w:lang w:val="cs-CZ"/>
        </w:rPr>
      </w:pPr>
      <w:r w:rsidRPr="001B4A02">
        <w:rPr>
          <w:rFonts w:ascii="Times New Roman" w:hAnsi="Times New Roman"/>
          <w:szCs w:val="22"/>
          <w:lang w:val="cs-CZ"/>
        </w:rPr>
        <w:t>1.</w:t>
      </w:r>
      <w:r w:rsidRPr="001B4A02">
        <w:rPr>
          <w:rFonts w:ascii="Times New Roman" w:hAnsi="Times New Roman"/>
          <w:szCs w:val="22"/>
          <w:lang w:val="cs-CZ"/>
        </w:rPr>
        <w:tab/>
        <w:t>NÁZEV LÉČIVÉHO PŘÍPRAVKU</w:t>
      </w:r>
    </w:p>
    <w:p w14:paraId="7BC5D8FE" w14:textId="77777777" w:rsidR="00D00732" w:rsidRPr="001B4A02" w:rsidRDefault="00D00732" w:rsidP="00ED48A3">
      <w:pPr>
        <w:ind w:left="540" w:hanging="540"/>
        <w:rPr>
          <w:szCs w:val="22"/>
        </w:rPr>
      </w:pPr>
    </w:p>
    <w:p w14:paraId="70227D29" w14:textId="77777777" w:rsidR="00D00732" w:rsidRPr="001B4A02" w:rsidRDefault="00000000" w:rsidP="00ED48A3">
      <w:pPr>
        <w:rPr>
          <w:szCs w:val="22"/>
        </w:rPr>
      </w:pPr>
      <w:r w:rsidRPr="001B4A02">
        <w:rPr>
          <w:szCs w:val="22"/>
        </w:rPr>
        <w:t xml:space="preserve">Humira </w:t>
      </w:r>
      <w:r w:rsidRPr="001B4A02">
        <w:t>80 mg</w:t>
      </w:r>
      <w:r w:rsidRPr="001B4A02">
        <w:rPr>
          <w:szCs w:val="22"/>
        </w:rPr>
        <w:t xml:space="preserve"> injekční roztok v předplněném peru</w:t>
      </w:r>
    </w:p>
    <w:p w14:paraId="76287584" w14:textId="77777777" w:rsidR="00D00732" w:rsidRPr="001B4A02" w:rsidRDefault="00000000" w:rsidP="00ED48A3">
      <w:pPr>
        <w:ind w:left="540" w:hanging="540"/>
        <w:rPr>
          <w:szCs w:val="22"/>
        </w:rPr>
      </w:pPr>
      <w:r w:rsidRPr="001B4A02">
        <w:rPr>
          <w:szCs w:val="22"/>
        </w:rPr>
        <w:t>adalimumab</w:t>
      </w:r>
      <w:del w:id="9796" w:author="Abbvie02" w:date="2025-05-16T11:50:00Z">
        <w:r w:rsidRPr="001B4A02">
          <w:rPr>
            <w:szCs w:val="22"/>
          </w:rPr>
          <w:delText>um</w:delText>
        </w:r>
      </w:del>
    </w:p>
    <w:p w14:paraId="09315140" w14:textId="77777777" w:rsidR="00D00732" w:rsidRPr="001B4A02" w:rsidRDefault="00D00732" w:rsidP="00ED48A3">
      <w:pPr>
        <w:ind w:left="540" w:hanging="540"/>
        <w:rPr>
          <w:szCs w:val="22"/>
        </w:rPr>
      </w:pPr>
    </w:p>
    <w:p w14:paraId="4406C750" w14:textId="77777777" w:rsidR="00D00732" w:rsidRPr="001B4A02" w:rsidRDefault="00D00732" w:rsidP="00ED48A3">
      <w:pPr>
        <w:ind w:left="540" w:hanging="540"/>
        <w:rPr>
          <w:szCs w:val="22"/>
        </w:rPr>
      </w:pPr>
    </w:p>
    <w:p w14:paraId="53191157" w14:textId="77777777" w:rsidR="00D00732" w:rsidRPr="001B4A02" w:rsidRDefault="00000000" w:rsidP="00ED48A3">
      <w:pPr>
        <w:pStyle w:val="EMEAHeadingBoxed"/>
        <w:tabs>
          <w:tab w:val="left" w:pos="-3300"/>
        </w:tabs>
        <w:spacing w:beforeLines="0" w:afterLines="0"/>
        <w:rPr>
          <w:rFonts w:ascii="Times New Roman" w:hAnsi="Times New Roman"/>
          <w:szCs w:val="22"/>
          <w:lang w:val="cs-CZ"/>
        </w:rPr>
      </w:pPr>
      <w:r w:rsidRPr="001B4A02">
        <w:rPr>
          <w:rFonts w:ascii="Times New Roman" w:hAnsi="Times New Roman"/>
          <w:szCs w:val="22"/>
          <w:lang w:val="cs-CZ"/>
        </w:rPr>
        <w:t>2.</w:t>
      </w:r>
      <w:r w:rsidRPr="001B4A02">
        <w:rPr>
          <w:rFonts w:ascii="Times New Roman" w:hAnsi="Times New Roman"/>
          <w:szCs w:val="22"/>
          <w:lang w:val="cs-CZ"/>
        </w:rPr>
        <w:tab/>
        <w:t>NÁZEV DRŽITELE ROZHODNUTÍ O REGISTRACI</w:t>
      </w:r>
    </w:p>
    <w:p w14:paraId="03BB292D" w14:textId="77777777" w:rsidR="00D00732" w:rsidRPr="001B4A02" w:rsidRDefault="00D00732" w:rsidP="00ED48A3">
      <w:pPr>
        <w:ind w:left="540" w:hanging="540"/>
        <w:rPr>
          <w:szCs w:val="22"/>
        </w:rPr>
      </w:pPr>
    </w:p>
    <w:p w14:paraId="3E274C69" w14:textId="77777777" w:rsidR="00D00732" w:rsidRPr="001B4A02" w:rsidRDefault="00000000" w:rsidP="00ED48A3">
      <w:pPr>
        <w:ind w:left="540" w:hanging="540"/>
        <w:rPr>
          <w:szCs w:val="22"/>
        </w:rPr>
      </w:pPr>
      <w:r w:rsidRPr="001B4A02">
        <w:rPr>
          <w:szCs w:val="22"/>
        </w:rPr>
        <w:t>AbbVie</w:t>
      </w:r>
      <w:r w:rsidR="00012C3F" w:rsidRPr="001B4A02">
        <w:t xml:space="preserve"> </w:t>
      </w:r>
      <w:r w:rsidR="00012C3F" w:rsidRPr="001B4A02">
        <w:rPr>
          <w:highlight w:val="lightGray"/>
        </w:rPr>
        <w:t>(logo)</w:t>
      </w:r>
    </w:p>
    <w:p w14:paraId="04AB204E" w14:textId="77777777" w:rsidR="00D00732" w:rsidRPr="001B4A02" w:rsidRDefault="00D00732" w:rsidP="00ED48A3">
      <w:pPr>
        <w:ind w:left="540" w:hanging="540"/>
        <w:rPr>
          <w:szCs w:val="22"/>
        </w:rPr>
      </w:pPr>
    </w:p>
    <w:p w14:paraId="340300BE" w14:textId="77777777" w:rsidR="00D00732" w:rsidRPr="001B4A02" w:rsidRDefault="00D00732" w:rsidP="00ED48A3">
      <w:pPr>
        <w:ind w:left="540" w:hanging="540"/>
        <w:rPr>
          <w:szCs w:val="22"/>
        </w:rPr>
      </w:pPr>
    </w:p>
    <w:p w14:paraId="72403989" w14:textId="77777777" w:rsidR="00D00732" w:rsidRPr="001B4A02" w:rsidRDefault="00000000" w:rsidP="00ED48A3">
      <w:pPr>
        <w:pStyle w:val="EMEAHeadingBoxed"/>
        <w:spacing w:beforeLines="0" w:afterLines="0"/>
        <w:rPr>
          <w:rFonts w:ascii="Times New Roman" w:hAnsi="Times New Roman"/>
          <w:szCs w:val="22"/>
          <w:lang w:val="cs-CZ"/>
        </w:rPr>
      </w:pPr>
      <w:r w:rsidRPr="001B4A02">
        <w:rPr>
          <w:rFonts w:ascii="Times New Roman" w:hAnsi="Times New Roman"/>
          <w:szCs w:val="22"/>
          <w:lang w:val="cs-CZ"/>
        </w:rPr>
        <w:t>3.</w:t>
      </w:r>
      <w:r w:rsidRPr="001B4A02">
        <w:rPr>
          <w:rFonts w:ascii="Times New Roman" w:hAnsi="Times New Roman"/>
          <w:szCs w:val="22"/>
          <w:lang w:val="cs-CZ"/>
        </w:rPr>
        <w:tab/>
        <w:t>POUŽITELNOST</w:t>
      </w:r>
    </w:p>
    <w:p w14:paraId="24EC25AC" w14:textId="77777777" w:rsidR="00D00732" w:rsidRPr="001B4A02" w:rsidRDefault="00D00732" w:rsidP="00ED48A3">
      <w:pPr>
        <w:ind w:left="540" w:hanging="540"/>
        <w:rPr>
          <w:szCs w:val="22"/>
        </w:rPr>
      </w:pPr>
    </w:p>
    <w:p w14:paraId="126DF65A" w14:textId="77777777" w:rsidR="00D00732" w:rsidRPr="001B4A02" w:rsidRDefault="00000000" w:rsidP="00ED48A3">
      <w:pPr>
        <w:ind w:left="540" w:hanging="540"/>
        <w:rPr>
          <w:szCs w:val="22"/>
        </w:rPr>
      </w:pPr>
      <w:r w:rsidRPr="001B4A02">
        <w:rPr>
          <w:szCs w:val="22"/>
        </w:rPr>
        <w:t>EXP</w:t>
      </w:r>
    </w:p>
    <w:p w14:paraId="1F909D62" w14:textId="77777777" w:rsidR="00D00732" w:rsidRPr="001B4A02" w:rsidRDefault="00D00732" w:rsidP="00ED48A3">
      <w:pPr>
        <w:ind w:left="540" w:hanging="540"/>
        <w:rPr>
          <w:szCs w:val="22"/>
        </w:rPr>
      </w:pPr>
    </w:p>
    <w:p w14:paraId="09F28568" w14:textId="77777777" w:rsidR="00D00732" w:rsidRPr="001B4A02" w:rsidRDefault="00D00732" w:rsidP="00ED48A3">
      <w:pPr>
        <w:ind w:left="540" w:hanging="540"/>
        <w:rPr>
          <w:szCs w:val="22"/>
        </w:rPr>
      </w:pPr>
    </w:p>
    <w:p w14:paraId="37F4A13A" w14:textId="77777777" w:rsidR="00D00732" w:rsidRPr="001B4A02" w:rsidRDefault="00000000" w:rsidP="00ED48A3">
      <w:pPr>
        <w:pStyle w:val="EMEAHeadingBoxed"/>
        <w:spacing w:beforeLines="0" w:afterLines="0"/>
        <w:rPr>
          <w:rFonts w:ascii="Times New Roman" w:hAnsi="Times New Roman"/>
          <w:szCs w:val="22"/>
          <w:lang w:val="cs-CZ"/>
        </w:rPr>
      </w:pPr>
      <w:r w:rsidRPr="001B4A02">
        <w:rPr>
          <w:rFonts w:ascii="Times New Roman" w:hAnsi="Times New Roman"/>
          <w:szCs w:val="22"/>
          <w:lang w:val="cs-CZ"/>
        </w:rPr>
        <w:t>4.</w:t>
      </w:r>
      <w:r w:rsidRPr="001B4A02">
        <w:rPr>
          <w:rFonts w:ascii="Times New Roman" w:hAnsi="Times New Roman"/>
          <w:szCs w:val="22"/>
          <w:lang w:val="cs-CZ"/>
        </w:rPr>
        <w:tab/>
        <w:t>číslo šarže</w:t>
      </w:r>
    </w:p>
    <w:p w14:paraId="3ED9FB9F" w14:textId="77777777" w:rsidR="00D00732" w:rsidRPr="001B4A02" w:rsidRDefault="00D00732" w:rsidP="00ED48A3">
      <w:pPr>
        <w:ind w:left="540" w:hanging="540"/>
        <w:rPr>
          <w:szCs w:val="22"/>
        </w:rPr>
      </w:pPr>
    </w:p>
    <w:p w14:paraId="4B96DC87" w14:textId="77777777" w:rsidR="00D00732" w:rsidRPr="001B4A02" w:rsidRDefault="00000000" w:rsidP="00ED48A3">
      <w:pPr>
        <w:rPr>
          <w:szCs w:val="22"/>
        </w:rPr>
      </w:pPr>
      <w:ins w:id="9797" w:author="Abbvie02" w:date="2025-05-16T12:38:00Z">
        <w:r>
          <w:rPr>
            <w:szCs w:val="22"/>
          </w:rPr>
          <w:t>Lot</w:t>
        </w:r>
      </w:ins>
      <w:del w:id="9798" w:author="Abbvie02" w:date="2025-05-16T12:38:00Z">
        <w:r w:rsidRPr="001B4A02">
          <w:rPr>
            <w:szCs w:val="22"/>
          </w:rPr>
          <w:delText>Č. šarže</w:delText>
        </w:r>
      </w:del>
    </w:p>
    <w:p w14:paraId="7596F1BE" w14:textId="77777777" w:rsidR="00D00732" w:rsidRPr="001B4A02" w:rsidRDefault="00D00732" w:rsidP="00ED48A3">
      <w:pPr>
        <w:ind w:left="540" w:hanging="540"/>
        <w:rPr>
          <w:szCs w:val="22"/>
          <w:highlight w:val="yellow"/>
        </w:rPr>
      </w:pPr>
    </w:p>
    <w:p w14:paraId="3AC509E6" w14:textId="77777777" w:rsidR="00D00732" w:rsidRPr="001B4A02" w:rsidRDefault="00D00732" w:rsidP="00ED48A3">
      <w:pPr>
        <w:ind w:left="540" w:hanging="540"/>
        <w:rPr>
          <w:szCs w:val="22"/>
        </w:rPr>
      </w:pPr>
    </w:p>
    <w:p w14:paraId="34198A68" w14:textId="77777777" w:rsidR="00D00732" w:rsidRPr="001B4A02" w:rsidRDefault="00000000" w:rsidP="00ED48A3">
      <w:pPr>
        <w:pStyle w:val="EMEAHeadingBoxed"/>
        <w:spacing w:beforeLines="0" w:afterLines="0"/>
        <w:ind w:left="0" w:firstLine="0"/>
        <w:rPr>
          <w:rFonts w:ascii="Times New Roman" w:hAnsi="Times New Roman"/>
          <w:szCs w:val="22"/>
          <w:lang w:val="cs-CZ"/>
        </w:rPr>
      </w:pPr>
      <w:r w:rsidRPr="001B4A02">
        <w:rPr>
          <w:rFonts w:ascii="Times New Roman" w:hAnsi="Times New Roman"/>
          <w:szCs w:val="22"/>
          <w:lang w:val="cs-CZ"/>
        </w:rPr>
        <w:t>5.</w:t>
      </w:r>
      <w:r w:rsidRPr="001B4A02">
        <w:rPr>
          <w:rFonts w:ascii="Times New Roman" w:hAnsi="Times New Roman"/>
          <w:szCs w:val="22"/>
          <w:lang w:val="cs-CZ"/>
        </w:rPr>
        <w:tab/>
        <w:t>jiné</w:t>
      </w:r>
    </w:p>
    <w:p w14:paraId="52DF870E" w14:textId="77777777" w:rsidR="00D00732" w:rsidRPr="001B4A02" w:rsidRDefault="00D00732" w:rsidP="00ED48A3">
      <w:pPr>
        <w:ind w:left="540" w:hanging="540"/>
        <w:rPr>
          <w:szCs w:val="22"/>
        </w:rPr>
      </w:pPr>
    </w:p>
    <w:p w14:paraId="644D04AB" w14:textId="77777777" w:rsidR="00D00732" w:rsidRPr="001B4A02" w:rsidRDefault="00000000" w:rsidP="00ED48A3">
      <w:pPr>
        <w:rPr>
          <w:szCs w:val="22"/>
        </w:rPr>
      </w:pPr>
      <w:r w:rsidRPr="001B4A02">
        <w:rPr>
          <w:szCs w:val="22"/>
        </w:rPr>
        <w:t>Pro informace o uchovávání viz příbalov</w:t>
      </w:r>
      <w:r w:rsidR="00DE3467">
        <w:rPr>
          <w:szCs w:val="22"/>
        </w:rPr>
        <w:t>á</w:t>
      </w:r>
      <w:r w:rsidRPr="001B4A02">
        <w:rPr>
          <w:szCs w:val="22"/>
        </w:rPr>
        <w:t xml:space="preserve"> informac</w:t>
      </w:r>
      <w:r w:rsidR="00DE3467">
        <w:rPr>
          <w:szCs w:val="22"/>
        </w:rPr>
        <w:t>e</w:t>
      </w:r>
      <w:r w:rsidRPr="001B4A02">
        <w:rPr>
          <w:szCs w:val="22"/>
        </w:rPr>
        <w:t xml:space="preserve">. </w:t>
      </w:r>
    </w:p>
    <w:p w14:paraId="79B8F321" w14:textId="77777777" w:rsidR="00FA356C" w:rsidRPr="001B4A02" w:rsidRDefault="00FA356C" w:rsidP="00ED48A3">
      <w:pPr>
        <w:ind w:left="0" w:firstLine="0"/>
        <w:rPr>
          <w:szCs w:val="22"/>
        </w:rPr>
      </w:pPr>
    </w:p>
    <w:p w14:paraId="47541F1E" w14:textId="77777777" w:rsidR="00D00732" w:rsidRPr="001B4A02" w:rsidRDefault="00000000" w:rsidP="00ED48A3">
      <w:pPr>
        <w:ind w:left="0" w:firstLine="0"/>
        <w:rPr>
          <w:szCs w:val="22"/>
        </w:rPr>
      </w:pPr>
      <w:r w:rsidRPr="001B4A02">
        <w:rPr>
          <w:szCs w:val="22"/>
        </w:rPr>
        <w:t>Pouze k jednorázovému použití</w:t>
      </w:r>
      <w:r w:rsidR="009954F1" w:rsidRPr="001B4A02">
        <w:rPr>
          <w:szCs w:val="22"/>
        </w:rPr>
        <w:t>.</w:t>
      </w:r>
    </w:p>
    <w:p w14:paraId="013A8B8F" w14:textId="77777777" w:rsidR="0000361B" w:rsidRDefault="0000361B" w:rsidP="0000361B">
      <w:pPr>
        <w:rPr>
          <w:highlight w:val="lightGray"/>
        </w:rPr>
      </w:pPr>
    </w:p>
    <w:p w14:paraId="3E088F44" w14:textId="77777777" w:rsidR="00D00732" w:rsidRPr="001B4A02" w:rsidRDefault="00000000" w:rsidP="00ED48A3">
      <w:pPr>
        <w:ind w:left="0" w:firstLine="0"/>
        <w:jc w:val="both"/>
      </w:pPr>
      <w:r w:rsidRPr="001B4A02">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343FC475" w14:textId="77777777" w:rsidTr="00B87DF7">
        <w:trPr>
          <w:trHeight w:val="785"/>
        </w:trPr>
        <w:tc>
          <w:tcPr>
            <w:tcW w:w="9287" w:type="dxa"/>
            <w:tcBorders>
              <w:bottom w:val="single" w:sz="4" w:space="0" w:color="auto"/>
            </w:tcBorders>
          </w:tcPr>
          <w:p w14:paraId="696D04E2" w14:textId="77777777" w:rsidR="00D00732" w:rsidRPr="001B4A02" w:rsidRDefault="00000000" w:rsidP="00ED48A3">
            <w:pPr>
              <w:rPr>
                <w:b/>
              </w:rPr>
            </w:pPr>
            <w:r w:rsidRPr="001B4A02">
              <w:rPr>
                <w:b/>
              </w:rPr>
              <w:t>MINIMÁLNÍ ÚDAJE UVÁDĚNÉ NA MALÉM VNITŘNÍM OBALU</w:t>
            </w:r>
          </w:p>
          <w:p w14:paraId="16614DF6" w14:textId="77777777" w:rsidR="00D00732" w:rsidRPr="001B4A02" w:rsidRDefault="00D00732" w:rsidP="00ED48A3">
            <w:pPr>
              <w:rPr>
                <w:b/>
              </w:rPr>
            </w:pPr>
          </w:p>
          <w:p w14:paraId="2DF89383" w14:textId="77777777" w:rsidR="00D00732" w:rsidRPr="001B4A02" w:rsidRDefault="00000000" w:rsidP="00ED48A3">
            <w:pPr>
              <w:ind w:left="0" w:firstLine="0"/>
              <w:rPr>
                <w:b/>
                <w:caps/>
              </w:rPr>
            </w:pPr>
            <w:r w:rsidRPr="001B4A02">
              <w:rPr>
                <w:b/>
                <w:caps/>
              </w:rPr>
              <w:t>Etiketa na PERU</w:t>
            </w:r>
          </w:p>
        </w:tc>
      </w:tr>
    </w:tbl>
    <w:p w14:paraId="0D609B5E" w14:textId="77777777" w:rsidR="00D00732" w:rsidRPr="001B4A02" w:rsidRDefault="00D00732" w:rsidP="00ED48A3"/>
    <w:p w14:paraId="4E3516FA"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7605E8E7" w14:textId="77777777" w:rsidTr="00B87DF7">
        <w:tc>
          <w:tcPr>
            <w:tcW w:w="9287" w:type="dxa"/>
          </w:tcPr>
          <w:p w14:paraId="65BF46A4" w14:textId="77777777" w:rsidR="00D00732" w:rsidRPr="001B4A02" w:rsidRDefault="00000000" w:rsidP="00ED48A3">
            <w:pPr>
              <w:tabs>
                <w:tab w:val="left" w:pos="142"/>
              </w:tabs>
              <w:rPr>
                <w:b/>
              </w:rPr>
            </w:pPr>
            <w:r w:rsidRPr="001B4A02">
              <w:rPr>
                <w:b/>
              </w:rPr>
              <w:t>1.</w:t>
            </w:r>
            <w:r w:rsidRPr="001B4A02">
              <w:rPr>
                <w:b/>
              </w:rPr>
              <w:tab/>
              <w:t>NÁZEV LÉČIVÉHO PŘÍPRAVKU A CESTA PODÁNÍ</w:t>
            </w:r>
          </w:p>
        </w:tc>
      </w:tr>
    </w:tbl>
    <w:p w14:paraId="5BC4D243" w14:textId="77777777" w:rsidR="00D00732" w:rsidRPr="001B4A02" w:rsidRDefault="00D00732" w:rsidP="00ED48A3"/>
    <w:p w14:paraId="28C3475B" w14:textId="77777777" w:rsidR="00D00732" w:rsidRPr="001B4A02" w:rsidRDefault="00000000" w:rsidP="00ED48A3">
      <w:r w:rsidRPr="001B4A02">
        <w:t>Humira 80 mg injekce</w:t>
      </w:r>
    </w:p>
    <w:p w14:paraId="669540ED" w14:textId="77777777" w:rsidR="00D00732" w:rsidRPr="001B4A02" w:rsidRDefault="00000000" w:rsidP="00ED48A3">
      <w:r w:rsidRPr="001B4A02">
        <w:t>adalimumab</w:t>
      </w:r>
      <w:del w:id="9799" w:author="Abbvie02" w:date="2025-05-16T12:56:00Z">
        <w:r w:rsidRPr="001B4A02">
          <w:delText>um</w:delText>
        </w:r>
      </w:del>
    </w:p>
    <w:p w14:paraId="06E8C042" w14:textId="77777777" w:rsidR="00D00732" w:rsidRPr="001B4A02" w:rsidRDefault="00000000" w:rsidP="00ED48A3">
      <w:pPr>
        <w:rPr>
          <w:b/>
        </w:rPr>
      </w:pPr>
      <w:r w:rsidRPr="001B4A02">
        <w:t>s.c.</w:t>
      </w:r>
    </w:p>
    <w:p w14:paraId="2A2456A1" w14:textId="77777777" w:rsidR="00D00732" w:rsidRPr="001B4A02" w:rsidRDefault="00D00732" w:rsidP="00ED48A3"/>
    <w:p w14:paraId="4F1C303C"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6D8A1EA2" w14:textId="77777777" w:rsidTr="00B87DF7">
        <w:tc>
          <w:tcPr>
            <w:tcW w:w="9287" w:type="dxa"/>
          </w:tcPr>
          <w:p w14:paraId="07734E29" w14:textId="77777777" w:rsidR="00D00732" w:rsidRPr="001B4A02" w:rsidRDefault="00000000" w:rsidP="00ED48A3">
            <w:pPr>
              <w:tabs>
                <w:tab w:val="left" w:pos="142"/>
              </w:tabs>
              <w:rPr>
                <w:b/>
              </w:rPr>
            </w:pPr>
            <w:r w:rsidRPr="001B4A02">
              <w:rPr>
                <w:b/>
              </w:rPr>
              <w:t>2.</w:t>
            </w:r>
            <w:r w:rsidRPr="001B4A02">
              <w:rPr>
                <w:b/>
              </w:rPr>
              <w:tab/>
              <w:t>ZPŮSOB PODÁNÍ</w:t>
            </w:r>
          </w:p>
        </w:tc>
      </w:tr>
    </w:tbl>
    <w:p w14:paraId="66C61F57" w14:textId="77777777" w:rsidR="00D00732" w:rsidRPr="001B4A02" w:rsidRDefault="00D00732" w:rsidP="00ED48A3"/>
    <w:p w14:paraId="59AD3B6C"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1A3BB7C5" w14:textId="77777777" w:rsidTr="00B87DF7">
        <w:tc>
          <w:tcPr>
            <w:tcW w:w="9287" w:type="dxa"/>
          </w:tcPr>
          <w:p w14:paraId="65CD90DF" w14:textId="77777777" w:rsidR="00D00732" w:rsidRPr="001B4A02" w:rsidRDefault="00000000" w:rsidP="00ED48A3">
            <w:pPr>
              <w:tabs>
                <w:tab w:val="left" w:pos="142"/>
              </w:tabs>
              <w:rPr>
                <w:b/>
              </w:rPr>
            </w:pPr>
            <w:r w:rsidRPr="001B4A02">
              <w:rPr>
                <w:b/>
              </w:rPr>
              <w:t>3.</w:t>
            </w:r>
            <w:r w:rsidRPr="001B4A02">
              <w:rPr>
                <w:b/>
              </w:rPr>
              <w:tab/>
              <w:t>POUŽITELNOST</w:t>
            </w:r>
          </w:p>
        </w:tc>
      </w:tr>
    </w:tbl>
    <w:p w14:paraId="0005C49B" w14:textId="77777777" w:rsidR="00D00732" w:rsidRPr="001B4A02" w:rsidRDefault="00D00732" w:rsidP="00ED48A3"/>
    <w:p w14:paraId="78541F15" w14:textId="77777777" w:rsidR="00D00732" w:rsidRPr="001B4A02" w:rsidRDefault="00000000" w:rsidP="00ED48A3">
      <w:r w:rsidRPr="001B4A02">
        <w:t>EXP</w:t>
      </w:r>
    </w:p>
    <w:p w14:paraId="4E397259" w14:textId="77777777" w:rsidR="00D00732" w:rsidRPr="001B4A02" w:rsidRDefault="00D00732" w:rsidP="00ED48A3"/>
    <w:p w14:paraId="0CE4A291"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5CC6692C" w14:textId="77777777" w:rsidTr="00B87DF7">
        <w:tc>
          <w:tcPr>
            <w:tcW w:w="9287" w:type="dxa"/>
          </w:tcPr>
          <w:p w14:paraId="3A3D4D2C" w14:textId="77777777" w:rsidR="00D00732" w:rsidRPr="001B4A02" w:rsidRDefault="00000000" w:rsidP="00ED48A3">
            <w:pPr>
              <w:tabs>
                <w:tab w:val="left" w:pos="142"/>
              </w:tabs>
              <w:rPr>
                <w:b/>
              </w:rPr>
            </w:pPr>
            <w:r w:rsidRPr="001B4A02">
              <w:rPr>
                <w:b/>
              </w:rPr>
              <w:t>4.</w:t>
            </w:r>
            <w:r w:rsidRPr="001B4A02">
              <w:rPr>
                <w:b/>
              </w:rPr>
              <w:tab/>
              <w:t>ČÍSLO ŠARŽE</w:t>
            </w:r>
          </w:p>
        </w:tc>
      </w:tr>
    </w:tbl>
    <w:p w14:paraId="42BDB52B" w14:textId="77777777" w:rsidR="00D00732" w:rsidRPr="001B4A02" w:rsidRDefault="00D00732" w:rsidP="00ED48A3"/>
    <w:p w14:paraId="02DC19F4" w14:textId="77777777" w:rsidR="00D00732" w:rsidRPr="001B4A02" w:rsidRDefault="00000000" w:rsidP="00ED48A3">
      <w:pPr>
        <w:ind w:right="113"/>
      </w:pPr>
      <w:r w:rsidRPr="001B4A02">
        <w:t>Lot</w:t>
      </w:r>
    </w:p>
    <w:p w14:paraId="50DC4542" w14:textId="77777777" w:rsidR="00D00732" w:rsidRPr="001B4A02" w:rsidRDefault="00D00732" w:rsidP="00ED48A3">
      <w:pPr>
        <w:ind w:right="113"/>
      </w:pPr>
    </w:p>
    <w:p w14:paraId="2D59E7D8" w14:textId="77777777" w:rsidR="00D00732" w:rsidRPr="001B4A02" w:rsidRDefault="00D00732" w:rsidP="00ED48A3">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547DBC1" w14:textId="77777777" w:rsidTr="00B87DF7">
        <w:tc>
          <w:tcPr>
            <w:tcW w:w="9287" w:type="dxa"/>
          </w:tcPr>
          <w:p w14:paraId="6D202567" w14:textId="77777777" w:rsidR="00D00732" w:rsidRPr="001B4A02" w:rsidRDefault="00000000" w:rsidP="00ED48A3">
            <w:pPr>
              <w:tabs>
                <w:tab w:val="left" w:pos="142"/>
              </w:tabs>
              <w:rPr>
                <w:b/>
              </w:rPr>
            </w:pPr>
            <w:r w:rsidRPr="001B4A02">
              <w:rPr>
                <w:b/>
              </w:rPr>
              <w:t>5.</w:t>
            </w:r>
            <w:r w:rsidRPr="001B4A02">
              <w:rPr>
                <w:b/>
              </w:rPr>
              <w:tab/>
              <w:t>OBSAH UDANÝ JAKO HMOTNOST, OBJEM NEBO POČET DÁVEK</w:t>
            </w:r>
          </w:p>
        </w:tc>
      </w:tr>
    </w:tbl>
    <w:p w14:paraId="30C62DFE" w14:textId="77777777" w:rsidR="00D00732" w:rsidRPr="001B4A02" w:rsidRDefault="00D00732" w:rsidP="00ED48A3"/>
    <w:p w14:paraId="3DDF2990" w14:textId="77777777" w:rsidR="00D00732" w:rsidRPr="001B4A02" w:rsidRDefault="00000000" w:rsidP="00ED48A3">
      <w:r w:rsidRPr="001B4A02">
        <w:t>80 mg</w:t>
      </w:r>
      <w:r w:rsidR="009954F1" w:rsidRPr="001B4A02">
        <w:rPr>
          <w:highlight w:val="lightGray"/>
        </w:rPr>
        <w:t>/0,8 ml</w:t>
      </w:r>
    </w:p>
    <w:p w14:paraId="354A4D4F" w14:textId="77777777" w:rsidR="00D00732" w:rsidRPr="001B4A02" w:rsidRDefault="00D00732" w:rsidP="00ED48A3"/>
    <w:p w14:paraId="7E849AEC" w14:textId="77777777" w:rsidR="00D00732" w:rsidRPr="001B4A02" w:rsidRDefault="00D0073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4D7BE39F" w14:textId="77777777" w:rsidTr="00B87DF7">
        <w:tc>
          <w:tcPr>
            <w:tcW w:w="9287" w:type="dxa"/>
          </w:tcPr>
          <w:p w14:paraId="40385E06" w14:textId="77777777" w:rsidR="00D00732" w:rsidRPr="001B4A02" w:rsidRDefault="00000000" w:rsidP="00ED48A3">
            <w:pPr>
              <w:tabs>
                <w:tab w:val="left" w:pos="142"/>
              </w:tabs>
              <w:rPr>
                <w:b/>
              </w:rPr>
            </w:pPr>
            <w:r w:rsidRPr="001B4A02">
              <w:rPr>
                <w:b/>
              </w:rPr>
              <w:t>6.</w:t>
            </w:r>
            <w:r w:rsidRPr="001B4A02">
              <w:rPr>
                <w:b/>
              </w:rPr>
              <w:tab/>
              <w:t>JINÉ</w:t>
            </w:r>
          </w:p>
        </w:tc>
      </w:tr>
    </w:tbl>
    <w:p w14:paraId="24D823A1" w14:textId="77777777" w:rsidR="001C5A66" w:rsidRPr="001B4A02" w:rsidRDefault="001C5A66" w:rsidP="00ED48A3">
      <w:pPr>
        <w:ind w:left="0" w:firstLine="0"/>
      </w:pPr>
    </w:p>
    <w:p w14:paraId="12DB9B4D" w14:textId="77777777" w:rsidR="001C5A66" w:rsidRPr="001B4A02" w:rsidRDefault="001C5A66" w:rsidP="00ED48A3">
      <w:pPr>
        <w:ind w:left="0" w:firstLine="0"/>
      </w:pPr>
    </w:p>
    <w:p w14:paraId="0DE19B36" w14:textId="77777777" w:rsidR="00252102" w:rsidRPr="001B4A02" w:rsidRDefault="00000000" w:rsidP="00ED48A3">
      <w:pPr>
        <w:ind w:left="0" w:firstLine="0"/>
      </w:pPr>
      <w:r w:rsidRPr="001B4A0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A2D" w14:paraId="01D189CC" w14:textId="77777777" w:rsidTr="009862AA">
        <w:tc>
          <w:tcPr>
            <w:tcW w:w="9287" w:type="dxa"/>
          </w:tcPr>
          <w:p w14:paraId="230C2FF9" w14:textId="77777777" w:rsidR="00252102" w:rsidRDefault="00000000" w:rsidP="004D0686">
            <w:pPr>
              <w:rPr>
                <w:b/>
              </w:rPr>
            </w:pPr>
            <w:r w:rsidRPr="001B4A02">
              <w:rPr>
                <w:b/>
                <w:u w:val="single"/>
              </w:rPr>
              <w:br w:type="page"/>
            </w:r>
            <w:r w:rsidRPr="001B4A02">
              <w:rPr>
                <w:b/>
              </w:rPr>
              <w:t>TEXT NA SAMOLEPKÁCH PRO PŘIPOMENUTÍ (je součástí balení)</w:t>
            </w:r>
          </w:p>
          <w:p w14:paraId="259936A1" w14:textId="77777777" w:rsidR="004D0686" w:rsidRPr="001B4A02" w:rsidRDefault="004D0686" w:rsidP="004D0686">
            <w:pPr>
              <w:rPr>
                <w:b/>
              </w:rPr>
            </w:pPr>
          </w:p>
        </w:tc>
      </w:tr>
    </w:tbl>
    <w:p w14:paraId="5E9FF946" w14:textId="77777777" w:rsidR="00252102" w:rsidRPr="001B4A02" w:rsidRDefault="00252102" w:rsidP="00ED48A3"/>
    <w:p w14:paraId="3A2AEC0B" w14:textId="77777777" w:rsidR="00252102" w:rsidRPr="001B4A02" w:rsidRDefault="00000000" w:rsidP="00ED48A3">
      <w:pPr>
        <w:ind w:left="0" w:firstLine="0"/>
      </w:pPr>
      <w:r w:rsidRPr="001B4A02">
        <w:t>Humira</w:t>
      </w:r>
    </w:p>
    <w:p w14:paraId="1BAE24E9" w14:textId="77777777" w:rsidR="00252102" w:rsidRPr="001B4A02" w:rsidRDefault="00252102" w:rsidP="00ED48A3">
      <w:pPr>
        <w:ind w:left="0" w:firstLine="0"/>
      </w:pPr>
    </w:p>
    <w:p w14:paraId="02CAB9FE" w14:textId="77777777" w:rsidR="00252102" w:rsidRPr="001B4A02" w:rsidRDefault="00000000" w:rsidP="00ED48A3">
      <w:pPr>
        <w:ind w:left="0" w:firstLine="0"/>
      </w:pPr>
      <w:r w:rsidRPr="001B4A02">
        <w:t>Označte si svůj kalendář přiloženými samolepkami, aby Vám připomněly datum Vaší další dávky.</w:t>
      </w:r>
    </w:p>
    <w:p w14:paraId="364DF35B" w14:textId="77777777" w:rsidR="00D00732" w:rsidRPr="001B4A02" w:rsidRDefault="00000000" w:rsidP="00ED48A3">
      <w:pPr>
        <w:ind w:left="0" w:firstLine="0"/>
        <w:jc w:val="both"/>
      </w:pPr>
      <w:r w:rsidRPr="001B4A02">
        <w:br w:type="page"/>
      </w:r>
    </w:p>
    <w:p w14:paraId="677DB8BC" w14:textId="77777777" w:rsidR="00D00732" w:rsidRPr="001B4A02" w:rsidRDefault="00D00732" w:rsidP="00ED48A3">
      <w:pPr>
        <w:ind w:left="0" w:firstLine="0"/>
        <w:jc w:val="both"/>
      </w:pPr>
    </w:p>
    <w:p w14:paraId="5D24EA7F" w14:textId="77777777" w:rsidR="00D00732" w:rsidRPr="001B4A02" w:rsidRDefault="00D00732" w:rsidP="00ED48A3">
      <w:pPr>
        <w:ind w:left="0" w:firstLine="0"/>
        <w:jc w:val="both"/>
      </w:pPr>
    </w:p>
    <w:p w14:paraId="6C45010C" w14:textId="77777777" w:rsidR="00D00732" w:rsidRPr="001B4A02" w:rsidRDefault="00D00732" w:rsidP="00ED48A3">
      <w:pPr>
        <w:ind w:left="0" w:firstLine="0"/>
        <w:jc w:val="both"/>
      </w:pPr>
    </w:p>
    <w:p w14:paraId="2E460D51" w14:textId="77777777" w:rsidR="00D00732" w:rsidRPr="001B4A02" w:rsidRDefault="00D00732" w:rsidP="00ED48A3">
      <w:pPr>
        <w:ind w:left="0" w:firstLine="0"/>
        <w:jc w:val="both"/>
      </w:pPr>
    </w:p>
    <w:p w14:paraId="50799BE4" w14:textId="77777777" w:rsidR="00D00732" w:rsidRPr="001B4A02" w:rsidRDefault="00D00732" w:rsidP="00ED48A3">
      <w:pPr>
        <w:ind w:left="0" w:firstLine="0"/>
        <w:jc w:val="both"/>
      </w:pPr>
    </w:p>
    <w:p w14:paraId="645E4DE5" w14:textId="77777777" w:rsidR="00D00732" w:rsidRPr="001B4A02" w:rsidRDefault="00D00732" w:rsidP="00ED48A3">
      <w:pPr>
        <w:ind w:left="0" w:firstLine="0"/>
        <w:jc w:val="both"/>
      </w:pPr>
    </w:p>
    <w:p w14:paraId="10DF42C1" w14:textId="77777777" w:rsidR="00D00732" w:rsidRPr="001B4A02" w:rsidRDefault="00D00732" w:rsidP="00ED48A3">
      <w:pPr>
        <w:ind w:left="0" w:firstLine="0"/>
        <w:jc w:val="both"/>
      </w:pPr>
    </w:p>
    <w:p w14:paraId="6010A38E" w14:textId="77777777" w:rsidR="00D00732" w:rsidRPr="001B4A02" w:rsidRDefault="00D00732" w:rsidP="00ED48A3">
      <w:pPr>
        <w:ind w:left="0" w:firstLine="0"/>
        <w:jc w:val="both"/>
      </w:pPr>
    </w:p>
    <w:p w14:paraId="795F5653" w14:textId="77777777" w:rsidR="00D00732" w:rsidRPr="001B4A02" w:rsidRDefault="00D00732" w:rsidP="00ED48A3">
      <w:pPr>
        <w:ind w:left="0" w:firstLine="0"/>
        <w:jc w:val="both"/>
      </w:pPr>
    </w:p>
    <w:p w14:paraId="597FA2E4" w14:textId="77777777" w:rsidR="00BF1837" w:rsidRPr="001B4A02" w:rsidRDefault="00BF1837" w:rsidP="00ED48A3">
      <w:pPr>
        <w:ind w:left="0" w:firstLine="0"/>
        <w:jc w:val="both"/>
      </w:pPr>
    </w:p>
    <w:p w14:paraId="1098DEAC" w14:textId="77777777" w:rsidR="00BF1837" w:rsidRPr="001B4A02" w:rsidRDefault="00BF1837" w:rsidP="00ED48A3">
      <w:pPr>
        <w:ind w:left="0" w:firstLine="0"/>
        <w:jc w:val="both"/>
      </w:pPr>
    </w:p>
    <w:p w14:paraId="53A317CB" w14:textId="77777777" w:rsidR="00BF1837" w:rsidRPr="001B4A02" w:rsidRDefault="00BF1837" w:rsidP="00ED48A3">
      <w:pPr>
        <w:ind w:left="0" w:firstLine="0"/>
        <w:jc w:val="both"/>
      </w:pPr>
    </w:p>
    <w:p w14:paraId="32D4A023" w14:textId="77777777" w:rsidR="00BF1837" w:rsidRPr="001B4A02" w:rsidRDefault="00BF1837" w:rsidP="00ED48A3">
      <w:pPr>
        <w:ind w:left="0" w:firstLine="0"/>
        <w:jc w:val="both"/>
      </w:pPr>
    </w:p>
    <w:p w14:paraId="22102CF1" w14:textId="77777777" w:rsidR="00BF1837" w:rsidRPr="001B4A02" w:rsidRDefault="00BF1837" w:rsidP="00ED48A3">
      <w:pPr>
        <w:ind w:left="0" w:firstLine="0"/>
        <w:jc w:val="both"/>
      </w:pPr>
    </w:p>
    <w:p w14:paraId="6198E54D" w14:textId="77777777" w:rsidR="00BF1837" w:rsidRPr="001B4A02" w:rsidRDefault="00BF1837" w:rsidP="00ED48A3">
      <w:pPr>
        <w:ind w:left="0" w:firstLine="0"/>
        <w:jc w:val="both"/>
      </w:pPr>
    </w:p>
    <w:p w14:paraId="41A1AD50" w14:textId="77777777" w:rsidR="00BF1837" w:rsidRPr="001B4A02" w:rsidRDefault="00BF1837" w:rsidP="00ED48A3">
      <w:pPr>
        <w:ind w:left="0" w:firstLine="0"/>
        <w:jc w:val="both"/>
      </w:pPr>
    </w:p>
    <w:p w14:paraId="7282B6F1" w14:textId="77777777" w:rsidR="00073F8F" w:rsidRPr="001B4A02" w:rsidRDefault="00073F8F" w:rsidP="00ED48A3">
      <w:pPr>
        <w:ind w:left="0" w:firstLine="0"/>
        <w:jc w:val="both"/>
      </w:pPr>
    </w:p>
    <w:p w14:paraId="1BB13670" w14:textId="77777777" w:rsidR="00073F8F" w:rsidRDefault="00073F8F" w:rsidP="00ED48A3">
      <w:pPr>
        <w:ind w:left="0" w:firstLine="0"/>
        <w:jc w:val="both"/>
      </w:pPr>
    </w:p>
    <w:p w14:paraId="788215F7" w14:textId="77777777" w:rsidR="009D158B" w:rsidRPr="001B4A02" w:rsidRDefault="009D158B" w:rsidP="00ED48A3">
      <w:pPr>
        <w:ind w:left="0" w:firstLine="0"/>
        <w:jc w:val="both"/>
      </w:pPr>
    </w:p>
    <w:p w14:paraId="3191962C" w14:textId="77777777" w:rsidR="00073F8F" w:rsidRPr="001B4A02" w:rsidRDefault="00073F8F" w:rsidP="00ED48A3">
      <w:pPr>
        <w:ind w:left="0" w:firstLine="0"/>
        <w:jc w:val="both"/>
      </w:pPr>
    </w:p>
    <w:p w14:paraId="393AF020" w14:textId="77777777" w:rsidR="00073F8F" w:rsidRPr="001B4A02" w:rsidRDefault="00073F8F" w:rsidP="00ED48A3">
      <w:pPr>
        <w:ind w:left="0" w:firstLine="0"/>
        <w:jc w:val="both"/>
      </w:pPr>
    </w:p>
    <w:p w14:paraId="251AC2CF" w14:textId="77777777" w:rsidR="00073F8F" w:rsidRPr="001B4A02" w:rsidRDefault="00073F8F" w:rsidP="00ED48A3">
      <w:pPr>
        <w:ind w:left="0" w:firstLine="0"/>
        <w:jc w:val="both"/>
      </w:pPr>
    </w:p>
    <w:p w14:paraId="0EB0481C" w14:textId="77777777" w:rsidR="00073F8F" w:rsidRPr="001B4A02" w:rsidRDefault="00073F8F" w:rsidP="00ED48A3">
      <w:pPr>
        <w:ind w:left="0" w:firstLine="0"/>
        <w:jc w:val="both"/>
      </w:pPr>
    </w:p>
    <w:p w14:paraId="1BCB0389" w14:textId="77777777" w:rsidR="00073F8F" w:rsidRPr="001B4A02" w:rsidRDefault="00000000" w:rsidP="00ED48A3">
      <w:pPr>
        <w:pStyle w:val="BMCENTRED"/>
      </w:pPr>
      <w:r w:rsidRPr="001B4A02">
        <w:t>B. PŘÍBALOVÁ INFORMACE</w:t>
      </w:r>
    </w:p>
    <w:p w14:paraId="56535C6F" w14:textId="77777777" w:rsidR="009954F1" w:rsidRPr="001B4A02" w:rsidRDefault="00000000" w:rsidP="009954F1">
      <w:pPr>
        <w:ind w:left="0" w:firstLine="0"/>
        <w:jc w:val="center"/>
        <w:rPr>
          <w:b/>
        </w:rPr>
      </w:pPr>
      <w:r w:rsidRPr="001B4A02">
        <w:br w:type="page"/>
      </w:r>
      <w:r w:rsidRPr="001B4A02">
        <w:rPr>
          <w:b/>
        </w:rPr>
        <w:t>Příbalová informace: informace pro pacienta</w:t>
      </w:r>
    </w:p>
    <w:p w14:paraId="570DFAF8" w14:textId="77777777" w:rsidR="009954F1" w:rsidRPr="001B4A02" w:rsidRDefault="009954F1" w:rsidP="009954F1">
      <w:pPr>
        <w:ind w:left="0" w:firstLine="0"/>
        <w:jc w:val="center"/>
        <w:rPr>
          <w:b/>
        </w:rPr>
      </w:pPr>
    </w:p>
    <w:p w14:paraId="4E61E478" w14:textId="77777777" w:rsidR="009954F1" w:rsidRPr="001B4A02" w:rsidRDefault="00000000" w:rsidP="00995407">
      <w:pPr>
        <w:ind w:left="0" w:firstLine="0"/>
        <w:jc w:val="center"/>
        <w:outlineLvl w:val="0"/>
        <w:rPr>
          <w:b/>
        </w:rPr>
      </w:pPr>
      <w:r w:rsidRPr="001B4A02">
        <w:rPr>
          <w:b/>
        </w:rPr>
        <w:t xml:space="preserve">Humira </w:t>
      </w:r>
      <w:r w:rsidRPr="00874DE1">
        <w:rPr>
          <w:b/>
        </w:rPr>
        <w:t>20</w:t>
      </w:r>
      <w:r w:rsidR="00874DE1" w:rsidRPr="00874DE1">
        <w:rPr>
          <w:b/>
          <w:szCs w:val="22"/>
        </w:rPr>
        <w:t> </w:t>
      </w:r>
      <w:r w:rsidRPr="00874DE1">
        <w:rPr>
          <w:b/>
        </w:rPr>
        <w:t>mg</w:t>
      </w:r>
      <w:r w:rsidRPr="001B4A02">
        <w:rPr>
          <w:b/>
        </w:rPr>
        <w:t xml:space="preserve"> injekční roztok v předplněné injekční stříkačce</w:t>
      </w:r>
    </w:p>
    <w:p w14:paraId="1C86AA69" w14:textId="77777777" w:rsidR="009954F1" w:rsidRPr="001B4A02" w:rsidRDefault="00000000" w:rsidP="009954F1">
      <w:pPr>
        <w:ind w:left="0" w:firstLine="0"/>
        <w:jc w:val="center"/>
        <w:rPr>
          <w:bCs/>
        </w:rPr>
      </w:pPr>
      <w:r w:rsidRPr="001B4A02">
        <w:rPr>
          <w:bCs/>
        </w:rPr>
        <w:t>adalimumab</w:t>
      </w:r>
      <w:del w:id="9800" w:author="Abbvie02" w:date="2025-05-16T11:50:00Z">
        <w:r w:rsidRPr="001B4A02">
          <w:rPr>
            <w:bCs/>
          </w:rPr>
          <w:delText>um</w:delText>
        </w:r>
      </w:del>
    </w:p>
    <w:p w14:paraId="75443750" w14:textId="77777777" w:rsidR="009954F1" w:rsidRPr="001B4A02" w:rsidRDefault="009954F1" w:rsidP="009954F1">
      <w:pPr>
        <w:ind w:left="0" w:firstLine="0"/>
      </w:pPr>
    </w:p>
    <w:p w14:paraId="550AE89B" w14:textId="77777777" w:rsidR="009E6B0F" w:rsidRPr="001B4A02" w:rsidRDefault="00000000" w:rsidP="009E6B0F">
      <w:pPr>
        <w:ind w:left="0" w:firstLine="0"/>
        <w:rPr>
          <w:b/>
        </w:rPr>
      </w:pPr>
      <w:r w:rsidRPr="001B4A02">
        <w:rPr>
          <w:b/>
        </w:rPr>
        <w:t>Přečtěte si pozorně celou příbalovou informaci dříve, než Vaše dítě začne tento přípravek používat, protože obsahuje pro Vás důležité údaje.</w:t>
      </w:r>
    </w:p>
    <w:p w14:paraId="1E8A558E" w14:textId="77777777" w:rsidR="009E6B0F" w:rsidRPr="001B4A02" w:rsidRDefault="00000000" w:rsidP="009E6B0F">
      <w:pPr>
        <w:ind w:left="0" w:firstLine="0"/>
      </w:pPr>
      <w:r w:rsidRPr="001B4A02">
        <w:t>-</w:t>
      </w:r>
      <w:r w:rsidRPr="001B4A02">
        <w:tab/>
        <w:t>Ponechte si příbalovou informaci pro případ, že si ji budete potřebovat přečíst znovu.</w:t>
      </w:r>
    </w:p>
    <w:p w14:paraId="3C00FADC" w14:textId="77777777" w:rsidR="009E6B0F" w:rsidRPr="001B4A02" w:rsidRDefault="00000000" w:rsidP="009E6B0F">
      <w:r w:rsidRPr="001B4A02">
        <w:t>-</w:t>
      </w:r>
      <w:r w:rsidRPr="001B4A02">
        <w:tab/>
        <w:t xml:space="preserve">Lékař Vám rovněž vydá </w:t>
      </w:r>
      <w:r w:rsidRPr="007E416D">
        <w:rPr>
          <w:b/>
        </w:rPr>
        <w:t>informační kartičku</w:t>
      </w:r>
      <w:r w:rsidRPr="00E8203A">
        <w:t>,</w:t>
      </w:r>
      <w:r w:rsidRPr="001B4A02">
        <w:t xml:space="preserve"> která obsahuje důležité bezpečnostní informace, se kterými musíte být seznámen(a) před zahájením léčby přípravkem Humira u Vašeho dítěte</w:t>
      </w:r>
      <w:r w:rsidR="002378E0">
        <w:t xml:space="preserve"> a </w:t>
      </w:r>
      <w:r w:rsidRPr="001B4A02">
        <w:t xml:space="preserve">během léčby tímto lékem. Mějte tuto </w:t>
      </w:r>
      <w:r w:rsidRPr="007E416D">
        <w:rPr>
          <w:b/>
        </w:rPr>
        <w:t>informační kartičku</w:t>
      </w:r>
      <w:r w:rsidRPr="001B4A02">
        <w:t xml:space="preserve"> vždy při sobě nebo u Vašeho dítěte.</w:t>
      </w:r>
    </w:p>
    <w:p w14:paraId="0CA48E56" w14:textId="77777777" w:rsidR="009E6B0F" w:rsidRPr="001B4A02" w:rsidRDefault="00000000" w:rsidP="009E6B0F">
      <w:pPr>
        <w:ind w:left="0" w:firstLine="0"/>
      </w:pPr>
      <w:r w:rsidRPr="001B4A02">
        <w:t>-</w:t>
      </w:r>
      <w:r w:rsidRPr="001B4A02">
        <w:tab/>
        <w:t>Máte-li jakékoli další otázky, zeptejte se svého lékaře nebo lékárníka.</w:t>
      </w:r>
    </w:p>
    <w:p w14:paraId="1FF52680" w14:textId="77777777" w:rsidR="009E6B0F" w:rsidRPr="001B4A02" w:rsidRDefault="00000000" w:rsidP="009E6B0F">
      <w:r w:rsidRPr="001B4A02">
        <w:t>-</w:t>
      </w:r>
      <w:r w:rsidRPr="001B4A02">
        <w:tab/>
        <w:t>Tento přípravek byl předepsán výhradně Vašemu dítěti. Nedávejte jej žádné další osobě. Mohl by jí ublížit,</w:t>
      </w:r>
      <w:r w:rsidR="002378E0">
        <w:t xml:space="preserve"> a </w:t>
      </w:r>
      <w:r w:rsidRPr="001B4A02">
        <w:t>to i tehdy, má-li stejné známky onemocnění jako Vaše dítě.</w:t>
      </w:r>
    </w:p>
    <w:p w14:paraId="1AD2CB41" w14:textId="77777777" w:rsidR="009E6B0F" w:rsidRPr="001B4A02" w:rsidRDefault="00000000" w:rsidP="009E6B0F">
      <w:r w:rsidRPr="001B4A02">
        <w:t>-</w:t>
      </w:r>
      <w:r w:rsidRPr="001B4A02">
        <w:tab/>
        <w:t>Pokud se u Vašeho dítěte vyskytne kterýkoli z nežádoucích účinků, sdělte to lékaři nebo lékárníkovi. Stejně postupujte v případě jakýchkoli nežádoucích účinků, které nejsou uvedeny v této příbalové informaci</w:t>
      </w:r>
      <w:r w:rsidR="00344A1F" w:rsidRPr="001B4A02">
        <w:t>.</w:t>
      </w:r>
      <w:r w:rsidRPr="001B4A02">
        <w:t xml:space="preserve"> </w:t>
      </w:r>
      <w:r w:rsidR="00344A1F" w:rsidRPr="001B4A02">
        <w:t>V</w:t>
      </w:r>
      <w:r w:rsidRPr="001B4A02">
        <w:t>iz bod 4.</w:t>
      </w:r>
    </w:p>
    <w:p w14:paraId="23CC2C6B" w14:textId="77777777" w:rsidR="009E6B0F" w:rsidRPr="001B4A02" w:rsidRDefault="009E6B0F" w:rsidP="009E6B0F">
      <w:pPr>
        <w:numPr>
          <w:ilvl w:val="12"/>
          <w:numId w:val="0"/>
        </w:numPr>
        <w:ind w:right="-2"/>
        <w:jc w:val="both"/>
      </w:pPr>
    </w:p>
    <w:p w14:paraId="6AD0DA5D" w14:textId="77777777" w:rsidR="009E6B0F" w:rsidRPr="001B4A02" w:rsidRDefault="00000000" w:rsidP="0009084E">
      <w:pPr>
        <w:numPr>
          <w:ilvl w:val="12"/>
          <w:numId w:val="0"/>
        </w:numPr>
      </w:pPr>
      <w:r w:rsidRPr="001B4A02">
        <w:rPr>
          <w:b/>
        </w:rPr>
        <w:t>Co naleznete v této příbalové informaci</w:t>
      </w:r>
    </w:p>
    <w:p w14:paraId="6956054A" w14:textId="77777777" w:rsidR="009E6B0F" w:rsidRPr="001B4A02" w:rsidRDefault="00000000" w:rsidP="009E6B0F">
      <w:pPr>
        <w:ind w:left="0" w:right="-29" w:firstLine="0"/>
      </w:pPr>
      <w:r w:rsidRPr="001B4A02">
        <w:t>1.</w:t>
      </w:r>
      <w:r w:rsidRPr="001B4A02">
        <w:tab/>
        <w:t>Co je přípravek Humira</w:t>
      </w:r>
      <w:r w:rsidR="002378E0">
        <w:t xml:space="preserve"> a </w:t>
      </w:r>
      <w:r w:rsidRPr="001B4A02">
        <w:t>k čemu se používá</w:t>
      </w:r>
    </w:p>
    <w:p w14:paraId="2415CA1E" w14:textId="77777777" w:rsidR="009E6B0F" w:rsidRPr="001B4A02" w:rsidRDefault="00000000" w:rsidP="009E6B0F">
      <w:pPr>
        <w:ind w:left="0" w:right="-29" w:firstLine="0"/>
      </w:pPr>
      <w:r w:rsidRPr="001B4A02">
        <w:t>2.</w:t>
      </w:r>
      <w:r w:rsidRPr="001B4A02">
        <w:tab/>
        <w:t>Čemu musíte věnovat pozornost, než Vaše dítě začne přípravek Humira používat</w:t>
      </w:r>
    </w:p>
    <w:p w14:paraId="72F79964" w14:textId="77777777" w:rsidR="009E6B0F" w:rsidRPr="001B4A02" w:rsidRDefault="00000000" w:rsidP="009E6B0F">
      <w:pPr>
        <w:ind w:left="0" w:right="-29" w:firstLine="0"/>
      </w:pPr>
      <w:r w:rsidRPr="001B4A02">
        <w:t>3.</w:t>
      </w:r>
      <w:r w:rsidRPr="001B4A02">
        <w:tab/>
        <w:t xml:space="preserve">Jak se přípravek Humira používá </w:t>
      </w:r>
    </w:p>
    <w:p w14:paraId="1FC48FE2" w14:textId="77777777" w:rsidR="009E6B0F" w:rsidRPr="001B4A02" w:rsidRDefault="00000000" w:rsidP="009E6B0F">
      <w:pPr>
        <w:ind w:left="0" w:right="-29" w:firstLine="0"/>
      </w:pPr>
      <w:r w:rsidRPr="001B4A02">
        <w:t>4.</w:t>
      </w:r>
      <w:r w:rsidRPr="001B4A02">
        <w:tab/>
        <w:t>Možné nežádoucí účinky</w:t>
      </w:r>
    </w:p>
    <w:p w14:paraId="52D0A2FF" w14:textId="77777777" w:rsidR="009E6B0F" w:rsidRPr="001B4A02" w:rsidRDefault="00000000" w:rsidP="009E6B0F">
      <w:pPr>
        <w:ind w:left="0" w:right="-29" w:firstLine="0"/>
      </w:pPr>
      <w:r w:rsidRPr="001B4A02">
        <w:t>5.</w:t>
      </w:r>
      <w:r w:rsidRPr="001B4A02">
        <w:tab/>
        <w:t>Jak přípravek Humira uchovávat</w:t>
      </w:r>
    </w:p>
    <w:p w14:paraId="2909FEEF" w14:textId="77777777" w:rsidR="009954F1" w:rsidRPr="001B4A02" w:rsidRDefault="00000000" w:rsidP="009E6B0F">
      <w:pPr>
        <w:ind w:left="0" w:right="-29" w:firstLine="0"/>
      </w:pPr>
      <w:r w:rsidRPr="001B4A02">
        <w:t>6.</w:t>
      </w:r>
      <w:r w:rsidRPr="001B4A02">
        <w:tab/>
        <w:t>Obsah balení</w:t>
      </w:r>
      <w:r w:rsidR="002378E0">
        <w:t xml:space="preserve"> a </w:t>
      </w:r>
      <w:r w:rsidRPr="001B4A02">
        <w:t>další informace</w:t>
      </w:r>
    </w:p>
    <w:p w14:paraId="7F85D8AF" w14:textId="77777777" w:rsidR="00B0574A" w:rsidRPr="001B4A02" w:rsidRDefault="00000000" w:rsidP="009E6B0F">
      <w:pPr>
        <w:ind w:left="0" w:right="-29" w:firstLine="0"/>
      </w:pPr>
      <w:r w:rsidRPr="001B4A02">
        <w:t>7.</w:t>
      </w:r>
      <w:r w:rsidRPr="001B4A02">
        <w:tab/>
      </w:r>
      <w:r w:rsidR="00F52F29">
        <w:t>Aplikace injekce přípravku Humira</w:t>
      </w:r>
    </w:p>
    <w:p w14:paraId="4CD6A4D0" w14:textId="77777777" w:rsidR="009954F1" w:rsidRPr="001B4A02" w:rsidRDefault="009954F1" w:rsidP="009954F1">
      <w:pPr>
        <w:ind w:left="0" w:firstLine="0"/>
      </w:pPr>
    </w:p>
    <w:p w14:paraId="617DA77C" w14:textId="77777777" w:rsidR="009954F1" w:rsidRPr="001B4A02" w:rsidRDefault="009954F1" w:rsidP="009954F1">
      <w:pPr>
        <w:ind w:left="0" w:firstLine="0"/>
      </w:pPr>
    </w:p>
    <w:p w14:paraId="2C8F3DC7" w14:textId="77777777" w:rsidR="009954F1" w:rsidRPr="001B4A02" w:rsidRDefault="00000000" w:rsidP="00995407">
      <w:pPr>
        <w:numPr>
          <w:ilvl w:val="12"/>
          <w:numId w:val="0"/>
        </w:numPr>
        <w:ind w:left="567" w:hanging="567"/>
        <w:outlineLvl w:val="1"/>
        <w:rPr>
          <w:b/>
        </w:rPr>
      </w:pPr>
      <w:r w:rsidRPr="001B4A02">
        <w:rPr>
          <w:b/>
        </w:rPr>
        <w:t>1.</w:t>
      </w:r>
      <w:r w:rsidRPr="001B4A02">
        <w:rPr>
          <w:b/>
        </w:rPr>
        <w:tab/>
        <w:t>Co je přípravek Humira</w:t>
      </w:r>
      <w:r w:rsidR="002378E0">
        <w:rPr>
          <w:b/>
        </w:rPr>
        <w:t xml:space="preserve"> a </w:t>
      </w:r>
      <w:r w:rsidRPr="001B4A02">
        <w:rPr>
          <w:b/>
        </w:rPr>
        <w:t>k čemu se používá</w:t>
      </w:r>
    </w:p>
    <w:p w14:paraId="0E41CD31" w14:textId="77777777" w:rsidR="009954F1" w:rsidRPr="001B4A02" w:rsidRDefault="009954F1" w:rsidP="009954F1">
      <w:pPr>
        <w:ind w:left="0" w:firstLine="0"/>
        <w:rPr>
          <w:b/>
        </w:rPr>
      </w:pPr>
    </w:p>
    <w:p w14:paraId="0D6998BC" w14:textId="77777777" w:rsidR="00A84F4F" w:rsidRPr="001B4A02" w:rsidRDefault="00000000" w:rsidP="009954F1">
      <w:pPr>
        <w:ind w:left="0" w:firstLine="0"/>
      </w:pPr>
      <w:r w:rsidRPr="001B4A02">
        <w:t>Přípravek Humira obsahuje léčivou látku adalimumab</w:t>
      </w:r>
      <w:r w:rsidR="00B0574A" w:rsidRPr="001B4A02">
        <w:t>.</w:t>
      </w:r>
    </w:p>
    <w:p w14:paraId="27152629" w14:textId="77777777" w:rsidR="00A84F4F" w:rsidRPr="001B4A02" w:rsidRDefault="00A84F4F" w:rsidP="009954F1">
      <w:pPr>
        <w:ind w:left="0" w:firstLine="0"/>
      </w:pPr>
    </w:p>
    <w:p w14:paraId="7165BFC5" w14:textId="77777777" w:rsidR="00F9593F" w:rsidRPr="001B4A02" w:rsidRDefault="00000000" w:rsidP="009954F1">
      <w:pPr>
        <w:ind w:left="0" w:firstLine="0"/>
      </w:pPr>
      <w:r w:rsidRPr="001B4A02">
        <w:t xml:space="preserve">Přípravek Humira </w:t>
      </w:r>
      <w:r w:rsidR="00A84F4F" w:rsidRPr="001B4A02">
        <w:t xml:space="preserve">je určen </w:t>
      </w:r>
      <w:r w:rsidRPr="001B4A02">
        <w:t>k</w:t>
      </w:r>
      <w:r w:rsidR="00A84F4F" w:rsidRPr="001B4A02">
        <w:t> </w:t>
      </w:r>
      <w:r w:rsidRPr="001B4A02">
        <w:t>léčbě</w:t>
      </w:r>
      <w:r w:rsidR="00A84F4F" w:rsidRPr="001B4A02">
        <w:t xml:space="preserve"> zánětlivých onemocnění popsaných níže</w:t>
      </w:r>
      <w:r w:rsidRPr="001B4A02">
        <w:t>:</w:t>
      </w:r>
    </w:p>
    <w:p w14:paraId="677AD057" w14:textId="77777777" w:rsidR="00F9593F" w:rsidRPr="001B4A02" w:rsidRDefault="00000000" w:rsidP="002857B1">
      <w:pPr>
        <w:numPr>
          <w:ilvl w:val="0"/>
          <w:numId w:val="247"/>
        </w:numPr>
      </w:pPr>
      <w:r w:rsidRPr="001B4A02">
        <w:t>p</w:t>
      </w:r>
      <w:r w:rsidR="009954F1" w:rsidRPr="001B4A02">
        <w:t>olyartikulární juve</w:t>
      </w:r>
      <w:r w:rsidR="00A84F4F" w:rsidRPr="001B4A02">
        <w:t>nilní idiopatická artritida</w:t>
      </w:r>
    </w:p>
    <w:p w14:paraId="6D978979" w14:textId="77777777" w:rsidR="00F9593F" w:rsidRPr="001B4A02" w:rsidRDefault="00000000" w:rsidP="002857B1">
      <w:pPr>
        <w:numPr>
          <w:ilvl w:val="0"/>
          <w:numId w:val="247"/>
        </w:numPr>
      </w:pPr>
      <w:r w:rsidRPr="001B4A02">
        <w:t>e</w:t>
      </w:r>
      <w:r w:rsidR="00A84F4F" w:rsidRPr="001B4A02">
        <w:t>ntezopatická</w:t>
      </w:r>
      <w:r w:rsidR="009954F1" w:rsidRPr="001B4A02">
        <w:t xml:space="preserve"> artritid</w:t>
      </w:r>
      <w:r w:rsidR="00A84F4F" w:rsidRPr="001B4A02">
        <w:t>a</w:t>
      </w:r>
    </w:p>
    <w:p w14:paraId="6981C810" w14:textId="77777777" w:rsidR="00F9593F" w:rsidRPr="001B4A02" w:rsidRDefault="00000000" w:rsidP="002857B1">
      <w:pPr>
        <w:numPr>
          <w:ilvl w:val="0"/>
          <w:numId w:val="247"/>
        </w:numPr>
      </w:pPr>
      <w:r w:rsidRPr="001B4A02">
        <w:t>ložiskov</w:t>
      </w:r>
      <w:r w:rsidR="00A84F4F" w:rsidRPr="001B4A02">
        <w:t>á</w:t>
      </w:r>
      <w:r w:rsidRPr="001B4A02">
        <w:t xml:space="preserve"> </w:t>
      </w:r>
      <w:r w:rsidR="009954F1" w:rsidRPr="001B4A02">
        <w:t>psoriáz</w:t>
      </w:r>
      <w:r w:rsidR="00A84F4F" w:rsidRPr="001B4A02">
        <w:t>a u</w:t>
      </w:r>
      <w:r w:rsidR="00A02FA4" w:rsidRPr="001B4A02">
        <w:t> </w:t>
      </w:r>
      <w:r w:rsidR="00A84F4F" w:rsidRPr="001B4A02">
        <w:t>dětí</w:t>
      </w:r>
    </w:p>
    <w:p w14:paraId="32E4F73D" w14:textId="77777777" w:rsidR="00F9593F" w:rsidRPr="001B4A02" w:rsidRDefault="00000000" w:rsidP="002857B1">
      <w:pPr>
        <w:numPr>
          <w:ilvl w:val="0"/>
          <w:numId w:val="247"/>
        </w:numPr>
      </w:pPr>
      <w:r w:rsidRPr="001B4A02">
        <w:t>Crohnov</w:t>
      </w:r>
      <w:r w:rsidR="00A84F4F" w:rsidRPr="001B4A02">
        <w:t>a</w:t>
      </w:r>
      <w:r w:rsidRPr="001B4A02">
        <w:t xml:space="preserve"> chorob</w:t>
      </w:r>
      <w:r w:rsidR="00A84F4F" w:rsidRPr="001B4A02">
        <w:t>a u</w:t>
      </w:r>
      <w:r w:rsidR="00A02FA4" w:rsidRPr="001B4A02">
        <w:t> </w:t>
      </w:r>
      <w:r w:rsidR="00A84F4F" w:rsidRPr="001B4A02">
        <w:t>dětí</w:t>
      </w:r>
    </w:p>
    <w:p w14:paraId="14EDA871" w14:textId="77777777" w:rsidR="00A84F4F" w:rsidRPr="001B4A02" w:rsidRDefault="00000000" w:rsidP="002857B1">
      <w:pPr>
        <w:numPr>
          <w:ilvl w:val="0"/>
          <w:numId w:val="247"/>
        </w:numPr>
      </w:pPr>
      <w:r w:rsidRPr="001B4A02">
        <w:t>u</w:t>
      </w:r>
      <w:r w:rsidR="009954F1" w:rsidRPr="001B4A02">
        <w:t>veitid</w:t>
      </w:r>
      <w:r w:rsidRPr="001B4A02">
        <w:t>a u</w:t>
      </w:r>
      <w:r w:rsidR="00A02FA4" w:rsidRPr="001B4A02">
        <w:t> </w:t>
      </w:r>
      <w:r w:rsidRPr="001B4A02">
        <w:t>dětí</w:t>
      </w:r>
    </w:p>
    <w:p w14:paraId="7C63C340" w14:textId="77777777" w:rsidR="00A84F4F" w:rsidRPr="001B4A02" w:rsidRDefault="00A84F4F" w:rsidP="002857B1">
      <w:pPr>
        <w:ind w:left="0" w:firstLine="0"/>
      </w:pPr>
    </w:p>
    <w:p w14:paraId="1A46640A" w14:textId="77777777" w:rsidR="00A84F4F" w:rsidRPr="001B4A02" w:rsidRDefault="00000000" w:rsidP="002857B1">
      <w:pPr>
        <w:ind w:left="0" w:firstLine="0"/>
      </w:pPr>
      <w:r w:rsidRPr="001B4A02">
        <w:t>Léčiv</w:t>
      </w:r>
      <w:r w:rsidR="002375C9" w:rsidRPr="001B4A02">
        <w:t>á</w:t>
      </w:r>
      <w:r w:rsidRPr="001B4A02">
        <w:t xml:space="preserve"> látk</w:t>
      </w:r>
      <w:r w:rsidR="002375C9" w:rsidRPr="001B4A02">
        <w:t>a</w:t>
      </w:r>
      <w:r w:rsidRPr="001B4A02">
        <w:t xml:space="preserve"> v příprav</w:t>
      </w:r>
      <w:r w:rsidR="002375C9" w:rsidRPr="001B4A02">
        <w:t>k</w:t>
      </w:r>
      <w:r w:rsidRPr="001B4A02">
        <w:t>u Humira</w:t>
      </w:r>
      <w:r w:rsidR="002375C9" w:rsidRPr="001B4A02">
        <w:t>,</w:t>
      </w:r>
      <w:r w:rsidRPr="001B4A02">
        <w:t xml:space="preserve"> adalimum</w:t>
      </w:r>
      <w:r w:rsidR="002375C9" w:rsidRPr="001B4A02">
        <w:t>a</w:t>
      </w:r>
      <w:r w:rsidRPr="001B4A02">
        <w:t>b, je</w:t>
      </w:r>
      <w:r w:rsidR="002375C9" w:rsidRPr="001B4A02">
        <w:t xml:space="preserve"> lidská</w:t>
      </w:r>
      <w:r w:rsidRPr="001B4A02">
        <w:t xml:space="preserve"> monoklonální protilátka. Monoklonální protilátky jsou bílkoviny, které se váží na specifický cíl.</w:t>
      </w:r>
    </w:p>
    <w:p w14:paraId="19789BCB" w14:textId="77777777" w:rsidR="00A84F4F" w:rsidRPr="001B4A02" w:rsidRDefault="00A84F4F" w:rsidP="002857B1">
      <w:pPr>
        <w:ind w:left="0" w:firstLine="0"/>
      </w:pPr>
    </w:p>
    <w:p w14:paraId="42FD6B26" w14:textId="77777777" w:rsidR="00F9593F" w:rsidRPr="001B4A02" w:rsidRDefault="00000000" w:rsidP="002857B1">
      <w:pPr>
        <w:ind w:left="0" w:firstLine="0"/>
      </w:pPr>
      <w:r w:rsidRPr="001B4A02">
        <w:t xml:space="preserve">Cíl pro adalimumab je bílkovina označená jako </w:t>
      </w:r>
      <w:r w:rsidR="00191073" w:rsidRPr="001B4A02">
        <w:t>tumor nekrotizující faktor</w:t>
      </w:r>
      <w:r w:rsidR="0054630E" w:rsidRPr="001B4A02">
        <w:t xml:space="preserve"> </w:t>
      </w:r>
      <w:r w:rsidRPr="001B4A02">
        <w:t>(TNF</w:t>
      </w:r>
      <w:r w:rsidRPr="001B4A02">
        <w:rPr>
          <w:color w:val="000000"/>
          <w:szCs w:val="22"/>
        </w:rPr>
        <w:t>α), kter</w:t>
      </w:r>
      <w:r w:rsidR="0054630E" w:rsidRPr="001B4A02">
        <w:rPr>
          <w:color w:val="000000"/>
          <w:szCs w:val="22"/>
        </w:rPr>
        <w:t>á</w:t>
      </w:r>
      <w:r w:rsidRPr="001B4A02">
        <w:rPr>
          <w:color w:val="000000"/>
          <w:szCs w:val="22"/>
        </w:rPr>
        <w:t xml:space="preserve"> působí v imunitním (obranném) systému</w:t>
      </w:r>
      <w:r w:rsidR="002378E0">
        <w:rPr>
          <w:color w:val="000000"/>
          <w:szCs w:val="22"/>
        </w:rPr>
        <w:t xml:space="preserve"> a </w:t>
      </w:r>
      <w:r w:rsidRPr="001B4A02">
        <w:rPr>
          <w:color w:val="000000"/>
          <w:szCs w:val="22"/>
        </w:rPr>
        <w:t>je přítomn</w:t>
      </w:r>
      <w:r w:rsidR="0054630E" w:rsidRPr="001B4A02">
        <w:rPr>
          <w:color w:val="000000"/>
          <w:szCs w:val="22"/>
        </w:rPr>
        <w:t>a</w:t>
      </w:r>
      <w:r w:rsidRPr="001B4A02">
        <w:rPr>
          <w:color w:val="000000"/>
          <w:szCs w:val="22"/>
        </w:rPr>
        <w:t xml:space="preserve"> ve zvýšených hladinách při zánětlivých onemocněních uvedených výše. Navázáním na TNFα snižuje přípravek Humira zánětlivý proces u</w:t>
      </w:r>
      <w:r w:rsidR="00A02FA4" w:rsidRPr="001B4A02">
        <w:rPr>
          <w:color w:val="000000"/>
          <w:szCs w:val="22"/>
        </w:rPr>
        <w:t> </w:t>
      </w:r>
      <w:r w:rsidRPr="001B4A02">
        <w:rPr>
          <w:color w:val="000000"/>
          <w:szCs w:val="22"/>
        </w:rPr>
        <w:t>těchto onemocnění.</w:t>
      </w:r>
      <w:r w:rsidR="009954F1" w:rsidRPr="001B4A02">
        <w:t xml:space="preserve"> </w:t>
      </w:r>
    </w:p>
    <w:p w14:paraId="0F0477AF" w14:textId="77777777" w:rsidR="00F9593F" w:rsidRPr="001B4A02" w:rsidRDefault="00F9593F" w:rsidP="002857B1">
      <w:pPr>
        <w:ind w:left="0" w:firstLine="0"/>
      </w:pPr>
    </w:p>
    <w:p w14:paraId="3970371C" w14:textId="77777777" w:rsidR="009954F1" w:rsidRPr="001B4A02" w:rsidRDefault="00000000" w:rsidP="002857B1">
      <w:pPr>
        <w:pStyle w:val="EMEAHeadingUnderline"/>
        <w:tabs>
          <w:tab w:val="clear" w:pos="562"/>
        </w:tabs>
        <w:suppressAutoHyphens w:val="0"/>
        <w:spacing w:beforeLines="0" w:before="0" w:afterLines="0" w:after="0"/>
        <w:rPr>
          <w:lang w:val="cs-CZ"/>
        </w:rPr>
      </w:pPr>
      <w:r w:rsidRPr="001B4A02">
        <w:rPr>
          <w:lang w:val="cs-CZ"/>
        </w:rPr>
        <w:t xml:space="preserve">Polyartikulární juvenilní idiopatická artritida </w:t>
      </w:r>
    </w:p>
    <w:p w14:paraId="20FF1267" w14:textId="77777777" w:rsidR="009954F1" w:rsidRPr="001B4A02" w:rsidRDefault="009954F1" w:rsidP="002857B1">
      <w:pPr>
        <w:ind w:left="0" w:firstLine="0"/>
        <w:rPr>
          <w:u w:val="single"/>
        </w:rPr>
      </w:pPr>
    </w:p>
    <w:p w14:paraId="7471BC1A" w14:textId="77777777" w:rsidR="009954F1" w:rsidRPr="001B4A02" w:rsidRDefault="00000000" w:rsidP="002857B1">
      <w:pPr>
        <w:ind w:left="0" w:firstLine="0"/>
        <w:rPr>
          <w:u w:val="single"/>
        </w:rPr>
      </w:pPr>
      <w:r w:rsidRPr="001B4A02">
        <w:t xml:space="preserve">Polyartikulární juvenilní idiopatická artritida </w:t>
      </w:r>
      <w:r w:rsidR="00F9593F" w:rsidRPr="001B4A02">
        <w:t>je</w:t>
      </w:r>
      <w:r w:rsidRPr="001B4A02">
        <w:t xml:space="preserve"> zánětliv</w:t>
      </w:r>
      <w:r w:rsidR="00F9593F" w:rsidRPr="001B4A02">
        <w:t>é</w:t>
      </w:r>
      <w:r w:rsidRPr="001B4A02">
        <w:t xml:space="preserve"> onemocnění</w:t>
      </w:r>
      <w:r w:rsidR="00F9593F" w:rsidRPr="001B4A02">
        <w:t xml:space="preserve"> kloubů</w:t>
      </w:r>
      <w:r w:rsidR="00F26478" w:rsidRPr="001B4A02">
        <w:t>, které se obvykle poprvé objevuje v</w:t>
      </w:r>
      <w:r w:rsidR="00DE4138" w:rsidRPr="001B4A02">
        <w:t> </w:t>
      </w:r>
      <w:r w:rsidR="00F26478" w:rsidRPr="001B4A02">
        <w:t>dětství</w:t>
      </w:r>
      <w:r w:rsidRPr="001B4A02">
        <w:t>.</w:t>
      </w:r>
    </w:p>
    <w:p w14:paraId="4A4A249C" w14:textId="77777777" w:rsidR="009954F1" w:rsidRPr="001B4A02" w:rsidRDefault="009954F1" w:rsidP="002857B1">
      <w:pPr>
        <w:ind w:left="0" w:firstLine="0"/>
      </w:pPr>
    </w:p>
    <w:p w14:paraId="196B558F" w14:textId="77777777" w:rsidR="009954F1" w:rsidRPr="001B4A02" w:rsidRDefault="00000000" w:rsidP="002857B1">
      <w:pPr>
        <w:ind w:left="0" w:firstLine="0"/>
      </w:pPr>
      <w:r w:rsidRPr="001B4A02">
        <w:t>Přípravek Humira se používá k léčbě polyartikulární juvenilní idiopatické artritidy u dětí od 2</w:t>
      </w:r>
      <w:r w:rsidR="00F9593F" w:rsidRPr="001B4A02">
        <w:t xml:space="preserve"> </w:t>
      </w:r>
      <w:r w:rsidRPr="001B4A02">
        <w:t xml:space="preserve">let. Zpočátku </w:t>
      </w:r>
      <w:r w:rsidR="00F52F29">
        <w:t>může Vaše dítě</w:t>
      </w:r>
      <w:r w:rsidRPr="001B4A02">
        <w:t xml:space="preserve"> užívat jiné chorobu modifikující léky, jako je methotrexát. Pokud tyto léky </w:t>
      </w:r>
      <w:r w:rsidR="00523088" w:rsidRPr="001B4A02">
        <w:t>dostatečně neúčinkují</w:t>
      </w:r>
      <w:r w:rsidRPr="001B4A02">
        <w:t xml:space="preserve">, </w:t>
      </w:r>
      <w:r w:rsidR="00926578" w:rsidRPr="001B4A02">
        <w:t xml:space="preserve">bude </w:t>
      </w:r>
      <w:r w:rsidR="00F52F29">
        <w:t>mu</w:t>
      </w:r>
      <w:r w:rsidR="00F52F29" w:rsidRPr="001B4A02">
        <w:t xml:space="preserve"> </w:t>
      </w:r>
      <w:r w:rsidR="00926578" w:rsidRPr="001B4A02">
        <w:t>k</w:t>
      </w:r>
      <w:r w:rsidR="00C17239" w:rsidRPr="001B4A02">
        <w:t> </w:t>
      </w:r>
      <w:r w:rsidR="00926578" w:rsidRPr="001B4A02">
        <w:t>léčbě</w:t>
      </w:r>
      <w:r w:rsidR="00523088" w:rsidRPr="001B4A02">
        <w:t xml:space="preserve"> juvenilní idiopatické artritidy</w:t>
      </w:r>
      <w:r w:rsidR="001143FE" w:rsidRPr="001B4A02">
        <w:t xml:space="preserve"> podán přípravek Humira</w:t>
      </w:r>
      <w:r w:rsidRPr="001B4A02">
        <w:t>.</w:t>
      </w:r>
    </w:p>
    <w:p w14:paraId="45BDFD1B" w14:textId="77777777" w:rsidR="00F9593F" w:rsidRPr="001B4A02" w:rsidRDefault="00F9593F" w:rsidP="002857B1">
      <w:pPr>
        <w:ind w:left="0" w:firstLine="0"/>
      </w:pPr>
    </w:p>
    <w:p w14:paraId="24A3CA74" w14:textId="77777777" w:rsidR="00F9593F" w:rsidRPr="001B4A02" w:rsidRDefault="00000000" w:rsidP="002857B1">
      <w:pPr>
        <w:ind w:left="0" w:firstLine="0"/>
      </w:pPr>
      <w:r w:rsidRPr="001B4A02">
        <w:t>Váš lékař rozhodne, zda bude přípravek Humira používán s methotrexátem nebo samotný.</w:t>
      </w:r>
    </w:p>
    <w:p w14:paraId="3A9A8F38" w14:textId="77777777" w:rsidR="00F9593F" w:rsidRPr="001B4A02" w:rsidRDefault="00F9593F" w:rsidP="002857B1">
      <w:pPr>
        <w:ind w:left="0" w:firstLine="0"/>
      </w:pPr>
    </w:p>
    <w:p w14:paraId="56753155" w14:textId="77777777" w:rsidR="00F9593F" w:rsidRPr="001B4A02" w:rsidRDefault="00000000" w:rsidP="002857B1">
      <w:pPr>
        <w:ind w:left="0" w:firstLine="0"/>
        <w:rPr>
          <w:u w:val="single"/>
        </w:rPr>
      </w:pPr>
      <w:r w:rsidRPr="001B4A02">
        <w:rPr>
          <w:u w:val="single"/>
        </w:rPr>
        <w:t>Entezopatická artritida</w:t>
      </w:r>
    </w:p>
    <w:p w14:paraId="68F2697C" w14:textId="77777777" w:rsidR="00F9593F" w:rsidRPr="001B4A02" w:rsidRDefault="00F9593F" w:rsidP="002857B1">
      <w:pPr>
        <w:ind w:left="0" w:firstLine="0"/>
      </w:pPr>
    </w:p>
    <w:p w14:paraId="36C5B18F" w14:textId="77777777" w:rsidR="00F9593F" w:rsidRPr="001B4A02" w:rsidRDefault="00000000" w:rsidP="002857B1">
      <w:pPr>
        <w:ind w:left="0" w:firstLine="0"/>
      </w:pPr>
      <w:r w:rsidRPr="001B4A02">
        <w:t>Entezopatická artritida je zánětlivé onemocnění kloubů</w:t>
      </w:r>
      <w:r w:rsidR="002378E0">
        <w:t xml:space="preserve"> a </w:t>
      </w:r>
      <w:r w:rsidRPr="001B4A02">
        <w:t>míst, kde se šlachy napojují na kosti.</w:t>
      </w:r>
    </w:p>
    <w:p w14:paraId="593989EC" w14:textId="77777777" w:rsidR="00F9593F" w:rsidRPr="001B4A02" w:rsidRDefault="00F9593F" w:rsidP="002857B1">
      <w:pPr>
        <w:ind w:left="0" w:firstLine="0"/>
      </w:pPr>
    </w:p>
    <w:p w14:paraId="0F6D0DCF" w14:textId="77777777" w:rsidR="001143FE" w:rsidRPr="001B4A02" w:rsidRDefault="00000000" w:rsidP="001143FE">
      <w:pPr>
        <w:ind w:left="0" w:firstLine="0"/>
      </w:pPr>
      <w:r w:rsidRPr="001B4A02">
        <w:t xml:space="preserve">Přípravek Humira se používá k léčbě entezopatické artritidy u dětí od 6 let. </w:t>
      </w:r>
      <w:r w:rsidR="009E6B0F" w:rsidRPr="001B4A02">
        <w:t xml:space="preserve">Zpočátku </w:t>
      </w:r>
      <w:r w:rsidR="00F52F29">
        <w:t>může Vaše dítě</w:t>
      </w:r>
      <w:r w:rsidR="009E6B0F" w:rsidRPr="001B4A02">
        <w:t xml:space="preserve"> užívat jiné chorobu modifikující léky, jako je methotrexát. Pokud tyto léky </w:t>
      </w:r>
      <w:r w:rsidR="00E04AA7" w:rsidRPr="001B4A02">
        <w:t>dostatečně neúčinkují</w:t>
      </w:r>
      <w:r w:rsidR="009E6B0F" w:rsidRPr="001B4A02">
        <w:t xml:space="preserve">, </w:t>
      </w:r>
      <w:r w:rsidRPr="001B4A02">
        <w:t xml:space="preserve">bude </w:t>
      </w:r>
      <w:r w:rsidR="00F52F29">
        <w:t>mu</w:t>
      </w:r>
      <w:r w:rsidR="00F52F29" w:rsidRPr="001B4A02">
        <w:t xml:space="preserve"> </w:t>
      </w:r>
      <w:r w:rsidRPr="001B4A02">
        <w:t>k</w:t>
      </w:r>
      <w:r w:rsidR="005C0B4E" w:rsidRPr="001B4A02">
        <w:t> </w:t>
      </w:r>
      <w:r w:rsidRPr="001B4A02">
        <w:t xml:space="preserve">léčbě </w:t>
      </w:r>
      <w:r w:rsidR="00E04AA7" w:rsidRPr="001B4A02">
        <w:t>entezopatické artritidy</w:t>
      </w:r>
      <w:r w:rsidRPr="001B4A02">
        <w:t xml:space="preserve"> podán přípravek Humira.</w:t>
      </w:r>
    </w:p>
    <w:p w14:paraId="65B78754" w14:textId="77777777" w:rsidR="00F9593F" w:rsidRPr="001B4A02" w:rsidRDefault="00F9593F" w:rsidP="002857B1">
      <w:pPr>
        <w:ind w:left="0" w:firstLine="0"/>
      </w:pPr>
    </w:p>
    <w:p w14:paraId="4CCF8625" w14:textId="77777777" w:rsidR="009954F1" w:rsidRPr="001B4A02" w:rsidRDefault="00000000" w:rsidP="002857B1">
      <w:pPr>
        <w:ind w:left="0" w:firstLine="0"/>
        <w:rPr>
          <w:u w:val="single"/>
        </w:rPr>
      </w:pPr>
      <w:r w:rsidRPr="001B4A02">
        <w:rPr>
          <w:u w:val="single"/>
        </w:rPr>
        <w:t xml:space="preserve">Ložisková psoriáza </w:t>
      </w:r>
      <w:r w:rsidR="00E04AA7" w:rsidRPr="001B4A02">
        <w:rPr>
          <w:u w:val="single"/>
        </w:rPr>
        <w:t>u dětí</w:t>
      </w:r>
    </w:p>
    <w:p w14:paraId="505A111B" w14:textId="77777777" w:rsidR="009954F1" w:rsidRPr="001B4A02" w:rsidRDefault="009954F1" w:rsidP="002857B1">
      <w:pPr>
        <w:ind w:left="0" w:firstLine="0"/>
      </w:pPr>
    </w:p>
    <w:p w14:paraId="2A4F2695" w14:textId="77777777" w:rsidR="00F9593F" w:rsidRPr="001B4A02" w:rsidRDefault="00000000" w:rsidP="002857B1">
      <w:pPr>
        <w:ind w:left="0" w:firstLine="0"/>
      </w:pPr>
      <w:r w:rsidRPr="001B4A02">
        <w:t>Ložisková psoriáza je kožní onemocnění, které se projevuje ohraničenými, zarudlými, vyvýšenými ložisky, krytými stříbřitě lesklými šupinami.</w:t>
      </w:r>
      <w:r w:rsidR="00E04AA7" w:rsidRPr="001B4A02">
        <w:t xml:space="preserve"> </w:t>
      </w:r>
      <w:r w:rsidR="000B75A4" w:rsidRPr="001B4A02">
        <w:t>Ložisková psoriáza může postihovat také nehty, může způsobit jejich ztluštění, drolení</w:t>
      </w:r>
      <w:r w:rsidR="002378E0">
        <w:t xml:space="preserve"> a </w:t>
      </w:r>
      <w:r w:rsidR="000B75A4" w:rsidRPr="001B4A02">
        <w:t>odlučování od nehtového lůžka, což může být bolestivé. Psoriáza je pravděpodobně způsobena problém</w:t>
      </w:r>
      <w:r w:rsidR="001143FE" w:rsidRPr="001B4A02">
        <w:t>em</w:t>
      </w:r>
      <w:r w:rsidR="000B75A4" w:rsidRPr="001B4A02">
        <w:t xml:space="preserve"> s imunitním systémem organismu, kter</w:t>
      </w:r>
      <w:r w:rsidR="001143FE" w:rsidRPr="001B4A02">
        <w:t>ý</w:t>
      </w:r>
      <w:r w:rsidR="000B75A4" w:rsidRPr="001B4A02">
        <w:t xml:space="preserve"> ved</w:t>
      </w:r>
      <w:r w:rsidR="001143FE" w:rsidRPr="001B4A02">
        <w:t>e</w:t>
      </w:r>
      <w:r w:rsidR="000B75A4" w:rsidRPr="001B4A02">
        <w:t xml:space="preserve"> ke zvýšené tvorbě kožních buněk.</w:t>
      </w:r>
      <w:r w:rsidR="00E04AA7" w:rsidRPr="001B4A02">
        <w:t xml:space="preserve"> </w:t>
      </w:r>
    </w:p>
    <w:p w14:paraId="3987D994" w14:textId="77777777" w:rsidR="009954F1" w:rsidRPr="001B4A02" w:rsidRDefault="009954F1" w:rsidP="002857B1">
      <w:pPr>
        <w:ind w:left="0" w:firstLine="0"/>
      </w:pPr>
    </w:p>
    <w:p w14:paraId="2BB2C621" w14:textId="77777777" w:rsidR="009954F1" w:rsidRPr="001B4A02" w:rsidRDefault="00000000" w:rsidP="002857B1">
      <w:pPr>
        <w:ind w:left="0" w:firstLine="0"/>
      </w:pPr>
      <w:r w:rsidRPr="001B4A02">
        <w:t>Přípravek Humira se používá k léčbě těžké ložiskové psoriázy u dětí</w:t>
      </w:r>
      <w:r w:rsidR="002378E0">
        <w:t xml:space="preserve"> a </w:t>
      </w:r>
      <w:r w:rsidRPr="001B4A02">
        <w:t>dospívajících od 4 do 17 let, u kterých lokální léčba</w:t>
      </w:r>
      <w:r w:rsidR="002378E0">
        <w:t xml:space="preserve"> a </w:t>
      </w:r>
      <w:r w:rsidRPr="001B4A02">
        <w:t>fototerapie neúčinkovaly dobře nebo je u nich tato léčba nevhodná.</w:t>
      </w:r>
    </w:p>
    <w:p w14:paraId="04679EC8" w14:textId="77777777" w:rsidR="009954F1" w:rsidRPr="001B4A02" w:rsidRDefault="009954F1" w:rsidP="002857B1">
      <w:pPr>
        <w:ind w:left="0" w:firstLine="0"/>
      </w:pPr>
    </w:p>
    <w:p w14:paraId="16431A61" w14:textId="77777777" w:rsidR="009954F1" w:rsidRPr="001B4A02" w:rsidRDefault="00000000" w:rsidP="002857B1">
      <w:pPr>
        <w:pStyle w:val="EMEAHeadingUnderline"/>
        <w:tabs>
          <w:tab w:val="clear" w:pos="562"/>
        </w:tabs>
        <w:suppressAutoHyphens w:val="0"/>
        <w:spacing w:beforeLines="0" w:before="0" w:afterLines="0" w:after="0"/>
        <w:rPr>
          <w:lang w:val="cs-CZ"/>
        </w:rPr>
      </w:pPr>
      <w:r w:rsidRPr="001B4A02">
        <w:rPr>
          <w:lang w:val="cs-CZ"/>
        </w:rPr>
        <w:t xml:space="preserve">Crohnova choroba </w:t>
      </w:r>
      <w:r w:rsidR="00E04AA7" w:rsidRPr="001B4A02">
        <w:rPr>
          <w:lang w:val="cs-CZ"/>
        </w:rPr>
        <w:t>u dětí</w:t>
      </w:r>
    </w:p>
    <w:p w14:paraId="2757A5CD" w14:textId="77777777" w:rsidR="009954F1" w:rsidRPr="001B4A02" w:rsidRDefault="009954F1" w:rsidP="002857B1">
      <w:pPr>
        <w:pStyle w:val="EMEANormal"/>
        <w:tabs>
          <w:tab w:val="clear" w:pos="562"/>
        </w:tabs>
        <w:rPr>
          <w:lang w:val="cs-CZ"/>
        </w:rPr>
      </w:pPr>
    </w:p>
    <w:p w14:paraId="6880638A" w14:textId="77777777" w:rsidR="009954F1" w:rsidRPr="001B4A02" w:rsidRDefault="00000000" w:rsidP="002857B1">
      <w:pPr>
        <w:pStyle w:val="EMEANormal"/>
        <w:tabs>
          <w:tab w:val="clear" w:pos="562"/>
        </w:tabs>
        <w:rPr>
          <w:lang w:val="cs-CZ"/>
        </w:rPr>
      </w:pPr>
      <w:r w:rsidRPr="001B4A02">
        <w:rPr>
          <w:lang w:val="cs-CZ"/>
        </w:rPr>
        <w:t>Crohnova choroba je zánětlivé onemocnění trávicího traktu.</w:t>
      </w:r>
    </w:p>
    <w:p w14:paraId="20779C92" w14:textId="77777777" w:rsidR="009954F1" w:rsidRPr="001B4A02" w:rsidRDefault="009954F1" w:rsidP="00965320">
      <w:pPr>
        <w:pStyle w:val="EMEANormal"/>
        <w:tabs>
          <w:tab w:val="clear" w:pos="562"/>
        </w:tabs>
        <w:rPr>
          <w:lang w:val="cs-CZ"/>
        </w:rPr>
      </w:pPr>
    </w:p>
    <w:p w14:paraId="27BE550C" w14:textId="77777777" w:rsidR="00FA3A9A" w:rsidRPr="001B4A02" w:rsidRDefault="00000000" w:rsidP="00965320">
      <w:pPr>
        <w:ind w:left="0" w:firstLine="0"/>
      </w:pPr>
      <w:r w:rsidRPr="001B4A02">
        <w:t>Přípravek Humira se používá k léčbě Crohnovy choroby u dětí</w:t>
      </w:r>
      <w:r w:rsidR="002378E0">
        <w:t xml:space="preserve"> a </w:t>
      </w:r>
      <w:r w:rsidR="00D73060" w:rsidRPr="001B4A02">
        <w:t xml:space="preserve">dospívajících </w:t>
      </w:r>
      <w:r w:rsidRPr="001B4A02">
        <w:t xml:space="preserve">od 6 do 17 let. </w:t>
      </w:r>
    </w:p>
    <w:p w14:paraId="4BD17630" w14:textId="77777777" w:rsidR="00FA3A9A" w:rsidRPr="001B4A02" w:rsidRDefault="00FA3A9A" w:rsidP="00965320">
      <w:pPr>
        <w:ind w:left="0" w:firstLine="0"/>
      </w:pPr>
    </w:p>
    <w:p w14:paraId="3DAFFE8E" w14:textId="77777777" w:rsidR="001143FE" w:rsidRPr="001B4A02" w:rsidRDefault="00000000" w:rsidP="00965320">
      <w:pPr>
        <w:ind w:left="0" w:firstLine="0"/>
      </w:pPr>
      <w:r w:rsidRPr="001B4A02">
        <w:t xml:space="preserve">Zpočátku </w:t>
      </w:r>
      <w:r w:rsidR="00F52F29">
        <w:t>může Vaše dítě</w:t>
      </w:r>
      <w:r w:rsidRPr="001B4A02">
        <w:t xml:space="preserve"> dostat </w:t>
      </w:r>
      <w:r w:rsidR="009954F1" w:rsidRPr="001B4A02">
        <w:t xml:space="preserve">jiné léky. Pokud </w:t>
      </w:r>
      <w:r w:rsidRPr="001B4A02">
        <w:t xml:space="preserve">tyto léky dostatečně neúčinkují, bude </w:t>
      </w:r>
      <w:r w:rsidR="00F52F29">
        <w:t>mu</w:t>
      </w:r>
      <w:r w:rsidR="00F52F29" w:rsidRPr="001B4A02">
        <w:t xml:space="preserve"> </w:t>
      </w:r>
      <w:r w:rsidRPr="001B4A02">
        <w:t>ke snížení známek</w:t>
      </w:r>
      <w:r w:rsidR="002378E0">
        <w:t xml:space="preserve"> a </w:t>
      </w:r>
      <w:r w:rsidRPr="001B4A02">
        <w:t xml:space="preserve">příznaků </w:t>
      </w:r>
      <w:r w:rsidR="00F52F29">
        <w:t>jeho</w:t>
      </w:r>
      <w:r w:rsidR="00F52F29" w:rsidRPr="001B4A02">
        <w:t xml:space="preserve"> </w:t>
      </w:r>
      <w:r w:rsidRPr="001B4A02">
        <w:t xml:space="preserve">onemocnění </w:t>
      </w:r>
      <w:r w:rsidR="0039290E" w:rsidRPr="001B4A02">
        <w:t xml:space="preserve">podán </w:t>
      </w:r>
      <w:r w:rsidRPr="001B4A02">
        <w:t>přípravek Humira.</w:t>
      </w:r>
    </w:p>
    <w:p w14:paraId="23C575BD" w14:textId="77777777" w:rsidR="009954F1" w:rsidRPr="001B4A02" w:rsidRDefault="009954F1" w:rsidP="00965320">
      <w:pPr>
        <w:ind w:left="0" w:firstLine="0"/>
      </w:pPr>
    </w:p>
    <w:p w14:paraId="69429991" w14:textId="77777777" w:rsidR="009954F1" w:rsidRPr="001B4A02" w:rsidRDefault="00000000" w:rsidP="00965320">
      <w:pPr>
        <w:pStyle w:val="EMEANormal"/>
        <w:tabs>
          <w:tab w:val="clear" w:pos="562"/>
        </w:tabs>
        <w:rPr>
          <w:u w:val="single"/>
          <w:lang w:val="cs-CZ"/>
        </w:rPr>
      </w:pPr>
      <w:r w:rsidRPr="001B4A02">
        <w:rPr>
          <w:szCs w:val="21"/>
          <w:u w:val="single"/>
          <w:lang w:val="cs-CZ"/>
        </w:rPr>
        <w:t>Uveitida u dětí</w:t>
      </w:r>
    </w:p>
    <w:p w14:paraId="3B0A3B93" w14:textId="77777777" w:rsidR="009954F1" w:rsidRPr="001B4A02" w:rsidRDefault="009954F1" w:rsidP="00965320">
      <w:pPr>
        <w:pStyle w:val="EMEANormal"/>
        <w:tabs>
          <w:tab w:val="clear" w:pos="562"/>
        </w:tabs>
        <w:rPr>
          <w:lang w:val="cs-CZ"/>
        </w:rPr>
      </w:pPr>
    </w:p>
    <w:p w14:paraId="129C3F76" w14:textId="77777777" w:rsidR="009954F1" w:rsidRPr="001B4A02" w:rsidRDefault="00000000" w:rsidP="00965320">
      <w:pPr>
        <w:pStyle w:val="EMEANormal"/>
        <w:tabs>
          <w:tab w:val="clear" w:pos="562"/>
        </w:tabs>
        <w:rPr>
          <w:lang w:val="cs-CZ"/>
        </w:rPr>
      </w:pPr>
      <w:r w:rsidRPr="001B4A02">
        <w:rPr>
          <w:lang w:val="cs-CZ"/>
        </w:rPr>
        <w:t>Neinfekční uveitida je zánětlivé onemocnění postihující některé části oka.</w:t>
      </w:r>
    </w:p>
    <w:p w14:paraId="0F3B492B" w14:textId="77777777" w:rsidR="009954F1" w:rsidRPr="001B4A02" w:rsidRDefault="009954F1" w:rsidP="002857B1">
      <w:pPr>
        <w:pStyle w:val="EMEANormal"/>
        <w:tabs>
          <w:tab w:val="clear" w:pos="562"/>
        </w:tabs>
        <w:rPr>
          <w:lang w:val="cs-CZ"/>
        </w:rPr>
      </w:pPr>
    </w:p>
    <w:p w14:paraId="7072AC0B" w14:textId="77777777" w:rsidR="009954F1" w:rsidRPr="001B4A02" w:rsidRDefault="00000000" w:rsidP="002857B1">
      <w:pPr>
        <w:pStyle w:val="EMEANormal"/>
        <w:tabs>
          <w:tab w:val="clear" w:pos="562"/>
        </w:tabs>
        <w:rPr>
          <w:lang w:val="cs-CZ"/>
        </w:rPr>
      </w:pPr>
      <w:r w:rsidRPr="001B4A02">
        <w:rPr>
          <w:lang w:val="cs-CZ"/>
        </w:rPr>
        <w:t xml:space="preserve">Přípravek Humira se používá k léčbě </w:t>
      </w:r>
      <w:r w:rsidR="00FA3A9A" w:rsidRPr="001B4A02">
        <w:rPr>
          <w:lang w:val="cs-CZ"/>
        </w:rPr>
        <w:t>dětí od 2 let s chronickou neinfe</w:t>
      </w:r>
      <w:r w:rsidR="001143FE" w:rsidRPr="001B4A02">
        <w:rPr>
          <w:lang w:val="cs-CZ"/>
        </w:rPr>
        <w:t>k</w:t>
      </w:r>
      <w:r w:rsidR="00FA3A9A" w:rsidRPr="001B4A02">
        <w:rPr>
          <w:lang w:val="cs-CZ"/>
        </w:rPr>
        <w:t>ční uveitidou se zánětem postihujícím přední část oka.</w:t>
      </w:r>
    </w:p>
    <w:p w14:paraId="7A3F0F63" w14:textId="77777777" w:rsidR="009954F1" w:rsidRPr="001B4A02" w:rsidRDefault="009954F1" w:rsidP="002857B1">
      <w:pPr>
        <w:pStyle w:val="EMEANormal"/>
        <w:tabs>
          <w:tab w:val="clear" w:pos="562"/>
        </w:tabs>
        <w:rPr>
          <w:lang w:val="cs-CZ"/>
        </w:rPr>
      </w:pPr>
    </w:p>
    <w:p w14:paraId="603E50A9" w14:textId="77777777" w:rsidR="009954F1" w:rsidRPr="001B4A02" w:rsidRDefault="00000000" w:rsidP="002857B1">
      <w:pPr>
        <w:pStyle w:val="EMEANormal"/>
        <w:tabs>
          <w:tab w:val="clear" w:pos="562"/>
        </w:tabs>
        <w:rPr>
          <w:lang w:val="cs-CZ"/>
        </w:rPr>
      </w:pPr>
      <w:r w:rsidRPr="001B4A02">
        <w:rPr>
          <w:lang w:val="cs-CZ"/>
        </w:rPr>
        <w:t>Tento zánět může vést ke zhoršení zraku a/nebo výskytu plovoucích zákalů v oku (černé tečky nebo chomáčkovité čáry pohybující se v zorném poli). Přípravek Humira tento zánět snižuje.</w:t>
      </w:r>
    </w:p>
    <w:p w14:paraId="51A93B6F" w14:textId="77777777" w:rsidR="00FA3A9A" w:rsidRPr="001B4A02" w:rsidRDefault="00FA3A9A" w:rsidP="002857B1">
      <w:pPr>
        <w:pStyle w:val="EMEANormal"/>
        <w:tabs>
          <w:tab w:val="clear" w:pos="562"/>
        </w:tabs>
        <w:rPr>
          <w:lang w:val="cs-CZ"/>
        </w:rPr>
      </w:pPr>
    </w:p>
    <w:p w14:paraId="6459FB92" w14:textId="77777777" w:rsidR="00FA3A9A" w:rsidRPr="001B4A02" w:rsidRDefault="00000000" w:rsidP="002857B1">
      <w:pPr>
        <w:ind w:left="0" w:firstLine="0"/>
      </w:pPr>
      <w:r w:rsidRPr="001B4A02">
        <w:t xml:space="preserve">Zpočátku </w:t>
      </w:r>
      <w:r w:rsidR="00F52F29">
        <w:t>může Vaše dítě</w:t>
      </w:r>
      <w:r w:rsidRPr="001B4A02">
        <w:t xml:space="preserve"> dostat jiné léky. Pokud tyto léky dostatečně neúčinkují, </w:t>
      </w:r>
      <w:r w:rsidR="00F80B20" w:rsidRPr="001B4A02">
        <w:t xml:space="preserve">bude </w:t>
      </w:r>
      <w:r w:rsidR="00F52F29">
        <w:t>mu</w:t>
      </w:r>
      <w:r w:rsidR="00F52F29" w:rsidRPr="001B4A02">
        <w:t xml:space="preserve"> </w:t>
      </w:r>
      <w:r w:rsidR="00F80B20" w:rsidRPr="001B4A02">
        <w:t xml:space="preserve">ke </w:t>
      </w:r>
      <w:r w:rsidRPr="001B4A02">
        <w:t>snížení známek</w:t>
      </w:r>
      <w:r w:rsidR="002378E0">
        <w:t xml:space="preserve"> a </w:t>
      </w:r>
      <w:r w:rsidRPr="001B4A02">
        <w:t xml:space="preserve">příznaků </w:t>
      </w:r>
      <w:r w:rsidR="00F52F29" w:rsidRPr="001B4A02">
        <w:t>je</w:t>
      </w:r>
      <w:r w:rsidR="00F52F29">
        <w:t>ho</w:t>
      </w:r>
      <w:r w:rsidR="00F52F29" w:rsidRPr="001B4A02">
        <w:t xml:space="preserve"> </w:t>
      </w:r>
      <w:r w:rsidRPr="001B4A02">
        <w:t>onemocnění</w:t>
      </w:r>
      <w:r w:rsidR="00F80B20" w:rsidRPr="001B4A02">
        <w:t xml:space="preserve"> podán přípravek Humira</w:t>
      </w:r>
      <w:r w:rsidRPr="001B4A02">
        <w:t>.</w:t>
      </w:r>
    </w:p>
    <w:p w14:paraId="6B14FF9B" w14:textId="77777777" w:rsidR="009954F1" w:rsidRPr="001B4A02" w:rsidRDefault="009954F1" w:rsidP="002857B1">
      <w:pPr>
        <w:ind w:left="0" w:firstLine="0"/>
      </w:pPr>
    </w:p>
    <w:p w14:paraId="1F9EC8E8" w14:textId="77777777" w:rsidR="009954F1" w:rsidRPr="001B4A02" w:rsidRDefault="009954F1" w:rsidP="002857B1">
      <w:pPr>
        <w:ind w:left="0" w:firstLine="0"/>
      </w:pPr>
    </w:p>
    <w:p w14:paraId="298E3FD4" w14:textId="77777777" w:rsidR="009954F1" w:rsidRPr="001B4A02" w:rsidRDefault="00000000" w:rsidP="00995407">
      <w:pPr>
        <w:numPr>
          <w:ilvl w:val="12"/>
          <w:numId w:val="0"/>
        </w:numPr>
        <w:ind w:left="567" w:hanging="567"/>
        <w:outlineLvl w:val="1"/>
      </w:pPr>
      <w:r w:rsidRPr="001B4A02">
        <w:rPr>
          <w:b/>
        </w:rPr>
        <w:t>2.</w:t>
      </w:r>
      <w:r w:rsidRPr="001B4A02">
        <w:rPr>
          <w:b/>
        </w:rPr>
        <w:tab/>
        <w:t xml:space="preserve">Čemu musíte věnovat pozornost, než </w:t>
      </w:r>
      <w:r w:rsidR="00FA3A9A" w:rsidRPr="001B4A02">
        <w:rPr>
          <w:b/>
        </w:rPr>
        <w:t>Vaše dítě začne</w:t>
      </w:r>
      <w:r w:rsidRPr="001B4A02">
        <w:rPr>
          <w:b/>
        </w:rPr>
        <w:t xml:space="preserve"> přípravek Humira používat</w:t>
      </w:r>
    </w:p>
    <w:p w14:paraId="51336FCC" w14:textId="77777777" w:rsidR="009954F1" w:rsidRPr="001B4A02" w:rsidRDefault="009954F1" w:rsidP="009954F1">
      <w:pPr>
        <w:numPr>
          <w:ilvl w:val="12"/>
          <w:numId w:val="0"/>
        </w:numPr>
        <w:ind w:right="-2"/>
      </w:pPr>
    </w:p>
    <w:p w14:paraId="3D54BF66" w14:textId="77777777" w:rsidR="009954F1" w:rsidRPr="001B4A02" w:rsidRDefault="00000000" w:rsidP="009954F1">
      <w:pPr>
        <w:ind w:left="0" w:right="-29" w:firstLine="0"/>
        <w:jc w:val="both"/>
        <w:rPr>
          <w:b/>
        </w:rPr>
      </w:pPr>
      <w:r w:rsidRPr="001B4A02">
        <w:rPr>
          <w:b/>
        </w:rPr>
        <w:t>Nepoužívejte přípravek Humira</w:t>
      </w:r>
    </w:p>
    <w:p w14:paraId="773F812C" w14:textId="77777777" w:rsidR="009954F1" w:rsidRPr="001B4A02" w:rsidRDefault="009954F1" w:rsidP="009954F1">
      <w:pPr>
        <w:ind w:left="0" w:firstLine="0"/>
      </w:pPr>
    </w:p>
    <w:p w14:paraId="5A4B5C02" w14:textId="77777777" w:rsidR="009E6B0F" w:rsidRPr="001B4A02" w:rsidRDefault="00000000" w:rsidP="009E6B0F">
      <w:pPr>
        <w:numPr>
          <w:ilvl w:val="0"/>
          <w:numId w:val="7"/>
        </w:numPr>
        <w:tabs>
          <w:tab w:val="clear" w:pos="720"/>
          <w:tab w:val="num" w:pos="540"/>
        </w:tabs>
        <w:ind w:left="567" w:right="-29" w:hanging="567"/>
      </w:pPr>
      <w:r w:rsidRPr="001B4A02">
        <w:t>Jestliže je Vaše dítě alergické na adalimumab nebo na kteroukoli další složku tohoto přípravku (uvedenou v bodě 6).</w:t>
      </w:r>
    </w:p>
    <w:p w14:paraId="1815AFA4" w14:textId="77777777" w:rsidR="009E6B0F" w:rsidRPr="001B4A02" w:rsidRDefault="009E6B0F" w:rsidP="009E6B0F">
      <w:pPr>
        <w:tabs>
          <w:tab w:val="num" w:pos="540"/>
        </w:tabs>
        <w:ind w:right="-29"/>
      </w:pPr>
    </w:p>
    <w:p w14:paraId="12FFE42C" w14:textId="77777777" w:rsidR="009E6B0F" w:rsidRPr="001B4A02" w:rsidRDefault="00000000" w:rsidP="009E6B0F">
      <w:pPr>
        <w:numPr>
          <w:ilvl w:val="0"/>
          <w:numId w:val="7"/>
        </w:numPr>
        <w:tabs>
          <w:tab w:val="clear" w:pos="720"/>
          <w:tab w:val="num" w:pos="540"/>
        </w:tabs>
        <w:ind w:left="567" w:right="-29" w:hanging="567"/>
      </w:pPr>
      <w:r w:rsidRPr="001B4A02">
        <w:t>Jestliže má Vaše dítě závažnou infekci včetně aktivní tuberkulózy (viz „Upozornění</w:t>
      </w:r>
      <w:r w:rsidR="002378E0">
        <w:t xml:space="preserve"> a </w:t>
      </w:r>
      <w:r w:rsidRPr="001B4A02">
        <w:t>opatření“). Je důležité, abyste lékaře informoval(a), pokud se u Vašeho dítěte vyskytují příznaky infekce, např. horečka, zranění, pocit únavy nebo problémy se zuby.</w:t>
      </w:r>
    </w:p>
    <w:p w14:paraId="7DE12B4C" w14:textId="77777777" w:rsidR="009E6B0F" w:rsidRPr="001B4A02" w:rsidRDefault="009E6B0F" w:rsidP="009E6B0F">
      <w:pPr>
        <w:tabs>
          <w:tab w:val="num" w:pos="540"/>
        </w:tabs>
        <w:ind w:right="-29"/>
      </w:pPr>
    </w:p>
    <w:p w14:paraId="4246EF1B" w14:textId="77777777" w:rsidR="009E6B0F" w:rsidRPr="001B4A02" w:rsidRDefault="00000000" w:rsidP="009E6B0F">
      <w:pPr>
        <w:numPr>
          <w:ilvl w:val="0"/>
          <w:numId w:val="7"/>
        </w:numPr>
        <w:tabs>
          <w:tab w:val="clear" w:pos="720"/>
          <w:tab w:val="num" w:pos="540"/>
        </w:tabs>
        <w:ind w:left="567" w:right="-29" w:hanging="567"/>
      </w:pPr>
      <w:r w:rsidRPr="001B4A02">
        <w:t>Jestliže Vaše dítě trpí středně těžkým nebo těžkým srdečním selháním. Je důležité, abyste informoval(a) lékaře, pokud se u Vašeho dítěte vyskytly nebo v současné době vyskytují vážné problémy se srdcem (viz „Upozornění</w:t>
      </w:r>
      <w:r w:rsidR="002378E0">
        <w:t xml:space="preserve"> a </w:t>
      </w:r>
      <w:r w:rsidRPr="001B4A02">
        <w:t>opatření“).</w:t>
      </w:r>
    </w:p>
    <w:p w14:paraId="364FB93F" w14:textId="77777777" w:rsidR="009954F1" w:rsidRPr="001B4A02" w:rsidRDefault="009954F1" w:rsidP="009954F1">
      <w:pPr>
        <w:pStyle w:val="EndnoteText"/>
        <w:rPr>
          <w:lang w:val="cs-CZ"/>
        </w:rPr>
      </w:pPr>
    </w:p>
    <w:p w14:paraId="2B8288F2" w14:textId="77777777" w:rsidR="009954F1" w:rsidRPr="001B4A02" w:rsidRDefault="00000000" w:rsidP="009954F1">
      <w:pPr>
        <w:rPr>
          <w:b/>
        </w:rPr>
      </w:pPr>
      <w:r w:rsidRPr="001B4A02">
        <w:rPr>
          <w:b/>
        </w:rPr>
        <w:t>Upozornění</w:t>
      </w:r>
      <w:r w:rsidR="002378E0">
        <w:rPr>
          <w:b/>
        </w:rPr>
        <w:t xml:space="preserve"> a </w:t>
      </w:r>
      <w:r w:rsidRPr="001B4A02">
        <w:rPr>
          <w:b/>
        </w:rPr>
        <w:t>opatření</w:t>
      </w:r>
    </w:p>
    <w:p w14:paraId="49CC6456" w14:textId="77777777" w:rsidR="009954F1" w:rsidRPr="001B4A02" w:rsidRDefault="009954F1" w:rsidP="009954F1"/>
    <w:p w14:paraId="41320877" w14:textId="77777777" w:rsidR="009954F1" w:rsidRPr="001B4A02" w:rsidRDefault="00000000" w:rsidP="009954F1">
      <w:r w:rsidRPr="001B4A02">
        <w:t>Před použitím přípravku Humira se poraďte se svým lékařem nebo lékárníkem.</w:t>
      </w:r>
    </w:p>
    <w:p w14:paraId="377B932D" w14:textId="77777777" w:rsidR="00FA3A9A" w:rsidRPr="001B4A02" w:rsidRDefault="00FA3A9A" w:rsidP="009954F1"/>
    <w:p w14:paraId="1AC9E5F0" w14:textId="77777777" w:rsidR="00FA3A9A" w:rsidRPr="001B4A02" w:rsidRDefault="00000000" w:rsidP="009954F1">
      <w:pPr>
        <w:rPr>
          <w:u w:val="single"/>
        </w:rPr>
      </w:pPr>
      <w:r w:rsidRPr="001B4A02">
        <w:rPr>
          <w:u w:val="single"/>
        </w:rPr>
        <w:t>Alergické reakce</w:t>
      </w:r>
    </w:p>
    <w:p w14:paraId="4E86F1B1" w14:textId="77777777" w:rsidR="009954F1" w:rsidRPr="001B4A02" w:rsidRDefault="009954F1" w:rsidP="009954F1"/>
    <w:p w14:paraId="29F2F469" w14:textId="77777777" w:rsidR="009954F1" w:rsidRPr="001B4A02" w:rsidRDefault="00000000" w:rsidP="009954F1">
      <w:pPr>
        <w:numPr>
          <w:ilvl w:val="0"/>
          <w:numId w:val="15"/>
        </w:numPr>
        <w:tabs>
          <w:tab w:val="clear" w:pos="720"/>
          <w:tab w:val="num" w:pos="540"/>
        </w:tabs>
        <w:ind w:left="567" w:hanging="567"/>
      </w:pPr>
      <w:r w:rsidRPr="001B4A02">
        <w:t>Jestliže se u </w:t>
      </w:r>
      <w:r w:rsidR="00FA3A9A" w:rsidRPr="001B4A02">
        <w:t>Vašeho dítěte</w:t>
      </w:r>
      <w:r w:rsidRPr="001B4A02">
        <w:t xml:space="preserve"> vyskytnou alergické reakce s příznaky, jako je pocit tíhy na hrudi, dýchavičnost, závratě, otoky nebo vyrážka, nepodávejte další injekci přípravku Humira</w:t>
      </w:r>
      <w:r w:rsidR="002378E0">
        <w:t xml:space="preserve"> a </w:t>
      </w:r>
      <w:r w:rsidRPr="001B4A02">
        <w:t>kontaktujte ihned svého lékaře</w:t>
      </w:r>
      <w:r w:rsidR="009B2C8D" w:rsidRPr="001B4A02">
        <w:t xml:space="preserve">, protože </w:t>
      </w:r>
      <w:r w:rsidR="009B2C8D" w:rsidRPr="001B4A02">
        <w:rPr>
          <w:bCs/>
          <w:szCs w:val="22"/>
        </w:rPr>
        <w:t>tyto reakce mohou být ve vzácných případech život ohrožující</w:t>
      </w:r>
      <w:r w:rsidRPr="001B4A02">
        <w:t>.</w:t>
      </w:r>
    </w:p>
    <w:p w14:paraId="68972334" w14:textId="77777777" w:rsidR="00FA3A9A" w:rsidRPr="001B4A02" w:rsidRDefault="00FA3A9A" w:rsidP="002857B1">
      <w:pPr>
        <w:ind w:left="0" w:firstLine="0"/>
      </w:pPr>
    </w:p>
    <w:p w14:paraId="092E718A" w14:textId="77777777" w:rsidR="00FA3A9A" w:rsidRPr="001B4A02" w:rsidRDefault="00000000" w:rsidP="002857B1">
      <w:pPr>
        <w:ind w:left="0" w:firstLine="0"/>
        <w:rPr>
          <w:u w:val="single"/>
        </w:rPr>
      </w:pPr>
      <w:r w:rsidRPr="001B4A02">
        <w:rPr>
          <w:u w:val="single"/>
        </w:rPr>
        <w:t>Infekce</w:t>
      </w:r>
    </w:p>
    <w:p w14:paraId="55C660F8" w14:textId="77777777" w:rsidR="009954F1" w:rsidRPr="001B4A02" w:rsidRDefault="009954F1" w:rsidP="009954F1">
      <w:pPr>
        <w:tabs>
          <w:tab w:val="num" w:pos="540"/>
        </w:tabs>
      </w:pPr>
    </w:p>
    <w:p w14:paraId="3682FFE2" w14:textId="77777777" w:rsidR="009954F1" w:rsidRPr="001B4A02" w:rsidRDefault="00000000" w:rsidP="009954F1">
      <w:pPr>
        <w:numPr>
          <w:ilvl w:val="0"/>
          <w:numId w:val="15"/>
        </w:numPr>
        <w:tabs>
          <w:tab w:val="clear" w:pos="720"/>
          <w:tab w:val="num" w:pos="540"/>
        </w:tabs>
        <w:ind w:left="567" w:hanging="567"/>
      </w:pPr>
      <w:r w:rsidRPr="001B4A02">
        <w:t xml:space="preserve">Jestliže </w:t>
      </w:r>
      <w:r w:rsidR="00FA3A9A" w:rsidRPr="001B4A02">
        <w:t>má Vaše dítě</w:t>
      </w:r>
      <w:r w:rsidRPr="001B4A02">
        <w:t xml:space="preserve"> nějakou infekci, včetně dlouhodobé </w:t>
      </w:r>
      <w:r w:rsidR="001143FE" w:rsidRPr="001B4A02">
        <w:t>infekce</w:t>
      </w:r>
      <w:r w:rsidRPr="001B4A02">
        <w:t xml:space="preserve"> </w:t>
      </w:r>
      <w:r w:rsidR="00B625EC" w:rsidRPr="001B4A02">
        <w:t xml:space="preserve">nebo infekce </w:t>
      </w:r>
      <w:r w:rsidR="001143FE" w:rsidRPr="001B4A02">
        <w:t>postihující</w:t>
      </w:r>
      <w:r w:rsidR="00D74096" w:rsidRPr="001B4A02">
        <w:t xml:space="preserve"> </w:t>
      </w:r>
      <w:r w:rsidR="00B625EC" w:rsidRPr="001B4A02">
        <w:t>jedn</w:t>
      </w:r>
      <w:r w:rsidR="001143FE" w:rsidRPr="001B4A02">
        <w:t>u</w:t>
      </w:r>
      <w:r w:rsidR="00B625EC" w:rsidRPr="001B4A02">
        <w:t xml:space="preserve"> část těla (například bércový vřed), obraťte se před zahájením léčby přípravkem Humira na svého lékaře. Pokud si nejste jistý(á), kontaktujte svého lékaře.</w:t>
      </w:r>
    </w:p>
    <w:p w14:paraId="5A9F4942" w14:textId="77777777" w:rsidR="009954F1" w:rsidRPr="001B4A02" w:rsidRDefault="009954F1" w:rsidP="009954F1">
      <w:pPr>
        <w:tabs>
          <w:tab w:val="num" w:pos="540"/>
        </w:tabs>
      </w:pPr>
    </w:p>
    <w:p w14:paraId="2BCA3FBF" w14:textId="77777777" w:rsidR="00FA3A9A" w:rsidRPr="001B4A02" w:rsidRDefault="00000000" w:rsidP="009954F1">
      <w:pPr>
        <w:numPr>
          <w:ilvl w:val="0"/>
          <w:numId w:val="15"/>
        </w:numPr>
        <w:tabs>
          <w:tab w:val="clear" w:pos="720"/>
          <w:tab w:val="num" w:pos="540"/>
        </w:tabs>
        <w:ind w:left="567" w:hanging="567"/>
      </w:pPr>
      <w:r w:rsidRPr="001B4A02">
        <w:t xml:space="preserve">Při léčbě přípravkem Humira může být Vaše dítě náchylnější k infekcím. Riziko může stoupat, pokud má Vaše dítě poškozenou funkci plic. Tyto infekce mohou být </w:t>
      </w:r>
      <w:r w:rsidRPr="001B4A02">
        <w:rPr>
          <w:bCs/>
          <w:szCs w:val="22"/>
        </w:rPr>
        <w:t>závažné</w:t>
      </w:r>
      <w:r w:rsidR="002378E0">
        <w:rPr>
          <w:bCs/>
          <w:szCs w:val="22"/>
        </w:rPr>
        <w:t xml:space="preserve"> a </w:t>
      </w:r>
      <w:r w:rsidRPr="001B4A02">
        <w:rPr>
          <w:bCs/>
          <w:szCs w:val="22"/>
        </w:rPr>
        <w:t>zahrnují:</w:t>
      </w:r>
    </w:p>
    <w:p w14:paraId="08FC42E7" w14:textId="77777777" w:rsidR="00FA3A9A" w:rsidRPr="001B4A02" w:rsidRDefault="00000000" w:rsidP="002857B1">
      <w:pPr>
        <w:numPr>
          <w:ilvl w:val="1"/>
          <w:numId w:val="15"/>
        </w:numPr>
      </w:pPr>
      <w:r w:rsidRPr="001B4A02">
        <w:rPr>
          <w:bCs/>
          <w:szCs w:val="22"/>
        </w:rPr>
        <w:t>tuberkulózu</w:t>
      </w:r>
    </w:p>
    <w:p w14:paraId="509F5A74" w14:textId="77777777" w:rsidR="00FA3A9A" w:rsidRPr="001B4A02" w:rsidRDefault="00000000" w:rsidP="002857B1">
      <w:pPr>
        <w:numPr>
          <w:ilvl w:val="1"/>
          <w:numId w:val="15"/>
        </w:numPr>
      </w:pPr>
      <w:r w:rsidRPr="001B4A02">
        <w:rPr>
          <w:bCs/>
          <w:szCs w:val="22"/>
        </w:rPr>
        <w:t>infekce způsobené viry, plísněmi</w:t>
      </w:r>
      <w:r w:rsidR="00733430">
        <w:rPr>
          <w:bCs/>
          <w:szCs w:val="22"/>
        </w:rPr>
        <w:t>,</w:t>
      </w:r>
      <w:r w:rsidRPr="001B4A02">
        <w:rPr>
          <w:bCs/>
          <w:szCs w:val="22"/>
        </w:rPr>
        <w:t xml:space="preserve"> </w:t>
      </w:r>
      <w:r w:rsidRPr="001B4A02">
        <w:t xml:space="preserve">parazity </w:t>
      </w:r>
      <w:r w:rsidRPr="001B4A02">
        <w:rPr>
          <w:bCs/>
          <w:szCs w:val="22"/>
        </w:rPr>
        <w:t>nebo bakteriemi</w:t>
      </w:r>
    </w:p>
    <w:p w14:paraId="0C5DF95F" w14:textId="77777777" w:rsidR="00FA3A9A" w:rsidRPr="001B4A02" w:rsidRDefault="00000000" w:rsidP="002857B1">
      <w:pPr>
        <w:numPr>
          <w:ilvl w:val="1"/>
          <w:numId w:val="15"/>
        </w:numPr>
      </w:pPr>
      <w:r w:rsidRPr="001B4A02">
        <w:rPr>
          <w:bCs/>
          <w:szCs w:val="22"/>
        </w:rPr>
        <w:t xml:space="preserve">závažné </w:t>
      </w:r>
      <w:r w:rsidR="009954F1" w:rsidRPr="001B4A02">
        <w:rPr>
          <w:bCs/>
          <w:szCs w:val="22"/>
        </w:rPr>
        <w:t>infekce</w:t>
      </w:r>
      <w:r w:rsidRPr="001B4A02">
        <w:rPr>
          <w:bCs/>
          <w:szCs w:val="22"/>
        </w:rPr>
        <w:t xml:space="preserve"> </w:t>
      </w:r>
      <w:r w:rsidR="00B625EC" w:rsidRPr="001B4A02">
        <w:rPr>
          <w:bCs/>
          <w:szCs w:val="22"/>
        </w:rPr>
        <w:t>v</w:t>
      </w:r>
      <w:r w:rsidR="00C17239" w:rsidRPr="001B4A02">
        <w:rPr>
          <w:bCs/>
          <w:szCs w:val="22"/>
        </w:rPr>
        <w:t> </w:t>
      </w:r>
      <w:r w:rsidR="00B625EC" w:rsidRPr="001B4A02">
        <w:rPr>
          <w:bCs/>
          <w:szCs w:val="22"/>
        </w:rPr>
        <w:t>krvi</w:t>
      </w:r>
      <w:r w:rsidRPr="001B4A02">
        <w:rPr>
          <w:bCs/>
          <w:szCs w:val="22"/>
        </w:rPr>
        <w:t xml:space="preserve"> (sepse)</w:t>
      </w:r>
    </w:p>
    <w:p w14:paraId="0C347434" w14:textId="77777777" w:rsidR="00FA3A9A" w:rsidRPr="001B4A02" w:rsidRDefault="00FA3A9A" w:rsidP="002857B1">
      <w:pPr>
        <w:ind w:firstLine="0"/>
        <w:rPr>
          <w:bCs/>
          <w:szCs w:val="22"/>
        </w:rPr>
      </w:pPr>
    </w:p>
    <w:p w14:paraId="535A9554" w14:textId="77777777" w:rsidR="009954F1" w:rsidRPr="001B4A02" w:rsidRDefault="00000000" w:rsidP="002857B1">
      <w:pPr>
        <w:ind w:firstLine="0"/>
      </w:pPr>
      <w:r w:rsidRPr="001B4A02">
        <w:rPr>
          <w:bCs/>
          <w:szCs w:val="22"/>
        </w:rPr>
        <w:t>Tyto i</w:t>
      </w:r>
      <w:r w:rsidR="00FA3A9A" w:rsidRPr="001B4A02">
        <w:rPr>
          <w:bCs/>
          <w:szCs w:val="22"/>
        </w:rPr>
        <w:t>nfekce</w:t>
      </w:r>
      <w:r w:rsidRPr="001B4A02">
        <w:rPr>
          <w:bCs/>
          <w:szCs w:val="22"/>
        </w:rPr>
        <w:t xml:space="preserve"> mohou být ve vzácných případech život ohrožující</w:t>
      </w:r>
      <w:r w:rsidRPr="001B4A02">
        <w:t>. Je důležité, abyste informoval(a) lékaře, pokud se u </w:t>
      </w:r>
      <w:r w:rsidR="00FA3A9A" w:rsidRPr="001B4A02">
        <w:t>Vašeho dítěte</w:t>
      </w:r>
      <w:r w:rsidRPr="001B4A02">
        <w:t xml:space="preserve"> vyskytnou příznaky, jako je horečka, zranění, </w:t>
      </w:r>
      <w:r w:rsidR="00443E64">
        <w:t xml:space="preserve">pocit </w:t>
      </w:r>
      <w:r w:rsidR="00443E64" w:rsidRPr="001B4A02">
        <w:t>únav</w:t>
      </w:r>
      <w:r w:rsidR="00443E64">
        <w:t>y</w:t>
      </w:r>
      <w:r w:rsidR="00443E64" w:rsidRPr="001B4A02">
        <w:t xml:space="preserve"> </w:t>
      </w:r>
      <w:r w:rsidRPr="001B4A02">
        <w:t>nebo problémy se zuby. Váš lékař může doporučit dočasné přerušení léčby přípravkem Humira.</w:t>
      </w:r>
    </w:p>
    <w:p w14:paraId="551F9852" w14:textId="77777777" w:rsidR="009954F1" w:rsidRPr="001B4A02" w:rsidRDefault="009954F1" w:rsidP="009954F1">
      <w:pPr>
        <w:tabs>
          <w:tab w:val="num" w:pos="540"/>
        </w:tabs>
      </w:pPr>
    </w:p>
    <w:p w14:paraId="382375B4" w14:textId="77777777" w:rsidR="009954F1" w:rsidRPr="001B4A02" w:rsidRDefault="00000000" w:rsidP="009954F1">
      <w:pPr>
        <w:numPr>
          <w:ilvl w:val="0"/>
          <w:numId w:val="15"/>
        </w:numPr>
        <w:tabs>
          <w:tab w:val="clear" w:pos="720"/>
          <w:tab w:val="num" w:pos="540"/>
        </w:tabs>
        <w:ind w:left="567" w:hanging="567"/>
      </w:pPr>
      <w:r w:rsidRPr="001B4A02">
        <w:t xml:space="preserve">Informujte svého lékaře, pokud </w:t>
      </w:r>
      <w:r w:rsidR="00FA3A9A" w:rsidRPr="001B4A02">
        <w:t xml:space="preserve">Vaše dítě </w:t>
      </w:r>
      <w:r w:rsidRPr="001B4A02">
        <w:t xml:space="preserve">pobývá </w:t>
      </w:r>
      <w:r w:rsidR="00B625EC" w:rsidRPr="001B4A02">
        <w:t>v oblastech, ve kterých jsou velmi časté plísňové infekce (například histoplasmóza, kokcidioidomykóza nebo blastomykóza), nebo pokud do takových oblastí cestuje.</w:t>
      </w:r>
    </w:p>
    <w:p w14:paraId="43675428" w14:textId="77777777" w:rsidR="009954F1" w:rsidRPr="001B4A02" w:rsidRDefault="009954F1" w:rsidP="009954F1">
      <w:pPr>
        <w:tabs>
          <w:tab w:val="num" w:pos="540"/>
        </w:tabs>
      </w:pPr>
    </w:p>
    <w:p w14:paraId="6E144D3B" w14:textId="77777777" w:rsidR="009954F1" w:rsidRPr="001B4A02" w:rsidRDefault="00000000" w:rsidP="009954F1">
      <w:pPr>
        <w:pStyle w:val="EndnoteText"/>
        <w:numPr>
          <w:ilvl w:val="0"/>
          <w:numId w:val="15"/>
        </w:numPr>
        <w:tabs>
          <w:tab w:val="clear" w:pos="720"/>
          <w:tab w:val="num" w:pos="540"/>
        </w:tabs>
        <w:ind w:left="567" w:hanging="567"/>
        <w:rPr>
          <w:lang w:val="cs-CZ"/>
        </w:rPr>
      </w:pPr>
      <w:r w:rsidRPr="001B4A02">
        <w:rPr>
          <w:lang w:val="cs-CZ"/>
        </w:rPr>
        <w:t>Informujte svého lékaře, pokud se u </w:t>
      </w:r>
      <w:r w:rsidR="00B625EC" w:rsidRPr="001B4A02">
        <w:rPr>
          <w:lang w:val="cs-CZ"/>
        </w:rPr>
        <w:t>Vašeho dítěte</w:t>
      </w:r>
      <w:r w:rsidRPr="001B4A02">
        <w:rPr>
          <w:lang w:val="cs-CZ"/>
        </w:rPr>
        <w:t xml:space="preserve"> vyskytovaly opakované infekce nebo jiné stavy, které zvyšují riziko infekcí.</w:t>
      </w:r>
    </w:p>
    <w:p w14:paraId="1BE3D44F" w14:textId="77777777" w:rsidR="009954F1" w:rsidRPr="001B4A02" w:rsidRDefault="009954F1" w:rsidP="009954F1"/>
    <w:p w14:paraId="0E54A88E" w14:textId="77777777" w:rsidR="009954F1" w:rsidRPr="001B4A02" w:rsidRDefault="00000000" w:rsidP="009954F1">
      <w:pPr>
        <w:numPr>
          <w:ilvl w:val="0"/>
          <w:numId w:val="60"/>
        </w:numPr>
        <w:tabs>
          <w:tab w:val="clear" w:pos="1287"/>
          <w:tab w:val="num" w:pos="567"/>
        </w:tabs>
        <w:ind w:left="567" w:hanging="567"/>
      </w:pPr>
      <w:r w:rsidRPr="001B4A02">
        <w:t xml:space="preserve">Jak Vaše dítě, tak i jeho lékař by měl věnovat zvýšenou pozornost známkám infekce během léčby přípravkem Humira. Je důležité, abyste oznámil(a) svému lékaři, pokud se u Vašeho dítěte vyskytnou </w:t>
      </w:r>
      <w:r w:rsidR="000961E7">
        <w:t>příznaky</w:t>
      </w:r>
      <w:r w:rsidR="000961E7" w:rsidRPr="001B4A02">
        <w:t xml:space="preserve"> </w:t>
      </w:r>
      <w:r w:rsidRPr="001B4A02">
        <w:t xml:space="preserve">infekce, jako je horečka, </w:t>
      </w:r>
      <w:r w:rsidR="00314612">
        <w:t>zranění, pocit únavy</w:t>
      </w:r>
      <w:r w:rsidRPr="001B4A02">
        <w:t xml:space="preserve"> nebo problémy se zuby.</w:t>
      </w:r>
    </w:p>
    <w:p w14:paraId="60D2F87F" w14:textId="77777777" w:rsidR="00B625EC" w:rsidRPr="001B4A02" w:rsidRDefault="00B625EC" w:rsidP="002857B1">
      <w:pPr>
        <w:ind w:left="0" w:firstLine="0"/>
      </w:pPr>
    </w:p>
    <w:p w14:paraId="189400B9" w14:textId="77777777" w:rsidR="00B625EC" w:rsidRPr="001B4A02" w:rsidRDefault="00000000" w:rsidP="002857B1">
      <w:pPr>
        <w:ind w:left="0" w:firstLine="0"/>
        <w:rPr>
          <w:u w:val="single"/>
        </w:rPr>
      </w:pPr>
      <w:r w:rsidRPr="001B4A02">
        <w:rPr>
          <w:u w:val="single"/>
        </w:rPr>
        <w:t>Tuberkulóza</w:t>
      </w:r>
    </w:p>
    <w:p w14:paraId="00EC71DB" w14:textId="77777777" w:rsidR="009954F1" w:rsidRPr="001B4A02" w:rsidRDefault="009954F1" w:rsidP="002857B1">
      <w:pPr>
        <w:ind w:left="0" w:firstLine="0"/>
      </w:pPr>
    </w:p>
    <w:p w14:paraId="09D89E54" w14:textId="77777777" w:rsidR="000B75A4" w:rsidRDefault="00000000" w:rsidP="002857B1">
      <w:pPr>
        <w:numPr>
          <w:ilvl w:val="0"/>
          <w:numId w:val="60"/>
        </w:numPr>
        <w:tabs>
          <w:tab w:val="clear" w:pos="1287"/>
        </w:tabs>
        <w:ind w:left="567" w:hanging="567"/>
      </w:pPr>
      <w:r w:rsidRPr="001B4A02">
        <w:t>Protože u pacientů léčených přípravkem Humira byly hlášeny případy tuberkulózy, před zahájením léčby přípravkem Humira lékař Vaše dítě vyšetří, zda se příznaky tohoto onemocnění u něj nevyskytly. To znamená, že u</w:t>
      </w:r>
      <w:r w:rsidR="00A02FA4" w:rsidRPr="001B4A02">
        <w:t> </w:t>
      </w:r>
      <w:r w:rsidRPr="001B4A02">
        <w:t>Vašeho dítěte podrobně zhodnotí dříve prodělaná onemocnění, provede potřebná kontrolní vyšetření (například rentgen hrudníku</w:t>
      </w:r>
      <w:r w:rsidR="002378E0">
        <w:t xml:space="preserve"> a </w:t>
      </w:r>
      <w:r w:rsidRPr="001B4A02">
        <w:t>tuberkulinový test). Provedení těchto vyšetření</w:t>
      </w:r>
      <w:r w:rsidR="002378E0">
        <w:t xml:space="preserve"> a </w:t>
      </w:r>
      <w:r w:rsidRPr="001B4A02">
        <w:t xml:space="preserve">jejich výsledky zaznamená do </w:t>
      </w:r>
      <w:r w:rsidRPr="001B4A02">
        <w:rPr>
          <w:b/>
        </w:rPr>
        <w:t xml:space="preserve">informační kartičky </w:t>
      </w:r>
      <w:r w:rsidRPr="001B4A02">
        <w:t>Vašeho dítěte.</w:t>
      </w:r>
    </w:p>
    <w:p w14:paraId="563E9FBB" w14:textId="77777777" w:rsidR="00100EC6" w:rsidRPr="001B4A02" w:rsidRDefault="00100EC6" w:rsidP="00100EC6">
      <w:pPr>
        <w:ind w:left="0" w:firstLine="0"/>
      </w:pPr>
    </w:p>
    <w:p w14:paraId="3B82BC83" w14:textId="77777777" w:rsidR="00B625EC" w:rsidRPr="001B4A02" w:rsidRDefault="00000000" w:rsidP="00BA0A72">
      <w:pPr>
        <w:pStyle w:val="EMEABullet2"/>
        <w:numPr>
          <w:ilvl w:val="0"/>
          <w:numId w:val="60"/>
        </w:numPr>
        <w:tabs>
          <w:tab w:val="clear" w:pos="567"/>
          <w:tab w:val="clear" w:pos="1287"/>
        </w:tabs>
        <w:ind w:left="1434" w:hanging="357"/>
        <w:rPr>
          <w:lang w:val="cs-CZ"/>
        </w:rPr>
      </w:pPr>
      <w:r w:rsidRPr="001B4A02">
        <w:rPr>
          <w:lang w:val="cs-CZ"/>
        </w:rPr>
        <w:t>Je velmi důležité, abyste informoval(a) svého lékaře v případě, že Vaše dítě mělo tuberkulózu nebo bylo v těsném kontaktu s někým, kdo měl tuberkulózu. Jestliže Vaše dítě má aktivní tuberkulózu, přípravek Humira nepoužívejte.</w:t>
      </w:r>
    </w:p>
    <w:p w14:paraId="2186BB38" w14:textId="77777777" w:rsidR="00B625EC" w:rsidRPr="001B4A02" w:rsidRDefault="00000000" w:rsidP="00BA0A72">
      <w:pPr>
        <w:numPr>
          <w:ilvl w:val="0"/>
          <w:numId w:val="15"/>
        </w:numPr>
        <w:tabs>
          <w:tab w:val="clear" w:pos="720"/>
        </w:tabs>
        <w:ind w:left="1434" w:hanging="357"/>
      </w:pPr>
      <w:r w:rsidRPr="001B4A02">
        <w:t>K rozvoji tuberkulózy může v průběhu léčby dojít i v případě, že Vaše dítě bylo na tuberkulózu preventivně přeléčeno.</w:t>
      </w:r>
    </w:p>
    <w:p w14:paraId="48C90DB6" w14:textId="77777777" w:rsidR="00B625EC" w:rsidRPr="001B4A02" w:rsidRDefault="00000000" w:rsidP="00BA0A72">
      <w:pPr>
        <w:numPr>
          <w:ilvl w:val="0"/>
          <w:numId w:val="15"/>
        </w:numPr>
        <w:tabs>
          <w:tab w:val="clear" w:pos="720"/>
        </w:tabs>
        <w:ind w:left="1434" w:hanging="357"/>
      </w:pPr>
      <w:r w:rsidRPr="001B4A02">
        <w:t>Pokud se u Vašeho dítěte objeví příznaky tuberkulózy (přetrvávající kašel, úbytek na váze, apatie, mírná horečka), nebo se během léčby i po léčbě objeví jiná infekce, sdělte to ihned lékaři.</w:t>
      </w:r>
    </w:p>
    <w:p w14:paraId="641FEC10" w14:textId="77777777" w:rsidR="00B625EC" w:rsidRPr="001B4A02" w:rsidRDefault="00B625EC" w:rsidP="002857B1">
      <w:pPr>
        <w:ind w:left="0" w:firstLine="0"/>
      </w:pPr>
    </w:p>
    <w:p w14:paraId="37AFFFB3" w14:textId="77777777" w:rsidR="00D42F1E" w:rsidRPr="001B4A02" w:rsidRDefault="00000000" w:rsidP="002857B1">
      <w:pPr>
        <w:ind w:left="0" w:firstLine="0"/>
        <w:rPr>
          <w:u w:val="single"/>
        </w:rPr>
      </w:pPr>
      <w:r w:rsidRPr="001B4A02">
        <w:rPr>
          <w:u w:val="single"/>
        </w:rPr>
        <w:t>Hepatitida B</w:t>
      </w:r>
    </w:p>
    <w:p w14:paraId="75F1405A" w14:textId="77777777" w:rsidR="00D42F1E" w:rsidRPr="001B4A02" w:rsidRDefault="00D42F1E" w:rsidP="002857B1">
      <w:pPr>
        <w:ind w:left="0" w:firstLine="0"/>
        <w:rPr>
          <w:u w:val="single"/>
        </w:rPr>
      </w:pPr>
    </w:p>
    <w:p w14:paraId="433EC417" w14:textId="77777777" w:rsidR="00D42F1E" w:rsidRDefault="00000000" w:rsidP="00100EC6">
      <w:pPr>
        <w:pStyle w:val="ListParagraph"/>
        <w:numPr>
          <w:ilvl w:val="0"/>
          <w:numId w:val="15"/>
        </w:numPr>
        <w:tabs>
          <w:tab w:val="clear" w:pos="720"/>
        </w:tabs>
        <w:ind w:left="567" w:hanging="567"/>
      </w:pPr>
      <w:r w:rsidRPr="001B4A02">
        <w:t xml:space="preserve">Jestliže je Vaše dítě nositelem viru hepatitidy typu B (HBV), jestliže má aktivní HBV infekci nebo si myslíte, že by mohlo být </w:t>
      </w:r>
      <w:r w:rsidR="00374D8F" w:rsidRPr="001B4A02">
        <w:t>ohroženo</w:t>
      </w:r>
      <w:r w:rsidR="002E30BF" w:rsidRPr="001B4A02">
        <w:t xml:space="preserve"> </w:t>
      </w:r>
      <w:r w:rsidRPr="001B4A02">
        <w:t>infekcí HBV, řekněte to svému lékaři.</w:t>
      </w:r>
    </w:p>
    <w:p w14:paraId="59F588E3" w14:textId="77777777" w:rsidR="00100EC6" w:rsidRPr="001B4A02" w:rsidRDefault="00100EC6" w:rsidP="00D42F1E"/>
    <w:p w14:paraId="3B9140D6" w14:textId="77777777" w:rsidR="00D42F1E" w:rsidRPr="001B4A02" w:rsidRDefault="00000000" w:rsidP="007C5EA6">
      <w:pPr>
        <w:numPr>
          <w:ilvl w:val="0"/>
          <w:numId w:val="15"/>
        </w:numPr>
        <w:tabs>
          <w:tab w:val="clear" w:pos="720"/>
          <w:tab w:val="left" w:pos="1418"/>
        </w:tabs>
        <w:ind w:left="1434" w:hanging="357"/>
      </w:pPr>
      <w:r w:rsidRPr="001B4A02">
        <w:t xml:space="preserve">Lékař Vaše dítě na infekci HBV vyšetří. Přípravek Humira může způsobovat reaktivaci (obnovení) HBV infekce u lidí, kteří jsou nositeli viru. </w:t>
      </w:r>
    </w:p>
    <w:p w14:paraId="4E711973" w14:textId="77777777" w:rsidR="00D42F1E" w:rsidRPr="001B4A02" w:rsidRDefault="00000000" w:rsidP="007C5EA6">
      <w:pPr>
        <w:numPr>
          <w:ilvl w:val="0"/>
          <w:numId w:val="15"/>
        </w:numPr>
        <w:tabs>
          <w:tab w:val="clear" w:pos="720"/>
          <w:tab w:val="left" w:pos="1418"/>
        </w:tabs>
        <w:ind w:left="1434" w:hanging="357"/>
      </w:pPr>
      <w:r w:rsidRPr="001B4A02">
        <w:t>V některých ojedinělých případech, zvláště pokud Vaše dítě bere jiné léky k potlačení imunitního systému, může být reaktivace viru HBV život ohrožující.</w:t>
      </w:r>
    </w:p>
    <w:p w14:paraId="63EA2419" w14:textId="77777777" w:rsidR="00D42F1E" w:rsidRPr="001B4A02" w:rsidRDefault="00D42F1E" w:rsidP="002857B1">
      <w:pPr>
        <w:ind w:left="0" w:firstLine="0"/>
        <w:rPr>
          <w:u w:val="single"/>
        </w:rPr>
      </w:pPr>
    </w:p>
    <w:p w14:paraId="2877AC53" w14:textId="77777777" w:rsidR="00D42F1E" w:rsidRPr="001B4A02" w:rsidRDefault="00000000" w:rsidP="002857B1">
      <w:pPr>
        <w:ind w:left="0" w:firstLine="0"/>
        <w:rPr>
          <w:u w:val="single"/>
        </w:rPr>
      </w:pPr>
      <w:r w:rsidRPr="001B4A02">
        <w:rPr>
          <w:u w:val="single"/>
        </w:rPr>
        <w:t>Operace</w:t>
      </w:r>
      <w:r w:rsidR="000B75A4" w:rsidRPr="001B4A02">
        <w:rPr>
          <w:u w:val="single"/>
        </w:rPr>
        <w:t xml:space="preserve"> nebo stomatologický zákrok</w:t>
      </w:r>
    </w:p>
    <w:p w14:paraId="121AAC72" w14:textId="77777777" w:rsidR="009954F1" w:rsidRPr="001B4A02" w:rsidRDefault="009954F1" w:rsidP="002857B1">
      <w:pPr>
        <w:ind w:left="0" w:firstLine="0"/>
      </w:pPr>
    </w:p>
    <w:p w14:paraId="24563F0C" w14:textId="77777777" w:rsidR="00D42F1E" w:rsidRPr="001B4A02" w:rsidRDefault="00000000" w:rsidP="00D42F1E">
      <w:pPr>
        <w:pStyle w:val="EndnoteText"/>
        <w:numPr>
          <w:ilvl w:val="1"/>
          <w:numId w:val="15"/>
        </w:numPr>
        <w:tabs>
          <w:tab w:val="clear" w:pos="1440"/>
          <w:tab w:val="num" w:pos="567"/>
        </w:tabs>
        <w:ind w:left="567" w:hanging="567"/>
        <w:rPr>
          <w:lang w:val="cs-CZ"/>
        </w:rPr>
      </w:pPr>
      <w:r w:rsidRPr="001B4A02">
        <w:rPr>
          <w:lang w:val="cs-CZ"/>
        </w:rPr>
        <w:t>Pokud má být Vašemu dítěti provedena operace nebo stomatologický výkon, informujte, prosím, lékaře, že je léčeno přípravkem Humira. Lékař může doporučit dočasné přerušení léčby přípravkem Humira.</w:t>
      </w:r>
    </w:p>
    <w:p w14:paraId="1BBD7A97" w14:textId="77777777" w:rsidR="00D42F1E" w:rsidRPr="001B4A02" w:rsidRDefault="00D42F1E" w:rsidP="002857B1">
      <w:pPr>
        <w:ind w:left="0" w:firstLine="0"/>
      </w:pPr>
    </w:p>
    <w:p w14:paraId="4F14B46B" w14:textId="77777777" w:rsidR="00D42F1E" w:rsidRPr="001B4A02" w:rsidRDefault="00000000" w:rsidP="002857B1">
      <w:pPr>
        <w:ind w:left="0" w:firstLine="0"/>
        <w:rPr>
          <w:u w:val="single"/>
        </w:rPr>
      </w:pPr>
      <w:r w:rsidRPr="001B4A02">
        <w:rPr>
          <w:u w:val="single"/>
        </w:rPr>
        <w:t>Demyelinizační onemocnění</w:t>
      </w:r>
    </w:p>
    <w:p w14:paraId="685A443C" w14:textId="77777777" w:rsidR="00D42F1E" w:rsidRPr="001B4A02" w:rsidRDefault="00D42F1E" w:rsidP="002857B1">
      <w:pPr>
        <w:ind w:left="0" w:firstLine="0"/>
      </w:pPr>
    </w:p>
    <w:p w14:paraId="69F8AA0E" w14:textId="77777777" w:rsidR="009954F1" w:rsidRPr="001B4A02" w:rsidRDefault="00000000" w:rsidP="009954F1">
      <w:pPr>
        <w:numPr>
          <w:ilvl w:val="0"/>
          <w:numId w:val="15"/>
        </w:numPr>
        <w:tabs>
          <w:tab w:val="clear" w:pos="720"/>
          <w:tab w:val="num" w:pos="540"/>
        </w:tabs>
        <w:ind w:left="567" w:hanging="567"/>
      </w:pPr>
      <w:r w:rsidRPr="001B4A02">
        <w:t xml:space="preserve">Jestliže </w:t>
      </w:r>
      <w:r w:rsidR="00D42F1E" w:rsidRPr="001B4A02">
        <w:t>má Vaše dítě</w:t>
      </w:r>
      <w:r w:rsidRPr="001B4A02">
        <w:t xml:space="preserve"> demyelinizační onemocnění</w:t>
      </w:r>
      <w:r w:rsidR="000B75A4" w:rsidRPr="001B4A02">
        <w:t xml:space="preserve"> (onemocnění, které postihuje ochrannou vrstvu nervů, jako je roztroušená skleróza),</w:t>
      </w:r>
      <w:r w:rsidRPr="001B4A02">
        <w:t xml:space="preserve"> lékař určí, zda </w:t>
      </w:r>
      <w:r w:rsidR="00D42F1E" w:rsidRPr="001B4A02">
        <w:t>může</w:t>
      </w:r>
      <w:r w:rsidRPr="001B4A02">
        <w:t xml:space="preserve"> být léčen</w:t>
      </w:r>
      <w:r w:rsidR="00D42F1E" w:rsidRPr="001B4A02">
        <w:t>o</w:t>
      </w:r>
      <w:r w:rsidRPr="001B4A02">
        <w:t xml:space="preserve"> přípravkem Humira. Pokud se u </w:t>
      </w:r>
      <w:r w:rsidR="00D42F1E" w:rsidRPr="001B4A02">
        <w:t>Vašeho dítěte</w:t>
      </w:r>
      <w:r w:rsidRPr="001B4A02">
        <w:t xml:space="preserve"> objeví některé příznaky, například změny vidění, slabost rukou nebo nohou či znecitlivění nebo brnění v některé části těla, musíte o tom Vašeho lékaře neprodleně informovat.</w:t>
      </w:r>
    </w:p>
    <w:p w14:paraId="03A0C962" w14:textId="77777777" w:rsidR="00D42F1E" w:rsidRPr="001B4A02" w:rsidRDefault="00D42F1E" w:rsidP="002857B1">
      <w:pPr>
        <w:ind w:left="0" w:firstLine="0"/>
      </w:pPr>
    </w:p>
    <w:p w14:paraId="4A5A7677" w14:textId="77777777" w:rsidR="00D42F1E" w:rsidRPr="001B4A02" w:rsidRDefault="00000000" w:rsidP="002857B1">
      <w:pPr>
        <w:ind w:left="0" w:firstLine="0"/>
        <w:rPr>
          <w:u w:val="single"/>
        </w:rPr>
      </w:pPr>
      <w:r w:rsidRPr="001B4A02">
        <w:rPr>
          <w:u w:val="single"/>
        </w:rPr>
        <w:t>Očkování</w:t>
      </w:r>
    </w:p>
    <w:p w14:paraId="0B7F801C" w14:textId="77777777" w:rsidR="00D42F1E" w:rsidRPr="001B4A02" w:rsidRDefault="00D42F1E" w:rsidP="002857B1">
      <w:pPr>
        <w:ind w:left="0" w:firstLine="0"/>
        <w:rPr>
          <w:u w:val="single"/>
        </w:rPr>
      </w:pPr>
    </w:p>
    <w:p w14:paraId="35627396" w14:textId="77777777" w:rsidR="00D42F1E" w:rsidRPr="001B4A02" w:rsidRDefault="00000000" w:rsidP="00D42F1E">
      <w:pPr>
        <w:numPr>
          <w:ilvl w:val="0"/>
          <w:numId w:val="15"/>
        </w:numPr>
        <w:tabs>
          <w:tab w:val="clear" w:pos="720"/>
          <w:tab w:val="num" w:pos="540"/>
        </w:tabs>
        <w:ind w:left="567" w:hanging="567"/>
      </w:pPr>
      <w:r w:rsidRPr="001B4A02">
        <w:t>Během léčby přípravkem Humira nesmí Vaše dítě dostat určité očkovací látky, které by mohly vyvolat vznik infekce.</w:t>
      </w:r>
    </w:p>
    <w:p w14:paraId="1CF90AED" w14:textId="77777777" w:rsidR="00D42F1E" w:rsidRPr="001B4A02" w:rsidRDefault="00D42F1E" w:rsidP="002857B1">
      <w:pPr>
        <w:ind w:left="0" w:firstLine="0"/>
      </w:pPr>
    </w:p>
    <w:p w14:paraId="1924D9E0" w14:textId="77777777" w:rsidR="00D42F1E" w:rsidRPr="001B4A02" w:rsidRDefault="00000000" w:rsidP="007C5EA6">
      <w:pPr>
        <w:numPr>
          <w:ilvl w:val="0"/>
          <w:numId w:val="15"/>
        </w:numPr>
        <w:tabs>
          <w:tab w:val="clear" w:pos="720"/>
          <w:tab w:val="left" w:pos="1418"/>
        </w:tabs>
        <w:ind w:left="1434" w:hanging="357"/>
      </w:pPr>
      <w:r w:rsidRPr="001B4A02">
        <w:t>Domluvte se se svým lékařem o</w:t>
      </w:r>
      <w:r w:rsidR="00923691" w:rsidRPr="001B4A02">
        <w:t> </w:t>
      </w:r>
      <w:r w:rsidRPr="001B4A02">
        <w:t>možnosti očkování ještě předtím, než bude Vaše dítě očkováno.</w:t>
      </w:r>
    </w:p>
    <w:p w14:paraId="35C72D8F" w14:textId="77777777" w:rsidR="00D42F1E" w:rsidRPr="001B4A02" w:rsidRDefault="00000000" w:rsidP="007C5EA6">
      <w:pPr>
        <w:numPr>
          <w:ilvl w:val="0"/>
          <w:numId w:val="15"/>
        </w:numPr>
        <w:tabs>
          <w:tab w:val="clear" w:pos="720"/>
          <w:tab w:val="left" w:pos="1418"/>
        </w:tabs>
        <w:ind w:left="1434" w:hanging="357"/>
      </w:pPr>
      <w:r w:rsidRPr="001B4A02">
        <w:t xml:space="preserve">Doporučuje se, </w:t>
      </w:r>
      <w:r w:rsidR="00635E3F" w:rsidRPr="001B4A02">
        <w:t>aby dětští pacienti absolvovali</w:t>
      </w:r>
      <w:r w:rsidRPr="001B4A02">
        <w:t xml:space="preserve"> pokud možno všechna </w:t>
      </w:r>
      <w:r w:rsidR="000B75A4" w:rsidRPr="001B4A02">
        <w:t>naplánovaná</w:t>
      </w:r>
      <w:r w:rsidRPr="001B4A02">
        <w:t xml:space="preserve"> očkování </w:t>
      </w:r>
      <w:r w:rsidR="000B75A4" w:rsidRPr="001B4A02">
        <w:t xml:space="preserve">odpovídající jejich věku </w:t>
      </w:r>
      <w:r w:rsidRPr="001B4A02">
        <w:t>před zahájením léčby přípravkem Humira.</w:t>
      </w:r>
    </w:p>
    <w:p w14:paraId="352B8FDB" w14:textId="77777777" w:rsidR="00D42F1E" w:rsidRPr="001B4A02" w:rsidRDefault="00000000" w:rsidP="007C5EA6">
      <w:pPr>
        <w:numPr>
          <w:ilvl w:val="0"/>
          <w:numId w:val="15"/>
        </w:numPr>
        <w:tabs>
          <w:tab w:val="clear" w:pos="720"/>
          <w:tab w:val="left" w:pos="1418"/>
        </w:tabs>
        <w:ind w:left="1434" w:hanging="357"/>
      </w:pPr>
      <w:bookmarkStart w:id="9801" w:name="_Hlk496867033"/>
      <w:r w:rsidRPr="001B4A02">
        <w:t xml:space="preserve">Pokud Vaše </w:t>
      </w:r>
      <w:r w:rsidR="00595ACC" w:rsidRPr="001B4A02">
        <w:t>dcera</w:t>
      </w:r>
      <w:r w:rsidRPr="001B4A02">
        <w:t xml:space="preserve"> přípravek Humira </w:t>
      </w:r>
      <w:r w:rsidR="00595ACC" w:rsidRPr="001B4A02">
        <w:t>dostávala</w:t>
      </w:r>
      <w:r w:rsidRPr="001B4A02">
        <w:t xml:space="preserve"> během těhotenství, může být </w:t>
      </w:r>
      <w:r w:rsidR="00595ACC" w:rsidRPr="001B4A02">
        <w:t>její</w:t>
      </w:r>
      <w:r w:rsidRPr="001B4A02">
        <w:t xml:space="preserve"> dítě náchylnější k infekcím po dobu přibližně pěti měsíců poté, co dostal</w:t>
      </w:r>
      <w:r w:rsidR="00595ACC" w:rsidRPr="001B4A02">
        <w:t>a</w:t>
      </w:r>
      <w:r w:rsidRPr="001B4A02">
        <w:t xml:space="preserve"> poslední dávku přípravku Humira v průběhu těhotenství. Je důležité, abyste oznámila lékaři své </w:t>
      </w:r>
      <w:r w:rsidR="00595ACC" w:rsidRPr="001B4A02">
        <w:t>dcery</w:t>
      </w:r>
      <w:r w:rsidR="002378E0">
        <w:t xml:space="preserve"> a </w:t>
      </w:r>
      <w:r w:rsidRPr="001B4A02">
        <w:t xml:space="preserve">jiným zdravotnickým pracovníkům, že </w:t>
      </w:r>
      <w:r w:rsidR="00595ACC" w:rsidRPr="001B4A02">
        <w:t>jí</w:t>
      </w:r>
      <w:r w:rsidRPr="001B4A02">
        <w:t xml:space="preserve"> byl přípravek Humira v těhotenství podáván, aby se na základě této informace mohli rozhodnout, kdy je vhodné </w:t>
      </w:r>
      <w:r w:rsidR="00595ACC" w:rsidRPr="001B4A02">
        <w:t>její</w:t>
      </w:r>
      <w:r w:rsidRPr="001B4A02">
        <w:t xml:space="preserve"> dítě očkovat.</w:t>
      </w:r>
    </w:p>
    <w:bookmarkEnd w:id="9801"/>
    <w:p w14:paraId="633A9448" w14:textId="77777777" w:rsidR="00D42F1E" w:rsidRPr="001B4A02" w:rsidRDefault="00D42F1E" w:rsidP="002857B1">
      <w:pPr>
        <w:tabs>
          <w:tab w:val="left" w:pos="1276"/>
        </w:tabs>
        <w:ind w:left="0" w:firstLine="0"/>
      </w:pPr>
    </w:p>
    <w:p w14:paraId="5957722F" w14:textId="77777777" w:rsidR="00D42F1E" w:rsidRPr="001B4A02" w:rsidRDefault="00000000" w:rsidP="002857B1">
      <w:pPr>
        <w:tabs>
          <w:tab w:val="left" w:pos="1276"/>
        </w:tabs>
        <w:ind w:left="0" w:firstLine="0"/>
        <w:rPr>
          <w:u w:val="single"/>
        </w:rPr>
      </w:pPr>
      <w:r w:rsidRPr="001B4A02">
        <w:rPr>
          <w:u w:val="single"/>
        </w:rPr>
        <w:t>Srdeční selhání</w:t>
      </w:r>
    </w:p>
    <w:p w14:paraId="0AC461B9" w14:textId="77777777" w:rsidR="009954F1" w:rsidRPr="001B4A02" w:rsidRDefault="009954F1" w:rsidP="002857B1">
      <w:pPr>
        <w:tabs>
          <w:tab w:val="num" w:pos="540"/>
        </w:tabs>
        <w:ind w:left="0" w:firstLine="0"/>
      </w:pPr>
    </w:p>
    <w:p w14:paraId="2AE5B838" w14:textId="77777777" w:rsidR="00D42F1E" w:rsidRPr="001B4A02" w:rsidRDefault="00000000" w:rsidP="002A01B7">
      <w:pPr>
        <w:numPr>
          <w:ilvl w:val="0"/>
          <w:numId w:val="15"/>
        </w:numPr>
        <w:tabs>
          <w:tab w:val="clear" w:pos="720"/>
        </w:tabs>
        <w:ind w:left="567" w:hanging="567"/>
      </w:pPr>
      <w:r w:rsidRPr="001B4A02">
        <w:t>Pokud se u Vašeho dítěte vyskytuje mírné srdeční selhávání</w:t>
      </w:r>
      <w:r w:rsidR="002378E0">
        <w:t xml:space="preserve"> a </w:t>
      </w:r>
      <w:r w:rsidRPr="001B4A02">
        <w:t>je léčeno přípravkem Humira, musí být lékařem pečlivě sledován stav jeho srdce. Je důležité, abyste sdělil(a) lékaři, že se u Vašeho dítěte vyskytly nebo se v současné době vyskytují závažné problémy se srdcem. Pokud se u Vašeho dítěte vyskytnou nové nebo se zhorší již stávající známky srdečního selhávání (např. dýchavičnost nebo otoky dolních končetin), musíte ihned kontaktovat lékaře. Lékař rozhodne, zda má Vaše dítě používat přípravek Humira.</w:t>
      </w:r>
    </w:p>
    <w:p w14:paraId="49D91728" w14:textId="77777777" w:rsidR="00F81EE5" w:rsidRPr="001B4A02" w:rsidRDefault="00F81EE5" w:rsidP="002857B1">
      <w:pPr>
        <w:ind w:left="0" w:firstLine="0"/>
      </w:pPr>
    </w:p>
    <w:p w14:paraId="285A3911" w14:textId="77777777" w:rsidR="00F81EE5" w:rsidRPr="001B4A02" w:rsidRDefault="00000000" w:rsidP="00DD3461">
      <w:pPr>
        <w:keepNext/>
        <w:ind w:left="0" w:firstLine="0"/>
        <w:rPr>
          <w:u w:val="single"/>
        </w:rPr>
      </w:pPr>
      <w:r w:rsidRPr="001B4A02">
        <w:rPr>
          <w:u w:val="single"/>
        </w:rPr>
        <w:t>Horečka, modřiny</w:t>
      </w:r>
      <w:r w:rsidR="00875BF6">
        <w:rPr>
          <w:u w:val="single"/>
        </w:rPr>
        <w:t>, krvácení</w:t>
      </w:r>
      <w:r w:rsidRPr="001B4A02">
        <w:rPr>
          <w:u w:val="single"/>
        </w:rPr>
        <w:t xml:space="preserve"> nebo bledost</w:t>
      </w:r>
    </w:p>
    <w:p w14:paraId="284C0B5B" w14:textId="77777777" w:rsidR="00F81EE5" w:rsidRPr="001B4A02" w:rsidRDefault="00F81EE5" w:rsidP="00DD3461">
      <w:pPr>
        <w:keepNext/>
        <w:ind w:left="0" w:firstLine="0"/>
      </w:pPr>
    </w:p>
    <w:p w14:paraId="085C7528" w14:textId="77777777" w:rsidR="00D42F1E" w:rsidRPr="001B4A02" w:rsidRDefault="00000000" w:rsidP="00DD3461">
      <w:pPr>
        <w:keepNext/>
        <w:numPr>
          <w:ilvl w:val="0"/>
          <w:numId w:val="15"/>
        </w:numPr>
        <w:tabs>
          <w:tab w:val="clear" w:pos="720"/>
        </w:tabs>
        <w:ind w:left="567" w:hanging="567"/>
      </w:pPr>
      <w:r w:rsidRPr="001B4A02">
        <w:rPr>
          <w:bCs/>
          <w:szCs w:val="22"/>
        </w:rPr>
        <w:t>U některých pacientů nemusí tělo vytvářet dostatek kr</w:t>
      </w:r>
      <w:r w:rsidR="005E5C1A" w:rsidRPr="001B4A02">
        <w:rPr>
          <w:bCs/>
          <w:szCs w:val="22"/>
        </w:rPr>
        <w:t>vinek</w:t>
      </w:r>
      <w:r w:rsidRPr="001B4A02">
        <w:rPr>
          <w:bCs/>
          <w:szCs w:val="22"/>
        </w:rPr>
        <w:t>, které bojují s infekcemi nebo pomáhají dítěti zastavit krvácení. Váš lékař se může rozhodnout ukončit léčbu. Jestliže má Vaše dítě horečku, která neodeznívá, modřiny nebo snadno krvácí, případně je velmi bledé, ihned se spojte s lékařem.</w:t>
      </w:r>
    </w:p>
    <w:p w14:paraId="5E0743DD" w14:textId="77777777" w:rsidR="00DB2F5F" w:rsidRPr="001B4A02" w:rsidRDefault="00DB2F5F" w:rsidP="002857B1">
      <w:pPr>
        <w:ind w:left="0" w:firstLine="0"/>
        <w:rPr>
          <w:bCs/>
          <w:szCs w:val="22"/>
          <w:u w:val="single"/>
        </w:rPr>
      </w:pPr>
    </w:p>
    <w:p w14:paraId="57C3684D" w14:textId="77777777" w:rsidR="00D42F1E" w:rsidRPr="001B4A02" w:rsidRDefault="00000000" w:rsidP="002857B1">
      <w:pPr>
        <w:ind w:left="0" w:firstLine="0"/>
        <w:rPr>
          <w:bCs/>
          <w:szCs w:val="22"/>
          <w:u w:val="single"/>
        </w:rPr>
      </w:pPr>
      <w:r w:rsidRPr="001B4A02">
        <w:rPr>
          <w:bCs/>
          <w:szCs w:val="22"/>
          <w:u w:val="single"/>
        </w:rPr>
        <w:t>Rakovina</w:t>
      </w:r>
    </w:p>
    <w:p w14:paraId="7E8524D7" w14:textId="77777777" w:rsidR="00D42F1E" w:rsidRPr="001B4A02" w:rsidRDefault="00D42F1E" w:rsidP="002857B1">
      <w:pPr>
        <w:ind w:left="0" w:firstLine="0"/>
      </w:pPr>
    </w:p>
    <w:p w14:paraId="54E34843" w14:textId="77777777" w:rsidR="00D42F1E" w:rsidRPr="001B4A02" w:rsidRDefault="00000000" w:rsidP="00D42F1E">
      <w:pPr>
        <w:pStyle w:val="EndnoteText"/>
        <w:numPr>
          <w:ilvl w:val="0"/>
          <w:numId w:val="8"/>
        </w:numPr>
        <w:tabs>
          <w:tab w:val="clear" w:pos="720"/>
          <w:tab w:val="num" w:pos="0"/>
        </w:tabs>
        <w:ind w:left="567" w:hanging="567"/>
        <w:rPr>
          <w:bCs/>
          <w:szCs w:val="22"/>
          <w:lang w:val="cs-CZ"/>
        </w:rPr>
      </w:pPr>
      <w:r w:rsidRPr="001B4A02">
        <w:rPr>
          <w:bCs/>
          <w:szCs w:val="22"/>
          <w:lang w:val="cs-CZ"/>
        </w:rPr>
        <w:t>U dětských i dospělých pacientů léčených přípravkem Humira nebo jinými blokátory TNF byly popsány velmi vzácné případy výskytu určitých typů rakoviny.</w:t>
      </w:r>
    </w:p>
    <w:p w14:paraId="2E580B6E" w14:textId="77777777" w:rsidR="002447C1" w:rsidRPr="001B4A02" w:rsidRDefault="002447C1" w:rsidP="002857B1">
      <w:pPr>
        <w:ind w:left="0" w:firstLine="0"/>
      </w:pPr>
    </w:p>
    <w:p w14:paraId="02BB53AE" w14:textId="77777777" w:rsidR="00D42F1E" w:rsidRPr="001B4A02" w:rsidRDefault="00000000" w:rsidP="007C5EA6">
      <w:pPr>
        <w:numPr>
          <w:ilvl w:val="0"/>
          <w:numId w:val="15"/>
        </w:numPr>
        <w:tabs>
          <w:tab w:val="clear" w:pos="720"/>
          <w:tab w:val="left" w:pos="1418"/>
        </w:tabs>
        <w:ind w:left="1434" w:hanging="357"/>
      </w:pPr>
      <w:r w:rsidRPr="001B4A02">
        <w:t>Lidé se závažnější formou revmatoidní artritidy, jejichž onemocnění trvá delší dobu, mívají vyšší průměrné riziko vzniku lymfomu (rakovin</w:t>
      </w:r>
      <w:r w:rsidR="00B015D7" w:rsidRPr="001B4A02">
        <w:t>a</w:t>
      </w:r>
      <w:r w:rsidRPr="001B4A02">
        <w:t xml:space="preserve"> postihující mízní systém)</w:t>
      </w:r>
      <w:r w:rsidR="002378E0">
        <w:t xml:space="preserve"> a </w:t>
      </w:r>
      <w:r w:rsidRPr="001B4A02">
        <w:t>leukémie (rakovin</w:t>
      </w:r>
      <w:r w:rsidR="00B015D7" w:rsidRPr="001B4A02">
        <w:t>a</w:t>
      </w:r>
      <w:r w:rsidRPr="001B4A02">
        <w:t xml:space="preserve"> postihující krev</w:t>
      </w:r>
      <w:r w:rsidR="002378E0">
        <w:t xml:space="preserve"> a </w:t>
      </w:r>
      <w:r w:rsidRPr="001B4A02">
        <w:t>kostní dřeň).</w:t>
      </w:r>
    </w:p>
    <w:p w14:paraId="6785F015" w14:textId="77777777" w:rsidR="00D42F1E" w:rsidRPr="001B4A02" w:rsidRDefault="00000000" w:rsidP="007C5EA6">
      <w:pPr>
        <w:numPr>
          <w:ilvl w:val="0"/>
          <w:numId w:val="15"/>
        </w:numPr>
        <w:tabs>
          <w:tab w:val="clear" w:pos="720"/>
          <w:tab w:val="left" w:pos="1418"/>
        </w:tabs>
        <w:ind w:left="1434" w:hanging="357"/>
      </w:pPr>
      <w:r w:rsidRPr="001B4A02">
        <w:t>Jestliže Vaše dítě používá přípravek Humira, riziko onemocnění lymfomem, leukémií nebo jiným druhem rakoviny může vzrůst. Ve vzácných případech byl u pacientů používajících přípravek Humira pozorován neobvyklý</w:t>
      </w:r>
      <w:r w:rsidR="002378E0">
        <w:t xml:space="preserve"> a </w:t>
      </w:r>
      <w:r w:rsidRPr="001B4A02">
        <w:t>závažný typ lymfomu. Někteří z těchto pacientů byli také léčeni azathioprinem nebo 6-merkaptopurinem.</w:t>
      </w:r>
    </w:p>
    <w:p w14:paraId="1858467A" w14:textId="77777777" w:rsidR="00D42F1E" w:rsidRPr="001B4A02" w:rsidRDefault="00000000" w:rsidP="007C5EA6">
      <w:pPr>
        <w:numPr>
          <w:ilvl w:val="0"/>
          <w:numId w:val="15"/>
        </w:numPr>
        <w:tabs>
          <w:tab w:val="clear" w:pos="720"/>
          <w:tab w:val="left" w:pos="1418"/>
        </w:tabs>
        <w:ind w:left="1434" w:hanging="357"/>
      </w:pPr>
      <w:r w:rsidRPr="001B4A02">
        <w:t>Oznamte lékaři, pokud Vaše dítě užívá azathioprin nebo 6-merkaptopurin současně s přípravkem Humira.</w:t>
      </w:r>
    </w:p>
    <w:p w14:paraId="0D946F92" w14:textId="77777777" w:rsidR="00D42F1E" w:rsidRPr="001B4A02" w:rsidRDefault="00000000" w:rsidP="007C5EA6">
      <w:pPr>
        <w:numPr>
          <w:ilvl w:val="0"/>
          <w:numId w:val="15"/>
        </w:numPr>
        <w:tabs>
          <w:tab w:val="clear" w:pos="720"/>
          <w:tab w:val="left" w:pos="1418"/>
        </w:tabs>
        <w:ind w:left="1434" w:hanging="357"/>
      </w:pPr>
      <w:r w:rsidRPr="001B4A02">
        <w:t>U pacientů léčených přípravkem Humira byly</w:t>
      </w:r>
      <w:r w:rsidR="00DB2F5F" w:rsidRPr="001B4A02">
        <w:t xml:space="preserve"> </w:t>
      </w:r>
      <w:r w:rsidRPr="001B4A02">
        <w:t>pozorovány případy kožní rakoviny nemelanomového typu.</w:t>
      </w:r>
    </w:p>
    <w:p w14:paraId="1288DED4" w14:textId="77777777" w:rsidR="00D42F1E" w:rsidRPr="001B4A02" w:rsidRDefault="00000000" w:rsidP="007C5EA6">
      <w:pPr>
        <w:numPr>
          <w:ilvl w:val="0"/>
          <w:numId w:val="15"/>
        </w:numPr>
        <w:tabs>
          <w:tab w:val="clear" w:pos="720"/>
          <w:tab w:val="left" w:pos="1418"/>
        </w:tabs>
        <w:ind w:left="1434" w:hanging="357"/>
      </w:pPr>
      <w:r w:rsidRPr="001B4A02">
        <w:t>Pokud se během léčby nebo po ní objeví nové kožní léze nebo pokud stávající kožní léze změní vzhled, sdělte to lékaři.</w:t>
      </w:r>
    </w:p>
    <w:p w14:paraId="27D913A1" w14:textId="77777777" w:rsidR="009954F1" w:rsidRPr="001B4A02" w:rsidRDefault="009954F1" w:rsidP="009954F1">
      <w:pPr>
        <w:tabs>
          <w:tab w:val="num" w:pos="540"/>
        </w:tabs>
      </w:pPr>
    </w:p>
    <w:p w14:paraId="4DD2CC32" w14:textId="77777777" w:rsidR="00D42F1E" w:rsidRPr="001B4A02" w:rsidRDefault="00000000" w:rsidP="00D42F1E">
      <w:pPr>
        <w:pStyle w:val="EndnoteText"/>
        <w:numPr>
          <w:ilvl w:val="0"/>
          <w:numId w:val="8"/>
        </w:numPr>
        <w:tabs>
          <w:tab w:val="clear" w:pos="720"/>
          <w:tab w:val="num" w:pos="0"/>
        </w:tabs>
        <w:ind w:left="567" w:hanging="567"/>
        <w:rPr>
          <w:bCs/>
          <w:szCs w:val="22"/>
          <w:lang w:val="cs-CZ"/>
        </w:rPr>
      </w:pPr>
      <w:r w:rsidRPr="001B4A02">
        <w:rPr>
          <w:bCs/>
          <w:szCs w:val="22"/>
          <w:lang w:val="cs-CZ"/>
        </w:rPr>
        <w:t xml:space="preserve">U pacientů se specifickým typem plicního onemocnění zvaným chronická obstrukční choroba plicní (CHOPN), kteří byli léčeni jiným TNF blokátorem, byly hlášeny i případy jiných druhů rakoviny, nežli jsou lymfomy. Jestliže Vaše dítě má CHOPN nebo hodně kouří, </w:t>
      </w:r>
      <w:r w:rsidR="00D70909" w:rsidRPr="001B4A02">
        <w:rPr>
          <w:bCs/>
          <w:szCs w:val="22"/>
          <w:lang w:val="cs-CZ"/>
        </w:rPr>
        <w:t>měl</w:t>
      </w:r>
      <w:r w:rsidR="00D70909">
        <w:rPr>
          <w:bCs/>
          <w:szCs w:val="22"/>
          <w:lang w:val="cs-CZ"/>
        </w:rPr>
        <w:t>(a)</w:t>
      </w:r>
      <w:r w:rsidRPr="001B4A02">
        <w:rPr>
          <w:bCs/>
          <w:szCs w:val="22"/>
          <w:lang w:val="cs-CZ"/>
        </w:rPr>
        <w:t xml:space="preserve"> byste si se svým lékařem promluvit, je-li pro Vaše dítě léčba blokátorem TNF vhodná.</w:t>
      </w:r>
    </w:p>
    <w:p w14:paraId="2AF089A9" w14:textId="77777777" w:rsidR="009954F1" w:rsidRPr="001B4A02" w:rsidRDefault="009954F1" w:rsidP="009954F1">
      <w:pPr>
        <w:ind w:left="0" w:firstLine="0"/>
      </w:pPr>
    </w:p>
    <w:p w14:paraId="68DDD6A8" w14:textId="77777777" w:rsidR="009954F1" w:rsidRPr="001B4A02" w:rsidRDefault="00000000" w:rsidP="009954F1">
      <w:pPr>
        <w:pStyle w:val="EndnoteText"/>
        <w:ind w:left="0" w:firstLine="0"/>
        <w:rPr>
          <w:bCs/>
          <w:szCs w:val="22"/>
          <w:u w:val="single"/>
          <w:lang w:val="cs-CZ"/>
        </w:rPr>
      </w:pPr>
      <w:r w:rsidRPr="001B4A02">
        <w:rPr>
          <w:bCs/>
          <w:szCs w:val="22"/>
          <w:u w:val="single"/>
          <w:lang w:val="cs-CZ"/>
        </w:rPr>
        <w:t>Autoimunitní onemocnění</w:t>
      </w:r>
    </w:p>
    <w:p w14:paraId="2180E910" w14:textId="77777777" w:rsidR="00DB2F5F" w:rsidRPr="001B4A02" w:rsidRDefault="00DB2F5F" w:rsidP="002857B1"/>
    <w:p w14:paraId="6979D238" w14:textId="77777777" w:rsidR="00DB2F5F" w:rsidRPr="001B4A02" w:rsidRDefault="00000000" w:rsidP="002857B1">
      <w:pPr>
        <w:numPr>
          <w:ilvl w:val="0"/>
          <w:numId w:val="252"/>
        </w:numPr>
        <w:ind w:left="567" w:hanging="567"/>
      </w:pPr>
      <w:r w:rsidRPr="001B4A02">
        <w:t>Vzácně může vést léčba přípravkem Humira k </w:t>
      </w:r>
      <w:r w:rsidR="005E5C1A" w:rsidRPr="001B4A02">
        <w:t xml:space="preserve">příznakům podobajícím se onemocnění zvanému </w:t>
      </w:r>
      <w:r w:rsidRPr="001B4A02">
        <w:t>lupus. Pokud se objeví</w:t>
      </w:r>
      <w:r w:rsidR="002857B1" w:rsidRPr="001B4A02">
        <w:t xml:space="preserve"> </w:t>
      </w:r>
      <w:r w:rsidRPr="001B4A02">
        <w:t>příznaky, jako je trvalá nevysvětlitelná</w:t>
      </w:r>
      <w:r w:rsidR="00314612">
        <w:t xml:space="preserve"> vyrážka,</w:t>
      </w:r>
      <w:r w:rsidRPr="001B4A02">
        <w:t xml:space="preserve"> horečka, bolest kloubů nebo únava, kontaktujte svého lékaře.</w:t>
      </w:r>
    </w:p>
    <w:p w14:paraId="01828C28" w14:textId="77777777" w:rsidR="00DB2F5F" w:rsidRPr="001B4A02" w:rsidRDefault="00DB2F5F" w:rsidP="002857B1"/>
    <w:p w14:paraId="08479DE5" w14:textId="77777777" w:rsidR="009954F1" w:rsidRPr="001B4A02" w:rsidRDefault="00000000" w:rsidP="009954F1">
      <w:pPr>
        <w:ind w:left="0" w:firstLine="0"/>
        <w:rPr>
          <w:b/>
        </w:rPr>
      </w:pPr>
      <w:r w:rsidRPr="001B4A02">
        <w:rPr>
          <w:b/>
        </w:rPr>
        <w:t>Další léčivé přípravky</w:t>
      </w:r>
      <w:r w:rsidR="002378E0">
        <w:rPr>
          <w:b/>
        </w:rPr>
        <w:t xml:space="preserve"> a </w:t>
      </w:r>
      <w:r w:rsidRPr="001B4A02">
        <w:rPr>
          <w:b/>
        </w:rPr>
        <w:t>přípravek Humira</w:t>
      </w:r>
    </w:p>
    <w:p w14:paraId="3E8118FC" w14:textId="77777777" w:rsidR="009954F1" w:rsidRPr="001B4A02" w:rsidRDefault="009954F1" w:rsidP="009954F1">
      <w:pPr>
        <w:ind w:left="0" w:firstLine="0"/>
      </w:pPr>
    </w:p>
    <w:p w14:paraId="79A842C3" w14:textId="77777777" w:rsidR="00954927" w:rsidRPr="001B4A02" w:rsidRDefault="00000000" w:rsidP="00954927">
      <w:pPr>
        <w:ind w:left="0" w:firstLine="0"/>
      </w:pPr>
      <w:r w:rsidRPr="001B4A02">
        <w:t xml:space="preserve">Informujte svého lékaře nebo lékárníka o všech lécích, které </w:t>
      </w:r>
      <w:r w:rsidR="0047766A" w:rsidRPr="001B4A02">
        <w:t>Vaše dítě užívá</w:t>
      </w:r>
      <w:r w:rsidRPr="001B4A02">
        <w:t>, které v nedávné době užíval</w:t>
      </w:r>
      <w:r w:rsidR="0047766A" w:rsidRPr="001B4A02">
        <w:t>o</w:t>
      </w:r>
      <w:r w:rsidRPr="001B4A02">
        <w:t xml:space="preserve"> nebo které možná bude užívat.</w:t>
      </w:r>
    </w:p>
    <w:p w14:paraId="471638D0" w14:textId="77777777" w:rsidR="00954927" w:rsidRPr="001B4A02" w:rsidRDefault="00954927" w:rsidP="00CD775B">
      <w:pPr>
        <w:ind w:left="0" w:firstLine="0"/>
      </w:pPr>
    </w:p>
    <w:p w14:paraId="3A8E54B6" w14:textId="77777777" w:rsidR="00CD775B" w:rsidRPr="001B4A02" w:rsidRDefault="00000000" w:rsidP="00CD775B">
      <w:pPr>
        <w:ind w:left="0" w:firstLine="0"/>
      </w:pPr>
      <w:r w:rsidRPr="001B4A02">
        <w:t xml:space="preserve">Přípravek Humira </w:t>
      </w:r>
      <w:r w:rsidR="00A47E5D" w:rsidRPr="001B4A02">
        <w:t>nesm</w:t>
      </w:r>
      <w:r w:rsidR="001C561A" w:rsidRPr="001B4A02">
        <w:t>í</w:t>
      </w:r>
      <w:r w:rsidRPr="001B4A02">
        <w:t xml:space="preserve"> Vaše d</w:t>
      </w:r>
      <w:r w:rsidR="00A47E5D" w:rsidRPr="001B4A02">
        <w:t>í</w:t>
      </w:r>
      <w:r w:rsidRPr="001B4A02">
        <w:t xml:space="preserve">tě </w:t>
      </w:r>
      <w:r w:rsidR="00030E59" w:rsidRPr="001B4A02">
        <w:t xml:space="preserve">z důvodu </w:t>
      </w:r>
      <w:r w:rsidR="00030E59" w:rsidRPr="001B4A02">
        <w:rPr>
          <w:bCs/>
          <w:szCs w:val="22"/>
        </w:rPr>
        <w:t>zvýšeného rizika závažné infekce</w:t>
      </w:r>
      <w:r w:rsidR="00030E59" w:rsidRPr="001B4A02">
        <w:t xml:space="preserve"> </w:t>
      </w:r>
      <w:r w:rsidRPr="001B4A02">
        <w:t>používat s</w:t>
      </w:r>
      <w:r w:rsidR="001C561A" w:rsidRPr="001B4A02">
        <w:t> </w:t>
      </w:r>
      <w:r w:rsidRPr="001B4A02">
        <w:t>léky</w:t>
      </w:r>
      <w:r w:rsidR="001C561A" w:rsidRPr="001B4A02">
        <w:t>, které</w:t>
      </w:r>
      <w:r w:rsidRPr="001B4A02">
        <w:t xml:space="preserve"> obsahují</w:t>
      </w:r>
      <w:r w:rsidR="00F46B08" w:rsidRPr="001B4A02">
        <w:t xml:space="preserve"> následující</w:t>
      </w:r>
      <w:r w:rsidRPr="001B4A02">
        <w:t xml:space="preserve"> léčivé látky:</w:t>
      </w:r>
    </w:p>
    <w:p w14:paraId="01549919" w14:textId="77777777" w:rsidR="00CD775B" w:rsidRPr="001B4A02" w:rsidRDefault="00000000" w:rsidP="00CD775B">
      <w:pPr>
        <w:numPr>
          <w:ilvl w:val="0"/>
          <w:numId w:val="8"/>
        </w:numPr>
      </w:pPr>
      <w:r w:rsidRPr="001B4A02">
        <w:t>anakinra</w:t>
      </w:r>
    </w:p>
    <w:p w14:paraId="2581F26E" w14:textId="77777777" w:rsidR="00CD775B" w:rsidRPr="001B4A02" w:rsidRDefault="00000000" w:rsidP="00CD775B">
      <w:pPr>
        <w:numPr>
          <w:ilvl w:val="0"/>
          <w:numId w:val="8"/>
        </w:numPr>
      </w:pPr>
      <w:r w:rsidRPr="001B4A02">
        <w:t>abatacept.</w:t>
      </w:r>
    </w:p>
    <w:p w14:paraId="053E2F19" w14:textId="77777777" w:rsidR="00CD775B" w:rsidRPr="001B4A02" w:rsidRDefault="00CD775B" w:rsidP="00CD775B">
      <w:pPr>
        <w:ind w:left="0" w:firstLine="0"/>
      </w:pPr>
    </w:p>
    <w:p w14:paraId="3DA1757C" w14:textId="77777777" w:rsidR="00CD775B" w:rsidRPr="001B4A02" w:rsidRDefault="00000000" w:rsidP="00CD775B">
      <w:pPr>
        <w:keepNext/>
        <w:ind w:left="0" w:firstLine="0"/>
      </w:pPr>
      <w:r w:rsidRPr="001B4A02">
        <w:t>Přípravek Humira lze používat společně s:</w:t>
      </w:r>
    </w:p>
    <w:p w14:paraId="7624FC5C" w14:textId="77777777" w:rsidR="00CD775B" w:rsidRPr="001B4A02" w:rsidRDefault="00000000" w:rsidP="00CD775B">
      <w:pPr>
        <w:numPr>
          <w:ilvl w:val="0"/>
          <w:numId w:val="8"/>
        </w:numPr>
      </w:pPr>
      <w:r w:rsidRPr="001B4A02">
        <w:t xml:space="preserve">methotrexátem </w:t>
      </w:r>
    </w:p>
    <w:p w14:paraId="03F24392" w14:textId="77777777" w:rsidR="00CD775B" w:rsidRPr="001B4A02" w:rsidRDefault="00000000" w:rsidP="00CD775B">
      <w:pPr>
        <w:numPr>
          <w:ilvl w:val="0"/>
          <w:numId w:val="8"/>
        </w:numPr>
      </w:pPr>
      <w:r w:rsidRPr="001B4A02">
        <w:t>některými chorobu modifikujícími antirevmatiky (například sulfasalazin, hydroxychlorochin, leflunomid</w:t>
      </w:r>
      <w:r w:rsidR="002378E0">
        <w:t xml:space="preserve"> a </w:t>
      </w:r>
      <w:r w:rsidRPr="001B4A02">
        <w:t>injekční přípravky s obsahem solí zlata)</w:t>
      </w:r>
    </w:p>
    <w:p w14:paraId="0016EC1E" w14:textId="77777777" w:rsidR="00CD775B" w:rsidRPr="001B4A02" w:rsidRDefault="00000000" w:rsidP="00CD775B">
      <w:pPr>
        <w:numPr>
          <w:ilvl w:val="0"/>
          <w:numId w:val="8"/>
        </w:numPr>
      </w:pPr>
      <w:r w:rsidRPr="001B4A02">
        <w:t>steroidy nebo léky proti bolestem,</w:t>
      </w:r>
      <w:r w:rsidR="002378E0">
        <w:t xml:space="preserve"> a </w:t>
      </w:r>
      <w:r w:rsidRPr="001B4A02">
        <w:t>to i s nesteroidními antirevmatiky (NSAID).</w:t>
      </w:r>
    </w:p>
    <w:p w14:paraId="0A6CF798" w14:textId="77777777" w:rsidR="00CD775B" w:rsidRPr="001B4A02" w:rsidRDefault="00CD775B" w:rsidP="00CD775B">
      <w:pPr>
        <w:pStyle w:val="EMEANormal"/>
        <w:tabs>
          <w:tab w:val="clear" w:pos="562"/>
        </w:tabs>
        <w:suppressAutoHyphens w:val="0"/>
        <w:rPr>
          <w:lang w:val="cs-CZ"/>
        </w:rPr>
      </w:pPr>
    </w:p>
    <w:p w14:paraId="11633AA5" w14:textId="77777777" w:rsidR="00CD775B" w:rsidRPr="001B4A02" w:rsidRDefault="00000000" w:rsidP="00CD775B">
      <w:pPr>
        <w:pStyle w:val="EMEANormal"/>
        <w:tabs>
          <w:tab w:val="clear" w:pos="562"/>
        </w:tabs>
        <w:suppressAutoHyphens w:val="0"/>
        <w:rPr>
          <w:bCs/>
          <w:szCs w:val="22"/>
          <w:lang w:val="cs-CZ"/>
        </w:rPr>
      </w:pPr>
      <w:r w:rsidRPr="001B4A02">
        <w:rPr>
          <w:bCs/>
          <w:szCs w:val="22"/>
          <w:lang w:val="cs-CZ"/>
        </w:rPr>
        <w:t>Máte-li nějaké dotazy, zeptejte se prosím svého lékaře.</w:t>
      </w:r>
    </w:p>
    <w:p w14:paraId="26CD8475" w14:textId="77777777" w:rsidR="009954F1" w:rsidRPr="001B4A02" w:rsidRDefault="009954F1" w:rsidP="009954F1">
      <w:pPr>
        <w:pStyle w:val="EMEANormal"/>
        <w:tabs>
          <w:tab w:val="clear" w:pos="562"/>
        </w:tabs>
        <w:suppressAutoHyphens w:val="0"/>
        <w:rPr>
          <w:bCs/>
          <w:szCs w:val="22"/>
          <w:lang w:val="cs-CZ"/>
        </w:rPr>
      </w:pPr>
    </w:p>
    <w:p w14:paraId="355F4CD9" w14:textId="77777777" w:rsidR="00CD775B" w:rsidRPr="001B4A02" w:rsidRDefault="00000000" w:rsidP="00CD775B">
      <w:pPr>
        <w:keepNext/>
        <w:rPr>
          <w:b/>
        </w:rPr>
      </w:pPr>
      <w:r w:rsidRPr="001B4A02">
        <w:rPr>
          <w:b/>
        </w:rPr>
        <w:t>Těhotenství</w:t>
      </w:r>
      <w:r w:rsidR="002378E0">
        <w:rPr>
          <w:b/>
        </w:rPr>
        <w:t xml:space="preserve"> a </w:t>
      </w:r>
      <w:r w:rsidRPr="001B4A02">
        <w:rPr>
          <w:b/>
        </w:rPr>
        <w:t>kojení</w:t>
      </w:r>
    </w:p>
    <w:p w14:paraId="2413E804" w14:textId="77777777" w:rsidR="00CD775B" w:rsidRPr="001B4A02" w:rsidRDefault="00CD775B" w:rsidP="00CD775B">
      <w:pPr>
        <w:keepNext/>
        <w:ind w:left="0" w:firstLine="0"/>
      </w:pPr>
    </w:p>
    <w:p w14:paraId="2AB8AA5C" w14:textId="77777777" w:rsidR="003A1724" w:rsidRDefault="00000000" w:rsidP="004B054B">
      <w:pPr>
        <w:pStyle w:val="ListParagraph"/>
        <w:numPr>
          <w:ilvl w:val="0"/>
          <w:numId w:val="266"/>
        </w:numPr>
      </w:pPr>
      <w:r>
        <w:t>Vaše dcera má zvážit použití vhodné antikoncepce k prevenci těhotenství</w:t>
      </w:r>
      <w:r w:rsidR="002378E0">
        <w:t xml:space="preserve"> a </w:t>
      </w:r>
      <w:r>
        <w:t xml:space="preserve">pokračovat v jejím užívání </w:t>
      </w:r>
      <w:r w:rsidR="00886844" w:rsidRPr="001B4A02">
        <w:t xml:space="preserve">po dobu nejméně 5 měsíců </w:t>
      </w:r>
      <w:r>
        <w:t>po posledním podání přípravku Humira</w:t>
      </w:r>
      <w:r w:rsidR="00886844" w:rsidRPr="001B4A02">
        <w:t>.</w:t>
      </w:r>
    </w:p>
    <w:p w14:paraId="096C5B26" w14:textId="77777777" w:rsidR="003A1724" w:rsidRDefault="00000000" w:rsidP="003A1724">
      <w:pPr>
        <w:pStyle w:val="ListParagraph"/>
        <w:numPr>
          <w:ilvl w:val="0"/>
          <w:numId w:val="266"/>
        </w:numPr>
      </w:pPr>
      <w:r>
        <w:t>Pokud je Vaše dcera těhotná, domnívá se, že může být těhotná</w:t>
      </w:r>
      <w:r w:rsidR="00196227">
        <w:t>,</w:t>
      </w:r>
      <w:r>
        <w:t xml:space="preserve"> nebo plánuje otěhotnět, požádejte jejího lékaře o doporučení týkající se užívání tohoto přípravku.</w:t>
      </w:r>
    </w:p>
    <w:p w14:paraId="1CF17E79" w14:textId="77777777" w:rsidR="003A1724" w:rsidRDefault="00000000" w:rsidP="003A1724">
      <w:pPr>
        <w:pStyle w:val="ListParagraph"/>
        <w:numPr>
          <w:ilvl w:val="0"/>
          <w:numId w:val="266"/>
        </w:numPr>
      </w:pPr>
      <w:r>
        <w:t>Přípravek Humira má být užíván během těhotenství pouze tehdy, je-li to nezbytně nutné.</w:t>
      </w:r>
    </w:p>
    <w:p w14:paraId="778DAE3D" w14:textId="77777777" w:rsidR="003A1724" w:rsidRDefault="00000000" w:rsidP="003A1724">
      <w:pPr>
        <w:pStyle w:val="ListParagraph"/>
        <w:numPr>
          <w:ilvl w:val="0"/>
          <w:numId w:val="266"/>
        </w:numPr>
      </w:pPr>
      <w:r>
        <w:t>Na základě studie prováděné u</w:t>
      </w:r>
      <w:r w:rsidR="001C14A5">
        <w:t> </w:t>
      </w:r>
      <w:r>
        <w:t>těhotných žen nebylo zjištěno zvýšené riziko vrozených vad, pokud matka během těhotenství užívala přípravek Humira, ve srovnání s matkami se stejným onemocněním, které přípravek Humira neužívaly.</w:t>
      </w:r>
    </w:p>
    <w:p w14:paraId="1162428A" w14:textId="77777777" w:rsidR="003A1724" w:rsidRDefault="00000000" w:rsidP="003A1724">
      <w:pPr>
        <w:pStyle w:val="ListParagraph"/>
        <w:numPr>
          <w:ilvl w:val="0"/>
          <w:numId w:val="266"/>
        </w:numPr>
      </w:pPr>
      <w:r>
        <w:t>Přípravek Humira lze podávat během kojení.</w:t>
      </w:r>
    </w:p>
    <w:p w14:paraId="019F5CA9" w14:textId="77777777" w:rsidR="009F16FA" w:rsidRDefault="00000000" w:rsidP="004B054B">
      <w:pPr>
        <w:pStyle w:val="ListParagraph"/>
        <w:numPr>
          <w:ilvl w:val="0"/>
          <w:numId w:val="266"/>
        </w:numPr>
      </w:pPr>
      <w:r w:rsidRPr="001B4A02">
        <w:t>Jestliže Vaše dcera dostáv</w:t>
      </w:r>
      <w:r>
        <w:t>ala</w:t>
      </w:r>
      <w:r w:rsidRPr="001B4A02">
        <w:t xml:space="preserve"> přípravek Humira během těhotenství, může být její dítě náchylnější k infekcím.</w:t>
      </w:r>
    </w:p>
    <w:p w14:paraId="59B27F88" w14:textId="77777777" w:rsidR="009F16FA" w:rsidRDefault="00000000" w:rsidP="004B054B">
      <w:pPr>
        <w:pStyle w:val="ListParagraph"/>
        <w:numPr>
          <w:ilvl w:val="0"/>
          <w:numId w:val="266"/>
        </w:numPr>
      </w:pPr>
      <w:r w:rsidRPr="001B4A02">
        <w:t>Je důležité, abyste informovala dětského lékaře</w:t>
      </w:r>
      <w:r w:rsidR="002378E0">
        <w:t xml:space="preserve"> a </w:t>
      </w:r>
      <w:r w:rsidRPr="001B4A02">
        <w:t xml:space="preserve">ostatní zdravotnické pracovníky před očkováním dítěte své dcery, že dcera během těhotenství používala přípravek Humira. Více informací </w:t>
      </w:r>
      <w:r>
        <w:t>týkající</w:t>
      </w:r>
      <w:r w:rsidR="00196227">
        <w:t>ch</w:t>
      </w:r>
      <w:r>
        <w:t xml:space="preserve"> se očkování </w:t>
      </w:r>
      <w:r w:rsidRPr="001B4A02">
        <w:t xml:space="preserve">najdete v části </w:t>
      </w:r>
      <w:r w:rsidR="00EE0CCE">
        <w:t>„</w:t>
      </w:r>
      <w:r>
        <w:t>Upozornění</w:t>
      </w:r>
      <w:r w:rsidR="002378E0">
        <w:t xml:space="preserve"> a </w:t>
      </w:r>
      <w:r w:rsidR="005933A4">
        <w:t>opatření</w:t>
      </w:r>
      <w:r>
        <w:t>“</w:t>
      </w:r>
      <w:r w:rsidRPr="001B4A02">
        <w:t>.</w:t>
      </w:r>
    </w:p>
    <w:p w14:paraId="2FD370D4" w14:textId="77777777" w:rsidR="00CD775B" w:rsidRPr="001B4A02" w:rsidRDefault="00CD775B" w:rsidP="00CD775B">
      <w:pPr>
        <w:ind w:left="0" w:firstLine="0"/>
      </w:pPr>
    </w:p>
    <w:p w14:paraId="5D9C53F3" w14:textId="77777777" w:rsidR="009954F1" w:rsidRPr="001B4A02" w:rsidRDefault="00000000" w:rsidP="009954F1">
      <w:pPr>
        <w:pStyle w:val="EMEANormal"/>
        <w:tabs>
          <w:tab w:val="clear" w:pos="562"/>
        </w:tabs>
        <w:suppressAutoHyphens w:val="0"/>
        <w:rPr>
          <w:b/>
          <w:bCs/>
          <w:lang w:val="cs-CZ"/>
        </w:rPr>
      </w:pPr>
      <w:r w:rsidRPr="001B4A02">
        <w:rPr>
          <w:b/>
          <w:bCs/>
          <w:lang w:val="cs-CZ"/>
        </w:rPr>
        <w:t>Řízení dopravních prostředků</w:t>
      </w:r>
      <w:r w:rsidR="002378E0">
        <w:rPr>
          <w:b/>
          <w:bCs/>
          <w:lang w:val="cs-CZ"/>
        </w:rPr>
        <w:t xml:space="preserve"> a </w:t>
      </w:r>
      <w:r w:rsidRPr="001B4A02">
        <w:rPr>
          <w:b/>
          <w:bCs/>
          <w:lang w:val="cs-CZ"/>
        </w:rPr>
        <w:t>obsluha strojů</w:t>
      </w:r>
    </w:p>
    <w:p w14:paraId="514D706F" w14:textId="77777777" w:rsidR="009954F1" w:rsidRPr="001B4A02" w:rsidRDefault="009954F1" w:rsidP="009954F1">
      <w:pPr>
        <w:ind w:left="0" w:firstLine="0"/>
        <w:rPr>
          <w:b/>
        </w:rPr>
      </w:pPr>
    </w:p>
    <w:p w14:paraId="22DF4664" w14:textId="77777777" w:rsidR="00964428" w:rsidRPr="001B4A02" w:rsidRDefault="00000000" w:rsidP="0009084E">
      <w:pPr>
        <w:numPr>
          <w:ilvl w:val="12"/>
          <w:numId w:val="0"/>
        </w:numPr>
        <w:jc w:val="both"/>
      </w:pPr>
      <w:r w:rsidRPr="001B4A02">
        <w:t>Přípravek Humira může mít podružný vliv na schopnost řídit, jezdit na kole nebo obsluhovat stroje. Po použití přípravku Humira se může u Vašeho dítěte objevit pocit točení hlavy</w:t>
      </w:r>
      <w:r w:rsidR="002378E0">
        <w:t xml:space="preserve"> a </w:t>
      </w:r>
      <w:r w:rsidRPr="001B4A02">
        <w:t>poruchy vidění.</w:t>
      </w:r>
    </w:p>
    <w:p w14:paraId="6A9C2BAA" w14:textId="77777777" w:rsidR="009954F1" w:rsidRDefault="009954F1" w:rsidP="009954F1">
      <w:pPr>
        <w:numPr>
          <w:ilvl w:val="12"/>
          <w:numId w:val="0"/>
        </w:numPr>
        <w:ind w:right="-2"/>
        <w:jc w:val="both"/>
        <w:rPr>
          <w:ins w:id="9802" w:author="AbbVie1" w:date="2025-05-13T09:59:00Z"/>
        </w:rPr>
      </w:pPr>
    </w:p>
    <w:p w14:paraId="04440196" w14:textId="77777777" w:rsidR="0073620E" w:rsidRDefault="00000000" w:rsidP="009954F1">
      <w:pPr>
        <w:numPr>
          <w:ilvl w:val="12"/>
          <w:numId w:val="0"/>
        </w:numPr>
        <w:ind w:right="-2"/>
        <w:jc w:val="both"/>
        <w:rPr>
          <w:ins w:id="9803" w:author="AbbVie1" w:date="2025-05-13T09:59:00Z"/>
          <w:b/>
          <w:bCs/>
        </w:rPr>
      </w:pPr>
      <w:ins w:id="9804" w:author="AbbVie1" w:date="2025-05-13T09:59:00Z">
        <w:r>
          <w:rPr>
            <w:b/>
            <w:bCs/>
          </w:rPr>
          <w:t>Přípravek Humira obsahuje polysorbát</w:t>
        </w:r>
      </w:ins>
    </w:p>
    <w:p w14:paraId="3FFD8F64" w14:textId="77777777" w:rsidR="0073620E" w:rsidRPr="00F45492" w:rsidRDefault="0073620E" w:rsidP="009954F1">
      <w:pPr>
        <w:numPr>
          <w:ilvl w:val="12"/>
          <w:numId w:val="0"/>
        </w:numPr>
        <w:ind w:right="-2"/>
        <w:jc w:val="both"/>
        <w:rPr>
          <w:ins w:id="9805" w:author="AbbVie1" w:date="2025-05-13T09:59:00Z"/>
        </w:rPr>
      </w:pPr>
    </w:p>
    <w:p w14:paraId="7D72B622" w14:textId="77777777" w:rsidR="0073620E" w:rsidRDefault="00000000" w:rsidP="009954F1">
      <w:pPr>
        <w:numPr>
          <w:ilvl w:val="12"/>
          <w:numId w:val="0"/>
        </w:numPr>
        <w:ind w:right="-2"/>
        <w:jc w:val="both"/>
        <w:rPr>
          <w:ins w:id="9806" w:author="Abbvie02" w:date="2025-05-16T12:03:00Z"/>
        </w:rPr>
      </w:pPr>
      <w:ins w:id="9807" w:author="AbbVie1" w:date="2025-05-13T09:59:00Z">
        <w:r>
          <w:t>Tento léčivý přípravek obsahuje 0,2 mg polysorbátu 80 v jedné 20mg dávce. Polysorbát</w:t>
        </w:r>
      </w:ins>
      <w:ins w:id="9808" w:author="AbbVie1" w:date="2025-05-13T10:03:00Z">
        <w:r w:rsidR="0028456C">
          <w:t xml:space="preserve">y mohou způsobit </w:t>
        </w:r>
      </w:ins>
      <w:ins w:id="9809" w:author="AbbVie1" w:date="2025-05-13T09:59:00Z">
        <w:r>
          <w:t>alergické reakce.</w:t>
        </w:r>
      </w:ins>
      <w:ins w:id="9810" w:author="AbbVie1" w:date="2025-05-13T10:03:00Z">
        <w:r w:rsidR="0028456C" w:rsidRPr="0028456C">
          <w:t xml:space="preserve"> Informujte svého lékaře, pokud Vaše dítě má jakékoli alergie.</w:t>
        </w:r>
      </w:ins>
    </w:p>
    <w:p w14:paraId="34C22925" w14:textId="77777777" w:rsidR="00F45492" w:rsidRPr="0073620E" w:rsidRDefault="00F45492" w:rsidP="009954F1">
      <w:pPr>
        <w:numPr>
          <w:ilvl w:val="12"/>
          <w:numId w:val="0"/>
        </w:numPr>
        <w:ind w:right="-2"/>
        <w:jc w:val="both"/>
      </w:pPr>
    </w:p>
    <w:p w14:paraId="17B12E69" w14:textId="77777777" w:rsidR="009954F1" w:rsidRPr="001B4A02" w:rsidRDefault="009954F1" w:rsidP="009954F1">
      <w:pPr>
        <w:numPr>
          <w:ilvl w:val="12"/>
          <w:numId w:val="0"/>
        </w:numPr>
        <w:ind w:right="-2"/>
        <w:jc w:val="both"/>
      </w:pPr>
    </w:p>
    <w:p w14:paraId="034E2DF1" w14:textId="77777777" w:rsidR="009954F1" w:rsidRPr="001B4A02" w:rsidRDefault="00000000" w:rsidP="00995407">
      <w:pPr>
        <w:numPr>
          <w:ilvl w:val="12"/>
          <w:numId w:val="0"/>
        </w:numPr>
        <w:ind w:left="561" w:hanging="561"/>
        <w:outlineLvl w:val="1"/>
      </w:pPr>
      <w:r w:rsidRPr="001B4A02">
        <w:rPr>
          <w:b/>
        </w:rPr>
        <w:t>3.</w:t>
      </w:r>
      <w:r w:rsidRPr="001B4A02">
        <w:rPr>
          <w:b/>
        </w:rPr>
        <w:tab/>
        <w:t>Jak se přípravek Humira používá</w:t>
      </w:r>
    </w:p>
    <w:p w14:paraId="69452814" w14:textId="77777777" w:rsidR="009954F1" w:rsidRPr="001B4A02" w:rsidRDefault="009954F1" w:rsidP="009954F1">
      <w:pPr>
        <w:numPr>
          <w:ilvl w:val="12"/>
          <w:numId w:val="0"/>
        </w:numPr>
        <w:ind w:right="-2"/>
        <w:jc w:val="both"/>
      </w:pPr>
    </w:p>
    <w:p w14:paraId="1D1F6395" w14:textId="77777777" w:rsidR="00CD775B" w:rsidRPr="001B4A02" w:rsidRDefault="00000000" w:rsidP="00CD775B">
      <w:pPr>
        <w:ind w:left="0" w:firstLine="0"/>
      </w:pPr>
      <w:r w:rsidRPr="001B4A02">
        <w:t>Vždy používejte tento přípravek přesně podle pokynů svého lékaře nebo lékárníka. Pokud si nejste jistý(á), poraďte se se svým lékařem nebo lékárníkem.</w:t>
      </w:r>
    </w:p>
    <w:p w14:paraId="583C0D37" w14:textId="77777777" w:rsidR="00CD775B" w:rsidRPr="001B4A02" w:rsidRDefault="00CD775B" w:rsidP="00CD775B">
      <w:pPr>
        <w:ind w:left="0" w:firstLine="0"/>
        <w:rPr>
          <w:u w:val="single"/>
        </w:rPr>
      </w:pPr>
    </w:p>
    <w:p w14:paraId="12D3D8C4" w14:textId="77777777" w:rsidR="00CD775B" w:rsidRPr="001B4A02" w:rsidRDefault="00000000" w:rsidP="00CD775B">
      <w:pPr>
        <w:ind w:left="0" w:firstLine="0"/>
        <w:rPr>
          <w:u w:val="single"/>
        </w:rPr>
      </w:pPr>
      <w:r w:rsidRPr="001B4A02">
        <w:t>Doporučené dávky přípravku Humira u každého schváleného použití jsou uvedeny v následující tabulce.</w:t>
      </w:r>
      <w:r w:rsidR="0088128B" w:rsidRPr="001B4A02">
        <w:t xml:space="preserve"> Lékař Vám může předepsat jinou sílu přípravku Humira, pokud Vaše dítě potřebuje jinou dávku. </w:t>
      </w:r>
    </w:p>
    <w:p w14:paraId="642F8C40" w14:textId="77777777" w:rsidR="00CD775B" w:rsidRPr="001B4A02" w:rsidRDefault="00CD775B" w:rsidP="0088128B">
      <w:pPr>
        <w:numPr>
          <w:ilvl w:val="12"/>
          <w:numId w:val="0"/>
        </w:numPr>
        <w:ind w:right="-2"/>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11"/>
        <w:gridCol w:w="3026"/>
      </w:tblGrid>
      <w:tr w:rsidR="00534A2D" w14:paraId="02239533" w14:textId="77777777" w:rsidTr="00CD775B">
        <w:tc>
          <w:tcPr>
            <w:tcW w:w="9287" w:type="dxa"/>
            <w:gridSpan w:val="3"/>
            <w:shd w:val="clear" w:color="auto" w:fill="auto"/>
          </w:tcPr>
          <w:p w14:paraId="0F24642C" w14:textId="77777777" w:rsidR="00CD775B" w:rsidRPr="001B4A02" w:rsidRDefault="00000000" w:rsidP="00CD775B">
            <w:pPr>
              <w:keepNext/>
              <w:numPr>
                <w:ilvl w:val="12"/>
                <w:numId w:val="0"/>
              </w:numPr>
              <w:ind w:right="-2"/>
            </w:pPr>
            <w:r w:rsidRPr="001B4A02">
              <w:rPr>
                <w:b/>
              </w:rPr>
              <w:t>Polyartikulární juvenilní idiopatická artritida</w:t>
            </w:r>
          </w:p>
        </w:tc>
      </w:tr>
      <w:tr w:rsidR="00534A2D" w14:paraId="65B12EC7" w14:textId="77777777" w:rsidTr="00CD775B">
        <w:tc>
          <w:tcPr>
            <w:tcW w:w="3095" w:type="dxa"/>
            <w:shd w:val="clear" w:color="auto" w:fill="auto"/>
          </w:tcPr>
          <w:p w14:paraId="2A1F7542" w14:textId="77777777" w:rsidR="00CD775B" w:rsidRPr="001B4A02" w:rsidRDefault="00000000" w:rsidP="00CD775B">
            <w:pPr>
              <w:keepNext/>
              <w:numPr>
                <w:ilvl w:val="12"/>
                <w:numId w:val="0"/>
              </w:numPr>
              <w:ind w:right="-2"/>
            </w:pPr>
            <w:r w:rsidRPr="001B4A02">
              <w:rPr>
                <w:b/>
              </w:rPr>
              <w:t>Věk nebo tělesná hmotnost</w:t>
            </w:r>
          </w:p>
        </w:tc>
        <w:tc>
          <w:tcPr>
            <w:tcW w:w="3096" w:type="dxa"/>
            <w:shd w:val="clear" w:color="auto" w:fill="auto"/>
          </w:tcPr>
          <w:p w14:paraId="13E23382" w14:textId="77777777" w:rsidR="00CD775B" w:rsidRPr="001B4A02" w:rsidRDefault="00000000" w:rsidP="00CD775B">
            <w:pPr>
              <w:keepNext/>
              <w:numPr>
                <w:ilvl w:val="12"/>
                <w:numId w:val="0"/>
              </w:numPr>
              <w:ind w:right="-2"/>
            </w:pPr>
            <w:r w:rsidRPr="001B4A02">
              <w:rPr>
                <w:b/>
              </w:rPr>
              <w:t>Kolik používat</w:t>
            </w:r>
            <w:r w:rsidR="002378E0">
              <w:rPr>
                <w:b/>
              </w:rPr>
              <w:t xml:space="preserve"> a </w:t>
            </w:r>
            <w:r w:rsidRPr="001B4A02">
              <w:rPr>
                <w:b/>
              </w:rPr>
              <w:t>jak často?</w:t>
            </w:r>
          </w:p>
        </w:tc>
        <w:tc>
          <w:tcPr>
            <w:tcW w:w="3096" w:type="dxa"/>
            <w:shd w:val="clear" w:color="auto" w:fill="auto"/>
          </w:tcPr>
          <w:p w14:paraId="67DEB420" w14:textId="77777777" w:rsidR="00CD775B" w:rsidRPr="001B4A02" w:rsidRDefault="00000000" w:rsidP="00CD775B">
            <w:pPr>
              <w:numPr>
                <w:ilvl w:val="12"/>
                <w:numId w:val="0"/>
              </w:numPr>
              <w:ind w:right="-2"/>
            </w:pPr>
            <w:r w:rsidRPr="001B4A02">
              <w:rPr>
                <w:b/>
              </w:rPr>
              <w:t>Poznámky</w:t>
            </w:r>
          </w:p>
        </w:tc>
      </w:tr>
      <w:tr w:rsidR="00534A2D" w14:paraId="57EEDF9C" w14:textId="77777777" w:rsidTr="00CD775B">
        <w:tc>
          <w:tcPr>
            <w:tcW w:w="3095" w:type="dxa"/>
            <w:shd w:val="clear" w:color="auto" w:fill="auto"/>
          </w:tcPr>
          <w:p w14:paraId="595C6B7F" w14:textId="77777777" w:rsidR="000B5460" w:rsidRPr="001B4A02" w:rsidRDefault="00000000" w:rsidP="00E44302">
            <w:pPr>
              <w:keepNext/>
              <w:numPr>
                <w:ilvl w:val="12"/>
                <w:numId w:val="0"/>
              </w:numPr>
              <w:ind w:right="-2"/>
            </w:pPr>
            <w:r w:rsidRPr="001B4A02">
              <w:t>Děti, dospívající</w:t>
            </w:r>
            <w:r w:rsidR="002378E0">
              <w:t xml:space="preserve"> a </w:t>
            </w:r>
            <w:r w:rsidRPr="001B4A02">
              <w:t xml:space="preserve">dospělí </w:t>
            </w:r>
            <w:r w:rsidR="00E44302" w:rsidRPr="001B4A02">
              <w:t xml:space="preserve">od 2 let </w:t>
            </w:r>
            <w:r w:rsidRPr="001B4A02">
              <w:t>s tělesnou hmotností 30 kg nebo vyšší</w:t>
            </w:r>
          </w:p>
        </w:tc>
        <w:tc>
          <w:tcPr>
            <w:tcW w:w="3096" w:type="dxa"/>
            <w:shd w:val="clear" w:color="auto" w:fill="auto"/>
          </w:tcPr>
          <w:p w14:paraId="4994D3DB" w14:textId="77777777" w:rsidR="000B5460" w:rsidRPr="001B4A02" w:rsidRDefault="00000000" w:rsidP="000B5460">
            <w:pPr>
              <w:keepNext/>
              <w:numPr>
                <w:ilvl w:val="12"/>
                <w:numId w:val="0"/>
              </w:numPr>
              <w:ind w:right="-2"/>
            </w:pPr>
            <w:r w:rsidRPr="001B4A02">
              <w:t>40</w:t>
            </w:r>
            <w:r w:rsidR="00874DE1">
              <w:t> mg</w:t>
            </w:r>
            <w:r w:rsidRPr="001B4A02">
              <w:t xml:space="preserve"> jednou za dva týdny</w:t>
            </w:r>
          </w:p>
        </w:tc>
        <w:tc>
          <w:tcPr>
            <w:tcW w:w="3096" w:type="dxa"/>
            <w:shd w:val="clear" w:color="auto" w:fill="auto"/>
          </w:tcPr>
          <w:p w14:paraId="6D9067E6" w14:textId="77777777" w:rsidR="000B5460" w:rsidRPr="001B4A02" w:rsidRDefault="00000000" w:rsidP="000B5460">
            <w:pPr>
              <w:numPr>
                <w:ilvl w:val="12"/>
                <w:numId w:val="0"/>
              </w:numPr>
              <w:ind w:right="-2"/>
            </w:pPr>
            <w:r w:rsidRPr="001B4A02">
              <w:t>Nepoužitelné</w:t>
            </w:r>
          </w:p>
        </w:tc>
      </w:tr>
      <w:tr w:rsidR="00534A2D" w14:paraId="5DC08EC9" w14:textId="77777777" w:rsidTr="00CD775B">
        <w:tc>
          <w:tcPr>
            <w:tcW w:w="3095" w:type="dxa"/>
            <w:shd w:val="clear" w:color="auto" w:fill="auto"/>
          </w:tcPr>
          <w:p w14:paraId="020543A9" w14:textId="77777777" w:rsidR="000B5460" w:rsidRPr="001B4A02" w:rsidRDefault="00000000" w:rsidP="00965320">
            <w:pPr>
              <w:keepNext/>
              <w:numPr>
                <w:ilvl w:val="12"/>
                <w:numId w:val="0"/>
              </w:numPr>
              <w:ind w:right="-2"/>
            </w:pPr>
            <w:r w:rsidRPr="001B4A02">
              <w:t>Děti</w:t>
            </w:r>
            <w:r w:rsidR="002378E0">
              <w:t xml:space="preserve"> a </w:t>
            </w:r>
            <w:r w:rsidRPr="001B4A02">
              <w:t xml:space="preserve">dospívající </w:t>
            </w:r>
            <w:r w:rsidR="00E44302" w:rsidRPr="001B4A02">
              <w:t xml:space="preserve">od 2 let </w:t>
            </w:r>
            <w:r w:rsidRPr="001B4A02">
              <w:t xml:space="preserve">s tělesnou hmotností </w:t>
            </w:r>
            <w:r w:rsidR="002E38E9" w:rsidRPr="001B4A02">
              <w:t>od</w:t>
            </w:r>
            <w:r w:rsidR="00196227">
              <w:t xml:space="preserve"> </w:t>
            </w:r>
            <w:r w:rsidRPr="001B4A02">
              <w:t>10 kg</w:t>
            </w:r>
            <w:r w:rsidR="002E38E9" w:rsidRPr="001B4A02">
              <w:t xml:space="preserve"> do</w:t>
            </w:r>
            <w:r w:rsidR="00965320">
              <w:t> </w:t>
            </w:r>
            <w:r w:rsidRPr="001B4A02">
              <w:t>30 kg</w:t>
            </w:r>
          </w:p>
        </w:tc>
        <w:tc>
          <w:tcPr>
            <w:tcW w:w="3096" w:type="dxa"/>
            <w:shd w:val="clear" w:color="auto" w:fill="auto"/>
          </w:tcPr>
          <w:p w14:paraId="1F0151A9" w14:textId="77777777" w:rsidR="000B5460" w:rsidRPr="001B4A02" w:rsidRDefault="00000000" w:rsidP="000B5460">
            <w:pPr>
              <w:keepNext/>
              <w:numPr>
                <w:ilvl w:val="12"/>
                <w:numId w:val="0"/>
              </w:numPr>
              <w:ind w:right="-2"/>
            </w:pPr>
            <w:r w:rsidRPr="001B4A02">
              <w:t>20</w:t>
            </w:r>
            <w:r w:rsidR="00874DE1">
              <w:t> mg</w:t>
            </w:r>
            <w:r w:rsidRPr="001B4A02">
              <w:t xml:space="preserve"> jednou za dva týdny</w:t>
            </w:r>
          </w:p>
        </w:tc>
        <w:tc>
          <w:tcPr>
            <w:tcW w:w="3096" w:type="dxa"/>
            <w:shd w:val="clear" w:color="auto" w:fill="auto"/>
          </w:tcPr>
          <w:p w14:paraId="10A67AC5" w14:textId="77777777" w:rsidR="000B5460" w:rsidRPr="001B4A02" w:rsidRDefault="00000000" w:rsidP="000B5460">
            <w:pPr>
              <w:numPr>
                <w:ilvl w:val="12"/>
                <w:numId w:val="0"/>
              </w:numPr>
              <w:ind w:right="-2"/>
            </w:pPr>
            <w:r w:rsidRPr="001B4A02">
              <w:t>Nepoužitelné</w:t>
            </w:r>
          </w:p>
        </w:tc>
      </w:tr>
    </w:tbl>
    <w:p w14:paraId="3F32B034" w14:textId="77777777" w:rsidR="00CD775B" w:rsidRPr="001B4A02" w:rsidRDefault="00CD775B" w:rsidP="00CD775B">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11"/>
        <w:gridCol w:w="3026"/>
      </w:tblGrid>
      <w:tr w:rsidR="00534A2D" w14:paraId="5A8934F4" w14:textId="77777777" w:rsidTr="00CD775B">
        <w:tc>
          <w:tcPr>
            <w:tcW w:w="9287" w:type="dxa"/>
            <w:gridSpan w:val="3"/>
            <w:shd w:val="clear" w:color="auto" w:fill="auto"/>
          </w:tcPr>
          <w:p w14:paraId="169E860C" w14:textId="77777777" w:rsidR="00CD775B" w:rsidRPr="001B4A02" w:rsidRDefault="00000000" w:rsidP="00CD775B">
            <w:pPr>
              <w:keepNext/>
              <w:numPr>
                <w:ilvl w:val="12"/>
                <w:numId w:val="0"/>
              </w:numPr>
              <w:ind w:right="-2"/>
              <w:rPr>
                <w:b/>
              </w:rPr>
            </w:pPr>
            <w:r w:rsidRPr="001B4A02">
              <w:rPr>
                <w:b/>
              </w:rPr>
              <w:t>Entezopatická artritida</w:t>
            </w:r>
          </w:p>
        </w:tc>
      </w:tr>
      <w:tr w:rsidR="00534A2D" w14:paraId="6733C089" w14:textId="77777777" w:rsidTr="00CD775B">
        <w:tc>
          <w:tcPr>
            <w:tcW w:w="3095" w:type="dxa"/>
            <w:shd w:val="clear" w:color="auto" w:fill="auto"/>
          </w:tcPr>
          <w:p w14:paraId="5CC15020" w14:textId="77777777" w:rsidR="00CD775B" w:rsidRPr="001B4A02" w:rsidRDefault="00000000" w:rsidP="00CD775B">
            <w:pPr>
              <w:keepNext/>
              <w:numPr>
                <w:ilvl w:val="12"/>
                <w:numId w:val="0"/>
              </w:numPr>
              <w:ind w:right="-2"/>
            </w:pPr>
            <w:r w:rsidRPr="001B4A02">
              <w:rPr>
                <w:b/>
              </w:rPr>
              <w:t>Věk nebo tělesná hmotnost</w:t>
            </w:r>
          </w:p>
        </w:tc>
        <w:tc>
          <w:tcPr>
            <w:tcW w:w="3096" w:type="dxa"/>
            <w:shd w:val="clear" w:color="auto" w:fill="auto"/>
          </w:tcPr>
          <w:p w14:paraId="7F2BD382" w14:textId="77777777" w:rsidR="00CD775B" w:rsidRPr="001B4A02" w:rsidRDefault="00000000" w:rsidP="00CD775B">
            <w:pPr>
              <w:keepNext/>
              <w:numPr>
                <w:ilvl w:val="12"/>
                <w:numId w:val="0"/>
              </w:numPr>
              <w:ind w:right="-2"/>
            </w:pPr>
            <w:r w:rsidRPr="001B4A02">
              <w:rPr>
                <w:b/>
              </w:rPr>
              <w:t>Kolik používat</w:t>
            </w:r>
            <w:r w:rsidR="002378E0">
              <w:rPr>
                <w:b/>
              </w:rPr>
              <w:t xml:space="preserve"> a </w:t>
            </w:r>
            <w:r w:rsidRPr="001B4A02">
              <w:rPr>
                <w:b/>
              </w:rPr>
              <w:t>jak často?</w:t>
            </w:r>
          </w:p>
        </w:tc>
        <w:tc>
          <w:tcPr>
            <w:tcW w:w="3096" w:type="dxa"/>
            <w:shd w:val="clear" w:color="auto" w:fill="auto"/>
          </w:tcPr>
          <w:p w14:paraId="4F5E140B" w14:textId="77777777" w:rsidR="00CD775B" w:rsidRPr="001B4A02" w:rsidRDefault="00000000" w:rsidP="00CD775B">
            <w:pPr>
              <w:keepNext/>
              <w:numPr>
                <w:ilvl w:val="12"/>
                <w:numId w:val="0"/>
              </w:numPr>
              <w:ind w:right="-2"/>
            </w:pPr>
            <w:r w:rsidRPr="001B4A02">
              <w:rPr>
                <w:b/>
              </w:rPr>
              <w:t>Poznámky</w:t>
            </w:r>
          </w:p>
        </w:tc>
      </w:tr>
      <w:tr w:rsidR="00534A2D" w14:paraId="077D462D" w14:textId="77777777" w:rsidTr="00CD775B">
        <w:tc>
          <w:tcPr>
            <w:tcW w:w="3095" w:type="dxa"/>
            <w:shd w:val="clear" w:color="auto" w:fill="auto"/>
          </w:tcPr>
          <w:p w14:paraId="476E401B" w14:textId="77777777" w:rsidR="000B5460" w:rsidRPr="001B4A02" w:rsidRDefault="00000000" w:rsidP="00E44302">
            <w:pPr>
              <w:keepNext/>
              <w:numPr>
                <w:ilvl w:val="12"/>
                <w:numId w:val="0"/>
              </w:numPr>
              <w:ind w:right="-2"/>
            </w:pPr>
            <w:r w:rsidRPr="001B4A02">
              <w:t>Děti, dospívající</w:t>
            </w:r>
            <w:r w:rsidR="002378E0">
              <w:t xml:space="preserve"> a </w:t>
            </w:r>
            <w:r w:rsidRPr="001B4A02">
              <w:t xml:space="preserve">dospělí </w:t>
            </w:r>
            <w:r w:rsidR="00E44302" w:rsidRPr="001B4A02">
              <w:t xml:space="preserve">od 6 let </w:t>
            </w:r>
            <w:r w:rsidRPr="001B4A02">
              <w:t>s tělesnou hmotností 30 kg nebo vyšší</w:t>
            </w:r>
          </w:p>
        </w:tc>
        <w:tc>
          <w:tcPr>
            <w:tcW w:w="3096" w:type="dxa"/>
            <w:shd w:val="clear" w:color="auto" w:fill="auto"/>
          </w:tcPr>
          <w:p w14:paraId="6B9E1AB5" w14:textId="77777777" w:rsidR="000B5460" w:rsidRPr="001B4A02" w:rsidRDefault="00000000" w:rsidP="000B5460">
            <w:pPr>
              <w:keepNext/>
              <w:numPr>
                <w:ilvl w:val="12"/>
                <w:numId w:val="0"/>
              </w:numPr>
              <w:ind w:right="-2"/>
            </w:pPr>
            <w:r w:rsidRPr="001B4A02">
              <w:t>40</w:t>
            </w:r>
            <w:r w:rsidR="00874DE1">
              <w:t> mg</w:t>
            </w:r>
            <w:r w:rsidRPr="001B4A02">
              <w:t xml:space="preserve"> jednou za dva týdny</w:t>
            </w:r>
          </w:p>
        </w:tc>
        <w:tc>
          <w:tcPr>
            <w:tcW w:w="3096" w:type="dxa"/>
            <w:shd w:val="clear" w:color="auto" w:fill="auto"/>
          </w:tcPr>
          <w:p w14:paraId="2B7375DC" w14:textId="77777777" w:rsidR="000B5460" w:rsidRPr="001B4A02" w:rsidRDefault="00000000" w:rsidP="000B5460">
            <w:pPr>
              <w:keepNext/>
              <w:numPr>
                <w:ilvl w:val="12"/>
                <w:numId w:val="0"/>
              </w:numPr>
              <w:ind w:right="-2"/>
            </w:pPr>
            <w:r w:rsidRPr="001B4A02">
              <w:t>Nepoužitelné</w:t>
            </w:r>
          </w:p>
        </w:tc>
      </w:tr>
      <w:tr w:rsidR="00534A2D" w14:paraId="5246DEDA" w14:textId="77777777" w:rsidTr="00CD775B">
        <w:tc>
          <w:tcPr>
            <w:tcW w:w="3095" w:type="dxa"/>
            <w:shd w:val="clear" w:color="auto" w:fill="auto"/>
          </w:tcPr>
          <w:p w14:paraId="6BF9EA3C" w14:textId="77777777" w:rsidR="000B5460" w:rsidRPr="001B4A02" w:rsidRDefault="00000000" w:rsidP="00E44302">
            <w:pPr>
              <w:keepNext/>
              <w:numPr>
                <w:ilvl w:val="12"/>
                <w:numId w:val="0"/>
              </w:numPr>
              <w:ind w:right="-2"/>
            </w:pPr>
            <w:r w:rsidRPr="001B4A02">
              <w:t>Děti</w:t>
            </w:r>
            <w:r w:rsidR="002378E0">
              <w:t xml:space="preserve"> a </w:t>
            </w:r>
            <w:r w:rsidRPr="001B4A02">
              <w:t xml:space="preserve">dospívající </w:t>
            </w:r>
            <w:r w:rsidR="00E44302" w:rsidRPr="001B4A02">
              <w:t xml:space="preserve">od 6 let </w:t>
            </w:r>
            <w:r w:rsidRPr="001B4A02">
              <w:t xml:space="preserve">s tělesnou hmotností </w:t>
            </w:r>
            <w:r w:rsidR="002E38E9" w:rsidRPr="001B4A02">
              <w:t xml:space="preserve">od </w:t>
            </w:r>
            <w:r w:rsidRPr="001B4A02">
              <w:t xml:space="preserve">15 kg </w:t>
            </w:r>
            <w:r w:rsidR="002E38E9" w:rsidRPr="001B4A02">
              <w:t>do</w:t>
            </w:r>
            <w:r w:rsidRPr="001B4A02">
              <w:t xml:space="preserve"> 30 kg</w:t>
            </w:r>
          </w:p>
        </w:tc>
        <w:tc>
          <w:tcPr>
            <w:tcW w:w="3096" w:type="dxa"/>
            <w:shd w:val="clear" w:color="auto" w:fill="auto"/>
          </w:tcPr>
          <w:p w14:paraId="6D9C0158" w14:textId="77777777" w:rsidR="000B5460" w:rsidRPr="001B4A02" w:rsidRDefault="00000000" w:rsidP="000B5460">
            <w:pPr>
              <w:keepNext/>
              <w:numPr>
                <w:ilvl w:val="12"/>
                <w:numId w:val="0"/>
              </w:numPr>
              <w:ind w:right="-2"/>
            </w:pPr>
            <w:r w:rsidRPr="001B4A02">
              <w:t>20</w:t>
            </w:r>
            <w:r w:rsidR="00874DE1">
              <w:t> mg</w:t>
            </w:r>
            <w:r w:rsidRPr="001B4A02">
              <w:t xml:space="preserve"> jednou za dva týdny</w:t>
            </w:r>
          </w:p>
        </w:tc>
        <w:tc>
          <w:tcPr>
            <w:tcW w:w="3096" w:type="dxa"/>
            <w:shd w:val="clear" w:color="auto" w:fill="auto"/>
          </w:tcPr>
          <w:p w14:paraId="14EC8F6C" w14:textId="77777777" w:rsidR="000B5460" w:rsidRPr="001B4A02" w:rsidRDefault="00000000" w:rsidP="000B5460">
            <w:pPr>
              <w:keepNext/>
              <w:numPr>
                <w:ilvl w:val="12"/>
                <w:numId w:val="0"/>
              </w:numPr>
              <w:ind w:right="-2"/>
            </w:pPr>
            <w:r w:rsidRPr="001B4A02">
              <w:t>Nepoužitelné</w:t>
            </w:r>
          </w:p>
        </w:tc>
      </w:tr>
    </w:tbl>
    <w:p w14:paraId="03E02904" w14:textId="77777777" w:rsidR="00CD775B" w:rsidRPr="001B4A02" w:rsidRDefault="00CD775B" w:rsidP="00CD775B">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3"/>
      </w:tblGrid>
      <w:tr w:rsidR="00534A2D" w14:paraId="07E5D0E5" w14:textId="77777777" w:rsidTr="00CD775B">
        <w:tc>
          <w:tcPr>
            <w:tcW w:w="9287" w:type="dxa"/>
            <w:gridSpan w:val="3"/>
            <w:shd w:val="clear" w:color="auto" w:fill="auto"/>
          </w:tcPr>
          <w:p w14:paraId="49922D6F" w14:textId="77777777" w:rsidR="00CD775B" w:rsidRPr="001B4A02" w:rsidRDefault="00000000" w:rsidP="00DD3461">
            <w:pPr>
              <w:keepNext/>
              <w:numPr>
                <w:ilvl w:val="12"/>
                <w:numId w:val="0"/>
              </w:numPr>
              <w:ind w:right="-2"/>
            </w:pPr>
            <w:r w:rsidRPr="001B4A02">
              <w:rPr>
                <w:b/>
              </w:rPr>
              <w:t>Ložisková psoriáza</w:t>
            </w:r>
            <w:r w:rsidR="00776828" w:rsidRPr="001B4A02">
              <w:rPr>
                <w:b/>
              </w:rPr>
              <w:t xml:space="preserve"> u dětí</w:t>
            </w:r>
          </w:p>
        </w:tc>
      </w:tr>
      <w:tr w:rsidR="00534A2D" w14:paraId="3C2B47F4" w14:textId="77777777" w:rsidTr="00CD775B">
        <w:tc>
          <w:tcPr>
            <w:tcW w:w="3095" w:type="dxa"/>
            <w:shd w:val="clear" w:color="auto" w:fill="auto"/>
          </w:tcPr>
          <w:p w14:paraId="168BA54E" w14:textId="77777777" w:rsidR="00CD775B" w:rsidRPr="001B4A02" w:rsidRDefault="00000000" w:rsidP="00DD3461">
            <w:pPr>
              <w:keepNext/>
              <w:numPr>
                <w:ilvl w:val="12"/>
                <w:numId w:val="0"/>
              </w:numPr>
              <w:ind w:right="-2"/>
            </w:pPr>
            <w:r w:rsidRPr="001B4A02">
              <w:rPr>
                <w:b/>
              </w:rPr>
              <w:t>Věk nebo tělesná hmotnost</w:t>
            </w:r>
          </w:p>
        </w:tc>
        <w:tc>
          <w:tcPr>
            <w:tcW w:w="3096" w:type="dxa"/>
            <w:shd w:val="clear" w:color="auto" w:fill="auto"/>
          </w:tcPr>
          <w:p w14:paraId="06515916" w14:textId="77777777" w:rsidR="00CD775B" w:rsidRPr="001B4A02" w:rsidRDefault="00000000" w:rsidP="00DD3461">
            <w:pPr>
              <w:keepNext/>
              <w:numPr>
                <w:ilvl w:val="12"/>
                <w:numId w:val="0"/>
              </w:numPr>
              <w:ind w:right="-2"/>
            </w:pPr>
            <w:r w:rsidRPr="001B4A02">
              <w:rPr>
                <w:b/>
              </w:rPr>
              <w:t>Kolik používat</w:t>
            </w:r>
            <w:r w:rsidR="002378E0">
              <w:rPr>
                <w:b/>
              </w:rPr>
              <w:t xml:space="preserve"> a </w:t>
            </w:r>
            <w:r w:rsidRPr="001B4A02">
              <w:rPr>
                <w:b/>
              </w:rPr>
              <w:t>jak často?</w:t>
            </w:r>
          </w:p>
        </w:tc>
        <w:tc>
          <w:tcPr>
            <w:tcW w:w="3096" w:type="dxa"/>
            <w:shd w:val="clear" w:color="auto" w:fill="auto"/>
          </w:tcPr>
          <w:p w14:paraId="79D359DC" w14:textId="77777777" w:rsidR="00CD775B" w:rsidRPr="001B4A02" w:rsidRDefault="00000000" w:rsidP="00CD775B">
            <w:pPr>
              <w:numPr>
                <w:ilvl w:val="12"/>
                <w:numId w:val="0"/>
              </w:numPr>
              <w:ind w:right="-2"/>
            </w:pPr>
            <w:r w:rsidRPr="001B4A02">
              <w:rPr>
                <w:b/>
              </w:rPr>
              <w:t>Poznámky</w:t>
            </w:r>
          </w:p>
        </w:tc>
      </w:tr>
      <w:tr w:rsidR="00534A2D" w14:paraId="1ED2B56B" w14:textId="77777777" w:rsidTr="00CD775B">
        <w:tc>
          <w:tcPr>
            <w:tcW w:w="3095" w:type="dxa"/>
            <w:shd w:val="clear" w:color="auto" w:fill="auto"/>
          </w:tcPr>
          <w:p w14:paraId="63743F5E" w14:textId="77777777" w:rsidR="000B5460" w:rsidRPr="001B4A02" w:rsidRDefault="00000000" w:rsidP="00DD3461">
            <w:pPr>
              <w:keepNext/>
              <w:numPr>
                <w:ilvl w:val="12"/>
                <w:numId w:val="0"/>
              </w:numPr>
              <w:ind w:right="-2"/>
            </w:pPr>
            <w:r w:rsidRPr="001B4A02">
              <w:t>Děti</w:t>
            </w:r>
            <w:r w:rsidR="002378E0">
              <w:t xml:space="preserve"> a </w:t>
            </w:r>
            <w:r w:rsidRPr="001B4A02">
              <w:t>dospívající od 4 do 17 let s tělesnou hmotností 30 kg nebo vyšší</w:t>
            </w:r>
          </w:p>
        </w:tc>
        <w:tc>
          <w:tcPr>
            <w:tcW w:w="3096" w:type="dxa"/>
            <w:shd w:val="clear" w:color="auto" w:fill="auto"/>
          </w:tcPr>
          <w:p w14:paraId="7DAFF048" w14:textId="77777777" w:rsidR="00D97F68" w:rsidRPr="001B4A02" w:rsidRDefault="00000000" w:rsidP="00D97F68">
            <w:pPr>
              <w:keepNext/>
              <w:numPr>
                <w:ilvl w:val="12"/>
                <w:numId w:val="0"/>
              </w:numPr>
              <w:ind w:right="-2"/>
            </w:pPr>
            <w:r w:rsidRPr="001B4A02">
              <w:t>První dávka 40 mg následovaná o</w:t>
            </w:r>
            <w:r w:rsidR="00923691" w:rsidRPr="001B4A02">
              <w:t> </w:t>
            </w:r>
            <w:r w:rsidRPr="001B4A02">
              <w:t>týden později dávkou 40 mg.</w:t>
            </w:r>
          </w:p>
          <w:p w14:paraId="61A1F304" w14:textId="77777777" w:rsidR="00D97F68" w:rsidRPr="001B4A02" w:rsidRDefault="00D97F68" w:rsidP="00D97F68">
            <w:pPr>
              <w:keepNext/>
              <w:numPr>
                <w:ilvl w:val="12"/>
                <w:numId w:val="0"/>
              </w:numPr>
              <w:ind w:right="-2"/>
            </w:pPr>
          </w:p>
          <w:p w14:paraId="1CF4B9D8" w14:textId="77777777" w:rsidR="000B5460" w:rsidRPr="001B4A02" w:rsidRDefault="00000000" w:rsidP="00D97F68">
            <w:pPr>
              <w:keepNext/>
              <w:numPr>
                <w:ilvl w:val="12"/>
                <w:numId w:val="0"/>
              </w:numPr>
              <w:ind w:right="-2"/>
            </w:pPr>
            <w:r w:rsidRPr="001B4A02">
              <w:t>Poté se podává obvyklá dávka 4</w:t>
            </w:r>
            <w:r w:rsidR="00D97F68" w:rsidRPr="001B4A02">
              <w:t>0</w:t>
            </w:r>
            <w:r w:rsidR="00874DE1">
              <w:t> mg</w:t>
            </w:r>
            <w:r w:rsidR="00D97F68" w:rsidRPr="001B4A02">
              <w:t xml:space="preserve"> jednou za dva týdny.</w:t>
            </w:r>
          </w:p>
        </w:tc>
        <w:tc>
          <w:tcPr>
            <w:tcW w:w="3096" w:type="dxa"/>
            <w:shd w:val="clear" w:color="auto" w:fill="auto"/>
          </w:tcPr>
          <w:p w14:paraId="738A61B1" w14:textId="77777777" w:rsidR="000B5460" w:rsidRPr="001B4A02" w:rsidRDefault="00000000" w:rsidP="000B5460">
            <w:pPr>
              <w:ind w:left="0" w:firstLine="0"/>
            </w:pPr>
            <w:r w:rsidRPr="001B4A02">
              <w:t>Nepoužitelné</w:t>
            </w:r>
          </w:p>
        </w:tc>
      </w:tr>
      <w:tr w:rsidR="00534A2D" w14:paraId="306F15B7" w14:textId="77777777" w:rsidTr="00CD775B">
        <w:tc>
          <w:tcPr>
            <w:tcW w:w="3095" w:type="dxa"/>
            <w:shd w:val="clear" w:color="auto" w:fill="auto"/>
          </w:tcPr>
          <w:p w14:paraId="148695ED" w14:textId="77777777" w:rsidR="000B5460" w:rsidRPr="001B4A02" w:rsidRDefault="00000000" w:rsidP="00DD3461">
            <w:pPr>
              <w:keepNext/>
              <w:numPr>
                <w:ilvl w:val="12"/>
                <w:numId w:val="0"/>
              </w:numPr>
              <w:ind w:right="-2"/>
            </w:pPr>
            <w:r w:rsidRPr="001B4A02">
              <w:t>Děti</w:t>
            </w:r>
            <w:r w:rsidR="002378E0">
              <w:t xml:space="preserve"> a </w:t>
            </w:r>
            <w:r w:rsidRPr="001B4A02">
              <w:t xml:space="preserve">dospívající od 4 do 17 let s tělesnou hmotností </w:t>
            </w:r>
            <w:r w:rsidR="002E38E9" w:rsidRPr="001B4A02">
              <w:t xml:space="preserve">od </w:t>
            </w:r>
            <w:r w:rsidRPr="001B4A02">
              <w:t xml:space="preserve">15 kg </w:t>
            </w:r>
            <w:r w:rsidR="002E38E9" w:rsidRPr="001B4A02">
              <w:t>do</w:t>
            </w:r>
            <w:r w:rsidRPr="001B4A02">
              <w:t xml:space="preserve"> 30 kg</w:t>
            </w:r>
          </w:p>
        </w:tc>
        <w:tc>
          <w:tcPr>
            <w:tcW w:w="3096" w:type="dxa"/>
            <w:shd w:val="clear" w:color="auto" w:fill="auto"/>
          </w:tcPr>
          <w:p w14:paraId="0A326697" w14:textId="77777777" w:rsidR="000B5460" w:rsidRPr="001B4A02" w:rsidRDefault="00000000" w:rsidP="00DD3461">
            <w:pPr>
              <w:keepNext/>
              <w:numPr>
                <w:ilvl w:val="12"/>
                <w:numId w:val="0"/>
              </w:numPr>
              <w:ind w:right="-2"/>
            </w:pPr>
            <w:r w:rsidRPr="001B4A02">
              <w:t>První dávka 20 mg následovaná o</w:t>
            </w:r>
            <w:r w:rsidR="00923691" w:rsidRPr="001B4A02">
              <w:t> </w:t>
            </w:r>
            <w:r w:rsidRPr="001B4A02">
              <w:t>týden později dávkou 20 mg</w:t>
            </w:r>
            <w:r w:rsidR="00D97F68" w:rsidRPr="001B4A02">
              <w:t>.</w:t>
            </w:r>
          </w:p>
          <w:p w14:paraId="4A9658E4" w14:textId="77777777" w:rsidR="000B5460" w:rsidRPr="001B4A02" w:rsidRDefault="000B5460" w:rsidP="00DD3461">
            <w:pPr>
              <w:keepNext/>
              <w:numPr>
                <w:ilvl w:val="12"/>
                <w:numId w:val="0"/>
              </w:numPr>
              <w:ind w:right="-2"/>
            </w:pPr>
          </w:p>
          <w:p w14:paraId="04DCF8DA" w14:textId="77777777" w:rsidR="000B5460" w:rsidRPr="001B4A02" w:rsidRDefault="00000000" w:rsidP="00DD3461">
            <w:pPr>
              <w:keepNext/>
              <w:numPr>
                <w:ilvl w:val="12"/>
                <w:numId w:val="0"/>
              </w:numPr>
              <w:ind w:right="-2"/>
              <w:rPr>
                <w:highlight w:val="yellow"/>
              </w:rPr>
            </w:pPr>
            <w:r w:rsidRPr="001B4A02">
              <w:t>Poté se podává obvyklá dávka 20</w:t>
            </w:r>
            <w:r w:rsidR="00874DE1">
              <w:t> mg</w:t>
            </w:r>
            <w:r w:rsidRPr="001B4A02">
              <w:t xml:space="preserve"> jednou za dva týdny.</w:t>
            </w:r>
          </w:p>
        </w:tc>
        <w:tc>
          <w:tcPr>
            <w:tcW w:w="3096" w:type="dxa"/>
            <w:shd w:val="clear" w:color="auto" w:fill="auto"/>
          </w:tcPr>
          <w:p w14:paraId="2C436464" w14:textId="77777777" w:rsidR="000B5460" w:rsidRPr="001B4A02" w:rsidRDefault="00000000" w:rsidP="000B5460">
            <w:pPr>
              <w:numPr>
                <w:ilvl w:val="12"/>
                <w:numId w:val="0"/>
              </w:numPr>
              <w:ind w:right="-2"/>
            </w:pPr>
            <w:r w:rsidRPr="001B4A02">
              <w:t>Nepoužitelné</w:t>
            </w:r>
          </w:p>
        </w:tc>
      </w:tr>
    </w:tbl>
    <w:p w14:paraId="30A0C89A" w14:textId="77777777" w:rsidR="00CD775B" w:rsidRPr="001B4A02" w:rsidRDefault="00CD775B" w:rsidP="00CD775B">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5"/>
        <w:gridCol w:w="3016"/>
      </w:tblGrid>
      <w:tr w:rsidR="00534A2D" w14:paraId="625A1F15" w14:textId="77777777" w:rsidTr="00CD775B">
        <w:tc>
          <w:tcPr>
            <w:tcW w:w="9287" w:type="dxa"/>
            <w:gridSpan w:val="3"/>
            <w:shd w:val="clear" w:color="auto" w:fill="auto"/>
          </w:tcPr>
          <w:p w14:paraId="233C7B7D" w14:textId="77777777" w:rsidR="00CD775B" w:rsidRPr="001B4A02" w:rsidRDefault="00000000" w:rsidP="00CD775B">
            <w:pPr>
              <w:keepNext/>
              <w:numPr>
                <w:ilvl w:val="12"/>
                <w:numId w:val="0"/>
              </w:numPr>
              <w:ind w:right="-2"/>
            </w:pPr>
            <w:r w:rsidRPr="001B4A02">
              <w:rPr>
                <w:b/>
              </w:rPr>
              <w:t>Crohnova choroba</w:t>
            </w:r>
            <w:r w:rsidR="00776828" w:rsidRPr="001B4A02">
              <w:rPr>
                <w:b/>
              </w:rPr>
              <w:t xml:space="preserve"> u dětí</w:t>
            </w:r>
          </w:p>
        </w:tc>
      </w:tr>
      <w:tr w:rsidR="00534A2D" w14:paraId="0DDA7FEE" w14:textId="77777777" w:rsidTr="00CD775B">
        <w:tc>
          <w:tcPr>
            <w:tcW w:w="3095" w:type="dxa"/>
            <w:shd w:val="clear" w:color="auto" w:fill="auto"/>
          </w:tcPr>
          <w:p w14:paraId="36675D12" w14:textId="77777777" w:rsidR="00CD775B" w:rsidRPr="001B4A02" w:rsidRDefault="00000000" w:rsidP="00CD775B">
            <w:pPr>
              <w:keepNext/>
              <w:numPr>
                <w:ilvl w:val="12"/>
                <w:numId w:val="0"/>
              </w:numPr>
              <w:ind w:right="-2"/>
            </w:pPr>
            <w:r w:rsidRPr="001B4A02">
              <w:rPr>
                <w:b/>
              </w:rPr>
              <w:t>Věk nebo tělesná hmotnost</w:t>
            </w:r>
          </w:p>
        </w:tc>
        <w:tc>
          <w:tcPr>
            <w:tcW w:w="3096" w:type="dxa"/>
            <w:shd w:val="clear" w:color="auto" w:fill="auto"/>
          </w:tcPr>
          <w:p w14:paraId="366A395B" w14:textId="77777777" w:rsidR="00CD775B" w:rsidRPr="001B4A02" w:rsidRDefault="00000000" w:rsidP="00CD775B">
            <w:pPr>
              <w:keepNext/>
              <w:numPr>
                <w:ilvl w:val="12"/>
                <w:numId w:val="0"/>
              </w:numPr>
              <w:ind w:right="-2"/>
            </w:pPr>
            <w:r w:rsidRPr="001B4A02">
              <w:rPr>
                <w:b/>
              </w:rPr>
              <w:t>Kolik používat</w:t>
            </w:r>
            <w:r w:rsidR="002378E0">
              <w:rPr>
                <w:b/>
              </w:rPr>
              <w:t xml:space="preserve"> a </w:t>
            </w:r>
            <w:r w:rsidRPr="001B4A02">
              <w:rPr>
                <w:b/>
              </w:rPr>
              <w:t>jak často?</w:t>
            </w:r>
          </w:p>
        </w:tc>
        <w:tc>
          <w:tcPr>
            <w:tcW w:w="3096" w:type="dxa"/>
            <w:shd w:val="clear" w:color="auto" w:fill="auto"/>
          </w:tcPr>
          <w:p w14:paraId="24272C48" w14:textId="77777777" w:rsidR="00CD775B" w:rsidRPr="001B4A02" w:rsidRDefault="00000000" w:rsidP="00CD775B">
            <w:pPr>
              <w:numPr>
                <w:ilvl w:val="12"/>
                <w:numId w:val="0"/>
              </w:numPr>
              <w:ind w:right="-2"/>
            </w:pPr>
            <w:r w:rsidRPr="001B4A02">
              <w:rPr>
                <w:b/>
              </w:rPr>
              <w:t>Poznámky</w:t>
            </w:r>
          </w:p>
        </w:tc>
      </w:tr>
      <w:tr w:rsidR="00534A2D" w14:paraId="739900B6" w14:textId="77777777" w:rsidTr="00CD775B">
        <w:tc>
          <w:tcPr>
            <w:tcW w:w="3095" w:type="dxa"/>
            <w:shd w:val="clear" w:color="auto" w:fill="auto"/>
          </w:tcPr>
          <w:p w14:paraId="126A82AA" w14:textId="77777777" w:rsidR="00020984" w:rsidRPr="001B4A02" w:rsidRDefault="00000000" w:rsidP="00020984">
            <w:pPr>
              <w:keepNext/>
              <w:numPr>
                <w:ilvl w:val="12"/>
                <w:numId w:val="0"/>
              </w:numPr>
              <w:ind w:right="-2"/>
            </w:pPr>
            <w:r w:rsidRPr="001B4A02">
              <w:t>Děti</w:t>
            </w:r>
            <w:r w:rsidR="002378E0">
              <w:t xml:space="preserve"> a </w:t>
            </w:r>
            <w:r w:rsidRPr="001B4A02">
              <w:t>dospívající od 6 do 17 let s tělesnou hmotností 40 kg nebo vyšší</w:t>
            </w:r>
          </w:p>
        </w:tc>
        <w:tc>
          <w:tcPr>
            <w:tcW w:w="3096" w:type="dxa"/>
            <w:shd w:val="clear" w:color="auto" w:fill="auto"/>
          </w:tcPr>
          <w:p w14:paraId="1B2365E3" w14:textId="77777777" w:rsidR="00020984" w:rsidRPr="001B4A02" w:rsidRDefault="00000000" w:rsidP="00020984">
            <w:pPr>
              <w:keepNext/>
              <w:ind w:left="0" w:firstLine="0"/>
            </w:pPr>
            <w:r w:rsidRPr="001B4A02">
              <w:t>První dávka 80</w:t>
            </w:r>
            <w:r w:rsidR="00874DE1">
              <w:t> mg</w:t>
            </w:r>
            <w:r w:rsidRPr="001B4A02">
              <w:t xml:space="preserve"> následovaná o dva týdny později dávkou 40</w:t>
            </w:r>
            <w:r w:rsidR="00874DE1">
              <w:t> mg</w:t>
            </w:r>
            <w:r w:rsidRPr="001B4A02">
              <w:t>.</w:t>
            </w:r>
          </w:p>
          <w:p w14:paraId="38087CCC" w14:textId="77777777" w:rsidR="00020984" w:rsidRPr="001B4A02" w:rsidRDefault="00020984" w:rsidP="00020984">
            <w:pPr>
              <w:keepNext/>
              <w:ind w:left="0" w:firstLine="0"/>
            </w:pPr>
          </w:p>
          <w:p w14:paraId="38A874F4" w14:textId="77777777" w:rsidR="00020984" w:rsidRPr="001B4A02" w:rsidRDefault="00000000" w:rsidP="00020984">
            <w:pPr>
              <w:keepNext/>
              <w:numPr>
                <w:ilvl w:val="12"/>
                <w:numId w:val="0"/>
              </w:numPr>
            </w:pPr>
            <w:r w:rsidRPr="001B4A02">
              <w:t xml:space="preserve">Jestliže se vyžaduje rychlejší </w:t>
            </w:r>
            <w:r w:rsidR="002E38E9" w:rsidRPr="001B4A02">
              <w:t>reakce na léčbu</w:t>
            </w:r>
            <w:r w:rsidRPr="001B4A02">
              <w:t>, lékař Vašeho dítěte může předepsat první dávku 160 mg následovanou 80</w:t>
            </w:r>
            <w:r w:rsidR="00691DB0">
              <w:t> </w:t>
            </w:r>
            <w:r w:rsidRPr="001B4A02">
              <w:t>mg o dva týdny později.</w:t>
            </w:r>
          </w:p>
          <w:p w14:paraId="319B7C20" w14:textId="77777777" w:rsidR="00020984" w:rsidRPr="001B4A02" w:rsidRDefault="00020984" w:rsidP="00020984">
            <w:pPr>
              <w:keepNext/>
              <w:numPr>
                <w:ilvl w:val="12"/>
                <w:numId w:val="0"/>
              </w:numPr>
            </w:pPr>
          </w:p>
          <w:p w14:paraId="34F5960B" w14:textId="77777777" w:rsidR="00020984" w:rsidRPr="001B4A02" w:rsidRDefault="00000000" w:rsidP="00020984">
            <w:pPr>
              <w:keepNext/>
              <w:numPr>
                <w:ilvl w:val="12"/>
                <w:numId w:val="0"/>
              </w:numPr>
            </w:pPr>
            <w:r w:rsidRPr="001B4A02">
              <w:t>Poté se podává obvyklá dávka 40</w:t>
            </w:r>
            <w:r w:rsidR="00874DE1">
              <w:t> mg</w:t>
            </w:r>
            <w:r w:rsidRPr="001B4A02">
              <w:t xml:space="preserve"> jednou za dva týdny.</w:t>
            </w:r>
          </w:p>
        </w:tc>
        <w:tc>
          <w:tcPr>
            <w:tcW w:w="3096" w:type="dxa"/>
            <w:shd w:val="clear" w:color="auto" w:fill="auto"/>
          </w:tcPr>
          <w:p w14:paraId="4C89E33C" w14:textId="77777777" w:rsidR="00020984" w:rsidRPr="001B4A02" w:rsidRDefault="00000000" w:rsidP="00020984">
            <w:pPr>
              <w:ind w:left="0" w:firstLine="0"/>
            </w:pPr>
            <w:r w:rsidRPr="001B4A02">
              <w:t xml:space="preserve">Váš dětský lékař může </w:t>
            </w:r>
            <w:r w:rsidR="002E38E9" w:rsidRPr="001B4A02">
              <w:t>dávkování</w:t>
            </w:r>
            <w:r w:rsidRPr="001B4A02">
              <w:t xml:space="preserve"> zvýšit na 40</w:t>
            </w:r>
            <w:r w:rsidR="00874DE1">
              <w:t> mg</w:t>
            </w:r>
            <w:r w:rsidRPr="001B4A02">
              <w:t xml:space="preserve"> </w:t>
            </w:r>
            <w:r w:rsidR="00715A34" w:rsidRPr="00783FD1">
              <w:rPr>
                <w:szCs w:val="22"/>
              </w:rPr>
              <w:t>jednou týdně</w:t>
            </w:r>
            <w:r w:rsidR="00715A34" w:rsidRPr="001B4A02">
              <w:t xml:space="preserve"> </w:t>
            </w:r>
            <w:r w:rsidR="005C74D0" w:rsidRPr="001B4A02">
              <w:t>nebo 80</w:t>
            </w:r>
            <w:r w:rsidR="00874DE1">
              <w:t> mg</w:t>
            </w:r>
            <w:r w:rsidR="005C74D0" w:rsidRPr="001B4A02">
              <w:t xml:space="preserve"> jednou za dva týdny</w:t>
            </w:r>
            <w:r w:rsidRPr="001B4A02">
              <w:t>.</w:t>
            </w:r>
          </w:p>
          <w:p w14:paraId="60DF5A53" w14:textId="77777777" w:rsidR="00020984" w:rsidRPr="001B4A02" w:rsidRDefault="00020984" w:rsidP="00020984">
            <w:pPr>
              <w:numPr>
                <w:ilvl w:val="12"/>
                <w:numId w:val="0"/>
              </w:numPr>
              <w:ind w:right="-2"/>
            </w:pPr>
          </w:p>
        </w:tc>
      </w:tr>
      <w:tr w:rsidR="00534A2D" w14:paraId="69ABB05D" w14:textId="77777777" w:rsidTr="00CD775B">
        <w:tc>
          <w:tcPr>
            <w:tcW w:w="3095" w:type="dxa"/>
            <w:shd w:val="clear" w:color="auto" w:fill="auto"/>
          </w:tcPr>
          <w:p w14:paraId="4FBD28CC" w14:textId="77777777" w:rsidR="009A0D54" w:rsidRPr="001B4A02" w:rsidRDefault="00000000" w:rsidP="00783FD1">
            <w:pPr>
              <w:keepNext/>
              <w:numPr>
                <w:ilvl w:val="12"/>
                <w:numId w:val="0"/>
              </w:numPr>
              <w:ind w:right="-2"/>
            </w:pPr>
            <w:r w:rsidRPr="001B4A02">
              <w:t>Děti</w:t>
            </w:r>
            <w:r w:rsidR="002378E0">
              <w:t xml:space="preserve"> a </w:t>
            </w:r>
            <w:r w:rsidRPr="001B4A02">
              <w:t xml:space="preserve">dospívající od 6 do 17 let s tělesnou hmotností </w:t>
            </w:r>
            <w:r w:rsidR="00783FD1" w:rsidRPr="001B4A02">
              <w:t>do</w:t>
            </w:r>
            <w:r w:rsidRPr="001B4A02">
              <w:t xml:space="preserve"> 40 kg</w:t>
            </w:r>
          </w:p>
        </w:tc>
        <w:tc>
          <w:tcPr>
            <w:tcW w:w="3096" w:type="dxa"/>
            <w:shd w:val="clear" w:color="auto" w:fill="auto"/>
          </w:tcPr>
          <w:p w14:paraId="26D2FC7E" w14:textId="77777777" w:rsidR="009A0D54" w:rsidRPr="001B4A02" w:rsidRDefault="00000000" w:rsidP="009A0D54">
            <w:pPr>
              <w:keepNext/>
              <w:ind w:left="0" w:firstLine="0"/>
            </w:pPr>
            <w:r w:rsidRPr="001B4A02">
              <w:t>První dávka 40</w:t>
            </w:r>
            <w:r w:rsidR="00874DE1">
              <w:t> mg</w:t>
            </w:r>
            <w:r w:rsidRPr="001B4A02">
              <w:t xml:space="preserve"> následovaná o dva týdny později dávkou 20</w:t>
            </w:r>
            <w:r w:rsidR="00874DE1">
              <w:t> mg</w:t>
            </w:r>
            <w:r w:rsidRPr="001B4A02">
              <w:t>.</w:t>
            </w:r>
          </w:p>
          <w:p w14:paraId="072D3436" w14:textId="77777777" w:rsidR="009A0D54" w:rsidRPr="001B4A02" w:rsidRDefault="009A0D54" w:rsidP="009A0D54">
            <w:pPr>
              <w:keepNext/>
              <w:ind w:left="0" w:firstLine="0"/>
            </w:pPr>
          </w:p>
          <w:p w14:paraId="6C38A533" w14:textId="77777777" w:rsidR="009A0D54" w:rsidRPr="001B4A02" w:rsidRDefault="00000000" w:rsidP="009A0D54">
            <w:pPr>
              <w:keepNext/>
              <w:numPr>
                <w:ilvl w:val="12"/>
                <w:numId w:val="0"/>
              </w:numPr>
            </w:pPr>
            <w:r w:rsidRPr="001B4A02">
              <w:t xml:space="preserve">Jestliže se vyžaduje rychlejší </w:t>
            </w:r>
            <w:r w:rsidR="002E38E9" w:rsidRPr="001B4A02">
              <w:t>reakce na léčbu</w:t>
            </w:r>
            <w:r w:rsidRPr="001B4A02">
              <w:t xml:space="preserve">, lékař Vašeho dítěte může předepsat první dávku 80 mg následovanou </w:t>
            </w:r>
            <w:r w:rsidR="00FA356C" w:rsidRPr="001B4A02">
              <w:t>4</w:t>
            </w:r>
            <w:r w:rsidRPr="001B4A02">
              <w:t>0</w:t>
            </w:r>
            <w:r w:rsidR="00691DB0">
              <w:t> </w:t>
            </w:r>
            <w:r w:rsidRPr="001B4A02">
              <w:t>mg o dva týdny později.</w:t>
            </w:r>
          </w:p>
          <w:p w14:paraId="54268E76" w14:textId="77777777" w:rsidR="009A0D54" w:rsidRPr="001B4A02" w:rsidRDefault="009A0D54" w:rsidP="009A0D54">
            <w:pPr>
              <w:keepNext/>
              <w:numPr>
                <w:ilvl w:val="12"/>
                <w:numId w:val="0"/>
              </w:numPr>
            </w:pPr>
          </w:p>
          <w:p w14:paraId="6634254C" w14:textId="77777777" w:rsidR="009A0D54" w:rsidRPr="001B4A02" w:rsidRDefault="00000000" w:rsidP="009A0D54">
            <w:pPr>
              <w:keepNext/>
              <w:numPr>
                <w:ilvl w:val="12"/>
                <w:numId w:val="0"/>
              </w:numPr>
              <w:ind w:right="-2"/>
            </w:pPr>
            <w:r w:rsidRPr="001B4A02">
              <w:t>Poté se podává obvyklá dávka 20</w:t>
            </w:r>
            <w:r w:rsidR="00874DE1">
              <w:t> mg</w:t>
            </w:r>
            <w:r w:rsidRPr="001B4A02">
              <w:t xml:space="preserve"> jednou za dva týdny.</w:t>
            </w:r>
          </w:p>
        </w:tc>
        <w:tc>
          <w:tcPr>
            <w:tcW w:w="3096" w:type="dxa"/>
            <w:shd w:val="clear" w:color="auto" w:fill="auto"/>
          </w:tcPr>
          <w:p w14:paraId="7987CC0B" w14:textId="77777777" w:rsidR="009A0D54" w:rsidRPr="001B4A02" w:rsidRDefault="00000000" w:rsidP="009A0D54">
            <w:pPr>
              <w:keepNext/>
              <w:ind w:left="0" w:firstLine="0"/>
            </w:pPr>
            <w:r w:rsidRPr="001B4A02">
              <w:t xml:space="preserve">Váš dětský lékař může </w:t>
            </w:r>
            <w:r w:rsidR="002E38E9" w:rsidRPr="001B4A02">
              <w:t xml:space="preserve">četnost dávkování </w:t>
            </w:r>
            <w:r w:rsidRPr="001B4A02">
              <w:t>zvýšit na 20</w:t>
            </w:r>
            <w:r w:rsidR="00874DE1">
              <w:t> mg</w:t>
            </w:r>
            <w:r w:rsidRPr="001B4A02">
              <w:t xml:space="preserve"> </w:t>
            </w:r>
            <w:r w:rsidR="00715A34" w:rsidRPr="00783FD1">
              <w:rPr>
                <w:szCs w:val="22"/>
              </w:rPr>
              <w:t>jednou týdně</w:t>
            </w:r>
            <w:r w:rsidRPr="001B4A02">
              <w:t>.</w:t>
            </w:r>
          </w:p>
        </w:tc>
      </w:tr>
    </w:tbl>
    <w:p w14:paraId="7A99CF0D" w14:textId="77777777" w:rsidR="00CD775B" w:rsidRPr="001B4A02" w:rsidRDefault="00CD775B" w:rsidP="00CD775B">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3022"/>
        <w:gridCol w:w="3029"/>
      </w:tblGrid>
      <w:tr w:rsidR="00534A2D" w14:paraId="679CB83A" w14:textId="77777777" w:rsidTr="00CD775B">
        <w:tc>
          <w:tcPr>
            <w:tcW w:w="9287" w:type="dxa"/>
            <w:gridSpan w:val="3"/>
            <w:shd w:val="clear" w:color="auto" w:fill="auto"/>
          </w:tcPr>
          <w:p w14:paraId="79A91BCE" w14:textId="77777777" w:rsidR="00CD775B" w:rsidRPr="001B4A02" w:rsidRDefault="00000000" w:rsidP="00CD775B">
            <w:pPr>
              <w:numPr>
                <w:ilvl w:val="12"/>
                <w:numId w:val="0"/>
              </w:numPr>
              <w:ind w:right="-2"/>
              <w:rPr>
                <w:b/>
              </w:rPr>
            </w:pPr>
            <w:r w:rsidRPr="001B4A02">
              <w:rPr>
                <w:b/>
                <w:szCs w:val="22"/>
              </w:rPr>
              <w:t>Uveitida u dětí</w:t>
            </w:r>
          </w:p>
        </w:tc>
      </w:tr>
      <w:tr w:rsidR="00534A2D" w14:paraId="00433C41" w14:textId="77777777" w:rsidTr="00CD775B">
        <w:tc>
          <w:tcPr>
            <w:tcW w:w="3095" w:type="dxa"/>
            <w:shd w:val="clear" w:color="auto" w:fill="auto"/>
          </w:tcPr>
          <w:p w14:paraId="025475CC" w14:textId="77777777" w:rsidR="00CD775B" w:rsidRPr="001B4A02" w:rsidRDefault="00000000" w:rsidP="00CD775B">
            <w:pPr>
              <w:numPr>
                <w:ilvl w:val="12"/>
                <w:numId w:val="0"/>
              </w:numPr>
              <w:ind w:right="-2"/>
            </w:pPr>
            <w:r w:rsidRPr="001B4A02">
              <w:rPr>
                <w:b/>
              </w:rPr>
              <w:t>Věk nebo tělesná hmotnost</w:t>
            </w:r>
          </w:p>
        </w:tc>
        <w:tc>
          <w:tcPr>
            <w:tcW w:w="3096" w:type="dxa"/>
            <w:shd w:val="clear" w:color="auto" w:fill="auto"/>
          </w:tcPr>
          <w:p w14:paraId="7D37B5B9" w14:textId="77777777" w:rsidR="00CD775B" w:rsidRPr="001B4A02" w:rsidRDefault="00000000" w:rsidP="00CD775B">
            <w:pPr>
              <w:tabs>
                <w:tab w:val="left" w:pos="0"/>
              </w:tabs>
            </w:pPr>
            <w:r w:rsidRPr="001B4A02">
              <w:rPr>
                <w:b/>
              </w:rPr>
              <w:t>Kolik používat</w:t>
            </w:r>
            <w:r w:rsidR="002378E0">
              <w:rPr>
                <w:b/>
              </w:rPr>
              <w:t xml:space="preserve"> a </w:t>
            </w:r>
            <w:r w:rsidRPr="001B4A02">
              <w:rPr>
                <w:b/>
              </w:rPr>
              <w:t>jak často?</w:t>
            </w:r>
          </w:p>
        </w:tc>
        <w:tc>
          <w:tcPr>
            <w:tcW w:w="3096" w:type="dxa"/>
            <w:shd w:val="clear" w:color="auto" w:fill="auto"/>
          </w:tcPr>
          <w:p w14:paraId="5D437743" w14:textId="77777777" w:rsidR="00CD775B" w:rsidRPr="001B4A02" w:rsidRDefault="00000000" w:rsidP="00CD775B">
            <w:pPr>
              <w:numPr>
                <w:ilvl w:val="12"/>
                <w:numId w:val="0"/>
              </w:numPr>
            </w:pPr>
            <w:r w:rsidRPr="001B4A02">
              <w:rPr>
                <w:b/>
              </w:rPr>
              <w:t>Poznámky</w:t>
            </w:r>
          </w:p>
        </w:tc>
      </w:tr>
      <w:tr w:rsidR="00534A2D" w14:paraId="335A9798" w14:textId="77777777" w:rsidTr="00CD775B">
        <w:tc>
          <w:tcPr>
            <w:tcW w:w="3095" w:type="dxa"/>
            <w:shd w:val="clear" w:color="auto" w:fill="auto"/>
          </w:tcPr>
          <w:p w14:paraId="2E6B4735" w14:textId="77777777" w:rsidR="00CD775B" w:rsidRPr="001B4A02" w:rsidRDefault="00000000" w:rsidP="00E44302">
            <w:pPr>
              <w:numPr>
                <w:ilvl w:val="12"/>
                <w:numId w:val="0"/>
              </w:numPr>
              <w:ind w:right="-2"/>
            </w:pPr>
            <w:r w:rsidRPr="001B4A02">
              <w:t>Děti</w:t>
            </w:r>
            <w:r w:rsidR="002378E0">
              <w:t xml:space="preserve"> a </w:t>
            </w:r>
            <w:r w:rsidR="00885B1E" w:rsidRPr="001B4A02">
              <w:t>dospívající</w:t>
            </w:r>
            <w:r w:rsidRPr="001B4A02">
              <w:t xml:space="preserve"> </w:t>
            </w:r>
            <w:r w:rsidR="00E44302" w:rsidRPr="001B4A02">
              <w:t xml:space="preserve">od 2 let </w:t>
            </w:r>
            <w:r w:rsidRPr="001B4A02">
              <w:t xml:space="preserve">s tělesnou hmotností </w:t>
            </w:r>
            <w:r w:rsidR="00783FD1" w:rsidRPr="001B4A02">
              <w:t>do</w:t>
            </w:r>
            <w:r w:rsidRPr="001B4A02">
              <w:t xml:space="preserve"> 30 kg</w:t>
            </w:r>
          </w:p>
        </w:tc>
        <w:tc>
          <w:tcPr>
            <w:tcW w:w="3096" w:type="dxa"/>
            <w:shd w:val="clear" w:color="auto" w:fill="auto"/>
          </w:tcPr>
          <w:p w14:paraId="64977B91" w14:textId="77777777" w:rsidR="00CD775B" w:rsidRPr="001B4A02" w:rsidRDefault="00000000" w:rsidP="00CD775B">
            <w:pPr>
              <w:tabs>
                <w:tab w:val="left" w:pos="0"/>
              </w:tabs>
              <w:ind w:left="0" w:firstLine="0"/>
            </w:pPr>
            <w:r w:rsidRPr="001B4A02">
              <w:t>20</w:t>
            </w:r>
            <w:r w:rsidR="00874DE1">
              <w:t> mg</w:t>
            </w:r>
            <w:r w:rsidRPr="001B4A02">
              <w:t xml:space="preserve"> jednou za dva týdny</w:t>
            </w:r>
          </w:p>
        </w:tc>
        <w:tc>
          <w:tcPr>
            <w:tcW w:w="3096" w:type="dxa"/>
            <w:shd w:val="clear" w:color="auto" w:fill="auto"/>
          </w:tcPr>
          <w:p w14:paraId="226C648F" w14:textId="77777777" w:rsidR="00CD775B" w:rsidRPr="001B4A02" w:rsidRDefault="00000000" w:rsidP="00CD775B">
            <w:pPr>
              <w:numPr>
                <w:ilvl w:val="12"/>
                <w:numId w:val="0"/>
              </w:numPr>
            </w:pPr>
            <w:r w:rsidRPr="001B4A02">
              <w:t>Váš lékař může předepsat úvodní dávku 40</w:t>
            </w:r>
            <w:r w:rsidR="00874DE1">
              <w:t> mg</w:t>
            </w:r>
            <w:r w:rsidRPr="001B4A02">
              <w:t>, která bude podána jeden týden před zahájením obvyklé</w:t>
            </w:r>
            <w:r w:rsidR="00E15F90" w:rsidRPr="001B4A02">
              <w:t>ho</w:t>
            </w:r>
            <w:r w:rsidRPr="001B4A02">
              <w:t xml:space="preserve"> dávk</w:t>
            </w:r>
            <w:r w:rsidR="00E15F90" w:rsidRPr="001B4A02">
              <w:t>ování</w:t>
            </w:r>
            <w:r w:rsidRPr="001B4A02">
              <w:t xml:space="preserve"> 20</w:t>
            </w:r>
            <w:r w:rsidR="00874DE1">
              <w:t> mg</w:t>
            </w:r>
            <w:r w:rsidRPr="001B4A02">
              <w:t xml:space="preserve"> jednou za dva týdny. Přípravek Humira je doporučen pro použití v kombinaci s methotrexátem.</w:t>
            </w:r>
          </w:p>
        </w:tc>
      </w:tr>
      <w:tr w:rsidR="00534A2D" w14:paraId="5D0CA7F2" w14:textId="77777777" w:rsidTr="00CD775B">
        <w:tc>
          <w:tcPr>
            <w:tcW w:w="3095" w:type="dxa"/>
            <w:shd w:val="clear" w:color="auto" w:fill="auto"/>
          </w:tcPr>
          <w:p w14:paraId="35766D4C" w14:textId="77777777" w:rsidR="00CD775B" w:rsidRPr="001B4A02" w:rsidRDefault="00000000" w:rsidP="00E44302">
            <w:pPr>
              <w:numPr>
                <w:ilvl w:val="12"/>
                <w:numId w:val="0"/>
              </w:numPr>
              <w:ind w:right="-2"/>
            </w:pPr>
            <w:r w:rsidRPr="001B4A02">
              <w:t>Děti</w:t>
            </w:r>
            <w:r w:rsidR="002378E0">
              <w:t xml:space="preserve"> a </w:t>
            </w:r>
            <w:r w:rsidR="00885B1E" w:rsidRPr="001B4A02">
              <w:t>dospívající</w:t>
            </w:r>
            <w:r w:rsidRPr="001B4A02">
              <w:t xml:space="preserve"> </w:t>
            </w:r>
            <w:r w:rsidR="00E44302" w:rsidRPr="001B4A02">
              <w:t xml:space="preserve">od 2 let </w:t>
            </w:r>
            <w:r w:rsidRPr="001B4A02">
              <w:t>s tělesnou hmotností 30 kg</w:t>
            </w:r>
            <w:r w:rsidR="0088128B" w:rsidRPr="001B4A02">
              <w:t xml:space="preserve"> nebo vyšší</w:t>
            </w:r>
          </w:p>
        </w:tc>
        <w:tc>
          <w:tcPr>
            <w:tcW w:w="3096" w:type="dxa"/>
            <w:shd w:val="clear" w:color="auto" w:fill="auto"/>
          </w:tcPr>
          <w:p w14:paraId="1B4BD69A" w14:textId="77777777" w:rsidR="00CD775B" w:rsidRPr="001B4A02" w:rsidRDefault="00000000" w:rsidP="00CD775B">
            <w:pPr>
              <w:tabs>
                <w:tab w:val="left" w:pos="0"/>
              </w:tabs>
              <w:ind w:left="0" w:firstLine="0"/>
            </w:pPr>
            <w:r w:rsidRPr="001B4A02">
              <w:t>40</w:t>
            </w:r>
            <w:r w:rsidR="00874DE1">
              <w:t> mg</w:t>
            </w:r>
            <w:r w:rsidRPr="001B4A02">
              <w:t xml:space="preserve"> jednou za dva týdny</w:t>
            </w:r>
          </w:p>
        </w:tc>
        <w:tc>
          <w:tcPr>
            <w:tcW w:w="3096" w:type="dxa"/>
            <w:shd w:val="clear" w:color="auto" w:fill="auto"/>
          </w:tcPr>
          <w:p w14:paraId="47748B31" w14:textId="77777777" w:rsidR="00CD775B" w:rsidRPr="001B4A02" w:rsidRDefault="00000000" w:rsidP="00CD775B">
            <w:pPr>
              <w:numPr>
                <w:ilvl w:val="12"/>
                <w:numId w:val="0"/>
              </w:numPr>
            </w:pPr>
            <w:r w:rsidRPr="001B4A02">
              <w:t>Váš lékař může předepsat úvodní dávku 80</w:t>
            </w:r>
            <w:r w:rsidR="00874DE1">
              <w:t> mg</w:t>
            </w:r>
            <w:r w:rsidRPr="001B4A02">
              <w:t>, která bude podána jeden týden před zahájením obvykl</w:t>
            </w:r>
            <w:r w:rsidR="003473D0" w:rsidRPr="001B4A02">
              <w:t>ého</w:t>
            </w:r>
            <w:r w:rsidRPr="001B4A02">
              <w:t xml:space="preserve"> dávk</w:t>
            </w:r>
            <w:r w:rsidR="00E15F90" w:rsidRPr="001B4A02">
              <w:t>o</w:t>
            </w:r>
            <w:r w:rsidR="003473D0" w:rsidRPr="001B4A02">
              <w:t>vání</w:t>
            </w:r>
            <w:r w:rsidRPr="001B4A02">
              <w:t xml:space="preserve"> 40</w:t>
            </w:r>
            <w:r w:rsidR="00874DE1">
              <w:t> mg</w:t>
            </w:r>
            <w:r w:rsidRPr="001B4A02">
              <w:t xml:space="preserve"> jednou za dva týdny. Přípravek Humira je doporučen pro použití v kombinaci s methotrexátem.</w:t>
            </w:r>
          </w:p>
        </w:tc>
      </w:tr>
    </w:tbl>
    <w:p w14:paraId="4993E440" w14:textId="77777777" w:rsidR="009954F1" w:rsidRPr="001B4A02" w:rsidRDefault="009954F1" w:rsidP="009954F1">
      <w:pPr>
        <w:ind w:left="0" w:firstLine="0"/>
      </w:pPr>
    </w:p>
    <w:p w14:paraId="49A85652" w14:textId="77777777" w:rsidR="00885B1E" w:rsidRPr="001B4A02" w:rsidRDefault="00000000" w:rsidP="00885B1E">
      <w:pPr>
        <w:keepNext/>
        <w:ind w:left="0" w:firstLine="0"/>
        <w:rPr>
          <w:b/>
        </w:rPr>
      </w:pPr>
      <w:r w:rsidRPr="001B4A02">
        <w:rPr>
          <w:b/>
        </w:rPr>
        <w:t>Způsob</w:t>
      </w:r>
      <w:r w:rsidR="002378E0">
        <w:rPr>
          <w:b/>
        </w:rPr>
        <w:t xml:space="preserve"> a </w:t>
      </w:r>
      <w:r w:rsidRPr="001B4A02">
        <w:rPr>
          <w:b/>
        </w:rPr>
        <w:t>cesta podání</w:t>
      </w:r>
    </w:p>
    <w:p w14:paraId="5A047748" w14:textId="77777777" w:rsidR="00885B1E" w:rsidRPr="001B4A02" w:rsidRDefault="00885B1E" w:rsidP="00885B1E">
      <w:pPr>
        <w:keepNext/>
        <w:ind w:left="0" w:firstLine="0"/>
      </w:pPr>
    </w:p>
    <w:p w14:paraId="7860E9C8" w14:textId="77777777" w:rsidR="00885B1E" w:rsidRPr="001B4A02" w:rsidRDefault="00000000" w:rsidP="00885B1E">
      <w:pPr>
        <w:ind w:left="0" w:firstLine="0"/>
      </w:pPr>
      <w:r w:rsidRPr="001B4A02">
        <w:t>Přípravek Humira se podává injekčně pod kůži (subkutánní injekcí).</w:t>
      </w:r>
    </w:p>
    <w:p w14:paraId="38F59BB0" w14:textId="77777777" w:rsidR="00885B1E" w:rsidRPr="001B4A02" w:rsidRDefault="00885B1E" w:rsidP="00885B1E">
      <w:pPr>
        <w:ind w:left="0" w:firstLine="0"/>
        <w:rPr>
          <w:b/>
        </w:rPr>
      </w:pPr>
    </w:p>
    <w:p w14:paraId="4162767F" w14:textId="77777777" w:rsidR="00885B1E" w:rsidRPr="001B4A02" w:rsidRDefault="00000000" w:rsidP="00885B1E">
      <w:pPr>
        <w:ind w:left="0" w:firstLine="0"/>
        <w:rPr>
          <w:b/>
        </w:rPr>
      </w:pPr>
      <w:r w:rsidRPr="001B4A02">
        <w:rPr>
          <w:b/>
        </w:rPr>
        <w:t>Podrobné pokyny k injikování přípravku Humira jsou uvedeny v bodě 7 „</w:t>
      </w:r>
      <w:r w:rsidR="007027B5">
        <w:rPr>
          <w:b/>
        </w:rPr>
        <w:t>Aplikace injekce přípravku Humira</w:t>
      </w:r>
      <w:r w:rsidRPr="001B4A02">
        <w:rPr>
          <w:b/>
        </w:rPr>
        <w:t>“.</w:t>
      </w:r>
    </w:p>
    <w:p w14:paraId="7968AB84" w14:textId="77777777" w:rsidR="00885B1E" w:rsidRPr="001B4A02" w:rsidRDefault="00885B1E" w:rsidP="00885B1E">
      <w:pPr>
        <w:pStyle w:val="EMEANormal"/>
        <w:tabs>
          <w:tab w:val="left" w:pos="720"/>
        </w:tabs>
        <w:ind w:left="550" w:hanging="550"/>
        <w:rPr>
          <w:lang w:val="cs-CZ"/>
        </w:rPr>
      </w:pPr>
    </w:p>
    <w:p w14:paraId="3F88EECC" w14:textId="77777777" w:rsidR="00885B1E" w:rsidRPr="001B4A02" w:rsidRDefault="00000000" w:rsidP="00885B1E">
      <w:pPr>
        <w:ind w:left="0" w:firstLine="0"/>
        <w:rPr>
          <w:b/>
        </w:rPr>
      </w:pPr>
      <w:r w:rsidRPr="001B4A02">
        <w:rPr>
          <w:b/>
        </w:rPr>
        <w:t>Jestliže jste použil(a) více přípravku Humira, než jste měl(a)</w:t>
      </w:r>
    </w:p>
    <w:p w14:paraId="033DEE17" w14:textId="77777777" w:rsidR="00885B1E" w:rsidRPr="001B4A02" w:rsidRDefault="00885B1E" w:rsidP="00885B1E">
      <w:pPr>
        <w:ind w:left="0" w:firstLine="0"/>
        <w:rPr>
          <w:b/>
        </w:rPr>
      </w:pPr>
    </w:p>
    <w:p w14:paraId="79E3A3FF" w14:textId="77777777" w:rsidR="00885B1E" w:rsidRPr="001B4A02" w:rsidRDefault="00000000" w:rsidP="00885B1E">
      <w:pPr>
        <w:ind w:left="0" w:firstLine="0"/>
      </w:pPr>
      <w:r w:rsidRPr="001B4A02">
        <w:t>Pokud jste nechtěně aplikoval(a) příprav</w:t>
      </w:r>
      <w:r w:rsidR="0088128B" w:rsidRPr="001B4A02">
        <w:t>e</w:t>
      </w:r>
      <w:r w:rsidRPr="001B4A02">
        <w:t>k Humira častěji</w:t>
      </w:r>
      <w:r w:rsidR="0088128B" w:rsidRPr="001B4A02">
        <w:t>,</w:t>
      </w:r>
      <w:r w:rsidRPr="001B4A02">
        <w:t xml:space="preserve"> než Vám </w:t>
      </w:r>
      <w:r w:rsidR="00536A1C" w:rsidRPr="001B4A02">
        <w:t>bylo předepsáno</w:t>
      </w:r>
      <w:r w:rsidRPr="001B4A02">
        <w:t xml:space="preserve">, kontaktujte </w:t>
      </w:r>
      <w:r w:rsidR="00536A1C" w:rsidRPr="001B4A02">
        <w:t xml:space="preserve">svého </w:t>
      </w:r>
      <w:r w:rsidRPr="001B4A02">
        <w:t xml:space="preserve">lékaře </w:t>
      </w:r>
      <w:r w:rsidR="0088128B" w:rsidRPr="001B4A02">
        <w:t>nebo lékárníka</w:t>
      </w:r>
      <w:r w:rsidR="002378E0">
        <w:t xml:space="preserve"> a </w:t>
      </w:r>
      <w:r w:rsidRPr="001B4A02">
        <w:t xml:space="preserve">oznamte </w:t>
      </w:r>
      <w:r w:rsidR="0088128B" w:rsidRPr="001B4A02">
        <w:t>jim</w:t>
      </w:r>
      <w:r w:rsidRPr="001B4A02">
        <w:t>, že Vaše dítě dostalo větší množství léku. Vždy si s sebou vezměte vnější obal léku,</w:t>
      </w:r>
      <w:r w:rsidR="002378E0">
        <w:t xml:space="preserve"> a </w:t>
      </w:r>
      <w:r w:rsidRPr="001B4A02">
        <w:t>to i když je prázdný.</w:t>
      </w:r>
    </w:p>
    <w:p w14:paraId="2D175DF5" w14:textId="77777777" w:rsidR="00964428" w:rsidRPr="001B4A02" w:rsidRDefault="00964428" w:rsidP="00885B1E">
      <w:pPr>
        <w:ind w:left="0" w:firstLine="0"/>
      </w:pPr>
    </w:p>
    <w:p w14:paraId="747C5532" w14:textId="77777777" w:rsidR="00885B1E" w:rsidRPr="001B4A02" w:rsidRDefault="00000000" w:rsidP="00885B1E">
      <w:pPr>
        <w:keepNext/>
        <w:ind w:left="0" w:firstLine="0"/>
        <w:rPr>
          <w:b/>
        </w:rPr>
      </w:pPr>
      <w:r w:rsidRPr="001B4A02">
        <w:rPr>
          <w:b/>
        </w:rPr>
        <w:t>Jestliže jste zapomněl(a) použít přípravek Humira</w:t>
      </w:r>
    </w:p>
    <w:p w14:paraId="60DD4D28" w14:textId="77777777" w:rsidR="00885B1E" w:rsidRPr="001B4A02" w:rsidRDefault="00885B1E" w:rsidP="00885B1E">
      <w:pPr>
        <w:keepNext/>
        <w:ind w:left="0" w:firstLine="0"/>
      </w:pPr>
    </w:p>
    <w:p w14:paraId="24E5EA40" w14:textId="77777777" w:rsidR="00885B1E" w:rsidRPr="001B4A02" w:rsidRDefault="00000000" w:rsidP="00885B1E">
      <w:pPr>
        <w:ind w:left="0" w:firstLine="0"/>
      </w:pPr>
      <w:r w:rsidRPr="001B4A02">
        <w:t xml:space="preserve">Pokud </w:t>
      </w:r>
      <w:r w:rsidR="00631040" w:rsidRPr="001B4A02">
        <w:t>svému</w:t>
      </w:r>
      <w:r w:rsidRPr="001B4A02">
        <w:t xml:space="preserve"> dítěti zapomenete </w:t>
      </w:r>
      <w:r w:rsidR="000D52AC" w:rsidRPr="001B4A02">
        <w:t xml:space="preserve">podat </w:t>
      </w:r>
      <w:r w:rsidRPr="001B4A02">
        <w:t>injekci přípravku Humira, m</w:t>
      </w:r>
      <w:r w:rsidR="007B06BB">
        <w:t>áte</w:t>
      </w:r>
      <w:r w:rsidRPr="001B4A02">
        <w:t xml:space="preserve"> mu ji </w:t>
      </w:r>
      <w:r w:rsidR="000D52AC" w:rsidRPr="001B4A02">
        <w:t xml:space="preserve">aplikovat </w:t>
      </w:r>
      <w:r w:rsidRPr="001B4A02">
        <w:t xml:space="preserve">ihned, jak si vzpomenete. Poté </w:t>
      </w:r>
      <w:r w:rsidR="000D52AC" w:rsidRPr="001B4A02">
        <w:t>své</w:t>
      </w:r>
      <w:r w:rsidRPr="001B4A02">
        <w:t xml:space="preserve">mu dítěti </w:t>
      </w:r>
      <w:r w:rsidR="000D52AC" w:rsidRPr="001B4A02">
        <w:t>podejte</w:t>
      </w:r>
      <w:r w:rsidRPr="001B4A02">
        <w:t xml:space="preserve"> další dávku </w:t>
      </w:r>
      <w:r w:rsidR="00631040" w:rsidRPr="001B4A02">
        <w:t>původně</w:t>
      </w:r>
      <w:r w:rsidRPr="001B4A02">
        <w:t xml:space="preserve"> plánovan</w:t>
      </w:r>
      <w:r w:rsidR="00E54D7E" w:rsidRPr="001B4A02">
        <w:t>ý den</w:t>
      </w:r>
      <w:r w:rsidRPr="001B4A02">
        <w:t xml:space="preserve">, jako kdybyste nezapomněl(a) </w:t>
      </w:r>
      <w:r w:rsidR="000D52AC" w:rsidRPr="001B4A02">
        <w:t>na</w:t>
      </w:r>
      <w:r w:rsidRPr="001B4A02">
        <w:t xml:space="preserve"> předchozí dávku.</w:t>
      </w:r>
    </w:p>
    <w:p w14:paraId="23585040" w14:textId="77777777" w:rsidR="00885B1E" w:rsidRPr="001B4A02" w:rsidRDefault="00885B1E" w:rsidP="00885B1E">
      <w:pPr>
        <w:ind w:left="0" w:firstLine="0"/>
        <w:rPr>
          <w:b/>
        </w:rPr>
      </w:pPr>
    </w:p>
    <w:p w14:paraId="0E0B672B" w14:textId="77777777" w:rsidR="00885B1E" w:rsidRPr="001B4A02" w:rsidRDefault="00000000" w:rsidP="00885B1E">
      <w:pPr>
        <w:ind w:left="0" w:firstLine="0"/>
        <w:rPr>
          <w:b/>
        </w:rPr>
      </w:pPr>
      <w:r w:rsidRPr="001B4A02">
        <w:rPr>
          <w:b/>
        </w:rPr>
        <w:t>Jestliže jste přestal(a) používat přípravek Humira</w:t>
      </w:r>
    </w:p>
    <w:p w14:paraId="66818DC6" w14:textId="77777777" w:rsidR="00885B1E" w:rsidRPr="001B4A02" w:rsidRDefault="00885B1E" w:rsidP="00885B1E">
      <w:pPr>
        <w:ind w:left="0" w:firstLine="0"/>
      </w:pPr>
    </w:p>
    <w:p w14:paraId="1328C4C4" w14:textId="77777777" w:rsidR="00885B1E" w:rsidRPr="001B4A02" w:rsidRDefault="00000000" w:rsidP="00885B1E">
      <w:pPr>
        <w:ind w:left="0" w:firstLine="0"/>
      </w:pPr>
      <w:r w:rsidRPr="001B4A02">
        <w:t>Rozhodnutí o tom, zda používání přípravku Humira přerušit, musí</w:t>
      </w:r>
      <w:r w:rsidR="00366114" w:rsidRPr="001B4A02">
        <w:t>te</w:t>
      </w:r>
      <w:r w:rsidRPr="001B4A02">
        <w:t xml:space="preserve"> konzultov</w:t>
      </w:r>
      <w:r w:rsidR="00366114" w:rsidRPr="001B4A02">
        <w:t>at</w:t>
      </w:r>
      <w:r w:rsidRPr="001B4A02">
        <w:t xml:space="preserve"> s</w:t>
      </w:r>
      <w:r w:rsidR="00702A71" w:rsidRPr="001B4A02">
        <w:t>e svým</w:t>
      </w:r>
      <w:r w:rsidRPr="001B4A02">
        <w:t xml:space="preserve"> lékařem. Pokud přestanete přípravek Humira </w:t>
      </w:r>
      <w:r w:rsidR="00366114" w:rsidRPr="001B4A02">
        <w:t>dítěti podávat</w:t>
      </w:r>
      <w:r w:rsidRPr="001B4A02">
        <w:t xml:space="preserve">, příznaky </w:t>
      </w:r>
      <w:r w:rsidR="00366114" w:rsidRPr="001B4A02">
        <w:t xml:space="preserve">onemocnění </w:t>
      </w:r>
      <w:r w:rsidRPr="001B4A02">
        <w:t xml:space="preserve">se </w:t>
      </w:r>
      <w:r w:rsidR="00366114" w:rsidRPr="001B4A02">
        <w:t xml:space="preserve">mu </w:t>
      </w:r>
      <w:r w:rsidRPr="001B4A02">
        <w:t>mohou vrátit.</w:t>
      </w:r>
    </w:p>
    <w:p w14:paraId="1E1152E5" w14:textId="77777777" w:rsidR="00885B1E" w:rsidRPr="001B4A02" w:rsidRDefault="00885B1E" w:rsidP="00885B1E">
      <w:pPr>
        <w:ind w:left="0" w:firstLine="0"/>
      </w:pPr>
    </w:p>
    <w:p w14:paraId="19A5DDCE" w14:textId="77777777" w:rsidR="00885B1E" w:rsidRPr="001B4A02" w:rsidRDefault="00000000" w:rsidP="00885B1E">
      <w:pPr>
        <w:ind w:left="0" w:firstLine="0"/>
      </w:pPr>
      <w:r w:rsidRPr="001B4A02">
        <w:t>Máte-li jakékoli další otázky týkající se používání tohoto přípravku, zeptejte se svého lékaře nebo lékárníka.</w:t>
      </w:r>
    </w:p>
    <w:p w14:paraId="0B3AEDAC" w14:textId="77777777" w:rsidR="009954F1" w:rsidRPr="001B4A02" w:rsidRDefault="009954F1" w:rsidP="009954F1">
      <w:pPr>
        <w:ind w:left="0" w:firstLine="0"/>
      </w:pPr>
    </w:p>
    <w:p w14:paraId="6EBC9E0C" w14:textId="77777777" w:rsidR="009954F1" w:rsidRPr="001B4A02" w:rsidRDefault="009954F1" w:rsidP="009954F1">
      <w:pPr>
        <w:ind w:left="0" w:firstLine="0"/>
      </w:pPr>
    </w:p>
    <w:p w14:paraId="550825E6" w14:textId="77777777" w:rsidR="009954F1" w:rsidRPr="001B4A02" w:rsidRDefault="00000000" w:rsidP="00995407">
      <w:pPr>
        <w:numPr>
          <w:ilvl w:val="12"/>
          <w:numId w:val="0"/>
        </w:numPr>
        <w:ind w:left="561" w:hanging="561"/>
        <w:outlineLvl w:val="1"/>
      </w:pPr>
      <w:r w:rsidRPr="001B4A02">
        <w:rPr>
          <w:b/>
        </w:rPr>
        <w:t>4.</w:t>
      </w:r>
      <w:r w:rsidRPr="001B4A02">
        <w:rPr>
          <w:b/>
        </w:rPr>
        <w:tab/>
        <w:t>Možné nežádoucí účinky</w:t>
      </w:r>
    </w:p>
    <w:p w14:paraId="34A2C5FE" w14:textId="77777777" w:rsidR="009954F1" w:rsidRPr="001B4A02" w:rsidRDefault="009954F1" w:rsidP="009954F1">
      <w:pPr>
        <w:numPr>
          <w:ilvl w:val="12"/>
          <w:numId w:val="0"/>
        </w:numPr>
        <w:ind w:right="-29"/>
        <w:jc w:val="both"/>
      </w:pPr>
    </w:p>
    <w:p w14:paraId="63926827" w14:textId="77777777" w:rsidR="009954F1" w:rsidRPr="001B4A02" w:rsidRDefault="00000000" w:rsidP="009954F1">
      <w:pPr>
        <w:ind w:left="0" w:firstLine="0"/>
      </w:pPr>
      <w:r w:rsidRPr="001B4A02">
        <w:t>Podobně jako všechny léky může mít i tento přípravek nežádoucí účinky, které se ale nemusí vyskytnout u každého. Většina nežádoucích účinků je mírné nebo střední závažnosti. Některé však mohou být závažné</w:t>
      </w:r>
      <w:r w:rsidR="002378E0">
        <w:t xml:space="preserve"> a </w:t>
      </w:r>
      <w:r w:rsidRPr="001B4A02">
        <w:t>vyžadují léčbu. Nežádoucí účinky se mohou vyskytnout i do 4 měsíců po poslední dávce přípravku Humira.</w:t>
      </w:r>
    </w:p>
    <w:p w14:paraId="02B299EE" w14:textId="77777777" w:rsidR="009954F1" w:rsidRPr="001B4A02" w:rsidRDefault="009954F1" w:rsidP="009954F1">
      <w:pPr>
        <w:ind w:left="0" w:firstLine="0"/>
      </w:pPr>
    </w:p>
    <w:p w14:paraId="18C7F94F" w14:textId="77777777" w:rsidR="009954F1" w:rsidRPr="001B4A02" w:rsidRDefault="00000000" w:rsidP="009954F1">
      <w:pPr>
        <w:ind w:left="0" w:firstLine="0"/>
        <w:rPr>
          <w:b/>
        </w:rPr>
      </w:pPr>
      <w:r w:rsidRPr="001B4A02">
        <w:rPr>
          <w:b/>
        </w:rPr>
        <w:t xml:space="preserve">Ihned oznamte svému lékaři, pokud </w:t>
      </w:r>
      <w:r w:rsidR="00885B1E" w:rsidRPr="001B4A02">
        <w:rPr>
          <w:b/>
        </w:rPr>
        <w:t>si všimnete jakýchkoli z následujících účinků</w:t>
      </w:r>
    </w:p>
    <w:p w14:paraId="4AB407DE" w14:textId="77777777" w:rsidR="00885B1E" w:rsidRPr="001B4A02" w:rsidRDefault="00885B1E" w:rsidP="009954F1">
      <w:pPr>
        <w:ind w:left="0" w:firstLine="0"/>
      </w:pPr>
    </w:p>
    <w:p w14:paraId="779EBB05" w14:textId="77777777" w:rsidR="009954F1" w:rsidRPr="001B4A02" w:rsidRDefault="00000000" w:rsidP="002857B1">
      <w:pPr>
        <w:numPr>
          <w:ilvl w:val="0"/>
          <w:numId w:val="19"/>
        </w:numPr>
        <w:tabs>
          <w:tab w:val="clear" w:pos="720"/>
        </w:tabs>
        <w:ind w:left="567" w:hanging="567"/>
      </w:pPr>
      <w:r w:rsidRPr="001B4A02">
        <w:t>silná vyrážka, kopřivka nebo jiné známky alergické reakce</w:t>
      </w:r>
    </w:p>
    <w:p w14:paraId="1F7993D2" w14:textId="77777777" w:rsidR="009954F1" w:rsidRPr="001B4A02" w:rsidRDefault="00000000" w:rsidP="002857B1">
      <w:pPr>
        <w:numPr>
          <w:ilvl w:val="0"/>
          <w:numId w:val="19"/>
        </w:numPr>
        <w:tabs>
          <w:tab w:val="clear" w:pos="720"/>
        </w:tabs>
        <w:ind w:left="567" w:hanging="567"/>
      </w:pPr>
      <w:r w:rsidRPr="001B4A02">
        <w:t>ot</w:t>
      </w:r>
      <w:r w:rsidR="006D39E6">
        <w:t>ok</w:t>
      </w:r>
      <w:r w:rsidRPr="001B4A02">
        <w:t xml:space="preserve"> obličej</w:t>
      </w:r>
      <w:r w:rsidR="006D39E6">
        <w:t>e</w:t>
      </w:r>
      <w:r w:rsidRPr="001B4A02">
        <w:t>, ru</w:t>
      </w:r>
      <w:r w:rsidR="006D39E6">
        <w:t xml:space="preserve">kou, </w:t>
      </w:r>
      <w:r w:rsidRPr="001B4A02">
        <w:t>noh</w:t>
      </w:r>
      <w:r w:rsidR="006D39E6">
        <w:t>ou</w:t>
      </w:r>
    </w:p>
    <w:p w14:paraId="1628B370" w14:textId="77777777" w:rsidR="009954F1" w:rsidRPr="001B4A02" w:rsidRDefault="00000000" w:rsidP="002857B1">
      <w:pPr>
        <w:numPr>
          <w:ilvl w:val="0"/>
          <w:numId w:val="19"/>
        </w:numPr>
        <w:tabs>
          <w:tab w:val="clear" w:pos="720"/>
        </w:tabs>
        <w:ind w:left="567" w:hanging="567"/>
      </w:pPr>
      <w:r w:rsidRPr="001B4A02">
        <w:t>obtíže s dechem či polykáním</w:t>
      </w:r>
    </w:p>
    <w:p w14:paraId="3278827D" w14:textId="77777777" w:rsidR="009954F1" w:rsidRPr="001B4A02" w:rsidRDefault="00000000" w:rsidP="002857B1">
      <w:pPr>
        <w:numPr>
          <w:ilvl w:val="0"/>
          <w:numId w:val="19"/>
        </w:numPr>
        <w:tabs>
          <w:tab w:val="clear" w:pos="720"/>
        </w:tabs>
        <w:ind w:left="567" w:hanging="567"/>
      </w:pPr>
      <w:r w:rsidRPr="001B4A02">
        <w:t>zadýchávání, které se zhorší v poloze vleže nebo otoky nohou</w:t>
      </w:r>
    </w:p>
    <w:p w14:paraId="5432D518" w14:textId="77777777" w:rsidR="009954F1" w:rsidRPr="001B4A02" w:rsidRDefault="009954F1" w:rsidP="002857B1">
      <w:pPr>
        <w:pStyle w:val="EndnoteText"/>
        <w:rPr>
          <w:lang w:val="cs-CZ"/>
        </w:rPr>
      </w:pPr>
    </w:p>
    <w:p w14:paraId="3D25D1D6" w14:textId="77777777" w:rsidR="009954F1" w:rsidRPr="001B4A02" w:rsidRDefault="00000000" w:rsidP="009954F1">
      <w:pPr>
        <w:ind w:left="0" w:firstLine="0"/>
        <w:rPr>
          <w:b/>
        </w:rPr>
      </w:pPr>
      <w:r w:rsidRPr="001B4A02">
        <w:rPr>
          <w:b/>
        </w:rPr>
        <w:t xml:space="preserve">Oznamte svému lékaři co nejdříve, pokud </w:t>
      </w:r>
      <w:r w:rsidR="00885B1E" w:rsidRPr="001B4A02">
        <w:rPr>
          <w:b/>
        </w:rPr>
        <w:t>si všimnete jakýchkoli z následujících účinků</w:t>
      </w:r>
    </w:p>
    <w:p w14:paraId="6EEFC998" w14:textId="77777777" w:rsidR="00885B1E" w:rsidRPr="001B4A02" w:rsidRDefault="00885B1E" w:rsidP="009954F1">
      <w:pPr>
        <w:ind w:left="0" w:firstLine="0"/>
      </w:pPr>
    </w:p>
    <w:p w14:paraId="0015B7AC" w14:textId="77777777" w:rsidR="009954F1" w:rsidRPr="001B4A02" w:rsidRDefault="00000000" w:rsidP="002857B1">
      <w:pPr>
        <w:numPr>
          <w:ilvl w:val="0"/>
          <w:numId w:val="20"/>
        </w:numPr>
        <w:tabs>
          <w:tab w:val="clear" w:pos="720"/>
        </w:tabs>
        <w:ind w:left="567" w:hanging="567"/>
      </w:pPr>
      <w:r w:rsidRPr="001B4A02">
        <w:t xml:space="preserve">známky infekce, jako </w:t>
      </w:r>
      <w:r w:rsidR="00005EC2" w:rsidRPr="001B4A02">
        <w:rPr>
          <w:szCs w:val="22"/>
        </w:rPr>
        <w:t xml:space="preserve">jsou </w:t>
      </w:r>
      <w:r w:rsidRPr="001B4A02">
        <w:t>horečka, pocit nemoci, zranění, problémy se zuby, pálení při močení</w:t>
      </w:r>
    </w:p>
    <w:p w14:paraId="5C33E0E1" w14:textId="77777777" w:rsidR="009954F1" w:rsidRPr="001B4A02" w:rsidRDefault="00000000" w:rsidP="002857B1">
      <w:pPr>
        <w:numPr>
          <w:ilvl w:val="0"/>
          <w:numId w:val="20"/>
        </w:numPr>
        <w:tabs>
          <w:tab w:val="clear" w:pos="720"/>
        </w:tabs>
        <w:ind w:left="567" w:hanging="567"/>
      </w:pPr>
      <w:r w:rsidRPr="001B4A02">
        <w:t>pocit slabosti nebo únavy</w:t>
      </w:r>
    </w:p>
    <w:p w14:paraId="4D46F5B3" w14:textId="77777777" w:rsidR="009954F1" w:rsidRPr="001B4A02" w:rsidRDefault="00000000" w:rsidP="002857B1">
      <w:pPr>
        <w:numPr>
          <w:ilvl w:val="0"/>
          <w:numId w:val="20"/>
        </w:numPr>
        <w:tabs>
          <w:tab w:val="clear" w:pos="720"/>
        </w:tabs>
        <w:ind w:left="567" w:hanging="567"/>
      </w:pPr>
      <w:r w:rsidRPr="001B4A02">
        <w:t>kašel</w:t>
      </w:r>
    </w:p>
    <w:p w14:paraId="364CB2F6" w14:textId="77777777" w:rsidR="009954F1" w:rsidRPr="001B4A02" w:rsidRDefault="00000000" w:rsidP="002857B1">
      <w:pPr>
        <w:numPr>
          <w:ilvl w:val="0"/>
          <w:numId w:val="20"/>
        </w:numPr>
        <w:tabs>
          <w:tab w:val="clear" w:pos="720"/>
        </w:tabs>
        <w:ind w:left="567" w:hanging="567"/>
      </w:pPr>
      <w:r w:rsidRPr="001B4A02">
        <w:t>brnění</w:t>
      </w:r>
    </w:p>
    <w:p w14:paraId="377A6687" w14:textId="77777777" w:rsidR="009954F1" w:rsidRPr="001B4A02" w:rsidRDefault="00000000" w:rsidP="002857B1">
      <w:pPr>
        <w:numPr>
          <w:ilvl w:val="0"/>
          <w:numId w:val="20"/>
        </w:numPr>
        <w:tabs>
          <w:tab w:val="clear" w:pos="720"/>
        </w:tabs>
        <w:ind w:left="567" w:hanging="567"/>
      </w:pPr>
      <w:r w:rsidRPr="001B4A02">
        <w:t>snížená citlivost</w:t>
      </w:r>
    </w:p>
    <w:p w14:paraId="6DBC16BE" w14:textId="77777777" w:rsidR="009954F1" w:rsidRPr="001B4A02" w:rsidRDefault="00000000" w:rsidP="002857B1">
      <w:pPr>
        <w:numPr>
          <w:ilvl w:val="0"/>
          <w:numId w:val="20"/>
        </w:numPr>
        <w:tabs>
          <w:tab w:val="clear" w:pos="720"/>
        </w:tabs>
        <w:ind w:left="567" w:hanging="567"/>
      </w:pPr>
      <w:r w:rsidRPr="001B4A02">
        <w:t>dvojité vidění</w:t>
      </w:r>
    </w:p>
    <w:p w14:paraId="63C15EB9" w14:textId="77777777" w:rsidR="009954F1" w:rsidRPr="001B4A02" w:rsidRDefault="00000000" w:rsidP="002857B1">
      <w:pPr>
        <w:numPr>
          <w:ilvl w:val="0"/>
          <w:numId w:val="20"/>
        </w:numPr>
        <w:tabs>
          <w:tab w:val="clear" w:pos="720"/>
        </w:tabs>
        <w:ind w:left="567" w:hanging="567"/>
      </w:pPr>
      <w:r w:rsidRPr="001B4A02">
        <w:t>slabost horních nebo dolních končetin</w:t>
      </w:r>
    </w:p>
    <w:p w14:paraId="0C5BC809" w14:textId="77777777" w:rsidR="009954F1" w:rsidRPr="001B4A02" w:rsidRDefault="00000000" w:rsidP="002857B1">
      <w:pPr>
        <w:numPr>
          <w:ilvl w:val="0"/>
          <w:numId w:val="20"/>
        </w:numPr>
        <w:tabs>
          <w:tab w:val="clear" w:pos="720"/>
        </w:tabs>
        <w:ind w:left="567" w:hanging="567"/>
      </w:pPr>
      <w:r w:rsidRPr="001B4A02">
        <w:t>otok (boule) nebo opar, který se nehojí</w:t>
      </w:r>
    </w:p>
    <w:p w14:paraId="3815B92B" w14:textId="77777777" w:rsidR="009954F1" w:rsidRPr="001B4A02" w:rsidRDefault="00000000" w:rsidP="002857B1">
      <w:pPr>
        <w:numPr>
          <w:ilvl w:val="0"/>
          <w:numId w:val="20"/>
        </w:numPr>
        <w:tabs>
          <w:tab w:val="clear" w:pos="720"/>
        </w:tabs>
        <w:ind w:left="567" w:hanging="567"/>
      </w:pPr>
      <w:r>
        <w:rPr>
          <w:bCs/>
          <w:szCs w:val="22"/>
        </w:rPr>
        <w:t>známky</w:t>
      </w:r>
      <w:r w:rsidR="002378E0">
        <w:rPr>
          <w:bCs/>
          <w:szCs w:val="22"/>
        </w:rPr>
        <w:t xml:space="preserve"> a </w:t>
      </w:r>
      <w:r w:rsidRPr="001B4A02">
        <w:rPr>
          <w:bCs/>
          <w:szCs w:val="22"/>
        </w:rPr>
        <w:t>příznaky podezřelé z krevních poruch, jako je přetrvávající horečka, tvorba modřin, krvácení, bledost</w:t>
      </w:r>
    </w:p>
    <w:p w14:paraId="346D6D6E" w14:textId="77777777" w:rsidR="009954F1" w:rsidRPr="001B4A02" w:rsidRDefault="009954F1" w:rsidP="009954F1">
      <w:pPr>
        <w:pStyle w:val="EndnoteText"/>
        <w:ind w:left="0" w:firstLine="0"/>
        <w:rPr>
          <w:lang w:val="cs-CZ"/>
        </w:rPr>
      </w:pPr>
    </w:p>
    <w:p w14:paraId="650BE163" w14:textId="77777777" w:rsidR="009954F1" w:rsidRPr="001B4A02" w:rsidRDefault="00000000" w:rsidP="009954F1">
      <w:pPr>
        <w:ind w:left="0" w:firstLine="0"/>
      </w:pPr>
      <w:r w:rsidRPr="001B4A02">
        <w:t>Příznaky popsané výše mohou být známkami níže uvedeného seznamu nežádoucích účinků, které byly popsány při používání přípravku Humira:</w:t>
      </w:r>
    </w:p>
    <w:p w14:paraId="13D2774C" w14:textId="77777777" w:rsidR="009954F1" w:rsidRPr="001B4A02" w:rsidRDefault="009954F1" w:rsidP="009954F1">
      <w:pPr>
        <w:ind w:left="0" w:firstLine="0"/>
      </w:pPr>
    </w:p>
    <w:p w14:paraId="0C375A68" w14:textId="77777777" w:rsidR="009954F1" w:rsidRPr="001B4A02" w:rsidRDefault="00000000" w:rsidP="009954F1">
      <w:pPr>
        <w:tabs>
          <w:tab w:val="left" w:pos="5745"/>
        </w:tabs>
        <w:ind w:left="0" w:firstLine="0"/>
        <w:rPr>
          <w:b/>
        </w:rPr>
      </w:pPr>
      <w:r w:rsidRPr="001B4A02">
        <w:rPr>
          <w:b/>
        </w:rPr>
        <w:t xml:space="preserve">Velmi časté </w:t>
      </w:r>
      <w:r w:rsidRPr="001B4A02">
        <w:t>(</w:t>
      </w:r>
      <w:r w:rsidRPr="001B4A02">
        <w:rPr>
          <w:shd w:val="clear" w:color="auto" w:fill="FFFFFF"/>
        </w:rPr>
        <w:t>mohou postihnout více než 1 z 10 osob</w:t>
      </w:r>
      <w:r w:rsidR="00885B1E" w:rsidRPr="001B4A02">
        <w:t>)</w:t>
      </w:r>
    </w:p>
    <w:p w14:paraId="4293F94F" w14:textId="77777777" w:rsidR="009954F1" w:rsidRPr="001B4A02" w:rsidRDefault="009954F1" w:rsidP="009954F1">
      <w:pPr>
        <w:tabs>
          <w:tab w:val="left" w:pos="5745"/>
        </w:tabs>
        <w:ind w:left="0" w:firstLine="0"/>
        <w:rPr>
          <w:bCs/>
          <w:szCs w:val="22"/>
        </w:rPr>
      </w:pPr>
    </w:p>
    <w:p w14:paraId="41D02803" w14:textId="77777777" w:rsidR="009954F1" w:rsidRPr="001B4A02" w:rsidRDefault="00000000" w:rsidP="002857B1">
      <w:pPr>
        <w:numPr>
          <w:ilvl w:val="0"/>
          <w:numId w:val="252"/>
        </w:numPr>
        <w:ind w:left="567" w:hanging="567"/>
      </w:pPr>
      <w:r w:rsidRPr="001B4A02">
        <w:t xml:space="preserve">reakce v místě injekčního vpichu (včetně </w:t>
      </w:r>
      <w:r w:rsidRPr="001B4A02">
        <w:rPr>
          <w:bCs/>
          <w:szCs w:val="22"/>
        </w:rPr>
        <w:t>bolesti, otoku, zarudnutí nebo svědění)</w:t>
      </w:r>
    </w:p>
    <w:p w14:paraId="699BCC89" w14:textId="77777777" w:rsidR="009954F1" w:rsidRPr="001B4A02" w:rsidRDefault="00000000" w:rsidP="002857B1">
      <w:pPr>
        <w:numPr>
          <w:ilvl w:val="0"/>
          <w:numId w:val="252"/>
        </w:numPr>
        <w:ind w:left="567" w:hanging="567"/>
        <w:rPr>
          <w:bCs/>
          <w:szCs w:val="22"/>
        </w:rPr>
      </w:pPr>
      <w:r w:rsidRPr="001B4A02">
        <w:rPr>
          <w:bCs/>
          <w:szCs w:val="22"/>
        </w:rPr>
        <w:t>infekce dýchacích cest (včetně nastydnutí, rýmy, infekce vedlejších nosních dutin, zápalu plic)</w:t>
      </w:r>
    </w:p>
    <w:p w14:paraId="19028E9F" w14:textId="77777777" w:rsidR="009954F1" w:rsidRPr="001B4A02" w:rsidRDefault="00000000" w:rsidP="002857B1">
      <w:pPr>
        <w:numPr>
          <w:ilvl w:val="0"/>
          <w:numId w:val="252"/>
        </w:numPr>
        <w:ind w:left="567" w:hanging="567"/>
        <w:rPr>
          <w:bCs/>
          <w:szCs w:val="22"/>
        </w:rPr>
      </w:pPr>
      <w:r w:rsidRPr="001B4A02">
        <w:rPr>
          <w:bCs/>
          <w:szCs w:val="22"/>
        </w:rPr>
        <w:t>bolest hlavy</w:t>
      </w:r>
    </w:p>
    <w:p w14:paraId="12261DFD" w14:textId="77777777" w:rsidR="009954F1" w:rsidRPr="001B4A02" w:rsidRDefault="00000000" w:rsidP="002857B1">
      <w:pPr>
        <w:numPr>
          <w:ilvl w:val="0"/>
          <w:numId w:val="252"/>
        </w:numPr>
        <w:ind w:left="567" w:hanging="567"/>
        <w:rPr>
          <w:bCs/>
          <w:szCs w:val="22"/>
        </w:rPr>
      </w:pPr>
      <w:r w:rsidRPr="001B4A02">
        <w:rPr>
          <w:bCs/>
          <w:szCs w:val="22"/>
        </w:rPr>
        <w:t>bolest břicha</w:t>
      </w:r>
    </w:p>
    <w:p w14:paraId="5B593D8A" w14:textId="77777777" w:rsidR="009954F1" w:rsidRPr="001B4A02" w:rsidRDefault="00000000" w:rsidP="002857B1">
      <w:pPr>
        <w:numPr>
          <w:ilvl w:val="0"/>
          <w:numId w:val="252"/>
        </w:numPr>
        <w:ind w:left="567" w:hanging="567"/>
        <w:rPr>
          <w:bCs/>
          <w:szCs w:val="22"/>
        </w:rPr>
      </w:pPr>
      <w:r>
        <w:rPr>
          <w:bCs/>
          <w:szCs w:val="22"/>
        </w:rPr>
        <w:t>pocit na zvracení</w:t>
      </w:r>
      <w:r w:rsidR="002378E0">
        <w:rPr>
          <w:bCs/>
          <w:szCs w:val="22"/>
        </w:rPr>
        <w:t xml:space="preserve"> a </w:t>
      </w:r>
      <w:r w:rsidRPr="001B4A02">
        <w:rPr>
          <w:bCs/>
          <w:szCs w:val="22"/>
        </w:rPr>
        <w:t>zvracení</w:t>
      </w:r>
    </w:p>
    <w:p w14:paraId="099AADAE" w14:textId="77777777" w:rsidR="009954F1" w:rsidRPr="001B4A02" w:rsidRDefault="00000000" w:rsidP="002857B1">
      <w:pPr>
        <w:numPr>
          <w:ilvl w:val="0"/>
          <w:numId w:val="252"/>
        </w:numPr>
        <w:ind w:left="567" w:hanging="567"/>
        <w:rPr>
          <w:bCs/>
          <w:szCs w:val="22"/>
        </w:rPr>
      </w:pPr>
      <w:r w:rsidRPr="001B4A02">
        <w:rPr>
          <w:bCs/>
          <w:szCs w:val="22"/>
        </w:rPr>
        <w:t>vyrážka</w:t>
      </w:r>
    </w:p>
    <w:p w14:paraId="0E0597D3" w14:textId="77777777" w:rsidR="009954F1" w:rsidRPr="001B4A02" w:rsidRDefault="00000000" w:rsidP="002857B1">
      <w:pPr>
        <w:numPr>
          <w:ilvl w:val="0"/>
          <w:numId w:val="252"/>
        </w:numPr>
        <w:ind w:left="567" w:hanging="567"/>
      </w:pPr>
      <w:r w:rsidRPr="001B4A02">
        <w:rPr>
          <w:bCs/>
          <w:szCs w:val="22"/>
        </w:rPr>
        <w:t>bolest svalů</w:t>
      </w:r>
      <w:r w:rsidR="002378E0">
        <w:rPr>
          <w:bCs/>
          <w:szCs w:val="22"/>
        </w:rPr>
        <w:t xml:space="preserve"> a </w:t>
      </w:r>
      <w:r w:rsidRPr="001B4A02">
        <w:rPr>
          <w:bCs/>
          <w:szCs w:val="22"/>
        </w:rPr>
        <w:t>kloubů</w:t>
      </w:r>
    </w:p>
    <w:p w14:paraId="079E2231" w14:textId="77777777" w:rsidR="009954F1" w:rsidRPr="001B4A02" w:rsidRDefault="009954F1" w:rsidP="009954F1">
      <w:pPr>
        <w:ind w:left="0" w:firstLine="0"/>
      </w:pPr>
    </w:p>
    <w:p w14:paraId="58926F8A" w14:textId="77777777" w:rsidR="009954F1" w:rsidRPr="001B4A02" w:rsidRDefault="00000000" w:rsidP="009954F1">
      <w:pPr>
        <w:tabs>
          <w:tab w:val="left" w:pos="0"/>
        </w:tabs>
        <w:ind w:left="0" w:firstLine="0"/>
        <w:rPr>
          <w:b/>
        </w:rPr>
      </w:pPr>
      <w:r w:rsidRPr="001B4A02">
        <w:rPr>
          <w:b/>
        </w:rPr>
        <w:t xml:space="preserve">Časté </w:t>
      </w:r>
      <w:r w:rsidRPr="001B4A02">
        <w:t>(mohou postihnout nejvýše 1 z 10 o</w:t>
      </w:r>
      <w:r w:rsidR="00885B1E" w:rsidRPr="001B4A02">
        <w:t>sob)</w:t>
      </w:r>
    </w:p>
    <w:p w14:paraId="04CDF4C0" w14:textId="77777777" w:rsidR="009954F1" w:rsidRPr="001B4A02" w:rsidRDefault="009954F1" w:rsidP="009954F1">
      <w:pPr>
        <w:tabs>
          <w:tab w:val="left" w:pos="0"/>
        </w:tabs>
        <w:ind w:left="0" w:firstLine="0"/>
      </w:pPr>
    </w:p>
    <w:p w14:paraId="6C3327A3" w14:textId="77777777" w:rsidR="009954F1" w:rsidRPr="001B4A02" w:rsidRDefault="00000000" w:rsidP="002857B1">
      <w:pPr>
        <w:numPr>
          <w:ilvl w:val="0"/>
          <w:numId w:val="252"/>
        </w:numPr>
        <w:ind w:left="567" w:hanging="567"/>
      </w:pPr>
      <w:r>
        <w:rPr>
          <w:bCs/>
          <w:szCs w:val="22"/>
        </w:rPr>
        <w:t>závažné</w:t>
      </w:r>
      <w:r w:rsidRPr="001B4A02">
        <w:rPr>
          <w:bCs/>
          <w:szCs w:val="22"/>
        </w:rPr>
        <w:t xml:space="preserve"> infekce (včetně otravy krve</w:t>
      </w:r>
      <w:r w:rsidR="002378E0">
        <w:rPr>
          <w:bCs/>
          <w:szCs w:val="22"/>
        </w:rPr>
        <w:t xml:space="preserve"> a </w:t>
      </w:r>
      <w:r w:rsidRPr="001B4A02">
        <w:rPr>
          <w:bCs/>
          <w:szCs w:val="22"/>
        </w:rPr>
        <w:t>chřipky)</w:t>
      </w:r>
    </w:p>
    <w:p w14:paraId="018499C5" w14:textId="77777777" w:rsidR="00776828" w:rsidRPr="001B4A02" w:rsidRDefault="00000000" w:rsidP="002857B1">
      <w:pPr>
        <w:numPr>
          <w:ilvl w:val="0"/>
          <w:numId w:val="252"/>
        </w:numPr>
        <w:ind w:left="567" w:hanging="567"/>
      </w:pPr>
      <w:r w:rsidRPr="001B4A02">
        <w:t>střevní infekce (včetně gastroenteritidy)</w:t>
      </w:r>
    </w:p>
    <w:p w14:paraId="570BD04A" w14:textId="77777777" w:rsidR="009954F1" w:rsidRPr="001B4A02" w:rsidRDefault="00000000" w:rsidP="002857B1">
      <w:pPr>
        <w:numPr>
          <w:ilvl w:val="0"/>
          <w:numId w:val="252"/>
        </w:numPr>
        <w:ind w:left="567" w:hanging="567"/>
      </w:pPr>
      <w:r w:rsidRPr="001B4A02">
        <w:rPr>
          <w:bCs/>
          <w:szCs w:val="22"/>
        </w:rPr>
        <w:t>kožní infekce (včetně celulitidy</w:t>
      </w:r>
      <w:r w:rsidR="002378E0">
        <w:rPr>
          <w:bCs/>
          <w:szCs w:val="22"/>
        </w:rPr>
        <w:t xml:space="preserve"> a </w:t>
      </w:r>
      <w:r w:rsidRPr="001B4A02">
        <w:rPr>
          <w:bCs/>
          <w:szCs w:val="22"/>
        </w:rPr>
        <w:t>pásového oparu)</w:t>
      </w:r>
    </w:p>
    <w:p w14:paraId="7B4289C9" w14:textId="77777777" w:rsidR="009954F1" w:rsidRPr="001B4A02" w:rsidRDefault="00000000" w:rsidP="002857B1">
      <w:pPr>
        <w:numPr>
          <w:ilvl w:val="0"/>
          <w:numId w:val="252"/>
        </w:numPr>
        <w:ind w:left="567" w:hanging="567"/>
      </w:pPr>
      <w:r w:rsidRPr="001B4A02">
        <w:t>ušní infekce</w:t>
      </w:r>
    </w:p>
    <w:p w14:paraId="42ACE6B2" w14:textId="77777777" w:rsidR="009954F1" w:rsidRPr="001B4A02" w:rsidRDefault="00000000" w:rsidP="002857B1">
      <w:pPr>
        <w:numPr>
          <w:ilvl w:val="0"/>
          <w:numId w:val="252"/>
        </w:numPr>
        <w:ind w:left="567" w:hanging="567"/>
      </w:pPr>
      <w:r w:rsidRPr="001B4A02">
        <w:rPr>
          <w:bCs/>
          <w:szCs w:val="22"/>
        </w:rPr>
        <w:t>infekce v ústech (včetně zubních infekcí</w:t>
      </w:r>
      <w:r w:rsidR="002378E0">
        <w:rPr>
          <w:bCs/>
          <w:szCs w:val="22"/>
        </w:rPr>
        <w:t xml:space="preserve"> a </w:t>
      </w:r>
      <w:r w:rsidRPr="001B4A02">
        <w:rPr>
          <w:bCs/>
          <w:szCs w:val="22"/>
        </w:rPr>
        <w:t>oparu na rtu)</w:t>
      </w:r>
    </w:p>
    <w:p w14:paraId="7E1B0C1C" w14:textId="77777777" w:rsidR="009954F1" w:rsidRPr="001B4A02" w:rsidRDefault="00000000" w:rsidP="002857B1">
      <w:pPr>
        <w:numPr>
          <w:ilvl w:val="0"/>
          <w:numId w:val="252"/>
        </w:numPr>
        <w:ind w:left="567" w:hanging="567"/>
      </w:pPr>
      <w:r w:rsidRPr="001B4A02">
        <w:rPr>
          <w:bCs/>
          <w:szCs w:val="22"/>
        </w:rPr>
        <w:t>infekce pohlavních orgánů</w:t>
      </w:r>
    </w:p>
    <w:p w14:paraId="6EAC7904" w14:textId="77777777" w:rsidR="009954F1" w:rsidRPr="001B4A02" w:rsidRDefault="00000000" w:rsidP="002857B1">
      <w:pPr>
        <w:numPr>
          <w:ilvl w:val="0"/>
          <w:numId w:val="252"/>
        </w:numPr>
        <w:ind w:left="567" w:hanging="567"/>
        <w:rPr>
          <w:shd w:val="clear" w:color="auto" w:fill="FFFF00"/>
        </w:rPr>
      </w:pPr>
      <w:r w:rsidRPr="001B4A02">
        <w:t>záněty močových cest</w:t>
      </w:r>
    </w:p>
    <w:p w14:paraId="69AB8F8D" w14:textId="77777777" w:rsidR="009954F1" w:rsidRPr="001B4A02" w:rsidRDefault="00000000" w:rsidP="002857B1">
      <w:pPr>
        <w:numPr>
          <w:ilvl w:val="0"/>
          <w:numId w:val="252"/>
        </w:numPr>
        <w:ind w:left="567" w:hanging="567"/>
        <w:rPr>
          <w:shd w:val="clear" w:color="auto" w:fill="FFFF00"/>
        </w:rPr>
      </w:pPr>
      <w:r w:rsidRPr="001B4A02">
        <w:t>plísňové infekce</w:t>
      </w:r>
    </w:p>
    <w:p w14:paraId="75AF1339" w14:textId="77777777" w:rsidR="009954F1" w:rsidRPr="001B4A02" w:rsidRDefault="00000000" w:rsidP="002857B1">
      <w:pPr>
        <w:numPr>
          <w:ilvl w:val="0"/>
          <w:numId w:val="252"/>
        </w:numPr>
        <w:ind w:left="567" w:hanging="567"/>
        <w:rPr>
          <w:shd w:val="clear" w:color="auto" w:fill="FFFF00"/>
        </w:rPr>
      </w:pPr>
      <w:r w:rsidRPr="001B4A02">
        <w:t>záněty kloubů</w:t>
      </w:r>
    </w:p>
    <w:p w14:paraId="58816D56" w14:textId="77777777" w:rsidR="009954F1" w:rsidRPr="001B4A02" w:rsidRDefault="00000000" w:rsidP="002857B1">
      <w:pPr>
        <w:numPr>
          <w:ilvl w:val="0"/>
          <w:numId w:val="252"/>
        </w:numPr>
        <w:ind w:left="567" w:hanging="567"/>
        <w:rPr>
          <w:shd w:val="clear" w:color="auto" w:fill="FFFF00"/>
        </w:rPr>
      </w:pPr>
      <w:r w:rsidRPr="001B4A02">
        <w:t>nezhoubné nádory</w:t>
      </w:r>
    </w:p>
    <w:p w14:paraId="784C715A" w14:textId="77777777" w:rsidR="009954F1" w:rsidRPr="001B4A02" w:rsidRDefault="00000000" w:rsidP="002857B1">
      <w:pPr>
        <w:numPr>
          <w:ilvl w:val="0"/>
          <w:numId w:val="252"/>
        </w:numPr>
        <w:ind w:left="567" w:hanging="567"/>
        <w:rPr>
          <w:shd w:val="clear" w:color="auto" w:fill="FFFF00"/>
        </w:rPr>
      </w:pPr>
      <w:r w:rsidRPr="001B4A02">
        <w:t>rakovina kůže</w:t>
      </w:r>
    </w:p>
    <w:p w14:paraId="27A5863A" w14:textId="77777777" w:rsidR="009954F1" w:rsidRPr="001B4A02" w:rsidRDefault="00000000" w:rsidP="002857B1">
      <w:pPr>
        <w:numPr>
          <w:ilvl w:val="0"/>
          <w:numId w:val="252"/>
        </w:numPr>
        <w:ind w:left="567" w:hanging="567"/>
        <w:rPr>
          <w:shd w:val="clear" w:color="auto" w:fill="FFFF00"/>
        </w:rPr>
      </w:pPr>
      <w:r w:rsidRPr="001B4A02">
        <w:t>alergické reakce (včetně sezónní alergie)</w:t>
      </w:r>
    </w:p>
    <w:p w14:paraId="141B34B7" w14:textId="77777777" w:rsidR="009954F1" w:rsidRPr="001B4A02" w:rsidRDefault="00000000" w:rsidP="002857B1">
      <w:pPr>
        <w:numPr>
          <w:ilvl w:val="0"/>
          <w:numId w:val="252"/>
        </w:numPr>
        <w:ind w:left="567" w:hanging="567"/>
        <w:rPr>
          <w:shd w:val="clear" w:color="auto" w:fill="FFFF00"/>
        </w:rPr>
      </w:pPr>
      <w:r w:rsidRPr="001B4A02">
        <w:t>dehydratace</w:t>
      </w:r>
    </w:p>
    <w:p w14:paraId="72C21B8E" w14:textId="77777777" w:rsidR="009954F1" w:rsidRPr="001B4A02" w:rsidRDefault="00000000" w:rsidP="002857B1">
      <w:pPr>
        <w:numPr>
          <w:ilvl w:val="0"/>
          <w:numId w:val="252"/>
        </w:numPr>
        <w:ind w:left="567" w:hanging="567"/>
        <w:rPr>
          <w:shd w:val="clear" w:color="auto" w:fill="FFFF00"/>
        </w:rPr>
      </w:pPr>
      <w:r w:rsidRPr="001B4A02">
        <w:t>změny nálad (včetně deprese)</w:t>
      </w:r>
    </w:p>
    <w:p w14:paraId="1BA816F1" w14:textId="77777777" w:rsidR="009954F1" w:rsidRPr="001B4A02" w:rsidRDefault="00000000" w:rsidP="002857B1">
      <w:pPr>
        <w:numPr>
          <w:ilvl w:val="0"/>
          <w:numId w:val="252"/>
        </w:numPr>
        <w:ind w:left="567" w:hanging="567"/>
        <w:rPr>
          <w:shd w:val="clear" w:color="auto" w:fill="FFFF00"/>
        </w:rPr>
      </w:pPr>
      <w:r w:rsidRPr="001B4A02">
        <w:t>úzkost</w:t>
      </w:r>
    </w:p>
    <w:p w14:paraId="1A84D4E0" w14:textId="77777777" w:rsidR="009954F1" w:rsidRPr="001B4A02" w:rsidRDefault="00000000" w:rsidP="002857B1">
      <w:pPr>
        <w:numPr>
          <w:ilvl w:val="0"/>
          <w:numId w:val="252"/>
        </w:numPr>
        <w:ind w:left="567" w:hanging="567"/>
        <w:rPr>
          <w:shd w:val="clear" w:color="auto" w:fill="FFFF00"/>
        </w:rPr>
      </w:pPr>
      <w:r w:rsidRPr="001B4A02">
        <w:t>obtížné usínání</w:t>
      </w:r>
    </w:p>
    <w:p w14:paraId="74E74720" w14:textId="77777777" w:rsidR="009954F1" w:rsidRPr="001B4A02" w:rsidRDefault="00000000" w:rsidP="002857B1">
      <w:pPr>
        <w:numPr>
          <w:ilvl w:val="0"/>
          <w:numId w:val="252"/>
        </w:numPr>
        <w:ind w:left="567" w:hanging="567"/>
        <w:rPr>
          <w:shd w:val="clear" w:color="auto" w:fill="FFFF00"/>
        </w:rPr>
      </w:pPr>
      <w:r w:rsidRPr="001B4A02">
        <w:t>poruchy pocitového vnímání, jako je brnění, svědění nebo znecitlivění</w:t>
      </w:r>
    </w:p>
    <w:p w14:paraId="67A087D7" w14:textId="77777777" w:rsidR="009954F1" w:rsidRPr="001B4A02" w:rsidRDefault="00000000" w:rsidP="002857B1">
      <w:pPr>
        <w:numPr>
          <w:ilvl w:val="0"/>
          <w:numId w:val="252"/>
        </w:numPr>
        <w:ind w:left="567" w:hanging="567"/>
        <w:rPr>
          <w:shd w:val="clear" w:color="auto" w:fill="FFFF00"/>
        </w:rPr>
      </w:pPr>
      <w:r w:rsidRPr="001B4A02">
        <w:t>migréna</w:t>
      </w:r>
    </w:p>
    <w:p w14:paraId="14882EA1" w14:textId="77777777" w:rsidR="009954F1" w:rsidRPr="001B4A02" w:rsidRDefault="00000000" w:rsidP="002857B1">
      <w:pPr>
        <w:numPr>
          <w:ilvl w:val="0"/>
          <w:numId w:val="252"/>
        </w:numPr>
        <w:ind w:left="567" w:hanging="567"/>
        <w:rPr>
          <w:shd w:val="clear" w:color="auto" w:fill="FFFF00"/>
        </w:rPr>
      </w:pPr>
      <w:r w:rsidRPr="001B4A02">
        <w:t>útlak nervových kořenů (včetně bolesti v bedrech</w:t>
      </w:r>
      <w:r w:rsidR="002378E0">
        <w:t xml:space="preserve"> a </w:t>
      </w:r>
      <w:r w:rsidRPr="001B4A02">
        <w:t>bolesti dolních končetin)</w:t>
      </w:r>
    </w:p>
    <w:p w14:paraId="4771A311" w14:textId="77777777" w:rsidR="009954F1" w:rsidRPr="001B4A02" w:rsidRDefault="00000000" w:rsidP="002857B1">
      <w:pPr>
        <w:numPr>
          <w:ilvl w:val="0"/>
          <w:numId w:val="252"/>
        </w:numPr>
        <w:ind w:left="567" w:hanging="567"/>
        <w:rPr>
          <w:shd w:val="clear" w:color="auto" w:fill="FFFF00"/>
        </w:rPr>
      </w:pPr>
      <w:r w:rsidRPr="001B4A02">
        <w:t>poruchy zraku</w:t>
      </w:r>
    </w:p>
    <w:p w14:paraId="6D898F13" w14:textId="77777777" w:rsidR="009954F1" w:rsidRPr="001B4A02" w:rsidRDefault="00000000" w:rsidP="002857B1">
      <w:pPr>
        <w:numPr>
          <w:ilvl w:val="0"/>
          <w:numId w:val="252"/>
        </w:numPr>
        <w:ind w:left="567" w:hanging="567"/>
        <w:rPr>
          <w:shd w:val="clear" w:color="auto" w:fill="FFFF00"/>
        </w:rPr>
      </w:pPr>
      <w:r w:rsidRPr="001B4A02">
        <w:t>oční infekce</w:t>
      </w:r>
    </w:p>
    <w:p w14:paraId="5142CC2E" w14:textId="77777777" w:rsidR="009954F1" w:rsidRPr="001B4A02" w:rsidRDefault="00000000" w:rsidP="002857B1">
      <w:pPr>
        <w:numPr>
          <w:ilvl w:val="0"/>
          <w:numId w:val="252"/>
        </w:numPr>
        <w:ind w:left="567" w:hanging="567"/>
        <w:rPr>
          <w:shd w:val="clear" w:color="auto" w:fill="FFFF00"/>
        </w:rPr>
      </w:pPr>
      <w:r w:rsidRPr="001B4A02">
        <w:t>záněty očního víčka</w:t>
      </w:r>
      <w:r w:rsidR="002378E0">
        <w:t xml:space="preserve"> a </w:t>
      </w:r>
      <w:r w:rsidRPr="001B4A02">
        <w:t>otoky oka</w:t>
      </w:r>
    </w:p>
    <w:p w14:paraId="0A9FD95B" w14:textId="77777777" w:rsidR="009954F1" w:rsidRPr="001B4A02" w:rsidRDefault="00000000" w:rsidP="002857B1">
      <w:pPr>
        <w:pStyle w:val="EMEANormal"/>
        <w:numPr>
          <w:ilvl w:val="0"/>
          <w:numId w:val="252"/>
        </w:numPr>
        <w:tabs>
          <w:tab w:val="clear" w:pos="562"/>
        </w:tabs>
        <w:suppressAutoHyphens w:val="0"/>
        <w:ind w:left="567" w:hanging="567"/>
        <w:rPr>
          <w:lang w:val="cs-CZ"/>
        </w:rPr>
      </w:pPr>
      <w:r w:rsidRPr="001B4A02">
        <w:rPr>
          <w:lang w:val="cs-CZ"/>
        </w:rPr>
        <w:t>točení hlavy</w:t>
      </w:r>
    </w:p>
    <w:p w14:paraId="316226F7" w14:textId="77777777" w:rsidR="009954F1" w:rsidRPr="001B4A02" w:rsidRDefault="00000000" w:rsidP="002857B1">
      <w:pPr>
        <w:pStyle w:val="EMEANormal"/>
        <w:numPr>
          <w:ilvl w:val="0"/>
          <w:numId w:val="252"/>
        </w:numPr>
        <w:tabs>
          <w:tab w:val="clear" w:pos="562"/>
        </w:tabs>
        <w:suppressAutoHyphens w:val="0"/>
        <w:ind w:left="567" w:hanging="567"/>
        <w:rPr>
          <w:lang w:val="cs-CZ"/>
        </w:rPr>
      </w:pPr>
      <w:r w:rsidRPr="001B4A02">
        <w:rPr>
          <w:lang w:val="cs-CZ"/>
        </w:rPr>
        <w:t>pocity rychlého bušení srdce</w:t>
      </w:r>
    </w:p>
    <w:p w14:paraId="1D7DA055" w14:textId="77777777" w:rsidR="009954F1" w:rsidRPr="001B4A02" w:rsidRDefault="00000000" w:rsidP="002857B1">
      <w:pPr>
        <w:pStyle w:val="EMEANormal"/>
        <w:numPr>
          <w:ilvl w:val="0"/>
          <w:numId w:val="252"/>
        </w:numPr>
        <w:tabs>
          <w:tab w:val="clear" w:pos="562"/>
        </w:tabs>
        <w:suppressAutoHyphens w:val="0"/>
        <w:ind w:left="567" w:hanging="567"/>
        <w:rPr>
          <w:lang w:val="cs-CZ"/>
        </w:rPr>
      </w:pPr>
      <w:r w:rsidRPr="001B4A02">
        <w:rPr>
          <w:lang w:val="cs-CZ"/>
        </w:rPr>
        <w:t>vysoký krevní tlak</w:t>
      </w:r>
    </w:p>
    <w:p w14:paraId="777CA51B" w14:textId="77777777" w:rsidR="009954F1" w:rsidRPr="001B4A02" w:rsidRDefault="00000000" w:rsidP="002857B1">
      <w:pPr>
        <w:pStyle w:val="EMEANormal"/>
        <w:numPr>
          <w:ilvl w:val="0"/>
          <w:numId w:val="252"/>
        </w:numPr>
        <w:tabs>
          <w:tab w:val="clear" w:pos="562"/>
        </w:tabs>
        <w:suppressAutoHyphens w:val="0"/>
        <w:ind w:left="567" w:hanging="567"/>
        <w:rPr>
          <w:lang w:val="cs-CZ"/>
        </w:rPr>
      </w:pPr>
      <w:r w:rsidRPr="001B4A02">
        <w:rPr>
          <w:lang w:val="cs-CZ"/>
        </w:rPr>
        <w:t>návaly hork</w:t>
      </w:r>
      <w:r w:rsidR="006D39E6">
        <w:rPr>
          <w:lang w:val="cs-CZ"/>
        </w:rPr>
        <w:t>a</w:t>
      </w:r>
    </w:p>
    <w:p w14:paraId="03D700E9" w14:textId="77777777" w:rsidR="009954F1" w:rsidRPr="001B4A02" w:rsidRDefault="00000000" w:rsidP="002857B1">
      <w:pPr>
        <w:pStyle w:val="EMEANormal"/>
        <w:numPr>
          <w:ilvl w:val="0"/>
          <w:numId w:val="252"/>
        </w:numPr>
        <w:tabs>
          <w:tab w:val="clear" w:pos="562"/>
        </w:tabs>
        <w:suppressAutoHyphens w:val="0"/>
        <w:ind w:left="567" w:hanging="567"/>
        <w:rPr>
          <w:lang w:val="cs-CZ"/>
        </w:rPr>
      </w:pPr>
      <w:r w:rsidRPr="001B4A02">
        <w:rPr>
          <w:lang w:val="cs-CZ"/>
        </w:rPr>
        <w:t>krevní podlitiny</w:t>
      </w:r>
    </w:p>
    <w:p w14:paraId="6A4AA71C" w14:textId="77777777" w:rsidR="009954F1" w:rsidRPr="001B4A02" w:rsidRDefault="00000000" w:rsidP="002857B1">
      <w:pPr>
        <w:pStyle w:val="EMEANormal"/>
        <w:numPr>
          <w:ilvl w:val="0"/>
          <w:numId w:val="252"/>
        </w:numPr>
        <w:tabs>
          <w:tab w:val="clear" w:pos="562"/>
        </w:tabs>
        <w:suppressAutoHyphens w:val="0"/>
        <w:ind w:left="567" w:hanging="567"/>
        <w:rPr>
          <w:lang w:val="cs-CZ"/>
        </w:rPr>
      </w:pPr>
      <w:r w:rsidRPr="001B4A02">
        <w:rPr>
          <w:lang w:val="cs-CZ"/>
        </w:rPr>
        <w:t>kašel</w:t>
      </w:r>
    </w:p>
    <w:p w14:paraId="4CF9CD6A" w14:textId="77777777" w:rsidR="009954F1" w:rsidRPr="001B4A02" w:rsidRDefault="00000000" w:rsidP="002857B1">
      <w:pPr>
        <w:pStyle w:val="EMEANormal"/>
        <w:numPr>
          <w:ilvl w:val="0"/>
          <w:numId w:val="252"/>
        </w:numPr>
        <w:tabs>
          <w:tab w:val="clear" w:pos="562"/>
        </w:tabs>
        <w:suppressAutoHyphens w:val="0"/>
        <w:ind w:left="567" w:hanging="567"/>
        <w:rPr>
          <w:lang w:val="cs-CZ"/>
        </w:rPr>
      </w:pPr>
      <w:r w:rsidRPr="001B4A02">
        <w:rPr>
          <w:lang w:val="cs-CZ"/>
        </w:rPr>
        <w:t>astma</w:t>
      </w:r>
    </w:p>
    <w:p w14:paraId="264A3918" w14:textId="77777777" w:rsidR="009954F1" w:rsidRPr="001B4A02" w:rsidRDefault="00000000" w:rsidP="002857B1">
      <w:pPr>
        <w:pStyle w:val="EMEANormal"/>
        <w:numPr>
          <w:ilvl w:val="0"/>
          <w:numId w:val="252"/>
        </w:numPr>
        <w:tabs>
          <w:tab w:val="clear" w:pos="562"/>
        </w:tabs>
        <w:suppressAutoHyphens w:val="0"/>
        <w:ind w:left="567" w:hanging="567"/>
        <w:rPr>
          <w:lang w:val="cs-CZ"/>
        </w:rPr>
      </w:pPr>
      <w:r w:rsidRPr="001B4A02">
        <w:rPr>
          <w:lang w:val="cs-CZ"/>
        </w:rPr>
        <w:t>zkrácení dechu</w:t>
      </w:r>
    </w:p>
    <w:p w14:paraId="087D228B" w14:textId="77777777" w:rsidR="009954F1" w:rsidRPr="001B4A02" w:rsidRDefault="00000000" w:rsidP="002857B1">
      <w:pPr>
        <w:pStyle w:val="EMEANormal"/>
        <w:numPr>
          <w:ilvl w:val="0"/>
          <w:numId w:val="252"/>
        </w:numPr>
        <w:tabs>
          <w:tab w:val="clear" w:pos="562"/>
        </w:tabs>
        <w:suppressAutoHyphens w:val="0"/>
        <w:ind w:left="567" w:hanging="567"/>
        <w:rPr>
          <w:lang w:val="cs-CZ"/>
        </w:rPr>
      </w:pPr>
      <w:r w:rsidRPr="001B4A02">
        <w:rPr>
          <w:lang w:val="cs-CZ"/>
        </w:rPr>
        <w:t>krvácení ze zažívacího ústrojí</w:t>
      </w:r>
    </w:p>
    <w:p w14:paraId="43A2D349" w14:textId="77777777" w:rsidR="009954F1" w:rsidRPr="001B4A02" w:rsidRDefault="00000000" w:rsidP="002857B1">
      <w:pPr>
        <w:pStyle w:val="EMEANormal"/>
        <w:numPr>
          <w:ilvl w:val="0"/>
          <w:numId w:val="252"/>
        </w:numPr>
        <w:tabs>
          <w:tab w:val="clear" w:pos="562"/>
        </w:tabs>
        <w:suppressAutoHyphens w:val="0"/>
        <w:ind w:left="567" w:hanging="567"/>
        <w:rPr>
          <w:lang w:val="cs-CZ"/>
        </w:rPr>
      </w:pPr>
      <w:r w:rsidRPr="001B4A02">
        <w:rPr>
          <w:lang w:val="cs-CZ"/>
        </w:rPr>
        <w:t>zažívací obtíže (poruchy trávení, nadýmání, pálení žáhy)</w:t>
      </w:r>
    </w:p>
    <w:p w14:paraId="5890787A" w14:textId="77777777" w:rsidR="009954F1" w:rsidRPr="001B4A02" w:rsidRDefault="00000000" w:rsidP="002857B1">
      <w:pPr>
        <w:pStyle w:val="EMEANormal"/>
        <w:numPr>
          <w:ilvl w:val="0"/>
          <w:numId w:val="252"/>
        </w:numPr>
        <w:tabs>
          <w:tab w:val="clear" w:pos="562"/>
        </w:tabs>
        <w:suppressAutoHyphens w:val="0"/>
        <w:ind w:left="567" w:hanging="567"/>
        <w:rPr>
          <w:lang w:val="cs-CZ"/>
        </w:rPr>
      </w:pPr>
      <w:r w:rsidRPr="001B4A02">
        <w:rPr>
          <w:lang w:val="cs-CZ"/>
        </w:rPr>
        <w:t>refluxní choroba jícnu</w:t>
      </w:r>
    </w:p>
    <w:p w14:paraId="396ABBCF" w14:textId="77777777" w:rsidR="009954F1" w:rsidRPr="001B4A02" w:rsidRDefault="00000000" w:rsidP="002857B1">
      <w:pPr>
        <w:pStyle w:val="EMEANormal"/>
        <w:numPr>
          <w:ilvl w:val="0"/>
          <w:numId w:val="252"/>
        </w:numPr>
        <w:tabs>
          <w:tab w:val="clear" w:pos="562"/>
        </w:tabs>
        <w:suppressAutoHyphens w:val="0"/>
        <w:ind w:left="567" w:hanging="567"/>
        <w:rPr>
          <w:lang w:val="cs-CZ"/>
        </w:rPr>
      </w:pPr>
      <w:r w:rsidRPr="001B4A02">
        <w:rPr>
          <w:lang w:val="cs-CZ"/>
        </w:rPr>
        <w:t>sicca syndrom (včetně suchých očí</w:t>
      </w:r>
      <w:r w:rsidR="002378E0">
        <w:rPr>
          <w:lang w:val="cs-CZ"/>
        </w:rPr>
        <w:t xml:space="preserve"> a </w:t>
      </w:r>
      <w:r w:rsidRPr="001B4A02">
        <w:rPr>
          <w:lang w:val="cs-CZ"/>
        </w:rPr>
        <w:t>suchosti v ústech)</w:t>
      </w:r>
    </w:p>
    <w:p w14:paraId="4EB3C5B8"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sidRPr="001B4A02">
        <w:rPr>
          <w:lang w:val="cs-CZ"/>
        </w:rPr>
        <w:t>svědění</w:t>
      </w:r>
    </w:p>
    <w:p w14:paraId="61B515A8"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sidRPr="001B4A02">
        <w:rPr>
          <w:lang w:val="cs-CZ"/>
        </w:rPr>
        <w:t>svědivá vyrážka</w:t>
      </w:r>
    </w:p>
    <w:p w14:paraId="7B0CCADC"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sidRPr="001B4A02">
        <w:rPr>
          <w:lang w:val="cs-CZ"/>
        </w:rPr>
        <w:t>tvorba modřin</w:t>
      </w:r>
    </w:p>
    <w:p w14:paraId="34CF4B4A"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sidRPr="001B4A02">
        <w:rPr>
          <w:lang w:val="cs-CZ"/>
        </w:rPr>
        <w:t>záněty kůže (jako je ekzém)</w:t>
      </w:r>
    </w:p>
    <w:p w14:paraId="0F8828FB"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sidRPr="001B4A02">
        <w:rPr>
          <w:lang w:val="cs-CZ"/>
        </w:rPr>
        <w:t>lámavost nehtů na prstech rukou</w:t>
      </w:r>
      <w:r w:rsidR="002378E0">
        <w:rPr>
          <w:lang w:val="cs-CZ"/>
        </w:rPr>
        <w:t xml:space="preserve"> a </w:t>
      </w:r>
      <w:r w:rsidRPr="001B4A02">
        <w:rPr>
          <w:lang w:val="cs-CZ"/>
        </w:rPr>
        <w:t>nohou</w:t>
      </w:r>
    </w:p>
    <w:p w14:paraId="7598E984"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sidRPr="001B4A02">
        <w:rPr>
          <w:lang w:val="cs-CZ"/>
        </w:rPr>
        <w:t>zvýšené pocení</w:t>
      </w:r>
    </w:p>
    <w:p w14:paraId="06435FF9"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sidRPr="001B4A02">
        <w:rPr>
          <w:lang w:val="cs-CZ"/>
        </w:rPr>
        <w:t>vypadávání vlasů</w:t>
      </w:r>
    </w:p>
    <w:p w14:paraId="61C5800A"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sidRPr="001B4A02">
        <w:rPr>
          <w:lang w:val="cs-CZ"/>
        </w:rPr>
        <w:t>nový vznik nebo zhoršení psoriázy (lupénky)</w:t>
      </w:r>
    </w:p>
    <w:p w14:paraId="70CDDC64"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sidRPr="001B4A02">
        <w:rPr>
          <w:lang w:val="cs-CZ"/>
        </w:rPr>
        <w:t>svalové křeče</w:t>
      </w:r>
    </w:p>
    <w:p w14:paraId="248CE396"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sidRPr="001B4A02">
        <w:rPr>
          <w:lang w:val="cs-CZ"/>
        </w:rPr>
        <w:t>krev v moči</w:t>
      </w:r>
    </w:p>
    <w:p w14:paraId="4C03C3B0"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sidRPr="001B4A02">
        <w:rPr>
          <w:lang w:val="cs-CZ"/>
        </w:rPr>
        <w:t>onemocnění ledvin</w:t>
      </w:r>
    </w:p>
    <w:p w14:paraId="47771ABE"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sidRPr="001B4A02">
        <w:rPr>
          <w:lang w:val="cs-CZ"/>
        </w:rPr>
        <w:t>bolest na hrudi</w:t>
      </w:r>
    </w:p>
    <w:p w14:paraId="3F49C2C4"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Pr>
          <w:lang w:val="cs-CZ"/>
        </w:rPr>
        <w:t>edém (</w:t>
      </w:r>
      <w:r w:rsidRPr="001B4A02">
        <w:rPr>
          <w:lang w:val="cs-CZ"/>
        </w:rPr>
        <w:t>otok</w:t>
      </w:r>
      <w:r>
        <w:rPr>
          <w:lang w:val="cs-CZ"/>
        </w:rPr>
        <w:t>)</w:t>
      </w:r>
    </w:p>
    <w:p w14:paraId="0BC1A795"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sidRPr="001B4A02">
        <w:rPr>
          <w:lang w:val="cs-CZ"/>
        </w:rPr>
        <w:t>horečka</w:t>
      </w:r>
    </w:p>
    <w:p w14:paraId="1F46B275"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sidRPr="001B4A02">
        <w:rPr>
          <w:lang w:val="cs-CZ"/>
        </w:rPr>
        <w:t>snížení počtu krevních destiček, což zvyšuje riziko krvácení nebo tvorby modřin</w:t>
      </w:r>
    </w:p>
    <w:p w14:paraId="7638F63C" w14:textId="77777777" w:rsidR="009954F1" w:rsidRPr="001B4A02" w:rsidRDefault="00000000" w:rsidP="002857B1">
      <w:pPr>
        <w:pStyle w:val="EMEANormal"/>
        <w:numPr>
          <w:ilvl w:val="0"/>
          <w:numId w:val="252"/>
        </w:numPr>
        <w:tabs>
          <w:tab w:val="clear" w:pos="562"/>
        </w:tabs>
        <w:suppressAutoHyphens w:val="0"/>
        <w:ind w:left="567" w:hanging="567"/>
        <w:rPr>
          <w:shd w:val="clear" w:color="auto" w:fill="FFFF00"/>
          <w:lang w:val="cs-CZ"/>
        </w:rPr>
      </w:pPr>
      <w:r w:rsidRPr="001B4A02">
        <w:rPr>
          <w:lang w:val="cs-CZ"/>
        </w:rPr>
        <w:t>poruchy hojení</w:t>
      </w:r>
    </w:p>
    <w:p w14:paraId="024B63CC" w14:textId="77777777" w:rsidR="009954F1" w:rsidRPr="001B4A02" w:rsidRDefault="009954F1" w:rsidP="009954F1">
      <w:pPr>
        <w:ind w:left="0" w:firstLine="0"/>
      </w:pPr>
    </w:p>
    <w:p w14:paraId="2140304D" w14:textId="77777777" w:rsidR="009954F1" w:rsidRPr="001B4A02" w:rsidRDefault="00000000" w:rsidP="009954F1">
      <w:pPr>
        <w:ind w:left="0" w:firstLine="0"/>
      </w:pPr>
      <w:r w:rsidRPr="001B4A02">
        <w:rPr>
          <w:b/>
        </w:rPr>
        <w:t xml:space="preserve">Méně časté </w:t>
      </w:r>
      <w:r w:rsidRPr="001B4A02">
        <w:t>(</w:t>
      </w:r>
      <w:r w:rsidRPr="001B4A02">
        <w:rPr>
          <w:shd w:val="clear" w:color="auto" w:fill="FFFFFF"/>
        </w:rPr>
        <w:t>mohou postihnout nejvýše 1 ze 100 osob</w:t>
      </w:r>
      <w:r w:rsidR="002C4337" w:rsidRPr="001B4A02">
        <w:t>)</w:t>
      </w:r>
    </w:p>
    <w:p w14:paraId="3689AD60" w14:textId="77777777" w:rsidR="009954F1" w:rsidRPr="001B4A02" w:rsidRDefault="009954F1" w:rsidP="009954F1">
      <w:pPr>
        <w:ind w:left="0" w:firstLine="0"/>
      </w:pPr>
    </w:p>
    <w:p w14:paraId="5ACD1D95" w14:textId="77777777" w:rsidR="009954F1" w:rsidRPr="001B4A02" w:rsidRDefault="00000000" w:rsidP="002857B1">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oportunní infekce (které zahrnují tuberkulózu</w:t>
      </w:r>
      <w:r w:rsidR="002378E0">
        <w:rPr>
          <w:szCs w:val="22"/>
          <w:lang w:val="cs-CZ"/>
        </w:rPr>
        <w:t xml:space="preserve"> a </w:t>
      </w:r>
      <w:r w:rsidRPr="001B4A02">
        <w:rPr>
          <w:szCs w:val="22"/>
          <w:lang w:val="cs-CZ"/>
        </w:rPr>
        <w:t>jiné infekce, které se objevují, když je snížena odolnost vůči onemocněním)</w:t>
      </w:r>
    </w:p>
    <w:p w14:paraId="09F4B194" w14:textId="77777777" w:rsidR="009954F1" w:rsidRPr="001B4A02" w:rsidRDefault="00000000" w:rsidP="002857B1">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neurologické infekce (včetně virové meningitidy)</w:t>
      </w:r>
    </w:p>
    <w:p w14:paraId="0B4D2315" w14:textId="77777777" w:rsidR="009954F1" w:rsidRPr="001B4A02" w:rsidRDefault="00000000" w:rsidP="002857B1">
      <w:pPr>
        <w:numPr>
          <w:ilvl w:val="0"/>
          <w:numId w:val="17"/>
        </w:numPr>
        <w:tabs>
          <w:tab w:val="clear" w:pos="720"/>
        </w:tabs>
        <w:ind w:left="567" w:hanging="567"/>
        <w:rPr>
          <w:szCs w:val="22"/>
        </w:rPr>
      </w:pPr>
      <w:r w:rsidRPr="001B4A02">
        <w:rPr>
          <w:szCs w:val="22"/>
        </w:rPr>
        <w:t>záněty oka</w:t>
      </w:r>
    </w:p>
    <w:p w14:paraId="29478577" w14:textId="77777777" w:rsidR="009954F1" w:rsidRPr="001B4A02" w:rsidRDefault="00000000" w:rsidP="002857B1">
      <w:pPr>
        <w:numPr>
          <w:ilvl w:val="0"/>
          <w:numId w:val="17"/>
        </w:numPr>
        <w:tabs>
          <w:tab w:val="clear" w:pos="720"/>
        </w:tabs>
        <w:ind w:left="567" w:hanging="567"/>
        <w:rPr>
          <w:szCs w:val="22"/>
        </w:rPr>
      </w:pPr>
      <w:r w:rsidRPr="001B4A02">
        <w:rPr>
          <w:szCs w:val="22"/>
        </w:rPr>
        <w:t>bakteriální infekce</w:t>
      </w:r>
    </w:p>
    <w:p w14:paraId="37D7FFD8" w14:textId="77777777" w:rsidR="009954F1" w:rsidRPr="001B4A02" w:rsidRDefault="00000000" w:rsidP="002857B1">
      <w:pPr>
        <w:numPr>
          <w:ilvl w:val="0"/>
          <w:numId w:val="17"/>
        </w:numPr>
        <w:tabs>
          <w:tab w:val="clear" w:pos="720"/>
        </w:tabs>
        <w:ind w:left="567" w:hanging="567"/>
        <w:rPr>
          <w:szCs w:val="22"/>
        </w:rPr>
      </w:pPr>
      <w:r w:rsidRPr="001B4A02">
        <w:rPr>
          <w:szCs w:val="22"/>
          <w:lang w:eastAsia="de-DE"/>
        </w:rPr>
        <w:t>divertikulitida (zánětlivé onemocnění spojené s infekcí tlustého střeva)</w:t>
      </w:r>
    </w:p>
    <w:p w14:paraId="747EE499" w14:textId="77777777" w:rsidR="009954F1" w:rsidRPr="001B4A02" w:rsidRDefault="00000000" w:rsidP="002857B1">
      <w:pPr>
        <w:numPr>
          <w:ilvl w:val="0"/>
          <w:numId w:val="17"/>
        </w:numPr>
        <w:tabs>
          <w:tab w:val="clear" w:pos="720"/>
        </w:tabs>
        <w:ind w:left="567" w:hanging="567"/>
        <w:rPr>
          <w:szCs w:val="22"/>
        </w:rPr>
      </w:pPr>
      <w:r w:rsidRPr="001B4A02">
        <w:rPr>
          <w:szCs w:val="22"/>
        </w:rPr>
        <w:t>rakovina</w:t>
      </w:r>
    </w:p>
    <w:p w14:paraId="4314A756" w14:textId="77777777" w:rsidR="009954F1" w:rsidRPr="001B4A02" w:rsidRDefault="00000000" w:rsidP="002857B1">
      <w:pPr>
        <w:numPr>
          <w:ilvl w:val="0"/>
          <w:numId w:val="17"/>
        </w:numPr>
        <w:tabs>
          <w:tab w:val="clear" w:pos="720"/>
        </w:tabs>
        <w:ind w:left="567" w:hanging="567"/>
        <w:rPr>
          <w:szCs w:val="22"/>
        </w:rPr>
      </w:pPr>
      <w:r w:rsidRPr="001B4A02">
        <w:rPr>
          <w:szCs w:val="22"/>
        </w:rPr>
        <w:t>rakovina postihující mízní systém</w:t>
      </w:r>
    </w:p>
    <w:p w14:paraId="0A645B7F" w14:textId="77777777" w:rsidR="009954F1" w:rsidRPr="001B4A02" w:rsidRDefault="00000000" w:rsidP="002857B1">
      <w:pPr>
        <w:numPr>
          <w:ilvl w:val="0"/>
          <w:numId w:val="17"/>
        </w:numPr>
        <w:tabs>
          <w:tab w:val="clear" w:pos="720"/>
        </w:tabs>
        <w:ind w:left="567" w:hanging="567"/>
        <w:rPr>
          <w:szCs w:val="22"/>
        </w:rPr>
      </w:pPr>
      <w:r w:rsidRPr="001B4A02">
        <w:rPr>
          <w:szCs w:val="22"/>
        </w:rPr>
        <w:t>melanom</w:t>
      </w:r>
    </w:p>
    <w:p w14:paraId="4716D507" w14:textId="77777777" w:rsidR="009954F1" w:rsidRPr="001B4A02" w:rsidRDefault="00000000" w:rsidP="002857B1">
      <w:pPr>
        <w:numPr>
          <w:ilvl w:val="0"/>
          <w:numId w:val="17"/>
        </w:numPr>
        <w:tabs>
          <w:tab w:val="clear" w:pos="720"/>
        </w:tabs>
        <w:ind w:left="567" w:hanging="567"/>
        <w:rPr>
          <w:szCs w:val="22"/>
        </w:rPr>
      </w:pPr>
      <w:r w:rsidRPr="001B4A02">
        <w:rPr>
          <w:szCs w:val="22"/>
        </w:rPr>
        <w:t>poruchy imunitního systému, které mohou postihovat plíce, kůži</w:t>
      </w:r>
      <w:r w:rsidR="002378E0">
        <w:rPr>
          <w:szCs w:val="22"/>
        </w:rPr>
        <w:t xml:space="preserve"> a </w:t>
      </w:r>
      <w:r w:rsidRPr="001B4A02">
        <w:rPr>
          <w:szCs w:val="22"/>
        </w:rPr>
        <w:t>lymfatické uzliny (nejčastěji se projevující jako sarkoidóza)</w:t>
      </w:r>
    </w:p>
    <w:p w14:paraId="51F748BB" w14:textId="77777777" w:rsidR="009954F1" w:rsidRPr="001B4A02" w:rsidRDefault="00000000" w:rsidP="002857B1">
      <w:pPr>
        <w:numPr>
          <w:ilvl w:val="0"/>
          <w:numId w:val="17"/>
        </w:numPr>
        <w:tabs>
          <w:tab w:val="clear" w:pos="720"/>
        </w:tabs>
        <w:ind w:left="567" w:hanging="567"/>
        <w:rPr>
          <w:szCs w:val="22"/>
        </w:rPr>
      </w:pPr>
      <w:r w:rsidRPr="001B4A02">
        <w:rPr>
          <w:szCs w:val="22"/>
        </w:rPr>
        <w:t>vaskulitida (zánět krevních cév)</w:t>
      </w:r>
    </w:p>
    <w:p w14:paraId="16AE09F3" w14:textId="77777777" w:rsidR="009954F1" w:rsidRPr="001B4A02" w:rsidRDefault="00000000" w:rsidP="002857B1">
      <w:pPr>
        <w:numPr>
          <w:ilvl w:val="0"/>
          <w:numId w:val="17"/>
        </w:numPr>
        <w:tabs>
          <w:tab w:val="clear" w:pos="720"/>
        </w:tabs>
        <w:ind w:left="567" w:hanging="567"/>
        <w:rPr>
          <w:szCs w:val="22"/>
        </w:rPr>
      </w:pPr>
      <w:r w:rsidRPr="001B4A02">
        <w:rPr>
          <w:szCs w:val="22"/>
        </w:rPr>
        <w:t>třes</w:t>
      </w:r>
    </w:p>
    <w:p w14:paraId="2DC064DA" w14:textId="77777777" w:rsidR="009954F1" w:rsidRPr="001B4A02" w:rsidRDefault="00000000" w:rsidP="002857B1">
      <w:pPr>
        <w:numPr>
          <w:ilvl w:val="0"/>
          <w:numId w:val="17"/>
        </w:numPr>
        <w:tabs>
          <w:tab w:val="clear" w:pos="720"/>
        </w:tabs>
        <w:ind w:left="567" w:hanging="567"/>
        <w:rPr>
          <w:szCs w:val="22"/>
        </w:rPr>
      </w:pPr>
      <w:r w:rsidRPr="001B4A02">
        <w:rPr>
          <w:szCs w:val="22"/>
        </w:rPr>
        <w:t>neuropatie (postižení nervů)</w:t>
      </w:r>
    </w:p>
    <w:p w14:paraId="48E9D42A" w14:textId="77777777" w:rsidR="009954F1" w:rsidRPr="001B4A02" w:rsidRDefault="00000000" w:rsidP="002857B1">
      <w:pPr>
        <w:numPr>
          <w:ilvl w:val="0"/>
          <w:numId w:val="17"/>
        </w:numPr>
        <w:tabs>
          <w:tab w:val="clear" w:pos="720"/>
        </w:tabs>
        <w:ind w:left="567" w:hanging="567"/>
        <w:rPr>
          <w:szCs w:val="22"/>
        </w:rPr>
      </w:pPr>
      <w:r w:rsidRPr="001B4A02">
        <w:rPr>
          <w:szCs w:val="22"/>
        </w:rPr>
        <w:t>mozková mrtvice</w:t>
      </w:r>
    </w:p>
    <w:p w14:paraId="4D7D2859" w14:textId="77777777" w:rsidR="009954F1" w:rsidRPr="001B4A02" w:rsidRDefault="00000000" w:rsidP="002857B1">
      <w:pPr>
        <w:numPr>
          <w:ilvl w:val="0"/>
          <w:numId w:val="17"/>
        </w:numPr>
        <w:tabs>
          <w:tab w:val="clear" w:pos="720"/>
        </w:tabs>
        <w:ind w:left="567" w:hanging="567"/>
        <w:rPr>
          <w:szCs w:val="22"/>
        </w:rPr>
      </w:pPr>
      <w:r w:rsidRPr="001B4A02">
        <w:rPr>
          <w:szCs w:val="22"/>
        </w:rPr>
        <w:t xml:space="preserve">ztráta sluchu, </w:t>
      </w:r>
      <w:r w:rsidR="006D39E6">
        <w:rPr>
          <w:szCs w:val="22"/>
        </w:rPr>
        <w:t>ušní šelest</w:t>
      </w:r>
    </w:p>
    <w:p w14:paraId="5581B70C" w14:textId="77777777" w:rsidR="009954F1" w:rsidRPr="001B4A02" w:rsidRDefault="00000000" w:rsidP="002857B1">
      <w:pPr>
        <w:numPr>
          <w:ilvl w:val="0"/>
          <w:numId w:val="17"/>
        </w:numPr>
        <w:tabs>
          <w:tab w:val="clear" w:pos="720"/>
        </w:tabs>
        <w:ind w:left="567" w:hanging="567"/>
        <w:rPr>
          <w:szCs w:val="22"/>
        </w:rPr>
      </w:pPr>
      <w:r w:rsidRPr="001B4A02">
        <w:rPr>
          <w:szCs w:val="22"/>
        </w:rPr>
        <w:t>pocity nepravidelného bušení srdce, jako je vynechání tepu</w:t>
      </w:r>
    </w:p>
    <w:p w14:paraId="6C582398" w14:textId="77777777" w:rsidR="009954F1" w:rsidRPr="001B4A02" w:rsidRDefault="00000000" w:rsidP="002857B1">
      <w:pPr>
        <w:numPr>
          <w:ilvl w:val="0"/>
          <w:numId w:val="17"/>
        </w:numPr>
        <w:tabs>
          <w:tab w:val="clear" w:pos="720"/>
        </w:tabs>
        <w:ind w:left="567" w:hanging="567"/>
        <w:rPr>
          <w:szCs w:val="22"/>
        </w:rPr>
      </w:pPr>
      <w:r w:rsidRPr="001B4A02">
        <w:rPr>
          <w:szCs w:val="22"/>
        </w:rPr>
        <w:t>srdeční obtíže, které mohou způsobovat zkrácení dechu nebo otékání kotníků</w:t>
      </w:r>
    </w:p>
    <w:p w14:paraId="0C5A6F10" w14:textId="77777777" w:rsidR="009954F1" w:rsidRPr="001B4A02" w:rsidRDefault="00000000" w:rsidP="002857B1">
      <w:pPr>
        <w:numPr>
          <w:ilvl w:val="0"/>
          <w:numId w:val="17"/>
        </w:numPr>
        <w:tabs>
          <w:tab w:val="clear" w:pos="720"/>
        </w:tabs>
        <w:ind w:left="567" w:hanging="567"/>
        <w:rPr>
          <w:szCs w:val="22"/>
        </w:rPr>
      </w:pPr>
      <w:r w:rsidRPr="001B4A02">
        <w:rPr>
          <w:szCs w:val="22"/>
        </w:rPr>
        <w:t>srdeční příhoda (infarkt)</w:t>
      </w:r>
    </w:p>
    <w:p w14:paraId="04638192" w14:textId="77777777" w:rsidR="009954F1" w:rsidRPr="001B4A02" w:rsidRDefault="00000000" w:rsidP="002857B1">
      <w:pPr>
        <w:numPr>
          <w:ilvl w:val="0"/>
          <w:numId w:val="17"/>
        </w:numPr>
        <w:tabs>
          <w:tab w:val="clear" w:pos="720"/>
        </w:tabs>
        <w:ind w:left="567" w:hanging="567"/>
        <w:rPr>
          <w:szCs w:val="22"/>
        </w:rPr>
      </w:pPr>
      <w:r w:rsidRPr="001B4A02">
        <w:rPr>
          <w:szCs w:val="22"/>
        </w:rPr>
        <w:t>výduť ve stěně velkých tepen, zánět žilních městků, blokáda krevních cév</w:t>
      </w:r>
    </w:p>
    <w:p w14:paraId="786E7FD3" w14:textId="77777777" w:rsidR="009954F1" w:rsidRPr="001B4A02" w:rsidRDefault="00000000" w:rsidP="002857B1">
      <w:pPr>
        <w:numPr>
          <w:ilvl w:val="0"/>
          <w:numId w:val="17"/>
        </w:numPr>
        <w:tabs>
          <w:tab w:val="clear" w:pos="720"/>
        </w:tabs>
        <w:ind w:left="567" w:hanging="567"/>
        <w:rPr>
          <w:szCs w:val="22"/>
        </w:rPr>
      </w:pPr>
      <w:r w:rsidRPr="001B4A02">
        <w:rPr>
          <w:szCs w:val="22"/>
        </w:rPr>
        <w:t>plicní onemocnění způsobující zkrácení dechu (včetně zánětu)</w:t>
      </w:r>
    </w:p>
    <w:p w14:paraId="422AADED" w14:textId="77777777" w:rsidR="009954F1" w:rsidRPr="001B4A02" w:rsidRDefault="00000000" w:rsidP="002857B1">
      <w:pPr>
        <w:numPr>
          <w:ilvl w:val="0"/>
          <w:numId w:val="17"/>
        </w:numPr>
        <w:tabs>
          <w:tab w:val="clear" w:pos="720"/>
        </w:tabs>
        <w:ind w:left="567" w:hanging="567"/>
        <w:rPr>
          <w:szCs w:val="22"/>
        </w:rPr>
      </w:pPr>
      <w:r w:rsidRPr="001B4A02">
        <w:rPr>
          <w:szCs w:val="22"/>
          <w:lang w:eastAsia="de-DE"/>
        </w:rPr>
        <w:t>plicní embolie (uzávěr plicní tepny)</w:t>
      </w:r>
    </w:p>
    <w:p w14:paraId="7A5F22B4" w14:textId="77777777" w:rsidR="009954F1" w:rsidRPr="001B4A02" w:rsidRDefault="00000000" w:rsidP="002857B1">
      <w:pPr>
        <w:numPr>
          <w:ilvl w:val="0"/>
          <w:numId w:val="17"/>
        </w:numPr>
        <w:tabs>
          <w:tab w:val="clear" w:pos="720"/>
        </w:tabs>
        <w:ind w:left="567" w:hanging="567"/>
        <w:rPr>
          <w:szCs w:val="22"/>
        </w:rPr>
      </w:pPr>
      <w:r w:rsidRPr="001B4A02">
        <w:rPr>
          <w:szCs w:val="22"/>
          <w:lang w:eastAsia="de-DE"/>
        </w:rPr>
        <w:t>pleurální výpotek (neobvyklé nahromadění tekutiny v prostoru pohrudnice)</w:t>
      </w:r>
    </w:p>
    <w:p w14:paraId="2EC349C7" w14:textId="77777777" w:rsidR="009954F1" w:rsidRPr="001B4A02" w:rsidRDefault="00000000" w:rsidP="002857B1">
      <w:pPr>
        <w:numPr>
          <w:ilvl w:val="0"/>
          <w:numId w:val="17"/>
        </w:numPr>
        <w:tabs>
          <w:tab w:val="clear" w:pos="720"/>
        </w:tabs>
        <w:ind w:left="567" w:hanging="567"/>
        <w:rPr>
          <w:szCs w:val="22"/>
        </w:rPr>
      </w:pPr>
      <w:r w:rsidRPr="001B4A02">
        <w:rPr>
          <w:szCs w:val="22"/>
        </w:rPr>
        <w:t>zánět slinivky břišní, způsobující závažné bolesti břicha</w:t>
      </w:r>
      <w:r w:rsidR="002378E0">
        <w:rPr>
          <w:szCs w:val="22"/>
        </w:rPr>
        <w:t xml:space="preserve"> a </w:t>
      </w:r>
      <w:r w:rsidRPr="001B4A02">
        <w:rPr>
          <w:szCs w:val="22"/>
        </w:rPr>
        <w:t>zad</w:t>
      </w:r>
    </w:p>
    <w:p w14:paraId="14F230D6" w14:textId="77777777" w:rsidR="009954F1" w:rsidRPr="001B4A02" w:rsidRDefault="00000000" w:rsidP="002857B1">
      <w:pPr>
        <w:numPr>
          <w:ilvl w:val="0"/>
          <w:numId w:val="17"/>
        </w:numPr>
        <w:tabs>
          <w:tab w:val="clear" w:pos="720"/>
        </w:tabs>
        <w:ind w:left="567" w:hanging="567"/>
        <w:rPr>
          <w:szCs w:val="22"/>
        </w:rPr>
      </w:pPr>
      <w:r w:rsidRPr="001B4A02">
        <w:rPr>
          <w:szCs w:val="22"/>
        </w:rPr>
        <w:t>potíže s polykáním</w:t>
      </w:r>
    </w:p>
    <w:p w14:paraId="2A48378B" w14:textId="77777777" w:rsidR="009954F1" w:rsidRPr="001B4A02" w:rsidRDefault="00000000" w:rsidP="002857B1">
      <w:pPr>
        <w:numPr>
          <w:ilvl w:val="0"/>
          <w:numId w:val="17"/>
        </w:numPr>
        <w:tabs>
          <w:tab w:val="clear" w:pos="720"/>
        </w:tabs>
        <w:ind w:left="567" w:hanging="567"/>
        <w:rPr>
          <w:szCs w:val="22"/>
        </w:rPr>
      </w:pPr>
      <w:r>
        <w:t xml:space="preserve">edém </w:t>
      </w:r>
      <w:r>
        <w:rPr>
          <w:szCs w:val="22"/>
        </w:rPr>
        <w:t>obličeje</w:t>
      </w:r>
      <w:r w:rsidRPr="001B4A02">
        <w:rPr>
          <w:szCs w:val="22"/>
        </w:rPr>
        <w:t xml:space="preserve"> </w:t>
      </w:r>
      <w:r>
        <w:rPr>
          <w:szCs w:val="22"/>
        </w:rPr>
        <w:t>(</w:t>
      </w:r>
      <w:r w:rsidRPr="001B4A02">
        <w:rPr>
          <w:szCs w:val="22"/>
        </w:rPr>
        <w:t xml:space="preserve">otok </w:t>
      </w:r>
      <w:r w:rsidR="00EE6ABF">
        <w:rPr>
          <w:szCs w:val="22"/>
        </w:rPr>
        <w:t>obličeje</w:t>
      </w:r>
      <w:r>
        <w:rPr>
          <w:szCs w:val="22"/>
        </w:rPr>
        <w:t>)</w:t>
      </w:r>
    </w:p>
    <w:p w14:paraId="2F879302" w14:textId="77777777" w:rsidR="009954F1" w:rsidRPr="001B4A02" w:rsidRDefault="00000000" w:rsidP="002857B1">
      <w:pPr>
        <w:numPr>
          <w:ilvl w:val="0"/>
          <w:numId w:val="17"/>
        </w:numPr>
        <w:tabs>
          <w:tab w:val="clear" w:pos="720"/>
        </w:tabs>
        <w:ind w:left="567" w:hanging="567"/>
        <w:rPr>
          <w:szCs w:val="22"/>
        </w:rPr>
      </w:pPr>
      <w:r w:rsidRPr="001B4A02">
        <w:rPr>
          <w:szCs w:val="22"/>
        </w:rPr>
        <w:t>zánět žlučníku, žlučníkové kameny</w:t>
      </w:r>
    </w:p>
    <w:p w14:paraId="7F1F8073" w14:textId="77777777" w:rsidR="009954F1" w:rsidRPr="001B4A02" w:rsidRDefault="00000000" w:rsidP="002857B1">
      <w:pPr>
        <w:numPr>
          <w:ilvl w:val="0"/>
          <w:numId w:val="17"/>
        </w:numPr>
        <w:tabs>
          <w:tab w:val="clear" w:pos="720"/>
        </w:tabs>
        <w:ind w:left="567" w:hanging="567"/>
        <w:rPr>
          <w:szCs w:val="22"/>
        </w:rPr>
      </w:pPr>
      <w:r>
        <w:rPr>
          <w:szCs w:val="22"/>
        </w:rPr>
        <w:t>ztu</w:t>
      </w:r>
      <w:r w:rsidR="003B4CAA">
        <w:rPr>
          <w:szCs w:val="22"/>
        </w:rPr>
        <w:t>kovění</w:t>
      </w:r>
      <w:r w:rsidRPr="001B4A02">
        <w:rPr>
          <w:szCs w:val="22"/>
        </w:rPr>
        <w:t xml:space="preserve"> jater</w:t>
      </w:r>
    </w:p>
    <w:p w14:paraId="768FBBFA" w14:textId="77777777" w:rsidR="009954F1" w:rsidRPr="001B4A02" w:rsidRDefault="00000000" w:rsidP="002857B1">
      <w:pPr>
        <w:numPr>
          <w:ilvl w:val="0"/>
          <w:numId w:val="17"/>
        </w:numPr>
        <w:tabs>
          <w:tab w:val="clear" w:pos="720"/>
        </w:tabs>
        <w:ind w:left="567" w:hanging="567"/>
        <w:rPr>
          <w:szCs w:val="22"/>
        </w:rPr>
      </w:pPr>
      <w:r w:rsidRPr="001B4A02">
        <w:rPr>
          <w:szCs w:val="22"/>
        </w:rPr>
        <w:t>noční pocení</w:t>
      </w:r>
    </w:p>
    <w:p w14:paraId="032B5DEF" w14:textId="77777777" w:rsidR="009954F1" w:rsidRPr="001B4A02" w:rsidRDefault="00000000" w:rsidP="002857B1">
      <w:pPr>
        <w:numPr>
          <w:ilvl w:val="0"/>
          <w:numId w:val="17"/>
        </w:numPr>
        <w:tabs>
          <w:tab w:val="clear" w:pos="720"/>
        </w:tabs>
        <w:ind w:left="567" w:hanging="567"/>
        <w:rPr>
          <w:szCs w:val="22"/>
        </w:rPr>
      </w:pPr>
      <w:r w:rsidRPr="001B4A02">
        <w:rPr>
          <w:szCs w:val="22"/>
        </w:rPr>
        <w:t>zjizvení</w:t>
      </w:r>
    </w:p>
    <w:p w14:paraId="31BF53E5" w14:textId="77777777" w:rsidR="009954F1" w:rsidRPr="001B4A02" w:rsidRDefault="00000000" w:rsidP="002857B1">
      <w:pPr>
        <w:numPr>
          <w:ilvl w:val="0"/>
          <w:numId w:val="17"/>
        </w:numPr>
        <w:tabs>
          <w:tab w:val="clear" w:pos="720"/>
        </w:tabs>
        <w:ind w:left="567" w:hanging="567"/>
        <w:rPr>
          <w:szCs w:val="22"/>
        </w:rPr>
      </w:pPr>
      <w:r w:rsidRPr="001B4A02">
        <w:rPr>
          <w:szCs w:val="22"/>
        </w:rPr>
        <w:t>neobvyklé poškození svalů</w:t>
      </w:r>
    </w:p>
    <w:p w14:paraId="14024945" w14:textId="77777777" w:rsidR="009954F1" w:rsidRPr="001B4A02" w:rsidRDefault="00000000" w:rsidP="002857B1">
      <w:pPr>
        <w:numPr>
          <w:ilvl w:val="0"/>
          <w:numId w:val="17"/>
        </w:numPr>
        <w:tabs>
          <w:tab w:val="clear" w:pos="720"/>
        </w:tabs>
        <w:ind w:left="567" w:hanging="567"/>
        <w:rPr>
          <w:szCs w:val="22"/>
        </w:rPr>
      </w:pPr>
      <w:r w:rsidRPr="001B4A02">
        <w:rPr>
          <w:szCs w:val="22"/>
        </w:rPr>
        <w:t>systémový lupus erythematodes (zahrnující zánět kůže, srdce, plic, kloubů</w:t>
      </w:r>
      <w:r w:rsidR="002378E0">
        <w:rPr>
          <w:szCs w:val="22"/>
        </w:rPr>
        <w:t xml:space="preserve"> a </w:t>
      </w:r>
      <w:r w:rsidRPr="001B4A02">
        <w:rPr>
          <w:szCs w:val="22"/>
        </w:rPr>
        <w:t>jiných orgánových systémů)</w:t>
      </w:r>
    </w:p>
    <w:p w14:paraId="36C194B7" w14:textId="77777777" w:rsidR="009954F1" w:rsidRPr="001B4A02" w:rsidRDefault="00000000" w:rsidP="002857B1">
      <w:pPr>
        <w:numPr>
          <w:ilvl w:val="0"/>
          <w:numId w:val="17"/>
        </w:numPr>
        <w:tabs>
          <w:tab w:val="clear" w:pos="720"/>
        </w:tabs>
        <w:ind w:left="567" w:hanging="567"/>
        <w:rPr>
          <w:szCs w:val="22"/>
        </w:rPr>
      </w:pPr>
      <w:r w:rsidRPr="001B4A02">
        <w:rPr>
          <w:szCs w:val="22"/>
        </w:rPr>
        <w:t>přerušovaný spánek</w:t>
      </w:r>
    </w:p>
    <w:p w14:paraId="3B72F03F" w14:textId="77777777" w:rsidR="009954F1" w:rsidRPr="001B4A02" w:rsidRDefault="00000000" w:rsidP="002857B1">
      <w:pPr>
        <w:numPr>
          <w:ilvl w:val="0"/>
          <w:numId w:val="17"/>
        </w:numPr>
        <w:tabs>
          <w:tab w:val="clear" w:pos="720"/>
        </w:tabs>
        <w:ind w:left="567" w:hanging="567"/>
        <w:rPr>
          <w:szCs w:val="22"/>
        </w:rPr>
      </w:pPr>
      <w:r w:rsidRPr="001B4A02">
        <w:rPr>
          <w:szCs w:val="22"/>
        </w:rPr>
        <w:t>impotence</w:t>
      </w:r>
    </w:p>
    <w:p w14:paraId="43776A77" w14:textId="77777777" w:rsidR="009954F1" w:rsidRPr="001B4A02" w:rsidRDefault="00000000" w:rsidP="002857B1">
      <w:pPr>
        <w:numPr>
          <w:ilvl w:val="0"/>
          <w:numId w:val="17"/>
        </w:numPr>
        <w:tabs>
          <w:tab w:val="clear" w:pos="720"/>
        </w:tabs>
        <w:ind w:left="567" w:hanging="567"/>
        <w:rPr>
          <w:shd w:val="clear" w:color="auto" w:fill="FFFF00"/>
        </w:rPr>
      </w:pPr>
      <w:r w:rsidRPr="001B4A02">
        <w:rPr>
          <w:szCs w:val="22"/>
        </w:rPr>
        <w:t>záněty</w:t>
      </w:r>
    </w:p>
    <w:p w14:paraId="573C3F4E" w14:textId="77777777" w:rsidR="009954F1" w:rsidRPr="001B4A02" w:rsidRDefault="009954F1" w:rsidP="009954F1">
      <w:pPr>
        <w:ind w:left="0" w:right="-29" w:firstLine="0"/>
      </w:pPr>
    </w:p>
    <w:p w14:paraId="3D5578A4" w14:textId="77777777" w:rsidR="009954F1" w:rsidRPr="001B4A02" w:rsidRDefault="00000000" w:rsidP="00BA0A72">
      <w:pPr>
        <w:keepNext/>
        <w:ind w:left="0" w:right="-28" w:firstLine="0"/>
        <w:rPr>
          <w:b/>
        </w:rPr>
      </w:pPr>
      <w:r w:rsidRPr="001B4A02">
        <w:rPr>
          <w:b/>
        </w:rPr>
        <w:t xml:space="preserve">Vzácné </w:t>
      </w:r>
      <w:r w:rsidRPr="001B4A02">
        <w:t>(mohou pos</w:t>
      </w:r>
      <w:r w:rsidR="002C4337" w:rsidRPr="001B4A02">
        <w:t>tihnout nejvýše 1 z 1 000 osob)</w:t>
      </w:r>
    </w:p>
    <w:p w14:paraId="1301F53C" w14:textId="77777777" w:rsidR="009954F1" w:rsidRPr="001B4A02" w:rsidRDefault="009954F1" w:rsidP="00BA0A72">
      <w:pPr>
        <w:keepNext/>
        <w:ind w:left="0" w:right="-28" w:firstLine="0"/>
        <w:rPr>
          <w:shd w:val="clear" w:color="auto" w:fill="FFFF00"/>
        </w:rPr>
      </w:pPr>
    </w:p>
    <w:p w14:paraId="4D29C77A" w14:textId="77777777" w:rsidR="009954F1" w:rsidRPr="001B4A02" w:rsidRDefault="00000000" w:rsidP="002857B1">
      <w:pPr>
        <w:numPr>
          <w:ilvl w:val="0"/>
          <w:numId w:val="17"/>
        </w:numPr>
        <w:tabs>
          <w:tab w:val="clear" w:pos="720"/>
        </w:tabs>
        <w:ind w:left="567" w:hanging="567"/>
        <w:rPr>
          <w:szCs w:val="22"/>
        </w:rPr>
      </w:pPr>
      <w:r w:rsidRPr="001B4A02">
        <w:rPr>
          <w:szCs w:val="22"/>
        </w:rPr>
        <w:t>leukémie (rakovina postihující krev</w:t>
      </w:r>
      <w:r w:rsidR="002378E0">
        <w:rPr>
          <w:szCs w:val="22"/>
        </w:rPr>
        <w:t xml:space="preserve"> a </w:t>
      </w:r>
      <w:r w:rsidRPr="001B4A02">
        <w:rPr>
          <w:szCs w:val="22"/>
        </w:rPr>
        <w:t>kostní dřeň)</w:t>
      </w:r>
    </w:p>
    <w:p w14:paraId="56D67480" w14:textId="77777777" w:rsidR="009954F1" w:rsidRPr="001B4A02" w:rsidRDefault="00000000" w:rsidP="002857B1">
      <w:pPr>
        <w:numPr>
          <w:ilvl w:val="0"/>
          <w:numId w:val="17"/>
        </w:numPr>
        <w:tabs>
          <w:tab w:val="clear" w:pos="720"/>
        </w:tabs>
        <w:ind w:left="567" w:hanging="567"/>
        <w:rPr>
          <w:szCs w:val="22"/>
        </w:rPr>
      </w:pPr>
      <w:r w:rsidRPr="001B4A02">
        <w:rPr>
          <w:szCs w:val="22"/>
        </w:rPr>
        <w:t>závažné alergické reakce doprovázené šokem</w:t>
      </w:r>
    </w:p>
    <w:p w14:paraId="7C4042E4" w14:textId="77777777" w:rsidR="009954F1" w:rsidRPr="001B4A02" w:rsidRDefault="00000000" w:rsidP="002857B1">
      <w:pPr>
        <w:numPr>
          <w:ilvl w:val="0"/>
          <w:numId w:val="17"/>
        </w:numPr>
        <w:tabs>
          <w:tab w:val="clear" w:pos="720"/>
        </w:tabs>
        <w:ind w:left="567" w:hanging="567"/>
        <w:rPr>
          <w:szCs w:val="22"/>
        </w:rPr>
      </w:pPr>
      <w:r w:rsidRPr="001B4A02">
        <w:rPr>
          <w:szCs w:val="22"/>
        </w:rPr>
        <w:t>roztroušená skleróza</w:t>
      </w:r>
    </w:p>
    <w:p w14:paraId="4853105A" w14:textId="77777777" w:rsidR="009954F1" w:rsidRPr="001B4A02" w:rsidRDefault="00000000" w:rsidP="002857B1">
      <w:pPr>
        <w:numPr>
          <w:ilvl w:val="0"/>
          <w:numId w:val="17"/>
        </w:numPr>
        <w:tabs>
          <w:tab w:val="clear" w:pos="720"/>
        </w:tabs>
        <w:ind w:left="567" w:hanging="567"/>
        <w:rPr>
          <w:szCs w:val="22"/>
        </w:rPr>
      </w:pPr>
      <w:r w:rsidRPr="001B4A02">
        <w:rPr>
          <w:szCs w:val="22"/>
        </w:rPr>
        <w:t>nervové poruchy (jako záněty očního nervu</w:t>
      </w:r>
      <w:r w:rsidR="002378E0">
        <w:rPr>
          <w:szCs w:val="22"/>
        </w:rPr>
        <w:t xml:space="preserve"> a </w:t>
      </w:r>
      <w:r w:rsidRPr="001B4A02">
        <w:rPr>
          <w:szCs w:val="22"/>
        </w:rPr>
        <w:t>Guillain-Barré syndrom, který může způsobit svalovou slabost, abnormální pocity, brnění v pažích</w:t>
      </w:r>
      <w:r w:rsidR="002378E0">
        <w:rPr>
          <w:szCs w:val="22"/>
        </w:rPr>
        <w:t xml:space="preserve"> a </w:t>
      </w:r>
      <w:r w:rsidRPr="001B4A02">
        <w:rPr>
          <w:szCs w:val="22"/>
        </w:rPr>
        <w:t>horní části těla)</w:t>
      </w:r>
    </w:p>
    <w:p w14:paraId="35A71959" w14:textId="77777777" w:rsidR="009954F1" w:rsidRPr="001B4A02" w:rsidRDefault="00000000" w:rsidP="002857B1">
      <w:pPr>
        <w:numPr>
          <w:ilvl w:val="0"/>
          <w:numId w:val="56"/>
        </w:numPr>
        <w:tabs>
          <w:tab w:val="clear" w:pos="720"/>
        </w:tabs>
        <w:ind w:left="567" w:hanging="567"/>
        <w:rPr>
          <w:szCs w:val="22"/>
        </w:rPr>
      </w:pPr>
      <w:r w:rsidRPr="001B4A02">
        <w:rPr>
          <w:szCs w:val="22"/>
        </w:rPr>
        <w:t>zástava srdečních stahů</w:t>
      </w:r>
    </w:p>
    <w:p w14:paraId="66843E33" w14:textId="77777777" w:rsidR="009954F1" w:rsidRPr="001B4A02" w:rsidRDefault="00000000" w:rsidP="002857B1">
      <w:pPr>
        <w:numPr>
          <w:ilvl w:val="0"/>
          <w:numId w:val="56"/>
        </w:numPr>
        <w:tabs>
          <w:tab w:val="clear" w:pos="720"/>
        </w:tabs>
        <w:ind w:left="567" w:hanging="567"/>
        <w:rPr>
          <w:szCs w:val="22"/>
        </w:rPr>
      </w:pPr>
      <w:r w:rsidRPr="001B4A02">
        <w:rPr>
          <w:szCs w:val="22"/>
          <w:lang w:eastAsia="de-DE"/>
        </w:rPr>
        <w:t>plicní fibróza (zjizvení plic)</w:t>
      </w:r>
    </w:p>
    <w:p w14:paraId="7A5326AE" w14:textId="77777777" w:rsidR="009954F1" w:rsidRPr="001B4A02" w:rsidRDefault="00000000" w:rsidP="002857B1">
      <w:pPr>
        <w:numPr>
          <w:ilvl w:val="0"/>
          <w:numId w:val="56"/>
        </w:numPr>
        <w:tabs>
          <w:tab w:val="clear" w:pos="720"/>
        </w:tabs>
        <w:ind w:left="567" w:hanging="567"/>
        <w:rPr>
          <w:szCs w:val="22"/>
        </w:rPr>
      </w:pPr>
      <w:r w:rsidRPr="001B4A02">
        <w:rPr>
          <w:szCs w:val="22"/>
        </w:rPr>
        <w:t>perforace (protržení) střeva</w:t>
      </w:r>
    </w:p>
    <w:p w14:paraId="62FFE096" w14:textId="77777777" w:rsidR="009954F1" w:rsidRPr="001B4A02" w:rsidRDefault="00000000" w:rsidP="002857B1">
      <w:pPr>
        <w:numPr>
          <w:ilvl w:val="0"/>
          <w:numId w:val="56"/>
        </w:numPr>
        <w:tabs>
          <w:tab w:val="clear" w:pos="720"/>
        </w:tabs>
        <w:ind w:left="567" w:hanging="567"/>
        <w:rPr>
          <w:szCs w:val="22"/>
        </w:rPr>
      </w:pPr>
      <w:r w:rsidRPr="001B4A02">
        <w:rPr>
          <w:szCs w:val="22"/>
        </w:rPr>
        <w:t>hepatitida</w:t>
      </w:r>
      <w:r w:rsidR="00F47DB9">
        <w:rPr>
          <w:szCs w:val="22"/>
        </w:rPr>
        <w:t xml:space="preserve"> </w:t>
      </w:r>
      <w:r w:rsidR="00F47DB9">
        <w:t>(zánět jater)</w:t>
      </w:r>
    </w:p>
    <w:p w14:paraId="0D57D29B" w14:textId="77777777" w:rsidR="009954F1" w:rsidRPr="001B4A02" w:rsidRDefault="00000000" w:rsidP="002857B1">
      <w:pPr>
        <w:numPr>
          <w:ilvl w:val="0"/>
          <w:numId w:val="56"/>
        </w:numPr>
        <w:tabs>
          <w:tab w:val="clear" w:pos="720"/>
        </w:tabs>
        <w:ind w:left="567" w:hanging="567"/>
        <w:rPr>
          <w:szCs w:val="22"/>
        </w:rPr>
      </w:pPr>
      <w:r w:rsidRPr="001B4A02">
        <w:rPr>
          <w:szCs w:val="22"/>
        </w:rPr>
        <w:t>reaktivace hepatitidy B</w:t>
      </w:r>
    </w:p>
    <w:p w14:paraId="7D373E4D" w14:textId="77777777" w:rsidR="009954F1" w:rsidRPr="001B4A02" w:rsidRDefault="00000000" w:rsidP="002857B1">
      <w:pPr>
        <w:numPr>
          <w:ilvl w:val="0"/>
          <w:numId w:val="56"/>
        </w:numPr>
        <w:tabs>
          <w:tab w:val="clear" w:pos="720"/>
        </w:tabs>
        <w:ind w:left="567" w:hanging="567"/>
        <w:rPr>
          <w:szCs w:val="22"/>
        </w:rPr>
      </w:pPr>
      <w:r w:rsidRPr="001B4A02">
        <w:rPr>
          <w:szCs w:val="22"/>
        </w:rPr>
        <w:t>autoimunní hepatitida (zánět jater způsobený imunitním systémem vlastního těla)</w:t>
      </w:r>
    </w:p>
    <w:p w14:paraId="4B5E0071" w14:textId="77777777" w:rsidR="009954F1" w:rsidRPr="001B4A02" w:rsidRDefault="00000000" w:rsidP="002857B1">
      <w:pPr>
        <w:numPr>
          <w:ilvl w:val="0"/>
          <w:numId w:val="56"/>
        </w:numPr>
        <w:tabs>
          <w:tab w:val="clear" w:pos="720"/>
        </w:tabs>
        <w:ind w:left="567" w:hanging="567"/>
        <w:rPr>
          <w:szCs w:val="22"/>
        </w:rPr>
      </w:pPr>
      <w:r w:rsidRPr="001B4A02">
        <w:rPr>
          <w:szCs w:val="22"/>
        </w:rPr>
        <w:t>kožní vaskulitida (zánět krevních cév v kůži)</w:t>
      </w:r>
    </w:p>
    <w:p w14:paraId="7043BB40" w14:textId="77777777" w:rsidR="009954F1" w:rsidRPr="001B4A02" w:rsidRDefault="00000000" w:rsidP="002857B1">
      <w:pPr>
        <w:numPr>
          <w:ilvl w:val="0"/>
          <w:numId w:val="56"/>
        </w:numPr>
        <w:tabs>
          <w:tab w:val="clear" w:pos="720"/>
        </w:tabs>
        <w:ind w:left="567" w:hanging="567"/>
        <w:rPr>
          <w:szCs w:val="22"/>
        </w:rPr>
      </w:pPr>
      <w:r w:rsidRPr="001B4A02">
        <w:rPr>
          <w:szCs w:val="22"/>
        </w:rPr>
        <w:t>Stevens</w:t>
      </w:r>
      <w:r w:rsidR="003B4CAA">
        <w:rPr>
          <w:szCs w:val="22"/>
        </w:rPr>
        <w:t>ův</w:t>
      </w:r>
      <w:r w:rsidRPr="001B4A02">
        <w:rPr>
          <w:szCs w:val="22"/>
        </w:rPr>
        <w:t>-Johnsonův syndrom (časné příznaky zahrnují únavu, horečku, bolest hlavy</w:t>
      </w:r>
      <w:r w:rsidR="002378E0">
        <w:rPr>
          <w:szCs w:val="22"/>
        </w:rPr>
        <w:t xml:space="preserve"> a </w:t>
      </w:r>
      <w:r w:rsidRPr="001B4A02">
        <w:rPr>
          <w:szCs w:val="22"/>
        </w:rPr>
        <w:t>vyrážku)</w:t>
      </w:r>
    </w:p>
    <w:p w14:paraId="71737C09" w14:textId="77777777" w:rsidR="009954F1" w:rsidRPr="001B4A02" w:rsidRDefault="00000000" w:rsidP="002857B1">
      <w:pPr>
        <w:numPr>
          <w:ilvl w:val="0"/>
          <w:numId w:val="56"/>
        </w:numPr>
        <w:tabs>
          <w:tab w:val="clear" w:pos="720"/>
        </w:tabs>
        <w:ind w:left="567" w:hanging="567"/>
        <w:rPr>
          <w:szCs w:val="22"/>
        </w:rPr>
      </w:pPr>
      <w:r w:rsidRPr="00490910">
        <w:rPr>
          <w:szCs w:val="22"/>
        </w:rPr>
        <w:t xml:space="preserve">edém </w:t>
      </w:r>
      <w:r>
        <w:rPr>
          <w:szCs w:val="22"/>
        </w:rPr>
        <w:t>obličeje</w:t>
      </w:r>
      <w:r w:rsidRPr="00490910">
        <w:rPr>
          <w:szCs w:val="22"/>
        </w:rPr>
        <w:t xml:space="preserve"> (</w:t>
      </w:r>
      <w:r w:rsidRPr="001B4A02">
        <w:rPr>
          <w:szCs w:val="22"/>
        </w:rPr>
        <w:t xml:space="preserve">otok </w:t>
      </w:r>
      <w:r w:rsidR="00EE6ABF">
        <w:rPr>
          <w:szCs w:val="22"/>
        </w:rPr>
        <w:t>obličeje</w:t>
      </w:r>
      <w:r>
        <w:rPr>
          <w:szCs w:val="22"/>
        </w:rPr>
        <w:t>)</w:t>
      </w:r>
      <w:r w:rsidRPr="001B4A02">
        <w:rPr>
          <w:szCs w:val="22"/>
        </w:rPr>
        <w:t xml:space="preserve"> spojen</w:t>
      </w:r>
      <w:r>
        <w:rPr>
          <w:szCs w:val="22"/>
        </w:rPr>
        <w:t>ý</w:t>
      </w:r>
      <w:r w:rsidRPr="001B4A02">
        <w:rPr>
          <w:szCs w:val="22"/>
        </w:rPr>
        <w:t xml:space="preserve"> s alergickými reakcemi</w:t>
      </w:r>
    </w:p>
    <w:p w14:paraId="766A53C9" w14:textId="77777777" w:rsidR="009954F1" w:rsidRPr="001B4A02" w:rsidRDefault="00000000" w:rsidP="002857B1">
      <w:pPr>
        <w:numPr>
          <w:ilvl w:val="0"/>
          <w:numId w:val="56"/>
        </w:numPr>
        <w:tabs>
          <w:tab w:val="clear" w:pos="720"/>
        </w:tabs>
        <w:ind w:left="567" w:hanging="567"/>
        <w:rPr>
          <w:szCs w:val="22"/>
        </w:rPr>
      </w:pPr>
      <w:r w:rsidRPr="001B4A02">
        <w:rPr>
          <w:szCs w:val="22"/>
        </w:rPr>
        <w:t>erythema multiforme (zánětlivá kožní vyrážka)</w:t>
      </w:r>
    </w:p>
    <w:p w14:paraId="681D4339" w14:textId="77777777" w:rsidR="003F3865" w:rsidRPr="001B4A02" w:rsidRDefault="00000000" w:rsidP="002857B1">
      <w:pPr>
        <w:numPr>
          <w:ilvl w:val="0"/>
          <w:numId w:val="56"/>
        </w:numPr>
        <w:tabs>
          <w:tab w:val="clear" w:pos="720"/>
        </w:tabs>
        <w:ind w:left="567" w:hanging="567"/>
        <w:rPr>
          <w:szCs w:val="22"/>
        </w:rPr>
      </w:pPr>
      <w:r w:rsidRPr="001B4A02">
        <w:rPr>
          <w:szCs w:val="22"/>
        </w:rPr>
        <w:t>lupus-like syndrom (onemocnění s příznaky podobnými lupus erythematodes)</w:t>
      </w:r>
    </w:p>
    <w:p w14:paraId="45A8CFA0" w14:textId="77777777" w:rsidR="007027B5" w:rsidRDefault="00000000" w:rsidP="002857B1">
      <w:pPr>
        <w:numPr>
          <w:ilvl w:val="0"/>
          <w:numId w:val="56"/>
        </w:numPr>
        <w:tabs>
          <w:tab w:val="clear" w:pos="720"/>
        </w:tabs>
        <w:ind w:left="567" w:hanging="567"/>
      </w:pPr>
      <w:r w:rsidRPr="001B4A02">
        <w:rPr>
          <w:szCs w:val="22"/>
        </w:rPr>
        <w:t>angioedém</w:t>
      </w:r>
      <w:r w:rsidRPr="001B4A02">
        <w:t xml:space="preserve"> (lokalizovaný otok kůže)</w:t>
      </w:r>
    </w:p>
    <w:p w14:paraId="783218DE" w14:textId="77777777" w:rsidR="009954F1" w:rsidRPr="001B4A02" w:rsidRDefault="00000000" w:rsidP="002857B1">
      <w:pPr>
        <w:numPr>
          <w:ilvl w:val="0"/>
          <w:numId w:val="56"/>
        </w:numPr>
        <w:tabs>
          <w:tab w:val="clear" w:pos="720"/>
        </w:tabs>
        <w:ind w:left="567" w:hanging="567"/>
      </w:pPr>
      <w:r>
        <w:t xml:space="preserve">lichenoidní kožní reakce (svědivá </w:t>
      </w:r>
      <w:r w:rsidR="008E2588">
        <w:t>načervenalá až purpurově zbarvená</w:t>
      </w:r>
      <w:r>
        <w:t xml:space="preserve"> vyrážka)</w:t>
      </w:r>
    </w:p>
    <w:p w14:paraId="34F1047F" w14:textId="77777777" w:rsidR="009954F1" w:rsidRPr="001B4A02" w:rsidRDefault="009954F1" w:rsidP="009954F1">
      <w:pPr>
        <w:ind w:left="0" w:firstLine="0"/>
      </w:pPr>
    </w:p>
    <w:p w14:paraId="1D463BC1" w14:textId="77777777" w:rsidR="009954F1" w:rsidRPr="001B4A02" w:rsidRDefault="00000000" w:rsidP="009954F1">
      <w:pPr>
        <w:ind w:left="0" w:right="-29" w:firstLine="0"/>
      </w:pPr>
      <w:r w:rsidRPr="001B4A02">
        <w:rPr>
          <w:b/>
        </w:rPr>
        <w:t xml:space="preserve">Není známo </w:t>
      </w:r>
      <w:r w:rsidRPr="001B4A02">
        <w:t>(frekvenci výskytu nelze z </w:t>
      </w:r>
      <w:r w:rsidR="002C4337" w:rsidRPr="001B4A02">
        <w:t>dostupných údajů určit)</w:t>
      </w:r>
    </w:p>
    <w:p w14:paraId="2A6F16C2" w14:textId="77777777" w:rsidR="009954F1" w:rsidRPr="001B4A02" w:rsidRDefault="009954F1" w:rsidP="009954F1">
      <w:pPr>
        <w:ind w:left="0" w:right="-29" w:firstLine="0"/>
      </w:pPr>
    </w:p>
    <w:p w14:paraId="02C8DA6F" w14:textId="77777777" w:rsidR="009954F1" w:rsidRPr="001B4A02" w:rsidRDefault="00000000" w:rsidP="002857B1">
      <w:pPr>
        <w:numPr>
          <w:ilvl w:val="0"/>
          <w:numId w:val="48"/>
        </w:numPr>
        <w:tabs>
          <w:tab w:val="clear" w:pos="720"/>
        </w:tabs>
        <w:ind w:left="567" w:hanging="567"/>
        <w:rPr>
          <w:szCs w:val="22"/>
        </w:rPr>
      </w:pPr>
      <w:r w:rsidRPr="001B4A02">
        <w:rPr>
          <w:szCs w:val="22"/>
        </w:rPr>
        <w:t>hepatosplenický T-buněčný lymfom (vzácný druh rakoviny krve, který je obvykle smrtelný)</w:t>
      </w:r>
    </w:p>
    <w:p w14:paraId="6E709283" w14:textId="77777777" w:rsidR="009954F1" w:rsidRDefault="00000000" w:rsidP="002857B1">
      <w:pPr>
        <w:numPr>
          <w:ilvl w:val="0"/>
          <w:numId w:val="48"/>
        </w:numPr>
        <w:tabs>
          <w:tab w:val="clear" w:pos="720"/>
        </w:tabs>
        <w:ind w:left="567" w:hanging="567"/>
        <w:rPr>
          <w:szCs w:val="22"/>
        </w:rPr>
      </w:pPr>
      <w:r w:rsidRPr="001B4A02">
        <w:rPr>
          <w:szCs w:val="22"/>
        </w:rPr>
        <w:t>karcinom z Merkelových buněk (typ kožního karcinomu)</w:t>
      </w:r>
    </w:p>
    <w:p w14:paraId="6FB1A2A7" w14:textId="77777777" w:rsidR="009A21A5" w:rsidRPr="001B4A02" w:rsidRDefault="00000000" w:rsidP="002857B1">
      <w:pPr>
        <w:numPr>
          <w:ilvl w:val="0"/>
          <w:numId w:val="48"/>
        </w:numPr>
        <w:tabs>
          <w:tab w:val="clear" w:pos="720"/>
        </w:tabs>
        <w:ind w:left="567" w:hanging="567"/>
        <w:rPr>
          <w:szCs w:val="22"/>
        </w:rPr>
      </w:pPr>
      <w:bookmarkStart w:id="9811" w:name="_Hlk47522318"/>
      <w:r>
        <w:t xml:space="preserve">Kaposiho </w:t>
      </w:r>
      <w:r w:rsidRPr="009A21A5">
        <w:t>sarkom</w:t>
      </w:r>
      <w:r>
        <w:t xml:space="preserve">, vzácné nádorové onemocnění související s infekcí vyvolanou lidským herpesvirem typu 8. Kaposiho </w:t>
      </w:r>
      <w:r w:rsidRPr="009A21A5">
        <w:t>sarkom</w:t>
      </w:r>
      <w:r>
        <w:t xml:space="preserve"> se nejčastěji vyskytuje ve formě fialových skvrn na kůži</w:t>
      </w:r>
      <w:bookmarkEnd w:id="9811"/>
    </w:p>
    <w:p w14:paraId="0CB9C334" w14:textId="77777777" w:rsidR="009954F1" w:rsidRPr="001B4A02" w:rsidRDefault="00000000" w:rsidP="002857B1">
      <w:pPr>
        <w:numPr>
          <w:ilvl w:val="0"/>
          <w:numId w:val="48"/>
        </w:numPr>
        <w:tabs>
          <w:tab w:val="clear" w:pos="720"/>
        </w:tabs>
        <w:ind w:left="567" w:hanging="567"/>
        <w:rPr>
          <w:szCs w:val="22"/>
        </w:rPr>
      </w:pPr>
      <w:r w:rsidRPr="001B4A02">
        <w:rPr>
          <w:szCs w:val="22"/>
        </w:rPr>
        <w:t>selhání jater</w:t>
      </w:r>
    </w:p>
    <w:p w14:paraId="4D824FF9" w14:textId="77777777" w:rsidR="009954F1" w:rsidRDefault="00000000" w:rsidP="002857B1">
      <w:pPr>
        <w:numPr>
          <w:ilvl w:val="0"/>
          <w:numId w:val="48"/>
        </w:numPr>
        <w:tabs>
          <w:tab w:val="clear" w:pos="720"/>
        </w:tabs>
        <w:ind w:left="567" w:hanging="567"/>
      </w:pPr>
      <w:r w:rsidRPr="001B4A02">
        <w:rPr>
          <w:szCs w:val="22"/>
        </w:rPr>
        <w:t>zhoršení onemocnění nazývané dermatomyozitida (pozorovatelné jako kožní vyrážka doprovázená</w:t>
      </w:r>
      <w:r w:rsidRPr="001B4A02">
        <w:t xml:space="preserve"> svalovou slabostí)</w:t>
      </w:r>
    </w:p>
    <w:p w14:paraId="1B42D222" w14:textId="77777777" w:rsidR="00405235" w:rsidRPr="001B4A02" w:rsidRDefault="00000000" w:rsidP="002857B1">
      <w:pPr>
        <w:numPr>
          <w:ilvl w:val="0"/>
          <w:numId w:val="48"/>
        </w:numPr>
        <w:tabs>
          <w:tab w:val="clear" w:pos="720"/>
        </w:tabs>
        <w:ind w:left="567" w:hanging="567"/>
      </w:pPr>
      <w:r w:rsidRPr="000752A7">
        <w:rPr>
          <w:color w:val="000000"/>
          <w:szCs w:val="22"/>
        </w:rPr>
        <w:t>zvýšení tělesné hmotnosti (u</w:t>
      </w:r>
      <w:r w:rsidRPr="000752A7">
        <w:rPr>
          <w:szCs w:val="22"/>
          <w:lang w:eastAsia="cs-CZ"/>
        </w:rPr>
        <w:t> </w:t>
      </w:r>
      <w:r w:rsidRPr="000752A7">
        <w:rPr>
          <w:color w:val="000000"/>
          <w:szCs w:val="22"/>
        </w:rPr>
        <w:t>většiny pacientů byl přírůstek hmotnosti malý)</w:t>
      </w:r>
    </w:p>
    <w:p w14:paraId="6D84318C" w14:textId="77777777" w:rsidR="009954F1" w:rsidRPr="001B4A02" w:rsidRDefault="009954F1" w:rsidP="009954F1">
      <w:pPr>
        <w:ind w:left="0" w:firstLine="0"/>
      </w:pPr>
    </w:p>
    <w:p w14:paraId="036DC7D7" w14:textId="77777777" w:rsidR="009954F1" w:rsidRPr="001B4A02" w:rsidRDefault="00000000" w:rsidP="009954F1">
      <w:pPr>
        <w:ind w:left="0" w:right="-29" w:firstLine="0"/>
      </w:pPr>
      <w:r w:rsidRPr="001B4A02">
        <w:t>Některé nežádoucí účinky pozorované u přípravku Humira mohou probíhat bez příznaků</w:t>
      </w:r>
      <w:r w:rsidR="002378E0">
        <w:t xml:space="preserve"> a </w:t>
      </w:r>
      <w:r w:rsidRPr="001B4A02">
        <w:t>mohou být objeveny pouze s pomocí krevních testů. Tyto zahrnují:</w:t>
      </w:r>
    </w:p>
    <w:p w14:paraId="25983FE0" w14:textId="77777777" w:rsidR="009954F1" w:rsidRPr="001B4A02" w:rsidRDefault="009954F1" w:rsidP="009954F1">
      <w:pPr>
        <w:ind w:left="0" w:right="-29" w:firstLine="0"/>
      </w:pPr>
    </w:p>
    <w:p w14:paraId="5CD733C3" w14:textId="77777777" w:rsidR="009954F1" w:rsidRPr="001B4A02" w:rsidRDefault="00000000" w:rsidP="009954F1">
      <w:pPr>
        <w:ind w:left="0" w:right="-29" w:firstLine="0"/>
      </w:pPr>
      <w:r w:rsidRPr="001B4A02">
        <w:rPr>
          <w:b/>
        </w:rPr>
        <w:t xml:space="preserve">Velmi časté </w:t>
      </w:r>
      <w:r w:rsidRPr="001B4A02">
        <w:rPr>
          <w:shd w:val="clear" w:color="auto" w:fill="FFFFFF"/>
        </w:rPr>
        <w:t>(mohou postihnout více než 1 z 10 osob</w:t>
      </w:r>
      <w:r w:rsidR="002C4337" w:rsidRPr="001B4A02">
        <w:t>)</w:t>
      </w:r>
    </w:p>
    <w:p w14:paraId="46E9B34E" w14:textId="77777777" w:rsidR="009954F1" w:rsidRPr="001B4A02" w:rsidRDefault="009954F1" w:rsidP="009954F1">
      <w:pPr>
        <w:ind w:left="0" w:right="-29" w:firstLine="0"/>
      </w:pPr>
    </w:p>
    <w:p w14:paraId="0E908DA8" w14:textId="77777777" w:rsidR="009954F1" w:rsidRPr="001B4A02" w:rsidRDefault="00000000" w:rsidP="002857B1">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nízký počet bílých krvinek</w:t>
      </w:r>
    </w:p>
    <w:p w14:paraId="5A972319" w14:textId="77777777" w:rsidR="009954F1" w:rsidRPr="001B4A02" w:rsidRDefault="00000000" w:rsidP="002857B1">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nízký počet červených krvinek</w:t>
      </w:r>
    </w:p>
    <w:p w14:paraId="732A5158" w14:textId="77777777" w:rsidR="009954F1" w:rsidRPr="001B4A02" w:rsidRDefault="00000000" w:rsidP="002857B1">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zvýšení tuků v krvi</w:t>
      </w:r>
    </w:p>
    <w:p w14:paraId="397F7FF3" w14:textId="77777777" w:rsidR="009954F1" w:rsidRPr="001B4A02" w:rsidRDefault="00000000" w:rsidP="002857B1">
      <w:pPr>
        <w:pStyle w:val="EMEANormal"/>
        <w:numPr>
          <w:ilvl w:val="0"/>
          <w:numId w:val="59"/>
        </w:numPr>
        <w:tabs>
          <w:tab w:val="clear" w:pos="562"/>
          <w:tab w:val="clear" w:pos="720"/>
        </w:tabs>
        <w:suppressAutoHyphens w:val="0"/>
        <w:ind w:left="567" w:hanging="567"/>
        <w:rPr>
          <w:lang w:val="cs-CZ"/>
        </w:rPr>
      </w:pPr>
      <w:r w:rsidRPr="001B4A02">
        <w:rPr>
          <w:szCs w:val="22"/>
          <w:lang w:val="cs-CZ"/>
        </w:rPr>
        <w:t>zvýšení</w:t>
      </w:r>
      <w:r w:rsidRPr="001B4A02">
        <w:rPr>
          <w:lang w:val="cs-CZ"/>
        </w:rPr>
        <w:t xml:space="preserve"> jaterních enzymů</w:t>
      </w:r>
    </w:p>
    <w:p w14:paraId="6B5C652A" w14:textId="77777777" w:rsidR="009954F1" w:rsidRPr="001B4A02" w:rsidRDefault="009954F1" w:rsidP="009954F1">
      <w:pPr>
        <w:pStyle w:val="EMEANormal"/>
        <w:tabs>
          <w:tab w:val="left" w:pos="0"/>
        </w:tabs>
        <w:suppressAutoHyphens w:val="0"/>
        <w:rPr>
          <w:lang w:val="cs-CZ"/>
        </w:rPr>
      </w:pPr>
    </w:p>
    <w:p w14:paraId="52A1FEEF" w14:textId="77777777" w:rsidR="009954F1" w:rsidRPr="001B4A02" w:rsidRDefault="00000000" w:rsidP="009954F1">
      <w:pPr>
        <w:shd w:val="clear" w:color="auto" w:fill="FFFFFF"/>
        <w:tabs>
          <w:tab w:val="left" w:pos="0"/>
        </w:tabs>
        <w:ind w:left="0" w:firstLine="0"/>
        <w:rPr>
          <w:b/>
        </w:rPr>
      </w:pPr>
      <w:r w:rsidRPr="001B4A02">
        <w:rPr>
          <w:b/>
        </w:rPr>
        <w:t xml:space="preserve">Časté </w:t>
      </w:r>
      <w:r w:rsidRPr="001B4A02">
        <w:t>(mohou p</w:t>
      </w:r>
      <w:r w:rsidR="002C4337" w:rsidRPr="001B4A02">
        <w:t>ostihnout nejvýše 1 z</w:t>
      </w:r>
      <w:r w:rsidR="007C3379" w:rsidRPr="001B4A02">
        <w:t> </w:t>
      </w:r>
      <w:r w:rsidR="002C4337" w:rsidRPr="001B4A02">
        <w:t>10 osob)</w:t>
      </w:r>
    </w:p>
    <w:p w14:paraId="2BBDE846" w14:textId="77777777" w:rsidR="009954F1" w:rsidRPr="001B4A02" w:rsidRDefault="009954F1" w:rsidP="009954F1">
      <w:pPr>
        <w:shd w:val="clear" w:color="auto" w:fill="FFFFFF"/>
        <w:tabs>
          <w:tab w:val="left" w:pos="0"/>
        </w:tabs>
        <w:ind w:left="0" w:firstLine="0"/>
      </w:pPr>
    </w:p>
    <w:p w14:paraId="2F8489EA" w14:textId="77777777" w:rsidR="009954F1" w:rsidRPr="001B4A02" w:rsidRDefault="00000000" w:rsidP="002857B1">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vysoký počet bílých krvinek</w:t>
      </w:r>
    </w:p>
    <w:p w14:paraId="0AABB09A" w14:textId="77777777" w:rsidR="009954F1" w:rsidRPr="001B4A02" w:rsidRDefault="00000000" w:rsidP="002857B1">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nízký počet krevních destiček</w:t>
      </w:r>
    </w:p>
    <w:p w14:paraId="77A2A835" w14:textId="77777777" w:rsidR="009954F1" w:rsidRPr="001B4A02" w:rsidRDefault="00000000" w:rsidP="002857B1">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zvýšení kyseliny močové v krvi</w:t>
      </w:r>
    </w:p>
    <w:p w14:paraId="361BF629" w14:textId="77777777" w:rsidR="009954F1" w:rsidRPr="001B4A02" w:rsidRDefault="00000000" w:rsidP="002857B1">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neobvyklé hodnoty sodíku v krvi</w:t>
      </w:r>
    </w:p>
    <w:p w14:paraId="69BF54F0" w14:textId="77777777" w:rsidR="009954F1" w:rsidRPr="001B4A02" w:rsidRDefault="00000000" w:rsidP="002857B1">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nízké hodnoty vápníku v krvi</w:t>
      </w:r>
    </w:p>
    <w:p w14:paraId="6C2A776B" w14:textId="77777777" w:rsidR="009954F1" w:rsidRPr="001B4A02" w:rsidRDefault="00000000" w:rsidP="002857B1">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nízké hodnoty fosforu v krvi</w:t>
      </w:r>
    </w:p>
    <w:p w14:paraId="343423DB" w14:textId="77777777" w:rsidR="009954F1" w:rsidRPr="001B4A02" w:rsidRDefault="00000000" w:rsidP="002857B1">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vysoké hladiny krevního cukru</w:t>
      </w:r>
    </w:p>
    <w:p w14:paraId="4F505642" w14:textId="77777777" w:rsidR="009954F1" w:rsidRPr="001B4A02" w:rsidRDefault="00000000" w:rsidP="002857B1">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vysoké hodnoty laktátdehydrogenázy v krvi</w:t>
      </w:r>
    </w:p>
    <w:p w14:paraId="580A09AD" w14:textId="77777777" w:rsidR="009954F1" w:rsidRPr="001B4A02" w:rsidRDefault="00000000" w:rsidP="002857B1">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p</w:t>
      </w:r>
      <w:r w:rsidR="003F3865" w:rsidRPr="001B4A02">
        <w:rPr>
          <w:szCs w:val="22"/>
          <w:lang w:val="cs-CZ"/>
        </w:rPr>
        <w:t>řítomnost autoprotilátek v krvi</w:t>
      </w:r>
    </w:p>
    <w:p w14:paraId="14221AAD" w14:textId="77777777" w:rsidR="003F3865" w:rsidRPr="001B4A02" w:rsidRDefault="00000000" w:rsidP="002857B1">
      <w:pPr>
        <w:pStyle w:val="EMEANormal"/>
        <w:numPr>
          <w:ilvl w:val="0"/>
          <w:numId w:val="59"/>
        </w:numPr>
        <w:tabs>
          <w:tab w:val="clear" w:pos="562"/>
          <w:tab w:val="clear" w:pos="720"/>
        </w:tabs>
        <w:suppressAutoHyphens w:val="0"/>
        <w:ind w:left="567" w:hanging="567"/>
        <w:rPr>
          <w:lang w:val="cs-CZ"/>
        </w:rPr>
      </w:pPr>
      <w:r w:rsidRPr="001B4A02">
        <w:rPr>
          <w:szCs w:val="22"/>
          <w:lang w:val="cs-CZ"/>
        </w:rPr>
        <w:t>nízká hladina</w:t>
      </w:r>
      <w:r w:rsidRPr="001B4A02">
        <w:rPr>
          <w:lang w:val="cs-CZ"/>
        </w:rPr>
        <w:t xml:space="preserve"> draslíku v krvi</w:t>
      </w:r>
    </w:p>
    <w:p w14:paraId="7B6616BE" w14:textId="77777777" w:rsidR="003F3865" w:rsidRPr="001B4A02" w:rsidRDefault="003F3865" w:rsidP="002857B1">
      <w:pPr>
        <w:pStyle w:val="EMEANormal"/>
        <w:tabs>
          <w:tab w:val="clear" w:pos="562"/>
          <w:tab w:val="left" w:pos="0"/>
        </w:tabs>
        <w:suppressAutoHyphens w:val="0"/>
        <w:rPr>
          <w:lang w:val="cs-CZ"/>
        </w:rPr>
      </w:pPr>
    </w:p>
    <w:p w14:paraId="16836432" w14:textId="77777777" w:rsidR="003F3865" w:rsidRPr="001B4A02" w:rsidRDefault="00000000" w:rsidP="000F1E90">
      <w:pPr>
        <w:pStyle w:val="EMEANormal"/>
        <w:keepNext/>
        <w:tabs>
          <w:tab w:val="clear" w:pos="562"/>
          <w:tab w:val="left" w:pos="0"/>
        </w:tabs>
        <w:suppressAutoHyphens w:val="0"/>
        <w:rPr>
          <w:lang w:val="cs-CZ"/>
        </w:rPr>
      </w:pPr>
      <w:r w:rsidRPr="001B4A02">
        <w:rPr>
          <w:b/>
          <w:lang w:val="cs-CZ"/>
        </w:rPr>
        <w:t xml:space="preserve">Méně časté </w:t>
      </w:r>
      <w:r w:rsidRPr="001B4A02">
        <w:rPr>
          <w:lang w:val="cs-CZ"/>
        </w:rPr>
        <w:t>(mohou postih</w:t>
      </w:r>
      <w:r w:rsidR="00196227">
        <w:rPr>
          <w:lang w:val="cs-CZ"/>
        </w:rPr>
        <w:t>n</w:t>
      </w:r>
      <w:r w:rsidRPr="001B4A02">
        <w:rPr>
          <w:lang w:val="cs-CZ"/>
        </w:rPr>
        <w:t>out nejvýše 1 ze 100 osob)</w:t>
      </w:r>
    </w:p>
    <w:p w14:paraId="49A79EAA" w14:textId="77777777" w:rsidR="003F3865" w:rsidRPr="00DC4E60" w:rsidRDefault="003F3865" w:rsidP="000F1E90">
      <w:pPr>
        <w:pStyle w:val="EMEANormal"/>
        <w:keepNext/>
        <w:tabs>
          <w:tab w:val="clear" w:pos="562"/>
          <w:tab w:val="left" w:pos="0"/>
        </w:tabs>
        <w:suppressAutoHyphens w:val="0"/>
        <w:rPr>
          <w:bCs/>
          <w:lang w:val="cs-CZ"/>
        </w:rPr>
      </w:pPr>
    </w:p>
    <w:p w14:paraId="3E7ECB0E" w14:textId="77777777" w:rsidR="003F3865" w:rsidRPr="001B4A02" w:rsidRDefault="00000000" w:rsidP="002857B1">
      <w:pPr>
        <w:pStyle w:val="EMEANormal"/>
        <w:numPr>
          <w:ilvl w:val="0"/>
          <w:numId w:val="59"/>
        </w:numPr>
        <w:tabs>
          <w:tab w:val="clear" w:pos="562"/>
          <w:tab w:val="clear" w:pos="720"/>
        </w:tabs>
        <w:suppressAutoHyphens w:val="0"/>
        <w:ind w:left="567" w:hanging="567"/>
        <w:rPr>
          <w:lang w:val="cs-CZ"/>
        </w:rPr>
      </w:pPr>
      <w:r w:rsidRPr="001B4A02">
        <w:rPr>
          <w:szCs w:val="22"/>
          <w:lang w:val="cs-CZ"/>
        </w:rPr>
        <w:t>zvýšená</w:t>
      </w:r>
      <w:r w:rsidRPr="001B4A02">
        <w:rPr>
          <w:lang w:val="cs-CZ"/>
        </w:rPr>
        <w:t xml:space="preserve"> hladina bilirubinu (jaterní test z krve)</w:t>
      </w:r>
    </w:p>
    <w:p w14:paraId="2140B620" w14:textId="77777777" w:rsidR="009954F1" w:rsidRPr="001B4A02" w:rsidRDefault="009954F1" w:rsidP="009954F1">
      <w:pPr>
        <w:pStyle w:val="EMEANormal"/>
        <w:tabs>
          <w:tab w:val="left" w:pos="0"/>
        </w:tabs>
        <w:suppressAutoHyphens w:val="0"/>
        <w:rPr>
          <w:lang w:val="cs-CZ"/>
        </w:rPr>
      </w:pPr>
    </w:p>
    <w:p w14:paraId="4A979B87" w14:textId="77777777" w:rsidR="009954F1" w:rsidRPr="001B4A02" w:rsidRDefault="00000000" w:rsidP="009954F1">
      <w:pPr>
        <w:ind w:left="0" w:right="-29" w:firstLine="0"/>
      </w:pPr>
      <w:r w:rsidRPr="001B4A02">
        <w:rPr>
          <w:b/>
        </w:rPr>
        <w:t xml:space="preserve">Vzácné </w:t>
      </w:r>
      <w:r w:rsidRPr="001B4A02">
        <w:t>(</w:t>
      </w:r>
      <w:r w:rsidRPr="001B4A02">
        <w:rPr>
          <w:shd w:val="clear" w:color="auto" w:fill="FFFFFF"/>
        </w:rPr>
        <w:t>mohou postihnout nejvýše 1 z 1 000 osob</w:t>
      </w:r>
      <w:r w:rsidR="002C4337" w:rsidRPr="001B4A02">
        <w:t>)</w:t>
      </w:r>
    </w:p>
    <w:p w14:paraId="353662D5" w14:textId="77777777" w:rsidR="009954F1" w:rsidRPr="001B4A02" w:rsidRDefault="009954F1" w:rsidP="009954F1">
      <w:pPr>
        <w:ind w:left="0" w:right="-29" w:firstLine="0"/>
      </w:pPr>
    </w:p>
    <w:p w14:paraId="027A6897" w14:textId="77777777" w:rsidR="009954F1" w:rsidRPr="001B4A02" w:rsidRDefault="00000000" w:rsidP="002857B1">
      <w:pPr>
        <w:pStyle w:val="EMEANormal"/>
        <w:numPr>
          <w:ilvl w:val="0"/>
          <w:numId w:val="59"/>
        </w:numPr>
        <w:tabs>
          <w:tab w:val="clear" w:pos="562"/>
          <w:tab w:val="clear" w:pos="720"/>
        </w:tabs>
        <w:suppressAutoHyphens w:val="0"/>
        <w:ind w:left="567" w:hanging="567"/>
        <w:rPr>
          <w:lang w:val="cs-CZ"/>
        </w:rPr>
      </w:pPr>
      <w:r w:rsidRPr="001B4A02">
        <w:rPr>
          <w:szCs w:val="22"/>
          <w:lang w:val="cs-CZ"/>
        </w:rPr>
        <w:t>nízké</w:t>
      </w:r>
      <w:r w:rsidRPr="001B4A02">
        <w:rPr>
          <w:lang w:val="cs-CZ"/>
        </w:rPr>
        <w:t xml:space="preserve"> počty bílých krvinek, červených krvinek</w:t>
      </w:r>
      <w:r w:rsidR="002378E0">
        <w:rPr>
          <w:lang w:val="cs-CZ"/>
        </w:rPr>
        <w:t xml:space="preserve"> a </w:t>
      </w:r>
      <w:r w:rsidR="00806F8A" w:rsidRPr="001B4A02">
        <w:rPr>
          <w:lang w:val="cs-CZ"/>
        </w:rPr>
        <w:t xml:space="preserve">krevních </w:t>
      </w:r>
      <w:r w:rsidRPr="001B4A02">
        <w:rPr>
          <w:lang w:val="cs-CZ"/>
        </w:rPr>
        <w:t>destiček</w:t>
      </w:r>
    </w:p>
    <w:p w14:paraId="2D0B08DA" w14:textId="77777777" w:rsidR="009954F1" w:rsidRPr="001B4A02" w:rsidRDefault="009954F1" w:rsidP="009954F1">
      <w:pPr>
        <w:pStyle w:val="EMEANormal"/>
        <w:tabs>
          <w:tab w:val="left" w:pos="0"/>
        </w:tabs>
        <w:suppressAutoHyphens w:val="0"/>
        <w:rPr>
          <w:lang w:val="cs-CZ"/>
        </w:rPr>
      </w:pPr>
    </w:p>
    <w:p w14:paraId="1B5F5C2E" w14:textId="77777777" w:rsidR="009954F1" w:rsidRPr="00BA0A72" w:rsidRDefault="00000000" w:rsidP="0009084E">
      <w:pPr>
        <w:keepNext/>
        <w:numPr>
          <w:ilvl w:val="12"/>
          <w:numId w:val="0"/>
        </w:numPr>
        <w:jc w:val="both"/>
        <w:rPr>
          <w:b/>
        </w:rPr>
      </w:pPr>
      <w:r w:rsidRPr="00BA0A72">
        <w:rPr>
          <w:b/>
        </w:rPr>
        <w:t>Hlášení nežádoucích účinků</w:t>
      </w:r>
    </w:p>
    <w:p w14:paraId="3460180B" w14:textId="77777777" w:rsidR="009954F1" w:rsidRPr="001B4A02" w:rsidRDefault="00000000" w:rsidP="002857B1">
      <w:pPr>
        <w:pStyle w:val="EMEANormal"/>
        <w:shd w:val="clear" w:color="auto" w:fill="FFFFFF"/>
        <w:rPr>
          <w:lang w:val="cs-CZ"/>
        </w:rPr>
      </w:pPr>
      <w:r w:rsidRPr="001B4A02">
        <w:rPr>
          <w:lang w:val="cs-CZ"/>
        </w:rPr>
        <w:t>Pokud se u </w:t>
      </w:r>
      <w:r w:rsidR="009D400E" w:rsidRPr="001B4A02">
        <w:rPr>
          <w:lang w:val="cs-CZ"/>
        </w:rPr>
        <w:t>Vašeho dítěte</w:t>
      </w:r>
      <w:r w:rsidRPr="001B4A02">
        <w:rPr>
          <w:lang w:val="cs-CZ"/>
        </w:rPr>
        <w:t xml:space="preserve"> vyskytne kterýkoli z nežádoucích účinků, sdělte to svému lékaři nebo lékárníkovi. Stejně postupujte i v případě jakýchkoli nežádoucích účinků, které nejsou uvedeny v této příbalové informaci.</w:t>
      </w:r>
      <w:r w:rsidR="00D473C2">
        <w:rPr>
          <w:lang w:val="cs-CZ"/>
        </w:rPr>
        <w:t xml:space="preserve"> </w:t>
      </w:r>
      <w:r w:rsidRPr="001B4A02">
        <w:rPr>
          <w:lang w:val="cs-CZ"/>
        </w:rPr>
        <w:t xml:space="preserve">Nežádoucí účinky můžete hlásit také přímo prostřednictvím </w:t>
      </w:r>
      <w:r w:rsidRPr="001B4A02">
        <w:rPr>
          <w:shd w:val="clear" w:color="auto" w:fill="A6A6A6"/>
          <w:lang w:val="cs-CZ"/>
        </w:rPr>
        <w:t>národního systému hlášení nežádoucích účinků uvedeného v </w:t>
      </w:r>
      <w:hyperlink r:id="rId21" w:history="1">
        <w:r w:rsidR="009954F1" w:rsidRPr="001B4A02">
          <w:rPr>
            <w:rStyle w:val="Hyperlink"/>
            <w:shd w:val="clear" w:color="auto" w:fill="A6A6A6"/>
            <w:lang w:val="cs-CZ"/>
          </w:rPr>
          <w:t>Dodatku V</w:t>
        </w:r>
      </w:hyperlink>
      <w:r w:rsidRPr="001B4A02">
        <w:rPr>
          <w:shd w:val="clear" w:color="auto" w:fill="FFFFFF"/>
          <w:lang w:val="cs-CZ"/>
        </w:rPr>
        <w:t>.</w:t>
      </w:r>
      <w:r w:rsidR="00B50434" w:rsidRPr="001B4A02">
        <w:rPr>
          <w:shd w:val="clear" w:color="auto" w:fill="FFFFFF"/>
          <w:lang w:val="cs-CZ"/>
        </w:rPr>
        <w:t xml:space="preserve"> </w:t>
      </w:r>
      <w:r w:rsidRPr="001B4A02">
        <w:rPr>
          <w:lang w:val="cs-CZ"/>
        </w:rPr>
        <w:t>Nahlášením nežádoucích účinků můžete přispět k získání více informací o bezpečnosti tohoto přípravku.</w:t>
      </w:r>
    </w:p>
    <w:p w14:paraId="658734D6" w14:textId="77777777" w:rsidR="009954F1" w:rsidRPr="001B4A02" w:rsidRDefault="009954F1" w:rsidP="009954F1">
      <w:pPr>
        <w:ind w:left="0" w:firstLine="0"/>
      </w:pPr>
    </w:p>
    <w:p w14:paraId="0F02E397" w14:textId="77777777" w:rsidR="009954F1" w:rsidRPr="001B4A02" w:rsidRDefault="009954F1" w:rsidP="009954F1">
      <w:pPr>
        <w:ind w:left="0" w:firstLine="0"/>
      </w:pPr>
    </w:p>
    <w:p w14:paraId="7CE1D644" w14:textId="77777777" w:rsidR="009954F1" w:rsidRPr="001B4A02" w:rsidRDefault="00000000" w:rsidP="00995407">
      <w:pPr>
        <w:keepNext/>
        <w:numPr>
          <w:ilvl w:val="12"/>
          <w:numId w:val="0"/>
        </w:numPr>
        <w:ind w:left="561" w:hanging="561"/>
        <w:outlineLvl w:val="1"/>
      </w:pPr>
      <w:r w:rsidRPr="001B4A02">
        <w:rPr>
          <w:b/>
        </w:rPr>
        <w:t>5.</w:t>
      </w:r>
      <w:r w:rsidRPr="001B4A02">
        <w:rPr>
          <w:b/>
        </w:rPr>
        <w:tab/>
        <w:t>Jak přípravek Humira uchovávat</w:t>
      </w:r>
    </w:p>
    <w:p w14:paraId="7EE5FAAA" w14:textId="77777777" w:rsidR="009954F1" w:rsidRPr="001B4A02" w:rsidRDefault="009954F1" w:rsidP="009954F1">
      <w:pPr>
        <w:keepNext/>
        <w:numPr>
          <w:ilvl w:val="12"/>
          <w:numId w:val="0"/>
        </w:numPr>
        <w:jc w:val="both"/>
      </w:pPr>
    </w:p>
    <w:p w14:paraId="57CE57A6" w14:textId="77777777" w:rsidR="009954F1" w:rsidRPr="001B4A02" w:rsidRDefault="00000000" w:rsidP="009954F1">
      <w:pPr>
        <w:ind w:left="0" w:firstLine="0"/>
      </w:pPr>
      <w:r w:rsidRPr="001B4A02">
        <w:t>Uchovávejte tento přípravek mimo dohled</w:t>
      </w:r>
      <w:r w:rsidR="002378E0">
        <w:t xml:space="preserve"> a </w:t>
      </w:r>
      <w:r w:rsidRPr="001B4A02">
        <w:t>dosah dětí.</w:t>
      </w:r>
    </w:p>
    <w:p w14:paraId="220559F1" w14:textId="77777777" w:rsidR="009954F1" w:rsidRPr="001B4A02" w:rsidRDefault="009954F1" w:rsidP="009954F1">
      <w:pPr>
        <w:ind w:left="0" w:firstLine="0"/>
      </w:pPr>
    </w:p>
    <w:p w14:paraId="425835D6" w14:textId="77777777" w:rsidR="009954F1" w:rsidRPr="001B4A02" w:rsidRDefault="00000000" w:rsidP="009954F1">
      <w:pPr>
        <w:ind w:left="0" w:firstLine="0"/>
      </w:pPr>
      <w:r w:rsidRPr="001B4A02">
        <w:t xml:space="preserve">Nepoužívejte přípravek Humira po uplynutí doby použitelnosti uvedené na lahvičce/blistru/krabičce za EXP. </w:t>
      </w:r>
    </w:p>
    <w:p w14:paraId="4D1630ED" w14:textId="77777777" w:rsidR="009954F1" w:rsidRPr="001B4A02" w:rsidRDefault="009954F1" w:rsidP="009954F1">
      <w:pPr>
        <w:ind w:left="0" w:firstLine="0"/>
      </w:pPr>
    </w:p>
    <w:p w14:paraId="675FDA4C" w14:textId="77777777" w:rsidR="009D400E" w:rsidRPr="001B4A02" w:rsidRDefault="00000000" w:rsidP="009954F1">
      <w:pPr>
        <w:tabs>
          <w:tab w:val="left" w:pos="567"/>
        </w:tabs>
        <w:ind w:left="0" w:firstLine="0"/>
      </w:pPr>
      <w:r w:rsidRPr="001B4A02">
        <w:t>Uchovávejte v chladničce (2 °C</w:t>
      </w:r>
      <w:r w:rsidR="004E7B71">
        <w:t xml:space="preserve"> </w:t>
      </w:r>
      <w:r w:rsidRPr="001B4A02">
        <w:t>–</w:t>
      </w:r>
      <w:r w:rsidR="004E7B71">
        <w:t xml:space="preserve"> </w:t>
      </w:r>
      <w:r w:rsidRPr="001B4A02">
        <w:t>8° C). Chraňte před mrazem.</w:t>
      </w:r>
    </w:p>
    <w:p w14:paraId="63468C85" w14:textId="77777777" w:rsidR="009D400E" w:rsidRPr="001B4A02" w:rsidRDefault="009D400E" w:rsidP="009954F1">
      <w:pPr>
        <w:tabs>
          <w:tab w:val="left" w:pos="567"/>
        </w:tabs>
        <w:ind w:left="0" w:firstLine="0"/>
      </w:pPr>
    </w:p>
    <w:p w14:paraId="2489AE46" w14:textId="77777777" w:rsidR="009954F1" w:rsidRPr="001B4A02" w:rsidRDefault="00000000" w:rsidP="009954F1">
      <w:pPr>
        <w:tabs>
          <w:tab w:val="left" w:pos="567"/>
        </w:tabs>
        <w:ind w:left="0" w:firstLine="0"/>
      </w:pPr>
      <w:r w:rsidRPr="001B4A02">
        <w:t>Uchovávejte předplněnou injekční stříkačku v krabičce, aby byl přípravek chráněn před světlem.</w:t>
      </w:r>
    </w:p>
    <w:p w14:paraId="50EF72BE" w14:textId="77777777" w:rsidR="009954F1" w:rsidRPr="001B4A02" w:rsidRDefault="009954F1" w:rsidP="009954F1">
      <w:pPr>
        <w:tabs>
          <w:tab w:val="left" w:pos="708"/>
        </w:tabs>
        <w:autoSpaceDE w:val="0"/>
        <w:autoSpaceDN w:val="0"/>
        <w:adjustRightInd w:val="0"/>
        <w:rPr>
          <w:szCs w:val="22"/>
          <w:lang w:eastAsia="en-GB"/>
        </w:rPr>
      </w:pPr>
    </w:p>
    <w:p w14:paraId="0D11CF86" w14:textId="77777777" w:rsidR="009954F1" w:rsidRPr="001B4A02" w:rsidRDefault="00000000" w:rsidP="009954F1">
      <w:pPr>
        <w:tabs>
          <w:tab w:val="left" w:pos="708"/>
        </w:tabs>
        <w:autoSpaceDE w:val="0"/>
        <w:autoSpaceDN w:val="0"/>
        <w:adjustRightInd w:val="0"/>
        <w:rPr>
          <w:szCs w:val="22"/>
          <w:lang w:eastAsia="en-GB"/>
        </w:rPr>
      </w:pPr>
      <w:r w:rsidRPr="001B4A02">
        <w:rPr>
          <w:szCs w:val="22"/>
          <w:lang w:eastAsia="en-GB"/>
        </w:rPr>
        <w:t>Jiná možnost uchovávání:</w:t>
      </w:r>
    </w:p>
    <w:p w14:paraId="7F52FBC0" w14:textId="77777777" w:rsidR="009954F1" w:rsidRPr="001B4A02" w:rsidRDefault="009954F1" w:rsidP="009954F1">
      <w:pPr>
        <w:tabs>
          <w:tab w:val="left" w:pos="708"/>
        </w:tabs>
        <w:autoSpaceDE w:val="0"/>
        <w:autoSpaceDN w:val="0"/>
        <w:adjustRightInd w:val="0"/>
        <w:rPr>
          <w:szCs w:val="22"/>
          <w:lang w:eastAsia="en-GB"/>
        </w:rPr>
      </w:pPr>
    </w:p>
    <w:p w14:paraId="2D90FE2C" w14:textId="77777777" w:rsidR="009954F1" w:rsidRPr="001B4A02" w:rsidRDefault="00000000" w:rsidP="009954F1">
      <w:pPr>
        <w:tabs>
          <w:tab w:val="left" w:pos="0"/>
        </w:tabs>
        <w:autoSpaceDE w:val="0"/>
        <w:autoSpaceDN w:val="0"/>
        <w:adjustRightInd w:val="0"/>
        <w:ind w:left="0" w:firstLine="0"/>
        <w:rPr>
          <w:szCs w:val="22"/>
          <w:lang w:eastAsia="en-GB"/>
        </w:rPr>
      </w:pPr>
      <w:r w:rsidRPr="001B4A02">
        <w:rPr>
          <w:szCs w:val="22"/>
          <w:lang w:eastAsia="en-GB"/>
        </w:rPr>
        <w:t>Pokud je to potřeba (například pokud cestujete), je možno uchovávat jednotlivé předplněné injekční stříkačky přípravku Humira při pokojové teplotě (až do 25 °C) po dobu maximálně 14 dní. Vždy se ujistěte, že je přípravek chráněn před světlem. Jakmile je vyjmut z lednice</w:t>
      </w:r>
      <w:r w:rsidR="002378E0">
        <w:rPr>
          <w:szCs w:val="22"/>
          <w:lang w:eastAsia="en-GB"/>
        </w:rPr>
        <w:t xml:space="preserve"> a </w:t>
      </w:r>
      <w:r w:rsidRPr="001B4A02">
        <w:rPr>
          <w:szCs w:val="22"/>
          <w:lang w:eastAsia="en-GB"/>
        </w:rPr>
        <w:t xml:space="preserve">ponechán při pokojové teplotě, stříkačka </w:t>
      </w:r>
      <w:r w:rsidRPr="001B4A02">
        <w:rPr>
          <w:b/>
          <w:szCs w:val="22"/>
          <w:lang w:eastAsia="en-GB"/>
        </w:rPr>
        <w:t>musí být použita do 14 dní nebo zlikvidována,</w:t>
      </w:r>
      <w:r w:rsidR="002378E0">
        <w:rPr>
          <w:b/>
          <w:szCs w:val="22"/>
          <w:lang w:eastAsia="en-GB"/>
        </w:rPr>
        <w:t xml:space="preserve"> a </w:t>
      </w:r>
      <w:r w:rsidRPr="001B4A02">
        <w:rPr>
          <w:szCs w:val="22"/>
          <w:lang w:eastAsia="en-GB"/>
        </w:rPr>
        <w:t>to i v situaci, kdy je vrácena zpět do lednice.</w:t>
      </w:r>
    </w:p>
    <w:p w14:paraId="2E73968E" w14:textId="77777777" w:rsidR="009954F1" w:rsidRPr="001B4A02" w:rsidRDefault="009954F1" w:rsidP="009954F1">
      <w:pPr>
        <w:tabs>
          <w:tab w:val="left" w:pos="708"/>
        </w:tabs>
        <w:autoSpaceDE w:val="0"/>
        <w:autoSpaceDN w:val="0"/>
        <w:adjustRightInd w:val="0"/>
        <w:rPr>
          <w:szCs w:val="22"/>
          <w:lang w:eastAsia="en-GB"/>
        </w:rPr>
      </w:pPr>
    </w:p>
    <w:p w14:paraId="2363A4BF" w14:textId="77777777" w:rsidR="009954F1" w:rsidRPr="001B4A02" w:rsidRDefault="00000000" w:rsidP="009954F1">
      <w:pPr>
        <w:ind w:left="0" w:firstLine="0"/>
        <w:rPr>
          <w:b/>
        </w:rPr>
      </w:pPr>
      <w:r w:rsidRPr="0043226A">
        <w:rPr>
          <w:szCs w:val="22"/>
          <w:lang w:eastAsia="en-GB"/>
        </w:rPr>
        <w:t>Poznamenejte si</w:t>
      </w:r>
      <w:r w:rsidRPr="001B4A02">
        <w:rPr>
          <w:szCs w:val="22"/>
          <w:lang w:eastAsia="en-GB"/>
        </w:rPr>
        <w:t xml:space="preserve"> datum, kdy jste stříkačku poprvé vyjmul(a) z lednice,</w:t>
      </w:r>
      <w:r w:rsidR="002378E0">
        <w:rPr>
          <w:szCs w:val="22"/>
          <w:lang w:eastAsia="en-GB"/>
        </w:rPr>
        <w:t xml:space="preserve"> a </w:t>
      </w:r>
      <w:r w:rsidRPr="001B4A02">
        <w:rPr>
          <w:szCs w:val="22"/>
          <w:lang w:eastAsia="en-GB"/>
        </w:rPr>
        <w:t>také datum, kdy je třeba ji znehodnotit</w:t>
      </w:r>
      <w:r w:rsidRPr="001B4A02">
        <w:t>.</w:t>
      </w:r>
    </w:p>
    <w:p w14:paraId="40B40116" w14:textId="77777777" w:rsidR="009954F1" w:rsidRPr="001B4A02" w:rsidRDefault="009954F1" w:rsidP="009954F1">
      <w:pPr>
        <w:ind w:left="0" w:firstLine="0"/>
      </w:pPr>
    </w:p>
    <w:p w14:paraId="549A90B1" w14:textId="77777777" w:rsidR="009954F1" w:rsidRPr="001B4A02" w:rsidRDefault="00000000" w:rsidP="009954F1">
      <w:pPr>
        <w:ind w:left="0" w:firstLine="0"/>
      </w:pPr>
      <w:r w:rsidRPr="001B4A02">
        <w:t xml:space="preserve">Nevyhazujte žádné léčivé přípravky do odpadních vod nebo domácího odpadu. Zeptejte se svého lékárníka, jak naložit s přípravky, které již nepoužíváte. Tato opatření pomáhají chránit životní prostředí. </w:t>
      </w:r>
    </w:p>
    <w:p w14:paraId="48ADBF20" w14:textId="77777777" w:rsidR="009954F1" w:rsidRPr="001B4A02" w:rsidRDefault="009954F1" w:rsidP="009954F1">
      <w:pPr>
        <w:ind w:left="0" w:firstLine="0"/>
      </w:pPr>
    </w:p>
    <w:p w14:paraId="4C8A0CE2" w14:textId="77777777" w:rsidR="009954F1" w:rsidRPr="001B4A02" w:rsidRDefault="009954F1" w:rsidP="009954F1">
      <w:pPr>
        <w:ind w:left="0" w:firstLine="0"/>
      </w:pPr>
    </w:p>
    <w:p w14:paraId="671D2745" w14:textId="77777777" w:rsidR="009954F1" w:rsidRPr="001B4A02" w:rsidRDefault="00000000" w:rsidP="00995407">
      <w:pPr>
        <w:numPr>
          <w:ilvl w:val="12"/>
          <w:numId w:val="0"/>
        </w:numPr>
        <w:ind w:left="561" w:hanging="561"/>
        <w:outlineLvl w:val="1"/>
        <w:rPr>
          <w:b/>
        </w:rPr>
      </w:pPr>
      <w:r w:rsidRPr="001B4A02">
        <w:rPr>
          <w:b/>
        </w:rPr>
        <w:t>6.</w:t>
      </w:r>
      <w:r w:rsidRPr="001B4A02">
        <w:rPr>
          <w:b/>
        </w:rPr>
        <w:tab/>
        <w:t>Obsah balení</w:t>
      </w:r>
      <w:r w:rsidR="002378E0">
        <w:rPr>
          <w:b/>
        </w:rPr>
        <w:t xml:space="preserve"> a </w:t>
      </w:r>
      <w:r w:rsidRPr="001B4A02">
        <w:rPr>
          <w:b/>
        </w:rPr>
        <w:t>další informace</w:t>
      </w:r>
    </w:p>
    <w:p w14:paraId="647874DB" w14:textId="77777777" w:rsidR="009954F1" w:rsidRPr="001B4A02" w:rsidRDefault="009954F1" w:rsidP="009954F1">
      <w:pPr>
        <w:ind w:left="0" w:firstLine="0"/>
      </w:pPr>
    </w:p>
    <w:p w14:paraId="7C27D9E2" w14:textId="77777777" w:rsidR="009954F1" w:rsidRPr="001B4A02" w:rsidRDefault="00000000" w:rsidP="009954F1">
      <w:pPr>
        <w:numPr>
          <w:ilvl w:val="12"/>
          <w:numId w:val="0"/>
        </w:numPr>
        <w:jc w:val="both"/>
        <w:rPr>
          <w:b/>
          <w:bCs/>
        </w:rPr>
      </w:pPr>
      <w:r w:rsidRPr="001B4A02">
        <w:rPr>
          <w:b/>
          <w:bCs/>
        </w:rPr>
        <w:t xml:space="preserve">Co </w:t>
      </w:r>
      <w:r w:rsidRPr="001B4A02">
        <w:rPr>
          <w:b/>
        </w:rPr>
        <w:t xml:space="preserve">přípravek </w:t>
      </w:r>
      <w:r w:rsidRPr="001B4A02">
        <w:rPr>
          <w:b/>
          <w:bCs/>
        </w:rPr>
        <w:t>Humira obsahuje</w:t>
      </w:r>
    </w:p>
    <w:p w14:paraId="1FDEBBA0" w14:textId="77777777" w:rsidR="009954F1" w:rsidRPr="001B4A02" w:rsidRDefault="009954F1" w:rsidP="009954F1">
      <w:pPr>
        <w:ind w:left="0" w:firstLine="0"/>
      </w:pPr>
    </w:p>
    <w:p w14:paraId="3ED09ACE" w14:textId="77777777" w:rsidR="009954F1" w:rsidRPr="001B4A02" w:rsidRDefault="00000000" w:rsidP="009954F1">
      <w:pPr>
        <w:ind w:left="0" w:right="-2" w:firstLine="0"/>
      </w:pPr>
      <w:r w:rsidRPr="001B4A02">
        <w:t>Léčivou látkou je adalimumab</w:t>
      </w:r>
      <w:del w:id="9812" w:author="Abbvie02" w:date="2025-05-16T11:50:00Z">
        <w:r w:rsidRPr="001B4A02">
          <w:delText>um</w:delText>
        </w:r>
      </w:del>
      <w:r w:rsidRPr="001B4A02">
        <w:t>.</w:t>
      </w:r>
    </w:p>
    <w:p w14:paraId="63CF94B8" w14:textId="77777777" w:rsidR="009954F1" w:rsidRPr="001B4A02" w:rsidRDefault="00000000" w:rsidP="009954F1">
      <w:pPr>
        <w:ind w:left="0" w:firstLine="0"/>
      </w:pPr>
      <w:r w:rsidRPr="001B4A02">
        <w:t>Pomocnými látkami jsou mannitol, polysorbát 80</w:t>
      </w:r>
      <w:r w:rsidR="002378E0">
        <w:t xml:space="preserve"> a </w:t>
      </w:r>
      <w:r w:rsidRPr="001B4A02">
        <w:t xml:space="preserve">voda </w:t>
      </w:r>
      <w:r w:rsidR="00202301" w:rsidRPr="001B4A02">
        <w:t>pro</w:t>
      </w:r>
      <w:r w:rsidRPr="001B4A02">
        <w:t xml:space="preserve"> injekci.</w:t>
      </w:r>
    </w:p>
    <w:p w14:paraId="2D89466A" w14:textId="77777777" w:rsidR="009954F1" w:rsidRPr="001B4A02" w:rsidRDefault="009954F1" w:rsidP="009954F1">
      <w:pPr>
        <w:ind w:left="0" w:firstLine="0"/>
        <w:rPr>
          <w:b/>
        </w:rPr>
      </w:pPr>
    </w:p>
    <w:p w14:paraId="065F15BF" w14:textId="77777777" w:rsidR="009954F1" w:rsidRPr="001B4A02" w:rsidRDefault="00000000" w:rsidP="0009084E">
      <w:pPr>
        <w:keepNext/>
        <w:numPr>
          <w:ilvl w:val="12"/>
          <w:numId w:val="0"/>
        </w:numPr>
        <w:rPr>
          <w:b/>
          <w:bCs/>
        </w:rPr>
      </w:pPr>
      <w:r w:rsidRPr="001B4A02">
        <w:rPr>
          <w:b/>
          <w:bCs/>
        </w:rPr>
        <w:t>Jak přípravek Humira injekční roztok v předplněné injekční stříkačce vypadá</w:t>
      </w:r>
      <w:r w:rsidR="002378E0">
        <w:rPr>
          <w:b/>
          <w:bCs/>
        </w:rPr>
        <w:t xml:space="preserve"> a </w:t>
      </w:r>
      <w:r w:rsidRPr="001B4A02">
        <w:rPr>
          <w:b/>
          <w:bCs/>
        </w:rPr>
        <w:t>co obsahuje toto balení</w:t>
      </w:r>
    </w:p>
    <w:p w14:paraId="08D1ED92" w14:textId="77777777" w:rsidR="009954F1" w:rsidRPr="001B4A02" w:rsidRDefault="009954F1" w:rsidP="009954F1">
      <w:pPr>
        <w:ind w:left="0" w:firstLine="0"/>
      </w:pPr>
    </w:p>
    <w:p w14:paraId="7893C1D1" w14:textId="77777777" w:rsidR="009954F1" w:rsidRPr="001B4A02" w:rsidRDefault="00000000" w:rsidP="00BA0A72">
      <w:pPr>
        <w:ind w:left="0" w:firstLine="0"/>
      </w:pPr>
      <w:r w:rsidRPr="001B4A02">
        <w:t>Přípravek Humira 20</w:t>
      </w:r>
      <w:r w:rsidR="00874DE1">
        <w:t> mg</w:t>
      </w:r>
      <w:r w:rsidRPr="001B4A02">
        <w:t xml:space="preserve"> injekční roztok v předplněné injekční stříkačce je dodáván jako sterilní roztok 20</w:t>
      </w:r>
      <w:r w:rsidR="00874DE1">
        <w:t> mg</w:t>
      </w:r>
      <w:r w:rsidRPr="001B4A02">
        <w:t xml:space="preserve"> adalimumabu, rozpuštěného v 0,2</w:t>
      </w:r>
      <w:r w:rsidR="00196227">
        <w:t> </w:t>
      </w:r>
      <w:r w:rsidRPr="001B4A02">
        <w:t>ml roztoku.</w:t>
      </w:r>
    </w:p>
    <w:p w14:paraId="577F6F94" w14:textId="77777777" w:rsidR="009954F1" w:rsidRPr="001B4A02" w:rsidRDefault="009954F1" w:rsidP="00BA0A72">
      <w:pPr>
        <w:ind w:left="0" w:firstLine="0"/>
      </w:pPr>
    </w:p>
    <w:p w14:paraId="4EE855F5" w14:textId="77777777" w:rsidR="009D400E" w:rsidRPr="001B4A02" w:rsidRDefault="00000000" w:rsidP="009954F1">
      <w:pPr>
        <w:ind w:left="0" w:firstLine="0"/>
      </w:pPr>
      <w:r w:rsidRPr="001B4A02">
        <w:t xml:space="preserve">Přípravek Humira v předplněné injekční stříkačce je skleněná injekční stříkačka, která obsahuje roztok adalimumabu. </w:t>
      </w:r>
    </w:p>
    <w:p w14:paraId="42368600" w14:textId="77777777" w:rsidR="009D400E" w:rsidRPr="001B4A02" w:rsidRDefault="009D400E" w:rsidP="009954F1">
      <w:pPr>
        <w:ind w:left="0" w:firstLine="0"/>
      </w:pPr>
    </w:p>
    <w:p w14:paraId="40BF7A5A" w14:textId="77777777" w:rsidR="009954F1" w:rsidRPr="001B4A02" w:rsidRDefault="00000000" w:rsidP="009954F1">
      <w:pPr>
        <w:ind w:left="0" w:firstLine="0"/>
      </w:pPr>
      <w:r w:rsidRPr="001B4A02">
        <w:t>Přípravek Humira v předplněné injekční stříkačce je k dispozici v</w:t>
      </w:r>
      <w:r w:rsidR="00C17239" w:rsidRPr="001B4A02">
        <w:t> </w:t>
      </w:r>
      <w:r w:rsidRPr="001B4A02">
        <w:t>balení, které obsahuje</w:t>
      </w:r>
      <w:r w:rsidR="00934FD3" w:rsidRPr="001B4A02">
        <w:t xml:space="preserve"> </w:t>
      </w:r>
      <w:r w:rsidRPr="001B4A02">
        <w:t>2 předplněné injekční stříkačky</w:t>
      </w:r>
      <w:r w:rsidR="002378E0">
        <w:t xml:space="preserve"> a </w:t>
      </w:r>
      <w:r w:rsidRPr="001B4A02">
        <w:t>2 tamp</w:t>
      </w:r>
      <w:ins w:id="9813" w:author="Abbvie02" w:date="2025-05-16T12:26:00Z">
        <w:r w:rsidR="00576B2A">
          <w:t>o</w:t>
        </w:r>
      </w:ins>
      <w:del w:id="9814" w:author="Abbvie02" w:date="2025-05-16T12:26:00Z">
        <w:r w:rsidRPr="001B4A02">
          <w:delText>ó</w:delText>
        </w:r>
      </w:del>
      <w:r w:rsidRPr="001B4A02">
        <w:t>ny napuštěn</w:t>
      </w:r>
      <w:r w:rsidR="00934FD3" w:rsidRPr="001B4A02">
        <w:t xml:space="preserve">é </w:t>
      </w:r>
      <w:r w:rsidRPr="001B4A02">
        <w:t xml:space="preserve">alkoholem. </w:t>
      </w:r>
    </w:p>
    <w:p w14:paraId="0CC5AC0F" w14:textId="77777777" w:rsidR="009954F1" w:rsidRPr="001B4A02" w:rsidRDefault="009954F1" w:rsidP="009954F1">
      <w:pPr>
        <w:ind w:left="0" w:firstLine="0"/>
      </w:pPr>
    </w:p>
    <w:p w14:paraId="16667B5E" w14:textId="77777777" w:rsidR="009954F1" w:rsidRPr="001B4A02" w:rsidRDefault="00000000" w:rsidP="0009084E">
      <w:pPr>
        <w:numPr>
          <w:ilvl w:val="12"/>
          <w:numId w:val="0"/>
        </w:numPr>
        <w:jc w:val="both"/>
      </w:pPr>
      <w:r w:rsidRPr="001B4A02">
        <w:t>Přípravek Humira je k </w:t>
      </w:r>
      <w:r w:rsidR="00C92B1C" w:rsidRPr="001B4A02">
        <w:t>dispozici</w:t>
      </w:r>
      <w:r w:rsidRPr="001B4A02">
        <w:t xml:space="preserve"> jako injekční lahvička, předplněná injekční stříkačka</w:t>
      </w:r>
      <w:r w:rsidR="002378E0">
        <w:t xml:space="preserve"> a </w:t>
      </w:r>
      <w:r w:rsidRPr="001B4A02">
        <w:t>předplněné pero.</w:t>
      </w:r>
    </w:p>
    <w:p w14:paraId="7497764C" w14:textId="77777777" w:rsidR="009954F1" w:rsidRPr="001B4A02" w:rsidRDefault="009954F1" w:rsidP="009954F1">
      <w:pPr>
        <w:ind w:left="0" w:firstLine="0"/>
      </w:pPr>
    </w:p>
    <w:p w14:paraId="71A247CE" w14:textId="77777777" w:rsidR="009954F1" w:rsidRPr="001B4A02" w:rsidRDefault="00000000" w:rsidP="009954F1">
      <w:pPr>
        <w:ind w:left="0" w:firstLine="0"/>
        <w:rPr>
          <w:b/>
        </w:rPr>
      </w:pPr>
      <w:r w:rsidRPr="001B4A02">
        <w:rPr>
          <w:b/>
        </w:rPr>
        <w:t>Držitel rozhodnutí o registraci</w:t>
      </w:r>
    </w:p>
    <w:p w14:paraId="79A98FF6" w14:textId="77777777" w:rsidR="009954F1" w:rsidRPr="001B4A02" w:rsidRDefault="009954F1" w:rsidP="009954F1">
      <w:pPr>
        <w:ind w:left="0" w:firstLine="0"/>
      </w:pPr>
    </w:p>
    <w:p w14:paraId="7904C062" w14:textId="77777777" w:rsidR="00E86403" w:rsidRPr="001B4A02" w:rsidRDefault="00000000" w:rsidP="00E86403">
      <w:pPr>
        <w:keepNext/>
        <w:autoSpaceDE w:val="0"/>
        <w:autoSpaceDN w:val="0"/>
        <w:adjustRightInd w:val="0"/>
        <w:spacing w:line="240" w:lineRule="atLeast"/>
        <w:rPr>
          <w:szCs w:val="22"/>
          <w:lang w:eastAsia="en-GB"/>
        </w:rPr>
      </w:pPr>
      <w:r w:rsidRPr="001B4A02">
        <w:rPr>
          <w:szCs w:val="22"/>
          <w:lang w:eastAsia="en-GB"/>
        </w:rPr>
        <w:t>AbbVie Deutschland GmbH &amp; Co. KG</w:t>
      </w:r>
    </w:p>
    <w:p w14:paraId="46555EB8" w14:textId="77777777" w:rsidR="00E86403" w:rsidRPr="001B4A02" w:rsidRDefault="00000000" w:rsidP="00E86403">
      <w:pPr>
        <w:keepNext/>
        <w:autoSpaceDE w:val="0"/>
        <w:autoSpaceDN w:val="0"/>
        <w:adjustRightInd w:val="0"/>
        <w:spacing w:line="240" w:lineRule="atLeast"/>
        <w:rPr>
          <w:szCs w:val="22"/>
          <w:lang w:eastAsia="en-GB"/>
        </w:rPr>
      </w:pPr>
      <w:r w:rsidRPr="001B4A02">
        <w:rPr>
          <w:szCs w:val="22"/>
          <w:lang w:eastAsia="en-GB"/>
        </w:rPr>
        <w:t>Knollstrasse</w:t>
      </w:r>
    </w:p>
    <w:p w14:paraId="541FA111" w14:textId="77777777" w:rsidR="00E86403" w:rsidRPr="001B4A02" w:rsidRDefault="00000000" w:rsidP="00E86403">
      <w:pPr>
        <w:keepNext/>
        <w:autoSpaceDE w:val="0"/>
        <w:autoSpaceDN w:val="0"/>
        <w:adjustRightInd w:val="0"/>
        <w:spacing w:line="240" w:lineRule="atLeast"/>
        <w:rPr>
          <w:szCs w:val="22"/>
          <w:lang w:eastAsia="en-GB"/>
        </w:rPr>
      </w:pPr>
      <w:r w:rsidRPr="001B4A02">
        <w:rPr>
          <w:szCs w:val="22"/>
          <w:lang w:eastAsia="en-GB"/>
        </w:rPr>
        <w:t>67061 Ludwigshafen</w:t>
      </w:r>
    </w:p>
    <w:p w14:paraId="5C72FC6A" w14:textId="77777777" w:rsidR="009954F1" w:rsidRPr="001B4A02" w:rsidRDefault="00000000" w:rsidP="009954F1">
      <w:pPr>
        <w:ind w:left="0" w:firstLine="0"/>
      </w:pPr>
      <w:r w:rsidRPr="001B4A02">
        <w:rPr>
          <w:szCs w:val="22"/>
          <w:lang w:eastAsia="en-GB"/>
        </w:rPr>
        <w:t>Německo</w:t>
      </w:r>
    </w:p>
    <w:p w14:paraId="424A5649" w14:textId="77777777" w:rsidR="009954F1" w:rsidRPr="001B4A02" w:rsidRDefault="009954F1" w:rsidP="009954F1">
      <w:pPr>
        <w:ind w:left="0" w:firstLine="0"/>
      </w:pPr>
    </w:p>
    <w:p w14:paraId="38DCF7F3" w14:textId="77777777" w:rsidR="009954F1" w:rsidRPr="001B4A02" w:rsidRDefault="00000000" w:rsidP="009954F1">
      <w:pPr>
        <w:ind w:left="0" w:firstLine="0"/>
        <w:rPr>
          <w:b/>
        </w:rPr>
      </w:pPr>
      <w:r w:rsidRPr="001B4A02">
        <w:rPr>
          <w:b/>
        </w:rPr>
        <w:t>Výrobce</w:t>
      </w:r>
    </w:p>
    <w:p w14:paraId="1020FF6B" w14:textId="77777777" w:rsidR="009954F1" w:rsidRPr="001B4A02" w:rsidRDefault="009954F1" w:rsidP="009954F1">
      <w:pPr>
        <w:ind w:left="0" w:firstLine="0"/>
      </w:pPr>
    </w:p>
    <w:p w14:paraId="5CF3730D" w14:textId="77777777" w:rsidR="009954F1" w:rsidRPr="001B4A02" w:rsidRDefault="00000000" w:rsidP="009954F1">
      <w:r w:rsidRPr="001B4A02">
        <w:t>AbbVie Biotechnology GmbH</w:t>
      </w:r>
    </w:p>
    <w:p w14:paraId="0291A8FF" w14:textId="77777777" w:rsidR="009954F1" w:rsidRPr="001B4A02" w:rsidRDefault="00000000" w:rsidP="009954F1">
      <w:pPr>
        <w:numPr>
          <w:ilvl w:val="12"/>
          <w:numId w:val="0"/>
        </w:numPr>
        <w:tabs>
          <w:tab w:val="left" w:pos="720"/>
        </w:tabs>
      </w:pPr>
      <w:r w:rsidRPr="001B4A02">
        <w:t>Knollstrasse</w:t>
      </w:r>
    </w:p>
    <w:p w14:paraId="290CE800" w14:textId="77777777" w:rsidR="009954F1" w:rsidRPr="001B4A02" w:rsidRDefault="00000000" w:rsidP="009954F1">
      <w:pPr>
        <w:numPr>
          <w:ilvl w:val="12"/>
          <w:numId w:val="0"/>
        </w:numPr>
        <w:tabs>
          <w:tab w:val="left" w:pos="720"/>
        </w:tabs>
      </w:pPr>
      <w:r w:rsidRPr="001B4A02">
        <w:t>67061 Ludwigshafen</w:t>
      </w:r>
    </w:p>
    <w:p w14:paraId="6F2D05AA" w14:textId="77777777" w:rsidR="009954F1" w:rsidRPr="001B4A02" w:rsidRDefault="00000000" w:rsidP="009954F1">
      <w:pPr>
        <w:numPr>
          <w:ilvl w:val="12"/>
          <w:numId w:val="0"/>
        </w:numPr>
        <w:tabs>
          <w:tab w:val="left" w:pos="720"/>
        </w:tabs>
      </w:pPr>
      <w:r w:rsidRPr="001B4A02">
        <w:t>Německo</w:t>
      </w:r>
    </w:p>
    <w:p w14:paraId="2D3F4E69" w14:textId="77777777" w:rsidR="009954F1" w:rsidRPr="001B4A02" w:rsidRDefault="009954F1" w:rsidP="009954F1">
      <w:pPr>
        <w:ind w:left="0" w:firstLine="0"/>
      </w:pPr>
    </w:p>
    <w:p w14:paraId="70AFCB2A" w14:textId="77777777" w:rsidR="009954F1" w:rsidRPr="001B4A02" w:rsidRDefault="00000000" w:rsidP="0009084E">
      <w:pPr>
        <w:numPr>
          <w:ilvl w:val="12"/>
          <w:numId w:val="0"/>
        </w:numPr>
        <w:jc w:val="both"/>
      </w:pPr>
      <w:r w:rsidRPr="001B4A02">
        <w:t>Další informace o tomto přípravku získáte u místního zástupce držitele rozhodnutí o registraci.</w:t>
      </w:r>
    </w:p>
    <w:p w14:paraId="2311ECDE" w14:textId="77777777" w:rsidR="009954F1" w:rsidRPr="001B4A02" w:rsidRDefault="009954F1" w:rsidP="009954F1">
      <w:pPr>
        <w:ind w:left="0" w:firstLine="0"/>
        <w:rPr>
          <w:sz w:val="24"/>
          <w:szCs w:val="24"/>
        </w:rPr>
      </w:pPr>
    </w:p>
    <w:tbl>
      <w:tblPr>
        <w:tblW w:w="9356" w:type="dxa"/>
        <w:tblInd w:w="-34" w:type="dxa"/>
        <w:tblLayout w:type="fixed"/>
        <w:tblLook w:val="0000" w:firstRow="0" w:lastRow="0" w:firstColumn="0" w:lastColumn="0" w:noHBand="0" w:noVBand="0"/>
      </w:tblPr>
      <w:tblGrid>
        <w:gridCol w:w="34"/>
        <w:gridCol w:w="4610"/>
        <w:gridCol w:w="34"/>
        <w:gridCol w:w="4678"/>
      </w:tblGrid>
      <w:tr w:rsidR="00534A2D" w14:paraId="7DCB7CA4" w14:textId="77777777" w:rsidTr="001F79B0">
        <w:tc>
          <w:tcPr>
            <w:tcW w:w="4644" w:type="dxa"/>
            <w:gridSpan w:val="2"/>
          </w:tcPr>
          <w:p w14:paraId="01B8B5A0" w14:textId="77777777" w:rsidR="00171291" w:rsidRPr="00BD646C" w:rsidRDefault="00000000" w:rsidP="001F79B0">
            <w:pPr>
              <w:rPr>
                <w:b/>
                <w:bCs/>
                <w:szCs w:val="22"/>
                <w:lang w:val="fr-BE"/>
              </w:rPr>
            </w:pPr>
            <w:r w:rsidRPr="00BD646C">
              <w:rPr>
                <w:b/>
                <w:bCs/>
                <w:szCs w:val="22"/>
                <w:lang w:val="fr-BE"/>
              </w:rPr>
              <w:t>België/Belgique/Belgien</w:t>
            </w:r>
          </w:p>
          <w:p w14:paraId="261C7EB6" w14:textId="77777777" w:rsidR="00171291" w:rsidRPr="00BD646C" w:rsidRDefault="00000000" w:rsidP="001F79B0">
            <w:pPr>
              <w:rPr>
                <w:bCs/>
                <w:szCs w:val="22"/>
                <w:lang w:val="fr-FR"/>
              </w:rPr>
            </w:pPr>
            <w:r w:rsidRPr="00BD646C">
              <w:rPr>
                <w:bCs/>
                <w:szCs w:val="22"/>
                <w:lang w:val="fr-FR"/>
              </w:rPr>
              <w:t>AbbVie SA</w:t>
            </w:r>
          </w:p>
          <w:p w14:paraId="2E35DFD1" w14:textId="77777777" w:rsidR="00171291" w:rsidRPr="00BD646C" w:rsidRDefault="00000000" w:rsidP="001F79B0">
            <w:pPr>
              <w:rPr>
                <w:szCs w:val="22"/>
                <w:lang w:val="fr-FR"/>
              </w:rPr>
            </w:pPr>
            <w:r w:rsidRPr="00BD646C">
              <w:rPr>
                <w:bCs/>
                <w:szCs w:val="22"/>
                <w:lang w:val="fr-FR"/>
              </w:rPr>
              <w:t xml:space="preserve">Tél/Tel: +32 10 </w:t>
            </w:r>
            <w:r w:rsidRPr="00BD646C">
              <w:rPr>
                <w:szCs w:val="22"/>
                <w:lang w:val="fr-FR"/>
              </w:rPr>
              <w:t>477811</w:t>
            </w:r>
          </w:p>
          <w:p w14:paraId="63D81B48" w14:textId="77777777" w:rsidR="00171291" w:rsidRPr="00BD646C" w:rsidRDefault="00171291" w:rsidP="001F79B0">
            <w:pPr>
              <w:rPr>
                <w:bCs/>
                <w:szCs w:val="22"/>
                <w:lang w:val="fr-FR"/>
              </w:rPr>
            </w:pPr>
          </w:p>
        </w:tc>
        <w:tc>
          <w:tcPr>
            <w:tcW w:w="4678" w:type="dxa"/>
            <w:gridSpan w:val="2"/>
          </w:tcPr>
          <w:p w14:paraId="749B887F" w14:textId="77777777" w:rsidR="00171291" w:rsidRPr="00BD646C" w:rsidRDefault="00000000" w:rsidP="001F79B0">
            <w:pPr>
              <w:rPr>
                <w:b/>
                <w:bCs/>
                <w:szCs w:val="22"/>
                <w:lang w:val="lt-LT"/>
              </w:rPr>
            </w:pPr>
            <w:r w:rsidRPr="00BD646C">
              <w:rPr>
                <w:b/>
                <w:bCs/>
                <w:szCs w:val="22"/>
                <w:lang w:val="lt-LT"/>
              </w:rPr>
              <w:t>Lietuva</w:t>
            </w:r>
          </w:p>
          <w:p w14:paraId="0DD06D32" w14:textId="77777777" w:rsidR="00171291" w:rsidRPr="00BD646C" w:rsidRDefault="00000000" w:rsidP="001F79B0">
            <w:pPr>
              <w:rPr>
                <w:bCs/>
                <w:szCs w:val="22"/>
                <w:lang w:val="lv-LV"/>
              </w:rPr>
            </w:pPr>
            <w:r w:rsidRPr="00BD646C">
              <w:rPr>
                <w:bCs/>
                <w:szCs w:val="22"/>
                <w:lang w:val="lv-LV"/>
              </w:rPr>
              <w:t xml:space="preserve">AbbVie UAB </w:t>
            </w:r>
          </w:p>
          <w:p w14:paraId="0FF9D0CA" w14:textId="77777777" w:rsidR="00171291" w:rsidRPr="00BD646C" w:rsidRDefault="00000000" w:rsidP="001F79B0">
            <w:pPr>
              <w:rPr>
                <w:bCs/>
                <w:szCs w:val="22"/>
                <w:lang w:val="lv-LV"/>
              </w:rPr>
            </w:pPr>
            <w:r w:rsidRPr="00BD646C">
              <w:rPr>
                <w:bCs/>
                <w:szCs w:val="22"/>
                <w:lang w:val="lv-LV"/>
              </w:rPr>
              <w:t>Tel: +370 5 205 3023</w:t>
            </w:r>
          </w:p>
        </w:tc>
      </w:tr>
      <w:tr w:rsidR="00534A2D" w14:paraId="3EF57FCE" w14:textId="77777777" w:rsidTr="001F79B0">
        <w:tc>
          <w:tcPr>
            <w:tcW w:w="4644" w:type="dxa"/>
            <w:gridSpan w:val="2"/>
          </w:tcPr>
          <w:p w14:paraId="0279A6AE" w14:textId="77777777" w:rsidR="00171291" w:rsidRPr="00BD646C" w:rsidRDefault="00000000" w:rsidP="001F79B0">
            <w:pPr>
              <w:rPr>
                <w:b/>
                <w:bCs/>
                <w:szCs w:val="22"/>
                <w:lang w:val="bg-BG"/>
              </w:rPr>
            </w:pPr>
            <w:r w:rsidRPr="00BD646C">
              <w:rPr>
                <w:b/>
                <w:bCs/>
                <w:szCs w:val="22"/>
                <w:lang w:val="bg-BG"/>
              </w:rPr>
              <w:t>България</w:t>
            </w:r>
          </w:p>
          <w:p w14:paraId="0FFC0182" w14:textId="77777777" w:rsidR="00171291" w:rsidRPr="00BD646C" w:rsidRDefault="00000000" w:rsidP="001F79B0">
            <w:pPr>
              <w:rPr>
                <w:szCs w:val="22"/>
                <w:lang w:val="da-DK"/>
              </w:rPr>
            </w:pPr>
            <w:r w:rsidRPr="00BD646C">
              <w:rPr>
                <w:szCs w:val="22"/>
                <w:lang w:val="sk-SK"/>
              </w:rPr>
              <w:t>АбВи ЕООД</w:t>
            </w:r>
          </w:p>
          <w:p w14:paraId="51D296B8" w14:textId="77777777" w:rsidR="00171291" w:rsidRPr="00BD646C" w:rsidRDefault="00000000" w:rsidP="001F79B0">
            <w:pPr>
              <w:rPr>
                <w:bCs/>
                <w:szCs w:val="22"/>
                <w:lang w:val="da-DK"/>
              </w:rPr>
            </w:pPr>
            <w:r w:rsidRPr="00BD646C">
              <w:rPr>
                <w:szCs w:val="22"/>
                <w:lang w:val="sk-SK"/>
              </w:rPr>
              <w:t>Тел</w:t>
            </w:r>
            <w:r w:rsidRPr="00BD646C">
              <w:rPr>
                <w:szCs w:val="22"/>
                <w:lang w:val="it-IT"/>
              </w:rPr>
              <w:t>.:+359 2 90 30 430</w:t>
            </w:r>
          </w:p>
        </w:tc>
        <w:tc>
          <w:tcPr>
            <w:tcW w:w="4678" w:type="dxa"/>
            <w:gridSpan w:val="2"/>
          </w:tcPr>
          <w:p w14:paraId="16ECEE0F" w14:textId="77777777" w:rsidR="00171291" w:rsidRPr="00BD646C" w:rsidRDefault="00000000" w:rsidP="001F79B0">
            <w:pPr>
              <w:rPr>
                <w:b/>
                <w:bCs/>
                <w:szCs w:val="22"/>
                <w:lang w:val="de-DE"/>
              </w:rPr>
            </w:pPr>
            <w:r w:rsidRPr="00BD646C">
              <w:rPr>
                <w:b/>
                <w:bCs/>
                <w:szCs w:val="22"/>
                <w:lang w:val="de-DE"/>
              </w:rPr>
              <w:t>Luxembourg/Luxemburg</w:t>
            </w:r>
          </w:p>
          <w:p w14:paraId="1A75676E" w14:textId="77777777" w:rsidR="00171291" w:rsidRPr="00BD646C" w:rsidRDefault="00000000" w:rsidP="001F79B0">
            <w:pPr>
              <w:rPr>
                <w:bCs/>
                <w:szCs w:val="22"/>
                <w:lang w:val="de-DE"/>
              </w:rPr>
            </w:pPr>
            <w:r w:rsidRPr="00BD646C">
              <w:rPr>
                <w:bCs/>
                <w:szCs w:val="22"/>
                <w:lang w:val="de-DE"/>
              </w:rPr>
              <w:t>AbbVie SA</w:t>
            </w:r>
          </w:p>
          <w:p w14:paraId="250DA05C" w14:textId="77777777" w:rsidR="00171291" w:rsidRPr="00BD646C" w:rsidRDefault="00000000" w:rsidP="001F79B0">
            <w:pPr>
              <w:rPr>
                <w:bCs/>
                <w:szCs w:val="22"/>
                <w:lang w:val="de-DE"/>
              </w:rPr>
            </w:pPr>
            <w:r w:rsidRPr="00BD646C">
              <w:rPr>
                <w:bCs/>
                <w:szCs w:val="22"/>
                <w:lang w:val="de-DE"/>
              </w:rPr>
              <w:t>Belgique/Belgien</w:t>
            </w:r>
          </w:p>
          <w:p w14:paraId="16CDA225" w14:textId="77777777" w:rsidR="00171291" w:rsidRPr="00BD646C" w:rsidRDefault="00000000" w:rsidP="001F79B0">
            <w:pPr>
              <w:rPr>
                <w:bCs/>
                <w:szCs w:val="22"/>
                <w:lang w:val="fr-FR"/>
              </w:rPr>
            </w:pPr>
            <w:r w:rsidRPr="00BD646C">
              <w:rPr>
                <w:bCs/>
                <w:szCs w:val="22"/>
                <w:lang w:val="fr-FR"/>
              </w:rPr>
              <w:t>Tél/Tel: +32 10 477811</w:t>
            </w:r>
          </w:p>
          <w:p w14:paraId="69D22C2C" w14:textId="77777777" w:rsidR="00171291" w:rsidRPr="00BD646C" w:rsidRDefault="00171291" w:rsidP="001F79B0">
            <w:pPr>
              <w:rPr>
                <w:bCs/>
                <w:szCs w:val="22"/>
                <w:lang w:val="fr-FR"/>
              </w:rPr>
            </w:pPr>
          </w:p>
        </w:tc>
      </w:tr>
      <w:tr w:rsidR="00534A2D" w14:paraId="75E79082" w14:textId="77777777" w:rsidTr="001F79B0">
        <w:tc>
          <w:tcPr>
            <w:tcW w:w="4644" w:type="dxa"/>
            <w:gridSpan w:val="2"/>
          </w:tcPr>
          <w:p w14:paraId="6B34EA49" w14:textId="77777777" w:rsidR="00171291" w:rsidRPr="00BD646C" w:rsidRDefault="00000000" w:rsidP="001F79B0">
            <w:pPr>
              <w:rPr>
                <w:b/>
                <w:bCs/>
                <w:szCs w:val="22"/>
                <w:lang w:val="sk-SK"/>
              </w:rPr>
            </w:pPr>
            <w:r w:rsidRPr="00BD646C">
              <w:rPr>
                <w:b/>
                <w:bCs/>
                <w:szCs w:val="22"/>
                <w:lang w:val="sk-SK"/>
              </w:rPr>
              <w:t>Česká republika</w:t>
            </w:r>
          </w:p>
          <w:p w14:paraId="680CD44D" w14:textId="77777777" w:rsidR="00171291" w:rsidRPr="00BD646C" w:rsidRDefault="00000000" w:rsidP="001F79B0">
            <w:pPr>
              <w:rPr>
                <w:bCs/>
                <w:szCs w:val="22"/>
                <w:lang w:val="sk-SK"/>
              </w:rPr>
            </w:pPr>
            <w:r w:rsidRPr="00BD646C">
              <w:rPr>
                <w:bCs/>
                <w:szCs w:val="22"/>
                <w:lang w:val="sk-SK"/>
              </w:rPr>
              <w:t xml:space="preserve">AbbVie s.r.o. </w:t>
            </w:r>
          </w:p>
          <w:p w14:paraId="4F396976" w14:textId="77777777" w:rsidR="00171291" w:rsidRPr="00BD646C" w:rsidRDefault="00000000" w:rsidP="001F79B0">
            <w:pPr>
              <w:rPr>
                <w:bCs/>
                <w:szCs w:val="22"/>
                <w:lang w:val="sk-SK"/>
              </w:rPr>
            </w:pPr>
            <w:r w:rsidRPr="00BD646C">
              <w:rPr>
                <w:bCs/>
                <w:szCs w:val="22"/>
                <w:lang w:val="sk-SK"/>
              </w:rPr>
              <w:t>Tel: +420 233 098 111</w:t>
            </w:r>
          </w:p>
        </w:tc>
        <w:tc>
          <w:tcPr>
            <w:tcW w:w="4678" w:type="dxa"/>
            <w:gridSpan w:val="2"/>
          </w:tcPr>
          <w:p w14:paraId="688FA563" w14:textId="77777777" w:rsidR="00171291" w:rsidRPr="00BD646C" w:rsidRDefault="00000000" w:rsidP="001F79B0">
            <w:pPr>
              <w:rPr>
                <w:b/>
                <w:bCs/>
                <w:szCs w:val="22"/>
                <w:lang w:val="hu-HU"/>
              </w:rPr>
            </w:pPr>
            <w:r w:rsidRPr="00BD646C">
              <w:rPr>
                <w:b/>
                <w:bCs/>
                <w:szCs w:val="22"/>
                <w:lang w:val="hu-HU"/>
              </w:rPr>
              <w:t>Magyarország</w:t>
            </w:r>
          </w:p>
          <w:p w14:paraId="69C8B8C7" w14:textId="77777777" w:rsidR="00171291" w:rsidRPr="00BD646C" w:rsidRDefault="00000000" w:rsidP="001F79B0">
            <w:pPr>
              <w:rPr>
                <w:bCs/>
                <w:szCs w:val="22"/>
                <w:lang w:val="hu-HU"/>
              </w:rPr>
            </w:pPr>
            <w:r w:rsidRPr="00BD646C">
              <w:rPr>
                <w:bCs/>
                <w:szCs w:val="22"/>
                <w:lang w:val="hu-HU"/>
              </w:rPr>
              <w:t>AbbVie Kft.</w:t>
            </w:r>
          </w:p>
          <w:p w14:paraId="5465A71F" w14:textId="77777777" w:rsidR="00171291" w:rsidRPr="00BD646C" w:rsidRDefault="00000000" w:rsidP="001F79B0">
            <w:pPr>
              <w:rPr>
                <w:bCs/>
                <w:szCs w:val="22"/>
                <w:lang w:val="hu-HU"/>
              </w:rPr>
            </w:pPr>
            <w:r w:rsidRPr="00BD646C">
              <w:rPr>
                <w:bCs/>
                <w:szCs w:val="22"/>
                <w:lang w:val="hu-HU"/>
              </w:rPr>
              <w:t>Tel.:+36 1 455 8600</w:t>
            </w:r>
          </w:p>
          <w:p w14:paraId="5AC941A0" w14:textId="77777777" w:rsidR="00171291" w:rsidRPr="00BD646C" w:rsidRDefault="00171291" w:rsidP="001F79B0">
            <w:pPr>
              <w:rPr>
                <w:bCs/>
                <w:szCs w:val="22"/>
                <w:lang w:val="hu-HU"/>
              </w:rPr>
            </w:pPr>
          </w:p>
        </w:tc>
      </w:tr>
      <w:tr w:rsidR="00534A2D" w14:paraId="16A2E0CF" w14:textId="77777777" w:rsidTr="001F79B0">
        <w:trPr>
          <w:trHeight w:val="737"/>
        </w:trPr>
        <w:tc>
          <w:tcPr>
            <w:tcW w:w="4644" w:type="dxa"/>
            <w:gridSpan w:val="2"/>
          </w:tcPr>
          <w:p w14:paraId="4F9FAEF5" w14:textId="77777777" w:rsidR="00171291" w:rsidRPr="00BD646C" w:rsidRDefault="00000000" w:rsidP="001F79B0">
            <w:pPr>
              <w:rPr>
                <w:b/>
                <w:bCs/>
                <w:szCs w:val="22"/>
                <w:lang w:val="en-US"/>
              </w:rPr>
            </w:pPr>
            <w:r w:rsidRPr="00BD646C">
              <w:rPr>
                <w:b/>
                <w:bCs/>
                <w:szCs w:val="22"/>
                <w:lang w:val="en-US"/>
              </w:rPr>
              <w:t>Danmark</w:t>
            </w:r>
          </w:p>
          <w:p w14:paraId="3C07BDDA" w14:textId="77777777" w:rsidR="00171291" w:rsidRPr="00BD646C" w:rsidRDefault="00000000" w:rsidP="001F79B0">
            <w:pPr>
              <w:rPr>
                <w:bCs/>
                <w:szCs w:val="22"/>
                <w:lang w:val="en-US"/>
              </w:rPr>
            </w:pPr>
            <w:r w:rsidRPr="00BD646C">
              <w:rPr>
                <w:bCs/>
                <w:szCs w:val="22"/>
                <w:lang w:val="en-US"/>
              </w:rPr>
              <w:t>AbbVie A/S</w:t>
            </w:r>
          </w:p>
          <w:p w14:paraId="100B2DAA" w14:textId="77777777" w:rsidR="00171291" w:rsidRPr="00BD646C" w:rsidRDefault="00000000" w:rsidP="001F79B0">
            <w:pPr>
              <w:rPr>
                <w:bCs/>
                <w:szCs w:val="22"/>
                <w:lang w:val="sk-SK"/>
              </w:rPr>
            </w:pPr>
            <w:r w:rsidRPr="00BD646C">
              <w:rPr>
                <w:bCs/>
                <w:szCs w:val="22"/>
                <w:lang w:val="en-US"/>
              </w:rPr>
              <w:t>Tlf</w:t>
            </w:r>
            <w:ins w:id="9815" w:author="AbbVie1" w:date="2025-05-13T10:05:00Z">
              <w:r w:rsidR="009A7932">
                <w:rPr>
                  <w:bCs/>
                  <w:szCs w:val="22"/>
                  <w:lang w:val="en-US"/>
                </w:rPr>
                <w:t>.</w:t>
              </w:r>
            </w:ins>
            <w:r w:rsidRPr="00BD646C">
              <w:rPr>
                <w:bCs/>
                <w:szCs w:val="22"/>
                <w:lang w:val="en-US"/>
              </w:rPr>
              <w:t>: +45 72 30-20-28</w:t>
            </w:r>
          </w:p>
        </w:tc>
        <w:tc>
          <w:tcPr>
            <w:tcW w:w="4678" w:type="dxa"/>
            <w:gridSpan w:val="2"/>
          </w:tcPr>
          <w:p w14:paraId="17E38197" w14:textId="77777777" w:rsidR="00171291" w:rsidRPr="00BD646C" w:rsidRDefault="00000000" w:rsidP="001F79B0">
            <w:pPr>
              <w:rPr>
                <w:b/>
                <w:bCs/>
                <w:szCs w:val="22"/>
                <w:lang w:val="mt-MT"/>
              </w:rPr>
            </w:pPr>
            <w:r w:rsidRPr="00BD646C">
              <w:rPr>
                <w:b/>
                <w:bCs/>
                <w:szCs w:val="22"/>
                <w:lang w:val="mt-MT"/>
              </w:rPr>
              <w:t>Malta</w:t>
            </w:r>
          </w:p>
          <w:p w14:paraId="0DEF457E" w14:textId="77777777" w:rsidR="00171291" w:rsidRPr="00BD646C" w:rsidRDefault="00000000" w:rsidP="001F79B0">
            <w:pPr>
              <w:rPr>
                <w:bCs/>
                <w:szCs w:val="22"/>
                <w:lang w:val="sk-SK"/>
              </w:rPr>
            </w:pPr>
            <w:r w:rsidRPr="00BD646C">
              <w:rPr>
                <w:bCs/>
                <w:szCs w:val="22"/>
                <w:lang w:val="sk-SK"/>
              </w:rPr>
              <w:t xml:space="preserve">V.J.Salomone Pharma Limited </w:t>
            </w:r>
          </w:p>
          <w:p w14:paraId="2F4998C3" w14:textId="77777777" w:rsidR="00171291" w:rsidRPr="00BD646C" w:rsidRDefault="00000000" w:rsidP="001F79B0">
            <w:pPr>
              <w:rPr>
                <w:bCs/>
                <w:szCs w:val="22"/>
                <w:lang w:val="sk-SK"/>
              </w:rPr>
            </w:pPr>
            <w:r w:rsidRPr="00BD646C">
              <w:rPr>
                <w:bCs/>
                <w:szCs w:val="22"/>
                <w:lang w:val="sk-SK"/>
              </w:rPr>
              <w:t xml:space="preserve">Tel: </w:t>
            </w:r>
            <w:r w:rsidR="00AD2446">
              <w:rPr>
                <w:bCs/>
                <w:szCs w:val="22"/>
              </w:rPr>
              <w:t>+356 21220174</w:t>
            </w:r>
          </w:p>
          <w:p w14:paraId="35764E34" w14:textId="77777777" w:rsidR="00171291" w:rsidRPr="00BD646C" w:rsidRDefault="00171291" w:rsidP="001F79B0">
            <w:pPr>
              <w:rPr>
                <w:bCs/>
                <w:szCs w:val="22"/>
                <w:lang w:val="sk-SK"/>
              </w:rPr>
            </w:pPr>
          </w:p>
        </w:tc>
      </w:tr>
      <w:tr w:rsidR="00534A2D" w14:paraId="29BFB3BC" w14:textId="77777777" w:rsidTr="001F79B0">
        <w:tc>
          <w:tcPr>
            <w:tcW w:w="4644" w:type="dxa"/>
            <w:gridSpan w:val="2"/>
          </w:tcPr>
          <w:p w14:paraId="0197165B" w14:textId="77777777" w:rsidR="00171291" w:rsidRPr="00BD646C" w:rsidRDefault="00000000" w:rsidP="001F79B0">
            <w:pPr>
              <w:rPr>
                <w:b/>
                <w:bCs/>
                <w:szCs w:val="22"/>
                <w:lang w:val="de-DE"/>
              </w:rPr>
            </w:pPr>
            <w:r w:rsidRPr="00BD646C">
              <w:rPr>
                <w:b/>
                <w:bCs/>
                <w:szCs w:val="22"/>
                <w:lang w:val="de-DE"/>
              </w:rPr>
              <w:t>Deutschland</w:t>
            </w:r>
          </w:p>
          <w:p w14:paraId="1C415A88" w14:textId="77777777" w:rsidR="00171291" w:rsidRPr="00BD646C" w:rsidRDefault="00000000" w:rsidP="001F79B0">
            <w:pPr>
              <w:rPr>
                <w:bCs/>
                <w:szCs w:val="22"/>
                <w:lang w:val="de-DE"/>
              </w:rPr>
            </w:pPr>
            <w:r w:rsidRPr="00BD646C">
              <w:rPr>
                <w:szCs w:val="22"/>
                <w:lang w:val="de-DE"/>
              </w:rPr>
              <w:t xml:space="preserve">AbbVie Deutschland </w:t>
            </w:r>
            <w:r w:rsidRPr="00BD646C">
              <w:rPr>
                <w:bCs/>
                <w:szCs w:val="22"/>
                <w:lang w:val="de-DE"/>
              </w:rPr>
              <w:t>GmbH &amp; Co. KG</w:t>
            </w:r>
          </w:p>
          <w:p w14:paraId="123AD319" w14:textId="77777777" w:rsidR="00171291" w:rsidRPr="00BD646C" w:rsidRDefault="00000000" w:rsidP="001F79B0">
            <w:pPr>
              <w:rPr>
                <w:szCs w:val="22"/>
                <w:lang w:val="de-DE"/>
              </w:rPr>
            </w:pPr>
            <w:r w:rsidRPr="00BD646C">
              <w:rPr>
                <w:szCs w:val="22"/>
                <w:lang w:val="de-DE"/>
              </w:rPr>
              <w:t>Tel: 00800 222843 33 (gebührenfrei)</w:t>
            </w:r>
          </w:p>
          <w:p w14:paraId="75C13431" w14:textId="77777777" w:rsidR="00171291" w:rsidRPr="00BD646C" w:rsidRDefault="00000000" w:rsidP="001F79B0">
            <w:pPr>
              <w:rPr>
                <w:szCs w:val="22"/>
                <w:lang w:val="de-DE"/>
              </w:rPr>
            </w:pPr>
            <w:r w:rsidRPr="00BD646C">
              <w:rPr>
                <w:szCs w:val="22"/>
                <w:lang w:val="de-DE"/>
              </w:rPr>
              <w:t>Tel: +49 (0) 611 / 1720-0</w:t>
            </w:r>
          </w:p>
          <w:p w14:paraId="0FFC36A6" w14:textId="77777777" w:rsidR="00171291" w:rsidRPr="00BD646C" w:rsidRDefault="00171291" w:rsidP="001F79B0">
            <w:pPr>
              <w:rPr>
                <w:szCs w:val="22"/>
                <w:lang w:val="de-DE"/>
              </w:rPr>
            </w:pPr>
          </w:p>
        </w:tc>
        <w:tc>
          <w:tcPr>
            <w:tcW w:w="4678" w:type="dxa"/>
            <w:gridSpan w:val="2"/>
          </w:tcPr>
          <w:p w14:paraId="59C93D51" w14:textId="77777777" w:rsidR="00171291" w:rsidRPr="00BD646C" w:rsidRDefault="00000000" w:rsidP="001F79B0">
            <w:pPr>
              <w:rPr>
                <w:b/>
                <w:bCs/>
                <w:szCs w:val="22"/>
                <w:lang w:val="nl-NL"/>
              </w:rPr>
            </w:pPr>
            <w:r w:rsidRPr="00BD646C">
              <w:rPr>
                <w:b/>
                <w:bCs/>
                <w:szCs w:val="22"/>
                <w:lang w:val="nl-NL"/>
              </w:rPr>
              <w:t>Nederland</w:t>
            </w:r>
          </w:p>
          <w:p w14:paraId="1842436A" w14:textId="77777777" w:rsidR="00171291" w:rsidRPr="00BD646C" w:rsidRDefault="00000000" w:rsidP="001F79B0">
            <w:pPr>
              <w:rPr>
                <w:bCs/>
                <w:szCs w:val="22"/>
                <w:lang w:val="de-DE"/>
              </w:rPr>
            </w:pPr>
            <w:r w:rsidRPr="00BD646C">
              <w:rPr>
                <w:bCs/>
                <w:szCs w:val="22"/>
                <w:lang w:val="de-DE"/>
              </w:rPr>
              <w:t>AbbVie B.V.</w:t>
            </w:r>
          </w:p>
          <w:p w14:paraId="4120FE11" w14:textId="77777777" w:rsidR="00171291" w:rsidRPr="00BD646C" w:rsidRDefault="00000000" w:rsidP="001F79B0">
            <w:pPr>
              <w:rPr>
                <w:bCs/>
                <w:szCs w:val="22"/>
                <w:lang w:val="de-DE"/>
              </w:rPr>
            </w:pPr>
            <w:r w:rsidRPr="00BD646C">
              <w:rPr>
                <w:bCs/>
                <w:szCs w:val="22"/>
                <w:lang w:val="de-DE"/>
              </w:rPr>
              <w:t>Tel: +31 (0)88 322 2843</w:t>
            </w:r>
          </w:p>
        </w:tc>
      </w:tr>
      <w:tr w:rsidR="00534A2D" w14:paraId="7F7DC81D" w14:textId="77777777" w:rsidTr="001F79B0">
        <w:tc>
          <w:tcPr>
            <w:tcW w:w="4644" w:type="dxa"/>
            <w:gridSpan w:val="2"/>
          </w:tcPr>
          <w:p w14:paraId="3A5EF9CE" w14:textId="77777777" w:rsidR="00171291" w:rsidRPr="00BD646C" w:rsidRDefault="00000000" w:rsidP="001F79B0">
            <w:pPr>
              <w:rPr>
                <w:b/>
                <w:bCs/>
                <w:szCs w:val="22"/>
                <w:lang w:val="et-EE"/>
              </w:rPr>
            </w:pPr>
            <w:r w:rsidRPr="00BD646C">
              <w:rPr>
                <w:b/>
                <w:bCs/>
                <w:szCs w:val="22"/>
                <w:lang w:val="et-EE"/>
              </w:rPr>
              <w:t>Eesti</w:t>
            </w:r>
          </w:p>
          <w:p w14:paraId="68A22AC0" w14:textId="77777777" w:rsidR="00171291" w:rsidRPr="00BD646C" w:rsidRDefault="00000000" w:rsidP="001F79B0">
            <w:pPr>
              <w:rPr>
                <w:bCs/>
                <w:szCs w:val="22"/>
                <w:lang w:val="et-EE"/>
              </w:rPr>
            </w:pPr>
            <w:r w:rsidRPr="00BD646C">
              <w:rPr>
                <w:bCs/>
                <w:szCs w:val="22"/>
                <w:lang w:val="et-EE"/>
              </w:rPr>
              <w:t xml:space="preserve">AbbVie </w:t>
            </w:r>
            <w:r w:rsidRPr="00BD646C">
              <w:rPr>
                <w:bCs/>
                <w:szCs w:val="22"/>
                <w:lang w:val="sk-SK"/>
              </w:rPr>
              <w:t>OÜ</w:t>
            </w:r>
            <w:r w:rsidRPr="00BD646C">
              <w:rPr>
                <w:bCs/>
                <w:szCs w:val="22"/>
                <w:lang w:val="et-EE"/>
              </w:rPr>
              <w:t xml:space="preserve"> </w:t>
            </w:r>
          </w:p>
          <w:p w14:paraId="304EFC91" w14:textId="77777777" w:rsidR="00171291" w:rsidRPr="00BD646C" w:rsidRDefault="00000000" w:rsidP="001F79B0">
            <w:pPr>
              <w:rPr>
                <w:bCs/>
                <w:szCs w:val="22"/>
                <w:lang w:val="lv-LV"/>
              </w:rPr>
            </w:pPr>
            <w:r w:rsidRPr="00BD646C">
              <w:rPr>
                <w:bCs/>
                <w:szCs w:val="22"/>
                <w:lang w:val="et-EE"/>
              </w:rPr>
              <w:t>Tel: +372 623 1011</w:t>
            </w:r>
          </w:p>
        </w:tc>
        <w:tc>
          <w:tcPr>
            <w:tcW w:w="4678" w:type="dxa"/>
            <w:gridSpan w:val="2"/>
          </w:tcPr>
          <w:p w14:paraId="613C00F8" w14:textId="77777777" w:rsidR="00171291" w:rsidRPr="00BD646C" w:rsidRDefault="00000000" w:rsidP="001F79B0">
            <w:pPr>
              <w:rPr>
                <w:b/>
                <w:bCs/>
                <w:szCs w:val="22"/>
                <w:lang w:val="nb-NO"/>
              </w:rPr>
            </w:pPr>
            <w:r w:rsidRPr="00BD646C">
              <w:rPr>
                <w:b/>
                <w:bCs/>
                <w:szCs w:val="22"/>
                <w:lang w:val="nb-NO"/>
              </w:rPr>
              <w:t>Norge</w:t>
            </w:r>
          </w:p>
          <w:p w14:paraId="55FE1012" w14:textId="77777777" w:rsidR="00171291" w:rsidRPr="00BD646C" w:rsidRDefault="00000000" w:rsidP="001F79B0">
            <w:pPr>
              <w:rPr>
                <w:bCs/>
                <w:szCs w:val="22"/>
                <w:lang w:val="sk-SK"/>
              </w:rPr>
            </w:pPr>
            <w:r w:rsidRPr="00BD646C">
              <w:rPr>
                <w:bCs/>
                <w:szCs w:val="22"/>
                <w:lang w:val="sk-SK"/>
              </w:rPr>
              <w:t>AbbVie AS</w:t>
            </w:r>
          </w:p>
          <w:p w14:paraId="0EBB648C" w14:textId="77777777" w:rsidR="00171291" w:rsidRPr="00BD646C" w:rsidRDefault="00000000" w:rsidP="001F79B0">
            <w:pPr>
              <w:rPr>
                <w:bCs/>
                <w:szCs w:val="22"/>
                <w:lang w:val="sk-SK"/>
              </w:rPr>
            </w:pPr>
            <w:r w:rsidRPr="00BD646C">
              <w:rPr>
                <w:bCs/>
                <w:szCs w:val="22"/>
                <w:lang w:val="sk-SK"/>
              </w:rPr>
              <w:t>Tlf: +47 67 81 80 00</w:t>
            </w:r>
          </w:p>
          <w:p w14:paraId="460D18D0" w14:textId="77777777" w:rsidR="00171291" w:rsidRPr="00BD646C" w:rsidRDefault="00171291" w:rsidP="001F79B0">
            <w:pPr>
              <w:rPr>
                <w:bCs/>
                <w:szCs w:val="22"/>
                <w:lang w:val="sk-SK"/>
              </w:rPr>
            </w:pPr>
          </w:p>
        </w:tc>
      </w:tr>
      <w:tr w:rsidR="00534A2D" w14:paraId="7942BB39" w14:textId="77777777" w:rsidTr="001F79B0">
        <w:trPr>
          <w:trHeight w:val="794"/>
        </w:trPr>
        <w:tc>
          <w:tcPr>
            <w:tcW w:w="4644" w:type="dxa"/>
            <w:gridSpan w:val="2"/>
          </w:tcPr>
          <w:p w14:paraId="1772F799" w14:textId="77777777" w:rsidR="00171291" w:rsidRPr="00BD646C" w:rsidRDefault="00000000" w:rsidP="001F79B0">
            <w:pPr>
              <w:rPr>
                <w:b/>
                <w:bCs/>
                <w:szCs w:val="22"/>
                <w:lang w:val="el-GR"/>
              </w:rPr>
            </w:pPr>
            <w:r w:rsidRPr="00BD646C">
              <w:rPr>
                <w:b/>
                <w:bCs/>
                <w:szCs w:val="22"/>
                <w:lang w:val="el-GR"/>
              </w:rPr>
              <w:t>Ελλάδα</w:t>
            </w:r>
          </w:p>
          <w:p w14:paraId="30917430" w14:textId="77777777" w:rsidR="00171291" w:rsidRPr="00BD646C" w:rsidRDefault="00000000" w:rsidP="001F79B0">
            <w:pPr>
              <w:rPr>
                <w:bCs/>
                <w:szCs w:val="22"/>
                <w:lang w:val="el-GR"/>
              </w:rPr>
            </w:pPr>
            <w:r w:rsidRPr="00BD646C">
              <w:rPr>
                <w:bCs/>
                <w:szCs w:val="22"/>
                <w:lang w:val="et-EE"/>
              </w:rPr>
              <w:t xml:space="preserve">AbbVie </w:t>
            </w:r>
            <w:r w:rsidRPr="00BD646C">
              <w:rPr>
                <w:szCs w:val="22"/>
                <w:lang w:val="el-GR"/>
              </w:rPr>
              <w:t>ΦΑΡΜΑΚΕΥΤΙΚΗ Α.Ε.</w:t>
            </w:r>
          </w:p>
          <w:p w14:paraId="5723137A" w14:textId="77777777" w:rsidR="00171291" w:rsidRPr="00BD646C" w:rsidRDefault="00000000" w:rsidP="001F79B0">
            <w:pPr>
              <w:rPr>
                <w:bCs/>
                <w:szCs w:val="22"/>
                <w:lang w:val="sk-SK"/>
              </w:rPr>
            </w:pPr>
            <w:r w:rsidRPr="00BD646C">
              <w:rPr>
                <w:bCs/>
                <w:szCs w:val="22"/>
                <w:lang w:val="el-GR"/>
              </w:rPr>
              <w:t xml:space="preserve">Τηλ: +30 </w:t>
            </w:r>
            <w:r w:rsidRPr="00BD646C">
              <w:rPr>
                <w:bCs/>
                <w:szCs w:val="22"/>
                <w:lang w:val="sk-SK"/>
              </w:rPr>
              <w:t>214 4165 555</w:t>
            </w:r>
          </w:p>
        </w:tc>
        <w:tc>
          <w:tcPr>
            <w:tcW w:w="4678" w:type="dxa"/>
            <w:gridSpan w:val="2"/>
          </w:tcPr>
          <w:p w14:paraId="77AF1871" w14:textId="77777777" w:rsidR="00171291" w:rsidRPr="00BD646C" w:rsidRDefault="00000000" w:rsidP="001F79B0">
            <w:pPr>
              <w:rPr>
                <w:b/>
                <w:bCs/>
                <w:szCs w:val="22"/>
                <w:lang w:val="de-DE"/>
              </w:rPr>
            </w:pPr>
            <w:r w:rsidRPr="00BD646C">
              <w:rPr>
                <w:b/>
                <w:bCs/>
                <w:szCs w:val="22"/>
                <w:lang w:val="de-DE"/>
              </w:rPr>
              <w:t>Österreich</w:t>
            </w:r>
          </w:p>
          <w:p w14:paraId="1349A130" w14:textId="77777777" w:rsidR="00171291" w:rsidRPr="00BD646C" w:rsidRDefault="00000000" w:rsidP="001F79B0">
            <w:pPr>
              <w:rPr>
                <w:bCs/>
                <w:szCs w:val="22"/>
                <w:lang w:val="de-DE"/>
              </w:rPr>
            </w:pPr>
            <w:r w:rsidRPr="00BD646C">
              <w:rPr>
                <w:bCs/>
                <w:szCs w:val="22"/>
                <w:lang w:val="de-DE"/>
              </w:rPr>
              <w:t xml:space="preserve">AbbVie GmbH </w:t>
            </w:r>
          </w:p>
          <w:p w14:paraId="0AB964EA" w14:textId="77777777" w:rsidR="00171291" w:rsidRPr="00BD646C" w:rsidRDefault="00000000" w:rsidP="001F79B0">
            <w:pPr>
              <w:rPr>
                <w:bCs/>
                <w:szCs w:val="22"/>
                <w:lang w:val="de-DE"/>
              </w:rPr>
            </w:pPr>
            <w:r w:rsidRPr="00BD646C">
              <w:rPr>
                <w:bCs/>
                <w:szCs w:val="22"/>
                <w:lang w:val="de-DE"/>
              </w:rPr>
              <w:t>Tel: +43 1 20589-0</w:t>
            </w:r>
          </w:p>
          <w:p w14:paraId="05611A83" w14:textId="77777777" w:rsidR="00171291" w:rsidRPr="00BD646C" w:rsidRDefault="00171291" w:rsidP="001F79B0">
            <w:pPr>
              <w:rPr>
                <w:bCs/>
                <w:szCs w:val="22"/>
                <w:lang w:val="de-DE"/>
              </w:rPr>
            </w:pPr>
          </w:p>
        </w:tc>
      </w:tr>
      <w:tr w:rsidR="00534A2D" w14:paraId="43937A0F" w14:textId="77777777" w:rsidTr="001F79B0">
        <w:trPr>
          <w:gridBefore w:val="1"/>
          <w:wBefore w:w="34" w:type="dxa"/>
        </w:trPr>
        <w:tc>
          <w:tcPr>
            <w:tcW w:w="4644" w:type="dxa"/>
            <w:gridSpan w:val="2"/>
          </w:tcPr>
          <w:p w14:paraId="10157D49" w14:textId="77777777" w:rsidR="00171291" w:rsidRPr="00BD646C" w:rsidRDefault="00000000" w:rsidP="001F79B0">
            <w:pPr>
              <w:rPr>
                <w:b/>
                <w:bCs/>
                <w:szCs w:val="22"/>
                <w:lang w:val="es-ES"/>
              </w:rPr>
            </w:pPr>
            <w:r w:rsidRPr="00BD646C">
              <w:rPr>
                <w:b/>
                <w:bCs/>
                <w:szCs w:val="22"/>
                <w:lang w:val="es-ES"/>
              </w:rPr>
              <w:t>España</w:t>
            </w:r>
          </w:p>
          <w:p w14:paraId="23740B80" w14:textId="77777777" w:rsidR="00171291" w:rsidRPr="00BD646C" w:rsidRDefault="00000000" w:rsidP="001F79B0">
            <w:pPr>
              <w:rPr>
                <w:szCs w:val="22"/>
                <w:lang w:val="es-ES"/>
              </w:rPr>
            </w:pPr>
            <w:r w:rsidRPr="00BD646C">
              <w:rPr>
                <w:szCs w:val="22"/>
                <w:lang w:val="es-ES"/>
              </w:rPr>
              <w:t xml:space="preserve">AbbVie </w:t>
            </w:r>
            <w:r w:rsidRPr="00BD646C">
              <w:rPr>
                <w:bCs/>
                <w:szCs w:val="22"/>
                <w:lang w:val="es-ES"/>
              </w:rPr>
              <w:t>Spain</w:t>
            </w:r>
            <w:r w:rsidRPr="00BD646C">
              <w:rPr>
                <w:szCs w:val="22"/>
                <w:lang w:val="es-ES"/>
              </w:rPr>
              <w:t>, S.L.U</w:t>
            </w:r>
            <w:r w:rsidRPr="00BD646C">
              <w:rPr>
                <w:bCs/>
                <w:szCs w:val="22"/>
                <w:lang w:val="es-ES"/>
              </w:rPr>
              <w:t>.</w:t>
            </w:r>
          </w:p>
          <w:p w14:paraId="35E9E6E5" w14:textId="77777777" w:rsidR="00171291" w:rsidRPr="00BD646C" w:rsidRDefault="00000000" w:rsidP="001F79B0">
            <w:pPr>
              <w:rPr>
                <w:bCs/>
                <w:szCs w:val="22"/>
                <w:lang w:val="pl-PL"/>
              </w:rPr>
            </w:pPr>
            <w:r w:rsidRPr="00BD646C">
              <w:rPr>
                <w:bCs/>
                <w:szCs w:val="22"/>
                <w:lang w:val="pt-PT"/>
              </w:rPr>
              <w:t>Tel: +34 91 384 09 10</w:t>
            </w:r>
          </w:p>
        </w:tc>
        <w:tc>
          <w:tcPr>
            <w:tcW w:w="4678" w:type="dxa"/>
          </w:tcPr>
          <w:p w14:paraId="694BBE46" w14:textId="77777777" w:rsidR="00171291" w:rsidRPr="00BD646C" w:rsidRDefault="00000000" w:rsidP="001F79B0">
            <w:pPr>
              <w:rPr>
                <w:b/>
                <w:bCs/>
                <w:iCs/>
                <w:szCs w:val="22"/>
                <w:lang w:val="pl-PL"/>
              </w:rPr>
            </w:pPr>
            <w:r w:rsidRPr="00BD646C">
              <w:rPr>
                <w:b/>
                <w:bCs/>
                <w:iCs/>
                <w:szCs w:val="22"/>
                <w:lang w:val="pl-PL"/>
              </w:rPr>
              <w:t>Polska</w:t>
            </w:r>
          </w:p>
          <w:p w14:paraId="19CF7087" w14:textId="77777777" w:rsidR="00171291" w:rsidRPr="00BD646C" w:rsidRDefault="00000000" w:rsidP="001F79B0">
            <w:pPr>
              <w:rPr>
                <w:bCs/>
                <w:szCs w:val="22"/>
                <w:lang w:val="pl-PL"/>
              </w:rPr>
            </w:pPr>
            <w:r w:rsidRPr="00BD646C">
              <w:rPr>
                <w:bCs/>
                <w:szCs w:val="22"/>
                <w:lang w:val="pl-PL"/>
              </w:rPr>
              <w:t>AbbVie Sp. z o.o.</w:t>
            </w:r>
          </w:p>
          <w:p w14:paraId="461CB080" w14:textId="77777777" w:rsidR="00171291" w:rsidRPr="00BD646C" w:rsidRDefault="00000000" w:rsidP="001F79B0">
            <w:pPr>
              <w:rPr>
                <w:bCs/>
                <w:szCs w:val="22"/>
                <w:lang w:val="pl-PL"/>
              </w:rPr>
            </w:pPr>
            <w:r w:rsidRPr="00BD646C">
              <w:rPr>
                <w:szCs w:val="22"/>
                <w:lang w:val="es-ES"/>
              </w:rPr>
              <w:t xml:space="preserve">Tel.: +48 22 </w:t>
            </w:r>
            <w:r w:rsidRPr="00BD646C">
              <w:rPr>
                <w:bCs/>
                <w:szCs w:val="22"/>
                <w:lang w:val="pl-PL"/>
              </w:rPr>
              <w:t xml:space="preserve">372 78 00 </w:t>
            </w:r>
          </w:p>
          <w:p w14:paraId="55AC06F3" w14:textId="77777777" w:rsidR="00171291" w:rsidRPr="00BD646C" w:rsidRDefault="00171291" w:rsidP="001F79B0">
            <w:pPr>
              <w:rPr>
                <w:bCs/>
                <w:szCs w:val="22"/>
                <w:lang w:val="pl-PL"/>
              </w:rPr>
            </w:pPr>
          </w:p>
        </w:tc>
      </w:tr>
      <w:tr w:rsidR="00534A2D" w14:paraId="3AF3FFDD" w14:textId="77777777" w:rsidTr="001F79B0">
        <w:trPr>
          <w:trHeight w:val="734"/>
        </w:trPr>
        <w:tc>
          <w:tcPr>
            <w:tcW w:w="4678" w:type="dxa"/>
            <w:gridSpan w:val="3"/>
          </w:tcPr>
          <w:p w14:paraId="0BBE6CDE" w14:textId="77777777" w:rsidR="00171291" w:rsidRPr="00BD646C" w:rsidRDefault="00000000" w:rsidP="001F79B0">
            <w:pPr>
              <w:rPr>
                <w:b/>
                <w:bCs/>
                <w:szCs w:val="22"/>
                <w:lang w:val="fr-FR"/>
              </w:rPr>
            </w:pPr>
            <w:r w:rsidRPr="00BD646C">
              <w:rPr>
                <w:b/>
                <w:bCs/>
                <w:szCs w:val="22"/>
                <w:lang w:val="fr-FR"/>
              </w:rPr>
              <w:t>France</w:t>
            </w:r>
          </w:p>
          <w:p w14:paraId="236324D7" w14:textId="77777777" w:rsidR="00171291" w:rsidRPr="00BD646C" w:rsidRDefault="00000000" w:rsidP="001F79B0">
            <w:pPr>
              <w:rPr>
                <w:bCs/>
                <w:szCs w:val="22"/>
                <w:lang w:val="fr-FR"/>
              </w:rPr>
            </w:pPr>
            <w:r w:rsidRPr="00BD646C">
              <w:rPr>
                <w:bCs/>
                <w:szCs w:val="22"/>
                <w:lang w:val="fr-FR"/>
              </w:rPr>
              <w:t>AbbVie</w:t>
            </w:r>
          </w:p>
          <w:p w14:paraId="2D891BAE" w14:textId="77777777" w:rsidR="00171291" w:rsidRPr="00BD646C" w:rsidRDefault="00000000" w:rsidP="001F79B0">
            <w:pPr>
              <w:rPr>
                <w:bCs/>
                <w:szCs w:val="22"/>
                <w:lang w:val="fr-FR"/>
              </w:rPr>
            </w:pPr>
            <w:r w:rsidRPr="00BD646C">
              <w:rPr>
                <w:bCs/>
                <w:szCs w:val="22"/>
                <w:lang w:val="fr-FR"/>
              </w:rPr>
              <w:t>Tél: +33 (0) 1 45 60 13 00</w:t>
            </w:r>
          </w:p>
        </w:tc>
        <w:tc>
          <w:tcPr>
            <w:tcW w:w="4678" w:type="dxa"/>
          </w:tcPr>
          <w:p w14:paraId="7FF7B84D" w14:textId="77777777" w:rsidR="00171291" w:rsidRPr="00BD646C" w:rsidRDefault="00000000" w:rsidP="001F79B0">
            <w:pPr>
              <w:rPr>
                <w:b/>
                <w:bCs/>
                <w:szCs w:val="22"/>
                <w:lang w:val="pt-PT"/>
              </w:rPr>
            </w:pPr>
            <w:r w:rsidRPr="00BD646C">
              <w:rPr>
                <w:b/>
                <w:bCs/>
                <w:szCs w:val="22"/>
                <w:lang w:val="pt-PT"/>
              </w:rPr>
              <w:t>Portugal</w:t>
            </w:r>
          </w:p>
          <w:p w14:paraId="5D6656DC" w14:textId="77777777" w:rsidR="00171291" w:rsidRPr="00BD646C" w:rsidRDefault="00000000" w:rsidP="001F79B0">
            <w:pPr>
              <w:rPr>
                <w:bCs/>
                <w:szCs w:val="22"/>
                <w:lang w:val="fr-FR"/>
              </w:rPr>
            </w:pPr>
            <w:r w:rsidRPr="00BD646C">
              <w:rPr>
                <w:bCs/>
                <w:szCs w:val="22"/>
                <w:lang w:val="fr-FR"/>
              </w:rPr>
              <w:t xml:space="preserve">AbbVie, Lda. </w:t>
            </w:r>
          </w:p>
          <w:p w14:paraId="3A1F1D8C" w14:textId="77777777" w:rsidR="00171291" w:rsidRPr="00BD646C" w:rsidRDefault="00000000" w:rsidP="001F79B0">
            <w:pPr>
              <w:rPr>
                <w:szCs w:val="22"/>
                <w:lang w:val="fr-FR"/>
              </w:rPr>
            </w:pPr>
            <w:r w:rsidRPr="00BD646C">
              <w:rPr>
                <w:szCs w:val="22"/>
                <w:lang w:val="fr-FR"/>
              </w:rPr>
              <w:t>Tel: +351 (0)21 1908400</w:t>
            </w:r>
          </w:p>
          <w:p w14:paraId="56BD65B7" w14:textId="77777777" w:rsidR="00171291" w:rsidRPr="00BD646C" w:rsidRDefault="00171291" w:rsidP="001F79B0">
            <w:pPr>
              <w:rPr>
                <w:szCs w:val="22"/>
                <w:lang w:val="fr-FR"/>
              </w:rPr>
            </w:pPr>
          </w:p>
        </w:tc>
      </w:tr>
      <w:tr w:rsidR="00534A2D" w14:paraId="2A4882B0" w14:textId="77777777" w:rsidTr="001F79B0">
        <w:trPr>
          <w:gridBefore w:val="1"/>
          <w:wBefore w:w="34" w:type="dxa"/>
        </w:trPr>
        <w:tc>
          <w:tcPr>
            <w:tcW w:w="4644" w:type="dxa"/>
            <w:gridSpan w:val="2"/>
          </w:tcPr>
          <w:p w14:paraId="3DAB87B8" w14:textId="77777777" w:rsidR="00171291" w:rsidRPr="005B1CF3" w:rsidRDefault="00000000" w:rsidP="001F79B0">
            <w:pPr>
              <w:rPr>
                <w:szCs w:val="22"/>
                <w:rPrChange w:id="9816" w:author="Abbvie02" w:date="2025-05-16T11:16:00Z">
                  <w:rPr>
                    <w:szCs w:val="22"/>
                    <w:lang w:val="en-GB"/>
                  </w:rPr>
                </w:rPrChange>
              </w:rPr>
            </w:pPr>
            <w:r w:rsidRPr="005B1CF3">
              <w:rPr>
                <w:b/>
                <w:bCs/>
                <w:szCs w:val="22"/>
                <w:rPrChange w:id="9817" w:author="Abbvie02" w:date="2025-05-16T11:16:00Z">
                  <w:rPr>
                    <w:b/>
                    <w:bCs/>
                    <w:szCs w:val="22"/>
                    <w:lang w:val="en-GB"/>
                  </w:rPr>
                </w:rPrChange>
              </w:rPr>
              <w:t xml:space="preserve">Hrvatska </w:t>
            </w:r>
          </w:p>
          <w:p w14:paraId="78826DCA" w14:textId="77777777" w:rsidR="00171291" w:rsidRPr="00BD646C" w:rsidRDefault="00000000" w:rsidP="001F79B0">
            <w:pPr>
              <w:rPr>
                <w:szCs w:val="22"/>
                <w:lang w:val="hr-HR"/>
              </w:rPr>
            </w:pPr>
            <w:r w:rsidRPr="00BD646C">
              <w:rPr>
                <w:szCs w:val="22"/>
                <w:lang w:val="hr-HR"/>
              </w:rPr>
              <w:t>AbbVie d.o.o.</w:t>
            </w:r>
          </w:p>
          <w:p w14:paraId="3EBAD751" w14:textId="77777777" w:rsidR="00171291" w:rsidRPr="00BD646C" w:rsidRDefault="00000000" w:rsidP="001F79B0">
            <w:pPr>
              <w:rPr>
                <w:bCs/>
                <w:szCs w:val="22"/>
                <w:lang w:val="it-IT"/>
              </w:rPr>
            </w:pPr>
            <w:r w:rsidRPr="00BD646C">
              <w:rPr>
                <w:szCs w:val="22"/>
                <w:lang w:val="hr-HR"/>
              </w:rPr>
              <w:t xml:space="preserve">Tel + 385 (0)1 </w:t>
            </w:r>
            <w:r w:rsidRPr="00BD646C">
              <w:rPr>
                <w:szCs w:val="22"/>
                <w:lang w:val="en-US"/>
              </w:rPr>
              <w:t>5625 501</w:t>
            </w:r>
          </w:p>
        </w:tc>
        <w:tc>
          <w:tcPr>
            <w:tcW w:w="4678" w:type="dxa"/>
          </w:tcPr>
          <w:p w14:paraId="20E31EDC" w14:textId="77777777" w:rsidR="00171291" w:rsidRPr="00BD646C" w:rsidRDefault="00000000" w:rsidP="001F79B0">
            <w:pPr>
              <w:rPr>
                <w:b/>
                <w:bCs/>
                <w:szCs w:val="22"/>
                <w:lang w:val="it-IT"/>
              </w:rPr>
            </w:pPr>
            <w:r w:rsidRPr="00BD646C">
              <w:rPr>
                <w:b/>
                <w:bCs/>
                <w:szCs w:val="22"/>
                <w:lang w:val="it-IT"/>
              </w:rPr>
              <w:t>România</w:t>
            </w:r>
          </w:p>
          <w:p w14:paraId="4423AEFF" w14:textId="77777777" w:rsidR="00171291" w:rsidRPr="00BD646C" w:rsidRDefault="00000000" w:rsidP="001F79B0">
            <w:pPr>
              <w:rPr>
                <w:szCs w:val="22"/>
                <w:lang w:val="it-IT"/>
              </w:rPr>
            </w:pPr>
            <w:r w:rsidRPr="00BD646C">
              <w:rPr>
                <w:szCs w:val="22"/>
                <w:lang w:val="it-IT"/>
              </w:rPr>
              <w:t>AbbVie S.R.L.</w:t>
            </w:r>
          </w:p>
          <w:p w14:paraId="27FD34A5" w14:textId="77777777" w:rsidR="00171291" w:rsidRPr="00BD646C" w:rsidRDefault="00000000" w:rsidP="001F79B0">
            <w:pPr>
              <w:rPr>
                <w:szCs w:val="22"/>
                <w:lang w:val="pl-PL"/>
              </w:rPr>
            </w:pPr>
            <w:r w:rsidRPr="00BD646C">
              <w:rPr>
                <w:szCs w:val="22"/>
                <w:lang w:val="pl-PL"/>
              </w:rPr>
              <w:t>Tel: +40 21 529 30 35</w:t>
            </w:r>
          </w:p>
          <w:p w14:paraId="37D966C6" w14:textId="77777777" w:rsidR="00171291" w:rsidRPr="00BD646C" w:rsidRDefault="00171291" w:rsidP="001F79B0">
            <w:pPr>
              <w:rPr>
                <w:szCs w:val="22"/>
                <w:lang w:val="pl-PL"/>
              </w:rPr>
            </w:pPr>
          </w:p>
        </w:tc>
      </w:tr>
      <w:tr w:rsidR="00534A2D" w14:paraId="46A6B88C" w14:textId="77777777" w:rsidTr="001F79B0">
        <w:trPr>
          <w:gridBefore w:val="1"/>
          <w:wBefore w:w="34" w:type="dxa"/>
        </w:trPr>
        <w:tc>
          <w:tcPr>
            <w:tcW w:w="4644" w:type="dxa"/>
            <w:gridSpan w:val="2"/>
          </w:tcPr>
          <w:p w14:paraId="3ACA5BBA" w14:textId="77777777" w:rsidR="00171291" w:rsidRPr="00BD646C" w:rsidRDefault="00000000" w:rsidP="001F79B0">
            <w:pPr>
              <w:rPr>
                <w:b/>
                <w:bCs/>
                <w:szCs w:val="22"/>
                <w:lang w:val="sk-SK"/>
              </w:rPr>
            </w:pPr>
            <w:r w:rsidRPr="00BD646C">
              <w:rPr>
                <w:b/>
                <w:bCs/>
                <w:szCs w:val="22"/>
                <w:lang w:val="sk-SK"/>
              </w:rPr>
              <w:t>Ireland</w:t>
            </w:r>
          </w:p>
          <w:p w14:paraId="002DB47C" w14:textId="77777777" w:rsidR="00171291" w:rsidRPr="00BD646C" w:rsidRDefault="00000000" w:rsidP="001F79B0">
            <w:pPr>
              <w:rPr>
                <w:bCs/>
                <w:szCs w:val="22"/>
                <w:lang w:val="sk-SK"/>
              </w:rPr>
            </w:pPr>
            <w:r w:rsidRPr="00BD646C">
              <w:rPr>
                <w:bCs/>
                <w:szCs w:val="22"/>
                <w:lang w:val="sk-SK"/>
              </w:rPr>
              <w:t xml:space="preserve">AbbVie Limited </w:t>
            </w:r>
          </w:p>
          <w:p w14:paraId="74719837" w14:textId="77777777" w:rsidR="00171291" w:rsidRPr="00BD646C" w:rsidRDefault="00000000" w:rsidP="001F79B0">
            <w:pPr>
              <w:rPr>
                <w:bCs/>
                <w:szCs w:val="22"/>
                <w:lang w:val="sk-SK"/>
              </w:rPr>
            </w:pPr>
            <w:r w:rsidRPr="00BD646C">
              <w:rPr>
                <w:bCs/>
                <w:szCs w:val="22"/>
                <w:lang w:val="pt-PT"/>
              </w:rPr>
              <w:t>Tel: +353 (0)1 42879</w:t>
            </w:r>
            <w:r w:rsidR="00C57483">
              <w:rPr>
                <w:bCs/>
                <w:szCs w:val="22"/>
                <w:lang w:val="pt-PT"/>
              </w:rPr>
              <w:t>0</w:t>
            </w:r>
            <w:r w:rsidRPr="00BD646C">
              <w:rPr>
                <w:bCs/>
                <w:szCs w:val="22"/>
                <w:lang w:val="pt-PT"/>
              </w:rPr>
              <w:t>0</w:t>
            </w:r>
          </w:p>
        </w:tc>
        <w:tc>
          <w:tcPr>
            <w:tcW w:w="4678" w:type="dxa"/>
          </w:tcPr>
          <w:p w14:paraId="44E96566" w14:textId="77777777" w:rsidR="00171291" w:rsidRPr="00BD646C" w:rsidRDefault="00000000" w:rsidP="001F79B0">
            <w:pPr>
              <w:rPr>
                <w:b/>
                <w:bCs/>
                <w:szCs w:val="22"/>
                <w:lang w:val="sl-SI"/>
              </w:rPr>
            </w:pPr>
            <w:r w:rsidRPr="00BD646C">
              <w:rPr>
                <w:b/>
                <w:bCs/>
                <w:szCs w:val="22"/>
                <w:lang w:val="sl-SI"/>
              </w:rPr>
              <w:t>Slovenija</w:t>
            </w:r>
          </w:p>
          <w:p w14:paraId="48E3E62D" w14:textId="77777777" w:rsidR="00171291" w:rsidRPr="00BD646C" w:rsidRDefault="00000000" w:rsidP="001F79B0">
            <w:pPr>
              <w:rPr>
                <w:bCs/>
                <w:szCs w:val="22"/>
                <w:lang w:val="sl-SI"/>
              </w:rPr>
            </w:pPr>
            <w:r w:rsidRPr="00BD646C">
              <w:rPr>
                <w:bCs/>
                <w:szCs w:val="22"/>
                <w:lang w:val="sl-SI"/>
              </w:rPr>
              <w:t xml:space="preserve">AbbVie </w:t>
            </w:r>
            <w:r w:rsidRPr="00BD646C">
              <w:rPr>
                <w:szCs w:val="22"/>
                <w:lang w:val="sl-SI"/>
              </w:rPr>
              <w:t>Biofarmacevtska družba d.o.o.</w:t>
            </w:r>
          </w:p>
          <w:p w14:paraId="6A022A4E" w14:textId="77777777" w:rsidR="00171291" w:rsidRPr="00BD646C" w:rsidRDefault="00000000" w:rsidP="001F79B0">
            <w:pPr>
              <w:rPr>
                <w:bCs/>
                <w:szCs w:val="22"/>
                <w:lang w:val="sl-SI"/>
              </w:rPr>
            </w:pPr>
            <w:r w:rsidRPr="00BD646C">
              <w:rPr>
                <w:bCs/>
                <w:szCs w:val="22"/>
                <w:lang w:val="sl-SI"/>
              </w:rPr>
              <w:t>Tel: +386 (1)32 08 060</w:t>
            </w:r>
          </w:p>
          <w:p w14:paraId="701DE9FE" w14:textId="77777777" w:rsidR="00171291" w:rsidRPr="00BD646C" w:rsidRDefault="00171291" w:rsidP="001F79B0">
            <w:pPr>
              <w:rPr>
                <w:bCs/>
                <w:szCs w:val="22"/>
                <w:lang w:val="sl-SI"/>
              </w:rPr>
            </w:pPr>
          </w:p>
        </w:tc>
      </w:tr>
      <w:tr w:rsidR="00534A2D" w14:paraId="4A4CA3DD" w14:textId="77777777" w:rsidTr="001F79B0">
        <w:trPr>
          <w:gridBefore w:val="1"/>
          <w:wBefore w:w="34" w:type="dxa"/>
        </w:trPr>
        <w:tc>
          <w:tcPr>
            <w:tcW w:w="4644" w:type="dxa"/>
            <w:gridSpan w:val="2"/>
          </w:tcPr>
          <w:p w14:paraId="0502B5B2" w14:textId="77777777" w:rsidR="00171291" w:rsidRPr="00BD646C" w:rsidRDefault="00000000" w:rsidP="001F79B0">
            <w:pPr>
              <w:rPr>
                <w:b/>
                <w:bCs/>
                <w:szCs w:val="22"/>
                <w:lang w:val="is-IS"/>
              </w:rPr>
            </w:pPr>
            <w:r w:rsidRPr="00BD646C">
              <w:rPr>
                <w:b/>
                <w:bCs/>
                <w:szCs w:val="22"/>
                <w:lang w:val="is-IS"/>
              </w:rPr>
              <w:t>Ísland</w:t>
            </w:r>
          </w:p>
          <w:p w14:paraId="5401112E" w14:textId="77777777" w:rsidR="00171291" w:rsidRPr="00BD646C" w:rsidRDefault="00000000" w:rsidP="001F79B0">
            <w:pPr>
              <w:rPr>
                <w:bCs/>
                <w:szCs w:val="22"/>
                <w:lang w:val="sk-SK"/>
              </w:rPr>
            </w:pPr>
            <w:r w:rsidRPr="00BD646C">
              <w:rPr>
                <w:bCs/>
                <w:szCs w:val="22"/>
                <w:lang w:val="sk-SK"/>
              </w:rPr>
              <w:t>Vistor</w:t>
            </w:r>
            <w:del w:id="9818" w:author="AbbVie1" w:date="2025-05-13T10:06:00Z">
              <w:r w:rsidRPr="00BD646C">
                <w:rPr>
                  <w:bCs/>
                  <w:szCs w:val="22"/>
                  <w:lang w:val="sk-SK"/>
                </w:rPr>
                <w:delText xml:space="preserve"> hf.</w:delText>
              </w:r>
            </w:del>
          </w:p>
          <w:p w14:paraId="47FCEF4C" w14:textId="77777777" w:rsidR="00171291" w:rsidRPr="00BD646C" w:rsidRDefault="00000000" w:rsidP="001F79B0">
            <w:pPr>
              <w:rPr>
                <w:bCs/>
                <w:szCs w:val="22"/>
                <w:lang w:val="sk-SK"/>
              </w:rPr>
            </w:pPr>
            <w:r w:rsidRPr="00BD646C">
              <w:rPr>
                <w:bCs/>
                <w:szCs w:val="22"/>
                <w:lang w:val="sk-SK"/>
              </w:rPr>
              <w:t>Tel: +354 535 7000</w:t>
            </w:r>
          </w:p>
        </w:tc>
        <w:tc>
          <w:tcPr>
            <w:tcW w:w="4678" w:type="dxa"/>
          </w:tcPr>
          <w:p w14:paraId="4D750B6D" w14:textId="77777777" w:rsidR="00171291" w:rsidRPr="00BD646C" w:rsidRDefault="00000000" w:rsidP="001F79B0">
            <w:pPr>
              <w:rPr>
                <w:b/>
                <w:bCs/>
                <w:szCs w:val="22"/>
                <w:lang w:val="sk-SK"/>
              </w:rPr>
            </w:pPr>
            <w:r w:rsidRPr="00BD646C">
              <w:rPr>
                <w:b/>
                <w:bCs/>
                <w:szCs w:val="22"/>
                <w:lang w:val="sk-SK"/>
              </w:rPr>
              <w:t>Slovenská republika</w:t>
            </w:r>
          </w:p>
          <w:p w14:paraId="1E44461E" w14:textId="77777777" w:rsidR="00171291" w:rsidRPr="00BD646C" w:rsidRDefault="00000000" w:rsidP="001F79B0">
            <w:pPr>
              <w:rPr>
                <w:bCs/>
                <w:szCs w:val="22"/>
                <w:lang w:val="sk-SK"/>
              </w:rPr>
            </w:pPr>
            <w:r w:rsidRPr="00BD646C">
              <w:rPr>
                <w:bCs/>
                <w:szCs w:val="22"/>
                <w:lang w:val="sk-SK"/>
              </w:rPr>
              <w:t>AbbVie s.r.o.</w:t>
            </w:r>
          </w:p>
          <w:p w14:paraId="3C42A77E" w14:textId="77777777" w:rsidR="00171291" w:rsidRPr="00BD646C" w:rsidRDefault="00000000" w:rsidP="001F79B0">
            <w:pPr>
              <w:rPr>
                <w:bCs/>
                <w:szCs w:val="22"/>
                <w:lang w:val="sk-SK"/>
              </w:rPr>
            </w:pPr>
            <w:r w:rsidRPr="00BD646C">
              <w:rPr>
                <w:bCs/>
                <w:szCs w:val="22"/>
                <w:lang w:val="sk-SK"/>
              </w:rPr>
              <w:t>Tel: +421 2 5050 0777</w:t>
            </w:r>
          </w:p>
          <w:p w14:paraId="64206842" w14:textId="77777777" w:rsidR="00171291" w:rsidRPr="00BD646C" w:rsidRDefault="00171291" w:rsidP="001F79B0">
            <w:pPr>
              <w:rPr>
                <w:bCs/>
                <w:szCs w:val="22"/>
                <w:lang w:val="sk-SK"/>
              </w:rPr>
            </w:pPr>
          </w:p>
        </w:tc>
      </w:tr>
      <w:tr w:rsidR="00534A2D" w14:paraId="480CBFAF" w14:textId="77777777" w:rsidTr="001F79B0">
        <w:trPr>
          <w:gridBefore w:val="1"/>
          <w:wBefore w:w="34" w:type="dxa"/>
        </w:trPr>
        <w:tc>
          <w:tcPr>
            <w:tcW w:w="4644" w:type="dxa"/>
            <w:gridSpan w:val="2"/>
          </w:tcPr>
          <w:p w14:paraId="793720BC" w14:textId="77777777" w:rsidR="00171291" w:rsidRPr="00BD646C" w:rsidRDefault="00000000" w:rsidP="001F79B0">
            <w:pPr>
              <w:rPr>
                <w:b/>
                <w:bCs/>
                <w:szCs w:val="22"/>
                <w:lang w:val="it-IT"/>
              </w:rPr>
            </w:pPr>
            <w:r w:rsidRPr="00BD646C">
              <w:rPr>
                <w:b/>
                <w:bCs/>
                <w:szCs w:val="22"/>
                <w:lang w:val="it-IT"/>
              </w:rPr>
              <w:t>Italia</w:t>
            </w:r>
          </w:p>
          <w:p w14:paraId="52EFC920" w14:textId="77777777" w:rsidR="00171291" w:rsidRPr="00BD646C" w:rsidRDefault="00000000" w:rsidP="001F79B0">
            <w:pPr>
              <w:rPr>
                <w:bCs/>
                <w:szCs w:val="22"/>
                <w:lang w:val="pt-PT"/>
              </w:rPr>
            </w:pPr>
            <w:r w:rsidRPr="00BD646C">
              <w:rPr>
                <w:bCs/>
                <w:szCs w:val="22"/>
                <w:lang w:val="pt-PT"/>
              </w:rPr>
              <w:t xml:space="preserve">AbbVie S.r.l. </w:t>
            </w:r>
          </w:p>
          <w:p w14:paraId="5403C224" w14:textId="77777777" w:rsidR="00171291" w:rsidRPr="00BD646C" w:rsidRDefault="00000000" w:rsidP="001F79B0">
            <w:pPr>
              <w:rPr>
                <w:bCs/>
                <w:szCs w:val="22"/>
                <w:lang w:val="fi-FI"/>
              </w:rPr>
            </w:pPr>
            <w:r w:rsidRPr="00BD646C">
              <w:rPr>
                <w:bCs/>
                <w:szCs w:val="22"/>
                <w:lang w:val="fr-FR"/>
              </w:rPr>
              <w:t>Tel: +39 06 928921</w:t>
            </w:r>
          </w:p>
        </w:tc>
        <w:tc>
          <w:tcPr>
            <w:tcW w:w="4678" w:type="dxa"/>
          </w:tcPr>
          <w:p w14:paraId="2F3BC009" w14:textId="77777777" w:rsidR="00171291" w:rsidRPr="00BD646C" w:rsidRDefault="00000000" w:rsidP="001F79B0">
            <w:pPr>
              <w:rPr>
                <w:b/>
                <w:bCs/>
                <w:szCs w:val="22"/>
                <w:lang w:val="fi-FI"/>
              </w:rPr>
            </w:pPr>
            <w:r w:rsidRPr="00BD646C">
              <w:rPr>
                <w:b/>
                <w:bCs/>
                <w:szCs w:val="22"/>
                <w:lang w:val="fi-FI"/>
              </w:rPr>
              <w:t>Suomi/Finland</w:t>
            </w:r>
          </w:p>
          <w:p w14:paraId="2242F4C2" w14:textId="77777777" w:rsidR="00171291" w:rsidRPr="00BD646C" w:rsidRDefault="00000000" w:rsidP="001F79B0">
            <w:pPr>
              <w:rPr>
                <w:bCs/>
                <w:szCs w:val="22"/>
                <w:lang w:val="de-CH"/>
              </w:rPr>
            </w:pPr>
            <w:r w:rsidRPr="00BD646C">
              <w:rPr>
                <w:bCs/>
                <w:szCs w:val="22"/>
                <w:lang w:val="sk-SK"/>
              </w:rPr>
              <w:t>AbbVie Oy</w:t>
            </w:r>
          </w:p>
          <w:p w14:paraId="7DB487FF" w14:textId="77777777" w:rsidR="00171291" w:rsidRPr="00BD646C" w:rsidRDefault="00000000" w:rsidP="001F79B0">
            <w:pPr>
              <w:rPr>
                <w:bCs/>
                <w:szCs w:val="22"/>
                <w:lang w:val="sk-SK"/>
              </w:rPr>
            </w:pPr>
            <w:r w:rsidRPr="00BD646C">
              <w:rPr>
                <w:bCs/>
                <w:szCs w:val="22"/>
                <w:lang w:val="sk-SK"/>
              </w:rPr>
              <w:t>Puh/Tel: +358 (0)10 2411 200</w:t>
            </w:r>
          </w:p>
          <w:p w14:paraId="11D23375" w14:textId="77777777" w:rsidR="00171291" w:rsidRPr="00BD646C" w:rsidRDefault="00171291" w:rsidP="001F79B0">
            <w:pPr>
              <w:rPr>
                <w:szCs w:val="22"/>
                <w:lang w:val="sk-SK"/>
              </w:rPr>
            </w:pPr>
          </w:p>
        </w:tc>
      </w:tr>
      <w:tr w:rsidR="00534A2D" w14:paraId="7CF5E860" w14:textId="77777777" w:rsidTr="001F79B0">
        <w:trPr>
          <w:gridBefore w:val="1"/>
          <w:wBefore w:w="34" w:type="dxa"/>
          <w:cantSplit/>
          <w:trHeight w:val="887"/>
        </w:trPr>
        <w:tc>
          <w:tcPr>
            <w:tcW w:w="4644" w:type="dxa"/>
            <w:gridSpan w:val="2"/>
          </w:tcPr>
          <w:p w14:paraId="2C226E8C" w14:textId="77777777" w:rsidR="00171291" w:rsidRPr="00BD646C" w:rsidRDefault="00000000" w:rsidP="001F79B0">
            <w:pPr>
              <w:rPr>
                <w:b/>
                <w:bCs/>
                <w:szCs w:val="22"/>
                <w:lang w:val="el-GR"/>
              </w:rPr>
            </w:pPr>
            <w:r w:rsidRPr="00BD646C">
              <w:rPr>
                <w:b/>
                <w:bCs/>
                <w:szCs w:val="22"/>
                <w:lang w:val="el-GR"/>
              </w:rPr>
              <w:t>Κύπρος</w:t>
            </w:r>
          </w:p>
          <w:p w14:paraId="3FF7BFC2" w14:textId="77777777" w:rsidR="00171291" w:rsidRPr="00BD646C" w:rsidRDefault="00000000" w:rsidP="001F79B0">
            <w:pPr>
              <w:rPr>
                <w:bCs/>
                <w:szCs w:val="22"/>
                <w:lang w:val="el-GR"/>
              </w:rPr>
            </w:pPr>
            <w:r w:rsidRPr="00BD646C">
              <w:rPr>
                <w:bCs/>
                <w:szCs w:val="22"/>
                <w:lang w:val="sk-SK"/>
              </w:rPr>
              <w:t xml:space="preserve">Lifepharma (Z.A.M.) </w:t>
            </w:r>
            <w:r w:rsidRPr="00BD646C">
              <w:rPr>
                <w:bCs/>
                <w:szCs w:val="22"/>
                <w:lang w:val="it-IT"/>
              </w:rPr>
              <w:t>Ltd</w:t>
            </w:r>
          </w:p>
          <w:p w14:paraId="1E845995" w14:textId="77777777" w:rsidR="00171291" w:rsidRPr="00BD646C" w:rsidRDefault="00000000" w:rsidP="001F79B0">
            <w:pPr>
              <w:rPr>
                <w:bCs/>
                <w:szCs w:val="22"/>
                <w:lang w:val="lv-LV"/>
              </w:rPr>
            </w:pPr>
            <w:r w:rsidRPr="00BD646C">
              <w:rPr>
                <w:bCs/>
                <w:szCs w:val="22"/>
                <w:lang w:val="el-GR"/>
              </w:rPr>
              <w:t>Τηλ.: +357 22 34 74 40</w:t>
            </w:r>
          </w:p>
        </w:tc>
        <w:tc>
          <w:tcPr>
            <w:tcW w:w="4678" w:type="dxa"/>
          </w:tcPr>
          <w:p w14:paraId="566D7661" w14:textId="77777777" w:rsidR="00171291" w:rsidRPr="00BD646C" w:rsidRDefault="00000000" w:rsidP="001F79B0">
            <w:pPr>
              <w:rPr>
                <w:b/>
                <w:bCs/>
                <w:szCs w:val="22"/>
                <w:lang w:val="sk-SK"/>
              </w:rPr>
            </w:pPr>
            <w:r w:rsidRPr="00BD646C">
              <w:rPr>
                <w:b/>
                <w:bCs/>
                <w:szCs w:val="22"/>
                <w:lang w:val="sk-SK"/>
              </w:rPr>
              <w:t>Sverige</w:t>
            </w:r>
          </w:p>
          <w:p w14:paraId="40634B7E" w14:textId="77777777" w:rsidR="00171291" w:rsidRPr="00BD646C" w:rsidRDefault="00000000" w:rsidP="001F79B0">
            <w:pPr>
              <w:rPr>
                <w:bCs/>
                <w:szCs w:val="22"/>
                <w:lang w:val="pt-PT"/>
              </w:rPr>
            </w:pPr>
            <w:r w:rsidRPr="00BD646C">
              <w:rPr>
                <w:bCs/>
                <w:szCs w:val="22"/>
                <w:lang w:val="pt-PT"/>
              </w:rPr>
              <w:t>AbbVie AB</w:t>
            </w:r>
          </w:p>
          <w:p w14:paraId="3C53FBF6" w14:textId="77777777" w:rsidR="00171291" w:rsidRPr="00BD646C" w:rsidRDefault="00000000" w:rsidP="001F79B0">
            <w:pPr>
              <w:rPr>
                <w:bCs/>
                <w:szCs w:val="22"/>
                <w:lang w:val="sk-SK"/>
              </w:rPr>
            </w:pPr>
            <w:r w:rsidRPr="00BD646C">
              <w:rPr>
                <w:bCs/>
                <w:szCs w:val="22"/>
                <w:lang w:val="da-DK"/>
              </w:rPr>
              <w:t>Tel: +46 (0)8 684 44 600</w:t>
            </w:r>
          </w:p>
        </w:tc>
      </w:tr>
      <w:tr w:rsidR="00534A2D" w14:paraId="47B0B0EC" w14:textId="77777777" w:rsidTr="001F79B0">
        <w:trPr>
          <w:gridBefore w:val="1"/>
          <w:wBefore w:w="34" w:type="dxa"/>
          <w:cantSplit/>
          <w:trHeight w:val="761"/>
        </w:trPr>
        <w:tc>
          <w:tcPr>
            <w:tcW w:w="4644" w:type="dxa"/>
            <w:gridSpan w:val="2"/>
          </w:tcPr>
          <w:p w14:paraId="00E0AD2E" w14:textId="77777777" w:rsidR="00171291" w:rsidRPr="00BD646C" w:rsidRDefault="00000000" w:rsidP="001F79B0">
            <w:pPr>
              <w:rPr>
                <w:b/>
                <w:bCs/>
                <w:szCs w:val="22"/>
                <w:lang w:val="lv-LV"/>
              </w:rPr>
            </w:pPr>
            <w:r w:rsidRPr="00BD646C">
              <w:rPr>
                <w:b/>
                <w:bCs/>
                <w:szCs w:val="22"/>
                <w:lang w:val="lv-LV"/>
              </w:rPr>
              <w:t>Latvija</w:t>
            </w:r>
          </w:p>
          <w:p w14:paraId="46606C64" w14:textId="77777777" w:rsidR="00171291" w:rsidRPr="00BD646C" w:rsidRDefault="00000000" w:rsidP="001F79B0">
            <w:pPr>
              <w:rPr>
                <w:bCs/>
                <w:szCs w:val="22"/>
                <w:lang w:val="lv-LV"/>
              </w:rPr>
            </w:pPr>
            <w:r w:rsidRPr="00BD646C">
              <w:rPr>
                <w:bCs/>
                <w:szCs w:val="22"/>
                <w:lang w:val="lv-LV"/>
              </w:rPr>
              <w:t xml:space="preserve">AbbVie SIA </w:t>
            </w:r>
          </w:p>
          <w:p w14:paraId="7C2B1862" w14:textId="77777777" w:rsidR="00171291" w:rsidRPr="00BD646C" w:rsidRDefault="00000000" w:rsidP="001F79B0">
            <w:pPr>
              <w:rPr>
                <w:bCs/>
                <w:szCs w:val="22"/>
                <w:lang w:val="lv-LV"/>
              </w:rPr>
            </w:pPr>
            <w:r w:rsidRPr="00BD646C">
              <w:rPr>
                <w:bCs/>
                <w:szCs w:val="22"/>
                <w:lang w:val="lv-LV"/>
              </w:rPr>
              <w:t>Tel: +371 67605000</w:t>
            </w:r>
          </w:p>
        </w:tc>
        <w:tc>
          <w:tcPr>
            <w:tcW w:w="4678" w:type="dxa"/>
          </w:tcPr>
          <w:p w14:paraId="1C536E07" w14:textId="77777777" w:rsidR="00171291" w:rsidRPr="00BD646C" w:rsidRDefault="00171291" w:rsidP="001F79B0">
            <w:pPr>
              <w:rPr>
                <w:b/>
                <w:bCs/>
                <w:szCs w:val="22"/>
                <w:lang w:val="sk-SK"/>
              </w:rPr>
            </w:pPr>
          </w:p>
        </w:tc>
      </w:tr>
    </w:tbl>
    <w:p w14:paraId="60803848" w14:textId="77777777" w:rsidR="009954F1" w:rsidRPr="001B4A02" w:rsidRDefault="009954F1" w:rsidP="009954F1">
      <w:pPr>
        <w:ind w:left="0" w:firstLine="0"/>
      </w:pPr>
    </w:p>
    <w:p w14:paraId="31FC073C" w14:textId="77777777" w:rsidR="009954F1" w:rsidRPr="001B4A02" w:rsidRDefault="00000000" w:rsidP="009954F1">
      <w:pPr>
        <w:ind w:left="0" w:firstLine="0"/>
        <w:rPr>
          <w:b/>
        </w:rPr>
      </w:pPr>
      <w:r w:rsidRPr="001B4A02">
        <w:rPr>
          <w:b/>
        </w:rPr>
        <w:t>Tato příbalová informace byla naposledy revidována v</w:t>
      </w:r>
      <w:r w:rsidR="00CD59CE">
        <w:rPr>
          <w:b/>
        </w:rPr>
        <w:t> </w:t>
      </w:r>
    </w:p>
    <w:p w14:paraId="2CAE63E9" w14:textId="77777777" w:rsidR="009954F1" w:rsidRPr="001B4A02" w:rsidRDefault="009954F1" w:rsidP="009954F1">
      <w:pPr>
        <w:ind w:left="0" w:firstLine="0"/>
      </w:pPr>
    </w:p>
    <w:p w14:paraId="393BB6B0" w14:textId="77777777" w:rsidR="009954F1" w:rsidRDefault="00000000" w:rsidP="009954F1">
      <w:pPr>
        <w:ind w:left="0" w:firstLine="0"/>
        <w:rPr>
          <w:ins w:id="9819" w:author="AbbVie1" w:date="2025-05-13T10:06:00Z"/>
        </w:rPr>
      </w:pPr>
      <w:r w:rsidRPr="001B4A02">
        <w:t xml:space="preserve">Podrobné informace o tomto léčivém přípravku jsou k dispozici na webových stránkách Evropské </w:t>
      </w:r>
      <w:r w:rsidRPr="001B4A02">
        <w:rPr>
          <w:szCs w:val="22"/>
        </w:rPr>
        <w:t xml:space="preserve">agentury pro léčivé přípravky </w:t>
      </w:r>
      <w:ins w:id="9820" w:author="AbbVie1" w:date="2025-05-13T10:06:00Z">
        <w:r w:rsidR="009A7932">
          <w:fldChar w:fldCharType="begin"/>
        </w:r>
        <w:r w:rsidR="009A7932">
          <w:instrText>HYPERLINK "</w:instrText>
        </w:r>
      </w:ins>
      <w:r w:rsidR="009A7932" w:rsidRPr="001B4A02">
        <w:instrText>http</w:instrText>
      </w:r>
      <w:ins w:id="9821" w:author="AbbVie1" w:date="2025-05-13T10:06:00Z">
        <w:r w:rsidR="009A7932">
          <w:instrText>s</w:instrText>
        </w:r>
      </w:ins>
      <w:r w:rsidR="009A7932" w:rsidRPr="001B4A02">
        <w:instrText>://www.ema.europa.eu</w:instrText>
      </w:r>
      <w:ins w:id="9822" w:author="AbbVie1" w:date="2025-05-13T10:06:00Z">
        <w:r w:rsidR="009A7932">
          <w:instrText>"</w:instrText>
        </w:r>
        <w:r w:rsidR="009A7932">
          <w:fldChar w:fldCharType="separate"/>
        </w:r>
      </w:ins>
      <w:r w:rsidR="009A7932" w:rsidRPr="004C0040">
        <w:rPr>
          <w:rStyle w:val="Hyperlink"/>
        </w:rPr>
        <w:t>http</w:t>
      </w:r>
      <w:ins w:id="9823" w:author="AbbVie1" w:date="2025-05-13T10:06:00Z">
        <w:r w:rsidR="009A7932" w:rsidRPr="004C0040">
          <w:rPr>
            <w:rStyle w:val="Hyperlink"/>
          </w:rPr>
          <w:t>s</w:t>
        </w:r>
      </w:ins>
      <w:r w:rsidR="009A7932" w:rsidRPr="004C0040">
        <w:rPr>
          <w:rStyle w:val="Hyperlink"/>
        </w:rPr>
        <w:t>://www.ema.europa.eu</w:t>
      </w:r>
      <w:ins w:id="9824" w:author="AbbVie1" w:date="2025-05-13T10:06:00Z">
        <w:r w:rsidR="009A7932">
          <w:fldChar w:fldCharType="end"/>
        </w:r>
      </w:ins>
      <w:r w:rsidRPr="001B4A02">
        <w:t>.</w:t>
      </w:r>
    </w:p>
    <w:p w14:paraId="42DC5DFF" w14:textId="77777777" w:rsidR="009A7932" w:rsidRPr="001B4A02" w:rsidRDefault="009A7932" w:rsidP="009954F1">
      <w:pPr>
        <w:ind w:left="0" w:firstLine="0"/>
        <w:rPr>
          <w:del w:id="9825" w:author="AbbVie1" w:date="2025-05-13T10:06:00Z"/>
        </w:rPr>
      </w:pPr>
    </w:p>
    <w:p w14:paraId="1B0ED43C" w14:textId="77777777" w:rsidR="009954F1" w:rsidRPr="001B4A02" w:rsidRDefault="009954F1" w:rsidP="009954F1">
      <w:pPr>
        <w:ind w:left="0" w:firstLine="0"/>
      </w:pPr>
    </w:p>
    <w:p w14:paraId="22F0B80C" w14:textId="77777777" w:rsidR="009954F1" w:rsidRPr="001B4A02" w:rsidRDefault="00000000" w:rsidP="002857B1">
      <w:pPr>
        <w:ind w:left="0" w:firstLine="0"/>
        <w:rPr>
          <w:b/>
          <w:color w:val="000000"/>
        </w:rPr>
      </w:pPr>
      <w:r w:rsidRPr="001B4A02">
        <w:rPr>
          <w:b/>
          <w:bCs/>
          <w:color w:val="000000"/>
        </w:rPr>
        <w:t>Chcete-li si tuto příbalovou informaci poslechnout, nebo chcete-li si vyžádat její kopii v Braillově písmu, velkým tiskem nebo ve formě audionahrávky,</w:t>
      </w:r>
      <w:r w:rsidRPr="001B4A02">
        <w:rPr>
          <w:b/>
          <w:color w:val="000000"/>
        </w:rPr>
        <w:t xml:space="preserve"> kontaktujte místního zástupce držitele rozhodnutí o registraci.</w:t>
      </w:r>
    </w:p>
    <w:p w14:paraId="07D16B52" w14:textId="77777777" w:rsidR="009D400E" w:rsidRPr="001B4A02" w:rsidRDefault="009D400E" w:rsidP="002857B1">
      <w:pPr>
        <w:ind w:left="0" w:firstLine="0"/>
        <w:rPr>
          <w:color w:val="000000"/>
        </w:rPr>
      </w:pPr>
    </w:p>
    <w:p w14:paraId="080EDCCB" w14:textId="77777777" w:rsidR="00DD3461" w:rsidRPr="001B4A02" w:rsidRDefault="00DD3461" w:rsidP="002857B1">
      <w:pPr>
        <w:ind w:left="0" w:firstLine="0"/>
        <w:rPr>
          <w:color w:val="000000"/>
        </w:rPr>
      </w:pPr>
    </w:p>
    <w:p w14:paraId="3D390D78" w14:textId="77777777" w:rsidR="009D400E" w:rsidRPr="001B4A02" w:rsidRDefault="00000000" w:rsidP="00995407">
      <w:pPr>
        <w:pStyle w:val="EMEAHeadingLeaflet"/>
        <w:spacing w:beforeLines="0" w:afterLines="0"/>
        <w:ind w:left="561" w:hanging="561"/>
        <w:outlineLvl w:val="1"/>
        <w:rPr>
          <w:rFonts w:ascii="Times New Roman" w:hAnsi="Times New Roman"/>
          <w:lang w:val="cs-CZ"/>
        </w:rPr>
      </w:pPr>
      <w:r w:rsidRPr="001B4A02">
        <w:rPr>
          <w:rFonts w:ascii="Times New Roman" w:hAnsi="Times New Roman"/>
          <w:lang w:val="cs-CZ"/>
        </w:rPr>
        <w:t>7.</w:t>
      </w:r>
      <w:r w:rsidRPr="001B4A02">
        <w:rPr>
          <w:rFonts w:ascii="Times New Roman" w:hAnsi="Times New Roman"/>
          <w:lang w:val="cs-CZ"/>
        </w:rPr>
        <w:tab/>
      </w:r>
      <w:r w:rsidR="007027B5">
        <w:rPr>
          <w:rFonts w:ascii="Times New Roman" w:hAnsi="Times New Roman"/>
          <w:lang w:val="cs-CZ"/>
        </w:rPr>
        <w:t>Aplikace injekce přípravku Humira</w:t>
      </w:r>
    </w:p>
    <w:p w14:paraId="50C69780" w14:textId="77777777" w:rsidR="009D400E" w:rsidRPr="001B4A02" w:rsidRDefault="009D400E" w:rsidP="009D400E">
      <w:pPr>
        <w:pStyle w:val="EMEANormal"/>
        <w:rPr>
          <w:lang w:val="cs-CZ"/>
        </w:rPr>
      </w:pPr>
    </w:p>
    <w:p w14:paraId="6DAEDA58" w14:textId="77777777" w:rsidR="009D400E" w:rsidRPr="001B4A02" w:rsidRDefault="00000000" w:rsidP="009D400E">
      <w:pPr>
        <w:numPr>
          <w:ilvl w:val="0"/>
          <w:numId w:val="104"/>
        </w:numPr>
        <w:suppressAutoHyphens/>
      </w:pPr>
      <w:r w:rsidRPr="001B4A02">
        <w:t>V následujících pokynech je vysvětleno, jak máte</w:t>
      </w:r>
      <w:r w:rsidR="00EE3B74" w:rsidRPr="001B4A02">
        <w:t xml:space="preserve"> svému dítěti</w:t>
      </w:r>
      <w:r w:rsidRPr="001B4A02">
        <w:t xml:space="preserve"> </w:t>
      </w:r>
      <w:r w:rsidR="00806F8A" w:rsidRPr="001B4A02">
        <w:t>podat podkožní</w:t>
      </w:r>
      <w:r w:rsidRPr="001B4A02">
        <w:t xml:space="preserve"> injekci přípravku Humira za použití předplněné injekční stříkačky. Nejprve si pokyny pečlivě pročtěte,</w:t>
      </w:r>
      <w:r w:rsidR="002378E0">
        <w:t xml:space="preserve"> a </w:t>
      </w:r>
      <w:r w:rsidRPr="001B4A02">
        <w:t xml:space="preserve">pak </w:t>
      </w:r>
      <w:r w:rsidR="00806F8A" w:rsidRPr="001B4A02">
        <w:t xml:space="preserve">podle nich </w:t>
      </w:r>
      <w:r w:rsidRPr="001B4A02">
        <w:t xml:space="preserve">krok za krokem </w:t>
      </w:r>
      <w:r w:rsidR="00806F8A" w:rsidRPr="001B4A02">
        <w:t>postupujte</w:t>
      </w:r>
      <w:r w:rsidRPr="001B4A02">
        <w:t>.</w:t>
      </w:r>
    </w:p>
    <w:p w14:paraId="67FB61CB" w14:textId="77777777" w:rsidR="009D400E" w:rsidRPr="001B4A02" w:rsidRDefault="009D400E" w:rsidP="009D400E">
      <w:pPr>
        <w:ind w:left="720"/>
      </w:pPr>
    </w:p>
    <w:p w14:paraId="31E3A474" w14:textId="77777777" w:rsidR="009D400E" w:rsidRPr="001B4A02" w:rsidRDefault="00000000" w:rsidP="009D400E">
      <w:pPr>
        <w:numPr>
          <w:ilvl w:val="0"/>
          <w:numId w:val="104"/>
        </w:numPr>
        <w:suppressAutoHyphens/>
      </w:pPr>
      <w:r w:rsidRPr="001B4A02">
        <w:t xml:space="preserve">Váš lékař, zdravotní sestra nebo lékárník Vás poučí, jak </w:t>
      </w:r>
      <w:r w:rsidR="00A16023" w:rsidRPr="001B4A02">
        <w:t>podat</w:t>
      </w:r>
      <w:r w:rsidRPr="001B4A02">
        <w:t xml:space="preserve"> injekci.</w:t>
      </w:r>
    </w:p>
    <w:p w14:paraId="0528CBB6" w14:textId="77777777" w:rsidR="009D400E" w:rsidRPr="001B4A02" w:rsidRDefault="009D400E" w:rsidP="009D400E">
      <w:pPr>
        <w:ind w:left="720"/>
      </w:pPr>
    </w:p>
    <w:p w14:paraId="091BC93B" w14:textId="77777777" w:rsidR="009D400E" w:rsidRPr="001B4A02" w:rsidRDefault="00000000" w:rsidP="009D400E">
      <w:pPr>
        <w:numPr>
          <w:ilvl w:val="0"/>
          <w:numId w:val="104"/>
        </w:numPr>
        <w:suppressAutoHyphens/>
      </w:pPr>
      <w:r w:rsidRPr="001B4A02">
        <w:t>Nepokoušejte s</w:t>
      </w:r>
      <w:r w:rsidR="00A44744" w:rsidRPr="001B4A02">
        <w:t>e</w:t>
      </w:r>
      <w:r w:rsidRPr="001B4A02">
        <w:t xml:space="preserve"> sám (sama) </w:t>
      </w:r>
      <w:r w:rsidR="00A16023" w:rsidRPr="001B4A02">
        <w:t>podat</w:t>
      </w:r>
      <w:r w:rsidRPr="001B4A02">
        <w:t xml:space="preserve"> injekci svému dítěti, dokud si nebudete jistý(á), že jste pochopil(a), jak ji připravovat</w:t>
      </w:r>
      <w:r w:rsidR="002378E0">
        <w:t xml:space="preserve"> a </w:t>
      </w:r>
      <w:r w:rsidR="00A16023" w:rsidRPr="001B4A02">
        <w:t>podat</w:t>
      </w:r>
      <w:r w:rsidRPr="001B4A02">
        <w:t xml:space="preserve">. </w:t>
      </w:r>
    </w:p>
    <w:p w14:paraId="0A03942F" w14:textId="77777777" w:rsidR="009D400E" w:rsidRPr="001B4A02" w:rsidRDefault="009D400E" w:rsidP="009D400E">
      <w:pPr>
        <w:ind w:left="720"/>
      </w:pPr>
    </w:p>
    <w:p w14:paraId="465887F2" w14:textId="77777777" w:rsidR="009D400E" w:rsidRPr="001B4A02" w:rsidRDefault="00000000" w:rsidP="009D400E">
      <w:pPr>
        <w:numPr>
          <w:ilvl w:val="0"/>
          <w:numId w:val="104"/>
        </w:numPr>
        <w:suppressAutoHyphens/>
      </w:pPr>
      <w:r w:rsidRPr="001B4A02">
        <w:t xml:space="preserve">Po řádném procvičení si může Vaše dítě injekci </w:t>
      </w:r>
      <w:r w:rsidR="00A16023" w:rsidRPr="001B4A02">
        <w:t>podat</w:t>
      </w:r>
      <w:r w:rsidRPr="001B4A02">
        <w:t xml:space="preserve"> samo nebo to může provádět i jiná osoba, např. člen rodiny nebo přítel či přítelkyně.</w:t>
      </w:r>
    </w:p>
    <w:p w14:paraId="4D642395" w14:textId="77777777" w:rsidR="009D400E" w:rsidRPr="001B4A02" w:rsidRDefault="009D400E" w:rsidP="009D400E">
      <w:pPr>
        <w:ind w:left="720"/>
      </w:pPr>
    </w:p>
    <w:p w14:paraId="15B5EEB6" w14:textId="77777777" w:rsidR="009D400E" w:rsidRPr="001B4A02" w:rsidRDefault="00000000" w:rsidP="009D400E">
      <w:pPr>
        <w:pStyle w:val="EMEAHeadingLeaflet"/>
        <w:numPr>
          <w:ilvl w:val="0"/>
          <w:numId w:val="104"/>
        </w:numPr>
        <w:tabs>
          <w:tab w:val="clear" w:pos="562"/>
        </w:tabs>
        <w:spacing w:beforeLines="0" w:afterLines="0"/>
        <w:rPr>
          <w:rFonts w:ascii="Times New Roman" w:hAnsi="Times New Roman"/>
          <w:b w:val="0"/>
          <w:lang w:val="cs-CZ"/>
        </w:rPr>
      </w:pPr>
      <w:r w:rsidRPr="001B4A02">
        <w:rPr>
          <w:rFonts w:ascii="Times New Roman" w:hAnsi="Times New Roman"/>
          <w:b w:val="0"/>
          <w:lang w:val="cs-CZ"/>
        </w:rPr>
        <w:t>Každou předplněnou injekční stříkačku použijte jen pro jednu injekci.</w:t>
      </w:r>
    </w:p>
    <w:p w14:paraId="7F937EF3" w14:textId="77777777" w:rsidR="009D400E" w:rsidRPr="001B4A02" w:rsidRDefault="009D400E" w:rsidP="009D400E"/>
    <w:p w14:paraId="587A3161" w14:textId="77777777" w:rsidR="009D400E" w:rsidRPr="00977D2C" w:rsidRDefault="00000000" w:rsidP="009D400E">
      <w:pPr>
        <w:keepNext/>
      </w:pPr>
      <w:r w:rsidRPr="001B4A02">
        <w:rPr>
          <w:b/>
        </w:rPr>
        <w:t>Humira předplněná injekční stříkačka</w:t>
      </w:r>
    </w:p>
    <w:p w14:paraId="62C52EE0" w14:textId="77777777" w:rsidR="009D400E" w:rsidRPr="00977D2C" w:rsidRDefault="009D400E" w:rsidP="009D400E">
      <w:pPr>
        <w:keepNext/>
      </w:pPr>
    </w:p>
    <w:p w14:paraId="41A44302" w14:textId="77777777" w:rsidR="009D400E" w:rsidRPr="00977D2C" w:rsidRDefault="00000000" w:rsidP="009D400E">
      <w:pPr>
        <w:keepNext/>
      </w:pPr>
      <w:r w:rsidRPr="001B4A02">
        <w:rPr>
          <w:b/>
        </w:rPr>
        <w:tab/>
      </w:r>
      <w:r w:rsidRPr="001B4A02">
        <w:rPr>
          <w:b/>
        </w:rPr>
        <w:tab/>
      </w:r>
      <w:r w:rsidRPr="001B4A02">
        <w:rPr>
          <w:b/>
        </w:rPr>
        <w:tab/>
        <w:t xml:space="preserve">   </w:t>
      </w:r>
      <w:r w:rsidRPr="001B4A02">
        <w:rPr>
          <w:b/>
        </w:rPr>
        <w:tab/>
        <w:t xml:space="preserve">   Píst</w:t>
      </w:r>
      <w:r w:rsidRPr="001B4A02">
        <w:rPr>
          <w:b/>
        </w:rPr>
        <w:tab/>
      </w:r>
      <w:r w:rsidRPr="001B4A02">
        <w:rPr>
          <w:b/>
        </w:rPr>
        <w:tab/>
      </w:r>
      <w:r w:rsidRPr="001B4A02">
        <w:rPr>
          <w:b/>
        </w:rPr>
        <w:tab/>
        <w:t xml:space="preserve"> Opora pro prsty</w:t>
      </w:r>
      <w:r w:rsidRPr="001B4A02">
        <w:rPr>
          <w:b/>
        </w:rPr>
        <w:tab/>
        <w:t xml:space="preserve">     Kryt jehly</w:t>
      </w:r>
    </w:p>
    <w:p w14:paraId="55AB7253" w14:textId="77777777" w:rsidR="009D400E" w:rsidRPr="001B4A02" w:rsidRDefault="00000000" w:rsidP="009D400E">
      <w:pPr>
        <w:keepNext/>
        <w:jc w:val="center"/>
      </w:pPr>
      <w:r w:rsidRPr="00AD6F48">
        <w:rPr>
          <w:noProof/>
          <w:lang w:eastAsia="cs-CZ"/>
        </w:rPr>
        <w:t xml:space="preserve"> </w:t>
      </w:r>
      <w:r>
        <w:rPr>
          <w:noProof/>
          <w:lang w:val="en-US"/>
        </w:rPr>
        <w:drawing>
          <wp:inline distT="0" distB="0" distL="0" distR="0" wp14:anchorId="5FD42686" wp14:editId="68D6D10C">
            <wp:extent cx="3364865" cy="1477645"/>
            <wp:effectExtent l="0" t="0" r="6985" b="8255"/>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2">
                      <a:extLst>
                        <a:ext uri="{28A0092B-C50C-407E-A947-70E740481C1C}">
                          <a14:useLocalDpi xmlns:a14="http://schemas.microsoft.com/office/drawing/2010/main" val="0"/>
                        </a:ext>
                      </a:extLst>
                    </a:blip>
                    <a:stretch>
                      <a:fillRect/>
                    </a:stretch>
                  </pic:blipFill>
                  <pic:spPr>
                    <a:xfrm>
                      <a:off x="0" y="0"/>
                      <a:ext cx="3364865" cy="1477645"/>
                    </a:xfrm>
                    <a:prstGeom prst="rect">
                      <a:avLst/>
                    </a:prstGeom>
                  </pic:spPr>
                </pic:pic>
              </a:graphicData>
            </a:graphic>
          </wp:inline>
        </w:drawing>
      </w:r>
    </w:p>
    <w:p w14:paraId="2D4DC8BF" w14:textId="77777777" w:rsidR="009D400E" w:rsidRPr="001B4A02" w:rsidRDefault="009D400E" w:rsidP="009D400E"/>
    <w:p w14:paraId="1C1B2520" w14:textId="77777777" w:rsidR="009D400E" w:rsidRPr="00977D2C" w:rsidRDefault="00000000" w:rsidP="009D400E">
      <w:pPr>
        <w:pStyle w:val="EMEAHeadingLeaflet"/>
        <w:keepNext/>
        <w:spacing w:beforeLines="0" w:afterLines="0"/>
        <w:rPr>
          <w:rFonts w:ascii="Times New Roman" w:hAnsi="Times New Roman"/>
          <w:b w:val="0"/>
          <w:lang w:val="cs-CZ"/>
        </w:rPr>
      </w:pPr>
      <w:r w:rsidRPr="001B4A02">
        <w:rPr>
          <w:rFonts w:ascii="Times New Roman" w:hAnsi="Times New Roman"/>
          <w:lang w:val="cs-CZ"/>
        </w:rPr>
        <w:t>Předplněnou injekční stříkačku nepoužívejte</w:t>
      </w:r>
      <w:r w:rsidR="002378E0">
        <w:rPr>
          <w:rFonts w:ascii="Times New Roman" w:hAnsi="Times New Roman"/>
          <w:lang w:val="cs-CZ"/>
        </w:rPr>
        <w:t xml:space="preserve"> a </w:t>
      </w:r>
      <w:r w:rsidRPr="001B4A02">
        <w:rPr>
          <w:rFonts w:ascii="Times New Roman" w:hAnsi="Times New Roman"/>
          <w:lang w:val="cs-CZ"/>
        </w:rPr>
        <w:t>zavolejte svému lé</w:t>
      </w:r>
      <w:r w:rsidR="00977D2C">
        <w:rPr>
          <w:rFonts w:ascii="Times New Roman" w:hAnsi="Times New Roman"/>
          <w:lang w:val="cs-CZ"/>
        </w:rPr>
        <w:t>kaři nebo lékárníkovi, jestliže</w:t>
      </w:r>
    </w:p>
    <w:p w14:paraId="586BF904" w14:textId="77777777" w:rsidR="009D400E" w:rsidRPr="001B4A02" w:rsidRDefault="00000000" w:rsidP="009D400E">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je roztok zakalený, změnil barvu nebo v něm jsou patrné vločky či částečky</w:t>
      </w:r>
    </w:p>
    <w:p w14:paraId="413CF7BA" w14:textId="77777777" w:rsidR="009D400E" w:rsidRPr="001B4A02" w:rsidRDefault="00000000" w:rsidP="009D400E">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uplynulo datum použitelnosti (EXP)</w:t>
      </w:r>
    </w:p>
    <w:p w14:paraId="5AF87C47" w14:textId="77777777" w:rsidR="009D400E" w:rsidRPr="001B4A02" w:rsidRDefault="00000000" w:rsidP="009D400E">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byl roztok zmrazen nebo ponechán na přímém slunečním světle</w:t>
      </w:r>
    </w:p>
    <w:p w14:paraId="09C4843E" w14:textId="77777777" w:rsidR="009D400E" w:rsidRPr="001B4A02" w:rsidRDefault="00000000" w:rsidP="00CE4530">
      <w:pPr>
        <w:pStyle w:val="EMEAHeadingLeafle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předplněná injekční stříkačka upadla nebo praskla</w:t>
      </w:r>
    </w:p>
    <w:p w14:paraId="5311E6D6" w14:textId="77777777" w:rsidR="009D400E" w:rsidRPr="001B4A02" w:rsidRDefault="009D400E" w:rsidP="00CE4530">
      <w:pPr>
        <w:pStyle w:val="EMEAHeadingLeaflet"/>
        <w:tabs>
          <w:tab w:val="clear" w:pos="562"/>
          <w:tab w:val="left" w:pos="0"/>
        </w:tabs>
        <w:spacing w:beforeLines="0" w:afterLines="0"/>
        <w:rPr>
          <w:rFonts w:ascii="Times New Roman" w:hAnsi="Times New Roman"/>
          <w:b w:val="0"/>
          <w:lang w:val="cs-CZ"/>
        </w:rPr>
      </w:pPr>
    </w:p>
    <w:p w14:paraId="70D16EF0" w14:textId="77777777" w:rsidR="009D400E" w:rsidRPr="00977D2C" w:rsidRDefault="00000000" w:rsidP="00CE4530">
      <w:pPr>
        <w:pStyle w:val="EMEAHeadingLeaflet"/>
        <w:tabs>
          <w:tab w:val="clear" w:pos="562"/>
          <w:tab w:val="left" w:pos="0"/>
        </w:tabs>
        <w:spacing w:beforeLines="0" w:afterLines="0"/>
        <w:rPr>
          <w:rFonts w:ascii="Times New Roman" w:hAnsi="Times New Roman"/>
          <w:b w:val="0"/>
          <w:lang w:val="cs-CZ"/>
        </w:rPr>
      </w:pPr>
      <w:r w:rsidRPr="001B4A02">
        <w:rPr>
          <w:rFonts w:ascii="Times New Roman" w:hAnsi="Times New Roman"/>
          <w:lang w:val="cs-CZ"/>
        </w:rPr>
        <w:t>Kryt odstraňte až bezprostředně před podáním injekce. Uchovávejte přípravek Humira mimo dohled</w:t>
      </w:r>
      <w:r w:rsidR="002378E0">
        <w:rPr>
          <w:rFonts w:ascii="Times New Roman" w:hAnsi="Times New Roman"/>
          <w:lang w:val="cs-CZ"/>
        </w:rPr>
        <w:t xml:space="preserve"> a </w:t>
      </w:r>
      <w:r w:rsidRPr="001B4A02">
        <w:rPr>
          <w:rFonts w:ascii="Times New Roman" w:hAnsi="Times New Roman"/>
          <w:lang w:val="cs-CZ"/>
        </w:rPr>
        <w:t>dosah dětí.</w:t>
      </w:r>
    </w:p>
    <w:p w14:paraId="2D99ED2B" w14:textId="77777777" w:rsidR="009D400E" w:rsidRPr="001B4A02" w:rsidRDefault="009D400E" w:rsidP="009D40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534A2D" w14:paraId="713F895A" w14:textId="77777777" w:rsidTr="00850312">
        <w:tc>
          <w:tcPr>
            <w:tcW w:w="9287" w:type="dxa"/>
            <w:gridSpan w:val="2"/>
            <w:tcBorders>
              <w:bottom w:val="single" w:sz="4" w:space="0" w:color="auto"/>
            </w:tcBorders>
            <w:shd w:val="clear" w:color="auto" w:fill="auto"/>
          </w:tcPr>
          <w:p w14:paraId="052C4764" w14:textId="77777777" w:rsidR="009D400E" w:rsidRPr="001B4A02" w:rsidRDefault="00000000" w:rsidP="00850312">
            <w:pPr>
              <w:pStyle w:val="EMEAHeadingLeaflet"/>
              <w:spacing w:beforeLines="0" w:afterLines="0"/>
              <w:rPr>
                <w:rFonts w:ascii="Times New Roman" w:hAnsi="Times New Roman"/>
                <w:lang w:val="cs-CZ"/>
              </w:rPr>
            </w:pPr>
            <w:r w:rsidRPr="001B4A02">
              <w:rPr>
                <w:rFonts w:ascii="Times New Roman" w:hAnsi="Times New Roman"/>
                <w:lang w:val="cs-CZ"/>
              </w:rPr>
              <w:t>KROK 1</w:t>
            </w:r>
          </w:p>
          <w:p w14:paraId="0EBB86B9" w14:textId="77777777" w:rsidR="009D400E" w:rsidRPr="001B4A02" w:rsidRDefault="009D400E" w:rsidP="00850312">
            <w:pPr>
              <w:pStyle w:val="EMEANormal"/>
              <w:rPr>
                <w:lang w:val="cs-CZ"/>
              </w:rPr>
            </w:pPr>
          </w:p>
          <w:p w14:paraId="4B2C0DF2" w14:textId="77777777" w:rsidR="009D400E" w:rsidRPr="001B4A02" w:rsidRDefault="00000000" w:rsidP="00850312">
            <w:pPr>
              <w:pStyle w:val="EMEAHeadingLeaflet"/>
              <w:spacing w:beforeLines="0" w:afterLines="0"/>
              <w:rPr>
                <w:rFonts w:ascii="Times New Roman" w:hAnsi="Times New Roman"/>
                <w:b w:val="0"/>
                <w:lang w:val="cs-CZ"/>
              </w:rPr>
            </w:pPr>
            <w:r w:rsidRPr="001B4A02">
              <w:rPr>
                <w:rFonts w:ascii="Times New Roman" w:hAnsi="Times New Roman"/>
                <w:b w:val="0"/>
                <w:lang w:val="cs-CZ"/>
              </w:rPr>
              <w:t>Přípravek Humira vyjměte z chladničky.</w:t>
            </w:r>
          </w:p>
          <w:p w14:paraId="741FD33B" w14:textId="77777777" w:rsidR="009D400E" w:rsidRPr="001B4A02" w:rsidRDefault="009D400E" w:rsidP="00850312">
            <w:pPr>
              <w:pStyle w:val="EMEANormal"/>
              <w:rPr>
                <w:lang w:val="cs-CZ"/>
              </w:rPr>
            </w:pPr>
          </w:p>
          <w:p w14:paraId="03F761DE" w14:textId="77777777" w:rsidR="009D400E" w:rsidRPr="001B4A02" w:rsidRDefault="00000000" w:rsidP="00850312">
            <w:pPr>
              <w:pStyle w:val="EMEAHeadingLeaflet"/>
              <w:spacing w:beforeLines="0" w:afterLines="0"/>
              <w:rPr>
                <w:rFonts w:ascii="Times New Roman" w:hAnsi="Times New Roman"/>
                <w:b w:val="0"/>
                <w:lang w:val="cs-CZ"/>
              </w:rPr>
            </w:pPr>
            <w:r w:rsidRPr="001B4A02">
              <w:rPr>
                <w:rFonts w:ascii="Times New Roman" w:hAnsi="Times New Roman"/>
                <w:b w:val="0"/>
                <w:lang w:val="cs-CZ"/>
              </w:rPr>
              <w:t xml:space="preserve">Přípravek Humira nechte </w:t>
            </w:r>
            <w:r w:rsidRPr="001B4A02">
              <w:rPr>
                <w:rFonts w:ascii="Times New Roman" w:hAnsi="Times New Roman"/>
                <w:lang w:val="cs-CZ"/>
              </w:rPr>
              <w:t>15 až 30 minut</w:t>
            </w:r>
            <w:r w:rsidRPr="001B4A02">
              <w:rPr>
                <w:rFonts w:ascii="Times New Roman" w:hAnsi="Times New Roman"/>
                <w:b w:val="0"/>
                <w:lang w:val="cs-CZ"/>
              </w:rPr>
              <w:t xml:space="preserve"> před podáním injekce při pokojové teplotě.</w:t>
            </w:r>
          </w:p>
          <w:p w14:paraId="4472369F" w14:textId="77777777" w:rsidR="009D400E" w:rsidRPr="001B4A02" w:rsidRDefault="009D400E" w:rsidP="00850312">
            <w:pPr>
              <w:pStyle w:val="EMEAHeadingLeaflet"/>
              <w:spacing w:beforeLines="0" w:afterLines="0"/>
              <w:rPr>
                <w:rFonts w:ascii="Times New Roman" w:hAnsi="Times New Roman"/>
                <w:b w:val="0"/>
                <w:lang w:val="cs-CZ"/>
              </w:rPr>
            </w:pPr>
          </w:p>
          <w:p w14:paraId="6CA65BB5" w14:textId="77777777" w:rsidR="009D400E" w:rsidRPr="001B4A02" w:rsidRDefault="00000000" w:rsidP="00850312">
            <w:pPr>
              <w:pStyle w:val="EMEAHeadingLeaflet"/>
              <w:numPr>
                <w:ilvl w:val="0"/>
                <w:numId w:val="106"/>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 xml:space="preserve">Během doby, kdy je přípravek Humira ponechán při pokojové teplotě, </w:t>
            </w:r>
            <w:r w:rsidRPr="001B4A02">
              <w:rPr>
                <w:rFonts w:ascii="Times New Roman" w:hAnsi="Times New Roman"/>
                <w:lang w:val="cs-CZ"/>
              </w:rPr>
              <w:t xml:space="preserve">nesundávejte </w:t>
            </w:r>
            <w:r w:rsidRPr="001B4A02">
              <w:rPr>
                <w:rFonts w:ascii="Times New Roman" w:hAnsi="Times New Roman"/>
                <w:b w:val="0"/>
                <w:lang w:val="cs-CZ"/>
              </w:rPr>
              <w:t>kryt jehly</w:t>
            </w:r>
          </w:p>
          <w:p w14:paraId="451928D0" w14:textId="77777777" w:rsidR="009D400E" w:rsidRPr="001B4A02" w:rsidRDefault="00000000" w:rsidP="00850312">
            <w:pPr>
              <w:pStyle w:val="EMEANormal"/>
              <w:numPr>
                <w:ilvl w:val="0"/>
                <w:numId w:val="106"/>
              </w:numPr>
              <w:tabs>
                <w:tab w:val="clear" w:pos="562"/>
                <w:tab w:val="left" w:pos="720"/>
              </w:tabs>
              <w:rPr>
                <w:lang w:val="cs-CZ"/>
              </w:rPr>
            </w:pPr>
            <w:r w:rsidRPr="001B4A02">
              <w:rPr>
                <w:lang w:val="cs-CZ"/>
              </w:rPr>
              <w:t xml:space="preserve">Přípravek Humira </w:t>
            </w:r>
            <w:r w:rsidRPr="001B4A02">
              <w:rPr>
                <w:b/>
                <w:lang w:val="cs-CZ"/>
              </w:rPr>
              <w:t>neohřívejte</w:t>
            </w:r>
            <w:r w:rsidRPr="001B4A02">
              <w:rPr>
                <w:lang w:val="cs-CZ"/>
              </w:rPr>
              <w:t xml:space="preserve"> žádným jiným způsobem. </w:t>
            </w:r>
            <w:r w:rsidRPr="001B4A02">
              <w:rPr>
                <w:b/>
                <w:lang w:val="cs-CZ"/>
              </w:rPr>
              <w:t>Neohřívejte</w:t>
            </w:r>
            <w:r w:rsidRPr="001B4A02">
              <w:rPr>
                <w:lang w:val="cs-CZ"/>
              </w:rPr>
              <w:t xml:space="preserve"> jej například v mikrovlnné troubě nebo v horké vodě</w:t>
            </w:r>
          </w:p>
        </w:tc>
      </w:tr>
      <w:tr w:rsidR="00534A2D" w14:paraId="36D8752F" w14:textId="77777777" w:rsidTr="00850312">
        <w:tc>
          <w:tcPr>
            <w:tcW w:w="3708" w:type="dxa"/>
            <w:tcBorders>
              <w:right w:val="nil"/>
            </w:tcBorders>
            <w:shd w:val="clear" w:color="auto" w:fill="auto"/>
          </w:tcPr>
          <w:p w14:paraId="2D854113" w14:textId="77777777" w:rsidR="009D400E" w:rsidRPr="00977D2C" w:rsidRDefault="00000000" w:rsidP="00850312">
            <w:pPr>
              <w:pStyle w:val="EMEANormal"/>
              <w:rPr>
                <w:lang w:val="cs-CZ"/>
              </w:rPr>
            </w:pPr>
            <w:r>
              <w:rPr>
                <w:b/>
                <w:lang w:val="cs-CZ"/>
              </w:rPr>
              <w:t>KROK 2</w:t>
            </w:r>
          </w:p>
          <w:p w14:paraId="6C1E47A6" w14:textId="77777777" w:rsidR="009D400E" w:rsidRPr="00977D2C" w:rsidRDefault="009D400E" w:rsidP="00850312">
            <w:pPr>
              <w:pStyle w:val="EMEANormal"/>
              <w:rPr>
                <w:lang w:val="cs-CZ"/>
              </w:rPr>
            </w:pPr>
          </w:p>
          <w:p w14:paraId="60AF8BA9" w14:textId="77777777" w:rsidR="009D400E" w:rsidRPr="001B4A02" w:rsidRDefault="00000000" w:rsidP="00850312">
            <w:pPr>
              <w:pStyle w:val="EMEANormal"/>
              <w:rPr>
                <w:b/>
                <w:lang w:val="cs-CZ"/>
              </w:rPr>
            </w:pPr>
            <w:r w:rsidRPr="001B4A02">
              <w:rPr>
                <w:b/>
                <w:lang w:val="cs-CZ"/>
              </w:rPr>
              <w:t xml:space="preserve">           Injekční stříkačka</w:t>
            </w:r>
          </w:p>
          <w:p w14:paraId="498DC303" w14:textId="77777777" w:rsidR="009D400E" w:rsidRPr="001B4A02" w:rsidRDefault="00000000" w:rsidP="00850312">
            <w:pPr>
              <w:pStyle w:val="EMEANormal"/>
              <w:rPr>
                <w:lang w:val="cs-CZ"/>
              </w:rPr>
            </w:pPr>
            <w:r>
              <w:rPr>
                <w:noProof/>
                <w:lang w:eastAsia="cs-CZ"/>
              </w:rPr>
              <w:t xml:space="preserve"> </w:t>
            </w:r>
            <w:r>
              <w:rPr>
                <w:noProof/>
              </w:rPr>
              <w:drawing>
                <wp:inline distT="0" distB="0" distL="0" distR="0" wp14:anchorId="141EA88E" wp14:editId="77351857">
                  <wp:extent cx="2217420" cy="2052320"/>
                  <wp:effectExtent l="0" t="0" r="0" b="508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3">
                            <a:extLst>
                              <a:ext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14:paraId="5E7F2427" w14:textId="77777777" w:rsidR="009D400E" w:rsidRPr="001B4A02" w:rsidRDefault="00000000" w:rsidP="00850312">
            <w:pPr>
              <w:pStyle w:val="EMEANormal"/>
              <w:rPr>
                <w:b/>
                <w:lang w:val="cs-CZ"/>
              </w:rPr>
            </w:pPr>
            <w:r w:rsidRPr="001B4A02">
              <w:rPr>
                <w:b/>
                <w:lang w:val="cs-CZ"/>
              </w:rPr>
              <w:t xml:space="preserve">                 Tamp</w:t>
            </w:r>
            <w:ins w:id="9826" w:author="Abbvie02" w:date="2025-05-16T12:26:00Z">
              <w:r w:rsidR="00576B2A">
                <w:rPr>
                  <w:b/>
                  <w:lang w:val="cs-CZ"/>
                </w:rPr>
                <w:t>o</w:t>
              </w:r>
            </w:ins>
            <w:del w:id="9827" w:author="Abbvie02" w:date="2025-05-16T12:26:00Z">
              <w:r w:rsidRPr="001B4A02">
                <w:rPr>
                  <w:b/>
                  <w:lang w:val="cs-CZ"/>
                </w:rPr>
                <w:delText>ó</w:delText>
              </w:r>
            </w:del>
            <w:r w:rsidRPr="001B4A02">
              <w:rPr>
                <w:b/>
                <w:lang w:val="cs-CZ"/>
              </w:rPr>
              <w:t>n</w:t>
            </w:r>
          </w:p>
        </w:tc>
        <w:tc>
          <w:tcPr>
            <w:tcW w:w="5579" w:type="dxa"/>
            <w:tcBorders>
              <w:left w:val="nil"/>
            </w:tcBorders>
            <w:shd w:val="clear" w:color="auto" w:fill="auto"/>
          </w:tcPr>
          <w:p w14:paraId="4E9AD2BF" w14:textId="77777777" w:rsidR="009D400E" w:rsidRPr="001B4A02" w:rsidRDefault="00000000" w:rsidP="00850312">
            <w:pPr>
              <w:pStyle w:val="EMEAHeadingLeaflet"/>
              <w:spacing w:beforeLines="0" w:afterLines="0"/>
              <w:rPr>
                <w:rFonts w:ascii="Times New Roman" w:hAnsi="Times New Roman"/>
                <w:b w:val="0"/>
                <w:lang w:val="cs-CZ"/>
              </w:rPr>
            </w:pPr>
            <w:r w:rsidRPr="001B4A02">
              <w:rPr>
                <w:rFonts w:ascii="Times New Roman" w:hAnsi="Times New Roman"/>
                <w:b w:val="0"/>
                <w:lang w:val="cs-CZ"/>
              </w:rPr>
              <w:t xml:space="preserve">Zkontrolujte datum použitelnosti (EXP). Předplněnou injekční stříkačku </w:t>
            </w:r>
            <w:r w:rsidRPr="001B4A02">
              <w:rPr>
                <w:rFonts w:ascii="Times New Roman" w:hAnsi="Times New Roman"/>
                <w:lang w:val="cs-CZ"/>
              </w:rPr>
              <w:t>nepoužívejte</w:t>
            </w:r>
            <w:r w:rsidRPr="001B4A02">
              <w:rPr>
                <w:rFonts w:ascii="Times New Roman" w:hAnsi="Times New Roman"/>
                <w:b w:val="0"/>
                <w:lang w:val="cs-CZ"/>
              </w:rPr>
              <w:t>, jestliže datum použitelnosti již uplynulo.</w:t>
            </w:r>
          </w:p>
          <w:p w14:paraId="2493B66A" w14:textId="77777777" w:rsidR="009D400E" w:rsidRPr="001B4A02" w:rsidRDefault="009D400E" w:rsidP="00850312">
            <w:pPr>
              <w:pStyle w:val="EMEANormal"/>
              <w:rPr>
                <w:lang w:val="cs-CZ"/>
              </w:rPr>
            </w:pPr>
          </w:p>
          <w:p w14:paraId="51C9CFDB" w14:textId="77777777" w:rsidR="009D400E" w:rsidRPr="001B4A02" w:rsidRDefault="00000000" w:rsidP="00850312">
            <w:pPr>
              <w:pStyle w:val="EMEAHeadingLeaflet"/>
              <w:spacing w:beforeLines="0" w:afterLines="0"/>
              <w:rPr>
                <w:rFonts w:ascii="Times New Roman" w:hAnsi="Times New Roman"/>
                <w:b w:val="0"/>
                <w:lang w:val="cs-CZ"/>
              </w:rPr>
            </w:pPr>
            <w:r w:rsidRPr="001B4A02">
              <w:rPr>
                <w:rFonts w:ascii="Times New Roman" w:hAnsi="Times New Roman"/>
                <w:b w:val="0"/>
                <w:lang w:val="cs-CZ"/>
              </w:rPr>
              <w:t>Na čistý povrch si připravte následující pomůcky</w:t>
            </w:r>
          </w:p>
          <w:p w14:paraId="4637EC1C" w14:textId="77777777" w:rsidR="009D400E" w:rsidRPr="001B4A02" w:rsidRDefault="009D400E" w:rsidP="00850312">
            <w:pPr>
              <w:pStyle w:val="EMEANormal"/>
              <w:rPr>
                <w:lang w:val="cs-CZ"/>
              </w:rPr>
            </w:pPr>
          </w:p>
          <w:p w14:paraId="6A69C90F" w14:textId="77777777" w:rsidR="009D400E" w:rsidRPr="001B4A02" w:rsidRDefault="00000000" w:rsidP="00850312">
            <w:pPr>
              <w:pStyle w:val="EMEAHeadingLeaflet"/>
              <w:numPr>
                <w:ilvl w:val="0"/>
                <w:numId w:val="107"/>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1 předplněnou injekční stříkačku na jedno použití</w:t>
            </w:r>
            <w:r w:rsidR="002378E0">
              <w:rPr>
                <w:rFonts w:ascii="Times New Roman" w:hAnsi="Times New Roman"/>
                <w:b w:val="0"/>
                <w:lang w:val="cs-CZ"/>
              </w:rPr>
              <w:t xml:space="preserve"> a </w:t>
            </w:r>
          </w:p>
          <w:p w14:paraId="77532AF3" w14:textId="77777777" w:rsidR="009D400E" w:rsidRPr="001B4A02" w:rsidRDefault="00000000" w:rsidP="00850312">
            <w:pPr>
              <w:pStyle w:val="EMEAHeadingLeaflet"/>
              <w:numPr>
                <w:ilvl w:val="0"/>
                <w:numId w:val="107"/>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1 tamp</w:t>
            </w:r>
            <w:ins w:id="9828" w:author="Abbvie02" w:date="2025-05-16T12:26:00Z">
              <w:r w:rsidR="00576B2A">
                <w:rPr>
                  <w:rFonts w:ascii="Times New Roman" w:hAnsi="Times New Roman"/>
                  <w:b w:val="0"/>
                  <w:lang w:val="cs-CZ"/>
                </w:rPr>
                <w:t>o</w:t>
              </w:r>
            </w:ins>
            <w:del w:id="9829" w:author="Abbvie02" w:date="2025-05-16T12:26:00Z">
              <w:r w:rsidRPr="001B4A02">
                <w:rPr>
                  <w:rFonts w:ascii="Times New Roman" w:hAnsi="Times New Roman"/>
                  <w:b w:val="0"/>
                  <w:lang w:val="cs-CZ"/>
                </w:rPr>
                <w:delText>ó</w:delText>
              </w:r>
            </w:del>
            <w:r w:rsidRPr="001B4A02">
              <w:rPr>
                <w:rFonts w:ascii="Times New Roman" w:hAnsi="Times New Roman"/>
                <w:b w:val="0"/>
                <w:lang w:val="cs-CZ"/>
              </w:rPr>
              <w:t>n s alkoholem</w:t>
            </w:r>
          </w:p>
          <w:p w14:paraId="4CA398B3" w14:textId="77777777" w:rsidR="009D400E" w:rsidRPr="001B4A02" w:rsidRDefault="009D400E" w:rsidP="00850312">
            <w:pPr>
              <w:pStyle w:val="EMEANormal"/>
              <w:rPr>
                <w:lang w:val="cs-CZ"/>
              </w:rPr>
            </w:pPr>
          </w:p>
          <w:p w14:paraId="3B25DE93" w14:textId="77777777" w:rsidR="009D400E" w:rsidRPr="001B4A02" w:rsidRDefault="00000000" w:rsidP="00850312">
            <w:pPr>
              <w:pStyle w:val="EMEANormal"/>
              <w:rPr>
                <w:lang w:val="cs-CZ"/>
              </w:rPr>
            </w:pPr>
            <w:r w:rsidRPr="001B4A02">
              <w:rPr>
                <w:lang w:val="cs-CZ"/>
              </w:rPr>
              <w:t>Umyjte si</w:t>
            </w:r>
            <w:r w:rsidR="002378E0">
              <w:rPr>
                <w:lang w:val="cs-CZ"/>
              </w:rPr>
              <w:t xml:space="preserve"> a </w:t>
            </w:r>
            <w:r w:rsidRPr="001B4A02">
              <w:rPr>
                <w:lang w:val="cs-CZ"/>
              </w:rPr>
              <w:t>osušte ruce.</w:t>
            </w:r>
          </w:p>
        </w:tc>
      </w:tr>
      <w:tr w:rsidR="00534A2D" w14:paraId="2F90B278" w14:textId="77777777" w:rsidTr="00850312">
        <w:tc>
          <w:tcPr>
            <w:tcW w:w="3708" w:type="dxa"/>
            <w:tcBorders>
              <w:right w:val="nil"/>
            </w:tcBorders>
            <w:shd w:val="clear" w:color="auto" w:fill="auto"/>
          </w:tcPr>
          <w:p w14:paraId="2914665D" w14:textId="77777777" w:rsidR="009D400E" w:rsidRPr="00977D2C" w:rsidRDefault="00000000" w:rsidP="00995407">
            <w:pPr>
              <w:pStyle w:val="EMEANormal"/>
              <w:rPr>
                <w:lang w:val="cs-CZ"/>
              </w:rPr>
            </w:pPr>
            <w:r w:rsidRPr="001B4A02">
              <w:rPr>
                <w:b/>
                <w:lang w:val="cs-CZ"/>
              </w:rPr>
              <w:t>KROK 3</w:t>
            </w:r>
          </w:p>
          <w:p w14:paraId="0EA7D2E8" w14:textId="77777777" w:rsidR="009D400E" w:rsidRPr="00977D2C" w:rsidRDefault="009D400E" w:rsidP="00850312">
            <w:pPr>
              <w:pStyle w:val="EMEANormal"/>
              <w:keepNext/>
              <w:rPr>
                <w:lang w:val="cs-CZ"/>
              </w:rPr>
            </w:pPr>
          </w:p>
          <w:p w14:paraId="5752CEF1" w14:textId="77777777" w:rsidR="009D400E" w:rsidRPr="001B4A02" w:rsidRDefault="00000000" w:rsidP="00850312">
            <w:pPr>
              <w:pStyle w:val="EMEANormal"/>
              <w:keepNext/>
              <w:rPr>
                <w:b/>
                <w:lang w:val="cs-CZ"/>
              </w:rPr>
            </w:pPr>
            <w:r w:rsidRPr="001B4A02">
              <w:rPr>
                <w:b/>
                <w:lang w:val="cs-CZ"/>
              </w:rPr>
              <w:t>Místa pro podání injekce</w:t>
            </w:r>
          </w:p>
          <w:p w14:paraId="1ED9EA64" w14:textId="77777777" w:rsidR="009D400E" w:rsidRPr="001B4A02" w:rsidRDefault="00000000" w:rsidP="00850312">
            <w:pPr>
              <w:pStyle w:val="EMEANormal"/>
              <w:keepNext/>
              <w:rPr>
                <w:lang w:val="cs-CZ"/>
              </w:rPr>
            </w:pPr>
            <w:r w:rsidRPr="001B4A02">
              <w:rPr>
                <w:noProof/>
              </w:rPr>
              <w:drawing>
                <wp:inline distT="0" distB="0" distL="0" distR="0" wp14:anchorId="4AF3A9C1" wp14:editId="00C43D8A">
                  <wp:extent cx="2286000" cy="2380615"/>
                  <wp:effectExtent l="0" t="0" r="0" b="635"/>
                  <wp:docPr id="508" name="Picture 6"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Picture 6" descr="STEP3_grey"/>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286000" cy="2380615"/>
                          </a:xfrm>
                          <a:prstGeom prst="rect">
                            <a:avLst/>
                          </a:prstGeom>
                          <a:noFill/>
                          <a:ln>
                            <a:noFill/>
                          </a:ln>
                        </pic:spPr>
                      </pic:pic>
                    </a:graphicData>
                  </a:graphic>
                </wp:inline>
              </w:drawing>
            </w:r>
          </w:p>
          <w:p w14:paraId="2901B4F4" w14:textId="77777777" w:rsidR="009D400E" w:rsidRPr="001B4A02" w:rsidRDefault="00000000" w:rsidP="00850312">
            <w:pPr>
              <w:pStyle w:val="EMEANormal"/>
              <w:keepNext/>
              <w:rPr>
                <w:b/>
                <w:lang w:val="cs-CZ"/>
              </w:rPr>
            </w:pPr>
            <w:r w:rsidRPr="001B4A02">
              <w:rPr>
                <w:lang w:val="cs-CZ"/>
              </w:rPr>
              <w:t xml:space="preserve">     </w:t>
            </w:r>
            <w:r w:rsidRPr="001B4A02">
              <w:rPr>
                <w:b/>
                <w:lang w:val="cs-CZ"/>
              </w:rPr>
              <w:t>Místa pro podání injekce</w:t>
            </w:r>
          </w:p>
        </w:tc>
        <w:tc>
          <w:tcPr>
            <w:tcW w:w="5579" w:type="dxa"/>
            <w:tcBorders>
              <w:left w:val="nil"/>
            </w:tcBorders>
            <w:shd w:val="clear" w:color="auto" w:fill="auto"/>
          </w:tcPr>
          <w:p w14:paraId="4187B814" w14:textId="77777777" w:rsidR="009D400E" w:rsidRPr="001B4A02" w:rsidRDefault="00000000" w:rsidP="00850312">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Vyberte si místo pro podání injekce:</w:t>
            </w:r>
          </w:p>
          <w:p w14:paraId="0EAD9D07" w14:textId="77777777" w:rsidR="009D400E" w:rsidRPr="001B4A02" w:rsidRDefault="009D400E" w:rsidP="00850312">
            <w:pPr>
              <w:pStyle w:val="EMEANormal"/>
              <w:keepNext/>
              <w:rPr>
                <w:lang w:val="cs-CZ"/>
              </w:rPr>
            </w:pPr>
          </w:p>
          <w:p w14:paraId="356DCD24" w14:textId="77777777" w:rsidR="009D400E" w:rsidRPr="001B4A02" w:rsidRDefault="00000000" w:rsidP="00850312">
            <w:pPr>
              <w:pStyle w:val="EMEAHeadingLeaflet"/>
              <w:keepNext/>
              <w:numPr>
                <w:ilvl w:val="0"/>
                <w:numId w:val="108"/>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na přední straně stehna Vašeho dítěte nebo</w:t>
            </w:r>
          </w:p>
          <w:p w14:paraId="5063AF60" w14:textId="77777777" w:rsidR="009D400E" w:rsidRPr="001B4A02" w:rsidRDefault="00000000" w:rsidP="00850312">
            <w:pPr>
              <w:pStyle w:val="EMEAHeadingLeaflet"/>
              <w:keepNext/>
              <w:numPr>
                <w:ilvl w:val="0"/>
                <w:numId w:val="108"/>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na břiše nejméně 5</w:t>
            </w:r>
            <w:r w:rsidR="00B76F26" w:rsidRPr="00B76F26">
              <w:rPr>
                <w:szCs w:val="22"/>
                <w:lang w:val="cs-CZ"/>
              </w:rPr>
              <w:t> </w:t>
            </w:r>
            <w:r w:rsidRPr="001B4A02">
              <w:rPr>
                <w:rFonts w:ascii="Times New Roman" w:hAnsi="Times New Roman"/>
                <w:b w:val="0"/>
                <w:lang w:val="cs-CZ"/>
              </w:rPr>
              <w:t>cm od pupku</w:t>
            </w:r>
          </w:p>
          <w:p w14:paraId="1B4BD2CA" w14:textId="77777777" w:rsidR="009D400E" w:rsidRPr="001B4A02" w:rsidRDefault="00000000" w:rsidP="00850312">
            <w:pPr>
              <w:pStyle w:val="EMEAHeadingLeaflet"/>
              <w:keepNext/>
              <w:numPr>
                <w:ilvl w:val="0"/>
                <w:numId w:val="108"/>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nejméně 3</w:t>
            </w:r>
            <w:r w:rsidR="00B76F26" w:rsidRPr="00B76F26">
              <w:rPr>
                <w:szCs w:val="22"/>
                <w:lang w:val="cs-CZ"/>
              </w:rPr>
              <w:t> </w:t>
            </w:r>
            <w:r w:rsidRPr="001B4A02">
              <w:rPr>
                <w:rFonts w:ascii="Times New Roman" w:hAnsi="Times New Roman"/>
                <w:b w:val="0"/>
                <w:lang w:val="cs-CZ"/>
              </w:rPr>
              <w:t xml:space="preserve">cm od posledního místa vpichu </w:t>
            </w:r>
            <w:r w:rsidR="006413D6" w:rsidRPr="001B4A02">
              <w:rPr>
                <w:rFonts w:ascii="Times New Roman" w:hAnsi="Times New Roman"/>
                <w:b w:val="0"/>
                <w:lang w:val="cs-CZ"/>
              </w:rPr>
              <w:t>u</w:t>
            </w:r>
            <w:r w:rsidR="00A02FA4" w:rsidRPr="001B4A02">
              <w:rPr>
                <w:rFonts w:ascii="Times New Roman" w:hAnsi="Times New Roman"/>
                <w:b w:val="0"/>
                <w:lang w:val="cs-CZ"/>
              </w:rPr>
              <w:t> </w:t>
            </w:r>
            <w:r w:rsidRPr="001B4A02">
              <w:rPr>
                <w:rFonts w:ascii="Times New Roman" w:hAnsi="Times New Roman"/>
                <w:b w:val="0"/>
                <w:lang w:val="cs-CZ"/>
              </w:rPr>
              <w:t>Vašeho dítěte</w:t>
            </w:r>
          </w:p>
          <w:p w14:paraId="46E24BDA" w14:textId="77777777" w:rsidR="009D400E" w:rsidRPr="001B4A02" w:rsidRDefault="009D400E" w:rsidP="00850312">
            <w:pPr>
              <w:pStyle w:val="EMEANormal"/>
              <w:keepNext/>
              <w:rPr>
                <w:lang w:val="cs-CZ"/>
              </w:rPr>
            </w:pPr>
          </w:p>
          <w:p w14:paraId="7284B412" w14:textId="77777777" w:rsidR="009D400E" w:rsidRPr="001B4A02" w:rsidRDefault="00000000" w:rsidP="00850312">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Otřete krouživými pohyby místo vpichu tamp</w:t>
            </w:r>
            <w:ins w:id="9830" w:author="Abbvie02" w:date="2025-05-16T12:32:00Z">
              <w:r w:rsidR="009165EF">
                <w:rPr>
                  <w:rFonts w:ascii="Times New Roman" w:hAnsi="Times New Roman"/>
                  <w:b w:val="0"/>
                  <w:lang w:val="cs-CZ"/>
                </w:rPr>
                <w:t>o</w:t>
              </w:r>
            </w:ins>
            <w:del w:id="9831" w:author="Abbvie02" w:date="2025-05-16T12:32:00Z">
              <w:r w:rsidRPr="001B4A02">
                <w:rPr>
                  <w:rFonts w:ascii="Times New Roman" w:hAnsi="Times New Roman"/>
                  <w:b w:val="0"/>
                  <w:lang w:val="cs-CZ"/>
                </w:rPr>
                <w:delText>ó</w:delText>
              </w:r>
            </w:del>
            <w:r w:rsidRPr="001B4A02">
              <w:rPr>
                <w:rFonts w:ascii="Times New Roman" w:hAnsi="Times New Roman"/>
                <w:b w:val="0"/>
                <w:lang w:val="cs-CZ"/>
              </w:rPr>
              <w:t>nem s alkoholem.</w:t>
            </w:r>
          </w:p>
          <w:p w14:paraId="67FD1A7C" w14:textId="77777777" w:rsidR="009D400E" w:rsidRPr="001B4A02" w:rsidRDefault="009D400E" w:rsidP="00850312">
            <w:pPr>
              <w:pStyle w:val="EMEANormal"/>
              <w:rPr>
                <w:lang w:val="cs-CZ"/>
              </w:rPr>
            </w:pPr>
          </w:p>
          <w:p w14:paraId="73EE024D" w14:textId="77777777" w:rsidR="009D400E" w:rsidRPr="001B4A02" w:rsidRDefault="00000000" w:rsidP="00850312">
            <w:pPr>
              <w:pStyle w:val="EMEAHeadingLeaflet"/>
              <w:keepNext/>
              <w:numPr>
                <w:ilvl w:val="0"/>
                <w:numId w:val="59"/>
              </w:numPr>
              <w:tabs>
                <w:tab w:val="clear" w:pos="562"/>
                <w:tab w:val="clear" w:pos="720"/>
                <w:tab w:val="left" w:pos="757"/>
              </w:tabs>
              <w:spacing w:beforeLines="0" w:afterLines="0"/>
              <w:rPr>
                <w:rFonts w:ascii="Times New Roman" w:hAnsi="Times New Roman"/>
                <w:b w:val="0"/>
                <w:lang w:val="cs-CZ"/>
              </w:rPr>
            </w:pPr>
            <w:r w:rsidRPr="001B4A02">
              <w:rPr>
                <w:rFonts w:ascii="Times New Roman" w:hAnsi="Times New Roman"/>
                <w:b w:val="0"/>
                <w:lang w:val="cs-CZ"/>
              </w:rPr>
              <w:t xml:space="preserve">Injekci </w:t>
            </w:r>
            <w:r w:rsidRPr="001B4A02">
              <w:rPr>
                <w:rFonts w:ascii="Times New Roman" w:hAnsi="Times New Roman"/>
                <w:lang w:val="cs-CZ"/>
              </w:rPr>
              <w:t>nevpichujte</w:t>
            </w:r>
            <w:r w:rsidRPr="001B4A02">
              <w:rPr>
                <w:rFonts w:ascii="Times New Roman" w:hAnsi="Times New Roman"/>
                <w:b w:val="0"/>
                <w:lang w:val="cs-CZ"/>
              </w:rPr>
              <w:t xml:space="preserve"> přes oděv</w:t>
            </w:r>
          </w:p>
          <w:p w14:paraId="0CDB3C76" w14:textId="77777777" w:rsidR="009D400E" w:rsidRPr="001B4A02" w:rsidRDefault="00000000" w:rsidP="00850312">
            <w:pPr>
              <w:pStyle w:val="EMEANormal"/>
              <w:numPr>
                <w:ilvl w:val="0"/>
                <w:numId w:val="59"/>
              </w:numPr>
              <w:tabs>
                <w:tab w:val="clear" w:pos="562"/>
              </w:tabs>
              <w:rPr>
                <w:lang w:val="cs-CZ"/>
              </w:rPr>
            </w:pPr>
            <w:r w:rsidRPr="001B4A02">
              <w:rPr>
                <w:lang w:val="cs-CZ"/>
              </w:rPr>
              <w:t>Injekci</w:t>
            </w:r>
            <w:r w:rsidRPr="001B4A02">
              <w:rPr>
                <w:b/>
                <w:lang w:val="cs-CZ"/>
              </w:rPr>
              <w:t xml:space="preserve"> nevpichujte</w:t>
            </w:r>
            <w:r w:rsidRPr="001B4A02">
              <w:rPr>
                <w:lang w:val="cs-CZ"/>
              </w:rPr>
              <w:t xml:space="preserve"> do kůže, která je citlivá, zhmožděná, červená, zatvrdlá, zjizvená, se striemi, ani do ložisek psoriázy</w:t>
            </w:r>
          </w:p>
          <w:p w14:paraId="51AB3157" w14:textId="77777777" w:rsidR="009D400E" w:rsidRPr="001B4A02" w:rsidRDefault="009D400E" w:rsidP="00850312">
            <w:pPr>
              <w:pStyle w:val="EMEAHeadingLeaflet"/>
              <w:keepNext/>
              <w:tabs>
                <w:tab w:val="clear" w:pos="562"/>
                <w:tab w:val="left" w:pos="757"/>
              </w:tabs>
              <w:spacing w:beforeLines="0" w:afterLines="0"/>
              <w:ind w:left="757"/>
              <w:rPr>
                <w:rFonts w:ascii="Times New Roman" w:hAnsi="Times New Roman"/>
                <w:b w:val="0"/>
                <w:lang w:val="cs-CZ"/>
              </w:rPr>
            </w:pPr>
          </w:p>
        </w:tc>
      </w:tr>
      <w:tr w:rsidR="00534A2D" w14:paraId="65FB0EB8" w14:textId="77777777" w:rsidTr="00850312">
        <w:tc>
          <w:tcPr>
            <w:tcW w:w="3708" w:type="dxa"/>
            <w:tcBorders>
              <w:right w:val="nil"/>
            </w:tcBorders>
            <w:shd w:val="clear" w:color="auto" w:fill="auto"/>
          </w:tcPr>
          <w:p w14:paraId="5D1B7398" w14:textId="77777777" w:rsidR="009D400E" w:rsidRPr="001B4A02" w:rsidRDefault="00000000" w:rsidP="00995407">
            <w:pPr>
              <w:pStyle w:val="EMEANormal"/>
              <w:keepNext/>
              <w:rPr>
                <w:b/>
                <w:lang w:val="cs-CZ"/>
              </w:rPr>
            </w:pPr>
            <w:r w:rsidRPr="001B4A02">
              <w:rPr>
                <w:b/>
                <w:lang w:val="cs-CZ"/>
              </w:rPr>
              <w:t>KROK 4</w:t>
            </w:r>
          </w:p>
          <w:p w14:paraId="012E6B6F" w14:textId="77777777" w:rsidR="009D400E" w:rsidRPr="001B4A02" w:rsidRDefault="00000000" w:rsidP="00995407">
            <w:pPr>
              <w:pStyle w:val="EMEANormal"/>
              <w:keepNext/>
              <w:rPr>
                <w:b/>
                <w:lang w:val="cs-CZ"/>
              </w:rPr>
            </w:pPr>
            <w:r>
              <w:rPr>
                <w:noProof/>
                <w:lang w:eastAsia="cs-CZ"/>
              </w:rPr>
              <w:t xml:space="preserve"> </w:t>
            </w:r>
            <w:r>
              <w:rPr>
                <w:noProof/>
              </w:rPr>
              <w:drawing>
                <wp:inline distT="0" distB="0" distL="0" distR="0" wp14:anchorId="0379843E" wp14:editId="67D2FF56">
                  <wp:extent cx="2011680" cy="1563370"/>
                  <wp:effectExtent l="0" t="0" r="762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5">
                            <a:extLst>
                              <a:ext uri="{28A0092B-C50C-407E-A947-70E740481C1C}">
                                <a14:useLocalDpi xmlns:a14="http://schemas.microsoft.com/office/drawing/2010/main" val="0"/>
                              </a:ext>
                            </a:extLst>
                          </a:blip>
                          <a:stretch>
                            <a:fillRect/>
                          </a:stretch>
                        </pic:blipFill>
                        <pic:spPr>
                          <a:xfrm>
                            <a:off x="0" y="0"/>
                            <a:ext cx="2011680" cy="1563370"/>
                          </a:xfrm>
                          <a:prstGeom prst="rect">
                            <a:avLst/>
                          </a:prstGeom>
                        </pic:spPr>
                      </pic:pic>
                    </a:graphicData>
                  </a:graphic>
                </wp:inline>
              </w:drawing>
            </w:r>
          </w:p>
        </w:tc>
        <w:tc>
          <w:tcPr>
            <w:tcW w:w="5579" w:type="dxa"/>
            <w:tcBorders>
              <w:left w:val="nil"/>
            </w:tcBorders>
            <w:shd w:val="clear" w:color="auto" w:fill="auto"/>
          </w:tcPr>
          <w:p w14:paraId="6CDC334D" w14:textId="77777777" w:rsidR="009D400E" w:rsidRPr="001B4A02" w:rsidRDefault="00000000" w:rsidP="00995407">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Předplněnou injekční stříkačku držte v jedné ruce.</w:t>
            </w:r>
          </w:p>
          <w:p w14:paraId="56A8F0BB" w14:textId="77777777" w:rsidR="009D400E" w:rsidRPr="001B4A02" w:rsidRDefault="009D400E" w:rsidP="00995407">
            <w:pPr>
              <w:pStyle w:val="EMEANormal"/>
              <w:keepNext/>
              <w:rPr>
                <w:lang w:val="cs-CZ"/>
              </w:rPr>
            </w:pPr>
          </w:p>
          <w:p w14:paraId="2A28208F" w14:textId="77777777" w:rsidR="009D400E" w:rsidRPr="001B4A02" w:rsidRDefault="00000000" w:rsidP="00995407">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Zkontrolujte vzhled roztoku v předplněné injekční stříkačce.</w:t>
            </w:r>
          </w:p>
          <w:p w14:paraId="6075D3A2" w14:textId="77777777" w:rsidR="009D400E" w:rsidRPr="001B4A02" w:rsidRDefault="009D400E" w:rsidP="00995407">
            <w:pPr>
              <w:pStyle w:val="EMEANormal"/>
              <w:keepNext/>
              <w:rPr>
                <w:lang w:val="cs-CZ"/>
              </w:rPr>
            </w:pPr>
          </w:p>
          <w:p w14:paraId="2344C4D8" w14:textId="77777777" w:rsidR="009D400E" w:rsidRPr="001B4A02" w:rsidRDefault="00000000" w:rsidP="00995407">
            <w:pPr>
              <w:pStyle w:val="EMEAHeadingLeaflet"/>
              <w:keepNext/>
              <w:numPr>
                <w:ilvl w:val="0"/>
                <w:numId w:val="110"/>
              </w:numPr>
              <w:tabs>
                <w:tab w:val="clear" w:pos="562"/>
                <w:tab w:val="left" w:pos="792"/>
                <w:tab w:val="left" w:pos="1647"/>
              </w:tabs>
              <w:spacing w:beforeLines="0" w:afterLines="0"/>
              <w:ind w:left="792"/>
              <w:rPr>
                <w:rFonts w:ascii="Times New Roman" w:hAnsi="Times New Roman"/>
                <w:b w:val="0"/>
                <w:lang w:val="cs-CZ"/>
              </w:rPr>
            </w:pPr>
            <w:r w:rsidRPr="001B4A02">
              <w:rPr>
                <w:rFonts w:ascii="Times New Roman" w:hAnsi="Times New Roman"/>
                <w:b w:val="0"/>
                <w:lang w:val="cs-CZ"/>
              </w:rPr>
              <w:t>Zkontrolujte, zda je roztok čirý</w:t>
            </w:r>
            <w:r w:rsidR="002378E0">
              <w:rPr>
                <w:rFonts w:ascii="Times New Roman" w:hAnsi="Times New Roman"/>
                <w:b w:val="0"/>
                <w:lang w:val="cs-CZ"/>
              </w:rPr>
              <w:t xml:space="preserve"> a </w:t>
            </w:r>
            <w:r w:rsidRPr="001B4A02">
              <w:rPr>
                <w:rFonts w:ascii="Times New Roman" w:hAnsi="Times New Roman"/>
                <w:b w:val="0"/>
                <w:lang w:val="cs-CZ"/>
              </w:rPr>
              <w:t>bezbarvý</w:t>
            </w:r>
          </w:p>
          <w:p w14:paraId="204067E4" w14:textId="77777777" w:rsidR="009D400E" w:rsidRPr="001B4A02" w:rsidRDefault="00000000" w:rsidP="00995407">
            <w:pPr>
              <w:pStyle w:val="EMEAHeadingLeaflet"/>
              <w:keepNext/>
              <w:numPr>
                <w:ilvl w:val="0"/>
                <w:numId w:val="110"/>
              </w:numPr>
              <w:tabs>
                <w:tab w:val="clear" w:pos="562"/>
                <w:tab w:val="left" w:pos="792"/>
                <w:tab w:val="left" w:pos="1647"/>
              </w:tabs>
              <w:spacing w:beforeLines="0" w:afterLines="0"/>
              <w:ind w:left="792"/>
              <w:rPr>
                <w:rFonts w:ascii="Times New Roman" w:hAnsi="Times New Roman"/>
                <w:b w:val="0"/>
                <w:lang w:val="cs-CZ"/>
              </w:rPr>
            </w:pPr>
            <w:r w:rsidRPr="001B4A02">
              <w:rPr>
                <w:rFonts w:ascii="Times New Roman" w:hAnsi="Times New Roman"/>
                <w:b w:val="0"/>
                <w:lang w:val="cs-CZ"/>
              </w:rPr>
              <w:t xml:space="preserve">Předplněnou injekční stříkačku </w:t>
            </w:r>
            <w:r w:rsidRPr="001B4A02">
              <w:rPr>
                <w:rFonts w:ascii="Times New Roman" w:hAnsi="Times New Roman"/>
                <w:lang w:val="cs-CZ"/>
              </w:rPr>
              <w:t>nepoužívejte</w:t>
            </w:r>
            <w:r w:rsidRPr="001B4A02">
              <w:rPr>
                <w:rFonts w:ascii="Times New Roman" w:hAnsi="Times New Roman"/>
                <w:b w:val="0"/>
                <w:lang w:val="cs-CZ"/>
              </w:rPr>
              <w:t>, jestliže je roztok zakalený nebo v něm jsou viditelné částice</w:t>
            </w:r>
          </w:p>
          <w:p w14:paraId="61DE4C00" w14:textId="77777777" w:rsidR="009D400E" w:rsidRPr="001B4A02" w:rsidRDefault="00000000" w:rsidP="00995407">
            <w:pPr>
              <w:pStyle w:val="EMEANormal"/>
              <w:keepNext/>
              <w:numPr>
                <w:ilvl w:val="0"/>
                <w:numId w:val="110"/>
              </w:numPr>
              <w:tabs>
                <w:tab w:val="clear" w:pos="562"/>
                <w:tab w:val="left" w:pos="792"/>
                <w:tab w:val="left" w:pos="1647"/>
              </w:tabs>
              <w:ind w:left="792"/>
              <w:rPr>
                <w:lang w:val="cs-CZ"/>
              </w:rPr>
            </w:pPr>
            <w:r w:rsidRPr="001B4A02">
              <w:rPr>
                <w:b/>
                <w:lang w:val="cs-CZ"/>
              </w:rPr>
              <w:t xml:space="preserve">Předplněnou injekční stříkačku </w:t>
            </w:r>
            <w:r w:rsidRPr="001B4A02">
              <w:rPr>
                <w:lang w:val="cs-CZ"/>
              </w:rPr>
              <w:t>nepoužívejte, jestliže spadla na zem nebo se rozbila</w:t>
            </w:r>
          </w:p>
          <w:p w14:paraId="2816825B" w14:textId="77777777" w:rsidR="009D400E" w:rsidRPr="001B4A02" w:rsidRDefault="009D400E" w:rsidP="00995407">
            <w:pPr>
              <w:pStyle w:val="EMEANormal"/>
              <w:keepNext/>
              <w:tabs>
                <w:tab w:val="clear" w:pos="562"/>
                <w:tab w:val="left" w:pos="792"/>
                <w:tab w:val="left" w:pos="1647"/>
              </w:tabs>
              <w:ind w:left="792"/>
              <w:rPr>
                <w:lang w:val="cs-CZ"/>
              </w:rPr>
            </w:pPr>
          </w:p>
          <w:p w14:paraId="0293952F" w14:textId="77777777" w:rsidR="009D400E" w:rsidRPr="001B4A02" w:rsidRDefault="00000000" w:rsidP="00995407">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Opatrně sejměte kryt jehly rovně pomocí jedné ruky. Kryt jehly zlikvidujte. Nenasazujte jej znovu.</w:t>
            </w:r>
          </w:p>
          <w:p w14:paraId="72CEE16C" w14:textId="77777777" w:rsidR="009D400E" w:rsidRPr="001B4A02" w:rsidRDefault="009D400E" w:rsidP="00995407">
            <w:pPr>
              <w:pStyle w:val="EMEANormal"/>
              <w:keepNext/>
              <w:rPr>
                <w:lang w:val="cs-CZ"/>
              </w:rPr>
            </w:pPr>
          </w:p>
          <w:p w14:paraId="05AAD2AB" w14:textId="77777777" w:rsidR="009D400E" w:rsidRPr="001B4A02" w:rsidRDefault="00000000" w:rsidP="00995407">
            <w:pPr>
              <w:pStyle w:val="ListParagraph"/>
              <w:keepNext/>
              <w:numPr>
                <w:ilvl w:val="0"/>
                <w:numId w:val="194"/>
              </w:numPr>
              <w:tabs>
                <w:tab w:val="left" w:pos="792"/>
              </w:tabs>
              <w:suppressAutoHyphens/>
              <w:ind w:left="792"/>
              <w:contextualSpacing/>
            </w:pPr>
            <w:r w:rsidRPr="001B4A02">
              <w:t xml:space="preserve">Dávejte pozor, abyste se </w:t>
            </w:r>
            <w:r w:rsidRPr="001B4A02">
              <w:rPr>
                <w:b/>
              </w:rPr>
              <w:t>nedotkl(a)</w:t>
            </w:r>
            <w:r w:rsidRPr="001B4A02">
              <w:t xml:space="preserve"> jehly ani se </w:t>
            </w:r>
            <w:r w:rsidRPr="001B4A02">
              <w:rPr>
                <w:b/>
              </w:rPr>
              <w:t>nedotkl(a)</w:t>
            </w:r>
            <w:r w:rsidRPr="001B4A02">
              <w:t xml:space="preserve"> jehlou žádného povrchu</w:t>
            </w:r>
          </w:p>
          <w:p w14:paraId="056099DB" w14:textId="77777777" w:rsidR="009D400E" w:rsidRPr="001B4A02" w:rsidRDefault="009D400E" w:rsidP="00995407">
            <w:pPr>
              <w:pStyle w:val="ListParagraph"/>
              <w:keepNext/>
              <w:tabs>
                <w:tab w:val="left" w:pos="792"/>
              </w:tabs>
              <w:ind w:left="0"/>
              <w:contextualSpacing/>
            </w:pPr>
          </w:p>
        </w:tc>
      </w:tr>
      <w:tr w:rsidR="00534A2D" w14:paraId="3E8846A6" w14:textId="77777777" w:rsidTr="00850312">
        <w:tc>
          <w:tcPr>
            <w:tcW w:w="3708" w:type="dxa"/>
            <w:tcBorders>
              <w:right w:val="nil"/>
            </w:tcBorders>
            <w:shd w:val="clear" w:color="auto" w:fill="auto"/>
          </w:tcPr>
          <w:p w14:paraId="6B709078" w14:textId="77777777" w:rsidR="009D400E" w:rsidRPr="001B4A02" w:rsidRDefault="00000000" w:rsidP="00850312">
            <w:pPr>
              <w:pStyle w:val="EMEANormal"/>
              <w:rPr>
                <w:b/>
                <w:lang w:val="cs-CZ"/>
              </w:rPr>
            </w:pPr>
            <w:r w:rsidRPr="001B4A02">
              <w:rPr>
                <w:b/>
                <w:lang w:val="cs-CZ"/>
              </w:rPr>
              <w:t>KROK 5</w:t>
            </w:r>
          </w:p>
          <w:p w14:paraId="58632D73" w14:textId="77777777" w:rsidR="009D400E" w:rsidRPr="001B4A02" w:rsidRDefault="00000000" w:rsidP="00850312">
            <w:pPr>
              <w:pStyle w:val="EMEANormal"/>
              <w:rPr>
                <w:lang w:val="cs-CZ"/>
              </w:rPr>
            </w:pPr>
            <w:r w:rsidRPr="001B4A02">
              <w:rPr>
                <w:noProof/>
              </w:rPr>
              <w:drawing>
                <wp:inline distT="0" distB="0" distL="0" distR="0" wp14:anchorId="249A7027" wp14:editId="53CD3D97">
                  <wp:extent cx="2001520" cy="1975485"/>
                  <wp:effectExtent l="0" t="0" r="0" b="5715"/>
                  <wp:docPr id="510" name="Picture 4"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Picture 4" descr="STEP_5_SYRINGE_IFU_FILLING_grey"/>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001520" cy="1975485"/>
                          </a:xfrm>
                          <a:prstGeom prst="rect">
                            <a:avLst/>
                          </a:prstGeom>
                          <a:noFill/>
                          <a:ln>
                            <a:noFill/>
                          </a:ln>
                        </pic:spPr>
                      </pic:pic>
                    </a:graphicData>
                  </a:graphic>
                </wp:inline>
              </w:drawing>
            </w:r>
          </w:p>
        </w:tc>
        <w:tc>
          <w:tcPr>
            <w:tcW w:w="5579" w:type="dxa"/>
            <w:tcBorders>
              <w:left w:val="nil"/>
            </w:tcBorders>
            <w:shd w:val="clear" w:color="auto" w:fill="auto"/>
          </w:tcPr>
          <w:p w14:paraId="6FD3774E" w14:textId="77777777" w:rsidR="009D400E" w:rsidRPr="001B4A02" w:rsidRDefault="00000000" w:rsidP="00850312">
            <w:pPr>
              <w:pStyle w:val="EMEANormal"/>
              <w:tabs>
                <w:tab w:val="clear" w:pos="562"/>
                <w:tab w:val="left" w:pos="0"/>
              </w:tabs>
              <w:rPr>
                <w:szCs w:val="22"/>
                <w:lang w:val="cs-CZ"/>
              </w:rPr>
            </w:pPr>
            <w:r w:rsidRPr="001B4A02">
              <w:rPr>
                <w:lang w:val="cs-CZ"/>
              </w:rPr>
              <w:t>Držte předplněnou injekční stříkačku s jehlou směřující nahoru</w:t>
            </w:r>
            <w:r w:rsidRPr="001B4A02">
              <w:rPr>
                <w:szCs w:val="22"/>
                <w:lang w:val="cs-CZ"/>
              </w:rPr>
              <w:t>.</w:t>
            </w:r>
          </w:p>
          <w:p w14:paraId="1E94E612" w14:textId="77777777" w:rsidR="009D400E" w:rsidRPr="001B4A02" w:rsidRDefault="009D400E" w:rsidP="00850312">
            <w:pPr>
              <w:pStyle w:val="EMEANormal"/>
              <w:tabs>
                <w:tab w:val="clear" w:pos="562"/>
                <w:tab w:val="left" w:pos="0"/>
              </w:tabs>
              <w:rPr>
                <w:szCs w:val="22"/>
                <w:lang w:val="cs-CZ"/>
              </w:rPr>
            </w:pPr>
          </w:p>
          <w:p w14:paraId="514B0865" w14:textId="77777777" w:rsidR="009D400E" w:rsidRPr="001B4A02" w:rsidRDefault="00000000" w:rsidP="00850312">
            <w:pPr>
              <w:pStyle w:val="EMEABullet2"/>
              <w:numPr>
                <w:ilvl w:val="0"/>
                <w:numId w:val="123"/>
              </w:numPr>
              <w:tabs>
                <w:tab w:val="clear" w:pos="567"/>
                <w:tab w:val="clear" w:pos="690"/>
                <w:tab w:val="num" w:pos="792"/>
              </w:tabs>
              <w:ind w:left="792"/>
              <w:rPr>
                <w:lang w:val="cs-CZ"/>
              </w:rPr>
            </w:pPr>
            <w:r w:rsidRPr="001B4A02">
              <w:rPr>
                <w:lang w:val="cs-CZ"/>
              </w:rPr>
              <w:t>Držte předplněnou injekční stříkačku v úrovni očí jednou rukou, abyste viděli vzduch v předplněné injekční stříkačce</w:t>
            </w:r>
          </w:p>
          <w:p w14:paraId="468DEBF3" w14:textId="77777777" w:rsidR="009D400E" w:rsidRPr="001B4A02" w:rsidRDefault="009D400E" w:rsidP="00850312">
            <w:pPr>
              <w:pStyle w:val="EMEANormal"/>
              <w:rPr>
                <w:lang w:val="cs-CZ"/>
              </w:rPr>
            </w:pPr>
          </w:p>
          <w:p w14:paraId="4DA19A46" w14:textId="77777777" w:rsidR="009D400E" w:rsidRPr="001B4A02" w:rsidRDefault="00000000" w:rsidP="00850312">
            <w:pPr>
              <w:pStyle w:val="EMEANormal"/>
              <w:rPr>
                <w:szCs w:val="22"/>
                <w:lang w:val="cs-CZ"/>
              </w:rPr>
            </w:pPr>
            <w:r w:rsidRPr="001B4A02">
              <w:rPr>
                <w:szCs w:val="22"/>
                <w:lang w:val="cs-CZ"/>
              </w:rPr>
              <w:t>Pomalu zatlačte na píst, abyste vytlačili vzduch přes jehlu.</w:t>
            </w:r>
          </w:p>
          <w:p w14:paraId="4BA856D5" w14:textId="77777777" w:rsidR="009D400E" w:rsidRPr="001B4A02" w:rsidRDefault="009D400E" w:rsidP="00850312">
            <w:pPr>
              <w:pStyle w:val="EMEANormal"/>
              <w:rPr>
                <w:szCs w:val="22"/>
                <w:lang w:val="cs-CZ"/>
              </w:rPr>
            </w:pPr>
          </w:p>
          <w:p w14:paraId="1417F655" w14:textId="77777777" w:rsidR="009D400E" w:rsidRPr="001B4A02" w:rsidRDefault="00000000" w:rsidP="00850312">
            <w:pPr>
              <w:pStyle w:val="EMEABullet2"/>
              <w:numPr>
                <w:ilvl w:val="0"/>
                <w:numId w:val="123"/>
              </w:numPr>
              <w:tabs>
                <w:tab w:val="clear" w:pos="567"/>
                <w:tab w:val="clear" w:pos="690"/>
                <w:tab w:val="num" w:pos="792"/>
              </w:tabs>
              <w:ind w:left="792"/>
              <w:rPr>
                <w:lang w:val="cs-CZ"/>
              </w:rPr>
            </w:pPr>
            <w:r w:rsidRPr="001B4A02">
              <w:rPr>
                <w:lang w:val="cs-CZ"/>
              </w:rPr>
              <w:t>Je normální, že se na konci jehly objeví kapka tekutiny</w:t>
            </w:r>
          </w:p>
          <w:p w14:paraId="7651E342" w14:textId="77777777" w:rsidR="009D400E" w:rsidRPr="001B4A02" w:rsidRDefault="009D400E" w:rsidP="00850312">
            <w:pPr>
              <w:pStyle w:val="EMEANormal"/>
              <w:rPr>
                <w:lang w:val="cs-CZ"/>
              </w:rPr>
            </w:pPr>
          </w:p>
        </w:tc>
      </w:tr>
      <w:tr w:rsidR="00534A2D" w14:paraId="5D5FF069" w14:textId="77777777" w:rsidTr="00850312">
        <w:tc>
          <w:tcPr>
            <w:tcW w:w="3708" w:type="dxa"/>
            <w:tcBorders>
              <w:right w:val="nil"/>
            </w:tcBorders>
            <w:shd w:val="clear" w:color="auto" w:fill="auto"/>
          </w:tcPr>
          <w:p w14:paraId="0D0B28E5" w14:textId="77777777" w:rsidR="009D400E" w:rsidRPr="001B4A02" w:rsidRDefault="00000000" w:rsidP="00995407">
            <w:pPr>
              <w:pStyle w:val="EMEANormal"/>
              <w:rPr>
                <w:b/>
                <w:lang w:val="cs-CZ"/>
              </w:rPr>
            </w:pPr>
            <w:r w:rsidRPr="001B4A02">
              <w:rPr>
                <w:b/>
                <w:lang w:val="cs-CZ"/>
              </w:rPr>
              <w:t>KROK 6</w:t>
            </w:r>
          </w:p>
          <w:p w14:paraId="002CA3D3" w14:textId="77777777" w:rsidR="009D400E" w:rsidRPr="001B4A02" w:rsidRDefault="00000000" w:rsidP="00850312">
            <w:pPr>
              <w:pStyle w:val="EMEANormal"/>
              <w:keepNext/>
              <w:rPr>
                <w:b/>
                <w:highlight w:val="yellow"/>
                <w:lang w:val="cs-CZ"/>
              </w:rPr>
            </w:pPr>
            <w:r w:rsidRPr="001B4A02">
              <w:rPr>
                <w:noProof/>
              </w:rPr>
              <w:drawing>
                <wp:inline distT="0" distB="0" distL="0" distR="0" wp14:anchorId="03C0B741" wp14:editId="1342F396">
                  <wp:extent cx="2242820" cy="2139315"/>
                  <wp:effectExtent l="0" t="0" r="5080" b="0"/>
                  <wp:docPr id="511" name="Picture 3"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Picture 3" descr="STEP_6_SYRINGE_IFU_PRE-INJECTION_grey"/>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242820" cy="2139315"/>
                          </a:xfrm>
                          <a:prstGeom prst="rect">
                            <a:avLst/>
                          </a:prstGeom>
                          <a:noFill/>
                          <a:ln>
                            <a:noFill/>
                          </a:ln>
                        </pic:spPr>
                      </pic:pic>
                    </a:graphicData>
                  </a:graphic>
                </wp:inline>
              </w:drawing>
            </w:r>
          </w:p>
        </w:tc>
        <w:tc>
          <w:tcPr>
            <w:tcW w:w="5579" w:type="dxa"/>
            <w:tcBorders>
              <w:left w:val="nil"/>
            </w:tcBorders>
            <w:shd w:val="clear" w:color="auto" w:fill="auto"/>
          </w:tcPr>
          <w:p w14:paraId="4B9585D5" w14:textId="77777777" w:rsidR="009D400E" w:rsidRPr="001B4A02" w:rsidRDefault="00000000" w:rsidP="00850312">
            <w:pPr>
              <w:keepNext/>
              <w:ind w:left="0" w:firstLine="0"/>
              <w:rPr>
                <w:szCs w:val="22"/>
              </w:rPr>
            </w:pPr>
            <w:r w:rsidRPr="001B4A02">
              <w:rPr>
                <w:szCs w:val="22"/>
              </w:rPr>
              <w:t>Držte předplněnou injekční stříkačku za její tělo v jedné ruce mezi palcem</w:t>
            </w:r>
            <w:r w:rsidR="002378E0">
              <w:rPr>
                <w:szCs w:val="22"/>
              </w:rPr>
              <w:t xml:space="preserve"> a </w:t>
            </w:r>
            <w:r w:rsidRPr="001B4A02">
              <w:rPr>
                <w:szCs w:val="22"/>
              </w:rPr>
              <w:t>ukazovákem, jako byste drželi pero.</w:t>
            </w:r>
          </w:p>
          <w:p w14:paraId="423C0E5A" w14:textId="77777777" w:rsidR="009D400E" w:rsidRPr="001B4A02" w:rsidRDefault="009D400E" w:rsidP="00850312">
            <w:pPr>
              <w:keepNext/>
              <w:rPr>
                <w:szCs w:val="22"/>
              </w:rPr>
            </w:pPr>
          </w:p>
          <w:p w14:paraId="14FF6FFC" w14:textId="77777777" w:rsidR="009D400E" w:rsidRPr="001B4A02" w:rsidRDefault="00000000" w:rsidP="00850312">
            <w:pPr>
              <w:keepNext/>
              <w:ind w:left="0" w:firstLine="0"/>
              <w:rPr>
                <w:szCs w:val="22"/>
              </w:rPr>
            </w:pPr>
            <w:r w:rsidRPr="001B4A02">
              <w:rPr>
                <w:szCs w:val="22"/>
              </w:rPr>
              <w:t>Druhou rukou stiskněte kůži v místě vpichu tak, aby vznikla vyvýšená plocha</w:t>
            </w:r>
            <w:r w:rsidR="00B2627A">
              <w:rPr>
                <w:szCs w:val="22"/>
              </w:rPr>
              <w:t>,</w:t>
            </w:r>
            <w:r w:rsidR="002378E0">
              <w:rPr>
                <w:szCs w:val="22"/>
              </w:rPr>
              <w:t xml:space="preserve"> a </w:t>
            </w:r>
            <w:r w:rsidRPr="001B4A02">
              <w:rPr>
                <w:szCs w:val="22"/>
              </w:rPr>
              <w:t>pevně ji držte.</w:t>
            </w:r>
          </w:p>
          <w:p w14:paraId="2677CF7F" w14:textId="77777777" w:rsidR="009D400E" w:rsidRPr="001B4A02" w:rsidRDefault="009D400E" w:rsidP="00850312">
            <w:pPr>
              <w:keepNext/>
            </w:pPr>
          </w:p>
        </w:tc>
      </w:tr>
      <w:tr w:rsidR="00534A2D" w14:paraId="4DAA6251" w14:textId="77777777" w:rsidTr="00850312">
        <w:tc>
          <w:tcPr>
            <w:tcW w:w="3708" w:type="dxa"/>
            <w:tcBorders>
              <w:right w:val="nil"/>
            </w:tcBorders>
            <w:shd w:val="clear" w:color="auto" w:fill="auto"/>
          </w:tcPr>
          <w:p w14:paraId="4496CB9A" w14:textId="77777777" w:rsidR="009D400E" w:rsidRPr="001B4A02" w:rsidRDefault="00000000" w:rsidP="00995407">
            <w:pPr>
              <w:pStyle w:val="EMEANormal"/>
              <w:keepNext/>
              <w:rPr>
                <w:b/>
                <w:lang w:val="cs-CZ"/>
              </w:rPr>
            </w:pPr>
            <w:r w:rsidRPr="001B4A02">
              <w:rPr>
                <w:b/>
                <w:lang w:val="cs-CZ"/>
              </w:rPr>
              <w:t>KROK 7</w:t>
            </w:r>
          </w:p>
          <w:p w14:paraId="680DBC84" w14:textId="77777777" w:rsidR="009D400E" w:rsidRPr="001B4A02" w:rsidRDefault="00000000" w:rsidP="00995407">
            <w:pPr>
              <w:pStyle w:val="EMEANormal"/>
              <w:keepNext/>
              <w:ind w:left="-360"/>
              <w:rPr>
                <w:b/>
                <w:lang w:val="cs-CZ"/>
              </w:rPr>
            </w:pPr>
            <w:r w:rsidRPr="001B4A02">
              <w:rPr>
                <w:noProof/>
              </w:rPr>
              <w:drawing>
                <wp:inline distT="0" distB="0" distL="0" distR="0" wp14:anchorId="0A877319" wp14:editId="09574301">
                  <wp:extent cx="2191385" cy="2673985"/>
                  <wp:effectExtent l="0" t="0" r="0" b="0"/>
                  <wp:docPr id="512" name="Picture 2"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Picture 2" descr="STEP_7_SYRINGE_IFU_ABDOMEN-THIGH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191385" cy="2673985"/>
                          </a:xfrm>
                          <a:prstGeom prst="rect">
                            <a:avLst/>
                          </a:prstGeom>
                          <a:noFill/>
                          <a:ln>
                            <a:noFill/>
                          </a:ln>
                        </pic:spPr>
                      </pic:pic>
                    </a:graphicData>
                  </a:graphic>
                </wp:inline>
              </w:drawing>
            </w:r>
          </w:p>
        </w:tc>
        <w:tc>
          <w:tcPr>
            <w:tcW w:w="5579" w:type="dxa"/>
            <w:tcBorders>
              <w:left w:val="nil"/>
            </w:tcBorders>
            <w:shd w:val="clear" w:color="auto" w:fill="auto"/>
          </w:tcPr>
          <w:p w14:paraId="72061188" w14:textId="77777777" w:rsidR="009D400E" w:rsidRPr="001B4A02" w:rsidRDefault="00000000" w:rsidP="00850312">
            <w:pPr>
              <w:ind w:left="0" w:firstLine="0"/>
              <w:rPr>
                <w:szCs w:val="22"/>
              </w:rPr>
            </w:pPr>
            <w:r w:rsidRPr="001B4A02">
              <w:rPr>
                <w:szCs w:val="22"/>
              </w:rPr>
              <w:t>Zaveďte celou jehlu jedním rychlým, krátkým pohybem do kůže pod úhlem asi 45 stupňů.</w:t>
            </w:r>
          </w:p>
          <w:p w14:paraId="6DDB78BA" w14:textId="77777777" w:rsidR="009D400E" w:rsidRPr="001B4A02" w:rsidRDefault="009D400E" w:rsidP="00850312">
            <w:pPr>
              <w:rPr>
                <w:szCs w:val="22"/>
              </w:rPr>
            </w:pPr>
          </w:p>
          <w:p w14:paraId="17B36E2F" w14:textId="77777777" w:rsidR="009D400E" w:rsidRPr="001B4A02" w:rsidRDefault="00000000" w:rsidP="00850312">
            <w:pPr>
              <w:numPr>
                <w:ilvl w:val="0"/>
                <w:numId w:val="192"/>
              </w:numPr>
              <w:tabs>
                <w:tab w:val="left" w:pos="792"/>
              </w:tabs>
              <w:suppressAutoHyphens/>
              <w:ind w:left="792"/>
              <w:rPr>
                <w:szCs w:val="22"/>
              </w:rPr>
            </w:pPr>
            <w:r w:rsidRPr="001B4A02">
              <w:t>Po zavedení jehly pusťte kůži, kterou držíte</w:t>
            </w:r>
          </w:p>
          <w:p w14:paraId="5996C93B" w14:textId="77777777" w:rsidR="009D400E" w:rsidRPr="001B4A02" w:rsidRDefault="009D400E" w:rsidP="00850312">
            <w:pPr>
              <w:rPr>
                <w:szCs w:val="22"/>
              </w:rPr>
            </w:pPr>
          </w:p>
          <w:p w14:paraId="08B2B334" w14:textId="77777777" w:rsidR="009D400E" w:rsidRPr="001B4A02" w:rsidRDefault="00000000" w:rsidP="00850312">
            <w:pPr>
              <w:ind w:left="-22" w:firstLine="0"/>
              <w:rPr>
                <w:szCs w:val="22"/>
              </w:rPr>
            </w:pPr>
            <w:r w:rsidRPr="001B4A02">
              <w:rPr>
                <w:szCs w:val="22"/>
              </w:rPr>
              <w:t xml:space="preserve">Pomalu stlačte píst </w:t>
            </w:r>
            <w:r w:rsidR="008A6A30" w:rsidRPr="001B4A02">
              <w:rPr>
                <w:szCs w:val="22"/>
              </w:rPr>
              <w:t>zcela dolů</w:t>
            </w:r>
            <w:r w:rsidRPr="001B4A02">
              <w:rPr>
                <w:szCs w:val="22"/>
              </w:rPr>
              <w:t>, dokud není veškerá tekutina podána</w:t>
            </w:r>
            <w:r w:rsidR="002378E0">
              <w:rPr>
                <w:szCs w:val="22"/>
              </w:rPr>
              <w:t xml:space="preserve"> a </w:t>
            </w:r>
            <w:r w:rsidRPr="001B4A02">
              <w:rPr>
                <w:szCs w:val="22"/>
              </w:rPr>
              <w:t>předplněná injekční stříkačka není prázdná.</w:t>
            </w:r>
          </w:p>
          <w:p w14:paraId="4A919267" w14:textId="77777777" w:rsidR="009D400E" w:rsidRPr="001B4A02" w:rsidRDefault="009D400E" w:rsidP="00850312">
            <w:pPr>
              <w:pStyle w:val="EMEANormal"/>
              <w:rPr>
                <w:lang w:val="cs-CZ"/>
              </w:rPr>
            </w:pPr>
          </w:p>
        </w:tc>
      </w:tr>
      <w:tr w:rsidR="00534A2D" w14:paraId="089D4755" w14:textId="77777777" w:rsidTr="00850312">
        <w:tc>
          <w:tcPr>
            <w:tcW w:w="3708" w:type="dxa"/>
            <w:tcBorders>
              <w:right w:val="nil"/>
            </w:tcBorders>
            <w:shd w:val="clear" w:color="auto" w:fill="auto"/>
          </w:tcPr>
          <w:p w14:paraId="1C8AA2A8" w14:textId="77777777" w:rsidR="009D400E" w:rsidRPr="001B4A02" w:rsidRDefault="00000000" w:rsidP="00850312">
            <w:pPr>
              <w:pStyle w:val="EMEANormal"/>
              <w:rPr>
                <w:b/>
                <w:lang w:val="cs-CZ"/>
              </w:rPr>
            </w:pPr>
            <w:r w:rsidRPr="001B4A02">
              <w:rPr>
                <w:b/>
                <w:lang w:val="cs-CZ"/>
              </w:rPr>
              <w:t>KROK 8</w:t>
            </w:r>
          </w:p>
          <w:p w14:paraId="0D8EC9B9" w14:textId="77777777" w:rsidR="009D400E" w:rsidRDefault="00000000" w:rsidP="00850312">
            <w:pPr>
              <w:pStyle w:val="EMEANormal"/>
              <w:rPr>
                <w:b/>
                <w:lang w:val="cs-CZ"/>
              </w:rPr>
            </w:pPr>
            <w:r>
              <w:rPr>
                <w:noProof/>
              </w:rPr>
              <w:drawing>
                <wp:inline distT="0" distB="0" distL="0" distR="0" wp14:anchorId="73B22453" wp14:editId="14286F61">
                  <wp:extent cx="1983740" cy="2092960"/>
                  <wp:effectExtent l="0" t="0" r="0" b="2540"/>
                  <wp:docPr id="11" name="Picture 41"/>
                  <wp:cNvGraphicFramePr/>
                  <a:graphic xmlns:a="http://schemas.openxmlformats.org/drawingml/2006/main">
                    <a:graphicData uri="http://schemas.openxmlformats.org/drawingml/2006/picture">
                      <pic:pic xmlns:pic="http://schemas.openxmlformats.org/drawingml/2006/picture">
                        <pic:nvPicPr>
                          <pic:cNvPr id="11" name="Picture 4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83740" cy="2092960"/>
                          </a:xfrm>
                          <a:prstGeom prst="rect">
                            <a:avLst/>
                          </a:prstGeom>
                        </pic:spPr>
                      </pic:pic>
                    </a:graphicData>
                  </a:graphic>
                </wp:inline>
              </w:drawing>
            </w:r>
          </w:p>
          <w:p w14:paraId="39DD64A5" w14:textId="77777777" w:rsidR="00A31163" w:rsidRPr="001B4A02" w:rsidRDefault="00000000" w:rsidP="00850312">
            <w:pPr>
              <w:pStyle w:val="EMEANormal"/>
              <w:rPr>
                <w:b/>
                <w:lang w:val="cs-CZ"/>
              </w:rPr>
            </w:pPr>
            <w:r>
              <w:rPr>
                <w:b/>
                <w:szCs w:val="22"/>
                <w:lang w:val="cs-CZ"/>
              </w:rPr>
              <w:t xml:space="preserve">          </w:t>
            </w:r>
            <w:r w:rsidRPr="003858B5">
              <w:rPr>
                <w:b/>
                <w:szCs w:val="22"/>
                <w:lang w:val="cs-CZ"/>
              </w:rPr>
              <w:t>Bavlněný tamp</w:t>
            </w:r>
            <w:ins w:id="9832" w:author="Abbvie02" w:date="2025-05-16T12:32:00Z">
              <w:r w:rsidR="009165EF">
                <w:rPr>
                  <w:b/>
                  <w:szCs w:val="22"/>
                  <w:lang w:val="cs-CZ"/>
                </w:rPr>
                <w:t>o</w:t>
              </w:r>
            </w:ins>
            <w:del w:id="9833" w:author="Abbvie02" w:date="2025-05-16T12:32:00Z">
              <w:r w:rsidRPr="003858B5">
                <w:rPr>
                  <w:b/>
                  <w:szCs w:val="22"/>
                  <w:lang w:val="cs-CZ"/>
                </w:rPr>
                <w:delText>ó</w:delText>
              </w:r>
            </w:del>
            <w:r w:rsidRPr="003858B5">
              <w:rPr>
                <w:b/>
                <w:szCs w:val="22"/>
                <w:lang w:val="cs-CZ"/>
              </w:rPr>
              <w:t>n</w:t>
            </w:r>
          </w:p>
        </w:tc>
        <w:tc>
          <w:tcPr>
            <w:tcW w:w="5579" w:type="dxa"/>
            <w:tcBorders>
              <w:left w:val="nil"/>
            </w:tcBorders>
            <w:shd w:val="clear" w:color="auto" w:fill="auto"/>
          </w:tcPr>
          <w:p w14:paraId="7D6AEEBF" w14:textId="77777777" w:rsidR="009D400E" w:rsidRPr="001B4A02" w:rsidRDefault="00000000" w:rsidP="00850312">
            <w:pPr>
              <w:pStyle w:val="EMEANormal"/>
              <w:rPr>
                <w:lang w:val="cs-CZ"/>
              </w:rPr>
            </w:pPr>
            <w:r w:rsidRPr="001B4A02">
              <w:rPr>
                <w:lang w:val="cs-CZ"/>
              </w:rPr>
              <w:t>Po podání injekce jehlu pomalu vytáhněte z kůže</w:t>
            </w:r>
            <w:r w:rsidR="002378E0">
              <w:rPr>
                <w:lang w:val="cs-CZ"/>
              </w:rPr>
              <w:t xml:space="preserve"> a </w:t>
            </w:r>
            <w:r w:rsidRPr="001B4A02">
              <w:rPr>
                <w:lang w:val="cs-CZ"/>
              </w:rPr>
              <w:t>předplněnou injekční stříkačku přitom držte ve stejném úhlu.</w:t>
            </w:r>
          </w:p>
          <w:p w14:paraId="0A56094E" w14:textId="77777777" w:rsidR="009D400E" w:rsidRPr="001B4A02" w:rsidRDefault="009D400E" w:rsidP="00850312">
            <w:pPr>
              <w:pStyle w:val="EMEANormal"/>
              <w:rPr>
                <w:lang w:val="cs-CZ"/>
              </w:rPr>
            </w:pPr>
          </w:p>
          <w:p w14:paraId="21AFA8D0" w14:textId="77777777" w:rsidR="009D400E" w:rsidRPr="001B4A02" w:rsidRDefault="00000000" w:rsidP="00850312">
            <w:pPr>
              <w:pStyle w:val="EMEANormal"/>
              <w:rPr>
                <w:lang w:val="cs-CZ"/>
              </w:rPr>
            </w:pPr>
            <w:r w:rsidRPr="001B4A02">
              <w:rPr>
                <w:lang w:val="cs-CZ"/>
              </w:rPr>
              <w:t>Po dokončení injekce přiložte na kůži přes místo vpichu bavlněný tamp</w:t>
            </w:r>
            <w:ins w:id="9834" w:author="Abbvie02" w:date="2025-05-16T12:33:00Z">
              <w:r w:rsidR="009165EF">
                <w:rPr>
                  <w:lang w:val="cs-CZ"/>
                </w:rPr>
                <w:t>o</w:t>
              </w:r>
            </w:ins>
            <w:del w:id="9835" w:author="Abbvie02" w:date="2025-05-16T12:33:00Z">
              <w:r w:rsidRPr="001B4A02">
                <w:rPr>
                  <w:lang w:val="cs-CZ"/>
                </w:rPr>
                <w:delText>ó</w:delText>
              </w:r>
            </w:del>
            <w:r w:rsidRPr="001B4A02">
              <w:rPr>
                <w:lang w:val="cs-CZ"/>
              </w:rPr>
              <w:t>n nebo gázu.</w:t>
            </w:r>
          </w:p>
          <w:p w14:paraId="6AEC053B" w14:textId="77777777" w:rsidR="009D400E" w:rsidRPr="001B4A02" w:rsidRDefault="009D400E" w:rsidP="00850312">
            <w:pPr>
              <w:pStyle w:val="EMEANormal"/>
              <w:rPr>
                <w:lang w:val="cs-CZ"/>
              </w:rPr>
            </w:pPr>
          </w:p>
          <w:p w14:paraId="7B91A82F" w14:textId="77777777" w:rsidR="009D400E" w:rsidRPr="001B4A02" w:rsidRDefault="00000000" w:rsidP="00850312">
            <w:pPr>
              <w:pStyle w:val="EMEABullet2"/>
              <w:numPr>
                <w:ilvl w:val="0"/>
                <w:numId w:val="123"/>
              </w:numPr>
              <w:tabs>
                <w:tab w:val="clear" w:pos="567"/>
                <w:tab w:val="clear" w:pos="690"/>
                <w:tab w:val="num" w:pos="900"/>
              </w:tabs>
              <w:ind w:left="900"/>
              <w:rPr>
                <w:lang w:val="cs-CZ"/>
              </w:rPr>
            </w:pPr>
            <w:r w:rsidRPr="001B4A02">
              <w:rPr>
                <w:b/>
                <w:lang w:val="cs-CZ"/>
              </w:rPr>
              <w:t>Netřete</w:t>
            </w:r>
            <w:r w:rsidRPr="001B4A02">
              <w:rPr>
                <w:lang w:val="cs-CZ"/>
              </w:rPr>
              <w:t xml:space="preserve"> místo vpichu</w:t>
            </w:r>
          </w:p>
          <w:p w14:paraId="1DEE07BD" w14:textId="77777777" w:rsidR="009D400E" w:rsidRPr="001B4A02" w:rsidRDefault="00000000" w:rsidP="00850312">
            <w:pPr>
              <w:pStyle w:val="ListParagraph"/>
              <w:numPr>
                <w:ilvl w:val="0"/>
                <w:numId w:val="123"/>
              </w:numPr>
              <w:tabs>
                <w:tab w:val="clear" w:pos="690"/>
                <w:tab w:val="num" w:pos="900"/>
              </w:tabs>
              <w:suppressAutoHyphens/>
              <w:ind w:left="900"/>
              <w:contextualSpacing/>
            </w:pPr>
            <w:r w:rsidRPr="001B4A02">
              <w:t>Mírné krvácení v místě vpichu je normální</w:t>
            </w:r>
          </w:p>
          <w:p w14:paraId="4FABB075" w14:textId="77777777" w:rsidR="009D400E" w:rsidRPr="001B4A02" w:rsidRDefault="009D400E" w:rsidP="00850312">
            <w:pPr>
              <w:pStyle w:val="EMEABullet2"/>
              <w:numPr>
                <w:ilvl w:val="0"/>
                <w:numId w:val="0"/>
              </w:numPr>
              <w:tabs>
                <w:tab w:val="clear" w:pos="567"/>
              </w:tabs>
              <w:ind w:left="690"/>
              <w:rPr>
                <w:lang w:val="cs-CZ"/>
              </w:rPr>
            </w:pPr>
          </w:p>
        </w:tc>
      </w:tr>
      <w:tr w:rsidR="00534A2D" w14:paraId="76F9C34E" w14:textId="77777777" w:rsidTr="00850312">
        <w:tc>
          <w:tcPr>
            <w:tcW w:w="9287" w:type="dxa"/>
            <w:gridSpan w:val="2"/>
            <w:shd w:val="clear" w:color="auto" w:fill="auto"/>
          </w:tcPr>
          <w:p w14:paraId="14C63EA8" w14:textId="77777777" w:rsidR="009D400E" w:rsidRPr="001B4A02" w:rsidRDefault="00000000" w:rsidP="00850312">
            <w:pPr>
              <w:keepNext/>
              <w:rPr>
                <w:b/>
              </w:rPr>
            </w:pPr>
            <w:r w:rsidRPr="001B4A02">
              <w:rPr>
                <w:b/>
              </w:rPr>
              <w:t>KROK 9</w:t>
            </w:r>
          </w:p>
          <w:p w14:paraId="145E5E0B" w14:textId="77777777" w:rsidR="009D400E" w:rsidRPr="001B4A02" w:rsidRDefault="009D400E" w:rsidP="00850312">
            <w:pPr>
              <w:keepNext/>
              <w:rPr>
                <w:b/>
              </w:rPr>
            </w:pPr>
          </w:p>
          <w:p w14:paraId="034A8984" w14:textId="77777777" w:rsidR="009D400E" w:rsidRPr="001B4A02" w:rsidRDefault="00000000" w:rsidP="00850312">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Použitou předplněnou injekční stříkačku vyhoďte do speciální nádoby, jak jste byli poučeni lékařem, zdravotní sestrou nebo lékárníkem.</w:t>
            </w:r>
          </w:p>
          <w:p w14:paraId="5D8A454C" w14:textId="77777777" w:rsidR="009D400E" w:rsidRPr="001B4A02" w:rsidRDefault="00000000" w:rsidP="00850312">
            <w:pPr>
              <w:pStyle w:val="EMEAHeadingLeaflet"/>
              <w:keepNext/>
              <w:spacing w:beforeLines="0" w:afterLines="0"/>
              <w:rPr>
                <w:rFonts w:ascii="Times New Roman" w:hAnsi="Times New Roman"/>
                <w:b w:val="0"/>
                <w:lang w:val="cs-CZ"/>
              </w:rPr>
            </w:pPr>
            <w:r w:rsidRPr="001B4A02">
              <w:rPr>
                <w:rFonts w:ascii="Times New Roman" w:hAnsi="Times New Roman"/>
                <w:lang w:val="cs-CZ"/>
              </w:rPr>
              <w:t xml:space="preserve">Nikdy </w:t>
            </w:r>
            <w:r w:rsidRPr="001B4A02">
              <w:rPr>
                <w:rFonts w:ascii="Times New Roman" w:hAnsi="Times New Roman"/>
                <w:b w:val="0"/>
                <w:lang w:val="cs-CZ"/>
              </w:rPr>
              <w:t>nenasazujte kryt zpátky na jehlu.</w:t>
            </w:r>
          </w:p>
          <w:p w14:paraId="1C91653B" w14:textId="77777777" w:rsidR="009D400E" w:rsidRPr="001B4A02" w:rsidRDefault="009D400E" w:rsidP="00850312">
            <w:pPr>
              <w:pStyle w:val="EMEANormal"/>
              <w:rPr>
                <w:lang w:val="cs-CZ"/>
              </w:rPr>
            </w:pPr>
          </w:p>
          <w:p w14:paraId="10E55324" w14:textId="77777777" w:rsidR="009D400E" w:rsidRPr="001B4A02" w:rsidRDefault="00000000" w:rsidP="00850312">
            <w:pPr>
              <w:pStyle w:val="EMEAHeadingLeaflet"/>
              <w:keepNext/>
              <w:numPr>
                <w:ilvl w:val="0"/>
                <w:numId w:val="114"/>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 xml:space="preserve">Předplněnou injekční stříkačku </w:t>
            </w:r>
            <w:r w:rsidRPr="001B4A02">
              <w:rPr>
                <w:rFonts w:ascii="Times New Roman" w:hAnsi="Times New Roman"/>
                <w:lang w:val="cs-CZ"/>
              </w:rPr>
              <w:t>nerecyklujte</w:t>
            </w:r>
            <w:r w:rsidRPr="001B4A02">
              <w:rPr>
                <w:rFonts w:ascii="Times New Roman" w:hAnsi="Times New Roman"/>
                <w:b w:val="0"/>
                <w:lang w:val="cs-CZ"/>
              </w:rPr>
              <w:t xml:space="preserve"> ani nevyhazujte do domácího odpadu</w:t>
            </w:r>
          </w:p>
          <w:p w14:paraId="48B3433A" w14:textId="77777777" w:rsidR="009D400E" w:rsidRPr="001B4A02" w:rsidRDefault="00000000" w:rsidP="00850312">
            <w:pPr>
              <w:pStyle w:val="EMEANormal"/>
              <w:numPr>
                <w:ilvl w:val="0"/>
                <w:numId w:val="114"/>
              </w:numPr>
              <w:tabs>
                <w:tab w:val="clear" w:pos="562"/>
                <w:tab w:val="left" w:pos="720"/>
              </w:tabs>
              <w:rPr>
                <w:lang w:val="cs-CZ"/>
              </w:rPr>
            </w:pPr>
            <w:r w:rsidRPr="001B4A02">
              <w:rPr>
                <w:lang w:val="cs-CZ"/>
              </w:rPr>
              <w:t>Předplněnou injekční stříkačku</w:t>
            </w:r>
            <w:r w:rsidR="002378E0">
              <w:rPr>
                <w:lang w:val="cs-CZ"/>
              </w:rPr>
              <w:t xml:space="preserve"> a </w:t>
            </w:r>
            <w:r w:rsidRPr="001B4A02">
              <w:rPr>
                <w:lang w:val="cs-CZ"/>
              </w:rPr>
              <w:t xml:space="preserve">speciální odpadní nádobu </w:t>
            </w:r>
            <w:r w:rsidRPr="001B4A02">
              <w:rPr>
                <w:b/>
                <w:lang w:val="cs-CZ"/>
              </w:rPr>
              <w:t xml:space="preserve">vždy </w:t>
            </w:r>
            <w:r w:rsidRPr="001B4A02">
              <w:rPr>
                <w:lang w:val="cs-CZ"/>
              </w:rPr>
              <w:t>uchovávejte mimo dohled</w:t>
            </w:r>
            <w:r w:rsidR="002378E0">
              <w:rPr>
                <w:lang w:val="cs-CZ"/>
              </w:rPr>
              <w:t xml:space="preserve"> a </w:t>
            </w:r>
            <w:r w:rsidRPr="001B4A02">
              <w:rPr>
                <w:lang w:val="cs-CZ"/>
              </w:rPr>
              <w:t>dosah dětí</w:t>
            </w:r>
          </w:p>
          <w:p w14:paraId="2026D5EC" w14:textId="77777777" w:rsidR="009D400E" w:rsidRPr="001B4A02" w:rsidRDefault="009D400E" w:rsidP="007E416D">
            <w:pPr>
              <w:pStyle w:val="EMEANormal"/>
              <w:keepNext/>
              <w:tabs>
                <w:tab w:val="clear" w:pos="562"/>
                <w:tab w:val="left" w:pos="720"/>
              </w:tabs>
              <w:rPr>
                <w:lang w:val="cs-CZ"/>
              </w:rPr>
            </w:pPr>
          </w:p>
          <w:p w14:paraId="0CE98E03" w14:textId="77777777" w:rsidR="009D400E" w:rsidRPr="001B4A02" w:rsidRDefault="00000000" w:rsidP="00850312">
            <w:pPr>
              <w:pStyle w:val="EMEANormal"/>
              <w:keepNext/>
              <w:rPr>
                <w:lang w:val="cs-CZ"/>
              </w:rPr>
            </w:pPr>
            <w:r w:rsidRPr="001B4A02">
              <w:rPr>
                <w:szCs w:val="22"/>
                <w:lang w:val="cs-CZ"/>
              </w:rPr>
              <w:t>Kryt jehly, tamp</w:t>
            </w:r>
            <w:ins w:id="9836" w:author="Abbvie02" w:date="2025-05-16T12:33:00Z">
              <w:r w:rsidR="009165EF">
                <w:rPr>
                  <w:szCs w:val="22"/>
                  <w:lang w:val="cs-CZ"/>
                </w:rPr>
                <w:t>o</w:t>
              </w:r>
            </w:ins>
            <w:del w:id="9837" w:author="Abbvie02" w:date="2025-05-16T12:33:00Z">
              <w:r w:rsidRPr="001B4A02">
                <w:rPr>
                  <w:szCs w:val="22"/>
                  <w:lang w:val="cs-CZ"/>
                </w:rPr>
                <w:delText>ó</w:delText>
              </w:r>
            </w:del>
            <w:r w:rsidRPr="001B4A02">
              <w:rPr>
                <w:szCs w:val="22"/>
                <w:lang w:val="cs-CZ"/>
              </w:rPr>
              <w:t>n s alkoholem, bavlněný tamp</w:t>
            </w:r>
            <w:ins w:id="9838" w:author="Abbvie02" w:date="2025-05-16T12:33:00Z">
              <w:r w:rsidR="009165EF">
                <w:rPr>
                  <w:szCs w:val="22"/>
                  <w:lang w:val="cs-CZ"/>
                </w:rPr>
                <w:t>o</w:t>
              </w:r>
            </w:ins>
            <w:del w:id="9839" w:author="Abbvie02" w:date="2025-05-16T12:33:00Z">
              <w:r w:rsidRPr="001B4A02">
                <w:rPr>
                  <w:szCs w:val="22"/>
                  <w:lang w:val="cs-CZ"/>
                </w:rPr>
                <w:delText>ó</w:delText>
              </w:r>
            </w:del>
            <w:r w:rsidRPr="001B4A02">
              <w:rPr>
                <w:szCs w:val="22"/>
                <w:lang w:val="cs-CZ"/>
              </w:rPr>
              <w:t>n nebo gázu, blistr</w:t>
            </w:r>
            <w:r w:rsidR="002378E0">
              <w:rPr>
                <w:szCs w:val="22"/>
                <w:lang w:val="cs-CZ"/>
              </w:rPr>
              <w:t xml:space="preserve"> a </w:t>
            </w:r>
            <w:r w:rsidRPr="001B4A02">
              <w:rPr>
                <w:szCs w:val="22"/>
                <w:lang w:val="cs-CZ"/>
              </w:rPr>
              <w:t>obal můžete vyhodit do domácího odpadu.</w:t>
            </w:r>
          </w:p>
        </w:tc>
      </w:tr>
    </w:tbl>
    <w:p w14:paraId="66C68CB5" w14:textId="77777777" w:rsidR="00DD3461" w:rsidRPr="001B4A02" w:rsidRDefault="00DD3461" w:rsidP="002857B1">
      <w:pPr>
        <w:ind w:left="0" w:firstLine="0"/>
      </w:pPr>
    </w:p>
    <w:p w14:paraId="6A10E1E1" w14:textId="77777777" w:rsidR="00B50434" w:rsidRPr="001B4A02" w:rsidRDefault="00000000" w:rsidP="00DD3461">
      <w:pPr>
        <w:ind w:left="0" w:firstLine="0"/>
        <w:rPr>
          <w:b/>
        </w:rPr>
      </w:pPr>
      <w:r w:rsidRPr="001B4A02">
        <w:br w:type="page"/>
      </w:r>
    </w:p>
    <w:p w14:paraId="24B664AF" w14:textId="77777777" w:rsidR="00073F8F" w:rsidRPr="001B4A02" w:rsidRDefault="00000000" w:rsidP="00404AFD">
      <w:pPr>
        <w:keepNext/>
        <w:ind w:left="0" w:firstLine="0"/>
        <w:jc w:val="center"/>
        <w:rPr>
          <w:del w:id="9840" w:author="AbbVie1" w:date="2025-05-13T10:11:00Z"/>
          <w:b/>
        </w:rPr>
      </w:pPr>
      <w:del w:id="9841" w:author="AbbVie1" w:date="2025-05-13T10:11:00Z">
        <w:r w:rsidRPr="001B4A02">
          <w:rPr>
            <w:b/>
          </w:rPr>
          <w:delText>P</w:delText>
        </w:r>
        <w:r w:rsidR="0041401B" w:rsidRPr="001B4A02">
          <w:rPr>
            <w:b/>
          </w:rPr>
          <w:delText>říbalová informace: informace pro pacienta</w:delText>
        </w:r>
      </w:del>
    </w:p>
    <w:p w14:paraId="04414F4A" w14:textId="77777777" w:rsidR="00073F8F" w:rsidRPr="001B4A02" w:rsidRDefault="00073F8F" w:rsidP="00404AFD">
      <w:pPr>
        <w:keepNext/>
        <w:ind w:left="0" w:firstLine="0"/>
        <w:jc w:val="center"/>
        <w:rPr>
          <w:del w:id="9842" w:author="AbbVie1" w:date="2025-05-13T10:11:00Z"/>
          <w:b/>
        </w:rPr>
      </w:pPr>
    </w:p>
    <w:p w14:paraId="588B88D2" w14:textId="77777777" w:rsidR="00073F8F" w:rsidRPr="00584C17" w:rsidRDefault="00000000" w:rsidP="00404AFD">
      <w:pPr>
        <w:keepNext/>
        <w:ind w:left="0" w:firstLine="0"/>
        <w:jc w:val="center"/>
        <w:outlineLvl w:val="0"/>
        <w:rPr>
          <w:del w:id="9843" w:author="AbbVie1" w:date="2025-05-13T10:11:00Z"/>
          <w:b/>
        </w:rPr>
      </w:pPr>
      <w:del w:id="9844" w:author="AbbVie1" w:date="2025-05-13T10:11:00Z">
        <w:r w:rsidRPr="00584C17">
          <w:rPr>
            <w:b/>
          </w:rPr>
          <w:delText>Humira 40</w:delText>
        </w:r>
        <w:r w:rsidR="00584C17" w:rsidRPr="00584C17">
          <w:rPr>
            <w:b/>
          </w:rPr>
          <w:delText> </w:delText>
        </w:r>
        <w:r w:rsidRPr="00584C17">
          <w:rPr>
            <w:b/>
          </w:rPr>
          <w:delText>mg</w:delText>
        </w:r>
        <w:r w:rsidR="0001183F" w:rsidRPr="00584C17">
          <w:rPr>
            <w:b/>
          </w:rPr>
          <w:delText>/0,8</w:delText>
        </w:r>
        <w:r w:rsidR="00584C17" w:rsidRPr="00584C17">
          <w:rPr>
            <w:b/>
          </w:rPr>
          <w:delText> </w:delText>
        </w:r>
        <w:r w:rsidR="0001183F" w:rsidRPr="00584C17">
          <w:rPr>
            <w:b/>
          </w:rPr>
          <w:delText>ml</w:delText>
        </w:r>
        <w:r w:rsidRPr="00584C17">
          <w:rPr>
            <w:b/>
          </w:rPr>
          <w:delText xml:space="preserve"> injekční roztok</w:delText>
        </w:r>
      </w:del>
    </w:p>
    <w:p w14:paraId="7C0CD04E" w14:textId="77777777" w:rsidR="00073F8F" w:rsidRPr="001B4A02" w:rsidRDefault="00000000" w:rsidP="00404AFD">
      <w:pPr>
        <w:keepNext/>
        <w:ind w:left="0" w:firstLine="0"/>
        <w:jc w:val="center"/>
        <w:rPr>
          <w:del w:id="9845" w:author="AbbVie1" w:date="2025-05-13T10:11:00Z"/>
          <w:bCs/>
        </w:rPr>
      </w:pPr>
      <w:del w:id="9846" w:author="AbbVie1" w:date="2025-05-13T10:11:00Z">
        <w:r w:rsidRPr="001B4A02">
          <w:rPr>
            <w:bCs/>
          </w:rPr>
          <w:delText>adalimumabum</w:delText>
        </w:r>
      </w:del>
    </w:p>
    <w:p w14:paraId="12A02F62" w14:textId="77777777" w:rsidR="00073F8F" w:rsidRPr="001B4A02" w:rsidRDefault="00073F8F" w:rsidP="00404AFD">
      <w:pPr>
        <w:keepNext/>
        <w:ind w:left="0" w:firstLine="0"/>
        <w:rPr>
          <w:del w:id="9847" w:author="AbbVie1" w:date="2025-05-13T10:11:00Z"/>
        </w:rPr>
      </w:pPr>
    </w:p>
    <w:p w14:paraId="26467D92" w14:textId="77777777" w:rsidR="00073F8F" w:rsidRPr="001B4A02" w:rsidRDefault="00000000" w:rsidP="00404AFD">
      <w:pPr>
        <w:keepNext/>
        <w:ind w:left="0" w:firstLine="0"/>
        <w:rPr>
          <w:del w:id="9848" w:author="AbbVie1" w:date="2025-05-13T10:11:00Z"/>
          <w:b/>
        </w:rPr>
      </w:pPr>
      <w:del w:id="9849" w:author="AbbVie1" w:date="2025-05-13T10:11:00Z">
        <w:r w:rsidRPr="001B4A02">
          <w:rPr>
            <w:b/>
          </w:rPr>
          <w:delText xml:space="preserve">Přečtěte si pozorně celou příbalovou informaci dříve, než </w:delText>
        </w:r>
        <w:r w:rsidR="0001183F" w:rsidRPr="001B4A02">
          <w:rPr>
            <w:b/>
          </w:rPr>
          <w:delText xml:space="preserve">Vaše dítě </w:delText>
        </w:r>
        <w:r w:rsidRPr="001B4A02">
          <w:rPr>
            <w:b/>
          </w:rPr>
          <w:delText xml:space="preserve">začne tento přípravek </w:delText>
        </w:r>
        <w:r w:rsidR="000F34C1" w:rsidRPr="001B4A02">
          <w:rPr>
            <w:b/>
          </w:rPr>
          <w:delText>po</w:delText>
        </w:r>
        <w:r w:rsidRPr="001B4A02">
          <w:rPr>
            <w:b/>
          </w:rPr>
          <w:delText>užívat</w:delText>
        </w:r>
        <w:r w:rsidR="0041401B" w:rsidRPr="001B4A02">
          <w:rPr>
            <w:b/>
          </w:rPr>
          <w:delText>, protože obsahuje pro Vás důležité údaje</w:delText>
        </w:r>
        <w:r w:rsidR="00932C6F" w:rsidRPr="001B4A02">
          <w:rPr>
            <w:b/>
          </w:rPr>
          <w:delText>.</w:delText>
        </w:r>
      </w:del>
    </w:p>
    <w:p w14:paraId="794C2200" w14:textId="77777777" w:rsidR="00073F8F" w:rsidRPr="001B4A02" w:rsidRDefault="00000000" w:rsidP="00EE5B9A">
      <w:pPr>
        <w:rPr>
          <w:del w:id="9850" w:author="AbbVie1" w:date="2025-05-13T10:11:00Z"/>
        </w:rPr>
      </w:pPr>
      <w:del w:id="9851" w:author="AbbVie1" w:date="2025-05-13T10:11:00Z">
        <w:r w:rsidRPr="001B4A02">
          <w:delText>-</w:delText>
        </w:r>
        <w:r w:rsidRPr="001B4A02">
          <w:tab/>
          <w:delText>Ponechte si příbalovou informaci pro případ, že si ji budete potřebovat přečíst znovu.</w:delText>
        </w:r>
      </w:del>
    </w:p>
    <w:p w14:paraId="78C163A4" w14:textId="77777777" w:rsidR="00073F8F" w:rsidRPr="001B4A02" w:rsidRDefault="00000000" w:rsidP="00EE5B9A">
      <w:pPr>
        <w:rPr>
          <w:del w:id="9852" w:author="AbbVie1" w:date="2025-05-13T10:11:00Z"/>
        </w:rPr>
      </w:pPr>
      <w:del w:id="9853" w:author="AbbVie1" w:date="2025-05-13T10:11:00Z">
        <w:r w:rsidRPr="001B4A02">
          <w:delText>-</w:delText>
        </w:r>
        <w:r w:rsidRPr="001B4A02">
          <w:tab/>
        </w:r>
        <w:r w:rsidR="00631DB5" w:rsidRPr="001B4A02">
          <w:delText>L</w:delText>
        </w:r>
        <w:r w:rsidRPr="001B4A02">
          <w:delText xml:space="preserve">ékař </w:delText>
        </w:r>
        <w:r w:rsidR="00921392" w:rsidRPr="001B4A02">
          <w:delText>V</w:delText>
        </w:r>
        <w:r w:rsidRPr="001B4A02">
          <w:delText>ám rovněž vyd</w:delText>
        </w:r>
        <w:r w:rsidR="00E12206" w:rsidRPr="001B4A02">
          <w:delText>á</w:delText>
        </w:r>
        <w:r w:rsidRPr="001B4A02">
          <w:delText xml:space="preserve"> informační kartičku, která obsahuje důležité bezpečnostní</w:delText>
        </w:r>
        <w:r w:rsidR="00932C6F" w:rsidRPr="001B4A02">
          <w:delText xml:space="preserve"> </w:delText>
        </w:r>
        <w:r w:rsidRPr="001B4A02">
          <w:delText xml:space="preserve">informace, se kterými musíte být seznámen(a) před zahájením </w:delText>
        </w:r>
        <w:r w:rsidR="009E16ED" w:rsidRPr="001B4A02">
          <w:delText xml:space="preserve">léčby </w:delText>
        </w:r>
        <w:r w:rsidRPr="001B4A02">
          <w:delText>přípravk</w:delText>
        </w:r>
        <w:r w:rsidR="009E16ED" w:rsidRPr="001B4A02">
          <w:delText>em</w:delText>
        </w:r>
        <w:r w:rsidRPr="001B4A02">
          <w:delText xml:space="preserve"> Humira </w:delText>
        </w:r>
        <w:r w:rsidR="0001183F" w:rsidRPr="001B4A02">
          <w:delText>u Vašeho dítěte</w:delText>
        </w:r>
        <w:r w:rsidR="002378E0">
          <w:delText xml:space="preserve"> a </w:delText>
        </w:r>
        <w:r w:rsidRPr="001B4A02">
          <w:delText>během léčby tímto lékem. Mějte tuto informační kartičku vždy při sobě</w:delText>
        </w:r>
        <w:r w:rsidR="0001183F" w:rsidRPr="001B4A02">
          <w:delText xml:space="preserve"> nebo</w:delText>
        </w:r>
        <w:r w:rsidR="0028371E" w:rsidRPr="001B4A02">
          <w:delText xml:space="preserve"> u </w:delText>
        </w:r>
        <w:r w:rsidR="0001183F" w:rsidRPr="001B4A02">
          <w:delText>Vašeho dítěte</w:delText>
        </w:r>
        <w:r w:rsidRPr="001B4A02">
          <w:delText>.</w:delText>
        </w:r>
      </w:del>
    </w:p>
    <w:p w14:paraId="2E187E58" w14:textId="77777777" w:rsidR="00073F8F" w:rsidRPr="001B4A02" w:rsidRDefault="00000000" w:rsidP="00EE5B9A">
      <w:pPr>
        <w:rPr>
          <w:del w:id="9854" w:author="AbbVie1" w:date="2025-05-13T10:11:00Z"/>
        </w:rPr>
      </w:pPr>
      <w:del w:id="9855" w:author="AbbVie1" w:date="2025-05-13T10:11:00Z">
        <w:r w:rsidRPr="001B4A02">
          <w:delText>-</w:delText>
        </w:r>
        <w:r w:rsidRPr="001B4A02">
          <w:tab/>
          <w:delText xml:space="preserve">Máte-li jakékoli další otázky, zeptejte se </w:delText>
        </w:r>
        <w:r w:rsidR="003D1E40" w:rsidRPr="001B4A02">
          <w:delText xml:space="preserve">svého </w:delText>
        </w:r>
        <w:r w:rsidRPr="001B4A02">
          <w:delText>lékaře nebo lékárníka.</w:delText>
        </w:r>
      </w:del>
    </w:p>
    <w:p w14:paraId="7CB3C1DE" w14:textId="77777777" w:rsidR="00073F8F" w:rsidRPr="001B4A02" w:rsidRDefault="00000000" w:rsidP="00EE5B9A">
      <w:pPr>
        <w:rPr>
          <w:del w:id="9856" w:author="AbbVie1" w:date="2025-05-13T10:11:00Z"/>
        </w:rPr>
      </w:pPr>
      <w:del w:id="9857" w:author="AbbVie1" w:date="2025-05-13T10:11:00Z">
        <w:r w:rsidRPr="001B4A02">
          <w:delText>-</w:delText>
        </w:r>
        <w:r w:rsidRPr="001B4A02">
          <w:tab/>
          <w:delText xml:space="preserve">Tento přípravek byl předepsán </w:delText>
        </w:r>
        <w:r w:rsidR="0041401B" w:rsidRPr="001B4A02">
          <w:delText xml:space="preserve">výhradně </w:delText>
        </w:r>
        <w:r w:rsidRPr="001B4A02">
          <w:delText>V</w:delText>
        </w:r>
        <w:r w:rsidR="0001183F" w:rsidRPr="001B4A02">
          <w:delText>ašemu dítěti</w:delText>
        </w:r>
        <w:r w:rsidRPr="001B4A02">
          <w:delText>. Nedávejte jej žádné další osobě. Mohl by jí ublížit</w:delText>
        </w:r>
        <w:r w:rsidR="00EC1112" w:rsidRPr="001B4A02">
          <w:delText>,</w:delText>
        </w:r>
        <w:r w:rsidR="002378E0">
          <w:delText xml:space="preserve"> a </w:delText>
        </w:r>
        <w:r w:rsidRPr="001B4A02">
          <w:delText xml:space="preserve">to i tehdy, má-li stejné </w:delText>
        </w:r>
        <w:r w:rsidR="0041401B" w:rsidRPr="001B4A02">
          <w:delText>známky onemocnění</w:delText>
        </w:r>
        <w:r w:rsidRPr="001B4A02">
          <w:delText xml:space="preserve"> jako V</w:delText>
        </w:r>
        <w:r w:rsidR="0001183F" w:rsidRPr="001B4A02">
          <w:delText>aše dítě</w:delText>
        </w:r>
        <w:r w:rsidRPr="001B4A02">
          <w:delText>.</w:delText>
        </w:r>
      </w:del>
    </w:p>
    <w:p w14:paraId="172161EE" w14:textId="77777777" w:rsidR="00073F8F" w:rsidRPr="001B4A02" w:rsidRDefault="00000000" w:rsidP="00EE5B9A">
      <w:pPr>
        <w:rPr>
          <w:del w:id="9858" w:author="AbbVie1" w:date="2025-05-13T10:11:00Z"/>
        </w:rPr>
      </w:pPr>
      <w:del w:id="9859" w:author="AbbVie1" w:date="2025-05-13T10:11:00Z">
        <w:r w:rsidRPr="001B4A02">
          <w:delText>-</w:delText>
        </w:r>
        <w:r w:rsidRPr="001B4A02">
          <w:tab/>
          <w:delText>Pokud se</w:delText>
        </w:r>
        <w:r w:rsidR="0028371E" w:rsidRPr="001B4A02">
          <w:delText xml:space="preserve"> u </w:delText>
        </w:r>
        <w:r w:rsidR="0041401B" w:rsidRPr="001B4A02">
          <w:delText xml:space="preserve">Vašeho dítěte vyskytne </w:delText>
        </w:r>
        <w:r w:rsidRPr="001B4A02">
          <w:delText>kterýkoli z nežádoucích účinků, sdělte to lékaři nebo lékárníkovi.</w:delText>
        </w:r>
        <w:r w:rsidR="0041401B" w:rsidRPr="001B4A02">
          <w:delText xml:space="preserve"> Stejně postupujte v případě jakýchkoli nežádoucích účinků, které nejsou uvedeny v této příbalové informaci</w:delText>
        </w:r>
        <w:r w:rsidR="00344A1F" w:rsidRPr="001B4A02">
          <w:delText>.</w:delText>
        </w:r>
        <w:r w:rsidR="00FB15D6" w:rsidRPr="001B4A02">
          <w:delText xml:space="preserve"> </w:delText>
        </w:r>
        <w:r w:rsidR="00344A1F" w:rsidRPr="001B4A02">
          <w:delText>V</w:delText>
        </w:r>
        <w:r w:rsidR="00FB15D6" w:rsidRPr="001B4A02">
          <w:delText>iz bod 4</w:delText>
        </w:r>
        <w:r w:rsidR="0041401B" w:rsidRPr="001B4A02">
          <w:delText>.</w:delText>
        </w:r>
      </w:del>
    </w:p>
    <w:p w14:paraId="76B699BC" w14:textId="77777777" w:rsidR="00073F8F" w:rsidRPr="001B4A02" w:rsidRDefault="00073F8F" w:rsidP="00ED48A3">
      <w:pPr>
        <w:numPr>
          <w:ilvl w:val="12"/>
          <w:numId w:val="0"/>
        </w:numPr>
        <w:ind w:right="-2"/>
        <w:jc w:val="both"/>
        <w:rPr>
          <w:del w:id="9860" w:author="AbbVie1" w:date="2025-05-13T10:11:00Z"/>
        </w:rPr>
      </w:pPr>
    </w:p>
    <w:p w14:paraId="5634BCED" w14:textId="77777777" w:rsidR="00073F8F" w:rsidRPr="001B4A02" w:rsidRDefault="00000000" w:rsidP="00404AFD">
      <w:pPr>
        <w:keepNext/>
        <w:numPr>
          <w:ilvl w:val="12"/>
          <w:numId w:val="0"/>
        </w:numPr>
        <w:rPr>
          <w:del w:id="9861" w:author="AbbVie1" w:date="2025-05-13T10:11:00Z"/>
        </w:rPr>
      </w:pPr>
      <w:del w:id="9862" w:author="AbbVie1" w:date="2025-05-13T10:11:00Z">
        <w:r w:rsidRPr="001B4A02">
          <w:rPr>
            <w:b/>
          </w:rPr>
          <w:delText>Co naleznete v</w:delText>
        </w:r>
        <w:r w:rsidR="000928E6" w:rsidRPr="001B4A02">
          <w:rPr>
            <w:b/>
          </w:rPr>
          <w:delText> </w:delText>
        </w:r>
        <w:r w:rsidRPr="001B4A02">
          <w:rPr>
            <w:b/>
          </w:rPr>
          <w:delText>této příbalové informaci</w:delText>
        </w:r>
      </w:del>
    </w:p>
    <w:p w14:paraId="4040C536" w14:textId="77777777" w:rsidR="00073F8F" w:rsidRPr="001B4A02" w:rsidRDefault="00000000" w:rsidP="00EE5B9A">
      <w:pPr>
        <w:rPr>
          <w:del w:id="9863" w:author="AbbVie1" w:date="2025-05-13T10:11:00Z"/>
        </w:rPr>
      </w:pPr>
      <w:del w:id="9864" w:author="AbbVie1" w:date="2025-05-13T10:11:00Z">
        <w:r w:rsidRPr="001B4A02">
          <w:delText>1.</w:delText>
        </w:r>
        <w:r w:rsidRPr="001B4A02">
          <w:tab/>
          <w:delText xml:space="preserve">Co je </w:delText>
        </w:r>
        <w:r w:rsidR="00C11184" w:rsidRPr="001B4A02">
          <w:delText xml:space="preserve">přípravek </w:delText>
        </w:r>
        <w:r w:rsidRPr="001B4A02">
          <w:delText>Humira</w:delText>
        </w:r>
        <w:r w:rsidR="002378E0">
          <w:delText xml:space="preserve"> a </w:delText>
        </w:r>
        <w:r w:rsidRPr="001B4A02">
          <w:delText>k čemu se používá</w:delText>
        </w:r>
      </w:del>
    </w:p>
    <w:p w14:paraId="0FDA7ECA" w14:textId="77777777" w:rsidR="00073F8F" w:rsidRPr="001B4A02" w:rsidRDefault="00000000" w:rsidP="00EE5B9A">
      <w:pPr>
        <w:rPr>
          <w:del w:id="9865" w:author="AbbVie1" w:date="2025-05-13T10:11:00Z"/>
        </w:rPr>
      </w:pPr>
      <w:del w:id="9866" w:author="AbbVie1" w:date="2025-05-13T10:11:00Z">
        <w:r w:rsidRPr="001B4A02">
          <w:delText>2.</w:delText>
        </w:r>
        <w:r w:rsidRPr="001B4A02">
          <w:tab/>
          <w:delText xml:space="preserve">Čemu musíte věnovat pozornost, než </w:delText>
        </w:r>
        <w:r w:rsidR="0001183F" w:rsidRPr="001B4A02">
          <w:delText xml:space="preserve">Vaše dítě </w:delText>
        </w:r>
        <w:r w:rsidRPr="001B4A02">
          <w:delText xml:space="preserve">začne přípravek Humira </w:delText>
        </w:r>
        <w:r w:rsidR="00105485" w:rsidRPr="001B4A02">
          <w:delText>po</w:delText>
        </w:r>
        <w:r w:rsidR="00932C6F" w:rsidRPr="001B4A02">
          <w:delText>užívat</w:delText>
        </w:r>
      </w:del>
    </w:p>
    <w:p w14:paraId="4C3EBA83" w14:textId="77777777" w:rsidR="00073F8F" w:rsidRPr="001B4A02" w:rsidRDefault="00000000" w:rsidP="00EE5B9A">
      <w:pPr>
        <w:rPr>
          <w:del w:id="9867" w:author="AbbVie1" w:date="2025-05-13T10:11:00Z"/>
        </w:rPr>
      </w:pPr>
      <w:del w:id="9868" w:author="AbbVie1" w:date="2025-05-13T10:11:00Z">
        <w:r w:rsidRPr="001B4A02">
          <w:delText>3.</w:delText>
        </w:r>
        <w:r w:rsidRPr="001B4A02">
          <w:tab/>
          <w:delText xml:space="preserve">Jak se </w:delText>
        </w:r>
        <w:r w:rsidR="00264669" w:rsidRPr="001B4A02">
          <w:delText xml:space="preserve">přípravek </w:delText>
        </w:r>
        <w:r w:rsidRPr="001B4A02">
          <w:delText xml:space="preserve">Humira </w:delText>
        </w:r>
        <w:r w:rsidR="00121AA4" w:rsidRPr="001B4A02">
          <w:delText>po</w:delText>
        </w:r>
        <w:r w:rsidRPr="001B4A02">
          <w:delText>užívá</w:delText>
        </w:r>
      </w:del>
    </w:p>
    <w:p w14:paraId="1D861719" w14:textId="77777777" w:rsidR="00073F8F" w:rsidRPr="001B4A02" w:rsidRDefault="00000000" w:rsidP="00EE5B9A">
      <w:pPr>
        <w:rPr>
          <w:del w:id="9869" w:author="AbbVie1" w:date="2025-05-13T10:11:00Z"/>
        </w:rPr>
      </w:pPr>
      <w:del w:id="9870" w:author="AbbVie1" w:date="2025-05-13T10:11:00Z">
        <w:r w:rsidRPr="001B4A02">
          <w:delText>4.</w:delText>
        </w:r>
        <w:r w:rsidRPr="001B4A02">
          <w:tab/>
          <w:delText>Možné nežádoucí účinky</w:delText>
        </w:r>
      </w:del>
    </w:p>
    <w:p w14:paraId="3C30D5F3" w14:textId="77777777" w:rsidR="00073F8F" w:rsidRPr="001B4A02" w:rsidRDefault="00000000" w:rsidP="00EE5B9A">
      <w:pPr>
        <w:rPr>
          <w:del w:id="9871" w:author="AbbVie1" w:date="2025-05-13T10:11:00Z"/>
        </w:rPr>
      </w:pPr>
      <w:del w:id="9872" w:author="AbbVie1" w:date="2025-05-13T10:11:00Z">
        <w:r w:rsidRPr="001B4A02">
          <w:delText>5</w:delText>
        </w:r>
        <w:r w:rsidR="000E5CFA" w:rsidRPr="001B4A02">
          <w:delText>.</w:delText>
        </w:r>
        <w:r w:rsidRPr="001B4A02">
          <w:tab/>
          <w:delText>Jak přípravek Humira uchovávat</w:delText>
        </w:r>
      </w:del>
    </w:p>
    <w:p w14:paraId="388CAA23" w14:textId="77777777" w:rsidR="00073F8F" w:rsidRPr="001B4A02" w:rsidRDefault="00000000" w:rsidP="00EE5B9A">
      <w:pPr>
        <w:rPr>
          <w:del w:id="9873" w:author="AbbVie1" w:date="2025-05-13T10:11:00Z"/>
        </w:rPr>
      </w:pPr>
      <w:del w:id="9874" w:author="AbbVie1" w:date="2025-05-13T10:11:00Z">
        <w:r w:rsidRPr="001B4A02">
          <w:delText>6.</w:delText>
        </w:r>
        <w:r w:rsidRPr="001B4A02">
          <w:tab/>
        </w:r>
        <w:r w:rsidR="0041401B" w:rsidRPr="001B4A02">
          <w:delText>Obsah balení</w:delText>
        </w:r>
        <w:r w:rsidR="002378E0">
          <w:delText xml:space="preserve"> a </w:delText>
        </w:r>
        <w:r w:rsidR="0041401B" w:rsidRPr="001B4A02">
          <w:delText>d</w:delText>
        </w:r>
        <w:r w:rsidRPr="001B4A02">
          <w:delText>alší informace</w:delText>
        </w:r>
      </w:del>
    </w:p>
    <w:p w14:paraId="0767D8E9" w14:textId="77777777" w:rsidR="00073F8F" w:rsidRPr="001B4A02" w:rsidRDefault="00073F8F" w:rsidP="00ED48A3">
      <w:pPr>
        <w:ind w:left="0" w:firstLine="0"/>
        <w:rPr>
          <w:del w:id="9875" w:author="AbbVie1" w:date="2025-05-13T10:11:00Z"/>
        </w:rPr>
      </w:pPr>
    </w:p>
    <w:p w14:paraId="35F90E1B" w14:textId="77777777" w:rsidR="00073F8F" w:rsidRPr="001B4A02" w:rsidRDefault="00073F8F" w:rsidP="00ED48A3">
      <w:pPr>
        <w:ind w:left="0" w:firstLine="0"/>
        <w:rPr>
          <w:del w:id="9876" w:author="AbbVie1" w:date="2025-05-13T10:11:00Z"/>
        </w:rPr>
      </w:pPr>
    </w:p>
    <w:p w14:paraId="2E9EE2C6" w14:textId="77777777" w:rsidR="00073F8F" w:rsidRPr="001B4A02" w:rsidRDefault="00000000" w:rsidP="00404AFD">
      <w:pPr>
        <w:keepNext/>
        <w:numPr>
          <w:ilvl w:val="12"/>
          <w:numId w:val="0"/>
        </w:numPr>
        <w:ind w:left="567" w:hanging="567"/>
        <w:outlineLvl w:val="1"/>
        <w:rPr>
          <w:del w:id="9877" w:author="AbbVie1" w:date="2025-05-13T10:11:00Z"/>
          <w:b/>
        </w:rPr>
      </w:pPr>
      <w:del w:id="9878" w:author="AbbVie1" w:date="2025-05-13T10:11:00Z">
        <w:r w:rsidRPr="001B4A02">
          <w:rPr>
            <w:b/>
          </w:rPr>
          <w:delText>1.</w:delText>
        </w:r>
        <w:r w:rsidRPr="001B4A02">
          <w:rPr>
            <w:b/>
          </w:rPr>
          <w:tab/>
          <w:delText>C</w:delText>
        </w:r>
        <w:r w:rsidR="00DD47EA" w:rsidRPr="001B4A02">
          <w:rPr>
            <w:b/>
          </w:rPr>
          <w:delText>o je přípravek Humira</w:delText>
        </w:r>
        <w:r w:rsidR="002378E0">
          <w:rPr>
            <w:b/>
          </w:rPr>
          <w:delText xml:space="preserve"> a </w:delText>
        </w:r>
        <w:r w:rsidR="00DD47EA" w:rsidRPr="001B4A02">
          <w:rPr>
            <w:b/>
          </w:rPr>
          <w:delText>k čemu se používá</w:delText>
        </w:r>
      </w:del>
    </w:p>
    <w:p w14:paraId="206E8BEA" w14:textId="77777777" w:rsidR="00073F8F" w:rsidRPr="001B4A02" w:rsidRDefault="00073F8F" w:rsidP="00404AFD">
      <w:pPr>
        <w:keepNext/>
        <w:ind w:left="0" w:firstLine="0"/>
        <w:rPr>
          <w:del w:id="9879" w:author="AbbVie1" w:date="2025-05-13T10:11:00Z"/>
        </w:rPr>
      </w:pPr>
    </w:p>
    <w:p w14:paraId="4BFA5C82" w14:textId="77777777" w:rsidR="00191073" w:rsidRPr="001B4A02" w:rsidRDefault="00000000" w:rsidP="00ED48A3">
      <w:pPr>
        <w:ind w:left="0" w:firstLine="0"/>
        <w:rPr>
          <w:del w:id="9880" w:author="AbbVie1" w:date="2025-05-13T10:11:00Z"/>
        </w:rPr>
      </w:pPr>
      <w:del w:id="9881" w:author="AbbVie1" w:date="2025-05-13T10:11:00Z">
        <w:r w:rsidRPr="001B4A02">
          <w:delText>Příp</w:delText>
        </w:r>
        <w:r w:rsidR="00E91CB6" w:rsidRPr="001B4A02">
          <w:delText>r</w:delText>
        </w:r>
        <w:r w:rsidRPr="001B4A02">
          <w:delText>avek Humira obsahuje léčivou látku adalimumab.</w:delText>
        </w:r>
      </w:del>
    </w:p>
    <w:p w14:paraId="5EBBD286" w14:textId="77777777" w:rsidR="00DD47EA" w:rsidRPr="001B4A02" w:rsidRDefault="00DD47EA" w:rsidP="00ED48A3">
      <w:pPr>
        <w:ind w:left="0" w:firstLine="0"/>
        <w:rPr>
          <w:del w:id="9882" w:author="AbbVie1" w:date="2025-05-13T10:11:00Z"/>
        </w:rPr>
      </w:pPr>
    </w:p>
    <w:p w14:paraId="66883CB6" w14:textId="77777777" w:rsidR="00191073" w:rsidRPr="001B4A02" w:rsidRDefault="00000000" w:rsidP="00404AFD">
      <w:pPr>
        <w:keepNext/>
        <w:ind w:left="0" w:firstLine="0"/>
        <w:rPr>
          <w:del w:id="9883" w:author="AbbVie1" w:date="2025-05-13T10:11:00Z"/>
        </w:rPr>
      </w:pPr>
      <w:del w:id="9884" w:author="AbbVie1" w:date="2025-05-13T10:11:00Z">
        <w:r w:rsidRPr="001B4A02">
          <w:delText>Přípravek Humira je určen k léčbě zánětlivých onemocnění popsaných níže:</w:delText>
        </w:r>
      </w:del>
    </w:p>
    <w:p w14:paraId="138E10C0" w14:textId="77777777" w:rsidR="00191073" w:rsidRPr="001B4A02" w:rsidRDefault="00000000" w:rsidP="00191073">
      <w:pPr>
        <w:numPr>
          <w:ilvl w:val="0"/>
          <w:numId w:val="247"/>
        </w:numPr>
        <w:rPr>
          <w:del w:id="9885" w:author="AbbVie1" w:date="2025-05-13T10:11:00Z"/>
        </w:rPr>
      </w:pPr>
      <w:del w:id="9886" w:author="AbbVie1" w:date="2025-05-13T10:11:00Z">
        <w:r w:rsidRPr="001B4A02">
          <w:delText>polyartikulární juvenilní idiopatická artritida</w:delText>
        </w:r>
      </w:del>
    </w:p>
    <w:p w14:paraId="4C25482D" w14:textId="77777777" w:rsidR="00191073" w:rsidRPr="001B4A02" w:rsidRDefault="00000000" w:rsidP="00191073">
      <w:pPr>
        <w:numPr>
          <w:ilvl w:val="0"/>
          <w:numId w:val="247"/>
        </w:numPr>
        <w:rPr>
          <w:del w:id="9887" w:author="AbbVie1" w:date="2025-05-13T10:11:00Z"/>
        </w:rPr>
      </w:pPr>
      <w:del w:id="9888" w:author="AbbVie1" w:date="2025-05-13T10:11:00Z">
        <w:r w:rsidRPr="001B4A02">
          <w:delText>entezopatická artritida</w:delText>
        </w:r>
      </w:del>
    </w:p>
    <w:p w14:paraId="4D4EC98D" w14:textId="77777777" w:rsidR="00191073" w:rsidRPr="001B4A02" w:rsidRDefault="00000000" w:rsidP="00191073">
      <w:pPr>
        <w:numPr>
          <w:ilvl w:val="0"/>
          <w:numId w:val="247"/>
        </w:numPr>
        <w:rPr>
          <w:del w:id="9889" w:author="AbbVie1" w:date="2025-05-13T10:11:00Z"/>
        </w:rPr>
      </w:pPr>
      <w:del w:id="9890" w:author="AbbVie1" w:date="2025-05-13T10:11:00Z">
        <w:r w:rsidRPr="001B4A02">
          <w:delText>ložisková psoriáza u</w:delText>
        </w:r>
        <w:r w:rsidR="00A02FA4" w:rsidRPr="001B4A02">
          <w:delText> </w:delText>
        </w:r>
        <w:r w:rsidRPr="001B4A02">
          <w:delText>dětí</w:delText>
        </w:r>
      </w:del>
    </w:p>
    <w:p w14:paraId="629712F1" w14:textId="77777777" w:rsidR="00191073" w:rsidRPr="001B4A02" w:rsidRDefault="00000000" w:rsidP="007C5EA6">
      <w:pPr>
        <w:numPr>
          <w:ilvl w:val="0"/>
          <w:numId w:val="247"/>
        </w:numPr>
        <w:rPr>
          <w:del w:id="9891" w:author="AbbVie1" w:date="2025-05-13T10:11:00Z"/>
        </w:rPr>
      </w:pPr>
      <w:del w:id="9892" w:author="AbbVie1" w:date="2025-05-13T10:11:00Z">
        <w:r w:rsidRPr="001B4A02">
          <w:delText>h</w:delText>
        </w:r>
        <w:r w:rsidR="009575E9" w:rsidRPr="001B4A02">
          <w:delText>idradenitis suppurativa</w:delText>
        </w:r>
        <w:r w:rsidR="0028371E" w:rsidRPr="001B4A02">
          <w:delText xml:space="preserve"> u </w:delText>
        </w:r>
        <w:r w:rsidR="009575E9" w:rsidRPr="001B4A02">
          <w:delText>dospívajících</w:delText>
        </w:r>
      </w:del>
    </w:p>
    <w:p w14:paraId="58BE96E5" w14:textId="77777777" w:rsidR="00191073" w:rsidRDefault="00000000" w:rsidP="00191073">
      <w:pPr>
        <w:numPr>
          <w:ilvl w:val="0"/>
          <w:numId w:val="247"/>
        </w:numPr>
        <w:rPr>
          <w:del w:id="9893" w:author="AbbVie1" w:date="2025-05-13T10:11:00Z"/>
        </w:rPr>
      </w:pPr>
      <w:del w:id="9894" w:author="AbbVie1" w:date="2025-05-13T10:11:00Z">
        <w:r w:rsidRPr="001B4A02">
          <w:delText>Crohnova choroba u</w:delText>
        </w:r>
        <w:r w:rsidR="00A02FA4" w:rsidRPr="001B4A02">
          <w:delText> </w:delText>
        </w:r>
        <w:r w:rsidRPr="001B4A02">
          <w:delText>dětí</w:delText>
        </w:r>
      </w:del>
    </w:p>
    <w:p w14:paraId="22AFA5E3" w14:textId="77777777" w:rsidR="00A909D3" w:rsidRPr="001B4A02" w:rsidRDefault="00000000" w:rsidP="00191073">
      <w:pPr>
        <w:numPr>
          <w:ilvl w:val="0"/>
          <w:numId w:val="247"/>
        </w:numPr>
        <w:rPr>
          <w:del w:id="9895" w:author="AbbVie1" w:date="2025-05-13T10:11:00Z"/>
        </w:rPr>
      </w:pPr>
      <w:del w:id="9896" w:author="AbbVie1" w:date="2025-05-13T10:11:00Z">
        <w:r>
          <w:delText>ulcerózní kolitida u dětí</w:delText>
        </w:r>
      </w:del>
    </w:p>
    <w:p w14:paraId="477BAF02" w14:textId="77777777" w:rsidR="00191073" w:rsidRPr="001B4A02" w:rsidRDefault="00000000" w:rsidP="00191073">
      <w:pPr>
        <w:numPr>
          <w:ilvl w:val="0"/>
          <w:numId w:val="247"/>
        </w:numPr>
        <w:rPr>
          <w:del w:id="9897" w:author="AbbVie1" w:date="2025-05-13T10:11:00Z"/>
        </w:rPr>
      </w:pPr>
      <w:del w:id="9898" w:author="AbbVie1" w:date="2025-05-13T10:11:00Z">
        <w:r w:rsidRPr="001B4A02">
          <w:delText>uveitida u</w:delText>
        </w:r>
        <w:r w:rsidR="00A02FA4" w:rsidRPr="001B4A02">
          <w:delText> </w:delText>
        </w:r>
        <w:r w:rsidRPr="001B4A02">
          <w:delText>dětí</w:delText>
        </w:r>
      </w:del>
    </w:p>
    <w:p w14:paraId="6EF5CCBF" w14:textId="77777777" w:rsidR="00191073" w:rsidRPr="001B4A02" w:rsidRDefault="00191073" w:rsidP="002857B1">
      <w:pPr>
        <w:ind w:left="0" w:firstLine="0"/>
        <w:rPr>
          <w:del w:id="9899" w:author="AbbVie1" w:date="2025-05-13T10:11:00Z"/>
        </w:rPr>
      </w:pPr>
    </w:p>
    <w:p w14:paraId="66BCA03D" w14:textId="77777777" w:rsidR="00191073" w:rsidRPr="001B4A02" w:rsidRDefault="00000000" w:rsidP="00191073">
      <w:pPr>
        <w:ind w:left="0" w:firstLine="0"/>
        <w:rPr>
          <w:del w:id="9900" w:author="AbbVie1" w:date="2025-05-13T10:11:00Z"/>
        </w:rPr>
      </w:pPr>
      <w:del w:id="9901" w:author="AbbVie1" w:date="2025-05-13T10:11:00Z">
        <w:r w:rsidRPr="001B4A02">
          <w:delText>Léčivá látka v přípravku Humira</w:delText>
        </w:r>
        <w:r w:rsidR="00F345EC" w:rsidRPr="001B4A02">
          <w:delText>,</w:delText>
        </w:r>
        <w:r w:rsidRPr="001B4A02">
          <w:delText xml:space="preserve"> adalimumab, je lidská monoklonální protilátka. Monoklonální protilátky jsou bílkoviny, které se váží na specifický cíl. </w:delText>
        </w:r>
      </w:del>
    </w:p>
    <w:p w14:paraId="6D5C30E1" w14:textId="77777777" w:rsidR="00191073" w:rsidRPr="001B4A02" w:rsidRDefault="00191073" w:rsidP="00191073">
      <w:pPr>
        <w:ind w:left="0" w:firstLine="0"/>
        <w:rPr>
          <w:del w:id="9902" w:author="AbbVie1" w:date="2025-05-13T10:11:00Z"/>
        </w:rPr>
      </w:pPr>
    </w:p>
    <w:p w14:paraId="04CC1716" w14:textId="77777777" w:rsidR="00073F8F" w:rsidRPr="001B4A02" w:rsidRDefault="00000000" w:rsidP="00191073">
      <w:pPr>
        <w:ind w:left="0" w:firstLine="0"/>
        <w:rPr>
          <w:del w:id="9903" w:author="AbbVie1" w:date="2025-05-13T10:11:00Z"/>
        </w:rPr>
      </w:pPr>
      <w:del w:id="9904" w:author="AbbVie1" w:date="2025-05-13T10:11:00Z">
        <w:r w:rsidRPr="001B4A02">
          <w:delText xml:space="preserve">Cíl pro adalimumab je bílkovina označená jako tumor nekrotizující faktor </w:delText>
        </w:r>
        <w:r w:rsidR="00304E9A" w:rsidRPr="001B4A02">
          <w:delText>(</w:delText>
        </w:r>
        <w:r w:rsidRPr="001B4A02">
          <w:delText>TNFα</w:delText>
        </w:r>
        <w:r w:rsidR="00304E9A" w:rsidRPr="001B4A02">
          <w:delText>)</w:delText>
        </w:r>
        <w:r w:rsidRPr="001B4A02">
          <w:delText>, která</w:delText>
        </w:r>
        <w:r w:rsidR="0054630E" w:rsidRPr="001B4A02">
          <w:delText xml:space="preserve"> </w:delText>
        </w:r>
        <w:r w:rsidR="0054630E" w:rsidRPr="001B4A02">
          <w:rPr>
            <w:color w:val="000000"/>
            <w:szCs w:val="22"/>
          </w:rPr>
          <w:delText>působí v imunitním (obranném) systému</w:delText>
        </w:r>
        <w:r w:rsidR="002378E0">
          <w:rPr>
            <w:color w:val="000000"/>
            <w:szCs w:val="22"/>
          </w:rPr>
          <w:delText xml:space="preserve"> a </w:delText>
        </w:r>
        <w:r w:rsidRPr="001B4A02">
          <w:delText xml:space="preserve">je </w:delText>
        </w:r>
        <w:r w:rsidR="00827431" w:rsidRPr="001B4A02">
          <w:delText xml:space="preserve">přítomna </w:delText>
        </w:r>
        <w:r w:rsidRPr="001B4A02">
          <w:delText>ve zvýšen</w:delText>
        </w:r>
        <w:r w:rsidR="0054630E" w:rsidRPr="001B4A02">
          <w:delText xml:space="preserve">ých hladinách </w:delText>
        </w:r>
        <w:r w:rsidR="0054630E" w:rsidRPr="001B4A02">
          <w:rPr>
            <w:color w:val="000000"/>
            <w:szCs w:val="22"/>
          </w:rPr>
          <w:delText>při zánětlivých onemocněních uvedených výše. Navázáním na TNFα snižuje přípravek Humira zánětlivý proces u</w:delText>
        </w:r>
        <w:r w:rsidR="00A02FA4" w:rsidRPr="001B4A02">
          <w:rPr>
            <w:color w:val="000000"/>
            <w:szCs w:val="22"/>
          </w:rPr>
          <w:delText> </w:delText>
        </w:r>
        <w:r w:rsidR="0054630E" w:rsidRPr="001B4A02">
          <w:rPr>
            <w:color w:val="000000"/>
            <w:szCs w:val="22"/>
          </w:rPr>
          <w:delText>těchto onemocnění</w:delText>
        </w:r>
        <w:r w:rsidR="0068316D" w:rsidRPr="001B4A02">
          <w:delText>.</w:delText>
        </w:r>
      </w:del>
    </w:p>
    <w:p w14:paraId="249E5779" w14:textId="77777777" w:rsidR="00073F8F" w:rsidRPr="001B4A02" w:rsidRDefault="00073F8F" w:rsidP="00ED48A3">
      <w:pPr>
        <w:ind w:left="0" w:firstLine="0"/>
        <w:rPr>
          <w:del w:id="9905" w:author="AbbVie1" w:date="2025-05-13T10:11:00Z"/>
        </w:rPr>
      </w:pPr>
    </w:p>
    <w:p w14:paraId="698E8470" w14:textId="77777777" w:rsidR="00073F8F" w:rsidRPr="001B4A02" w:rsidRDefault="00000000" w:rsidP="00404AFD">
      <w:pPr>
        <w:pStyle w:val="EMEAHeadingUnderline"/>
        <w:keepNext/>
        <w:tabs>
          <w:tab w:val="clear" w:pos="562"/>
        </w:tabs>
        <w:suppressAutoHyphens w:val="0"/>
        <w:spacing w:beforeLines="0" w:before="0" w:afterLines="0" w:after="0"/>
        <w:rPr>
          <w:del w:id="9906" w:author="AbbVie1" w:date="2025-05-13T10:11:00Z"/>
          <w:lang w:val="cs-CZ"/>
        </w:rPr>
      </w:pPr>
      <w:del w:id="9907" w:author="AbbVie1" w:date="2025-05-13T10:11:00Z">
        <w:r w:rsidRPr="001B4A02">
          <w:rPr>
            <w:lang w:val="cs-CZ"/>
          </w:rPr>
          <w:delText>Polyartikulární juvenilní idiopatická artritida</w:delText>
        </w:r>
        <w:r w:rsidR="002378E0">
          <w:rPr>
            <w:lang w:val="cs-CZ"/>
          </w:rPr>
          <w:delText xml:space="preserve"> a </w:delText>
        </w:r>
        <w:r w:rsidR="00D81470" w:rsidRPr="001B4A02">
          <w:rPr>
            <w:lang w:val="cs-CZ"/>
          </w:rPr>
          <w:delText>ente</w:delText>
        </w:r>
        <w:r w:rsidR="00CA72CE" w:rsidRPr="001B4A02">
          <w:rPr>
            <w:lang w:val="cs-CZ"/>
          </w:rPr>
          <w:delText>zopatická artritida</w:delText>
        </w:r>
      </w:del>
    </w:p>
    <w:p w14:paraId="1B7BA178" w14:textId="77777777" w:rsidR="00073F8F" w:rsidRPr="001B4A02" w:rsidRDefault="00073F8F" w:rsidP="00404AFD">
      <w:pPr>
        <w:keepNext/>
        <w:ind w:left="0" w:firstLine="0"/>
        <w:rPr>
          <w:del w:id="9908" w:author="AbbVie1" w:date="2025-05-13T10:11:00Z"/>
          <w:u w:val="single"/>
        </w:rPr>
      </w:pPr>
    </w:p>
    <w:p w14:paraId="70EE37D5" w14:textId="77777777" w:rsidR="0068316D" w:rsidRPr="001B4A02" w:rsidRDefault="00000000" w:rsidP="00ED48A3">
      <w:pPr>
        <w:pStyle w:val="EMEAHeadingUnderline"/>
        <w:tabs>
          <w:tab w:val="clear" w:pos="562"/>
        </w:tabs>
        <w:suppressAutoHyphens w:val="0"/>
        <w:spacing w:beforeLines="0" w:before="0" w:afterLines="0" w:after="0"/>
        <w:rPr>
          <w:del w:id="9909" w:author="AbbVie1" w:date="2025-05-13T10:11:00Z"/>
          <w:u w:val="none"/>
          <w:lang w:val="cs-CZ"/>
        </w:rPr>
      </w:pPr>
      <w:del w:id="9910" w:author="AbbVie1" w:date="2025-05-13T10:11:00Z">
        <w:r w:rsidRPr="001B4A02">
          <w:rPr>
            <w:u w:val="none"/>
            <w:lang w:val="cs-CZ"/>
          </w:rPr>
          <w:delText>Polyartikulární juvenilní idiopatická artritida</w:delText>
        </w:r>
        <w:r w:rsidR="002378E0">
          <w:rPr>
            <w:u w:val="none"/>
            <w:lang w:val="cs-CZ"/>
          </w:rPr>
          <w:delText xml:space="preserve"> a </w:delText>
        </w:r>
        <w:r w:rsidRPr="001B4A02">
          <w:rPr>
            <w:u w:val="none"/>
            <w:lang w:val="cs-CZ"/>
          </w:rPr>
          <w:delText>entezopatická artritida jsou zánětlivá onemocnění.</w:delText>
        </w:r>
      </w:del>
    </w:p>
    <w:p w14:paraId="7DE0CBE7" w14:textId="77777777" w:rsidR="0068316D" w:rsidRPr="001B4A02" w:rsidRDefault="0068316D" w:rsidP="00ED48A3">
      <w:pPr>
        <w:ind w:left="0" w:firstLine="0"/>
        <w:rPr>
          <w:del w:id="9911" w:author="AbbVie1" w:date="2025-05-13T10:11:00Z"/>
          <w:u w:val="single"/>
        </w:rPr>
      </w:pPr>
    </w:p>
    <w:p w14:paraId="33FB61EB" w14:textId="77777777" w:rsidR="00073F8F" w:rsidRPr="001B4A02" w:rsidRDefault="00000000" w:rsidP="00ED48A3">
      <w:pPr>
        <w:ind w:left="0" w:firstLine="0"/>
        <w:rPr>
          <w:del w:id="9912" w:author="AbbVie1" w:date="2025-05-13T10:11:00Z"/>
        </w:rPr>
      </w:pPr>
      <w:del w:id="9913" w:author="AbbVie1" w:date="2025-05-13T10:11:00Z">
        <w:r w:rsidRPr="001B4A02">
          <w:delText>Přípravek Humira se používá k léčbě polyartikulární juve</w:delText>
        </w:r>
        <w:r w:rsidR="003516D6" w:rsidRPr="001B4A02">
          <w:delText>ni</w:delText>
        </w:r>
        <w:r w:rsidRPr="001B4A02">
          <w:delText>lní idiopatické artritidy</w:delText>
        </w:r>
        <w:r w:rsidR="002378E0">
          <w:delText xml:space="preserve"> a </w:delText>
        </w:r>
        <w:r w:rsidR="0098168D" w:rsidRPr="001B4A02">
          <w:delText>ente</w:delText>
        </w:r>
        <w:r w:rsidR="00CA72CE" w:rsidRPr="001B4A02">
          <w:delText>zopatické artritidy</w:delText>
        </w:r>
        <w:r w:rsidRPr="001B4A02">
          <w:delText xml:space="preserve">. Zpočátku </w:delText>
        </w:r>
        <w:r w:rsidR="007027B5">
          <w:delText>může Vaše dítě</w:delText>
        </w:r>
        <w:r w:rsidR="00C079B4" w:rsidRPr="001B4A02">
          <w:delText xml:space="preserve"> </w:delText>
        </w:r>
        <w:r w:rsidRPr="001B4A02">
          <w:delText>užívat jiné chorobu modifikující léky, jako je methotrexát. Pokud</w:delText>
        </w:r>
        <w:r w:rsidR="0028371E" w:rsidRPr="001B4A02">
          <w:delText xml:space="preserve"> </w:delText>
        </w:r>
        <w:r w:rsidRPr="001B4A02">
          <w:delText xml:space="preserve">tyto léky </w:delText>
        </w:r>
        <w:r w:rsidR="00BD1419" w:rsidRPr="001B4A02">
          <w:delText>dostatečně neúčinkují</w:delText>
        </w:r>
        <w:r w:rsidRPr="001B4A02">
          <w:delText xml:space="preserve">, </w:delText>
        </w:r>
        <w:r w:rsidR="007C69ED" w:rsidRPr="001B4A02">
          <w:delText xml:space="preserve">bude </w:delText>
        </w:r>
        <w:r w:rsidR="007027B5">
          <w:delText>mu</w:delText>
        </w:r>
        <w:r w:rsidR="007027B5" w:rsidRPr="001B4A02">
          <w:delText xml:space="preserve"> </w:delText>
        </w:r>
        <w:r w:rsidR="000E3D89" w:rsidRPr="001B4A02">
          <w:delText>k</w:delText>
        </w:r>
        <w:r w:rsidR="00F80B20" w:rsidRPr="001B4A02">
          <w:delText> </w:delText>
        </w:r>
        <w:r w:rsidR="00BD1419" w:rsidRPr="001B4A02">
          <w:delText>léčb</w:delText>
        </w:r>
        <w:r w:rsidR="000E3D89" w:rsidRPr="001B4A02">
          <w:delText>ě</w:delText>
        </w:r>
        <w:r w:rsidR="00BD1419" w:rsidRPr="001B4A02">
          <w:delText xml:space="preserve"> juvenilní idiopatické artritidy nebo entezopatické artritidy</w:delText>
        </w:r>
        <w:r w:rsidR="000E3D89" w:rsidRPr="001B4A02">
          <w:delText xml:space="preserve"> </w:delText>
        </w:r>
        <w:r w:rsidR="007C69ED" w:rsidRPr="001B4A02">
          <w:delText xml:space="preserve">podán </w:delText>
        </w:r>
        <w:r w:rsidR="000E3D89" w:rsidRPr="001B4A02">
          <w:delText>přípravek Humira</w:delText>
        </w:r>
        <w:r w:rsidRPr="001B4A02">
          <w:delText>.</w:delText>
        </w:r>
      </w:del>
    </w:p>
    <w:p w14:paraId="4DE837BB" w14:textId="77777777" w:rsidR="00073F8F" w:rsidRPr="001B4A02" w:rsidRDefault="00073F8F" w:rsidP="00ED48A3">
      <w:pPr>
        <w:ind w:left="0" w:firstLine="0"/>
        <w:rPr>
          <w:del w:id="9914" w:author="AbbVie1" w:date="2025-05-13T10:11:00Z"/>
        </w:rPr>
      </w:pPr>
    </w:p>
    <w:p w14:paraId="60AEE616" w14:textId="77777777" w:rsidR="0068316D" w:rsidRPr="001B4A02" w:rsidRDefault="00000000" w:rsidP="007E416D">
      <w:pPr>
        <w:keepNext/>
        <w:ind w:left="0" w:firstLine="0"/>
        <w:rPr>
          <w:del w:id="9915" w:author="AbbVie1" w:date="2025-05-13T10:11:00Z"/>
          <w:u w:val="single"/>
        </w:rPr>
      </w:pPr>
      <w:del w:id="9916" w:author="AbbVie1" w:date="2025-05-13T10:11:00Z">
        <w:r w:rsidRPr="001B4A02">
          <w:rPr>
            <w:u w:val="single"/>
          </w:rPr>
          <w:delText>Ložisková psoriáza</w:delText>
        </w:r>
        <w:r w:rsidR="0028371E" w:rsidRPr="001B4A02">
          <w:rPr>
            <w:u w:val="single"/>
          </w:rPr>
          <w:delText xml:space="preserve"> u </w:delText>
        </w:r>
        <w:r w:rsidR="00B50434" w:rsidRPr="001B4A02">
          <w:rPr>
            <w:u w:val="single"/>
          </w:rPr>
          <w:delText>dětí</w:delText>
        </w:r>
      </w:del>
    </w:p>
    <w:p w14:paraId="30BDBC13" w14:textId="77777777" w:rsidR="0068316D" w:rsidRPr="001B4A02" w:rsidRDefault="0068316D" w:rsidP="007E416D">
      <w:pPr>
        <w:keepNext/>
        <w:ind w:left="0" w:firstLine="0"/>
        <w:rPr>
          <w:del w:id="9917" w:author="AbbVie1" w:date="2025-05-13T10:11:00Z"/>
        </w:rPr>
      </w:pPr>
    </w:p>
    <w:p w14:paraId="79E4F5D2" w14:textId="77777777" w:rsidR="0068316D" w:rsidRPr="001B4A02" w:rsidRDefault="00000000" w:rsidP="00ED48A3">
      <w:pPr>
        <w:ind w:left="0" w:firstLine="0"/>
        <w:rPr>
          <w:del w:id="9918" w:author="AbbVie1" w:date="2025-05-13T10:11:00Z"/>
        </w:rPr>
      </w:pPr>
      <w:del w:id="9919" w:author="AbbVie1" w:date="2025-05-13T10:11:00Z">
        <w:r w:rsidRPr="001B4A02">
          <w:delText>Ložisková psoriáza je kožní onemocnění, které se projevuje ohraničenými, zarudlými, vyvýšenými ložisky, krytými stříbřitě lesklými šupinami.</w:delText>
        </w:r>
        <w:r w:rsidR="00826FA0" w:rsidRPr="001B4A02">
          <w:delText xml:space="preserve"> </w:delText>
        </w:r>
        <w:r w:rsidR="00DF1363" w:rsidRPr="001B4A02">
          <w:delText>Ložisková psoriáza může postihovat také nehty, může způsobit jejich ztluštění, drolení</w:delText>
        </w:r>
        <w:r w:rsidR="002378E0">
          <w:delText xml:space="preserve"> a </w:delText>
        </w:r>
        <w:r w:rsidR="00DF1363" w:rsidRPr="001B4A02">
          <w:delText>odlučování od nehtového lůžka, což může být bolestivé. Psoriáza je pravděpodobně způsobena problém</w:delText>
        </w:r>
        <w:r w:rsidR="000C70DB" w:rsidRPr="001B4A02">
          <w:delText>em</w:delText>
        </w:r>
        <w:r w:rsidR="00DF1363" w:rsidRPr="001B4A02">
          <w:delText xml:space="preserve"> s imunitním systémem organismu, kter</w:delText>
        </w:r>
        <w:r w:rsidR="000C70DB" w:rsidRPr="001B4A02">
          <w:delText>ý</w:delText>
        </w:r>
        <w:r w:rsidR="00DF1363" w:rsidRPr="001B4A02">
          <w:delText xml:space="preserve"> ved</w:delText>
        </w:r>
        <w:r w:rsidR="000C70DB" w:rsidRPr="001B4A02">
          <w:delText>e</w:delText>
        </w:r>
        <w:r w:rsidR="00DF1363" w:rsidRPr="001B4A02">
          <w:delText xml:space="preserve"> ke zvýšené tvorbě kožních buněk.</w:delText>
        </w:r>
      </w:del>
    </w:p>
    <w:p w14:paraId="5FB78015" w14:textId="77777777" w:rsidR="00826FA0" w:rsidRPr="001B4A02" w:rsidRDefault="00826FA0" w:rsidP="00ED48A3">
      <w:pPr>
        <w:ind w:left="0" w:firstLine="0"/>
        <w:rPr>
          <w:del w:id="9920" w:author="AbbVie1" w:date="2025-05-13T10:11:00Z"/>
        </w:rPr>
      </w:pPr>
    </w:p>
    <w:p w14:paraId="1DB99D24" w14:textId="77777777" w:rsidR="00826FA0" w:rsidRPr="001B4A02" w:rsidRDefault="00000000" w:rsidP="00ED48A3">
      <w:pPr>
        <w:ind w:left="0" w:firstLine="0"/>
        <w:rPr>
          <w:del w:id="9921" w:author="AbbVie1" w:date="2025-05-13T10:11:00Z"/>
        </w:rPr>
      </w:pPr>
      <w:del w:id="9922" w:author="AbbVie1" w:date="2025-05-13T10:11:00Z">
        <w:r w:rsidRPr="001B4A02">
          <w:delText xml:space="preserve">Přípravek Humira se používá k léčbě </w:delText>
        </w:r>
        <w:r w:rsidR="008640F2" w:rsidRPr="001B4A02">
          <w:delText>těžké</w:delText>
        </w:r>
        <w:r w:rsidRPr="001B4A02">
          <w:delText xml:space="preserve"> ložiskové psoriázy</w:delText>
        </w:r>
        <w:r w:rsidR="0028371E" w:rsidRPr="001B4A02">
          <w:delText xml:space="preserve"> u </w:delText>
        </w:r>
        <w:r w:rsidRPr="001B4A02">
          <w:delText>dětí</w:delText>
        </w:r>
        <w:r w:rsidR="002378E0">
          <w:delText xml:space="preserve"> a </w:delText>
        </w:r>
        <w:r w:rsidRPr="001B4A02">
          <w:delText>dospívajících od 4 do 17 let,</w:delText>
        </w:r>
        <w:r w:rsidR="0028371E" w:rsidRPr="001B4A02">
          <w:delText xml:space="preserve"> u </w:delText>
        </w:r>
        <w:r w:rsidRPr="001B4A02">
          <w:delText>kterých lokální léčba</w:delText>
        </w:r>
        <w:r w:rsidR="002378E0">
          <w:delText xml:space="preserve"> a </w:delText>
        </w:r>
        <w:r w:rsidRPr="001B4A02">
          <w:delText>fototerapie nefungoval</w:delText>
        </w:r>
        <w:r w:rsidR="00452697" w:rsidRPr="001B4A02">
          <w:delText>y</w:delText>
        </w:r>
        <w:r w:rsidRPr="001B4A02">
          <w:delText xml:space="preserve"> dobře nebo je</w:delText>
        </w:r>
        <w:r w:rsidR="0028371E" w:rsidRPr="001B4A02">
          <w:delText xml:space="preserve"> u </w:delText>
        </w:r>
        <w:r w:rsidRPr="001B4A02">
          <w:delText>nich tato léčba nevhodná.</w:delText>
        </w:r>
      </w:del>
    </w:p>
    <w:p w14:paraId="74CE3D0D" w14:textId="77777777" w:rsidR="009575E9" w:rsidRPr="001B4A02" w:rsidRDefault="009575E9" w:rsidP="00ED48A3">
      <w:pPr>
        <w:ind w:left="0" w:firstLine="0"/>
        <w:rPr>
          <w:del w:id="9923" w:author="AbbVie1" w:date="2025-05-13T10:11:00Z"/>
        </w:rPr>
      </w:pPr>
    </w:p>
    <w:p w14:paraId="270906CC" w14:textId="77777777" w:rsidR="00C207A7" w:rsidRPr="001B4A02" w:rsidRDefault="00000000" w:rsidP="00404AFD">
      <w:pPr>
        <w:keepNext/>
        <w:numPr>
          <w:ilvl w:val="12"/>
          <w:numId w:val="0"/>
        </w:numPr>
        <w:ind w:right="-2"/>
        <w:rPr>
          <w:del w:id="9924" w:author="AbbVie1" w:date="2025-05-13T10:11:00Z"/>
          <w:u w:val="single"/>
        </w:rPr>
      </w:pPr>
      <w:del w:id="9925" w:author="AbbVie1" w:date="2025-05-13T10:11:00Z">
        <w:r w:rsidRPr="001B4A02">
          <w:rPr>
            <w:szCs w:val="22"/>
            <w:u w:val="single"/>
          </w:rPr>
          <w:delText>Hidradenitis suppurativa</w:delText>
        </w:r>
        <w:r w:rsidR="0028371E" w:rsidRPr="001B4A02">
          <w:rPr>
            <w:szCs w:val="22"/>
            <w:u w:val="single"/>
          </w:rPr>
          <w:delText xml:space="preserve"> u </w:delText>
        </w:r>
        <w:r w:rsidRPr="001B4A02">
          <w:rPr>
            <w:szCs w:val="22"/>
            <w:u w:val="single"/>
          </w:rPr>
          <w:delText>dospívajících</w:delText>
        </w:r>
      </w:del>
    </w:p>
    <w:p w14:paraId="20568951" w14:textId="77777777" w:rsidR="00C207A7" w:rsidRPr="001B4A02" w:rsidRDefault="00C207A7" w:rsidP="00404AFD">
      <w:pPr>
        <w:keepNext/>
        <w:numPr>
          <w:ilvl w:val="12"/>
          <w:numId w:val="0"/>
        </w:numPr>
        <w:ind w:right="-2"/>
        <w:rPr>
          <w:del w:id="9926" w:author="AbbVie1" w:date="2025-05-13T10:11:00Z"/>
        </w:rPr>
      </w:pPr>
    </w:p>
    <w:p w14:paraId="32DEADA9" w14:textId="77777777" w:rsidR="00C207A7" w:rsidRPr="001B4A02" w:rsidRDefault="00000000" w:rsidP="00ED48A3">
      <w:pPr>
        <w:numPr>
          <w:ilvl w:val="12"/>
          <w:numId w:val="0"/>
        </w:numPr>
        <w:ind w:right="-2"/>
        <w:rPr>
          <w:del w:id="9927" w:author="AbbVie1" w:date="2025-05-13T10:11:00Z"/>
        </w:rPr>
      </w:pPr>
      <w:del w:id="9928" w:author="AbbVie1" w:date="2025-05-13T10:11:00Z">
        <w:r w:rsidRPr="001B4A02">
          <w:rPr>
            <w:szCs w:val="22"/>
          </w:rPr>
          <w:delText>Hidradenitis suppurativa (někdy označovaná jako acne inversa) je chronické</w:delText>
        </w:r>
        <w:r w:rsidR="002378E0">
          <w:rPr>
            <w:szCs w:val="22"/>
          </w:rPr>
          <w:delText xml:space="preserve"> a </w:delText>
        </w:r>
        <w:r w:rsidRPr="001B4A02">
          <w:rPr>
            <w:szCs w:val="22"/>
          </w:rPr>
          <w:delText xml:space="preserve">často bolestivé zánětlivé onemocnění kůže. Příznaky mohou zahrnovat </w:delText>
        </w:r>
        <w:r w:rsidR="00827431" w:rsidRPr="001B4A02">
          <w:rPr>
            <w:szCs w:val="22"/>
          </w:rPr>
          <w:delText>citlivé</w:delText>
        </w:r>
        <w:r w:rsidRPr="001B4A02">
          <w:rPr>
            <w:szCs w:val="22"/>
          </w:rPr>
          <w:delText xml:space="preserve"> uzly (</w:delText>
        </w:r>
        <w:r w:rsidR="00827431" w:rsidRPr="001B4A02">
          <w:rPr>
            <w:szCs w:val="22"/>
          </w:rPr>
          <w:delText>bolák</w:delText>
        </w:r>
        <w:r w:rsidRPr="001B4A02">
          <w:rPr>
            <w:szCs w:val="22"/>
          </w:rPr>
          <w:delText>y)</w:delText>
        </w:r>
        <w:r w:rsidR="002378E0">
          <w:rPr>
            <w:szCs w:val="22"/>
          </w:rPr>
          <w:delText xml:space="preserve"> a </w:delText>
        </w:r>
        <w:r w:rsidRPr="001B4A02">
          <w:rPr>
            <w:szCs w:val="22"/>
          </w:rPr>
          <w:delText>abscesy (nežity), ze kterých může vytékat hnis. Postihuje nejčastěji specifické oblasti kůže, jako jsou místa pod prsy, podpažní jamky, vnitřní strana stehen, třísla</w:delText>
        </w:r>
        <w:r w:rsidR="002378E0">
          <w:rPr>
            <w:szCs w:val="22"/>
          </w:rPr>
          <w:delText xml:space="preserve"> a </w:delText>
        </w:r>
        <w:r w:rsidRPr="001B4A02">
          <w:rPr>
            <w:szCs w:val="22"/>
          </w:rPr>
          <w:delText>hýždě.</w:delText>
        </w:r>
        <w:r w:rsidR="00F80B20" w:rsidRPr="001B4A02">
          <w:rPr>
            <w:szCs w:val="22"/>
          </w:rPr>
          <w:delText xml:space="preserve"> </w:delText>
        </w:r>
        <w:r w:rsidRPr="001B4A02">
          <w:rPr>
            <w:szCs w:val="22"/>
          </w:rPr>
          <w:delText>Na postižených plochách se mohou tvořit jizvy.</w:delText>
        </w:r>
      </w:del>
    </w:p>
    <w:p w14:paraId="23B8FFF1" w14:textId="77777777" w:rsidR="00C207A7" w:rsidRPr="001B4A02" w:rsidRDefault="00C207A7" w:rsidP="00ED48A3">
      <w:pPr>
        <w:numPr>
          <w:ilvl w:val="12"/>
          <w:numId w:val="0"/>
        </w:numPr>
        <w:ind w:right="-2"/>
        <w:rPr>
          <w:del w:id="9929" w:author="AbbVie1" w:date="2025-05-13T10:11:00Z"/>
        </w:rPr>
      </w:pPr>
    </w:p>
    <w:p w14:paraId="0B3F8856" w14:textId="77777777" w:rsidR="009575E9" w:rsidRPr="001B4A02" w:rsidRDefault="00000000" w:rsidP="00ED48A3">
      <w:pPr>
        <w:ind w:left="0" w:firstLine="0"/>
        <w:rPr>
          <w:del w:id="9930" w:author="AbbVie1" w:date="2025-05-13T10:11:00Z"/>
          <w:szCs w:val="22"/>
          <w:bdr w:val="nil"/>
        </w:rPr>
      </w:pPr>
      <w:del w:id="9931" w:author="AbbVie1" w:date="2025-05-13T10:11:00Z">
        <w:r w:rsidRPr="001B4A02">
          <w:rPr>
            <w:szCs w:val="22"/>
          </w:rPr>
          <w:delText xml:space="preserve">Přípravek Humira se používá </w:delText>
        </w:r>
        <w:r w:rsidR="00374BDB">
          <w:rPr>
            <w:szCs w:val="22"/>
          </w:rPr>
          <w:delText>k </w:delText>
        </w:r>
        <w:r w:rsidRPr="001B4A02">
          <w:rPr>
            <w:szCs w:val="22"/>
          </w:rPr>
          <w:delText>léčb</w:delText>
        </w:r>
        <w:r w:rsidR="00374BDB">
          <w:rPr>
            <w:szCs w:val="22"/>
          </w:rPr>
          <w:delText>ě</w:delText>
        </w:r>
        <w:r w:rsidRPr="001B4A02">
          <w:rPr>
            <w:szCs w:val="22"/>
          </w:rPr>
          <w:delText xml:space="preserve"> hidradenitis suppurativa</w:delText>
        </w:r>
        <w:r w:rsidR="0028371E" w:rsidRPr="001B4A02">
          <w:rPr>
            <w:szCs w:val="22"/>
          </w:rPr>
          <w:delText xml:space="preserve"> u </w:delText>
        </w:r>
        <w:r w:rsidRPr="001B4A02">
          <w:rPr>
            <w:szCs w:val="22"/>
          </w:rPr>
          <w:delText>dospívajících od 12 let.</w:delText>
        </w:r>
        <w:r w:rsidR="00264669" w:rsidRPr="001B4A02">
          <w:rPr>
            <w:szCs w:val="22"/>
          </w:rPr>
          <w:delText xml:space="preserve"> </w:delText>
        </w:r>
        <w:r w:rsidRPr="001B4A02">
          <w:rPr>
            <w:szCs w:val="22"/>
          </w:rPr>
          <w:delText>Přípravek Humira může snižovat počet uzlů</w:delText>
        </w:r>
        <w:r w:rsidR="002378E0">
          <w:rPr>
            <w:szCs w:val="22"/>
          </w:rPr>
          <w:delText xml:space="preserve"> a </w:delText>
        </w:r>
        <w:r w:rsidRPr="001B4A02">
          <w:rPr>
            <w:szCs w:val="22"/>
          </w:rPr>
          <w:delText>abscesů</w:delText>
        </w:r>
        <w:r w:rsidR="002378E0">
          <w:rPr>
            <w:szCs w:val="22"/>
          </w:rPr>
          <w:delText xml:space="preserve"> a </w:delText>
        </w:r>
        <w:r w:rsidRPr="001B4A02">
          <w:rPr>
            <w:szCs w:val="22"/>
          </w:rPr>
          <w:delText>bolest, která často souvisí s</w:delText>
        </w:r>
        <w:r w:rsidR="000C2348" w:rsidRPr="001B4A02">
          <w:rPr>
            <w:szCs w:val="22"/>
          </w:rPr>
          <w:delText> </w:delText>
        </w:r>
        <w:r w:rsidRPr="001B4A02">
          <w:rPr>
            <w:szCs w:val="22"/>
          </w:rPr>
          <w:delText>onemocněním. Nejprve můžete dostat jiné léky. Pokud na tyto léky nebudete dostatečně dobře reagovat, bude Vám podán přípravek Humira.</w:delText>
        </w:r>
      </w:del>
    </w:p>
    <w:p w14:paraId="1F5DFF2B" w14:textId="77777777" w:rsidR="009D400E" w:rsidRPr="001B4A02" w:rsidRDefault="009D400E" w:rsidP="00ED48A3">
      <w:pPr>
        <w:ind w:left="0" w:firstLine="0"/>
        <w:rPr>
          <w:del w:id="9932" w:author="AbbVie1" w:date="2025-05-13T10:11:00Z"/>
          <w:szCs w:val="22"/>
          <w:bdr w:val="nil"/>
        </w:rPr>
      </w:pPr>
    </w:p>
    <w:p w14:paraId="7412E9BD" w14:textId="77777777" w:rsidR="009D400E" w:rsidRPr="001B4A02" w:rsidRDefault="00000000" w:rsidP="00404AFD">
      <w:pPr>
        <w:pStyle w:val="BodyText"/>
        <w:keepNext/>
        <w:rPr>
          <w:del w:id="9933" w:author="AbbVie1" w:date="2025-05-13T10:11:00Z"/>
          <w:b w:val="0"/>
          <w:i w:val="0"/>
          <w:szCs w:val="22"/>
          <w:u w:val="single"/>
          <w:lang w:val="cs-CZ"/>
        </w:rPr>
      </w:pPr>
      <w:del w:id="9934" w:author="AbbVie1" w:date="2025-05-13T10:11:00Z">
        <w:r w:rsidRPr="001B4A02">
          <w:rPr>
            <w:b w:val="0"/>
            <w:i w:val="0"/>
            <w:szCs w:val="22"/>
            <w:u w:val="single"/>
            <w:lang w:val="cs-CZ"/>
          </w:rPr>
          <w:delText xml:space="preserve">Crohnova choroba u </w:delText>
        </w:r>
        <w:r w:rsidR="00DF1363" w:rsidRPr="001B4A02">
          <w:rPr>
            <w:b w:val="0"/>
            <w:i w:val="0"/>
            <w:szCs w:val="22"/>
            <w:u w:val="single"/>
            <w:lang w:val="cs-CZ"/>
          </w:rPr>
          <w:delText>dětí</w:delText>
        </w:r>
      </w:del>
    </w:p>
    <w:p w14:paraId="149DDEB1" w14:textId="77777777" w:rsidR="009D400E" w:rsidRPr="001B4A02" w:rsidRDefault="009D400E" w:rsidP="00404AFD">
      <w:pPr>
        <w:pStyle w:val="EMEANormal"/>
        <w:keepNext/>
        <w:suppressAutoHyphens w:val="0"/>
        <w:rPr>
          <w:del w:id="9935" w:author="AbbVie1" w:date="2025-05-13T10:11:00Z"/>
          <w:lang w:val="cs-CZ"/>
        </w:rPr>
      </w:pPr>
    </w:p>
    <w:p w14:paraId="0774D67D" w14:textId="77777777" w:rsidR="009D400E" w:rsidRPr="001B4A02" w:rsidRDefault="00000000" w:rsidP="00C806C1">
      <w:pPr>
        <w:numPr>
          <w:ilvl w:val="12"/>
          <w:numId w:val="0"/>
        </w:numPr>
        <w:ind w:right="-2"/>
        <w:rPr>
          <w:del w:id="9936" w:author="AbbVie1" w:date="2025-05-13T10:11:00Z"/>
        </w:rPr>
      </w:pPr>
      <w:del w:id="9937" w:author="AbbVie1" w:date="2025-05-13T10:11:00Z">
        <w:r w:rsidRPr="001B4A02">
          <w:delText xml:space="preserve">Crohnova choroba je zánětlivé onemocnění trávicího traktu. Přípravek Humira se používá k léčbě Crohnovy choroby u dětí od 6 do 17 let. </w:delText>
        </w:r>
        <w:r w:rsidR="00DF1363" w:rsidRPr="001B4A02">
          <w:delText xml:space="preserve">Zpočátku </w:delText>
        </w:r>
        <w:r w:rsidR="007027B5">
          <w:delText>může Vaše dítě</w:delText>
        </w:r>
        <w:r w:rsidR="00DF1363" w:rsidRPr="001B4A02">
          <w:delText xml:space="preserve"> dostat </w:delText>
        </w:r>
        <w:r w:rsidRPr="001B4A02">
          <w:delText xml:space="preserve">jiné léky. Pokud </w:delText>
        </w:r>
        <w:r w:rsidR="00DF1363" w:rsidRPr="001B4A02">
          <w:delText>tyto léky dostatečně neúčinkují</w:delText>
        </w:r>
        <w:r w:rsidRPr="001B4A02">
          <w:delText xml:space="preserve">, </w:delText>
        </w:r>
        <w:r w:rsidR="000C70DB" w:rsidRPr="001B4A02">
          <w:delText xml:space="preserve">bude </w:delText>
        </w:r>
        <w:r w:rsidR="007027B5">
          <w:delText>mu</w:delText>
        </w:r>
        <w:r w:rsidR="007027B5" w:rsidRPr="001B4A02">
          <w:delText xml:space="preserve"> </w:delText>
        </w:r>
        <w:r w:rsidR="000C70DB" w:rsidRPr="001B4A02">
          <w:delText>ke</w:delText>
        </w:r>
        <w:r w:rsidR="00DF1363" w:rsidRPr="001B4A02">
          <w:delText xml:space="preserve"> sní</w:delText>
        </w:r>
        <w:r w:rsidR="009B2C8D" w:rsidRPr="001B4A02">
          <w:delText>ž</w:delText>
        </w:r>
        <w:r w:rsidR="00DF1363" w:rsidRPr="001B4A02">
          <w:delText>ení známek</w:delText>
        </w:r>
        <w:r w:rsidR="002378E0">
          <w:delText xml:space="preserve"> a </w:delText>
        </w:r>
        <w:r w:rsidR="00DF1363" w:rsidRPr="001B4A02">
          <w:delText xml:space="preserve">příznaků </w:delText>
        </w:r>
        <w:r w:rsidR="007027B5" w:rsidRPr="001B4A02">
          <w:delText>je</w:delText>
        </w:r>
        <w:r w:rsidR="007027B5">
          <w:delText>ho</w:delText>
        </w:r>
        <w:r w:rsidR="007027B5" w:rsidRPr="001B4A02">
          <w:delText xml:space="preserve"> </w:delText>
        </w:r>
        <w:r w:rsidR="00DF1363" w:rsidRPr="001B4A02">
          <w:delText>onemocnění</w:delText>
        </w:r>
        <w:r w:rsidR="000C70DB" w:rsidRPr="001B4A02">
          <w:delText xml:space="preserve"> </w:delText>
        </w:r>
        <w:r w:rsidR="00F80B20" w:rsidRPr="001B4A02">
          <w:delText xml:space="preserve">podán </w:delText>
        </w:r>
        <w:r w:rsidR="000C70DB" w:rsidRPr="001B4A02">
          <w:delText>přípravek Humira</w:delText>
        </w:r>
        <w:r w:rsidRPr="001B4A02">
          <w:delText>.</w:delText>
        </w:r>
      </w:del>
    </w:p>
    <w:p w14:paraId="28553701" w14:textId="77777777" w:rsidR="009D400E" w:rsidRPr="001B4A02" w:rsidRDefault="009D400E" w:rsidP="00ED48A3">
      <w:pPr>
        <w:ind w:left="0" w:firstLine="0"/>
        <w:rPr>
          <w:del w:id="9938" w:author="AbbVie1" w:date="2025-05-13T10:11:00Z"/>
          <w:szCs w:val="22"/>
          <w:bdr w:val="nil"/>
        </w:rPr>
      </w:pPr>
    </w:p>
    <w:p w14:paraId="682BE0AD" w14:textId="77777777" w:rsidR="00974EB9" w:rsidRPr="00A909D3" w:rsidRDefault="00000000" w:rsidP="00974EB9">
      <w:pPr>
        <w:keepNext/>
        <w:ind w:left="0" w:firstLine="0"/>
        <w:rPr>
          <w:del w:id="9939" w:author="AbbVie1" w:date="2025-05-13T10:11:00Z"/>
          <w:u w:val="single"/>
        </w:rPr>
      </w:pPr>
      <w:del w:id="9940" w:author="AbbVie1" w:date="2025-05-13T10:11:00Z">
        <w:r>
          <w:rPr>
            <w:u w:val="single"/>
          </w:rPr>
          <w:delText>Ulcerózní kolitida u </w:delText>
        </w:r>
        <w:r w:rsidR="00404AFD">
          <w:rPr>
            <w:u w:val="single"/>
          </w:rPr>
          <w:delText>dětí</w:delText>
        </w:r>
      </w:del>
    </w:p>
    <w:p w14:paraId="76573957" w14:textId="77777777" w:rsidR="00974EB9" w:rsidRPr="00730202" w:rsidRDefault="00974EB9" w:rsidP="00730202">
      <w:pPr>
        <w:pStyle w:val="BodyText"/>
        <w:keepNext/>
        <w:rPr>
          <w:del w:id="9941" w:author="AbbVie1" w:date="2025-05-13T10:11:00Z"/>
          <w:b w:val="0"/>
          <w:bCs/>
          <w:i w:val="0"/>
          <w:iCs/>
          <w:szCs w:val="22"/>
        </w:rPr>
      </w:pPr>
    </w:p>
    <w:p w14:paraId="0B3FBF69" w14:textId="77777777" w:rsidR="00A909D3" w:rsidRDefault="00000000" w:rsidP="00974EB9">
      <w:pPr>
        <w:ind w:left="0" w:firstLine="0"/>
        <w:rPr>
          <w:del w:id="9942" w:author="AbbVie1" w:date="2025-05-13T10:11:00Z"/>
        </w:rPr>
      </w:pPr>
      <w:del w:id="9943" w:author="AbbVie1" w:date="2025-05-13T10:11:00Z">
        <w:r>
          <w:delText xml:space="preserve">Ulcerózní kolitida je zánětlivé onemocnění </w:delText>
        </w:r>
        <w:r w:rsidR="00E5443D">
          <w:delText xml:space="preserve">tlustého </w:delText>
        </w:r>
        <w:r>
          <w:delText>střev</w:delText>
        </w:r>
        <w:r w:rsidR="00E5443D">
          <w:delText>a</w:delText>
        </w:r>
        <w:r>
          <w:delText xml:space="preserve">. Přípravek Humira se používá k léčbě středně těžké až těžké ulcerózní kolitidy u dětí od 6 do 17 let. Zpočátku může Vaše dítě dostat jiné léky. </w:delText>
        </w:r>
        <w:r w:rsidRPr="001B4A02">
          <w:delText xml:space="preserve">Pokud tyto léky dostatečně neúčinkují, bude </w:delText>
        </w:r>
        <w:r>
          <w:delText>mu</w:delText>
        </w:r>
        <w:r w:rsidRPr="001B4A02">
          <w:delText xml:space="preserve"> ke snížení známek</w:delText>
        </w:r>
        <w:r w:rsidR="002378E0">
          <w:delText xml:space="preserve"> a </w:delText>
        </w:r>
        <w:r w:rsidRPr="001B4A02">
          <w:delText>příznaků je</w:delText>
        </w:r>
        <w:r>
          <w:delText>ho</w:delText>
        </w:r>
        <w:r w:rsidRPr="001B4A02">
          <w:delText xml:space="preserve"> onemocnění podán přípravek Humira.</w:delText>
        </w:r>
      </w:del>
    </w:p>
    <w:p w14:paraId="279EDBEA" w14:textId="77777777" w:rsidR="00974EB9" w:rsidRDefault="00974EB9" w:rsidP="00974EB9">
      <w:pPr>
        <w:ind w:left="0" w:firstLine="0"/>
        <w:rPr>
          <w:del w:id="9944" w:author="AbbVie1" w:date="2025-05-13T10:11:00Z"/>
          <w:u w:val="single"/>
        </w:rPr>
      </w:pPr>
    </w:p>
    <w:p w14:paraId="14675F66" w14:textId="77777777" w:rsidR="001C5DD4" w:rsidRPr="001B4A02" w:rsidRDefault="00000000" w:rsidP="00ED48A3">
      <w:pPr>
        <w:keepNext/>
        <w:numPr>
          <w:ilvl w:val="12"/>
          <w:numId w:val="0"/>
        </w:numPr>
        <w:rPr>
          <w:del w:id="9945" w:author="AbbVie1" w:date="2025-05-13T10:11:00Z"/>
          <w:u w:val="single"/>
        </w:rPr>
      </w:pPr>
      <w:del w:id="9946" w:author="AbbVie1" w:date="2025-05-13T10:11:00Z">
        <w:r w:rsidRPr="001B4A02">
          <w:rPr>
            <w:szCs w:val="22"/>
            <w:u w:val="single"/>
          </w:rPr>
          <w:delText>Uveitida</w:delText>
        </w:r>
        <w:r w:rsidR="0028371E" w:rsidRPr="001B4A02">
          <w:rPr>
            <w:szCs w:val="22"/>
            <w:u w:val="single"/>
          </w:rPr>
          <w:delText xml:space="preserve"> u </w:delText>
        </w:r>
        <w:r w:rsidRPr="001B4A02">
          <w:rPr>
            <w:szCs w:val="22"/>
            <w:u w:val="single"/>
          </w:rPr>
          <w:delText>dětí</w:delText>
        </w:r>
      </w:del>
    </w:p>
    <w:p w14:paraId="5CC39928" w14:textId="77777777" w:rsidR="001C5DD4" w:rsidRPr="001B4A02" w:rsidRDefault="001C5DD4" w:rsidP="00404AFD">
      <w:pPr>
        <w:keepNext/>
        <w:numPr>
          <w:ilvl w:val="12"/>
          <w:numId w:val="0"/>
        </w:numPr>
        <w:ind w:right="-2"/>
        <w:rPr>
          <w:del w:id="9947" w:author="AbbVie1" w:date="2025-05-13T10:11:00Z"/>
        </w:rPr>
      </w:pPr>
    </w:p>
    <w:p w14:paraId="56D769D9" w14:textId="77777777" w:rsidR="001C5DD4" w:rsidRPr="001B4A02" w:rsidRDefault="00000000" w:rsidP="00ED48A3">
      <w:pPr>
        <w:numPr>
          <w:ilvl w:val="12"/>
          <w:numId w:val="0"/>
        </w:numPr>
        <w:ind w:right="-2"/>
        <w:rPr>
          <w:del w:id="9948" w:author="AbbVie1" w:date="2025-05-13T10:11:00Z"/>
        </w:rPr>
      </w:pPr>
      <w:del w:id="9949" w:author="AbbVie1" w:date="2025-05-13T10:11:00Z">
        <w:r w:rsidRPr="001B4A02">
          <w:rPr>
            <w:szCs w:val="22"/>
          </w:rPr>
          <w:delText xml:space="preserve">Neinfekční uveitida je zánětlivé onemocnění postihující </w:delText>
        </w:r>
        <w:r w:rsidR="001F169A" w:rsidRPr="001B4A02">
          <w:delText>některé</w:delText>
        </w:r>
        <w:r w:rsidRPr="001B4A02">
          <w:rPr>
            <w:szCs w:val="22"/>
          </w:rPr>
          <w:delText xml:space="preserve"> části oka.</w:delText>
        </w:r>
      </w:del>
    </w:p>
    <w:p w14:paraId="21048D44" w14:textId="77777777" w:rsidR="001C5DD4" w:rsidRPr="001B4A02" w:rsidRDefault="001C5DD4" w:rsidP="00ED48A3">
      <w:pPr>
        <w:numPr>
          <w:ilvl w:val="12"/>
          <w:numId w:val="0"/>
        </w:numPr>
        <w:ind w:right="-2"/>
        <w:rPr>
          <w:del w:id="9950" w:author="AbbVie1" w:date="2025-05-13T10:11:00Z"/>
        </w:rPr>
      </w:pPr>
    </w:p>
    <w:p w14:paraId="46AC1E9A" w14:textId="77777777" w:rsidR="001C5DD4" w:rsidRPr="001B4A02" w:rsidRDefault="00000000" w:rsidP="003242C9">
      <w:pPr>
        <w:ind w:left="0" w:firstLine="0"/>
        <w:rPr>
          <w:del w:id="9951" w:author="AbbVie1" w:date="2025-05-13T10:11:00Z"/>
        </w:rPr>
      </w:pPr>
      <w:del w:id="9952" w:author="AbbVie1" w:date="2025-05-13T10:11:00Z">
        <w:r w:rsidRPr="001B4A02">
          <w:rPr>
            <w:szCs w:val="22"/>
          </w:rPr>
          <w:delText>Přípravek Humira se používá k</w:delText>
        </w:r>
        <w:r w:rsidR="0045439B" w:rsidRPr="001B4A02">
          <w:rPr>
            <w:szCs w:val="22"/>
          </w:rPr>
          <w:delText> </w:delText>
        </w:r>
        <w:r w:rsidRPr="001B4A02">
          <w:rPr>
            <w:szCs w:val="22"/>
          </w:rPr>
          <w:delText>léčbě dětí od 2 let</w:delText>
        </w:r>
        <w:r w:rsidR="002006B8" w:rsidRPr="001B4A02">
          <w:rPr>
            <w:szCs w:val="22"/>
          </w:rPr>
          <w:delText xml:space="preserve"> </w:delText>
        </w:r>
        <w:r w:rsidRPr="001B4A02">
          <w:rPr>
            <w:szCs w:val="22"/>
          </w:rPr>
          <w:delText>s</w:delText>
        </w:r>
        <w:r w:rsidR="000C2348" w:rsidRPr="001B4A02">
          <w:rPr>
            <w:szCs w:val="22"/>
          </w:rPr>
          <w:delText> </w:delText>
        </w:r>
        <w:r w:rsidRPr="001B4A02">
          <w:rPr>
            <w:szCs w:val="22"/>
          </w:rPr>
          <w:delText xml:space="preserve">chronickou neinfekční uveitidou se zánětem postihujícím přední část oka. </w:delText>
        </w:r>
        <w:r w:rsidR="005D6C66" w:rsidRPr="001B4A02">
          <w:delText>Tento zánět může vést ke zhoršení zraku a/nebo výskytu v</w:delText>
        </w:r>
        <w:r w:rsidR="0045439B" w:rsidRPr="001B4A02">
          <w:delText> </w:delText>
        </w:r>
        <w:r w:rsidR="005D6C66" w:rsidRPr="001B4A02">
          <w:delText xml:space="preserve">oku (černé tečky nebo chomáčkovité čáry pohybující se </w:delText>
        </w:r>
        <w:r w:rsidR="003E702B" w:rsidRPr="001B4A02">
          <w:delText>v</w:delText>
        </w:r>
        <w:r w:rsidR="000928E6" w:rsidRPr="001B4A02">
          <w:delText> </w:delText>
        </w:r>
        <w:r w:rsidR="005D6C66" w:rsidRPr="001B4A02">
          <w:delText>zorné</w:delText>
        </w:r>
        <w:r w:rsidR="003E702B" w:rsidRPr="001B4A02">
          <w:delText>m</w:delText>
        </w:r>
        <w:r w:rsidR="005D6C66" w:rsidRPr="001B4A02">
          <w:delText xml:space="preserve"> pol</w:delText>
        </w:r>
        <w:r w:rsidR="003E702B" w:rsidRPr="001B4A02">
          <w:delText>i</w:delText>
        </w:r>
        <w:r w:rsidR="005D6C66" w:rsidRPr="001B4A02">
          <w:delText xml:space="preserve">). Přípravek Humira </w:delText>
        </w:r>
        <w:r w:rsidR="00290966" w:rsidRPr="001B4A02">
          <w:delText xml:space="preserve">tento </w:delText>
        </w:r>
        <w:r w:rsidR="005D6C66" w:rsidRPr="001B4A02">
          <w:delText>zánět snižuje.</w:delText>
        </w:r>
      </w:del>
    </w:p>
    <w:p w14:paraId="541EDCED" w14:textId="77777777" w:rsidR="0068316D" w:rsidRPr="001B4A02" w:rsidRDefault="0068316D" w:rsidP="00ED48A3">
      <w:pPr>
        <w:ind w:left="0" w:firstLine="0"/>
        <w:rPr>
          <w:del w:id="9953" w:author="AbbVie1" w:date="2025-05-13T10:11:00Z"/>
        </w:rPr>
      </w:pPr>
    </w:p>
    <w:p w14:paraId="3F0E47EA" w14:textId="77777777" w:rsidR="00290A8C" w:rsidRPr="001B4A02" w:rsidRDefault="00290A8C" w:rsidP="00ED48A3">
      <w:pPr>
        <w:ind w:left="0" w:firstLine="0"/>
        <w:rPr>
          <w:del w:id="9954" w:author="AbbVie1" w:date="2025-05-13T10:11:00Z"/>
        </w:rPr>
      </w:pPr>
    </w:p>
    <w:p w14:paraId="21E9B15A" w14:textId="77777777" w:rsidR="00073F8F" w:rsidRPr="001B4A02" w:rsidRDefault="00000000" w:rsidP="00404AFD">
      <w:pPr>
        <w:keepNext/>
        <w:numPr>
          <w:ilvl w:val="12"/>
          <w:numId w:val="0"/>
        </w:numPr>
        <w:ind w:left="567" w:hanging="567"/>
        <w:outlineLvl w:val="1"/>
        <w:rPr>
          <w:del w:id="9955" w:author="AbbVie1" w:date="2025-05-13T10:11:00Z"/>
        </w:rPr>
      </w:pPr>
      <w:del w:id="9956" w:author="AbbVie1" w:date="2025-05-13T10:11:00Z">
        <w:r w:rsidRPr="001B4A02">
          <w:rPr>
            <w:b/>
          </w:rPr>
          <w:delText>2.</w:delText>
        </w:r>
        <w:r w:rsidRPr="001B4A02">
          <w:rPr>
            <w:b/>
          </w:rPr>
          <w:tab/>
          <w:delText>Č</w:delText>
        </w:r>
        <w:r w:rsidR="00DD47EA" w:rsidRPr="001B4A02">
          <w:rPr>
            <w:b/>
          </w:rPr>
          <w:delText xml:space="preserve">emu musíte věnovat pozornost, než Vaše dítě začne přípravek Humira </w:delText>
        </w:r>
        <w:r w:rsidR="00121AA4" w:rsidRPr="001B4A02">
          <w:rPr>
            <w:b/>
          </w:rPr>
          <w:delText>po</w:delText>
        </w:r>
        <w:r w:rsidR="00DD47EA" w:rsidRPr="001B4A02">
          <w:rPr>
            <w:b/>
          </w:rPr>
          <w:delText>užívat</w:delText>
        </w:r>
      </w:del>
    </w:p>
    <w:p w14:paraId="1D459F44" w14:textId="77777777" w:rsidR="00073F8F" w:rsidRPr="001B4A02" w:rsidRDefault="00073F8F" w:rsidP="00404AFD">
      <w:pPr>
        <w:keepNext/>
        <w:numPr>
          <w:ilvl w:val="12"/>
          <w:numId w:val="0"/>
        </w:numPr>
        <w:ind w:right="-2"/>
        <w:rPr>
          <w:del w:id="9957" w:author="AbbVie1" w:date="2025-05-13T10:11:00Z"/>
        </w:rPr>
      </w:pPr>
    </w:p>
    <w:p w14:paraId="12FBB7D1" w14:textId="77777777" w:rsidR="00073F8F" w:rsidRPr="001B4A02" w:rsidRDefault="00000000" w:rsidP="00404AFD">
      <w:pPr>
        <w:keepNext/>
        <w:ind w:left="0" w:right="-29" w:firstLine="0"/>
        <w:jc w:val="both"/>
        <w:rPr>
          <w:del w:id="9958" w:author="AbbVie1" w:date="2025-05-13T10:11:00Z"/>
          <w:b/>
        </w:rPr>
      </w:pPr>
      <w:del w:id="9959" w:author="AbbVie1" w:date="2025-05-13T10:11:00Z">
        <w:r w:rsidRPr="001B4A02">
          <w:rPr>
            <w:b/>
          </w:rPr>
          <w:delText>Ne</w:delText>
        </w:r>
        <w:r w:rsidR="00121AA4" w:rsidRPr="001B4A02">
          <w:rPr>
            <w:b/>
          </w:rPr>
          <w:delText>po</w:delText>
        </w:r>
        <w:r w:rsidRPr="001B4A02">
          <w:rPr>
            <w:b/>
          </w:rPr>
          <w:delText>užívejte přípravek Humira</w:delText>
        </w:r>
      </w:del>
    </w:p>
    <w:p w14:paraId="5DC784AC" w14:textId="77777777" w:rsidR="00073F8F" w:rsidRPr="001B4A02" w:rsidRDefault="00073F8F" w:rsidP="00404AFD">
      <w:pPr>
        <w:keepNext/>
        <w:ind w:left="0" w:right="-29" w:firstLine="0"/>
        <w:jc w:val="both"/>
        <w:rPr>
          <w:del w:id="9960" w:author="AbbVie1" w:date="2025-05-13T10:11:00Z"/>
        </w:rPr>
      </w:pPr>
    </w:p>
    <w:p w14:paraId="4A3999B8" w14:textId="77777777" w:rsidR="00073F8F" w:rsidRPr="001B4A02" w:rsidRDefault="00000000" w:rsidP="00ED48A3">
      <w:pPr>
        <w:numPr>
          <w:ilvl w:val="0"/>
          <w:numId w:val="7"/>
        </w:numPr>
        <w:tabs>
          <w:tab w:val="clear" w:pos="720"/>
          <w:tab w:val="num" w:pos="540"/>
        </w:tabs>
        <w:ind w:left="567" w:right="-29" w:hanging="567"/>
        <w:rPr>
          <w:del w:id="9961" w:author="AbbVie1" w:date="2025-05-13T10:11:00Z"/>
        </w:rPr>
      </w:pPr>
      <w:del w:id="9962" w:author="AbbVie1" w:date="2025-05-13T10:11:00Z">
        <w:r w:rsidRPr="001B4A02">
          <w:delText>Jestliže je</w:delText>
        </w:r>
        <w:r w:rsidR="00C079B4" w:rsidRPr="001B4A02">
          <w:delText xml:space="preserve"> Vaše dítě</w:delText>
        </w:r>
        <w:r w:rsidRPr="001B4A02">
          <w:delText xml:space="preserve"> alergick</w:delText>
        </w:r>
        <w:r w:rsidR="00C079B4" w:rsidRPr="001B4A02">
          <w:delText>é</w:delText>
        </w:r>
        <w:r w:rsidRPr="001B4A02">
          <w:delText xml:space="preserve"> na adalimumab nebo na kteroukoli další složku </w:delText>
        </w:r>
        <w:r w:rsidR="009E3804" w:rsidRPr="001B4A02">
          <w:delText xml:space="preserve">tohoto </w:delText>
        </w:r>
        <w:r w:rsidRPr="001B4A02">
          <w:delText>přípravku</w:delText>
        </w:r>
        <w:r w:rsidR="009E3804" w:rsidRPr="001B4A02">
          <w:delText xml:space="preserve"> (uvedenou v bodě 6).</w:delText>
        </w:r>
      </w:del>
    </w:p>
    <w:p w14:paraId="1ECAFC84" w14:textId="77777777" w:rsidR="00073F8F" w:rsidRPr="001B4A02" w:rsidRDefault="00073F8F" w:rsidP="00ED48A3">
      <w:pPr>
        <w:tabs>
          <w:tab w:val="num" w:pos="540"/>
        </w:tabs>
        <w:ind w:right="-29"/>
        <w:rPr>
          <w:del w:id="9963" w:author="AbbVie1" w:date="2025-05-13T10:11:00Z"/>
        </w:rPr>
      </w:pPr>
    </w:p>
    <w:p w14:paraId="6C46112B" w14:textId="77777777" w:rsidR="00073F8F" w:rsidRPr="001B4A02" w:rsidRDefault="00000000" w:rsidP="00ED48A3">
      <w:pPr>
        <w:numPr>
          <w:ilvl w:val="0"/>
          <w:numId w:val="7"/>
        </w:numPr>
        <w:tabs>
          <w:tab w:val="clear" w:pos="720"/>
          <w:tab w:val="num" w:pos="540"/>
        </w:tabs>
        <w:ind w:left="567" w:right="-29" w:hanging="567"/>
        <w:rPr>
          <w:del w:id="9964" w:author="AbbVie1" w:date="2025-05-13T10:11:00Z"/>
        </w:rPr>
      </w:pPr>
      <w:del w:id="9965" w:author="AbbVie1" w:date="2025-05-13T10:11:00Z">
        <w:r w:rsidRPr="001B4A02">
          <w:delText xml:space="preserve">Jestliže má </w:delText>
        </w:r>
        <w:r w:rsidR="00C079B4" w:rsidRPr="001B4A02">
          <w:delText xml:space="preserve">Vaše dítě </w:delText>
        </w:r>
        <w:r w:rsidR="00F34089" w:rsidRPr="001B4A02">
          <w:delText>závažnou</w:delText>
        </w:r>
        <w:r w:rsidRPr="001B4A02">
          <w:delText xml:space="preserve"> infekci včetně aktivní tuberkulózy (viz „</w:delText>
        </w:r>
        <w:r w:rsidR="009E3804" w:rsidRPr="001B4A02">
          <w:delText>Upozornění</w:delText>
        </w:r>
        <w:r w:rsidR="002378E0">
          <w:delText xml:space="preserve"> a </w:delText>
        </w:r>
        <w:r w:rsidR="009E3804" w:rsidRPr="001B4A02">
          <w:delText>opatření</w:delText>
        </w:r>
        <w:r w:rsidRPr="001B4A02">
          <w:delText>“). Je důležité, abyste lékaře informoval(a), pokud se u </w:delText>
        </w:r>
        <w:r w:rsidR="00C079B4" w:rsidRPr="001B4A02">
          <w:delText>Vašeho dítěte</w:delText>
        </w:r>
        <w:r w:rsidRPr="001B4A02">
          <w:delText xml:space="preserve"> vyskytují příznaky infekce, např. horečka, zranění, pocit únavy nebo problémy se zuby.</w:delText>
        </w:r>
      </w:del>
    </w:p>
    <w:p w14:paraId="570D87D2" w14:textId="77777777" w:rsidR="00073F8F" w:rsidRPr="001B4A02" w:rsidRDefault="00073F8F" w:rsidP="00ED48A3">
      <w:pPr>
        <w:tabs>
          <w:tab w:val="num" w:pos="540"/>
        </w:tabs>
        <w:ind w:right="-29"/>
        <w:rPr>
          <w:del w:id="9966" w:author="AbbVie1" w:date="2025-05-13T10:11:00Z"/>
        </w:rPr>
      </w:pPr>
    </w:p>
    <w:p w14:paraId="3D205E07" w14:textId="77777777" w:rsidR="00073F8F" w:rsidRPr="001B4A02" w:rsidRDefault="00000000" w:rsidP="00ED48A3">
      <w:pPr>
        <w:numPr>
          <w:ilvl w:val="0"/>
          <w:numId w:val="7"/>
        </w:numPr>
        <w:tabs>
          <w:tab w:val="clear" w:pos="720"/>
          <w:tab w:val="num" w:pos="540"/>
        </w:tabs>
        <w:ind w:left="567" w:right="-29" w:hanging="567"/>
        <w:rPr>
          <w:del w:id="9967" w:author="AbbVie1" w:date="2025-05-13T10:11:00Z"/>
        </w:rPr>
      </w:pPr>
      <w:del w:id="9968" w:author="AbbVie1" w:date="2025-05-13T10:11:00Z">
        <w:r w:rsidRPr="001B4A02">
          <w:delText xml:space="preserve">Jestliže </w:delText>
        </w:r>
        <w:r w:rsidR="00C079B4" w:rsidRPr="001B4A02">
          <w:delText xml:space="preserve">Vaše dítě </w:delText>
        </w:r>
        <w:r w:rsidRPr="001B4A02">
          <w:delText>trpí středně těžkým nebo těžkým srdečním selháním. Je důležité, abyste informoval(a) lékaře, pokud se u </w:delText>
        </w:r>
        <w:r w:rsidR="00C079B4" w:rsidRPr="001B4A02">
          <w:delText>Vašeho dítěte</w:delText>
        </w:r>
        <w:r w:rsidRPr="001B4A02">
          <w:delText xml:space="preserve"> vyskytly nebo v současné době vyskytují vážné problémy se srdcem (viz „</w:delText>
        </w:r>
        <w:r w:rsidR="009E3804" w:rsidRPr="001B4A02">
          <w:delText>Upozornění</w:delText>
        </w:r>
        <w:r w:rsidR="002378E0">
          <w:delText xml:space="preserve"> a </w:delText>
        </w:r>
        <w:r w:rsidR="009E3804" w:rsidRPr="001B4A02">
          <w:delText>opatření</w:delText>
        </w:r>
        <w:r w:rsidRPr="001B4A02">
          <w:delText>“).</w:delText>
        </w:r>
      </w:del>
    </w:p>
    <w:p w14:paraId="1DC40B1C" w14:textId="77777777" w:rsidR="00073F8F" w:rsidRPr="001B4A02" w:rsidRDefault="00073F8F" w:rsidP="00ED48A3">
      <w:pPr>
        <w:ind w:right="-29"/>
        <w:jc w:val="both"/>
        <w:rPr>
          <w:del w:id="9969" w:author="AbbVie1" w:date="2025-05-13T10:11:00Z"/>
        </w:rPr>
      </w:pPr>
    </w:p>
    <w:p w14:paraId="04EAFF7A" w14:textId="77777777" w:rsidR="00073F8F" w:rsidRPr="001B4A02" w:rsidRDefault="00000000" w:rsidP="00DD3461">
      <w:pPr>
        <w:keepNext/>
        <w:rPr>
          <w:del w:id="9970" w:author="AbbVie1" w:date="2025-05-13T10:11:00Z"/>
          <w:b/>
        </w:rPr>
      </w:pPr>
      <w:del w:id="9971" w:author="AbbVie1" w:date="2025-05-13T10:11:00Z">
        <w:r w:rsidRPr="001B4A02">
          <w:rPr>
            <w:b/>
          </w:rPr>
          <w:delText>Upozornění</w:delText>
        </w:r>
        <w:r w:rsidR="002378E0">
          <w:rPr>
            <w:b/>
          </w:rPr>
          <w:delText xml:space="preserve"> a </w:delText>
        </w:r>
        <w:r w:rsidRPr="001B4A02">
          <w:rPr>
            <w:b/>
          </w:rPr>
          <w:delText>opatření</w:delText>
        </w:r>
      </w:del>
    </w:p>
    <w:p w14:paraId="465797AE" w14:textId="77777777" w:rsidR="00073F8F" w:rsidRPr="001B4A02" w:rsidRDefault="00073F8F" w:rsidP="00DD3461">
      <w:pPr>
        <w:keepNext/>
        <w:rPr>
          <w:del w:id="9972" w:author="AbbVie1" w:date="2025-05-13T10:11:00Z"/>
          <w:b/>
        </w:rPr>
      </w:pPr>
    </w:p>
    <w:p w14:paraId="2962B612" w14:textId="77777777" w:rsidR="009E3804" w:rsidRPr="001B4A02" w:rsidRDefault="00000000" w:rsidP="00DD3461">
      <w:pPr>
        <w:keepNext/>
        <w:ind w:left="0" w:firstLine="0"/>
        <w:rPr>
          <w:del w:id="9973" w:author="AbbVie1" w:date="2025-05-13T10:11:00Z"/>
        </w:rPr>
      </w:pPr>
      <w:del w:id="9974" w:author="AbbVie1" w:date="2025-05-13T10:11:00Z">
        <w:r w:rsidRPr="001B4A02">
          <w:delText>P</w:delText>
        </w:r>
        <w:r w:rsidR="008D0189" w:rsidRPr="001B4A02">
          <w:delText xml:space="preserve">řed </w:delText>
        </w:r>
        <w:r w:rsidR="00121AA4" w:rsidRPr="001B4A02">
          <w:delText>po</w:delText>
        </w:r>
        <w:r w:rsidR="008D0189" w:rsidRPr="001B4A02">
          <w:delText>užitím přípravku Humira s</w:delText>
        </w:r>
        <w:r w:rsidR="00754BF8" w:rsidRPr="001B4A02">
          <w:delText xml:space="preserve">e poraďte </w:delText>
        </w:r>
        <w:r w:rsidRPr="001B4A02">
          <w:delText>s lékařem Vašeho dítě</w:delText>
        </w:r>
        <w:r w:rsidR="008D0189" w:rsidRPr="001B4A02">
          <w:delText>te nebo lékárníkem</w:delText>
        </w:r>
        <w:r w:rsidR="00521F02" w:rsidRPr="001B4A02">
          <w:delText>.</w:delText>
        </w:r>
      </w:del>
    </w:p>
    <w:p w14:paraId="4AEF8B6F" w14:textId="77777777" w:rsidR="008D0189" w:rsidRPr="001B4A02" w:rsidRDefault="008D0189" w:rsidP="00932C6F">
      <w:pPr>
        <w:rPr>
          <w:del w:id="9975" w:author="AbbVie1" w:date="2025-05-13T10:11:00Z"/>
        </w:rPr>
      </w:pPr>
    </w:p>
    <w:p w14:paraId="62C4F252" w14:textId="77777777" w:rsidR="00073F8F" w:rsidRPr="001B4A02" w:rsidRDefault="00000000" w:rsidP="00ED48A3">
      <w:pPr>
        <w:numPr>
          <w:ilvl w:val="0"/>
          <w:numId w:val="8"/>
        </w:numPr>
        <w:tabs>
          <w:tab w:val="clear" w:pos="720"/>
          <w:tab w:val="num" w:pos="0"/>
        </w:tabs>
        <w:ind w:left="567" w:hanging="567"/>
        <w:rPr>
          <w:del w:id="9976" w:author="AbbVie1" w:date="2025-05-13T10:11:00Z"/>
        </w:rPr>
      </w:pPr>
      <w:del w:id="9977" w:author="AbbVie1" w:date="2025-05-13T10:11:00Z">
        <w:r w:rsidRPr="001B4A02">
          <w:delText>Jestliže se u </w:delText>
        </w:r>
        <w:r w:rsidR="00C079B4" w:rsidRPr="001B4A02">
          <w:delText>Vašeho dítěte</w:delText>
        </w:r>
        <w:r w:rsidRPr="001B4A02">
          <w:delText xml:space="preserve"> vyskytnou alergické reakce s</w:delText>
        </w:r>
        <w:r w:rsidR="00E91CB6" w:rsidRPr="001B4A02">
          <w:delText> </w:delText>
        </w:r>
        <w:r w:rsidRPr="001B4A02">
          <w:delText>příznaky</w:delText>
        </w:r>
        <w:r w:rsidR="00E91CB6" w:rsidRPr="001B4A02">
          <w:delText>,</w:delText>
        </w:r>
        <w:r w:rsidRPr="001B4A02">
          <w:delText xml:space="preserve"> jako je pocit tíhy na hrudi, dýchavičnost, závratě, otoky nebo vyrážka, nepodávejte </w:delText>
        </w:r>
        <w:r w:rsidR="00FA561D" w:rsidRPr="001B4A02">
          <w:delText>mu</w:delText>
        </w:r>
        <w:r w:rsidRPr="001B4A02">
          <w:delText xml:space="preserve"> další injekci přípravku Humira</w:delText>
        </w:r>
        <w:r w:rsidR="002378E0">
          <w:delText xml:space="preserve"> a </w:delText>
        </w:r>
        <w:r w:rsidRPr="001B4A02">
          <w:delText>kontaktujte ihned lékaře</w:delText>
        </w:r>
        <w:r w:rsidR="00076CDE" w:rsidRPr="001B4A02">
          <w:delText xml:space="preserve">, protože </w:delText>
        </w:r>
        <w:r w:rsidR="00076CDE" w:rsidRPr="001B4A02">
          <w:rPr>
            <w:bCs/>
            <w:szCs w:val="22"/>
          </w:rPr>
          <w:delText>tyto reakce mohou být ve vzácných případech život ohrožující</w:delText>
        </w:r>
        <w:r w:rsidRPr="001B4A02">
          <w:delText>.</w:delText>
        </w:r>
      </w:del>
    </w:p>
    <w:p w14:paraId="38911B31" w14:textId="77777777" w:rsidR="00073F8F" w:rsidRPr="001B4A02" w:rsidRDefault="00073F8F" w:rsidP="00ED48A3">
      <w:pPr>
        <w:ind w:firstLine="0"/>
        <w:rPr>
          <w:del w:id="9978" w:author="AbbVie1" w:date="2025-05-13T10:11:00Z"/>
        </w:rPr>
      </w:pPr>
    </w:p>
    <w:p w14:paraId="31CCF3C1" w14:textId="77777777" w:rsidR="00073F8F" w:rsidRPr="001B4A02" w:rsidRDefault="00000000" w:rsidP="00ED48A3">
      <w:pPr>
        <w:numPr>
          <w:ilvl w:val="0"/>
          <w:numId w:val="8"/>
        </w:numPr>
        <w:tabs>
          <w:tab w:val="clear" w:pos="720"/>
          <w:tab w:val="num" w:pos="0"/>
        </w:tabs>
        <w:ind w:left="567" w:hanging="567"/>
        <w:rPr>
          <w:del w:id="9979" w:author="AbbVie1" w:date="2025-05-13T10:11:00Z"/>
        </w:rPr>
      </w:pPr>
      <w:del w:id="9980" w:author="AbbVie1" w:date="2025-05-13T10:11:00Z">
        <w:r w:rsidRPr="001B4A02">
          <w:delText>Jestliže má</w:delText>
        </w:r>
        <w:r w:rsidR="00C079B4" w:rsidRPr="001B4A02">
          <w:delText xml:space="preserve"> Vaše dítě</w:delText>
        </w:r>
        <w:r w:rsidRPr="001B4A02">
          <w:delText xml:space="preserve"> nějakou infekci, včetně dlouhodobé nebo lokalizované infekce (např. bércový vřed), obraťte se před zahájením léčby přípravkem Humira na lékaře. Pokud si nejste jist</w:delText>
        </w:r>
        <w:r w:rsidR="009E1608" w:rsidRPr="001B4A02">
          <w:delText>ý</w:delText>
        </w:r>
        <w:r w:rsidRPr="001B4A02">
          <w:delText>(</w:delText>
        </w:r>
        <w:r w:rsidR="009E1608" w:rsidRPr="001B4A02">
          <w:delText>á</w:delText>
        </w:r>
        <w:r w:rsidRPr="001B4A02">
          <w:delText>), kontaktujte lékaře.</w:delText>
        </w:r>
      </w:del>
    </w:p>
    <w:p w14:paraId="1EAFFB7F" w14:textId="77777777" w:rsidR="00073F8F" w:rsidRPr="001B4A02" w:rsidRDefault="00073F8F" w:rsidP="00ED48A3">
      <w:pPr>
        <w:pStyle w:val="EndnoteText"/>
        <w:tabs>
          <w:tab w:val="num" w:pos="0"/>
        </w:tabs>
        <w:rPr>
          <w:del w:id="9981" w:author="AbbVie1" w:date="2025-05-13T10:11:00Z"/>
          <w:lang w:val="cs-CZ"/>
        </w:rPr>
      </w:pPr>
    </w:p>
    <w:p w14:paraId="604FFC72" w14:textId="77777777" w:rsidR="00073F8F" w:rsidRPr="001B4A02" w:rsidRDefault="00000000" w:rsidP="00ED48A3">
      <w:pPr>
        <w:numPr>
          <w:ilvl w:val="0"/>
          <w:numId w:val="8"/>
        </w:numPr>
        <w:tabs>
          <w:tab w:val="clear" w:pos="720"/>
          <w:tab w:val="num" w:pos="0"/>
        </w:tabs>
        <w:ind w:left="567" w:hanging="567"/>
        <w:rPr>
          <w:del w:id="9982" w:author="AbbVie1" w:date="2025-05-13T10:11:00Z"/>
        </w:rPr>
      </w:pPr>
      <w:del w:id="9983" w:author="AbbVie1" w:date="2025-05-13T10:11:00Z">
        <w:r w:rsidRPr="001B4A02">
          <w:delText xml:space="preserve">Při léčbě přípravkem Humira může být </w:delText>
        </w:r>
        <w:r w:rsidR="00C079B4" w:rsidRPr="001B4A02">
          <w:delText xml:space="preserve">Vaše dítě </w:delText>
        </w:r>
        <w:r w:rsidRPr="001B4A02">
          <w:delText xml:space="preserve">náchylnější k infekcím. </w:delText>
        </w:r>
        <w:r w:rsidR="0089668C" w:rsidRPr="001B4A02">
          <w:delText xml:space="preserve">Riziko může stoupat, pokud má poškozenou funkci plic. </w:delText>
        </w:r>
        <w:r w:rsidRPr="001B4A02">
          <w:delText xml:space="preserve">Tyto infekce mohou být </w:delText>
        </w:r>
        <w:r w:rsidRPr="001B4A02">
          <w:rPr>
            <w:bCs/>
            <w:szCs w:val="22"/>
          </w:rPr>
          <w:delText>závažné</w:delText>
        </w:r>
        <w:r w:rsidR="002378E0">
          <w:rPr>
            <w:bCs/>
            <w:szCs w:val="22"/>
          </w:rPr>
          <w:delText xml:space="preserve"> a </w:delText>
        </w:r>
        <w:r w:rsidRPr="001B4A02">
          <w:rPr>
            <w:bCs/>
            <w:szCs w:val="22"/>
          </w:rPr>
          <w:delText>zahrnují tuberkulózu, infekce způsobené viry, plísněmi</w:delText>
        </w:r>
        <w:r w:rsidR="008C3E23" w:rsidRPr="001B4A02">
          <w:rPr>
            <w:bCs/>
            <w:szCs w:val="22"/>
          </w:rPr>
          <w:delText>, parazity</w:delText>
        </w:r>
        <w:r w:rsidRPr="001B4A02">
          <w:rPr>
            <w:bCs/>
            <w:szCs w:val="22"/>
          </w:rPr>
          <w:delText xml:space="preserve"> nebo bakteriemi či jiné oportunní infekce (infekce, které za normálních okolností nejsou pro člověka nebezpečné)</w:delText>
        </w:r>
        <w:r w:rsidR="002378E0">
          <w:rPr>
            <w:bCs/>
            <w:szCs w:val="22"/>
          </w:rPr>
          <w:delText xml:space="preserve"> a </w:delText>
        </w:r>
        <w:r w:rsidRPr="001B4A02">
          <w:rPr>
            <w:bCs/>
            <w:szCs w:val="22"/>
          </w:rPr>
          <w:delText>sepse, které mohou být ve vzácných případech život ohrožující</w:delText>
        </w:r>
        <w:r w:rsidRPr="001B4A02">
          <w:delText>. Je důležité, abyste informoval(a) lékaře, pokud se</w:delText>
        </w:r>
        <w:r w:rsidR="0028371E" w:rsidRPr="001B4A02">
          <w:delText xml:space="preserve"> u </w:delText>
        </w:r>
        <w:r w:rsidR="00C079B4" w:rsidRPr="001B4A02">
          <w:delText>Vašeho dítěte</w:delText>
        </w:r>
        <w:r w:rsidRPr="001B4A02">
          <w:delText xml:space="preserve"> vyskytnou příznaky</w:delText>
        </w:r>
        <w:r w:rsidR="00E91CB6" w:rsidRPr="001B4A02">
          <w:delText>,</w:delText>
        </w:r>
        <w:r w:rsidRPr="001B4A02">
          <w:delText xml:space="preserve"> jako je horečka, zranění, </w:delText>
        </w:r>
        <w:r w:rsidR="009F16DC">
          <w:delText xml:space="preserve">pocit </w:delText>
        </w:r>
        <w:r w:rsidRPr="001B4A02">
          <w:delText>únav</w:delText>
        </w:r>
        <w:r w:rsidR="009F16DC">
          <w:delText>y</w:delText>
        </w:r>
        <w:r w:rsidRPr="001B4A02">
          <w:delText xml:space="preserve"> nebo problémy se zuby. </w:delText>
        </w:r>
        <w:r w:rsidR="000F4A03" w:rsidRPr="001B4A02">
          <w:delText>L</w:delText>
        </w:r>
        <w:r w:rsidRPr="001B4A02">
          <w:delText>ékař může doporučit dočasné přerušení léčby přípravkem Humira.</w:delText>
        </w:r>
      </w:del>
    </w:p>
    <w:p w14:paraId="77947BED" w14:textId="77777777" w:rsidR="00073F8F" w:rsidRPr="001B4A02" w:rsidRDefault="00073F8F" w:rsidP="00ED48A3">
      <w:pPr>
        <w:tabs>
          <w:tab w:val="num" w:pos="0"/>
        </w:tabs>
        <w:rPr>
          <w:del w:id="9984" w:author="AbbVie1" w:date="2025-05-13T10:11:00Z"/>
        </w:rPr>
      </w:pPr>
    </w:p>
    <w:p w14:paraId="16631D20" w14:textId="77777777" w:rsidR="00073F8F" w:rsidRPr="001B4A02" w:rsidRDefault="00000000" w:rsidP="00ED48A3">
      <w:pPr>
        <w:numPr>
          <w:ilvl w:val="0"/>
          <w:numId w:val="8"/>
        </w:numPr>
        <w:tabs>
          <w:tab w:val="clear" w:pos="720"/>
          <w:tab w:val="num" w:pos="0"/>
        </w:tabs>
        <w:ind w:left="567" w:hanging="567"/>
        <w:rPr>
          <w:del w:id="9985" w:author="AbbVie1" w:date="2025-05-13T10:11:00Z"/>
        </w:rPr>
      </w:pPr>
      <w:del w:id="9986" w:author="AbbVie1" w:date="2025-05-13T10:11:00Z">
        <w:r w:rsidRPr="001B4A02">
          <w:delText>Protože</w:delText>
        </w:r>
        <w:r w:rsidR="0028371E" w:rsidRPr="001B4A02">
          <w:delText xml:space="preserve"> u </w:delText>
        </w:r>
        <w:r w:rsidRPr="001B4A02">
          <w:delText xml:space="preserve">pacientů léčených přípravkem Humira byly hlášeny případy tuberkulózy, před zahájením léčby přípravkem Humira lékař </w:delText>
        </w:r>
        <w:r w:rsidR="00FA561D" w:rsidRPr="001B4A02">
          <w:delText xml:space="preserve">Vaše dítě </w:delText>
        </w:r>
        <w:r w:rsidRPr="001B4A02">
          <w:delText>vyšetří, zda se příznaky tohoto onemocnění</w:delText>
        </w:r>
        <w:r w:rsidR="0028371E" w:rsidRPr="001B4A02">
          <w:delText xml:space="preserve"> u </w:delText>
        </w:r>
        <w:r w:rsidR="00FA561D" w:rsidRPr="001B4A02">
          <w:delText>něj</w:delText>
        </w:r>
        <w:r w:rsidRPr="001B4A02">
          <w:delText xml:space="preserve"> nevyskytly. To znamená, že</w:delText>
        </w:r>
        <w:r w:rsidR="0028371E" w:rsidRPr="001B4A02">
          <w:delText xml:space="preserve"> u </w:delText>
        </w:r>
        <w:r w:rsidR="00BF1BC5" w:rsidRPr="001B4A02">
          <w:delText xml:space="preserve">Vašeho dítěte </w:delText>
        </w:r>
        <w:r w:rsidRPr="001B4A02">
          <w:delText xml:space="preserve">podrobně </w:delText>
        </w:r>
        <w:r w:rsidR="00BF1BC5" w:rsidRPr="001B4A02">
          <w:delText xml:space="preserve">zhodnotí </w:delText>
        </w:r>
        <w:r w:rsidR="006F7AD3" w:rsidRPr="001B4A02">
          <w:delText xml:space="preserve">dříve </w:delText>
        </w:r>
        <w:r w:rsidRPr="001B4A02">
          <w:delText xml:space="preserve">prodělaná onemocnění, provede </w:delText>
        </w:r>
        <w:r w:rsidR="00BF1BC5" w:rsidRPr="001B4A02">
          <w:delText xml:space="preserve">potřebná kontrolní vyšetření (například </w:delText>
        </w:r>
        <w:r w:rsidRPr="001B4A02">
          <w:delText>rentgen hrudníku</w:delText>
        </w:r>
        <w:r w:rsidR="002378E0">
          <w:delText xml:space="preserve"> a </w:delText>
        </w:r>
        <w:r w:rsidRPr="001B4A02">
          <w:delText>tuberkulinový test</w:delText>
        </w:r>
        <w:r w:rsidR="00BF1BC5" w:rsidRPr="001B4A02">
          <w:delText>)</w:delText>
        </w:r>
        <w:r w:rsidRPr="001B4A02">
          <w:delText>. Provedení</w:delText>
        </w:r>
        <w:r w:rsidR="002378E0">
          <w:delText xml:space="preserve"> a </w:delText>
        </w:r>
        <w:r w:rsidR="00BF1BC5" w:rsidRPr="001B4A02">
          <w:delText xml:space="preserve">výsledky </w:delText>
        </w:r>
        <w:r w:rsidRPr="001B4A02">
          <w:delText>těchto vyšetření zaznamená do informační kartičky</w:delText>
        </w:r>
        <w:r w:rsidR="00FA561D" w:rsidRPr="001B4A02">
          <w:delText xml:space="preserve"> dítěte</w:delText>
        </w:r>
        <w:r w:rsidRPr="001B4A02">
          <w:delText xml:space="preserve">. Pokud </w:delText>
        </w:r>
        <w:r w:rsidR="00FA561D" w:rsidRPr="001B4A02">
          <w:delText xml:space="preserve">Vaše dítě </w:delText>
        </w:r>
        <w:r w:rsidRPr="001B4A02">
          <w:delText>prodělal</w:delText>
        </w:r>
        <w:r w:rsidR="00FA561D" w:rsidRPr="001B4A02">
          <w:delText>o</w:delText>
        </w:r>
        <w:r w:rsidRPr="001B4A02">
          <w:delText xml:space="preserve"> tuberkulózu, anebo byl</w:delText>
        </w:r>
        <w:r w:rsidR="00FA561D" w:rsidRPr="001B4A02">
          <w:delText>o</w:delText>
        </w:r>
        <w:r w:rsidRPr="001B4A02">
          <w:delText xml:space="preserve"> v blízkém kontaktu s osobou s tuberkulózou, je velmi důležité, abyste to řekl(a) lékaři. </w:delText>
        </w:r>
        <w:r w:rsidR="00BF1BC5" w:rsidRPr="001B4A02">
          <w:delText xml:space="preserve">K rozvoji tuberkulózy může v průběhu léčby dojít i v případě, že Vaše dítě bylo na tuberkulózu preventivně přeléčeno. </w:delText>
        </w:r>
        <w:r w:rsidRPr="001B4A02">
          <w:delText>Pokud se</w:delText>
        </w:r>
        <w:r w:rsidR="0028371E" w:rsidRPr="001B4A02">
          <w:delText xml:space="preserve"> u </w:delText>
        </w:r>
        <w:r w:rsidR="00FA561D" w:rsidRPr="001B4A02">
          <w:delText>Vašeho dítěte</w:delText>
        </w:r>
        <w:r w:rsidRPr="001B4A02">
          <w:delText xml:space="preserve"> objeví příznaky tuberkulózy (přetrvávající kašel, úbytek na váze, apatie, mírná horečka), nebo se během léčby i po léčbě objeví jiná i</w:delText>
        </w:r>
        <w:r w:rsidR="00932C6F" w:rsidRPr="001B4A02">
          <w:delText>nfekce, sdělte to ihned lékaři.</w:delText>
        </w:r>
      </w:del>
    </w:p>
    <w:p w14:paraId="736108FF" w14:textId="77777777" w:rsidR="00073F8F" w:rsidRPr="001B4A02" w:rsidRDefault="00073F8F" w:rsidP="00ED48A3">
      <w:pPr>
        <w:ind w:left="0" w:firstLine="0"/>
        <w:rPr>
          <w:del w:id="9987" w:author="AbbVie1" w:date="2025-05-13T10:11:00Z"/>
        </w:rPr>
      </w:pPr>
    </w:p>
    <w:p w14:paraId="6CA31D90" w14:textId="77777777" w:rsidR="00073F8F" w:rsidRPr="001B4A02" w:rsidRDefault="00000000" w:rsidP="00ED48A3">
      <w:pPr>
        <w:numPr>
          <w:ilvl w:val="0"/>
          <w:numId w:val="8"/>
        </w:numPr>
        <w:tabs>
          <w:tab w:val="clear" w:pos="720"/>
          <w:tab w:val="num" w:pos="0"/>
        </w:tabs>
        <w:ind w:left="567" w:hanging="567"/>
        <w:rPr>
          <w:del w:id="9988" w:author="AbbVie1" w:date="2025-05-13T10:11:00Z"/>
        </w:rPr>
      </w:pPr>
      <w:del w:id="9989" w:author="AbbVie1" w:date="2025-05-13T10:11:00Z">
        <w:r w:rsidRPr="001B4A02">
          <w:delText xml:space="preserve">Informujte svého lékaře, pokud </w:delText>
        </w:r>
        <w:r w:rsidR="00FA561D" w:rsidRPr="001B4A02">
          <w:delText xml:space="preserve">Vaše dítě </w:delText>
        </w:r>
        <w:r w:rsidRPr="001B4A02">
          <w:delText>pobývá nebo cestuje do oblastí, kde se endemicky vyskytují plísňové infekce</w:delText>
        </w:r>
        <w:r w:rsidR="00A27A27" w:rsidRPr="001B4A02">
          <w:delText>,</w:delText>
        </w:r>
        <w:r w:rsidRPr="001B4A02">
          <w:delText xml:space="preserve"> jako je histoplasmóza, kokcidióza nebo blastocystóza.</w:delText>
        </w:r>
      </w:del>
    </w:p>
    <w:p w14:paraId="48B21220" w14:textId="77777777" w:rsidR="00073F8F" w:rsidRPr="001B4A02" w:rsidRDefault="00073F8F" w:rsidP="00ED48A3">
      <w:pPr>
        <w:tabs>
          <w:tab w:val="num" w:pos="0"/>
        </w:tabs>
        <w:rPr>
          <w:del w:id="9990" w:author="AbbVie1" w:date="2025-05-13T10:11:00Z"/>
        </w:rPr>
      </w:pPr>
    </w:p>
    <w:p w14:paraId="726E365B" w14:textId="77777777" w:rsidR="00073F8F" w:rsidRPr="001B4A02" w:rsidRDefault="00000000" w:rsidP="00ED48A3">
      <w:pPr>
        <w:pStyle w:val="EndnoteText"/>
        <w:numPr>
          <w:ilvl w:val="0"/>
          <w:numId w:val="8"/>
        </w:numPr>
        <w:tabs>
          <w:tab w:val="clear" w:pos="720"/>
          <w:tab w:val="num" w:pos="0"/>
        </w:tabs>
        <w:ind w:left="567" w:hanging="567"/>
        <w:rPr>
          <w:del w:id="9991" w:author="AbbVie1" w:date="2025-05-13T10:11:00Z"/>
          <w:lang w:val="cs-CZ"/>
        </w:rPr>
      </w:pPr>
      <w:del w:id="9992" w:author="AbbVie1" w:date="2025-05-13T10:11:00Z">
        <w:r w:rsidRPr="001B4A02">
          <w:rPr>
            <w:lang w:val="cs-CZ"/>
          </w:rPr>
          <w:delText>Informujte lékaře, pokud se</w:delText>
        </w:r>
        <w:r w:rsidR="0028371E" w:rsidRPr="001B4A02">
          <w:rPr>
            <w:lang w:val="cs-CZ"/>
          </w:rPr>
          <w:delText xml:space="preserve"> u </w:delText>
        </w:r>
        <w:r w:rsidR="00FA561D" w:rsidRPr="001B4A02">
          <w:rPr>
            <w:lang w:val="cs-CZ"/>
          </w:rPr>
          <w:delText>Vašeho dítěte</w:delText>
        </w:r>
        <w:r w:rsidRPr="001B4A02">
          <w:rPr>
            <w:lang w:val="cs-CZ"/>
          </w:rPr>
          <w:delText xml:space="preserve"> vyskytovaly opakované infekce nebo jiné stavy, které zvyšují riziko infekcí.</w:delText>
        </w:r>
      </w:del>
    </w:p>
    <w:p w14:paraId="09282E02" w14:textId="77777777" w:rsidR="00073F8F" w:rsidRPr="001B4A02" w:rsidRDefault="00073F8F" w:rsidP="00ED48A3">
      <w:pPr>
        <w:rPr>
          <w:del w:id="9993" w:author="AbbVie1" w:date="2025-05-13T10:11:00Z"/>
        </w:rPr>
      </w:pPr>
    </w:p>
    <w:p w14:paraId="6579BA65" w14:textId="77777777" w:rsidR="0089668C" w:rsidRPr="001B4A02" w:rsidRDefault="00000000" w:rsidP="00ED48A3">
      <w:pPr>
        <w:rPr>
          <w:del w:id="9994" w:author="AbbVie1" w:date="2025-05-13T10:11:00Z"/>
        </w:rPr>
      </w:pPr>
      <w:del w:id="9995" w:author="AbbVie1" w:date="2025-05-13T10:11:00Z">
        <w:r w:rsidRPr="001B4A02">
          <w:rPr>
            <w:rFonts w:ascii="Symbol" w:hAnsi="Symbol"/>
          </w:rPr>
          <w:sym w:font="Symbol" w:char="F0B7"/>
        </w:r>
        <w:r w:rsidRPr="001B4A02">
          <w:tab/>
          <w:delText xml:space="preserve">Jestliže je </w:delText>
        </w:r>
        <w:r w:rsidR="00FA561D" w:rsidRPr="001B4A02">
          <w:delText xml:space="preserve">Vaše dítě </w:delText>
        </w:r>
        <w:r w:rsidRPr="001B4A02">
          <w:delText>nositelem viru hepatitidy typu B (HBV), jestliže má aktivní HBV infekci nebo si myslíte, že by mohl</w:delText>
        </w:r>
        <w:r w:rsidR="00FA561D" w:rsidRPr="001B4A02">
          <w:delText>o</w:delText>
        </w:r>
        <w:r w:rsidRPr="001B4A02">
          <w:delText xml:space="preserve"> být </w:delText>
        </w:r>
        <w:r w:rsidR="002E30BF" w:rsidRPr="001B4A02">
          <w:delText xml:space="preserve">ohroženo </w:delText>
        </w:r>
        <w:r w:rsidRPr="001B4A02">
          <w:delText xml:space="preserve">infekcí HBV, sdělte to lékaři. </w:delText>
        </w:r>
        <w:r w:rsidR="005A4AD8" w:rsidRPr="001B4A02">
          <w:delText xml:space="preserve">Lékař Vaše dítě na infekci HBV vyšetří. </w:delText>
        </w:r>
        <w:r w:rsidR="00264669" w:rsidRPr="001B4A02">
          <w:delText xml:space="preserve">Přípravek </w:delText>
        </w:r>
        <w:r w:rsidRPr="001B4A02">
          <w:delText>Humira může způsobovat reaktivaci (obnovení) HBV infekce</w:delText>
        </w:r>
        <w:r w:rsidR="0028371E" w:rsidRPr="001B4A02">
          <w:delText xml:space="preserve"> u </w:delText>
        </w:r>
        <w:r w:rsidRPr="001B4A02">
          <w:delText xml:space="preserve">lidí, kteří jsou nositeli viru. V některých ojedinělých případech, zvláště pokud </w:delText>
        </w:r>
        <w:r w:rsidR="00FA561D" w:rsidRPr="001B4A02">
          <w:delText xml:space="preserve">Vaše dítě </w:delText>
        </w:r>
        <w:r w:rsidRPr="001B4A02">
          <w:delText>bere jiné léky k potlačení imunitního systému, může být reaktivace viru HBV život ohrožující.</w:delText>
        </w:r>
      </w:del>
    </w:p>
    <w:p w14:paraId="09F0B353" w14:textId="77777777" w:rsidR="009163F7" w:rsidRPr="001B4A02" w:rsidRDefault="009163F7" w:rsidP="00ED48A3">
      <w:pPr>
        <w:rPr>
          <w:del w:id="9996" w:author="AbbVie1" w:date="2025-05-13T10:11:00Z"/>
        </w:rPr>
      </w:pPr>
    </w:p>
    <w:p w14:paraId="721C2994" w14:textId="77777777" w:rsidR="008D0189" w:rsidRPr="001B4A02" w:rsidRDefault="00000000" w:rsidP="00ED48A3">
      <w:pPr>
        <w:numPr>
          <w:ilvl w:val="0"/>
          <w:numId w:val="8"/>
        </w:numPr>
        <w:tabs>
          <w:tab w:val="clear" w:pos="720"/>
          <w:tab w:val="num" w:pos="567"/>
        </w:tabs>
        <w:ind w:left="567" w:hanging="567"/>
        <w:rPr>
          <w:del w:id="9997" w:author="AbbVie1" w:date="2025-05-13T10:11:00Z"/>
        </w:rPr>
      </w:pPr>
      <w:del w:id="9998" w:author="AbbVie1" w:date="2025-05-13T10:11:00Z">
        <w:r w:rsidRPr="001B4A02">
          <w:delText>Je důležité, abyste oznámil(a) svému lékaři, pokud se</w:delText>
        </w:r>
        <w:r w:rsidR="0028371E" w:rsidRPr="001B4A02">
          <w:delText xml:space="preserve"> u </w:delText>
        </w:r>
        <w:r w:rsidRPr="001B4A02">
          <w:delText xml:space="preserve">Vašeho dítěte vyskytnou </w:delText>
        </w:r>
        <w:r w:rsidR="00435E33">
          <w:delText>příznaky</w:delText>
        </w:r>
        <w:r w:rsidR="00435E33" w:rsidRPr="001B4A02">
          <w:delText xml:space="preserve"> </w:delText>
        </w:r>
        <w:r w:rsidRPr="001B4A02">
          <w:delText xml:space="preserve">infekce, jako je horečka, </w:delText>
        </w:r>
        <w:r w:rsidR="00435E33">
          <w:delText>zranění, pocit únavy</w:delText>
        </w:r>
        <w:r w:rsidR="00435E33" w:rsidRPr="001B4A02">
          <w:delText xml:space="preserve"> </w:delText>
        </w:r>
        <w:r w:rsidRPr="001B4A02">
          <w:delText>nebo problémy se zuby.</w:delText>
        </w:r>
      </w:del>
    </w:p>
    <w:p w14:paraId="3D73F5F9" w14:textId="77777777" w:rsidR="008D0189" w:rsidRPr="001B4A02" w:rsidRDefault="008D0189" w:rsidP="002006B8">
      <w:pPr>
        <w:pStyle w:val="EndnoteText"/>
        <w:ind w:left="0" w:firstLine="0"/>
        <w:rPr>
          <w:del w:id="9999" w:author="AbbVie1" w:date="2025-05-13T10:11:00Z"/>
          <w:lang w:val="cs-CZ"/>
        </w:rPr>
      </w:pPr>
    </w:p>
    <w:p w14:paraId="24B017D1" w14:textId="77777777" w:rsidR="00073F8F" w:rsidRPr="001B4A02" w:rsidRDefault="00000000" w:rsidP="00ED48A3">
      <w:pPr>
        <w:pStyle w:val="EndnoteText"/>
        <w:numPr>
          <w:ilvl w:val="1"/>
          <w:numId w:val="8"/>
        </w:numPr>
        <w:tabs>
          <w:tab w:val="clear" w:pos="1440"/>
          <w:tab w:val="num" w:pos="567"/>
        </w:tabs>
        <w:ind w:left="567" w:hanging="567"/>
        <w:rPr>
          <w:del w:id="10000" w:author="AbbVie1" w:date="2025-05-13T10:11:00Z"/>
          <w:lang w:val="cs-CZ"/>
        </w:rPr>
      </w:pPr>
      <w:del w:id="10001" w:author="AbbVie1" w:date="2025-05-13T10:11:00Z">
        <w:r w:rsidRPr="001B4A02">
          <w:rPr>
            <w:lang w:val="cs-CZ"/>
          </w:rPr>
          <w:delText xml:space="preserve">Pokud má být </w:delText>
        </w:r>
        <w:r w:rsidR="00E55C0B" w:rsidRPr="001B4A02">
          <w:rPr>
            <w:lang w:val="cs-CZ"/>
          </w:rPr>
          <w:delText xml:space="preserve">Vašemu dítěti </w:delText>
        </w:r>
        <w:r w:rsidRPr="001B4A02">
          <w:rPr>
            <w:lang w:val="cs-CZ"/>
          </w:rPr>
          <w:delText>provedena operace nebo stomatologický výkon, informujte, prosím, lékaře, že je léčen</w:delText>
        </w:r>
        <w:r w:rsidR="00E55C0B" w:rsidRPr="001B4A02">
          <w:rPr>
            <w:lang w:val="cs-CZ"/>
          </w:rPr>
          <w:delText>o</w:delText>
        </w:r>
        <w:r w:rsidRPr="001B4A02">
          <w:rPr>
            <w:lang w:val="cs-CZ"/>
          </w:rPr>
          <w:delText xml:space="preserve"> přípravkem Humira. </w:delText>
        </w:r>
        <w:r w:rsidR="000F4A03" w:rsidRPr="001B4A02">
          <w:rPr>
            <w:lang w:val="cs-CZ"/>
          </w:rPr>
          <w:delText>L</w:delText>
        </w:r>
        <w:r w:rsidRPr="001B4A02">
          <w:rPr>
            <w:lang w:val="cs-CZ"/>
          </w:rPr>
          <w:delText>ékař může doporučit dočasné přerušení léčby přípravkem Humira.</w:delText>
        </w:r>
      </w:del>
    </w:p>
    <w:p w14:paraId="128E75E9" w14:textId="77777777" w:rsidR="00073F8F" w:rsidRPr="001B4A02" w:rsidRDefault="00073F8F" w:rsidP="00ED48A3">
      <w:pPr>
        <w:tabs>
          <w:tab w:val="num" w:pos="0"/>
        </w:tabs>
        <w:rPr>
          <w:del w:id="10002" w:author="AbbVie1" w:date="2025-05-13T10:11:00Z"/>
        </w:rPr>
      </w:pPr>
    </w:p>
    <w:p w14:paraId="7E4E1BF8" w14:textId="77777777" w:rsidR="00073F8F" w:rsidRPr="001B4A02" w:rsidRDefault="00000000" w:rsidP="00ED48A3">
      <w:pPr>
        <w:numPr>
          <w:ilvl w:val="0"/>
          <w:numId w:val="8"/>
        </w:numPr>
        <w:tabs>
          <w:tab w:val="clear" w:pos="720"/>
          <w:tab w:val="num" w:pos="0"/>
        </w:tabs>
        <w:ind w:left="567" w:hanging="567"/>
        <w:rPr>
          <w:del w:id="10003" w:author="AbbVie1" w:date="2025-05-13T10:11:00Z"/>
        </w:rPr>
      </w:pPr>
      <w:del w:id="10004" w:author="AbbVie1" w:date="2025-05-13T10:11:00Z">
        <w:r w:rsidRPr="001B4A02">
          <w:delText xml:space="preserve">Jestliže má </w:delText>
        </w:r>
        <w:r w:rsidR="00E55C0B" w:rsidRPr="001B4A02">
          <w:delText xml:space="preserve">Vaše dítě </w:delText>
        </w:r>
        <w:r w:rsidRPr="001B4A02">
          <w:delText>demyelinizační onemocnění</w:delText>
        </w:r>
        <w:r w:rsidR="00B93621" w:rsidRPr="001B4A02">
          <w:delText>, nebo jestliže se</w:delText>
        </w:r>
        <w:r w:rsidR="0028371E" w:rsidRPr="001B4A02">
          <w:delText xml:space="preserve"> u </w:delText>
        </w:r>
        <w:r w:rsidR="00B93621" w:rsidRPr="001B4A02">
          <w:delText>něj demyelinizační onemocnění,</w:delText>
        </w:r>
        <w:r w:rsidRPr="001B4A02">
          <w:delText xml:space="preserve"> jako např. roztroušen</w:delText>
        </w:r>
        <w:r w:rsidR="00B93621" w:rsidRPr="001B4A02">
          <w:delText>á</w:delText>
        </w:r>
        <w:r w:rsidRPr="001B4A02">
          <w:delText xml:space="preserve"> skleróz</w:delText>
        </w:r>
        <w:r w:rsidR="00B93621" w:rsidRPr="001B4A02">
          <w:delText>a</w:delText>
        </w:r>
        <w:r w:rsidRPr="001B4A02">
          <w:delText xml:space="preserve">, </w:delText>
        </w:r>
        <w:r w:rsidR="00B93621" w:rsidRPr="001B4A02">
          <w:delText xml:space="preserve">objeví, </w:delText>
        </w:r>
        <w:r w:rsidRPr="001B4A02">
          <w:delText>lékař určí, zda může být léčen</w:delText>
        </w:r>
        <w:r w:rsidR="00E55C0B" w:rsidRPr="001B4A02">
          <w:delText>o</w:delText>
        </w:r>
        <w:r w:rsidRPr="001B4A02">
          <w:delText xml:space="preserve"> přípravkem Humira. </w:delText>
        </w:r>
        <w:r w:rsidR="00B93621" w:rsidRPr="001B4A02">
          <w:delText>Pokud se</w:delText>
        </w:r>
        <w:r w:rsidR="0028371E" w:rsidRPr="001B4A02">
          <w:delText xml:space="preserve"> u </w:delText>
        </w:r>
        <w:r w:rsidR="00982002" w:rsidRPr="001B4A02">
          <w:delText>V</w:delText>
        </w:r>
        <w:r w:rsidR="00B93621" w:rsidRPr="001B4A02">
          <w:delText xml:space="preserve">ašeho dítěte objeví některé příznaky, například změny vidění, slabost rukou nebo nohou </w:delText>
        </w:r>
        <w:r w:rsidR="005F3847" w:rsidRPr="001B4A02">
          <w:delText xml:space="preserve">či </w:delText>
        </w:r>
        <w:r w:rsidR="008C2BA0" w:rsidRPr="001B4A02">
          <w:delText xml:space="preserve">znecitlivění </w:delText>
        </w:r>
        <w:r w:rsidR="005F3847" w:rsidRPr="001B4A02">
          <w:delText>nebo brnění v některé části těla, musíte o</w:delText>
        </w:r>
        <w:r w:rsidR="00507DAA" w:rsidRPr="001B4A02">
          <w:delText> </w:delText>
        </w:r>
        <w:r w:rsidR="005F3847" w:rsidRPr="001B4A02">
          <w:delText xml:space="preserve">tom </w:delText>
        </w:r>
        <w:r w:rsidR="00982002" w:rsidRPr="001B4A02">
          <w:delText>V</w:delText>
        </w:r>
        <w:r w:rsidR="005F3847" w:rsidRPr="001B4A02">
          <w:delText>ašeho lékaře neprodleně informovat.</w:delText>
        </w:r>
      </w:del>
    </w:p>
    <w:p w14:paraId="1593FF5E" w14:textId="77777777" w:rsidR="00073F8F" w:rsidRPr="001B4A02" w:rsidRDefault="00073F8F" w:rsidP="00ED48A3">
      <w:pPr>
        <w:tabs>
          <w:tab w:val="num" w:pos="0"/>
        </w:tabs>
        <w:rPr>
          <w:del w:id="10005" w:author="AbbVie1" w:date="2025-05-13T10:11:00Z"/>
        </w:rPr>
      </w:pPr>
    </w:p>
    <w:p w14:paraId="69B87FCE" w14:textId="77777777" w:rsidR="00073F8F" w:rsidRPr="001B4A02" w:rsidRDefault="00000000" w:rsidP="00ED48A3">
      <w:pPr>
        <w:numPr>
          <w:ilvl w:val="0"/>
          <w:numId w:val="8"/>
        </w:numPr>
        <w:tabs>
          <w:tab w:val="clear" w:pos="720"/>
          <w:tab w:val="num" w:pos="0"/>
        </w:tabs>
        <w:ind w:left="567" w:hanging="567"/>
        <w:rPr>
          <w:del w:id="10006" w:author="AbbVie1" w:date="2025-05-13T10:11:00Z"/>
        </w:rPr>
      </w:pPr>
      <w:del w:id="10007" w:author="AbbVie1" w:date="2025-05-13T10:11:00Z">
        <w:r w:rsidRPr="001B4A02">
          <w:delText xml:space="preserve">Během léčby přípravkem Humira </w:delText>
        </w:r>
        <w:r w:rsidR="00E55C0B" w:rsidRPr="001B4A02">
          <w:delText xml:space="preserve">Vaše dítě </w:delText>
        </w:r>
        <w:r w:rsidRPr="001B4A02">
          <w:delText xml:space="preserve">nesmí dostat </w:delText>
        </w:r>
        <w:r w:rsidR="005A4AD8" w:rsidRPr="001B4A02">
          <w:delText>určité</w:delText>
        </w:r>
        <w:r w:rsidRPr="001B4A02">
          <w:delText xml:space="preserve"> očkovací látky</w:delText>
        </w:r>
        <w:r w:rsidR="005A4AD8" w:rsidRPr="001B4A02">
          <w:delText>, které by mohly vyvolat vznik infekce</w:delText>
        </w:r>
        <w:r w:rsidRPr="001B4A02">
          <w:delText>. Prosíme, domluvte se s</w:delText>
        </w:r>
        <w:r w:rsidR="000C2348" w:rsidRPr="001B4A02">
          <w:delText> </w:delText>
        </w:r>
        <w:r w:rsidRPr="001B4A02">
          <w:delText>lékařem o možnosti očkování ještě předtím, než bude očkován</w:delText>
        </w:r>
        <w:r w:rsidR="00E55C0B" w:rsidRPr="001B4A02">
          <w:delText>o</w:delText>
        </w:r>
        <w:r w:rsidRPr="001B4A02">
          <w:delText xml:space="preserve">. Doporučuje se, aby </w:delText>
        </w:r>
        <w:r w:rsidR="00265A66" w:rsidRPr="001B4A02">
          <w:delText xml:space="preserve">dětští </w:delText>
        </w:r>
        <w:r w:rsidRPr="001B4A02">
          <w:delText>pacienti absolvovali pokud možno všechna doporučená očkování v</w:delText>
        </w:r>
        <w:r w:rsidR="00507DAA" w:rsidRPr="001B4A02">
          <w:delText> </w:delText>
        </w:r>
        <w:r w:rsidRPr="001B4A02">
          <w:delText>souladu se současnými směrnicemi pro očkování ještě před zahájením léčby přípravkem Humira.</w:delText>
        </w:r>
        <w:r w:rsidR="00D72C0A" w:rsidRPr="001B4A02">
          <w:delText xml:space="preserve"> Pokud jste přípravek Humira </w:delText>
        </w:r>
        <w:r w:rsidR="005D5238" w:rsidRPr="001B4A02">
          <w:delText>po</w:delText>
        </w:r>
        <w:r w:rsidR="00D72C0A" w:rsidRPr="001B4A02">
          <w:delText xml:space="preserve">užívala </w:delText>
        </w:r>
        <w:r w:rsidR="006A7B6C" w:rsidRPr="001B4A02">
          <w:delText>během</w:delText>
        </w:r>
        <w:r w:rsidR="00D72C0A" w:rsidRPr="001B4A02">
          <w:delText> těhotenství, může být Vaše dítě náchylnější k infekcím po</w:delText>
        </w:r>
        <w:r w:rsidR="006A7B6C" w:rsidRPr="001B4A02">
          <w:delText xml:space="preserve"> </w:delText>
        </w:r>
        <w:r w:rsidR="00D72C0A" w:rsidRPr="001B4A02">
          <w:delText xml:space="preserve">dobu přibližně pěti měsíců poté, co jste dostala poslední dávku přípravku </w:delText>
        </w:r>
        <w:r w:rsidR="006A7B6C" w:rsidRPr="001B4A02">
          <w:delText>v</w:delText>
        </w:r>
        <w:r w:rsidR="00507DAA" w:rsidRPr="001B4A02">
          <w:delText> </w:delText>
        </w:r>
        <w:r w:rsidR="006A7B6C" w:rsidRPr="001B4A02">
          <w:delText>průběhu tě</w:delText>
        </w:r>
        <w:r w:rsidR="00D72C0A" w:rsidRPr="001B4A02">
          <w:delText>hotenství. Je důležité, aby</w:delText>
        </w:r>
        <w:r w:rsidR="006A7B6C" w:rsidRPr="001B4A02">
          <w:delText>ste oznámila lékaři Vašeho dítěte</w:delText>
        </w:r>
        <w:r w:rsidR="002378E0">
          <w:delText xml:space="preserve"> a </w:delText>
        </w:r>
        <w:r w:rsidR="00D72C0A" w:rsidRPr="001B4A02">
          <w:delText xml:space="preserve">jiným zdravotnickým pracovníkům, že </w:delText>
        </w:r>
        <w:r w:rsidR="006A7B6C" w:rsidRPr="001B4A02">
          <w:delText>Vám byl přípravek Humira v těhotenství podáván, aby se na základě této informace mohli rozhodnout, kdy je vhodné Vaše dítě očkovat.</w:delText>
        </w:r>
      </w:del>
    </w:p>
    <w:p w14:paraId="660BE6B0" w14:textId="77777777" w:rsidR="00073F8F" w:rsidRPr="001B4A02" w:rsidRDefault="00073F8F" w:rsidP="00ED48A3">
      <w:pPr>
        <w:tabs>
          <w:tab w:val="num" w:pos="0"/>
        </w:tabs>
        <w:rPr>
          <w:del w:id="10008" w:author="AbbVie1" w:date="2025-05-13T10:11:00Z"/>
        </w:rPr>
      </w:pPr>
    </w:p>
    <w:p w14:paraId="719DDA82" w14:textId="77777777" w:rsidR="00073F8F" w:rsidRPr="001B4A02" w:rsidRDefault="00000000" w:rsidP="00ED48A3">
      <w:pPr>
        <w:pStyle w:val="EndnoteText"/>
        <w:numPr>
          <w:ilvl w:val="0"/>
          <w:numId w:val="8"/>
        </w:numPr>
        <w:tabs>
          <w:tab w:val="clear" w:pos="720"/>
          <w:tab w:val="num" w:pos="0"/>
        </w:tabs>
        <w:ind w:left="567" w:hanging="567"/>
        <w:rPr>
          <w:del w:id="10009" w:author="AbbVie1" w:date="2025-05-13T10:11:00Z"/>
          <w:lang w:val="cs-CZ"/>
        </w:rPr>
      </w:pPr>
      <w:del w:id="10010" w:author="AbbVie1" w:date="2025-05-13T10:11:00Z">
        <w:r w:rsidRPr="001B4A02">
          <w:rPr>
            <w:lang w:val="cs-CZ"/>
          </w:rPr>
          <w:delText>Pokud se u </w:delText>
        </w:r>
        <w:r w:rsidR="00E55C0B" w:rsidRPr="001B4A02">
          <w:rPr>
            <w:lang w:val="cs-CZ"/>
          </w:rPr>
          <w:delText>Vašeho dítěte</w:delText>
        </w:r>
        <w:r w:rsidRPr="001B4A02">
          <w:rPr>
            <w:lang w:val="cs-CZ"/>
          </w:rPr>
          <w:delText xml:space="preserve"> vyskytuje mírné srdeční selhávání</w:delText>
        </w:r>
        <w:r w:rsidR="002378E0">
          <w:rPr>
            <w:lang w:val="cs-CZ"/>
          </w:rPr>
          <w:delText xml:space="preserve"> a </w:delText>
        </w:r>
        <w:r w:rsidRPr="001B4A02">
          <w:rPr>
            <w:lang w:val="cs-CZ"/>
          </w:rPr>
          <w:delText>je léčen</w:delText>
        </w:r>
        <w:r w:rsidR="00E55C0B" w:rsidRPr="001B4A02">
          <w:rPr>
            <w:lang w:val="cs-CZ"/>
          </w:rPr>
          <w:delText>o</w:delText>
        </w:r>
        <w:r w:rsidRPr="001B4A02">
          <w:rPr>
            <w:lang w:val="cs-CZ"/>
          </w:rPr>
          <w:delText xml:space="preserve"> přípravkem Humira, musí být lékařem pečlivě sledován stav </w:delText>
        </w:r>
        <w:r w:rsidR="00E55C0B" w:rsidRPr="001B4A02">
          <w:rPr>
            <w:lang w:val="cs-CZ"/>
          </w:rPr>
          <w:delText>j</w:delText>
        </w:r>
        <w:r w:rsidRPr="001B4A02">
          <w:rPr>
            <w:lang w:val="cs-CZ"/>
          </w:rPr>
          <w:delText>eho srdce. Je důležité, abyste sdělil(a) lékaři, že se u </w:delText>
        </w:r>
        <w:r w:rsidR="00E55C0B" w:rsidRPr="001B4A02">
          <w:rPr>
            <w:lang w:val="cs-CZ"/>
          </w:rPr>
          <w:delText>Vašeho dítěte</w:delText>
        </w:r>
        <w:r w:rsidRPr="001B4A02">
          <w:rPr>
            <w:lang w:val="cs-CZ"/>
          </w:rPr>
          <w:delText xml:space="preserve"> vyskytly nebo se v současné době vyskytují závažné problémy se srdcem. Pokud se u </w:delText>
        </w:r>
        <w:r w:rsidR="00E55C0B" w:rsidRPr="001B4A02">
          <w:rPr>
            <w:lang w:val="cs-CZ"/>
          </w:rPr>
          <w:delText>Vašeho dítěte</w:delText>
        </w:r>
        <w:r w:rsidRPr="001B4A02">
          <w:rPr>
            <w:lang w:val="cs-CZ"/>
          </w:rPr>
          <w:delText xml:space="preserve"> vyskytnou nové nebo se zhorší již stávající známky srdečního selhávání (např. dýchavičnost nebo otoky dolních končetin), musíte ihned kontaktovat lékaře. </w:delText>
        </w:r>
        <w:r w:rsidR="000F4A03" w:rsidRPr="001B4A02">
          <w:rPr>
            <w:lang w:val="cs-CZ"/>
          </w:rPr>
          <w:delText>L</w:delText>
        </w:r>
        <w:r w:rsidRPr="001B4A02">
          <w:rPr>
            <w:lang w:val="cs-CZ"/>
          </w:rPr>
          <w:delText xml:space="preserve">ékař rozhodne, zda má </w:delText>
        </w:r>
        <w:r w:rsidR="00E55C0B" w:rsidRPr="001B4A02">
          <w:rPr>
            <w:lang w:val="cs-CZ"/>
          </w:rPr>
          <w:delText xml:space="preserve">Vaše dítě </w:delText>
        </w:r>
        <w:r w:rsidR="005D5238" w:rsidRPr="001B4A02">
          <w:rPr>
            <w:lang w:val="cs-CZ"/>
          </w:rPr>
          <w:delText>po</w:delText>
        </w:r>
        <w:r w:rsidRPr="001B4A02">
          <w:rPr>
            <w:lang w:val="cs-CZ"/>
          </w:rPr>
          <w:delText>užívat přípravek Humira.</w:delText>
        </w:r>
      </w:del>
    </w:p>
    <w:p w14:paraId="4FD48EA2" w14:textId="77777777" w:rsidR="00073F8F" w:rsidRPr="001B4A02" w:rsidRDefault="00073F8F" w:rsidP="00ED48A3">
      <w:pPr>
        <w:pStyle w:val="EMEANormal"/>
        <w:tabs>
          <w:tab w:val="clear" w:pos="562"/>
        </w:tabs>
        <w:suppressAutoHyphens w:val="0"/>
        <w:rPr>
          <w:del w:id="10011" w:author="AbbVie1" w:date="2025-05-13T10:11:00Z"/>
          <w:lang w:val="cs-CZ"/>
        </w:rPr>
      </w:pPr>
    </w:p>
    <w:p w14:paraId="2870BBCA" w14:textId="77777777" w:rsidR="00073F8F" w:rsidRPr="001B4A02" w:rsidRDefault="00000000" w:rsidP="00ED48A3">
      <w:pPr>
        <w:pStyle w:val="EndnoteText"/>
        <w:numPr>
          <w:ilvl w:val="0"/>
          <w:numId w:val="8"/>
        </w:numPr>
        <w:tabs>
          <w:tab w:val="clear" w:pos="720"/>
          <w:tab w:val="num" w:pos="0"/>
        </w:tabs>
        <w:ind w:left="567" w:hanging="567"/>
        <w:rPr>
          <w:del w:id="10012" w:author="AbbVie1" w:date="2025-05-13T10:11:00Z"/>
          <w:bCs/>
          <w:szCs w:val="22"/>
          <w:lang w:val="cs-CZ"/>
        </w:rPr>
      </w:pPr>
      <w:del w:id="10013" w:author="AbbVie1" w:date="2025-05-13T10:11:00Z">
        <w:r w:rsidRPr="001B4A02">
          <w:rPr>
            <w:bCs/>
            <w:szCs w:val="22"/>
            <w:lang w:val="cs-CZ"/>
          </w:rPr>
          <w:delText xml:space="preserve">U některých pacientů </w:delText>
        </w:r>
        <w:r w:rsidR="00C670F4" w:rsidRPr="001B4A02">
          <w:rPr>
            <w:bCs/>
            <w:szCs w:val="22"/>
            <w:lang w:val="cs-CZ"/>
          </w:rPr>
          <w:delText xml:space="preserve">nemusí tělo </w:delText>
        </w:r>
        <w:r w:rsidRPr="001B4A02">
          <w:rPr>
            <w:bCs/>
            <w:szCs w:val="22"/>
            <w:lang w:val="cs-CZ"/>
          </w:rPr>
          <w:delText xml:space="preserve">vytvářet dostatek krvinek, které pomáhají v boji proti infekcím nebo při zástavě krvácení. Jestliže má </w:delText>
        </w:r>
        <w:r w:rsidR="00E55C0B" w:rsidRPr="001B4A02">
          <w:rPr>
            <w:lang w:val="cs-CZ"/>
          </w:rPr>
          <w:delText xml:space="preserve">Vaše dítě </w:delText>
        </w:r>
        <w:r w:rsidRPr="001B4A02">
          <w:rPr>
            <w:bCs/>
            <w:szCs w:val="22"/>
            <w:lang w:val="cs-CZ"/>
          </w:rPr>
          <w:delText>horečku, která neodeznívá, modřiny nebo snadno krvácí, případně je velmi bled</w:delText>
        </w:r>
        <w:r w:rsidR="00E55C0B" w:rsidRPr="001B4A02">
          <w:rPr>
            <w:bCs/>
            <w:szCs w:val="22"/>
            <w:lang w:val="cs-CZ"/>
          </w:rPr>
          <w:delText>é</w:delText>
        </w:r>
        <w:r w:rsidRPr="001B4A02">
          <w:rPr>
            <w:bCs/>
            <w:szCs w:val="22"/>
            <w:lang w:val="cs-CZ"/>
          </w:rPr>
          <w:delText>, ihned se spojte s lékařem. Lékař se může rozhodnout ukončit léčbu.</w:delText>
        </w:r>
      </w:del>
    </w:p>
    <w:p w14:paraId="07E0ED2F" w14:textId="77777777" w:rsidR="00073F8F" w:rsidRPr="001B4A02" w:rsidRDefault="00073F8F" w:rsidP="00ED48A3">
      <w:pPr>
        <w:ind w:left="0" w:firstLine="0"/>
        <w:rPr>
          <w:del w:id="10014" w:author="AbbVie1" w:date="2025-05-13T10:11:00Z"/>
        </w:rPr>
      </w:pPr>
    </w:p>
    <w:p w14:paraId="5AF7CB69" w14:textId="77777777" w:rsidR="00073F8F" w:rsidRPr="001B4A02" w:rsidRDefault="00000000" w:rsidP="00ED48A3">
      <w:pPr>
        <w:pStyle w:val="EndnoteText"/>
        <w:numPr>
          <w:ilvl w:val="0"/>
          <w:numId w:val="8"/>
        </w:numPr>
        <w:tabs>
          <w:tab w:val="clear" w:pos="720"/>
          <w:tab w:val="num" w:pos="0"/>
        </w:tabs>
        <w:ind w:left="567" w:hanging="567"/>
        <w:rPr>
          <w:del w:id="10015" w:author="AbbVie1" w:date="2025-05-13T10:11:00Z"/>
          <w:bCs/>
          <w:szCs w:val="22"/>
          <w:lang w:val="cs-CZ"/>
        </w:rPr>
      </w:pPr>
      <w:del w:id="10016" w:author="AbbVie1" w:date="2025-05-13T10:11:00Z">
        <w:r w:rsidRPr="001B4A02">
          <w:rPr>
            <w:bCs/>
            <w:szCs w:val="22"/>
            <w:lang w:val="cs-CZ"/>
          </w:rPr>
          <w:delText>U </w:delText>
        </w:r>
        <w:r w:rsidR="00E86F2F" w:rsidRPr="001B4A02">
          <w:rPr>
            <w:bCs/>
            <w:szCs w:val="22"/>
            <w:lang w:val="cs-CZ"/>
          </w:rPr>
          <w:delText xml:space="preserve">dětských i dospělých </w:delText>
        </w:r>
        <w:r w:rsidRPr="001B4A02">
          <w:rPr>
            <w:bCs/>
            <w:szCs w:val="22"/>
            <w:lang w:val="cs-CZ"/>
          </w:rPr>
          <w:delText>pacientů léčených přípravkem Humira nebo jinými blokátory TNF byly popsány vzácné případy výskytu určitých typů rakoviny. Lidé se závažnější formou revmatoidní artritidy, jejichž onemocnění trvá delší dobu, mívají vyšší průměrné riziko vzniku lymfomu</w:delText>
        </w:r>
        <w:r w:rsidR="00E86F2F" w:rsidRPr="001B4A02">
          <w:rPr>
            <w:bCs/>
            <w:szCs w:val="22"/>
            <w:lang w:val="cs-CZ"/>
          </w:rPr>
          <w:delText xml:space="preserve"> </w:delText>
        </w:r>
        <w:r w:rsidR="007D2251" w:rsidRPr="001B4A02">
          <w:rPr>
            <w:bCs/>
            <w:szCs w:val="22"/>
            <w:lang w:val="cs-CZ"/>
          </w:rPr>
          <w:delText>(</w:delText>
        </w:r>
        <w:r w:rsidRPr="001B4A02">
          <w:rPr>
            <w:bCs/>
            <w:szCs w:val="22"/>
            <w:lang w:val="cs-CZ"/>
          </w:rPr>
          <w:delText>rakovin</w:delText>
        </w:r>
        <w:r w:rsidR="009B2C8D" w:rsidRPr="001B4A02">
          <w:rPr>
            <w:bCs/>
            <w:szCs w:val="22"/>
            <w:lang w:val="cs-CZ"/>
          </w:rPr>
          <w:delText>a</w:delText>
        </w:r>
        <w:r w:rsidRPr="001B4A02">
          <w:rPr>
            <w:bCs/>
            <w:szCs w:val="22"/>
            <w:lang w:val="cs-CZ"/>
          </w:rPr>
          <w:delText xml:space="preserve"> postihující mízní systém</w:delText>
        </w:r>
        <w:r w:rsidR="00E86F2F" w:rsidRPr="001B4A02">
          <w:rPr>
            <w:bCs/>
            <w:szCs w:val="22"/>
            <w:lang w:val="cs-CZ"/>
          </w:rPr>
          <w:delText>)</w:delText>
        </w:r>
        <w:r w:rsidR="002378E0">
          <w:rPr>
            <w:bCs/>
            <w:szCs w:val="22"/>
            <w:lang w:val="cs-CZ"/>
          </w:rPr>
          <w:delText xml:space="preserve"> a </w:delText>
        </w:r>
        <w:r w:rsidR="00E86F2F" w:rsidRPr="001B4A02">
          <w:rPr>
            <w:bCs/>
            <w:szCs w:val="22"/>
            <w:lang w:val="cs-CZ"/>
          </w:rPr>
          <w:delText>leukémie (rakovin</w:delText>
        </w:r>
        <w:r w:rsidR="009B2C8D" w:rsidRPr="001B4A02">
          <w:rPr>
            <w:bCs/>
            <w:szCs w:val="22"/>
            <w:lang w:val="cs-CZ"/>
          </w:rPr>
          <w:delText>a</w:delText>
        </w:r>
        <w:r w:rsidR="00E86F2F" w:rsidRPr="001B4A02">
          <w:rPr>
            <w:bCs/>
            <w:szCs w:val="22"/>
            <w:lang w:val="cs-CZ"/>
          </w:rPr>
          <w:delText xml:space="preserve"> postihující krev</w:delText>
        </w:r>
        <w:r w:rsidR="002378E0">
          <w:rPr>
            <w:bCs/>
            <w:szCs w:val="22"/>
            <w:lang w:val="cs-CZ"/>
          </w:rPr>
          <w:delText xml:space="preserve"> a </w:delText>
        </w:r>
        <w:r w:rsidR="00E86F2F" w:rsidRPr="001B4A02">
          <w:rPr>
            <w:bCs/>
            <w:szCs w:val="22"/>
            <w:lang w:val="cs-CZ"/>
          </w:rPr>
          <w:delText>kostní dřeň)</w:delText>
        </w:r>
        <w:r w:rsidRPr="001B4A02">
          <w:rPr>
            <w:bCs/>
            <w:szCs w:val="22"/>
            <w:lang w:val="cs-CZ"/>
          </w:rPr>
          <w:delText xml:space="preserve">. Jestliže </w:delText>
        </w:r>
        <w:r w:rsidR="00E55C0B" w:rsidRPr="001B4A02">
          <w:rPr>
            <w:lang w:val="cs-CZ"/>
          </w:rPr>
          <w:delText xml:space="preserve">Vaše dítě </w:delText>
        </w:r>
        <w:r w:rsidR="00E8231F" w:rsidRPr="001B4A02">
          <w:rPr>
            <w:lang w:val="cs-CZ"/>
          </w:rPr>
          <w:delText>po</w:delText>
        </w:r>
        <w:r w:rsidRPr="001B4A02">
          <w:rPr>
            <w:bCs/>
            <w:szCs w:val="22"/>
            <w:lang w:val="cs-CZ"/>
          </w:rPr>
          <w:delText xml:space="preserve">užívá přípravek Humira, riziko </w:delText>
        </w:r>
        <w:r w:rsidR="00E86F2F" w:rsidRPr="001B4A02">
          <w:rPr>
            <w:bCs/>
            <w:szCs w:val="22"/>
            <w:lang w:val="cs-CZ"/>
          </w:rPr>
          <w:delText xml:space="preserve">onemocnění lymfomem, leukémií nebo jiným druhem rakoviny </w:delText>
        </w:r>
        <w:r w:rsidRPr="001B4A02">
          <w:rPr>
            <w:bCs/>
            <w:szCs w:val="22"/>
            <w:lang w:val="cs-CZ"/>
          </w:rPr>
          <w:delText>může vzrů</w:delText>
        </w:r>
        <w:r w:rsidR="0028371E" w:rsidRPr="001B4A02">
          <w:rPr>
            <w:bCs/>
            <w:szCs w:val="22"/>
            <w:lang w:val="cs-CZ"/>
          </w:rPr>
          <w:delText>st. Ve vzácných případech byl u </w:delText>
        </w:r>
        <w:r w:rsidRPr="001B4A02">
          <w:rPr>
            <w:bCs/>
            <w:szCs w:val="22"/>
            <w:lang w:val="cs-CZ"/>
          </w:rPr>
          <w:delText xml:space="preserve">pacientů </w:delText>
        </w:r>
        <w:r w:rsidR="00E8231F" w:rsidRPr="001B4A02">
          <w:rPr>
            <w:bCs/>
            <w:szCs w:val="22"/>
            <w:lang w:val="cs-CZ"/>
          </w:rPr>
          <w:delText>po</w:delText>
        </w:r>
        <w:r w:rsidRPr="001B4A02">
          <w:rPr>
            <w:bCs/>
            <w:szCs w:val="22"/>
            <w:lang w:val="cs-CZ"/>
          </w:rPr>
          <w:delText xml:space="preserve">užívajících přípravek Humira pozorován závažný specifický typ lymfomu. Někteří z těchto pacientů byli také léčeni azathioprinem nebo 6-merkaptopurinem. </w:delText>
        </w:r>
        <w:bookmarkStart w:id="10017" w:name="OLE_LINK2"/>
        <w:bookmarkStart w:id="10018" w:name="OLE_LINK3"/>
        <w:r w:rsidR="006A7B6C" w:rsidRPr="001B4A02">
          <w:rPr>
            <w:bCs/>
            <w:szCs w:val="22"/>
            <w:lang w:val="cs-CZ"/>
          </w:rPr>
          <w:delText>Oznamte lékaři, pokud Vaše dítě užívá azathioprin nebo 6-merkaptopurin současně s přípravkem Humira.</w:delText>
        </w:r>
        <w:bookmarkEnd w:id="10017"/>
        <w:bookmarkEnd w:id="10018"/>
        <w:r w:rsidR="006A7B6C" w:rsidRPr="001B4A02">
          <w:rPr>
            <w:bCs/>
            <w:szCs w:val="22"/>
            <w:lang w:val="cs-CZ"/>
          </w:rPr>
          <w:delText xml:space="preserve"> </w:delText>
        </w:r>
        <w:r w:rsidRPr="001B4A02">
          <w:rPr>
            <w:bCs/>
            <w:szCs w:val="22"/>
            <w:lang w:val="cs-CZ"/>
          </w:rPr>
          <w:delText>U pacientů léčených přípravkem Humira byly navíc pozorovány případy kožního karcinomu nemelanomového typu. P</w:delText>
        </w:r>
        <w:r w:rsidR="00D6542D" w:rsidRPr="001B4A02">
          <w:rPr>
            <w:bCs/>
            <w:szCs w:val="22"/>
            <w:lang w:val="cs-CZ"/>
          </w:rPr>
          <w:delText xml:space="preserve">okud se během léčby nebo po ní </w:delText>
        </w:r>
        <w:r w:rsidRPr="001B4A02">
          <w:rPr>
            <w:bCs/>
            <w:szCs w:val="22"/>
            <w:lang w:val="cs-CZ"/>
          </w:rPr>
          <w:delText>objeví nové kožní léze nebo pokud stávající kožní léze změní vzhled, sdělte to lékaři.</w:delText>
        </w:r>
      </w:del>
    </w:p>
    <w:p w14:paraId="6F4362D8" w14:textId="77777777" w:rsidR="00073F8F" w:rsidRPr="001B4A02" w:rsidRDefault="00073F8F" w:rsidP="00ED48A3">
      <w:pPr>
        <w:pStyle w:val="EndnoteText"/>
        <w:ind w:left="0" w:firstLine="0"/>
        <w:rPr>
          <w:del w:id="10019" w:author="AbbVie1" w:date="2025-05-13T10:11:00Z"/>
          <w:bCs/>
          <w:szCs w:val="22"/>
          <w:lang w:val="cs-CZ"/>
        </w:rPr>
      </w:pPr>
    </w:p>
    <w:p w14:paraId="0733E14C" w14:textId="77777777" w:rsidR="00073F8F" w:rsidRPr="001B4A02" w:rsidRDefault="00000000" w:rsidP="00ED48A3">
      <w:pPr>
        <w:pStyle w:val="EndnoteText"/>
        <w:numPr>
          <w:ilvl w:val="0"/>
          <w:numId w:val="8"/>
        </w:numPr>
        <w:tabs>
          <w:tab w:val="clear" w:pos="720"/>
          <w:tab w:val="num" w:pos="0"/>
        </w:tabs>
        <w:ind w:left="567" w:hanging="567"/>
        <w:rPr>
          <w:del w:id="10020" w:author="AbbVie1" w:date="2025-05-13T10:11:00Z"/>
          <w:bCs/>
          <w:szCs w:val="22"/>
          <w:lang w:val="cs-CZ"/>
        </w:rPr>
      </w:pPr>
      <w:del w:id="10021" w:author="AbbVie1" w:date="2025-05-13T10:11:00Z">
        <w:r w:rsidRPr="001B4A02">
          <w:rPr>
            <w:bCs/>
            <w:szCs w:val="22"/>
            <w:lang w:val="cs-CZ"/>
          </w:rPr>
          <w:delText>U pacientů se specifickým typem plicního onemocnění zvaným chronická obstruk</w:delText>
        </w:r>
        <w:r w:rsidR="009163F7" w:rsidRPr="001B4A02">
          <w:rPr>
            <w:bCs/>
            <w:szCs w:val="22"/>
            <w:lang w:val="cs-CZ"/>
          </w:rPr>
          <w:delText>č</w:delText>
        </w:r>
        <w:r w:rsidRPr="001B4A02">
          <w:rPr>
            <w:bCs/>
            <w:szCs w:val="22"/>
            <w:lang w:val="cs-CZ"/>
          </w:rPr>
          <w:delText xml:space="preserve">ní choroba plicní (CHOPN), kteří byli léčeni jiným TNF blokátorem, byly hlášeny i případy jiných druhů rakoviny, nežli jsou lymfomy. Jestliže </w:delText>
        </w:r>
        <w:r w:rsidR="00837511" w:rsidRPr="001B4A02">
          <w:rPr>
            <w:lang w:val="cs-CZ"/>
          </w:rPr>
          <w:delText xml:space="preserve">Vaše dítě </w:delText>
        </w:r>
        <w:r w:rsidRPr="001B4A02">
          <w:rPr>
            <w:bCs/>
            <w:szCs w:val="22"/>
            <w:lang w:val="cs-CZ"/>
          </w:rPr>
          <w:delText xml:space="preserve">trpí CHOPN nebo hodně kouří, </w:delText>
        </w:r>
        <w:r w:rsidR="00D70909" w:rsidRPr="001B4A02">
          <w:rPr>
            <w:bCs/>
            <w:szCs w:val="22"/>
            <w:lang w:val="cs-CZ"/>
          </w:rPr>
          <w:delText>měl</w:delText>
        </w:r>
        <w:r w:rsidR="00D70909">
          <w:rPr>
            <w:bCs/>
            <w:szCs w:val="22"/>
            <w:lang w:val="cs-CZ"/>
          </w:rPr>
          <w:delText>(a)</w:delText>
        </w:r>
        <w:r w:rsidRPr="001B4A02">
          <w:rPr>
            <w:bCs/>
            <w:szCs w:val="22"/>
            <w:lang w:val="cs-CZ"/>
          </w:rPr>
          <w:delText xml:space="preserve"> byste si </w:delText>
        </w:r>
        <w:r w:rsidR="00E84EBF" w:rsidRPr="001B4A02">
          <w:rPr>
            <w:bCs/>
            <w:szCs w:val="22"/>
            <w:lang w:val="cs-CZ"/>
          </w:rPr>
          <w:delText xml:space="preserve">se svým lékařem </w:delText>
        </w:r>
        <w:r w:rsidRPr="001B4A02">
          <w:rPr>
            <w:bCs/>
            <w:szCs w:val="22"/>
            <w:lang w:val="cs-CZ"/>
          </w:rPr>
          <w:delText>promluvit, je</w:delText>
        </w:r>
        <w:r w:rsidR="008A637C" w:rsidRPr="001B4A02">
          <w:rPr>
            <w:bCs/>
            <w:szCs w:val="22"/>
            <w:lang w:val="cs-CZ"/>
          </w:rPr>
          <w:delText>-</w:delText>
        </w:r>
        <w:r w:rsidRPr="001B4A02">
          <w:rPr>
            <w:bCs/>
            <w:szCs w:val="22"/>
            <w:lang w:val="cs-CZ"/>
          </w:rPr>
          <w:delText xml:space="preserve">li pro </w:delText>
        </w:r>
        <w:r w:rsidR="00837511" w:rsidRPr="001B4A02">
          <w:rPr>
            <w:bCs/>
            <w:szCs w:val="22"/>
            <w:lang w:val="cs-CZ"/>
          </w:rPr>
          <w:delText>něj</w:delText>
        </w:r>
        <w:r w:rsidRPr="001B4A02">
          <w:rPr>
            <w:bCs/>
            <w:szCs w:val="22"/>
            <w:lang w:val="cs-CZ"/>
          </w:rPr>
          <w:delText xml:space="preserve"> léčba blokátorem TNF vhodná.</w:delText>
        </w:r>
      </w:del>
    </w:p>
    <w:p w14:paraId="6C56D894" w14:textId="77777777" w:rsidR="00DB24E0" w:rsidRPr="001B4A02" w:rsidRDefault="00DB24E0" w:rsidP="00C806C1">
      <w:pPr>
        <w:rPr>
          <w:del w:id="10022" w:author="AbbVie1" w:date="2025-05-13T10:11:00Z"/>
        </w:rPr>
      </w:pPr>
    </w:p>
    <w:p w14:paraId="5ABF99E7" w14:textId="77777777" w:rsidR="00DB24E0" w:rsidRPr="001B4A02" w:rsidRDefault="00000000" w:rsidP="00C806C1">
      <w:pPr>
        <w:numPr>
          <w:ilvl w:val="0"/>
          <w:numId w:val="254"/>
        </w:numPr>
        <w:ind w:left="567" w:hanging="567"/>
        <w:rPr>
          <w:del w:id="10023" w:author="AbbVie1" w:date="2025-05-13T10:11:00Z"/>
        </w:rPr>
      </w:pPr>
      <w:del w:id="10024" w:author="AbbVie1" w:date="2025-05-13T10:11:00Z">
        <w:r w:rsidRPr="001B4A02">
          <w:delText>Vzácně může vést léčba přípravkem Humira k </w:delText>
        </w:r>
        <w:r w:rsidR="00B80AFC" w:rsidRPr="001B4A02">
          <w:delText>příznakům</w:delText>
        </w:r>
        <w:r w:rsidRPr="001B4A02">
          <w:delText xml:space="preserve"> podob</w:delText>
        </w:r>
        <w:r w:rsidR="00B80AFC" w:rsidRPr="001B4A02">
          <w:delText>ajícím se onemocnění zvanému</w:delText>
        </w:r>
        <w:r w:rsidRPr="001B4A02">
          <w:delText xml:space="preserve"> lupus. Pokud se objeví</w:delText>
        </w:r>
        <w:r w:rsidR="00C806C1" w:rsidRPr="001B4A02">
          <w:delText xml:space="preserve"> </w:delText>
        </w:r>
        <w:r w:rsidRPr="001B4A02">
          <w:delText xml:space="preserve">příznaky, jako je trvalá nevysvětlitelná </w:delText>
        </w:r>
        <w:r w:rsidR="007815F1">
          <w:delText xml:space="preserve">vyrážka, </w:delText>
        </w:r>
        <w:r w:rsidRPr="001B4A02">
          <w:delText>horečka, bolest kloubů nebo únava, kontaktujte svého lékaře.</w:delText>
        </w:r>
      </w:del>
    </w:p>
    <w:p w14:paraId="038021BE" w14:textId="77777777" w:rsidR="008D0189" w:rsidRPr="001B4A02" w:rsidRDefault="008D0189" w:rsidP="00C806C1">
      <w:pPr>
        <w:rPr>
          <w:del w:id="10025" w:author="AbbVie1" w:date="2025-05-13T10:11:00Z"/>
        </w:rPr>
      </w:pPr>
    </w:p>
    <w:p w14:paraId="659B1BEF" w14:textId="77777777" w:rsidR="00073F8F" w:rsidRPr="001B4A02" w:rsidRDefault="00000000" w:rsidP="00404AFD">
      <w:pPr>
        <w:keepNext/>
        <w:ind w:left="0" w:firstLine="0"/>
        <w:rPr>
          <w:del w:id="10026" w:author="AbbVie1" w:date="2025-05-13T10:11:00Z"/>
          <w:b/>
        </w:rPr>
      </w:pPr>
      <w:del w:id="10027" w:author="AbbVie1" w:date="2025-05-13T10:11:00Z">
        <w:r w:rsidRPr="001B4A02">
          <w:rPr>
            <w:b/>
          </w:rPr>
          <w:delText>Další léčivé přípravky</w:delText>
        </w:r>
        <w:r w:rsidR="002378E0">
          <w:rPr>
            <w:b/>
          </w:rPr>
          <w:delText xml:space="preserve"> a </w:delText>
        </w:r>
        <w:r w:rsidRPr="001B4A02">
          <w:rPr>
            <w:b/>
          </w:rPr>
          <w:delText>přípravek Humira</w:delText>
        </w:r>
      </w:del>
    </w:p>
    <w:p w14:paraId="0A8B9C95" w14:textId="77777777" w:rsidR="00073F8F" w:rsidRPr="001B4A02" w:rsidRDefault="00073F8F" w:rsidP="00404AFD">
      <w:pPr>
        <w:keepNext/>
        <w:ind w:left="0" w:firstLine="0"/>
        <w:rPr>
          <w:del w:id="10028" w:author="AbbVie1" w:date="2025-05-13T10:11:00Z"/>
        </w:rPr>
      </w:pPr>
    </w:p>
    <w:p w14:paraId="2902C42A" w14:textId="77777777" w:rsidR="008D0189" w:rsidRPr="001B4A02" w:rsidRDefault="00000000" w:rsidP="00ED48A3">
      <w:pPr>
        <w:ind w:left="0" w:firstLine="0"/>
        <w:rPr>
          <w:del w:id="10029" w:author="AbbVie1" w:date="2025-05-13T10:11:00Z"/>
        </w:rPr>
      </w:pPr>
      <w:del w:id="10030" w:author="AbbVie1" w:date="2025-05-13T10:11:00Z">
        <w:r w:rsidRPr="001B4A02">
          <w:delText xml:space="preserve">Informujte lékaře Vašeho dítěte </w:delText>
        </w:r>
        <w:r w:rsidR="00003540" w:rsidRPr="001B4A02">
          <w:delText>nebo lékárníka o</w:delText>
        </w:r>
        <w:r w:rsidR="00507DAA" w:rsidRPr="001B4A02">
          <w:delText> </w:delText>
        </w:r>
        <w:r w:rsidR="00003540" w:rsidRPr="001B4A02">
          <w:delText>všech léc</w:delText>
        </w:r>
        <w:r w:rsidRPr="001B4A02">
          <w:delText xml:space="preserve">ích, které Vaše dítě užívá, </w:delText>
        </w:r>
        <w:r w:rsidR="009A4C02" w:rsidRPr="001B4A02">
          <w:delText xml:space="preserve">které </w:delText>
        </w:r>
        <w:r w:rsidRPr="001B4A02">
          <w:delText>v nedávné dob</w:delText>
        </w:r>
        <w:r w:rsidR="009A4C02" w:rsidRPr="001B4A02">
          <w:delText>ě užívalo</w:delText>
        </w:r>
        <w:r w:rsidRPr="001B4A02">
          <w:delText xml:space="preserve"> nebo které možná bude užívat.</w:delText>
        </w:r>
      </w:del>
    </w:p>
    <w:p w14:paraId="6A2C5666" w14:textId="77777777" w:rsidR="008D0189" w:rsidRPr="001B4A02" w:rsidRDefault="008D0189" w:rsidP="00ED48A3">
      <w:pPr>
        <w:ind w:left="0" w:firstLine="0"/>
        <w:rPr>
          <w:del w:id="10031" w:author="AbbVie1" w:date="2025-05-13T10:11:00Z"/>
        </w:rPr>
      </w:pPr>
    </w:p>
    <w:p w14:paraId="41FB6A69" w14:textId="77777777" w:rsidR="00073F8F" w:rsidRPr="001B4A02" w:rsidRDefault="00000000" w:rsidP="00ED48A3">
      <w:pPr>
        <w:ind w:left="0" w:firstLine="0"/>
        <w:rPr>
          <w:del w:id="10032" w:author="AbbVie1" w:date="2025-05-13T10:11:00Z"/>
        </w:rPr>
      </w:pPr>
      <w:del w:id="10033" w:author="AbbVie1" w:date="2025-05-13T10:11:00Z">
        <w:r w:rsidRPr="001B4A02">
          <w:delText xml:space="preserve">Přípravek Humira lze </w:delText>
        </w:r>
        <w:r w:rsidR="00121AA4" w:rsidRPr="001B4A02">
          <w:delText>po</w:delText>
        </w:r>
        <w:r w:rsidRPr="001B4A02">
          <w:delText>užívat společně s methotrexátem nebo některými chorobu modifikujícími antirevmatiky (sulfasalazin, hydroxychlorochin, leflunomid</w:delText>
        </w:r>
        <w:r w:rsidR="002378E0">
          <w:delText xml:space="preserve"> a </w:delText>
        </w:r>
        <w:r w:rsidRPr="001B4A02">
          <w:delText>injekční přípravky s obsahem solí zlata), steroidy nebo léky proti bolestem,</w:delText>
        </w:r>
        <w:r w:rsidR="002378E0">
          <w:delText xml:space="preserve"> a </w:delText>
        </w:r>
        <w:r w:rsidRPr="001B4A02">
          <w:delText>to i s nesteroidními antirevmatiky (NSAID).</w:delText>
        </w:r>
      </w:del>
    </w:p>
    <w:p w14:paraId="652E1270" w14:textId="77777777" w:rsidR="00073F8F" w:rsidRPr="001B4A02" w:rsidRDefault="00073F8F" w:rsidP="00ED48A3">
      <w:pPr>
        <w:pStyle w:val="EMEANormal"/>
        <w:tabs>
          <w:tab w:val="clear" w:pos="562"/>
        </w:tabs>
        <w:suppressAutoHyphens w:val="0"/>
        <w:rPr>
          <w:del w:id="10034" w:author="AbbVie1" w:date="2025-05-13T10:11:00Z"/>
          <w:lang w:val="cs-CZ"/>
        </w:rPr>
      </w:pPr>
    </w:p>
    <w:p w14:paraId="338639CA" w14:textId="77777777" w:rsidR="00073F8F" w:rsidRPr="001B4A02" w:rsidRDefault="00000000" w:rsidP="00ED48A3">
      <w:pPr>
        <w:pStyle w:val="EMEANormal"/>
        <w:tabs>
          <w:tab w:val="clear" w:pos="562"/>
        </w:tabs>
        <w:suppressAutoHyphens w:val="0"/>
        <w:rPr>
          <w:del w:id="10035" w:author="AbbVie1" w:date="2025-05-13T10:11:00Z"/>
          <w:bCs/>
          <w:szCs w:val="22"/>
          <w:lang w:val="cs-CZ"/>
        </w:rPr>
      </w:pPr>
      <w:del w:id="10036" w:author="AbbVie1" w:date="2025-05-13T10:11:00Z">
        <w:r w:rsidRPr="001B4A02">
          <w:rPr>
            <w:bCs/>
            <w:szCs w:val="22"/>
            <w:lang w:val="cs-CZ"/>
          </w:rPr>
          <w:delText xml:space="preserve">Přípravek Humira </w:delText>
        </w:r>
        <w:r w:rsidRPr="001B4A02">
          <w:rPr>
            <w:lang w:val="cs-CZ"/>
          </w:rPr>
          <w:delText xml:space="preserve">nesmí </w:delText>
        </w:r>
        <w:r w:rsidR="00837511" w:rsidRPr="001B4A02">
          <w:rPr>
            <w:lang w:val="cs-CZ"/>
          </w:rPr>
          <w:delText xml:space="preserve">Vaše dítě </w:delText>
        </w:r>
        <w:r w:rsidR="008B3392" w:rsidRPr="001B4A02">
          <w:rPr>
            <w:lang w:val="cs-CZ"/>
          </w:rPr>
          <w:delText xml:space="preserve">z důvodu </w:delText>
        </w:r>
        <w:r w:rsidR="008B3392" w:rsidRPr="001B4A02">
          <w:rPr>
            <w:bCs/>
            <w:szCs w:val="22"/>
            <w:lang w:val="cs-CZ"/>
          </w:rPr>
          <w:delText>zvýšeného rizika závažné infekce</w:delText>
        </w:r>
        <w:r w:rsidR="008B3392" w:rsidRPr="001B4A02">
          <w:rPr>
            <w:lang w:val="cs-CZ"/>
          </w:rPr>
          <w:delText xml:space="preserve"> </w:delText>
        </w:r>
        <w:r w:rsidR="00121AA4" w:rsidRPr="001B4A02">
          <w:rPr>
            <w:lang w:val="cs-CZ"/>
          </w:rPr>
          <w:delText>po</w:delText>
        </w:r>
        <w:r w:rsidR="00837511" w:rsidRPr="001B4A02">
          <w:rPr>
            <w:lang w:val="cs-CZ"/>
          </w:rPr>
          <w:delText xml:space="preserve">užívat </w:delText>
        </w:r>
        <w:r w:rsidRPr="001B4A02">
          <w:rPr>
            <w:bCs/>
            <w:szCs w:val="22"/>
            <w:lang w:val="cs-CZ"/>
          </w:rPr>
          <w:delText>s léky, které obsahují léčiv</w:delText>
        </w:r>
        <w:r w:rsidR="00CD2909" w:rsidRPr="001B4A02">
          <w:rPr>
            <w:bCs/>
            <w:szCs w:val="22"/>
            <w:lang w:val="cs-CZ"/>
          </w:rPr>
          <w:delText>é</w:delText>
        </w:r>
        <w:r w:rsidRPr="001B4A02">
          <w:rPr>
            <w:bCs/>
            <w:szCs w:val="22"/>
            <w:lang w:val="cs-CZ"/>
          </w:rPr>
          <w:delText xml:space="preserve"> látk</w:delText>
        </w:r>
        <w:r w:rsidR="00CD2909" w:rsidRPr="001B4A02">
          <w:rPr>
            <w:bCs/>
            <w:szCs w:val="22"/>
            <w:lang w:val="cs-CZ"/>
          </w:rPr>
          <w:delText>y</w:delText>
        </w:r>
        <w:r w:rsidRPr="001B4A02">
          <w:rPr>
            <w:bCs/>
            <w:szCs w:val="22"/>
            <w:lang w:val="cs-CZ"/>
          </w:rPr>
          <w:delText xml:space="preserve"> anakinra nebo abatacept. Máte-li nějaké dotazy, zeptejte se prosím lékaře.</w:delText>
        </w:r>
      </w:del>
    </w:p>
    <w:p w14:paraId="3F63D1D3" w14:textId="77777777" w:rsidR="00073F8F" w:rsidRPr="001B4A02" w:rsidRDefault="00073F8F" w:rsidP="00ED48A3">
      <w:pPr>
        <w:pStyle w:val="EMEANormal"/>
        <w:tabs>
          <w:tab w:val="clear" w:pos="562"/>
        </w:tabs>
        <w:suppressAutoHyphens w:val="0"/>
        <w:rPr>
          <w:del w:id="10037" w:author="AbbVie1" w:date="2025-05-13T10:11:00Z"/>
          <w:bCs/>
          <w:szCs w:val="22"/>
          <w:lang w:val="cs-CZ"/>
        </w:rPr>
      </w:pPr>
    </w:p>
    <w:p w14:paraId="73756484" w14:textId="77777777" w:rsidR="00073F8F" w:rsidRDefault="00000000" w:rsidP="00D97F68">
      <w:pPr>
        <w:keepNext/>
        <w:rPr>
          <w:del w:id="10038" w:author="AbbVie1" w:date="2025-05-13T10:11:00Z"/>
          <w:b/>
        </w:rPr>
      </w:pPr>
      <w:del w:id="10039" w:author="AbbVie1" w:date="2025-05-13T10:11:00Z">
        <w:r w:rsidRPr="001B4A02">
          <w:rPr>
            <w:b/>
          </w:rPr>
          <w:delText>Těhotenství</w:delText>
        </w:r>
        <w:r w:rsidR="002378E0">
          <w:rPr>
            <w:b/>
          </w:rPr>
          <w:delText xml:space="preserve"> a </w:delText>
        </w:r>
        <w:r w:rsidRPr="001B4A02">
          <w:rPr>
            <w:b/>
          </w:rPr>
          <w:delText>kojení</w:delText>
        </w:r>
      </w:del>
    </w:p>
    <w:p w14:paraId="799E0620" w14:textId="77777777" w:rsidR="00196227" w:rsidRPr="001B4A02" w:rsidRDefault="00196227" w:rsidP="00D97F68">
      <w:pPr>
        <w:keepNext/>
        <w:rPr>
          <w:del w:id="10040" w:author="AbbVie1" w:date="2025-05-13T10:11:00Z"/>
          <w:b/>
        </w:rPr>
      </w:pPr>
    </w:p>
    <w:p w14:paraId="3E5DE24D" w14:textId="77777777" w:rsidR="00566437" w:rsidRDefault="00000000" w:rsidP="00566437">
      <w:pPr>
        <w:pStyle w:val="ListParagraph"/>
        <w:numPr>
          <w:ilvl w:val="0"/>
          <w:numId w:val="267"/>
        </w:numPr>
        <w:rPr>
          <w:del w:id="10041" w:author="AbbVie1" w:date="2025-05-13T10:11:00Z"/>
        </w:rPr>
      </w:pPr>
      <w:del w:id="10042" w:author="AbbVie1" w:date="2025-05-13T10:11:00Z">
        <w:r>
          <w:delText>Vaše dcera má zvážit použití vhodné antikoncepce k prevenci těhotenství</w:delText>
        </w:r>
        <w:r w:rsidR="002378E0">
          <w:delText xml:space="preserve"> a </w:delText>
        </w:r>
        <w:r>
          <w:delText xml:space="preserve">pokračovat v jejím užívání </w:delText>
        </w:r>
        <w:r w:rsidRPr="001B4A02">
          <w:delText xml:space="preserve">po dobu nejméně 5 měsíců </w:delText>
        </w:r>
        <w:r>
          <w:delText>po posledním podání přípravku Humira.</w:delText>
        </w:r>
      </w:del>
    </w:p>
    <w:p w14:paraId="32BF745F" w14:textId="77777777" w:rsidR="00566437" w:rsidRDefault="00000000" w:rsidP="00566437">
      <w:pPr>
        <w:pStyle w:val="ListParagraph"/>
        <w:numPr>
          <w:ilvl w:val="0"/>
          <w:numId w:val="267"/>
        </w:numPr>
        <w:rPr>
          <w:del w:id="10043" w:author="AbbVie1" w:date="2025-05-13T10:11:00Z"/>
        </w:rPr>
      </w:pPr>
      <w:del w:id="10044" w:author="AbbVie1" w:date="2025-05-13T10:11:00Z">
        <w:r>
          <w:delText>Pokud je Vaše dcera těhotná, domnívá se, že může být těhotná</w:delText>
        </w:r>
        <w:r w:rsidR="00196227">
          <w:delText>,</w:delText>
        </w:r>
        <w:r>
          <w:delText xml:space="preserve"> nebo plánuje otěhotnět, požádejte jejího lékaře o doporučení týkající se užívání tohoto přípravku.</w:delText>
        </w:r>
      </w:del>
    </w:p>
    <w:p w14:paraId="75E03687" w14:textId="77777777" w:rsidR="00566437" w:rsidRDefault="00000000" w:rsidP="00566437">
      <w:pPr>
        <w:pStyle w:val="ListParagraph"/>
        <w:numPr>
          <w:ilvl w:val="0"/>
          <w:numId w:val="267"/>
        </w:numPr>
        <w:rPr>
          <w:del w:id="10045" w:author="AbbVie1" w:date="2025-05-13T10:11:00Z"/>
        </w:rPr>
      </w:pPr>
      <w:del w:id="10046" w:author="AbbVie1" w:date="2025-05-13T10:11:00Z">
        <w:r>
          <w:delText>Přípravek Humira má být užíván během těhotens</w:delText>
        </w:r>
        <w:r w:rsidR="00010AD1">
          <w:delText>t</w:delText>
        </w:r>
        <w:r>
          <w:delText>ví pouze tehdy, je-li to nezbytně nutné.</w:delText>
        </w:r>
      </w:del>
    </w:p>
    <w:p w14:paraId="3598C6F7" w14:textId="77777777" w:rsidR="00566437" w:rsidRDefault="00000000" w:rsidP="00566437">
      <w:pPr>
        <w:pStyle w:val="ListParagraph"/>
        <w:numPr>
          <w:ilvl w:val="0"/>
          <w:numId w:val="267"/>
        </w:numPr>
        <w:rPr>
          <w:del w:id="10047" w:author="AbbVie1" w:date="2025-05-13T10:11:00Z"/>
        </w:rPr>
      </w:pPr>
      <w:del w:id="10048" w:author="AbbVie1" w:date="2025-05-13T10:11:00Z">
        <w:r>
          <w:delText>Na základě studie prováděné u</w:delText>
        </w:r>
        <w:r w:rsidR="001C14A5">
          <w:delText> </w:delText>
        </w:r>
        <w:r>
          <w:delText>těhotných žen nebylo zjištěno zvýšené riziko vrozených vad, pokud matka během těhotenství užívala přípravek Humira, ve srovnání s matkami se stejným onemocněním, které přípravek Humira neužívaly.</w:delText>
        </w:r>
      </w:del>
    </w:p>
    <w:p w14:paraId="4115B730" w14:textId="77777777" w:rsidR="00566437" w:rsidRDefault="00000000" w:rsidP="00566437">
      <w:pPr>
        <w:pStyle w:val="ListParagraph"/>
        <w:numPr>
          <w:ilvl w:val="0"/>
          <w:numId w:val="267"/>
        </w:numPr>
        <w:rPr>
          <w:del w:id="10049" w:author="AbbVie1" w:date="2025-05-13T10:11:00Z"/>
        </w:rPr>
      </w:pPr>
      <w:del w:id="10050" w:author="AbbVie1" w:date="2025-05-13T10:11:00Z">
        <w:r>
          <w:delText>Přípravek Humira lze podávat během kojení.</w:delText>
        </w:r>
      </w:del>
    </w:p>
    <w:p w14:paraId="792194E2" w14:textId="77777777" w:rsidR="00566437" w:rsidRDefault="00000000" w:rsidP="00566437">
      <w:pPr>
        <w:pStyle w:val="ListParagraph"/>
        <w:numPr>
          <w:ilvl w:val="0"/>
          <w:numId w:val="267"/>
        </w:numPr>
        <w:rPr>
          <w:del w:id="10051" w:author="AbbVie1" w:date="2025-05-13T10:11:00Z"/>
        </w:rPr>
      </w:pPr>
      <w:del w:id="10052" w:author="AbbVie1" w:date="2025-05-13T10:11:00Z">
        <w:r w:rsidRPr="001B4A02">
          <w:delText>Jestliže Vaše dcera dostáv</w:delText>
        </w:r>
        <w:r>
          <w:delText>ala</w:delText>
        </w:r>
        <w:r w:rsidRPr="001B4A02">
          <w:delText xml:space="preserve"> přípravek Humira během těhotenství, může být její dítě náchylnější k infekcím.</w:delText>
        </w:r>
      </w:del>
    </w:p>
    <w:p w14:paraId="1859AA40" w14:textId="77777777" w:rsidR="00566437" w:rsidRDefault="00000000" w:rsidP="00566437">
      <w:pPr>
        <w:pStyle w:val="ListParagraph"/>
        <w:numPr>
          <w:ilvl w:val="0"/>
          <w:numId w:val="267"/>
        </w:numPr>
        <w:rPr>
          <w:del w:id="10053" w:author="AbbVie1" w:date="2025-05-13T10:11:00Z"/>
        </w:rPr>
      </w:pPr>
      <w:del w:id="10054" w:author="AbbVie1" w:date="2025-05-13T10:11:00Z">
        <w:r w:rsidRPr="001B4A02">
          <w:delText>Je důležité, abyste informovala dětského lékaře</w:delText>
        </w:r>
        <w:r w:rsidR="002378E0">
          <w:delText xml:space="preserve"> a </w:delText>
        </w:r>
        <w:r w:rsidRPr="001B4A02">
          <w:delText xml:space="preserve">ostatní zdravotnické pracovníky před očkováním dítěte své dcery, že dcera během těhotenství používala přípravek Humira. Více informací </w:delText>
        </w:r>
        <w:r>
          <w:delText>týkající</w:delText>
        </w:r>
        <w:r w:rsidR="00196227">
          <w:delText>ch</w:delText>
        </w:r>
        <w:r>
          <w:delText xml:space="preserve"> se očkování </w:delText>
        </w:r>
        <w:r w:rsidRPr="001B4A02">
          <w:delText xml:space="preserve">najdete v části </w:delText>
        </w:r>
        <w:r w:rsidR="001C14A5">
          <w:delText>„</w:delText>
        </w:r>
        <w:r>
          <w:delText>Upozornění</w:delText>
        </w:r>
        <w:r w:rsidR="002378E0">
          <w:delText xml:space="preserve"> a </w:delText>
        </w:r>
        <w:r>
          <w:delText>opatření“</w:delText>
        </w:r>
        <w:r w:rsidRPr="001B4A02">
          <w:delText>.</w:delText>
        </w:r>
      </w:del>
    </w:p>
    <w:p w14:paraId="42E50E60" w14:textId="77777777" w:rsidR="00073F8F" w:rsidRPr="001B4A02" w:rsidRDefault="00073F8F" w:rsidP="0009084E">
      <w:pPr>
        <w:ind w:left="0" w:firstLine="0"/>
        <w:rPr>
          <w:del w:id="10055" w:author="AbbVie1" w:date="2025-05-13T10:11:00Z"/>
          <w:bCs/>
          <w:szCs w:val="22"/>
        </w:rPr>
      </w:pPr>
    </w:p>
    <w:p w14:paraId="68654A65" w14:textId="77777777" w:rsidR="00073F8F" w:rsidRPr="001B4A02" w:rsidRDefault="00000000" w:rsidP="0009084E">
      <w:pPr>
        <w:pStyle w:val="EMEANormal"/>
        <w:keepNext/>
        <w:tabs>
          <w:tab w:val="clear" w:pos="562"/>
        </w:tabs>
        <w:suppressAutoHyphens w:val="0"/>
        <w:rPr>
          <w:del w:id="10056" w:author="AbbVie1" w:date="2025-05-13T10:11:00Z"/>
          <w:b/>
          <w:bCs/>
          <w:lang w:val="cs-CZ"/>
        </w:rPr>
      </w:pPr>
      <w:del w:id="10057" w:author="AbbVie1" w:date="2025-05-13T10:11:00Z">
        <w:r w:rsidRPr="001B4A02">
          <w:rPr>
            <w:b/>
            <w:bCs/>
            <w:lang w:val="cs-CZ"/>
          </w:rPr>
          <w:delText>Řízení dopravních prostředků</w:delText>
        </w:r>
        <w:r w:rsidR="002378E0">
          <w:rPr>
            <w:b/>
            <w:bCs/>
            <w:lang w:val="cs-CZ"/>
          </w:rPr>
          <w:delText xml:space="preserve"> a </w:delText>
        </w:r>
        <w:r w:rsidRPr="001B4A02">
          <w:rPr>
            <w:b/>
            <w:bCs/>
            <w:lang w:val="cs-CZ"/>
          </w:rPr>
          <w:delText>obsluha strojů</w:delText>
        </w:r>
      </w:del>
    </w:p>
    <w:p w14:paraId="10E3F683" w14:textId="77777777" w:rsidR="00D427E8" w:rsidRPr="001B4A02" w:rsidRDefault="00D427E8" w:rsidP="00404AFD">
      <w:pPr>
        <w:keepNext/>
        <w:ind w:left="0" w:firstLine="0"/>
        <w:rPr>
          <w:del w:id="10058" w:author="AbbVie1" w:date="2025-05-13T10:11:00Z"/>
          <w:b/>
        </w:rPr>
      </w:pPr>
    </w:p>
    <w:p w14:paraId="1474AFB2" w14:textId="77777777" w:rsidR="00073F8F" w:rsidRPr="001B4A02" w:rsidRDefault="00000000" w:rsidP="0009084E">
      <w:pPr>
        <w:numPr>
          <w:ilvl w:val="12"/>
          <w:numId w:val="0"/>
        </w:numPr>
        <w:rPr>
          <w:del w:id="10059" w:author="AbbVie1" w:date="2025-05-13T10:11:00Z"/>
        </w:rPr>
      </w:pPr>
      <w:del w:id="10060" w:author="AbbVie1" w:date="2025-05-13T10:11:00Z">
        <w:r w:rsidRPr="001B4A02">
          <w:delText>Přípravek Humira může mít podružný vliv na schopnost řídit</w:delText>
        </w:r>
        <w:r w:rsidR="005F59C4" w:rsidRPr="001B4A02">
          <w:delText>, jezdit na kole nebo</w:delText>
        </w:r>
        <w:r w:rsidRPr="001B4A02">
          <w:delText xml:space="preserve"> obsluhovat stroje. Po </w:delText>
        </w:r>
        <w:r w:rsidR="00121AA4" w:rsidRPr="001B4A02">
          <w:delText>po</w:delText>
        </w:r>
        <w:r w:rsidRPr="001B4A02">
          <w:delText>užití přípravku Humira se m</w:delText>
        </w:r>
        <w:r w:rsidR="00B04837" w:rsidRPr="001B4A02">
          <w:delText>ůže</w:delText>
        </w:r>
        <w:r w:rsidRPr="001B4A02">
          <w:delText xml:space="preserve"> </w:delText>
        </w:r>
        <w:r w:rsidR="004823B6" w:rsidRPr="001B4A02">
          <w:delText>u </w:delText>
        </w:r>
        <w:r w:rsidR="00837511" w:rsidRPr="001B4A02">
          <w:delText xml:space="preserve">Vašeho dítěte </w:delText>
        </w:r>
        <w:r w:rsidRPr="001B4A02">
          <w:delText xml:space="preserve">objevit </w:delText>
        </w:r>
        <w:r w:rsidR="00ED20B4" w:rsidRPr="001B4A02">
          <w:delText xml:space="preserve">pocit </w:delText>
        </w:r>
        <w:r w:rsidRPr="001B4A02">
          <w:delText>točení hlavy</w:delText>
        </w:r>
        <w:r w:rsidR="002378E0">
          <w:delText xml:space="preserve"> a </w:delText>
        </w:r>
        <w:r w:rsidR="009163F7" w:rsidRPr="001B4A02">
          <w:delText>poruchy</w:delText>
        </w:r>
        <w:r w:rsidRPr="001B4A02">
          <w:delText xml:space="preserve"> vidění.</w:delText>
        </w:r>
      </w:del>
    </w:p>
    <w:p w14:paraId="5B850AAA" w14:textId="77777777" w:rsidR="008F0704" w:rsidRPr="001B4A02" w:rsidRDefault="008F0704" w:rsidP="0009084E">
      <w:pPr>
        <w:numPr>
          <w:ilvl w:val="12"/>
          <w:numId w:val="0"/>
        </w:numPr>
        <w:rPr>
          <w:del w:id="10061" w:author="AbbVie1" w:date="2025-05-13T10:11:00Z"/>
        </w:rPr>
      </w:pPr>
    </w:p>
    <w:p w14:paraId="19F71525" w14:textId="77777777" w:rsidR="008F0704" w:rsidRPr="00EE5B9A" w:rsidRDefault="00000000" w:rsidP="00404AFD">
      <w:pPr>
        <w:keepNext/>
        <w:ind w:left="0" w:firstLine="0"/>
        <w:rPr>
          <w:del w:id="10062" w:author="AbbVie1" w:date="2025-05-13T10:11:00Z"/>
          <w:b/>
        </w:rPr>
      </w:pPr>
      <w:del w:id="10063" w:author="AbbVie1" w:date="2025-05-13T10:11:00Z">
        <w:r w:rsidRPr="00EE5B9A">
          <w:rPr>
            <w:b/>
          </w:rPr>
          <w:delText>Přípravek Humira obsahuje sodík</w:delText>
        </w:r>
      </w:del>
    </w:p>
    <w:p w14:paraId="36F2E9CF" w14:textId="77777777" w:rsidR="008F0704" w:rsidRPr="001B4A02" w:rsidRDefault="008F0704" w:rsidP="00404AFD">
      <w:pPr>
        <w:keepNext/>
        <w:ind w:left="0" w:firstLine="0"/>
        <w:rPr>
          <w:del w:id="10064" w:author="AbbVie1" w:date="2025-05-13T10:11:00Z"/>
        </w:rPr>
      </w:pPr>
    </w:p>
    <w:p w14:paraId="20007AF9" w14:textId="77777777" w:rsidR="008F0704" w:rsidRPr="001B4A02" w:rsidRDefault="00000000" w:rsidP="0009084E">
      <w:pPr>
        <w:ind w:left="0" w:firstLine="0"/>
        <w:rPr>
          <w:del w:id="10065" w:author="AbbVie1" w:date="2025-05-13T10:11:00Z"/>
        </w:rPr>
      </w:pPr>
      <w:del w:id="10066" w:author="AbbVie1" w:date="2025-05-13T10:11:00Z">
        <w:r w:rsidRPr="001B4A02">
          <w:delText xml:space="preserve">Tento léčivý přípravek obsahuje méně než 1 mmol sodíku (23 mg) na dávku 0,8 ml, </w:delText>
        </w:r>
        <w:r w:rsidR="00607A13" w:rsidRPr="001B4A02">
          <w:delText>tj. v</w:delText>
        </w:r>
        <w:r w:rsidR="00C17239" w:rsidRPr="001B4A02">
          <w:delText> </w:delText>
        </w:r>
        <w:r w:rsidR="00607A13" w:rsidRPr="001B4A02">
          <w:delText>podstatě je</w:delText>
        </w:r>
        <w:r w:rsidRPr="001B4A02">
          <w:delText xml:space="preserve"> „bez sodíku“.</w:delText>
        </w:r>
      </w:del>
    </w:p>
    <w:p w14:paraId="4D7A74F4" w14:textId="77777777" w:rsidR="00073F8F" w:rsidRPr="001B4A02" w:rsidRDefault="00073F8F" w:rsidP="0009084E">
      <w:pPr>
        <w:pStyle w:val="EMEANormal"/>
        <w:tabs>
          <w:tab w:val="clear" w:pos="562"/>
        </w:tabs>
        <w:suppressAutoHyphens w:val="0"/>
        <w:rPr>
          <w:del w:id="10067" w:author="AbbVie1" w:date="2025-05-13T10:11:00Z"/>
          <w:lang w:val="cs-CZ"/>
        </w:rPr>
      </w:pPr>
    </w:p>
    <w:p w14:paraId="6DE58DF4" w14:textId="77777777" w:rsidR="00B71749" w:rsidRPr="001B4A02" w:rsidRDefault="00B71749" w:rsidP="0009084E">
      <w:pPr>
        <w:pStyle w:val="EMEANormal"/>
        <w:tabs>
          <w:tab w:val="clear" w:pos="562"/>
        </w:tabs>
        <w:suppressAutoHyphens w:val="0"/>
        <w:rPr>
          <w:del w:id="10068" w:author="AbbVie1" w:date="2025-05-13T10:11:00Z"/>
          <w:lang w:val="cs-CZ"/>
        </w:rPr>
      </w:pPr>
    </w:p>
    <w:p w14:paraId="1A83B743" w14:textId="77777777" w:rsidR="00073F8F" w:rsidRPr="001B4A02" w:rsidRDefault="00000000" w:rsidP="00404AFD">
      <w:pPr>
        <w:keepNext/>
        <w:numPr>
          <w:ilvl w:val="12"/>
          <w:numId w:val="0"/>
        </w:numPr>
        <w:ind w:left="567" w:hanging="567"/>
        <w:outlineLvl w:val="1"/>
        <w:rPr>
          <w:del w:id="10069" w:author="AbbVie1" w:date="2025-05-13T10:11:00Z"/>
        </w:rPr>
      </w:pPr>
      <w:del w:id="10070" w:author="AbbVie1" w:date="2025-05-13T10:11:00Z">
        <w:r w:rsidRPr="001B4A02">
          <w:rPr>
            <w:b/>
          </w:rPr>
          <w:delText>3.</w:delText>
        </w:r>
        <w:r w:rsidRPr="001B4A02">
          <w:rPr>
            <w:b/>
          </w:rPr>
          <w:tab/>
          <w:delText>J</w:delText>
        </w:r>
        <w:r w:rsidR="006F6F16" w:rsidRPr="001B4A02">
          <w:rPr>
            <w:b/>
          </w:rPr>
          <w:delText>ak se přípravek Humi</w:delText>
        </w:r>
        <w:r w:rsidR="00032F16" w:rsidRPr="001B4A02">
          <w:rPr>
            <w:b/>
          </w:rPr>
          <w:delText>r</w:delText>
        </w:r>
        <w:r w:rsidR="006F6F16" w:rsidRPr="001B4A02">
          <w:rPr>
            <w:b/>
          </w:rPr>
          <w:delText xml:space="preserve">a </w:delText>
        </w:r>
        <w:r w:rsidR="000F34C1" w:rsidRPr="001B4A02">
          <w:rPr>
            <w:b/>
          </w:rPr>
          <w:delText>po</w:delText>
        </w:r>
        <w:r w:rsidR="006F6F16" w:rsidRPr="001B4A02">
          <w:rPr>
            <w:b/>
          </w:rPr>
          <w:delText>užívá</w:delText>
        </w:r>
      </w:del>
    </w:p>
    <w:p w14:paraId="4A1A554A" w14:textId="77777777" w:rsidR="00073F8F" w:rsidRPr="001B4A02" w:rsidRDefault="00073F8F" w:rsidP="00404AFD">
      <w:pPr>
        <w:keepNext/>
        <w:numPr>
          <w:ilvl w:val="12"/>
          <w:numId w:val="0"/>
        </w:numPr>
        <w:ind w:right="-2"/>
        <w:rPr>
          <w:del w:id="10071" w:author="AbbVie1" w:date="2025-05-13T10:11:00Z"/>
        </w:rPr>
      </w:pPr>
    </w:p>
    <w:p w14:paraId="6F46CA74" w14:textId="77777777" w:rsidR="00073F8F" w:rsidRPr="001B4A02" w:rsidRDefault="00000000" w:rsidP="0009084E">
      <w:pPr>
        <w:tabs>
          <w:tab w:val="left" w:pos="567"/>
        </w:tabs>
        <w:ind w:left="0" w:firstLine="0"/>
        <w:rPr>
          <w:del w:id="10072" w:author="AbbVie1" w:date="2025-05-13T10:11:00Z"/>
        </w:rPr>
      </w:pPr>
      <w:del w:id="10073" w:author="AbbVie1" w:date="2025-05-13T10:11:00Z">
        <w:r w:rsidRPr="001B4A02">
          <w:delText xml:space="preserve">Vždy </w:delText>
        </w:r>
        <w:r w:rsidR="000F34C1" w:rsidRPr="001B4A02">
          <w:delText>po</w:delText>
        </w:r>
        <w:r w:rsidRPr="001B4A02">
          <w:delText xml:space="preserve">užívejte </w:delText>
        </w:r>
        <w:r w:rsidR="00CF729E" w:rsidRPr="001B4A02">
          <w:delText xml:space="preserve">tento </w:delText>
        </w:r>
        <w:r w:rsidRPr="001B4A02">
          <w:delText>přípravek přesně podle pokynů lékaře</w:delText>
        </w:r>
        <w:r w:rsidR="00CF729E" w:rsidRPr="001B4A02">
          <w:delText xml:space="preserve"> Vašeho dítěte nebo lékárníka</w:delText>
        </w:r>
        <w:r w:rsidRPr="001B4A02">
          <w:delText>. Pokud si nejste jistý(á)</w:delText>
        </w:r>
        <w:r w:rsidR="00837511" w:rsidRPr="001B4A02">
          <w:delText xml:space="preserve"> některou z</w:delText>
        </w:r>
        <w:r w:rsidR="004823B6" w:rsidRPr="001B4A02">
          <w:delText> </w:delText>
        </w:r>
        <w:r w:rsidR="00837511" w:rsidRPr="001B4A02">
          <w:delText>instrukcí nebo máte jakékoli otázky</w:delText>
        </w:r>
        <w:r w:rsidRPr="001B4A02">
          <w:delText>, poraďte se s</w:delText>
        </w:r>
        <w:r w:rsidR="000C2348" w:rsidRPr="001B4A02">
          <w:delText> </w:delText>
        </w:r>
        <w:r w:rsidRPr="001B4A02">
          <w:delText xml:space="preserve">lékařem </w:delText>
        </w:r>
        <w:r w:rsidR="00CF729E" w:rsidRPr="001B4A02">
          <w:delText xml:space="preserve">Vašeho dítěte </w:delText>
        </w:r>
        <w:r w:rsidRPr="001B4A02">
          <w:delText>nebo lékárníkem.</w:delText>
        </w:r>
        <w:r w:rsidR="008F0704" w:rsidRPr="001B4A02">
          <w:delText xml:space="preserve"> Lékař Vám může předepsat jinou sílu přípravku Humira, pokud Vaše dítě potřebuje jinou dávku.</w:delText>
        </w:r>
      </w:del>
    </w:p>
    <w:p w14:paraId="09D1A46D" w14:textId="77777777" w:rsidR="00073F8F" w:rsidRPr="001B4A02" w:rsidRDefault="00073F8F" w:rsidP="0009084E">
      <w:pPr>
        <w:ind w:left="0" w:firstLine="0"/>
        <w:rPr>
          <w:del w:id="10074" w:author="AbbVie1" w:date="2025-05-13T10:11:00Z"/>
        </w:rPr>
      </w:pPr>
    </w:p>
    <w:p w14:paraId="4A9DACCF" w14:textId="77777777" w:rsidR="00590CAB" w:rsidRPr="001B4A02" w:rsidRDefault="00000000" w:rsidP="00404AFD">
      <w:pPr>
        <w:keepNext/>
        <w:ind w:left="0" w:firstLine="0"/>
        <w:rPr>
          <w:del w:id="10075" w:author="AbbVie1" w:date="2025-05-13T10:11:00Z"/>
          <w:u w:val="single"/>
        </w:rPr>
      </w:pPr>
      <w:del w:id="10076" w:author="AbbVie1" w:date="2025-05-13T10:11:00Z">
        <w:r w:rsidRPr="001B4A02">
          <w:rPr>
            <w:u w:val="single"/>
          </w:rPr>
          <w:delText>Děti</w:delText>
        </w:r>
        <w:r w:rsidR="002378E0">
          <w:rPr>
            <w:u w:val="single"/>
          </w:rPr>
          <w:delText xml:space="preserve"> a </w:delText>
        </w:r>
        <w:r w:rsidR="008F0704" w:rsidRPr="001B4A02">
          <w:rPr>
            <w:u w:val="single"/>
          </w:rPr>
          <w:delText>dospívající</w:delText>
        </w:r>
        <w:r w:rsidR="00DB5996" w:rsidRPr="001B4A02">
          <w:rPr>
            <w:u w:val="single"/>
          </w:rPr>
          <w:delText xml:space="preserve"> </w:delText>
        </w:r>
        <w:r w:rsidRPr="001B4A02">
          <w:rPr>
            <w:u w:val="single"/>
          </w:rPr>
          <w:delText>s polyartikulární juvenilní idiopatickou artritidou</w:delText>
        </w:r>
      </w:del>
    </w:p>
    <w:p w14:paraId="1DFB586B" w14:textId="77777777" w:rsidR="00073F8F" w:rsidRPr="001B4A02" w:rsidRDefault="00073F8F" w:rsidP="00404AFD">
      <w:pPr>
        <w:keepNext/>
        <w:ind w:left="0" w:firstLine="0"/>
        <w:rPr>
          <w:del w:id="10077" w:author="AbbVie1" w:date="2025-05-13T10:11:00Z"/>
          <w:i/>
        </w:rPr>
      </w:pPr>
    </w:p>
    <w:p w14:paraId="4E7BC4D5" w14:textId="77777777" w:rsidR="008F0704" w:rsidRPr="001B4A02" w:rsidRDefault="00000000" w:rsidP="00404AFD">
      <w:pPr>
        <w:keepNext/>
        <w:ind w:left="0" w:firstLine="0"/>
        <w:rPr>
          <w:del w:id="10078" w:author="AbbVie1" w:date="2025-05-13T10:11:00Z"/>
          <w:i/>
        </w:rPr>
      </w:pPr>
      <w:del w:id="10079" w:author="AbbVie1" w:date="2025-05-13T10:11:00Z">
        <w:r w:rsidRPr="001B4A02">
          <w:rPr>
            <w:i/>
          </w:rPr>
          <w:delText>Děti</w:delText>
        </w:r>
        <w:r w:rsidR="002378E0">
          <w:rPr>
            <w:i/>
          </w:rPr>
          <w:delText xml:space="preserve"> a </w:delText>
        </w:r>
        <w:r w:rsidRPr="001B4A02">
          <w:rPr>
            <w:i/>
          </w:rPr>
          <w:delText xml:space="preserve">dospívající </w:delText>
        </w:r>
        <w:r w:rsidR="00E44302" w:rsidRPr="001B4A02">
          <w:rPr>
            <w:i/>
          </w:rPr>
          <w:delText xml:space="preserve">od 2 let </w:delText>
        </w:r>
        <w:r w:rsidRPr="001B4A02">
          <w:rPr>
            <w:i/>
          </w:rPr>
          <w:delText xml:space="preserve">s tělesnou hmotností </w:delText>
        </w:r>
        <w:r w:rsidR="003E7A5D" w:rsidRPr="001B4A02">
          <w:rPr>
            <w:i/>
          </w:rPr>
          <w:delText xml:space="preserve">od </w:delText>
        </w:r>
        <w:r w:rsidRPr="001B4A02">
          <w:rPr>
            <w:i/>
          </w:rPr>
          <w:delText xml:space="preserve">10 kg </w:delText>
        </w:r>
        <w:r w:rsidR="003E7A5D" w:rsidRPr="001B4A02">
          <w:rPr>
            <w:i/>
          </w:rPr>
          <w:delText>do</w:delText>
        </w:r>
        <w:r w:rsidRPr="001B4A02">
          <w:rPr>
            <w:i/>
          </w:rPr>
          <w:delText xml:space="preserve"> 30 kg</w:delText>
        </w:r>
      </w:del>
    </w:p>
    <w:p w14:paraId="7D3AEF8C" w14:textId="77777777" w:rsidR="008F0704" w:rsidRPr="001B4A02" w:rsidRDefault="008F0704" w:rsidP="00404AFD">
      <w:pPr>
        <w:keepNext/>
        <w:ind w:left="0" w:firstLine="0"/>
        <w:rPr>
          <w:del w:id="10080" w:author="AbbVie1" w:date="2025-05-13T10:11:00Z"/>
        </w:rPr>
      </w:pPr>
    </w:p>
    <w:p w14:paraId="5904DBB3" w14:textId="77777777" w:rsidR="008F0704" w:rsidRPr="001B4A02" w:rsidRDefault="00000000" w:rsidP="0009084E">
      <w:pPr>
        <w:ind w:left="0" w:firstLine="0"/>
        <w:rPr>
          <w:del w:id="10081" w:author="AbbVie1" w:date="2025-05-13T10:11:00Z"/>
        </w:rPr>
      </w:pPr>
      <w:del w:id="10082" w:author="AbbVie1" w:date="2025-05-13T10:11:00Z">
        <w:r w:rsidRPr="001B4A02">
          <w:delText>Doporučená dávka přípravku Humira je 20 mg jednou za dva týdny.</w:delText>
        </w:r>
      </w:del>
    </w:p>
    <w:p w14:paraId="2A6D3606" w14:textId="77777777" w:rsidR="008F0704" w:rsidRPr="001B4A02" w:rsidRDefault="008F0704" w:rsidP="0009084E">
      <w:pPr>
        <w:ind w:left="0" w:firstLine="0"/>
        <w:rPr>
          <w:del w:id="10083" w:author="AbbVie1" w:date="2025-05-13T10:11:00Z"/>
        </w:rPr>
      </w:pPr>
    </w:p>
    <w:p w14:paraId="3ABE4F69" w14:textId="77777777" w:rsidR="008F0704" w:rsidRPr="001B4A02" w:rsidRDefault="00000000" w:rsidP="0009084E">
      <w:pPr>
        <w:keepNext/>
        <w:numPr>
          <w:ilvl w:val="12"/>
          <w:numId w:val="0"/>
        </w:numPr>
        <w:ind w:right="-2"/>
        <w:rPr>
          <w:del w:id="10084" w:author="AbbVie1" w:date="2025-05-13T10:11:00Z"/>
          <w:i/>
        </w:rPr>
      </w:pPr>
      <w:del w:id="10085" w:author="AbbVie1" w:date="2025-05-13T10:11:00Z">
        <w:r w:rsidRPr="001B4A02">
          <w:rPr>
            <w:i/>
          </w:rPr>
          <w:delText>Děti</w:delText>
        </w:r>
        <w:r w:rsidR="002378E0">
          <w:rPr>
            <w:i/>
          </w:rPr>
          <w:delText xml:space="preserve"> a </w:delText>
        </w:r>
        <w:r w:rsidRPr="001B4A02">
          <w:rPr>
            <w:i/>
          </w:rPr>
          <w:delText xml:space="preserve">dospívající </w:delText>
        </w:r>
        <w:r w:rsidR="00E44302" w:rsidRPr="001B4A02">
          <w:rPr>
            <w:i/>
          </w:rPr>
          <w:delText xml:space="preserve">od 2 let </w:delText>
        </w:r>
        <w:r w:rsidRPr="001B4A02">
          <w:rPr>
            <w:i/>
          </w:rPr>
          <w:delText>s tělesnou hmotností 30 kg nebo vyšší</w:delText>
        </w:r>
      </w:del>
    </w:p>
    <w:p w14:paraId="31F930B5" w14:textId="77777777" w:rsidR="008F0704" w:rsidRPr="001B4A02" w:rsidRDefault="008F0704" w:rsidP="00404AFD">
      <w:pPr>
        <w:keepNext/>
        <w:ind w:left="0" w:firstLine="0"/>
        <w:rPr>
          <w:del w:id="10086" w:author="AbbVie1" w:date="2025-05-13T10:11:00Z"/>
        </w:rPr>
      </w:pPr>
    </w:p>
    <w:p w14:paraId="3FCE671F" w14:textId="77777777" w:rsidR="003128FB" w:rsidRPr="001B4A02" w:rsidRDefault="00000000" w:rsidP="0009084E">
      <w:pPr>
        <w:ind w:left="0" w:firstLine="0"/>
        <w:rPr>
          <w:del w:id="10087" w:author="AbbVie1" w:date="2025-05-13T10:11:00Z"/>
        </w:rPr>
      </w:pPr>
      <w:del w:id="10088" w:author="AbbVie1" w:date="2025-05-13T10:11:00Z">
        <w:r w:rsidRPr="001B4A02">
          <w:delText>Doporučená dávka přípravku Humira je 40</w:delText>
        </w:r>
        <w:r w:rsidR="00874DE1">
          <w:delText> mg</w:delText>
        </w:r>
        <w:r w:rsidRPr="001B4A02">
          <w:delText xml:space="preserve"> jednou za dva týdny.</w:delText>
        </w:r>
      </w:del>
    </w:p>
    <w:p w14:paraId="6C56E228" w14:textId="77777777" w:rsidR="003B07AB" w:rsidRPr="001B4A02" w:rsidRDefault="003B07AB" w:rsidP="0009084E">
      <w:pPr>
        <w:ind w:left="0" w:firstLine="0"/>
        <w:rPr>
          <w:del w:id="10089" w:author="AbbVie1" w:date="2025-05-13T10:11:00Z"/>
        </w:rPr>
      </w:pPr>
    </w:p>
    <w:p w14:paraId="5C2F06D3" w14:textId="77777777" w:rsidR="0098168D" w:rsidRPr="001B4A02" w:rsidRDefault="00000000" w:rsidP="00404AFD">
      <w:pPr>
        <w:keepNext/>
        <w:ind w:left="0" w:firstLine="0"/>
        <w:rPr>
          <w:del w:id="10090" w:author="AbbVie1" w:date="2025-05-13T10:11:00Z"/>
          <w:u w:val="single"/>
        </w:rPr>
      </w:pPr>
      <w:del w:id="10091" w:author="AbbVie1" w:date="2025-05-13T10:11:00Z">
        <w:r w:rsidRPr="001B4A02">
          <w:rPr>
            <w:u w:val="single"/>
          </w:rPr>
          <w:delText>Děti</w:delText>
        </w:r>
        <w:r w:rsidR="00255DE4" w:rsidRPr="001B4A02">
          <w:rPr>
            <w:u w:val="single"/>
          </w:rPr>
          <w:delText>, dospívající</w:delText>
        </w:r>
        <w:r w:rsidR="002378E0">
          <w:rPr>
            <w:u w:val="single"/>
          </w:rPr>
          <w:delText xml:space="preserve"> a </w:delText>
        </w:r>
        <w:r w:rsidR="00255DE4" w:rsidRPr="001B4A02">
          <w:rPr>
            <w:u w:val="single"/>
          </w:rPr>
          <w:delText>dospělí</w:delText>
        </w:r>
        <w:r w:rsidRPr="001B4A02">
          <w:rPr>
            <w:u w:val="single"/>
          </w:rPr>
          <w:delText xml:space="preserve"> s ente</w:delText>
        </w:r>
        <w:r w:rsidR="00CA72CE" w:rsidRPr="001B4A02">
          <w:rPr>
            <w:u w:val="single"/>
          </w:rPr>
          <w:delText>zopatickou</w:delText>
        </w:r>
        <w:r w:rsidRPr="001B4A02">
          <w:rPr>
            <w:u w:val="single"/>
          </w:rPr>
          <w:delText xml:space="preserve"> artritidou</w:delText>
        </w:r>
      </w:del>
    </w:p>
    <w:p w14:paraId="1325B4E1" w14:textId="77777777" w:rsidR="00255DE4" w:rsidRPr="001B4A02" w:rsidRDefault="00255DE4" w:rsidP="00404AFD">
      <w:pPr>
        <w:keepNext/>
        <w:ind w:left="0" w:firstLine="0"/>
        <w:rPr>
          <w:del w:id="10092" w:author="AbbVie1" w:date="2025-05-13T10:11:00Z"/>
          <w:u w:val="single"/>
        </w:rPr>
      </w:pPr>
    </w:p>
    <w:p w14:paraId="2898E89E" w14:textId="77777777" w:rsidR="001428BA" w:rsidRPr="001B4A02" w:rsidRDefault="00000000" w:rsidP="00404AFD">
      <w:pPr>
        <w:keepNext/>
        <w:numPr>
          <w:ilvl w:val="12"/>
          <w:numId w:val="0"/>
        </w:numPr>
        <w:ind w:right="-2"/>
        <w:rPr>
          <w:del w:id="10093" w:author="AbbVie1" w:date="2025-05-13T10:11:00Z"/>
          <w:i/>
        </w:rPr>
      </w:pPr>
      <w:del w:id="10094" w:author="AbbVie1" w:date="2025-05-13T10:11:00Z">
        <w:r w:rsidRPr="001B4A02">
          <w:rPr>
            <w:i/>
          </w:rPr>
          <w:delText>Děti</w:delText>
        </w:r>
        <w:r w:rsidR="002378E0">
          <w:rPr>
            <w:i/>
          </w:rPr>
          <w:delText xml:space="preserve"> a </w:delText>
        </w:r>
        <w:r w:rsidRPr="001B4A02">
          <w:rPr>
            <w:i/>
          </w:rPr>
          <w:delText xml:space="preserve">dospívající </w:delText>
        </w:r>
        <w:r w:rsidR="00E44302" w:rsidRPr="001B4A02">
          <w:rPr>
            <w:i/>
          </w:rPr>
          <w:delText xml:space="preserve">od 6 let </w:delText>
        </w:r>
        <w:r w:rsidRPr="001B4A02">
          <w:rPr>
            <w:i/>
          </w:rPr>
          <w:delText xml:space="preserve">s tělesnou hmotností </w:delText>
        </w:r>
        <w:r w:rsidR="003E7A5D" w:rsidRPr="001B4A02">
          <w:rPr>
            <w:i/>
          </w:rPr>
          <w:delText xml:space="preserve">od </w:delText>
        </w:r>
        <w:r w:rsidRPr="001B4A02">
          <w:rPr>
            <w:i/>
          </w:rPr>
          <w:delText xml:space="preserve">15 kg </w:delText>
        </w:r>
        <w:r w:rsidR="003E7A5D" w:rsidRPr="001B4A02">
          <w:rPr>
            <w:i/>
          </w:rPr>
          <w:delText>do</w:delText>
        </w:r>
        <w:r w:rsidRPr="001B4A02">
          <w:rPr>
            <w:i/>
          </w:rPr>
          <w:delText xml:space="preserve"> 30 kg</w:delText>
        </w:r>
      </w:del>
    </w:p>
    <w:p w14:paraId="0D20B6D0" w14:textId="77777777" w:rsidR="00255DE4" w:rsidRPr="001B4A02" w:rsidRDefault="00255DE4" w:rsidP="00404AFD">
      <w:pPr>
        <w:keepNext/>
        <w:ind w:left="0" w:firstLine="0"/>
        <w:rPr>
          <w:del w:id="10095" w:author="AbbVie1" w:date="2025-05-13T10:11:00Z"/>
          <w:u w:val="single"/>
        </w:rPr>
      </w:pPr>
    </w:p>
    <w:p w14:paraId="3B1212FE" w14:textId="77777777" w:rsidR="001428BA" w:rsidRPr="001B4A02" w:rsidRDefault="00000000" w:rsidP="0009084E">
      <w:pPr>
        <w:ind w:left="0" w:firstLine="0"/>
        <w:rPr>
          <w:del w:id="10096" w:author="AbbVie1" w:date="2025-05-13T10:11:00Z"/>
        </w:rPr>
      </w:pPr>
      <w:del w:id="10097" w:author="AbbVie1" w:date="2025-05-13T10:11:00Z">
        <w:r w:rsidRPr="001B4A02">
          <w:delText>Doporučená dávka přípravku Humira je 20</w:delText>
        </w:r>
        <w:r w:rsidR="00874DE1">
          <w:delText> mg</w:delText>
        </w:r>
        <w:r w:rsidRPr="001B4A02">
          <w:delText xml:space="preserve"> jednou za dva týdny.</w:delText>
        </w:r>
      </w:del>
    </w:p>
    <w:p w14:paraId="3F6F746A" w14:textId="77777777" w:rsidR="001428BA" w:rsidRPr="001B4A02" w:rsidRDefault="001428BA" w:rsidP="0009084E">
      <w:pPr>
        <w:ind w:left="0" w:firstLine="0"/>
        <w:rPr>
          <w:del w:id="10098" w:author="AbbVie1" w:date="2025-05-13T10:11:00Z"/>
        </w:rPr>
      </w:pPr>
    </w:p>
    <w:p w14:paraId="31D1CDB1" w14:textId="77777777" w:rsidR="001428BA" w:rsidRPr="001B4A02" w:rsidRDefault="00000000" w:rsidP="0009084E">
      <w:pPr>
        <w:keepNext/>
        <w:numPr>
          <w:ilvl w:val="12"/>
          <w:numId w:val="0"/>
        </w:numPr>
        <w:ind w:right="-2"/>
        <w:rPr>
          <w:del w:id="10099" w:author="AbbVie1" w:date="2025-05-13T10:11:00Z"/>
          <w:i/>
        </w:rPr>
      </w:pPr>
      <w:del w:id="10100" w:author="AbbVie1" w:date="2025-05-13T10:11:00Z">
        <w:r w:rsidRPr="001B4A02">
          <w:rPr>
            <w:i/>
          </w:rPr>
          <w:delText>Děti, dospívající</w:delText>
        </w:r>
        <w:r w:rsidR="002378E0">
          <w:rPr>
            <w:i/>
          </w:rPr>
          <w:delText xml:space="preserve"> a </w:delText>
        </w:r>
        <w:r w:rsidRPr="001B4A02">
          <w:rPr>
            <w:i/>
          </w:rPr>
          <w:delText>dospělí</w:delText>
        </w:r>
        <w:r w:rsidR="00B50434" w:rsidRPr="001B4A02">
          <w:rPr>
            <w:i/>
          </w:rPr>
          <w:delText xml:space="preserve"> </w:delText>
        </w:r>
        <w:r w:rsidR="00E44302" w:rsidRPr="001B4A02">
          <w:rPr>
            <w:i/>
          </w:rPr>
          <w:delText xml:space="preserve">od 6 let </w:delText>
        </w:r>
        <w:r w:rsidRPr="001B4A02">
          <w:rPr>
            <w:i/>
          </w:rPr>
          <w:delText>s tělesnou hmotností 30 kg nebo vyšší</w:delText>
        </w:r>
      </w:del>
    </w:p>
    <w:p w14:paraId="58CCC834" w14:textId="77777777" w:rsidR="001428BA" w:rsidRPr="001B4A02" w:rsidRDefault="001428BA" w:rsidP="00404AFD">
      <w:pPr>
        <w:keepNext/>
        <w:ind w:left="0" w:firstLine="0"/>
        <w:rPr>
          <w:del w:id="10101" w:author="AbbVie1" w:date="2025-05-13T10:11:00Z"/>
        </w:rPr>
      </w:pPr>
    </w:p>
    <w:p w14:paraId="432968FA" w14:textId="77777777" w:rsidR="001428BA" w:rsidRPr="001B4A02" w:rsidRDefault="00000000" w:rsidP="0009084E">
      <w:pPr>
        <w:ind w:left="0" w:firstLine="0"/>
        <w:rPr>
          <w:del w:id="10102" w:author="AbbVie1" w:date="2025-05-13T10:11:00Z"/>
        </w:rPr>
      </w:pPr>
      <w:del w:id="10103" w:author="AbbVie1" w:date="2025-05-13T10:11:00Z">
        <w:r w:rsidRPr="001B4A02">
          <w:delText>Doporučená dávka přípravku Humira je 40 mg jednou za dva týdny.</w:delText>
        </w:r>
      </w:del>
    </w:p>
    <w:p w14:paraId="26AD22DA" w14:textId="77777777" w:rsidR="001428BA" w:rsidRPr="001B4A02" w:rsidRDefault="001428BA" w:rsidP="0009084E">
      <w:pPr>
        <w:ind w:left="0" w:firstLine="0"/>
        <w:rPr>
          <w:del w:id="10104" w:author="AbbVie1" w:date="2025-05-13T10:11:00Z"/>
          <w:u w:val="single"/>
        </w:rPr>
      </w:pPr>
    </w:p>
    <w:p w14:paraId="5B1ECB7A" w14:textId="77777777" w:rsidR="001428BA" w:rsidRPr="001B4A02" w:rsidRDefault="00000000" w:rsidP="00DD3461">
      <w:pPr>
        <w:keepNext/>
        <w:ind w:left="0" w:firstLine="0"/>
        <w:rPr>
          <w:del w:id="10105" w:author="AbbVie1" w:date="2025-05-13T10:11:00Z"/>
          <w:u w:val="single"/>
        </w:rPr>
      </w:pPr>
      <w:del w:id="10106" w:author="AbbVie1" w:date="2025-05-13T10:11:00Z">
        <w:r w:rsidRPr="001B4A02">
          <w:rPr>
            <w:u w:val="single"/>
          </w:rPr>
          <w:delText>Děti</w:delText>
        </w:r>
        <w:r w:rsidR="002378E0">
          <w:rPr>
            <w:u w:val="single"/>
          </w:rPr>
          <w:delText xml:space="preserve"> a </w:delText>
        </w:r>
        <w:r w:rsidRPr="001B4A02">
          <w:rPr>
            <w:u w:val="single"/>
          </w:rPr>
          <w:delText>dospívající s psoriázou</w:delText>
        </w:r>
      </w:del>
    </w:p>
    <w:p w14:paraId="4770EFB2" w14:textId="77777777" w:rsidR="001428BA" w:rsidRPr="001B4A02" w:rsidRDefault="001428BA" w:rsidP="00DD3461">
      <w:pPr>
        <w:keepNext/>
        <w:ind w:left="0" w:firstLine="0"/>
        <w:rPr>
          <w:del w:id="10107" w:author="AbbVie1" w:date="2025-05-13T10:11:00Z"/>
          <w:u w:val="single"/>
        </w:rPr>
      </w:pPr>
    </w:p>
    <w:p w14:paraId="52A85A7A" w14:textId="77777777" w:rsidR="001428BA" w:rsidRPr="001B4A02" w:rsidRDefault="00000000" w:rsidP="00DD3461">
      <w:pPr>
        <w:keepNext/>
        <w:numPr>
          <w:ilvl w:val="12"/>
          <w:numId w:val="0"/>
        </w:numPr>
        <w:ind w:right="-2"/>
        <w:rPr>
          <w:del w:id="10108" w:author="AbbVie1" w:date="2025-05-13T10:11:00Z"/>
          <w:i/>
        </w:rPr>
      </w:pPr>
      <w:del w:id="10109" w:author="AbbVie1" w:date="2025-05-13T10:11:00Z">
        <w:r w:rsidRPr="001B4A02">
          <w:rPr>
            <w:i/>
          </w:rPr>
          <w:delText>Děti</w:delText>
        </w:r>
        <w:r w:rsidR="002378E0">
          <w:rPr>
            <w:i/>
          </w:rPr>
          <w:delText xml:space="preserve"> a </w:delText>
        </w:r>
        <w:r w:rsidRPr="001B4A02">
          <w:rPr>
            <w:i/>
          </w:rPr>
          <w:delText xml:space="preserve">dospívající od 4 do 17 let s tělesnou hmotností </w:delText>
        </w:r>
        <w:r w:rsidR="003E7A5D" w:rsidRPr="001B4A02">
          <w:rPr>
            <w:i/>
          </w:rPr>
          <w:delText xml:space="preserve">od </w:delText>
        </w:r>
        <w:r w:rsidRPr="001B4A02">
          <w:rPr>
            <w:i/>
          </w:rPr>
          <w:delText xml:space="preserve">15 kg </w:delText>
        </w:r>
        <w:r w:rsidR="003E7A5D" w:rsidRPr="001B4A02">
          <w:rPr>
            <w:i/>
          </w:rPr>
          <w:delText>do</w:delText>
        </w:r>
        <w:r w:rsidRPr="001B4A02">
          <w:rPr>
            <w:i/>
          </w:rPr>
          <w:delText xml:space="preserve"> 30 kg</w:delText>
        </w:r>
      </w:del>
    </w:p>
    <w:p w14:paraId="1FA3D9DB" w14:textId="77777777" w:rsidR="00AC37F4" w:rsidRPr="001B4A02" w:rsidRDefault="00AC37F4" w:rsidP="00404AFD">
      <w:pPr>
        <w:keepNext/>
        <w:ind w:left="0" w:firstLine="0"/>
        <w:rPr>
          <w:del w:id="10110" w:author="AbbVie1" w:date="2025-05-13T10:11:00Z"/>
          <w:u w:val="single"/>
        </w:rPr>
      </w:pPr>
    </w:p>
    <w:p w14:paraId="6BE970BC" w14:textId="77777777" w:rsidR="00AC37F4" w:rsidRPr="001B4A02" w:rsidRDefault="00000000" w:rsidP="00C806C1">
      <w:pPr>
        <w:numPr>
          <w:ilvl w:val="12"/>
          <w:numId w:val="0"/>
        </w:numPr>
        <w:ind w:right="-2"/>
        <w:rPr>
          <w:del w:id="10111" w:author="AbbVie1" w:date="2025-05-13T10:11:00Z"/>
        </w:rPr>
      </w:pPr>
      <w:del w:id="10112" w:author="AbbVie1" w:date="2025-05-13T10:11:00Z">
        <w:r w:rsidRPr="001B4A02">
          <w:delText>Doporučen</w:delText>
        </w:r>
        <w:r w:rsidR="005A253B" w:rsidRPr="001B4A02">
          <w:delText>é</w:delText>
        </w:r>
        <w:r w:rsidRPr="001B4A02">
          <w:delText xml:space="preserve"> dávk</w:delText>
        </w:r>
        <w:r w:rsidR="005A253B" w:rsidRPr="001B4A02">
          <w:delText>ování</w:delText>
        </w:r>
        <w:r w:rsidRPr="001B4A02">
          <w:delText xml:space="preserve"> přípravku Humira </w:delText>
        </w:r>
        <w:r w:rsidR="001428BA" w:rsidRPr="001B4A02">
          <w:delText xml:space="preserve">je </w:delText>
        </w:r>
        <w:r w:rsidR="001C63B9" w:rsidRPr="001B4A02">
          <w:delText xml:space="preserve">podání </w:delText>
        </w:r>
        <w:r w:rsidR="005A253B" w:rsidRPr="001B4A02">
          <w:delText>úvodní</w:delText>
        </w:r>
        <w:r w:rsidR="001428BA" w:rsidRPr="001B4A02">
          <w:delText xml:space="preserve"> dávk</w:delText>
        </w:r>
        <w:r w:rsidR="001C63B9" w:rsidRPr="001B4A02">
          <w:delText>y</w:delText>
        </w:r>
        <w:r w:rsidR="001428BA" w:rsidRPr="001B4A02">
          <w:delText xml:space="preserve"> 20 mg následovan</w:delText>
        </w:r>
        <w:r w:rsidR="001C63B9" w:rsidRPr="001B4A02">
          <w:delText>é</w:delText>
        </w:r>
        <w:r w:rsidR="001428BA" w:rsidRPr="001B4A02">
          <w:delText xml:space="preserve"> o</w:delText>
        </w:r>
        <w:r w:rsidR="00923691" w:rsidRPr="001B4A02">
          <w:delText> </w:delText>
        </w:r>
        <w:r w:rsidR="001428BA" w:rsidRPr="001B4A02">
          <w:delText>týden později dávkou 20 mg</w:delText>
        </w:r>
        <w:r w:rsidRPr="001B4A02">
          <w:delText>.</w:delText>
        </w:r>
        <w:r w:rsidR="001428BA" w:rsidRPr="001B4A02">
          <w:delText xml:space="preserve"> Poté se podává obvyklá dávka 20</w:delText>
        </w:r>
        <w:r w:rsidR="00874DE1">
          <w:delText> mg</w:delText>
        </w:r>
        <w:r w:rsidR="001428BA" w:rsidRPr="001B4A02">
          <w:delText xml:space="preserve"> jednou za dva týdny</w:delText>
        </w:r>
        <w:r w:rsidR="00D97F68" w:rsidRPr="001B4A02">
          <w:delText>.</w:delText>
        </w:r>
      </w:del>
    </w:p>
    <w:p w14:paraId="7596D5C1" w14:textId="77777777" w:rsidR="001428BA" w:rsidRPr="001B4A02" w:rsidRDefault="001428BA" w:rsidP="00C806C1">
      <w:pPr>
        <w:numPr>
          <w:ilvl w:val="12"/>
          <w:numId w:val="0"/>
        </w:numPr>
        <w:ind w:right="-2"/>
        <w:rPr>
          <w:del w:id="10113" w:author="AbbVie1" w:date="2025-05-13T10:11:00Z"/>
        </w:rPr>
      </w:pPr>
    </w:p>
    <w:p w14:paraId="369337E3" w14:textId="77777777" w:rsidR="001428BA" w:rsidRPr="001B4A02" w:rsidRDefault="00000000" w:rsidP="00404AFD">
      <w:pPr>
        <w:keepNext/>
        <w:numPr>
          <w:ilvl w:val="12"/>
          <w:numId w:val="0"/>
        </w:numPr>
        <w:ind w:right="-2"/>
        <w:rPr>
          <w:del w:id="10114" w:author="AbbVie1" w:date="2025-05-13T10:11:00Z"/>
          <w:i/>
        </w:rPr>
      </w:pPr>
      <w:del w:id="10115" w:author="AbbVie1" w:date="2025-05-13T10:11:00Z">
        <w:r w:rsidRPr="001B4A02">
          <w:rPr>
            <w:i/>
          </w:rPr>
          <w:delText>Děti</w:delText>
        </w:r>
        <w:r w:rsidR="002378E0">
          <w:rPr>
            <w:i/>
          </w:rPr>
          <w:delText xml:space="preserve"> a </w:delText>
        </w:r>
        <w:r w:rsidRPr="001B4A02">
          <w:rPr>
            <w:i/>
          </w:rPr>
          <w:delText>dospívající od 4 do 17 let s tělesnou hmotností 30 kg nebo vyšší</w:delText>
        </w:r>
      </w:del>
    </w:p>
    <w:p w14:paraId="48D3D329" w14:textId="77777777" w:rsidR="001428BA" w:rsidRPr="001B4A02" w:rsidRDefault="001428BA" w:rsidP="00404AFD">
      <w:pPr>
        <w:keepNext/>
        <w:numPr>
          <w:ilvl w:val="12"/>
          <w:numId w:val="0"/>
        </w:numPr>
        <w:ind w:right="-2"/>
        <w:rPr>
          <w:del w:id="10116" w:author="AbbVie1" w:date="2025-05-13T10:11:00Z"/>
          <w:i/>
        </w:rPr>
      </w:pPr>
    </w:p>
    <w:p w14:paraId="0158A19E" w14:textId="77777777" w:rsidR="001428BA" w:rsidRPr="001B4A02" w:rsidRDefault="00000000" w:rsidP="001428BA">
      <w:pPr>
        <w:numPr>
          <w:ilvl w:val="12"/>
          <w:numId w:val="0"/>
        </w:numPr>
        <w:ind w:right="-2"/>
        <w:rPr>
          <w:del w:id="10117" w:author="AbbVie1" w:date="2025-05-13T10:11:00Z"/>
        </w:rPr>
      </w:pPr>
      <w:del w:id="10118" w:author="AbbVie1" w:date="2025-05-13T10:11:00Z">
        <w:r w:rsidRPr="001B4A02">
          <w:delText>Doporučen</w:delText>
        </w:r>
        <w:r w:rsidR="001C63B9" w:rsidRPr="001B4A02">
          <w:delText>é</w:delText>
        </w:r>
        <w:r w:rsidRPr="001B4A02">
          <w:delText xml:space="preserve"> dávk</w:delText>
        </w:r>
        <w:r w:rsidR="001C63B9" w:rsidRPr="001B4A02">
          <w:delText>ování</w:delText>
        </w:r>
        <w:r w:rsidRPr="001B4A02">
          <w:delText xml:space="preserve"> přípravku Humira je </w:delText>
        </w:r>
        <w:r w:rsidR="001C63B9" w:rsidRPr="001B4A02">
          <w:delText>podání úvodní</w:delText>
        </w:r>
        <w:r w:rsidRPr="001B4A02">
          <w:delText xml:space="preserve"> dávk</w:delText>
        </w:r>
        <w:r w:rsidR="001C63B9" w:rsidRPr="001B4A02">
          <w:delText>y</w:delText>
        </w:r>
        <w:r w:rsidRPr="001B4A02">
          <w:delText xml:space="preserve"> 40 mg následovan</w:delText>
        </w:r>
        <w:r w:rsidR="001C63B9" w:rsidRPr="001B4A02">
          <w:delText>é</w:delText>
        </w:r>
        <w:r w:rsidRPr="001B4A02">
          <w:delText xml:space="preserve"> o</w:delText>
        </w:r>
        <w:r w:rsidR="00DB6E84" w:rsidRPr="001B4A02">
          <w:delText> </w:delText>
        </w:r>
        <w:r w:rsidRPr="001B4A02">
          <w:delText>týden později dávkou 40 mg. Poté se podává obvyklá dávka 40</w:delText>
        </w:r>
        <w:r w:rsidR="00874DE1">
          <w:delText> mg</w:delText>
        </w:r>
        <w:r w:rsidRPr="001B4A02">
          <w:delText xml:space="preserve"> jednou za dva týdny</w:delText>
        </w:r>
        <w:r w:rsidR="00D4194D" w:rsidRPr="001B4A02">
          <w:delText>.</w:delText>
        </w:r>
      </w:del>
    </w:p>
    <w:p w14:paraId="403CD615" w14:textId="77777777" w:rsidR="001428BA" w:rsidRPr="001B4A02" w:rsidRDefault="001428BA" w:rsidP="00C806C1">
      <w:pPr>
        <w:numPr>
          <w:ilvl w:val="12"/>
          <w:numId w:val="0"/>
        </w:numPr>
        <w:ind w:right="-2"/>
        <w:rPr>
          <w:del w:id="10119" w:author="AbbVie1" w:date="2025-05-13T10:11:00Z"/>
        </w:rPr>
      </w:pPr>
    </w:p>
    <w:p w14:paraId="78EDB97F" w14:textId="77777777" w:rsidR="00C207A7" w:rsidRPr="001B4A02" w:rsidRDefault="00000000" w:rsidP="00404AFD">
      <w:pPr>
        <w:keepNext/>
        <w:numPr>
          <w:ilvl w:val="12"/>
          <w:numId w:val="0"/>
        </w:numPr>
        <w:ind w:right="-2"/>
        <w:rPr>
          <w:del w:id="10120" w:author="AbbVie1" w:date="2025-05-13T10:11:00Z"/>
          <w:u w:val="single"/>
        </w:rPr>
      </w:pPr>
      <w:del w:id="10121" w:author="AbbVie1" w:date="2025-05-13T10:11:00Z">
        <w:r w:rsidRPr="001B4A02">
          <w:rPr>
            <w:szCs w:val="22"/>
            <w:u w:val="single"/>
          </w:rPr>
          <w:delText>Dospívající s</w:delText>
        </w:r>
        <w:r w:rsidR="000C2348" w:rsidRPr="001B4A02">
          <w:rPr>
            <w:szCs w:val="22"/>
            <w:u w:val="single"/>
          </w:rPr>
          <w:delText> </w:delText>
        </w:r>
        <w:r w:rsidRPr="001B4A02">
          <w:rPr>
            <w:szCs w:val="22"/>
            <w:u w:val="single"/>
          </w:rPr>
          <w:delText>hidradenitis suppurativa od 12</w:delText>
        </w:r>
        <w:r w:rsidR="001428BA" w:rsidRPr="001B4A02">
          <w:rPr>
            <w:szCs w:val="22"/>
            <w:u w:val="single"/>
          </w:rPr>
          <w:delText xml:space="preserve"> do 17</w:delText>
        </w:r>
        <w:r w:rsidRPr="001B4A02">
          <w:rPr>
            <w:szCs w:val="22"/>
            <w:u w:val="single"/>
          </w:rPr>
          <w:delText> let s</w:delText>
        </w:r>
        <w:r w:rsidR="00F23025" w:rsidRPr="001B4A02">
          <w:rPr>
            <w:szCs w:val="22"/>
            <w:u w:val="single"/>
          </w:rPr>
          <w:delText> </w:delText>
        </w:r>
        <w:r w:rsidRPr="001B4A02">
          <w:rPr>
            <w:szCs w:val="22"/>
            <w:u w:val="single"/>
          </w:rPr>
          <w:delText>tělesnou hmotností 30 kg</w:delText>
        </w:r>
        <w:r w:rsidR="001428BA" w:rsidRPr="001B4A02">
          <w:rPr>
            <w:szCs w:val="22"/>
            <w:u w:val="single"/>
          </w:rPr>
          <w:delText xml:space="preserve"> nebo </w:delText>
        </w:r>
        <w:r w:rsidR="001D2B8E" w:rsidRPr="001B4A02">
          <w:rPr>
            <w:szCs w:val="22"/>
            <w:u w:val="single"/>
          </w:rPr>
          <w:delText>vyšší</w:delText>
        </w:r>
      </w:del>
    </w:p>
    <w:p w14:paraId="52F22895" w14:textId="77777777" w:rsidR="00C207A7" w:rsidRPr="001B4A02" w:rsidRDefault="00C207A7" w:rsidP="00404AFD">
      <w:pPr>
        <w:keepNext/>
        <w:numPr>
          <w:ilvl w:val="12"/>
          <w:numId w:val="0"/>
        </w:numPr>
        <w:ind w:right="-2"/>
        <w:rPr>
          <w:del w:id="10122" w:author="AbbVie1" w:date="2025-05-13T10:11:00Z"/>
        </w:rPr>
      </w:pPr>
    </w:p>
    <w:p w14:paraId="2F0BC840" w14:textId="77777777" w:rsidR="00C207A7" w:rsidRPr="001B4A02" w:rsidRDefault="00000000" w:rsidP="00ED48A3">
      <w:pPr>
        <w:numPr>
          <w:ilvl w:val="12"/>
          <w:numId w:val="0"/>
        </w:numPr>
        <w:ind w:right="-2"/>
        <w:rPr>
          <w:del w:id="10123" w:author="AbbVie1" w:date="2025-05-13T10:11:00Z"/>
        </w:rPr>
      </w:pPr>
      <w:del w:id="10124" w:author="AbbVie1" w:date="2025-05-13T10:11:00Z">
        <w:r w:rsidRPr="001B4A02">
          <w:rPr>
            <w:szCs w:val="22"/>
          </w:rPr>
          <w:delText>Doporučené dávkování</w:delText>
        </w:r>
        <w:r w:rsidR="000F34C1" w:rsidRPr="001B4A02">
          <w:rPr>
            <w:szCs w:val="22"/>
          </w:rPr>
          <w:delText xml:space="preserve"> </w:delText>
        </w:r>
        <w:r w:rsidRPr="001B4A02">
          <w:rPr>
            <w:szCs w:val="22"/>
          </w:rPr>
          <w:delText xml:space="preserve">přípravku Humira je </w:delText>
        </w:r>
        <w:r w:rsidR="000F34C1" w:rsidRPr="001B4A02">
          <w:rPr>
            <w:szCs w:val="22"/>
          </w:rPr>
          <w:delText xml:space="preserve">podání </w:delText>
        </w:r>
        <w:r w:rsidRPr="001B4A02">
          <w:rPr>
            <w:szCs w:val="22"/>
          </w:rPr>
          <w:delText xml:space="preserve">úvodní </w:delText>
        </w:r>
        <w:r w:rsidR="000F34C1" w:rsidRPr="001B4A02">
          <w:rPr>
            <w:szCs w:val="22"/>
          </w:rPr>
          <w:delText xml:space="preserve">dávky </w:delText>
        </w:r>
        <w:r w:rsidRPr="001B4A02">
          <w:rPr>
            <w:szCs w:val="22"/>
          </w:rPr>
          <w:delText>80 mg (</w:delText>
        </w:r>
        <w:r w:rsidR="001428BA" w:rsidRPr="001B4A02">
          <w:rPr>
            <w:szCs w:val="22"/>
          </w:rPr>
          <w:delText xml:space="preserve">jako </w:delText>
        </w:r>
        <w:r w:rsidRPr="001B4A02">
          <w:rPr>
            <w:szCs w:val="22"/>
          </w:rPr>
          <w:delText>dvě injekce</w:delText>
        </w:r>
        <w:r w:rsidR="005C74D0" w:rsidRPr="001B4A02">
          <w:rPr>
            <w:szCs w:val="22"/>
          </w:rPr>
          <w:delText xml:space="preserve"> 40</w:delText>
        </w:r>
        <w:r w:rsidR="00874DE1">
          <w:rPr>
            <w:szCs w:val="22"/>
          </w:rPr>
          <w:delText> mg</w:delText>
        </w:r>
        <w:r w:rsidRPr="001B4A02">
          <w:rPr>
            <w:szCs w:val="22"/>
          </w:rPr>
          <w:delText xml:space="preserve"> jednou denně) následovan</w:delText>
        </w:r>
        <w:r w:rsidR="000F34C1" w:rsidRPr="001B4A02">
          <w:rPr>
            <w:szCs w:val="22"/>
          </w:rPr>
          <w:delText>é</w:delText>
        </w:r>
        <w:r w:rsidRPr="001B4A02">
          <w:rPr>
            <w:szCs w:val="22"/>
          </w:rPr>
          <w:delText xml:space="preserve"> dávkou 40 mg každý druhý týden</w:delText>
        </w:r>
        <w:r w:rsidR="00F23025" w:rsidRPr="001B4A02">
          <w:rPr>
            <w:szCs w:val="22"/>
          </w:rPr>
          <w:delText xml:space="preserve"> o </w:delText>
        </w:r>
        <w:r w:rsidRPr="001B4A02">
          <w:rPr>
            <w:szCs w:val="22"/>
          </w:rPr>
          <w:delText xml:space="preserve">jeden týden později. </w:delText>
        </w:r>
        <w:r w:rsidR="004F026A" w:rsidRPr="001B4A02">
          <w:rPr>
            <w:szCs w:val="22"/>
          </w:rPr>
          <w:delText xml:space="preserve">Pokud </w:delText>
        </w:r>
        <w:r w:rsidR="000D3314" w:rsidRPr="001B4A02">
          <w:rPr>
            <w:szCs w:val="22"/>
          </w:rPr>
          <w:delText>Vaše</w:delText>
        </w:r>
        <w:r w:rsidR="004F026A" w:rsidRPr="001B4A02">
          <w:rPr>
            <w:szCs w:val="22"/>
          </w:rPr>
          <w:delText xml:space="preserve"> odpověď</w:delText>
        </w:r>
        <w:r w:rsidR="000D3314" w:rsidRPr="001B4A02">
          <w:rPr>
            <w:szCs w:val="22"/>
          </w:rPr>
          <w:delText xml:space="preserve"> </w:delText>
        </w:r>
        <w:r w:rsidR="005C74D0" w:rsidRPr="001B4A02">
          <w:rPr>
            <w:szCs w:val="22"/>
          </w:rPr>
          <w:delText>na podávání přípravku Humira 40</w:delText>
        </w:r>
        <w:r w:rsidR="00874DE1">
          <w:rPr>
            <w:szCs w:val="22"/>
          </w:rPr>
          <w:delText> mg</w:delText>
        </w:r>
        <w:r w:rsidR="005C74D0" w:rsidRPr="001B4A02">
          <w:rPr>
            <w:szCs w:val="22"/>
          </w:rPr>
          <w:delText xml:space="preserve"> jednou za dva týdny </w:delText>
        </w:r>
        <w:r w:rsidR="000D3314" w:rsidRPr="001B4A02">
          <w:rPr>
            <w:szCs w:val="22"/>
          </w:rPr>
          <w:delText>není dostatečná</w:delText>
        </w:r>
        <w:r w:rsidR="004F026A" w:rsidRPr="001B4A02">
          <w:rPr>
            <w:szCs w:val="22"/>
          </w:rPr>
          <w:delText xml:space="preserve">, může lékař zvýšit dávkování </w:delText>
        </w:r>
        <w:r w:rsidRPr="001B4A02">
          <w:rPr>
            <w:szCs w:val="22"/>
          </w:rPr>
          <w:delText>na 40</w:delText>
        </w:r>
        <w:r w:rsidR="00874DE1">
          <w:rPr>
            <w:szCs w:val="22"/>
          </w:rPr>
          <w:delText> mg</w:delText>
        </w:r>
        <w:r w:rsidRPr="001B4A02">
          <w:rPr>
            <w:szCs w:val="22"/>
          </w:rPr>
          <w:delText xml:space="preserve"> každý týden</w:delText>
        </w:r>
        <w:r w:rsidR="005C74D0" w:rsidRPr="001B4A02">
          <w:rPr>
            <w:szCs w:val="22"/>
          </w:rPr>
          <w:delText xml:space="preserve"> nebo 80</w:delText>
        </w:r>
        <w:r w:rsidR="00874DE1">
          <w:rPr>
            <w:szCs w:val="22"/>
          </w:rPr>
          <w:delText> mg</w:delText>
        </w:r>
        <w:r w:rsidR="005C74D0" w:rsidRPr="001B4A02">
          <w:rPr>
            <w:szCs w:val="22"/>
          </w:rPr>
          <w:delText xml:space="preserve"> jednou za dva týdny</w:delText>
        </w:r>
        <w:r w:rsidR="008F609A" w:rsidRPr="001B4A02">
          <w:rPr>
            <w:szCs w:val="22"/>
          </w:rPr>
          <w:delText>.</w:delText>
        </w:r>
      </w:del>
    </w:p>
    <w:p w14:paraId="720E1D35" w14:textId="77777777" w:rsidR="00C207A7" w:rsidRPr="001B4A02" w:rsidRDefault="00C207A7" w:rsidP="00ED48A3">
      <w:pPr>
        <w:numPr>
          <w:ilvl w:val="12"/>
          <w:numId w:val="0"/>
        </w:numPr>
        <w:ind w:right="-2"/>
        <w:rPr>
          <w:del w:id="10125" w:author="AbbVie1" w:date="2025-05-13T10:11:00Z"/>
        </w:rPr>
      </w:pPr>
    </w:p>
    <w:p w14:paraId="228371EB" w14:textId="77777777" w:rsidR="00C207A7" w:rsidRPr="001B4A02" w:rsidRDefault="00000000" w:rsidP="00ED48A3">
      <w:pPr>
        <w:numPr>
          <w:ilvl w:val="12"/>
          <w:numId w:val="0"/>
        </w:numPr>
        <w:ind w:right="-2"/>
        <w:rPr>
          <w:del w:id="10126" w:author="AbbVie1" w:date="2025-05-13T10:11:00Z"/>
        </w:rPr>
      </w:pPr>
      <w:del w:id="10127" w:author="AbbVie1" w:date="2025-05-13T10:11:00Z">
        <w:r w:rsidRPr="001B4A02">
          <w:rPr>
            <w:szCs w:val="22"/>
          </w:rPr>
          <w:delText>Doporučuje se postižená místa denně omývat antiseptickým přípravkem.</w:delText>
        </w:r>
      </w:del>
    </w:p>
    <w:p w14:paraId="27B5FAFF" w14:textId="77777777" w:rsidR="00C207A7" w:rsidRPr="001B4A02" w:rsidRDefault="00C207A7" w:rsidP="00ED48A3">
      <w:pPr>
        <w:numPr>
          <w:ilvl w:val="12"/>
          <w:numId w:val="0"/>
        </w:numPr>
        <w:ind w:right="-2"/>
        <w:rPr>
          <w:del w:id="10128" w:author="AbbVie1" w:date="2025-05-13T10:11:00Z"/>
        </w:rPr>
      </w:pPr>
    </w:p>
    <w:p w14:paraId="0B6ACC13" w14:textId="77777777" w:rsidR="001C5DD4" w:rsidRPr="001B4A02" w:rsidRDefault="00000000" w:rsidP="00404AFD">
      <w:pPr>
        <w:keepNext/>
        <w:ind w:left="0" w:firstLine="0"/>
        <w:rPr>
          <w:del w:id="10129" w:author="AbbVie1" w:date="2025-05-13T10:11:00Z"/>
          <w:szCs w:val="22"/>
          <w:u w:val="single"/>
          <w:bdr w:val="nil"/>
        </w:rPr>
      </w:pPr>
      <w:del w:id="10130" w:author="AbbVie1" w:date="2025-05-13T10:11:00Z">
        <w:r w:rsidRPr="001B4A02">
          <w:rPr>
            <w:szCs w:val="22"/>
            <w:u w:val="single"/>
          </w:rPr>
          <w:delText>Děti</w:delText>
        </w:r>
        <w:r w:rsidR="002378E0">
          <w:rPr>
            <w:szCs w:val="22"/>
            <w:u w:val="single"/>
          </w:rPr>
          <w:delText xml:space="preserve"> a </w:delText>
        </w:r>
        <w:r w:rsidRPr="001B4A02">
          <w:rPr>
            <w:szCs w:val="22"/>
            <w:u w:val="single"/>
          </w:rPr>
          <w:delText>dospívající s Crohnovou chorobou</w:delText>
        </w:r>
      </w:del>
    </w:p>
    <w:p w14:paraId="1B23BAAA" w14:textId="77777777" w:rsidR="001428BA" w:rsidRPr="001B4A02" w:rsidRDefault="001428BA" w:rsidP="00404AFD">
      <w:pPr>
        <w:keepNext/>
        <w:ind w:left="0" w:firstLine="0"/>
        <w:rPr>
          <w:del w:id="10131" w:author="AbbVie1" w:date="2025-05-13T10:11:00Z"/>
          <w:szCs w:val="22"/>
          <w:bdr w:val="nil"/>
        </w:rPr>
      </w:pPr>
    </w:p>
    <w:p w14:paraId="44BCC35B" w14:textId="77777777" w:rsidR="001428BA" w:rsidRPr="001B4A02" w:rsidRDefault="00000000" w:rsidP="00404AFD">
      <w:pPr>
        <w:keepNext/>
        <w:numPr>
          <w:ilvl w:val="12"/>
          <w:numId w:val="0"/>
        </w:numPr>
        <w:ind w:right="-2"/>
        <w:rPr>
          <w:del w:id="10132" w:author="AbbVie1" w:date="2025-05-13T10:11:00Z"/>
          <w:i/>
        </w:rPr>
      </w:pPr>
      <w:del w:id="10133" w:author="AbbVie1" w:date="2025-05-13T10:11:00Z">
        <w:r w:rsidRPr="001B4A02">
          <w:rPr>
            <w:i/>
          </w:rPr>
          <w:delText>Děti</w:delText>
        </w:r>
        <w:r w:rsidR="002378E0">
          <w:rPr>
            <w:i/>
          </w:rPr>
          <w:delText xml:space="preserve"> a </w:delText>
        </w:r>
        <w:r w:rsidRPr="001B4A02">
          <w:rPr>
            <w:i/>
          </w:rPr>
          <w:delText xml:space="preserve">dospívající od 6 do 17 let s tělesnou hmotností </w:delText>
        </w:r>
        <w:r w:rsidR="004E3EA5" w:rsidRPr="001B4A02">
          <w:rPr>
            <w:i/>
          </w:rPr>
          <w:delText>do</w:delText>
        </w:r>
        <w:r w:rsidRPr="001B4A02">
          <w:rPr>
            <w:i/>
          </w:rPr>
          <w:delText xml:space="preserve"> 40 kg</w:delText>
        </w:r>
      </w:del>
    </w:p>
    <w:p w14:paraId="189F4B5C" w14:textId="77777777" w:rsidR="001428BA" w:rsidRPr="001B4A02" w:rsidRDefault="001428BA" w:rsidP="00404AFD">
      <w:pPr>
        <w:keepNext/>
        <w:ind w:left="0" w:firstLine="0"/>
        <w:rPr>
          <w:del w:id="10134" w:author="AbbVie1" w:date="2025-05-13T10:11:00Z"/>
          <w:szCs w:val="22"/>
          <w:bdr w:val="nil"/>
        </w:rPr>
      </w:pPr>
    </w:p>
    <w:p w14:paraId="321ABEF9" w14:textId="77777777" w:rsidR="002138B9" w:rsidRPr="001B4A02" w:rsidRDefault="00000000" w:rsidP="002138B9">
      <w:pPr>
        <w:ind w:left="0" w:firstLine="0"/>
        <w:rPr>
          <w:del w:id="10135" w:author="AbbVie1" w:date="2025-05-13T10:11:00Z"/>
        </w:rPr>
      </w:pPr>
      <w:del w:id="10136" w:author="AbbVie1" w:date="2025-05-13T10:11:00Z">
        <w:r w:rsidRPr="001B4A02">
          <w:delText xml:space="preserve">Obvyklý režim dávkování je </w:delText>
        </w:r>
        <w:r w:rsidR="00E65030" w:rsidRPr="001B4A02">
          <w:delText xml:space="preserve">podání úvodní dávky </w:delText>
        </w:r>
        <w:r w:rsidR="009E7786" w:rsidRPr="001B4A02">
          <w:delText>4</w:delText>
        </w:r>
        <w:r w:rsidRPr="001B4A02">
          <w:delText>0</w:delText>
        </w:r>
        <w:r w:rsidR="00874DE1">
          <w:delText> mg</w:delText>
        </w:r>
        <w:r w:rsidRPr="001B4A02">
          <w:delText xml:space="preserve"> následované dávkou </w:delText>
        </w:r>
        <w:r w:rsidR="009E7786" w:rsidRPr="001B4A02">
          <w:delText>2</w:delText>
        </w:r>
        <w:r w:rsidRPr="001B4A02">
          <w:delText>0</w:delText>
        </w:r>
        <w:r w:rsidR="00874DE1">
          <w:delText> mg</w:delText>
        </w:r>
        <w:r w:rsidRPr="001B4A02">
          <w:delText xml:space="preserve"> o dva týdny později. Pokud je potřeba rychlejší odpovědi, předepíše lékař Vašemu dítěti úvodní dávku </w:delText>
        </w:r>
        <w:r w:rsidR="009E7786" w:rsidRPr="001B4A02">
          <w:delText>80</w:delText>
        </w:r>
        <w:r w:rsidR="00874DE1">
          <w:delText> mg</w:delText>
        </w:r>
        <w:r w:rsidRPr="001B4A02">
          <w:delText xml:space="preserve"> (jako </w:delText>
        </w:r>
        <w:r w:rsidR="009E7786" w:rsidRPr="001B4A02">
          <w:delText>dvě</w:delText>
        </w:r>
        <w:r w:rsidRPr="001B4A02">
          <w:delText xml:space="preserve"> injekce </w:delText>
        </w:r>
        <w:r w:rsidR="005C74D0" w:rsidRPr="001B4A02">
          <w:delText>40</w:delText>
        </w:r>
        <w:r w:rsidR="00874DE1">
          <w:delText> mg</w:delText>
        </w:r>
        <w:r w:rsidR="005C74D0" w:rsidRPr="001B4A02">
          <w:delText xml:space="preserve"> </w:delText>
        </w:r>
        <w:r w:rsidRPr="001B4A02">
          <w:delText xml:space="preserve">v jednom dni) následovanou dávkou </w:delText>
        </w:r>
        <w:r w:rsidR="009E7786" w:rsidRPr="001B4A02">
          <w:delText>4</w:delText>
        </w:r>
        <w:r w:rsidRPr="001B4A02">
          <w:delText>0</w:delText>
        </w:r>
        <w:r w:rsidR="00874DE1">
          <w:delText> mg</w:delText>
        </w:r>
        <w:r w:rsidRPr="001B4A02">
          <w:delText xml:space="preserve"> o dva týdny později.</w:delText>
        </w:r>
      </w:del>
    </w:p>
    <w:p w14:paraId="471D12ED" w14:textId="77777777" w:rsidR="002138B9" w:rsidRPr="001B4A02" w:rsidRDefault="002138B9" w:rsidP="00404AFD">
      <w:pPr>
        <w:numPr>
          <w:ilvl w:val="12"/>
          <w:numId w:val="0"/>
        </w:numPr>
        <w:rPr>
          <w:del w:id="10137" w:author="AbbVie1" w:date="2025-05-13T10:11:00Z"/>
        </w:rPr>
      </w:pPr>
    </w:p>
    <w:p w14:paraId="416BD7FA" w14:textId="77777777" w:rsidR="001428BA" w:rsidRPr="001B4A02" w:rsidRDefault="00000000" w:rsidP="001428BA">
      <w:pPr>
        <w:ind w:left="0" w:firstLine="0"/>
        <w:rPr>
          <w:del w:id="10138" w:author="AbbVie1" w:date="2025-05-13T10:11:00Z"/>
          <w:szCs w:val="22"/>
          <w:bdr w:val="nil"/>
        </w:rPr>
      </w:pPr>
      <w:del w:id="10139" w:author="AbbVie1" w:date="2025-05-13T10:11:00Z">
        <w:r w:rsidRPr="001B4A02">
          <w:delText>Poté se podává obvyklá dávka 20</w:delText>
        </w:r>
        <w:r w:rsidR="00874DE1">
          <w:delText> mg</w:delText>
        </w:r>
        <w:r w:rsidRPr="001B4A02">
          <w:delText xml:space="preserve"> jednou za dva týdny. V závislosti na odpovědi Vašeho dítěte může </w:delText>
        </w:r>
        <w:r w:rsidR="004E3EA5" w:rsidRPr="001B4A02">
          <w:delText xml:space="preserve">Váš dětský </w:delText>
        </w:r>
        <w:r w:rsidRPr="001B4A02">
          <w:delText xml:space="preserve">lékař </w:delText>
        </w:r>
        <w:r w:rsidR="004E3EA5" w:rsidRPr="001B4A02">
          <w:delText>četnost</w:delText>
        </w:r>
        <w:r w:rsidRPr="001B4A02">
          <w:delText xml:space="preserve"> </w:delText>
        </w:r>
        <w:r w:rsidR="00690F45" w:rsidRPr="001B4A02">
          <w:delText>dávkování</w:delText>
        </w:r>
        <w:r w:rsidRPr="001B4A02">
          <w:delText xml:space="preserve"> zvýšit na 20</w:delText>
        </w:r>
        <w:r w:rsidR="00874DE1">
          <w:delText> mg</w:delText>
        </w:r>
        <w:r w:rsidRPr="001B4A02">
          <w:delText xml:space="preserve"> každý týden.</w:delText>
        </w:r>
      </w:del>
    </w:p>
    <w:p w14:paraId="61496F67" w14:textId="77777777" w:rsidR="001428BA" w:rsidRPr="001B4A02" w:rsidRDefault="001428BA" w:rsidP="00ED48A3">
      <w:pPr>
        <w:ind w:left="0" w:firstLine="0"/>
        <w:rPr>
          <w:del w:id="10140" w:author="AbbVie1" w:date="2025-05-13T10:11:00Z"/>
          <w:szCs w:val="22"/>
          <w:bdr w:val="nil"/>
        </w:rPr>
      </w:pPr>
    </w:p>
    <w:p w14:paraId="5943BD99" w14:textId="77777777" w:rsidR="001428BA" w:rsidRPr="001B4A02" w:rsidRDefault="00000000" w:rsidP="00404AFD">
      <w:pPr>
        <w:keepNext/>
        <w:ind w:left="0" w:firstLine="0"/>
        <w:rPr>
          <w:del w:id="10141" w:author="AbbVie1" w:date="2025-05-13T10:11:00Z"/>
          <w:i/>
          <w:szCs w:val="22"/>
          <w:bdr w:val="nil"/>
        </w:rPr>
      </w:pPr>
      <w:del w:id="10142" w:author="AbbVie1" w:date="2025-05-13T10:11:00Z">
        <w:r w:rsidRPr="001B4A02">
          <w:rPr>
            <w:i/>
          </w:rPr>
          <w:delText>Děti</w:delText>
        </w:r>
        <w:r w:rsidR="002378E0">
          <w:rPr>
            <w:i/>
          </w:rPr>
          <w:delText xml:space="preserve"> a </w:delText>
        </w:r>
        <w:r w:rsidRPr="001B4A02">
          <w:rPr>
            <w:i/>
          </w:rPr>
          <w:delText>dospívající od 6 do 17 let s tělesnou hmotností 40 kg nebo vyšší</w:delText>
        </w:r>
      </w:del>
    </w:p>
    <w:p w14:paraId="16CD881A" w14:textId="77777777" w:rsidR="001428BA" w:rsidRPr="001B4A02" w:rsidRDefault="001428BA" w:rsidP="00404AFD">
      <w:pPr>
        <w:keepNext/>
        <w:ind w:left="0" w:firstLine="0"/>
        <w:rPr>
          <w:del w:id="10143" w:author="AbbVie1" w:date="2025-05-13T10:11:00Z"/>
          <w:szCs w:val="22"/>
          <w:bdr w:val="nil"/>
        </w:rPr>
      </w:pPr>
    </w:p>
    <w:p w14:paraId="65EB080A" w14:textId="77777777" w:rsidR="009E7786" w:rsidRPr="001B4A02" w:rsidRDefault="00000000" w:rsidP="009E7786">
      <w:pPr>
        <w:ind w:left="0" w:firstLine="0"/>
        <w:rPr>
          <w:del w:id="10144" w:author="AbbVie1" w:date="2025-05-13T10:11:00Z"/>
        </w:rPr>
      </w:pPr>
      <w:del w:id="10145" w:author="AbbVie1" w:date="2025-05-13T10:11:00Z">
        <w:r w:rsidRPr="001B4A02">
          <w:delText xml:space="preserve">Obvyklý režim dávkování je </w:delText>
        </w:r>
        <w:r w:rsidR="00E65030" w:rsidRPr="001B4A02">
          <w:delText xml:space="preserve">podání úvodní dávky </w:delText>
        </w:r>
        <w:r w:rsidRPr="001B4A02">
          <w:delText>80</w:delText>
        </w:r>
        <w:r w:rsidR="00874DE1">
          <w:delText> mg</w:delText>
        </w:r>
        <w:r w:rsidRPr="001B4A02">
          <w:delText xml:space="preserve"> (jako dvě injekce</w:delText>
        </w:r>
        <w:r w:rsidR="005C74D0" w:rsidRPr="001B4A02">
          <w:delText xml:space="preserve"> 40</w:delText>
        </w:r>
        <w:r w:rsidR="00874DE1">
          <w:delText> mg</w:delText>
        </w:r>
        <w:r w:rsidRPr="001B4A02">
          <w:delText xml:space="preserve"> v jednom dni) následované dávkou 40</w:delText>
        </w:r>
        <w:r w:rsidR="00874DE1">
          <w:delText> mg</w:delText>
        </w:r>
        <w:r w:rsidRPr="001B4A02">
          <w:delText xml:space="preserve"> o dva týdny později. Pokud je potřeba rychlejší odpovědi, předepíše lékař Vašemu dítěti úvodní dávku 160</w:delText>
        </w:r>
        <w:r w:rsidR="00874DE1">
          <w:delText> mg</w:delText>
        </w:r>
        <w:r w:rsidRPr="001B4A02">
          <w:delText xml:space="preserve"> (jako čtyři injekce </w:delText>
        </w:r>
        <w:r w:rsidR="005C74D0" w:rsidRPr="001B4A02">
          <w:delText>40</w:delText>
        </w:r>
        <w:r w:rsidR="00874DE1">
          <w:delText> mg</w:delText>
        </w:r>
        <w:r w:rsidR="005C74D0" w:rsidRPr="001B4A02">
          <w:delText xml:space="preserve"> </w:delText>
        </w:r>
        <w:r w:rsidRPr="001B4A02">
          <w:delText>v jednom dni nebo dvě injekce</w:delText>
        </w:r>
        <w:r w:rsidR="005C74D0" w:rsidRPr="001B4A02">
          <w:delText xml:space="preserve"> 40</w:delText>
        </w:r>
        <w:r w:rsidR="00874DE1">
          <w:delText> mg</w:delText>
        </w:r>
        <w:r w:rsidRPr="001B4A02">
          <w:delText xml:space="preserve"> denně ve dvou po sobě </w:delText>
        </w:r>
        <w:r w:rsidR="00FE5873">
          <w:delText xml:space="preserve">jdoucích </w:delText>
        </w:r>
        <w:r w:rsidRPr="001B4A02">
          <w:delText>dnech) následovanou dávkou 80</w:delText>
        </w:r>
        <w:r w:rsidR="00874DE1">
          <w:delText> mg</w:delText>
        </w:r>
        <w:r w:rsidRPr="001B4A02">
          <w:delText xml:space="preserve"> (jako dvě injekce</w:delText>
        </w:r>
        <w:r w:rsidR="005C74D0" w:rsidRPr="001B4A02">
          <w:delText xml:space="preserve"> 40</w:delText>
        </w:r>
        <w:r w:rsidR="00874DE1">
          <w:delText> mg</w:delText>
        </w:r>
        <w:r w:rsidRPr="001B4A02">
          <w:delText xml:space="preserve"> v jednom dni) o dva týdny později.</w:delText>
        </w:r>
      </w:del>
    </w:p>
    <w:p w14:paraId="04A04320" w14:textId="77777777" w:rsidR="001428BA" w:rsidRPr="001B4A02" w:rsidRDefault="001428BA" w:rsidP="00404AFD">
      <w:pPr>
        <w:numPr>
          <w:ilvl w:val="12"/>
          <w:numId w:val="0"/>
        </w:numPr>
        <w:rPr>
          <w:del w:id="10146" w:author="AbbVie1" w:date="2025-05-13T10:11:00Z"/>
        </w:rPr>
      </w:pPr>
    </w:p>
    <w:p w14:paraId="133BCDC9" w14:textId="77777777" w:rsidR="001428BA" w:rsidRPr="001B4A02" w:rsidRDefault="00000000" w:rsidP="001428BA">
      <w:pPr>
        <w:ind w:left="0" w:firstLine="0"/>
        <w:rPr>
          <w:del w:id="10147" w:author="AbbVie1" w:date="2025-05-13T10:11:00Z"/>
        </w:rPr>
      </w:pPr>
      <w:del w:id="10148" w:author="AbbVie1" w:date="2025-05-13T10:11:00Z">
        <w:r w:rsidRPr="001B4A02">
          <w:delText>Poté se podává obvyklá dávka 40</w:delText>
        </w:r>
        <w:r w:rsidR="00874DE1">
          <w:delText> mg</w:delText>
        </w:r>
        <w:r w:rsidRPr="001B4A02">
          <w:delText xml:space="preserve"> jednou za dva týdny. V závislosti na odpovědi Vašeho dítěte může </w:delText>
        </w:r>
        <w:r w:rsidR="0072223B" w:rsidRPr="001B4A02">
          <w:delText xml:space="preserve">Váš dětský lékař </w:delText>
        </w:r>
        <w:r w:rsidR="00690F45" w:rsidRPr="001B4A02">
          <w:delText>dávkování</w:delText>
        </w:r>
        <w:r w:rsidR="0072223B" w:rsidRPr="001B4A02">
          <w:delText xml:space="preserve"> </w:delText>
        </w:r>
        <w:r w:rsidRPr="001B4A02">
          <w:delText>zvýšit na 40</w:delText>
        </w:r>
        <w:r w:rsidR="00874DE1">
          <w:delText> mg</w:delText>
        </w:r>
        <w:r w:rsidRPr="001B4A02">
          <w:delText xml:space="preserve"> každý týden</w:delText>
        </w:r>
        <w:r w:rsidR="005C74D0" w:rsidRPr="001B4A02">
          <w:delText xml:space="preserve"> nebo 80</w:delText>
        </w:r>
        <w:r w:rsidR="00874DE1">
          <w:delText> mg</w:delText>
        </w:r>
        <w:r w:rsidR="005C74D0" w:rsidRPr="001B4A02">
          <w:delText xml:space="preserve"> jednou za dva týdny</w:delText>
        </w:r>
        <w:r w:rsidRPr="001B4A02">
          <w:delText>.</w:delText>
        </w:r>
      </w:del>
    </w:p>
    <w:p w14:paraId="78526378" w14:textId="77777777" w:rsidR="001428BA" w:rsidRPr="001B4A02" w:rsidRDefault="001428BA" w:rsidP="001428BA">
      <w:pPr>
        <w:ind w:left="0" w:firstLine="0"/>
        <w:rPr>
          <w:del w:id="10149" w:author="AbbVie1" w:date="2025-05-13T10:11:00Z"/>
          <w:szCs w:val="22"/>
          <w:bdr w:val="nil"/>
        </w:rPr>
      </w:pPr>
    </w:p>
    <w:p w14:paraId="0BBEEF6E" w14:textId="77777777" w:rsidR="00303AC4" w:rsidRPr="00D01607" w:rsidRDefault="00000000" w:rsidP="00303AC4">
      <w:pPr>
        <w:keepNext/>
        <w:numPr>
          <w:ilvl w:val="12"/>
          <w:numId w:val="0"/>
        </w:numPr>
        <w:ind w:right="-2"/>
        <w:rPr>
          <w:del w:id="10150" w:author="AbbVie1" w:date="2025-05-13T10:11:00Z"/>
          <w:u w:val="single"/>
        </w:rPr>
      </w:pPr>
      <w:bookmarkStart w:id="10151" w:name="_Hlk52986402"/>
      <w:del w:id="10152" w:author="AbbVie1" w:date="2025-05-13T10:11:00Z">
        <w:r>
          <w:rPr>
            <w:u w:val="single"/>
          </w:rPr>
          <w:delText>Děti</w:delText>
        </w:r>
        <w:r w:rsidR="002378E0">
          <w:rPr>
            <w:u w:val="single"/>
          </w:rPr>
          <w:delText xml:space="preserve"> a </w:delText>
        </w:r>
        <w:r>
          <w:rPr>
            <w:u w:val="single"/>
          </w:rPr>
          <w:delText>dospívající s ulcerózní kolitidou</w:delText>
        </w:r>
      </w:del>
    </w:p>
    <w:p w14:paraId="36F3F3C0" w14:textId="77777777" w:rsidR="00303AC4" w:rsidRDefault="00303AC4" w:rsidP="00303AC4">
      <w:pPr>
        <w:keepNext/>
        <w:numPr>
          <w:ilvl w:val="12"/>
          <w:numId w:val="0"/>
        </w:numPr>
        <w:ind w:right="-2"/>
        <w:rPr>
          <w:del w:id="10153" w:author="AbbVie1" w:date="2025-05-13T10:11:00Z"/>
          <w:i/>
          <w:iCs/>
        </w:rPr>
      </w:pPr>
    </w:p>
    <w:p w14:paraId="47DAEDB5" w14:textId="77777777" w:rsidR="00303AC4" w:rsidRPr="00D01607" w:rsidRDefault="00000000" w:rsidP="00303AC4">
      <w:pPr>
        <w:keepNext/>
        <w:numPr>
          <w:ilvl w:val="12"/>
          <w:numId w:val="0"/>
        </w:numPr>
        <w:ind w:right="-2"/>
        <w:rPr>
          <w:del w:id="10154" w:author="AbbVie1" w:date="2025-05-13T10:11:00Z"/>
          <w:i/>
          <w:iCs/>
        </w:rPr>
      </w:pPr>
      <w:del w:id="10155" w:author="AbbVie1" w:date="2025-05-13T10:11:00Z">
        <w:r>
          <w:rPr>
            <w:i/>
          </w:rPr>
          <w:delText>Děti</w:delText>
        </w:r>
        <w:r w:rsidR="002378E0">
          <w:rPr>
            <w:i/>
          </w:rPr>
          <w:delText xml:space="preserve"> a </w:delText>
        </w:r>
        <w:r>
          <w:rPr>
            <w:i/>
          </w:rPr>
          <w:delText>dospívající od 6 let s</w:delText>
        </w:r>
        <w:r w:rsidR="004D42A7">
          <w:rPr>
            <w:i/>
          </w:rPr>
          <w:delText> </w:delText>
        </w:r>
        <w:r>
          <w:rPr>
            <w:i/>
          </w:rPr>
          <w:delText>tělesnou hmotností do 40 kg</w:delText>
        </w:r>
      </w:del>
    </w:p>
    <w:p w14:paraId="34DE143E" w14:textId="77777777" w:rsidR="00303AC4" w:rsidRDefault="00303AC4" w:rsidP="00303AC4">
      <w:pPr>
        <w:keepNext/>
        <w:numPr>
          <w:ilvl w:val="12"/>
          <w:numId w:val="0"/>
        </w:numPr>
        <w:ind w:right="-2"/>
        <w:rPr>
          <w:del w:id="10156" w:author="AbbVie1" w:date="2025-05-13T10:11:00Z"/>
        </w:rPr>
      </w:pPr>
    </w:p>
    <w:p w14:paraId="46BB600C" w14:textId="77777777" w:rsidR="00303AC4" w:rsidRPr="00D01607" w:rsidRDefault="00000000" w:rsidP="00303AC4">
      <w:pPr>
        <w:numPr>
          <w:ilvl w:val="12"/>
          <w:numId w:val="0"/>
        </w:numPr>
        <w:ind w:right="-2"/>
        <w:rPr>
          <w:del w:id="10157" w:author="AbbVie1" w:date="2025-05-13T10:11:00Z"/>
        </w:rPr>
      </w:pPr>
      <w:del w:id="10158" w:author="AbbVie1" w:date="2025-05-13T10:11:00Z">
        <w:r>
          <w:delText>Obvyklá dávka přípravku Humira je 80</w:delText>
        </w:r>
        <w:r w:rsidR="00874DE1" w:rsidRPr="00005EC2">
          <w:rPr>
            <w:szCs w:val="22"/>
          </w:rPr>
          <w:delText> </w:delText>
        </w:r>
        <w:r>
          <w:delText xml:space="preserve">mg </w:delText>
        </w:r>
        <w:r w:rsidR="008F7439">
          <w:delText xml:space="preserve">podaných jako úvodní dávka </w:delText>
        </w:r>
        <w:r>
          <w:delText>(jako dvě injekce 40</w:delText>
        </w:r>
        <w:r w:rsidR="00874DE1" w:rsidRPr="00005EC2">
          <w:rPr>
            <w:szCs w:val="22"/>
          </w:rPr>
          <w:delText> </w:delText>
        </w:r>
        <w:r>
          <w:delText>mg v jednom dni) následovan</w:delText>
        </w:r>
        <w:r w:rsidR="0042706B">
          <w:delText>ých</w:delText>
        </w:r>
        <w:r>
          <w:delText xml:space="preserve"> dávkou 40</w:delText>
        </w:r>
        <w:r w:rsidR="00874DE1" w:rsidRPr="00005EC2">
          <w:rPr>
            <w:szCs w:val="22"/>
          </w:rPr>
          <w:delText> </w:delText>
        </w:r>
        <w:r>
          <w:delText>mg (jako jedna injekce 40</w:delText>
        </w:r>
        <w:r w:rsidR="00874DE1" w:rsidRPr="00005EC2">
          <w:rPr>
            <w:szCs w:val="22"/>
          </w:rPr>
          <w:delText> </w:delText>
        </w:r>
        <w:r>
          <w:delText>mg) o dva týdny později. Poté se podává obvyklá dávka 40</w:delText>
        </w:r>
        <w:r w:rsidR="00874DE1" w:rsidRPr="00005EC2">
          <w:rPr>
            <w:szCs w:val="22"/>
          </w:rPr>
          <w:delText> </w:delText>
        </w:r>
        <w:r>
          <w:delText xml:space="preserve">mg jednou za dva týdny. </w:delText>
        </w:r>
      </w:del>
    </w:p>
    <w:p w14:paraId="1D6077D1" w14:textId="77777777" w:rsidR="00303AC4" w:rsidRDefault="00303AC4" w:rsidP="00303AC4">
      <w:pPr>
        <w:numPr>
          <w:ilvl w:val="12"/>
          <w:numId w:val="0"/>
        </w:numPr>
        <w:ind w:right="-2"/>
        <w:rPr>
          <w:del w:id="10159" w:author="AbbVie1" w:date="2025-05-13T10:11:00Z"/>
        </w:rPr>
      </w:pPr>
    </w:p>
    <w:p w14:paraId="18E13D08" w14:textId="77777777" w:rsidR="00303AC4" w:rsidRPr="00D01607" w:rsidRDefault="00000000" w:rsidP="00303AC4">
      <w:pPr>
        <w:numPr>
          <w:ilvl w:val="12"/>
          <w:numId w:val="0"/>
        </w:numPr>
        <w:ind w:right="-2"/>
        <w:rPr>
          <w:del w:id="10160" w:author="AbbVie1" w:date="2025-05-13T10:11:00Z"/>
        </w:rPr>
      </w:pPr>
      <w:del w:id="10161" w:author="AbbVie1" w:date="2025-05-13T10:11:00Z">
        <w:r>
          <w:delText>Pacienti, kteří dosáhnou 18 let</w:delText>
        </w:r>
        <w:r w:rsidR="002378E0">
          <w:delText xml:space="preserve"> a </w:delText>
        </w:r>
        <w:r w:rsidR="006B77BF">
          <w:delText>po</w:delText>
        </w:r>
        <w:r>
          <w:delText>užívají 40</w:delText>
        </w:r>
        <w:r w:rsidR="00874DE1" w:rsidRPr="00005EC2">
          <w:rPr>
            <w:szCs w:val="22"/>
          </w:rPr>
          <w:delText> </w:delText>
        </w:r>
        <w:r>
          <w:delText>mg jednou za dva týdny, by měli pokračovat v </w:delText>
        </w:r>
        <w:r w:rsidR="006B77BF">
          <w:delText>po</w:delText>
        </w:r>
        <w:r>
          <w:delText>užívání předepsané dávky.</w:delText>
        </w:r>
      </w:del>
    </w:p>
    <w:p w14:paraId="13EF26EA" w14:textId="77777777" w:rsidR="00303AC4" w:rsidRDefault="00303AC4" w:rsidP="00303AC4">
      <w:pPr>
        <w:numPr>
          <w:ilvl w:val="12"/>
          <w:numId w:val="0"/>
        </w:numPr>
        <w:ind w:right="-2"/>
        <w:rPr>
          <w:del w:id="10162" w:author="AbbVie1" w:date="2025-05-13T10:11:00Z"/>
          <w:i/>
          <w:iCs/>
        </w:rPr>
      </w:pPr>
    </w:p>
    <w:p w14:paraId="58B48BAA" w14:textId="77777777" w:rsidR="00303AC4" w:rsidRPr="00D01607" w:rsidRDefault="00000000" w:rsidP="00303AC4">
      <w:pPr>
        <w:keepNext/>
        <w:numPr>
          <w:ilvl w:val="12"/>
          <w:numId w:val="0"/>
        </w:numPr>
        <w:ind w:right="-2"/>
        <w:rPr>
          <w:del w:id="10163" w:author="AbbVie1" w:date="2025-05-13T10:11:00Z"/>
          <w:i/>
          <w:iCs/>
        </w:rPr>
      </w:pPr>
      <w:del w:id="10164" w:author="AbbVie1" w:date="2025-05-13T10:11:00Z">
        <w:r>
          <w:rPr>
            <w:i/>
          </w:rPr>
          <w:delText>Děti</w:delText>
        </w:r>
        <w:r w:rsidR="002378E0">
          <w:rPr>
            <w:i/>
          </w:rPr>
          <w:delText xml:space="preserve"> a </w:delText>
        </w:r>
        <w:r>
          <w:rPr>
            <w:i/>
          </w:rPr>
          <w:delText>dospívající od 6 let s</w:delText>
        </w:r>
        <w:r w:rsidR="00BA5CF8">
          <w:rPr>
            <w:i/>
          </w:rPr>
          <w:delText> </w:delText>
        </w:r>
        <w:r>
          <w:rPr>
            <w:i/>
          </w:rPr>
          <w:delText>tělesnou hmotností 40 kg nebo vyšší</w:delText>
        </w:r>
      </w:del>
    </w:p>
    <w:p w14:paraId="215EDC7D" w14:textId="77777777" w:rsidR="00303AC4" w:rsidRDefault="00303AC4" w:rsidP="00303AC4">
      <w:pPr>
        <w:keepNext/>
        <w:numPr>
          <w:ilvl w:val="12"/>
          <w:numId w:val="0"/>
        </w:numPr>
        <w:ind w:right="-2"/>
        <w:rPr>
          <w:del w:id="10165" w:author="AbbVie1" w:date="2025-05-13T10:11:00Z"/>
        </w:rPr>
      </w:pPr>
    </w:p>
    <w:p w14:paraId="4F3D782F" w14:textId="77777777" w:rsidR="00303AC4" w:rsidRPr="00D01607" w:rsidRDefault="00000000" w:rsidP="00303AC4">
      <w:pPr>
        <w:numPr>
          <w:ilvl w:val="12"/>
          <w:numId w:val="0"/>
        </w:numPr>
        <w:ind w:right="-2"/>
        <w:rPr>
          <w:del w:id="10166" w:author="AbbVie1" w:date="2025-05-13T10:11:00Z"/>
        </w:rPr>
      </w:pPr>
      <w:del w:id="10167" w:author="AbbVie1" w:date="2025-05-13T10:11:00Z">
        <w:r>
          <w:delText>Obvyklá dávka přípravku Humira je 160</w:delText>
        </w:r>
        <w:r w:rsidR="00874DE1" w:rsidRPr="00005EC2">
          <w:rPr>
            <w:szCs w:val="22"/>
          </w:rPr>
          <w:delText> </w:delText>
        </w:r>
        <w:r>
          <w:delText xml:space="preserve">mg </w:delText>
        </w:r>
        <w:r w:rsidR="008F7439">
          <w:delText xml:space="preserve">podaných jako úvodní dávka </w:delText>
        </w:r>
        <w:r>
          <w:delText>(jako čtyři injekce 40</w:delText>
        </w:r>
        <w:r w:rsidR="00874DE1" w:rsidRPr="00005EC2">
          <w:rPr>
            <w:szCs w:val="22"/>
          </w:rPr>
          <w:delText> </w:delText>
        </w:r>
        <w:r>
          <w:delText>mg v</w:delText>
        </w:r>
        <w:r w:rsidR="004D42A7">
          <w:delText> </w:delText>
        </w:r>
        <w:r>
          <w:delText>jednom dni nebo dvě injekce 40</w:delText>
        </w:r>
        <w:r w:rsidR="00874DE1" w:rsidRPr="00005EC2">
          <w:rPr>
            <w:szCs w:val="22"/>
          </w:rPr>
          <w:delText> </w:delText>
        </w:r>
        <w:r>
          <w:delText xml:space="preserve">mg denně ve dvou po sobě </w:delText>
        </w:r>
        <w:r w:rsidR="00FE5873">
          <w:delText xml:space="preserve">jdoucích </w:delText>
        </w:r>
        <w:r>
          <w:delText>dnech) následovan</w:delText>
        </w:r>
        <w:r w:rsidR="0042706B">
          <w:delText>ých</w:delText>
        </w:r>
        <w:r>
          <w:delText xml:space="preserve"> dávkou 80</w:delText>
        </w:r>
        <w:r w:rsidR="00874DE1" w:rsidRPr="00005EC2">
          <w:rPr>
            <w:szCs w:val="22"/>
          </w:rPr>
          <w:delText> </w:delText>
        </w:r>
        <w:r>
          <w:delText>mg (jako dvě injekce 40</w:delText>
        </w:r>
        <w:r w:rsidR="00874DE1" w:rsidRPr="00005EC2">
          <w:rPr>
            <w:szCs w:val="22"/>
          </w:rPr>
          <w:delText> </w:delText>
        </w:r>
        <w:r>
          <w:delText>mg v</w:delText>
        </w:r>
        <w:r w:rsidR="004D42A7">
          <w:delText> </w:delText>
        </w:r>
        <w:r>
          <w:delText>jednom dni) o dva týdny později. Poté se podává obvyklá dávka 80</w:delText>
        </w:r>
        <w:r w:rsidR="00874DE1" w:rsidRPr="00005EC2">
          <w:rPr>
            <w:szCs w:val="22"/>
          </w:rPr>
          <w:delText> </w:delText>
        </w:r>
        <w:r>
          <w:delText xml:space="preserve">mg jednou za dva týdny. </w:delText>
        </w:r>
      </w:del>
    </w:p>
    <w:p w14:paraId="04387593" w14:textId="77777777" w:rsidR="00303AC4" w:rsidRDefault="00303AC4" w:rsidP="00303AC4">
      <w:pPr>
        <w:numPr>
          <w:ilvl w:val="12"/>
          <w:numId w:val="0"/>
        </w:numPr>
        <w:ind w:right="-2"/>
        <w:rPr>
          <w:del w:id="10168" w:author="AbbVie1" w:date="2025-05-13T10:11:00Z"/>
        </w:rPr>
      </w:pPr>
    </w:p>
    <w:p w14:paraId="05033B5C" w14:textId="77777777" w:rsidR="00303AC4" w:rsidRPr="00D01607" w:rsidRDefault="00000000" w:rsidP="00303AC4">
      <w:pPr>
        <w:numPr>
          <w:ilvl w:val="12"/>
          <w:numId w:val="0"/>
        </w:numPr>
        <w:ind w:right="-2"/>
        <w:rPr>
          <w:del w:id="10169" w:author="AbbVie1" w:date="2025-05-13T10:11:00Z"/>
        </w:rPr>
      </w:pPr>
      <w:del w:id="10170" w:author="AbbVie1" w:date="2025-05-13T10:11:00Z">
        <w:r>
          <w:delText>Pacienti, kteří dosáhnou 18 let</w:delText>
        </w:r>
        <w:r w:rsidR="002378E0">
          <w:delText xml:space="preserve"> a </w:delText>
        </w:r>
        <w:r w:rsidR="006B77BF">
          <w:delText>po</w:delText>
        </w:r>
        <w:r>
          <w:delText>užívají 80</w:delText>
        </w:r>
        <w:r w:rsidR="00874DE1" w:rsidRPr="00005EC2">
          <w:rPr>
            <w:szCs w:val="22"/>
          </w:rPr>
          <w:delText> </w:delText>
        </w:r>
        <w:r>
          <w:delText>mg jednou za dva týdny, by měli pokračovat v</w:delText>
        </w:r>
        <w:r w:rsidR="004D42A7">
          <w:delText> </w:delText>
        </w:r>
        <w:r w:rsidR="006B77BF">
          <w:delText>po</w:delText>
        </w:r>
        <w:r>
          <w:delText>užívání</w:delText>
        </w:r>
        <w:r w:rsidR="004D42A7">
          <w:delText xml:space="preserve"> </w:delText>
        </w:r>
        <w:r>
          <w:delText>předepsané dávky.</w:delText>
        </w:r>
      </w:del>
    </w:p>
    <w:bookmarkEnd w:id="10151"/>
    <w:p w14:paraId="6808D950" w14:textId="77777777" w:rsidR="00A909D3" w:rsidRDefault="00A909D3" w:rsidP="00ED48A3">
      <w:pPr>
        <w:numPr>
          <w:ilvl w:val="12"/>
          <w:numId w:val="0"/>
        </w:numPr>
        <w:tabs>
          <w:tab w:val="left" w:pos="708"/>
        </w:tabs>
        <w:ind w:right="-2"/>
        <w:rPr>
          <w:del w:id="10171" w:author="AbbVie1" w:date="2025-05-13T10:11:00Z"/>
          <w:szCs w:val="22"/>
          <w:u w:val="single"/>
          <w:bdr w:val="nil"/>
        </w:rPr>
      </w:pPr>
    </w:p>
    <w:p w14:paraId="3685C84D" w14:textId="77777777" w:rsidR="001C5DD4" w:rsidRPr="001B4A02" w:rsidRDefault="00000000" w:rsidP="00404AFD">
      <w:pPr>
        <w:keepNext/>
        <w:numPr>
          <w:ilvl w:val="12"/>
          <w:numId w:val="0"/>
        </w:numPr>
        <w:tabs>
          <w:tab w:val="left" w:pos="708"/>
        </w:tabs>
        <w:ind w:right="-2"/>
        <w:rPr>
          <w:del w:id="10172" w:author="AbbVie1" w:date="2025-05-13T10:11:00Z"/>
          <w:szCs w:val="22"/>
          <w:u w:val="single"/>
          <w:bdr w:val="nil"/>
        </w:rPr>
      </w:pPr>
      <w:del w:id="10173" w:author="AbbVie1" w:date="2025-05-13T10:11:00Z">
        <w:r w:rsidRPr="001B4A02">
          <w:rPr>
            <w:szCs w:val="22"/>
            <w:u w:val="single"/>
          </w:rPr>
          <w:delText>Děti</w:delText>
        </w:r>
        <w:r w:rsidR="002378E0">
          <w:rPr>
            <w:szCs w:val="22"/>
            <w:u w:val="single"/>
          </w:rPr>
          <w:delText xml:space="preserve"> a </w:delText>
        </w:r>
        <w:r w:rsidR="00850312" w:rsidRPr="001B4A02">
          <w:rPr>
            <w:szCs w:val="22"/>
            <w:u w:val="single"/>
          </w:rPr>
          <w:delText xml:space="preserve">dospívající </w:delText>
        </w:r>
        <w:r w:rsidR="00E44302" w:rsidRPr="001B4A02">
          <w:rPr>
            <w:szCs w:val="22"/>
            <w:u w:val="single"/>
          </w:rPr>
          <w:delText xml:space="preserve">od 2 let </w:delText>
        </w:r>
        <w:r w:rsidRPr="001B4A02">
          <w:rPr>
            <w:szCs w:val="22"/>
            <w:u w:val="single"/>
          </w:rPr>
          <w:delText>s</w:delText>
        </w:r>
        <w:r w:rsidR="000C2348" w:rsidRPr="001B4A02">
          <w:rPr>
            <w:szCs w:val="22"/>
            <w:u w:val="single"/>
          </w:rPr>
          <w:delText> </w:delText>
        </w:r>
        <w:r w:rsidRPr="001B4A02">
          <w:rPr>
            <w:szCs w:val="22"/>
            <w:u w:val="single"/>
          </w:rPr>
          <w:delText xml:space="preserve">chronickou neinfekční uveitidou </w:delText>
        </w:r>
      </w:del>
    </w:p>
    <w:p w14:paraId="4561FD93" w14:textId="77777777" w:rsidR="00D97F68" w:rsidRPr="001B4A02" w:rsidRDefault="00D97F68" w:rsidP="00404AFD">
      <w:pPr>
        <w:keepNext/>
        <w:numPr>
          <w:ilvl w:val="12"/>
          <w:numId w:val="0"/>
        </w:numPr>
        <w:tabs>
          <w:tab w:val="left" w:pos="708"/>
        </w:tabs>
        <w:ind w:right="-2"/>
        <w:rPr>
          <w:del w:id="10174" w:author="AbbVie1" w:date="2025-05-13T10:11:00Z"/>
        </w:rPr>
      </w:pPr>
    </w:p>
    <w:p w14:paraId="5B49D4CE" w14:textId="77777777" w:rsidR="00850312" w:rsidRPr="001B4A02" w:rsidRDefault="00000000" w:rsidP="00404AFD">
      <w:pPr>
        <w:keepNext/>
        <w:numPr>
          <w:ilvl w:val="12"/>
          <w:numId w:val="0"/>
        </w:numPr>
        <w:tabs>
          <w:tab w:val="left" w:pos="708"/>
        </w:tabs>
        <w:ind w:right="-2"/>
        <w:rPr>
          <w:del w:id="10175" w:author="AbbVie1" w:date="2025-05-13T10:11:00Z"/>
          <w:bCs/>
          <w:i/>
          <w:szCs w:val="22"/>
          <w:u w:val="single"/>
          <w:bdr w:val="nil"/>
        </w:rPr>
      </w:pPr>
      <w:del w:id="10176" w:author="AbbVie1" w:date="2025-05-13T10:11:00Z">
        <w:r w:rsidRPr="001B4A02">
          <w:rPr>
            <w:i/>
          </w:rPr>
          <w:delText>Děti</w:delText>
        </w:r>
        <w:r w:rsidR="002378E0">
          <w:rPr>
            <w:i/>
          </w:rPr>
          <w:delText xml:space="preserve"> a </w:delText>
        </w:r>
        <w:r w:rsidRPr="001B4A02">
          <w:rPr>
            <w:i/>
          </w:rPr>
          <w:delText xml:space="preserve">dospívající </w:delText>
        </w:r>
        <w:r w:rsidR="00E44302" w:rsidRPr="001B4A02">
          <w:rPr>
            <w:i/>
          </w:rPr>
          <w:delText xml:space="preserve">od 2 let </w:delText>
        </w:r>
        <w:r w:rsidRPr="001B4A02">
          <w:rPr>
            <w:i/>
          </w:rPr>
          <w:delText xml:space="preserve">s tělesnou hmotností </w:delText>
        </w:r>
        <w:r w:rsidR="000F3C00" w:rsidRPr="001B4A02">
          <w:rPr>
            <w:i/>
          </w:rPr>
          <w:delText>do</w:delText>
        </w:r>
        <w:r w:rsidRPr="001B4A02">
          <w:rPr>
            <w:i/>
          </w:rPr>
          <w:delText xml:space="preserve"> 30 kg</w:delText>
        </w:r>
        <w:r w:rsidRPr="001B4A02">
          <w:rPr>
            <w:bCs/>
            <w:i/>
            <w:szCs w:val="22"/>
            <w:u w:val="single"/>
          </w:rPr>
          <w:delText xml:space="preserve"> </w:delText>
        </w:r>
      </w:del>
    </w:p>
    <w:p w14:paraId="3A75CBF6" w14:textId="77777777" w:rsidR="001C5DD4" w:rsidRPr="001B4A02" w:rsidRDefault="001C5DD4" w:rsidP="00404AFD">
      <w:pPr>
        <w:keepNext/>
        <w:numPr>
          <w:ilvl w:val="12"/>
          <w:numId w:val="0"/>
        </w:numPr>
        <w:tabs>
          <w:tab w:val="left" w:pos="708"/>
        </w:tabs>
        <w:ind w:right="-2"/>
        <w:rPr>
          <w:del w:id="10177" w:author="AbbVie1" w:date="2025-05-13T10:11:00Z"/>
        </w:rPr>
      </w:pPr>
    </w:p>
    <w:p w14:paraId="541E7023" w14:textId="77777777" w:rsidR="001C5DD4" w:rsidRPr="001B4A02" w:rsidRDefault="00000000" w:rsidP="00ED48A3">
      <w:pPr>
        <w:rPr>
          <w:del w:id="10178" w:author="AbbVie1" w:date="2025-05-13T10:11:00Z"/>
        </w:rPr>
      </w:pPr>
      <w:del w:id="10179" w:author="AbbVie1" w:date="2025-05-13T10:11:00Z">
        <w:r w:rsidRPr="001B4A02">
          <w:rPr>
            <w:szCs w:val="22"/>
          </w:rPr>
          <w:delText>Obvyklá dávka přípravku Humira je 20 mg každý druhý týden s</w:delText>
        </w:r>
        <w:r w:rsidR="00F23025" w:rsidRPr="001B4A02">
          <w:rPr>
            <w:szCs w:val="22"/>
          </w:rPr>
          <w:delText> </w:delText>
        </w:r>
        <w:r w:rsidRPr="001B4A02">
          <w:rPr>
            <w:szCs w:val="22"/>
          </w:rPr>
          <w:delText>methotrexátem.</w:delText>
        </w:r>
      </w:del>
    </w:p>
    <w:p w14:paraId="2EC0CB67" w14:textId="77777777" w:rsidR="001C5DD4" w:rsidRPr="001B4A02" w:rsidRDefault="001C5DD4" w:rsidP="00ED48A3">
      <w:pPr>
        <w:rPr>
          <w:del w:id="10180" w:author="AbbVie1" w:date="2025-05-13T10:11:00Z"/>
        </w:rPr>
      </w:pPr>
    </w:p>
    <w:p w14:paraId="3547FC58" w14:textId="77777777" w:rsidR="001C5DD4" w:rsidRPr="001B4A02" w:rsidRDefault="00000000" w:rsidP="003242C9">
      <w:pPr>
        <w:ind w:left="0" w:firstLine="0"/>
        <w:rPr>
          <w:del w:id="10181" w:author="AbbVie1" w:date="2025-05-13T10:11:00Z"/>
          <w:szCs w:val="22"/>
          <w:bdr w:val="nil"/>
        </w:rPr>
      </w:pPr>
      <w:del w:id="10182" w:author="AbbVie1" w:date="2025-05-13T10:11:00Z">
        <w:r w:rsidRPr="001B4A02">
          <w:rPr>
            <w:szCs w:val="22"/>
          </w:rPr>
          <w:delText>Váš dětský lékař může také předepsat úvodní dávku 40 mg, která může být podávána jeden týden před zahájením obvyklé</w:delText>
        </w:r>
        <w:r w:rsidR="0099366B" w:rsidRPr="001B4A02">
          <w:rPr>
            <w:szCs w:val="22"/>
          </w:rPr>
          <w:delText>ho</w:delText>
        </w:r>
        <w:r w:rsidRPr="001B4A02">
          <w:rPr>
            <w:szCs w:val="22"/>
          </w:rPr>
          <w:delText xml:space="preserve"> dávk</w:delText>
        </w:r>
        <w:r w:rsidR="0099366B" w:rsidRPr="001B4A02">
          <w:rPr>
            <w:szCs w:val="22"/>
          </w:rPr>
          <w:delText>ování</w:delText>
        </w:r>
        <w:r w:rsidRPr="001B4A02">
          <w:rPr>
            <w:szCs w:val="22"/>
          </w:rPr>
          <w:delText>.</w:delText>
        </w:r>
      </w:del>
    </w:p>
    <w:p w14:paraId="25A89237" w14:textId="77777777" w:rsidR="00850312" w:rsidRPr="001B4A02" w:rsidRDefault="00850312" w:rsidP="003242C9">
      <w:pPr>
        <w:ind w:left="0" w:firstLine="0"/>
        <w:rPr>
          <w:del w:id="10183" w:author="AbbVie1" w:date="2025-05-13T10:11:00Z"/>
          <w:szCs w:val="22"/>
          <w:bdr w:val="nil"/>
        </w:rPr>
      </w:pPr>
    </w:p>
    <w:p w14:paraId="4EFDFE14" w14:textId="77777777" w:rsidR="00850312" w:rsidRPr="001B4A02" w:rsidRDefault="00000000" w:rsidP="00404AFD">
      <w:pPr>
        <w:keepNext/>
        <w:numPr>
          <w:ilvl w:val="12"/>
          <w:numId w:val="0"/>
        </w:numPr>
        <w:ind w:right="-2"/>
        <w:rPr>
          <w:del w:id="10184" w:author="AbbVie1" w:date="2025-05-13T10:11:00Z"/>
          <w:i/>
        </w:rPr>
      </w:pPr>
      <w:del w:id="10185" w:author="AbbVie1" w:date="2025-05-13T10:11:00Z">
        <w:r w:rsidRPr="001B4A02">
          <w:rPr>
            <w:i/>
          </w:rPr>
          <w:delText>Děti</w:delText>
        </w:r>
        <w:r w:rsidR="002378E0">
          <w:rPr>
            <w:i/>
          </w:rPr>
          <w:delText xml:space="preserve"> a </w:delText>
        </w:r>
        <w:r w:rsidRPr="001B4A02">
          <w:rPr>
            <w:i/>
          </w:rPr>
          <w:delText xml:space="preserve">dospívající </w:delText>
        </w:r>
        <w:r w:rsidR="00E44302" w:rsidRPr="001B4A02">
          <w:rPr>
            <w:i/>
          </w:rPr>
          <w:delText xml:space="preserve">od 2 let </w:delText>
        </w:r>
        <w:r w:rsidRPr="001B4A02">
          <w:rPr>
            <w:i/>
          </w:rPr>
          <w:delText>s tělesnou hmotností 30 kg</w:delText>
        </w:r>
        <w:r w:rsidR="001D2B8E" w:rsidRPr="001B4A02">
          <w:rPr>
            <w:i/>
          </w:rPr>
          <w:delText xml:space="preserve"> nebo vyšší</w:delText>
        </w:r>
      </w:del>
    </w:p>
    <w:p w14:paraId="010924A7" w14:textId="77777777" w:rsidR="001C5DD4" w:rsidRPr="001B4A02" w:rsidRDefault="001C5DD4" w:rsidP="00404AFD">
      <w:pPr>
        <w:keepNext/>
        <w:rPr>
          <w:del w:id="10186" w:author="AbbVie1" w:date="2025-05-13T10:11:00Z"/>
        </w:rPr>
      </w:pPr>
    </w:p>
    <w:p w14:paraId="56CFD6E9" w14:textId="77777777" w:rsidR="001C5DD4" w:rsidRPr="001B4A02" w:rsidRDefault="00000000" w:rsidP="00ED48A3">
      <w:pPr>
        <w:rPr>
          <w:del w:id="10187" w:author="AbbVie1" w:date="2025-05-13T10:11:00Z"/>
        </w:rPr>
      </w:pPr>
      <w:del w:id="10188" w:author="AbbVie1" w:date="2025-05-13T10:11:00Z">
        <w:r w:rsidRPr="001B4A02">
          <w:rPr>
            <w:szCs w:val="22"/>
          </w:rPr>
          <w:delText>Obvyklá dávka přípravku Humira je 40 mg každý druhý týden s</w:delText>
        </w:r>
        <w:r w:rsidR="00F23025" w:rsidRPr="001B4A02">
          <w:rPr>
            <w:szCs w:val="22"/>
          </w:rPr>
          <w:delText> </w:delText>
        </w:r>
        <w:r w:rsidRPr="001B4A02">
          <w:rPr>
            <w:szCs w:val="22"/>
          </w:rPr>
          <w:delText>methotrexátem.</w:delText>
        </w:r>
      </w:del>
    </w:p>
    <w:p w14:paraId="7E7483FB" w14:textId="77777777" w:rsidR="001C5DD4" w:rsidRPr="001B4A02" w:rsidRDefault="001C5DD4" w:rsidP="00ED48A3">
      <w:pPr>
        <w:rPr>
          <w:del w:id="10189" w:author="AbbVie1" w:date="2025-05-13T10:11:00Z"/>
        </w:rPr>
      </w:pPr>
    </w:p>
    <w:p w14:paraId="56F82998" w14:textId="77777777" w:rsidR="001C5DD4" w:rsidRPr="001B4A02" w:rsidRDefault="00000000" w:rsidP="00ED48A3">
      <w:pPr>
        <w:ind w:left="0" w:firstLine="0"/>
        <w:rPr>
          <w:del w:id="10190" w:author="AbbVie1" w:date="2025-05-13T10:11:00Z"/>
        </w:rPr>
      </w:pPr>
      <w:del w:id="10191" w:author="AbbVie1" w:date="2025-05-13T10:11:00Z">
        <w:r w:rsidRPr="001B4A02">
          <w:rPr>
            <w:szCs w:val="22"/>
          </w:rPr>
          <w:delText>Váš dětský lékař může také předepsat úvodní dávku 80 mg, která může být podávána jeden týden před zahájením obvyklé</w:delText>
        </w:r>
        <w:r w:rsidR="0099366B" w:rsidRPr="001B4A02">
          <w:rPr>
            <w:szCs w:val="22"/>
          </w:rPr>
          <w:delText>ho</w:delText>
        </w:r>
        <w:r w:rsidRPr="001B4A02">
          <w:rPr>
            <w:szCs w:val="22"/>
          </w:rPr>
          <w:delText xml:space="preserve"> dávk</w:delText>
        </w:r>
        <w:r w:rsidR="0099366B" w:rsidRPr="001B4A02">
          <w:rPr>
            <w:szCs w:val="22"/>
          </w:rPr>
          <w:delText>ování</w:delText>
        </w:r>
        <w:r w:rsidRPr="001B4A02">
          <w:rPr>
            <w:szCs w:val="22"/>
          </w:rPr>
          <w:delText>.</w:delText>
        </w:r>
      </w:del>
    </w:p>
    <w:p w14:paraId="09609E57" w14:textId="77777777" w:rsidR="00AC37F4" w:rsidRPr="001B4A02" w:rsidRDefault="00AC37F4" w:rsidP="00ED48A3">
      <w:pPr>
        <w:ind w:left="0" w:firstLine="0"/>
        <w:rPr>
          <w:del w:id="10192" w:author="AbbVie1" w:date="2025-05-13T10:11:00Z"/>
        </w:rPr>
      </w:pPr>
    </w:p>
    <w:p w14:paraId="5AA71538" w14:textId="77777777" w:rsidR="00073F8F" w:rsidRPr="001B4A02" w:rsidRDefault="00000000" w:rsidP="00ED48A3">
      <w:pPr>
        <w:keepNext/>
        <w:ind w:left="0" w:firstLine="0"/>
        <w:rPr>
          <w:del w:id="10193" w:author="AbbVie1" w:date="2025-05-13T10:11:00Z"/>
          <w:b/>
        </w:rPr>
      </w:pPr>
      <w:del w:id="10194" w:author="AbbVie1" w:date="2025-05-13T10:11:00Z">
        <w:r w:rsidRPr="001B4A02">
          <w:rPr>
            <w:b/>
          </w:rPr>
          <w:delText>Způsob</w:delText>
        </w:r>
        <w:r w:rsidR="002378E0">
          <w:rPr>
            <w:b/>
          </w:rPr>
          <w:delText xml:space="preserve"> a </w:delText>
        </w:r>
        <w:r w:rsidRPr="001B4A02">
          <w:rPr>
            <w:b/>
          </w:rPr>
          <w:delText>cesta podání</w:delText>
        </w:r>
      </w:del>
    </w:p>
    <w:p w14:paraId="56E5E63A" w14:textId="77777777" w:rsidR="00CF729E" w:rsidRPr="001B4A02" w:rsidRDefault="00CF729E" w:rsidP="00ED48A3">
      <w:pPr>
        <w:keepNext/>
        <w:ind w:left="0" w:firstLine="0"/>
        <w:rPr>
          <w:del w:id="10195" w:author="AbbVie1" w:date="2025-05-13T10:11:00Z"/>
        </w:rPr>
      </w:pPr>
    </w:p>
    <w:p w14:paraId="4CBE1397" w14:textId="77777777" w:rsidR="00CF729E" w:rsidRPr="001B4A02" w:rsidRDefault="00000000" w:rsidP="00932C6F">
      <w:pPr>
        <w:ind w:left="0" w:firstLine="0"/>
        <w:rPr>
          <w:del w:id="10196" w:author="AbbVie1" w:date="2025-05-13T10:11:00Z"/>
        </w:rPr>
      </w:pPr>
      <w:del w:id="10197" w:author="AbbVie1" w:date="2025-05-13T10:11:00Z">
        <w:r w:rsidRPr="001B4A02">
          <w:delText>Přípravek Humira se podává injekčně pod kůži (subkutánn</w:delText>
        </w:r>
        <w:r w:rsidR="00BB76A0" w:rsidRPr="001B4A02">
          <w:delText>í injekcí)</w:delText>
        </w:r>
        <w:r w:rsidRPr="001B4A02">
          <w:delText>.</w:delText>
        </w:r>
      </w:del>
    </w:p>
    <w:p w14:paraId="33025D80" w14:textId="77777777" w:rsidR="00CF729E" w:rsidRPr="001B4A02" w:rsidRDefault="00CF729E" w:rsidP="00932C6F">
      <w:pPr>
        <w:ind w:left="0" w:firstLine="0"/>
        <w:rPr>
          <w:del w:id="10198" w:author="AbbVie1" w:date="2025-05-13T10:11:00Z"/>
        </w:rPr>
      </w:pPr>
    </w:p>
    <w:p w14:paraId="7CC9C293" w14:textId="77777777" w:rsidR="00073F8F" w:rsidRPr="001B4A02" w:rsidRDefault="00000000" w:rsidP="00404AFD">
      <w:pPr>
        <w:keepNext/>
        <w:ind w:left="0" w:firstLine="0"/>
        <w:rPr>
          <w:del w:id="10199" w:author="AbbVie1" w:date="2025-05-13T10:11:00Z"/>
          <w:b/>
        </w:rPr>
      </w:pPr>
      <w:del w:id="10200" w:author="AbbVie1" w:date="2025-05-13T10:11:00Z">
        <w:r w:rsidRPr="001B4A02">
          <w:rPr>
            <w:b/>
          </w:rPr>
          <w:delText>Návod pro přípravu</w:delText>
        </w:r>
        <w:r w:rsidR="002378E0">
          <w:rPr>
            <w:b/>
          </w:rPr>
          <w:delText xml:space="preserve"> a </w:delText>
        </w:r>
        <w:r w:rsidRPr="001B4A02">
          <w:rPr>
            <w:b/>
          </w:rPr>
          <w:delText>podávání injekce přípravku Humira</w:delText>
        </w:r>
      </w:del>
    </w:p>
    <w:p w14:paraId="633A81C1" w14:textId="77777777" w:rsidR="00073F8F" w:rsidRPr="001B4A02" w:rsidRDefault="00073F8F" w:rsidP="00404AFD">
      <w:pPr>
        <w:pStyle w:val="EndnoteText"/>
        <w:keepNext/>
        <w:ind w:left="0" w:firstLine="0"/>
        <w:rPr>
          <w:del w:id="10201" w:author="AbbVie1" w:date="2025-05-13T10:11:00Z"/>
          <w:lang w:val="cs-CZ"/>
        </w:rPr>
      </w:pPr>
    </w:p>
    <w:p w14:paraId="5690A8CC" w14:textId="77777777" w:rsidR="00073F8F" w:rsidRPr="001B4A02" w:rsidRDefault="00000000" w:rsidP="00ED48A3">
      <w:pPr>
        <w:ind w:left="0" w:firstLine="0"/>
        <w:rPr>
          <w:del w:id="10202" w:author="AbbVie1" w:date="2025-05-13T10:11:00Z"/>
        </w:rPr>
      </w:pPr>
      <w:del w:id="10203" w:author="AbbVie1" w:date="2025-05-13T10:11:00Z">
        <w:r w:rsidRPr="001B4A02">
          <w:delText>V následujících pokynech je vysvětleno, jak máte aplikovat injekci přípravku Humira. Prosíme, přečtěte si pečlivě tyto pokyny</w:delText>
        </w:r>
        <w:r w:rsidR="002378E0">
          <w:delText xml:space="preserve"> a </w:delText>
        </w:r>
        <w:r w:rsidRPr="001B4A02">
          <w:delText xml:space="preserve">přesně je dodržujte. </w:delText>
        </w:r>
        <w:r w:rsidR="003B07AB" w:rsidRPr="001B4A02">
          <w:delText>L</w:delText>
        </w:r>
        <w:r w:rsidRPr="001B4A02">
          <w:delText xml:space="preserve">ékař </w:delText>
        </w:r>
        <w:r w:rsidR="003B07AB" w:rsidRPr="001B4A02">
          <w:delText xml:space="preserve">Vašeho dítěte </w:delText>
        </w:r>
        <w:r w:rsidRPr="001B4A02">
          <w:delText xml:space="preserve">nebo zdravotní sestra </w:delText>
        </w:r>
        <w:r w:rsidR="009163F7" w:rsidRPr="001B4A02">
          <w:delText>V</w:delText>
        </w:r>
        <w:r w:rsidRPr="001B4A02">
          <w:delText>ás poučí</w:delText>
        </w:r>
        <w:r w:rsidR="002528FB" w:rsidRPr="001B4A02">
          <w:delText>,</w:delText>
        </w:r>
        <w:r w:rsidRPr="001B4A02">
          <w:delText xml:space="preserve"> jak </w:delText>
        </w:r>
        <w:r w:rsidR="00444E8A" w:rsidRPr="001B4A02">
          <w:delText>podat</w:delText>
        </w:r>
        <w:r w:rsidRPr="001B4A02">
          <w:delText xml:space="preserve"> injekci</w:delText>
        </w:r>
        <w:r w:rsidR="002378E0">
          <w:delText xml:space="preserve"> a </w:delText>
        </w:r>
        <w:r w:rsidR="003B07AB" w:rsidRPr="001B4A02">
          <w:delText xml:space="preserve">jaké množství léku podat </w:delText>
        </w:r>
        <w:r w:rsidR="00444E8A" w:rsidRPr="001B4A02">
          <w:delText>svému</w:delText>
        </w:r>
        <w:r w:rsidR="003B07AB" w:rsidRPr="001B4A02">
          <w:delText xml:space="preserve"> dítěti</w:delText>
        </w:r>
        <w:r w:rsidRPr="001B4A02">
          <w:delText>. Nepokoušejte s</w:delText>
        </w:r>
        <w:r w:rsidR="000F4A03" w:rsidRPr="001B4A02">
          <w:delText>e</w:delText>
        </w:r>
        <w:r w:rsidRPr="001B4A02">
          <w:delText xml:space="preserve"> </w:delText>
        </w:r>
        <w:r w:rsidR="00A44744" w:rsidRPr="001B4A02">
          <w:delText>podat</w:delText>
        </w:r>
        <w:r w:rsidRPr="001B4A02">
          <w:delText xml:space="preserve"> </w:delText>
        </w:r>
        <w:r w:rsidR="003B07AB" w:rsidRPr="001B4A02">
          <w:delText xml:space="preserve">Vašemu dítěti </w:delText>
        </w:r>
        <w:r w:rsidRPr="001B4A02">
          <w:delText>injekci, dokud si nebudete jist</w:delText>
        </w:r>
        <w:r w:rsidR="00091620" w:rsidRPr="001B4A02">
          <w:delText>ý</w:delText>
        </w:r>
        <w:r w:rsidRPr="001B4A02">
          <w:delText>(</w:delText>
        </w:r>
        <w:r w:rsidR="00091620" w:rsidRPr="001B4A02">
          <w:delText>á</w:delText>
        </w:r>
        <w:r w:rsidRPr="001B4A02">
          <w:delText>), že jste pochopil(a), jak připravovat</w:delText>
        </w:r>
        <w:r w:rsidR="002378E0">
          <w:delText xml:space="preserve"> a </w:delText>
        </w:r>
        <w:r w:rsidR="00444E8A" w:rsidRPr="001B4A02">
          <w:delText>podat</w:delText>
        </w:r>
        <w:r w:rsidRPr="001B4A02">
          <w:delText xml:space="preserve"> injekci. Po řádném procvičení </w:delText>
        </w:r>
        <w:r w:rsidR="00444E8A" w:rsidRPr="001B4A02">
          <w:delText xml:space="preserve">si </w:delText>
        </w:r>
        <w:r w:rsidRPr="001B4A02">
          <w:delText>můžete</w:delText>
        </w:r>
        <w:r w:rsidR="00444E8A" w:rsidRPr="001B4A02">
          <w:delText xml:space="preserve"> Vaše dítě podat</w:delText>
        </w:r>
        <w:r w:rsidRPr="001B4A02">
          <w:delText xml:space="preserve"> injekci sam</w:delText>
        </w:r>
        <w:r w:rsidR="00444E8A" w:rsidRPr="001B4A02">
          <w:delText>o</w:delText>
        </w:r>
        <w:r w:rsidRPr="001B4A02">
          <w:delText xml:space="preserve"> nebo to může provádět i jiná osoba, např. člen ro</w:delText>
        </w:r>
        <w:r w:rsidR="00932C6F" w:rsidRPr="001B4A02">
          <w:delText>diny nebo přítel či přítelkyně.</w:delText>
        </w:r>
      </w:del>
    </w:p>
    <w:p w14:paraId="06A8723B" w14:textId="77777777" w:rsidR="00794B35" w:rsidRPr="001B4A02" w:rsidRDefault="00794B35" w:rsidP="00ED48A3">
      <w:pPr>
        <w:ind w:left="0" w:firstLine="0"/>
        <w:rPr>
          <w:del w:id="10204" w:author="AbbVie1" w:date="2025-05-13T10:11:00Z"/>
        </w:rPr>
      </w:pPr>
    </w:p>
    <w:p w14:paraId="0732E5ED" w14:textId="77777777" w:rsidR="00073F8F" w:rsidRPr="001B4A02" w:rsidRDefault="00000000" w:rsidP="00ED48A3">
      <w:pPr>
        <w:ind w:left="0" w:firstLine="0"/>
        <w:rPr>
          <w:del w:id="10205" w:author="AbbVie1" w:date="2025-05-13T10:11:00Z"/>
        </w:rPr>
      </w:pPr>
      <w:del w:id="10206" w:author="AbbVie1" w:date="2025-05-13T10:11:00Z">
        <w:r w:rsidRPr="001B4A02">
          <w:delText xml:space="preserve">Provádění následujících kroků </w:delText>
        </w:r>
        <w:r w:rsidR="00221096" w:rsidRPr="001B4A02">
          <w:delText xml:space="preserve">jiným způsobem, </w:delText>
        </w:r>
        <w:r w:rsidRPr="001B4A02">
          <w:delText>než je popsáno, může způsobit kontaminaci, která může vést k infikování Vašeho dítěte.</w:delText>
        </w:r>
      </w:del>
    </w:p>
    <w:p w14:paraId="46AB7A2E" w14:textId="77777777" w:rsidR="003B07AB" w:rsidRPr="001B4A02" w:rsidRDefault="003B07AB" w:rsidP="00ED48A3">
      <w:pPr>
        <w:ind w:left="0" w:firstLine="0"/>
        <w:rPr>
          <w:del w:id="10207" w:author="AbbVie1" w:date="2025-05-13T10:11:00Z"/>
        </w:rPr>
      </w:pPr>
    </w:p>
    <w:p w14:paraId="3B7B22AF" w14:textId="77777777" w:rsidR="00073F8F" w:rsidRPr="001B4A02" w:rsidRDefault="00000000" w:rsidP="00ED48A3">
      <w:pPr>
        <w:ind w:left="0" w:firstLine="0"/>
        <w:rPr>
          <w:del w:id="10208" w:author="AbbVie1" w:date="2025-05-13T10:11:00Z"/>
        </w:rPr>
      </w:pPr>
      <w:del w:id="10209" w:author="AbbVie1" w:date="2025-05-13T10:11:00Z">
        <w:r w:rsidRPr="001B4A02">
          <w:delText>Injekce se nesmí smíchat s jiným lékem v téže injekční stříkačce nebo lahvičce.</w:delText>
        </w:r>
      </w:del>
    </w:p>
    <w:p w14:paraId="7DEE6398" w14:textId="77777777" w:rsidR="006C1EAF" w:rsidRPr="00404AFD" w:rsidRDefault="006C1EAF" w:rsidP="00ED48A3">
      <w:pPr>
        <w:ind w:left="0" w:firstLine="0"/>
        <w:rPr>
          <w:del w:id="10210" w:author="AbbVie1" w:date="2025-05-13T10:11:00Z"/>
          <w:bCs/>
        </w:rPr>
      </w:pPr>
    </w:p>
    <w:p w14:paraId="3D6FBE1F" w14:textId="77777777" w:rsidR="00073F8F" w:rsidRPr="001B4A02" w:rsidRDefault="00000000" w:rsidP="00404AFD">
      <w:pPr>
        <w:keepNext/>
        <w:ind w:left="0" w:firstLine="0"/>
        <w:rPr>
          <w:del w:id="10211" w:author="AbbVie1" w:date="2025-05-13T10:11:00Z"/>
          <w:b/>
        </w:rPr>
      </w:pPr>
      <w:del w:id="10212" w:author="AbbVie1" w:date="2025-05-13T10:11:00Z">
        <w:r w:rsidRPr="001B4A02">
          <w:rPr>
            <w:b/>
          </w:rPr>
          <w:delText>1)</w:delText>
        </w:r>
        <w:r w:rsidRPr="001B4A02">
          <w:rPr>
            <w:b/>
          </w:rPr>
          <w:tab/>
          <w:delText>Příprava</w:delText>
        </w:r>
      </w:del>
    </w:p>
    <w:p w14:paraId="02DD8781" w14:textId="77777777" w:rsidR="00073F8F" w:rsidRPr="001B4A02" w:rsidRDefault="00073F8F" w:rsidP="00404AFD">
      <w:pPr>
        <w:keepNext/>
        <w:ind w:left="0" w:firstLine="0"/>
        <w:rPr>
          <w:del w:id="10213" w:author="AbbVie1" w:date="2025-05-13T10:11:00Z"/>
          <w:b/>
        </w:rPr>
      </w:pPr>
    </w:p>
    <w:p w14:paraId="07A403FC" w14:textId="77777777" w:rsidR="00221096" w:rsidRPr="001B4A02" w:rsidRDefault="00000000" w:rsidP="00ED48A3">
      <w:pPr>
        <w:numPr>
          <w:ilvl w:val="0"/>
          <w:numId w:val="9"/>
        </w:numPr>
        <w:tabs>
          <w:tab w:val="clear" w:pos="720"/>
          <w:tab w:val="num" w:pos="540"/>
        </w:tabs>
        <w:ind w:left="567" w:hanging="567"/>
        <w:rPr>
          <w:del w:id="10214" w:author="AbbVie1" w:date="2025-05-13T10:11:00Z"/>
        </w:rPr>
      </w:pPr>
      <w:del w:id="10215" w:author="AbbVie1" w:date="2025-05-13T10:11:00Z">
        <w:r w:rsidRPr="001B4A02">
          <w:delText xml:space="preserve">Ujistěte se, že znáte správné množství (objem) potřebné k podání. Pokud množství neznáte, </w:delText>
        </w:r>
        <w:r w:rsidRPr="001B4A02">
          <w:rPr>
            <w:b/>
          </w:rPr>
          <w:delText>IHNED PŘESTAŇTE</w:delText>
        </w:r>
        <w:r w:rsidR="002378E0">
          <w:delText xml:space="preserve"> a </w:delText>
        </w:r>
        <w:r w:rsidRPr="001B4A02">
          <w:delText>požádejte</w:delText>
        </w:r>
        <w:r w:rsidR="000F4A03" w:rsidRPr="001B4A02">
          <w:delText xml:space="preserve"> </w:delText>
        </w:r>
        <w:r w:rsidR="00F23025" w:rsidRPr="001B4A02">
          <w:delText>lékaře o </w:delText>
        </w:r>
        <w:r w:rsidRPr="001B4A02">
          <w:delText>další instrukce.</w:delText>
        </w:r>
      </w:del>
    </w:p>
    <w:p w14:paraId="3A397CCB" w14:textId="77777777" w:rsidR="00221096" w:rsidRPr="001B4A02" w:rsidRDefault="00000000" w:rsidP="00ED48A3">
      <w:pPr>
        <w:numPr>
          <w:ilvl w:val="0"/>
          <w:numId w:val="9"/>
        </w:numPr>
        <w:tabs>
          <w:tab w:val="clear" w:pos="720"/>
          <w:tab w:val="num" w:pos="540"/>
        </w:tabs>
        <w:ind w:left="567" w:hanging="567"/>
        <w:rPr>
          <w:del w:id="10216" w:author="AbbVie1" w:date="2025-05-13T10:11:00Z"/>
        </w:rPr>
      </w:pPr>
      <w:del w:id="10217" w:author="AbbVie1" w:date="2025-05-13T10:11:00Z">
        <w:r w:rsidRPr="001B4A02">
          <w:delText xml:space="preserve">Budete potřebovat speciální nádobu na odpad, </w:delText>
        </w:r>
        <w:r w:rsidR="00091620" w:rsidRPr="001B4A02">
          <w:delText>jako např.</w:delText>
        </w:r>
        <w:r w:rsidRPr="001B4A02">
          <w:delText xml:space="preserve"> kontejner na ostré předměty nebo postupujte </w:delText>
        </w:r>
        <w:r w:rsidR="00091620" w:rsidRPr="001B4A02">
          <w:delText>po</w:delText>
        </w:r>
        <w:r w:rsidRPr="001B4A02">
          <w:delText xml:space="preserve">dle instrukcí </w:delText>
        </w:r>
        <w:r w:rsidR="000F4A03" w:rsidRPr="001B4A02">
          <w:delText xml:space="preserve">sestry, </w:delText>
        </w:r>
        <w:r w:rsidRPr="001B4A02">
          <w:delText>lékaře nebo lékárníka. Kontejner umístěte na pracovní plochu.</w:delText>
        </w:r>
      </w:del>
    </w:p>
    <w:p w14:paraId="4A754297" w14:textId="77777777" w:rsidR="00073F8F" w:rsidRPr="001B4A02" w:rsidRDefault="00000000" w:rsidP="00ED48A3">
      <w:pPr>
        <w:numPr>
          <w:ilvl w:val="0"/>
          <w:numId w:val="9"/>
        </w:numPr>
        <w:tabs>
          <w:tab w:val="clear" w:pos="720"/>
          <w:tab w:val="num" w:pos="540"/>
        </w:tabs>
        <w:ind w:left="0" w:firstLine="0"/>
        <w:rPr>
          <w:del w:id="10218" w:author="AbbVie1" w:date="2025-05-13T10:11:00Z"/>
        </w:rPr>
      </w:pPr>
      <w:del w:id="10219" w:author="AbbVie1" w:date="2025-05-13T10:11:00Z">
        <w:r w:rsidRPr="001B4A02">
          <w:delText>Pečlivě si umyjte ruce</w:delText>
        </w:r>
        <w:r w:rsidR="002528FB" w:rsidRPr="001B4A02">
          <w:delText>.</w:delText>
        </w:r>
      </w:del>
    </w:p>
    <w:p w14:paraId="0F887705" w14:textId="77777777" w:rsidR="00221096" w:rsidRPr="001B4A02" w:rsidRDefault="00000000" w:rsidP="00ED48A3">
      <w:pPr>
        <w:numPr>
          <w:ilvl w:val="0"/>
          <w:numId w:val="9"/>
        </w:numPr>
        <w:tabs>
          <w:tab w:val="clear" w:pos="720"/>
          <w:tab w:val="num" w:pos="540"/>
        </w:tabs>
        <w:ind w:left="567" w:hanging="567"/>
        <w:rPr>
          <w:del w:id="10220" w:author="AbbVie1" w:date="2025-05-13T10:11:00Z"/>
        </w:rPr>
      </w:pPr>
      <w:del w:id="10221" w:author="AbbVie1" w:date="2025-05-13T10:11:00Z">
        <w:r w:rsidRPr="001B4A02">
          <w:delText>Z balení vyjměte krabičku, obsahující jednu inje</w:delText>
        </w:r>
        <w:r w:rsidR="00A7712A" w:rsidRPr="001B4A02">
          <w:delText>kční stříkačku, jeden adaptér k</w:delText>
        </w:r>
        <w:r w:rsidR="0045439B" w:rsidRPr="001B4A02">
          <w:delText> </w:delText>
        </w:r>
        <w:r w:rsidRPr="001B4A02">
          <w:delText>lahvič</w:delText>
        </w:r>
        <w:r w:rsidR="00A7712A" w:rsidRPr="001B4A02">
          <w:delText>ce</w:delText>
        </w:r>
        <w:r w:rsidRPr="001B4A02">
          <w:delText xml:space="preserve">, jednu </w:delText>
        </w:r>
        <w:r w:rsidR="00C36115" w:rsidRPr="001B4A02">
          <w:delText xml:space="preserve">injekční </w:delText>
        </w:r>
        <w:r w:rsidRPr="001B4A02">
          <w:delText>lahvičku, dva tampóny napuštěné alkoholem</w:delText>
        </w:r>
        <w:r w:rsidR="002378E0">
          <w:delText xml:space="preserve"> a </w:delText>
        </w:r>
        <w:r w:rsidRPr="001B4A02">
          <w:delText xml:space="preserve">jednu </w:delText>
        </w:r>
        <w:r w:rsidR="00C36115" w:rsidRPr="001B4A02">
          <w:delText xml:space="preserve">injekční </w:delText>
        </w:r>
        <w:r w:rsidRPr="001B4A02">
          <w:delText>jehlu. Pokud se v balení nachází další krabička, uložte j</w:delText>
        </w:r>
        <w:r w:rsidR="00C36115" w:rsidRPr="001B4A02">
          <w:delText>i</w:delText>
        </w:r>
        <w:r w:rsidRPr="001B4A02">
          <w:delText xml:space="preserve"> ihned zpět do chladničky.</w:delText>
        </w:r>
      </w:del>
    </w:p>
    <w:p w14:paraId="014ABE55" w14:textId="77777777" w:rsidR="00205996" w:rsidRPr="001B4A02" w:rsidRDefault="00000000" w:rsidP="00ED48A3">
      <w:pPr>
        <w:numPr>
          <w:ilvl w:val="0"/>
          <w:numId w:val="9"/>
        </w:numPr>
        <w:tabs>
          <w:tab w:val="clear" w:pos="720"/>
          <w:tab w:val="num" w:pos="540"/>
        </w:tabs>
        <w:ind w:left="567" w:hanging="567"/>
        <w:rPr>
          <w:del w:id="10222" w:author="AbbVie1" w:date="2025-05-13T10:11:00Z"/>
        </w:rPr>
      </w:pPr>
      <w:del w:id="10223" w:author="AbbVie1" w:date="2025-05-13T10:11:00Z">
        <w:r w:rsidRPr="001B4A02">
          <w:delText xml:space="preserve">Podívejte se na datum použitelnosti na krabičce, kterou se chystáte použít. </w:delText>
        </w:r>
        <w:r w:rsidRPr="001B4A02">
          <w:rPr>
            <w:b/>
          </w:rPr>
          <w:delText>NEPOUŽÍVEJTE</w:delText>
        </w:r>
        <w:r w:rsidRPr="001B4A02">
          <w:delText xml:space="preserve"> žádný z předmětů po datu, které je uvedeno na krabičce.</w:delText>
        </w:r>
      </w:del>
    </w:p>
    <w:p w14:paraId="2B74693E" w14:textId="77777777" w:rsidR="00073F8F" w:rsidRPr="001B4A02" w:rsidRDefault="00000000" w:rsidP="00ED48A3">
      <w:pPr>
        <w:numPr>
          <w:ilvl w:val="0"/>
          <w:numId w:val="9"/>
        </w:numPr>
        <w:tabs>
          <w:tab w:val="clear" w:pos="720"/>
          <w:tab w:val="num" w:pos="540"/>
        </w:tabs>
        <w:ind w:left="567" w:hanging="567"/>
        <w:rPr>
          <w:del w:id="10224" w:author="AbbVie1" w:date="2025-05-13T10:11:00Z"/>
        </w:rPr>
      </w:pPr>
      <w:del w:id="10225" w:author="AbbVie1" w:date="2025-05-13T10:11:00Z">
        <w:r w:rsidRPr="001B4A02">
          <w:delText>Na čistý povrch si připravte následující pomůcky</w:delText>
        </w:r>
        <w:r w:rsidR="00205996" w:rsidRPr="001B4A02">
          <w:delText xml:space="preserve">, zatím je </w:delText>
        </w:r>
        <w:r w:rsidR="00205996" w:rsidRPr="001B4A02">
          <w:rPr>
            <w:b/>
          </w:rPr>
          <w:delText>NEVY</w:delText>
        </w:r>
        <w:r w:rsidR="00C36115" w:rsidRPr="001B4A02">
          <w:rPr>
            <w:b/>
          </w:rPr>
          <w:delText>JÍMEJ</w:delText>
        </w:r>
        <w:r w:rsidR="00205996" w:rsidRPr="001B4A02">
          <w:rPr>
            <w:b/>
          </w:rPr>
          <w:delText>TE</w:delText>
        </w:r>
        <w:r w:rsidR="00205996" w:rsidRPr="001B4A02">
          <w:delText xml:space="preserve"> z</w:delText>
        </w:r>
        <w:r w:rsidR="0045439B" w:rsidRPr="001B4A02">
          <w:delText> </w:delText>
        </w:r>
        <w:r w:rsidR="00F76291" w:rsidRPr="001B4A02">
          <w:delText xml:space="preserve">jednotlivých </w:delText>
        </w:r>
        <w:r w:rsidR="00205996" w:rsidRPr="001B4A02">
          <w:delText>obalů.</w:delText>
        </w:r>
      </w:del>
    </w:p>
    <w:p w14:paraId="2BF6495D" w14:textId="77777777" w:rsidR="00F76291" w:rsidRPr="001B4A02" w:rsidRDefault="00F76291" w:rsidP="00ED48A3">
      <w:pPr>
        <w:ind w:left="0" w:firstLine="0"/>
        <w:rPr>
          <w:del w:id="10226" w:author="AbbVie1" w:date="2025-05-13T10:11:00Z"/>
        </w:rPr>
      </w:pPr>
    </w:p>
    <w:p w14:paraId="226951F6" w14:textId="77777777" w:rsidR="00073F8F" w:rsidRPr="001B4A02" w:rsidRDefault="00000000" w:rsidP="00ED48A3">
      <w:pPr>
        <w:numPr>
          <w:ilvl w:val="1"/>
          <w:numId w:val="9"/>
        </w:numPr>
        <w:tabs>
          <w:tab w:val="clear" w:pos="1440"/>
        </w:tabs>
        <w:ind w:left="1134" w:hanging="567"/>
        <w:rPr>
          <w:del w:id="10227" w:author="AbbVie1" w:date="2025-05-13T10:11:00Z"/>
        </w:rPr>
      </w:pPr>
      <w:del w:id="10228" w:author="AbbVie1" w:date="2025-05-13T10:11:00Z">
        <w:r w:rsidRPr="001B4A02">
          <w:delText>jedn</w:delText>
        </w:r>
        <w:r w:rsidR="00F76291" w:rsidRPr="001B4A02">
          <w:delText>a</w:delText>
        </w:r>
        <w:r w:rsidRPr="001B4A02">
          <w:delText xml:space="preserve"> </w:delText>
        </w:r>
        <w:r w:rsidR="00F76291" w:rsidRPr="001B4A02">
          <w:delText xml:space="preserve">1ml </w:delText>
        </w:r>
        <w:r w:rsidRPr="001B4A02">
          <w:delText xml:space="preserve">injekční </w:delText>
        </w:r>
        <w:r w:rsidR="00F76291" w:rsidRPr="001B4A02">
          <w:delText>stříkačka (1)</w:delText>
        </w:r>
      </w:del>
    </w:p>
    <w:p w14:paraId="3D7A0C0B" w14:textId="77777777" w:rsidR="00F76291" w:rsidRPr="001B4A02" w:rsidRDefault="00000000" w:rsidP="00ED48A3">
      <w:pPr>
        <w:numPr>
          <w:ilvl w:val="1"/>
          <w:numId w:val="9"/>
        </w:numPr>
        <w:tabs>
          <w:tab w:val="clear" w:pos="1440"/>
        </w:tabs>
        <w:ind w:left="1134" w:hanging="567"/>
        <w:rPr>
          <w:del w:id="10229" w:author="AbbVie1" w:date="2025-05-13T10:11:00Z"/>
        </w:rPr>
      </w:pPr>
      <w:del w:id="10230" w:author="AbbVie1" w:date="2025-05-13T10:11:00Z">
        <w:r w:rsidRPr="001B4A02">
          <w:delText>jeden adaptér k</w:delText>
        </w:r>
        <w:r w:rsidR="0045439B" w:rsidRPr="001B4A02">
          <w:delText> </w:delText>
        </w:r>
        <w:r w:rsidRPr="001B4A02">
          <w:delText>lahvičce (2)</w:delText>
        </w:r>
      </w:del>
    </w:p>
    <w:p w14:paraId="0E2CD0A3" w14:textId="77777777" w:rsidR="00F76291" w:rsidRPr="001B4A02" w:rsidRDefault="00000000" w:rsidP="00ED48A3">
      <w:pPr>
        <w:numPr>
          <w:ilvl w:val="1"/>
          <w:numId w:val="9"/>
        </w:numPr>
        <w:tabs>
          <w:tab w:val="clear" w:pos="1440"/>
        </w:tabs>
        <w:ind w:left="1134" w:hanging="567"/>
        <w:rPr>
          <w:del w:id="10231" w:author="AbbVie1" w:date="2025-05-13T10:11:00Z"/>
        </w:rPr>
      </w:pPr>
      <w:del w:id="10232" w:author="AbbVie1" w:date="2025-05-13T10:11:00Z">
        <w:r w:rsidRPr="001B4A02">
          <w:delText xml:space="preserve">jedna </w:delText>
        </w:r>
        <w:r w:rsidR="00C36115" w:rsidRPr="001B4A02">
          <w:delText xml:space="preserve">injekční </w:delText>
        </w:r>
        <w:r w:rsidRPr="001B4A02">
          <w:delText>lahvička k </w:delText>
        </w:r>
        <w:r w:rsidR="00C36115" w:rsidRPr="001B4A02">
          <w:delText>po</w:delText>
        </w:r>
        <w:r w:rsidRPr="001B4A02">
          <w:delText>užití u</w:delText>
        </w:r>
        <w:r w:rsidR="0045439B" w:rsidRPr="001B4A02">
          <w:delText> </w:delText>
        </w:r>
        <w:r w:rsidRPr="001B4A02">
          <w:delText>dětí, obsahuj</w:delText>
        </w:r>
        <w:r w:rsidR="005D2535">
          <w:delText>í</w:delText>
        </w:r>
        <w:r w:rsidRPr="001B4A02">
          <w:delText>cí přípravek Humira k injekčnímu podání (3)</w:delText>
        </w:r>
      </w:del>
    </w:p>
    <w:p w14:paraId="684CB5B5" w14:textId="77777777" w:rsidR="00073F8F" w:rsidRPr="001B4A02" w:rsidRDefault="00000000" w:rsidP="00ED48A3">
      <w:pPr>
        <w:numPr>
          <w:ilvl w:val="1"/>
          <w:numId w:val="9"/>
        </w:numPr>
        <w:tabs>
          <w:tab w:val="clear" w:pos="1440"/>
        </w:tabs>
        <w:ind w:left="1134" w:hanging="567"/>
        <w:rPr>
          <w:del w:id="10233" w:author="AbbVie1" w:date="2025-05-13T10:11:00Z"/>
        </w:rPr>
      </w:pPr>
      <w:del w:id="10234" w:author="AbbVie1" w:date="2025-05-13T10:11:00Z">
        <w:r w:rsidRPr="001B4A02">
          <w:delText>dva tampóny s</w:delText>
        </w:r>
        <w:r w:rsidR="00815AFD" w:rsidRPr="001B4A02">
          <w:delText> </w:delText>
        </w:r>
        <w:r w:rsidRPr="001B4A02">
          <w:delText>alkoholem</w:delText>
        </w:r>
        <w:r w:rsidR="00815AFD" w:rsidRPr="001B4A02">
          <w:delText xml:space="preserve"> (4)</w:delText>
        </w:r>
      </w:del>
    </w:p>
    <w:p w14:paraId="61E3DF4E" w14:textId="77777777" w:rsidR="00F76291" w:rsidRPr="001B4A02" w:rsidRDefault="00000000" w:rsidP="00ED48A3">
      <w:pPr>
        <w:numPr>
          <w:ilvl w:val="1"/>
          <w:numId w:val="9"/>
        </w:numPr>
        <w:tabs>
          <w:tab w:val="clear" w:pos="1440"/>
        </w:tabs>
        <w:ind w:left="1134" w:hanging="567"/>
        <w:rPr>
          <w:del w:id="10235" w:author="AbbVie1" w:date="2025-05-13T10:11:00Z"/>
        </w:rPr>
      </w:pPr>
      <w:del w:id="10236" w:author="AbbVie1" w:date="2025-05-13T10:11:00Z">
        <w:r w:rsidRPr="001B4A02">
          <w:delText xml:space="preserve">jedna </w:delText>
        </w:r>
        <w:r w:rsidR="00C36115" w:rsidRPr="001B4A02">
          <w:delText xml:space="preserve">injekční </w:delText>
        </w:r>
        <w:r w:rsidRPr="001B4A02">
          <w:delText>jehla (5)</w:delText>
        </w:r>
      </w:del>
    </w:p>
    <w:p w14:paraId="7DFAAB84" w14:textId="77777777" w:rsidR="00DA75B1" w:rsidRPr="001B4A02" w:rsidRDefault="00DA75B1" w:rsidP="00ED48A3">
      <w:pPr>
        <w:pStyle w:val="Footer"/>
        <w:tabs>
          <w:tab w:val="clear" w:pos="4536"/>
        </w:tabs>
        <w:ind w:left="0" w:firstLine="0"/>
        <w:rPr>
          <w:del w:id="10237" w:author="AbbVie1" w:date="2025-05-13T10:11:00Z"/>
          <w:rFonts w:ascii="Times New Roman" w:hAnsi="Times New Roman"/>
          <w:sz w:val="22"/>
        </w:rPr>
      </w:pPr>
    </w:p>
    <w:p w14:paraId="1492F4A5" w14:textId="77777777" w:rsidR="0033267F" w:rsidRPr="001B4A02" w:rsidRDefault="00000000" w:rsidP="00ED48A3">
      <w:pPr>
        <w:pStyle w:val="Footer"/>
        <w:tabs>
          <w:tab w:val="clear" w:pos="4536"/>
        </w:tabs>
        <w:ind w:left="0" w:firstLine="0"/>
        <w:jc w:val="center"/>
        <w:rPr>
          <w:del w:id="10238" w:author="AbbVie1" w:date="2025-05-13T10:11:00Z"/>
          <w:rFonts w:ascii="Times New Roman" w:hAnsi="Times New Roman"/>
        </w:rPr>
      </w:pPr>
      <w:del w:id="10239" w:author="AbbVie1" w:date="2025-05-13T10:11:00Z">
        <w:r w:rsidRPr="001B4A02">
          <w:rPr>
            <w:noProof/>
            <w:lang w:val="en-US"/>
          </w:rPr>
          <w:drawing>
            <wp:inline distT="0" distB="0" distL="0" distR="0" wp14:anchorId="6E458D04" wp14:editId="7D3FB5CE">
              <wp:extent cx="1932305" cy="1863090"/>
              <wp:effectExtent l="0" t="0" r="0" b="3810"/>
              <wp:docPr id="514" name="obrázek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Picture 514"/>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932305" cy="1863090"/>
                      </a:xfrm>
                      <a:prstGeom prst="rect">
                        <a:avLst/>
                      </a:prstGeom>
                      <a:noFill/>
                      <a:ln>
                        <a:noFill/>
                      </a:ln>
                    </pic:spPr>
                  </pic:pic>
                </a:graphicData>
              </a:graphic>
            </wp:inline>
          </w:drawing>
        </w:r>
      </w:del>
    </w:p>
    <w:p w14:paraId="64C023FF" w14:textId="77777777" w:rsidR="0033267F" w:rsidRPr="001B4A02" w:rsidRDefault="0033267F" w:rsidP="00ED48A3">
      <w:pPr>
        <w:ind w:left="0" w:firstLine="0"/>
        <w:rPr>
          <w:del w:id="10240" w:author="AbbVie1" w:date="2025-05-13T10:11:00Z"/>
        </w:rPr>
      </w:pPr>
    </w:p>
    <w:p w14:paraId="3A31E779" w14:textId="77777777" w:rsidR="00073F8F" w:rsidRPr="001B4A02" w:rsidRDefault="00000000" w:rsidP="00ED48A3">
      <w:pPr>
        <w:pStyle w:val="EndnoteText"/>
        <w:numPr>
          <w:ilvl w:val="0"/>
          <w:numId w:val="10"/>
        </w:numPr>
        <w:tabs>
          <w:tab w:val="clear" w:pos="720"/>
          <w:tab w:val="num" w:pos="540"/>
        </w:tabs>
        <w:ind w:left="567" w:hanging="567"/>
        <w:rPr>
          <w:del w:id="10241" w:author="AbbVie1" w:date="2025-05-13T10:11:00Z"/>
          <w:lang w:val="cs-CZ"/>
        </w:rPr>
      </w:pPr>
      <w:del w:id="10242" w:author="AbbVie1" w:date="2025-05-13T10:11:00Z">
        <w:r w:rsidRPr="001B4A02">
          <w:rPr>
            <w:lang w:val="cs-CZ"/>
          </w:rPr>
          <w:delText>Přípravek Humira je čirý</w:delText>
        </w:r>
        <w:r w:rsidR="002378E0">
          <w:rPr>
            <w:lang w:val="cs-CZ"/>
          </w:rPr>
          <w:delText xml:space="preserve"> a </w:delText>
        </w:r>
        <w:r w:rsidRPr="001B4A02">
          <w:rPr>
            <w:lang w:val="cs-CZ"/>
          </w:rPr>
          <w:delText xml:space="preserve">bezbarvý roztok. </w:delText>
        </w:r>
        <w:r w:rsidRPr="001B4A02">
          <w:rPr>
            <w:b/>
            <w:lang w:val="cs-CZ"/>
          </w:rPr>
          <w:delText>NEPOUŽÍVEJTE</w:delText>
        </w:r>
        <w:r w:rsidR="00C36115" w:rsidRPr="001B4A02">
          <w:rPr>
            <w:b/>
            <w:lang w:val="cs-CZ"/>
          </w:rPr>
          <w:delText xml:space="preserve"> </w:delText>
        </w:r>
        <w:r w:rsidR="00C36115" w:rsidRPr="001B4A02">
          <w:rPr>
            <w:lang w:val="cs-CZ"/>
          </w:rPr>
          <w:delText>roztok</w:delText>
        </w:r>
        <w:r w:rsidRPr="001B4A02">
          <w:rPr>
            <w:lang w:val="cs-CZ"/>
          </w:rPr>
          <w:delText xml:space="preserve">, pokud je zakalený, </w:delText>
        </w:r>
        <w:r w:rsidR="00815AFD" w:rsidRPr="001B4A02">
          <w:rPr>
            <w:lang w:val="cs-CZ"/>
          </w:rPr>
          <w:delText>z</w:delText>
        </w:r>
        <w:r w:rsidRPr="001B4A02">
          <w:rPr>
            <w:lang w:val="cs-CZ"/>
          </w:rPr>
          <w:delText>abarvený nebo jsou v něm vločky či částečky.</w:delText>
        </w:r>
      </w:del>
    </w:p>
    <w:p w14:paraId="2789CDC6" w14:textId="77777777" w:rsidR="00073F8F" w:rsidRPr="001B4A02" w:rsidRDefault="00073F8F" w:rsidP="00ED48A3">
      <w:pPr>
        <w:ind w:left="0" w:firstLine="0"/>
        <w:rPr>
          <w:del w:id="10243" w:author="AbbVie1" w:date="2025-05-13T10:11:00Z"/>
        </w:rPr>
      </w:pPr>
    </w:p>
    <w:p w14:paraId="6CA7DCF9" w14:textId="77777777" w:rsidR="00073F8F" w:rsidRPr="001B4A02" w:rsidRDefault="00000000" w:rsidP="00DD3461">
      <w:pPr>
        <w:keepNext/>
        <w:tabs>
          <w:tab w:val="left" w:pos="567"/>
        </w:tabs>
        <w:ind w:left="0" w:firstLine="0"/>
        <w:rPr>
          <w:del w:id="10244" w:author="AbbVie1" w:date="2025-05-13T10:11:00Z"/>
          <w:b/>
        </w:rPr>
      </w:pPr>
      <w:del w:id="10245" w:author="AbbVie1" w:date="2025-05-13T10:11:00Z">
        <w:r w:rsidRPr="001B4A02">
          <w:rPr>
            <w:b/>
          </w:rPr>
          <w:delText>2)</w:delText>
        </w:r>
        <w:r w:rsidRPr="001B4A02">
          <w:rPr>
            <w:b/>
          </w:rPr>
          <w:tab/>
        </w:r>
        <w:r w:rsidR="00F76291" w:rsidRPr="001B4A02">
          <w:rPr>
            <w:b/>
          </w:rPr>
          <w:delText>P</w:delText>
        </w:r>
        <w:r w:rsidRPr="001B4A02">
          <w:rPr>
            <w:b/>
          </w:rPr>
          <w:delText xml:space="preserve">říprava </w:delText>
        </w:r>
        <w:r w:rsidR="00F76291" w:rsidRPr="001B4A02">
          <w:rPr>
            <w:b/>
          </w:rPr>
          <w:delText xml:space="preserve">dávky přípravku Humira </w:delText>
        </w:r>
        <w:r w:rsidRPr="001B4A02">
          <w:rPr>
            <w:b/>
          </w:rPr>
          <w:delText>pro injekc</w:delText>
        </w:r>
        <w:r w:rsidR="00094D20" w:rsidRPr="001B4A02">
          <w:rPr>
            <w:b/>
          </w:rPr>
          <w:delText>i</w:delText>
        </w:r>
      </w:del>
    </w:p>
    <w:p w14:paraId="7ED53790" w14:textId="77777777" w:rsidR="00F76291" w:rsidRPr="001B4A02" w:rsidRDefault="00F76291" w:rsidP="00DD3461">
      <w:pPr>
        <w:keepNext/>
        <w:tabs>
          <w:tab w:val="left" w:pos="567"/>
        </w:tabs>
        <w:ind w:left="0" w:firstLine="0"/>
        <w:rPr>
          <w:del w:id="10246" w:author="AbbVie1" w:date="2025-05-13T10:11:00Z"/>
          <w:b/>
        </w:rPr>
      </w:pPr>
    </w:p>
    <w:p w14:paraId="54C179EF" w14:textId="77777777" w:rsidR="00F76291" w:rsidRPr="001B4A02" w:rsidRDefault="00000000" w:rsidP="00404AFD">
      <w:pPr>
        <w:tabs>
          <w:tab w:val="left" w:pos="567"/>
        </w:tabs>
        <w:ind w:left="0" w:firstLine="0"/>
        <w:rPr>
          <w:del w:id="10247" w:author="AbbVie1" w:date="2025-05-13T10:11:00Z"/>
        </w:rPr>
      </w:pPr>
      <w:del w:id="10248" w:author="AbbVie1" w:date="2025-05-13T10:11:00Z">
        <w:r w:rsidRPr="001B4A02">
          <w:delText xml:space="preserve">Obecné upozornění: </w:delText>
        </w:r>
        <w:r w:rsidRPr="001B4A02">
          <w:rPr>
            <w:b/>
          </w:rPr>
          <w:delText>NEVYHAZUJTE</w:delText>
        </w:r>
        <w:r w:rsidRPr="001B4A02">
          <w:delText xml:space="preserve"> </w:delText>
        </w:r>
        <w:r w:rsidR="007E12C8" w:rsidRPr="001B4A02">
          <w:delText>nic</w:delText>
        </w:r>
        <w:r w:rsidRPr="001B4A02">
          <w:delText xml:space="preserve"> z</w:delText>
        </w:r>
        <w:r w:rsidR="00131F6C" w:rsidRPr="001B4A02">
          <w:delText> </w:delText>
        </w:r>
        <w:r w:rsidRPr="001B4A02">
          <w:delText>odpad</w:delText>
        </w:r>
        <w:r w:rsidR="00131F6C" w:rsidRPr="001B4A02">
          <w:delText>ního materiál</w:delText>
        </w:r>
        <w:r w:rsidR="007E12C8" w:rsidRPr="001B4A02">
          <w:delText>u</w:delText>
        </w:r>
        <w:r w:rsidR="00131F6C" w:rsidRPr="001B4A02">
          <w:delText>,</w:delText>
        </w:r>
        <w:r w:rsidRPr="001B4A02">
          <w:delText xml:space="preserve"> dokud s</w:delText>
        </w:r>
        <w:r w:rsidR="007930C0" w:rsidRPr="001B4A02">
          <w:delText> </w:delText>
        </w:r>
        <w:r w:rsidRPr="001B4A02">
          <w:delText>podáním injekce neskončíte.</w:delText>
        </w:r>
      </w:del>
    </w:p>
    <w:p w14:paraId="1D6FB1F3" w14:textId="77777777" w:rsidR="00073F8F" w:rsidRPr="001B4A02" w:rsidRDefault="00073F8F" w:rsidP="00ED48A3">
      <w:pPr>
        <w:ind w:left="0" w:firstLine="0"/>
        <w:rPr>
          <w:del w:id="10249" w:author="AbbVie1" w:date="2025-05-13T10:11:00Z"/>
        </w:rPr>
      </w:pPr>
    </w:p>
    <w:p w14:paraId="610A6EDF" w14:textId="77777777" w:rsidR="007E12C8" w:rsidRPr="001B4A02" w:rsidRDefault="00000000" w:rsidP="00ED48A3">
      <w:pPr>
        <w:numPr>
          <w:ilvl w:val="0"/>
          <w:numId w:val="10"/>
        </w:numPr>
        <w:tabs>
          <w:tab w:val="clear" w:pos="720"/>
          <w:tab w:val="num" w:pos="567"/>
        </w:tabs>
        <w:ind w:left="567" w:hanging="567"/>
        <w:rPr>
          <w:del w:id="10250" w:author="AbbVie1" w:date="2025-05-13T10:11:00Z"/>
        </w:rPr>
      </w:pPr>
      <w:del w:id="10251" w:author="AbbVie1" w:date="2025-05-13T10:11:00Z">
        <w:r w:rsidRPr="001B4A02">
          <w:delText xml:space="preserve">Připravte </w:delText>
        </w:r>
        <w:r w:rsidR="00131F6C" w:rsidRPr="001B4A02">
          <w:delText xml:space="preserve">injekční </w:delText>
        </w:r>
        <w:r w:rsidRPr="001B4A02">
          <w:delText xml:space="preserve">jehlu tak, že </w:delText>
        </w:r>
        <w:r w:rsidR="00A044DD" w:rsidRPr="001B4A02">
          <w:delText xml:space="preserve">částečně odloupnete její obal </w:delText>
        </w:r>
        <w:r w:rsidRPr="001B4A02">
          <w:delText>na konci, který je blíže žluté</w:delText>
        </w:r>
        <w:r w:rsidR="00131F6C" w:rsidRPr="001B4A02">
          <w:delText xml:space="preserve"> spojce </w:delText>
        </w:r>
        <w:r w:rsidR="00D03D34" w:rsidRPr="001B4A02">
          <w:delText>stříkač</w:delText>
        </w:r>
        <w:r w:rsidR="00131F6C" w:rsidRPr="001B4A02">
          <w:delText>ky</w:delText>
        </w:r>
        <w:r w:rsidRPr="001B4A02">
          <w:delText>. Odtrhněte obal jen natolik, abyste odhalili žlut</w:delText>
        </w:r>
        <w:r w:rsidR="00131F6C" w:rsidRPr="001B4A02">
          <w:delText xml:space="preserve">ou spojku </w:delText>
        </w:r>
        <w:r w:rsidR="00D03D34" w:rsidRPr="001B4A02">
          <w:delText>stříkač</w:delText>
        </w:r>
        <w:r w:rsidR="00131F6C" w:rsidRPr="001B4A02">
          <w:delText>ky</w:delText>
        </w:r>
        <w:r w:rsidRPr="001B4A02">
          <w:delText xml:space="preserve">. Balení </w:delText>
        </w:r>
        <w:r w:rsidR="00A044DD" w:rsidRPr="001B4A02">
          <w:delText>odložte</w:delText>
        </w:r>
        <w:r w:rsidRPr="001B4A02">
          <w:delText xml:space="preserve"> tak, aby průhledná strana obalu směřovala vzhůru.</w:delText>
        </w:r>
      </w:del>
    </w:p>
    <w:p w14:paraId="684C58AC" w14:textId="77777777" w:rsidR="007E12C8" w:rsidRPr="001B4A02" w:rsidRDefault="007E12C8" w:rsidP="00ED48A3">
      <w:pPr>
        <w:rPr>
          <w:del w:id="10252" w:author="AbbVie1" w:date="2025-05-13T10:11:00Z"/>
        </w:rPr>
      </w:pPr>
    </w:p>
    <w:p w14:paraId="53F29B65" w14:textId="77777777" w:rsidR="00DA75B1" w:rsidRPr="001B4A02" w:rsidRDefault="00000000" w:rsidP="00ED48A3">
      <w:pPr>
        <w:jc w:val="center"/>
        <w:rPr>
          <w:del w:id="10253" w:author="AbbVie1" w:date="2025-05-13T10:11:00Z"/>
        </w:rPr>
      </w:pPr>
      <w:del w:id="10254" w:author="AbbVie1" w:date="2025-05-13T10:11:00Z">
        <w:r w:rsidRPr="001B4A02">
          <w:rPr>
            <w:noProof/>
            <w:lang w:val="en-US"/>
          </w:rPr>
          <w:drawing>
            <wp:inline distT="0" distB="0" distL="0" distR="0" wp14:anchorId="102E9AA6" wp14:editId="66EF7AB0">
              <wp:extent cx="1854835" cy="1854835"/>
              <wp:effectExtent l="0" t="0" r="0" b="0"/>
              <wp:docPr id="515" name="obrázek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Picture 515"/>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854835" cy="1854835"/>
                      </a:xfrm>
                      <a:prstGeom prst="rect">
                        <a:avLst/>
                      </a:prstGeom>
                      <a:noFill/>
                      <a:ln>
                        <a:noFill/>
                      </a:ln>
                    </pic:spPr>
                  </pic:pic>
                </a:graphicData>
              </a:graphic>
            </wp:inline>
          </w:drawing>
        </w:r>
      </w:del>
    </w:p>
    <w:p w14:paraId="1D405486" w14:textId="77777777" w:rsidR="00DA75B1" w:rsidRPr="001B4A02" w:rsidRDefault="00DA75B1" w:rsidP="00932C6F">
      <w:pPr>
        <w:rPr>
          <w:del w:id="10255" w:author="AbbVie1" w:date="2025-05-13T10:11:00Z"/>
        </w:rPr>
      </w:pPr>
    </w:p>
    <w:p w14:paraId="47F7628F" w14:textId="77777777" w:rsidR="00680946" w:rsidRPr="001B4A02" w:rsidRDefault="00000000" w:rsidP="00ED48A3">
      <w:pPr>
        <w:numPr>
          <w:ilvl w:val="0"/>
          <w:numId w:val="10"/>
        </w:numPr>
        <w:tabs>
          <w:tab w:val="clear" w:pos="720"/>
          <w:tab w:val="num" w:pos="567"/>
        </w:tabs>
        <w:ind w:left="567" w:hanging="567"/>
        <w:rPr>
          <w:del w:id="10256" w:author="AbbVie1" w:date="2025-05-13T10:11:00Z"/>
        </w:rPr>
      </w:pPr>
      <w:del w:id="10257" w:author="AbbVie1" w:date="2025-05-13T10:11:00Z">
        <w:r w:rsidRPr="001B4A02">
          <w:delText>Od</w:delText>
        </w:r>
        <w:r w:rsidR="00131F6C" w:rsidRPr="001B4A02">
          <w:delText>straň</w:delText>
        </w:r>
        <w:r w:rsidRPr="001B4A02">
          <w:delText xml:space="preserve">te </w:delText>
        </w:r>
        <w:r w:rsidR="00131F6C" w:rsidRPr="001B4A02">
          <w:delText>bílý plastikový kryt z lahvičky</w:delText>
        </w:r>
        <w:r w:rsidRPr="001B4A02">
          <w:delText>, abyste odkryli zátku lahvičky.</w:delText>
        </w:r>
      </w:del>
    </w:p>
    <w:p w14:paraId="788CE588" w14:textId="77777777" w:rsidR="00680946" w:rsidRPr="001B4A02" w:rsidRDefault="00680946" w:rsidP="00ED48A3">
      <w:pPr>
        <w:rPr>
          <w:del w:id="10258" w:author="AbbVie1" w:date="2025-05-13T10:11:00Z"/>
        </w:rPr>
      </w:pPr>
    </w:p>
    <w:p w14:paraId="504E8D96" w14:textId="77777777" w:rsidR="00680946" w:rsidRPr="001B4A02" w:rsidRDefault="00000000" w:rsidP="00ED48A3">
      <w:pPr>
        <w:pStyle w:val="EMEABullet2"/>
        <w:numPr>
          <w:ilvl w:val="0"/>
          <w:numId w:val="0"/>
        </w:numPr>
        <w:tabs>
          <w:tab w:val="clear" w:pos="567"/>
          <w:tab w:val="left" w:pos="708"/>
        </w:tabs>
        <w:jc w:val="center"/>
        <w:rPr>
          <w:del w:id="10259" w:author="AbbVie1" w:date="2025-05-13T10:11:00Z"/>
          <w:lang w:val="cs-CZ"/>
        </w:rPr>
      </w:pPr>
      <w:del w:id="10260" w:author="AbbVie1" w:date="2025-05-13T10:11:00Z">
        <w:r w:rsidRPr="001B4A02">
          <w:rPr>
            <w:lang w:val="cs-CZ"/>
          </w:rPr>
          <w:tab/>
        </w:r>
        <w:r w:rsidRPr="001B4A02">
          <w:rPr>
            <w:lang w:val="cs-CZ"/>
          </w:rPr>
          <w:tab/>
        </w:r>
        <w:r w:rsidRPr="001B4A02">
          <w:rPr>
            <w:lang w:val="cs-CZ"/>
          </w:rPr>
          <w:tab/>
        </w:r>
        <w:r w:rsidR="00A17301" w:rsidRPr="001B4A02">
          <w:rPr>
            <w:noProof/>
          </w:rPr>
          <w:drawing>
            <wp:inline distT="0" distB="0" distL="0" distR="0" wp14:anchorId="0C42AE79" wp14:editId="752C0716">
              <wp:extent cx="1854835" cy="1837690"/>
              <wp:effectExtent l="0" t="0" r="0" b="0"/>
              <wp:docPr id="516" name="obrázek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Picture 516"/>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854835" cy="1837690"/>
                      </a:xfrm>
                      <a:prstGeom prst="rect">
                        <a:avLst/>
                      </a:prstGeom>
                      <a:noFill/>
                      <a:ln>
                        <a:noFill/>
                      </a:ln>
                    </pic:spPr>
                  </pic:pic>
                </a:graphicData>
              </a:graphic>
            </wp:inline>
          </w:drawing>
        </w:r>
      </w:del>
    </w:p>
    <w:p w14:paraId="709AA502" w14:textId="77777777" w:rsidR="00DA75B1" w:rsidRPr="001B4A02" w:rsidRDefault="00DA75B1" w:rsidP="00ED48A3">
      <w:pPr>
        <w:rPr>
          <w:del w:id="10261" w:author="AbbVie1" w:date="2025-05-13T10:11:00Z"/>
        </w:rPr>
      </w:pPr>
    </w:p>
    <w:p w14:paraId="77B91EAE" w14:textId="77777777" w:rsidR="007E12C8" w:rsidRPr="001B4A02" w:rsidRDefault="00000000" w:rsidP="00ED48A3">
      <w:pPr>
        <w:numPr>
          <w:ilvl w:val="0"/>
          <w:numId w:val="10"/>
        </w:numPr>
        <w:tabs>
          <w:tab w:val="clear" w:pos="720"/>
          <w:tab w:val="num" w:pos="567"/>
        </w:tabs>
        <w:ind w:left="567" w:hanging="567"/>
        <w:rPr>
          <w:del w:id="10262" w:author="AbbVie1" w:date="2025-05-13T10:11:00Z"/>
        </w:rPr>
      </w:pPr>
      <w:del w:id="10263" w:author="AbbVie1" w:date="2025-05-13T10:11:00Z">
        <w:r w:rsidRPr="001B4A02">
          <w:delText xml:space="preserve">Použijte jeden z tampónů napuštěných alkoholem k otření zátky lahvičky. </w:delText>
        </w:r>
        <w:r w:rsidRPr="001B4A02">
          <w:rPr>
            <w:b/>
          </w:rPr>
          <w:delText>NEDOTÝKEJTE</w:delText>
        </w:r>
        <w:r w:rsidRPr="001B4A02">
          <w:delText xml:space="preserve"> se zátky po jejím otření tampónem.</w:delText>
        </w:r>
      </w:del>
    </w:p>
    <w:p w14:paraId="13DAFB37" w14:textId="77777777" w:rsidR="007E12C8" w:rsidRPr="001B4A02" w:rsidRDefault="00000000" w:rsidP="00ED48A3">
      <w:pPr>
        <w:numPr>
          <w:ilvl w:val="0"/>
          <w:numId w:val="10"/>
        </w:numPr>
        <w:tabs>
          <w:tab w:val="clear" w:pos="720"/>
          <w:tab w:val="num" w:pos="567"/>
        </w:tabs>
        <w:ind w:left="567" w:hanging="567"/>
        <w:rPr>
          <w:del w:id="10264" w:author="AbbVie1" w:date="2025-05-13T10:11:00Z"/>
        </w:rPr>
      </w:pPr>
      <w:del w:id="10265" w:author="AbbVie1" w:date="2025-05-13T10:11:00Z">
        <w:r w:rsidRPr="001B4A02">
          <w:delText>Odloupněte k</w:delText>
        </w:r>
        <w:r w:rsidR="00131F6C" w:rsidRPr="001B4A02">
          <w:delText xml:space="preserve">rycí </w:delText>
        </w:r>
        <w:r w:rsidRPr="001B4A02">
          <w:delText xml:space="preserve">fólii na balení adaptéru </w:delText>
        </w:r>
        <w:r w:rsidR="00A7712A" w:rsidRPr="001B4A02">
          <w:delText>k</w:delText>
        </w:r>
        <w:r w:rsidR="007930C0" w:rsidRPr="001B4A02">
          <w:delText> </w:delText>
        </w:r>
        <w:r w:rsidR="00A7712A" w:rsidRPr="001B4A02">
          <w:delText>lahvičce</w:delText>
        </w:r>
        <w:r w:rsidRPr="001B4A02">
          <w:delText>, ale nevy</w:delText>
        </w:r>
        <w:r w:rsidR="00131F6C" w:rsidRPr="001B4A02">
          <w:delText>jímejte ad</w:delText>
        </w:r>
        <w:r w:rsidRPr="001B4A02">
          <w:delText>aptér ven z balení.</w:delText>
        </w:r>
      </w:del>
    </w:p>
    <w:p w14:paraId="52E42626" w14:textId="77777777" w:rsidR="00680946" w:rsidRPr="001B4A02" w:rsidRDefault="00680946" w:rsidP="00ED48A3">
      <w:pPr>
        <w:rPr>
          <w:del w:id="10266" w:author="AbbVie1" w:date="2025-05-13T10:11:00Z"/>
        </w:rPr>
      </w:pPr>
    </w:p>
    <w:p w14:paraId="1598705A" w14:textId="77777777" w:rsidR="00680946" w:rsidRPr="001B4A02" w:rsidRDefault="00000000" w:rsidP="00ED48A3">
      <w:pPr>
        <w:jc w:val="center"/>
        <w:rPr>
          <w:del w:id="10267" w:author="AbbVie1" w:date="2025-05-13T10:11:00Z"/>
        </w:rPr>
      </w:pPr>
      <w:del w:id="10268" w:author="AbbVie1" w:date="2025-05-13T10:11:00Z">
        <w:r w:rsidRPr="001B4A02">
          <w:rPr>
            <w:noProof/>
            <w:lang w:val="en-US"/>
          </w:rPr>
          <w:drawing>
            <wp:inline distT="0" distB="0" distL="0" distR="0" wp14:anchorId="3518BA7F" wp14:editId="10B77C5F">
              <wp:extent cx="1819910" cy="1802765"/>
              <wp:effectExtent l="0" t="0" r="8890" b="6985"/>
              <wp:docPr id="517" name="obrázek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Picture 517"/>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1819910" cy="1802765"/>
                      </a:xfrm>
                      <a:prstGeom prst="rect">
                        <a:avLst/>
                      </a:prstGeom>
                      <a:noFill/>
                      <a:ln>
                        <a:noFill/>
                      </a:ln>
                    </pic:spPr>
                  </pic:pic>
                </a:graphicData>
              </a:graphic>
            </wp:inline>
          </w:drawing>
        </w:r>
      </w:del>
    </w:p>
    <w:p w14:paraId="141AD96E" w14:textId="77777777" w:rsidR="00DA75B1" w:rsidRPr="001B4A02" w:rsidRDefault="00DA75B1" w:rsidP="00ED48A3">
      <w:pPr>
        <w:jc w:val="center"/>
        <w:rPr>
          <w:del w:id="10269" w:author="AbbVie1" w:date="2025-05-13T10:11:00Z"/>
        </w:rPr>
      </w:pPr>
    </w:p>
    <w:p w14:paraId="6514154B" w14:textId="77777777" w:rsidR="00680946" w:rsidRPr="001B4A02" w:rsidRDefault="00000000" w:rsidP="00ED48A3">
      <w:pPr>
        <w:numPr>
          <w:ilvl w:val="0"/>
          <w:numId w:val="10"/>
        </w:numPr>
        <w:tabs>
          <w:tab w:val="clear" w:pos="720"/>
          <w:tab w:val="num" w:pos="567"/>
        </w:tabs>
        <w:ind w:left="567" w:hanging="567"/>
        <w:rPr>
          <w:del w:id="10270" w:author="AbbVie1" w:date="2025-05-13T10:11:00Z"/>
        </w:rPr>
      </w:pPr>
      <w:del w:id="10271" w:author="AbbVie1" w:date="2025-05-13T10:11:00Z">
        <w:r w:rsidRPr="001B4A02">
          <w:delText xml:space="preserve">Uchopte </w:delText>
        </w:r>
        <w:r w:rsidR="00131F6C" w:rsidRPr="001B4A02">
          <w:delText xml:space="preserve">injekční </w:delText>
        </w:r>
        <w:r w:rsidRPr="001B4A02">
          <w:delText>lahvičku tak, aby její zátka směřovala vzhůru.</w:delText>
        </w:r>
      </w:del>
    </w:p>
    <w:p w14:paraId="4E81D143" w14:textId="77777777" w:rsidR="00680946" w:rsidRPr="001B4A02" w:rsidRDefault="00000000" w:rsidP="00ED48A3">
      <w:pPr>
        <w:numPr>
          <w:ilvl w:val="0"/>
          <w:numId w:val="10"/>
        </w:numPr>
        <w:tabs>
          <w:tab w:val="clear" w:pos="720"/>
          <w:tab w:val="num" w:pos="567"/>
        </w:tabs>
        <w:ind w:left="567" w:hanging="567"/>
        <w:rPr>
          <w:del w:id="10272" w:author="AbbVie1" w:date="2025-05-13T10:11:00Z"/>
        </w:rPr>
      </w:pPr>
      <w:del w:id="10273" w:author="AbbVie1" w:date="2025-05-13T10:11:00Z">
        <w:r w:rsidRPr="001B4A02">
          <w:delText xml:space="preserve">Adaptér </w:delText>
        </w:r>
        <w:r w:rsidR="00A7712A" w:rsidRPr="001B4A02">
          <w:delText>k</w:delText>
        </w:r>
        <w:r w:rsidR="007930C0" w:rsidRPr="001B4A02">
          <w:delText> </w:delText>
        </w:r>
        <w:r w:rsidRPr="001B4A02">
          <w:delText>lahvič</w:delText>
        </w:r>
        <w:r w:rsidR="00A7712A" w:rsidRPr="001B4A02">
          <w:delText>ce</w:delText>
        </w:r>
        <w:r w:rsidRPr="001B4A02">
          <w:delText>, s</w:delText>
        </w:r>
        <w:r w:rsidR="00E50C54" w:rsidRPr="001B4A02">
          <w:delText>tále ještě ponech</w:delText>
        </w:r>
        <w:r w:rsidR="00131F6C" w:rsidRPr="001B4A02">
          <w:delText>aný</w:delText>
        </w:r>
        <w:r w:rsidRPr="001B4A02">
          <w:delText xml:space="preserve"> v průhledném obalu</w:delText>
        </w:r>
        <w:r w:rsidR="002528FB" w:rsidRPr="001B4A02">
          <w:delText>,</w:delText>
        </w:r>
        <w:r w:rsidRPr="001B4A02">
          <w:delText xml:space="preserve"> uchopte</w:delText>
        </w:r>
        <w:r w:rsidR="002378E0">
          <w:delText xml:space="preserve"> a </w:delText>
        </w:r>
        <w:r w:rsidRPr="001B4A02">
          <w:delText>při</w:delText>
        </w:r>
        <w:r w:rsidR="00131F6C" w:rsidRPr="001B4A02">
          <w:delText>pevněte</w:delText>
        </w:r>
        <w:r w:rsidRPr="001B4A02">
          <w:delText xml:space="preserve"> </w:delText>
        </w:r>
        <w:r w:rsidR="00E50C54" w:rsidRPr="001B4A02">
          <w:delText xml:space="preserve">jej </w:delText>
        </w:r>
        <w:r w:rsidRPr="001B4A02">
          <w:delText xml:space="preserve">na zátku </w:delText>
        </w:r>
        <w:r w:rsidR="00131F6C" w:rsidRPr="001B4A02">
          <w:delText xml:space="preserve">injekční </w:delText>
        </w:r>
        <w:r w:rsidRPr="001B4A02">
          <w:delText>lahvičky</w:delText>
        </w:r>
        <w:r w:rsidR="00A044DD" w:rsidRPr="001B4A02">
          <w:delText xml:space="preserve"> zatlačením směrem dolů, dokud adaptér nezapadne na místo.</w:delText>
        </w:r>
      </w:del>
    </w:p>
    <w:p w14:paraId="6545CA35" w14:textId="77777777" w:rsidR="00A044DD" w:rsidRPr="001B4A02" w:rsidRDefault="00000000" w:rsidP="00ED48A3">
      <w:pPr>
        <w:numPr>
          <w:ilvl w:val="0"/>
          <w:numId w:val="10"/>
        </w:numPr>
        <w:tabs>
          <w:tab w:val="clear" w:pos="720"/>
          <w:tab w:val="num" w:pos="567"/>
        </w:tabs>
        <w:ind w:left="567" w:hanging="567"/>
        <w:rPr>
          <w:del w:id="10274" w:author="AbbVie1" w:date="2025-05-13T10:11:00Z"/>
        </w:rPr>
      </w:pPr>
      <w:del w:id="10275" w:author="AbbVie1" w:date="2025-05-13T10:11:00Z">
        <w:r w:rsidRPr="001B4A02">
          <w:delText xml:space="preserve">Jakmile se ujistíte, že je adaptér pevně </w:delText>
        </w:r>
        <w:r w:rsidR="00131F6C" w:rsidRPr="001B4A02">
          <w:delText>přip</w:delText>
        </w:r>
        <w:r w:rsidRPr="001B4A02">
          <w:delText xml:space="preserve">ojen </w:delText>
        </w:r>
        <w:r w:rsidR="00131F6C" w:rsidRPr="001B4A02">
          <w:delText>k</w:delText>
        </w:r>
        <w:r w:rsidR="007930C0" w:rsidRPr="001B4A02">
          <w:delText> </w:delText>
        </w:r>
        <w:r w:rsidR="00131F6C" w:rsidRPr="001B4A02">
          <w:delText>injekční</w:delText>
        </w:r>
        <w:r w:rsidRPr="001B4A02">
          <w:delText xml:space="preserve"> lahvič</w:delText>
        </w:r>
        <w:r w:rsidR="00131F6C" w:rsidRPr="001B4A02">
          <w:delText>ce</w:delText>
        </w:r>
        <w:r w:rsidRPr="001B4A02">
          <w:delText xml:space="preserve">, </w:delText>
        </w:r>
        <w:r w:rsidR="00131F6C" w:rsidRPr="001B4A02">
          <w:delText>sejměte</w:delText>
        </w:r>
        <w:r w:rsidRPr="001B4A02">
          <w:delText xml:space="preserve"> z něj plastikový obal.</w:delText>
        </w:r>
      </w:del>
    </w:p>
    <w:p w14:paraId="416B4F69" w14:textId="77777777" w:rsidR="00680946" w:rsidRPr="001B4A02" w:rsidRDefault="00000000" w:rsidP="00ED48A3">
      <w:pPr>
        <w:numPr>
          <w:ilvl w:val="0"/>
          <w:numId w:val="10"/>
        </w:numPr>
        <w:tabs>
          <w:tab w:val="clear" w:pos="720"/>
          <w:tab w:val="num" w:pos="567"/>
        </w:tabs>
        <w:ind w:left="567" w:hanging="567"/>
        <w:rPr>
          <w:del w:id="10276" w:author="AbbVie1" w:date="2025-05-13T10:11:00Z"/>
        </w:rPr>
      </w:pPr>
      <w:del w:id="10277" w:author="AbbVie1" w:date="2025-05-13T10:11:00Z">
        <w:r w:rsidRPr="001B4A02">
          <w:delText>Injekční l</w:delText>
        </w:r>
        <w:r w:rsidR="00A044DD" w:rsidRPr="001B4A02">
          <w:delText>ahvičku s adaptérem opatrně odložte zpět na čistou pracovní plochu. Dejte pozor</w:delText>
        </w:r>
        <w:r w:rsidRPr="001B4A02">
          <w:delText>, aby se lahvička nepřevrhla</w:delText>
        </w:r>
        <w:r w:rsidR="00A044DD" w:rsidRPr="001B4A02">
          <w:delText xml:space="preserve">. </w:delText>
        </w:r>
        <w:r w:rsidR="00A044DD" w:rsidRPr="001B4A02">
          <w:rPr>
            <w:b/>
          </w:rPr>
          <w:delText>NEDOTÝKEJTE</w:delText>
        </w:r>
        <w:r w:rsidR="00A044DD" w:rsidRPr="001B4A02">
          <w:delText xml:space="preserve"> se adaptéru na lahvičce.</w:delText>
        </w:r>
      </w:del>
    </w:p>
    <w:p w14:paraId="4CD24829" w14:textId="77777777" w:rsidR="00A044DD" w:rsidRPr="001B4A02" w:rsidRDefault="00A044DD" w:rsidP="00ED48A3">
      <w:pPr>
        <w:rPr>
          <w:del w:id="10278" w:author="AbbVie1" w:date="2025-05-13T10:11:00Z"/>
        </w:rPr>
      </w:pPr>
    </w:p>
    <w:p w14:paraId="3A271EA4" w14:textId="77777777" w:rsidR="00A044DD" w:rsidRPr="001B4A02" w:rsidRDefault="00000000" w:rsidP="00ED48A3">
      <w:pPr>
        <w:jc w:val="center"/>
        <w:rPr>
          <w:del w:id="10279" w:author="AbbVie1" w:date="2025-05-13T10:11:00Z"/>
        </w:rPr>
      </w:pPr>
      <w:del w:id="10280" w:author="AbbVie1" w:date="2025-05-13T10:11:00Z">
        <w:r w:rsidRPr="001B4A02">
          <w:rPr>
            <w:noProof/>
            <w:lang w:val="en-US"/>
          </w:rPr>
          <w:drawing>
            <wp:inline distT="0" distB="0" distL="0" distR="0" wp14:anchorId="6A2B0101" wp14:editId="0ED281EC">
              <wp:extent cx="3994150" cy="1889125"/>
              <wp:effectExtent l="0" t="0" r="6350" b="0"/>
              <wp:docPr id="518" name="obrázek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Picture 518"/>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3994150" cy="1889125"/>
                      </a:xfrm>
                      <a:prstGeom prst="rect">
                        <a:avLst/>
                      </a:prstGeom>
                      <a:noFill/>
                      <a:ln>
                        <a:noFill/>
                      </a:ln>
                    </pic:spPr>
                  </pic:pic>
                </a:graphicData>
              </a:graphic>
            </wp:inline>
          </w:drawing>
        </w:r>
      </w:del>
    </w:p>
    <w:p w14:paraId="09CF59F1" w14:textId="77777777" w:rsidR="00DA75B1" w:rsidRPr="001B4A02" w:rsidRDefault="00DA75B1" w:rsidP="00ED48A3">
      <w:pPr>
        <w:rPr>
          <w:del w:id="10281" w:author="AbbVie1" w:date="2025-05-13T10:11:00Z"/>
        </w:rPr>
      </w:pPr>
    </w:p>
    <w:p w14:paraId="72BA164A" w14:textId="77777777" w:rsidR="00A044DD" w:rsidRPr="001B4A02" w:rsidRDefault="00000000" w:rsidP="00ED48A3">
      <w:pPr>
        <w:numPr>
          <w:ilvl w:val="0"/>
          <w:numId w:val="10"/>
        </w:numPr>
        <w:tabs>
          <w:tab w:val="clear" w:pos="720"/>
          <w:tab w:val="num" w:pos="567"/>
        </w:tabs>
        <w:ind w:left="567" w:hanging="567"/>
        <w:rPr>
          <w:del w:id="10282" w:author="AbbVie1" w:date="2025-05-13T10:11:00Z"/>
        </w:rPr>
      </w:pPr>
      <w:del w:id="10283" w:author="AbbVie1" w:date="2025-05-13T10:11:00Z">
        <w:r w:rsidRPr="001B4A02">
          <w:delText>Připravte si injekční stříkačku tak, že částečně odloupnete její obal na konci, který je blíže bílému pístu.</w:delText>
        </w:r>
      </w:del>
    </w:p>
    <w:p w14:paraId="67F6075F" w14:textId="77777777" w:rsidR="007E12C8" w:rsidRPr="001B4A02" w:rsidRDefault="00000000" w:rsidP="00ED48A3">
      <w:pPr>
        <w:numPr>
          <w:ilvl w:val="0"/>
          <w:numId w:val="10"/>
        </w:numPr>
        <w:tabs>
          <w:tab w:val="clear" w:pos="720"/>
          <w:tab w:val="num" w:pos="567"/>
        </w:tabs>
        <w:ind w:left="567" w:hanging="567"/>
        <w:rPr>
          <w:del w:id="10284" w:author="AbbVie1" w:date="2025-05-13T10:11:00Z"/>
        </w:rPr>
      </w:pPr>
      <w:del w:id="10285" w:author="AbbVie1" w:date="2025-05-13T10:11:00Z">
        <w:r w:rsidRPr="001B4A02">
          <w:delText>Odtrhněte obal jen natolik, abyste o</w:delText>
        </w:r>
        <w:r w:rsidR="002528FB" w:rsidRPr="001B4A02">
          <w:delText>d</w:delText>
        </w:r>
        <w:r w:rsidRPr="001B4A02">
          <w:delText>halil</w:delText>
        </w:r>
        <w:r w:rsidR="00131F6C" w:rsidRPr="001B4A02">
          <w:delText>(a)</w:delText>
        </w:r>
        <w:r w:rsidRPr="001B4A02">
          <w:delText xml:space="preserve"> bílý píst, ale nevy</w:delText>
        </w:r>
        <w:r w:rsidR="00131F6C" w:rsidRPr="001B4A02">
          <w:delText>jímejte</w:delText>
        </w:r>
        <w:r w:rsidRPr="001B4A02">
          <w:delText xml:space="preserve"> stříkačku z obalu.</w:delText>
        </w:r>
      </w:del>
    </w:p>
    <w:p w14:paraId="6485B654" w14:textId="77777777" w:rsidR="00A044DD" w:rsidRPr="001B4A02" w:rsidRDefault="00000000" w:rsidP="00ED48A3">
      <w:pPr>
        <w:numPr>
          <w:ilvl w:val="0"/>
          <w:numId w:val="10"/>
        </w:numPr>
        <w:tabs>
          <w:tab w:val="clear" w:pos="720"/>
          <w:tab w:val="num" w:pos="567"/>
        </w:tabs>
        <w:ind w:left="567" w:hanging="567"/>
        <w:rPr>
          <w:del w:id="10286" w:author="AbbVie1" w:date="2025-05-13T10:11:00Z"/>
        </w:rPr>
      </w:pPr>
      <w:del w:id="10287" w:author="AbbVie1" w:date="2025-05-13T10:11:00Z">
        <w:r w:rsidRPr="001B4A02">
          <w:delText xml:space="preserve">Držte stříkačku </w:delText>
        </w:r>
        <w:r w:rsidR="00E50C54" w:rsidRPr="001B4A02">
          <w:delText xml:space="preserve">stále </w:delText>
        </w:r>
        <w:r w:rsidRPr="001B4A02">
          <w:delText>v obalu</w:delText>
        </w:r>
        <w:r w:rsidR="002378E0">
          <w:delText xml:space="preserve"> a </w:delText>
        </w:r>
        <w:r w:rsidRPr="001B4A02">
          <w:rPr>
            <w:b/>
          </w:rPr>
          <w:delText>POMALU</w:delText>
        </w:r>
        <w:r w:rsidRPr="001B4A02">
          <w:delText xml:space="preserve"> vytáhněte bílý píst</w:delText>
        </w:r>
        <w:r w:rsidR="00652A18" w:rsidRPr="001B4A02">
          <w:delText xml:space="preserve"> o</w:delText>
        </w:r>
        <w:r w:rsidR="00F23025" w:rsidRPr="001B4A02">
          <w:delText> </w:delText>
        </w:r>
        <w:r w:rsidR="00652A18" w:rsidRPr="001B4A02">
          <w:delText>0,1</w:delText>
        </w:r>
        <w:r w:rsidR="00404AFD">
          <w:delText> </w:delText>
        </w:r>
        <w:r w:rsidR="00652A18" w:rsidRPr="001B4A02">
          <w:delText>m</w:delText>
        </w:r>
        <w:r w:rsidRPr="001B4A02">
          <w:delText>l</w:delText>
        </w:r>
        <w:r w:rsidR="00131F6C" w:rsidRPr="001B4A02">
          <w:delText xml:space="preserve"> nad předepsanou dávku (n</w:delText>
        </w:r>
        <w:r w:rsidR="00652A18" w:rsidRPr="001B4A02">
          <w:delText>apříkl</w:delText>
        </w:r>
        <w:r w:rsidR="00131F6C" w:rsidRPr="001B4A02">
          <w:delText>ad, pokud je předepsaná dávka 0,</w:delText>
        </w:r>
        <w:r w:rsidR="00652A18" w:rsidRPr="001B4A02">
          <w:delText>5</w:delText>
        </w:r>
        <w:r w:rsidR="00404AFD">
          <w:delText> </w:delText>
        </w:r>
        <w:r w:rsidR="00652A18" w:rsidRPr="001B4A02">
          <w:delText>m</w:delText>
        </w:r>
        <w:r w:rsidRPr="001B4A02">
          <w:delText>l</w:delText>
        </w:r>
        <w:r w:rsidR="00652A18" w:rsidRPr="001B4A02">
          <w:delText>, vytáhněte píst po rysku</w:delText>
        </w:r>
        <w:r w:rsidR="00404AFD">
          <w:delText xml:space="preserve"> </w:delText>
        </w:r>
        <w:r w:rsidR="00652A18" w:rsidRPr="001B4A02">
          <w:delText>0,6</w:delText>
        </w:r>
        <w:r w:rsidR="00404AFD">
          <w:delText> </w:delText>
        </w:r>
        <w:r w:rsidR="00652A18" w:rsidRPr="001B4A02">
          <w:delText xml:space="preserve">ml). </w:delText>
        </w:r>
        <w:r w:rsidR="00652A18" w:rsidRPr="001B4A02">
          <w:rPr>
            <w:b/>
          </w:rPr>
          <w:delText>NIKDY</w:delText>
        </w:r>
        <w:r w:rsidR="00652A18" w:rsidRPr="001B4A02">
          <w:delText xml:space="preserve"> nevytahujte píst nad rysku, označující 0,9</w:delText>
        </w:r>
        <w:r w:rsidR="00404AFD">
          <w:delText> </w:delText>
        </w:r>
        <w:r w:rsidR="00652A18" w:rsidRPr="001B4A02">
          <w:delText xml:space="preserve">ml, bez ohledu na předepsanou dávku. </w:delText>
        </w:r>
      </w:del>
    </w:p>
    <w:p w14:paraId="78B0A727" w14:textId="77777777" w:rsidR="00A044DD" w:rsidRPr="001B4A02" w:rsidRDefault="00000000" w:rsidP="00ED48A3">
      <w:pPr>
        <w:numPr>
          <w:ilvl w:val="0"/>
          <w:numId w:val="10"/>
        </w:numPr>
        <w:tabs>
          <w:tab w:val="clear" w:pos="720"/>
          <w:tab w:val="num" w:pos="567"/>
        </w:tabs>
        <w:ind w:left="567" w:hanging="567"/>
        <w:rPr>
          <w:del w:id="10288" w:author="AbbVie1" w:date="2025-05-13T10:11:00Z"/>
        </w:rPr>
      </w:pPr>
      <w:del w:id="10289" w:author="AbbVie1" w:date="2025-05-13T10:11:00Z">
        <w:r w:rsidRPr="001B4A02">
          <w:delText>Předepsaný objem nastavíte v pozdějším kroku.</w:delText>
        </w:r>
      </w:del>
    </w:p>
    <w:p w14:paraId="2C097FED" w14:textId="77777777" w:rsidR="00A044DD" w:rsidRPr="001B4A02" w:rsidRDefault="00000000" w:rsidP="00ED48A3">
      <w:pPr>
        <w:numPr>
          <w:ilvl w:val="0"/>
          <w:numId w:val="10"/>
        </w:numPr>
        <w:tabs>
          <w:tab w:val="clear" w:pos="720"/>
          <w:tab w:val="num" w:pos="567"/>
        </w:tabs>
        <w:ind w:left="567" w:hanging="567"/>
        <w:rPr>
          <w:del w:id="10290" w:author="AbbVie1" w:date="2025-05-13T10:11:00Z"/>
        </w:rPr>
      </w:pPr>
      <w:del w:id="10291" w:author="AbbVie1" w:date="2025-05-13T10:11:00Z">
        <w:r w:rsidRPr="001B4A02">
          <w:rPr>
            <w:b/>
          </w:rPr>
          <w:delText xml:space="preserve">NEVYTAHUJTE </w:delText>
        </w:r>
        <w:r w:rsidRPr="001B4A02">
          <w:delText>píst ven ze stříkačky.</w:delText>
        </w:r>
      </w:del>
    </w:p>
    <w:p w14:paraId="037D6B36" w14:textId="77777777" w:rsidR="00652A18" w:rsidRPr="001B4A02" w:rsidRDefault="00652A18" w:rsidP="00ED48A3">
      <w:pPr>
        <w:rPr>
          <w:del w:id="10292" w:author="AbbVie1" w:date="2025-05-13T10:11:00Z"/>
        </w:rPr>
      </w:pPr>
    </w:p>
    <w:p w14:paraId="7D86AE5C" w14:textId="77777777" w:rsidR="00652A18" w:rsidRPr="001B4A02" w:rsidRDefault="00000000" w:rsidP="00404AFD">
      <w:pPr>
        <w:keepNext/>
        <w:rPr>
          <w:del w:id="10293" w:author="AbbVie1" w:date="2025-05-13T10:11:00Z"/>
          <w:b/>
        </w:rPr>
      </w:pPr>
      <w:del w:id="10294" w:author="AbbVie1" w:date="2025-05-13T10:11:00Z">
        <w:r w:rsidRPr="001B4A02">
          <w:rPr>
            <w:b/>
          </w:rPr>
          <w:delText>POZNÁMKA:</w:delText>
        </w:r>
      </w:del>
    </w:p>
    <w:p w14:paraId="32DC0505" w14:textId="77777777" w:rsidR="00652A18" w:rsidRPr="001B4A02" w:rsidRDefault="00000000" w:rsidP="00ED48A3">
      <w:pPr>
        <w:ind w:left="0" w:firstLine="0"/>
        <w:rPr>
          <w:del w:id="10295" w:author="AbbVie1" w:date="2025-05-13T10:11:00Z"/>
        </w:rPr>
      </w:pPr>
      <w:del w:id="10296" w:author="AbbVie1" w:date="2025-05-13T10:11:00Z">
        <w:r w:rsidRPr="001B4A02">
          <w:delText>Pokud jste vytáhli celý píst ze stříkačky, stříkačku znehodnoťte</w:delText>
        </w:r>
        <w:r w:rsidR="002378E0">
          <w:delText xml:space="preserve"> a </w:delText>
        </w:r>
        <w:r w:rsidRPr="001B4A02">
          <w:delText xml:space="preserve">kontaktujte svého dodavatele přípravku Humira, aby Vám zajistil náhradu. </w:delText>
        </w:r>
        <w:r w:rsidRPr="001B4A02">
          <w:rPr>
            <w:b/>
          </w:rPr>
          <w:delText>NEZKOUŠEJTE</w:delText>
        </w:r>
        <w:r w:rsidRPr="001B4A02">
          <w:delText xml:space="preserve"> vrátit píst zpět do stříkačky.</w:delText>
        </w:r>
      </w:del>
    </w:p>
    <w:p w14:paraId="3DB96590" w14:textId="77777777" w:rsidR="00652A18" w:rsidRPr="001B4A02" w:rsidRDefault="00652A18" w:rsidP="00ED48A3">
      <w:pPr>
        <w:pStyle w:val="EMEANormal"/>
        <w:rPr>
          <w:del w:id="10297" w:author="AbbVie1" w:date="2025-05-13T10:11:00Z"/>
          <w:lang w:val="cs-CZ"/>
        </w:rPr>
      </w:pPr>
    </w:p>
    <w:tbl>
      <w:tblPr>
        <w:tblW w:w="0" w:type="auto"/>
        <w:tblLook w:val="01E0" w:firstRow="1" w:lastRow="1" w:firstColumn="1" w:lastColumn="1" w:noHBand="0" w:noVBand="0"/>
      </w:tblPr>
      <w:tblGrid>
        <w:gridCol w:w="4585"/>
        <w:gridCol w:w="4486"/>
      </w:tblGrid>
      <w:tr w:rsidR="00534A2D" w14:paraId="73C305F2" w14:textId="77777777" w:rsidTr="008A6404">
        <w:trPr>
          <w:del w:id="10298" w:author="AbbVie1" w:date="2025-05-13T10:11:00Z"/>
        </w:trPr>
        <w:tc>
          <w:tcPr>
            <w:tcW w:w="4643" w:type="dxa"/>
            <w:shd w:val="clear" w:color="auto" w:fill="auto"/>
          </w:tcPr>
          <w:p w14:paraId="0C7A0980" w14:textId="77777777" w:rsidR="00DA75B1" w:rsidRPr="001B4A02" w:rsidRDefault="00000000" w:rsidP="00ED48A3">
            <w:pPr>
              <w:pStyle w:val="EMEANormal"/>
              <w:jc w:val="right"/>
              <w:rPr>
                <w:del w:id="10299" w:author="AbbVie1" w:date="2025-05-13T10:11:00Z"/>
                <w:lang w:val="cs-CZ"/>
              </w:rPr>
            </w:pPr>
            <w:del w:id="10300" w:author="AbbVie1" w:date="2025-05-13T10:11:00Z">
              <w:r w:rsidRPr="001B4A02">
                <w:rPr>
                  <w:noProof/>
                </w:rPr>
                <w:drawing>
                  <wp:inline distT="0" distB="0" distL="0" distR="0" wp14:anchorId="3CCEE631" wp14:editId="6861CD20">
                    <wp:extent cx="1898015" cy="1898015"/>
                    <wp:effectExtent l="0" t="0" r="6985" b="6985"/>
                    <wp:docPr id="519" name="obrázek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Picture 519"/>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898015" cy="1898015"/>
                            </a:xfrm>
                            <a:prstGeom prst="rect">
                              <a:avLst/>
                            </a:prstGeom>
                            <a:noFill/>
                            <a:ln>
                              <a:noFill/>
                            </a:ln>
                          </pic:spPr>
                        </pic:pic>
                      </a:graphicData>
                    </a:graphic>
                  </wp:inline>
                </w:drawing>
              </w:r>
            </w:del>
          </w:p>
        </w:tc>
        <w:tc>
          <w:tcPr>
            <w:tcW w:w="4644" w:type="dxa"/>
            <w:shd w:val="clear" w:color="auto" w:fill="auto"/>
          </w:tcPr>
          <w:p w14:paraId="40CB3237" w14:textId="77777777" w:rsidR="00DA75B1" w:rsidRPr="001B4A02" w:rsidRDefault="00DA75B1" w:rsidP="00ED48A3">
            <w:pPr>
              <w:pStyle w:val="EMEANormal"/>
              <w:rPr>
                <w:del w:id="10301" w:author="AbbVie1" w:date="2025-05-13T10:11:00Z"/>
                <w:lang w:val="cs-CZ"/>
              </w:rPr>
            </w:pPr>
          </w:p>
          <w:p w14:paraId="4E524318" w14:textId="77777777" w:rsidR="00DA75B1" w:rsidRPr="001B4A02" w:rsidRDefault="00DA75B1" w:rsidP="00ED48A3">
            <w:pPr>
              <w:pStyle w:val="EMEANormal"/>
              <w:rPr>
                <w:del w:id="10302" w:author="AbbVie1" w:date="2025-05-13T10:11:00Z"/>
                <w:lang w:val="cs-CZ"/>
              </w:rPr>
            </w:pPr>
          </w:p>
          <w:p w14:paraId="44E4C4C3" w14:textId="77777777" w:rsidR="00DA75B1" w:rsidRPr="001B4A02" w:rsidRDefault="00DA75B1" w:rsidP="00ED48A3">
            <w:pPr>
              <w:pStyle w:val="EMEANormal"/>
              <w:rPr>
                <w:del w:id="10303" w:author="AbbVie1" w:date="2025-05-13T10:11:00Z"/>
                <w:lang w:val="cs-CZ"/>
              </w:rPr>
            </w:pPr>
          </w:p>
          <w:p w14:paraId="175D4CE7" w14:textId="77777777" w:rsidR="00DA75B1" w:rsidRPr="001B4A02" w:rsidRDefault="00DA75B1" w:rsidP="00ED48A3">
            <w:pPr>
              <w:pStyle w:val="EMEANormal"/>
              <w:rPr>
                <w:del w:id="10304" w:author="AbbVie1" w:date="2025-05-13T10:11:00Z"/>
                <w:lang w:val="cs-CZ"/>
              </w:rPr>
            </w:pPr>
          </w:p>
          <w:p w14:paraId="715BE825" w14:textId="77777777" w:rsidR="00DA75B1" w:rsidRPr="001B4A02" w:rsidRDefault="00DA75B1" w:rsidP="00ED48A3">
            <w:pPr>
              <w:pStyle w:val="EMEANormal"/>
              <w:rPr>
                <w:del w:id="10305" w:author="AbbVie1" w:date="2025-05-13T10:11:00Z"/>
                <w:lang w:val="cs-CZ"/>
              </w:rPr>
            </w:pPr>
          </w:p>
          <w:p w14:paraId="6DE5D66A" w14:textId="77777777" w:rsidR="00DA75B1" w:rsidRPr="001B4A02" w:rsidRDefault="00DA75B1" w:rsidP="00ED48A3">
            <w:pPr>
              <w:pStyle w:val="EMEANormal"/>
              <w:rPr>
                <w:del w:id="10306" w:author="AbbVie1" w:date="2025-05-13T10:11:00Z"/>
                <w:lang w:val="cs-CZ"/>
              </w:rPr>
            </w:pPr>
          </w:p>
          <w:p w14:paraId="255F8DD5" w14:textId="77777777" w:rsidR="00DA75B1" w:rsidRPr="001B4A02" w:rsidRDefault="00DA75B1" w:rsidP="00ED48A3">
            <w:pPr>
              <w:pStyle w:val="EMEANormal"/>
              <w:rPr>
                <w:del w:id="10307" w:author="AbbVie1" w:date="2025-05-13T10:11:00Z"/>
                <w:lang w:val="cs-CZ"/>
              </w:rPr>
            </w:pPr>
          </w:p>
          <w:p w14:paraId="5DD0D874" w14:textId="77777777" w:rsidR="00DA75B1" w:rsidRPr="001B4A02" w:rsidRDefault="00DA75B1" w:rsidP="00ED48A3">
            <w:pPr>
              <w:pStyle w:val="EMEANormal"/>
              <w:rPr>
                <w:del w:id="10308" w:author="AbbVie1" w:date="2025-05-13T10:11:00Z"/>
                <w:lang w:val="cs-CZ"/>
              </w:rPr>
            </w:pPr>
          </w:p>
          <w:p w14:paraId="300CBD32" w14:textId="77777777" w:rsidR="00DA75B1" w:rsidRPr="001B4A02" w:rsidRDefault="00000000" w:rsidP="00ED48A3">
            <w:pPr>
              <w:pStyle w:val="EMEANormal"/>
              <w:rPr>
                <w:del w:id="10309" w:author="AbbVie1" w:date="2025-05-13T10:11:00Z"/>
                <w:lang w:val="cs-CZ"/>
              </w:rPr>
            </w:pPr>
            <w:del w:id="10310" w:author="AbbVie1" w:date="2025-05-13T10:11:00Z">
              <w:r w:rsidRPr="001B4A02">
                <w:rPr>
                  <w:lang w:val="cs-CZ"/>
                </w:rPr>
                <w:delText>Dávka + 0</w:delText>
              </w:r>
              <w:r w:rsidR="00DB7A60" w:rsidRPr="001B4A02">
                <w:rPr>
                  <w:lang w:val="cs-CZ"/>
                </w:rPr>
                <w:delText>,</w:delText>
              </w:r>
              <w:r w:rsidRPr="001B4A02">
                <w:rPr>
                  <w:lang w:val="cs-CZ"/>
                </w:rPr>
                <w:delText>1</w:delText>
              </w:r>
              <w:r w:rsidR="00443CD1" w:rsidRPr="005B1CF3">
                <w:rPr>
                  <w:lang w:val="cs-CZ"/>
                  <w:rPrChange w:id="10311" w:author="Abbvie02" w:date="2025-05-16T11:16:00Z">
                    <w:rPr/>
                  </w:rPrChange>
                </w:rPr>
                <w:delText> </w:delText>
              </w:r>
              <w:r w:rsidRPr="001B4A02">
                <w:rPr>
                  <w:lang w:val="cs-CZ"/>
                </w:rPr>
                <w:delText>ml</w:delText>
              </w:r>
            </w:del>
          </w:p>
        </w:tc>
      </w:tr>
    </w:tbl>
    <w:p w14:paraId="1BC80C81" w14:textId="77777777" w:rsidR="00DA75B1" w:rsidRPr="001B4A02" w:rsidRDefault="00DA75B1" w:rsidP="00ED48A3">
      <w:pPr>
        <w:rPr>
          <w:del w:id="10312" w:author="AbbVie1" w:date="2025-05-13T10:11:00Z"/>
        </w:rPr>
      </w:pPr>
    </w:p>
    <w:p w14:paraId="64946071" w14:textId="77777777" w:rsidR="00B12BFC" w:rsidRPr="001B4A02" w:rsidRDefault="00000000" w:rsidP="00ED48A3">
      <w:pPr>
        <w:numPr>
          <w:ilvl w:val="0"/>
          <w:numId w:val="10"/>
        </w:numPr>
        <w:tabs>
          <w:tab w:val="clear" w:pos="720"/>
          <w:tab w:val="num" w:pos="567"/>
        </w:tabs>
        <w:ind w:left="567" w:hanging="567"/>
        <w:rPr>
          <w:del w:id="10313" w:author="AbbVie1" w:date="2025-05-13T10:11:00Z"/>
        </w:rPr>
      </w:pPr>
      <w:del w:id="10314" w:author="AbbVie1" w:date="2025-05-13T10:11:00Z">
        <w:r w:rsidRPr="001B4A02">
          <w:rPr>
            <w:b/>
          </w:rPr>
          <w:delText>NEPOUŽÍVEJTE</w:delText>
        </w:r>
        <w:r w:rsidRPr="001B4A02">
          <w:delText xml:space="preserve"> píst k vyjmutí injekční stříkačky z obalu. Držte injekční stříkačku za oblast s vyznačenými ryskami</w:delText>
        </w:r>
        <w:r w:rsidR="002378E0">
          <w:delText xml:space="preserve"> a </w:delText>
        </w:r>
        <w:r w:rsidRPr="001B4A02">
          <w:delText xml:space="preserve">vytáhněte ji z obalu. Injekční stříkačku už nyní nikam </w:delText>
        </w:r>
        <w:r w:rsidRPr="001B4A02">
          <w:rPr>
            <w:b/>
          </w:rPr>
          <w:delText>NEPOKLÁDEJTE</w:delText>
        </w:r>
        <w:r w:rsidRPr="001B4A02">
          <w:delText>.</w:delText>
        </w:r>
      </w:del>
    </w:p>
    <w:p w14:paraId="2B44B601" w14:textId="77777777" w:rsidR="00A044DD" w:rsidRPr="001B4A02" w:rsidRDefault="00000000" w:rsidP="00ED48A3">
      <w:pPr>
        <w:numPr>
          <w:ilvl w:val="0"/>
          <w:numId w:val="10"/>
        </w:numPr>
        <w:tabs>
          <w:tab w:val="clear" w:pos="720"/>
          <w:tab w:val="num" w:pos="567"/>
        </w:tabs>
        <w:ind w:left="567" w:hanging="567"/>
        <w:rPr>
          <w:del w:id="10315" w:author="AbbVie1" w:date="2025-05-13T10:11:00Z"/>
        </w:rPr>
      </w:pPr>
      <w:del w:id="10316" w:author="AbbVie1" w:date="2025-05-13T10:11:00Z">
        <w:r w:rsidRPr="001B4A02">
          <w:delText>Jednou rukou pevně chyťte lahvičku za adaptér</w:delText>
        </w:r>
        <w:r w:rsidR="002378E0">
          <w:delText xml:space="preserve"> a </w:delText>
        </w:r>
        <w:r w:rsidRPr="001B4A02">
          <w:delText xml:space="preserve">druhou rukou </w:delText>
        </w:r>
        <w:r w:rsidR="00B12BFC" w:rsidRPr="001B4A02">
          <w:delText>zasuň</w:delText>
        </w:r>
        <w:r w:rsidRPr="001B4A02">
          <w:delText xml:space="preserve">te </w:delText>
        </w:r>
        <w:r w:rsidR="00B12BFC" w:rsidRPr="001B4A02">
          <w:delText>špičku</w:delText>
        </w:r>
        <w:r w:rsidRPr="001B4A02">
          <w:delText xml:space="preserve"> stříkačky do adaptéru</w:delText>
        </w:r>
        <w:r w:rsidR="002378E0">
          <w:delText xml:space="preserve"> a </w:delText>
        </w:r>
        <w:r w:rsidRPr="001B4A02">
          <w:delText>ot</w:delText>
        </w:r>
        <w:r w:rsidR="00B12BFC" w:rsidRPr="001B4A02">
          <w:delText>á</w:delText>
        </w:r>
        <w:r w:rsidR="005D2535">
          <w:delText>č</w:delText>
        </w:r>
        <w:r w:rsidR="00B12BFC" w:rsidRPr="001B4A02">
          <w:delText>ejte</w:delText>
        </w:r>
        <w:r w:rsidRPr="001B4A02">
          <w:delText xml:space="preserve"> stříkačkou po směru hodinových ručiček</w:delText>
        </w:r>
        <w:r w:rsidR="00B12BFC" w:rsidRPr="001B4A02">
          <w:delText>,</w:delText>
        </w:r>
        <w:r w:rsidRPr="001B4A02">
          <w:delText xml:space="preserve"> dokud </w:delText>
        </w:r>
        <w:r w:rsidR="00B12BFC" w:rsidRPr="001B4A02">
          <w:delText>nebudou obě</w:delText>
        </w:r>
        <w:r w:rsidRPr="001B4A02">
          <w:delText xml:space="preserve"> části pevně </w:delText>
        </w:r>
        <w:r w:rsidR="00B12BFC" w:rsidRPr="001B4A02">
          <w:delText>spojené</w:delText>
        </w:r>
        <w:r w:rsidRPr="001B4A02">
          <w:delText xml:space="preserve">. </w:delText>
        </w:r>
        <w:r w:rsidRPr="001B4A02">
          <w:rPr>
            <w:b/>
          </w:rPr>
          <w:delText>NEUTAHUJTE</w:delText>
        </w:r>
        <w:r w:rsidRPr="001B4A02">
          <w:delText xml:space="preserve"> příliš silně.</w:delText>
        </w:r>
      </w:del>
    </w:p>
    <w:p w14:paraId="06070DDF" w14:textId="77777777" w:rsidR="003C4CCF" w:rsidRPr="001B4A02" w:rsidRDefault="003C4CCF" w:rsidP="00ED48A3">
      <w:pPr>
        <w:pStyle w:val="EMEANormal"/>
        <w:ind w:left="672" w:hanging="696"/>
        <w:rPr>
          <w:del w:id="10317" w:author="AbbVie1" w:date="2025-05-13T10:11:00Z"/>
          <w:lang w:val="cs-CZ"/>
        </w:rPr>
      </w:pPr>
    </w:p>
    <w:p w14:paraId="57ABDEC1" w14:textId="77777777" w:rsidR="003C4CCF" w:rsidRPr="001B4A02" w:rsidRDefault="00000000" w:rsidP="00ED48A3">
      <w:pPr>
        <w:ind w:left="0" w:firstLine="0"/>
        <w:jc w:val="center"/>
        <w:rPr>
          <w:del w:id="10318" w:author="AbbVie1" w:date="2025-05-13T10:11:00Z"/>
        </w:rPr>
      </w:pPr>
      <w:del w:id="10319" w:author="AbbVie1" w:date="2025-05-13T10:11:00Z">
        <w:r w:rsidRPr="001B4A02">
          <w:rPr>
            <w:noProof/>
            <w:lang w:val="en-US"/>
          </w:rPr>
          <w:drawing>
            <wp:inline distT="0" distB="0" distL="0" distR="0" wp14:anchorId="0B0730FA" wp14:editId="2DEE8CF6">
              <wp:extent cx="1854835" cy="1819910"/>
              <wp:effectExtent l="0" t="0" r="0" b="8890"/>
              <wp:docPr id="520" name="obrázek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Picture 520"/>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854835" cy="1819910"/>
                      </a:xfrm>
                      <a:prstGeom prst="rect">
                        <a:avLst/>
                      </a:prstGeom>
                      <a:noFill/>
                      <a:ln>
                        <a:noFill/>
                      </a:ln>
                    </pic:spPr>
                  </pic:pic>
                </a:graphicData>
              </a:graphic>
            </wp:inline>
          </w:drawing>
        </w:r>
      </w:del>
    </w:p>
    <w:p w14:paraId="778D7B89" w14:textId="77777777" w:rsidR="00DA75B1" w:rsidRPr="001B4A02" w:rsidRDefault="00DA75B1" w:rsidP="00ED48A3">
      <w:pPr>
        <w:ind w:left="0" w:firstLine="0"/>
        <w:rPr>
          <w:del w:id="10320" w:author="AbbVie1" w:date="2025-05-13T10:11:00Z"/>
        </w:rPr>
      </w:pPr>
    </w:p>
    <w:p w14:paraId="09C9266B" w14:textId="77777777" w:rsidR="00A044DD" w:rsidRPr="001B4A02" w:rsidRDefault="00000000" w:rsidP="00ED48A3">
      <w:pPr>
        <w:numPr>
          <w:ilvl w:val="0"/>
          <w:numId w:val="10"/>
        </w:numPr>
        <w:tabs>
          <w:tab w:val="clear" w:pos="720"/>
          <w:tab w:val="num" w:pos="567"/>
        </w:tabs>
        <w:ind w:left="567" w:hanging="567"/>
        <w:rPr>
          <w:del w:id="10321" w:author="AbbVie1" w:date="2025-05-13T10:11:00Z"/>
        </w:rPr>
      </w:pPr>
      <w:del w:id="10322" w:author="AbbVie1" w:date="2025-05-13T10:11:00Z">
        <w:r w:rsidRPr="001B4A02">
          <w:delText xml:space="preserve">Zatímco držíte lahvičku, zatlačte píst </w:delText>
        </w:r>
        <w:r w:rsidR="00B12BFC" w:rsidRPr="001B4A02">
          <w:delText>zpět do stříkačky až úplně na kon</w:delText>
        </w:r>
        <w:r w:rsidR="002528FB" w:rsidRPr="001B4A02">
          <w:delText>e</w:delText>
        </w:r>
        <w:r w:rsidR="00B12BFC" w:rsidRPr="001B4A02">
          <w:delText>c</w:delText>
        </w:r>
        <w:r w:rsidRPr="001B4A02">
          <w:delText>. Tento krok je důležitý k odebrání správné dávky. Stále ještě držte bílý píst</w:delText>
        </w:r>
        <w:r w:rsidR="002378E0">
          <w:delText xml:space="preserve"> a </w:delText>
        </w:r>
        <w:r w:rsidRPr="001B4A02">
          <w:delText xml:space="preserve">obraťte lahvičku se stříkačkou </w:delText>
        </w:r>
        <w:r w:rsidR="00E50C54" w:rsidRPr="001B4A02">
          <w:delText xml:space="preserve">dnem </w:delText>
        </w:r>
        <w:r w:rsidRPr="001B4A02">
          <w:delText>vzhůru.</w:delText>
        </w:r>
      </w:del>
    </w:p>
    <w:p w14:paraId="04D37CDD" w14:textId="77777777" w:rsidR="00303FCB" w:rsidRPr="001B4A02" w:rsidRDefault="00303FCB" w:rsidP="00ED48A3">
      <w:pPr>
        <w:rPr>
          <w:del w:id="10323" w:author="AbbVie1" w:date="2025-05-13T10:11:00Z"/>
        </w:rPr>
      </w:pPr>
    </w:p>
    <w:p w14:paraId="4069E148" w14:textId="77777777" w:rsidR="00303FCB" w:rsidRPr="001B4A02" w:rsidRDefault="00000000" w:rsidP="00ED48A3">
      <w:pPr>
        <w:jc w:val="center"/>
        <w:rPr>
          <w:del w:id="10324" w:author="AbbVie1" w:date="2025-05-13T10:11:00Z"/>
        </w:rPr>
      </w:pPr>
      <w:del w:id="10325" w:author="AbbVie1" w:date="2025-05-13T10:11:00Z">
        <w:r w:rsidRPr="001B4A02">
          <w:rPr>
            <w:noProof/>
            <w:lang w:val="en-US"/>
          </w:rPr>
          <w:drawing>
            <wp:inline distT="0" distB="0" distL="0" distR="0" wp14:anchorId="33A27E4D" wp14:editId="7BD42E01">
              <wp:extent cx="1819910" cy="1819910"/>
              <wp:effectExtent l="0" t="0" r="8890" b="8890"/>
              <wp:docPr id="521" name="obrázek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Picture 521"/>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819910" cy="1819910"/>
                      </a:xfrm>
                      <a:prstGeom prst="rect">
                        <a:avLst/>
                      </a:prstGeom>
                      <a:noFill/>
                      <a:ln>
                        <a:noFill/>
                      </a:ln>
                    </pic:spPr>
                  </pic:pic>
                </a:graphicData>
              </a:graphic>
            </wp:inline>
          </w:drawing>
        </w:r>
      </w:del>
    </w:p>
    <w:p w14:paraId="38F46D6F" w14:textId="77777777" w:rsidR="00DA75B1" w:rsidRPr="001B4A02" w:rsidRDefault="00DA75B1" w:rsidP="00ED48A3">
      <w:pPr>
        <w:rPr>
          <w:del w:id="10326" w:author="AbbVie1" w:date="2025-05-13T10:11:00Z"/>
        </w:rPr>
      </w:pPr>
    </w:p>
    <w:p w14:paraId="141712D8" w14:textId="77777777" w:rsidR="003C4CCF" w:rsidRPr="001B4A02" w:rsidRDefault="00000000" w:rsidP="00ED48A3">
      <w:pPr>
        <w:numPr>
          <w:ilvl w:val="0"/>
          <w:numId w:val="10"/>
        </w:numPr>
        <w:tabs>
          <w:tab w:val="clear" w:pos="720"/>
          <w:tab w:val="num" w:pos="567"/>
        </w:tabs>
        <w:ind w:left="567" w:hanging="567"/>
        <w:rPr>
          <w:del w:id="10327" w:author="AbbVie1" w:date="2025-05-13T10:11:00Z"/>
        </w:rPr>
      </w:pPr>
      <w:del w:id="10328" w:author="AbbVie1" w:date="2025-05-13T10:11:00Z">
        <w:r w:rsidRPr="001B4A02">
          <w:rPr>
            <w:b/>
          </w:rPr>
          <w:delText>POMALU</w:delText>
        </w:r>
        <w:r w:rsidR="00F23025" w:rsidRPr="001B4A02">
          <w:delText xml:space="preserve"> vytáhněte bílý píst o </w:delText>
        </w:r>
        <w:r w:rsidRPr="001B4A02">
          <w:delText>0,1</w:delText>
        </w:r>
        <w:r w:rsidR="00443CD1" w:rsidRPr="001B4A02">
          <w:delText> </w:delText>
        </w:r>
        <w:r w:rsidRPr="001B4A02">
          <w:delText xml:space="preserve">ml nad předepsanou dávku. Toto je důležité k odměření správné dávky. Objem </w:delText>
        </w:r>
        <w:r w:rsidR="00B12BFC" w:rsidRPr="001B4A02">
          <w:delText xml:space="preserve">upravíte </w:delText>
        </w:r>
        <w:r w:rsidRPr="001B4A02">
          <w:delText xml:space="preserve">na předepsanou </w:delText>
        </w:r>
        <w:r w:rsidR="00B12BFC" w:rsidRPr="001B4A02">
          <w:delText xml:space="preserve">dávku </w:delText>
        </w:r>
        <w:r w:rsidRPr="001B4A02">
          <w:delText>podle kroku</w:delText>
        </w:r>
        <w:r w:rsidR="00303FCB" w:rsidRPr="001B4A02">
          <w:delText xml:space="preserve"> 4, Příprava dávky.</w:delText>
        </w:r>
        <w:r w:rsidR="00B12BFC" w:rsidRPr="001B4A02">
          <w:delText xml:space="preserve"> Pokud je předepsaná dávka 0,</w:delText>
        </w:r>
        <w:r w:rsidR="00303FCB" w:rsidRPr="001B4A02">
          <w:delText>5</w:delText>
        </w:r>
        <w:r w:rsidR="00443CD1" w:rsidRPr="001B4A02">
          <w:delText> </w:delText>
        </w:r>
        <w:r w:rsidR="00303FCB" w:rsidRPr="001B4A02">
          <w:delText>ml, vytáhněte bílý píst až k rysce označující 0,6</w:delText>
        </w:r>
        <w:r w:rsidR="00443CD1" w:rsidRPr="001B4A02">
          <w:delText> </w:delText>
        </w:r>
        <w:r w:rsidR="00303FCB" w:rsidRPr="001B4A02">
          <w:delText xml:space="preserve">ml. Můžete pozorovat, jak se </w:delText>
        </w:r>
        <w:r w:rsidR="001F57A4" w:rsidRPr="001B4A02">
          <w:delText>roztok léčiva</w:delText>
        </w:r>
        <w:r w:rsidR="00303FCB" w:rsidRPr="001B4A02">
          <w:delText xml:space="preserve"> nasává z lahvičky do stříkačky.</w:delText>
        </w:r>
      </w:del>
    </w:p>
    <w:p w14:paraId="543AA1F0" w14:textId="77777777" w:rsidR="00303FCB" w:rsidRPr="001B4A02" w:rsidRDefault="00303FCB" w:rsidP="00ED48A3">
      <w:pPr>
        <w:rPr>
          <w:del w:id="10329" w:author="AbbVie1" w:date="2025-05-13T10:11:00Z"/>
        </w:rPr>
      </w:pPr>
    </w:p>
    <w:p w14:paraId="68635A3D" w14:textId="77777777" w:rsidR="00303FCB" w:rsidRPr="001B4A02" w:rsidRDefault="00000000" w:rsidP="00ED48A3">
      <w:pPr>
        <w:pStyle w:val="EMEANormal"/>
        <w:ind w:left="360"/>
        <w:jc w:val="center"/>
        <w:rPr>
          <w:del w:id="10330" w:author="AbbVie1" w:date="2025-05-13T10:11:00Z"/>
          <w:lang w:val="cs-CZ"/>
        </w:rPr>
      </w:pPr>
      <w:del w:id="10331" w:author="AbbVie1" w:date="2025-05-13T10:11:00Z">
        <w:r w:rsidRPr="001B4A02">
          <w:rPr>
            <w:noProof/>
          </w:rPr>
          <w:drawing>
            <wp:inline distT="0" distB="0" distL="0" distR="0" wp14:anchorId="15F5DAFF" wp14:editId="13DF1B37">
              <wp:extent cx="1819910" cy="1819910"/>
              <wp:effectExtent l="0" t="0" r="8890" b="8890"/>
              <wp:docPr id="522" name="obrázek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Picture 522"/>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819910" cy="1819910"/>
                      </a:xfrm>
                      <a:prstGeom prst="rect">
                        <a:avLst/>
                      </a:prstGeom>
                      <a:noFill/>
                      <a:ln>
                        <a:noFill/>
                      </a:ln>
                    </pic:spPr>
                  </pic:pic>
                </a:graphicData>
              </a:graphic>
            </wp:inline>
          </w:drawing>
        </w:r>
      </w:del>
    </w:p>
    <w:p w14:paraId="4689BF22" w14:textId="77777777" w:rsidR="00DA75B1" w:rsidRPr="001B4A02" w:rsidRDefault="00DA75B1" w:rsidP="00ED48A3">
      <w:pPr>
        <w:pStyle w:val="EMEANormal"/>
        <w:ind w:left="360"/>
        <w:rPr>
          <w:del w:id="10332" w:author="AbbVie1" w:date="2025-05-13T10:11:00Z"/>
          <w:lang w:val="cs-CZ"/>
        </w:rPr>
      </w:pPr>
    </w:p>
    <w:p w14:paraId="2D76678D" w14:textId="77777777" w:rsidR="003C4CCF" w:rsidRPr="001B4A02" w:rsidRDefault="00000000" w:rsidP="00ED48A3">
      <w:pPr>
        <w:numPr>
          <w:ilvl w:val="0"/>
          <w:numId w:val="10"/>
        </w:numPr>
        <w:tabs>
          <w:tab w:val="clear" w:pos="720"/>
          <w:tab w:val="num" w:pos="567"/>
        </w:tabs>
        <w:ind w:left="567" w:hanging="567"/>
        <w:rPr>
          <w:del w:id="10333" w:author="AbbVie1" w:date="2025-05-13T10:11:00Z"/>
        </w:rPr>
      </w:pPr>
      <w:del w:id="10334" w:author="AbbVie1" w:date="2025-05-13T10:11:00Z">
        <w:r w:rsidRPr="001B4A02">
          <w:delText xml:space="preserve">Zatlačte bílý píst zpět do stříkačky až </w:delText>
        </w:r>
        <w:r w:rsidR="008137D1" w:rsidRPr="001B4A02">
          <w:delText>úplně na konec</w:delText>
        </w:r>
        <w:r w:rsidRPr="001B4A02">
          <w:delText xml:space="preserve">, čímž </w:delText>
        </w:r>
        <w:r w:rsidR="001F57A4" w:rsidRPr="001B4A02">
          <w:delText>vytlačíte roztok léčiva</w:delText>
        </w:r>
        <w:r w:rsidRPr="001B4A02">
          <w:delText xml:space="preserve"> zpět do lahvičky. Znovu </w:delText>
        </w:r>
        <w:r w:rsidRPr="001B4A02">
          <w:rPr>
            <w:b/>
          </w:rPr>
          <w:delText>POMALU</w:delText>
        </w:r>
        <w:r w:rsidRPr="001B4A02">
          <w:delText xml:space="preserve"> </w:delText>
        </w:r>
        <w:r w:rsidR="001F57A4" w:rsidRPr="001B4A02">
          <w:delText>vytáhněte píst o</w:delText>
        </w:r>
        <w:r w:rsidR="007930C0" w:rsidRPr="001B4A02">
          <w:delText> </w:delText>
        </w:r>
        <w:r w:rsidR="001F57A4" w:rsidRPr="001B4A02">
          <w:delText>0,1</w:delText>
        </w:r>
        <w:r w:rsidR="00443CD1" w:rsidRPr="001B4A02">
          <w:delText> </w:delText>
        </w:r>
        <w:r w:rsidR="001F57A4" w:rsidRPr="001B4A02">
          <w:delText>ml nad předepsanou dávku, to je důležité k </w:delText>
        </w:r>
        <w:r w:rsidR="008137D1" w:rsidRPr="001B4A02">
          <w:delText>získá</w:delText>
        </w:r>
        <w:r w:rsidR="001F57A4" w:rsidRPr="001B4A02">
          <w:delText>ní správné dávky</w:delText>
        </w:r>
        <w:r w:rsidR="002378E0">
          <w:delText xml:space="preserve"> a </w:delText>
        </w:r>
        <w:r w:rsidR="001F57A4" w:rsidRPr="001B4A02">
          <w:delText xml:space="preserve">důležité </w:delText>
        </w:r>
        <w:r w:rsidRPr="001B4A02">
          <w:delText>k</w:delText>
        </w:r>
        <w:r w:rsidR="001F57A4" w:rsidRPr="001B4A02">
          <w:delText> tomu, aby se zabránilo nabrání vzduchových bubline</w:delText>
        </w:r>
        <w:r w:rsidRPr="001B4A02">
          <w:delText>k</w:delText>
        </w:r>
        <w:r w:rsidR="001F57A4" w:rsidRPr="001B4A02">
          <w:delText xml:space="preserve"> nebo vzduchov</w:delText>
        </w:r>
        <w:r w:rsidR="008137D1" w:rsidRPr="001B4A02">
          <w:delText>ých</w:delText>
        </w:r>
        <w:r w:rsidR="001F57A4" w:rsidRPr="001B4A02">
          <w:delText xml:space="preserve"> kap</w:delText>
        </w:r>
        <w:r w:rsidR="008137D1" w:rsidRPr="001B4A02">
          <w:delText>e</w:delText>
        </w:r>
        <w:r w:rsidR="001F57A4" w:rsidRPr="001B4A02">
          <w:delText xml:space="preserve">s v roztoku léčiva. Objem na předepsanou dávku upravíte </w:delText>
        </w:r>
        <w:r w:rsidR="008137D1" w:rsidRPr="001B4A02">
          <w:delText>v</w:delText>
        </w:r>
        <w:r w:rsidR="007930C0" w:rsidRPr="001B4A02">
          <w:delText> </w:delText>
        </w:r>
        <w:r w:rsidR="001F57A4" w:rsidRPr="001B4A02">
          <w:delText>kroku 4, Příprava dávky.</w:delText>
        </w:r>
      </w:del>
    </w:p>
    <w:p w14:paraId="326F4ACA" w14:textId="77777777" w:rsidR="00303FCB" w:rsidRPr="001B4A02" w:rsidRDefault="00303FCB" w:rsidP="00ED48A3">
      <w:pPr>
        <w:rPr>
          <w:del w:id="10335" w:author="AbbVie1" w:date="2025-05-13T10:11:00Z"/>
        </w:rPr>
      </w:pPr>
    </w:p>
    <w:p w14:paraId="7294F48E" w14:textId="77777777" w:rsidR="00303FCB" w:rsidRPr="001B4A02" w:rsidRDefault="00000000" w:rsidP="00ED48A3">
      <w:pPr>
        <w:jc w:val="center"/>
        <w:rPr>
          <w:del w:id="10336" w:author="AbbVie1" w:date="2025-05-13T10:11:00Z"/>
        </w:rPr>
      </w:pPr>
      <w:del w:id="10337" w:author="AbbVie1" w:date="2025-05-13T10:11:00Z">
        <w:r w:rsidRPr="001B4A02">
          <w:rPr>
            <w:noProof/>
            <w:lang w:val="en-US"/>
          </w:rPr>
          <w:drawing>
            <wp:inline distT="0" distB="0" distL="0" distR="0" wp14:anchorId="7123D7C2" wp14:editId="071911F6">
              <wp:extent cx="1854835" cy="1828800"/>
              <wp:effectExtent l="0" t="0" r="0" b="0"/>
              <wp:docPr id="523" name="obrázek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Picture 523"/>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854835" cy="1828800"/>
                      </a:xfrm>
                      <a:prstGeom prst="rect">
                        <a:avLst/>
                      </a:prstGeom>
                      <a:noFill/>
                      <a:ln>
                        <a:noFill/>
                      </a:ln>
                    </pic:spPr>
                  </pic:pic>
                </a:graphicData>
              </a:graphic>
            </wp:inline>
          </w:drawing>
        </w:r>
      </w:del>
    </w:p>
    <w:p w14:paraId="5776EF3C" w14:textId="77777777" w:rsidR="00DA75B1" w:rsidRPr="001B4A02" w:rsidRDefault="00DA75B1" w:rsidP="00ED48A3">
      <w:pPr>
        <w:rPr>
          <w:del w:id="10338" w:author="AbbVie1" w:date="2025-05-13T10:11:00Z"/>
        </w:rPr>
      </w:pPr>
    </w:p>
    <w:p w14:paraId="08C4B02F" w14:textId="77777777" w:rsidR="003C4CCF" w:rsidRPr="001B4A02" w:rsidRDefault="00000000" w:rsidP="00ED48A3">
      <w:pPr>
        <w:numPr>
          <w:ilvl w:val="0"/>
          <w:numId w:val="10"/>
        </w:numPr>
        <w:tabs>
          <w:tab w:val="clear" w:pos="720"/>
          <w:tab w:val="num" w:pos="567"/>
        </w:tabs>
        <w:ind w:left="567" w:hanging="567"/>
        <w:rPr>
          <w:del w:id="10339" w:author="AbbVie1" w:date="2025-05-13T10:11:00Z"/>
        </w:rPr>
      </w:pPr>
      <w:del w:id="10340" w:author="AbbVie1" w:date="2025-05-13T10:11:00Z">
        <w:r w:rsidRPr="001B4A02">
          <w:delText>Pokud zpozorujete zbývající vzduchové bublinky nebo kapsy v roztoku léčiva ve stříkačce, můžete tento postup zopak</w:delText>
        </w:r>
        <w:r w:rsidR="008137D1" w:rsidRPr="001B4A02">
          <w:delText>ovat až 3</w:delText>
        </w:r>
        <w:r w:rsidRPr="001B4A02">
          <w:delText xml:space="preserve">krát. </w:delText>
        </w:r>
        <w:r w:rsidRPr="001B4A02">
          <w:rPr>
            <w:b/>
          </w:rPr>
          <w:delText>NETŘEPEJTE</w:delText>
        </w:r>
        <w:r w:rsidR="00932C6F" w:rsidRPr="001B4A02">
          <w:delText xml:space="preserve"> stříkačkou.</w:delText>
        </w:r>
      </w:del>
    </w:p>
    <w:p w14:paraId="7CA7B750" w14:textId="77777777" w:rsidR="001F57A4" w:rsidRPr="001B4A02" w:rsidRDefault="001F57A4" w:rsidP="00ED48A3">
      <w:pPr>
        <w:rPr>
          <w:del w:id="10341" w:author="AbbVie1" w:date="2025-05-13T10:11:00Z"/>
        </w:rPr>
      </w:pPr>
    </w:p>
    <w:p w14:paraId="493079C3" w14:textId="77777777" w:rsidR="001F57A4" w:rsidRPr="001B4A02" w:rsidRDefault="00000000" w:rsidP="00404AFD">
      <w:pPr>
        <w:keepNext/>
        <w:rPr>
          <w:del w:id="10342" w:author="AbbVie1" w:date="2025-05-13T10:11:00Z"/>
          <w:b/>
        </w:rPr>
      </w:pPr>
      <w:del w:id="10343" w:author="AbbVie1" w:date="2025-05-13T10:11:00Z">
        <w:r w:rsidRPr="001B4A02">
          <w:rPr>
            <w:b/>
          </w:rPr>
          <w:delText>POZNÁMKA:</w:delText>
        </w:r>
      </w:del>
    </w:p>
    <w:p w14:paraId="63BC17DD" w14:textId="77777777" w:rsidR="001F57A4" w:rsidRPr="001B4A02" w:rsidRDefault="00000000" w:rsidP="00ED48A3">
      <w:pPr>
        <w:ind w:left="0" w:firstLine="0"/>
        <w:rPr>
          <w:del w:id="10344" w:author="AbbVie1" w:date="2025-05-13T10:11:00Z"/>
        </w:rPr>
      </w:pPr>
      <w:del w:id="10345" w:author="AbbVie1" w:date="2025-05-13T10:11:00Z">
        <w:r w:rsidRPr="001B4A02">
          <w:delText>Pokud jste vytáhli celý píst ze stříkačky, stříkačku znehodnoťte</w:delText>
        </w:r>
        <w:r w:rsidR="002378E0">
          <w:delText xml:space="preserve"> a </w:delText>
        </w:r>
        <w:r w:rsidRPr="001B4A02">
          <w:delText xml:space="preserve">kontaktujte svého dodavatele přípravku Humira, aby Vám zajistil náhradu. </w:delText>
        </w:r>
        <w:r w:rsidRPr="001B4A02">
          <w:rPr>
            <w:b/>
          </w:rPr>
          <w:delText>NEZKOUŠEJTE</w:delText>
        </w:r>
        <w:r w:rsidRPr="001B4A02">
          <w:delText xml:space="preserve"> vrátit píst zpět do stříkačky.</w:delText>
        </w:r>
      </w:del>
    </w:p>
    <w:p w14:paraId="41EC53F3" w14:textId="77777777" w:rsidR="00725E2F" w:rsidRPr="001B4A02" w:rsidRDefault="00725E2F" w:rsidP="00ED48A3">
      <w:pPr>
        <w:ind w:left="0" w:firstLine="0"/>
        <w:rPr>
          <w:del w:id="10346" w:author="AbbVie1" w:date="2025-05-13T10:11:00Z"/>
        </w:rPr>
      </w:pPr>
    </w:p>
    <w:p w14:paraId="225D62E0" w14:textId="77777777" w:rsidR="00725E2F" w:rsidRPr="001B4A02" w:rsidRDefault="00000000" w:rsidP="00ED48A3">
      <w:pPr>
        <w:numPr>
          <w:ilvl w:val="0"/>
          <w:numId w:val="10"/>
        </w:numPr>
        <w:tabs>
          <w:tab w:val="clear" w:pos="720"/>
          <w:tab w:val="num" w:pos="567"/>
        </w:tabs>
        <w:ind w:left="567" w:hanging="567"/>
        <w:rPr>
          <w:del w:id="10347" w:author="AbbVie1" w:date="2025-05-13T10:11:00Z"/>
        </w:rPr>
      </w:pPr>
      <w:del w:id="10348" w:author="AbbVie1" w:date="2025-05-13T10:11:00Z">
        <w:r w:rsidRPr="001B4A02">
          <w:delText xml:space="preserve">Zatímco stále držíte stříkačku vertikálně za oblast s vyznačenými ryskami, </w:delText>
        </w:r>
        <w:r w:rsidR="008137D1" w:rsidRPr="001B4A02">
          <w:delText xml:space="preserve">sejměte adaptér s injekční lahvičkou ze </w:delText>
        </w:r>
        <w:r w:rsidRPr="001B4A02">
          <w:delText>stříkačk</w:delText>
        </w:r>
        <w:r w:rsidR="008137D1" w:rsidRPr="001B4A02">
          <w:delText>y</w:delText>
        </w:r>
        <w:r w:rsidRPr="001B4A02">
          <w:delText xml:space="preserve"> ta</w:delText>
        </w:r>
        <w:r w:rsidR="00A7712A" w:rsidRPr="001B4A02">
          <w:delText>k</w:delText>
        </w:r>
        <w:r w:rsidRPr="001B4A02">
          <w:delText xml:space="preserve">, že druhou rukou pootočíte adaptérem. </w:delText>
        </w:r>
        <w:r w:rsidR="002A67C1" w:rsidRPr="001B4A02">
          <w:delText>U</w:delText>
        </w:r>
        <w:r w:rsidRPr="001B4A02">
          <w:delText xml:space="preserve">jistěte se, </w:delText>
        </w:r>
        <w:r w:rsidR="001F03C6" w:rsidRPr="001B4A02">
          <w:delText xml:space="preserve">že </w:delText>
        </w:r>
        <w:r w:rsidR="002A67C1" w:rsidRPr="001B4A02">
          <w:delText>jste ze stříkačky sejmuli a</w:delText>
        </w:r>
        <w:r w:rsidRPr="001B4A02">
          <w:delText>daptér</w:delText>
        </w:r>
        <w:r w:rsidR="001F03C6" w:rsidRPr="001B4A02">
          <w:delText xml:space="preserve"> </w:delText>
        </w:r>
        <w:r w:rsidR="002A67C1" w:rsidRPr="001B4A02">
          <w:delText>spolu s</w:delText>
        </w:r>
        <w:r w:rsidR="000C2348" w:rsidRPr="001B4A02">
          <w:delText> </w:delText>
        </w:r>
        <w:r w:rsidR="002A67C1" w:rsidRPr="001B4A02">
          <w:delText>lahvičkou</w:delText>
        </w:r>
        <w:r w:rsidRPr="001B4A02">
          <w:delText xml:space="preserve">. </w:delText>
        </w:r>
        <w:r w:rsidR="002A67C1" w:rsidRPr="001B4A02">
          <w:rPr>
            <w:b/>
          </w:rPr>
          <w:delText>NEDOTÝKEJTE</w:delText>
        </w:r>
        <w:r w:rsidR="002A67C1" w:rsidRPr="001B4A02">
          <w:delText xml:space="preserve"> se </w:delText>
        </w:r>
        <w:r w:rsidR="008137D1" w:rsidRPr="001B4A02">
          <w:delText>špičky</w:delText>
        </w:r>
        <w:r w:rsidR="002A67C1" w:rsidRPr="001B4A02">
          <w:delText xml:space="preserve"> stříkačky.</w:delText>
        </w:r>
      </w:del>
    </w:p>
    <w:p w14:paraId="73A6FDCB" w14:textId="77777777" w:rsidR="002A67C1" w:rsidRPr="001B4A02" w:rsidRDefault="002A67C1" w:rsidP="00ED48A3">
      <w:pPr>
        <w:rPr>
          <w:del w:id="10349" w:author="AbbVie1" w:date="2025-05-13T10:11:00Z"/>
        </w:rPr>
      </w:pPr>
    </w:p>
    <w:p w14:paraId="68634D74" w14:textId="77777777" w:rsidR="002A67C1" w:rsidRPr="001B4A02" w:rsidRDefault="00000000" w:rsidP="00ED48A3">
      <w:pPr>
        <w:jc w:val="center"/>
        <w:rPr>
          <w:del w:id="10350" w:author="AbbVie1" w:date="2025-05-13T10:11:00Z"/>
        </w:rPr>
      </w:pPr>
      <w:del w:id="10351" w:author="AbbVie1" w:date="2025-05-13T10:11:00Z">
        <w:r w:rsidRPr="001B4A02">
          <w:rPr>
            <w:noProof/>
            <w:lang w:val="en-US"/>
          </w:rPr>
          <w:drawing>
            <wp:inline distT="0" distB="0" distL="0" distR="0" wp14:anchorId="67D2ADCE" wp14:editId="1862B4D2">
              <wp:extent cx="1854835" cy="1854835"/>
              <wp:effectExtent l="0" t="0" r="0" b="0"/>
              <wp:docPr id="524" name="obrázek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Picture 524"/>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854835" cy="1854835"/>
                      </a:xfrm>
                      <a:prstGeom prst="rect">
                        <a:avLst/>
                      </a:prstGeom>
                      <a:noFill/>
                      <a:ln>
                        <a:noFill/>
                      </a:ln>
                    </pic:spPr>
                  </pic:pic>
                </a:graphicData>
              </a:graphic>
            </wp:inline>
          </w:drawing>
        </w:r>
      </w:del>
    </w:p>
    <w:p w14:paraId="449F4CF5" w14:textId="77777777" w:rsidR="00DA75B1" w:rsidRPr="001B4A02" w:rsidRDefault="00DA75B1" w:rsidP="00ED48A3">
      <w:pPr>
        <w:rPr>
          <w:del w:id="10352" w:author="AbbVie1" w:date="2025-05-13T10:11:00Z"/>
        </w:rPr>
      </w:pPr>
    </w:p>
    <w:p w14:paraId="2E582979" w14:textId="77777777" w:rsidR="00725E2F" w:rsidRPr="001B4A02" w:rsidRDefault="00000000" w:rsidP="00ED48A3">
      <w:pPr>
        <w:numPr>
          <w:ilvl w:val="0"/>
          <w:numId w:val="10"/>
        </w:numPr>
        <w:tabs>
          <w:tab w:val="clear" w:pos="720"/>
          <w:tab w:val="num" w:pos="567"/>
        </w:tabs>
        <w:ind w:left="567" w:hanging="567"/>
        <w:rPr>
          <w:del w:id="10353" w:author="AbbVie1" w:date="2025-05-13T10:11:00Z"/>
        </w:rPr>
      </w:pPr>
      <w:del w:id="10354" w:author="AbbVie1" w:date="2025-05-13T10:11:00Z">
        <w:r w:rsidRPr="001B4A02">
          <w:delText xml:space="preserve">Pokud lze v hrotu stříkačky pozorovat větší vzduchovou bublinu nebo kapsu vzduchu, </w:delText>
        </w:r>
        <w:r w:rsidRPr="001B4A02">
          <w:rPr>
            <w:b/>
          </w:rPr>
          <w:delText>POMALU</w:delText>
        </w:r>
        <w:r w:rsidRPr="001B4A02">
          <w:delText xml:space="preserve"> zatlačte píst do stříkačky, dokud se hrot stříkačky nezačne plnit tekutinou. </w:delText>
        </w:r>
        <w:r w:rsidRPr="001B4A02">
          <w:rPr>
            <w:b/>
          </w:rPr>
          <w:delText>NEZATLAČUJTE</w:delText>
        </w:r>
        <w:r w:rsidR="00E34A7C" w:rsidRPr="001B4A02">
          <w:delText xml:space="preserve"> píst pod rysk</w:delText>
        </w:r>
        <w:r w:rsidRPr="001B4A02">
          <w:delText>u, ukazující dávku.</w:delText>
        </w:r>
      </w:del>
    </w:p>
    <w:p w14:paraId="073BD1F7" w14:textId="77777777" w:rsidR="00725E2F" w:rsidRPr="001B4A02" w:rsidRDefault="00000000" w:rsidP="00ED48A3">
      <w:pPr>
        <w:numPr>
          <w:ilvl w:val="0"/>
          <w:numId w:val="10"/>
        </w:numPr>
        <w:tabs>
          <w:tab w:val="clear" w:pos="720"/>
          <w:tab w:val="num" w:pos="567"/>
        </w:tabs>
        <w:ind w:left="567" w:hanging="567"/>
        <w:rPr>
          <w:del w:id="10355" w:author="AbbVie1" w:date="2025-05-13T10:11:00Z"/>
        </w:rPr>
      </w:pPr>
      <w:del w:id="10356" w:author="AbbVie1" w:date="2025-05-13T10:11:00Z">
        <w:r w:rsidRPr="001B4A02">
          <w:delText>Například pokud je předepsaná dávka 0,5</w:delText>
        </w:r>
        <w:r w:rsidR="00443CD1" w:rsidRPr="001B4A02">
          <w:delText> </w:delText>
        </w:r>
        <w:r w:rsidRPr="001B4A02">
          <w:delText xml:space="preserve">ml, </w:delText>
        </w:r>
        <w:r w:rsidRPr="001B4A02">
          <w:rPr>
            <w:b/>
          </w:rPr>
          <w:delText>NEZATLAČUJTE</w:delText>
        </w:r>
        <w:r w:rsidRPr="001B4A02">
          <w:delText xml:space="preserve"> píst pod </w:delText>
        </w:r>
        <w:r w:rsidR="00DA2D61" w:rsidRPr="001B4A02">
          <w:delText xml:space="preserve">rysku označující </w:delText>
        </w:r>
        <w:r w:rsidRPr="001B4A02">
          <w:delText>0,5</w:delText>
        </w:r>
        <w:r w:rsidR="00443CD1" w:rsidRPr="001B4A02">
          <w:delText> </w:delText>
        </w:r>
        <w:r w:rsidRPr="001B4A02">
          <w:delText>ml.</w:delText>
        </w:r>
      </w:del>
    </w:p>
    <w:p w14:paraId="1CF29D64" w14:textId="77777777" w:rsidR="00725E2F" w:rsidRPr="001B4A02" w:rsidRDefault="00000000" w:rsidP="00ED48A3">
      <w:pPr>
        <w:numPr>
          <w:ilvl w:val="0"/>
          <w:numId w:val="10"/>
        </w:numPr>
        <w:tabs>
          <w:tab w:val="clear" w:pos="720"/>
          <w:tab w:val="num" w:pos="567"/>
        </w:tabs>
        <w:ind w:left="567" w:hanging="567"/>
        <w:rPr>
          <w:del w:id="10357" w:author="AbbVie1" w:date="2025-05-13T10:11:00Z"/>
        </w:rPr>
      </w:pPr>
      <w:del w:id="10358" w:author="AbbVie1" w:date="2025-05-13T10:11:00Z">
        <w:r w:rsidRPr="001B4A02">
          <w:delText>Zkontrolujte pohledem, že je objem tekutiny</w:delText>
        </w:r>
        <w:r w:rsidR="008137D1" w:rsidRPr="001B4A02">
          <w:delText xml:space="preserve"> zbývající ve stříkačce</w:delText>
        </w:r>
        <w:r w:rsidRPr="001B4A02">
          <w:delText xml:space="preserve"> alespoň na předepsané dávce. Pokud je zbývající objem</w:delText>
        </w:r>
        <w:r w:rsidR="00D03D34" w:rsidRPr="001B4A02">
          <w:delText xml:space="preserve"> menší, než předepsaná dávka, </w:delText>
        </w:r>
        <w:r w:rsidR="00D03D34" w:rsidRPr="001B4A02">
          <w:rPr>
            <w:b/>
          </w:rPr>
          <w:delText>NEPOUŽÍVEJTE</w:delText>
        </w:r>
        <w:r w:rsidR="000F4A03" w:rsidRPr="001B4A02">
          <w:delText xml:space="preserve"> stříkačku</w:delText>
        </w:r>
        <w:r w:rsidR="002378E0">
          <w:delText xml:space="preserve"> a </w:delText>
        </w:r>
        <w:r w:rsidR="000F4A03" w:rsidRPr="001B4A02">
          <w:delText xml:space="preserve">kontaktujte </w:delText>
        </w:r>
        <w:r w:rsidR="00D03D34" w:rsidRPr="001B4A02">
          <w:delText>lékaře.</w:delText>
        </w:r>
      </w:del>
    </w:p>
    <w:p w14:paraId="228CC2B2" w14:textId="77777777" w:rsidR="00725E2F" w:rsidRPr="001B4A02" w:rsidRDefault="00000000" w:rsidP="00ED48A3">
      <w:pPr>
        <w:numPr>
          <w:ilvl w:val="0"/>
          <w:numId w:val="10"/>
        </w:numPr>
        <w:tabs>
          <w:tab w:val="clear" w:pos="720"/>
          <w:tab w:val="num" w:pos="567"/>
        </w:tabs>
        <w:ind w:left="567" w:hanging="567"/>
        <w:rPr>
          <w:del w:id="10359" w:author="AbbVie1" w:date="2025-05-13T10:11:00Z"/>
        </w:rPr>
      </w:pPr>
      <w:del w:id="10360" w:author="AbbVie1" w:date="2025-05-13T10:11:00Z">
        <w:r w:rsidRPr="001B4A02">
          <w:delText>Volnou rukou uchopte balení s jehlou tak, aby žlut</w:delText>
        </w:r>
        <w:r w:rsidR="008137D1" w:rsidRPr="001B4A02">
          <w:delText>á spojka</w:delText>
        </w:r>
        <w:r w:rsidRPr="001B4A02">
          <w:delText xml:space="preserve"> ke stříkačce směřoval</w:delText>
        </w:r>
        <w:r w:rsidR="008137D1" w:rsidRPr="001B4A02">
          <w:delText>a</w:delText>
        </w:r>
        <w:r w:rsidRPr="001B4A02">
          <w:delText xml:space="preserve"> dolů</w:delText>
        </w:r>
        <w:r w:rsidR="006C0E27" w:rsidRPr="001B4A02">
          <w:delText>.</w:delText>
        </w:r>
      </w:del>
    </w:p>
    <w:p w14:paraId="0D15F771" w14:textId="77777777" w:rsidR="006C0E27" w:rsidRPr="001B4A02" w:rsidRDefault="00000000" w:rsidP="00ED48A3">
      <w:pPr>
        <w:numPr>
          <w:ilvl w:val="0"/>
          <w:numId w:val="10"/>
        </w:numPr>
        <w:tabs>
          <w:tab w:val="clear" w:pos="720"/>
          <w:tab w:val="num" w:pos="567"/>
        </w:tabs>
        <w:ind w:left="567" w:hanging="567"/>
        <w:rPr>
          <w:del w:id="10361" w:author="AbbVie1" w:date="2025-05-13T10:11:00Z"/>
        </w:rPr>
      </w:pPr>
      <w:del w:id="10362" w:author="AbbVie1" w:date="2025-05-13T10:11:00Z">
        <w:r w:rsidRPr="001B4A02">
          <w:delText>Držte stříkačku směrem vzhůru</w:delText>
        </w:r>
        <w:r w:rsidR="002378E0">
          <w:delText xml:space="preserve"> a </w:delText>
        </w:r>
        <w:r w:rsidR="008137D1" w:rsidRPr="001B4A02">
          <w:delText>vsuň</w:delText>
        </w:r>
        <w:r w:rsidRPr="001B4A02">
          <w:delText xml:space="preserve">te </w:delText>
        </w:r>
        <w:r w:rsidR="008137D1" w:rsidRPr="001B4A02">
          <w:delText>špičku</w:delText>
        </w:r>
        <w:r w:rsidRPr="001B4A02">
          <w:delText xml:space="preserve"> stříkačky </w:delText>
        </w:r>
        <w:r w:rsidR="008137D1" w:rsidRPr="001B4A02">
          <w:delText xml:space="preserve">do </w:delText>
        </w:r>
        <w:r w:rsidRPr="001B4A02">
          <w:delText>žlut</w:delText>
        </w:r>
        <w:r w:rsidR="008137D1" w:rsidRPr="001B4A02">
          <w:delText>é spojky</w:delText>
        </w:r>
        <w:r w:rsidR="002378E0">
          <w:delText xml:space="preserve"> a </w:delText>
        </w:r>
        <w:r w:rsidRPr="001B4A02">
          <w:delText>otočte stříkačkou</w:delText>
        </w:r>
        <w:r w:rsidR="002528FB" w:rsidRPr="001B4A02">
          <w:delText>,</w:delText>
        </w:r>
        <w:r w:rsidRPr="001B4A02">
          <w:delText xml:space="preserve"> jak ukazuje šipka na obrázku, doku</w:delText>
        </w:r>
        <w:r w:rsidR="008137D1" w:rsidRPr="001B4A02">
          <w:delText xml:space="preserve">d </w:delText>
        </w:r>
        <w:r w:rsidRPr="001B4A02">
          <w:delText xml:space="preserve">obě části </w:delText>
        </w:r>
        <w:r w:rsidR="008137D1" w:rsidRPr="001B4A02">
          <w:delText xml:space="preserve">nedrží </w:delText>
        </w:r>
        <w:r w:rsidRPr="001B4A02">
          <w:delText xml:space="preserve">pevně </w:delText>
        </w:r>
        <w:r w:rsidR="008137D1" w:rsidRPr="001B4A02">
          <w:delText>u</w:delText>
        </w:r>
        <w:r w:rsidR="0028371E" w:rsidRPr="001B4A02">
          <w:delText> </w:delText>
        </w:r>
        <w:r w:rsidR="008137D1" w:rsidRPr="001B4A02">
          <w:delText>sebe</w:delText>
        </w:r>
        <w:r w:rsidRPr="001B4A02">
          <w:delText>. Jehla</w:delText>
        </w:r>
        <w:r w:rsidR="00932C6F" w:rsidRPr="001B4A02">
          <w:delText xml:space="preserve"> je teď připojena ke stříkačce.</w:delText>
        </w:r>
      </w:del>
    </w:p>
    <w:p w14:paraId="1EC25630" w14:textId="77777777" w:rsidR="006C0E27" w:rsidRPr="001B4A02" w:rsidRDefault="006C0E27" w:rsidP="00ED48A3">
      <w:pPr>
        <w:rPr>
          <w:del w:id="10363" w:author="AbbVie1" w:date="2025-05-13T10:11:00Z"/>
        </w:rPr>
      </w:pPr>
    </w:p>
    <w:p w14:paraId="20712264" w14:textId="77777777" w:rsidR="006C0E27" w:rsidRPr="001B4A02" w:rsidRDefault="00000000" w:rsidP="00ED48A3">
      <w:pPr>
        <w:pStyle w:val="EMEANormal"/>
        <w:tabs>
          <w:tab w:val="clear" w:pos="562"/>
          <w:tab w:val="num" w:pos="550"/>
        </w:tabs>
        <w:ind w:left="588" w:hanging="588"/>
        <w:jc w:val="center"/>
        <w:rPr>
          <w:del w:id="10364" w:author="AbbVie1" w:date="2025-05-13T10:11:00Z"/>
          <w:lang w:val="cs-CZ"/>
        </w:rPr>
      </w:pPr>
      <w:del w:id="10365" w:author="AbbVie1" w:date="2025-05-13T10:11:00Z">
        <w:r w:rsidRPr="001B4A02">
          <w:rPr>
            <w:lang w:val="cs-CZ"/>
          </w:rPr>
          <w:br/>
        </w:r>
        <w:r w:rsidR="00A17301" w:rsidRPr="001B4A02">
          <w:rPr>
            <w:noProof/>
          </w:rPr>
          <w:drawing>
            <wp:inline distT="0" distB="0" distL="0" distR="0" wp14:anchorId="1DBF8EDE" wp14:editId="58D8A56D">
              <wp:extent cx="1854835" cy="1828800"/>
              <wp:effectExtent l="0" t="0" r="0" b="0"/>
              <wp:docPr id="525" name="obrázek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Picture 525"/>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1854835" cy="1828800"/>
                      </a:xfrm>
                      <a:prstGeom prst="rect">
                        <a:avLst/>
                      </a:prstGeom>
                      <a:noFill/>
                      <a:ln>
                        <a:noFill/>
                      </a:ln>
                    </pic:spPr>
                  </pic:pic>
                </a:graphicData>
              </a:graphic>
            </wp:inline>
          </w:drawing>
        </w:r>
      </w:del>
    </w:p>
    <w:p w14:paraId="2F411D96" w14:textId="77777777" w:rsidR="00DA75B1" w:rsidRPr="001B4A02" w:rsidRDefault="00DA75B1" w:rsidP="00ED48A3">
      <w:pPr>
        <w:pStyle w:val="EMEANormal"/>
        <w:tabs>
          <w:tab w:val="clear" w:pos="562"/>
          <w:tab w:val="num" w:pos="550"/>
        </w:tabs>
        <w:ind w:left="588" w:hanging="588"/>
        <w:rPr>
          <w:del w:id="10366" w:author="AbbVie1" w:date="2025-05-13T10:11:00Z"/>
          <w:lang w:val="cs-CZ"/>
        </w:rPr>
      </w:pPr>
    </w:p>
    <w:p w14:paraId="7018D35D" w14:textId="77777777" w:rsidR="006C0E27" w:rsidRPr="001B4A02" w:rsidRDefault="00000000" w:rsidP="00ED48A3">
      <w:pPr>
        <w:numPr>
          <w:ilvl w:val="0"/>
          <w:numId w:val="10"/>
        </w:numPr>
        <w:tabs>
          <w:tab w:val="clear" w:pos="720"/>
          <w:tab w:val="num" w:pos="567"/>
        </w:tabs>
        <w:ind w:left="567" w:hanging="567"/>
        <w:rPr>
          <w:del w:id="10367" w:author="AbbVie1" w:date="2025-05-13T10:11:00Z"/>
        </w:rPr>
      </w:pPr>
      <w:del w:id="10368" w:author="AbbVie1" w:date="2025-05-13T10:11:00Z">
        <w:r w:rsidRPr="001B4A02">
          <w:delText xml:space="preserve">Sejměte obal z jehly, ale </w:delText>
        </w:r>
        <w:r w:rsidRPr="001B4A02">
          <w:rPr>
            <w:b/>
          </w:rPr>
          <w:delText>NES</w:delText>
        </w:r>
        <w:r w:rsidR="008137D1" w:rsidRPr="001B4A02">
          <w:rPr>
            <w:b/>
          </w:rPr>
          <w:delText>NÍM</w:delText>
        </w:r>
        <w:r w:rsidRPr="001B4A02">
          <w:rPr>
            <w:b/>
          </w:rPr>
          <w:delText xml:space="preserve">EJTE </w:delText>
        </w:r>
        <w:r w:rsidRPr="001B4A02">
          <w:delText>průhledný kryt jehly.</w:delText>
        </w:r>
      </w:del>
    </w:p>
    <w:p w14:paraId="037188C1" w14:textId="77777777" w:rsidR="006C0E27" w:rsidRPr="001B4A02" w:rsidRDefault="00000000" w:rsidP="00ED48A3">
      <w:pPr>
        <w:numPr>
          <w:ilvl w:val="0"/>
          <w:numId w:val="10"/>
        </w:numPr>
        <w:tabs>
          <w:tab w:val="clear" w:pos="720"/>
          <w:tab w:val="num" w:pos="567"/>
        </w:tabs>
        <w:ind w:left="567" w:hanging="567"/>
        <w:rPr>
          <w:del w:id="10369" w:author="AbbVie1" w:date="2025-05-13T10:11:00Z"/>
        </w:rPr>
      </w:pPr>
      <w:del w:id="10370" w:author="AbbVie1" w:date="2025-05-13T10:11:00Z">
        <w:r w:rsidRPr="001B4A02">
          <w:delText>Stříkačku odložte na čistou pracovní plochu. Ihned poté pokračujte s přípravou místa vpichu injekce</w:delText>
        </w:r>
        <w:r w:rsidR="002378E0">
          <w:delText xml:space="preserve"> a </w:delText>
        </w:r>
        <w:r w:rsidR="008137D1" w:rsidRPr="001B4A02">
          <w:delText>s</w:delText>
        </w:r>
        <w:r w:rsidR="000C2348" w:rsidRPr="001B4A02">
          <w:delText> </w:delText>
        </w:r>
        <w:r w:rsidRPr="001B4A02">
          <w:delText>odměřením dávky.</w:delText>
        </w:r>
      </w:del>
    </w:p>
    <w:p w14:paraId="3598123B" w14:textId="77777777" w:rsidR="006C0E27" w:rsidRPr="001B4A02" w:rsidRDefault="006C0E27" w:rsidP="00ED48A3">
      <w:pPr>
        <w:rPr>
          <w:del w:id="10371" w:author="AbbVie1" w:date="2025-05-13T10:11:00Z"/>
        </w:rPr>
      </w:pPr>
    </w:p>
    <w:p w14:paraId="26002B2A" w14:textId="77777777" w:rsidR="006C0E27" w:rsidRPr="001B4A02" w:rsidRDefault="00000000" w:rsidP="00404AFD">
      <w:pPr>
        <w:keepNext/>
        <w:tabs>
          <w:tab w:val="left" w:pos="567"/>
        </w:tabs>
        <w:ind w:left="0" w:firstLine="0"/>
        <w:rPr>
          <w:del w:id="10372" w:author="AbbVie1" w:date="2025-05-13T10:11:00Z"/>
          <w:b/>
        </w:rPr>
      </w:pPr>
      <w:del w:id="10373" w:author="AbbVie1" w:date="2025-05-13T10:11:00Z">
        <w:r w:rsidRPr="001B4A02">
          <w:rPr>
            <w:b/>
          </w:rPr>
          <w:delText>3)</w:delText>
        </w:r>
        <w:r w:rsidRPr="001B4A02">
          <w:rPr>
            <w:b/>
          </w:rPr>
          <w:tab/>
        </w:r>
        <w:r w:rsidR="008137D1" w:rsidRPr="001B4A02">
          <w:rPr>
            <w:b/>
          </w:rPr>
          <w:delText>Výběr</w:delText>
        </w:r>
        <w:r w:rsidR="002378E0">
          <w:rPr>
            <w:b/>
          </w:rPr>
          <w:delText xml:space="preserve"> a </w:delText>
        </w:r>
        <w:r w:rsidR="008137D1" w:rsidRPr="001B4A02">
          <w:rPr>
            <w:b/>
          </w:rPr>
          <w:delText>příprava místa</w:delText>
        </w:r>
        <w:r w:rsidRPr="001B4A02">
          <w:rPr>
            <w:b/>
          </w:rPr>
          <w:delText xml:space="preserve"> pro vpich injekce</w:delText>
        </w:r>
      </w:del>
    </w:p>
    <w:p w14:paraId="6F84B9E7" w14:textId="77777777" w:rsidR="006C0E27" w:rsidRPr="001B4A02" w:rsidRDefault="006C0E27" w:rsidP="00404AFD">
      <w:pPr>
        <w:keepNext/>
        <w:rPr>
          <w:del w:id="10374" w:author="AbbVie1" w:date="2025-05-13T10:11:00Z"/>
        </w:rPr>
      </w:pPr>
    </w:p>
    <w:p w14:paraId="51DCD657" w14:textId="77777777" w:rsidR="00073F8F" w:rsidRPr="001B4A02" w:rsidRDefault="00000000" w:rsidP="00ED48A3">
      <w:pPr>
        <w:numPr>
          <w:ilvl w:val="0"/>
          <w:numId w:val="10"/>
        </w:numPr>
        <w:tabs>
          <w:tab w:val="clear" w:pos="720"/>
          <w:tab w:val="num" w:pos="567"/>
        </w:tabs>
        <w:ind w:left="567" w:hanging="567"/>
        <w:rPr>
          <w:del w:id="10375" w:author="AbbVie1" w:date="2025-05-13T10:11:00Z"/>
        </w:rPr>
      </w:pPr>
      <w:del w:id="10376" w:author="AbbVie1" w:date="2025-05-13T10:11:00Z">
        <w:r w:rsidRPr="001B4A02">
          <w:delText>Vyberte si místo na stehně nebo na břiše.</w:delText>
        </w:r>
        <w:r w:rsidR="00063AF5" w:rsidRPr="001B4A02">
          <w:delText xml:space="preserve"> </w:delText>
        </w:r>
        <w:r w:rsidR="00063AF5" w:rsidRPr="001B4A02">
          <w:rPr>
            <w:b/>
          </w:rPr>
          <w:delText>NEPOUŽÍVEJTE</w:delText>
        </w:r>
        <w:r w:rsidR="00063AF5" w:rsidRPr="001B4A02">
          <w:delText xml:space="preserve"> stejné místo, které jste použil</w:delText>
        </w:r>
        <w:r w:rsidR="00A91620" w:rsidRPr="001B4A02">
          <w:delText>(a)</w:delText>
        </w:r>
        <w:r w:rsidR="00063AF5" w:rsidRPr="001B4A02">
          <w:delText xml:space="preserve"> k podání poslední injekce.</w:delText>
        </w:r>
      </w:del>
    </w:p>
    <w:p w14:paraId="2017B886" w14:textId="77777777" w:rsidR="00D827B1" w:rsidRPr="001B4A02" w:rsidRDefault="00000000" w:rsidP="00ED48A3">
      <w:pPr>
        <w:numPr>
          <w:ilvl w:val="0"/>
          <w:numId w:val="10"/>
        </w:numPr>
        <w:tabs>
          <w:tab w:val="clear" w:pos="720"/>
          <w:tab w:val="num" w:pos="567"/>
        </w:tabs>
        <w:ind w:left="567" w:hanging="567"/>
        <w:rPr>
          <w:del w:id="10377" w:author="AbbVie1" w:date="2025-05-13T10:11:00Z"/>
        </w:rPr>
      </w:pPr>
      <w:del w:id="10378" w:author="AbbVie1" w:date="2025-05-13T10:11:00Z">
        <w:r w:rsidRPr="001B4A02">
          <w:delText>Nové místo vpichu injekce má být ve vzdálenosti nejméně 3 cm od místa posledního vpichu.</w:delText>
        </w:r>
      </w:del>
    </w:p>
    <w:p w14:paraId="490EBC41" w14:textId="77777777" w:rsidR="00073F8F" w:rsidRPr="001B4A02" w:rsidRDefault="00073F8F" w:rsidP="00ED48A3">
      <w:pPr>
        <w:ind w:left="0" w:firstLine="0"/>
        <w:rPr>
          <w:del w:id="10379" w:author="AbbVie1" w:date="2025-05-13T10:11:00Z"/>
        </w:rPr>
      </w:pPr>
    </w:p>
    <w:p w14:paraId="5558DFB4" w14:textId="77777777" w:rsidR="00073F8F" w:rsidRPr="001B4A02" w:rsidRDefault="00000000" w:rsidP="00ED48A3">
      <w:pPr>
        <w:ind w:left="0" w:firstLine="0"/>
        <w:jc w:val="center"/>
        <w:rPr>
          <w:del w:id="10380" w:author="AbbVie1" w:date="2025-05-13T10:11:00Z"/>
        </w:rPr>
      </w:pPr>
      <w:del w:id="10381" w:author="AbbVie1" w:date="2025-05-13T10:11:00Z">
        <w:r w:rsidRPr="001B4A02">
          <w:rPr>
            <w:noProof/>
            <w:lang w:val="en-US"/>
          </w:rPr>
          <w:drawing>
            <wp:inline distT="0" distB="0" distL="0" distR="0" wp14:anchorId="0A4F2B15" wp14:editId="1A3467FF">
              <wp:extent cx="1819910" cy="1819910"/>
              <wp:effectExtent l="0" t="0" r="8890" b="8890"/>
              <wp:docPr id="526" name="obrázek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Picture 526"/>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1819910" cy="1819910"/>
                      </a:xfrm>
                      <a:prstGeom prst="rect">
                        <a:avLst/>
                      </a:prstGeom>
                      <a:noFill/>
                      <a:ln>
                        <a:noFill/>
                      </a:ln>
                    </pic:spPr>
                  </pic:pic>
                </a:graphicData>
              </a:graphic>
            </wp:inline>
          </w:drawing>
        </w:r>
      </w:del>
    </w:p>
    <w:p w14:paraId="4D8AF147" w14:textId="77777777" w:rsidR="00DA75B1" w:rsidRPr="001B4A02" w:rsidRDefault="00DA75B1" w:rsidP="00ED48A3">
      <w:pPr>
        <w:ind w:left="0" w:firstLine="0"/>
        <w:rPr>
          <w:del w:id="10382" w:author="AbbVie1" w:date="2025-05-13T10:11:00Z"/>
        </w:rPr>
      </w:pPr>
    </w:p>
    <w:p w14:paraId="6657186B" w14:textId="77777777" w:rsidR="00193AB5" w:rsidRPr="001B4A02" w:rsidRDefault="00000000" w:rsidP="00ED48A3">
      <w:pPr>
        <w:numPr>
          <w:ilvl w:val="0"/>
          <w:numId w:val="64"/>
        </w:numPr>
        <w:tabs>
          <w:tab w:val="num" w:pos="567"/>
        </w:tabs>
        <w:ind w:left="567" w:hanging="567"/>
        <w:rPr>
          <w:del w:id="10383" w:author="AbbVie1" w:date="2025-05-13T10:11:00Z"/>
        </w:rPr>
      </w:pPr>
      <w:del w:id="10384" w:author="AbbVie1" w:date="2025-05-13T10:11:00Z">
        <w:r w:rsidRPr="001B4A02">
          <w:rPr>
            <w:b/>
          </w:rPr>
          <w:delText xml:space="preserve">NEAPLIKUJTE </w:delText>
        </w:r>
        <w:r w:rsidRPr="001B4A02">
          <w:delText>si injekci do oblasti, kde je kůže zarudlá, kde jsou modřiny nebo je kůže tvrdá. To mohou být známky infekce</w:delText>
        </w:r>
        <w:r w:rsidR="00A27A27" w:rsidRPr="001B4A02">
          <w:delText>,</w:delText>
        </w:r>
        <w:r w:rsidR="002378E0">
          <w:delText xml:space="preserve"> a </w:delText>
        </w:r>
        <w:r w:rsidR="00A91620" w:rsidRPr="001B4A02">
          <w:delText>pak byste měl(a)</w:delText>
        </w:r>
        <w:r w:rsidR="000F4A03" w:rsidRPr="001B4A02">
          <w:delText xml:space="preserve"> kontaktovat </w:delText>
        </w:r>
        <w:r w:rsidR="00932C6F" w:rsidRPr="001B4A02">
          <w:delText>lékaře.</w:delText>
        </w:r>
      </w:del>
    </w:p>
    <w:p w14:paraId="3650A2BA" w14:textId="77777777" w:rsidR="00D827B1" w:rsidRPr="001B4A02" w:rsidRDefault="00000000" w:rsidP="00ED48A3">
      <w:pPr>
        <w:numPr>
          <w:ilvl w:val="0"/>
          <w:numId w:val="64"/>
        </w:numPr>
        <w:tabs>
          <w:tab w:val="num" w:pos="567"/>
        </w:tabs>
        <w:ind w:left="567" w:hanging="567"/>
        <w:rPr>
          <w:del w:id="10385" w:author="AbbVie1" w:date="2025-05-13T10:11:00Z"/>
        </w:rPr>
      </w:pPr>
      <w:del w:id="10386" w:author="AbbVie1" w:date="2025-05-13T10:11:00Z">
        <w:r w:rsidRPr="001B4A02">
          <w:delText>Abyste snížil</w:delText>
        </w:r>
        <w:r w:rsidR="00A91620" w:rsidRPr="001B4A02">
          <w:delText>(a) riziko</w:delText>
        </w:r>
        <w:r w:rsidRPr="001B4A02">
          <w:delText xml:space="preserve"> infekce, otřete místo vpichu druhým přiloženým tampónem s alkoholem.</w:delText>
        </w:r>
      </w:del>
    </w:p>
    <w:p w14:paraId="4E7F9BF3" w14:textId="77777777" w:rsidR="00D827B1" w:rsidRPr="001B4A02" w:rsidRDefault="00000000" w:rsidP="00ED48A3">
      <w:pPr>
        <w:numPr>
          <w:ilvl w:val="0"/>
          <w:numId w:val="64"/>
        </w:numPr>
        <w:tabs>
          <w:tab w:val="num" w:pos="567"/>
        </w:tabs>
        <w:ind w:left="567" w:hanging="567"/>
        <w:rPr>
          <w:del w:id="10387" w:author="AbbVie1" w:date="2025-05-13T10:11:00Z"/>
        </w:rPr>
      </w:pPr>
      <w:del w:id="10388" w:author="AbbVie1" w:date="2025-05-13T10:11:00Z">
        <w:r w:rsidRPr="001B4A02">
          <w:rPr>
            <w:b/>
          </w:rPr>
          <w:delText>NEDOTÝKEJTE</w:delText>
        </w:r>
        <w:r w:rsidRPr="001B4A02">
          <w:delText xml:space="preserve"> se místa vpichu před aplikací injekce.</w:delText>
        </w:r>
      </w:del>
    </w:p>
    <w:p w14:paraId="108EA614" w14:textId="77777777" w:rsidR="00073F8F" w:rsidRPr="001B4A02" w:rsidRDefault="00073F8F" w:rsidP="00ED48A3">
      <w:pPr>
        <w:pStyle w:val="EndnoteText"/>
        <w:ind w:left="0" w:firstLine="0"/>
        <w:rPr>
          <w:del w:id="10389" w:author="AbbVie1" w:date="2025-05-13T10:11:00Z"/>
          <w:lang w:val="cs-CZ"/>
        </w:rPr>
      </w:pPr>
    </w:p>
    <w:p w14:paraId="4B85F6DA" w14:textId="77777777" w:rsidR="00073F8F" w:rsidRPr="001B4A02" w:rsidRDefault="00000000" w:rsidP="00404AFD">
      <w:pPr>
        <w:keepNext/>
        <w:ind w:left="0" w:firstLine="0"/>
        <w:rPr>
          <w:del w:id="10390" w:author="AbbVie1" w:date="2025-05-13T10:11:00Z"/>
          <w:b/>
        </w:rPr>
      </w:pPr>
      <w:del w:id="10391" w:author="AbbVie1" w:date="2025-05-13T10:11:00Z">
        <w:r w:rsidRPr="001B4A02">
          <w:rPr>
            <w:b/>
          </w:rPr>
          <w:delText>4)</w:delText>
        </w:r>
        <w:r w:rsidRPr="001B4A02">
          <w:rPr>
            <w:b/>
          </w:rPr>
          <w:tab/>
          <w:delText>Příprava dávky</w:delText>
        </w:r>
      </w:del>
    </w:p>
    <w:p w14:paraId="6D5BDBC4" w14:textId="77777777" w:rsidR="00073F8F" w:rsidRPr="001B4A02" w:rsidRDefault="00073F8F" w:rsidP="00404AFD">
      <w:pPr>
        <w:keepNext/>
        <w:ind w:left="0" w:firstLine="0"/>
        <w:rPr>
          <w:del w:id="10392" w:author="AbbVie1" w:date="2025-05-13T10:11:00Z"/>
          <w:b/>
        </w:rPr>
      </w:pPr>
    </w:p>
    <w:p w14:paraId="780ACE7C" w14:textId="77777777" w:rsidR="0010228D" w:rsidRPr="001B4A02" w:rsidRDefault="00000000" w:rsidP="00ED48A3">
      <w:pPr>
        <w:numPr>
          <w:ilvl w:val="0"/>
          <w:numId w:val="10"/>
        </w:numPr>
        <w:tabs>
          <w:tab w:val="clear" w:pos="720"/>
          <w:tab w:val="num" w:pos="567"/>
        </w:tabs>
        <w:ind w:left="567" w:hanging="567"/>
        <w:rPr>
          <w:del w:id="10393" w:author="AbbVie1" w:date="2025-05-13T10:11:00Z"/>
        </w:rPr>
      </w:pPr>
      <w:del w:id="10394" w:author="AbbVie1" w:date="2025-05-13T10:11:00Z">
        <w:r w:rsidRPr="001B4A02">
          <w:delText>Uchopte stříkač</w:delText>
        </w:r>
        <w:r w:rsidR="00A91620" w:rsidRPr="001B4A02">
          <w:delText>ku tak, aby jehla směřovala vzhů</w:delText>
        </w:r>
        <w:r w:rsidRPr="001B4A02">
          <w:delText>ru.</w:delText>
        </w:r>
      </w:del>
    </w:p>
    <w:p w14:paraId="51A0549F" w14:textId="77777777" w:rsidR="0010228D" w:rsidRPr="001B4A02" w:rsidRDefault="00000000" w:rsidP="00ED48A3">
      <w:pPr>
        <w:numPr>
          <w:ilvl w:val="0"/>
          <w:numId w:val="10"/>
        </w:numPr>
        <w:tabs>
          <w:tab w:val="clear" w:pos="720"/>
          <w:tab w:val="num" w:pos="567"/>
        </w:tabs>
        <w:ind w:left="567" w:hanging="567"/>
        <w:rPr>
          <w:del w:id="10395" w:author="AbbVie1" w:date="2025-05-13T10:11:00Z"/>
        </w:rPr>
      </w:pPr>
      <w:del w:id="10396" w:author="AbbVie1" w:date="2025-05-13T10:11:00Z">
        <w:r w:rsidRPr="001B4A02">
          <w:delText>Použijte druhou ruku k odklopení růžového krytu jehly dolů směrem ke stříkačce.</w:delText>
        </w:r>
      </w:del>
    </w:p>
    <w:p w14:paraId="0EDB2F0E" w14:textId="77777777" w:rsidR="0010228D" w:rsidRPr="001B4A02" w:rsidRDefault="0010228D" w:rsidP="00ED48A3">
      <w:pPr>
        <w:rPr>
          <w:del w:id="10397" w:author="AbbVie1" w:date="2025-05-13T10:11:00Z"/>
        </w:rPr>
      </w:pPr>
    </w:p>
    <w:p w14:paraId="09A8F705" w14:textId="77777777" w:rsidR="0010228D" w:rsidRPr="001B4A02" w:rsidRDefault="00000000" w:rsidP="00ED48A3">
      <w:pPr>
        <w:tabs>
          <w:tab w:val="left" w:pos="660"/>
        </w:tabs>
        <w:jc w:val="center"/>
        <w:rPr>
          <w:del w:id="10398" w:author="AbbVie1" w:date="2025-05-13T10:11:00Z"/>
          <w:b/>
        </w:rPr>
      </w:pPr>
      <w:del w:id="10399" w:author="AbbVie1" w:date="2025-05-13T10:11:00Z">
        <w:r w:rsidRPr="001B4A02">
          <w:rPr>
            <w:noProof/>
            <w:lang w:val="en-US"/>
          </w:rPr>
          <w:drawing>
            <wp:inline distT="0" distB="0" distL="0" distR="0" wp14:anchorId="67867149" wp14:editId="2BB4DA95">
              <wp:extent cx="1854835" cy="1854835"/>
              <wp:effectExtent l="0" t="0" r="0" b="0"/>
              <wp:docPr id="527" name="obrázek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Picture 527"/>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1854835" cy="1854835"/>
                      </a:xfrm>
                      <a:prstGeom prst="rect">
                        <a:avLst/>
                      </a:prstGeom>
                      <a:noFill/>
                      <a:ln>
                        <a:noFill/>
                      </a:ln>
                    </pic:spPr>
                  </pic:pic>
                </a:graphicData>
              </a:graphic>
            </wp:inline>
          </w:drawing>
        </w:r>
      </w:del>
    </w:p>
    <w:p w14:paraId="32192082" w14:textId="77777777" w:rsidR="00DA75B1" w:rsidRPr="001B4A02" w:rsidRDefault="00DA75B1" w:rsidP="00ED48A3">
      <w:pPr>
        <w:tabs>
          <w:tab w:val="left" w:pos="660"/>
        </w:tabs>
        <w:jc w:val="both"/>
        <w:rPr>
          <w:del w:id="10400" w:author="AbbVie1" w:date="2025-05-13T10:11:00Z"/>
          <w:b/>
        </w:rPr>
      </w:pPr>
    </w:p>
    <w:p w14:paraId="0900DCB8" w14:textId="77777777" w:rsidR="0010228D" w:rsidRPr="001B4A02" w:rsidRDefault="00000000" w:rsidP="00ED48A3">
      <w:pPr>
        <w:numPr>
          <w:ilvl w:val="0"/>
          <w:numId w:val="10"/>
        </w:numPr>
        <w:tabs>
          <w:tab w:val="clear" w:pos="720"/>
          <w:tab w:val="num" w:pos="567"/>
        </w:tabs>
        <w:ind w:left="567" w:hanging="567"/>
        <w:rPr>
          <w:del w:id="10401" w:author="AbbVie1" w:date="2025-05-13T10:11:00Z"/>
        </w:rPr>
      </w:pPr>
      <w:del w:id="10402" w:author="AbbVie1" w:date="2025-05-13T10:11:00Z">
        <w:r w:rsidRPr="001B4A02">
          <w:delText>Druhou rukou sejměte průhledný kryt jehly zatáhnutím za něj kolmo vzhůru.</w:delText>
        </w:r>
      </w:del>
    </w:p>
    <w:p w14:paraId="012028E2" w14:textId="77777777" w:rsidR="0010228D" w:rsidRPr="001B4A02" w:rsidRDefault="0010228D" w:rsidP="00ED48A3">
      <w:pPr>
        <w:rPr>
          <w:del w:id="10403" w:author="AbbVie1" w:date="2025-05-13T10:11:00Z"/>
        </w:rPr>
      </w:pPr>
    </w:p>
    <w:p w14:paraId="49CD15C1" w14:textId="77777777" w:rsidR="0010228D" w:rsidRPr="001B4A02" w:rsidRDefault="00000000" w:rsidP="00ED48A3">
      <w:pPr>
        <w:jc w:val="center"/>
        <w:rPr>
          <w:del w:id="10404" w:author="AbbVie1" w:date="2025-05-13T10:11:00Z"/>
        </w:rPr>
      </w:pPr>
      <w:del w:id="10405" w:author="AbbVie1" w:date="2025-05-13T10:11:00Z">
        <w:r w:rsidRPr="001B4A02">
          <w:rPr>
            <w:noProof/>
            <w:lang w:val="en-US"/>
          </w:rPr>
          <w:drawing>
            <wp:inline distT="0" distB="0" distL="0" distR="0" wp14:anchorId="54325088" wp14:editId="29485969">
              <wp:extent cx="1819910" cy="1828800"/>
              <wp:effectExtent l="0" t="0" r="8890" b="0"/>
              <wp:docPr id="528" name="obrázek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Picture 528"/>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1819910" cy="1828800"/>
                      </a:xfrm>
                      <a:prstGeom prst="rect">
                        <a:avLst/>
                      </a:prstGeom>
                      <a:noFill/>
                      <a:ln>
                        <a:noFill/>
                      </a:ln>
                    </pic:spPr>
                  </pic:pic>
                </a:graphicData>
              </a:graphic>
            </wp:inline>
          </w:drawing>
        </w:r>
      </w:del>
    </w:p>
    <w:p w14:paraId="5BC87B08" w14:textId="77777777" w:rsidR="00CB2BEA" w:rsidRPr="001B4A02" w:rsidRDefault="00CB2BEA" w:rsidP="00ED48A3">
      <w:pPr>
        <w:jc w:val="both"/>
        <w:rPr>
          <w:del w:id="10406" w:author="AbbVie1" w:date="2025-05-13T10:11:00Z"/>
        </w:rPr>
      </w:pPr>
    </w:p>
    <w:p w14:paraId="3524D91E" w14:textId="77777777" w:rsidR="0010228D" w:rsidRPr="001B4A02" w:rsidRDefault="00000000" w:rsidP="00ED48A3">
      <w:pPr>
        <w:numPr>
          <w:ilvl w:val="0"/>
          <w:numId w:val="10"/>
        </w:numPr>
        <w:tabs>
          <w:tab w:val="clear" w:pos="720"/>
          <w:tab w:val="num" w:pos="567"/>
        </w:tabs>
        <w:ind w:left="567" w:hanging="567"/>
        <w:rPr>
          <w:del w:id="10407" w:author="AbbVie1" w:date="2025-05-13T10:11:00Z"/>
        </w:rPr>
      </w:pPr>
      <w:del w:id="10408" w:author="AbbVie1" w:date="2025-05-13T10:11:00Z">
        <w:r w:rsidRPr="001B4A02">
          <w:delText>Jehla je odkrytá.</w:delText>
        </w:r>
      </w:del>
    </w:p>
    <w:p w14:paraId="61AA2D5C" w14:textId="77777777" w:rsidR="0010228D" w:rsidRPr="001B4A02" w:rsidRDefault="00000000" w:rsidP="00ED48A3">
      <w:pPr>
        <w:numPr>
          <w:ilvl w:val="0"/>
          <w:numId w:val="10"/>
        </w:numPr>
        <w:tabs>
          <w:tab w:val="clear" w:pos="720"/>
          <w:tab w:val="num" w:pos="567"/>
        </w:tabs>
        <w:ind w:left="567" w:hanging="567"/>
        <w:rPr>
          <w:del w:id="10409" w:author="AbbVie1" w:date="2025-05-13T10:11:00Z"/>
        </w:rPr>
      </w:pPr>
      <w:del w:id="10410" w:author="AbbVie1" w:date="2025-05-13T10:11:00Z">
        <w:r w:rsidRPr="001B4A02">
          <w:rPr>
            <w:b/>
          </w:rPr>
          <w:delText>NEDOTÝKEJTE</w:delText>
        </w:r>
        <w:r w:rsidRPr="001B4A02">
          <w:delText xml:space="preserve"> se jehly.</w:delText>
        </w:r>
      </w:del>
    </w:p>
    <w:p w14:paraId="589B1DFA" w14:textId="77777777" w:rsidR="0010228D" w:rsidRPr="001B4A02" w:rsidRDefault="00000000" w:rsidP="00ED48A3">
      <w:pPr>
        <w:numPr>
          <w:ilvl w:val="0"/>
          <w:numId w:val="10"/>
        </w:numPr>
        <w:tabs>
          <w:tab w:val="clear" w:pos="720"/>
          <w:tab w:val="num" w:pos="567"/>
        </w:tabs>
        <w:ind w:left="567" w:hanging="567"/>
        <w:rPr>
          <w:del w:id="10411" w:author="AbbVie1" w:date="2025-05-13T10:11:00Z"/>
        </w:rPr>
      </w:pPr>
      <w:del w:id="10412" w:author="AbbVie1" w:date="2025-05-13T10:11:00Z">
        <w:r w:rsidRPr="001B4A02">
          <w:delText xml:space="preserve">Jakmile sejmete průhledný kryt jehly, </w:delText>
        </w:r>
        <w:r w:rsidRPr="001B4A02">
          <w:rPr>
            <w:b/>
          </w:rPr>
          <w:delText>NEODKLÁDEJTE</w:delText>
        </w:r>
        <w:r w:rsidR="00932C6F" w:rsidRPr="001B4A02">
          <w:delText xml:space="preserve"> stříkačku ani na okamžik.</w:delText>
        </w:r>
      </w:del>
    </w:p>
    <w:p w14:paraId="51D9EDD0" w14:textId="77777777" w:rsidR="0010228D" w:rsidRPr="001B4A02" w:rsidRDefault="00000000" w:rsidP="00ED48A3">
      <w:pPr>
        <w:numPr>
          <w:ilvl w:val="0"/>
          <w:numId w:val="10"/>
        </w:numPr>
        <w:tabs>
          <w:tab w:val="clear" w:pos="720"/>
          <w:tab w:val="num" w:pos="567"/>
        </w:tabs>
        <w:ind w:left="567" w:hanging="567"/>
        <w:rPr>
          <w:del w:id="10413" w:author="AbbVie1" w:date="2025-05-13T10:11:00Z"/>
        </w:rPr>
      </w:pPr>
      <w:del w:id="10414" w:author="AbbVie1" w:date="2025-05-13T10:11:00Z">
        <w:r w:rsidRPr="001B4A02">
          <w:rPr>
            <w:b/>
          </w:rPr>
          <w:delText>NEPOKOUŠEJTE SE</w:delText>
        </w:r>
        <w:r w:rsidRPr="001B4A02">
          <w:delText xml:space="preserve"> vrátit průhledný kryt zpátky na jehlu.</w:delText>
        </w:r>
      </w:del>
    </w:p>
    <w:p w14:paraId="30853747" w14:textId="77777777" w:rsidR="0010228D" w:rsidRPr="001B4A02" w:rsidRDefault="00000000" w:rsidP="00ED48A3">
      <w:pPr>
        <w:numPr>
          <w:ilvl w:val="0"/>
          <w:numId w:val="10"/>
        </w:numPr>
        <w:tabs>
          <w:tab w:val="clear" w:pos="720"/>
          <w:tab w:val="num" w:pos="567"/>
        </w:tabs>
        <w:ind w:left="567" w:hanging="567"/>
        <w:rPr>
          <w:del w:id="10415" w:author="AbbVie1" w:date="2025-05-13T10:11:00Z"/>
        </w:rPr>
      </w:pPr>
      <w:del w:id="10416" w:author="AbbVie1" w:date="2025-05-13T10:11:00Z">
        <w:r w:rsidRPr="001B4A02">
          <w:delText>Držte stříkačku v úrovni očí tak, aby jehla směřovala v</w:delText>
        </w:r>
        <w:r w:rsidR="005D2535">
          <w:delText>z</w:delText>
        </w:r>
        <w:r w:rsidRPr="001B4A02">
          <w:delText>hůru</w:delText>
        </w:r>
        <w:r w:rsidR="002378E0">
          <w:delText xml:space="preserve"> a </w:delText>
        </w:r>
        <w:r w:rsidRPr="001B4A02">
          <w:delText xml:space="preserve">obsah byl dobře viditelný. Dejte pozor, aby </w:delText>
        </w:r>
        <w:r w:rsidR="00F309A7" w:rsidRPr="001B4A02">
          <w:delText xml:space="preserve">Vám </w:delText>
        </w:r>
        <w:r w:rsidRPr="001B4A02">
          <w:delText>tekutina nevystříkla do očí.</w:delText>
        </w:r>
      </w:del>
    </w:p>
    <w:p w14:paraId="01A67C28" w14:textId="77777777" w:rsidR="0010228D" w:rsidRPr="001B4A02" w:rsidRDefault="00000000" w:rsidP="00ED48A3">
      <w:pPr>
        <w:numPr>
          <w:ilvl w:val="0"/>
          <w:numId w:val="10"/>
        </w:numPr>
        <w:tabs>
          <w:tab w:val="clear" w:pos="720"/>
          <w:tab w:val="num" w:pos="567"/>
        </w:tabs>
        <w:ind w:left="567" w:hanging="567"/>
        <w:rPr>
          <w:del w:id="10417" w:author="AbbVie1" w:date="2025-05-13T10:11:00Z"/>
        </w:rPr>
      </w:pPr>
      <w:del w:id="10418" w:author="AbbVie1" w:date="2025-05-13T10:11:00Z">
        <w:r w:rsidRPr="001B4A02">
          <w:delText>Znovu zkontrolujte předepsané množství léčiva.</w:delText>
        </w:r>
      </w:del>
    </w:p>
    <w:p w14:paraId="6AF5CA71" w14:textId="77777777" w:rsidR="0010228D" w:rsidRPr="001B4A02" w:rsidRDefault="00000000" w:rsidP="00ED48A3">
      <w:pPr>
        <w:numPr>
          <w:ilvl w:val="0"/>
          <w:numId w:val="10"/>
        </w:numPr>
        <w:tabs>
          <w:tab w:val="clear" w:pos="720"/>
          <w:tab w:val="num" w:pos="567"/>
        </w:tabs>
        <w:ind w:left="567" w:hanging="567"/>
        <w:rPr>
          <w:del w:id="10419" w:author="AbbVie1" w:date="2025-05-13T10:11:00Z"/>
        </w:rPr>
      </w:pPr>
      <w:del w:id="10420" w:author="AbbVie1" w:date="2025-05-13T10:11:00Z">
        <w:r w:rsidRPr="001B4A02">
          <w:delText>Jemně zatlačte bílý píst do stříkačky</w:delText>
        </w:r>
        <w:r w:rsidR="00F309A7" w:rsidRPr="001B4A02">
          <w:delText>,</w:delText>
        </w:r>
        <w:r w:rsidRPr="001B4A02">
          <w:delText xml:space="preserve"> dokud nebude stříkačka obsahovat předepsané množství tekutiny. Nadbytek tekutiny může vytéct z</w:delText>
        </w:r>
        <w:r w:rsidR="00A91620" w:rsidRPr="001B4A02">
          <w:delText> </w:delText>
        </w:r>
        <w:r w:rsidRPr="001B4A02">
          <w:delText>jehly</w:delText>
        </w:r>
        <w:r w:rsidR="00A91620" w:rsidRPr="001B4A02">
          <w:delText>,</w:delText>
        </w:r>
        <w:r w:rsidRPr="001B4A02">
          <w:delText xml:space="preserve"> jakmile zatlačíte na píst. </w:delText>
        </w:r>
        <w:r w:rsidRPr="001B4A02">
          <w:rPr>
            <w:b/>
          </w:rPr>
          <w:delText>NEOTÍREJTE</w:delText>
        </w:r>
        <w:r w:rsidR="00A91620" w:rsidRPr="001B4A02">
          <w:delText xml:space="preserve"> jehlu ani</w:delText>
        </w:r>
        <w:r w:rsidRPr="001B4A02">
          <w:delText xml:space="preserve"> stříkačku.</w:delText>
        </w:r>
      </w:del>
    </w:p>
    <w:p w14:paraId="72644EEE" w14:textId="77777777" w:rsidR="00073F8F" w:rsidRPr="001B4A02" w:rsidRDefault="00073F8F" w:rsidP="00ED48A3">
      <w:pPr>
        <w:ind w:left="0" w:firstLine="0"/>
        <w:rPr>
          <w:del w:id="10421" w:author="AbbVie1" w:date="2025-05-13T10:11:00Z"/>
        </w:rPr>
      </w:pPr>
    </w:p>
    <w:p w14:paraId="0D34EBD6" w14:textId="77777777" w:rsidR="00073F8F" w:rsidRPr="001B4A02" w:rsidRDefault="00000000" w:rsidP="00404AFD">
      <w:pPr>
        <w:keepNext/>
        <w:rPr>
          <w:del w:id="10422" w:author="AbbVie1" w:date="2025-05-13T10:11:00Z"/>
          <w:b/>
        </w:rPr>
      </w:pPr>
      <w:del w:id="10423" w:author="AbbVie1" w:date="2025-05-13T10:11:00Z">
        <w:r w:rsidRPr="001B4A02">
          <w:rPr>
            <w:b/>
          </w:rPr>
          <w:delText>5)</w:delText>
        </w:r>
        <w:r w:rsidRPr="001B4A02">
          <w:rPr>
            <w:b/>
          </w:rPr>
          <w:tab/>
          <w:delText>Podání injekce přípravku Humira</w:delText>
        </w:r>
      </w:del>
    </w:p>
    <w:p w14:paraId="42482F75" w14:textId="77777777" w:rsidR="00D4194D" w:rsidRPr="001B4A02" w:rsidRDefault="00D4194D" w:rsidP="00404AFD">
      <w:pPr>
        <w:keepNext/>
        <w:rPr>
          <w:del w:id="10424" w:author="AbbVie1" w:date="2025-05-13T10:11:00Z"/>
          <w:b/>
        </w:rPr>
      </w:pPr>
    </w:p>
    <w:p w14:paraId="6651769D" w14:textId="77777777" w:rsidR="00073F8F" w:rsidRPr="001B4A02" w:rsidRDefault="00000000" w:rsidP="00EE5B9A">
      <w:pPr>
        <w:numPr>
          <w:ilvl w:val="0"/>
          <w:numId w:val="11"/>
        </w:numPr>
        <w:tabs>
          <w:tab w:val="clear" w:pos="720"/>
        </w:tabs>
        <w:ind w:left="567" w:hanging="567"/>
        <w:rPr>
          <w:del w:id="10425" w:author="AbbVie1" w:date="2025-05-13T10:11:00Z"/>
        </w:rPr>
      </w:pPr>
      <w:del w:id="10426" w:author="AbbVie1" w:date="2025-05-13T10:11:00Z">
        <w:r w:rsidRPr="001B4A02">
          <w:delText>Volnou rukou jemně uchopte</w:delText>
        </w:r>
        <w:r w:rsidR="002378E0">
          <w:delText xml:space="preserve"> a </w:delText>
        </w:r>
        <w:r w:rsidRPr="001B4A02">
          <w:delText>pevně podržte očištěnou oblast kůže.</w:delText>
        </w:r>
      </w:del>
    </w:p>
    <w:p w14:paraId="5E406071" w14:textId="77777777" w:rsidR="00073F8F" w:rsidRPr="001B4A02" w:rsidRDefault="00000000" w:rsidP="00ED48A3">
      <w:pPr>
        <w:pStyle w:val="EndnoteText"/>
        <w:numPr>
          <w:ilvl w:val="0"/>
          <w:numId w:val="11"/>
        </w:numPr>
        <w:tabs>
          <w:tab w:val="clear" w:pos="720"/>
          <w:tab w:val="num" w:pos="567"/>
        </w:tabs>
        <w:ind w:left="567" w:hanging="567"/>
        <w:rPr>
          <w:del w:id="10427" w:author="AbbVie1" w:date="2025-05-13T10:11:00Z"/>
          <w:lang w:val="cs-CZ"/>
        </w:rPr>
      </w:pPr>
      <w:del w:id="10428" w:author="AbbVie1" w:date="2025-05-13T10:11:00Z">
        <w:r w:rsidRPr="001B4A02">
          <w:rPr>
            <w:lang w:val="cs-CZ"/>
          </w:rPr>
          <w:delText>Druhou rukou držte stříkačku proti kůži pod úhlem 45°.</w:delText>
        </w:r>
      </w:del>
    </w:p>
    <w:p w14:paraId="66C0AF1B" w14:textId="77777777" w:rsidR="00073F8F" w:rsidRPr="001B4A02" w:rsidRDefault="00073F8F" w:rsidP="00ED48A3">
      <w:pPr>
        <w:pStyle w:val="EndnoteText"/>
        <w:ind w:left="0" w:firstLine="0"/>
        <w:rPr>
          <w:del w:id="10429" w:author="AbbVie1" w:date="2025-05-13T10:11:00Z"/>
          <w:lang w:val="cs-CZ"/>
        </w:rPr>
      </w:pPr>
    </w:p>
    <w:p w14:paraId="090A99C5" w14:textId="77777777" w:rsidR="00CB2BEA" w:rsidRPr="001B4A02" w:rsidRDefault="00000000" w:rsidP="00ED48A3">
      <w:pPr>
        <w:ind w:left="0" w:firstLine="0"/>
        <w:jc w:val="center"/>
        <w:rPr>
          <w:del w:id="10430" w:author="AbbVie1" w:date="2025-05-13T10:11:00Z"/>
        </w:rPr>
      </w:pPr>
      <w:del w:id="10431" w:author="AbbVie1" w:date="2025-05-13T10:11:00Z">
        <w:r w:rsidRPr="001B4A02">
          <w:rPr>
            <w:noProof/>
            <w:lang w:val="en-US"/>
          </w:rPr>
          <w:drawing>
            <wp:inline distT="0" distB="0" distL="0" distR="0" wp14:anchorId="579AC91D" wp14:editId="682251AC">
              <wp:extent cx="1898015" cy="1854835"/>
              <wp:effectExtent l="0" t="0" r="6985" b="0"/>
              <wp:docPr id="529" name="obrázek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Picture 529"/>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1898015" cy="1854835"/>
                      </a:xfrm>
                      <a:prstGeom prst="rect">
                        <a:avLst/>
                      </a:prstGeom>
                      <a:noFill/>
                      <a:ln>
                        <a:noFill/>
                      </a:ln>
                    </pic:spPr>
                  </pic:pic>
                </a:graphicData>
              </a:graphic>
            </wp:inline>
          </w:drawing>
        </w:r>
      </w:del>
    </w:p>
    <w:p w14:paraId="76B9D0D0" w14:textId="77777777" w:rsidR="00CB2BEA" w:rsidRPr="001B4A02" w:rsidRDefault="00CB2BEA" w:rsidP="00ED48A3">
      <w:pPr>
        <w:ind w:left="0" w:firstLine="0"/>
        <w:rPr>
          <w:del w:id="10432" w:author="AbbVie1" w:date="2025-05-13T10:11:00Z"/>
        </w:rPr>
      </w:pPr>
    </w:p>
    <w:p w14:paraId="518CA8E2" w14:textId="77777777" w:rsidR="00073F8F" w:rsidRPr="001B4A02" w:rsidRDefault="00000000" w:rsidP="00ED48A3">
      <w:pPr>
        <w:keepNext/>
        <w:numPr>
          <w:ilvl w:val="0"/>
          <w:numId w:val="11"/>
        </w:numPr>
        <w:tabs>
          <w:tab w:val="clear" w:pos="720"/>
          <w:tab w:val="num" w:pos="567"/>
        </w:tabs>
        <w:ind w:left="567" w:hanging="567"/>
        <w:rPr>
          <w:del w:id="10433" w:author="AbbVie1" w:date="2025-05-13T10:11:00Z"/>
        </w:rPr>
      </w:pPr>
      <w:del w:id="10434" w:author="AbbVie1" w:date="2025-05-13T10:11:00Z">
        <w:r w:rsidRPr="001B4A02">
          <w:delText>Jedním rychlým</w:delText>
        </w:r>
        <w:r w:rsidR="002378E0">
          <w:delText xml:space="preserve"> a </w:delText>
        </w:r>
        <w:r w:rsidRPr="001B4A02">
          <w:delText>krátkým pohybem vpíchněte celou jehlu do kůže.</w:delText>
        </w:r>
      </w:del>
    </w:p>
    <w:p w14:paraId="1C37C08B" w14:textId="77777777" w:rsidR="00073F8F" w:rsidRPr="001B4A02" w:rsidRDefault="00000000" w:rsidP="00ED48A3">
      <w:pPr>
        <w:keepNext/>
        <w:numPr>
          <w:ilvl w:val="0"/>
          <w:numId w:val="11"/>
        </w:numPr>
        <w:tabs>
          <w:tab w:val="clear" w:pos="720"/>
          <w:tab w:val="num" w:pos="567"/>
        </w:tabs>
        <w:ind w:left="567" w:hanging="567"/>
        <w:rPr>
          <w:del w:id="10435" w:author="AbbVie1" w:date="2025-05-13T10:11:00Z"/>
        </w:rPr>
      </w:pPr>
      <w:del w:id="10436" w:author="AbbVie1" w:date="2025-05-13T10:11:00Z">
        <w:r w:rsidRPr="001B4A02">
          <w:delText>Pusťte kůži</w:delText>
        </w:r>
        <w:r w:rsidR="00E40A64" w:rsidRPr="001B4A02">
          <w:delText>, kterou jste dosud držel</w:delText>
        </w:r>
        <w:r w:rsidR="00A91620" w:rsidRPr="001B4A02">
          <w:delText>(a)</w:delText>
        </w:r>
        <w:r w:rsidRPr="001B4A02">
          <w:delText>.</w:delText>
        </w:r>
      </w:del>
    </w:p>
    <w:p w14:paraId="21E25131" w14:textId="77777777" w:rsidR="00073F8F" w:rsidRPr="001B4A02" w:rsidRDefault="00000000" w:rsidP="00ED48A3">
      <w:pPr>
        <w:keepNext/>
        <w:numPr>
          <w:ilvl w:val="0"/>
          <w:numId w:val="11"/>
        </w:numPr>
        <w:tabs>
          <w:tab w:val="clear" w:pos="720"/>
          <w:tab w:val="num" w:pos="567"/>
        </w:tabs>
        <w:ind w:left="567" w:hanging="567"/>
        <w:rPr>
          <w:del w:id="10437" w:author="AbbVie1" w:date="2025-05-13T10:11:00Z"/>
        </w:rPr>
      </w:pPr>
      <w:del w:id="10438" w:author="AbbVie1" w:date="2025-05-13T10:11:00Z">
        <w:r w:rsidRPr="001B4A02">
          <w:delText xml:space="preserve">Tlakem na </w:delText>
        </w:r>
        <w:r w:rsidR="00E40A64" w:rsidRPr="001B4A02">
          <w:delText xml:space="preserve">bílý </w:delText>
        </w:r>
        <w:r w:rsidRPr="001B4A02">
          <w:delText xml:space="preserve">píst aplikujte roztok </w:delText>
        </w:r>
        <w:r w:rsidR="00E40A64" w:rsidRPr="001B4A02">
          <w:delText xml:space="preserve">léčiva </w:delText>
        </w:r>
        <w:r w:rsidRPr="001B4A02">
          <w:delText>až do vyprázdnění stříkačky.</w:delText>
        </w:r>
      </w:del>
    </w:p>
    <w:p w14:paraId="02517D3A" w14:textId="77777777" w:rsidR="00073F8F" w:rsidRPr="001B4A02" w:rsidRDefault="00000000" w:rsidP="00ED48A3">
      <w:pPr>
        <w:keepNext/>
        <w:numPr>
          <w:ilvl w:val="0"/>
          <w:numId w:val="11"/>
        </w:numPr>
        <w:tabs>
          <w:tab w:val="clear" w:pos="720"/>
          <w:tab w:val="num" w:pos="567"/>
        </w:tabs>
        <w:ind w:left="567" w:hanging="567"/>
        <w:rPr>
          <w:del w:id="10439" w:author="AbbVie1" w:date="2025-05-13T10:11:00Z"/>
        </w:rPr>
      </w:pPr>
      <w:del w:id="10440" w:author="AbbVie1" w:date="2025-05-13T10:11:00Z">
        <w:r w:rsidRPr="001B4A02">
          <w:delText xml:space="preserve">Když je stříkačka prázdná, vytáhněte jehlu </w:delText>
        </w:r>
        <w:r w:rsidR="00A91620" w:rsidRPr="001B4A02">
          <w:delText xml:space="preserve">z kůže, </w:delText>
        </w:r>
        <w:r w:rsidR="000203D5" w:rsidRPr="001B4A02">
          <w:delText>dejte pozor, abyste ji vytáhl</w:delText>
        </w:r>
        <w:r w:rsidR="00A91620" w:rsidRPr="001B4A02">
          <w:delText>(a)</w:delText>
        </w:r>
        <w:r w:rsidR="000203D5" w:rsidRPr="001B4A02">
          <w:delText xml:space="preserve"> </w:delText>
        </w:r>
        <w:r w:rsidRPr="001B4A02">
          <w:delText>pod stejným úhlem, jako jste ji vpichoval(a).</w:delText>
        </w:r>
      </w:del>
    </w:p>
    <w:p w14:paraId="0B3DC4EF" w14:textId="77777777" w:rsidR="000203D5" w:rsidRPr="001B4A02" w:rsidRDefault="00000000" w:rsidP="00ED48A3">
      <w:pPr>
        <w:keepNext/>
        <w:numPr>
          <w:ilvl w:val="0"/>
          <w:numId w:val="11"/>
        </w:numPr>
        <w:tabs>
          <w:tab w:val="clear" w:pos="720"/>
          <w:tab w:val="num" w:pos="567"/>
        </w:tabs>
        <w:ind w:left="567" w:hanging="567"/>
        <w:rPr>
          <w:del w:id="10441" w:author="AbbVie1" w:date="2025-05-13T10:11:00Z"/>
        </w:rPr>
      </w:pPr>
      <w:del w:id="10442" w:author="AbbVie1" w:date="2025-05-13T10:11:00Z">
        <w:r w:rsidRPr="001B4A02">
          <w:delText>Lehce přiklopte růžový kryt jehly zpět přes jehlu na své místo</w:delText>
        </w:r>
        <w:r w:rsidR="002378E0">
          <w:delText xml:space="preserve"> a </w:delText>
        </w:r>
        <w:r w:rsidRPr="001B4A02">
          <w:delText>odložte stříkačku s jehlou na pracovní plochu.</w:delText>
        </w:r>
        <w:r w:rsidR="00193AB5" w:rsidRPr="001B4A02">
          <w:rPr>
            <w:b/>
          </w:rPr>
          <w:delText xml:space="preserve"> </w:delText>
        </w:r>
        <w:r w:rsidRPr="001B4A02">
          <w:rPr>
            <w:b/>
          </w:rPr>
          <w:delText>NEVRACEJTE</w:delText>
        </w:r>
        <w:r w:rsidRPr="001B4A02">
          <w:delText xml:space="preserve"> průhledný kryt jehly zpátky na jehlu.</w:delText>
        </w:r>
      </w:del>
    </w:p>
    <w:p w14:paraId="5BB8B468" w14:textId="77777777" w:rsidR="000203D5" w:rsidRPr="001B4A02" w:rsidRDefault="000203D5" w:rsidP="00ED48A3">
      <w:pPr>
        <w:rPr>
          <w:del w:id="10443" w:author="AbbVie1" w:date="2025-05-13T10:11:00Z"/>
        </w:rPr>
      </w:pPr>
    </w:p>
    <w:p w14:paraId="57EDD15D" w14:textId="77777777" w:rsidR="000203D5" w:rsidRPr="001B4A02" w:rsidRDefault="00000000" w:rsidP="00ED48A3">
      <w:pPr>
        <w:pStyle w:val="EMEANormal"/>
        <w:jc w:val="center"/>
        <w:rPr>
          <w:del w:id="10444" w:author="AbbVie1" w:date="2025-05-13T10:11:00Z"/>
          <w:lang w:val="cs-CZ"/>
        </w:rPr>
      </w:pPr>
      <w:del w:id="10445" w:author="AbbVie1" w:date="2025-05-13T10:11:00Z">
        <w:r w:rsidRPr="001B4A02">
          <w:rPr>
            <w:noProof/>
          </w:rPr>
          <w:drawing>
            <wp:inline distT="0" distB="0" distL="0" distR="0" wp14:anchorId="07A42228" wp14:editId="3EBF16DF">
              <wp:extent cx="3916680" cy="1802765"/>
              <wp:effectExtent l="0" t="0" r="7620" b="6985"/>
              <wp:docPr id="530" name="obrázek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Picture 530"/>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3916680" cy="1802765"/>
                      </a:xfrm>
                      <a:prstGeom prst="rect">
                        <a:avLst/>
                      </a:prstGeom>
                      <a:noFill/>
                      <a:ln>
                        <a:noFill/>
                      </a:ln>
                    </pic:spPr>
                  </pic:pic>
                </a:graphicData>
              </a:graphic>
            </wp:inline>
          </w:drawing>
        </w:r>
      </w:del>
    </w:p>
    <w:p w14:paraId="5985B44D" w14:textId="77777777" w:rsidR="00CB2BEA" w:rsidRPr="001B4A02" w:rsidRDefault="00CB2BEA" w:rsidP="00ED48A3">
      <w:pPr>
        <w:pStyle w:val="EMEANormal"/>
        <w:rPr>
          <w:del w:id="10446" w:author="AbbVie1" w:date="2025-05-13T10:11:00Z"/>
          <w:lang w:val="cs-CZ"/>
        </w:rPr>
      </w:pPr>
    </w:p>
    <w:p w14:paraId="7962CDCE" w14:textId="77777777" w:rsidR="00073F8F" w:rsidRPr="001B4A02" w:rsidRDefault="00000000" w:rsidP="00ED48A3">
      <w:pPr>
        <w:numPr>
          <w:ilvl w:val="0"/>
          <w:numId w:val="11"/>
        </w:numPr>
        <w:tabs>
          <w:tab w:val="clear" w:pos="720"/>
          <w:tab w:val="num" w:pos="567"/>
        </w:tabs>
        <w:ind w:left="567" w:hanging="567"/>
        <w:rPr>
          <w:del w:id="10447" w:author="AbbVie1" w:date="2025-05-13T10:11:00Z"/>
        </w:rPr>
      </w:pPr>
      <w:del w:id="10448" w:author="AbbVie1" w:date="2025-05-13T10:11:00Z">
        <w:r w:rsidRPr="001B4A02">
          <w:delText>Přitiskněte kous</w:delText>
        </w:r>
        <w:r w:rsidR="000203D5" w:rsidRPr="001B4A02">
          <w:delText>e</w:delText>
        </w:r>
        <w:r w:rsidRPr="001B4A02">
          <w:delText xml:space="preserve">k gázy </w:delText>
        </w:r>
        <w:r w:rsidR="000203D5" w:rsidRPr="001B4A02">
          <w:delText xml:space="preserve">na </w:delText>
        </w:r>
        <w:r w:rsidRPr="001B4A02">
          <w:delText>místo injekčního vpichu</w:delText>
        </w:r>
        <w:r w:rsidR="002378E0">
          <w:delText xml:space="preserve"> a </w:delText>
        </w:r>
        <w:r w:rsidRPr="001B4A02">
          <w:delText xml:space="preserve">držte je stlačené po dobu 10 vteřin. Může se objevit malé krvácení. </w:delText>
        </w:r>
        <w:r w:rsidRPr="001B4A02">
          <w:rPr>
            <w:b/>
          </w:rPr>
          <w:delText>N</w:delText>
        </w:r>
        <w:r w:rsidR="000203D5" w:rsidRPr="001B4A02">
          <w:rPr>
            <w:b/>
          </w:rPr>
          <w:delText>ETŘETE</w:delText>
        </w:r>
        <w:r w:rsidRPr="001B4A02">
          <w:delText xml:space="preserve"> místo vpichu. Pokud chcete, </w:delText>
        </w:r>
        <w:r w:rsidR="000203D5" w:rsidRPr="001B4A02">
          <w:delText xml:space="preserve">přelepte </w:delText>
        </w:r>
        <w:r w:rsidRPr="001B4A02">
          <w:delText>místo vpichu náplastí.</w:delText>
        </w:r>
      </w:del>
    </w:p>
    <w:p w14:paraId="5E7E3DE3" w14:textId="77777777" w:rsidR="00073F8F" w:rsidRPr="001B4A02" w:rsidRDefault="00073F8F" w:rsidP="00ED48A3">
      <w:pPr>
        <w:ind w:left="0" w:firstLine="0"/>
        <w:rPr>
          <w:del w:id="10449" w:author="AbbVie1" w:date="2025-05-13T10:11:00Z"/>
        </w:rPr>
      </w:pPr>
    </w:p>
    <w:p w14:paraId="2C191697" w14:textId="77777777" w:rsidR="00073F8F" w:rsidRPr="001B4A02" w:rsidRDefault="00000000" w:rsidP="00404AFD">
      <w:pPr>
        <w:keepNext/>
        <w:ind w:left="0" w:firstLine="0"/>
        <w:rPr>
          <w:del w:id="10450" w:author="AbbVie1" w:date="2025-05-13T10:11:00Z"/>
          <w:b/>
        </w:rPr>
      </w:pPr>
      <w:del w:id="10451" w:author="AbbVie1" w:date="2025-05-13T10:11:00Z">
        <w:r w:rsidRPr="001B4A02">
          <w:rPr>
            <w:b/>
          </w:rPr>
          <w:delText>6)</w:delText>
        </w:r>
        <w:r w:rsidRPr="001B4A02">
          <w:rPr>
            <w:b/>
          </w:rPr>
          <w:tab/>
          <w:delText>Odstranění pomůcek</w:delText>
        </w:r>
      </w:del>
    </w:p>
    <w:p w14:paraId="598472A0" w14:textId="77777777" w:rsidR="00073F8F" w:rsidRPr="001B4A02" w:rsidRDefault="00073F8F" w:rsidP="00404AFD">
      <w:pPr>
        <w:keepNext/>
        <w:ind w:left="0" w:firstLine="0"/>
        <w:rPr>
          <w:del w:id="10452" w:author="AbbVie1" w:date="2025-05-13T10:11:00Z"/>
          <w:b/>
        </w:rPr>
      </w:pPr>
    </w:p>
    <w:p w14:paraId="492E40D0" w14:textId="77777777" w:rsidR="00073F8F" w:rsidRPr="001B4A02" w:rsidRDefault="00000000" w:rsidP="00ED48A3">
      <w:pPr>
        <w:numPr>
          <w:ilvl w:val="0"/>
          <w:numId w:val="12"/>
        </w:numPr>
        <w:tabs>
          <w:tab w:val="clear" w:pos="360"/>
          <w:tab w:val="num" w:pos="567"/>
        </w:tabs>
        <w:ind w:left="567" w:hanging="567"/>
        <w:rPr>
          <w:del w:id="10453" w:author="AbbVie1" w:date="2025-05-13T10:11:00Z"/>
        </w:rPr>
      </w:pPr>
      <w:del w:id="10454" w:author="AbbVie1" w:date="2025-05-13T10:11:00Z">
        <w:r w:rsidRPr="001B4A02">
          <w:delText xml:space="preserve">Budete potřebovat speciální nádobu na odpad, </w:delText>
        </w:r>
        <w:r w:rsidR="00CE65DE" w:rsidRPr="001B4A02">
          <w:delText>jako</w:delText>
        </w:r>
        <w:r w:rsidRPr="001B4A02">
          <w:delText xml:space="preserve"> je </w:delText>
        </w:r>
        <w:r w:rsidR="00CE65DE" w:rsidRPr="001B4A02">
          <w:delText xml:space="preserve">např. </w:delText>
        </w:r>
        <w:r w:rsidRPr="001B4A02">
          <w:delText>kontejner na ostré předměty</w:delText>
        </w:r>
        <w:r w:rsidR="00F309A7" w:rsidRPr="001B4A02">
          <w:delText>,</w:delText>
        </w:r>
        <w:r w:rsidRPr="001B4A02">
          <w:delText xml:space="preserve"> nebo postupujte podle </w:delText>
        </w:r>
        <w:r w:rsidR="00CE65DE" w:rsidRPr="001B4A02">
          <w:delText>instrukcí</w:delText>
        </w:r>
        <w:r w:rsidRPr="001B4A02">
          <w:delText xml:space="preserve"> zdravotní sestry</w:delText>
        </w:r>
        <w:r w:rsidR="00CE65DE" w:rsidRPr="001B4A02">
          <w:delText>, lékaře</w:delText>
        </w:r>
        <w:r w:rsidR="00932C6F" w:rsidRPr="001B4A02">
          <w:delText xml:space="preserve"> nebo lékárníka.</w:delText>
        </w:r>
      </w:del>
    </w:p>
    <w:p w14:paraId="0E79397E" w14:textId="77777777" w:rsidR="00A05A61" w:rsidRPr="001B4A02" w:rsidRDefault="00000000" w:rsidP="00ED48A3">
      <w:pPr>
        <w:numPr>
          <w:ilvl w:val="0"/>
          <w:numId w:val="12"/>
        </w:numPr>
        <w:tabs>
          <w:tab w:val="clear" w:pos="360"/>
          <w:tab w:val="num" w:pos="567"/>
        </w:tabs>
        <w:ind w:left="567" w:hanging="567"/>
        <w:rPr>
          <w:del w:id="10455" w:author="AbbVie1" w:date="2025-05-13T10:11:00Z"/>
        </w:rPr>
      </w:pPr>
      <w:del w:id="10456" w:author="AbbVie1" w:date="2025-05-13T10:11:00Z">
        <w:r w:rsidRPr="001B4A02">
          <w:delText>Injekční st</w:delText>
        </w:r>
        <w:r w:rsidR="005D2535">
          <w:delText>ř</w:delText>
        </w:r>
        <w:r w:rsidRPr="001B4A02">
          <w:delText>íkačk</w:delText>
        </w:r>
        <w:r w:rsidR="00CE65DE" w:rsidRPr="001B4A02">
          <w:delText>u s jehlou, lahvičku</w:delText>
        </w:r>
        <w:r w:rsidR="002378E0">
          <w:delText xml:space="preserve"> a </w:delText>
        </w:r>
        <w:r w:rsidR="00CE65DE" w:rsidRPr="001B4A02">
          <w:delText>adapt</w:delText>
        </w:r>
        <w:r w:rsidRPr="001B4A02">
          <w:delText xml:space="preserve">ér na lahvičku vložte do speciálního kontejneru na ostré předměty. </w:delText>
        </w:r>
        <w:r w:rsidRPr="001B4A02">
          <w:rPr>
            <w:b/>
          </w:rPr>
          <w:delText>NEVYHAZUJTE</w:delText>
        </w:r>
        <w:r w:rsidRPr="001B4A02">
          <w:delText xml:space="preserve"> tento odpad do běžného domácího odpadu.</w:delText>
        </w:r>
      </w:del>
    </w:p>
    <w:p w14:paraId="5B9F46A7" w14:textId="77777777" w:rsidR="00A05A61" w:rsidRPr="001B4A02" w:rsidRDefault="00000000" w:rsidP="00ED48A3">
      <w:pPr>
        <w:numPr>
          <w:ilvl w:val="0"/>
          <w:numId w:val="12"/>
        </w:numPr>
        <w:tabs>
          <w:tab w:val="clear" w:pos="360"/>
          <w:tab w:val="num" w:pos="567"/>
        </w:tabs>
        <w:ind w:left="567" w:hanging="567"/>
        <w:rPr>
          <w:del w:id="10457" w:author="AbbVie1" w:date="2025-05-13T10:11:00Z"/>
        </w:rPr>
      </w:pPr>
      <w:del w:id="10458" w:author="AbbVie1" w:date="2025-05-13T10:11:00Z">
        <w:r w:rsidRPr="001B4A02">
          <w:delText>Stříkačka, jehla, lahvička</w:delText>
        </w:r>
        <w:r w:rsidR="002378E0">
          <w:delText xml:space="preserve"> a </w:delText>
        </w:r>
        <w:r w:rsidRPr="001B4A02">
          <w:delText>adaptér</w:delText>
        </w:r>
        <w:r w:rsidR="00CE65DE" w:rsidRPr="001B4A02">
          <w:delText xml:space="preserve"> se</w:delText>
        </w:r>
        <w:r w:rsidRPr="001B4A02">
          <w:delText xml:space="preserve"> </w:delText>
        </w:r>
        <w:r w:rsidRPr="001B4A02">
          <w:rPr>
            <w:b/>
          </w:rPr>
          <w:delText>NESMÍ</w:delText>
        </w:r>
        <w:r w:rsidRPr="001B4A02">
          <w:delText xml:space="preserve"> </w:delText>
        </w:r>
        <w:r w:rsidRPr="001B4A02">
          <w:rPr>
            <w:b/>
          </w:rPr>
          <w:delText>NIKDY</w:delText>
        </w:r>
        <w:r w:rsidRPr="001B4A02">
          <w:delText xml:space="preserve"> </w:delText>
        </w:r>
        <w:r w:rsidR="00CE65DE" w:rsidRPr="001B4A02">
          <w:delText xml:space="preserve">znovu </w:delText>
        </w:r>
        <w:r w:rsidRPr="001B4A02">
          <w:delText>použ</w:delText>
        </w:r>
        <w:r w:rsidR="00CE65DE" w:rsidRPr="001B4A02">
          <w:delText>ít</w:delText>
        </w:r>
        <w:r w:rsidRPr="001B4A02">
          <w:delText>.</w:delText>
        </w:r>
      </w:del>
    </w:p>
    <w:p w14:paraId="08665122" w14:textId="77777777" w:rsidR="00073F8F" w:rsidRPr="001B4A02" w:rsidRDefault="00000000" w:rsidP="00ED48A3">
      <w:pPr>
        <w:numPr>
          <w:ilvl w:val="0"/>
          <w:numId w:val="12"/>
        </w:numPr>
        <w:tabs>
          <w:tab w:val="clear" w:pos="360"/>
          <w:tab w:val="num" w:pos="567"/>
        </w:tabs>
        <w:ind w:left="567" w:hanging="567"/>
        <w:rPr>
          <w:del w:id="10459" w:author="AbbVie1" w:date="2025-05-13T10:11:00Z"/>
        </w:rPr>
      </w:pPr>
      <w:del w:id="10460" w:author="AbbVie1" w:date="2025-05-13T10:11:00Z">
        <w:r w:rsidRPr="001B4A02">
          <w:delText xml:space="preserve">Speciální nádobu s použitými stříkačkami uchovávejte </w:delText>
        </w:r>
        <w:r w:rsidR="00CE65DE" w:rsidRPr="001B4A02">
          <w:delText xml:space="preserve">vždy </w:delText>
        </w:r>
        <w:r w:rsidRPr="001B4A02">
          <w:delText xml:space="preserve">mimo </w:delText>
        </w:r>
        <w:r w:rsidR="00AD23B9" w:rsidRPr="001B4A02">
          <w:delText>dohled</w:delText>
        </w:r>
        <w:r w:rsidR="002378E0">
          <w:delText xml:space="preserve"> a </w:delText>
        </w:r>
        <w:r w:rsidRPr="001B4A02">
          <w:delText>dosah dětí.</w:delText>
        </w:r>
      </w:del>
    </w:p>
    <w:p w14:paraId="58433E5F" w14:textId="77777777" w:rsidR="00A05A61" w:rsidRPr="001B4A02" w:rsidRDefault="00000000" w:rsidP="00ED48A3">
      <w:pPr>
        <w:numPr>
          <w:ilvl w:val="0"/>
          <w:numId w:val="12"/>
        </w:numPr>
        <w:tabs>
          <w:tab w:val="clear" w:pos="360"/>
          <w:tab w:val="num" w:pos="567"/>
        </w:tabs>
        <w:ind w:left="567" w:hanging="567"/>
        <w:rPr>
          <w:del w:id="10461" w:author="AbbVie1" w:date="2025-05-13T10:11:00Z"/>
        </w:rPr>
      </w:pPr>
      <w:del w:id="10462" w:author="AbbVie1" w:date="2025-05-13T10:11:00Z">
        <w:r w:rsidRPr="001B4A02">
          <w:delText>Všechny další použ</w:delText>
        </w:r>
        <w:r w:rsidR="00815AFD" w:rsidRPr="001B4A02">
          <w:delText>i</w:delText>
        </w:r>
        <w:r w:rsidRPr="001B4A02">
          <w:delText>té pomůcky vyhoďte do běžného domácího odpadu.</w:delText>
        </w:r>
      </w:del>
    </w:p>
    <w:p w14:paraId="26BCA51F" w14:textId="77777777" w:rsidR="00073F8F" w:rsidRPr="001B4A02" w:rsidRDefault="00073F8F" w:rsidP="00ED48A3">
      <w:pPr>
        <w:ind w:left="0" w:firstLine="0"/>
        <w:rPr>
          <w:del w:id="10463" w:author="AbbVie1" w:date="2025-05-13T10:11:00Z"/>
        </w:rPr>
      </w:pPr>
    </w:p>
    <w:p w14:paraId="2E174B3D" w14:textId="77777777" w:rsidR="00073F8F" w:rsidRPr="001B4A02" w:rsidRDefault="00000000" w:rsidP="00404AFD">
      <w:pPr>
        <w:keepNext/>
        <w:ind w:left="0" w:firstLine="0"/>
        <w:rPr>
          <w:del w:id="10464" w:author="AbbVie1" w:date="2025-05-13T10:11:00Z"/>
          <w:b/>
        </w:rPr>
      </w:pPr>
      <w:del w:id="10465" w:author="AbbVie1" w:date="2025-05-13T10:11:00Z">
        <w:r w:rsidRPr="001B4A02">
          <w:rPr>
            <w:b/>
          </w:rPr>
          <w:delText xml:space="preserve">Jestliže jste </w:delText>
        </w:r>
        <w:r w:rsidR="00121AA4" w:rsidRPr="001B4A02">
          <w:rPr>
            <w:b/>
          </w:rPr>
          <w:delText>po</w:delText>
        </w:r>
        <w:r w:rsidRPr="001B4A02">
          <w:rPr>
            <w:b/>
          </w:rPr>
          <w:delText>užil(a) více přípravku Humira, než jste měl(a)</w:delText>
        </w:r>
      </w:del>
    </w:p>
    <w:p w14:paraId="4EAE26BF" w14:textId="77777777" w:rsidR="00073F8F" w:rsidRPr="001B4A02" w:rsidRDefault="00073F8F" w:rsidP="00404AFD">
      <w:pPr>
        <w:keepNext/>
        <w:ind w:left="0" w:firstLine="0"/>
        <w:rPr>
          <w:del w:id="10466" w:author="AbbVie1" w:date="2025-05-13T10:11:00Z"/>
          <w:b/>
        </w:rPr>
      </w:pPr>
    </w:p>
    <w:p w14:paraId="0A114116" w14:textId="77777777" w:rsidR="00073F8F" w:rsidRPr="001B4A02" w:rsidRDefault="00000000" w:rsidP="00ED48A3">
      <w:pPr>
        <w:ind w:left="0" w:firstLine="0"/>
        <w:rPr>
          <w:del w:id="10467" w:author="AbbVie1" w:date="2025-05-13T10:11:00Z"/>
        </w:rPr>
      </w:pPr>
      <w:del w:id="10468" w:author="AbbVie1" w:date="2025-05-13T10:11:00Z">
        <w:r w:rsidRPr="001B4A02">
          <w:delText>Pokud jste n</w:delText>
        </w:r>
        <w:r w:rsidR="00FE1AFD" w:rsidRPr="001B4A02">
          <w:delText>echtě</w:delText>
        </w:r>
        <w:r w:rsidRPr="001B4A02">
          <w:delText xml:space="preserve">ně aplikoval(a) </w:delText>
        </w:r>
        <w:r w:rsidR="00A05A61" w:rsidRPr="001B4A02">
          <w:delText xml:space="preserve">větší množství roztoku </w:delText>
        </w:r>
        <w:r w:rsidRPr="001B4A02">
          <w:delText>přípravk</w:delText>
        </w:r>
        <w:r w:rsidR="00A05A61" w:rsidRPr="001B4A02">
          <w:delText>u</w:delText>
        </w:r>
        <w:r w:rsidRPr="001B4A02">
          <w:delText xml:space="preserve"> Humira </w:delText>
        </w:r>
        <w:r w:rsidR="00A05A61" w:rsidRPr="001B4A02">
          <w:delText>nebo pokud jste jej aplikoval</w:delText>
        </w:r>
        <w:r w:rsidR="00CE65DE" w:rsidRPr="001B4A02">
          <w:delText>(a)</w:delText>
        </w:r>
        <w:r w:rsidR="00A05A61" w:rsidRPr="001B4A02">
          <w:delText xml:space="preserve"> </w:delText>
        </w:r>
        <w:r w:rsidRPr="001B4A02">
          <w:delText>častěji</w:delText>
        </w:r>
        <w:r w:rsidR="001D2B8E" w:rsidRPr="001B4A02">
          <w:delText>,</w:delText>
        </w:r>
        <w:r w:rsidRPr="001B4A02">
          <w:delText xml:space="preserve"> než </w:delText>
        </w:r>
        <w:r w:rsidR="009163F7" w:rsidRPr="001B4A02">
          <w:delText>V</w:delText>
        </w:r>
        <w:r w:rsidRPr="001B4A02">
          <w:delText xml:space="preserve">ám </w:delText>
        </w:r>
        <w:r w:rsidR="00536A1C" w:rsidRPr="001B4A02">
          <w:delText>bylo předepsáno</w:delText>
        </w:r>
        <w:r w:rsidRPr="001B4A02">
          <w:delText>, kontaktujte lékaře</w:delText>
        </w:r>
        <w:r w:rsidR="002378E0">
          <w:delText xml:space="preserve"> a </w:delText>
        </w:r>
        <w:r w:rsidRPr="001B4A02">
          <w:delText xml:space="preserve">oznamte mu, že </w:delText>
        </w:r>
        <w:r w:rsidR="00FE1AFD" w:rsidRPr="001B4A02">
          <w:delText>Vaše dítě</w:delText>
        </w:r>
        <w:r w:rsidRPr="001B4A02">
          <w:delText xml:space="preserve"> </w:delText>
        </w:r>
        <w:r w:rsidR="00CE65DE" w:rsidRPr="001B4A02">
          <w:delText>dosta</w:delText>
        </w:r>
        <w:r w:rsidRPr="001B4A02">
          <w:delText>l</w:delText>
        </w:r>
        <w:r w:rsidR="00FE1AFD" w:rsidRPr="001B4A02">
          <w:delText>o</w:delText>
        </w:r>
        <w:r w:rsidRPr="001B4A02">
          <w:delText xml:space="preserve"> větší množství léku. Vždy si s sebou vezměte vnější obal léku nebo injekční lahvičku,</w:delText>
        </w:r>
        <w:r w:rsidR="002378E0">
          <w:delText xml:space="preserve"> a </w:delText>
        </w:r>
        <w:r w:rsidRPr="001B4A02">
          <w:delText>to i když je prázdná.</w:delText>
        </w:r>
      </w:del>
    </w:p>
    <w:p w14:paraId="52FA9859" w14:textId="77777777" w:rsidR="00FE1AFD" w:rsidRPr="001B4A02" w:rsidRDefault="00FE1AFD" w:rsidP="00ED48A3">
      <w:pPr>
        <w:ind w:left="0" w:firstLine="0"/>
        <w:rPr>
          <w:del w:id="10469" w:author="AbbVie1" w:date="2025-05-13T10:11:00Z"/>
        </w:rPr>
      </w:pPr>
    </w:p>
    <w:p w14:paraId="72B36060" w14:textId="77777777" w:rsidR="00FE1AFD" w:rsidRDefault="00000000" w:rsidP="00404AFD">
      <w:pPr>
        <w:keepNext/>
        <w:ind w:left="0" w:firstLine="0"/>
        <w:rPr>
          <w:del w:id="10470" w:author="AbbVie1" w:date="2025-05-13T10:11:00Z"/>
          <w:bCs/>
        </w:rPr>
      </w:pPr>
      <w:del w:id="10471" w:author="AbbVie1" w:date="2025-05-13T10:11:00Z">
        <w:r w:rsidRPr="001B4A02">
          <w:rPr>
            <w:b/>
          </w:rPr>
          <w:delText>Jest</w:delText>
        </w:r>
        <w:r w:rsidR="007A2FB7" w:rsidRPr="001B4A02">
          <w:rPr>
            <w:b/>
          </w:rPr>
          <w:delText xml:space="preserve">liže jste </w:delText>
        </w:r>
        <w:r w:rsidR="00121AA4" w:rsidRPr="001B4A02">
          <w:rPr>
            <w:b/>
          </w:rPr>
          <w:delText>po</w:delText>
        </w:r>
        <w:r w:rsidR="007A2FB7" w:rsidRPr="001B4A02">
          <w:rPr>
            <w:b/>
          </w:rPr>
          <w:delText>užil(a) méně</w:delText>
        </w:r>
        <w:r w:rsidRPr="001B4A02">
          <w:rPr>
            <w:b/>
          </w:rPr>
          <w:delText xml:space="preserve"> příp</w:delText>
        </w:r>
        <w:r w:rsidR="007A2FB7" w:rsidRPr="001B4A02">
          <w:rPr>
            <w:b/>
          </w:rPr>
          <w:delText>r</w:delText>
        </w:r>
        <w:r w:rsidRPr="001B4A02">
          <w:rPr>
            <w:b/>
          </w:rPr>
          <w:delText>avku Humira, než jste měl(a)</w:delText>
        </w:r>
      </w:del>
    </w:p>
    <w:p w14:paraId="66853F1B" w14:textId="77777777" w:rsidR="00404AFD" w:rsidRPr="00404AFD" w:rsidRDefault="00404AFD" w:rsidP="00404AFD">
      <w:pPr>
        <w:keepNext/>
        <w:ind w:left="0" w:firstLine="0"/>
        <w:rPr>
          <w:del w:id="10472" w:author="AbbVie1" w:date="2025-05-13T10:11:00Z"/>
          <w:bCs/>
        </w:rPr>
      </w:pPr>
    </w:p>
    <w:p w14:paraId="20D2CEF2" w14:textId="77777777" w:rsidR="00FE1AFD" w:rsidRPr="001B4A02" w:rsidRDefault="00000000" w:rsidP="00ED48A3">
      <w:pPr>
        <w:ind w:left="0" w:firstLine="0"/>
        <w:rPr>
          <w:del w:id="10473" w:author="AbbVie1" w:date="2025-05-13T10:11:00Z"/>
        </w:rPr>
      </w:pPr>
      <w:del w:id="10474" w:author="AbbVie1" w:date="2025-05-13T10:11:00Z">
        <w:r w:rsidRPr="001B4A02">
          <w:delText xml:space="preserve">Pokud jste </w:delText>
        </w:r>
        <w:r w:rsidR="00EC0A70" w:rsidRPr="001B4A02">
          <w:delText xml:space="preserve">dítěti </w:delText>
        </w:r>
        <w:r w:rsidRPr="001B4A02">
          <w:delText>nechtěně aplikoval</w:delText>
        </w:r>
        <w:r w:rsidR="00CE65DE" w:rsidRPr="001B4A02">
          <w:delText>(a)</w:delText>
        </w:r>
        <w:r w:rsidRPr="001B4A02">
          <w:delText xml:space="preserve"> menší množství roztoku přípravku Humira nebo pokud jste jej aplikoval</w:delText>
        </w:r>
        <w:r w:rsidR="00CE65DE" w:rsidRPr="001B4A02">
          <w:delText>(a)</w:delText>
        </w:r>
        <w:r w:rsidRPr="001B4A02">
          <w:delText xml:space="preserve"> mén</w:delText>
        </w:r>
        <w:r w:rsidR="00EC0A70" w:rsidRPr="001B4A02">
          <w:delText>ě často</w:delText>
        </w:r>
        <w:r w:rsidR="00032F16" w:rsidRPr="001B4A02">
          <w:delText>,</w:delText>
        </w:r>
        <w:r w:rsidR="00EC0A70" w:rsidRPr="001B4A02">
          <w:delText xml:space="preserve"> než </w:delText>
        </w:r>
        <w:r w:rsidR="00CE65DE" w:rsidRPr="001B4A02">
          <w:delText xml:space="preserve">Vám </w:delText>
        </w:r>
        <w:r w:rsidR="00536A1C" w:rsidRPr="001B4A02">
          <w:delText>bylo předepsáno</w:delText>
        </w:r>
        <w:r w:rsidR="00EC0A70" w:rsidRPr="001B4A02">
          <w:delText xml:space="preserve">, kontaktujte </w:delText>
        </w:r>
        <w:r w:rsidRPr="001B4A02">
          <w:delText>lékař</w:delText>
        </w:r>
        <w:r w:rsidR="00CE65DE" w:rsidRPr="001B4A02">
          <w:delText>e</w:delText>
        </w:r>
        <w:r w:rsidR="002378E0">
          <w:delText xml:space="preserve"> a </w:delText>
        </w:r>
        <w:r w:rsidR="00CE65DE" w:rsidRPr="001B4A02">
          <w:delText>oznamte mu, že Vaše dítě dosta</w:delText>
        </w:r>
        <w:r w:rsidRPr="001B4A02">
          <w:delText>lo menší množství léku. Vždy si s sebou vezměte vnější obal léku nebo injekční lahvičku,</w:delText>
        </w:r>
        <w:r w:rsidR="002378E0">
          <w:delText xml:space="preserve"> a </w:delText>
        </w:r>
        <w:r w:rsidRPr="001B4A02">
          <w:delText>to i když je prázdná.</w:delText>
        </w:r>
      </w:del>
    </w:p>
    <w:p w14:paraId="5259CF1D" w14:textId="77777777" w:rsidR="00073F8F" w:rsidRPr="001B4A02" w:rsidRDefault="00073F8F" w:rsidP="00ED48A3">
      <w:pPr>
        <w:ind w:left="0" w:firstLine="0"/>
        <w:rPr>
          <w:del w:id="10475" w:author="AbbVie1" w:date="2025-05-13T10:11:00Z"/>
        </w:rPr>
      </w:pPr>
    </w:p>
    <w:p w14:paraId="5A6B6406" w14:textId="77777777" w:rsidR="00073F8F" w:rsidRPr="001B4A02" w:rsidRDefault="00000000" w:rsidP="00404AFD">
      <w:pPr>
        <w:keepNext/>
        <w:ind w:left="0" w:firstLine="0"/>
        <w:rPr>
          <w:del w:id="10476" w:author="AbbVie1" w:date="2025-05-13T10:11:00Z"/>
          <w:b/>
        </w:rPr>
      </w:pPr>
      <w:del w:id="10477" w:author="AbbVie1" w:date="2025-05-13T10:11:00Z">
        <w:r w:rsidRPr="001B4A02">
          <w:rPr>
            <w:b/>
          </w:rPr>
          <w:delText xml:space="preserve">Jestliže jste zapomněl(a) </w:delText>
        </w:r>
        <w:r w:rsidR="00D36439" w:rsidRPr="001B4A02">
          <w:rPr>
            <w:b/>
          </w:rPr>
          <w:delText>po</w:delText>
        </w:r>
        <w:r w:rsidRPr="001B4A02">
          <w:rPr>
            <w:b/>
          </w:rPr>
          <w:delText>užít přípravek Humira</w:delText>
        </w:r>
      </w:del>
    </w:p>
    <w:p w14:paraId="64E927DF" w14:textId="77777777" w:rsidR="00073F8F" w:rsidRPr="001B4A02" w:rsidRDefault="00073F8F" w:rsidP="00404AFD">
      <w:pPr>
        <w:keepNext/>
        <w:ind w:left="0" w:firstLine="0"/>
        <w:rPr>
          <w:del w:id="10478" w:author="AbbVie1" w:date="2025-05-13T10:11:00Z"/>
        </w:rPr>
      </w:pPr>
    </w:p>
    <w:p w14:paraId="5FAB9337" w14:textId="77777777" w:rsidR="00073F8F" w:rsidRPr="001B4A02" w:rsidRDefault="00000000" w:rsidP="00ED48A3">
      <w:pPr>
        <w:ind w:left="0" w:firstLine="0"/>
        <w:rPr>
          <w:del w:id="10479" w:author="AbbVie1" w:date="2025-05-13T10:11:00Z"/>
        </w:rPr>
      </w:pPr>
      <w:del w:id="10480" w:author="AbbVie1" w:date="2025-05-13T10:11:00Z">
        <w:r w:rsidRPr="001B4A02">
          <w:delText xml:space="preserve">Pokud </w:delText>
        </w:r>
        <w:r w:rsidR="00631040" w:rsidRPr="001B4A02">
          <w:delText>svému dítěti zapomenete podat injekci přípravku Humira, m</w:delText>
        </w:r>
        <w:r w:rsidR="007B06BB">
          <w:delText>áte</w:delText>
        </w:r>
        <w:r w:rsidR="00631040" w:rsidRPr="001B4A02">
          <w:delText xml:space="preserve"> mu ji aplikovat ihned, jak si vzpomenete. Poté svému dítěti podejte další dávku původně plánovan</w:delText>
        </w:r>
        <w:r w:rsidR="00E54D7E" w:rsidRPr="001B4A02">
          <w:delText>ý den</w:delText>
        </w:r>
        <w:r w:rsidR="00631040" w:rsidRPr="001B4A02">
          <w:delText>, jako kdybyste nezapomněl(a) na</w:delText>
        </w:r>
        <w:r w:rsidRPr="001B4A02">
          <w:delText xml:space="preserve"> předchozí dávku.</w:delText>
        </w:r>
      </w:del>
    </w:p>
    <w:p w14:paraId="543B92D3" w14:textId="77777777" w:rsidR="00073F8F" w:rsidRPr="001B4A02" w:rsidRDefault="00073F8F" w:rsidP="00ED48A3">
      <w:pPr>
        <w:ind w:left="0" w:firstLine="0"/>
        <w:rPr>
          <w:del w:id="10481" w:author="AbbVie1" w:date="2025-05-13T10:11:00Z"/>
        </w:rPr>
      </w:pPr>
    </w:p>
    <w:p w14:paraId="0C7C8D6F" w14:textId="77777777" w:rsidR="00D43DA2" w:rsidRPr="001B4A02" w:rsidRDefault="00000000" w:rsidP="00ED48A3">
      <w:pPr>
        <w:keepNext/>
        <w:ind w:left="0" w:firstLine="0"/>
        <w:rPr>
          <w:del w:id="10482" w:author="AbbVie1" w:date="2025-05-13T10:11:00Z"/>
          <w:b/>
        </w:rPr>
      </w:pPr>
      <w:del w:id="10483" w:author="AbbVie1" w:date="2025-05-13T10:11:00Z">
        <w:r w:rsidRPr="001B4A02">
          <w:rPr>
            <w:b/>
          </w:rPr>
          <w:delText xml:space="preserve">Jestliže Vaše dítě přestalo </w:delText>
        </w:r>
        <w:r w:rsidR="00D36439" w:rsidRPr="001B4A02">
          <w:rPr>
            <w:b/>
          </w:rPr>
          <w:delText>po</w:delText>
        </w:r>
        <w:r w:rsidRPr="001B4A02">
          <w:rPr>
            <w:b/>
          </w:rPr>
          <w:delText>užívat přípravek Humira:</w:delText>
        </w:r>
      </w:del>
    </w:p>
    <w:p w14:paraId="214A9A91" w14:textId="77777777" w:rsidR="00D43DA2" w:rsidRPr="001B4A02" w:rsidRDefault="00D43DA2" w:rsidP="00ED48A3">
      <w:pPr>
        <w:keepNext/>
        <w:ind w:left="0" w:firstLine="0"/>
        <w:rPr>
          <w:del w:id="10484" w:author="AbbVie1" w:date="2025-05-13T10:11:00Z"/>
        </w:rPr>
      </w:pPr>
    </w:p>
    <w:p w14:paraId="46186BD7" w14:textId="77777777" w:rsidR="00D43DA2" w:rsidRPr="001B4A02" w:rsidRDefault="00000000" w:rsidP="00384AEC">
      <w:pPr>
        <w:ind w:left="0" w:firstLine="0"/>
        <w:rPr>
          <w:del w:id="10485" w:author="AbbVie1" w:date="2025-05-13T10:11:00Z"/>
        </w:rPr>
      </w:pPr>
      <w:del w:id="10486" w:author="AbbVie1" w:date="2025-05-13T10:11:00Z">
        <w:r w:rsidRPr="001B4A02">
          <w:delText>Rozhodnutí o</w:delText>
        </w:r>
        <w:r w:rsidR="00F23025" w:rsidRPr="001B4A02">
          <w:delText> </w:delText>
        </w:r>
        <w:r w:rsidRPr="001B4A02">
          <w:delText xml:space="preserve">tom, zda </w:delText>
        </w:r>
        <w:r w:rsidR="00D36439" w:rsidRPr="001B4A02">
          <w:delText>po</w:delText>
        </w:r>
        <w:r w:rsidRPr="001B4A02">
          <w:delText>užívání přípravku Humira přerušit, musí být konzultováno s lékařem Vašeho dítěte. Po přerušení léčby se Vašemu dítěti mohou příznaky vrátit.</w:delText>
        </w:r>
      </w:del>
    </w:p>
    <w:p w14:paraId="31EDF5AB" w14:textId="77777777" w:rsidR="00D43DA2" w:rsidRPr="001B4A02" w:rsidRDefault="00D43DA2" w:rsidP="00ED48A3">
      <w:pPr>
        <w:ind w:left="0" w:firstLine="0"/>
        <w:rPr>
          <w:del w:id="10487" w:author="AbbVie1" w:date="2025-05-13T10:11:00Z"/>
        </w:rPr>
      </w:pPr>
    </w:p>
    <w:p w14:paraId="10F65D71" w14:textId="77777777" w:rsidR="00073F8F" w:rsidRPr="001B4A02" w:rsidRDefault="00000000" w:rsidP="00ED48A3">
      <w:pPr>
        <w:ind w:left="0" w:firstLine="0"/>
        <w:rPr>
          <w:del w:id="10488" w:author="AbbVie1" w:date="2025-05-13T10:11:00Z"/>
        </w:rPr>
      </w:pPr>
      <w:del w:id="10489" w:author="AbbVie1" w:date="2025-05-13T10:11:00Z">
        <w:r w:rsidRPr="001B4A02">
          <w:delText xml:space="preserve">Máte-li jakékoli další otázky týkající se </w:delText>
        </w:r>
        <w:r w:rsidR="00D36439" w:rsidRPr="001B4A02">
          <w:delText>po</w:delText>
        </w:r>
        <w:r w:rsidRPr="001B4A02">
          <w:delText>užívání tohoto přípravku, zeptejte se lékaře nebo lékárníka.</w:delText>
        </w:r>
      </w:del>
    </w:p>
    <w:p w14:paraId="566B73FE" w14:textId="77777777" w:rsidR="00073F8F" w:rsidRPr="001B4A02" w:rsidRDefault="00073F8F" w:rsidP="00ED48A3">
      <w:pPr>
        <w:ind w:left="0" w:firstLine="0"/>
        <w:rPr>
          <w:del w:id="10490" w:author="AbbVie1" w:date="2025-05-13T10:11:00Z"/>
        </w:rPr>
      </w:pPr>
    </w:p>
    <w:p w14:paraId="734DBD19" w14:textId="77777777" w:rsidR="00225D61" w:rsidRPr="001B4A02" w:rsidRDefault="00225D61" w:rsidP="00ED48A3">
      <w:pPr>
        <w:ind w:left="0" w:firstLine="0"/>
        <w:rPr>
          <w:del w:id="10491" w:author="AbbVie1" w:date="2025-05-13T10:11:00Z"/>
        </w:rPr>
      </w:pPr>
    </w:p>
    <w:p w14:paraId="085C6285" w14:textId="77777777" w:rsidR="00073F8F" w:rsidRPr="001B4A02" w:rsidRDefault="00000000" w:rsidP="00404AFD">
      <w:pPr>
        <w:keepNext/>
        <w:numPr>
          <w:ilvl w:val="12"/>
          <w:numId w:val="0"/>
        </w:numPr>
        <w:ind w:left="567" w:hanging="567"/>
        <w:jc w:val="both"/>
        <w:outlineLvl w:val="1"/>
        <w:rPr>
          <w:del w:id="10492" w:author="AbbVie1" w:date="2025-05-13T10:11:00Z"/>
        </w:rPr>
      </w:pPr>
      <w:del w:id="10493" w:author="AbbVie1" w:date="2025-05-13T10:11:00Z">
        <w:r w:rsidRPr="001B4A02">
          <w:rPr>
            <w:b/>
          </w:rPr>
          <w:delText>4.</w:delText>
        </w:r>
        <w:r w:rsidRPr="001B4A02">
          <w:rPr>
            <w:b/>
          </w:rPr>
          <w:tab/>
          <w:delText>M</w:delText>
        </w:r>
        <w:r w:rsidR="00552F26" w:rsidRPr="001B4A02">
          <w:rPr>
            <w:b/>
          </w:rPr>
          <w:delText>ožné nežádoucí účinky</w:delText>
        </w:r>
      </w:del>
    </w:p>
    <w:p w14:paraId="5B3C344C" w14:textId="77777777" w:rsidR="00073F8F" w:rsidRPr="001B4A02" w:rsidRDefault="00073F8F" w:rsidP="00404AFD">
      <w:pPr>
        <w:keepNext/>
        <w:ind w:left="0" w:firstLine="0"/>
        <w:rPr>
          <w:del w:id="10494" w:author="AbbVie1" w:date="2025-05-13T10:11:00Z"/>
        </w:rPr>
      </w:pPr>
    </w:p>
    <w:p w14:paraId="2FAF395A" w14:textId="77777777" w:rsidR="00073F8F" w:rsidRPr="001B4A02" w:rsidRDefault="00000000" w:rsidP="00ED48A3">
      <w:pPr>
        <w:ind w:left="0" w:firstLine="0"/>
        <w:rPr>
          <w:del w:id="10495" w:author="AbbVie1" w:date="2025-05-13T10:11:00Z"/>
        </w:rPr>
      </w:pPr>
      <w:del w:id="10496" w:author="AbbVie1" w:date="2025-05-13T10:11:00Z">
        <w:r w:rsidRPr="001B4A02">
          <w:delText xml:space="preserve">Podobně jako všechny léky může mít i </w:delText>
        </w:r>
        <w:r w:rsidR="00552F26" w:rsidRPr="001B4A02">
          <w:delText xml:space="preserve">tento přípravek </w:delText>
        </w:r>
        <w:r w:rsidRPr="001B4A02">
          <w:delText>nežádoucí účinky, které se ale nemusí vyskytnout u každého. Většina nežádoucích účinků je mírné nebo střední závažnosti. Některé však mohou být závažné</w:delText>
        </w:r>
        <w:r w:rsidR="002378E0">
          <w:delText xml:space="preserve"> a </w:delText>
        </w:r>
        <w:r w:rsidRPr="001B4A02">
          <w:delText xml:space="preserve">vyžadují léčbu. Nežádoucí účinky se mohou vyskytnout i do </w:delText>
        </w:r>
        <w:r w:rsidR="009538FF" w:rsidRPr="001B4A02">
          <w:delText>4</w:delText>
        </w:r>
        <w:r w:rsidRPr="001B4A02">
          <w:delText xml:space="preserve"> měsíců po poslední dávce přípravku Humira.</w:delText>
        </w:r>
      </w:del>
    </w:p>
    <w:p w14:paraId="70380131" w14:textId="77777777" w:rsidR="00073F8F" w:rsidRPr="001B4A02" w:rsidRDefault="00073F8F" w:rsidP="00ED48A3">
      <w:pPr>
        <w:ind w:left="0" w:firstLine="0"/>
        <w:rPr>
          <w:del w:id="10497" w:author="AbbVie1" w:date="2025-05-13T10:11:00Z"/>
        </w:rPr>
      </w:pPr>
    </w:p>
    <w:p w14:paraId="2F92AA4A" w14:textId="77777777" w:rsidR="00073F8F" w:rsidRDefault="00000000" w:rsidP="00ED48A3">
      <w:pPr>
        <w:ind w:left="0" w:firstLine="0"/>
        <w:rPr>
          <w:del w:id="10498" w:author="AbbVie1" w:date="2025-05-13T10:11:00Z"/>
        </w:rPr>
      </w:pPr>
      <w:del w:id="10499" w:author="AbbVie1" w:date="2025-05-13T10:11:00Z">
        <w:r w:rsidRPr="001B4A02">
          <w:delText>Ihned oznamte</w:delText>
        </w:r>
        <w:r w:rsidR="00F47DB9" w:rsidRPr="00F47DB9">
          <w:delText xml:space="preserve"> </w:delText>
        </w:r>
        <w:r w:rsidR="00F47DB9" w:rsidRPr="001B4A02">
          <w:delText>svému</w:delText>
        </w:r>
        <w:r w:rsidRPr="001B4A02">
          <w:delText xml:space="preserve"> lékaři, pokud </w:delText>
        </w:r>
        <w:r w:rsidR="00F81D2C" w:rsidRPr="001B4A02">
          <w:delText>si všimnete jakýchkoli z následujících účinků</w:delText>
        </w:r>
      </w:del>
    </w:p>
    <w:p w14:paraId="289BAB88" w14:textId="77777777" w:rsidR="0072374C" w:rsidRPr="001B4A02" w:rsidRDefault="0072374C" w:rsidP="00ED48A3">
      <w:pPr>
        <w:ind w:left="0" w:firstLine="0"/>
        <w:rPr>
          <w:del w:id="10500" w:author="AbbVie1" w:date="2025-05-13T10:11:00Z"/>
        </w:rPr>
      </w:pPr>
    </w:p>
    <w:p w14:paraId="7710414B" w14:textId="77777777" w:rsidR="00073F8F" w:rsidRPr="001B4A02" w:rsidRDefault="00000000" w:rsidP="00EE5B9A">
      <w:pPr>
        <w:numPr>
          <w:ilvl w:val="0"/>
          <w:numId w:val="13"/>
        </w:numPr>
        <w:tabs>
          <w:tab w:val="clear" w:pos="720"/>
        </w:tabs>
        <w:ind w:left="567" w:hanging="567"/>
        <w:rPr>
          <w:del w:id="10501" w:author="AbbVie1" w:date="2025-05-13T10:11:00Z"/>
        </w:rPr>
      </w:pPr>
      <w:del w:id="10502" w:author="AbbVie1" w:date="2025-05-13T10:11:00Z">
        <w:r w:rsidRPr="001B4A02">
          <w:delText>silná vyrážka, kopřivka nebo jiné známky alergické reakce;</w:delText>
        </w:r>
      </w:del>
    </w:p>
    <w:p w14:paraId="45A5BFA0" w14:textId="77777777" w:rsidR="00073F8F" w:rsidRPr="001B4A02" w:rsidRDefault="00000000" w:rsidP="00EE5B9A">
      <w:pPr>
        <w:numPr>
          <w:ilvl w:val="0"/>
          <w:numId w:val="13"/>
        </w:numPr>
        <w:tabs>
          <w:tab w:val="clear" w:pos="720"/>
        </w:tabs>
        <w:ind w:left="567" w:hanging="567"/>
        <w:rPr>
          <w:del w:id="10503" w:author="AbbVie1" w:date="2025-05-13T10:11:00Z"/>
        </w:rPr>
      </w:pPr>
      <w:del w:id="10504" w:author="AbbVie1" w:date="2025-05-13T10:11:00Z">
        <w:r w:rsidRPr="001B4A02">
          <w:delText>ot</w:delText>
        </w:r>
        <w:r w:rsidR="006D39E6">
          <w:delText xml:space="preserve">ok </w:delText>
        </w:r>
        <w:r w:rsidRPr="001B4A02">
          <w:delText>obličej</w:delText>
        </w:r>
        <w:r w:rsidR="006D39E6">
          <w:delText>e</w:delText>
        </w:r>
        <w:r w:rsidRPr="001B4A02">
          <w:delText>, ru</w:delText>
        </w:r>
        <w:r w:rsidR="006D39E6">
          <w:delText>kou</w:delText>
        </w:r>
        <w:r w:rsidRPr="001B4A02">
          <w:delText>, noh</w:delText>
        </w:r>
        <w:r w:rsidR="006D39E6">
          <w:delText>ou</w:delText>
        </w:r>
        <w:r w:rsidRPr="001B4A02">
          <w:delText>;</w:delText>
        </w:r>
      </w:del>
    </w:p>
    <w:p w14:paraId="02B52DD4" w14:textId="77777777" w:rsidR="00073F8F" w:rsidRPr="001B4A02" w:rsidRDefault="00000000" w:rsidP="00EE5B9A">
      <w:pPr>
        <w:numPr>
          <w:ilvl w:val="0"/>
          <w:numId w:val="13"/>
        </w:numPr>
        <w:tabs>
          <w:tab w:val="clear" w:pos="720"/>
        </w:tabs>
        <w:ind w:left="567" w:hanging="567"/>
        <w:rPr>
          <w:del w:id="10505" w:author="AbbVie1" w:date="2025-05-13T10:11:00Z"/>
        </w:rPr>
      </w:pPr>
      <w:del w:id="10506" w:author="AbbVie1" w:date="2025-05-13T10:11:00Z">
        <w:r w:rsidRPr="001B4A02">
          <w:delText>obtíže s dechem či polykáním;</w:delText>
        </w:r>
      </w:del>
    </w:p>
    <w:p w14:paraId="7BABC32D" w14:textId="77777777" w:rsidR="00073F8F" w:rsidRPr="001B4A02" w:rsidRDefault="00000000" w:rsidP="00EE5B9A">
      <w:pPr>
        <w:numPr>
          <w:ilvl w:val="0"/>
          <w:numId w:val="13"/>
        </w:numPr>
        <w:tabs>
          <w:tab w:val="clear" w:pos="720"/>
        </w:tabs>
        <w:ind w:left="567" w:hanging="567"/>
        <w:rPr>
          <w:del w:id="10507" w:author="AbbVie1" w:date="2025-05-13T10:11:00Z"/>
        </w:rPr>
      </w:pPr>
      <w:del w:id="10508" w:author="AbbVie1" w:date="2025-05-13T10:11:00Z">
        <w:r w:rsidRPr="001B4A02">
          <w:delText>zadýchávání, které se zhorší v poloze vleže nebo otoky nohou</w:delText>
        </w:r>
        <w:r w:rsidR="009A4C02" w:rsidRPr="001B4A02">
          <w:delText>.</w:delText>
        </w:r>
      </w:del>
    </w:p>
    <w:p w14:paraId="076B9927" w14:textId="77777777" w:rsidR="00073F8F" w:rsidRPr="001B4A02" w:rsidRDefault="00073F8F" w:rsidP="00ED48A3">
      <w:pPr>
        <w:ind w:left="0" w:firstLine="0"/>
        <w:rPr>
          <w:del w:id="10509" w:author="AbbVie1" w:date="2025-05-13T10:11:00Z"/>
        </w:rPr>
      </w:pPr>
    </w:p>
    <w:p w14:paraId="45DF24B1" w14:textId="77777777" w:rsidR="008534AD" w:rsidRDefault="00000000" w:rsidP="00ED48A3">
      <w:pPr>
        <w:ind w:left="0" w:firstLine="0"/>
        <w:rPr>
          <w:del w:id="10510" w:author="AbbVie1" w:date="2025-05-13T10:11:00Z"/>
        </w:rPr>
      </w:pPr>
      <w:del w:id="10511" w:author="AbbVie1" w:date="2025-05-13T10:11:00Z">
        <w:r w:rsidRPr="001B4A02">
          <w:delText>Oznamte</w:delText>
        </w:r>
        <w:r w:rsidR="00F47DB9" w:rsidRPr="00F47DB9">
          <w:delText xml:space="preserve"> </w:delText>
        </w:r>
        <w:r w:rsidR="00F47DB9" w:rsidRPr="001B4A02">
          <w:delText>svému</w:delText>
        </w:r>
        <w:r w:rsidRPr="001B4A02">
          <w:delText xml:space="preserve"> lékaři co nejdříve, pokud </w:delText>
        </w:r>
        <w:r w:rsidR="00F81D2C" w:rsidRPr="001B4A02">
          <w:delText>si všimnete jakýchkoli z následujících účinků</w:delText>
        </w:r>
      </w:del>
    </w:p>
    <w:p w14:paraId="1C8F64A2" w14:textId="77777777" w:rsidR="00A55132" w:rsidRPr="001B4A02" w:rsidRDefault="00A55132" w:rsidP="00ED48A3">
      <w:pPr>
        <w:ind w:left="0" w:firstLine="0"/>
        <w:rPr>
          <w:del w:id="10512" w:author="AbbVie1" w:date="2025-05-13T10:11:00Z"/>
        </w:rPr>
      </w:pPr>
    </w:p>
    <w:p w14:paraId="44145585" w14:textId="77777777" w:rsidR="00073F8F" w:rsidRPr="001B4A02" w:rsidRDefault="00000000" w:rsidP="00EE5B9A">
      <w:pPr>
        <w:numPr>
          <w:ilvl w:val="0"/>
          <w:numId w:val="14"/>
        </w:numPr>
        <w:tabs>
          <w:tab w:val="clear" w:pos="720"/>
        </w:tabs>
        <w:ind w:left="567" w:hanging="567"/>
        <w:rPr>
          <w:del w:id="10513" w:author="AbbVie1" w:date="2025-05-13T10:11:00Z"/>
        </w:rPr>
      </w:pPr>
      <w:del w:id="10514" w:author="AbbVie1" w:date="2025-05-13T10:11:00Z">
        <w:r w:rsidRPr="001B4A02">
          <w:delText xml:space="preserve">známky infekce, jako </w:delText>
        </w:r>
        <w:r w:rsidR="00005EC2" w:rsidRPr="001B4A02">
          <w:rPr>
            <w:szCs w:val="22"/>
          </w:rPr>
          <w:delText xml:space="preserve">jsou </w:delText>
        </w:r>
        <w:r w:rsidRPr="001B4A02">
          <w:delText>horečka, pocit nemoci, zranění, problémy se zuby, pálení při močení;</w:delText>
        </w:r>
      </w:del>
    </w:p>
    <w:p w14:paraId="5B21B1C5" w14:textId="77777777" w:rsidR="00073F8F" w:rsidRPr="001B4A02" w:rsidRDefault="00000000" w:rsidP="00EE5B9A">
      <w:pPr>
        <w:numPr>
          <w:ilvl w:val="0"/>
          <w:numId w:val="14"/>
        </w:numPr>
        <w:tabs>
          <w:tab w:val="clear" w:pos="720"/>
        </w:tabs>
        <w:ind w:left="567" w:hanging="567"/>
        <w:rPr>
          <w:del w:id="10515" w:author="AbbVie1" w:date="2025-05-13T10:11:00Z"/>
        </w:rPr>
      </w:pPr>
      <w:del w:id="10516" w:author="AbbVie1" w:date="2025-05-13T10:11:00Z">
        <w:r w:rsidRPr="001B4A02">
          <w:delText>pocit slabosti nebo únavy;</w:delText>
        </w:r>
      </w:del>
    </w:p>
    <w:p w14:paraId="36ADC655" w14:textId="77777777" w:rsidR="00073F8F" w:rsidRPr="001B4A02" w:rsidRDefault="00000000" w:rsidP="00EE5B9A">
      <w:pPr>
        <w:numPr>
          <w:ilvl w:val="0"/>
          <w:numId w:val="14"/>
        </w:numPr>
        <w:tabs>
          <w:tab w:val="clear" w:pos="720"/>
        </w:tabs>
        <w:ind w:left="567" w:hanging="567"/>
        <w:rPr>
          <w:del w:id="10517" w:author="AbbVie1" w:date="2025-05-13T10:11:00Z"/>
        </w:rPr>
      </w:pPr>
      <w:del w:id="10518" w:author="AbbVie1" w:date="2025-05-13T10:11:00Z">
        <w:r w:rsidRPr="001B4A02">
          <w:delText>kašel;</w:delText>
        </w:r>
      </w:del>
    </w:p>
    <w:p w14:paraId="439E76B5" w14:textId="77777777" w:rsidR="00073F8F" w:rsidRPr="001B4A02" w:rsidRDefault="00000000" w:rsidP="00EE5B9A">
      <w:pPr>
        <w:numPr>
          <w:ilvl w:val="0"/>
          <w:numId w:val="14"/>
        </w:numPr>
        <w:tabs>
          <w:tab w:val="clear" w:pos="720"/>
        </w:tabs>
        <w:ind w:left="567" w:hanging="567"/>
        <w:rPr>
          <w:del w:id="10519" w:author="AbbVie1" w:date="2025-05-13T10:11:00Z"/>
        </w:rPr>
      </w:pPr>
      <w:del w:id="10520" w:author="AbbVie1" w:date="2025-05-13T10:11:00Z">
        <w:r w:rsidRPr="001B4A02">
          <w:delText>brnění;</w:delText>
        </w:r>
      </w:del>
    </w:p>
    <w:p w14:paraId="313CD0B3" w14:textId="77777777" w:rsidR="00073F8F" w:rsidRPr="001B4A02" w:rsidRDefault="00000000" w:rsidP="00EE5B9A">
      <w:pPr>
        <w:numPr>
          <w:ilvl w:val="0"/>
          <w:numId w:val="14"/>
        </w:numPr>
        <w:tabs>
          <w:tab w:val="clear" w:pos="720"/>
        </w:tabs>
        <w:ind w:left="567" w:hanging="567"/>
        <w:rPr>
          <w:del w:id="10521" w:author="AbbVie1" w:date="2025-05-13T10:11:00Z"/>
        </w:rPr>
      </w:pPr>
      <w:del w:id="10522" w:author="AbbVie1" w:date="2025-05-13T10:11:00Z">
        <w:r w:rsidRPr="001B4A02">
          <w:delText>snížená citlivost;</w:delText>
        </w:r>
      </w:del>
    </w:p>
    <w:p w14:paraId="051F3FCB" w14:textId="77777777" w:rsidR="00073F8F" w:rsidRPr="001B4A02" w:rsidRDefault="00000000" w:rsidP="00EE5B9A">
      <w:pPr>
        <w:numPr>
          <w:ilvl w:val="0"/>
          <w:numId w:val="14"/>
        </w:numPr>
        <w:tabs>
          <w:tab w:val="clear" w:pos="720"/>
        </w:tabs>
        <w:ind w:left="567" w:hanging="567"/>
        <w:rPr>
          <w:del w:id="10523" w:author="AbbVie1" w:date="2025-05-13T10:11:00Z"/>
        </w:rPr>
      </w:pPr>
      <w:del w:id="10524" w:author="AbbVie1" w:date="2025-05-13T10:11:00Z">
        <w:r w:rsidRPr="001B4A02">
          <w:delText>dvojité vidění;</w:delText>
        </w:r>
      </w:del>
    </w:p>
    <w:p w14:paraId="1ADEFD47" w14:textId="77777777" w:rsidR="00073F8F" w:rsidRPr="001B4A02" w:rsidRDefault="00000000" w:rsidP="00EE5B9A">
      <w:pPr>
        <w:numPr>
          <w:ilvl w:val="0"/>
          <w:numId w:val="14"/>
        </w:numPr>
        <w:tabs>
          <w:tab w:val="clear" w:pos="720"/>
        </w:tabs>
        <w:ind w:left="567" w:hanging="567"/>
        <w:rPr>
          <w:del w:id="10525" w:author="AbbVie1" w:date="2025-05-13T10:11:00Z"/>
        </w:rPr>
      </w:pPr>
      <w:del w:id="10526" w:author="AbbVie1" w:date="2025-05-13T10:11:00Z">
        <w:r w:rsidRPr="001B4A02">
          <w:delText>slabost horních nebo dolních končetin;</w:delText>
        </w:r>
      </w:del>
    </w:p>
    <w:p w14:paraId="77A75EE9" w14:textId="77777777" w:rsidR="005F06D8" w:rsidRPr="001B4A02" w:rsidRDefault="00000000" w:rsidP="00EE5B9A">
      <w:pPr>
        <w:numPr>
          <w:ilvl w:val="0"/>
          <w:numId w:val="14"/>
        </w:numPr>
        <w:tabs>
          <w:tab w:val="clear" w:pos="720"/>
        </w:tabs>
        <w:ind w:left="567" w:hanging="567"/>
        <w:rPr>
          <w:del w:id="10527" w:author="AbbVie1" w:date="2025-05-13T10:11:00Z"/>
        </w:rPr>
      </w:pPr>
      <w:del w:id="10528" w:author="AbbVie1" w:date="2025-05-13T10:11:00Z">
        <w:r w:rsidRPr="001B4A02">
          <w:delText>otok (boule) nebo opar, který se nehojí;</w:delText>
        </w:r>
      </w:del>
    </w:p>
    <w:p w14:paraId="6AF113D7" w14:textId="77777777" w:rsidR="00073F8F" w:rsidRPr="001B4A02" w:rsidRDefault="00000000" w:rsidP="00EE5B9A">
      <w:pPr>
        <w:numPr>
          <w:ilvl w:val="0"/>
          <w:numId w:val="14"/>
        </w:numPr>
        <w:tabs>
          <w:tab w:val="clear" w:pos="720"/>
        </w:tabs>
        <w:ind w:left="567" w:hanging="567"/>
        <w:rPr>
          <w:del w:id="10529" w:author="AbbVie1" w:date="2025-05-13T10:11:00Z"/>
        </w:rPr>
      </w:pPr>
      <w:del w:id="10530" w:author="AbbVie1" w:date="2025-05-13T10:11:00Z">
        <w:r>
          <w:rPr>
            <w:bCs/>
            <w:szCs w:val="22"/>
          </w:rPr>
          <w:delText>známky</w:delText>
        </w:r>
        <w:r w:rsidR="002378E0">
          <w:rPr>
            <w:bCs/>
            <w:szCs w:val="22"/>
          </w:rPr>
          <w:delText xml:space="preserve"> a </w:delText>
        </w:r>
        <w:r w:rsidR="005F06D8" w:rsidRPr="001B4A02">
          <w:rPr>
            <w:bCs/>
            <w:szCs w:val="22"/>
          </w:rPr>
          <w:delText>příznaky podezřelé z krevních poruch, jako je přetrvávající horečka, tvorba modřin, krvácení, bledost</w:delText>
        </w:r>
        <w:r w:rsidRPr="001B4A02">
          <w:delText>.</w:delText>
        </w:r>
      </w:del>
    </w:p>
    <w:p w14:paraId="3D932168" w14:textId="77777777" w:rsidR="00073F8F" w:rsidRPr="001B4A02" w:rsidRDefault="00073F8F" w:rsidP="00ED48A3">
      <w:pPr>
        <w:ind w:left="0" w:firstLine="0"/>
        <w:rPr>
          <w:del w:id="10531" w:author="AbbVie1" w:date="2025-05-13T10:11:00Z"/>
        </w:rPr>
      </w:pPr>
    </w:p>
    <w:p w14:paraId="507567D3" w14:textId="77777777" w:rsidR="00073F8F" w:rsidRPr="001B4A02" w:rsidRDefault="00000000" w:rsidP="00ED48A3">
      <w:pPr>
        <w:ind w:left="0" w:firstLine="0"/>
        <w:rPr>
          <w:del w:id="10532" w:author="AbbVie1" w:date="2025-05-13T10:11:00Z"/>
        </w:rPr>
      </w:pPr>
      <w:del w:id="10533" w:author="AbbVie1" w:date="2025-05-13T10:11:00Z">
        <w:r w:rsidRPr="001B4A02">
          <w:delText xml:space="preserve">Příznaky popsané výše mohou být známkami níže uvedeného seznamu nežádoucích účinků, které byly popsány při </w:delText>
        </w:r>
        <w:r w:rsidR="00D36439" w:rsidRPr="001B4A02">
          <w:delText>po</w:delText>
        </w:r>
        <w:r w:rsidRPr="001B4A02">
          <w:delText>užívání přípravku Humira:</w:delText>
        </w:r>
      </w:del>
    </w:p>
    <w:p w14:paraId="431CE9B6" w14:textId="77777777" w:rsidR="00073F8F" w:rsidRPr="001B4A02" w:rsidRDefault="00073F8F" w:rsidP="00ED48A3">
      <w:pPr>
        <w:pStyle w:val="EMEANormal"/>
        <w:tabs>
          <w:tab w:val="clear" w:pos="562"/>
        </w:tabs>
        <w:suppressAutoHyphens w:val="0"/>
        <w:rPr>
          <w:del w:id="10534" w:author="AbbVie1" w:date="2025-05-13T10:11:00Z"/>
          <w:lang w:val="cs-CZ"/>
        </w:rPr>
      </w:pPr>
    </w:p>
    <w:p w14:paraId="473EBFB6" w14:textId="77777777" w:rsidR="00073F8F" w:rsidRPr="001B4A02" w:rsidRDefault="00000000" w:rsidP="00ED48A3">
      <w:pPr>
        <w:tabs>
          <w:tab w:val="left" w:pos="0"/>
        </w:tabs>
        <w:ind w:left="0" w:firstLine="0"/>
        <w:rPr>
          <w:del w:id="10535" w:author="AbbVie1" w:date="2025-05-13T10:11:00Z"/>
          <w:bCs/>
          <w:szCs w:val="22"/>
        </w:rPr>
      </w:pPr>
      <w:del w:id="10536" w:author="AbbVie1" w:date="2025-05-13T10:11:00Z">
        <w:r w:rsidRPr="001B4A02">
          <w:delText xml:space="preserve">Velmi časté </w:delText>
        </w:r>
        <w:r w:rsidRPr="001B4A02">
          <w:rPr>
            <w:shd w:val="clear" w:color="auto" w:fill="FFFFFF"/>
          </w:rPr>
          <w:delText>(</w:delText>
        </w:r>
        <w:r w:rsidR="00FD74AE" w:rsidRPr="001B4A02">
          <w:rPr>
            <w:shd w:val="clear" w:color="auto" w:fill="FFFFFF"/>
          </w:rPr>
          <w:delText>moh</w:delText>
        </w:r>
        <w:r w:rsidR="003472B2" w:rsidRPr="001B4A02">
          <w:rPr>
            <w:shd w:val="clear" w:color="auto" w:fill="FFFFFF"/>
          </w:rPr>
          <w:delText>o</w:delText>
        </w:r>
        <w:r w:rsidR="00FD74AE" w:rsidRPr="001B4A02">
          <w:rPr>
            <w:shd w:val="clear" w:color="auto" w:fill="FFFFFF"/>
          </w:rPr>
          <w:delText>u postihnout více než 1 z 10 osob</w:delText>
        </w:r>
        <w:r w:rsidRPr="001B4A02">
          <w:delText>)</w:delText>
        </w:r>
      </w:del>
    </w:p>
    <w:p w14:paraId="4D4D85BA" w14:textId="77777777" w:rsidR="008534AD" w:rsidRPr="001B4A02" w:rsidRDefault="008534AD" w:rsidP="00ED48A3">
      <w:pPr>
        <w:tabs>
          <w:tab w:val="left" w:pos="0"/>
        </w:tabs>
        <w:ind w:left="0" w:firstLine="0"/>
        <w:rPr>
          <w:del w:id="10537" w:author="AbbVie1" w:date="2025-05-13T10:11:00Z"/>
          <w:bCs/>
          <w:szCs w:val="22"/>
        </w:rPr>
      </w:pPr>
    </w:p>
    <w:p w14:paraId="32101DE4" w14:textId="77777777" w:rsidR="00F72301" w:rsidRPr="001B4A02" w:rsidRDefault="00000000" w:rsidP="00EE5B9A">
      <w:pPr>
        <w:numPr>
          <w:ilvl w:val="0"/>
          <w:numId w:val="48"/>
        </w:numPr>
        <w:tabs>
          <w:tab w:val="clear" w:pos="720"/>
        </w:tabs>
        <w:ind w:left="567" w:hanging="567"/>
        <w:rPr>
          <w:del w:id="10538" w:author="AbbVie1" w:date="2025-05-13T10:11:00Z"/>
          <w:bCs/>
          <w:szCs w:val="22"/>
        </w:rPr>
      </w:pPr>
      <w:del w:id="10539" w:author="AbbVie1" w:date="2025-05-13T10:11:00Z">
        <w:r w:rsidRPr="001B4A02">
          <w:delText xml:space="preserve">reakce v místě injekčního vpichu (včetně </w:delText>
        </w:r>
        <w:r w:rsidRPr="001B4A02">
          <w:rPr>
            <w:bCs/>
            <w:szCs w:val="22"/>
          </w:rPr>
          <w:delText>bolesti, otoku, zarudnutí nebo svědění);</w:delText>
        </w:r>
      </w:del>
    </w:p>
    <w:p w14:paraId="2F578E31" w14:textId="77777777" w:rsidR="00F72301" w:rsidRPr="001B4A02" w:rsidRDefault="00000000" w:rsidP="00EE5B9A">
      <w:pPr>
        <w:numPr>
          <w:ilvl w:val="0"/>
          <w:numId w:val="48"/>
        </w:numPr>
        <w:tabs>
          <w:tab w:val="clear" w:pos="720"/>
        </w:tabs>
        <w:ind w:left="567" w:hanging="567"/>
        <w:rPr>
          <w:del w:id="10540" w:author="AbbVie1" w:date="2025-05-13T10:11:00Z"/>
          <w:bCs/>
          <w:szCs w:val="22"/>
        </w:rPr>
      </w:pPr>
      <w:del w:id="10541" w:author="AbbVie1" w:date="2025-05-13T10:11:00Z">
        <w:r w:rsidRPr="001B4A02">
          <w:rPr>
            <w:bCs/>
            <w:szCs w:val="22"/>
          </w:rPr>
          <w:delText>infekce dýchacích cest (včetně nastydnutí, rýmy, infekce vedlejších nosních dutin, zápalu plic)</w:delText>
        </w:r>
        <w:r w:rsidRPr="001B4A02">
          <w:delText>;</w:delText>
        </w:r>
      </w:del>
    </w:p>
    <w:p w14:paraId="4CF6C9E3" w14:textId="77777777" w:rsidR="00F72301" w:rsidRPr="001B4A02" w:rsidRDefault="00000000" w:rsidP="00EE5B9A">
      <w:pPr>
        <w:numPr>
          <w:ilvl w:val="0"/>
          <w:numId w:val="48"/>
        </w:numPr>
        <w:tabs>
          <w:tab w:val="clear" w:pos="720"/>
        </w:tabs>
        <w:ind w:left="567" w:hanging="567"/>
        <w:rPr>
          <w:del w:id="10542" w:author="AbbVie1" w:date="2025-05-13T10:11:00Z"/>
          <w:bCs/>
          <w:szCs w:val="22"/>
        </w:rPr>
      </w:pPr>
      <w:del w:id="10543" w:author="AbbVie1" w:date="2025-05-13T10:11:00Z">
        <w:r w:rsidRPr="001B4A02">
          <w:rPr>
            <w:bCs/>
            <w:szCs w:val="22"/>
          </w:rPr>
          <w:delText>bolest hlavy</w:delText>
        </w:r>
        <w:r w:rsidRPr="001B4A02">
          <w:delText>;</w:delText>
        </w:r>
      </w:del>
    </w:p>
    <w:p w14:paraId="32ABEC5F" w14:textId="77777777" w:rsidR="00F72301" w:rsidRPr="001B4A02" w:rsidRDefault="00000000" w:rsidP="00EE5B9A">
      <w:pPr>
        <w:numPr>
          <w:ilvl w:val="0"/>
          <w:numId w:val="48"/>
        </w:numPr>
        <w:tabs>
          <w:tab w:val="clear" w:pos="720"/>
        </w:tabs>
        <w:ind w:left="567" w:hanging="567"/>
        <w:rPr>
          <w:del w:id="10544" w:author="AbbVie1" w:date="2025-05-13T10:11:00Z"/>
          <w:bCs/>
          <w:szCs w:val="22"/>
        </w:rPr>
      </w:pPr>
      <w:del w:id="10545" w:author="AbbVie1" w:date="2025-05-13T10:11:00Z">
        <w:r w:rsidRPr="001B4A02">
          <w:rPr>
            <w:bCs/>
            <w:szCs w:val="22"/>
          </w:rPr>
          <w:delText>bolest břicha</w:delText>
        </w:r>
        <w:r w:rsidRPr="001B4A02">
          <w:delText>;</w:delText>
        </w:r>
      </w:del>
    </w:p>
    <w:p w14:paraId="0897C95D" w14:textId="77777777" w:rsidR="00F72301" w:rsidRPr="001B4A02" w:rsidRDefault="00000000" w:rsidP="00EE5B9A">
      <w:pPr>
        <w:numPr>
          <w:ilvl w:val="0"/>
          <w:numId w:val="48"/>
        </w:numPr>
        <w:tabs>
          <w:tab w:val="clear" w:pos="720"/>
        </w:tabs>
        <w:ind w:left="567" w:hanging="567"/>
        <w:rPr>
          <w:del w:id="10546" w:author="AbbVie1" w:date="2025-05-13T10:11:00Z"/>
          <w:bCs/>
          <w:szCs w:val="22"/>
        </w:rPr>
      </w:pPr>
      <w:del w:id="10547" w:author="AbbVie1" w:date="2025-05-13T10:11:00Z">
        <w:r>
          <w:rPr>
            <w:bCs/>
            <w:szCs w:val="22"/>
          </w:rPr>
          <w:delText>pocit na zvracení</w:delText>
        </w:r>
        <w:r w:rsidR="002378E0">
          <w:rPr>
            <w:bCs/>
            <w:szCs w:val="22"/>
          </w:rPr>
          <w:delText xml:space="preserve"> a </w:delText>
        </w:r>
        <w:r w:rsidRPr="001B4A02">
          <w:rPr>
            <w:bCs/>
            <w:szCs w:val="22"/>
          </w:rPr>
          <w:delText>zvracení</w:delText>
        </w:r>
        <w:r w:rsidRPr="001B4A02">
          <w:delText>;</w:delText>
        </w:r>
      </w:del>
    </w:p>
    <w:p w14:paraId="4214A7E3" w14:textId="77777777" w:rsidR="00F72301" w:rsidRPr="001B4A02" w:rsidRDefault="00000000" w:rsidP="00EE5B9A">
      <w:pPr>
        <w:numPr>
          <w:ilvl w:val="0"/>
          <w:numId w:val="48"/>
        </w:numPr>
        <w:tabs>
          <w:tab w:val="clear" w:pos="720"/>
        </w:tabs>
        <w:ind w:left="567" w:hanging="567"/>
        <w:rPr>
          <w:del w:id="10548" w:author="AbbVie1" w:date="2025-05-13T10:11:00Z"/>
          <w:bCs/>
          <w:szCs w:val="22"/>
        </w:rPr>
      </w:pPr>
      <w:del w:id="10549" w:author="AbbVie1" w:date="2025-05-13T10:11:00Z">
        <w:r w:rsidRPr="001B4A02">
          <w:rPr>
            <w:bCs/>
            <w:szCs w:val="22"/>
          </w:rPr>
          <w:delText>vyrážka</w:delText>
        </w:r>
        <w:r w:rsidRPr="001B4A02">
          <w:delText>;</w:delText>
        </w:r>
      </w:del>
    </w:p>
    <w:p w14:paraId="2D7984A9" w14:textId="77777777" w:rsidR="00073F8F" w:rsidRPr="001B4A02" w:rsidRDefault="00000000" w:rsidP="00EE5B9A">
      <w:pPr>
        <w:numPr>
          <w:ilvl w:val="0"/>
          <w:numId w:val="48"/>
        </w:numPr>
        <w:tabs>
          <w:tab w:val="clear" w:pos="720"/>
        </w:tabs>
        <w:ind w:left="567" w:hanging="567"/>
        <w:rPr>
          <w:del w:id="10550" w:author="AbbVie1" w:date="2025-05-13T10:11:00Z"/>
          <w:bCs/>
          <w:szCs w:val="22"/>
        </w:rPr>
      </w:pPr>
      <w:del w:id="10551" w:author="AbbVie1" w:date="2025-05-13T10:11:00Z">
        <w:r w:rsidRPr="001B4A02">
          <w:rPr>
            <w:bCs/>
            <w:szCs w:val="22"/>
          </w:rPr>
          <w:delText>bolest svalů</w:delText>
        </w:r>
        <w:r w:rsidR="002378E0">
          <w:rPr>
            <w:bCs/>
            <w:szCs w:val="22"/>
          </w:rPr>
          <w:delText xml:space="preserve"> a </w:delText>
        </w:r>
        <w:r w:rsidRPr="001B4A02">
          <w:rPr>
            <w:bCs/>
            <w:szCs w:val="22"/>
          </w:rPr>
          <w:delText>kloubů.</w:delText>
        </w:r>
      </w:del>
    </w:p>
    <w:p w14:paraId="29E30F07" w14:textId="77777777" w:rsidR="00073F8F" w:rsidRPr="001B4A02" w:rsidRDefault="00073F8F" w:rsidP="00ED48A3">
      <w:pPr>
        <w:pStyle w:val="EMEANormal"/>
        <w:tabs>
          <w:tab w:val="clear" w:pos="562"/>
          <w:tab w:val="left" w:pos="0"/>
        </w:tabs>
        <w:suppressAutoHyphens w:val="0"/>
        <w:rPr>
          <w:del w:id="10552" w:author="AbbVie1" w:date="2025-05-13T10:11:00Z"/>
          <w:lang w:val="cs-CZ"/>
        </w:rPr>
      </w:pPr>
    </w:p>
    <w:p w14:paraId="06C44BE6" w14:textId="77777777" w:rsidR="00073F8F" w:rsidRPr="001B4A02" w:rsidRDefault="00000000" w:rsidP="00ED48A3">
      <w:pPr>
        <w:shd w:val="clear" w:color="auto" w:fill="FFFFFF"/>
        <w:tabs>
          <w:tab w:val="left" w:pos="0"/>
        </w:tabs>
        <w:ind w:left="0" w:firstLine="0"/>
        <w:rPr>
          <w:del w:id="10553" w:author="AbbVie1" w:date="2025-05-13T10:11:00Z"/>
        </w:rPr>
      </w:pPr>
      <w:del w:id="10554" w:author="AbbVie1" w:date="2025-05-13T10:11:00Z">
        <w:r w:rsidRPr="001B4A02">
          <w:delText>Časté (</w:delText>
        </w:r>
        <w:r w:rsidR="00FD74AE" w:rsidRPr="001B4A02">
          <w:delText xml:space="preserve">mohou postihnout </w:delText>
        </w:r>
        <w:r w:rsidR="00FA5EFC" w:rsidRPr="001B4A02">
          <w:delText>nejvýše</w:delText>
        </w:r>
        <w:r w:rsidR="00FD74AE" w:rsidRPr="001B4A02">
          <w:delText xml:space="preserve"> 1 z</w:delText>
        </w:r>
        <w:r w:rsidR="004823B6" w:rsidRPr="001B4A02">
          <w:delText> </w:delText>
        </w:r>
        <w:r w:rsidR="00FD74AE" w:rsidRPr="001B4A02">
          <w:delText>10 osob</w:delText>
        </w:r>
        <w:r w:rsidR="000C2348" w:rsidRPr="001B4A02">
          <w:delText>)</w:delText>
        </w:r>
      </w:del>
    </w:p>
    <w:p w14:paraId="33A06D8E" w14:textId="77777777" w:rsidR="008534AD" w:rsidRPr="001B4A02" w:rsidRDefault="008534AD" w:rsidP="00ED48A3">
      <w:pPr>
        <w:shd w:val="clear" w:color="auto" w:fill="FFFFFF"/>
        <w:tabs>
          <w:tab w:val="left" w:pos="0"/>
        </w:tabs>
        <w:ind w:left="0" w:firstLine="0"/>
        <w:rPr>
          <w:del w:id="10555" w:author="AbbVie1" w:date="2025-05-13T10:11:00Z"/>
        </w:rPr>
      </w:pPr>
    </w:p>
    <w:p w14:paraId="2C97A080" w14:textId="77777777" w:rsidR="00F72301" w:rsidRPr="001B4A02" w:rsidRDefault="00000000" w:rsidP="00EE5B9A">
      <w:pPr>
        <w:numPr>
          <w:ilvl w:val="0"/>
          <w:numId w:val="48"/>
        </w:numPr>
        <w:tabs>
          <w:tab w:val="clear" w:pos="720"/>
        </w:tabs>
        <w:ind w:left="567" w:hanging="567"/>
        <w:rPr>
          <w:del w:id="10556" w:author="AbbVie1" w:date="2025-05-13T10:11:00Z"/>
        </w:rPr>
      </w:pPr>
      <w:del w:id="10557" w:author="AbbVie1" w:date="2025-05-13T10:11:00Z">
        <w:r>
          <w:rPr>
            <w:bCs/>
            <w:szCs w:val="22"/>
          </w:rPr>
          <w:delText>závažné</w:delText>
        </w:r>
        <w:r w:rsidRPr="001B4A02">
          <w:rPr>
            <w:bCs/>
            <w:szCs w:val="22"/>
          </w:rPr>
          <w:delText xml:space="preserve"> infekce (včetně otravy krve</w:delText>
        </w:r>
        <w:r w:rsidR="002378E0">
          <w:rPr>
            <w:bCs/>
            <w:szCs w:val="22"/>
          </w:rPr>
          <w:delText xml:space="preserve"> a </w:delText>
        </w:r>
        <w:r w:rsidRPr="001B4A02">
          <w:rPr>
            <w:bCs/>
            <w:szCs w:val="22"/>
          </w:rPr>
          <w:delText>chřipky)</w:delText>
        </w:r>
        <w:r w:rsidRPr="001B4A02">
          <w:delText>;</w:delText>
        </w:r>
      </w:del>
    </w:p>
    <w:p w14:paraId="4FF52604" w14:textId="77777777" w:rsidR="00DB24E0" w:rsidRPr="001B4A02" w:rsidRDefault="00000000" w:rsidP="00EE5B9A">
      <w:pPr>
        <w:numPr>
          <w:ilvl w:val="0"/>
          <w:numId w:val="48"/>
        </w:numPr>
        <w:tabs>
          <w:tab w:val="clear" w:pos="720"/>
        </w:tabs>
        <w:ind w:left="567" w:hanging="567"/>
        <w:rPr>
          <w:del w:id="10558" w:author="AbbVie1" w:date="2025-05-13T10:11:00Z"/>
        </w:rPr>
      </w:pPr>
      <w:del w:id="10559" w:author="AbbVie1" w:date="2025-05-13T10:11:00Z">
        <w:r w:rsidRPr="001B4A02">
          <w:rPr>
            <w:bCs/>
            <w:szCs w:val="22"/>
          </w:rPr>
          <w:delText>střevní infekce (včetně gastroenteritidy);</w:delText>
        </w:r>
      </w:del>
    </w:p>
    <w:p w14:paraId="0AC0474A" w14:textId="77777777" w:rsidR="00F72301" w:rsidRPr="001B4A02" w:rsidRDefault="00000000" w:rsidP="00EE5B9A">
      <w:pPr>
        <w:numPr>
          <w:ilvl w:val="0"/>
          <w:numId w:val="48"/>
        </w:numPr>
        <w:tabs>
          <w:tab w:val="clear" w:pos="720"/>
        </w:tabs>
        <w:ind w:left="567" w:hanging="567"/>
        <w:rPr>
          <w:del w:id="10560" w:author="AbbVie1" w:date="2025-05-13T10:11:00Z"/>
        </w:rPr>
      </w:pPr>
      <w:del w:id="10561" w:author="AbbVie1" w:date="2025-05-13T10:11:00Z">
        <w:r w:rsidRPr="001B4A02">
          <w:rPr>
            <w:bCs/>
            <w:szCs w:val="22"/>
          </w:rPr>
          <w:delText>kožní infekce (včetně celulitidy</w:delText>
        </w:r>
        <w:r w:rsidR="002378E0">
          <w:rPr>
            <w:bCs/>
            <w:szCs w:val="22"/>
          </w:rPr>
          <w:delText xml:space="preserve"> a </w:delText>
        </w:r>
        <w:r w:rsidRPr="001B4A02">
          <w:rPr>
            <w:bCs/>
            <w:szCs w:val="22"/>
          </w:rPr>
          <w:delText>pásového oparu)</w:delText>
        </w:r>
        <w:r w:rsidRPr="001B4A02">
          <w:delText>;</w:delText>
        </w:r>
      </w:del>
    </w:p>
    <w:p w14:paraId="0D7BA193" w14:textId="77777777" w:rsidR="00F72301" w:rsidRPr="001B4A02" w:rsidRDefault="00000000" w:rsidP="00EE5B9A">
      <w:pPr>
        <w:numPr>
          <w:ilvl w:val="0"/>
          <w:numId w:val="48"/>
        </w:numPr>
        <w:tabs>
          <w:tab w:val="clear" w:pos="720"/>
        </w:tabs>
        <w:ind w:left="567" w:hanging="567"/>
        <w:rPr>
          <w:del w:id="10562" w:author="AbbVie1" w:date="2025-05-13T10:11:00Z"/>
        </w:rPr>
      </w:pPr>
      <w:del w:id="10563" w:author="AbbVie1" w:date="2025-05-13T10:11:00Z">
        <w:r w:rsidRPr="001B4A02">
          <w:delText>ušní infekce;</w:delText>
        </w:r>
      </w:del>
    </w:p>
    <w:p w14:paraId="5AF24703" w14:textId="77777777" w:rsidR="00F72301" w:rsidRPr="001B4A02" w:rsidRDefault="00000000" w:rsidP="00EE5B9A">
      <w:pPr>
        <w:numPr>
          <w:ilvl w:val="0"/>
          <w:numId w:val="48"/>
        </w:numPr>
        <w:tabs>
          <w:tab w:val="clear" w:pos="720"/>
        </w:tabs>
        <w:ind w:left="567" w:hanging="567"/>
        <w:rPr>
          <w:del w:id="10564" w:author="AbbVie1" w:date="2025-05-13T10:11:00Z"/>
        </w:rPr>
      </w:pPr>
      <w:del w:id="10565" w:author="AbbVie1" w:date="2025-05-13T10:11:00Z">
        <w:r w:rsidRPr="001B4A02">
          <w:rPr>
            <w:bCs/>
            <w:szCs w:val="22"/>
          </w:rPr>
          <w:delText>infekce v ústech (včetně zubních infekcí</w:delText>
        </w:r>
        <w:r w:rsidR="002378E0">
          <w:rPr>
            <w:bCs/>
            <w:szCs w:val="22"/>
          </w:rPr>
          <w:delText xml:space="preserve"> a </w:delText>
        </w:r>
        <w:r w:rsidRPr="001B4A02">
          <w:rPr>
            <w:bCs/>
            <w:szCs w:val="22"/>
          </w:rPr>
          <w:delText>oparu na rtu)</w:delText>
        </w:r>
        <w:r w:rsidRPr="001B4A02">
          <w:delText>;</w:delText>
        </w:r>
      </w:del>
    </w:p>
    <w:p w14:paraId="1B9B2A4A" w14:textId="77777777" w:rsidR="00F72301" w:rsidRPr="001B4A02" w:rsidRDefault="00000000" w:rsidP="00EE5B9A">
      <w:pPr>
        <w:numPr>
          <w:ilvl w:val="0"/>
          <w:numId w:val="48"/>
        </w:numPr>
        <w:tabs>
          <w:tab w:val="clear" w:pos="720"/>
        </w:tabs>
        <w:ind w:left="567" w:hanging="567"/>
        <w:rPr>
          <w:del w:id="10566" w:author="AbbVie1" w:date="2025-05-13T10:11:00Z"/>
        </w:rPr>
      </w:pPr>
      <w:del w:id="10567" w:author="AbbVie1" w:date="2025-05-13T10:11:00Z">
        <w:r w:rsidRPr="001B4A02">
          <w:rPr>
            <w:bCs/>
            <w:szCs w:val="22"/>
          </w:rPr>
          <w:delText>infekce pohlavních orgánů</w:delText>
        </w:r>
        <w:r w:rsidRPr="001B4A02">
          <w:delText>;</w:delText>
        </w:r>
      </w:del>
    </w:p>
    <w:p w14:paraId="2AB21773" w14:textId="77777777" w:rsidR="00073F8F" w:rsidRPr="001B4A02" w:rsidRDefault="00000000" w:rsidP="00EE5B9A">
      <w:pPr>
        <w:numPr>
          <w:ilvl w:val="0"/>
          <w:numId w:val="48"/>
        </w:numPr>
        <w:tabs>
          <w:tab w:val="clear" w:pos="720"/>
        </w:tabs>
        <w:ind w:left="567" w:hanging="567"/>
        <w:rPr>
          <w:del w:id="10568" w:author="AbbVie1" w:date="2025-05-13T10:11:00Z"/>
          <w:shd w:val="clear" w:color="auto" w:fill="FFFF00"/>
        </w:rPr>
      </w:pPr>
      <w:del w:id="10569" w:author="AbbVie1" w:date="2025-05-13T10:11:00Z">
        <w:r w:rsidRPr="001B4A02">
          <w:delText>zánět</w:delText>
        </w:r>
        <w:r w:rsidR="00F72301" w:rsidRPr="001B4A02">
          <w:delText>y</w:delText>
        </w:r>
        <w:r w:rsidRPr="001B4A02">
          <w:delText xml:space="preserve"> močových cest;</w:delText>
        </w:r>
        <w:r w:rsidRPr="001B4A02">
          <w:rPr>
            <w:shd w:val="clear" w:color="auto" w:fill="FFFF00"/>
          </w:rPr>
          <w:delText xml:space="preserve"> </w:delText>
        </w:r>
      </w:del>
    </w:p>
    <w:p w14:paraId="0D3A63F5" w14:textId="77777777" w:rsidR="00073F8F" w:rsidRPr="001B4A02" w:rsidRDefault="00000000" w:rsidP="00EE5B9A">
      <w:pPr>
        <w:numPr>
          <w:ilvl w:val="0"/>
          <w:numId w:val="48"/>
        </w:numPr>
        <w:tabs>
          <w:tab w:val="clear" w:pos="720"/>
        </w:tabs>
        <w:ind w:left="567" w:hanging="567"/>
        <w:rPr>
          <w:del w:id="10570" w:author="AbbVie1" w:date="2025-05-13T10:11:00Z"/>
          <w:shd w:val="clear" w:color="auto" w:fill="FFFF00"/>
        </w:rPr>
      </w:pPr>
      <w:del w:id="10571" w:author="AbbVie1" w:date="2025-05-13T10:11:00Z">
        <w:r w:rsidRPr="001B4A02">
          <w:delText>plísňové infekce;</w:delText>
        </w:r>
      </w:del>
    </w:p>
    <w:p w14:paraId="141964EE" w14:textId="77777777" w:rsidR="00BF1BC5" w:rsidRPr="001B4A02" w:rsidRDefault="00000000" w:rsidP="00EE5B9A">
      <w:pPr>
        <w:numPr>
          <w:ilvl w:val="0"/>
          <w:numId w:val="48"/>
        </w:numPr>
        <w:tabs>
          <w:tab w:val="clear" w:pos="720"/>
        </w:tabs>
        <w:ind w:left="567" w:hanging="567"/>
        <w:rPr>
          <w:del w:id="10572" w:author="AbbVie1" w:date="2025-05-13T10:11:00Z"/>
          <w:shd w:val="clear" w:color="auto" w:fill="FFFF00"/>
        </w:rPr>
      </w:pPr>
      <w:del w:id="10573" w:author="AbbVie1" w:date="2025-05-13T10:11:00Z">
        <w:r w:rsidRPr="001B4A02">
          <w:delText>záněty kloubů;</w:delText>
        </w:r>
      </w:del>
    </w:p>
    <w:p w14:paraId="2D41B768" w14:textId="77777777" w:rsidR="00F72301" w:rsidRPr="001B4A02" w:rsidRDefault="00000000" w:rsidP="00EE5B9A">
      <w:pPr>
        <w:numPr>
          <w:ilvl w:val="0"/>
          <w:numId w:val="48"/>
        </w:numPr>
        <w:tabs>
          <w:tab w:val="clear" w:pos="720"/>
        </w:tabs>
        <w:ind w:left="567" w:hanging="567"/>
        <w:rPr>
          <w:del w:id="10574" w:author="AbbVie1" w:date="2025-05-13T10:11:00Z"/>
          <w:shd w:val="clear" w:color="auto" w:fill="FFFF00"/>
        </w:rPr>
      </w:pPr>
      <w:del w:id="10575" w:author="AbbVie1" w:date="2025-05-13T10:11:00Z">
        <w:r w:rsidRPr="001B4A02">
          <w:delText>nezho</w:delText>
        </w:r>
        <w:r w:rsidR="00A05F1F" w:rsidRPr="001B4A02">
          <w:delText>ubné nád</w:delText>
        </w:r>
        <w:r w:rsidRPr="001B4A02">
          <w:delText>ory;</w:delText>
        </w:r>
      </w:del>
    </w:p>
    <w:p w14:paraId="4D25EC6B" w14:textId="77777777" w:rsidR="00F72301" w:rsidRPr="001B4A02" w:rsidRDefault="00000000" w:rsidP="00EE5B9A">
      <w:pPr>
        <w:numPr>
          <w:ilvl w:val="0"/>
          <w:numId w:val="48"/>
        </w:numPr>
        <w:tabs>
          <w:tab w:val="clear" w:pos="720"/>
        </w:tabs>
        <w:ind w:left="567" w:hanging="567"/>
        <w:rPr>
          <w:del w:id="10576" w:author="AbbVie1" w:date="2025-05-13T10:11:00Z"/>
          <w:shd w:val="clear" w:color="auto" w:fill="FFFF00"/>
        </w:rPr>
      </w:pPr>
      <w:del w:id="10577" w:author="AbbVie1" w:date="2025-05-13T10:11:00Z">
        <w:r w:rsidRPr="001B4A02">
          <w:delText>rakovina kůže;</w:delText>
        </w:r>
      </w:del>
    </w:p>
    <w:p w14:paraId="42EBA454" w14:textId="77777777" w:rsidR="00F72301" w:rsidRPr="001B4A02" w:rsidRDefault="00000000" w:rsidP="00EE5B9A">
      <w:pPr>
        <w:numPr>
          <w:ilvl w:val="0"/>
          <w:numId w:val="48"/>
        </w:numPr>
        <w:tabs>
          <w:tab w:val="clear" w:pos="720"/>
        </w:tabs>
        <w:ind w:left="567" w:hanging="567"/>
        <w:rPr>
          <w:del w:id="10578" w:author="AbbVie1" w:date="2025-05-13T10:11:00Z"/>
          <w:shd w:val="clear" w:color="auto" w:fill="FFFF00"/>
        </w:rPr>
      </w:pPr>
      <w:del w:id="10579" w:author="AbbVie1" w:date="2025-05-13T10:11:00Z">
        <w:r w:rsidRPr="001B4A02">
          <w:delText>alergické reakce (včetně sezónní alergie);</w:delText>
        </w:r>
      </w:del>
    </w:p>
    <w:p w14:paraId="650C1416" w14:textId="77777777" w:rsidR="00AC1E14" w:rsidRPr="001B4A02" w:rsidRDefault="00000000" w:rsidP="00EE5B9A">
      <w:pPr>
        <w:numPr>
          <w:ilvl w:val="0"/>
          <w:numId w:val="48"/>
        </w:numPr>
        <w:tabs>
          <w:tab w:val="clear" w:pos="720"/>
        </w:tabs>
        <w:ind w:left="567" w:hanging="567"/>
        <w:rPr>
          <w:del w:id="10580" w:author="AbbVie1" w:date="2025-05-13T10:11:00Z"/>
          <w:shd w:val="clear" w:color="auto" w:fill="FFFF00"/>
        </w:rPr>
      </w:pPr>
      <w:del w:id="10581" w:author="AbbVie1" w:date="2025-05-13T10:11:00Z">
        <w:r w:rsidRPr="001B4A02">
          <w:delText>dehydratace;</w:delText>
        </w:r>
      </w:del>
    </w:p>
    <w:p w14:paraId="1B6B8D93" w14:textId="77777777" w:rsidR="00F72301" w:rsidRPr="001B4A02" w:rsidRDefault="00000000" w:rsidP="00EE5B9A">
      <w:pPr>
        <w:numPr>
          <w:ilvl w:val="0"/>
          <w:numId w:val="48"/>
        </w:numPr>
        <w:tabs>
          <w:tab w:val="clear" w:pos="720"/>
        </w:tabs>
        <w:ind w:left="567" w:hanging="567"/>
        <w:rPr>
          <w:del w:id="10582" w:author="AbbVie1" w:date="2025-05-13T10:11:00Z"/>
          <w:shd w:val="clear" w:color="auto" w:fill="FFFF00"/>
        </w:rPr>
      </w:pPr>
      <w:del w:id="10583" w:author="AbbVie1" w:date="2025-05-13T10:11:00Z">
        <w:r w:rsidRPr="001B4A02">
          <w:delText>změny nálad (včetně deprese);</w:delText>
        </w:r>
      </w:del>
    </w:p>
    <w:p w14:paraId="0823045E" w14:textId="77777777" w:rsidR="00F72301" w:rsidRPr="001B4A02" w:rsidRDefault="00000000" w:rsidP="00EE5B9A">
      <w:pPr>
        <w:numPr>
          <w:ilvl w:val="0"/>
          <w:numId w:val="48"/>
        </w:numPr>
        <w:tabs>
          <w:tab w:val="clear" w:pos="720"/>
        </w:tabs>
        <w:ind w:left="567" w:hanging="567"/>
        <w:rPr>
          <w:del w:id="10584" w:author="AbbVie1" w:date="2025-05-13T10:11:00Z"/>
          <w:shd w:val="clear" w:color="auto" w:fill="FFFF00"/>
        </w:rPr>
      </w:pPr>
      <w:del w:id="10585" w:author="AbbVie1" w:date="2025-05-13T10:11:00Z">
        <w:r w:rsidRPr="001B4A02">
          <w:delText>úzkost;</w:delText>
        </w:r>
      </w:del>
    </w:p>
    <w:p w14:paraId="426B33F5" w14:textId="77777777" w:rsidR="00F72301" w:rsidRPr="001B4A02" w:rsidRDefault="00000000" w:rsidP="00EE5B9A">
      <w:pPr>
        <w:numPr>
          <w:ilvl w:val="0"/>
          <w:numId w:val="48"/>
        </w:numPr>
        <w:tabs>
          <w:tab w:val="clear" w:pos="720"/>
        </w:tabs>
        <w:ind w:left="567" w:hanging="567"/>
        <w:rPr>
          <w:del w:id="10586" w:author="AbbVie1" w:date="2025-05-13T10:11:00Z"/>
          <w:shd w:val="clear" w:color="auto" w:fill="FFFF00"/>
        </w:rPr>
      </w:pPr>
      <w:del w:id="10587" w:author="AbbVie1" w:date="2025-05-13T10:11:00Z">
        <w:r w:rsidRPr="001B4A02">
          <w:delText>obtížné usínání;</w:delText>
        </w:r>
      </w:del>
    </w:p>
    <w:p w14:paraId="25B5257B" w14:textId="77777777" w:rsidR="00F72301" w:rsidRPr="001B4A02" w:rsidRDefault="00000000" w:rsidP="00EE5B9A">
      <w:pPr>
        <w:numPr>
          <w:ilvl w:val="0"/>
          <w:numId w:val="48"/>
        </w:numPr>
        <w:tabs>
          <w:tab w:val="clear" w:pos="720"/>
        </w:tabs>
        <w:ind w:left="567" w:hanging="567"/>
        <w:rPr>
          <w:del w:id="10588" w:author="AbbVie1" w:date="2025-05-13T10:11:00Z"/>
          <w:shd w:val="clear" w:color="auto" w:fill="FFFF00"/>
        </w:rPr>
      </w:pPr>
      <w:del w:id="10589" w:author="AbbVie1" w:date="2025-05-13T10:11:00Z">
        <w:r w:rsidRPr="001B4A02">
          <w:delText>poruchy pocitového vnímání</w:delText>
        </w:r>
        <w:r w:rsidR="00A27A27" w:rsidRPr="001B4A02">
          <w:delText>,</w:delText>
        </w:r>
        <w:r w:rsidRPr="001B4A02">
          <w:delText xml:space="preserve"> jako je brnění, svědění nebo znecitlivění;</w:delText>
        </w:r>
      </w:del>
    </w:p>
    <w:p w14:paraId="316BB39B" w14:textId="77777777" w:rsidR="00F72301" w:rsidRPr="001B4A02" w:rsidRDefault="00000000" w:rsidP="00EE5B9A">
      <w:pPr>
        <w:numPr>
          <w:ilvl w:val="0"/>
          <w:numId w:val="48"/>
        </w:numPr>
        <w:tabs>
          <w:tab w:val="clear" w:pos="720"/>
        </w:tabs>
        <w:ind w:left="567" w:hanging="567"/>
        <w:rPr>
          <w:del w:id="10590" w:author="AbbVie1" w:date="2025-05-13T10:11:00Z"/>
          <w:shd w:val="clear" w:color="auto" w:fill="FFFF00"/>
        </w:rPr>
      </w:pPr>
      <w:del w:id="10591" w:author="AbbVie1" w:date="2025-05-13T10:11:00Z">
        <w:r w:rsidRPr="001B4A02">
          <w:delText>migréna;</w:delText>
        </w:r>
      </w:del>
    </w:p>
    <w:p w14:paraId="0BD60592" w14:textId="77777777" w:rsidR="00F72301" w:rsidRPr="001B4A02" w:rsidRDefault="00000000" w:rsidP="00EE5B9A">
      <w:pPr>
        <w:numPr>
          <w:ilvl w:val="0"/>
          <w:numId w:val="48"/>
        </w:numPr>
        <w:tabs>
          <w:tab w:val="clear" w:pos="720"/>
        </w:tabs>
        <w:ind w:left="567" w:hanging="567"/>
        <w:rPr>
          <w:del w:id="10592" w:author="AbbVie1" w:date="2025-05-13T10:11:00Z"/>
          <w:shd w:val="clear" w:color="auto" w:fill="FFFF00"/>
        </w:rPr>
      </w:pPr>
      <w:del w:id="10593" w:author="AbbVie1" w:date="2025-05-13T10:11:00Z">
        <w:r w:rsidRPr="001B4A02">
          <w:delText>útlak nervových kořenů (včetně bolesti v bedrech</w:delText>
        </w:r>
        <w:r w:rsidR="002378E0">
          <w:delText xml:space="preserve"> a </w:delText>
        </w:r>
        <w:r w:rsidRPr="001B4A02">
          <w:delText>bolesti dolních končetin);</w:delText>
        </w:r>
      </w:del>
    </w:p>
    <w:p w14:paraId="2CA077B9" w14:textId="77777777" w:rsidR="00F72301" w:rsidRPr="001B4A02" w:rsidRDefault="00000000" w:rsidP="00EE5B9A">
      <w:pPr>
        <w:numPr>
          <w:ilvl w:val="0"/>
          <w:numId w:val="48"/>
        </w:numPr>
        <w:tabs>
          <w:tab w:val="clear" w:pos="720"/>
        </w:tabs>
        <w:ind w:left="567" w:hanging="567"/>
        <w:rPr>
          <w:del w:id="10594" w:author="AbbVie1" w:date="2025-05-13T10:11:00Z"/>
          <w:shd w:val="clear" w:color="auto" w:fill="FFFF00"/>
        </w:rPr>
      </w:pPr>
      <w:del w:id="10595" w:author="AbbVie1" w:date="2025-05-13T10:11:00Z">
        <w:r w:rsidRPr="001B4A02">
          <w:delText>poruchy zraku;</w:delText>
        </w:r>
      </w:del>
    </w:p>
    <w:p w14:paraId="231DCB33" w14:textId="77777777" w:rsidR="00F72301" w:rsidRPr="001B4A02" w:rsidRDefault="00000000" w:rsidP="00EE5B9A">
      <w:pPr>
        <w:numPr>
          <w:ilvl w:val="0"/>
          <w:numId w:val="48"/>
        </w:numPr>
        <w:tabs>
          <w:tab w:val="clear" w:pos="720"/>
        </w:tabs>
        <w:ind w:left="567" w:hanging="567"/>
        <w:rPr>
          <w:del w:id="10596" w:author="AbbVie1" w:date="2025-05-13T10:11:00Z"/>
          <w:shd w:val="clear" w:color="auto" w:fill="FFFF00"/>
        </w:rPr>
      </w:pPr>
      <w:del w:id="10597" w:author="AbbVie1" w:date="2025-05-13T10:11:00Z">
        <w:r w:rsidRPr="001B4A02">
          <w:delText>oční infekce;</w:delText>
        </w:r>
      </w:del>
    </w:p>
    <w:p w14:paraId="490938F2" w14:textId="77777777" w:rsidR="00BF1BC5" w:rsidRPr="001B4A02" w:rsidRDefault="00000000" w:rsidP="00EE5B9A">
      <w:pPr>
        <w:pStyle w:val="EMEANormal"/>
        <w:numPr>
          <w:ilvl w:val="0"/>
          <w:numId w:val="48"/>
        </w:numPr>
        <w:tabs>
          <w:tab w:val="clear" w:pos="562"/>
          <w:tab w:val="clear" w:pos="720"/>
        </w:tabs>
        <w:suppressAutoHyphens w:val="0"/>
        <w:ind w:left="567" w:hanging="567"/>
        <w:rPr>
          <w:del w:id="10598" w:author="AbbVie1" w:date="2025-05-13T10:11:00Z"/>
          <w:lang w:val="cs-CZ"/>
        </w:rPr>
      </w:pPr>
      <w:del w:id="10599" w:author="AbbVie1" w:date="2025-05-13T10:11:00Z">
        <w:r w:rsidRPr="001B4A02">
          <w:rPr>
            <w:lang w:val="cs-CZ"/>
          </w:rPr>
          <w:delText>točení hlavy;</w:delText>
        </w:r>
      </w:del>
    </w:p>
    <w:p w14:paraId="01DA7874" w14:textId="77777777" w:rsidR="00073F8F" w:rsidRPr="001B4A02" w:rsidRDefault="00000000" w:rsidP="00EE5B9A">
      <w:pPr>
        <w:pStyle w:val="EMEANormal"/>
        <w:numPr>
          <w:ilvl w:val="0"/>
          <w:numId w:val="48"/>
        </w:numPr>
        <w:tabs>
          <w:tab w:val="clear" w:pos="562"/>
          <w:tab w:val="clear" w:pos="720"/>
        </w:tabs>
        <w:suppressAutoHyphens w:val="0"/>
        <w:ind w:left="567" w:hanging="567"/>
        <w:rPr>
          <w:del w:id="10600" w:author="AbbVie1" w:date="2025-05-13T10:11:00Z"/>
          <w:lang w:val="cs-CZ"/>
        </w:rPr>
      </w:pPr>
      <w:del w:id="10601" w:author="AbbVie1" w:date="2025-05-13T10:11:00Z">
        <w:r w:rsidRPr="001B4A02">
          <w:rPr>
            <w:lang w:val="cs-CZ"/>
          </w:rPr>
          <w:delText>záněty očního víčka</w:delText>
        </w:r>
        <w:r w:rsidR="002378E0">
          <w:rPr>
            <w:lang w:val="cs-CZ"/>
          </w:rPr>
          <w:delText xml:space="preserve"> a </w:delText>
        </w:r>
        <w:r w:rsidRPr="001B4A02">
          <w:rPr>
            <w:lang w:val="cs-CZ"/>
          </w:rPr>
          <w:delText>otoky oka;</w:delText>
        </w:r>
      </w:del>
    </w:p>
    <w:p w14:paraId="354BBA21"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02" w:author="AbbVie1" w:date="2025-05-13T10:11:00Z"/>
          <w:lang w:val="cs-CZ"/>
        </w:rPr>
      </w:pPr>
      <w:del w:id="10603" w:author="AbbVie1" w:date="2025-05-13T10:11:00Z">
        <w:r w:rsidRPr="001B4A02">
          <w:rPr>
            <w:lang w:val="cs-CZ"/>
          </w:rPr>
          <w:delText>pocity rychlého bušení srdce;</w:delText>
        </w:r>
      </w:del>
    </w:p>
    <w:p w14:paraId="3530627A"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04" w:author="AbbVie1" w:date="2025-05-13T10:11:00Z"/>
          <w:lang w:val="cs-CZ"/>
        </w:rPr>
      </w:pPr>
      <w:del w:id="10605" w:author="AbbVie1" w:date="2025-05-13T10:11:00Z">
        <w:r w:rsidRPr="001B4A02">
          <w:rPr>
            <w:lang w:val="cs-CZ"/>
          </w:rPr>
          <w:delText>vysoký krevní tlak;</w:delText>
        </w:r>
      </w:del>
    </w:p>
    <w:p w14:paraId="1C3EAEAD"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06" w:author="AbbVie1" w:date="2025-05-13T10:11:00Z"/>
          <w:lang w:val="cs-CZ"/>
        </w:rPr>
      </w:pPr>
      <w:del w:id="10607" w:author="AbbVie1" w:date="2025-05-13T10:11:00Z">
        <w:r w:rsidRPr="001B4A02">
          <w:rPr>
            <w:lang w:val="cs-CZ"/>
          </w:rPr>
          <w:delText>návaly hor</w:delText>
        </w:r>
        <w:r w:rsidR="006D39E6">
          <w:rPr>
            <w:lang w:val="cs-CZ"/>
          </w:rPr>
          <w:delText>ka</w:delText>
        </w:r>
        <w:r w:rsidRPr="001B4A02">
          <w:rPr>
            <w:lang w:val="cs-CZ"/>
          </w:rPr>
          <w:delText>;</w:delText>
        </w:r>
      </w:del>
    </w:p>
    <w:p w14:paraId="2BBFD9D9"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08" w:author="AbbVie1" w:date="2025-05-13T10:11:00Z"/>
          <w:lang w:val="cs-CZ"/>
        </w:rPr>
      </w:pPr>
      <w:del w:id="10609" w:author="AbbVie1" w:date="2025-05-13T10:11:00Z">
        <w:r w:rsidRPr="001B4A02">
          <w:rPr>
            <w:lang w:val="cs-CZ"/>
          </w:rPr>
          <w:delText>krevní podlitiny;</w:delText>
        </w:r>
      </w:del>
    </w:p>
    <w:p w14:paraId="7A1519BE" w14:textId="77777777" w:rsidR="00073F8F" w:rsidRPr="001B4A02" w:rsidRDefault="00000000" w:rsidP="00EE5B9A">
      <w:pPr>
        <w:pStyle w:val="EMEANormal"/>
        <w:numPr>
          <w:ilvl w:val="0"/>
          <w:numId w:val="48"/>
        </w:numPr>
        <w:tabs>
          <w:tab w:val="clear" w:pos="562"/>
          <w:tab w:val="clear" w:pos="720"/>
        </w:tabs>
        <w:suppressAutoHyphens w:val="0"/>
        <w:ind w:left="567" w:hanging="567"/>
        <w:rPr>
          <w:del w:id="10610" w:author="AbbVie1" w:date="2025-05-13T10:11:00Z"/>
          <w:lang w:val="cs-CZ"/>
        </w:rPr>
      </w:pPr>
      <w:del w:id="10611" w:author="AbbVie1" w:date="2025-05-13T10:11:00Z">
        <w:r w:rsidRPr="001B4A02">
          <w:rPr>
            <w:lang w:val="cs-CZ"/>
          </w:rPr>
          <w:delText xml:space="preserve">kašel; </w:delText>
        </w:r>
      </w:del>
    </w:p>
    <w:p w14:paraId="16898BE8"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12" w:author="AbbVie1" w:date="2025-05-13T10:11:00Z"/>
          <w:lang w:val="cs-CZ"/>
        </w:rPr>
      </w:pPr>
      <w:del w:id="10613" w:author="AbbVie1" w:date="2025-05-13T10:11:00Z">
        <w:r w:rsidRPr="001B4A02">
          <w:rPr>
            <w:lang w:val="cs-CZ"/>
          </w:rPr>
          <w:delText>astma;</w:delText>
        </w:r>
      </w:del>
    </w:p>
    <w:p w14:paraId="35C8FCC1"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14" w:author="AbbVie1" w:date="2025-05-13T10:11:00Z"/>
          <w:lang w:val="cs-CZ"/>
        </w:rPr>
      </w:pPr>
      <w:del w:id="10615" w:author="AbbVie1" w:date="2025-05-13T10:11:00Z">
        <w:r w:rsidRPr="001B4A02">
          <w:rPr>
            <w:lang w:val="cs-CZ"/>
          </w:rPr>
          <w:delText>zkrácení dechu;</w:delText>
        </w:r>
      </w:del>
    </w:p>
    <w:p w14:paraId="7A9537CD"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16" w:author="AbbVie1" w:date="2025-05-13T10:11:00Z"/>
          <w:lang w:val="cs-CZ"/>
        </w:rPr>
      </w:pPr>
      <w:del w:id="10617" w:author="AbbVie1" w:date="2025-05-13T10:11:00Z">
        <w:r w:rsidRPr="001B4A02">
          <w:rPr>
            <w:lang w:val="cs-CZ"/>
          </w:rPr>
          <w:delText>krvácení</w:delText>
        </w:r>
        <w:r w:rsidR="00A05F1F" w:rsidRPr="001B4A02">
          <w:rPr>
            <w:lang w:val="cs-CZ"/>
          </w:rPr>
          <w:delText xml:space="preserve"> ze zažívacího ústrojí</w:delText>
        </w:r>
        <w:r w:rsidRPr="001B4A02">
          <w:rPr>
            <w:lang w:val="cs-CZ"/>
          </w:rPr>
          <w:delText>;</w:delText>
        </w:r>
      </w:del>
    </w:p>
    <w:p w14:paraId="498A9C72"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18" w:author="AbbVie1" w:date="2025-05-13T10:11:00Z"/>
          <w:lang w:val="cs-CZ"/>
        </w:rPr>
      </w:pPr>
      <w:del w:id="10619" w:author="AbbVie1" w:date="2025-05-13T10:11:00Z">
        <w:r w:rsidRPr="001B4A02">
          <w:rPr>
            <w:lang w:val="cs-CZ"/>
          </w:rPr>
          <w:delText>zažívací obtíže (poruchy trávení, nadýmání, pálení žáhy);</w:delText>
        </w:r>
      </w:del>
    </w:p>
    <w:p w14:paraId="65A0ADAF"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20" w:author="AbbVie1" w:date="2025-05-13T10:11:00Z"/>
          <w:lang w:val="cs-CZ"/>
        </w:rPr>
      </w:pPr>
      <w:del w:id="10621" w:author="AbbVie1" w:date="2025-05-13T10:11:00Z">
        <w:r w:rsidRPr="001B4A02">
          <w:rPr>
            <w:lang w:val="cs-CZ"/>
          </w:rPr>
          <w:delText>refluxní choroba jícnu;</w:delText>
        </w:r>
      </w:del>
    </w:p>
    <w:p w14:paraId="6033FE78"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22" w:author="AbbVie1" w:date="2025-05-13T10:11:00Z"/>
          <w:lang w:val="cs-CZ"/>
        </w:rPr>
      </w:pPr>
      <w:del w:id="10623" w:author="AbbVie1" w:date="2025-05-13T10:11:00Z">
        <w:r w:rsidRPr="001B4A02">
          <w:rPr>
            <w:lang w:val="cs-CZ"/>
          </w:rPr>
          <w:delText>sicca syndrom (včetně suchých očí</w:delText>
        </w:r>
        <w:r w:rsidR="002378E0">
          <w:rPr>
            <w:lang w:val="cs-CZ"/>
          </w:rPr>
          <w:delText xml:space="preserve"> a </w:delText>
        </w:r>
        <w:r w:rsidRPr="001B4A02">
          <w:rPr>
            <w:lang w:val="cs-CZ"/>
          </w:rPr>
          <w:delText>suchosti v</w:delText>
        </w:r>
        <w:r w:rsidR="000928E6" w:rsidRPr="001B4A02">
          <w:rPr>
            <w:lang w:val="cs-CZ"/>
          </w:rPr>
          <w:delText> </w:delText>
        </w:r>
        <w:r w:rsidRPr="001B4A02">
          <w:rPr>
            <w:lang w:val="cs-CZ"/>
          </w:rPr>
          <w:delText>ústech);</w:delText>
        </w:r>
      </w:del>
    </w:p>
    <w:p w14:paraId="45B63103" w14:textId="77777777" w:rsidR="00073F8F" w:rsidRPr="001B4A02" w:rsidRDefault="00000000" w:rsidP="00EE5B9A">
      <w:pPr>
        <w:pStyle w:val="EMEANormal"/>
        <w:numPr>
          <w:ilvl w:val="0"/>
          <w:numId w:val="48"/>
        </w:numPr>
        <w:tabs>
          <w:tab w:val="clear" w:pos="562"/>
          <w:tab w:val="clear" w:pos="720"/>
        </w:tabs>
        <w:suppressAutoHyphens w:val="0"/>
        <w:ind w:left="567" w:hanging="567"/>
        <w:rPr>
          <w:del w:id="10624" w:author="AbbVie1" w:date="2025-05-13T10:11:00Z"/>
          <w:shd w:val="clear" w:color="auto" w:fill="FFFF00"/>
          <w:lang w:val="cs-CZ"/>
        </w:rPr>
      </w:pPr>
      <w:del w:id="10625" w:author="AbbVie1" w:date="2025-05-13T10:11:00Z">
        <w:r w:rsidRPr="001B4A02">
          <w:rPr>
            <w:lang w:val="cs-CZ"/>
          </w:rPr>
          <w:delText>svědění;</w:delText>
        </w:r>
        <w:r w:rsidRPr="001B4A02">
          <w:rPr>
            <w:shd w:val="clear" w:color="auto" w:fill="FFFF00"/>
            <w:lang w:val="cs-CZ"/>
          </w:rPr>
          <w:delText xml:space="preserve"> </w:delText>
        </w:r>
      </w:del>
    </w:p>
    <w:p w14:paraId="79831DBF"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26" w:author="AbbVie1" w:date="2025-05-13T10:11:00Z"/>
          <w:shd w:val="clear" w:color="auto" w:fill="FFFF00"/>
          <w:lang w:val="cs-CZ"/>
        </w:rPr>
      </w:pPr>
      <w:del w:id="10627" w:author="AbbVie1" w:date="2025-05-13T10:11:00Z">
        <w:r w:rsidRPr="001B4A02">
          <w:rPr>
            <w:lang w:val="cs-CZ"/>
          </w:rPr>
          <w:delText>svědivá vyrážka;</w:delText>
        </w:r>
      </w:del>
    </w:p>
    <w:p w14:paraId="36192A8A"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28" w:author="AbbVie1" w:date="2025-05-13T10:11:00Z"/>
          <w:shd w:val="clear" w:color="auto" w:fill="FFFF00"/>
          <w:lang w:val="cs-CZ"/>
        </w:rPr>
      </w:pPr>
      <w:del w:id="10629" w:author="AbbVie1" w:date="2025-05-13T10:11:00Z">
        <w:r w:rsidRPr="001B4A02">
          <w:rPr>
            <w:lang w:val="cs-CZ"/>
          </w:rPr>
          <w:delText>tvorba modřin;</w:delText>
        </w:r>
      </w:del>
    </w:p>
    <w:p w14:paraId="7E81B73C"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30" w:author="AbbVie1" w:date="2025-05-13T10:11:00Z"/>
          <w:shd w:val="clear" w:color="auto" w:fill="FFFF00"/>
          <w:lang w:val="cs-CZ"/>
        </w:rPr>
      </w:pPr>
      <w:del w:id="10631" w:author="AbbVie1" w:date="2025-05-13T10:11:00Z">
        <w:r w:rsidRPr="001B4A02">
          <w:rPr>
            <w:lang w:val="cs-CZ"/>
          </w:rPr>
          <w:delText>záněty kůže (jako je ekzém);</w:delText>
        </w:r>
      </w:del>
    </w:p>
    <w:p w14:paraId="515F8776"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32" w:author="AbbVie1" w:date="2025-05-13T10:11:00Z"/>
          <w:shd w:val="clear" w:color="auto" w:fill="FFFF00"/>
          <w:lang w:val="cs-CZ"/>
        </w:rPr>
      </w:pPr>
      <w:del w:id="10633" w:author="AbbVie1" w:date="2025-05-13T10:11:00Z">
        <w:r w:rsidRPr="001B4A02">
          <w:rPr>
            <w:lang w:val="cs-CZ"/>
          </w:rPr>
          <w:delText>lámavost nehtů na prstech rukou</w:delText>
        </w:r>
        <w:r w:rsidR="002378E0">
          <w:rPr>
            <w:lang w:val="cs-CZ"/>
          </w:rPr>
          <w:delText xml:space="preserve"> a </w:delText>
        </w:r>
        <w:r w:rsidRPr="001B4A02">
          <w:rPr>
            <w:lang w:val="cs-CZ"/>
          </w:rPr>
          <w:delText>nohou;</w:delText>
        </w:r>
      </w:del>
    </w:p>
    <w:p w14:paraId="58DC8DB6"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34" w:author="AbbVie1" w:date="2025-05-13T10:11:00Z"/>
          <w:shd w:val="clear" w:color="auto" w:fill="FFFF00"/>
          <w:lang w:val="cs-CZ"/>
        </w:rPr>
      </w:pPr>
      <w:del w:id="10635" w:author="AbbVie1" w:date="2025-05-13T10:11:00Z">
        <w:r w:rsidRPr="001B4A02">
          <w:rPr>
            <w:lang w:val="cs-CZ"/>
          </w:rPr>
          <w:delText>zvýšené pocení;</w:delText>
        </w:r>
      </w:del>
    </w:p>
    <w:p w14:paraId="203562C6" w14:textId="77777777" w:rsidR="00521B75" w:rsidRPr="001B4A02" w:rsidRDefault="00000000" w:rsidP="00EE5B9A">
      <w:pPr>
        <w:pStyle w:val="EMEANormal"/>
        <w:numPr>
          <w:ilvl w:val="0"/>
          <w:numId w:val="48"/>
        </w:numPr>
        <w:tabs>
          <w:tab w:val="clear" w:pos="562"/>
          <w:tab w:val="clear" w:pos="720"/>
        </w:tabs>
        <w:suppressAutoHyphens w:val="0"/>
        <w:ind w:left="567" w:hanging="567"/>
        <w:rPr>
          <w:del w:id="10636" w:author="AbbVie1" w:date="2025-05-13T10:11:00Z"/>
          <w:shd w:val="clear" w:color="auto" w:fill="FFFF00"/>
          <w:lang w:val="cs-CZ"/>
        </w:rPr>
      </w:pPr>
      <w:del w:id="10637" w:author="AbbVie1" w:date="2025-05-13T10:11:00Z">
        <w:r w:rsidRPr="001B4A02">
          <w:rPr>
            <w:lang w:val="cs-CZ"/>
          </w:rPr>
          <w:delText>vypadávání vlasů</w:delText>
        </w:r>
        <w:r w:rsidRPr="001B4A02">
          <w:rPr>
            <w:lang w:val="cs-CZ" w:eastAsia="de-DE"/>
          </w:rPr>
          <w:delText>;</w:delText>
        </w:r>
      </w:del>
    </w:p>
    <w:p w14:paraId="3B1B0FBC" w14:textId="77777777" w:rsidR="00521B75" w:rsidRPr="001B4A02" w:rsidRDefault="00000000" w:rsidP="00EE5B9A">
      <w:pPr>
        <w:pStyle w:val="EMEANormal"/>
        <w:numPr>
          <w:ilvl w:val="0"/>
          <w:numId w:val="48"/>
        </w:numPr>
        <w:tabs>
          <w:tab w:val="clear" w:pos="562"/>
          <w:tab w:val="clear" w:pos="720"/>
        </w:tabs>
        <w:suppressAutoHyphens w:val="0"/>
        <w:ind w:left="567" w:hanging="567"/>
        <w:rPr>
          <w:del w:id="10638" w:author="AbbVie1" w:date="2025-05-13T10:11:00Z"/>
          <w:shd w:val="clear" w:color="auto" w:fill="FFFF00"/>
          <w:lang w:val="cs-CZ"/>
        </w:rPr>
      </w:pPr>
      <w:del w:id="10639" w:author="AbbVie1" w:date="2025-05-13T10:11:00Z">
        <w:r w:rsidRPr="001B4A02">
          <w:rPr>
            <w:lang w:val="cs-CZ"/>
          </w:rPr>
          <w:delText>nový vznik nebo zhoršení psoriázy (lupénky);</w:delText>
        </w:r>
      </w:del>
    </w:p>
    <w:p w14:paraId="183775EB"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40" w:author="AbbVie1" w:date="2025-05-13T10:11:00Z"/>
          <w:shd w:val="clear" w:color="auto" w:fill="FFFF00"/>
          <w:lang w:val="cs-CZ"/>
        </w:rPr>
      </w:pPr>
      <w:del w:id="10641" w:author="AbbVie1" w:date="2025-05-13T10:11:00Z">
        <w:r w:rsidRPr="001B4A02">
          <w:rPr>
            <w:lang w:val="cs-CZ"/>
          </w:rPr>
          <w:delText>svalové křeče;</w:delText>
        </w:r>
      </w:del>
    </w:p>
    <w:p w14:paraId="22B36AF3"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42" w:author="AbbVie1" w:date="2025-05-13T10:11:00Z"/>
          <w:shd w:val="clear" w:color="auto" w:fill="FFFF00"/>
          <w:lang w:val="cs-CZ"/>
        </w:rPr>
      </w:pPr>
      <w:del w:id="10643" w:author="AbbVie1" w:date="2025-05-13T10:11:00Z">
        <w:r w:rsidRPr="001B4A02">
          <w:rPr>
            <w:lang w:val="cs-CZ"/>
          </w:rPr>
          <w:delText>krev v moči;</w:delText>
        </w:r>
      </w:del>
    </w:p>
    <w:p w14:paraId="581AB70E"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44" w:author="AbbVie1" w:date="2025-05-13T10:11:00Z"/>
          <w:shd w:val="clear" w:color="auto" w:fill="FFFF00"/>
          <w:lang w:val="cs-CZ"/>
        </w:rPr>
      </w:pPr>
      <w:del w:id="10645" w:author="AbbVie1" w:date="2025-05-13T10:11:00Z">
        <w:r w:rsidRPr="001B4A02">
          <w:rPr>
            <w:lang w:val="cs-CZ"/>
          </w:rPr>
          <w:delText>onemocnění ledvin;</w:delText>
        </w:r>
      </w:del>
    </w:p>
    <w:p w14:paraId="13ED7891"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46" w:author="AbbVie1" w:date="2025-05-13T10:11:00Z"/>
          <w:shd w:val="clear" w:color="auto" w:fill="FFFF00"/>
          <w:lang w:val="cs-CZ"/>
        </w:rPr>
      </w:pPr>
      <w:del w:id="10647" w:author="AbbVie1" w:date="2025-05-13T10:11:00Z">
        <w:r w:rsidRPr="001B4A02">
          <w:rPr>
            <w:lang w:val="cs-CZ"/>
          </w:rPr>
          <w:delText>bolest na hrudi;</w:delText>
        </w:r>
      </w:del>
    </w:p>
    <w:p w14:paraId="18371C68"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48" w:author="AbbVie1" w:date="2025-05-13T10:11:00Z"/>
          <w:shd w:val="clear" w:color="auto" w:fill="FFFF00"/>
          <w:lang w:val="cs-CZ"/>
        </w:rPr>
      </w:pPr>
      <w:del w:id="10649" w:author="AbbVie1" w:date="2025-05-13T10:11:00Z">
        <w:r>
          <w:rPr>
            <w:lang w:val="cs-CZ"/>
          </w:rPr>
          <w:delText>edém (</w:delText>
        </w:r>
        <w:r w:rsidRPr="001B4A02">
          <w:rPr>
            <w:lang w:val="cs-CZ"/>
          </w:rPr>
          <w:delText>otok</w:delText>
        </w:r>
        <w:r>
          <w:rPr>
            <w:lang w:val="cs-CZ"/>
          </w:rPr>
          <w:delText>)</w:delText>
        </w:r>
        <w:r w:rsidRPr="001B4A02">
          <w:rPr>
            <w:lang w:val="cs-CZ"/>
          </w:rPr>
          <w:delText>;</w:delText>
        </w:r>
      </w:del>
    </w:p>
    <w:p w14:paraId="1549916F" w14:textId="77777777" w:rsidR="00BF1BC5" w:rsidRPr="001B4A02" w:rsidRDefault="00000000" w:rsidP="00EE5B9A">
      <w:pPr>
        <w:pStyle w:val="EMEANormal"/>
        <w:numPr>
          <w:ilvl w:val="0"/>
          <w:numId w:val="48"/>
        </w:numPr>
        <w:tabs>
          <w:tab w:val="clear" w:pos="562"/>
          <w:tab w:val="clear" w:pos="720"/>
        </w:tabs>
        <w:suppressAutoHyphens w:val="0"/>
        <w:ind w:left="567" w:hanging="567"/>
        <w:rPr>
          <w:del w:id="10650" w:author="AbbVie1" w:date="2025-05-13T10:11:00Z"/>
          <w:shd w:val="clear" w:color="auto" w:fill="FFFF00"/>
          <w:lang w:val="cs-CZ"/>
        </w:rPr>
      </w:pPr>
      <w:del w:id="10651" w:author="AbbVie1" w:date="2025-05-13T10:11:00Z">
        <w:r w:rsidRPr="001B4A02">
          <w:rPr>
            <w:lang w:val="cs-CZ"/>
          </w:rPr>
          <w:delText>horečka;</w:delText>
        </w:r>
      </w:del>
    </w:p>
    <w:p w14:paraId="425D0606"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52" w:author="AbbVie1" w:date="2025-05-13T10:11:00Z"/>
          <w:shd w:val="clear" w:color="auto" w:fill="FFFF00"/>
          <w:lang w:val="cs-CZ"/>
        </w:rPr>
      </w:pPr>
      <w:del w:id="10653" w:author="AbbVie1" w:date="2025-05-13T10:11:00Z">
        <w:r w:rsidRPr="001B4A02">
          <w:rPr>
            <w:lang w:val="cs-CZ"/>
          </w:rPr>
          <w:delText>snížení počtu krevních destiček, což zvyšuje riziko krvácení nebo tvorby modřin;</w:delText>
        </w:r>
      </w:del>
    </w:p>
    <w:p w14:paraId="05BCDE96" w14:textId="77777777" w:rsidR="00F72301" w:rsidRPr="001B4A02" w:rsidRDefault="00000000" w:rsidP="00EE5B9A">
      <w:pPr>
        <w:pStyle w:val="EMEANormal"/>
        <w:numPr>
          <w:ilvl w:val="0"/>
          <w:numId w:val="48"/>
        </w:numPr>
        <w:tabs>
          <w:tab w:val="clear" w:pos="562"/>
          <w:tab w:val="clear" w:pos="720"/>
        </w:tabs>
        <w:suppressAutoHyphens w:val="0"/>
        <w:ind w:left="567" w:hanging="567"/>
        <w:rPr>
          <w:del w:id="10654" w:author="AbbVie1" w:date="2025-05-13T10:11:00Z"/>
          <w:shd w:val="clear" w:color="auto" w:fill="FFFF00"/>
          <w:lang w:val="cs-CZ"/>
        </w:rPr>
      </w:pPr>
      <w:del w:id="10655" w:author="AbbVie1" w:date="2025-05-13T10:11:00Z">
        <w:r w:rsidRPr="001B4A02">
          <w:rPr>
            <w:lang w:val="cs-CZ"/>
          </w:rPr>
          <w:delText>poruchy hojení.</w:delText>
        </w:r>
      </w:del>
    </w:p>
    <w:p w14:paraId="39B3E221" w14:textId="77777777" w:rsidR="00073F8F" w:rsidRPr="001B4A02" w:rsidRDefault="00073F8F" w:rsidP="00ED48A3">
      <w:pPr>
        <w:pStyle w:val="EMEANormal"/>
        <w:tabs>
          <w:tab w:val="clear" w:pos="562"/>
        </w:tabs>
        <w:suppressAutoHyphens w:val="0"/>
        <w:rPr>
          <w:del w:id="10656" w:author="AbbVie1" w:date="2025-05-13T10:11:00Z"/>
          <w:lang w:val="cs-CZ"/>
        </w:rPr>
      </w:pPr>
    </w:p>
    <w:p w14:paraId="44F6EA53" w14:textId="77777777" w:rsidR="00F72301" w:rsidRPr="001B4A02" w:rsidRDefault="00000000" w:rsidP="00ED48A3">
      <w:pPr>
        <w:tabs>
          <w:tab w:val="left" w:pos="0"/>
        </w:tabs>
        <w:ind w:left="0" w:firstLine="0"/>
        <w:rPr>
          <w:del w:id="10657" w:author="AbbVie1" w:date="2025-05-13T10:11:00Z"/>
        </w:rPr>
      </w:pPr>
      <w:del w:id="10658" w:author="AbbVie1" w:date="2025-05-13T10:11:00Z">
        <w:r w:rsidRPr="001B4A02">
          <w:rPr>
            <w:shd w:val="clear" w:color="auto" w:fill="FFFFFF"/>
          </w:rPr>
          <w:delText>Méně časté (</w:delText>
        </w:r>
        <w:r w:rsidR="00FD74AE" w:rsidRPr="001B4A02">
          <w:rPr>
            <w:shd w:val="clear" w:color="auto" w:fill="FFFFFF"/>
          </w:rPr>
          <w:delText xml:space="preserve">mohou postihnout </w:delText>
        </w:r>
        <w:r w:rsidR="00FA5EFC" w:rsidRPr="001B4A02">
          <w:rPr>
            <w:shd w:val="clear" w:color="auto" w:fill="FFFFFF"/>
          </w:rPr>
          <w:delText>nejvýše</w:delText>
        </w:r>
        <w:r w:rsidR="00FD74AE" w:rsidRPr="001B4A02">
          <w:rPr>
            <w:shd w:val="clear" w:color="auto" w:fill="FFFFFF"/>
          </w:rPr>
          <w:delText xml:space="preserve"> 1 ze 100 osob</w:delText>
        </w:r>
        <w:r w:rsidRPr="001B4A02">
          <w:rPr>
            <w:shd w:val="clear" w:color="auto" w:fill="FFFFFF"/>
          </w:rPr>
          <w:delText>)</w:delText>
        </w:r>
      </w:del>
    </w:p>
    <w:p w14:paraId="4F883FED" w14:textId="77777777" w:rsidR="008534AD" w:rsidRPr="001B4A02" w:rsidRDefault="008534AD" w:rsidP="00ED48A3">
      <w:pPr>
        <w:tabs>
          <w:tab w:val="left" w:pos="0"/>
        </w:tabs>
        <w:ind w:left="0" w:firstLine="0"/>
        <w:rPr>
          <w:del w:id="10659" w:author="AbbVie1" w:date="2025-05-13T10:11:00Z"/>
        </w:rPr>
      </w:pPr>
    </w:p>
    <w:p w14:paraId="390955C4" w14:textId="77777777" w:rsidR="005124D6" w:rsidRPr="001B4A02" w:rsidRDefault="00000000" w:rsidP="00EE5B9A">
      <w:pPr>
        <w:pStyle w:val="EMEANormal"/>
        <w:numPr>
          <w:ilvl w:val="0"/>
          <w:numId w:val="59"/>
        </w:numPr>
        <w:tabs>
          <w:tab w:val="clear" w:pos="562"/>
          <w:tab w:val="clear" w:pos="720"/>
        </w:tabs>
        <w:suppressAutoHyphens w:val="0"/>
        <w:ind w:left="567" w:hanging="567"/>
        <w:rPr>
          <w:del w:id="10660" w:author="AbbVie1" w:date="2025-05-13T10:11:00Z"/>
          <w:lang w:val="cs-CZ"/>
        </w:rPr>
      </w:pPr>
      <w:del w:id="10661" w:author="AbbVie1" w:date="2025-05-13T10:11:00Z">
        <w:r w:rsidRPr="001B4A02">
          <w:rPr>
            <w:lang w:val="cs-CZ"/>
          </w:rPr>
          <w:delText>oportunní infekce (které zahrnují tuberkulózu</w:delText>
        </w:r>
        <w:r w:rsidR="002378E0">
          <w:rPr>
            <w:lang w:val="cs-CZ"/>
          </w:rPr>
          <w:delText xml:space="preserve"> a </w:delText>
        </w:r>
        <w:r w:rsidRPr="001B4A02">
          <w:rPr>
            <w:lang w:val="cs-CZ"/>
          </w:rPr>
          <w:delText>jiné infekce</w:delText>
        </w:r>
        <w:r w:rsidR="00815AFD" w:rsidRPr="001B4A02">
          <w:rPr>
            <w:lang w:val="cs-CZ"/>
          </w:rPr>
          <w:delText>,</w:delText>
        </w:r>
        <w:r w:rsidRPr="001B4A02">
          <w:rPr>
            <w:lang w:val="cs-CZ"/>
          </w:rPr>
          <w:delText xml:space="preserve"> které se objevují</w:delText>
        </w:r>
        <w:r w:rsidR="0057664D" w:rsidRPr="001B4A02">
          <w:rPr>
            <w:lang w:val="cs-CZ"/>
          </w:rPr>
          <w:delText>,</w:delText>
        </w:r>
        <w:r w:rsidRPr="001B4A02">
          <w:rPr>
            <w:lang w:val="cs-CZ"/>
          </w:rPr>
          <w:delText xml:space="preserve"> když je snížena odolnost vůči onemocněním</w:delText>
        </w:r>
        <w:r w:rsidR="00815AFD" w:rsidRPr="001B4A02">
          <w:rPr>
            <w:lang w:val="cs-CZ"/>
          </w:rPr>
          <w:delText>)</w:delText>
        </w:r>
        <w:r w:rsidRPr="001B4A02">
          <w:rPr>
            <w:lang w:val="cs-CZ"/>
          </w:rPr>
          <w:delText>;</w:delText>
        </w:r>
      </w:del>
    </w:p>
    <w:p w14:paraId="362C24E8" w14:textId="77777777" w:rsidR="005124D6" w:rsidRPr="001B4A02" w:rsidRDefault="00000000" w:rsidP="00EE5B9A">
      <w:pPr>
        <w:pStyle w:val="EMEANormal"/>
        <w:numPr>
          <w:ilvl w:val="0"/>
          <w:numId w:val="59"/>
        </w:numPr>
        <w:tabs>
          <w:tab w:val="clear" w:pos="562"/>
          <w:tab w:val="clear" w:pos="720"/>
        </w:tabs>
        <w:suppressAutoHyphens w:val="0"/>
        <w:ind w:left="567" w:hanging="567"/>
        <w:rPr>
          <w:del w:id="10662" w:author="AbbVie1" w:date="2025-05-13T10:11:00Z"/>
          <w:lang w:val="cs-CZ"/>
        </w:rPr>
      </w:pPr>
      <w:del w:id="10663" w:author="AbbVie1" w:date="2025-05-13T10:11:00Z">
        <w:r w:rsidRPr="001B4A02">
          <w:rPr>
            <w:lang w:val="cs-CZ"/>
          </w:rPr>
          <w:delText>neurologické infekce (včetně virové meningitidy);</w:delText>
        </w:r>
      </w:del>
    </w:p>
    <w:p w14:paraId="5690B6EA" w14:textId="77777777" w:rsidR="009112FD" w:rsidRPr="001B4A02" w:rsidRDefault="00000000" w:rsidP="00EE5B9A">
      <w:pPr>
        <w:numPr>
          <w:ilvl w:val="0"/>
          <w:numId w:val="48"/>
        </w:numPr>
        <w:tabs>
          <w:tab w:val="clear" w:pos="720"/>
        </w:tabs>
        <w:ind w:left="567" w:hanging="567"/>
        <w:rPr>
          <w:del w:id="10664" w:author="AbbVie1" w:date="2025-05-13T10:11:00Z"/>
        </w:rPr>
      </w:pPr>
      <w:del w:id="10665" w:author="AbbVie1" w:date="2025-05-13T10:11:00Z">
        <w:r w:rsidRPr="001B4A02">
          <w:delText>záněty oka;</w:delText>
        </w:r>
      </w:del>
    </w:p>
    <w:p w14:paraId="08C618A9" w14:textId="77777777" w:rsidR="009112FD" w:rsidRPr="001B4A02" w:rsidRDefault="00000000" w:rsidP="00EE5B9A">
      <w:pPr>
        <w:numPr>
          <w:ilvl w:val="0"/>
          <w:numId w:val="48"/>
        </w:numPr>
        <w:tabs>
          <w:tab w:val="clear" w:pos="720"/>
        </w:tabs>
        <w:ind w:left="567" w:hanging="567"/>
        <w:rPr>
          <w:del w:id="10666" w:author="AbbVie1" w:date="2025-05-13T10:11:00Z"/>
        </w:rPr>
      </w:pPr>
      <w:del w:id="10667" w:author="AbbVie1" w:date="2025-05-13T10:11:00Z">
        <w:r w:rsidRPr="001B4A02">
          <w:delText>bakteriální infekce;</w:delText>
        </w:r>
      </w:del>
    </w:p>
    <w:p w14:paraId="32ACC338" w14:textId="77777777" w:rsidR="00521B75" w:rsidRPr="001B4A02" w:rsidRDefault="00000000" w:rsidP="00EE5B9A">
      <w:pPr>
        <w:numPr>
          <w:ilvl w:val="0"/>
          <w:numId w:val="48"/>
        </w:numPr>
        <w:tabs>
          <w:tab w:val="clear" w:pos="720"/>
        </w:tabs>
        <w:ind w:left="567" w:hanging="567"/>
        <w:rPr>
          <w:del w:id="10668" w:author="AbbVie1" w:date="2025-05-13T10:11:00Z"/>
        </w:rPr>
      </w:pPr>
      <w:del w:id="10669" w:author="AbbVie1" w:date="2025-05-13T10:11:00Z">
        <w:r w:rsidRPr="001B4A02">
          <w:rPr>
            <w:lang w:eastAsia="de-DE"/>
          </w:rPr>
          <w:delText>divertikulitida (zánětlivé onemocnění spojené s</w:delText>
        </w:r>
        <w:r w:rsidR="000C2348" w:rsidRPr="001B4A02">
          <w:rPr>
            <w:lang w:eastAsia="de-DE"/>
          </w:rPr>
          <w:delText> </w:delText>
        </w:r>
        <w:r w:rsidRPr="001B4A02">
          <w:rPr>
            <w:lang w:eastAsia="de-DE"/>
          </w:rPr>
          <w:delText>infekcí tlustého střeva);</w:delText>
        </w:r>
      </w:del>
    </w:p>
    <w:p w14:paraId="28C9FB2F" w14:textId="77777777" w:rsidR="009112FD" w:rsidRPr="001B4A02" w:rsidRDefault="00000000" w:rsidP="00EE5B9A">
      <w:pPr>
        <w:numPr>
          <w:ilvl w:val="0"/>
          <w:numId w:val="48"/>
        </w:numPr>
        <w:tabs>
          <w:tab w:val="clear" w:pos="720"/>
        </w:tabs>
        <w:ind w:left="567" w:hanging="567"/>
        <w:rPr>
          <w:del w:id="10670" w:author="AbbVie1" w:date="2025-05-13T10:11:00Z"/>
        </w:rPr>
      </w:pPr>
      <w:del w:id="10671" w:author="AbbVie1" w:date="2025-05-13T10:11:00Z">
        <w:r w:rsidRPr="001B4A02">
          <w:delText>rakovina</w:delText>
        </w:r>
        <w:r w:rsidR="009163F7" w:rsidRPr="001B4A02">
          <w:delText>;</w:delText>
        </w:r>
      </w:del>
    </w:p>
    <w:p w14:paraId="67B60A9F" w14:textId="77777777" w:rsidR="009112FD" w:rsidRPr="001B4A02" w:rsidRDefault="00000000" w:rsidP="00EE5B9A">
      <w:pPr>
        <w:numPr>
          <w:ilvl w:val="0"/>
          <w:numId w:val="48"/>
        </w:numPr>
        <w:tabs>
          <w:tab w:val="clear" w:pos="720"/>
        </w:tabs>
        <w:ind w:left="567" w:hanging="567"/>
        <w:rPr>
          <w:del w:id="10672" w:author="AbbVie1" w:date="2025-05-13T10:11:00Z"/>
        </w:rPr>
      </w:pPr>
      <w:del w:id="10673" w:author="AbbVie1" w:date="2025-05-13T10:11:00Z">
        <w:r w:rsidRPr="001B4A02">
          <w:delText>rakovina postihující mízní systém;</w:delText>
        </w:r>
      </w:del>
    </w:p>
    <w:p w14:paraId="4DC259B7" w14:textId="77777777" w:rsidR="009112FD" w:rsidRPr="001B4A02" w:rsidRDefault="00000000" w:rsidP="00EE5B9A">
      <w:pPr>
        <w:numPr>
          <w:ilvl w:val="0"/>
          <w:numId w:val="48"/>
        </w:numPr>
        <w:tabs>
          <w:tab w:val="clear" w:pos="720"/>
        </w:tabs>
        <w:ind w:left="567" w:hanging="567"/>
        <w:rPr>
          <w:del w:id="10674" w:author="AbbVie1" w:date="2025-05-13T10:11:00Z"/>
        </w:rPr>
      </w:pPr>
      <w:del w:id="10675" w:author="AbbVie1" w:date="2025-05-13T10:11:00Z">
        <w:r w:rsidRPr="001B4A02">
          <w:delText>melanom;</w:delText>
        </w:r>
      </w:del>
    </w:p>
    <w:p w14:paraId="33F8A729" w14:textId="77777777" w:rsidR="00521B75" w:rsidRPr="001B4A02" w:rsidRDefault="00000000" w:rsidP="00EE5B9A">
      <w:pPr>
        <w:numPr>
          <w:ilvl w:val="0"/>
          <w:numId w:val="48"/>
        </w:numPr>
        <w:tabs>
          <w:tab w:val="clear" w:pos="720"/>
        </w:tabs>
        <w:ind w:left="567" w:hanging="567"/>
        <w:rPr>
          <w:del w:id="10676" w:author="AbbVie1" w:date="2025-05-13T10:11:00Z"/>
        </w:rPr>
      </w:pPr>
      <w:del w:id="10677" w:author="AbbVie1" w:date="2025-05-13T10:11:00Z">
        <w:r w:rsidRPr="001B4A02">
          <w:delText>poruchy imunitního systému</w:delText>
        </w:r>
        <w:r w:rsidR="00D90FAC" w:rsidRPr="001B4A02">
          <w:delText>,</w:delText>
        </w:r>
        <w:r w:rsidRPr="001B4A02">
          <w:delText xml:space="preserve"> které mohou postihovat plíce, kůži</w:delText>
        </w:r>
        <w:r w:rsidR="002378E0">
          <w:delText xml:space="preserve"> a </w:delText>
        </w:r>
        <w:r w:rsidRPr="001B4A02">
          <w:delText>lymfatické uzliny (nejčastěji se projevující jako sarkoidóza);</w:delText>
        </w:r>
      </w:del>
    </w:p>
    <w:p w14:paraId="65319607" w14:textId="77777777" w:rsidR="00151785" w:rsidRPr="001B4A02" w:rsidRDefault="00000000" w:rsidP="00EE5B9A">
      <w:pPr>
        <w:numPr>
          <w:ilvl w:val="0"/>
          <w:numId w:val="48"/>
        </w:numPr>
        <w:tabs>
          <w:tab w:val="clear" w:pos="720"/>
        </w:tabs>
        <w:ind w:left="567" w:hanging="567"/>
        <w:rPr>
          <w:del w:id="10678" w:author="AbbVie1" w:date="2025-05-13T10:11:00Z"/>
        </w:rPr>
      </w:pPr>
      <w:del w:id="10679" w:author="AbbVie1" w:date="2025-05-13T10:11:00Z">
        <w:r w:rsidRPr="001B4A02">
          <w:delText>vaskulitida (zánět krevních cév);</w:delText>
        </w:r>
      </w:del>
    </w:p>
    <w:p w14:paraId="3A5564FB" w14:textId="77777777" w:rsidR="009112FD" w:rsidRPr="001B4A02" w:rsidRDefault="00000000" w:rsidP="00EE5B9A">
      <w:pPr>
        <w:numPr>
          <w:ilvl w:val="0"/>
          <w:numId w:val="48"/>
        </w:numPr>
        <w:tabs>
          <w:tab w:val="clear" w:pos="720"/>
        </w:tabs>
        <w:ind w:left="567" w:hanging="567"/>
        <w:rPr>
          <w:del w:id="10680" w:author="AbbVie1" w:date="2025-05-13T10:11:00Z"/>
        </w:rPr>
      </w:pPr>
      <w:del w:id="10681" w:author="AbbVie1" w:date="2025-05-13T10:11:00Z">
        <w:r w:rsidRPr="001B4A02">
          <w:delText>třes;</w:delText>
        </w:r>
      </w:del>
    </w:p>
    <w:p w14:paraId="790FD43C" w14:textId="77777777" w:rsidR="00521B75" w:rsidRPr="001B4A02" w:rsidRDefault="00000000" w:rsidP="00EE5B9A">
      <w:pPr>
        <w:numPr>
          <w:ilvl w:val="0"/>
          <w:numId w:val="48"/>
        </w:numPr>
        <w:tabs>
          <w:tab w:val="clear" w:pos="720"/>
        </w:tabs>
        <w:ind w:left="567" w:hanging="567"/>
        <w:rPr>
          <w:del w:id="10682" w:author="AbbVie1" w:date="2025-05-13T10:11:00Z"/>
        </w:rPr>
      </w:pPr>
      <w:del w:id="10683" w:author="AbbVie1" w:date="2025-05-13T10:11:00Z">
        <w:r w:rsidRPr="001B4A02">
          <w:delText>mozková mrtvice;</w:delText>
        </w:r>
      </w:del>
    </w:p>
    <w:p w14:paraId="6F4E06F1" w14:textId="77777777" w:rsidR="00AC1E14" w:rsidRPr="001B4A02" w:rsidRDefault="00000000" w:rsidP="00EE5B9A">
      <w:pPr>
        <w:numPr>
          <w:ilvl w:val="0"/>
          <w:numId w:val="48"/>
        </w:numPr>
        <w:tabs>
          <w:tab w:val="clear" w:pos="720"/>
        </w:tabs>
        <w:ind w:left="567" w:hanging="567"/>
        <w:rPr>
          <w:del w:id="10684" w:author="AbbVie1" w:date="2025-05-13T10:11:00Z"/>
        </w:rPr>
      </w:pPr>
      <w:del w:id="10685" w:author="AbbVie1" w:date="2025-05-13T10:11:00Z">
        <w:r w:rsidRPr="001B4A02">
          <w:delText>neuropatie (postižení nervů);</w:delText>
        </w:r>
      </w:del>
    </w:p>
    <w:p w14:paraId="1F6D4337" w14:textId="77777777" w:rsidR="009112FD" w:rsidRPr="001B4A02" w:rsidRDefault="00000000" w:rsidP="00EE5B9A">
      <w:pPr>
        <w:numPr>
          <w:ilvl w:val="0"/>
          <w:numId w:val="48"/>
        </w:numPr>
        <w:tabs>
          <w:tab w:val="clear" w:pos="720"/>
        </w:tabs>
        <w:ind w:left="567" w:hanging="567"/>
        <w:rPr>
          <w:del w:id="10686" w:author="AbbVie1" w:date="2025-05-13T10:11:00Z"/>
        </w:rPr>
      </w:pPr>
      <w:del w:id="10687" w:author="AbbVie1" w:date="2025-05-13T10:11:00Z">
        <w:r w:rsidRPr="001B4A02">
          <w:delText xml:space="preserve">ztráta sluchu, </w:delText>
        </w:r>
        <w:r w:rsidR="006D39E6">
          <w:delText>ušní šelest</w:delText>
        </w:r>
        <w:r w:rsidR="00EE6ABF">
          <w:delText>;</w:delText>
        </w:r>
      </w:del>
    </w:p>
    <w:p w14:paraId="3DB84B9B" w14:textId="77777777" w:rsidR="009112FD" w:rsidRPr="001B4A02" w:rsidRDefault="00000000" w:rsidP="00EE5B9A">
      <w:pPr>
        <w:numPr>
          <w:ilvl w:val="0"/>
          <w:numId w:val="48"/>
        </w:numPr>
        <w:tabs>
          <w:tab w:val="clear" w:pos="720"/>
        </w:tabs>
        <w:ind w:left="567" w:hanging="567"/>
        <w:rPr>
          <w:del w:id="10688" w:author="AbbVie1" w:date="2025-05-13T10:11:00Z"/>
        </w:rPr>
      </w:pPr>
      <w:del w:id="10689" w:author="AbbVie1" w:date="2025-05-13T10:11:00Z">
        <w:r w:rsidRPr="001B4A02">
          <w:delText>pocity nepravidelného bušení srdce</w:delText>
        </w:r>
        <w:r w:rsidR="00A27A27" w:rsidRPr="001B4A02">
          <w:delText>,</w:delText>
        </w:r>
        <w:r w:rsidRPr="001B4A02">
          <w:delText xml:space="preserve"> jako je vynechání tepu;</w:delText>
        </w:r>
      </w:del>
    </w:p>
    <w:p w14:paraId="62393CBE" w14:textId="77777777" w:rsidR="009112FD" w:rsidRPr="001B4A02" w:rsidRDefault="00000000" w:rsidP="00EE5B9A">
      <w:pPr>
        <w:numPr>
          <w:ilvl w:val="0"/>
          <w:numId w:val="48"/>
        </w:numPr>
        <w:tabs>
          <w:tab w:val="clear" w:pos="720"/>
        </w:tabs>
        <w:ind w:left="567" w:hanging="567"/>
        <w:rPr>
          <w:del w:id="10690" w:author="AbbVie1" w:date="2025-05-13T10:11:00Z"/>
        </w:rPr>
      </w:pPr>
      <w:del w:id="10691" w:author="AbbVie1" w:date="2025-05-13T10:11:00Z">
        <w:r w:rsidRPr="001B4A02">
          <w:delText>srdeční obtíže, které mohou způsobovat zkrácení dechu nebo otékání kotníků;</w:delText>
        </w:r>
      </w:del>
    </w:p>
    <w:p w14:paraId="48DC3125" w14:textId="77777777" w:rsidR="00521B75" w:rsidRPr="001B4A02" w:rsidRDefault="00000000" w:rsidP="00EE5B9A">
      <w:pPr>
        <w:numPr>
          <w:ilvl w:val="0"/>
          <w:numId w:val="48"/>
        </w:numPr>
        <w:tabs>
          <w:tab w:val="clear" w:pos="720"/>
        </w:tabs>
        <w:ind w:left="567" w:hanging="567"/>
        <w:rPr>
          <w:del w:id="10692" w:author="AbbVie1" w:date="2025-05-13T10:11:00Z"/>
        </w:rPr>
      </w:pPr>
      <w:del w:id="10693" w:author="AbbVie1" w:date="2025-05-13T10:11:00Z">
        <w:r w:rsidRPr="001B4A02">
          <w:delText>srdeční příhoda (infarkt);</w:delText>
        </w:r>
      </w:del>
    </w:p>
    <w:p w14:paraId="42563667" w14:textId="77777777" w:rsidR="00AC1E14" w:rsidRPr="001B4A02" w:rsidRDefault="00000000" w:rsidP="00EE5B9A">
      <w:pPr>
        <w:numPr>
          <w:ilvl w:val="0"/>
          <w:numId w:val="48"/>
        </w:numPr>
        <w:tabs>
          <w:tab w:val="clear" w:pos="720"/>
        </w:tabs>
        <w:ind w:left="567" w:hanging="567"/>
        <w:rPr>
          <w:del w:id="10694" w:author="AbbVie1" w:date="2025-05-13T10:11:00Z"/>
        </w:rPr>
      </w:pPr>
      <w:del w:id="10695" w:author="AbbVie1" w:date="2025-05-13T10:11:00Z">
        <w:r w:rsidRPr="001B4A02">
          <w:delText>výduť ve stěně velkých tepen, zánět žilních městků, blokáda krevních cév;</w:delText>
        </w:r>
      </w:del>
    </w:p>
    <w:p w14:paraId="0071DEB8" w14:textId="77777777" w:rsidR="009112FD" w:rsidRPr="001B4A02" w:rsidRDefault="00000000" w:rsidP="00EE5B9A">
      <w:pPr>
        <w:numPr>
          <w:ilvl w:val="0"/>
          <w:numId w:val="48"/>
        </w:numPr>
        <w:tabs>
          <w:tab w:val="clear" w:pos="720"/>
        </w:tabs>
        <w:ind w:left="567" w:hanging="567"/>
        <w:rPr>
          <w:del w:id="10696" w:author="AbbVie1" w:date="2025-05-13T10:11:00Z"/>
        </w:rPr>
      </w:pPr>
      <w:del w:id="10697" w:author="AbbVie1" w:date="2025-05-13T10:11:00Z">
        <w:r w:rsidRPr="001B4A02">
          <w:delText>plicní onemocnění způsobující zkrácení dechu (včetně zánětu);</w:delText>
        </w:r>
      </w:del>
    </w:p>
    <w:p w14:paraId="2B79EF65" w14:textId="77777777" w:rsidR="00521B75" w:rsidRPr="001B4A02" w:rsidRDefault="00000000" w:rsidP="00EE5B9A">
      <w:pPr>
        <w:numPr>
          <w:ilvl w:val="0"/>
          <w:numId w:val="48"/>
        </w:numPr>
        <w:tabs>
          <w:tab w:val="clear" w:pos="720"/>
        </w:tabs>
        <w:ind w:left="567" w:hanging="567"/>
        <w:rPr>
          <w:del w:id="10698" w:author="AbbVie1" w:date="2025-05-13T10:11:00Z"/>
        </w:rPr>
      </w:pPr>
      <w:del w:id="10699" w:author="AbbVie1" w:date="2025-05-13T10:11:00Z">
        <w:r w:rsidRPr="001B4A02">
          <w:rPr>
            <w:lang w:eastAsia="de-DE"/>
          </w:rPr>
          <w:delText>plicní embolie (uzávěr plicní tepny);</w:delText>
        </w:r>
      </w:del>
    </w:p>
    <w:p w14:paraId="7FE1B228" w14:textId="77777777" w:rsidR="00521B75" w:rsidRPr="001B4A02" w:rsidRDefault="00000000" w:rsidP="00EE5B9A">
      <w:pPr>
        <w:numPr>
          <w:ilvl w:val="0"/>
          <w:numId w:val="48"/>
        </w:numPr>
        <w:tabs>
          <w:tab w:val="clear" w:pos="720"/>
        </w:tabs>
        <w:ind w:left="567" w:hanging="567"/>
        <w:rPr>
          <w:del w:id="10700" w:author="AbbVie1" w:date="2025-05-13T10:11:00Z"/>
        </w:rPr>
      </w:pPr>
      <w:del w:id="10701" w:author="AbbVie1" w:date="2025-05-13T10:11:00Z">
        <w:r w:rsidRPr="001B4A02">
          <w:rPr>
            <w:lang w:eastAsia="de-DE"/>
          </w:rPr>
          <w:delText>pleurální výpotek (neobvyklé nahromadění tekutiny v prostoru pohrudnice);</w:delText>
        </w:r>
      </w:del>
    </w:p>
    <w:p w14:paraId="107CA447" w14:textId="77777777" w:rsidR="009112FD" w:rsidRPr="001B4A02" w:rsidRDefault="00000000" w:rsidP="00EE5B9A">
      <w:pPr>
        <w:numPr>
          <w:ilvl w:val="0"/>
          <w:numId w:val="48"/>
        </w:numPr>
        <w:tabs>
          <w:tab w:val="clear" w:pos="720"/>
        </w:tabs>
        <w:ind w:left="567" w:hanging="567"/>
        <w:rPr>
          <w:del w:id="10702" w:author="AbbVie1" w:date="2025-05-13T10:11:00Z"/>
        </w:rPr>
      </w:pPr>
      <w:del w:id="10703" w:author="AbbVie1" w:date="2025-05-13T10:11:00Z">
        <w:r w:rsidRPr="001B4A02">
          <w:delText>zánět slinivky břišní, způsobující závažné bolesti břicha</w:delText>
        </w:r>
        <w:r w:rsidR="002378E0">
          <w:delText xml:space="preserve"> a </w:delText>
        </w:r>
        <w:r w:rsidRPr="001B4A02">
          <w:delText>zad;</w:delText>
        </w:r>
      </w:del>
    </w:p>
    <w:p w14:paraId="18B6FDB4" w14:textId="77777777" w:rsidR="009112FD" w:rsidRPr="001B4A02" w:rsidRDefault="00000000" w:rsidP="00EE5B9A">
      <w:pPr>
        <w:numPr>
          <w:ilvl w:val="0"/>
          <w:numId w:val="48"/>
        </w:numPr>
        <w:tabs>
          <w:tab w:val="clear" w:pos="720"/>
        </w:tabs>
        <w:ind w:left="567" w:hanging="567"/>
        <w:rPr>
          <w:del w:id="10704" w:author="AbbVie1" w:date="2025-05-13T10:11:00Z"/>
        </w:rPr>
      </w:pPr>
      <w:del w:id="10705" w:author="AbbVie1" w:date="2025-05-13T10:11:00Z">
        <w:r w:rsidRPr="001B4A02">
          <w:delText>potíže s polykáním;</w:delText>
        </w:r>
      </w:del>
    </w:p>
    <w:p w14:paraId="3F2FA7ED" w14:textId="77777777" w:rsidR="009112FD" w:rsidRPr="001B4A02" w:rsidRDefault="00000000" w:rsidP="00EE5B9A">
      <w:pPr>
        <w:numPr>
          <w:ilvl w:val="0"/>
          <w:numId w:val="48"/>
        </w:numPr>
        <w:tabs>
          <w:tab w:val="clear" w:pos="720"/>
        </w:tabs>
        <w:ind w:left="567" w:hanging="567"/>
        <w:rPr>
          <w:del w:id="10706" w:author="AbbVie1" w:date="2025-05-13T10:11:00Z"/>
        </w:rPr>
      </w:pPr>
      <w:del w:id="10707" w:author="AbbVie1" w:date="2025-05-13T10:11:00Z">
        <w:r>
          <w:delText xml:space="preserve">edém </w:delText>
        </w:r>
        <w:r>
          <w:rPr>
            <w:szCs w:val="22"/>
          </w:rPr>
          <w:delText>obličeje</w:delText>
        </w:r>
        <w:r w:rsidRPr="001B4A02">
          <w:delText xml:space="preserve"> </w:delText>
        </w:r>
        <w:r>
          <w:delText>(</w:delText>
        </w:r>
        <w:r w:rsidRPr="001B4A02">
          <w:delText xml:space="preserve">otok </w:delText>
        </w:r>
        <w:r w:rsidR="00EE6ABF">
          <w:rPr>
            <w:szCs w:val="22"/>
          </w:rPr>
          <w:delText>obličeje</w:delText>
        </w:r>
        <w:r>
          <w:rPr>
            <w:szCs w:val="22"/>
          </w:rPr>
          <w:delText>)</w:delText>
        </w:r>
        <w:r w:rsidR="00DB5270" w:rsidRPr="001B4A02">
          <w:delText>;</w:delText>
        </w:r>
      </w:del>
    </w:p>
    <w:p w14:paraId="2249F828" w14:textId="77777777" w:rsidR="009112FD" w:rsidRPr="001B4A02" w:rsidRDefault="00000000" w:rsidP="00EE5B9A">
      <w:pPr>
        <w:numPr>
          <w:ilvl w:val="0"/>
          <w:numId w:val="48"/>
        </w:numPr>
        <w:tabs>
          <w:tab w:val="clear" w:pos="720"/>
        </w:tabs>
        <w:ind w:left="567" w:hanging="567"/>
        <w:rPr>
          <w:del w:id="10708" w:author="AbbVie1" w:date="2025-05-13T10:11:00Z"/>
        </w:rPr>
      </w:pPr>
      <w:del w:id="10709" w:author="AbbVie1" w:date="2025-05-13T10:11:00Z">
        <w:r w:rsidRPr="001B4A02">
          <w:delText>zánět žlučníku, žlučníkové kameny;</w:delText>
        </w:r>
      </w:del>
    </w:p>
    <w:p w14:paraId="0AC1CDD5" w14:textId="77777777" w:rsidR="009112FD" w:rsidRPr="001B4A02" w:rsidRDefault="00000000" w:rsidP="00EE5B9A">
      <w:pPr>
        <w:numPr>
          <w:ilvl w:val="0"/>
          <w:numId w:val="48"/>
        </w:numPr>
        <w:tabs>
          <w:tab w:val="clear" w:pos="720"/>
        </w:tabs>
        <w:ind w:left="567" w:hanging="567"/>
        <w:rPr>
          <w:del w:id="10710" w:author="AbbVie1" w:date="2025-05-13T10:11:00Z"/>
        </w:rPr>
      </w:pPr>
      <w:del w:id="10711" w:author="AbbVie1" w:date="2025-05-13T10:11:00Z">
        <w:r w:rsidRPr="007815F1">
          <w:delText>ztu</w:delText>
        </w:r>
        <w:r w:rsidR="00FD0F9B">
          <w:rPr>
            <w:szCs w:val="22"/>
          </w:rPr>
          <w:delText>kovění</w:delText>
        </w:r>
        <w:r w:rsidRPr="001B4A02">
          <w:delText>jater;</w:delText>
        </w:r>
      </w:del>
    </w:p>
    <w:p w14:paraId="480219CD" w14:textId="77777777" w:rsidR="009112FD" w:rsidRPr="001B4A02" w:rsidRDefault="00000000" w:rsidP="00EE5B9A">
      <w:pPr>
        <w:numPr>
          <w:ilvl w:val="0"/>
          <w:numId w:val="48"/>
        </w:numPr>
        <w:tabs>
          <w:tab w:val="clear" w:pos="720"/>
        </w:tabs>
        <w:ind w:left="567" w:hanging="567"/>
        <w:rPr>
          <w:del w:id="10712" w:author="AbbVie1" w:date="2025-05-13T10:11:00Z"/>
        </w:rPr>
      </w:pPr>
      <w:del w:id="10713" w:author="AbbVie1" w:date="2025-05-13T10:11:00Z">
        <w:r w:rsidRPr="001B4A02">
          <w:delText>noční pocení;</w:delText>
        </w:r>
      </w:del>
    </w:p>
    <w:p w14:paraId="13A4BADF" w14:textId="77777777" w:rsidR="009112FD" w:rsidRPr="001B4A02" w:rsidRDefault="00000000" w:rsidP="00EE5B9A">
      <w:pPr>
        <w:numPr>
          <w:ilvl w:val="0"/>
          <w:numId w:val="48"/>
        </w:numPr>
        <w:tabs>
          <w:tab w:val="clear" w:pos="720"/>
        </w:tabs>
        <w:ind w:left="567" w:hanging="567"/>
        <w:rPr>
          <w:del w:id="10714" w:author="AbbVie1" w:date="2025-05-13T10:11:00Z"/>
        </w:rPr>
      </w:pPr>
      <w:del w:id="10715" w:author="AbbVie1" w:date="2025-05-13T10:11:00Z">
        <w:r w:rsidRPr="001B4A02">
          <w:delText>zjizvení;</w:delText>
        </w:r>
      </w:del>
    </w:p>
    <w:p w14:paraId="31A1B7FB" w14:textId="77777777" w:rsidR="009112FD" w:rsidRPr="001B4A02" w:rsidRDefault="00000000" w:rsidP="00EE5B9A">
      <w:pPr>
        <w:numPr>
          <w:ilvl w:val="0"/>
          <w:numId w:val="48"/>
        </w:numPr>
        <w:tabs>
          <w:tab w:val="clear" w:pos="720"/>
        </w:tabs>
        <w:ind w:left="567" w:hanging="567"/>
        <w:rPr>
          <w:del w:id="10716" w:author="AbbVie1" w:date="2025-05-13T10:11:00Z"/>
        </w:rPr>
      </w:pPr>
      <w:del w:id="10717" w:author="AbbVie1" w:date="2025-05-13T10:11:00Z">
        <w:r w:rsidRPr="001B4A02">
          <w:delText>neobvyklé poškození svalů;</w:delText>
        </w:r>
      </w:del>
    </w:p>
    <w:p w14:paraId="241BF027" w14:textId="77777777" w:rsidR="00AC1E14" w:rsidRPr="001B4A02" w:rsidRDefault="00000000" w:rsidP="00EE5B9A">
      <w:pPr>
        <w:numPr>
          <w:ilvl w:val="0"/>
          <w:numId w:val="48"/>
        </w:numPr>
        <w:tabs>
          <w:tab w:val="clear" w:pos="720"/>
        </w:tabs>
        <w:ind w:left="567" w:hanging="567"/>
        <w:rPr>
          <w:del w:id="10718" w:author="AbbVie1" w:date="2025-05-13T10:11:00Z"/>
        </w:rPr>
      </w:pPr>
      <w:del w:id="10719" w:author="AbbVie1" w:date="2025-05-13T10:11:00Z">
        <w:r w:rsidRPr="001B4A02">
          <w:delText>systémový lupus erythematodes (zahrnující zánět kůže, srdce, plic, kloubů</w:delText>
        </w:r>
        <w:r w:rsidR="002378E0">
          <w:delText xml:space="preserve"> a </w:delText>
        </w:r>
        <w:r w:rsidRPr="001B4A02">
          <w:delText>jiných orgánových systémů);</w:delText>
        </w:r>
      </w:del>
    </w:p>
    <w:p w14:paraId="5ED8C515" w14:textId="77777777" w:rsidR="009112FD" w:rsidRPr="001B4A02" w:rsidRDefault="00000000" w:rsidP="00EE5B9A">
      <w:pPr>
        <w:numPr>
          <w:ilvl w:val="0"/>
          <w:numId w:val="48"/>
        </w:numPr>
        <w:tabs>
          <w:tab w:val="clear" w:pos="720"/>
        </w:tabs>
        <w:ind w:left="567" w:hanging="567"/>
        <w:rPr>
          <w:del w:id="10720" w:author="AbbVie1" w:date="2025-05-13T10:11:00Z"/>
        </w:rPr>
      </w:pPr>
      <w:del w:id="10721" w:author="AbbVie1" w:date="2025-05-13T10:11:00Z">
        <w:r w:rsidRPr="001B4A02">
          <w:delText>přerušovaný spánek;</w:delText>
        </w:r>
      </w:del>
    </w:p>
    <w:p w14:paraId="3D0DAA52" w14:textId="77777777" w:rsidR="009112FD" w:rsidRPr="001B4A02" w:rsidRDefault="00000000" w:rsidP="00EE5B9A">
      <w:pPr>
        <w:numPr>
          <w:ilvl w:val="0"/>
          <w:numId w:val="48"/>
        </w:numPr>
        <w:tabs>
          <w:tab w:val="clear" w:pos="720"/>
        </w:tabs>
        <w:ind w:left="567" w:hanging="567"/>
        <w:rPr>
          <w:del w:id="10722" w:author="AbbVie1" w:date="2025-05-13T10:11:00Z"/>
        </w:rPr>
      </w:pPr>
      <w:del w:id="10723" w:author="AbbVie1" w:date="2025-05-13T10:11:00Z">
        <w:r w:rsidRPr="001B4A02">
          <w:delText>impotence;</w:delText>
        </w:r>
      </w:del>
    </w:p>
    <w:p w14:paraId="504BD0A6" w14:textId="77777777" w:rsidR="009112FD" w:rsidRPr="001B4A02" w:rsidRDefault="00000000" w:rsidP="00EE5B9A">
      <w:pPr>
        <w:numPr>
          <w:ilvl w:val="0"/>
          <w:numId w:val="48"/>
        </w:numPr>
        <w:tabs>
          <w:tab w:val="clear" w:pos="720"/>
        </w:tabs>
        <w:ind w:left="567" w:hanging="567"/>
        <w:rPr>
          <w:del w:id="10724" w:author="AbbVie1" w:date="2025-05-13T10:11:00Z"/>
          <w:shd w:val="clear" w:color="auto" w:fill="FFFF00"/>
        </w:rPr>
      </w:pPr>
      <w:del w:id="10725" w:author="AbbVie1" w:date="2025-05-13T10:11:00Z">
        <w:r w:rsidRPr="001B4A02">
          <w:delText>záněty.</w:delText>
        </w:r>
      </w:del>
    </w:p>
    <w:p w14:paraId="07904760" w14:textId="77777777" w:rsidR="00073F8F" w:rsidRPr="001B4A02" w:rsidRDefault="00073F8F" w:rsidP="00ED48A3">
      <w:pPr>
        <w:ind w:left="0" w:right="-29" w:firstLine="0"/>
        <w:rPr>
          <w:del w:id="10726" w:author="AbbVie1" w:date="2025-05-13T10:11:00Z"/>
        </w:rPr>
      </w:pPr>
    </w:p>
    <w:p w14:paraId="450EE3E6" w14:textId="77777777" w:rsidR="00073F8F" w:rsidRPr="001B4A02" w:rsidRDefault="00000000" w:rsidP="00ED48A3">
      <w:pPr>
        <w:ind w:left="0" w:right="-29" w:firstLine="0"/>
        <w:rPr>
          <w:del w:id="10727" w:author="AbbVie1" w:date="2025-05-13T10:11:00Z"/>
        </w:rPr>
      </w:pPr>
      <w:del w:id="10728" w:author="AbbVie1" w:date="2025-05-13T10:11:00Z">
        <w:r w:rsidRPr="001B4A02">
          <w:delText>Vzácné (</w:delText>
        </w:r>
        <w:r w:rsidR="00FD74AE" w:rsidRPr="001B4A02">
          <w:delText xml:space="preserve">mohou postihnout </w:delText>
        </w:r>
        <w:r w:rsidR="00FA5EFC" w:rsidRPr="001B4A02">
          <w:delText>nejvýše</w:delText>
        </w:r>
        <w:r w:rsidR="00FD74AE" w:rsidRPr="001B4A02">
          <w:delText xml:space="preserve"> 1 z 1</w:delText>
        </w:r>
        <w:r w:rsidR="009F584E" w:rsidRPr="001B4A02">
          <w:delText> </w:delText>
        </w:r>
        <w:r w:rsidR="00FD74AE" w:rsidRPr="001B4A02">
          <w:delText>000 osob</w:delText>
        </w:r>
        <w:r w:rsidRPr="001B4A02">
          <w:delText>)</w:delText>
        </w:r>
      </w:del>
    </w:p>
    <w:p w14:paraId="6749C6F8" w14:textId="77777777" w:rsidR="008534AD" w:rsidRPr="001B4A02" w:rsidRDefault="008534AD" w:rsidP="00ED48A3">
      <w:pPr>
        <w:ind w:left="0" w:right="-29" w:firstLine="0"/>
        <w:rPr>
          <w:del w:id="10729" w:author="AbbVie1" w:date="2025-05-13T10:11:00Z"/>
        </w:rPr>
      </w:pPr>
    </w:p>
    <w:p w14:paraId="1462FED3" w14:textId="77777777" w:rsidR="00521B75" w:rsidRPr="001B4A02" w:rsidRDefault="00000000" w:rsidP="00EE5B9A">
      <w:pPr>
        <w:numPr>
          <w:ilvl w:val="0"/>
          <w:numId w:val="48"/>
        </w:numPr>
        <w:tabs>
          <w:tab w:val="clear" w:pos="720"/>
        </w:tabs>
        <w:ind w:left="567" w:hanging="567"/>
        <w:rPr>
          <w:del w:id="10730" w:author="AbbVie1" w:date="2025-05-13T10:11:00Z"/>
        </w:rPr>
      </w:pPr>
      <w:del w:id="10731" w:author="AbbVie1" w:date="2025-05-13T10:11:00Z">
        <w:r w:rsidRPr="001B4A02">
          <w:delText>leukémie (rakovina postihující krev</w:delText>
        </w:r>
        <w:r w:rsidR="002378E0">
          <w:delText xml:space="preserve"> a </w:delText>
        </w:r>
        <w:r w:rsidRPr="001B4A02">
          <w:delText>kostní dřeň);</w:delText>
        </w:r>
      </w:del>
    </w:p>
    <w:p w14:paraId="34D69941" w14:textId="77777777" w:rsidR="00521B75" w:rsidRPr="001B4A02" w:rsidRDefault="00000000" w:rsidP="00EE5B9A">
      <w:pPr>
        <w:numPr>
          <w:ilvl w:val="0"/>
          <w:numId w:val="48"/>
        </w:numPr>
        <w:tabs>
          <w:tab w:val="clear" w:pos="720"/>
        </w:tabs>
        <w:ind w:left="567" w:hanging="567"/>
        <w:rPr>
          <w:del w:id="10732" w:author="AbbVie1" w:date="2025-05-13T10:11:00Z"/>
        </w:rPr>
      </w:pPr>
      <w:del w:id="10733" w:author="AbbVie1" w:date="2025-05-13T10:11:00Z">
        <w:r w:rsidRPr="001B4A02">
          <w:delText>závažné alergické reakce doprovázené šokem;</w:delText>
        </w:r>
      </w:del>
    </w:p>
    <w:p w14:paraId="27C219B9" w14:textId="77777777" w:rsidR="00155D9D" w:rsidRPr="001B4A02" w:rsidRDefault="00000000" w:rsidP="00EE5B9A">
      <w:pPr>
        <w:numPr>
          <w:ilvl w:val="0"/>
          <w:numId w:val="48"/>
        </w:numPr>
        <w:tabs>
          <w:tab w:val="clear" w:pos="720"/>
        </w:tabs>
        <w:ind w:left="567" w:hanging="567"/>
        <w:rPr>
          <w:del w:id="10734" w:author="AbbVie1" w:date="2025-05-13T10:11:00Z"/>
        </w:rPr>
      </w:pPr>
      <w:del w:id="10735" w:author="AbbVie1" w:date="2025-05-13T10:11:00Z">
        <w:r w:rsidRPr="001B4A02">
          <w:delText>roztroušená skleróza;</w:delText>
        </w:r>
      </w:del>
    </w:p>
    <w:p w14:paraId="5C619024" w14:textId="77777777" w:rsidR="00521B75" w:rsidRPr="001B4A02" w:rsidRDefault="00000000" w:rsidP="00EE5B9A">
      <w:pPr>
        <w:numPr>
          <w:ilvl w:val="0"/>
          <w:numId w:val="48"/>
        </w:numPr>
        <w:tabs>
          <w:tab w:val="clear" w:pos="720"/>
        </w:tabs>
        <w:ind w:left="567" w:hanging="567"/>
        <w:rPr>
          <w:del w:id="10736" w:author="AbbVie1" w:date="2025-05-13T10:11:00Z"/>
        </w:rPr>
      </w:pPr>
      <w:del w:id="10737" w:author="AbbVie1" w:date="2025-05-13T10:11:00Z">
        <w:r w:rsidRPr="001B4A02">
          <w:delText>nervové poruchy (jako záněty očního nervu</w:delText>
        </w:r>
        <w:r w:rsidR="002378E0">
          <w:delText xml:space="preserve"> a </w:delText>
        </w:r>
        <w:r w:rsidRPr="001B4A02">
          <w:delText>Guillain-Barré syndrom, který může způsobit svalovou slabost, abnormální pocity, brnění v pažích</w:delText>
        </w:r>
        <w:r w:rsidR="002378E0">
          <w:delText xml:space="preserve"> a </w:delText>
        </w:r>
        <w:r w:rsidRPr="001B4A02">
          <w:delText>horní části těla);</w:delText>
        </w:r>
      </w:del>
    </w:p>
    <w:p w14:paraId="25E3AF4A" w14:textId="77777777" w:rsidR="00073F8F" w:rsidRPr="001B4A02" w:rsidRDefault="00000000" w:rsidP="00EE5B9A">
      <w:pPr>
        <w:numPr>
          <w:ilvl w:val="0"/>
          <w:numId w:val="48"/>
        </w:numPr>
        <w:tabs>
          <w:tab w:val="clear" w:pos="720"/>
        </w:tabs>
        <w:ind w:left="567" w:hanging="567"/>
        <w:rPr>
          <w:del w:id="10738" w:author="AbbVie1" w:date="2025-05-13T10:11:00Z"/>
        </w:rPr>
      </w:pPr>
      <w:del w:id="10739" w:author="AbbVie1" w:date="2025-05-13T10:11:00Z">
        <w:r w:rsidRPr="001B4A02">
          <w:delText>zástava srdečních stahů;</w:delText>
        </w:r>
      </w:del>
    </w:p>
    <w:p w14:paraId="2AC8672D" w14:textId="77777777" w:rsidR="00521B75" w:rsidRPr="001B4A02" w:rsidRDefault="00000000" w:rsidP="00EE5B9A">
      <w:pPr>
        <w:numPr>
          <w:ilvl w:val="0"/>
          <w:numId w:val="48"/>
        </w:numPr>
        <w:tabs>
          <w:tab w:val="clear" w:pos="720"/>
        </w:tabs>
        <w:ind w:left="567" w:hanging="567"/>
        <w:rPr>
          <w:del w:id="10740" w:author="AbbVie1" w:date="2025-05-13T10:11:00Z"/>
        </w:rPr>
      </w:pPr>
      <w:del w:id="10741" w:author="AbbVie1" w:date="2025-05-13T10:11:00Z">
        <w:r w:rsidRPr="001B4A02">
          <w:rPr>
            <w:lang w:eastAsia="de-DE"/>
          </w:rPr>
          <w:delText>plicní fibróza (zjizvení plic)</w:delText>
        </w:r>
        <w:r w:rsidR="00D90FAC" w:rsidRPr="001B4A02">
          <w:rPr>
            <w:lang w:eastAsia="de-DE"/>
          </w:rPr>
          <w:delText>;</w:delText>
        </w:r>
      </w:del>
    </w:p>
    <w:p w14:paraId="652AF326" w14:textId="77777777" w:rsidR="00521B75" w:rsidRPr="001B4A02" w:rsidRDefault="00000000" w:rsidP="00EE5B9A">
      <w:pPr>
        <w:numPr>
          <w:ilvl w:val="0"/>
          <w:numId w:val="48"/>
        </w:numPr>
        <w:tabs>
          <w:tab w:val="clear" w:pos="720"/>
        </w:tabs>
        <w:ind w:left="567" w:hanging="567"/>
        <w:rPr>
          <w:del w:id="10742" w:author="AbbVie1" w:date="2025-05-13T10:11:00Z"/>
        </w:rPr>
      </w:pPr>
      <w:del w:id="10743" w:author="AbbVie1" w:date="2025-05-13T10:11:00Z">
        <w:r w:rsidRPr="001B4A02">
          <w:delText>perforace (protržení) střeva;</w:delText>
        </w:r>
      </w:del>
    </w:p>
    <w:p w14:paraId="3BBEF5C9" w14:textId="77777777" w:rsidR="00FD74AE" w:rsidRPr="001B4A02" w:rsidRDefault="00000000" w:rsidP="00EE5B9A">
      <w:pPr>
        <w:numPr>
          <w:ilvl w:val="0"/>
          <w:numId w:val="48"/>
        </w:numPr>
        <w:tabs>
          <w:tab w:val="clear" w:pos="720"/>
        </w:tabs>
        <w:ind w:left="567" w:hanging="567"/>
        <w:rPr>
          <w:del w:id="10744" w:author="AbbVie1" w:date="2025-05-13T10:11:00Z"/>
        </w:rPr>
      </w:pPr>
      <w:del w:id="10745" w:author="AbbVie1" w:date="2025-05-13T10:11:00Z">
        <w:r w:rsidRPr="001B4A02">
          <w:delText>hepatitida</w:delText>
        </w:r>
        <w:r w:rsidR="00F47DB9">
          <w:delText xml:space="preserve"> (zánět jater)</w:delText>
        </w:r>
        <w:r w:rsidRPr="001B4A02">
          <w:delText>;</w:delText>
        </w:r>
      </w:del>
    </w:p>
    <w:p w14:paraId="27E7F8F6" w14:textId="77777777" w:rsidR="00521B75" w:rsidRPr="001B4A02" w:rsidRDefault="00000000" w:rsidP="00EE5B9A">
      <w:pPr>
        <w:numPr>
          <w:ilvl w:val="0"/>
          <w:numId w:val="48"/>
        </w:numPr>
        <w:tabs>
          <w:tab w:val="clear" w:pos="720"/>
        </w:tabs>
        <w:ind w:left="567" w:hanging="567"/>
        <w:rPr>
          <w:del w:id="10746" w:author="AbbVie1" w:date="2025-05-13T10:11:00Z"/>
        </w:rPr>
      </w:pPr>
      <w:del w:id="10747" w:author="AbbVie1" w:date="2025-05-13T10:11:00Z">
        <w:r w:rsidRPr="001B4A02">
          <w:delText>reaktivace hepatitidy B;</w:delText>
        </w:r>
      </w:del>
    </w:p>
    <w:p w14:paraId="0946C026" w14:textId="77777777" w:rsidR="002A6DBA" w:rsidRPr="001B4A02" w:rsidRDefault="00000000" w:rsidP="00EE5B9A">
      <w:pPr>
        <w:numPr>
          <w:ilvl w:val="0"/>
          <w:numId w:val="48"/>
        </w:numPr>
        <w:tabs>
          <w:tab w:val="clear" w:pos="720"/>
        </w:tabs>
        <w:ind w:left="567" w:hanging="567"/>
        <w:rPr>
          <w:del w:id="10748" w:author="AbbVie1" w:date="2025-05-13T10:11:00Z"/>
        </w:rPr>
      </w:pPr>
      <w:del w:id="10749" w:author="AbbVie1" w:date="2025-05-13T10:11:00Z">
        <w:r w:rsidRPr="001B4A02">
          <w:rPr>
            <w:szCs w:val="22"/>
          </w:rPr>
          <w:delText>autoimunní hepatitida (zánět jater způsobený imunitním systémem vlastního těla);</w:delText>
        </w:r>
      </w:del>
    </w:p>
    <w:p w14:paraId="7A462FEB" w14:textId="77777777" w:rsidR="00521B75" w:rsidRPr="001B4A02" w:rsidRDefault="00000000" w:rsidP="00EE5B9A">
      <w:pPr>
        <w:numPr>
          <w:ilvl w:val="0"/>
          <w:numId w:val="48"/>
        </w:numPr>
        <w:tabs>
          <w:tab w:val="clear" w:pos="720"/>
        </w:tabs>
        <w:ind w:left="567" w:hanging="567"/>
        <w:rPr>
          <w:del w:id="10750" w:author="AbbVie1" w:date="2025-05-13T10:11:00Z"/>
        </w:rPr>
      </w:pPr>
      <w:del w:id="10751" w:author="AbbVie1" w:date="2025-05-13T10:11:00Z">
        <w:r w:rsidRPr="001B4A02">
          <w:delText>kožní vaskulitida (zánět krevních cév v kůži);</w:delText>
        </w:r>
      </w:del>
    </w:p>
    <w:p w14:paraId="71A93A76" w14:textId="77777777" w:rsidR="00521B75" w:rsidRPr="001B4A02" w:rsidRDefault="00000000" w:rsidP="00EE5B9A">
      <w:pPr>
        <w:numPr>
          <w:ilvl w:val="0"/>
          <w:numId w:val="48"/>
        </w:numPr>
        <w:tabs>
          <w:tab w:val="clear" w:pos="720"/>
        </w:tabs>
        <w:ind w:left="567" w:hanging="567"/>
        <w:rPr>
          <w:del w:id="10752" w:author="AbbVie1" w:date="2025-05-13T10:11:00Z"/>
        </w:rPr>
      </w:pPr>
      <w:del w:id="10753" w:author="AbbVie1" w:date="2025-05-13T10:11:00Z">
        <w:r w:rsidRPr="001B4A02">
          <w:delText>Stevens</w:delText>
        </w:r>
        <w:r w:rsidR="00C43387">
          <w:delText>ův</w:delText>
        </w:r>
        <w:r w:rsidRPr="001B4A02">
          <w:delText>-Johnsonův syndrom (časné příznaky zahrnují únavu, horečku, bolest hlavy</w:delText>
        </w:r>
        <w:r w:rsidR="002378E0">
          <w:delText xml:space="preserve"> a </w:delText>
        </w:r>
        <w:r w:rsidRPr="001B4A02">
          <w:delText>vyrážku);</w:delText>
        </w:r>
      </w:del>
    </w:p>
    <w:p w14:paraId="0434B6E2" w14:textId="77777777" w:rsidR="00521B75" w:rsidRPr="001B4A02" w:rsidRDefault="00000000" w:rsidP="00EE5B9A">
      <w:pPr>
        <w:numPr>
          <w:ilvl w:val="0"/>
          <w:numId w:val="48"/>
        </w:numPr>
        <w:tabs>
          <w:tab w:val="clear" w:pos="720"/>
        </w:tabs>
        <w:ind w:left="567" w:hanging="567"/>
        <w:rPr>
          <w:del w:id="10754" w:author="AbbVie1" w:date="2025-05-13T10:11:00Z"/>
        </w:rPr>
      </w:pPr>
      <w:del w:id="10755" w:author="AbbVie1" w:date="2025-05-13T10:11:00Z">
        <w:r w:rsidRPr="00490910">
          <w:rPr>
            <w:szCs w:val="22"/>
          </w:rPr>
          <w:delText xml:space="preserve">edém </w:delText>
        </w:r>
        <w:r>
          <w:rPr>
            <w:szCs w:val="22"/>
          </w:rPr>
          <w:delText>obličeje</w:delText>
        </w:r>
        <w:r w:rsidRPr="00490910">
          <w:rPr>
            <w:szCs w:val="22"/>
          </w:rPr>
          <w:delText xml:space="preserve"> (</w:delText>
        </w:r>
        <w:r w:rsidRPr="001B4A02">
          <w:delText xml:space="preserve">otok </w:delText>
        </w:r>
        <w:r w:rsidR="00EE6ABF">
          <w:rPr>
            <w:szCs w:val="22"/>
          </w:rPr>
          <w:delText>obličeje</w:delText>
        </w:r>
        <w:r>
          <w:rPr>
            <w:szCs w:val="22"/>
          </w:rPr>
          <w:delText>)</w:delText>
        </w:r>
        <w:r w:rsidRPr="001B4A02">
          <w:delText xml:space="preserve"> spojen</w:delText>
        </w:r>
        <w:r>
          <w:delText>ý</w:delText>
        </w:r>
        <w:r w:rsidRPr="001B4A02">
          <w:delText xml:space="preserve"> s alergickými reakcemi;</w:delText>
        </w:r>
      </w:del>
    </w:p>
    <w:p w14:paraId="7558B2DF" w14:textId="77777777" w:rsidR="00521B75" w:rsidRPr="001B4A02" w:rsidRDefault="00000000" w:rsidP="00EE5B9A">
      <w:pPr>
        <w:numPr>
          <w:ilvl w:val="0"/>
          <w:numId w:val="48"/>
        </w:numPr>
        <w:tabs>
          <w:tab w:val="clear" w:pos="720"/>
        </w:tabs>
        <w:ind w:left="567" w:hanging="567"/>
        <w:rPr>
          <w:del w:id="10756" w:author="AbbVie1" w:date="2025-05-13T10:11:00Z"/>
        </w:rPr>
      </w:pPr>
      <w:del w:id="10757" w:author="AbbVie1" w:date="2025-05-13T10:11:00Z">
        <w:r w:rsidRPr="001B4A02">
          <w:delText>erythema multiforme (zánětlivá kožní vyrážka);</w:delText>
        </w:r>
      </w:del>
    </w:p>
    <w:p w14:paraId="66D30CBF" w14:textId="77777777" w:rsidR="00DB24E0" w:rsidRPr="001B4A02" w:rsidRDefault="00000000" w:rsidP="00EE5B9A">
      <w:pPr>
        <w:numPr>
          <w:ilvl w:val="0"/>
          <w:numId w:val="48"/>
        </w:numPr>
        <w:tabs>
          <w:tab w:val="clear" w:pos="720"/>
        </w:tabs>
        <w:ind w:left="567" w:hanging="567"/>
        <w:rPr>
          <w:del w:id="10758" w:author="AbbVie1" w:date="2025-05-13T10:11:00Z"/>
        </w:rPr>
      </w:pPr>
      <w:del w:id="10759" w:author="AbbVie1" w:date="2025-05-13T10:11:00Z">
        <w:r w:rsidRPr="001B4A02">
          <w:delText>lupus-like syndrom (onemocnění s příznaky podobnými lupus e</w:delText>
        </w:r>
        <w:r w:rsidR="002D292A" w:rsidRPr="001B4A02">
          <w:delText>rythematodes</w:delText>
        </w:r>
        <w:r w:rsidRPr="001B4A02">
          <w:delText>);</w:delText>
        </w:r>
      </w:del>
    </w:p>
    <w:p w14:paraId="499CDF6A" w14:textId="77777777" w:rsidR="007027B5" w:rsidRDefault="00000000" w:rsidP="00EE5B9A">
      <w:pPr>
        <w:numPr>
          <w:ilvl w:val="0"/>
          <w:numId w:val="48"/>
        </w:numPr>
        <w:tabs>
          <w:tab w:val="clear" w:pos="720"/>
        </w:tabs>
        <w:ind w:left="567" w:hanging="567"/>
        <w:rPr>
          <w:del w:id="10760" w:author="AbbVie1" w:date="2025-05-13T10:11:00Z"/>
        </w:rPr>
      </w:pPr>
      <w:del w:id="10761" w:author="AbbVie1" w:date="2025-05-13T10:11:00Z">
        <w:r w:rsidRPr="001B4A02">
          <w:delText>angioedém (lokalizovaný otok kůže)</w:delText>
        </w:r>
        <w:r w:rsidR="0072374C">
          <w:delText>;</w:delText>
        </w:r>
      </w:del>
    </w:p>
    <w:p w14:paraId="2233D228" w14:textId="77777777" w:rsidR="00155D9D" w:rsidRPr="001B4A02" w:rsidRDefault="00000000" w:rsidP="00EE5B9A">
      <w:pPr>
        <w:numPr>
          <w:ilvl w:val="0"/>
          <w:numId w:val="48"/>
        </w:numPr>
        <w:tabs>
          <w:tab w:val="clear" w:pos="720"/>
        </w:tabs>
        <w:ind w:left="567" w:hanging="567"/>
        <w:rPr>
          <w:del w:id="10762" w:author="AbbVie1" w:date="2025-05-13T10:11:00Z"/>
        </w:rPr>
      </w:pPr>
      <w:del w:id="10763" w:author="AbbVie1" w:date="2025-05-13T10:11:00Z">
        <w:r>
          <w:delText xml:space="preserve">lichenoidní kožní reakce (svědivá </w:delText>
        </w:r>
        <w:r w:rsidR="00936E7B" w:rsidRPr="00A644C2">
          <w:delText>načervenalá až purpurově zbarvená</w:delText>
        </w:r>
        <w:r>
          <w:delText xml:space="preserve"> vyrážka)</w:delText>
        </w:r>
        <w:r w:rsidR="00DB24E0" w:rsidRPr="001B4A02">
          <w:delText>.</w:delText>
        </w:r>
        <w:r w:rsidRPr="001B4A02">
          <w:delText xml:space="preserve"> </w:delText>
        </w:r>
      </w:del>
    </w:p>
    <w:p w14:paraId="39120A8B" w14:textId="77777777" w:rsidR="00155D9D" w:rsidRPr="001B4A02" w:rsidRDefault="00155D9D" w:rsidP="00ED48A3">
      <w:pPr>
        <w:ind w:left="0" w:right="-29" w:firstLine="0"/>
        <w:rPr>
          <w:del w:id="10764" w:author="AbbVie1" w:date="2025-05-13T10:11:00Z"/>
        </w:rPr>
      </w:pPr>
    </w:p>
    <w:p w14:paraId="042B5150" w14:textId="77777777" w:rsidR="003072DD" w:rsidRPr="001B4A02" w:rsidRDefault="00000000" w:rsidP="00BA0A72">
      <w:pPr>
        <w:keepNext/>
        <w:ind w:left="0" w:right="-28" w:firstLine="0"/>
        <w:rPr>
          <w:del w:id="10765" w:author="AbbVie1" w:date="2025-05-13T10:11:00Z"/>
        </w:rPr>
      </w:pPr>
      <w:del w:id="10766" w:author="AbbVie1" w:date="2025-05-13T10:11:00Z">
        <w:r w:rsidRPr="001B4A02">
          <w:delText>Není známo (frekvenci výskytu nelze z</w:delText>
        </w:r>
        <w:r w:rsidR="004823B6" w:rsidRPr="001B4A02">
          <w:delText> </w:delText>
        </w:r>
        <w:r w:rsidRPr="001B4A02">
          <w:delText>dostupných údajů určit)</w:delText>
        </w:r>
      </w:del>
    </w:p>
    <w:p w14:paraId="0CDB233C" w14:textId="77777777" w:rsidR="008534AD" w:rsidRPr="001B4A02" w:rsidRDefault="008534AD" w:rsidP="00BA0A72">
      <w:pPr>
        <w:keepNext/>
        <w:ind w:left="0" w:right="-28" w:firstLine="0"/>
        <w:rPr>
          <w:del w:id="10767" w:author="AbbVie1" w:date="2025-05-13T10:11:00Z"/>
        </w:rPr>
      </w:pPr>
    </w:p>
    <w:p w14:paraId="4DE37EFA" w14:textId="77777777" w:rsidR="003072DD" w:rsidRPr="001B4A02" w:rsidRDefault="00000000" w:rsidP="00EE5B9A">
      <w:pPr>
        <w:numPr>
          <w:ilvl w:val="0"/>
          <w:numId w:val="48"/>
        </w:numPr>
        <w:tabs>
          <w:tab w:val="clear" w:pos="720"/>
        </w:tabs>
        <w:ind w:left="567" w:hanging="567"/>
        <w:rPr>
          <w:del w:id="10768" w:author="AbbVie1" w:date="2025-05-13T10:11:00Z"/>
        </w:rPr>
      </w:pPr>
      <w:del w:id="10769" w:author="AbbVie1" w:date="2025-05-13T10:11:00Z">
        <w:r w:rsidRPr="001B4A02">
          <w:delText xml:space="preserve">hepatosplenický T-buněčný </w:delText>
        </w:r>
        <w:r w:rsidR="00E0127A" w:rsidRPr="001B4A02">
          <w:delText xml:space="preserve">lymfom </w:delText>
        </w:r>
        <w:r w:rsidRPr="001B4A02">
          <w:delText xml:space="preserve">(vzácný druh rakoviny krve, </w:delText>
        </w:r>
        <w:r w:rsidR="00E0127A" w:rsidRPr="001B4A02">
          <w:delText xml:space="preserve">který </w:delText>
        </w:r>
        <w:r w:rsidRPr="001B4A02">
          <w:delText>je obvykle smrtelný);</w:delText>
        </w:r>
      </w:del>
    </w:p>
    <w:p w14:paraId="2B8B0FEB" w14:textId="77777777" w:rsidR="003072DD" w:rsidRDefault="00000000" w:rsidP="00EE5B9A">
      <w:pPr>
        <w:numPr>
          <w:ilvl w:val="0"/>
          <w:numId w:val="48"/>
        </w:numPr>
        <w:tabs>
          <w:tab w:val="clear" w:pos="720"/>
        </w:tabs>
        <w:ind w:left="567" w:hanging="567"/>
        <w:rPr>
          <w:del w:id="10770" w:author="AbbVie1" w:date="2025-05-13T10:11:00Z"/>
        </w:rPr>
      </w:pPr>
      <w:del w:id="10771" w:author="AbbVie1" w:date="2025-05-13T10:11:00Z">
        <w:r w:rsidRPr="001B4A02">
          <w:delText>karcinom z</w:delText>
        </w:r>
        <w:r w:rsidR="004823B6" w:rsidRPr="001B4A02">
          <w:delText> </w:delText>
        </w:r>
        <w:r w:rsidRPr="001B4A02">
          <w:delText>Merkelových buněk (typ kožního karcinomu);</w:delText>
        </w:r>
      </w:del>
    </w:p>
    <w:p w14:paraId="10EE6EB5" w14:textId="77777777" w:rsidR="00B2204A" w:rsidRPr="001B4A02" w:rsidRDefault="00000000" w:rsidP="00EE5B9A">
      <w:pPr>
        <w:numPr>
          <w:ilvl w:val="0"/>
          <w:numId w:val="48"/>
        </w:numPr>
        <w:tabs>
          <w:tab w:val="clear" w:pos="720"/>
        </w:tabs>
        <w:ind w:left="567" w:hanging="567"/>
        <w:rPr>
          <w:del w:id="10772" w:author="AbbVie1" w:date="2025-05-13T10:11:00Z"/>
        </w:rPr>
      </w:pPr>
      <w:del w:id="10773" w:author="AbbVie1" w:date="2025-05-13T10:11:00Z">
        <w:r>
          <w:delText xml:space="preserve">Kaposiho </w:delText>
        </w:r>
        <w:r w:rsidRPr="009A21A5">
          <w:delText>sarkom</w:delText>
        </w:r>
        <w:r>
          <w:delText xml:space="preserve">, vzácné nádorové onemocnění související s infekcí vyvolanou lidským herpesvirem typu 8. Kaposiho </w:delText>
        </w:r>
        <w:r w:rsidRPr="009A21A5">
          <w:delText>sarkom</w:delText>
        </w:r>
        <w:r>
          <w:delText xml:space="preserve"> se nejčastěji vyskytuje ve formě fialových skvrn na kůži;</w:delText>
        </w:r>
      </w:del>
    </w:p>
    <w:p w14:paraId="2619E268" w14:textId="77777777" w:rsidR="003072DD" w:rsidRPr="001B4A02" w:rsidRDefault="00000000" w:rsidP="00EE5B9A">
      <w:pPr>
        <w:numPr>
          <w:ilvl w:val="0"/>
          <w:numId w:val="48"/>
        </w:numPr>
        <w:tabs>
          <w:tab w:val="clear" w:pos="720"/>
        </w:tabs>
        <w:ind w:left="567" w:hanging="567"/>
        <w:rPr>
          <w:del w:id="10774" w:author="AbbVie1" w:date="2025-05-13T10:11:00Z"/>
        </w:rPr>
      </w:pPr>
      <w:del w:id="10775" w:author="AbbVie1" w:date="2025-05-13T10:11:00Z">
        <w:r w:rsidRPr="001B4A02">
          <w:delText>selhání jater;</w:delText>
        </w:r>
      </w:del>
    </w:p>
    <w:p w14:paraId="4A0F82A7" w14:textId="77777777" w:rsidR="00000ECA" w:rsidRDefault="00000000" w:rsidP="00EE5B9A">
      <w:pPr>
        <w:numPr>
          <w:ilvl w:val="0"/>
          <w:numId w:val="48"/>
        </w:numPr>
        <w:tabs>
          <w:tab w:val="clear" w:pos="720"/>
        </w:tabs>
        <w:ind w:left="567" w:hanging="567"/>
        <w:rPr>
          <w:del w:id="10776" w:author="AbbVie1" w:date="2025-05-13T10:11:00Z"/>
        </w:rPr>
      </w:pPr>
      <w:del w:id="10777" w:author="AbbVie1" w:date="2025-05-13T10:11:00Z">
        <w:r w:rsidRPr="001B4A02">
          <w:delText>zhoršení onemocnění nazývané dermatomyozitida (pozorovatelné jako kožní vyrážka doprovázená svalovou slabostí)</w:delText>
        </w:r>
        <w:r>
          <w:delText>;</w:delText>
        </w:r>
      </w:del>
    </w:p>
    <w:p w14:paraId="50141676" w14:textId="77777777" w:rsidR="003072DD" w:rsidRPr="001B4A02" w:rsidRDefault="00000000" w:rsidP="00EE5B9A">
      <w:pPr>
        <w:numPr>
          <w:ilvl w:val="0"/>
          <w:numId w:val="48"/>
        </w:numPr>
        <w:tabs>
          <w:tab w:val="clear" w:pos="720"/>
        </w:tabs>
        <w:ind w:left="567" w:hanging="567"/>
        <w:rPr>
          <w:del w:id="10778" w:author="AbbVie1" w:date="2025-05-13T10:11:00Z"/>
        </w:rPr>
      </w:pPr>
      <w:del w:id="10779" w:author="AbbVie1" w:date="2025-05-13T10:11:00Z">
        <w:r w:rsidRPr="000752A7">
          <w:rPr>
            <w:color w:val="000000"/>
            <w:szCs w:val="22"/>
          </w:rPr>
          <w:delText>zvýšení tělesné hmotnosti (u</w:delText>
        </w:r>
        <w:r w:rsidRPr="000752A7">
          <w:rPr>
            <w:szCs w:val="22"/>
            <w:lang w:eastAsia="cs-CZ"/>
          </w:rPr>
          <w:delText> </w:delText>
        </w:r>
        <w:r w:rsidRPr="000752A7">
          <w:rPr>
            <w:color w:val="000000"/>
            <w:szCs w:val="22"/>
          </w:rPr>
          <w:delText>většiny pacientů byl přírůstek hmotnosti malý)</w:delText>
        </w:r>
        <w:r w:rsidRPr="001B4A02">
          <w:delText>.</w:delText>
        </w:r>
      </w:del>
    </w:p>
    <w:p w14:paraId="2DAE85E2" w14:textId="77777777" w:rsidR="003072DD" w:rsidRPr="001B4A02" w:rsidRDefault="003072DD" w:rsidP="00ED48A3">
      <w:pPr>
        <w:ind w:left="0" w:right="-29" w:firstLine="0"/>
        <w:rPr>
          <w:del w:id="10780" w:author="AbbVie1" w:date="2025-05-13T10:11:00Z"/>
        </w:rPr>
      </w:pPr>
    </w:p>
    <w:p w14:paraId="1B5300DA" w14:textId="77777777" w:rsidR="00155D9D" w:rsidRPr="001B4A02" w:rsidRDefault="00000000" w:rsidP="00ED48A3">
      <w:pPr>
        <w:ind w:left="0" w:right="-29" w:firstLine="0"/>
        <w:rPr>
          <w:del w:id="10781" w:author="AbbVie1" w:date="2025-05-13T10:11:00Z"/>
        </w:rPr>
      </w:pPr>
      <w:del w:id="10782" w:author="AbbVie1" w:date="2025-05-13T10:11:00Z">
        <w:r w:rsidRPr="001B4A02">
          <w:delText xml:space="preserve">Některé nežádoucí účinky pozorované </w:delText>
        </w:r>
        <w:r w:rsidR="003072DD" w:rsidRPr="001B4A02">
          <w:delText>u</w:delText>
        </w:r>
        <w:r w:rsidR="00264669" w:rsidRPr="001B4A02">
          <w:delText> přípravku</w:delText>
        </w:r>
        <w:r w:rsidR="003072DD" w:rsidRPr="001B4A02">
          <w:delText xml:space="preserve"> Humir</w:delText>
        </w:r>
        <w:r w:rsidR="00264669" w:rsidRPr="001B4A02">
          <w:delText>a</w:delText>
        </w:r>
        <w:r w:rsidRPr="001B4A02">
          <w:delText xml:space="preserve"> mohou probíhat bez příznaků</w:delText>
        </w:r>
        <w:r w:rsidR="002378E0">
          <w:delText xml:space="preserve"> a </w:delText>
        </w:r>
        <w:r w:rsidRPr="001B4A02">
          <w:delText>mohou být objeveny pouze s pomocí krevních testů.</w:delText>
        </w:r>
        <w:r w:rsidR="008534AD" w:rsidRPr="001B4A02">
          <w:delText xml:space="preserve"> </w:delText>
        </w:r>
        <w:r w:rsidRPr="001B4A02">
          <w:delText>Tyto zahrnují:</w:delText>
        </w:r>
      </w:del>
    </w:p>
    <w:p w14:paraId="5A546530" w14:textId="77777777" w:rsidR="00155D9D" w:rsidRPr="001B4A02" w:rsidRDefault="00155D9D" w:rsidP="00ED48A3">
      <w:pPr>
        <w:ind w:left="0" w:right="-29" w:firstLine="0"/>
        <w:rPr>
          <w:del w:id="10783" w:author="AbbVie1" w:date="2025-05-13T10:11:00Z"/>
        </w:rPr>
      </w:pPr>
    </w:p>
    <w:p w14:paraId="72BAD2E7" w14:textId="77777777" w:rsidR="00155D9D" w:rsidRPr="001B4A02" w:rsidRDefault="00000000" w:rsidP="00ED48A3">
      <w:pPr>
        <w:ind w:left="0" w:right="-29" w:firstLine="0"/>
        <w:rPr>
          <w:del w:id="10784" w:author="AbbVie1" w:date="2025-05-13T10:11:00Z"/>
        </w:rPr>
      </w:pPr>
      <w:del w:id="10785" w:author="AbbVie1" w:date="2025-05-13T10:11:00Z">
        <w:r w:rsidRPr="001B4A02">
          <w:delText xml:space="preserve">Velmi časté </w:delText>
        </w:r>
        <w:r w:rsidRPr="001B4A02">
          <w:rPr>
            <w:shd w:val="clear" w:color="auto" w:fill="FFFFFF"/>
          </w:rPr>
          <w:delText>(</w:delText>
        </w:r>
        <w:r w:rsidR="00FD74AE" w:rsidRPr="001B4A02">
          <w:rPr>
            <w:shd w:val="clear" w:color="auto" w:fill="FFFFFF"/>
          </w:rPr>
          <w:delText>moh</w:delText>
        </w:r>
        <w:r w:rsidR="003472B2" w:rsidRPr="001B4A02">
          <w:rPr>
            <w:shd w:val="clear" w:color="auto" w:fill="FFFFFF"/>
          </w:rPr>
          <w:delText>o</w:delText>
        </w:r>
        <w:r w:rsidR="00FD74AE" w:rsidRPr="001B4A02">
          <w:rPr>
            <w:shd w:val="clear" w:color="auto" w:fill="FFFFFF"/>
          </w:rPr>
          <w:delText>u postihnout více než 1 z 10 osob</w:delText>
        </w:r>
        <w:r w:rsidRPr="001B4A02">
          <w:delText>)</w:delText>
        </w:r>
      </w:del>
    </w:p>
    <w:p w14:paraId="0439DA6A" w14:textId="77777777" w:rsidR="008534AD" w:rsidRPr="001B4A02" w:rsidRDefault="008534AD" w:rsidP="00ED48A3">
      <w:pPr>
        <w:ind w:left="0" w:right="-29" w:firstLine="0"/>
        <w:rPr>
          <w:del w:id="10786" w:author="AbbVie1" w:date="2025-05-13T10:11:00Z"/>
        </w:rPr>
      </w:pPr>
    </w:p>
    <w:p w14:paraId="3A7CB69A" w14:textId="77777777" w:rsidR="00155D9D" w:rsidRPr="001B4A02" w:rsidRDefault="00000000" w:rsidP="00EE5B9A">
      <w:pPr>
        <w:pStyle w:val="EMEANormal"/>
        <w:numPr>
          <w:ilvl w:val="0"/>
          <w:numId w:val="59"/>
        </w:numPr>
        <w:tabs>
          <w:tab w:val="clear" w:pos="562"/>
          <w:tab w:val="clear" w:pos="720"/>
        </w:tabs>
        <w:suppressAutoHyphens w:val="0"/>
        <w:ind w:left="567" w:hanging="567"/>
        <w:rPr>
          <w:del w:id="10787" w:author="AbbVie1" w:date="2025-05-13T10:11:00Z"/>
          <w:lang w:val="cs-CZ"/>
        </w:rPr>
      </w:pPr>
      <w:del w:id="10788" w:author="AbbVie1" w:date="2025-05-13T10:11:00Z">
        <w:r w:rsidRPr="001B4A02">
          <w:rPr>
            <w:lang w:val="cs-CZ"/>
          </w:rPr>
          <w:delText>nízký počet bílých krvinek;</w:delText>
        </w:r>
      </w:del>
    </w:p>
    <w:p w14:paraId="5D75FE39" w14:textId="77777777" w:rsidR="00155D9D" w:rsidRPr="001B4A02" w:rsidRDefault="00000000" w:rsidP="00EE5B9A">
      <w:pPr>
        <w:pStyle w:val="EMEANormal"/>
        <w:numPr>
          <w:ilvl w:val="0"/>
          <w:numId w:val="59"/>
        </w:numPr>
        <w:tabs>
          <w:tab w:val="clear" w:pos="562"/>
          <w:tab w:val="clear" w:pos="720"/>
        </w:tabs>
        <w:suppressAutoHyphens w:val="0"/>
        <w:ind w:left="567" w:hanging="567"/>
        <w:rPr>
          <w:del w:id="10789" w:author="AbbVie1" w:date="2025-05-13T10:11:00Z"/>
          <w:lang w:val="cs-CZ"/>
        </w:rPr>
      </w:pPr>
      <w:del w:id="10790" w:author="AbbVie1" w:date="2025-05-13T10:11:00Z">
        <w:r w:rsidRPr="001B4A02">
          <w:rPr>
            <w:lang w:val="cs-CZ"/>
          </w:rPr>
          <w:delText>nízký počet červených krvinek;</w:delText>
        </w:r>
      </w:del>
    </w:p>
    <w:p w14:paraId="12A6A71A" w14:textId="77777777" w:rsidR="00155D9D" w:rsidRPr="001B4A02" w:rsidRDefault="00000000" w:rsidP="00EE5B9A">
      <w:pPr>
        <w:pStyle w:val="EMEANormal"/>
        <w:numPr>
          <w:ilvl w:val="0"/>
          <w:numId w:val="59"/>
        </w:numPr>
        <w:tabs>
          <w:tab w:val="clear" w:pos="562"/>
          <w:tab w:val="clear" w:pos="720"/>
        </w:tabs>
        <w:suppressAutoHyphens w:val="0"/>
        <w:ind w:left="567" w:hanging="567"/>
        <w:rPr>
          <w:del w:id="10791" w:author="AbbVie1" w:date="2025-05-13T10:11:00Z"/>
          <w:lang w:val="cs-CZ"/>
        </w:rPr>
      </w:pPr>
      <w:del w:id="10792" w:author="AbbVie1" w:date="2025-05-13T10:11:00Z">
        <w:r w:rsidRPr="001B4A02">
          <w:rPr>
            <w:lang w:val="cs-CZ"/>
          </w:rPr>
          <w:delText>zvýšení tuků v krvi;</w:delText>
        </w:r>
      </w:del>
    </w:p>
    <w:p w14:paraId="1E65547C" w14:textId="77777777" w:rsidR="00155D9D" w:rsidRPr="001B4A02" w:rsidRDefault="00000000" w:rsidP="00EE5B9A">
      <w:pPr>
        <w:pStyle w:val="EMEANormal"/>
        <w:numPr>
          <w:ilvl w:val="0"/>
          <w:numId w:val="59"/>
        </w:numPr>
        <w:tabs>
          <w:tab w:val="clear" w:pos="562"/>
          <w:tab w:val="clear" w:pos="720"/>
        </w:tabs>
        <w:suppressAutoHyphens w:val="0"/>
        <w:ind w:left="567" w:hanging="567"/>
        <w:rPr>
          <w:del w:id="10793" w:author="AbbVie1" w:date="2025-05-13T10:11:00Z"/>
          <w:lang w:val="cs-CZ"/>
        </w:rPr>
      </w:pPr>
      <w:del w:id="10794" w:author="AbbVie1" w:date="2025-05-13T10:11:00Z">
        <w:r w:rsidRPr="001B4A02">
          <w:rPr>
            <w:lang w:val="cs-CZ"/>
          </w:rPr>
          <w:delText>zvýšení jaterních enzymů.</w:delText>
        </w:r>
      </w:del>
    </w:p>
    <w:p w14:paraId="3066C9D4" w14:textId="77777777" w:rsidR="00155D9D" w:rsidRPr="001B4A02" w:rsidRDefault="00155D9D" w:rsidP="00ED48A3">
      <w:pPr>
        <w:pStyle w:val="EMEANormal"/>
        <w:tabs>
          <w:tab w:val="left" w:pos="0"/>
        </w:tabs>
        <w:suppressAutoHyphens w:val="0"/>
        <w:rPr>
          <w:del w:id="10795" w:author="AbbVie1" w:date="2025-05-13T10:11:00Z"/>
          <w:lang w:val="cs-CZ"/>
        </w:rPr>
      </w:pPr>
    </w:p>
    <w:p w14:paraId="72598701" w14:textId="77777777" w:rsidR="00155D9D" w:rsidRPr="001B4A02" w:rsidRDefault="00000000" w:rsidP="00ED48A3">
      <w:pPr>
        <w:shd w:val="clear" w:color="auto" w:fill="FFFFFF"/>
        <w:tabs>
          <w:tab w:val="left" w:pos="0"/>
        </w:tabs>
        <w:ind w:left="0" w:firstLine="0"/>
        <w:rPr>
          <w:del w:id="10796" w:author="AbbVie1" w:date="2025-05-13T10:11:00Z"/>
        </w:rPr>
      </w:pPr>
      <w:del w:id="10797" w:author="AbbVie1" w:date="2025-05-13T10:11:00Z">
        <w:r w:rsidRPr="001B4A02">
          <w:delText>Časté (</w:delText>
        </w:r>
        <w:r w:rsidR="00680EF3" w:rsidRPr="001B4A02">
          <w:delText>mohou postihnout nejvýše</w:delText>
        </w:r>
        <w:r w:rsidR="00FD74AE" w:rsidRPr="001B4A02">
          <w:delText xml:space="preserve"> 1 ze 100 osob</w:delText>
        </w:r>
        <w:r w:rsidR="000C2348" w:rsidRPr="001B4A02">
          <w:delText>)</w:delText>
        </w:r>
      </w:del>
    </w:p>
    <w:p w14:paraId="6F9D2C05" w14:textId="77777777" w:rsidR="008534AD" w:rsidRPr="001B4A02" w:rsidRDefault="008534AD" w:rsidP="00ED48A3">
      <w:pPr>
        <w:shd w:val="clear" w:color="auto" w:fill="FFFFFF"/>
        <w:tabs>
          <w:tab w:val="left" w:pos="0"/>
        </w:tabs>
        <w:ind w:left="0" w:firstLine="0"/>
        <w:rPr>
          <w:del w:id="10798" w:author="AbbVie1" w:date="2025-05-13T10:11:00Z"/>
        </w:rPr>
      </w:pPr>
    </w:p>
    <w:p w14:paraId="7BAEA2FD" w14:textId="77777777" w:rsidR="00155D9D" w:rsidRPr="001B4A02" w:rsidRDefault="00000000" w:rsidP="00EE5B9A">
      <w:pPr>
        <w:pStyle w:val="EMEANormal"/>
        <w:numPr>
          <w:ilvl w:val="0"/>
          <w:numId w:val="59"/>
        </w:numPr>
        <w:tabs>
          <w:tab w:val="clear" w:pos="562"/>
          <w:tab w:val="clear" w:pos="720"/>
        </w:tabs>
        <w:suppressAutoHyphens w:val="0"/>
        <w:ind w:left="567" w:hanging="567"/>
        <w:rPr>
          <w:del w:id="10799" w:author="AbbVie1" w:date="2025-05-13T10:11:00Z"/>
          <w:lang w:val="cs-CZ"/>
        </w:rPr>
      </w:pPr>
      <w:del w:id="10800" w:author="AbbVie1" w:date="2025-05-13T10:11:00Z">
        <w:r w:rsidRPr="001B4A02">
          <w:rPr>
            <w:lang w:val="cs-CZ"/>
          </w:rPr>
          <w:delText>vysoký počet bílých krvinek;</w:delText>
        </w:r>
      </w:del>
    </w:p>
    <w:p w14:paraId="75AFC8C1" w14:textId="77777777" w:rsidR="00155D9D" w:rsidRPr="001B4A02" w:rsidRDefault="00000000" w:rsidP="00EE5B9A">
      <w:pPr>
        <w:pStyle w:val="EMEANormal"/>
        <w:numPr>
          <w:ilvl w:val="0"/>
          <w:numId w:val="59"/>
        </w:numPr>
        <w:tabs>
          <w:tab w:val="clear" w:pos="562"/>
          <w:tab w:val="clear" w:pos="720"/>
        </w:tabs>
        <w:suppressAutoHyphens w:val="0"/>
        <w:ind w:left="567" w:hanging="567"/>
        <w:rPr>
          <w:del w:id="10801" w:author="AbbVie1" w:date="2025-05-13T10:11:00Z"/>
          <w:lang w:val="cs-CZ"/>
        </w:rPr>
      </w:pPr>
      <w:del w:id="10802" w:author="AbbVie1" w:date="2025-05-13T10:11:00Z">
        <w:r w:rsidRPr="001B4A02">
          <w:rPr>
            <w:lang w:val="cs-CZ"/>
          </w:rPr>
          <w:delText>nízký počet krevních destiček;</w:delText>
        </w:r>
      </w:del>
    </w:p>
    <w:p w14:paraId="73B59643" w14:textId="77777777" w:rsidR="00155D9D" w:rsidRPr="001B4A02" w:rsidRDefault="00000000" w:rsidP="00EE5B9A">
      <w:pPr>
        <w:pStyle w:val="EMEANormal"/>
        <w:numPr>
          <w:ilvl w:val="0"/>
          <w:numId w:val="59"/>
        </w:numPr>
        <w:tabs>
          <w:tab w:val="clear" w:pos="562"/>
          <w:tab w:val="clear" w:pos="720"/>
        </w:tabs>
        <w:suppressAutoHyphens w:val="0"/>
        <w:ind w:left="567" w:hanging="567"/>
        <w:rPr>
          <w:del w:id="10803" w:author="AbbVie1" w:date="2025-05-13T10:11:00Z"/>
          <w:lang w:val="cs-CZ"/>
        </w:rPr>
      </w:pPr>
      <w:del w:id="10804" w:author="AbbVie1" w:date="2025-05-13T10:11:00Z">
        <w:r w:rsidRPr="001B4A02">
          <w:rPr>
            <w:lang w:val="cs-CZ"/>
          </w:rPr>
          <w:delText>zvýšení kyseliny močové v krvi;</w:delText>
        </w:r>
      </w:del>
    </w:p>
    <w:p w14:paraId="185275D0" w14:textId="77777777" w:rsidR="00155D9D" w:rsidRPr="001B4A02" w:rsidRDefault="00000000" w:rsidP="00EE5B9A">
      <w:pPr>
        <w:pStyle w:val="EMEANormal"/>
        <w:numPr>
          <w:ilvl w:val="0"/>
          <w:numId w:val="59"/>
        </w:numPr>
        <w:tabs>
          <w:tab w:val="clear" w:pos="562"/>
          <w:tab w:val="clear" w:pos="720"/>
        </w:tabs>
        <w:suppressAutoHyphens w:val="0"/>
        <w:ind w:left="567" w:hanging="567"/>
        <w:rPr>
          <w:del w:id="10805" w:author="AbbVie1" w:date="2025-05-13T10:11:00Z"/>
          <w:lang w:val="cs-CZ"/>
        </w:rPr>
      </w:pPr>
      <w:del w:id="10806" w:author="AbbVie1" w:date="2025-05-13T10:11:00Z">
        <w:r w:rsidRPr="001B4A02">
          <w:rPr>
            <w:lang w:val="cs-CZ"/>
          </w:rPr>
          <w:delText>neobvyklé hodnoty sodíku v krvi;</w:delText>
        </w:r>
      </w:del>
    </w:p>
    <w:p w14:paraId="2E7E6E93" w14:textId="77777777" w:rsidR="00155D9D" w:rsidRPr="001B4A02" w:rsidRDefault="00000000" w:rsidP="00EE5B9A">
      <w:pPr>
        <w:pStyle w:val="EMEANormal"/>
        <w:numPr>
          <w:ilvl w:val="0"/>
          <w:numId w:val="59"/>
        </w:numPr>
        <w:tabs>
          <w:tab w:val="clear" w:pos="562"/>
          <w:tab w:val="clear" w:pos="720"/>
        </w:tabs>
        <w:suppressAutoHyphens w:val="0"/>
        <w:ind w:left="567" w:hanging="567"/>
        <w:rPr>
          <w:del w:id="10807" w:author="AbbVie1" w:date="2025-05-13T10:11:00Z"/>
          <w:lang w:val="cs-CZ"/>
        </w:rPr>
      </w:pPr>
      <w:del w:id="10808" w:author="AbbVie1" w:date="2025-05-13T10:11:00Z">
        <w:r w:rsidRPr="001B4A02">
          <w:rPr>
            <w:lang w:val="cs-CZ"/>
          </w:rPr>
          <w:delText>nízké hodnoty vápníku v krvi;</w:delText>
        </w:r>
      </w:del>
    </w:p>
    <w:p w14:paraId="4364D837" w14:textId="77777777" w:rsidR="00155D9D" w:rsidRPr="001B4A02" w:rsidRDefault="00000000" w:rsidP="00EE5B9A">
      <w:pPr>
        <w:pStyle w:val="EMEANormal"/>
        <w:numPr>
          <w:ilvl w:val="0"/>
          <w:numId w:val="59"/>
        </w:numPr>
        <w:tabs>
          <w:tab w:val="clear" w:pos="562"/>
          <w:tab w:val="clear" w:pos="720"/>
        </w:tabs>
        <w:suppressAutoHyphens w:val="0"/>
        <w:ind w:left="567" w:hanging="567"/>
        <w:rPr>
          <w:del w:id="10809" w:author="AbbVie1" w:date="2025-05-13T10:11:00Z"/>
          <w:lang w:val="cs-CZ"/>
        </w:rPr>
      </w:pPr>
      <w:del w:id="10810" w:author="AbbVie1" w:date="2025-05-13T10:11:00Z">
        <w:r w:rsidRPr="001B4A02">
          <w:rPr>
            <w:lang w:val="cs-CZ"/>
          </w:rPr>
          <w:delText>nízké hodnoty fosforu v krvi;</w:delText>
        </w:r>
      </w:del>
    </w:p>
    <w:p w14:paraId="0EC79584" w14:textId="77777777" w:rsidR="00155D9D" w:rsidRPr="001B4A02" w:rsidRDefault="00000000" w:rsidP="00EE5B9A">
      <w:pPr>
        <w:pStyle w:val="EMEANormal"/>
        <w:numPr>
          <w:ilvl w:val="0"/>
          <w:numId w:val="59"/>
        </w:numPr>
        <w:tabs>
          <w:tab w:val="clear" w:pos="562"/>
          <w:tab w:val="clear" w:pos="720"/>
        </w:tabs>
        <w:suppressAutoHyphens w:val="0"/>
        <w:ind w:left="567" w:hanging="567"/>
        <w:rPr>
          <w:del w:id="10811" w:author="AbbVie1" w:date="2025-05-13T10:11:00Z"/>
          <w:lang w:val="cs-CZ"/>
        </w:rPr>
      </w:pPr>
      <w:del w:id="10812" w:author="AbbVie1" w:date="2025-05-13T10:11:00Z">
        <w:r w:rsidRPr="001B4A02">
          <w:rPr>
            <w:lang w:val="cs-CZ"/>
          </w:rPr>
          <w:delText>vysoké hladiny krevního cukru;</w:delText>
        </w:r>
      </w:del>
    </w:p>
    <w:p w14:paraId="19BFB323" w14:textId="77777777" w:rsidR="00155D9D" w:rsidRPr="001B4A02" w:rsidRDefault="00000000" w:rsidP="00EE5B9A">
      <w:pPr>
        <w:pStyle w:val="EMEANormal"/>
        <w:numPr>
          <w:ilvl w:val="0"/>
          <w:numId w:val="59"/>
        </w:numPr>
        <w:tabs>
          <w:tab w:val="clear" w:pos="562"/>
          <w:tab w:val="clear" w:pos="720"/>
        </w:tabs>
        <w:suppressAutoHyphens w:val="0"/>
        <w:ind w:left="567" w:hanging="567"/>
        <w:rPr>
          <w:del w:id="10813" w:author="AbbVie1" w:date="2025-05-13T10:11:00Z"/>
          <w:lang w:val="cs-CZ"/>
        </w:rPr>
      </w:pPr>
      <w:del w:id="10814" w:author="AbbVie1" w:date="2025-05-13T10:11:00Z">
        <w:r w:rsidRPr="001B4A02">
          <w:rPr>
            <w:lang w:val="cs-CZ"/>
          </w:rPr>
          <w:delText>vysoké hodnoty laktátdehydrogenázy v krvi;</w:delText>
        </w:r>
      </w:del>
    </w:p>
    <w:p w14:paraId="6A47F272" w14:textId="77777777" w:rsidR="00DB24E0" w:rsidRPr="001B4A02" w:rsidRDefault="00000000" w:rsidP="00EE5B9A">
      <w:pPr>
        <w:pStyle w:val="EMEANormal"/>
        <w:numPr>
          <w:ilvl w:val="0"/>
          <w:numId w:val="59"/>
        </w:numPr>
        <w:tabs>
          <w:tab w:val="clear" w:pos="562"/>
          <w:tab w:val="clear" w:pos="720"/>
        </w:tabs>
        <w:suppressAutoHyphens w:val="0"/>
        <w:ind w:left="567" w:hanging="567"/>
        <w:rPr>
          <w:del w:id="10815" w:author="AbbVie1" w:date="2025-05-13T10:11:00Z"/>
          <w:lang w:val="cs-CZ"/>
        </w:rPr>
      </w:pPr>
      <w:del w:id="10816" w:author="AbbVie1" w:date="2025-05-13T10:11:00Z">
        <w:r w:rsidRPr="001B4A02">
          <w:rPr>
            <w:lang w:val="cs-CZ"/>
          </w:rPr>
          <w:delText>přítomnost autoprotilátek v krvi;</w:delText>
        </w:r>
      </w:del>
    </w:p>
    <w:p w14:paraId="652CEA1C" w14:textId="77777777" w:rsidR="00155D9D" w:rsidRPr="001B4A02" w:rsidRDefault="00000000" w:rsidP="00EE5B9A">
      <w:pPr>
        <w:pStyle w:val="EMEANormal"/>
        <w:numPr>
          <w:ilvl w:val="0"/>
          <w:numId w:val="59"/>
        </w:numPr>
        <w:tabs>
          <w:tab w:val="clear" w:pos="562"/>
          <w:tab w:val="clear" w:pos="720"/>
        </w:tabs>
        <w:suppressAutoHyphens w:val="0"/>
        <w:ind w:left="567" w:hanging="567"/>
        <w:rPr>
          <w:del w:id="10817" w:author="AbbVie1" w:date="2025-05-13T10:11:00Z"/>
          <w:lang w:val="cs-CZ"/>
        </w:rPr>
      </w:pPr>
      <w:del w:id="10818" w:author="AbbVie1" w:date="2025-05-13T10:11:00Z">
        <w:r w:rsidRPr="001B4A02">
          <w:rPr>
            <w:lang w:val="cs-CZ"/>
          </w:rPr>
          <w:delText>nízká hladina draslíku v krvi.</w:delText>
        </w:r>
      </w:del>
    </w:p>
    <w:p w14:paraId="071E2731" w14:textId="77777777" w:rsidR="00155D9D" w:rsidRPr="001B4A02" w:rsidRDefault="00155D9D" w:rsidP="00ED48A3">
      <w:pPr>
        <w:pStyle w:val="EMEANormal"/>
        <w:tabs>
          <w:tab w:val="left" w:pos="0"/>
        </w:tabs>
        <w:suppressAutoHyphens w:val="0"/>
        <w:rPr>
          <w:del w:id="10819" w:author="AbbVie1" w:date="2025-05-13T10:11:00Z"/>
          <w:lang w:val="cs-CZ"/>
        </w:rPr>
      </w:pPr>
    </w:p>
    <w:p w14:paraId="2AD22F4F" w14:textId="77777777" w:rsidR="00155D9D" w:rsidRPr="001B4A02" w:rsidRDefault="00000000" w:rsidP="00ED48A3">
      <w:pPr>
        <w:ind w:left="0" w:right="-29" w:firstLine="0"/>
        <w:rPr>
          <w:del w:id="10820" w:author="AbbVie1" w:date="2025-05-13T10:11:00Z"/>
        </w:rPr>
      </w:pPr>
      <w:del w:id="10821" w:author="AbbVie1" w:date="2025-05-13T10:11:00Z">
        <w:r w:rsidRPr="001B4A02">
          <w:delText>Méně časté (</w:delText>
        </w:r>
        <w:r w:rsidR="00680EF3" w:rsidRPr="001B4A02">
          <w:delText>mohou postihnout nejvýše</w:delText>
        </w:r>
        <w:r w:rsidR="00FD74AE" w:rsidRPr="001B4A02">
          <w:delText xml:space="preserve"> 1 z</w:delText>
        </w:r>
        <w:r w:rsidR="009B5C64" w:rsidRPr="001B4A02">
          <w:delText>e</w:delText>
        </w:r>
        <w:r w:rsidR="009F584E" w:rsidRPr="001B4A02">
          <w:delText> </w:delText>
        </w:r>
        <w:r w:rsidR="009B5C64" w:rsidRPr="001B4A02">
          <w:delText>1</w:delText>
        </w:r>
        <w:r w:rsidR="00FD74AE" w:rsidRPr="001B4A02">
          <w:delText>00 osob</w:delText>
        </w:r>
        <w:r w:rsidRPr="001B4A02">
          <w:delText>)</w:delText>
        </w:r>
      </w:del>
    </w:p>
    <w:p w14:paraId="5C6DBF7E" w14:textId="77777777" w:rsidR="008534AD" w:rsidRPr="001B4A02" w:rsidRDefault="008534AD" w:rsidP="00ED48A3">
      <w:pPr>
        <w:ind w:left="0" w:right="-29" w:firstLine="0"/>
        <w:rPr>
          <w:del w:id="10822" w:author="AbbVie1" w:date="2025-05-13T10:11:00Z"/>
        </w:rPr>
      </w:pPr>
    </w:p>
    <w:p w14:paraId="79581DC9" w14:textId="77777777" w:rsidR="00155D9D" w:rsidRPr="001B4A02" w:rsidRDefault="00000000" w:rsidP="00EE5B9A">
      <w:pPr>
        <w:pStyle w:val="EMEANormal"/>
        <w:numPr>
          <w:ilvl w:val="0"/>
          <w:numId w:val="59"/>
        </w:numPr>
        <w:tabs>
          <w:tab w:val="clear" w:pos="562"/>
          <w:tab w:val="clear" w:pos="720"/>
        </w:tabs>
        <w:suppressAutoHyphens w:val="0"/>
        <w:ind w:left="567" w:hanging="567"/>
        <w:rPr>
          <w:del w:id="10823" w:author="AbbVie1" w:date="2025-05-13T10:11:00Z"/>
          <w:lang w:val="cs-CZ"/>
        </w:rPr>
      </w:pPr>
      <w:del w:id="10824" w:author="AbbVie1" w:date="2025-05-13T10:11:00Z">
        <w:r w:rsidRPr="001B4A02">
          <w:rPr>
            <w:lang w:val="cs-CZ"/>
          </w:rPr>
          <w:delText>zvýšená hladina bilirubinu (jaterní test z krve)</w:delText>
        </w:r>
        <w:r w:rsidR="000E191B" w:rsidRPr="001B4A02">
          <w:rPr>
            <w:lang w:val="cs-CZ"/>
          </w:rPr>
          <w:delText>.</w:delText>
        </w:r>
      </w:del>
    </w:p>
    <w:p w14:paraId="447BA021" w14:textId="77777777" w:rsidR="009B5C64" w:rsidRPr="001B4A02" w:rsidRDefault="009B5C64" w:rsidP="00C806C1">
      <w:pPr>
        <w:pStyle w:val="EMEANormal"/>
        <w:tabs>
          <w:tab w:val="clear" w:pos="562"/>
          <w:tab w:val="left" w:pos="0"/>
        </w:tabs>
        <w:suppressAutoHyphens w:val="0"/>
        <w:rPr>
          <w:del w:id="10825" w:author="AbbVie1" w:date="2025-05-13T10:11:00Z"/>
          <w:lang w:val="cs-CZ"/>
        </w:rPr>
      </w:pPr>
    </w:p>
    <w:p w14:paraId="55BAF26C" w14:textId="77777777" w:rsidR="009B5C64" w:rsidRPr="001B4A02" w:rsidRDefault="00000000" w:rsidP="00C806C1">
      <w:pPr>
        <w:pStyle w:val="EMEANormal"/>
        <w:tabs>
          <w:tab w:val="clear" w:pos="562"/>
          <w:tab w:val="left" w:pos="0"/>
        </w:tabs>
        <w:suppressAutoHyphens w:val="0"/>
        <w:rPr>
          <w:del w:id="10826" w:author="AbbVie1" w:date="2025-05-13T10:11:00Z"/>
          <w:lang w:val="cs-CZ"/>
        </w:rPr>
      </w:pPr>
      <w:del w:id="10827" w:author="AbbVie1" w:date="2025-05-13T10:11:00Z">
        <w:r w:rsidRPr="001B4A02">
          <w:rPr>
            <w:lang w:val="cs-CZ"/>
          </w:rPr>
          <w:delText>Vzácné (mohou pos</w:delText>
        </w:r>
        <w:r w:rsidR="00F406FC" w:rsidRPr="001B4A02">
          <w:rPr>
            <w:lang w:val="cs-CZ"/>
          </w:rPr>
          <w:delText>tihnout nejvýše 1 z 1 000 osob)</w:delText>
        </w:r>
      </w:del>
    </w:p>
    <w:p w14:paraId="7FF2EA4E" w14:textId="77777777" w:rsidR="009B5C64" w:rsidRPr="001B4A02" w:rsidRDefault="009B5C64" w:rsidP="00C806C1">
      <w:pPr>
        <w:pStyle w:val="EMEANormal"/>
        <w:tabs>
          <w:tab w:val="clear" w:pos="562"/>
          <w:tab w:val="left" w:pos="0"/>
        </w:tabs>
        <w:suppressAutoHyphens w:val="0"/>
        <w:rPr>
          <w:del w:id="10828" w:author="AbbVie1" w:date="2025-05-13T10:11:00Z"/>
          <w:lang w:val="cs-CZ"/>
        </w:rPr>
      </w:pPr>
    </w:p>
    <w:p w14:paraId="2513A0B5" w14:textId="77777777" w:rsidR="009B5C64" w:rsidRPr="001B4A02" w:rsidRDefault="00000000" w:rsidP="00EE5B9A">
      <w:pPr>
        <w:pStyle w:val="EMEANormal"/>
        <w:numPr>
          <w:ilvl w:val="0"/>
          <w:numId w:val="59"/>
        </w:numPr>
        <w:tabs>
          <w:tab w:val="clear" w:pos="562"/>
          <w:tab w:val="clear" w:pos="720"/>
        </w:tabs>
        <w:suppressAutoHyphens w:val="0"/>
        <w:ind w:left="567" w:hanging="567"/>
        <w:rPr>
          <w:del w:id="10829" w:author="AbbVie1" w:date="2025-05-13T10:11:00Z"/>
          <w:lang w:val="cs-CZ"/>
        </w:rPr>
      </w:pPr>
      <w:del w:id="10830" w:author="AbbVie1" w:date="2025-05-13T10:11:00Z">
        <w:r w:rsidRPr="001B4A02">
          <w:rPr>
            <w:lang w:val="cs-CZ"/>
          </w:rPr>
          <w:delText>nízké počty bílých krvinek, červených krvinek</w:delText>
        </w:r>
        <w:r w:rsidR="002378E0">
          <w:rPr>
            <w:lang w:val="cs-CZ"/>
          </w:rPr>
          <w:delText xml:space="preserve"> a </w:delText>
        </w:r>
        <w:r w:rsidR="002D4ABC" w:rsidRPr="001B4A02">
          <w:rPr>
            <w:lang w:val="cs-CZ"/>
          </w:rPr>
          <w:delText xml:space="preserve">krevních </w:delText>
        </w:r>
        <w:r w:rsidRPr="001B4A02">
          <w:rPr>
            <w:lang w:val="cs-CZ"/>
          </w:rPr>
          <w:delText>destiček</w:delText>
        </w:r>
        <w:r w:rsidR="00F81D2C" w:rsidRPr="001B4A02">
          <w:rPr>
            <w:lang w:val="cs-CZ"/>
          </w:rPr>
          <w:delText>.</w:delText>
        </w:r>
      </w:del>
    </w:p>
    <w:p w14:paraId="7D0908A8" w14:textId="77777777" w:rsidR="00073F8F" w:rsidRPr="001B4A02" w:rsidRDefault="00073F8F" w:rsidP="00ED48A3">
      <w:pPr>
        <w:ind w:left="0" w:firstLine="0"/>
        <w:rPr>
          <w:del w:id="10831" w:author="AbbVie1" w:date="2025-05-13T10:11:00Z"/>
        </w:rPr>
      </w:pPr>
    </w:p>
    <w:p w14:paraId="5E9E0B1E" w14:textId="77777777" w:rsidR="005F59C4" w:rsidRPr="00BA0A72" w:rsidRDefault="00000000" w:rsidP="0009084E">
      <w:pPr>
        <w:numPr>
          <w:ilvl w:val="12"/>
          <w:numId w:val="0"/>
        </w:numPr>
        <w:jc w:val="both"/>
        <w:rPr>
          <w:del w:id="10832" w:author="AbbVie1" w:date="2025-05-13T10:11:00Z"/>
          <w:b/>
        </w:rPr>
      </w:pPr>
      <w:del w:id="10833" w:author="AbbVie1" w:date="2025-05-13T10:11:00Z">
        <w:r w:rsidRPr="00BA0A72">
          <w:rPr>
            <w:b/>
          </w:rPr>
          <w:delText>Hlášení nežádoucích účinků</w:delText>
        </w:r>
      </w:del>
    </w:p>
    <w:p w14:paraId="701D61ED" w14:textId="77777777" w:rsidR="005F59C4" w:rsidRPr="001B4A02" w:rsidRDefault="00000000" w:rsidP="0009084E">
      <w:pPr>
        <w:numPr>
          <w:ilvl w:val="12"/>
          <w:numId w:val="0"/>
        </w:numPr>
        <w:jc w:val="both"/>
        <w:rPr>
          <w:del w:id="10834" w:author="AbbVie1" w:date="2025-05-13T10:11:00Z"/>
        </w:rPr>
      </w:pPr>
      <w:del w:id="10835" w:author="AbbVie1" w:date="2025-05-13T10:11:00Z">
        <w:r w:rsidRPr="001B4A02">
          <w:delText xml:space="preserve">Pokud se </w:delText>
        </w:r>
        <w:r w:rsidR="005D2535">
          <w:delText>u </w:delText>
        </w:r>
        <w:r w:rsidR="00845CC2" w:rsidRPr="001B4A02">
          <w:delText xml:space="preserve">Vašeho dítěte vyskytne </w:delText>
        </w:r>
        <w:r w:rsidRPr="001B4A02">
          <w:delText xml:space="preserve">kterýkoli z nežádoucích účinků, </w:delText>
        </w:r>
        <w:r w:rsidR="00845CC2" w:rsidRPr="001B4A02">
          <w:delText>sdělte to lékaři Vašeho dítěte nebo lékárníkovi. Stejně postupujte</w:delText>
        </w:r>
        <w:r w:rsidR="00015DFE" w:rsidRPr="001B4A02">
          <w:delText xml:space="preserve"> i</w:delText>
        </w:r>
        <w:r w:rsidR="00845CC2" w:rsidRPr="001B4A02">
          <w:delText xml:space="preserve"> v případě </w:delText>
        </w:r>
        <w:r w:rsidRPr="001B4A02">
          <w:delText>jakýchkoli nežádoucích účinků, které nejsou uvedeny v této příbalové informaci.</w:delText>
        </w:r>
        <w:r w:rsidR="00D40A5A">
          <w:delText xml:space="preserve"> </w:delText>
        </w:r>
        <w:r w:rsidRPr="001B4A02">
          <w:delText xml:space="preserve">Nežádoucí účinky můžete hlásit také přímo prostřednictvím </w:delText>
        </w:r>
        <w:r w:rsidR="001D5342" w:rsidRPr="001B4A02">
          <w:rPr>
            <w:shd w:val="clear" w:color="auto" w:fill="A6A6A6"/>
          </w:rPr>
          <w:delText>národního systému hlášení nežádoucích účinků uvedeného v </w:delText>
        </w:r>
        <w:r w:rsidR="001D5342">
          <w:fldChar w:fldCharType="begin"/>
        </w:r>
        <w:r w:rsidR="001D5342">
          <w:delInstrText>HYPERLINK "http://www.ema.europa.eu/docs/en_GB/document_library/Template_or_form/2013/03/WC500139752.doc"</w:delInstrText>
        </w:r>
        <w:r w:rsidR="001D5342">
          <w:fldChar w:fldCharType="separate"/>
        </w:r>
        <w:r w:rsidR="001D5342" w:rsidRPr="001B4A02">
          <w:rPr>
            <w:rStyle w:val="Hyperlink"/>
            <w:shd w:val="clear" w:color="auto" w:fill="A6A6A6"/>
          </w:rPr>
          <w:delText>Dodatku V</w:delText>
        </w:r>
        <w:r w:rsidR="001D5342">
          <w:fldChar w:fldCharType="end"/>
        </w:r>
        <w:r w:rsidR="001D5342" w:rsidRPr="001B4A02">
          <w:rPr>
            <w:shd w:val="clear" w:color="auto" w:fill="FFFFFF"/>
          </w:rPr>
          <w:delText>.</w:delText>
        </w:r>
        <w:r w:rsidR="00F406FC" w:rsidRPr="001B4A02">
          <w:delText xml:space="preserve"> </w:delText>
        </w:r>
        <w:r w:rsidRPr="001B4A02">
          <w:delText>Nahlášením nežádoucích účinků můžete přispět k získání více informací o</w:delText>
        </w:r>
        <w:r w:rsidR="00F23025" w:rsidRPr="001B4A02">
          <w:delText> </w:delText>
        </w:r>
        <w:r w:rsidRPr="001B4A02">
          <w:delText>bezpečnosti tohoto přípravku.</w:delText>
        </w:r>
      </w:del>
    </w:p>
    <w:p w14:paraId="3242ADBF" w14:textId="77777777" w:rsidR="00D427E8" w:rsidRPr="001B4A02" w:rsidRDefault="00D427E8" w:rsidP="00D427E8">
      <w:pPr>
        <w:ind w:left="0" w:firstLine="0"/>
        <w:rPr>
          <w:del w:id="10836" w:author="AbbVie1" w:date="2025-05-13T10:11:00Z"/>
        </w:rPr>
      </w:pPr>
    </w:p>
    <w:p w14:paraId="43103A8C" w14:textId="77777777" w:rsidR="00D427E8" w:rsidRPr="001B4A02" w:rsidRDefault="00D427E8" w:rsidP="00D427E8">
      <w:pPr>
        <w:ind w:left="0" w:firstLine="0"/>
        <w:rPr>
          <w:del w:id="10837" w:author="AbbVie1" w:date="2025-05-13T10:11:00Z"/>
        </w:rPr>
      </w:pPr>
    </w:p>
    <w:p w14:paraId="60A2F59C" w14:textId="77777777" w:rsidR="00073F8F" w:rsidRPr="001B4A02" w:rsidRDefault="00000000" w:rsidP="00995407">
      <w:pPr>
        <w:numPr>
          <w:ilvl w:val="12"/>
          <w:numId w:val="0"/>
        </w:numPr>
        <w:ind w:left="567" w:hanging="567"/>
        <w:jc w:val="both"/>
        <w:outlineLvl w:val="1"/>
        <w:rPr>
          <w:del w:id="10838" w:author="AbbVie1" w:date="2025-05-13T10:11:00Z"/>
        </w:rPr>
      </w:pPr>
      <w:del w:id="10839" w:author="AbbVie1" w:date="2025-05-13T10:11:00Z">
        <w:r w:rsidRPr="001B4A02">
          <w:rPr>
            <w:b/>
          </w:rPr>
          <w:delText>5.</w:delText>
        </w:r>
        <w:r w:rsidRPr="001B4A02">
          <w:rPr>
            <w:b/>
          </w:rPr>
          <w:tab/>
          <w:delText>J</w:delText>
        </w:r>
        <w:r w:rsidR="00845CC2" w:rsidRPr="001B4A02">
          <w:rPr>
            <w:b/>
          </w:rPr>
          <w:delText>ak přípravek Humira uchovávat</w:delText>
        </w:r>
      </w:del>
    </w:p>
    <w:p w14:paraId="66B538F6" w14:textId="77777777" w:rsidR="00073F8F" w:rsidRPr="001B4A02" w:rsidRDefault="00073F8F" w:rsidP="00ED48A3">
      <w:pPr>
        <w:ind w:left="0" w:firstLine="0"/>
        <w:rPr>
          <w:del w:id="10840" w:author="AbbVie1" w:date="2025-05-13T10:11:00Z"/>
        </w:rPr>
      </w:pPr>
    </w:p>
    <w:p w14:paraId="515726A8" w14:textId="77777777" w:rsidR="00073F8F" w:rsidRPr="001B4A02" w:rsidRDefault="00000000" w:rsidP="00ED48A3">
      <w:pPr>
        <w:ind w:left="0" w:firstLine="0"/>
        <w:rPr>
          <w:del w:id="10841" w:author="AbbVie1" w:date="2025-05-13T10:11:00Z"/>
        </w:rPr>
      </w:pPr>
      <w:del w:id="10842" w:author="AbbVie1" w:date="2025-05-13T10:11:00Z">
        <w:r w:rsidRPr="001B4A02">
          <w:delText>Uchovávejte</w:delText>
        </w:r>
        <w:r w:rsidR="00845CC2" w:rsidRPr="001B4A02">
          <w:delText xml:space="preserve"> tento přípravek</w:delText>
        </w:r>
        <w:r w:rsidRPr="001B4A02">
          <w:delText xml:space="preserve"> mimo </w:delText>
        </w:r>
        <w:r w:rsidR="00845CC2" w:rsidRPr="001B4A02">
          <w:delText>dohled</w:delText>
        </w:r>
        <w:r w:rsidR="002378E0">
          <w:delText xml:space="preserve"> a </w:delText>
        </w:r>
        <w:r w:rsidRPr="001B4A02">
          <w:delText>dosah dětí.</w:delText>
        </w:r>
      </w:del>
    </w:p>
    <w:p w14:paraId="1772ED73" w14:textId="77777777" w:rsidR="00073F8F" w:rsidRPr="001B4A02" w:rsidRDefault="00073F8F" w:rsidP="00ED48A3">
      <w:pPr>
        <w:pStyle w:val="EndnoteText"/>
        <w:ind w:left="0" w:firstLine="0"/>
        <w:rPr>
          <w:del w:id="10843" w:author="AbbVie1" w:date="2025-05-13T10:11:00Z"/>
          <w:lang w:val="cs-CZ"/>
        </w:rPr>
      </w:pPr>
    </w:p>
    <w:p w14:paraId="2F0C1644" w14:textId="77777777" w:rsidR="00073F8F" w:rsidRPr="001B4A02" w:rsidRDefault="00000000" w:rsidP="00ED48A3">
      <w:pPr>
        <w:ind w:left="0" w:firstLine="0"/>
        <w:rPr>
          <w:del w:id="10844" w:author="AbbVie1" w:date="2025-05-13T10:11:00Z"/>
        </w:rPr>
      </w:pPr>
      <w:del w:id="10845" w:author="AbbVie1" w:date="2025-05-13T10:11:00Z">
        <w:r w:rsidRPr="001B4A02">
          <w:delText xml:space="preserve">Nepoužívejte tento přípravek po uplynutí doby použitelnosti uvedené na lahvičce/blistru/krabičce za </w:delText>
        </w:r>
        <w:r w:rsidR="000E191B" w:rsidRPr="001B4A02">
          <w:delText>EXP</w:delText>
        </w:r>
        <w:r w:rsidR="00932C6F" w:rsidRPr="001B4A02">
          <w:delText>.</w:delText>
        </w:r>
      </w:del>
    </w:p>
    <w:p w14:paraId="7DBEFF19" w14:textId="77777777" w:rsidR="00073F8F" w:rsidRPr="001B4A02" w:rsidRDefault="00073F8F" w:rsidP="00ED48A3">
      <w:pPr>
        <w:ind w:left="0" w:firstLine="0"/>
        <w:rPr>
          <w:del w:id="10846" w:author="AbbVie1" w:date="2025-05-13T10:11:00Z"/>
        </w:rPr>
      </w:pPr>
    </w:p>
    <w:p w14:paraId="234D5E77" w14:textId="77777777" w:rsidR="00F309A7" w:rsidRPr="001B4A02" w:rsidRDefault="00000000" w:rsidP="00ED48A3">
      <w:pPr>
        <w:ind w:left="0" w:firstLine="0"/>
        <w:rPr>
          <w:del w:id="10847" w:author="AbbVie1" w:date="2025-05-13T10:11:00Z"/>
        </w:rPr>
      </w:pPr>
      <w:del w:id="10848" w:author="AbbVie1" w:date="2025-05-13T10:11:00Z">
        <w:r w:rsidRPr="001B4A02">
          <w:delText>Uchovávejte v chladničce (2</w:delText>
        </w:r>
        <w:r w:rsidR="001567E8" w:rsidRPr="001B4A02">
          <w:delText xml:space="preserve"> </w:delText>
        </w:r>
        <w:r w:rsidRPr="001B4A02">
          <w:delText>°C</w:delText>
        </w:r>
        <w:r w:rsidR="004E7B71">
          <w:delText xml:space="preserve"> </w:delText>
        </w:r>
        <w:r w:rsidR="008A637C" w:rsidRPr="001B4A02">
          <w:delText>–</w:delText>
        </w:r>
        <w:r w:rsidR="004E7B71">
          <w:delText xml:space="preserve"> </w:delText>
        </w:r>
        <w:r w:rsidRPr="001B4A02">
          <w:delText>8</w:delText>
        </w:r>
        <w:r w:rsidR="001567E8" w:rsidRPr="001B4A02">
          <w:delText xml:space="preserve"> </w:delText>
        </w:r>
        <w:r w:rsidRPr="001B4A02">
          <w:delText>°C). Chraňte před</w:delText>
        </w:r>
        <w:r w:rsidR="00932C6F" w:rsidRPr="001B4A02">
          <w:delText xml:space="preserve"> mrazem.</w:delText>
        </w:r>
      </w:del>
    </w:p>
    <w:p w14:paraId="6A2DC2C9" w14:textId="77777777" w:rsidR="00F309A7" w:rsidRPr="001B4A02" w:rsidRDefault="00F309A7" w:rsidP="00ED48A3">
      <w:pPr>
        <w:ind w:left="0" w:firstLine="0"/>
        <w:rPr>
          <w:del w:id="10849" w:author="AbbVie1" w:date="2025-05-13T10:11:00Z"/>
        </w:rPr>
      </w:pPr>
    </w:p>
    <w:p w14:paraId="789684C3" w14:textId="77777777" w:rsidR="00073F8F" w:rsidRPr="001B4A02" w:rsidRDefault="00000000" w:rsidP="00ED48A3">
      <w:pPr>
        <w:ind w:left="0" w:firstLine="0"/>
        <w:rPr>
          <w:del w:id="10850" w:author="AbbVie1" w:date="2025-05-13T10:11:00Z"/>
        </w:rPr>
      </w:pPr>
      <w:del w:id="10851" w:author="AbbVie1" w:date="2025-05-13T10:11:00Z">
        <w:r w:rsidRPr="001B4A02">
          <w:delText>Uchovávejte injekční lahvičku v krabičce</w:delText>
        </w:r>
        <w:r w:rsidR="00174A18" w:rsidRPr="001B4A02">
          <w:delText>, aby byl přípravek chráněn před světlem</w:delText>
        </w:r>
        <w:r w:rsidRPr="001B4A02">
          <w:delText>.</w:delText>
        </w:r>
      </w:del>
    </w:p>
    <w:p w14:paraId="417034AF" w14:textId="77777777" w:rsidR="002363CB" w:rsidRPr="001B4A02" w:rsidRDefault="002363CB" w:rsidP="00ED48A3">
      <w:pPr>
        <w:ind w:left="0" w:firstLine="0"/>
        <w:rPr>
          <w:del w:id="10852" w:author="AbbVie1" w:date="2025-05-13T10:11:00Z"/>
        </w:rPr>
      </w:pPr>
    </w:p>
    <w:p w14:paraId="08A2038E" w14:textId="77777777" w:rsidR="002363CB" w:rsidRPr="001B4A02" w:rsidRDefault="00000000" w:rsidP="00ED48A3">
      <w:pPr>
        <w:ind w:left="0" w:firstLine="0"/>
        <w:rPr>
          <w:del w:id="10853" w:author="AbbVie1" w:date="2025-05-13T10:11:00Z"/>
        </w:rPr>
      </w:pPr>
      <w:del w:id="10854" w:author="AbbVie1" w:date="2025-05-13T10:11:00Z">
        <w:r w:rsidRPr="001B4A02">
          <w:delText>Nevyhazujte žádné léčivé přípravky do odpadních vod nebo domácího odpadu. Zeptejte se svého léká</w:delText>
        </w:r>
        <w:r w:rsidR="00084DA1" w:rsidRPr="001B4A02">
          <w:delText>r</w:delText>
        </w:r>
        <w:r w:rsidRPr="001B4A02">
          <w:delText>níka, jak naložit s přípravky, které již nepoužíváte. Tato opatření pomáhají chránit životní prostředí.</w:delText>
        </w:r>
      </w:del>
    </w:p>
    <w:p w14:paraId="4A6F1A3B" w14:textId="77777777" w:rsidR="00073F8F" w:rsidRPr="001B4A02" w:rsidRDefault="00073F8F" w:rsidP="00ED48A3">
      <w:pPr>
        <w:ind w:left="0" w:firstLine="0"/>
        <w:rPr>
          <w:del w:id="10855" w:author="AbbVie1" w:date="2025-05-13T10:11:00Z"/>
        </w:rPr>
      </w:pPr>
    </w:p>
    <w:p w14:paraId="234E1364" w14:textId="77777777" w:rsidR="00225D61" w:rsidRPr="001B4A02" w:rsidRDefault="00225D61" w:rsidP="00ED48A3">
      <w:pPr>
        <w:ind w:left="0" w:firstLine="0"/>
        <w:rPr>
          <w:del w:id="10856" w:author="AbbVie1" w:date="2025-05-13T10:11:00Z"/>
        </w:rPr>
      </w:pPr>
    </w:p>
    <w:p w14:paraId="054AA186" w14:textId="77777777" w:rsidR="00073F8F" w:rsidRPr="001B4A02" w:rsidRDefault="00000000" w:rsidP="00995407">
      <w:pPr>
        <w:numPr>
          <w:ilvl w:val="12"/>
          <w:numId w:val="0"/>
        </w:numPr>
        <w:ind w:left="567" w:hanging="567"/>
        <w:jc w:val="both"/>
        <w:outlineLvl w:val="1"/>
        <w:rPr>
          <w:del w:id="10857" w:author="AbbVie1" w:date="2025-05-13T10:11:00Z"/>
        </w:rPr>
      </w:pPr>
      <w:del w:id="10858" w:author="AbbVie1" w:date="2025-05-13T10:11:00Z">
        <w:r w:rsidRPr="001B4A02">
          <w:rPr>
            <w:b/>
          </w:rPr>
          <w:delText>6.</w:delText>
        </w:r>
        <w:r w:rsidRPr="001B4A02">
          <w:rPr>
            <w:b/>
          </w:rPr>
          <w:tab/>
        </w:r>
        <w:r w:rsidR="009158A6" w:rsidRPr="001B4A02">
          <w:rPr>
            <w:b/>
          </w:rPr>
          <w:delText>Obsah balení</w:delText>
        </w:r>
        <w:r w:rsidR="002378E0">
          <w:rPr>
            <w:b/>
          </w:rPr>
          <w:delText xml:space="preserve"> a </w:delText>
        </w:r>
        <w:r w:rsidR="009158A6" w:rsidRPr="001B4A02">
          <w:rPr>
            <w:b/>
          </w:rPr>
          <w:delText>další informace</w:delText>
        </w:r>
      </w:del>
    </w:p>
    <w:p w14:paraId="1B233C04" w14:textId="77777777" w:rsidR="00073F8F" w:rsidRPr="001B4A02" w:rsidRDefault="00073F8F" w:rsidP="0009084E">
      <w:pPr>
        <w:numPr>
          <w:ilvl w:val="12"/>
          <w:numId w:val="0"/>
        </w:numPr>
        <w:rPr>
          <w:del w:id="10859" w:author="AbbVie1" w:date="2025-05-13T10:11:00Z"/>
        </w:rPr>
      </w:pPr>
    </w:p>
    <w:p w14:paraId="31C230FB" w14:textId="77777777" w:rsidR="00073F8F" w:rsidRPr="001B4A02" w:rsidRDefault="00000000" w:rsidP="0009084E">
      <w:pPr>
        <w:ind w:left="0" w:firstLine="0"/>
        <w:rPr>
          <w:del w:id="10860" w:author="AbbVie1" w:date="2025-05-13T10:11:00Z"/>
          <w:bCs/>
        </w:rPr>
      </w:pPr>
      <w:del w:id="10861" w:author="AbbVie1" w:date="2025-05-13T10:11:00Z">
        <w:r w:rsidRPr="001B4A02">
          <w:rPr>
            <w:b/>
            <w:bCs/>
          </w:rPr>
          <w:delText xml:space="preserve">Co </w:delText>
        </w:r>
        <w:r w:rsidR="00264669" w:rsidRPr="001B4A02">
          <w:rPr>
            <w:b/>
          </w:rPr>
          <w:delText xml:space="preserve">přípravek </w:delText>
        </w:r>
        <w:r w:rsidRPr="001B4A02">
          <w:rPr>
            <w:b/>
            <w:bCs/>
          </w:rPr>
          <w:delText>Humira obsahuje</w:delText>
        </w:r>
      </w:del>
    </w:p>
    <w:p w14:paraId="01DDEAA0" w14:textId="77777777" w:rsidR="00073F8F" w:rsidRPr="001B4A02" w:rsidRDefault="00073F8F" w:rsidP="0009084E">
      <w:pPr>
        <w:numPr>
          <w:ilvl w:val="12"/>
          <w:numId w:val="0"/>
        </w:numPr>
        <w:rPr>
          <w:del w:id="10862" w:author="AbbVie1" w:date="2025-05-13T10:11:00Z"/>
          <w:bCs/>
        </w:rPr>
      </w:pPr>
    </w:p>
    <w:p w14:paraId="397E9CA5" w14:textId="77777777" w:rsidR="00073F8F" w:rsidRPr="001B4A02" w:rsidRDefault="00000000" w:rsidP="0009084E">
      <w:pPr>
        <w:ind w:left="0" w:firstLine="0"/>
        <w:rPr>
          <w:del w:id="10863" w:author="AbbVie1" w:date="2025-05-13T10:11:00Z"/>
        </w:rPr>
      </w:pPr>
      <w:del w:id="10864" w:author="AbbVie1" w:date="2025-05-13T10:11:00Z">
        <w:r w:rsidRPr="001B4A02">
          <w:delText>Léčivou látkou je adalimumab</w:delText>
        </w:r>
        <w:r w:rsidR="00827431" w:rsidRPr="001B4A02">
          <w:delText>um</w:delText>
        </w:r>
        <w:r w:rsidRPr="001B4A02">
          <w:delText>.</w:delText>
        </w:r>
      </w:del>
    </w:p>
    <w:p w14:paraId="494C3957" w14:textId="77777777" w:rsidR="00073F8F" w:rsidRPr="001B4A02" w:rsidRDefault="00000000" w:rsidP="0009084E">
      <w:pPr>
        <w:ind w:left="0" w:firstLine="0"/>
        <w:rPr>
          <w:del w:id="10865" w:author="AbbVie1" w:date="2025-05-13T10:11:00Z"/>
        </w:rPr>
      </w:pPr>
      <w:del w:id="10866" w:author="AbbVie1" w:date="2025-05-13T10:11:00Z">
        <w:r w:rsidRPr="001B4A02">
          <w:delText>Pomocn</w:delText>
        </w:r>
        <w:r w:rsidR="00E91CB6" w:rsidRPr="001B4A02">
          <w:delText>ými</w:delText>
        </w:r>
        <w:r w:rsidRPr="001B4A02">
          <w:delText xml:space="preserve"> látk</w:delText>
        </w:r>
        <w:r w:rsidR="00E91CB6" w:rsidRPr="001B4A02">
          <w:delText>ami</w:delText>
        </w:r>
        <w:r w:rsidRPr="001B4A02">
          <w:delText xml:space="preserve"> jsou mannitol, monohydrát kyseliny citronové, dihydrát </w:delText>
        </w:r>
        <w:r w:rsidR="007A4774" w:rsidRPr="001B4A02">
          <w:delText>natrium-citrátu</w:delText>
        </w:r>
        <w:r w:rsidRPr="001B4A02">
          <w:delText>, dihydrát dihydrogenfosforečnanu sodného, dihydrát hydrogenfosforečnanu sodného, chlorid sodný, polysorbát 80, hydroxid sodný</w:delText>
        </w:r>
        <w:r w:rsidR="002378E0">
          <w:delText xml:space="preserve"> a </w:delText>
        </w:r>
        <w:r w:rsidRPr="001B4A02">
          <w:delText xml:space="preserve">voda </w:delText>
        </w:r>
        <w:r w:rsidR="00202301" w:rsidRPr="001B4A02">
          <w:delText>pro</w:delText>
        </w:r>
        <w:r w:rsidRPr="001B4A02">
          <w:delText xml:space="preserve"> injekci.</w:delText>
        </w:r>
      </w:del>
    </w:p>
    <w:p w14:paraId="0C408F75" w14:textId="77777777" w:rsidR="00D427E8" w:rsidRPr="001B4A02" w:rsidRDefault="00D427E8" w:rsidP="0009084E">
      <w:pPr>
        <w:ind w:left="0" w:firstLine="0"/>
        <w:rPr>
          <w:del w:id="10867" w:author="AbbVie1" w:date="2025-05-13T10:11:00Z"/>
        </w:rPr>
      </w:pPr>
    </w:p>
    <w:p w14:paraId="23CC2E9B" w14:textId="77777777" w:rsidR="00073F8F" w:rsidRPr="001B4A02" w:rsidRDefault="00000000" w:rsidP="0009084E">
      <w:pPr>
        <w:numPr>
          <w:ilvl w:val="12"/>
          <w:numId w:val="0"/>
        </w:numPr>
        <w:rPr>
          <w:del w:id="10868" w:author="AbbVie1" w:date="2025-05-13T10:11:00Z"/>
          <w:b/>
          <w:bCs/>
        </w:rPr>
      </w:pPr>
      <w:del w:id="10869" w:author="AbbVie1" w:date="2025-05-13T10:11:00Z">
        <w:r w:rsidRPr="001B4A02">
          <w:rPr>
            <w:b/>
            <w:bCs/>
          </w:rPr>
          <w:delText>Jak přípravek Humira injekční roztok v injekční lahvičce vypadá</w:delText>
        </w:r>
        <w:r w:rsidR="002378E0">
          <w:rPr>
            <w:b/>
            <w:bCs/>
          </w:rPr>
          <w:delText xml:space="preserve"> a </w:delText>
        </w:r>
        <w:r w:rsidRPr="001B4A02">
          <w:rPr>
            <w:b/>
            <w:bCs/>
          </w:rPr>
          <w:delText>co obsahuje toto balení</w:delText>
        </w:r>
      </w:del>
    </w:p>
    <w:p w14:paraId="6B24C580" w14:textId="77777777" w:rsidR="00D427E8" w:rsidRPr="001B4A02" w:rsidRDefault="00D427E8" w:rsidP="0009084E">
      <w:pPr>
        <w:ind w:left="0" w:firstLine="0"/>
        <w:rPr>
          <w:del w:id="10870" w:author="AbbVie1" w:date="2025-05-13T10:11:00Z"/>
          <w:b/>
        </w:rPr>
      </w:pPr>
    </w:p>
    <w:p w14:paraId="7CB9AD7E" w14:textId="77777777" w:rsidR="00073F8F" w:rsidRPr="001B4A02" w:rsidRDefault="00000000" w:rsidP="0009084E">
      <w:pPr>
        <w:ind w:left="0" w:firstLine="0"/>
        <w:rPr>
          <w:del w:id="10871" w:author="AbbVie1" w:date="2025-05-13T10:11:00Z"/>
        </w:rPr>
      </w:pPr>
      <w:del w:id="10872" w:author="AbbVie1" w:date="2025-05-13T10:11:00Z">
        <w:r w:rsidRPr="001B4A02">
          <w:delText xml:space="preserve">Přípravek Humira 40 mg injekční roztok v injekční lahvičce je </w:delText>
        </w:r>
        <w:r w:rsidR="00FC7725" w:rsidRPr="001B4A02">
          <w:delText>k dispozici</w:delText>
        </w:r>
        <w:r w:rsidRPr="001B4A02">
          <w:delText xml:space="preserve"> jako sterilní roztok 40</w:delText>
        </w:r>
        <w:r w:rsidR="00874DE1">
          <w:delText> mg</w:delText>
        </w:r>
        <w:r w:rsidRPr="001B4A02">
          <w:delText xml:space="preserve"> adalimumabu, rozpuštěného v 0,8</w:delText>
        </w:r>
        <w:r w:rsidR="00874DE1" w:rsidRPr="00005EC2">
          <w:rPr>
            <w:szCs w:val="22"/>
          </w:rPr>
          <w:delText> </w:delText>
        </w:r>
        <w:r w:rsidRPr="001B4A02">
          <w:delText>ml roztoku.</w:delText>
        </w:r>
      </w:del>
    </w:p>
    <w:p w14:paraId="7A41AD7C" w14:textId="77777777" w:rsidR="00073F8F" w:rsidRPr="001B4A02" w:rsidRDefault="00073F8F" w:rsidP="0009084E">
      <w:pPr>
        <w:ind w:left="0" w:firstLine="0"/>
        <w:rPr>
          <w:del w:id="10873" w:author="AbbVie1" w:date="2025-05-13T10:11:00Z"/>
        </w:rPr>
      </w:pPr>
    </w:p>
    <w:p w14:paraId="44A971D9" w14:textId="77777777" w:rsidR="00073F8F" w:rsidRPr="001B4A02" w:rsidRDefault="00000000" w:rsidP="0009084E">
      <w:pPr>
        <w:ind w:left="0" w:firstLine="0"/>
        <w:rPr>
          <w:del w:id="10874" w:author="AbbVie1" w:date="2025-05-13T10:11:00Z"/>
        </w:rPr>
      </w:pPr>
      <w:del w:id="10875" w:author="AbbVie1" w:date="2025-05-13T10:11:00Z">
        <w:r w:rsidRPr="001B4A02">
          <w:delText>Přípravek Humira injekční roztok v injekční lahvičce je skleněná injekční lahvička, která obsahuje roztok ada</w:delText>
        </w:r>
        <w:r w:rsidR="007930C0" w:rsidRPr="001B4A02">
          <w:delText xml:space="preserve">limumabu. Jedno balení obsahuje </w:delText>
        </w:r>
        <w:r w:rsidR="00FE1AFD" w:rsidRPr="001B4A02">
          <w:delText xml:space="preserve">2 krabičky, z nichž každá obsahuje </w:delText>
        </w:r>
        <w:r w:rsidRPr="001B4A02">
          <w:delText>1 injekční lahvičku</w:delText>
        </w:r>
        <w:r w:rsidR="00FE1AFD" w:rsidRPr="001B4A02">
          <w:delText>, 1</w:delText>
        </w:r>
        <w:r w:rsidRPr="001B4A02">
          <w:delText xml:space="preserve"> prázdnou sterilní injekční stříkačku</w:delText>
        </w:r>
        <w:r w:rsidR="00FE1AFD" w:rsidRPr="001B4A02">
          <w:delText xml:space="preserve">, 1 jehlu, 1 adaptér </w:delText>
        </w:r>
        <w:r w:rsidR="00A7712A" w:rsidRPr="001B4A02">
          <w:delText>k</w:delText>
        </w:r>
        <w:r w:rsidR="007930C0" w:rsidRPr="001B4A02">
          <w:delText> </w:delText>
        </w:r>
        <w:r w:rsidR="00FE1AFD" w:rsidRPr="001B4A02">
          <w:delText>lahvič</w:delText>
        </w:r>
        <w:r w:rsidR="00A7712A" w:rsidRPr="001B4A02">
          <w:delText>ce</w:delText>
        </w:r>
        <w:r w:rsidR="002378E0">
          <w:delText xml:space="preserve"> a </w:delText>
        </w:r>
        <w:r w:rsidRPr="001B4A02">
          <w:delText>2 tampóny napuštěné alkoholem.</w:delText>
        </w:r>
      </w:del>
    </w:p>
    <w:p w14:paraId="338158CA" w14:textId="77777777" w:rsidR="00D427E8" w:rsidRPr="001B4A02" w:rsidRDefault="00D427E8" w:rsidP="0009084E">
      <w:pPr>
        <w:ind w:left="0" w:firstLine="0"/>
        <w:rPr>
          <w:del w:id="10876" w:author="AbbVie1" w:date="2025-05-13T10:11:00Z"/>
        </w:rPr>
      </w:pPr>
    </w:p>
    <w:p w14:paraId="043817C0" w14:textId="77777777" w:rsidR="00073F8F" w:rsidRPr="001B4A02" w:rsidRDefault="00000000" w:rsidP="0009084E">
      <w:pPr>
        <w:numPr>
          <w:ilvl w:val="12"/>
          <w:numId w:val="0"/>
        </w:numPr>
        <w:rPr>
          <w:del w:id="10877" w:author="AbbVie1" w:date="2025-05-13T10:11:00Z"/>
        </w:rPr>
      </w:pPr>
      <w:del w:id="10878" w:author="AbbVie1" w:date="2025-05-13T10:11:00Z">
        <w:r w:rsidRPr="001B4A02">
          <w:delText>Přípravek Humira je k </w:delText>
        </w:r>
        <w:r w:rsidR="00C92B1C" w:rsidRPr="001B4A02">
          <w:delText>dispozici</w:delText>
        </w:r>
        <w:r w:rsidRPr="001B4A02">
          <w:delText xml:space="preserve"> jako </w:delText>
        </w:r>
        <w:r w:rsidR="009A1B2D" w:rsidRPr="001B4A02">
          <w:delText xml:space="preserve">injekční lahvička, </w:delText>
        </w:r>
        <w:r w:rsidRPr="001B4A02">
          <w:delText xml:space="preserve">předplněná injekční stříkačka </w:delText>
        </w:r>
        <w:r w:rsidR="007636F9" w:rsidRPr="001B4A02">
          <w:delText>a/</w:delText>
        </w:r>
        <w:r w:rsidRPr="001B4A02">
          <w:delText>nebo předplněné pero.</w:delText>
        </w:r>
      </w:del>
    </w:p>
    <w:p w14:paraId="76F3D678" w14:textId="77777777" w:rsidR="00073F8F" w:rsidRPr="001B4A02" w:rsidRDefault="00073F8F" w:rsidP="0009084E">
      <w:pPr>
        <w:ind w:left="0" w:firstLine="0"/>
        <w:rPr>
          <w:del w:id="10879" w:author="AbbVie1" w:date="2025-05-13T10:11:00Z"/>
        </w:rPr>
      </w:pPr>
    </w:p>
    <w:p w14:paraId="0377C2DE" w14:textId="77777777" w:rsidR="00073F8F" w:rsidRPr="001B4A02" w:rsidRDefault="00000000" w:rsidP="0009084E">
      <w:pPr>
        <w:ind w:left="0" w:firstLine="0"/>
        <w:rPr>
          <w:del w:id="10880" w:author="AbbVie1" w:date="2025-05-13T10:11:00Z"/>
          <w:b/>
        </w:rPr>
      </w:pPr>
      <w:del w:id="10881" w:author="AbbVie1" w:date="2025-05-13T10:11:00Z">
        <w:r w:rsidRPr="001B4A02">
          <w:rPr>
            <w:b/>
          </w:rPr>
          <w:delText>Držitel rozhodnutí o registraci</w:delText>
        </w:r>
      </w:del>
    </w:p>
    <w:p w14:paraId="247B6923" w14:textId="77777777" w:rsidR="00073F8F" w:rsidRPr="001B4A02" w:rsidRDefault="00073F8F" w:rsidP="0009084E">
      <w:pPr>
        <w:ind w:left="0" w:firstLine="0"/>
        <w:rPr>
          <w:del w:id="10882" w:author="AbbVie1" w:date="2025-05-13T10:11:00Z"/>
        </w:rPr>
      </w:pPr>
    </w:p>
    <w:p w14:paraId="2D7D16D1" w14:textId="77777777" w:rsidR="00E86403" w:rsidRPr="001B4A02" w:rsidRDefault="00000000" w:rsidP="0009084E">
      <w:pPr>
        <w:keepNext/>
        <w:autoSpaceDE w:val="0"/>
        <w:autoSpaceDN w:val="0"/>
        <w:adjustRightInd w:val="0"/>
        <w:ind w:left="0" w:firstLine="0"/>
        <w:rPr>
          <w:del w:id="10883" w:author="AbbVie1" w:date="2025-05-13T10:11:00Z"/>
          <w:szCs w:val="22"/>
          <w:lang w:eastAsia="en-GB"/>
        </w:rPr>
      </w:pPr>
      <w:del w:id="10884" w:author="AbbVie1" w:date="2025-05-13T10:11:00Z">
        <w:r w:rsidRPr="001B4A02">
          <w:rPr>
            <w:szCs w:val="22"/>
            <w:lang w:eastAsia="en-GB"/>
          </w:rPr>
          <w:delText>AbbVie Deutschland GmbH &amp; Co. KG</w:delText>
        </w:r>
      </w:del>
    </w:p>
    <w:p w14:paraId="32E1251F" w14:textId="77777777" w:rsidR="00E86403" w:rsidRPr="001B4A02" w:rsidRDefault="00000000" w:rsidP="0009084E">
      <w:pPr>
        <w:keepNext/>
        <w:autoSpaceDE w:val="0"/>
        <w:autoSpaceDN w:val="0"/>
        <w:adjustRightInd w:val="0"/>
        <w:ind w:left="0" w:firstLine="0"/>
        <w:rPr>
          <w:del w:id="10885" w:author="AbbVie1" w:date="2025-05-13T10:11:00Z"/>
          <w:szCs w:val="22"/>
          <w:lang w:eastAsia="en-GB"/>
        </w:rPr>
      </w:pPr>
      <w:del w:id="10886" w:author="AbbVie1" w:date="2025-05-13T10:11:00Z">
        <w:r w:rsidRPr="001B4A02">
          <w:rPr>
            <w:szCs w:val="22"/>
            <w:lang w:eastAsia="en-GB"/>
          </w:rPr>
          <w:delText>Knollstrasse</w:delText>
        </w:r>
      </w:del>
    </w:p>
    <w:p w14:paraId="0259DDE6" w14:textId="77777777" w:rsidR="00E86403" w:rsidRPr="001B4A02" w:rsidRDefault="00000000" w:rsidP="0009084E">
      <w:pPr>
        <w:keepNext/>
        <w:autoSpaceDE w:val="0"/>
        <w:autoSpaceDN w:val="0"/>
        <w:adjustRightInd w:val="0"/>
        <w:ind w:left="0" w:firstLine="0"/>
        <w:rPr>
          <w:del w:id="10887" w:author="AbbVie1" w:date="2025-05-13T10:11:00Z"/>
          <w:szCs w:val="22"/>
          <w:lang w:eastAsia="en-GB"/>
        </w:rPr>
      </w:pPr>
      <w:del w:id="10888" w:author="AbbVie1" w:date="2025-05-13T10:11:00Z">
        <w:r w:rsidRPr="001B4A02">
          <w:rPr>
            <w:szCs w:val="22"/>
            <w:lang w:eastAsia="en-GB"/>
          </w:rPr>
          <w:delText>67061 Ludwigshafen</w:delText>
        </w:r>
      </w:del>
    </w:p>
    <w:p w14:paraId="4CA2668B" w14:textId="77777777" w:rsidR="00073F8F" w:rsidRPr="001B4A02" w:rsidRDefault="00000000" w:rsidP="0009084E">
      <w:pPr>
        <w:ind w:left="0" w:firstLine="0"/>
        <w:rPr>
          <w:del w:id="10889" w:author="AbbVie1" w:date="2025-05-13T10:11:00Z"/>
        </w:rPr>
      </w:pPr>
      <w:del w:id="10890" w:author="AbbVie1" w:date="2025-05-13T10:11:00Z">
        <w:r w:rsidRPr="001B4A02">
          <w:rPr>
            <w:szCs w:val="22"/>
            <w:lang w:eastAsia="en-GB"/>
          </w:rPr>
          <w:delText>Německo</w:delText>
        </w:r>
      </w:del>
    </w:p>
    <w:p w14:paraId="0D44BFDD" w14:textId="77777777" w:rsidR="00E82959" w:rsidRPr="001B4A02" w:rsidRDefault="00E82959" w:rsidP="0009084E">
      <w:pPr>
        <w:ind w:left="0" w:firstLine="0"/>
        <w:rPr>
          <w:del w:id="10891" w:author="AbbVie1" w:date="2025-05-13T10:11:00Z"/>
        </w:rPr>
      </w:pPr>
    </w:p>
    <w:p w14:paraId="218131D7" w14:textId="77777777" w:rsidR="00073F8F" w:rsidRPr="001B4A02" w:rsidRDefault="00000000" w:rsidP="0009084E">
      <w:pPr>
        <w:ind w:left="0" w:firstLine="0"/>
        <w:rPr>
          <w:del w:id="10892" w:author="AbbVie1" w:date="2025-05-13T10:11:00Z"/>
          <w:b/>
        </w:rPr>
      </w:pPr>
      <w:del w:id="10893" w:author="AbbVie1" w:date="2025-05-13T10:11:00Z">
        <w:r w:rsidRPr="001B4A02">
          <w:rPr>
            <w:b/>
          </w:rPr>
          <w:delText>Výrobce</w:delText>
        </w:r>
      </w:del>
    </w:p>
    <w:p w14:paraId="7461D38D" w14:textId="77777777" w:rsidR="00073F8F" w:rsidRPr="001B4A02" w:rsidRDefault="00073F8F" w:rsidP="0009084E">
      <w:pPr>
        <w:ind w:left="0" w:firstLine="0"/>
        <w:rPr>
          <w:del w:id="10894" w:author="AbbVie1" w:date="2025-05-13T10:11:00Z"/>
        </w:rPr>
      </w:pPr>
    </w:p>
    <w:p w14:paraId="67FDCF3E" w14:textId="77777777" w:rsidR="00EE07EB" w:rsidRPr="001B4A02" w:rsidRDefault="00000000" w:rsidP="0009084E">
      <w:pPr>
        <w:ind w:left="0" w:firstLine="0"/>
        <w:rPr>
          <w:del w:id="10895" w:author="AbbVie1" w:date="2025-05-13T10:11:00Z"/>
        </w:rPr>
      </w:pPr>
      <w:del w:id="10896" w:author="AbbVie1" w:date="2025-05-13T10:11:00Z">
        <w:r w:rsidRPr="001B4A02">
          <w:delText>AbbVie Biotechnology GmbH</w:delText>
        </w:r>
      </w:del>
    </w:p>
    <w:p w14:paraId="0F0463A7" w14:textId="77777777" w:rsidR="00EE07EB" w:rsidRPr="001B4A02" w:rsidRDefault="00000000" w:rsidP="0009084E">
      <w:pPr>
        <w:numPr>
          <w:ilvl w:val="12"/>
          <w:numId w:val="0"/>
        </w:numPr>
        <w:tabs>
          <w:tab w:val="left" w:pos="720"/>
        </w:tabs>
        <w:rPr>
          <w:del w:id="10897" w:author="AbbVie1" w:date="2025-05-13T10:11:00Z"/>
        </w:rPr>
      </w:pPr>
      <w:del w:id="10898" w:author="AbbVie1" w:date="2025-05-13T10:11:00Z">
        <w:r w:rsidRPr="001B4A02">
          <w:delText>Knollstrasse</w:delText>
        </w:r>
      </w:del>
    </w:p>
    <w:p w14:paraId="366FC740" w14:textId="77777777" w:rsidR="00EE07EB" w:rsidRPr="001B4A02" w:rsidRDefault="00000000" w:rsidP="0009084E">
      <w:pPr>
        <w:numPr>
          <w:ilvl w:val="12"/>
          <w:numId w:val="0"/>
        </w:numPr>
        <w:tabs>
          <w:tab w:val="left" w:pos="720"/>
        </w:tabs>
        <w:rPr>
          <w:del w:id="10899" w:author="AbbVie1" w:date="2025-05-13T10:11:00Z"/>
        </w:rPr>
      </w:pPr>
      <w:del w:id="10900" w:author="AbbVie1" w:date="2025-05-13T10:11:00Z">
        <w:r w:rsidRPr="001B4A02">
          <w:delText>67061 Ludwigshafen</w:delText>
        </w:r>
      </w:del>
    </w:p>
    <w:p w14:paraId="793BA3F5" w14:textId="77777777" w:rsidR="00EE07EB" w:rsidRPr="001B4A02" w:rsidRDefault="00000000" w:rsidP="0009084E">
      <w:pPr>
        <w:numPr>
          <w:ilvl w:val="12"/>
          <w:numId w:val="0"/>
        </w:numPr>
        <w:tabs>
          <w:tab w:val="left" w:pos="720"/>
        </w:tabs>
        <w:rPr>
          <w:del w:id="10901" w:author="AbbVie1" w:date="2025-05-13T10:11:00Z"/>
        </w:rPr>
      </w:pPr>
      <w:del w:id="10902" w:author="AbbVie1" w:date="2025-05-13T10:11:00Z">
        <w:r w:rsidRPr="001B4A02">
          <w:delText>Německo</w:delText>
        </w:r>
      </w:del>
    </w:p>
    <w:p w14:paraId="000DF9AD" w14:textId="77777777" w:rsidR="00EE07EB" w:rsidRPr="001B4A02" w:rsidRDefault="00EE07EB" w:rsidP="0009084E">
      <w:pPr>
        <w:ind w:left="0" w:firstLine="0"/>
        <w:rPr>
          <w:del w:id="10903" w:author="AbbVie1" w:date="2025-05-13T10:11:00Z"/>
        </w:rPr>
      </w:pPr>
    </w:p>
    <w:p w14:paraId="33300524" w14:textId="77777777" w:rsidR="00091412" w:rsidRPr="001B4A02" w:rsidRDefault="00000000" w:rsidP="0009084E">
      <w:pPr>
        <w:ind w:left="0" w:firstLine="0"/>
        <w:rPr>
          <w:del w:id="10904" w:author="AbbVie1" w:date="2025-05-13T10:11:00Z"/>
        </w:rPr>
      </w:pPr>
      <w:del w:id="10905" w:author="AbbVie1" w:date="2025-05-13T10:11:00Z">
        <w:r w:rsidRPr="001B4A02">
          <w:delText>Další informace o tomto přípravku získáte u místního zástupce držitele rozhodnutí o registraci.</w:delText>
        </w:r>
      </w:del>
    </w:p>
    <w:p w14:paraId="5441FEC2" w14:textId="77777777" w:rsidR="00D14447" w:rsidRPr="001B4A02" w:rsidRDefault="00D14447" w:rsidP="00ED48A3">
      <w:pPr>
        <w:rPr>
          <w:del w:id="10906" w:author="AbbVie1" w:date="2025-05-13T10:11:00Z"/>
          <w:sz w:val="24"/>
          <w:szCs w:val="24"/>
        </w:rPr>
      </w:pPr>
    </w:p>
    <w:tbl>
      <w:tblPr>
        <w:tblW w:w="9356" w:type="dxa"/>
        <w:tblInd w:w="-34" w:type="dxa"/>
        <w:tblLayout w:type="fixed"/>
        <w:tblLook w:val="0000" w:firstRow="0" w:lastRow="0" w:firstColumn="0" w:lastColumn="0" w:noHBand="0" w:noVBand="0"/>
      </w:tblPr>
      <w:tblGrid>
        <w:gridCol w:w="34"/>
        <w:gridCol w:w="4610"/>
        <w:gridCol w:w="34"/>
        <w:gridCol w:w="4678"/>
      </w:tblGrid>
      <w:tr w:rsidR="00534A2D" w14:paraId="2BA5B5CD" w14:textId="77777777" w:rsidTr="001F79B0">
        <w:trPr>
          <w:del w:id="10907" w:author="AbbVie1" w:date="2025-05-13T10:11:00Z"/>
        </w:trPr>
        <w:tc>
          <w:tcPr>
            <w:tcW w:w="4644" w:type="dxa"/>
            <w:gridSpan w:val="2"/>
          </w:tcPr>
          <w:p w14:paraId="02D7474D" w14:textId="77777777" w:rsidR="00171291" w:rsidRPr="00BD646C" w:rsidRDefault="00000000" w:rsidP="001F79B0">
            <w:pPr>
              <w:rPr>
                <w:del w:id="10908" w:author="AbbVie1" w:date="2025-05-13T10:11:00Z"/>
                <w:b/>
                <w:bCs/>
                <w:szCs w:val="22"/>
                <w:lang w:val="fr-BE"/>
              </w:rPr>
            </w:pPr>
            <w:del w:id="10909" w:author="AbbVie1" w:date="2025-05-13T10:11:00Z">
              <w:r w:rsidRPr="00BD646C">
                <w:rPr>
                  <w:b/>
                  <w:bCs/>
                  <w:szCs w:val="22"/>
                  <w:lang w:val="fr-BE"/>
                </w:rPr>
                <w:delText>België/Belgique/Belgien</w:delText>
              </w:r>
            </w:del>
          </w:p>
          <w:p w14:paraId="17D6FAE4" w14:textId="77777777" w:rsidR="00171291" w:rsidRPr="00BD646C" w:rsidRDefault="00000000" w:rsidP="001F79B0">
            <w:pPr>
              <w:rPr>
                <w:del w:id="10910" w:author="AbbVie1" w:date="2025-05-13T10:11:00Z"/>
                <w:bCs/>
                <w:szCs w:val="22"/>
                <w:lang w:val="fr-FR"/>
              </w:rPr>
            </w:pPr>
            <w:del w:id="10911" w:author="AbbVie1" w:date="2025-05-13T10:11:00Z">
              <w:r w:rsidRPr="00BD646C">
                <w:rPr>
                  <w:bCs/>
                  <w:szCs w:val="22"/>
                  <w:lang w:val="fr-FR"/>
                </w:rPr>
                <w:delText>AbbVie SA</w:delText>
              </w:r>
            </w:del>
          </w:p>
          <w:p w14:paraId="2D63ACDC" w14:textId="77777777" w:rsidR="00171291" w:rsidRPr="00BD646C" w:rsidRDefault="00000000" w:rsidP="001F79B0">
            <w:pPr>
              <w:rPr>
                <w:del w:id="10912" w:author="AbbVie1" w:date="2025-05-13T10:11:00Z"/>
                <w:szCs w:val="22"/>
                <w:lang w:val="fr-FR"/>
              </w:rPr>
            </w:pPr>
            <w:del w:id="10913" w:author="AbbVie1" w:date="2025-05-13T10:11:00Z">
              <w:r w:rsidRPr="00BD646C">
                <w:rPr>
                  <w:bCs/>
                  <w:szCs w:val="22"/>
                  <w:lang w:val="fr-FR"/>
                </w:rPr>
                <w:delText xml:space="preserve">Tél/Tel: +32 10 </w:delText>
              </w:r>
              <w:r w:rsidRPr="00BD646C">
                <w:rPr>
                  <w:szCs w:val="22"/>
                  <w:lang w:val="fr-FR"/>
                </w:rPr>
                <w:delText>477811</w:delText>
              </w:r>
            </w:del>
          </w:p>
          <w:p w14:paraId="63EB4EF5" w14:textId="77777777" w:rsidR="00171291" w:rsidRPr="00BD646C" w:rsidRDefault="00171291" w:rsidP="001F79B0">
            <w:pPr>
              <w:rPr>
                <w:del w:id="10914" w:author="AbbVie1" w:date="2025-05-13T10:11:00Z"/>
                <w:bCs/>
                <w:szCs w:val="22"/>
                <w:lang w:val="fr-FR"/>
              </w:rPr>
            </w:pPr>
          </w:p>
        </w:tc>
        <w:tc>
          <w:tcPr>
            <w:tcW w:w="4678" w:type="dxa"/>
            <w:gridSpan w:val="2"/>
          </w:tcPr>
          <w:p w14:paraId="55410171" w14:textId="77777777" w:rsidR="00171291" w:rsidRPr="00BD646C" w:rsidRDefault="00000000" w:rsidP="001F79B0">
            <w:pPr>
              <w:rPr>
                <w:del w:id="10915" w:author="AbbVie1" w:date="2025-05-13T10:11:00Z"/>
                <w:b/>
                <w:bCs/>
                <w:szCs w:val="22"/>
                <w:lang w:val="lt-LT"/>
              </w:rPr>
            </w:pPr>
            <w:del w:id="10916" w:author="AbbVie1" w:date="2025-05-13T10:11:00Z">
              <w:r w:rsidRPr="00BD646C">
                <w:rPr>
                  <w:b/>
                  <w:bCs/>
                  <w:szCs w:val="22"/>
                  <w:lang w:val="lt-LT"/>
                </w:rPr>
                <w:delText>Lietuva</w:delText>
              </w:r>
            </w:del>
          </w:p>
          <w:p w14:paraId="39E1303B" w14:textId="77777777" w:rsidR="00171291" w:rsidRPr="00BD646C" w:rsidRDefault="00000000" w:rsidP="001F79B0">
            <w:pPr>
              <w:rPr>
                <w:del w:id="10917" w:author="AbbVie1" w:date="2025-05-13T10:11:00Z"/>
                <w:bCs/>
                <w:szCs w:val="22"/>
                <w:lang w:val="lv-LV"/>
              </w:rPr>
            </w:pPr>
            <w:del w:id="10918" w:author="AbbVie1" w:date="2025-05-13T10:11:00Z">
              <w:r w:rsidRPr="00BD646C">
                <w:rPr>
                  <w:bCs/>
                  <w:szCs w:val="22"/>
                  <w:lang w:val="lv-LV"/>
                </w:rPr>
                <w:delText xml:space="preserve">AbbVie UAB </w:delText>
              </w:r>
            </w:del>
          </w:p>
          <w:p w14:paraId="0F041BA8" w14:textId="77777777" w:rsidR="00171291" w:rsidRPr="00BD646C" w:rsidRDefault="00000000" w:rsidP="001F79B0">
            <w:pPr>
              <w:rPr>
                <w:del w:id="10919" w:author="AbbVie1" w:date="2025-05-13T10:11:00Z"/>
                <w:bCs/>
                <w:szCs w:val="22"/>
                <w:lang w:val="lv-LV"/>
              </w:rPr>
            </w:pPr>
            <w:del w:id="10920" w:author="AbbVie1" w:date="2025-05-13T10:11:00Z">
              <w:r w:rsidRPr="00BD646C">
                <w:rPr>
                  <w:bCs/>
                  <w:szCs w:val="22"/>
                  <w:lang w:val="lv-LV"/>
                </w:rPr>
                <w:delText>Tel: +370 5 205 3023</w:delText>
              </w:r>
            </w:del>
          </w:p>
        </w:tc>
      </w:tr>
      <w:tr w:rsidR="00534A2D" w14:paraId="4C1442DF" w14:textId="77777777" w:rsidTr="001F79B0">
        <w:trPr>
          <w:del w:id="10921" w:author="AbbVie1" w:date="2025-05-13T10:11:00Z"/>
        </w:trPr>
        <w:tc>
          <w:tcPr>
            <w:tcW w:w="4644" w:type="dxa"/>
            <w:gridSpan w:val="2"/>
          </w:tcPr>
          <w:p w14:paraId="0F3C550A" w14:textId="77777777" w:rsidR="00171291" w:rsidRPr="00BD646C" w:rsidRDefault="00000000" w:rsidP="001F79B0">
            <w:pPr>
              <w:rPr>
                <w:del w:id="10922" w:author="AbbVie1" w:date="2025-05-13T10:11:00Z"/>
                <w:b/>
                <w:bCs/>
                <w:szCs w:val="22"/>
                <w:lang w:val="bg-BG"/>
              </w:rPr>
            </w:pPr>
            <w:del w:id="10923" w:author="AbbVie1" w:date="2025-05-13T10:11:00Z">
              <w:r w:rsidRPr="00BD646C">
                <w:rPr>
                  <w:b/>
                  <w:bCs/>
                  <w:szCs w:val="22"/>
                  <w:lang w:val="bg-BG"/>
                </w:rPr>
                <w:delText>България</w:delText>
              </w:r>
            </w:del>
          </w:p>
          <w:p w14:paraId="189712C3" w14:textId="77777777" w:rsidR="00171291" w:rsidRPr="00BD646C" w:rsidRDefault="00000000" w:rsidP="001F79B0">
            <w:pPr>
              <w:rPr>
                <w:del w:id="10924" w:author="AbbVie1" w:date="2025-05-13T10:11:00Z"/>
                <w:szCs w:val="22"/>
                <w:lang w:val="da-DK"/>
              </w:rPr>
            </w:pPr>
            <w:del w:id="10925" w:author="AbbVie1" w:date="2025-05-13T10:11:00Z">
              <w:r w:rsidRPr="00BD646C">
                <w:rPr>
                  <w:szCs w:val="22"/>
                  <w:lang w:val="sk-SK"/>
                </w:rPr>
                <w:delText>АбВи ЕООД</w:delText>
              </w:r>
            </w:del>
          </w:p>
          <w:p w14:paraId="76B78A2B" w14:textId="77777777" w:rsidR="00171291" w:rsidRPr="00BD646C" w:rsidRDefault="00000000" w:rsidP="001F79B0">
            <w:pPr>
              <w:rPr>
                <w:del w:id="10926" w:author="AbbVie1" w:date="2025-05-13T10:11:00Z"/>
                <w:bCs/>
                <w:szCs w:val="22"/>
                <w:lang w:val="da-DK"/>
              </w:rPr>
            </w:pPr>
            <w:del w:id="10927" w:author="AbbVie1" w:date="2025-05-13T10:11:00Z">
              <w:r w:rsidRPr="00BD646C">
                <w:rPr>
                  <w:szCs w:val="22"/>
                  <w:lang w:val="sk-SK"/>
                </w:rPr>
                <w:delText>Тел</w:delText>
              </w:r>
              <w:r w:rsidRPr="005B1CF3">
                <w:rPr>
                  <w:szCs w:val="22"/>
                  <w:rPrChange w:id="10928" w:author="Abbvie02" w:date="2025-05-16T11:16:00Z">
                    <w:rPr>
                      <w:szCs w:val="22"/>
                      <w:lang w:val="it-IT"/>
                    </w:rPr>
                  </w:rPrChange>
                </w:rPr>
                <w:delText>.:+359 2 90 30 430</w:delText>
              </w:r>
            </w:del>
          </w:p>
        </w:tc>
        <w:tc>
          <w:tcPr>
            <w:tcW w:w="4678" w:type="dxa"/>
            <w:gridSpan w:val="2"/>
          </w:tcPr>
          <w:p w14:paraId="7A3C90D3" w14:textId="77777777" w:rsidR="00171291" w:rsidRPr="00BD646C" w:rsidRDefault="00000000" w:rsidP="001F79B0">
            <w:pPr>
              <w:rPr>
                <w:del w:id="10929" w:author="AbbVie1" w:date="2025-05-13T10:11:00Z"/>
                <w:b/>
                <w:bCs/>
                <w:szCs w:val="22"/>
                <w:lang w:val="de-DE"/>
              </w:rPr>
            </w:pPr>
            <w:del w:id="10930" w:author="AbbVie1" w:date="2025-05-13T10:11:00Z">
              <w:r w:rsidRPr="00BD646C">
                <w:rPr>
                  <w:b/>
                  <w:bCs/>
                  <w:szCs w:val="22"/>
                  <w:lang w:val="de-DE"/>
                </w:rPr>
                <w:delText>Luxembourg/Luxemburg</w:delText>
              </w:r>
            </w:del>
          </w:p>
          <w:p w14:paraId="008CDC94" w14:textId="77777777" w:rsidR="00171291" w:rsidRPr="00BD646C" w:rsidRDefault="00000000" w:rsidP="001F79B0">
            <w:pPr>
              <w:rPr>
                <w:del w:id="10931" w:author="AbbVie1" w:date="2025-05-13T10:11:00Z"/>
                <w:bCs/>
                <w:szCs w:val="22"/>
                <w:lang w:val="de-DE"/>
              </w:rPr>
            </w:pPr>
            <w:del w:id="10932" w:author="AbbVie1" w:date="2025-05-13T10:11:00Z">
              <w:r w:rsidRPr="00BD646C">
                <w:rPr>
                  <w:bCs/>
                  <w:szCs w:val="22"/>
                  <w:lang w:val="de-DE"/>
                </w:rPr>
                <w:delText>AbbVie SA</w:delText>
              </w:r>
            </w:del>
          </w:p>
          <w:p w14:paraId="36F6B8DD" w14:textId="77777777" w:rsidR="00171291" w:rsidRPr="00BD646C" w:rsidRDefault="00000000" w:rsidP="001F79B0">
            <w:pPr>
              <w:rPr>
                <w:del w:id="10933" w:author="AbbVie1" w:date="2025-05-13T10:11:00Z"/>
                <w:bCs/>
                <w:szCs w:val="22"/>
                <w:lang w:val="de-DE"/>
              </w:rPr>
            </w:pPr>
            <w:del w:id="10934" w:author="AbbVie1" w:date="2025-05-13T10:11:00Z">
              <w:r w:rsidRPr="00BD646C">
                <w:rPr>
                  <w:bCs/>
                  <w:szCs w:val="22"/>
                  <w:lang w:val="de-DE"/>
                </w:rPr>
                <w:delText>Belgique/Belgien</w:delText>
              </w:r>
            </w:del>
          </w:p>
          <w:p w14:paraId="321EB860" w14:textId="77777777" w:rsidR="00171291" w:rsidRPr="00BD646C" w:rsidRDefault="00000000" w:rsidP="001F79B0">
            <w:pPr>
              <w:rPr>
                <w:del w:id="10935" w:author="AbbVie1" w:date="2025-05-13T10:11:00Z"/>
                <w:bCs/>
                <w:szCs w:val="22"/>
                <w:lang w:val="fr-FR"/>
              </w:rPr>
            </w:pPr>
            <w:del w:id="10936" w:author="AbbVie1" w:date="2025-05-13T10:11:00Z">
              <w:r w:rsidRPr="00BD646C">
                <w:rPr>
                  <w:bCs/>
                  <w:szCs w:val="22"/>
                  <w:lang w:val="fr-FR"/>
                </w:rPr>
                <w:delText>Tél/Tel: +32 10 477811</w:delText>
              </w:r>
            </w:del>
          </w:p>
          <w:p w14:paraId="5F9401C1" w14:textId="77777777" w:rsidR="00171291" w:rsidRPr="00BD646C" w:rsidRDefault="00171291" w:rsidP="001F79B0">
            <w:pPr>
              <w:rPr>
                <w:del w:id="10937" w:author="AbbVie1" w:date="2025-05-13T10:11:00Z"/>
                <w:bCs/>
                <w:szCs w:val="22"/>
                <w:lang w:val="fr-FR"/>
              </w:rPr>
            </w:pPr>
          </w:p>
        </w:tc>
      </w:tr>
      <w:tr w:rsidR="00534A2D" w14:paraId="019D05C2" w14:textId="77777777" w:rsidTr="001F79B0">
        <w:trPr>
          <w:del w:id="10938" w:author="AbbVie1" w:date="2025-05-13T10:11:00Z"/>
        </w:trPr>
        <w:tc>
          <w:tcPr>
            <w:tcW w:w="4644" w:type="dxa"/>
            <w:gridSpan w:val="2"/>
          </w:tcPr>
          <w:p w14:paraId="40564538" w14:textId="77777777" w:rsidR="00171291" w:rsidRPr="00BD646C" w:rsidRDefault="00000000" w:rsidP="00171291">
            <w:pPr>
              <w:keepNext/>
              <w:rPr>
                <w:del w:id="10939" w:author="AbbVie1" w:date="2025-05-13T10:11:00Z"/>
                <w:b/>
                <w:bCs/>
                <w:szCs w:val="22"/>
                <w:lang w:val="sk-SK"/>
              </w:rPr>
            </w:pPr>
            <w:del w:id="10940" w:author="AbbVie1" w:date="2025-05-13T10:11:00Z">
              <w:r w:rsidRPr="00BD646C">
                <w:rPr>
                  <w:b/>
                  <w:bCs/>
                  <w:szCs w:val="22"/>
                  <w:lang w:val="sk-SK"/>
                </w:rPr>
                <w:delText>Česká republika</w:delText>
              </w:r>
            </w:del>
          </w:p>
          <w:p w14:paraId="48AA57E0" w14:textId="77777777" w:rsidR="00171291" w:rsidRPr="00BD646C" w:rsidRDefault="00000000" w:rsidP="00171291">
            <w:pPr>
              <w:keepNext/>
              <w:rPr>
                <w:del w:id="10941" w:author="AbbVie1" w:date="2025-05-13T10:11:00Z"/>
                <w:bCs/>
                <w:szCs w:val="22"/>
                <w:lang w:val="sk-SK"/>
              </w:rPr>
            </w:pPr>
            <w:del w:id="10942" w:author="AbbVie1" w:date="2025-05-13T10:11:00Z">
              <w:r w:rsidRPr="00BD646C">
                <w:rPr>
                  <w:bCs/>
                  <w:szCs w:val="22"/>
                  <w:lang w:val="sk-SK"/>
                </w:rPr>
                <w:delText xml:space="preserve">AbbVie s.r.o. </w:delText>
              </w:r>
            </w:del>
          </w:p>
          <w:p w14:paraId="49FA00BE" w14:textId="77777777" w:rsidR="00171291" w:rsidRPr="00BD646C" w:rsidRDefault="00000000" w:rsidP="00171291">
            <w:pPr>
              <w:keepNext/>
              <w:rPr>
                <w:del w:id="10943" w:author="AbbVie1" w:date="2025-05-13T10:11:00Z"/>
                <w:bCs/>
                <w:szCs w:val="22"/>
                <w:lang w:val="sk-SK"/>
              </w:rPr>
            </w:pPr>
            <w:del w:id="10944" w:author="AbbVie1" w:date="2025-05-13T10:11:00Z">
              <w:r w:rsidRPr="00BD646C">
                <w:rPr>
                  <w:bCs/>
                  <w:szCs w:val="22"/>
                  <w:lang w:val="sk-SK"/>
                </w:rPr>
                <w:delText>Tel: +420 233 098 111</w:delText>
              </w:r>
            </w:del>
          </w:p>
        </w:tc>
        <w:tc>
          <w:tcPr>
            <w:tcW w:w="4678" w:type="dxa"/>
            <w:gridSpan w:val="2"/>
          </w:tcPr>
          <w:p w14:paraId="16FB6719" w14:textId="77777777" w:rsidR="00171291" w:rsidRPr="00BD646C" w:rsidRDefault="00000000" w:rsidP="00171291">
            <w:pPr>
              <w:keepNext/>
              <w:rPr>
                <w:del w:id="10945" w:author="AbbVie1" w:date="2025-05-13T10:11:00Z"/>
                <w:b/>
                <w:bCs/>
                <w:szCs w:val="22"/>
                <w:lang w:val="hu-HU"/>
              </w:rPr>
            </w:pPr>
            <w:del w:id="10946" w:author="AbbVie1" w:date="2025-05-13T10:11:00Z">
              <w:r w:rsidRPr="00BD646C">
                <w:rPr>
                  <w:b/>
                  <w:bCs/>
                  <w:szCs w:val="22"/>
                  <w:lang w:val="hu-HU"/>
                </w:rPr>
                <w:delText>Magyarország</w:delText>
              </w:r>
            </w:del>
          </w:p>
          <w:p w14:paraId="45AED70A" w14:textId="77777777" w:rsidR="00171291" w:rsidRPr="00BD646C" w:rsidRDefault="00000000" w:rsidP="00171291">
            <w:pPr>
              <w:keepNext/>
              <w:rPr>
                <w:del w:id="10947" w:author="AbbVie1" w:date="2025-05-13T10:11:00Z"/>
                <w:bCs/>
                <w:szCs w:val="22"/>
                <w:lang w:val="hu-HU"/>
              </w:rPr>
            </w:pPr>
            <w:del w:id="10948" w:author="AbbVie1" w:date="2025-05-13T10:11:00Z">
              <w:r w:rsidRPr="00BD646C">
                <w:rPr>
                  <w:bCs/>
                  <w:szCs w:val="22"/>
                  <w:lang w:val="hu-HU"/>
                </w:rPr>
                <w:delText>AbbVie Kft.</w:delText>
              </w:r>
            </w:del>
          </w:p>
          <w:p w14:paraId="5F7C73DF" w14:textId="77777777" w:rsidR="00171291" w:rsidRPr="00BD646C" w:rsidRDefault="00000000" w:rsidP="00171291">
            <w:pPr>
              <w:keepNext/>
              <w:rPr>
                <w:del w:id="10949" w:author="AbbVie1" w:date="2025-05-13T10:11:00Z"/>
                <w:bCs/>
                <w:szCs w:val="22"/>
                <w:lang w:val="hu-HU"/>
              </w:rPr>
            </w:pPr>
            <w:del w:id="10950" w:author="AbbVie1" w:date="2025-05-13T10:11:00Z">
              <w:r w:rsidRPr="00BD646C">
                <w:rPr>
                  <w:bCs/>
                  <w:szCs w:val="22"/>
                  <w:lang w:val="hu-HU"/>
                </w:rPr>
                <w:delText>Tel.:+36 1 455 8600</w:delText>
              </w:r>
            </w:del>
          </w:p>
          <w:p w14:paraId="447618AA" w14:textId="77777777" w:rsidR="00171291" w:rsidRPr="00BD646C" w:rsidRDefault="00171291" w:rsidP="00171291">
            <w:pPr>
              <w:keepNext/>
              <w:rPr>
                <w:del w:id="10951" w:author="AbbVie1" w:date="2025-05-13T10:11:00Z"/>
                <w:bCs/>
                <w:szCs w:val="22"/>
                <w:lang w:val="hu-HU"/>
              </w:rPr>
            </w:pPr>
          </w:p>
        </w:tc>
      </w:tr>
      <w:tr w:rsidR="00534A2D" w14:paraId="6C65A5EA" w14:textId="77777777" w:rsidTr="001F79B0">
        <w:trPr>
          <w:trHeight w:val="737"/>
          <w:del w:id="10952" w:author="AbbVie1" w:date="2025-05-13T10:11:00Z"/>
        </w:trPr>
        <w:tc>
          <w:tcPr>
            <w:tcW w:w="4644" w:type="dxa"/>
            <w:gridSpan w:val="2"/>
          </w:tcPr>
          <w:p w14:paraId="7FF28856" w14:textId="77777777" w:rsidR="00171291" w:rsidRPr="005B1CF3" w:rsidRDefault="00000000" w:rsidP="001F79B0">
            <w:pPr>
              <w:rPr>
                <w:del w:id="10953" w:author="AbbVie1" w:date="2025-05-13T10:11:00Z"/>
                <w:b/>
                <w:bCs/>
                <w:szCs w:val="22"/>
                <w:rPrChange w:id="10954" w:author="Abbvie02" w:date="2025-05-16T11:16:00Z">
                  <w:rPr>
                    <w:del w:id="10955" w:author="AbbVie1" w:date="2025-05-13T10:11:00Z"/>
                    <w:b/>
                    <w:bCs/>
                    <w:szCs w:val="22"/>
                    <w:lang w:val="en-US"/>
                  </w:rPr>
                </w:rPrChange>
              </w:rPr>
            </w:pPr>
            <w:del w:id="10956" w:author="AbbVie1" w:date="2025-05-13T10:11:00Z">
              <w:r w:rsidRPr="005B1CF3">
                <w:rPr>
                  <w:b/>
                  <w:bCs/>
                  <w:szCs w:val="22"/>
                  <w:rPrChange w:id="10957" w:author="Abbvie02" w:date="2025-05-16T11:16:00Z">
                    <w:rPr>
                      <w:b/>
                      <w:bCs/>
                      <w:szCs w:val="22"/>
                      <w:lang w:val="en-US"/>
                    </w:rPr>
                  </w:rPrChange>
                </w:rPr>
                <w:delText>Danmark</w:delText>
              </w:r>
            </w:del>
          </w:p>
          <w:p w14:paraId="16655989" w14:textId="77777777" w:rsidR="00171291" w:rsidRPr="005B1CF3" w:rsidRDefault="00000000" w:rsidP="001F79B0">
            <w:pPr>
              <w:rPr>
                <w:del w:id="10958" w:author="AbbVie1" w:date="2025-05-13T10:11:00Z"/>
                <w:bCs/>
                <w:szCs w:val="22"/>
                <w:rPrChange w:id="10959" w:author="Abbvie02" w:date="2025-05-16T11:16:00Z">
                  <w:rPr>
                    <w:del w:id="10960" w:author="AbbVie1" w:date="2025-05-13T10:11:00Z"/>
                    <w:bCs/>
                    <w:szCs w:val="22"/>
                    <w:lang w:val="en-US"/>
                  </w:rPr>
                </w:rPrChange>
              </w:rPr>
            </w:pPr>
            <w:del w:id="10961" w:author="AbbVie1" w:date="2025-05-13T10:11:00Z">
              <w:r w:rsidRPr="005B1CF3">
                <w:rPr>
                  <w:bCs/>
                  <w:szCs w:val="22"/>
                  <w:rPrChange w:id="10962" w:author="Abbvie02" w:date="2025-05-16T11:16:00Z">
                    <w:rPr>
                      <w:bCs/>
                      <w:szCs w:val="22"/>
                      <w:lang w:val="en-US"/>
                    </w:rPr>
                  </w:rPrChange>
                </w:rPr>
                <w:delText>AbbVie A/S</w:delText>
              </w:r>
            </w:del>
          </w:p>
          <w:p w14:paraId="49289963" w14:textId="77777777" w:rsidR="00171291" w:rsidRPr="00BD646C" w:rsidRDefault="00000000" w:rsidP="001F79B0">
            <w:pPr>
              <w:rPr>
                <w:del w:id="10963" w:author="AbbVie1" w:date="2025-05-13T10:11:00Z"/>
                <w:bCs/>
                <w:szCs w:val="22"/>
                <w:lang w:val="sk-SK"/>
              </w:rPr>
            </w:pPr>
            <w:del w:id="10964" w:author="AbbVie1" w:date="2025-05-13T10:11:00Z">
              <w:r w:rsidRPr="005B1CF3">
                <w:rPr>
                  <w:bCs/>
                  <w:szCs w:val="22"/>
                  <w:rPrChange w:id="10965" w:author="Abbvie02" w:date="2025-05-16T11:16:00Z">
                    <w:rPr>
                      <w:bCs/>
                      <w:szCs w:val="22"/>
                      <w:lang w:val="en-US"/>
                    </w:rPr>
                  </w:rPrChange>
                </w:rPr>
                <w:delText>Tlf: +45 72 30-20-28</w:delText>
              </w:r>
            </w:del>
          </w:p>
        </w:tc>
        <w:tc>
          <w:tcPr>
            <w:tcW w:w="4678" w:type="dxa"/>
            <w:gridSpan w:val="2"/>
          </w:tcPr>
          <w:p w14:paraId="359142C8" w14:textId="77777777" w:rsidR="00171291" w:rsidRPr="00BD646C" w:rsidRDefault="00000000" w:rsidP="001F79B0">
            <w:pPr>
              <w:rPr>
                <w:del w:id="10966" w:author="AbbVie1" w:date="2025-05-13T10:11:00Z"/>
                <w:b/>
                <w:bCs/>
                <w:szCs w:val="22"/>
                <w:lang w:val="mt-MT"/>
              </w:rPr>
            </w:pPr>
            <w:del w:id="10967" w:author="AbbVie1" w:date="2025-05-13T10:11:00Z">
              <w:r w:rsidRPr="00BD646C">
                <w:rPr>
                  <w:b/>
                  <w:bCs/>
                  <w:szCs w:val="22"/>
                  <w:lang w:val="mt-MT"/>
                </w:rPr>
                <w:delText>Malta</w:delText>
              </w:r>
            </w:del>
          </w:p>
          <w:p w14:paraId="20BBC800" w14:textId="77777777" w:rsidR="00171291" w:rsidRPr="00BD646C" w:rsidRDefault="00000000" w:rsidP="001F79B0">
            <w:pPr>
              <w:rPr>
                <w:del w:id="10968" w:author="AbbVie1" w:date="2025-05-13T10:11:00Z"/>
                <w:bCs/>
                <w:szCs w:val="22"/>
                <w:lang w:val="sk-SK"/>
              </w:rPr>
            </w:pPr>
            <w:del w:id="10969" w:author="AbbVie1" w:date="2025-05-13T10:11:00Z">
              <w:r w:rsidRPr="00BD646C">
                <w:rPr>
                  <w:bCs/>
                  <w:szCs w:val="22"/>
                  <w:lang w:val="sk-SK"/>
                </w:rPr>
                <w:delText xml:space="preserve">V.J.Salomone Pharma Limited </w:delText>
              </w:r>
            </w:del>
          </w:p>
          <w:p w14:paraId="5EF47D91" w14:textId="77777777" w:rsidR="00171291" w:rsidRPr="00BD646C" w:rsidRDefault="00000000" w:rsidP="001F79B0">
            <w:pPr>
              <w:rPr>
                <w:del w:id="10970" w:author="AbbVie1" w:date="2025-05-13T10:11:00Z"/>
                <w:bCs/>
                <w:szCs w:val="22"/>
                <w:lang w:val="sk-SK"/>
              </w:rPr>
            </w:pPr>
            <w:del w:id="10971" w:author="AbbVie1" w:date="2025-05-13T10:11:00Z">
              <w:r w:rsidRPr="00BD646C">
                <w:rPr>
                  <w:bCs/>
                  <w:szCs w:val="22"/>
                  <w:lang w:val="sk-SK"/>
                </w:rPr>
                <w:delText xml:space="preserve">Tel: </w:delText>
              </w:r>
              <w:r w:rsidR="00AD2446">
                <w:rPr>
                  <w:bCs/>
                  <w:szCs w:val="22"/>
                </w:rPr>
                <w:delText>+356 21220174</w:delText>
              </w:r>
            </w:del>
          </w:p>
          <w:p w14:paraId="64820E26" w14:textId="77777777" w:rsidR="00171291" w:rsidRPr="00BD646C" w:rsidRDefault="00171291" w:rsidP="001F79B0">
            <w:pPr>
              <w:rPr>
                <w:del w:id="10972" w:author="AbbVie1" w:date="2025-05-13T10:11:00Z"/>
                <w:bCs/>
                <w:szCs w:val="22"/>
                <w:lang w:val="sk-SK"/>
              </w:rPr>
            </w:pPr>
          </w:p>
        </w:tc>
      </w:tr>
      <w:tr w:rsidR="00534A2D" w14:paraId="258F6E44" w14:textId="77777777" w:rsidTr="001F79B0">
        <w:trPr>
          <w:del w:id="10973" w:author="AbbVie1" w:date="2025-05-13T10:11:00Z"/>
        </w:trPr>
        <w:tc>
          <w:tcPr>
            <w:tcW w:w="4644" w:type="dxa"/>
            <w:gridSpan w:val="2"/>
          </w:tcPr>
          <w:p w14:paraId="129AE13F" w14:textId="77777777" w:rsidR="00171291" w:rsidRPr="00BD646C" w:rsidRDefault="00000000" w:rsidP="001F79B0">
            <w:pPr>
              <w:rPr>
                <w:del w:id="10974" w:author="AbbVie1" w:date="2025-05-13T10:11:00Z"/>
                <w:b/>
                <w:bCs/>
                <w:szCs w:val="22"/>
                <w:lang w:val="de-DE"/>
              </w:rPr>
            </w:pPr>
            <w:del w:id="10975" w:author="AbbVie1" w:date="2025-05-13T10:11:00Z">
              <w:r w:rsidRPr="00BD646C">
                <w:rPr>
                  <w:b/>
                  <w:bCs/>
                  <w:szCs w:val="22"/>
                  <w:lang w:val="de-DE"/>
                </w:rPr>
                <w:delText>Deutschland</w:delText>
              </w:r>
            </w:del>
          </w:p>
          <w:p w14:paraId="5ABFDC44" w14:textId="77777777" w:rsidR="00171291" w:rsidRPr="00BD646C" w:rsidRDefault="00000000" w:rsidP="001F79B0">
            <w:pPr>
              <w:rPr>
                <w:del w:id="10976" w:author="AbbVie1" w:date="2025-05-13T10:11:00Z"/>
                <w:bCs/>
                <w:szCs w:val="22"/>
                <w:lang w:val="de-DE"/>
              </w:rPr>
            </w:pPr>
            <w:del w:id="10977" w:author="AbbVie1" w:date="2025-05-13T10:11:00Z">
              <w:r w:rsidRPr="00BD646C">
                <w:rPr>
                  <w:szCs w:val="22"/>
                  <w:lang w:val="de-DE"/>
                </w:rPr>
                <w:delText xml:space="preserve">AbbVie Deutschland </w:delText>
              </w:r>
              <w:r w:rsidRPr="00BD646C">
                <w:rPr>
                  <w:bCs/>
                  <w:szCs w:val="22"/>
                  <w:lang w:val="de-DE"/>
                </w:rPr>
                <w:delText>GmbH &amp; Co. KG</w:delText>
              </w:r>
            </w:del>
          </w:p>
          <w:p w14:paraId="0D720741" w14:textId="77777777" w:rsidR="00171291" w:rsidRPr="00BD646C" w:rsidRDefault="00000000" w:rsidP="001F79B0">
            <w:pPr>
              <w:rPr>
                <w:del w:id="10978" w:author="AbbVie1" w:date="2025-05-13T10:11:00Z"/>
                <w:szCs w:val="22"/>
                <w:lang w:val="de-DE"/>
              </w:rPr>
            </w:pPr>
            <w:del w:id="10979" w:author="AbbVie1" w:date="2025-05-13T10:11:00Z">
              <w:r w:rsidRPr="00BD646C">
                <w:rPr>
                  <w:szCs w:val="22"/>
                  <w:lang w:val="de-DE"/>
                </w:rPr>
                <w:delText>Tel: 00800 222843 33 (gebührenfrei)</w:delText>
              </w:r>
            </w:del>
          </w:p>
          <w:p w14:paraId="6A8D0753" w14:textId="77777777" w:rsidR="00171291" w:rsidRPr="00BD646C" w:rsidRDefault="00000000" w:rsidP="001F79B0">
            <w:pPr>
              <w:rPr>
                <w:del w:id="10980" w:author="AbbVie1" w:date="2025-05-13T10:11:00Z"/>
                <w:szCs w:val="22"/>
                <w:lang w:val="de-DE"/>
              </w:rPr>
            </w:pPr>
            <w:del w:id="10981" w:author="AbbVie1" w:date="2025-05-13T10:11:00Z">
              <w:r w:rsidRPr="00BD646C">
                <w:rPr>
                  <w:szCs w:val="22"/>
                  <w:lang w:val="de-DE"/>
                </w:rPr>
                <w:delText>Tel: +49 (0) 611 / 1720-0</w:delText>
              </w:r>
            </w:del>
          </w:p>
          <w:p w14:paraId="3F5EFCA1" w14:textId="77777777" w:rsidR="00171291" w:rsidRPr="00BD646C" w:rsidRDefault="00171291" w:rsidP="001F79B0">
            <w:pPr>
              <w:rPr>
                <w:del w:id="10982" w:author="AbbVie1" w:date="2025-05-13T10:11:00Z"/>
                <w:szCs w:val="22"/>
                <w:lang w:val="de-DE"/>
              </w:rPr>
            </w:pPr>
          </w:p>
        </w:tc>
        <w:tc>
          <w:tcPr>
            <w:tcW w:w="4678" w:type="dxa"/>
            <w:gridSpan w:val="2"/>
          </w:tcPr>
          <w:p w14:paraId="3A0E8188" w14:textId="77777777" w:rsidR="00171291" w:rsidRPr="00BD646C" w:rsidRDefault="00000000" w:rsidP="001F79B0">
            <w:pPr>
              <w:rPr>
                <w:del w:id="10983" w:author="AbbVie1" w:date="2025-05-13T10:11:00Z"/>
                <w:b/>
                <w:bCs/>
                <w:szCs w:val="22"/>
                <w:lang w:val="nl-NL"/>
              </w:rPr>
            </w:pPr>
            <w:del w:id="10984" w:author="AbbVie1" w:date="2025-05-13T10:11:00Z">
              <w:r w:rsidRPr="00BD646C">
                <w:rPr>
                  <w:b/>
                  <w:bCs/>
                  <w:szCs w:val="22"/>
                  <w:lang w:val="nl-NL"/>
                </w:rPr>
                <w:delText>Nederland</w:delText>
              </w:r>
            </w:del>
          </w:p>
          <w:p w14:paraId="598C1E77" w14:textId="77777777" w:rsidR="00171291" w:rsidRPr="00BD646C" w:rsidRDefault="00000000" w:rsidP="001F79B0">
            <w:pPr>
              <w:rPr>
                <w:del w:id="10985" w:author="AbbVie1" w:date="2025-05-13T10:11:00Z"/>
                <w:bCs/>
                <w:szCs w:val="22"/>
                <w:lang w:val="de-DE"/>
              </w:rPr>
            </w:pPr>
            <w:del w:id="10986" w:author="AbbVie1" w:date="2025-05-13T10:11:00Z">
              <w:r w:rsidRPr="00BD646C">
                <w:rPr>
                  <w:bCs/>
                  <w:szCs w:val="22"/>
                  <w:lang w:val="de-DE"/>
                </w:rPr>
                <w:delText>AbbVie B.V.</w:delText>
              </w:r>
            </w:del>
          </w:p>
          <w:p w14:paraId="6F798FD2" w14:textId="77777777" w:rsidR="00171291" w:rsidRPr="00BD646C" w:rsidRDefault="00000000" w:rsidP="001F79B0">
            <w:pPr>
              <w:rPr>
                <w:del w:id="10987" w:author="AbbVie1" w:date="2025-05-13T10:11:00Z"/>
                <w:bCs/>
                <w:szCs w:val="22"/>
                <w:lang w:val="de-DE"/>
              </w:rPr>
            </w:pPr>
            <w:del w:id="10988" w:author="AbbVie1" w:date="2025-05-13T10:11:00Z">
              <w:r w:rsidRPr="00BD646C">
                <w:rPr>
                  <w:bCs/>
                  <w:szCs w:val="22"/>
                  <w:lang w:val="de-DE"/>
                </w:rPr>
                <w:delText>Tel: +31 (0)88 322 2843</w:delText>
              </w:r>
            </w:del>
          </w:p>
        </w:tc>
      </w:tr>
      <w:tr w:rsidR="00534A2D" w14:paraId="24742EF3" w14:textId="77777777" w:rsidTr="001F79B0">
        <w:trPr>
          <w:del w:id="10989" w:author="AbbVie1" w:date="2025-05-13T10:11:00Z"/>
        </w:trPr>
        <w:tc>
          <w:tcPr>
            <w:tcW w:w="4644" w:type="dxa"/>
            <w:gridSpan w:val="2"/>
          </w:tcPr>
          <w:p w14:paraId="0A85EDAA" w14:textId="77777777" w:rsidR="00171291" w:rsidRPr="00BD646C" w:rsidRDefault="00000000" w:rsidP="001F79B0">
            <w:pPr>
              <w:rPr>
                <w:del w:id="10990" w:author="AbbVie1" w:date="2025-05-13T10:11:00Z"/>
                <w:b/>
                <w:bCs/>
                <w:szCs w:val="22"/>
                <w:lang w:val="et-EE"/>
              </w:rPr>
            </w:pPr>
            <w:del w:id="10991" w:author="AbbVie1" w:date="2025-05-13T10:11:00Z">
              <w:r w:rsidRPr="00BD646C">
                <w:rPr>
                  <w:b/>
                  <w:bCs/>
                  <w:szCs w:val="22"/>
                  <w:lang w:val="et-EE"/>
                </w:rPr>
                <w:delText>Eesti</w:delText>
              </w:r>
            </w:del>
          </w:p>
          <w:p w14:paraId="4EFB46C2" w14:textId="77777777" w:rsidR="00171291" w:rsidRPr="00BD646C" w:rsidRDefault="00000000" w:rsidP="001F79B0">
            <w:pPr>
              <w:rPr>
                <w:del w:id="10992" w:author="AbbVie1" w:date="2025-05-13T10:11:00Z"/>
                <w:bCs/>
                <w:szCs w:val="22"/>
                <w:lang w:val="et-EE"/>
              </w:rPr>
            </w:pPr>
            <w:del w:id="10993" w:author="AbbVie1" w:date="2025-05-13T10:11:00Z">
              <w:r w:rsidRPr="00BD646C">
                <w:rPr>
                  <w:bCs/>
                  <w:szCs w:val="22"/>
                  <w:lang w:val="et-EE"/>
                </w:rPr>
                <w:delText xml:space="preserve">AbbVie </w:delText>
              </w:r>
              <w:r w:rsidRPr="00BD646C">
                <w:rPr>
                  <w:bCs/>
                  <w:szCs w:val="22"/>
                  <w:lang w:val="sk-SK"/>
                </w:rPr>
                <w:delText>OÜ</w:delText>
              </w:r>
              <w:r w:rsidRPr="00BD646C">
                <w:rPr>
                  <w:bCs/>
                  <w:szCs w:val="22"/>
                  <w:lang w:val="et-EE"/>
                </w:rPr>
                <w:delText xml:space="preserve"> </w:delText>
              </w:r>
            </w:del>
          </w:p>
          <w:p w14:paraId="18D65C91" w14:textId="77777777" w:rsidR="00171291" w:rsidRPr="00BD646C" w:rsidRDefault="00000000" w:rsidP="001F79B0">
            <w:pPr>
              <w:rPr>
                <w:del w:id="10994" w:author="AbbVie1" w:date="2025-05-13T10:11:00Z"/>
                <w:bCs/>
                <w:szCs w:val="22"/>
                <w:lang w:val="lv-LV"/>
              </w:rPr>
            </w:pPr>
            <w:del w:id="10995" w:author="AbbVie1" w:date="2025-05-13T10:11:00Z">
              <w:r w:rsidRPr="00BD646C">
                <w:rPr>
                  <w:bCs/>
                  <w:szCs w:val="22"/>
                  <w:lang w:val="et-EE"/>
                </w:rPr>
                <w:delText>Tel: +372 623 1011</w:delText>
              </w:r>
            </w:del>
          </w:p>
        </w:tc>
        <w:tc>
          <w:tcPr>
            <w:tcW w:w="4678" w:type="dxa"/>
            <w:gridSpan w:val="2"/>
          </w:tcPr>
          <w:p w14:paraId="72A9E337" w14:textId="77777777" w:rsidR="00171291" w:rsidRPr="00BD646C" w:rsidRDefault="00000000" w:rsidP="001F79B0">
            <w:pPr>
              <w:rPr>
                <w:del w:id="10996" w:author="AbbVie1" w:date="2025-05-13T10:11:00Z"/>
                <w:b/>
                <w:bCs/>
                <w:szCs w:val="22"/>
                <w:lang w:val="nb-NO"/>
              </w:rPr>
            </w:pPr>
            <w:del w:id="10997" w:author="AbbVie1" w:date="2025-05-13T10:11:00Z">
              <w:r w:rsidRPr="00BD646C">
                <w:rPr>
                  <w:b/>
                  <w:bCs/>
                  <w:szCs w:val="22"/>
                  <w:lang w:val="nb-NO"/>
                </w:rPr>
                <w:delText>Norge</w:delText>
              </w:r>
            </w:del>
          </w:p>
          <w:p w14:paraId="7A7EAC30" w14:textId="77777777" w:rsidR="00171291" w:rsidRPr="00BD646C" w:rsidRDefault="00000000" w:rsidP="001F79B0">
            <w:pPr>
              <w:rPr>
                <w:del w:id="10998" w:author="AbbVie1" w:date="2025-05-13T10:11:00Z"/>
                <w:bCs/>
                <w:szCs w:val="22"/>
                <w:lang w:val="sk-SK"/>
              </w:rPr>
            </w:pPr>
            <w:del w:id="10999" w:author="AbbVie1" w:date="2025-05-13T10:11:00Z">
              <w:r w:rsidRPr="00BD646C">
                <w:rPr>
                  <w:bCs/>
                  <w:szCs w:val="22"/>
                  <w:lang w:val="sk-SK"/>
                </w:rPr>
                <w:delText>AbbVie AS</w:delText>
              </w:r>
            </w:del>
          </w:p>
          <w:p w14:paraId="68A0AD57" w14:textId="77777777" w:rsidR="00171291" w:rsidRPr="00BD646C" w:rsidRDefault="00000000" w:rsidP="001F79B0">
            <w:pPr>
              <w:rPr>
                <w:del w:id="11000" w:author="AbbVie1" w:date="2025-05-13T10:11:00Z"/>
                <w:bCs/>
                <w:szCs w:val="22"/>
                <w:lang w:val="sk-SK"/>
              </w:rPr>
            </w:pPr>
            <w:del w:id="11001" w:author="AbbVie1" w:date="2025-05-13T10:11:00Z">
              <w:r w:rsidRPr="00BD646C">
                <w:rPr>
                  <w:bCs/>
                  <w:szCs w:val="22"/>
                  <w:lang w:val="sk-SK"/>
                </w:rPr>
                <w:delText>Tlf: +47 67 81 80 00</w:delText>
              </w:r>
            </w:del>
          </w:p>
          <w:p w14:paraId="7726BED7" w14:textId="77777777" w:rsidR="00171291" w:rsidRPr="00BD646C" w:rsidRDefault="00171291" w:rsidP="001F79B0">
            <w:pPr>
              <w:rPr>
                <w:del w:id="11002" w:author="AbbVie1" w:date="2025-05-13T10:11:00Z"/>
                <w:bCs/>
                <w:szCs w:val="22"/>
                <w:lang w:val="sk-SK"/>
              </w:rPr>
            </w:pPr>
          </w:p>
        </w:tc>
      </w:tr>
      <w:tr w:rsidR="00534A2D" w14:paraId="2F55FD36" w14:textId="77777777" w:rsidTr="001F79B0">
        <w:trPr>
          <w:trHeight w:val="794"/>
          <w:del w:id="11003" w:author="AbbVie1" w:date="2025-05-13T10:11:00Z"/>
        </w:trPr>
        <w:tc>
          <w:tcPr>
            <w:tcW w:w="4644" w:type="dxa"/>
            <w:gridSpan w:val="2"/>
          </w:tcPr>
          <w:p w14:paraId="1839E909" w14:textId="77777777" w:rsidR="00171291" w:rsidRPr="00BD646C" w:rsidRDefault="00000000" w:rsidP="001F79B0">
            <w:pPr>
              <w:rPr>
                <w:del w:id="11004" w:author="AbbVie1" w:date="2025-05-13T10:11:00Z"/>
                <w:b/>
                <w:bCs/>
                <w:szCs w:val="22"/>
                <w:lang w:val="el-GR"/>
              </w:rPr>
            </w:pPr>
            <w:del w:id="11005" w:author="AbbVie1" w:date="2025-05-13T10:11:00Z">
              <w:r w:rsidRPr="00BD646C">
                <w:rPr>
                  <w:b/>
                  <w:bCs/>
                  <w:szCs w:val="22"/>
                  <w:lang w:val="el-GR"/>
                </w:rPr>
                <w:delText>Ελλάδα</w:delText>
              </w:r>
            </w:del>
          </w:p>
          <w:p w14:paraId="00ADC010" w14:textId="77777777" w:rsidR="00171291" w:rsidRPr="00BD646C" w:rsidRDefault="00000000" w:rsidP="001F79B0">
            <w:pPr>
              <w:rPr>
                <w:del w:id="11006" w:author="AbbVie1" w:date="2025-05-13T10:11:00Z"/>
                <w:bCs/>
                <w:szCs w:val="22"/>
                <w:lang w:val="el-GR"/>
              </w:rPr>
            </w:pPr>
            <w:del w:id="11007" w:author="AbbVie1" w:date="2025-05-13T10:11:00Z">
              <w:r w:rsidRPr="00BD646C">
                <w:rPr>
                  <w:bCs/>
                  <w:szCs w:val="22"/>
                  <w:lang w:val="et-EE"/>
                </w:rPr>
                <w:delText xml:space="preserve">AbbVie </w:delText>
              </w:r>
              <w:r w:rsidRPr="00BD646C">
                <w:rPr>
                  <w:szCs w:val="22"/>
                  <w:lang w:val="el-GR"/>
                </w:rPr>
                <w:delText>ΦΑΡΜΑΚΕΥΤΙΚΗ Α.Ε.</w:delText>
              </w:r>
            </w:del>
          </w:p>
          <w:p w14:paraId="24ADC55C" w14:textId="77777777" w:rsidR="00171291" w:rsidRPr="00BD646C" w:rsidRDefault="00000000" w:rsidP="001F79B0">
            <w:pPr>
              <w:rPr>
                <w:del w:id="11008" w:author="AbbVie1" w:date="2025-05-13T10:11:00Z"/>
                <w:bCs/>
                <w:szCs w:val="22"/>
                <w:lang w:val="sk-SK"/>
              </w:rPr>
            </w:pPr>
            <w:del w:id="11009" w:author="AbbVie1" w:date="2025-05-13T10:11:00Z">
              <w:r w:rsidRPr="00BD646C">
                <w:rPr>
                  <w:bCs/>
                  <w:szCs w:val="22"/>
                  <w:lang w:val="el-GR"/>
                </w:rPr>
                <w:delText xml:space="preserve">Τηλ: +30 </w:delText>
              </w:r>
              <w:r w:rsidRPr="00BD646C">
                <w:rPr>
                  <w:bCs/>
                  <w:szCs w:val="22"/>
                  <w:lang w:val="sk-SK"/>
                </w:rPr>
                <w:delText>214 4165 555</w:delText>
              </w:r>
            </w:del>
          </w:p>
        </w:tc>
        <w:tc>
          <w:tcPr>
            <w:tcW w:w="4678" w:type="dxa"/>
            <w:gridSpan w:val="2"/>
          </w:tcPr>
          <w:p w14:paraId="39791FF5" w14:textId="77777777" w:rsidR="00171291" w:rsidRPr="00BD646C" w:rsidRDefault="00000000" w:rsidP="001F79B0">
            <w:pPr>
              <w:rPr>
                <w:del w:id="11010" w:author="AbbVie1" w:date="2025-05-13T10:11:00Z"/>
                <w:b/>
                <w:bCs/>
                <w:szCs w:val="22"/>
                <w:lang w:val="de-DE"/>
              </w:rPr>
            </w:pPr>
            <w:del w:id="11011" w:author="AbbVie1" w:date="2025-05-13T10:11:00Z">
              <w:r w:rsidRPr="00BD646C">
                <w:rPr>
                  <w:b/>
                  <w:bCs/>
                  <w:szCs w:val="22"/>
                  <w:lang w:val="de-DE"/>
                </w:rPr>
                <w:delText>Österreich</w:delText>
              </w:r>
            </w:del>
          </w:p>
          <w:p w14:paraId="76CBCE8F" w14:textId="77777777" w:rsidR="00171291" w:rsidRPr="00BD646C" w:rsidRDefault="00000000" w:rsidP="001F79B0">
            <w:pPr>
              <w:rPr>
                <w:del w:id="11012" w:author="AbbVie1" w:date="2025-05-13T10:11:00Z"/>
                <w:bCs/>
                <w:szCs w:val="22"/>
                <w:lang w:val="de-DE"/>
              </w:rPr>
            </w:pPr>
            <w:del w:id="11013" w:author="AbbVie1" w:date="2025-05-13T10:11:00Z">
              <w:r w:rsidRPr="00BD646C">
                <w:rPr>
                  <w:bCs/>
                  <w:szCs w:val="22"/>
                  <w:lang w:val="de-DE"/>
                </w:rPr>
                <w:delText xml:space="preserve">AbbVie GmbH </w:delText>
              </w:r>
            </w:del>
          </w:p>
          <w:p w14:paraId="03C0304D" w14:textId="77777777" w:rsidR="00171291" w:rsidRPr="00BD646C" w:rsidRDefault="00000000" w:rsidP="001F79B0">
            <w:pPr>
              <w:rPr>
                <w:del w:id="11014" w:author="AbbVie1" w:date="2025-05-13T10:11:00Z"/>
                <w:bCs/>
                <w:szCs w:val="22"/>
                <w:lang w:val="de-DE"/>
              </w:rPr>
            </w:pPr>
            <w:del w:id="11015" w:author="AbbVie1" w:date="2025-05-13T10:11:00Z">
              <w:r w:rsidRPr="00BD646C">
                <w:rPr>
                  <w:bCs/>
                  <w:szCs w:val="22"/>
                  <w:lang w:val="de-DE"/>
                </w:rPr>
                <w:delText>Tel: +43 1 20589-0</w:delText>
              </w:r>
            </w:del>
          </w:p>
          <w:p w14:paraId="7F09A042" w14:textId="77777777" w:rsidR="00171291" w:rsidRPr="00BD646C" w:rsidRDefault="00171291" w:rsidP="001F79B0">
            <w:pPr>
              <w:rPr>
                <w:del w:id="11016" w:author="AbbVie1" w:date="2025-05-13T10:11:00Z"/>
                <w:bCs/>
                <w:szCs w:val="22"/>
                <w:lang w:val="de-DE"/>
              </w:rPr>
            </w:pPr>
          </w:p>
        </w:tc>
      </w:tr>
      <w:tr w:rsidR="00534A2D" w14:paraId="0FA8EB60" w14:textId="77777777" w:rsidTr="001F79B0">
        <w:trPr>
          <w:gridBefore w:val="1"/>
          <w:wBefore w:w="34" w:type="dxa"/>
          <w:del w:id="11017" w:author="AbbVie1" w:date="2025-05-13T10:11:00Z"/>
        </w:trPr>
        <w:tc>
          <w:tcPr>
            <w:tcW w:w="4644" w:type="dxa"/>
            <w:gridSpan w:val="2"/>
          </w:tcPr>
          <w:p w14:paraId="10DFD690" w14:textId="77777777" w:rsidR="00171291" w:rsidRPr="00BD646C" w:rsidRDefault="00000000" w:rsidP="001F79B0">
            <w:pPr>
              <w:rPr>
                <w:del w:id="11018" w:author="AbbVie1" w:date="2025-05-13T10:11:00Z"/>
                <w:b/>
                <w:bCs/>
                <w:szCs w:val="22"/>
                <w:lang w:val="es-ES"/>
              </w:rPr>
            </w:pPr>
            <w:del w:id="11019" w:author="AbbVie1" w:date="2025-05-13T10:11:00Z">
              <w:r w:rsidRPr="00BD646C">
                <w:rPr>
                  <w:b/>
                  <w:bCs/>
                  <w:szCs w:val="22"/>
                  <w:lang w:val="es-ES"/>
                </w:rPr>
                <w:delText>España</w:delText>
              </w:r>
            </w:del>
          </w:p>
          <w:p w14:paraId="763712E6" w14:textId="77777777" w:rsidR="00171291" w:rsidRPr="00BD646C" w:rsidRDefault="00000000" w:rsidP="001F79B0">
            <w:pPr>
              <w:rPr>
                <w:del w:id="11020" w:author="AbbVie1" w:date="2025-05-13T10:11:00Z"/>
                <w:szCs w:val="22"/>
                <w:lang w:val="es-ES"/>
              </w:rPr>
            </w:pPr>
            <w:del w:id="11021" w:author="AbbVie1" w:date="2025-05-13T10:11:00Z">
              <w:r w:rsidRPr="00BD646C">
                <w:rPr>
                  <w:szCs w:val="22"/>
                  <w:lang w:val="es-ES"/>
                </w:rPr>
                <w:delText xml:space="preserve">AbbVie </w:delText>
              </w:r>
              <w:r w:rsidRPr="00BD646C">
                <w:rPr>
                  <w:bCs/>
                  <w:szCs w:val="22"/>
                  <w:lang w:val="es-ES"/>
                </w:rPr>
                <w:delText>Spain</w:delText>
              </w:r>
              <w:r w:rsidRPr="00BD646C">
                <w:rPr>
                  <w:szCs w:val="22"/>
                  <w:lang w:val="es-ES"/>
                </w:rPr>
                <w:delText>, S.L.U</w:delText>
              </w:r>
              <w:r w:rsidRPr="00BD646C">
                <w:rPr>
                  <w:bCs/>
                  <w:szCs w:val="22"/>
                  <w:lang w:val="es-ES"/>
                </w:rPr>
                <w:delText>.</w:delText>
              </w:r>
            </w:del>
          </w:p>
          <w:p w14:paraId="39DCF16C" w14:textId="77777777" w:rsidR="00171291" w:rsidRPr="00BD646C" w:rsidRDefault="00000000" w:rsidP="001F79B0">
            <w:pPr>
              <w:rPr>
                <w:del w:id="11022" w:author="AbbVie1" w:date="2025-05-13T10:11:00Z"/>
                <w:bCs/>
                <w:szCs w:val="22"/>
                <w:lang w:val="pl-PL"/>
              </w:rPr>
            </w:pPr>
            <w:del w:id="11023" w:author="AbbVie1" w:date="2025-05-13T10:11:00Z">
              <w:r w:rsidRPr="00BD646C">
                <w:rPr>
                  <w:bCs/>
                  <w:szCs w:val="22"/>
                  <w:lang w:val="pt-PT"/>
                </w:rPr>
                <w:delText>Tel: +34 91 384 09 10</w:delText>
              </w:r>
            </w:del>
          </w:p>
        </w:tc>
        <w:tc>
          <w:tcPr>
            <w:tcW w:w="4678" w:type="dxa"/>
          </w:tcPr>
          <w:p w14:paraId="6C269D6A" w14:textId="77777777" w:rsidR="00171291" w:rsidRPr="00BD646C" w:rsidRDefault="00000000" w:rsidP="001F79B0">
            <w:pPr>
              <w:rPr>
                <w:del w:id="11024" w:author="AbbVie1" w:date="2025-05-13T10:11:00Z"/>
                <w:b/>
                <w:bCs/>
                <w:iCs/>
                <w:szCs w:val="22"/>
                <w:lang w:val="pl-PL"/>
              </w:rPr>
            </w:pPr>
            <w:del w:id="11025" w:author="AbbVie1" w:date="2025-05-13T10:11:00Z">
              <w:r w:rsidRPr="00BD646C">
                <w:rPr>
                  <w:b/>
                  <w:bCs/>
                  <w:iCs/>
                  <w:szCs w:val="22"/>
                  <w:lang w:val="pl-PL"/>
                </w:rPr>
                <w:delText>Polska</w:delText>
              </w:r>
            </w:del>
          </w:p>
          <w:p w14:paraId="2071DBE7" w14:textId="77777777" w:rsidR="00171291" w:rsidRPr="00BD646C" w:rsidRDefault="00000000" w:rsidP="001F79B0">
            <w:pPr>
              <w:rPr>
                <w:del w:id="11026" w:author="AbbVie1" w:date="2025-05-13T10:11:00Z"/>
                <w:bCs/>
                <w:szCs w:val="22"/>
                <w:lang w:val="pl-PL"/>
              </w:rPr>
            </w:pPr>
            <w:del w:id="11027" w:author="AbbVie1" w:date="2025-05-13T10:11:00Z">
              <w:r w:rsidRPr="00BD646C">
                <w:rPr>
                  <w:bCs/>
                  <w:szCs w:val="22"/>
                  <w:lang w:val="pl-PL"/>
                </w:rPr>
                <w:delText>AbbVie Sp. z o.o.</w:delText>
              </w:r>
            </w:del>
          </w:p>
          <w:p w14:paraId="4B0DF214" w14:textId="77777777" w:rsidR="00171291" w:rsidRPr="00BD646C" w:rsidRDefault="00000000" w:rsidP="001F79B0">
            <w:pPr>
              <w:rPr>
                <w:del w:id="11028" w:author="AbbVie1" w:date="2025-05-13T10:11:00Z"/>
                <w:bCs/>
                <w:szCs w:val="22"/>
                <w:lang w:val="pl-PL"/>
              </w:rPr>
            </w:pPr>
            <w:del w:id="11029" w:author="AbbVie1" w:date="2025-05-13T10:11:00Z">
              <w:r w:rsidRPr="00BD646C">
                <w:rPr>
                  <w:szCs w:val="22"/>
                  <w:lang w:val="es-ES"/>
                </w:rPr>
                <w:delText xml:space="preserve">Tel.: +48 22 </w:delText>
              </w:r>
              <w:r w:rsidRPr="00BD646C">
                <w:rPr>
                  <w:bCs/>
                  <w:szCs w:val="22"/>
                  <w:lang w:val="pl-PL"/>
                </w:rPr>
                <w:delText xml:space="preserve">372 78 00 </w:delText>
              </w:r>
            </w:del>
          </w:p>
          <w:p w14:paraId="710CB5D7" w14:textId="77777777" w:rsidR="00171291" w:rsidRPr="00BD646C" w:rsidRDefault="00171291" w:rsidP="001F79B0">
            <w:pPr>
              <w:rPr>
                <w:del w:id="11030" w:author="AbbVie1" w:date="2025-05-13T10:11:00Z"/>
                <w:bCs/>
                <w:szCs w:val="22"/>
                <w:lang w:val="pl-PL"/>
              </w:rPr>
            </w:pPr>
          </w:p>
        </w:tc>
      </w:tr>
      <w:tr w:rsidR="00534A2D" w14:paraId="2EB1EDA3" w14:textId="77777777" w:rsidTr="001F79B0">
        <w:trPr>
          <w:trHeight w:val="734"/>
          <w:del w:id="11031" w:author="AbbVie1" w:date="2025-05-13T10:11:00Z"/>
        </w:trPr>
        <w:tc>
          <w:tcPr>
            <w:tcW w:w="4678" w:type="dxa"/>
            <w:gridSpan w:val="3"/>
          </w:tcPr>
          <w:p w14:paraId="5E5A7580" w14:textId="77777777" w:rsidR="00171291" w:rsidRPr="00BD646C" w:rsidRDefault="00000000" w:rsidP="001F79B0">
            <w:pPr>
              <w:rPr>
                <w:del w:id="11032" w:author="AbbVie1" w:date="2025-05-13T10:11:00Z"/>
                <w:b/>
                <w:bCs/>
                <w:szCs w:val="22"/>
                <w:lang w:val="fr-FR"/>
              </w:rPr>
            </w:pPr>
            <w:del w:id="11033" w:author="AbbVie1" w:date="2025-05-13T10:11:00Z">
              <w:r w:rsidRPr="00BD646C">
                <w:rPr>
                  <w:b/>
                  <w:bCs/>
                  <w:szCs w:val="22"/>
                  <w:lang w:val="fr-FR"/>
                </w:rPr>
                <w:delText>France</w:delText>
              </w:r>
            </w:del>
          </w:p>
          <w:p w14:paraId="4F5A8F1C" w14:textId="77777777" w:rsidR="00171291" w:rsidRPr="00BD646C" w:rsidRDefault="00000000" w:rsidP="001F79B0">
            <w:pPr>
              <w:rPr>
                <w:del w:id="11034" w:author="AbbVie1" w:date="2025-05-13T10:11:00Z"/>
                <w:bCs/>
                <w:szCs w:val="22"/>
                <w:lang w:val="fr-FR"/>
              </w:rPr>
            </w:pPr>
            <w:del w:id="11035" w:author="AbbVie1" w:date="2025-05-13T10:11:00Z">
              <w:r w:rsidRPr="00BD646C">
                <w:rPr>
                  <w:bCs/>
                  <w:szCs w:val="22"/>
                  <w:lang w:val="fr-FR"/>
                </w:rPr>
                <w:delText>AbbVie</w:delText>
              </w:r>
            </w:del>
          </w:p>
          <w:p w14:paraId="6030F651" w14:textId="77777777" w:rsidR="00171291" w:rsidRPr="00BD646C" w:rsidRDefault="00000000" w:rsidP="001F79B0">
            <w:pPr>
              <w:rPr>
                <w:del w:id="11036" w:author="AbbVie1" w:date="2025-05-13T10:11:00Z"/>
                <w:bCs/>
                <w:szCs w:val="22"/>
                <w:lang w:val="fr-FR"/>
              </w:rPr>
            </w:pPr>
            <w:del w:id="11037" w:author="AbbVie1" w:date="2025-05-13T10:11:00Z">
              <w:r w:rsidRPr="00BD646C">
                <w:rPr>
                  <w:bCs/>
                  <w:szCs w:val="22"/>
                  <w:lang w:val="fr-FR"/>
                </w:rPr>
                <w:delText>Tél: +33 (0) 1 45 60 13 00</w:delText>
              </w:r>
            </w:del>
          </w:p>
        </w:tc>
        <w:tc>
          <w:tcPr>
            <w:tcW w:w="4678" w:type="dxa"/>
          </w:tcPr>
          <w:p w14:paraId="516676C3" w14:textId="77777777" w:rsidR="00171291" w:rsidRPr="00BD646C" w:rsidRDefault="00000000" w:rsidP="001F79B0">
            <w:pPr>
              <w:rPr>
                <w:del w:id="11038" w:author="AbbVie1" w:date="2025-05-13T10:11:00Z"/>
                <w:b/>
                <w:bCs/>
                <w:szCs w:val="22"/>
                <w:lang w:val="pt-PT"/>
              </w:rPr>
            </w:pPr>
            <w:del w:id="11039" w:author="AbbVie1" w:date="2025-05-13T10:11:00Z">
              <w:r w:rsidRPr="00BD646C">
                <w:rPr>
                  <w:b/>
                  <w:bCs/>
                  <w:szCs w:val="22"/>
                  <w:lang w:val="pt-PT"/>
                </w:rPr>
                <w:delText>Portugal</w:delText>
              </w:r>
            </w:del>
          </w:p>
          <w:p w14:paraId="62E701E9" w14:textId="77777777" w:rsidR="00171291" w:rsidRPr="00BD646C" w:rsidRDefault="00000000" w:rsidP="001F79B0">
            <w:pPr>
              <w:rPr>
                <w:del w:id="11040" w:author="AbbVie1" w:date="2025-05-13T10:11:00Z"/>
                <w:bCs/>
                <w:szCs w:val="22"/>
                <w:lang w:val="fr-FR"/>
              </w:rPr>
            </w:pPr>
            <w:del w:id="11041" w:author="AbbVie1" w:date="2025-05-13T10:11:00Z">
              <w:r w:rsidRPr="00BD646C">
                <w:rPr>
                  <w:bCs/>
                  <w:szCs w:val="22"/>
                  <w:lang w:val="fr-FR"/>
                </w:rPr>
                <w:delText xml:space="preserve">AbbVie, Lda. </w:delText>
              </w:r>
            </w:del>
          </w:p>
          <w:p w14:paraId="53413723" w14:textId="77777777" w:rsidR="00171291" w:rsidRPr="00BD646C" w:rsidRDefault="00000000" w:rsidP="001F79B0">
            <w:pPr>
              <w:rPr>
                <w:del w:id="11042" w:author="AbbVie1" w:date="2025-05-13T10:11:00Z"/>
                <w:szCs w:val="22"/>
                <w:lang w:val="fr-FR"/>
              </w:rPr>
            </w:pPr>
            <w:del w:id="11043" w:author="AbbVie1" w:date="2025-05-13T10:11:00Z">
              <w:r w:rsidRPr="00BD646C">
                <w:rPr>
                  <w:szCs w:val="22"/>
                  <w:lang w:val="fr-FR"/>
                </w:rPr>
                <w:delText>Tel: +351 (0)21 1908400</w:delText>
              </w:r>
            </w:del>
          </w:p>
          <w:p w14:paraId="07ED1E59" w14:textId="77777777" w:rsidR="00171291" w:rsidRPr="00BD646C" w:rsidRDefault="00171291" w:rsidP="001F79B0">
            <w:pPr>
              <w:rPr>
                <w:del w:id="11044" w:author="AbbVie1" w:date="2025-05-13T10:11:00Z"/>
                <w:szCs w:val="22"/>
                <w:lang w:val="fr-FR"/>
              </w:rPr>
            </w:pPr>
          </w:p>
        </w:tc>
      </w:tr>
      <w:tr w:rsidR="00534A2D" w14:paraId="1BBA3579" w14:textId="77777777" w:rsidTr="001F79B0">
        <w:trPr>
          <w:gridBefore w:val="1"/>
          <w:wBefore w:w="34" w:type="dxa"/>
          <w:del w:id="11045" w:author="AbbVie1" w:date="2025-05-13T10:11:00Z"/>
        </w:trPr>
        <w:tc>
          <w:tcPr>
            <w:tcW w:w="4644" w:type="dxa"/>
            <w:gridSpan w:val="2"/>
          </w:tcPr>
          <w:p w14:paraId="7AF64D9E" w14:textId="77777777" w:rsidR="00171291" w:rsidRPr="005B1CF3" w:rsidRDefault="00000000" w:rsidP="001F79B0">
            <w:pPr>
              <w:rPr>
                <w:del w:id="11046" w:author="AbbVie1" w:date="2025-05-13T10:11:00Z"/>
                <w:szCs w:val="22"/>
                <w:rPrChange w:id="11047" w:author="Abbvie02" w:date="2025-05-16T11:16:00Z">
                  <w:rPr>
                    <w:del w:id="11048" w:author="AbbVie1" w:date="2025-05-13T10:11:00Z"/>
                    <w:szCs w:val="22"/>
                    <w:lang w:val="en-GB"/>
                  </w:rPr>
                </w:rPrChange>
              </w:rPr>
            </w:pPr>
            <w:del w:id="11049" w:author="AbbVie1" w:date="2025-05-13T10:11:00Z">
              <w:r w:rsidRPr="005B1CF3">
                <w:rPr>
                  <w:b/>
                  <w:bCs/>
                  <w:szCs w:val="22"/>
                  <w:rPrChange w:id="11050" w:author="Abbvie02" w:date="2025-05-16T11:16:00Z">
                    <w:rPr>
                      <w:b/>
                      <w:bCs/>
                      <w:szCs w:val="22"/>
                      <w:lang w:val="en-GB"/>
                    </w:rPr>
                  </w:rPrChange>
                </w:rPr>
                <w:delText xml:space="preserve">Hrvatska </w:delText>
              </w:r>
            </w:del>
          </w:p>
          <w:p w14:paraId="560CAA92" w14:textId="77777777" w:rsidR="00171291" w:rsidRPr="00BD646C" w:rsidRDefault="00000000" w:rsidP="001F79B0">
            <w:pPr>
              <w:rPr>
                <w:del w:id="11051" w:author="AbbVie1" w:date="2025-05-13T10:11:00Z"/>
                <w:szCs w:val="22"/>
                <w:lang w:val="hr-HR"/>
              </w:rPr>
            </w:pPr>
            <w:del w:id="11052" w:author="AbbVie1" w:date="2025-05-13T10:11:00Z">
              <w:r w:rsidRPr="00BD646C">
                <w:rPr>
                  <w:szCs w:val="22"/>
                  <w:lang w:val="hr-HR"/>
                </w:rPr>
                <w:delText>AbbVie d.o.o.</w:delText>
              </w:r>
            </w:del>
          </w:p>
          <w:p w14:paraId="3EF88CC3" w14:textId="77777777" w:rsidR="00171291" w:rsidRPr="005B1CF3" w:rsidRDefault="00000000" w:rsidP="001F79B0">
            <w:pPr>
              <w:rPr>
                <w:del w:id="11053" w:author="AbbVie1" w:date="2025-05-13T10:11:00Z"/>
                <w:bCs/>
                <w:szCs w:val="22"/>
                <w:rPrChange w:id="11054" w:author="Abbvie02" w:date="2025-05-16T11:16:00Z">
                  <w:rPr>
                    <w:del w:id="11055" w:author="AbbVie1" w:date="2025-05-13T10:11:00Z"/>
                    <w:bCs/>
                    <w:szCs w:val="22"/>
                    <w:lang w:val="it-IT"/>
                  </w:rPr>
                </w:rPrChange>
              </w:rPr>
            </w:pPr>
            <w:del w:id="11056" w:author="AbbVie1" w:date="2025-05-13T10:11:00Z">
              <w:r w:rsidRPr="00BD646C">
                <w:rPr>
                  <w:szCs w:val="22"/>
                  <w:lang w:val="hr-HR"/>
                </w:rPr>
                <w:delText xml:space="preserve">Tel + 385 (0)1 </w:delText>
              </w:r>
              <w:r w:rsidRPr="005B1CF3">
                <w:rPr>
                  <w:szCs w:val="22"/>
                  <w:rPrChange w:id="11057" w:author="Abbvie02" w:date="2025-05-16T11:16:00Z">
                    <w:rPr>
                      <w:szCs w:val="22"/>
                      <w:lang w:val="en-US"/>
                    </w:rPr>
                  </w:rPrChange>
                </w:rPr>
                <w:delText>5625 501</w:delText>
              </w:r>
            </w:del>
          </w:p>
        </w:tc>
        <w:tc>
          <w:tcPr>
            <w:tcW w:w="4678" w:type="dxa"/>
          </w:tcPr>
          <w:p w14:paraId="603CF9FE" w14:textId="77777777" w:rsidR="00171291" w:rsidRPr="005B1CF3" w:rsidRDefault="00000000" w:rsidP="001F79B0">
            <w:pPr>
              <w:rPr>
                <w:del w:id="11058" w:author="AbbVie1" w:date="2025-05-13T10:11:00Z"/>
                <w:b/>
                <w:bCs/>
                <w:szCs w:val="22"/>
                <w:rPrChange w:id="11059" w:author="Abbvie02" w:date="2025-05-16T11:16:00Z">
                  <w:rPr>
                    <w:del w:id="11060" w:author="AbbVie1" w:date="2025-05-13T10:11:00Z"/>
                    <w:b/>
                    <w:bCs/>
                    <w:szCs w:val="22"/>
                    <w:lang w:val="it-IT"/>
                  </w:rPr>
                </w:rPrChange>
              </w:rPr>
            </w:pPr>
            <w:del w:id="11061" w:author="AbbVie1" w:date="2025-05-13T10:11:00Z">
              <w:r w:rsidRPr="005B1CF3">
                <w:rPr>
                  <w:b/>
                  <w:bCs/>
                  <w:szCs w:val="22"/>
                  <w:rPrChange w:id="11062" w:author="Abbvie02" w:date="2025-05-16T11:16:00Z">
                    <w:rPr>
                      <w:b/>
                      <w:bCs/>
                      <w:szCs w:val="22"/>
                      <w:lang w:val="it-IT"/>
                    </w:rPr>
                  </w:rPrChange>
                </w:rPr>
                <w:delText>România</w:delText>
              </w:r>
            </w:del>
          </w:p>
          <w:p w14:paraId="1E4F675B" w14:textId="77777777" w:rsidR="00171291" w:rsidRPr="005B1CF3" w:rsidRDefault="00000000" w:rsidP="001F79B0">
            <w:pPr>
              <w:rPr>
                <w:del w:id="11063" w:author="AbbVie1" w:date="2025-05-13T10:11:00Z"/>
                <w:szCs w:val="22"/>
                <w:rPrChange w:id="11064" w:author="Abbvie02" w:date="2025-05-16T11:16:00Z">
                  <w:rPr>
                    <w:del w:id="11065" w:author="AbbVie1" w:date="2025-05-13T10:11:00Z"/>
                    <w:szCs w:val="22"/>
                    <w:lang w:val="it-IT"/>
                  </w:rPr>
                </w:rPrChange>
              </w:rPr>
            </w:pPr>
            <w:del w:id="11066" w:author="AbbVie1" w:date="2025-05-13T10:11:00Z">
              <w:r w:rsidRPr="005B1CF3">
                <w:rPr>
                  <w:szCs w:val="22"/>
                  <w:rPrChange w:id="11067" w:author="Abbvie02" w:date="2025-05-16T11:16:00Z">
                    <w:rPr>
                      <w:szCs w:val="22"/>
                      <w:lang w:val="it-IT"/>
                    </w:rPr>
                  </w:rPrChange>
                </w:rPr>
                <w:delText>AbbVie S.R.L.</w:delText>
              </w:r>
            </w:del>
          </w:p>
          <w:p w14:paraId="673CDEFB" w14:textId="77777777" w:rsidR="00171291" w:rsidRPr="00BD646C" w:rsidRDefault="00000000" w:rsidP="001F79B0">
            <w:pPr>
              <w:rPr>
                <w:del w:id="11068" w:author="AbbVie1" w:date="2025-05-13T10:11:00Z"/>
                <w:szCs w:val="22"/>
                <w:lang w:val="pl-PL"/>
              </w:rPr>
            </w:pPr>
            <w:del w:id="11069" w:author="AbbVie1" w:date="2025-05-13T10:11:00Z">
              <w:r w:rsidRPr="00BD646C">
                <w:rPr>
                  <w:szCs w:val="22"/>
                  <w:lang w:val="pl-PL"/>
                </w:rPr>
                <w:delText>Tel: +40 21 529 30 35</w:delText>
              </w:r>
            </w:del>
          </w:p>
          <w:p w14:paraId="2543239E" w14:textId="77777777" w:rsidR="00171291" w:rsidRPr="00BD646C" w:rsidRDefault="00171291" w:rsidP="001F79B0">
            <w:pPr>
              <w:rPr>
                <w:del w:id="11070" w:author="AbbVie1" w:date="2025-05-13T10:11:00Z"/>
                <w:szCs w:val="22"/>
                <w:lang w:val="pl-PL"/>
              </w:rPr>
            </w:pPr>
          </w:p>
        </w:tc>
      </w:tr>
      <w:tr w:rsidR="00534A2D" w14:paraId="666F7171" w14:textId="77777777" w:rsidTr="001F79B0">
        <w:trPr>
          <w:gridBefore w:val="1"/>
          <w:wBefore w:w="34" w:type="dxa"/>
          <w:del w:id="11071" w:author="AbbVie1" w:date="2025-05-13T10:11:00Z"/>
        </w:trPr>
        <w:tc>
          <w:tcPr>
            <w:tcW w:w="4644" w:type="dxa"/>
            <w:gridSpan w:val="2"/>
          </w:tcPr>
          <w:p w14:paraId="51A22AF6" w14:textId="77777777" w:rsidR="00171291" w:rsidRPr="00BD646C" w:rsidRDefault="00000000" w:rsidP="001F79B0">
            <w:pPr>
              <w:rPr>
                <w:del w:id="11072" w:author="AbbVie1" w:date="2025-05-13T10:11:00Z"/>
                <w:b/>
                <w:bCs/>
                <w:szCs w:val="22"/>
                <w:lang w:val="sk-SK"/>
              </w:rPr>
            </w:pPr>
            <w:del w:id="11073" w:author="AbbVie1" w:date="2025-05-13T10:11:00Z">
              <w:r w:rsidRPr="00BD646C">
                <w:rPr>
                  <w:b/>
                  <w:bCs/>
                  <w:szCs w:val="22"/>
                  <w:lang w:val="sk-SK"/>
                </w:rPr>
                <w:delText>Ireland</w:delText>
              </w:r>
            </w:del>
          </w:p>
          <w:p w14:paraId="55570E8F" w14:textId="77777777" w:rsidR="00171291" w:rsidRPr="00BD646C" w:rsidRDefault="00000000" w:rsidP="001F79B0">
            <w:pPr>
              <w:rPr>
                <w:del w:id="11074" w:author="AbbVie1" w:date="2025-05-13T10:11:00Z"/>
                <w:bCs/>
                <w:szCs w:val="22"/>
                <w:lang w:val="sk-SK"/>
              </w:rPr>
            </w:pPr>
            <w:del w:id="11075" w:author="AbbVie1" w:date="2025-05-13T10:11:00Z">
              <w:r w:rsidRPr="00BD646C">
                <w:rPr>
                  <w:bCs/>
                  <w:szCs w:val="22"/>
                  <w:lang w:val="sk-SK"/>
                </w:rPr>
                <w:delText xml:space="preserve">AbbVie Limited </w:delText>
              </w:r>
            </w:del>
          </w:p>
          <w:p w14:paraId="07D67312" w14:textId="77777777" w:rsidR="00171291" w:rsidRPr="00BD646C" w:rsidRDefault="00000000" w:rsidP="001F79B0">
            <w:pPr>
              <w:rPr>
                <w:del w:id="11076" w:author="AbbVie1" w:date="2025-05-13T10:11:00Z"/>
                <w:bCs/>
                <w:szCs w:val="22"/>
                <w:lang w:val="sk-SK"/>
              </w:rPr>
            </w:pPr>
            <w:del w:id="11077" w:author="AbbVie1" w:date="2025-05-13T10:11:00Z">
              <w:r w:rsidRPr="00BD646C">
                <w:rPr>
                  <w:bCs/>
                  <w:szCs w:val="22"/>
                  <w:lang w:val="pt-PT"/>
                </w:rPr>
                <w:delText>Tel: +353 (0)1 428790</w:delText>
              </w:r>
              <w:r w:rsidR="00C57483">
                <w:rPr>
                  <w:bCs/>
                  <w:szCs w:val="22"/>
                  <w:lang w:val="pt-PT"/>
                </w:rPr>
                <w:delText>0</w:delText>
              </w:r>
            </w:del>
          </w:p>
        </w:tc>
        <w:tc>
          <w:tcPr>
            <w:tcW w:w="4678" w:type="dxa"/>
          </w:tcPr>
          <w:p w14:paraId="49093B53" w14:textId="77777777" w:rsidR="00171291" w:rsidRPr="00BD646C" w:rsidRDefault="00000000" w:rsidP="001F79B0">
            <w:pPr>
              <w:rPr>
                <w:del w:id="11078" w:author="AbbVie1" w:date="2025-05-13T10:11:00Z"/>
                <w:b/>
                <w:bCs/>
                <w:szCs w:val="22"/>
                <w:lang w:val="sl-SI"/>
              </w:rPr>
            </w:pPr>
            <w:del w:id="11079" w:author="AbbVie1" w:date="2025-05-13T10:11:00Z">
              <w:r w:rsidRPr="00BD646C">
                <w:rPr>
                  <w:b/>
                  <w:bCs/>
                  <w:szCs w:val="22"/>
                  <w:lang w:val="sl-SI"/>
                </w:rPr>
                <w:delText>Slovenija</w:delText>
              </w:r>
            </w:del>
          </w:p>
          <w:p w14:paraId="0235CB6E" w14:textId="77777777" w:rsidR="00171291" w:rsidRPr="00BD646C" w:rsidRDefault="00000000" w:rsidP="001F79B0">
            <w:pPr>
              <w:rPr>
                <w:del w:id="11080" w:author="AbbVie1" w:date="2025-05-13T10:11:00Z"/>
                <w:bCs/>
                <w:szCs w:val="22"/>
                <w:lang w:val="sl-SI"/>
              </w:rPr>
            </w:pPr>
            <w:del w:id="11081" w:author="AbbVie1" w:date="2025-05-13T10:11:00Z">
              <w:r w:rsidRPr="00BD646C">
                <w:rPr>
                  <w:bCs/>
                  <w:szCs w:val="22"/>
                  <w:lang w:val="sl-SI"/>
                </w:rPr>
                <w:delText xml:space="preserve">AbbVie </w:delText>
              </w:r>
              <w:r w:rsidRPr="00BD646C">
                <w:rPr>
                  <w:szCs w:val="22"/>
                  <w:lang w:val="sl-SI"/>
                </w:rPr>
                <w:delText>Biofarmacevtska družba d.o.o.</w:delText>
              </w:r>
            </w:del>
          </w:p>
          <w:p w14:paraId="64C9DA21" w14:textId="77777777" w:rsidR="00171291" w:rsidRPr="00BD646C" w:rsidRDefault="00000000" w:rsidP="001F79B0">
            <w:pPr>
              <w:rPr>
                <w:del w:id="11082" w:author="AbbVie1" w:date="2025-05-13T10:11:00Z"/>
                <w:bCs/>
                <w:szCs w:val="22"/>
                <w:lang w:val="sl-SI"/>
              </w:rPr>
            </w:pPr>
            <w:del w:id="11083" w:author="AbbVie1" w:date="2025-05-13T10:11:00Z">
              <w:r w:rsidRPr="00BD646C">
                <w:rPr>
                  <w:bCs/>
                  <w:szCs w:val="22"/>
                  <w:lang w:val="sl-SI"/>
                </w:rPr>
                <w:delText>Tel: +386 (1)32 08 060</w:delText>
              </w:r>
            </w:del>
          </w:p>
          <w:p w14:paraId="2EC21369" w14:textId="77777777" w:rsidR="00171291" w:rsidRPr="00BD646C" w:rsidRDefault="00171291" w:rsidP="001F79B0">
            <w:pPr>
              <w:rPr>
                <w:del w:id="11084" w:author="AbbVie1" w:date="2025-05-13T10:11:00Z"/>
                <w:bCs/>
                <w:szCs w:val="22"/>
                <w:lang w:val="sl-SI"/>
              </w:rPr>
            </w:pPr>
          </w:p>
        </w:tc>
      </w:tr>
      <w:tr w:rsidR="00534A2D" w14:paraId="3B59A1FD" w14:textId="77777777" w:rsidTr="001F79B0">
        <w:trPr>
          <w:gridBefore w:val="1"/>
          <w:wBefore w:w="34" w:type="dxa"/>
          <w:del w:id="11085" w:author="AbbVie1" w:date="2025-05-13T10:11:00Z"/>
        </w:trPr>
        <w:tc>
          <w:tcPr>
            <w:tcW w:w="4644" w:type="dxa"/>
            <w:gridSpan w:val="2"/>
          </w:tcPr>
          <w:p w14:paraId="5C5FF522" w14:textId="77777777" w:rsidR="00171291" w:rsidRPr="00BD646C" w:rsidRDefault="00000000" w:rsidP="001F79B0">
            <w:pPr>
              <w:rPr>
                <w:del w:id="11086" w:author="AbbVie1" w:date="2025-05-13T10:11:00Z"/>
                <w:b/>
                <w:bCs/>
                <w:szCs w:val="22"/>
                <w:lang w:val="is-IS"/>
              </w:rPr>
            </w:pPr>
            <w:del w:id="11087" w:author="AbbVie1" w:date="2025-05-13T10:11:00Z">
              <w:r w:rsidRPr="00BD646C">
                <w:rPr>
                  <w:b/>
                  <w:bCs/>
                  <w:szCs w:val="22"/>
                  <w:lang w:val="is-IS"/>
                </w:rPr>
                <w:delText>Ísland</w:delText>
              </w:r>
            </w:del>
          </w:p>
          <w:p w14:paraId="684C0792" w14:textId="77777777" w:rsidR="00171291" w:rsidRPr="00BD646C" w:rsidRDefault="00000000" w:rsidP="001F79B0">
            <w:pPr>
              <w:rPr>
                <w:del w:id="11088" w:author="AbbVie1" w:date="2025-05-13T10:11:00Z"/>
                <w:bCs/>
                <w:szCs w:val="22"/>
                <w:lang w:val="sk-SK"/>
              </w:rPr>
            </w:pPr>
            <w:del w:id="11089" w:author="AbbVie1" w:date="2025-05-13T10:11:00Z">
              <w:r w:rsidRPr="00BD646C">
                <w:rPr>
                  <w:bCs/>
                  <w:szCs w:val="22"/>
                  <w:lang w:val="sk-SK"/>
                </w:rPr>
                <w:delText>Vistor hf.</w:delText>
              </w:r>
            </w:del>
          </w:p>
          <w:p w14:paraId="47CB4D4C" w14:textId="77777777" w:rsidR="00171291" w:rsidRPr="00BD646C" w:rsidRDefault="00000000" w:rsidP="001F79B0">
            <w:pPr>
              <w:rPr>
                <w:del w:id="11090" w:author="AbbVie1" w:date="2025-05-13T10:11:00Z"/>
                <w:bCs/>
                <w:szCs w:val="22"/>
                <w:lang w:val="sk-SK"/>
              </w:rPr>
            </w:pPr>
            <w:del w:id="11091" w:author="AbbVie1" w:date="2025-05-13T10:11:00Z">
              <w:r w:rsidRPr="00BD646C">
                <w:rPr>
                  <w:bCs/>
                  <w:szCs w:val="22"/>
                  <w:lang w:val="sk-SK"/>
                </w:rPr>
                <w:delText>Tel: +354 535 7000</w:delText>
              </w:r>
            </w:del>
          </w:p>
        </w:tc>
        <w:tc>
          <w:tcPr>
            <w:tcW w:w="4678" w:type="dxa"/>
          </w:tcPr>
          <w:p w14:paraId="5D612D9B" w14:textId="77777777" w:rsidR="00171291" w:rsidRPr="00BD646C" w:rsidRDefault="00000000" w:rsidP="001F79B0">
            <w:pPr>
              <w:rPr>
                <w:del w:id="11092" w:author="AbbVie1" w:date="2025-05-13T10:11:00Z"/>
                <w:b/>
                <w:bCs/>
                <w:szCs w:val="22"/>
                <w:lang w:val="sk-SK"/>
              </w:rPr>
            </w:pPr>
            <w:del w:id="11093" w:author="AbbVie1" w:date="2025-05-13T10:11:00Z">
              <w:r w:rsidRPr="00BD646C">
                <w:rPr>
                  <w:b/>
                  <w:bCs/>
                  <w:szCs w:val="22"/>
                  <w:lang w:val="sk-SK"/>
                </w:rPr>
                <w:delText>Slovenská republika</w:delText>
              </w:r>
            </w:del>
          </w:p>
          <w:p w14:paraId="741F7AB5" w14:textId="77777777" w:rsidR="00171291" w:rsidRPr="00BD646C" w:rsidRDefault="00000000" w:rsidP="001F79B0">
            <w:pPr>
              <w:rPr>
                <w:del w:id="11094" w:author="AbbVie1" w:date="2025-05-13T10:11:00Z"/>
                <w:bCs/>
                <w:szCs w:val="22"/>
                <w:lang w:val="sk-SK"/>
              </w:rPr>
            </w:pPr>
            <w:del w:id="11095" w:author="AbbVie1" w:date="2025-05-13T10:11:00Z">
              <w:r w:rsidRPr="00BD646C">
                <w:rPr>
                  <w:bCs/>
                  <w:szCs w:val="22"/>
                  <w:lang w:val="sk-SK"/>
                </w:rPr>
                <w:delText>AbbVie s.r.o.</w:delText>
              </w:r>
            </w:del>
          </w:p>
          <w:p w14:paraId="76B36511" w14:textId="77777777" w:rsidR="00171291" w:rsidRPr="00BD646C" w:rsidRDefault="00000000" w:rsidP="001F79B0">
            <w:pPr>
              <w:rPr>
                <w:del w:id="11096" w:author="AbbVie1" w:date="2025-05-13T10:11:00Z"/>
                <w:bCs/>
                <w:szCs w:val="22"/>
                <w:lang w:val="sk-SK"/>
              </w:rPr>
            </w:pPr>
            <w:del w:id="11097" w:author="AbbVie1" w:date="2025-05-13T10:11:00Z">
              <w:r w:rsidRPr="00BD646C">
                <w:rPr>
                  <w:bCs/>
                  <w:szCs w:val="22"/>
                  <w:lang w:val="sk-SK"/>
                </w:rPr>
                <w:delText>Tel: +421 2 5050 0777</w:delText>
              </w:r>
            </w:del>
          </w:p>
          <w:p w14:paraId="5B392BFE" w14:textId="77777777" w:rsidR="00171291" w:rsidRPr="00BD646C" w:rsidRDefault="00171291" w:rsidP="001F79B0">
            <w:pPr>
              <w:rPr>
                <w:del w:id="11098" w:author="AbbVie1" w:date="2025-05-13T10:11:00Z"/>
                <w:bCs/>
                <w:szCs w:val="22"/>
                <w:lang w:val="sk-SK"/>
              </w:rPr>
            </w:pPr>
          </w:p>
        </w:tc>
      </w:tr>
      <w:tr w:rsidR="00534A2D" w14:paraId="5C057F30" w14:textId="77777777" w:rsidTr="001F79B0">
        <w:trPr>
          <w:gridBefore w:val="1"/>
          <w:wBefore w:w="34" w:type="dxa"/>
          <w:del w:id="11099" w:author="AbbVie1" w:date="2025-05-13T10:11:00Z"/>
        </w:trPr>
        <w:tc>
          <w:tcPr>
            <w:tcW w:w="4644" w:type="dxa"/>
            <w:gridSpan w:val="2"/>
          </w:tcPr>
          <w:p w14:paraId="78A84445" w14:textId="77777777" w:rsidR="00171291" w:rsidRPr="005B1CF3" w:rsidRDefault="00000000" w:rsidP="001F79B0">
            <w:pPr>
              <w:rPr>
                <w:del w:id="11100" w:author="AbbVie1" w:date="2025-05-13T10:11:00Z"/>
                <w:b/>
                <w:bCs/>
                <w:szCs w:val="22"/>
                <w:rPrChange w:id="11101" w:author="Abbvie02" w:date="2025-05-16T11:16:00Z">
                  <w:rPr>
                    <w:del w:id="11102" w:author="AbbVie1" w:date="2025-05-13T10:11:00Z"/>
                    <w:b/>
                    <w:bCs/>
                    <w:szCs w:val="22"/>
                    <w:lang w:val="it-IT"/>
                  </w:rPr>
                </w:rPrChange>
              </w:rPr>
            </w:pPr>
            <w:del w:id="11103" w:author="AbbVie1" w:date="2025-05-13T10:11:00Z">
              <w:r w:rsidRPr="005B1CF3">
                <w:rPr>
                  <w:b/>
                  <w:bCs/>
                  <w:szCs w:val="22"/>
                  <w:rPrChange w:id="11104" w:author="Abbvie02" w:date="2025-05-16T11:16:00Z">
                    <w:rPr>
                      <w:b/>
                      <w:bCs/>
                      <w:szCs w:val="22"/>
                      <w:lang w:val="it-IT"/>
                    </w:rPr>
                  </w:rPrChange>
                </w:rPr>
                <w:delText>Italia</w:delText>
              </w:r>
            </w:del>
          </w:p>
          <w:p w14:paraId="6A4FF157" w14:textId="77777777" w:rsidR="00171291" w:rsidRPr="00BD646C" w:rsidRDefault="00000000" w:rsidP="001F79B0">
            <w:pPr>
              <w:rPr>
                <w:del w:id="11105" w:author="AbbVie1" w:date="2025-05-13T10:11:00Z"/>
                <w:bCs/>
                <w:szCs w:val="22"/>
                <w:lang w:val="pt-PT"/>
              </w:rPr>
            </w:pPr>
            <w:del w:id="11106" w:author="AbbVie1" w:date="2025-05-13T10:11:00Z">
              <w:r w:rsidRPr="00BD646C">
                <w:rPr>
                  <w:bCs/>
                  <w:szCs w:val="22"/>
                  <w:lang w:val="pt-PT"/>
                </w:rPr>
                <w:delText xml:space="preserve">AbbVie S.r.l. </w:delText>
              </w:r>
            </w:del>
          </w:p>
          <w:p w14:paraId="17EA9490" w14:textId="77777777" w:rsidR="00171291" w:rsidRPr="00BD646C" w:rsidRDefault="00000000" w:rsidP="001F79B0">
            <w:pPr>
              <w:rPr>
                <w:del w:id="11107" w:author="AbbVie1" w:date="2025-05-13T10:11:00Z"/>
                <w:bCs/>
                <w:szCs w:val="22"/>
                <w:lang w:val="fi-FI"/>
              </w:rPr>
            </w:pPr>
            <w:del w:id="11108" w:author="AbbVie1" w:date="2025-05-13T10:11:00Z">
              <w:r w:rsidRPr="00BD646C">
                <w:rPr>
                  <w:bCs/>
                  <w:szCs w:val="22"/>
                  <w:lang w:val="fr-FR"/>
                </w:rPr>
                <w:delText>Tel: +39 06 928921</w:delText>
              </w:r>
            </w:del>
          </w:p>
        </w:tc>
        <w:tc>
          <w:tcPr>
            <w:tcW w:w="4678" w:type="dxa"/>
          </w:tcPr>
          <w:p w14:paraId="1D5218C1" w14:textId="77777777" w:rsidR="00171291" w:rsidRPr="00BD646C" w:rsidRDefault="00000000" w:rsidP="001F79B0">
            <w:pPr>
              <w:rPr>
                <w:del w:id="11109" w:author="AbbVie1" w:date="2025-05-13T10:11:00Z"/>
                <w:b/>
                <w:bCs/>
                <w:szCs w:val="22"/>
                <w:lang w:val="fi-FI"/>
              </w:rPr>
            </w:pPr>
            <w:del w:id="11110" w:author="AbbVie1" w:date="2025-05-13T10:11:00Z">
              <w:r w:rsidRPr="00BD646C">
                <w:rPr>
                  <w:b/>
                  <w:bCs/>
                  <w:szCs w:val="22"/>
                  <w:lang w:val="fi-FI"/>
                </w:rPr>
                <w:delText>Suomi/Finland</w:delText>
              </w:r>
            </w:del>
          </w:p>
          <w:p w14:paraId="718C5FAE" w14:textId="77777777" w:rsidR="00171291" w:rsidRPr="00BD646C" w:rsidRDefault="00000000" w:rsidP="001F79B0">
            <w:pPr>
              <w:rPr>
                <w:del w:id="11111" w:author="AbbVie1" w:date="2025-05-13T10:11:00Z"/>
                <w:bCs/>
                <w:szCs w:val="22"/>
                <w:lang w:val="de-CH"/>
              </w:rPr>
            </w:pPr>
            <w:del w:id="11112" w:author="AbbVie1" w:date="2025-05-13T10:11:00Z">
              <w:r w:rsidRPr="00BD646C">
                <w:rPr>
                  <w:bCs/>
                  <w:szCs w:val="22"/>
                  <w:lang w:val="sk-SK"/>
                </w:rPr>
                <w:delText>AbbVie Oy</w:delText>
              </w:r>
            </w:del>
          </w:p>
          <w:p w14:paraId="313F7F90" w14:textId="77777777" w:rsidR="00171291" w:rsidRPr="00BD646C" w:rsidRDefault="00000000" w:rsidP="001F79B0">
            <w:pPr>
              <w:rPr>
                <w:del w:id="11113" w:author="AbbVie1" w:date="2025-05-13T10:11:00Z"/>
                <w:bCs/>
                <w:szCs w:val="22"/>
                <w:lang w:val="sk-SK"/>
              </w:rPr>
            </w:pPr>
            <w:del w:id="11114" w:author="AbbVie1" w:date="2025-05-13T10:11:00Z">
              <w:r w:rsidRPr="00BD646C">
                <w:rPr>
                  <w:bCs/>
                  <w:szCs w:val="22"/>
                  <w:lang w:val="sk-SK"/>
                </w:rPr>
                <w:delText>Puh/Tel: +358 (0)10 2411 200</w:delText>
              </w:r>
            </w:del>
          </w:p>
          <w:p w14:paraId="6C0D79C6" w14:textId="77777777" w:rsidR="00171291" w:rsidRPr="00BD646C" w:rsidRDefault="00171291" w:rsidP="001F79B0">
            <w:pPr>
              <w:rPr>
                <w:del w:id="11115" w:author="AbbVie1" w:date="2025-05-13T10:11:00Z"/>
                <w:szCs w:val="22"/>
                <w:lang w:val="sk-SK"/>
              </w:rPr>
            </w:pPr>
          </w:p>
        </w:tc>
      </w:tr>
      <w:tr w:rsidR="00534A2D" w14:paraId="3B1F1F6F" w14:textId="77777777" w:rsidTr="001F79B0">
        <w:trPr>
          <w:gridBefore w:val="1"/>
          <w:wBefore w:w="34" w:type="dxa"/>
          <w:cantSplit/>
          <w:trHeight w:val="887"/>
          <w:del w:id="11116" w:author="AbbVie1" w:date="2025-05-13T10:11:00Z"/>
        </w:trPr>
        <w:tc>
          <w:tcPr>
            <w:tcW w:w="4644" w:type="dxa"/>
            <w:gridSpan w:val="2"/>
          </w:tcPr>
          <w:p w14:paraId="59ED41C2" w14:textId="77777777" w:rsidR="00171291" w:rsidRPr="00BD646C" w:rsidRDefault="00000000" w:rsidP="001F79B0">
            <w:pPr>
              <w:rPr>
                <w:del w:id="11117" w:author="AbbVie1" w:date="2025-05-13T10:11:00Z"/>
                <w:b/>
                <w:bCs/>
                <w:szCs w:val="22"/>
                <w:lang w:val="el-GR"/>
              </w:rPr>
            </w:pPr>
            <w:del w:id="11118" w:author="AbbVie1" w:date="2025-05-13T10:11:00Z">
              <w:r w:rsidRPr="00BD646C">
                <w:rPr>
                  <w:b/>
                  <w:bCs/>
                  <w:szCs w:val="22"/>
                  <w:lang w:val="el-GR"/>
                </w:rPr>
                <w:delText>Κύπρος</w:delText>
              </w:r>
            </w:del>
          </w:p>
          <w:p w14:paraId="7E0089D6" w14:textId="77777777" w:rsidR="00171291" w:rsidRPr="00BD646C" w:rsidRDefault="00000000" w:rsidP="001F79B0">
            <w:pPr>
              <w:rPr>
                <w:del w:id="11119" w:author="AbbVie1" w:date="2025-05-13T10:11:00Z"/>
                <w:bCs/>
                <w:szCs w:val="22"/>
                <w:lang w:val="el-GR"/>
              </w:rPr>
            </w:pPr>
            <w:del w:id="11120" w:author="AbbVie1" w:date="2025-05-13T10:11:00Z">
              <w:r w:rsidRPr="00BD646C">
                <w:rPr>
                  <w:bCs/>
                  <w:szCs w:val="22"/>
                  <w:lang w:val="sk-SK"/>
                </w:rPr>
                <w:delText xml:space="preserve">Lifepharma (Z.A.M.) </w:delText>
              </w:r>
              <w:r w:rsidRPr="005B1CF3">
                <w:rPr>
                  <w:bCs/>
                  <w:szCs w:val="22"/>
                  <w:rPrChange w:id="11121" w:author="Abbvie02" w:date="2025-05-16T11:16:00Z">
                    <w:rPr>
                      <w:bCs/>
                      <w:szCs w:val="22"/>
                      <w:lang w:val="it-IT"/>
                    </w:rPr>
                  </w:rPrChange>
                </w:rPr>
                <w:delText>Ltd</w:delText>
              </w:r>
            </w:del>
          </w:p>
          <w:p w14:paraId="75B4D930" w14:textId="77777777" w:rsidR="00171291" w:rsidRPr="00BD646C" w:rsidRDefault="00000000" w:rsidP="001F79B0">
            <w:pPr>
              <w:rPr>
                <w:del w:id="11122" w:author="AbbVie1" w:date="2025-05-13T10:11:00Z"/>
                <w:bCs/>
                <w:szCs w:val="22"/>
                <w:lang w:val="lv-LV"/>
              </w:rPr>
            </w:pPr>
            <w:del w:id="11123" w:author="AbbVie1" w:date="2025-05-13T10:11:00Z">
              <w:r w:rsidRPr="00BD646C">
                <w:rPr>
                  <w:bCs/>
                  <w:szCs w:val="22"/>
                  <w:lang w:val="el-GR"/>
                </w:rPr>
                <w:delText>Τηλ.: +357 22 34 74 40</w:delText>
              </w:r>
            </w:del>
          </w:p>
        </w:tc>
        <w:tc>
          <w:tcPr>
            <w:tcW w:w="4678" w:type="dxa"/>
          </w:tcPr>
          <w:p w14:paraId="35FD0FC8" w14:textId="77777777" w:rsidR="00171291" w:rsidRPr="00BD646C" w:rsidRDefault="00000000" w:rsidP="001F79B0">
            <w:pPr>
              <w:rPr>
                <w:del w:id="11124" w:author="AbbVie1" w:date="2025-05-13T10:11:00Z"/>
                <w:b/>
                <w:bCs/>
                <w:szCs w:val="22"/>
                <w:lang w:val="sk-SK"/>
              </w:rPr>
            </w:pPr>
            <w:del w:id="11125" w:author="AbbVie1" w:date="2025-05-13T10:11:00Z">
              <w:r w:rsidRPr="00BD646C">
                <w:rPr>
                  <w:b/>
                  <w:bCs/>
                  <w:szCs w:val="22"/>
                  <w:lang w:val="sk-SK"/>
                </w:rPr>
                <w:delText>Sverige</w:delText>
              </w:r>
            </w:del>
          </w:p>
          <w:p w14:paraId="4853438C" w14:textId="77777777" w:rsidR="00171291" w:rsidRPr="00BD646C" w:rsidRDefault="00000000" w:rsidP="001F79B0">
            <w:pPr>
              <w:rPr>
                <w:del w:id="11126" w:author="AbbVie1" w:date="2025-05-13T10:11:00Z"/>
                <w:bCs/>
                <w:szCs w:val="22"/>
                <w:lang w:val="pt-PT"/>
              </w:rPr>
            </w:pPr>
            <w:del w:id="11127" w:author="AbbVie1" w:date="2025-05-13T10:11:00Z">
              <w:r w:rsidRPr="00BD646C">
                <w:rPr>
                  <w:bCs/>
                  <w:szCs w:val="22"/>
                  <w:lang w:val="pt-PT"/>
                </w:rPr>
                <w:delText>AbbVie AB</w:delText>
              </w:r>
            </w:del>
          </w:p>
          <w:p w14:paraId="3D532E2C" w14:textId="77777777" w:rsidR="00171291" w:rsidRPr="00BD646C" w:rsidRDefault="00000000" w:rsidP="001F79B0">
            <w:pPr>
              <w:rPr>
                <w:del w:id="11128" w:author="AbbVie1" w:date="2025-05-13T10:11:00Z"/>
                <w:bCs/>
                <w:szCs w:val="22"/>
                <w:lang w:val="sk-SK"/>
              </w:rPr>
            </w:pPr>
            <w:del w:id="11129" w:author="AbbVie1" w:date="2025-05-13T10:11:00Z">
              <w:r w:rsidRPr="00BD646C">
                <w:rPr>
                  <w:bCs/>
                  <w:szCs w:val="22"/>
                  <w:lang w:val="da-DK"/>
                </w:rPr>
                <w:delText>Tel: +46 (0)8 684 44 600</w:delText>
              </w:r>
            </w:del>
          </w:p>
        </w:tc>
      </w:tr>
      <w:tr w:rsidR="00534A2D" w14:paraId="721F81D2" w14:textId="77777777" w:rsidTr="001F79B0">
        <w:trPr>
          <w:gridBefore w:val="1"/>
          <w:wBefore w:w="34" w:type="dxa"/>
          <w:cantSplit/>
          <w:trHeight w:val="761"/>
          <w:del w:id="11130" w:author="AbbVie1" w:date="2025-05-13T10:11:00Z"/>
        </w:trPr>
        <w:tc>
          <w:tcPr>
            <w:tcW w:w="4644" w:type="dxa"/>
            <w:gridSpan w:val="2"/>
          </w:tcPr>
          <w:p w14:paraId="3405A9CF" w14:textId="77777777" w:rsidR="00171291" w:rsidRPr="00BD646C" w:rsidRDefault="00000000" w:rsidP="001F79B0">
            <w:pPr>
              <w:rPr>
                <w:del w:id="11131" w:author="AbbVie1" w:date="2025-05-13T10:11:00Z"/>
                <w:b/>
                <w:bCs/>
                <w:szCs w:val="22"/>
                <w:lang w:val="lv-LV"/>
              </w:rPr>
            </w:pPr>
            <w:del w:id="11132" w:author="AbbVie1" w:date="2025-05-13T10:11:00Z">
              <w:r w:rsidRPr="00BD646C">
                <w:rPr>
                  <w:b/>
                  <w:bCs/>
                  <w:szCs w:val="22"/>
                  <w:lang w:val="lv-LV"/>
                </w:rPr>
                <w:delText>Latvija</w:delText>
              </w:r>
            </w:del>
          </w:p>
          <w:p w14:paraId="585044C9" w14:textId="77777777" w:rsidR="00171291" w:rsidRPr="00BD646C" w:rsidRDefault="00000000" w:rsidP="001F79B0">
            <w:pPr>
              <w:rPr>
                <w:del w:id="11133" w:author="AbbVie1" w:date="2025-05-13T10:11:00Z"/>
                <w:bCs/>
                <w:szCs w:val="22"/>
                <w:lang w:val="lv-LV"/>
              </w:rPr>
            </w:pPr>
            <w:del w:id="11134" w:author="AbbVie1" w:date="2025-05-13T10:11:00Z">
              <w:r w:rsidRPr="00BD646C">
                <w:rPr>
                  <w:bCs/>
                  <w:szCs w:val="22"/>
                  <w:lang w:val="lv-LV"/>
                </w:rPr>
                <w:delText xml:space="preserve">AbbVie SIA </w:delText>
              </w:r>
            </w:del>
          </w:p>
          <w:p w14:paraId="1A6BC404" w14:textId="77777777" w:rsidR="00171291" w:rsidRPr="00BD646C" w:rsidRDefault="00000000" w:rsidP="001F79B0">
            <w:pPr>
              <w:rPr>
                <w:del w:id="11135" w:author="AbbVie1" w:date="2025-05-13T10:11:00Z"/>
                <w:bCs/>
                <w:szCs w:val="22"/>
                <w:lang w:val="lv-LV"/>
              </w:rPr>
            </w:pPr>
            <w:del w:id="11136" w:author="AbbVie1" w:date="2025-05-13T10:11:00Z">
              <w:r w:rsidRPr="00BD646C">
                <w:rPr>
                  <w:bCs/>
                  <w:szCs w:val="22"/>
                  <w:lang w:val="lv-LV"/>
                </w:rPr>
                <w:delText>Tel: +371 67605000</w:delText>
              </w:r>
            </w:del>
          </w:p>
        </w:tc>
        <w:tc>
          <w:tcPr>
            <w:tcW w:w="4678" w:type="dxa"/>
          </w:tcPr>
          <w:p w14:paraId="334B7DA2" w14:textId="77777777" w:rsidR="00171291" w:rsidRPr="00BD646C" w:rsidRDefault="00171291" w:rsidP="001F79B0">
            <w:pPr>
              <w:rPr>
                <w:del w:id="11137" w:author="AbbVie1" w:date="2025-05-13T10:11:00Z"/>
                <w:b/>
                <w:bCs/>
                <w:szCs w:val="22"/>
                <w:lang w:val="sk-SK"/>
              </w:rPr>
            </w:pPr>
          </w:p>
        </w:tc>
      </w:tr>
    </w:tbl>
    <w:p w14:paraId="3DC44A8D" w14:textId="77777777" w:rsidR="00073F8F" w:rsidRPr="001B4A02" w:rsidRDefault="00073F8F" w:rsidP="007930C0">
      <w:pPr>
        <w:ind w:left="0" w:firstLine="0"/>
        <w:rPr>
          <w:del w:id="11138" w:author="AbbVie1" w:date="2025-05-13T10:11:00Z"/>
        </w:rPr>
      </w:pPr>
    </w:p>
    <w:p w14:paraId="2E6CE767" w14:textId="77777777" w:rsidR="00361B67" w:rsidRPr="001B4A02" w:rsidRDefault="00000000" w:rsidP="007930C0">
      <w:pPr>
        <w:ind w:left="0" w:firstLine="0"/>
        <w:rPr>
          <w:del w:id="11139" w:author="AbbVie1" w:date="2025-05-13T10:11:00Z"/>
          <w:b/>
        </w:rPr>
      </w:pPr>
      <w:del w:id="11140" w:author="AbbVie1" w:date="2025-05-13T10:11:00Z">
        <w:r w:rsidRPr="001B4A02">
          <w:rPr>
            <w:b/>
          </w:rPr>
          <w:delText xml:space="preserve">Tato příbalová informace byla naposledy </w:delText>
        </w:r>
        <w:r w:rsidR="00E0127A" w:rsidRPr="001B4A02">
          <w:rPr>
            <w:b/>
          </w:rPr>
          <w:delText>revidována v</w:delText>
        </w:r>
        <w:r w:rsidR="00CD59CE">
          <w:rPr>
            <w:b/>
          </w:rPr>
          <w:delText> </w:delText>
        </w:r>
      </w:del>
    </w:p>
    <w:p w14:paraId="22F62EA4" w14:textId="77777777" w:rsidR="00A50CBB" w:rsidRPr="001B4A02" w:rsidRDefault="00A50CBB" w:rsidP="007930C0">
      <w:pPr>
        <w:ind w:left="0" w:firstLine="0"/>
        <w:rPr>
          <w:del w:id="11141" w:author="AbbVie1" w:date="2025-05-13T10:11:00Z"/>
        </w:rPr>
      </w:pPr>
    </w:p>
    <w:p w14:paraId="59680359" w14:textId="77777777" w:rsidR="00361B67" w:rsidRPr="001B4A02" w:rsidRDefault="00000000" w:rsidP="007930C0">
      <w:pPr>
        <w:ind w:left="0" w:firstLine="0"/>
        <w:rPr>
          <w:del w:id="11142" w:author="AbbVie1" w:date="2025-05-13T10:11:00Z"/>
        </w:rPr>
      </w:pPr>
      <w:del w:id="11143" w:author="AbbVie1" w:date="2025-05-13T10:11:00Z">
        <w:r w:rsidRPr="001B4A02">
          <w:delText>Podrobné informace o</w:delText>
        </w:r>
        <w:r w:rsidR="007930C0" w:rsidRPr="001B4A02">
          <w:delText> </w:delText>
        </w:r>
        <w:r w:rsidRPr="001B4A02">
          <w:delText>tomto léčivém přípravku jsou k</w:delText>
        </w:r>
        <w:r w:rsidR="007930C0" w:rsidRPr="001B4A02">
          <w:delText> </w:delText>
        </w:r>
        <w:r w:rsidRPr="001B4A02">
          <w:delText>dispozici</w:delText>
        </w:r>
        <w:r w:rsidR="00A945E6" w:rsidRPr="001B4A02">
          <w:delText xml:space="preserve"> na webových stránkách Evropské </w:delText>
        </w:r>
        <w:r w:rsidRPr="001B4A02">
          <w:delText>agentury pro léčivé přípravky http://www.ema.europa.eu.</w:delText>
        </w:r>
      </w:del>
    </w:p>
    <w:p w14:paraId="065548E6" w14:textId="77777777" w:rsidR="001C5DD4" w:rsidRPr="001B4A02" w:rsidRDefault="001C5DD4" w:rsidP="007930C0">
      <w:pPr>
        <w:ind w:left="0" w:firstLine="0"/>
        <w:rPr>
          <w:del w:id="11144" w:author="AbbVie1" w:date="2025-05-13T10:11:00Z"/>
        </w:rPr>
      </w:pPr>
    </w:p>
    <w:p w14:paraId="10DA51AF" w14:textId="77777777" w:rsidR="006F15D9" w:rsidRPr="001B4A02" w:rsidRDefault="00000000" w:rsidP="00ED48A3">
      <w:pPr>
        <w:ind w:left="0" w:firstLine="0"/>
        <w:rPr>
          <w:del w:id="11145" w:author="AbbVie1" w:date="2025-05-13T10:11:00Z"/>
          <w:b/>
          <w:color w:val="000000"/>
        </w:rPr>
      </w:pPr>
      <w:del w:id="11146" w:author="AbbVie1" w:date="2025-05-13T10:11:00Z">
        <w:r w:rsidRPr="001B4A02">
          <w:rPr>
            <w:b/>
            <w:bCs/>
            <w:color w:val="000000"/>
          </w:rPr>
          <w:delText xml:space="preserve">Chcete-li si tuto příbalovou informaci poslechnout, nebo chcete-li si vyžádat její kopii v Braillově písmu, velkým tiskem nebo ve formě audionahrávky, </w:delText>
        </w:r>
        <w:r w:rsidRPr="001B4A02">
          <w:rPr>
            <w:b/>
            <w:color w:val="000000"/>
          </w:rPr>
          <w:delText>kontaktujte místního zástupce držitele rozhodnutí o registraci.</w:delText>
        </w:r>
      </w:del>
    </w:p>
    <w:p w14:paraId="227C6DE8" w14:textId="77777777" w:rsidR="00073F8F" w:rsidRPr="001B4A02" w:rsidRDefault="00000000" w:rsidP="00ED48A3">
      <w:pPr>
        <w:numPr>
          <w:ilvl w:val="12"/>
          <w:numId w:val="0"/>
        </w:numPr>
        <w:ind w:right="-2"/>
        <w:jc w:val="both"/>
        <w:outlineLvl w:val="0"/>
        <w:rPr>
          <w:del w:id="11147" w:author="AbbVie1" w:date="2025-05-13T10:11:00Z"/>
        </w:rPr>
      </w:pPr>
      <w:del w:id="11148" w:author="AbbVie1" w:date="2025-05-13T10:11:00Z">
        <w:r w:rsidRPr="001B4A02">
          <w:br w:type="page"/>
        </w:r>
      </w:del>
    </w:p>
    <w:p w14:paraId="1A913420" w14:textId="77777777" w:rsidR="00073F8F" w:rsidRPr="001B4A02" w:rsidRDefault="00000000" w:rsidP="004B14C0">
      <w:pPr>
        <w:ind w:left="0" w:firstLine="0"/>
        <w:jc w:val="center"/>
        <w:rPr>
          <w:del w:id="11149" w:author="AbbVie1" w:date="2025-05-13T10:11:00Z"/>
          <w:b/>
        </w:rPr>
      </w:pPr>
      <w:del w:id="11150" w:author="AbbVie1" w:date="2025-05-13T10:11:00Z">
        <w:r w:rsidRPr="001B4A02">
          <w:rPr>
            <w:b/>
          </w:rPr>
          <w:delText>P</w:delText>
        </w:r>
        <w:r w:rsidR="005F00F3" w:rsidRPr="001B4A02">
          <w:rPr>
            <w:b/>
          </w:rPr>
          <w:delText xml:space="preserve">říbalová informace: informace pro pacienta </w:delText>
        </w:r>
      </w:del>
    </w:p>
    <w:p w14:paraId="4F89771B" w14:textId="77777777" w:rsidR="00073F8F" w:rsidRPr="001B4A02" w:rsidRDefault="00073F8F" w:rsidP="00ED48A3">
      <w:pPr>
        <w:ind w:left="0" w:firstLine="0"/>
        <w:jc w:val="center"/>
        <w:rPr>
          <w:del w:id="11151" w:author="AbbVie1" w:date="2025-05-13T10:11:00Z"/>
          <w:b/>
        </w:rPr>
      </w:pPr>
    </w:p>
    <w:p w14:paraId="67AB2B96" w14:textId="77777777" w:rsidR="00073F8F" w:rsidRPr="001B4A02" w:rsidRDefault="00000000" w:rsidP="004B14C0">
      <w:pPr>
        <w:ind w:left="0" w:firstLine="0"/>
        <w:jc w:val="center"/>
        <w:outlineLvl w:val="0"/>
        <w:rPr>
          <w:del w:id="11152" w:author="AbbVie1" w:date="2025-05-13T10:11:00Z"/>
          <w:b/>
        </w:rPr>
      </w:pPr>
      <w:del w:id="11153" w:author="AbbVie1" w:date="2025-05-13T10:11:00Z">
        <w:r w:rsidRPr="001B4A02">
          <w:rPr>
            <w:b/>
          </w:rPr>
          <w:delText>Humira 40 mg injekční roztok v předplněné injekční stříkačce</w:delText>
        </w:r>
      </w:del>
    </w:p>
    <w:p w14:paraId="2CB3FF19" w14:textId="77777777" w:rsidR="00073F8F" w:rsidRPr="001B4A02" w:rsidRDefault="00000000" w:rsidP="00ED48A3">
      <w:pPr>
        <w:ind w:left="0" w:firstLine="0"/>
        <w:jc w:val="center"/>
        <w:rPr>
          <w:del w:id="11154" w:author="AbbVie1" w:date="2025-05-13T10:11:00Z"/>
          <w:bCs/>
        </w:rPr>
      </w:pPr>
      <w:del w:id="11155" w:author="AbbVie1" w:date="2025-05-13T10:11:00Z">
        <w:r w:rsidRPr="001B4A02">
          <w:rPr>
            <w:bCs/>
          </w:rPr>
          <w:delText>adalimumabum</w:delText>
        </w:r>
      </w:del>
    </w:p>
    <w:p w14:paraId="104E2140" w14:textId="77777777" w:rsidR="00073F8F" w:rsidRPr="001B4A02" w:rsidRDefault="00073F8F" w:rsidP="00ED48A3">
      <w:pPr>
        <w:ind w:left="0" w:firstLine="0"/>
        <w:rPr>
          <w:del w:id="11156" w:author="AbbVie1" w:date="2025-05-13T10:11:00Z"/>
        </w:rPr>
      </w:pPr>
    </w:p>
    <w:p w14:paraId="205E4C73" w14:textId="77777777" w:rsidR="00073F8F" w:rsidRPr="001B4A02" w:rsidRDefault="00000000" w:rsidP="00ED48A3">
      <w:pPr>
        <w:ind w:left="0" w:firstLine="0"/>
        <w:rPr>
          <w:del w:id="11157" w:author="AbbVie1" w:date="2025-05-13T10:11:00Z"/>
          <w:b/>
        </w:rPr>
      </w:pPr>
      <w:del w:id="11158" w:author="AbbVie1" w:date="2025-05-13T10:11:00Z">
        <w:r w:rsidRPr="001B4A02">
          <w:rPr>
            <w:b/>
          </w:rPr>
          <w:delText xml:space="preserve">Přečtěte si pozorně celou příbalovou informaci dříve, než začnete tento přípravek </w:delText>
        </w:r>
        <w:r w:rsidR="000F34C1" w:rsidRPr="001B4A02">
          <w:rPr>
            <w:b/>
          </w:rPr>
          <w:delText>po</w:delText>
        </w:r>
        <w:r w:rsidRPr="001B4A02">
          <w:rPr>
            <w:b/>
          </w:rPr>
          <w:delText>užívat</w:delText>
        </w:r>
        <w:r w:rsidR="005F00F3" w:rsidRPr="001B4A02">
          <w:rPr>
            <w:b/>
          </w:rPr>
          <w:delText>, protože obsahuje pro Vás důležité údaje</w:delText>
        </w:r>
        <w:r w:rsidR="002006B8" w:rsidRPr="001B4A02">
          <w:rPr>
            <w:b/>
          </w:rPr>
          <w:delText>.</w:delText>
        </w:r>
      </w:del>
    </w:p>
    <w:p w14:paraId="5CA79418" w14:textId="77777777" w:rsidR="00073F8F" w:rsidRPr="001B4A02" w:rsidRDefault="00000000" w:rsidP="00ED48A3">
      <w:pPr>
        <w:rPr>
          <w:del w:id="11159" w:author="AbbVie1" w:date="2025-05-13T10:11:00Z"/>
        </w:rPr>
      </w:pPr>
      <w:del w:id="11160" w:author="AbbVie1" w:date="2025-05-13T10:11:00Z">
        <w:r w:rsidRPr="001B4A02">
          <w:delText>-</w:delText>
        </w:r>
        <w:r w:rsidRPr="001B4A02">
          <w:tab/>
          <w:delText>Ponechte si příbalovou informaci pro případ, že si ji budete potřebovat přečíst znovu.</w:delText>
        </w:r>
      </w:del>
    </w:p>
    <w:p w14:paraId="23E93F07" w14:textId="77777777" w:rsidR="00073F8F" w:rsidRPr="001B4A02" w:rsidRDefault="00000000" w:rsidP="00ED48A3">
      <w:pPr>
        <w:rPr>
          <w:del w:id="11161" w:author="AbbVie1" w:date="2025-05-13T10:11:00Z"/>
        </w:rPr>
      </w:pPr>
      <w:del w:id="11162" w:author="AbbVie1" w:date="2025-05-13T10:11:00Z">
        <w:r w:rsidRPr="001B4A02">
          <w:delText>-</w:delText>
        </w:r>
        <w:r w:rsidRPr="001B4A02">
          <w:tab/>
          <w:delText xml:space="preserve">Váš lékař </w:delText>
        </w:r>
        <w:r w:rsidR="009163F7" w:rsidRPr="001B4A02">
          <w:delText>V</w:delText>
        </w:r>
        <w:r w:rsidRPr="001B4A02">
          <w:delText>ám rovněž vyd</w:delText>
        </w:r>
        <w:r w:rsidR="00A75551" w:rsidRPr="001B4A02">
          <w:delText>á</w:delText>
        </w:r>
        <w:r w:rsidRPr="001B4A02">
          <w:delText xml:space="preserve"> informační kartičku, která obsahuje důležité bezpečnostní informace, se kterými musíte být seznámen(a) před zahájením </w:delText>
        </w:r>
        <w:r w:rsidR="00FF003B" w:rsidRPr="001B4A02">
          <w:delText xml:space="preserve">léčby </w:delText>
        </w:r>
        <w:r w:rsidRPr="001B4A02">
          <w:delText>přípravk</w:delText>
        </w:r>
        <w:r w:rsidR="00FF003B" w:rsidRPr="001B4A02">
          <w:delText>em</w:delText>
        </w:r>
        <w:r w:rsidRPr="001B4A02">
          <w:delText xml:space="preserve"> Humira</w:delText>
        </w:r>
        <w:r w:rsidR="002378E0">
          <w:delText xml:space="preserve"> a </w:delText>
        </w:r>
        <w:r w:rsidRPr="001B4A02">
          <w:delText>během léčby tímto lékem. Mějte tuto informační kartičku vždy při sobě.</w:delText>
        </w:r>
      </w:del>
    </w:p>
    <w:p w14:paraId="4623AF02" w14:textId="77777777" w:rsidR="00073F8F" w:rsidRPr="001B4A02" w:rsidRDefault="00000000" w:rsidP="00ED48A3">
      <w:pPr>
        <w:rPr>
          <w:del w:id="11163" w:author="AbbVie1" w:date="2025-05-13T10:11:00Z"/>
        </w:rPr>
      </w:pPr>
      <w:del w:id="11164" w:author="AbbVie1" w:date="2025-05-13T10:11:00Z">
        <w:r w:rsidRPr="001B4A02">
          <w:delText>-</w:delText>
        </w:r>
        <w:r w:rsidRPr="001B4A02">
          <w:tab/>
          <w:delText>Máte-li jakékoli další otázky, zeptejte se svého lékaře nebo lékárníka.</w:delText>
        </w:r>
      </w:del>
    </w:p>
    <w:p w14:paraId="61FDB3CB" w14:textId="77777777" w:rsidR="00073F8F" w:rsidRPr="001B4A02" w:rsidRDefault="00000000" w:rsidP="00ED48A3">
      <w:pPr>
        <w:numPr>
          <w:ilvl w:val="0"/>
          <w:numId w:val="1"/>
        </w:numPr>
        <w:ind w:left="567" w:hanging="567"/>
        <w:rPr>
          <w:del w:id="11165" w:author="AbbVie1" w:date="2025-05-13T10:11:00Z"/>
        </w:rPr>
      </w:pPr>
      <w:del w:id="11166" w:author="AbbVie1" w:date="2025-05-13T10:11:00Z">
        <w:r w:rsidRPr="001B4A02">
          <w:delText xml:space="preserve">Tento přípravek byl předepsán </w:delText>
        </w:r>
        <w:r w:rsidR="005F00F3" w:rsidRPr="001B4A02">
          <w:delText xml:space="preserve">výhradně </w:delText>
        </w:r>
        <w:r w:rsidRPr="001B4A02">
          <w:delText>Vám. Nedávejte jej žádné další osobě. Mohl by jí ublížit</w:delText>
        </w:r>
        <w:r w:rsidR="00EC1112" w:rsidRPr="001B4A02">
          <w:delText>,</w:delText>
        </w:r>
        <w:r w:rsidR="002378E0">
          <w:delText xml:space="preserve"> a </w:delText>
        </w:r>
        <w:r w:rsidRPr="001B4A02">
          <w:delText xml:space="preserve">to i tehdy, má-li stejné </w:delText>
        </w:r>
        <w:r w:rsidR="005F00F3" w:rsidRPr="001B4A02">
          <w:delText>známky onemocnění</w:delText>
        </w:r>
        <w:r w:rsidRPr="001B4A02">
          <w:delText xml:space="preserve"> jako Vy.</w:delText>
        </w:r>
      </w:del>
    </w:p>
    <w:p w14:paraId="5CE76B4E" w14:textId="77777777" w:rsidR="00073F8F" w:rsidRPr="001B4A02" w:rsidRDefault="00000000" w:rsidP="00ED48A3">
      <w:pPr>
        <w:numPr>
          <w:ilvl w:val="0"/>
          <w:numId w:val="1"/>
        </w:numPr>
        <w:ind w:left="567" w:hanging="567"/>
        <w:rPr>
          <w:del w:id="11167" w:author="AbbVie1" w:date="2025-05-13T10:11:00Z"/>
        </w:rPr>
      </w:pPr>
      <w:del w:id="11168" w:author="AbbVie1" w:date="2025-05-13T10:11:00Z">
        <w:r w:rsidRPr="001B4A02">
          <w:delText xml:space="preserve">Pokud se </w:delText>
        </w:r>
        <w:r w:rsidR="0028371E" w:rsidRPr="001B4A02">
          <w:delText>u </w:delText>
        </w:r>
        <w:r w:rsidR="005F00F3" w:rsidRPr="001B4A02">
          <w:delText xml:space="preserve">Vás vyskytne </w:delText>
        </w:r>
        <w:r w:rsidRPr="001B4A02">
          <w:delText>kterýkoli z nežádoucích účinků, sdělte to svému lékaři nebo lékárníkovi.</w:delText>
        </w:r>
        <w:r w:rsidR="00D00B9C" w:rsidRPr="001B4A02">
          <w:delText xml:space="preserve"> Stejně postupujte v případě jakýchkoli nežádoucích účinků, které nejsou uvedeny v této příbalové informaci</w:delText>
        </w:r>
        <w:r w:rsidR="00344A1F" w:rsidRPr="001B4A02">
          <w:delText>.</w:delText>
        </w:r>
        <w:r w:rsidR="005F59C4" w:rsidRPr="001B4A02">
          <w:delText xml:space="preserve"> </w:delText>
        </w:r>
        <w:r w:rsidR="00344A1F" w:rsidRPr="001B4A02">
          <w:delText>V</w:delText>
        </w:r>
        <w:r w:rsidR="005F59C4" w:rsidRPr="001B4A02">
          <w:delText>iz bod 4.</w:delText>
        </w:r>
      </w:del>
    </w:p>
    <w:p w14:paraId="350C7324" w14:textId="77777777" w:rsidR="00073F8F" w:rsidRPr="001B4A02" w:rsidRDefault="00073F8F" w:rsidP="00ED48A3">
      <w:pPr>
        <w:ind w:left="0" w:firstLine="0"/>
        <w:rPr>
          <w:del w:id="11169" w:author="AbbVie1" w:date="2025-05-13T10:11:00Z"/>
        </w:rPr>
      </w:pPr>
    </w:p>
    <w:p w14:paraId="39AA03D2" w14:textId="77777777" w:rsidR="00073F8F" w:rsidRPr="001B4A02" w:rsidRDefault="00000000" w:rsidP="0009084E">
      <w:pPr>
        <w:numPr>
          <w:ilvl w:val="12"/>
          <w:numId w:val="0"/>
        </w:numPr>
        <w:rPr>
          <w:del w:id="11170" w:author="AbbVie1" w:date="2025-05-13T10:11:00Z"/>
        </w:rPr>
      </w:pPr>
      <w:del w:id="11171" w:author="AbbVie1" w:date="2025-05-13T10:11:00Z">
        <w:r w:rsidRPr="001B4A02">
          <w:rPr>
            <w:b/>
          </w:rPr>
          <w:delText>Co naleznete v</w:delText>
        </w:r>
        <w:r w:rsidR="00F309A7" w:rsidRPr="001B4A02">
          <w:rPr>
            <w:b/>
          </w:rPr>
          <w:delText> </w:delText>
        </w:r>
        <w:r w:rsidRPr="001B4A02">
          <w:rPr>
            <w:b/>
          </w:rPr>
          <w:delText>této</w:delText>
        </w:r>
        <w:r w:rsidR="00F309A7" w:rsidRPr="001B4A02">
          <w:rPr>
            <w:b/>
          </w:rPr>
          <w:delText xml:space="preserve"> </w:delText>
        </w:r>
        <w:r w:rsidRPr="001B4A02">
          <w:rPr>
            <w:b/>
          </w:rPr>
          <w:delText>příbalové informaci</w:delText>
        </w:r>
        <w:r w:rsidRPr="001B4A02">
          <w:delText xml:space="preserve"> </w:delText>
        </w:r>
      </w:del>
    </w:p>
    <w:p w14:paraId="4A615DAA" w14:textId="77777777" w:rsidR="00073F8F" w:rsidRPr="001B4A02" w:rsidRDefault="00000000" w:rsidP="00ED48A3">
      <w:pPr>
        <w:ind w:left="0" w:right="-29" w:firstLine="0"/>
        <w:rPr>
          <w:del w:id="11172" w:author="AbbVie1" w:date="2025-05-13T10:11:00Z"/>
        </w:rPr>
      </w:pPr>
      <w:del w:id="11173" w:author="AbbVie1" w:date="2025-05-13T10:11:00Z">
        <w:r w:rsidRPr="001B4A02">
          <w:delText>1.</w:delText>
        </w:r>
        <w:r w:rsidRPr="001B4A02">
          <w:tab/>
          <w:delText xml:space="preserve">Co je </w:delText>
        </w:r>
        <w:r w:rsidR="00C11184" w:rsidRPr="001B4A02">
          <w:delText xml:space="preserve">přípravek </w:delText>
        </w:r>
        <w:r w:rsidRPr="001B4A02">
          <w:delText>Humira</w:delText>
        </w:r>
        <w:r w:rsidR="002378E0">
          <w:delText xml:space="preserve"> a </w:delText>
        </w:r>
        <w:r w:rsidRPr="001B4A02">
          <w:delText>k čemu se používá</w:delText>
        </w:r>
      </w:del>
    </w:p>
    <w:p w14:paraId="14531C73" w14:textId="77777777" w:rsidR="00073F8F" w:rsidRPr="001B4A02" w:rsidRDefault="00000000" w:rsidP="00ED48A3">
      <w:pPr>
        <w:ind w:left="0" w:right="-29" w:firstLine="0"/>
        <w:rPr>
          <w:del w:id="11174" w:author="AbbVie1" w:date="2025-05-13T10:11:00Z"/>
        </w:rPr>
      </w:pPr>
      <w:del w:id="11175" w:author="AbbVie1" w:date="2025-05-13T10:11:00Z">
        <w:r w:rsidRPr="001B4A02">
          <w:delText>2.</w:delText>
        </w:r>
        <w:r w:rsidRPr="001B4A02">
          <w:tab/>
          <w:delText xml:space="preserve">Čemu musíte věnovat pozornost, než začnete přípravek Humira </w:delText>
        </w:r>
        <w:r w:rsidR="00751A4E" w:rsidRPr="001B4A02">
          <w:delText>po</w:delText>
        </w:r>
        <w:r w:rsidR="002006B8" w:rsidRPr="001B4A02">
          <w:delText>užívat</w:delText>
        </w:r>
      </w:del>
    </w:p>
    <w:p w14:paraId="53772B83" w14:textId="77777777" w:rsidR="00073F8F" w:rsidRPr="001B4A02" w:rsidRDefault="00000000" w:rsidP="00ED48A3">
      <w:pPr>
        <w:ind w:left="0" w:right="-29" w:firstLine="0"/>
        <w:rPr>
          <w:del w:id="11176" w:author="AbbVie1" w:date="2025-05-13T10:11:00Z"/>
        </w:rPr>
      </w:pPr>
      <w:del w:id="11177" w:author="AbbVie1" w:date="2025-05-13T10:11:00Z">
        <w:r w:rsidRPr="001B4A02">
          <w:delText>3.</w:delText>
        </w:r>
        <w:r w:rsidRPr="001B4A02">
          <w:tab/>
          <w:delText xml:space="preserve">Jak se </w:delText>
        </w:r>
        <w:r w:rsidR="00264669" w:rsidRPr="001B4A02">
          <w:delText xml:space="preserve">přípravek </w:delText>
        </w:r>
        <w:r w:rsidRPr="001B4A02">
          <w:delText xml:space="preserve">Humira </w:delText>
        </w:r>
        <w:r w:rsidR="00751A4E" w:rsidRPr="001B4A02">
          <w:delText>po</w:delText>
        </w:r>
        <w:r w:rsidR="002006B8" w:rsidRPr="001B4A02">
          <w:delText>užívá</w:delText>
        </w:r>
      </w:del>
    </w:p>
    <w:p w14:paraId="1DCD2239" w14:textId="77777777" w:rsidR="00073F8F" w:rsidRPr="001B4A02" w:rsidRDefault="00000000" w:rsidP="00ED48A3">
      <w:pPr>
        <w:ind w:left="0" w:right="-29" w:firstLine="0"/>
        <w:rPr>
          <w:del w:id="11178" w:author="AbbVie1" w:date="2025-05-13T10:11:00Z"/>
        </w:rPr>
      </w:pPr>
      <w:del w:id="11179" w:author="AbbVie1" w:date="2025-05-13T10:11:00Z">
        <w:r w:rsidRPr="001B4A02">
          <w:delText>4.</w:delText>
        </w:r>
        <w:r w:rsidRPr="001B4A02">
          <w:tab/>
          <w:delText>Možné nežádoucí účinky</w:delText>
        </w:r>
      </w:del>
    </w:p>
    <w:p w14:paraId="61A6B22E" w14:textId="77777777" w:rsidR="00073F8F" w:rsidRPr="001B4A02" w:rsidRDefault="00000000" w:rsidP="00ED48A3">
      <w:pPr>
        <w:ind w:left="0" w:right="-29" w:firstLine="0"/>
        <w:rPr>
          <w:del w:id="11180" w:author="AbbVie1" w:date="2025-05-13T10:11:00Z"/>
        </w:rPr>
      </w:pPr>
      <w:del w:id="11181" w:author="AbbVie1" w:date="2025-05-13T10:11:00Z">
        <w:r w:rsidRPr="001B4A02">
          <w:delText>5</w:delText>
        </w:r>
        <w:r w:rsidR="000E5CFA" w:rsidRPr="001B4A02">
          <w:delText>.</w:delText>
        </w:r>
        <w:r w:rsidRPr="001B4A02">
          <w:tab/>
          <w:delText>Jak přípravek Humira uchovávat</w:delText>
        </w:r>
      </w:del>
    </w:p>
    <w:p w14:paraId="530E87DF" w14:textId="77777777" w:rsidR="00073F8F" w:rsidRPr="001B4A02" w:rsidRDefault="00000000" w:rsidP="00ED48A3">
      <w:pPr>
        <w:ind w:left="0" w:right="-29" w:firstLine="0"/>
        <w:rPr>
          <w:del w:id="11182" w:author="AbbVie1" w:date="2025-05-13T10:11:00Z"/>
        </w:rPr>
      </w:pPr>
      <w:del w:id="11183" w:author="AbbVie1" w:date="2025-05-13T10:11:00Z">
        <w:r w:rsidRPr="001B4A02">
          <w:delText>6.</w:delText>
        </w:r>
        <w:r w:rsidRPr="001B4A02">
          <w:tab/>
        </w:r>
        <w:r w:rsidR="00D00B9C" w:rsidRPr="001B4A02">
          <w:delText>Obsah balení</w:delText>
        </w:r>
        <w:r w:rsidR="002378E0">
          <w:delText xml:space="preserve"> a </w:delText>
        </w:r>
        <w:r w:rsidR="00D00B9C" w:rsidRPr="001B4A02">
          <w:delText>d</w:delText>
        </w:r>
        <w:r w:rsidRPr="001B4A02">
          <w:delText>alší informace</w:delText>
        </w:r>
      </w:del>
    </w:p>
    <w:p w14:paraId="6F7F44D5" w14:textId="77777777" w:rsidR="00073F8F" w:rsidRPr="001B4A02" w:rsidRDefault="00073F8F" w:rsidP="00ED48A3">
      <w:pPr>
        <w:ind w:left="0" w:firstLine="0"/>
        <w:rPr>
          <w:del w:id="11184" w:author="AbbVie1" w:date="2025-05-13T10:11:00Z"/>
        </w:rPr>
      </w:pPr>
    </w:p>
    <w:p w14:paraId="0080A2E2" w14:textId="77777777" w:rsidR="00225D61" w:rsidRPr="001B4A02" w:rsidRDefault="00225D61" w:rsidP="00ED48A3">
      <w:pPr>
        <w:ind w:left="0" w:firstLine="0"/>
        <w:rPr>
          <w:del w:id="11185" w:author="AbbVie1" w:date="2025-05-13T10:11:00Z"/>
        </w:rPr>
      </w:pPr>
    </w:p>
    <w:p w14:paraId="61F5632F" w14:textId="77777777" w:rsidR="00073F8F" w:rsidRPr="001B4A02" w:rsidRDefault="00000000" w:rsidP="004D0686">
      <w:pPr>
        <w:numPr>
          <w:ilvl w:val="12"/>
          <w:numId w:val="0"/>
        </w:numPr>
        <w:ind w:left="567" w:hanging="567"/>
        <w:outlineLvl w:val="1"/>
        <w:rPr>
          <w:del w:id="11186" w:author="AbbVie1" w:date="2025-05-13T10:11:00Z"/>
          <w:b/>
        </w:rPr>
      </w:pPr>
      <w:del w:id="11187" w:author="AbbVie1" w:date="2025-05-13T10:11:00Z">
        <w:r w:rsidRPr="001B4A02">
          <w:rPr>
            <w:b/>
          </w:rPr>
          <w:delText>1.</w:delText>
        </w:r>
        <w:r w:rsidRPr="001B4A02">
          <w:rPr>
            <w:b/>
          </w:rPr>
          <w:tab/>
          <w:delText>C</w:delText>
        </w:r>
        <w:r w:rsidR="00D00B9C" w:rsidRPr="001B4A02">
          <w:rPr>
            <w:b/>
          </w:rPr>
          <w:delText>o je přípravek Humira</w:delText>
        </w:r>
        <w:r w:rsidR="002378E0">
          <w:rPr>
            <w:b/>
          </w:rPr>
          <w:delText xml:space="preserve"> a </w:delText>
        </w:r>
        <w:r w:rsidR="00D00B9C" w:rsidRPr="001B4A02">
          <w:rPr>
            <w:b/>
          </w:rPr>
          <w:delText>k čemu se používá</w:delText>
        </w:r>
      </w:del>
    </w:p>
    <w:p w14:paraId="1DEAECED" w14:textId="77777777" w:rsidR="007F7787" w:rsidRPr="001B4A02" w:rsidRDefault="007F7787" w:rsidP="007F7787">
      <w:pPr>
        <w:ind w:left="0" w:firstLine="0"/>
        <w:rPr>
          <w:del w:id="11188" w:author="AbbVie1" w:date="2025-05-13T10:11:00Z"/>
          <w:b/>
        </w:rPr>
      </w:pPr>
    </w:p>
    <w:p w14:paraId="588FFFC9" w14:textId="77777777" w:rsidR="00304E9A" w:rsidRPr="001B4A02" w:rsidRDefault="00000000" w:rsidP="00ED48A3">
      <w:pPr>
        <w:ind w:left="0" w:firstLine="0"/>
        <w:rPr>
          <w:del w:id="11189" w:author="AbbVie1" w:date="2025-05-13T10:11:00Z"/>
        </w:rPr>
      </w:pPr>
      <w:del w:id="11190" w:author="AbbVie1" w:date="2025-05-13T10:11:00Z">
        <w:r w:rsidRPr="001B4A02">
          <w:delText>Příp</w:delText>
        </w:r>
        <w:r w:rsidR="00E91CB6" w:rsidRPr="001B4A02">
          <w:delText>r</w:delText>
        </w:r>
        <w:r w:rsidRPr="001B4A02">
          <w:delText xml:space="preserve">avek Humira obsahuje léčivou látku adalimumab. </w:delText>
        </w:r>
      </w:del>
    </w:p>
    <w:p w14:paraId="2754AAFF" w14:textId="77777777" w:rsidR="00D00B9C" w:rsidRPr="001B4A02" w:rsidRDefault="00D00B9C" w:rsidP="00ED48A3">
      <w:pPr>
        <w:ind w:left="0" w:firstLine="0"/>
        <w:rPr>
          <w:del w:id="11191" w:author="AbbVie1" w:date="2025-05-13T10:11:00Z"/>
        </w:rPr>
      </w:pPr>
    </w:p>
    <w:p w14:paraId="7630BE78" w14:textId="77777777" w:rsidR="00304E9A" w:rsidRPr="001B4A02" w:rsidRDefault="00000000" w:rsidP="00ED48A3">
      <w:pPr>
        <w:ind w:left="0" w:firstLine="0"/>
        <w:rPr>
          <w:del w:id="11192" w:author="AbbVie1" w:date="2025-05-13T10:11:00Z"/>
        </w:rPr>
      </w:pPr>
      <w:del w:id="11193" w:author="AbbVie1" w:date="2025-05-13T10:11:00Z">
        <w:r w:rsidRPr="001B4A02">
          <w:delText>Přípravek Humira je určen k léčbě zánětlivých onemocnění popsaných níže:</w:delText>
        </w:r>
      </w:del>
    </w:p>
    <w:p w14:paraId="4707E686" w14:textId="77777777" w:rsidR="00304E9A" w:rsidRPr="001B4A02" w:rsidRDefault="00000000" w:rsidP="007C5EA6">
      <w:pPr>
        <w:numPr>
          <w:ilvl w:val="0"/>
          <w:numId w:val="59"/>
        </w:numPr>
        <w:tabs>
          <w:tab w:val="clear" w:pos="720"/>
        </w:tabs>
        <w:ind w:left="426" w:hanging="426"/>
        <w:rPr>
          <w:del w:id="11194" w:author="AbbVie1" w:date="2025-05-13T10:11:00Z"/>
        </w:rPr>
      </w:pPr>
      <w:del w:id="11195" w:author="AbbVie1" w:date="2025-05-13T10:11:00Z">
        <w:r w:rsidRPr="001B4A02">
          <w:delText>revmatoidní artritida</w:delText>
        </w:r>
      </w:del>
    </w:p>
    <w:p w14:paraId="15236FEF" w14:textId="77777777" w:rsidR="00304E9A" w:rsidRPr="001B4A02" w:rsidRDefault="00000000" w:rsidP="007C5EA6">
      <w:pPr>
        <w:numPr>
          <w:ilvl w:val="0"/>
          <w:numId w:val="59"/>
        </w:numPr>
        <w:tabs>
          <w:tab w:val="clear" w:pos="720"/>
        </w:tabs>
        <w:ind w:left="426" w:hanging="426"/>
        <w:rPr>
          <w:del w:id="11196" w:author="AbbVie1" w:date="2025-05-13T10:11:00Z"/>
        </w:rPr>
      </w:pPr>
      <w:del w:id="11197" w:author="AbbVie1" w:date="2025-05-13T10:11:00Z">
        <w:r w:rsidRPr="001B4A02">
          <w:delText>polyartikulární juvenilní idiopatická artritida</w:delText>
        </w:r>
      </w:del>
    </w:p>
    <w:p w14:paraId="0B89E1B8" w14:textId="77777777" w:rsidR="00304E9A" w:rsidRPr="001B4A02" w:rsidRDefault="00000000" w:rsidP="007C5EA6">
      <w:pPr>
        <w:numPr>
          <w:ilvl w:val="0"/>
          <w:numId w:val="59"/>
        </w:numPr>
        <w:tabs>
          <w:tab w:val="clear" w:pos="720"/>
        </w:tabs>
        <w:ind w:left="426" w:hanging="426"/>
        <w:rPr>
          <w:del w:id="11198" w:author="AbbVie1" w:date="2025-05-13T10:11:00Z"/>
        </w:rPr>
      </w:pPr>
      <w:del w:id="11199" w:author="AbbVie1" w:date="2025-05-13T10:11:00Z">
        <w:r w:rsidRPr="001B4A02">
          <w:delText>entezopatická artritida</w:delText>
        </w:r>
      </w:del>
    </w:p>
    <w:p w14:paraId="43A504AB" w14:textId="77777777" w:rsidR="00304E9A" w:rsidRPr="001B4A02" w:rsidRDefault="00000000" w:rsidP="007C5EA6">
      <w:pPr>
        <w:numPr>
          <w:ilvl w:val="0"/>
          <w:numId w:val="59"/>
        </w:numPr>
        <w:tabs>
          <w:tab w:val="clear" w:pos="720"/>
        </w:tabs>
        <w:ind w:left="426" w:hanging="426"/>
        <w:rPr>
          <w:del w:id="11200" w:author="AbbVie1" w:date="2025-05-13T10:11:00Z"/>
        </w:rPr>
      </w:pPr>
      <w:del w:id="11201" w:author="AbbVie1" w:date="2025-05-13T10:11:00Z">
        <w:r w:rsidRPr="001B4A02">
          <w:delText>ankylozující spondylitida</w:delText>
        </w:r>
      </w:del>
    </w:p>
    <w:p w14:paraId="2CB0F022" w14:textId="77777777" w:rsidR="00304E9A" w:rsidRPr="001B4A02" w:rsidRDefault="00000000" w:rsidP="007C5EA6">
      <w:pPr>
        <w:numPr>
          <w:ilvl w:val="0"/>
          <w:numId w:val="59"/>
        </w:numPr>
        <w:tabs>
          <w:tab w:val="clear" w:pos="720"/>
        </w:tabs>
        <w:ind w:left="426" w:hanging="426"/>
        <w:rPr>
          <w:del w:id="11202" w:author="AbbVie1" w:date="2025-05-13T10:11:00Z"/>
        </w:rPr>
      </w:pPr>
      <w:del w:id="11203" w:author="AbbVie1" w:date="2025-05-13T10:11:00Z">
        <w:r w:rsidRPr="001B4A02">
          <w:delText>a</w:delText>
        </w:r>
        <w:r w:rsidR="006F7AD3" w:rsidRPr="001B4A02">
          <w:delText>xiální spondylartritid</w:delText>
        </w:r>
        <w:r w:rsidRPr="001B4A02">
          <w:delText>a</w:delText>
        </w:r>
        <w:r w:rsidR="006F7AD3" w:rsidRPr="001B4A02">
          <w:delText xml:space="preserve"> bez radiologického průkazu ankylozující spondylitidy</w:delText>
        </w:r>
      </w:del>
    </w:p>
    <w:p w14:paraId="1AF9244B" w14:textId="77777777" w:rsidR="00304E9A" w:rsidRPr="001B4A02" w:rsidRDefault="00000000" w:rsidP="007C5EA6">
      <w:pPr>
        <w:numPr>
          <w:ilvl w:val="0"/>
          <w:numId w:val="59"/>
        </w:numPr>
        <w:tabs>
          <w:tab w:val="clear" w:pos="720"/>
        </w:tabs>
        <w:ind w:left="426" w:hanging="426"/>
        <w:rPr>
          <w:del w:id="11204" w:author="AbbVie1" w:date="2025-05-13T10:11:00Z"/>
        </w:rPr>
      </w:pPr>
      <w:del w:id="11205" w:author="AbbVie1" w:date="2025-05-13T10:11:00Z">
        <w:r w:rsidRPr="001B4A02">
          <w:delText>p</w:delText>
        </w:r>
        <w:r w:rsidR="00692C6F" w:rsidRPr="001B4A02">
          <w:delText>soriatick</w:delText>
        </w:r>
        <w:r w:rsidRPr="001B4A02">
          <w:delText>á</w:delText>
        </w:r>
        <w:r w:rsidR="00692C6F" w:rsidRPr="001B4A02">
          <w:delText xml:space="preserve"> artritid</w:delText>
        </w:r>
        <w:r w:rsidRPr="001B4A02">
          <w:delText>a</w:delText>
        </w:r>
      </w:del>
    </w:p>
    <w:p w14:paraId="62F1FFDA" w14:textId="77777777" w:rsidR="00304E9A" w:rsidRPr="001B4A02" w:rsidRDefault="00000000" w:rsidP="007C5EA6">
      <w:pPr>
        <w:numPr>
          <w:ilvl w:val="0"/>
          <w:numId w:val="59"/>
        </w:numPr>
        <w:tabs>
          <w:tab w:val="clear" w:pos="720"/>
        </w:tabs>
        <w:ind w:left="426" w:hanging="426"/>
        <w:rPr>
          <w:del w:id="11206" w:author="AbbVie1" w:date="2025-05-13T10:11:00Z"/>
        </w:rPr>
      </w:pPr>
      <w:del w:id="11207" w:author="AbbVie1" w:date="2025-05-13T10:11:00Z">
        <w:r w:rsidRPr="001B4A02">
          <w:delText>p</w:delText>
        </w:r>
        <w:r w:rsidR="00692C6F" w:rsidRPr="001B4A02">
          <w:delText>soriáz</w:delText>
        </w:r>
        <w:r w:rsidRPr="001B4A02">
          <w:delText>a</w:delText>
        </w:r>
      </w:del>
    </w:p>
    <w:p w14:paraId="78F12748" w14:textId="77777777" w:rsidR="00304E9A" w:rsidRPr="001B4A02" w:rsidRDefault="00000000" w:rsidP="007C5EA6">
      <w:pPr>
        <w:numPr>
          <w:ilvl w:val="0"/>
          <w:numId w:val="59"/>
        </w:numPr>
        <w:tabs>
          <w:tab w:val="clear" w:pos="720"/>
        </w:tabs>
        <w:ind w:left="426" w:hanging="426"/>
        <w:rPr>
          <w:del w:id="11208" w:author="AbbVie1" w:date="2025-05-13T10:11:00Z"/>
        </w:rPr>
      </w:pPr>
      <w:del w:id="11209" w:author="AbbVie1" w:date="2025-05-13T10:11:00Z">
        <w:r w:rsidRPr="001B4A02">
          <w:delText>h</w:delText>
        </w:r>
        <w:r w:rsidR="003F5845" w:rsidRPr="001B4A02">
          <w:delText>idradenitis suppurativa</w:delText>
        </w:r>
      </w:del>
    </w:p>
    <w:p w14:paraId="567CF43C" w14:textId="77777777" w:rsidR="00304E9A" w:rsidRPr="001B4A02" w:rsidRDefault="00000000" w:rsidP="007C5EA6">
      <w:pPr>
        <w:numPr>
          <w:ilvl w:val="0"/>
          <w:numId w:val="59"/>
        </w:numPr>
        <w:tabs>
          <w:tab w:val="clear" w:pos="720"/>
        </w:tabs>
        <w:ind w:left="426" w:hanging="426"/>
        <w:rPr>
          <w:del w:id="11210" w:author="AbbVie1" w:date="2025-05-13T10:11:00Z"/>
        </w:rPr>
      </w:pPr>
      <w:del w:id="11211" w:author="AbbVie1" w:date="2025-05-13T10:11:00Z">
        <w:r w:rsidRPr="001B4A02">
          <w:delText>Crohnova choroba</w:delText>
        </w:r>
      </w:del>
    </w:p>
    <w:p w14:paraId="12B27E09" w14:textId="77777777" w:rsidR="00304E9A" w:rsidRPr="001B4A02" w:rsidRDefault="00000000" w:rsidP="007C5EA6">
      <w:pPr>
        <w:numPr>
          <w:ilvl w:val="0"/>
          <w:numId w:val="59"/>
        </w:numPr>
        <w:tabs>
          <w:tab w:val="clear" w:pos="720"/>
        </w:tabs>
        <w:ind w:left="426" w:hanging="426"/>
        <w:rPr>
          <w:del w:id="11212" w:author="AbbVie1" w:date="2025-05-13T10:11:00Z"/>
        </w:rPr>
      </w:pPr>
      <w:del w:id="11213" w:author="AbbVie1" w:date="2025-05-13T10:11:00Z">
        <w:r w:rsidRPr="001B4A02">
          <w:delText>u</w:delText>
        </w:r>
        <w:r w:rsidR="008177B2" w:rsidRPr="001B4A02">
          <w:delText>lcerózní</w:delText>
        </w:r>
        <w:r w:rsidR="00692C6F" w:rsidRPr="001B4A02">
          <w:delText xml:space="preserve"> kolitid</w:delText>
        </w:r>
        <w:r w:rsidRPr="001B4A02">
          <w:delText>a</w:delText>
        </w:r>
      </w:del>
    </w:p>
    <w:p w14:paraId="6499E9BF" w14:textId="77777777" w:rsidR="00304E9A" w:rsidRPr="001B4A02" w:rsidRDefault="00000000" w:rsidP="007C5EA6">
      <w:pPr>
        <w:numPr>
          <w:ilvl w:val="0"/>
          <w:numId w:val="59"/>
        </w:numPr>
        <w:tabs>
          <w:tab w:val="clear" w:pos="720"/>
        </w:tabs>
        <w:ind w:left="426" w:hanging="426"/>
        <w:rPr>
          <w:del w:id="11214" w:author="AbbVie1" w:date="2025-05-13T10:11:00Z"/>
        </w:rPr>
      </w:pPr>
      <w:del w:id="11215" w:author="AbbVie1" w:date="2025-05-13T10:11:00Z">
        <w:r w:rsidRPr="001B4A02">
          <w:delText>n</w:delText>
        </w:r>
        <w:r w:rsidR="005F3847" w:rsidRPr="001B4A02">
          <w:delText>einfekční uveitid</w:delText>
        </w:r>
        <w:r w:rsidRPr="001B4A02">
          <w:delText>a</w:delText>
        </w:r>
      </w:del>
    </w:p>
    <w:p w14:paraId="7FA9335A" w14:textId="77777777" w:rsidR="00304E9A" w:rsidRPr="001B4A02" w:rsidRDefault="00304E9A" w:rsidP="00304E9A">
      <w:pPr>
        <w:ind w:left="0" w:firstLine="0"/>
        <w:rPr>
          <w:del w:id="11216" w:author="AbbVie1" w:date="2025-05-13T10:11:00Z"/>
        </w:rPr>
      </w:pPr>
    </w:p>
    <w:p w14:paraId="19240446" w14:textId="77777777" w:rsidR="00304E9A" w:rsidRPr="001B4A02" w:rsidRDefault="00000000" w:rsidP="00C806C1">
      <w:pPr>
        <w:ind w:left="0" w:firstLine="0"/>
        <w:rPr>
          <w:del w:id="11217" w:author="AbbVie1" w:date="2025-05-13T10:11:00Z"/>
        </w:rPr>
      </w:pPr>
      <w:del w:id="11218" w:author="AbbVie1" w:date="2025-05-13T10:11:00Z">
        <w:r w:rsidRPr="001B4A02">
          <w:delText>Léčivá látka v přípravku Humira</w:delText>
        </w:r>
        <w:r w:rsidR="008B1569" w:rsidRPr="001B4A02">
          <w:delText>,</w:delText>
        </w:r>
        <w:r w:rsidRPr="001B4A02">
          <w:delText xml:space="preserve"> adalimumab</w:delText>
        </w:r>
        <w:r w:rsidR="008B1569" w:rsidRPr="001B4A02">
          <w:delText>,</w:delText>
        </w:r>
        <w:r w:rsidRPr="001B4A02">
          <w:delText xml:space="preserve"> je lidská monoklonální protilátka.</w:delText>
        </w:r>
      </w:del>
    </w:p>
    <w:p w14:paraId="15C4BF95" w14:textId="77777777" w:rsidR="00304E9A" w:rsidRPr="001B4A02" w:rsidRDefault="00000000" w:rsidP="0024278A">
      <w:pPr>
        <w:ind w:left="0" w:firstLine="0"/>
        <w:rPr>
          <w:del w:id="11219" w:author="AbbVie1" w:date="2025-05-13T10:11:00Z"/>
        </w:rPr>
      </w:pPr>
      <w:del w:id="11220" w:author="AbbVie1" w:date="2025-05-13T10:11:00Z">
        <w:r w:rsidRPr="001B4A02">
          <w:delText xml:space="preserve">Monoklonální protilátky jsou bílkoviny, které se váží na specifický cíl. </w:delText>
        </w:r>
      </w:del>
    </w:p>
    <w:p w14:paraId="37F67BEA" w14:textId="77777777" w:rsidR="00304E9A" w:rsidRPr="001B4A02" w:rsidRDefault="00304E9A" w:rsidP="0024278A">
      <w:pPr>
        <w:ind w:left="0" w:firstLine="0"/>
        <w:rPr>
          <w:del w:id="11221" w:author="AbbVie1" w:date="2025-05-13T10:11:00Z"/>
        </w:rPr>
      </w:pPr>
    </w:p>
    <w:p w14:paraId="05FC901C" w14:textId="77777777" w:rsidR="00073F8F" w:rsidRPr="001B4A02" w:rsidRDefault="00000000" w:rsidP="00304E9A">
      <w:pPr>
        <w:ind w:left="0" w:firstLine="0"/>
        <w:rPr>
          <w:del w:id="11222" w:author="AbbVie1" w:date="2025-05-13T10:11:00Z"/>
        </w:rPr>
      </w:pPr>
      <w:del w:id="11223" w:author="AbbVie1" w:date="2025-05-13T10:11:00Z">
        <w:r w:rsidRPr="001B4A02">
          <w:delText xml:space="preserve">Cíl pro adalimumab je bílkovina označená jako tumor nekrotizující faktor (TNFα), která </w:delText>
        </w:r>
        <w:r w:rsidRPr="001B4A02">
          <w:rPr>
            <w:color w:val="000000"/>
            <w:szCs w:val="22"/>
          </w:rPr>
          <w:delText>působí v imunitním (obranném) systému</w:delText>
        </w:r>
        <w:r w:rsidR="002378E0">
          <w:rPr>
            <w:color w:val="000000"/>
            <w:szCs w:val="22"/>
          </w:rPr>
          <w:delText xml:space="preserve"> a </w:delText>
        </w:r>
        <w:r w:rsidRPr="001B4A02">
          <w:delText xml:space="preserve">je </w:delText>
        </w:r>
        <w:r w:rsidR="00827431" w:rsidRPr="001B4A02">
          <w:delText xml:space="preserve">přítomna </w:delText>
        </w:r>
        <w:r w:rsidRPr="001B4A02">
          <w:delText xml:space="preserve">ve zvýšených hladinách </w:delText>
        </w:r>
        <w:r w:rsidRPr="001B4A02">
          <w:rPr>
            <w:color w:val="000000"/>
            <w:szCs w:val="22"/>
          </w:rPr>
          <w:delText>při zánětlivých onemocněních uvedených výše. Navázáním na TNFα snižuje přípravek Humira zánětlivý proces u</w:delText>
        </w:r>
        <w:r w:rsidR="00A02FA4" w:rsidRPr="001B4A02">
          <w:rPr>
            <w:color w:val="000000"/>
            <w:szCs w:val="22"/>
          </w:rPr>
          <w:delText> </w:delText>
        </w:r>
        <w:r w:rsidRPr="001B4A02">
          <w:rPr>
            <w:color w:val="000000"/>
            <w:szCs w:val="22"/>
          </w:rPr>
          <w:delText>těchto onemocnění</w:delText>
        </w:r>
        <w:r w:rsidR="002006B8" w:rsidRPr="001B4A02">
          <w:delText>.</w:delText>
        </w:r>
      </w:del>
    </w:p>
    <w:p w14:paraId="45313C51" w14:textId="77777777" w:rsidR="00073F8F" w:rsidRPr="001B4A02" w:rsidRDefault="00073F8F" w:rsidP="00ED48A3">
      <w:pPr>
        <w:ind w:left="0" w:firstLine="0"/>
        <w:rPr>
          <w:del w:id="11224" w:author="AbbVie1" w:date="2025-05-13T10:11:00Z"/>
        </w:rPr>
      </w:pPr>
    </w:p>
    <w:p w14:paraId="0CE3C778" w14:textId="77777777" w:rsidR="00073F8F" w:rsidRPr="001B4A02" w:rsidRDefault="00000000" w:rsidP="00E5443D">
      <w:pPr>
        <w:pStyle w:val="EMEAHeadingUnderline"/>
        <w:keepNext/>
        <w:tabs>
          <w:tab w:val="clear" w:pos="562"/>
        </w:tabs>
        <w:suppressAutoHyphens w:val="0"/>
        <w:spacing w:beforeLines="0" w:before="0" w:afterLines="0" w:after="0"/>
        <w:rPr>
          <w:del w:id="11225" w:author="AbbVie1" w:date="2025-05-13T10:11:00Z"/>
          <w:lang w:val="cs-CZ"/>
        </w:rPr>
      </w:pPr>
      <w:del w:id="11226" w:author="AbbVie1" w:date="2025-05-13T10:11:00Z">
        <w:r w:rsidRPr="001B4A02">
          <w:rPr>
            <w:lang w:val="cs-CZ"/>
          </w:rPr>
          <w:delText>Revmatoidní artritida</w:delText>
        </w:r>
      </w:del>
    </w:p>
    <w:p w14:paraId="19680A7B" w14:textId="77777777" w:rsidR="00AD23B9" w:rsidRPr="001B4A02" w:rsidRDefault="00AD23B9" w:rsidP="00E5443D">
      <w:pPr>
        <w:keepNext/>
        <w:ind w:left="0" w:firstLine="0"/>
        <w:rPr>
          <w:del w:id="11227" w:author="AbbVie1" w:date="2025-05-13T10:11:00Z"/>
        </w:rPr>
      </w:pPr>
    </w:p>
    <w:p w14:paraId="4766D9E3" w14:textId="77777777" w:rsidR="00073F8F" w:rsidRPr="001B4A02" w:rsidRDefault="00000000" w:rsidP="00ED48A3">
      <w:pPr>
        <w:ind w:left="0" w:firstLine="0"/>
        <w:rPr>
          <w:del w:id="11228" w:author="AbbVie1" w:date="2025-05-13T10:11:00Z"/>
        </w:rPr>
      </w:pPr>
      <w:del w:id="11229" w:author="AbbVie1" w:date="2025-05-13T10:11:00Z">
        <w:r w:rsidRPr="001B4A02">
          <w:delText>Revmatoidní artritida je zánětlivé onemocnění kloubů.</w:delText>
        </w:r>
      </w:del>
    </w:p>
    <w:p w14:paraId="4FC1C510" w14:textId="77777777" w:rsidR="00AD23B9" w:rsidRPr="001B4A02" w:rsidRDefault="00AD23B9" w:rsidP="00ED48A3">
      <w:pPr>
        <w:ind w:left="0" w:firstLine="0"/>
        <w:rPr>
          <w:del w:id="11230" w:author="AbbVie1" w:date="2025-05-13T10:11:00Z"/>
        </w:rPr>
      </w:pPr>
    </w:p>
    <w:p w14:paraId="57B1CA5B" w14:textId="77777777" w:rsidR="00073F8F" w:rsidRPr="001B4A02" w:rsidRDefault="00000000" w:rsidP="00ED48A3">
      <w:pPr>
        <w:ind w:left="0" w:firstLine="0"/>
        <w:rPr>
          <w:del w:id="11231" w:author="AbbVie1" w:date="2025-05-13T10:11:00Z"/>
        </w:rPr>
      </w:pPr>
      <w:del w:id="11232" w:author="AbbVie1" w:date="2025-05-13T10:11:00Z">
        <w:r w:rsidRPr="001B4A02">
          <w:delText xml:space="preserve">Přípravek Humira se používá k léčbě </w:delText>
        </w:r>
        <w:r w:rsidR="0028371E" w:rsidRPr="001B4A02">
          <w:delText>revmatoidní artritidy u </w:delText>
        </w:r>
        <w:r w:rsidRPr="001B4A02">
          <w:delText>dospělých. Pokud máte středně těžkou nebo těžkou aktivní revmatoidní artritidu, můžete nejdříve užívat jiné chorobu modifikující léky, jako je methotrexát. Pokud u </w:delText>
        </w:r>
        <w:r w:rsidR="009163F7" w:rsidRPr="001B4A02">
          <w:delText>V</w:delText>
        </w:r>
        <w:r w:rsidRPr="001B4A02">
          <w:delText>ás tyto léky nevyvolají uspokojivou odpověď, pak k léčbě revmatoidní artritidy dostanete přípravek Humira.</w:delText>
        </w:r>
      </w:del>
    </w:p>
    <w:p w14:paraId="5AACF334" w14:textId="77777777" w:rsidR="00073F8F" w:rsidRPr="001B4A02" w:rsidRDefault="00073F8F" w:rsidP="00ED48A3">
      <w:pPr>
        <w:ind w:left="0" w:firstLine="0"/>
        <w:rPr>
          <w:del w:id="11233" w:author="AbbVie1" w:date="2025-05-13T10:11:00Z"/>
        </w:rPr>
      </w:pPr>
    </w:p>
    <w:p w14:paraId="37FAEC2E" w14:textId="77777777" w:rsidR="00073F8F" w:rsidRPr="001B4A02" w:rsidRDefault="00000000" w:rsidP="00ED48A3">
      <w:pPr>
        <w:ind w:left="0" w:firstLine="0"/>
        <w:rPr>
          <w:del w:id="11234" w:author="AbbVie1" w:date="2025-05-13T10:11:00Z"/>
        </w:rPr>
      </w:pPr>
      <w:del w:id="11235" w:author="AbbVie1" w:date="2025-05-13T10:11:00Z">
        <w:r w:rsidRPr="001B4A02">
          <w:delText xml:space="preserve">Přípravek Humira je možné použít rovněž k léčbě </w:delText>
        </w:r>
        <w:r w:rsidR="00CC2F88" w:rsidRPr="001B4A02">
          <w:delText>těžké</w:delText>
        </w:r>
        <w:r w:rsidRPr="001B4A02">
          <w:delText>, aktivní</w:delText>
        </w:r>
        <w:r w:rsidR="002378E0">
          <w:delText xml:space="preserve"> a </w:delText>
        </w:r>
        <w:r w:rsidRPr="001B4A02">
          <w:delText>progresivní revmatoidní artritidy bez předchozí léčby methotrexátem.</w:delText>
        </w:r>
      </w:del>
    </w:p>
    <w:p w14:paraId="304375D5" w14:textId="77777777" w:rsidR="00073F8F" w:rsidRPr="001B4A02" w:rsidRDefault="00073F8F" w:rsidP="00ED48A3">
      <w:pPr>
        <w:ind w:left="0" w:firstLine="0"/>
        <w:rPr>
          <w:del w:id="11236" w:author="AbbVie1" w:date="2025-05-13T10:11:00Z"/>
        </w:rPr>
      </w:pPr>
    </w:p>
    <w:p w14:paraId="270C2D0B" w14:textId="77777777" w:rsidR="00073F8F" w:rsidRPr="001B4A02" w:rsidRDefault="00000000" w:rsidP="00ED48A3">
      <w:pPr>
        <w:ind w:left="0" w:firstLine="0"/>
        <w:rPr>
          <w:del w:id="11237" w:author="AbbVie1" w:date="2025-05-13T10:11:00Z"/>
        </w:rPr>
      </w:pPr>
      <w:del w:id="11238" w:author="AbbVie1" w:date="2025-05-13T10:11:00Z">
        <w:r w:rsidRPr="001B4A02">
          <w:delText>Bylo rovněž prokázáno, že přípravek Humira zpomaluje poškození kloubní chrupavky</w:delText>
        </w:r>
        <w:r w:rsidR="002378E0">
          <w:delText xml:space="preserve"> a </w:delText>
        </w:r>
        <w:r w:rsidRPr="001B4A02">
          <w:delText>kosti způsobené onemocněním</w:delText>
        </w:r>
        <w:r w:rsidR="002378E0">
          <w:delText xml:space="preserve"> a </w:delText>
        </w:r>
        <w:r w:rsidRPr="001B4A02">
          <w:delText>zlepšuje tělesné funkce.</w:delText>
        </w:r>
      </w:del>
    </w:p>
    <w:p w14:paraId="1928CF79" w14:textId="77777777" w:rsidR="00073F8F" w:rsidRPr="001B4A02" w:rsidRDefault="00073F8F" w:rsidP="00ED48A3">
      <w:pPr>
        <w:ind w:left="0" w:firstLine="0"/>
        <w:rPr>
          <w:del w:id="11239" w:author="AbbVie1" w:date="2025-05-13T10:11:00Z"/>
        </w:rPr>
      </w:pPr>
    </w:p>
    <w:p w14:paraId="4DAC0B94" w14:textId="77777777" w:rsidR="00073F8F" w:rsidRPr="001B4A02" w:rsidRDefault="00000000" w:rsidP="00ED48A3">
      <w:pPr>
        <w:ind w:left="0" w:firstLine="0"/>
        <w:rPr>
          <w:del w:id="11240" w:author="AbbVie1" w:date="2025-05-13T10:11:00Z"/>
        </w:rPr>
      </w:pPr>
      <w:del w:id="11241" w:author="AbbVie1" w:date="2025-05-13T10:11:00Z">
        <w:r w:rsidRPr="001B4A02">
          <w:delText xml:space="preserve">Přípravek Humira se obvykle používá s methotrexátem. Pokud </w:delText>
        </w:r>
        <w:r w:rsidR="009163F7" w:rsidRPr="001B4A02">
          <w:delText>V</w:delText>
        </w:r>
        <w:r w:rsidRPr="001B4A02">
          <w:delText xml:space="preserve">áš lékař určí, že je pro </w:delText>
        </w:r>
        <w:r w:rsidR="009163F7" w:rsidRPr="001B4A02">
          <w:delText>V</w:delText>
        </w:r>
        <w:r w:rsidRPr="001B4A02">
          <w:delText xml:space="preserve">ás methotrexát nevhodný, může se </w:delText>
        </w:r>
        <w:r w:rsidR="00264669" w:rsidRPr="001B4A02">
          <w:delText xml:space="preserve">přípravek </w:delText>
        </w:r>
        <w:r w:rsidRPr="001B4A02">
          <w:delText>Humira podávat samostatně.</w:delText>
        </w:r>
      </w:del>
    </w:p>
    <w:p w14:paraId="5C451690" w14:textId="77777777" w:rsidR="00073F8F" w:rsidRPr="001B4A02" w:rsidRDefault="00073F8F" w:rsidP="00ED48A3">
      <w:pPr>
        <w:pStyle w:val="EMEAHeadingUnderline"/>
        <w:tabs>
          <w:tab w:val="clear" w:pos="562"/>
          <w:tab w:val="left" w:pos="708"/>
        </w:tabs>
        <w:suppressAutoHyphens w:val="0"/>
        <w:spacing w:beforeLines="0" w:before="0" w:afterLines="0" w:after="0"/>
        <w:rPr>
          <w:del w:id="11242" w:author="AbbVie1" w:date="2025-05-13T10:11:00Z"/>
          <w:lang w:val="cs-CZ"/>
        </w:rPr>
      </w:pPr>
    </w:p>
    <w:p w14:paraId="617F7E6F" w14:textId="77777777" w:rsidR="00073F8F" w:rsidRPr="001B4A02" w:rsidRDefault="00000000" w:rsidP="00E5443D">
      <w:pPr>
        <w:pStyle w:val="EMEAHeadingUnderline"/>
        <w:keepNext/>
        <w:tabs>
          <w:tab w:val="clear" w:pos="562"/>
          <w:tab w:val="left" w:pos="708"/>
        </w:tabs>
        <w:suppressAutoHyphens w:val="0"/>
        <w:spacing w:beforeLines="0" w:before="0" w:afterLines="0" w:after="0"/>
        <w:rPr>
          <w:del w:id="11243" w:author="AbbVie1" w:date="2025-05-13T10:11:00Z"/>
          <w:lang w:val="cs-CZ"/>
        </w:rPr>
      </w:pPr>
      <w:del w:id="11244" w:author="AbbVie1" w:date="2025-05-13T10:11:00Z">
        <w:r w:rsidRPr="001B4A02">
          <w:rPr>
            <w:lang w:val="cs-CZ"/>
          </w:rPr>
          <w:delText>Polyartikulární juvenilní idiopatická artritida</w:delText>
        </w:r>
        <w:r w:rsidR="002378E0">
          <w:rPr>
            <w:lang w:val="cs-CZ"/>
          </w:rPr>
          <w:delText xml:space="preserve"> a </w:delText>
        </w:r>
        <w:r w:rsidR="004C3799" w:rsidRPr="001B4A02">
          <w:rPr>
            <w:lang w:val="cs-CZ"/>
          </w:rPr>
          <w:delText>ente</w:delText>
        </w:r>
        <w:r w:rsidR="002F6B1C" w:rsidRPr="001B4A02">
          <w:rPr>
            <w:lang w:val="cs-CZ"/>
          </w:rPr>
          <w:delText>zopatická artritida</w:delText>
        </w:r>
      </w:del>
    </w:p>
    <w:p w14:paraId="73224648" w14:textId="77777777" w:rsidR="00073F8F" w:rsidRPr="001B4A02" w:rsidRDefault="00073F8F" w:rsidP="00E5443D">
      <w:pPr>
        <w:keepNext/>
        <w:ind w:left="0" w:firstLine="0"/>
        <w:rPr>
          <w:del w:id="11245" w:author="AbbVie1" w:date="2025-05-13T10:11:00Z"/>
          <w:u w:val="single"/>
        </w:rPr>
      </w:pPr>
    </w:p>
    <w:p w14:paraId="04EF2FD2" w14:textId="77777777" w:rsidR="00204535" w:rsidRPr="001B4A02" w:rsidRDefault="00000000" w:rsidP="00ED48A3">
      <w:pPr>
        <w:ind w:left="0" w:firstLine="0"/>
        <w:rPr>
          <w:del w:id="11246" w:author="AbbVie1" w:date="2025-05-13T10:11:00Z"/>
          <w:u w:val="single"/>
        </w:rPr>
      </w:pPr>
      <w:del w:id="11247" w:author="AbbVie1" w:date="2025-05-13T10:11:00Z">
        <w:r w:rsidRPr="001B4A02">
          <w:delText>Polyartikulární juvenilní idiopatická artritida</w:delText>
        </w:r>
        <w:r w:rsidR="002378E0">
          <w:delText xml:space="preserve"> a </w:delText>
        </w:r>
        <w:r w:rsidRPr="001B4A02">
          <w:delText>entezopatická artritida jsou zánětlivá onemocnění.</w:delText>
        </w:r>
      </w:del>
    </w:p>
    <w:p w14:paraId="670A41E9" w14:textId="77777777" w:rsidR="00204535" w:rsidRPr="001B4A02" w:rsidRDefault="00204535" w:rsidP="00ED48A3">
      <w:pPr>
        <w:ind w:left="0" w:firstLine="0"/>
        <w:rPr>
          <w:del w:id="11248" w:author="AbbVie1" w:date="2025-05-13T10:11:00Z"/>
        </w:rPr>
      </w:pPr>
    </w:p>
    <w:p w14:paraId="0F8F7172" w14:textId="77777777" w:rsidR="00073F8F" w:rsidRPr="001B4A02" w:rsidRDefault="00000000" w:rsidP="00ED48A3">
      <w:pPr>
        <w:ind w:left="0" w:firstLine="0"/>
        <w:rPr>
          <w:del w:id="11249" w:author="AbbVie1" w:date="2025-05-13T10:11:00Z"/>
        </w:rPr>
      </w:pPr>
      <w:del w:id="11250" w:author="AbbVie1" w:date="2025-05-13T10:11:00Z">
        <w:r w:rsidRPr="001B4A02">
          <w:delText>Přípravek Humira se používá k léčbě polyartikulární juve</w:delText>
        </w:r>
        <w:r w:rsidR="00003540" w:rsidRPr="001B4A02">
          <w:delText>ni</w:delText>
        </w:r>
        <w:r w:rsidRPr="001B4A02">
          <w:delText>lní idiopatické artritidy</w:delText>
        </w:r>
        <w:r w:rsidR="0028371E" w:rsidRPr="001B4A02">
          <w:delText xml:space="preserve"> u </w:delText>
        </w:r>
        <w:r w:rsidRPr="001B4A02">
          <w:delText>dětí</w:delText>
        </w:r>
        <w:r w:rsidR="002378E0">
          <w:delText xml:space="preserve"> a </w:delText>
        </w:r>
        <w:r w:rsidRPr="001B4A02">
          <w:delText>dospívajících od 2 do 17 let</w:delText>
        </w:r>
        <w:r w:rsidR="002378E0">
          <w:delText xml:space="preserve"> a </w:delText>
        </w:r>
        <w:r w:rsidR="004C3799" w:rsidRPr="001B4A02">
          <w:delText>ente</w:delText>
        </w:r>
        <w:r w:rsidR="002F6B1C" w:rsidRPr="001B4A02">
          <w:delText>zopatické artritidy</w:delText>
        </w:r>
        <w:r w:rsidR="0028371E" w:rsidRPr="001B4A02">
          <w:delText xml:space="preserve"> u </w:delText>
        </w:r>
        <w:r w:rsidR="004C3799" w:rsidRPr="001B4A02">
          <w:delText>dětí</w:delText>
        </w:r>
        <w:r w:rsidR="002378E0">
          <w:delText xml:space="preserve"> a </w:delText>
        </w:r>
        <w:r w:rsidR="004C3799" w:rsidRPr="001B4A02">
          <w:delText xml:space="preserve">dospívajících </w:delText>
        </w:r>
        <w:r w:rsidR="00F23230" w:rsidRPr="001B4A02">
          <w:delText>od</w:delText>
        </w:r>
        <w:r w:rsidR="004C3799" w:rsidRPr="001B4A02">
          <w:delText xml:space="preserve"> 6 </w:delText>
        </w:r>
        <w:r w:rsidR="00F23230" w:rsidRPr="001B4A02">
          <w:delText>do</w:delText>
        </w:r>
        <w:r w:rsidR="004C3799" w:rsidRPr="001B4A02">
          <w:delText xml:space="preserve"> 17 let</w:delText>
        </w:r>
        <w:r w:rsidRPr="001B4A02">
          <w:delText>. Zpočátku můžete užívat jiné chorobu modifikující léky, jako je methotrexát. Pokud</w:delText>
        </w:r>
        <w:r w:rsidR="0028371E" w:rsidRPr="001B4A02">
          <w:delText xml:space="preserve"> u </w:delText>
        </w:r>
        <w:r w:rsidR="009163F7" w:rsidRPr="001B4A02">
          <w:delText>V</w:delText>
        </w:r>
        <w:r w:rsidRPr="001B4A02">
          <w:delText>ás tyto léky nevyvolají uspokojivou odpověď, pak k léčbě polyartikulární juvenilní idiopatické artritidy</w:delText>
        </w:r>
        <w:r w:rsidR="004C3799" w:rsidRPr="001B4A02">
          <w:delText xml:space="preserve"> </w:delText>
        </w:r>
        <w:r w:rsidR="0006455B" w:rsidRPr="001B4A02">
          <w:delText xml:space="preserve">nebo </w:delText>
        </w:r>
        <w:r w:rsidR="004C3799" w:rsidRPr="001B4A02">
          <w:delText>ente</w:delText>
        </w:r>
        <w:r w:rsidR="002F6B1C" w:rsidRPr="001B4A02">
          <w:delText>zopatické artritidy</w:delText>
        </w:r>
        <w:r w:rsidRPr="001B4A02">
          <w:delText xml:space="preserve"> dostanete přípravek Humira.</w:delText>
        </w:r>
      </w:del>
    </w:p>
    <w:p w14:paraId="0CFFE82D" w14:textId="77777777" w:rsidR="00073F8F" w:rsidRPr="001B4A02" w:rsidRDefault="00073F8F" w:rsidP="00ED48A3">
      <w:pPr>
        <w:ind w:left="0" w:firstLine="0"/>
        <w:rPr>
          <w:del w:id="11251" w:author="AbbVie1" w:date="2025-05-13T10:11:00Z"/>
          <w:u w:val="single"/>
        </w:rPr>
      </w:pPr>
    </w:p>
    <w:p w14:paraId="507ABDF2" w14:textId="77777777" w:rsidR="00692C6F" w:rsidRPr="001B4A02" w:rsidRDefault="00000000" w:rsidP="00E5443D">
      <w:pPr>
        <w:pStyle w:val="EMEAHeadingUnderline"/>
        <w:keepNext/>
        <w:tabs>
          <w:tab w:val="clear" w:pos="562"/>
          <w:tab w:val="left" w:pos="708"/>
        </w:tabs>
        <w:suppressAutoHyphens w:val="0"/>
        <w:spacing w:beforeLines="0" w:before="0" w:afterLines="0" w:after="0"/>
        <w:rPr>
          <w:del w:id="11252" w:author="AbbVie1" w:date="2025-05-13T10:11:00Z"/>
          <w:lang w:val="cs-CZ"/>
        </w:rPr>
      </w:pPr>
      <w:del w:id="11253" w:author="AbbVie1" w:date="2025-05-13T10:11:00Z">
        <w:r w:rsidRPr="001B4A02">
          <w:rPr>
            <w:lang w:val="cs-CZ"/>
          </w:rPr>
          <w:delText>Ankylozující spondylitida</w:delText>
        </w:r>
        <w:r w:rsidR="002378E0">
          <w:rPr>
            <w:lang w:val="cs-CZ"/>
          </w:rPr>
          <w:delText xml:space="preserve"> a </w:delText>
        </w:r>
        <w:r w:rsidR="006F7AD3" w:rsidRPr="001B4A02">
          <w:rPr>
            <w:lang w:val="cs-CZ"/>
          </w:rPr>
          <w:delText xml:space="preserve">axiální spondylartritida bez radiologického průkazu </w:delText>
        </w:r>
        <w:r w:rsidR="00D00B9C" w:rsidRPr="001B4A02">
          <w:rPr>
            <w:lang w:val="cs-CZ"/>
          </w:rPr>
          <w:delText>ankylozující spondylitidy</w:delText>
        </w:r>
      </w:del>
    </w:p>
    <w:p w14:paraId="0FD5BE37" w14:textId="77777777" w:rsidR="00C5707D" w:rsidRPr="001B4A02" w:rsidRDefault="00C5707D" w:rsidP="00E5443D">
      <w:pPr>
        <w:pStyle w:val="EMEANormal"/>
        <w:keepNext/>
        <w:rPr>
          <w:del w:id="11254" w:author="AbbVie1" w:date="2025-05-13T10:11:00Z"/>
          <w:lang w:val="cs-CZ"/>
        </w:rPr>
      </w:pPr>
    </w:p>
    <w:p w14:paraId="15EEFA88" w14:textId="77777777" w:rsidR="002230AE" w:rsidRPr="001B4A02" w:rsidRDefault="00000000" w:rsidP="00ED48A3">
      <w:pPr>
        <w:ind w:left="0" w:firstLine="0"/>
        <w:rPr>
          <w:del w:id="11255" w:author="AbbVie1" w:date="2025-05-13T10:11:00Z"/>
        </w:rPr>
      </w:pPr>
      <w:del w:id="11256" w:author="AbbVie1" w:date="2025-05-13T10:11:00Z">
        <w:r w:rsidRPr="001B4A02">
          <w:delText>Ankylozující spondylitida</w:delText>
        </w:r>
        <w:r w:rsidR="002378E0">
          <w:delText xml:space="preserve"> a </w:delText>
        </w:r>
        <w:r w:rsidRPr="001B4A02">
          <w:delText>axiální spondylartritida bez radiologického průkazu ankylozující spondylitidy jsou zánětlivá onemocnění páteře.</w:delText>
        </w:r>
      </w:del>
    </w:p>
    <w:p w14:paraId="0C0DEFE0" w14:textId="77777777" w:rsidR="002230AE" w:rsidRPr="001B4A02" w:rsidRDefault="002230AE" w:rsidP="00ED48A3">
      <w:pPr>
        <w:ind w:left="0" w:firstLine="0"/>
        <w:rPr>
          <w:del w:id="11257" w:author="AbbVie1" w:date="2025-05-13T10:11:00Z"/>
        </w:rPr>
      </w:pPr>
    </w:p>
    <w:p w14:paraId="0DB82E42" w14:textId="77777777" w:rsidR="00692C6F" w:rsidRPr="001B4A02" w:rsidRDefault="00000000" w:rsidP="00ED48A3">
      <w:pPr>
        <w:ind w:left="0" w:firstLine="0"/>
        <w:rPr>
          <w:del w:id="11258" w:author="AbbVie1" w:date="2025-05-13T10:11:00Z"/>
          <w:u w:val="single"/>
        </w:rPr>
      </w:pPr>
      <w:del w:id="11259" w:author="AbbVie1" w:date="2025-05-13T10:11:00Z">
        <w:r w:rsidRPr="001B4A02">
          <w:delText>Přípravek Humira se používá k léčbě ankylozující spondylitidy</w:delText>
        </w:r>
        <w:r w:rsidR="002378E0">
          <w:delText xml:space="preserve"> a </w:delText>
        </w:r>
        <w:r w:rsidRPr="001B4A02">
          <w:delText>axiální spondylartritidy bez radiologického průkazu ankylozující spondylitidy</w:delText>
        </w:r>
        <w:r w:rsidR="0028371E" w:rsidRPr="001B4A02">
          <w:delText xml:space="preserve"> u </w:delText>
        </w:r>
        <w:r w:rsidRPr="001B4A02">
          <w:delText>dospělých. Jestliže trpíte ankylozující spondylitidou</w:delText>
        </w:r>
        <w:r w:rsidR="006F7AD3" w:rsidRPr="001B4A02">
          <w:delText xml:space="preserve"> nebo axiální spondylartritidou bez radiologického průkazu </w:delText>
        </w:r>
        <w:r w:rsidR="00754BF8" w:rsidRPr="001B4A02">
          <w:delText>ankylozující spondylitidy</w:delText>
        </w:r>
        <w:r w:rsidRPr="001B4A02">
          <w:delText>, budou Vám nejprve podávány jiné léky. Pokud</w:delText>
        </w:r>
        <w:r w:rsidR="0028371E" w:rsidRPr="001B4A02">
          <w:delText xml:space="preserve"> u </w:delText>
        </w:r>
        <w:r w:rsidRPr="001B4A02">
          <w:delText>Vás tato léčba nevyvolá uspokojivou odpověď, pak ke zmírnění projevů tohoto onemocnění dostanete přípravek Humira.</w:delText>
        </w:r>
      </w:del>
    </w:p>
    <w:p w14:paraId="6DD35132" w14:textId="77777777" w:rsidR="00692C6F" w:rsidRPr="001B4A02" w:rsidRDefault="00692C6F" w:rsidP="00ED48A3">
      <w:pPr>
        <w:rPr>
          <w:del w:id="11260" w:author="AbbVie1" w:date="2025-05-13T10:11:00Z"/>
          <w:u w:val="single"/>
        </w:rPr>
      </w:pPr>
    </w:p>
    <w:p w14:paraId="5EDEE658" w14:textId="77777777" w:rsidR="00073F8F" w:rsidRPr="001B4A02" w:rsidRDefault="00000000" w:rsidP="00E5443D">
      <w:pPr>
        <w:keepNext/>
        <w:rPr>
          <w:del w:id="11261" w:author="AbbVie1" w:date="2025-05-13T10:11:00Z"/>
          <w:u w:val="single"/>
        </w:rPr>
      </w:pPr>
      <w:del w:id="11262" w:author="AbbVie1" w:date="2025-05-13T10:11:00Z">
        <w:r w:rsidRPr="001B4A02">
          <w:rPr>
            <w:u w:val="single"/>
          </w:rPr>
          <w:delText>Psoriatická artritida</w:delText>
        </w:r>
      </w:del>
    </w:p>
    <w:p w14:paraId="2837AF7D" w14:textId="77777777" w:rsidR="00073F8F" w:rsidRPr="001B4A02" w:rsidRDefault="00073F8F" w:rsidP="00E5443D">
      <w:pPr>
        <w:keepNext/>
        <w:rPr>
          <w:del w:id="11263" w:author="AbbVie1" w:date="2025-05-13T10:11:00Z"/>
        </w:rPr>
      </w:pPr>
    </w:p>
    <w:p w14:paraId="7B540900" w14:textId="77777777" w:rsidR="004A6DB1" w:rsidRPr="001B4A02" w:rsidRDefault="00000000" w:rsidP="00ED48A3">
      <w:pPr>
        <w:ind w:left="0" w:firstLine="0"/>
        <w:rPr>
          <w:del w:id="11264" w:author="AbbVie1" w:date="2025-05-13T10:11:00Z"/>
        </w:rPr>
      </w:pPr>
      <w:del w:id="11265" w:author="AbbVie1" w:date="2025-05-13T10:11:00Z">
        <w:r w:rsidRPr="001B4A02">
          <w:delText>Psoriatická artritida je zánět kloubů při lupénce (psoriáze).</w:delText>
        </w:r>
      </w:del>
    </w:p>
    <w:p w14:paraId="61EA46D9" w14:textId="77777777" w:rsidR="004A6DB1" w:rsidRPr="001B4A02" w:rsidRDefault="004A6DB1" w:rsidP="00ED48A3">
      <w:pPr>
        <w:ind w:left="0" w:firstLine="0"/>
        <w:rPr>
          <w:del w:id="11266" w:author="AbbVie1" w:date="2025-05-13T10:11:00Z"/>
        </w:rPr>
      </w:pPr>
    </w:p>
    <w:p w14:paraId="73ACEACA" w14:textId="77777777" w:rsidR="00073F8F" w:rsidRPr="001B4A02" w:rsidRDefault="00000000" w:rsidP="00ED48A3">
      <w:pPr>
        <w:ind w:left="0" w:firstLine="0"/>
        <w:rPr>
          <w:del w:id="11267" w:author="AbbVie1" w:date="2025-05-13T10:11:00Z"/>
        </w:rPr>
      </w:pPr>
      <w:del w:id="11268" w:author="AbbVie1" w:date="2025-05-13T10:11:00Z">
        <w:r w:rsidRPr="001B4A02">
          <w:delText>Přípravek Humira se používá k léčbě psoriatické artritidy</w:delText>
        </w:r>
        <w:r w:rsidR="0028371E" w:rsidRPr="001B4A02">
          <w:delText xml:space="preserve"> u </w:delText>
        </w:r>
        <w:r w:rsidRPr="001B4A02">
          <w:delText>dospělých. U</w:delText>
        </w:r>
        <w:r w:rsidR="00A02FA4" w:rsidRPr="001B4A02">
          <w:delText> </w:delText>
        </w:r>
        <w:r w:rsidRPr="001B4A02">
          <w:delText>přípravku Humira bylo prokázáno zpomalení poškození chrupavky</w:delText>
        </w:r>
        <w:r w:rsidR="002378E0">
          <w:delText xml:space="preserve"> a </w:delText>
        </w:r>
        <w:r w:rsidRPr="001B4A02">
          <w:delText>kosti kloubů způsobené onemocněním</w:delText>
        </w:r>
        <w:r w:rsidR="002378E0">
          <w:delText xml:space="preserve"> a </w:delText>
        </w:r>
        <w:r w:rsidRPr="001B4A02">
          <w:delText>zlepšení fyzických funkcí.</w:delText>
        </w:r>
      </w:del>
    </w:p>
    <w:p w14:paraId="4BB8402B" w14:textId="77777777" w:rsidR="00F52C1B" w:rsidRPr="001B4A02" w:rsidRDefault="00F52C1B" w:rsidP="00ED48A3">
      <w:pPr>
        <w:ind w:left="0" w:firstLine="0"/>
        <w:rPr>
          <w:del w:id="11269" w:author="AbbVie1" w:date="2025-05-13T10:11:00Z"/>
        </w:rPr>
      </w:pPr>
    </w:p>
    <w:p w14:paraId="768283F7" w14:textId="77777777" w:rsidR="00F52C1B" w:rsidRPr="001B4A02" w:rsidRDefault="00000000" w:rsidP="00E5443D">
      <w:pPr>
        <w:keepNext/>
        <w:ind w:left="0" w:firstLine="0"/>
        <w:rPr>
          <w:del w:id="11270" w:author="AbbVie1" w:date="2025-05-13T10:11:00Z"/>
          <w:u w:val="single"/>
        </w:rPr>
      </w:pPr>
      <w:del w:id="11271" w:author="AbbVie1" w:date="2025-05-13T10:11:00Z">
        <w:r w:rsidRPr="001B4A02">
          <w:rPr>
            <w:u w:val="single"/>
          </w:rPr>
          <w:delText>Ložisková psoriáza</w:delText>
        </w:r>
        <w:r w:rsidR="0028371E" w:rsidRPr="001B4A02">
          <w:rPr>
            <w:u w:val="single"/>
          </w:rPr>
          <w:delText xml:space="preserve"> u </w:delText>
        </w:r>
        <w:r w:rsidR="00CC3451" w:rsidRPr="001B4A02">
          <w:rPr>
            <w:u w:val="single"/>
          </w:rPr>
          <w:delText>dospělých</w:delText>
        </w:r>
        <w:r w:rsidR="002378E0">
          <w:rPr>
            <w:u w:val="single"/>
          </w:rPr>
          <w:delText xml:space="preserve"> a </w:delText>
        </w:r>
        <w:r w:rsidR="00F406FC" w:rsidRPr="001B4A02">
          <w:rPr>
            <w:u w:val="single"/>
          </w:rPr>
          <w:delText>dětí</w:delText>
        </w:r>
      </w:del>
    </w:p>
    <w:p w14:paraId="080D8C7A" w14:textId="77777777" w:rsidR="00917B48" w:rsidRPr="001B4A02" w:rsidRDefault="00917B48" w:rsidP="00E5443D">
      <w:pPr>
        <w:keepNext/>
        <w:ind w:left="0" w:firstLine="0"/>
        <w:rPr>
          <w:del w:id="11272" w:author="AbbVie1" w:date="2025-05-13T10:11:00Z"/>
        </w:rPr>
      </w:pPr>
    </w:p>
    <w:p w14:paraId="0AD2CD9C" w14:textId="77777777" w:rsidR="00917B48" w:rsidRPr="001B4A02" w:rsidRDefault="00000000" w:rsidP="00ED48A3">
      <w:pPr>
        <w:ind w:left="0" w:firstLine="0"/>
        <w:rPr>
          <w:del w:id="11273" w:author="AbbVie1" w:date="2025-05-13T10:11:00Z"/>
        </w:rPr>
      </w:pPr>
      <w:del w:id="11274" w:author="AbbVie1" w:date="2025-05-13T10:11:00Z">
        <w:r w:rsidRPr="001B4A02">
          <w:delText xml:space="preserve">Ložisková psoriáza je kožní onemocnění, které se projevuje ohraničenými, zarudlými, vyvýšenými ložisky, krytými stříbřitě lesklými šupinami. </w:delText>
        </w:r>
        <w:r w:rsidR="0031641E" w:rsidRPr="001B4A02">
          <w:delText xml:space="preserve">Ložisková psoriáza může postihovat také nehty, může způsobit jejich </w:delText>
        </w:r>
        <w:r w:rsidR="000B75A4" w:rsidRPr="001B4A02">
          <w:delText>ztluštění</w:delText>
        </w:r>
        <w:r w:rsidR="0031641E" w:rsidRPr="001B4A02">
          <w:delText>, drolení</w:delText>
        </w:r>
        <w:r w:rsidR="002378E0">
          <w:delText xml:space="preserve"> a </w:delText>
        </w:r>
        <w:r w:rsidR="0031641E" w:rsidRPr="001B4A02">
          <w:delText xml:space="preserve">odlučování od nehtového lůžka, což může být bolestivé. </w:delText>
        </w:r>
        <w:r w:rsidRPr="001B4A02">
          <w:delText>Psoriáza je pravděpodobně způsobena problém</w:delText>
        </w:r>
        <w:r w:rsidR="00AA22D8" w:rsidRPr="001B4A02">
          <w:delText>em</w:delText>
        </w:r>
        <w:r w:rsidRPr="001B4A02">
          <w:delText xml:space="preserve"> s imunitním systémem organismu, kter</w:delText>
        </w:r>
        <w:r w:rsidR="00AA22D8" w:rsidRPr="001B4A02">
          <w:delText>ý</w:delText>
        </w:r>
        <w:r w:rsidRPr="001B4A02">
          <w:delText xml:space="preserve"> ved</w:delText>
        </w:r>
        <w:r w:rsidR="00AA22D8" w:rsidRPr="001B4A02">
          <w:delText>e</w:delText>
        </w:r>
        <w:r w:rsidRPr="001B4A02">
          <w:delText xml:space="preserve"> ke zvýšené tvorbě kožních buněk.</w:delText>
        </w:r>
      </w:del>
    </w:p>
    <w:p w14:paraId="5426905E" w14:textId="77777777" w:rsidR="00917B48" w:rsidRPr="001B4A02" w:rsidRDefault="00917B48" w:rsidP="00ED48A3">
      <w:pPr>
        <w:ind w:left="0" w:firstLine="0"/>
        <w:rPr>
          <w:del w:id="11275" w:author="AbbVie1" w:date="2025-05-13T10:11:00Z"/>
        </w:rPr>
      </w:pPr>
    </w:p>
    <w:p w14:paraId="667D56EA" w14:textId="77777777" w:rsidR="00073F8F" w:rsidRPr="001B4A02" w:rsidRDefault="00000000" w:rsidP="00ED48A3">
      <w:pPr>
        <w:ind w:left="0" w:firstLine="0"/>
        <w:rPr>
          <w:del w:id="11276" w:author="AbbVie1" w:date="2025-05-13T10:11:00Z"/>
        </w:rPr>
      </w:pPr>
      <w:del w:id="11277" w:author="AbbVie1" w:date="2025-05-13T10:11:00Z">
        <w:r w:rsidRPr="001B4A02">
          <w:delText>Přípravek Humira se používá k</w:delText>
        </w:r>
        <w:r w:rsidR="00F52C1B" w:rsidRPr="001B4A02">
          <w:delText> </w:delText>
        </w:r>
        <w:r w:rsidRPr="001B4A02">
          <w:delText>léčbě</w:delText>
        </w:r>
        <w:r w:rsidR="00F52C1B" w:rsidRPr="001B4A02">
          <w:delText xml:space="preserve"> středně </w:delText>
        </w:r>
        <w:r w:rsidR="008640F2" w:rsidRPr="001B4A02">
          <w:delText xml:space="preserve">těžké </w:delText>
        </w:r>
        <w:r w:rsidR="00F52C1B" w:rsidRPr="001B4A02">
          <w:delText>až těžké</w:delText>
        </w:r>
        <w:r w:rsidR="004A6DB1" w:rsidRPr="001B4A02">
          <w:delText xml:space="preserve"> ložiskové</w:delText>
        </w:r>
        <w:r w:rsidRPr="001B4A02">
          <w:delText xml:space="preserve"> psoriázy</w:delText>
        </w:r>
        <w:r w:rsidR="0028371E" w:rsidRPr="001B4A02">
          <w:delText xml:space="preserve"> u </w:delText>
        </w:r>
        <w:r w:rsidRPr="001B4A02">
          <w:delText xml:space="preserve">dospělých. </w:delText>
        </w:r>
        <w:r w:rsidR="008D6A35" w:rsidRPr="001B4A02">
          <w:delText>Přípravek Humira se používá také k léčbě těžké ložiskové psoriázy</w:delText>
        </w:r>
        <w:r w:rsidR="0028371E" w:rsidRPr="001B4A02">
          <w:delText xml:space="preserve"> u </w:delText>
        </w:r>
        <w:r w:rsidR="008D6A35" w:rsidRPr="001B4A02">
          <w:delText>dětí</w:delText>
        </w:r>
        <w:r w:rsidR="002378E0">
          <w:delText xml:space="preserve"> a </w:delText>
        </w:r>
        <w:r w:rsidR="008D6A35" w:rsidRPr="001B4A02">
          <w:delText>dospívajících od 4 do 17 let,</w:delText>
        </w:r>
        <w:r w:rsidR="0028371E" w:rsidRPr="001B4A02">
          <w:delText xml:space="preserve"> u </w:delText>
        </w:r>
        <w:r w:rsidR="008D6A35" w:rsidRPr="001B4A02">
          <w:delText>kterých lokální léčba</w:delText>
        </w:r>
        <w:r w:rsidR="002378E0">
          <w:delText xml:space="preserve"> a </w:delText>
        </w:r>
        <w:r w:rsidR="008D6A35" w:rsidRPr="001B4A02">
          <w:delText xml:space="preserve">fototerapie </w:delText>
        </w:r>
        <w:r w:rsidR="00B86AAF" w:rsidRPr="001B4A02">
          <w:delText>neúčinkovaly</w:delText>
        </w:r>
        <w:r w:rsidR="008D6A35" w:rsidRPr="001B4A02">
          <w:delText xml:space="preserve"> dobře nebo je</w:delText>
        </w:r>
        <w:r w:rsidR="0028371E" w:rsidRPr="001B4A02">
          <w:delText xml:space="preserve"> u </w:delText>
        </w:r>
        <w:r w:rsidR="008D6A35" w:rsidRPr="001B4A02">
          <w:delText>nich tato léčba nevhodná.</w:delText>
        </w:r>
      </w:del>
    </w:p>
    <w:p w14:paraId="717C3701" w14:textId="77777777" w:rsidR="00F52C1B" w:rsidRPr="001B4A02" w:rsidRDefault="00F52C1B" w:rsidP="00ED48A3">
      <w:pPr>
        <w:ind w:left="0" w:firstLine="0"/>
        <w:rPr>
          <w:del w:id="11278" w:author="AbbVie1" w:date="2025-05-13T10:11:00Z"/>
        </w:rPr>
      </w:pPr>
    </w:p>
    <w:p w14:paraId="45572610" w14:textId="77777777" w:rsidR="00F4667B" w:rsidRPr="001B4A02" w:rsidRDefault="00000000" w:rsidP="00D97F68">
      <w:pPr>
        <w:keepNext/>
        <w:ind w:left="0" w:firstLine="0"/>
        <w:rPr>
          <w:del w:id="11279" w:author="AbbVie1" w:date="2025-05-13T10:11:00Z"/>
          <w:rFonts w:eastAsia="Calibri"/>
          <w:szCs w:val="22"/>
          <w:u w:val="single"/>
        </w:rPr>
      </w:pPr>
      <w:del w:id="11280" w:author="AbbVie1" w:date="2025-05-13T10:11:00Z">
        <w:r w:rsidRPr="001B4A02">
          <w:rPr>
            <w:rFonts w:eastAsia="Calibri"/>
            <w:szCs w:val="22"/>
            <w:u w:val="single"/>
          </w:rPr>
          <w:delText>Hidradenitis suppurativa</w:delText>
        </w:r>
        <w:r w:rsidR="0028371E" w:rsidRPr="001B4A02">
          <w:rPr>
            <w:rFonts w:eastAsia="Calibri"/>
            <w:szCs w:val="22"/>
            <w:u w:val="single"/>
          </w:rPr>
          <w:delText xml:space="preserve"> u </w:delText>
        </w:r>
        <w:r w:rsidR="009575E9" w:rsidRPr="001B4A02">
          <w:rPr>
            <w:rFonts w:eastAsia="Calibri"/>
            <w:szCs w:val="22"/>
            <w:u w:val="single"/>
          </w:rPr>
          <w:delText>dospělých</w:delText>
        </w:r>
        <w:r w:rsidR="002378E0">
          <w:rPr>
            <w:rFonts w:eastAsia="Calibri"/>
            <w:szCs w:val="22"/>
            <w:u w:val="single"/>
          </w:rPr>
          <w:delText xml:space="preserve"> a </w:delText>
        </w:r>
        <w:r w:rsidR="009575E9" w:rsidRPr="001B4A02">
          <w:rPr>
            <w:rFonts w:eastAsia="Calibri"/>
            <w:szCs w:val="22"/>
            <w:u w:val="single"/>
          </w:rPr>
          <w:delText>dospívajících</w:delText>
        </w:r>
      </w:del>
    </w:p>
    <w:p w14:paraId="3B5C01AA" w14:textId="77777777" w:rsidR="00F4667B" w:rsidRPr="00D84340" w:rsidRDefault="00F4667B" w:rsidP="00D97F68">
      <w:pPr>
        <w:keepNext/>
        <w:ind w:left="0" w:firstLine="0"/>
        <w:rPr>
          <w:del w:id="11281" w:author="AbbVie1" w:date="2025-05-13T10:11:00Z"/>
          <w:rFonts w:eastAsia="Calibri"/>
          <w:bCs/>
          <w:szCs w:val="22"/>
        </w:rPr>
      </w:pPr>
    </w:p>
    <w:p w14:paraId="53B8A608" w14:textId="77777777" w:rsidR="00F4667B" w:rsidRPr="001B4A02" w:rsidRDefault="00000000" w:rsidP="00ED48A3">
      <w:pPr>
        <w:ind w:left="0" w:firstLine="0"/>
        <w:rPr>
          <w:del w:id="11282" w:author="AbbVie1" w:date="2025-05-13T10:11:00Z"/>
          <w:rFonts w:eastAsia="Calibri"/>
          <w:szCs w:val="22"/>
        </w:rPr>
      </w:pPr>
      <w:del w:id="11283" w:author="AbbVie1" w:date="2025-05-13T10:11:00Z">
        <w:r w:rsidRPr="001B4A02">
          <w:rPr>
            <w:rFonts w:eastAsia="Calibri"/>
            <w:szCs w:val="22"/>
          </w:rPr>
          <w:delText>Hidradenitis suppurativa (někdy nazývaná acne inversa) je chronické</w:delText>
        </w:r>
        <w:r w:rsidR="002378E0">
          <w:rPr>
            <w:rFonts w:eastAsia="Calibri"/>
            <w:szCs w:val="22"/>
          </w:rPr>
          <w:delText xml:space="preserve"> a </w:delText>
        </w:r>
        <w:r w:rsidRPr="001B4A02">
          <w:rPr>
            <w:rFonts w:eastAsia="Calibri"/>
            <w:szCs w:val="22"/>
          </w:rPr>
          <w:delText>často bolestivé zánětlivé kožní onemocnění. Příznaky mohou zahrnovat citlivé uzly (boláky)</w:delText>
        </w:r>
        <w:r w:rsidR="002378E0">
          <w:rPr>
            <w:rFonts w:eastAsia="Calibri"/>
            <w:szCs w:val="22"/>
          </w:rPr>
          <w:delText xml:space="preserve"> a </w:delText>
        </w:r>
        <w:r w:rsidRPr="001B4A02">
          <w:rPr>
            <w:rFonts w:eastAsia="Calibri"/>
            <w:szCs w:val="22"/>
          </w:rPr>
          <w:delText>abscesy (nežity), které mohou obsahovat hnis. Nejčastěji postihuje specifické části kůže, jako např. pod prsy, podpaždí, vnitřní část stehen, třísla</w:delText>
        </w:r>
        <w:r w:rsidR="002378E0">
          <w:rPr>
            <w:rFonts w:eastAsia="Calibri"/>
            <w:szCs w:val="22"/>
          </w:rPr>
          <w:delText xml:space="preserve"> a </w:delText>
        </w:r>
        <w:r w:rsidRPr="001B4A02">
          <w:rPr>
            <w:rFonts w:eastAsia="Calibri"/>
            <w:szCs w:val="22"/>
          </w:rPr>
          <w:delText>hýždě. Na postižených částech se také mohou objevovat jizvy.</w:delText>
        </w:r>
      </w:del>
    </w:p>
    <w:p w14:paraId="6DC6617D" w14:textId="77777777" w:rsidR="00F4667B" w:rsidRPr="001B4A02" w:rsidRDefault="00F4667B" w:rsidP="00ED48A3">
      <w:pPr>
        <w:ind w:left="0" w:firstLine="0"/>
        <w:rPr>
          <w:del w:id="11284" w:author="AbbVie1" w:date="2025-05-13T10:11:00Z"/>
          <w:rFonts w:eastAsia="Calibri"/>
          <w:szCs w:val="22"/>
        </w:rPr>
      </w:pPr>
    </w:p>
    <w:p w14:paraId="6E96D76B" w14:textId="77777777" w:rsidR="00F4667B" w:rsidRPr="001B4A02" w:rsidRDefault="00000000" w:rsidP="00ED48A3">
      <w:pPr>
        <w:ind w:left="0" w:firstLine="0"/>
        <w:rPr>
          <w:del w:id="11285" w:author="AbbVie1" w:date="2025-05-13T10:11:00Z"/>
          <w:rFonts w:eastAsia="Calibri"/>
          <w:szCs w:val="22"/>
        </w:rPr>
      </w:pPr>
      <w:del w:id="11286" w:author="AbbVie1" w:date="2025-05-13T10:11:00Z">
        <w:r w:rsidRPr="001B4A02">
          <w:delText xml:space="preserve">Přípravek </w:delText>
        </w:r>
        <w:r w:rsidRPr="001B4A02">
          <w:rPr>
            <w:rFonts w:eastAsia="Calibri"/>
            <w:szCs w:val="22"/>
          </w:rPr>
          <w:delText>Humira se používá k</w:delText>
        </w:r>
        <w:r w:rsidR="007930C0" w:rsidRPr="001B4A02">
          <w:rPr>
            <w:rFonts w:eastAsia="Calibri"/>
            <w:szCs w:val="22"/>
          </w:rPr>
          <w:delText> </w:delText>
        </w:r>
        <w:r w:rsidRPr="001B4A02">
          <w:rPr>
            <w:rFonts w:eastAsia="Calibri"/>
            <w:szCs w:val="22"/>
          </w:rPr>
          <w:delText>léčbě hidradenitis suppurativa</w:delText>
        </w:r>
        <w:r w:rsidR="0028371E" w:rsidRPr="001B4A02">
          <w:rPr>
            <w:rFonts w:eastAsia="Calibri"/>
            <w:szCs w:val="22"/>
          </w:rPr>
          <w:delText xml:space="preserve"> u </w:delText>
        </w:r>
        <w:r w:rsidRPr="001B4A02">
          <w:rPr>
            <w:rFonts w:eastAsia="Calibri"/>
            <w:szCs w:val="22"/>
          </w:rPr>
          <w:delText>dospělých</w:delText>
        </w:r>
        <w:r w:rsidR="002378E0">
          <w:rPr>
            <w:rFonts w:eastAsia="Calibri"/>
            <w:szCs w:val="22"/>
          </w:rPr>
          <w:delText xml:space="preserve"> a </w:delText>
        </w:r>
        <w:r w:rsidR="006948D0" w:rsidRPr="001B4A02">
          <w:rPr>
            <w:rFonts w:eastAsia="Calibri"/>
            <w:szCs w:val="22"/>
          </w:rPr>
          <w:delText>dospívajících od 12 let</w:delText>
        </w:r>
        <w:r w:rsidRPr="001B4A02">
          <w:rPr>
            <w:rFonts w:eastAsia="Calibri"/>
            <w:szCs w:val="22"/>
          </w:rPr>
          <w:delText>. Přípravek Humira pomáhá snižovat počet boláků</w:delText>
        </w:r>
        <w:r w:rsidR="002378E0">
          <w:rPr>
            <w:rFonts w:eastAsia="Calibri"/>
            <w:szCs w:val="22"/>
          </w:rPr>
          <w:delText xml:space="preserve"> a </w:delText>
        </w:r>
        <w:r w:rsidRPr="001B4A02">
          <w:rPr>
            <w:rFonts w:eastAsia="Calibri"/>
            <w:szCs w:val="22"/>
          </w:rPr>
          <w:delText>nežitů, které máte,</w:delText>
        </w:r>
        <w:r w:rsidR="002378E0">
          <w:rPr>
            <w:rFonts w:eastAsia="Calibri"/>
            <w:szCs w:val="22"/>
          </w:rPr>
          <w:delText xml:space="preserve"> a </w:delText>
        </w:r>
        <w:r w:rsidRPr="001B4A02">
          <w:rPr>
            <w:rFonts w:eastAsia="Calibri"/>
            <w:szCs w:val="22"/>
          </w:rPr>
          <w:delText>bolest, která je s</w:delText>
        </w:r>
        <w:r w:rsidR="007930C0" w:rsidRPr="001B4A02">
          <w:rPr>
            <w:rFonts w:eastAsia="Calibri"/>
            <w:szCs w:val="22"/>
          </w:rPr>
          <w:delText> </w:delText>
        </w:r>
        <w:r w:rsidRPr="001B4A02">
          <w:rPr>
            <w:rFonts w:eastAsia="Calibri"/>
            <w:szCs w:val="22"/>
          </w:rPr>
          <w:delText>tímto onemocněním často spojena.</w:delText>
        </w:r>
        <w:r w:rsidR="006948D0" w:rsidRPr="001B4A02">
          <w:rPr>
            <w:rFonts w:eastAsia="Calibri"/>
            <w:szCs w:val="22"/>
          </w:rPr>
          <w:delText xml:space="preserve"> Nejprve můžete dostávat jiné léky. </w:delText>
        </w:r>
        <w:r w:rsidR="00FF1468" w:rsidRPr="001B4A02">
          <w:rPr>
            <w:szCs w:val="22"/>
          </w:rPr>
          <w:delText>Pokud na tyto léky nebudete dostatečně dobře reagovat, bude Vám podán přípravek Humira.</w:delText>
        </w:r>
      </w:del>
    </w:p>
    <w:p w14:paraId="2BD30A00" w14:textId="77777777" w:rsidR="003F5845" w:rsidRPr="001B4A02" w:rsidRDefault="003F5845" w:rsidP="00ED48A3">
      <w:pPr>
        <w:ind w:left="0" w:firstLine="0"/>
        <w:rPr>
          <w:del w:id="11287" w:author="AbbVie1" w:date="2025-05-13T10:11:00Z"/>
        </w:rPr>
      </w:pPr>
    </w:p>
    <w:p w14:paraId="5A336BA7" w14:textId="77777777" w:rsidR="00073F8F" w:rsidRPr="001B4A02" w:rsidRDefault="00000000" w:rsidP="00E5443D">
      <w:pPr>
        <w:pStyle w:val="EMEAHeadingUnderline"/>
        <w:keepNext/>
        <w:tabs>
          <w:tab w:val="clear" w:pos="562"/>
          <w:tab w:val="left" w:pos="708"/>
        </w:tabs>
        <w:suppressAutoHyphens w:val="0"/>
        <w:spacing w:beforeLines="0" w:before="0" w:afterLines="0" w:after="0"/>
        <w:rPr>
          <w:del w:id="11288" w:author="AbbVie1" w:date="2025-05-13T10:11:00Z"/>
          <w:lang w:val="cs-CZ"/>
        </w:rPr>
      </w:pPr>
      <w:del w:id="11289" w:author="AbbVie1" w:date="2025-05-13T10:11:00Z">
        <w:r w:rsidRPr="001B4A02">
          <w:rPr>
            <w:lang w:val="cs-CZ"/>
          </w:rPr>
          <w:delText>Crohnova choroba</w:delText>
        </w:r>
        <w:r w:rsidR="0028371E" w:rsidRPr="001B4A02">
          <w:rPr>
            <w:lang w:val="cs-CZ"/>
          </w:rPr>
          <w:delText xml:space="preserve"> u </w:delText>
        </w:r>
        <w:r w:rsidR="00261668" w:rsidRPr="001B4A02">
          <w:rPr>
            <w:lang w:val="cs-CZ"/>
          </w:rPr>
          <w:delText>dospělých</w:delText>
        </w:r>
        <w:r w:rsidR="002378E0">
          <w:rPr>
            <w:lang w:val="cs-CZ"/>
          </w:rPr>
          <w:delText xml:space="preserve"> a </w:delText>
        </w:r>
        <w:r w:rsidR="00F406FC" w:rsidRPr="001B4A02">
          <w:rPr>
            <w:lang w:val="cs-CZ"/>
          </w:rPr>
          <w:delText>dětí</w:delText>
        </w:r>
      </w:del>
    </w:p>
    <w:p w14:paraId="01B5D4B7" w14:textId="77777777" w:rsidR="00073F8F" w:rsidRPr="001B4A02" w:rsidRDefault="00073F8F" w:rsidP="00E5443D">
      <w:pPr>
        <w:pStyle w:val="EMEANormal"/>
        <w:keepNext/>
        <w:rPr>
          <w:del w:id="11290" w:author="AbbVie1" w:date="2025-05-13T10:11:00Z"/>
          <w:lang w:val="cs-CZ"/>
        </w:rPr>
      </w:pPr>
    </w:p>
    <w:p w14:paraId="37AE2B4D" w14:textId="77777777" w:rsidR="004A6DB1" w:rsidRPr="001B4A02" w:rsidRDefault="00000000" w:rsidP="00ED48A3">
      <w:pPr>
        <w:pStyle w:val="EMEANormal"/>
        <w:rPr>
          <w:del w:id="11291" w:author="AbbVie1" w:date="2025-05-13T10:11:00Z"/>
          <w:lang w:val="cs-CZ"/>
        </w:rPr>
      </w:pPr>
      <w:del w:id="11292" w:author="AbbVie1" w:date="2025-05-13T10:11:00Z">
        <w:r w:rsidRPr="001B4A02">
          <w:rPr>
            <w:lang w:val="cs-CZ"/>
          </w:rPr>
          <w:delText>Crohnova choroba je zánětlivé onemocnění trávicího traktu.</w:delText>
        </w:r>
      </w:del>
    </w:p>
    <w:p w14:paraId="2FBFF301" w14:textId="77777777" w:rsidR="004A6DB1" w:rsidRPr="001B4A02" w:rsidRDefault="004A6DB1" w:rsidP="00ED48A3">
      <w:pPr>
        <w:pStyle w:val="EMEANormal"/>
        <w:rPr>
          <w:del w:id="11293" w:author="AbbVie1" w:date="2025-05-13T10:11:00Z"/>
          <w:lang w:val="cs-CZ"/>
        </w:rPr>
      </w:pPr>
    </w:p>
    <w:p w14:paraId="71DA4986" w14:textId="77777777" w:rsidR="00073F8F" w:rsidRPr="001B4A02" w:rsidRDefault="00000000" w:rsidP="00ED48A3">
      <w:pPr>
        <w:ind w:left="0" w:firstLine="0"/>
        <w:rPr>
          <w:del w:id="11294" w:author="AbbVie1" w:date="2025-05-13T10:11:00Z"/>
        </w:rPr>
      </w:pPr>
      <w:del w:id="11295" w:author="AbbVie1" w:date="2025-05-13T10:11:00Z">
        <w:r w:rsidRPr="001B4A02">
          <w:delText>Přípravek Humira se používá k léčbě Crohnovy choroby</w:delText>
        </w:r>
        <w:r w:rsidR="0028371E" w:rsidRPr="001B4A02">
          <w:delText xml:space="preserve"> u </w:delText>
        </w:r>
        <w:r w:rsidRPr="001B4A02">
          <w:delText>dospělých</w:delText>
        </w:r>
        <w:r w:rsidR="002378E0">
          <w:delText xml:space="preserve"> a </w:delText>
        </w:r>
        <w:r w:rsidRPr="001B4A02">
          <w:delText xml:space="preserve">dětí od 6 do 17 let. Jestliže trpíte Crohnovou chorobou, budou </w:delText>
        </w:r>
        <w:r w:rsidR="009163F7" w:rsidRPr="001B4A02">
          <w:delText>V</w:delText>
        </w:r>
        <w:r w:rsidRPr="001B4A02">
          <w:delText>ám nejprve podávány jiné léky. Pokud</w:delText>
        </w:r>
        <w:r w:rsidR="0028371E" w:rsidRPr="001B4A02">
          <w:delText xml:space="preserve"> u </w:delText>
        </w:r>
        <w:r w:rsidR="009163F7" w:rsidRPr="001B4A02">
          <w:delText>V</w:delText>
        </w:r>
        <w:r w:rsidRPr="001B4A02">
          <w:delText>ás tato léčba nevyvolá uspokojivou odpověď, pak ke zmírnění projevů tohoto onemocnění dostanete přípravek Humira.</w:delText>
        </w:r>
      </w:del>
    </w:p>
    <w:p w14:paraId="5E43838D" w14:textId="77777777" w:rsidR="00073F8F" w:rsidRPr="001B4A02" w:rsidRDefault="00073F8F" w:rsidP="00ED48A3">
      <w:pPr>
        <w:ind w:left="0" w:firstLine="0"/>
        <w:rPr>
          <w:del w:id="11296" w:author="AbbVie1" w:date="2025-05-13T10:11:00Z"/>
        </w:rPr>
      </w:pPr>
    </w:p>
    <w:p w14:paraId="5F1AAB63" w14:textId="77777777" w:rsidR="00692C6F" w:rsidRPr="001B4A02" w:rsidRDefault="00000000" w:rsidP="00E5443D">
      <w:pPr>
        <w:keepNext/>
        <w:ind w:left="0" w:firstLine="0"/>
        <w:rPr>
          <w:del w:id="11297" w:author="AbbVie1" w:date="2025-05-13T10:11:00Z"/>
          <w:u w:val="single"/>
        </w:rPr>
      </w:pPr>
      <w:del w:id="11298" w:author="AbbVie1" w:date="2025-05-13T10:11:00Z">
        <w:r w:rsidRPr="001B4A02">
          <w:rPr>
            <w:u w:val="single"/>
          </w:rPr>
          <w:delText>Ulcerózní kolitida</w:delText>
        </w:r>
        <w:r w:rsidR="00A909D3">
          <w:rPr>
            <w:u w:val="single"/>
          </w:rPr>
          <w:delText xml:space="preserve"> u dospělých</w:delText>
        </w:r>
        <w:r w:rsidR="002378E0">
          <w:rPr>
            <w:u w:val="single"/>
          </w:rPr>
          <w:delText xml:space="preserve"> a </w:delText>
        </w:r>
        <w:r w:rsidR="00A909D3">
          <w:rPr>
            <w:u w:val="single"/>
          </w:rPr>
          <w:delText>dětí</w:delText>
        </w:r>
      </w:del>
    </w:p>
    <w:p w14:paraId="1D2DD5C6" w14:textId="77777777" w:rsidR="004A6DB1" w:rsidRPr="001B4A02" w:rsidRDefault="004A6DB1" w:rsidP="00E5443D">
      <w:pPr>
        <w:keepNext/>
        <w:ind w:left="0" w:firstLine="0"/>
        <w:rPr>
          <w:del w:id="11299" w:author="AbbVie1" w:date="2025-05-13T10:11:00Z"/>
        </w:rPr>
      </w:pPr>
    </w:p>
    <w:p w14:paraId="026EDA7C" w14:textId="77777777" w:rsidR="004A6DB1" w:rsidRPr="001B4A02" w:rsidRDefault="00000000" w:rsidP="00ED48A3">
      <w:pPr>
        <w:ind w:left="0" w:firstLine="0"/>
        <w:rPr>
          <w:del w:id="11300" w:author="AbbVie1" w:date="2025-05-13T10:11:00Z"/>
        </w:rPr>
      </w:pPr>
      <w:del w:id="11301" w:author="AbbVie1" w:date="2025-05-13T10:11:00Z">
        <w:r w:rsidRPr="001B4A02">
          <w:delText xml:space="preserve">Ulcerózní kolitida je zánětlivé onemocnění </w:delText>
        </w:r>
        <w:r w:rsidR="00E5443D">
          <w:delText xml:space="preserve">tlustého </w:delText>
        </w:r>
        <w:r w:rsidRPr="001B4A02">
          <w:delText>střev</w:delText>
        </w:r>
        <w:r w:rsidR="00E5443D">
          <w:delText>a</w:delText>
        </w:r>
        <w:r w:rsidRPr="001B4A02">
          <w:delText>.</w:delText>
        </w:r>
      </w:del>
    </w:p>
    <w:p w14:paraId="71C07A72" w14:textId="77777777" w:rsidR="00DC6609" w:rsidRDefault="00DC6609" w:rsidP="00ED48A3">
      <w:pPr>
        <w:ind w:left="0" w:firstLine="0"/>
        <w:rPr>
          <w:del w:id="11302" w:author="AbbVie1" w:date="2025-05-13T10:11:00Z"/>
        </w:rPr>
      </w:pPr>
    </w:p>
    <w:p w14:paraId="0026587D" w14:textId="77777777" w:rsidR="00692C6F" w:rsidRPr="001B4A02" w:rsidRDefault="00000000" w:rsidP="00ED48A3">
      <w:pPr>
        <w:ind w:left="0" w:firstLine="0"/>
        <w:rPr>
          <w:del w:id="11303" w:author="AbbVie1" w:date="2025-05-13T10:11:00Z"/>
        </w:rPr>
      </w:pPr>
      <w:del w:id="11304" w:author="AbbVie1" w:date="2025-05-13T10:11:00Z">
        <w:r w:rsidRPr="001B4A02">
          <w:delText xml:space="preserve">Přípravek Humira se používá k léčbě </w:delText>
        </w:r>
        <w:r w:rsidR="00A909D3">
          <w:delText xml:space="preserve">středně těžké až těžké </w:delText>
        </w:r>
        <w:r w:rsidRPr="001B4A02">
          <w:delText>ulcerózní kolitidy</w:delText>
        </w:r>
        <w:r w:rsidR="0028371E" w:rsidRPr="001B4A02">
          <w:delText xml:space="preserve"> u </w:delText>
        </w:r>
        <w:r w:rsidRPr="001B4A02">
          <w:delText>dospělých</w:delText>
        </w:r>
        <w:r w:rsidR="002378E0">
          <w:delText xml:space="preserve"> a </w:delText>
        </w:r>
        <w:r w:rsidR="00A909D3">
          <w:delText xml:space="preserve">dětí od 6 </w:delText>
        </w:r>
        <w:r w:rsidR="00481452">
          <w:delText>d</w:delText>
        </w:r>
        <w:r w:rsidR="00A909D3">
          <w:delText>o 17 let</w:delText>
        </w:r>
        <w:r w:rsidRPr="001B4A02">
          <w:delText>. Jestliže trpíte ulcer</w:delText>
        </w:r>
        <w:r w:rsidR="00E91CB6" w:rsidRPr="001B4A02">
          <w:delText>ó</w:delText>
        </w:r>
        <w:r w:rsidRPr="001B4A02">
          <w:delText>zní kolitidou, můžete zpočátku užívat jiná léčiva. Pokud</w:delText>
        </w:r>
        <w:r w:rsidR="0028371E" w:rsidRPr="001B4A02">
          <w:delText xml:space="preserve"> u </w:delText>
        </w:r>
        <w:r w:rsidRPr="001B4A02">
          <w:delText>Vás tato léčba nevyvolá uspokojivou odpověď, pak ke zmírnění projevů tohoto onemocnění dostanete přípravek Humira.</w:delText>
        </w:r>
      </w:del>
    </w:p>
    <w:p w14:paraId="5A1D5B32" w14:textId="77777777" w:rsidR="005F3847" w:rsidRPr="001B4A02" w:rsidRDefault="005F3847" w:rsidP="00ED48A3">
      <w:pPr>
        <w:ind w:left="0" w:firstLine="0"/>
        <w:rPr>
          <w:del w:id="11305" w:author="AbbVie1" w:date="2025-05-13T10:11:00Z"/>
        </w:rPr>
      </w:pPr>
    </w:p>
    <w:p w14:paraId="33407850" w14:textId="77777777" w:rsidR="005F3847" w:rsidRPr="001B4A02" w:rsidRDefault="00000000" w:rsidP="00E5443D">
      <w:pPr>
        <w:pStyle w:val="EMEANormal"/>
        <w:keepNext/>
        <w:rPr>
          <w:del w:id="11306" w:author="AbbVie1" w:date="2025-05-13T10:11:00Z"/>
          <w:u w:val="single"/>
          <w:lang w:val="cs-CZ"/>
        </w:rPr>
      </w:pPr>
      <w:del w:id="11307" w:author="AbbVie1" w:date="2025-05-13T10:11:00Z">
        <w:r w:rsidRPr="001B4A02">
          <w:rPr>
            <w:szCs w:val="21"/>
            <w:u w:val="single"/>
            <w:lang w:val="cs-CZ"/>
          </w:rPr>
          <w:delText>Neinfekční uveitida</w:delText>
        </w:r>
        <w:r w:rsidR="0028371E" w:rsidRPr="001B4A02">
          <w:rPr>
            <w:szCs w:val="21"/>
            <w:u w:val="single"/>
            <w:lang w:val="cs-CZ"/>
          </w:rPr>
          <w:delText xml:space="preserve"> u </w:delText>
        </w:r>
        <w:r w:rsidR="001C5DD4" w:rsidRPr="001B4A02">
          <w:rPr>
            <w:szCs w:val="21"/>
            <w:u w:val="single"/>
            <w:lang w:val="cs-CZ"/>
          </w:rPr>
          <w:delText>dospělých</w:delText>
        </w:r>
        <w:r w:rsidR="002378E0">
          <w:rPr>
            <w:szCs w:val="21"/>
            <w:u w:val="single"/>
            <w:lang w:val="cs-CZ"/>
          </w:rPr>
          <w:delText xml:space="preserve"> a </w:delText>
        </w:r>
        <w:r w:rsidR="001C5DD4" w:rsidRPr="001B4A02">
          <w:rPr>
            <w:szCs w:val="21"/>
            <w:u w:val="single"/>
            <w:lang w:val="cs-CZ"/>
          </w:rPr>
          <w:delText>dětí</w:delText>
        </w:r>
      </w:del>
    </w:p>
    <w:p w14:paraId="4B54738C" w14:textId="77777777" w:rsidR="005F3847" w:rsidRPr="00E5443D" w:rsidRDefault="005F3847" w:rsidP="00E5443D">
      <w:pPr>
        <w:pStyle w:val="EMEANormal"/>
        <w:keepNext/>
        <w:rPr>
          <w:del w:id="11308" w:author="AbbVie1" w:date="2025-05-13T10:11:00Z"/>
          <w:bCs/>
          <w:iCs/>
          <w:lang w:val="cs-CZ"/>
        </w:rPr>
      </w:pPr>
    </w:p>
    <w:p w14:paraId="01E19D93" w14:textId="77777777" w:rsidR="005F3847" w:rsidRPr="001B4A02" w:rsidRDefault="00000000" w:rsidP="00ED48A3">
      <w:pPr>
        <w:pStyle w:val="EMEANormal"/>
        <w:rPr>
          <w:del w:id="11309" w:author="AbbVie1" w:date="2025-05-13T10:11:00Z"/>
          <w:lang w:val="cs-CZ"/>
        </w:rPr>
      </w:pPr>
      <w:del w:id="11310" w:author="AbbVie1" w:date="2025-05-13T10:11:00Z">
        <w:r w:rsidRPr="001B4A02">
          <w:rPr>
            <w:lang w:val="cs-CZ"/>
          </w:rPr>
          <w:delText xml:space="preserve">Neinfekční uveitida je </w:delText>
        </w:r>
        <w:r w:rsidR="002746D0" w:rsidRPr="001B4A02">
          <w:rPr>
            <w:lang w:val="cs-CZ"/>
          </w:rPr>
          <w:delText xml:space="preserve">zánětlivé </w:delText>
        </w:r>
        <w:r w:rsidRPr="001B4A02">
          <w:rPr>
            <w:lang w:val="cs-CZ"/>
          </w:rPr>
          <w:delText>onemocnění postihující některé části oka.</w:delText>
        </w:r>
      </w:del>
    </w:p>
    <w:p w14:paraId="4766D077" w14:textId="77777777" w:rsidR="005F3847" w:rsidRPr="001B4A02" w:rsidRDefault="005F3847" w:rsidP="00ED48A3">
      <w:pPr>
        <w:pStyle w:val="EMEANormal"/>
        <w:rPr>
          <w:del w:id="11311" w:author="AbbVie1" w:date="2025-05-13T10:11:00Z"/>
          <w:lang w:val="cs-CZ"/>
        </w:rPr>
      </w:pPr>
    </w:p>
    <w:p w14:paraId="4E584AAF" w14:textId="77777777" w:rsidR="001C5DD4" w:rsidRPr="001B4A02" w:rsidRDefault="00000000" w:rsidP="00E5443D">
      <w:pPr>
        <w:pStyle w:val="EMEANormal"/>
        <w:keepNext/>
        <w:rPr>
          <w:del w:id="11312" w:author="AbbVie1" w:date="2025-05-13T10:11:00Z"/>
          <w:lang w:val="cs-CZ"/>
        </w:rPr>
      </w:pPr>
      <w:del w:id="11313" w:author="AbbVie1" w:date="2025-05-13T10:11:00Z">
        <w:r w:rsidRPr="001B4A02">
          <w:rPr>
            <w:lang w:val="cs-CZ"/>
          </w:rPr>
          <w:delText xml:space="preserve">Přípravek </w:delText>
        </w:r>
        <w:r w:rsidR="005F3847" w:rsidRPr="001B4A02">
          <w:rPr>
            <w:lang w:val="cs-CZ"/>
          </w:rPr>
          <w:delText>Humira se používá k</w:delText>
        </w:r>
        <w:r w:rsidR="007930C0" w:rsidRPr="001B4A02">
          <w:rPr>
            <w:lang w:val="cs-CZ"/>
          </w:rPr>
          <w:delText> </w:delText>
        </w:r>
        <w:r w:rsidR="005F3847" w:rsidRPr="001B4A02">
          <w:rPr>
            <w:lang w:val="cs-CZ"/>
          </w:rPr>
          <w:delText xml:space="preserve">léčbě </w:delText>
        </w:r>
      </w:del>
    </w:p>
    <w:p w14:paraId="2C360A2B" w14:textId="77777777" w:rsidR="001C5DD4" w:rsidRPr="001B4A02" w:rsidRDefault="00000000" w:rsidP="00AA1CF3">
      <w:pPr>
        <w:pStyle w:val="EMEANormal"/>
        <w:numPr>
          <w:ilvl w:val="0"/>
          <w:numId w:val="48"/>
        </w:numPr>
        <w:tabs>
          <w:tab w:val="clear" w:pos="562"/>
          <w:tab w:val="clear" w:pos="720"/>
        </w:tabs>
        <w:rPr>
          <w:del w:id="11314" w:author="AbbVie1" w:date="2025-05-13T10:11:00Z"/>
          <w:lang w:val="cs-CZ"/>
        </w:rPr>
      </w:pPr>
      <w:del w:id="11315" w:author="AbbVie1" w:date="2025-05-13T10:11:00Z">
        <w:r w:rsidRPr="001B4A02">
          <w:rPr>
            <w:lang w:val="cs-CZ"/>
          </w:rPr>
          <w:delText>d</w:delText>
        </w:r>
        <w:r w:rsidR="005F3847" w:rsidRPr="001B4A02">
          <w:rPr>
            <w:lang w:val="cs-CZ"/>
          </w:rPr>
          <w:delText>ospělých s</w:delText>
        </w:r>
        <w:r w:rsidR="007930C0" w:rsidRPr="001B4A02">
          <w:rPr>
            <w:lang w:val="cs-CZ"/>
          </w:rPr>
          <w:delText> </w:delText>
        </w:r>
        <w:r w:rsidR="005F3847" w:rsidRPr="001B4A02">
          <w:rPr>
            <w:lang w:val="cs-CZ"/>
          </w:rPr>
          <w:delText>neinfekční uveitidou se zánětem postihujícím zadní část oka</w:delText>
        </w:r>
      </w:del>
    </w:p>
    <w:p w14:paraId="3030F15C" w14:textId="77777777" w:rsidR="001C5DD4" w:rsidRPr="001B4A02" w:rsidRDefault="00000000" w:rsidP="00AA1CF3">
      <w:pPr>
        <w:pStyle w:val="EMEANormal"/>
        <w:numPr>
          <w:ilvl w:val="0"/>
          <w:numId w:val="48"/>
        </w:numPr>
        <w:tabs>
          <w:tab w:val="clear" w:pos="562"/>
          <w:tab w:val="clear" w:pos="720"/>
        </w:tabs>
        <w:rPr>
          <w:del w:id="11316" w:author="AbbVie1" w:date="2025-05-13T10:11:00Z"/>
          <w:lang w:val="cs-CZ"/>
        </w:rPr>
      </w:pPr>
      <w:del w:id="11317" w:author="AbbVie1" w:date="2025-05-13T10:11:00Z">
        <w:r w:rsidRPr="001B4A02">
          <w:rPr>
            <w:lang w:val="cs-CZ"/>
          </w:rPr>
          <w:delText>dětí od 2 let s chronickou neinfekční uveitidou se zánětem postihujícím přední část oka</w:delText>
        </w:r>
        <w:r w:rsidR="00DC6609">
          <w:rPr>
            <w:lang w:val="cs-CZ"/>
          </w:rPr>
          <w:delText>.</w:delText>
        </w:r>
      </w:del>
    </w:p>
    <w:p w14:paraId="60A812D0" w14:textId="77777777" w:rsidR="001C5DD4" w:rsidRPr="001B4A02" w:rsidRDefault="001C5DD4" w:rsidP="001F169A">
      <w:pPr>
        <w:pStyle w:val="EMEANormal"/>
        <w:tabs>
          <w:tab w:val="clear" w:pos="562"/>
        </w:tabs>
        <w:rPr>
          <w:del w:id="11318" w:author="AbbVie1" w:date="2025-05-13T10:11:00Z"/>
          <w:lang w:val="cs-CZ"/>
        </w:rPr>
      </w:pPr>
    </w:p>
    <w:p w14:paraId="2AE69ED7" w14:textId="77777777" w:rsidR="005F3847" w:rsidRPr="001B4A02" w:rsidRDefault="00000000" w:rsidP="00AA1CF3">
      <w:pPr>
        <w:pStyle w:val="EMEANormal"/>
        <w:tabs>
          <w:tab w:val="clear" w:pos="562"/>
        </w:tabs>
        <w:rPr>
          <w:del w:id="11319" w:author="AbbVie1" w:date="2025-05-13T10:11:00Z"/>
          <w:lang w:val="cs-CZ"/>
        </w:rPr>
      </w:pPr>
      <w:del w:id="11320" w:author="AbbVie1" w:date="2025-05-13T10:11:00Z">
        <w:r w:rsidRPr="001B4A02">
          <w:rPr>
            <w:lang w:val="cs-CZ"/>
          </w:rPr>
          <w:delText xml:space="preserve">Tento zánět </w:delText>
        </w:r>
        <w:r w:rsidR="001C5DD4" w:rsidRPr="001B4A02">
          <w:rPr>
            <w:lang w:val="cs-CZ"/>
          </w:rPr>
          <w:delText xml:space="preserve">může vést </w:delText>
        </w:r>
        <w:r w:rsidRPr="001B4A02">
          <w:rPr>
            <w:lang w:val="cs-CZ"/>
          </w:rPr>
          <w:delText>ke zhoršení zraku a/nebo výskytu plovoucích zákalů v</w:delText>
        </w:r>
        <w:r w:rsidR="007930C0" w:rsidRPr="001B4A02">
          <w:rPr>
            <w:lang w:val="cs-CZ"/>
          </w:rPr>
          <w:delText> </w:delText>
        </w:r>
        <w:r w:rsidRPr="001B4A02">
          <w:rPr>
            <w:lang w:val="cs-CZ"/>
          </w:rPr>
          <w:delText xml:space="preserve">oku (černé tečky nebo chomáčkovité čáry pohybující se </w:delText>
        </w:r>
        <w:r w:rsidR="003E702B" w:rsidRPr="001B4A02">
          <w:rPr>
            <w:lang w:val="cs-CZ"/>
          </w:rPr>
          <w:delText>v</w:delText>
        </w:r>
        <w:r w:rsidR="007930C0" w:rsidRPr="001B4A02">
          <w:rPr>
            <w:lang w:val="cs-CZ"/>
          </w:rPr>
          <w:delText> </w:delText>
        </w:r>
        <w:r w:rsidRPr="001B4A02">
          <w:rPr>
            <w:lang w:val="cs-CZ"/>
          </w:rPr>
          <w:delText>zorné</w:delText>
        </w:r>
        <w:r w:rsidR="003E702B" w:rsidRPr="001B4A02">
          <w:rPr>
            <w:lang w:val="cs-CZ"/>
          </w:rPr>
          <w:delText>m</w:delText>
        </w:r>
        <w:r w:rsidRPr="001B4A02">
          <w:rPr>
            <w:lang w:val="cs-CZ"/>
          </w:rPr>
          <w:delText xml:space="preserve"> </w:delText>
        </w:r>
        <w:r w:rsidR="003E702B" w:rsidRPr="001B4A02">
          <w:rPr>
            <w:lang w:val="cs-CZ"/>
          </w:rPr>
          <w:delText>poli</w:delText>
        </w:r>
        <w:r w:rsidRPr="001B4A02">
          <w:rPr>
            <w:lang w:val="cs-CZ"/>
          </w:rPr>
          <w:delText xml:space="preserve">). </w:delText>
        </w:r>
        <w:r w:rsidR="00264669" w:rsidRPr="001B4A02">
          <w:rPr>
            <w:lang w:val="cs-CZ"/>
          </w:rPr>
          <w:delText xml:space="preserve">Přípravek </w:delText>
        </w:r>
        <w:r w:rsidRPr="001B4A02">
          <w:rPr>
            <w:lang w:val="cs-CZ"/>
          </w:rPr>
          <w:delText xml:space="preserve">Humira </w:delText>
        </w:r>
        <w:r w:rsidR="00041599" w:rsidRPr="001B4A02">
          <w:rPr>
            <w:lang w:val="cs-CZ"/>
          </w:rPr>
          <w:delText xml:space="preserve">tento </w:delText>
        </w:r>
        <w:r w:rsidRPr="001B4A02">
          <w:rPr>
            <w:lang w:val="cs-CZ"/>
          </w:rPr>
          <w:delText>zánět snižuje.</w:delText>
        </w:r>
      </w:del>
    </w:p>
    <w:p w14:paraId="6C685972" w14:textId="77777777" w:rsidR="00290A8C" w:rsidRPr="001B4A02" w:rsidRDefault="00290A8C" w:rsidP="00ED48A3">
      <w:pPr>
        <w:ind w:left="0" w:firstLine="0"/>
        <w:rPr>
          <w:del w:id="11321" w:author="AbbVie1" w:date="2025-05-13T10:11:00Z"/>
        </w:rPr>
      </w:pPr>
    </w:p>
    <w:p w14:paraId="7A3C6538" w14:textId="77777777" w:rsidR="007F7787" w:rsidRPr="001B4A02" w:rsidRDefault="007F7787" w:rsidP="007F7787">
      <w:pPr>
        <w:ind w:left="0" w:firstLine="0"/>
        <w:rPr>
          <w:del w:id="11322" w:author="AbbVie1" w:date="2025-05-13T10:11:00Z"/>
        </w:rPr>
      </w:pPr>
    </w:p>
    <w:p w14:paraId="7A040A74" w14:textId="77777777" w:rsidR="00073F8F" w:rsidRPr="001B4A02" w:rsidRDefault="00000000" w:rsidP="00E5443D">
      <w:pPr>
        <w:keepNext/>
        <w:numPr>
          <w:ilvl w:val="12"/>
          <w:numId w:val="0"/>
        </w:numPr>
        <w:ind w:left="567" w:hanging="567"/>
        <w:outlineLvl w:val="1"/>
        <w:rPr>
          <w:del w:id="11323" w:author="AbbVie1" w:date="2025-05-13T10:11:00Z"/>
        </w:rPr>
      </w:pPr>
      <w:del w:id="11324" w:author="AbbVie1" w:date="2025-05-13T10:11:00Z">
        <w:r w:rsidRPr="001B4A02">
          <w:rPr>
            <w:b/>
          </w:rPr>
          <w:delText>2.</w:delText>
        </w:r>
        <w:r w:rsidRPr="001B4A02">
          <w:rPr>
            <w:b/>
          </w:rPr>
          <w:tab/>
          <w:delText>Č</w:delText>
        </w:r>
        <w:r w:rsidR="00754BF8" w:rsidRPr="001B4A02">
          <w:rPr>
            <w:b/>
          </w:rPr>
          <w:delText>emu m</w:delText>
        </w:r>
        <w:r w:rsidR="00C11184" w:rsidRPr="001B4A02">
          <w:rPr>
            <w:b/>
          </w:rPr>
          <w:delText xml:space="preserve">usíte věnovat pozornost, než </w:delText>
        </w:r>
        <w:r w:rsidR="00754BF8" w:rsidRPr="001B4A02">
          <w:rPr>
            <w:b/>
          </w:rPr>
          <w:delText>začne</w:delText>
        </w:r>
        <w:r w:rsidR="00C11184" w:rsidRPr="001B4A02">
          <w:rPr>
            <w:b/>
          </w:rPr>
          <w:delText>te</w:delText>
        </w:r>
        <w:r w:rsidR="00754BF8" w:rsidRPr="001B4A02">
          <w:rPr>
            <w:b/>
          </w:rPr>
          <w:delText xml:space="preserve"> přípravek Humira </w:delText>
        </w:r>
        <w:r w:rsidR="00D36439" w:rsidRPr="001B4A02">
          <w:rPr>
            <w:b/>
          </w:rPr>
          <w:delText>po</w:delText>
        </w:r>
        <w:r w:rsidR="00754BF8" w:rsidRPr="001B4A02">
          <w:rPr>
            <w:b/>
          </w:rPr>
          <w:delText>užívat</w:delText>
        </w:r>
      </w:del>
    </w:p>
    <w:p w14:paraId="081200C0" w14:textId="77777777" w:rsidR="00073F8F" w:rsidRPr="001B4A02" w:rsidRDefault="00073F8F" w:rsidP="00E5443D">
      <w:pPr>
        <w:keepNext/>
        <w:numPr>
          <w:ilvl w:val="12"/>
          <w:numId w:val="0"/>
        </w:numPr>
        <w:ind w:right="-2"/>
        <w:rPr>
          <w:del w:id="11325" w:author="AbbVie1" w:date="2025-05-13T10:11:00Z"/>
        </w:rPr>
      </w:pPr>
    </w:p>
    <w:p w14:paraId="35B37BED" w14:textId="77777777" w:rsidR="00073F8F" w:rsidRPr="001B4A02" w:rsidRDefault="00000000" w:rsidP="00E5443D">
      <w:pPr>
        <w:keepNext/>
        <w:ind w:left="0" w:right="-29" w:firstLine="0"/>
        <w:jc w:val="both"/>
        <w:rPr>
          <w:del w:id="11326" w:author="AbbVie1" w:date="2025-05-13T10:11:00Z"/>
          <w:b/>
        </w:rPr>
      </w:pPr>
      <w:del w:id="11327" w:author="AbbVie1" w:date="2025-05-13T10:11:00Z">
        <w:r w:rsidRPr="001B4A02">
          <w:rPr>
            <w:b/>
          </w:rPr>
          <w:delText>Ne</w:delText>
        </w:r>
        <w:r w:rsidR="00D36439" w:rsidRPr="001B4A02">
          <w:rPr>
            <w:b/>
          </w:rPr>
          <w:delText>po</w:delText>
        </w:r>
        <w:r w:rsidRPr="001B4A02">
          <w:rPr>
            <w:b/>
          </w:rPr>
          <w:delText>užívejte přípravek Humira</w:delText>
        </w:r>
      </w:del>
    </w:p>
    <w:p w14:paraId="41A5F316" w14:textId="77777777" w:rsidR="00073F8F" w:rsidRPr="001B4A02" w:rsidRDefault="00073F8F" w:rsidP="00E5443D">
      <w:pPr>
        <w:keepNext/>
        <w:ind w:left="0" w:firstLine="0"/>
        <w:rPr>
          <w:del w:id="11328" w:author="AbbVie1" w:date="2025-05-13T10:11:00Z"/>
        </w:rPr>
      </w:pPr>
    </w:p>
    <w:p w14:paraId="166B717B" w14:textId="77777777" w:rsidR="00073F8F" w:rsidRPr="001B4A02" w:rsidRDefault="00000000" w:rsidP="00ED48A3">
      <w:pPr>
        <w:numPr>
          <w:ilvl w:val="0"/>
          <w:numId w:val="15"/>
        </w:numPr>
        <w:tabs>
          <w:tab w:val="clear" w:pos="720"/>
        </w:tabs>
        <w:ind w:left="567" w:hanging="567"/>
        <w:rPr>
          <w:del w:id="11329" w:author="AbbVie1" w:date="2025-05-13T10:11:00Z"/>
        </w:rPr>
      </w:pPr>
      <w:del w:id="11330" w:author="AbbVie1" w:date="2025-05-13T10:11:00Z">
        <w:r w:rsidRPr="001B4A02">
          <w:delText>Jestliže jste alergický</w:delText>
        </w:r>
        <w:r w:rsidR="00FB3D72" w:rsidRPr="001B4A02">
          <w:delText>(</w:delText>
        </w:r>
        <w:r w:rsidRPr="001B4A02">
          <w:delText>á</w:delText>
        </w:r>
        <w:r w:rsidR="00FB3D72" w:rsidRPr="001B4A02">
          <w:delText>)</w:delText>
        </w:r>
        <w:r w:rsidRPr="001B4A02">
          <w:delText xml:space="preserve"> na adalimumab nebo na kteroukoli další složku </w:delText>
        </w:r>
        <w:r w:rsidR="00754BF8" w:rsidRPr="001B4A02">
          <w:delText xml:space="preserve">tohoto </w:delText>
        </w:r>
        <w:r w:rsidRPr="001B4A02">
          <w:delText xml:space="preserve">přípravku </w:delText>
        </w:r>
        <w:r w:rsidR="00754BF8" w:rsidRPr="001B4A02">
          <w:delText>(uvedeno</w:delText>
        </w:r>
        <w:r w:rsidR="009D5C49" w:rsidRPr="001B4A02">
          <w:delText>u</w:delText>
        </w:r>
        <w:r w:rsidR="00754BF8" w:rsidRPr="001B4A02">
          <w:delText xml:space="preserve"> v bodě 6).</w:delText>
        </w:r>
      </w:del>
    </w:p>
    <w:p w14:paraId="32ED3109" w14:textId="77777777" w:rsidR="00073F8F" w:rsidRPr="001B4A02" w:rsidRDefault="00073F8F" w:rsidP="00ED48A3">
      <w:pPr>
        <w:rPr>
          <w:del w:id="11331" w:author="AbbVie1" w:date="2025-05-13T10:11:00Z"/>
        </w:rPr>
      </w:pPr>
    </w:p>
    <w:p w14:paraId="507EE655" w14:textId="77777777" w:rsidR="00073F8F" w:rsidRPr="001B4A02" w:rsidRDefault="00000000" w:rsidP="00ED48A3">
      <w:pPr>
        <w:numPr>
          <w:ilvl w:val="0"/>
          <w:numId w:val="15"/>
        </w:numPr>
        <w:tabs>
          <w:tab w:val="clear" w:pos="720"/>
        </w:tabs>
        <w:ind w:left="567" w:hanging="567"/>
        <w:rPr>
          <w:del w:id="11332" w:author="AbbVie1" w:date="2025-05-13T10:11:00Z"/>
        </w:rPr>
      </w:pPr>
      <w:del w:id="11333" w:author="AbbVie1" w:date="2025-05-13T10:11:00Z">
        <w:r w:rsidRPr="001B4A02">
          <w:delText xml:space="preserve">Jestliže máte </w:delText>
        </w:r>
        <w:r w:rsidR="00F34089" w:rsidRPr="001B4A02">
          <w:delText>závažnou</w:delText>
        </w:r>
        <w:r w:rsidRPr="001B4A02">
          <w:delText xml:space="preserve"> infekci včetně aktivní tuberkulózy (viz „</w:delText>
        </w:r>
        <w:r w:rsidR="00754BF8" w:rsidRPr="001B4A02">
          <w:delText>Upozornění</w:delText>
        </w:r>
        <w:r w:rsidR="002378E0">
          <w:delText xml:space="preserve"> a </w:delText>
        </w:r>
        <w:r w:rsidR="00754BF8" w:rsidRPr="001B4A02">
          <w:delText>opatření</w:delText>
        </w:r>
        <w:r w:rsidRPr="001B4A02">
          <w:delText>“). Je důležité, abyste lékaře informoval(a), pokud se u </w:delText>
        </w:r>
        <w:r w:rsidR="009163F7" w:rsidRPr="001B4A02">
          <w:delText>V</w:delText>
        </w:r>
        <w:r w:rsidRPr="001B4A02">
          <w:delText>ás vyskytují příznaky infekce, např. horečka, zranění, pocit únavy nebo problémy se zuby.</w:delText>
        </w:r>
      </w:del>
    </w:p>
    <w:p w14:paraId="2F573055" w14:textId="77777777" w:rsidR="00073F8F" w:rsidRPr="001B4A02" w:rsidRDefault="00073F8F" w:rsidP="00ED48A3">
      <w:pPr>
        <w:rPr>
          <w:del w:id="11334" w:author="AbbVie1" w:date="2025-05-13T10:11:00Z"/>
        </w:rPr>
      </w:pPr>
    </w:p>
    <w:p w14:paraId="3EE60478" w14:textId="77777777" w:rsidR="00073F8F" w:rsidRPr="001B4A02" w:rsidRDefault="00000000" w:rsidP="00ED48A3">
      <w:pPr>
        <w:numPr>
          <w:ilvl w:val="0"/>
          <w:numId w:val="15"/>
        </w:numPr>
        <w:tabs>
          <w:tab w:val="clear" w:pos="720"/>
        </w:tabs>
        <w:ind w:left="567" w:hanging="567"/>
        <w:rPr>
          <w:del w:id="11335" w:author="AbbVie1" w:date="2025-05-13T10:11:00Z"/>
        </w:rPr>
      </w:pPr>
      <w:del w:id="11336" w:author="AbbVie1" w:date="2025-05-13T10:11:00Z">
        <w:r w:rsidRPr="001B4A02">
          <w:delText>Jestliže trpíte středně těžkým nebo těžkým srdečním selháním. Je důležité, abyste informoval(a) svého lékaře, pokud se u </w:delText>
        </w:r>
        <w:r w:rsidR="009163F7" w:rsidRPr="001B4A02">
          <w:delText>V</w:delText>
        </w:r>
        <w:r w:rsidRPr="001B4A02">
          <w:delText>ás vyskytly nebo v současné době vyskytují vážné problémy se srdcem (viz „</w:delText>
        </w:r>
        <w:r w:rsidR="00754BF8" w:rsidRPr="001B4A02">
          <w:delText>Upozornění</w:delText>
        </w:r>
        <w:r w:rsidR="002378E0">
          <w:delText xml:space="preserve"> a </w:delText>
        </w:r>
        <w:r w:rsidR="00754BF8" w:rsidRPr="001B4A02">
          <w:delText>opatření</w:delText>
        </w:r>
        <w:r w:rsidRPr="001B4A02">
          <w:delText>“).</w:delText>
        </w:r>
      </w:del>
    </w:p>
    <w:p w14:paraId="19465666" w14:textId="77777777" w:rsidR="00073F8F" w:rsidRPr="001B4A02" w:rsidRDefault="00073F8F" w:rsidP="00ED48A3">
      <w:pPr>
        <w:pStyle w:val="EndnoteText"/>
        <w:rPr>
          <w:del w:id="11337" w:author="AbbVie1" w:date="2025-05-13T10:11:00Z"/>
          <w:lang w:val="cs-CZ"/>
        </w:rPr>
      </w:pPr>
    </w:p>
    <w:p w14:paraId="3A6D42A0" w14:textId="77777777" w:rsidR="00073F8F" w:rsidRPr="001B4A02" w:rsidRDefault="00000000" w:rsidP="00DD3461">
      <w:pPr>
        <w:keepNext/>
        <w:rPr>
          <w:del w:id="11338" w:author="AbbVie1" w:date="2025-05-13T10:11:00Z"/>
          <w:b/>
        </w:rPr>
      </w:pPr>
      <w:del w:id="11339" w:author="AbbVie1" w:date="2025-05-13T10:11:00Z">
        <w:r w:rsidRPr="001B4A02">
          <w:rPr>
            <w:b/>
          </w:rPr>
          <w:delText>Upozornění</w:delText>
        </w:r>
        <w:r w:rsidR="002378E0">
          <w:rPr>
            <w:b/>
          </w:rPr>
          <w:delText xml:space="preserve"> a </w:delText>
        </w:r>
        <w:r w:rsidRPr="001B4A02">
          <w:rPr>
            <w:b/>
          </w:rPr>
          <w:delText>opatření</w:delText>
        </w:r>
      </w:del>
    </w:p>
    <w:p w14:paraId="0CA1B71D" w14:textId="77777777" w:rsidR="00073F8F" w:rsidRPr="001B4A02" w:rsidRDefault="00073F8F" w:rsidP="00DD3461">
      <w:pPr>
        <w:keepNext/>
        <w:rPr>
          <w:del w:id="11340" w:author="AbbVie1" w:date="2025-05-13T10:11:00Z"/>
        </w:rPr>
      </w:pPr>
    </w:p>
    <w:p w14:paraId="32FA95D9" w14:textId="77777777" w:rsidR="00754BF8" w:rsidRPr="001B4A02" w:rsidRDefault="00000000" w:rsidP="00DD3461">
      <w:pPr>
        <w:keepNext/>
        <w:rPr>
          <w:del w:id="11341" w:author="AbbVie1" w:date="2025-05-13T10:11:00Z"/>
        </w:rPr>
      </w:pPr>
      <w:del w:id="11342" w:author="AbbVie1" w:date="2025-05-13T10:11:00Z">
        <w:r w:rsidRPr="001B4A02">
          <w:delText xml:space="preserve">Před </w:delText>
        </w:r>
        <w:r w:rsidR="00D36439" w:rsidRPr="001B4A02">
          <w:delText>po</w:delText>
        </w:r>
        <w:r w:rsidRPr="001B4A02">
          <w:delText>užitím přípravku Humira se poraďte se svým lékařem nebo lékárníkem</w:delText>
        </w:r>
        <w:r w:rsidR="00521F02" w:rsidRPr="001B4A02">
          <w:delText>.</w:delText>
        </w:r>
      </w:del>
    </w:p>
    <w:p w14:paraId="52537628" w14:textId="77777777" w:rsidR="00754BF8" w:rsidRPr="001B4A02" w:rsidRDefault="00754BF8" w:rsidP="00ED48A3">
      <w:pPr>
        <w:rPr>
          <w:del w:id="11343" w:author="AbbVie1" w:date="2025-05-13T10:11:00Z"/>
        </w:rPr>
      </w:pPr>
    </w:p>
    <w:p w14:paraId="66E8AB94" w14:textId="77777777" w:rsidR="00073F8F" w:rsidRPr="001B4A02" w:rsidRDefault="00000000" w:rsidP="00ED48A3">
      <w:pPr>
        <w:numPr>
          <w:ilvl w:val="0"/>
          <w:numId w:val="15"/>
        </w:numPr>
        <w:tabs>
          <w:tab w:val="clear" w:pos="720"/>
          <w:tab w:val="num" w:pos="540"/>
        </w:tabs>
        <w:ind w:left="567" w:hanging="567"/>
        <w:rPr>
          <w:del w:id="11344" w:author="AbbVie1" w:date="2025-05-13T10:11:00Z"/>
        </w:rPr>
      </w:pPr>
      <w:del w:id="11345" w:author="AbbVie1" w:date="2025-05-13T10:11:00Z">
        <w:r w:rsidRPr="001B4A02">
          <w:delText>Jestliže se u </w:delText>
        </w:r>
        <w:r w:rsidR="009163F7" w:rsidRPr="001B4A02">
          <w:delText>V</w:delText>
        </w:r>
        <w:r w:rsidRPr="001B4A02">
          <w:delText>ás vyskytnou alergické reakce s</w:delText>
        </w:r>
        <w:r w:rsidR="00E91CB6" w:rsidRPr="001B4A02">
          <w:delText> </w:delText>
        </w:r>
        <w:r w:rsidRPr="001B4A02">
          <w:delText>příznaky</w:delText>
        </w:r>
        <w:r w:rsidR="00E91CB6" w:rsidRPr="001B4A02">
          <w:delText>,</w:delText>
        </w:r>
        <w:r w:rsidRPr="001B4A02">
          <w:delText xml:space="preserve"> jako je pocit tíhy na hrudi, dýchavičnost, závratě, otoky nebo vyrážka, nepodávejte si další injekci přípravku Humira</w:delText>
        </w:r>
        <w:r w:rsidR="002378E0">
          <w:delText xml:space="preserve"> a </w:delText>
        </w:r>
        <w:r w:rsidRPr="001B4A02">
          <w:delText>kontaktujte ihned svého lékaře</w:delText>
        </w:r>
        <w:r w:rsidR="00076CDE" w:rsidRPr="001B4A02">
          <w:delText xml:space="preserve">, protože </w:delText>
        </w:r>
        <w:r w:rsidR="00076CDE" w:rsidRPr="001B4A02">
          <w:rPr>
            <w:bCs/>
            <w:szCs w:val="22"/>
          </w:rPr>
          <w:delText>tyto reakce mohou být ve vzácných případech život ohrožující</w:delText>
        </w:r>
        <w:r w:rsidRPr="001B4A02">
          <w:delText>.</w:delText>
        </w:r>
      </w:del>
    </w:p>
    <w:p w14:paraId="070B3ECF" w14:textId="77777777" w:rsidR="00073F8F" w:rsidRPr="001B4A02" w:rsidRDefault="00073F8F" w:rsidP="00ED48A3">
      <w:pPr>
        <w:tabs>
          <w:tab w:val="num" w:pos="540"/>
        </w:tabs>
        <w:rPr>
          <w:del w:id="11346" w:author="AbbVie1" w:date="2025-05-13T10:11:00Z"/>
        </w:rPr>
      </w:pPr>
    </w:p>
    <w:p w14:paraId="55755035" w14:textId="77777777" w:rsidR="00073F8F" w:rsidRPr="001B4A02" w:rsidRDefault="00000000" w:rsidP="00ED48A3">
      <w:pPr>
        <w:numPr>
          <w:ilvl w:val="0"/>
          <w:numId w:val="15"/>
        </w:numPr>
        <w:tabs>
          <w:tab w:val="clear" w:pos="720"/>
          <w:tab w:val="num" w:pos="540"/>
        </w:tabs>
        <w:ind w:left="567" w:hanging="567"/>
        <w:rPr>
          <w:del w:id="11347" w:author="AbbVie1" w:date="2025-05-13T10:11:00Z"/>
        </w:rPr>
      </w:pPr>
      <w:del w:id="11348" w:author="AbbVie1" w:date="2025-05-13T10:11:00Z">
        <w:r w:rsidRPr="001B4A02">
          <w:delText>Jestliže máte nějakou infekci, včetně dlouhodobé nebo lokalizované infekce (např. bércový vřed), obraťte se před zahájením léčby přípravkem Humira na svého lékaře. Pokud si nejste jist</w:delText>
        </w:r>
        <w:r w:rsidR="009E1608" w:rsidRPr="001B4A02">
          <w:delText>ý</w:delText>
        </w:r>
        <w:r w:rsidRPr="001B4A02">
          <w:delText>(</w:delText>
        </w:r>
        <w:r w:rsidR="009E1608" w:rsidRPr="001B4A02">
          <w:delText>á</w:delText>
        </w:r>
        <w:r w:rsidRPr="001B4A02">
          <w:delText>), kontaktujte svého lékaře.</w:delText>
        </w:r>
      </w:del>
    </w:p>
    <w:p w14:paraId="1092E643" w14:textId="77777777" w:rsidR="00073F8F" w:rsidRPr="001B4A02" w:rsidRDefault="00073F8F" w:rsidP="00ED48A3">
      <w:pPr>
        <w:tabs>
          <w:tab w:val="num" w:pos="540"/>
        </w:tabs>
        <w:rPr>
          <w:del w:id="11349" w:author="AbbVie1" w:date="2025-05-13T10:11:00Z"/>
        </w:rPr>
      </w:pPr>
    </w:p>
    <w:p w14:paraId="6E98461E" w14:textId="77777777" w:rsidR="00073F8F" w:rsidRPr="001B4A02" w:rsidRDefault="00000000" w:rsidP="00ED48A3">
      <w:pPr>
        <w:numPr>
          <w:ilvl w:val="0"/>
          <w:numId w:val="15"/>
        </w:numPr>
        <w:tabs>
          <w:tab w:val="clear" w:pos="720"/>
          <w:tab w:val="num" w:pos="540"/>
        </w:tabs>
        <w:ind w:left="567" w:hanging="567"/>
        <w:rPr>
          <w:del w:id="11350" w:author="AbbVie1" w:date="2025-05-13T10:11:00Z"/>
        </w:rPr>
      </w:pPr>
      <w:del w:id="11351" w:author="AbbVie1" w:date="2025-05-13T10:11:00Z">
        <w:r w:rsidRPr="001B4A02">
          <w:delText xml:space="preserve">Při léčbě přípravkem Humira můžete být náchylnější k infekcím. </w:delText>
        </w:r>
        <w:r w:rsidR="00855C0E" w:rsidRPr="001B4A02">
          <w:delText xml:space="preserve">Riziko může stoupat, pokud máte poškozenou funkci plic. </w:delText>
        </w:r>
        <w:r w:rsidRPr="001B4A02">
          <w:delText xml:space="preserve">Tyto infekce mohou být </w:delText>
        </w:r>
        <w:r w:rsidRPr="001B4A02">
          <w:rPr>
            <w:bCs/>
            <w:szCs w:val="22"/>
          </w:rPr>
          <w:delText>závažné</w:delText>
        </w:r>
        <w:r w:rsidR="002378E0">
          <w:rPr>
            <w:bCs/>
            <w:szCs w:val="22"/>
          </w:rPr>
          <w:delText xml:space="preserve"> a </w:delText>
        </w:r>
        <w:r w:rsidRPr="001B4A02">
          <w:rPr>
            <w:bCs/>
            <w:szCs w:val="22"/>
          </w:rPr>
          <w:delText>zahrnují tuberkulózu, infekce způsobené viry, plísněmi</w:delText>
        </w:r>
        <w:r w:rsidR="004B60C1">
          <w:rPr>
            <w:bCs/>
            <w:szCs w:val="22"/>
          </w:rPr>
          <w:delText>,</w:delText>
        </w:r>
        <w:r w:rsidRPr="001B4A02">
          <w:rPr>
            <w:bCs/>
            <w:szCs w:val="22"/>
          </w:rPr>
          <w:delText xml:space="preserve"> </w:delText>
        </w:r>
        <w:r w:rsidR="00254B9C" w:rsidRPr="001B4A02">
          <w:delText xml:space="preserve">parazity </w:delText>
        </w:r>
        <w:r w:rsidRPr="001B4A02">
          <w:rPr>
            <w:bCs/>
            <w:szCs w:val="22"/>
          </w:rPr>
          <w:delText>nebo bakteriemi či jiné oportunní infekce (infekce, které za normálních okolností nejsou pro člověka nebezpečné)</w:delText>
        </w:r>
        <w:r w:rsidR="002378E0">
          <w:rPr>
            <w:bCs/>
            <w:szCs w:val="22"/>
          </w:rPr>
          <w:delText xml:space="preserve"> a </w:delText>
        </w:r>
        <w:r w:rsidRPr="001B4A02">
          <w:rPr>
            <w:bCs/>
            <w:szCs w:val="22"/>
          </w:rPr>
          <w:delText>sepse, které mohou být ve vzácných případech život ohrožující</w:delText>
        </w:r>
        <w:r w:rsidRPr="001B4A02">
          <w:delText>. Je důležité, abyste informoval(a) lékaře, pokud se u </w:delText>
        </w:r>
        <w:r w:rsidR="00973092" w:rsidRPr="001B4A02">
          <w:delText>V</w:delText>
        </w:r>
        <w:r w:rsidRPr="001B4A02">
          <w:delText>ás vyskytnou příznaky</w:delText>
        </w:r>
        <w:r w:rsidR="00E91CB6" w:rsidRPr="001B4A02">
          <w:delText>,</w:delText>
        </w:r>
        <w:r w:rsidRPr="001B4A02">
          <w:delText xml:space="preserve"> jako je horečka, zranění, </w:delText>
        </w:r>
        <w:r w:rsidR="00435E33">
          <w:delText xml:space="preserve">pocit </w:delText>
        </w:r>
        <w:r w:rsidRPr="001B4A02">
          <w:delText>únav</w:delText>
        </w:r>
        <w:r w:rsidR="00435E33">
          <w:delText>y</w:delText>
        </w:r>
        <w:r w:rsidRPr="001B4A02">
          <w:delText xml:space="preserve"> nebo problémy se zuby. Váš lékař může doporučit dočasné přerušení léčby přípravkem Humira.</w:delText>
        </w:r>
      </w:del>
    </w:p>
    <w:p w14:paraId="62C6EC6D" w14:textId="77777777" w:rsidR="00073F8F" w:rsidRPr="001B4A02" w:rsidRDefault="00073F8F" w:rsidP="00ED48A3">
      <w:pPr>
        <w:tabs>
          <w:tab w:val="num" w:pos="540"/>
        </w:tabs>
        <w:rPr>
          <w:del w:id="11352" w:author="AbbVie1" w:date="2025-05-13T10:11:00Z"/>
        </w:rPr>
      </w:pPr>
    </w:p>
    <w:p w14:paraId="0468F16F" w14:textId="77777777" w:rsidR="00073F8F" w:rsidRPr="001B4A02" w:rsidRDefault="00000000" w:rsidP="00ED48A3">
      <w:pPr>
        <w:numPr>
          <w:ilvl w:val="0"/>
          <w:numId w:val="15"/>
        </w:numPr>
        <w:tabs>
          <w:tab w:val="clear" w:pos="720"/>
          <w:tab w:val="num" w:pos="540"/>
        </w:tabs>
        <w:ind w:left="567" w:hanging="567"/>
        <w:rPr>
          <w:del w:id="11353" w:author="AbbVie1" w:date="2025-05-13T10:11:00Z"/>
        </w:rPr>
      </w:pPr>
      <w:del w:id="11354" w:author="AbbVie1" w:date="2025-05-13T10:11:00Z">
        <w:r w:rsidRPr="001B4A02">
          <w:delText xml:space="preserve">Protože u pacientů léčených přípravkem Humira byly hlášeny případy tuberkulózy, před zahájením léčby přípravkem Humira </w:delText>
        </w:r>
        <w:r w:rsidR="003A216B" w:rsidRPr="001B4A02">
          <w:delText>V</w:delText>
        </w:r>
        <w:r w:rsidRPr="001B4A02">
          <w:delText>ás lékař vyšetří, zda se příznaky tohoto onemocnění u </w:delText>
        </w:r>
        <w:r w:rsidR="003A216B" w:rsidRPr="001B4A02">
          <w:delText>V</w:delText>
        </w:r>
        <w:r w:rsidRPr="001B4A02">
          <w:delText xml:space="preserve">ás nevyskytly. To znamená, že </w:delText>
        </w:r>
        <w:r w:rsidR="006F7AD3" w:rsidRPr="001B4A02">
          <w:delText>u</w:delText>
        </w:r>
        <w:r w:rsidR="0028371E" w:rsidRPr="001B4A02">
          <w:delText> </w:delText>
        </w:r>
        <w:r w:rsidR="003A216B" w:rsidRPr="001B4A02">
          <w:delText>V</w:delText>
        </w:r>
        <w:r w:rsidRPr="001B4A02">
          <w:delText xml:space="preserve">ás podrobně </w:delText>
        </w:r>
        <w:r w:rsidR="006F7AD3" w:rsidRPr="001B4A02">
          <w:delText>zhodnotí</w:delText>
        </w:r>
        <w:r w:rsidRPr="001B4A02">
          <w:delText xml:space="preserve"> </w:delText>
        </w:r>
        <w:r w:rsidR="006F7AD3" w:rsidRPr="001B4A02">
          <w:delText xml:space="preserve">dříve </w:delText>
        </w:r>
        <w:r w:rsidRPr="001B4A02">
          <w:delText>prodělaná onemocnění</w:delText>
        </w:r>
        <w:r w:rsidR="002378E0">
          <w:delText xml:space="preserve"> a </w:delText>
        </w:r>
        <w:r w:rsidRPr="001B4A02">
          <w:delText>provede</w:delText>
        </w:r>
        <w:r w:rsidR="00172AB5" w:rsidRPr="001B4A02">
          <w:delText xml:space="preserve"> potřebná kontrolní vyšetření (například</w:delText>
        </w:r>
        <w:r w:rsidRPr="001B4A02">
          <w:delText xml:space="preserve"> rentgen hrudníku</w:delText>
        </w:r>
        <w:r w:rsidR="002378E0">
          <w:delText xml:space="preserve"> a </w:delText>
        </w:r>
        <w:r w:rsidRPr="001B4A02">
          <w:delText>tuberkulinový test</w:delText>
        </w:r>
        <w:r w:rsidR="00172AB5" w:rsidRPr="001B4A02">
          <w:delText>)</w:delText>
        </w:r>
        <w:r w:rsidRPr="001B4A02">
          <w:delText>. Provedení těchto vyšetření</w:delText>
        </w:r>
        <w:r w:rsidR="002378E0">
          <w:delText xml:space="preserve"> a </w:delText>
        </w:r>
        <w:r w:rsidR="00172AB5" w:rsidRPr="001B4A02">
          <w:delText xml:space="preserve">jejich výsledky </w:delText>
        </w:r>
        <w:r w:rsidRPr="001B4A02">
          <w:delText xml:space="preserve">zaznamená do </w:delText>
        </w:r>
        <w:r w:rsidR="003A216B" w:rsidRPr="001B4A02">
          <w:delText>V</w:delText>
        </w:r>
        <w:r w:rsidRPr="001B4A02">
          <w:delText xml:space="preserve">aší informační kartičky. Pokud jste prodělal(a) tuberkulózu, anebo jste byl(a) v blízkém kontaktu s osobou s tuberkulózou, je velmi důležité, abyste to řekl(a) svému lékaři. </w:delText>
        </w:r>
        <w:r w:rsidR="00172AB5" w:rsidRPr="001B4A02">
          <w:delText xml:space="preserve">K rozvoji tuberkulózy může v průběhu léčby dojít i v případě, že jste byl(a) na tuberkulózu preventivně přeléčen(a). </w:delText>
        </w:r>
        <w:r w:rsidRPr="001B4A02">
          <w:delText>Pokud se u </w:delText>
        </w:r>
        <w:r w:rsidR="003A216B" w:rsidRPr="001B4A02">
          <w:delText>V</w:delText>
        </w:r>
        <w:r w:rsidRPr="001B4A02">
          <w:delText xml:space="preserve">ás objeví příznaky tuberkulózy (přetrvávající kašel, úbytek na váze, apatie, mírná horečka), nebo se během léčby i po léčbě objeví jiná infekce, sdělte to ihned svému lékaři. </w:delText>
        </w:r>
      </w:del>
    </w:p>
    <w:p w14:paraId="4902EF03" w14:textId="77777777" w:rsidR="00073F8F" w:rsidRPr="001B4A02" w:rsidRDefault="00073F8F" w:rsidP="00ED48A3">
      <w:pPr>
        <w:ind w:left="0" w:firstLine="0"/>
        <w:rPr>
          <w:del w:id="11355" w:author="AbbVie1" w:date="2025-05-13T10:11:00Z"/>
        </w:rPr>
      </w:pPr>
    </w:p>
    <w:p w14:paraId="10982F11" w14:textId="77777777" w:rsidR="00073F8F" w:rsidRPr="001B4A02" w:rsidRDefault="00000000" w:rsidP="00ED48A3">
      <w:pPr>
        <w:numPr>
          <w:ilvl w:val="0"/>
          <w:numId w:val="15"/>
        </w:numPr>
        <w:tabs>
          <w:tab w:val="clear" w:pos="720"/>
          <w:tab w:val="num" w:pos="540"/>
        </w:tabs>
        <w:ind w:left="567" w:hanging="567"/>
        <w:rPr>
          <w:del w:id="11356" w:author="AbbVie1" w:date="2025-05-13T10:11:00Z"/>
        </w:rPr>
      </w:pPr>
      <w:del w:id="11357" w:author="AbbVie1" w:date="2025-05-13T10:11:00Z">
        <w:r w:rsidRPr="001B4A02">
          <w:delText>Informujte svého lékaře, pokud pobýváte nebo cestujete do oblastí, kde se endemicky vyskytují plísňové infekce</w:delText>
        </w:r>
        <w:r w:rsidR="00A27A27" w:rsidRPr="001B4A02">
          <w:delText>,</w:delText>
        </w:r>
        <w:r w:rsidRPr="001B4A02">
          <w:delText xml:space="preserve"> jako je histoplasmóza, kokcidióza nebo blastocystóza.</w:delText>
        </w:r>
      </w:del>
    </w:p>
    <w:p w14:paraId="39526502" w14:textId="77777777" w:rsidR="00073F8F" w:rsidRPr="001B4A02" w:rsidRDefault="00073F8F" w:rsidP="00ED48A3">
      <w:pPr>
        <w:tabs>
          <w:tab w:val="num" w:pos="540"/>
        </w:tabs>
        <w:rPr>
          <w:del w:id="11358" w:author="AbbVie1" w:date="2025-05-13T10:11:00Z"/>
        </w:rPr>
      </w:pPr>
    </w:p>
    <w:p w14:paraId="28F9E2A8" w14:textId="77777777" w:rsidR="00073F8F" w:rsidRPr="001B4A02" w:rsidRDefault="00000000" w:rsidP="00ED48A3">
      <w:pPr>
        <w:pStyle w:val="EndnoteText"/>
        <w:numPr>
          <w:ilvl w:val="0"/>
          <w:numId w:val="15"/>
        </w:numPr>
        <w:tabs>
          <w:tab w:val="clear" w:pos="720"/>
          <w:tab w:val="num" w:pos="540"/>
        </w:tabs>
        <w:ind w:left="567" w:hanging="567"/>
        <w:rPr>
          <w:del w:id="11359" w:author="AbbVie1" w:date="2025-05-13T10:11:00Z"/>
          <w:lang w:val="cs-CZ"/>
        </w:rPr>
      </w:pPr>
      <w:del w:id="11360" w:author="AbbVie1" w:date="2025-05-13T10:11:00Z">
        <w:r w:rsidRPr="001B4A02">
          <w:rPr>
            <w:lang w:val="cs-CZ"/>
          </w:rPr>
          <w:delText>Informujte svého lékaře, pokud se u </w:delText>
        </w:r>
        <w:r w:rsidR="003A216B" w:rsidRPr="001B4A02">
          <w:rPr>
            <w:lang w:val="cs-CZ"/>
          </w:rPr>
          <w:delText>V</w:delText>
        </w:r>
        <w:r w:rsidRPr="001B4A02">
          <w:rPr>
            <w:lang w:val="cs-CZ"/>
          </w:rPr>
          <w:delText>ás vyskytovaly opakované infekce nebo jiné stavy, které zvyšují riziko infekcí.</w:delText>
        </w:r>
      </w:del>
    </w:p>
    <w:p w14:paraId="15791436" w14:textId="77777777" w:rsidR="00073F8F" w:rsidRPr="001B4A02" w:rsidRDefault="00073F8F" w:rsidP="00ED48A3">
      <w:pPr>
        <w:rPr>
          <w:del w:id="11361" w:author="AbbVie1" w:date="2025-05-13T10:11:00Z"/>
        </w:rPr>
      </w:pPr>
    </w:p>
    <w:p w14:paraId="6109128A" w14:textId="77777777" w:rsidR="00073F8F" w:rsidRPr="001B4A02" w:rsidRDefault="00000000" w:rsidP="00ED48A3">
      <w:pPr>
        <w:rPr>
          <w:del w:id="11362" w:author="AbbVie1" w:date="2025-05-13T10:11:00Z"/>
        </w:rPr>
      </w:pPr>
      <w:del w:id="11363" w:author="AbbVie1" w:date="2025-05-13T10:11:00Z">
        <w:r w:rsidRPr="001B4A02">
          <w:rPr>
            <w:rFonts w:ascii="Symbol" w:hAnsi="Symbol"/>
          </w:rPr>
          <w:sym w:font="Symbol" w:char="F0B7"/>
        </w:r>
        <w:r w:rsidRPr="001B4A02">
          <w:tab/>
          <w:delText>Jestliže jste nositelem viru hepatitidy typu B (HBV), jestliže máte aktivní HBV infekci nebo si myslíte, že byste mohl</w:delText>
        </w:r>
        <w:r w:rsidR="00B724C3" w:rsidRPr="001B4A02">
          <w:delText>(a)</w:delText>
        </w:r>
        <w:r w:rsidRPr="001B4A02">
          <w:delText xml:space="preserve"> být </w:delText>
        </w:r>
        <w:r w:rsidR="002E30BF" w:rsidRPr="001B4A02">
          <w:delText>ohrožen</w:delText>
        </w:r>
        <w:r w:rsidR="00B724C3" w:rsidRPr="001B4A02">
          <w:delText>(a)</w:delText>
        </w:r>
        <w:r w:rsidR="002E30BF" w:rsidRPr="001B4A02">
          <w:delText xml:space="preserve"> </w:delText>
        </w:r>
        <w:r w:rsidRPr="001B4A02">
          <w:delText xml:space="preserve">infekcí HBV, sdělte to svému lékaři. </w:delText>
        </w:r>
        <w:r w:rsidR="00340670" w:rsidRPr="001B4A02">
          <w:delText xml:space="preserve">Váš lékař Vás na infekci HBV vyšetří. </w:delText>
        </w:r>
        <w:r w:rsidR="00264669" w:rsidRPr="001B4A02">
          <w:delText xml:space="preserve">Přípravek </w:delText>
        </w:r>
        <w:r w:rsidRPr="001B4A02">
          <w:delText>Humira může způsobovat reaktivaci (obnovení) HBV infekce u lidí, kteří jsou nositeli viru. V některých ojedinělých případech, zvláště pokud berete jiné léky k potlačení imunitního systému, může být reaktivace viru HBV život ohrožující.</w:delText>
        </w:r>
      </w:del>
    </w:p>
    <w:p w14:paraId="34191771" w14:textId="77777777" w:rsidR="00855C0E" w:rsidRPr="001B4A02" w:rsidRDefault="00855C0E" w:rsidP="00ED48A3">
      <w:pPr>
        <w:rPr>
          <w:del w:id="11364" w:author="AbbVie1" w:date="2025-05-13T10:11:00Z"/>
        </w:rPr>
      </w:pPr>
    </w:p>
    <w:p w14:paraId="41A525B0" w14:textId="77777777" w:rsidR="00855C0E" w:rsidRPr="001B4A02" w:rsidRDefault="00000000" w:rsidP="00ED48A3">
      <w:pPr>
        <w:numPr>
          <w:ilvl w:val="0"/>
          <w:numId w:val="60"/>
        </w:numPr>
        <w:tabs>
          <w:tab w:val="clear" w:pos="1287"/>
          <w:tab w:val="num" w:pos="567"/>
        </w:tabs>
        <w:ind w:left="567" w:hanging="567"/>
        <w:rPr>
          <w:del w:id="11365" w:author="AbbVie1" w:date="2025-05-13T10:11:00Z"/>
        </w:rPr>
      </w:pPr>
      <w:del w:id="11366" w:author="AbbVie1" w:date="2025-05-13T10:11:00Z">
        <w:r w:rsidRPr="001B4A02">
          <w:delText xml:space="preserve">Pokud jste ve věku nad 65 let, můžete být během </w:delText>
        </w:r>
        <w:r w:rsidR="005D5238" w:rsidRPr="001B4A02">
          <w:delText>po</w:delText>
        </w:r>
        <w:r w:rsidRPr="001B4A02">
          <w:delText xml:space="preserve">užívání přípravku </w:delText>
        </w:r>
        <w:r w:rsidR="0045752D" w:rsidRPr="001B4A02">
          <w:delText>Humira náchylnější k infekcím. J</w:delText>
        </w:r>
        <w:r w:rsidRPr="001B4A02">
          <w:delText xml:space="preserve">ak </w:delText>
        </w:r>
        <w:r w:rsidR="003A216B" w:rsidRPr="001B4A02">
          <w:delText>V</w:delText>
        </w:r>
        <w:r w:rsidRPr="001B4A02">
          <w:delText xml:space="preserve">y, tak i </w:delText>
        </w:r>
        <w:r w:rsidR="003A216B" w:rsidRPr="001B4A02">
          <w:delText>V</w:delText>
        </w:r>
        <w:r w:rsidRPr="001B4A02">
          <w:delText>áš lékař by měl věnovat zvýšenou pozornost známkám infekce během léčby přípravkem Humira. Je důležité, abyste oznámil(a) svému lékaři, pokud se</w:delText>
        </w:r>
        <w:r w:rsidR="0028371E" w:rsidRPr="001B4A02">
          <w:delText xml:space="preserve"> u </w:delText>
        </w:r>
        <w:r w:rsidR="003A216B" w:rsidRPr="001B4A02">
          <w:delText>V</w:delText>
        </w:r>
        <w:r w:rsidRPr="001B4A02">
          <w:delText>ás vyskytnou známky in</w:delText>
        </w:r>
        <w:r w:rsidR="0045752D" w:rsidRPr="001B4A02">
          <w:delText>fekce, jako je horečka, poranil(a) jste se, cítíte se unavený(á)</w:delText>
        </w:r>
        <w:r w:rsidRPr="001B4A02">
          <w:delText xml:space="preserve"> nebo máte problémy se zuby.</w:delText>
        </w:r>
      </w:del>
    </w:p>
    <w:p w14:paraId="77A3B065" w14:textId="77777777" w:rsidR="00073F8F" w:rsidRPr="001B4A02" w:rsidRDefault="00073F8F" w:rsidP="00ED48A3">
      <w:pPr>
        <w:ind w:left="0" w:firstLine="0"/>
        <w:rPr>
          <w:del w:id="11367" w:author="AbbVie1" w:date="2025-05-13T10:11:00Z"/>
        </w:rPr>
      </w:pPr>
    </w:p>
    <w:p w14:paraId="5DB2FC44" w14:textId="77777777" w:rsidR="00073F8F" w:rsidRPr="001B4A02" w:rsidRDefault="00000000" w:rsidP="00ED48A3">
      <w:pPr>
        <w:pStyle w:val="EndnoteText"/>
        <w:numPr>
          <w:ilvl w:val="1"/>
          <w:numId w:val="15"/>
        </w:numPr>
        <w:tabs>
          <w:tab w:val="clear" w:pos="1440"/>
          <w:tab w:val="num" w:pos="567"/>
        </w:tabs>
        <w:ind w:left="567" w:hanging="567"/>
        <w:rPr>
          <w:del w:id="11368" w:author="AbbVie1" w:date="2025-05-13T10:11:00Z"/>
          <w:lang w:val="cs-CZ"/>
        </w:rPr>
      </w:pPr>
      <w:del w:id="11369" w:author="AbbVie1" w:date="2025-05-13T10:11:00Z">
        <w:r w:rsidRPr="001B4A02">
          <w:rPr>
            <w:lang w:val="cs-CZ"/>
          </w:rPr>
          <w:delText xml:space="preserve">Pokud </w:delText>
        </w:r>
        <w:r w:rsidR="003A216B" w:rsidRPr="001B4A02">
          <w:rPr>
            <w:lang w:val="cs-CZ"/>
          </w:rPr>
          <w:delText>V</w:delText>
        </w:r>
        <w:r w:rsidRPr="001B4A02">
          <w:rPr>
            <w:lang w:val="cs-CZ"/>
          </w:rPr>
          <w:delText>ám má být provedena operace nebo stomatologický výkon, informujte, prosím, svého lékaře, že jste léčen(a) přípravkem Humira. Váš lékař může doporučit dočasné přerušení léčby přípravkem Humira.</w:delText>
        </w:r>
      </w:del>
    </w:p>
    <w:p w14:paraId="368493FF" w14:textId="77777777" w:rsidR="00073F8F" w:rsidRPr="001B4A02" w:rsidRDefault="00073F8F" w:rsidP="00ED48A3">
      <w:pPr>
        <w:tabs>
          <w:tab w:val="num" w:pos="540"/>
        </w:tabs>
        <w:rPr>
          <w:del w:id="11370" w:author="AbbVie1" w:date="2025-05-13T10:11:00Z"/>
        </w:rPr>
      </w:pPr>
    </w:p>
    <w:p w14:paraId="172E6891" w14:textId="77777777" w:rsidR="00073F8F" w:rsidRPr="001B4A02" w:rsidRDefault="00000000" w:rsidP="00ED48A3">
      <w:pPr>
        <w:numPr>
          <w:ilvl w:val="0"/>
          <w:numId w:val="15"/>
        </w:numPr>
        <w:tabs>
          <w:tab w:val="clear" w:pos="720"/>
          <w:tab w:val="num" w:pos="540"/>
        </w:tabs>
        <w:ind w:left="567" w:hanging="567"/>
        <w:rPr>
          <w:del w:id="11371" w:author="AbbVie1" w:date="2025-05-13T10:11:00Z"/>
        </w:rPr>
      </w:pPr>
      <w:del w:id="11372" w:author="AbbVie1" w:date="2025-05-13T10:11:00Z">
        <w:r w:rsidRPr="001B4A02">
          <w:delText>Jestliže máte demyelinizační onemocnění</w:delText>
        </w:r>
        <w:r w:rsidR="00DB7A60" w:rsidRPr="001B4A02">
          <w:delText>,</w:delText>
        </w:r>
        <w:r w:rsidRPr="001B4A02">
          <w:delText xml:space="preserve"> </w:delText>
        </w:r>
        <w:r w:rsidR="002C65B9" w:rsidRPr="001B4A02">
          <w:delText>nebo jestliže se</w:delText>
        </w:r>
        <w:r w:rsidR="0028371E" w:rsidRPr="001B4A02">
          <w:delText xml:space="preserve"> u </w:delText>
        </w:r>
        <w:r w:rsidR="00982002" w:rsidRPr="001B4A02">
          <w:delText>V</w:delText>
        </w:r>
        <w:r w:rsidR="002C65B9" w:rsidRPr="001B4A02">
          <w:delText xml:space="preserve">ás demyelinizační onemocnění, </w:delText>
        </w:r>
        <w:r w:rsidRPr="001B4A02">
          <w:delText>jako např. roztroušen</w:delText>
        </w:r>
        <w:r w:rsidR="002C65B9" w:rsidRPr="001B4A02">
          <w:delText>á</w:delText>
        </w:r>
        <w:r w:rsidRPr="001B4A02">
          <w:delText xml:space="preserve"> skleróz</w:delText>
        </w:r>
        <w:r w:rsidR="002C65B9" w:rsidRPr="001B4A02">
          <w:delText>a</w:delText>
        </w:r>
        <w:r w:rsidRPr="001B4A02">
          <w:delText xml:space="preserve">, </w:delText>
        </w:r>
        <w:r w:rsidR="002C65B9" w:rsidRPr="001B4A02">
          <w:delText xml:space="preserve">objeví, </w:delText>
        </w:r>
        <w:r w:rsidRPr="001B4A02">
          <w:delText>lékař určí, zda můžete být léčen(a) přípravkem Humira.</w:delText>
        </w:r>
        <w:r w:rsidR="002C65B9" w:rsidRPr="001B4A02">
          <w:delText xml:space="preserve"> Pokud se</w:delText>
        </w:r>
        <w:r w:rsidR="0028371E" w:rsidRPr="001B4A02">
          <w:delText xml:space="preserve"> u </w:delText>
        </w:r>
        <w:r w:rsidR="00982002" w:rsidRPr="001B4A02">
          <w:delText>V</w:delText>
        </w:r>
        <w:r w:rsidR="002C65B9" w:rsidRPr="001B4A02">
          <w:delText xml:space="preserve">ás objeví některé příznaky, například změny vidění, slabost rukou nebo nohou či </w:delText>
        </w:r>
        <w:r w:rsidR="002746D0" w:rsidRPr="001B4A02">
          <w:delText>znecitlivění</w:delText>
        </w:r>
        <w:r w:rsidR="002C65B9" w:rsidRPr="001B4A02">
          <w:delText xml:space="preserve"> nebo brnění</w:delText>
        </w:r>
        <w:r w:rsidR="00F23025" w:rsidRPr="001B4A02">
          <w:delText xml:space="preserve"> v některé části těla, musíte o </w:delText>
        </w:r>
        <w:r w:rsidR="002C65B9" w:rsidRPr="001B4A02">
          <w:delText xml:space="preserve">tom </w:delText>
        </w:r>
        <w:r w:rsidR="00982002" w:rsidRPr="001B4A02">
          <w:delText>V</w:delText>
        </w:r>
        <w:r w:rsidR="002C65B9" w:rsidRPr="001B4A02">
          <w:delText>ašeho lékaře neprodleně informovat.</w:delText>
        </w:r>
      </w:del>
    </w:p>
    <w:p w14:paraId="6A6E4EBA" w14:textId="77777777" w:rsidR="00073F8F" w:rsidRPr="001B4A02" w:rsidRDefault="00073F8F" w:rsidP="00ED48A3">
      <w:pPr>
        <w:tabs>
          <w:tab w:val="num" w:pos="540"/>
        </w:tabs>
        <w:rPr>
          <w:del w:id="11373" w:author="AbbVie1" w:date="2025-05-13T10:11:00Z"/>
        </w:rPr>
      </w:pPr>
    </w:p>
    <w:p w14:paraId="24CF1D6C" w14:textId="77777777" w:rsidR="00073F8F" w:rsidRPr="001B4A02" w:rsidRDefault="00000000" w:rsidP="00ED48A3">
      <w:pPr>
        <w:numPr>
          <w:ilvl w:val="0"/>
          <w:numId w:val="15"/>
        </w:numPr>
        <w:tabs>
          <w:tab w:val="clear" w:pos="720"/>
          <w:tab w:val="num" w:pos="540"/>
        </w:tabs>
        <w:ind w:left="567" w:hanging="567"/>
        <w:rPr>
          <w:del w:id="11374" w:author="AbbVie1" w:date="2025-05-13T10:11:00Z"/>
        </w:rPr>
      </w:pPr>
      <w:del w:id="11375" w:author="AbbVie1" w:date="2025-05-13T10:11:00Z">
        <w:r w:rsidRPr="001B4A02">
          <w:delText xml:space="preserve">Během léčby přípravkem Humira nesmíte dostat </w:delText>
        </w:r>
        <w:r w:rsidR="00340670" w:rsidRPr="001B4A02">
          <w:delText>určité</w:delText>
        </w:r>
        <w:r w:rsidRPr="001B4A02">
          <w:delText xml:space="preserve"> očkovací látky</w:delText>
        </w:r>
        <w:r w:rsidR="00340670" w:rsidRPr="001B4A02">
          <w:delText>, které by mohly vyvolat vznik infekce</w:delText>
        </w:r>
        <w:r w:rsidRPr="001B4A02">
          <w:delText>. Prosíme, domluvte se se svým lékařem o</w:delText>
        </w:r>
        <w:r w:rsidR="00F23025" w:rsidRPr="001B4A02">
          <w:delText> </w:delText>
        </w:r>
        <w:r w:rsidRPr="001B4A02">
          <w:delText xml:space="preserve">možnosti očkování ještě předtím, než budete očkován(a). Doporučuje se, aby </w:delText>
        </w:r>
        <w:r w:rsidR="00DF6D95" w:rsidRPr="001B4A02">
          <w:delText xml:space="preserve">dětští </w:delText>
        </w:r>
        <w:r w:rsidRPr="001B4A02">
          <w:delText>pacienti absolvovali pokud možno všechna doporučená očkování v</w:delText>
        </w:r>
        <w:r w:rsidR="000928E6" w:rsidRPr="001B4A02">
          <w:delText> </w:delText>
        </w:r>
        <w:r w:rsidRPr="001B4A02">
          <w:delText>souladu se současnými směrnicemi pro očkování ještě před zahájením léčby přípravkem Humira.</w:delText>
        </w:r>
        <w:r w:rsidR="00340670" w:rsidRPr="001B4A02">
          <w:delText xml:space="preserve"> Pokud jste přípravek Humira </w:delText>
        </w:r>
        <w:r w:rsidR="005D5238" w:rsidRPr="001B4A02">
          <w:delText>po</w:delText>
        </w:r>
        <w:r w:rsidR="00340670" w:rsidRPr="001B4A02">
          <w:delText>užívala během těhotenství, může být Vaše dítě náchylnější k infekcím po dobu přibližně pěti měsíců poté, co jste dostala poslední dávku přípravku v</w:delText>
        </w:r>
        <w:r w:rsidR="000928E6" w:rsidRPr="001B4A02">
          <w:delText> </w:delText>
        </w:r>
        <w:r w:rsidR="00340670" w:rsidRPr="001B4A02">
          <w:delText>průběhu těhotenství. Je důležité, abyste oznámila lékaři Vašeho dítěte</w:delText>
        </w:r>
        <w:r w:rsidR="002378E0">
          <w:delText xml:space="preserve"> a </w:delText>
        </w:r>
        <w:r w:rsidR="00340670" w:rsidRPr="001B4A02">
          <w:delText>jiným zdravotnickým pracovníkům, že Vám byl přípravek Humira v těhotenství podáván, aby se na základě této informace mohli rozhodnout, kdy je vhodné Vaše dítě očkovat.</w:delText>
        </w:r>
      </w:del>
    </w:p>
    <w:p w14:paraId="38A888A2" w14:textId="77777777" w:rsidR="00073F8F" w:rsidRPr="001B4A02" w:rsidRDefault="00073F8F" w:rsidP="00ED48A3">
      <w:pPr>
        <w:tabs>
          <w:tab w:val="num" w:pos="540"/>
        </w:tabs>
        <w:rPr>
          <w:del w:id="11376" w:author="AbbVie1" w:date="2025-05-13T10:11:00Z"/>
        </w:rPr>
      </w:pPr>
    </w:p>
    <w:p w14:paraId="348E84DF" w14:textId="77777777" w:rsidR="00073F8F" w:rsidRPr="001B4A02" w:rsidRDefault="00000000" w:rsidP="00ED48A3">
      <w:pPr>
        <w:numPr>
          <w:ilvl w:val="0"/>
          <w:numId w:val="15"/>
        </w:numPr>
        <w:tabs>
          <w:tab w:val="clear" w:pos="720"/>
          <w:tab w:val="num" w:pos="540"/>
        </w:tabs>
        <w:ind w:left="567" w:hanging="567"/>
        <w:rPr>
          <w:del w:id="11377" w:author="AbbVie1" w:date="2025-05-13T10:11:00Z"/>
        </w:rPr>
      </w:pPr>
      <w:del w:id="11378" w:author="AbbVie1" w:date="2025-05-13T10:11:00Z">
        <w:r w:rsidRPr="001B4A02">
          <w:delText>Pokud se u </w:delText>
        </w:r>
        <w:r w:rsidR="003A216B" w:rsidRPr="001B4A02">
          <w:delText>V</w:delText>
        </w:r>
        <w:r w:rsidRPr="001B4A02">
          <w:delText>ás vyskytuje mírné srdeční selhávání</w:delText>
        </w:r>
        <w:r w:rsidR="002378E0">
          <w:delText xml:space="preserve"> a </w:delText>
        </w:r>
        <w:r w:rsidRPr="001B4A02">
          <w:delText xml:space="preserve">jste léčen(a) přípravkem Humira, musí být lékařem pečlivě sledován stav </w:delText>
        </w:r>
        <w:r w:rsidR="003A216B" w:rsidRPr="001B4A02">
          <w:delText>V</w:delText>
        </w:r>
        <w:r w:rsidRPr="001B4A02">
          <w:delText>ašeho srdce. Je důležité, abyste sdělil(a) svému lékaři, že se u </w:delText>
        </w:r>
        <w:r w:rsidR="003A216B" w:rsidRPr="001B4A02">
          <w:delText>V</w:delText>
        </w:r>
        <w:r w:rsidRPr="001B4A02">
          <w:delText>ás vyskytly nebo se v současné době vyskytují závažné problémy se srdcem. Pokud se u </w:delText>
        </w:r>
        <w:r w:rsidR="003A216B" w:rsidRPr="001B4A02">
          <w:delText>V</w:delText>
        </w:r>
        <w:r w:rsidRPr="001B4A02">
          <w:delText xml:space="preserve">ás vyskytnou nové nebo se zhorší již stávající známky srdečního selhávání (např. dýchavičnost nebo otoky dolních končetin), musíte ihned kontaktovat svého lékaře. Váš lékař rozhodne, zda máte </w:delText>
        </w:r>
        <w:r w:rsidR="005D5238" w:rsidRPr="001B4A02">
          <w:delText>po</w:delText>
        </w:r>
        <w:r w:rsidRPr="001B4A02">
          <w:delText>užívat přípravek Humira.</w:delText>
        </w:r>
      </w:del>
    </w:p>
    <w:p w14:paraId="5A8C2691" w14:textId="77777777" w:rsidR="00073F8F" w:rsidRPr="001B4A02" w:rsidRDefault="00073F8F" w:rsidP="00ED48A3">
      <w:pPr>
        <w:ind w:left="0" w:firstLine="0"/>
        <w:rPr>
          <w:del w:id="11379" w:author="AbbVie1" w:date="2025-05-13T10:11:00Z"/>
        </w:rPr>
      </w:pPr>
    </w:p>
    <w:p w14:paraId="4DB0746C" w14:textId="77777777" w:rsidR="00073F8F" w:rsidRPr="001B4A02" w:rsidRDefault="00000000" w:rsidP="00ED48A3">
      <w:pPr>
        <w:numPr>
          <w:ilvl w:val="0"/>
          <w:numId w:val="8"/>
        </w:numPr>
        <w:tabs>
          <w:tab w:val="clear" w:pos="720"/>
          <w:tab w:val="num" w:pos="0"/>
        </w:tabs>
        <w:ind w:left="567" w:hanging="567"/>
        <w:rPr>
          <w:del w:id="11380" w:author="AbbVie1" w:date="2025-05-13T10:11:00Z"/>
        </w:rPr>
      </w:pPr>
      <w:del w:id="11381" w:author="AbbVie1" w:date="2025-05-13T10:11:00Z">
        <w:r w:rsidRPr="001B4A02">
          <w:rPr>
            <w:bCs/>
            <w:szCs w:val="22"/>
          </w:rPr>
          <w:delText xml:space="preserve">U některých pacientů </w:delText>
        </w:r>
        <w:r w:rsidR="00C670F4" w:rsidRPr="001B4A02">
          <w:rPr>
            <w:bCs/>
            <w:szCs w:val="22"/>
          </w:rPr>
          <w:delText xml:space="preserve">nemusí tělo </w:delText>
        </w:r>
        <w:r w:rsidRPr="001B4A02">
          <w:rPr>
            <w:bCs/>
            <w:szCs w:val="22"/>
          </w:rPr>
          <w:delText>vytvářet dostatek krvinek, které pomáhají v boji proti infekcím nebo při zástavě krvácení. Jestliže máte horečku, která neodeznívá, modřiny nebo snadno krvácíte, případně jste velmi bledí, ihned se spojte s lékařem. Lékař se může rozhodnout ukončit léčbu.</w:delText>
        </w:r>
      </w:del>
    </w:p>
    <w:p w14:paraId="056F34B8" w14:textId="77777777" w:rsidR="00073F8F" w:rsidRPr="001B4A02" w:rsidRDefault="00073F8F" w:rsidP="00ED48A3">
      <w:pPr>
        <w:ind w:left="0" w:firstLine="0"/>
        <w:rPr>
          <w:del w:id="11382" w:author="AbbVie1" w:date="2025-05-13T10:11:00Z"/>
        </w:rPr>
      </w:pPr>
    </w:p>
    <w:p w14:paraId="16463663" w14:textId="77777777" w:rsidR="00073F8F" w:rsidRPr="001B4A02" w:rsidRDefault="00000000" w:rsidP="00ED48A3">
      <w:pPr>
        <w:pStyle w:val="EndnoteText"/>
        <w:numPr>
          <w:ilvl w:val="0"/>
          <w:numId w:val="8"/>
        </w:numPr>
        <w:tabs>
          <w:tab w:val="clear" w:pos="720"/>
          <w:tab w:val="num" w:pos="0"/>
        </w:tabs>
        <w:ind w:left="567" w:hanging="567"/>
        <w:rPr>
          <w:del w:id="11383" w:author="AbbVie1" w:date="2025-05-13T10:11:00Z"/>
          <w:bCs/>
          <w:szCs w:val="22"/>
          <w:lang w:val="cs-CZ"/>
        </w:rPr>
      </w:pPr>
      <w:del w:id="11384" w:author="AbbVie1" w:date="2025-05-13T10:11:00Z">
        <w:r w:rsidRPr="001B4A02">
          <w:rPr>
            <w:bCs/>
            <w:szCs w:val="22"/>
            <w:lang w:val="cs-CZ"/>
          </w:rPr>
          <w:delText>U </w:delText>
        </w:r>
        <w:r w:rsidR="007D2251" w:rsidRPr="001B4A02">
          <w:rPr>
            <w:bCs/>
            <w:szCs w:val="22"/>
            <w:lang w:val="cs-CZ"/>
          </w:rPr>
          <w:delText xml:space="preserve">dětských i dospělých </w:delText>
        </w:r>
        <w:r w:rsidRPr="001B4A02">
          <w:rPr>
            <w:bCs/>
            <w:szCs w:val="22"/>
            <w:lang w:val="cs-CZ"/>
          </w:rPr>
          <w:delText>pacientů léčených přípravkem Humira nebo jinými blokátory TNF byly popsány vzácné případy výskytu určitých typů rakoviny. Lidé se závažnější formou revmatoidní artritidy, jejichž onemocnění trvá delší dobu, mívají vyšší průměrné riziko vzniku lymfomu</w:delText>
        </w:r>
        <w:r w:rsidR="00FB3D72" w:rsidRPr="001B4A02">
          <w:rPr>
            <w:bCs/>
            <w:szCs w:val="22"/>
            <w:lang w:val="cs-CZ"/>
          </w:rPr>
          <w:delText xml:space="preserve"> </w:delText>
        </w:r>
        <w:r w:rsidR="007D2251" w:rsidRPr="001B4A02">
          <w:rPr>
            <w:bCs/>
            <w:szCs w:val="22"/>
            <w:lang w:val="cs-CZ"/>
          </w:rPr>
          <w:delText>(</w:delText>
        </w:r>
        <w:r w:rsidRPr="001B4A02">
          <w:rPr>
            <w:bCs/>
            <w:szCs w:val="22"/>
            <w:lang w:val="cs-CZ"/>
          </w:rPr>
          <w:delText>rakovin</w:delText>
        </w:r>
        <w:r w:rsidR="00B015D7" w:rsidRPr="001B4A02">
          <w:rPr>
            <w:bCs/>
            <w:szCs w:val="22"/>
            <w:lang w:val="cs-CZ"/>
          </w:rPr>
          <w:delText>a</w:delText>
        </w:r>
        <w:r w:rsidRPr="001B4A02">
          <w:rPr>
            <w:bCs/>
            <w:szCs w:val="22"/>
            <w:lang w:val="cs-CZ"/>
          </w:rPr>
          <w:delText xml:space="preserve"> postihující mízní systém</w:delText>
        </w:r>
        <w:r w:rsidR="007D2251" w:rsidRPr="001B4A02">
          <w:rPr>
            <w:bCs/>
            <w:szCs w:val="22"/>
            <w:lang w:val="cs-CZ"/>
          </w:rPr>
          <w:delText>)</w:delText>
        </w:r>
        <w:r w:rsidR="002378E0">
          <w:rPr>
            <w:bCs/>
            <w:szCs w:val="22"/>
            <w:lang w:val="cs-CZ"/>
          </w:rPr>
          <w:delText xml:space="preserve"> a </w:delText>
        </w:r>
        <w:r w:rsidR="007D2251" w:rsidRPr="001B4A02">
          <w:rPr>
            <w:bCs/>
            <w:szCs w:val="22"/>
            <w:lang w:val="cs-CZ"/>
          </w:rPr>
          <w:delText>leukémie (rakovin</w:delText>
        </w:r>
        <w:r w:rsidR="00B015D7" w:rsidRPr="001B4A02">
          <w:rPr>
            <w:bCs/>
            <w:szCs w:val="22"/>
            <w:lang w:val="cs-CZ"/>
          </w:rPr>
          <w:delText>a</w:delText>
        </w:r>
        <w:r w:rsidR="007D2251" w:rsidRPr="001B4A02">
          <w:rPr>
            <w:bCs/>
            <w:szCs w:val="22"/>
            <w:lang w:val="cs-CZ"/>
          </w:rPr>
          <w:delText xml:space="preserve"> postihující krev</w:delText>
        </w:r>
        <w:r w:rsidR="002378E0">
          <w:rPr>
            <w:bCs/>
            <w:szCs w:val="22"/>
            <w:lang w:val="cs-CZ"/>
          </w:rPr>
          <w:delText xml:space="preserve"> a </w:delText>
        </w:r>
        <w:r w:rsidR="007D2251" w:rsidRPr="001B4A02">
          <w:rPr>
            <w:bCs/>
            <w:szCs w:val="22"/>
            <w:lang w:val="cs-CZ"/>
          </w:rPr>
          <w:delText>kostní dřeň)</w:delText>
        </w:r>
        <w:r w:rsidRPr="001B4A02">
          <w:rPr>
            <w:bCs/>
            <w:szCs w:val="22"/>
            <w:lang w:val="cs-CZ"/>
          </w:rPr>
          <w:delText xml:space="preserve">. Jestliže </w:delText>
        </w:r>
        <w:r w:rsidR="00E8231F" w:rsidRPr="001B4A02">
          <w:rPr>
            <w:bCs/>
            <w:szCs w:val="22"/>
            <w:lang w:val="cs-CZ"/>
          </w:rPr>
          <w:delText>po</w:delText>
        </w:r>
        <w:r w:rsidRPr="001B4A02">
          <w:rPr>
            <w:bCs/>
            <w:szCs w:val="22"/>
            <w:lang w:val="cs-CZ"/>
          </w:rPr>
          <w:delText xml:space="preserve">užíváte přípravek Humira, riziko </w:delText>
        </w:r>
        <w:r w:rsidR="007D2251" w:rsidRPr="001B4A02">
          <w:rPr>
            <w:bCs/>
            <w:szCs w:val="22"/>
            <w:lang w:val="cs-CZ"/>
          </w:rPr>
          <w:delText xml:space="preserve">onemocnění lymfomem, leukémií nebo jiným druhem rakoviny </w:delText>
        </w:r>
        <w:r w:rsidRPr="001B4A02">
          <w:rPr>
            <w:bCs/>
            <w:szCs w:val="22"/>
            <w:lang w:val="cs-CZ"/>
          </w:rPr>
          <w:delText>může vzrůst. Ve vzácných případech byl u</w:delText>
        </w:r>
        <w:r w:rsidR="0028371E" w:rsidRPr="001B4A02">
          <w:rPr>
            <w:bCs/>
            <w:szCs w:val="22"/>
            <w:lang w:val="cs-CZ"/>
          </w:rPr>
          <w:delText> </w:delText>
        </w:r>
        <w:r w:rsidRPr="001B4A02">
          <w:rPr>
            <w:bCs/>
            <w:szCs w:val="22"/>
            <w:lang w:val="cs-CZ"/>
          </w:rPr>
          <w:delText xml:space="preserve">pacientů </w:delText>
        </w:r>
        <w:r w:rsidR="00E8231F" w:rsidRPr="001B4A02">
          <w:rPr>
            <w:bCs/>
            <w:szCs w:val="22"/>
            <w:lang w:val="cs-CZ"/>
          </w:rPr>
          <w:delText>po</w:delText>
        </w:r>
        <w:r w:rsidRPr="001B4A02">
          <w:rPr>
            <w:bCs/>
            <w:szCs w:val="22"/>
            <w:lang w:val="cs-CZ"/>
          </w:rPr>
          <w:delText xml:space="preserve">užívajících přípravek Humira pozorován závažný specifický typ lymfomu. Někteří z těchto pacientů byli také léčeni azathioprinem nebo 6-merkaptopurinem. </w:delText>
        </w:r>
        <w:r w:rsidR="00340670" w:rsidRPr="001B4A02">
          <w:rPr>
            <w:bCs/>
            <w:szCs w:val="22"/>
            <w:lang w:val="cs-CZ"/>
          </w:rPr>
          <w:delText xml:space="preserve">Oznamte lékaři, pokud užíváte azathioprin nebo 6-merkaptopurin současně s přípravkem Humira. </w:delText>
        </w:r>
        <w:r w:rsidRPr="001B4A02">
          <w:rPr>
            <w:bCs/>
            <w:szCs w:val="22"/>
            <w:lang w:val="cs-CZ"/>
          </w:rPr>
          <w:delText>U pacientů léčených přípravkem Humira byly navíc pozorovány případy kožního karcinomu nemelanomového typu. Pokud se během léčby nebo po ní objeví nové kožní léze nebo pokud stávající kožní léze změní vzhled, sdělte to lékaři.</w:delText>
        </w:r>
      </w:del>
    </w:p>
    <w:p w14:paraId="1EA128A4" w14:textId="77777777" w:rsidR="00073F8F" w:rsidRPr="001B4A02" w:rsidRDefault="00073F8F" w:rsidP="00ED48A3">
      <w:pPr>
        <w:pStyle w:val="EndnoteText"/>
        <w:ind w:left="0" w:firstLine="0"/>
        <w:rPr>
          <w:del w:id="11385" w:author="AbbVie1" w:date="2025-05-13T10:11:00Z"/>
          <w:bCs/>
          <w:szCs w:val="22"/>
          <w:lang w:val="cs-CZ"/>
        </w:rPr>
      </w:pPr>
    </w:p>
    <w:p w14:paraId="27A0E9A8" w14:textId="77777777" w:rsidR="00073F8F" w:rsidRPr="001B4A02" w:rsidRDefault="00000000" w:rsidP="00ED48A3">
      <w:pPr>
        <w:pStyle w:val="EndnoteText"/>
        <w:numPr>
          <w:ilvl w:val="0"/>
          <w:numId w:val="8"/>
        </w:numPr>
        <w:tabs>
          <w:tab w:val="clear" w:pos="720"/>
          <w:tab w:val="num" w:pos="0"/>
        </w:tabs>
        <w:ind w:left="567" w:hanging="567"/>
        <w:rPr>
          <w:del w:id="11386" w:author="AbbVie1" w:date="2025-05-13T10:11:00Z"/>
          <w:bCs/>
          <w:szCs w:val="22"/>
          <w:lang w:val="cs-CZ"/>
        </w:rPr>
      </w:pPr>
      <w:del w:id="11387" w:author="AbbVie1" w:date="2025-05-13T10:11:00Z">
        <w:r w:rsidRPr="001B4A02">
          <w:rPr>
            <w:bCs/>
            <w:szCs w:val="22"/>
            <w:lang w:val="cs-CZ"/>
          </w:rPr>
          <w:delText>U pacientů se specifickým typem plicního onemocnění zvaným chronická obstruk</w:delText>
        </w:r>
        <w:r w:rsidR="003A216B" w:rsidRPr="001B4A02">
          <w:rPr>
            <w:bCs/>
            <w:szCs w:val="22"/>
            <w:lang w:val="cs-CZ"/>
          </w:rPr>
          <w:delText>č</w:delText>
        </w:r>
        <w:r w:rsidRPr="001B4A02">
          <w:rPr>
            <w:bCs/>
            <w:szCs w:val="22"/>
            <w:lang w:val="cs-CZ"/>
          </w:rPr>
          <w:delText xml:space="preserve">ní choroba plicní (CHOPN), kteří byli léčeni jiným TNF blokátorem, byly hlášeny i případy jiných druhů rakoviny, nežli jsou lymfomy. Jestliže trpíte CHOPN nebo hodně kouříte, </w:delText>
        </w:r>
        <w:r w:rsidR="00D70909" w:rsidRPr="001B4A02">
          <w:rPr>
            <w:bCs/>
            <w:szCs w:val="22"/>
            <w:lang w:val="cs-CZ"/>
          </w:rPr>
          <w:delText>měl</w:delText>
        </w:r>
        <w:r w:rsidR="00D70909">
          <w:rPr>
            <w:bCs/>
            <w:szCs w:val="22"/>
            <w:lang w:val="cs-CZ"/>
          </w:rPr>
          <w:delText>(a)</w:delText>
        </w:r>
        <w:r w:rsidRPr="001B4A02">
          <w:rPr>
            <w:bCs/>
            <w:szCs w:val="22"/>
            <w:lang w:val="cs-CZ"/>
          </w:rPr>
          <w:delText xml:space="preserve"> byste si se svým lékařem promluvit, je</w:delText>
        </w:r>
        <w:r w:rsidR="008A637C" w:rsidRPr="001B4A02">
          <w:rPr>
            <w:bCs/>
            <w:szCs w:val="22"/>
            <w:lang w:val="cs-CZ"/>
          </w:rPr>
          <w:delText>-</w:delText>
        </w:r>
        <w:r w:rsidRPr="001B4A02">
          <w:rPr>
            <w:bCs/>
            <w:szCs w:val="22"/>
            <w:lang w:val="cs-CZ"/>
          </w:rPr>
          <w:delText>li pro Vás léčba blokátorem TNF vhodná.</w:delText>
        </w:r>
      </w:del>
    </w:p>
    <w:p w14:paraId="63308FD8" w14:textId="77777777" w:rsidR="00F72780" w:rsidRPr="001B4A02" w:rsidRDefault="00F72780" w:rsidP="00C806C1">
      <w:pPr>
        <w:rPr>
          <w:del w:id="11388" w:author="AbbVie1" w:date="2025-05-13T10:11:00Z"/>
        </w:rPr>
      </w:pPr>
    </w:p>
    <w:p w14:paraId="590B4C0D" w14:textId="77777777" w:rsidR="00F72780" w:rsidRPr="001B4A02" w:rsidRDefault="00000000" w:rsidP="00C806C1">
      <w:pPr>
        <w:numPr>
          <w:ilvl w:val="0"/>
          <w:numId w:val="254"/>
        </w:numPr>
        <w:ind w:left="567" w:hanging="567"/>
        <w:rPr>
          <w:del w:id="11389" w:author="AbbVie1" w:date="2025-05-13T10:11:00Z"/>
        </w:rPr>
      </w:pPr>
      <w:del w:id="11390" w:author="AbbVie1" w:date="2025-05-13T10:11:00Z">
        <w:r w:rsidRPr="001B4A02">
          <w:delText>Vzácně může vést léčba přípravkem Humira k </w:delText>
        </w:r>
        <w:r w:rsidR="00744B46" w:rsidRPr="001B4A02">
          <w:delText>příznakům podobajícím se onemocnění zvanému</w:delText>
        </w:r>
        <w:r w:rsidRPr="001B4A02">
          <w:delText xml:space="preserve"> lupus. Pokud se objeví</w:delText>
        </w:r>
        <w:r w:rsidR="00C806C1" w:rsidRPr="001B4A02">
          <w:delText xml:space="preserve"> </w:delText>
        </w:r>
        <w:r w:rsidRPr="001B4A02">
          <w:delText xml:space="preserve">příznaky, jako je trvalá nevysvětlitelná </w:delText>
        </w:r>
        <w:r w:rsidR="007815F1">
          <w:delText xml:space="preserve">vyrážka, </w:delText>
        </w:r>
        <w:r w:rsidRPr="001B4A02">
          <w:delText>horečka, bolest kloubů nebo únava, kontaktujte svého lékaře.</w:delText>
        </w:r>
      </w:del>
    </w:p>
    <w:p w14:paraId="21716EDC" w14:textId="77777777" w:rsidR="00754BF8" w:rsidRPr="001B4A02" w:rsidRDefault="00754BF8" w:rsidP="00ED48A3">
      <w:pPr>
        <w:pStyle w:val="EndnoteText"/>
        <w:ind w:left="0" w:firstLine="0"/>
        <w:rPr>
          <w:del w:id="11391" w:author="AbbVie1" w:date="2025-05-13T10:11:00Z"/>
          <w:bCs/>
          <w:szCs w:val="22"/>
          <w:lang w:val="cs-CZ"/>
        </w:rPr>
      </w:pPr>
    </w:p>
    <w:p w14:paraId="17B6A320" w14:textId="77777777" w:rsidR="00754BF8" w:rsidRPr="001B4A02" w:rsidRDefault="00000000" w:rsidP="00ED48A3">
      <w:pPr>
        <w:pStyle w:val="EndnoteText"/>
        <w:ind w:left="0" w:firstLine="0"/>
        <w:rPr>
          <w:del w:id="11392" w:author="AbbVie1" w:date="2025-05-13T10:11:00Z"/>
          <w:b/>
          <w:bCs/>
          <w:szCs w:val="22"/>
          <w:lang w:val="cs-CZ"/>
        </w:rPr>
      </w:pPr>
      <w:del w:id="11393" w:author="AbbVie1" w:date="2025-05-13T10:11:00Z">
        <w:r w:rsidRPr="001B4A02">
          <w:rPr>
            <w:b/>
            <w:bCs/>
            <w:szCs w:val="22"/>
            <w:lang w:val="cs-CZ"/>
          </w:rPr>
          <w:delText>Děti</w:delText>
        </w:r>
        <w:r w:rsidR="002378E0">
          <w:rPr>
            <w:b/>
            <w:bCs/>
            <w:szCs w:val="22"/>
            <w:lang w:val="cs-CZ"/>
          </w:rPr>
          <w:delText xml:space="preserve"> a </w:delText>
        </w:r>
        <w:r w:rsidRPr="001B4A02">
          <w:rPr>
            <w:b/>
            <w:bCs/>
            <w:szCs w:val="22"/>
            <w:lang w:val="cs-CZ"/>
          </w:rPr>
          <w:delText>dospívající</w:delText>
        </w:r>
      </w:del>
    </w:p>
    <w:p w14:paraId="549CB4C0" w14:textId="77777777" w:rsidR="00754BF8" w:rsidRPr="001B4A02" w:rsidRDefault="00754BF8" w:rsidP="00ED48A3">
      <w:pPr>
        <w:pStyle w:val="EndnoteText"/>
        <w:ind w:left="0" w:firstLine="0"/>
        <w:rPr>
          <w:del w:id="11394" w:author="AbbVie1" w:date="2025-05-13T10:11:00Z"/>
          <w:bCs/>
          <w:szCs w:val="22"/>
          <w:lang w:val="cs-CZ"/>
        </w:rPr>
      </w:pPr>
    </w:p>
    <w:p w14:paraId="1ACF1773" w14:textId="77777777" w:rsidR="00754BF8" w:rsidRPr="001B4A02" w:rsidRDefault="00000000" w:rsidP="00ED48A3">
      <w:pPr>
        <w:pStyle w:val="EndnoteText"/>
        <w:numPr>
          <w:ilvl w:val="0"/>
          <w:numId w:val="225"/>
        </w:numPr>
        <w:ind w:left="567" w:hanging="567"/>
        <w:rPr>
          <w:del w:id="11395" w:author="AbbVie1" w:date="2025-05-13T10:11:00Z"/>
          <w:bCs/>
          <w:szCs w:val="22"/>
          <w:lang w:val="cs-CZ"/>
        </w:rPr>
      </w:pPr>
      <w:del w:id="11396" w:author="AbbVie1" w:date="2025-05-13T10:11:00Z">
        <w:r w:rsidRPr="001B4A02">
          <w:rPr>
            <w:bCs/>
            <w:szCs w:val="22"/>
            <w:lang w:val="cs-CZ"/>
          </w:rPr>
          <w:delText>Očkování: pokud je to možné, mělo by být Vaše dítě očkováno ještě předtím, než začne</w:delText>
        </w:r>
        <w:r w:rsidR="00032F16" w:rsidRPr="001B4A02">
          <w:rPr>
            <w:bCs/>
            <w:szCs w:val="22"/>
            <w:lang w:val="cs-CZ"/>
          </w:rPr>
          <w:delText xml:space="preserve"> </w:delText>
        </w:r>
        <w:r w:rsidRPr="001B4A02">
          <w:rPr>
            <w:bCs/>
            <w:szCs w:val="22"/>
            <w:lang w:val="cs-CZ"/>
          </w:rPr>
          <w:delText xml:space="preserve">přípravek Humira </w:delText>
        </w:r>
        <w:r w:rsidR="00D36439" w:rsidRPr="001B4A02">
          <w:rPr>
            <w:bCs/>
            <w:szCs w:val="22"/>
            <w:lang w:val="cs-CZ"/>
          </w:rPr>
          <w:delText>po</w:delText>
        </w:r>
        <w:r w:rsidRPr="001B4A02">
          <w:rPr>
            <w:bCs/>
            <w:szCs w:val="22"/>
            <w:lang w:val="cs-CZ"/>
          </w:rPr>
          <w:delText>užívat</w:delText>
        </w:r>
        <w:r w:rsidR="00FB3D72" w:rsidRPr="001B4A02">
          <w:rPr>
            <w:bCs/>
            <w:szCs w:val="22"/>
            <w:lang w:val="cs-CZ"/>
          </w:rPr>
          <w:delText>.</w:delText>
        </w:r>
      </w:del>
    </w:p>
    <w:p w14:paraId="15C34742" w14:textId="77777777" w:rsidR="00073F8F" w:rsidRPr="001B4A02" w:rsidRDefault="00000000" w:rsidP="00ED48A3">
      <w:pPr>
        <w:pStyle w:val="EndnoteText"/>
        <w:numPr>
          <w:ilvl w:val="0"/>
          <w:numId w:val="225"/>
        </w:numPr>
        <w:ind w:left="567" w:hanging="567"/>
        <w:rPr>
          <w:del w:id="11397" w:author="AbbVie1" w:date="2025-05-13T10:11:00Z"/>
          <w:bCs/>
          <w:szCs w:val="22"/>
          <w:lang w:val="cs-CZ"/>
        </w:rPr>
      </w:pPr>
      <w:del w:id="11398" w:author="AbbVie1" w:date="2025-05-13T10:11:00Z">
        <w:r w:rsidRPr="001B4A02">
          <w:rPr>
            <w:bCs/>
            <w:szCs w:val="22"/>
            <w:lang w:val="cs-CZ"/>
          </w:rPr>
          <w:delText>Přípravek Humira n</w:delText>
        </w:r>
        <w:r w:rsidR="00003540" w:rsidRPr="001B4A02">
          <w:rPr>
            <w:bCs/>
            <w:szCs w:val="22"/>
            <w:lang w:val="cs-CZ"/>
          </w:rPr>
          <w:delText>epodávejte dítět</w:delText>
        </w:r>
        <w:r w:rsidRPr="001B4A02">
          <w:rPr>
            <w:bCs/>
            <w:szCs w:val="22"/>
            <w:lang w:val="cs-CZ"/>
          </w:rPr>
          <w:delText>i s</w:delText>
        </w:r>
        <w:r w:rsidR="000C2348" w:rsidRPr="001B4A02">
          <w:rPr>
            <w:bCs/>
            <w:szCs w:val="22"/>
            <w:lang w:val="cs-CZ"/>
          </w:rPr>
          <w:delText> </w:delText>
        </w:r>
        <w:r w:rsidRPr="001B4A02">
          <w:rPr>
            <w:bCs/>
            <w:szCs w:val="22"/>
            <w:lang w:val="cs-CZ"/>
          </w:rPr>
          <w:delText>polyartikulární juvenilní idiopatickou artritidou, pokud je</w:delText>
        </w:r>
        <w:r w:rsidR="00032F16" w:rsidRPr="001B4A02">
          <w:rPr>
            <w:bCs/>
            <w:szCs w:val="22"/>
            <w:lang w:val="cs-CZ"/>
          </w:rPr>
          <w:delText xml:space="preserve"> </w:delText>
        </w:r>
        <w:r w:rsidRPr="001B4A02">
          <w:rPr>
            <w:bCs/>
            <w:szCs w:val="22"/>
            <w:lang w:val="cs-CZ"/>
          </w:rPr>
          <w:delText>mladší 2 let</w:delText>
        </w:r>
        <w:r w:rsidR="00AC4D6C" w:rsidRPr="001B4A02">
          <w:rPr>
            <w:bCs/>
            <w:szCs w:val="22"/>
            <w:lang w:val="cs-CZ"/>
          </w:rPr>
          <w:delText>.</w:delText>
        </w:r>
      </w:del>
    </w:p>
    <w:p w14:paraId="7F917674" w14:textId="77777777" w:rsidR="00754BF8" w:rsidRPr="001B4A02" w:rsidRDefault="00754BF8" w:rsidP="00ED48A3">
      <w:pPr>
        <w:ind w:left="0" w:firstLine="0"/>
        <w:rPr>
          <w:del w:id="11399" w:author="AbbVie1" w:date="2025-05-13T10:11:00Z"/>
        </w:rPr>
      </w:pPr>
    </w:p>
    <w:p w14:paraId="0A7A4B49" w14:textId="77777777" w:rsidR="00073F8F" w:rsidRPr="001B4A02" w:rsidRDefault="00000000" w:rsidP="00DD3461">
      <w:pPr>
        <w:keepNext/>
        <w:ind w:left="0" w:firstLine="0"/>
        <w:rPr>
          <w:del w:id="11400" w:author="AbbVie1" w:date="2025-05-13T10:11:00Z"/>
          <w:b/>
        </w:rPr>
      </w:pPr>
      <w:del w:id="11401" w:author="AbbVie1" w:date="2025-05-13T10:11:00Z">
        <w:r w:rsidRPr="001B4A02">
          <w:rPr>
            <w:b/>
          </w:rPr>
          <w:delText>Další léčivé přípravky</w:delText>
        </w:r>
        <w:r w:rsidR="002378E0">
          <w:rPr>
            <w:b/>
          </w:rPr>
          <w:delText xml:space="preserve"> a </w:delText>
        </w:r>
        <w:r w:rsidRPr="001B4A02">
          <w:rPr>
            <w:b/>
          </w:rPr>
          <w:delText>přípravek Humira</w:delText>
        </w:r>
      </w:del>
    </w:p>
    <w:p w14:paraId="10A6EED6" w14:textId="77777777" w:rsidR="00754BF8" w:rsidRPr="001B4A02" w:rsidRDefault="00754BF8" w:rsidP="00DD3461">
      <w:pPr>
        <w:keepNext/>
        <w:ind w:left="0" w:firstLine="0"/>
        <w:rPr>
          <w:del w:id="11402" w:author="AbbVie1" w:date="2025-05-13T10:11:00Z"/>
        </w:rPr>
      </w:pPr>
    </w:p>
    <w:p w14:paraId="6F254DDF" w14:textId="77777777" w:rsidR="00754BF8" w:rsidRPr="001B4A02" w:rsidRDefault="00000000" w:rsidP="00D97F68">
      <w:pPr>
        <w:ind w:left="0" w:firstLine="0"/>
        <w:rPr>
          <w:del w:id="11403" w:author="AbbVie1" w:date="2025-05-13T10:11:00Z"/>
        </w:rPr>
      </w:pPr>
      <w:del w:id="11404" w:author="AbbVie1" w:date="2025-05-13T10:11:00Z">
        <w:r w:rsidRPr="001B4A02">
          <w:delText>Informujte svého l</w:delText>
        </w:r>
        <w:r w:rsidR="00003540" w:rsidRPr="001B4A02">
          <w:delText>ékaře nebo lékárníka o</w:delText>
        </w:r>
        <w:r w:rsidR="00F23025" w:rsidRPr="001B4A02">
          <w:delText> </w:delText>
        </w:r>
        <w:r w:rsidR="00003540" w:rsidRPr="001B4A02">
          <w:delText>všech léc</w:delText>
        </w:r>
        <w:r w:rsidRPr="001B4A02">
          <w:delText>ích, které užíváte, které jste v nedávné době užíval</w:delText>
        </w:r>
        <w:r w:rsidR="00AC4D6C" w:rsidRPr="001B4A02">
          <w:delText>(a)</w:delText>
        </w:r>
        <w:r w:rsidRPr="001B4A02">
          <w:delText xml:space="preserve"> nebo které možná bude</w:delText>
        </w:r>
        <w:r w:rsidR="00F93152" w:rsidRPr="001B4A02">
          <w:delText>te</w:delText>
        </w:r>
        <w:r w:rsidRPr="001B4A02">
          <w:delText xml:space="preserve"> užívat.</w:delText>
        </w:r>
      </w:del>
    </w:p>
    <w:p w14:paraId="052964D1" w14:textId="77777777" w:rsidR="00073F8F" w:rsidRPr="001B4A02" w:rsidRDefault="00073F8F" w:rsidP="00ED48A3">
      <w:pPr>
        <w:ind w:left="0" w:firstLine="0"/>
        <w:rPr>
          <w:del w:id="11405" w:author="AbbVie1" w:date="2025-05-13T10:11:00Z"/>
        </w:rPr>
      </w:pPr>
    </w:p>
    <w:p w14:paraId="200D62B2" w14:textId="77777777" w:rsidR="00073F8F" w:rsidRPr="001B4A02" w:rsidRDefault="00000000" w:rsidP="00ED48A3">
      <w:pPr>
        <w:ind w:left="0" w:firstLine="0"/>
        <w:rPr>
          <w:del w:id="11406" w:author="AbbVie1" w:date="2025-05-13T10:11:00Z"/>
        </w:rPr>
      </w:pPr>
      <w:del w:id="11407" w:author="AbbVie1" w:date="2025-05-13T10:11:00Z">
        <w:r w:rsidRPr="001B4A02">
          <w:delText xml:space="preserve">Přípravek Humira lze </w:delText>
        </w:r>
        <w:r w:rsidR="00D36439" w:rsidRPr="001B4A02">
          <w:delText>po</w:delText>
        </w:r>
        <w:r w:rsidRPr="001B4A02">
          <w:delText>užívat společně s methotrexátem nebo některými chorobu modifikujícími antirevmatiky (sulfasalazin, hydroxychlorochin, leflunomid</w:delText>
        </w:r>
        <w:r w:rsidR="002378E0">
          <w:delText xml:space="preserve"> a </w:delText>
        </w:r>
        <w:r w:rsidRPr="001B4A02">
          <w:delText>injekční přípravky s obsahem solí zlata), steroidy nebo léky proti bolestem,</w:delText>
        </w:r>
        <w:r w:rsidR="002378E0">
          <w:delText xml:space="preserve"> a </w:delText>
        </w:r>
        <w:r w:rsidRPr="001B4A02">
          <w:delText>to i s nesteroidními antirevmatiky (NSAID).</w:delText>
        </w:r>
      </w:del>
    </w:p>
    <w:p w14:paraId="3C90060E" w14:textId="77777777" w:rsidR="00073F8F" w:rsidRPr="001B4A02" w:rsidRDefault="00073F8F" w:rsidP="00ED48A3">
      <w:pPr>
        <w:pStyle w:val="EMEANormal"/>
        <w:tabs>
          <w:tab w:val="clear" w:pos="562"/>
        </w:tabs>
        <w:suppressAutoHyphens w:val="0"/>
        <w:rPr>
          <w:del w:id="11408" w:author="AbbVie1" w:date="2025-05-13T10:11:00Z"/>
          <w:lang w:val="cs-CZ"/>
        </w:rPr>
      </w:pPr>
    </w:p>
    <w:p w14:paraId="7C45142F" w14:textId="77777777" w:rsidR="00073F8F" w:rsidRPr="001B4A02" w:rsidRDefault="00000000" w:rsidP="00ED48A3">
      <w:pPr>
        <w:pStyle w:val="EMEANormal"/>
        <w:tabs>
          <w:tab w:val="clear" w:pos="562"/>
        </w:tabs>
        <w:suppressAutoHyphens w:val="0"/>
        <w:rPr>
          <w:del w:id="11409" w:author="AbbVie1" w:date="2025-05-13T10:11:00Z"/>
          <w:bCs/>
          <w:szCs w:val="22"/>
          <w:lang w:val="cs-CZ"/>
        </w:rPr>
      </w:pPr>
      <w:del w:id="11410" w:author="AbbVie1" w:date="2025-05-13T10:11:00Z">
        <w:r w:rsidRPr="001B4A02">
          <w:rPr>
            <w:bCs/>
            <w:szCs w:val="22"/>
            <w:lang w:val="cs-CZ"/>
          </w:rPr>
          <w:delText xml:space="preserve">Přípravek Humira nesmíte </w:delText>
        </w:r>
        <w:r w:rsidR="008B3392" w:rsidRPr="001B4A02">
          <w:rPr>
            <w:lang w:val="cs-CZ"/>
          </w:rPr>
          <w:delText xml:space="preserve">z důvodu </w:delText>
        </w:r>
        <w:r w:rsidR="008B3392" w:rsidRPr="001B4A02">
          <w:rPr>
            <w:bCs/>
            <w:szCs w:val="22"/>
            <w:lang w:val="cs-CZ"/>
          </w:rPr>
          <w:delText xml:space="preserve">zvýšeného rizika závažné infekce </w:delText>
        </w:r>
        <w:r w:rsidR="00D36439" w:rsidRPr="001B4A02">
          <w:rPr>
            <w:bCs/>
            <w:szCs w:val="22"/>
            <w:lang w:val="cs-CZ"/>
          </w:rPr>
          <w:delText>po</w:delText>
        </w:r>
        <w:r w:rsidRPr="001B4A02">
          <w:rPr>
            <w:bCs/>
            <w:szCs w:val="22"/>
            <w:lang w:val="cs-CZ"/>
          </w:rPr>
          <w:delText>užívat s léky, které obsahují léčiv</w:delText>
        </w:r>
        <w:r w:rsidR="00D4194D" w:rsidRPr="001B4A02">
          <w:rPr>
            <w:bCs/>
            <w:szCs w:val="22"/>
            <w:lang w:val="cs-CZ"/>
          </w:rPr>
          <w:delText>é</w:delText>
        </w:r>
        <w:r w:rsidRPr="001B4A02">
          <w:rPr>
            <w:bCs/>
            <w:szCs w:val="22"/>
            <w:lang w:val="cs-CZ"/>
          </w:rPr>
          <w:delText xml:space="preserve"> látk</w:delText>
        </w:r>
        <w:r w:rsidR="00D4194D" w:rsidRPr="001B4A02">
          <w:rPr>
            <w:bCs/>
            <w:szCs w:val="22"/>
            <w:lang w:val="cs-CZ"/>
          </w:rPr>
          <w:delText>y</w:delText>
        </w:r>
        <w:r w:rsidRPr="001B4A02">
          <w:rPr>
            <w:bCs/>
            <w:szCs w:val="22"/>
            <w:lang w:val="cs-CZ"/>
          </w:rPr>
          <w:delText xml:space="preserve"> anakinra nebo abatacept. Máte-li nějaké dotazy, zeptejte se prosím svého lékaře.</w:delText>
        </w:r>
      </w:del>
    </w:p>
    <w:p w14:paraId="01244BC2" w14:textId="77777777" w:rsidR="00073F8F" w:rsidRPr="001B4A02" w:rsidRDefault="00073F8F" w:rsidP="00ED48A3">
      <w:pPr>
        <w:pStyle w:val="EMEANormal"/>
        <w:tabs>
          <w:tab w:val="clear" w:pos="562"/>
        </w:tabs>
        <w:suppressAutoHyphens w:val="0"/>
        <w:rPr>
          <w:del w:id="11411" w:author="AbbVie1" w:date="2025-05-13T10:11:00Z"/>
          <w:bCs/>
          <w:szCs w:val="22"/>
          <w:lang w:val="cs-CZ"/>
        </w:rPr>
      </w:pPr>
    </w:p>
    <w:p w14:paraId="687B0E8A" w14:textId="77777777" w:rsidR="00073F8F" w:rsidRPr="001B4A02" w:rsidRDefault="00000000" w:rsidP="00A945E6">
      <w:pPr>
        <w:keepNext/>
        <w:rPr>
          <w:del w:id="11412" w:author="AbbVie1" w:date="2025-05-13T10:11:00Z"/>
          <w:b/>
        </w:rPr>
      </w:pPr>
      <w:del w:id="11413" w:author="AbbVie1" w:date="2025-05-13T10:11:00Z">
        <w:r w:rsidRPr="001B4A02">
          <w:rPr>
            <w:b/>
          </w:rPr>
          <w:delText>Těhotenství</w:delText>
        </w:r>
        <w:r w:rsidR="002378E0">
          <w:rPr>
            <w:b/>
          </w:rPr>
          <w:delText xml:space="preserve"> a </w:delText>
        </w:r>
        <w:r w:rsidRPr="001B4A02">
          <w:rPr>
            <w:b/>
          </w:rPr>
          <w:delText>kojení</w:delText>
        </w:r>
      </w:del>
    </w:p>
    <w:p w14:paraId="53E9C5C2" w14:textId="77777777" w:rsidR="00073F8F" w:rsidRPr="001B4A02" w:rsidRDefault="00073F8F" w:rsidP="00A945E6">
      <w:pPr>
        <w:keepNext/>
        <w:ind w:left="0" w:firstLine="0"/>
        <w:rPr>
          <w:del w:id="11414" w:author="AbbVie1" w:date="2025-05-13T10:11:00Z"/>
        </w:rPr>
      </w:pPr>
    </w:p>
    <w:p w14:paraId="4A5491EC" w14:textId="77777777" w:rsidR="00073F8F" w:rsidRDefault="00000000" w:rsidP="004B054B">
      <w:pPr>
        <w:pStyle w:val="ListParagraph"/>
        <w:numPr>
          <w:ilvl w:val="0"/>
          <w:numId w:val="268"/>
        </w:numPr>
        <w:rPr>
          <w:del w:id="11415" w:author="AbbVie1" w:date="2025-05-13T10:11:00Z"/>
        </w:rPr>
      </w:pPr>
      <w:del w:id="11416" w:author="AbbVie1" w:date="2025-05-13T10:11:00Z">
        <w:r>
          <w:delText>Máte zvážit použití vhodné antikoncepce k prevenci těhotenství</w:delText>
        </w:r>
        <w:r w:rsidR="002378E0">
          <w:delText xml:space="preserve"> a </w:delText>
        </w:r>
        <w:r>
          <w:delText>pokračovat v jejím užívání</w:delText>
        </w:r>
        <w:r w:rsidRPr="001B4A02">
          <w:delText xml:space="preserve"> po dobu nejméně pěti měsíců po posledním podání přípravku Humira.</w:delText>
        </w:r>
      </w:del>
    </w:p>
    <w:p w14:paraId="296EDA89" w14:textId="77777777" w:rsidR="00454682" w:rsidRDefault="00000000" w:rsidP="00454682">
      <w:pPr>
        <w:pStyle w:val="ListParagraph"/>
        <w:numPr>
          <w:ilvl w:val="0"/>
          <w:numId w:val="266"/>
        </w:numPr>
        <w:rPr>
          <w:del w:id="11417" w:author="AbbVie1" w:date="2025-05-13T10:11:00Z"/>
        </w:rPr>
      </w:pPr>
      <w:del w:id="11418" w:author="AbbVie1" w:date="2025-05-13T10:11:00Z">
        <w:r>
          <w:delText>Pokud jste těhotná, domníváte se, že můžete být těhotná</w:delText>
        </w:r>
        <w:r w:rsidR="00196227">
          <w:delText>,</w:delText>
        </w:r>
        <w:r>
          <w:delText xml:space="preserve"> nebo plánujete otěhotnět, požádejte svého lékaře o</w:delText>
        </w:r>
        <w:r w:rsidR="001C14A5">
          <w:delText> </w:delText>
        </w:r>
        <w:r>
          <w:delText>doporučení týkající se užívání tohoto přípravku.</w:delText>
        </w:r>
      </w:del>
    </w:p>
    <w:p w14:paraId="1CC27E68" w14:textId="77777777" w:rsidR="00454682" w:rsidRDefault="00000000" w:rsidP="00454682">
      <w:pPr>
        <w:pStyle w:val="ListParagraph"/>
        <w:numPr>
          <w:ilvl w:val="0"/>
          <w:numId w:val="266"/>
        </w:numPr>
        <w:rPr>
          <w:del w:id="11419" w:author="AbbVie1" w:date="2025-05-13T10:11:00Z"/>
        </w:rPr>
      </w:pPr>
      <w:del w:id="11420" w:author="AbbVie1" w:date="2025-05-13T10:11:00Z">
        <w:r>
          <w:delText>Přípravek Humira má být užíván během těhotenství pouze tehdy, je-li to nezbytně nutné.</w:delText>
        </w:r>
      </w:del>
    </w:p>
    <w:p w14:paraId="6C781DF1" w14:textId="77777777" w:rsidR="00454682" w:rsidRDefault="00000000" w:rsidP="00454682">
      <w:pPr>
        <w:pStyle w:val="ListParagraph"/>
        <w:numPr>
          <w:ilvl w:val="0"/>
          <w:numId w:val="266"/>
        </w:numPr>
        <w:rPr>
          <w:del w:id="11421" w:author="AbbVie1" w:date="2025-05-13T10:11:00Z"/>
        </w:rPr>
      </w:pPr>
      <w:del w:id="11422" w:author="AbbVie1" w:date="2025-05-13T10:11:00Z">
        <w:r>
          <w:delText>Na základě studie prováděné u</w:delText>
        </w:r>
        <w:r w:rsidR="001C14A5">
          <w:delText> </w:delText>
        </w:r>
        <w:r>
          <w:delText>těhotných žen nebylo zjištěno zvýšené riziko vrozených vad, pokud matka během těhotenství užívala přípravek Humira, ve srovnání s matkami se stejným onemocněním, které přípravek Humira neužívaly.</w:delText>
        </w:r>
      </w:del>
    </w:p>
    <w:p w14:paraId="57218F4D" w14:textId="77777777" w:rsidR="00454682" w:rsidRDefault="00000000" w:rsidP="00454682">
      <w:pPr>
        <w:pStyle w:val="ListParagraph"/>
        <w:numPr>
          <w:ilvl w:val="0"/>
          <w:numId w:val="266"/>
        </w:numPr>
        <w:rPr>
          <w:del w:id="11423" w:author="AbbVie1" w:date="2025-05-13T10:11:00Z"/>
        </w:rPr>
      </w:pPr>
      <w:del w:id="11424" w:author="AbbVie1" w:date="2025-05-13T10:11:00Z">
        <w:r>
          <w:delText>Přípravek Humira lze podávat během kojení.</w:delText>
        </w:r>
      </w:del>
    </w:p>
    <w:p w14:paraId="3D83546A" w14:textId="77777777" w:rsidR="00454682" w:rsidRDefault="00000000" w:rsidP="00454682">
      <w:pPr>
        <w:pStyle w:val="ListParagraph"/>
        <w:numPr>
          <w:ilvl w:val="0"/>
          <w:numId w:val="266"/>
        </w:numPr>
        <w:rPr>
          <w:del w:id="11425" w:author="AbbVie1" w:date="2025-05-13T10:11:00Z"/>
        </w:rPr>
      </w:pPr>
      <w:del w:id="11426" w:author="AbbVie1" w:date="2025-05-13T10:11:00Z">
        <w:r>
          <w:delText>Jestliže jste používala</w:delText>
        </w:r>
        <w:r w:rsidRPr="001B4A02">
          <w:delText xml:space="preserve"> přípravek Humira během těhotenství, může být </w:delText>
        </w:r>
        <w:r>
          <w:delText>Vaše</w:delText>
        </w:r>
        <w:r w:rsidRPr="001B4A02">
          <w:delText xml:space="preserve"> dítě náchylnější k infekcím.</w:delText>
        </w:r>
      </w:del>
    </w:p>
    <w:p w14:paraId="724A3F5F" w14:textId="77777777" w:rsidR="00010AD1" w:rsidRDefault="00000000" w:rsidP="00010AD1">
      <w:pPr>
        <w:pStyle w:val="ListParagraph"/>
        <w:numPr>
          <w:ilvl w:val="0"/>
          <w:numId w:val="266"/>
        </w:numPr>
        <w:rPr>
          <w:del w:id="11427" w:author="AbbVie1" w:date="2025-05-13T10:11:00Z"/>
        </w:rPr>
      </w:pPr>
      <w:del w:id="11428" w:author="AbbVie1" w:date="2025-05-13T10:11:00Z">
        <w:r w:rsidRPr="001B4A02">
          <w:delText>Je důležité, abyste informovala dětského lékaře</w:delText>
        </w:r>
        <w:r w:rsidR="002378E0">
          <w:delText xml:space="preserve"> a </w:delText>
        </w:r>
        <w:r w:rsidRPr="001B4A02">
          <w:delText>ostatní zdravotnické pracovníky před očkováním</w:delText>
        </w:r>
        <w:r>
          <w:delText xml:space="preserve"> Vašeho</w:delText>
        </w:r>
        <w:r w:rsidRPr="001B4A02">
          <w:delText xml:space="preserve"> dítěte, že </w:delText>
        </w:r>
        <w:r>
          <w:delText xml:space="preserve">jste </w:delText>
        </w:r>
        <w:r w:rsidRPr="001B4A02">
          <w:delText>během těhotenství používala přípravek Humira</w:delText>
        </w:r>
        <w:r>
          <w:delText xml:space="preserve">. </w:delText>
        </w:r>
        <w:r w:rsidRPr="001B4A02">
          <w:delText xml:space="preserve">Více informací </w:delText>
        </w:r>
        <w:r>
          <w:delText>týkající</w:delText>
        </w:r>
        <w:r w:rsidR="00196227">
          <w:delText>ch</w:delText>
        </w:r>
        <w:r>
          <w:delText xml:space="preserve"> se očkování </w:delText>
        </w:r>
        <w:r w:rsidRPr="001B4A02">
          <w:delText xml:space="preserve">najdete v části </w:delText>
        </w:r>
        <w:r w:rsidR="00563486">
          <w:delText>„</w:delText>
        </w:r>
        <w:r>
          <w:delText>Upozornění</w:delText>
        </w:r>
        <w:r w:rsidR="002378E0">
          <w:delText xml:space="preserve"> a </w:delText>
        </w:r>
        <w:r>
          <w:delText>opatření“</w:delText>
        </w:r>
        <w:r w:rsidRPr="001B4A02">
          <w:delText>.</w:delText>
        </w:r>
      </w:del>
    </w:p>
    <w:p w14:paraId="256E09B0" w14:textId="77777777" w:rsidR="005F59C4" w:rsidRPr="001B4A02" w:rsidRDefault="005F59C4" w:rsidP="0009084E">
      <w:pPr>
        <w:ind w:left="0" w:firstLine="0"/>
        <w:rPr>
          <w:del w:id="11429" w:author="AbbVie1" w:date="2025-05-13T10:11:00Z"/>
        </w:rPr>
      </w:pPr>
    </w:p>
    <w:p w14:paraId="09766741" w14:textId="77777777" w:rsidR="00073F8F" w:rsidRPr="001B4A02" w:rsidRDefault="00000000" w:rsidP="0009084E">
      <w:pPr>
        <w:pStyle w:val="EMEANormal"/>
        <w:tabs>
          <w:tab w:val="clear" w:pos="562"/>
        </w:tabs>
        <w:suppressAutoHyphens w:val="0"/>
        <w:rPr>
          <w:del w:id="11430" w:author="AbbVie1" w:date="2025-05-13T10:11:00Z"/>
          <w:b/>
          <w:bCs/>
          <w:lang w:val="cs-CZ"/>
        </w:rPr>
      </w:pPr>
      <w:del w:id="11431" w:author="AbbVie1" w:date="2025-05-13T10:11:00Z">
        <w:r w:rsidRPr="001B4A02">
          <w:rPr>
            <w:b/>
            <w:bCs/>
            <w:lang w:val="cs-CZ"/>
          </w:rPr>
          <w:delText>Řízení dopravních prostředků</w:delText>
        </w:r>
        <w:r w:rsidR="002378E0">
          <w:rPr>
            <w:b/>
            <w:bCs/>
            <w:lang w:val="cs-CZ"/>
          </w:rPr>
          <w:delText xml:space="preserve"> a </w:delText>
        </w:r>
        <w:r w:rsidRPr="001B4A02">
          <w:rPr>
            <w:b/>
            <w:bCs/>
            <w:lang w:val="cs-CZ"/>
          </w:rPr>
          <w:delText>obsluha strojů</w:delText>
        </w:r>
      </w:del>
    </w:p>
    <w:p w14:paraId="1E63D293" w14:textId="77777777" w:rsidR="007F7787" w:rsidRPr="001B4A02" w:rsidRDefault="007F7787" w:rsidP="0009084E">
      <w:pPr>
        <w:ind w:left="0" w:firstLine="0"/>
        <w:rPr>
          <w:del w:id="11432" w:author="AbbVie1" w:date="2025-05-13T10:11:00Z"/>
        </w:rPr>
      </w:pPr>
    </w:p>
    <w:p w14:paraId="76922073" w14:textId="77777777" w:rsidR="00073F8F" w:rsidRPr="001B4A02" w:rsidRDefault="00000000" w:rsidP="0009084E">
      <w:pPr>
        <w:numPr>
          <w:ilvl w:val="12"/>
          <w:numId w:val="0"/>
        </w:numPr>
        <w:ind w:right="-2"/>
        <w:rPr>
          <w:del w:id="11433" w:author="AbbVie1" w:date="2025-05-13T10:11:00Z"/>
        </w:rPr>
      </w:pPr>
      <w:del w:id="11434" w:author="AbbVie1" w:date="2025-05-13T10:11:00Z">
        <w:r w:rsidRPr="001B4A02">
          <w:delText>Přípravek Humira může mít podružný vliv na schopnost řídit</w:delText>
        </w:r>
        <w:r w:rsidR="005F59C4" w:rsidRPr="001B4A02">
          <w:delText>, jezdit na kole nebo</w:delText>
        </w:r>
        <w:r w:rsidRPr="001B4A02">
          <w:delText xml:space="preserve"> obsluhovat stroje. Po </w:delText>
        </w:r>
        <w:r w:rsidR="00D36439" w:rsidRPr="001B4A02">
          <w:delText>po</w:delText>
        </w:r>
        <w:r w:rsidRPr="001B4A02">
          <w:delText>užití přípravku Humira se m</w:delText>
        </w:r>
        <w:r w:rsidR="00B04837" w:rsidRPr="001B4A02">
          <w:delText>ůže</w:delText>
        </w:r>
        <w:r w:rsidRPr="001B4A02">
          <w:delText xml:space="preserve"> objevit </w:delText>
        </w:r>
        <w:r w:rsidR="00B04837" w:rsidRPr="001B4A02">
          <w:delText xml:space="preserve">pocit </w:delText>
        </w:r>
        <w:r w:rsidRPr="001B4A02">
          <w:delText>točení hlavy</w:delText>
        </w:r>
        <w:r w:rsidR="002378E0">
          <w:delText xml:space="preserve"> a </w:delText>
        </w:r>
        <w:r w:rsidR="003A216B" w:rsidRPr="001B4A02">
          <w:delText>poruchy</w:delText>
        </w:r>
        <w:r w:rsidRPr="001B4A02">
          <w:delText xml:space="preserve"> vidění.</w:delText>
        </w:r>
      </w:del>
    </w:p>
    <w:p w14:paraId="5EF3CDD1" w14:textId="77777777" w:rsidR="00D4194D" w:rsidRPr="001B4A02" w:rsidRDefault="00D4194D" w:rsidP="0009084E">
      <w:pPr>
        <w:numPr>
          <w:ilvl w:val="12"/>
          <w:numId w:val="0"/>
        </w:numPr>
        <w:ind w:right="-2"/>
        <w:rPr>
          <w:del w:id="11435" w:author="AbbVie1" w:date="2025-05-13T10:11:00Z"/>
        </w:rPr>
      </w:pPr>
    </w:p>
    <w:p w14:paraId="4A2BB673" w14:textId="77777777" w:rsidR="00D4194D" w:rsidRPr="00EE5B9A" w:rsidRDefault="00000000" w:rsidP="0009084E">
      <w:pPr>
        <w:ind w:left="0" w:firstLine="0"/>
        <w:rPr>
          <w:del w:id="11436" w:author="AbbVie1" w:date="2025-05-13T10:11:00Z"/>
          <w:b/>
        </w:rPr>
      </w:pPr>
      <w:del w:id="11437" w:author="AbbVie1" w:date="2025-05-13T10:11:00Z">
        <w:r w:rsidRPr="00EE5B9A">
          <w:rPr>
            <w:b/>
          </w:rPr>
          <w:delText>Přípravek Humira obsahuje sodík</w:delText>
        </w:r>
      </w:del>
    </w:p>
    <w:p w14:paraId="0A03265C" w14:textId="77777777" w:rsidR="00D4194D" w:rsidRPr="001B4A02" w:rsidRDefault="00D4194D" w:rsidP="0009084E">
      <w:pPr>
        <w:ind w:left="0" w:firstLine="0"/>
        <w:rPr>
          <w:del w:id="11438" w:author="AbbVie1" w:date="2025-05-13T10:11:00Z"/>
        </w:rPr>
      </w:pPr>
    </w:p>
    <w:p w14:paraId="35E33CF6" w14:textId="77777777" w:rsidR="00D4194D" w:rsidRPr="001B4A02" w:rsidRDefault="00000000" w:rsidP="0009084E">
      <w:pPr>
        <w:numPr>
          <w:ilvl w:val="12"/>
          <w:numId w:val="0"/>
        </w:numPr>
        <w:ind w:right="-2"/>
        <w:rPr>
          <w:del w:id="11439" w:author="AbbVie1" w:date="2025-05-13T10:11:00Z"/>
          <w:bCs/>
        </w:rPr>
      </w:pPr>
      <w:del w:id="11440" w:author="AbbVie1" w:date="2025-05-13T10:11:00Z">
        <w:r w:rsidRPr="001B4A02">
          <w:delText xml:space="preserve">Tento léčivý přípravek obsahuje méně než 1 mmol sodíku (23 mg) na dávku 0,8 ml, </w:delText>
        </w:r>
        <w:r w:rsidR="00607A13" w:rsidRPr="001B4A02">
          <w:delText>tj. v</w:delText>
        </w:r>
        <w:r w:rsidR="00C17239" w:rsidRPr="001B4A02">
          <w:delText> </w:delText>
        </w:r>
        <w:r w:rsidR="00607A13" w:rsidRPr="001B4A02">
          <w:delText>podstatě je</w:delText>
        </w:r>
        <w:r w:rsidRPr="001B4A02">
          <w:delText xml:space="preserve"> „bez sodíku“.</w:delText>
        </w:r>
      </w:del>
    </w:p>
    <w:p w14:paraId="69A68347" w14:textId="77777777" w:rsidR="00073F8F" w:rsidRPr="001B4A02" w:rsidRDefault="00073F8F" w:rsidP="0009084E">
      <w:pPr>
        <w:numPr>
          <w:ilvl w:val="12"/>
          <w:numId w:val="0"/>
        </w:numPr>
        <w:ind w:right="-2"/>
        <w:rPr>
          <w:del w:id="11441" w:author="AbbVie1" w:date="2025-05-13T10:11:00Z"/>
        </w:rPr>
      </w:pPr>
    </w:p>
    <w:p w14:paraId="340739CC" w14:textId="77777777" w:rsidR="00073F8F" w:rsidRPr="001B4A02" w:rsidRDefault="00073F8F" w:rsidP="0009084E">
      <w:pPr>
        <w:numPr>
          <w:ilvl w:val="12"/>
          <w:numId w:val="0"/>
        </w:numPr>
        <w:ind w:right="-2"/>
        <w:rPr>
          <w:del w:id="11442" w:author="AbbVie1" w:date="2025-05-13T10:11:00Z"/>
        </w:rPr>
      </w:pPr>
    </w:p>
    <w:p w14:paraId="14411C61" w14:textId="77777777" w:rsidR="00073F8F" w:rsidRPr="001B4A02" w:rsidRDefault="00000000" w:rsidP="004D0686">
      <w:pPr>
        <w:numPr>
          <w:ilvl w:val="12"/>
          <w:numId w:val="0"/>
        </w:numPr>
        <w:ind w:left="567" w:hanging="567"/>
        <w:outlineLvl w:val="1"/>
        <w:rPr>
          <w:del w:id="11443" w:author="AbbVie1" w:date="2025-05-13T10:11:00Z"/>
        </w:rPr>
      </w:pPr>
      <w:del w:id="11444" w:author="AbbVie1" w:date="2025-05-13T10:11:00Z">
        <w:r w:rsidRPr="001B4A02">
          <w:rPr>
            <w:b/>
          </w:rPr>
          <w:delText>3.</w:delText>
        </w:r>
        <w:r w:rsidRPr="001B4A02">
          <w:rPr>
            <w:b/>
          </w:rPr>
          <w:tab/>
          <w:delText>J</w:delText>
        </w:r>
        <w:r w:rsidR="009A4C02" w:rsidRPr="001B4A02">
          <w:rPr>
            <w:b/>
          </w:rPr>
          <w:delText xml:space="preserve">ak se přípravek Humira </w:delText>
        </w:r>
        <w:r w:rsidR="00F93152" w:rsidRPr="001B4A02">
          <w:rPr>
            <w:b/>
          </w:rPr>
          <w:delText>po</w:delText>
        </w:r>
        <w:r w:rsidR="009A4C02" w:rsidRPr="001B4A02">
          <w:rPr>
            <w:b/>
          </w:rPr>
          <w:delText>užívá</w:delText>
        </w:r>
      </w:del>
    </w:p>
    <w:p w14:paraId="20EA83D7" w14:textId="77777777" w:rsidR="00073F8F" w:rsidRPr="001B4A02" w:rsidRDefault="00073F8F" w:rsidP="0009084E">
      <w:pPr>
        <w:numPr>
          <w:ilvl w:val="12"/>
          <w:numId w:val="0"/>
        </w:numPr>
        <w:ind w:right="-2"/>
        <w:rPr>
          <w:del w:id="11445" w:author="AbbVie1" w:date="2025-05-13T10:11:00Z"/>
        </w:rPr>
      </w:pPr>
    </w:p>
    <w:p w14:paraId="5FD09756" w14:textId="77777777" w:rsidR="00073F8F" w:rsidRPr="001B4A02" w:rsidRDefault="00000000" w:rsidP="0009084E">
      <w:pPr>
        <w:ind w:left="0" w:firstLine="0"/>
        <w:rPr>
          <w:del w:id="11446" w:author="AbbVie1" w:date="2025-05-13T10:11:00Z"/>
        </w:rPr>
      </w:pPr>
      <w:del w:id="11447" w:author="AbbVie1" w:date="2025-05-13T10:11:00Z">
        <w:r w:rsidRPr="001B4A02">
          <w:delText xml:space="preserve">Vždy </w:delText>
        </w:r>
        <w:r w:rsidR="00D36439" w:rsidRPr="001B4A02">
          <w:delText>po</w:delText>
        </w:r>
        <w:r w:rsidRPr="001B4A02">
          <w:delText xml:space="preserve">užívejte </w:delText>
        </w:r>
        <w:r w:rsidR="009A4C02" w:rsidRPr="001B4A02">
          <w:delText xml:space="preserve">tento </w:delText>
        </w:r>
        <w:r w:rsidRPr="001B4A02">
          <w:delText>přípravek přesně podle pokynů svého lékaře</w:delText>
        </w:r>
        <w:r w:rsidR="009A4C02" w:rsidRPr="001B4A02">
          <w:delText xml:space="preserve"> nebo lékárníka</w:delText>
        </w:r>
        <w:r w:rsidRPr="001B4A02">
          <w:delText>. Pokud si nejste jistý(á), poraďte se se svým lékařem nebo lékárníkem.</w:delText>
        </w:r>
        <w:r w:rsidR="00D4194D" w:rsidRPr="001B4A02">
          <w:delText xml:space="preserve"> Lékař Vám může předepsat jinou sílu přípravku Humira, pokud potřebuje</w:delText>
        </w:r>
        <w:r w:rsidR="00BE457D" w:rsidRPr="001B4A02">
          <w:delText>te</w:delText>
        </w:r>
        <w:r w:rsidR="00D4194D" w:rsidRPr="001B4A02">
          <w:delText xml:space="preserve"> jinou dávku.</w:delText>
        </w:r>
      </w:del>
    </w:p>
    <w:p w14:paraId="604A9BFA" w14:textId="77777777" w:rsidR="00073F8F" w:rsidRPr="001B4A02" w:rsidRDefault="00073F8F" w:rsidP="0009084E">
      <w:pPr>
        <w:ind w:left="0" w:firstLine="0"/>
        <w:rPr>
          <w:del w:id="11448" w:author="AbbVie1" w:date="2025-05-13T10:11:00Z"/>
        </w:rPr>
      </w:pPr>
    </w:p>
    <w:p w14:paraId="294EA894" w14:textId="77777777" w:rsidR="00261668" w:rsidRPr="001B4A02" w:rsidRDefault="00000000" w:rsidP="0009084E">
      <w:pPr>
        <w:ind w:left="0" w:firstLine="0"/>
        <w:rPr>
          <w:del w:id="11449" w:author="AbbVie1" w:date="2025-05-13T10:11:00Z"/>
          <w:u w:val="single"/>
        </w:rPr>
      </w:pPr>
      <w:del w:id="11450" w:author="AbbVie1" w:date="2025-05-13T10:11:00Z">
        <w:r w:rsidRPr="001B4A02">
          <w:rPr>
            <w:u w:val="single"/>
          </w:rPr>
          <w:delText xml:space="preserve">Dospělí pacienti s revmatoidní </w:delText>
        </w:r>
        <w:r w:rsidR="00DF6D95" w:rsidRPr="001B4A02">
          <w:rPr>
            <w:u w:val="single"/>
          </w:rPr>
          <w:delText xml:space="preserve">artritidou, psoriatickou artritidou, ankylozující spondylitidou nebo axiální spondylartritidou bez radiologického průkazu </w:delText>
        </w:r>
        <w:r w:rsidR="00003540" w:rsidRPr="001B4A02">
          <w:rPr>
            <w:u w:val="single"/>
          </w:rPr>
          <w:delText>anky</w:delText>
        </w:r>
        <w:r w:rsidR="009A4C02" w:rsidRPr="001B4A02">
          <w:rPr>
            <w:u w:val="single"/>
          </w:rPr>
          <w:delText>lozující spondylitidy</w:delText>
        </w:r>
      </w:del>
    </w:p>
    <w:p w14:paraId="49A5F8AD" w14:textId="77777777" w:rsidR="00261668" w:rsidRPr="001B4A02" w:rsidRDefault="00261668" w:rsidP="0009084E">
      <w:pPr>
        <w:ind w:left="0" w:firstLine="0"/>
        <w:rPr>
          <w:del w:id="11451" w:author="AbbVie1" w:date="2025-05-13T10:11:00Z"/>
        </w:rPr>
      </w:pPr>
    </w:p>
    <w:p w14:paraId="7F41E68D" w14:textId="77777777" w:rsidR="00073F8F" w:rsidRPr="001B4A02" w:rsidRDefault="00000000" w:rsidP="0009084E">
      <w:pPr>
        <w:ind w:left="0" w:firstLine="0"/>
        <w:rPr>
          <w:del w:id="11452" w:author="AbbVie1" w:date="2025-05-13T10:11:00Z"/>
        </w:rPr>
      </w:pPr>
      <w:del w:id="11453" w:author="AbbVie1" w:date="2025-05-13T10:11:00Z">
        <w:r w:rsidRPr="001B4A02">
          <w:delText>Přípravek Humira se podává injekčně pod kůži (subkutánně). Obvyklá dávka přípravku pro dospělé pacienty s revmatoidní artritidou, ankylozující spondylitidou</w:delText>
        </w:r>
        <w:r w:rsidR="00172AB5" w:rsidRPr="001B4A02">
          <w:delText xml:space="preserve">, axiální spondylartritidou bez radiologického průkazu </w:delText>
        </w:r>
        <w:r w:rsidR="009A4C02" w:rsidRPr="001B4A02">
          <w:delText>ankylozující spondylitidy</w:delText>
        </w:r>
        <w:r w:rsidR="002378E0">
          <w:delText xml:space="preserve"> a </w:delText>
        </w:r>
        <w:r w:rsidR="00172AB5" w:rsidRPr="001B4A02">
          <w:delText>u</w:delText>
        </w:r>
        <w:r w:rsidR="007930C0" w:rsidRPr="001B4A02">
          <w:delText> </w:delText>
        </w:r>
        <w:r w:rsidR="00172AB5" w:rsidRPr="001B4A02">
          <w:delText>pacientů s</w:delText>
        </w:r>
        <w:r w:rsidR="007930C0" w:rsidRPr="001B4A02">
          <w:delText> </w:delText>
        </w:r>
        <w:r w:rsidR="00692C6F" w:rsidRPr="001B4A02">
          <w:delText>psoriatickou artritidou</w:delText>
        </w:r>
        <w:r w:rsidRPr="001B4A02">
          <w:delText xml:space="preserve"> je 40 mg adalimumabu v jedné dávc</w:delText>
        </w:r>
        <w:r w:rsidR="007930C0" w:rsidRPr="001B4A02">
          <w:delText>e podávané jednou za dva týdny.</w:delText>
        </w:r>
      </w:del>
    </w:p>
    <w:p w14:paraId="1E36AA08" w14:textId="77777777" w:rsidR="0084402B" w:rsidRPr="001B4A02" w:rsidRDefault="0084402B" w:rsidP="0009084E">
      <w:pPr>
        <w:ind w:left="0" w:firstLine="0"/>
        <w:rPr>
          <w:del w:id="11454" w:author="AbbVie1" w:date="2025-05-13T10:11:00Z"/>
        </w:rPr>
      </w:pPr>
    </w:p>
    <w:p w14:paraId="3225C3A8" w14:textId="77777777" w:rsidR="0084402B" w:rsidRPr="001B4A02" w:rsidRDefault="00000000" w:rsidP="0009084E">
      <w:pPr>
        <w:ind w:left="0" w:firstLine="0"/>
        <w:rPr>
          <w:del w:id="11455" w:author="AbbVie1" w:date="2025-05-13T10:11:00Z"/>
        </w:rPr>
      </w:pPr>
      <w:del w:id="11456" w:author="AbbVie1" w:date="2025-05-13T10:11:00Z">
        <w:r w:rsidRPr="001B4A02">
          <w:delText xml:space="preserve">U revmatoidní artritidy se při léčbě přípravkem Humira pokračuje v podávání methotrexátu. Pokud </w:delText>
        </w:r>
        <w:r w:rsidR="003A216B" w:rsidRPr="001B4A02">
          <w:delText>V</w:delText>
        </w:r>
        <w:r w:rsidRPr="001B4A02">
          <w:delText xml:space="preserve">áš lékař určí, že je pro </w:delText>
        </w:r>
        <w:r w:rsidR="00973092" w:rsidRPr="001B4A02">
          <w:delText>V</w:delText>
        </w:r>
        <w:r w:rsidRPr="001B4A02">
          <w:delText xml:space="preserve">ás methotrexát nevhodný, podává se </w:delText>
        </w:r>
        <w:r w:rsidR="00264669" w:rsidRPr="001B4A02">
          <w:delText xml:space="preserve">přípravek </w:delText>
        </w:r>
        <w:r w:rsidRPr="001B4A02">
          <w:delText>Humira samostatně.</w:delText>
        </w:r>
      </w:del>
    </w:p>
    <w:p w14:paraId="6DCFDA32" w14:textId="77777777" w:rsidR="0084402B" w:rsidRPr="001B4A02" w:rsidRDefault="0084402B" w:rsidP="0009084E">
      <w:pPr>
        <w:ind w:left="0" w:firstLine="0"/>
        <w:rPr>
          <w:del w:id="11457" w:author="AbbVie1" w:date="2025-05-13T10:11:00Z"/>
        </w:rPr>
      </w:pPr>
    </w:p>
    <w:p w14:paraId="59F2AC05" w14:textId="77777777" w:rsidR="0084402B" w:rsidRPr="001B4A02" w:rsidRDefault="00000000" w:rsidP="00ED48A3">
      <w:pPr>
        <w:ind w:left="0" w:firstLine="0"/>
        <w:rPr>
          <w:del w:id="11458" w:author="AbbVie1" w:date="2025-05-13T10:11:00Z"/>
        </w:rPr>
      </w:pPr>
      <w:del w:id="11459" w:author="AbbVie1" w:date="2025-05-13T10:11:00Z">
        <w:r w:rsidRPr="001B4A02">
          <w:delText>Jestliže máte revmatoidní artritidu</w:delText>
        </w:r>
        <w:r w:rsidR="002378E0">
          <w:delText xml:space="preserve"> a </w:delText>
        </w:r>
        <w:r w:rsidRPr="001B4A02">
          <w:delText>spolu s přípravkem Humira nedostáváte methotrexát, může lékař rozhodnout, že budete dostávat 40 mg adalimumabu každý týden</w:delText>
        </w:r>
        <w:r w:rsidR="005C74D0" w:rsidRPr="001B4A02">
          <w:delText xml:space="preserve"> nebo 80</w:delText>
        </w:r>
        <w:r w:rsidR="00874DE1">
          <w:delText> mg</w:delText>
        </w:r>
        <w:r w:rsidR="005C74D0" w:rsidRPr="001B4A02">
          <w:delText xml:space="preserve"> jednou za dva týdny</w:delText>
        </w:r>
        <w:r w:rsidRPr="001B4A02">
          <w:delText>.</w:delText>
        </w:r>
      </w:del>
    </w:p>
    <w:p w14:paraId="4DBE1F65" w14:textId="77777777" w:rsidR="00073F8F" w:rsidRPr="001B4A02" w:rsidRDefault="00073F8F" w:rsidP="00ED48A3">
      <w:pPr>
        <w:ind w:left="0" w:firstLine="0"/>
        <w:rPr>
          <w:del w:id="11460" w:author="AbbVie1" w:date="2025-05-13T10:11:00Z"/>
        </w:rPr>
      </w:pPr>
    </w:p>
    <w:p w14:paraId="11C74EE5" w14:textId="77777777" w:rsidR="00BA2AF8" w:rsidRPr="001B4A02" w:rsidRDefault="00000000" w:rsidP="000C2348">
      <w:pPr>
        <w:keepNext/>
        <w:ind w:left="0" w:firstLine="0"/>
        <w:rPr>
          <w:del w:id="11461" w:author="AbbVie1" w:date="2025-05-13T10:11:00Z"/>
          <w:u w:val="single"/>
        </w:rPr>
      </w:pPr>
      <w:del w:id="11462" w:author="AbbVie1" w:date="2025-05-13T10:11:00Z">
        <w:r w:rsidRPr="001B4A02">
          <w:rPr>
            <w:u w:val="single"/>
          </w:rPr>
          <w:delText>Děti</w:delText>
        </w:r>
        <w:r w:rsidR="00977D6A" w:rsidRPr="001B4A02">
          <w:rPr>
            <w:u w:val="single"/>
          </w:rPr>
          <w:delText>,</w:delText>
        </w:r>
        <w:r w:rsidR="00D4194D" w:rsidRPr="001B4A02">
          <w:rPr>
            <w:u w:val="single"/>
          </w:rPr>
          <w:delText xml:space="preserve"> dospívající</w:delText>
        </w:r>
        <w:r w:rsidR="002378E0">
          <w:rPr>
            <w:u w:val="single"/>
          </w:rPr>
          <w:delText xml:space="preserve"> a </w:delText>
        </w:r>
        <w:r w:rsidR="00977D6A" w:rsidRPr="001B4A02">
          <w:rPr>
            <w:u w:val="single"/>
          </w:rPr>
          <w:delText>dospělí</w:delText>
        </w:r>
        <w:r w:rsidR="00D4194D" w:rsidRPr="001B4A02">
          <w:rPr>
            <w:u w:val="single"/>
          </w:rPr>
          <w:delText xml:space="preserve"> </w:delText>
        </w:r>
        <w:r w:rsidRPr="001B4A02">
          <w:rPr>
            <w:u w:val="single"/>
          </w:rPr>
          <w:delText>s polyartikulární juvenilní id</w:delText>
        </w:r>
        <w:r w:rsidR="009142FA" w:rsidRPr="001B4A02">
          <w:rPr>
            <w:u w:val="single"/>
          </w:rPr>
          <w:delText>i</w:delText>
        </w:r>
        <w:r w:rsidRPr="001B4A02">
          <w:rPr>
            <w:u w:val="single"/>
          </w:rPr>
          <w:delText>opatickou artritidou</w:delText>
        </w:r>
      </w:del>
    </w:p>
    <w:p w14:paraId="262A5B91" w14:textId="77777777" w:rsidR="00D4194D" w:rsidRPr="001B4A02" w:rsidRDefault="00D4194D" w:rsidP="000C2348">
      <w:pPr>
        <w:keepNext/>
        <w:ind w:left="0" w:firstLine="0"/>
        <w:rPr>
          <w:del w:id="11463" w:author="AbbVie1" w:date="2025-05-13T10:11:00Z"/>
          <w:u w:val="single"/>
        </w:rPr>
      </w:pPr>
    </w:p>
    <w:p w14:paraId="4207A23E" w14:textId="77777777" w:rsidR="00D4194D" w:rsidRPr="001B4A02" w:rsidRDefault="00000000" w:rsidP="00D4194D">
      <w:pPr>
        <w:ind w:left="0" w:firstLine="0"/>
        <w:rPr>
          <w:del w:id="11464" w:author="AbbVie1" w:date="2025-05-13T10:11:00Z"/>
          <w:i/>
        </w:rPr>
      </w:pPr>
      <w:del w:id="11465" w:author="AbbVie1" w:date="2025-05-13T10:11:00Z">
        <w:r w:rsidRPr="001B4A02">
          <w:rPr>
            <w:i/>
          </w:rPr>
          <w:delText>Děti</w:delText>
        </w:r>
        <w:r w:rsidR="002378E0">
          <w:rPr>
            <w:i/>
          </w:rPr>
          <w:delText xml:space="preserve"> a </w:delText>
        </w:r>
        <w:r w:rsidRPr="001B4A02">
          <w:rPr>
            <w:i/>
          </w:rPr>
          <w:delText xml:space="preserve">dospívající </w:delText>
        </w:r>
        <w:r w:rsidR="00E44302" w:rsidRPr="001B4A02">
          <w:rPr>
            <w:i/>
          </w:rPr>
          <w:delText xml:space="preserve">od 2 let </w:delText>
        </w:r>
        <w:r w:rsidRPr="001B4A02">
          <w:rPr>
            <w:i/>
          </w:rPr>
          <w:delText xml:space="preserve">s tělesnou hmotností </w:delText>
        </w:r>
        <w:r w:rsidR="00DB6E84" w:rsidRPr="001B4A02">
          <w:rPr>
            <w:i/>
          </w:rPr>
          <w:delText xml:space="preserve">od </w:delText>
        </w:r>
        <w:r w:rsidRPr="001B4A02">
          <w:rPr>
            <w:i/>
          </w:rPr>
          <w:delText xml:space="preserve">10 kg </w:delText>
        </w:r>
        <w:r w:rsidR="00DB6E84" w:rsidRPr="001B4A02">
          <w:rPr>
            <w:i/>
          </w:rPr>
          <w:delText>do</w:delText>
        </w:r>
        <w:r w:rsidRPr="001B4A02">
          <w:rPr>
            <w:i/>
          </w:rPr>
          <w:delText xml:space="preserve"> 30 kg</w:delText>
        </w:r>
      </w:del>
    </w:p>
    <w:p w14:paraId="39E7F2D3" w14:textId="77777777" w:rsidR="00D4194D" w:rsidRPr="001B4A02" w:rsidRDefault="00D4194D" w:rsidP="00D4194D">
      <w:pPr>
        <w:ind w:left="0" w:firstLine="0"/>
        <w:rPr>
          <w:del w:id="11466" w:author="AbbVie1" w:date="2025-05-13T10:11:00Z"/>
        </w:rPr>
      </w:pPr>
    </w:p>
    <w:p w14:paraId="125B5B60" w14:textId="77777777" w:rsidR="00D4194D" w:rsidRPr="001B4A02" w:rsidRDefault="00000000" w:rsidP="00D4194D">
      <w:pPr>
        <w:ind w:left="0" w:firstLine="0"/>
        <w:rPr>
          <w:del w:id="11467" w:author="AbbVie1" w:date="2025-05-13T10:11:00Z"/>
        </w:rPr>
      </w:pPr>
      <w:del w:id="11468" w:author="AbbVie1" w:date="2025-05-13T10:11:00Z">
        <w:r w:rsidRPr="001B4A02">
          <w:delText>Doporučená dávka přípravku Humira je 20 mg jednou za dva týdny.</w:delText>
        </w:r>
      </w:del>
    </w:p>
    <w:p w14:paraId="55CD39BB" w14:textId="77777777" w:rsidR="00D4194D" w:rsidRPr="001B4A02" w:rsidRDefault="00D4194D" w:rsidP="00D4194D">
      <w:pPr>
        <w:ind w:left="0" w:firstLine="0"/>
        <w:rPr>
          <w:del w:id="11469" w:author="AbbVie1" w:date="2025-05-13T10:11:00Z"/>
        </w:rPr>
      </w:pPr>
    </w:p>
    <w:p w14:paraId="3D2C9C31" w14:textId="77777777" w:rsidR="00D4194D" w:rsidRPr="001B4A02" w:rsidRDefault="00000000" w:rsidP="00D4194D">
      <w:pPr>
        <w:keepNext/>
        <w:numPr>
          <w:ilvl w:val="12"/>
          <w:numId w:val="0"/>
        </w:numPr>
        <w:ind w:right="-2"/>
        <w:rPr>
          <w:del w:id="11470" w:author="AbbVie1" w:date="2025-05-13T10:11:00Z"/>
          <w:i/>
        </w:rPr>
      </w:pPr>
      <w:del w:id="11471" w:author="AbbVie1" w:date="2025-05-13T10:11:00Z">
        <w:r w:rsidRPr="001B4A02">
          <w:rPr>
            <w:i/>
          </w:rPr>
          <w:delText>Děti, dospívající</w:delText>
        </w:r>
        <w:r w:rsidR="002378E0">
          <w:rPr>
            <w:i/>
          </w:rPr>
          <w:delText xml:space="preserve"> a </w:delText>
        </w:r>
        <w:r w:rsidRPr="001B4A02">
          <w:rPr>
            <w:i/>
          </w:rPr>
          <w:delText xml:space="preserve">dospělí </w:delText>
        </w:r>
        <w:r w:rsidR="00E44302" w:rsidRPr="001B4A02">
          <w:rPr>
            <w:i/>
          </w:rPr>
          <w:delText xml:space="preserve">od 2 let </w:delText>
        </w:r>
        <w:r w:rsidRPr="001B4A02">
          <w:rPr>
            <w:i/>
          </w:rPr>
          <w:delText>s tělesnou hmotností 30 kg nebo vyšší</w:delText>
        </w:r>
      </w:del>
    </w:p>
    <w:p w14:paraId="7370D4CC" w14:textId="77777777" w:rsidR="00D4194D" w:rsidRPr="001B4A02" w:rsidRDefault="00D4194D" w:rsidP="000C2348">
      <w:pPr>
        <w:keepNext/>
        <w:ind w:left="0" w:firstLine="0"/>
        <w:rPr>
          <w:del w:id="11472" w:author="AbbVie1" w:date="2025-05-13T10:11:00Z"/>
          <w:u w:val="single"/>
        </w:rPr>
      </w:pPr>
    </w:p>
    <w:p w14:paraId="4AA07D83" w14:textId="77777777" w:rsidR="00073F8F" w:rsidRPr="001B4A02" w:rsidRDefault="00000000" w:rsidP="00D4194D">
      <w:pPr>
        <w:ind w:left="0" w:firstLine="0"/>
        <w:rPr>
          <w:del w:id="11473" w:author="AbbVie1" w:date="2025-05-13T10:11:00Z"/>
        </w:rPr>
      </w:pPr>
      <w:del w:id="11474" w:author="AbbVie1" w:date="2025-05-13T10:11:00Z">
        <w:r w:rsidRPr="001B4A02">
          <w:delText xml:space="preserve">Doporučená dávka přípravku Humira </w:delText>
        </w:r>
        <w:r w:rsidR="00177AFD" w:rsidRPr="001B4A02">
          <w:delText>je 40</w:delText>
        </w:r>
        <w:r w:rsidR="00874DE1">
          <w:delText> mg</w:delText>
        </w:r>
        <w:r w:rsidR="00177AFD" w:rsidRPr="001B4A02">
          <w:delText xml:space="preserve"> jednou za dva týdny</w:delText>
        </w:r>
        <w:r w:rsidRPr="001B4A02">
          <w:delText>.</w:delText>
        </w:r>
      </w:del>
    </w:p>
    <w:p w14:paraId="09FBD78B" w14:textId="77777777" w:rsidR="00073F8F" w:rsidRPr="001B4A02" w:rsidRDefault="00073F8F" w:rsidP="00ED48A3">
      <w:pPr>
        <w:ind w:left="0" w:firstLine="0"/>
        <w:rPr>
          <w:del w:id="11475" w:author="AbbVie1" w:date="2025-05-13T10:11:00Z"/>
        </w:rPr>
      </w:pPr>
    </w:p>
    <w:p w14:paraId="1D88B7E1" w14:textId="77777777" w:rsidR="004C3799" w:rsidRPr="001B4A02" w:rsidRDefault="00000000" w:rsidP="00ED48A3">
      <w:pPr>
        <w:keepNext/>
        <w:ind w:left="0" w:firstLine="0"/>
        <w:rPr>
          <w:del w:id="11476" w:author="AbbVie1" w:date="2025-05-13T10:11:00Z"/>
          <w:u w:val="single"/>
        </w:rPr>
      </w:pPr>
      <w:del w:id="11477" w:author="AbbVie1" w:date="2025-05-13T10:11:00Z">
        <w:r w:rsidRPr="001B4A02">
          <w:rPr>
            <w:u w:val="single"/>
          </w:rPr>
          <w:delText>Děti</w:delText>
        </w:r>
        <w:r w:rsidR="00D4194D" w:rsidRPr="001B4A02">
          <w:rPr>
            <w:u w:val="single"/>
          </w:rPr>
          <w:delText>, dospívající</w:delText>
        </w:r>
        <w:r w:rsidR="002378E0">
          <w:rPr>
            <w:u w:val="single"/>
          </w:rPr>
          <w:delText xml:space="preserve"> a </w:delText>
        </w:r>
        <w:r w:rsidR="00D4194D" w:rsidRPr="001B4A02">
          <w:rPr>
            <w:u w:val="single"/>
          </w:rPr>
          <w:delText>dospělí</w:delText>
        </w:r>
        <w:r w:rsidR="00FB3D72" w:rsidRPr="001B4A02">
          <w:rPr>
            <w:u w:val="single"/>
          </w:rPr>
          <w:delText xml:space="preserve"> s</w:delText>
        </w:r>
        <w:r w:rsidR="00F9477C" w:rsidRPr="001B4A02">
          <w:rPr>
            <w:u w:val="single"/>
          </w:rPr>
          <w:delText> </w:delText>
        </w:r>
        <w:r w:rsidR="00FB3D72" w:rsidRPr="001B4A02">
          <w:rPr>
            <w:u w:val="single"/>
          </w:rPr>
          <w:delText>e</w:delText>
        </w:r>
        <w:r w:rsidR="002F6B1C" w:rsidRPr="001B4A02">
          <w:rPr>
            <w:u w:val="single"/>
          </w:rPr>
          <w:delText xml:space="preserve">ntezopatickou </w:delText>
        </w:r>
        <w:r w:rsidRPr="001B4A02">
          <w:rPr>
            <w:u w:val="single"/>
          </w:rPr>
          <w:delText>artritidou</w:delText>
        </w:r>
      </w:del>
    </w:p>
    <w:p w14:paraId="2102F80D" w14:textId="77777777" w:rsidR="00D4194D" w:rsidRPr="001B4A02" w:rsidRDefault="00D4194D" w:rsidP="00ED48A3">
      <w:pPr>
        <w:keepNext/>
        <w:ind w:left="0" w:firstLine="0"/>
        <w:rPr>
          <w:del w:id="11478" w:author="AbbVie1" w:date="2025-05-13T10:11:00Z"/>
          <w:u w:val="single"/>
        </w:rPr>
      </w:pPr>
    </w:p>
    <w:p w14:paraId="09F2BEE0" w14:textId="77777777" w:rsidR="00D4194D" w:rsidRPr="001B4A02" w:rsidRDefault="00000000" w:rsidP="00D4194D">
      <w:pPr>
        <w:keepNext/>
        <w:numPr>
          <w:ilvl w:val="12"/>
          <w:numId w:val="0"/>
        </w:numPr>
        <w:ind w:right="-2"/>
        <w:rPr>
          <w:del w:id="11479" w:author="AbbVie1" w:date="2025-05-13T10:11:00Z"/>
          <w:i/>
        </w:rPr>
      </w:pPr>
      <w:del w:id="11480" w:author="AbbVie1" w:date="2025-05-13T10:11:00Z">
        <w:r w:rsidRPr="001B4A02">
          <w:rPr>
            <w:i/>
          </w:rPr>
          <w:delText>Děti</w:delText>
        </w:r>
        <w:r w:rsidR="002378E0">
          <w:rPr>
            <w:i/>
          </w:rPr>
          <w:delText xml:space="preserve"> a </w:delText>
        </w:r>
        <w:r w:rsidRPr="001B4A02">
          <w:rPr>
            <w:i/>
          </w:rPr>
          <w:delText xml:space="preserve">dospívající </w:delText>
        </w:r>
        <w:r w:rsidR="00E44302" w:rsidRPr="001B4A02">
          <w:rPr>
            <w:i/>
          </w:rPr>
          <w:delText xml:space="preserve">od 6 let </w:delText>
        </w:r>
        <w:r w:rsidRPr="001B4A02">
          <w:rPr>
            <w:i/>
          </w:rPr>
          <w:delText xml:space="preserve">s tělesnou hmotností </w:delText>
        </w:r>
        <w:r w:rsidR="00DB6E84" w:rsidRPr="001B4A02">
          <w:rPr>
            <w:i/>
          </w:rPr>
          <w:delText xml:space="preserve">od </w:delText>
        </w:r>
        <w:r w:rsidRPr="001B4A02">
          <w:rPr>
            <w:i/>
          </w:rPr>
          <w:delText xml:space="preserve">15 kg </w:delText>
        </w:r>
        <w:r w:rsidR="00DB6E84" w:rsidRPr="001B4A02">
          <w:rPr>
            <w:i/>
          </w:rPr>
          <w:delText>do</w:delText>
        </w:r>
        <w:r w:rsidRPr="001B4A02">
          <w:rPr>
            <w:i/>
          </w:rPr>
          <w:delText xml:space="preserve"> 30 kg</w:delText>
        </w:r>
      </w:del>
    </w:p>
    <w:p w14:paraId="40915B09" w14:textId="77777777" w:rsidR="00D4194D" w:rsidRPr="001B4A02" w:rsidRDefault="00D4194D" w:rsidP="00D4194D">
      <w:pPr>
        <w:ind w:left="0" w:firstLine="0"/>
        <w:rPr>
          <w:del w:id="11481" w:author="AbbVie1" w:date="2025-05-13T10:11:00Z"/>
          <w:u w:val="single"/>
        </w:rPr>
      </w:pPr>
    </w:p>
    <w:p w14:paraId="235E42EF" w14:textId="77777777" w:rsidR="00D4194D" w:rsidRPr="001B4A02" w:rsidRDefault="00000000" w:rsidP="00D4194D">
      <w:pPr>
        <w:ind w:left="0" w:firstLine="0"/>
        <w:rPr>
          <w:del w:id="11482" w:author="AbbVie1" w:date="2025-05-13T10:11:00Z"/>
        </w:rPr>
      </w:pPr>
      <w:del w:id="11483" w:author="AbbVie1" w:date="2025-05-13T10:11:00Z">
        <w:r w:rsidRPr="001B4A02">
          <w:delText>Doporučená dávka přípravku Humira je 20</w:delText>
        </w:r>
        <w:r w:rsidR="00874DE1">
          <w:delText> mg</w:delText>
        </w:r>
        <w:r w:rsidRPr="001B4A02">
          <w:delText xml:space="preserve"> jednou za dva týdny.</w:delText>
        </w:r>
      </w:del>
    </w:p>
    <w:p w14:paraId="723A9C6B" w14:textId="77777777" w:rsidR="00D4194D" w:rsidRPr="001B4A02" w:rsidRDefault="00D4194D" w:rsidP="00D4194D">
      <w:pPr>
        <w:ind w:left="0" w:firstLine="0"/>
        <w:rPr>
          <w:del w:id="11484" w:author="AbbVie1" w:date="2025-05-13T10:11:00Z"/>
        </w:rPr>
      </w:pPr>
    </w:p>
    <w:p w14:paraId="4D8FADA8" w14:textId="77777777" w:rsidR="00D4194D" w:rsidRPr="001B4A02" w:rsidRDefault="00000000" w:rsidP="00D4194D">
      <w:pPr>
        <w:keepNext/>
        <w:numPr>
          <w:ilvl w:val="12"/>
          <w:numId w:val="0"/>
        </w:numPr>
        <w:ind w:right="-2"/>
        <w:rPr>
          <w:del w:id="11485" w:author="AbbVie1" w:date="2025-05-13T10:11:00Z"/>
          <w:i/>
        </w:rPr>
      </w:pPr>
      <w:del w:id="11486" w:author="AbbVie1" w:date="2025-05-13T10:11:00Z">
        <w:r w:rsidRPr="001B4A02">
          <w:rPr>
            <w:i/>
          </w:rPr>
          <w:delText>Děti, dospívající</w:delText>
        </w:r>
        <w:r w:rsidR="002378E0">
          <w:rPr>
            <w:i/>
          </w:rPr>
          <w:delText xml:space="preserve"> a </w:delText>
        </w:r>
        <w:r w:rsidRPr="001B4A02">
          <w:rPr>
            <w:i/>
          </w:rPr>
          <w:delText xml:space="preserve">dospělí </w:delText>
        </w:r>
        <w:r w:rsidR="00E44302" w:rsidRPr="001B4A02">
          <w:rPr>
            <w:i/>
          </w:rPr>
          <w:delText xml:space="preserve">od 6 let </w:delText>
        </w:r>
        <w:r w:rsidRPr="001B4A02">
          <w:rPr>
            <w:i/>
          </w:rPr>
          <w:delText>s tělesnou hmotností 30 kg nebo vyšší</w:delText>
        </w:r>
      </w:del>
    </w:p>
    <w:p w14:paraId="1C05D861" w14:textId="77777777" w:rsidR="00D4194D" w:rsidRPr="001B4A02" w:rsidRDefault="00D4194D" w:rsidP="00D4194D">
      <w:pPr>
        <w:ind w:left="0" w:firstLine="0"/>
        <w:rPr>
          <w:del w:id="11487" w:author="AbbVie1" w:date="2025-05-13T10:11:00Z"/>
        </w:rPr>
      </w:pPr>
    </w:p>
    <w:p w14:paraId="274ACC9E" w14:textId="77777777" w:rsidR="00D4194D" w:rsidRPr="001B4A02" w:rsidRDefault="00000000" w:rsidP="00D4194D">
      <w:pPr>
        <w:keepNext/>
        <w:ind w:left="0" w:firstLine="0"/>
        <w:rPr>
          <w:del w:id="11488" w:author="AbbVie1" w:date="2025-05-13T10:11:00Z"/>
          <w:u w:val="single"/>
        </w:rPr>
      </w:pPr>
      <w:del w:id="11489" w:author="AbbVie1" w:date="2025-05-13T10:11:00Z">
        <w:r w:rsidRPr="001B4A02">
          <w:delText>Doporučená dávka přípravku Humira je 40</w:delText>
        </w:r>
        <w:r w:rsidR="00874DE1">
          <w:delText> mg</w:delText>
        </w:r>
        <w:r w:rsidRPr="001B4A02">
          <w:delText xml:space="preserve"> jednou za dva týdny.</w:delText>
        </w:r>
      </w:del>
    </w:p>
    <w:p w14:paraId="7B9898E5" w14:textId="77777777" w:rsidR="004C3799" w:rsidRPr="001B4A02" w:rsidRDefault="004C3799" w:rsidP="00ED48A3">
      <w:pPr>
        <w:keepNext/>
        <w:ind w:left="0" w:firstLine="0"/>
        <w:rPr>
          <w:del w:id="11490" w:author="AbbVie1" w:date="2025-05-13T10:11:00Z"/>
        </w:rPr>
      </w:pPr>
    </w:p>
    <w:p w14:paraId="282E7EAE" w14:textId="77777777" w:rsidR="00BA2AF8" w:rsidRPr="001B4A02" w:rsidRDefault="00000000" w:rsidP="00ED48A3">
      <w:pPr>
        <w:keepNext/>
        <w:ind w:left="0" w:firstLine="0"/>
        <w:rPr>
          <w:del w:id="11491" w:author="AbbVie1" w:date="2025-05-13T10:11:00Z"/>
          <w:u w:val="single"/>
        </w:rPr>
      </w:pPr>
      <w:del w:id="11492" w:author="AbbVie1" w:date="2025-05-13T10:11:00Z">
        <w:r w:rsidRPr="001B4A02">
          <w:rPr>
            <w:u w:val="single"/>
          </w:rPr>
          <w:delText>Dospělí pacienti s</w:delText>
        </w:r>
        <w:r w:rsidR="007930C0" w:rsidRPr="001B4A02">
          <w:rPr>
            <w:u w:val="single"/>
          </w:rPr>
          <w:delText> </w:delText>
        </w:r>
        <w:r w:rsidRPr="001B4A02">
          <w:rPr>
            <w:u w:val="single"/>
          </w:rPr>
          <w:delText>psoriázou</w:delText>
        </w:r>
      </w:del>
    </w:p>
    <w:p w14:paraId="1ABEABDC" w14:textId="77777777" w:rsidR="00BA2AF8" w:rsidRPr="001B4A02" w:rsidRDefault="00BA2AF8" w:rsidP="00ED48A3">
      <w:pPr>
        <w:keepNext/>
        <w:ind w:left="0" w:firstLine="0"/>
        <w:rPr>
          <w:del w:id="11493" w:author="AbbVie1" w:date="2025-05-13T10:11:00Z"/>
        </w:rPr>
      </w:pPr>
    </w:p>
    <w:p w14:paraId="1FD3D7D0" w14:textId="77777777" w:rsidR="00E17D4A" w:rsidRPr="001B4A02" w:rsidRDefault="00000000" w:rsidP="007930C0">
      <w:pPr>
        <w:ind w:left="0" w:firstLine="0"/>
        <w:rPr>
          <w:del w:id="11494" w:author="AbbVie1" w:date="2025-05-13T10:11:00Z"/>
        </w:rPr>
      </w:pPr>
      <w:del w:id="11495" w:author="AbbVie1" w:date="2025-05-13T10:11:00Z">
        <w:r w:rsidRPr="001B4A02">
          <w:delText xml:space="preserve">Obvyklý </w:delText>
        </w:r>
        <w:r w:rsidR="00E65030" w:rsidRPr="001B4A02">
          <w:delText xml:space="preserve">režim </w:delText>
        </w:r>
        <w:r w:rsidRPr="001B4A02">
          <w:delText>dávkování přípravku</w:delText>
        </w:r>
        <w:r w:rsidR="0028371E" w:rsidRPr="001B4A02">
          <w:delText xml:space="preserve"> u </w:delText>
        </w:r>
        <w:r w:rsidRPr="001B4A02">
          <w:delText>dospělých s</w:delText>
        </w:r>
        <w:r w:rsidR="007930C0" w:rsidRPr="001B4A02">
          <w:delText> </w:delText>
        </w:r>
        <w:r w:rsidRPr="001B4A02">
          <w:delText xml:space="preserve">psoriázou je </w:delText>
        </w:r>
        <w:r w:rsidR="00702AEB" w:rsidRPr="001B4A02">
          <w:delText xml:space="preserve">podání </w:delText>
        </w:r>
        <w:r w:rsidRPr="001B4A02">
          <w:delText>úvodní dávky 80</w:delText>
        </w:r>
        <w:r w:rsidR="00874DE1">
          <w:delText> mg</w:delText>
        </w:r>
        <w:r w:rsidR="00D4194D" w:rsidRPr="001B4A02">
          <w:delText xml:space="preserve"> (jako dvě injekce</w:delText>
        </w:r>
        <w:r w:rsidR="00A625E3" w:rsidRPr="001B4A02">
          <w:delText xml:space="preserve"> 40</w:delText>
        </w:r>
        <w:r w:rsidR="00874DE1">
          <w:delText> mg</w:delText>
        </w:r>
        <w:r w:rsidR="00D4194D" w:rsidRPr="001B4A02">
          <w:delText xml:space="preserve"> </w:delText>
        </w:r>
        <w:r w:rsidR="00BE457D" w:rsidRPr="001B4A02">
          <w:delText>v jednom dni</w:delText>
        </w:r>
        <w:r w:rsidR="00D4194D" w:rsidRPr="001B4A02">
          <w:delText>)</w:delText>
        </w:r>
        <w:r w:rsidRPr="001B4A02">
          <w:delText xml:space="preserve"> následované dávkou 40</w:delText>
        </w:r>
        <w:r w:rsidR="00874DE1">
          <w:delText> mg</w:delText>
        </w:r>
        <w:r w:rsidRPr="001B4A02">
          <w:delText xml:space="preserve"> podávanou každý druhý týden počínaje prvním týdnem po dávce úvodní. V léčbě přípravkem Humira musíte pokračovat tak dlouho, jak Vám doporučil lékař.</w:delText>
        </w:r>
        <w:r w:rsidR="00D6542D" w:rsidRPr="001B4A02">
          <w:delText xml:space="preserve"> V závislosti na </w:delText>
        </w:r>
        <w:r w:rsidR="00F96A18" w:rsidRPr="001B4A02">
          <w:delText>Vaší reakci na léčbu může Váš lékař zvýšit dávkování na 40</w:delText>
        </w:r>
        <w:r w:rsidR="00874DE1">
          <w:delText> mg</w:delText>
        </w:r>
        <w:r w:rsidR="00F96A18" w:rsidRPr="001B4A02">
          <w:delText xml:space="preserve"> jednou týdně</w:delText>
        </w:r>
        <w:r w:rsidR="00A625E3" w:rsidRPr="001B4A02">
          <w:delText xml:space="preserve"> nebo 80</w:delText>
        </w:r>
        <w:r w:rsidR="00874DE1">
          <w:delText> mg</w:delText>
        </w:r>
        <w:r w:rsidR="00A625E3" w:rsidRPr="001B4A02">
          <w:delText xml:space="preserve"> jednou za dva týdny</w:delText>
        </w:r>
        <w:r w:rsidR="00F96A18" w:rsidRPr="001B4A02">
          <w:delText>.</w:delText>
        </w:r>
      </w:del>
    </w:p>
    <w:p w14:paraId="1D0B0594" w14:textId="77777777" w:rsidR="00BA2AF8" w:rsidRPr="001B4A02" w:rsidRDefault="00BA2AF8" w:rsidP="00ED48A3">
      <w:pPr>
        <w:ind w:left="0" w:firstLine="0"/>
        <w:rPr>
          <w:del w:id="11496" w:author="AbbVie1" w:date="2025-05-13T10:11:00Z"/>
        </w:rPr>
      </w:pPr>
    </w:p>
    <w:p w14:paraId="4AE1CF63" w14:textId="77777777" w:rsidR="007B2C87" w:rsidRPr="001B4A02" w:rsidRDefault="00000000" w:rsidP="00ED48A3">
      <w:pPr>
        <w:ind w:left="0" w:firstLine="0"/>
        <w:rPr>
          <w:del w:id="11497" w:author="AbbVie1" w:date="2025-05-13T10:11:00Z"/>
          <w:u w:val="single"/>
        </w:rPr>
      </w:pPr>
      <w:del w:id="11498" w:author="AbbVie1" w:date="2025-05-13T10:11:00Z">
        <w:r w:rsidRPr="001B4A02">
          <w:rPr>
            <w:u w:val="single"/>
          </w:rPr>
          <w:delText>Děti</w:delText>
        </w:r>
        <w:r w:rsidR="002378E0">
          <w:rPr>
            <w:u w:val="single"/>
          </w:rPr>
          <w:delText xml:space="preserve"> a </w:delText>
        </w:r>
        <w:r w:rsidRPr="001B4A02">
          <w:rPr>
            <w:u w:val="single"/>
          </w:rPr>
          <w:delText>dospívající s</w:delText>
        </w:r>
        <w:r w:rsidR="00FD0BBC" w:rsidRPr="001B4A02">
          <w:rPr>
            <w:u w:val="single"/>
          </w:rPr>
          <w:delText xml:space="preserve"> ložiskovou </w:delText>
        </w:r>
        <w:r w:rsidRPr="001B4A02">
          <w:rPr>
            <w:u w:val="single"/>
          </w:rPr>
          <w:delText>psoriázou</w:delText>
        </w:r>
      </w:del>
    </w:p>
    <w:p w14:paraId="53DDF3E3" w14:textId="77777777" w:rsidR="007B2C87" w:rsidRPr="001B4A02" w:rsidRDefault="007B2C87" w:rsidP="00ED48A3">
      <w:pPr>
        <w:ind w:left="0" w:firstLine="0"/>
        <w:rPr>
          <w:del w:id="11499" w:author="AbbVie1" w:date="2025-05-13T10:11:00Z"/>
        </w:rPr>
      </w:pPr>
    </w:p>
    <w:p w14:paraId="04E22D07" w14:textId="77777777" w:rsidR="00D4194D" w:rsidRPr="001B4A02" w:rsidRDefault="00000000" w:rsidP="00D4194D">
      <w:pPr>
        <w:numPr>
          <w:ilvl w:val="12"/>
          <w:numId w:val="0"/>
        </w:numPr>
        <w:ind w:right="-2"/>
        <w:rPr>
          <w:del w:id="11500" w:author="AbbVie1" w:date="2025-05-13T10:11:00Z"/>
          <w:i/>
        </w:rPr>
      </w:pPr>
      <w:del w:id="11501" w:author="AbbVie1" w:date="2025-05-13T10:11:00Z">
        <w:r w:rsidRPr="001B4A02">
          <w:rPr>
            <w:i/>
          </w:rPr>
          <w:delText>Děti</w:delText>
        </w:r>
        <w:r w:rsidR="002378E0">
          <w:rPr>
            <w:i/>
          </w:rPr>
          <w:delText xml:space="preserve"> a </w:delText>
        </w:r>
        <w:r w:rsidRPr="001B4A02">
          <w:rPr>
            <w:i/>
          </w:rPr>
          <w:delText xml:space="preserve">dospívající od 4 do 17 let s tělesnou hmotností </w:delText>
        </w:r>
        <w:r w:rsidR="00DB6E84" w:rsidRPr="001B4A02">
          <w:rPr>
            <w:i/>
          </w:rPr>
          <w:delText xml:space="preserve">od </w:delText>
        </w:r>
        <w:r w:rsidRPr="001B4A02">
          <w:rPr>
            <w:i/>
          </w:rPr>
          <w:delText xml:space="preserve">15 kg </w:delText>
        </w:r>
        <w:r w:rsidR="00DB6E84" w:rsidRPr="001B4A02">
          <w:rPr>
            <w:i/>
          </w:rPr>
          <w:delText>do</w:delText>
        </w:r>
        <w:r w:rsidRPr="001B4A02">
          <w:rPr>
            <w:i/>
          </w:rPr>
          <w:delText xml:space="preserve"> 30 kg</w:delText>
        </w:r>
      </w:del>
    </w:p>
    <w:p w14:paraId="73E605AF" w14:textId="77777777" w:rsidR="00D4194D" w:rsidRPr="001B4A02" w:rsidRDefault="00D4194D" w:rsidP="00D4194D">
      <w:pPr>
        <w:ind w:left="0" w:firstLine="0"/>
        <w:rPr>
          <w:del w:id="11502" w:author="AbbVie1" w:date="2025-05-13T10:11:00Z"/>
          <w:u w:val="single"/>
        </w:rPr>
      </w:pPr>
    </w:p>
    <w:p w14:paraId="5A7507DA" w14:textId="77777777" w:rsidR="00D4194D" w:rsidRPr="001B4A02" w:rsidRDefault="00000000" w:rsidP="00D4194D">
      <w:pPr>
        <w:numPr>
          <w:ilvl w:val="12"/>
          <w:numId w:val="0"/>
        </w:numPr>
        <w:ind w:right="-2"/>
        <w:rPr>
          <w:del w:id="11503" w:author="AbbVie1" w:date="2025-05-13T10:11:00Z"/>
        </w:rPr>
      </w:pPr>
      <w:del w:id="11504" w:author="AbbVie1" w:date="2025-05-13T10:11:00Z">
        <w:r w:rsidRPr="001B4A02">
          <w:delText>Doporučen</w:delText>
        </w:r>
        <w:r w:rsidR="00A04A29" w:rsidRPr="001B4A02">
          <w:delText>é dávkování</w:delText>
        </w:r>
        <w:r w:rsidRPr="001B4A02">
          <w:delText xml:space="preserve"> přípravku Humira je </w:delText>
        </w:r>
        <w:r w:rsidR="00A04A29" w:rsidRPr="001B4A02">
          <w:delText>podání úvodní</w:delText>
        </w:r>
        <w:r w:rsidRPr="001B4A02">
          <w:delText xml:space="preserve"> dávk</w:delText>
        </w:r>
        <w:r w:rsidR="00A04A29" w:rsidRPr="001B4A02">
          <w:delText>y</w:delText>
        </w:r>
        <w:r w:rsidRPr="001B4A02">
          <w:delText xml:space="preserve"> 20</w:delText>
        </w:r>
        <w:r w:rsidR="00874DE1">
          <w:delText> mg</w:delText>
        </w:r>
        <w:r w:rsidRPr="001B4A02">
          <w:delText xml:space="preserve"> následovan</w:delText>
        </w:r>
        <w:r w:rsidR="00A04A29" w:rsidRPr="001B4A02">
          <w:delText>é</w:delText>
        </w:r>
        <w:r w:rsidRPr="001B4A02">
          <w:delText xml:space="preserve"> o</w:delText>
        </w:r>
        <w:r w:rsidR="00923691" w:rsidRPr="001B4A02">
          <w:delText> </w:delText>
        </w:r>
        <w:r w:rsidRPr="001B4A02">
          <w:delText>týden později dávkou 20</w:delText>
        </w:r>
        <w:r w:rsidR="00874DE1">
          <w:delText> mg</w:delText>
        </w:r>
        <w:r w:rsidRPr="001B4A02">
          <w:delText>. Poté se podává obvyklá dávka 20</w:delText>
        </w:r>
        <w:r w:rsidR="00874DE1">
          <w:delText> mg</w:delText>
        </w:r>
        <w:r w:rsidRPr="001B4A02">
          <w:delText xml:space="preserve"> jednou za dva týdny</w:delText>
        </w:r>
        <w:r w:rsidR="00710CD0" w:rsidRPr="001B4A02">
          <w:delText>.</w:delText>
        </w:r>
      </w:del>
    </w:p>
    <w:p w14:paraId="56BB2B02" w14:textId="77777777" w:rsidR="00D4194D" w:rsidRPr="001B4A02" w:rsidRDefault="00D4194D" w:rsidP="00D4194D">
      <w:pPr>
        <w:numPr>
          <w:ilvl w:val="12"/>
          <w:numId w:val="0"/>
        </w:numPr>
        <w:ind w:right="-2"/>
        <w:rPr>
          <w:del w:id="11505" w:author="AbbVie1" w:date="2025-05-13T10:11:00Z"/>
        </w:rPr>
      </w:pPr>
    </w:p>
    <w:p w14:paraId="656DCC62" w14:textId="77777777" w:rsidR="00D4194D" w:rsidRPr="001B4A02" w:rsidRDefault="00000000" w:rsidP="00D4194D">
      <w:pPr>
        <w:numPr>
          <w:ilvl w:val="12"/>
          <w:numId w:val="0"/>
        </w:numPr>
        <w:ind w:right="-2"/>
        <w:rPr>
          <w:del w:id="11506" w:author="AbbVie1" w:date="2025-05-13T10:11:00Z"/>
          <w:i/>
        </w:rPr>
      </w:pPr>
      <w:del w:id="11507" w:author="AbbVie1" w:date="2025-05-13T10:11:00Z">
        <w:r w:rsidRPr="001B4A02">
          <w:rPr>
            <w:i/>
          </w:rPr>
          <w:delText>Děti</w:delText>
        </w:r>
        <w:r w:rsidR="002378E0">
          <w:rPr>
            <w:i/>
          </w:rPr>
          <w:delText xml:space="preserve"> a </w:delText>
        </w:r>
        <w:r w:rsidRPr="001B4A02">
          <w:rPr>
            <w:i/>
          </w:rPr>
          <w:delText>dospívající od 4 do 17 let s tělesnou hmotností 30 kg nebo vyšší</w:delText>
        </w:r>
      </w:del>
    </w:p>
    <w:p w14:paraId="4046B194" w14:textId="77777777" w:rsidR="00D4194D" w:rsidRPr="001B4A02" w:rsidRDefault="00D4194D" w:rsidP="00D4194D">
      <w:pPr>
        <w:numPr>
          <w:ilvl w:val="12"/>
          <w:numId w:val="0"/>
        </w:numPr>
        <w:ind w:right="-2"/>
        <w:rPr>
          <w:del w:id="11508" w:author="AbbVie1" w:date="2025-05-13T10:11:00Z"/>
          <w:i/>
        </w:rPr>
      </w:pPr>
    </w:p>
    <w:p w14:paraId="73175CC5" w14:textId="77777777" w:rsidR="002B4E4A" w:rsidRPr="001B4A02" w:rsidRDefault="00000000" w:rsidP="00ED48A3">
      <w:pPr>
        <w:ind w:left="0" w:firstLine="0"/>
        <w:rPr>
          <w:del w:id="11509" w:author="AbbVie1" w:date="2025-05-13T10:11:00Z"/>
        </w:rPr>
      </w:pPr>
      <w:del w:id="11510" w:author="AbbVie1" w:date="2025-05-13T10:11:00Z">
        <w:r w:rsidRPr="001B4A02">
          <w:delText>Doporučen</w:delText>
        </w:r>
        <w:r w:rsidR="00710CD0" w:rsidRPr="001B4A02">
          <w:delText>é dávkování</w:delText>
        </w:r>
        <w:r w:rsidRPr="001B4A02">
          <w:delText xml:space="preserve"> přípravku Humira je </w:delText>
        </w:r>
        <w:r w:rsidR="00710CD0" w:rsidRPr="001B4A02">
          <w:rPr>
            <w:szCs w:val="22"/>
          </w:rPr>
          <w:delText xml:space="preserve">podání úvodní </w:delText>
        </w:r>
        <w:r w:rsidRPr="001B4A02">
          <w:delText>dávk</w:delText>
        </w:r>
        <w:r w:rsidR="00710CD0" w:rsidRPr="001B4A02">
          <w:delText>y</w:delText>
        </w:r>
        <w:r w:rsidRPr="001B4A02">
          <w:delText xml:space="preserve"> 40</w:delText>
        </w:r>
        <w:r w:rsidR="00874DE1">
          <w:delText> mg</w:delText>
        </w:r>
        <w:r w:rsidRPr="001B4A02">
          <w:delText xml:space="preserve"> následovan</w:delText>
        </w:r>
        <w:r w:rsidR="00710CD0" w:rsidRPr="001B4A02">
          <w:delText>é</w:delText>
        </w:r>
        <w:r w:rsidRPr="001B4A02">
          <w:delText xml:space="preserve"> o</w:delText>
        </w:r>
        <w:r w:rsidR="00923691" w:rsidRPr="001B4A02">
          <w:delText> </w:delText>
        </w:r>
        <w:r w:rsidRPr="001B4A02">
          <w:delText>týden později dávkou 40</w:delText>
        </w:r>
        <w:r w:rsidR="00874DE1">
          <w:delText> mg</w:delText>
        </w:r>
        <w:r w:rsidRPr="001B4A02">
          <w:delText>. Poté se podává obvyklá dávka 40</w:delText>
        </w:r>
        <w:r w:rsidR="00874DE1">
          <w:delText> mg</w:delText>
        </w:r>
        <w:r w:rsidRPr="001B4A02">
          <w:delText xml:space="preserve"> jednou za dva týdny.</w:delText>
        </w:r>
      </w:del>
    </w:p>
    <w:p w14:paraId="624EE1E2" w14:textId="77777777" w:rsidR="002B4E4A" w:rsidRPr="001B4A02" w:rsidRDefault="002B4E4A" w:rsidP="00ED48A3">
      <w:pPr>
        <w:ind w:left="0" w:firstLine="0"/>
        <w:rPr>
          <w:del w:id="11511" w:author="AbbVie1" w:date="2025-05-13T10:11:00Z"/>
          <w:u w:val="single"/>
        </w:rPr>
      </w:pPr>
    </w:p>
    <w:p w14:paraId="073C7FBC" w14:textId="77777777" w:rsidR="00155745" w:rsidRPr="001B4A02" w:rsidRDefault="00000000" w:rsidP="00ED48A3">
      <w:pPr>
        <w:ind w:left="0" w:firstLine="0"/>
        <w:rPr>
          <w:del w:id="11512" w:author="AbbVie1" w:date="2025-05-13T10:11:00Z"/>
          <w:u w:val="single"/>
        </w:rPr>
      </w:pPr>
      <w:del w:id="11513" w:author="AbbVie1" w:date="2025-05-13T10:11:00Z">
        <w:r w:rsidRPr="001B4A02">
          <w:rPr>
            <w:u w:val="single"/>
          </w:rPr>
          <w:delText>Dospělí pacienti s hidradenitis suppurativa</w:delText>
        </w:r>
      </w:del>
    </w:p>
    <w:p w14:paraId="36FD009A" w14:textId="77777777" w:rsidR="00155745" w:rsidRPr="001B4A02" w:rsidRDefault="00155745" w:rsidP="00ED48A3">
      <w:pPr>
        <w:ind w:left="0" w:firstLine="0"/>
        <w:rPr>
          <w:del w:id="11514" w:author="AbbVie1" w:date="2025-05-13T10:11:00Z"/>
          <w:u w:val="single"/>
        </w:rPr>
      </w:pPr>
    </w:p>
    <w:p w14:paraId="230CDB5B" w14:textId="77777777" w:rsidR="00155745" w:rsidRPr="001B4A02" w:rsidRDefault="00000000" w:rsidP="00ED48A3">
      <w:pPr>
        <w:ind w:left="0" w:firstLine="0"/>
        <w:rPr>
          <w:del w:id="11515" w:author="AbbVie1" w:date="2025-05-13T10:11:00Z"/>
        </w:rPr>
      </w:pPr>
      <w:del w:id="11516" w:author="AbbVie1" w:date="2025-05-13T10:11:00Z">
        <w:r w:rsidRPr="001B4A02">
          <w:delText xml:space="preserve">Obvyklý </w:delText>
        </w:r>
        <w:r w:rsidR="00E65030" w:rsidRPr="001B4A02">
          <w:delText xml:space="preserve">režim </w:delText>
        </w:r>
        <w:r w:rsidRPr="001B4A02">
          <w:delText>dávkování</w:delText>
        </w:r>
        <w:r w:rsidR="0028371E" w:rsidRPr="001B4A02">
          <w:delText xml:space="preserve"> u </w:delText>
        </w:r>
        <w:r w:rsidRPr="001B4A02">
          <w:delText xml:space="preserve">hidradenitis suppurativa je </w:delText>
        </w:r>
        <w:r w:rsidR="000F34C1" w:rsidRPr="001B4A02">
          <w:delText>podání úvodní</w:delText>
        </w:r>
        <w:r w:rsidRPr="001B4A02">
          <w:delText xml:space="preserve"> dávky 160</w:delText>
        </w:r>
        <w:r w:rsidR="00874DE1">
          <w:delText> mg</w:delText>
        </w:r>
        <w:r w:rsidRPr="001B4A02">
          <w:delText xml:space="preserve"> (jako </w:delText>
        </w:r>
        <w:r w:rsidR="00D4194D" w:rsidRPr="001B4A02">
          <w:delText>čtyři</w:delText>
        </w:r>
        <w:r w:rsidRPr="001B4A02">
          <w:delText xml:space="preserve"> injekce</w:delText>
        </w:r>
        <w:r w:rsidR="00A625E3" w:rsidRPr="001B4A02">
          <w:delText xml:space="preserve"> 40</w:delText>
        </w:r>
        <w:r w:rsidR="00874DE1">
          <w:delText> mg</w:delText>
        </w:r>
        <w:r w:rsidRPr="001B4A02">
          <w:delText xml:space="preserve"> v jednom dni nebo </w:delText>
        </w:r>
        <w:r w:rsidR="00D4194D" w:rsidRPr="001B4A02">
          <w:delText>dvě</w:delText>
        </w:r>
        <w:r w:rsidRPr="001B4A02">
          <w:delText xml:space="preserve"> injekce</w:delText>
        </w:r>
        <w:r w:rsidR="00A625E3" w:rsidRPr="001B4A02">
          <w:delText xml:space="preserve"> 40</w:delText>
        </w:r>
        <w:r w:rsidR="00874DE1">
          <w:delText> mg</w:delText>
        </w:r>
        <w:r w:rsidRPr="001B4A02">
          <w:delText xml:space="preserve"> denně ve dvou po sobě </w:delText>
        </w:r>
        <w:r w:rsidR="00FE5873">
          <w:delText xml:space="preserve">jdoucích </w:delText>
        </w:r>
        <w:r w:rsidRPr="001B4A02">
          <w:delText>dnech) následované dávkou 80</w:delText>
        </w:r>
        <w:r w:rsidR="00874DE1">
          <w:delText> mg</w:delText>
        </w:r>
        <w:r w:rsidRPr="001B4A02">
          <w:delText xml:space="preserve"> (jako </w:delText>
        </w:r>
        <w:r w:rsidR="00D4194D" w:rsidRPr="001B4A02">
          <w:delText>dvě</w:delText>
        </w:r>
        <w:r w:rsidRPr="001B4A02">
          <w:delText xml:space="preserve"> injekce</w:delText>
        </w:r>
        <w:r w:rsidR="00A625E3" w:rsidRPr="001B4A02">
          <w:delText xml:space="preserve"> 40</w:delText>
        </w:r>
        <w:r w:rsidR="00874DE1">
          <w:delText> mg</w:delText>
        </w:r>
        <w:r w:rsidRPr="001B4A02">
          <w:delText xml:space="preserve"> ve stejném dni)</w:delText>
        </w:r>
        <w:r w:rsidR="00F23025" w:rsidRPr="001B4A02">
          <w:delText xml:space="preserve"> o </w:delText>
        </w:r>
        <w:r w:rsidRPr="001B4A02">
          <w:delText xml:space="preserve">dva týdny později. Po </w:delText>
        </w:r>
        <w:r w:rsidR="0056671C" w:rsidRPr="001B4A02">
          <w:delText>dalších dvou</w:delText>
        </w:r>
        <w:r w:rsidRPr="001B4A02">
          <w:delText xml:space="preserve"> týdnech se pokračuje </w:delText>
        </w:r>
        <w:r w:rsidR="0002246D" w:rsidRPr="001B4A02">
          <w:delText xml:space="preserve">dávkováním </w:delText>
        </w:r>
        <w:r w:rsidRPr="001B4A02">
          <w:delText>40</w:delText>
        </w:r>
        <w:r w:rsidR="00874DE1">
          <w:delText> mg</w:delText>
        </w:r>
        <w:r w:rsidRPr="001B4A02">
          <w:delText xml:space="preserve"> jednou týdně</w:delText>
        </w:r>
        <w:r w:rsidR="00A625E3" w:rsidRPr="001B4A02">
          <w:delText xml:space="preserve"> nebo 80</w:delText>
        </w:r>
        <w:r w:rsidR="00874DE1">
          <w:delText> mg</w:delText>
        </w:r>
        <w:r w:rsidR="00A625E3" w:rsidRPr="001B4A02">
          <w:delText xml:space="preserve"> jednou za dva týdny, jak Vám </w:delText>
        </w:r>
        <w:r w:rsidR="0002246D" w:rsidRPr="001B4A02">
          <w:delText>předepsal</w:delText>
        </w:r>
        <w:r w:rsidR="00A625E3" w:rsidRPr="001B4A02">
          <w:delText xml:space="preserve"> lékař</w:delText>
        </w:r>
        <w:r w:rsidRPr="001B4A02">
          <w:delText>. Je doporučeno, abyste denně prováděl(a) na postižených místech antiseptické ošetření.</w:delText>
        </w:r>
      </w:del>
    </w:p>
    <w:p w14:paraId="3F47E982" w14:textId="77777777" w:rsidR="005A6D66" w:rsidRPr="001B4A02" w:rsidRDefault="005A6D66" w:rsidP="00ED48A3">
      <w:pPr>
        <w:ind w:left="0" w:firstLine="0"/>
        <w:rPr>
          <w:del w:id="11517" w:author="AbbVie1" w:date="2025-05-13T10:11:00Z"/>
        </w:rPr>
      </w:pPr>
    </w:p>
    <w:p w14:paraId="44D5E396" w14:textId="77777777" w:rsidR="00C207A7" w:rsidRPr="001B4A02" w:rsidRDefault="00000000" w:rsidP="00ED48A3">
      <w:pPr>
        <w:numPr>
          <w:ilvl w:val="12"/>
          <w:numId w:val="0"/>
        </w:numPr>
        <w:ind w:right="-2"/>
        <w:rPr>
          <w:del w:id="11518" w:author="AbbVie1" w:date="2025-05-13T10:11:00Z"/>
          <w:u w:val="single"/>
        </w:rPr>
      </w:pPr>
      <w:del w:id="11519" w:author="AbbVie1" w:date="2025-05-13T10:11:00Z">
        <w:r w:rsidRPr="001B4A02">
          <w:rPr>
            <w:szCs w:val="22"/>
            <w:u w:val="single"/>
          </w:rPr>
          <w:delText>Dospívající s</w:delText>
        </w:r>
        <w:r w:rsidR="000C2348" w:rsidRPr="001B4A02">
          <w:rPr>
            <w:szCs w:val="22"/>
            <w:u w:val="single"/>
          </w:rPr>
          <w:delText> </w:delText>
        </w:r>
        <w:r w:rsidRPr="001B4A02">
          <w:rPr>
            <w:szCs w:val="22"/>
            <w:u w:val="single"/>
          </w:rPr>
          <w:delText>hidradenitis suppurativa od</w:delText>
        </w:r>
        <w:r w:rsidR="00D4194D" w:rsidRPr="001B4A02">
          <w:rPr>
            <w:szCs w:val="22"/>
            <w:u w:val="single"/>
          </w:rPr>
          <w:delText xml:space="preserve"> </w:delText>
        </w:r>
        <w:r w:rsidRPr="001B4A02">
          <w:rPr>
            <w:szCs w:val="22"/>
            <w:u w:val="single"/>
          </w:rPr>
          <w:delText>12</w:delText>
        </w:r>
        <w:r w:rsidR="00D4194D" w:rsidRPr="001B4A02">
          <w:rPr>
            <w:szCs w:val="22"/>
            <w:u w:val="single"/>
          </w:rPr>
          <w:delText xml:space="preserve"> do 17</w:delText>
        </w:r>
        <w:r w:rsidRPr="001B4A02">
          <w:rPr>
            <w:szCs w:val="22"/>
            <w:u w:val="single"/>
          </w:rPr>
          <w:delText> let s</w:delText>
        </w:r>
        <w:r w:rsidR="000C2348" w:rsidRPr="001B4A02">
          <w:rPr>
            <w:szCs w:val="22"/>
            <w:u w:val="single"/>
          </w:rPr>
          <w:delText> </w:delText>
        </w:r>
        <w:r w:rsidRPr="001B4A02">
          <w:rPr>
            <w:szCs w:val="22"/>
            <w:u w:val="single"/>
          </w:rPr>
          <w:delText>tělesnou hmotností 30 kg</w:delText>
        </w:r>
        <w:r w:rsidR="001D2B8E" w:rsidRPr="001B4A02">
          <w:rPr>
            <w:szCs w:val="22"/>
            <w:u w:val="single"/>
          </w:rPr>
          <w:delText xml:space="preserve"> nebo vyšší</w:delText>
        </w:r>
      </w:del>
    </w:p>
    <w:p w14:paraId="5C88D6A5" w14:textId="77777777" w:rsidR="00C207A7" w:rsidRPr="001B4A02" w:rsidRDefault="00C207A7" w:rsidP="00ED48A3">
      <w:pPr>
        <w:numPr>
          <w:ilvl w:val="12"/>
          <w:numId w:val="0"/>
        </w:numPr>
        <w:ind w:right="-2"/>
        <w:rPr>
          <w:del w:id="11520" w:author="AbbVie1" w:date="2025-05-13T10:11:00Z"/>
        </w:rPr>
      </w:pPr>
    </w:p>
    <w:p w14:paraId="089F5A07" w14:textId="77777777" w:rsidR="00C207A7" w:rsidRPr="001B4A02" w:rsidRDefault="00000000" w:rsidP="00ED48A3">
      <w:pPr>
        <w:numPr>
          <w:ilvl w:val="12"/>
          <w:numId w:val="0"/>
        </w:numPr>
        <w:ind w:right="-2"/>
        <w:rPr>
          <w:del w:id="11521" w:author="AbbVie1" w:date="2025-05-13T10:11:00Z"/>
        </w:rPr>
      </w:pPr>
      <w:del w:id="11522" w:author="AbbVie1" w:date="2025-05-13T10:11:00Z">
        <w:r w:rsidRPr="001B4A02">
          <w:rPr>
            <w:szCs w:val="22"/>
          </w:rPr>
          <w:delText>Doporučené dávkování přípravku Humira je podání úvodní dávky 80</w:delText>
        </w:r>
        <w:r w:rsidR="00874DE1">
          <w:rPr>
            <w:szCs w:val="22"/>
          </w:rPr>
          <w:delText> mg</w:delText>
        </w:r>
        <w:r w:rsidRPr="001B4A02">
          <w:rPr>
            <w:szCs w:val="22"/>
          </w:rPr>
          <w:delText xml:space="preserve"> (</w:delText>
        </w:r>
        <w:r w:rsidR="00D4194D" w:rsidRPr="001B4A02">
          <w:rPr>
            <w:szCs w:val="22"/>
          </w:rPr>
          <w:delText xml:space="preserve">jako </w:delText>
        </w:r>
        <w:r w:rsidRPr="001B4A02">
          <w:rPr>
            <w:szCs w:val="22"/>
          </w:rPr>
          <w:delText>dvě injekce</w:delText>
        </w:r>
        <w:r w:rsidR="00A625E3" w:rsidRPr="001B4A02">
          <w:rPr>
            <w:szCs w:val="22"/>
          </w:rPr>
          <w:delText xml:space="preserve"> 40</w:delText>
        </w:r>
        <w:r w:rsidR="00874DE1">
          <w:rPr>
            <w:szCs w:val="22"/>
          </w:rPr>
          <w:delText> mg</w:delText>
        </w:r>
        <w:r w:rsidRPr="001B4A02">
          <w:rPr>
            <w:szCs w:val="22"/>
          </w:rPr>
          <w:delText xml:space="preserve"> jednou denně) následované dávkou 40</w:delText>
        </w:r>
        <w:r w:rsidR="00874DE1">
          <w:rPr>
            <w:szCs w:val="22"/>
          </w:rPr>
          <w:delText> mg</w:delText>
        </w:r>
        <w:r w:rsidRPr="001B4A02">
          <w:rPr>
            <w:szCs w:val="22"/>
          </w:rPr>
          <w:delText xml:space="preserve"> každý druhý týden</w:delText>
        </w:r>
        <w:r w:rsidR="00F23025" w:rsidRPr="001B4A02">
          <w:rPr>
            <w:szCs w:val="22"/>
          </w:rPr>
          <w:delText xml:space="preserve"> o </w:delText>
        </w:r>
        <w:r w:rsidRPr="001B4A02">
          <w:rPr>
            <w:szCs w:val="22"/>
          </w:rPr>
          <w:delText xml:space="preserve">jeden týden později. </w:delText>
        </w:r>
        <w:r w:rsidR="004F026A" w:rsidRPr="001B4A02">
          <w:rPr>
            <w:szCs w:val="22"/>
          </w:rPr>
          <w:delText xml:space="preserve">Pokud </w:delText>
        </w:r>
        <w:r w:rsidR="000D3314" w:rsidRPr="001B4A02">
          <w:rPr>
            <w:szCs w:val="22"/>
          </w:rPr>
          <w:delText>Vaše</w:delText>
        </w:r>
        <w:r w:rsidR="004F026A" w:rsidRPr="001B4A02">
          <w:rPr>
            <w:szCs w:val="22"/>
          </w:rPr>
          <w:delText xml:space="preserve"> odpověď</w:delText>
        </w:r>
        <w:r w:rsidR="000D3314" w:rsidRPr="001B4A02">
          <w:rPr>
            <w:szCs w:val="22"/>
          </w:rPr>
          <w:delText xml:space="preserve"> </w:delText>
        </w:r>
        <w:r w:rsidR="00A625E3" w:rsidRPr="001B4A02">
          <w:rPr>
            <w:szCs w:val="22"/>
          </w:rPr>
          <w:delText>na léčbu přípravkem Humira 40</w:delText>
        </w:r>
        <w:r w:rsidR="00874DE1">
          <w:rPr>
            <w:szCs w:val="22"/>
          </w:rPr>
          <w:delText> mg</w:delText>
        </w:r>
        <w:r w:rsidR="00A625E3" w:rsidRPr="001B4A02">
          <w:rPr>
            <w:szCs w:val="22"/>
          </w:rPr>
          <w:delText xml:space="preserve"> jednou za dva týdny </w:delText>
        </w:r>
        <w:r w:rsidR="000D3314" w:rsidRPr="001B4A02">
          <w:rPr>
            <w:szCs w:val="22"/>
          </w:rPr>
          <w:delText>není dostatečná</w:delText>
        </w:r>
        <w:r w:rsidR="004F026A" w:rsidRPr="001B4A02">
          <w:rPr>
            <w:szCs w:val="22"/>
          </w:rPr>
          <w:delText xml:space="preserve">, může lékař zvýšit dávkování </w:delText>
        </w:r>
        <w:r w:rsidRPr="001B4A02">
          <w:rPr>
            <w:szCs w:val="22"/>
          </w:rPr>
          <w:delText>na 40</w:delText>
        </w:r>
        <w:r w:rsidR="00874DE1">
          <w:rPr>
            <w:szCs w:val="22"/>
          </w:rPr>
          <w:delText> mg</w:delText>
        </w:r>
        <w:r w:rsidRPr="001B4A02">
          <w:rPr>
            <w:szCs w:val="22"/>
          </w:rPr>
          <w:delText xml:space="preserve"> každý týden</w:delText>
        </w:r>
        <w:r w:rsidR="00A625E3" w:rsidRPr="001B4A02">
          <w:rPr>
            <w:szCs w:val="22"/>
          </w:rPr>
          <w:delText xml:space="preserve"> nebo 80</w:delText>
        </w:r>
        <w:r w:rsidR="00874DE1">
          <w:rPr>
            <w:szCs w:val="22"/>
          </w:rPr>
          <w:delText> mg</w:delText>
        </w:r>
        <w:r w:rsidR="00A625E3" w:rsidRPr="001B4A02">
          <w:rPr>
            <w:szCs w:val="22"/>
          </w:rPr>
          <w:delText xml:space="preserve"> jednou za dva týdny</w:delText>
        </w:r>
        <w:r w:rsidR="000D3314" w:rsidRPr="001B4A02">
          <w:rPr>
            <w:szCs w:val="22"/>
          </w:rPr>
          <w:delText>.</w:delText>
        </w:r>
      </w:del>
    </w:p>
    <w:p w14:paraId="644D691A" w14:textId="77777777" w:rsidR="00C207A7" w:rsidRPr="001B4A02" w:rsidRDefault="00C207A7" w:rsidP="00ED48A3">
      <w:pPr>
        <w:numPr>
          <w:ilvl w:val="12"/>
          <w:numId w:val="0"/>
        </w:numPr>
        <w:ind w:right="-2"/>
        <w:rPr>
          <w:del w:id="11523" w:author="AbbVie1" w:date="2025-05-13T10:11:00Z"/>
        </w:rPr>
      </w:pPr>
    </w:p>
    <w:p w14:paraId="08C5EAE2" w14:textId="77777777" w:rsidR="005A6D66" w:rsidRPr="001B4A02" w:rsidRDefault="00000000" w:rsidP="00ED48A3">
      <w:pPr>
        <w:ind w:left="0" w:firstLine="0"/>
        <w:rPr>
          <w:del w:id="11524" w:author="AbbVie1" w:date="2025-05-13T10:11:00Z"/>
        </w:rPr>
      </w:pPr>
      <w:del w:id="11525" w:author="AbbVie1" w:date="2025-05-13T10:11:00Z">
        <w:r w:rsidRPr="001B4A02">
          <w:rPr>
            <w:szCs w:val="22"/>
          </w:rPr>
          <w:delText>Doporučuje se postižená místa denně omývat antiseptickým přípravkem.</w:delText>
        </w:r>
      </w:del>
    </w:p>
    <w:p w14:paraId="2BD08AD0" w14:textId="77777777" w:rsidR="00155745" w:rsidRPr="001B4A02" w:rsidRDefault="00155745" w:rsidP="00ED48A3">
      <w:pPr>
        <w:ind w:left="0" w:firstLine="0"/>
        <w:rPr>
          <w:del w:id="11526" w:author="AbbVie1" w:date="2025-05-13T10:11:00Z"/>
          <w:u w:val="single"/>
        </w:rPr>
      </w:pPr>
    </w:p>
    <w:p w14:paraId="7A6A1591" w14:textId="77777777" w:rsidR="00E17D4A" w:rsidRPr="001B4A02" w:rsidRDefault="00000000" w:rsidP="00ED48A3">
      <w:pPr>
        <w:ind w:left="0" w:firstLine="0"/>
        <w:rPr>
          <w:del w:id="11527" w:author="AbbVie1" w:date="2025-05-13T10:11:00Z"/>
          <w:u w:val="single"/>
        </w:rPr>
      </w:pPr>
      <w:del w:id="11528" w:author="AbbVie1" w:date="2025-05-13T10:11:00Z">
        <w:r w:rsidRPr="001B4A02">
          <w:rPr>
            <w:u w:val="single"/>
          </w:rPr>
          <w:delText>Dospělí pacienti s Crohnovou chorobou</w:delText>
        </w:r>
      </w:del>
    </w:p>
    <w:p w14:paraId="52CA4ADE" w14:textId="77777777" w:rsidR="00BA2AF8" w:rsidRPr="001B4A02" w:rsidRDefault="00BA2AF8" w:rsidP="00ED48A3">
      <w:pPr>
        <w:ind w:left="0" w:firstLine="0"/>
        <w:rPr>
          <w:del w:id="11529" w:author="AbbVie1" w:date="2025-05-13T10:11:00Z"/>
        </w:rPr>
      </w:pPr>
    </w:p>
    <w:p w14:paraId="35A715C5" w14:textId="77777777" w:rsidR="00073F8F" w:rsidRPr="001B4A02" w:rsidRDefault="00000000" w:rsidP="00ED48A3">
      <w:pPr>
        <w:ind w:left="0" w:firstLine="0"/>
        <w:rPr>
          <w:del w:id="11530" w:author="AbbVie1" w:date="2025-05-13T10:11:00Z"/>
        </w:rPr>
      </w:pPr>
      <w:del w:id="11531" w:author="AbbVie1" w:date="2025-05-13T10:11:00Z">
        <w:r w:rsidRPr="001B4A02">
          <w:delText xml:space="preserve">Obvyklý </w:delText>
        </w:r>
        <w:r w:rsidR="00E65030" w:rsidRPr="001B4A02">
          <w:delText xml:space="preserve">režim </w:delText>
        </w:r>
        <w:r w:rsidR="00946C26" w:rsidRPr="001B4A02">
          <w:delText>dávkování</w:delText>
        </w:r>
        <w:r w:rsidR="0028371E" w:rsidRPr="001B4A02">
          <w:delText xml:space="preserve"> u </w:delText>
        </w:r>
        <w:r w:rsidRPr="001B4A02">
          <w:delText xml:space="preserve">Crohnovy choroby je </w:delText>
        </w:r>
        <w:r w:rsidR="00702AEB" w:rsidRPr="001B4A02">
          <w:delText>podání úvodní</w:delText>
        </w:r>
        <w:r w:rsidR="00BA2AF8" w:rsidRPr="001B4A02">
          <w:delText xml:space="preserve"> </w:delText>
        </w:r>
        <w:r w:rsidRPr="001B4A02">
          <w:delText>dávky 80</w:delText>
        </w:r>
        <w:r w:rsidR="00874DE1">
          <w:delText> mg</w:delText>
        </w:r>
        <w:r w:rsidR="00D4194D" w:rsidRPr="001B4A02">
          <w:delText xml:space="preserve"> (jako dvě injekce </w:delText>
        </w:r>
        <w:r w:rsidR="00A625E3" w:rsidRPr="001B4A02">
          <w:delText>40</w:delText>
        </w:r>
        <w:r w:rsidR="009A0443">
          <w:delText> </w:delText>
        </w:r>
        <w:r w:rsidR="00A625E3" w:rsidRPr="001B4A02">
          <w:delText xml:space="preserve">mg </w:delText>
        </w:r>
        <w:r w:rsidR="00D4194D" w:rsidRPr="001B4A02">
          <w:delText>v jednom dni)</w:delText>
        </w:r>
        <w:r w:rsidRPr="001B4A02">
          <w:delText xml:space="preserve"> následované dávkou 40 mg</w:delText>
        </w:r>
        <w:r w:rsidR="00F23025" w:rsidRPr="001B4A02">
          <w:delText xml:space="preserve"> o </w:delText>
        </w:r>
        <w:r w:rsidR="00BA2AF8" w:rsidRPr="001B4A02">
          <w:delText>dva týdny později</w:delText>
        </w:r>
        <w:r w:rsidR="002378E0">
          <w:delText xml:space="preserve"> a </w:delText>
        </w:r>
        <w:r w:rsidR="00BA2AF8" w:rsidRPr="001B4A02">
          <w:delText xml:space="preserve">poté </w:delText>
        </w:r>
        <w:r w:rsidRPr="001B4A02">
          <w:delText xml:space="preserve">každý druhý týden. </w:delText>
        </w:r>
        <w:r w:rsidR="00BA2AF8" w:rsidRPr="001B4A02">
          <w:delText>Pokud</w:delText>
        </w:r>
        <w:r w:rsidRPr="001B4A02">
          <w:delText xml:space="preserve"> je potřeba rychlejšího nástupu odpovědi na léčbu, může Vám Váš lékař předepsat </w:delText>
        </w:r>
        <w:r w:rsidR="00A35D4D" w:rsidRPr="001B4A02">
          <w:delText>úvodní</w:delText>
        </w:r>
        <w:r w:rsidR="00BA2AF8" w:rsidRPr="001B4A02">
          <w:delText xml:space="preserve"> </w:delText>
        </w:r>
        <w:r w:rsidRPr="001B4A02">
          <w:delText>dávku 160 mg (</w:delText>
        </w:r>
        <w:r w:rsidR="00D4194D" w:rsidRPr="001B4A02">
          <w:delText>jako čtyři</w:delText>
        </w:r>
        <w:r w:rsidRPr="001B4A02">
          <w:delText xml:space="preserve"> injekce </w:delText>
        </w:r>
        <w:r w:rsidR="00A625E3" w:rsidRPr="001B4A02">
          <w:delText>40</w:delText>
        </w:r>
        <w:r w:rsidR="00584C17" w:rsidRPr="001B4A02">
          <w:delText> </w:delText>
        </w:r>
        <w:r w:rsidR="00A625E3" w:rsidRPr="001B4A02">
          <w:delText xml:space="preserve">mg </w:delText>
        </w:r>
        <w:r w:rsidRPr="001B4A02">
          <w:delText xml:space="preserve">v jednom dni nebo </w:delText>
        </w:r>
        <w:r w:rsidR="00D4194D" w:rsidRPr="001B4A02">
          <w:delText>dvě</w:delText>
        </w:r>
        <w:r w:rsidRPr="001B4A02">
          <w:delText xml:space="preserve"> injekce</w:delText>
        </w:r>
        <w:r w:rsidR="00A625E3" w:rsidRPr="001B4A02">
          <w:delText xml:space="preserve"> 40</w:delText>
        </w:r>
        <w:r w:rsidR="00874DE1">
          <w:delText> mg</w:delText>
        </w:r>
        <w:r w:rsidRPr="001B4A02">
          <w:delText xml:space="preserve"> za den ve dvou po sobě </w:delText>
        </w:r>
        <w:r w:rsidR="00FE5873">
          <w:delText xml:space="preserve">jdoucích </w:delText>
        </w:r>
        <w:r w:rsidRPr="001B4A02">
          <w:delText>dnech),</w:delText>
        </w:r>
        <w:r w:rsidR="00BA2AF8" w:rsidRPr="001B4A02">
          <w:delText xml:space="preserve"> po níž</w:delText>
        </w:r>
        <w:r w:rsidRPr="001B4A02">
          <w:delText xml:space="preserve"> </w:delText>
        </w:r>
        <w:r w:rsidR="00BA2AF8" w:rsidRPr="001B4A02">
          <w:delText>následuje</w:delText>
        </w:r>
        <w:r w:rsidR="00F23025" w:rsidRPr="001B4A02">
          <w:delText xml:space="preserve"> o </w:delText>
        </w:r>
        <w:r w:rsidR="00BA2AF8" w:rsidRPr="001B4A02">
          <w:delText>dva týdny později dávka</w:delText>
        </w:r>
        <w:r w:rsidRPr="001B4A02">
          <w:delText xml:space="preserve"> 80 mg</w:delText>
        </w:r>
        <w:r w:rsidR="00D4194D" w:rsidRPr="001B4A02">
          <w:delText xml:space="preserve"> (jako dvě injekce </w:delText>
        </w:r>
        <w:r w:rsidR="00A625E3" w:rsidRPr="001B4A02">
          <w:delText>40</w:delText>
        </w:r>
        <w:r w:rsidR="00874DE1">
          <w:delText> mg</w:delText>
        </w:r>
        <w:r w:rsidR="00A625E3" w:rsidRPr="001B4A02">
          <w:delText xml:space="preserve"> </w:delText>
        </w:r>
        <w:r w:rsidR="00D4194D" w:rsidRPr="001B4A02">
          <w:delText>v jednom dni)</w:delText>
        </w:r>
        <w:r w:rsidR="002378E0">
          <w:delText xml:space="preserve"> a </w:delText>
        </w:r>
        <w:r w:rsidR="00BA2AF8" w:rsidRPr="001B4A02">
          <w:delText>dále pak</w:delText>
        </w:r>
        <w:r w:rsidRPr="001B4A02">
          <w:delText xml:space="preserve"> 40 mg každý druhý týden.</w:delText>
        </w:r>
        <w:r w:rsidR="000C3781" w:rsidRPr="001B4A02">
          <w:delText xml:space="preserve"> V závislosti na tom, jak budete na léčbu odpovídat, Vám Váš lékař může zvýšit </w:delText>
        </w:r>
        <w:r w:rsidR="00690F45" w:rsidRPr="001B4A02">
          <w:delText xml:space="preserve">dávkování </w:delText>
        </w:r>
        <w:r w:rsidR="000C3781" w:rsidRPr="001B4A02">
          <w:delText>na 40</w:delText>
        </w:r>
        <w:r w:rsidR="00874DE1">
          <w:delText> mg</w:delText>
        </w:r>
        <w:r w:rsidR="000C3781" w:rsidRPr="001B4A02">
          <w:delText xml:space="preserve"> jednou týdně</w:delText>
        </w:r>
        <w:r w:rsidR="00A625E3" w:rsidRPr="001B4A02">
          <w:delText xml:space="preserve"> nebo 80</w:delText>
        </w:r>
        <w:r w:rsidR="00874DE1">
          <w:delText> mg</w:delText>
        </w:r>
        <w:r w:rsidR="00A625E3" w:rsidRPr="001B4A02">
          <w:delText xml:space="preserve"> jednou za dva týdny</w:delText>
        </w:r>
        <w:r w:rsidR="000C3781" w:rsidRPr="001B4A02">
          <w:delText>.</w:delText>
        </w:r>
      </w:del>
    </w:p>
    <w:p w14:paraId="65FAE85A" w14:textId="77777777" w:rsidR="00BA2AF8" w:rsidRPr="001B4A02" w:rsidRDefault="00BA2AF8" w:rsidP="00ED48A3">
      <w:pPr>
        <w:ind w:left="0" w:firstLine="0"/>
        <w:rPr>
          <w:del w:id="11532" w:author="AbbVie1" w:date="2025-05-13T10:11:00Z"/>
          <w:u w:val="single"/>
        </w:rPr>
      </w:pPr>
    </w:p>
    <w:p w14:paraId="65B0B0F7" w14:textId="77777777" w:rsidR="00BA2AF8" w:rsidRPr="001B4A02" w:rsidRDefault="00000000" w:rsidP="000C2348">
      <w:pPr>
        <w:keepNext/>
        <w:ind w:left="0" w:firstLine="0"/>
        <w:rPr>
          <w:del w:id="11533" w:author="AbbVie1" w:date="2025-05-13T10:11:00Z"/>
          <w:u w:val="single"/>
        </w:rPr>
      </w:pPr>
      <w:del w:id="11534" w:author="AbbVie1" w:date="2025-05-13T10:11:00Z">
        <w:r w:rsidRPr="001B4A02">
          <w:rPr>
            <w:u w:val="single"/>
          </w:rPr>
          <w:delText>Děti</w:delText>
        </w:r>
        <w:r w:rsidR="002378E0">
          <w:rPr>
            <w:u w:val="single"/>
          </w:rPr>
          <w:delText xml:space="preserve"> a </w:delText>
        </w:r>
        <w:r w:rsidRPr="001B4A02">
          <w:rPr>
            <w:u w:val="single"/>
          </w:rPr>
          <w:delText>dospívající s Crohnovou chorobou</w:delText>
        </w:r>
      </w:del>
    </w:p>
    <w:p w14:paraId="4681DFA1" w14:textId="77777777" w:rsidR="00BA2AF8" w:rsidRPr="001B4A02" w:rsidRDefault="00BA2AF8" w:rsidP="000C2348">
      <w:pPr>
        <w:keepNext/>
        <w:ind w:left="0" w:firstLine="0"/>
        <w:rPr>
          <w:del w:id="11535" w:author="AbbVie1" w:date="2025-05-13T10:11:00Z"/>
        </w:rPr>
      </w:pPr>
    </w:p>
    <w:p w14:paraId="7F6CEC8A" w14:textId="77777777" w:rsidR="00D4194D" w:rsidRPr="001B4A02" w:rsidRDefault="00000000" w:rsidP="00D4194D">
      <w:pPr>
        <w:keepNext/>
        <w:numPr>
          <w:ilvl w:val="12"/>
          <w:numId w:val="0"/>
        </w:numPr>
        <w:ind w:right="-2"/>
        <w:rPr>
          <w:del w:id="11536" w:author="AbbVie1" w:date="2025-05-13T10:11:00Z"/>
          <w:i/>
        </w:rPr>
      </w:pPr>
      <w:del w:id="11537" w:author="AbbVie1" w:date="2025-05-13T10:11:00Z">
        <w:r w:rsidRPr="001B4A02">
          <w:rPr>
            <w:i/>
          </w:rPr>
          <w:delText>Děti</w:delText>
        </w:r>
        <w:r w:rsidR="002378E0">
          <w:rPr>
            <w:i/>
          </w:rPr>
          <w:delText xml:space="preserve"> a </w:delText>
        </w:r>
        <w:r w:rsidRPr="001B4A02">
          <w:rPr>
            <w:i/>
          </w:rPr>
          <w:delText xml:space="preserve">dospívající od 6 do 17 let s tělesnou hmotností </w:delText>
        </w:r>
        <w:r w:rsidR="00783FD1" w:rsidRPr="001B4A02">
          <w:rPr>
            <w:i/>
          </w:rPr>
          <w:delText>do</w:delText>
        </w:r>
        <w:r w:rsidRPr="001B4A02">
          <w:rPr>
            <w:i/>
          </w:rPr>
          <w:delText xml:space="preserve"> 40 kg</w:delText>
        </w:r>
      </w:del>
    </w:p>
    <w:p w14:paraId="10BB6E29" w14:textId="77777777" w:rsidR="00BA2AF8" w:rsidRPr="001B4A02" w:rsidRDefault="00BA2AF8" w:rsidP="000C2348">
      <w:pPr>
        <w:keepNext/>
        <w:ind w:left="0" w:firstLine="0"/>
        <w:rPr>
          <w:del w:id="11538" w:author="AbbVie1" w:date="2025-05-13T10:11:00Z"/>
        </w:rPr>
      </w:pPr>
    </w:p>
    <w:p w14:paraId="017DD079" w14:textId="77777777" w:rsidR="00BA2AF8" w:rsidRPr="001B4A02" w:rsidRDefault="00000000" w:rsidP="00ED48A3">
      <w:pPr>
        <w:ind w:left="0" w:firstLine="0"/>
        <w:rPr>
          <w:del w:id="11539" w:author="AbbVie1" w:date="2025-05-13T10:11:00Z"/>
        </w:rPr>
      </w:pPr>
      <w:del w:id="11540" w:author="AbbVie1" w:date="2025-05-13T10:11:00Z">
        <w:r w:rsidRPr="001B4A02">
          <w:delText xml:space="preserve">Obvyklý režim dávkování je </w:delText>
        </w:r>
        <w:r w:rsidR="00E65030" w:rsidRPr="001B4A02">
          <w:delText xml:space="preserve">podání úvodní dávky </w:delText>
        </w:r>
        <w:r w:rsidRPr="001B4A02">
          <w:delText>40</w:delText>
        </w:r>
        <w:r w:rsidR="00874DE1">
          <w:delText> mg</w:delText>
        </w:r>
        <w:r w:rsidRPr="001B4A02">
          <w:delText xml:space="preserve"> následované dávkou 20</w:delText>
        </w:r>
        <w:r w:rsidR="00874DE1">
          <w:delText> mg</w:delText>
        </w:r>
        <w:r w:rsidR="00F23025" w:rsidRPr="001B4A02">
          <w:delText xml:space="preserve"> o </w:delText>
        </w:r>
        <w:r w:rsidRPr="001B4A02">
          <w:delText xml:space="preserve">dva týdny později. Pokud je potřeba rychlejší odpovědi, předepíše </w:delText>
        </w:r>
        <w:r w:rsidR="00484021" w:rsidRPr="001B4A02">
          <w:delText xml:space="preserve">Vám </w:delText>
        </w:r>
        <w:r w:rsidR="00006F38" w:rsidRPr="001B4A02">
          <w:delText xml:space="preserve">Váš </w:delText>
        </w:r>
        <w:r w:rsidRPr="001B4A02">
          <w:delText>lékař úvodní dávku 80</w:delText>
        </w:r>
        <w:r w:rsidR="00874DE1">
          <w:delText> mg</w:delText>
        </w:r>
        <w:r w:rsidRPr="001B4A02">
          <w:delText xml:space="preserve"> (jako </w:delText>
        </w:r>
        <w:r w:rsidR="00D4194D" w:rsidRPr="001B4A02">
          <w:delText>dvě</w:delText>
        </w:r>
        <w:r w:rsidRPr="001B4A02">
          <w:delText xml:space="preserve"> injekce </w:delText>
        </w:r>
        <w:r w:rsidR="00A625E3" w:rsidRPr="001B4A02">
          <w:delText>40</w:delText>
        </w:r>
        <w:r w:rsidR="00874DE1">
          <w:delText> mg</w:delText>
        </w:r>
        <w:r w:rsidR="00A625E3" w:rsidRPr="001B4A02">
          <w:delText xml:space="preserve"> </w:delText>
        </w:r>
        <w:r w:rsidRPr="001B4A02">
          <w:delText>v jednom dni) následovanou dávkou 40</w:delText>
        </w:r>
        <w:r w:rsidR="00874DE1">
          <w:delText> mg</w:delText>
        </w:r>
        <w:r w:rsidR="00F23025" w:rsidRPr="001B4A02">
          <w:delText xml:space="preserve"> o </w:delText>
        </w:r>
        <w:r w:rsidRPr="001B4A02">
          <w:delText>dva týdny později.</w:delText>
        </w:r>
      </w:del>
    </w:p>
    <w:p w14:paraId="52B36090" w14:textId="77777777" w:rsidR="00BA2AF8" w:rsidRPr="001B4A02" w:rsidRDefault="00BA2AF8" w:rsidP="00ED48A3">
      <w:pPr>
        <w:ind w:left="0" w:firstLine="0"/>
        <w:rPr>
          <w:del w:id="11541" w:author="AbbVie1" w:date="2025-05-13T10:11:00Z"/>
        </w:rPr>
      </w:pPr>
    </w:p>
    <w:p w14:paraId="468C4D67" w14:textId="77777777" w:rsidR="00BA2AF8" w:rsidRPr="001B4A02" w:rsidRDefault="00000000" w:rsidP="00ED48A3">
      <w:pPr>
        <w:ind w:left="0" w:firstLine="0"/>
        <w:rPr>
          <w:del w:id="11542" w:author="AbbVie1" w:date="2025-05-13T10:11:00Z"/>
        </w:rPr>
      </w:pPr>
      <w:del w:id="11543" w:author="AbbVie1" w:date="2025-05-13T10:11:00Z">
        <w:r w:rsidRPr="001B4A02">
          <w:delText>Následně poté je obvyklá dávka 20</w:delText>
        </w:r>
        <w:r w:rsidR="00874DE1">
          <w:delText> mg</w:delText>
        </w:r>
        <w:r w:rsidRPr="001B4A02">
          <w:delText xml:space="preserve"> každý druhý týden. V závislosti na tom, jak bude</w:delText>
        </w:r>
        <w:r w:rsidR="00006F38" w:rsidRPr="001B4A02">
          <w:delText>te</w:delText>
        </w:r>
        <w:r w:rsidRPr="001B4A02">
          <w:delText xml:space="preserve"> na léčbu odpovídat, mu může lékař zvýšit frekvenci </w:delText>
        </w:r>
        <w:r w:rsidR="00690F45" w:rsidRPr="001B4A02">
          <w:delText xml:space="preserve">dávkování </w:delText>
        </w:r>
        <w:r w:rsidRPr="001B4A02">
          <w:delText>léku až na 20</w:delText>
        </w:r>
        <w:r w:rsidR="00874DE1">
          <w:delText> mg</w:delText>
        </w:r>
        <w:r w:rsidRPr="001B4A02">
          <w:delText xml:space="preserve"> jednou týdně.</w:delText>
        </w:r>
      </w:del>
    </w:p>
    <w:p w14:paraId="0F824C9A" w14:textId="77777777" w:rsidR="00BA2AF8" w:rsidRPr="001B4A02" w:rsidRDefault="00BA2AF8" w:rsidP="00ED48A3">
      <w:pPr>
        <w:ind w:left="0" w:firstLine="0"/>
        <w:rPr>
          <w:del w:id="11544" w:author="AbbVie1" w:date="2025-05-13T10:11:00Z"/>
        </w:rPr>
      </w:pPr>
    </w:p>
    <w:p w14:paraId="14C15DCE" w14:textId="77777777" w:rsidR="00D4194D" w:rsidRPr="001B4A02" w:rsidRDefault="00000000" w:rsidP="00D4194D">
      <w:pPr>
        <w:ind w:left="0" w:firstLine="0"/>
        <w:rPr>
          <w:del w:id="11545" w:author="AbbVie1" w:date="2025-05-13T10:11:00Z"/>
          <w:i/>
          <w:szCs w:val="22"/>
          <w:bdr w:val="nil"/>
        </w:rPr>
      </w:pPr>
      <w:del w:id="11546" w:author="AbbVie1" w:date="2025-05-13T10:11:00Z">
        <w:r w:rsidRPr="001B4A02">
          <w:rPr>
            <w:i/>
          </w:rPr>
          <w:delText>Děti</w:delText>
        </w:r>
        <w:r w:rsidR="002378E0">
          <w:rPr>
            <w:i/>
          </w:rPr>
          <w:delText xml:space="preserve"> a </w:delText>
        </w:r>
        <w:r w:rsidRPr="001B4A02">
          <w:rPr>
            <w:i/>
          </w:rPr>
          <w:delText>dospívající od 6 do 17 let s tělesnou hmotností 40 kg nebo vyšší</w:delText>
        </w:r>
      </w:del>
    </w:p>
    <w:p w14:paraId="5938619B" w14:textId="77777777" w:rsidR="00BA2AF8" w:rsidRPr="001B4A02" w:rsidRDefault="00BA2AF8" w:rsidP="00ED48A3">
      <w:pPr>
        <w:ind w:left="0" w:firstLine="0"/>
        <w:rPr>
          <w:del w:id="11547" w:author="AbbVie1" w:date="2025-05-13T10:11:00Z"/>
          <w:u w:val="single"/>
        </w:rPr>
      </w:pPr>
    </w:p>
    <w:p w14:paraId="630552DF" w14:textId="77777777" w:rsidR="00BA2AF8" w:rsidRPr="001B4A02" w:rsidRDefault="00000000" w:rsidP="00ED48A3">
      <w:pPr>
        <w:ind w:left="0" w:firstLine="0"/>
        <w:rPr>
          <w:del w:id="11548" w:author="AbbVie1" w:date="2025-05-13T10:11:00Z"/>
        </w:rPr>
      </w:pPr>
      <w:del w:id="11549" w:author="AbbVie1" w:date="2025-05-13T10:11:00Z">
        <w:r w:rsidRPr="001B4A02">
          <w:delText xml:space="preserve">Obvyklý režim dávkování je </w:delText>
        </w:r>
        <w:r w:rsidR="00E65030" w:rsidRPr="001B4A02">
          <w:delText xml:space="preserve">podání úvodní dávky </w:delText>
        </w:r>
        <w:r w:rsidRPr="001B4A02">
          <w:delText>80</w:delText>
        </w:r>
        <w:r w:rsidR="00874DE1">
          <w:delText> mg</w:delText>
        </w:r>
        <w:r w:rsidR="0073413B" w:rsidRPr="001B4A02">
          <w:delText xml:space="preserve"> (jako dvě injekce</w:delText>
        </w:r>
        <w:r w:rsidR="00A625E3" w:rsidRPr="001B4A02">
          <w:delText xml:space="preserve"> 40</w:delText>
        </w:r>
        <w:r w:rsidR="00874DE1">
          <w:delText> mg</w:delText>
        </w:r>
        <w:r w:rsidR="0073413B" w:rsidRPr="001B4A02">
          <w:delText xml:space="preserve"> v jednom dni)</w:delText>
        </w:r>
        <w:r w:rsidR="00DF565B" w:rsidRPr="001B4A02">
          <w:delText xml:space="preserve"> následované dávkou 4</w:delText>
        </w:r>
        <w:r w:rsidRPr="001B4A02">
          <w:delText>0</w:delText>
        </w:r>
        <w:r w:rsidR="00874DE1">
          <w:delText> mg</w:delText>
        </w:r>
        <w:r w:rsidR="00F23025" w:rsidRPr="001B4A02">
          <w:delText xml:space="preserve"> o </w:delText>
        </w:r>
        <w:r w:rsidRPr="001B4A02">
          <w:delText xml:space="preserve">dva týdny později. Pokud je potřeba rychlejší odpovědi, předepíše </w:delText>
        </w:r>
        <w:r w:rsidR="00484021" w:rsidRPr="001B4A02">
          <w:delText xml:space="preserve">Vám </w:delText>
        </w:r>
        <w:r w:rsidR="00006F38" w:rsidRPr="001B4A02">
          <w:delText xml:space="preserve">Váš </w:delText>
        </w:r>
        <w:r w:rsidRPr="001B4A02">
          <w:delText>lékař úvodní dávku 160</w:delText>
        </w:r>
        <w:r w:rsidR="00874DE1">
          <w:delText> mg</w:delText>
        </w:r>
        <w:r w:rsidRPr="001B4A02">
          <w:delText xml:space="preserve"> (jako </w:delText>
        </w:r>
        <w:r w:rsidR="0073413B" w:rsidRPr="001B4A02">
          <w:delText>čtyři</w:delText>
        </w:r>
        <w:r w:rsidRPr="001B4A02">
          <w:delText xml:space="preserve"> injekce</w:delText>
        </w:r>
        <w:r w:rsidR="00A625E3" w:rsidRPr="001B4A02">
          <w:delText xml:space="preserve"> 40</w:delText>
        </w:r>
        <w:r w:rsidR="00874DE1">
          <w:delText> mg</w:delText>
        </w:r>
        <w:r w:rsidRPr="001B4A02">
          <w:delText xml:space="preserve"> v jednom dni nebo </w:delText>
        </w:r>
        <w:r w:rsidR="0073413B" w:rsidRPr="001B4A02">
          <w:delText>dvě</w:delText>
        </w:r>
        <w:r w:rsidRPr="001B4A02">
          <w:delText xml:space="preserve"> injekce </w:delText>
        </w:r>
        <w:r w:rsidR="00A625E3" w:rsidRPr="001B4A02">
          <w:delText>40</w:delText>
        </w:r>
        <w:r w:rsidR="00874DE1">
          <w:delText> mg</w:delText>
        </w:r>
        <w:r w:rsidR="00A625E3" w:rsidRPr="001B4A02">
          <w:delText xml:space="preserve"> </w:delText>
        </w:r>
        <w:r w:rsidRPr="001B4A02">
          <w:delText xml:space="preserve">v jednom dni </w:delText>
        </w:r>
        <w:r w:rsidR="00BE457D" w:rsidRPr="001B4A02">
          <w:delText>ve</w:delText>
        </w:r>
        <w:r w:rsidR="00A625E3" w:rsidRPr="001B4A02">
          <w:delText xml:space="preserve"> dvou</w:delText>
        </w:r>
        <w:r w:rsidR="0073413B" w:rsidRPr="001B4A02">
          <w:delText xml:space="preserve"> po sobě </w:delText>
        </w:r>
        <w:r w:rsidR="00FE5873">
          <w:delText xml:space="preserve">jdoucích </w:delText>
        </w:r>
        <w:r w:rsidR="00BE457D" w:rsidRPr="001B4A02">
          <w:delText>dnech</w:delText>
        </w:r>
        <w:r w:rsidRPr="001B4A02">
          <w:delText>) následovanou dávkou 80</w:delText>
        </w:r>
        <w:r w:rsidR="00874DE1">
          <w:delText> mg</w:delText>
        </w:r>
        <w:r w:rsidR="0073413B" w:rsidRPr="001B4A02">
          <w:delText xml:space="preserve"> (jako dvě injekce </w:delText>
        </w:r>
        <w:r w:rsidR="00A625E3" w:rsidRPr="001B4A02">
          <w:delText>40</w:delText>
        </w:r>
        <w:r w:rsidR="00874DE1">
          <w:rPr>
            <w:rStyle w:val="normaltextrun"/>
            <w:shd w:val="clear" w:color="auto" w:fill="FFFFFF"/>
          </w:rPr>
          <w:delText> mg</w:delText>
        </w:r>
        <w:r w:rsidR="00A625E3" w:rsidRPr="001B4A02">
          <w:delText xml:space="preserve"> </w:delText>
        </w:r>
        <w:r w:rsidR="0073413B" w:rsidRPr="001B4A02">
          <w:delText>v jednom dni)</w:delText>
        </w:r>
        <w:r w:rsidR="00F23025" w:rsidRPr="001B4A02">
          <w:delText xml:space="preserve"> o </w:delText>
        </w:r>
        <w:r w:rsidRPr="001B4A02">
          <w:delText>dva týdny později.</w:delText>
        </w:r>
      </w:del>
    </w:p>
    <w:p w14:paraId="5E490D80" w14:textId="77777777" w:rsidR="00BA2AF8" w:rsidRPr="001B4A02" w:rsidRDefault="00BA2AF8" w:rsidP="00ED48A3">
      <w:pPr>
        <w:ind w:left="0" w:firstLine="0"/>
        <w:rPr>
          <w:del w:id="11550" w:author="AbbVie1" w:date="2025-05-13T10:11:00Z"/>
        </w:rPr>
      </w:pPr>
    </w:p>
    <w:p w14:paraId="3397D532" w14:textId="77777777" w:rsidR="00BA2AF8" w:rsidRPr="001B4A02" w:rsidRDefault="00000000" w:rsidP="00ED48A3">
      <w:pPr>
        <w:ind w:left="0" w:firstLine="0"/>
        <w:rPr>
          <w:del w:id="11551" w:author="AbbVie1" w:date="2025-05-13T10:11:00Z"/>
        </w:rPr>
      </w:pPr>
      <w:del w:id="11552" w:author="AbbVie1" w:date="2025-05-13T10:11:00Z">
        <w:r w:rsidRPr="001B4A02">
          <w:delText>Následně poté je obvyklá dávka 40</w:delText>
        </w:r>
        <w:r w:rsidR="00874DE1">
          <w:delText> mg</w:delText>
        </w:r>
        <w:r w:rsidRPr="001B4A02">
          <w:delText xml:space="preserve"> každý druhý týden. V závislosti na tom, jak bude</w:delText>
        </w:r>
        <w:r w:rsidR="00006F38" w:rsidRPr="001B4A02">
          <w:delText>te</w:delText>
        </w:r>
        <w:r w:rsidRPr="001B4A02">
          <w:delText xml:space="preserve"> na léčbu odpovídat, může lékař zvýšit </w:delText>
        </w:r>
        <w:r w:rsidR="00690F45" w:rsidRPr="001B4A02">
          <w:delText xml:space="preserve">dávkování </w:delText>
        </w:r>
        <w:r w:rsidRPr="001B4A02">
          <w:delText>lna 40</w:delText>
        </w:r>
        <w:r w:rsidR="00874DE1">
          <w:delText> mg</w:delText>
        </w:r>
        <w:r w:rsidRPr="001B4A02">
          <w:delText xml:space="preserve"> jednou týdně</w:delText>
        </w:r>
        <w:r w:rsidR="00A625E3" w:rsidRPr="001B4A02">
          <w:delText xml:space="preserve"> nebo 80</w:delText>
        </w:r>
        <w:r w:rsidR="00874DE1">
          <w:delText> mg</w:delText>
        </w:r>
        <w:r w:rsidR="00A625E3" w:rsidRPr="001B4A02">
          <w:delText xml:space="preserve"> jednou za dva týdny</w:delText>
        </w:r>
        <w:r w:rsidRPr="001B4A02">
          <w:delText>.</w:delText>
        </w:r>
      </w:del>
    </w:p>
    <w:p w14:paraId="62DAB601" w14:textId="77777777" w:rsidR="00D23E5C" w:rsidRPr="001B4A02" w:rsidRDefault="00D23E5C" w:rsidP="00ED48A3">
      <w:pPr>
        <w:ind w:left="0" w:firstLine="0"/>
        <w:rPr>
          <w:del w:id="11553" w:author="AbbVie1" w:date="2025-05-13T10:11:00Z"/>
        </w:rPr>
      </w:pPr>
    </w:p>
    <w:p w14:paraId="7B853234" w14:textId="77777777" w:rsidR="00BA2AF8" w:rsidRPr="001B4A02" w:rsidRDefault="00000000" w:rsidP="00ED48A3">
      <w:pPr>
        <w:keepNext/>
        <w:ind w:left="0" w:firstLine="0"/>
        <w:rPr>
          <w:del w:id="11554" w:author="AbbVie1" w:date="2025-05-13T10:11:00Z"/>
          <w:u w:val="single"/>
        </w:rPr>
      </w:pPr>
      <w:del w:id="11555" w:author="AbbVie1" w:date="2025-05-13T10:11:00Z">
        <w:r w:rsidRPr="001B4A02">
          <w:rPr>
            <w:u w:val="single"/>
          </w:rPr>
          <w:delText>Dospělí pacienti s ulcerózní kolitidou</w:delText>
        </w:r>
      </w:del>
    </w:p>
    <w:p w14:paraId="3FE40008" w14:textId="77777777" w:rsidR="00BA2AF8" w:rsidRPr="001B4A02" w:rsidRDefault="00BA2AF8" w:rsidP="00ED48A3">
      <w:pPr>
        <w:keepNext/>
        <w:ind w:left="0" w:firstLine="0"/>
        <w:rPr>
          <w:del w:id="11556" w:author="AbbVie1" w:date="2025-05-13T10:11:00Z"/>
        </w:rPr>
      </w:pPr>
    </w:p>
    <w:p w14:paraId="28E21896" w14:textId="77777777" w:rsidR="00D23E5C" w:rsidRPr="001B4A02" w:rsidRDefault="00000000" w:rsidP="000C2348">
      <w:pPr>
        <w:ind w:left="0" w:firstLine="0"/>
        <w:rPr>
          <w:del w:id="11557" w:author="AbbVie1" w:date="2025-05-13T10:11:00Z"/>
        </w:rPr>
      </w:pPr>
      <w:del w:id="11558" w:author="AbbVie1" w:date="2025-05-13T10:11:00Z">
        <w:r w:rsidRPr="001B4A02">
          <w:delText>Obvyklá dávka přípravku</w:delText>
        </w:r>
        <w:r w:rsidR="0028371E" w:rsidRPr="001B4A02">
          <w:delText xml:space="preserve"> u </w:delText>
        </w:r>
        <w:r w:rsidRPr="001B4A02">
          <w:delText>dospělých s </w:delText>
        </w:r>
        <w:r w:rsidR="008177B2" w:rsidRPr="001B4A02">
          <w:delText>ulcerózní</w:delText>
        </w:r>
        <w:r w:rsidRPr="001B4A02">
          <w:delText xml:space="preserve"> kolitidou je 160</w:delText>
        </w:r>
        <w:r w:rsidR="00874DE1">
          <w:delText> mg</w:delText>
        </w:r>
        <w:r w:rsidR="0073413B" w:rsidRPr="001B4A02">
          <w:delText xml:space="preserve"> (jako čtyři injekce</w:delText>
        </w:r>
        <w:r w:rsidR="00A625E3" w:rsidRPr="001B4A02">
          <w:delText xml:space="preserve"> 40</w:delText>
        </w:r>
        <w:r w:rsidR="00874DE1">
          <w:delText> mg</w:delText>
        </w:r>
        <w:r w:rsidR="0073413B" w:rsidRPr="001B4A02">
          <w:delText xml:space="preserve"> v jedn</w:delText>
        </w:r>
        <w:r w:rsidR="00BE457D" w:rsidRPr="001B4A02">
          <w:delText>om dni nebo dvě injekce</w:delText>
        </w:r>
        <w:r w:rsidR="00A625E3" w:rsidRPr="001B4A02">
          <w:delText xml:space="preserve"> 40</w:delText>
        </w:r>
        <w:r w:rsidR="00874DE1">
          <w:delText> mg</w:delText>
        </w:r>
        <w:r w:rsidR="00BE457D" w:rsidRPr="001B4A02">
          <w:delText xml:space="preserve"> denně ve dvou po sobě </w:delText>
        </w:r>
        <w:r w:rsidR="00FE5873">
          <w:delText xml:space="preserve">jdoucích </w:delText>
        </w:r>
        <w:r w:rsidR="00BE457D" w:rsidRPr="001B4A02">
          <w:delText>dnech</w:delText>
        </w:r>
        <w:r w:rsidR="0073413B" w:rsidRPr="001B4A02">
          <w:delText>)</w:delText>
        </w:r>
        <w:r w:rsidRPr="001B4A02">
          <w:delText xml:space="preserve"> v úvodní dávce v týdnu 0, po které následuje </w:delText>
        </w:r>
        <w:r w:rsidR="00A01443" w:rsidRPr="001B4A02">
          <w:delText>po</w:delText>
        </w:r>
        <w:r w:rsidRPr="001B4A02">
          <w:delText>užití dávky 80</w:delText>
        </w:r>
        <w:r w:rsidR="00874DE1">
          <w:delText> mg</w:delText>
        </w:r>
        <w:r w:rsidR="00577841" w:rsidRPr="001B4A02">
          <w:delText xml:space="preserve"> (jako dvě injekce</w:delText>
        </w:r>
        <w:r w:rsidR="00A625E3" w:rsidRPr="001B4A02">
          <w:delText xml:space="preserve"> 40</w:delText>
        </w:r>
        <w:r w:rsidR="00874DE1">
          <w:delText> mg</w:delText>
        </w:r>
        <w:r w:rsidR="00577841" w:rsidRPr="001B4A02">
          <w:delText xml:space="preserve"> v jednom dni)</w:delText>
        </w:r>
        <w:r w:rsidRPr="001B4A02">
          <w:delText xml:space="preserve"> v týdnu 2</w:delText>
        </w:r>
        <w:r w:rsidR="002378E0">
          <w:delText xml:space="preserve"> a </w:delText>
        </w:r>
        <w:r w:rsidRPr="001B4A02">
          <w:delText>následně 40</w:delText>
        </w:r>
        <w:r w:rsidR="00874DE1">
          <w:delText> mg</w:delText>
        </w:r>
        <w:r w:rsidRPr="001B4A02">
          <w:delText xml:space="preserve"> každý druhý týden. Podle toho, jak budete na léčbu reagovat</w:delText>
        </w:r>
        <w:r w:rsidR="009142FA" w:rsidRPr="001B4A02">
          <w:delText>,</w:delText>
        </w:r>
        <w:r w:rsidRPr="001B4A02">
          <w:delText xml:space="preserve"> Vám lékař může zvýšit dávkování na 40</w:delText>
        </w:r>
        <w:r w:rsidR="00874DE1">
          <w:delText> mg</w:delText>
        </w:r>
        <w:r w:rsidRPr="001B4A02">
          <w:delText xml:space="preserve"> jednou týdně</w:delText>
        </w:r>
        <w:r w:rsidR="00A625E3" w:rsidRPr="001B4A02">
          <w:delText xml:space="preserve"> nebo 80</w:delText>
        </w:r>
        <w:r w:rsidR="00874DE1">
          <w:delText> mg</w:delText>
        </w:r>
        <w:r w:rsidR="00A625E3" w:rsidRPr="001B4A02">
          <w:delText xml:space="preserve"> jednou za dva týdny</w:delText>
        </w:r>
        <w:r w:rsidRPr="001B4A02">
          <w:delText>.</w:delText>
        </w:r>
      </w:del>
    </w:p>
    <w:p w14:paraId="04D5F8A1" w14:textId="77777777" w:rsidR="00A909D3" w:rsidRDefault="00A909D3" w:rsidP="00A909D3">
      <w:pPr>
        <w:numPr>
          <w:ilvl w:val="12"/>
          <w:numId w:val="0"/>
        </w:numPr>
        <w:ind w:right="-2"/>
        <w:rPr>
          <w:del w:id="11559" w:author="AbbVie1" w:date="2025-05-13T10:11:00Z"/>
          <w:u w:val="single"/>
        </w:rPr>
      </w:pPr>
    </w:p>
    <w:p w14:paraId="1FAFEC91" w14:textId="77777777" w:rsidR="006C2839" w:rsidRPr="00D01607" w:rsidRDefault="00000000" w:rsidP="006C2839">
      <w:pPr>
        <w:numPr>
          <w:ilvl w:val="12"/>
          <w:numId w:val="0"/>
        </w:numPr>
        <w:ind w:right="-2"/>
        <w:rPr>
          <w:del w:id="11560" w:author="AbbVie1" w:date="2025-05-13T10:11:00Z"/>
          <w:u w:val="single"/>
        </w:rPr>
      </w:pPr>
      <w:del w:id="11561" w:author="AbbVie1" w:date="2025-05-13T10:11:00Z">
        <w:r>
          <w:rPr>
            <w:u w:val="single"/>
          </w:rPr>
          <w:delText>Děti</w:delText>
        </w:r>
        <w:r w:rsidR="002378E0">
          <w:rPr>
            <w:u w:val="single"/>
          </w:rPr>
          <w:delText xml:space="preserve"> a </w:delText>
        </w:r>
        <w:r>
          <w:rPr>
            <w:u w:val="single"/>
          </w:rPr>
          <w:delText>dospívající s ulcerózní kolitidou</w:delText>
        </w:r>
      </w:del>
    </w:p>
    <w:p w14:paraId="3B13335E" w14:textId="77777777" w:rsidR="006C2839" w:rsidRPr="00D01607" w:rsidRDefault="006C2839" w:rsidP="006C2839">
      <w:pPr>
        <w:numPr>
          <w:ilvl w:val="12"/>
          <w:numId w:val="0"/>
        </w:numPr>
        <w:ind w:right="-2"/>
        <w:rPr>
          <w:del w:id="11562" w:author="AbbVie1" w:date="2025-05-13T10:11:00Z"/>
        </w:rPr>
      </w:pPr>
    </w:p>
    <w:p w14:paraId="6AA67BEE" w14:textId="77777777" w:rsidR="006C2839" w:rsidRPr="00D01607" w:rsidRDefault="00000000" w:rsidP="006C2839">
      <w:pPr>
        <w:numPr>
          <w:ilvl w:val="12"/>
          <w:numId w:val="0"/>
        </w:numPr>
        <w:ind w:right="-2"/>
        <w:rPr>
          <w:del w:id="11563" w:author="AbbVie1" w:date="2025-05-13T10:11:00Z"/>
          <w:i/>
          <w:iCs/>
        </w:rPr>
      </w:pPr>
      <w:del w:id="11564" w:author="AbbVie1" w:date="2025-05-13T10:11:00Z">
        <w:r>
          <w:rPr>
            <w:i/>
          </w:rPr>
          <w:delText>Děti</w:delText>
        </w:r>
        <w:r w:rsidR="002378E0">
          <w:rPr>
            <w:i/>
          </w:rPr>
          <w:delText xml:space="preserve"> a </w:delText>
        </w:r>
        <w:r>
          <w:rPr>
            <w:i/>
          </w:rPr>
          <w:delText>dospívající od 6 let s</w:delText>
        </w:r>
        <w:r w:rsidR="00BA5CF8">
          <w:rPr>
            <w:i/>
          </w:rPr>
          <w:delText> </w:delText>
        </w:r>
        <w:r>
          <w:rPr>
            <w:i/>
          </w:rPr>
          <w:delText>tělesnou hmotností do 40 kg</w:delText>
        </w:r>
      </w:del>
    </w:p>
    <w:p w14:paraId="0FED510D" w14:textId="77777777" w:rsidR="006C2839" w:rsidRPr="00D01607" w:rsidRDefault="006C2839" w:rsidP="006C2839">
      <w:pPr>
        <w:numPr>
          <w:ilvl w:val="12"/>
          <w:numId w:val="0"/>
        </w:numPr>
        <w:ind w:right="-2"/>
        <w:rPr>
          <w:del w:id="11565" w:author="AbbVie1" w:date="2025-05-13T10:11:00Z"/>
        </w:rPr>
      </w:pPr>
    </w:p>
    <w:p w14:paraId="1E4B0F4E" w14:textId="77777777" w:rsidR="006C2839" w:rsidRPr="00D01607" w:rsidRDefault="00000000" w:rsidP="006C2839">
      <w:pPr>
        <w:numPr>
          <w:ilvl w:val="12"/>
          <w:numId w:val="0"/>
        </w:numPr>
        <w:ind w:right="-2"/>
        <w:rPr>
          <w:del w:id="11566" w:author="AbbVie1" w:date="2025-05-13T10:11:00Z"/>
        </w:rPr>
      </w:pPr>
      <w:del w:id="11567" w:author="AbbVie1" w:date="2025-05-13T10:11:00Z">
        <w:r>
          <w:delText>Obvyklá dávka přípravku Humira je 80</w:delText>
        </w:r>
        <w:r w:rsidR="00874DE1" w:rsidRPr="00005EC2">
          <w:rPr>
            <w:szCs w:val="22"/>
          </w:rPr>
          <w:delText> </w:delText>
        </w:r>
        <w:r>
          <w:delText>mg</w:delText>
        </w:r>
        <w:r w:rsidR="00B76F26" w:rsidRPr="00B76F26">
          <w:delText xml:space="preserve"> </w:delText>
        </w:r>
        <w:r w:rsidR="00B76F26">
          <w:delText>podaných jako úvodní dávka</w:delText>
        </w:r>
        <w:r>
          <w:delText xml:space="preserve"> (jako dvě injekce 40</w:delText>
        </w:r>
        <w:r w:rsidR="00874DE1" w:rsidRPr="00005EC2">
          <w:rPr>
            <w:szCs w:val="22"/>
          </w:rPr>
          <w:delText> </w:delText>
        </w:r>
        <w:r>
          <w:delText>mg v jednom dni)</w:delText>
        </w:r>
        <w:r w:rsidRPr="00EC26FD">
          <w:delText xml:space="preserve"> </w:delText>
        </w:r>
        <w:r>
          <w:delText>následovan</w:delText>
        </w:r>
        <w:r w:rsidR="0042706B">
          <w:delText>ých</w:delText>
        </w:r>
        <w:r>
          <w:delText xml:space="preserve"> dávkou 40</w:delText>
        </w:r>
        <w:r w:rsidR="00874DE1" w:rsidRPr="00005EC2">
          <w:rPr>
            <w:szCs w:val="22"/>
          </w:rPr>
          <w:delText> </w:delText>
        </w:r>
        <w:r>
          <w:delText>mg (jako jedna injekce 40</w:delText>
        </w:r>
        <w:r w:rsidR="00874DE1" w:rsidRPr="00005EC2">
          <w:rPr>
            <w:szCs w:val="22"/>
          </w:rPr>
          <w:delText> </w:delText>
        </w:r>
        <w:r>
          <w:delText>mg) o dva týdny později. Poté se podává obvyklá dávka 40</w:delText>
        </w:r>
        <w:r w:rsidR="00874DE1" w:rsidRPr="00005EC2">
          <w:rPr>
            <w:szCs w:val="22"/>
          </w:rPr>
          <w:delText> </w:delText>
        </w:r>
        <w:r>
          <w:delText xml:space="preserve">mg jednou za dva týdny. </w:delText>
        </w:r>
      </w:del>
    </w:p>
    <w:p w14:paraId="4096E3ED" w14:textId="77777777" w:rsidR="006C2839" w:rsidRPr="00D01607" w:rsidRDefault="006C2839" w:rsidP="006C2839">
      <w:pPr>
        <w:numPr>
          <w:ilvl w:val="12"/>
          <w:numId w:val="0"/>
        </w:numPr>
        <w:ind w:right="-2"/>
        <w:rPr>
          <w:del w:id="11568" w:author="AbbVie1" w:date="2025-05-13T10:11:00Z"/>
        </w:rPr>
      </w:pPr>
    </w:p>
    <w:p w14:paraId="77B2C499" w14:textId="77777777" w:rsidR="006C2839" w:rsidRPr="00D01607" w:rsidRDefault="00000000" w:rsidP="006C2839">
      <w:pPr>
        <w:numPr>
          <w:ilvl w:val="12"/>
          <w:numId w:val="0"/>
        </w:numPr>
        <w:ind w:right="-2"/>
        <w:rPr>
          <w:del w:id="11569" w:author="AbbVie1" w:date="2025-05-13T10:11:00Z"/>
        </w:rPr>
      </w:pPr>
      <w:del w:id="11570" w:author="AbbVie1" w:date="2025-05-13T10:11:00Z">
        <w:r>
          <w:delText>Pacienti, kteří dosáhnou 18 let</w:delText>
        </w:r>
        <w:r w:rsidR="002378E0">
          <w:delText xml:space="preserve"> a </w:delText>
        </w:r>
        <w:r w:rsidR="0042706B">
          <w:delText>po</w:delText>
        </w:r>
        <w:r>
          <w:delText>užívají 40</w:delText>
        </w:r>
        <w:r w:rsidR="00874DE1" w:rsidRPr="00005EC2">
          <w:rPr>
            <w:szCs w:val="22"/>
          </w:rPr>
          <w:delText> </w:delText>
        </w:r>
        <w:r>
          <w:delText>mg jednou za dva týdny, by měli pokračovat v </w:delText>
        </w:r>
        <w:r w:rsidR="0042706B">
          <w:delText>po</w:delText>
        </w:r>
        <w:r>
          <w:delText>užívání předepsané dávky.</w:delText>
        </w:r>
      </w:del>
    </w:p>
    <w:p w14:paraId="202D290E" w14:textId="77777777" w:rsidR="006C2839" w:rsidRPr="00D01607" w:rsidRDefault="006C2839" w:rsidP="006C2839">
      <w:pPr>
        <w:numPr>
          <w:ilvl w:val="12"/>
          <w:numId w:val="0"/>
        </w:numPr>
        <w:ind w:right="-2"/>
        <w:rPr>
          <w:del w:id="11571" w:author="AbbVie1" w:date="2025-05-13T10:11:00Z"/>
        </w:rPr>
      </w:pPr>
    </w:p>
    <w:p w14:paraId="7F8CC125" w14:textId="77777777" w:rsidR="006C2839" w:rsidRPr="00D01607" w:rsidRDefault="00000000" w:rsidP="00970906">
      <w:pPr>
        <w:keepNext/>
        <w:numPr>
          <w:ilvl w:val="12"/>
          <w:numId w:val="0"/>
        </w:numPr>
        <w:ind w:right="-2"/>
        <w:rPr>
          <w:del w:id="11572" w:author="AbbVie1" w:date="2025-05-13T10:11:00Z"/>
          <w:i/>
          <w:iCs/>
        </w:rPr>
      </w:pPr>
      <w:del w:id="11573" w:author="AbbVie1" w:date="2025-05-13T10:11:00Z">
        <w:r>
          <w:rPr>
            <w:i/>
          </w:rPr>
          <w:delText>Děti</w:delText>
        </w:r>
        <w:r w:rsidR="002378E0">
          <w:rPr>
            <w:i/>
          </w:rPr>
          <w:delText xml:space="preserve"> a </w:delText>
        </w:r>
        <w:r>
          <w:rPr>
            <w:i/>
          </w:rPr>
          <w:delText xml:space="preserve">dospívající od 6 let </w:delText>
        </w:r>
        <w:r w:rsidRPr="00B70F64">
          <w:rPr>
            <w:i/>
          </w:rPr>
          <w:delText>s</w:delText>
        </w:r>
        <w:r w:rsidR="00BA5CF8">
          <w:rPr>
            <w:i/>
          </w:rPr>
          <w:delText> </w:delText>
        </w:r>
        <w:r w:rsidRPr="00B70F64">
          <w:rPr>
            <w:i/>
          </w:rPr>
          <w:delText>tělesnou hmotností 40</w:delText>
        </w:r>
        <w:r>
          <w:rPr>
            <w:i/>
          </w:rPr>
          <w:delText> </w:delText>
        </w:r>
        <w:r w:rsidRPr="00B70F64">
          <w:rPr>
            <w:i/>
          </w:rPr>
          <w:delText>kg nebo vyšší</w:delText>
        </w:r>
      </w:del>
    </w:p>
    <w:p w14:paraId="55DA9815" w14:textId="77777777" w:rsidR="006C2839" w:rsidRPr="00D01607" w:rsidRDefault="006C2839" w:rsidP="006C2839">
      <w:pPr>
        <w:numPr>
          <w:ilvl w:val="12"/>
          <w:numId w:val="0"/>
        </w:numPr>
        <w:ind w:right="-2"/>
        <w:rPr>
          <w:del w:id="11574" w:author="AbbVie1" w:date="2025-05-13T10:11:00Z"/>
          <w:i/>
          <w:iCs/>
        </w:rPr>
      </w:pPr>
    </w:p>
    <w:p w14:paraId="3E095058" w14:textId="77777777" w:rsidR="006C2839" w:rsidRPr="00D01607" w:rsidRDefault="00000000" w:rsidP="006C2839">
      <w:pPr>
        <w:numPr>
          <w:ilvl w:val="12"/>
          <w:numId w:val="0"/>
        </w:numPr>
        <w:ind w:right="-2"/>
        <w:rPr>
          <w:del w:id="11575" w:author="AbbVie1" w:date="2025-05-13T10:11:00Z"/>
        </w:rPr>
      </w:pPr>
      <w:del w:id="11576" w:author="AbbVie1" w:date="2025-05-13T10:11:00Z">
        <w:r>
          <w:delText>Obvyklá dávka přípravku Humira je 160</w:delText>
        </w:r>
        <w:r w:rsidR="00874DE1" w:rsidRPr="00005EC2">
          <w:rPr>
            <w:szCs w:val="22"/>
          </w:rPr>
          <w:delText> </w:delText>
        </w:r>
        <w:r>
          <w:delText xml:space="preserve">mg </w:delText>
        </w:r>
        <w:r w:rsidR="00B76F26">
          <w:delText xml:space="preserve">podaných jako úvodní dávka </w:delText>
        </w:r>
        <w:r>
          <w:delText>(jako čtyři injekce 40</w:delText>
        </w:r>
        <w:r w:rsidR="00874DE1" w:rsidRPr="00005EC2">
          <w:rPr>
            <w:szCs w:val="22"/>
          </w:rPr>
          <w:delText> </w:delText>
        </w:r>
        <w:r>
          <w:delText>mg v</w:delText>
        </w:r>
        <w:r w:rsidR="00BA5CF8">
          <w:delText> </w:delText>
        </w:r>
        <w:r>
          <w:delText>jednom dni nebo dvě injekce 40</w:delText>
        </w:r>
        <w:r w:rsidR="00874DE1" w:rsidRPr="00005EC2">
          <w:rPr>
            <w:szCs w:val="22"/>
          </w:rPr>
          <w:delText> </w:delText>
        </w:r>
        <w:r>
          <w:delText>mg denně ve dvou po sobě jdoucích dnech) následovan</w:delText>
        </w:r>
        <w:r w:rsidR="0042706B">
          <w:delText>ých</w:delText>
        </w:r>
        <w:r>
          <w:delText xml:space="preserve"> 80</w:delText>
        </w:r>
        <w:r w:rsidR="00874DE1" w:rsidRPr="00005EC2">
          <w:rPr>
            <w:szCs w:val="22"/>
          </w:rPr>
          <w:delText> </w:delText>
        </w:r>
        <w:r>
          <w:delText>mg (jako dvě injekce 40</w:delText>
        </w:r>
        <w:r w:rsidR="00874DE1" w:rsidRPr="00005EC2">
          <w:rPr>
            <w:szCs w:val="22"/>
          </w:rPr>
          <w:delText> </w:delText>
        </w:r>
        <w:r>
          <w:delText>mg jeden den) o dva týdny později. Poté se podává obvyklá dávka 80</w:delText>
        </w:r>
        <w:r w:rsidR="00874DE1" w:rsidRPr="00005EC2">
          <w:rPr>
            <w:szCs w:val="22"/>
          </w:rPr>
          <w:delText> </w:delText>
        </w:r>
        <w:r>
          <w:delText xml:space="preserve">mg jednou za dva týdny. </w:delText>
        </w:r>
      </w:del>
    </w:p>
    <w:p w14:paraId="065C1D55" w14:textId="77777777" w:rsidR="006C2839" w:rsidRPr="00D01607" w:rsidRDefault="006C2839" w:rsidP="006C2839">
      <w:pPr>
        <w:numPr>
          <w:ilvl w:val="12"/>
          <w:numId w:val="0"/>
        </w:numPr>
        <w:ind w:right="-2"/>
        <w:rPr>
          <w:del w:id="11577" w:author="AbbVie1" w:date="2025-05-13T10:11:00Z"/>
        </w:rPr>
      </w:pPr>
    </w:p>
    <w:p w14:paraId="16DE05CC" w14:textId="77777777" w:rsidR="006C2839" w:rsidRDefault="00000000" w:rsidP="006C2839">
      <w:pPr>
        <w:numPr>
          <w:ilvl w:val="12"/>
          <w:numId w:val="0"/>
        </w:numPr>
        <w:ind w:right="-2"/>
        <w:rPr>
          <w:del w:id="11578" w:author="AbbVie1" w:date="2025-05-13T10:11:00Z"/>
          <w:u w:val="single"/>
        </w:rPr>
      </w:pPr>
      <w:del w:id="11579" w:author="AbbVie1" w:date="2025-05-13T10:11:00Z">
        <w:r>
          <w:delText>Pacienti, kteří dosáhnou 18 let</w:delText>
        </w:r>
        <w:r w:rsidR="002378E0">
          <w:delText xml:space="preserve"> a </w:delText>
        </w:r>
        <w:r w:rsidR="0042706B">
          <w:delText>po</w:delText>
        </w:r>
        <w:r>
          <w:delText>užívají 80</w:delText>
        </w:r>
        <w:r w:rsidR="00874DE1" w:rsidRPr="00005EC2">
          <w:rPr>
            <w:szCs w:val="22"/>
          </w:rPr>
          <w:delText> </w:delText>
        </w:r>
        <w:r>
          <w:delText>mg jednou za dva týdny, by měli pokračovat v </w:delText>
        </w:r>
        <w:r w:rsidR="0042706B">
          <w:delText>po</w:delText>
        </w:r>
        <w:r>
          <w:delText>užívání předepsané dávky.</w:delText>
        </w:r>
      </w:del>
    </w:p>
    <w:p w14:paraId="5E911443" w14:textId="77777777" w:rsidR="00D27DBE" w:rsidRDefault="00D27DBE" w:rsidP="00ED48A3">
      <w:pPr>
        <w:numPr>
          <w:ilvl w:val="12"/>
          <w:numId w:val="0"/>
        </w:numPr>
        <w:ind w:right="-2"/>
        <w:rPr>
          <w:del w:id="11580" w:author="AbbVie1" w:date="2025-05-13T10:11:00Z"/>
          <w:u w:val="single"/>
        </w:rPr>
      </w:pPr>
    </w:p>
    <w:p w14:paraId="7EC32E2B" w14:textId="77777777" w:rsidR="002C65B9" w:rsidRPr="001B4A02" w:rsidRDefault="00000000" w:rsidP="00ED48A3">
      <w:pPr>
        <w:numPr>
          <w:ilvl w:val="12"/>
          <w:numId w:val="0"/>
        </w:numPr>
        <w:ind w:right="-2"/>
        <w:rPr>
          <w:del w:id="11581" w:author="AbbVie1" w:date="2025-05-13T10:11:00Z"/>
          <w:u w:val="single"/>
        </w:rPr>
      </w:pPr>
      <w:del w:id="11582" w:author="AbbVie1" w:date="2025-05-13T10:11:00Z">
        <w:r w:rsidRPr="001B4A02">
          <w:rPr>
            <w:u w:val="single"/>
          </w:rPr>
          <w:delText>Dospělí pacienti s</w:delText>
        </w:r>
        <w:r w:rsidR="000C2348" w:rsidRPr="001B4A02">
          <w:rPr>
            <w:u w:val="single"/>
          </w:rPr>
          <w:delText> </w:delText>
        </w:r>
        <w:r w:rsidRPr="001B4A02">
          <w:rPr>
            <w:u w:val="single"/>
          </w:rPr>
          <w:delText>neinfekční uveitidou</w:delText>
        </w:r>
      </w:del>
    </w:p>
    <w:p w14:paraId="20CF340A" w14:textId="77777777" w:rsidR="002C65B9" w:rsidRPr="001B4A02" w:rsidRDefault="002C65B9" w:rsidP="00ED48A3">
      <w:pPr>
        <w:numPr>
          <w:ilvl w:val="12"/>
          <w:numId w:val="0"/>
        </w:numPr>
        <w:ind w:right="-2"/>
        <w:rPr>
          <w:del w:id="11583" w:author="AbbVie1" w:date="2025-05-13T10:11:00Z"/>
        </w:rPr>
      </w:pPr>
    </w:p>
    <w:p w14:paraId="480C2665" w14:textId="77777777" w:rsidR="002C65B9" w:rsidRPr="001B4A02" w:rsidRDefault="00000000" w:rsidP="00ED48A3">
      <w:pPr>
        <w:numPr>
          <w:ilvl w:val="12"/>
          <w:numId w:val="0"/>
        </w:numPr>
        <w:ind w:right="-2"/>
        <w:rPr>
          <w:del w:id="11584" w:author="AbbVie1" w:date="2025-05-13T10:11:00Z"/>
        </w:rPr>
      </w:pPr>
      <w:del w:id="11585" w:author="AbbVie1" w:date="2025-05-13T10:11:00Z">
        <w:r w:rsidRPr="001B4A02">
          <w:delText>Obvyklá dávka přípravku</w:delText>
        </w:r>
        <w:r w:rsidR="0028371E" w:rsidRPr="001B4A02">
          <w:delText xml:space="preserve"> u </w:delText>
        </w:r>
        <w:r w:rsidRPr="001B4A02">
          <w:delText>dospělých s neinfekční uveitidou je 80</w:delText>
        </w:r>
        <w:r w:rsidR="00874DE1">
          <w:delText> mg</w:delText>
        </w:r>
        <w:r w:rsidR="00577841" w:rsidRPr="001B4A02">
          <w:delText xml:space="preserve"> (jako dvě injekce v jednom dni)</w:delText>
        </w:r>
        <w:r w:rsidRPr="001B4A02">
          <w:delText xml:space="preserve"> v úvodní dávce následovaných dávkou 40</w:delText>
        </w:r>
        <w:r w:rsidR="00874DE1">
          <w:delText> mg</w:delText>
        </w:r>
        <w:r w:rsidRPr="001B4A02">
          <w:delText xml:space="preserve"> jednou za dva týdny, počínaje jedn</w:delText>
        </w:r>
        <w:r w:rsidR="00032F16" w:rsidRPr="001B4A02">
          <w:delText>ím</w:delText>
        </w:r>
        <w:r w:rsidRPr="001B4A02">
          <w:delText xml:space="preserve"> týdn</w:delText>
        </w:r>
        <w:r w:rsidR="00032F16" w:rsidRPr="001B4A02">
          <w:delText>em</w:delText>
        </w:r>
        <w:r w:rsidRPr="001B4A02">
          <w:delText xml:space="preserve"> po podání úvodní dávky. Injekční aplikace přípravku Humira musí pokračovat tak dlouho, jak určí </w:delText>
        </w:r>
        <w:r w:rsidR="00982002" w:rsidRPr="001B4A02">
          <w:delText>V</w:delText>
        </w:r>
        <w:r w:rsidRPr="001B4A02">
          <w:delText>áš lékař.</w:delText>
        </w:r>
      </w:del>
    </w:p>
    <w:p w14:paraId="1529C477" w14:textId="77777777" w:rsidR="002C65B9" w:rsidRPr="001B4A02" w:rsidRDefault="002C65B9" w:rsidP="00ED48A3">
      <w:pPr>
        <w:numPr>
          <w:ilvl w:val="12"/>
          <w:numId w:val="0"/>
        </w:numPr>
        <w:ind w:right="-2"/>
        <w:rPr>
          <w:del w:id="11586" w:author="AbbVie1" w:date="2025-05-13T10:11:00Z"/>
        </w:rPr>
      </w:pPr>
    </w:p>
    <w:p w14:paraId="7E62BF8D" w14:textId="77777777" w:rsidR="002C65B9" w:rsidRPr="001B4A02" w:rsidRDefault="00000000" w:rsidP="00ED48A3">
      <w:pPr>
        <w:numPr>
          <w:ilvl w:val="12"/>
          <w:numId w:val="0"/>
        </w:numPr>
        <w:ind w:right="-2"/>
        <w:rPr>
          <w:del w:id="11587" w:author="AbbVie1" w:date="2025-05-13T10:11:00Z"/>
        </w:rPr>
      </w:pPr>
      <w:del w:id="11588" w:author="AbbVie1" w:date="2025-05-13T10:11:00Z">
        <w:r w:rsidRPr="001B4A02">
          <w:delText>U neinfekční uveitidy se během terapie přípravkem Humira může pokračovat v</w:delText>
        </w:r>
        <w:r w:rsidR="000928E6" w:rsidRPr="001B4A02">
          <w:delText> </w:delText>
        </w:r>
        <w:r w:rsidRPr="001B4A02">
          <w:delText>podávání kortikosteroidů nebo jiných léků ovlivňujících imunitní syst</w:delText>
        </w:r>
        <w:r w:rsidR="004977D4" w:rsidRPr="001B4A02">
          <w:delText>é</w:delText>
        </w:r>
        <w:r w:rsidRPr="001B4A02">
          <w:delText>m. Přípravek Humira se může podávat i samostatně.</w:delText>
        </w:r>
      </w:del>
    </w:p>
    <w:p w14:paraId="2D5B7883" w14:textId="77777777" w:rsidR="001C5DD4" w:rsidRPr="001B4A02" w:rsidRDefault="001C5DD4" w:rsidP="00ED48A3">
      <w:pPr>
        <w:numPr>
          <w:ilvl w:val="12"/>
          <w:numId w:val="0"/>
        </w:numPr>
        <w:ind w:right="-2"/>
        <w:rPr>
          <w:del w:id="11589" w:author="AbbVie1" w:date="2025-05-13T10:11:00Z"/>
        </w:rPr>
      </w:pPr>
    </w:p>
    <w:p w14:paraId="292B0FD6" w14:textId="77777777" w:rsidR="001C5DD4" w:rsidRPr="001B4A02" w:rsidRDefault="00000000" w:rsidP="00BA0A72">
      <w:pPr>
        <w:keepNext/>
        <w:numPr>
          <w:ilvl w:val="12"/>
          <w:numId w:val="0"/>
        </w:numPr>
        <w:tabs>
          <w:tab w:val="left" w:pos="708"/>
        </w:tabs>
        <w:rPr>
          <w:del w:id="11590" w:author="AbbVie1" w:date="2025-05-13T10:11:00Z"/>
          <w:u w:val="single"/>
        </w:rPr>
      </w:pPr>
      <w:del w:id="11591" w:author="AbbVie1" w:date="2025-05-13T10:11:00Z">
        <w:r w:rsidRPr="001B4A02">
          <w:rPr>
            <w:szCs w:val="22"/>
            <w:u w:val="single"/>
          </w:rPr>
          <w:delText>Děti</w:delText>
        </w:r>
        <w:r w:rsidR="002378E0">
          <w:rPr>
            <w:szCs w:val="22"/>
            <w:u w:val="single"/>
          </w:rPr>
          <w:delText xml:space="preserve"> a </w:delText>
        </w:r>
        <w:r w:rsidR="00577841" w:rsidRPr="001B4A02">
          <w:rPr>
            <w:szCs w:val="22"/>
            <w:u w:val="single"/>
          </w:rPr>
          <w:delText xml:space="preserve">dospívající </w:delText>
        </w:r>
        <w:r w:rsidRPr="001B4A02">
          <w:rPr>
            <w:szCs w:val="22"/>
            <w:u w:val="single"/>
          </w:rPr>
          <w:delText>s</w:delText>
        </w:r>
        <w:r w:rsidR="000C2348" w:rsidRPr="001B4A02">
          <w:rPr>
            <w:szCs w:val="22"/>
            <w:u w:val="single"/>
          </w:rPr>
          <w:delText> </w:delText>
        </w:r>
        <w:r w:rsidRPr="001B4A02">
          <w:rPr>
            <w:szCs w:val="22"/>
            <w:u w:val="single"/>
          </w:rPr>
          <w:delText>chronickou neinfekční uveitidou od 2 let</w:delText>
        </w:r>
      </w:del>
    </w:p>
    <w:p w14:paraId="740B3AD6" w14:textId="77777777" w:rsidR="001C5DD4" w:rsidRPr="001B4A02" w:rsidRDefault="001C5DD4" w:rsidP="00BA0A72">
      <w:pPr>
        <w:keepNext/>
        <w:numPr>
          <w:ilvl w:val="12"/>
          <w:numId w:val="0"/>
        </w:numPr>
        <w:tabs>
          <w:tab w:val="left" w:pos="708"/>
        </w:tabs>
        <w:rPr>
          <w:del w:id="11592" w:author="AbbVie1" w:date="2025-05-13T10:11:00Z"/>
        </w:rPr>
      </w:pPr>
    </w:p>
    <w:p w14:paraId="6DDD297D" w14:textId="77777777" w:rsidR="00577841" w:rsidRPr="001B4A02" w:rsidRDefault="00000000" w:rsidP="00577841">
      <w:pPr>
        <w:numPr>
          <w:ilvl w:val="12"/>
          <w:numId w:val="0"/>
        </w:numPr>
        <w:tabs>
          <w:tab w:val="left" w:pos="708"/>
        </w:tabs>
        <w:ind w:right="-2"/>
        <w:rPr>
          <w:del w:id="11593" w:author="AbbVie1" w:date="2025-05-13T10:11:00Z"/>
          <w:bCs/>
          <w:i/>
          <w:szCs w:val="22"/>
          <w:u w:val="single"/>
          <w:bdr w:val="nil"/>
        </w:rPr>
      </w:pPr>
      <w:del w:id="11594" w:author="AbbVie1" w:date="2025-05-13T10:11:00Z">
        <w:r w:rsidRPr="001B4A02">
          <w:rPr>
            <w:i/>
          </w:rPr>
          <w:delText>Děti</w:delText>
        </w:r>
        <w:r w:rsidR="002378E0">
          <w:rPr>
            <w:i/>
          </w:rPr>
          <w:delText xml:space="preserve"> a </w:delText>
        </w:r>
        <w:r w:rsidRPr="001B4A02">
          <w:rPr>
            <w:i/>
          </w:rPr>
          <w:delText xml:space="preserve">dospívající </w:delText>
        </w:r>
        <w:r w:rsidR="00E44302" w:rsidRPr="001B4A02">
          <w:rPr>
            <w:i/>
          </w:rPr>
          <w:delText xml:space="preserve">od 2 let </w:delText>
        </w:r>
        <w:r w:rsidRPr="001B4A02">
          <w:rPr>
            <w:i/>
          </w:rPr>
          <w:delText xml:space="preserve">s tělesnou hmotností </w:delText>
        </w:r>
        <w:r w:rsidR="00783FD1" w:rsidRPr="001B4A02">
          <w:rPr>
            <w:i/>
          </w:rPr>
          <w:delText>do</w:delText>
        </w:r>
        <w:r w:rsidRPr="001B4A02">
          <w:rPr>
            <w:i/>
          </w:rPr>
          <w:delText xml:space="preserve"> 30 kg</w:delText>
        </w:r>
        <w:r w:rsidRPr="001B4A02">
          <w:rPr>
            <w:bCs/>
            <w:i/>
            <w:szCs w:val="22"/>
            <w:u w:val="single"/>
          </w:rPr>
          <w:delText xml:space="preserve"> </w:delText>
        </w:r>
      </w:del>
    </w:p>
    <w:p w14:paraId="588D8317" w14:textId="77777777" w:rsidR="001C5DD4" w:rsidRPr="001B4A02" w:rsidRDefault="001C5DD4" w:rsidP="00ED48A3">
      <w:pPr>
        <w:numPr>
          <w:ilvl w:val="12"/>
          <w:numId w:val="0"/>
        </w:numPr>
        <w:tabs>
          <w:tab w:val="left" w:pos="708"/>
        </w:tabs>
        <w:ind w:right="-2"/>
        <w:rPr>
          <w:del w:id="11595" w:author="AbbVie1" w:date="2025-05-13T10:11:00Z"/>
        </w:rPr>
      </w:pPr>
    </w:p>
    <w:p w14:paraId="47EAEBBC" w14:textId="77777777" w:rsidR="001C5DD4" w:rsidRPr="001B4A02" w:rsidRDefault="00000000" w:rsidP="00ED48A3">
      <w:pPr>
        <w:rPr>
          <w:del w:id="11596" w:author="AbbVie1" w:date="2025-05-13T10:11:00Z"/>
        </w:rPr>
      </w:pPr>
      <w:del w:id="11597" w:author="AbbVie1" w:date="2025-05-13T10:11:00Z">
        <w:r w:rsidRPr="001B4A02">
          <w:rPr>
            <w:szCs w:val="22"/>
          </w:rPr>
          <w:delText>Obvyklá dávka přípravku Humira je 20</w:delText>
        </w:r>
        <w:r w:rsidR="00874DE1">
          <w:rPr>
            <w:szCs w:val="22"/>
          </w:rPr>
          <w:delText> mg</w:delText>
        </w:r>
        <w:r w:rsidRPr="001B4A02">
          <w:rPr>
            <w:szCs w:val="22"/>
          </w:rPr>
          <w:delText xml:space="preserve"> každý druhý týden s</w:delText>
        </w:r>
        <w:r w:rsidR="000C2348" w:rsidRPr="001B4A02">
          <w:rPr>
            <w:szCs w:val="22"/>
          </w:rPr>
          <w:delText> </w:delText>
        </w:r>
        <w:r w:rsidRPr="001B4A02">
          <w:rPr>
            <w:szCs w:val="22"/>
          </w:rPr>
          <w:delText>methotrexátem.</w:delText>
        </w:r>
      </w:del>
    </w:p>
    <w:p w14:paraId="1A627818" w14:textId="77777777" w:rsidR="001C5DD4" w:rsidRPr="001B4A02" w:rsidRDefault="001C5DD4" w:rsidP="00ED48A3">
      <w:pPr>
        <w:rPr>
          <w:del w:id="11598" w:author="AbbVie1" w:date="2025-05-13T10:11:00Z"/>
        </w:rPr>
      </w:pPr>
    </w:p>
    <w:p w14:paraId="4EA600AB" w14:textId="77777777" w:rsidR="001C5DD4" w:rsidRPr="001B4A02" w:rsidRDefault="00000000" w:rsidP="00296F56">
      <w:pPr>
        <w:ind w:left="0" w:firstLine="0"/>
        <w:rPr>
          <w:del w:id="11599" w:author="AbbVie1" w:date="2025-05-13T10:11:00Z"/>
          <w:strike/>
        </w:rPr>
      </w:pPr>
      <w:del w:id="11600" w:author="AbbVie1" w:date="2025-05-13T10:11:00Z">
        <w:r w:rsidRPr="001B4A02">
          <w:rPr>
            <w:szCs w:val="22"/>
          </w:rPr>
          <w:delText>Váš lékař může také předepsat úvodní dávku 40</w:delText>
        </w:r>
        <w:r w:rsidR="00874DE1">
          <w:rPr>
            <w:szCs w:val="22"/>
          </w:rPr>
          <w:delText> mg</w:delText>
        </w:r>
        <w:r w:rsidRPr="001B4A02">
          <w:rPr>
            <w:szCs w:val="22"/>
          </w:rPr>
          <w:delText>, která může být podávána jeden týden před zahájením obvyklé</w:delText>
        </w:r>
        <w:r w:rsidR="00D2784C" w:rsidRPr="001B4A02">
          <w:rPr>
            <w:szCs w:val="22"/>
          </w:rPr>
          <w:delText>ho</w:delText>
        </w:r>
        <w:r w:rsidRPr="001B4A02">
          <w:rPr>
            <w:szCs w:val="22"/>
          </w:rPr>
          <w:delText xml:space="preserve"> dávk</w:delText>
        </w:r>
        <w:r w:rsidR="00D2784C" w:rsidRPr="001B4A02">
          <w:rPr>
            <w:szCs w:val="22"/>
          </w:rPr>
          <w:delText>ování</w:delText>
        </w:r>
        <w:r w:rsidRPr="001B4A02">
          <w:rPr>
            <w:szCs w:val="22"/>
          </w:rPr>
          <w:delText>.</w:delText>
        </w:r>
      </w:del>
    </w:p>
    <w:p w14:paraId="517472B1" w14:textId="77777777" w:rsidR="001C5DD4" w:rsidRPr="001B4A02" w:rsidRDefault="001C5DD4" w:rsidP="00ED48A3">
      <w:pPr>
        <w:rPr>
          <w:del w:id="11601" w:author="AbbVie1" w:date="2025-05-13T10:11:00Z"/>
        </w:rPr>
      </w:pPr>
    </w:p>
    <w:p w14:paraId="7B60D095" w14:textId="77777777" w:rsidR="00577841" w:rsidRPr="001B4A02" w:rsidRDefault="00000000" w:rsidP="00577841">
      <w:pPr>
        <w:numPr>
          <w:ilvl w:val="12"/>
          <w:numId w:val="0"/>
        </w:numPr>
        <w:ind w:right="-2"/>
        <w:rPr>
          <w:del w:id="11602" w:author="AbbVie1" w:date="2025-05-13T10:11:00Z"/>
          <w:i/>
        </w:rPr>
      </w:pPr>
      <w:del w:id="11603" w:author="AbbVie1" w:date="2025-05-13T10:11:00Z">
        <w:r w:rsidRPr="001B4A02">
          <w:rPr>
            <w:i/>
          </w:rPr>
          <w:delText>Děti</w:delText>
        </w:r>
        <w:r w:rsidR="002378E0">
          <w:rPr>
            <w:i/>
          </w:rPr>
          <w:delText xml:space="preserve"> a </w:delText>
        </w:r>
        <w:r w:rsidRPr="001B4A02">
          <w:rPr>
            <w:i/>
          </w:rPr>
          <w:delText xml:space="preserve">dospívající </w:delText>
        </w:r>
        <w:r w:rsidR="00E44302" w:rsidRPr="001B4A02">
          <w:rPr>
            <w:i/>
          </w:rPr>
          <w:delText xml:space="preserve">od 2 let </w:delText>
        </w:r>
        <w:r w:rsidRPr="001B4A02">
          <w:rPr>
            <w:i/>
          </w:rPr>
          <w:delText>s tělesnou hmotností 30 kg</w:delText>
        </w:r>
        <w:r w:rsidR="001D2B8E" w:rsidRPr="001B4A02">
          <w:rPr>
            <w:i/>
          </w:rPr>
          <w:delText xml:space="preserve"> nebo vyšší</w:delText>
        </w:r>
      </w:del>
    </w:p>
    <w:p w14:paraId="4C2ECDA1" w14:textId="77777777" w:rsidR="001C5DD4" w:rsidRPr="001B4A02" w:rsidRDefault="001C5DD4" w:rsidP="00ED48A3">
      <w:pPr>
        <w:rPr>
          <w:del w:id="11604" w:author="AbbVie1" w:date="2025-05-13T10:11:00Z"/>
        </w:rPr>
      </w:pPr>
    </w:p>
    <w:p w14:paraId="3A9369BD" w14:textId="77777777" w:rsidR="001C5DD4" w:rsidRPr="001B4A02" w:rsidRDefault="00000000" w:rsidP="00ED48A3">
      <w:pPr>
        <w:rPr>
          <w:del w:id="11605" w:author="AbbVie1" w:date="2025-05-13T10:11:00Z"/>
        </w:rPr>
      </w:pPr>
      <w:del w:id="11606" w:author="AbbVie1" w:date="2025-05-13T10:11:00Z">
        <w:r w:rsidRPr="001B4A02">
          <w:rPr>
            <w:szCs w:val="22"/>
          </w:rPr>
          <w:delText>Obvyklá dávka přípravku Humira je 40 mg každý druhý týden s</w:delText>
        </w:r>
        <w:r w:rsidR="000C2348" w:rsidRPr="001B4A02">
          <w:rPr>
            <w:szCs w:val="22"/>
          </w:rPr>
          <w:delText> </w:delText>
        </w:r>
        <w:r w:rsidRPr="001B4A02">
          <w:rPr>
            <w:szCs w:val="22"/>
          </w:rPr>
          <w:delText>methotrexátem.</w:delText>
        </w:r>
      </w:del>
    </w:p>
    <w:p w14:paraId="444C3FBE" w14:textId="77777777" w:rsidR="001C5DD4" w:rsidRPr="001B4A02" w:rsidRDefault="001C5DD4" w:rsidP="00ED48A3">
      <w:pPr>
        <w:rPr>
          <w:del w:id="11607" w:author="AbbVie1" w:date="2025-05-13T10:11:00Z"/>
        </w:rPr>
      </w:pPr>
    </w:p>
    <w:p w14:paraId="3C362BD3" w14:textId="77777777" w:rsidR="001C5DD4" w:rsidRPr="001B4A02" w:rsidRDefault="00000000" w:rsidP="00296F56">
      <w:pPr>
        <w:numPr>
          <w:ilvl w:val="12"/>
          <w:numId w:val="0"/>
        </w:numPr>
        <w:ind w:right="-2"/>
        <w:rPr>
          <w:del w:id="11608" w:author="AbbVie1" w:date="2025-05-13T10:11:00Z"/>
        </w:rPr>
      </w:pPr>
      <w:del w:id="11609" w:author="AbbVie1" w:date="2025-05-13T10:11:00Z">
        <w:r w:rsidRPr="001B4A02">
          <w:rPr>
            <w:szCs w:val="22"/>
          </w:rPr>
          <w:delText>Váš lékař může také předepsat úvodní dávku 80 mg, která může být podávána jeden týden před zahájením obvyklé</w:delText>
        </w:r>
        <w:r w:rsidR="00D2784C" w:rsidRPr="001B4A02">
          <w:rPr>
            <w:szCs w:val="22"/>
          </w:rPr>
          <w:delText>ho</w:delText>
        </w:r>
        <w:r w:rsidRPr="001B4A02">
          <w:rPr>
            <w:szCs w:val="22"/>
          </w:rPr>
          <w:delText xml:space="preserve"> dávk</w:delText>
        </w:r>
        <w:r w:rsidR="00D2784C" w:rsidRPr="001B4A02">
          <w:rPr>
            <w:szCs w:val="22"/>
          </w:rPr>
          <w:delText>ování</w:delText>
        </w:r>
        <w:r w:rsidRPr="001B4A02">
          <w:rPr>
            <w:szCs w:val="22"/>
          </w:rPr>
          <w:delText>.</w:delText>
        </w:r>
      </w:del>
    </w:p>
    <w:p w14:paraId="053C024A" w14:textId="77777777" w:rsidR="002C65B9" w:rsidRPr="001B4A02" w:rsidRDefault="002C65B9" w:rsidP="00ED48A3">
      <w:pPr>
        <w:ind w:left="0" w:firstLine="0"/>
        <w:rPr>
          <w:del w:id="11610" w:author="AbbVie1" w:date="2025-05-13T10:11:00Z"/>
        </w:rPr>
      </w:pPr>
    </w:p>
    <w:p w14:paraId="6A30930B" w14:textId="77777777" w:rsidR="009A4C02" w:rsidRPr="001B4A02" w:rsidRDefault="00000000" w:rsidP="00ED48A3">
      <w:pPr>
        <w:ind w:left="0" w:firstLine="0"/>
        <w:rPr>
          <w:del w:id="11611" w:author="AbbVie1" w:date="2025-05-13T10:11:00Z"/>
          <w:b/>
        </w:rPr>
      </w:pPr>
      <w:del w:id="11612" w:author="AbbVie1" w:date="2025-05-13T10:11:00Z">
        <w:r w:rsidRPr="001B4A02">
          <w:rPr>
            <w:b/>
          </w:rPr>
          <w:delText>Způsob</w:delText>
        </w:r>
        <w:r w:rsidR="002378E0">
          <w:rPr>
            <w:b/>
          </w:rPr>
          <w:delText xml:space="preserve"> a </w:delText>
        </w:r>
        <w:r w:rsidRPr="001B4A02">
          <w:rPr>
            <w:b/>
          </w:rPr>
          <w:delText>cesta podání</w:delText>
        </w:r>
      </w:del>
    </w:p>
    <w:p w14:paraId="6485F5BE" w14:textId="77777777" w:rsidR="009A4C02" w:rsidRPr="001B4A02" w:rsidRDefault="009A4C02" w:rsidP="00ED48A3">
      <w:pPr>
        <w:ind w:left="0" w:firstLine="0"/>
        <w:rPr>
          <w:del w:id="11613" w:author="AbbVie1" w:date="2025-05-13T10:11:00Z"/>
        </w:rPr>
      </w:pPr>
    </w:p>
    <w:p w14:paraId="023177AF" w14:textId="77777777" w:rsidR="009A4C02" w:rsidRPr="001B4A02" w:rsidRDefault="00000000" w:rsidP="00ED48A3">
      <w:pPr>
        <w:ind w:left="0" w:firstLine="0"/>
        <w:rPr>
          <w:del w:id="11614" w:author="AbbVie1" w:date="2025-05-13T10:11:00Z"/>
        </w:rPr>
      </w:pPr>
      <w:del w:id="11615" w:author="AbbVie1" w:date="2025-05-13T10:11:00Z">
        <w:r w:rsidRPr="001B4A02">
          <w:delText>Přípravek Humira se podává injekčně pod kůži (subkutánní injekcí).</w:delText>
        </w:r>
      </w:del>
    </w:p>
    <w:p w14:paraId="3EC91924" w14:textId="77777777" w:rsidR="009A4C02" w:rsidRPr="001B4A02" w:rsidRDefault="009A4C02" w:rsidP="00ED48A3">
      <w:pPr>
        <w:ind w:left="0" w:firstLine="0"/>
        <w:rPr>
          <w:del w:id="11616" w:author="AbbVie1" w:date="2025-05-13T10:11:00Z"/>
        </w:rPr>
      </w:pPr>
    </w:p>
    <w:p w14:paraId="43D64622" w14:textId="77777777" w:rsidR="00073F8F" w:rsidRPr="001B4A02" w:rsidRDefault="00000000" w:rsidP="00ED48A3">
      <w:pPr>
        <w:ind w:left="0" w:firstLine="0"/>
        <w:rPr>
          <w:del w:id="11617" w:author="AbbVie1" w:date="2025-05-13T10:11:00Z"/>
          <w:b/>
        </w:rPr>
      </w:pPr>
      <w:del w:id="11618" w:author="AbbVie1" w:date="2025-05-13T10:11:00Z">
        <w:r w:rsidRPr="001B4A02">
          <w:rPr>
            <w:b/>
          </w:rPr>
          <w:delText>Návod pro přípravu</w:delText>
        </w:r>
        <w:r w:rsidR="002378E0">
          <w:rPr>
            <w:b/>
          </w:rPr>
          <w:delText xml:space="preserve"> a </w:delText>
        </w:r>
        <w:r w:rsidRPr="001B4A02">
          <w:rPr>
            <w:b/>
          </w:rPr>
          <w:delText>podávání injekce přípravku Humira:</w:delText>
        </w:r>
      </w:del>
    </w:p>
    <w:p w14:paraId="0E4D5ED8" w14:textId="77777777" w:rsidR="00073F8F" w:rsidRPr="001B4A02" w:rsidRDefault="00073F8F" w:rsidP="00ED48A3">
      <w:pPr>
        <w:ind w:left="0" w:firstLine="0"/>
        <w:rPr>
          <w:del w:id="11619" w:author="AbbVie1" w:date="2025-05-13T10:11:00Z"/>
        </w:rPr>
      </w:pPr>
    </w:p>
    <w:p w14:paraId="493C4BCD" w14:textId="77777777" w:rsidR="00073F8F" w:rsidRPr="001B4A02" w:rsidRDefault="00000000" w:rsidP="00ED48A3">
      <w:pPr>
        <w:ind w:left="0" w:firstLine="0"/>
        <w:rPr>
          <w:del w:id="11620" w:author="AbbVie1" w:date="2025-05-13T10:11:00Z"/>
        </w:rPr>
      </w:pPr>
      <w:del w:id="11621" w:author="AbbVie1" w:date="2025-05-13T10:11:00Z">
        <w:r w:rsidRPr="001B4A02">
          <w:delText>V následujících pokynech je vysvětleno, jak máte aplikovat injekci přípravku Humira. Prosíme, přečtěte si pečlivě tyto pokyny</w:delText>
        </w:r>
        <w:r w:rsidR="002378E0">
          <w:delText xml:space="preserve"> a </w:delText>
        </w:r>
        <w:r w:rsidRPr="001B4A02">
          <w:delText xml:space="preserve">přesně je dodržujte. Váš lékař nebo zdravotní sestra </w:delText>
        </w:r>
        <w:r w:rsidR="003A216B" w:rsidRPr="001B4A02">
          <w:delText>V</w:delText>
        </w:r>
        <w:r w:rsidRPr="001B4A02">
          <w:delText>ás poučí</w:delText>
        </w:r>
        <w:r w:rsidR="00AC4D6C" w:rsidRPr="001B4A02">
          <w:delText>,</w:delText>
        </w:r>
        <w:r w:rsidRPr="001B4A02">
          <w:delText xml:space="preserve"> jak si sám (sama) </w:delText>
        </w:r>
        <w:r w:rsidR="00444E8A" w:rsidRPr="001B4A02">
          <w:delText>podat</w:delText>
        </w:r>
        <w:r w:rsidRPr="001B4A02">
          <w:delText xml:space="preserve"> injekci. Nepokoušejte si </w:delText>
        </w:r>
        <w:r w:rsidR="00E91CB6" w:rsidRPr="001B4A02">
          <w:delText>sám (sama)</w:delText>
        </w:r>
        <w:r w:rsidRPr="001B4A02">
          <w:delText xml:space="preserve"> </w:delText>
        </w:r>
        <w:r w:rsidR="00444E8A" w:rsidRPr="001B4A02">
          <w:delText>podat</w:delText>
        </w:r>
        <w:r w:rsidRPr="001B4A02">
          <w:delText xml:space="preserve"> injekci, dokud si nebudete jist</w:delText>
        </w:r>
        <w:r w:rsidR="009E1608" w:rsidRPr="001B4A02">
          <w:delText>ý</w:delText>
        </w:r>
        <w:r w:rsidRPr="001B4A02">
          <w:delText>(</w:delText>
        </w:r>
        <w:r w:rsidR="009E1608" w:rsidRPr="001B4A02">
          <w:delText>á</w:delText>
        </w:r>
        <w:r w:rsidRPr="001B4A02">
          <w:delText>), že jste pochopil(a), jak připravovat</w:delText>
        </w:r>
        <w:r w:rsidR="002378E0">
          <w:delText xml:space="preserve"> a </w:delText>
        </w:r>
        <w:r w:rsidR="00444E8A" w:rsidRPr="001B4A02">
          <w:delText>podat</w:delText>
        </w:r>
        <w:r w:rsidRPr="001B4A02">
          <w:delText xml:space="preserve"> injekci. Po řádném procvičení si můžete injekci </w:delText>
        </w:r>
        <w:r w:rsidR="00444E8A" w:rsidRPr="001B4A02">
          <w:delText>podat</w:delText>
        </w:r>
        <w:r w:rsidRPr="001B4A02">
          <w:delText xml:space="preserve"> sám (sama) nebo to může provádět i jiná osoba, např. člen ro</w:delText>
        </w:r>
        <w:r w:rsidR="00D40A5A">
          <w:delText>diny nebo přítel či přítelkyně.</w:delText>
        </w:r>
      </w:del>
    </w:p>
    <w:p w14:paraId="2934CE51" w14:textId="77777777" w:rsidR="00073F8F" w:rsidRPr="001B4A02" w:rsidRDefault="00073F8F" w:rsidP="00ED48A3">
      <w:pPr>
        <w:ind w:left="0" w:firstLine="0"/>
        <w:rPr>
          <w:del w:id="11622" w:author="AbbVie1" w:date="2025-05-13T10:11:00Z"/>
        </w:rPr>
      </w:pPr>
    </w:p>
    <w:p w14:paraId="69DBC0E8" w14:textId="77777777" w:rsidR="00073F8F" w:rsidRPr="001B4A02" w:rsidRDefault="00000000" w:rsidP="00ED48A3">
      <w:pPr>
        <w:ind w:left="0" w:firstLine="0"/>
        <w:rPr>
          <w:del w:id="11623" w:author="AbbVie1" w:date="2025-05-13T10:11:00Z"/>
        </w:rPr>
      </w:pPr>
      <w:del w:id="11624" w:author="AbbVie1" w:date="2025-05-13T10:11:00Z">
        <w:r w:rsidRPr="001B4A02">
          <w:delText>Injekce se nesmí smíchat s jiným lékem v téže injekční stříkačce nebo lahvičce.</w:delText>
        </w:r>
      </w:del>
    </w:p>
    <w:p w14:paraId="2E846910" w14:textId="77777777" w:rsidR="00073F8F" w:rsidRPr="001B4A02" w:rsidRDefault="00073F8F" w:rsidP="00ED48A3">
      <w:pPr>
        <w:ind w:left="0" w:firstLine="0"/>
        <w:rPr>
          <w:del w:id="11625" w:author="AbbVie1" w:date="2025-05-13T10:11:00Z"/>
        </w:rPr>
      </w:pPr>
    </w:p>
    <w:p w14:paraId="28BF4A0E" w14:textId="77777777" w:rsidR="00073F8F" w:rsidRPr="001B4A02" w:rsidRDefault="00000000" w:rsidP="00ED48A3">
      <w:pPr>
        <w:ind w:left="0" w:firstLine="0"/>
        <w:rPr>
          <w:del w:id="11626" w:author="AbbVie1" w:date="2025-05-13T10:11:00Z"/>
          <w:b/>
        </w:rPr>
      </w:pPr>
      <w:del w:id="11627" w:author="AbbVie1" w:date="2025-05-13T10:11:00Z">
        <w:r w:rsidRPr="001B4A02">
          <w:rPr>
            <w:b/>
          </w:rPr>
          <w:delText>1)</w:delText>
        </w:r>
        <w:r w:rsidRPr="001B4A02">
          <w:rPr>
            <w:b/>
          </w:rPr>
          <w:tab/>
          <w:delText>Příprava</w:delText>
        </w:r>
      </w:del>
    </w:p>
    <w:p w14:paraId="4D88BA40" w14:textId="77777777" w:rsidR="00073F8F" w:rsidRPr="001B4A02" w:rsidRDefault="00073F8F" w:rsidP="00ED48A3">
      <w:pPr>
        <w:pStyle w:val="EndnoteText"/>
        <w:ind w:left="0" w:firstLine="0"/>
        <w:rPr>
          <w:del w:id="11628" w:author="AbbVie1" w:date="2025-05-13T10:11:00Z"/>
          <w:lang w:val="cs-CZ"/>
        </w:rPr>
      </w:pPr>
    </w:p>
    <w:p w14:paraId="115E07D0" w14:textId="77777777" w:rsidR="00073F8F" w:rsidRPr="001B4A02" w:rsidRDefault="00000000" w:rsidP="00ED48A3">
      <w:pPr>
        <w:numPr>
          <w:ilvl w:val="0"/>
          <w:numId w:val="16"/>
        </w:numPr>
        <w:tabs>
          <w:tab w:val="clear" w:pos="720"/>
          <w:tab w:val="num" w:pos="540"/>
        </w:tabs>
        <w:ind w:left="0" w:firstLine="0"/>
        <w:rPr>
          <w:del w:id="11629" w:author="AbbVie1" w:date="2025-05-13T10:11:00Z"/>
        </w:rPr>
      </w:pPr>
      <w:del w:id="11630" w:author="AbbVie1" w:date="2025-05-13T10:11:00Z">
        <w:r w:rsidRPr="001B4A02">
          <w:delText>Pečlivě si umyjte ruce</w:delText>
        </w:r>
      </w:del>
    </w:p>
    <w:p w14:paraId="5F5E72E1" w14:textId="77777777" w:rsidR="00073F8F" w:rsidRPr="001B4A02" w:rsidRDefault="00000000" w:rsidP="00ED48A3">
      <w:pPr>
        <w:numPr>
          <w:ilvl w:val="0"/>
          <w:numId w:val="16"/>
        </w:numPr>
        <w:tabs>
          <w:tab w:val="clear" w:pos="720"/>
          <w:tab w:val="num" w:pos="540"/>
        </w:tabs>
        <w:ind w:left="0" w:firstLine="0"/>
        <w:rPr>
          <w:del w:id="11631" w:author="AbbVie1" w:date="2025-05-13T10:11:00Z"/>
        </w:rPr>
      </w:pPr>
      <w:del w:id="11632" w:author="AbbVie1" w:date="2025-05-13T10:11:00Z">
        <w:r w:rsidRPr="001B4A02">
          <w:delText>Na čistý povrch si připravte následující pomůcky</w:delText>
        </w:r>
      </w:del>
    </w:p>
    <w:p w14:paraId="456A040B" w14:textId="77777777" w:rsidR="00073F8F" w:rsidRPr="001B4A02" w:rsidRDefault="00000000" w:rsidP="00ED48A3">
      <w:pPr>
        <w:numPr>
          <w:ilvl w:val="1"/>
          <w:numId w:val="16"/>
        </w:numPr>
        <w:tabs>
          <w:tab w:val="clear" w:pos="1440"/>
          <w:tab w:val="num" w:pos="1134"/>
        </w:tabs>
        <w:ind w:left="1134" w:hanging="567"/>
        <w:rPr>
          <w:del w:id="11633" w:author="AbbVie1" w:date="2025-05-13T10:11:00Z"/>
        </w:rPr>
      </w:pPr>
      <w:del w:id="11634" w:author="AbbVie1" w:date="2025-05-13T10:11:00Z">
        <w:r w:rsidRPr="001B4A02">
          <w:delText>Jednu předplněnou injekční stříkačku s přípravkem Humira</w:delText>
        </w:r>
      </w:del>
    </w:p>
    <w:p w14:paraId="0F29FFD4" w14:textId="77777777" w:rsidR="00073F8F" w:rsidRPr="001B4A02" w:rsidRDefault="00000000" w:rsidP="00ED48A3">
      <w:pPr>
        <w:numPr>
          <w:ilvl w:val="1"/>
          <w:numId w:val="16"/>
        </w:numPr>
        <w:tabs>
          <w:tab w:val="clear" w:pos="1440"/>
          <w:tab w:val="num" w:pos="1134"/>
        </w:tabs>
        <w:ind w:left="1134" w:hanging="567"/>
        <w:rPr>
          <w:del w:id="11635" w:author="AbbVie1" w:date="2025-05-13T10:11:00Z"/>
        </w:rPr>
      </w:pPr>
      <w:del w:id="11636" w:author="AbbVie1" w:date="2025-05-13T10:11:00Z">
        <w:r w:rsidRPr="001B4A02">
          <w:delText>Jeden tampón s alkoholem</w:delText>
        </w:r>
      </w:del>
    </w:p>
    <w:p w14:paraId="594815B8" w14:textId="77777777" w:rsidR="00073F8F" w:rsidRPr="001B4A02" w:rsidRDefault="00073F8F" w:rsidP="00ED48A3">
      <w:pPr>
        <w:pStyle w:val="EndnoteText"/>
        <w:ind w:left="0" w:firstLine="0"/>
        <w:rPr>
          <w:del w:id="11637" w:author="AbbVie1" w:date="2025-05-13T10:11:00Z"/>
          <w:lang w:val="cs-CZ"/>
        </w:rPr>
      </w:pPr>
    </w:p>
    <w:p w14:paraId="3D762C67" w14:textId="77777777" w:rsidR="000C3781" w:rsidRPr="001B4A02" w:rsidRDefault="00000000" w:rsidP="00ED48A3">
      <w:pPr>
        <w:jc w:val="center"/>
        <w:rPr>
          <w:del w:id="11638" w:author="AbbVie1" w:date="2025-05-13T10:11:00Z"/>
        </w:rPr>
      </w:pPr>
      <w:del w:id="11639" w:author="AbbVie1" w:date="2025-05-13T10:11:00Z">
        <w:r w:rsidRPr="001B4A02">
          <w:rPr>
            <w:noProof/>
            <w:lang w:val="en-US"/>
          </w:rPr>
          <w:drawing>
            <wp:inline distT="0" distB="0" distL="0" distR="0" wp14:anchorId="43DD47A5" wp14:editId="1B126E98">
              <wp:extent cx="2044700" cy="2026920"/>
              <wp:effectExtent l="0" t="0" r="0" b="0"/>
              <wp:docPr id="531" name="obrázek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Picture 531"/>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2044700" cy="2026920"/>
                      </a:xfrm>
                      <a:prstGeom prst="rect">
                        <a:avLst/>
                      </a:prstGeom>
                      <a:noFill/>
                      <a:ln>
                        <a:noFill/>
                      </a:ln>
                    </pic:spPr>
                  </pic:pic>
                </a:graphicData>
              </a:graphic>
            </wp:inline>
          </w:drawing>
        </w:r>
      </w:del>
    </w:p>
    <w:p w14:paraId="79924F38" w14:textId="77777777" w:rsidR="000C3781" w:rsidRPr="001B4A02" w:rsidRDefault="000C3781" w:rsidP="00ED48A3">
      <w:pPr>
        <w:rPr>
          <w:del w:id="11640" w:author="AbbVie1" w:date="2025-05-13T10:11:00Z"/>
        </w:rPr>
      </w:pPr>
    </w:p>
    <w:p w14:paraId="7CF61572" w14:textId="77777777" w:rsidR="00073F8F" w:rsidRPr="001B4A02" w:rsidRDefault="00000000" w:rsidP="00ED48A3">
      <w:pPr>
        <w:pStyle w:val="EndnoteText"/>
        <w:numPr>
          <w:ilvl w:val="0"/>
          <w:numId w:val="17"/>
        </w:numPr>
        <w:tabs>
          <w:tab w:val="clear" w:pos="720"/>
          <w:tab w:val="num" w:pos="567"/>
        </w:tabs>
        <w:ind w:left="567" w:hanging="567"/>
        <w:rPr>
          <w:del w:id="11641" w:author="AbbVie1" w:date="2025-05-13T10:11:00Z"/>
          <w:lang w:val="cs-CZ"/>
        </w:rPr>
      </w:pPr>
      <w:del w:id="11642" w:author="AbbVie1" w:date="2025-05-13T10:11:00Z">
        <w:r w:rsidRPr="001B4A02">
          <w:rPr>
            <w:lang w:val="cs-CZ"/>
          </w:rPr>
          <w:delText>Zkontrolujte datum použitelnosti, které je vytištěné na injekční stříkačce. Nepoužívejte přípravek po uplynutí měsíce</w:delText>
        </w:r>
        <w:r w:rsidR="002378E0">
          <w:rPr>
            <w:lang w:val="cs-CZ"/>
          </w:rPr>
          <w:delText xml:space="preserve"> a </w:delText>
        </w:r>
        <w:r w:rsidRPr="001B4A02">
          <w:rPr>
            <w:lang w:val="cs-CZ"/>
          </w:rPr>
          <w:delText>roku uvedeného na injekční stříkačce.</w:delText>
        </w:r>
      </w:del>
    </w:p>
    <w:p w14:paraId="07A1AB3B" w14:textId="77777777" w:rsidR="00073F8F" w:rsidRPr="001B4A02" w:rsidRDefault="00073F8F" w:rsidP="00ED48A3">
      <w:pPr>
        <w:ind w:left="0" w:firstLine="0"/>
        <w:rPr>
          <w:del w:id="11643" w:author="AbbVie1" w:date="2025-05-13T10:11:00Z"/>
        </w:rPr>
      </w:pPr>
    </w:p>
    <w:p w14:paraId="6032B0CD" w14:textId="77777777" w:rsidR="00073F8F" w:rsidRPr="001B4A02" w:rsidRDefault="00000000" w:rsidP="00BA0A72">
      <w:pPr>
        <w:keepNext/>
        <w:rPr>
          <w:del w:id="11644" w:author="AbbVie1" w:date="2025-05-13T10:11:00Z"/>
          <w:b/>
        </w:rPr>
      </w:pPr>
      <w:del w:id="11645" w:author="AbbVie1" w:date="2025-05-13T10:11:00Z">
        <w:r w:rsidRPr="001B4A02">
          <w:rPr>
            <w:b/>
          </w:rPr>
          <w:delText>2)</w:delText>
        </w:r>
        <w:r w:rsidRPr="001B4A02">
          <w:rPr>
            <w:b/>
          </w:rPr>
          <w:tab/>
          <w:delText>Volba</w:delText>
        </w:r>
        <w:r w:rsidR="002378E0">
          <w:rPr>
            <w:b/>
          </w:rPr>
          <w:delText xml:space="preserve"> a </w:delText>
        </w:r>
        <w:r w:rsidRPr="001B4A02">
          <w:rPr>
            <w:b/>
          </w:rPr>
          <w:delText>příprava místa pro vpich injekce</w:delText>
        </w:r>
      </w:del>
    </w:p>
    <w:p w14:paraId="13B5956C" w14:textId="77777777" w:rsidR="00073F8F" w:rsidRPr="001B4A02" w:rsidRDefault="00073F8F" w:rsidP="00BA0A72">
      <w:pPr>
        <w:keepNext/>
        <w:ind w:left="0" w:firstLine="0"/>
        <w:rPr>
          <w:del w:id="11646" w:author="AbbVie1" w:date="2025-05-13T10:11:00Z"/>
        </w:rPr>
      </w:pPr>
    </w:p>
    <w:p w14:paraId="383207C2" w14:textId="77777777" w:rsidR="00073F8F" w:rsidRPr="001B4A02" w:rsidRDefault="00000000" w:rsidP="00BA0A72">
      <w:pPr>
        <w:keepNext/>
        <w:numPr>
          <w:ilvl w:val="0"/>
          <w:numId w:val="17"/>
        </w:numPr>
        <w:tabs>
          <w:tab w:val="clear" w:pos="720"/>
          <w:tab w:val="num" w:pos="540"/>
        </w:tabs>
        <w:ind w:left="0" w:firstLine="0"/>
        <w:rPr>
          <w:del w:id="11647" w:author="AbbVie1" w:date="2025-05-13T10:11:00Z"/>
        </w:rPr>
      </w:pPr>
      <w:del w:id="11648" w:author="AbbVie1" w:date="2025-05-13T10:11:00Z">
        <w:r w:rsidRPr="001B4A02">
          <w:delText>Vyberte si místo na stehně nebo na břiše.</w:delText>
        </w:r>
      </w:del>
    </w:p>
    <w:p w14:paraId="726067CD" w14:textId="77777777" w:rsidR="00073F8F" w:rsidRPr="001B4A02" w:rsidRDefault="00073F8F" w:rsidP="00BA0A72">
      <w:pPr>
        <w:keepNext/>
        <w:ind w:left="0" w:firstLine="0"/>
        <w:rPr>
          <w:del w:id="11649" w:author="AbbVie1" w:date="2025-05-13T10:11:00Z"/>
        </w:rPr>
      </w:pPr>
    </w:p>
    <w:p w14:paraId="777B2ADD" w14:textId="77777777" w:rsidR="00073F8F" w:rsidRPr="001B4A02" w:rsidRDefault="00000000" w:rsidP="00ED48A3">
      <w:pPr>
        <w:ind w:left="0" w:firstLine="0"/>
        <w:jc w:val="center"/>
        <w:rPr>
          <w:del w:id="11650" w:author="AbbVie1" w:date="2025-05-13T10:11:00Z"/>
          <w:b/>
        </w:rPr>
      </w:pPr>
      <w:del w:id="11651" w:author="AbbVie1" w:date="2025-05-13T10:11:00Z">
        <w:r w:rsidRPr="001B4A02">
          <w:rPr>
            <w:noProof/>
            <w:lang w:val="en-US"/>
          </w:rPr>
          <w:drawing>
            <wp:inline distT="0" distB="0" distL="0" distR="0" wp14:anchorId="2D29750B" wp14:editId="2A7BE6D6">
              <wp:extent cx="2044700" cy="2044700"/>
              <wp:effectExtent l="0" t="0" r="0" b="0"/>
              <wp:docPr id="532" name="obrázek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Picture 532"/>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2044700" cy="2044700"/>
                      </a:xfrm>
                      <a:prstGeom prst="rect">
                        <a:avLst/>
                      </a:prstGeom>
                      <a:noFill/>
                      <a:ln>
                        <a:noFill/>
                      </a:ln>
                    </pic:spPr>
                  </pic:pic>
                </a:graphicData>
              </a:graphic>
            </wp:inline>
          </w:drawing>
        </w:r>
      </w:del>
    </w:p>
    <w:p w14:paraId="4B28692E" w14:textId="77777777" w:rsidR="000C3781" w:rsidRPr="001B4A02" w:rsidRDefault="000C3781" w:rsidP="00ED48A3">
      <w:pPr>
        <w:ind w:left="0" w:firstLine="0"/>
        <w:rPr>
          <w:del w:id="11652" w:author="AbbVie1" w:date="2025-05-13T10:11:00Z"/>
        </w:rPr>
      </w:pPr>
    </w:p>
    <w:p w14:paraId="6857DE27" w14:textId="77777777" w:rsidR="00073F8F" w:rsidRPr="001B4A02" w:rsidRDefault="00000000" w:rsidP="00ED48A3">
      <w:pPr>
        <w:numPr>
          <w:ilvl w:val="0"/>
          <w:numId w:val="17"/>
        </w:numPr>
        <w:tabs>
          <w:tab w:val="clear" w:pos="720"/>
          <w:tab w:val="num" w:pos="540"/>
        </w:tabs>
        <w:ind w:left="0" w:firstLine="0"/>
        <w:rPr>
          <w:del w:id="11653" w:author="AbbVie1" w:date="2025-05-13T10:11:00Z"/>
          <w:b/>
        </w:rPr>
      </w:pPr>
      <w:del w:id="11654" w:author="AbbVie1" w:date="2025-05-13T10:11:00Z">
        <w:r w:rsidRPr="001B4A02">
          <w:delText>Každá nová injekce se má aplikovat ve vzdálenosti nejméně 3 cm od místa posledního vpichu.</w:delText>
        </w:r>
      </w:del>
    </w:p>
    <w:p w14:paraId="0DF27336" w14:textId="77777777" w:rsidR="00073F8F" w:rsidRPr="001B4A02" w:rsidRDefault="00000000" w:rsidP="00ED48A3">
      <w:pPr>
        <w:numPr>
          <w:ilvl w:val="1"/>
          <w:numId w:val="17"/>
        </w:numPr>
        <w:tabs>
          <w:tab w:val="clear" w:pos="1440"/>
          <w:tab w:val="num" w:pos="1134"/>
        </w:tabs>
        <w:ind w:left="1134" w:hanging="567"/>
        <w:rPr>
          <w:del w:id="11655" w:author="AbbVie1" w:date="2025-05-13T10:11:00Z"/>
        </w:rPr>
      </w:pPr>
      <w:del w:id="11656" w:author="AbbVie1" w:date="2025-05-13T10:11:00Z">
        <w:r w:rsidRPr="001B4A02">
          <w:delText>Neaplikujte si injekci do oblasti, kde je kůže zarudlá, kde jsou modřiny nebo je kůže tvrdá. To mohou být známky infekce.</w:delText>
        </w:r>
      </w:del>
    </w:p>
    <w:p w14:paraId="293A8774" w14:textId="77777777" w:rsidR="00073F8F" w:rsidRPr="001B4A02" w:rsidRDefault="00000000" w:rsidP="00ED48A3">
      <w:pPr>
        <w:numPr>
          <w:ilvl w:val="1"/>
          <w:numId w:val="17"/>
        </w:numPr>
        <w:tabs>
          <w:tab w:val="clear" w:pos="1440"/>
          <w:tab w:val="num" w:pos="1134"/>
        </w:tabs>
        <w:ind w:left="1134" w:hanging="567"/>
        <w:rPr>
          <w:del w:id="11657" w:author="AbbVie1" w:date="2025-05-13T10:11:00Z"/>
        </w:rPr>
      </w:pPr>
      <w:del w:id="11658" w:author="AbbVie1" w:date="2025-05-13T10:11:00Z">
        <w:r w:rsidRPr="001B4A02">
          <w:delText>Potřete krouživými pohyby místo vpichu přiloženým tampónem s alkoholem.</w:delText>
        </w:r>
      </w:del>
    </w:p>
    <w:p w14:paraId="456B46C1" w14:textId="77777777" w:rsidR="00073F8F" w:rsidRPr="001B4A02" w:rsidRDefault="00000000" w:rsidP="00ED48A3">
      <w:pPr>
        <w:numPr>
          <w:ilvl w:val="1"/>
          <w:numId w:val="17"/>
        </w:numPr>
        <w:tabs>
          <w:tab w:val="clear" w:pos="1440"/>
          <w:tab w:val="num" w:pos="1134"/>
        </w:tabs>
        <w:ind w:left="1134" w:hanging="567"/>
        <w:rPr>
          <w:del w:id="11659" w:author="AbbVie1" w:date="2025-05-13T10:11:00Z"/>
          <w:b/>
        </w:rPr>
      </w:pPr>
      <w:del w:id="11660" w:author="AbbVie1" w:date="2025-05-13T10:11:00Z">
        <w:r w:rsidRPr="001B4A02">
          <w:delText>Nedotýkejte se místa vpichu před aplikací injekce.</w:delText>
        </w:r>
      </w:del>
    </w:p>
    <w:p w14:paraId="3F863D3E" w14:textId="77777777" w:rsidR="00073F8F" w:rsidRPr="001B4A02" w:rsidRDefault="00073F8F" w:rsidP="00ED48A3">
      <w:pPr>
        <w:ind w:left="0" w:firstLine="0"/>
        <w:rPr>
          <w:del w:id="11661" w:author="AbbVie1" w:date="2025-05-13T10:11:00Z"/>
          <w:b/>
        </w:rPr>
      </w:pPr>
    </w:p>
    <w:p w14:paraId="1BE85947" w14:textId="77777777" w:rsidR="00073F8F" w:rsidRPr="001B4A02" w:rsidRDefault="00000000" w:rsidP="00ED48A3">
      <w:pPr>
        <w:rPr>
          <w:del w:id="11662" w:author="AbbVie1" w:date="2025-05-13T10:11:00Z"/>
          <w:b/>
        </w:rPr>
      </w:pPr>
      <w:del w:id="11663" w:author="AbbVie1" w:date="2025-05-13T10:11:00Z">
        <w:r w:rsidRPr="001B4A02">
          <w:rPr>
            <w:b/>
          </w:rPr>
          <w:delText>3)</w:delText>
        </w:r>
        <w:r w:rsidRPr="001B4A02">
          <w:rPr>
            <w:b/>
          </w:rPr>
          <w:tab/>
          <w:delText>Aplikace injekce přípravku Humira</w:delText>
        </w:r>
      </w:del>
    </w:p>
    <w:p w14:paraId="3BB5C5E5" w14:textId="77777777" w:rsidR="00073F8F" w:rsidRPr="001B4A02" w:rsidRDefault="00073F8F" w:rsidP="00ED48A3">
      <w:pPr>
        <w:rPr>
          <w:del w:id="11664" w:author="AbbVie1" w:date="2025-05-13T10:11:00Z"/>
          <w:b/>
        </w:rPr>
      </w:pPr>
    </w:p>
    <w:p w14:paraId="4775B882" w14:textId="77777777" w:rsidR="00073F8F" w:rsidRPr="001B4A02" w:rsidRDefault="00000000" w:rsidP="00ED48A3">
      <w:pPr>
        <w:pStyle w:val="EndnoteText"/>
        <w:numPr>
          <w:ilvl w:val="2"/>
          <w:numId w:val="17"/>
        </w:numPr>
        <w:tabs>
          <w:tab w:val="clear" w:pos="2160"/>
        </w:tabs>
        <w:ind w:left="567" w:hanging="567"/>
        <w:rPr>
          <w:del w:id="11665" w:author="AbbVie1" w:date="2025-05-13T10:11:00Z"/>
          <w:lang w:val="cs-CZ"/>
        </w:rPr>
      </w:pPr>
      <w:del w:id="11666" w:author="AbbVie1" w:date="2025-05-13T10:11:00Z">
        <w:r w:rsidRPr="001B4A02">
          <w:rPr>
            <w:lang w:val="cs-CZ"/>
          </w:rPr>
          <w:delText>Injekční stříkačkou NETŘEPEJTE.</w:delText>
        </w:r>
      </w:del>
    </w:p>
    <w:p w14:paraId="0A3436A9" w14:textId="77777777" w:rsidR="00073F8F" w:rsidRPr="001B4A02" w:rsidRDefault="00000000" w:rsidP="00ED48A3">
      <w:pPr>
        <w:numPr>
          <w:ilvl w:val="0"/>
          <w:numId w:val="17"/>
        </w:numPr>
        <w:tabs>
          <w:tab w:val="clear" w:pos="720"/>
          <w:tab w:val="num" w:pos="567"/>
        </w:tabs>
        <w:ind w:left="567" w:hanging="567"/>
        <w:rPr>
          <w:del w:id="11667" w:author="AbbVie1" w:date="2025-05-13T10:11:00Z"/>
        </w:rPr>
      </w:pPr>
      <w:del w:id="11668" w:author="AbbVie1" w:date="2025-05-13T10:11:00Z">
        <w:r w:rsidRPr="001B4A02">
          <w:delText>Odstraňte kryt jehly injekční stříkačky. Dávejte pozor, abyste se nedotkl(a) jehly ani se nedotkl</w:delText>
        </w:r>
        <w:r w:rsidR="009142FA" w:rsidRPr="001B4A02">
          <w:delText>(a)</w:delText>
        </w:r>
        <w:r w:rsidRPr="001B4A02">
          <w:delText xml:space="preserve"> jehlou žádného povrchu.</w:delText>
        </w:r>
      </w:del>
    </w:p>
    <w:p w14:paraId="1021A64C" w14:textId="77777777" w:rsidR="00073F8F" w:rsidRPr="001B4A02" w:rsidRDefault="00000000" w:rsidP="00ED48A3">
      <w:pPr>
        <w:numPr>
          <w:ilvl w:val="0"/>
          <w:numId w:val="17"/>
        </w:numPr>
        <w:tabs>
          <w:tab w:val="clear" w:pos="720"/>
          <w:tab w:val="num" w:pos="567"/>
        </w:tabs>
        <w:ind w:left="567" w:hanging="567"/>
        <w:rPr>
          <w:del w:id="11669" w:author="AbbVie1" w:date="2025-05-13T10:11:00Z"/>
        </w:rPr>
      </w:pPr>
      <w:del w:id="11670" w:author="AbbVie1" w:date="2025-05-13T10:11:00Z">
        <w:r w:rsidRPr="001B4A02">
          <w:delText>Jednou rukou jemně uchopte</w:delText>
        </w:r>
        <w:r w:rsidR="002378E0">
          <w:delText xml:space="preserve"> a </w:delText>
        </w:r>
        <w:r w:rsidRPr="001B4A02">
          <w:delText>pevně podržte očištěnou oblast kůže.</w:delText>
        </w:r>
      </w:del>
    </w:p>
    <w:p w14:paraId="75F56E39" w14:textId="77777777" w:rsidR="00073F8F" w:rsidRPr="001B4A02" w:rsidRDefault="00073F8F" w:rsidP="00ED48A3">
      <w:pPr>
        <w:tabs>
          <w:tab w:val="num" w:pos="567"/>
        </w:tabs>
        <w:rPr>
          <w:del w:id="11671" w:author="AbbVie1" w:date="2025-05-13T10:11:00Z"/>
        </w:rPr>
      </w:pPr>
    </w:p>
    <w:p w14:paraId="63927EE2" w14:textId="77777777" w:rsidR="000C3781" w:rsidRPr="001B4A02" w:rsidRDefault="00000000" w:rsidP="00ED48A3">
      <w:pPr>
        <w:jc w:val="center"/>
        <w:rPr>
          <w:del w:id="11672" w:author="AbbVie1" w:date="2025-05-13T10:11:00Z"/>
        </w:rPr>
      </w:pPr>
      <w:del w:id="11673" w:author="AbbVie1" w:date="2025-05-13T10:11:00Z">
        <w:r w:rsidRPr="001B4A02">
          <w:rPr>
            <w:noProof/>
            <w:lang w:val="en-US"/>
          </w:rPr>
          <w:drawing>
            <wp:inline distT="0" distB="0" distL="0" distR="0" wp14:anchorId="6E53704A" wp14:editId="1207AAD7">
              <wp:extent cx="2009775" cy="1984375"/>
              <wp:effectExtent l="0" t="0" r="9525" b="0"/>
              <wp:docPr id="533" name="obrázek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Picture 533"/>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2009775" cy="1984375"/>
                      </a:xfrm>
                      <a:prstGeom prst="rect">
                        <a:avLst/>
                      </a:prstGeom>
                      <a:noFill/>
                      <a:ln>
                        <a:noFill/>
                      </a:ln>
                    </pic:spPr>
                  </pic:pic>
                </a:graphicData>
              </a:graphic>
            </wp:inline>
          </w:drawing>
        </w:r>
      </w:del>
    </w:p>
    <w:p w14:paraId="061A9FD0" w14:textId="77777777" w:rsidR="000C3781" w:rsidRPr="001B4A02" w:rsidRDefault="000C3781" w:rsidP="00ED48A3">
      <w:pPr>
        <w:rPr>
          <w:del w:id="11674" w:author="AbbVie1" w:date="2025-05-13T10:11:00Z"/>
        </w:rPr>
      </w:pPr>
    </w:p>
    <w:p w14:paraId="46719DC4" w14:textId="77777777" w:rsidR="00073F8F" w:rsidRPr="001B4A02" w:rsidRDefault="00000000" w:rsidP="00ED48A3">
      <w:pPr>
        <w:numPr>
          <w:ilvl w:val="0"/>
          <w:numId w:val="17"/>
        </w:numPr>
        <w:tabs>
          <w:tab w:val="clear" w:pos="720"/>
          <w:tab w:val="num" w:pos="567"/>
        </w:tabs>
        <w:ind w:left="567" w:hanging="567"/>
        <w:rPr>
          <w:del w:id="11675" w:author="AbbVie1" w:date="2025-05-13T10:11:00Z"/>
        </w:rPr>
      </w:pPr>
      <w:del w:id="11676" w:author="AbbVie1" w:date="2025-05-13T10:11:00Z">
        <w:r w:rsidRPr="001B4A02">
          <w:delText>Druhou rukou držte stříkačku proti kůži pod úhlem 45°, přičemž rýhovaná strana směřuje vzhůru.</w:delText>
        </w:r>
      </w:del>
    </w:p>
    <w:p w14:paraId="0FBE52AE" w14:textId="77777777" w:rsidR="00073F8F" w:rsidRPr="001B4A02" w:rsidRDefault="00000000" w:rsidP="00ED48A3">
      <w:pPr>
        <w:numPr>
          <w:ilvl w:val="0"/>
          <w:numId w:val="17"/>
        </w:numPr>
        <w:tabs>
          <w:tab w:val="clear" w:pos="720"/>
          <w:tab w:val="num" w:pos="567"/>
        </w:tabs>
        <w:ind w:left="567" w:hanging="567"/>
        <w:rPr>
          <w:del w:id="11677" w:author="AbbVie1" w:date="2025-05-13T10:11:00Z"/>
        </w:rPr>
      </w:pPr>
      <w:del w:id="11678" w:author="AbbVie1" w:date="2025-05-13T10:11:00Z">
        <w:r w:rsidRPr="001B4A02">
          <w:delText>Rychlým</w:delText>
        </w:r>
        <w:r w:rsidR="002378E0">
          <w:delText xml:space="preserve"> a </w:delText>
        </w:r>
        <w:r w:rsidRPr="001B4A02">
          <w:delText>krátkým pohybem vpíchněte jehlu do kůže.</w:delText>
        </w:r>
      </w:del>
    </w:p>
    <w:p w14:paraId="137694F6" w14:textId="77777777" w:rsidR="00073F8F" w:rsidRPr="001B4A02" w:rsidRDefault="00000000" w:rsidP="00ED48A3">
      <w:pPr>
        <w:numPr>
          <w:ilvl w:val="0"/>
          <w:numId w:val="17"/>
        </w:numPr>
        <w:tabs>
          <w:tab w:val="clear" w:pos="720"/>
          <w:tab w:val="num" w:pos="567"/>
        </w:tabs>
        <w:ind w:left="567" w:hanging="567"/>
        <w:rPr>
          <w:del w:id="11679" w:author="AbbVie1" w:date="2025-05-13T10:11:00Z"/>
        </w:rPr>
      </w:pPr>
      <w:del w:id="11680" w:author="AbbVie1" w:date="2025-05-13T10:11:00Z">
        <w:r w:rsidRPr="001B4A02">
          <w:delText>První rukou pusťte kůži.</w:delText>
        </w:r>
      </w:del>
    </w:p>
    <w:p w14:paraId="473D5A3D" w14:textId="77777777" w:rsidR="00073F8F" w:rsidRPr="001B4A02" w:rsidRDefault="00000000" w:rsidP="00ED48A3">
      <w:pPr>
        <w:numPr>
          <w:ilvl w:val="0"/>
          <w:numId w:val="17"/>
        </w:numPr>
        <w:tabs>
          <w:tab w:val="clear" w:pos="720"/>
          <w:tab w:val="num" w:pos="567"/>
        </w:tabs>
        <w:ind w:left="567" w:hanging="567"/>
        <w:rPr>
          <w:del w:id="11681" w:author="AbbVie1" w:date="2025-05-13T10:11:00Z"/>
        </w:rPr>
      </w:pPr>
      <w:del w:id="11682" w:author="AbbVie1" w:date="2025-05-13T10:11:00Z">
        <w:r w:rsidRPr="001B4A02">
          <w:delText>Tlakem na píst aplikujte roztok až do vyprázdnění stříkačky – tento úkon trvá většinou 2 až 5 vteřin.</w:delText>
        </w:r>
      </w:del>
    </w:p>
    <w:p w14:paraId="17BBAAD5" w14:textId="77777777" w:rsidR="00073F8F" w:rsidRPr="001B4A02" w:rsidRDefault="00000000" w:rsidP="00ED48A3">
      <w:pPr>
        <w:numPr>
          <w:ilvl w:val="0"/>
          <w:numId w:val="17"/>
        </w:numPr>
        <w:tabs>
          <w:tab w:val="clear" w:pos="720"/>
          <w:tab w:val="num" w:pos="567"/>
        </w:tabs>
        <w:ind w:left="567" w:hanging="567"/>
        <w:rPr>
          <w:del w:id="11683" w:author="AbbVie1" w:date="2025-05-13T10:11:00Z"/>
        </w:rPr>
      </w:pPr>
      <w:del w:id="11684" w:author="AbbVie1" w:date="2025-05-13T10:11:00Z">
        <w:r w:rsidRPr="001B4A02">
          <w:delText>Když je stříkačka prázdná, vytáhněte jehlu pod stejným úhlem, jako jste ji vpichoval(a).</w:delText>
        </w:r>
      </w:del>
    </w:p>
    <w:p w14:paraId="15956A99" w14:textId="77777777" w:rsidR="00073F8F" w:rsidRPr="001B4A02" w:rsidRDefault="00000000" w:rsidP="00ED48A3">
      <w:pPr>
        <w:numPr>
          <w:ilvl w:val="0"/>
          <w:numId w:val="17"/>
        </w:numPr>
        <w:tabs>
          <w:tab w:val="clear" w:pos="720"/>
          <w:tab w:val="num" w:pos="567"/>
        </w:tabs>
        <w:ind w:left="567" w:hanging="567"/>
        <w:rPr>
          <w:del w:id="11685" w:author="AbbVie1" w:date="2025-05-13T10:11:00Z"/>
        </w:rPr>
      </w:pPr>
      <w:del w:id="11686" w:author="AbbVie1" w:date="2025-05-13T10:11:00Z">
        <w:r w:rsidRPr="001B4A02">
          <w:delText>Přitiskněte palcem nebo kouskem gázy místo injekčního vpichu</w:delText>
        </w:r>
        <w:r w:rsidR="002378E0">
          <w:delText xml:space="preserve"> a </w:delText>
        </w:r>
        <w:r w:rsidRPr="001B4A02">
          <w:delText>držte je stlačené po dobu 10 vteřin. Může se objevit malé krvácení. Netřete místo vpichu. Pokud chcete, můžete místo vpichu zalepit náplastí.</w:delText>
        </w:r>
      </w:del>
    </w:p>
    <w:p w14:paraId="2027326C" w14:textId="77777777" w:rsidR="00073F8F" w:rsidRPr="001B4A02" w:rsidRDefault="00073F8F" w:rsidP="00ED48A3">
      <w:pPr>
        <w:pStyle w:val="EndnoteText"/>
        <w:ind w:left="0" w:firstLine="0"/>
        <w:rPr>
          <w:del w:id="11687" w:author="AbbVie1" w:date="2025-05-13T10:11:00Z"/>
          <w:lang w:val="cs-CZ"/>
        </w:rPr>
      </w:pPr>
    </w:p>
    <w:p w14:paraId="1AC60D9D" w14:textId="77777777" w:rsidR="00073F8F" w:rsidRPr="001B4A02" w:rsidRDefault="00000000" w:rsidP="00ED48A3">
      <w:pPr>
        <w:keepNext/>
        <w:ind w:left="0" w:firstLine="0"/>
        <w:rPr>
          <w:del w:id="11688" w:author="AbbVie1" w:date="2025-05-13T10:11:00Z"/>
          <w:b/>
        </w:rPr>
      </w:pPr>
      <w:del w:id="11689" w:author="AbbVie1" w:date="2025-05-13T10:11:00Z">
        <w:r w:rsidRPr="001B4A02">
          <w:rPr>
            <w:b/>
          </w:rPr>
          <w:delText>4)</w:delText>
        </w:r>
        <w:r w:rsidRPr="001B4A02">
          <w:rPr>
            <w:b/>
          </w:rPr>
          <w:tab/>
          <w:delText>Odstranění pomůcek</w:delText>
        </w:r>
      </w:del>
    </w:p>
    <w:p w14:paraId="3B04F23D" w14:textId="77777777" w:rsidR="00073F8F" w:rsidRPr="001B4A02" w:rsidRDefault="00073F8F" w:rsidP="00ED48A3">
      <w:pPr>
        <w:keepNext/>
        <w:ind w:left="0" w:firstLine="0"/>
        <w:rPr>
          <w:del w:id="11690" w:author="AbbVie1" w:date="2025-05-13T10:11:00Z"/>
        </w:rPr>
      </w:pPr>
    </w:p>
    <w:p w14:paraId="47CDDC76" w14:textId="77777777" w:rsidR="00073F8F" w:rsidRPr="001B4A02" w:rsidRDefault="00000000" w:rsidP="00ED48A3">
      <w:pPr>
        <w:keepNext/>
        <w:numPr>
          <w:ilvl w:val="0"/>
          <w:numId w:val="18"/>
        </w:numPr>
        <w:tabs>
          <w:tab w:val="clear" w:pos="720"/>
          <w:tab w:val="num" w:pos="567"/>
        </w:tabs>
        <w:ind w:left="567" w:hanging="567"/>
        <w:rPr>
          <w:del w:id="11691" w:author="AbbVie1" w:date="2025-05-13T10:11:00Z"/>
        </w:rPr>
      </w:pPr>
      <w:del w:id="11692" w:author="AbbVie1" w:date="2025-05-13T10:11:00Z">
        <w:r w:rsidRPr="001B4A02">
          <w:rPr>
            <w:b/>
          </w:rPr>
          <w:delText>NIKDY</w:delText>
        </w:r>
        <w:r w:rsidRPr="001B4A02">
          <w:delText xml:space="preserve"> nepoužívejte opakovaně stříkačku pro podání přípravku Humira. </w:delText>
        </w:r>
        <w:r w:rsidRPr="001B4A02">
          <w:rPr>
            <w:b/>
          </w:rPr>
          <w:delText>NIKDY</w:delText>
        </w:r>
        <w:r w:rsidRPr="001B4A02">
          <w:delText xml:space="preserve"> nevracejte kryt zpátky na jehlu.</w:delText>
        </w:r>
      </w:del>
    </w:p>
    <w:p w14:paraId="3F8F6D97" w14:textId="77777777" w:rsidR="00073F8F" w:rsidRPr="001B4A02" w:rsidRDefault="00000000" w:rsidP="00ED48A3">
      <w:pPr>
        <w:keepNext/>
        <w:numPr>
          <w:ilvl w:val="0"/>
          <w:numId w:val="18"/>
        </w:numPr>
        <w:tabs>
          <w:tab w:val="clear" w:pos="720"/>
          <w:tab w:val="num" w:pos="567"/>
        </w:tabs>
        <w:ind w:left="567" w:hanging="567"/>
        <w:rPr>
          <w:del w:id="11693" w:author="AbbVie1" w:date="2025-05-13T10:11:00Z"/>
        </w:rPr>
      </w:pPr>
      <w:del w:id="11694" w:author="AbbVie1" w:date="2025-05-13T10:11:00Z">
        <w:r w:rsidRPr="001B4A02">
          <w:delText>Po aplikaci přípravku Humira vyhoďte ihned použitou stříkačku do speciální nádoby podle návodu lékaře, z</w:delText>
        </w:r>
        <w:r w:rsidR="00D40A5A">
          <w:delText>dravotní sestry nebo lékárníka.</w:delText>
        </w:r>
      </w:del>
    </w:p>
    <w:p w14:paraId="7C6C01B5" w14:textId="77777777" w:rsidR="00073F8F" w:rsidRPr="001B4A02" w:rsidRDefault="00000000" w:rsidP="00ED48A3">
      <w:pPr>
        <w:keepNext/>
        <w:numPr>
          <w:ilvl w:val="0"/>
          <w:numId w:val="18"/>
        </w:numPr>
        <w:tabs>
          <w:tab w:val="clear" w:pos="720"/>
          <w:tab w:val="num" w:pos="567"/>
        </w:tabs>
        <w:ind w:left="567" w:hanging="567"/>
        <w:rPr>
          <w:del w:id="11695" w:author="AbbVie1" w:date="2025-05-13T10:11:00Z"/>
        </w:rPr>
      </w:pPr>
      <w:del w:id="11696" w:author="AbbVie1" w:date="2025-05-13T10:11:00Z">
        <w:r w:rsidRPr="001B4A02">
          <w:delText xml:space="preserve">Nádobu s použitými stříkačkami uchovávejte mimo </w:delText>
        </w:r>
        <w:r w:rsidR="007B2C87" w:rsidRPr="001B4A02">
          <w:delText>dohled</w:delText>
        </w:r>
        <w:r w:rsidR="002378E0">
          <w:delText xml:space="preserve"> a </w:delText>
        </w:r>
        <w:r w:rsidRPr="001B4A02">
          <w:delText>dosah dětí.</w:delText>
        </w:r>
      </w:del>
    </w:p>
    <w:p w14:paraId="568A8460" w14:textId="77777777" w:rsidR="00073F8F" w:rsidRPr="001B4A02" w:rsidRDefault="00073F8F" w:rsidP="00ED48A3">
      <w:pPr>
        <w:ind w:left="0" w:firstLine="0"/>
        <w:rPr>
          <w:del w:id="11697" w:author="AbbVie1" w:date="2025-05-13T10:11:00Z"/>
        </w:rPr>
      </w:pPr>
    </w:p>
    <w:p w14:paraId="1B052806" w14:textId="77777777" w:rsidR="00577841" w:rsidRPr="007E416D" w:rsidRDefault="00000000" w:rsidP="00577841">
      <w:pPr>
        <w:ind w:left="0" w:firstLine="0"/>
        <w:rPr>
          <w:del w:id="11698" w:author="AbbVie1" w:date="2025-05-13T10:11:00Z"/>
          <w:b/>
          <w:highlight w:val="lightGray"/>
        </w:rPr>
      </w:pPr>
      <w:del w:id="11699" w:author="AbbVie1" w:date="2025-05-13T10:11:00Z">
        <w:r w:rsidRPr="007E416D">
          <w:rPr>
            <w:b/>
            <w:highlight w:val="lightGray"/>
          </w:rPr>
          <w:delText>Návod pro přípravu</w:delText>
        </w:r>
        <w:r w:rsidR="002378E0">
          <w:rPr>
            <w:b/>
            <w:highlight w:val="lightGray"/>
          </w:rPr>
          <w:delText xml:space="preserve"> a </w:delText>
        </w:r>
        <w:r w:rsidRPr="007E416D">
          <w:rPr>
            <w:b/>
            <w:highlight w:val="lightGray"/>
          </w:rPr>
          <w:delText>podávání injekce přípravku Humira:</w:delText>
        </w:r>
      </w:del>
    </w:p>
    <w:p w14:paraId="2FDD3D28" w14:textId="77777777" w:rsidR="00577841" w:rsidRPr="007E416D" w:rsidRDefault="00577841" w:rsidP="00577841">
      <w:pPr>
        <w:ind w:left="0" w:firstLine="0"/>
        <w:rPr>
          <w:del w:id="11700" w:author="AbbVie1" w:date="2025-05-13T10:11:00Z"/>
          <w:highlight w:val="lightGray"/>
        </w:rPr>
      </w:pPr>
    </w:p>
    <w:p w14:paraId="557FEC3D" w14:textId="77777777" w:rsidR="00577841" w:rsidRPr="007E416D" w:rsidRDefault="00000000" w:rsidP="00577841">
      <w:pPr>
        <w:ind w:left="0" w:firstLine="0"/>
        <w:rPr>
          <w:del w:id="11701" w:author="AbbVie1" w:date="2025-05-13T10:11:00Z"/>
          <w:highlight w:val="lightGray"/>
        </w:rPr>
      </w:pPr>
      <w:del w:id="11702" w:author="AbbVie1" w:date="2025-05-13T10:11:00Z">
        <w:r w:rsidRPr="007E416D">
          <w:rPr>
            <w:highlight w:val="lightGray"/>
          </w:rPr>
          <w:delText>V následujících pokynech je vysvětleno, jak máte aplikovat injekci přípravku Humira. Prosíme, přečtěte si pečlivě tyto pokyny</w:delText>
        </w:r>
        <w:r w:rsidR="002378E0">
          <w:rPr>
            <w:highlight w:val="lightGray"/>
          </w:rPr>
          <w:delText xml:space="preserve"> a </w:delText>
        </w:r>
        <w:r w:rsidRPr="007E416D">
          <w:rPr>
            <w:highlight w:val="lightGray"/>
          </w:rPr>
          <w:delText xml:space="preserve">přesně je dodržujte. Váš lékař nebo zdravotní sestra Vás poučí, jak si sám (sama) </w:delText>
        </w:r>
        <w:r w:rsidR="00444E8A" w:rsidRPr="007E416D">
          <w:rPr>
            <w:highlight w:val="lightGray"/>
          </w:rPr>
          <w:delText>podat</w:delText>
        </w:r>
        <w:r w:rsidRPr="007E416D">
          <w:rPr>
            <w:highlight w:val="lightGray"/>
          </w:rPr>
          <w:delText xml:space="preserve"> injekci. Nepokoušejte si sám (sama) </w:delText>
        </w:r>
        <w:r w:rsidR="00444E8A" w:rsidRPr="007E416D">
          <w:rPr>
            <w:highlight w:val="lightGray"/>
          </w:rPr>
          <w:delText>podat</w:delText>
        </w:r>
        <w:r w:rsidRPr="007E416D">
          <w:rPr>
            <w:highlight w:val="lightGray"/>
          </w:rPr>
          <w:delText xml:space="preserve"> injekci, dokud si nebudete jistý(á), že jste pochopil(a), jak připravovat</w:delText>
        </w:r>
        <w:r w:rsidR="002378E0">
          <w:rPr>
            <w:highlight w:val="lightGray"/>
          </w:rPr>
          <w:delText xml:space="preserve"> a </w:delText>
        </w:r>
        <w:r w:rsidR="00444E8A" w:rsidRPr="007E416D">
          <w:rPr>
            <w:highlight w:val="lightGray"/>
          </w:rPr>
          <w:delText>podat</w:delText>
        </w:r>
        <w:r w:rsidRPr="007E416D">
          <w:rPr>
            <w:highlight w:val="lightGray"/>
          </w:rPr>
          <w:delText xml:space="preserve"> injekci. Po řádném procvičení si můžete injekci </w:delText>
        </w:r>
        <w:r w:rsidR="00444E8A" w:rsidRPr="007E416D">
          <w:rPr>
            <w:highlight w:val="lightGray"/>
          </w:rPr>
          <w:delText>podat</w:delText>
        </w:r>
        <w:r w:rsidRPr="007E416D">
          <w:rPr>
            <w:highlight w:val="lightGray"/>
          </w:rPr>
          <w:delText xml:space="preserve"> sám (sama) nebo to může provádět i jiná osoba, např. člen ro</w:delText>
        </w:r>
        <w:r w:rsidR="00D40A5A">
          <w:rPr>
            <w:highlight w:val="lightGray"/>
          </w:rPr>
          <w:delText>diny nebo přítel či přítelkyně.</w:delText>
        </w:r>
      </w:del>
    </w:p>
    <w:p w14:paraId="2796CFA8" w14:textId="77777777" w:rsidR="00577841" w:rsidRPr="007E416D" w:rsidRDefault="00577841" w:rsidP="00577841">
      <w:pPr>
        <w:ind w:left="0" w:firstLine="0"/>
        <w:rPr>
          <w:del w:id="11703" w:author="AbbVie1" w:date="2025-05-13T10:11:00Z"/>
          <w:highlight w:val="lightGray"/>
        </w:rPr>
      </w:pPr>
    </w:p>
    <w:p w14:paraId="5FA91E4C" w14:textId="77777777" w:rsidR="00577841" w:rsidRPr="007E416D" w:rsidRDefault="00000000" w:rsidP="00577841">
      <w:pPr>
        <w:ind w:left="0" w:firstLine="0"/>
        <w:rPr>
          <w:del w:id="11704" w:author="AbbVie1" w:date="2025-05-13T10:11:00Z"/>
          <w:highlight w:val="lightGray"/>
        </w:rPr>
      </w:pPr>
      <w:del w:id="11705" w:author="AbbVie1" w:date="2025-05-13T10:11:00Z">
        <w:r w:rsidRPr="007E416D">
          <w:rPr>
            <w:highlight w:val="lightGray"/>
          </w:rPr>
          <w:delText>Injekce se nesmí smíchat s jiným lékem v téže injekční stříkačce nebo lahvičce.</w:delText>
        </w:r>
      </w:del>
    </w:p>
    <w:p w14:paraId="75FC2146" w14:textId="77777777" w:rsidR="00577841" w:rsidRPr="007E416D" w:rsidRDefault="00577841" w:rsidP="00577841">
      <w:pPr>
        <w:ind w:left="0" w:firstLine="0"/>
        <w:rPr>
          <w:del w:id="11706" w:author="AbbVie1" w:date="2025-05-13T10:11:00Z"/>
          <w:highlight w:val="lightGray"/>
        </w:rPr>
      </w:pPr>
    </w:p>
    <w:p w14:paraId="64956833" w14:textId="77777777" w:rsidR="00577841" w:rsidRPr="007E416D" w:rsidRDefault="00000000" w:rsidP="00577841">
      <w:pPr>
        <w:rPr>
          <w:del w:id="11707" w:author="AbbVie1" w:date="2025-05-13T10:11:00Z"/>
          <w:b/>
          <w:highlight w:val="lightGray"/>
        </w:rPr>
      </w:pPr>
      <w:del w:id="11708" w:author="AbbVie1" w:date="2025-05-13T10:11:00Z">
        <w:r w:rsidRPr="007E416D">
          <w:rPr>
            <w:b/>
            <w:highlight w:val="lightGray"/>
          </w:rPr>
          <w:delText>1)</w:delText>
        </w:r>
        <w:r w:rsidRPr="007E416D">
          <w:rPr>
            <w:b/>
            <w:highlight w:val="lightGray"/>
          </w:rPr>
          <w:tab/>
          <w:delText>Příprava</w:delText>
        </w:r>
      </w:del>
    </w:p>
    <w:p w14:paraId="52CB4A69" w14:textId="77777777" w:rsidR="00577841" w:rsidRPr="007E416D" w:rsidRDefault="00577841" w:rsidP="00577841">
      <w:pPr>
        <w:ind w:left="0" w:firstLine="0"/>
        <w:rPr>
          <w:del w:id="11709" w:author="AbbVie1" w:date="2025-05-13T10:11:00Z"/>
          <w:highlight w:val="lightGray"/>
        </w:rPr>
      </w:pPr>
    </w:p>
    <w:p w14:paraId="5BF28ED6" w14:textId="77777777" w:rsidR="00577841" w:rsidRPr="007E416D" w:rsidRDefault="00000000" w:rsidP="00577841">
      <w:pPr>
        <w:numPr>
          <w:ilvl w:val="0"/>
          <w:numId w:val="23"/>
        </w:numPr>
        <w:tabs>
          <w:tab w:val="clear" w:pos="720"/>
          <w:tab w:val="num" w:pos="540"/>
        </w:tabs>
        <w:ind w:left="0" w:firstLine="0"/>
        <w:rPr>
          <w:del w:id="11710" w:author="AbbVie1" w:date="2025-05-13T10:11:00Z"/>
          <w:highlight w:val="lightGray"/>
        </w:rPr>
      </w:pPr>
      <w:del w:id="11711" w:author="AbbVie1" w:date="2025-05-13T10:11:00Z">
        <w:r w:rsidRPr="007E416D">
          <w:rPr>
            <w:highlight w:val="lightGray"/>
          </w:rPr>
          <w:delText>Pečlivě si umyjte ruce</w:delText>
        </w:r>
      </w:del>
    </w:p>
    <w:p w14:paraId="035E88C7" w14:textId="77777777" w:rsidR="00577841" w:rsidRPr="007E416D" w:rsidRDefault="00000000" w:rsidP="00577841">
      <w:pPr>
        <w:numPr>
          <w:ilvl w:val="0"/>
          <w:numId w:val="23"/>
        </w:numPr>
        <w:tabs>
          <w:tab w:val="clear" w:pos="720"/>
          <w:tab w:val="num" w:pos="540"/>
        </w:tabs>
        <w:ind w:left="0" w:firstLine="0"/>
        <w:rPr>
          <w:del w:id="11712" w:author="AbbVie1" w:date="2025-05-13T10:11:00Z"/>
          <w:highlight w:val="lightGray"/>
        </w:rPr>
      </w:pPr>
      <w:del w:id="11713" w:author="AbbVie1" w:date="2025-05-13T10:11:00Z">
        <w:r w:rsidRPr="007E416D">
          <w:rPr>
            <w:highlight w:val="lightGray"/>
          </w:rPr>
          <w:delText>Na čistý povrch si připravte následující pomůcky</w:delText>
        </w:r>
      </w:del>
    </w:p>
    <w:p w14:paraId="5CB1F662" w14:textId="77777777" w:rsidR="00577841" w:rsidRPr="007E416D" w:rsidRDefault="00000000" w:rsidP="00577841">
      <w:pPr>
        <w:numPr>
          <w:ilvl w:val="1"/>
          <w:numId w:val="23"/>
        </w:numPr>
        <w:tabs>
          <w:tab w:val="clear" w:pos="1440"/>
          <w:tab w:val="num" w:pos="1080"/>
        </w:tabs>
        <w:ind w:left="1134" w:hanging="567"/>
        <w:rPr>
          <w:del w:id="11714" w:author="AbbVie1" w:date="2025-05-13T10:11:00Z"/>
          <w:highlight w:val="lightGray"/>
        </w:rPr>
      </w:pPr>
      <w:del w:id="11715" w:author="AbbVie1" w:date="2025-05-13T10:11:00Z">
        <w:r w:rsidRPr="007E416D">
          <w:rPr>
            <w:highlight w:val="lightGray"/>
          </w:rPr>
          <w:delText>Jednu předplněnou injekční stříkačku s přípravkem Humira</w:delText>
        </w:r>
      </w:del>
    </w:p>
    <w:p w14:paraId="3246015E" w14:textId="77777777" w:rsidR="00577841" w:rsidRPr="007E416D" w:rsidRDefault="00000000" w:rsidP="00577841">
      <w:pPr>
        <w:numPr>
          <w:ilvl w:val="1"/>
          <w:numId w:val="23"/>
        </w:numPr>
        <w:tabs>
          <w:tab w:val="clear" w:pos="1440"/>
          <w:tab w:val="num" w:pos="1080"/>
        </w:tabs>
        <w:ind w:left="1134" w:hanging="567"/>
        <w:rPr>
          <w:del w:id="11716" w:author="AbbVie1" w:date="2025-05-13T10:11:00Z"/>
          <w:highlight w:val="lightGray"/>
        </w:rPr>
      </w:pPr>
      <w:del w:id="11717" w:author="AbbVie1" w:date="2025-05-13T10:11:00Z">
        <w:r w:rsidRPr="007E416D">
          <w:rPr>
            <w:highlight w:val="lightGray"/>
          </w:rPr>
          <w:delText>Jeden tampón s alkoholem</w:delText>
        </w:r>
      </w:del>
    </w:p>
    <w:p w14:paraId="42AF3EFA" w14:textId="77777777" w:rsidR="00577841" w:rsidRPr="007E416D" w:rsidRDefault="00000000" w:rsidP="00577841">
      <w:pPr>
        <w:ind w:left="0" w:firstLine="0"/>
        <w:jc w:val="center"/>
        <w:rPr>
          <w:del w:id="11718" w:author="AbbVie1" w:date="2025-05-13T10:11:00Z"/>
          <w:highlight w:val="lightGray"/>
        </w:rPr>
      </w:pPr>
      <w:del w:id="11719" w:author="AbbVie1" w:date="2025-05-13T10:11:00Z">
        <w:r w:rsidRPr="007E416D">
          <w:rPr>
            <w:noProof/>
            <w:highlight w:val="lightGray"/>
            <w:lang w:val="en-US"/>
          </w:rPr>
          <w:drawing>
            <wp:inline distT="0" distB="0" distL="0" distR="0" wp14:anchorId="4B31B992" wp14:editId="7B406734">
              <wp:extent cx="2398395" cy="1819910"/>
              <wp:effectExtent l="0" t="0" r="1905" b="8890"/>
              <wp:docPr id="534" name="obrázek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Picture 534"/>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2398395" cy="1819910"/>
                      </a:xfrm>
                      <a:prstGeom prst="rect">
                        <a:avLst/>
                      </a:prstGeom>
                      <a:noFill/>
                      <a:ln>
                        <a:noFill/>
                      </a:ln>
                    </pic:spPr>
                  </pic:pic>
                </a:graphicData>
              </a:graphic>
            </wp:inline>
          </w:drawing>
        </w:r>
      </w:del>
    </w:p>
    <w:p w14:paraId="580FCFC4" w14:textId="77777777" w:rsidR="00577841" w:rsidRPr="007E416D" w:rsidRDefault="00577841" w:rsidP="00577841">
      <w:pPr>
        <w:ind w:left="0" w:firstLine="0"/>
        <w:rPr>
          <w:del w:id="11720" w:author="AbbVie1" w:date="2025-05-13T10:11:00Z"/>
          <w:highlight w:val="lightGray"/>
        </w:rPr>
      </w:pPr>
    </w:p>
    <w:p w14:paraId="71A26EF6" w14:textId="77777777" w:rsidR="00577841" w:rsidRPr="007E416D" w:rsidRDefault="00000000" w:rsidP="00577841">
      <w:pPr>
        <w:pStyle w:val="EndnoteText"/>
        <w:numPr>
          <w:ilvl w:val="0"/>
          <w:numId w:val="31"/>
        </w:numPr>
        <w:tabs>
          <w:tab w:val="clear" w:pos="720"/>
          <w:tab w:val="num" w:pos="567"/>
        </w:tabs>
        <w:ind w:left="567" w:hanging="567"/>
        <w:rPr>
          <w:del w:id="11721" w:author="AbbVie1" w:date="2025-05-13T10:11:00Z"/>
          <w:highlight w:val="lightGray"/>
          <w:lang w:val="cs-CZ"/>
        </w:rPr>
      </w:pPr>
      <w:del w:id="11722" w:author="AbbVie1" w:date="2025-05-13T10:11:00Z">
        <w:r w:rsidRPr="007E416D">
          <w:rPr>
            <w:highlight w:val="lightGray"/>
            <w:lang w:val="cs-CZ"/>
          </w:rPr>
          <w:delText>Zkontrolujte datum použitelnosti, které je vytištěné na injekční stříkačce. Nepoužívejte přípravek po uplynutí měsíce</w:delText>
        </w:r>
        <w:r w:rsidR="002378E0">
          <w:rPr>
            <w:highlight w:val="lightGray"/>
            <w:lang w:val="cs-CZ"/>
          </w:rPr>
          <w:delText xml:space="preserve"> a </w:delText>
        </w:r>
        <w:r w:rsidRPr="007E416D">
          <w:rPr>
            <w:highlight w:val="lightGray"/>
            <w:lang w:val="cs-CZ"/>
          </w:rPr>
          <w:delText>roku uvedeného na injekční stříkačce.</w:delText>
        </w:r>
      </w:del>
    </w:p>
    <w:p w14:paraId="7F87CE9F" w14:textId="77777777" w:rsidR="00577841" w:rsidRPr="007E416D" w:rsidRDefault="00577841" w:rsidP="00577841">
      <w:pPr>
        <w:ind w:left="0" w:firstLine="0"/>
        <w:rPr>
          <w:del w:id="11723" w:author="AbbVie1" w:date="2025-05-13T10:11:00Z"/>
          <w:highlight w:val="lightGray"/>
        </w:rPr>
      </w:pPr>
    </w:p>
    <w:p w14:paraId="180EA253" w14:textId="77777777" w:rsidR="00577841" w:rsidRPr="007E416D" w:rsidRDefault="00000000" w:rsidP="00577841">
      <w:pPr>
        <w:rPr>
          <w:del w:id="11724" w:author="AbbVie1" w:date="2025-05-13T10:11:00Z"/>
          <w:b/>
          <w:highlight w:val="lightGray"/>
        </w:rPr>
      </w:pPr>
      <w:del w:id="11725" w:author="AbbVie1" w:date="2025-05-13T10:11:00Z">
        <w:r w:rsidRPr="007E416D">
          <w:rPr>
            <w:b/>
            <w:highlight w:val="lightGray"/>
          </w:rPr>
          <w:delText>2)</w:delText>
        </w:r>
        <w:r w:rsidRPr="007E416D">
          <w:rPr>
            <w:b/>
            <w:highlight w:val="lightGray"/>
          </w:rPr>
          <w:tab/>
          <w:delText>Volba</w:delText>
        </w:r>
        <w:r w:rsidR="002378E0">
          <w:rPr>
            <w:b/>
            <w:highlight w:val="lightGray"/>
          </w:rPr>
          <w:delText xml:space="preserve"> a </w:delText>
        </w:r>
        <w:r w:rsidRPr="007E416D">
          <w:rPr>
            <w:b/>
            <w:highlight w:val="lightGray"/>
          </w:rPr>
          <w:delText>příprava místa pro vpich injekce</w:delText>
        </w:r>
      </w:del>
    </w:p>
    <w:p w14:paraId="047607AC" w14:textId="77777777" w:rsidR="00577841" w:rsidRPr="007E416D" w:rsidRDefault="00577841" w:rsidP="00577841">
      <w:pPr>
        <w:ind w:left="0" w:firstLine="0"/>
        <w:rPr>
          <w:del w:id="11726" w:author="AbbVie1" w:date="2025-05-13T10:11:00Z"/>
          <w:highlight w:val="lightGray"/>
        </w:rPr>
      </w:pPr>
    </w:p>
    <w:p w14:paraId="3F1109D5" w14:textId="77777777" w:rsidR="00577841" w:rsidRPr="007E416D" w:rsidRDefault="00000000" w:rsidP="00577841">
      <w:pPr>
        <w:numPr>
          <w:ilvl w:val="0"/>
          <w:numId w:val="24"/>
        </w:numPr>
        <w:tabs>
          <w:tab w:val="clear" w:pos="720"/>
          <w:tab w:val="num" w:pos="540"/>
        </w:tabs>
        <w:ind w:left="0" w:firstLine="0"/>
        <w:rPr>
          <w:del w:id="11727" w:author="AbbVie1" w:date="2025-05-13T10:11:00Z"/>
          <w:highlight w:val="lightGray"/>
        </w:rPr>
      </w:pPr>
      <w:del w:id="11728" w:author="AbbVie1" w:date="2025-05-13T10:11:00Z">
        <w:r w:rsidRPr="007E416D">
          <w:rPr>
            <w:highlight w:val="lightGray"/>
          </w:rPr>
          <w:delText>Vyberte si místo na stehně nebo na břiše.</w:delText>
        </w:r>
      </w:del>
    </w:p>
    <w:p w14:paraId="0BB2FAA3" w14:textId="77777777" w:rsidR="00577841" w:rsidRPr="007E416D" w:rsidRDefault="00577841" w:rsidP="00577841">
      <w:pPr>
        <w:rPr>
          <w:del w:id="11729" w:author="AbbVie1" w:date="2025-05-13T10:11:00Z"/>
          <w:highlight w:val="lightGray"/>
        </w:rPr>
      </w:pPr>
    </w:p>
    <w:p w14:paraId="6C45F2EA" w14:textId="77777777" w:rsidR="00577841" w:rsidRPr="007E416D" w:rsidRDefault="00000000" w:rsidP="00577841">
      <w:pPr>
        <w:ind w:left="0" w:firstLine="0"/>
        <w:jc w:val="center"/>
        <w:rPr>
          <w:del w:id="11730" w:author="AbbVie1" w:date="2025-05-13T10:11:00Z"/>
          <w:highlight w:val="lightGray"/>
        </w:rPr>
      </w:pPr>
      <w:del w:id="11731" w:author="AbbVie1" w:date="2025-05-13T10:11:00Z">
        <w:r>
          <w:rPr>
            <w:noProof/>
            <w:highlight w:val="lightGray"/>
          </w:rPr>
          <w:object w:dxaOrig="2430" w:dyaOrig="2140" w14:anchorId="7757A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3pt;height:106.5pt;mso-width-percent:0;mso-height-percent:0;mso-width-percent:0;mso-height-percent:0" o:ole="">
              <v:imagedata r:id="rId51" o:title=""/>
            </v:shape>
            <o:OLEObject Type="Embed" ProgID="MSPhotoEd.3" ShapeID="_x0000_i1025" DrawAspect="Content" ObjectID="_1819195469" r:id="rId52"/>
          </w:object>
        </w:r>
      </w:del>
    </w:p>
    <w:p w14:paraId="5284E195" w14:textId="77777777" w:rsidR="00577841" w:rsidRPr="007E416D" w:rsidRDefault="00577841" w:rsidP="00577841">
      <w:pPr>
        <w:ind w:left="0" w:firstLine="0"/>
        <w:rPr>
          <w:del w:id="11732" w:author="AbbVie1" w:date="2025-05-13T10:11:00Z"/>
          <w:highlight w:val="lightGray"/>
        </w:rPr>
      </w:pPr>
    </w:p>
    <w:p w14:paraId="4ECF0498" w14:textId="77777777" w:rsidR="00577841" w:rsidRPr="007E416D" w:rsidRDefault="00000000" w:rsidP="00577841">
      <w:pPr>
        <w:numPr>
          <w:ilvl w:val="0"/>
          <w:numId w:val="24"/>
        </w:numPr>
        <w:tabs>
          <w:tab w:val="clear" w:pos="720"/>
          <w:tab w:val="num" w:pos="540"/>
        </w:tabs>
        <w:ind w:left="0" w:firstLine="0"/>
        <w:rPr>
          <w:del w:id="11733" w:author="AbbVie1" w:date="2025-05-13T10:11:00Z"/>
          <w:highlight w:val="lightGray"/>
        </w:rPr>
      </w:pPr>
      <w:del w:id="11734" w:author="AbbVie1" w:date="2025-05-13T10:11:00Z">
        <w:r w:rsidRPr="007E416D">
          <w:rPr>
            <w:highlight w:val="lightGray"/>
          </w:rPr>
          <w:delText>Každá nová injekce se má aplikovat ve vzdálenosti nejméně 3 cm od místa posledního vpichu.</w:delText>
        </w:r>
      </w:del>
    </w:p>
    <w:p w14:paraId="76F01188" w14:textId="77777777" w:rsidR="00577841" w:rsidRPr="007E416D" w:rsidRDefault="00000000" w:rsidP="00577841">
      <w:pPr>
        <w:numPr>
          <w:ilvl w:val="1"/>
          <w:numId w:val="24"/>
        </w:numPr>
        <w:tabs>
          <w:tab w:val="clear" w:pos="1440"/>
          <w:tab w:val="num" w:pos="1134"/>
        </w:tabs>
        <w:ind w:left="1134" w:hanging="567"/>
        <w:rPr>
          <w:del w:id="11735" w:author="AbbVie1" w:date="2025-05-13T10:11:00Z"/>
          <w:highlight w:val="lightGray"/>
        </w:rPr>
      </w:pPr>
      <w:del w:id="11736" w:author="AbbVie1" w:date="2025-05-13T10:11:00Z">
        <w:r w:rsidRPr="007E416D">
          <w:rPr>
            <w:highlight w:val="lightGray"/>
          </w:rPr>
          <w:delText>Neaplikujte si injekci do oblasti, kde je kůže zarudlá, kde jsou modřiny nebo je kůže tvrdá. To mohou být známky infekce.</w:delText>
        </w:r>
      </w:del>
    </w:p>
    <w:p w14:paraId="72DD9832" w14:textId="77777777" w:rsidR="00577841" w:rsidRPr="007E416D" w:rsidRDefault="00000000" w:rsidP="00577841">
      <w:pPr>
        <w:numPr>
          <w:ilvl w:val="1"/>
          <w:numId w:val="24"/>
        </w:numPr>
        <w:tabs>
          <w:tab w:val="clear" w:pos="1440"/>
          <w:tab w:val="num" w:pos="1134"/>
        </w:tabs>
        <w:ind w:left="1134" w:hanging="567"/>
        <w:rPr>
          <w:del w:id="11737" w:author="AbbVie1" w:date="2025-05-13T10:11:00Z"/>
          <w:highlight w:val="lightGray"/>
        </w:rPr>
      </w:pPr>
      <w:del w:id="11738" w:author="AbbVie1" w:date="2025-05-13T10:11:00Z">
        <w:r w:rsidRPr="007E416D">
          <w:rPr>
            <w:highlight w:val="lightGray"/>
          </w:rPr>
          <w:delText>Potřete krouživými pohyby místo vpichu přiloženým tampónem s alkoholem.</w:delText>
        </w:r>
      </w:del>
    </w:p>
    <w:p w14:paraId="3A24B7DE" w14:textId="77777777" w:rsidR="00577841" w:rsidRPr="007E416D" w:rsidRDefault="00000000" w:rsidP="00577841">
      <w:pPr>
        <w:numPr>
          <w:ilvl w:val="1"/>
          <w:numId w:val="24"/>
        </w:numPr>
        <w:tabs>
          <w:tab w:val="clear" w:pos="1440"/>
          <w:tab w:val="num" w:pos="1134"/>
        </w:tabs>
        <w:ind w:left="1134" w:hanging="567"/>
        <w:rPr>
          <w:del w:id="11739" w:author="AbbVie1" w:date="2025-05-13T10:11:00Z"/>
          <w:highlight w:val="lightGray"/>
        </w:rPr>
      </w:pPr>
      <w:del w:id="11740" w:author="AbbVie1" w:date="2025-05-13T10:11:00Z">
        <w:r w:rsidRPr="007E416D">
          <w:rPr>
            <w:highlight w:val="lightGray"/>
          </w:rPr>
          <w:delText>Nedotýkejte se místa vpichu před aplikací injekce.</w:delText>
        </w:r>
      </w:del>
    </w:p>
    <w:p w14:paraId="2DAE834F" w14:textId="77777777" w:rsidR="00577841" w:rsidRPr="007E416D" w:rsidRDefault="00577841" w:rsidP="00577841">
      <w:pPr>
        <w:ind w:left="0" w:firstLine="0"/>
        <w:rPr>
          <w:del w:id="11741" w:author="AbbVie1" w:date="2025-05-13T10:11:00Z"/>
          <w:highlight w:val="lightGray"/>
        </w:rPr>
      </w:pPr>
    </w:p>
    <w:p w14:paraId="1AF0485D" w14:textId="77777777" w:rsidR="00577841" w:rsidRPr="007E416D" w:rsidRDefault="00000000" w:rsidP="00577841">
      <w:pPr>
        <w:ind w:left="0" w:firstLine="0"/>
        <w:rPr>
          <w:del w:id="11742" w:author="AbbVie1" w:date="2025-05-13T10:11:00Z"/>
          <w:b/>
          <w:highlight w:val="lightGray"/>
        </w:rPr>
      </w:pPr>
      <w:del w:id="11743" w:author="AbbVie1" w:date="2025-05-13T10:11:00Z">
        <w:r w:rsidRPr="007E416D">
          <w:rPr>
            <w:b/>
            <w:highlight w:val="lightGray"/>
          </w:rPr>
          <w:delText>3)</w:delText>
        </w:r>
        <w:r w:rsidRPr="007E416D">
          <w:rPr>
            <w:b/>
            <w:highlight w:val="lightGray"/>
          </w:rPr>
          <w:tab/>
          <w:delText>Aplikace injekce přípravku Humira</w:delText>
        </w:r>
      </w:del>
    </w:p>
    <w:p w14:paraId="0F14E963" w14:textId="77777777" w:rsidR="00577841" w:rsidRPr="007E416D" w:rsidRDefault="00577841" w:rsidP="00577841">
      <w:pPr>
        <w:ind w:left="0" w:firstLine="0"/>
        <w:rPr>
          <w:del w:id="11744" w:author="AbbVie1" w:date="2025-05-13T10:11:00Z"/>
          <w:b/>
          <w:highlight w:val="lightGray"/>
        </w:rPr>
      </w:pPr>
    </w:p>
    <w:p w14:paraId="304A2706" w14:textId="77777777" w:rsidR="00577841" w:rsidRPr="007E416D" w:rsidRDefault="00000000" w:rsidP="00577841">
      <w:pPr>
        <w:pStyle w:val="EndnoteText"/>
        <w:numPr>
          <w:ilvl w:val="2"/>
          <w:numId w:val="24"/>
        </w:numPr>
        <w:tabs>
          <w:tab w:val="clear" w:pos="2160"/>
          <w:tab w:val="num" w:pos="567"/>
        </w:tabs>
        <w:ind w:left="567" w:hanging="567"/>
        <w:rPr>
          <w:del w:id="11745" w:author="AbbVie1" w:date="2025-05-13T10:11:00Z"/>
          <w:highlight w:val="lightGray"/>
          <w:lang w:val="cs-CZ"/>
        </w:rPr>
      </w:pPr>
      <w:del w:id="11746" w:author="AbbVie1" w:date="2025-05-13T10:11:00Z">
        <w:r w:rsidRPr="007E416D">
          <w:rPr>
            <w:highlight w:val="lightGray"/>
            <w:lang w:val="cs-CZ"/>
          </w:rPr>
          <w:delText>Injekční stříkačkou NETŘEPEJTE.</w:delText>
        </w:r>
      </w:del>
    </w:p>
    <w:p w14:paraId="27C7E387" w14:textId="77777777" w:rsidR="00577841" w:rsidRPr="007E416D" w:rsidRDefault="00000000" w:rsidP="00577841">
      <w:pPr>
        <w:numPr>
          <w:ilvl w:val="0"/>
          <w:numId w:val="24"/>
        </w:numPr>
        <w:tabs>
          <w:tab w:val="clear" w:pos="720"/>
          <w:tab w:val="num" w:pos="567"/>
        </w:tabs>
        <w:ind w:left="567" w:hanging="567"/>
        <w:rPr>
          <w:del w:id="11747" w:author="AbbVie1" w:date="2025-05-13T10:11:00Z"/>
          <w:highlight w:val="lightGray"/>
        </w:rPr>
      </w:pPr>
      <w:del w:id="11748" w:author="AbbVie1" w:date="2025-05-13T10:11:00Z">
        <w:r w:rsidRPr="007E416D">
          <w:rPr>
            <w:highlight w:val="lightGray"/>
          </w:rPr>
          <w:delText>Odstraňte kryt jehly injekční stříkačky. Dávejte pozor, abyste se nedotkl(a) jehly ani se nedotkl(a) jehlou žádného povrchu.</w:delText>
        </w:r>
      </w:del>
    </w:p>
    <w:p w14:paraId="3A707D6C" w14:textId="77777777" w:rsidR="00577841" w:rsidRPr="007E416D" w:rsidRDefault="00000000" w:rsidP="00577841">
      <w:pPr>
        <w:numPr>
          <w:ilvl w:val="0"/>
          <w:numId w:val="24"/>
        </w:numPr>
        <w:tabs>
          <w:tab w:val="clear" w:pos="720"/>
          <w:tab w:val="num" w:pos="567"/>
        </w:tabs>
        <w:ind w:left="567" w:hanging="567"/>
        <w:rPr>
          <w:del w:id="11749" w:author="AbbVie1" w:date="2025-05-13T10:11:00Z"/>
          <w:highlight w:val="lightGray"/>
        </w:rPr>
      </w:pPr>
      <w:del w:id="11750" w:author="AbbVie1" w:date="2025-05-13T10:11:00Z">
        <w:r w:rsidRPr="007E416D">
          <w:rPr>
            <w:highlight w:val="lightGray"/>
          </w:rPr>
          <w:delText>Jednou rukou jemně uchopte</w:delText>
        </w:r>
        <w:r w:rsidR="002378E0">
          <w:rPr>
            <w:highlight w:val="lightGray"/>
          </w:rPr>
          <w:delText xml:space="preserve"> a </w:delText>
        </w:r>
        <w:r w:rsidRPr="007E416D">
          <w:rPr>
            <w:highlight w:val="lightGray"/>
          </w:rPr>
          <w:delText>pevně podržte očištěnou oblast kůže.</w:delText>
        </w:r>
      </w:del>
    </w:p>
    <w:p w14:paraId="088867BD" w14:textId="77777777" w:rsidR="00577841" w:rsidRPr="007E416D" w:rsidRDefault="00577841" w:rsidP="00577841">
      <w:pPr>
        <w:ind w:left="0" w:firstLine="0"/>
        <w:rPr>
          <w:del w:id="11751" w:author="AbbVie1" w:date="2025-05-13T10:11:00Z"/>
          <w:highlight w:val="lightGray"/>
        </w:rPr>
      </w:pPr>
    </w:p>
    <w:p w14:paraId="7400666B" w14:textId="77777777" w:rsidR="00577841" w:rsidRPr="007E416D" w:rsidRDefault="00000000" w:rsidP="00577841">
      <w:pPr>
        <w:numPr>
          <w:ilvl w:val="0"/>
          <w:numId w:val="24"/>
        </w:numPr>
        <w:tabs>
          <w:tab w:val="clear" w:pos="720"/>
          <w:tab w:val="num" w:pos="567"/>
        </w:tabs>
        <w:ind w:left="567" w:hanging="567"/>
        <w:rPr>
          <w:del w:id="11752" w:author="AbbVie1" w:date="2025-05-13T10:11:00Z"/>
          <w:highlight w:val="lightGray"/>
        </w:rPr>
      </w:pPr>
      <w:del w:id="11753" w:author="AbbVie1" w:date="2025-05-13T10:11:00Z">
        <w:r w:rsidRPr="007E416D">
          <w:rPr>
            <w:highlight w:val="lightGray"/>
          </w:rPr>
          <w:delText>Druhou rukou držte stříkačku proti kůži pod úhlem 45°, přičemž rýhovaná strana směřuje vzhůru.</w:delText>
        </w:r>
      </w:del>
    </w:p>
    <w:p w14:paraId="4E660FE1" w14:textId="77777777" w:rsidR="00577841" w:rsidRPr="007E416D" w:rsidRDefault="00000000" w:rsidP="00577841">
      <w:pPr>
        <w:numPr>
          <w:ilvl w:val="0"/>
          <w:numId w:val="24"/>
        </w:numPr>
        <w:tabs>
          <w:tab w:val="clear" w:pos="720"/>
          <w:tab w:val="num" w:pos="567"/>
        </w:tabs>
        <w:ind w:left="567" w:hanging="567"/>
        <w:rPr>
          <w:del w:id="11754" w:author="AbbVie1" w:date="2025-05-13T10:11:00Z"/>
          <w:highlight w:val="lightGray"/>
        </w:rPr>
      </w:pPr>
      <w:del w:id="11755" w:author="AbbVie1" w:date="2025-05-13T10:11:00Z">
        <w:r w:rsidRPr="007E416D">
          <w:rPr>
            <w:highlight w:val="lightGray"/>
          </w:rPr>
          <w:delText>Rychlým</w:delText>
        </w:r>
        <w:r w:rsidR="002378E0">
          <w:rPr>
            <w:highlight w:val="lightGray"/>
          </w:rPr>
          <w:delText xml:space="preserve"> a </w:delText>
        </w:r>
        <w:r w:rsidRPr="007E416D">
          <w:rPr>
            <w:highlight w:val="lightGray"/>
          </w:rPr>
          <w:delText>krátkým pohybem vpíchněte jehlu do kůže.</w:delText>
        </w:r>
      </w:del>
    </w:p>
    <w:p w14:paraId="3C7C1211" w14:textId="77777777" w:rsidR="00577841" w:rsidRPr="007E416D" w:rsidRDefault="00000000" w:rsidP="00577841">
      <w:pPr>
        <w:numPr>
          <w:ilvl w:val="0"/>
          <w:numId w:val="24"/>
        </w:numPr>
        <w:tabs>
          <w:tab w:val="clear" w:pos="720"/>
          <w:tab w:val="num" w:pos="567"/>
        </w:tabs>
        <w:ind w:left="567" w:hanging="567"/>
        <w:rPr>
          <w:del w:id="11756" w:author="AbbVie1" w:date="2025-05-13T10:11:00Z"/>
          <w:highlight w:val="lightGray"/>
        </w:rPr>
      </w:pPr>
      <w:del w:id="11757" w:author="AbbVie1" w:date="2025-05-13T10:11:00Z">
        <w:r w:rsidRPr="007E416D">
          <w:rPr>
            <w:highlight w:val="lightGray"/>
          </w:rPr>
          <w:delText>První rukou pusťte kůži.</w:delText>
        </w:r>
      </w:del>
    </w:p>
    <w:p w14:paraId="7ECDDC28" w14:textId="77777777" w:rsidR="00577841" w:rsidRPr="007E416D" w:rsidRDefault="00000000" w:rsidP="00577841">
      <w:pPr>
        <w:pStyle w:val="EndnoteText"/>
        <w:numPr>
          <w:ilvl w:val="0"/>
          <w:numId w:val="24"/>
        </w:numPr>
        <w:tabs>
          <w:tab w:val="clear" w:pos="720"/>
          <w:tab w:val="num" w:pos="567"/>
        </w:tabs>
        <w:ind w:left="567" w:hanging="567"/>
        <w:rPr>
          <w:del w:id="11758" w:author="AbbVie1" w:date="2025-05-13T10:11:00Z"/>
          <w:highlight w:val="lightGray"/>
          <w:lang w:val="cs-CZ"/>
        </w:rPr>
      </w:pPr>
      <w:del w:id="11759" w:author="AbbVie1" w:date="2025-05-13T10:11:00Z">
        <w:r w:rsidRPr="007E416D">
          <w:rPr>
            <w:highlight w:val="lightGray"/>
            <w:lang w:val="cs-CZ"/>
          </w:rPr>
          <w:delText>Tlakem na píst aplikujte roztok až do vyprázdnění stříkačky – tento úkon trvá většinou 2 až 5 vteřin.</w:delText>
        </w:r>
      </w:del>
    </w:p>
    <w:p w14:paraId="3A83DD66" w14:textId="77777777" w:rsidR="00577841" w:rsidRPr="007E416D" w:rsidRDefault="00000000" w:rsidP="00577841">
      <w:pPr>
        <w:numPr>
          <w:ilvl w:val="0"/>
          <w:numId w:val="24"/>
        </w:numPr>
        <w:tabs>
          <w:tab w:val="clear" w:pos="720"/>
          <w:tab w:val="num" w:pos="567"/>
        </w:tabs>
        <w:ind w:left="567" w:hanging="567"/>
        <w:rPr>
          <w:del w:id="11760" w:author="AbbVie1" w:date="2025-05-13T10:11:00Z"/>
          <w:highlight w:val="lightGray"/>
        </w:rPr>
      </w:pPr>
      <w:del w:id="11761" w:author="AbbVie1" w:date="2025-05-13T10:11:00Z">
        <w:r w:rsidRPr="007E416D">
          <w:rPr>
            <w:highlight w:val="lightGray"/>
          </w:rPr>
          <w:delText>Když je stříkačka prázdná, vytáhněte jehlu pod stejným úhlem, jako jste ji vpichoval(a).</w:delText>
        </w:r>
      </w:del>
    </w:p>
    <w:p w14:paraId="6FD15710" w14:textId="77777777" w:rsidR="00577841" w:rsidRPr="007E416D" w:rsidRDefault="00000000" w:rsidP="00577841">
      <w:pPr>
        <w:numPr>
          <w:ilvl w:val="0"/>
          <w:numId w:val="24"/>
        </w:numPr>
        <w:tabs>
          <w:tab w:val="clear" w:pos="720"/>
          <w:tab w:val="num" w:pos="567"/>
        </w:tabs>
        <w:ind w:left="567" w:hanging="567"/>
        <w:rPr>
          <w:del w:id="11762" w:author="AbbVie1" w:date="2025-05-13T10:11:00Z"/>
          <w:highlight w:val="lightGray"/>
        </w:rPr>
      </w:pPr>
      <w:del w:id="11763" w:author="AbbVie1" w:date="2025-05-13T10:11:00Z">
        <w:r w:rsidRPr="007E416D">
          <w:rPr>
            <w:highlight w:val="lightGray"/>
          </w:rPr>
          <w:delText>Držte jednou rukou injekční stříkačku</w:delText>
        </w:r>
        <w:r w:rsidR="002378E0">
          <w:rPr>
            <w:highlight w:val="lightGray"/>
          </w:rPr>
          <w:delText xml:space="preserve"> a </w:delText>
        </w:r>
        <w:r w:rsidRPr="007E416D">
          <w:rPr>
            <w:highlight w:val="lightGray"/>
          </w:rPr>
          <w:delText>druhou rukou nasuňte zevní ochranné pouzdro na použitou jehlu tak, až pevně dosedne na místo.</w:delText>
        </w:r>
      </w:del>
    </w:p>
    <w:p w14:paraId="4D05E5D1" w14:textId="77777777" w:rsidR="00577841" w:rsidRPr="007E416D" w:rsidRDefault="00000000" w:rsidP="00577841">
      <w:pPr>
        <w:numPr>
          <w:ilvl w:val="0"/>
          <w:numId w:val="24"/>
        </w:numPr>
        <w:tabs>
          <w:tab w:val="clear" w:pos="720"/>
          <w:tab w:val="num" w:pos="567"/>
        </w:tabs>
        <w:ind w:left="567" w:hanging="567"/>
        <w:rPr>
          <w:del w:id="11764" w:author="AbbVie1" w:date="2025-05-13T10:11:00Z"/>
          <w:highlight w:val="lightGray"/>
        </w:rPr>
      </w:pPr>
      <w:del w:id="11765" w:author="AbbVie1" w:date="2025-05-13T10:11:00Z">
        <w:r w:rsidRPr="007E416D">
          <w:rPr>
            <w:highlight w:val="lightGray"/>
          </w:rPr>
          <w:delText>Přitiskněte palcem nebo kouskem gázy místo injekčního vpichu</w:delText>
        </w:r>
        <w:r w:rsidR="002378E0">
          <w:rPr>
            <w:highlight w:val="lightGray"/>
          </w:rPr>
          <w:delText xml:space="preserve"> a </w:delText>
        </w:r>
        <w:r w:rsidRPr="007E416D">
          <w:rPr>
            <w:highlight w:val="lightGray"/>
          </w:rPr>
          <w:delText>držte je stlačené po dobu 10 vteřin. Může se objevit malé krvácení. Netřete místo vpichu. Pokud chcete, můžete místo vpichu zalepit náplastí.</w:delText>
        </w:r>
      </w:del>
    </w:p>
    <w:p w14:paraId="764E5711" w14:textId="77777777" w:rsidR="00577841" w:rsidRPr="007E416D" w:rsidRDefault="00577841" w:rsidP="00577841">
      <w:pPr>
        <w:ind w:left="0" w:firstLine="0"/>
        <w:rPr>
          <w:del w:id="11766" w:author="AbbVie1" w:date="2025-05-13T10:11:00Z"/>
          <w:highlight w:val="lightGray"/>
        </w:rPr>
      </w:pPr>
    </w:p>
    <w:p w14:paraId="366F26B4" w14:textId="77777777" w:rsidR="00577841" w:rsidRPr="007E416D" w:rsidRDefault="00000000" w:rsidP="00970906">
      <w:pPr>
        <w:keepNext/>
        <w:ind w:left="0" w:firstLine="0"/>
        <w:rPr>
          <w:del w:id="11767" w:author="AbbVie1" w:date="2025-05-13T10:11:00Z"/>
          <w:b/>
          <w:highlight w:val="lightGray"/>
        </w:rPr>
      </w:pPr>
      <w:del w:id="11768" w:author="AbbVie1" w:date="2025-05-13T10:11:00Z">
        <w:r w:rsidRPr="007E416D">
          <w:rPr>
            <w:b/>
            <w:highlight w:val="lightGray"/>
          </w:rPr>
          <w:delText>4)</w:delText>
        </w:r>
        <w:r w:rsidRPr="007E416D">
          <w:rPr>
            <w:b/>
            <w:highlight w:val="lightGray"/>
          </w:rPr>
          <w:tab/>
          <w:delText>Odstranění pomůcek</w:delText>
        </w:r>
      </w:del>
    </w:p>
    <w:p w14:paraId="612CA739" w14:textId="77777777" w:rsidR="00577841" w:rsidRPr="007E416D" w:rsidRDefault="00577841" w:rsidP="00577841">
      <w:pPr>
        <w:ind w:left="0" w:firstLine="0"/>
        <w:rPr>
          <w:del w:id="11769" w:author="AbbVie1" w:date="2025-05-13T10:11:00Z"/>
          <w:b/>
          <w:highlight w:val="lightGray"/>
        </w:rPr>
      </w:pPr>
    </w:p>
    <w:p w14:paraId="09181BC3" w14:textId="77777777" w:rsidR="00577841" w:rsidRPr="007E416D" w:rsidRDefault="00000000" w:rsidP="00577841">
      <w:pPr>
        <w:numPr>
          <w:ilvl w:val="0"/>
          <w:numId w:val="25"/>
        </w:numPr>
        <w:tabs>
          <w:tab w:val="clear" w:pos="720"/>
        </w:tabs>
        <w:ind w:left="567" w:hanging="567"/>
        <w:rPr>
          <w:del w:id="11770" w:author="AbbVie1" w:date="2025-05-13T10:11:00Z"/>
          <w:highlight w:val="lightGray"/>
        </w:rPr>
      </w:pPr>
      <w:del w:id="11771" w:author="AbbVie1" w:date="2025-05-13T10:11:00Z">
        <w:r w:rsidRPr="007E416D">
          <w:rPr>
            <w:b/>
            <w:highlight w:val="lightGray"/>
          </w:rPr>
          <w:delText xml:space="preserve">NIKDY </w:delText>
        </w:r>
        <w:r w:rsidRPr="007E416D">
          <w:rPr>
            <w:highlight w:val="lightGray"/>
          </w:rPr>
          <w:delText xml:space="preserve">nepoužívejte opakovaně stříkačku pro podání přípravku Humira. </w:delText>
        </w:r>
        <w:r w:rsidRPr="007E416D">
          <w:rPr>
            <w:b/>
            <w:highlight w:val="lightGray"/>
          </w:rPr>
          <w:delText>NIKDY</w:delText>
        </w:r>
        <w:r w:rsidRPr="007E416D">
          <w:rPr>
            <w:highlight w:val="lightGray"/>
          </w:rPr>
          <w:delText xml:space="preserve"> nevracejte kryt zpátky na jehlu.</w:delText>
        </w:r>
      </w:del>
    </w:p>
    <w:p w14:paraId="7CEDCA73" w14:textId="77777777" w:rsidR="00577841" w:rsidRPr="007E416D" w:rsidRDefault="00000000" w:rsidP="00577841">
      <w:pPr>
        <w:numPr>
          <w:ilvl w:val="0"/>
          <w:numId w:val="25"/>
        </w:numPr>
        <w:tabs>
          <w:tab w:val="clear" w:pos="720"/>
        </w:tabs>
        <w:ind w:left="567" w:hanging="567"/>
        <w:rPr>
          <w:del w:id="11772" w:author="AbbVie1" w:date="2025-05-13T10:11:00Z"/>
          <w:highlight w:val="lightGray"/>
        </w:rPr>
      </w:pPr>
      <w:del w:id="11773" w:author="AbbVie1" w:date="2025-05-13T10:11:00Z">
        <w:r w:rsidRPr="007E416D">
          <w:rPr>
            <w:highlight w:val="lightGray"/>
          </w:rPr>
          <w:delText xml:space="preserve">Po aplikaci přípravku Humira vyhoďte ihned použitou stříkačku do speciální nádoby podle návodu lékaře, zdravotní sestry nebo lékárníka. </w:delText>
        </w:r>
      </w:del>
    </w:p>
    <w:p w14:paraId="497C89F9" w14:textId="77777777" w:rsidR="00577841" w:rsidRPr="001B4A02" w:rsidRDefault="00000000" w:rsidP="00577841">
      <w:pPr>
        <w:ind w:left="0" w:firstLine="0"/>
        <w:rPr>
          <w:del w:id="11774" w:author="AbbVie1" w:date="2025-05-13T10:11:00Z"/>
          <w:b/>
        </w:rPr>
      </w:pPr>
      <w:del w:id="11775" w:author="AbbVie1" w:date="2025-05-13T10:11:00Z">
        <w:r w:rsidRPr="007E416D">
          <w:rPr>
            <w:highlight w:val="lightGray"/>
          </w:rPr>
          <w:delText>Nádobu s použitými stříkačkami uchovávejte mimo dohled</w:delText>
        </w:r>
        <w:r w:rsidR="002378E0">
          <w:rPr>
            <w:highlight w:val="lightGray"/>
          </w:rPr>
          <w:delText xml:space="preserve"> a </w:delText>
        </w:r>
        <w:r w:rsidRPr="007E416D">
          <w:rPr>
            <w:highlight w:val="lightGray"/>
          </w:rPr>
          <w:delText>dosah dětí.</w:delText>
        </w:r>
      </w:del>
    </w:p>
    <w:p w14:paraId="49C5FA63" w14:textId="77777777" w:rsidR="00577841" w:rsidRPr="001B4A02" w:rsidRDefault="00577841" w:rsidP="00ED48A3">
      <w:pPr>
        <w:ind w:left="0" w:firstLine="0"/>
        <w:rPr>
          <w:del w:id="11776" w:author="AbbVie1" w:date="2025-05-13T10:11:00Z"/>
          <w:b/>
        </w:rPr>
      </w:pPr>
    </w:p>
    <w:p w14:paraId="4B237524" w14:textId="77777777" w:rsidR="00073F8F" w:rsidRPr="001B4A02" w:rsidRDefault="00000000" w:rsidP="00ED48A3">
      <w:pPr>
        <w:ind w:left="0" w:firstLine="0"/>
        <w:rPr>
          <w:del w:id="11777" w:author="AbbVie1" w:date="2025-05-13T10:11:00Z"/>
          <w:b/>
        </w:rPr>
      </w:pPr>
      <w:del w:id="11778" w:author="AbbVie1" w:date="2025-05-13T10:11:00Z">
        <w:r w:rsidRPr="001B4A02">
          <w:rPr>
            <w:b/>
          </w:rPr>
          <w:delText xml:space="preserve">Jestliže </w:delText>
        </w:r>
        <w:r w:rsidR="00702AEB" w:rsidRPr="001B4A02">
          <w:rPr>
            <w:b/>
          </w:rPr>
          <w:delText>jste</w:delText>
        </w:r>
        <w:r w:rsidR="00F93152" w:rsidRPr="001B4A02">
          <w:rPr>
            <w:b/>
          </w:rPr>
          <w:delText xml:space="preserve"> </w:delText>
        </w:r>
        <w:r w:rsidR="00702AEB" w:rsidRPr="001B4A02">
          <w:rPr>
            <w:b/>
          </w:rPr>
          <w:delText>po</w:delText>
        </w:r>
        <w:r w:rsidRPr="001B4A02">
          <w:rPr>
            <w:b/>
          </w:rPr>
          <w:delText>užil(a) více přípravku Humira, než jste měl(a)</w:delText>
        </w:r>
      </w:del>
    </w:p>
    <w:p w14:paraId="2A51C35E" w14:textId="77777777" w:rsidR="00073F8F" w:rsidRPr="001B4A02" w:rsidRDefault="00073F8F" w:rsidP="00ED48A3">
      <w:pPr>
        <w:ind w:left="0" w:firstLine="0"/>
        <w:rPr>
          <w:del w:id="11779" w:author="AbbVie1" w:date="2025-05-13T10:11:00Z"/>
          <w:b/>
        </w:rPr>
      </w:pPr>
    </w:p>
    <w:p w14:paraId="1DC0A619" w14:textId="77777777" w:rsidR="00073F8F" w:rsidRPr="001B4A02" w:rsidRDefault="00000000" w:rsidP="00ED48A3">
      <w:pPr>
        <w:ind w:left="0" w:firstLine="0"/>
        <w:rPr>
          <w:del w:id="11780" w:author="AbbVie1" w:date="2025-05-13T10:11:00Z"/>
        </w:rPr>
      </w:pPr>
      <w:del w:id="11781" w:author="AbbVie1" w:date="2025-05-13T10:11:00Z">
        <w:r w:rsidRPr="001B4A02">
          <w:delText>Pokud jste si náhodně aplikoval(a) přípravek Humira častěji</w:delText>
        </w:r>
        <w:r w:rsidR="00264669" w:rsidRPr="001B4A02">
          <w:delText>,</w:delText>
        </w:r>
        <w:r w:rsidRPr="001B4A02">
          <w:delText xml:space="preserve"> než </w:delText>
        </w:r>
        <w:r w:rsidR="003A216B" w:rsidRPr="001B4A02">
          <w:delText>V</w:delText>
        </w:r>
        <w:r w:rsidRPr="001B4A02">
          <w:delText xml:space="preserve">ám bylo předepsáno, kontaktujte svého lékaře </w:delText>
        </w:r>
        <w:r w:rsidR="009A4C02" w:rsidRPr="001B4A02">
          <w:delText>nebo lékárníka</w:delText>
        </w:r>
        <w:r w:rsidR="002378E0">
          <w:delText xml:space="preserve"> a </w:delText>
        </w:r>
        <w:r w:rsidRPr="001B4A02">
          <w:delText xml:space="preserve">oznamte mu, že jste </w:delText>
        </w:r>
        <w:r w:rsidR="00F93152" w:rsidRPr="001B4A02">
          <w:delText>po</w:delText>
        </w:r>
        <w:r w:rsidRPr="001B4A02">
          <w:delText>užil(a) větší množství léku. Vždy si s sebou vezměte vnější obal léku,</w:delText>
        </w:r>
        <w:r w:rsidR="002378E0">
          <w:delText xml:space="preserve"> a </w:delText>
        </w:r>
        <w:r w:rsidRPr="001B4A02">
          <w:delText>to i když je prázdný.</w:delText>
        </w:r>
      </w:del>
    </w:p>
    <w:p w14:paraId="02B0C25C" w14:textId="77777777" w:rsidR="00073F8F" w:rsidRPr="001B4A02" w:rsidRDefault="00073F8F" w:rsidP="00ED48A3">
      <w:pPr>
        <w:ind w:left="0" w:firstLine="0"/>
        <w:rPr>
          <w:del w:id="11782" w:author="AbbVie1" w:date="2025-05-13T10:11:00Z"/>
        </w:rPr>
      </w:pPr>
    </w:p>
    <w:p w14:paraId="521CFC84" w14:textId="77777777" w:rsidR="00073F8F" w:rsidRPr="001B4A02" w:rsidRDefault="00000000" w:rsidP="00ED48A3">
      <w:pPr>
        <w:ind w:left="0" w:firstLine="0"/>
        <w:rPr>
          <w:del w:id="11783" w:author="AbbVie1" w:date="2025-05-13T10:11:00Z"/>
          <w:b/>
        </w:rPr>
      </w:pPr>
      <w:del w:id="11784" w:author="AbbVie1" w:date="2025-05-13T10:11:00Z">
        <w:r w:rsidRPr="001B4A02">
          <w:rPr>
            <w:b/>
          </w:rPr>
          <w:delText xml:space="preserve">Jestliže jste zapomněl(a) </w:delText>
        </w:r>
        <w:r w:rsidR="00702AEB" w:rsidRPr="001B4A02">
          <w:rPr>
            <w:b/>
          </w:rPr>
          <w:delText>po</w:delText>
        </w:r>
        <w:r w:rsidRPr="001B4A02">
          <w:rPr>
            <w:b/>
          </w:rPr>
          <w:delText>užít přípravek Humira</w:delText>
        </w:r>
      </w:del>
    </w:p>
    <w:p w14:paraId="3D103D88" w14:textId="77777777" w:rsidR="00073F8F" w:rsidRPr="001B4A02" w:rsidRDefault="00073F8F" w:rsidP="00ED48A3">
      <w:pPr>
        <w:ind w:left="0" w:firstLine="0"/>
        <w:rPr>
          <w:del w:id="11785" w:author="AbbVie1" w:date="2025-05-13T10:11:00Z"/>
        </w:rPr>
      </w:pPr>
    </w:p>
    <w:p w14:paraId="33155243" w14:textId="77777777" w:rsidR="00073F8F" w:rsidRPr="001B4A02" w:rsidRDefault="00000000" w:rsidP="00ED48A3">
      <w:pPr>
        <w:ind w:left="0" w:firstLine="0"/>
        <w:rPr>
          <w:del w:id="11786" w:author="AbbVie1" w:date="2025-05-13T10:11:00Z"/>
        </w:rPr>
      </w:pPr>
      <w:del w:id="11787" w:author="AbbVie1" w:date="2025-05-13T10:11:00Z">
        <w:r w:rsidRPr="001B4A02">
          <w:delText xml:space="preserve">Pokud si zapomenete </w:delText>
        </w:r>
        <w:r w:rsidR="00631040" w:rsidRPr="001B4A02">
          <w:delText xml:space="preserve">podat </w:delText>
        </w:r>
        <w:r w:rsidRPr="001B4A02">
          <w:delText>injekci, m</w:delText>
        </w:r>
        <w:r w:rsidR="007B06BB">
          <w:delText>áte</w:delText>
        </w:r>
        <w:r w:rsidRPr="001B4A02">
          <w:delText xml:space="preserve"> si ji </w:delText>
        </w:r>
        <w:r w:rsidR="00631040" w:rsidRPr="001B4A02">
          <w:delText xml:space="preserve">aplikovat </w:delText>
        </w:r>
        <w:r w:rsidRPr="001B4A02">
          <w:delText xml:space="preserve">ihned, jak si vzpomenete. Poté si </w:delText>
        </w:r>
        <w:r w:rsidR="00631040" w:rsidRPr="001B4A02">
          <w:delText>podejte</w:delText>
        </w:r>
        <w:r w:rsidRPr="001B4A02">
          <w:delText xml:space="preserve"> další dávku </w:delText>
        </w:r>
        <w:r w:rsidR="00631040" w:rsidRPr="001B4A02">
          <w:delText xml:space="preserve">původně </w:delText>
        </w:r>
        <w:r w:rsidRPr="001B4A02">
          <w:delText>plánovan</w:delText>
        </w:r>
        <w:r w:rsidR="00E54D7E" w:rsidRPr="001B4A02">
          <w:delText>ý</w:delText>
        </w:r>
        <w:r w:rsidRPr="001B4A02">
          <w:delText xml:space="preserve"> den, jako kdybyste nezapomněl(a) </w:delText>
        </w:r>
        <w:r w:rsidR="00631040" w:rsidRPr="001B4A02">
          <w:delText xml:space="preserve">na </w:delText>
        </w:r>
        <w:r w:rsidRPr="001B4A02">
          <w:delText>předchozí dávku.</w:delText>
        </w:r>
      </w:del>
    </w:p>
    <w:p w14:paraId="5401B599" w14:textId="77777777" w:rsidR="009A4C02" w:rsidRPr="001B4A02" w:rsidRDefault="009A4C02" w:rsidP="00ED48A3">
      <w:pPr>
        <w:ind w:left="0" w:firstLine="0"/>
        <w:rPr>
          <w:del w:id="11788" w:author="AbbVie1" w:date="2025-05-13T10:11:00Z"/>
        </w:rPr>
      </w:pPr>
    </w:p>
    <w:p w14:paraId="60A07F94" w14:textId="77777777" w:rsidR="00073F8F" w:rsidRPr="001B4A02" w:rsidRDefault="00000000" w:rsidP="00ED48A3">
      <w:pPr>
        <w:ind w:left="0" w:firstLine="0"/>
        <w:rPr>
          <w:del w:id="11789" w:author="AbbVie1" w:date="2025-05-13T10:11:00Z"/>
          <w:b/>
        </w:rPr>
      </w:pPr>
      <w:del w:id="11790" w:author="AbbVie1" w:date="2025-05-13T10:11:00Z">
        <w:r w:rsidRPr="001B4A02">
          <w:rPr>
            <w:b/>
          </w:rPr>
          <w:delText xml:space="preserve">Jestliže jste přestal(a) </w:delText>
        </w:r>
        <w:r w:rsidR="00702AEB" w:rsidRPr="001B4A02">
          <w:rPr>
            <w:b/>
          </w:rPr>
          <w:delText>po</w:delText>
        </w:r>
        <w:r w:rsidRPr="001B4A02">
          <w:rPr>
            <w:b/>
          </w:rPr>
          <w:delText>užívat přípravek Humira</w:delText>
        </w:r>
      </w:del>
    </w:p>
    <w:p w14:paraId="084B382C" w14:textId="77777777" w:rsidR="009A4C02" w:rsidRPr="001B4A02" w:rsidRDefault="009A4C02" w:rsidP="00ED48A3">
      <w:pPr>
        <w:ind w:left="0" w:firstLine="0"/>
        <w:rPr>
          <w:del w:id="11791" w:author="AbbVie1" w:date="2025-05-13T10:11:00Z"/>
        </w:rPr>
      </w:pPr>
    </w:p>
    <w:p w14:paraId="48B69692" w14:textId="77777777" w:rsidR="009A4C02" w:rsidRPr="001B4A02" w:rsidRDefault="00000000" w:rsidP="00ED48A3">
      <w:pPr>
        <w:ind w:left="0" w:firstLine="0"/>
        <w:rPr>
          <w:del w:id="11792" w:author="AbbVie1" w:date="2025-05-13T10:11:00Z"/>
        </w:rPr>
      </w:pPr>
      <w:del w:id="11793" w:author="AbbVie1" w:date="2025-05-13T10:11:00Z">
        <w:r w:rsidRPr="001B4A02">
          <w:delText>Rozhodnutí o</w:delText>
        </w:r>
        <w:r w:rsidR="00F23025" w:rsidRPr="001B4A02">
          <w:delText> </w:delText>
        </w:r>
        <w:r w:rsidRPr="001B4A02">
          <w:delText xml:space="preserve">tom, zda </w:delText>
        </w:r>
        <w:r w:rsidR="00702AEB" w:rsidRPr="001B4A02">
          <w:delText>po</w:delText>
        </w:r>
        <w:r w:rsidRPr="001B4A02">
          <w:delText>užívání přípravku Humi</w:delText>
        </w:r>
        <w:r w:rsidR="00032F16" w:rsidRPr="001B4A02">
          <w:delText>r</w:delText>
        </w:r>
        <w:r w:rsidRPr="001B4A02">
          <w:delText>a přerušit, musí</w:delText>
        </w:r>
        <w:r w:rsidR="00702A71" w:rsidRPr="001B4A02">
          <w:delText>te</w:delText>
        </w:r>
        <w:r w:rsidRPr="001B4A02">
          <w:delText xml:space="preserve"> konzultov</w:delText>
        </w:r>
        <w:r w:rsidR="00702A71" w:rsidRPr="001B4A02">
          <w:delText>at se svým</w:delText>
        </w:r>
        <w:r w:rsidRPr="001B4A02">
          <w:delText xml:space="preserve"> lékařem. Po přerušení léčby se Vám mohou příznaky </w:delText>
        </w:r>
        <w:r w:rsidR="00702A71" w:rsidRPr="001B4A02">
          <w:delText xml:space="preserve">onemocnění </w:delText>
        </w:r>
        <w:r w:rsidRPr="001B4A02">
          <w:delText>vrátit.</w:delText>
        </w:r>
      </w:del>
    </w:p>
    <w:p w14:paraId="1FBB4DC9" w14:textId="77777777" w:rsidR="009A4C02" w:rsidRPr="001B4A02" w:rsidRDefault="009A4C02" w:rsidP="00ED48A3">
      <w:pPr>
        <w:ind w:left="0" w:firstLine="0"/>
        <w:rPr>
          <w:del w:id="11794" w:author="AbbVie1" w:date="2025-05-13T10:11:00Z"/>
        </w:rPr>
      </w:pPr>
    </w:p>
    <w:p w14:paraId="6FA3DD53" w14:textId="77777777" w:rsidR="00073F8F" w:rsidRPr="001B4A02" w:rsidRDefault="00000000" w:rsidP="00ED48A3">
      <w:pPr>
        <w:ind w:left="0" w:firstLine="0"/>
        <w:rPr>
          <w:del w:id="11795" w:author="AbbVie1" w:date="2025-05-13T10:11:00Z"/>
        </w:rPr>
      </w:pPr>
      <w:del w:id="11796" w:author="AbbVie1" w:date="2025-05-13T10:11:00Z">
        <w:r w:rsidRPr="001B4A02">
          <w:delText xml:space="preserve">Máte-li jakékoli další otázky týkající se </w:delText>
        </w:r>
        <w:r w:rsidR="00702AEB" w:rsidRPr="001B4A02">
          <w:delText>po</w:delText>
        </w:r>
        <w:r w:rsidRPr="001B4A02">
          <w:delText>užívání tohoto přípravku, zeptejte se svého lékaře nebo lékárníka.</w:delText>
        </w:r>
      </w:del>
    </w:p>
    <w:p w14:paraId="7C6EBA07" w14:textId="77777777" w:rsidR="00073F8F" w:rsidRPr="001B4A02" w:rsidRDefault="00073F8F" w:rsidP="00ED48A3">
      <w:pPr>
        <w:ind w:left="0" w:firstLine="0"/>
        <w:rPr>
          <w:del w:id="11797" w:author="AbbVie1" w:date="2025-05-13T10:11:00Z"/>
        </w:rPr>
      </w:pPr>
    </w:p>
    <w:p w14:paraId="3EE38891" w14:textId="77777777" w:rsidR="00225D61" w:rsidRPr="001B4A02" w:rsidRDefault="00225D61" w:rsidP="00ED48A3">
      <w:pPr>
        <w:ind w:left="0" w:firstLine="0"/>
        <w:rPr>
          <w:del w:id="11798" w:author="AbbVie1" w:date="2025-05-13T10:11:00Z"/>
        </w:rPr>
      </w:pPr>
    </w:p>
    <w:p w14:paraId="39FAFD6A" w14:textId="77777777" w:rsidR="00073F8F" w:rsidRPr="001B4A02" w:rsidRDefault="00000000" w:rsidP="004D0686">
      <w:pPr>
        <w:numPr>
          <w:ilvl w:val="12"/>
          <w:numId w:val="0"/>
        </w:numPr>
        <w:ind w:left="567" w:hanging="567"/>
        <w:outlineLvl w:val="1"/>
        <w:rPr>
          <w:del w:id="11799" w:author="AbbVie1" w:date="2025-05-13T10:11:00Z"/>
        </w:rPr>
      </w:pPr>
      <w:del w:id="11800" w:author="AbbVie1" w:date="2025-05-13T10:11:00Z">
        <w:r w:rsidRPr="001B4A02">
          <w:rPr>
            <w:b/>
          </w:rPr>
          <w:delText>4.</w:delText>
        </w:r>
        <w:r w:rsidRPr="001B4A02">
          <w:rPr>
            <w:b/>
          </w:rPr>
          <w:tab/>
          <w:delText>M</w:delText>
        </w:r>
        <w:r w:rsidR="009A4C02" w:rsidRPr="001B4A02">
          <w:rPr>
            <w:b/>
          </w:rPr>
          <w:delText>ožné nežádoucí účinky</w:delText>
        </w:r>
      </w:del>
    </w:p>
    <w:p w14:paraId="6CD8A412" w14:textId="77777777" w:rsidR="00073F8F" w:rsidRPr="001B4A02" w:rsidRDefault="00073F8F" w:rsidP="00ED48A3">
      <w:pPr>
        <w:numPr>
          <w:ilvl w:val="12"/>
          <w:numId w:val="0"/>
        </w:numPr>
        <w:ind w:right="-29"/>
        <w:jc w:val="both"/>
        <w:rPr>
          <w:del w:id="11801" w:author="AbbVie1" w:date="2025-05-13T10:11:00Z"/>
        </w:rPr>
      </w:pPr>
    </w:p>
    <w:p w14:paraId="4E1B3B34" w14:textId="77777777" w:rsidR="00073F8F" w:rsidRPr="001B4A02" w:rsidRDefault="00000000" w:rsidP="00ED48A3">
      <w:pPr>
        <w:ind w:left="0" w:firstLine="0"/>
        <w:rPr>
          <w:del w:id="11802" w:author="AbbVie1" w:date="2025-05-13T10:11:00Z"/>
        </w:rPr>
      </w:pPr>
      <w:del w:id="11803" w:author="AbbVie1" w:date="2025-05-13T10:11:00Z">
        <w:r w:rsidRPr="001B4A02">
          <w:delText xml:space="preserve">Podobně jako všechny léky může mít i </w:delText>
        </w:r>
        <w:r w:rsidR="009A4C02" w:rsidRPr="001B4A02">
          <w:delText>tento přípravek</w:delText>
        </w:r>
        <w:r w:rsidRPr="001B4A02">
          <w:delText xml:space="preserve"> nežádoucí účinky, které se ale nemusí vyskytnout u každého. Většina nežádoucích účinků je mírné nebo střední závažnosti. Některé však mohou být závažné</w:delText>
        </w:r>
        <w:r w:rsidR="002378E0">
          <w:delText xml:space="preserve"> a </w:delText>
        </w:r>
        <w:r w:rsidRPr="001B4A02">
          <w:delText xml:space="preserve">vyžadují léčbu. Nežádoucí účinky se mohou vyskytnout i do </w:delText>
        </w:r>
        <w:r w:rsidR="00A75551" w:rsidRPr="001B4A02">
          <w:delText>4</w:delText>
        </w:r>
        <w:r w:rsidRPr="001B4A02">
          <w:delText xml:space="preserve"> měsíců po poslední dávce přípravku Humira.</w:delText>
        </w:r>
      </w:del>
    </w:p>
    <w:p w14:paraId="05BB0CB1" w14:textId="77777777" w:rsidR="00073F8F" w:rsidRPr="001B4A02" w:rsidRDefault="00073F8F" w:rsidP="00ED48A3">
      <w:pPr>
        <w:ind w:left="0" w:firstLine="0"/>
        <w:rPr>
          <w:del w:id="11804" w:author="AbbVie1" w:date="2025-05-13T10:11:00Z"/>
        </w:rPr>
      </w:pPr>
    </w:p>
    <w:p w14:paraId="73E28AC2" w14:textId="77777777" w:rsidR="00073F8F" w:rsidRPr="001B4A02" w:rsidRDefault="00000000" w:rsidP="00ED48A3">
      <w:pPr>
        <w:ind w:left="0" w:firstLine="0"/>
        <w:rPr>
          <w:del w:id="11805" w:author="AbbVie1" w:date="2025-05-13T10:11:00Z"/>
        </w:rPr>
      </w:pPr>
      <w:del w:id="11806" w:author="AbbVie1" w:date="2025-05-13T10:11:00Z">
        <w:r w:rsidRPr="001B4A02">
          <w:delText>Ihned o</w:delText>
        </w:r>
        <w:r w:rsidR="0028371E" w:rsidRPr="001B4A02">
          <w:delText xml:space="preserve">znamte svému lékaři, pokud </w:delText>
        </w:r>
        <w:r w:rsidR="00F81D2C" w:rsidRPr="001B4A02">
          <w:delText>si všimnete jakýchkoli z následujících účinků</w:delText>
        </w:r>
      </w:del>
    </w:p>
    <w:p w14:paraId="54F237FA" w14:textId="77777777" w:rsidR="00073F8F" w:rsidRPr="001B4A02" w:rsidRDefault="00000000" w:rsidP="00ED48A3">
      <w:pPr>
        <w:numPr>
          <w:ilvl w:val="0"/>
          <w:numId w:val="19"/>
        </w:numPr>
        <w:tabs>
          <w:tab w:val="clear" w:pos="720"/>
          <w:tab w:val="num" w:pos="540"/>
        </w:tabs>
        <w:ind w:left="0" w:firstLine="0"/>
        <w:rPr>
          <w:del w:id="11807" w:author="AbbVie1" w:date="2025-05-13T10:11:00Z"/>
        </w:rPr>
      </w:pPr>
      <w:del w:id="11808" w:author="AbbVie1" w:date="2025-05-13T10:11:00Z">
        <w:r w:rsidRPr="001B4A02">
          <w:delText>silná vyrážka, kopřivka nebo jiné známky alergické reakce;</w:delText>
        </w:r>
      </w:del>
    </w:p>
    <w:p w14:paraId="6B5A4344" w14:textId="77777777" w:rsidR="00073F8F" w:rsidRPr="001B4A02" w:rsidRDefault="00000000" w:rsidP="00ED48A3">
      <w:pPr>
        <w:numPr>
          <w:ilvl w:val="0"/>
          <w:numId w:val="19"/>
        </w:numPr>
        <w:tabs>
          <w:tab w:val="clear" w:pos="720"/>
          <w:tab w:val="num" w:pos="540"/>
        </w:tabs>
        <w:ind w:left="0" w:firstLine="0"/>
        <w:rPr>
          <w:del w:id="11809" w:author="AbbVie1" w:date="2025-05-13T10:11:00Z"/>
        </w:rPr>
      </w:pPr>
      <w:del w:id="11810" w:author="AbbVie1" w:date="2025-05-13T10:11:00Z">
        <w:r w:rsidRPr="001B4A02">
          <w:delText>ot</w:delText>
        </w:r>
        <w:r w:rsidR="006D39E6">
          <w:delText>ok</w:delText>
        </w:r>
        <w:r w:rsidRPr="001B4A02">
          <w:delText xml:space="preserve"> obličej</w:delText>
        </w:r>
        <w:r w:rsidR="006D39E6">
          <w:delText>e</w:delText>
        </w:r>
        <w:r w:rsidRPr="001B4A02">
          <w:delText>, ru</w:delText>
        </w:r>
        <w:r w:rsidR="006D39E6">
          <w:delText xml:space="preserve">kou, </w:delText>
        </w:r>
        <w:r w:rsidRPr="001B4A02">
          <w:delText>noh</w:delText>
        </w:r>
        <w:r w:rsidR="006D39E6">
          <w:delText>ou</w:delText>
        </w:r>
        <w:r w:rsidRPr="001B4A02">
          <w:delText>;</w:delText>
        </w:r>
      </w:del>
    </w:p>
    <w:p w14:paraId="00D3728E" w14:textId="77777777" w:rsidR="00073F8F" w:rsidRPr="001B4A02" w:rsidRDefault="00000000" w:rsidP="00ED48A3">
      <w:pPr>
        <w:numPr>
          <w:ilvl w:val="0"/>
          <w:numId w:val="19"/>
        </w:numPr>
        <w:tabs>
          <w:tab w:val="clear" w:pos="720"/>
          <w:tab w:val="num" w:pos="540"/>
        </w:tabs>
        <w:ind w:left="0" w:firstLine="0"/>
        <w:rPr>
          <w:del w:id="11811" w:author="AbbVie1" w:date="2025-05-13T10:11:00Z"/>
        </w:rPr>
      </w:pPr>
      <w:del w:id="11812" w:author="AbbVie1" w:date="2025-05-13T10:11:00Z">
        <w:r w:rsidRPr="001B4A02">
          <w:delText>obtíže s dechem či polykáním;</w:delText>
        </w:r>
      </w:del>
    </w:p>
    <w:p w14:paraId="4ADE65F6" w14:textId="77777777" w:rsidR="00073F8F" w:rsidRPr="001B4A02" w:rsidRDefault="00000000" w:rsidP="00ED48A3">
      <w:pPr>
        <w:numPr>
          <w:ilvl w:val="0"/>
          <w:numId w:val="19"/>
        </w:numPr>
        <w:tabs>
          <w:tab w:val="clear" w:pos="720"/>
          <w:tab w:val="num" w:pos="540"/>
        </w:tabs>
        <w:ind w:left="0" w:firstLine="0"/>
        <w:rPr>
          <w:del w:id="11813" w:author="AbbVie1" w:date="2025-05-13T10:11:00Z"/>
        </w:rPr>
      </w:pPr>
      <w:del w:id="11814" w:author="AbbVie1" w:date="2025-05-13T10:11:00Z">
        <w:r w:rsidRPr="001B4A02">
          <w:delText>zadýchávání, které se zhorší v poloze vleže nebo otoky nohou</w:delText>
        </w:r>
        <w:r w:rsidR="009A4C02" w:rsidRPr="001B4A02">
          <w:delText>.</w:delText>
        </w:r>
      </w:del>
    </w:p>
    <w:p w14:paraId="50FA66EF" w14:textId="77777777" w:rsidR="00073F8F" w:rsidRPr="001B4A02" w:rsidRDefault="00073F8F" w:rsidP="007C5EA6">
      <w:pPr>
        <w:pStyle w:val="EndnoteText"/>
        <w:rPr>
          <w:del w:id="11815" w:author="AbbVie1" w:date="2025-05-13T10:11:00Z"/>
          <w:lang w:val="cs-CZ"/>
        </w:rPr>
      </w:pPr>
    </w:p>
    <w:p w14:paraId="314BB897" w14:textId="77777777" w:rsidR="00073F8F" w:rsidRPr="001B4A02" w:rsidRDefault="00000000" w:rsidP="00ED48A3">
      <w:pPr>
        <w:ind w:left="0" w:firstLine="0"/>
        <w:rPr>
          <w:del w:id="11816" w:author="AbbVie1" w:date="2025-05-13T10:11:00Z"/>
        </w:rPr>
      </w:pPr>
      <w:del w:id="11817" w:author="AbbVie1" w:date="2025-05-13T10:11:00Z">
        <w:r w:rsidRPr="001B4A02">
          <w:delText xml:space="preserve">Oznamte svému lékaři co nejdříve, pokud </w:delText>
        </w:r>
        <w:r w:rsidR="00F81D2C" w:rsidRPr="001B4A02">
          <w:delText>si všimnete jakýchkoli z následujících účinků</w:delText>
        </w:r>
      </w:del>
    </w:p>
    <w:p w14:paraId="40F5438F" w14:textId="77777777" w:rsidR="00073F8F" w:rsidRPr="001B4A02" w:rsidRDefault="00000000" w:rsidP="00ED48A3">
      <w:pPr>
        <w:numPr>
          <w:ilvl w:val="0"/>
          <w:numId w:val="20"/>
        </w:numPr>
        <w:tabs>
          <w:tab w:val="clear" w:pos="720"/>
          <w:tab w:val="num" w:pos="540"/>
        </w:tabs>
        <w:ind w:left="0" w:firstLine="0"/>
        <w:rPr>
          <w:del w:id="11818" w:author="AbbVie1" w:date="2025-05-13T10:11:00Z"/>
        </w:rPr>
      </w:pPr>
      <w:del w:id="11819" w:author="AbbVie1" w:date="2025-05-13T10:11:00Z">
        <w:r w:rsidRPr="001B4A02">
          <w:delText xml:space="preserve">známky infekce, jako </w:delText>
        </w:r>
        <w:r w:rsidR="00005EC2" w:rsidRPr="001B4A02">
          <w:rPr>
            <w:szCs w:val="22"/>
          </w:rPr>
          <w:delText xml:space="preserve">jsou </w:delText>
        </w:r>
        <w:r w:rsidRPr="001B4A02">
          <w:delText>horečka, pocit nemoci, zranění, problémy se zuby, pálení při močení;</w:delText>
        </w:r>
      </w:del>
    </w:p>
    <w:p w14:paraId="1C2DA276" w14:textId="77777777" w:rsidR="00073F8F" w:rsidRPr="001B4A02" w:rsidRDefault="00000000" w:rsidP="00ED48A3">
      <w:pPr>
        <w:numPr>
          <w:ilvl w:val="0"/>
          <w:numId w:val="20"/>
        </w:numPr>
        <w:tabs>
          <w:tab w:val="clear" w:pos="720"/>
          <w:tab w:val="num" w:pos="540"/>
        </w:tabs>
        <w:ind w:left="0" w:firstLine="0"/>
        <w:rPr>
          <w:del w:id="11820" w:author="AbbVie1" w:date="2025-05-13T10:11:00Z"/>
        </w:rPr>
      </w:pPr>
      <w:del w:id="11821" w:author="AbbVie1" w:date="2025-05-13T10:11:00Z">
        <w:r w:rsidRPr="001B4A02">
          <w:delText>pocit slabosti nebo únavy;</w:delText>
        </w:r>
      </w:del>
    </w:p>
    <w:p w14:paraId="1DBE56B8" w14:textId="77777777" w:rsidR="00073F8F" w:rsidRPr="001B4A02" w:rsidRDefault="00000000" w:rsidP="00ED48A3">
      <w:pPr>
        <w:numPr>
          <w:ilvl w:val="0"/>
          <w:numId w:val="20"/>
        </w:numPr>
        <w:tabs>
          <w:tab w:val="clear" w:pos="720"/>
          <w:tab w:val="num" w:pos="540"/>
        </w:tabs>
        <w:ind w:left="0" w:firstLine="0"/>
        <w:rPr>
          <w:del w:id="11822" w:author="AbbVie1" w:date="2025-05-13T10:11:00Z"/>
        </w:rPr>
      </w:pPr>
      <w:del w:id="11823" w:author="AbbVie1" w:date="2025-05-13T10:11:00Z">
        <w:r w:rsidRPr="001B4A02">
          <w:delText>kašel;</w:delText>
        </w:r>
      </w:del>
    </w:p>
    <w:p w14:paraId="2A11A01F" w14:textId="77777777" w:rsidR="00073F8F" w:rsidRPr="001B4A02" w:rsidRDefault="00000000" w:rsidP="00ED48A3">
      <w:pPr>
        <w:numPr>
          <w:ilvl w:val="0"/>
          <w:numId w:val="20"/>
        </w:numPr>
        <w:tabs>
          <w:tab w:val="clear" w:pos="720"/>
          <w:tab w:val="num" w:pos="540"/>
        </w:tabs>
        <w:ind w:left="0" w:firstLine="0"/>
        <w:rPr>
          <w:del w:id="11824" w:author="AbbVie1" w:date="2025-05-13T10:11:00Z"/>
        </w:rPr>
      </w:pPr>
      <w:del w:id="11825" w:author="AbbVie1" w:date="2025-05-13T10:11:00Z">
        <w:r w:rsidRPr="001B4A02">
          <w:delText>brnění;</w:delText>
        </w:r>
      </w:del>
    </w:p>
    <w:p w14:paraId="01387F7C" w14:textId="77777777" w:rsidR="00073F8F" w:rsidRPr="001B4A02" w:rsidRDefault="00000000" w:rsidP="00ED48A3">
      <w:pPr>
        <w:numPr>
          <w:ilvl w:val="0"/>
          <w:numId w:val="20"/>
        </w:numPr>
        <w:tabs>
          <w:tab w:val="clear" w:pos="720"/>
          <w:tab w:val="num" w:pos="540"/>
        </w:tabs>
        <w:ind w:left="0" w:firstLine="0"/>
        <w:rPr>
          <w:del w:id="11826" w:author="AbbVie1" w:date="2025-05-13T10:11:00Z"/>
        </w:rPr>
      </w:pPr>
      <w:del w:id="11827" w:author="AbbVie1" w:date="2025-05-13T10:11:00Z">
        <w:r w:rsidRPr="001B4A02">
          <w:delText>snížená citlivost;</w:delText>
        </w:r>
      </w:del>
    </w:p>
    <w:p w14:paraId="6F7F70B1" w14:textId="77777777" w:rsidR="00073F8F" w:rsidRPr="001B4A02" w:rsidRDefault="00000000" w:rsidP="00ED48A3">
      <w:pPr>
        <w:numPr>
          <w:ilvl w:val="0"/>
          <w:numId w:val="20"/>
        </w:numPr>
        <w:tabs>
          <w:tab w:val="clear" w:pos="720"/>
          <w:tab w:val="num" w:pos="540"/>
        </w:tabs>
        <w:ind w:left="0" w:firstLine="0"/>
        <w:rPr>
          <w:del w:id="11828" w:author="AbbVie1" w:date="2025-05-13T10:11:00Z"/>
        </w:rPr>
      </w:pPr>
      <w:del w:id="11829" w:author="AbbVie1" w:date="2025-05-13T10:11:00Z">
        <w:r w:rsidRPr="001B4A02">
          <w:delText>dvojité vidění;</w:delText>
        </w:r>
      </w:del>
    </w:p>
    <w:p w14:paraId="07131C6F" w14:textId="77777777" w:rsidR="00073F8F" w:rsidRPr="001B4A02" w:rsidRDefault="00000000" w:rsidP="00ED48A3">
      <w:pPr>
        <w:numPr>
          <w:ilvl w:val="0"/>
          <w:numId w:val="20"/>
        </w:numPr>
        <w:tabs>
          <w:tab w:val="clear" w:pos="720"/>
          <w:tab w:val="num" w:pos="540"/>
        </w:tabs>
        <w:ind w:left="0" w:firstLine="0"/>
        <w:rPr>
          <w:del w:id="11830" w:author="AbbVie1" w:date="2025-05-13T10:11:00Z"/>
        </w:rPr>
      </w:pPr>
      <w:del w:id="11831" w:author="AbbVie1" w:date="2025-05-13T10:11:00Z">
        <w:r w:rsidRPr="001B4A02">
          <w:delText>slabost horních nebo dolních končetin;</w:delText>
        </w:r>
      </w:del>
    </w:p>
    <w:p w14:paraId="03367D29" w14:textId="77777777" w:rsidR="009A4C02" w:rsidRPr="001B4A02" w:rsidRDefault="00000000" w:rsidP="00ED48A3">
      <w:pPr>
        <w:numPr>
          <w:ilvl w:val="0"/>
          <w:numId w:val="20"/>
        </w:numPr>
        <w:tabs>
          <w:tab w:val="clear" w:pos="720"/>
          <w:tab w:val="num" w:pos="540"/>
        </w:tabs>
        <w:ind w:left="0" w:firstLine="0"/>
        <w:rPr>
          <w:del w:id="11832" w:author="AbbVie1" w:date="2025-05-13T10:11:00Z"/>
        </w:rPr>
      </w:pPr>
      <w:del w:id="11833" w:author="AbbVie1" w:date="2025-05-13T10:11:00Z">
        <w:r w:rsidRPr="001B4A02">
          <w:delText>otok (boule) nebo opar, který se nehojí;</w:delText>
        </w:r>
      </w:del>
    </w:p>
    <w:p w14:paraId="5C6C2F29" w14:textId="77777777" w:rsidR="00073F8F" w:rsidRPr="001B4A02" w:rsidRDefault="00000000" w:rsidP="00ED48A3">
      <w:pPr>
        <w:numPr>
          <w:ilvl w:val="0"/>
          <w:numId w:val="20"/>
        </w:numPr>
        <w:tabs>
          <w:tab w:val="clear" w:pos="720"/>
          <w:tab w:val="num" w:pos="540"/>
        </w:tabs>
        <w:ind w:left="567" w:hanging="567"/>
        <w:rPr>
          <w:del w:id="11834" w:author="AbbVie1" w:date="2025-05-13T10:11:00Z"/>
        </w:rPr>
      </w:pPr>
      <w:del w:id="11835" w:author="AbbVie1" w:date="2025-05-13T10:11:00Z">
        <w:r>
          <w:rPr>
            <w:bCs/>
            <w:szCs w:val="22"/>
          </w:rPr>
          <w:delText>známky</w:delText>
        </w:r>
        <w:r w:rsidR="002378E0">
          <w:rPr>
            <w:bCs/>
            <w:szCs w:val="22"/>
          </w:rPr>
          <w:delText xml:space="preserve"> a </w:delText>
        </w:r>
        <w:r w:rsidR="009A4C02" w:rsidRPr="001B4A02">
          <w:rPr>
            <w:bCs/>
            <w:szCs w:val="22"/>
          </w:rPr>
          <w:delText>příznaky podezřelé z krevních poruch, jako je přetrvávající horečka, tvorba modřin, krvácení, bledost</w:delText>
        </w:r>
        <w:r w:rsidRPr="001B4A02">
          <w:delText>.</w:delText>
        </w:r>
      </w:del>
    </w:p>
    <w:p w14:paraId="3D5A2A9D" w14:textId="77777777" w:rsidR="00073F8F" w:rsidRPr="001B4A02" w:rsidRDefault="00073F8F" w:rsidP="00ED48A3">
      <w:pPr>
        <w:pStyle w:val="EndnoteText"/>
        <w:ind w:left="0" w:firstLine="0"/>
        <w:rPr>
          <w:del w:id="11836" w:author="AbbVie1" w:date="2025-05-13T10:11:00Z"/>
          <w:lang w:val="cs-CZ"/>
        </w:rPr>
      </w:pPr>
    </w:p>
    <w:p w14:paraId="47219709" w14:textId="77777777" w:rsidR="00073F8F" w:rsidRPr="001B4A02" w:rsidRDefault="00000000" w:rsidP="00ED48A3">
      <w:pPr>
        <w:ind w:left="0" w:firstLine="0"/>
        <w:rPr>
          <w:del w:id="11837" w:author="AbbVie1" w:date="2025-05-13T10:11:00Z"/>
        </w:rPr>
      </w:pPr>
      <w:del w:id="11838" w:author="AbbVie1" w:date="2025-05-13T10:11:00Z">
        <w:r w:rsidRPr="001B4A02">
          <w:delText xml:space="preserve">Příznaky popsané výše mohou být známkami níže uvedeného seznamu nežádoucích účinků, které byly popsány při </w:delText>
        </w:r>
        <w:r w:rsidR="00702AEB" w:rsidRPr="001B4A02">
          <w:delText>po</w:delText>
        </w:r>
        <w:r w:rsidRPr="001B4A02">
          <w:delText>užívání přípravku Humira:</w:delText>
        </w:r>
      </w:del>
    </w:p>
    <w:p w14:paraId="6EAC117A" w14:textId="77777777" w:rsidR="00073F8F" w:rsidRPr="001B4A02" w:rsidRDefault="00073F8F" w:rsidP="00ED48A3">
      <w:pPr>
        <w:ind w:left="0" w:firstLine="0"/>
        <w:rPr>
          <w:del w:id="11839" w:author="AbbVie1" w:date="2025-05-13T10:11:00Z"/>
        </w:rPr>
      </w:pPr>
    </w:p>
    <w:p w14:paraId="5A277406" w14:textId="77777777" w:rsidR="00073F8F" w:rsidRPr="001B4A02" w:rsidRDefault="00000000" w:rsidP="00ED48A3">
      <w:pPr>
        <w:tabs>
          <w:tab w:val="left" w:pos="5745"/>
        </w:tabs>
        <w:ind w:left="0" w:firstLine="0"/>
        <w:rPr>
          <w:del w:id="11840" w:author="AbbVie1" w:date="2025-05-13T10:11:00Z"/>
        </w:rPr>
      </w:pPr>
      <w:del w:id="11841" w:author="AbbVie1" w:date="2025-05-13T10:11:00Z">
        <w:r w:rsidRPr="001B4A02">
          <w:delText>Velmi časté (</w:delText>
        </w:r>
        <w:r w:rsidR="003472B2" w:rsidRPr="001B4A02">
          <w:rPr>
            <w:shd w:val="clear" w:color="auto" w:fill="FFFFFF"/>
          </w:rPr>
          <w:delText>mohou postihnout více než 1 z 10 osob</w:delText>
        </w:r>
        <w:r w:rsidRPr="001B4A02">
          <w:delText>)</w:delText>
        </w:r>
      </w:del>
    </w:p>
    <w:p w14:paraId="369AEA04" w14:textId="77777777" w:rsidR="00225A0A" w:rsidRPr="001B4A02" w:rsidRDefault="00225A0A" w:rsidP="00ED48A3">
      <w:pPr>
        <w:tabs>
          <w:tab w:val="left" w:pos="5745"/>
        </w:tabs>
        <w:ind w:left="0" w:firstLine="0"/>
        <w:rPr>
          <w:del w:id="11842" w:author="AbbVie1" w:date="2025-05-13T10:11:00Z"/>
          <w:bCs/>
          <w:szCs w:val="22"/>
        </w:rPr>
      </w:pPr>
    </w:p>
    <w:p w14:paraId="70105B24" w14:textId="77777777" w:rsidR="00F55EB2" w:rsidRPr="001B4A02" w:rsidRDefault="00000000" w:rsidP="007C5EA6">
      <w:pPr>
        <w:numPr>
          <w:ilvl w:val="2"/>
          <w:numId w:val="17"/>
        </w:numPr>
        <w:tabs>
          <w:tab w:val="clear" w:pos="2160"/>
        </w:tabs>
        <w:ind w:left="567" w:hanging="567"/>
        <w:rPr>
          <w:del w:id="11843" w:author="AbbVie1" w:date="2025-05-13T10:11:00Z"/>
        </w:rPr>
      </w:pPr>
      <w:del w:id="11844" w:author="AbbVie1" w:date="2025-05-13T10:11:00Z">
        <w:r w:rsidRPr="001B4A02">
          <w:delText xml:space="preserve">reakce v místě injekčního vpichu (včetně </w:delText>
        </w:r>
        <w:r w:rsidRPr="001B4A02">
          <w:rPr>
            <w:bCs/>
            <w:szCs w:val="22"/>
          </w:rPr>
          <w:delText>bolesti, otoku, zarudnutí nebo svědění);</w:delText>
        </w:r>
      </w:del>
    </w:p>
    <w:p w14:paraId="3E855D0E" w14:textId="77777777" w:rsidR="00F55EB2" w:rsidRPr="001B4A02" w:rsidRDefault="00000000" w:rsidP="007C5EA6">
      <w:pPr>
        <w:numPr>
          <w:ilvl w:val="0"/>
          <w:numId w:val="17"/>
        </w:numPr>
        <w:tabs>
          <w:tab w:val="clear" w:pos="720"/>
        </w:tabs>
        <w:ind w:left="567" w:hanging="567"/>
        <w:rPr>
          <w:del w:id="11845" w:author="AbbVie1" w:date="2025-05-13T10:11:00Z"/>
          <w:bCs/>
          <w:szCs w:val="22"/>
        </w:rPr>
      </w:pPr>
      <w:del w:id="11846" w:author="AbbVie1" w:date="2025-05-13T10:11:00Z">
        <w:r w:rsidRPr="001B4A02">
          <w:rPr>
            <w:bCs/>
            <w:szCs w:val="22"/>
          </w:rPr>
          <w:delText>infekce dýchacích cest (včetně nastydnutí, rýmy, infekce vedlejších nosních dutin, zápalu plic)</w:delText>
        </w:r>
        <w:r w:rsidRPr="001B4A02">
          <w:delText>;</w:delText>
        </w:r>
      </w:del>
    </w:p>
    <w:p w14:paraId="1D4FA7FF" w14:textId="77777777" w:rsidR="00F55EB2" w:rsidRPr="001B4A02" w:rsidRDefault="00000000" w:rsidP="007C5EA6">
      <w:pPr>
        <w:numPr>
          <w:ilvl w:val="0"/>
          <w:numId w:val="17"/>
        </w:numPr>
        <w:tabs>
          <w:tab w:val="clear" w:pos="720"/>
        </w:tabs>
        <w:ind w:left="567" w:hanging="567"/>
        <w:rPr>
          <w:del w:id="11847" w:author="AbbVie1" w:date="2025-05-13T10:11:00Z"/>
          <w:bCs/>
          <w:szCs w:val="22"/>
        </w:rPr>
      </w:pPr>
      <w:del w:id="11848" w:author="AbbVie1" w:date="2025-05-13T10:11:00Z">
        <w:r w:rsidRPr="001B4A02">
          <w:rPr>
            <w:bCs/>
            <w:szCs w:val="22"/>
          </w:rPr>
          <w:delText>bolest hlavy</w:delText>
        </w:r>
        <w:r w:rsidRPr="001B4A02">
          <w:delText>;</w:delText>
        </w:r>
      </w:del>
    </w:p>
    <w:p w14:paraId="13ECA72C" w14:textId="77777777" w:rsidR="00F55EB2" w:rsidRPr="001B4A02" w:rsidRDefault="00000000" w:rsidP="007C5EA6">
      <w:pPr>
        <w:numPr>
          <w:ilvl w:val="0"/>
          <w:numId w:val="17"/>
        </w:numPr>
        <w:tabs>
          <w:tab w:val="clear" w:pos="720"/>
        </w:tabs>
        <w:ind w:left="567" w:hanging="567"/>
        <w:rPr>
          <w:del w:id="11849" w:author="AbbVie1" w:date="2025-05-13T10:11:00Z"/>
          <w:bCs/>
          <w:szCs w:val="22"/>
        </w:rPr>
      </w:pPr>
      <w:del w:id="11850" w:author="AbbVie1" w:date="2025-05-13T10:11:00Z">
        <w:r w:rsidRPr="001B4A02">
          <w:rPr>
            <w:bCs/>
            <w:szCs w:val="22"/>
          </w:rPr>
          <w:delText>bolest břicha</w:delText>
        </w:r>
        <w:r w:rsidRPr="001B4A02">
          <w:delText>;</w:delText>
        </w:r>
      </w:del>
    </w:p>
    <w:p w14:paraId="78D60C09" w14:textId="77777777" w:rsidR="00F55EB2" w:rsidRPr="001B4A02" w:rsidRDefault="00000000" w:rsidP="007C5EA6">
      <w:pPr>
        <w:numPr>
          <w:ilvl w:val="0"/>
          <w:numId w:val="17"/>
        </w:numPr>
        <w:tabs>
          <w:tab w:val="clear" w:pos="720"/>
        </w:tabs>
        <w:ind w:left="567" w:hanging="567"/>
        <w:rPr>
          <w:del w:id="11851" w:author="AbbVie1" w:date="2025-05-13T10:11:00Z"/>
          <w:bCs/>
          <w:szCs w:val="22"/>
        </w:rPr>
      </w:pPr>
      <w:del w:id="11852" w:author="AbbVie1" w:date="2025-05-13T10:11:00Z">
        <w:r>
          <w:rPr>
            <w:bCs/>
            <w:szCs w:val="22"/>
          </w:rPr>
          <w:delText>pocit na zvracení</w:delText>
        </w:r>
        <w:r w:rsidR="002378E0">
          <w:rPr>
            <w:bCs/>
            <w:szCs w:val="22"/>
          </w:rPr>
          <w:delText xml:space="preserve"> a </w:delText>
        </w:r>
        <w:r w:rsidRPr="001B4A02">
          <w:rPr>
            <w:bCs/>
            <w:szCs w:val="22"/>
          </w:rPr>
          <w:delText>zvracení</w:delText>
        </w:r>
        <w:r w:rsidRPr="001B4A02">
          <w:delText>;</w:delText>
        </w:r>
      </w:del>
    </w:p>
    <w:p w14:paraId="4698B94B" w14:textId="77777777" w:rsidR="00F55EB2" w:rsidRPr="001B4A02" w:rsidRDefault="00000000" w:rsidP="007C5EA6">
      <w:pPr>
        <w:numPr>
          <w:ilvl w:val="0"/>
          <w:numId w:val="17"/>
        </w:numPr>
        <w:tabs>
          <w:tab w:val="clear" w:pos="720"/>
        </w:tabs>
        <w:ind w:left="567" w:hanging="567"/>
        <w:rPr>
          <w:del w:id="11853" w:author="AbbVie1" w:date="2025-05-13T10:11:00Z"/>
          <w:bCs/>
          <w:szCs w:val="22"/>
        </w:rPr>
      </w:pPr>
      <w:del w:id="11854" w:author="AbbVie1" w:date="2025-05-13T10:11:00Z">
        <w:r w:rsidRPr="001B4A02">
          <w:rPr>
            <w:bCs/>
            <w:szCs w:val="22"/>
          </w:rPr>
          <w:delText>vyrážka</w:delText>
        </w:r>
        <w:r w:rsidRPr="001B4A02">
          <w:delText>;</w:delText>
        </w:r>
      </w:del>
    </w:p>
    <w:p w14:paraId="6C094E2E" w14:textId="77777777" w:rsidR="00073F8F" w:rsidRPr="001B4A02" w:rsidRDefault="00000000" w:rsidP="007C5EA6">
      <w:pPr>
        <w:numPr>
          <w:ilvl w:val="0"/>
          <w:numId w:val="17"/>
        </w:numPr>
        <w:tabs>
          <w:tab w:val="clear" w:pos="720"/>
        </w:tabs>
        <w:ind w:left="567" w:hanging="567"/>
        <w:rPr>
          <w:del w:id="11855" w:author="AbbVie1" w:date="2025-05-13T10:11:00Z"/>
        </w:rPr>
      </w:pPr>
      <w:del w:id="11856" w:author="AbbVie1" w:date="2025-05-13T10:11:00Z">
        <w:r w:rsidRPr="001B4A02">
          <w:rPr>
            <w:bCs/>
            <w:szCs w:val="22"/>
          </w:rPr>
          <w:delText>bolest svalů</w:delText>
        </w:r>
        <w:r w:rsidR="002378E0">
          <w:rPr>
            <w:bCs/>
            <w:szCs w:val="22"/>
          </w:rPr>
          <w:delText xml:space="preserve"> a </w:delText>
        </w:r>
        <w:r w:rsidRPr="001B4A02">
          <w:rPr>
            <w:bCs/>
            <w:szCs w:val="22"/>
          </w:rPr>
          <w:delText>kloubů.</w:delText>
        </w:r>
      </w:del>
    </w:p>
    <w:p w14:paraId="3C09360B" w14:textId="77777777" w:rsidR="00073F8F" w:rsidRPr="001B4A02" w:rsidRDefault="00073F8F" w:rsidP="00ED48A3">
      <w:pPr>
        <w:ind w:left="0" w:firstLine="0"/>
        <w:rPr>
          <w:del w:id="11857" w:author="AbbVie1" w:date="2025-05-13T10:11:00Z"/>
        </w:rPr>
      </w:pPr>
    </w:p>
    <w:p w14:paraId="486B1D3C" w14:textId="77777777" w:rsidR="00073F8F" w:rsidRPr="001B4A02" w:rsidRDefault="00000000" w:rsidP="00ED48A3">
      <w:pPr>
        <w:tabs>
          <w:tab w:val="left" w:pos="0"/>
        </w:tabs>
        <w:ind w:left="0" w:firstLine="0"/>
        <w:rPr>
          <w:del w:id="11858" w:author="AbbVie1" w:date="2025-05-13T10:11:00Z"/>
        </w:rPr>
      </w:pPr>
      <w:del w:id="11859" w:author="AbbVie1" w:date="2025-05-13T10:11:00Z">
        <w:r w:rsidRPr="001B4A02">
          <w:delText>Časté (</w:delText>
        </w:r>
        <w:r w:rsidR="00FA5EFC" w:rsidRPr="001B4A02">
          <w:delText>mohou postihnout nejvýše</w:delText>
        </w:r>
        <w:r w:rsidR="003472B2" w:rsidRPr="001B4A02">
          <w:delText xml:space="preserve"> 1 z</w:delText>
        </w:r>
        <w:r w:rsidR="004823B6" w:rsidRPr="001B4A02">
          <w:delText> </w:delText>
        </w:r>
        <w:r w:rsidR="003472B2" w:rsidRPr="001B4A02">
          <w:delText>10 osob</w:delText>
        </w:r>
        <w:r w:rsidRPr="001B4A02">
          <w:delText>)</w:delText>
        </w:r>
      </w:del>
    </w:p>
    <w:p w14:paraId="504D6D73" w14:textId="77777777" w:rsidR="00225A0A" w:rsidRPr="001B4A02" w:rsidRDefault="00225A0A" w:rsidP="00ED48A3">
      <w:pPr>
        <w:tabs>
          <w:tab w:val="left" w:pos="0"/>
        </w:tabs>
        <w:ind w:left="0" w:firstLine="0"/>
        <w:rPr>
          <w:del w:id="11860" w:author="AbbVie1" w:date="2025-05-13T10:11:00Z"/>
        </w:rPr>
      </w:pPr>
    </w:p>
    <w:p w14:paraId="456CA8C6" w14:textId="77777777" w:rsidR="00F55EB2" w:rsidRPr="001B4A02" w:rsidRDefault="00000000" w:rsidP="007C5EA6">
      <w:pPr>
        <w:numPr>
          <w:ilvl w:val="0"/>
          <w:numId w:val="17"/>
        </w:numPr>
        <w:tabs>
          <w:tab w:val="clear" w:pos="720"/>
        </w:tabs>
        <w:ind w:left="567" w:hanging="567"/>
        <w:rPr>
          <w:del w:id="11861" w:author="AbbVie1" w:date="2025-05-13T10:11:00Z"/>
        </w:rPr>
      </w:pPr>
      <w:del w:id="11862" w:author="AbbVie1" w:date="2025-05-13T10:11:00Z">
        <w:r>
          <w:rPr>
            <w:bCs/>
            <w:szCs w:val="22"/>
          </w:rPr>
          <w:delText>závažné</w:delText>
        </w:r>
        <w:r w:rsidRPr="001B4A02">
          <w:rPr>
            <w:bCs/>
            <w:szCs w:val="22"/>
          </w:rPr>
          <w:delText xml:space="preserve"> infekce (včetně otravy krve</w:delText>
        </w:r>
        <w:r w:rsidR="002378E0">
          <w:rPr>
            <w:bCs/>
            <w:szCs w:val="22"/>
          </w:rPr>
          <w:delText xml:space="preserve"> a </w:delText>
        </w:r>
        <w:r w:rsidRPr="001B4A02">
          <w:rPr>
            <w:bCs/>
            <w:szCs w:val="22"/>
          </w:rPr>
          <w:delText>chřipky)</w:delText>
        </w:r>
        <w:r w:rsidRPr="001B4A02">
          <w:delText>;</w:delText>
        </w:r>
      </w:del>
    </w:p>
    <w:p w14:paraId="74937F28" w14:textId="77777777" w:rsidR="009B5C64" w:rsidRPr="001B4A02" w:rsidRDefault="00000000" w:rsidP="007C5EA6">
      <w:pPr>
        <w:numPr>
          <w:ilvl w:val="0"/>
          <w:numId w:val="17"/>
        </w:numPr>
        <w:tabs>
          <w:tab w:val="clear" w:pos="720"/>
        </w:tabs>
        <w:ind w:left="567" w:hanging="567"/>
        <w:rPr>
          <w:del w:id="11863" w:author="AbbVie1" w:date="2025-05-13T10:11:00Z"/>
        </w:rPr>
      </w:pPr>
      <w:del w:id="11864" w:author="AbbVie1" w:date="2025-05-13T10:11:00Z">
        <w:r w:rsidRPr="001B4A02">
          <w:delText>střevní infekce (včetně gastroenteritidy);</w:delText>
        </w:r>
      </w:del>
    </w:p>
    <w:p w14:paraId="59820975" w14:textId="77777777" w:rsidR="00F55EB2" w:rsidRPr="001B4A02" w:rsidRDefault="00000000" w:rsidP="007C5EA6">
      <w:pPr>
        <w:numPr>
          <w:ilvl w:val="0"/>
          <w:numId w:val="17"/>
        </w:numPr>
        <w:tabs>
          <w:tab w:val="clear" w:pos="720"/>
        </w:tabs>
        <w:ind w:left="567" w:hanging="567"/>
        <w:rPr>
          <w:del w:id="11865" w:author="AbbVie1" w:date="2025-05-13T10:11:00Z"/>
        </w:rPr>
      </w:pPr>
      <w:del w:id="11866" w:author="AbbVie1" w:date="2025-05-13T10:11:00Z">
        <w:r w:rsidRPr="001B4A02">
          <w:rPr>
            <w:bCs/>
            <w:szCs w:val="22"/>
          </w:rPr>
          <w:delText>kožní infekce (včetně celulitidy</w:delText>
        </w:r>
        <w:r w:rsidR="002378E0">
          <w:rPr>
            <w:bCs/>
            <w:szCs w:val="22"/>
          </w:rPr>
          <w:delText xml:space="preserve"> a </w:delText>
        </w:r>
        <w:r w:rsidRPr="001B4A02">
          <w:rPr>
            <w:bCs/>
            <w:szCs w:val="22"/>
          </w:rPr>
          <w:delText>pásového oparu)</w:delText>
        </w:r>
        <w:r w:rsidRPr="001B4A02">
          <w:delText>;</w:delText>
        </w:r>
      </w:del>
    </w:p>
    <w:p w14:paraId="6CB1A4F1" w14:textId="77777777" w:rsidR="00F55EB2" w:rsidRPr="001B4A02" w:rsidRDefault="00000000" w:rsidP="007C5EA6">
      <w:pPr>
        <w:numPr>
          <w:ilvl w:val="0"/>
          <w:numId w:val="17"/>
        </w:numPr>
        <w:tabs>
          <w:tab w:val="clear" w:pos="720"/>
        </w:tabs>
        <w:ind w:left="567" w:hanging="567"/>
        <w:rPr>
          <w:del w:id="11867" w:author="AbbVie1" w:date="2025-05-13T10:11:00Z"/>
        </w:rPr>
      </w:pPr>
      <w:del w:id="11868" w:author="AbbVie1" w:date="2025-05-13T10:11:00Z">
        <w:r w:rsidRPr="001B4A02">
          <w:delText>ušní infekce;</w:delText>
        </w:r>
      </w:del>
    </w:p>
    <w:p w14:paraId="7611B0C7" w14:textId="77777777" w:rsidR="00F55EB2" w:rsidRPr="001B4A02" w:rsidRDefault="00000000" w:rsidP="007C5EA6">
      <w:pPr>
        <w:numPr>
          <w:ilvl w:val="0"/>
          <w:numId w:val="17"/>
        </w:numPr>
        <w:tabs>
          <w:tab w:val="clear" w:pos="720"/>
        </w:tabs>
        <w:ind w:left="567" w:hanging="567"/>
        <w:rPr>
          <w:del w:id="11869" w:author="AbbVie1" w:date="2025-05-13T10:11:00Z"/>
        </w:rPr>
      </w:pPr>
      <w:del w:id="11870" w:author="AbbVie1" w:date="2025-05-13T10:11:00Z">
        <w:r w:rsidRPr="001B4A02">
          <w:rPr>
            <w:bCs/>
            <w:szCs w:val="22"/>
          </w:rPr>
          <w:delText>infekce v ústech (včetně zubních infekcí</w:delText>
        </w:r>
        <w:r w:rsidR="002378E0">
          <w:rPr>
            <w:bCs/>
            <w:szCs w:val="22"/>
          </w:rPr>
          <w:delText xml:space="preserve"> a </w:delText>
        </w:r>
        <w:r w:rsidRPr="001B4A02">
          <w:rPr>
            <w:bCs/>
            <w:szCs w:val="22"/>
          </w:rPr>
          <w:delText>oparu na rtu)</w:delText>
        </w:r>
        <w:r w:rsidRPr="001B4A02">
          <w:delText>;</w:delText>
        </w:r>
      </w:del>
    </w:p>
    <w:p w14:paraId="1FB7AC9E" w14:textId="77777777" w:rsidR="00F55EB2" w:rsidRPr="001B4A02" w:rsidRDefault="00000000" w:rsidP="007C5EA6">
      <w:pPr>
        <w:numPr>
          <w:ilvl w:val="0"/>
          <w:numId w:val="17"/>
        </w:numPr>
        <w:tabs>
          <w:tab w:val="clear" w:pos="720"/>
        </w:tabs>
        <w:ind w:left="567" w:hanging="567"/>
        <w:rPr>
          <w:del w:id="11871" w:author="AbbVie1" w:date="2025-05-13T10:11:00Z"/>
        </w:rPr>
      </w:pPr>
      <w:del w:id="11872" w:author="AbbVie1" w:date="2025-05-13T10:11:00Z">
        <w:r w:rsidRPr="001B4A02">
          <w:rPr>
            <w:bCs/>
            <w:szCs w:val="22"/>
          </w:rPr>
          <w:delText>infekce pohlavních orgánů</w:delText>
        </w:r>
        <w:r w:rsidRPr="001B4A02">
          <w:delText>;</w:delText>
        </w:r>
      </w:del>
    </w:p>
    <w:p w14:paraId="6465F9A5" w14:textId="77777777" w:rsidR="00073F8F" w:rsidRPr="001B4A02" w:rsidRDefault="00000000" w:rsidP="007C5EA6">
      <w:pPr>
        <w:numPr>
          <w:ilvl w:val="2"/>
          <w:numId w:val="17"/>
        </w:numPr>
        <w:tabs>
          <w:tab w:val="clear" w:pos="2160"/>
        </w:tabs>
        <w:ind w:left="567" w:hanging="567"/>
        <w:rPr>
          <w:del w:id="11873" w:author="AbbVie1" w:date="2025-05-13T10:11:00Z"/>
          <w:shd w:val="clear" w:color="auto" w:fill="FFFF00"/>
        </w:rPr>
      </w:pPr>
      <w:del w:id="11874" w:author="AbbVie1" w:date="2025-05-13T10:11:00Z">
        <w:r w:rsidRPr="001B4A02">
          <w:delText>zánět</w:delText>
        </w:r>
        <w:r w:rsidR="00F55EB2" w:rsidRPr="001B4A02">
          <w:delText>y</w:delText>
        </w:r>
        <w:r w:rsidRPr="001B4A02">
          <w:delText xml:space="preserve"> močových cest;</w:delText>
        </w:r>
        <w:r w:rsidRPr="001B4A02">
          <w:rPr>
            <w:shd w:val="clear" w:color="auto" w:fill="FFFF00"/>
          </w:rPr>
          <w:delText xml:space="preserve"> </w:delText>
        </w:r>
      </w:del>
    </w:p>
    <w:p w14:paraId="37271D63" w14:textId="77777777" w:rsidR="00073F8F" w:rsidRPr="001B4A02" w:rsidRDefault="00000000" w:rsidP="007C5EA6">
      <w:pPr>
        <w:numPr>
          <w:ilvl w:val="0"/>
          <w:numId w:val="56"/>
        </w:numPr>
        <w:tabs>
          <w:tab w:val="clear" w:pos="720"/>
        </w:tabs>
        <w:ind w:left="567" w:hanging="567"/>
        <w:rPr>
          <w:del w:id="11875" w:author="AbbVie1" w:date="2025-05-13T10:11:00Z"/>
          <w:shd w:val="clear" w:color="auto" w:fill="FFFF00"/>
        </w:rPr>
      </w:pPr>
      <w:del w:id="11876" w:author="AbbVie1" w:date="2025-05-13T10:11:00Z">
        <w:r w:rsidRPr="001B4A02">
          <w:delText>plísňové infekce;</w:delText>
        </w:r>
      </w:del>
    </w:p>
    <w:p w14:paraId="729F2EC3" w14:textId="77777777" w:rsidR="00936F09" w:rsidRPr="001B4A02" w:rsidRDefault="00000000" w:rsidP="007C5EA6">
      <w:pPr>
        <w:numPr>
          <w:ilvl w:val="0"/>
          <w:numId w:val="56"/>
        </w:numPr>
        <w:tabs>
          <w:tab w:val="clear" w:pos="720"/>
        </w:tabs>
        <w:ind w:left="567" w:hanging="567"/>
        <w:rPr>
          <w:del w:id="11877" w:author="AbbVie1" w:date="2025-05-13T10:11:00Z"/>
          <w:shd w:val="clear" w:color="auto" w:fill="FFFF00"/>
        </w:rPr>
      </w:pPr>
      <w:del w:id="11878" w:author="AbbVie1" w:date="2025-05-13T10:11:00Z">
        <w:r w:rsidRPr="001B4A02">
          <w:delText>záněty kloubů;</w:delText>
        </w:r>
      </w:del>
    </w:p>
    <w:p w14:paraId="5FD1D9D6" w14:textId="77777777" w:rsidR="00F55EB2" w:rsidRPr="001B4A02" w:rsidRDefault="00000000" w:rsidP="007C5EA6">
      <w:pPr>
        <w:numPr>
          <w:ilvl w:val="0"/>
          <w:numId w:val="56"/>
        </w:numPr>
        <w:tabs>
          <w:tab w:val="clear" w:pos="720"/>
        </w:tabs>
        <w:ind w:left="567" w:hanging="567"/>
        <w:rPr>
          <w:del w:id="11879" w:author="AbbVie1" w:date="2025-05-13T10:11:00Z"/>
          <w:shd w:val="clear" w:color="auto" w:fill="FFFF00"/>
        </w:rPr>
      </w:pPr>
      <w:del w:id="11880" w:author="AbbVie1" w:date="2025-05-13T10:11:00Z">
        <w:r w:rsidRPr="001B4A02">
          <w:delText>nezhoubné nádory;</w:delText>
        </w:r>
      </w:del>
    </w:p>
    <w:p w14:paraId="109ECF45" w14:textId="77777777" w:rsidR="00F55EB2" w:rsidRPr="001B4A02" w:rsidRDefault="00000000" w:rsidP="007C5EA6">
      <w:pPr>
        <w:numPr>
          <w:ilvl w:val="0"/>
          <w:numId w:val="56"/>
        </w:numPr>
        <w:tabs>
          <w:tab w:val="clear" w:pos="720"/>
        </w:tabs>
        <w:ind w:left="567" w:hanging="567"/>
        <w:rPr>
          <w:del w:id="11881" w:author="AbbVie1" w:date="2025-05-13T10:11:00Z"/>
          <w:shd w:val="clear" w:color="auto" w:fill="FFFF00"/>
        </w:rPr>
      </w:pPr>
      <w:del w:id="11882" w:author="AbbVie1" w:date="2025-05-13T10:11:00Z">
        <w:r w:rsidRPr="001B4A02">
          <w:delText>rakovina kůže;</w:delText>
        </w:r>
      </w:del>
    </w:p>
    <w:p w14:paraId="37824C74" w14:textId="77777777" w:rsidR="00F55EB2" w:rsidRPr="001B4A02" w:rsidRDefault="00000000" w:rsidP="007C5EA6">
      <w:pPr>
        <w:numPr>
          <w:ilvl w:val="0"/>
          <w:numId w:val="56"/>
        </w:numPr>
        <w:tabs>
          <w:tab w:val="clear" w:pos="720"/>
        </w:tabs>
        <w:ind w:left="567" w:hanging="567"/>
        <w:rPr>
          <w:del w:id="11883" w:author="AbbVie1" w:date="2025-05-13T10:11:00Z"/>
          <w:shd w:val="clear" w:color="auto" w:fill="FFFF00"/>
        </w:rPr>
      </w:pPr>
      <w:del w:id="11884" w:author="AbbVie1" w:date="2025-05-13T10:11:00Z">
        <w:r w:rsidRPr="001B4A02">
          <w:delText>alergické reakce (včetně sezónní alergie);</w:delText>
        </w:r>
      </w:del>
    </w:p>
    <w:p w14:paraId="1CBBD56F" w14:textId="77777777" w:rsidR="00D23E5C" w:rsidRPr="001B4A02" w:rsidRDefault="00000000" w:rsidP="007C5EA6">
      <w:pPr>
        <w:numPr>
          <w:ilvl w:val="0"/>
          <w:numId w:val="56"/>
        </w:numPr>
        <w:tabs>
          <w:tab w:val="clear" w:pos="720"/>
        </w:tabs>
        <w:ind w:left="567" w:hanging="567"/>
        <w:rPr>
          <w:del w:id="11885" w:author="AbbVie1" w:date="2025-05-13T10:11:00Z"/>
          <w:shd w:val="clear" w:color="auto" w:fill="FFFF00"/>
        </w:rPr>
      </w:pPr>
      <w:del w:id="11886" w:author="AbbVie1" w:date="2025-05-13T10:11:00Z">
        <w:r w:rsidRPr="001B4A02">
          <w:delText>dehydratace;</w:delText>
        </w:r>
      </w:del>
    </w:p>
    <w:p w14:paraId="6CF7CE40" w14:textId="77777777" w:rsidR="00F55EB2" w:rsidRPr="001B4A02" w:rsidRDefault="00000000" w:rsidP="007C5EA6">
      <w:pPr>
        <w:numPr>
          <w:ilvl w:val="0"/>
          <w:numId w:val="56"/>
        </w:numPr>
        <w:tabs>
          <w:tab w:val="clear" w:pos="720"/>
        </w:tabs>
        <w:ind w:left="567" w:hanging="567"/>
        <w:rPr>
          <w:del w:id="11887" w:author="AbbVie1" w:date="2025-05-13T10:11:00Z"/>
          <w:shd w:val="clear" w:color="auto" w:fill="FFFF00"/>
        </w:rPr>
      </w:pPr>
      <w:del w:id="11888" w:author="AbbVie1" w:date="2025-05-13T10:11:00Z">
        <w:r w:rsidRPr="001B4A02">
          <w:delText>změny nálad (včetně deprese);</w:delText>
        </w:r>
      </w:del>
    </w:p>
    <w:p w14:paraId="79B05FAA" w14:textId="77777777" w:rsidR="00F55EB2" w:rsidRPr="001B4A02" w:rsidRDefault="00000000" w:rsidP="007C5EA6">
      <w:pPr>
        <w:numPr>
          <w:ilvl w:val="0"/>
          <w:numId w:val="56"/>
        </w:numPr>
        <w:tabs>
          <w:tab w:val="clear" w:pos="720"/>
        </w:tabs>
        <w:ind w:left="567" w:hanging="567"/>
        <w:rPr>
          <w:del w:id="11889" w:author="AbbVie1" w:date="2025-05-13T10:11:00Z"/>
          <w:shd w:val="clear" w:color="auto" w:fill="FFFF00"/>
        </w:rPr>
      </w:pPr>
      <w:del w:id="11890" w:author="AbbVie1" w:date="2025-05-13T10:11:00Z">
        <w:r w:rsidRPr="001B4A02">
          <w:delText>úzkost;</w:delText>
        </w:r>
      </w:del>
    </w:p>
    <w:p w14:paraId="7E52E4AE" w14:textId="77777777" w:rsidR="00F55EB2" w:rsidRPr="001B4A02" w:rsidRDefault="00000000" w:rsidP="007C5EA6">
      <w:pPr>
        <w:numPr>
          <w:ilvl w:val="0"/>
          <w:numId w:val="56"/>
        </w:numPr>
        <w:tabs>
          <w:tab w:val="clear" w:pos="720"/>
        </w:tabs>
        <w:ind w:left="567" w:hanging="567"/>
        <w:rPr>
          <w:del w:id="11891" w:author="AbbVie1" w:date="2025-05-13T10:11:00Z"/>
          <w:shd w:val="clear" w:color="auto" w:fill="FFFF00"/>
        </w:rPr>
      </w:pPr>
      <w:del w:id="11892" w:author="AbbVie1" w:date="2025-05-13T10:11:00Z">
        <w:r w:rsidRPr="001B4A02">
          <w:delText>obtížné usínání;</w:delText>
        </w:r>
      </w:del>
    </w:p>
    <w:p w14:paraId="4D1BE504" w14:textId="77777777" w:rsidR="00F55EB2" w:rsidRPr="001B4A02" w:rsidRDefault="00000000" w:rsidP="007C5EA6">
      <w:pPr>
        <w:numPr>
          <w:ilvl w:val="0"/>
          <w:numId w:val="56"/>
        </w:numPr>
        <w:tabs>
          <w:tab w:val="clear" w:pos="720"/>
        </w:tabs>
        <w:ind w:left="567" w:hanging="567"/>
        <w:rPr>
          <w:del w:id="11893" w:author="AbbVie1" w:date="2025-05-13T10:11:00Z"/>
          <w:shd w:val="clear" w:color="auto" w:fill="FFFF00"/>
        </w:rPr>
      </w:pPr>
      <w:del w:id="11894" w:author="AbbVie1" w:date="2025-05-13T10:11:00Z">
        <w:r w:rsidRPr="001B4A02">
          <w:delText>poruchy pocitového vnímání</w:delText>
        </w:r>
        <w:r w:rsidR="00A27A27" w:rsidRPr="001B4A02">
          <w:delText>,</w:delText>
        </w:r>
        <w:r w:rsidRPr="001B4A02">
          <w:delText xml:space="preserve"> jako je brnění, svědění nebo znecitlivění;</w:delText>
        </w:r>
      </w:del>
    </w:p>
    <w:p w14:paraId="422DA365" w14:textId="77777777" w:rsidR="00F55EB2" w:rsidRPr="001B4A02" w:rsidRDefault="00000000" w:rsidP="007C5EA6">
      <w:pPr>
        <w:numPr>
          <w:ilvl w:val="0"/>
          <w:numId w:val="56"/>
        </w:numPr>
        <w:tabs>
          <w:tab w:val="clear" w:pos="720"/>
        </w:tabs>
        <w:ind w:left="567" w:hanging="567"/>
        <w:rPr>
          <w:del w:id="11895" w:author="AbbVie1" w:date="2025-05-13T10:11:00Z"/>
          <w:shd w:val="clear" w:color="auto" w:fill="FFFF00"/>
        </w:rPr>
      </w:pPr>
      <w:del w:id="11896" w:author="AbbVie1" w:date="2025-05-13T10:11:00Z">
        <w:r w:rsidRPr="001B4A02">
          <w:delText>migréna;</w:delText>
        </w:r>
      </w:del>
    </w:p>
    <w:p w14:paraId="6BE22478" w14:textId="77777777" w:rsidR="00F55EB2" w:rsidRPr="001B4A02" w:rsidRDefault="00000000" w:rsidP="007C5EA6">
      <w:pPr>
        <w:numPr>
          <w:ilvl w:val="0"/>
          <w:numId w:val="56"/>
        </w:numPr>
        <w:tabs>
          <w:tab w:val="clear" w:pos="720"/>
        </w:tabs>
        <w:ind w:left="567" w:hanging="567"/>
        <w:rPr>
          <w:del w:id="11897" w:author="AbbVie1" w:date="2025-05-13T10:11:00Z"/>
          <w:shd w:val="clear" w:color="auto" w:fill="FFFF00"/>
        </w:rPr>
      </w:pPr>
      <w:del w:id="11898" w:author="AbbVie1" w:date="2025-05-13T10:11:00Z">
        <w:r w:rsidRPr="001B4A02">
          <w:delText>útlak nervových kořenů (včetně bolesti v bedrech</w:delText>
        </w:r>
        <w:r w:rsidR="002378E0">
          <w:delText xml:space="preserve"> a </w:delText>
        </w:r>
        <w:r w:rsidRPr="001B4A02">
          <w:delText>bolesti dolních končetin);</w:delText>
        </w:r>
      </w:del>
    </w:p>
    <w:p w14:paraId="5D9DF412" w14:textId="77777777" w:rsidR="00F55EB2" w:rsidRPr="001B4A02" w:rsidRDefault="00000000" w:rsidP="007C5EA6">
      <w:pPr>
        <w:numPr>
          <w:ilvl w:val="0"/>
          <w:numId w:val="56"/>
        </w:numPr>
        <w:tabs>
          <w:tab w:val="clear" w:pos="720"/>
        </w:tabs>
        <w:ind w:left="567" w:hanging="567"/>
        <w:rPr>
          <w:del w:id="11899" w:author="AbbVie1" w:date="2025-05-13T10:11:00Z"/>
          <w:shd w:val="clear" w:color="auto" w:fill="FFFF00"/>
        </w:rPr>
      </w:pPr>
      <w:del w:id="11900" w:author="AbbVie1" w:date="2025-05-13T10:11:00Z">
        <w:r w:rsidRPr="001B4A02">
          <w:delText>poruchy zraku;</w:delText>
        </w:r>
      </w:del>
    </w:p>
    <w:p w14:paraId="0FA946B6" w14:textId="77777777" w:rsidR="00F55EB2" w:rsidRPr="001B4A02" w:rsidRDefault="00000000" w:rsidP="007C5EA6">
      <w:pPr>
        <w:numPr>
          <w:ilvl w:val="0"/>
          <w:numId w:val="56"/>
        </w:numPr>
        <w:tabs>
          <w:tab w:val="clear" w:pos="720"/>
        </w:tabs>
        <w:ind w:left="567" w:hanging="567"/>
        <w:rPr>
          <w:del w:id="11901" w:author="AbbVie1" w:date="2025-05-13T10:11:00Z"/>
          <w:shd w:val="clear" w:color="auto" w:fill="FFFF00"/>
        </w:rPr>
      </w:pPr>
      <w:del w:id="11902" w:author="AbbVie1" w:date="2025-05-13T10:11:00Z">
        <w:r w:rsidRPr="001B4A02">
          <w:delText>oční infekce;</w:delText>
        </w:r>
      </w:del>
    </w:p>
    <w:p w14:paraId="6C0A645E" w14:textId="77777777" w:rsidR="00936F09" w:rsidRPr="001B4A02" w:rsidRDefault="00000000" w:rsidP="007C5EA6">
      <w:pPr>
        <w:numPr>
          <w:ilvl w:val="0"/>
          <w:numId w:val="56"/>
        </w:numPr>
        <w:tabs>
          <w:tab w:val="clear" w:pos="720"/>
        </w:tabs>
        <w:ind w:left="567" w:hanging="567"/>
        <w:rPr>
          <w:del w:id="11903" w:author="AbbVie1" w:date="2025-05-13T10:11:00Z"/>
          <w:shd w:val="clear" w:color="auto" w:fill="FFFF00"/>
        </w:rPr>
      </w:pPr>
      <w:del w:id="11904" w:author="AbbVie1" w:date="2025-05-13T10:11:00Z">
        <w:r w:rsidRPr="001B4A02">
          <w:delText>záněty očního víčka</w:delText>
        </w:r>
        <w:r w:rsidR="002378E0">
          <w:delText xml:space="preserve"> a </w:delText>
        </w:r>
        <w:r w:rsidRPr="001B4A02">
          <w:delText>otoky oka;</w:delText>
        </w:r>
      </w:del>
    </w:p>
    <w:p w14:paraId="65B96973" w14:textId="77777777" w:rsidR="00073F8F" w:rsidRPr="001B4A02" w:rsidRDefault="00000000" w:rsidP="007C5EA6">
      <w:pPr>
        <w:pStyle w:val="EMEANormal"/>
        <w:numPr>
          <w:ilvl w:val="2"/>
          <w:numId w:val="17"/>
        </w:numPr>
        <w:tabs>
          <w:tab w:val="clear" w:pos="562"/>
          <w:tab w:val="clear" w:pos="2160"/>
        </w:tabs>
        <w:suppressAutoHyphens w:val="0"/>
        <w:ind w:left="567" w:hanging="567"/>
        <w:rPr>
          <w:del w:id="11905" w:author="AbbVie1" w:date="2025-05-13T10:11:00Z"/>
          <w:lang w:val="cs-CZ"/>
        </w:rPr>
      </w:pPr>
      <w:del w:id="11906" w:author="AbbVie1" w:date="2025-05-13T10:11:00Z">
        <w:r w:rsidRPr="001B4A02">
          <w:rPr>
            <w:lang w:val="cs-CZ"/>
          </w:rPr>
          <w:delText xml:space="preserve">točení hlavy; </w:delText>
        </w:r>
      </w:del>
    </w:p>
    <w:p w14:paraId="150F51FF"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07" w:author="AbbVie1" w:date="2025-05-13T10:11:00Z"/>
          <w:lang w:val="cs-CZ"/>
        </w:rPr>
      </w:pPr>
      <w:del w:id="11908" w:author="AbbVie1" w:date="2025-05-13T10:11:00Z">
        <w:r w:rsidRPr="001B4A02">
          <w:rPr>
            <w:lang w:val="cs-CZ"/>
          </w:rPr>
          <w:delText>pocity rychlého bušení srdce;</w:delText>
        </w:r>
      </w:del>
    </w:p>
    <w:p w14:paraId="07C968B9"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09" w:author="AbbVie1" w:date="2025-05-13T10:11:00Z"/>
          <w:lang w:val="cs-CZ"/>
        </w:rPr>
      </w:pPr>
      <w:del w:id="11910" w:author="AbbVie1" w:date="2025-05-13T10:11:00Z">
        <w:r w:rsidRPr="001B4A02">
          <w:rPr>
            <w:lang w:val="cs-CZ"/>
          </w:rPr>
          <w:delText>vysoký krevní tlak;</w:delText>
        </w:r>
      </w:del>
    </w:p>
    <w:p w14:paraId="54C346D1"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11" w:author="AbbVie1" w:date="2025-05-13T10:11:00Z"/>
          <w:lang w:val="cs-CZ"/>
        </w:rPr>
      </w:pPr>
      <w:del w:id="11912" w:author="AbbVie1" w:date="2025-05-13T10:11:00Z">
        <w:r w:rsidRPr="001B4A02">
          <w:rPr>
            <w:lang w:val="cs-CZ"/>
          </w:rPr>
          <w:delText>návaly hor</w:delText>
        </w:r>
        <w:r w:rsidR="006D39E6">
          <w:rPr>
            <w:lang w:val="cs-CZ"/>
          </w:rPr>
          <w:delText>ka</w:delText>
        </w:r>
        <w:r w:rsidRPr="001B4A02">
          <w:rPr>
            <w:lang w:val="cs-CZ"/>
          </w:rPr>
          <w:delText>;</w:delText>
        </w:r>
      </w:del>
    </w:p>
    <w:p w14:paraId="62808FF3"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13" w:author="AbbVie1" w:date="2025-05-13T10:11:00Z"/>
          <w:lang w:val="cs-CZ"/>
        </w:rPr>
      </w:pPr>
      <w:del w:id="11914" w:author="AbbVie1" w:date="2025-05-13T10:11:00Z">
        <w:r w:rsidRPr="001B4A02">
          <w:rPr>
            <w:lang w:val="cs-CZ"/>
          </w:rPr>
          <w:delText>krevní podlitiny;</w:delText>
        </w:r>
      </w:del>
    </w:p>
    <w:p w14:paraId="791F36D0" w14:textId="77777777" w:rsidR="00073F8F" w:rsidRPr="001B4A02" w:rsidRDefault="00000000" w:rsidP="007C5EA6">
      <w:pPr>
        <w:pStyle w:val="EMEANormal"/>
        <w:numPr>
          <w:ilvl w:val="2"/>
          <w:numId w:val="17"/>
        </w:numPr>
        <w:tabs>
          <w:tab w:val="clear" w:pos="562"/>
          <w:tab w:val="clear" w:pos="2160"/>
        </w:tabs>
        <w:suppressAutoHyphens w:val="0"/>
        <w:ind w:left="567" w:hanging="567"/>
        <w:rPr>
          <w:del w:id="11915" w:author="AbbVie1" w:date="2025-05-13T10:11:00Z"/>
          <w:lang w:val="cs-CZ"/>
        </w:rPr>
      </w:pPr>
      <w:del w:id="11916" w:author="AbbVie1" w:date="2025-05-13T10:11:00Z">
        <w:r w:rsidRPr="001B4A02">
          <w:rPr>
            <w:lang w:val="cs-CZ"/>
          </w:rPr>
          <w:delText xml:space="preserve">kašel; </w:delText>
        </w:r>
      </w:del>
    </w:p>
    <w:p w14:paraId="3D86CC17"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17" w:author="AbbVie1" w:date="2025-05-13T10:11:00Z"/>
          <w:lang w:val="cs-CZ"/>
        </w:rPr>
      </w:pPr>
      <w:del w:id="11918" w:author="AbbVie1" w:date="2025-05-13T10:11:00Z">
        <w:r w:rsidRPr="001B4A02">
          <w:rPr>
            <w:lang w:val="cs-CZ"/>
          </w:rPr>
          <w:delText>astma;</w:delText>
        </w:r>
      </w:del>
    </w:p>
    <w:p w14:paraId="77505203"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19" w:author="AbbVie1" w:date="2025-05-13T10:11:00Z"/>
          <w:lang w:val="cs-CZ"/>
        </w:rPr>
      </w:pPr>
      <w:del w:id="11920" w:author="AbbVie1" w:date="2025-05-13T10:11:00Z">
        <w:r w:rsidRPr="001B4A02">
          <w:rPr>
            <w:lang w:val="cs-CZ"/>
          </w:rPr>
          <w:delText>zkrácení dechu;</w:delText>
        </w:r>
      </w:del>
    </w:p>
    <w:p w14:paraId="5F673E1D"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21" w:author="AbbVie1" w:date="2025-05-13T10:11:00Z"/>
          <w:lang w:val="cs-CZ"/>
        </w:rPr>
      </w:pPr>
      <w:del w:id="11922" w:author="AbbVie1" w:date="2025-05-13T10:11:00Z">
        <w:r w:rsidRPr="001B4A02">
          <w:rPr>
            <w:lang w:val="cs-CZ"/>
          </w:rPr>
          <w:delText>krvácení ze zažívacího ústrojí;</w:delText>
        </w:r>
      </w:del>
    </w:p>
    <w:p w14:paraId="16C6D6A6"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23" w:author="AbbVie1" w:date="2025-05-13T10:11:00Z"/>
          <w:lang w:val="cs-CZ"/>
        </w:rPr>
      </w:pPr>
      <w:del w:id="11924" w:author="AbbVie1" w:date="2025-05-13T10:11:00Z">
        <w:r w:rsidRPr="001B4A02">
          <w:rPr>
            <w:lang w:val="cs-CZ"/>
          </w:rPr>
          <w:delText>zažívací obtíže (poruchy trávení, nadýmání, pálení žáhy);</w:delText>
        </w:r>
      </w:del>
    </w:p>
    <w:p w14:paraId="6525584C"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25" w:author="AbbVie1" w:date="2025-05-13T10:11:00Z"/>
          <w:lang w:val="cs-CZ"/>
        </w:rPr>
      </w:pPr>
      <w:del w:id="11926" w:author="AbbVie1" w:date="2025-05-13T10:11:00Z">
        <w:r w:rsidRPr="001B4A02">
          <w:rPr>
            <w:lang w:val="cs-CZ"/>
          </w:rPr>
          <w:delText>refluxní choroba jícnu;</w:delText>
        </w:r>
      </w:del>
    </w:p>
    <w:p w14:paraId="64B94C13"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27" w:author="AbbVie1" w:date="2025-05-13T10:11:00Z"/>
          <w:lang w:val="cs-CZ"/>
        </w:rPr>
      </w:pPr>
      <w:del w:id="11928" w:author="AbbVie1" w:date="2025-05-13T10:11:00Z">
        <w:r w:rsidRPr="001B4A02">
          <w:rPr>
            <w:lang w:val="cs-CZ"/>
          </w:rPr>
          <w:delText>sicca syndrom (včetně suchých očí</w:delText>
        </w:r>
        <w:r w:rsidR="002378E0">
          <w:rPr>
            <w:lang w:val="cs-CZ"/>
          </w:rPr>
          <w:delText xml:space="preserve"> a </w:delText>
        </w:r>
        <w:r w:rsidRPr="001B4A02">
          <w:rPr>
            <w:lang w:val="cs-CZ"/>
          </w:rPr>
          <w:delText>suchosti v</w:delText>
        </w:r>
        <w:r w:rsidR="000928E6" w:rsidRPr="001B4A02">
          <w:rPr>
            <w:lang w:val="cs-CZ"/>
          </w:rPr>
          <w:delText> </w:delText>
        </w:r>
        <w:r w:rsidRPr="001B4A02">
          <w:rPr>
            <w:lang w:val="cs-CZ"/>
          </w:rPr>
          <w:delText>ústech);</w:delText>
        </w:r>
      </w:del>
    </w:p>
    <w:p w14:paraId="33A86765" w14:textId="77777777" w:rsidR="00073F8F" w:rsidRPr="001B4A02" w:rsidRDefault="00000000" w:rsidP="007C5EA6">
      <w:pPr>
        <w:pStyle w:val="EMEANormal"/>
        <w:numPr>
          <w:ilvl w:val="2"/>
          <w:numId w:val="17"/>
        </w:numPr>
        <w:tabs>
          <w:tab w:val="clear" w:pos="562"/>
          <w:tab w:val="clear" w:pos="2160"/>
        </w:tabs>
        <w:suppressAutoHyphens w:val="0"/>
        <w:ind w:left="567" w:hanging="567"/>
        <w:rPr>
          <w:del w:id="11929" w:author="AbbVie1" w:date="2025-05-13T10:11:00Z"/>
          <w:shd w:val="clear" w:color="auto" w:fill="FFFF00"/>
          <w:lang w:val="cs-CZ"/>
        </w:rPr>
      </w:pPr>
      <w:del w:id="11930" w:author="AbbVie1" w:date="2025-05-13T10:11:00Z">
        <w:r w:rsidRPr="001B4A02">
          <w:rPr>
            <w:lang w:val="cs-CZ"/>
          </w:rPr>
          <w:delText>svědění;</w:delText>
        </w:r>
      </w:del>
    </w:p>
    <w:p w14:paraId="5E935625"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31" w:author="AbbVie1" w:date="2025-05-13T10:11:00Z"/>
          <w:shd w:val="clear" w:color="auto" w:fill="FFFF00"/>
          <w:lang w:val="cs-CZ"/>
        </w:rPr>
      </w:pPr>
      <w:del w:id="11932" w:author="AbbVie1" w:date="2025-05-13T10:11:00Z">
        <w:r w:rsidRPr="001B4A02">
          <w:rPr>
            <w:lang w:val="cs-CZ"/>
          </w:rPr>
          <w:delText>svědivá vyrážka;</w:delText>
        </w:r>
      </w:del>
    </w:p>
    <w:p w14:paraId="555CBC15"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33" w:author="AbbVie1" w:date="2025-05-13T10:11:00Z"/>
          <w:shd w:val="clear" w:color="auto" w:fill="FFFF00"/>
          <w:lang w:val="cs-CZ"/>
        </w:rPr>
      </w:pPr>
      <w:del w:id="11934" w:author="AbbVie1" w:date="2025-05-13T10:11:00Z">
        <w:r w:rsidRPr="001B4A02">
          <w:rPr>
            <w:lang w:val="cs-CZ"/>
          </w:rPr>
          <w:delText>tvorba modřin;</w:delText>
        </w:r>
      </w:del>
    </w:p>
    <w:p w14:paraId="61A84805"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35" w:author="AbbVie1" w:date="2025-05-13T10:11:00Z"/>
          <w:shd w:val="clear" w:color="auto" w:fill="FFFF00"/>
          <w:lang w:val="cs-CZ"/>
        </w:rPr>
      </w:pPr>
      <w:del w:id="11936" w:author="AbbVie1" w:date="2025-05-13T10:11:00Z">
        <w:r w:rsidRPr="001B4A02">
          <w:rPr>
            <w:lang w:val="cs-CZ"/>
          </w:rPr>
          <w:delText>záněty kůže (jako je ekzém);</w:delText>
        </w:r>
      </w:del>
    </w:p>
    <w:p w14:paraId="0FDFD238"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37" w:author="AbbVie1" w:date="2025-05-13T10:11:00Z"/>
          <w:shd w:val="clear" w:color="auto" w:fill="FFFF00"/>
          <w:lang w:val="cs-CZ"/>
        </w:rPr>
      </w:pPr>
      <w:del w:id="11938" w:author="AbbVie1" w:date="2025-05-13T10:11:00Z">
        <w:r w:rsidRPr="001B4A02">
          <w:rPr>
            <w:lang w:val="cs-CZ"/>
          </w:rPr>
          <w:delText>lámavost nehtů na prstech rukou</w:delText>
        </w:r>
        <w:r w:rsidR="002378E0">
          <w:rPr>
            <w:lang w:val="cs-CZ"/>
          </w:rPr>
          <w:delText xml:space="preserve"> a </w:delText>
        </w:r>
        <w:r w:rsidRPr="001B4A02">
          <w:rPr>
            <w:lang w:val="cs-CZ"/>
          </w:rPr>
          <w:delText>nohou;</w:delText>
        </w:r>
      </w:del>
    </w:p>
    <w:p w14:paraId="18905F20"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39" w:author="AbbVie1" w:date="2025-05-13T10:11:00Z"/>
          <w:shd w:val="clear" w:color="auto" w:fill="FFFF00"/>
          <w:lang w:val="cs-CZ"/>
        </w:rPr>
      </w:pPr>
      <w:del w:id="11940" w:author="AbbVie1" w:date="2025-05-13T10:11:00Z">
        <w:r w:rsidRPr="001B4A02">
          <w:rPr>
            <w:lang w:val="cs-CZ"/>
          </w:rPr>
          <w:delText>zvýšené pocení;</w:delText>
        </w:r>
      </w:del>
    </w:p>
    <w:p w14:paraId="759E0B9D" w14:textId="77777777" w:rsidR="00351EB6" w:rsidRPr="001B4A02" w:rsidRDefault="00000000" w:rsidP="007C5EA6">
      <w:pPr>
        <w:pStyle w:val="EMEANormal"/>
        <w:numPr>
          <w:ilvl w:val="0"/>
          <w:numId w:val="17"/>
        </w:numPr>
        <w:tabs>
          <w:tab w:val="clear" w:pos="562"/>
          <w:tab w:val="clear" w:pos="720"/>
        </w:tabs>
        <w:suppressAutoHyphens w:val="0"/>
        <w:ind w:left="567" w:hanging="567"/>
        <w:rPr>
          <w:del w:id="11941" w:author="AbbVie1" w:date="2025-05-13T10:11:00Z"/>
          <w:shd w:val="clear" w:color="auto" w:fill="FFFF00"/>
          <w:lang w:val="cs-CZ"/>
        </w:rPr>
      </w:pPr>
      <w:del w:id="11942" w:author="AbbVie1" w:date="2025-05-13T10:11:00Z">
        <w:r w:rsidRPr="001B4A02">
          <w:rPr>
            <w:lang w:val="cs-CZ"/>
          </w:rPr>
          <w:delText>vypadávání vlasů</w:delText>
        </w:r>
        <w:r w:rsidRPr="001B4A02">
          <w:rPr>
            <w:lang w:val="cs-CZ" w:eastAsia="de-DE"/>
          </w:rPr>
          <w:delText>;</w:delText>
        </w:r>
      </w:del>
    </w:p>
    <w:p w14:paraId="4B3080B1" w14:textId="77777777" w:rsidR="00351EB6" w:rsidRPr="001B4A02" w:rsidRDefault="00000000" w:rsidP="007C5EA6">
      <w:pPr>
        <w:pStyle w:val="EMEANormal"/>
        <w:numPr>
          <w:ilvl w:val="0"/>
          <w:numId w:val="17"/>
        </w:numPr>
        <w:tabs>
          <w:tab w:val="clear" w:pos="562"/>
          <w:tab w:val="clear" w:pos="720"/>
        </w:tabs>
        <w:suppressAutoHyphens w:val="0"/>
        <w:ind w:left="567" w:hanging="567"/>
        <w:rPr>
          <w:del w:id="11943" w:author="AbbVie1" w:date="2025-05-13T10:11:00Z"/>
          <w:shd w:val="clear" w:color="auto" w:fill="FFFF00"/>
          <w:lang w:val="cs-CZ"/>
        </w:rPr>
      </w:pPr>
      <w:del w:id="11944" w:author="AbbVie1" w:date="2025-05-13T10:11:00Z">
        <w:r w:rsidRPr="001B4A02">
          <w:rPr>
            <w:lang w:val="cs-CZ"/>
          </w:rPr>
          <w:delText>nový vznik nebo zhoršení psoriázy (lupénky);</w:delText>
        </w:r>
      </w:del>
    </w:p>
    <w:p w14:paraId="1EC5ED7B"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45" w:author="AbbVie1" w:date="2025-05-13T10:11:00Z"/>
          <w:shd w:val="clear" w:color="auto" w:fill="FFFF00"/>
          <w:lang w:val="cs-CZ"/>
        </w:rPr>
      </w:pPr>
      <w:del w:id="11946" w:author="AbbVie1" w:date="2025-05-13T10:11:00Z">
        <w:r w:rsidRPr="001B4A02">
          <w:rPr>
            <w:lang w:val="cs-CZ"/>
          </w:rPr>
          <w:delText>svalové křeče;</w:delText>
        </w:r>
      </w:del>
    </w:p>
    <w:p w14:paraId="2A343FBB"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47" w:author="AbbVie1" w:date="2025-05-13T10:11:00Z"/>
          <w:shd w:val="clear" w:color="auto" w:fill="FFFF00"/>
          <w:lang w:val="cs-CZ"/>
        </w:rPr>
      </w:pPr>
      <w:del w:id="11948" w:author="AbbVie1" w:date="2025-05-13T10:11:00Z">
        <w:r w:rsidRPr="001B4A02">
          <w:rPr>
            <w:lang w:val="cs-CZ"/>
          </w:rPr>
          <w:delText>krev v moči;</w:delText>
        </w:r>
      </w:del>
    </w:p>
    <w:p w14:paraId="317DBDAE"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49" w:author="AbbVie1" w:date="2025-05-13T10:11:00Z"/>
          <w:shd w:val="clear" w:color="auto" w:fill="FFFF00"/>
          <w:lang w:val="cs-CZ"/>
        </w:rPr>
      </w:pPr>
      <w:del w:id="11950" w:author="AbbVie1" w:date="2025-05-13T10:11:00Z">
        <w:r w:rsidRPr="001B4A02">
          <w:rPr>
            <w:lang w:val="cs-CZ"/>
          </w:rPr>
          <w:delText>onemocnění ledvin;</w:delText>
        </w:r>
      </w:del>
    </w:p>
    <w:p w14:paraId="3FE28065"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51" w:author="AbbVie1" w:date="2025-05-13T10:11:00Z"/>
          <w:shd w:val="clear" w:color="auto" w:fill="FFFF00"/>
          <w:lang w:val="cs-CZ"/>
        </w:rPr>
      </w:pPr>
      <w:del w:id="11952" w:author="AbbVie1" w:date="2025-05-13T10:11:00Z">
        <w:r w:rsidRPr="001B4A02">
          <w:rPr>
            <w:lang w:val="cs-CZ"/>
          </w:rPr>
          <w:delText>bolest na hrudi;</w:delText>
        </w:r>
      </w:del>
    </w:p>
    <w:p w14:paraId="6F6487C4"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53" w:author="AbbVie1" w:date="2025-05-13T10:11:00Z"/>
          <w:shd w:val="clear" w:color="auto" w:fill="FFFF00"/>
          <w:lang w:val="cs-CZ"/>
        </w:rPr>
      </w:pPr>
      <w:del w:id="11954" w:author="AbbVie1" w:date="2025-05-13T10:11:00Z">
        <w:r>
          <w:rPr>
            <w:lang w:val="cs-CZ"/>
          </w:rPr>
          <w:delText>edém (</w:delText>
        </w:r>
        <w:r w:rsidRPr="001B4A02">
          <w:rPr>
            <w:lang w:val="cs-CZ"/>
          </w:rPr>
          <w:delText>otok</w:delText>
        </w:r>
        <w:r>
          <w:rPr>
            <w:lang w:val="cs-CZ"/>
          </w:rPr>
          <w:delText>)</w:delText>
        </w:r>
        <w:r w:rsidRPr="001B4A02">
          <w:rPr>
            <w:lang w:val="cs-CZ"/>
          </w:rPr>
          <w:delText>;</w:delText>
        </w:r>
      </w:del>
    </w:p>
    <w:p w14:paraId="7EB96BAD" w14:textId="77777777" w:rsidR="00936F09" w:rsidRPr="001B4A02" w:rsidRDefault="00000000" w:rsidP="007C5EA6">
      <w:pPr>
        <w:pStyle w:val="EMEANormal"/>
        <w:numPr>
          <w:ilvl w:val="0"/>
          <w:numId w:val="17"/>
        </w:numPr>
        <w:tabs>
          <w:tab w:val="clear" w:pos="562"/>
          <w:tab w:val="clear" w:pos="720"/>
        </w:tabs>
        <w:suppressAutoHyphens w:val="0"/>
        <w:ind w:left="567" w:hanging="567"/>
        <w:rPr>
          <w:del w:id="11955" w:author="AbbVie1" w:date="2025-05-13T10:11:00Z"/>
          <w:shd w:val="clear" w:color="auto" w:fill="FFFF00"/>
          <w:lang w:val="cs-CZ"/>
        </w:rPr>
      </w:pPr>
      <w:del w:id="11956" w:author="AbbVie1" w:date="2025-05-13T10:11:00Z">
        <w:r w:rsidRPr="001B4A02">
          <w:rPr>
            <w:lang w:val="cs-CZ"/>
          </w:rPr>
          <w:delText>horečka;</w:delText>
        </w:r>
      </w:del>
    </w:p>
    <w:p w14:paraId="2A64C742"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57" w:author="AbbVie1" w:date="2025-05-13T10:11:00Z"/>
          <w:shd w:val="clear" w:color="auto" w:fill="FFFF00"/>
          <w:lang w:val="cs-CZ"/>
        </w:rPr>
      </w:pPr>
      <w:del w:id="11958" w:author="AbbVie1" w:date="2025-05-13T10:11:00Z">
        <w:r w:rsidRPr="001B4A02">
          <w:rPr>
            <w:lang w:val="cs-CZ"/>
          </w:rPr>
          <w:delText>snížení počtu krevních destiček, což zvyšuje riziko krvácení nebo tvorby modřin;</w:delText>
        </w:r>
      </w:del>
    </w:p>
    <w:p w14:paraId="773CE8BE" w14:textId="77777777" w:rsidR="009112FD" w:rsidRPr="001B4A02" w:rsidRDefault="00000000" w:rsidP="007C5EA6">
      <w:pPr>
        <w:pStyle w:val="EMEANormal"/>
        <w:numPr>
          <w:ilvl w:val="0"/>
          <w:numId w:val="17"/>
        </w:numPr>
        <w:tabs>
          <w:tab w:val="clear" w:pos="562"/>
          <w:tab w:val="clear" w:pos="720"/>
        </w:tabs>
        <w:suppressAutoHyphens w:val="0"/>
        <w:ind w:left="567" w:hanging="567"/>
        <w:rPr>
          <w:del w:id="11959" w:author="AbbVie1" w:date="2025-05-13T10:11:00Z"/>
          <w:shd w:val="clear" w:color="auto" w:fill="FFFF00"/>
          <w:lang w:val="cs-CZ"/>
        </w:rPr>
      </w:pPr>
      <w:del w:id="11960" w:author="AbbVie1" w:date="2025-05-13T10:11:00Z">
        <w:r w:rsidRPr="001B4A02">
          <w:rPr>
            <w:lang w:val="cs-CZ"/>
          </w:rPr>
          <w:delText>poruchy hojení.</w:delText>
        </w:r>
      </w:del>
    </w:p>
    <w:p w14:paraId="76B9C2F2" w14:textId="77777777" w:rsidR="00073F8F" w:rsidRPr="001B4A02" w:rsidRDefault="00073F8F" w:rsidP="00ED48A3">
      <w:pPr>
        <w:ind w:left="0" w:firstLine="0"/>
        <w:rPr>
          <w:del w:id="11961" w:author="AbbVie1" w:date="2025-05-13T10:11:00Z"/>
        </w:rPr>
      </w:pPr>
    </w:p>
    <w:p w14:paraId="4F78BCEB" w14:textId="77777777" w:rsidR="00073F8F" w:rsidRPr="001B4A02" w:rsidRDefault="00000000" w:rsidP="00ED48A3">
      <w:pPr>
        <w:ind w:left="0" w:firstLine="0"/>
        <w:rPr>
          <w:del w:id="11962" w:author="AbbVie1" w:date="2025-05-13T10:11:00Z"/>
        </w:rPr>
      </w:pPr>
      <w:del w:id="11963" w:author="AbbVie1" w:date="2025-05-13T10:11:00Z">
        <w:r w:rsidRPr="001B4A02">
          <w:delText>Méně časté (</w:delText>
        </w:r>
        <w:r w:rsidR="00FA5EFC" w:rsidRPr="001B4A02">
          <w:rPr>
            <w:shd w:val="clear" w:color="auto" w:fill="FFFFFF"/>
          </w:rPr>
          <w:delText>mohou postihnout nejvýše</w:delText>
        </w:r>
        <w:r w:rsidR="003472B2" w:rsidRPr="001B4A02">
          <w:rPr>
            <w:shd w:val="clear" w:color="auto" w:fill="FFFFFF"/>
          </w:rPr>
          <w:delText xml:space="preserve"> 1 ze 100 osob</w:delText>
        </w:r>
        <w:r w:rsidRPr="001B4A02">
          <w:delText xml:space="preserve">) </w:delText>
        </w:r>
      </w:del>
    </w:p>
    <w:p w14:paraId="65F458B6" w14:textId="77777777" w:rsidR="00225A0A" w:rsidRPr="001B4A02" w:rsidRDefault="00225A0A" w:rsidP="00ED48A3">
      <w:pPr>
        <w:ind w:left="0" w:firstLine="0"/>
        <w:rPr>
          <w:del w:id="11964" w:author="AbbVie1" w:date="2025-05-13T10:11:00Z"/>
        </w:rPr>
      </w:pPr>
    </w:p>
    <w:p w14:paraId="69FC3A0C" w14:textId="77777777" w:rsidR="009112FD" w:rsidRPr="001B4A02" w:rsidRDefault="00000000" w:rsidP="007C5EA6">
      <w:pPr>
        <w:pStyle w:val="EMEANormal"/>
        <w:numPr>
          <w:ilvl w:val="0"/>
          <w:numId w:val="59"/>
        </w:numPr>
        <w:tabs>
          <w:tab w:val="clear" w:pos="562"/>
          <w:tab w:val="clear" w:pos="720"/>
        </w:tabs>
        <w:suppressAutoHyphens w:val="0"/>
        <w:ind w:left="567" w:hanging="567"/>
        <w:rPr>
          <w:del w:id="11965" w:author="AbbVie1" w:date="2025-05-13T10:11:00Z"/>
          <w:lang w:val="cs-CZ"/>
        </w:rPr>
      </w:pPr>
      <w:del w:id="11966" w:author="AbbVie1" w:date="2025-05-13T10:11:00Z">
        <w:r w:rsidRPr="001B4A02">
          <w:rPr>
            <w:lang w:val="cs-CZ"/>
          </w:rPr>
          <w:delText>oportunní infekce (které zahrnují tuberkulózu</w:delText>
        </w:r>
        <w:r w:rsidR="002378E0">
          <w:rPr>
            <w:lang w:val="cs-CZ"/>
          </w:rPr>
          <w:delText xml:space="preserve"> a </w:delText>
        </w:r>
        <w:r w:rsidRPr="001B4A02">
          <w:rPr>
            <w:lang w:val="cs-CZ"/>
          </w:rPr>
          <w:delText>jiné infekce</w:delText>
        </w:r>
        <w:r w:rsidR="00A628A7" w:rsidRPr="001B4A02">
          <w:rPr>
            <w:lang w:val="cs-CZ"/>
          </w:rPr>
          <w:delText>,</w:delText>
        </w:r>
        <w:r w:rsidRPr="001B4A02">
          <w:rPr>
            <w:lang w:val="cs-CZ"/>
          </w:rPr>
          <w:delText xml:space="preserve"> které se objevují</w:delText>
        </w:r>
        <w:r w:rsidR="003A216B" w:rsidRPr="001B4A02">
          <w:rPr>
            <w:lang w:val="cs-CZ"/>
          </w:rPr>
          <w:delText>,</w:delText>
        </w:r>
        <w:r w:rsidRPr="001B4A02">
          <w:rPr>
            <w:lang w:val="cs-CZ"/>
          </w:rPr>
          <w:delText xml:space="preserve"> když je snížena odolnost vůči onemocněním</w:delText>
        </w:r>
        <w:r w:rsidR="00A628A7" w:rsidRPr="001B4A02">
          <w:rPr>
            <w:lang w:val="cs-CZ"/>
          </w:rPr>
          <w:delText>)</w:delText>
        </w:r>
        <w:r w:rsidRPr="001B4A02">
          <w:rPr>
            <w:lang w:val="cs-CZ"/>
          </w:rPr>
          <w:delText>;</w:delText>
        </w:r>
      </w:del>
    </w:p>
    <w:p w14:paraId="0C4BC8D6" w14:textId="77777777" w:rsidR="009112FD" w:rsidRPr="001B4A02" w:rsidRDefault="00000000" w:rsidP="007C5EA6">
      <w:pPr>
        <w:pStyle w:val="EMEANormal"/>
        <w:numPr>
          <w:ilvl w:val="0"/>
          <w:numId w:val="59"/>
        </w:numPr>
        <w:tabs>
          <w:tab w:val="clear" w:pos="562"/>
          <w:tab w:val="clear" w:pos="720"/>
        </w:tabs>
        <w:suppressAutoHyphens w:val="0"/>
        <w:ind w:left="567" w:hanging="567"/>
        <w:rPr>
          <w:del w:id="11967" w:author="AbbVie1" w:date="2025-05-13T10:11:00Z"/>
          <w:lang w:val="cs-CZ"/>
        </w:rPr>
      </w:pPr>
      <w:del w:id="11968" w:author="AbbVie1" w:date="2025-05-13T10:11:00Z">
        <w:r w:rsidRPr="001B4A02">
          <w:rPr>
            <w:lang w:val="cs-CZ"/>
          </w:rPr>
          <w:delText>neurologické infekce (včetně virové meningitidy);</w:delText>
        </w:r>
      </w:del>
    </w:p>
    <w:p w14:paraId="5264717D" w14:textId="77777777" w:rsidR="007F412A" w:rsidRPr="001B4A02" w:rsidRDefault="00000000" w:rsidP="007C5EA6">
      <w:pPr>
        <w:numPr>
          <w:ilvl w:val="0"/>
          <w:numId w:val="17"/>
        </w:numPr>
        <w:tabs>
          <w:tab w:val="clear" w:pos="720"/>
        </w:tabs>
        <w:ind w:left="567" w:hanging="567"/>
        <w:rPr>
          <w:del w:id="11969" w:author="AbbVie1" w:date="2025-05-13T10:11:00Z"/>
        </w:rPr>
      </w:pPr>
      <w:del w:id="11970" w:author="AbbVie1" w:date="2025-05-13T10:11:00Z">
        <w:r w:rsidRPr="001B4A02">
          <w:delText>záněty oka;</w:delText>
        </w:r>
      </w:del>
    </w:p>
    <w:p w14:paraId="7262A7A4" w14:textId="77777777" w:rsidR="007F412A" w:rsidRPr="001B4A02" w:rsidRDefault="00000000" w:rsidP="007C5EA6">
      <w:pPr>
        <w:numPr>
          <w:ilvl w:val="0"/>
          <w:numId w:val="17"/>
        </w:numPr>
        <w:tabs>
          <w:tab w:val="clear" w:pos="720"/>
        </w:tabs>
        <w:ind w:left="567" w:hanging="567"/>
        <w:rPr>
          <w:del w:id="11971" w:author="AbbVie1" w:date="2025-05-13T10:11:00Z"/>
        </w:rPr>
      </w:pPr>
      <w:del w:id="11972" w:author="AbbVie1" w:date="2025-05-13T10:11:00Z">
        <w:r w:rsidRPr="001B4A02">
          <w:delText>bakteriální infekce;</w:delText>
        </w:r>
      </w:del>
    </w:p>
    <w:p w14:paraId="4DC6399C" w14:textId="77777777" w:rsidR="00351EB6" w:rsidRPr="001B4A02" w:rsidRDefault="00000000" w:rsidP="007C5EA6">
      <w:pPr>
        <w:numPr>
          <w:ilvl w:val="0"/>
          <w:numId w:val="17"/>
        </w:numPr>
        <w:tabs>
          <w:tab w:val="clear" w:pos="720"/>
        </w:tabs>
        <w:ind w:left="567" w:hanging="567"/>
        <w:rPr>
          <w:del w:id="11973" w:author="AbbVie1" w:date="2025-05-13T10:11:00Z"/>
        </w:rPr>
      </w:pPr>
      <w:del w:id="11974" w:author="AbbVie1" w:date="2025-05-13T10:11:00Z">
        <w:r w:rsidRPr="001B4A02">
          <w:rPr>
            <w:lang w:eastAsia="de-DE"/>
          </w:rPr>
          <w:delText>divertikulitida (zánětlivé onemocnění spojené s</w:delText>
        </w:r>
        <w:r w:rsidR="000C2348" w:rsidRPr="001B4A02">
          <w:rPr>
            <w:lang w:eastAsia="de-DE"/>
          </w:rPr>
          <w:delText> </w:delText>
        </w:r>
        <w:r w:rsidRPr="001B4A02">
          <w:rPr>
            <w:lang w:eastAsia="de-DE"/>
          </w:rPr>
          <w:delText>infekcí tlustého střeva);</w:delText>
        </w:r>
      </w:del>
    </w:p>
    <w:p w14:paraId="489CF967" w14:textId="77777777" w:rsidR="007F412A" w:rsidRPr="001B4A02" w:rsidRDefault="00000000" w:rsidP="007C5EA6">
      <w:pPr>
        <w:numPr>
          <w:ilvl w:val="0"/>
          <w:numId w:val="17"/>
        </w:numPr>
        <w:tabs>
          <w:tab w:val="clear" w:pos="720"/>
        </w:tabs>
        <w:ind w:left="567" w:hanging="567"/>
        <w:rPr>
          <w:del w:id="11975" w:author="AbbVie1" w:date="2025-05-13T10:11:00Z"/>
        </w:rPr>
      </w:pPr>
      <w:del w:id="11976" w:author="AbbVie1" w:date="2025-05-13T10:11:00Z">
        <w:r w:rsidRPr="001B4A02">
          <w:delText>rakovina</w:delText>
        </w:r>
        <w:r w:rsidR="003A216B" w:rsidRPr="001B4A02">
          <w:delText>;</w:delText>
        </w:r>
      </w:del>
    </w:p>
    <w:p w14:paraId="4918B531" w14:textId="77777777" w:rsidR="007F412A" w:rsidRPr="001B4A02" w:rsidRDefault="00000000" w:rsidP="007C5EA6">
      <w:pPr>
        <w:numPr>
          <w:ilvl w:val="0"/>
          <w:numId w:val="17"/>
        </w:numPr>
        <w:tabs>
          <w:tab w:val="clear" w:pos="720"/>
        </w:tabs>
        <w:ind w:left="567" w:hanging="567"/>
        <w:rPr>
          <w:del w:id="11977" w:author="AbbVie1" w:date="2025-05-13T10:11:00Z"/>
        </w:rPr>
      </w:pPr>
      <w:del w:id="11978" w:author="AbbVie1" w:date="2025-05-13T10:11:00Z">
        <w:r w:rsidRPr="001B4A02">
          <w:delText>rakovina postihující mízní systém;</w:delText>
        </w:r>
      </w:del>
    </w:p>
    <w:p w14:paraId="53EBEB4C" w14:textId="77777777" w:rsidR="007F412A" w:rsidRPr="001B4A02" w:rsidRDefault="00000000" w:rsidP="007C5EA6">
      <w:pPr>
        <w:numPr>
          <w:ilvl w:val="0"/>
          <w:numId w:val="17"/>
        </w:numPr>
        <w:tabs>
          <w:tab w:val="clear" w:pos="720"/>
        </w:tabs>
        <w:ind w:left="567" w:hanging="567"/>
        <w:rPr>
          <w:del w:id="11979" w:author="AbbVie1" w:date="2025-05-13T10:11:00Z"/>
        </w:rPr>
      </w:pPr>
      <w:del w:id="11980" w:author="AbbVie1" w:date="2025-05-13T10:11:00Z">
        <w:r w:rsidRPr="001B4A02">
          <w:delText>melanom;</w:delText>
        </w:r>
      </w:del>
    </w:p>
    <w:p w14:paraId="1CAE9BED" w14:textId="77777777" w:rsidR="00351EB6" w:rsidRPr="001B4A02" w:rsidRDefault="00000000" w:rsidP="007C5EA6">
      <w:pPr>
        <w:numPr>
          <w:ilvl w:val="0"/>
          <w:numId w:val="17"/>
        </w:numPr>
        <w:tabs>
          <w:tab w:val="clear" w:pos="720"/>
        </w:tabs>
        <w:ind w:left="567" w:hanging="567"/>
        <w:rPr>
          <w:del w:id="11981" w:author="AbbVie1" w:date="2025-05-13T10:11:00Z"/>
        </w:rPr>
      </w:pPr>
      <w:del w:id="11982" w:author="AbbVie1" w:date="2025-05-13T10:11:00Z">
        <w:r w:rsidRPr="001B4A02">
          <w:delText>poruchy imunitního systému</w:delText>
        </w:r>
        <w:r w:rsidR="00A628A7" w:rsidRPr="001B4A02">
          <w:delText xml:space="preserve">, </w:delText>
        </w:r>
        <w:r w:rsidRPr="001B4A02">
          <w:delText>které mohou postihovat plíce, kůži</w:delText>
        </w:r>
        <w:r w:rsidR="002378E0">
          <w:delText xml:space="preserve"> a </w:delText>
        </w:r>
        <w:r w:rsidRPr="001B4A02">
          <w:delText>lymfatické uzliny (nejčastěji se projevující jako sarkoidóza);</w:delText>
        </w:r>
      </w:del>
    </w:p>
    <w:p w14:paraId="71A09A5A" w14:textId="77777777" w:rsidR="00151785" w:rsidRPr="001B4A02" w:rsidRDefault="00000000" w:rsidP="007C5EA6">
      <w:pPr>
        <w:numPr>
          <w:ilvl w:val="0"/>
          <w:numId w:val="17"/>
        </w:numPr>
        <w:tabs>
          <w:tab w:val="clear" w:pos="720"/>
        </w:tabs>
        <w:ind w:left="567" w:hanging="567"/>
        <w:rPr>
          <w:del w:id="11983" w:author="AbbVie1" w:date="2025-05-13T10:11:00Z"/>
        </w:rPr>
      </w:pPr>
      <w:del w:id="11984" w:author="AbbVie1" w:date="2025-05-13T10:11:00Z">
        <w:r w:rsidRPr="001B4A02">
          <w:delText>vaskulitida (zánět krevních cév);</w:delText>
        </w:r>
      </w:del>
    </w:p>
    <w:p w14:paraId="394E64EF" w14:textId="77777777" w:rsidR="007F412A" w:rsidRPr="001B4A02" w:rsidRDefault="00000000" w:rsidP="007C5EA6">
      <w:pPr>
        <w:numPr>
          <w:ilvl w:val="0"/>
          <w:numId w:val="17"/>
        </w:numPr>
        <w:tabs>
          <w:tab w:val="clear" w:pos="720"/>
        </w:tabs>
        <w:ind w:left="567" w:hanging="567"/>
        <w:rPr>
          <w:del w:id="11985" w:author="AbbVie1" w:date="2025-05-13T10:11:00Z"/>
        </w:rPr>
      </w:pPr>
      <w:del w:id="11986" w:author="AbbVie1" w:date="2025-05-13T10:11:00Z">
        <w:r w:rsidRPr="001B4A02">
          <w:delText>třes;</w:delText>
        </w:r>
      </w:del>
    </w:p>
    <w:p w14:paraId="0F82F094" w14:textId="77777777" w:rsidR="00D23E5C" w:rsidRPr="001B4A02" w:rsidRDefault="00000000" w:rsidP="007C5EA6">
      <w:pPr>
        <w:numPr>
          <w:ilvl w:val="0"/>
          <w:numId w:val="17"/>
        </w:numPr>
        <w:tabs>
          <w:tab w:val="clear" w:pos="720"/>
        </w:tabs>
        <w:ind w:left="567" w:hanging="567"/>
        <w:rPr>
          <w:del w:id="11987" w:author="AbbVie1" w:date="2025-05-13T10:11:00Z"/>
        </w:rPr>
      </w:pPr>
      <w:del w:id="11988" w:author="AbbVie1" w:date="2025-05-13T10:11:00Z">
        <w:r w:rsidRPr="001B4A02">
          <w:delText>neuropatie (postižení nervů);</w:delText>
        </w:r>
      </w:del>
    </w:p>
    <w:p w14:paraId="2D5429BF" w14:textId="77777777" w:rsidR="00351EB6" w:rsidRPr="001B4A02" w:rsidRDefault="00000000" w:rsidP="007C5EA6">
      <w:pPr>
        <w:numPr>
          <w:ilvl w:val="0"/>
          <w:numId w:val="17"/>
        </w:numPr>
        <w:tabs>
          <w:tab w:val="clear" w:pos="720"/>
        </w:tabs>
        <w:ind w:left="567" w:hanging="567"/>
        <w:rPr>
          <w:del w:id="11989" w:author="AbbVie1" w:date="2025-05-13T10:11:00Z"/>
        </w:rPr>
      </w:pPr>
      <w:del w:id="11990" w:author="AbbVie1" w:date="2025-05-13T10:11:00Z">
        <w:r w:rsidRPr="001B4A02">
          <w:delText>mozková mrtvice;</w:delText>
        </w:r>
      </w:del>
    </w:p>
    <w:p w14:paraId="10D23EE9" w14:textId="77777777" w:rsidR="007F412A" w:rsidRPr="001B4A02" w:rsidRDefault="00000000" w:rsidP="007C5EA6">
      <w:pPr>
        <w:numPr>
          <w:ilvl w:val="0"/>
          <w:numId w:val="17"/>
        </w:numPr>
        <w:tabs>
          <w:tab w:val="clear" w:pos="720"/>
        </w:tabs>
        <w:ind w:left="567" w:hanging="567"/>
        <w:rPr>
          <w:del w:id="11991" w:author="AbbVie1" w:date="2025-05-13T10:11:00Z"/>
        </w:rPr>
      </w:pPr>
      <w:del w:id="11992" w:author="AbbVie1" w:date="2025-05-13T10:11:00Z">
        <w:r w:rsidRPr="001B4A02">
          <w:delText xml:space="preserve">ztráta sluchu, </w:delText>
        </w:r>
        <w:r w:rsidR="006D39E6">
          <w:delText>ušní šelest</w:delText>
        </w:r>
        <w:r w:rsidRPr="001B4A02">
          <w:delText>;</w:delText>
        </w:r>
      </w:del>
    </w:p>
    <w:p w14:paraId="6CC41ECC" w14:textId="77777777" w:rsidR="007F412A" w:rsidRPr="001B4A02" w:rsidRDefault="00000000" w:rsidP="007C5EA6">
      <w:pPr>
        <w:numPr>
          <w:ilvl w:val="0"/>
          <w:numId w:val="17"/>
        </w:numPr>
        <w:tabs>
          <w:tab w:val="clear" w:pos="720"/>
        </w:tabs>
        <w:ind w:left="567" w:hanging="567"/>
        <w:rPr>
          <w:del w:id="11993" w:author="AbbVie1" w:date="2025-05-13T10:11:00Z"/>
        </w:rPr>
      </w:pPr>
      <w:del w:id="11994" w:author="AbbVie1" w:date="2025-05-13T10:11:00Z">
        <w:r w:rsidRPr="001B4A02">
          <w:delText>pocity nepravidelného bušení srdce</w:delText>
        </w:r>
        <w:r w:rsidR="00A27A27" w:rsidRPr="001B4A02">
          <w:delText>,</w:delText>
        </w:r>
        <w:r w:rsidRPr="001B4A02">
          <w:delText xml:space="preserve"> jako je vynechání tepu;</w:delText>
        </w:r>
      </w:del>
    </w:p>
    <w:p w14:paraId="3ADE741E" w14:textId="77777777" w:rsidR="007F412A" w:rsidRPr="001B4A02" w:rsidRDefault="00000000" w:rsidP="007C5EA6">
      <w:pPr>
        <w:numPr>
          <w:ilvl w:val="0"/>
          <w:numId w:val="17"/>
        </w:numPr>
        <w:tabs>
          <w:tab w:val="clear" w:pos="720"/>
        </w:tabs>
        <w:ind w:left="567" w:hanging="567"/>
        <w:rPr>
          <w:del w:id="11995" w:author="AbbVie1" w:date="2025-05-13T10:11:00Z"/>
        </w:rPr>
      </w:pPr>
      <w:del w:id="11996" w:author="AbbVie1" w:date="2025-05-13T10:11:00Z">
        <w:r w:rsidRPr="001B4A02">
          <w:delText>srdeční obtíže, které mohou způsobovat zkrácení dechu nebo otékání kotníků;</w:delText>
        </w:r>
      </w:del>
    </w:p>
    <w:p w14:paraId="03196E0E" w14:textId="77777777" w:rsidR="00351EB6" w:rsidRPr="001B4A02" w:rsidRDefault="00000000" w:rsidP="007C5EA6">
      <w:pPr>
        <w:numPr>
          <w:ilvl w:val="0"/>
          <w:numId w:val="17"/>
        </w:numPr>
        <w:tabs>
          <w:tab w:val="clear" w:pos="720"/>
        </w:tabs>
        <w:ind w:left="567" w:hanging="567"/>
        <w:rPr>
          <w:del w:id="11997" w:author="AbbVie1" w:date="2025-05-13T10:11:00Z"/>
        </w:rPr>
      </w:pPr>
      <w:del w:id="11998" w:author="AbbVie1" w:date="2025-05-13T10:11:00Z">
        <w:r w:rsidRPr="001B4A02">
          <w:delText>srdeční příhoda (infarkt);</w:delText>
        </w:r>
      </w:del>
    </w:p>
    <w:p w14:paraId="019FC9AF" w14:textId="77777777" w:rsidR="00D23E5C" w:rsidRPr="001B4A02" w:rsidRDefault="00000000" w:rsidP="007C5EA6">
      <w:pPr>
        <w:numPr>
          <w:ilvl w:val="0"/>
          <w:numId w:val="17"/>
        </w:numPr>
        <w:tabs>
          <w:tab w:val="clear" w:pos="720"/>
        </w:tabs>
        <w:ind w:left="567" w:hanging="567"/>
        <w:rPr>
          <w:del w:id="11999" w:author="AbbVie1" w:date="2025-05-13T10:11:00Z"/>
        </w:rPr>
      </w:pPr>
      <w:del w:id="12000" w:author="AbbVie1" w:date="2025-05-13T10:11:00Z">
        <w:r w:rsidRPr="001B4A02">
          <w:delText>výduť ve stěně velkých tepen, zánět žilních městků, blokáda krevních cév;</w:delText>
        </w:r>
      </w:del>
    </w:p>
    <w:p w14:paraId="6A08F3B3" w14:textId="77777777" w:rsidR="007F412A" w:rsidRPr="001B4A02" w:rsidRDefault="00000000" w:rsidP="007C5EA6">
      <w:pPr>
        <w:numPr>
          <w:ilvl w:val="0"/>
          <w:numId w:val="17"/>
        </w:numPr>
        <w:tabs>
          <w:tab w:val="clear" w:pos="720"/>
        </w:tabs>
        <w:ind w:left="567" w:hanging="567"/>
        <w:rPr>
          <w:del w:id="12001" w:author="AbbVie1" w:date="2025-05-13T10:11:00Z"/>
        </w:rPr>
      </w:pPr>
      <w:del w:id="12002" w:author="AbbVie1" w:date="2025-05-13T10:11:00Z">
        <w:r w:rsidRPr="001B4A02">
          <w:delText>plicní onemocnění způsobující zkrácení dechu (včetně zánětu);</w:delText>
        </w:r>
      </w:del>
    </w:p>
    <w:p w14:paraId="747A028B" w14:textId="77777777" w:rsidR="00351EB6" w:rsidRPr="001B4A02" w:rsidRDefault="00000000" w:rsidP="007C5EA6">
      <w:pPr>
        <w:numPr>
          <w:ilvl w:val="0"/>
          <w:numId w:val="17"/>
        </w:numPr>
        <w:tabs>
          <w:tab w:val="clear" w:pos="720"/>
        </w:tabs>
        <w:ind w:left="567" w:hanging="567"/>
        <w:rPr>
          <w:del w:id="12003" w:author="AbbVie1" w:date="2025-05-13T10:11:00Z"/>
        </w:rPr>
      </w:pPr>
      <w:del w:id="12004" w:author="AbbVie1" w:date="2025-05-13T10:11:00Z">
        <w:r w:rsidRPr="001B4A02">
          <w:rPr>
            <w:lang w:eastAsia="de-DE"/>
          </w:rPr>
          <w:delText>plicní embolie (uzávěr plicní tepny);</w:delText>
        </w:r>
      </w:del>
    </w:p>
    <w:p w14:paraId="07C08A82" w14:textId="77777777" w:rsidR="00351EB6" w:rsidRPr="001B4A02" w:rsidRDefault="00000000" w:rsidP="007C5EA6">
      <w:pPr>
        <w:numPr>
          <w:ilvl w:val="0"/>
          <w:numId w:val="17"/>
        </w:numPr>
        <w:tabs>
          <w:tab w:val="clear" w:pos="720"/>
        </w:tabs>
        <w:ind w:left="567" w:hanging="567"/>
        <w:rPr>
          <w:del w:id="12005" w:author="AbbVie1" w:date="2025-05-13T10:11:00Z"/>
        </w:rPr>
      </w:pPr>
      <w:del w:id="12006" w:author="AbbVie1" w:date="2025-05-13T10:11:00Z">
        <w:r w:rsidRPr="001B4A02">
          <w:rPr>
            <w:lang w:eastAsia="de-DE"/>
          </w:rPr>
          <w:delText>pleurální výpotek (neobvyklé nahromadění tekutiny v prostoru pohrudnice);</w:delText>
        </w:r>
      </w:del>
    </w:p>
    <w:p w14:paraId="008E4205" w14:textId="77777777" w:rsidR="007F412A" w:rsidRPr="001B4A02" w:rsidRDefault="00000000" w:rsidP="007C5EA6">
      <w:pPr>
        <w:numPr>
          <w:ilvl w:val="0"/>
          <w:numId w:val="17"/>
        </w:numPr>
        <w:tabs>
          <w:tab w:val="clear" w:pos="720"/>
        </w:tabs>
        <w:ind w:left="567" w:hanging="567"/>
        <w:rPr>
          <w:del w:id="12007" w:author="AbbVie1" w:date="2025-05-13T10:11:00Z"/>
        </w:rPr>
      </w:pPr>
      <w:del w:id="12008" w:author="AbbVie1" w:date="2025-05-13T10:11:00Z">
        <w:r w:rsidRPr="001B4A02">
          <w:delText>zánět slinivky břišní, způsobující závažné bolesti břicha</w:delText>
        </w:r>
        <w:r w:rsidR="002378E0">
          <w:delText xml:space="preserve"> a </w:delText>
        </w:r>
        <w:r w:rsidRPr="001B4A02">
          <w:delText>zad;</w:delText>
        </w:r>
      </w:del>
    </w:p>
    <w:p w14:paraId="6C877468" w14:textId="77777777" w:rsidR="007F412A" w:rsidRPr="001B4A02" w:rsidRDefault="00000000" w:rsidP="007C5EA6">
      <w:pPr>
        <w:numPr>
          <w:ilvl w:val="0"/>
          <w:numId w:val="17"/>
        </w:numPr>
        <w:tabs>
          <w:tab w:val="clear" w:pos="720"/>
        </w:tabs>
        <w:ind w:left="567" w:hanging="567"/>
        <w:rPr>
          <w:del w:id="12009" w:author="AbbVie1" w:date="2025-05-13T10:11:00Z"/>
        </w:rPr>
      </w:pPr>
      <w:del w:id="12010" w:author="AbbVie1" w:date="2025-05-13T10:11:00Z">
        <w:r w:rsidRPr="001B4A02">
          <w:delText>potíže s polykáním;</w:delText>
        </w:r>
      </w:del>
    </w:p>
    <w:p w14:paraId="2389BBA3" w14:textId="77777777" w:rsidR="007F412A" w:rsidRPr="001B4A02" w:rsidRDefault="00000000" w:rsidP="007C5EA6">
      <w:pPr>
        <w:numPr>
          <w:ilvl w:val="0"/>
          <w:numId w:val="17"/>
        </w:numPr>
        <w:tabs>
          <w:tab w:val="clear" w:pos="720"/>
        </w:tabs>
        <w:ind w:left="567" w:hanging="567"/>
        <w:rPr>
          <w:del w:id="12011" w:author="AbbVie1" w:date="2025-05-13T10:11:00Z"/>
        </w:rPr>
      </w:pPr>
      <w:del w:id="12012" w:author="AbbVie1" w:date="2025-05-13T10:11:00Z">
        <w:r>
          <w:delText xml:space="preserve">edém </w:delText>
        </w:r>
        <w:r>
          <w:rPr>
            <w:szCs w:val="22"/>
          </w:rPr>
          <w:delText>obličeje</w:delText>
        </w:r>
        <w:r w:rsidRPr="001B4A02">
          <w:delText xml:space="preserve"> </w:delText>
        </w:r>
        <w:r>
          <w:delText>(</w:delText>
        </w:r>
        <w:r w:rsidRPr="001B4A02">
          <w:delText xml:space="preserve">otok </w:delText>
        </w:r>
        <w:r w:rsidR="00EE6ABF">
          <w:rPr>
            <w:szCs w:val="22"/>
          </w:rPr>
          <w:delText>obličeje</w:delText>
        </w:r>
        <w:r>
          <w:rPr>
            <w:szCs w:val="22"/>
          </w:rPr>
          <w:delText>)</w:delText>
        </w:r>
        <w:r w:rsidR="00DB5270" w:rsidRPr="001B4A02">
          <w:delText>;</w:delText>
        </w:r>
      </w:del>
    </w:p>
    <w:p w14:paraId="75F012FC" w14:textId="77777777" w:rsidR="007F412A" w:rsidRPr="001B4A02" w:rsidRDefault="00000000" w:rsidP="007C5EA6">
      <w:pPr>
        <w:numPr>
          <w:ilvl w:val="0"/>
          <w:numId w:val="17"/>
        </w:numPr>
        <w:tabs>
          <w:tab w:val="clear" w:pos="720"/>
        </w:tabs>
        <w:ind w:left="567" w:hanging="567"/>
        <w:rPr>
          <w:del w:id="12013" w:author="AbbVie1" w:date="2025-05-13T10:11:00Z"/>
        </w:rPr>
      </w:pPr>
      <w:del w:id="12014" w:author="AbbVie1" w:date="2025-05-13T10:11:00Z">
        <w:r w:rsidRPr="001B4A02">
          <w:delText>zánět žlučníku, žlučníkové kameny;</w:delText>
        </w:r>
      </w:del>
    </w:p>
    <w:p w14:paraId="16154549" w14:textId="77777777" w:rsidR="007F412A" w:rsidRPr="001B4A02" w:rsidRDefault="00000000" w:rsidP="007C5EA6">
      <w:pPr>
        <w:numPr>
          <w:ilvl w:val="0"/>
          <w:numId w:val="17"/>
        </w:numPr>
        <w:tabs>
          <w:tab w:val="clear" w:pos="720"/>
        </w:tabs>
        <w:ind w:left="567" w:hanging="567"/>
        <w:rPr>
          <w:del w:id="12015" w:author="AbbVie1" w:date="2025-05-13T10:11:00Z"/>
        </w:rPr>
      </w:pPr>
      <w:del w:id="12016" w:author="AbbVie1" w:date="2025-05-13T10:11:00Z">
        <w:r w:rsidRPr="007815F1">
          <w:delText>ztu</w:delText>
        </w:r>
        <w:r w:rsidR="00FD0F9B">
          <w:rPr>
            <w:szCs w:val="22"/>
          </w:rPr>
          <w:delText>kovění</w:delText>
        </w:r>
        <w:r w:rsidRPr="001B4A02">
          <w:delText xml:space="preserve"> jater;</w:delText>
        </w:r>
      </w:del>
    </w:p>
    <w:p w14:paraId="490FBF2F" w14:textId="77777777" w:rsidR="007F412A" w:rsidRPr="001B4A02" w:rsidRDefault="00000000" w:rsidP="007C5EA6">
      <w:pPr>
        <w:numPr>
          <w:ilvl w:val="0"/>
          <w:numId w:val="17"/>
        </w:numPr>
        <w:tabs>
          <w:tab w:val="clear" w:pos="720"/>
        </w:tabs>
        <w:ind w:left="567" w:hanging="567"/>
        <w:rPr>
          <w:del w:id="12017" w:author="AbbVie1" w:date="2025-05-13T10:11:00Z"/>
        </w:rPr>
      </w:pPr>
      <w:del w:id="12018" w:author="AbbVie1" w:date="2025-05-13T10:11:00Z">
        <w:r w:rsidRPr="001B4A02">
          <w:delText>noční pocení;</w:delText>
        </w:r>
      </w:del>
    </w:p>
    <w:p w14:paraId="7C265AB8" w14:textId="77777777" w:rsidR="007F412A" w:rsidRPr="001B4A02" w:rsidRDefault="00000000" w:rsidP="007C5EA6">
      <w:pPr>
        <w:numPr>
          <w:ilvl w:val="0"/>
          <w:numId w:val="17"/>
        </w:numPr>
        <w:tabs>
          <w:tab w:val="clear" w:pos="720"/>
        </w:tabs>
        <w:ind w:left="567" w:hanging="567"/>
        <w:rPr>
          <w:del w:id="12019" w:author="AbbVie1" w:date="2025-05-13T10:11:00Z"/>
        </w:rPr>
      </w:pPr>
      <w:del w:id="12020" w:author="AbbVie1" w:date="2025-05-13T10:11:00Z">
        <w:r w:rsidRPr="001B4A02">
          <w:delText>zjizvení;</w:delText>
        </w:r>
      </w:del>
    </w:p>
    <w:p w14:paraId="66732D38" w14:textId="77777777" w:rsidR="007F412A" w:rsidRPr="001B4A02" w:rsidRDefault="00000000" w:rsidP="007C5EA6">
      <w:pPr>
        <w:numPr>
          <w:ilvl w:val="0"/>
          <w:numId w:val="17"/>
        </w:numPr>
        <w:tabs>
          <w:tab w:val="clear" w:pos="720"/>
        </w:tabs>
        <w:ind w:left="567" w:hanging="567"/>
        <w:rPr>
          <w:del w:id="12021" w:author="AbbVie1" w:date="2025-05-13T10:11:00Z"/>
        </w:rPr>
      </w:pPr>
      <w:del w:id="12022" w:author="AbbVie1" w:date="2025-05-13T10:11:00Z">
        <w:r w:rsidRPr="001B4A02">
          <w:delText>neobvyklé poškození svalů;</w:delText>
        </w:r>
      </w:del>
    </w:p>
    <w:p w14:paraId="6B9A983B" w14:textId="77777777" w:rsidR="00D23E5C" w:rsidRPr="001B4A02" w:rsidRDefault="00000000" w:rsidP="007C5EA6">
      <w:pPr>
        <w:numPr>
          <w:ilvl w:val="0"/>
          <w:numId w:val="17"/>
        </w:numPr>
        <w:tabs>
          <w:tab w:val="clear" w:pos="720"/>
        </w:tabs>
        <w:ind w:left="567" w:hanging="567"/>
        <w:rPr>
          <w:del w:id="12023" w:author="AbbVie1" w:date="2025-05-13T10:11:00Z"/>
        </w:rPr>
      </w:pPr>
      <w:del w:id="12024" w:author="AbbVie1" w:date="2025-05-13T10:11:00Z">
        <w:r w:rsidRPr="001B4A02">
          <w:delText>systémový lupus erythematodes (zahrnující zánět kůže, srdce, plic, kloubů</w:delText>
        </w:r>
        <w:r w:rsidR="002378E0">
          <w:delText xml:space="preserve"> a </w:delText>
        </w:r>
        <w:r w:rsidRPr="001B4A02">
          <w:delText>jiných orgánových systémů);</w:delText>
        </w:r>
      </w:del>
    </w:p>
    <w:p w14:paraId="24CEF5F0" w14:textId="77777777" w:rsidR="007F412A" w:rsidRPr="001B4A02" w:rsidRDefault="00000000" w:rsidP="007C5EA6">
      <w:pPr>
        <w:numPr>
          <w:ilvl w:val="0"/>
          <w:numId w:val="17"/>
        </w:numPr>
        <w:tabs>
          <w:tab w:val="clear" w:pos="720"/>
        </w:tabs>
        <w:ind w:left="567" w:hanging="567"/>
        <w:rPr>
          <w:del w:id="12025" w:author="AbbVie1" w:date="2025-05-13T10:11:00Z"/>
        </w:rPr>
      </w:pPr>
      <w:del w:id="12026" w:author="AbbVie1" w:date="2025-05-13T10:11:00Z">
        <w:r w:rsidRPr="001B4A02">
          <w:delText>přerušovaný spánek;</w:delText>
        </w:r>
      </w:del>
    </w:p>
    <w:p w14:paraId="32BDBE3F" w14:textId="77777777" w:rsidR="007F412A" w:rsidRPr="001B4A02" w:rsidRDefault="00000000" w:rsidP="007C5EA6">
      <w:pPr>
        <w:numPr>
          <w:ilvl w:val="0"/>
          <w:numId w:val="17"/>
        </w:numPr>
        <w:tabs>
          <w:tab w:val="clear" w:pos="720"/>
        </w:tabs>
        <w:ind w:left="567" w:hanging="567"/>
        <w:rPr>
          <w:del w:id="12027" w:author="AbbVie1" w:date="2025-05-13T10:11:00Z"/>
        </w:rPr>
      </w:pPr>
      <w:del w:id="12028" w:author="AbbVie1" w:date="2025-05-13T10:11:00Z">
        <w:r w:rsidRPr="001B4A02">
          <w:delText>impotence;</w:delText>
        </w:r>
      </w:del>
    </w:p>
    <w:p w14:paraId="34384A5C" w14:textId="77777777" w:rsidR="00EB7F8F" w:rsidRPr="001B4A02" w:rsidRDefault="00000000" w:rsidP="007C5EA6">
      <w:pPr>
        <w:numPr>
          <w:ilvl w:val="0"/>
          <w:numId w:val="17"/>
        </w:numPr>
        <w:tabs>
          <w:tab w:val="clear" w:pos="720"/>
        </w:tabs>
        <w:ind w:left="567" w:hanging="567"/>
        <w:rPr>
          <w:del w:id="12029" w:author="AbbVie1" w:date="2025-05-13T10:11:00Z"/>
          <w:shd w:val="clear" w:color="auto" w:fill="FFFF00"/>
        </w:rPr>
      </w:pPr>
      <w:del w:id="12030" w:author="AbbVie1" w:date="2025-05-13T10:11:00Z">
        <w:r w:rsidRPr="001B4A02">
          <w:delText>záněty.</w:delText>
        </w:r>
      </w:del>
    </w:p>
    <w:p w14:paraId="6E896C3B" w14:textId="77777777" w:rsidR="00EB7F8F" w:rsidRPr="001B4A02" w:rsidRDefault="00EB7F8F" w:rsidP="00ED48A3">
      <w:pPr>
        <w:ind w:left="0" w:right="-29" w:firstLine="0"/>
        <w:rPr>
          <w:del w:id="12031" w:author="AbbVie1" w:date="2025-05-13T10:11:00Z"/>
        </w:rPr>
      </w:pPr>
    </w:p>
    <w:p w14:paraId="290A1835" w14:textId="77777777" w:rsidR="00073F8F" w:rsidRPr="001B4A02" w:rsidRDefault="00000000" w:rsidP="00ED48A3">
      <w:pPr>
        <w:ind w:left="0" w:right="-29" w:firstLine="0"/>
        <w:rPr>
          <w:del w:id="12032" w:author="AbbVie1" w:date="2025-05-13T10:11:00Z"/>
        </w:rPr>
      </w:pPr>
      <w:del w:id="12033" w:author="AbbVie1" w:date="2025-05-13T10:11:00Z">
        <w:r w:rsidRPr="001B4A02">
          <w:delText>Vzácné (</w:delText>
        </w:r>
        <w:r w:rsidR="003472B2" w:rsidRPr="001B4A02">
          <w:delText>mohou p</w:delText>
        </w:r>
        <w:r w:rsidR="00FA5EFC" w:rsidRPr="001B4A02">
          <w:delText>ostihnout nejvýše</w:delText>
        </w:r>
        <w:r w:rsidR="003472B2" w:rsidRPr="001B4A02">
          <w:delText xml:space="preserve"> 1 z 1</w:delText>
        </w:r>
        <w:r w:rsidR="009F584E" w:rsidRPr="001B4A02">
          <w:delText> </w:delText>
        </w:r>
        <w:r w:rsidR="003472B2" w:rsidRPr="001B4A02">
          <w:delText>000 osob</w:delText>
        </w:r>
        <w:r w:rsidRPr="001B4A02">
          <w:delText>)</w:delText>
        </w:r>
      </w:del>
    </w:p>
    <w:p w14:paraId="034F7E00" w14:textId="77777777" w:rsidR="00225A0A" w:rsidRPr="001B4A02" w:rsidRDefault="00225A0A" w:rsidP="00ED48A3">
      <w:pPr>
        <w:ind w:left="0" w:right="-29" w:firstLine="0"/>
        <w:rPr>
          <w:del w:id="12034" w:author="AbbVie1" w:date="2025-05-13T10:11:00Z"/>
          <w:shd w:val="clear" w:color="auto" w:fill="FFFF00"/>
        </w:rPr>
      </w:pPr>
    </w:p>
    <w:p w14:paraId="1BA18A30" w14:textId="77777777" w:rsidR="00351EB6" w:rsidRPr="001B4A02" w:rsidRDefault="00000000" w:rsidP="007C5EA6">
      <w:pPr>
        <w:numPr>
          <w:ilvl w:val="0"/>
          <w:numId w:val="17"/>
        </w:numPr>
        <w:tabs>
          <w:tab w:val="clear" w:pos="720"/>
        </w:tabs>
        <w:ind w:left="567" w:hanging="567"/>
        <w:rPr>
          <w:del w:id="12035" w:author="AbbVie1" w:date="2025-05-13T10:11:00Z"/>
        </w:rPr>
      </w:pPr>
      <w:del w:id="12036" w:author="AbbVie1" w:date="2025-05-13T10:11:00Z">
        <w:r w:rsidRPr="001B4A02">
          <w:delText>leukémie (rakovina postihující krev</w:delText>
        </w:r>
        <w:r w:rsidR="002378E0">
          <w:delText xml:space="preserve"> a </w:delText>
        </w:r>
        <w:r w:rsidRPr="001B4A02">
          <w:delText>kostní dřeň);</w:delText>
        </w:r>
      </w:del>
    </w:p>
    <w:p w14:paraId="1F3F1228" w14:textId="77777777" w:rsidR="00351EB6" w:rsidRPr="001B4A02" w:rsidRDefault="00000000" w:rsidP="007C5EA6">
      <w:pPr>
        <w:numPr>
          <w:ilvl w:val="0"/>
          <w:numId w:val="17"/>
        </w:numPr>
        <w:tabs>
          <w:tab w:val="clear" w:pos="720"/>
        </w:tabs>
        <w:ind w:left="567" w:hanging="567"/>
        <w:rPr>
          <w:del w:id="12037" w:author="AbbVie1" w:date="2025-05-13T10:11:00Z"/>
        </w:rPr>
      </w:pPr>
      <w:del w:id="12038" w:author="AbbVie1" w:date="2025-05-13T10:11:00Z">
        <w:r w:rsidRPr="001B4A02">
          <w:delText>závažné alergické reakce doprovázené šokem;</w:delText>
        </w:r>
      </w:del>
    </w:p>
    <w:p w14:paraId="51A85448" w14:textId="77777777" w:rsidR="007F412A" w:rsidRPr="001B4A02" w:rsidRDefault="00000000" w:rsidP="007C5EA6">
      <w:pPr>
        <w:numPr>
          <w:ilvl w:val="0"/>
          <w:numId w:val="17"/>
        </w:numPr>
        <w:tabs>
          <w:tab w:val="clear" w:pos="720"/>
        </w:tabs>
        <w:ind w:left="567" w:hanging="567"/>
        <w:rPr>
          <w:del w:id="12039" w:author="AbbVie1" w:date="2025-05-13T10:11:00Z"/>
        </w:rPr>
      </w:pPr>
      <w:del w:id="12040" w:author="AbbVie1" w:date="2025-05-13T10:11:00Z">
        <w:r w:rsidRPr="001B4A02">
          <w:delText>roztroušená skleróza;</w:delText>
        </w:r>
      </w:del>
    </w:p>
    <w:p w14:paraId="41B6407F" w14:textId="77777777" w:rsidR="00351EB6" w:rsidRPr="001B4A02" w:rsidRDefault="00000000" w:rsidP="007C5EA6">
      <w:pPr>
        <w:numPr>
          <w:ilvl w:val="0"/>
          <w:numId w:val="17"/>
        </w:numPr>
        <w:tabs>
          <w:tab w:val="clear" w:pos="720"/>
        </w:tabs>
        <w:ind w:left="567" w:hanging="567"/>
        <w:rPr>
          <w:del w:id="12041" w:author="AbbVie1" w:date="2025-05-13T10:11:00Z"/>
        </w:rPr>
      </w:pPr>
      <w:del w:id="12042" w:author="AbbVie1" w:date="2025-05-13T10:11:00Z">
        <w:r w:rsidRPr="001B4A02">
          <w:delText>nervové poruchy (jako záněty očního nervu</w:delText>
        </w:r>
        <w:r w:rsidR="002378E0">
          <w:delText xml:space="preserve"> a </w:delText>
        </w:r>
        <w:r w:rsidRPr="001B4A02">
          <w:delText>Guillain-Barré syndrom, který může způsobit svalovou slabost, abnormální pocity, brnění v pažích</w:delText>
        </w:r>
        <w:r w:rsidR="002378E0">
          <w:delText xml:space="preserve"> a </w:delText>
        </w:r>
        <w:r w:rsidRPr="001B4A02">
          <w:delText>horní části těla);</w:delText>
        </w:r>
      </w:del>
    </w:p>
    <w:p w14:paraId="07D52906" w14:textId="77777777" w:rsidR="00073F8F" w:rsidRPr="001B4A02" w:rsidRDefault="00000000" w:rsidP="007C5EA6">
      <w:pPr>
        <w:numPr>
          <w:ilvl w:val="0"/>
          <w:numId w:val="56"/>
        </w:numPr>
        <w:tabs>
          <w:tab w:val="clear" w:pos="720"/>
        </w:tabs>
        <w:ind w:left="567" w:hanging="567"/>
        <w:rPr>
          <w:del w:id="12043" w:author="AbbVie1" w:date="2025-05-13T10:11:00Z"/>
        </w:rPr>
      </w:pPr>
      <w:del w:id="12044" w:author="AbbVie1" w:date="2025-05-13T10:11:00Z">
        <w:r w:rsidRPr="001B4A02">
          <w:delText>zástava srdečních stahů;</w:delText>
        </w:r>
      </w:del>
    </w:p>
    <w:p w14:paraId="17937957" w14:textId="77777777" w:rsidR="00351EB6" w:rsidRPr="001B4A02" w:rsidRDefault="00000000" w:rsidP="007C5EA6">
      <w:pPr>
        <w:numPr>
          <w:ilvl w:val="0"/>
          <w:numId w:val="56"/>
        </w:numPr>
        <w:tabs>
          <w:tab w:val="clear" w:pos="720"/>
        </w:tabs>
        <w:ind w:left="567" w:hanging="567"/>
        <w:rPr>
          <w:del w:id="12045" w:author="AbbVie1" w:date="2025-05-13T10:11:00Z"/>
        </w:rPr>
      </w:pPr>
      <w:del w:id="12046" w:author="AbbVie1" w:date="2025-05-13T10:11:00Z">
        <w:r w:rsidRPr="001B4A02">
          <w:rPr>
            <w:lang w:eastAsia="de-DE"/>
          </w:rPr>
          <w:delText>plicní fibróza (zjizvení plic)</w:delText>
        </w:r>
        <w:r w:rsidR="00444943" w:rsidRPr="001B4A02">
          <w:rPr>
            <w:lang w:eastAsia="de-DE"/>
          </w:rPr>
          <w:delText>;</w:delText>
        </w:r>
      </w:del>
    </w:p>
    <w:p w14:paraId="0FA2ADE3" w14:textId="77777777" w:rsidR="00351EB6" w:rsidRPr="001B4A02" w:rsidRDefault="00000000" w:rsidP="007C5EA6">
      <w:pPr>
        <w:numPr>
          <w:ilvl w:val="0"/>
          <w:numId w:val="56"/>
        </w:numPr>
        <w:tabs>
          <w:tab w:val="clear" w:pos="720"/>
        </w:tabs>
        <w:ind w:left="567" w:hanging="567"/>
        <w:rPr>
          <w:del w:id="12047" w:author="AbbVie1" w:date="2025-05-13T10:11:00Z"/>
        </w:rPr>
      </w:pPr>
      <w:del w:id="12048" w:author="AbbVie1" w:date="2025-05-13T10:11:00Z">
        <w:r w:rsidRPr="001B4A02">
          <w:delText>perforace (protržení) střeva;</w:delText>
        </w:r>
      </w:del>
    </w:p>
    <w:p w14:paraId="6EF5A88A" w14:textId="77777777" w:rsidR="003472B2" w:rsidRPr="001B4A02" w:rsidRDefault="00000000" w:rsidP="007C5EA6">
      <w:pPr>
        <w:numPr>
          <w:ilvl w:val="0"/>
          <w:numId w:val="56"/>
        </w:numPr>
        <w:tabs>
          <w:tab w:val="clear" w:pos="720"/>
        </w:tabs>
        <w:ind w:left="567" w:hanging="567"/>
        <w:rPr>
          <w:del w:id="12049" w:author="AbbVie1" w:date="2025-05-13T10:11:00Z"/>
        </w:rPr>
      </w:pPr>
      <w:del w:id="12050" w:author="AbbVie1" w:date="2025-05-13T10:11:00Z">
        <w:r w:rsidRPr="001B4A02">
          <w:delText>hepatitida</w:delText>
        </w:r>
        <w:r w:rsidR="00F47DB9">
          <w:delText xml:space="preserve"> (zánět jater)</w:delText>
        </w:r>
        <w:r w:rsidRPr="001B4A02">
          <w:delText>;</w:delText>
        </w:r>
      </w:del>
    </w:p>
    <w:p w14:paraId="614FB67C" w14:textId="77777777" w:rsidR="00351EB6" w:rsidRPr="001B4A02" w:rsidRDefault="00000000" w:rsidP="007C5EA6">
      <w:pPr>
        <w:numPr>
          <w:ilvl w:val="0"/>
          <w:numId w:val="56"/>
        </w:numPr>
        <w:tabs>
          <w:tab w:val="clear" w:pos="720"/>
        </w:tabs>
        <w:ind w:left="567" w:hanging="567"/>
        <w:rPr>
          <w:del w:id="12051" w:author="AbbVie1" w:date="2025-05-13T10:11:00Z"/>
        </w:rPr>
      </w:pPr>
      <w:del w:id="12052" w:author="AbbVie1" w:date="2025-05-13T10:11:00Z">
        <w:r w:rsidRPr="001B4A02">
          <w:delText>reaktivace hepatitidy B;</w:delText>
        </w:r>
      </w:del>
    </w:p>
    <w:p w14:paraId="4A1892BB" w14:textId="77777777" w:rsidR="002A6DBA" w:rsidRPr="001B4A02" w:rsidRDefault="00000000" w:rsidP="007C5EA6">
      <w:pPr>
        <w:numPr>
          <w:ilvl w:val="0"/>
          <w:numId w:val="56"/>
        </w:numPr>
        <w:tabs>
          <w:tab w:val="clear" w:pos="720"/>
        </w:tabs>
        <w:ind w:left="567" w:hanging="567"/>
        <w:rPr>
          <w:del w:id="12053" w:author="AbbVie1" w:date="2025-05-13T10:11:00Z"/>
        </w:rPr>
      </w:pPr>
      <w:del w:id="12054" w:author="AbbVie1" w:date="2025-05-13T10:11:00Z">
        <w:r w:rsidRPr="001B4A02">
          <w:rPr>
            <w:szCs w:val="22"/>
          </w:rPr>
          <w:delText>autoimunní hepatitida (zánět jater způsobený imunitním systémem vlastního těla);</w:delText>
        </w:r>
      </w:del>
    </w:p>
    <w:p w14:paraId="2BC1E80D" w14:textId="77777777" w:rsidR="00351EB6" w:rsidRPr="001B4A02" w:rsidRDefault="00000000" w:rsidP="007C5EA6">
      <w:pPr>
        <w:numPr>
          <w:ilvl w:val="0"/>
          <w:numId w:val="56"/>
        </w:numPr>
        <w:tabs>
          <w:tab w:val="clear" w:pos="720"/>
        </w:tabs>
        <w:ind w:left="567" w:hanging="567"/>
        <w:rPr>
          <w:del w:id="12055" w:author="AbbVie1" w:date="2025-05-13T10:11:00Z"/>
        </w:rPr>
      </w:pPr>
      <w:del w:id="12056" w:author="AbbVie1" w:date="2025-05-13T10:11:00Z">
        <w:r w:rsidRPr="001B4A02">
          <w:delText>kožní vaskulitida (zánět krevních cév v kůži);</w:delText>
        </w:r>
      </w:del>
    </w:p>
    <w:p w14:paraId="48F00593" w14:textId="77777777" w:rsidR="00351EB6" w:rsidRPr="001B4A02" w:rsidRDefault="00000000" w:rsidP="007C5EA6">
      <w:pPr>
        <w:numPr>
          <w:ilvl w:val="0"/>
          <w:numId w:val="56"/>
        </w:numPr>
        <w:tabs>
          <w:tab w:val="clear" w:pos="720"/>
        </w:tabs>
        <w:ind w:left="567" w:hanging="567"/>
        <w:rPr>
          <w:del w:id="12057" w:author="AbbVie1" w:date="2025-05-13T10:11:00Z"/>
        </w:rPr>
      </w:pPr>
      <w:del w:id="12058" w:author="AbbVie1" w:date="2025-05-13T10:11:00Z">
        <w:r w:rsidRPr="001B4A02">
          <w:delText>Stevens</w:delText>
        </w:r>
        <w:r w:rsidR="00C43387">
          <w:delText>ův</w:delText>
        </w:r>
        <w:r w:rsidRPr="001B4A02">
          <w:delText>-Johnsonův syndrom (časné příznaky zahrnují únavu, horečku, bolest hlavy</w:delText>
        </w:r>
        <w:r w:rsidR="002378E0">
          <w:delText xml:space="preserve"> a </w:delText>
        </w:r>
        <w:r w:rsidRPr="001B4A02">
          <w:delText>vyrážku);</w:delText>
        </w:r>
      </w:del>
    </w:p>
    <w:p w14:paraId="3B12C3DA" w14:textId="77777777" w:rsidR="00351EB6" w:rsidRPr="001B4A02" w:rsidRDefault="00000000" w:rsidP="007C5EA6">
      <w:pPr>
        <w:numPr>
          <w:ilvl w:val="0"/>
          <w:numId w:val="56"/>
        </w:numPr>
        <w:tabs>
          <w:tab w:val="clear" w:pos="720"/>
        </w:tabs>
        <w:ind w:left="567" w:hanging="567"/>
        <w:rPr>
          <w:del w:id="12059" w:author="AbbVie1" w:date="2025-05-13T10:11:00Z"/>
        </w:rPr>
      </w:pPr>
      <w:del w:id="12060" w:author="AbbVie1" w:date="2025-05-13T10:11:00Z">
        <w:r w:rsidRPr="00490910">
          <w:rPr>
            <w:szCs w:val="22"/>
          </w:rPr>
          <w:delText xml:space="preserve">edém </w:delText>
        </w:r>
        <w:r>
          <w:rPr>
            <w:szCs w:val="22"/>
          </w:rPr>
          <w:delText>obličeje</w:delText>
        </w:r>
        <w:r w:rsidRPr="00490910">
          <w:rPr>
            <w:szCs w:val="22"/>
          </w:rPr>
          <w:delText xml:space="preserve"> (</w:delText>
        </w:r>
        <w:r w:rsidRPr="001B4A02">
          <w:delText xml:space="preserve">otok </w:delText>
        </w:r>
        <w:r w:rsidR="00EE6ABF">
          <w:rPr>
            <w:szCs w:val="22"/>
          </w:rPr>
          <w:delText>obličeje</w:delText>
        </w:r>
        <w:r>
          <w:rPr>
            <w:szCs w:val="22"/>
          </w:rPr>
          <w:delText>)</w:delText>
        </w:r>
        <w:r w:rsidRPr="001B4A02">
          <w:delText xml:space="preserve"> spojen</w:delText>
        </w:r>
        <w:r>
          <w:delText>ý</w:delText>
        </w:r>
        <w:r w:rsidRPr="001B4A02">
          <w:delText xml:space="preserve"> s alergickými reakcemi;</w:delText>
        </w:r>
      </w:del>
    </w:p>
    <w:p w14:paraId="59F047CD" w14:textId="77777777" w:rsidR="00351EB6" w:rsidRPr="001B4A02" w:rsidRDefault="00000000" w:rsidP="007C5EA6">
      <w:pPr>
        <w:numPr>
          <w:ilvl w:val="0"/>
          <w:numId w:val="56"/>
        </w:numPr>
        <w:tabs>
          <w:tab w:val="clear" w:pos="720"/>
        </w:tabs>
        <w:ind w:left="567" w:hanging="567"/>
        <w:rPr>
          <w:del w:id="12061" w:author="AbbVie1" w:date="2025-05-13T10:11:00Z"/>
        </w:rPr>
      </w:pPr>
      <w:del w:id="12062" w:author="AbbVie1" w:date="2025-05-13T10:11:00Z">
        <w:r w:rsidRPr="001B4A02">
          <w:delText>erythema multiforme (zánětlivá kožní vyrážka);</w:delText>
        </w:r>
      </w:del>
    </w:p>
    <w:p w14:paraId="71FF79DB" w14:textId="77777777" w:rsidR="009B5C64" w:rsidRPr="001B4A02" w:rsidRDefault="00000000" w:rsidP="007C5EA6">
      <w:pPr>
        <w:numPr>
          <w:ilvl w:val="0"/>
          <w:numId w:val="56"/>
        </w:numPr>
        <w:tabs>
          <w:tab w:val="clear" w:pos="720"/>
        </w:tabs>
        <w:ind w:left="567" w:hanging="567"/>
        <w:rPr>
          <w:del w:id="12063" w:author="AbbVie1" w:date="2025-05-13T10:11:00Z"/>
        </w:rPr>
      </w:pPr>
      <w:del w:id="12064" w:author="AbbVie1" w:date="2025-05-13T10:11:00Z">
        <w:r w:rsidRPr="001B4A02">
          <w:delText>lupus-like syndrom (onemocnění s příznaky podobnými lupus ery</w:delText>
        </w:r>
        <w:r w:rsidR="00B07D10" w:rsidRPr="001B4A02">
          <w:delText>thematodes)</w:delText>
        </w:r>
        <w:r w:rsidRPr="001B4A02">
          <w:delText>;</w:delText>
        </w:r>
      </w:del>
    </w:p>
    <w:p w14:paraId="70F2C675" w14:textId="77777777" w:rsidR="007027B5" w:rsidRDefault="00000000" w:rsidP="007C5EA6">
      <w:pPr>
        <w:numPr>
          <w:ilvl w:val="0"/>
          <w:numId w:val="56"/>
        </w:numPr>
        <w:tabs>
          <w:tab w:val="clear" w:pos="720"/>
        </w:tabs>
        <w:ind w:left="567" w:hanging="567"/>
        <w:rPr>
          <w:del w:id="12065" w:author="AbbVie1" w:date="2025-05-13T10:11:00Z"/>
        </w:rPr>
      </w:pPr>
      <w:del w:id="12066" w:author="AbbVie1" w:date="2025-05-13T10:11:00Z">
        <w:r w:rsidRPr="001B4A02">
          <w:delText>angioedém (lokalizovaný otok kůže)</w:delText>
        </w:r>
        <w:r w:rsidR="00D40A5A">
          <w:delText>;</w:delText>
        </w:r>
      </w:del>
    </w:p>
    <w:p w14:paraId="2CB4791B" w14:textId="77777777" w:rsidR="007F412A" w:rsidRPr="001B4A02" w:rsidRDefault="00000000" w:rsidP="007C5EA6">
      <w:pPr>
        <w:numPr>
          <w:ilvl w:val="0"/>
          <w:numId w:val="56"/>
        </w:numPr>
        <w:tabs>
          <w:tab w:val="clear" w:pos="720"/>
        </w:tabs>
        <w:ind w:left="567" w:hanging="567"/>
        <w:rPr>
          <w:del w:id="12067" w:author="AbbVie1" w:date="2025-05-13T10:11:00Z"/>
        </w:rPr>
      </w:pPr>
      <w:del w:id="12068" w:author="AbbVie1" w:date="2025-05-13T10:11:00Z">
        <w:r>
          <w:delText xml:space="preserve">lichenoidní kožní reakce (svědivá </w:delText>
        </w:r>
        <w:r w:rsidR="00844B73" w:rsidRPr="00A644C2">
          <w:delText>načervenalá až purpurově zbarvená</w:delText>
        </w:r>
        <w:r>
          <w:delText xml:space="preserve"> vyrážka)</w:delText>
        </w:r>
        <w:r w:rsidR="009B5C64" w:rsidRPr="001B4A02">
          <w:delText>.</w:delText>
        </w:r>
        <w:r w:rsidRPr="001B4A02">
          <w:delText xml:space="preserve"> </w:delText>
        </w:r>
      </w:del>
    </w:p>
    <w:p w14:paraId="2296CB5D" w14:textId="77777777" w:rsidR="007F412A" w:rsidRPr="001B4A02" w:rsidRDefault="007F412A" w:rsidP="00ED48A3">
      <w:pPr>
        <w:ind w:left="0" w:firstLine="0"/>
        <w:rPr>
          <w:del w:id="12069" w:author="AbbVie1" w:date="2025-05-13T10:11:00Z"/>
        </w:rPr>
      </w:pPr>
    </w:p>
    <w:p w14:paraId="0E047E5D" w14:textId="77777777" w:rsidR="003072DD" w:rsidRPr="001B4A02" w:rsidRDefault="00000000" w:rsidP="00ED48A3">
      <w:pPr>
        <w:ind w:left="0" w:right="-29" w:firstLine="0"/>
        <w:rPr>
          <w:del w:id="12070" w:author="AbbVie1" w:date="2025-05-13T10:11:00Z"/>
        </w:rPr>
      </w:pPr>
      <w:del w:id="12071" w:author="AbbVie1" w:date="2025-05-13T10:11:00Z">
        <w:r w:rsidRPr="001B4A02">
          <w:delText>Není známo (frekvenci výskytu nelze z</w:delText>
        </w:r>
        <w:r w:rsidR="004823B6" w:rsidRPr="001B4A02">
          <w:delText> </w:delText>
        </w:r>
        <w:r w:rsidRPr="001B4A02">
          <w:delText>dostupných údajů určit)</w:delText>
        </w:r>
      </w:del>
    </w:p>
    <w:p w14:paraId="5D706583" w14:textId="77777777" w:rsidR="00225A0A" w:rsidRPr="001B4A02" w:rsidRDefault="00225A0A" w:rsidP="00ED48A3">
      <w:pPr>
        <w:ind w:left="0" w:right="-29" w:firstLine="0"/>
        <w:rPr>
          <w:del w:id="12072" w:author="AbbVie1" w:date="2025-05-13T10:11:00Z"/>
        </w:rPr>
      </w:pPr>
    </w:p>
    <w:p w14:paraId="3BF3477B" w14:textId="77777777" w:rsidR="003072DD" w:rsidRPr="001B4A02" w:rsidRDefault="00000000" w:rsidP="007C5EA6">
      <w:pPr>
        <w:numPr>
          <w:ilvl w:val="0"/>
          <w:numId w:val="48"/>
        </w:numPr>
        <w:tabs>
          <w:tab w:val="clear" w:pos="720"/>
        </w:tabs>
        <w:ind w:left="567" w:hanging="567"/>
        <w:rPr>
          <w:del w:id="12073" w:author="AbbVie1" w:date="2025-05-13T10:11:00Z"/>
        </w:rPr>
      </w:pPr>
      <w:del w:id="12074" w:author="AbbVie1" w:date="2025-05-13T10:11:00Z">
        <w:r w:rsidRPr="001B4A02">
          <w:delText>hepatosplenický T-buněčný lymfo</w:delText>
        </w:r>
        <w:r w:rsidR="00E0127A" w:rsidRPr="001B4A02">
          <w:delText>m</w:delText>
        </w:r>
        <w:r w:rsidRPr="001B4A02">
          <w:delText xml:space="preserve"> (vzácný druh rakoviny krve, </w:delText>
        </w:r>
        <w:r w:rsidR="00E0127A" w:rsidRPr="001B4A02">
          <w:delText xml:space="preserve">který </w:delText>
        </w:r>
        <w:r w:rsidRPr="001B4A02">
          <w:delText>je obvykle smrtelný);</w:delText>
        </w:r>
      </w:del>
    </w:p>
    <w:p w14:paraId="7F09FAF1" w14:textId="77777777" w:rsidR="003072DD" w:rsidRDefault="00000000" w:rsidP="007C5EA6">
      <w:pPr>
        <w:numPr>
          <w:ilvl w:val="0"/>
          <w:numId w:val="48"/>
        </w:numPr>
        <w:tabs>
          <w:tab w:val="clear" w:pos="720"/>
        </w:tabs>
        <w:ind w:left="567" w:hanging="567"/>
        <w:rPr>
          <w:del w:id="12075" w:author="AbbVie1" w:date="2025-05-13T10:11:00Z"/>
        </w:rPr>
      </w:pPr>
      <w:del w:id="12076" w:author="AbbVie1" w:date="2025-05-13T10:11:00Z">
        <w:r w:rsidRPr="001B4A02">
          <w:delText>karcinom z</w:delText>
        </w:r>
        <w:r w:rsidR="004823B6" w:rsidRPr="001B4A02">
          <w:delText> </w:delText>
        </w:r>
        <w:r w:rsidRPr="001B4A02">
          <w:delText>Merkelových buněk (typ kožního karcinomu);</w:delText>
        </w:r>
      </w:del>
    </w:p>
    <w:p w14:paraId="3CECF7C5" w14:textId="77777777" w:rsidR="00B2204A" w:rsidRPr="001B4A02" w:rsidRDefault="00000000" w:rsidP="007C5EA6">
      <w:pPr>
        <w:numPr>
          <w:ilvl w:val="0"/>
          <w:numId w:val="48"/>
        </w:numPr>
        <w:tabs>
          <w:tab w:val="clear" w:pos="720"/>
        </w:tabs>
        <w:ind w:left="567" w:hanging="567"/>
        <w:rPr>
          <w:del w:id="12077" w:author="AbbVie1" w:date="2025-05-13T10:11:00Z"/>
        </w:rPr>
      </w:pPr>
      <w:del w:id="12078" w:author="AbbVie1" w:date="2025-05-13T10:11:00Z">
        <w:r>
          <w:delText xml:space="preserve">Kaposiho </w:delText>
        </w:r>
        <w:r w:rsidRPr="009A21A5">
          <w:delText>sarkom</w:delText>
        </w:r>
        <w:r>
          <w:delText xml:space="preserve">, vzácné nádorové onemocnění související s infekcí vyvolanou lidským herpesvirem typu 8. Kaposiho </w:delText>
        </w:r>
        <w:r w:rsidRPr="009A21A5">
          <w:delText>sarkom</w:delText>
        </w:r>
        <w:r>
          <w:delText xml:space="preserve"> se nejčastěji vyskytuje ve formě fialových skvrn na kůži;</w:delText>
        </w:r>
      </w:del>
    </w:p>
    <w:p w14:paraId="69EA2318" w14:textId="77777777" w:rsidR="003072DD" w:rsidRPr="001B4A02" w:rsidRDefault="00000000" w:rsidP="007C5EA6">
      <w:pPr>
        <w:numPr>
          <w:ilvl w:val="0"/>
          <w:numId w:val="48"/>
        </w:numPr>
        <w:tabs>
          <w:tab w:val="clear" w:pos="720"/>
        </w:tabs>
        <w:ind w:left="567" w:hanging="567"/>
        <w:rPr>
          <w:del w:id="12079" w:author="AbbVie1" w:date="2025-05-13T10:11:00Z"/>
        </w:rPr>
      </w:pPr>
      <w:del w:id="12080" w:author="AbbVie1" w:date="2025-05-13T10:11:00Z">
        <w:r w:rsidRPr="001B4A02">
          <w:delText>selhání jater;</w:delText>
        </w:r>
      </w:del>
    </w:p>
    <w:p w14:paraId="56514A73" w14:textId="77777777" w:rsidR="00000ECA" w:rsidRDefault="00000000" w:rsidP="007C5EA6">
      <w:pPr>
        <w:numPr>
          <w:ilvl w:val="0"/>
          <w:numId w:val="48"/>
        </w:numPr>
        <w:tabs>
          <w:tab w:val="clear" w:pos="720"/>
        </w:tabs>
        <w:ind w:left="567" w:hanging="567"/>
        <w:rPr>
          <w:del w:id="12081" w:author="AbbVie1" w:date="2025-05-13T10:11:00Z"/>
        </w:rPr>
      </w:pPr>
      <w:del w:id="12082" w:author="AbbVie1" w:date="2025-05-13T10:11:00Z">
        <w:r w:rsidRPr="001B4A02">
          <w:delText>zhoršení onemocnění nazývané dermatomyozitida (pozorovatelné jako kožní vyrážka doprovázená svalovou slabostí)</w:delText>
        </w:r>
        <w:r>
          <w:delText>;</w:delText>
        </w:r>
      </w:del>
    </w:p>
    <w:p w14:paraId="07A20BDA" w14:textId="77777777" w:rsidR="003072DD" w:rsidRPr="001B4A02" w:rsidRDefault="00000000" w:rsidP="007C5EA6">
      <w:pPr>
        <w:numPr>
          <w:ilvl w:val="0"/>
          <w:numId w:val="48"/>
        </w:numPr>
        <w:tabs>
          <w:tab w:val="clear" w:pos="720"/>
        </w:tabs>
        <w:ind w:left="567" w:hanging="567"/>
        <w:rPr>
          <w:del w:id="12083" w:author="AbbVie1" w:date="2025-05-13T10:11:00Z"/>
        </w:rPr>
      </w:pPr>
      <w:del w:id="12084" w:author="AbbVie1" w:date="2025-05-13T10:11:00Z">
        <w:r w:rsidRPr="000752A7">
          <w:rPr>
            <w:color w:val="000000"/>
            <w:szCs w:val="22"/>
          </w:rPr>
          <w:delText>zvýšení tělesné hmotnosti (u</w:delText>
        </w:r>
        <w:r w:rsidRPr="000752A7">
          <w:rPr>
            <w:szCs w:val="22"/>
            <w:lang w:eastAsia="cs-CZ"/>
          </w:rPr>
          <w:delText> </w:delText>
        </w:r>
        <w:r w:rsidRPr="000752A7">
          <w:rPr>
            <w:color w:val="000000"/>
            <w:szCs w:val="22"/>
          </w:rPr>
          <w:delText>většiny pacientů byl přírůstek hmotnosti malý)</w:delText>
        </w:r>
        <w:r w:rsidRPr="001B4A02">
          <w:delText>.</w:delText>
        </w:r>
      </w:del>
    </w:p>
    <w:p w14:paraId="6EAD5726" w14:textId="77777777" w:rsidR="003072DD" w:rsidRPr="001B4A02" w:rsidRDefault="003072DD" w:rsidP="00ED48A3">
      <w:pPr>
        <w:ind w:left="0" w:firstLine="0"/>
        <w:rPr>
          <w:del w:id="12085" w:author="AbbVie1" w:date="2025-05-13T10:11:00Z"/>
        </w:rPr>
      </w:pPr>
    </w:p>
    <w:p w14:paraId="0AF54C69" w14:textId="77777777" w:rsidR="007F412A" w:rsidRPr="001B4A02" w:rsidRDefault="00000000" w:rsidP="00ED48A3">
      <w:pPr>
        <w:ind w:left="0" w:right="-29" w:firstLine="0"/>
        <w:rPr>
          <w:del w:id="12086" w:author="AbbVie1" w:date="2025-05-13T10:11:00Z"/>
        </w:rPr>
      </w:pPr>
      <w:del w:id="12087" w:author="AbbVie1" w:date="2025-05-13T10:11:00Z">
        <w:r w:rsidRPr="001B4A02">
          <w:delText xml:space="preserve">Některé nežádoucí účinky pozorované </w:delText>
        </w:r>
        <w:r w:rsidR="003072DD" w:rsidRPr="001B4A02">
          <w:delText>u</w:delText>
        </w:r>
        <w:r w:rsidR="00264669" w:rsidRPr="001B4A02">
          <w:delText> přípravku</w:delText>
        </w:r>
        <w:r w:rsidR="003072DD" w:rsidRPr="001B4A02">
          <w:delText xml:space="preserve"> Humir</w:delText>
        </w:r>
        <w:r w:rsidR="00264669" w:rsidRPr="001B4A02">
          <w:delText>a</w:delText>
        </w:r>
        <w:r w:rsidRPr="001B4A02">
          <w:delText xml:space="preserve"> mohou probíhat bez příznaků</w:delText>
        </w:r>
        <w:r w:rsidR="002378E0">
          <w:delText xml:space="preserve"> a </w:delText>
        </w:r>
        <w:r w:rsidRPr="001B4A02">
          <w:delText>mohou být objeveny pouze s pomocí krevních testů.</w:delText>
        </w:r>
        <w:r w:rsidR="00225A0A" w:rsidRPr="001B4A02">
          <w:delText xml:space="preserve"> </w:delText>
        </w:r>
        <w:r w:rsidRPr="001B4A02">
          <w:delText>Tyto zahrnují:</w:delText>
        </w:r>
      </w:del>
    </w:p>
    <w:p w14:paraId="7F811881" w14:textId="77777777" w:rsidR="007F412A" w:rsidRPr="001B4A02" w:rsidRDefault="007F412A" w:rsidP="00ED48A3">
      <w:pPr>
        <w:ind w:left="0" w:right="-29" w:firstLine="0"/>
        <w:rPr>
          <w:del w:id="12088" w:author="AbbVie1" w:date="2025-05-13T10:11:00Z"/>
        </w:rPr>
      </w:pPr>
    </w:p>
    <w:p w14:paraId="16960E31" w14:textId="77777777" w:rsidR="007F412A" w:rsidRPr="001B4A02" w:rsidRDefault="00000000" w:rsidP="00ED48A3">
      <w:pPr>
        <w:ind w:left="0" w:right="-29" w:firstLine="0"/>
        <w:rPr>
          <w:del w:id="12089" w:author="AbbVie1" w:date="2025-05-13T10:11:00Z"/>
        </w:rPr>
      </w:pPr>
      <w:del w:id="12090" w:author="AbbVie1" w:date="2025-05-13T10:11:00Z">
        <w:r w:rsidRPr="001B4A02">
          <w:delText xml:space="preserve">Velmi časté </w:delText>
        </w:r>
        <w:r w:rsidRPr="001B4A02">
          <w:rPr>
            <w:shd w:val="clear" w:color="auto" w:fill="FFFFFF"/>
          </w:rPr>
          <w:delText>(</w:delText>
        </w:r>
        <w:r w:rsidR="003472B2" w:rsidRPr="001B4A02">
          <w:rPr>
            <w:shd w:val="clear" w:color="auto" w:fill="FFFFFF"/>
          </w:rPr>
          <w:delText>mohou postihnout více než 1 z 10 osob</w:delText>
        </w:r>
        <w:r w:rsidRPr="001B4A02">
          <w:delText>)</w:delText>
        </w:r>
      </w:del>
    </w:p>
    <w:p w14:paraId="15AB350F" w14:textId="77777777" w:rsidR="00225A0A" w:rsidRPr="001B4A02" w:rsidRDefault="00225A0A" w:rsidP="00ED48A3">
      <w:pPr>
        <w:ind w:left="0" w:right="-29" w:firstLine="0"/>
        <w:rPr>
          <w:del w:id="12091" w:author="AbbVie1" w:date="2025-05-13T10:11:00Z"/>
        </w:rPr>
      </w:pPr>
    </w:p>
    <w:p w14:paraId="641F5052" w14:textId="77777777" w:rsidR="007F412A" w:rsidRPr="001B4A02" w:rsidRDefault="00000000" w:rsidP="007C5EA6">
      <w:pPr>
        <w:pStyle w:val="EMEANormal"/>
        <w:numPr>
          <w:ilvl w:val="0"/>
          <w:numId w:val="59"/>
        </w:numPr>
        <w:tabs>
          <w:tab w:val="clear" w:pos="562"/>
          <w:tab w:val="clear" w:pos="720"/>
        </w:tabs>
        <w:suppressAutoHyphens w:val="0"/>
        <w:ind w:left="567" w:hanging="567"/>
        <w:rPr>
          <w:del w:id="12092" w:author="AbbVie1" w:date="2025-05-13T10:11:00Z"/>
          <w:lang w:val="cs-CZ"/>
        </w:rPr>
      </w:pPr>
      <w:del w:id="12093" w:author="AbbVie1" w:date="2025-05-13T10:11:00Z">
        <w:r w:rsidRPr="001B4A02">
          <w:rPr>
            <w:lang w:val="cs-CZ"/>
          </w:rPr>
          <w:delText>nízký počet bílých krvinek;</w:delText>
        </w:r>
      </w:del>
    </w:p>
    <w:p w14:paraId="20594BC2" w14:textId="77777777" w:rsidR="007F412A" w:rsidRPr="001B4A02" w:rsidRDefault="00000000" w:rsidP="007C5EA6">
      <w:pPr>
        <w:pStyle w:val="EMEANormal"/>
        <w:numPr>
          <w:ilvl w:val="0"/>
          <w:numId w:val="59"/>
        </w:numPr>
        <w:tabs>
          <w:tab w:val="clear" w:pos="562"/>
          <w:tab w:val="clear" w:pos="720"/>
        </w:tabs>
        <w:suppressAutoHyphens w:val="0"/>
        <w:ind w:left="567" w:hanging="567"/>
        <w:rPr>
          <w:del w:id="12094" w:author="AbbVie1" w:date="2025-05-13T10:11:00Z"/>
          <w:lang w:val="cs-CZ"/>
        </w:rPr>
      </w:pPr>
      <w:del w:id="12095" w:author="AbbVie1" w:date="2025-05-13T10:11:00Z">
        <w:r w:rsidRPr="001B4A02">
          <w:rPr>
            <w:lang w:val="cs-CZ"/>
          </w:rPr>
          <w:delText>nízký počet červených krvinek;</w:delText>
        </w:r>
      </w:del>
    </w:p>
    <w:p w14:paraId="1CBC0F85" w14:textId="77777777" w:rsidR="007F412A" w:rsidRPr="001B4A02" w:rsidRDefault="00000000" w:rsidP="007C5EA6">
      <w:pPr>
        <w:pStyle w:val="EMEANormal"/>
        <w:numPr>
          <w:ilvl w:val="0"/>
          <w:numId w:val="59"/>
        </w:numPr>
        <w:tabs>
          <w:tab w:val="clear" w:pos="562"/>
          <w:tab w:val="clear" w:pos="720"/>
        </w:tabs>
        <w:suppressAutoHyphens w:val="0"/>
        <w:ind w:left="567" w:hanging="567"/>
        <w:rPr>
          <w:del w:id="12096" w:author="AbbVie1" w:date="2025-05-13T10:11:00Z"/>
          <w:lang w:val="cs-CZ"/>
        </w:rPr>
      </w:pPr>
      <w:del w:id="12097" w:author="AbbVie1" w:date="2025-05-13T10:11:00Z">
        <w:r w:rsidRPr="001B4A02">
          <w:rPr>
            <w:lang w:val="cs-CZ"/>
          </w:rPr>
          <w:delText>zvýšení tuků v krvi;</w:delText>
        </w:r>
      </w:del>
    </w:p>
    <w:p w14:paraId="75AC2413" w14:textId="77777777" w:rsidR="007F412A" w:rsidRPr="001B4A02" w:rsidRDefault="00000000" w:rsidP="007C5EA6">
      <w:pPr>
        <w:pStyle w:val="EMEANormal"/>
        <w:numPr>
          <w:ilvl w:val="0"/>
          <w:numId w:val="59"/>
        </w:numPr>
        <w:tabs>
          <w:tab w:val="clear" w:pos="562"/>
          <w:tab w:val="clear" w:pos="720"/>
        </w:tabs>
        <w:suppressAutoHyphens w:val="0"/>
        <w:ind w:left="567" w:hanging="567"/>
        <w:rPr>
          <w:del w:id="12098" w:author="AbbVie1" w:date="2025-05-13T10:11:00Z"/>
          <w:lang w:val="cs-CZ"/>
        </w:rPr>
      </w:pPr>
      <w:del w:id="12099" w:author="AbbVie1" w:date="2025-05-13T10:11:00Z">
        <w:r w:rsidRPr="001B4A02">
          <w:rPr>
            <w:lang w:val="cs-CZ"/>
          </w:rPr>
          <w:delText>zvýšení jaterních enzymů.</w:delText>
        </w:r>
      </w:del>
    </w:p>
    <w:p w14:paraId="67F0E709" w14:textId="77777777" w:rsidR="007F412A" w:rsidRPr="001B4A02" w:rsidRDefault="007F412A" w:rsidP="00ED48A3">
      <w:pPr>
        <w:pStyle w:val="EMEANormal"/>
        <w:tabs>
          <w:tab w:val="left" w:pos="0"/>
        </w:tabs>
        <w:suppressAutoHyphens w:val="0"/>
        <w:rPr>
          <w:del w:id="12100" w:author="AbbVie1" w:date="2025-05-13T10:11:00Z"/>
          <w:lang w:val="cs-CZ"/>
        </w:rPr>
      </w:pPr>
    </w:p>
    <w:p w14:paraId="1FDC211C" w14:textId="77777777" w:rsidR="007F412A" w:rsidRPr="001B4A02" w:rsidRDefault="00000000" w:rsidP="00BA0A72">
      <w:pPr>
        <w:keepNext/>
        <w:shd w:val="clear" w:color="auto" w:fill="FFFFFF"/>
        <w:tabs>
          <w:tab w:val="left" w:pos="0"/>
        </w:tabs>
        <w:ind w:left="0" w:firstLine="0"/>
        <w:rPr>
          <w:del w:id="12101" w:author="AbbVie1" w:date="2025-05-13T10:11:00Z"/>
        </w:rPr>
      </w:pPr>
      <w:del w:id="12102" w:author="AbbVie1" w:date="2025-05-13T10:11:00Z">
        <w:r w:rsidRPr="001B4A02">
          <w:delText>Časté (</w:delText>
        </w:r>
        <w:r w:rsidR="00680EF3" w:rsidRPr="001B4A02">
          <w:delText>mohou postihnout nejvýše</w:delText>
        </w:r>
        <w:r w:rsidR="003472B2" w:rsidRPr="001B4A02">
          <w:delText xml:space="preserve"> 1 z</w:delText>
        </w:r>
        <w:r w:rsidR="007C3379" w:rsidRPr="001B4A02">
          <w:delText> </w:delText>
        </w:r>
        <w:r w:rsidR="003472B2" w:rsidRPr="001B4A02">
          <w:delText>10 osob</w:delText>
        </w:r>
        <w:r w:rsidRPr="001B4A02">
          <w:delText>)</w:delText>
        </w:r>
      </w:del>
    </w:p>
    <w:p w14:paraId="5AEEE4AB" w14:textId="77777777" w:rsidR="00225A0A" w:rsidRPr="001B4A02" w:rsidRDefault="00225A0A" w:rsidP="00BA0A72">
      <w:pPr>
        <w:keepNext/>
        <w:shd w:val="clear" w:color="auto" w:fill="FFFFFF"/>
        <w:tabs>
          <w:tab w:val="left" w:pos="0"/>
        </w:tabs>
        <w:ind w:left="0" w:firstLine="0"/>
        <w:rPr>
          <w:del w:id="12103" w:author="AbbVie1" w:date="2025-05-13T10:11:00Z"/>
        </w:rPr>
      </w:pPr>
    </w:p>
    <w:p w14:paraId="19C7687D" w14:textId="77777777" w:rsidR="007F412A" w:rsidRPr="001B4A02" w:rsidRDefault="00000000" w:rsidP="007C5EA6">
      <w:pPr>
        <w:pStyle w:val="EMEANormal"/>
        <w:numPr>
          <w:ilvl w:val="0"/>
          <w:numId w:val="59"/>
        </w:numPr>
        <w:tabs>
          <w:tab w:val="clear" w:pos="562"/>
          <w:tab w:val="clear" w:pos="720"/>
        </w:tabs>
        <w:suppressAutoHyphens w:val="0"/>
        <w:ind w:left="567" w:hanging="567"/>
        <w:rPr>
          <w:del w:id="12104" w:author="AbbVie1" w:date="2025-05-13T10:11:00Z"/>
          <w:lang w:val="cs-CZ"/>
        </w:rPr>
      </w:pPr>
      <w:del w:id="12105" w:author="AbbVie1" w:date="2025-05-13T10:11:00Z">
        <w:r w:rsidRPr="001B4A02">
          <w:rPr>
            <w:lang w:val="cs-CZ"/>
          </w:rPr>
          <w:delText>vysoký počet bílých krvinek;</w:delText>
        </w:r>
      </w:del>
    </w:p>
    <w:p w14:paraId="12003A43" w14:textId="77777777" w:rsidR="007F412A" w:rsidRPr="001B4A02" w:rsidRDefault="00000000" w:rsidP="007C5EA6">
      <w:pPr>
        <w:pStyle w:val="EMEANormal"/>
        <w:numPr>
          <w:ilvl w:val="0"/>
          <w:numId w:val="59"/>
        </w:numPr>
        <w:tabs>
          <w:tab w:val="clear" w:pos="562"/>
          <w:tab w:val="clear" w:pos="720"/>
        </w:tabs>
        <w:suppressAutoHyphens w:val="0"/>
        <w:ind w:left="567" w:hanging="567"/>
        <w:rPr>
          <w:del w:id="12106" w:author="AbbVie1" w:date="2025-05-13T10:11:00Z"/>
          <w:lang w:val="cs-CZ"/>
        </w:rPr>
      </w:pPr>
      <w:del w:id="12107" w:author="AbbVie1" w:date="2025-05-13T10:11:00Z">
        <w:r w:rsidRPr="001B4A02">
          <w:rPr>
            <w:lang w:val="cs-CZ"/>
          </w:rPr>
          <w:delText>nízký počet krevních destiček;</w:delText>
        </w:r>
      </w:del>
    </w:p>
    <w:p w14:paraId="2DC7CE52" w14:textId="77777777" w:rsidR="007F412A" w:rsidRPr="001B4A02" w:rsidRDefault="00000000" w:rsidP="007C5EA6">
      <w:pPr>
        <w:pStyle w:val="EMEANormal"/>
        <w:numPr>
          <w:ilvl w:val="0"/>
          <w:numId w:val="59"/>
        </w:numPr>
        <w:tabs>
          <w:tab w:val="clear" w:pos="562"/>
          <w:tab w:val="clear" w:pos="720"/>
        </w:tabs>
        <w:suppressAutoHyphens w:val="0"/>
        <w:ind w:left="567" w:hanging="567"/>
        <w:rPr>
          <w:del w:id="12108" w:author="AbbVie1" w:date="2025-05-13T10:11:00Z"/>
          <w:lang w:val="cs-CZ"/>
        </w:rPr>
      </w:pPr>
      <w:del w:id="12109" w:author="AbbVie1" w:date="2025-05-13T10:11:00Z">
        <w:r w:rsidRPr="001B4A02">
          <w:rPr>
            <w:lang w:val="cs-CZ"/>
          </w:rPr>
          <w:delText>zvýšení kyseliny močové v krvi;</w:delText>
        </w:r>
      </w:del>
    </w:p>
    <w:p w14:paraId="6542D92F" w14:textId="77777777" w:rsidR="007F412A" w:rsidRPr="001B4A02" w:rsidRDefault="00000000" w:rsidP="007C5EA6">
      <w:pPr>
        <w:pStyle w:val="EMEANormal"/>
        <w:numPr>
          <w:ilvl w:val="0"/>
          <w:numId w:val="59"/>
        </w:numPr>
        <w:tabs>
          <w:tab w:val="clear" w:pos="562"/>
          <w:tab w:val="clear" w:pos="720"/>
        </w:tabs>
        <w:suppressAutoHyphens w:val="0"/>
        <w:ind w:left="567" w:hanging="567"/>
        <w:rPr>
          <w:del w:id="12110" w:author="AbbVie1" w:date="2025-05-13T10:11:00Z"/>
          <w:lang w:val="cs-CZ"/>
        </w:rPr>
      </w:pPr>
      <w:del w:id="12111" w:author="AbbVie1" w:date="2025-05-13T10:11:00Z">
        <w:r w:rsidRPr="001B4A02">
          <w:rPr>
            <w:lang w:val="cs-CZ"/>
          </w:rPr>
          <w:delText>neobvyklé hodnoty sodíku v krvi;</w:delText>
        </w:r>
      </w:del>
    </w:p>
    <w:p w14:paraId="5092BF28" w14:textId="77777777" w:rsidR="007F412A" w:rsidRPr="001B4A02" w:rsidRDefault="00000000" w:rsidP="007C5EA6">
      <w:pPr>
        <w:pStyle w:val="EMEANormal"/>
        <w:numPr>
          <w:ilvl w:val="0"/>
          <w:numId w:val="59"/>
        </w:numPr>
        <w:tabs>
          <w:tab w:val="clear" w:pos="562"/>
          <w:tab w:val="clear" w:pos="720"/>
        </w:tabs>
        <w:suppressAutoHyphens w:val="0"/>
        <w:ind w:left="567" w:hanging="567"/>
        <w:rPr>
          <w:del w:id="12112" w:author="AbbVie1" w:date="2025-05-13T10:11:00Z"/>
          <w:lang w:val="cs-CZ"/>
        </w:rPr>
      </w:pPr>
      <w:del w:id="12113" w:author="AbbVie1" w:date="2025-05-13T10:11:00Z">
        <w:r w:rsidRPr="001B4A02">
          <w:rPr>
            <w:lang w:val="cs-CZ"/>
          </w:rPr>
          <w:delText>nízké hodnoty vápníku v krvi;</w:delText>
        </w:r>
      </w:del>
    </w:p>
    <w:p w14:paraId="28BC4EA1" w14:textId="77777777" w:rsidR="007F412A" w:rsidRPr="001B4A02" w:rsidRDefault="00000000" w:rsidP="007C5EA6">
      <w:pPr>
        <w:pStyle w:val="EMEANormal"/>
        <w:numPr>
          <w:ilvl w:val="0"/>
          <w:numId w:val="59"/>
        </w:numPr>
        <w:tabs>
          <w:tab w:val="clear" w:pos="562"/>
          <w:tab w:val="clear" w:pos="720"/>
        </w:tabs>
        <w:suppressAutoHyphens w:val="0"/>
        <w:ind w:left="567" w:hanging="567"/>
        <w:rPr>
          <w:del w:id="12114" w:author="AbbVie1" w:date="2025-05-13T10:11:00Z"/>
          <w:lang w:val="cs-CZ"/>
        </w:rPr>
      </w:pPr>
      <w:del w:id="12115" w:author="AbbVie1" w:date="2025-05-13T10:11:00Z">
        <w:r w:rsidRPr="001B4A02">
          <w:rPr>
            <w:lang w:val="cs-CZ"/>
          </w:rPr>
          <w:delText>nízké hodnoty fosforu v krvi;</w:delText>
        </w:r>
      </w:del>
    </w:p>
    <w:p w14:paraId="5B213BF2" w14:textId="77777777" w:rsidR="007F412A" w:rsidRPr="001B4A02" w:rsidRDefault="00000000" w:rsidP="007C5EA6">
      <w:pPr>
        <w:pStyle w:val="EMEANormal"/>
        <w:numPr>
          <w:ilvl w:val="0"/>
          <w:numId w:val="59"/>
        </w:numPr>
        <w:tabs>
          <w:tab w:val="clear" w:pos="562"/>
          <w:tab w:val="clear" w:pos="720"/>
        </w:tabs>
        <w:suppressAutoHyphens w:val="0"/>
        <w:ind w:left="567" w:hanging="567"/>
        <w:rPr>
          <w:del w:id="12116" w:author="AbbVie1" w:date="2025-05-13T10:11:00Z"/>
          <w:lang w:val="cs-CZ"/>
        </w:rPr>
      </w:pPr>
      <w:del w:id="12117" w:author="AbbVie1" w:date="2025-05-13T10:11:00Z">
        <w:r w:rsidRPr="001B4A02">
          <w:rPr>
            <w:lang w:val="cs-CZ"/>
          </w:rPr>
          <w:delText>vysoké hladiny krevního cukru;</w:delText>
        </w:r>
      </w:del>
    </w:p>
    <w:p w14:paraId="25059B5E" w14:textId="77777777" w:rsidR="007F412A" w:rsidRPr="001B4A02" w:rsidRDefault="00000000" w:rsidP="007C5EA6">
      <w:pPr>
        <w:pStyle w:val="EMEANormal"/>
        <w:numPr>
          <w:ilvl w:val="0"/>
          <w:numId w:val="59"/>
        </w:numPr>
        <w:tabs>
          <w:tab w:val="clear" w:pos="562"/>
          <w:tab w:val="clear" w:pos="720"/>
        </w:tabs>
        <w:suppressAutoHyphens w:val="0"/>
        <w:ind w:left="567" w:hanging="567"/>
        <w:rPr>
          <w:del w:id="12118" w:author="AbbVie1" w:date="2025-05-13T10:11:00Z"/>
          <w:lang w:val="cs-CZ"/>
        </w:rPr>
      </w:pPr>
      <w:del w:id="12119" w:author="AbbVie1" w:date="2025-05-13T10:11:00Z">
        <w:r w:rsidRPr="001B4A02">
          <w:rPr>
            <w:lang w:val="cs-CZ"/>
          </w:rPr>
          <w:delText>vysoké hodnoty laktátdehydrogenázy v krvi;</w:delText>
        </w:r>
      </w:del>
    </w:p>
    <w:p w14:paraId="63262091" w14:textId="77777777" w:rsidR="009B5C64" w:rsidRPr="001B4A02" w:rsidRDefault="00000000" w:rsidP="007C5EA6">
      <w:pPr>
        <w:pStyle w:val="EMEANormal"/>
        <w:numPr>
          <w:ilvl w:val="0"/>
          <w:numId w:val="59"/>
        </w:numPr>
        <w:tabs>
          <w:tab w:val="clear" w:pos="562"/>
          <w:tab w:val="clear" w:pos="720"/>
        </w:tabs>
        <w:suppressAutoHyphens w:val="0"/>
        <w:ind w:left="567" w:hanging="567"/>
        <w:rPr>
          <w:del w:id="12120" w:author="AbbVie1" w:date="2025-05-13T10:11:00Z"/>
          <w:lang w:val="cs-CZ"/>
        </w:rPr>
      </w:pPr>
      <w:del w:id="12121" w:author="AbbVie1" w:date="2025-05-13T10:11:00Z">
        <w:r w:rsidRPr="001B4A02">
          <w:rPr>
            <w:lang w:val="cs-CZ"/>
          </w:rPr>
          <w:delText>přítomnost autoprotilátek v krvi;</w:delText>
        </w:r>
      </w:del>
    </w:p>
    <w:p w14:paraId="48BC3617" w14:textId="77777777" w:rsidR="007F412A" w:rsidRPr="001B4A02" w:rsidRDefault="00000000" w:rsidP="007C5EA6">
      <w:pPr>
        <w:pStyle w:val="EMEANormal"/>
        <w:numPr>
          <w:ilvl w:val="0"/>
          <w:numId w:val="59"/>
        </w:numPr>
        <w:tabs>
          <w:tab w:val="clear" w:pos="562"/>
          <w:tab w:val="clear" w:pos="720"/>
        </w:tabs>
        <w:suppressAutoHyphens w:val="0"/>
        <w:ind w:left="567" w:hanging="567"/>
        <w:rPr>
          <w:del w:id="12122" w:author="AbbVie1" w:date="2025-05-13T10:11:00Z"/>
          <w:lang w:val="cs-CZ"/>
        </w:rPr>
      </w:pPr>
      <w:del w:id="12123" w:author="AbbVie1" w:date="2025-05-13T10:11:00Z">
        <w:r w:rsidRPr="001B4A02">
          <w:rPr>
            <w:lang w:val="cs-CZ"/>
          </w:rPr>
          <w:delText>nízká hladina draslíku v krvi.</w:delText>
        </w:r>
      </w:del>
    </w:p>
    <w:p w14:paraId="7773DAE8" w14:textId="77777777" w:rsidR="007F412A" w:rsidRPr="001B4A02" w:rsidRDefault="007F412A" w:rsidP="00ED48A3">
      <w:pPr>
        <w:pStyle w:val="EMEANormal"/>
        <w:tabs>
          <w:tab w:val="left" w:pos="0"/>
        </w:tabs>
        <w:suppressAutoHyphens w:val="0"/>
        <w:rPr>
          <w:del w:id="12124" w:author="AbbVie1" w:date="2025-05-13T10:11:00Z"/>
          <w:lang w:val="cs-CZ"/>
        </w:rPr>
      </w:pPr>
    </w:p>
    <w:p w14:paraId="32A1EC38" w14:textId="77777777" w:rsidR="007F412A" w:rsidRPr="001B4A02" w:rsidRDefault="00000000" w:rsidP="00ED48A3">
      <w:pPr>
        <w:ind w:left="0" w:right="-29" w:firstLine="0"/>
        <w:rPr>
          <w:del w:id="12125" w:author="AbbVie1" w:date="2025-05-13T10:11:00Z"/>
        </w:rPr>
      </w:pPr>
      <w:del w:id="12126" w:author="AbbVie1" w:date="2025-05-13T10:11:00Z">
        <w:r w:rsidRPr="001B4A02">
          <w:delText>Méně časté (</w:delText>
        </w:r>
        <w:r w:rsidR="003472B2" w:rsidRPr="001B4A02">
          <w:rPr>
            <w:shd w:val="clear" w:color="auto" w:fill="FFFFFF"/>
          </w:rPr>
          <w:delText xml:space="preserve">mohou postihnout </w:delText>
        </w:r>
        <w:r w:rsidR="00680EF3" w:rsidRPr="001B4A02">
          <w:rPr>
            <w:shd w:val="clear" w:color="auto" w:fill="FFFFFF"/>
          </w:rPr>
          <w:delText>nejvýše</w:delText>
        </w:r>
        <w:r w:rsidR="003472B2" w:rsidRPr="001B4A02">
          <w:rPr>
            <w:shd w:val="clear" w:color="auto" w:fill="FFFFFF"/>
          </w:rPr>
          <w:delText xml:space="preserve"> 1 z</w:delText>
        </w:r>
        <w:r w:rsidRPr="001B4A02">
          <w:rPr>
            <w:shd w:val="clear" w:color="auto" w:fill="FFFFFF"/>
          </w:rPr>
          <w:delText>e</w:delText>
        </w:r>
        <w:r w:rsidR="00A94BD7" w:rsidRPr="001B4A02">
          <w:rPr>
            <w:shd w:val="clear" w:color="auto" w:fill="FFFFFF"/>
          </w:rPr>
          <w:delText xml:space="preserve"> </w:delText>
        </w:r>
        <w:r w:rsidR="003472B2" w:rsidRPr="001B4A02">
          <w:rPr>
            <w:shd w:val="clear" w:color="auto" w:fill="FFFFFF"/>
          </w:rPr>
          <w:delText>100 osob</w:delText>
        </w:r>
        <w:r w:rsidRPr="001B4A02">
          <w:delText>)</w:delText>
        </w:r>
      </w:del>
    </w:p>
    <w:p w14:paraId="08EFF697" w14:textId="77777777" w:rsidR="00225A0A" w:rsidRPr="001B4A02" w:rsidRDefault="00225A0A" w:rsidP="00ED48A3">
      <w:pPr>
        <w:ind w:left="0" w:right="-29" w:firstLine="0"/>
        <w:rPr>
          <w:del w:id="12127" w:author="AbbVie1" w:date="2025-05-13T10:11:00Z"/>
        </w:rPr>
      </w:pPr>
    </w:p>
    <w:p w14:paraId="78D3B4F3" w14:textId="77777777" w:rsidR="007F412A" w:rsidRPr="001B4A02" w:rsidRDefault="00000000" w:rsidP="007C5EA6">
      <w:pPr>
        <w:pStyle w:val="EMEANormal"/>
        <w:numPr>
          <w:ilvl w:val="0"/>
          <w:numId w:val="59"/>
        </w:numPr>
        <w:tabs>
          <w:tab w:val="clear" w:pos="562"/>
          <w:tab w:val="clear" w:pos="720"/>
        </w:tabs>
        <w:suppressAutoHyphens w:val="0"/>
        <w:ind w:left="567" w:hanging="567"/>
        <w:rPr>
          <w:del w:id="12128" w:author="AbbVie1" w:date="2025-05-13T10:11:00Z"/>
          <w:lang w:val="cs-CZ"/>
        </w:rPr>
      </w:pPr>
      <w:del w:id="12129" w:author="AbbVie1" w:date="2025-05-13T10:11:00Z">
        <w:r w:rsidRPr="001B4A02">
          <w:rPr>
            <w:lang w:val="cs-CZ"/>
          </w:rPr>
          <w:delText>zvýšená hladina bilirubinu (jaterní test z krve)</w:delText>
        </w:r>
        <w:r w:rsidR="00444943" w:rsidRPr="001B4A02">
          <w:rPr>
            <w:lang w:val="cs-CZ"/>
          </w:rPr>
          <w:delText>.</w:delText>
        </w:r>
      </w:del>
    </w:p>
    <w:p w14:paraId="6CD1D406" w14:textId="77777777" w:rsidR="007F412A" w:rsidRPr="001B4A02" w:rsidRDefault="007F412A" w:rsidP="00ED48A3">
      <w:pPr>
        <w:pStyle w:val="EMEANormal"/>
        <w:tabs>
          <w:tab w:val="left" w:pos="0"/>
        </w:tabs>
        <w:suppressAutoHyphens w:val="0"/>
        <w:rPr>
          <w:del w:id="12130" w:author="AbbVie1" w:date="2025-05-13T10:11:00Z"/>
          <w:lang w:val="cs-CZ"/>
        </w:rPr>
      </w:pPr>
    </w:p>
    <w:p w14:paraId="48BFCCDC" w14:textId="77777777" w:rsidR="007F412A" w:rsidRPr="001B4A02" w:rsidRDefault="00000000" w:rsidP="00970906">
      <w:pPr>
        <w:pStyle w:val="EMEANormal"/>
        <w:keepNext/>
        <w:tabs>
          <w:tab w:val="left" w:pos="0"/>
        </w:tabs>
        <w:suppressAutoHyphens w:val="0"/>
        <w:rPr>
          <w:del w:id="12131" w:author="AbbVie1" w:date="2025-05-13T10:11:00Z"/>
          <w:lang w:val="cs-CZ"/>
        </w:rPr>
      </w:pPr>
      <w:del w:id="12132" w:author="AbbVie1" w:date="2025-05-13T10:11:00Z">
        <w:r w:rsidRPr="001B4A02">
          <w:rPr>
            <w:lang w:val="cs-CZ"/>
          </w:rPr>
          <w:delText>Vzácné</w:delText>
        </w:r>
        <w:r w:rsidR="009A4C02" w:rsidRPr="001B4A02">
          <w:rPr>
            <w:lang w:val="cs-CZ"/>
          </w:rPr>
          <w:delText xml:space="preserve"> (</w:delText>
        </w:r>
        <w:r w:rsidRPr="001B4A02">
          <w:rPr>
            <w:lang w:val="cs-CZ"/>
          </w:rPr>
          <w:delText xml:space="preserve">mohou postihnout </w:delText>
        </w:r>
        <w:r w:rsidR="00A94BD7" w:rsidRPr="001B4A02">
          <w:rPr>
            <w:lang w:val="cs-CZ"/>
          </w:rPr>
          <w:delText>nejvýše</w:delText>
        </w:r>
        <w:r w:rsidRPr="001B4A02">
          <w:rPr>
            <w:lang w:val="cs-CZ"/>
          </w:rPr>
          <w:delText xml:space="preserve"> 1 z 1</w:delText>
        </w:r>
        <w:r w:rsidR="00F81D2C" w:rsidRPr="001B4A02">
          <w:rPr>
            <w:lang w:val="cs-CZ"/>
          </w:rPr>
          <w:delText> </w:delText>
        </w:r>
        <w:r w:rsidRPr="001B4A02">
          <w:rPr>
            <w:lang w:val="cs-CZ"/>
          </w:rPr>
          <w:delText>000 osob</w:delText>
        </w:r>
        <w:r w:rsidR="009A4C02" w:rsidRPr="001B4A02">
          <w:rPr>
            <w:lang w:val="cs-CZ"/>
          </w:rPr>
          <w:delText>)</w:delText>
        </w:r>
      </w:del>
    </w:p>
    <w:p w14:paraId="0122F64F" w14:textId="77777777" w:rsidR="00225A0A" w:rsidRPr="001B4A02" w:rsidRDefault="00225A0A" w:rsidP="00ED48A3">
      <w:pPr>
        <w:pStyle w:val="EMEANormal"/>
        <w:tabs>
          <w:tab w:val="left" w:pos="0"/>
        </w:tabs>
        <w:suppressAutoHyphens w:val="0"/>
        <w:rPr>
          <w:del w:id="12133" w:author="AbbVie1" w:date="2025-05-13T10:11:00Z"/>
          <w:lang w:val="cs-CZ"/>
        </w:rPr>
      </w:pPr>
    </w:p>
    <w:p w14:paraId="354FD4C5" w14:textId="77777777" w:rsidR="00073F8F" w:rsidRPr="001B4A02" w:rsidRDefault="00000000" w:rsidP="007C5EA6">
      <w:pPr>
        <w:pStyle w:val="EMEANormal"/>
        <w:numPr>
          <w:ilvl w:val="2"/>
          <w:numId w:val="17"/>
        </w:numPr>
        <w:tabs>
          <w:tab w:val="clear" w:pos="562"/>
          <w:tab w:val="clear" w:pos="2160"/>
        </w:tabs>
        <w:suppressAutoHyphens w:val="0"/>
        <w:ind w:left="567" w:hanging="567"/>
        <w:rPr>
          <w:del w:id="12134" w:author="AbbVie1" w:date="2025-05-13T10:11:00Z"/>
          <w:lang w:val="cs-CZ"/>
        </w:rPr>
      </w:pPr>
      <w:del w:id="12135" w:author="AbbVie1" w:date="2025-05-13T10:11:00Z">
        <w:r w:rsidRPr="001B4A02">
          <w:rPr>
            <w:lang w:val="cs-CZ"/>
          </w:rPr>
          <w:delText>nízké počty bílých krvinek, červených krvinek</w:delText>
        </w:r>
        <w:r w:rsidR="002378E0">
          <w:rPr>
            <w:lang w:val="cs-CZ"/>
          </w:rPr>
          <w:delText xml:space="preserve"> a </w:delText>
        </w:r>
        <w:r w:rsidR="00E26C70" w:rsidRPr="001B4A02">
          <w:rPr>
            <w:lang w:val="cs-CZ"/>
          </w:rPr>
          <w:delText xml:space="preserve">krevních </w:delText>
        </w:r>
        <w:r w:rsidRPr="001B4A02">
          <w:rPr>
            <w:lang w:val="cs-CZ"/>
          </w:rPr>
          <w:delText>destiček</w:delText>
        </w:r>
        <w:r w:rsidR="00351EB6" w:rsidRPr="001B4A02">
          <w:rPr>
            <w:lang w:val="cs-CZ"/>
          </w:rPr>
          <w:delText>.</w:delText>
        </w:r>
      </w:del>
    </w:p>
    <w:p w14:paraId="52A25984" w14:textId="77777777" w:rsidR="007F7787" w:rsidRPr="001B4A02" w:rsidRDefault="007F7787" w:rsidP="0009084E">
      <w:pPr>
        <w:ind w:left="0" w:firstLine="0"/>
        <w:rPr>
          <w:del w:id="12136" w:author="AbbVie1" w:date="2025-05-13T10:11:00Z"/>
        </w:rPr>
      </w:pPr>
    </w:p>
    <w:p w14:paraId="3950FB07" w14:textId="77777777" w:rsidR="005F59C4" w:rsidRPr="00BA0A72" w:rsidRDefault="00000000" w:rsidP="0009084E">
      <w:pPr>
        <w:keepNext/>
        <w:numPr>
          <w:ilvl w:val="12"/>
          <w:numId w:val="0"/>
        </w:numPr>
        <w:rPr>
          <w:del w:id="12137" w:author="AbbVie1" w:date="2025-05-13T10:11:00Z"/>
          <w:b/>
        </w:rPr>
      </w:pPr>
      <w:del w:id="12138" w:author="AbbVie1" w:date="2025-05-13T10:11:00Z">
        <w:r w:rsidRPr="00BA0A72">
          <w:rPr>
            <w:b/>
          </w:rPr>
          <w:delText>Hlášení nežádoucích účinků</w:delText>
        </w:r>
      </w:del>
    </w:p>
    <w:p w14:paraId="72BB0412" w14:textId="77777777" w:rsidR="005F59C4" w:rsidRPr="001B4A02" w:rsidRDefault="00000000" w:rsidP="0009084E">
      <w:pPr>
        <w:numPr>
          <w:ilvl w:val="12"/>
          <w:numId w:val="0"/>
        </w:numPr>
        <w:rPr>
          <w:del w:id="12139" w:author="AbbVie1" w:date="2025-05-13T10:11:00Z"/>
        </w:rPr>
      </w:pPr>
      <w:del w:id="12140" w:author="AbbVie1" w:date="2025-05-13T10:11:00Z">
        <w:r w:rsidRPr="001B4A02">
          <w:delText xml:space="preserve">Pokud se </w:delText>
        </w:r>
        <w:r w:rsidR="00C7254B" w:rsidRPr="001B4A02">
          <w:delText>u</w:delText>
        </w:r>
        <w:r w:rsidR="003600BE" w:rsidRPr="001B4A02">
          <w:delText> </w:delText>
        </w:r>
        <w:r w:rsidR="00C7254B" w:rsidRPr="001B4A02">
          <w:delText xml:space="preserve">Vás vyskytne </w:delText>
        </w:r>
        <w:r w:rsidRPr="001B4A02">
          <w:delText>kterýkoli z nežádoucích účinků,</w:delText>
        </w:r>
        <w:r w:rsidR="002363CB" w:rsidRPr="001B4A02">
          <w:delText xml:space="preserve"> sdělte to svému lékaři nebo lékárníkovi. Stejně postupujte i v</w:delText>
        </w:r>
        <w:r w:rsidR="000928E6" w:rsidRPr="001B4A02">
          <w:delText> </w:delText>
        </w:r>
        <w:r w:rsidR="002363CB" w:rsidRPr="001B4A02">
          <w:delText>případě</w:delText>
        </w:r>
        <w:r w:rsidRPr="001B4A02">
          <w:delText xml:space="preserve"> jakýchkoli nežádoucích účinků, které nejsou uvedeny v této příbalové informaci.</w:delText>
        </w:r>
        <w:r w:rsidR="00D40A5A">
          <w:delText xml:space="preserve"> </w:delText>
        </w:r>
        <w:r w:rsidRPr="001B4A02">
          <w:delText xml:space="preserve">Nežádoucí účinky můžete hlásit také přímo prostřednictvím </w:delText>
        </w:r>
        <w:r w:rsidR="001D5342" w:rsidRPr="001B4A02">
          <w:rPr>
            <w:shd w:val="clear" w:color="auto" w:fill="A6A6A6"/>
          </w:rPr>
          <w:delText>národního systému hlášení nežádoucích účinků uvedeného v </w:delText>
        </w:r>
        <w:r w:rsidR="001D5342">
          <w:fldChar w:fldCharType="begin"/>
        </w:r>
        <w:r w:rsidR="001D5342">
          <w:delInstrText>HYPERLINK "http://www.ema.europa.eu/docs/en_GB/document_library/Template_or_form/2013/03/WC500139752.doc"</w:delInstrText>
        </w:r>
        <w:r w:rsidR="001D5342">
          <w:fldChar w:fldCharType="separate"/>
        </w:r>
        <w:r w:rsidR="001D5342" w:rsidRPr="001B4A02">
          <w:rPr>
            <w:rStyle w:val="Hyperlink"/>
            <w:shd w:val="clear" w:color="auto" w:fill="A6A6A6"/>
          </w:rPr>
          <w:delText>Dodatku V</w:delText>
        </w:r>
        <w:r w:rsidR="001D5342">
          <w:fldChar w:fldCharType="end"/>
        </w:r>
        <w:r w:rsidR="001D5342" w:rsidRPr="001B4A02">
          <w:rPr>
            <w:shd w:val="clear" w:color="auto" w:fill="FFFFFF"/>
          </w:rPr>
          <w:delText>.</w:delText>
        </w:r>
        <w:r w:rsidR="00292D72" w:rsidRPr="001B4A02">
          <w:delText xml:space="preserve"> </w:delText>
        </w:r>
        <w:r w:rsidRPr="001B4A02">
          <w:delText>Nahlášením nežádoucích účinků můžete přispět k získání více informací o</w:delText>
        </w:r>
        <w:r w:rsidR="00F23025" w:rsidRPr="001B4A02">
          <w:delText> </w:delText>
        </w:r>
        <w:r w:rsidRPr="001B4A02">
          <w:delText>bezpečnosti tohoto přípravku.</w:delText>
        </w:r>
      </w:del>
    </w:p>
    <w:p w14:paraId="0B982027" w14:textId="77777777" w:rsidR="00225D61" w:rsidRPr="001B4A02" w:rsidRDefault="00225D61" w:rsidP="0009084E">
      <w:pPr>
        <w:ind w:left="0" w:firstLine="0"/>
        <w:rPr>
          <w:del w:id="12141" w:author="AbbVie1" w:date="2025-05-13T10:11:00Z"/>
        </w:rPr>
      </w:pPr>
    </w:p>
    <w:p w14:paraId="66162426" w14:textId="77777777" w:rsidR="0059344A" w:rsidRPr="001B4A02" w:rsidRDefault="0059344A" w:rsidP="0009084E">
      <w:pPr>
        <w:ind w:left="0" w:firstLine="0"/>
        <w:rPr>
          <w:del w:id="12142" w:author="AbbVie1" w:date="2025-05-13T10:11:00Z"/>
        </w:rPr>
      </w:pPr>
    </w:p>
    <w:p w14:paraId="7A75B78B" w14:textId="77777777" w:rsidR="00073F8F" w:rsidRPr="001B4A02" w:rsidRDefault="00000000" w:rsidP="004D0686">
      <w:pPr>
        <w:keepNext/>
        <w:numPr>
          <w:ilvl w:val="12"/>
          <w:numId w:val="0"/>
        </w:numPr>
        <w:ind w:left="567" w:hanging="567"/>
        <w:outlineLvl w:val="1"/>
        <w:rPr>
          <w:del w:id="12143" w:author="AbbVie1" w:date="2025-05-13T10:11:00Z"/>
        </w:rPr>
      </w:pPr>
      <w:del w:id="12144" w:author="AbbVie1" w:date="2025-05-13T10:11:00Z">
        <w:r w:rsidRPr="001B4A02">
          <w:rPr>
            <w:b/>
          </w:rPr>
          <w:delText>5.</w:delText>
        </w:r>
        <w:r w:rsidRPr="001B4A02">
          <w:rPr>
            <w:b/>
          </w:rPr>
          <w:tab/>
          <w:delText>J</w:delText>
        </w:r>
        <w:r w:rsidR="002363CB" w:rsidRPr="001B4A02">
          <w:rPr>
            <w:b/>
          </w:rPr>
          <w:delText>ak přípravek Humira uchovávat</w:delText>
        </w:r>
      </w:del>
    </w:p>
    <w:p w14:paraId="110F455D" w14:textId="77777777" w:rsidR="00073F8F" w:rsidRPr="001B4A02" w:rsidRDefault="00073F8F" w:rsidP="004823B6">
      <w:pPr>
        <w:keepNext/>
        <w:numPr>
          <w:ilvl w:val="12"/>
          <w:numId w:val="0"/>
        </w:numPr>
        <w:jc w:val="both"/>
        <w:rPr>
          <w:del w:id="12145" w:author="AbbVie1" w:date="2025-05-13T10:11:00Z"/>
        </w:rPr>
      </w:pPr>
    </w:p>
    <w:p w14:paraId="11E4A9A0" w14:textId="77777777" w:rsidR="00073F8F" w:rsidRPr="001B4A02" w:rsidRDefault="00000000" w:rsidP="00ED48A3">
      <w:pPr>
        <w:ind w:left="0" w:firstLine="0"/>
        <w:rPr>
          <w:del w:id="12146" w:author="AbbVie1" w:date="2025-05-13T10:11:00Z"/>
        </w:rPr>
      </w:pPr>
      <w:del w:id="12147" w:author="AbbVie1" w:date="2025-05-13T10:11:00Z">
        <w:r w:rsidRPr="001B4A02">
          <w:delText xml:space="preserve">Uchovávejte </w:delText>
        </w:r>
        <w:r w:rsidR="002363CB" w:rsidRPr="001B4A02">
          <w:delText xml:space="preserve">tento přípravek </w:delText>
        </w:r>
        <w:r w:rsidRPr="001B4A02">
          <w:delText xml:space="preserve">mimo </w:delText>
        </w:r>
        <w:r w:rsidR="002363CB" w:rsidRPr="001B4A02">
          <w:delText>dohled</w:delText>
        </w:r>
        <w:r w:rsidR="002378E0">
          <w:delText xml:space="preserve"> a </w:delText>
        </w:r>
        <w:r w:rsidRPr="001B4A02">
          <w:delText>dosah dětí.</w:delText>
        </w:r>
      </w:del>
    </w:p>
    <w:p w14:paraId="0C4C1261" w14:textId="77777777" w:rsidR="00073F8F" w:rsidRPr="001B4A02" w:rsidRDefault="00073F8F" w:rsidP="00ED48A3">
      <w:pPr>
        <w:ind w:left="0" w:firstLine="0"/>
        <w:rPr>
          <w:del w:id="12148" w:author="AbbVie1" w:date="2025-05-13T10:11:00Z"/>
        </w:rPr>
      </w:pPr>
    </w:p>
    <w:p w14:paraId="5D69D001" w14:textId="77777777" w:rsidR="00073F8F" w:rsidRPr="001B4A02" w:rsidRDefault="00000000" w:rsidP="00ED48A3">
      <w:pPr>
        <w:ind w:left="0" w:firstLine="0"/>
        <w:rPr>
          <w:del w:id="12149" w:author="AbbVie1" w:date="2025-05-13T10:11:00Z"/>
        </w:rPr>
      </w:pPr>
      <w:del w:id="12150" w:author="AbbVie1" w:date="2025-05-13T10:11:00Z">
        <w:r w:rsidRPr="001B4A02">
          <w:delText xml:space="preserve">Nepoužívejte přípravek Humira po uplynutí doby použitelnosti uvedené na lahvičce/blistru/krabičce za </w:delText>
        </w:r>
        <w:r w:rsidR="00174894" w:rsidRPr="001B4A02">
          <w:delText>EXP</w:delText>
        </w:r>
        <w:r w:rsidRPr="001B4A02">
          <w:delText xml:space="preserve">. </w:delText>
        </w:r>
      </w:del>
    </w:p>
    <w:p w14:paraId="3F5D9C1E" w14:textId="77777777" w:rsidR="00073F8F" w:rsidRPr="001B4A02" w:rsidRDefault="00073F8F" w:rsidP="00ED48A3">
      <w:pPr>
        <w:ind w:left="0" w:firstLine="0"/>
        <w:rPr>
          <w:del w:id="12151" w:author="AbbVie1" w:date="2025-05-13T10:11:00Z"/>
        </w:rPr>
      </w:pPr>
    </w:p>
    <w:p w14:paraId="053AF801" w14:textId="77777777" w:rsidR="00073F8F" w:rsidRPr="001B4A02" w:rsidRDefault="00000000" w:rsidP="00ED48A3">
      <w:pPr>
        <w:tabs>
          <w:tab w:val="left" w:pos="567"/>
        </w:tabs>
        <w:ind w:left="0" w:firstLine="0"/>
        <w:rPr>
          <w:del w:id="12152" w:author="AbbVie1" w:date="2025-05-13T10:11:00Z"/>
        </w:rPr>
      </w:pPr>
      <w:del w:id="12153" w:author="AbbVie1" w:date="2025-05-13T10:11:00Z">
        <w:r w:rsidRPr="001B4A02">
          <w:delText>Uchovávejte v chladničce (2</w:delText>
        </w:r>
        <w:r w:rsidR="003A6A97" w:rsidRPr="001B4A02">
          <w:delText xml:space="preserve"> </w:delText>
        </w:r>
        <w:r w:rsidRPr="001B4A02">
          <w:delText>°C</w:delText>
        </w:r>
        <w:r w:rsidR="004E7B71">
          <w:delText xml:space="preserve"> </w:delText>
        </w:r>
        <w:r w:rsidR="008A637C" w:rsidRPr="001B4A02">
          <w:delText>–</w:delText>
        </w:r>
        <w:r w:rsidR="004E7B71">
          <w:delText xml:space="preserve"> </w:delText>
        </w:r>
        <w:r w:rsidRPr="001B4A02">
          <w:delText>8°</w:delText>
        </w:r>
        <w:r w:rsidR="003A6A97" w:rsidRPr="001B4A02">
          <w:delText xml:space="preserve"> </w:delText>
        </w:r>
        <w:r w:rsidRPr="001B4A02">
          <w:delText>C). Chraňte před mrazem. Uchovávejte předplněnou injekční stříkačku v krabičce</w:delText>
        </w:r>
        <w:r w:rsidR="00174A18" w:rsidRPr="001B4A02">
          <w:delText>, aby byl přípravek chráněn před světlem</w:delText>
        </w:r>
        <w:r w:rsidRPr="001B4A02">
          <w:delText>.</w:delText>
        </w:r>
      </w:del>
    </w:p>
    <w:p w14:paraId="4248EE51" w14:textId="77777777" w:rsidR="00174A18" w:rsidRPr="001B4A02" w:rsidRDefault="00174A18" w:rsidP="00ED48A3">
      <w:pPr>
        <w:tabs>
          <w:tab w:val="left" w:pos="708"/>
        </w:tabs>
        <w:autoSpaceDE w:val="0"/>
        <w:autoSpaceDN w:val="0"/>
        <w:adjustRightInd w:val="0"/>
        <w:rPr>
          <w:del w:id="12154" w:author="AbbVie1" w:date="2025-05-13T10:11:00Z"/>
          <w:szCs w:val="22"/>
          <w:lang w:eastAsia="en-GB"/>
        </w:rPr>
      </w:pPr>
    </w:p>
    <w:p w14:paraId="02EB7CDC" w14:textId="77777777" w:rsidR="00174A18" w:rsidRPr="001B4A02" w:rsidRDefault="00000000" w:rsidP="00ED48A3">
      <w:pPr>
        <w:tabs>
          <w:tab w:val="left" w:pos="708"/>
        </w:tabs>
        <w:autoSpaceDE w:val="0"/>
        <w:autoSpaceDN w:val="0"/>
        <w:adjustRightInd w:val="0"/>
        <w:rPr>
          <w:del w:id="12155" w:author="AbbVie1" w:date="2025-05-13T10:11:00Z"/>
          <w:szCs w:val="22"/>
          <w:lang w:eastAsia="en-GB"/>
        </w:rPr>
      </w:pPr>
      <w:del w:id="12156" w:author="AbbVie1" w:date="2025-05-13T10:11:00Z">
        <w:r w:rsidRPr="001B4A02">
          <w:rPr>
            <w:szCs w:val="22"/>
            <w:lang w:eastAsia="en-GB"/>
          </w:rPr>
          <w:delText>Jiná možnost uchovávání:</w:delText>
        </w:r>
      </w:del>
    </w:p>
    <w:p w14:paraId="1F21B8D3" w14:textId="77777777" w:rsidR="00174A18" w:rsidRPr="001B4A02" w:rsidRDefault="00174A18" w:rsidP="00ED48A3">
      <w:pPr>
        <w:tabs>
          <w:tab w:val="left" w:pos="708"/>
        </w:tabs>
        <w:autoSpaceDE w:val="0"/>
        <w:autoSpaceDN w:val="0"/>
        <w:adjustRightInd w:val="0"/>
        <w:rPr>
          <w:del w:id="12157" w:author="AbbVie1" w:date="2025-05-13T10:11:00Z"/>
          <w:szCs w:val="22"/>
          <w:lang w:eastAsia="en-GB"/>
        </w:rPr>
      </w:pPr>
    </w:p>
    <w:p w14:paraId="6BBC3345" w14:textId="77777777" w:rsidR="00174A18" w:rsidRPr="001B4A02" w:rsidRDefault="00000000" w:rsidP="00ED48A3">
      <w:pPr>
        <w:tabs>
          <w:tab w:val="left" w:pos="0"/>
        </w:tabs>
        <w:autoSpaceDE w:val="0"/>
        <w:autoSpaceDN w:val="0"/>
        <w:adjustRightInd w:val="0"/>
        <w:ind w:left="0" w:firstLine="0"/>
        <w:rPr>
          <w:del w:id="12158" w:author="AbbVie1" w:date="2025-05-13T10:11:00Z"/>
          <w:szCs w:val="22"/>
          <w:lang w:eastAsia="en-GB"/>
        </w:rPr>
      </w:pPr>
      <w:del w:id="12159" w:author="AbbVie1" w:date="2025-05-13T10:11:00Z">
        <w:r w:rsidRPr="001B4A02">
          <w:rPr>
            <w:szCs w:val="22"/>
            <w:lang w:eastAsia="en-GB"/>
          </w:rPr>
          <w:delText>Pokud je to potřeba (například pokud cestujete), je možno uchovávat jednotlivé předplněné injekční stříkačky přípravku Humira při pokojové teplotě (až do 25</w:delText>
        </w:r>
        <w:r w:rsidR="001567E8" w:rsidRPr="001B4A02">
          <w:rPr>
            <w:szCs w:val="22"/>
            <w:lang w:eastAsia="en-GB"/>
          </w:rPr>
          <w:delText xml:space="preserve"> </w:delText>
        </w:r>
        <w:r w:rsidRPr="001B4A02">
          <w:rPr>
            <w:szCs w:val="22"/>
            <w:lang w:eastAsia="en-GB"/>
          </w:rPr>
          <w:delText>°C) po dobu maximálně 14 dní. Vždy se ujistěte, že je přípravek chráněn před světlem. Jakmile je vyjmut z</w:delText>
        </w:r>
        <w:r w:rsidR="004823B6" w:rsidRPr="001B4A02">
          <w:rPr>
            <w:szCs w:val="22"/>
            <w:lang w:eastAsia="en-GB"/>
          </w:rPr>
          <w:delText> </w:delText>
        </w:r>
        <w:r w:rsidRPr="001B4A02">
          <w:rPr>
            <w:szCs w:val="22"/>
            <w:lang w:eastAsia="en-GB"/>
          </w:rPr>
          <w:delText>lednice</w:delText>
        </w:r>
        <w:r w:rsidR="002378E0">
          <w:rPr>
            <w:szCs w:val="22"/>
            <w:lang w:eastAsia="en-GB"/>
          </w:rPr>
          <w:delText xml:space="preserve"> a </w:delText>
        </w:r>
        <w:r w:rsidRPr="001B4A02">
          <w:rPr>
            <w:szCs w:val="22"/>
            <w:lang w:eastAsia="en-GB"/>
          </w:rPr>
          <w:delText xml:space="preserve">ponechán při pokojové teplotě, stříkačka </w:delText>
        </w:r>
        <w:r w:rsidRPr="001B4A02">
          <w:rPr>
            <w:b/>
            <w:szCs w:val="22"/>
            <w:lang w:eastAsia="en-GB"/>
          </w:rPr>
          <w:delText xml:space="preserve">musí být </w:delText>
        </w:r>
        <w:r w:rsidR="005F2397" w:rsidRPr="001B4A02">
          <w:rPr>
            <w:b/>
            <w:szCs w:val="22"/>
            <w:lang w:eastAsia="en-GB"/>
          </w:rPr>
          <w:delText xml:space="preserve">použita do 14 </w:delText>
        </w:r>
        <w:r w:rsidRPr="001B4A02">
          <w:rPr>
            <w:b/>
            <w:szCs w:val="22"/>
            <w:lang w:eastAsia="en-GB"/>
          </w:rPr>
          <w:delText>d</w:delText>
        </w:r>
        <w:r w:rsidR="005F2397" w:rsidRPr="001B4A02">
          <w:rPr>
            <w:b/>
            <w:szCs w:val="22"/>
            <w:lang w:eastAsia="en-GB"/>
          </w:rPr>
          <w:delText>n</w:delText>
        </w:r>
        <w:r w:rsidRPr="001B4A02">
          <w:rPr>
            <w:b/>
            <w:szCs w:val="22"/>
            <w:lang w:eastAsia="en-GB"/>
          </w:rPr>
          <w:delText>í nebo z</w:delText>
        </w:r>
        <w:r w:rsidR="005F2397" w:rsidRPr="001B4A02">
          <w:rPr>
            <w:b/>
            <w:szCs w:val="22"/>
            <w:lang w:eastAsia="en-GB"/>
          </w:rPr>
          <w:delText>likvidována</w:delText>
        </w:r>
        <w:r w:rsidRPr="001B4A02">
          <w:rPr>
            <w:b/>
            <w:szCs w:val="22"/>
            <w:lang w:eastAsia="en-GB"/>
          </w:rPr>
          <w:delText>,</w:delText>
        </w:r>
        <w:r w:rsidR="002378E0">
          <w:rPr>
            <w:b/>
            <w:szCs w:val="22"/>
            <w:lang w:eastAsia="en-GB"/>
          </w:rPr>
          <w:delText xml:space="preserve"> a </w:delText>
        </w:r>
        <w:r w:rsidRPr="001B4A02">
          <w:rPr>
            <w:szCs w:val="22"/>
            <w:lang w:eastAsia="en-GB"/>
          </w:rPr>
          <w:delText>to i v</w:delText>
        </w:r>
        <w:r w:rsidR="004823B6" w:rsidRPr="001B4A02">
          <w:rPr>
            <w:szCs w:val="22"/>
            <w:lang w:eastAsia="en-GB"/>
          </w:rPr>
          <w:delText> </w:delText>
        </w:r>
        <w:r w:rsidRPr="001B4A02">
          <w:rPr>
            <w:szCs w:val="22"/>
            <w:lang w:eastAsia="en-GB"/>
          </w:rPr>
          <w:delText>situaci, k</w:delText>
        </w:r>
        <w:r w:rsidR="00D6542D" w:rsidRPr="001B4A02">
          <w:rPr>
            <w:szCs w:val="22"/>
            <w:lang w:eastAsia="en-GB"/>
          </w:rPr>
          <w:delText>dy je vrácena zpět do lednice.</w:delText>
        </w:r>
      </w:del>
    </w:p>
    <w:p w14:paraId="2E07CCE3" w14:textId="77777777" w:rsidR="00174A18" w:rsidRPr="001B4A02" w:rsidRDefault="00174A18" w:rsidP="00ED48A3">
      <w:pPr>
        <w:tabs>
          <w:tab w:val="left" w:pos="708"/>
        </w:tabs>
        <w:autoSpaceDE w:val="0"/>
        <w:autoSpaceDN w:val="0"/>
        <w:adjustRightInd w:val="0"/>
        <w:rPr>
          <w:del w:id="12160" w:author="AbbVie1" w:date="2025-05-13T10:11:00Z"/>
          <w:szCs w:val="22"/>
          <w:lang w:eastAsia="en-GB"/>
        </w:rPr>
      </w:pPr>
    </w:p>
    <w:p w14:paraId="7C4BECD0" w14:textId="77777777" w:rsidR="00073F8F" w:rsidRPr="001B4A02" w:rsidRDefault="00000000" w:rsidP="00ED48A3">
      <w:pPr>
        <w:ind w:left="0" w:firstLine="0"/>
        <w:rPr>
          <w:del w:id="12161" w:author="AbbVie1" w:date="2025-05-13T10:11:00Z"/>
          <w:b/>
        </w:rPr>
      </w:pPr>
      <w:del w:id="12162" w:author="AbbVie1" w:date="2025-05-13T10:11:00Z">
        <w:r w:rsidRPr="0043226A">
          <w:rPr>
            <w:szCs w:val="22"/>
            <w:lang w:eastAsia="en-GB"/>
          </w:rPr>
          <w:delText>Poznamenejte si</w:delText>
        </w:r>
        <w:r w:rsidR="00174A18" w:rsidRPr="001B4A02">
          <w:rPr>
            <w:szCs w:val="22"/>
            <w:lang w:eastAsia="en-GB"/>
          </w:rPr>
          <w:delText xml:space="preserve"> datum, kdy jste stříkačku poprvé vyjmul(a) z</w:delText>
        </w:r>
        <w:r w:rsidR="004823B6" w:rsidRPr="001B4A02">
          <w:rPr>
            <w:szCs w:val="22"/>
            <w:lang w:eastAsia="en-GB"/>
          </w:rPr>
          <w:delText> </w:delText>
        </w:r>
        <w:r w:rsidR="00174A18" w:rsidRPr="001B4A02">
          <w:rPr>
            <w:szCs w:val="22"/>
            <w:lang w:eastAsia="en-GB"/>
          </w:rPr>
          <w:delText>lednice</w:delText>
        </w:r>
        <w:r w:rsidR="005928C5" w:rsidRPr="001B4A02">
          <w:rPr>
            <w:szCs w:val="22"/>
            <w:lang w:eastAsia="en-GB"/>
          </w:rPr>
          <w:delText>,</w:delText>
        </w:r>
        <w:r w:rsidR="002378E0">
          <w:rPr>
            <w:szCs w:val="22"/>
            <w:lang w:eastAsia="en-GB"/>
          </w:rPr>
          <w:delText xml:space="preserve"> a </w:delText>
        </w:r>
        <w:r w:rsidR="005928C5" w:rsidRPr="001B4A02">
          <w:rPr>
            <w:szCs w:val="22"/>
            <w:lang w:eastAsia="en-GB"/>
          </w:rPr>
          <w:delText>také</w:delText>
        </w:r>
        <w:r w:rsidR="00174A18" w:rsidRPr="001B4A02">
          <w:rPr>
            <w:szCs w:val="22"/>
            <w:lang w:eastAsia="en-GB"/>
          </w:rPr>
          <w:delText xml:space="preserve"> datum, kdy je třeba ji znehodnotit</w:delText>
        </w:r>
        <w:r w:rsidR="00174A18" w:rsidRPr="001B4A02">
          <w:delText>.</w:delText>
        </w:r>
      </w:del>
    </w:p>
    <w:p w14:paraId="07C8EB4A" w14:textId="77777777" w:rsidR="002363CB" w:rsidRPr="001B4A02" w:rsidRDefault="002363CB" w:rsidP="00ED48A3">
      <w:pPr>
        <w:ind w:left="0" w:firstLine="0"/>
        <w:rPr>
          <w:del w:id="12163" w:author="AbbVie1" w:date="2025-05-13T10:11:00Z"/>
        </w:rPr>
      </w:pPr>
    </w:p>
    <w:p w14:paraId="41F735F2" w14:textId="77777777" w:rsidR="002363CB" w:rsidRPr="001B4A02" w:rsidRDefault="00000000" w:rsidP="00ED48A3">
      <w:pPr>
        <w:ind w:left="0" w:firstLine="0"/>
        <w:rPr>
          <w:del w:id="12164" w:author="AbbVie1" w:date="2025-05-13T10:11:00Z"/>
        </w:rPr>
      </w:pPr>
      <w:del w:id="12165" w:author="AbbVie1" w:date="2025-05-13T10:11:00Z">
        <w:r w:rsidRPr="001B4A02">
          <w:delText>Nevyhazujte žádné léčivé přípravky do odpadních vod nebo domácího odpadu. Zeptejte se svého léká</w:delText>
        </w:r>
        <w:r w:rsidR="00084DA1" w:rsidRPr="001B4A02">
          <w:delText>r</w:delText>
        </w:r>
        <w:r w:rsidRPr="001B4A02">
          <w:delText>níka, jak naložit s přípravky, které již nepoužíváte. Tato opatření pomáhají chránit životní prostředí.</w:delText>
        </w:r>
        <w:r w:rsidR="007E1D0D" w:rsidRPr="001B4A02">
          <w:delText xml:space="preserve"> </w:delText>
        </w:r>
      </w:del>
    </w:p>
    <w:p w14:paraId="43DD6A5E" w14:textId="77777777" w:rsidR="00225D61" w:rsidRPr="001B4A02" w:rsidRDefault="00225D61" w:rsidP="00ED48A3">
      <w:pPr>
        <w:ind w:left="0" w:firstLine="0"/>
        <w:rPr>
          <w:del w:id="12166" w:author="AbbVie1" w:date="2025-05-13T10:11:00Z"/>
        </w:rPr>
      </w:pPr>
    </w:p>
    <w:p w14:paraId="20466FBE" w14:textId="77777777" w:rsidR="002363CB" w:rsidRPr="001B4A02" w:rsidRDefault="002363CB" w:rsidP="00ED48A3">
      <w:pPr>
        <w:ind w:left="0" w:firstLine="0"/>
        <w:rPr>
          <w:del w:id="12167" w:author="AbbVie1" w:date="2025-05-13T10:11:00Z"/>
        </w:rPr>
      </w:pPr>
    </w:p>
    <w:p w14:paraId="49398C76" w14:textId="77777777" w:rsidR="00073F8F" w:rsidRPr="001B4A02" w:rsidRDefault="00000000" w:rsidP="004D0686">
      <w:pPr>
        <w:keepNext/>
        <w:numPr>
          <w:ilvl w:val="12"/>
          <w:numId w:val="0"/>
        </w:numPr>
        <w:ind w:left="567" w:hanging="567"/>
        <w:outlineLvl w:val="1"/>
        <w:rPr>
          <w:del w:id="12168" w:author="AbbVie1" w:date="2025-05-13T10:11:00Z"/>
          <w:b/>
        </w:rPr>
      </w:pPr>
      <w:del w:id="12169" w:author="AbbVie1" w:date="2025-05-13T10:11:00Z">
        <w:r w:rsidRPr="001B4A02">
          <w:rPr>
            <w:b/>
          </w:rPr>
          <w:delText>6.</w:delText>
        </w:r>
        <w:r w:rsidRPr="001B4A02">
          <w:rPr>
            <w:b/>
          </w:rPr>
          <w:tab/>
        </w:r>
        <w:r w:rsidR="002363CB" w:rsidRPr="001B4A02">
          <w:rPr>
            <w:b/>
          </w:rPr>
          <w:delText>Obsah balení</w:delText>
        </w:r>
        <w:r w:rsidR="002378E0">
          <w:rPr>
            <w:b/>
          </w:rPr>
          <w:delText xml:space="preserve"> a </w:delText>
        </w:r>
        <w:r w:rsidR="002363CB" w:rsidRPr="001B4A02">
          <w:rPr>
            <w:b/>
          </w:rPr>
          <w:delText>další informace</w:delText>
        </w:r>
      </w:del>
    </w:p>
    <w:p w14:paraId="3FCE6CCC" w14:textId="77777777" w:rsidR="00073F8F" w:rsidRPr="001B4A02" w:rsidRDefault="00073F8F" w:rsidP="004D0686">
      <w:pPr>
        <w:keepNext/>
        <w:ind w:left="0" w:firstLine="0"/>
        <w:rPr>
          <w:del w:id="12170" w:author="AbbVie1" w:date="2025-05-13T10:11:00Z"/>
        </w:rPr>
      </w:pPr>
    </w:p>
    <w:p w14:paraId="6D30B775" w14:textId="77777777" w:rsidR="00073F8F" w:rsidRPr="001B4A02" w:rsidRDefault="00000000" w:rsidP="004D0686">
      <w:pPr>
        <w:keepNext/>
        <w:numPr>
          <w:ilvl w:val="12"/>
          <w:numId w:val="0"/>
        </w:numPr>
        <w:rPr>
          <w:del w:id="12171" w:author="AbbVie1" w:date="2025-05-13T10:11:00Z"/>
          <w:b/>
          <w:bCs/>
        </w:rPr>
      </w:pPr>
      <w:del w:id="12172" w:author="AbbVie1" w:date="2025-05-13T10:11:00Z">
        <w:r w:rsidRPr="001B4A02">
          <w:rPr>
            <w:b/>
            <w:bCs/>
          </w:rPr>
          <w:delText xml:space="preserve">Co </w:delText>
        </w:r>
        <w:r w:rsidR="00264669" w:rsidRPr="001B4A02">
          <w:rPr>
            <w:b/>
          </w:rPr>
          <w:delText xml:space="preserve">přípravek </w:delText>
        </w:r>
        <w:r w:rsidRPr="001B4A02">
          <w:rPr>
            <w:b/>
            <w:bCs/>
          </w:rPr>
          <w:delText>Humira obsahuje</w:delText>
        </w:r>
      </w:del>
    </w:p>
    <w:p w14:paraId="00FAEC2F" w14:textId="77777777" w:rsidR="00073F8F" w:rsidRPr="001B4A02" w:rsidRDefault="00073F8F" w:rsidP="004D0686">
      <w:pPr>
        <w:keepNext/>
        <w:ind w:left="0" w:firstLine="0"/>
        <w:rPr>
          <w:del w:id="12173" w:author="AbbVie1" w:date="2025-05-13T10:11:00Z"/>
        </w:rPr>
      </w:pPr>
    </w:p>
    <w:p w14:paraId="3543711C" w14:textId="77777777" w:rsidR="00073F8F" w:rsidRPr="001B4A02" w:rsidRDefault="00000000" w:rsidP="0009084E">
      <w:pPr>
        <w:ind w:left="0" w:firstLine="0"/>
        <w:rPr>
          <w:del w:id="12174" w:author="AbbVie1" w:date="2025-05-13T10:11:00Z"/>
        </w:rPr>
      </w:pPr>
      <w:del w:id="12175" w:author="AbbVie1" w:date="2025-05-13T10:11:00Z">
        <w:r w:rsidRPr="001B4A02">
          <w:delText>Léčivou látkou je adalimumab</w:delText>
        </w:r>
        <w:r w:rsidR="00B91C50" w:rsidRPr="001B4A02">
          <w:delText>um</w:delText>
        </w:r>
        <w:r w:rsidRPr="001B4A02">
          <w:delText>.</w:delText>
        </w:r>
      </w:del>
    </w:p>
    <w:p w14:paraId="77571530" w14:textId="77777777" w:rsidR="00073F8F" w:rsidRPr="001B4A02" w:rsidRDefault="00000000" w:rsidP="0009084E">
      <w:pPr>
        <w:ind w:left="0" w:firstLine="0"/>
        <w:rPr>
          <w:del w:id="12176" w:author="AbbVie1" w:date="2025-05-13T10:11:00Z"/>
        </w:rPr>
      </w:pPr>
      <w:del w:id="12177" w:author="AbbVie1" w:date="2025-05-13T10:11:00Z">
        <w:r w:rsidRPr="001B4A02">
          <w:delText>Pomocn</w:delText>
        </w:r>
        <w:r w:rsidR="00E91CB6" w:rsidRPr="001B4A02">
          <w:delText>ými</w:delText>
        </w:r>
        <w:r w:rsidRPr="001B4A02">
          <w:delText xml:space="preserve"> látk</w:delText>
        </w:r>
        <w:r w:rsidR="00E91CB6" w:rsidRPr="001B4A02">
          <w:delText>ami</w:delText>
        </w:r>
        <w:r w:rsidRPr="001B4A02">
          <w:delText xml:space="preserve"> jsou mannitol, monohydrát kyseliny citronové, dihydrát </w:delText>
        </w:r>
        <w:r w:rsidR="007A4774" w:rsidRPr="001B4A02">
          <w:delText>natrium-citrátu</w:delText>
        </w:r>
        <w:r w:rsidRPr="001B4A02">
          <w:delText>, dihydrát dihydrogenfosforečnanu sodného, dihydrát hydrogenfosforečnanu sodného, chlorid sodný, polysorbát 80, hydroxid sodný</w:delText>
        </w:r>
        <w:r w:rsidR="002378E0">
          <w:delText xml:space="preserve"> a </w:delText>
        </w:r>
        <w:r w:rsidRPr="001B4A02">
          <w:delText xml:space="preserve">voda </w:delText>
        </w:r>
        <w:r w:rsidR="00202301" w:rsidRPr="001B4A02">
          <w:delText>pro</w:delText>
        </w:r>
        <w:r w:rsidRPr="001B4A02">
          <w:delText xml:space="preserve"> injekci.</w:delText>
        </w:r>
      </w:del>
    </w:p>
    <w:p w14:paraId="62D4CBDB" w14:textId="77777777" w:rsidR="00073F8F" w:rsidRPr="001B4A02" w:rsidRDefault="00073F8F" w:rsidP="0009084E">
      <w:pPr>
        <w:ind w:left="0" w:firstLine="0"/>
        <w:rPr>
          <w:del w:id="12178" w:author="AbbVie1" w:date="2025-05-13T10:11:00Z"/>
        </w:rPr>
      </w:pPr>
    </w:p>
    <w:p w14:paraId="189D8B12" w14:textId="77777777" w:rsidR="00073F8F" w:rsidRPr="001B4A02" w:rsidRDefault="00000000" w:rsidP="0009084E">
      <w:pPr>
        <w:keepNext/>
        <w:numPr>
          <w:ilvl w:val="12"/>
          <w:numId w:val="0"/>
        </w:numPr>
        <w:rPr>
          <w:del w:id="12179" w:author="AbbVie1" w:date="2025-05-13T10:11:00Z"/>
          <w:b/>
          <w:bCs/>
        </w:rPr>
      </w:pPr>
      <w:del w:id="12180" w:author="AbbVie1" w:date="2025-05-13T10:11:00Z">
        <w:r w:rsidRPr="001B4A02">
          <w:rPr>
            <w:b/>
            <w:bCs/>
          </w:rPr>
          <w:delText>Jak přípravek Humira injekční roztok v předplněné injekční stříkačce vypadá</w:delText>
        </w:r>
        <w:r w:rsidR="002378E0">
          <w:rPr>
            <w:b/>
            <w:bCs/>
          </w:rPr>
          <w:delText xml:space="preserve"> a </w:delText>
        </w:r>
        <w:r w:rsidRPr="001B4A02">
          <w:rPr>
            <w:b/>
            <w:bCs/>
          </w:rPr>
          <w:delText>co obsahuje toto balení</w:delText>
        </w:r>
      </w:del>
    </w:p>
    <w:p w14:paraId="6EECE457" w14:textId="77777777" w:rsidR="007F7787" w:rsidRPr="001B4A02" w:rsidRDefault="007F7787" w:rsidP="0009084E">
      <w:pPr>
        <w:ind w:left="0" w:firstLine="0"/>
        <w:rPr>
          <w:del w:id="12181" w:author="AbbVie1" w:date="2025-05-13T10:11:00Z"/>
          <w:b/>
        </w:rPr>
      </w:pPr>
    </w:p>
    <w:p w14:paraId="1100BD4B" w14:textId="77777777" w:rsidR="00073F8F" w:rsidRPr="001B4A02" w:rsidRDefault="00000000" w:rsidP="0009084E">
      <w:pPr>
        <w:keepNext/>
        <w:ind w:left="0" w:firstLine="0"/>
        <w:rPr>
          <w:del w:id="12182" w:author="AbbVie1" w:date="2025-05-13T10:11:00Z"/>
        </w:rPr>
      </w:pPr>
      <w:del w:id="12183" w:author="AbbVie1" w:date="2025-05-13T10:11:00Z">
        <w:r w:rsidRPr="001B4A02">
          <w:delText>Přípravek Humira 40 mg injekční roztok v předplněné injekční stříkačce je dodáván jako sterilní roztok 40</w:delText>
        </w:r>
        <w:r w:rsidR="00874DE1">
          <w:delText> mg</w:delText>
        </w:r>
        <w:r w:rsidRPr="001B4A02">
          <w:delText xml:space="preserve"> adalimumabu, rozpuštěného v 0,8</w:delText>
        </w:r>
        <w:r w:rsidR="00443CD1" w:rsidRPr="001B4A02">
          <w:delText> </w:delText>
        </w:r>
        <w:r w:rsidRPr="001B4A02">
          <w:delText>ml roztoku.</w:delText>
        </w:r>
      </w:del>
    </w:p>
    <w:p w14:paraId="646A9812" w14:textId="77777777" w:rsidR="00073F8F" w:rsidRPr="001B4A02" w:rsidRDefault="00073F8F" w:rsidP="0009084E">
      <w:pPr>
        <w:keepNext/>
        <w:ind w:left="0" w:firstLine="0"/>
        <w:rPr>
          <w:del w:id="12184" w:author="AbbVie1" w:date="2025-05-13T10:11:00Z"/>
        </w:rPr>
      </w:pPr>
    </w:p>
    <w:p w14:paraId="6858E2B9" w14:textId="77777777" w:rsidR="00073F8F" w:rsidRPr="001B4A02" w:rsidRDefault="00000000" w:rsidP="0009084E">
      <w:pPr>
        <w:ind w:left="0" w:firstLine="0"/>
        <w:rPr>
          <w:del w:id="12185" w:author="AbbVie1" w:date="2025-05-13T10:11:00Z"/>
        </w:rPr>
      </w:pPr>
      <w:del w:id="12186" w:author="AbbVie1" w:date="2025-05-13T10:11:00Z">
        <w:r w:rsidRPr="001B4A02">
          <w:delText>Přípravek Humira injekční roztok v předplněné injekční stříkačce je skleněná injekční stříkačka, která obsahuje roztok adalimumabu. Jedno balení určené pro použití pacientem obsahuje 1, 2, 4 nebo 6 předplněných injekčních stříkaček</w:delText>
        </w:r>
        <w:r w:rsidR="002378E0">
          <w:delText xml:space="preserve"> a </w:delText>
        </w:r>
        <w:r w:rsidRPr="001B4A02">
          <w:delText>1, 2, 4 nebo 6 tampónů napuštěných alkoholem. Na trhu nemusí být všechny velikosti balení.</w:delText>
        </w:r>
      </w:del>
    </w:p>
    <w:p w14:paraId="34FEBA89" w14:textId="77777777" w:rsidR="007F7787" w:rsidRPr="001B4A02" w:rsidRDefault="007F7787" w:rsidP="0009084E">
      <w:pPr>
        <w:ind w:left="0" w:firstLine="0"/>
        <w:rPr>
          <w:del w:id="12187" w:author="AbbVie1" w:date="2025-05-13T10:11:00Z"/>
        </w:rPr>
      </w:pPr>
    </w:p>
    <w:p w14:paraId="2B46DFC1" w14:textId="77777777" w:rsidR="00073F8F" w:rsidRPr="001B4A02" w:rsidRDefault="00000000" w:rsidP="0009084E">
      <w:pPr>
        <w:numPr>
          <w:ilvl w:val="12"/>
          <w:numId w:val="0"/>
        </w:numPr>
        <w:rPr>
          <w:del w:id="12188" w:author="AbbVie1" w:date="2025-05-13T10:11:00Z"/>
        </w:rPr>
      </w:pPr>
      <w:del w:id="12189" w:author="AbbVie1" w:date="2025-05-13T10:11:00Z">
        <w:r w:rsidRPr="001B4A02">
          <w:delText>Přípravek Humira je k </w:delText>
        </w:r>
        <w:r w:rsidR="00C92B1C" w:rsidRPr="001B4A02">
          <w:delText>dispozici</w:delText>
        </w:r>
        <w:r w:rsidRPr="001B4A02">
          <w:delText xml:space="preserve"> jako injekční lahvička</w:delText>
        </w:r>
        <w:r w:rsidR="00436638" w:rsidRPr="001B4A02">
          <w:delText>, pře</w:delText>
        </w:r>
        <w:r w:rsidR="002B4E4A" w:rsidRPr="001B4A02">
          <w:delText>d</w:delText>
        </w:r>
        <w:r w:rsidR="00436638" w:rsidRPr="001B4A02">
          <w:delText>plněná injekční stříkačka</w:delText>
        </w:r>
        <w:r w:rsidRPr="001B4A02">
          <w:delText xml:space="preserve"> </w:delText>
        </w:r>
        <w:r w:rsidR="00436638" w:rsidRPr="001B4A02">
          <w:delText>a</w:delText>
        </w:r>
        <w:r w:rsidR="00577841" w:rsidRPr="001B4A02">
          <w:delText>/nebo</w:delText>
        </w:r>
        <w:r w:rsidRPr="001B4A02">
          <w:delText xml:space="preserve"> předplněné pero.</w:delText>
        </w:r>
      </w:del>
    </w:p>
    <w:p w14:paraId="5902BB9D" w14:textId="77777777" w:rsidR="00073F8F" w:rsidRPr="001B4A02" w:rsidRDefault="00073F8F" w:rsidP="0009084E">
      <w:pPr>
        <w:ind w:left="0" w:firstLine="0"/>
        <w:rPr>
          <w:del w:id="12190" w:author="AbbVie1" w:date="2025-05-13T10:11:00Z"/>
        </w:rPr>
      </w:pPr>
    </w:p>
    <w:p w14:paraId="58E46155" w14:textId="77777777" w:rsidR="00073F8F" w:rsidRPr="001B4A02" w:rsidRDefault="00000000" w:rsidP="0009084E">
      <w:pPr>
        <w:ind w:left="0" w:firstLine="0"/>
        <w:rPr>
          <w:del w:id="12191" w:author="AbbVie1" w:date="2025-05-13T10:11:00Z"/>
          <w:b/>
        </w:rPr>
      </w:pPr>
      <w:del w:id="12192" w:author="AbbVie1" w:date="2025-05-13T10:11:00Z">
        <w:r w:rsidRPr="001B4A02">
          <w:rPr>
            <w:b/>
          </w:rPr>
          <w:delText>Držitel rozhodnutí o registraci</w:delText>
        </w:r>
      </w:del>
    </w:p>
    <w:p w14:paraId="4C76D7EA" w14:textId="77777777" w:rsidR="00073F8F" w:rsidRPr="001B4A02" w:rsidRDefault="00073F8F" w:rsidP="0009084E">
      <w:pPr>
        <w:ind w:left="0" w:firstLine="0"/>
        <w:rPr>
          <w:del w:id="12193" w:author="AbbVie1" w:date="2025-05-13T10:11:00Z"/>
        </w:rPr>
      </w:pPr>
    </w:p>
    <w:p w14:paraId="06460447" w14:textId="77777777" w:rsidR="00E86403" w:rsidRPr="001B4A02" w:rsidRDefault="00000000" w:rsidP="0009084E">
      <w:pPr>
        <w:keepNext/>
        <w:autoSpaceDE w:val="0"/>
        <w:autoSpaceDN w:val="0"/>
        <w:adjustRightInd w:val="0"/>
        <w:ind w:left="0" w:firstLine="0"/>
        <w:rPr>
          <w:del w:id="12194" w:author="AbbVie1" w:date="2025-05-13T10:11:00Z"/>
          <w:szCs w:val="22"/>
          <w:lang w:eastAsia="en-GB"/>
        </w:rPr>
      </w:pPr>
      <w:del w:id="12195" w:author="AbbVie1" w:date="2025-05-13T10:11:00Z">
        <w:r w:rsidRPr="001B4A02">
          <w:rPr>
            <w:szCs w:val="22"/>
            <w:lang w:eastAsia="en-GB"/>
          </w:rPr>
          <w:delText>AbbVie Deutschland GmbH &amp; Co. KG</w:delText>
        </w:r>
      </w:del>
    </w:p>
    <w:p w14:paraId="471ECA38" w14:textId="77777777" w:rsidR="00E86403" w:rsidRPr="001B4A02" w:rsidRDefault="00000000" w:rsidP="0009084E">
      <w:pPr>
        <w:keepNext/>
        <w:autoSpaceDE w:val="0"/>
        <w:autoSpaceDN w:val="0"/>
        <w:adjustRightInd w:val="0"/>
        <w:ind w:left="0" w:firstLine="0"/>
        <w:rPr>
          <w:del w:id="12196" w:author="AbbVie1" w:date="2025-05-13T10:11:00Z"/>
          <w:szCs w:val="22"/>
          <w:lang w:eastAsia="en-GB"/>
        </w:rPr>
      </w:pPr>
      <w:del w:id="12197" w:author="AbbVie1" w:date="2025-05-13T10:11:00Z">
        <w:r w:rsidRPr="001B4A02">
          <w:rPr>
            <w:szCs w:val="22"/>
            <w:lang w:eastAsia="en-GB"/>
          </w:rPr>
          <w:delText>Knollstrasse</w:delText>
        </w:r>
      </w:del>
    </w:p>
    <w:p w14:paraId="0340A98E" w14:textId="77777777" w:rsidR="00E86403" w:rsidRPr="001B4A02" w:rsidRDefault="00000000" w:rsidP="0009084E">
      <w:pPr>
        <w:keepNext/>
        <w:autoSpaceDE w:val="0"/>
        <w:autoSpaceDN w:val="0"/>
        <w:adjustRightInd w:val="0"/>
        <w:ind w:left="0" w:firstLine="0"/>
        <w:rPr>
          <w:del w:id="12198" w:author="AbbVie1" w:date="2025-05-13T10:11:00Z"/>
          <w:szCs w:val="22"/>
          <w:lang w:eastAsia="en-GB"/>
        </w:rPr>
      </w:pPr>
      <w:del w:id="12199" w:author="AbbVie1" w:date="2025-05-13T10:11:00Z">
        <w:r w:rsidRPr="001B4A02">
          <w:rPr>
            <w:szCs w:val="22"/>
            <w:lang w:eastAsia="en-GB"/>
          </w:rPr>
          <w:delText>67061 Ludwigshafen</w:delText>
        </w:r>
      </w:del>
    </w:p>
    <w:p w14:paraId="62B54C94" w14:textId="77777777" w:rsidR="00E82959" w:rsidRPr="001B4A02" w:rsidRDefault="00000000" w:rsidP="0009084E">
      <w:pPr>
        <w:ind w:left="0" w:firstLine="0"/>
        <w:rPr>
          <w:del w:id="12200" w:author="AbbVie1" w:date="2025-05-13T10:11:00Z"/>
        </w:rPr>
      </w:pPr>
      <w:del w:id="12201" w:author="AbbVie1" w:date="2025-05-13T10:11:00Z">
        <w:r w:rsidRPr="001B4A02">
          <w:rPr>
            <w:szCs w:val="22"/>
            <w:lang w:eastAsia="en-GB"/>
          </w:rPr>
          <w:delText>Německo</w:delText>
        </w:r>
      </w:del>
    </w:p>
    <w:p w14:paraId="6047B91C" w14:textId="77777777" w:rsidR="00073F8F" w:rsidRPr="001B4A02" w:rsidRDefault="00073F8F" w:rsidP="0009084E">
      <w:pPr>
        <w:ind w:left="0" w:firstLine="0"/>
        <w:rPr>
          <w:del w:id="12202" w:author="AbbVie1" w:date="2025-05-13T10:11:00Z"/>
        </w:rPr>
      </w:pPr>
    </w:p>
    <w:p w14:paraId="3A9554DE" w14:textId="77777777" w:rsidR="00073F8F" w:rsidRPr="001B4A02" w:rsidRDefault="00000000" w:rsidP="0009084E">
      <w:pPr>
        <w:ind w:left="0" w:firstLine="0"/>
        <w:rPr>
          <w:del w:id="12203" w:author="AbbVie1" w:date="2025-05-13T10:11:00Z"/>
          <w:b/>
        </w:rPr>
      </w:pPr>
      <w:del w:id="12204" w:author="AbbVie1" w:date="2025-05-13T10:11:00Z">
        <w:r w:rsidRPr="001B4A02">
          <w:rPr>
            <w:b/>
          </w:rPr>
          <w:delText>Výrobce</w:delText>
        </w:r>
      </w:del>
    </w:p>
    <w:p w14:paraId="0DE59F7E" w14:textId="77777777" w:rsidR="00073F8F" w:rsidRPr="001B4A02" w:rsidRDefault="00073F8F" w:rsidP="0009084E">
      <w:pPr>
        <w:ind w:left="0" w:firstLine="0"/>
        <w:rPr>
          <w:del w:id="12205" w:author="AbbVie1" w:date="2025-05-13T10:11:00Z"/>
        </w:rPr>
      </w:pPr>
    </w:p>
    <w:p w14:paraId="3D246C41" w14:textId="77777777" w:rsidR="00EE07EB" w:rsidRPr="001B4A02" w:rsidRDefault="00000000" w:rsidP="0009084E">
      <w:pPr>
        <w:ind w:left="0" w:firstLine="0"/>
        <w:rPr>
          <w:del w:id="12206" w:author="AbbVie1" w:date="2025-05-13T10:11:00Z"/>
        </w:rPr>
      </w:pPr>
      <w:del w:id="12207" w:author="AbbVie1" w:date="2025-05-13T10:11:00Z">
        <w:r w:rsidRPr="001B4A02">
          <w:delText>AbbVie Biotechnology GmbH</w:delText>
        </w:r>
      </w:del>
    </w:p>
    <w:p w14:paraId="3959DE64" w14:textId="77777777" w:rsidR="00EE07EB" w:rsidRPr="001B4A02" w:rsidRDefault="00000000" w:rsidP="0009084E">
      <w:pPr>
        <w:numPr>
          <w:ilvl w:val="12"/>
          <w:numId w:val="0"/>
        </w:numPr>
        <w:tabs>
          <w:tab w:val="left" w:pos="720"/>
        </w:tabs>
        <w:rPr>
          <w:del w:id="12208" w:author="AbbVie1" w:date="2025-05-13T10:11:00Z"/>
        </w:rPr>
      </w:pPr>
      <w:del w:id="12209" w:author="AbbVie1" w:date="2025-05-13T10:11:00Z">
        <w:r w:rsidRPr="001B4A02">
          <w:delText>Knollstrasse</w:delText>
        </w:r>
      </w:del>
    </w:p>
    <w:p w14:paraId="47B587EE" w14:textId="77777777" w:rsidR="00EE07EB" w:rsidRPr="001B4A02" w:rsidRDefault="00000000" w:rsidP="0009084E">
      <w:pPr>
        <w:numPr>
          <w:ilvl w:val="12"/>
          <w:numId w:val="0"/>
        </w:numPr>
        <w:tabs>
          <w:tab w:val="left" w:pos="720"/>
        </w:tabs>
        <w:rPr>
          <w:del w:id="12210" w:author="AbbVie1" w:date="2025-05-13T10:11:00Z"/>
        </w:rPr>
      </w:pPr>
      <w:del w:id="12211" w:author="AbbVie1" w:date="2025-05-13T10:11:00Z">
        <w:r w:rsidRPr="001B4A02">
          <w:delText>67061 Ludwigshafen</w:delText>
        </w:r>
      </w:del>
    </w:p>
    <w:p w14:paraId="1A2C9AFE" w14:textId="77777777" w:rsidR="00EE07EB" w:rsidRPr="001B4A02" w:rsidRDefault="00000000" w:rsidP="0009084E">
      <w:pPr>
        <w:numPr>
          <w:ilvl w:val="12"/>
          <w:numId w:val="0"/>
        </w:numPr>
        <w:tabs>
          <w:tab w:val="left" w:pos="720"/>
        </w:tabs>
        <w:rPr>
          <w:del w:id="12212" w:author="AbbVie1" w:date="2025-05-13T10:11:00Z"/>
        </w:rPr>
      </w:pPr>
      <w:del w:id="12213" w:author="AbbVie1" w:date="2025-05-13T10:11:00Z">
        <w:r w:rsidRPr="001B4A02">
          <w:delText>Německo</w:delText>
        </w:r>
      </w:del>
    </w:p>
    <w:p w14:paraId="3C42BA78" w14:textId="77777777" w:rsidR="00EE07EB" w:rsidRPr="001B4A02" w:rsidRDefault="00EE07EB" w:rsidP="0009084E">
      <w:pPr>
        <w:ind w:left="0" w:firstLine="0"/>
        <w:rPr>
          <w:del w:id="12214" w:author="AbbVie1" w:date="2025-05-13T10:11:00Z"/>
        </w:rPr>
      </w:pPr>
    </w:p>
    <w:p w14:paraId="66F87046" w14:textId="77777777" w:rsidR="00073F8F" w:rsidRPr="001B4A02" w:rsidRDefault="00000000" w:rsidP="0009084E">
      <w:pPr>
        <w:numPr>
          <w:ilvl w:val="12"/>
          <w:numId w:val="0"/>
        </w:numPr>
        <w:rPr>
          <w:del w:id="12215" w:author="AbbVie1" w:date="2025-05-13T10:11:00Z"/>
        </w:rPr>
      </w:pPr>
      <w:del w:id="12216" w:author="AbbVie1" w:date="2025-05-13T10:11:00Z">
        <w:r w:rsidRPr="001B4A02">
          <w:delText>Další informace o tomto přípravku získáte u místního zástupce držitele rozhodnutí o registraci.</w:delText>
        </w:r>
      </w:del>
    </w:p>
    <w:p w14:paraId="63F80FBC" w14:textId="77777777" w:rsidR="00091412" w:rsidRPr="001B4A02" w:rsidRDefault="00091412" w:rsidP="00ED48A3">
      <w:pPr>
        <w:ind w:left="0" w:firstLine="0"/>
        <w:rPr>
          <w:del w:id="12217" w:author="AbbVie1" w:date="2025-05-13T10:11:00Z"/>
          <w:sz w:val="24"/>
          <w:szCs w:val="24"/>
        </w:rPr>
      </w:pPr>
    </w:p>
    <w:tbl>
      <w:tblPr>
        <w:tblW w:w="9356" w:type="dxa"/>
        <w:tblInd w:w="-34" w:type="dxa"/>
        <w:tblLayout w:type="fixed"/>
        <w:tblLook w:val="0000" w:firstRow="0" w:lastRow="0" w:firstColumn="0" w:lastColumn="0" w:noHBand="0" w:noVBand="0"/>
      </w:tblPr>
      <w:tblGrid>
        <w:gridCol w:w="34"/>
        <w:gridCol w:w="4610"/>
        <w:gridCol w:w="34"/>
        <w:gridCol w:w="4678"/>
      </w:tblGrid>
      <w:tr w:rsidR="00534A2D" w14:paraId="247147BD" w14:textId="77777777" w:rsidTr="001F79B0">
        <w:trPr>
          <w:del w:id="12218" w:author="AbbVie1" w:date="2025-05-13T10:11:00Z"/>
        </w:trPr>
        <w:tc>
          <w:tcPr>
            <w:tcW w:w="4644" w:type="dxa"/>
            <w:gridSpan w:val="2"/>
          </w:tcPr>
          <w:p w14:paraId="3E808520" w14:textId="77777777" w:rsidR="00AC4204" w:rsidRPr="00BD646C" w:rsidRDefault="00000000" w:rsidP="001F79B0">
            <w:pPr>
              <w:rPr>
                <w:del w:id="12219" w:author="AbbVie1" w:date="2025-05-13T10:11:00Z"/>
                <w:b/>
                <w:bCs/>
                <w:szCs w:val="22"/>
                <w:lang w:val="fr-BE"/>
              </w:rPr>
            </w:pPr>
            <w:del w:id="12220" w:author="AbbVie1" w:date="2025-05-13T10:11:00Z">
              <w:r w:rsidRPr="00BD646C">
                <w:rPr>
                  <w:b/>
                  <w:bCs/>
                  <w:szCs w:val="22"/>
                  <w:lang w:val="fr-BE"/>
                </w:rPr>
                <w:delText>België/Belgique/Belgien</w:delText>
              </w:r>
            </w:del>
          </w:p>
          <w:p w14:paraId="637FF0B1" w14:textId="77777777" w:rsidR="00AC4204" w:rsidRPr="00BD646C" w:rsidRDefault="00000000" w:rsidP="001F79B0">
            <w:pPr>
              <w:rPr>
                <w:del w:id="12221" w:author="AbbVie1" w:date="2025-05-13T10:11:00Z"/>
                <w:bCs/>
                <w:szCs w:val="22"/>
                <w:lang w:val="fr-FR"/>
              </w:rPr>
            </w:pPr>
            <w:del w:id="12222" w:author="AbbVie1" w:date="2025-05-13T10:11:00Z">
              <w:r w:rsidRPr="00BD646C">
                <w:rPr>
                  <w:bCs/>
                  <w:szCs w:val="22"/>
                  <w:lang w:val="fr-FR"/>
                </w:rPr>
                <w:delText>AbbVie SA</w:delText>
              </w:r>
            </w:del>
          </w:p>
          <w:p w14:paraId="3E41AEDC" w14:textId="77777777" w:rsidR="00AC4204" w:rsidRPr="00BD646C" w:rsidRDefault="00000000" w:rsidP="001F79B0">
            <w:pPr>
              <w:rPr>
                <w:del w:id="12223" w:author="AbbVie1" w:date="2025-05-13T10:11:00Z"/>
                <w:szCs w:val="22"/>
                <w:lang w:val="fr-FR"/>
              </w:rPr>
            </w:pPr>
            <w:del w:id="12224" w:author="AbbVie1" w:date="2025-05-13T10:11:00Z">
              <w:r w:rsidRPr="00BD646C">
                <w:rPr>
                  <w:bCs/>
                  <w:szCs w:val="22"/>
                  <w:lang w:val="fr-FR"/>
                </w:rPr>
                <w:delText xml:space="preserve">Tél/Tel: +32 10 </w:delText>
              </w:r>
              <w:r w:rsidRPr="00BD646C">
                <w:rPr>
                  <w:szCs w:val="22"/>
                  <w:lang w:val="fr-FR"/>
                </w:rPr>
                <w:delText>477811</w:delText>
              </w:r>
            </w:del>
          </w:p>
          <w:p w14:paraId="78DE11B9" w14:textId="77777777" w:rsidR="00AC4204" w:rsidRPr="00BD646C" w:rsidRDefault="00AC4204" w:rsidP="001F79B0">
            <w:pPr>
              <w:rPr>
                <w:del w:id="12225" w:author="AbbVie1" w:date="2025-05-13T10:11:00Z"/>
                <w:bCs/>
                <w:szCs w:val="22"/>
                <w:lang w:val="fr-FR"/>
              </w:rPr>
            </w:pPr>
          </w:p>
        </w:tc>
        <w:tc>
          <w:tcPr>
            <w:tcW w:w="4678" w:type="dxa"/>
            <w:gridSpan w:val="2"/>
          </w:tcPr>
          <w:p w14:paraId="7A5AE44F" w14:textId="77777777" w:rsidR="00AC4204" w:rsidRPr="00BD646C" w:rsidRDefault="00000000" w:rsidP="001F79B0">
            <w:pPr>
              <w:rPr>
                <w:del w:id="12226" w:author="AbbVie1" w:date="2025-05-13T10:11:00Z"/>
                <w:b/>
                <w:bCs/>
                <w:szCs w:val="22"/>
                <w:lang w:val="lt-LT"/>
              </w:rPr>
            </w:pPr>
            <w:del w:id="12227" w:author="AbbVie1" w:date="2025-05-13T10:11:00Z">
              <w:r w:rsidRPr="00BD646C">
                <w:rPr>
                  <w:b/>
                  <w:bCs/>
                  <w:szCs w:val="22"/>
                  <w:lang w:val="lt-LT"/>
                </w:rPr>
                <w:delText>Lietuva</w:delText>
              </w:r>
            </w:del>
          </w:p>
          <w:p w14:paraId="0BF59F84" w14:textId="77777777" w:rsidR="00AC4204" w:rsidRPr="00BD646C" w:rsidRDefault="00000000" w:rsidP="001F79B0">
            <w:pPr>
              <w:rPr>
                <w:del w:id="12228" w:author="AbbVie1" w:date="2025-05-13T10:11:00Z"/>
                <w:bCs/>
                <w:szCs w:val="22"/>
                <w:lang w:val="lv-LV"/>
              </w:rPr>
            </w:pPr>
            <w:del w:id="12229" w:author="AbbVie1" w:date="2025-05-13T10:11:00Z">
              <w:r w:rsidRPr="00BD646C">
                <w:rPr>
                  <w:bCs/>
                  <w:szCs w:val="22"/>
                  <w:lang w:val="lv-LV"/>
                </w:rPr>
                <w:delText xml:space="preserve">AbbVie UAB </w:delText>
              </w:r>
            </w:del>
          </w:p>
          <w:p w14:paraId="68F54552" w14:textId="77777777" w:rsidR="00AC4204" w:rsidRPr="00BD646C" w:rsidRDefault="00000000" w:rsidP="001F79B0">
            <w:pPr>
              <w:rPr>
                <w:del w:id="12230" w:author="AbbVie1" w:date="2025-05-13T10:11:00Z"/>
                <w:bCs/>
                <w:szCs w:val="22"/>
                <w:lang w:val="lv-LV"/>
              </w:rPr>
            </w:pPr>
            <w:del w:id="12231" w:author="AbbVie1" w:date="2025-05-13T10:11:00Z">
              <w:r w:rsidRPr="00BD646C">
                <w:rPr>
                  <w:bCs/>
                  <w:szCs w:val="22"/>
                  <w:lang w:val="lv-LV"/>
                </w:rPr>
                <w:delText>Tel: +370 5 205 3023</w:delText>
              </w:r>
            </w:del>
          </w:p>
        </w:tc>
      </w:tr>
      <w:tr w:rsidR="00534A2D" w14:paraId="7EFDD878" w14:textId="77777777" w:rsidTr="001F79B0">
        <w:trPr>
          <w:del w:id="12232" w:author="AbbVie1" w:date="2025-05-13T10:11:00Z"/>
        </w:trPr>
        <w:tc>
          <w:tcPr>
            <w:tcW w:w="4644" w:type="dxa"/>
            <w:gridSpan w:val="2"/>
          </w:tcPr>
          <w:p w14:paraId="28D9D52F" w14:textId="77777777" w:rsidR="00AC4204" w:rsidRPr="00BD646C" w:rsidRDefault="00000000" w:rsidP="001F79B0">
            <w:pPr>
              <w:rPr>
                <w:del w:id="12233" w:author="AbbVie1" w:date="2025-05-13T10:11:00Z"/>
                <w:b/>
                <w:bCs/>
                <w:szCs w:val="22"/>
                <w:lang w:val="bg-BG"/>
              </w:rPr>
            </w:pPr>
            <w:del w:id="12234" w:author="AbbVie1" w:date="2025-05-13T10:11:00Z">
              <w:r w:rsidRPr="00BD646C">
                <w:rPr>
                  <w:b/>
                  <w:bCs/>
                  <w:szCs w:val="22"/>
                  <w:lang w:val="bg-BG"/>
                </w:rPr>
                <w:delText>България</w:delText>
              </w:r>
            </w:del>
          </w:p>
          <w:p w14:paraId="47D43667" w14:textId="77777777" w:rsidR="00AC4204" w:rsidRPr="00BD646C" w:rsidRDefault="00000000" w:rsidP="001F79B0">
            <w:pPr>
              <w:rPr>
                <w:del w:id="12235" w:author="AbbVie1" w:date="2025-05-13T10:11:00Z"/>
                <w:szCs w:val="22"/>
                <w:lang w:val="da-DK"/>
              </w:rPr>
            </w:pPr>
            <w:del w:id="12236" w:author="AbbVie1" w:date="2025-05-13T10:11:00Z">
              <w:r w:rsidRPr="00BD646C">
                <w:rPr>
                  <w:szCs w:val="22"/>
                  <w:lang w:val="sk-SK"/>
                </w:rPr>
                <w:delText>АбВи ЕООД</w:delText>
              </w:r>
            </w:del>
          </w:p>
          <w:p w14:paraId="3337EE74" w14:textId="77777777" w:rsidR="00AC4204" w:rsidRPr="00BD646C" w:rsidRDefault="00000000" w:rsidP="001F79B0">
            <w:pPr>
              <w:rPr>
                <w:del w:id="12237" w:author="AbbVie1" w:date="2025-05-13T10:11:00Z"/>
                <w:bCs/>
                <w:szCs w:val="22"/>
                <w:lang w:val="da-DK"/>
              </w:rPr>
            </w:pPr>
            <w:del w:id="12238" w:author="AbbVie1" w:date="2025-05-13T10:11:00Z">
              <w:r w:rsidRPr="00BD646C">
                <w:rPr>
                  <w:szCs w:val="22"/>
                  <w:lang w:val="sk-SK"/>
                </w:rPr>
                <w:delText>Тел</w:delText>
              </w:r>
              <w:r w:rsidRPr="005B1CF3">
                <w:rPr>
                  <w:szCs w:val="22"/>
                  <w:rPrChange w:id="12239" w:author="Abbvie02" w:date="2025-05-16T11:16:00Z">
                    <w:rPr>
                      <w:szCs w:val="22"/>
                      <w:lang w:val="it-IT"/>
                    </w:rPr>
                  </w:rPrChange>
                </w:rPr>
                <w:delText>.:+359 2 90 30 430</w:delText>
              </w:r>
            </w:del>
          </w:p>
        </w:tc>
        <w:tc>
          <w:tcPr>
            <w:tcW w:w="4678" w:type="dxa"/>
            <w:gridSpan w:val="2"/>
          </w:tcPr>
          <w:p w14:paraId="03C3943D" w14:textId="77777777" w:rsidR="00AC4204" w:rsidRPr="00BD646C" w:rsidRDefault="00000000" w:rsidP="001F79B0">
            <w:pPr>
              <w:rPr>
                <w:del w:id="12240" w:author="AbbVie1" w:date="2025-05-13T10:11:00Z"/>
                <w:b/>
                <w:bCs/>
                <w:szCs w:val="22"/>
                <w:lang w:val="de-DE"/>
              </w:rPr>
            </w:pPr>
            <w:del w:id="12241" w:author="AbbVie1" w:date="2025-05-13T10:11:00Z">
              <w:r w:rsidRPr="00BD646C">
                <w:rPr>
                  <w:b/>
                  <w:bCs/>
                  <w:szCs w:val="22"/>
                  <w:lang w:val="de-DE"/>
                </w:rPr>
                <w:delText>Luxembourg/Luxemburg</w:delText>
              </w:r>
            </w:del>
          </w:p>
          <w:p w14:paraId="011A8F34" w14:textId="77777777" w:rsidR="00AC4204" w:rsidRPr="00BD646C" w:rsidRDefault="00000000" w:rsidP="001F79B0">
            <w:pPr>
              <w:rPr>
                <w:del w:id="12242" w:author="AbbVie1" w:date="2025-05-13T10:11:00Z"/>
                <w:bCs/>
                <w:szCs w:val="22"/>
                <w:lang w:val="de-DE"/>
              </w:rPr>
            </w:pPr>
            <w:del w:id="12243" w:author="AbbVie1" w:date="2025-05-13T10:11:00Z">
              <w:r w:rsidRPr="00BD646C">
                <w:rPr>
                  <w:bCs/>
                  <w:szCs w:val="22"/>
                  <w:lang w:val="de-DE"/>
                </w:rPr>
                <w:delText>AbbVie SA</w:delText>
              </w:r>
            </w:del>
          </w:p>
          <w:p w14:paraId="72F4635A" w14:textId="77777777" w:rsidR="00AC4204" w:rsidRPr="00BD646C" w:rsidRDefault="00000000" w:rsidP="001F79B0">
            <w:pPr>
              <w:rPr>
                <w:del w:id="12244" w:author="AbbVie1" w:date="2025-05-13T10:11:00Z"/>
                <w:bCs/>
                <w:szCs w:val="22"/>
                <w:lang w:val="de-DE"/>
              </w:rPr>
            </w:pPr>
            <w:del w:id="12245" w:author="AbbVie1" w:date="2025-05-13T10:11:00Z">
              <w:r w:rsidRPr="00BD646C">
                <w:rPr>
                  <w:bCs/>
                  <w:szCs w:val="22"/>
                  <w:lang w:val="de-DE"/>
                </w:rPr>
                <w:delText>Belgique/Belgien</w:delText>
              </w:r>
            </w:del>
          </w:p>
          <w:p w14:paraId="24946D02" w14:textId="77777777" w:rsidR="00AC4204" w:rsidRPr="00BD646C" w:rsidRDefault="00000000" w:rsidP="001F79B0">
            <w:pPr>
              <w:rPr>
                <w:del w:id="12246" w:author="AbbVie1" w:date="2025-05-13T10:11:00Z"/>
                <w:bCs/>
                <w:szCs w:val="22"/>
                <w:lang w:val="fr-FR"/>
              </w:rPr>
            </w:pPr>
            <w:del w:id="12247" w:author="AbbVie1" w:date="2025-05-13T10:11:00Z">
              <w:r w:rsidRPr="00BD646C">
                <w:rPr>
                  <w:bCs/>
                  <w:szCs w:val="22"/>
                  <w:lang w:val="fr-FR"/>
                </w:rPr>
                <w:delText>Tél/Tel: +32 10 477811</w:delText>
              </w:r>
            </w:del>
          </w:p>
          <w:p w14:paraId="6D26A7BC" w14:textId="77777777" w:rsidR="00AC4204" w:rsidRPr="00BD646C" w:rsidRDefault="00AC4204" w:rsidP="001F79B0">
            <w:pPr>
              <w:rPr>
                <w:del w:id="12248" w:author="AbbVie1" w:date="2025-05-13T10:11:00Z"/>
                <w:bCs/>
                <w:szCs w:val="22"/>
                <w:lang w:val="fr-FR"/>
              </w:rPr>
            </w:pPr>
          </w:p>
        </w:tc>
      </w:tr>
      <w:tr w:rsidR="00534A2D" w14:paraId="6BD45A80" w14:textId="77777777" w:rsidTr="001F79B0">
        <w:trPr>
          <w:del w:id="12249" w:author="AbbVie1" w:date="2025-05-13T10:11:00Z"/>
        </w:trPr>
        <w:tc>
          <w:tcPr>
            <w:tcW w:w="4644" w:type="dxa"/>
            <w:gridSpan w:val="2"/>
          </w:tcPr>
          <w:p w14:paraId="6B66797D" w14:textId="77777777" w:rsidR="00AC4204" w:rsidRPr="00BD646C" w:rsidRDefault="00000000" w:rsidP="001F79B0">
            <w:pPr>
              <w:keepNext/>
              <w:rPr>
                <w:del w:id="12250" w:author="AbbVie1" w:date="2025-05-13T10:11:00Z"/>
                <w:b/>
                <w:bCs/>
                <w:szCs w:val="22"/>
                <w:lang w:val="sk-SK"/>
              </w:rPr>
            </w:pPr>
            <w:del w:id="12251" w:author="AbbVie1" w:date="2025-05-13T10:11:00Z">
              <w:r w:rsidRPr="00BD646C">
                <w:rPr>
                  <w:b/>
                  <w:bCs/>
                  <w:szCs w:val="22"/>
                  <w:lang w:val="sk-SK"/>
                </w:rPr>
                <w:delText>Česká republika</w:delText>
              </w:r>
            </w:del>
          </w:p>
          <w:p w14:paraId="554FA107" w14:textId="77777777" w:rsidR="00AC4204" w:rsidRPr="00BD646C" w:rsidRDefault="00000000" w:rsidP="001F79B0">
            <w:pPr>
              <w:keepNext/>
              <w:rPr>
                <w:del w:id="12252" w:author="AbbVie1" w:date="2025-05-13T10:11:00Z"/>
                <w:bCs/>
                <w:szCs w:val="22"/>
                <w:lang w:val="sk-SK"/>
              </w:rPr>
            </w:pPr>
            <w:del w:id="12253" w:author="AbbVie1" w:date="2025-05-13T10:11:00Z">
              <w:r w:rsidRPr="00BD646C">
                <w:rPr>
                  <w:bCs/>
                  <w:szCs w:val="22"/>
                  <w:lang w:val="sk-SK"/>
                </w:rPr>
                <w:delText xml:space="preserve">AbbVie s.r.o. </w:delText>
              </w:r>
            </w:del>
          </w:p>
          <w:p w14:paraId="6AE163AE" w14:textId="77777777" w:rsidR="00AC4204" w:rsidRPr="00BD646C" w:rsidRDefault="00000000" w:rsidP="001F79B0">
            <w:pPr>
              <w:keepNext/>
              <w:rPr>
                <w:del w:id="12254" w:author="AbbVie1" w:date="2025-05-13T10:11:00Z"/>
                <w:bCs/>
                <w:szCs w:val="22"/>
                <w:lang w:val="sk-SK"/>
              </w:rPr>
            </w:pPr>
            <w:del w:id="12255" w:author="AbbVie1" w:date="2025-05-13T10:11:00Z">
              <w:r w:rsidRPr="00BD646C">
                <w:rPr>
                  <w:bCs/>
                  <w:szCs w:val="22"/>
                  <w:lang w:val="sk-SK"/>
                </w:rPr>
                <w:delText>Tel: +420 233 098 111</w:delText>
              </w:r>
            </w:del>
          </w:p>
        </w:tc>
        <w:tc>
          <w:tcPr>
            <w:tcW w:w="4678" w:type="dxa"/>
            <w:gridSpan w:val="2"/>
          </w:tcPr>
          <w:p w14:paraId="63B9F7C1" w14:textId="77777777" w:rsidR="00AC4204" w:rsidRPr="00BD646C" w:rsidRDefault="00000000" w:rsidP="001F79B0">
            <w:pPr>
              <w:keepNext/>
              <w:rPr>
                <w:del w:id="12256" w:author="AbbVie1" w:date="2025-05-13T10:11:00Z"/>
                <w:b/>
                <w:bCs/>
                <w:szCs w:val="22"/>
                <w:lang w:val="hu-HU"/>
              </w:rPr>
            </w:pPr>
            <w:del w:id="12257" w:author="AbbVie1" w:date="2025-05-13T10:11:00Z">
              <w:r w:rsidRPr="00BD646C">
                <w:rPr>
                  <w:b/>
                  <w:bCs/>
                  <w:szCs w:val="22"/>
                  <w:lang w:val="hu-HU"/>
                </w:rPr>
                <w:delText>Magyarország</w:delText>
              </w:r>
            </w:del>
          </w:p>
          <w:p w14:paraId="70629687" w14:textId="77777777" w:rsidR="00AC4204" w:rsidRPr="00BD646C" w:rsidRDefault="00000000" w:rsidP="001F79B0">
            <w:pPr>
              <w:keepNext/>
              <w:rPr>
                <w:del w:id="12258" w:author="AbbVie1" w:date="2025-05-13T10:11:00Z"/>
                <w:bCs/>
                <w:szCs w:val="22"/>
                <w:lang w:val="hu-HU"/>
              </w:rPr>
            </w:pPr>
            <w:del w:id="12259" w:author="AbbVie1" w:date="2025-05-13T10:11:00Z">
              <w:r w:rsidRPr="00BD646C">
                <w:rPr>
                  <w:bCs/>
                  <w:szCs w:val="22"/>
                  <w:lang w:val="hu-HU"/>
                </w:rPr>
                <w:delText>AbbVie Kft.</w:delText>
              </w:r>
            </w:del>
          </w:p>
          <w:p w14:paraId="1135BD12" w14:textId="77777777" w:rsidR="00AC4204" w:rsidRPr="00BD646C" w:rsidRDefault="00000000" w:rsidP="001F79B0">
            <w:pPr>
              <w:keepNext/>
              <w:rPr>
                <w:del w:id="12260" w:author="AbbVie1" w:date="2025-05-13T10:11:00Z"/>
                <w:bCs/>
                <w:szCs w:val="22"/>
                <w:lang w:val="hu-HU"/>
              </w:rPr>
            </w:pPr>
            <w:del w:id="12261" w:author="AbbVie1" w:date="2025-05-13T10:11:00Z">
              <w:r w:rsidRPr="00BD646C">
                <w:rPr>
                  <w:bCs/>
                  <w:szCs w:val="22"/>
                  <w:lang w:val="hu-HU"/>
                </w:rPr>
                <w:delText>Tel.:+36 1 455 8600</w:delText>
              </w:r>
            </w:del>
          </w:p>
          <w:p w14:paraId="55A3111D" w14:textId="77777777" w:rsidR="00AC4204" w:rsidRPr="00BD646C" w:rsidRDefault="00AC4204" w:rsidP="001F79B0">
            <w:pPr>
              <w:keepNext/>
              <w:rPr>
                <w:del w:id="12262" w:author="AbbVie1" w:date="2025-05-13T10:11:00Z"/>
                <w:bCs/>
                <w:szCs w:val="22"/>
                <w:lang w:val="hu-HU"/>
              </w:rPr>
            </w:pPr>
          </w:p>
        </w:tc>
      </w:tr>
      <w:tr w:rsidR="00534A2D" w14:paraId="5F81DABF" w14:textId="77777777" w:rsidTr="001F79B0">
        <w:trPr>
          <w:trHeight w:val="737"/>
          <w:del w:id="12263" w:author="AbbVie1" w:date="2025-05-13T10:11:00Z"/>
        </w:trPr>
        <w:tc>
          <w:tcPr>
            <w:tcW w:w="4644" w:type="dxa"/>
            <w:gridSpan w:val="2"/>
          </w:tcPr>
          <w:p w14:paraId="4CA0DFF4" w14:textId="77777777" w:rsidR="00AC4204" w:rsidRPr="005B1CF3" w:rsidRDefault="00000000" w:rsidP="001F79B0">
            <w:pPr>
              <w:rPr>
                <w:del w:id="12264" w:author="AbbVie1" w:date="2025-05-13T10:11:00Z"/>
                <w:b/>
                <w:bCs/>
                <w:szCs w:val="22"/>
                <w:rPrChange w:id="12265" w:author="Abbvie02" w:date="2025-05-16T11:16:00Z">
                  <w:rPr>
                    <w:del w:id="12266" w:author="AbbVie1" w:date="2025-05-13T10:11:00Z"/>
                    <w:b/>
                    <w:bCs/>
                    <w:szCs w:val="22"/>
                    <w:lang w:val="en-US"/>
                  </w:rPr>
                </w:rPrChange>
              </w:rPr>
            </w:pPr>
            <w:del w:id="12267" w:author="AbbVie1" w:date="2025-05-13T10:11:00Z">
              <w:r w:rsidRPr="005B1CF3">
                <w:rPr>
                  <w:b/>
                  <w:bCs/>
                  <w:szCs w:val="22"/>
                  <w:rPrChange w:id="12268" w:author="Abbvie02" w:date="2025-05-16T11:16:00Z">
                    <w:rPr>
                      <w:b/>
                      <w:bCs/>
                      <w:szCs w:val="22"/>
                      <w:lang w:val="en-US"/>
                    </w:rPr>
                  </w:rPrChange>
                </w:rPr>
                <w:delText>Danmark</w:delText>
              </w:r>
            </w:del>
          </w:p>
          <w:p w14:paraId="52BC6C6E" w14:textId="77777777" w:rsidR="00AC4204" w:rsidRPr="005B1CF3" w:rsidRDefault="00000000" w:rsidP="001F79B0">
            <w:pPr>
              <w:rPr>
                <w:del w:id="12269" w:author="AbbVie1" w:date="2025-05-13T10:11:00Z"/>
                <w:bCs/>
                <w:szCs w:val="22"/>
                <w:rPrChange w:id="12270" w:author="Abbvie02" w:date="2025-05-16T11:16:00Z">
                  <w:rPr>
                    <w:del w:id="12271" w:author="AbbVie1" w:date="2025-05-13T10:11:00Z"/>
                    <w:bCs/>
                    <w:szCs w:val="22"/>
                    <w:lang w:val="en-US"/>
                  </w:rPr>
                </w:rPrChange>
              </w:rPr>
            </w:pPr>
            <w:del w:id="12272" w:author="AbbVie1" w:date="2025-05-13T10:11:00Z">
              <w:r w:rsidRPr="005B1CF3">
                <w:rPr>
                  <w:bCs/>
                  <w:szCs w:val="22"/>
                  <w:rPrChange w:id="12273" w:author="Abbvie02" w:date="2025-05-16T11:16:00Z">
                    <w:rPr>
                      <w:bCs/>
                      <w:szCs w:val="22"/>
                      <w:lang w:val="en-US"/>
                    </w:rPr>
                  </w:rPrChange>
                </w:rPr>
                <w:delText>AbbVie A/S</w:delText>
              </w:r>
            </w:del>
          </w:p>
          <w:p w14:paraId="21989B2B" w14:textId="77777777" w:rsidR="00AC4204" w:rsidRPr="00BD646C" w:rsidRDefault="00000000" w:rsidP="001F79B0">
            <w:pPr>
              <w:rPr>
                <w:del w:id="12274" w:author="AbbVie1" w:date="2025-05-13T10:11:00Z"/>
                <w:bCs/>
                <w:szCs w:val="22"/>
                <w:lang w:val="sk-SK"/>
              </w:rPr>
            </w:pPr>
            <w:del w:id="12275" w:author="AbbVie1" w:date="2025-05-13T10:11:00Z">
              <w:r w:rsidRPr="005B1CF3">
                <w:rPr>
                  <w:bCs/>
                  <w:szCs w:val="22"/>
                  <w:rPrChange w:id="12276" w:author="Abbvie02" w:date="2025-05-16T11:16:00Z">
                    <w:rPr>
                      <w:bCs/>
                      <w:szCs w:val="22"/>
                      <w:lang w:val="en-US"/>
                    </w:rPr>
                  </w:rPrChange>
                </w:rPr>
                <w:delText>Tlf: +45 72 30-20-28</w:delText>
              </w:r>
            </w:del>
          </w:p>
        </w:tc>
        <w:tc>
          <w:tcPr>
            <w:tcW w:w="4678" w:type="dxa"/>
            <w:gridSpan w:val="2"/>
          </w:tcPr>
          <w:p w14:paraId="768586FA" w14:textId="77777777" w:rsidR="00AC4204" w:rsidRPr="00BD646C" w:rsidRDefault="00000000" w:rsidP="001F79B0">
            <w:pPr>
              <w:rPr>
                <w:del w:id="12277" w:author="AbbVie1" w:date="2025-05-13T10:11:00Z"/>
                <w:b/>
                <w:bCs/>
                <w:szCs w:val="22"/>
                <w:lang w:val="mt-MT"/>
              </w:rPr>
            </w:pPr>
            <w:del w:id="12278" w:author="AbbVie1" w:date="2025-05-13T10:11:00Z">
              <w:r w:rsidRPr="00BD646C">
                <w:rPr>
                  <w:b/>
                  <w:bCs/>
                  <w:szCs w:val="22"/>
                  <w:lang w:val="mt-MT"/>
                </w:rPr>
                <w:delText>Malta</w:delText>
              </w:r>
            </w:del>
          </w:p>
          <w:p w14:paraId="7B981429" w14:textId="77777777" w:rsidR="00AC4204" w:rsidRPr="00BD646C" w:rsidRDefault="00000000" w:rsidP="001F79B0">
            <w:pPr>
              <w:rPr>
                <w:del w:id="12279" w:author="AbbVie1" w:date="2025-05-13T10:11:00Z"/>
                <w:bCs/>
                <w:szCs w:val="22"/>
                <w:lang w:val="sk-SK"/>
              </w:rPr>
            </w:pPr>
            <w:del w:id="12280" w:author="AbbVie1" w:date="2025-05-13T10:11:00Z">
              <w:r w:rsidRPr="00BD646C">
                <w:rPr>
                  <w:bCs/>
                  <w:szCs w:val="22"/>
                  <w:lang w:val="sk-SK"/>
                </w:rPr>
                <w:delText xml:space="preserve">V.J.Salomone Pharma Limited </w:delText>
              </w:r>
            </w:del>
          </w:p>
          <w:p w14:paraId="144A661A" w14:textId="77777777" w:rsidR="00AC4204" w:rsidRPr="00BD646C" w:rsidRDefault="00000000" w:rsidP="001F79B0">
            <w:pPr>
              <w:rPr>
                <w:del w:id="12281" w:author="AbbVie1" w:date="2025-05-13T10:11:00Z"/>
                <w:bCs/>
                <w:szCs w:val="22"/>
                <w:lang w:val="sk-SK"/>
              </w:rPr>
            </w:pPr>
            <w:del w:id="12282" w:author="AbbVie1" w:date="2025-05-13T10:11:00Z">
              <w:r w:rsidRPr="00BD646C">
                <w:rPr>
                  <w:bCs/>
                  <w:szCs w:val="22"/>
                  <w:lang w:val="sk-SK"/>
                </w:rPr>
                <w:delText xml:space="preserve">Tel: </w:delText>
              </w:r>
              <w:r w:rsidR="00AD2446">
                <w:rPr>
                  <w:bCs/>
                  <w:szCs w:val="22"/>
                </w:rPr>
                <w:delText>+356 21220174</w:delText>
              </w:r>
            </w:del>
          </w:p>
          <w:p w14:paraId="053BBB01" w14:textId="77777777" w:rsidR="00AC4204" w:rsidRPr="00BD646C" w:rsidRDefault="00AC4204" w:rsidP="001F79B0">
            <w:pPr>
              <w:rPr>
                <w:del w:id="12283" w:author="AbbVie1" w:date="2025-05-13T10:11:00Z"/>
                <w:bCs/>
                <w:szCs w:val="22"/>
                <w:lang w:val="sk-SK"/>
              </w:rPr>
            </w:pPr>
          </w:p>
        </w:tc>
      </w:tr>
      <w:tr w:rsidR="00534A2D" w14:paraId="7B6DF347" w14:textId="77777777" w:rsidTr="001F79B0">
        <w:trPr>
          <w:del w:id="12284" w:author="AbbVie1" w:date="2025-05-13T10:11:00Z"/>
        </w:trPr>
        <w:tc>
          <w:tcPr>
            <w:tcW w:w="4644" w:type="dxa"/>
            <w:gridSpan w:val="2"/>
          </w:tcPr>
          <w:p w14:paraId="13B1B2DF" w14:textId="77777777" w:rsidR="00AC4204" w:rsidRPr="00BD646C" w:rsidRDefault="00000000" w:rsidP="001F79B0">
            <w:pPr>
              <w:rPr>
                <w:del w:id="12285" w:author="AbbVie1" w:date="2025-05-13T10:11:00Z"/>
                <w:b/>
                <w:bCs/>
                <w:szCs w:val="22"/>
                <w:lang w:val="de-DE"/>
              </w:rPr>
            </w:pPr>
            <w:del w:id="12286" w:author="AbbVie1" w:date="2025-05-13T10:11:00Z">
              <w:r w:rsidRPr="00BD646C">
                <w:rPr>
                  <w:b/>
                  <w:bCs/>
                  <w:szCs w:val="22"/>
                  <w:lang w:val="de-DE"/>
                </w:rPr>
                <w:delText>Deutschland</w:delText>
              </w:r>
            </w:del>
          </w:p>
          <w:p w14:paraId="2327D48E" w14:textId="77777777" w:rsidR="00AC4204" w:rsidRPr="00BD646C" w:rsidRDefault="00000000" w:rsidP="001F79B0">
            <w:pPr>
              <w:rPr>
                <w:del w:id="12287" w:author="AbbVie1" w:date="2025-05-13T10:11:00Z"/>
                <w:bCs/>
                <w:szCs w:val="22"/>
                <w:lang w:val="de-DE"/>
              </w:rPr>
            </w:pPr>
            <w:del w:id="12288" w:author="AbbVie1" w:date="2025-05-13T10:11:00Z">
              <w:r w:rsidRPr="00BD646C">
                <w:rPr>
                  <w:szCs w:val="22"/>
                  <w:lang w:val="de-DE"/>
                </w:rPr>
                <w:delText xml:space="preserve">AbbVie Deutschland </w:delText>
              </w:r>
              <w:r w:rsidRPr="00BD646C">
                <w:rPr>
                  <w:bCs/>
                  <w:szCs w:val="22"/>
                  <w:lang w:val="de-DE"/>
                </w:rPr>
                <w:delText>GmbH &amp; Co. KG</w:delText>
              </w:r>
            </w:del>
          </w:p>
          <w:p w14:paraId="4A120043" w14:textId="77777777" w:rsidR="00AC4204" w:rsidRPr="00BD646C" w:rsidRDefault="00000000" w:rsidP="001F79B0">
            <w:pPr>
              <w:rPr>
                <w:del w:id="12289" w:author="AbbVie1" w:date="2025-05-13T10:11:00Z"/>
                <w:szCs w:val="22"/>
                <w:lang w:val="de-DE"/>
              </w:rPr>
            </w:pPr>
            <w:del w:id="12290" w:author="AbbVie1" w:date="2025-05-13T10:11:00Z">
              <w:r w:rsidRPr="00BD646C">
                <w:rPr>
                  <w:szCs w:val="22"/>
                  <w:lang w:val="de-DE"/>
                </w:rPr>
                <w:delText>Tel: 00800 222843 33 (gebührenfrei)</w:delText>
              </w:r>
            </w:del>
          </w:p>
          <w:p w14:paraId="2FA0D86B" w14:textId="77777777" w:rsidR="00AC4204" w:rsidRPr="00BD646C" w:rsidRDefault="00000000" w:rsidP="001F79B0">
            <w:pPr>
              <w:rPr>
                <w:del w:id="12291" w:author="AbbVie1" w:date="2025-05-13T10:11:00Z"/>
                <w:szCs w:val="22"/>
                <w:lang w:val="de-DE"/>
              </w:rPr>
            </w:pPr>
            <w:del w:id="12292" w:author="AbbVie1" w:date="2025-05-13T10:11:00Z">
              <w:r w:rsidRPr="00BD646C">
                <w:rPr>
                  <w:szCs w:val="22"/>
                  <w:lang w:val="de-DE"/>
                </w:rPr>
                <w:delText>Tel: +49 (0) 611 / 1720-0</w:delText>
              </w:r>
            </w:del>
          </w:p>
          <w:p w14:paraId="489B3EB0" w14:textId="77777777" w:rsidR="00AC4204" w:rsidRPr="00BD646C" w:rsidRDefault="00AC4204" w:rsidP="001F79B0">
            <w:pPr>
              <w:rPr>
                <w:del w:id="12293" w:author="AbbVie1" w:date="2025-05-13T10:11:00Z"/>
                <w:szCs w:val="22"/>
                <w:lang w:val="de-DE"/>
              </w:rPr>
            </w:pPr>
          </w:p>
        </w:tc>
        <w:tc>
          <w:tcPr>
            <w:tcW w:w="4678" w:type="dxa"/>
            <w:gridSpan w:val="2"/>
          </w:tcPr>
          <w:p w14:paraId="06C0BA29" w14:textId="77777777" w:rsidR="00AC4204" w:rsidRPr="00BD646C" w:rsidRDefault="00000000" w:rsidP="001F79B0">
            <w:pPr>
              <w:rPr>
                <w:del w:id="12294" w:author="AbbVie1" w:date="2025-05-13T10:11:00Z"/>
                <w:b/>
                <w:bCs/>
                <w:szCs w:val="22"/>
                <w:lang w:val="nl-NL"/>
              </w:rPr>
            </w:pPr>
            <w:del w:id="12295" w:author="AbbVie1" w:date="2025-05-13T10:11:00Z">
              <w:r w:rsidRPr="00BD646C">
                <w:rPr>
                  <w:b/>
                  <w:bCs/>
                  <w:szCs w:val="22"/>
                  <w:lang w:val="nl-NL"/>
                </w:rPr>
                <w:delText>Nederland</w:delText>
              </w:r>
            </w:del>
          </w:p>
          <w:p w14:paraId="2AB270AA" w14:textId="77777777" w:rsidR="00AC4204" w:rsidRPr="00BD646C" w:rsidRDefault="00000000" w:rsidP="001F79B0">
            <w:pPr>
              <w:rPr>
                <w:del w:id="12296" w:author="AbbVie1" w:date="2025-05-13T10:11:00Z"/>
                <w:bCs/>
                <w:szCs w:val="22"/>
                <w:lang w:val="de-DE"/>
              </w:rPr>
            </w:pPr>
            <w:del w:id="12297" w:author="AbbVie1" w:date="2025-05-13T10:11:00Z">
              <w:r w:rsidRPr="00BD646C">
                <w:rPr>
                  <w:bCs/>
                  <w:szCs w:val="22"/>
                  <w:lang w:val="de-DE"/>
                </w:rPr>
                <w:delText>AbbVie B.V.</w:delText>
              </w:r>
            </w:del>
          </w:p>
          <w:p w14:paraId="1A990553" w14:textId="77777777" w:rsidR="00AC4204" w:rsidRPr="00BD646C" w:rsidRDefault="00000000" w:rsidP="001F79B0">
            <w:pPr>
              <w:rPr>
                <w:del w:id="12298" w:author="AbbVie1" w:date="2025-05-13T10:11:00Z"/>
                <w:bCs/>
                <w:szCs w:val="22"/>
                <w:lang w:val="de-DE"/>
              </w:rPr>
            </w:pPr>
            <w:del w:id="12299" w:author="AbbVie1" w:date="2025-05-13T10:11:00Z">
              <w:r w:rsidRPr="00BD646C">
                <w:rPr>
                  <w:bCs/>
                  <w:szCs w:val="22"/>
                  <w:lang w:val="de-DE"/>
                </w:rPr>
                <w:delText>Tel: +31 (0)88 322 2843</w:delText>
              </w:r>
            </w:del>
          </w:p>
        </w:tc>
      </w:tr>
      <w:tr w:rsidR="00534A2D" w14:paraId="290D2D31" w14:textId="77777777" w:rsidTr="001F79B0">
        <w:trPr>
          <w:del w:id="12300" w:author="AbbVie1" w:date="2025-05-13T10:11:00Z"/>
        </w:trPr>
        <w:tc>
          <w:tcPr>
            <w:tcW w:w="4644" w:type="dxa"/>
            <w:gridSpan w:val="2"/>
          </w:tcPr>
          <w:p w14:paraId="441AD87D" w14:textId="77777777" w:rsidR="00AC4204" w:rsidRPr="00BD646C" w:rsidRDefault="00000000" w:rsidP="001F79B0">
            <w:pPr>
              <w:rPr>
                <w:del w:id="12301" w:author="AbbVie1" w:date="2025-05-13T10:11:00Z"/>
                <w:b/>
                <w:bCs/>
                <w:szCs w:val="22"/>
                <w:lang w:val="et-EE"/>
              </w:rPr>
            </w:pPr>
            <w:del w:id="12302" w:author="AbbVie1" w:date="2025-05-13T10:11:00Z">
              <w:r w:rsidRPr="00BD646C">
                <w:rPr>
                  <w:b/>
                  <w:bCs/>
                  <w:szCs w:val="22"/>
                  <w:lang w:val="et-EE"/>
                </w:rPr>
                <w:delText>Eesti</w:delText>
              </w:r>
            </w:del>
          </w:p>
          <w:p w14:paraId="54F00A40" w14:textId="77777777" w:rsidR="00AC4204" w:rsidRPr="00BD646C" w:rsidRDefault="00000000" w:rsidP="001F79B0">
            <w:pPr>
              <w:rPr>
                <w:del w:id="12303" w:author="AbbVie1" w:date="2025-05-13T10:11:00Z"/>
                <w:bCs/>
                <w:szCs w:val="22"/>
                <w:lang w:val="et-EE"/>
              </w:rPr>
            </w:pPr>
            <w:del w:id="12304" w:author="AbbVie1" w:date="2025-05-13T10:11:00Z">
              <w:r w:rsidRPr="00BD646C">
                <w:rPr>
                  <w:bCs/>
                  <w:szCs w:val="22"/>
                  <w:lang w:val="et-EE"/>
                </w:rPr>
                <w:delText xml:space="preserve">AbbVie </w:delText>
              </w:r>
              <w:r w:rsidRPr="00BD646C">
                <w:rPr>
                  <w:bCs/>
                  <w:szCs w:val="22"/>
                  <w:lang w:val="sk-SK"/>
                </w:rPr>
                <w:delText>OÜ</w:delText>
              </w:r>
              <w:r w:rsidRPr="00BD646C">
                <w:rPr>
                  <w:bCs/>
                  <w:szCs w:val="22"/>
                  <w:lang w:val="et-EE"/>
                </w:rPr>
                <w:delText xml:space="preserve"> </w:delText>
              </w:r>
            </w:del>
          </w:p>
          <w:p w14:paraId="17C62719" w14:textId="77777777" w:rsidR="00AC4204" w:rsidRPr="00BD646C" w:rsidRDefault="00000000" w:rsidP="001F79B0">
            <w:pPr>
              <w:rPr>
                <w:del w:id="12305" w:author="AbbVie1" w:date="2025-05-13T10:11:00Z"/>
                <w:bCs/>
                <w:szCs w:val="22"/>
                <w:lang w:val="lv-LV"/>
              </w:rPr>
            </w:pPr>
            <w:del w:id="12306" w:author="AbbVie1" w:date="2025-05-13T10:11:00Z">
              <w:r w:rsidRPr="00BD646C">
                <w:rPr>
                  <w:bCs/>
                  <w:szCs w:val="22"/>
                  <w:lang w:val="et-EE"/>
                </w:rPr>
                <w:delText>Tel: +372 623 1011</w:delText>
              </w:r>
            </w:del>
          </w:p>
        </w:tc>
        <w:tc>
          <w:tcPr>
            <w:tcW w:w="4678" w:type="dxa"/>
            <w:gridSpan w:val="2"/>
          </w:tcPr>
          <w:p w14:paraId="27D6A880" w14:textId="77777777" w:rsidR="00AC4204" w:rsidRPr="00BD646C" w:rsidRDefault="00000000" w:rsidP="001F79B0">
            <w:pPr>
              <w:rPr>
                <w:del w:id="12307" w:author="AbbVie1" w:date="2025-05-13T10:11:00Z"/>
                <w:b/>
                <w:bCs/>
                <w:szCs w:val="22"/>
                <w:lang w:val="nb-NO"/>
              </w:rPr>
            </w:pPr>
            <w:del w:id="12308" w:author="AbbVie1" w:date="2025-05-13T10:11:00Z">
              <w:r w:rsidRPr="00BD646C">
                <w:rPr>
                  <w:b/>
                  <w:bCs/>
                  <w:szCs w:val="22"/>
                  <w:lang w:val="nb-NO"/>
                </w:rPr>
                <w:delText>Norge</w:delText>
              </w:r>
            </w:del>
          </w:p>
          <w:p w14:paraId="710AF5BD" w14:textId="77777777" w:rsidR="00AC4204" w:rsidRPr="00BD646C" w:rsidRDefault="00000000" w:rsidP="001F79B0">
            <w:pPr>
              <w:rPr>
                <w:del w:id="12309" w:author="AbbVie1" w:date="2025-05-13T10:11:00Z"/>
                <w:bCs/>
                <w:szCs w:val="22"/>
                <w:lang w:val="sk-SK"/>
              </w:rPr>
            </w:pPr>
            <w:del w:id="12310" w:author="AbbVie1" w:date="2025-05-13T10:11:00Z">
              <w:r w:rsidRPr="00BD646C">
                <w:rPr>
                  <w:bCs/>
                  <w:szCs w:val="22"/>
                  <w:lang w:val="sk-SK"/>
                </w:rPr>
                <w:delText>AbbVie AS</w:delText>
              </w:r>
            </w:del>
          </w:p>
          <w:p w14:paraId="4C823930" w14:textId="77777777" w:rsidR="00AC4204" w:rsidRPr="00BD646C" w:rsidRDefault="00000000" w:rsidP="001F79B0">
            <w:pPr>
              <w:rPr>
                <w:del w:id="12311" w:author="AbbVie1" w:date="2025-05-13T10:11:00Z"/>
                <w:bCs/>
                <w:szCs w:val="22"/>
                <w:lang w:val="sk-SK"/>
              </w:rPr>
            </w:pPr>
            <w:del w:id="12312" w:author="AbbVie1" w:date="2025-05-13T10:11:00Z">
              <w:r w:rsidRPr="00BD646C">
                <w:rPr>
                  <w:bCs/>
                  <w:szCs w:val="22"/>
                  <w:lang w:val="sk-SK"/>
                </w:rPr>
                <w:delText>Tlf: +47 67 81 80 00</w:delText>
              </w:r>
            </w:del>
          </w:p>
          <w:p w14:paraId="3AD8C513" w14:textId="77777777" w:rsidR="00AC4204" w:rsidRPr="00BD646C" w:rsidRDefault="00AC4204" w:rsidP="001F79B0">
            <w:pPr>
              <w:rPr>
                <w:del w:id="12313" w:author="AbbVie1" w:date="2025-05-13T10:11:00Z"/>
                <w:bCs/>
                <w:szCs w:val="22"/>
                <w:lang w:val="sk-SK"/>
              </w:rPr>
            </w:pPr>
          </w:p>
        </w:tc>
      </w:tr>
      <w:tr w:rsidR="00534A2D" w14:paraId="60FF5523" w14:textId="77777777" w:rsidTr="001F79B0">
        <w:trPr>
          <w:trHeight w:val="794"/>
          <w:del w:id="12314" w:author="AbbVie1" w:date="2025-05-13T10:11:00Z"/>
        </w:trPr>
        <w:tc>
          <w:tcPr>
            <w:tcW w:w="4644" w:type="dxa"/>
            <w:gridSpan w:val="2"/>
          </w:tcPr>
          <w:p w14:paraId="798B689F" w14:textId="77777777" w:rsidR="00AC4204" w:rsidRPr="00BD646C" w:rsidRDefault="00000000" w:rsidP="001F79B0">
            <w:pPr>
              <w:rPr>
                <w:del w:id="12315" w:author="AbbVie1" w:date="2025-05-13T10:11:00Z"/>
                <w:b/>
                <w:bCs/>
                <w:szCs w:val="22"/>
                <w:lang w:val="el-GR"/>
              </w:rPr>
            </w:pPr>
            <w:del w:id="12316" w:author="AbbVie1" w:date="2025-05-13T10:11:00Z">
              <w:r w:rsidRPr="00BD646C">
                <w:rPr>
                  <w:b/>
                  <w:bCs/>
                  <w:szCs w:val="22"/>
                  <w:lang w:val="el-GR"/>
                </w:rPr>
                <w:delText>Ελλάδα</w:delText>
              </w:r>
            </w:del>
          </w:p>
          <w:p w14:paraId="743981F6" w14:textId="77777777" w:rsidR="00AC4204" w:rsidRPr="00BD646C" w:rsidRDefault="00000000" w:rsidP="001F79B0">
            <w:pPr>
              <w:rPr>
                <w:del w:id="12317" w:author="AbbVie1" w:date="2025-05-13T10:11:00Z"/>
                <w:bCs/>
                <w:szCs w:val="22"/>
                <w:lang w:val="el-GR"/>
              </w:rPr>
            </w:pPr>
            <w:del w:id="12318" w:author="AbbVie1" w:date="2025-05-13T10:11:00Z">
              <w:r w:rsidRPr="00BD646C">
                <w:rPr>
                  <w:bCs/>
                  <w:szCs w:val="22"/>
                  <w:lang w:val="et-EE"/>
                </w:rPr>
                <w:delText xml:space="preserve">AbbVie </w:delText>
              </w:r>
              <w:r w:rsidRPr="00BD646C">
                <w:rPr>
                  <w:szCs w:val="22"/>
                  <w:lang w:val="el-GR"/>
                </w:rPr>
                <w:delText>ΦΑΡΜΑΚΕΥΤΙΚΗ Α.Ε.</w:delText>
              </w:r>
            </w:del>
          </w:p>
          <w:p w14:paraId="5D3BB147" w14:textId="77777777" w:rsidR="00AC4204" w:rsidRPr="00BD646C" w:rsidRDefault="00000000" w:rsidP="001F79B0">
            <w:pPr>
              <w:rPr>
                <w:del w:id="12319" w:author="AbbVie1" w:date="2025-05-13T10:11:00Z"/>
                <w:bCs/>
                <w:szCs w:val="22"/>
                <w:lang w:val="sk-SK"/>
              </w:rPr>
            </w:pPr>
            <w:del w:id="12320" w:author="AbbVie1" w:date="2025-05-13T10:11:00Z">
              <w:r w:rsidRPr="00BD646C">
                <w:rPr>
                  <w:bCs/>
                  <w:szCs w:val="22"/>
                  <w:lang w:val="el-GR"/>
                </w:rPr>
                <w:delText xml:space="preserve">Τηλ: +30 </w:delText>
              </w:r>
              <w:r w:rsidRPr="00BD646C">
                <w:rPr>
                  <w:bCs/>
                  <w:szCs w:val="22"/>
                  <w:lang w:val="sk-SK"/>
                </w:rPr>
                <w:delText>214 4165 555</w:delText>
              </w:r>
            </w:del>
          </w:p>
        </w:tc>
        <w:tc>
          <w:tcPr>
            <w:tcW w:w="4678" w:type="dxa"/>
            <w:gridSpan w:val="2"/>
          </w:tcPr>
          <w:p w14:paraId="560CD4D2" w14:textId="77777777" w:rsidR="00AC4204" w:rsidRPr="00BD646C" w:rsidRDefault="00000000" w:rsidP="001F79B0">
            <w:pPr>
              <w:rPr>
                <w:del w:id="12321" w:author="AbbVie1" w:date="2025-05-13T10:11:00Z"/>
                <w:b/>
                <w:bCs/>
                <w:szCs w:val="22"/>
                <w:lang w:val="de-DE"/>
              </w:rPr>
            </w:pPr>
            <w:del w:id="12322" w:author="AbbVie1" w:date="2025-05-13T10:11:00Z">
              <w:r w:rsidRPr="00BD646C">
                <w:rPr>
                  <w:b/>
                  <w:bCs/>
                  <w:szCs w:val="22"/>
                  <w:lang w:val="de-DE"/>
                </w:rPr>
                <w:delText>Österreich</w:delText>
              </w:r>
            </w:del>
          </w:p>
          <w:p w14:paraId="454D68EF" w14:textId="77777777" w:rsidR="00AC4204" w:rsidRPr="00BD646C" w:rsidRDefault="00000000" w:rsidP="001F79B0">
            <w:pPr>
              <w:rPr>
                <w:del w:id="12323" w:author="AbbVie1" w:date="2025-05-13T10:11:00Z"/>
                <w:bCs/>
                <w:szCs w:val="22"/>
                <w:lang w:val="de-DE"/>
              </w:rPr>
            </w:pPr>
            <w:del w:id="12324" w:author="AbbVie1" w:date="2025-05-13T10:11:00Z">
              <w:r w:rsidRPr="00BD646C">
                <w:rPr>
                  <w:bCs/>
                  <w:szCs w:val="22"/>
                  <w:lang w:val="de-DE"/>
                </w:rPr>
                <w:delText xml:space="preserve">AbbVie GmbH </w:delText>
              </w:r>
            </w:del>
          </w:p>
          <w:p w14:paraId="45BF8133" w14:textId="77777777" w:rsidR="00AC4204" w:rsidRPr="00BD646C" w:rsidRDefault="00000000" w:rsidP="001F79B0">
            <w:pPr>
              <w:rPr>
                <w:del w:id="12325" w:author="AbbVie1" w:date="2025-05-13T10:11:00Z"/>
                <w:bCs/>
                <w:szCs w:val="22"/>
                <w:lang w:val="de-DE"/>
              </w:rPr>
            </w:pPr>
            <w:del w:id="12326" w:author="AbbVie1" w:date="2025-05-13T10:11:00Z">
              <w:r w:rsidRPr="00BD646C">
                <w:rPr>
                  <w:bCs/>
                  <w:szCs w:val="22"/>
                  <w:lang w:val="de-DE"/>
                </w:rPr>
                <w:delText>Tel: +43 1 20589-0</w:delText>
              </w:r>
            </w:del>
          </w:p>
          <w:p w14:paraId="5ECC5C57" w14:textId="77777777" w:rsidR="00AC4204" w:rsidRPr="00BD646C" w:rsidRDefault="00AC4204" w:rsidP="001F79B0">
            <w:pPr>
              <w:rPr>
                <w:del w:id="12327" w:author="AbbVie1" w:date="2025-05-13T10:11:00Z"/>
                <w:bCs/>
                <w:szCs w:val="22"/>
                <w:lang w:val="de-DE"/>
              </w:rPr>
            </w:pPr>
          </w:p>
        </w:tc>
      </w:tr>
      <w:tr w:rsidR="00534A2D" w14:paraId="052673F6" w14:textId="77777777" w:rsidTr="001F79B0">
        <w:trPr>
          <w:gridBefore w:val="1"/>
          <w:wBefore w:w="34" w:type="dxa"/>
          <w:del w:id="12328" w:author="AbbVie1" w:date="2025-05-13T10:11:00Z"/>
        </w:trPr>
        <w:tc>
          <w:tcPr>
            <w:tcW w:w="4644" w:type="dxa"/>
            <w:gridSpan w:val="2"/>
          </w:tcPr>
          <w:p w14:paraId="3E721042" w14:textId="77777777" w:rsidR="00AC4204" w:rsidRPr="00BD646C" w:rsidRDefault="00000000" w:rsidP="001F79B0">
            <w:pPr>
              <w:rPr>
                <w:del w:id="12329" w:author="AbbVie1" w:date="2025-05-13T10:11:00Z"/>
                <w:b/>
                <w:bCs/>
                <w:szCs w:val="22"/>
                <w:lang w:val="es-ES"/>
              </w:rPr>
            </w:pPr>
            <w:del w:id="12330" w:author="AbbVie1" w:date="2025-05-13T10:11:00Z">
              <w:r w:rsidRPr="00BD646C">
                <w:rPr>
                  <w:b/>
                  <w:bCs/>
                  <w:szCs w:val="22"/>
                  <w:lang w:val="es-ES"/>
                </w:rPr>
                <w:delText>España</w:delText>
              </w:r>
            </w:del>
          </w:p>
          <w:p w14:paraId="38E68713" w14:textId="77777777" w:rsidR="00AC4204" w:rsidRPr="00BD646C" w:rsidRDefault="00000000" w:rsidP="001F79B0">
            <w:pPr>
              <w:rPr>
                <w:del w:id="12331" w:author="AbbVie1" w:date="2025-05-13T10:11:00Z"/>
                <w:szCs w:val="22"/>
                <w:lang w:val="es-ES"/>
              </w:rPr>
            </w:pPr>
            <w:del w:id="12332" w:author="AbbVie1" w:date="2025-05-13T10:11:00Z">
              <w:r w:rsidRPr="00BD646C">
                <w:rPr>
                  <w:szCs w:val="22"/>
                  <w:lang w:val="es-ES"/>
                </w:rPr>
                <w:delText xml:space="preserve">AbbVie </w:delText>
              </w:r>
              <w:r w:rsidRPr="00BD646C">
                <w:rPr>
                  <w:bCs/>
                  <w:szCs w:val="22"/>
                  <w:lang w:val="es-ES"/>
                </w:rPr>
                <w:delText>Spain</w:delText>
              </w:r>
              <w:r w:rsidRPr="00BD646C">
                <w:rPr>
                  <w:szCs w:val="22"/>
                  <w:lang w:val="es-ES"/>
                </w:rPr>
                <w:delText>, S.L.U</w:delText>
              </w:r>
              <w:r w:rsidRPr="00BD646C">
                <w:rPr>
                  <w:bCs/>
                  <w:szCs w:val="22"/>
                  <w:lang w:val="es-ES"/>
                </w:rPr>
                <w:delText>.</w:delText>
              </w:r>
            </w:del>
          </w:p>
          <w:p w14:paraId="7ED8A83C" w14:textId="77777777" w:rsidR="00AC4204" w:rsidRPr="00BD646C" w:rsidRDefault="00000000" w:rsidP="001F79B0">
            <w:pPr>
              <w:rPr>
                <w:del w:id="12333" w:author="AbbVie1" w:date="2025-05-13T10:11:00Z"/>
                <w:bCs/>
                <w:szCs w:val="22"/>
                <w:lang w:val="pl-PL"/>
              </w:rPr>
            </w:pPr>
            <w:del w:id="12334" w:author="AbbVie1" w:date="2025-05-13T10:11:00Z">
              <w:r w:rsidRPr="00BD646C">
                <w:rPr>
                  <w:bCs/>
                  <w:szCs w:val="22"/>
                  <w:lang w:val="pt-PT"/>
                </w:rPr>
                <w:delText>Tel: +34 91 384 09 10</w:delText>
              </w:r>
            </w:del>
          </w:p>
        </w:tc>
        <w:tc>
          <w:tcPr>
            <w:tcW w:w="4678" w:type="dxa"/>
          </w:tcPr>
          <w:p w14:paraId="58BAF8D0" w14:textId="77777777" w:rsidR="00AC4204" w:rsidRPr="00BD646C" w:rsidRDefault="00000000" w:rsidP="001F79B0">
            <w:pPr>
              <w:rPr>
                <w:del w:id="12335" w:author="AbbVie1" w:date="2025-05-13T10:11:00Z"/>
                <w:b/>
                <w:bCs/>
                <w:iCs/>
                <w:szCs w:val="22"/>
                <w:lang w:val="pl-PL"/>
              </w:rPr>
            </w:pPr>
            <w:del w:id="12336" w:author="AbbVie1" w:date="2025-05-13T10:11:00Z">
              <w:r w:rsidRPr="00BD646C">
                <w:rPr>
                  <w:b/>
                  <w:bCs/>
                  <w:iCs/>
                  <w:szCs w:val="22"/>
                  <w:lang w:val="pl-PL"/>
                </w:rPr>
                <w:delText>Polska</w:delText>
              </w:r>
            </w:del>
          </w:p>
          <w:p w14:paraId="17E81683" w14:textId="77777777" w:rsidR="00AC4204" w:rsidRPr="00BD646C" w:rsidRDefault="00000000" w:rsidP="001F79B0">
            <w:pPr>
              <w:rPr>
                <w:del w:id="12337" w:author="AbbVie1" w:date="2025-05-13T10:11:00Z"/>
                <w:bCs/>
                <w:szCs w:val="22"/>
                <w:lang w:val="pl-PL"/>
              </w:rPr>
            </w:pPr>
            <w:del w:id="12338" w:author="AbbVie1" w:date="2025-05-13T10:11:00Z">
              <w:r w:rsidRPr="00BD646C">
                <w:rPr>
                  <w:bCs/>
                  <w:szCs w:val="22"/>
                  <w:lang w:val="pl-PL"/>
                </w:rPr>
                <w:delText>AbbVie Sp. z o.o.</w:delText>
              </w:r>
            </w:del>
          </w:p>
          <w:p w14:paraId="3DB455FD" w14:textId="77777777" w:rsidR="00AC4204" w:rsidRPr="00BD646C" w:rsidRDefault="00000000" w:rsidP="001F79B0">
            <w:pPr>
              <w:rPr>
                <w:del w:id="12339" w:author="AbbVie1" w:date="2025-05-13T10:11:00Z"/>
                <w:bCs/>
                <w:szCs w:val="22"/>
                <w:lang w:val="pl-PL"/>
              </w:rPr>
            </w:pPr>
            <w:del w:id="12340" w:author="AbbVie1" w:date="2025-05-13T10:11:00Z">
              <w:r w:rsidRPr="00BD646C">
                <w:rPr>
                  <w:szCs w:val="22"/>
                  <w:lang w:val="es-ES"/>
                </w:rPr>
                <w:delText xml:space="preserve">Tel.: +48 22 </w:delText>
              </w:r>
              <w:r w:rsidRPr="00BD646C">
                <w:rPr>
                  <w:bCs/>
                  <w:szCs w:val="22"/>
                  <w:lang w:val="pl-PL"/>
                </w:rPr>
                <w:delText xml:space="preserve">372 78 00 </w:delText>
              </w:r>
            </w:del>
          </w:p>
          <w:p w14:paraId="4A539FCE" w14:textId="77777777" w:rsidR="00AC4204" w:rsidRPr="00BD646C" w:rsidRDefault="00AC4204" w:rsidP="001F79B0">
            <w:pPr>
              <w:rPr>
                <w:del w:id="12341" w:author="AbbVie1" w:date="2025-05-13T10:11:00Z"/>
                <w:bCs/>
                <w:szCs w:val="22"/>
                <w:lang w:val="pl-PL"/>
              </w:rPr>
            </w:pPr>
          </w:p>
        </w:tc>
      </w:tr>
      <w:tr w:rsidR="00534A2D" w14:paraId="485D0F0C" w14:textId="77777777" w:rsidTr="001F79B0">
        <w:trPr>
          <w:trHeight w:val="734"/>
          <w:del w:id="12342" w:author="AbbVie1" w:date="2025-05-13T10:11:00Z"/>
        </w:trPr>
        <w:tc>
          <w:tcPr>
            <w:tcW w:w="4678" w:type="dxa"/>
            <w:gridSpan w:val="3"/>
          </w:tcPr>
          <w:p w14:paraId="2F3B5AD7" w14:textId="77777777" w:rsidR="00AC4204" w:rsidRPr="00BD646C" w:rsidRDefault="00000000" w:rsidP="001F79B0">
            <w:pPr>
              <w:rPr>
                <w:del w:id="12343" w:author="AbbVie1" w:date="2025-05-13T10:11:00Z"/>
                <w:b/>
                <w:bCs/>
                <w:szCs w:val="22"/>
                <w:lang w:val="fr-FR"/>
              </w:rPr>
            </w:pPr>
            <w:del w:id="12344" w:author="AbbVie1" w:date="2025-05-13T10:11:00Z">
              <w:r w:rsidRPr="00BD646C">
                <w:rPr>
                  <w:b/>
                  <w:bCs/>
                  <w:szCs w:val="22"/>
                  <w:lang w:val="fr-FR"/>
                </w:rPr>
                <w:delText>France</w:delText>
              </w:r>
            </w:del>
          </w:p>
          <w:p w14:paraId="1318C5F8" w14:textId="77777777" w:rsidR="00AC4204" w:rsidRPr="00BD646C" w:rsidRDefault="00000000" w:rsidP="001F79B0">
            <w:pPr>
              <w:rPr>
                <w:del w:id="12345" w:author="AbbVie1" w:date="2025-05-13T10:11:00Z"/>
                <w:bCs/>
                <w:szCs w:val="22"/>
                <w:lang w:val="fr-FR"/>
              </w:rPr>
            </w:pPr>
            <w:del w:id="12346" w:author="AbbVie1" w:date="2025-05-13T10:11:00Z">
              <w:r w:rsidRPr="00BD646C">
                <w:rPr>
                  <w:bCs/>
                  <w:szCs w:val="22"/>
                  <w:lang w:val="fr-FR"/>
                </w:rPr>
                <w:delText>AbbVie</w:delText>
              </w:r>
            </w:del>
          </w:p>
          <w:p w14:paraId="386F8918" w14:textId="77777777" w:rsidR="00AC4204" w:rsidRPr="00BD646C" w:rsidRDefault="00000000" w:rsidP="001F79B0">
            <w:pPr>
              <w:rPr>
                <w:del w:id="12347" w:author="AbbVie1" w:date="2025-05-13T10:11:00Z"/>
                <w:bCs/>
                <w:szCs w:val="22"/>
                <w:lang w:val="fr-FR"/>
              </w:rPr>
            </w:pPr>
            <w:del w:id="12348" w:author="AbbVie1" w:date="2025-05-13T10:11:00Z">
              <w:r w:rsidRPr="00BD646C">
                <w:rPr>
                  <w:bCs/>
                  <w:szCs w:val="22"/>
                  <w:lang w:val="fr-FR"/>
                </w:rPr>
                <w:delText>Tél: +33 (0) 1 45 60 13 00</w:delText>
              </w:r>
            </w:del>
          </w:p>
        </w:tc>
        <w:tc>
          <w:tcPr>
            <w:tcW w:w="4678" w:type="dxa"/>
          </w:tcPr>
          <w:p w14:paraId="29EB3AEE" w14:textId="77777777" w:rsidR="00AC4204" w:rsidRPr="00BD646C" w:rsidRDefault="00000000" w:rsidP="001F79B0">
            <w:pPr>
              <w:rPr>
                <w:del w:id="12349" w:author="AbbVie1" w:date="2025-05-13T10:11:00Z"/>
                <w:b/>
                <w:bCs/>
                <w:szCs w:val="22"/>
                <w:lang w:val="pt-PT"/>
              </w:rPr>
            </w:pPr>
            <w:del w:id="12350" w:author="AbbVie1" w:date="2025-05-13T10:11:00Z">
              <w:r w:rsidRPr="00BD646C">
                <w:rPr>
                  <w:b/>
                  <w:bCs/>
                  <w:szCs w:val="22"/>
                  <w:lang w:val="pt-PT"/>
                </w:rPr>
                <w:delText>Portugal</w:delText>
              </w:r>
            </w:del>
          </w:p>
          <w:p w14:paraId="404094CD" w14:textId="77777777" w:rsidR="00AC4204" w:rsidRPr="00BD646C" w:rsidRDefault="00000000" w:rsidP="001F79B0">
            <w:pPr>
              <w:rPr>
                <w:del w:id="12351" w:author="AbbVie1" w:date="2025-05-13T10:11:00Z"/>
                <w:bCs/>
                <w:szCs w:val="22"/>
                <w:lang w:val="fr-FR"/>
              </w:rPr>
            </w:pPr>
            <w:del w:id="12352" w:author="AbbVie1" w:date="2025-05-13T10:11:00Z">
              <w:r w:rsidRPr="00BD646C">
                <w:rPr>
                  <w:bCs/>
                  <w:szCs w:val="22"/>
                  <w:lang w:val="fr-FR"/>
                </w:rPr>
                <w:delText xml:space="preserve">AbbVie, Lda. </w:delText>
              </w:r>
            </w:del>
          </w:p>
          <w:p w14:paraId="08995C3C" w14:textId="77777777" w:rsidR="00AC4204" w:rsidRPr="00BD646C" w:rsidRDefault="00000000" w:rsidP="001F79B0">
            <w:pPr>
              <w:rPr>
                <w:del w:id="12353" w:author="AbbVie1" w:date="2025-05-13T10:11:00Z"/>
                <w:szCs w:val="22"/>
                <w:lang w:val="fr-FR"/>
              </w:rPr>
            </w:pPr>
            <w:del w:id="12354" w:author="AbbVie1" w:date="2025-05-13T10:11:00Z">
              <w:r w:rsidRPr="00BD646C">
                <w:rPr>
                  <w:szCs w:val="22"/>
                  <w:lang w:val="fr-FR"/>
                </w:rPr>
                <w:delText>Tel: +351 (0)21 1908400</w:delText>
              </w:r>
            </w:del>
          </w:p>
          <w:p w14:paraId="7E742284" w14:textId="77777777" w:rsidR="00AC4204" w:rsidRPr="00BD646C" w:rsidRDefault="00AC4204" w:rsidP="001F79B0">
            <w:pPr>
              <w:rPr>
                <w:del w:id="12355" w:author="AbbVie1" w:date="2025-05-13T10:11:00Z"/>
                <w:szCs w:val="22"/>
                <w:lang w:val="fr-FR"/>
              </w:rPr>
            </w:pPr>
          </w:p>
        </w:tc>
      </w:tr>
      <w:tr w:rsidR="00534A2D" w14:paraId="78CE3022" w14:textId="77777777" w:rsidTr="001F79B0">
        <w:trPr>
          <w:gridBefore w:val="1"/>
          <w:wBefore w:w="34" w:type="dxa"/>
          <w:del w:id="12356" w:author="AbbVie1" w:date="2025-05-13T10:11:00Z"/>
        </w:trPr>
        <w:tc>
          <w:tcPr>
            <w:tcW w:w="4644" w:type="dxa"/>
            <w:gridSpan w:val="2"/>
          </w:tcPr>
          <w:p w14:paraId="35172B2F" w14:textId="77777777" w:rsidR="00AC4204" w:rsidRPr="005B1CF3" w:rsidRDefault="00000000" w:rsidP="001F79B0">
            <w:pPr>
              <w:rPr>
                <w:del w:id="12357" w:author="AbbVie1" w:date="2025-05-13T10:11:00Z"/>
                <w:szCs w:val="22"/>
                <w:rPrChange w:id="12358" w:author="Abbvie02" w:date="2025-05-16T11:16:00Z">
                  <w:rPr>
                    <w:del w:id="12359" w:author="AbbVie1" w:date="2025-05-13T10:11:00Z"/>
                    <w:szCs w:val="22"/>
                    <w:lang w:val="en-GB"/>
                  </w:rPr>
                </w:rPrChange>
              </w:rPr>
            </w:pPr>
            <w:del w:id="12360" w:author="AbbVie1" w:date="2025-05-13T10:11:00Z">
              <w:r w:rsidRPr="005B1CF3">
                <w:rPr>
                  <w:b/>
                  <w:bCs/>
                  <w:szCs w:val="22"/>
                  <w:rPrChange w:id="12361" w:author="Abbvie02" w:date="2025-05-16T11:16:00Z">
                    <w:rPr>
                      <w:b/>
                      <w:bCs/>
                      <w:szCs w:val="22"/>
                      <w:lang w:val="en-GB"/>
                    </w:rPr>
                  </w:rPrChange>
                </w:rPr>
                <w:delText xml:space="preserve">Hrvatska </w:delText>
              </w:r>
            </w:del>
          </w:p>
          <w:p w14:paraId="54E06C29" w14:textId="77777777" w:rsidR="00AC4204" w:rsidRPr="00BD646C" w:rsidRDefault="00000000" w:rsidP="001F79B0">
            <w:pPr>
              <w:rPr>
                <w:del w:id="12362" w:author="AbbVie1" w:date="2025-05-13T10:11:00Z"/>
                <w:szCs w:val="22"/>
                <w:lang w:val="hr-HR"/>
              </w:rPr>
            </w:pPr>
            <w:del w:id="12363" w:author="AbbVie1" w:date="2025-05-13T10:11:00Z">
              <w:r w:rsidRPr="00BD646C">
                <w:rPr>
                  <w:szCs w:val="22"/>
                  <w:lang w:val="hr-HR"/>
                </w:rPr>
                <w:delText>AbbVie d.o.o.</w:delText>
              </w:r>
            </w:del>
          </w:p>
          <w:p w14:paraId="40A242AD" w14:textId="77777777" w:rsidR="00AC4204" w:rsidRPr="005B1CF3" w:rsidRDefault="00000000" w:rsidP="001F79B0">
            <w:pPr>
              <w:rPr>
                <w:del w:id="12364" w:author="AbbVie1" w:date="2025-05-13T10:11:00Z"/>
                <w:bCs/>
                <w:szCs w:val="22"/>
                <w:rPrChange w:id="12365" w:author="Abbvie02" w:date="2025-05-16T11:16:00Z">
                  <w:rPr>
                    <w:del w:id="12366" w:author="AbbVie1" w:date="2025-05-13T10:11:00Z"/>
                    <w:bCs/>
                    <w:szCs w:val="22"/>
                    <w:lang w:val="it-IT"/>
                  </w:rPr>
                </w:rPrChange>
              </w:rPr>
            </w:pPr>
            <w:del w:id="12367" w:author="AbbVie1" w:date="2025-05-13T10:11:00Z">
              <w:r w:rsidRPr="00BD646C">
                <w:rPr>
                  <w:szCs w:val="22"/>
                  <w:lang w:val="hr-HR"/>
                </w:rPr>
                <w:delText xml:space="preserve">Tel + 385 (0)1 </w:delText>
              </w:r>
              <w:r w:rsidRPr="005B1CF3">
                <w:rPr>
                  <w:szCs w:val="22"/>
                  <w:rPrChange w:id="12368" w:author="Abbvie02" w:date="2025-05-16T11:16:00Z">
                    <w:rPr>
                      <w:szCs w:val="22"/>
                      <w:lang w:val="en-US"/>
                    </w:rPr>
                  </w:rPrChange>
                </w:rPr>
                <w:delText>5625 501</w:delText>
              </w:r>
            </w:del>
          </w:p>
        </w:tc>
        <w:tc>
          <w:tcPr>
            <w:tcW w:w="4678" w:type="dxa"/>
          </w:tcPr>
          <w:p w14:paraId="2BE4C243" w14:textId="77777777" w:rsidR="00AC4204" w:rsidRPr="005B1CF3" w:rsidRDefault="00000000" w:rsidP="001F79B0">
            <w:pPr>
              <w:rPr>
                <w:del w:id="12369" w:author="AbbVie1" w:date="2025-05-13T10:11:00Z"/>
                <w:b/>
                <w:bCs/>
                <w:szCs w:val="22"/>
                <w:rPrChange w:id="12370" w:author="Abbvie02" w:date="2025-05-16T11:16:00Z">
                  <w:rPr>
                    <w:del w:id="12371" w:author="AbbVie1" w:date="2025-05-13T10:11:00Z"/>
                    <w:b/>
                    <w:bCs/>
                    <w:szCs w:val="22"/>
                    <w:lang w:val="it-IT"/>
                  </w:rPr>
                </w:rPrChange>
              </w:rPr>
            </w:pPr>
            <w:del w:id="12372" w:author="AbbVie1" w:date="2025-05-13T10:11:00Z">
              <w:r w:rsidRPr="005B1CF3">
                <w:rPr>
                  <w:b/>
                  <w:bCs/>
                  <w:szCs w:val="22"/>
                  <w:rPrChange w:id="12373" w:author="Abbvie02" w:date="2025-05-16T11:16:00Z">
                    <w:rPr>
                      <w:b/>
                      <w:bCs/>
                      <w:szCs w:val="22"/>
                      <w:lang w:val="it-IT"/>
                    </w:rPr>
                  </w:rPrChange>
                </w:rPr>
                <w:delText>România</w:delText>
              </w:r>
            </w:del>
          </w:p>
          <w:p w14:paraId="01FD4EE6" w14:textId="77777777" w:rsidR="00AC4204" w:rsidRPr="005B1CF3" w:rsidRDefault="00000000" w:rsidP="001F79B0">
            <w:pPr>
              <w:rPr>
                <w:del w:id="12374" w:author="AbbVie1" w:date="2025-05-13T10:11:00Z"/>
                <w:szCs w:val="22"/>
                <w:rPrChange w:id="12375" w:author="Abbvie02" w:date="2025-05-16T11:16:00Z">
                  <w:rPr>
                    <w:del w:id="12376" w:author="AbbVie1" w:date="2025-05-13T10:11:00Z"/>
                    <w:szCs w:val="22"/>
                    <w:lang w:val="it-IT"/>
                  </w:rPr>
                </w:rPrChange>
              </w:rPr>
            </w:pPr>
            <w:del w:id="12377" w:author="AbbVie1" w:date="2025-05-13T10:11:00Z">
              <w:r w:rsidRPr="005B1CF3">
                <w:rPr>
                  <w:szCs w:val="22"/>
                  <w:rPrChange w:id="12378" w:author="Abbvie02" w:date="2025-05-16T11:16:00Z">
                    <w:rPr>
                      <w:szCs w:val="22"/>
                      <w:lang w:val="it-IT"/>
                    </w:rPr>
                  </w:rPrChange>
                </w:rPr>
                <w:delText>AbbVie S.R.L.</w:delText>
              </w:r>
            </w:del>
          </w:p>
          <w:p w14:paraId="6DC876C3" w14:textId="77777777" w:rsidR="00AC4204" w:rsidRPr="00BD646C" w:rsidRDefault="00000000" w:rsidP="001F79B0">
            <w:pPr>
              <w:rPr>
                <w:del w:id="12379" w:author="AbbVie1" w:date="2025-05-13T10:11:00Z"/>
                <w:szCs w:val="22"/>
                <w:lang w:val="pl-PL"/>
              </w:rPr>
            </w:pPr>
            <w:del w:id="12380" w:author="AbbVie1" w:date="2025-05-13T10:11:00Z">
              <w:r w:rsidRPr="00BD646C">
                <w:rPr>
                  <w:szCs w:val="22"/>
                  <w:lang w:val="pl-PL"/>
                </w:rPr>
                <w:delText>Tel: +40 21 529 30 35</w:delText>
              </w:r>
            </w:del>
          </w:p>
          <w:p w14:paraId="3E81134C" w14:textId="77777777" w:rsidR="00AC4204" w:rsidRPr="00BD646C" w:rsidRDefault="00AC4204" w:rsidP="001F79B0">
            <w:pPr>
              <w:rPr>
                <w:del w:id="12381" w:author="AbbVie1" w:date="2025-05-13T10:11:00Z"/>
                <w:szCs w:val="22"/>
                <w:lang w:val="pl-PL"/>
              </w:rPr>
            </w:pPr>
          </w:p>
        </w:tc>
      </w:tr>
      <w:tr w:rsidR="00534A2D" w14:paraId="3E314185" w14:textId="77777777" w:rsidTr="001F79B0">
        <w:trPr>
          <w:gridBefore w:val="1"/>
          <w:wBefore w:w="34" w:type="dxa"/>
          <w:del w:id="12382" w:author="AbbVie1" w:date="2025-05-13T10:11:00Z"/>
        </w:trPr>
        <w:tc>
          <w:tcPr>
            <w:tcW w:w="4644" w:type="dxa"/>
            <w:gridSpan w:val="2"/>
          </w:tcPr>
          <w:p w14:paraId="19198D47" w14:textId="77777777" w:rsidR="00AC4204" w:rsidRPr="00BD646C" w:rsidRDefault="00000000" w:rsidP="001F79B0">
            <w:pPr>
              <w:rPr>
                <w:del w:id="12383" w:author="AbbVie1" w:date="2025-05-13T10:11:00Z"/>
                <w:b/>
                <w:bCs/>
                <w:szCs w:val="22"/>
                <w:lang w:val="sk-SK"/>
              </w:rPr>
            </w:pPr>
            <w:del w:id="12384" w:author="AbbVie1" w:date="2025-05-13T10:11:00Z">
              <w:r w:rsidRPr="00BD646C">
                <w:rPr>
                  <w:b/>
                  <w:bCs/>
                  <w:szCs w:val="22"/>
                  <w:lang w:val="sk-SK"/>
                </w:rPr>
                <w:delText>Ireland</w:delText>
              </w:r>
            </w:del>
          </w:p>
          <w:p w14:paraId="044D9944" w14:textId="77777777" w:rsidR="00AC4204" w:rsidRPr="00BD646C" w:rsidRDefault="00000000" w:rsidP="001F79B0">
            <w:pPr>
              <w:rPr>
                <w:del w:id="12385" w:author="AbbVie1" w:date="2025-05-13T10:11:00Z"/>
                <w:bCs/>
                <w:szCs w:val="22"/>
                <w:lang w:val="sk-SK"/>
              </w:rPr>
            </w:pPr>
            <w:del w:id="12386" w:author="AbbVie1" w:date="2025-05-13T10:11:00Z">
              <w:r w:rsidRPr="00BD646C">
                <w:rPr>
                  <w:bCs/>
                  <w:szCs w:val="22"/>
                  <w:lang w:val="sk-SK"/>
                </w:rPr>
                <w:delText xml:space="preserve">AbbVie Limited </w:delText>
              </w:r>
            </w:del>
          </w:p>
          <w:p w14:paraId="2FFD6938" w14:textId="77777777" w:rsidR="00AC4204" w:rsidRPr="00BD646C" w:rsidRDefault="00000000" w:rsidP="001F79B0">
            <w:pPr>
              <w:rPr>
                <w:del w:id="12387" w:author="AbbVie1" w:date="2025-05-13T10:11:00Z"/>
                <w:bCs/>
                <w:szCs w:val="22"/>
                <w:lang w:val="sk-SK"/>
              </w:rPr>
            </w:pPr>
            <w:del w:id="12388" w:author="AbbVie1" w:date="2025-05-13T10:11:00Z">
              <w:r w:rsidRPr="00BD646C">
                <w:rPr>
                  <w:bCs/>
                  <w:szCs w:val="22"/>
                  <w:lang w:val="pt-PT"/>
                </w:rPr>
                <w:delText>Tel: +353 (0)1 42879</w:delText>
              </w:r>
              <w:r w:rsidR="00C57483">
                <w:rPr>
                  <w:bCs/>
                  <w:szCs w:val="22"/>
                  <w:lang w:val="pt-PT"/>
                </w:rPr>
                <w:delText>0</w:delText>
              </w:r>
              <w:r w:rsidRPr="00BD646C">
                <w:rPr>
                  <w:bCs/>
                  <w:szCs w:val="22"/>
                  <w:lang w:val="pt-PT"/>
                </w:rPr>
                <w:delText>0</w:delText>
              </w:r>
            </w:del>
          </w:p>
        </w:tc>
        <w:tc>
          <w:tcPr>
            <w:tcW w:w="4678" w:type="dxa"/>
          </w:tcPr>
          <w:p w14:paraId="27BA66EE" w14:textId="77777777" w:rsidR="00AC4204" w:rsidRPr="00BD646C" w:rsidRDefault="00000000" w:rsidP="001F79B0">
            <w:pPr>
              <w:rPr>
                <w:del w:id="12389" w:author="AbbVie1" w:date="2025-05-13T10:11:00Z"/>
                <w:b/>
                <w:bCs/>
                <w:szCs w:val="22"/>
                <w:lang w:val="sl-SI"/>
              </w:rPr>
            </w:pPr>
            <w:del w:id="12390" w:author="AbbVie1" w:date="2025-05-13T10:11:00Z">
              <w:r w:rsidRPr="00BD646C">
                <w:rPr>
                  <w:b/>
                  <w:bCs/>
                  <w:szCs w:val="22"/>
                  <w:lang w:val="sl-SI"/>
                </w:rPr>
                <w:delText>Slovenija</w:delText>
              </w:r>
            </w:del>
          </w:p>
          <w:p w14:paraId="350B8D48" w14:textId="77777777" w:rsidR="00AC4204" w:rsidRPr="00BD646C" w:rsidRDefault="00000000" w:rsidP="001F79B0">
            <w:pPr>
              <w:rPr>
                <w:del w:id="12391" w:author="AbbVie1" w:date="2025-05-13T10:11:00Z"/>
                <w:bCs/>
                <w:szCs w:val="22"/>
                <w:lang w:val="sl-SI"/>
              </w:rPr>
            </w:pPr>
            <w:del w:id="12392" w:author="AbbVie1" w:date="2025-05-13T10:11:00Z">
              <w:r w:rsidRPr="00BD646C">
                <w:rPr>
                  <w:bCs/>
                  <w:szCs w:val="22"/>
                  <w:lang w:val="sl-SI"/>
                </w:rPr>
                <w:delText xml:space="preserve">AbbVie </w:delText>
              </w:r>
              <w:r w:rsidRPr="00BD646C">
                <w:rPr>
                  <w:szCs w:val="22"/>
                  <w:lang w:val="sl-SI"/>
                </w:rPr>
                <w:delText>Biofarmacevtska družba d.o.o.</w:delText>
              </w:r>
            </w:del>
          </w:p>
          <w:p w14:paraId="1737CE50" w14:textId="77777777" w:rsidR="00AC4204" w:rsidRPr="00BD646C" w:rsidRDefault="00000000" w:rsidP="001F79B0">
            <w:pPr>
              <w:rPr>
                <w:del w:id="12393" w:author="AbbVie1" w:date="2025-05-13T10:11:00Z"/>
                <w:bCs/>
                <w:szCs w:val="22"/>
                <w:lang w:val="sl-SI"/>
              </w:rPr>
            </w:pPr>
            <w:del w:id="12394" w:author="AbbVie1" w:date="2025-05-13T10:11:00Z">
              <w:r w:rsidRPr="00BD646C">
                <w:rPr>
                  <w:bCs/>
                  <w:szCs w:val="22"/>
                  <w:lang w:val="sl-SI"/>
                </w:rPr>
                <w:delText>Tel: +386 (1)32 08 060</w:delText>
              </w:r>
            </w:del>
          </w:p>
          <w:p w14:paraId="52F28DA8" w14:textId="77777777" w:rsidR="00AC4204" w:rsidRPr="00BD646C" w:rsidRDefault="00AC4204" w:rsidP="001F79B0">
            <w:pPr>
              <w:rPr>
                <w:del w:id="12395" w:author="AbbVie1" w:date="2025-05-13T10:11:00Z"/>
                <w:bCs/>
                <w:szCs w:val="22"/>
                <w:lang w:val="sl-SI"/>
              </w:rPr>
            </w:pPr>
          </w:p>
        </w:tc>
      </w:tr>
      <w:tr w:rsidR="00534A2D" w14:paraId="7044C114" w14:textId="77777777" w:rsidTr="001F79B0">
        <w:trPr>
          <w:gridBefore w:val="1"/>
          <w:wBefore w:w="34" w:type="dxa"/>
          <w:del w:id="12396" w:author="AbbVie1" w:date="2025-05-13T10:11:00Z"/>
        </w:trPr>
        <w:tc>
          <w:tcPr>
            <w:tcW w:w="4644" w:type="dxa"/>
            <w:gridSpan w:val="2"/>
          </w:tcPr>
          <w:p w14:paraId="02AB5CD8" w14:textId="77777777" w:rsidR="00AC4204" w:rsidRPr="00BD646C" w:rsidRDefault="00000000" w:rsidP="001F79B0">
            <w:pPr>
              <w:rPr>
                <w:del w:id="12397" w:author="AbbVie1" w:date="2025-05-13T10:11:00Z"/>
                <w:b/>
                <w:bCs/>
                <w:szCs w:val="22"/>
                <w:lang w:val="is-IS"/>
              </w:rPr>
            </w:pPr>
            <w:del w:id="12398" w:author="AbbVie1" w:date="2025-05-13T10:11:00Z">
              <w:r w:rsidRPr="00BD646C">
                <w:rPr>
                  <w:b/>
                  <w:bCs/>
                  <w:szCs w:val="22"/>
                  <w:lang w:val="is-IS"/>
                </w:rPr>
                <w:delText>Ísland</w:delText>
              </w:r>
            </w:del>
          </w:p>
          <w:p w14:paraId="03156F90" w14:textId="77777777" w:rsidR="00AC4204" w:rsidRPr="00BD646C" w:rsidRDefault="00000000" w:rsidP="001F79B0">
            <w:pPr>
              <w:rPr>
                <w:del w:id="12399" w:author="AbbVie1" w:date="2025-05-13T10:11:00Z"/>
                <w:bCs/>
                <w:szCs w:val="22"/>
                <w:lang w:val="sk-SK"/>
              </w:rPr>
            </w:pPr>
            <w:del w:id="12400" w:author="AbbVie1" w:date="2025-05-13T10:11:00Z">
              <w:r w:rsidRPr="00BD646C">
                <w:rPr>
                  <w:bCs/>
                  <w:szCs w:val="22"/>
                  <w:lang w:val="sk-SK"/>
                </w:rPr>
                <w:delText>Vistor hf.</w:delText>
              </w:r>
            </w:del>
          </w:p>
          <w:p w14:paraId="6865976B" w14:textId="77777777" w:rsidR="00AC4204" w:rsidRPr="00BD646C" w:rsidRDefault="00000000" w:rsidP="001F79B0">
            <w:pPr>
              <w:rPr>
                <w:del w:id="12401" w:author="AbbVie1" w:date="2025-05-13T10:11:00Z"/>
                <w:bCs/>
                <w:szCs w:val="22"/>
                <w:lang w:val="sk-SK"/>
              </w:rPr>
            </w:pPr>
            <w:del w:id="12402" w:author="AbbVie1" w:date="2025-05-13T10:11:00Z">
              <w:r w:rsidRPr="00BD646C">
                <w:rPr>
                  <w:bCs/>
                  <w:szCs w:val="22"/>
                  <w:lang w:val="sk-SK"/>
                </w:rPr>
                <w:delText>Tel: +354 535 7000</w:delText>
              </w:r>
            </w:del>
          </w:p>
        </w:tc>
        <w:tc>
          <w:tcPr>
            <w:tcW w:w="4678" w:type="dxa"/>
          </w:tcPr>
          <w:p w14:paraId="1C6EC5E0" w14:textId="77777777" w:rsidR="00AC4204" w:rsidRPr="00BD646C" w:rsidRDefault="00000000" w:rsidP="001F79B0">
            <w:pPr>
              <w:rPr>
                <w:del w:id="12403" w:author="AbbVie1" w:date="2025-05-13T10:11:00Z"/>
                <w:b/>
                <w:bCs/>
                <w:szCs w:val="22"/>
                <w:lang w:val="sk-SK"/>
              </w:rPr>
            </w:pPr>
            <w:del w:id="12404" w:author="AbbVie1" w:date="2025-05-13T10:11:00Z">
              <w:r w:rsidRPr="00BD646C">
                <w:rPr>
                  <w:b/>
                  <w:bCs/>
                  <w:szCs w:val="22"/>
                  <w:lang w:val="sk-SK"/>
                </w:rPr>
                <w:delText>Slovenská republika</w:delText>
              </w:r>
            </w:del>
          </w:p>
          <w:p w14:paraId="60A9E4AF" w14:textId="77777777" w:rsidR="00AC4204" w:rsidRPr="00BD646C" w:rsidRDefault="00000000" w:rsidP="001F79B0">
            <w:pPr>
              <w:rPr>
                <w:del w:id="12405" w:author="AbbVie1" w:date="2025-05-13T10:11:00Z"/>
                <w:bCs/>
                <w:szCs w:val="22"/>
                <w:lang w:val="sk-SK"/>
              </w:rPr>
            </w:pPr>
            <w:del w:id="12406" w:author="AbbVie1" w:date="2025-05-13T10:11:00Z">
              <w:r w:rsidRPr="00BD646C">
                <w:rPr>
                  <w:bCs/>
                  <w:szCs w:val="22"/>
                  <w:lang w:val="sk-SK"/>
                </w:rPr>
                <w:delText>AbbVie s.r.o.</w:delText>
              </w:r>
            </w:del>
          </w:p>
          <w:p w14:paraId="70B70442" w14:textId="77777777" w:rsidR="00AC4204" w:rsidRPr="00BD646C" w:rsidRDefault="00000000" w:rsidP="001F79B0">
            <w:pPr>
              <w:rPr>
                <w:del w:id="12407" w:author="AbbVie1" w:date="2025-05-13T10:11:00Z"/>
                <w:bCs/>
                <w:szCs w:val="22"/>
                <w:lang w:val="sk-SK"/>
              </w:rPr>
            </w:pPr>
            <w:del w:id="12408" w:author="AbbVie1" w:date="2025-05-13T10:11:00Z">
              <w:r w:rsidRPr="00BD646C">
                <w:rPr>
                  <w:bCs/>
                  <w:szCs w:val="22"/>
                  <w:lang w:val="sk-SK"/>
                </w:rPr>
                <w:delText>Tel: +421 2 5050 0777</w:delText>
              </w:r>
            </w:del>
          </w:p>
          <w:p w14:paraId="382B4D64" w14:textId="77777777" w:rsidR="00AC4204" w:rsidRPr="00BD646C" w:rsidRDefault="00AC4204" w:rsidP="001F79B0">
            <w:pPr>
              <w:rPr>
                <w:del w:id="12409" w:author="AbbVie1" w:date="2025-05-13T10:11:00Z"/>
                <w:bCs/>
                <w:szCs w:val="22"/>
                <w:lang w:val="sk-SK"/>
              </w:rPr>
            </w:pPr>
          </w:p>
        </w:tc>
      </w:tr>
      <w:tr w:rsidR="00534A2D" w14:paraId="6503F4A7" w14:textId="77777777" w:rsidTr="001F79B0">
        <w:trPr>
          <w:gridBefore w:val="1"/>
          <w:wBefore w:w="34" w:type="dxa"/>
          <w:del w:id="12410" w:author="AbbVie1" w:date="2025-05-13T10:11:00Z"/>
        </w:trPr>
        <w:tc>
          <w:tcPr>
            <w:tcW w:w="4644" w:type="dxa"/>
            <w:gridSpan w:val="2"/>
          </w:tcPr>
          <w:p w14:paraId="18B00E9C" w14:textId="77777777" w:rsidR="00AC4204" w:rsidRPr="005B1CF3" w:rsidRDefault="00000000" w:rsidP="001F79B0">
            <w:pPr>
              <w:rPr>
                <w:del w:id="12411" w:author="AbbVie1" w:date="2025-05-13T10:11:00Z"/>
                <w:b/>
                <w:bCs/>
                <w:szCs w:val="22"/>
                <w:rPrChange w:id="12412" w:author="Abbvie02" w:date="2025-05-16T11:16:00Z">
                  <w:rPr>
                    <w:del w:id="12413" w:author="AbbVie1" w:date="2025-05-13T10:11:00Z"/>
                    <w:b/>
                    <w:bCs/>
                    <w:szCs w:val="22"/>
                    <w:lang w:val="it-IT"/>
                  </w:rPr>
                </w:rPrChange>
              </w:rPr>
            </w:pPr>
            <w:del w:id="12414" w:author="AbbVie1" w:date="2025-05-13T10:11:00Z">
              <w:r w:rsidRPr="005B1CF3">
                <w:rPr>
                  <w:b/>
                  <w:bCs/>
                  <w:szCs w:val="22"/>
                  <w:rPrChange w:id="12415" w:author="Abbvie02" w:date="2025-05-16T11:16:00Z">
                    <w:rPr>
                      <w:b/>
                      <w:bCs/>
                      <w:szCs w:val="22"/>
                      <w:lang w:val="it-IT"/>
                    </w:rPr>
                  </w:rPrChange>
                </w:rPr>
                <w:delText>Italia</w:delText>
              </w:r>
            </w:del>
          </w:p>
          <w:p w14:paraId="352D3157" w14:textId="77777777" w:rsidR="00AC4204" w:rsidRPr="00BD646C" w:rsidRDefault="00000000" w:rsidP="001F79B0">
            <w:pPr>
              <w:rPr>
                <w:del w:id="12416" w:author="AbbVie1" w:date="2025-05-13T10:11:00Z"/>
                <w:bCs/>
                <w:szCs w:val="22"/>
                <w:lang w:val="pt-PT"/>
              </w:rPr>
            </w:pPr>
            <w:del w:id="12417" w:author="AbbVie1" w:date="2025-05-13T10:11:00Z">
              <w:r w:rsidRPr="00BD646C">
                <w:rPr>
                  <w:bCs/>
                  <w:szCs w:val="22"/>
                  <w:lang w:val="pt-PT"/>
                </w:rPr>
                <w:delText xml:space="preserve">AbbVie S.r.l. </w:delText>
              </w:r>
            </w:del>
          </w:p>
          <w:p w14:paraId="21CAB910" w14:textId="77777777" w:rsidR="00AC4204" w:rsidRPr="00BD646C" w:rsidRDefault="00000000" w:rsidP="001F79B0">
            <w:pPr>
              <w:rPr>
                <w:del w:id="12418" w:author="AbbVie1" w:date="2025-05-13T10:11:00Z"/>
                <w:bCs/>
                <w:szCs w:val="22"/>
                <w:lang w:val="fi-FI"/>
              </w:rPr>
            </w:pPr>
            <w:del w:id="12419" w:author="AbbVie1" w:date="2025-05-13T10:11:00Z">
              <w:r w:rsidRPr="00BD646C">
                <w:rPr>
                  <w:bCs/>
                  <w:szCs w:val="22"/>
                  <w:lang w:val="fr-FR"/>
                </w:rPr>
                <w:delText>Tel: +39 06 928921</w:delText>
              </w:r>
            </w:del>
          </w:p>
        </w:tc>
        <w:tc>
          <w:tcPr>
            <w:tcW w:w="4678" w:type="dxa"/>
          </w:tcPr>
          <w:p w14:paraId="792A6836" w14:textId="77777777" w:rsidR="00AC4204" w:rsidRPr="00BD646C" w:rsidRDefault="00000000" w:rsidP="001F79B0">
            <w:pPr>
              <w:rPr>
                <w:del w:id="12420" w:author="AbbVie1" w:date="2025-05-13T10:11:00Z"/>
                <w:b/>
                <w:bCs/>
                <w:szCs w:val="22"/>
                <w:lang w:val="fi-FI"/>
              </w:rPr>
            </w:pPr>
            <w:del w:id="12421" w:author="AbbVie1" w:date="2025-05-13T10:11:00Z">
              <w:r w:rsidRPr="00BD646C">
                <w:rPr>
                  <w:b/>
                  <w:bCs/>
                  <w:szCs w:val="22"/>
                  <w:lang w:val="fi-FI"/>
                </w:rPr>
                <w:delText>Suomi/Finland</w:delText>
              </w:r>
            </w:del>
          </w:p>
          <w:p w14:paraId="6AECD1CE" w14:textId="77777777" w:rsidR="00AC4204" w:rsidRPr="00BD646C" w:rsidRDefault="00000000" w:rsidP="001F79B0">
            <w:pPr>
              <w:rPr>
                <w:del w:id="12422" w:author="AbbVie1" w:date="2025-05-13T10:11:00Z"/>
                <w:bCs/>
                <w:szCs w:val="22"/>
                <w:lang w:val="de-CH"/>
              </w:rPr>
            </w:pPr>
            <w:del w:id="12423" w:author="AbbVie1" w:date="2025-05-13T10:11:00Z">
              <w:r w:rsidRPr="00BD646C">
                <w:rPr>
                  <w:bCs/>
                  <w:szCs w:val="22"/>
                  <w:lang w:val="sk-SK"/>
                </w:rPr>
                <w:delText>AbbVie Oy</w:delText>
              </w:r>
            </w:del>
          </w:p>
          <w:p w14:paraId="1A39C526" w14:textId="77777777" w:rsidR="00AC4204" w:rsidRPr="00BD646C" w:rsidRDefault="00000000" w:rsidP="001F79B0">
            <w:pPr>
              <w:rPr>
                <w:del w:id="12424" w:author="AbbVie1" w:date="2025-05-13T10:11:00Z"/>
                <w:bCs/>
                <w:szCs w:val="22"/>
                <w:lang w:val="sk-SK"/>
              </w:rPr>
            </w:pPr>
            <w:del w:id="12425" w:author="AbbVie1" w:date="2025-05-13T10:11:00Z">
              <w:r w:rsidRPr="00BD646C">
                <w:rPr>
                  <w:bCs/>
                  <w:szCs w:val="22"/>
                  <w:lang w:val="sk-SK"/>
                </w:rPr>
                <w:delText>Puh/Tel: +358 (0)10 2411 200</w:delText>
              </w:r>
            </w:del>
          </w:p>
          <w:p w14:paraId="354CF947" w14:textId="77777777" w:rsidR="00AC4204" w:rsidRPr="00BD646C" w:rsidRDefault="00AC4204" w:rsidP="001F79B0">
            <w:pPr>
              <w:rPr>
                <w:del w:id="12426" w:author="AbbVie1" w:date="2025-05-13T10:11:00Z"/>
                <w:szCs w:val="22"/>
                <w:lang w:val="sk-SK"/>
              </w:rPr>
            </w:pPr>
          </w:p>
        </w:tc>
      </w:tr>
      <w:tr w:rsidR="00534A2D" w14:paraId="08CA4F9F" w14:textId="77777777" w:rsidTr="001F79B0">
        <w:trPr>
          <w:gridBefore w:val="1"/>
          <w:wBefore w:w="34" w:type="dxa"/>
          <w:cantSplit/>
          <w:trHeight w:val="887"/>
          <w:del w:id="12427" w:author="AbbVie1" w:date="2025-05-13T10:11:00Z"/>
        </w:trPr>
        <w:tc>
          <w:tcPr>
            <w:tcW w:w="4644" w:type="dxa"/>
            <w:gridSpan w:val="2"/>
          </w:tcPr>
          <w:p w14:paraId="63CD9F08" w14:textId="77777777" w:rsidR="00AC4204" w:rsidRPr="00BD646C" w:rsidRDefault="00000000" w:rsidP="001F79B0">
            <w:pPr>
              <w:rPr>
                <w:del w:id="12428" w:author="AbbVie1" w:date="2025-05-13T10:11:00Z"/>
                <w:b/>
                <w:bCs/>
                <w:szCs w:val="22"/>
                <w:lang w:val="el-GR"/>
              </w:rPr>
            </w:pPr>
            <w:del w:id="12429" w:author="AbbVie1" w:date="2025-05-13T10:11:00Z">
              <w:r w:rsidRPr="00BD646C">
                <w:rPr>
                  <w:b/>
                  <w:bCs/>
                  <w:szCs w:val="22"/>
                  <w:lang w:val="el-GR"/>
                </w:rPr>
                <w:delText>Κύπρος</w:delText>
              </w:r>
            </w:del>
          </w:p>
          <w:p w14:paraId="625AD31E" w14:textId="77777777" w:rsidR="00AC4204" w:rsidRPr="00BD646C" w:rsidRDefault="00000000" w:rsidP="001F79B0">
            <w:pPr>
              <w:rPr>
                <w:del w:id="12430" w:author="AbbVie1" w:date="2025-05-13T10:11:00Z"/>
                <w:bCs/>
                <w:szCs w:val="22"/>
                <w:lang w:val="el-GR"/>
              </w:rPr>
            </w:pPr>
            <w:del w:id="12431" w:author="AbbVie1" w:date="2025-05-13T10:11:00Z">
              <w:r w:rsidRPr="00BD646C">
                <w:rPr>
                  <w:bCs/>
                  <w:szCs w:val="22"/>
                  <w:lang w:val="sk-SK"/>
                </w:rPr>
                <w:delText xml:space="preserve">Lifepharma (Z.A.M.) </w:delText>
              </w:r>
              <w:r w:rsidRPr="005B1CF3">
                <w:rPr>
                  <w:bCs/>
                  <w:szCs w:val="22"/>
                  <w:rPrChange w:id="12432" w:author="Abbvie02" w:date="2025-05-16T11:16:00Z">
                    <w:rPr>
                      <w:bCs/>
                      <w:szCs w:val="22"/>
                      <w:lang w:val="it-IT"/>
                    </w:rPr>
                  </w:rPrChange>
                </w:rPr>
                <w:delText>Ltd</w:delText>
              </w:r>
            </w:del>
          </w:p>
          <w:p w14:paraId="5161FE3D" w14:textId="77777777" w:rsidR="00AC4204" w:rsidRPr="00BD646C" w:rsidRDefault="00000000" w:rsidP="001F79B0">
            <w:pPr>
              <w:rPr>
                <w:del w:id="12433" w:author="AbbVie1" w:date="2025-05-13T10:11:00Z"/>
                <w:bCs/>
                <w:szCs w:val="22"/>
                <w:lang w:val="lv-LV"/>
              </w:rPr>
            </w:pPr>
            <w:del w:id="12434" w:author="AbbVie1" w:date="2025-05-13T10:11:00Z">
              <w:r w:rsidRPr="00BD646C">
                <w:rPr>
                  <w:bCs/>
                  <w:szCs w:val="22"/>
                  <w:lang w:val="el-GR"/>
                </w:rPr>
                <w:delText>Τηλ.: +357 22 34 74 40</w:delText>
              </w:r>
            </w:del>
          </w:p>
        </w:tc>
        <w:tc>
          <w:tcPr>
            <w:tcW w:w="4678" w:type="dxa"/>
          </w:tcPr>
          <w:p w14:paraId="376349EB" w14:textId="77777777" w:rsidR="00AC4204" w:rsidRPr="00BD646C" w:rsidRDefault="00000000" w:rsidP="001F79B0">
            <w:pPr>
              <w:rPr>
                <w:del w:id="12435" w:author="AbbVie1" w:date="2025-05-13T10:11:00Z"/>
                <w:b/>
                <w:bCs/>
                <w:szCs w:val="22"/>
                <w:lang w:val="sk-SK"/>
              </w:rPr>
            </w:pPr>
            <w:del w:id="12436" w:author="AbbVie1" w:date="2025-05-13T10:11:00Z">
              <w:r w:rsidRPr="00BD646C">
                <w:rPr>
                  <w:b/>
                  <w:bCs/>
                  <w:szCs w:val="22"/>
                  <w:lang w:val="sk-SK"/>
                </w:rPr>
                <w:delText>Sverige</w:delText>
              </w:r>
            </w:del>
          </w:p>
          <w:p w14:paraId="77179B74" w14:textId="77777777" w:rsidR="00AC4204" w:rsidRPr="00BD646C" w:rsidRDefault="00000000" w:rsidP="001F79B0">
            <w:pPr>
              <w:rPr>
                <w:del w:id="12437" w:author="AbbVie1" w:date="2025-05-13T10:11:00Z"/>
                <w:bCs/>
                <w:szCs w:val="22"/>
                <w:lang w:val="pt-PT"/>
              </w:rPr>
            </w:pPr>
            <w:del w:id="12438" w:author="AbbVie1" w:date="2025-05-13T10:11:00Z">
              <w:r w:rsidRPr="00BD646C">
                <w:rPr>
                  <w:bCs/>
                  <w:szCs w:val="22"/>
                  <w:lang w:val="pt-PT"/>
                </w:rPr>
                <w:delText>AbbVie AB</w:delText>
              </w:r>
            </w:del>
          </w:p>
          <w:p w14:paraId="5FB39E3C" w14:textId="77777777" w:rsidR="00AC4204" w:rsidRPr="00BD646C" w:rsidRDefault="00000000" w:rsidP="001F79B0">
            <w:pPr>
              <w:rPr>
                <w:del w:id="12439" w:author="AbbVie1" w:date="2025-05-13T10:11:00Z"/>
                <w:bCs/>
                <w:szCs w:val="22"/>
                <w:lang w:val="sk-SK"/>
              </w:rPr>
            </w:pPr>
            <w:del w:id="12440" w:author="AbbVie1" w:date="2025-05-13T10:11:00Z">
              <w:r w:rsidRPr="00BD646C">
                <w:rPr>
                  <w:bCs/>
                  <w:szCs w:val="22"/>
                  <w:lang w:val="da-DK"/>
                </w:rPr>
                <w:delText>Tel: +46 (0)8 684 44 600</w:delText>
              </w:r>
            </w:del>
          </w:p>
        </w:tc>
      </w:tr>
      <w:tr w:rsidR="00534A2D" w14:paraId="2D837274" w14:textId="77777777" w:rsidTr="001F79B0">
        <w:trPr>
          <w:gridBefore w:val="1"/>
          <w:wBefore w:w="34" w:type="dxa"/>
          <w:cantSplit/>
          <w:trHeight w:val="761"/>
          <w:del w:id="12441" w:author="AbbVie1" w:date="2025-05-13T10:11:00Z"/>
        </w:trPr>
        <w:tc>
          <w:tcPr>
            <w:tcW w:w="4644" w:type="dxa"/>
            <w:gridSpan w:val="2"/>
          </w:tcPr>
          <w:p w14:paraId="545D48D9" w14:textId="77777777" w:rsidR="00AC4204" w:rsidRPr="00BD646C" w:rsidRDefault="00000000" w:rsidP="001F79B0">
            <w:pPr>
              <w:rPr>
                <w:del w:id="12442" w:author="AbbVie1" w:date="2025-05-13T10:11:00Z"/>
                <w:b/>
                <w:bCs/>
                <w:szCs w:val="22"/>
                <w:lang w:val="lv-LV"/>
              </w:rPr>
            </w:pPr>
            <w:del w:id="12443" w:author="AbbVie1" w:date="2025-05-13T10:11:00Z">
              <w:r w:rsidRPr="00BD646C">
                <w:rPr>
                  <w:b/>
                  <w:bCs/>
                  <w:szCs w:val="22"/>
                  <w:lang w:val="lv-LV"/>
                </w:rPr>
                <w:delText>Latvija</w:delText>
              </w:r>
            </w:del>
          </w:p>
          <w:p w14:paraId="19C08E9E" w14:textId="77777777" w:rsidR="00AC4204" w:rsidRPr="00BD646C" w:rsidRDefault="00000000" w:rsidP="001F79B0">
            <w:pPr>
              <w:rPr>
                <w:del w:id="12444" w:author="AbbVie1" w:date="2025-05-13T10:11:00Z"/>
                <w:bCs/>
                <w:szCs w:val="22"/>
                <w:lang w:val="lv-LV"/>
              </w:rPr>
            </w:pPr>
            <w:del w:id="12445" w:author="AbbVie1" w:date="2025-05-13T10:11:00Z">
              <w:r w:rsidRPr="00BD646C">
                <w:rPr>
                  <w:bCs/>
                  <w:szCs w:val="22"/>
                  <w:lang w:val="lv-LV"/>
                </w:rPr>
                <w:delText xml:space="preserve">AbbVie SIA </w:delText>
              </w:r>
            </w:del>
          </w:p>
          <w:p w14:paraId="0B2BF874" w14:textId="77777777" w:rsidR="00AC4204" w:rsidRPr="00BD646C" w:rsidRDefault="00000000" w:rsidP="001F79B0">
            <w:pPr>
              <w:rPr>
                <w:del w:id="12446" w:author="AbbVie1" w:date="2025-05-13T10:11:00Z"/>
                <w:bCs/>
                <w:szCs w:val="22"/>
                <w:lang w:val="lv-LV"/>
              </w:rPr>
            </w:pPr>
            <w:del w:id="12447" w:author="AbbVie1" w:date="2025-05-13T10:11:00Z">
              <w:r w:rsidRPr="00BD646C">
                <w:rPr>
                  <w:bCs/>
                  <w:szCs w:val="22"/>
                  <w:lang w:val="lv-LV"/>
                </w:rPr>
                <w:delText>Tel: +371 67605000</w:delText>
              </w:r>
            </w:del>
          </w:p>
        </w:tc>
        <w:tc>
          <w:tcPr>
            <w:tcW w:w="4678" w:type="dxa"/>
          </w:tcPr>
          <w:p w14:paraId="30E71E55" w14:textId="77777777" w:rsidR="00AC4204" w:rsidRPr="00BD646C" w:rsidRDefault="00AC4204" w:rsidP="001F79B0">
            <w:pPr>
              <w:rPr>
                <w:del w:id="12448" w:author="AbbVie1" w:date="2025-05-13T10:11:00Z"/>
                <w:b/>
                <w:bCs/>
                <w:szCs w:val="22"/>
                <w:lang w:val="sk-SK"/>
              </w:rPr>
            </w:pPr>
          </w:p>
        </w:tc>
      </w:tr>
    </w:tbl>
    <w:p w14:paraId="26CAA23C" w14:textId="77777777" w:rsidR="00073F8F" w:rsidRPr="001B4A02" w:rsidRDefault="00073F8F" w:rsidP="00ED48A3">
      <w:pPr>
        <w:ind w:left="0" w:firstLine="0"/>
        <w:rPr>
          <w:del w:id="12449" w:author="AbbVie1" w:date="2025-05-13T10:11:00Z"/>
        </w:rPr>
      </w:pPr>
    </w:p>
    <w:p w14:paraId="46BEA652" w14:textId="77777777" w:rsidR="00073F8F" w:rsidRPr="001B4A02" w:rsidRDefault="00000000" w:rsidP="00ED48A3">
      <w:pPr>
        <w:ind w:left="0" w:firstLine="0"/>
        <w:rPr>
          <w:del w:id="12450" w:author="AbbVie1" w:date="2025-05-13T10:11:00Z"/>
          <w:b/>
        </w:rPr>
      </w:pPr>
      <w:del w:id="12451" w:author="AbbVie1" w:date="2025-05-13T10:11:00Z">
        <w:r w:rsidRPr="001B4A02">
          <w:rPr>
            <w:b/>
          </w:rPr>
          <w:delText xml:space="preserve">Tato příbalová informace byla naposledy </w:delText>
        </w:r>
        <w:r w:rsidR="002363CB" w:rsidRPr="001B4A02">
          <w:rPr>
            <w:b/>
          </w:rPr>
          <w:delText>revidována</w:delText>
        </w:r>
        <w:r w:rsidR="00E0127A" w:rsidRPr="001B4A02">
          <w:rPr>
            <w:b/>
          </w:rPr>
          <w:delText xml:space="preserve"> v</w:delText>
        </w:r>
        <w:r w:rsidR="00CD59CE">
          <w:rPr>
            <w:b/>
          </w:rPr>
          <w:delText> </w:delText>
        </w:r>
      </w:del>
    </w:p>
    <w:p w14:paraId="1AFF7F6B" w14:textId="77777777" w:rsidR="00361B67" w:rsidRPr="001B4A02" w:rsidRDefault="00361B67" w:rsidP="00ED48A3">
      <w:pPr>
        <w:ind w:left="0" w:firstLine="0"/>
        <w:rPr>
          <w:del w:id="12452" w:author="AbbVie1" w:date="2025-05-13T10:11:00Z"/>
        </w:rPr>
      </w:pPr>
    </w:p>
    <w:p w14:paraId="56C7E75D" w14:textId="77777777" w:rsidR="00361B67" w:rsidRPr="001B4A02" w:rsidRDefault="00000000" w:rsidP="003242C9">
      <w:pPr>
        <w:ind w:left="0" w:firstLine="0"/>
        <w:rPr>
          <w:del w:id="12453" w:author="AbbVie1" w:date="2025-05-13T10:11:00Z"/>
        </w:rPr>
      </w:pPr>
      <w:del w:id="12454" w:author="AbbVie1" w:date="2025-05-13T10:11:00Z">
        <w:r w:rsidRPr="001B4A02">
          <w:delText>Podrobné informace o</w:delText>
        </w:r>
        <w:r w:rsidR="00063784" w:rsidRPr="001B4A02">
          <w:delText> </w:delText>
        </w:r>
        <w:r w:rsidRPr="001B4A02">
          <w:delText>tomto léčivém přípravku jsou k</w:delText>
        </w:r>
        <w:r w:rsidR="007930C0" w:rsidRPr="001B4A02">
          <w:delText> </w:delText>
        </w:r>
        <w:r w:rsidRPr="001B4A02">
          <w:delText xml:space="preserve">dispozici na webových stránkách Evropské </w:delText>
        </w:r>
        <w:r w:rsidRPr="001B4A02">
          <w:rPr>
            <w:szCs w:val="22"/>
          </w:rPr>
          <w:delText xml:space="preserve">agentury pro léčivé přípravky </w:delText>
        </w:r>
        <w:r w:rsidRPr="001B4A02">
          <w:delText>http://www.ema.europa.eu.</w:delText>
        </w:r>
      </w:del>
    </w:p>
    <w:p w14:paraId="4E03BD2A" w14:textId="77777777" w:rsidR="001C5DD4" w:rsidRPr="001B4A02" w:rsidRDefault="001C5DD4" w:rsidP="00ED48A3">
      <w:pPr>
        <w:ind w:left="0" w:firstLine="0"/>
        <w:rPr>
          <w:del w:id="12455" w:author="AbbVie1" w:date="2025-05-13T10:11:00Z"/>
        </w:rPr>
      </w:pPr>
    </w:p>
    <w:p w14:paraId="007CE10F" w14:textId="77777777" w:rsidR="00D2784C" w:rsidRPr="001B4A02" w:rsidRDefault="00000000" w:rsidP="00ED48A3">
      <w:pPr>
        <w:ind w:left="0" w:firstLine="0"/>
        <w:rPr>
          <w:del w:id="12456" w:author="AbbVie1" w:date="2025-05-13T10:11:00Z"/>
          <w:b/>
          <w:color w:val="000000"/>
        </w:rPr>
      </w:pPr>
      <w:del w:id="12457" w:author="AbbVie1" w:date="2025-05-13T10:11:00Z">
        <w:r w:rsidRPr="001B4A02">
          <w:rPr>
            <w:b/>
            <w:bCs/>
            <w:color w:val="000000"/>
          </w:rPr>
          <w:delText>Chcete-li si tuto příbalovou informaci poslechnout, nebo chcete-li si vyžádat její kopii v Braillově písmu, velkým tiskem nebo ve formě audionahrávky,</w:delText>
        </w:r>
        <w:r w:rsidRPr="001B4A02">
          <w:rPr>
            <w:b/>
            <w:color w:val="000000"/>
          </w:rPr>
          <w:delText xml:space="preserve"> kontaktujte místního zástupce držitele rozhodnutí o registraci.</w:delText>
        </w:r>
      </w:del>
    </w:p>
    <w:p w14:paraId="51D2A609" w14:textId="77777777" w:rsidR="001E322F" w:rsidRPr="001B4A02" w:rsidRDefault="00000000" w:rsidP="001E322F">
      <w:pPr>
        <w:pStyle w:val="EMEANormal"/>
        <w:tabs>
          <w:tab w:val="clear" w:pos="562"/>
        </w:tabs>
        <w:suppressAutoHyphens w:val="0"/>
        <w:rPr>
          <w:lang w:val="cs-CZ"/>
        </w:rPr>
      </w:pPr>
      <w:r w:rsidRPr="001B4A02">
        <w:rPr>
          <w:b/>
          <w:lang w:val="cs-CZ"/>
        </w:rPr>
        <w:br w:type="page"/>
      </w:r>
    </w:p>
    <w:p w14:paraId="193879D8" w14:textId="77777777" w:rsidR="00073F8F" w:rsidRPr="001B4A02" w:rsidRDefault="00000000" w:rsidP="00ED48A3">
      <w:pPr>
        <w:ind w:left="0" w:firstLine="0"/>
        <w:jc w:val="center"/>
        <w:rPr>
          <w:del w:id="12458" w:author="AbbVie1" w:date="2025-05-13T10:11:00Z"/>
          <w:b/>
        </w:rPr>
      </w:pPr>
      <w:del w:id="12459" w:author="AbbVie1" w:date="2025-05-13T10:11:00Z">
        <w:r w:rsidRPr="001B4A02">
          <w:rPr>
            <w:b/>
          </w:rPr>
          <w:delText>Příbalová informace: informace pro pacienta</w:delText>
        </w:r>
      </w:del>
    </w:p>
    <w:p w14:paraId="26A718DB" w14:textId="77777777" w:rsidR="00073F8F" w:rsidRPr="001B4A02" w:rsidRDefault="00073F8F" w:rsidP="00ED48A3">
      <w:pPr>
        <w:ind w:left="0" w:firstLine="0"/>
        <w:jc w:val="center"/>
        <w:rPr>
          <w:del w:id="12460" w:author="AbbVie1" w:date="2025-05-13T10:11:00Z"/>
          <w:b/>
        </w:rPr>
      </w:pPr>
    </w:p>
    <w:p w14:paraId="737144AD" w14:textId="77777777" w:rsidR="00073F8F" w:rsidRPr="001B4A02" w:rsidRDefault="00000000" w:rsidP="004B14C0">
      <w:pPr>
        <w:ind w:left="0" w:firstLine="0"/>
        <w:jc w:val="center"/>
        <w:outlineLvl w:val="0"/>
        <w:rPr>
          <w:del w:id="12461" w:author="AbbVie1" w:date="2025-05-13T10:11:00Z"/>
          <w:b/>
        </w:rPr>
      </w:pPr>
      <w:del w:id="12462" w:author="AbbVie1" w:date="2025-05-13T10:11:00Z">
        <w:r w:rsidRPr="001B4A02">
          <w:rPr>
            <w:b/>
          </w:rPr>
          <w:delText>Humira 40 mg injekční roztok v předplněném peru</w:delText>
        </w:r>
      </w:del>
    </w:p>
    <w:p w14:paraId="5B6486C0" w14:textId="77777777" w:rsidR="00073F8F" w:rsidRPr="001B4A02" w:rsidRDefault="00000000" w:rsidP="00ED48A3">
      <w:pPr>
        <w:ind w:left="0" w:firstLine="0"/>
        <w:jc w:val="center"/>
        <w:rPr>
          <w:del w:id="12463" w:author="AbbVie1" w:date="2025-05-13T10:11:00Z"/>
          <w:bCs/>
        </w:rPr>
      </w:pPr>
      <w:del w:id="12464" w:author="AbbVie1" w:date="2025-05-13T10:11:00Z">
        <w:r w:rsidRPr="001B4A02">
          <w:rPr>
            <w:bCs/>
          </w:rPr>
          <w:delText>adalimumabum</w:delText>
        </w:r>
      </w:del>
    </w:p>
    <w:p w14:paraId="3A924ECA" w14:textId="77777777" w:rsidR="00073F8F" w:rsidRPr="001B4A02" w:rsidRDefault="00073F8F" w:rsidP="00ED48A3">
      <w:pPr>
        <w:ind w:left="0" w:firstLine="0"/>
        <w:rPr>
          <w:del w:id="12465" w:author="AbbVie1" w:date="2025-05-13T10:11:00Z"/>
        </w:rPr>
      </w:pPr>
    </w:p>
    <w:p w14:paraId="19E56976" w14:textId="77777777" w:rsidR="00073F8F" w:rsidRPr="001B4A02" w:rsidRDefault="00000000" w:rsidP="00ED48A3">
      <w:pPr>
        <w:ind w:left="0" w:firstLine="0"/>
        <w:rPr>
          <w:del w:id="12466" w:author="AbbVie1" w:date="2025-05-13T10:11:00Z"/>
          <w:b/>
        </w:rPr>
      </w:pPr>
      <w:del w:id="12467" w:author="AbbVie1" w:date="2025-05-13T10:11:00Z">
        <w:r w:rsidRPr="001B4A02">
          <w:rPr>
            <w:b/>
          </w:rPr>
          <w:delText xml:space="preserve">Přečtěte si pozorně celou příbalovou informaci dříve, než začnete tento přípravek </w:delText>
        </w:r>
        <w:r w:rsidR="00CA32C1" w:rsidRPr="001B4A02">
          <w:rPr>
            <w:b/>
          </w:rPr>
          <w:delText>po</w:delText>
        </w:r>
        <w:r w:rsidRPr="001B4A02">
          <w:rPr>
            <w:b/>
          </w:rPr>
          <w:delText>užívat</w:delText>
        </w:r>
        <w:r w:rsidR="00521F02" w:rsidRPr="001B4A02">
          <w:rPr>
            <w:b/>
          </w:rPr>
          <w:delText>, protože obsahuje pro Vás důležité údaje</w:delText>
        </w:r>
        <w:r w:rsidRPr="001B4A02">
          <w:rPr>
            <w:b/>
          </w:rPr>
          <w:delText>.</w:delText>
        </w:r>
      </w:del>
    </w:p>
    <w:p w14:paraId="110B91B0" w14:textId="77777777" w:rsidR="00073F8F" w:rsidRPr="001B4A02" w:rsidRDefault="00000000" w:rsidP="00ED48A3">
      <w:pPr>
        <w:rPr>
          <w:del w:id="12468" w:author="AbbVie1" w:date="2025-05-13T10:11:00Z"/>
        </w:rPr>
      </w:pPr>
      <w:del w:id="12469" w:author="AbbVie1" w:date="2025-05-13T10:11:00Z">
        <w:r w:rsidRPr="001B4A02">
          <w:delText>-</w:delText>
        </w:r>
        <w:r w:rsidRPr="001B4A02">
          <w:tab/>
          <w:delText>Ponechte si příbalovou informaci pro případ, že si ji budete potřebovat přečíst znovu.</w:delText>
        </w:r>
      </w:del>
    </w:p>
    <w:p w14:paraId="03E0BACC" w14:textId="77777777" w:rsidR="00073F8F" w:rsidRPr="001B4A02" w:rsidRDefault="00000000" w:rsidP="00ED48A3">
      <w:pPr>
        <w:rPr>
          <w:del w:id="12470" w:author="AbbVie1" w:date="2025-05-13T10:11:00Z"/>
        </w:rPr>
      </w:pPr>
      <w:del w:id="12471" w:author="AbbVie1" w:date="2025-05-13T10:11:00Z">
        <w:r w:rsidRPr="001B4A02">
          <w:delText>-</w:delText>
        </w:r>
        <w:r w:rsidRPr="001B4A02">
          <w:tab/>
          <w:delText xml:space="preserve">Váš lékař </w:delText>
        </w:r>
        <w:r w:rsidR="007F5AA6" w:rsidRPr="001B4A02">
          <w:delText>V</w:delText>
        </w:r>
        <w:r w:rsidRPr="001B4A02">
          <w:delText>ám rovněž vyd</w:delText>
        </w:r>
        <w:r w:rsidR="00A75551" w:rsidRPr="001B4A02">
          <w:delText>á</w:delText>
        </w:r>
        <w:r w:rsidRPr="001B4A02">
          <w:delText xml:space="preserve"> informační kartičku, která obsahuje důležité bezpečnostní informace, se kterými musíte být seznámen(a) před zahájením </w:delText>
        </w:r>
        <w:r w:rsidR="00CA32C1" w:rsidRPr="001B4A02">
          <w:delText xml:space="preserve">léčby přípravkem </w:delText>
        </w:r>
        <w:r w:rsidRPr="001B4A02">
          <w:delText>Humira</w:delText>
        </w:r>
        <w:r w:rsidR="002378E0">
          <w:delText xml:space="preserve"> a </w:delText>
        </w:r>
        <w:r w:rsidRPr="001B4A02">
          <w:delText>během léčby tímto lékem. Mějte tuto informační kartičku vždy při sobě.</w:delText>
        </w:r>
      </w:del>
    </w:p>
    <w:p w14:paraId="5F6ADDE1" w14:textId="77777777" w:rsidR="00073F8F" w:rsidRPr="001B4A02" w:rsidRDefault="00000000" w:rsidP="00ED48A3">
      <w:pPr>
        <w:rPr>
          <w:del w:id="12472" w:author="AbbVie1" w:date="2025-05-13T10:11:00Z"/>
        </w:rPr>
      </w:pPr>
      <w:del w:id="12473" w:author="AbbVie1" w:date="2025-05-13T10:11:00Z">
        <w:r w:rsidRPr="001B4A02">
          <w:delText>-</w:delText>
        </w:r>
        <w:r w:rsidRPr="001B4A02">
          <w:tab/>
          <w:delText>Máte-li jakékoli další otázky, zeptejte se svého lékaře nebo lékárníka.</w:delText>
        </w:r>
      </w:del>
    </w:p>
    <w:p w14:paraId="21CEDC4E" w14:textId="77777777" w:rsidR="00073F8F" w:rsidRPr="001B4A02" w:rsidRDefault="00000000" w:rsidP="00ED48A3">
      <w:pPr>
        <w:numPr>
          <w:ilvl w:val="0"/>
          <w:numId w:val="1"/>
        </w:numPr>
        <w:ind w:left="567" w:hanging="567"/>
        <w:rPr>
          <w:del w:id="12474" w:author="AbbVie1" w:date="2025-05-13T10:11:00Z"/>
        </w:rPr>
      </w:pPr>
      <w:del w:id="12475" w:author="AbbVie1" w:date="2025-05-13T10:11:00Z">
        <w:r w:rsidRPr="001B4A02">
          <w:delText xml:space="preserve">Tento přípravek byl předepsán </w:delText>
        </w:r>
        <w:r w:rsidR="00521F02" w:rsidRPr="001B4A02">
          <w:delText xml:space="preserve">výhradně </w:delText>
        </w:r>
        <w:r w:rsidRPr="001B4A02">
          <w:delText>Vám. Nedávejte jej žádné další osobě. Mohl by jí ublížit</w:delText>
        </w:r>
        <w:r w:rsidR="00EC1112" w:rsidRPr="001B4A02">
          <w:delText>,</w:delText>
        </w:r>
        <w:r w:rsidR="002378E0">
          <w:delText xml:space="preserve"> a </w:delText>
        </w:r>
        <w:r w:rsidRPr="001B4A02">
          <w:delText xml:space="preserve">to i tehdy, má-li stejné </w:delText>
        </w:r>
        <w:r w:rsidR="00521F02" w:rsidRPr="001B4A02">
          <w:delText>známky onemocnění</w:delText>
        </w:r>
        <w:r w:rsidRPr="001B4A02">
          <w:delText xml:space="preserve"> jako Vy.</w:delText>
        </w:r>
      </w:del>
    </w:p>
    <w:p w14:paraId="17E64E77" w14:textId="77777777" w:rsidR="00073F8F" w:rsidRPr="001B4A02" w:rsidRDefault="00000000" w:rsidP="00ED48A3">
      <w:pPr>
        <w:numPr>
          <w:ilvl w:val="0"/>
          <w:numId w:val="1"/>
        </w:numPr>
        <w:ind w:left="567" w:hanging="567"/>
        <w:rPr>
          <w:del w:id="12476" w:author="AbbVie1" w:date="2025-05-13T10:11:00Z"/>
        </w:rPr>
      </w:pPr>
      <w:del w:id="12477" w:author="AbbVie1" w:date="2025-05-13T10:11:00Z">
        <w:r w:rsidRPr="001B4A02">
          <w:delText>Pokud se</w:delText>
        </w:r>
        <w:r w:rsidR="003600BE" w:rsidRPr="001B4A02">
          <w:delText xml:space="preserve"> u </w:delText>
        </w:r>
        <w:r w:rsidR="00521F02" w:rsidRPr="001B4A02">
          <w:delText xml:space="preserve">Vás vyskytne </w:delText>
        </w:r>
        <w:r w:rsidRPr="001B4A02">
          <w:delText>kterýkoli z nežádoucích účinků, sdělte to svému lékaři nebo lékárníkovi.</w:delText>
        </w:r>
        <w:r w:rsidR="00521F02" w:rsidRPr="001B4A02">
          <w:delText xml:space="preserve"> Stejně postupujte v případě jakýchkoli nežádoucích účinků, které nejsou uvedeny v této příbalové informaci</w:delText>
        </w:r>
        <w:r w:rsidR="00344A1F" w:rsidRPr="001B4A02">
          <w:delText>.</w:delText>
        </w:r>
        <w:r w:rsidR="005F59C4" w:rsidRPr="001B4A02">
          <w:delText xml:space="preserve"> </w:delText>
        </w:r>
        <w:r w:rsidR="00344A1F" w:rsidRPr="001B4A02">
          <w:delText>V</w:delText>
        </w:r>
        <w:r w:rsidR="005F59C4" w:rsidRPr="001B4A02">
          <w:delText>iz bod 4</w:delText>
        </w:r>
        <w:r w:rsidR="00521F02" w:rsidRPr="001B4A02">
          <w:delText>.</w:delText>
        </w:r>
      </w:del>
    </w:p>
    <w:p w14:paraId="795CF28F" w14:textId="77777777" w:rsidR="00073F8F" w:rsidRPr="001B4A02" w:rsidRDefault="00073F8F" w:rsidP="00ED48A3">
      <w:pPr>
        <w:ind w:left="0" w:firstLine="0"/>
        <w:rPr>
          <w:del w:id="12478" w:author="AbbVie1" w:date="2025-05-13T10:11:00Z"/>
        </w:rPr>
      </w:pPr>
    </w:p>
    <w:p w14:paraId="7DD25527" w14:textId="77777777" w:rsidR="00073F8F" w:rsidRPr="001B4A02" w:rsidRDefault="00000000" w:rsidP="0009084E">
      <w:pPr>
        <w:numPr>
          <w:ilvl w:val="12"/>
          <w:numId w:val="0"/>
        </w:numPr>
        <w:rPr>
          <w:del w:id="12479" w:author="AbbVie1" w:date="2025-05-13T10:11:00Z"/>
        </w:rPr>
      </w:pPr>
      <w:del w:id="12480" w:author="AbbVie1" w:date="2025-05-13T10:11:00Z">
        <w:r w:rsidRPr="001B4A02">
          <w:rPr>
            <w:b/>
          </w:rPr>
          <w:delText>Co naleznete v této příbalové informaci</w:delText>
        </w:r>
      </w:del>
    </w:p>
    <w:p w14:paraId="0919A717" w14:textId="77777777" w:rsidR="00073F8F" w:rsidRPr="001B4A02" w:rsidRDefault="00000000" w:rsidP="00ED48A3">
      <w:pPr>
        <w:ind w:left="0" w:right="-29" w:firstLine="0"/>
        <w:rPr>
          <w:del w:id="12481" w:author="AbbVie1" w:date="2025-05-13T10:11:00Z"/>
        </w:rPr>
      </w:pPr>
      <w:del w:id="12482" w:author="AbbVie1" w:date="2025-05-13T10:11:00Z">
        <w:r w:rsidRPr="001B4A02">
          <w:delText>1.</w:delText>
        </w:r>
        <w:r w:rsidRPr="001B4A02">
          <w:tab/>
          <w:delText xml:space="preserve">Co je </w:delText>
        </w:r>
        <w:r w:rsidR="00521F02" w:rsidRPr="001B4A02">
          <w:delText xml:space="preserve">přípravek </w:delText>
        </w:r>
        <w:r w:rsidRPr="001B4A02">
          <w:delText>Humira</w:delText>
        </w:r>
        <w:r w:rsidR="002378E0">
          <w:delText xml:space="preserve"> a </w:delText>
        </w:r>
        <w:r w:rsidRPr="001B4A02">
          <w:delText>k čemu se používá</w:delText>
        </w:r>
      </w:del>
    </w:p>
    <w:p w14:paraId="382BE2D1" w14:textId="77777777" w:rsidR="00073F8F" w:rsidRPr="001B4A02" w:rsidRDefault="00000000" w:rsidP="00ED48A3">
      <w:pPr>
        <w:ind w:left="0" w:right="-29" w:firstLine="0"/>
        <w:rPr>
          <w:del w:id="12483" w:author="AbbVie1" w:date="2025-05-13T10:11:00Z"/>
        </w:rPr>
      </w:pPr>
      <w:del w:id="12484" w:author="AbbVie1" w:date="2025-05-13T10:11:00Z">
        <w:r w:rsidRPr="001B4A02">
          <w:delText>2.</w:delText>
        </w:r>
        <w:r w:rsidRPr="001B4A02">
          <w:tab/>
          <w:delText xml:space="preserve">Čemu musíte věnovat pozornost, než začnete přípravek Humira </w:delText>
        </w:r>
        <w:r w:rsidR="00375B03" w:rsidRPr="001B4A02">
          <w:delText>po</w:delText>
        </w:r>
        <w:r w:rsidRPr="001B4A02">
          <w:delText xml:space="preserve">užívat </w:delText>
        </w:r>
      </w:del>
    </w:p>
    <w:p w14:paraId="06A92E04" w14:textId="77777777" w:rsidR="00073F8F" w:rsidRPr="001B4A02" w:rsidRDefault="00000000" w:rsidP="00ED48A3">
      <w:pPr>
        <w:ind w:left="0" w:right="-29" w:firstLine="0"/>
        <w:rPr>
          <w:del w:id="12485" w:author="AbbVie1" w:date="2025-05-13T10:11:00Z"/>
        </w:rPr>
      </w:pPr>
      <w:del w:id="12486" w:author="AbbVie1" w:date="2025-05-13T10:11:00Z">
        <w:r w:rsidRPr="001B4A02">
          <w:delText>3.</w:delText>
        </w:r>
        <w:r w:rsidRPr="001B4A02">
          <w:tab/>
          <w:delText xml:space="preserve">Jak se </w:delText>
        </w:r>
        <w:r w:rsidR="00264669" w:rsidRPr="001B4A02">
          <w:delText xml:space="preserve">přípravek </w:delText>
        </w:r>
        <w:r w:rsidRPr="001B4A02">
          <w:delText xml:space="preserve">Humira </w:delText>
        </w:r>
        <w:r w:rsidR="00375B03" w:rsidRPr="001B4A02">
          <w:delText>po</w:delText>
        </w:r>
        <w:r w:rsidRPr="001B4A02">
          <w:delText xml:space="preserve">užívá </w:delText>
        </w:r>
      </w:del>
    </w:p>
    <w:p w14:paraId="23570AE0" w14:textId="77777777" w:rsidR="00073F8F" w:rsidRPr="001B4A02" w:rsidRDefault="00000000" w:rsidP="00ED48A3">
      <w:pPr>
        <w:ind w:left="0" w:right="-29" w:firstLine="0"/>
        <w:rPr>
          <w:del w:id="12487" w:author="AbbVie1" w:date="2025-05-13T10:11:00Z"/>
        </w:rPr>
      </w:pPr>
      <w:del w:id="12488" w:author="AbbVie1" w:date="2025-05-13T10:11:00Z">
        <w:r w:rsidRPr="001B4A02">
          <w:delText>4.</w:delText>
        </w:r>
        <w:r w:rsidRPr="001B4A02">
          <w:tab/>
          <w:delText>Možné nežádoucí účinky</w:delText>
        </w:r>
      </w:del>
    </w:p>
    <w:p w14:paraId="5D48E86C" w14:textId="77777777" w:rsidR="00073F8F" w:rsidRPr="001B4A02" w:rsidRDefault="00000000" w:rsidP="00ED48A3">
      <w:pPr>
        <w:ind w:left="0" w:right="-29" w:firstLine="0"/>
        <w:rPr>
          <w:del w:id="12489" w:author="AbbVie1" w:date="2025-05-13T10:11:00Z"/>
        </w:rPr>
      </w:pPr>
      <w:del w:id="12490" w:author="AbbVie1" w:date="2025-05-13T10:11:00Z">
        <w:r w:rsidRPr="001B4A02">
          <w:delText>5</w:delText>
        </w:r>
        <w:r w:rsidR="000E5CFA" w:rsidRPr="001B4A02">
          <w:delText>.</w:delText>
        </w:r>
        <w:r w:rsidRPr="001B4A02">
          <w:tab/>
          <w:delText>Jak přípravek Humira uchovávat</w:delText>
        </w:r>
      </w:del>
    </w:p>
    <w:p w14:paraId="51096827" w14:textId="77777777" w:rsidR="00073F8F" w:rsidRPr="001B4A02" w:rsidRDefault="00000000" w:rsidP="00ED48A3">
      <w:pPr>
        <w:ind w:left="0" w:right="-29" w:firstLine="0"/>
        <w:rPr>
          <w:del w:id="12491" w:author="AbbVie1" w:date="2025-05-13T10:11:00Z"/>
        </w:rPr>
      </w:pPr>
      <w:del w:id="12492" w:author="AbbVie1" w:date="2025-05-13T10:11:00Z">
        <w:r w:rsidRPr="001B4A02">
          <w:delText>6.</w:delText>
        </w:r>
        <w:r w:rsidRPr="001B4A02">
          <w:tab/>
        </w:r>
        <w:r w:rsidR="00521F02" w:rsidRPr="001B4A02">
          <w:delText>Obsah balení</w:delText>
        </w:r>
        <w:r w:rsidR="002378E0">
          <w:delText xml:space="preserve"> a </w:delText>
        </w:r>
        <w:r w:rsidR="00521F02" w:rsidRPr="001B4A02">
          <w:delText>d</w:delText>
        </w:r>
        <w:r w:rsidRPr="001B4A02">
          <w:delText>alší informace</w:delText>
        </w:r>
      </w:del>
    </w:p>
    <w:p w14:paraId="70ED6FBD" w14:textId="77777777" w:rsidR="00073F8F" w:rsidRPr="001B4A02" w:rsidRDefault="00073F8F" w:rsidP="00ED48A3">
      <w:pPr>
        <w:ind w:left="0" w:firstLine="0"/>
        <w:rPr>
          <w:del w:id="12493" w:author="AbbVie1" w:date="2025-05-13T10:11:00Z"/>
        </w:rPr>
      </w:pPr>
    </w:p>
    <w:p w14:paraId="5FE4A21D" w14:textId="77777777" w:rsidR="00073F8F" w:rsidRPr="001B4A02" w:rsidRDefault="00073F8F" w:rsidP="00ED48A3">
      <w:pPr>
        <w:ind w:left="0" w:firstLine="0"/>
        <w:rPr>
          <w:del w:id="12494" w:author="AbbVie1" w:date="2025-05-13T10:11:00Z"/>
        </w:rPr>
      </w:pPr>
    </w:p>
    <w:p w14:paraId="612C277F" w14:textId="77777777" w:rsidR="00073F8F" w:rsidRPr="001B4A02" w:rsidRDefault="00000000" w:rsidP="004D0686">
      <w:pPr>
        <w:numPr>
          <w:ilvl w:val="12"/>
          <w:numId w:val="0"/>
        </w:numPr>
        <w:ind w:left="567" w:hanging="567"/>
        <w:outlineLvl w:val="1"/>
        <w:rPr>
          <w:del w:id="12495" w:author="AbbVie1" w:date="2025-05-13T10:11:00Z"/>
          <w:b/>
        </w:rPr>
      </w:pPr>
      <w:del w:id="12496" w:author="AbbVie1" w:date="2025-05-13T10:11:00Z">
        <w:r w:rsidRPr="001B4A02">
          <w:rPr>
            <w:b/>
          </w:rPr>
          <w:delText>1.</w:delText>
        </w:r>
        <w:r w:rsidRPr="001B4A02">
          <w:rPr>
            <w:b/>
          </w:rPr>
          <w:tab/>
          <w:delText>C</w:delText>
        </w:r>
        <w:r w:rsidR="00521F02" w:rsidRPr="001B4A02">
          <w:rPr>
            <w:b/>
          </w:rPr>
          <w:delText>o je přípravek Humira</w:delText>
        </w:r>
        <w:r w:rsidR="002378E0">
          <w:rPr>
            <w:b/>
          </w:rPr>
          <w:delText xml:space="preserve"> a </w:delText>
        </w:r>
        <w:r w:rsidR="00521F02" w:rsidRPr="001B4A02">
          <w:rPr>
            <w:b/>
          </w:rPr>
          <w:delText>k čemu se používá</w:delText>
        </w:r>
      </w:del>
    </w:p>
    <w:p w14:paraId="75F421BA" w14:textId="77777777" w:rsidR="007F7787" w:rsidRPr="001B4A02" w:rsidRDefault="007F7787" w:rsidP="007F7787">
      <w:pPr>
        <w:ind w:left="0" w:firstLine="0"/>
        <w:rPr>
          <w:del w:id="12497" w:author="AbbVie1" w:date="2025-05-13T10:11:00Z"/>
        </w:rPr>
      </w:pPr>
    </w:p>
    <w:p w14:paraId="31BEE0AC" w14:textId="77777777" w:rsidR="00A94BD7" w:rsidRPr="001B4A02" w:rsidRDefault="00000000" w:rsidP="00ED48A3">
      <w:pPr>
        <w:ind w:left="0" w:firstLine="0"/>
        <w:rPr>
          <w:del w:id="12498" w:author="AbbVie1" w:date="2025-05-13T10:11:00Z"/>
        </w:rPr>
      </w:pPr>
      <w:del w:id="12499" w:author="AbbVie1" w:date="2025-05-13T10:11:00Z">
        <w:r w:rsidRPr="001B4A02">
          <w:delText>Příp</w:delText>
        </w:r>
        <w:r w:rsidR="00E91CB6" w:rsidRPr="001B4A02">
          <w:delText>r</w:delText>
        </w:r>
        <w:r w:rsidRPr="001B4A02">
          <w:delText xml:space="preserve">avek Humira obsahuje léčivou látku adalimumab. </w:delText>
        </w:r>
      </w:del>
    </w:p>
    <w:p w14:paraId="02BDE2F5" w14:textId="77777777" w:rsidR="00521F02" w:rsidRPr="001B4A02" w:rsidRDefault="00521F02" w:rsidP="00ED48A3">
      <w:pPr>
        <w:ind w:left="0" w:firstLine="0"/>
        <w:rPr>
          <w:del w:id="12500" w:author="AbbVie1" w:date="2025-05-13T10:11:00Z"/>
        </w:rPr>
      </w:pPr>
    </w:p>
    <w:p w14:paraId="49B87485" w14:textId="77777777" w:rsidR="00A94BD7" w:rsidRPr="001B4A02" w:rsidRDefault="00000000" w:rsidP="00A94BD7">
      <w:pPr>
        <w:ind w:left="0" w:firstLine="0"/>
        <w:rPr>
          <w:del w:id="12501" w:author="AbbVie1" w:date="2025-05-13T10:11:00Z"/>
        </w:rPr>
      </w:pPr>
      <w:del w:id="12502" w:author="AbbVie1" w:date="2025-05-13T10:11:00Z">
        <w:r w:rsidRPr="001B4A02">
          <w:delText>Přípravek Humira je určen k léčbě zánětlivých onemocnění popsaných níže:</w:delText>
        </w:r>
      </w:del>
    </w:p>
    <w:p w14:paraId="445AEFE7" w14:textId="77777777" w:rsidR="00A94BD7" w:rsidRPr="001B4A02" w:rsidRDefault="00000000" w:rsidP="00A94BD7">
      <w:pPr>
        <w:numPr>
          <w:ilvl w:val="0"/>
          <w:numId w:val="59"/>
        </w:numPr>
        <w:tabs>
          <w:tab w:val="clear" w:pos="720"/>
        </w:tabs>
        <w:ind w:left="426" w:hanging="426"/>
        <w:rPr>
          <w:del w:id="12503" w:author="AbbVie1" w:date="2025-05-13T10:11:00Z"/>
        </w:rPr>
      </w:pPr>
      <w:del w:id="12504" w:author="AbbVie1" w:date="2025-05-13T10:11:00Z">
        <w:r w:rsidRPr="001B4A02">
          <w:delText>revmatoidní artritida</w:delText>
        </w:r>
      </w:del>
    </w:p>
    <w:p w14:paraId="6FB25CBD" w14:textId="77777777" w:rsidR="00A94BD7" w:rsidRPr="001B4A02" w:rsidRDefault="00000000" w:rsidP="00A94BD7">
      <w:pPr>
        <w:numPr>
          <w:ilvl w:val="0"/>
          <w:numId w:val="59"/>
        </w:numPr>
        <w:tabs>
          <w:tab w:val="clear" w:pos="720"/>
        </w:tabs>
        <w:ind w:left="426" w:hanging="426"/>
        <w:rPr>
          <w:del w:id="12505" w:author="AbbVie1" w:date="2025-05-13T10:11:00Z"/>
        </w:rPr>
      </w:pPr>
      <w:del w:id="12506" w:author="AbbVie1" w:date="2025-05-13T10:11:00Z">
        <w:r w:rsidRPr="001B4A02">
          <w:delText>polyartikulární juvenilní idiopatická artritida</w:delText>
        </w:r>
      </w:del>
    </w:p>
    <w:p w14:paraId="289CA71D" w14:textId="77777777" w:rsidR="00A94BD7" w:rsidRPr="001B4A02" w:rsidRDefault="00000000" w:rsidP="00A94BD7">
      <w:pPr>
        <w:numPr>
          <w:ilvl w:val="0"/>
          <w:numId w:val="59"/>
        </w:numPr>
        <w:tabs>
          <w:tab w:val="clear" w:pos="720"/>
        </w:tabs>
        <w:ind w:left="426" w:hanging="426"/>
        <w:rPr>
          <w:del w:id="12507" w:author="AbbVie1" w:date="2025-05-13T10:11:00Z"/>
        </w:rPr>
      </w:pPr>
      <w:del w:id="12508" w:author="AbbVie1" w:date="2025-05-13T10:11:00Z">
        <w:r w:rsidRPr="001B4A02">
          <w:delText>entezopatická artritida</w:delText>
        </w:r>
      </w:del>
    </w:p>
    <w:p w14:paraId="1CC3BF1B" w14:textId="77777777" w:rsidR="00A94BD7" w:rsidRPr="001B4A02" w:rsidRDefault="00000000" w:rsidP="00A94BD7">
      <w:pPr>
        <w:numPr>
          <w:ilvl w:val="0"/>
          <w:numId w:val="59"/>
        </w:numPr>
        <w:tabs>
          <w:tab w:val="clear" w:pos="720"/>
        </w:tabs>
        <w:ind w:left="426" w:hanging="426"/>
        <w:rPr>
          <w:del w:id="12509" w:author="AbbVie1" w:date="2025-05-13T10:11:00Z"/>
        </w:rPr>
      </w:pPr>
      <w:del w:id="12510" w:author="AbbVie1" w:date="2025-05-13T10:11:00Z">
        <w:r w:rsidRPr="001B4A02">
          <w:delText>ankylozující spondylitida</w:delText>
        </w:r>
      </w:del>
    </w:p>
    <w:p w14:paraId="1C8731CC" w14:textId="77777777" w:rsidR="00A94BD7" w:rsidRPr="001B4A02" w:rsidRDefault="00000000" w:rsidP="00A94BD7">
      <w:pPr>
        <w:numPr>
          <w:ilvl w:val="0"/>
          <w:numId w:val="59"/>
        </w:numPr>
        <w:tabs>
          <w:tab w:val="clear" w:pos="720"/>
        </w:tabs>
        <w:ind w:left="426" w:hanging="426"/>
        <w:rPr>
          <w:del w:id="12511" w:author="AbbVie1" w:date="2025-05-13T10:11:00Z"/>
        </w:rPr>
      </w:pPr>
      <w:del w:id="12512" w:author="AbbVie1" w:date="2025-05-13T10:11:00Z">
        <w:r w:rsidRPr="001B4A02">
          <w:delText>axiální spondylartritida bez radiologického průkazu ankylozující spondylitidy</w:delText>
        </w:r>
      </w:del>
    </w:p>
    <w:p w14:paraId="098E216D" w14:textId="77777777" w:rsidR="00A94BD7" w:rsidRPr="001B4A02" w:rsidRDefault="00000000" w:rsidP="00A94BD7">
      <w:pPr>
        <w:numPr>
          <w:ilvl w:val="0"/>
          <w:numId w:val="59"/>
        </w:numPr>
        <w:tabs>
          <w:tab w:val="clear" w:pos="720"/>
        </w:tabs>
        <w:ind w:left="426" w:hanging="426"/>
        <w:rPr>
          <w:del w:id="12513" w:author="AbbVie1" w:date="2025-05-13T10:11:00Z"/>
        </w:rPr>
      </w:pPr>
      <w:del w:id="12514" w:author="AbbVie1" w:date="2025-05-13T10:11:00Z">
        <w:r w:rsidRPr="001B4A02">
          <w:delText>psoriatická artritida</w:delText>
        </w:r>
      </w:del>
    </w:p>
    <w:p w14:paraId="2CA4FC8F" w14:textId="77777777" w:rsidR="00A94BD7" w:rsidRPr="001B4A02" w:rsidRDefault="00000000" w:rsidP="00A94BD7">
      <w:pPr>
        <w:numPr>
          <w:ilvl w:val="0"/>
          <w:numId w:val="59"/>
        </w:numPr>
        <w:tabs>
          <w:tab w:val="clear" w:pos="720"/>
        </w:tabs>
        <w:ind w:left="426" w:hanging="426"/>
        <w:rPr>
          <w:del w:id="12515" w:author="AbbVie1" w:date="2025-05-13T10:11:00Z"/>
        </w:rPr>
      </w:pPr>
      <w:del w:id="12516" w:author="AbbVie1" w:date="2025-05-13T10:11:00Z">
        <w:r w:rsidRPr="001B4A02">
          <w:delText>psoriáza</w:delText>
        </w:r>
      </w:del>
    </w:p>
    <w:p w14:paraId="5079C8FF" w14:textId="77777777" w:rsidR="00A94BD7" w:rsidRPr="001B4A02" w:rsidRDefault="00000000" w:rsidP="00A94BD7">
      <w:pPr>
        <w:numPr>
          <w:ilvl w:val="0"/>
          <w:numId w:val="59"/>
        </w:numPr>
        <w:tabs>
          <w:tab w:val="clear" w:pos="720"/>
        </w:tabs>
        <w:ind w:left="426" w:hanging="426"/>
        <w:rPr>
          <w:del w:id="12517" w:author="AbbVie1" w:date="2025-05-13T10:11:00Z"/>
        </w:rPr>
      </w:pPr>
      <w:del w:id="12518" w:author="AbbVie1" w:date="2025-05-13T10:11:00Z">
        <w:r w:rsidRPr="001B4A02">
          <w:delText>hidradenitis suppurativa</w:delText>
        </w:r>
      </w:del>
    </w:p>
    <w:p w14:paraId="6B20D0AD" w14:textId="77777777" w:rsidR="00A94BD7" w:rsidRPr="001B4A02" w:rsidRDefault="00000000" w:rsidP="00A94BD7">
      <w:pPr>
        <w:numPr>
          <w:ilvl w:val="0"/>
          <w:numId w:val="59"/>
        </w:numPr>
        <w:tabs>
          <w:tab w:val="clear" w:pos="720"/>
        </w:tabs>
        <w:ind w:left="426" w:hanging="426"/>
        <w:rPr>
          <w:del w:id="12519" w:author="AbbVie1" w:date="2025-05-13T10:11:00Z"/>
        </w:rPr>
      </w:pPr>
      <w:del w:id="12520" w:author="AbbVie1" w:date="2025-05-13T10:11:00Z">
        <w:r w:rsidRPr="001B4A02">
          <w:delText>Crohnova choroba</w:delText>
        </w:r>
      </w:del>
    </w:p>
    <w:p w14:paraId="64F26838" w14:textId="77777777" w:rsidR="00A94BD7" w:rsidRPr="001B4A02" w:rsidRDefault="00000000" w:rsidP="00A94BD7">
      <w:pPr>
        <w:numPr>
          <w:ilvl w:val="0"/>
          <w:numId w:val="59"/>
        </w:numPr>
        <w:tabs>
          <w:tab w:val="clear" w:pos="720"/>
        </w:tabs>
        <w:ind w:left="426" w:hanging="426"/>
        <w:rPr>
          <w:del w:id="12521" w:author="AbbVie1" w:date="2025-05-13T10:11:00Z"/>
        </w:rPr>
      </w:pPr>
      <w:del w:id="12522" w:author="AbbVie1" w:date="2025-05-13T10:11:00Z">
        <w:r w:rsidRPr="001B4A02">
          <w:delText>ulcerózní kolitida</w:delText>
        </w:r>
      </w:del>
    </w:p>
    <w:p w14:paraId="4295116C" w14:textId="77777777" w:rsidR="00A94BD7" w:rsidRPr="001B4A02" w:rsidRDefault="00000000" w:rsidP="00A94BD7">
      <w:pPr>
        <w:numPr>
          <w:ilvl w:val="0"/>
          <w:numId w:val="59"/>
        </w:numPr>
        <w:tabs>
          <w:tab w:val="clear" w:pos="720"/>
        </w:tabs>
        <w:ind w:left="426" w:hanging="426"/>
        <w:rPr>
          <w:del w:id="12523" w:author="AbbVie1" w:date="2025-05-13T10:11:00Z"/>
        </w:rPr>
      </w:pPr>
      <w:del w:id="12524" w:author="AbbVie1" w:date="2025-05-13T10:11:00Z">
        <w:r w:rsidRPr="001B4A02">
          <w:delText>neinfekční uveitida</w:delText>
        </w:r>
      </w:del>
    </w:p>
    <w:p w14:paraId="6BCA3758" w14:textId="77777777" w:rsidR="00A94BD7" w:rsidRPr="001B4A02" w:rsidRDefault="00A94BD7" w:rsidP="00A94BD7">
      <w:pPr>
        <w:ind w:left="0" w:firstLine="0"/>
        <w:rPr>
          <w:del w:id="12525" w:author="AbbVie1" w:date="2025-05-13T10:11:00Z"/>
        </w:rPr>
      </w:pPr>
    </w:p>
    <w:p w14:paraId="47BA2660" w14:textId="77777777" w:rsidR="00A94BD7" w:rsidRPr="001B4A02" w:rsidRDefault="00000000" w:rsidP="00A94BD7">
      <w:pPr>
        <w:rPr>
          <w:del w:id="12526" w:author="AbbVie1" w:date="2025-05-13T10:11:00Z"/>
        </w:rPr>
      </w:pPr>
      <w:del w:id="12527" w:author="AbbVie1" w:date="2025-05-13T10:11:00Z">
        <w:r w:rsidRPr="001B4A02">
          <w:delText>Léčiv</w:delText>
        </w:r>
        <w:r w:rsidR="008B1569" w:rsidRPr="001B4A02">
          <w:delText>á</w:delText>
        </w:r>
        <w:r w:rsidRPr="001B4A02">
          <w:delText xml:space="preserve"> látk</w:delText>
        </w:r>
        <w:r w:rsidR="008B1569" w:rsidRPr="001B4A02">
          <w:delText>a</w:delText>
        </w:r>
        <w:r w:rsidRPr="001B4A02">
          <w:delText xml:space="preserve"> v přípravku Humira</w:delText>
        </w:r>
        <w:r w:rsidR="008B1569" w:rsidRPr="001B4A02">
          <w:delText>,</w:delText>
        </w:r>
        <w:r w:rsidRPr="001B4A02">
          <w:delText xml:space="preserve"> adalimumab, je lidská monoklonální protilátka.</w:delText>
        </w:r>
      </w:del>
    </w:p>
    <w:p w14:paraId="4B5F1102" w14:textId="77777777" w:rsidR="00A94BD7" w:rsidRPr="001B4A02" w:rsidRDefault="00000000" w:rsidP="00A94BD7">
      <w:pPr>
        <w:rPr>
          <w:del w:id="12528" w:author="AbbVie1" w:date="2025-05-13T10:11:00Z"/>
        </w:rPr>
      </w:pPr>
      <w:del w:id="12529" w:author="AbbVie1" w:date="2025-05-13T10:11:00Z">
        <w:r w:rsidRPr="001B4A02">
          <w:delText xml:space="preserve">Monoklonální protilátky jsou bílkoviny, které se váží na specifický cíl. </w:delText>
        </w:r>
      </w:del>
    </w:p>
    <w:p w14:paraId="191C554B" w14:textId="77777777" w:rsidR="00A94BD7" w:rsidRPr="001B4A02" w:rsidRDefault="00A94BD7" w:rsidP="00A94BD7">
      <w:pPr>
        <w:rPr>
          <w:del w:id="12530" w:author="AbbVie1" w:date="2025-05-13T10:11:00Z"/>
        </w:rPr>
      </w:pPr>
    </w:p>
    <w:p w14:paraId="6F00D05F" w14:textId="77777777" w:rsidR="00A94BD7" w:rsidRPr="001B4A02" w:rsidRDefault="00000000" w:rsidP="00ED48A3">
      <w:pPr>
        <w:ind w:left="0" w:firstLine="0"/>
        <w:rPr>
          <w:del w:id="12531" w:author="AbbVie1" w:date="2025-05-13T10:11:00Z"/>
        </w:rPr>
      </w:pPr>
      <w:del w:id="12532" w:author="AbbVie1" w:date="2025-05-13T10:11:00Z">
        <w:r w:rsidRPr="001B4A02">
          <w:delText xml:space="preserve">Cíl pro adalimumab je bílkovina označená jako tumor nekrotizující faktor (TNFα), která </w:delText>
        </w:r>
        <w:r w:rsidRPr="001B4A02">
          <w:rPr>
            <w:color w:val="000000"/>
            <w:szCs w:val="22"/>
          </w:rPr>
          <w:delText>působí v imunitním (obranném) systému</w:delText>
        </w:r>
        <w:r w:rsidR="002378E0">
          <w:rPr>
            <w:color w:val="000000"/>
            <w:szCs w:val="22"/>
          </w:rPr>
          <w:delText xml:space="preserve"> a </w:delText>
        </w:r>
        <w:r w:rsidRPr="001B4A02">
          <w:delText xml:space="preserve">je přítomna ve zvýšených hladinách </w:delText>
        </w:r>
        <w:r w:rsidRPr="001B4A02">
          <w:rPr>
            <w:color w:val="000000"/>
            <w:szCs w:val="22"/>
          </w:rPr>
          <w:delText>při zánětlivých onemocněních uvedených výše. Navázáním na TNFα snižuje přípravek Humira zánětlivý proces u</w:delText>
        </w:r>
        <w:r w:rsidR="00A02FA4" w:rsidRPr="001B4A02">
          <w:rPr>
            <w:color w:val="000000"/>
            <w:szCs w:val="22"/>
          </w:rPr>
          <w:delText> </w:delText>
        </w:r>
        <w:r w:rsidRPr="001B4A02">
          <w:rPr>
            <w:color w:val="000000"/>
            <w:szCs w:val="22"/>
          </w:rPr>
          <w:delText>těchto onemocnění</w:delText>
        </w:r>
        <w:r w:rsidRPr="001B4A02">
          <w:delText>.</w:delText>
        </w:r>
      </w:del>
    </w:p>
    <w:p w14:paraId="0D46BA36" w14:textId="77777777" w:rsidR="00073F8F" w:rsidRPr="001B4A02" w:rsidRDefault="00073F8F" w:rsidP="00ED48A3">
      <w:pPr>
        <w:ind w:left="0" w:firstLine="0"/>
        <w:rPr>
          <w:del w:id="12533" w:author="AbbVie1" w:date="2025-05-13T10:11:00Z"/>
        </w:rPr>
      </w:pPr>
    </w:p>
    <w:p w14:paraId="6D625A18" w14:textId="77777777" w:rsidR="00073F8F" w:rsidRPr="001B4A02" w:rsidRDefault="00000000" w:rsidP="00E5443D">
      <w:pPr>
        <w:pStyle w:val="EMEAHeadingUnderline"/>
        <w:keepNext/>
        <w:tabs>
          <w:tab w:val="clear" w:pos="562"/>
        </w:tabs>
        <w:suppressAutoHyphens w:val="0"/>
        <w:spacing w:beforeLines="0" w:before="0" w:afterLines="0" w:after="0"/>
        <w:rPr>
          <w:del w:id="12534" w:author="AbbVie1" w:date="2025-05-13T10:11:00Z"/>
          <w:lang w:val="cs-CZ"/>
        </w:rPr>
      </w:pPr>
      <w:del w:id="12535" w:author="AbbVie1" w:date="2025-05-13T10:11:00Z">
        <w:r w:rsidRPr="001B4A02">
          <w:rPr>
            <w:lang w:val="cs-CZ"/>
          </w:rPr>
          <w:delText>Revmatoidní artritida</w:delText>
        </w:r>
      </w:del>
    </w:p>
    <w:p w14:paraId="71273890" w14:textId="77777777" w:rsidR="00073F8F" w:rsidRPr="001B4A02" w:rsidRDefault="00073F8F" w:rsidP="00E5443D">
      <w:pPr>
        <w:keepNext/>
        <w:ind w:left="0" w:firstLine="0"/>
        <w:rPr>
          <w:del w:id="12536" w:author="AbbVie1" w:date="2025-05-13T10:11:00Z"/>
        </w:rPr>
      </w:pPr>
    </w:p>
    <w:p w14:paraId="08B1D13F" w14:textId="77777777" w:rsidR="004E10EB" w:rsidRPr="001B4A02" w:rsidRDefault="00000000" w:rsidP="00ED48A3">
      <w:pPr>
        <w:ind w:left="0" w:firstLine="0"/>
        <w:rPr>
          <w:del w:id="12537" w:author="AbbVie1" w:date="2025-05-13T10:11:00Z"/>
        </w:rPr>
      </w:pPr>
      <w:del w:id="12538" w:author="AbbVie1" w:date="2025-05-13T10:11:00Z">
        <w:r w:rsidRPr="001B4A02">
          <w:delText>Revmatoidní artritida je zánětlivé onemocnění kloubů.</w:delText>
        </w:r>
      </w:del>
    </w:p>
    <w:p w14:paraId="28B504C7" w14:textId="77777777" w:rsidR="004E10EB" w:rsidRPr="001B4A02" w:rsidRDefault="004E10EB" w:rsidP="00ED48A3">
      <w:pPr>
        <w:ind w:left="0" w:firstLine="0"/>
        <w:rPr>
          <w:del w:id="12539" w:author="AbbVie1" w:date="2025-05-13T10:11:00Z"/>
        </w:rPr>
      </w:pPr>
    </w:p>
    <w:p w14:paraId="4385042F" w14:textId="77777777" w:rsidR="00073F8F" w:rsidRPr="001B4A02" w:rsidRDefault="00000000" w:rsidP="00ED48A3">
      <w:pPr>
        <w:ind w:left="0" w:firstLine="0"/>
        <w:rPr>
          <w:del w:id="12540" w:author="AbbVie1" w:date="2025-05-13T10:11:00Z"/>
        </w:rPr>
      </w:pPr>
      <w:del w:id="12541" w:author="AbbVie1" w:date="2025-05-13T10:11:00Z">
        <w:r w:rsidRPr="001B4A02">
          <w:delText>Přípravek Humira se používá k léčbě revmatoidní artritidy</w:delText>
        </w:r>
        <w:r w:rsidR="003600BE" w:rsidRPr="001B4A02">
          <w:delText xml:space="preserve"> u </w:delText>
        </w:r>
        <w:r w:rsidRPr="001B4A02">
          <w:delText>dospělých. Pokud máte středně těžkou nebo těžkou aktivní revmatoidní artritidu, můžete nejdříve užívat jiné chorobu modifikující léky, jako je methotrexát. Pokud u </w:delText>
        </w:r>
        <w:r w:rsidR="007F5AA6" w:rsidRPr="001B4A02">
          <w:delText>V</w:delText>
        </w:r>
        <w:r w:rsidRPr="001B4A02">
          <w:delText>ás tyto léky nevyvolají uspokojivou odpověď, pak k léčbě revmatoidní artritidy dostanete přípravek Humira.</w:delText>
        </w:r>
      </w:del>
    </w:p>
    <w:p w14:paraId="60FE5A43" w14:textId="77777777" w:rsidR="00073F8F" w:rsidRPr="001B4A02" w:rsidRDefault="00073F8F" w:rsidP="00ED48A3">
      <w:pPr>
        <w:ind w:left="0" w:firstLine="0"/>
        <w:rPr>
          <w:del w:id="12542" w:author="AbbVie1" w:date="2025-05-13T10:11:00Z"/>
        </w:rPr>
      </w:pPr>
    </w:p>
    <w:p w14:paraId="18D9985B" w14:textId="77777777" w:rsidR="00073F8F" w:rsidRPr="001B4A02" w:rsidRDefault="00000000" w:rsidP="00ED48A3">
      <w:pPr>
        <w:ind w:left="0" w:firstLine="0"/>
        <w:rPr>
          <w:del w:id="12543" w:author="AbbVie1" w:date="2025-05-13T10:11:00Z"/>
        </w:rPr>
      </w:pPr>
      <w:del w:id="12544" w:author="AbbVie1" w:date="2025-05-13T10:11:00Z">
        <w:r w:rsidRPr="001B4A02">
          <w:delText xml:space="preserve">Přípravek Humira je možné použít rovněž k léčbě </w:delText>
        </w:r>
        <w:r w:rsidR="0069682D" w:rsidRPr="001B4A02">
          <w:delText>těžké</w:delText>
        </w:r>
        <w:r w:rsidRPr="001B4A02">
          <w:delText>, aktivní</w:delText>
        </w:r>
        <w:r w:rsidR="002378E0">
          <w:delText xml:space="preserve"> a </w:delText>
        </w:r>
        <w:r w:rsidRPr="001B4A02">
          <w:delText>progresivní revmatoidní artritidy bez předchozí léčby methotrexátem.</w:delText>
        </w:r>
      </w:del>
    </w:p>
    <w:p w14:paraId="6EB690A1" w14:textId="77777777" w:rsidR="00073F8F" w:rsidRPr="001B4A02" w:rsidRDefault="00073F8F" w:rsidP="00ED48A3">
      <w:pPr>
        <w:ind w:left="0" w:firstLine="0"/>
        <w:rPr>
          <w:del w:id="12545" w:author="AbbVie1" w:date="2025-05-13T10:11:00Z"/>
        </w:rPr>
      </w:pPr>
    </w:p>
    <w:p w14:paraId="6CD76BD1" w14:textId="77777777" w:rsidR="00073F8F" w:rsidRPr="001B4A02" w:rsidRDefault="00000000" w:rsidP="00ED48A3">
      <w:pPr>
        <w:ind w:left="0" w:firstLine="0"/>
        <w:rPr>
          <w:del w:id="12546" w:author="AbbVie1" w:date="2025-05-13T10:11:00Z"/>
        </w:rPr>
      </w:pPr>
      <w:del w:id="12547" w:author="AbbVie1" w:date="2025-05-13T10:11:00Z">
        <w:r w:rsidRPr="001B4A02">
          <w:delText>Bylo rovněž prokázáno, že přípravek Humira zpomaluje poškození kloubní chrupavky</w:delText>
        </w:r>
        <w:r w:rsidR="002378E0">
          <w:delText xml:space="preserve"> a </w:delText>
        </w:r>
        <w:r w:rsidRPr="001B4A02">
          <w:delText>kosti způsobené onemocněním</w:delText>
        </w:r>
        <w:r w:rsidR="002378E0">
          <w:delText xml:space="preserve"> a </w:delText>
        </w:r>
        <w:r w:rsidRPr="001B4A02">
          <w:delText>zlepšuje tělesné funkce.</w:delText>
        </w:r>
      </w:del>
    </w:p>
    <w:p w14:paraId="1F503088" w14:textId="77777777" w:rsidR="00073F8F" w:rsidRPr="001B4A02" w:rsidRDefault="00073F8F" w:rsidP="00ED48A3">
      <w:pPr>
        <w:ind w:left="0" w:firstLine="0"/>
        <w:rPr>
          <w:del w:id="12548" w:author="AbbVie1" w:date="2025-05-13T10:11:00Z"/>
        </w:rPr>
      </w:pPr>
    </w:p>
    <w:p w14:paraId="626291C5" w14:textId="77777777" w:rsidR="00073F8F" w:rsidRPr="001B4A02" w:rsidRDefault="00000000" w:rsidP="00ED48A3">
      <w:pPr>
        <w:ind w:left="0" w:firstLine="0"/>
        <w:rPr>
          <w:del w:id="12549" w:author="AbbVie1" w:date="2025-05-13T10:11:00Z"/>
        </w:rPr>
      </w:pPr>
      <w:del w:id="12550" w:author="AbbVie1" w:date="2025-05-13T10:11:00Z">
        <w:r w:rsidRPr="001B4A02">
          <w:delText xml:space="preserve">Přípravek Humira se obvykle používá s methotrexátem. Pokud </w:delText>
        </w:r>
        <w:r w:rsidR="007F5AA6" w:rsidRPr="001B4A02">
          <w:delText>V</w:delText>
        </w:r>
        <w:r w:rsidRPr="001B4A02">
          <w:delText xml:space="preserve">áš lékař určí, že je pro </w:delText>
        </w:r>
        <w:r w:rsidR="007F5AA6" w:rsidRPr="001B4A02">
          <w:delText>V</w:delText>
        </w:r>
        <w:r w:rsidRPr="001B4A02">
          <w:delText>ás methotrexát nevhodný, může se</w:delText>
        </w:r>
        <w:r w:rsidR="00264669" w:rsidRPr="001B4A02">
          <w:delText xml:space="preserve"> přípravek</w:delText>
        </w:r>
        <w:r w:rsidRPr="001B4A02">
          <w:delText xml:space="preserve"> Humira podávat samostatně.</w:delText>
        </w:r>
      </w:del>
    </w:p>
    <w:p w14:paraId="7A7F0D87" w14:textId="77777777" w:rsidR="00073F8F" w:rsidRPr="001B4A02" w:rsidRDefault="00073F8F" w:rsidP="00ED48A3">
      <w:pPr>
        <w:ind w:left="0" w:firstLine="0"/>
        <w:rPr>
          <w:del w:id="12551" w:author="AbbVie1" w:date="2025-05-13T10:11:00Z"/>
        </w:rPr>
      </w:pPr>
    </w:p>
    <w:p w14:paraId="7736E183" w14:textId="77777777" w:rsidR="00073F8F" w:rsidRPr="001B4A02" w:rsidRDefault="00000000" w:rsidP="00E5443D">
      <w:pPr>
        <w:pStyle w:val="EMEAHeadingUnderline"/>
        <w:keepNext/>
        <w:tabs>
          <w:tab w:val="clear" w:pos="562"/>
          <w:tab w:val="left" w:pos="708"/>
        </w:tabs>
        <w:suppressAutoHyphens w:val="0"/>
        <w:spacing w:beforeLines="0" w:before="0" w:afterLines="0" w:after="0"/>
        <w:rPr>
          <w:del w:id="12552" w:author="AbbVie1" w:date="2025-05-13T10:11:00Z"/>
          <w:lang w:val="cs-CZ"/>
        </w:rPr>
      </w:pPr>
      <w:del w:id="12553" w:author="AbbVie1" w:date="2025-05-13T10:11:00Z">
        <w:r w:rsidRPr="001B4A02">
          <w:rPr>
            <w:lang w:val="cs-CZ"/>
          </w:rPr>
          <w:delText>Polyartikulární juvenilní idiopatická artritida</w:delText>
        </w:r>
        <w:r w:rsidR="002378E0">
          <w:rPr>
            <w:lang w:val="cs-CZ"/>
          </w:rPr>
          <w:delText xml:space="preserve"> a </w:delText>
        </w:r>
        <w:r w:rsidR="004B4725" w:rsidRPr="001B4A02">
          <w:rPr>
            <w:lang w:val="cs-CZ"/>
          </w:rPr>
          <w:delText>entezopatická artritida</w:delText>
        </w:r>
      </w:del>
    </w:p>
    <w:p w14:paraId="0F7646F8" w14:textId="77777777" w:rsidR="00073F8F" w:rsidRPr="001B4A02" w:rsidRDefault="00073F8F" w:rsidP="00E5443D">
      <w:pPr>
        <w:keepNext/>
        <w:ind w:left="0" w:firstLine="0"/>
        <w:rPr>
          <w:del w:id="12554" w:author="AbbVie1" w:date="2025-05-13T10:11:00Z"/>
          <w:u w:val="single"/>
        </w:rPr>
      </w:pPr>
    </w:p>
    <w:p w14:paraId="478D4C9E" w14:textId="77777777" w:rsidR="004E10EB" w:rsidRPr="001B4A02" w:rsidRDefault="00000000" w:rsidP="00ED48A3">
      <w:pPr>
        <w:ind w:left="0" w:firstLine="0"/>
        <w:rPr>
          <w:del w:id="12555" w:author="AbbVie1" w:date="2025-05-13T10:11:00Z"/>
        </w:rPr>
      </w:pPr>
      <w:del w:id="12556" w:author="AbbVie1" w:date="2025-05-13T10:11:00Z">
        <w:r w:rsidRPr="001B4A02">
          <w:delText>Polyartikulární juvenilní idiopatická artritida</w:delText>
        </w:r>
        <w:r w:rsidR="002378E0">
          <w:delText xml:space="preserve"> a </w:delText>
        </w:r>
        <w:r w:rsidRPr="001B4A02">
          <w:delText>entezopatická artritida jsou zánětlivá onemocnění.</w:delText>
        </w:r>
      </w:del>
    </w:p>
    <w:p w14:paraId="12C12FE7" w14:textId="77777777" w:rsidR="004E10EB" w:rsidRPr="001B4A02" w:rsidRDefault="004E10EB" w:rsidP="00ED48A3">
      <w:pPr>
        <w:ind w:left="0" w:firstLine="0"/>
        <w:rPr>
          <w:del w:id="12557" w:author="AbbVie1" w:date="2025-05-13T10:11:00Z"/>
          <w:u w:val="single"/>
        </w:rPr>
      </w:pPr>
    </w:p>
    <w:p w14:paraId="185776FB" w14:textId="77777777" w:rsidR="00073F8F" w:rsidRPr="001B4A02" w:rsidRDefault="00000000" w:rsidP="00ED48A3">
      <w:pPr>
        <w:ind w:left="0" w:firstLine="0"/>
        <w:rPr>
          <w:del w:id="12558" w:author="AbbVie1" w:date="2025-05-13T10:11:00Z"/>
        </w:rPr>
      </w:pPr>
      <w:del w:id="12559" w:author="AbbVie1" w:date="2025-05-13T10:11:00Z">
        <w:r w:rsidRPr="001B4A02">
          <w:delText>Přípravek Humira se používá k léčbě polyartikulární juve</w:delText>
        </w:r>
        <w:r w:rsidR="00003540" w:rsidRPr="001B4A02">
          <w:delText>ni</w:delText>
        </w:r>
        <w:r w:rsidRPr="001B4A02">
          <w:delText>lní idiopatické artritidy</w:delText>
        </w:r>
        <w:r w:rsidR="003600BE" w:rsidRPr="001B4A02">
          <w:delText xml:space="preserve"> u </w:delText>
        </w:r>
        <w:r w:rsidRPr="001B4A02">
          <w:delText>dětí</w:delText>
        </w:r>
        <w:r w:rsidR="002378E0">
          <w:delText xml:space="preserve"> a </w:delText>
        </w:r>
        <w:r w:rsidRPr="001B4A02">
          <w:delText>dospívajících od 2 do 17 let</w:delText>
        </w:r>
        <w:r w:rsidR="002378E0">
          <w:delText xml:space="preserve"> a </w:delText>
        </w:r>
        <w:r w:rsidR="004B4725" w:rsidRPr="001B4A02">
          <w:delText>entezopatické artritidy</w:delText>
        </w:r>
        <w:r w:rsidR="003600BE" w:rsidRPr="001B4A02">
          <w:delText xml:space="preserve"> u </w:delText>
        </w:r>
        <w:r w:rsidR="004C3799" w:rsidRPr="001B4A02">
          <w:delText>dětí</w:delText>
        </w:r>
        <w:r w:rsidR="002378E0">
          <w:delText xml:space="preserve"> a </w:delText>
        </w:r>
        <w:r w:rsidR="004C3799" w:rsidRPr="001B4A02">
          <w:delText xml:space="preserve">dospívajících </w:delText>
        </w:r>
        <w:r w:rsidR="00E03D2C" w:rsidRPr="001B4A02">
          <w:delText>od</w:delText>
        </w:r>
        <w:r w:rsidR="004C3799" w:rsidRPr="001B4A02">
          <w:delText xml:space="preserve"> 6 </w:delText>
        </w:r>
        <w:r w:rsidR="00E03D2C" w:rsidRPr="001B4A02">
          <w:delText>do</w:delText>
        </w:r>
        <w:r w:rsidR="004C3799" w:rsidRPr="001B4A02">
          <w:delText xml:space="preserve"> 17 let</w:delText>
        </w:r>
        <w:r w:rsidRPr="001B4A02">
          <w:delText>. Zpočátku můžete užívat jiné chorobu modifikující léky, jako je methotrexát. Pokud</w:delText>
        </w:r>
        <w:r w:rsidR="003600BE" w:rsidRPr="001B4A02">
          <w:delText xml:space="preserve"> u </w:delText>
        </w:r>
        <w:r w:rsidR="007F5AA6" w:rsidRPr="001B4A02">
          <w:delText>V</w:delText>
        </w:r>
        <w:r w:rsidRPr="001B4A02">
          <w:delText>ás tyto léky nevyvolají uspokojivou odpověď, pak k léčbě polyartikulární juvenilní idiopatické artritidy</w:delText>
        </w:r>
        <w:r w:rsidR="004C3799" w:rsidRPr="001B4A02">
          <w:delText xml:space="preserve"> nebo </w:delText>
        </w:r>
        <w:r w:rsidR="004B4725" w:rsidRPr="001B4A02">
          <w:delText>entezopatické artritidy</w:delText>
        </w:r>
        <w:r w:rsidRPr="001B4A02">
          <w:delText xml:space="preserve"> dostanete přípravek Humira.</w:delText>
        </w:r>
      </w:del>
    </w:p>
    <w:p w14:paraId="6E7C284A" w14:textId="77777777" w:rsidR="009A326B" w:rsidRPr="001B4A02" w:rsidRDefault="009A326B" w:rsidP="00ED48A3">
      <w:pPr>
        <w:ind w:left="0" w:firstLine="0"/>
        <w:rPr>
          <w:del w:id="12560" w:author="AbbVie1" w:date="2025-05-13T10:11:00Z"/>
        </w:rPr>
      </w:pPr>
    </w:p>
    <w:p w14:paraId="2C228610" w14:textId="77777777" w:rsidR="00F55893" w:rsidRPr="001B4A02" w:rsidRDefault="00000000" w:rsidP="00E5443D">
      <w:pPr>
        <w:pStyle w:val="EMEAHeadingUnderline"/>
        <w:keepNext/>
        <w:tabs>
          <w:tab w:val="clear" w:pos="562"/>
          <w:tab w:val="left" w:pos="708"/>
        </w:tabs>
        <w:suppressAutoHyphens w:val="0"/>
        <w:spacing w:beforeLines="0" w:before="0" w:afterLines="0" w:after="0"/>
        <w:rPr>
          <w:del w:id="12561" w:author="AbbVie1" w:date="2025-05-13T10:11:00Z"/>
          <w:lang w:val="cs-CZ"/>
        </w:rPr>
      </w:pPr>
      <w:del w:id="12562" w:author="AbbVie1" w:date="2025-05-13T10:11:00Z">
        <w:r w:rsidRPr="001B4A02">
          <w:rPr>
            <w:lang w:val="cs-CZ"/>
          </w:rPr>
          <w:delText>Ankylozující spondylitida</w:delText>
        </w:r>
        <w:r w:rsidR="002378E0">
          <w:rPr>
            <w:lang w:val="cs-CZ"/>
          </w:rPr>
          <w:delText xml:space="preserve"> a </w:delText>
        </w:r>
        <w:r w:rsidR="00936F09" w:rsidRPr="001B4A02">
          <w:rPr>
            <w:lang w:val="cs-CZ"/>
          </w:rPr>
          <w:delText xml:space="preserve">axiální spondylartritida bez radiologického průkazu </w:delText>
        </w:r>
        <w:r w:rsidR="00521F02" w:rsidRPr="001B4A02">
          <w:rPr>
            <w:lang w:val="cs-CZ"/>
          </w:rPr>
          <w:delText>ankylozující spondylitidy</w:delText>
        </w:r>
      </w:del>
    </w:p>
    <w:p w14:paraId="437DCBEF" w14:textId="77777777" w:rsidR="009A326B" w:rsidRPr="001B4A02" w:rsidRDefault="009A326B" w:rsidP="00E5443D">
      <w:pPr>
        <w:pStyle w:val="EMEANormal"/>
        <w:keepNext/>
        <w:rPr>
          <w:del w:id="12563" w:author="AbbVie1" w:date="2025-05-13T10:11:00Z"/>
          <w:lang w:val="cs-CZ"/>
        </w:rPr>
      </w:pPr>
    </w:p>
    <w:p w14:paraId="4C056B89" w14:textId="77777777" w:rsidR="004E10EB" w:rsidRPr="001B4A02" w:rsidRDefault="00000000" w:rsidP="00ED48A3">
      <w:pPr>
        <w:pStyle w:val="EMEANormal"/>
        <w:rPr>
          <w:del w:id="12564" w:author="AbbVie1" w:date="2025-05-13T10:11:00Z"/>
          <w:lang w:val="cs-CZ"/>
        </w:rPr>
      </w:pPr>
      <w:del w:id="12565" w:author="AbbVie1" w:date="2025-05-13T10:11:00Z">
        <w:r w:rsidRPr="001B4A02">
          <w:rPr>
            <w:lang w:val="cs-CZ"/>
          </w:rPr>
          <w:delText>Ankylozující spondylitida</w:delText>
        </w:r>
        <w:r w:rsidR="002378E0">
          <w:rPr>
            <w:lang w:val="cs-CZ"/>
          </w:rPr>
          <w:delText xml:space="preserve"> a </w:delText>
        </w:r>
        <w:r w:rsidRPr="001B4A02">
          <w:rPr>
            <w:lang w:val="cs-CZ"/>
          </w:rPr>
          <w:delText>axiální spondylartritida bez radiologického průkazu ankylozující spondylitidy jsou zánětlivá onemocnění páteře.</w:delText>
        </w:r>
      </w:del>
    </w:p>
    <w:p w14:paraId="06FB4D33" w14:textId="77777777" w:rsidR="004E10EB" w:rsidRPr="001B4A02" w:rsidRDefault="004E10EB" w:rsidP="00ED48A3">
      <w:pPr>
        <w:pStyle w:val="EMEANormal"/>
        <w:rPr>
          <w:del w:id="12566" w:author="AbbVie1" w:date="2025-05-13T10:11:00Z"/>
          <w:lang w:val="cs-CZ"/>
        </w:rPr>
      </w:pPr>
    </w:p>
    <w:p w14:paraId="71CD5C9D" w14:textId="77777777" w:rsidR="00F55893" w:rsidRPr="001B4A02" w:rsidRDefault="00000000" w:rsidP="00ED48A3">
      <w:pPr>
        <w:ind w:left="0" w:firstLine="0"/>
        <w:rPr>
          <w:del w:id="12567" w:author="AbbVie1" w:date="2025-05-13T10:11:00Z"/>
          <w:u w:val="single"/>
        </w:rPr>
      </w:pPr>
      <w:del w:id="12568" w:author="AbbVie1" w:date="2025-05-13T10:11:00Z">
        <w:r w:rsidRPr="001B4A02">
          <w:delText>Přípravek Humira se používá k léčbě ankylozující spondylitidy</w:delText>
        </w:r>
        <w:r w:rsidR="002378E0">
          <w:delText xml:space="preserve"> a </w:delText>
        </w:r>
        <w:r w:rsidRPr="001B4A02">
          <w:delText>axiální spondylartritidy bez radiologického průkazu ankylozující spondylitidy</w:delText>
        </w:r>
        <w:r w:rsidR="003600BE" w:rsidRPr="001B4A02">
          <w:delText xml:space="preserve"> u </w:delText>
        </w:r>
        <w:r w:rsidRPr="001B4A02">
          <w:delText>dospělých. Jestliže trpíte ankylozující spondylitidou</w:delText>
        </w:r>
        <w:r w:rsidR="00936F09" w:rsidRPr="001B4A02">
          <w:delText xml:space="preserve"> nebo axiální spondylartritidou bez radiologického průkazu </w:delText>
        </w:r>
        <w:r w:rsidRPr="001B4A02">
          <w:delText>ankylozující spondylitidy, budou Vám nejprve podávány jiné léky. Pokud</w:delText>
        </w:r>
        <w:r w:rsidR="003600BE" w:rsidRPr="001B4A02">
          <w:delText xml:space="preserve"> u </w:delText>
        </w:r>
        <w:r w:rsidRPr="001B4A02">
          <w:delText>Vás tato léčba nevyvolá uspokojivou odpověď, pak ke zmírnění projevů tohoto onemocnění dostanete přípravek Humira.</w:delText>
        </w:r>
      </w:del>
    </w:p>
    <w:p w14:paraId="6E66F0FD" w14:textId="77777777" w:rsidR="00073F8F" w:rsidRPr="001B4A02" w:rsidRDefault="00073F8F" w:rsidP="00ED48A3">
      <w:pPr>
        <w:rPr>
          <w:del w:id="12569" w:author="AbbVie1" w:date="2025-05-13T10:11:00Z"/>
          <w:u w:val="single"/>
        </w:rPr>
      </w:pPr>
    </w:p>
    <w:p w14:paraId="7E3800C9" w14:textId="77777777" w:rsidR="00073F8F" w:rsidRPr="001B4A02" w:rsidRDefault="00000000" w:rsidP="00E5443D">
      <w:pPr>
        <w:keepNext/>
        <w:rPr>
          <w:del w:id="12570" w:author="AbbVie1" w:date="2025-05-13T10:11:00Z"/>
          <w:u w:val="single"/>
        </w:rPr>
      </w:pPr>
      <w:del w:id="12571" w:author="AbbVie1" w:date="2025-05-13T10:11:00Z">
        <w:r w:rsidRPr="001B4A02">
          <w:rPr>
            <w:u w:val="single"/>
          </w:rPr>
          <w:delText>Psoriatická artritida</w:delText>
        </w:r>
      </w:del>
    </w:p>
    <w:p w14:paraId="458307FE" w14:textId="77777777" w:rsidR="00073F8F" w:rsidRPr="001B4A02" w:rsidRDefault="00073F8F" w:rsidP="00E5443D">
      <w:pPr>
        <w:keepNext/>
        <w:rPr>
          <w:del w:id="12572" w:author="AbbVie1" w:date="2025-05-13T10:11:00Z"/>
        </w:rPr>
      </w:pPr>
    </w:p>
    <w:p w14:paraId="4ED6878B" w14:textId="77777777" w:rsidR="004E10EB" w:rsidRPr="001B4A02" w:rsidRDefault="00000000" w:rsidP="00ED48A3">
      <w:pPr>
        <w:ind w:left="0" w:firstLine="0"/>
        <w:rPr>
          <w:del w:id="12573" w:author="AbbVie1" w:date="2025-05-13T10:11:00Z"/>
        </w:rPr>
      </w:pPr>
      <w:del w:id="12574" w:author="AbbVie1" w:date="2025-05-13T10:11:00Z">
        <w:r w:rsidRPr="001B4A02">
          <w:delText>Psoriatická artritida je zánět kloubů při lupénce (psoriáze).</w:delText>
        </w:r>
      </w:del>
    </w:p>
    <w:p w14:paraId="171ACB65" w14:textId="77777777" w:rsidR="004E10EB" w:rsidRPr="001B4A02" w:rsidRDefault="004E10EB" w:rsidP="00ED48A3">
      <w:pPr>
        <w:rPr>
          <w:del w:id="12575" w:author="AbbVie1" w:date="2025-05-13T10:11:00Z"/>
        </w:rPr>
      </w:pPr>
    </w:p>
    <w:p w14:paraId="79F9AABE" w14:textId="77777777" w:rsidR="00073F8F" w:rsidRPr="001B4A02" w:rsidRDefault="00000000" w:rsidP="00ED48A3">
      <w:pPr>
        <w:ind w:left="0" w:firstLine="0"/>
        <w:rPr>
          <w:del w:id="12576" w:author="AbbVie1" w:date="2025-05-13T10:11:00Z"/>
        </w:rPr>
      </w:pPr>
      <w:del w:id="12577" w:author="AbbVie1" w:date="2025-05-13T10:11:00Z">
        <w:r w:rsidRPr="001B4A02">
          <w:delText>Přípravek Humira se používá k léčbě psoriatické artritidy</w:delText>
        </w:r>
        <w:r w:rsidR="003600BE" w:rsidRPr="001B4A02">
          <w:delText xml:space="preserve"> u </w:delText>
        </w:r>
        <w:r w:rsidRPr="001B4A02">
          <w:delText>dospělých. U</w:delText>
        </w:r>
        <w:r w:rsidR="00A02FA4" w:rsidRPr="001B4A02">
          <w:delText> </w:delText>
        </w:r>
        <w:r w:rsidRPr="001B4A02">
          <w:delText>přípravku Humira bylo prokázáno zpomalení poškození chrupavky</w:delText>
        </w:r>
        <w:r w:rsidR="002378E0">
          <w:delText xml:space="preserve"> a </w:delText>
        </w:r>
        <w:r w:rsidRPr="001B4A02">
          <w:delText>kosti kloubů způsobené onemocněním</w:delText>
        </w:r>
        <w:r w:rsidR="002378E0">
          <w:delText xml:space="preserve"> a </w:delText>
        </w:r>
        <w:r w:rsidRPr="001B4A02">
          <w:delText>zlepšení fyzických funkcí.</w:delText>
        </w:r>
      </w:del>
    </w:p>
    <w:p w14:paraId="7A183F0B" w14:textId="77777777" w:rsidR="004E10EB" w:rsidRPr="001B4A02" w:rsidRDefault="004E10EB" w:rsidP="00ED48A3">
      <w:pPr>
        <w:ind w:left="0" w:firstLine="0"/>
        <w:rPr>
          <w:del w:id="12578" w:author="AbbVie1" w:date="2025-05-13T10:11:00Z"/>
          <w:u w:val="single"/>
        </w:rPr>
      </w:pPr>
    </w:p>
    <w:p w14:paraId="0F378B4D" w14:textId="77777777" w:rsidR="004E10EB" w:rsidRPr="001B4A02" w:rsidRDefault="00000000" w:rsidP="00E5443D">
      <w:pPr>
        <w:keepNext/>
        <w:ind w:left="0" w:firstLine="0"/>
        <w:rPr>
          <w:del w:id="12579" w:author="AbbVie1" w:date="2025-05-13T10:11:00Z"/>
          <w:u w:val="single"/>
        </w:rPr>
      </w:pPr>
      <w:del w:id="12580" w:author="AbbVie1" w:date="2025-05-13T10:11:00Z">
        <w:r w:rsidRPr="001B4A02">
          <w:rPr>
            <w:u w:val="single"/>
          </w:rPr>
          <w:delText>Ložisková psoriáza</w:delText>
        </w:r>
        <w:r w:rsidR="003600BE" w:rsidRPr="001B4A02">
          <w:rPr>
            <w:u w:val="single"/>
          </w:rPr>
          <w:delText xml:space="preserve"> u </w:delText>
        </w:r>
        <w:r w:rsidRPr="001B4A02">
          <w:rPr>
            <w:u w:val="single"/>
          </w:rPr>
          <w:delText>dospělých</w:delText>
        </w:r>
        <w:r w:rsidR="002378E0">
          <w:rPr>
            <w:u w:val="single"/>
          </w:rPr>
          <w:delText xml:space="preserve"> a </w:delText>
        </w:r>
        <w:r w:rsidRPr="001B4A02">
          <w:rPr>
            <w:u w:val="single"/>
          </w:rPr>
          <w:delText>dět</w:delText>
        </w:r>
        <w:r w:rsidR="00D73060" w:rsidRPr="001B4A02">
          <w:rPr>
            <w:u w:val="single"/>
          </w:rPr>
          <w:delText>í</w:delText>
        </w:r>
      </w:del>
    </w:p>
    <w:p w14:paraId="60E7B7A7" w14:textId="77777777" w:rsidR="004E10EB" w:rsidRPr="001B4A02" w:rsidRDefault="004E10EB" w:rsidP="00E5443D">
      <w:pPr>
        <w:keepNext/>
        <w:ind w:left="0" w:firstLine="0"/>
        <w:rPr>
          <w:del w:id="12581" w:author="AbbVie1" w:date="2025-05-13T10:11:00Z"/>
        </w:rPr>
      </w:pPr>
    </w:p>
    <w:p w14:paraId="347D61BA" w14:textId="77777777" w:rsidR="00BF40EA" w:rsidRPr="001B4A02" w:rsidRDefault="00000000" w:rsidP="00ED48A3">
      <w:pPr>
        <w:ind w:left="0" w:firstLine="0"/>
        <w:rPr>
          <w:del w:id="12582" w:author="AbbVie1" w:date="2025-05-13T10:11:00Z"/>
        </w:rPr>
      </w:pPr>
      <w:del w:id="12583" w:author="AbbVie1" w:date="2025-05-13T10:11:00Z">
        <w:r w:rsidRPr="001B4A02">
          <w:delText xml:space="preserve">Ložisková psoriáza je kožní onemocnění, které se projevuje ohraničenými, zarudlými, vyvýšenými ložisky, krytými stříbřitě lesklými šupinami. </w:delText>
        </w:r>
        <w:r w:rsidR="00FE3367" w:rsidRPr="001B4A02">
          <w:delText xml:space="preserve">Ložisková psoriáza může postihovat také nehty, může způsobit jejich </w:delText>
        </w:r>
        <w:r w:rsidR="000B75A4" w:rsidRPr="001B4A02">
          <w:delText>ztluštění</w:delText>
        </w:r>
        <w:r w:rsidR="00FE3367" w:rsidRPr="001B4A02">
          <w:delText>, drolení</w:delText>
        </w:r>
        <w:r w:rsidR="002378E0">
          <w:delText xml:space="preserve"> a </w:delText>
        </w:r>
        <w:r w:rsidR="00FE3367" w:rsidRPr="001B4A02">
          <w:delText xml:space="preserve">odlučování od nehtového lůžka, což může být bolestivé. </w:delText>
        </w:r>
        <w:r w:rsidRPr="001B4A02">
          <w:delText>Psoriáza je pravděpodobně způsobena problém</w:delText>
        </w:r>
        <w:r w:rsidR="00AA22D8" w:rsidRPr="001B4A02">
          <w:delText>em</w:delText>
        </w:r>
        <w:r w:rsidRPr="001B4A02">
          <w:delText xml:space="preserve"> s imunitním systémem organismu, kter</w:delText>
        </w:r>
        <w:r w:rsidR="00AA22D8" w:rsidRPr="001B4A02">
          <w:delText>ý</w:delText>
        </w:r>
        <w:r w:rsidRPr="001B4A02">
          <w:delText xml:space="preserve"> ved</w:delText>
        </w:r>
        <w:r w:rsidR="00AA22D8" w:rsidRPr="001B4A02">
          <w:delText>e</w:delText>
        </w:r>
        <w:r w:rsidRPr="001B4A02">
          <w:delText xml:space="preserve"> ke zvýšené tvorbě kožních buněk.</w:delText>
        </w:r>
      </w:del>
    </w:p>
    <w:p w14:paraId="491AF12A" w14:textId="77777777" w:rsidR="00F55893" w:rsidRPr="001B4A02" w:rsidRDefault="00F55893" w:rsidP="00ED48A3">
      <w:pPr>
        <w:ind w:left="0" w:firstLine="0"/>
        <w:rPr>
          <w:del w:id="12584" w:author="AbbVie1" w:date="2025-05-13T10:11:00Z"/>
        </w:rPr>
      </w:pPr>
    </w:p>
    <w:p w14:paraId="29A2B4DF" w14:textId="77777777" w:rsidR="00073F8F" w:rsidRPr="001B4A02" w:rsidRDefault="00000000" w:rsidP="00ED48A3">
      <w:pPr>
        <w:ind w:left="0" w:firstLine="0"/>
        <w:rPr>
          <w:del w:id="12585" w:author="AbbVie1" w:date="2025-05-13T10:11:00Z"/>
        </w:rPr>
      </w:pPr>
      <w:del w:id="12586" w:author="AbbVie1" w:date="2025-05-13T10:11:00Z">
        <w:r w:rsidRPr="001B4A02">
          <w:delText>Přípravek Humira se používá k</w:delText>
        </w:r>
        <w:r w:rsidR="004E10EB" w:rsidRPr="001B4A02">
          <w:delText> </w:delText>
        </w:r>
        <w:r w:rsidRPr="001B4A02">
          <w:delText>léčbě</w:delText>
        </w:r>
        <w:r w:rsidR="004E10EB" w:rsidRPr="001B4A02">
          <w:delText xml:space="preserve"> středně </w:delText>
        </w:r>
        <w:r w:rsidR="00C56A15" w:rsidRPr="001B4A02">
          <w:delText>těžké</w:delText>
        </w:r>
        <w:r w:rsidR="004E10EB" w:rsidRPr="001B4A02">
          <w:delText xml:space="preserve"> až těžké</w:delText>
        </w:r>
        <w:r w:rsidR="00C56A15" w:rsidRPr="001B4A02">
          <w:delText xml:space="preserve"> ložiskové</w:delText>
        </w:r>
        <w:r w:rsidRPr="001B4A02">
          <w:delText xml:space="preserve"> psoriázy</w:delText>
        </w:r>
        <w:r w:rsidR="003600BE" w:rsidRPr="001B4A02">
          <w:delText xml:space="preserve"> u </w:delText>
        </w:r>
        <w:r w:rsidRPr="001B4A02">
          <w:delText xml:space="preserve">dospělých. </w:delText>
        </w:r>
        <w:r w:rsidR="002C0232" w:rsidRPr="001B4A02">
          <w:delText>Přípravek Humira se používá také k léčbě těžké ložiskové psoriázy</w:delText>
        </w:r>
        <w:r w:rsidR="003600BE" w:rsidRPr="001B4A02">
          <w:delText xml:space="preserve"> u </w:delText>
        </w:r>
        <w:r w:rsidR="002C0232" w:rsidRPr="001B4A02">
          <w:delText>dětí</w:delText>
        </w:r>
        <w:r w:rsidR="002378E0">
          <w:delText xml:space="preserve"> a </w:delText>
        </w:r>
        <w:r w:rsidR="002C0232" w:rsidRPr="001B4A02">
          <w:delText>dospívajících od 4 do 17 let,</w:delText>
        </w:r>
        <w:r w:rsidR="003600BE" w:rsidRPr="001B4A02">
          <w:delText xml:space="preserve"> u </w:delText>
        </w:r>
        <w:r w:rsidR="002C0232" w:rsidRPr="001B4A02">
          <w:delText>kterých lokální léčba</w:delText>
        </w:r>
        <w:r w:rsidR="002378E0">
          <w:delText xml:space="preserve"> a </w:delText>
        </w:r>
        <w:r w:rsidR="002C0232" w:rsidRPr="001B4A02">
          <w:delText xml:space="preserve">fototerapie </w:delText>
        </w:r>
        <w:r w:rsidR="00B86AAF" w:rsidRPr="001B4A02">
          <w:delText>neúčinkovaly</w:delText>
        </w:r>
        <w:r w:rsidR="002C0232" w:rsidRPr="001B4A02">
          <w:delText xml:space="preserve"> dobře nebo je</w:delText>
        </w:r>
        <w:r w:rsidR="003600BE" w:rsidRPr="001B4A02">
          <w:delText xml:space="preserve"> u </w:delText>
        </w:r>
        <w:r w:rsidR="002C0232" w:rsidRPr="001B4A02">
          <w:delText>nich tato léčba nevhodná.</w:delText>
        </w:r>
      </w:del>
    </w:p>
    <w:p w14:paraId="620195F8" w14:textId="77777777" w:rsidR="00C56A15" w:rsidRPr="001B4A02" w:rsidRDefault="00C56A15" w:rsidP="00ED48A3">
      <w:pPr>
        <w:ind w:left="0" w:firstLine="0"/>
        <w:rPr>
          <w:del w:id="12587" w:author="AbbVie1" w:date="2025-05-13T10:11:00Z"/>
        </w:rPr>
      </w:pPr>
    </w:p>
    <w:p w14:paraId="71E32574" w14:textId="77777777" w:rsidR="003C5C03" w:rsidRPr="001B4A02" w:rsidRDefault="00000000" w:rsidP="00D84340">
      <w:pPr>
        <w:keepNext/>
        <w:ind w:left="0" w:firstLine="0"/>
        <w:rPr>
          <w:del w:id="12588" w:author="AbbVie1" w:date="2025-05-13T10:11:00Z"/>
          <w:rFonts w:eastAsia="Calibri"/>
          <w:szCs w:val="22"/>
          <w:u w:val="single"/>
        </w:rPr>
      </w:pPr>
      <w:del w:id="12589" w:author="AbbVie1" w:date="2025-05-13T10:11:00Z">
        <w:r w:rsidRPr="001B4A02">
          <w:rPr>
            <w:rFonts w:eastAsia="Calibri"/>
            <w:szCs w:val="22"/>
            <w:u w:val="single"/>
          </w:rPr>
          <w:delText>Hidradenitis suppurativa</w:delText>
        </w:r>
        <w:r w:rsidR="003600BE" w:rsidRPr="001B4A02">
          <w:rPr>
            <w:rFonts w:eastAsia="Calibri"/>
            <w:szCs w:val="22"/>
            <w:u w:val="single"/>
          </w:rPr>
          <w:delText xml:space="preserve"> u </w:delText>
        </w:r>
        <w:r w:rsidR="005A6D66" w:rsidRPr="001B4A02">
          <w:rPr>
            <w:rFonts w:eastAsia="Calibri"/>
            <w:szCs w:val="22"/>
            <w:u w:val="single"/>
          </w:rPr>
          <w:delText>dospělých</w:delText>
        </w:r>
        <w:r w:rsidR="002378E0">
          <w:rPr>
            <w:rFonts w:eastAsia="Calibri"/>
            <w:szCs w:val="22"/>
            <w:u w:val="single"/>
          </w:rPr>
          <w:delText xml:space="preserve"> a </w:delText>
        </w:r>
        <w:r w:rsidR="005A6D66" w:rsidRPr="001B4A02">
          <w:rPr>
            <w:rFonts w:eastAsia="Calibri"/>
            <w:szCs w:val="22"/>
            <w:u w:val="single"/>
          </w:rPr>
          <w:delText>dospívajících</w:delText>
        </w:r>
      </w:del>
    </w:p>
    <w:p w14:paraId="3220D598" w14:textId="77777777" w:rsidR="003C5C03" w:rsidRPr="001B4A02" w:rsidRDefault="003C5C03" w:rsidP="00D84340">
      <w:pPr>
        <w:keepNext/>
        <w:ind w:left="0" w:firstLine="0"/>
        <w:rPr>
          <w:del w:id="12590" w:author="AbbVie1" w:date="2025-05-13T10:11:00Z"/>
          <w:rFonts w:eastAsia="Calibri"/>
          <w:szCs w:val="22"/>
        </w:rPr>
      </w:pPr>
    </w:p>
    <w:p w14:paraId="30AEE4D6" w14:textId="77777777" w:rsidR="003C5C03" w:rsidRPr="001B4A02" w:rsidRDefault="00000000" w:rsidP="00ED48A3">
      <w:pPr>
        <w:ind w:left="0" w:firstLine="0"/>
        <w:rPr>
          <w:del w:id="12591" w:author="AbbVie1" w:date="2025-05-13T10:11:00Z"/>
          <w:rFonts w:eastAsia="Calibri"/>
          <w:szCs w:val="22"/>
        </w:rPr>
      </w:pPr>
      <w:del w:id="12592" w:author="AbbVie1" w:date="2025-05-13T10:11:00Z">
        <w:r w:rsidRPr="001B4A02">
          <w:rPr>
            <w:rFonts w:eastAsia="Calibri"/>
            <w:szCs w:val="22"/>
          </w:rPr>
          <w:delText>Hidradenitis suppurativa (někdy nazývaná acne inversa) je chronické</w:delText>
        </w:r>
        <w:r w:rsidR="002378E0">
          <w:rPr>
            <w:rFonts w:eastAsia="Calibri"/>
            <w:szCs w:val="22"/>
          </w:rPr>
          <w:delText xml:space="preserve"> a </w:delText>
        </w:r>
        <w:r w:rsidRPr="001B4A02">
          <w:rPr>
            <w:rFonts w:eastAsia="Calibri"/>
            <w:szCs w:val="22"/>
          </w:rPr>
          <w:delText>často bolestivé zánětlivé kožní onemocnění. Příznaky mohou zahrnovat citlivé uzly (boláky)</w:delText>
        </w:r>
        <w:r w:rsidR="002378E0">
          <w:rPr>
            <w:rFonts w:eastAsia="Calibri"/>
            <w:szCs w:val="22"/>
          </w:rPr>
          <w:delText xml:space="preserve"> a </w:delText>
        </w:r>
        <w:r w:rsidRPr="001B4A02">
          <w:rPr>
            <w:rFonts w:eastAsia="Calibri"/>
            <w:szCs w:val="22"/>
          </w:rPr>
          <w:delText>abscesy (nežity), které mohou obsahovat hnis. Nejčastěji postihuje specifické části kůže, jako např. pod prsy, podpaždí, vnitřní část stehen, třísla</w:delText>
        </w:r>
        <w:r w:rsidR="002378E0">
          <w:rPr>
            <w:rFonts w:eastAsia="Calibri"/>
            <w:szCs w:val="22"/>
          </w:rPr>
          <w:delText xml:space="preserve"> a </w:delText>
        </w:r>
        <w:r w:rsidRPr="001B4A02">
          <w:rPr>
            <w:rFonts w:eastAsia="Calibri"/>
            <w:szCs w:val="22"/>
          </w:rPr>
          <w:delText>hýždě. Na postižených částech se také mohou objevovat jizvy.</w:delText>
        </w:r>
      </w:del>
    </w:p>
    <w:p w14:paraId="408DBD8F" w14:textId="77777777" w:rsidR="003C5C03" w:rsidRPr="001B4A02" w:rsidRDefault="003C5C03" w:rsidP="00ED48A3">
      <w:pPr>
        <w:ind w:left="0" w:firstLine="0"/>
        <w:rPr>
          <w:del w:id="12593" w:author="AbbVie1" w:date="2025-05-13T10:11:00Z"/>
          <w:rFonts w:eastAsia="Calibri"/>
          <w:szCs w:val="22"/>
        </w:rPr>
      </w:pPr>
    </w:p>
    <w:p w14:paraId="18ADEC4C" w14:textId="77777777" w:rsidR="003C5C03" w:rsidRPr="001B4A02" w:rsidRDefault="00000000" w:rsidP="00ED48A3">
      <w:pPr>
        <w:ind w:left="0" w:firstLine="0"/>
        <w:rPr>
          <w:del w:id="12594" w:author="AbbVie1" w:date="2025-05-13T10:11:00Z"/>
          <w:rFonts w:eastAsia="Calibri"/>
          <w:szCs w:val="22"/>
        </w:rPr>
      </w:pPr>
      <w:del w:id="12595" w:author="AbbVie1" w:date="2025-05-13T10:11:00Z">
        <w:r w:rsidRPr="001B4A02">
          <w:delText xml:space="preserve">Přípravek </w:delText>
        </w:r>
        <w:r w:rsidRPr="001B4A02">
          <w:rPr>
            <w:rFonts w:eastAsia="Calibri"/>
            <w:szCs w:val="22"/>
          </w:rPr>
          <w:delText>Humira se používá k</w:delText>
        </w:r>
        <w:r w:rsidR="007930C0" w:rsidRPr="001B4A02">
          <w:rPr>
            <w:rFonts w:eastAsia="Calibri"/>
            <w:szCs w:val="22"/>
          </w:rPr>
          <w:delText> </w:delText>
        </w:r>
        <w:r w:rsidRPr="001B4A02">
          <w:rPr>
            <w:rFonts w:eastAsia="Calibri"/>
            <w:szCs w:val="22"/>
          </w:rPr>
          <w:delText>léčbě hidradenitis suppurativa</w:delText>
        </w:r>
        <w:r w:rsidR="003600BE" w:rsidRPr="001B4A02">
          <w:rPr>
            <w:rFonts w:eastAsia="Calibri"/>
            <w:szCs w:val="22"/>
          </w:rPr>
          <w:delText xml:space="preserve"> u </w:delText>
        </w:r>
        <w:r w:rsidRPr="001B4A02">
          <w:rPr>
            <w:rFonts w:eastAsia="Calibri"/>
            <w:szCs w:val="22"/>
          </w:rPr>
          <w:delText>dospělých</w:delText>
        </w:r>
        <w:r w:rsidR="002378E0">
          <w:rPr>
            <w:rFonts w:eastAsia="Calibri"/>
            <w:szCs w:val="22"/>
          </w:rPr>
          <w:delText xml:space="preserve"> a </w:delText>
        </w:r>
        <w:r w:rsidR="005A6D66" w:rsidRPr="001B4A02">
          <w:rPr>
            <w:rFonts w:eastAsia="Calibri"/>
            <w:szCs w:val="22"/>
          </w:rPr>
          <w:delText>dospívajících od 12 let</w:delText>
        </w:r>
        <w:r w:rsidRPr="001B4A02">
          <w:rPr>
            <w:rFonts w:eastAsia="Calibri"/>
            <w:szCs w:val="22"/>
          </w:rPr>
          <w:delText>. Přípravek Humira pomáhá snižovat počet boláků</w:delText>
        </w:r>
        <w:r w:rsidR="002378E0">
          <w:rPr>
            <w:rFonts w:eastAsia="Calibri"/>
            <w:szCs w:val="22"/>
          </w:rPr>
          <w:delText xml:space="preserve"> a </w:delText>
        </w:r>
        <w:r w:rsidRPr="001B4A02">
          <w:rPr>
            <w:rFonts w:eastAsia="Calibri"/>
            <w:szCs w:val="22"/>
          </w:rPr>
          <w:delText>nežitů, které máte,</w:delText>
        </w:r>
        <w:r w:rsidR="002378E0">
          <w:rPr>
            <w:rFonts w:eastAsia="Calibri"/>
            <w:szCs w:val="22"/>
          </w:rPr>
          <w:delText xml:space="preserve"> a </w:delText>
        </w:r>
        <w:r w:rsidRPr="001B4A02">
          <w:rPr>
            <w:rFonts w:eastAsia="Calibri"/>
            <w:szCs w:val="22"/>
          </w:rPr>
          <w:delText>bolest, která je s</w:delText>
        </w:r>
        <w:r w:rsidR="000C2348" w:rsidRPr="001B4A02">
          <w:rPr>
            <w:rFonts w:eastAsia="Calibri"/>
            <w:szCs w:val="22"/>
          </w:rPr>
          <w:delText> </w:delText>
        </w:r>
        <w:r w:rsidRPr="001B4A02">
          <w:rPr>
            <w:rFonts w:eastAsia="Calibri"/>
            <w:szCs w:val="22"/>
          </w:rPr>
          <w:delText>tímto onemocněním často spojena.</w:delText>
        </w:r>
        <w:r w:rsidR="005A6D66" w:rsidRPr="001B4A02">
          <w:rPr>
            <w:rFonts w:eastAsia="Calibri"/>
            <w:szCs w:val="22"/>
          </w:rPr>
          <w:delText xml:space="preserve"> Nejprve můžete dostávat jiné léky.</w:delText>
        </w:r>
        <w:r w:rsidR="00FF1468" w:rsidRPr="001B4A02">
          <w:rPr>
            <w:rFonts w:eastAsia="Calibri"/>
            <w:szCs w:val="22"/>
          </w:rPr>
          <w:delText xml:space="preserve"> </w:delText>
        </w:r>
        <w:r w:rsidR="00FF1468" w:rsidRPr="001B4A02">
          <w:rPr>
            <w:szCs w:val="22"/>
          </w:rPr>
          <w:delText>Pokud na tyto léky nebudete dostatečně dobře reagovat, bude Vám podán přípravek Humira.</w:delText>
        </w:r>
      </w:del>
    </w:p>
    <w:p w14:paraId="634ECED0" w14:textId="77777777" w:rsidR="00155745" w:rsidRPr="001B4A02" w:rsidRDefault="00155745" w:rsidP="00ED48A3">
      <w:pPr>
        <w:ind w:left="0" w:firstLine="0"/>
        <w:rPr>
          <w:del w:id="12596" w:author="AbbVie1" w:date="2025-05-13T10:11:00Z"/>
        </w:rPr>
      </w:pPr>
    </w:p>
    <w:p w14:paraId="6160EC09" w14:textId="77777777" w:rsidR="00073F8F" w:rsidRPr="001B4A02" w:rsidRDefault="00000000" w:rsidP="00ED48A3">
      <w:pPr>
        <w:pStyle w:val="EMEAHeadingUnderline"/>
        <w:keepNext/>
        <w:tabs>
          <w:tab w:val="clear" w:pos="562"/>
          <w:tab w:val="left" w:pos="708"/>
        </w:tabs>
        <w:suppressAutoHyphens w:val="0"/>
        <w:spacing w:beforeLines="0" w:before="0" w:afterLines="0" w:after="0"/>
        <w:rPr>
          <w:del w:id="12597" w:author="AbbVie1" w:date="2025-05-13T10:11:00Z"/>
          <w:lang w:val="cs-CZ"/>
        </w:rPr>
      </w:pPr>
      <w:del w:id="12598" w:author="AbbVie1" w:date="2025-05-13T10:11:00Z">
        <w:r w:rsidRPr="001B4A02">
          <w:rPr>
            <w:lang w:val="cs-CZ"/>
          </w:rPr>
          <w:delText>Crohnova choroba</w:delText>
        </w:r>
        <w:r w:rsidR="003600BE" w:rsidRPr="001B4A02">
          <w:rPr>
            <w:lang w:val="cs-CZ"/>
          </w:rPr>
          <w:delText xml:space="preserve"> u </w:delText>
        </w:r>
        <w:r w:rsidR="008C6606" w:rsidRPr="001B4A02">
          <w:rPr>
            <w:lang w:val="cs-CZ"/>
          </w:rPr>
          <w:delText>dospělých</w:delText>
        </w:r>
        <w:r w:rsidR="002378E0">
          <w:rPr>
            <w:lang w:val="cs-CZ"/>
          </w:rPr>
          <w:delText xml:space="preserve"> a </w:delText>
        </w:r>
        <w:r w:rsidR="008C6606" w:rsidRPr="001B4A02">
          <w:rPr>
            <w:lang w:val="cs-CZ"/>
          </w:rPr>
          <w:delText>dět</w:delText>
        </w:r>
        <w:r w:rsidR="00D73060" w:rsidRPr="001B4A02">
          <w:rPr>
            <w:lang w:val="cs-CZ"/>
          </w:rPr>
          <w:delText>í</w:delText>
        </w:r>
      </w:del>
    </w:p>
    <w:p w14:paraId="5E4BF361" w14:textId="77777777" w:rsidR="00073F8F" w:rsidRPr="001B4A02" w:rsidRDefault="00073F8F" w:rsidP="00ED48A3">
      <w:pPr>
        <w:pStyle w:val="EMEANormal"/>
        <w:keepNext/>
        <w:rPr>
          <w:del w:id="12599" w:author="AbbVie1" w:date="2025-05-13T10:11:00Z"/>
          <w:lang w:val="cs-CZ"/>
        </w:rPr>
      </w:pPr>
    </w:p>
    <w:p w14:paraId="22C4AF79" w14:textId="77777777" w:rsidR="00C56A15" w:rsidRPr="001B4A02" w:rsidRDefault="00000000" w:rsidP="00E5443D">
      <w:pPr>
        <w:pStyle w:val="EMEANormal"/>
        <w:rPr>
          <w:del w:id="12600" w:author="AbbVie1" w:date="2025-05-13T10:11:00Z"/>
          <w:lang w:val="cs-CZ"/>
        </w:rPr>
      </w:pPr>
      <w:del w:id="12601" w:author="AbbVie1" w:date="2025-05-13T10:11:00Z">
        <w:r w:rsidRPr="001B4A02">
          <w:rPr>
            <w:lang w:val="cs-CZ"/>
          </w:rPr>
          <w:delText>Crohnova choroba je zánětlivé onemocnění trávicího traktu.</w:delText>
        </w:r>
      </w:del>
    </w:p>
    <w:p w14:paraId="6E8C89A0" w14:textId="77777777" w:rsidR="00C56A15" w:rsidRPr="001B4A02" w:rsidRDefault="00C56A15" w:rsidP="00ED48A3">
      <w:pPr>
        <w:pStyle w:val="EMEANormal"/>
        <w:rPr>
          <w:del w:id="12602" w:author="AbbVie1" w:date="2025-05-13T10:11:00Z"/>
          <w:lang w:val="cs-CZ"/>
        </w:rPr>
      </w:pPr>
    </w:p>
    <w:p w14:paraId="2088A2B5" w14:textId="77777777" w:rsidR="00073F8F" w:rsidRPr="001B4A02" w:rsidRDefault="00000000" w:rsidP="00ED48A3">
      <w:pPr>
        <w:ind w:left="0" w:firstLine="0"/>
        <w:rPr>
          <w:del w:id="12603" w:author="AbbVie1" w:date="2025-05-13T10:11:00Z"/>
        </w:rPr>
      </w:pPr>
      <w:del w:id="12604" w:author="AbbVie1" w:date="2025-05-13T10:11:00Z">
        <w:r w:rsidRPr="001B4A02">
          <w:delText>Přípravek Humira se používá k léčbě Crohnovy choroby</w:delText>
        </w:r>
        <w:r w:rsidR="003600BE" w:rsidRPr="001B4A02">
          <w:delText xml:space="preserve"> u </w:delText>
        </w:r>
        <w:r w:rsidRPr="001B4A02">
          <w:delText>dospělých</w:delText>
        </w:r>
        <w:r w:rsidR="002378E0">
          <w:delText xml:space="preserve"> a </w:delText>
        </w:r>
        <w:r w:rsidRPr="001B4A02">
          <w:delText xml:space="preserve">dětí od 6 do 17 let. Jestliže trpíte Crohnovou chorobou, budou </w:delText>
        </w:r>
        <w:r w:rsidR="007F5AA6" w:rsidRPr="001B4A02">
          <w:delText>V</w:delText>
        </w:r>
        <w:r w:rsidRPr="001B4A02">
          <w:delText>ám nejprve podávány jiné léky. Pokud</w:delText>
        </w:r>
        <w:r w:rsidR="003600BE" w:rsidRPr="001B4A02">
          <w:delText xml:space="preserve"> u </w:delText>
        </w:r>
        <w:r w:rsidR="007F5AA6" w:rsidRPr="001B4A02">
          <w:delText>V</w:delText>
        </w:r>
        <w:r w:rsidRPr="001B4A02">
          <w:delText>ás tato léčba nevyvolá uspokojivou odpověď, pak ke zmírnění projevů tohoto onemocnění dostanete přípravek Humira.</w:delText>
        </w:r>
      </w:del>
    </w:p>
    <w:p w14:paraId="34D6BCAA" w14:textId="77777777" w:rsidR="00F55893" w:rsidRPr="001B4A02" w:rsidRDefault="00F55893" w:rsidP="00ED48A3">
      <w:pPr>
        <w:ind w:left="0" w:firstLine="0"/>
        <w:rPr>
          <w:del w:id="12605" w:author="AbbVie1" w:date="2025-05-13T10:11:00Z"/>
        </w:rPr>
      </w:pPr>
    </w:p>
    <w:p w14:paraId="2D10A777" w14:textId="77777777" w:rsidR="00F55893" w:rsidRPr="001B4A02" w:rsidRDefault="00000000" w:rsidP="00E5443D">
      <w:pPr>
        <w:keepNext/>
        <w:ind w:left="0" w:firstLine="0"/>
        <w:rPr>
          <w:del w:id="12606" w:author="AbbVie1" w:date="2025-05-13T10:11:00Z"/>
          <w:u w:val="single"/>
        </w:rPr>
      </w:pPr>
      <w:del w:id="12607" w:author="AbbVie1" w:date="2025-05-13T10:11:00Z">
        <w:r w:rsidRPr="001B4A02">
          <w:rPr>
            <w:u w:val="single"/>
          </w:rPr>
          <w:delText>Ulcerózní kolitida</w:delText>
        </w:r>
        <w:r w:rsidR="00A909D3">
          <w:rPr>
            <w:u w:val="single"/>
          </w:rPr>
          <w:delText xml:space="preserve"> u dospělých</w:delText>
        </w:r>
        <w:r w:rsidR="002378E0">
          <w:rPr>
            <w:u w:val="single"/>
          </w:rPr>
          <w:delText xml:space="preserve"> a </w:delText>
        </w:r>
        <w:r w:rsidR="00A909D3">
          <w:rPr>
            <w:u w:val="single"/>
          </w:rPr>
          <w:delText>dětí</w:delText>
        </w:r>
      </w:del>
    </w:p>
    <w:p w14:paraId="72F554AC" w14:textId="77777777" w:rsidR="00C56A15" w:rsidRPr="001B4A02" w:rsidRDefault="00C56A15" w:rsidP="00E5443D">
      <w:pPr>
        <w:keepNext/>
        <w:ind w:left="0" w:firstLine="0"/>
        <w:rPr>
          <w:del w:id="12608" w:author="AbbVie1" w:date="2025-05-13T10:11:00Z"/>
        </w:rPr>
      </w:pPr>
    </w:p>
    <w:p w14:paraId="48BE3F86" w14:textId="77777777" w:rsidR="00C56A15" w:rsidRPr="001B4A02" w:rsidRDefault="00000000" w:rsidP="00ED48A3">
      <w:pPr>
        <w:ind w:left="0" w:firstLine="0"/>
        <w:rPr>
          <w:del w:id="12609" w:author="AbbVie1" w:date="2025-05-13T10:11:00Z"/>
        </w:rPr>
      </w:pPr>
      <w:del w:id="12610" w:author="AbbVie1" w:date="2025-05-13T10:11:00Z">
        <w:r w:rsidRPr="001B4A02">
          <w:delText xml:space="preserve">Ulcerózní kolitida je zánětlivé onemocnění </w:delText>
        </w:r>
        <w:r w:rsidR="00975013">
          <w:delText xml:space="preserve">tlustého </w:delText>
        </w:r>
        <w:r w:rsidRPr="001B4A02">
          <w:delText>střev</w:delText>
        </w:r>
        <w:r w:rsidR="00975013">
          <w:delText>a</w:delText>
        </w:r>
        <w:r w:rsidRPr="001B4A02">
          <w:delText>.</w:delText>
        </w:r>
      </w:del>
    </w:p>
    <w:p w14:paraId="4597C707" w14:textId="77777777" w:rsidR="00BA5CF8" w:rsidRDefault="00BA5CF8" w:rsidP="00BA5CF8">
      <w:pPr>
        <w:ind w:left="0" w:firstLine="0"/>
        <w:rPr>
          <w:del w:id="12611" w:author="AbbVie1" w:date="2025-05-13T10:11:00Z"/>
        </w:rPr>
      </w:pPr>
    </w:p>
    <w:p w14:paraId="6ABB3F17" w14:textId="77777777" w:rsidR="00073F8F" w:rsidRPr="001B4A02" w:rsidRDefault="00000000" w:rsidP="00BA5CF8">
      <w:pPr>
        <w:ind w:left="0" w:firstLine="0"/>
        <w:rPr>
          <w:del w:id="12612" w:author="AbbVie1" w:date="2025-05-13T10:11:00Z"/>
        </w:rPr>
      </w:pPr>
      <w:del w:id="12613" w:author="AbbVie1" w:date="2025-05-13T10:11:00Z">
        <w:r w:rsidRPr="001B4A02">
          <w:delText xml:space="preserve">Přípravek Humira se používá k léčbě </w:delText>
        </w:r>
        <w:r w:rsidR="00A909D3">
          <w:delText xml:space="preserve">středně těžké až těžké </w:delText>
        </w:r>
        <w:r w:rsidRPr="001B4A02">
          <w:delText>ulcerózní kolitidy</w:delText>
        </w:r>
        <w:r w:rsidR="003600BE" w:rsidRPr="001B4A02">
          <w:delText xml:space="preserve"> u </w:delText>
        </w:r>
        <w:r w:rsidRPr="001B4A02">
          <w:delText>dospělých</w:delText>
        </w:r>
        <w:r w:rsidR="002378E0">
          <w:delText xml:space="preserve"> a </w:delText>
        </w:r>
        <w:r w:rsidR="00A909D3">
          <w:delText>dětí od 6 do 17 let</w:delText>
        </w:r>
        <w:r w:rsidR="00C56A15" w:rsidRPr="001B4A02">
          <w:delText>.</w:delText>
        </w:r>
        <w:r w:rsidRPr="001B4A02">
          <w:delText xml:space="preserve"> </w:delText>
        </w:r>
        <w:r w:rsidR="00F55893" w:rsidRPr="001B4A02">
          <w:delText>Jestliže trpíte ulcer</w:delText>
        </w:r>
        <w:r w:rsidR="00E91CB6" w:rsidRPr="001B4A02">
          <w:delText>ó</w:delText>
        </w:r>
        <w:r w:rsidR="00F55893" w:rsidRPr="001B4A02">
          <w:delText>zní kolitidou, můžete zpočátku užívat jiná léčiva. Pokud</w:delText>
        </w:r>
        <w:r w:rsidR="003600BE" w:rsidRPr="001B4A02">
          <w:delText xml:space="preserve"> u </w:delText>
        </w:r>
        <w:r w:rsidR="00F55893" w:rsidRPr="001B4A02">
          <w:delText>Vás tato léčba nevyvolá uspokojivou odpověď, pak ke zmírnění projevů tohoto onemocnění dostanete přípravek Humira.</w:delText>
        </w:r>
      </w:del>
    </w:p>
    <w:p w14:paraId="2C70569C" w14:textId="77777777" w:rsidR="00073F8F" w:rsidRPr="001B4A02" w:rsidRDefault="00073F8F" w:rsidP="00ED48A3">
      <w:pPr>
        <w:ind w:left="0" w:firstLine="0"/>
        <w:rPr>
          <w:del w:id="12614" w:author="AbbVie1" w:date="2025-05-13T10:11:00Z"/>
        </w:rPr>
      </w:pPr>
    </w:p>
    <w:p w14:paraId="6CB75ECF" w14:textId="77777777" w:rsidR="00E67CC2" w:rsidRPr="001B4A02" w:rsidRDefault="00000000" w:rsidP="00E5443D">
      <w:pPr>
        <w:pStyle w:val="EMEANormal"/>
        <w:keepNext/>
        <w:rPr>
          <w:del w:id="12615" w:author="AbbVie1" w:date="2025-05-13T10:11:00Z"/>
          <w:u w:val="single"/>
          <w:lang w:val="cs-CZ"/>
        </w:rPr>
      </w:pPr>
      <w:del w:id="12616" w:author="AbbVie1" w:date="2025-05-13T10:11:00Z">
        <w:r w:rsidRPr="001B4A02">
          <w:rPr>
            <w:szCs w:val="21"/>
            <w:u w:val="single"/>
            <w:lang w:val="cs-CZ"/>
          </w:rPr>
          <w:delText>Neinfekční uveitida</w:delText>
        </w:r>
        <w:r w:rsidR="003600BE" w:rsidRPr="001B4A02">
          <w:rPr>
            <w:szCs w:val="21"/>
            <w:u w:val="single"/>
            <w:lang w:val="cs-CZ"/>
          </w:rPr>
          <w:delText xml:space="preserve"> u </w:delText>
        </w:r>
        <w:r w:rsidR="006B64F3" w:rsidRPr="001B4A02">
          <w:rPr>
            <w:szCs w:val="21"/>
            <w:u w:val="single"/>
            <w:lang w:val="cs-CZ"/>
          </w:rPr>
          <w:delText>dospělých</w:delText>
        </w:r>
        <w:r w:rsidR="002378E0">
          <w:rPr>
            <w:szCs w:val="21"/>
            <w:u w:val="single"/>
            <w:lang w:val="cs-CZ"/>
          </w:rPr>
          <w:delText xml:space="preserve"> a </w:delText>
        </w:r>
        <w:r w:rsidR="006B64F3" w:rsidRPr="001B4A02">
          <w:rPr>
            <w:szCs w:val="21"/>
            <w:u w:val="single"/>
            <w:lang w:val="cs-CZ"/>
          </w:rPr>
          <w:delText>dětí</w:delText>
        </w:r>
      </w:del>
    </w:p>
    <w:p w14:paraId="51BD179F" w14:textId="77777777" w:rsidR="00E67CC2" w:rsidRPr="00E5443D" w:rsidRDefault="00E67CC2" w:rsidP="00E5443D">
      <w:pPr>
        <w:pStyle w:val="EMEANormal"/>
        <w:keepNext/>
        <w:rPr>
          <w:del w:id="12617" w:author="AbbVie1" w:date="2025-05-13T10:11:00Z"/>
          <w:bCs/>
          <w:iCs/>
          <w:lang w:val="cs-CZ"/>
        </w:rPr>
      </w:pPr>
    </w:p>
    <w:p w14:paraId="5E40024E" w14:textId="77777777" w:rsidR="00E67CC2" w:rsidRPr="001B4A02" w:rsidRDefault="00000000" w:rsidP="00ED48A3">
      <w:pPr>
        <w:pStyle w:val="EMEANormal"/>
        <w:rPr>
          <w:del w:id="12618" w:author="AbbVie1" w:date="2025-05-13T10:11:00Z"/>
          <w:lang w:val="cs-CZ"/>
        </w:rPr>
      </w:pPr>
      <w:del w:id="12619" w:author="AbbVie1" w:date="2025-05-13T10:11:00Z">
        <w:r w:rsidRPr="001B4A02">
          <w:rPr>
            <w:lang w:val="cs-CZ"/>
          </w:rPr>
          <w:delText>Neinfekční uveitida je zánět</w:delText>
        </w:r>
        <w:r w:rsidR="004977D4" w:rsidRPr="001B4A02">
          <w:rPr>
            <w:lang w:val="cs-CZ"/>
          </w:rPr>
          <w:delText>l</w:delText>
        </w:r>
        <w:r w:rsidRPr="001B4A02">
          <w:rPr>
            <w:lang w:val="cs-CZ"/>
          </w:rPr>
          <w:delText>ivé onemocnění postihující některé části oka.</w:delText>
        </w:r>
      </w:del>
    </w:p>
    <w:p w14:paraId="58A5587B" w14:textId="77777777" w:rsidR="00E67CC2" w:rsidRPr="001B4A02" w:rsidRDefault="00E67CC2" w:rsidP="00ED48A3">
      <w:pPr>
        <w:pStyle w:val="EMEANormal"/>
        <w:rPr>
          <w:del w:id="12620" w:author="AbbVie1" w:date="2025-05-13T10:11:00Z"/>
          <w:lang w:val="cs-CZ"/>
        </w:rPr>
      </w:pPr>
    </w:p>
    <w:p w14:paraId="5A4040F9" w14:textId="77777777" w:rsidR="006B64F3" w:rsidRPr="001B4A02" w:rsidRDefault="00000000" w:rsidP="00E5443D">
      <w:pPr>
        <w:pStyle w:val="EMEANormal"/>
        <w:keepNext/>
        <w:rPr>
          <w:del w:id="12621" w:author="AbbVie1" w:date="2025-05-13T10:11:00Z"/>
          <w:lang w:val="cs-CZ"/>
        </w:rPr>
      </w:pPr>
      <w:del w:id="12622" w:author="AbbVie1" w:date="2025-05-13T10:11:00Z">
        <w:r w:rsidRPr="001B4A02">
          <w:rPr>
            <w:lang w:val="cs-CZ"/>
          </w:rPr>
          <w:delText xml:space="preserve">Přípravek </w:delText>
        </w:r>
        <w:r w:rsidR="00E67CC2" w:rsidRPr="001B4A02">
          <w:rPr>
            <w:lang w:val="cs-CZ"/>
          </w:rPr>
          <w:delText>Humira se používá k</w:delText>
        </w:r>
        <w:r w:rsidRPr="001B4A02">
          <w:rPr>
            <w:lang w:val="cs-CZ"/>
          </w:rPr>
          <w:delText> </w:delText>
        </w:r>
        <w:r w:rsidR="00E67CC2" w:rsidRPr="001B4A02">
          <w:rPr>
            <w:lang w:val="cs-CZ"/>
          </w:rPr>
          <w:delText>léčbě</w:delText>
        </w:r>
      </w:del>
    </w:p>
    <w:p w14:paraId="6E096593" w14:textId="77777777" w:rsidR="006B64F3" w:rsidRPr="001B4A02" w:rsidRDefault="00000000" w:rsidP="00AA1CF3">
      <w:pPr>
        <w:pStyle w:val="EMEANormal"/>
        <w:numPr>
          <w:ilvl w:val="0"/>
          <w:numId w:val="55"/>
        </w:numPr>
        <w:rPr>
          <w:del w:id="12623" w:author="AbbVie1" w:date="2025-05-13T10:11:00Z"/>
          <w:lang w:val="cs-CZ"/>
        </w:rPr>
      </w:pPr>
      <w:del w:id="12624" w:author="AbbVie1" w:date="2025-05-13T10:11:00Z">
        <w:r w:rsidRPr="001B4A02">
          <w:rPr>
            <w:lang w:val="cs-CZ"/>
          </w:rPr>
          <w:delText>d</w:delText>
        </w:r>
        <w:r w:rsidR="00E67CC2" w:rsidRPr="001B4A02">
          <w:rPr>
            <w:lang w:val="cs-CZ"/>
          </w:rPr>
          <w:delText>ospělých s</w:delText>
        </w:r>
        <w:r w:rsidR="000C2348" w:rsidRPr="001B4A02">
          <w:rPr>
            <w:lang w:val="cs-CZ"/>
          </w:rPr>
          <w:delText> </w:delText>
        </w:r>
        <w:r w:rsidR="00E67CC2" w:rsidRPr="001B4A02">
          <w:rPr>
            <w:lang w:val="cs-CZ"/>
          </w:rPr>
          <w:delText>neinfekční uveitidou se zánětem postihujícím zadní část oka</w:delText>
        </w:r>
      </w:del>
    </w:p>
    <w:p w14:paraId="798A9F6D" w14:textId="77777777" w:rsidR="006B64F3" w:rsidRPr="001B4A02" w:rsidRDefault="00000000" w:rsidP="00AA1CF3">
      <w:pPr>
        <w:pStyle w:val="EMEANormal"/>
        <w:numPr>
          <w:ilvl w:val="0"/>
          <w:numId w:val="55"/>
        </w:numPr>
        <w:rPr>
          <w:del w:id="12625" w:author="AbbVie1" w:date="2025-05-13T10:11:00Z"/>
          <w:lang w:val="cs-CZ"/>
        </w:rPr>
      </w:pPr>
      <w:del w:id="12626" w:author="AbbVie1" w:date="2025-05-13T10:11:00Z">
        <w:r w:rsidRPr="001B4A02">
          <w:rPr>
            <w:lang w:val="cs-CZ"/>
          </w:rPr>
          <w:delText>dětí od 2 let</w:delText>
        </w:r>
        <w:r w:rsidR="00532A9D" w:rsidRPr="001B4A02">
          <w:rPr>
            <w:lang w:val="cs-CZ"/>
          </w:rPr>
          <w:delText xml:space="preserve"> </w:delText>
        </w:r>
        <w:r w:rsidRPr="001B4A02">
          <w:rPr>
            <w:lang w:val="cs-CZ"/>
          </w:rPr>
          <w:delText>s chronickou neinfekční uveitidou se zánětem postihujícím přední část oka</w:delText>
        </w:r>
        <w:r w:rsidR="00DC6609">
          <w:rPr>
            <w:lang w:val="cs-CZ"/>
          </w:rPr>
          <w:delText>.</w:delText>
        </w:r>
      </w:del>
    </w:p>
    <w:p w14:paraId="56130F82" w14:textId="77777777" w:rsidR="006B64F3" w:rsidRPr="001B4A02" w:rsidRDefault="006B64F3" w:rsidP="00ED48A3">
      <w:pPr>
        <w:pStyle w:val="EMEANormal"/>
        <w:rPr>
          <w:del w:id="12627" w:author="AbbVie1" w:date="2025-05-13T10:11:00Z"/>
          <w:lang w:val="cs-CZ"/>
        </w:rPr>
      </w:pPr>
    </w:p>
    <w:p w14:paraId="3446D242" w14:textId="77777777" w:rsidR="00E67CC2" w:rsidRPr="001B4A02" w:rsidRDefault="00000000" w:rsidP="00ED48A3">
      <w:pPr>
        <w:pStyle w:val="EMEANormal"/>
        <w:rPr>
          <w:del w:id="12628" w:author="AbbVie1" w:date="2025-05-13T10:11:00Z"/>
          <w:lang w:val="cs-CZ"/>
        </w:rPr>
      </w:pPr>
      <w:del w:id="12629" w:author="AbbVie1" w:date="2025-05-13T10:11:00Z">
        <w:r w:rsidRPr="001B4A02">
          <w:rPr>
            <w:lang w:val="cs-CZ"/>
          </w:rPr>
          <w:delText xml:space="preserve">Tento zánět </w:delText>
        </w:r>
        <w:r w:rsidR="006B64F3" w:rsidRPr="001B4A02">
          <w:rPr>
            <w:lang w:val="cs-CZ"/>
          </w:rPr>
          <w:delText xml:space="preserve">může vést </w:delText>
        </w:r>
        <w:r w:rsidRPr="001B4A02">
          <w:rPr>
            <w:lang w:val="cs-CZ"/>
          </w:rPr>
          <w:delText>ke zhoršení zraku a/nebo výskytu plovoucích zákalů v</w:delText>
        </w:r>
        <w:r w:rsidR="000C2348" w:rsidRPr="001B4A02">
          <w:rPr>
            <w:lang w:val="cs-CZ"/>
          </w:rPr>
          <w:delText> </w:delText>
        </w:r>
        <w:r w:rsidRPr="001B4A02">
          <w:rPr>
            <w:lang w:val="cs-CZ"/>
          </w:rPr>
          <w:delText xml:space="preserve">oku (černé tečky nebo chomáčkovité čáry pohybující se </w:delText>
        </w:r>
        <w:r w:rsidR="003E702B" w:rsidRPr="001B4A02">
          <w:rPr>
            <w:lang w:val="cs-CZ"/>
          </w:rPr>
          <w:delText>v</w:delText>
        </w:r>
        <w:r w:rsidR="000928E6" w:rsidRPr="001B4A02">
          <w:rPr>
            <w:lang w:val="cs-CZ"/>
          </w:rPr>
          <w:delText> </w:delText>
        </w:r>
        <w:r w:rsidRPr="001B4A02">
          <w:rPr>
            <w:lang w:val="cs-CZ"/>
          </w:rPr>
          <w:delText>zorné</w:delText>
        </w:r>
        <w:r w:rsidR="003E702B" w:rsidRPr="001B4A02">
          <w:rPr>
            <w:lang w:val="cs-CZ"/>
          </w:rPr>
          <w:delText>m</w:delText>
        </w:r>
        <w:r w:rsidRPr="001B4A02">
          <w:rPr>
            <w:lang w:val="cs-CZ"/>
          </w:rPr>
          <w:delText xml:space="preserve"> </w:delText>
        </w:r>
        <w:r w:rsidR="003E702B" w:rsidRPr="001B4A02">
          <w:rPr>
            <w:lang w:val="cs-CZ"/>
          </w:rPr>
          <w:delText>poli</w:delText>
        </w:r>
        <w:r w:rsidRPr="001B4A02">
          <w:rPr>
            <w:lang w:val="cs-CZ"/>
          </w:rPr>
          <w:delText xml:space="preserve">). </w:delText>
        </w:r>
        <w:r w:rsidR="004E2192" w:rsidRPr="001B4A02">
          <w:rPr>
            <w:lang w:val="cs-CZ"/>
          </w:rPr>
          <w:delText xml:space="preserve">Přípravek </w:delText>
        </w:r>
        <w:r w:rsidRPr="001B4A02">
          <w:rPr>
            <w:lang w:val="cs-CZ"/>
          </w:rPr>
          <w:delText xml:space="preserve">Humira </w:delText>
        </w:r>
        <w:r w:rsidR="00532A9D" w:rsidRPr="001B4A02">
          <w:rPr>
            <w:lang w:val="cs-CZ"/>
          </w:rPr>
          <w:delText xml:space="preserve">tento </w:delText>
        </w:r>
        <w:r w:rsidRPr="001B4A02">
          <w:rPr>
            <w:lang w:val="cs-CZ"/>
          </w:rPr>
          <w:delText>zánět snižuje.</w:delText>
        </w:r>
      </w:del>
    </w:p>
    <w:p w14:paraId="1BFCF443" w14:textId="77777777" w:rsidR="007F7787" w:rsidRPr="001B4A02" w:rsidRDefault="007F7787" w:rsidP="007F7787">
      <w:pPr>
        <w:ind w:left="0" w:firstLine="0"/>
        <w:rPr>
          <w:del w:id="12630" w:author="AbbVie1" w:date="2025-05-13T10:11:00Z"/>
        </w:rPr>
      </w:pPr>
    </w:p>
    <w:p w14:paraId="5233705A" w14:textId="77777777" w:rsidR="007F7787" w:rsidRPr="001B4A02" w:rsidRDefault="007F7787" w:rsidP="007F7787">
      <w:pPr>
        <w:ind w:left="0" w:firstLine="0"/>
        <w:rPr>
          <w:del w:id="12631" w:author="AbbVie1" w:date="2025-05-13T10:11:00Z"/>
        </w:rPr>
      </w:pPr>
    </w:p>
    <w:p w14:paraId="1A6A0783" w14:textId="77777777" w:rsidR="00073F8F" w:rsidRPr="001B4A02" w:rsidRDefault="00000000" w:rsidP="004D0686">
      <w:pPr>
        <w:numPr>
          <w:ilvl w:val="12"/>
          <w:numId w:val="0"/>
        </w:numPr>
        <w:ind w:left="567" w:hanging="567"/>
        <w:outlineLvl w:val="1"/>
        <w:rPr>
          <w:del w:id="12632" w:author="AbbVie1" w:date="2025-05-13T10:11:00Z"/>
        </w:rPr>
      </w:pPr>
      <w:del w:id="12633" w:author="AbbVie1" w:date="2025-05-13T10:11:00Z">
        <w:r w:rsidRPr="001B4A02">
          <w:rPr>
            <w:b/>
          </w:rPr>
          <w:delText>2.</w:delText>
        </w:r>
        <w:r w:rsidRPr="001B4A02">
          <w:rPr>
            <w:b/>
          </w:rPr>
          <w:tab/>
          <w:delText>Č</w:delText>
        </w:r>
        <w:r w:rsidR="00521F02" w:rsidRPr="001B4A02">
          <w:rPr>
            <w:b/>
          </w:rPr>
          <w:delText xml:space="preserve">emu musíte věnovat pozornost, než začnete přípravek Humira </w:delText>
        </w:r>
        <w:r w:rsidR="00375B03" w:rsidRPr="001B4A02">
          <w:rPr>
            <w:b/>
          </w:rPr>
          <w:delText>po</w:delText>
        </w:r>
        <w:r w:rsidR="00521F02" w:rsidRPr="001B4A02">
          <w:rPr>
            <w:b/>
          </w:rPr>
          <w:delText>užívat</w:delText>
        </w:r>
      </w:del>
    </w:p>
    <w:p w14:paraId="70AEE5C2" w14:textId="77777777" w:rsidR="00073F8F" w:rsidRPr="001B4A02" w:rsidRDefault="00073F8F" w:rsidP="00ED48A3">
      <w:pPr>
        <w:numPr>
          <w:ilvl w:val="12"/>
          <w:numId w:val="0"/>
        </w:numPr>
        <w:ind w:right="-2"/>
        <w:rPr>
          <w:del w:id="12634" w:author="AbbVie1" w:date="2025-05-13T10:11:00Z"/>
        </w:rPr>
      </w:pPr>
    </w:p>
    <w:p w14:paraId="00B13406" w14:textId="77777777" w:rsidR="00073F8F" w:rsidRPr="001B4A02" w:rsidRDefault="00000000" w:rsidP="00ED48A3">
      <w:pPr>
        <w:ind w:left="0" w:right="-29" w:firstLine="0"/>
        <w:jc w:val="both"/>
        <w:rPr>
          <w:del w:id="12635" w:author="AbbVie1" w:date="2025-05-13T10:11:00Z"/>
          <w:b/>
        </w:rPr>
      </w:pPr>
      <w:del w:id="12636" w:author="AbbVie1" w:date="2025-05-13T10:11:00Z">
        <w:r w:rsidRPr="001B4A02">
          <w:rPr>
            <w:b/>
          </w:rPr>
          <w:delText>Ne</w:delText>
        </w:r>
        <w:r w:rsidR="00375B03" w:rsidRPr="001B4A02">
          <w:rPr>
            <w:b/>
          </w:rPr>
          <w:delText>po</w:delText>
        </w:r>
        <w:r w:rsidRPr="001B4A02">
          <w:rPr>
            <w:b/>
          </w:rPr>
          <w:delText>užívejte přípravek Humira</w:delText>
        </w:r>
      </w:del>
    </w:p>
    <w:p w14:paraId="29257710" w14:textId="77777777" w:rsidR="00073F8F" w:rsidRPr="001B4A02" w:rsidRDefault="00073F8F" w:rsidP="00ED48A3">
      <w:pPr>
        <w:ind w:left="0" w:firstLine="0"/>
        <w:rPr>
          <w:del w:id="12637" w:author="AbbVie1" w:date="2025-05-13T10:11:00Z"/>
        </w:rPr>
      </w:pPr>
    </w:p>
    <w:p w14:paraId="1D557316" w14:textId="77777777" w:rsidR="00073F8F" w:rsidRPr="001B4A02" w:rsidRDefault="00000000" w:rsidP="00ED48A3">
      <w:pPr>
        <w:numPr>
          <w:ilvl w:val="0"/>
          <w:numId w:val="15"/>
        </w:numPr>
        <w:tabs>
          <w:tab w:val="clear" w:pos="720"/>
        </w:tabs>
        <w:ind w:left="567" w:hanging="567"/>
        <w:rPr>
          <w:del w:id="12638" w:author="AbbVie1" w:date="2025-05-13T10:11:00Z"/>
        </w:rPr>
      </w:pPr>
      <w:del w:id="12639" w:author="AbbVie1" w:date="2025-05-13T10:11:00Z">
        <w:r w:rsidRPr="001B4A02">
          <w:delText>Jestliže jste alergický</w:delText>
        </w:r>
        <w:r w:rsidR="00852DE0" w:rsidRPr="001B4A02">
          <w:delText>(</w:delText>
        </w:r>
        <w:r w:rsidRPr="001B4A02">
          <w:delText>á</w:delText>
        </w:r>
        <w:r w:rsidR="00852DE0" w:rsidRPr="001B4A02">
          <w:delText>)</w:delText>
        </w:r>
        <w:r w:rsidRPr="001B4A02">
          <w:delText xml:space="preserve"> na adalimumab nebo na kteroukoli další složku </w:delText>
        </w:r>
        <w:r w:rsidR="00521F02" w:rsidRPr="001B4A02">
          <w:delText xml:space="preserve">tohoto </w:delText>
        </w:r>
        <w:r w:rsidRPr="001B4A02">
          <w:delText xml:space="preserve">přípravku </w:delText>
        </w:r>
        <w:r w:rsidR="00521F02" w:rsidRPr="001B4A02">
          <w:delText>(uvedeno</w:delText>
        </w:r>
        <w:r w:rsidR="009D5C49" w:rsidRPr="001B4A02">
          <w:delText>u</w:delText>
        </w:r>
        <w:r w:rsidR="00521F02" w:rsidRPr="001B4A02">
          <w:delText xml:space="preserve"> v bodě 6).</w:delText>
        </w:r>
      </w:del>
    </w:p>
    <w:p w14:paraId="722CE2E7" w14:textId="77777777" w:rsidR="00073F8F" w:rsidRPr="001B4A02" w:rsidRDefault="00073F8F" w:rsidP="00ED48A3">
      <w:pPr>
        <w:rPr>
          <w:del w:id="12640" w:author="AbbVie1" w:date="2025-05-13T10:11:00Z"/>
        </w:rPr>
      </w:pPr>
    </w:p>
    <w:p w14:paraId="3F099A30" w14:textId="77777777" w:rsidR="00073F8F" w:rsidRPr="001B4A02" w:rsidRDefault="00000000" w:rsidP="00ED48A3">
      <w:pPr>
        <w:numPr>
          <w:ilvl w:val="0"/>
          <w:numId w:val="15"/>
        </w:numPr>
        <w:tabs>
          <w:tab w:val="clear" w:pos="720"/>
        </w:tabs>
        <w:ind w:left="567" w:hanging="567"/>
        <w:rPr>
          <w:del w:id="12641" w:author="AbbVie1" w:date="2025-05-13T10:11:00Z"/>
        </w:rPr>
      </w:pPr>
      <w:del w:id="12642" w:author="AbbVie1" w:date="2025-05-13T10:11:00Z">
        <w:r w:rsidRPr="001B4A02">
          <w:delText xml:space="preserve">Jestliže máte </w:delText>
        </w:r>
        <w:r w:rsidR="00F34089" w:rsidRPr="001B4A02">
          <w:delText>závažnou</w:delText>
        </w:r>
        <w:r w:rsidRPr="001B4A02">
          <w:delText xml:space="preserve"> infekci včetně aktivní tuberkulózy (viz „</w:delText>
        </w:r>
        <w:r w:rsidR="00521F02" w:rsidRPr="001B4A02">
          <w:delText>Upozornění</w:delText>
        </w:r>
        <w:r w:rsidR="002378E0">
          <w:delText xml:space="preserve"> a </w:delText>
        </w:r>
        <w:r w:rsidR="00521F02" w:rsidRPr="001B4A02">
          <w:delText>opatření</w:delText>
        </w:r>
        <w:r w:rsidRPr="001B4A02">
          <w:delText>“). Je důležité, abyste lékaře informoval(a), pokud se u </w:delText>
        </w:r>
        <w:r w:rsidR="007F5AA6" w:rsidRPr="001B4A02">
          <w:delText>V</w:delText>
        </w:r>
        <w:r w:rsidRPr="001B4A02">
          <w:delText>ás vyskytují příznaky infekce, např. horečka, zranění, pocit únavy nebo problémy se zuby.</w:delText>
        </w:r>
      </w:del>
    </w:p>
    <w:p w14:paraId="6E6CF2A2" w14:textId="77777777" w:rsidR="00073F8F" w:rsidRPr="001B4A02" w:rsidRDefault="00073F8F" w:rsidP="00ED48A3">
      <w:pPr>
        <w:rPr>
          <w:del w:id="12643" w:author="AbbVie1" w:date="2025-05-13T10:11:00Z"/>
        </w:rPr>
      </w:pPr>
    </w:p>
    <w:p w14:paraId="64A530D4" w14:textId="77777777" w:rsidR="00073F8F" w:rsidRPr="001B4A02" w:rsidRDefault="00000000" w:rsidP="00ED48A3">
      <w:pPr>
        <w:numPr>
          <w:ilvl w:val="0"/>
          <w:numId w:val="15"/>
        </w:numPr>
        <w:tabs>
          <w:tab w:val="clear" w:pos="720"/>
        </w:tabs>
        <w:ind w:left="567" w:hanging="567"/>
        <w:rPr>
          <w:del w:id="12644" w:author="AbbVie1" w:date="2025-05-13T10:11:00Z"/>
        </w:rPr>
      </w:pPr>
      <w:del w:id="12645" w:author="AbbVie1" w:date="2025-05-13T10:11:00Z">
        <w:r w:rsidRPr="001B4A02">
          <w:delText>Jestliže trpíte středně těžkým nebo těžkým srdečním selháním. Je důležité, abyste informoval(a) svého lékaře, pokud se u </w:delText>
        </w:r>
        <w:r w:rsidR="007F5AA6" w:rsidRPr="001B4A02">
          <w:delText>V</w:delText>
        </w:r>
        <w:r w:rsidRPr="001B4A02">
          <w:delText>ás vyskytly nebo v současné době vyskytují vážné problémy se srdcem (viz „</w:delText>
        </w:r>
        <w:r w:rsidR="00521F02" w:rsidRPr="001B4A02">
          <w:delText>Upozornění</w:delText>
        </w:r>
        <w:r w:rsidR="002378E0">
          <w:delText xml:space="preserve"> a </w:delText>
        </w:r>
        <w:r w:rsidR="00521F02" w:rsidRPr="001B4A02">
          <w:delText>opatření</w:delText>
        </w:r>
        <w:r w:rsidRPr="001B4A02">
          <w:delText>“).</w:delText>
        </w:r>
      </w:del>
    </w:p>
    <w:p w14:paraId="304F1826" w14:textId="77777777" w:rsidR="00073F8F" w:rsidRPr="001B4A02" w:rsidRDefault="00073F8F" w:rsidP="00ED48A3">
      <w:pPr>
        <w:pStyle w:val="EndnoteText"/>
        <w:rPr>
          <w:del w:id="12646" w:author="AbbVie1" w:date="2025-05-13T10:11:00Z"/>
          <w:lang w:val="cs-CZ"/>
        </w:rPr>
      </w:pPr>
    </w:p>
    <w:p w14:paraId="655E2931" w14:textId="77777777" w:rsidR="00073F8F" w:rsidRPr="001B4A02" w:rsidRDefault="00000000" w:rsidP="00DD3461">
      <w:pPr>
        <w:keepNext/>
        <w:rPr>
          <w:del w:id="12647" w:author="AbbVie1" w:date="2025-05-13T10:11:00Z"/>
          <w:b/>
        </w:rPr>
      </w:pPr>
      <w:del w:id="12648" w:author="AbbVie1" w:date="2025-05-13T10:11:00Z">
        <w:r w:rsidRPr="001B4A02">
          <w:rPr>
            <w:b/>
          </w:rPr>
          <w:delText>Upozornění</w:delText>
        </w:r>
        <w:r w:rsidR="002378E0">
          <w:rPr>
            <w:b/>
          </w:rPr>
          <w:delText xml:space="preserve"> a </w:delText>
        </w:r>
        <w:r w:rsidRPr="001B4A02">
          <w:rPr>
            <w:b/>
          </w:rPr>
          <w:delText xml:space="preserve">opatření </w:delText>
        </w:r>
      </w:del>
    </w:p>
    <w:p w14:paraId="685F3043" w14:textId="77777777" w:rsidR="00073F8F" w:rsidRPr="001B4A02" w:rsidRDefault="00073F8F" w:rsidP="00DD3461">
      <w:pPr>
        <w:keepNext/>
        <w:rPr>
          <w:del w:id="12649" w:author="AbbVie1" w:date="2025-05-13T10:11:00Z"/>
        </w:rPr>
      </w:pPr>
    </w:p>
    <w:p w14:paraId="26CB7706" w14:textId="77777777" w:rsidR="00521F02" w:rsidRPr="001B4A02" w:rsidRDefault="00000000" w:rsidP="00DD3461">
      <w:pPr>
        <w:keepNext/>
        <w:ind w:left="0" w:firstLine="0"/>
        <w:rPr>
          <w:del w:id="12650" w:author="AbbVie1" w:date="2025-05-13T10:11:00Z"/>
        </w:rPr>
      </w:pPr>
      <w:del w:id="12651" w:author="AbbVie1" w:date="2025-05-13T10:11:00Z">
        <w:r w:rsidRPr="001B4A02">
          <w:delText xml:space="preserve">Před </w:delText>
        </w:r>
        <w:r w:rsidR="00375B03" w:rsidRPr="001B4A02">
          <w:delText>po</w:delText>
        </w:r>
        <w:r w:rsidRPr="001B4A02">
          <w:delText>užitím přípravku Humira se poraďte se svým lékařem nebo lékárníkem.</w:delText>
        </w:r>
      </w:del>
    </w:p>
    <w:p w14:paraId="66A1DE3F" w14:textId="77777777" w:rsidR="00521F02" w:rsidRPr="001B4A02" w:rsidRDefault="00521F02" w:rsidP="00ED48A3">
      <w:pPr>
        <w:rPr>
          <w:del w:id="12652" w:author="AbbVie1" w:date="2025-05-13T10:11:00Z"/>
        </w:rPr>
      </w:pPr>
    </w:p>
    <w:p w14:paraId="6AD7F226" w14:textId="77777777" w:rsidR="00073F8F" w:rsidRPr="001B4A02" w:rsidRDefault="00000000" w:rsidP="00ED48A3">
      <w:pPr>
        <w:numPr>
          <w:ilvl w:val="0"/>
          <w:numId w:val="15"/>
        </w:numPr>
        <w:tabs>
          <w:tab w:val="clear" w:pos="720"/>
          <w:tab w:val="num" w:pos="540"/>
        </w:tabs>
        <w:ind w:left="567" w:hanging="567"/>
        <w:rPr>
          <w:del w:id="12653" w:author="AbbVie1" w:date="2025-05-13T10:11:00Z"/>
        </w:rPr>
      </w:pPr>
      <w:del w:id="12654" w:author="AbbVie1" w:date="2025-05-13T10:11:00Z">
        <w:r w:rsidRPr="001B4A02">
          <w:delText>Jestliže se u </w:delText>
        </w:r>
        <w:r w:rsidR="007F5AA6" w:rsidRPr="001B4A02">
          <w:delText>V</w:delText>
        </w:r>
        <w:r w:rsidRPr="001B4A02">
          <w:delText>ás vyskytnou alergické reakce s</w:delText>
        </w:r>
        <w:r w:rsidR="00E91CB6" w:rsidRPr="001B4A02">
          <w:delText> </w:delText>
        </w:r>
        <w:r w:rsidRPr="001B4A02">
          <w:delText>příznaky</w:delText>
        </w:r>
        <w:r w:rsidR="00E91CB6" w:rsidRPr="001B4A02">
          <w:delText>,</w:delText>
        </w:r>
        <w:r w:rsidRPr="001B4A02">
          <w:delText xml:space="preserve"> jako je pocit tíhy na hrudi, dýchavičnost, závratě, otoky nebo vyrážka, nepodávejte si další injekci přípravku Humira</w:delText>
        </w:r>
        <w:r w:rsidR="002378E0">
          <w:delText xml:space="preserve"> a </w:delText>
        </w:r>
        <w:r w:rsidRPr="001B4A02">
          <w:delText>kontaktujte ihned svého lékaře</w:delText>
        </w:r>
        <w:r w:rsidR="00076CDE" w:rsidRPr="001B4A02">
          <w:delText xml:space="preserve">, protože </w:delText>
        </w:r>
        <w:r w:rsidR="00076CDE" w:rsidRPr="001B4A02">
          <w:rPr>
            <w:bCs/>
            <w:szCs w:val="22"/>
          </w:rPr>
          <w:delText>tyto reakce mohou být ve vzácných případech život ohrožující</w:delText>
        </w:r>
        <w:r w:rsidRPr="001B4A02">
          <w:delText>.</w:delText>
        </w:r>
      </w:del>
    </w:p>
    <w:p w14:paraId="79717EC8" w14:textId="77777777" w:rsidR="00073F8F" w:rsidRPr="001B4A02" w:rsidRDefault="00073F8F" w:rsidP="00ED48A3">
      <w:pPr>
        <w:tabs>
          <w:tab w:val="num" w:pos="540"/>
        </w:tabs>
        <w:rPr>
          <w:del w:id="12655" w:author="AbbVie1" w:date="2025-05-13T10:11:00Z"/>
        </w:rPr>
      </w:pPr>
    </w:p>
    <w:p w14:paraId="1219BCEA" w14:textId="77777777" w:rsidR="00073F8F" w:rsidRPr="001B4A02" w:rsidRDefault="00000000" w:rsidP="00ED48A3">
      <w:pPr>
        <w:numPr>
          <w:ilvl w:val="0"/>
          <w:numId w:val="15"/>
        </w:numPr>
        <w:tabs>
          <w:tab w:val="clear" w:pos="720"/>
          <w:tab w:val="num" w:pos="540"/>
        </w:tabs>
        <w:ind w:left="567" w:hanging="567"/>
        <w:rPr>
          <w:del w:id="12656" w:author="AbbVie1" w:date="2025-05-13T10:11:00Z"/>
        </w:rPr>
      </w:pPr>
      <w:del w:id="12657" w:author="AbbVie1" w:date="2025-05-13T10:11:00Z">
        <w:r w:rsidRPr="001B4A02">
          <w:delText>Jestliže máte nějakou infekci, včetně dlouhodobé nebo lokalizované infekce (např. bércový vřed), obraťte se před zahájením léčby přípravkem Humira na svého lékaře. Pokud si nejste jist</w:delText>
        </w:r>
        <w:r w:rsidR="009E1608" w:rsidRPr="001B4A02">
          <w:delText>ý</w:delText>
        </w:r>
        <w:r w:rsidRPr="001B4A02">
          <w:delText>(</w:delText>
        </w:r>
        <w:r w:rsidR="009E1608" w:rsidRPr="001B4A02">
          <w:delText>á</w:delText>
        </w:r>
        <w:r w:rsidRPr="001B4A02">
          <w:delText>), kontaktujte svého lékaře.</w:delText>
        </w:r>
      </w:del>
    </w:p>
    <w:p w14:paraId="00711309" w14:textId="77777777" w:rsidR="00073F8F" w:rsidRPr="001B4A02" w:rsidRDefault="00073F8F" w:rsidP="00ED48A3">
      <w:pPr>
        <w:tabs>
          <w:tab w:val="num" w:pos="540"/>
        </w:tabs>
        <w:rPr>
          <w:del w:id="12658" w:author="AbbVie1" w:date="2025-05-13T10:11:00Z"/>
        </w:rPr>
      </w:pPr>
    </w:p>
    <w:p w14:paraId="0CF3F253" w14:textId="77777777" w:rsidR="00073F8F" w:rsidRPr="001B4A02" w:rsidRDefault="00000000" w:rsidP="00ED48A3">
      <w:pPr>
        <w:numPr>
          <w:ilvl w:val="0"/>
          <w:numId w:val="15"/>
        </w:numPr>
        <w:tabs>
          <w:tab w:val="clear" w:pos="720"/>
          <w:tab w:val="num" w:pos="540"/>
        </w:tabs>
        <w:ind w:left="567" w:hanging="567"/>
        <w:rPr>
          <w:del w:id="12659" w:author="AbbVie1" w:date="2025-05-13T10:11:00Z"/>
        </w:rPr>
      </w:pPr>
      <w:del w:id="12660" w:author="AbbVie1" w:date="2025-05-13T10:11:00Z">
        <w:r w:rsidRPr="001B4A02">
          <w:delText xml:space="preserve">Při léčbě přípravkem Humira můžete být náchylnější k infekcím. </w:delText>
        </w:r>
        <w:r w:rsidR="00855C0E" w:rsidRPr="001B4A02">
          <w:delText xml:space="preserve">Riziko může stoupat, pokud máte poškozenou funkci plic. </w:delText>
        </w:r>
        <w:r w:rsidRPr="001B4A02">
          <w:delText xml:space="preserve">Tyto infekce mohou být </w:delText>
        </w:r>
        <w:r w:rsidRPr="001B4A02">
          <w:rPr>
            <w:bCs/>
            <w:szCs w:val="22"/>
          </w:rPr>
          <w:delText>závažné</w:delText>
        </w:r>
        <w:r w:rsidR="002378E0">
          <w:rPr>
            <w:bCs/>
            <w:szCs w:val="22"/>
          </w:rPr>
          <w:delText xml:space="preserve"> a </w:delText>
        </w:r>
        <w:r w:rsidRPr="001B4A02">
          <w:rPr>
            <w:bCs/>
            <w:szCs w:val="22"/>
          </w:rPr>
          <w:delText>zahrnují tuberkulózu, infekce způsobené viry, plísněmi</w:delText>
        </w:r>
        <w:r w:rsidR="004B60C1">
          <w:rPr>
            <w:bCs/>
            <w:szCs w:val="22"/>
          </w:rPr>
          <w:delText>,</w:delText>
        </w:r>
        <w:r w:rsidRPr="001B4A02">
          <w:rPr>
            <w:bCs/>
            <w:szCs w:val="22"/>
          </w:rPr>
          <w:delText xml:space="preserve"> </w:delText>
        </w:r>
        <w:r w:rsidR="00C347FC" w:rsidRPr="001B4A02">
          <w:delText xml:space="preserve">parazity </w:delText>
        </w:r>
        <w:r w:rsidRPr="001B4A02">
          <w:rPr>
            <w:bCs/>
            <w:szCs w:val="22"/>
          </w:rPr>
          <w:delText>nebo bakteriemi či jiné oportunní infekce (infekce, které za normálních okolností nejsou pro člověka nebezpečné)</w:delText>
        </w:r>
        <w:r w:rsidR="002378E0">
          <w:rPr>
            <w:bCs/>
            <w:szCs w:val="22"/>
          </w:rPr>
          <w:delText xml:space="preserve"> a </w:delText>
        </w:r>
        <w:r w:rsidRPr="001B4A02">
          <w:rPr>
            <w:bCs/>
            <w:szCs w:val="22"/>
          </w:rPr>
          <w:delText>sepse, které mohou být ve vzácných případech život ohrožující</w:delText>
        </w:r>
        <w:r w:rsidRPr="001B4A02">
          <w:delText>. Je důležité, abyste informoval(a) lékaře, pokud se u </w:delText>
        </w:r>
        <w:r w:rsidR="006000CD" w:rsidRPr="001B4A02">
          <w:delText>V</w:delText>
        </w:r>
        <w:r w:rsidRPr="001B4A02">
          <w:delText>ás vyskytnou příznaky</w:delText>
        </w:r>
        <w:r w:rsidR="00E91CB6" w:rsidRPr="001B4A02">
          <w:delText>,</w:delText>
        </w:r>
        <w:r w:rsidRPr="001B4A02">
          <w:delText xml:space="preserve"> jako je horečka, zranění, </w:delText>
        </w:r>
        <w:r w:rsidR="00435E33">
          <w:delText xml:space="preserve">pocit </w:delText>
        </w:r>
        <w:r w:rsidRPr="001B4A02">
          <w:delText>únav</w:delText>
        </w:r>
        <w:r w:rsidR="00435E33">
          <w:delText>y</w:delText>
        </w:r>
        <w:r w:rsidRPr="001B4A02">
          <w:delText xml:space="preserve"> nebo problémy se zuby. Váš lékař může doporučit dočasné přerušení léčby přípravkem Humira.</w:delText>
        </w:r>
      </w:del>
    </w:p>
    <w:p w14:paraId="05A41A85" w14:textId="77777777" w:rsidR="00073F8F" w:rsidRPr="001B4A02" w:rsidRDefault="00073F8F" w:rsidP="00ED48A3">
      <w:pPr>
        <w:tabs>
          <w:tab w:val="num" w:pos="540"/>
        </w:tabs>
        <w:rPr>
          <w:del w:id="12661" w:author="AbbVie1" w:date="2025-05-13T10:11:00Z"/>
        </w:rPr>
      </w:pPr>
    </w:p>
    <w:p w14:paraId="039A206C" w14:textId="77777777" w:rsidR="00073F8F" w:rsidRPr="001B4A02" w:rsidRDefault="00000000" w:rsidP="00ED48A3">
      <w:pPr>
        <w:numPr>
          <w:ilvl w:val="0"/>
          <w:numId w:val="15"/>
        </w:numPr>
        <w:tabs>
          <w:tab w:val="clear" w:pos="720"/>
          <w:tab w:val="num" w:pos="540"/>
        </w:tabs>
        <w:ind w:left="567" w:hanging="567"/>
        <w:rPr>
          <w:del w:id="12662" w:author="AbbVie1" w:date="2025-05-13T10:11:00Z"/>
        </w:rPr>
      </w:pPr>
      <w:del w:id="12663" w:author="AbbVie1" w:date="2025-05-13T10:11:00Z">
        <w:r w:rsidRPr="001B4A02">
          <w:delText xml:space="preserve">Protože u pacientů léčených přípravkem Humira byly hlášeny případy tuberkulózy, před zahájením léčby přípravkem Humira </w:delText>
        </w:r>
        <w:r w:rsidR="007F5AA6" w:rsidRPr="001B4A02">
          <w:delText>V</w:delText>
        </w:r>
        <w:r w:rsidRPr="001B4A02">
          <w:delText>ás lékař vyšetří, zda se příznaky tohoto onemocnění u </w:delText>
        </w:r>
        <w:r w:rsidR="007F5AA6" w:rsidRPr="001B4A02">
          <w:delText>V</w:delText>
        </w:r>
        <w:r w:rsidRPr="001B4A02">
          <w:delText>ás nevyskytly. To znamená, že</w:delText>
        </w:r>
        <w:r w:rsidR="003600BE" w:rsidRPr="001B4A02">
          <w:delText xml:space="preserve"> u </w:delText>
        </w:r>
        <w:r w:rsidR="007F5AA6" w:rsidRPr="001B4A02">
          <w:delText>V</w:delText>
        </w:r>
        <w:r w:rsidRPr="001B4A02">
          <w:delText xml:space="preserve">ás podrobně </w:delText>
        </w:r>
        <w:r w:rsidR="00936F09" w:rsidRPr="001B4A02">
          <w:delText>zhodnotí dříve</w:delText>
        </w:r>
        <w:r w:rsidRPr="001B4A02">
          <w:delText xml:space="preserve"> prodělaná onemocnění, provede </w:delText>
        </w:r>
        <w:r w:rsidR="00936F09" w:rsidRPr="001B4A02">
          <w:delText xml:space="preserve">potřebná kontrolní vyšetření (například </w:delText>
        </w:r>
        <w:r w:rsidRPr="001B4A02">
          <w:delText>rentgen hrudníku</w:delText>
        </w:r>
        <w:r w:rsidR="002378E0">
          <w:delText xml:space="preserve"> a </w:delText>
        </w:r>
        <w:r w:rsidRPr="001B4A02">
          <w:delText>tuberkulinový test</w:delText>
        </w:r>
        <w:r w:rsidR="00936F09" w:rsidRPr="001B4A02">
          <w:delText>)</w:delText>
        </w:r>
        <w:r w:rsidRPr="001B4A02">
          <w:delText>. Provedení těchto vyšetření</w:delText>
        </w:r>
        <w:r w:rsidR="002378E0">
          <w:delText xml:space="preserve"> a </w:delText>
        </w:r>
        <w:r w:rsidR="00936F09" w:rsidRPr="001B4A02">
          <w:delText xml:space="preserve">jejich výsledky </w:delText>
        </w:r>
        <w:r w:rsidRPr="001B4A02">
          <w:delText xml:space="preserve">zaznamená do </w:delText>
        </w:r>
        <w:r w:rsidR="007F5AA6" w:rsidRPr="001B4A02">
          <w:delText>V</w:delText>
        </w:r>
        <w:r w:rsidRPr="001B4A02">
          <w:delText>aší informační kartičky. Pokud jste prodělal(a) tuberkulózu, anebo jste byl(a) v blízkém kontaktu s osobou s tuberkulózou, je velmi důležité, abyste to řekl(a) svému lékaři. Pokud se</w:delText>
        </w:r>
        <w:r w:rsidR="003600BE" w:rsidRPr="001B4A02">
          <w:delText xml:space="preserve"> u </w:delText>
        </w:r>
        <w:r w:rsidR="007F5AA6" w:rsidRPr="001B4A02">
          <w:delText>V</w:delText>
        </w:r>
        <w:r w:rsidRPr="001B4A02">
          <w:delText xml:space="preserve">ás objeví příznaky tuberkulózy (přetrvávající kašel, úbytek na váze, apatie, mírná horečka), nebo se během léčby i po léčbě objeví jiná infekce, sdělte to ihned svému lékaři. </w:delText>
        </w:r>
      </w:del>
    </w:p>
    <w:p w14:paraId="4ADA7EA0" w14:textId="77777777" w:rsidR="00073F8F" w:rsidRPr="001B4A02" w:rsidRDefault="00073F8F" w:rsidP="00ED48A3">
      <w:pPr>
        <w:ind w:left="0" w:firstLine="0"/>
        <w:rPr>
          <w:del w:id="12664" w:author="AbbVie1" w:date="2025-05-13T10:11:00Z"/>
        </w:rPr>
      </w:pPr>
    </w:p>
    <w:p w14:paraId="3B38A8D7" w14:textId="77777777" w:rsidR="00073F8F" w:rsidRPr="001B4A02" w:rsidRDefault="00000000" w:rsidP="00ED48A3">
      <w:pPr>
        <w:numPr>
          <w:ilvl w:val="0"/>
          <w:numId w:val="15"/>
        </w:numPr>
        <w:tabs>
          <w:tab w:val="clear" w:pos="720"/>
          <w:tab w:val="num" w:pos="540"/>
        </w:tabs>
        <w:ind w:left="567" w:hanging="567"/>
        <w:rPr>
          <w:del w:id="12665" w:author="AbbVie1" w:date="2025-05-13T10:11:00Z"/>
        </w:rPr>
      </w:pPr>
      <w:del w:id="12666" w:author="AbbVie1" w:date="2025-05-13T10:11:00Z">
        <w:r w:rsidRPr="001B4A02">
          <w:delText>Informujte svého lékaře, pokud pobýváte nebo cestujete do oblastí, kde se endemicky vyskytují plísňové infekce</w:delText>
        </w:r>
        <w:r w:rsidR="00A27A27" w:rsidRPr="001B4A02">
          <w:delText>,</w:delText>
        </w:r>
        <w:r w:rsidRPr="001B4A02">
          <w:delText xml:space="preserve"> jako je histoplasmóza, kokcidióza nebo blastocystóza.</w:delText>
        </w:r>
      </w:del>
    </w:p>
    <w:p w14:paraId="07B200B3" w14:textId="77777777" w:rsidR="00073F8F" w:rsidRPr="001B4A02" w:rsidRDefault="00073F8F" w:rsidP="00ED48A3">
      <w:pPr>
        <w:tabs>
          <w:tab w:val="num" w:pos="540"/>
        </w:tabs>
        <w:rPr>
          <w:del w:id="12667" w:author="AbbVie1" w:date="2025-05-13T10:11:00Z"/>
        </w:rPr>
      </w:pPr>
    </w:p>
    <w:p w14:paraId="52D1762B" w14:textId="77777777" w:rsidR="00073F8F" w:rsidRPr="001B4A02" w:rsidRDefault="00000000" w:rsidP="00ED48A3">
      <w:pPr>
        <w:pStyle w:val="EndnoteText"/>
        <w:numPr>
          <w:ilvl w:val="0"/>
          <w:numId w:val="15"/>
        </w:numPr>
        <w:tabs>
          <w:tab w:val="clear" w:pos="720"/>
          <w:tab w:val="num" w:pos="540"/>
        </w:tabs>
        <w:ind w:left="567" w:hanging="567"/>
        <w:rPr>
          <w:del w:id="12668" w:author="AbbVie1" w:date="2025-05-13T10:11:00Z"/>
          <w:lang w:val="cs-CZ"/>
        </w:rPr>
      </w:pPr>
      <w:del w:id="12669" w:author="AbbVie1" w:date="2025-05-13T10:11:00Z">
        <w:r w:rsidRPr="001B4A02">
          <w:rPr>
            <w:lang w:val="cs-CZ"/>
          </w:rPr>
          <w:delText>Informujte svého lékaře, pokud se</w:delText>
        </w:r>
        <w:r w:rsidR="003600BE" w:rsidRPr="001B4A02">
          <w:rPr>
            <w:lang w:val="cs-CZ"/>
          </w:rPr>
          <w:delText xml:space="preserve"> u </w:delText>
        </w:r>
        <w:r w:rsidR="007F5AA6" w:rsidRPr="001B4A02">
          <w:rPr>
            <w:lang w:val="cs-CZ"/>
          </w:rPr>
          <w:delText>V</w:delText>
        </w:r>
        <w:r w:rsidRPr="001B4A02">
          <w:rPr>
            <w:lang w:val="cs-CZ"/>
          </w:rPr>
          <w:delText>ás vyskytovaly opakované infekce nebo jiné stavy, které zvyšují riziko infekcí.</w:delText>
        </w:r>
      </w:del>
    </w:p>
    <w:p w14:paraId="48AF30BA" w14:textId="77777777" w:rsidR="00073F8F" w:rsidRPr="001B4A02" w:rsidRDefault="00073F8F" w:rsidP="00ED48A3">
      <w:pPr>
        <w:rPr>
          <w:del w:id="12670" w:author="AbbVie1" w:date="2025-05-13T10:11:00Z"/>
        </w:rPr>
      </w:pPr>
    </w:p>
    <w:p w14:paraId="03ED3900" w14:textId="77777777" w:rsidR="00073F8F" w:rsidRPr="001B4A02" w:rsidRDefault="00000000" w:rsidP="00ED48A3">
      <w:pPr>
        <w:rPr>
          <w:del w:id="12671" w:author="AbbVie1" w:date="2025-05-13T10:11:00Z"/>
        </w:rPr>
      </w:pPr>
      <w:del w:id="12672" w:author="AbbVie1" w:date="2025-05-13T10:11:00Z">
        <w:r w:rsidRPr="001B4A02">
          <w:rPr>
            <w:rFonts w:ascii="Symbol" w:hAnsi="Symbol"/>
          </w:rPr>
          <w:sym w:font="Symbol" w:char="F0B7"/>
        </w:r>
        <w:r w:rsidRPr="001B4A02">
          <w:tab/>
          <w:delText>Jestliže jste nositelem viru hepatitidy typu B (HBV), jestliže máte aktivní HBV infekci nebo si myslíte, že byste mohl</w:delText>
        </w:r>
        <w:r w:rsidR="00B724C3" w:rsidRPr="001B4A02">
          <w:delText>(a)</w:delText>
        </w:r>
        <w:r w:rsidRPr="001B4A02">
          <w:delText xml:space="preserve"> být </w:delText>
        </w:r>
        <w:r w:rsidR="00B724C3" w:rsidRPr="001B4A02">
          <w:delText xml:space="preserve">ohrožen(a) </w:delText>
        </w:r>
        <w:r w:rsidRPr="001B4A02">
          <w:delText xml:space="preserve">infekcí HBV, sdělte to svému lékaři. </w:delText>
        </w:r>
        <w:r w:rsidR="004316EA" w:rsidRPr="001B4A02">
          <w:delText xml:space="preserve">Váš lékař Vás na infekci HBV vyšetří. </w:delText>
        </w:r>
        <w:r w:rsidR="004E2192" w:rsidRPr="001B4A02">
          <w:delText xml:space="preserve">Přípravek </w:delText>
        </w:r>
        <w:r w:rsidRPr="001B4A02">
          <w:delText>Humira může způsobovat reaktivaci (obnovení) HBV infekce</w:delText>
        </w:r>
        <w:r w:rsidR="003600BE" w:rsidRPr="001B4A02">
          <w:delText xml:space="preserve"> u </w:delText>
        </w:r>
        <w:r w:rsidRPr="001B4A02">
          <w:delText>lidí, kteří jsou nositeli viru. V některých ojedinělých případech, zvláště pokud berete jiné léky k potlačení imunitního systému, může být reaktivace viru HBV život ohrožující.</w:delText>
        </w:r>
      </w:del>
    </w:p>
    <w:p w14:paraId="3EB057EB" w14:textId="77777777" w:rsidR="007F5AA6" w:rsidRPr="001B4A02" w:rsidRDefault="007F5AA6" w:rsidP="00ED48A3">
      <w:pPr>
        <w:rPr>
          <w:del w:id="12673" w:author="AbbVie1" w:date="2025-05-13T10:11:00Z"/>
        </w:rPr>
      </w:pPr>
    </w:p>
    <w:p w14:paraId="0E299E94" w14:textId="77777777" w:rsidR="00855C0E" w:rsidRPr="001B4A02" w:rsidRDefault="00000000" w:rsidP="00ED48A3">
      <w:pPr>
        <w:numPr>
          <w:ilvl w:val="0"/>
          <w:numId w:val="62"/>
        </w:numPr>
        <w:tabs>
          <w:tab w:val="clear" w:pos="720"/>
          <w:tab w:val="num" w:pos="567"/>
        </w:tabs>
        <w:ind w:left="567" w:hanging="567"/>
        <w:rPr>
          <w:del w:id="12674" w:author="AbbVie1" w:date="2025-05-13T10:11:00Z"/>
        </w:rPr>
      </w:pPr>
      <w:del w:id="12675" w:author="AbbVie1" w:date="2025-05-13T10:11:00Z">
        <w:r w:rsidRPr="001B4A02">
          <w:delText xml:space="preserve">Pokud jste ve věku nad 65 let, můžete být během </w:delText>
        </w:r>
        <w:r w:rsidR="005D5238" w:rsidRPr="001B4A02">
          <w:delText>po</w:delText>
        </w:r>
        <w:r w:rsidRPr="001B4A02">
          <w:delText xml:space="preserve">užívání přípravku </w:delText>
        </w:r>
        <w:r w:rsidR="0045752D" w:rsidRPr="001B4A02">
          <w:delText>Humira náchylnější k infekcím. J</w:delText>
        </w:r>
        <w:r w:rsidRPr="001B4A02">
          <w:delText xml:space="preserve">ak </w:delText>
        </w:r>
        <w:r w:rsidR="007F5AA6" w:rsidRPr="001B4A02">
          <w:delText>V</w:delText>
        </w:r>
        <w:r w:rsidRPr="001B4A02">
          <w:delText xml:space="preserve">y, tak i </w:delText>
        </w:r>
        <w:r w:rsidR="007F5AA6" w:rsidRPr="001B4A02">
          <w:delText>V</w:delText>
        </w:r>
        <w:r w:rsidRPr="001B4A02">
          <w:delText>áš lékař by měl věnovat zvýšenou pozornost známkám infekce během léčby přípravkem Humira. Je důležité, abyste oznámil(a) svému lékaři, pokud se</w:delText>
        </w:r>
        <w:r w:rsidR="003600BE" w:rsidRPr="001B4A02">
          <w:delText xml:space="preserve"> u </w:delText>
        </w:r>
        <w:r w:rsidR="007F5AA6" w:rsidRPr="001B4A02">
          <w:delText>V</w:delText>
        </w:r>
        <w:r w:rsidRPr="001B4A02">
          <w:delText>ás vyskytnou známky in</w:delText>
        </w:r>
        <w:r w:rsidR="0045752D" w:rsidRPr="001B4A02">
          <w:delText>fekce, jako je horečka, poranil(a)</w:delText>
        </w:r>
        <w:r w:rsidRPr="001B4A02">
          <w:delText xml:space="preserve"> jste se, cítíte se unaven</w:delText>
        </w:r>
        <w:r w:rsidR="0045752D" w:rsidRPr="001B4A02">
          <w:delText>ý(á)</w:delText>
        </w:r>
        <w:r w:rsidRPr="001B4A02">
          <w:delText xml:space="preserve"> nebo máte problémy se zuby.</w:delText>
        </w:r>
      </w:del>
    </w:p>
    <w:p w14:paraId="6DB53CD3" w14:textId="77777777" w:rsidR="00073F8F" w:rsidRPr="001B4A02" w:rsidRDefault="00073F8F" w:rsidP="00ED48A3">
      <w:pPr>
        <w:rPr>
          <w:del w:id="12676" w:author="AbbVie1" w:date="2025-05-13T10:11:00Z"/>
        </w:rPr>
      </w:pPr>
    </w:p>
    <w:p w14:paraId="5CEB592C" w14:textId="77777777" w:rsidR="00073F8F" w:rsidRPr="001B4A02" w:rsidRDefault="00000000" w:rsidP="00ED48A3">
      <w:pPr>
        <w:pStyle w:val="EndnoteText"/>
        <w:numPr>
          <w:ilvl w:val="1"/>
          <w:numId w:val="15"/>
        </w:numPr>
        <w:tabs>
          <w:tab w:val="clear" w:pos="1440"/>
          <w:tab w:val="num" w:pos="567"/>
        </w:tabs>
        <w:ind w:left="567" w:hanging="567"/>
        <w:rPr>
          <w:del w:id="12677" w:author="AbbVie1" w:date="2025-05-13T10:11:00Z"/>
          <w:lang w:val="cs-CZ"/>
        </w:rPr>
      </w:pPr>
      <w:del w:id="12678" w:author="AbbVie1" w:date="2025-05-13T10:11:00Z">
        <w:r w:rsidRPr="001B4A02">
          <w:rPr>
            <w:lang w:val="cs-CZ"/>
          </w:rPr>
          <w:delText xml:space="preserve">Pokud </w:delText>
        </w:r>
        <w:r w:rsidR="007F5AA6" w:rsidRPr="001B4A02">
          <w:rPr>
            <w:lang w:val="cs-CZ"/>
          </w:rPr>
          <w:delText>V</w:delText>
        </w:r>
        <w:r w:rsidRPr="001B4A02">
          <w:rPr>
            <w:lang w:val="cs-CZ"/>
          </w:rPr>
          <w:delText>ám má být provedena operace nebo stomatologický výkon, informujte, prosím, svého lékaře, že jste léčen(a) přípravkem Humira. Váš lékař může doporučit dočasné přerušení léčby přípravkem Humira.</w:delText>
        </w:r>
      </w:del>
    </w:p>
    <w:p w14:paraId="4BC8C3D3" w14:textId="77777777" w:rsidR="00073F8F" w:rsidRPr="001B4A02" w:rsidRDefault="00073F8F" w:rsidP="00ED48A3">
      <w:pPr>
        <w:tabs>
          <w:tab w:val="num" w:pos="540"/>
        </w:tabs>
        <w:rPr>
          <w:del w:id="12679" w:author="AbbVie1" w:date="2025-05-13T10:11:00Z"/>
        </w:rPr>
      </w:pPr>
    </w:p>
    <w:p w14:paraId="700D637F" w14:textId="77777777" w:rsidR="00073F8F" w:rsidRPr="001B4A02" w:rsidRDefault="00000000" w:rsidP="00ED48A3">
      <w:pPr>
        <w:numPr>
          <w:ilvl w:val="0"/>
          <w:numId w:val="15"/>
        </w:numPr>
        <w:tabs>
          <w:tab w:val="clear" w:pos="720"/>
          <w:tab w:val="num" w:pos="540"/>
        </w:tabs>
        <w:ind w:left="567" w:hanging="567"/>
        <w:rPr>
          <w:del w:id="12680" w:author="AbbVie1" w:date="2025-05-13T10:11:00Z"/>
        </w:rPr>
      </w:pPr>
      <w:del w:id="12681" w:author="AbbVie1" w:date="2025-05-13T10:11:00Z">
        <w:r w:rsidRPr="001B4A02">
          <w:delText>Jestliže máte demyelinizační onemocnění</w:delText>
        </w:r>
        <w:r w:rsidR="00E67CC2" w:rsidRPr="001B4A02">
          <w:delText>, nebo jestliže se</w:delText>
        </w:r>
        <w:r w:rsidR="003600BE" w:rsidRPr="001B4A02">
          <w:delText xml:space="preserve"> u </w:delText>
        </w:r>
        <w:r w:rsidR="00982002" w:rsidRPr="001B4A02">
          <w:delText>V</w:delText>
        </w:r>
        <w:r w:rsidR="00E67CC2" w:rsidRPr="001B4A02">
          <w:delText xml:space="preserve">ás demyelinizační onemocnění, </w:delText>
        </w:r>
        <w:r w:rsidRPr="001B4A02">
          <w:delText>jako např. roztroušen</w:delText>
        </w:r>
        <w:r w:rsidR="00E67CC2" w:rsidRPr="001B4A02">
          <w:delText>á</w:delText>
        </w:r>
        <w:r w:rsidRPr="001B4A02">
          <w:delText xml:space="preserve"> skleróz</w:delText>
        </w:r>
        <w:r w:rsidR="00E67CC2" w:rsidRPr="001B4A02">
          <w:delText>a</w:delText>
        </w:r>
        <w:r w:rsidRPr="001B4A02">
          <w:delText xml:space="preserve">, </w:delText>
        </w:r>
        <w:r w:rsidR="00E67CC2" w:rsidRPr="001B4A02">
          <w:delText xml:space="preserve">objeví, </w:delText>
        </w:r>
        <w:r w:rsidRPr="001B4A02">
          <w:delText>lékař určí, zda můžete být léčen(a) přípravkem Humira.</w:delText>
        </w:r>
        <w:r w:rsidR="00E67CC2" w:rsidRPr="001B4A02">
          <w:delText xml:space="preserve"> Pokud se</w:delText>
        </w:r>
        <w:r w:rsidR="003600BE" w:rsidRPr="001B4A02">
          <w:delText xml:space="preserve"> u </w:delText>
        </w:r>
        <w:r w:rsidR="00982002" w:rsidRPr="001B4A02">
          <w:delText>V</w:delText>
        </w:r>
        <w:r w:rsidR="00E67CC2" w:rsidRPr="001B4A02">
          <w:delText xml:space="preserve">ás objeví některé příznaky, například změny vidění, slabost rukou nebo nohou či </w:delText>
        </w:r>
        <w:r w:rsidR="002746D0" w:rsidRPr="001B4A02">
          <w:delText>znecitlivění</w:delText>
        </w:r>
        <w:r w:rsidR="00E67CC2" w:rsidRPr="001B4A02">
          <w:delText xml:space="preserve"> nebo brnění v některé části těla, musíte o</w:delText>
        </w:r>
        <w:r w:rsidR="00063784" w:rsidRPr="001B4A02">
          <w:delText> </w:delText>
        </w:r>
        <w:r w:rsidR="00E67CC2" w:rsidRPr="001B4A02">
          <w:delText xml:space="preserve">tom </w:delText>
        </w:r>
        <w:r w:rsidR="00982002" w:rsidRPr="001B4A02">
          <w:delText>V</w:delText>
        </w:r>
        <w:r w:rsidR="00E67CC2" w:rsidRPr="001B4A02">
          <w:delText>ašeho lékaře neprodleně informovat.</w:delText>
        </w:r>
      </w:del>
    </w:p>
    <w:p w14:paraId="4CAEE3EA" w14:textId="77777777" w:rsidR="00073F8F" w:rsidRPr="001B4A02" w:rsidRDefault="00073F8F" w:rsidP="00ED48A3">
      <w:pPr>
        <w:tabs>
          <w:tab w:val="num" w:pos="540"/>
        </w:tabs>
        <w:rPr>
          <w:del w:id="12682" w:author="AbbVie1" w:date="2025-05-13T10:11:00Z"/>
        </w:rPr>
      </w:pPr>
    </w:p>
    <w:p w14:paraId="6C6A6DAF" w14:textId="77777777" w:rsidR="00073F8F" w:rsidRPr="001B4A02" w:rsidRDefault="00000000" w:rsidP="00ED48A3">
      <w:pPr>
        <w:numPr>
          <w:ilvl w:val="0"/>
          <w:numId w:val="15"/>
        </w:numPr>
        <w:tabs>
          <w:tab w:val="clear" w:pos="720"/>
          <w:tab w:val="num" w:pos="540"/>
        </w:tabs>
        <w:ind w:left="567" w:hanging="567"/>
        <w:rPr>
          <w:del w:id="12683" w:author="AbbVie1" w:date="2025-05-13T10:11:00Z"/>
        </w:rPr>
      </w:pPr>
      <w:del w:id="12684" w:author="AbbVie1" w:date="2025-05-13T10:11:00Z">
        <w:r w:rsidRPr="001B4A02">
          <w:delText xml:space="preserve">Během léčby přípravkem Humira nesmíte dostat </w:delText>
        </w:r>
        <w:r w:rsidR="001C7AED" w:rsidRPr="001B4A02">
          <w:delText>určité</w:delText>
        </w:r>
        <w:r w:rsidRPr="001B4A02">
          <w:delText xml:space="preserve"> očkovací látky</w:delText>
        </w:r>
        <w:r w:rsidR="001C7AED" w:rsidRPr="001B4A02">
          <w:delText>, které by mohly vyvolat vznik infekce</w:delText>
        </w:r>
        <w:r w:rsidRPr="001B4A02">
          <w:delText>. Prosíme, domluvte se se svým lékařem o</w:delText>
        </w:r>
        <w:r w:rsidR="00063784" w:rsidRPr="001B4A02">
          <w:delText> </w:delText>
        </w:r>
        <w:r w:rsidRPr="001B4A02">
          <w:delText xml:space="preserve">možnosti očkování ještě předtím, než budete očkován(a). Doporučuje se, aby </w:delText>
        </w:r>
        <w:r w:rsidR="008C6606" w:rsidRPr="001B4A02">
          <w:delText xml:space="preserve">dětští </w:delText>
        </w:r>
        <w:r w:rsidRPr="001B4A02">
          <w:delText>pacienti absolvovali pokud možno všechna doporučená očkování v</w:delText>
        </w:r>
        <w:r w:rsidR="00C17239" w:rsidRPr="001B4A02">
          <w:delText> </w:delText>
        </w:r>
        <w:r w:rsidRPr="001B4A02">
          <w:delText>souladu se současnými směrnicemi pro očkování ještě před zahájením léčby přípravkem Humira.</w:delText>
        </w:r>
        <w:r w:rsidR="001C7AED" w:rsidRPr="001B4A02">
          <w:delText xml:space="preserve"> Pokud jste přípravek Humira </w:delText>
        </w:r>
        <w:r w:rsidR="005D5238" w:rsidRPr="001B4A02">
          <w:delText>po</w:delText>
        </w:r>
        <w:r w:rsidR="001C7AED" w:rsidRPr="001B4A02">
          <w:delText>užívala během těhotenství, může být Vaše dítě náchylnější k infekcím po dobu přibližně pěti měsíců poté, co jste dostala poslední dávku přípravku v</w:delText>
        </w:r>
        <w:r w:rsidR="00C17239" w:rsidRPr="001B4A02">
          <w:delText> </w:delText>
        </w:r>
        <w:r w:rsidR="001C7AED" w:rsidRPr="001B4A02">
          <w:delText>průběhu těhotenství. Je důležité, abyste oznámila lékaři Vašeho dítěte</w:delText>
        </w:r>
        <w:r w:rsidR="002378E0">
          <w:delText xml:space="preserve"> a </w:delText>
        </w:r>
        <w:r w:rsidR="001C7AED" w:rsidRPr="001B4A02">
          <w:delText>jiným zdravotnickým pracovníkům, že Vám byl přípravek Humira v těhotenství podáván, aby se na základě této informace mohli rozhodnout, kdy je vhodné Vaše dítě očkovat.</w:delText>
        </w:r>
      </w:del>
    </w:p>
    <w:p w14:paraId="49FEBF12" w14:textId="77777777" w:rsidR="00073F8F" w:rsidRPr="001B4A02" w:rsidRDefault="00073F8F" w:rsidP="00ED48A3">
      <w:pPr>
        <w:tabs>
          <w:tab w:val="num" w:pos="540"/>
        </w:tabs>
        <w:rPr>
          <w:del w:id="12685" w:author="AbbVie1" w:date="2025-05-13T10:11:00Z"/>
        </w:rPr>
      </w:pPr>
    </w:p>
    <w:p w14:paraId="4CF4EFFA" w14:textId="77777777" w:rsidR="00073F8F" w:rsidRPr="001B4A02" w:rsidRDefault="00000000" w:rsidP="00ED48A3">
      <w:pPr>
        <w:pStyle w:val="EndnoteText"/>
        <w:numPr>
          <w:ilvl w:val="0"/>
          <w:numId w:val="15"/>
        </w:numPr>
        <w:tabs>
          <w:tab w:val="clear" w:pos="720"/>
          <w:tab w:val="num" w:pos="540"/>
        </w:tabs>
        <w:ind w:left="567" w:hanging="567"/>
        <w:rPr>
          <w:del w:id="12686" w:author="AbbVie1" w:date="2025-05-13T10:11:00Z"/>
          <w:lang w:val="cs-CZ"/>
        </w:rPr>
      </w:pPr>
      <w:del w:id="12687" w:author="AbbVie1" w:date="2025-05-13T10:11:00Z">
        <w:r w:rsidRPr="001B4A02">
          <w:rPr>
            <w:lang w:val="cs-CZ"/>
          </w:rPr>
          <w:delText>Pokud se u </w:delText>
        </w:r>
        <w:r w:rsidR="007F5AA6" w:rsidRPr="001B4A02">
          <w:rPr>
            <w:lang w:val="cs-CZ"/>
          </w:rPr>
          <w:delText>V</w:delText>
        </w:r>
        <w:r w:rsidRPr="001B4A02">
          <w:rPr>
            <w:lang w:val="cs-CZ"/>
          </w:rPr>
          <w:delText>ás vyskytuje mírné srdeční selhávání</w:delText>
        </w:r>
        <w:r w:rsidR="002378E0">
          <w:rPr>
            <w:lang w:val="cs-CZ"/>
          </w:rPr>
          <w:delText xml:space="preserve"> a </w:delText>
        </w:r>
        <w:r w:rsidRPr="001B4A02">
          <w:rPr>
            <w:lang w:val="cs-CZ"/>
          </w:rPr>
          <w:delText xml:space="preserve">jste léčen(a) přípravkem Humira, musí být lékařem pečlivě sledován stav </w:delText>
        </w:r>
        <w:r w:rsidR="007F5AA6" w:rsidRPr="001B4A02">
          <w:rPr>
            <w:lang w:val="cs-CZ"/>
          </w:rPr>
          <w:delText>V</w:delText>
        </w:r>
        <w:r w:rsidRPr="001B4A02">
          <w:rPr>
            <w:lang w:val="cs-CZ"/>
          </w:rPr>
          <w:delText>ašeho srdce. Je důležité, abyste sdělil(a) svému lékaři, že se u </w:delText>
        </w:r>
        <w:r w:rsidR="007F5AA6" w:rsidRPr="001B4A02">
          <w:rPr>
            <w:lang w:val="cs-CZ"/>
          </w:rPr>
          <w:delText>V</w:delText>
        </w:r>
        <w:r w:rsidRPr="001B4A02">
          <w:rPr>
            <w:lang w:val="cs-CZ"/>
          </w:rPr>
          <w:delText>ás vyskytly nebo se v současné době vyskytují závažné problémy se srdcem. Pokud se u </w:delText>
        </w:r>
        <w:r w:rsidR="007F5AA6" w:rsidRPr="001B4A02">
          <w:rPr>
            <w:lang w:val="cs-CZ"/>
          </w:rPr>
          <w:delText>V</w:delText>
        </w:r>
        <w:r w:rsidRPr="001B4A02">
          <w:rPr>
            <w:lang w:val="cs-CZ"/>
          </w:rPr>
          <w:delText>ás vyskytnou nové nebo se zhorší již stávající známky srdečního selhávání (např. dýchavičnost nebo otoky dolních končetin), musíte ihned kontaktovat svého lékaře. Váš lékař rozhodne, zda</w:delText>
        </w:r>
        <w:r w:rsidR="008A637C" w:rsidRPr="001B4A02">
          <w:rPr>
            <w:lang w:val="cs-CZ"/>
          </w:rPr>
          <w:delText>-</w:delText>
        </w:r>
        <w:r w:rsidRPr="001B4A02">
          <w:rPr>
            <w:lang w:val="cs-CZ"/>
          </w:rPr>
          <w:delText xml:space="preserve">li byste měl(a) </w:delText>
        </w:r>
        <w:r w:rsidR="005D5238" w:rsidRPr="001B4A02">
          <w:rPr>
            <w:lang w:val="cs-CZ"/>
          </w:rPr>
          <w:delText>po</w:delText>
        </w:r>
        <w:r w:rsidRPr="001B4A02">
          <w:rPr>
            <w:lang w:val="cs-CZ"/>
          </w:rPr>
          <w:delText>užívat přípravek Humira.</w:delText>
        </w:r>
      </w:del>
    </w:p>
    <w:p w14:paraId="6BA72CE0" w14:textId="77777777" w:rsidR="00073F8F" w:rsidRPr="001B4A02" w:rsidRDefault="00073F8F" w:rsidP="00ED48A3">
      <w:pPr>
        <w:ind w:left="0" w:firstLine="0"/>
        <w:rPr>
          <w:del w:id="12688" w:author="AbbVie1" w:date="2025-05-13T10:11:00Z"/>
        </w:rPr>
      </w:pPr>
    </w:p>
    <w:p w14:paraId="07716C2A" w14:textId="77777777" w:rsidR="00073F8F" w:rsidRPr="001B4A02" w:rsidRDefault="00000000" w:rsidP="00ED48A3">
      <w:pPr>
        <w:numPr>
          <w:ilvl w:val="0"/>
          <w:numId w:val="8"/>
        </w:numPr>
        <w:tabs>
          <w:tab w:val="clear" w:pos="720"/>
          <w:tab w:val="num" w:pos="0"/>
        </w:tabs>
        <w:ind w:left="567" w:hanging="567"/>
        <w:rPr>
          <w:del w:id="12689" w:author="AbbVie1" w:date="2025-05-13T10:11:00Z"/>
        </w:rPr>
      </w:pPr>
      <w:del w:id="12690" w:author="AbbVie1" w:date="2025-05-13T10:11:00Z">
        <w:r w:rsidRPr="001B4A02">
          <w:rPr>
            <w:bCs/>
            <w:szCs w:val="22"/>
          </w:rPr>
          <w:delText xml:space="preserve">U některých pacientů </w:delText>
        </w:r>
        <w:r w:rsidR="00C670F4" w:rsidRPr="001B4A02">
          <w:rPr>
            <w:bCs/>
            <w:szCs w:val="22"/>
          </w:rPr>
          <w:delText xml:space="preserve">nemusí tělo </w:delText>
        </w:r>
        <w:r w:rsidRPr="001B4A02">
          <w:rPr>
            <w:bCs/>
            <w:szCs w:val="22"/>
          </w:rPr>
          <w:delText>vytvářet dostatek krvinek, které pomáhají v boji proti infekcím nebo při zástavě krvácení. Jestliže máte horečku, která neodeznívá, modřiny nebo snadno krvácíte, případně jste velmi bledí, ihned se spojte s lékařem. Lékař se může rozhodnout ukončit léčbu.</w:delText>
        </w:r>
      </w:del>
    </w:p>
    <w:p w14:paraId="254F3232" w14:textId="77777777" w:rsidR="00073F8F" w:rsidRPr="001B4A02" w:rsidRDefault="00073F8F" w:rsidP="00ED48A3">
      <w:pPr>
        <w:ind w:left="0" w:firstLine="0"/>
        <w:rPr>
          <w:del w:id="12691" w:author="AbbVie1" w:date="2025-05-13T10:11:00Z"/>
        </w:rPr>
      </w:pPr>
    </w:p>
    <w:p w14:paraId="6A455EB6" w14:textId="77777777" w:rsidR="00073F8F" w:rsidRPr="001B4A02" w:rsidRDefault="00000000" w:rsidP="00ED48A3">
      <w:pPr>
        <w:pStyle w:val="EndnoteText"/>
        <w:numPr>
          <w:ilvl w:val="0"/>
          <w:numId w:val="8"/>
        </w:numPr>
        <w:tabs>
          <w:tab w:val="clear" w:pos="720"/>
          <w:tab w:val="num" w:pos="0"/>
        </w:tabs>
        <w:ind w:left="567" w:hanging="567"/>
        <w:rPr>
          <w:del w:id="12692" w:author="AbbVie1" w:date="2025-05-13T10:11:00Z"/>
          <w:bCs/>
          <w:szCs w:val="22"/>
          <w:lang w:val="cs-CZ"/>
        </w:rPr>
      </w:pPr>
      <w:del w:id="12693" w:author="AbbVie1" w:date="2025-05-13T10:11:00Z">
        <w:r w:rsidRPr="001B4A02">
          <w:rPr>
            <w:bCs/>
            <w:szCs w:val="22"/>
            <w:lang w:val="cs-CZ"/>
          </w:rPr>
          <w:delText>U </w:delText>
        </w:r>
        <w:r w:rsidR="00914F9D" w:rsidRPr="001B4A02">
          <w:rPr>
            <w:bCs/>
            <w:szCs w:val="22"/>
            <w:lang w:val="cs-CZ"/>
          </w:rPr>
          <w:delText xml:space="preserve">dětských i dospělých </w:delText>
        </w:r>
        <w:r w:rsidRPr="001B4A02">
          <w:rPr>
            <w:bCs/>
            <w:szCs w:val="22"/>
            <w:lang w:val="cs-CZ"/>
          </w:rPr>
          <w:delText xml:space="preserve">pacientů léčených přípravkem Humira nebo jinými blokátory TNF byly popsány vzácné případy výskytu určitých typů rakoviny. Lidé se závažnější formou revmatoidní artritidy, jejichž onemocnění trvá delší dobu, mívají vyšší průměrné riziko vzniku lymfomu </w:delText>
        </w:r>
        <w:r w:rsidR="00914F9D" w:rsidRPr="001B4A02">
          <w:rPr>
            <w:bCs/>
            <w:szCs w:val="22"/>
            <w:lang w:val="cs-CZ"/>
          </w:rPr>
          <w:delText>(</w:delText>
        </w:r>
        <w:r w:rsidRPr="001B4A02">
          <w:rPr>
            <w:bCs/>
            <w:szCs w:val="22"/>
            <w:lang w:val="cs-CZ"/>
          </w:rPr>
          <w:delText>rakovin</w:delText>
        </w:r>
        <w:r w:rsidR="00B015D7" w:rsidRPr="001B4A02">
          <w:rPr>
            <w:bCs/>
            <w:szCs w:val="22"/>
            <w:lang w:val="cs-CZ"/>
          </w:rPr>
          <w:delText>a</w:delText>
        </w:r>
        <w:r w:rsidRPr="001B4A02">
          <w:rPr>
            <w:bCs/>
            <w:szCs w:val="22"/>
            <w:lang w:val="cs-CZ"/>
          </w:rPr>
          <w:delText xml:space="preserve"> postihující mízní systém</w:delText>
        </w:r>
        <w:r w:rsidR="00914F9D" w:rsidRPr="001B4A02">
          <w:rPr>
            <w:bCs/>
            <w:szCs w:val="22"/>
            <w:lang w:val="cs-CZ"/>
          </w:rPr>
          <w:delText>)</w:delText>
        </w:r>
        <w:r w:rsidR="002378E0">
          <w:rPr>
            <w:bCs/>
            <w:szCs w:val="22"/>
            <w:lang w:val="cs-CZ"/>
          </w:rPr>
          <w:delText xml:space="preserve"> a </w:delText>
        </w:r>
        <w:r w:rsidR="00914F9D" w:rsidRPr="001B4A02">
          <w:rPr>
            <w:bCs/>
            <w:szCs w:val="22"/>
            <w:lang w:val="cs-CZ"/>
          </w:rPr>
          <w:delText>leukémie (rakovin</w:delText>
        </w:r>
        <w:r w:rsidR="00B015D7" w:rsidRPr="001B4A02">
          <w:rPr>
            <w:bCs/>
            <w:szCs w:val="22"/>
            <w:lang w:val="cs-CZ"/>
          </w:rPr>
          <w:delText>a</w:delText>
        </w:r>
        <w:r w:rsidR="00914F9D" w:rsidRPr="001B4A02">
          <w:rPr>
            <w:bCs/>
            <w:szCs w:val="22"/>
            <w:lang w:val="cs-CZ"/>
          </w:rPr>
          <w:delText xml:space="preserve"> postihující krev</w:delText>
        </w:r>
        <w:r w:rsidR="002378E0">
          <w:rPr>
            <w:bCs/>
            <w:szCs w:val="22"/>
            <w:lang w:val="cs-CZ"/>
          </w:rPr>
          <w:delText xml:space="preserve"> a </w:delText>
        </w:r>
        <w:r w:rsidR="00914F9D" w:rsidRPr="001B4A02">
          <w:rPr>
            <w:bCs/>
            <w:szCs w:val="22"/>
            <w:lang w:val="cs-CZ"/>
          </w:rPr>
          <w:delText>kostní dřeň)</w:delText>
        </w:r>
        <w:r w:rsidRPr="001B4A02">
          <w:rPr>
            <w:bCs/>
            <w:szCs w:val="22"/>
            <w:lang w:val="cs-CZ"/>
          </w:rPr>
          <w:delText xml:space="preserve">. Jestliže </w:delText>
        </w:r>
        <w:r w:rsidR="00E8231F" w:rsidRPr="001B4A02">
          <w:rPr>
            <w:bCs/>
            <w:szCs w:val="22"/>
            <w:lang w:val="cs-CZ"/>
          </w:rPr>
          <w:delText>po</w:delText>
        </w:r>
        <w:r w:rsidRPr="001B4A02">
          <w:rPr>
            <w:bCs/>
            <w:szCs w:val="22"/>
            <w:lang w:val="cs-CZ"/>
          </w:rPr>
          <w:delText xml:space="preserve">užíváte přípravek Humira, riziko </w:delText>
        </w:r>
        <w:r w:rsidR="00914F9D" w:rsidRPr="001B4A02">
          <w:rPr>
            <w:bCs/>
            <w:szCs w:val="22"/>
            <w:lang w:val="cs-CZ"/>
          </w:rPr>
          <w:delText xml:space="preserve">onemocnění lymfomem, leukémií nebo jiným druhem rakoviny </w:delText>
        </w:r>
        <w:r w:rsidRPr="001B4A02">
          <w:rPr>
            <w:bCs/>
            <w:szCs w:val="22"/>
            <w:lang w:val="cs-CZ"/>
          </w:rPr>
          <w:delText xml:space="preserve">může vzrůst. Ve vzácných </w:delText>
        </w:r>
        <w:r w:rsidR="003600BE" w:rsidRPr="001B4A02">
          <w:rPr>
            <w:bCs/>
            <w:szCs w:val="22"/>
            <w:lang w:val="cs-CZ"/>
          </w:rPr>
          <w:delText>případech byl u </w:delText>
        </w:r>
        <w:r w:rsidRPr="001B4A02">
          <w:rPr>
            <w:bCs/>
            <w:szCs w:val="22"/>
            <w:lang w:val="cs-CZ"/>
          </w:rPr>
          <w:delText xml:space="preserve">pacientů </w:delText>
        </w:r>
        <w:r w:rsidR="00E8231F" w:rsidRPr="001B4A02">
          <w:rPr>
            <w:bCs/>
            <w:szCs w:val="22"/>
            <w:lang w:val="cs-CZ"/>
          </w:rPr>
          <w:delText>po</w:delText>
        </w:r>
        <w:r w:rsidRPr="001B4A02">
          <w:rPr>
            <w:bCs/>
            <w:szCs w:val="22"/>
            <w:lang w:val="cs-CZ"/>
          </w:rPr>
          <w:delText xml:space="preserve">užívajících přípravek Humira pozorován závažný specifický typ lymfomu. Někteří z těchto pacientů byli také léčeni azathioprinem nebo 6-merkaptopurinem. </w:delText>
        </w:r>
        <w:r w:rsidR="001C7AED" w:rsidRPr="001B4A02">
          <w:rPr>
            <w:bCs/>
            <w:szCs w:val="22"/>
            <w:lang w:val="cs-CZ"/>
          </w:rPr>
          <w:delText xml:space="preserve">Oznamte lékaři, pokud Vaše dítě užívá azathioprin nebo 6-merkaptopurin současně s přípravkem Humira. </w:delText>
        </w:r>
        <w:r w:rsidRPr="001B4A02">
          <w:rPr>
            <w:bCs/>
            <w:szCs w:val="22"/>
            <w:lang w:val="cs-CZ"/>
          </w:rPr>
          <w:delText>U pacientů léčených přípravkem Humira byly navíc pozorovány případy kožního karcinomu nemelanomového typu. P</w:delText>
        </w:r>
        <w:r w:rsidR="00ED54DD" w:rsidRPr="001B4A02">
          <w:rPr>
            <w:bCs/>
            <w:szCs w:val="22"/>
            <w:lang w:val="cs-CZ"/>
          </w:rPr>
          <w:delText xml:space="preserve">okud se během léčby nebo po ní </w:delText>
        </w:r>
        <w:r w:rsidRPr="001B4A02">
          <w:rPr>
            <w:bCs/>
            <w:szCs w:val="22"/>
            <w:lang w:val="cs-CZ"/>
          </w:rPr>
          <w:delText>objeví nové kožní léze nebo pokud stávající kožní léze změní vzhled, sdělte to lékaři.</w:delText>
        </w:r>
      </w:del>
    </w:p>
    <w:p w14:paraId="024F4EF4" w14:textId="77777777" w:rsidR="00073F8F" w:rsidRPr="001B4A02" w:rsidRDefault="00073F8F" w:rsidP="00ED48A3">
      <w:pPr>
        <w:pStyle w:val="EndnoteText"/>
        <w:ind w:left="0" w:firstLine="0"/>
        <w:rPr>
          <w:del w:id="12694" w:author="AbbVie1" w:date="2025-05-13T10:11:00Z"/>
          <w:bCs/>
          <w:szCs w:val="22"/>
          <w:lang w:val="cs-CZ"/>
        </w:rPr>
      </w:pPr>
    </w:p>
    <w:p w14:paraId="37948A28" w14:textId="77777777" w:rsidR="00073F8F" w:rsidRPr="001B4A02" w:rsidRDefault="00000000" w:rsidP="00ED48A3">
      <w:pPr>
        <w:pStyle w:val="EndnoteText"/>
        <w:numPr>
          <w:ilvl w:val="0"/>
          <w:numId w:val="8"/>
        </w:numPr>
        <w:tabs>
          <w:tab w:val="clear" w:pos="720"/>
          <w:tab w:val="num" w:pos="0"/>
        </w:tabs>
        <w:ind w:left="567" w:hanging="567"/>
        <w:rPr>
          <w:del w:id="12695" w:author="AbbVie1" w:date="2025-05-13T10:11:00Z"/>
          <w:bCs/>
          <w:szCs w:val="22"/>
          <w:lang w:val="cs-CZ"/>
        </w:rPr>
      </w:pPr>
      <w:del w:id="12696" w:author="AbbVie1" w:date="2025-05-13T10:11:00Z">
        <w:r w:rsidRPr="001B4A02">
          <w:rPr>
            <w:bCs/>
            <w:szCs w:val="22"/>
            <w:lang w:val="cs-CZ"/>
          </w:rPr>
          <w:delText>U pacientů se specifickým typem plicního onemocnění zvaným chronická obstruk</w:delText>
        </w:r>
        <w:r w:rsidR="007F5AA6" w:rsidRPr="001B4A02">
          <w:rPr>
            <w:bCs/>
            <w:szCs w:val="22"/>
            <w:lang w:val="cs-CZ"/>
          </w:rPr>
          <w:delText>č</w:delText>
        </w:r>
        <w:r w:rsidRPr="001B4A02">
          <w:rPr>
            <w:bCs/>
            <w:szCs w:val="22"/>
            <w:lang w:val="cs-CZ"/>
          </w:rPr>
          <w:delText xml:space="preserve">ní choroba plicní (CHOPN), kteří byli léčeni jiným TNF blokátorem, byly hlášeny i případy jiných druhů rakoviny, nežli jsou lymfomy. Jestliže trpíte CHOPN nebo hodně kouříte, </w:delText>
        </w:r>
        <w:r w:rsidR="00D70909" w:rsidRPr="001B4A02">
          <w:rPr>
            <w:bCs/>
            <w:szCs w:val="22"/>
            <w:lang w:val="cs-CZ"/>
          </w:rPr>
          <w:delText>měl</w:delText>
        </w:r>
        <w:r w:rsidR="00D70909">
          <w:rPr>
            <w:bCs/>
            <w:szCs w:val="22"/>
            <w:lang w:val="cs-CZ"/>
          </w:rPr>
          <w:delText>(a)</w:delText>
        </w:r>
        <w:r w:rsidRPr="001B4A02">
          <w:rPr>
            <w:bCs/>
            <w:szCs w:val="22"/>
            <w:lang w:val="cs-CZ"/>
          </w:rPr>
          <w:delText xml:space="preserve"> byste si se svým lékařem promluvit, je</w:delText>
        </w:r>
        <w:r w:rsidR="008A637C" w:rsidRPr="001B4A02">
          <w:rPr>
            <w:bCs/>
            <w:szCs w:val="22"/>
            <w:lang w:val="cs-CZ"/>
          </w:rPr>
          <w:delText>-</w:delText>
        </w:r>
        <w:r w:rsidRPr="001B4A02">
          <w:rPr>
            <w:bCs/>
            <w:szCs w:val="22"/>
            <w:lang w:val="cs-CZ"/>
          </w:rPr>
          <w:delText>li pro Vás léčba blokátorem TNF vhodná.</w:delText>
        </w:r>
      </w:del>
    </w:p>
    <w:p w14:paraId="5884FE1E" w14:textId="77777777" w:rsidR="00A94BD7" w:rsidRPr="001B4A02" w:rsidRDefault="00A94BD7" w:rsidP="001E322F">
      <w:pPr>
        <w:rPr>
          <w:del w:id="12697" w:author="AbbVie1" w:date="2025-05-13T10:11:00Z"/>
        </w:rPr>
      </w:pPr>
    </w:p>
    <w:p w14:paraId="0115B0B9" w14:textId="77777777" w:rsidR="00A94BD7" w:rsidRPr="001B4A02" w:rsidRDefault="00000000" w:rsidP="00BF5B99">
      <w:pPr>
        <w:numPr>
          <w:ilvl w:val="0"/>
          <w:numId w:val="254"/>
        </w:numPr>
        <w:ind w:left="567" w:hanging="567"/>
        <w:rPr>
          <w:del w:id="12698" w:author="AbbVie1" w:date="2025-05-13T10:11:00Z"/>
        </w:rPr>
      </w:pPr>
      <w:del w:id="12699" w:author="AbbVie1" w:date="2025-05-13T10:11:00Z">
        <w:r w:rsidRPr="001B4A02">
          <w:delText>Vzácně může vést léčba přípravkem Humira k </w:delText>
        </w:r>
        <w:r w:rsidR="00744B46" w:rsidRPr="001B4A02">
          <w:delText>příznakům podobajícím se onemocnění zvanému</w:delText>
        </w:r>
        <w:r w:rsidRPr="001B4A02">
          <w:delText xml:space="preserve"> lupus. Pokud se objeví</w:delText>
        </w:r>
        <w:r w:rsidR="00BF5B99" w:rsidRPr="001B4A02">
          <w:delText xml:space="preserve"> </w:delText>
        </w:r>
        <w:r w:rsidRPr="001B4A02">
          <w:delText xml:space="preserve">příznaky, jako je trvalá nevysvětlitelná </w:delText>
        </w:r>
        <w:r w:rsidR="007815F1">
          <w:delText xml:space="preserve">vyrážka, </w:delText>
        </w:r>
        <w:r w:rsidRPr="001B4A02">
          <w:delText>horečka, bolest kloubů nebo únava, kontaktujte svého lékaře.</w:delText>
        </w:r>
      </w:del>
    </w:p>
    <w:p w14:paraId="38296B4B" w14:textId="77777777" w:rsidR="00073F8F" w:rsidRPr="001B4A02" w:rsidRDefault="00073F8F" w:rsidP="00ED48A3">
      <w:pPr>
        <w:pStyle w:val="EndnoteText"/>
        <w:ind w:left="0" w:firstLine="0"/>
        <w:rPr>
          <w:del w:id="12700" w:author="AbbVie1" w:date="2025-05-13T10:11:00Z"/>
          <w:bCs/>
          <w:szCs w:val="22"/>
          <w:lang w:val="cs-CZ"/>
        </w:rPr>
      </w:pPr>
    </w:p>
    <w:p w14:paraId="2805FE08" w14:textId="77777777" w:rsidR="00986502" w:rsidRPr="001B4A02" w:rsidRDefault="00000000" w:rsidP="00ED48A3">
      <w:pPr>
        <w:pStyle w:val="EndnoteText"/>
        <w:ind w:left="0" w:firstLine="0"/>
        <w:rPr>
          <w:del w:id="12701" w:author="AbbVie1" w:date="2025-05-13T10:11:00Z"/>
          <w:b/>
          <w:bCs/>
          <w:szCs w:val="22"/>
          <w:lang w:val="cs-CZ"/>
        </w:rPr>
      </w:pPr>
      <w:del w:id="12702" w:author="AbbVie1" w:date="2025-05-13T10:11:00Z">
        <w:r w:rsidRPr="001B4A02">
          <w:rPr>
            <w:b/>
            <w:bCs/>
            <w:szCs w:val="22"/>
            <w:lang w:val="cs-CZ"/>
          </w:rPr>
          <w:delText>Děti</w:delText>
        </w:r>
        <w:r w:rsidR="002378E0">
          <w:rPr>
            <w:b/>
            <w:bCs/>
            <w:szCs w:val="22"/>
            <w:lang w:val="cs-CZ"/>
          </w:rPr>
          <w:delText xml:space="preserve"> a </w:delText>
        </w:r>
        <w:r w:rsidRPr="001B4A02">
          <w:rPr>
            <w:b/>
            <w:bCs/>
            <w:szCs w:val="22"/>
            <w:lang w:val="cs-CZ"/>
          </w:rPr>
          <w:delText>dospívající</w:delText>
        </w:r>
      </w:del>
    </w:p>
    <w:p w14:paraId="08EF396C" w14:textId="77777777" w:rsidR="00986502" w:rsidRPr="001B4A02" w:rsidRDefault="00986502" w:rsidP="00ED48A3">
      <w:pPr>
        <w:pStyle w:val="EndnoteText"/>
        <w:ind w:left="0" w:firstLine="0"/>
        <w:rPr>
          <w:del w:id="12703" w:author="AbbVie1" w:date="2025-05-13T10:11:00Z"/>
          <w:bCs/>
          <w:szCs w:val="22"/>
          <w:lang w:val="cs-CZ"/>
        </w:rPr>
      </w:pPr>
    </w:p>
    <w:p w14:paraId="5C7AA6C5" w14:textId="77777777" w:rsidR="00986502" w:rsidRPr="001B4A02" w:rsidRDefault="00000000" w:rsidP="00ED48A3">
      <w:pPr>
        <w:pStyle w:val="EndnoteText"/>
        <w:numPr>
          <w:ilvl w:val="0"/>
          <w:numId w:val="229"/>
        </w:numPr>
        <w:ind w:left="567" w:hanging="567"/>
        <w:rPr>
          <w:del w:id="12704" w:author="AbbVie1" w:date="2025-05-13T10:11:00Z"/>
          <w:bCs/>
          <w:szCs w:val="22"/>
          <w:lang w:val="cs-CZ"/>
        </w:rPr>
      </w:pPr>
      <w:del w:id="12705" w:author="AbbVie1" w:date="2025-05-13T10:11:00Z">
        <w:r w:rsidRPr="001B4A02">
          <w:rPr>
            <w:bCs/>
            <w:szCs w:val="22"/>
            <w:lang w:val="cs-CZ"/>
          </w:rPr>
          <w:delText>Očkování: pokud je to možné, mělo by být Vaše dítě očkováno ještě předtím, než začne</w:delText>
        </w:r>
        <w:r w:rsidR="00032F16" w:rsidRPr="001B4A02">
          <w:rPr>
            <w:bCs/>
            <w:szCs w:val="22"/>
            <w:lang w:val="cs-CZ"/>
          </w:rPr>
          <w:delText xml:space="preserve"> </w:delText>
        </w:r>
        <w:r w:rsidRPr="001B4A02">
          <w:rPr>
            <w:bCs/>
            <w:szCs w:val="22"/>
            <w:lang w:val="cs-CZ"/>
          </w:rPr>
          <w:delText xml:space="preserve">přípravek Humira </w:delText>
        </w:r>
        <w:r w:rsidR="00375B03" w:rsidRPr="001B4A02">
          <w:rPr>
            <w:bCs/>
            <w:szCs w:val="22"/>
            <w:lang w:val="cs-CZ"/>
          </w:rPr>
          <w:delText>po</w:delText>
        </w:r>
        <w:r w:rsidRPr="001B4A02">
          <w:rPr>
            <w:bCs/>
            <w:szCs w:val="22"/>
            <w:lang w:val="cs-CZ"/>
          </w:rPr>
          <w:delText>užívat</w:delText>
        </w:r>
        <w:r w:rsidR="00642F60" w:rsidRPr="001B4A02">
          <w:rPr>
            <w:bCs/>
            <w:szCs w:val="22"/>
            <w:lang w:val="cs-CZ"/>
          </w:rPr>
          <w:delText>.</w:delText>
        </w:r>
      </w:del>
    </w:p>
    <w:p w14:paraId="685CB8CB" w14:textId="77777777" w:rsidR="00986502" w:rsidRPr="001B4A02" w:rsidRDefault="00000000" w:rsidP="00ED48A3">
      <w:pPr>
        <w:pStyle w:val="EndnoteText"/>
        <w:numPr>
          <w:ilvl w:val="0"/>
          <w:numId w:val="229"/>
        </w:numPr>
        <w:ind w:left="567" w:hanging="567"/>
        <w:rPr>
          <w:del w:id="12706" w:author="AbbVie1" w:date="2025-05-13T10:11:00Z"/>
          <w:bCs/>
          <w:szCs w:val="22"/>
          <w:lang w:val="cs-CZ"/>
        </w:rPr>
      </w:pPr>
      <w:del w:id="12707" w:author="AbbVie1" w:date="2025-05-13T10:11:00Z">
        <w:r w:rsidRPr="001B4A02">
          <w:rPr>
            <w:bCs/>
            <w:szCs w:val="22"/>
            <w:lang w:val="cs-CZ"/>
          </w:rPr>
          <w:delText>Pří</w:delText>
        </w:r>
        <w:r w:rsidR="00003540" w:rsidRPr="001B4A02">
          <w:rPr>
            <w:bCs/>
            <w:szCs w:val="22"/>
            <w:lang w:val="cs-CZ"/>
          </w:rPr>
          <w:delText>pravek Humira nepodávejte dítět</w:delText>
        </w:r>
        <w:r w:rsidRPr="001B4A02">
          <w:rPr>
            <w:bCs/>
            <w:szCs w:val="22"/>
            <w:lang w:val="cs-CZ"/>
          </w:rPr>
          <w:delText>i s</w:delText>
        </w:r>
        <w:r w:rsidR="000C2348" w:rsidRPr="001B4A02">
          <w:rPr>
            <w:bCs/>
            <w:szCs w:val="22"/>
            <w:lang w:val="cs-CZ"/>
          </w:rPr>
          <w:delText> </w:delText>
        </w:r>
        <w:r w:rsidRPr="001B4A02">
          <w:rPr>
            <w:bCs/>
            <w:szCs w:val="22"/>
            <w:lang w:val="cs-CZ"/>
          </w:rPr>
          <w:delText>polyartikulární juvenilní idiopatickou artritidou, pokud je</w:delText>
        </w:r>
        <w:r w:rsidR="00032F16" w:rsidRPr="001B4A02">
          <w:rPr>
            <w:bCs/>
            <w:szCs w:val="22"/>
            <w:lang w:val="cs-CZ"/>
          </w:rPr>
          <w:delText xml:space="preserve"> </w:delText>
        </w:r>
        <w:r w:rsidRPr="001B4A02">
          <w:rPr>
            <w:bCs/>
            <w:szCs w:val="22"/>
            <w:lang w:val="cs-CZ"/>
          </w:rPr>
          <w:delText>mladší 2 let</w:delText>
        </w:r>
        <w:r w:rsidR="00642F60" w:rsidRPr="001B4A02">
          <w:rPr>
            <w:bCs/>
            <w:szCs w:val="22"/>
            <w:lang w:val="cs-CZ"/>
          </w:rPr>
          <w:delText>.</w:delText>
        </w:r>
      </w:del>
    </w:p>
    <w:p w14:paraId="482A2CCC" w14:textId="77777777" w:rsidR="00986502" w:rsidRPr="001B4A02" w:rsidRDefault="00986502" w:rsidP="00ED48A3">
      <w:pPr>
        <w:ind w:left="0" w:firstLine="0"/>
        <w:rPr>
          <w:del w:id="12708" w:author="AbbVie1" w:date="2025-05-13T10:11:00Z"/>
          <w:b/>
        </w:rPr>
      </w:pPr>
    </w:p>
    <w:p w14:paraId="15055AEA" w14:textId="77777777" w:rsidR="00986502" w:rsidRPr="001B4A02" w:rsidRDefault="00000000" w:rsidP="00EB32F5">
      <w:pPr>
        <w:keepNext/>
        <w:ind w:left="0" w:firstLine="0"/>
        <w:rPr>
          <w:del w:id="12709" w:author="AbbVie1" w:date="2025-05-13T10:11:00Z"/>
          <w:b/>
        </w:rPr>
      </w:pPr>
      <w:del w:id="12710" w:author="AbbVie1" w:date="2025-05-13T10:11:00Z">
        <w:r w:rsidRPr="001B4A02">
          <w:rPr>
            <w:b/>
          </w:rPr>
          <w:delText>Další léčivé přípravky</w:delText>
        </w:r>
        <w:r w:rsidR="002378E0">
          <w:rPr>
            <w:b/>
          </w:rPr>
          <w:delText xml:space="preserve"> a </w:delText>
        </w:r>
        <w:r w:rsidRPr="001B4A02">
          <w:rPr>
            <w:b/>
          </w:rPr>
          <w:delText>přípravek Humira</w:delText>
        </w:r>
      </w:del>
    </w:p>
    <w:p w14:paraId="097D7D75" w14:textId="77777777" w:rsidR="00986502" w:rsidRPr="001B4A02" w:rsidRDefault="00986502" w:rsidP="00EB32F5">
      <w:pPr>
        <w:keepNext/>
        <w:ind w:left="0" w:firstLine="0"/>
        <w:rPr>
          <w:del w:id="12711" w:author="AbbVie1" w:date="2025-05-13T10:11:00Z"/>
        </w:rPr>
      </w:pPr>
    </w:p>
    <w:p w14:paraId="2E4298B1" w14:textId="77777777" w:rsidR="00986502" w:rsidRPr="001B4A02" w:rsidRDefault="00000000" w:rsidP="007E416D">
      <w:pPr>
        <w:ind w:left="0" w:firstLine="0"/>
        <w:rPr>
          <w:del w:id="12712" w:author="AbbVie1" w:date="2025-05-13T10:11:00Z"/>
        </w:rPr>
      </w:pPr>
      <w:del w:id="12713" w:author="AbbVie1" w:date="2025-05-13T10:11:00Z">
        <w:r w:rsidRPr="001B4A02">
          <w:delText>Informujte svého l</w:delText>
        </w:r>
        <w:r w:rsidR="00063784" w:rsidRPr="001B4A02">
          <w:delText>ékaře nebo lékárníka o </w:delText>
        </w:r>
        <w:r w:rsidR="00003540" w:rsidRPr="001B4A02">
          <w:delText>všech léc</w:delText>
        </w:r>
        <w:r w:rsidRPr="001B4A02">
          <w:delText>ích, které užíváte, které jste v nedávné době užíval</w:delText>
        </w:r>
        <w:r w:rsidR="00642F60" w:rsidRPr="001B4A02">
          <w:delText>(a)</w:delText>
        </w:r>
        <w:r w:rsidRPr="001B4A02">
          <w:delText xml:space="preserve"> nebo které možná bude</w:delText>
        </w:r>
        <w:r w:rsidR="003B6669" w:rsidRPr="001B4A02">
          <w:delText>te</w:delText>
        </w:r>
        <w:r w:rsidRPr="001B4A02">
          <w:delText xml:space="preserve"> užívat.</w:delText>
        </w:r>
      </w:del>
    </w:p>
    <w:p w14:paraId="4BE89811" w14:textId="77777777" w:rsidR="00073F8F" w:rsidRPr="001B4A02" w:rsidRDefault="00073F8F" w:rsidP="007E416D">
      <w:pPr>
        <w:ind w:left="0" w:firstLine="0"/>
        <w:rPr>
          <w:del w:id="12714" w:author="AbbVie1" w:date="2025-05-13T10:11:00Z"/>
        </w:rPr>
      </w:pPr>
    </w:p>
    <w:p w14:paraId="351E8EE1" w14:textId="77777777" w:rsidR="00073F8F" w:rsidRPr="001B4A02" w:rsidRDefault="00000000" w:rsidP="00ED48A3">
      <w:pPr>
        <w:ind w:left="0" w:firstLine="0"/>
        <w:rPr>
          <w:del w:id="12715" w:author="AbbVie1" w:date="2025-05-13T10:11:00Z"/>
        </w:rPr>
      </w:pPr>
      <w:del w:id="12716" w:author="AbbVie1" w:date="2025-05-13T10:11:00Z">
        <w:r w:rsidRPr="001B4A02">
          <w:delText xml:space="preserve">Přípravek Humira lze </w:delText>
        </w:r>
        <w:r w:rsidR="00375B03" w:rsidRPr="001B4A02">
          <w:delText>po</w:delText>
        </w:r>
        <w:r w:rsidRPr="001B4A02">
          <w:delText>užívat společně s methotrexátem nebo některými chorobu modifikujícími antirevmatiky (sulfasalazin, hydroxychlorochin, leflunomid</w:delText>
        </w:r>
        <w:r w:rsidR="002378E0">
          <w:delText xml:space="preserve"> a </w:delText>
        </w:r>
        <w:r w:rsidRPr="001B4A02">
          <w:delText>injekční přípravky s obsahem solí zlata), steroidy nebo léky proti bolestem,</w:delText>
        </w:r>
        <w:r w:rsidR="002378E0">
          <w:delText xml:space="preserve"> a </w:delText>
        </w:r>
        <w:r w:rsidRPr="001B4A02">
          <w:delText>to i s nesteroidními antirevmatiky (NSAID).</w:delText>
        </w:r>
      </w:del>
    </w:p>
    <w:p w14:paraId="705C2B3F" w14:textId="77777777" w:rsidR="00073F8F" w:rsidRPr="001B4A02" w:rsidRDefault="00073F8F" w:rsidP="00ED48A3">
      <w:pPr>
        <w:pStyle w:val="EMEANormal"/>
        <w:tabs>
          <w:tab w:val="clear" w:pos="562"/>
        </w:tabs>
        <w:suppressAutoHyphens w:val="0"/>
        <w:rPr>
          <w:del w:id="12717" w:author="AbbVie1" w:date="2025-05-13T10:11:00Z"/>
          <w:lang w:val="cs-CZ"/>
        </w:rPr>
      </w:pPr>
    </w:p>
    <w:p w14:paraId="1AF4041A" w14:textId="77777777" w:rsidR="00073F8F" w:rsidRPr="001B4A02" w:rsidRDefault="00000000" w:rsidP="00ED48A3">
      <w:pPr>
        <w:pStyle w:val="EMEANormal"/>
        <w:tabs>
          <w:tab w:val="clear" w:pos="562"/>
        </w:tabs>
        <w:suppressAutoHyphens w:val="0"/>
        <w:rPr>
          <w:del w:id="12718" w:author="AbbVie1" w:date="2025-05-13T10:11:00Z"/>
          <w:bCs/>
          <w:szCs w:val="22"/>
          <w:lang w:val="cs-CZ"/>
        </w:rPr>
      </w:pPr>
      <w:del w:id="12719" w:author="AbbVie1" w:date="2025-05-13T10:11:00Z">
        <w:r w:rsidRPr="001B4A02">
          <w:rPr>
            <w:bCs/>
            <w:szCs w:val="22"/>
            <w:lang w:val="cs-CZ"/>
          </w:rPr>
          <w:delText xml:space="preserve">Přípravek Humira nesmíte </w:delText>
        </w:r>
        <w:r w:rsidR="008B3392" w:rsidRPr="001B4A02">
          <w:rPr>
            <w:lang w:val="cs-CZ"/>
          </w:rPr>
          <w:delText xml:space="preserve">z důvodu </w:delText>
        </w:r>
        <w:r w:rsidR="008B3392" w:rsidRPr="001B4A02">
          <w:rPr>
            <w:bCs/>
            <w:szCs w:val="22"/>
            <w:lang w:val="cs-CZ"/>
          </w:rPr>
          <w:delText xml:space="preserve">zvýšeného rizika závažné infekce </w:delText>
        </w:r>
        <w:r w:rsidR="00375B03" w:rsidRPr="001B4A02">
          <w:rPr>
            <w:bCs/>
            <w:szCs w:val="22"/>
            <w:lang w:val="cs-CZ"/>
          </w:rPr>
          <w:delText>po</w:delText>
        </w:r>
        <w:r w:rsidRPr="001B4A02">
          <w:rPr>
            <w:bCs/>
            <w:szCs w:val="22"/>
            <w:lang w:val="cs-CZ"/>
          </w:rPr>
          <w:delText xml:space="preserve">užívat s léky, které obsahují </w:delText>
        </w:r>
        <w:r w:rsidR="0033628A" w:rsidRPr="001B4A02">
          <w:rPr>
            <w:bCs/>
            <w:szCs w:val="22"/>
            <w:lang w:val="cs-CZ"/>
          </w:rPr>
          <w:delText xml:space="preserve">léčivé </w:delText>
        </w:r>
        <w:r w:rsidRPr="001B4A02">
          <w:rPr>
            <w:bCs/>
            <w:szCs w:val="22"/>
            <w:lang w:val="cs-CZ"/>
          </w:rPr>
          <w:delText>látk</w:delText>
        </w:r>
        <w:r w:rsidR="0033628A" w:rsidRPr="001B4A02">
          <w:rPr>
            <w:bCs/>
            <w:szCs w:val="22"/>
            <w:lang w:val="cs-CZ"/>
          </w:rPr>
          <w:delText>y</w:delText>
        </w:r>
        <w:r w:rsidRPr="001B4A02">
          <w:rPr>
            <w:bCs/>
            <w:szCs w:val="22"/>
            <w:lang w:val="cs-CZ"/>
          </w:rPr>
          <w:delText xml:space="preserve"> anakinra nebo abatacept. Máte-li nějaké dotazy, zeptejte se prosím svého lékaře.</w:delText>
        </w:r>
      </w:del>
    </w:p>
    <w:p w14:paraId="1E4E28CC" w14:textId="77777777" w:rsidR="00073F8F" w:rsidRPr="001B4A02" w:rsidRDefault="00073F8F" w:rsidP="00ED48A3">
      <w:pPr>
        <w:pStyle w:val="EMEANormal"/>
        <w:tabs>
          <w:tab w:val="clear" w:pos="562"/>
        </w:tabs>
        <w:suppressAutoHyphens w:val="0"/>
        <w:rPr>
          <w:del w:id="12720" w:author="AbbVie1" w:date="2025-05-13T10:11:00Z"/>
          <w:bCs/>
          <w:szCs w:val="22"/>
          <w:lang w:val="cs-CZ"/>
        </w:rPr>
      </w:pPr>
    </w:p>
    <w:p w14:paraId="377FDB4C" w14:textId="77777777" w:rsidR="00073F8F" w:rsidRPr="001B4A02" w:rsidRDefault="00000000" w:rsidP="00ED48A3">
      <w:pPr>
        <w:rPr>
          <w:del w:id="12721" w:author="AbbVie1" w:date="2025-05-13T10:11:00Z"/>
          <w:b/>
        </w:rPr>
      </w:pPr>
      <w:del w:id="12722" w:author="AbbVie1" w:date="2025-05-13T10:11:00Z">
        <w:r w:rsidRPr="001B4A02">
          <w:rPr>
            <w:b/>
          </w:rPr>
          <w:delText>Těhotenství</w:delText>
        </w:r>
        <w:r w:rsidR="002378E0">
          <w:rPr>
            <w:b/>
          </w:rPr>
          <w:delText xml:space="preserve"> a </w:delText>
        </w:r>
        <w:r w:rsidRPr="001B4A02">
          <w:rPr>
            <w:b/>
          </w:rPr>
          <w:delText>kojení</w:delText>
        </w:r>
      </w:del>
    </w:p>
    <w:p w14:paraId="3F0CCD7F" w14:textId="77777777" w:rsidR="00073F8F" w:rsidRPr="001B4A02" w:rsidRDefault="00073F8F" w:rsidP="00ED48A3">
      <w:pPr>
        <w:ind w:left="0" w:firstLine="0"/>
        <w:rPr>
          <w:del w:id="12723" w:author="AbbVie1" w:date="2025-05-13T10:11:00Z"/>
        </w:rPr>
      </w:pPr>
    </w:p>
    <w:p w14:paraId="693467A3" w14:textId="77777777" w:rsidR="00DA51D1" w:rsidRDefault="00000000" w:rsidP="00DA51D1">
      <w:pPr>
        <w:pStyle w:val="ListParagraph"/>
        <w:numPr>
          <w:ilvl w:val="0"/>
          <w:numId w:val="268"/>
        </w:numPr>
        <w:rPr>
          <w:del w:id="12724" w:author="AbbVie1" w:date="2025-05-13T10:11:00Z"/>
        </w:rPr>
      </w:pPr>
      <w:del w:id="12725" w:author="AbbVie1" w:date="2025-05-13T10:11:00Z">
        <w:r>
          <w:delText>Máte zvážit použití vhodné antikoncepce k prevenci těhotenství</w:delText>
        </w:r>
        <w:r w:rsidR="002378E0">
          <w:delText xml:space="preserve"> a </w:delText>
        </w:r>
        <w:r>
          <w:delText>pokračovat v jejím užívání</w:delText>
        </w:r>
        <w:r w:rsidRPr="001B4A02">
          <w:delText xml:space="preserve"> po dobu nejméně pěti měsíců po posledním podání přípravku Humira.</w:delText>
        </w:r>
      </w:del>
    </w:p>
    <w:p w14:paraId="1A78C4A4" w14:textId="77777777" w:rsidR="00DA51D1" w:rsidRDefault="00000000" w:rsidP="00DA51D1">
      <w:pPr>
        <w:pStyle w:val="ListParagraph"/>
        <w:numPr>
          <w:ilvl w:val="0"/>
          <w:numId w:val="266"/>
        </w:numPr>
        <w:rPr>
          <w:del w:id="12726" w:author="AbbVie1" w:date="2025-05-13T10:11:00Z"/>
        </w:rPr>
      </w:pPr>
      <w:del w:id="12727" w:author="AbbVie1" w:date="2025-05-13T10:11:00Z">
        <w:r>
          <w:delText>Pokud jste těhotná, domníváte se, že můžete být těhotná</w:delText>
        </w:r>
        <w:r w:rsidR="00196227">
          <w:delText>,</w:delText>
        </w:r>
        <w:r>
          <w:delText xml:space="preserve"> nebo plánujete otěhotnět, požádejte svého lékaře o</w:delText>
        </w:r>
        <w:r w:rsidR="00563486">
          <w:delText> </w:delText>
        </w:r>
        <w:r>
          <w:delText>doporučení týkající se užívání tohoto přípravku.</w:delText>
        </w:r>
      </w:del>
    </w:p>
    <w:p w14:paraId="261C74B0" w14:textId="77777777" w:rsidR="00DA51D1" w:rsidRDefault="00000000" w:rsidP="00DA51D1">
      <w:pPr>
        <w:pStyle w:val="ListParagraph"/>
        <w:numPr>
          <w:ilvl w:val="0"/>
          <w:numId w:val="266"/>
        </w:numPr>
        <w:rPr>
          <w:del w:id="12728" w:author="AbbVie1" w:date="2025-05-13T10:11:00Z"/>
        </w:rPr>
      </w:pPr>
      <w:del w:id="12729" w:author="AbbVie1" w:date="2025-05-13T10:11:00Z">
        <w:r>
          <w:delText>Přípravek Humira má být užíván během těhotenství pouze tehdy, je-li to nezbytně nutné.</w:delText>
        </w:r>
      </w:del>
    </w:p>
    <w:p w14:paraId="2CB544C1" w14:textId="77777777" w:rsidR="00DA51D1" w:rsidRDefault="00000000" w:rsidP="00DA51D1">
      <w:pPr>
        <w:pStyle w:val="ListParagraph"/>
        <w:numPr>
          <w:ilvl w:val="0"/>
          <w:numId w:val="266"/>
        </w:numPr>
        <w:rPr>
          <w:del w:id="12730" w:author="AbbVie1" w:date="2025-05-13T10:11:00Z"/>
        </w:rPr>
      </w:pPr>
      <w:del w:id="12731" w:author="AbbVie1" w:date="2025-05-13T10:11:00Z">
        <w:r>
          <w:delText>Na základě studie prováděné u</w:delText>
        </w:r>
        <w:r w:rsidR="00563486">
          <w:delText> </w:delText>
        </w:r>
        <w:r>
          <w:delText>těhotných žen nebylo zjištěno zvýšené riziko vrozených vad, pokud matka během těhotenství užívala přípravek Humira, ve srovnání s matkami se stejným onemocněním, které přípravek Humira neužívaly.</w:delText>
        </w:r>
      </w:del>
    </w:p>
    <w:p w14:paraId="411B5829" w14:textId="77777777" w:rsidR="00DA51D1" w:rsidRDefault="00000000" w:rsidP="00DA51D1">
      <w:pPr>
        <w:pStyle w:val="ListParagraph"/>
        <w:numPr>
          <w:ilvl w:val="0"/>
          <w:numId w:val="266"/>
        </w:numPr>
        <w:rPr>
          <w:del w:id="12732" w:author="AbbVie1" w:date="2025-05-13T10:11:00Z"/>
        </w:rPr>
      </w:pPr>
      <w:del w:id="12733" w:author="AbbVie1" w:date="2025-05-13T10:11:00Z">
        <w:r>
          <w:delText>Přípravek Humira lze podávat během kojení.</w:delText>
        </w:r>
      </w:del>
    </w:p>
    <w:p w14:paraId="5111F1A3" w14:textId="77777777" w:rsidR="00DA51D1" w:rsidRDefault="00000000" w:rsidP="00DA51D1">
      <w:pPr>
        <w:pStyle w:val="ListParagraph"/>
        <w:numPr>
          <w:ilvl w:val="0"/>
          <w:numId w:val="266"/>
        </w:numPr>
        <w:rPr>
          <w:del w:id="12734" w:author="AbbVie1" w:date="2025-05-13T10:11:00Z"/>
        </w:rPr>
      </w:pPr>
      <w:del w:id="12735" w:author="AbbVie1" w:date="2025-05-13T10:11:00Z">
        <w:r>
          <w:delText>Jestliže jste používala</w:delText>
        </w:r>
        <w:r w:rsidRPr="001B4A02">
          <w:delText xml:space="preserve"> přípravek Humira během těhotenství, může být </w:delText>
        </w:r>
        <w:r>
          <w:delText>Vaše</w:delText>
        </w:r>
        <w:r w:rsidRPr="001B4A02">
          <w:delText xml:space="preserve"> dítě náchylnější k infekcím.</w:delText>
        </w:r>
      </w:del>
    </w:p>
    <w:p w14:paraId="386FE4C3" w14:textId="77777777" w:rsidR="00496866" w:rsidRDefault="00000000" w:rsidP="00496866">
      <w:pPr>
        <w:pStyle w:val="ListParagraph"/>
        <w:numPr>
          <w:ilvl w:val="0"/>
          <w:numId w:val="266"/>
        </w:numPr>
        <w:rPr>
          <w:del w:id="12736" w:author="AbbVie1" w:date="2025-05-13T10:11:00Z"/>
        </w:rPr>
      </w:pPr>
      <w:del w:id="12737" w:author="AbbVie1" w:date="2025-05-13T10:11:00Z">
        <w:r w:rsidRPr="001B4A02">
          <w:delText>Je důležité, abyste informovala dětského lékaře</w:delText>
        </w:r>
        <w:r w:rsidR="002378E0">
          <w:delText xml:space="preserve"> a </w:delText>
        </w:r>
        <w:r w:rsidRPr="001B4A02">
          <w:delText>ostatní zdravotnické pracovníky před očkováním</w:delText>
        </w:r>
        <w:r>
          <w:delText xml:space="preserve"> Vašeho</w:delText>
        </w:r>
        <w:r w:rsidRPr="001B4A02">
          <w:delText xml:space="preserve"> dítěte, že </w:delText>
        </w:r>
        <w:r>
          <w:delText xml:space="preserve">jste </w:delText>
        </w:r>
        <w:r w:rsidRPr="001B4A02">
          <w:delText>během těhotenství používala přípravek Humira</w:delText>
        </w:r>
        <w:r>
          <w:delText>.</w:delText>
        </w:r>
        <w:r w:rsidRPr="00496866">
          <w:delText xml:space="preserve"> </w:delText>
        </w:r>
        <w:r w:rsidRPr="001B4A02">
          <w:delText xml:space="preserve">Více informací </w:delText>
        </w:r>
        <w:r>
          <w:delText>týkající</w:delText>
        </w:r>
        <w:r w:rsidR="00196227">
          <w:delText>ch</w:delText>
        </w:r>
        <w:r>
          <w:delText xml:space="preserve"> se očkování </w:delText>
        </w:r>
        <w:r w:rsidRPr="001B4A02">
          <w:delText xml:space="preserve">najdete v části </w:delText>
        </w:r>
        <w:r w:rsidR="00563486">
          <w:delText>„</w:delText>
        </w:r>
        <w:r>
          <w:delText>Upozornění</w:delText>
        </w:r>
        <w:r w:rsidR="002378E0">
          <w:delText xml:space="preserve"> a </w:delText>
        </w:r>
        <w:r>
          <w:delText>opatření“</w:delText>
        </w:r>
        <w:r w:rsidRPr="001B4A02">
          <w:delText>.</w:delText>
        </w:r>
      </w:del>
    </w:p>
    <w:p w14:paraId="37A7F1EB" w14:textId="77777777" w:rsidR="00073F8F" w:rsidRPr="001B4A02" w:rsidRDefault="00073F8F" w:rsidP="0009084E">
      <w:pPr>
        <w:ind w:left="0" w:firstLine="0"/>
        <w:rPr>
          <w:del w:id="12738" w:author="AbbVie1" w:date="2025-05-13T10:11:00Z"/>
        </w:rPr>
      </w:pPr>
    </w:p>
    <w:p w14:paraId="40F89F7C" w14:textId="77777777" w:rsidR="00073F8F" w:rsidRPr="001B4A02" w:rsidRDefault="00000000" w:rsidP="0009084E">
      <w:pPr>
        <w:pStyle w:val="EMEANormal"/>
        <w:tabs>
          <w:tab w:val="clear" w:pos="562"/>
        </w:tabs>
        <w:suppressAutoHyphens w:val="0"/>
        <w:rPr>
          <w:del w:id="12739" w:author="AbbVie1" w:date="2025-05-13T10:11:00Z"/>
          <w:b/>
          <w:bCs/>
          <w:lang w:val="cs-CZ"/>
        </w:rPr>
      </w:pPr>
      <w:del w:id="12740" w:author="AbbVie1" w:date="2025-05-13T10:11:00Z">
        <w:r w:rsidRPr="001B4A02">
          <w:rPr>
            <w:b/>
            <w:bCs/>
            <w:lang w:val="cs-CZ"/>
          </w:rPr>
          <w:delText>Řízení dopravních prostředků</w:delText>
        </w:r>
        <w:r w:rsidR="002378E0">
          <w:rPr>
            <w:b/>
            <w:bCs/>
            <w:lang w:val="cs-CZ"/>
          </w:rPr>
          <w:delText xml:space="preserve"> a </w:delText>
        </w:r>
        <w:r w:rsidRPr="001B4A02">
          <w:rPr>
            <w:b/>
            <w:bCs/>
            <w:lang w:val="cs-CZ"/>
          </w:rPr>
          <w:delText>obsluha strojů</w:delText>
        </w:r>
      </w:del>
    </w:p>
    <w:p w14:paraId="1D0B2D18" w14:textId="77777777" w:rsidR="007F7787" w:rsidRPr="001B4A02" w:rsidRDefault="007F7787" w:rsidP="0009084E">
      <w:pPr>
        <w:ind w:left="0" w:firstLine="0"/>
        <w:rPr>
          <w:del w:id="12741" w:author="AbbVie1" w:date="2025-05-13T10:11:00Z"/>
          <w:b/>
        </w:rPr>
      </w:pPr>
    </w:p>
    <w:p w14:paraId="50CDAB6A" w14:textId="77777777" w:rsidR="00073F8F" w:rsidRPr="001B4A02" w:rsidRDefault="00000000" w:rsidP="0009084E">
      <w:pPr>
        <w:numPr>
          <w:ilvl w:val="12"/>
          <w:numId w:val="0"/>
        </w:numPr>
        <w:rPr>
          <w:del w:id="12742" w:author="AbbVie1" w:date="2025-05-13T10:11:00Z"/>
        </w:rPr>
      </w:pPr>
      <w:del w:id="12743" w:author="AbbVie1" w:date="2025-05-13T10:11:00Z">
        <w:r w:rsidRPr="001B4A02">
          <w:delText>Přípravek Humira může mít podružný vliv na schopnost řídit</w:delText>
        </w:r>
        <w:r w:rsidR="005F59C4" w:rsidRPr="001B4A02">
          <w:delText>, jezdit na kole nebo</w:delText>
        </w:r>
        <w:r w:rsidRPr="001B4A02">
          <w:delText xml:space="preserve"> obsluhovat stroje. Po </w:delText>
        </w:r>
        <w:r w:rsidR="002710F8" w:rsidRPr="001B4A02">
          <w:delText>po</w:delText>
        </w:r>
        <w:r w:rsidRPr="001B4A02">
          <w:delText>užití přípravku Humira se m</w:delText>
        </w:r>
        <w:r w:rsidR="00B04837" w:rsidRPr="001B4A02">
          <w:delText>ůže</w:delText>
        </w:r>
        <w:r w:rsidRPr="001B4A02">
          <w:delText xml:space="preserve"> objevit </w:delText>
        </w:r>
        <w:r w:rsidR="00B04837" w:rsidRPr="001B4A02">
          <w:delText>pocit</w:delText>
        </w:r>
        <w:r w:rsidRPr="001B4A02">
          <w:delText xml:space="preserve"> točení hlavy</w:delText>
        </w:r>
        <w:r w:rsidR="002378E0">
          <w:delText xml:space="preserve"> a </w:delText>
        </w:r>
        <w:r w:rsidR="007F5AA6" w:rsidRPr="001B4A02">
          <w:delText>poruchy</w:delText>
        </w:r>
        <w:r w:rsidRPr="001B4A02">
          <w:delText xml:space="preserve"> vidění.</w:delText>
        </w:r>
      </w:del>
    </w:p>
    <w:p w14:paraId="7D35D619" w14:textId="77777777" w:rsidR="0033628A" w:rsidRPr="001B4A02" w:rsidRDefault="0033628A" w:rsidP="0009084E">
      <w:pPr>
        <w:numPr>
          <w:ilvl w:val="12"/>
          <w:numId w:val="0"/>
        </w:numPr>
        <w:rPr>
          <w:del w:id="12744" w:author="AbbVie1" w:date="2025-05-13T10:11:00Z"/>
        </w:rPr>
      </w:pPr>
    </w:p>
    <w:p w14:paraId="1563800F" w14:textId="77777777" w:rsidR="0033628A" w:rsidRPr="00EE5B9A" w:rsidRDefault="00000000" w:rsidP="0009084E">
      <w:pPr>
        <w:ind w:left="0" w:firstLine="0"/>
        <w:rPr>
          <w:del w:id="12745" w:author="AbbVie1" w:date="2025-05-13T10:11:00Z"/>
          <w:b/>
        </w:rPr>
      </w:pPr>
      <w:del w:id="12746" w:author="AbbVie1" w:date="2025-05-13T10:11:00Z">
        <w:r w:rsidRPr="00EE5B9A">
          <w:rPr>
            <w:b/>
          </w:rPr>
          <w:delText>Přípravek Humira obsahuje sodík</w:delText>
        </w:r>
      </w:del>
    </w:p>
    <w:p w14:paraId="25348669" w14:textId="77777777" w:rsidR="0033628A" w:rsidRPr="001B4A02" w:rsidRDefault="0033628A" w:rsidP="0009084E">
      <w:pPr>
        <w:ind w:left="0" w:firstLine="0"/>
        <w:rPr>
          <w:del w:id="12747" w:author="AbbVie1" w:date="2025-05-13T10:11:00Z"/>
        </w:rPr>
      </w:pPr>
    </w:p>
    <w:p w14:paraId="6B151E24" w14:textId="77777777" w:rsidR="0033628A" w:rsidRPr="001B4A02" w:rsidRDefault="00000000" w:rsidP="0009084E">
      <w:pPr>
        <w:numPr>
          <w:ilvl w:val="12"/>
          <w:numId w:val="0"/>
        </w:numPr>
        <w:rPr>
          <w:del w:id="12748" w:author="AbbVie1" w:date="2025-05-13T10:11:00Z"/>
        </w:rPr>
      </w:pPr>
      <w:del w:id="12749" w:author="AbbVie1" w:date="2025-05-13T10:11:00Z">
        <w:r w:rsidRPr="001B4A02">
          <w:delText xml:space="preserve">Tento léčivý přípravek obsahuje méně než 1 mmol sodíku (23 mg) na dávku 0,8 ml, </w:delText>
        </w:r>
        <w:r w:rsidR="00607A13" w:rsidRPr="001B4A02">
          <w:delText>tj. v</w:delText>
        </w:r>
        <w:r w:rsidR="00C17239" w:rsidRPr="001B4A02">
          <w:delText> </w:delText>
        </w:r>
        <w:r w:rsidR="00607A13" w:rsidRPr="001B4A02">
          <w:delText>podstatě je</w:delText>
        </w:r>
        <w:r w:rsidRPr="001B4A02">
          <w:delText xml:space="preserve"> „bez sodíku“.</w:delText>
        </w:r>
      </w:del>
    </w:p>
    <w:p w14:paraId="24324D88" w14:textId="77777777" w:rsidR="00073F8F" w:rsidRPr="001B4A02" w:rsidRDefault="00073F8F" w:rsidP="0009084E">
      <w:pPr>
        <w:numPr>
          <w:ilvl w:val="12"/>
          <w:numId w:val="0"/>
        </w:numPr>
        <w:rPr>
          <w:del w:id="12750" w:author="AbbVie1" w:date="2025-05-13T10:11:00Z"/>
        </w:rPr>
      </w:pPr>
    </w:p>
    <w:p w14:paraId="38D51706" w14:textId="77777777" w:rsidR="00225D61" w:rsidRPr="001B4A02" w:rsidRDefault="00225D61" w:rsidP="0009084E">
      <w:pPr>
        <w:numPr>
          <w:ilvl w:val="12"/>
          <w:numId w:val="0"/>
        </w:numPr>
        <w:rPr>
          <w:del w:id="12751" w:author="AbbVie1" w:date="2025-05-13T10:11:00Z"/>
        </w:rPr>
      </w:pPr>
    </w:p>
    <w:p w14:paraId="61E118FE" w14:textId="77777777" w:rsidR="00073F8F" w:rsidRPr="001B4A02" w:rsidRDefault="00000000" w:rsidP="004D0686">
      <w:pPr>
        <w:numPr>
          <w:ilvl w:val="12"/>
          <w:numId w:val="0"/>
        </w:numPr>
        <w:ind w:left="567" w:hanging="567"/>
        <w:outlineLvl w:val="1"/>
        <w:rPr>
          <w:del w:id="12752" w:author="AbbVie1" w:date="2025-05-13T10:11:00Z"/>
        </w:rPr>
      </w:pPr>
      <w:del w:id="12753" w:author="AbbVie1" w:date="2025-05-13T10:11:00Z">
        <w:r w:rsidRPr="001B4A02">
          <w:rPr>
            <w:b/>
          </w:rPr>
          <w:delText>3.</w:delText>
        </w:r>
        <w:r w:rsidRPr="001B4A02">
          <w:rPr>
            <w:b/>
          </w:rPr>
          <w:tab/>
          <w:delText>J</w:delText>
        </w:r>
        <w:r w:rsidR="00986502" w:rsidRPr="001B4A02">
          <w:rPr>
            <w:b/>
          </w:rPr>
          <w:delText xml:space="preserve">ak se přípravek Humira </w:delText>
        </w:r>
        <w:r w:rsidR="00375B03" w:rsidRPr="001B4A02">
          <w:rPr>
            <w:b/>
          </w:rPr>
          <w:delText>po</w:delText>
        </w:r>
        <w:r w:rsidR="00986502" w:rsidRPr="001B4A02">
          <w:rPr>
            <w:b/>
          </w:rPr>
          <w:delText>užívá</w:delText>
        </w:r>
      </w:del>
    </w:p>
    <w:p w14:paraId="1388C3FC" w14:textId="77777777" w:rsidR="00073F8F" w:rsidRPr="001B4A02" w:rsidRDefault="00073F8F" w:rsidP="00ED48A3">
      <w:pPr>
        <w:numPr>
          <w:ilvl w:val="12"/>
          <w:numId w:val="0"/>
        </w:numPr>
        <w:ind w:right="-2"/>
        <w:jc w:val="both"/>
        <w:rPr>
          <w:del w:id="12754" w:author="AbbVie1" w:date="2025-05-13T10:11:00Z"/>
        </w:rPr>
      </w:pPr>
    </w:p>
    <w:p w14:paraId="00D349C2" w14:textId="77777777" w:rsidR="00073F8F" w:rsidRPr="001B4A02" w:rsidRDefault="00000000" w:rsidP="00ED48A3">
      <w:pPr>
        <w:ind w:left="0" w:firstLine="0"/>
        <w:rPr>
          <w:del w:id="12755" w:author="AbbVie1" w:date="2025-05-13T10:11:00Z"/>
        </w:rPr>
      </w:pPr>
      <w:del w:id="12756" w:author="AbbVie1" w:date="2025-05-13T10:11:00Z">
        <w:r w:rsidRPr="001B4A02">
          <w:delText xml:space="preserve">Vždy </w:delText>
        </w:r>
        <w:r w:rsidR="00375B03" w:rsidRPr="001B4A02">
          <w:delText>po</w:delText>
        </w:r>
        <w:r w:rsidRPr="001B4A02">
          <w:delText xml:space="preserve">užívejte </w:delText>
        </w:r>
        <w:r w:rsidR="00986502" w:rsidRPr="001B4A02">
          <w:delText xml:space="preserve">tento </w:delText>
        </w:r>
        <w:r w:rsidRPr="001B4A02">
          <w:delText>přípravek přesně podle pokynů svého lékaře</w:delText>
        </w:r>
        <w:r w:rsidR="00986502" w:rsidRPr="001B4A02">
          <w:delText xml:space="preserve"> nebo lékárníka</w:delText>
        </w:r>
        <w:r w:rsidRPr="001B4A02">
          <w:delText>. Pokud si nejste jistý(á), poraďte se se svým lékařem nebo lékárníkem.</w:delText>
        </w:r>
        <w:r w:rsidR="0033628A" w:rsidRPr="001B4A02">
          <w:delText xml:space="preserve"> Lékař Vám může předepsat jinou sílu přípravku Humira, pokud </w:delText>
        </w:r>
        <w:r w:rsidR="006D11BE" w:rsidRPr="001B4A02">
          <w:delText>p</w:delText>
        </w:r>
        <w:r w:rsidR="0033628A" w:rsidRPr="001B4A02">
          <w:delText>otřebuje</w:delText>
        </w:r>
        <w:r w:rsidR="006D11BE" w:rsidRPr="001B4A02">
          <w:delText>te</w:delText>
        </w:r>
        <w:r w:rsidR="0033628A" w:rsidRPr="001B4A02">
          <w:delText xml:space="preserve"> jinou dávku.</w:delText>
        </w:r>
      </w:del>
    </w:p>
    <w:p w14:paraId="44C13539" w14:textId="77777777" w:rsidR="008C6606" w:rsidRPr="001B4A02" w:rsidRDefault="008C6606" w:rsidP="00ED48A3">
      <w:pPr>
        <w:ind w:left="0" w:firstLine="0"/>
        <w:rPr>
          <w:del w:id="12757" w:author="AbbVie1" w:date="2025-05-13T10:11:00Z"/>
          <w:u w:val="single"/>
        </w:rPr>
      </w:pPr>
    </w:p>
    <w:p w14:paraId="4323A9D1" w14:textId="77777777" w:rsidR="008C6606" w:rsidRPr="001B4A02" w:rsidRDefault="00000000" w:rsidP="00ED48A3">
      <w:pPr>
        <w:ind w:left="0" w:firstLine="0"/>
        <w:rPr>
          <w:del w:id="12758" w:author="AbbVie1" w:date="2025-05-13T10:11:00Z"/>
          <w:u w:val="single"/>
        </w:rPr>
      </w:pPr>
      <w:del w:id="12759" w:author="AbbVie1" w:date="2025-05-13T10:11:00Z">
        <w:r w:rsidRPr="001B4A02">
          <w:rPr>
            <w:u w:val="single"/>
          </w:rPr>
          <w:delText xml:space="preserve">Dospělí pacienti s revmatoidní artritidou, psoriatickou artritidou, ankylozující spondylitidou nebo axiální spondylartritidou bez radiologického průkazu </w:delText>
        </w:r>
        <w:r w:rsidR="00986502" w:rsidRPr="001B4A02">
          <w:rPr>
            <w:u w:val="single"/>
          </w:rPr>
          <w:delText>ankylozující spondylitidy</w:delText>
        </w:r>
      </w:del>
    </w:p>
    <w:p w14:paraId="4A36A1A0" w14:textId="77777777" w:rsidR="00073F8F" w:rsidRPr="001B4A02" w:rsidRDefault="00073F8F" w:rsidP="00ED48A3">
      <w:pPr>
        <w:ind w:left="0" w:firstLine="0"/>
        <w:rPr>
          <w:del w:id="12760" w:author="AbbVie1" w:date="2025-05-13T10:11:00Z"/>
        </w:rPr>
      </w:pPr>
    </w:p>
    <w:p w14:paraId="2CE343C7" w14:textId="77777777" w:rsidR="00073F8F" w:rsidRPr="001B4A02" w:rsidRDefault="00000000" w:rsidP="00ED48A3">
      <w:pPr>
        <w:ind w:left="0" w:firstLine="0"/>
        <w:rPr>
          <w:del w:id="12761" w:author="AbbVie1" w:date="2025-05-13T10:11:00Z"/>
        </w:rPr>
      </w:pPr>
      <w:del w:id="12762" w:author="AbbVie1" w:date="2025-05-13T10:11:00Z">
        <w:r w:rsidRPr="001B4A02">
          <w:delText>Přípravek Humira se podává injekčně pod kůži (subkutánně). Obvyklá dávka přípravku pro dospělé pacienty s revmatoidní artritidou, ankylozující spondylitidou</w:delText>
        </w:r>
        <w:r w:rsidR="00B00EA5" w:rsidRPr="001B4A02">
          <w:delText>,</w:delText>
        </w:r>
        <w:r w:rsidRPr="001B4A02">
          <w:delText xml:space="preserve"> </w:delText>
        </w:r>
        <w:r w:rsidR="00B00EA5" w:rsidRPr="001B4A02">
          <w:delText xml:space="preserve">axiální spondylartritidou bez radiologického průkazu </w:delText>
        </w:r>
        <w:r w:rsidR="00986502" w:rsidRPr="001B4A02">
          <w:delText>ankylozující spondylitidy</w:delText>
        </w:r>
        <w:r w:rsidR="002378E0">
          <w:delText xml:space="preserve"> a </w:delText>
        </w:r>
        <w:r w:rsidR="003600BE" w:rsidRPr="001B4A02">
          <w:delText>u </w:delText>
        </w:r>
        <w:r w:rsidR="00B00EA5" w:rsidRPr="001B4A02">
          <w:delText>pacientů s</w:delText>
        </w:r>
        <w:r w:rsidR="000C2348" w:rsidRPr="001B4A02">
          <w:delText> </w:delText>
        </w:r>
        <w:r w:rsidR="008D4729" w:rsidRPr="001B4A02">
          <w:delText xml:space="preserve">psoriatickou artritidou </w:delText>
        </w:r>
        <w:r w:rsidRPr="001B4A02">
          <w:delText xml:space="preserve">je 40 mg adalimumabu v jedné dávce podávané jednou za dva týdny. </w:delText>
        </w:r>
      </w:del>
    </w:p>
    <w:p w14:paraId="25ABFC2A" w14:textId="77777777" w:rsidR="00235B93" w:rsidRPr="001B4A02" w:rsidRDefault="00235B93" w:rsidP="00ED48A3">
      <w:pPr>
        <w:ind w:left="0" w:firstLine="0"/>
        <w:rPr>
          <w:del w:id="12763" w:author="AbbVie1" w:date="2025-05-13T10:11:00Z"/>
        </w:rPr>
      </w:pPr>
    </w:p>
    <w:p w14:paraId="51F5AD0D" w14:textId="77777777" w:rsidR="00235B93" w:rsidRPr="001B4A02" w:rsidRDefault="00000000" w:rsidP="00ED48A3">
      <w:pPr>
        <w:ind w:left="0" w:firstLine="0"/>
        <w:rPr>
          <w:del w:id="12764" w:author="AbbVie1" w:date="2025-05-13T10:11:00Z"/>
        </w:rPr>
      </w:pPr>
      <w:del w:id="12765" w:author="AbbVie1" w:date="2025-05-13T10:11:00Z">
        <w:r w:rsidRPr="001B4A02">
          <w:delText xml:space="preserve">U revmatoidní artritidy se při léčbě přípravkem Humira pokračuje v podávání methotrexátu. Pokud </w:delText>
        </w:r>
        <w:r w:rsidR="007F5AA6" w:rsidRPr="001B4A02">
          <w:delText>V</w:delText>
        </w:r>
        <w:r w:rsidRPr="001B4A02">
          <w:delText xml:space="preserve">áš lékař určí, že je pro </w:delText>
        </w:r>
        <w:r w:rsidR="00973092" w:rsidRPr="001B4A02">
          <w:delText>V</w:delText>
        </w:r>
        <w:r w:rsidRPr="001B4A02">
          <w:delText xml:space="preserve">ás methotrexát nevhodný, podává se </w:delText>
        </w:r>
        <w:r w:rsidR="004E2192" w:rsidRPr="001B4A02">
          <w:delText xml:space="preserve">přípravek </w:delText>
        </w:r>
        <w:r w:rsidRPr="001B4A02">
          <w:delText>Humira samostatně.</w:delText>
        </w:r>
      </w:del>
    </w:p>
    <w:p w14:paraId="58FCA4BC" w14:textId="77777777" w:rsidR="00235B93" w:rsidRPr="001B4A02" w:rsidRDefault="00235B93" w:rsidP="00ED48A3">
      <w:pPr>
        <w:ind w:left="0" w:firstLine="0"/>
        <w:rPr>
          <w:del w:id="12766" w:author="AbbVie1" w:date="2025-05-13T10:11:00Z"/>
        </w:rPr>
      </w:pPr>
    </w:p>
    <w:p w14:paraId="6F48B868" w14:textId="77777777" w:rsidR="00235B93" w:rsidRPr="001B4A02" w:rsidRDefault="00000000" w:rsidP="00ED48A3">
      <w:pPr>
        <w:ind w:left="0" w:firstLine="0"/>
        <w:rPr>
          <w:del w:id="12767" w:author="AbbVie1" w:date="2025-05-13T10:11:00Z"/>
        </w:rPr>
      </w:pPr>
      <w:del w:id="12768" w:author="AbbVie1" w:date="2025-05-13T10:11:00Z">
        <w:r w:rsidRPr="001B4A02">
          <w:delText>Jestliže máte revmatoidní artritidu</w:delText>
        </w:r>
        <w:r w:rsidR="002378E0">
          <w:delText xml:space="preserve"> a </w:delText>
        </w:r>
        <w:r w:rsidRPr="001B4A02">
          <w:delText>spolu s přípravkem Humira nedostáváte methotrexát, může lékař rozhodnout, že budete dostávat 40 mg adalimumabu každý týden</w:delText>
        </w:r>
        <w:r w:rsidR="0002246D" w:rsidRPr="001B4A02">
          <w:delText xml:space="preserve"> nebo 80</w:delText>
        </w:r>
        <w:r w:rsidR="00874DE1">
          <w:delText> mg</w:delText>
        </w:r>
        <w:r w:rsidR="0002246D" w:rsidRPr="001B4A02">
          <w:delText xml:space="preserve"> jednou za dva týdny</w:delText>
        </w:r>
        <w:r w:rsidRPr="001B4A02">
          <w:delText>.</w:delText>
        </w:r>
      </w:del>
    </w:p>
    <w:p w14:paraId="53D74E23" w14:textId="77777777" w:rsidR="008C6606" w:rsidRPr="001B4A02" w:rsidRDefault="008C6606" w:rsidP="00ED48A3">
      <w:pPr>
        <w:ind w:left="0" w:firstLine="0"/>
        <w:rPr>
          <w:del w:id="12769" w:author="AbbVie1" w:date="2025-05-13T10:11:00Z"/>
          <w:u w:val="single"/>
        </w:rPr>
      </w:pPr>
    </w:p>
    <w:p w14:paraId="05DD8556" w14:textId="77777777" w:rsidR="008C6606" w:rsidRPr="001B4A02" w:rsidRDefault="00000000" w:rsidP="00ED48A3">
      <w:pPr>
        <w:ind w:left="0" w:firstLine="0"/>
        <w:rPr>
          <w:del w:id="12770" w:author="AbbVie1" w:date="2025-05-13T10:11:00Z"/>
          <w:u w:val="single"/>
        </w:rPr>
      </w:pPr>
      <w:del w:id="12771" w:author="AbbVie1" w:date="2025-05-13T10:11:00Z">
        <w:r w:rsidRPr="001B4A02">
          <w:rPr>
            <w:u w:val="single"/>
          </w:rPr>
          <w:delText>Děti</w:delText>
        </w:r>
        <w:r w:rsidR="0033628A" w:rsidRPr="001B4A02">
          <w:rPr>
            <w:u w:val="single"/>
          </w:rPr>
          <w:delText>, dospívající</w:delText>
        </w:r>
        <w:r w:rsidR="002378E0">
          <w:rPr>
            <w:u w:val="single"/>
          </w:rPr>
          <w:delText xml:space="preserve"> a </w:delText>
        </w:r>
        <w:r w:rsidR="0033628A" w:rsidRPr="001B4A02">
          <w:rPr>
            <w:u w:val="single"/>
          </w:rPr>
          <w:delText>dospělí</w:delText>
        </w:r>
        <w:r w:rsidRPr="001B4A02">
          <w:rPr>
            <w:u w:val="single"/>
          </w:rPr>
          <w:delText xml:space="preserve"> s polyartikulární juvenilní id</w:delText>
        </w:r>
        <w:r w:rsidR="009142FA" w:rsidRPr="001B4A02">
          <w:rPr>
            <w:u w:val="single"/>
          </w:rPr>
          <w:delText>i</w:delText>
        </w:r>
        <w:r w:rsidRPr="001B4A02">
          <w:rPr>
            <w:u w:val="single"/>
          </w:rPr>
          <w:delText>opatickou artritidou</w:delText>
        </w:r>
      </w:del>
    </w:p>
    <w:p w14:paraId="1E50E7F2" w14:textId="77777777" w:rsidR="00073F8F" w:rsidRPr="001B4A02" w:rsidRDefault="00073F8F" w:rsidP="00ED48A3">
      <w:pPr>
        <w:ind w:left="0" w:firstLine="0"/>
        <w:rPr>
          <w:del w:id="12772" w:author="AbbVie1" w:date="2025-05-13T10:11:00Z"/>
        </w:rPr>
      </w:pPr>
    </w:p>
    <w:p w14:paraId="20DEEF21" w14:textId="77777777" w:rsidR="0033628A" w:rsidRPr="001B4A02" w:rsidRDefault="00000000" w:rsidP="0033628A">
      <w:pPr>
        <w:ind w:left="0" w:firstLine="0"/>
        <w:rPr>
          <w:del w:id="12773" w:author="AbbVie1" w:date="2025-05-13T10:11:00Z"/>
          <w:i/>
        </w:rPr>
      </w:pPr>
      <w:del w:id="12774" w:author="AbbVie1" w:date="2025-05-13T10:11:00Z">
        <w:r w:rsidRPr="001B4A02">
          <w:rPr>
            <w:i/>
          </w:rPr>
          <w:delText>Děti</w:delText>
        </w:r>
        <w:r w:rsidR="002378E0">
          <w:rPr>
            <w:i/>
          </w:rPr>
          <w:delText xml:space="preserve"> a </w:delText>
        </w:r>
        <w:r w:rsidRPr="001B4A02">
          <w:rPr>
            <w:i/>
          </w:rPr>
          <w:delText xml:space="preserve">dospívající </w:delText>
        </w:r>
        <w:r w:rsidR="00E44302" w:rsidRPr="001B4A02">
          <w:rPr>
            <w:i/>
          </w:rPr>
          <w:delText xml:space="preserve">od 2 let </w:delText>
        </w:r>
        <w:r w:rsidRPr="001B4A02">
          <w:rPr>
            <w:i/>
          </w:rPr>
          <w:delText xml:space="preserve">s tělesnou hmotností </w:delText>
        </w:r>
        <w:r w:rsidR="00783FD1" w:rsidRPr="001B4A02">
          <w:rPr>
            <w:i/>
          </w:rPr>
          <w:delText xml:space="preserve">od </w:delText>
        </w:r>
        <w:r w:rsidRPr="001B4A02">
          <w:rPr>
            <w:i/>
          </w:rPr>
          <w:delText xml:space="preserve">10 kg </w:delText>
        </w:r>
        <w:r w:rsidR="00783FD1" w:rsidRPr="001B4A02">
          <w:rPr>
            <w:i/>
          </w:rPr>
          <w:delText>do</w:delText>
        </w:r>
        <w:r w:rsidRPr="001B4A02">
          <w:rPr>
            <w:i/>
          </w:rPr>
          <w:delText xml:space="preserve"> 30 kg</w:delText>
        </w:r>
      </w:del>
    </w:p>
    <w:p w14:paraId="23889204" w14:textId="77777777" w:rsidR="0033628A" w:rsidRPr="001B4A02" w:rsidRDefault="0033628A" w:rsidP="0033628A">
      <w:pPr>
        <w:ind w:left="0" w:firstLine="0"/>
        <w:rPr>
          <w:del w:id="12775" w:author="AbbVie1" w:date="2025-05-13T10:11:00Z"/>
        </w:rPr>
      </w:pPr>
    </w:p>
    <w:p w14:paraId="495672CD" w14:textId="77777777" w:rsidR="0033628A" w:rsidRPr="001B4A02" w:rsidRDefault="00000000" w:rsidP="0033628A">
      <w:pPr>
        <w:ind w:left="0" w:firstLine="0"/>
        <w:rPr>
          <w:del w:id="12776" w:author="AbbVie1" w:date="2025-05-13T10:11:00Z"/>
        </w:rPr>
      </w:pPr>
      <w:del w:id="12777" w:author="AbbVie1" w:date="2025-05-13T10:11:00Z">
        <w:r w:rsidRPr="001B4A02">
          <w:delText>Doporučená dávka přípravku Humira je 20 mg jednou za dva týdny.</w:delText>
        </w:r>
      </w:del>
    </w:p>
    <w:p w14:paraId="147F0A07" w14:textId="77777777" w:rsidR="0033628A" w:rsidRPr="001B4A02" w:rsidRDefault="0033628A" w:rsidP="0033628A">
      <w:pPr>
        <w:ind w:left="0" w:firstLine="0"/>
        <w:rPr>
          <w:del w:id="12778" w:author="AbbVie1" w:date="2025-05-13T10:11:00Z"/>
        </w:rPr>
      </w:pPr>
    </w:p>
    <w:p w14:paraId="68B06311" w14:textId="77777777" w:rsidR="0033628A" w:rsidRPr="001B4A02" w:rsidRDefault="00000000" w:rsidP="00ED48A3">
      <w:pPr>
        <w:ind w:left="0" w:firstLine="0"/>
        <w:rPr>
          <w:del w:id="12779" w:author="AbbVie1" w:date="2025-05-13T10:11:00Z"/>
          <w:i/>
        </w:rPr>
      </w:pPr>
      <w:del w:id="12780" w:author="AbbVie1" w:date="2025-05-13T10:11:00Z">
        <w:r w:rsidRPr="001B4A02">
          <w:rPr>
            <w:i/>
          </w:rPr>
          <w:delText>Děti, dospívající</w:delText>
        </w:r>
        <w:r w:rsidR="002378E0">
          <w:rPr>
            <w:i/>
          </w:rPr>
          <w:delText xml:space="preserve"> a </w:delText>
        </w:r>
        <w:r w:rsidRPr="001B4A02">
          <w:rPr>
            <w:i/>
          </w:rPr>
          <w:delText xml:space="preserve">dospělí </w:delText>
        </w:r>
        <w:r w:rsidR="00E44302" w:rsidRPr="001B4A02">
          <w:rPr>
            <w:i/>
          </w:rPr>
          <w:delText xml:space="preserve">od 2 let </w:delText>
        </w:r>
        <w:r w:rsidRPr="001B4A02">
          <w:rPr>
            <w:i/>
          </w:rPr>
          <w:delText>s tělesnou hmotností 30 kg nebo vyšší</w:delText>
        </w:r>
      </w:del>
    </w:p>
    <w:p w14:paraId="51D569AD" w14:textId="77777777" w:rsidR="00177AFD" w:rsidRPr="001B4A02" w:rsidRDefault="00177AFD" w:rsidP="00ED48A3">
      <w:pPr>
        <w:ind w:left="0" w:firstLine="0"/>
        <w:rPr>
          <w:del w:id="12781" w:author="AbbVie1" w:date="2025-05-13T10:11:00Z"/>
        </w:rPr>
      </w:pPr>
    </w:p>
    <w:p w14:paraId="0343FE46" w14:textId="77777777" w:rsidR="0033628A" w:rsidRPr="001B4A02" w:rsidRDefault="00000000" w:rsidP="00ED48A3">
      <w:pPr>
        <w:ind w:left="0" w:firstLine="0"/>
        <w:rPr>
          <w:del w:id="12782" w:author="AbbVie1" w:date="2025-05-13T10:11:00Z"/>
        </w:rPr>
      </w:pPr>
      <w:del w:id="12783" w:author="AbbVie1" w:date="2025-05-13T10:11:00Z">
        <w:r w:rsidRPr="001B4A02">
          <w:delText>Doporučená dávka přípravku Humira je 40</w:delText>
        </w:r>
        <w:r w:rsidR="00874DE1">
          <w:delText> mg</w:delText>
        </w:r>
        <w:r w:rsidRPr="001B4A02">
          <w:delText xml:space="preserve"> jednou za dva týdny.</w:delText>
        </w:r>
      </w:del>
    </w:p>
    <w:p w14:paraId="627E7089" w14:textId="77777777" w:rsidR="008C6606" w:rsidRPr="001B4A02" w:rsidRDefault="008C6606" w:rsidP="00ED48A3">
      <w:pPr>
        <w:ind w:left="0" w:firstLine="0"/>
        <w:rPr>
          <w:del w:id="12784" w:author="AbbVie1" w:date="2025-05-13T10:11:00Z"/>
          <w:u w:val="single"/>
        </w:rPr>
      </w:pPr>
    </w:p>
    <w:p w14:paraId="27B01EF3" w14:textId="77777777" w:rsidR="00120B63" w:rsidRPr="001B4A02" w:rsidRDefault="00000000" w:rsidP="00ED48A3">
      <w:pPr>
        <w:ind w:left="0" w:firstLine="0"/>
        <w:rPr>
          <w:del w:id="12785" w:author="AbbVie1" w:date="2025-05-13T10:11:00Z"/>
          <w:u w:val="single"/>
        </w:rPr>
      </w:pPr>
      <w:del w:id="12786" w:author="AbbVie1" w:date="2025-05-13T10:11:00Z">
        <w:r w:rsidRPr="001B4A02">
          <w:rPr>
            <w:u w:val="single"/>
          </w:rPr>
          <w:delText>Děti</w:delText>
        </w:r>
        <w:r w:rsidR="0033628A" w:rsidRPr="001B4A02">
          <w:rPr>
            <w:u w:val="single"/>
          </w:rPr>
          <w:delText>, dospívající</w:delText>
        </w:r>
        <w:r w:rsidR="002378E0">
          <w:rPr>
            <w:u w:val="single"/>
          </w:rPr>
          <w:delText xml:space="preserve"> a </w:delText>
        </w:r>
        <w:r w:rsidR="0033628A" w:rsidRPr="001B4A02">
          <w:rPr>
            <w:u w:val="single"/>
          </w:rPr>
          <w:delText>dospělí</w:delText>
        </w:r>
        <w:r w:rsidRPr="001B4A02">
          <w:rPr>
            <w:u w:val="single"/>
          </w:rPr>
          <w:delText xml:space="preserve"> s ente</w:delText>
        </w:r>
        <w:r w:rsidR="004B4725" w:rsidRPr="001B4A02">
          <w:rPr>
            <w:u w:val="single"/>
          </w:rPr>
          <w:delText>zopatickou</w:delText>
        </w:r>
        <w:r w:rsidRPr="001B4A02">
          <w:rPr>
            <w:u w:val="single"/>
          </w:rPr>
          <w:delText xml:space="preserve"> artritidou</w:delText>
        </w:r>
      </w:del>
    </w:p>
    <w:p w14:paraId="2AA01F54" w14:textId="77777777" w:rsidR="00120B63" w:rsidRPr="001B4A02" w:rsidRDefault="00120B63" w:rsidP="00ED48A3">
      <w:pPr>
        <w:ind w:left="0" w:firstLine="0"/>
        <w:rPr>
          <w:del w:id="12787" w:author="AbbVie1" w:date="2025-05-13T10:11:00Z"/>
        </w:rPr>
      </w:pPr>
    </w:p>
    <w:p w14:paraId="5BDEA531" w14:textId="77777777" w:rsidR="0033628A" w:rsidRPr="001B4A02" w:rsidRDefault="00000000" w:rsidP="0033628A">
      <w:pPr>
        <w:keepNext/>
        <w:numPr>
          <w:ilvl w:val="12"/>
          <w:numId w:val="0"/>
        </w:numPr>
        <w:ind w:right="-2"/>
        <w:rPr>
          <w:del w:id="12788" w:author="AbbVie1" w:date="2025-05-13T10:11:00Z"/>
          <w:i/>
        </w:rPr>
      </w:pPr>
      <w:del w:id="12789" w:author="AbbVie1" w:date="2025-05-13T10:11:00Z">
        <w:r w:rsidRPr="001B4A02">
          <w:rPr>
            <w:i/>
          </w:rPr>
          <w:delText>Děti</w:delText>
        </w:r>
        <w:r w:rsidR="002378E0">
          <w:rPr>
            <w:i/>
          </w:rPr>
          <w:delText xml:space="preserve"> a </w:delText>
        </w:r>
        <w:r w:rsidRPr="001B4A02">
          <w:rPr>
            <w:i/>
          </w:rPr>
          <w:delText xml:space="preserve">dospívající </w:delText>
        </w:r>
        <w:r w:rsidR="00E44302" w:rsidRPr="001B4A02">
          <w:rPr>
            <w:i/>
          </w:rPr>
          <w:delText xml:space="preserve">od 6 let </w:delText>
        </w:r>
        <w:r w:rsidRPr="001B4A02">
          <w:rPr>
            <w:i/>
          </w:rPr>
          <w:delText xml:space="preserve">s tělesnou hmotností </w:delText>
        </w:r>
        <w:r w:rsidR="00783FD1" w:rsidRPr="001B4A02">
          <w:rPr>
            <w:i/>
          </w:rPr>
          <w:delText xml:space="preserve">od </w:delText>
        </w:r>
        <w:r w:rsidRPr="001B4A02">
          <w:rPr>
            <w:i/>
          </w:rPr>
          <w:delText xml:space="preserve">15 kg </w:delText>
        </w:r>
        <w:r w:rsidR="00783FD1" w:rsidRPr="001B4A02">
          <w:rPr>
            <w:i/>
          </w:rPr>
          <w:delText>do</w:delText>
        </w:r>
        <w:r w:rsidRPr="001B4A02">
          <w:rPr>
            <w:i/>
          </w:rPr>
          <w:delText xml:space="preserve"> 30 kg</w:delText>
        </w:r>
      </w:del>
    </w:p>
    <w:p w14:paraId="0774342D" w14:textId="77777777" w:rsidR="0033628A" w:rsidRPr="001B4A02" w:rsidRDefault="0033628A" w:rsidP="0033628A">
      <w:pPr>
        <w:ind w:left="0" w:firstLine="0"/>
        <w:rPr>
          <w:del w:id="12790" w:author="AbbVie1" w:date="2025-05-13T10:11:00Z"/>
          <w:u w:val="single"/>
        </w:rPr>
      </w:pPr>
    </w:p>
    <w:p w14:paraId="100260FE" w14:textId="77777777" w:rsidR="0033628A" w:rsidRPr="001B4A02" w:rsidRDefault="00000000" w:rsidP="0033628A">
      <w:pPr>
        <w:ind w:left="0" w:firstLine="0"/>
        <w:rPr>
          <w:del w:id="12791" w:author="AbbVie1" w:date="2025-05-13T10:11:00Z"/>
        </w:rPr>
      </w:pPr>
      <w:del w:id="12792" w:author="AbbVie1" w:date="2025-05-13T10:11:00Z">
        <w:r w:rsidRPr="001B4A02">
          <w:delText>Doporučená dávka přípravku Humira je 20</w:delText>
        </w:r>
        <w:r w:rsidR="00874DE1">
          <w:delText> mg</w:delText>
        </w:r>
        <w:r w:rsidRPr="001B4A02">
          <w:delText xml:space="preserve"> jednou za dva týdny.</w:delText>
        </w:r>
      </w:del>
    </w:p>
    <w:p w14:paraId="464F9E0E" w14:textId="77777777" w:rsidR="0033628A" w:rsidRPr="001B4A02" w:rsidRDefault="0033628A" w:rsidP="0033628A">
      <w:pPr>
        <w:ind w:left="0" w:firstLine="0"/>
        <w:rPr>
          <w:del w:id="12793" w:author="AbbVie1" w:date="2025-05-13T10:11:00Z"/>
        </w:rPr>
      </w:pPr>
    </w:p>
    <w:p w14:paraId="776F583F" w14:textId="77777777" w:rsidR="0033628A" w:rsidRPr="001B4A02" w:rsidRDefault="00000000" w:rsidP="0033628A">
      <w:pPr>
        <w:keepNext/>
        <w:numPr>
          <w:ilvl w:val="12"/>
          <w:numId w:val="0"/>
        </w:numPr>
        <w:ind w:right="-2"/>
        <w:rPr>
          <w:del w:id="12794" w:author="AbbVie1" w:date="2025-05-13T10:11:00Z"/>
          <w:i/>
        </w:rPr>
      </w:pPr>
      <w:del w:id="12795" w:author="AbbVie1" w:date="2025-05-13T10:11:00Z">
        <w:r w:rsidRPr="001B4A02">
          <w:rPr>
            <w:i/>
          </w:rPr>
          <w:delText>Děti, dospívající</w:delText>
        </w:r>
        <w:r w:rsidR="002378E0">
          <w:rPr>
            <w:i/>
          </w:rPr>
          <w:delText xml:space="preserve"> a </w:delText>
        </w:r>
        <w:r w:rsidRPr="001B4A02">
          <w:rPr>
            <w:i/>
          </w:rPr>
          <w:delText xml:space="preserve">dospělí </w:delText>
        </w:r>
        <w:r w:rsidR="00E44302" w:rsidRPr="001B4A02">
          <w:rPr>
            <w:i/>
          </w:rPr>
          <w:delText xml:space="preserve">od 6 let </w:delText>
        </w:r>
        <w:r w:rsidRPr="001B4A02">
          <w:rPr>
            <w:i/>
          </w:rPr>
          <w:delText>s tělesnou hmotností 30 kg nebo vyšší</w:delText>
        </w:r>
      </w:del>
    </w:p>
    <w:p w14:paraId="05996EF0" w14:textId="77777777" w:rsidR="0033628A" w:rsidRPr="001B4A02" w:rsidRDefault="0033628A" w:rsidP="0033628A">
      <w:pPr>
        <w:ind w:left="0" w:firstLine="0"/>
        <w:rPr>
          <w:del w:id="12796" w:author="AbbVie1" w:date="2025-05-13T10:11:00Z"/>
        </w:rPr>
      </w:pPr>
    </w:p>
    <w:p w14:paraId="6A419F03" w14:textId="77777777" w:rsidR="0033628A" w:rsidRPr="001B4A02" w:rsidRDefault="00000000" w:rsidP="0033628A">
      <w:pPr>
        <w:ind w:left="0" w:firstLine="0"/>
        <w:rPr>
          <w:del w:id="12797" w:author="AbbVie1" w:date="2025-05-13T10:11:00Z"/>
        </w:rPr>
      </w:pPr>
      <w:del w:id="12798" w:author="AbbVie1" w:date="2025-05-13T10:11:00Z">
        <w:r w:rsidRPr="001B4A02">
          <w:delText>Doporučená dávka přípravku Humira je 40 mg jednou za dva týdny.</w:delText>
        </w:r>
      </w:del>
    </w:p>
    <w:p w14:paraId="727E2E46" w14:textId="77777777" w:rsidR="00120B63" w:rsidRPr="001B4A02" w:rsidRDefault="00120B63" w:rsidP="00ED48A3">
      <w:pPr>
        <w:ind w:left="0" w:firstLine="0"/>
        <w:rPr>
          <w:del w:id="12799" w:author="AbbVie1" w:date="2025-05-13T10:11:00Z"/>
          <w:u w:val="single"/>
        </w:rPr>
      </w:pPr>
    </w:p>
    <w:p w14:paraId="6DC21AC1" w14:textId="77777777" w:rsidR="008C6606" w:rsidRPr="001B4A02" w:rsidRDefault="00000000" w:rsidP="00ED48A3">
      <w:pPr>
        <w:ind w:left="0" w:firstLine="0"/>
        <w:rPr>
          <w:del w:id="12800" w:author="AbbVie1" w:date="2025-05-13T10:11:00Z"/>
          <w:u w:val="single"/>
        </w:rPr>
      </w:pPr>
      <w:del w:id="12801" w:author="AbbVie1" w:date="2025-05-13T10:11:00Z">
        <w:r w:rsidRPr="001B4A02">
          <w:rPr>
            <w:u w:val="single"/>
          </w:rPr>
          <w:delText>Dospělí pacienti s</w:delText>
        </w:r>
        <w:r w:rsidR="000C2348" w:rsidRPr="001B4A02">
          <w:rPr>
            <w:u w:val="single"/>
          </w:rPr>
          <w:delText> </w:delText>
        </w:r>
        <w:r w:rsidRPr="001B4A02">
          <w:rPr>
            <w:u w:val="single"/>
          </w:rPr>
          <w:delText>psoriázou</w:delText>
        </w:r>
      </w:del>
    </w:p>
    <w:p w14:paraId="4A894A89" w14:textId="77777777" w:rsidR="00661A68" w:rsidRPr="001B4A02" w:rsidRDefault="00661A68" w:rsidP="00ED48A3">
      <w:pPr>
        <w:ind w:left="0" w:firstLine="0"/>
        <w:rPr>
          <w:del w:id="12802" w:author="AbbVie1" w:date="2025-05-13T10:11:00Z"/>
        </w:rPr>
      </w:pPr>
    </w:p>
    <w:p w14:paraId="0FFD3D51" w14:textId="77777777" w:rsidR="00661A68" w:rsidRPr="001B4A02" w:rsidRDefault="00000000" w:rsidP="00ED48A3">
      <w:pPr>
        <w:ind w:left="0" w:firstLine="0"/>
        <w:rPr>
          <w:del w:id="12803" w:author="AbbVie1" w:date="2025-05-13T10:11:00Z"/>
        </w:rPr>
      </w:pPr>
      <w:del w:id="12804" w:author="AbbVie1" w:date="2025-05-13T10:11:00Z">
        <w:r w:rsidRPr="001B4A02">
          <w:delText>Obvyk</w:delText>
        </w:r>
        <w:r w:rsidR="000C2348" w:rsidRPr="001B4A02">
          <w:delText xml:space="preserve">lý </w:delText>
        </w:r>
        <w:r w:rsidR="00E65030" w:rsidRPr="001B4A02">
          <w:delText xml:space="preserve">režim </w:delText>
        </w:r>
        <w:r w:rsidR="000C2348" w:rsidRPr="001B4A02">
          <w:delText>dávkování přípravku</w:delText>
        </w:r>
        <w:r w:rsidR="003600BE" w:rsidRPr="001B4A02">
          <w:delText xml:space="preserve"> u </w:delText>
        </w:r>
        <w:r w:rsidRPr="001B4A02">
          <w:delText>dospělých s</w:delText>
        </w:r>
        <w:r w:rsidR="000C2348" w:rsidRPr="001B4A02">
          <w:delText> </w:delText>
        </w:r>
        <w:r w:rsidRPr="001B4A02">
          <w:delText xml:space="preserve">psoriázou je </w:delText>
        </w:r>
        <w:r w:rsidR="00375B03" w:rsidRPr="001B4A02">
          <w:delText xml:space="preserve">podání </w:delText>
        </w:r>
        <w:r w:rsidRPr="001B4A02">
          <w:delText>úvodní dávky 80</w:delText>
        </w:r>
        <w:r w:rsidR="00874DE1">
          <w:delText> mg</w:delText>
        </w:r>
        <w:r w:rsidR="0033628A" w:rsidRPr="001B4A02">
          <w:delText xml:space="preserve"> (jako dvě injekce</w:delText>
        </w:r>
        <w:r w:rsidR="0002246D" w:rsidRPr="001B4A02">
          <w:delText xml:space="preserve"> 40</w:delText>
        </w:r>
        <w:r w:rsidR="00874DE1">
          <w:delText> mg</w:delText>
        </w:r>
        <w:r w:rsidR="0033628A" w:rsidRPr="001B4A02">
          <w:delText xml:space="preserve"> v jednom dni)</w:delText>
        </w:r>
        <w:r w:rsidRPr="001B4A02">
          <w:delText xml:space="preserve"> následované dávkou 40</w:delText>
        </w:r>
        <w:r w:rsidR="00874DE1">
          <w:delText> mg</w:delText>
        </w:r>
        <w:r w:rsidRPr="001B4A02">
          <w:delText xml:space="preserve"> podávanou každý druhý týden počínaje prvním týdnem po dávce úvodní. V léčbě přípravkem Humira musíte pokračovat tak dlouho, jak Vám doporučil lékař.</w:delText>
        </w:r>
        <w:r w:rsidR="00D6542D" w:rsidRPr="001B4A02">
          <w:delText xml:space="preserve"> V závislosti na </w:delText>
        </w:r>
        <w:r w:rsidR="00F928F6" w:rsidRPr="001B4A02">
          <w:delText>Vaší reakci na léčbu může Váš lékař zvýšit dávkování na 40</w:delText>
        </w:r>
        <w:r w:rsidR="00874DE1">
          <w:delText> mg</w:delText>
        </w:r>
        <w:r w:rsidR="00F928F6" w:rsidRPr="001B4A02">
          <w:delText xml:space="preserve"> jednou týdně</w:delText>
        </w:r>
        <w:r w:rsidR="0002246D" w:rsidRPr="001B4A02">
          <w:delText xml:space="preserve"> nebo 80</w:delText>
        </w:r>
        <w:r w:rsidR="00874DE1">
          <w:delText> mg</w:delText>
        </w:r>
        <w:r w:rsidR="0002246D" w:rsidRPr="001B4A02">
          <w:delText xml:space="preserve"> jednou za dva týdny</w:delText>
        </w:r>
        <w:r w:rsidR="00F928F6" w:rsidRPr="001B4A02">
          <w:delText>.</w:delText>
        </w:r>
      </w:del>
    </w:p>
    <w:p w14:paraId="01261436" w14:textId="77777777" w:rsidR="008C6606" w:rsidRPr="001B4A02" w:rsidRDefault="008C6606" w:rsidP="00ED48A3">
      <w:pPr>
        <w:ind w:left="0" w:firstLine="0"/>
        <w:rPr>
          <w:del w:id="12805" w:author="AbbVie1" w:date="2025-05-13T10:11:00Z"/>
          <w:u w:val="single"/>
        </w:rPr>
      </w:pPr>
    </w:p>
    <w:p w14:paraId="2CE20F8B" w14:textId="77777777" w:rsidR="00852DE0" w:rsidRPr="001B4A02" w:rsidRDefault="00000000" w:rsidP="00ED48A3">
      <w:pPr>
        <w:ind w:left="0" w:firstLine="0"/>
        <w:rPr>
          <w:del w:id="12806" w:author="AbbVie1" w:date="2025-05-13T10:11:00Z"/>
          <w:u w:val="single"/>
        </w:rPr>
      </w:pPr>
      <w:del w:id="12807" w:author="AbbVie1" w:date="2025-05-13T10:11:00Z">
        <w:r w:rsidRPr="001B4A02">
          <w:rPr>
            <w:u w:val="single"/>
          </w:rPr>
          <w:delText>Děti</w:delText>
        </w:r>
        <w:r w:rsidR="002378E0">
          <w:rPr>
            <w:u w:val="single"/>
          </w:rPr>
          <w:delText xml:space="preserve"> a </w:delText>
        </w:r>
        <w:r w:rsidRPr="001B4A02">
          <w:rPr>
            <w:u w:val="single"/>
          </w:rPr>
          <w:delText>dospívající s</w:delText>
        </w:r>
        <w:r w:rsidR="00F87035" w:rsidRPr="001B4A02">
          <w:rPr>
            <w:u w:val="single"/>
          </w:rPr>
          <w:delText xml:space="preserve"> ložiskovou </w:delText>
        </w:r>
        <w:r w:rsidRPr="001B4A02">
          <w:rPr>
            <w:u w:val="single"/>
          </w:rPr>
          <w:delText>psoriázou</w:delText>
        </w:r>
      </w:del>
    </w:p>
    <w:p w14:paraId="777B1C9D" w14:textId="77777777" w:rsidR="00852DE0" w:rsidRPr="001B4A02" w:rsidRDefault="00852DE0" w:rsidP="00ED48A3">
      <w:pPr>
        <w:ind w:left="0" w:firstLine="0"/>
        <w:rPr>
          <w:del w:id="12808" w:author="AbbVie1" w:date="2025-05-13T10:11:00Z"/>
        </w:rPr>
      </w:pPr>
    </w:p>
    <w:p w14:paraId="4905A590" w14:textId="77777777" w:rsidR="0033628A" w:rsidRPr="001B4A02" w:rsidRDefault="00000000" w:rsidP="0033628A">
      <w:pPr>
        <w:numPr>
          <w:ilvl w:val="12"/>
          <w:numId w:val="0"/>
        </w:numPr>
        <w:ind w:right="-2"/>
        <w:rPr>
          <w:del w:id="12809" w:author="AbbVie1" w:date="2025-05-13T10:11:00Z"/>
          <w:i/>
        </w:rPr>
      </w:pPr>
      <w:del w:id="12810" w:author="AbbVie1" w:date="2025-05-13T10:11:00Z">
        <w:r w:rsidRPr="001B4A02">
          <w:rPr>
            <w:i/>
          </w:rPr>
          <w:delText>Děti</w:delText>
        </w:r>
        <w:r w:rsidR="002378E0">
          <w:rPr>
            <w:i/>
          </w:rPr>
          <w:delText xml:space="preserve"> a </w:delText>
        </w:r>
        <w:r w:rsidRPr="001B4A02">
          <w:rPr>
            <w:i/>
          </w:rPr>
          <w:delText xml:space="preserve">dospívající od 4 do 17 let s tělesnou hmotností </w:delText>
        </w:r>
        <w:r w:rsidR="00783FD1" w:rsidRPr="001B4A02">
          <w:rPr>
            <w:i/>
          </w:rPr>
          <w:delText xml:space="preserve">od </w:delText>
        </w:r>
        <w:r w:rsidRPr="001B4A02">
          <w:rPr>
            <w:i/>
          </w:rPr>
          <w:delText xml:space="preserve">15 kg </w:delText>
        </w:r>
        <w:r w:rsidR="00783FD1" w:rsidRPr="001B4A02">
          <w:rPr>
            <w:i/>
          </w:rPr>
          <w:delText>do</w:delText>
        </w:r>
        <w:r w:rsidRPr="001B4A02">
          <w:rPr>
            <w:i/>
          </w:rPr>
          <w:delText xml:space="preserve"> 30 kg</w:delText>
        </w:r>
      </w:del>
    </w:p>
    <w:p w14:paraId="78AD648B" w14:textId="77777777" w:rsidR="0033628A" w:rsidRPr="001B4A02" w:rsidRDefault="0033628A" w:rsidP="0033628A">
      <w:pPr>
        <w:ind w:left="0" w:firstLine="0"/>
        <w:rPr>
          <w:del w:id="12811" w:author="AbbVie1" w:date="2025-05-13T10:11:00Z"/>
          <w:u w:val="single"/>
        </w:rPr>
      </w:pPr>
    </w:p>
    <w:p w14:paraId="2EF72388" w14:textId="77777777" w:rsidR="0033628A" w:rsidRPr="001B4A02" w:rsidRDefault="00000000" w:rsidP="0033628A">
      <w:pPr>
        <w:numPr>
          <w:ilvl w:val="12"/>
          <w:numId w:val="0"/>
        </w:numPr>
        <w:ind w:right="-2"/>
        <w:rPr>
          <w:del w:id="12812" w:author="AbbVie1" w:date="2025-05-13T10:11:00Z"/>
        </w:rPr>
      </w:pPr>
      <w:del w:id="12813" w:author="AbbVie1" w:date="2025-05-13T10:11:00Z">
        <w:r w:rsidRPr="001B4A02">
          <w:delText>Doporučen</w:delText>
        </w:r>
        <w:r w:rsidR="00710CD0" w:rsidRPr="001B4A02">
          <w:rPr>
            <w:szCs w:val="22"/>
          </w:rPr>
          <w:delText>é dávkování</w:delText>
        </w:r>
        <w:r w:rsidRPr="001B4A02">
          <w:delText xml:space="preserve"> přípravku Humira je </w:delText>
        </w:r>
        <w:r w:rsidR="00710CD0" w:rsidRPr="001B4A02">
          <w:rPr>
            <w:szCs w:val="22"/>
          </w:rPr>
          <w:delText xml:space="preserve">podání úvodní </w:delText>
        </w:r>
        <w:r w:rsidRPr="001B4A02">
          <w:delText>dávk</w:delText>
        </w:r>
        <w:r w:rsidR="00710CD0" w:rsidRPr="001B4A02">
          <w:delText>y</w:delText>
        </w:r>
        <w:r w:rsidRPr="001B4A02">
          <w:delText xml:space="preserve"> 20</w:delText>
        </w:r>
        <w:r w:rsidR="00874DE1">
          <w:delText> mg</w:delText>
        </w:r>
        <w:r w:rsidRPr="001B4A02">
          <w:delText xml:space="preserve"> následovan</w:delText>
        </w:r>
        <w:r w:rsidR="00710CD0" w:rsidRPr="001B4A02">
          <w:delText>é</w:delText>
        </w:r>
        <w:r w:rsidRPr="001B4A02">
          <w:delText xml:space="preserve"> o</w:delText>
        </w:r>
        <w:r w:rsidR="00F46CFA" w:rsidRPr="001B4A02">
          <w:delText> </w:delText>
        </w:r>
        <w:r w:rsidRPr="001B4A02">
          <w:delText>týden později dávkou 20</w:delText>
        </w:r>
        <w:r w:rsidR="00874DE1">
          <w:delText> mg</w:delText>
        </w:r>
        <w:r w:rsidRPr="001B4A02">
          <w:delText>. Poté se podává obvyklá dávka 20</w:delText>
        </w:r>
        <w:r w:rsidR="00874DE1">
          <w:delText> mg</w:delText>
        </w:r>
        <w:r w:rsidRPr="001B4A02">
          <w:delText xml:space="preserve"> jednou za dva týdny</w:delText>
        </w:r>
        <w:r w:rsidR="00196227">
          <w:delText>.</w:delText>
        </w:r>
      </w:del>
    </w:p>
    <w:p w14:paraId="5A1AD5C5" w14:textId="77777777" w:rsidR="0033628A" w:rsidRPr="001B4A02" w:rsidRDefault="0033628A" w:rsidP="0033628A">
      <w:pPr>
        <w:numPr>
          <w:ilvl w:val="12"/>
          <w:numId w:val="0"/>
        </w:numPr>
        <w:ind w:right="-2"/>
        <w:rPr>
          <w:del w:id="12814" w:author="AbbVie1" w:date="2025-05-13T10:11:00Z"/>
        </w:rPr>
      </w:pPr>
    </w:p>
    <w:p w14:paraId="5287DDB4" w14:textId="77777777" w:rsidR="0033628A" w:rsidRPr="001B4A02" w:rsidRDefault="00000000" w:rsidP="0033628A">
      <w:pPr>
        <w:numPr>
          <w:ilvl w:val="12"/>
          <w:numId w:val="0"/>
        </w:numPr>
        <w:ind w:right="-2"/>
        <w:rPr>
          <w:del w:id="12815" w:author="AbbVie1" w:date="2025-05-13T10:11:00Z"/>
          <w:i/>
        </w:rPr>
      </w:pPr>
      <w:del w:id="12816" w:author="AbbVie1" w:date="2025-05-13T10:11:00Z">
        <w:r w:rsidRPr="001B4A02">
          <w:rPr>
            <w:i/>
          </w:rPr>
          <w:delText>Děti</w:delText>
        </w:r>
        <w:r w:rsidR="002378E0">
          <w:rPr>
            <w:i/>
          </w:rPr>
          <w:delText xml:space="preserve"> a </w:delText>
        </w:r>
        <w:r w:rsidRPr="001B4A02">
          <w:rPr>
            <w:i/>
          </w:rPr>
          <w:delText>dospívající od 4 do 17 let s tělesnou hmotností 30 kg nebo vyšší</w:delText>
        </w:r>
      </w:del>
    </w:p>
    <w:p w14:paraId="415114E3" w14:textId="77777777" w:rsidR="0033628A" w:rsidRPr="001B4A02" w:rsidRDefault="0033628A" w:rsidP="0033628A">
      <w:pPr>
        <w:numPr>
          <w:ilvl w:val="12"/>
          <w:numId w:val="0"/>
        </w:numPr>
        <w:ind w:right="-2"/>
        <w:rPr>
          <w:del w:id="12817" w:author="AbbVie1" w:date="2025-05-13T10:11:00Z"/>
          <w:i/>
        </w:rPr>
      </w:pPr>
    </w:p>
    <w:p w14:paraId="5E9B21C7" w14:textId="77777777" w:rsidR="0033628A" w:rsidRPr="001B4A02" w:rsidRDefault="00000000" w:rsidP="0033628A">
      <w:pPr>
        <w:numPr>
          <w:ilvl w:val="12"/>
          <w:numId w:val="0"/>
        </w:numPr>
        <w:ind w:right="-2"/>
        <w:rPr>
          <w:del w:id="12818" w:author="AbbVie1" w:date="2025-05-13T10:11:00Z"/>
        </w:rPr>
      </w:pPr>
      <w:del w:id="12819" w:author="AbbVie1" w:date="2025-05-13T10:11:00Z">
        <w:r w:rsidRPr="001B4A02">
          <w:delText>Doporučen</w:delText>
        </w:r>
        <w:r w:rsidR="00710CD0" w:rsidRPr="001B4A02">
          <w:rPr>
            <w:szCs w:val="22"/>
          </w:rPr>
          <w:delText>é dávkování</w:delText>
        </w:r>
        <w:r w:rsidRPr="001B4A02">
          <w:delText xml:space="preserve"> přípravku Humira je </w:delText>
        </w:r>
        <w:r w:rsidR="00710CD0" w:rsidRPr="001B4A02">
          <w:rPr>
            <w:szCs w:val="22"/>
          </w:rPr>
          <w:delText xml:space="preserve">podání úvodní </w:delText>
        </w:r>
        <w:r w:rsidRPr="001B4A02">
          <w:delText>dávk</w:delText>
        </w:r>
        <w:r w:rsidR="00710CD0" w:rsidRPr="001B4A02">
          <w:delText>y</w:delText>
        </w:r>
        <w:r w:rsidRPr="001B4A02">
          <w:delText xml:space="preserve"> 40</w:delText>
        </w:r>
        <w:r w:rsidR="00874DE1">
          <w:delText> mg</w:delText>
        </w:r>
        <w:r w:rsidRPr="001B4A02">
          <w:delText xml:space="preserve"> následovan</w:delText>
        </w:r>
        <w:r w:rsidR="00710CD0" w:rsidRPr="001B4A02">
          <w:delText>é</w:delText>
        </w:r>
        <w:r w:rsidRPr="001B4A02">
          <w:delText xml:space="preserve"> o</w:delText>
        </w:r>
        <w:r w:rsidR="00F46CFA" w:rsidRPr="001B4A02">
          <w:delText> </w:delText>
        </w:r>
        <w:r w:rsidRPr="001B4A02">
          <w:delText>týden později dávkou 40</w:delText>
        </w:r>
        <w:r w:rsidR="00874DE1">
          <w:delText> mg</w:delText>
        </w:r>
        <w:r w:rsidRPr="001B4A02">
          <w:delText>. Poté se podává obvyklá dávka 40</w:delText>
        </w:r>
        <w:r w:rsidR="00874DE1">
          <w:delText> mg</w:delText>
        </w:r>
        <w:r w:rsidRPr="001B4A02">
          <w:delText xml:space="preserve"> jednou za dva týdny.</w:delText>
        </w:r>
      </w:del>
    </w:p>
    <w:p w14:paraId="006BBCEB" w14:textId="77777777" w:rsidR="00852DE0" w:rsidRPr="001B4A02" w:rsidRDefault="00852DE0" w:rsidP="00ED48A3">
      <w:pPr>
        <w:ind w:left="0" w:firstLine="0"/>
        <w:rPr>
          <w:del w:id="12820" w:author="AbbVie1" w:date="2025-05-13T10:11:00Z"/>
        </w:rPr>
      </w:pPr>
    </w:p>
    <w:p w14:paraId="403B2CE2" w14:textId="77777777" w:rsidR="00155745" w:rsidRPr="001B4A02" w:rsidRDefault="00000000" w:rsidP="00ED48A3">
      <w:pPr>
        <w:ind w:left="0" w:firstLine="0"/>
        <w:rPr>
          <w:del w:id="12821" w:author="AbbVie1" w:date="2025-05-13T10:11:00Z"/>
        </w:rPr>
      </w:pPr>
      <w:del w:id="12822" w:author="AbbVie1" w:date="2025-05-13T10:11:00Z">
        <w:r w:rsidRPr="001B4A02">
          <w:rPr>
            <w:u w:val="single"/>
          </w:rPr>
          <w:delText>Dospělí pacienti s hidradenitis suppurativa</w:delText>
        </w:r>
      </w:del>
    </w:p>
    <w:p w14:paraId="3935A5B5" w14:textId="77777777" w:rsidR="00155745" w:rsidRPr="001B4A02" w:rsidRDefault="00155745" w:rsidP="00ED48A3">
      <w:pPr>
        <w:ind w:left="0" w:firstLine="0"/>
        <w:rPr>
          <w:del w:id="12823" w:author="AbbVie1" w:date="2025-05-13T10:11:00Z"/>
        </w:rPr>
      </w:pPr>
    </w:p>
    <w:p w14:paraId="5A22DA42" w14:textId="77777777" w:rsidR="00155745" w:rsidRPr="001B4A02" w:rsidRDefault="00000000" w:rsidP="00ED48A3">
      <w:pPr>
        <w:ind w:left="0" w:firstLine="0"/>
        <w:rPr>
          <w:del w:id="12824" w:author="AbbVie1" w:date="2025-05-13T10:11:00Z"/>
        </w:rPr>
      </w:pPr>
      <w:del w:id="12825" w:author="AbbVie1" w:date="2025-05-13T10:11:00Z">
        <w:r w:rsidRPr="001B4A02">
          <w:delText xml:space="preserve">Obvyklý </w:delText>
        </w:r>
        <w:r w:rsidR="00E65030" w:rsidRPr="001B4A02">
          <w:delText xml:space="preserve">režim </w:delText>
        </w:r>
        <w:r w:rsidRPr="001B4A02">
          <w:delText>dávko</w:delText>
        </w:r>
        <w:r w:rsidR="00063784" w:rsidRPr="001B4A02">
          <w:delText>vání</w:delText>
        </w:r>
        <w:r w:rsidR="003600BE" w:rsidRPr="001B4A02">
          <w:delText xml:space="preserve"> u </w:delText>
        </w:r>
        <w:r w:rsidRPr="001B4A02">
          <w:delText xml:space="preserve">hidradenitis suppurativa je </w:delText>
        </w:r>
        <w:r w:rsidR="00375B03" w:rsidRPr="001B4A02">
          <w:delText>podání úvodní</w:delText>
        </w:r>
        <w:r w:rsidRPr="001B4A02">
          <w:delText xml:space="preserve"> dávky 160</w:delText>
        </w:r>
        <w:r w:rsidR="00874DE1">
          <w:delText> mg</w:delText>
        </w:r>
        <w:r w:rsidRPr="001B4A02">
          <w:delText xml:space="preserve"> (jako </w:delText>
        </w:r>
        <w:r w:rsidR="0033628A" w:rsidRPr="001B4A02">
          <w:delText>čtyři</w:delText>
        </w:r>
        <w:r w:rsidRPr="001B4A02">
          <w:delText xml:space="preserve"> injekce </w:delText>
        </w:r>
        <w:r w:rsidR="0002246D" w:rsidRPr="001B4A02">
          <w:delText>40</w:delText>
        </w:r>
        <w:r w:rsidR="00874DE1">
          <w:delText> mg</w:delText>
        </w:r>
        <w:r w:rsidR="0002246D" w:rsidRPr="001B4A02">
          <w:delText xml:space="preserve"> </w:delText>
        </w:r>
        <w:r w:rsidRPr="001B4A02">
          <w:delText xml:space="preserve">v jednom dni nebo </w:delText>
        </w:r>
        <w:r w:rsidR="0033628A" w:rsidRPr="001B4A02">
          <w:delText>dvě</w:delText>
        </w:r>
        <w:r w:rsidRPr="001B4A02">
          <w:delText xml:space="preserve"> injekce</w:delText>
        </w:r>
        <w:r w:rsidR="0002246D" w:rsidRPr="001B4A02">
          <w:delText xml:space="preserve"> 40</w:delText>
        </w:r>
        <w:r w:rsidR="00874DE1">
          <w:delText> mg</w:delText>
        </w:r>
        <w:r w:rsidRPr="001B4A02">
          <w:delText xml:space="preserve"> denně ve dvou po sobě </w:delText>
        </w:r>
        <w:r w:rsidR="00FE5873">
          <w:delText xml:space="preserve">jdoucích </w:delText>
        </w:r>
        <w:r w:rsidRPr="001B4A02">
          <w:delText>dnech) následované dávkou 80</w:delText>
        </w:r>
        <w:r w:rsidR="00874DE1">
          <w:delText> mg</w:delText>
        </w:r>
        <w:r w:rsidRPr="001B4A02">
          <w:delText xml:space="preserve"> (jako </w:delText>
        </w:r>
        <w:r w:rsidR="0033628A" w:rsidRPr="001B4A02">
          <w:delText>dvě</w:delText>
        </w:r>
        <w:r w:rsidRPr="001B4A02">
          <w:delText xml:space="preserve"> injekce</w:delText>
        </w:r>
        <w:r w:rsidR="0002246D" w:rsidRPr="001B4A02">
          <w:delText xml:space="preserve"> 40</w:delText>
        </w:r>
        <w:r w:rsidR="00874DE1">
          <w:delText> mg</w:delText>
        </w:r>
        <w:r w:rsidRPr="001B4A02">
          <w:delText xml:space="preserve"> v</w:delText>
        </w:r>
        <w:r w:rsidR="00BA5CF8">
          <w:delText> </w:delText>
        </w:r>
        <w:r w:rsidR="0033628A" w:rsidRPr="001B4A02">
          <w:delText>jednom</w:delText>
        </w:r>
        <w:r w:rsidRPr="001B4A02">
          <w:delText xml:space="preserve"> dni)</w:delText>
        </w:r>
        <w:r w:rsidR="00063784" w:rsidRPr="001B4A02">
          <w:delText xml:space="preserve"> o </w:delText>
        </w:r>
        <w:r w:rsidRPr="001B4A02">
          <w:delText xml:space="preserve">dva týdny později. Po </w:delText>
        </w:r>
        <w:r w:rsidR="00175AEE" w:rsidRPr="001B4A02">
          <w:delText>dalších dvou</w:delText>
        </w:r>
        <w:r w:rsidRPr="001B4A02">
          <w:delText xml:space="preserve"> týdnech se pokračuje </w:delText>
        </w:r>
        <w:r w:rsidR="0002246D" w:rsidRPr="001B4A02">
          <w:delText xml:space="preserve">dávkováním </w:delText>
        </w:r>
        <w:r w:rsidRPr="001B4A02">
          <w:delText>40</w:delText>
        </w:r>
        <w:r w:rsidR="00874DE1">
          <w:delText> mg</w:delText>
        </w:r>
        <w:r w:rsidRPr="001B4A02">
          <w:delText xml:space="preserve"> jednou týdně</w:delText>
        </w:r>
        <w:r w:rsidR="0002246D" w:rsidRPr="001B4A02">
          <w:delText xml:space="preserve"> nebo 80</w:delText>
        </w:r>
        <w:r w:rsidR="00874DE1">
          <w:delText> mg</w:delText>
        </w:r>
        <w:r w:rsidR="0002246D" w:rsidRPr="001B4A02">
          <w:delText xml:space="preserve"> jednou za dva týdny, jak Vám předepsal lékař</w:delText>
        </w:r>
        <w:r w:rsidRPr="001B4A02">
          <w:delText>. Je doporučeno, abyste denně prováděl(a) na postižených místech antiseptické ošetření.</w:delText>
        </w:r>
      </w:del>
    </w:p>
    <w:p w14:paraId="061BF716" w14:textId="77777777" w:rsidR="005A6D66" w:rsidRPr="001B4A02" w:rsidRDefault="005A6D66" w:rsidP="00ED48A3">
      <w:pPr>
        <w:ind w:left="0" w:firstLine="0"/>
        <w:rPr>
          <w:del w:id="12826" w:author="AbbVie1" w:date="2025-05-13T10:11:00Z"/>
        </w:rPr>
      </w:pPr>
    </w:p>
    <w:p w14:paraId="79E2CA0D" w14:textId="77777777" w:rsidR="00C207A7" w:rsidRPr="001B4A02" w:rsidRDefault="00000000" w:rsidP="00ED48A3">
      <w:pPr>
        <w:numPr>
          <w:ilvl w:val="12"/>
          <w:numId w:val="0"/>
        </w:numPr>
        <w:ind w:right="-2"/>
        <w:rPr>
          <w:del w:id="12827" w:author="AbbVie1" w:date="2025-05-13T10:11:00Z"/>
          <w:u w:val="single"/>
        </w:rPr>
      </w:pPr>
      <w:del w:id="12828" w:author="AbbVie1" w:date="2025-05-13T10:11:00Z">
        <w:r w:rsidRPr="001B4A02">
          <w:rPr>
            <w:szCs w:val="22"/>
            <w:u w:val="single"/>
          </w:rPr>
          <w:delText>Dospívající s</w:delText>
        </w:r>
        <w:r w:rsidR="000C2348" w:rsidRPr="001B4A02">
          <w:rPr>
            <w:szCs w:val="22"/>
            <w:u w:val="single"/>
          </w:rPr>
          <w:delText> </w:delText>
        </w:r>
        <w:r w:rsidRPr="001B4A02">
          <w:rPr>
            <w:szCs w:val="22"/>
            <w:u w:val="single"/>
          </w:rPr>
          <w:delText>hidradenitis suppurativa od 12</w:delText>
        </w:r>
        <w:r w:rsidR="0033628A" w:rsidRPr="001B4A02">
          <w:rPr>
            <w:szCs w:val="22"/>
            <w:u w:val="single"/>
          </w:rPr>
          <w:delText xml:space="preserve"> do 17</w:delText>
        </w:r>
        <w:r w:rsidRPr="001B4A02">
          <w:rPr>
            <w:szCs w:val="22"/>
            <w:u w:val="single"/>
          </w:rPr>
          <w:delText> let s</w:delText>
        </w:r>
        <w:r w:rsidR="000C2348" w:rsidRPr="001B4A02">
          <w:rPr>
            <w:szCs w:val="22"/>
            <w:u w:val="single"/>
          </w:rPr>
          <w:delText> </w:delText>
        </w:r>
        <w:r w:rsidRPr="001B4A02">
          <w:rPr>
            <w:szCs w:val="22"/>
            <w:u w:val="single"/>
          </w:rPr>
          <w:delText>tělesnou hmotností 30 kg</w:delText>
        </w:r>
        <w:r w:rsidR="001D2B8E" w:rsidRPr="001B4A02">
          <w:rPr>
            <w:szCs w:val="22"/>
            <w:u w:val="single"/>
          </w:rPr>
          <w:delText xml:space="preserve"> nebo vyšší</w:delText>
        </w:r>
      </w:del>
    </w:p>
    <w:p w14:paraId="0C6E445F" w14:textId="77777777" w:rsidR="00C207A7" w:rsidRPr="001B4A02" w:rsidRDefault="00C207A7" w:rsidP="00ED48A3">
      <w:pPr>
        <w:numPr>
          <w:ilvl w:val="12"/>
          <w:numId w:val="0"/>
        </w:numPr>
        <w:ind w:right="-2"/>
        <w:rPr>
          <w:del w:id="12829" w:author="AbbVie1" w:date="2025-05-13T10:11:00Z"/>
        </w:rPr>
      </w:pPr>
    </w:p>
    <w:p w14:paraId="7D41967F" w14:textId="77777777" w:rsidR="000D3314" w:rsidRPr="001B4A02" w:rsidRDefault="00000000" w:rsidP="00ED48A3">
      <w:pPr>
        <w:numPr>
          <w:ilvl w:val="12"/>
          <w:numId w:val="0"/>
        </w:numPr>
        <w:ind w:right="-2"/>
        <w:rPr>
          <w:del w:id="12830" w:author="AbbVie1" w:date="2025-05-13T10:11:00Z"/>
        </w:rPr>
      </w:pPr>
      <w:del w:id="12831" w:author="AbbVie1" w:date="2025-05-13T10:11:00Z">
        <w:r w:rsidRPr="001B4A02">
          <w:rPr>
            <w:szCs w:val="22"/>
          </w:rPr>
          <w:delText>Doporučen</w:delText>
        </w:r>
        <w:r w:rsidR="00375B03" w:rsidRPr="001B4A02">
          <w:rPr>
            <w:szCs w:val="22"/>
          </w:rPr>
          <w:delText>é</w:delText>
        </w:r>
        <w:r w:rsidRPr="001B4A02">
          <w:rPr>
            <w:szCs w:val="22"/>
          </w:rPr>
          <w:delText xml:space="preserve"> </w:delText>
        </w:r>
        <w:r w:rsidR="00375B03" w:rsidRPr="001B4A02">
          <w:rPr>
            <w:szCs w:val="22"/>
          </w:rPr>
          <w:delText xml:space="preserve">dávkování </w:delText>
        </w:r>
        <w:r w:rsidRPr="001B4A02">
          <w:rPr>
            <w:szCs w:val="22"/>
          </w:rPr>
          <w:delText xml:space="preserve">přípravku Humira je </w:delText>
        </w:r>
        <w:r w:rsidR="00375B03" w:rsidRPr="001B4A02">
          <w:rPr>
            <w:szCs w:val="22"/>
          </w:rPr>
          <w:delText xml:space="preserve">podání </w:delText>
        </w:r>
        <w:r w:rsidRPr="001B4A02">
          <w:rPr>
            <w:szCs w:val="22"/>
          </w:rPr>
          <w:delText xml:space="preserve">úvodní </w:delText>
        </w:r>
        <w:r w:rsidR="00375B03" w:rsidRPr="001B4A02">
          <w:rPr>
            <w:szCs w:val="22"/>
          </w:rPr>
          <w:delText xml:space="preserve">dávky </w:delText>
        </w:r>
        <w:r w:rsidRPr="001B4A02">
          <w:rPr>
            <w:szCs w:val="22"/>
          </w:rPr>
          <w:delText>80 mg (</w:delText>
        </w:r>
        <w:r w:rsidR="0033628A" w:rsidRPr="001B4A02">
          <w:rPr>
            <w:szCs w:val="22"/>
          </w:rPr>
          <w:delText xml:space="preserve">jako </w:delText>
        </w:r>
        <w:r w:rsidRPr="001B4A02">
          <w:rPr>
            <w:szCs w:val="22"/>
          </w:rPr>
          <w:delText>dvě injekce</w:delText>
        </w:r>
        <w:r w:rsidR="0002246D" w:rsidRPr="001B4A02">
          <w:rPr>
            <w:szCs w:val="22"/>
          </w:rPr>
          <w:delText xml:space="preserve"> 40</w:delText>
        </w:r>
        <w:r w:rsidR="00874DE1">
          <w:rPr>
            <w:szCs w:val="22"/>
          </w:rPr>
          <w:delText> mg</w:delText>
        </w:r>
        <w:r w:rsidRPr="001B4A02">
          <w:rPr>
            <w:szCs w:val="22"/>
          </w:rPr>
          <w:delText xml:space="preserve"> jednou denně) následovan</w:delText>
        </w:r>
        <w:r w:rsidR="00375B03" w:rsidRPr="001B4A02">
          <w:rPr>
            <w:szCs w:val="22"/>
          </w:rPr>
          <w:delText>é</w:delText>
        </w:r>
        <w:r w:rsidRPr="001B4A02">
          <w:rPr>
            <w:szCs w:val="22"/>
          </w:rPr>
          <w:delText xml:space="preserve"> dávkou 40 mg každý druhý týden</w:delText>
        </w:r>
        <w:r w:rsidR="00063784" w:rsidRPr="001B4A02">
          <w:rPr>
            <w:szCs w:val="22"/>
          </w:rPr>
          <w:delText xml:space="preserve"> o </w:delText>
        </w:r>
        <w:r w:rsidRPr="001B4A02">
          <w:rPr>
            <w:szCs w:val="22"/>
          </w:rPr>
          <w:delText xml:space="preserve">jeden týden později. Pokud Vaše odpověď </w:delText>
        </w:r>
        <w:r w:rsidR="0002246D" w:rsidRPr="001B4A02">
          <w:rPr>
            <w:szCs w:val="22"/>
          </w:rPr>
          <w:delText>na léčbu přípravkem Humira 40</w:delText>
        </w:r>
        <w:r w:rsidR="00874DE1">
          <w:rPr>
            <w:szCs w:val="22"/>
          </w:rPr>
          <w:delText> mg</w:delText>
        </w:r>
        <w:r w:rsidR="0002246D" w:rsidRPr="001B4A02">
          <w:rPr>
            <w:szCs w:val="22"/>
          </w:rPr>
          <w:delText xml:space="preserve"> jednou za dva týdny </w:delText>
        </w:r>
        <w:r w:rsidRPr="001B4A02">
          <w:rPr>
            <w:szCs w:val="22"/>
          </w:rPr>
          <w:delText>není dostatečná, může lékař zvýšit dávkování na 40</w:delText>
        </w:r>
        <w:r w:rsidR="00874DE1">
          <w:rPr>
            <w:szCs w:val="22"/>
          </w:rPr>
          <w:delText> mg</w:delText>
        </w:r>
        <w:r w:rsidRPr="001B4A02">
          <w:rPr>
            <w:szCs w:val="22"/>
          </w:rPr>
          <w:delText xml:space="preserve"> každý týden</w:delText>
        </w:r>
        <w:r w:rsidR="0002246D" w:rsidRPr="001B4A02">
          <w:rPr>
            <w:szCs w:val="22"/>
          </w:rPr>
          <w:delText xml:space="preserve"> nebo 80</w:delText>
        </w:r>
        <w:r w:rsidR="00874DE1">
          <w:rPr>
            <w:szCs w:val="22"/>
          </w:rPr>
          <w:delText> mg</w:delText>
        </w:r>
        <w:r w:rsidR="0002246D" w:rsidRPr="001B4A02">
          <w:rPr>
            <w:szCs w:val="22"/>
          </w:rPr>
          <w:delText xml:space="preserve"> jednou za dva týdny</w:delText>
        </w:r>
        <w:r w:rsidRPr="001B4A02">
          <w:rPr>
            <w:szCs w:val="22"/>
          </w:rPr>
          <w:delText>.</w:delText>
        </w:r>
      </w:del>
    </w:p>
    <w:p w14:paraId="583789DC" w14:textId="77777777" w:rsidR="000D3314" w:rsidRPr="001B4A02" w:rsidRDefault="000D3314" w:rsidP="00ED48A3">
      <w:pPr>
        <w:numPr>
          <w:ilvl w:val="12"/>
          <w:numId w:val="0"/>
        </w:numPr>
        <w:ind w:right="-2"/>
        <w:rPr>
          <w:del w:id="12832" w:author="AbbVie1" w:date="2025-05-13T10:11:00Z"/>
        </w:rPr>
      </w:pPr>
    </w:p>
    <w:p w14:paraId="65B0A359" w14:textId="77777777" w:rsidR="005A6D66" w:rsidRPr="001B4A02" w:rsidRDefault="00000000" w:rsidP="00ED48A3">
      <w:pPr>
        <w:numPr>
          <w:ilvl w:val="12"/>
          <w:numId w:val="0"/>
        </w:numPr>
        <w:ind w:right="-2"/>
        <w:rPr>
          <w:del w:id="12833" w:author="AbbVie1" w:date="2025-05-13T10:11:00Z"/>
        </w:rPr>
      </w:pPr>
      <w:del w:id="12834" w:author="AbbVie1" w:date="2025-05-13T10:11:00Z">
        <w:r w:rsidRPr="001B4A02">
          <w:rPr>
            <w:szCs w:val="22"/>
          </w:rPr>
          <w:delText>Doporučuje se postižená místa denně omývat antiseptickým přípravkem.</w:delText>
        </w:r>
      </w:del>
    </w:p>
    <w:p w14:paraId="447772C9" w14:textId="77777777" w:rsidR="00155745" w:rsidRPr="001B4A02" w:rsidRDefault="00155745" w:rsidP="00ED48A3">
      <w:pPr>
        <w:ind w:left="0" w:firstLine="0"/>
        <w:rPr>
          <w:del w:id="12835" w:author="AbbVie1" w:date="2025-05-13T10:11:00Z"/>
          <w:u w:val="single"/>
        </w:rPr>
      </w:pPr>
    </w:p>
    <w:p w14:paraId="357B609D" w14:textId="77777777" w:rsidR="008C6606" w:rsidRPr="001B4A02" w:rsidRDefault="00000000" w:rsidP="00ED48A3">
      <w:pPr>
        <w:ind w:left="0" w:firstLine="0"/>
        <w:rPr>
          <w:del w:id="12836" w:author="AbbVie1" w:date="2025-05-13T10:11:00Z"/>
          <w:u w:val="single"/>
        </w:rPr>
      </w:pPr>
      <w:del w:id="12837" w:author="AbbVie1" w:date="2025-05-13T10:11:00Z">
        <w:r w:rsidRPr="001B4A02">
          <w:rPr>
            <w:u w:val="single"/>
          </w:rPr>
          <w:delText>Dospělí pacienti s Crohnovou chorobou</w:delText>
        </w:r>
      </w:del>
    </w:p>
    <w:p w14:paraId="59362779" w14:textId="77777777" w:rsidR="00073F8F" w:rsidRPr="001B4A02" w:rsidRDefault="00073F8F" w:rsidP="00ED48A3">
      <w:pPr>
        <w:ind w:left="0" w:firstLine="0"/>
        <w:rPr>
          <w:del w:id="12838" w:author="AbbVie1" w:date="2025-05-13T10:11:00Z"/>
        </w:rPr>
      </w:pPr>
    </w:p>
    <w:p w14:paraId="0D952EE4" w14:textId="77777777" w:rsidR="00073F8F" w:rsidRPr="001B4A02" w:rsidRDefault="00000000" w:rsidP="00ED48A3">
      <w:pPr>
        <w:ind w:left="0" w:firstLine="0"/>
        <w:rPr>
          <w:del w:id="12839" w:author="AbbVie1" w:date="2025-05-13T10:11:00Z"/>
        </w:rPr>
      </w:pPr>
      <w:del w:id="12840" w:author="AbbVie1" w:date="2025-05-13T10:11:00Z">
        <w:r w:rsidRPr="001B4A02">
          <w:delText xml:space="preserve">Obvyklý </w:delText>
        </w:r>
        <w:r w:rsidR="00E65030" w:rsidRPr="001B4A02">
          <w:delText xml:space="preserve">režim </w:delText>
        </w:r>
        <w:r w:rsidR="00946C26" w:rsidRPr="001B4A02">
          <w:delText>dávkování</w:delText>
        </w:r>
        <w:r w:rsidR="003600BE" w:rsidRPr="001B4A02">
          <w:delText xml:space="preserve"> u </w:delText>
        </w:r>
        <w:r w:rsidRPr="001B4A02">
          <w:delText xml:space="preserve">Crohnovy choroby je </w:delText>
        </w:r>
        <w:r w:rsidR="00375B03" w:rsidRPr="001B4A02">
          <w:delText xml:space="preserve">podání </w:delText>
        </w:r>
        <w:r w:rsidR="00CF3348" w:rsidRPr="001B4A02">
          <w:delText>úvodní</w:delText>
        </w:r>
        <w:r w:rsidR="008C6606" w:rsidRPr="001B4A02">
          <w:delText xml:space="preserve"> </w:delText>
        </w:r>
        <w:r w:rsidRPr="001B4A02">
          <w:delText>dávky 80</w:delText>
        </w:r>
        <w:r w:rsidR="00874DE1">
          <w:delText> mg</w:delText>
        </w:r>
        <w:r w:rsidR="0033628A" w:rsidRPr="001B4A02">
          <w:delText xml:space="preserve"> (jako dvě injekce </w:delText>
        </w:r>
        <w:r w:rsidR="0002246D" w:rsidRPr="001B4A02">
          <w:delText>40</w:delText>
        </w:r>
        <w:r w:rsidR="009A0443">
          <w:delText> </w:delText>
        </w:r>
        <w:r w:rsidR="0002246D" w:rsidRPr="001B4A02">
          <w:delText xml:space="preserve">mg </w:delText>
        </w:r>
        <w:r w:rsidR="0033628A" w:rsidRPr="001B4A02">
          <w:delText>v jednom dni)</w:delText>
        </w:r>
        <w:r w:rsidRPr="001B4A02">
          <w:delText xml:space="preserve"> následované dávkou 40 mg</w:delText>
        </w:r>
        <w:r w:rsidR="00063784" w:rsidRPr="001B4A02">
          <w:delText xml:space="preserve"> o </w:delText>
        </w:r>
        <w:r w:rsidR="008C6606" w:rsidRPr="001B4A02">
          <w:delText>dva týdny později</w:delText>
        </w:r>
        <w:r w:rsidR="002378E0">
          <w:delText xml:space="preserve"> a </w:delText>
        </w:r>
        <w:r w:rsidR="008C6606" w:rsidRPr="001B4A02">
          <w:delText xml:space="preserve">poté </w:delText>
        </w:r>
        <w:r w:rsidRPr="001B4A02">
          <w:delText xml:space="preserve">každý druhý týden. </w:delText>
        </w:r>
        <w:r w:rsidR="008C6606" w:rsidRPr="001B4A02">
          <w:delText>Pokud</w:delText>
        </w:r>
        <w:r w:rsidRPr="001B4A02">
          <w:delText xml:space="preserve"> je potřeba rychlejšího nástupu odpovědi na léčbu, může Vám Váš lékař předepsat </w:delText>
        </w:r>
        <w:r w:rsidR="00CF3348" w:rsidRPr="001B4A02">
          <w:delText>úvodní</w:delText>
        </w:r>
        <w:r w:rsidR="008C6606" w:rsidRPr="001B4A02">
          <w:delText xml:space="preserve"> </w:delText>
        </w:r>
        <w:r w:rsidRPr="001B4A02">
          <w:delText xml:space="preserve">dávku 160 mg (buď jako </w:delText>
        </w:r>
        <w:r w:rsidR="0033628A" w:rsidRPr="001B4A02">
          <w:delText>čtyři</w:delText>
        </w:r>
        <w:r w:rsidRPr="001B4A02">
          <w:delText xml:space="preserve"> injekce</w:delText>
        </w:r>
        <w:r w:rsidR="0002246D" w:rsidRPr="001B4A02">
          <w:delText xml:space="preserve"> 40</w:delText>
        </w:r>
        <w:r w:rsidR="00874DE1">
          <w:delText> mg</w:delText>
        </w:r>
        <w:r w:rsidRPr="001B4A02">
          <w:delText xml:space="preserve"> v jednom dni nebo </w:delText>
        </w:r>
        <w:r w:rsidR="0033628A" w:rsidRPr="001B4A02">
          <w:delText xml:space="preserve">dvě </w:delText>
        </w:r>
        <w:r w:rsidRPr="001B4A02">
          <w:delText>injekce</w:delText>
        </w:r>
        <w:r w:rsidR="0002246D" w:rsidRPr="001B4A02">
          <w:delText xml:space="preserve"> 40</w:delText>
        </w:r>
        <w:r w:rsidR="00874DE1">
          <w:delText> mg</w:delText>
        </w:r>
        <w:r w:rsidRPr="001B4A02">
          <w:delText xml:space="preserve"> za den ve dvou po sobě </w:delText>
        </w:r>
        <w:r w:rsidR="00FE5873">
          <w:delText xml:space="preserve">jdoucích </w:delText>
        </w:r>
        <w:r w:rsidRPr="001B4A02">
          <w:delText xml:space="preserve">dnech), </w:delText>
        </w:r>
        <w:r w:rsidR="008C6606" w:rsidRPr="001B4A02">
          <w:delText>po níž následuje</w:delText>
        </w:r>
        <w:r w:rsidR="00063784" w:rsidRPr="001B4A02">
          <w:delText xml:space="preserve"> o </w:delText>
        </w:r>
        <w:r w:rsidR="008C6606" w:rsidRPr="001B4A02">
          <w:delText>dva týdny pozd</w:delText>
        </w:r>
        <w:r w:rsidR="006618BF" w:rsidRPr="001B4A02">
          <w:delText>ě</w:delText>
        </w:r>
        <w:r w:rsidR="008C6606" w:rsidRPr="001B4A02">
          <w:delText>ji dávka</w:delText>
        </w:r>
        <w:r w:rsidRPr="001B4A02">
          <w:delText xml:space="preserve"> 80</w:delText>
        </w:r>
        <w:r w:rsidR="00874DE1">
          <w:delText> mg</w:delText>
        </w:r>
        <w:r w:rsidR="0002246D" w:rsidRPr="001B4A02">
          <w:delText xml:space="preserve"> (jako dvě injekce 40</w:delText>
        </w:r>
        <w:r w:rsidR="00874DE1">
          <w:delText> mg</w:delText>
        </w:r>
        <w:r w:rsidR="0002246D" w:rsidRPr="001B4A02">
          <w:delText xml:space="preserve"> v jednom dni)</w:delText>
        </w:r>
        <w:r w:rsidR="002378E0">
          <w:delText xml:space="preserve"> a </w:delText>
        </w:r>
        <w:r w:rsidR="008C6606" w:rsidRPr="001B4A02">
          <w:delText>dále pak</w:delText>
        </w:r>
        <w:r w:rsidRPr="001B4A02">
          <w:delText xml:space="preserve"> 40</w:delText>
        </w:r>
        <w:r w:rsidR="00874DE1">
          <w:delText> mg</w:delText>
        </w:r>
        <w:r w:rsidRPr="001B4A02">
          <w:delText xml:space="preserve"> každý druhý týden. </w:delText>
        </w:r>
        <w:r w:rsidR="008C6606" w:rsidRPr="001B4A02">
          <w:delText xml:space="preserve">V závislosti na tom, jak budete na léčbu odpovídat, Vám Váš lékař může zvýšit </w:delText>
        </w:r>
        <w:r w:rsidR="00690F45" w:rsidRPr="001B4A02">
          <w:delText xml:space="preserve">dávkování </w:delText>
        </w:r>
        <w:r w:rsidR="008C6606" w:rsidRPr="001B4A02">
          <w:delText>na 40</w:delText>
        </w:r>
        <w:r w:rsidR="00874DE1">
          <w:delText> mg</w:delText>
        </w:r>
        <w:r w:rsidR="008C6606" w:rsidRPr="001B4A02">
          <w:delText xml:space="preserve"> jednou týdně</w:delText>
        </w:r>
        <w:r w:rsidR="0002246D" w:rsidRPr="001B4A02">
          <w:delText xml:space="preserve"> nebo 80</w:delText>
        </w:r>
        <w:r w:rsidR="00874DE1">
          <w:delText> mg</w:delText>
        </w:r>
        <w:r w:rsidR="0002246D" w:rsidRPr="001B4A02">
          <w:delText xml:space="preserve"> jednou za dva týdny</w:delText>
        </w:r>
        <w:r w:rsidR="008C6606" w:rsidRPr="001B4A02">
          <w:delText>.</w:delText>
        </w:r>
      </w:del>
    </w:p>
    <w:p w14:paraId="2F34A3D1" w14:textId="77777777" w:rsidR="00661A68" w:rsidRPr="001B4A02" w:rsidRDefault="00661A68" w:rsidP="00ED48A3">
      <w:pPr>
        <w:ind w:left="0" w:firstLine="0"/>
        <w:rPr>
          <w:del w:id="12841" w:author="AbbVie1" w:date="2025-05-13T10:11:00Z"/>
        </w:rPr>
      </w:pPr>
    </w:p>
    <w:p w14:paraId="117D4B3E" w14:textId="77777777" w:rsidR="008C6606" w:rsidRPr="001B4A02" w:rsidRDefault="00000000" w:rsidP="00ED48A3">
      <w:pPr>
        <w:ind w:left="0" w:firstLine="0"/>
        <w:rPr>
          <w:del w:id="12842" w:author="AbbVie1" w:date="2025-05-13T10:11:00Z"/>
          <w:u w:val="single"/>
        </w:rPr>
      </w:pPr>
      <w:del w:id="12843" w:author="AbbVie1" w:date="2025-05-13T10:11:00Z">
        <w:r w:rsidRPr="001B4A02">
          <w:rPr>
            <w:u w:val="single"/>
          </w:rPr>
          <w:delText>Děti</w:delText>
        </w:r>
        <w:r w:rsidR="002378E0">
          <w:rPr>
            <w:u w:val="single"/>
          </w:rPr>
          <w:delText xml:space="preserve"> a </w:delText>
        </w:r>
        <w:r w:rsidRPr="001B4A02">
          <w:rPr>
            <w:u w:val="single"/>
          </w:rPr>
          <w:delText>dospívající s Crohnovou chorobou</w:delText>
        </w:r>
      </w:del>
    </w:p>
    <w:p w14:paraId="0EBC337D" w14:textId="77777777" w:rsidR="008C6606" w:rsidRPr="001B4A02" w:rsidRDefault="008C6606" w:rsidP="00ED48A3">
      <w:pPr>
        <w:ind w:left="0" w:firstLine="0"/>
        <w:rPr>
          <w:del w:id="12844" w:author="AbbVie1" w:date="2025-05-13T10:11:00Z"/>
        </w:rPr>
      </w:pPr>
    </w:p>
    <w:p w14:paraId="650FEB18" w14:textId="77777777" w:rsidR="0033628A" w:rsidRPr="001B4A02" w:rsidRDefault="00000000" w:rsidP="0033628A">
      <w:pPr>
        <w:keepNext/>
        <w:numPr>
          <w:ilvl w:val="12"/>
          <w:numId w:val="0"/>
        </w:numPr>
        <w:ind w:right="-2"/>
        <w:rPr>
          <w:del w:id="12845" w:author="AbbVie1" w:date="2025-05-13T10:11:00Z"/>
          <w:i/>
        </w:rPr>
      </w:pPr>
      <w:del w:id="12846" w:author="AbbVie1" w:date="2025-05-13T10:11:00Z">
        <w:r w:rsidRPr="001B4A02">
          <w:rPr>
            <w:i/>
          </w:rPr>
          <w:delText>Děti</w:delText>
        </w:r>
        <w:r w:rsidR="002378E0">
          <w:rPr>
            <w:i/>
          </w:rPr>
          <w:delText xml:space="preserve"> a </w:delText>
        </w:r>
        <w:r w:rsidRPr="001B4A02">
          <w:rPr>
            <w:i/>
          </w:rPr>
          <w:delText xml:space="preserve">dospívající od 6 do 17 let s tělesnou hmotností </w:delText>
        </w:r>
        <w:r w:rsidR="00783FD1" w:rsidRPr="001B4A02">
          <w:rPr>
            <w:i/>
          </w:rPr>
          <w:delText>do</w:delText>
        </w:r>
        <w:r w:rsidRPr="001B4A02">
          <w:rPr>
            <w:i/>
          </w:rPr>
          <w:delText xml:space="preserve"> 40 kg</w:delText>
        </w:r>
      </w:del>
    </w:p>
    <w:p w14:paraId="2EBAE9C3" w14:textId="77777777" w:rsidR="008C6606" w:rsidRPr="001B4A02" w:rsidRDefault="008C6606" w:rsidP="00ED48A3">
      <w:pPr>
        <w:ind w:left="0" w:firstLine="0"/>
        <w:rPr>
          <w:del w:id="12847" w:author="AbbVie1" w:date="2025-05-13T10:11:00Z"/>
        </w:rPr>
      </w:pPr>
    </w:p>
    <w:p w14:paraId="53A6A2D9" w14:textId="77777777" w:rsidR="008C6606" w:rsidRPr="001B4A02" w:rsidRDefault="00000000" w:rsidP="00ED48A3">
      <w:pPr>
        <w:ind w:left="0" w:firstLine="0"/>
        <w:rPr>
          <w:del w:id="12848" w:author="AbbVie1" w:date="2025-05-13T10:11:00Z"/>
        </w:rPr>
      </w:pPr>
      <w:del w:id="12849" w:author="AbbVie1" w:date="2025-05-13T10:11:00Z">
        <w:r w:rsidRPr="001B4A02">
          <w:delText xml:space="preserve">Obvyklý režim dávkování je </w:delText>
        </w:r>
        <w:r w:rsidR="00E65030" w:rsidRPr="001B4A02">
          <w:delText xml:space="preserve">podání úvodní dávky </w:delText>
        </w:r>
        <w:r w:rsidRPr="001B4A02">
          <w:delText>40</w:delText>
        </w:r>
        <w:r w:rsidR="00874DE1">
          <w:delText> mg</w:delText>
        </w:r>
        <w:r w:rsidRPr="001B4A02">
          <w:delText xml:space="preserve"> následované dávkou 20</w:delText>
        </w:r>
        <w:r w:rsidR="00874DE1">
          <w:delText> mg</w:delText>
        </w:r>
        <w:r w:rsidR="00063784" w:rsidRPr="001B4A02">
          <w:delText xml:space="preserve"> o </w:delText>
        </w:r>
        <w:r w:rsidRPr="001B4A02">
          <w:delText xml:space="preserve">dva týdny později. Pokud je potřeba rychlejší odpovědi, předepíše </w:delText>
        </w:r>
        <w:r w:rsidR="00484021" w:rsidRPr="001B4A02">
          <w:delText xml:space="preserve">Vám Váš </w:delText>
        </w:r>
        <w:r w:rsidRPr="001B4A02">
          <w:delText>lékař úvodní dávku 80</w:delText>
        </w:r>
        <w:r w:rsidR="00874DE1">
          <w:delText> mg</w:delText>
        </w:r>
        <w:r w:rsidRPr="001B4A02">
          <w:delText xml:space="preserve"> (jako </w:delText>
        </w:r>
        <w:r w:rsidR="0033628A" w:rsidRPr="001B4A02">
          <w:delText>dvě</w:delText>
        </w:r>
        <w:r w:rsidRPr="001B4A02">
          <w:delText xml:space="preserve"> injekce </w:delText>
        </w:r>
        <w:r w:rsidR="0002246D" w:rsidRPr="001B4A02">
          <w:delText>40</w:delText>
        </w:r>
        <w:r w:rsidR="00874DE1">
          <w:delText> mg</w:delText>
        </w:r>
        <w:r w:rsidR="0002246D" w:rsidRPr="001B4A02">
          <w:delText xml:space="preserve"> </w:delText>
        </w:r>
        <w:r w:rsidRPr="001B4A02">
          <w:delText>v jednom dni) následovanou dávkou 40</w:delText>
        </w:r>
        <w:r w:rsidR="00874DE1">
          <w:delText> mg</w:delText>
        </w:r>
        <w:r w:rsidR="00063784" w:rsidRPr="001B4A02">
          <w:delText xml:space="preserve"> o </w:delText>
        </w:r>
        <w:r w:rsidRPr="001B4A02">
          <w:delText>dva týdny později.</w:delText>
        </w:r>
      </w:del>
    </w:p>
    <w:p w14:paraId="3AC243D6" w14:textId="77777777" w:rsidR="008C6606" w:rsidRPr="001B4A02" w:rsidRDefault="008C6606" w:rsidP="00ED48A3">
      <w:pPr>
        <w:ind w:left="0" w:firstLine="0"/>
        <w:rPr>
          <w:del w:id="12850" w:author="AbbVie1" w:date="2025-05-13T10:11:00Z"/>
        </w:rPr>
      </w:pPr>
    </w:p>
    <w:p w14:paraId="49B13CE3" w14:textId="77777777" w:rsidR="008C6606" w:rsidRPr="001B4A02" w:rsidRDefault="00000000" w:rsidP="00ED48A3">
      <w:pPr>
        <w:ind w:left="0" w:firstLine="0"/>
        <w:rPr>
          <w:del w:id="12851" w:author="AbbVie1" w:date="2025-05-13T10:11:00Z"/>
        </w:rPr>
      </w:pPr>
      <w:del w:id="12852" w:author="AbbVie1" w:date="2025-05-13T10:11:00Z">
        <w:r w:rsidRPr="001B4A02">
          <w:delText>Následně poté je obvyklá dávka 20</w:delText>
        </w:r>
        <w:r w:rsidR="00874DE1">
          <w:delText> mg</w:delText>
        </w:r>
        <w:r w:rsidRPr="001B4A02">
          <w:delText xml:space="preserve"> každý druhý týden. V závislosti na tom, jak bude</w:delText>
        </w:r>
        <w:r w:rsidR="00484021" w:rsidRPr="001B4A02">
          <w:delText>te</w:delText>
        </w:r>
        <w:r w:rsidRPr="001B4A02">
          <w:delText xml:space="preserve"> na léčbu odpovídat, může lékař zvýšit frekvenci </w:delText>
        </w:r>
        <w:r w:rsidR="00690F45" w:rsidRPr="001B4A02">
          <w:delText xml:space="preserve">dávkování </w:delText>
        </w:r>
        <w:r w:rsidRPr="001B4A02">
          <w:delText>léku až na 20</w:delText>
        </w:r>
        <w:r w:rsidR="00874DE1">
          <w:delText> mg</w:delText>
        </w:r>
        <w:r w:rsidRPr="001B4A02">
          <w:delText xml:space="preserve"> jednou týdně.</w:delText>
        </w:r>
      </w:del>
    </w:p>
    <w:p w14:paraId="2F79A9A1" w14:textId="77777777" w:rsidR="008C6606" w:rsidRPr="001B4A02" w:rsidRDefault="008C6606" w:rsidP="00ED48A3">
      <w:pPr>
        <w:ind w:left="0" w:firstLine="0"/>
        <w:rPr>
          <w:del w:id="12853" w:author="AbbVie1" w:date="2025-05-13T10:11:00Z"/>
        </w:rPr>
      </w:pPr>
    </w:p>
    <w:p w14:paraId="696D652B" w14:textId="77777777" w:rsidR="0033628A" w:rsidRPr="001B4A02" w:rsidRDefault="00000000" w:rsidP="0033628A">
      <w:pPr>
        <w:ind w:left="0" w:firstLine="0"/>
        <w:rPr>
          <w:del w:id="12854" w:author="AbbVie1" w:date="2025-05-13T10:11:00Z"/>
          <w:i/>
          <w:szCs w:val="22"/>
          <w:bdr w:val="nil"/>
        </w:rPr>
      </w:pPr>
      <w:del w:id="12855" w:author="AbbVie1" w:date="2025-05-13T10:11:00Z">
        <w:r w:rsidRPr="001B4A02">
          <w:rPr>
            <w:i/>
          </w:rPr>
          <w:delText>Děti</w:delText>
        </w:r>
        <w:r w:rsidR="002378E0">
          <w:rPr>
            <w:i/>
          </w:rPr>
          <w:delText xml:space="preserve"> a </w:delText>
        </w:r>
        <w:r w:rsidRPr="001B4A02">
          <w:rPr>
            <w:i/>
          </w:rPr>
          <w:delText>dospívající od 6 do 17 let s tělesnou hmotností 40 kg nebo vyšší</w:delText>
        </w:r>
      </w:del>
    </w:p>
    <w:p w14:paraId="24CF211A" w14:textId="77777777" w:rsidR="008C6606" w:rsidRPr="001B4A02" w:rsidRDefault="008C6606" w:rsidP="00ED48A3">
      <w:pPr>
        <w:ind w:left="0" w:firstLine="0"/>
        <w:rPr>
          <w:del w:id="12856" w:author="AbbVie1" w:date="2025-05-13T10:11:00Z"/>
          <w:u w:val="single"/>
        </w:rPr>
      </w:pPr>
    </w:p>
    <w:p w14:paraId="3935AD4D" w14:textId="77777777" w:rsidR="008C6606" w:rsidRPr="001B4A02" w:rsidRDefault="00000000" w:rsidP="00ED48A3">
      <w:pPr>
        <w:ind w:left="0" w:firstLine="0"/>
        <w:rPr>
          <w:del w:id="12857" w:author="AbbVie1" w:date="2025-05-13T10:11:00Z"/>
        </w:rPr>
      </w:pPr>
      <w:del w:id="12858" w:author="AbbVie1" w:date="2025-05-13T10:11:00Z">
        <w:r w:rsidRPr="001B4A02">
          <w:delText xml:space="preserve">Obvyklý režim dávkování je </w:delText>
        </w:r>
        <w:r w:rsidR="00E65030" w:rsidRPr="001B4A02">
          <w:delText xml:space="preserve">podání úvodní dávky </w:delText>
        </w:r>
        <w:r w:rsidRPr="001B4A02">
          <w:delText>80</w:delText>
        </w:r>
        <w:r w:rsidR="00874DE1">
          <w:delText> mg</w:delText>
        </w:r>
        <w:r w:rsidR="0033628A" w:rsidRPr="001B4A02">
          <w:delText xml:space="preserve"> (jako dvě injekce</w:delText>
        </w:r>
        <w:r w:rsidR="0002246D" w:rsidRPr="001B4A02">
          <w:delText xml:space="preserve"> 40</w:delText>
        </w:r>
        <w:r w:rsidR="00874DE1">
          <w:delText> mg</w:delText>
        </w:r>
        <w:r w:rsidR="0033628A" w:rsidRPr="001B4A02">
          <w:delText xml:space="preserve"> v jednom dni)</w:delText>
        </w:r>
        <w:r w:rsidR="00C4529C" w:rsidRPr="001B4A02">
          <w:delText xml:space="preserve"> následované dávkou 4</w:delText>
        </w:r>
        <w:r w:rsidRPr="001B4A02">
          <w:delText>0</w:delText>
        </w:r>
        <w:r w:rsidR="00874DE1">
          <w:delText> mg</w:delText>
        </w:r>
        <w:r w:rsidR="00063784" w:rsidRPr="001B4A02">
          <w:delText xml:space="preserve"> o </w:delText>
        </w:r>
        <w:r w:rsidRPr="001B4A02">
          <w:delText xml:space="preserve">dva týdny později. Pokud je potřeba rychlejší odpovědi, předepíše </w:delText>
        </w:r>
        <w:r w:rsidR="00484021" w:rsidRPr="001B4A02">
          <w:delText xml:space="preserve">Vám Váš </w:delText>
        </w:r>
        <w:r w:rsidRPr="001B4A02">
          <w:delText>lékař úvodní dávku 160</w:delText>
        </w:r>
        <w:r w:rsidR="00874DE1">
          <w:delText> mg</w:delText>
        </w:r>
        <w:r w:rsidRPr="001B4A02">
          <w:delText xml:space="preserve"> (jako </w:delText>
        </w:r>
        <w:r w:rsidR="0033628A" w:rsidRPr="001B4A02">
          <w:delText>čtyři</w:delText>
        </w:r>
        <w:r w:rsidRPr="001B4A02">
          <w:delText xml:space="preserve"> injekce</w:delText>
        </w:r>
        <w:r w:rsidR="00767E79" w:rsidRPr="001B4A02">
          <w:delText xml:space="preserve"> 40</w:delText>
        </w:r>
        <w:r w:rsidR="00874DE1">
          <w:delText> mg</w:delText>
        </w:r>
        <w:r w:rsidRPr="001B4A02">
          <w:delText xml:space="preserve"> v jednom dni nebo </w:delText>
        </w:r>
        <w:r w:rsidR="0033628A" w:rsidRPr="001B4A02">
          <w:delText>dvě</w:delText>
        </w:r>
        <w:r w:rsidRPr="001B4A02">
          <w:delText xml:space="preserve"> injekce </w:delText>
        </w:r>
        <w:r w:rsidR="00767E79" w:rsidRPr="001B4A02">
          <w:delText>40</w:delText>
        </w:r>
        <w:r w:rsidR="00874DE1">
          <w:delText> mg</w:delText>
        </w:r>
        <w:r w:rsidR="00767E79" w:rsidRPr="001B4A02">
          <w:delText xml:space="preserve"> za den ve dvou po sobě </w:delText>
        </w:r>
        <w:r w:rsidR="00FE5873">
          <w:delText xml:space="preserve">jdoucích </w:delText>
        </w:r>
        <w:r w:rsidR="00767E79" w:rsidRPr="001B4A02">
          <w:delText>dnech</w:delText>
        </w:r>
        <w:r w:rsidRPr="001B4A02">
          <w:delText>) následovanou dávkou 80</w:delText>
        </w:r>
        <w:r w:rsidR="00874DE1">
          <w:delText> mg</w:delText>
        </w:r>
        <w:r w:rsidR="0033628A" w:rsidRPr="001B4A02">
          <w:delText xml:space="preserve"> (jako dvě injekce</w:delText>
        </w:r>
        <w:r w:rsidR="00767E79" w:rsidRPr="001B4A02">
          <w:delText xml:space="preserve"> 40</w:delText>
        </w:r>
        <w:r w:rsidR="00874DE1">
          <w:delText> mg</w:delText>
        </w:r>
        <w:r w:rsidR="0033628A" w:rsidRPr="001B4A02">
          <w:delText xml:space="preserve"> v jednom dni)</w:delText>
        </w:r>
        <w:r w:rsidR="00063784" w:rsidRPr="001B4A02">
          <w:delText xml:space="preserve"> o </w:delText>
        </w:r>
        <w:r w:rsidRPr="001B4A02">
          <w:delText>dva týdny později.</w:delText>
        </w:r>
      </w:del>
    </w:p>
    <w:p w14:paraId="5B46280E" w14:textId="77777777" w:rsidR="008C6606" w:rsidRPr="001B4A02" w:rsidRDefault="008C6606" w:rsidP="00ED48A3">
      <w:pPr>
        <w:ind w:left="0" w:firstLine="0"/>
        <w:rPr>
          <w:del w:id="12859" w:author="AbbVie1" w:date="2025-05-13T10:11:00Z"/>
        </w:rPr>
      </w:pPr>
    </w:p>
    <w:p w14:paraId="2D7B8D0F" w14:textId="77777777" w:rsidR="008C6606" w:rsidRPr="001B4A02" w:rsidRDefault="00000000" w:rsidP="00ED48A3">
      <w:pPr>
        <w:ind w:left="0" w:firstLine="0"/>
        <w:rPr>
          <w:del w:id="12860" w:author="AbbVie1" w:date="2025-05-13T10:11:00Z"/>
          <w:u w:val="single"/>
        </w:rPr>
      </w:pPr>
      <w:del w:id="12861" w:author="AbbVie1" w:date="2025-05-13T10:11:00Z">
        <w:r w:rsidRPr="001B4A02">
          <w:delText>Následně poté je obvyklá dávka 40</w:delText>
        </w:r>
        <w:r w:rsidR="00874DE1">
          <w:delText> mg</w:delText>
        </w:r>
        <w:r w:rsidRPr="001B4A02">
          <w:delText xml:space="preserve"> každý druhý týden. V závislosti na tom, jak bude</w:delText>
        </w:r>
        <w:r w:rsidR="00484021" w:rsidRPr="001B4A02">
          <w:delText>te</w:delText>
        </w:r>
        <w:r w:rsidRPr="001B4A02">
          <w:delText xml:space="preserve"> na léčbu odpovídat, mu může lékař zvýšit </w:delText>
        </w:r>
        <w:r w:rsidR="00690F45" w:rsidRPr="001B4A02">
          <w:delText xml:space="preserve">dávkování </w:delText>
        </w:r>
        <w:r w:rsidRPr="001B4A02">
          <w:delText>na 40</w:delText>
        </w:r>
        <w:r w:rsidR="00874DE1">
          <w:delText> mg</w:delText>
        </w:r>
        <w:r w:rsidRPr="001B4A02">
          <w:delText xml:space="preserve"> jednou týdně</w:delText>
        </w:r>
        <w:r w:rsidR="00767E79" w:rsidRPr="001B4A02">
          <w:delText xml:space="preserve"> nebo 80</w:delText>
        </w:r>
        <w:r w:rsidR="00874DE1">
          <w:delText> mg</w:delText>
        </w:r>
        <w:r w:rsidR="00767E79" w:rsidRPr="001B4A02">
          <w:delText xml:space="preserve"> jednou za dva týdny</w:delText>
        </w:r>
        <w:r w:rsidRPr="001B4A02">
          <w:delText>.</w:delText>
        </w:r>
      </w:del>
    </w:p>
    <w:p w14:paraId="77DF4878" w14:textId="77777777" w:rsidR="008C6606" w:rsidRPr="001B4A02" w:rsidRDefault="008C6606" w:rsidP="00ED48A3">
      <w:pPr>
        <w:ind w:left="0" w:firstLine="0"/>
        <w:rPr>
          <w:del w:id="12862" w:author="AbbVie1" w:date="2025-05-13T10:11:00Z"/>
        </w:rPr>
      </w:pPr>
    </w:p>
    <w:p w14:paraId="4BEC237F" w14:textId="77777777" w:rsidR="008C6606" w:rsidRPr="001B4A02" w:rsidRDefault="00000000" w:rsidP="00ED48A3">
      <w:pPr>
        <w:ind w:left="0" w:firstLine="0"/>
        <w:rPr>
          <w:del w:id="12863" w:author="AbbVie1" w:date="2025-05-13T10:11:00Z"/>
          <w:u w:val="single"/>
        </w:rPr>
      </w:pPr>
      <w:del w:id="12864" w:author="AbbVie1" w:date="2025-05-13T10:11:00Z">
        <w:r w:rsidRPr="001B4A02">
          <w:rPr>
            <w:u w:val="single"/>
          </w:rPr>
          <w:delText>Dospělí pacienti s ulcerózní kolitidou</w:delText>
        </w:r>
      </w:del>
    </w:p>
    <w:p w14:paraId="3D1A9B60" w14:textId="77777777" w:rsidR="008C6606" w:rsidRPr="001B4A02" w:rsidRDefault="008C6606" w:rsidP="00ED48A3">
      <w:pPr>
        <w:ind w:left="0" w:firstLine="0"/>
        <w:rPr>
          <w:del w:id="12865" w:author="AbbVie1" w:date="2025-05-13T10:11:00Z"/>
        </w:rPr>
      </w:pPr>
    </w:p>
    <w:p w14:paraId="40C77C5B" w14:textId="77777777" w:rsidR="00073F8F" w:rsidRPr="001B4A02" w:rsidRDefault="00000000" w:rsidP="00ED48A3">
      <w:pPr>
        <w:ind w:left="0" w:firstLine="0"/>
        <w:rPr>
          <w:del w:id="12866" w:author="AbbVie1" w:date="2025-05-13T10:11:00Z"/>
        </w:rPr>
      </w:pPr>
      <w:del w:id="12867" w:author="AbbVie1" w:date="2025-05-13T10:11:00Z">
        <w:r w:rsidRPr="001B4A02">
          <w:delText>Obvyklá dávka přípravku</w:delText>
        </w:r>
        <w:r w:rsidR="003600BE" w:rsidRPr="001B4A02">
          <w:delText xml:space="preserve"> u </w:delText>
        </w:r>
        <w:r w:rsidRPr="001B4A02">
          <w:delText>dospělých s </w:delText>
        </w:r>
        <w:r w:rsidR="008177B2" w:rsidRPr="001B4A02">
          <w:delText>ulcerózní</w:delText>
        </w:r>
        <w:r w:rsidRPr="001B4A02">
          <w:delText xml:space="preserve"> kolitidou je 160</w:delText>
        </w:r>
        <w:r w:rsidR="00874DE1">
          <w:delText> mg</w:delText>
        </w:r>
        <w:r w:rsidRPr="001B4A02">
          <w:delText xml:space="preserve"> </w:delText>
        </w:r>
        <w:r w:rsidR="0033628A" w:rsidRPr="001B4A02">
          <w:delText>(jako čtyři injekce</w:delText>
        </w:r>
        <w:r w:rsidR="00767E79" w:rsidRPr="001B4A02">
          <w:delText xml:space="preserve"> 40</w:delText>
        </w:r>
        <w:r w:rsidR="00874DE1">
          <w:delText> mg</w:delText>
        </w:r>
        <w:r w:rsidR="0033628A" w:rsidRPr="001B4A02">
          <w:delText xml:space="preserve"> v jedn</w:delText>
        </w:r>
        <w:r w:rsidR="00334F6D" w:rsidRPr="001B4A02">
          <w:delText>o</w:delText>
        </w:r>
        <w:r w:rsidR="0033628A" w:rsidRPr="001B4A02">
          <w:delText>m dni nebo dvě injekce</w:delText>
        </w:r>
        <w:r w:rsidR="00767E79" w:rsidRPr="001B4A02">
          <w:delText xml:space="preserve"> 40</w:delText>
        </w:r>
        <w:r w:rsidR="00874DE1">
          <w:delText> mg</w:delText>
        </w:r>
        <w:r w:rsidR="0033628A" w:rsidRPr="001B4A02">
          <w:delText xml:space="preserve"> denně </w:delText>
        </w:r>
        <w:r w:rsidR="00334F6D" w:rsidRPr="001B4A02">
          <w:delText xml:space="preserve">ve </w:delText>
        </w:r>
        <w:r w:rsidR="0033628A" w:rsidRPr="001B4A02">
          <w:delText xml:space="preserve">dvou po sobě </w:delText>
        </w:r>
        <w:r w:rsidR="00FE5873">
          <w:delText xml:space="preserve">jdoucích </w:delText>
        </w:r>
        <w:r w:rsidR="00334F6D" w:rsidRPr="001B4A02">
          <w:delText>dnech</w:delText>
        </w:r>
        <w:r w:rsidR="0033628A" w:rsidRPr="001B4A02">
          <w:delText xml:space="preserve">) </w:delText>
        </w:r>
        <w:r w:rsidRPr="001B4A02">
          <w:delText xml:space="preserve">v úvodní dávce v týdnu 0, po které následuje </w:delText>
        </w:r>
        <w:r w:rsidR="00A01443" w:rsidRPr="001B4A02">
          <w:delText>po</w:delText>
        </w:r>
        <w:r w:rsidRPr="001B4A02">
          <w:delText>užití dávky 80</w:delText>
        </w:r>
        <w:r w:rsidR="00874DE1">
          <w:delText> mg</w:delText>
        </w:r>
        <w:r w:rsidR="0033628A" w:rsidRPr="001B4A02">
          <w:delText xml:space="preserve"> (jako dvě injekce</w:delText>
        </w:r>
        <w:r w:rsidR="00767E79" w:rsidRPr="001B4A02">
          <w:delText xml:space="preserve"> 40</w:delText>
        </w:r>
        <w:r w:rsidR="00874DE1">
          <w:delText> mg</w:delText>
        </w:r>
        <w:r w:rsidR="0033628A" w:rsidRPr="001B4A02">
          <w:delText xml:space="preserve"> v jednom dni)</w:delText>
        </w:r>
        <w:r w:rsidRPr="001B4A02">
          <w:delText xml:space="preserve"> v týdnu 2</w:delText>
        </w:r>
        <w:r w:rsidR="002378E0">
          <w:delText xml:space="preserve"> a </w:delText>
        </w:r>
        <w:r w:rsidRPr="001B4A02">
          <w:delText>následně 40</w:delText>
        </w:r>
        <w:r w:rsidR="00874DE1">
          <w:delText> mg</w:delText>
        </w:r>
        <w:r w:rsidRPr="001B4A02">
          <w:delText xml:space="preserve"> každý druhý týden. Podle toho, jak budete na léčbu reagovat</w:delText>
        </w:r>
        <w:r w:rsidR="009142FA" w:rsidRPr="001B4A02">
          <w:delText>,</w:delText>
        </w:r>
        <w:r w:rsidRPr="001B4A02">
          <w:delText xml:space="preserve"> Vám lékař může zvýšit dávkování na 40</w:delText>
        </w:r>
        <w:r w:rsidR="00874DE1">
          <w:delText> mg</w:delText>
        </w:r>
        <w:r w:rsidRPr="001B4A02">
          <w:delText xml:space="preserve"> jednou týdně</w:delText>
        </w:r>
        <w:r w:rsidR="00767E79" w:rsidRPr="001B4A02">
          <w:delText xml:space="preserve"> nebo 80</w:delText>
        </w:r>
        <w:r w:rsidR="00874DE1">
          <w:delText> mg</w:delText>
        </w:r>
        <w:r w:rsidR="00767E79" w:rsidRPr="001B4A02">
          <w:delText xml:space="preserve"> jednou za dva týdny</w:delText>
        </w:r>
        <w:r w:rsidRPr="001B4A02">
          <w:delText>.</w:delText>
        </w:r>
      </w:del>
    </w:p>
    <w:p w14:paraId="3FFA77AA" w14:textId="77777777" w:rsidR="00986502" w:rsidRPr="001B4A02" w:rsidRDefault="00986502" w:rsidP="00ED48A3">
      <w:pPr>
        <w:ind w:left="0" w:firstLine="0"/>
        <w:rPr>
          <w:del w:id="12868" w:author="AbbVie1" w:date="2025-05-13T10:11:00Z"/>
          <w:b/>
        </w:rPr>
      </w:pPr>
    </w:p>
    <w:p w14:paraId="06CD8EFA" w14:textId="77777777" w:rsidR="006C2839" w:rsidRPr="00D01607" w:rsidRDefault="00000000" w:rsidP="006C2839">
      <w:pPr>
        <w:numPr>
          <w:ilvl w:val="12"/>
          <w:numId w:val="0"/>
        </w:numPr>
        <w:ind w:right="-2"/>
        <w:rPr>
          <w:del w:id="12869" w:author="AbbVie1" w:date="2025-05-13T10:11:00Z"/>
          <w:u w:val="single"/>
        </w:rPr>
      </w:pPr>
      <w:del w:id="12870" w:author="AbbVie1" w:date="2025-05-13T10:11:00Z">
        <w:r>
          <w:rPr>
            <w:u w:val="single"/>
          </w:rPr>
          <w:delText>Děti</w:delText>
        </w:r>
        <w:r w:rsidR="002378E0">
          <w:rPr>
            <w:u w:val="single"/>
          </w:rPr>
          <w:delText xml:space="preserve"> a </w:delText>
        </w:r>
        <w:r>
          <w:rPr>
            <w:u w:val="single"/>
          </w:rPr>
          <w:delText>dospívající s ulcerózní kolitidou</w:delText>
        </w:r>
      </w:del>
    </w:p>
    <w:p w14:paraId="16F2B49C" w14:textId="77777777" w:rsidR="006C2839" w:rsidRPr="00D01607" w:rsidRDefault="006C2839" w:rsidP="006C2839">
      <w:pPr>
        <w:numPr>
          <w:ilvl w:val="12"/>
          <w:numId w:val="0"/>
        </w:numPr>
        <w:ind w:right="-2"/>
        <w:rPr>
          <w:del w:id="12871" w:author="AbbVie1" w:date="2025-05-13T10:11:00Z"/>
        </w:rPr>
      </w:pPr>
    </w:p>
    <w:p w14:paraId="78078974" w14:textId="77777777" w:rsidR="006C2839" w:rsidRPr="00D01607" w:rsidRDefault="00000000" w:rsidP="006C2839">
      <w:pPr>
        <w:numPr>
          <w:ilvl w:val="12"/>
          <w:numId w:val="0"/>
        </w:numPr>
        <w:ind w:right="-2"/>
        <w:rPr>
          <w:del w:id="12872" w:author="AbbVie1" w:date="2025-05-13T10:11:00Z"/>
          <w:i/>
          <w:iCs/>
        </w:rPr>
      </w:pPr>
      <w:del w:id="12873" w:author="AbbVie1" w:date="2025-05-13T10:11:00Z">
        <w:r>
          <w:rPr>
            <w:i/>
          </w:rPr>
          <w:delText>Děti</w:delText>
        </w:r>
        <w:r w:rsidR="002378E0">
          <w:rPr>
            <w:i/>
          </w:rPr>
          <w:delText xml:space="preserve"> a </w:delText>
        </w:r>
        <w:r>
          <w:rPr>
            <w:i/>
          </w:rPr>
          <w:delText>dospívající od 6 let s</w:delText>
        </w:r>
        <w:r w:rsidR="00D64214">
          <w:rPr>
            <w:i/>
          </w:rPr>
          <w:delText> </w:delText>
        </w:r>
        <w:r>
          <w:rPr>
            <w:i/>
          </w:rPr>
          <w:delText>tělesnou hmotností do 40 kg</w:delText>
        </w:r>
      </w:del>
    </w:p>
    <w:p w14:paraId="54311D9A" w14:textId="77777777" w:rsidR="006C2839" w:rsidRPr="00D01607" w:rsidRDefault="006C2839" w:rsidP="006C2839">
      <w:pPr>
        <w:numPr>
          <w:ilvl w:val="12"/>
          <w:numId w:val="0"/>
        </w:numPr>
        <w:ind w:right="-2"/>
        <w:rPr>
          <w:del w:id="12874" w:author="AbbVie1" w:date="2025-05-13T10:11:00Z"/>
        </w:rPr>
      </w:pPr>
    </w:p>
    <w:p w14:paraId="7B497D86" w14:textId="77777777" w:rsidR="006C2839" w:rsidRPr="00D01607" w:rsidRDefault="00000000" w:rsidP="006C2839">
      <w:pPr>
        <w:numPr>
          <w:ilvl w:val="12"/>
          <w:numId w:val="0"/>
        </w:numPr>
        <w:ind w:right="-2"/>
        <w:rPr>
          <w:del w:id="12875" w:author="AbbVie1" w:date="2025-05-13T10:11:00Z"/>
        </w:rPr>
      </w:pPr>
      <w:del w:id="12876" w:author="AbbVie1" w:date="2025-05-13T10:11:00Z">
        <w:r>
          <w:delText>Obvyklá dávka přípravku Humira je 80</w:delText>
        </w:r>
        <w:r w:rsidR="00874DE1" w:rsidRPr="00005EC2">
          <w:rPr>
            <w:szCs w:val="22"/>
          </w:rPr>
          <w:delText> </w:delText>
        </w:r>
        <w:r>
          <w:delText xml:space="preserve">mg </w:delText>
        </w:r>
        <w:r w:rsidR="006B77BF">
          <w:delText xml:space="preserve">podaných jako úvodní dávka </w:delText>
        </w:r>
        <w:r>
          <w:delText>(jako dvě injekce 40</w:delText>
        </w:r>
        <w:r w:rsidR="00874DE1" w:rsidRPr="00005EC2">
          <w:rPr>
            <w:szCs w:val="22"/>
          </w:rPr>
          <w:delText> </w:delText>
        </w:r>
        <w:r>
          <w:delText>mg v jednom dni)</w:delText>
        </w:r>
        <w:r w:rsidRPr="00EC26FD">
          <w:delText xml:space="preserve"> </w:delText>
        </w:r>
        <w:r>
          <w:delText>následovan</w:delText>
        </w:r>
        <w:r w:rsidR="0042706B">
          <w:delText>ých</w:delText>
        </w:r>
        <w:r>
          <w:delText xml:space="preserve"> dávkou 40</w:delText>
        </w:r>
        <w:r w:rsidR="00874DE1" w:rsidRPr="00005EC2">
          <w:rPr>
            <w:szCs w:val="22"/>
          </w:rPr>
          <w:delText> </w:delText>
        </w:r>
        <w:r>
          <w:delText>mg (jako jedna injekce 40</w:delText>
        </w:r>
        <w:r w:rsidR="00874DE1" w:rsidRPr="00005EC2">
          <w:rPr>
            <w:szCs w:val="22"/>
          </w:rPr>
          <w:delText> </w:delText>
        </w:r>
        <w:r>
          <w:delText>mg) o dva týdny později. Poté se podává obvyklá dávka 40</w:delText>
        </w:r>
        <w:r w:rsidR="00874DE1" w:rsidRPr="00005EC2">
          <w:rPr>
            <w:szCs w:val="22"/>
          </w:rPr>
          <w:delText> </w:delText>
        </w:r>
        <w:r>
          <w:delText>mg jednou za dva týdny.</w:delText>
        </w:r>
      </w:del>
    </w:p>
    <w:p w14:paraId="4D61830D" w14:textId="77777777" w:rsidR="006C2839" w:rsidRPr="00D01607" w:rsidRDefault="006C2839" w:rsidP="006C2839">
      <w:pPr>
        <w:numPr>
          <w:ilvl w:val="12"/>
          <w:numId w:val="0"/>
        </w:numPr>
        <w:ind w:right="-2"/>
        <w:rPr>
          <w:del w:id="12877" w:author="AbbVie1" w:date="2025-05-13T10:11:00Z"/>
        </w:rPr>
      </w:pPr>
    </w:p>
    <w:p w14:paraId="30ED6FDA" w14:textId="77777777" w:rsidR="006C2839" w:rsidRPr="00D01607" w:rsidRDefault="00000000" w:rsidP="006C2839">
      <w:pPr>
        <w:numPr>
          <w:ilvl w:val="12"/>
          <w:numId w:val="0"/>
        </w:numPr>
        <w:ind w:right="-2"/>
        <w:rPr>
          <w:del w:id="12878" w:author="AbbVie1" w:date="2025-05-13T10:11:00Z"/>
        </w:rPr>
      </w:pPr>
      <w:del w:id="12879" w:author="AbbVie1" w:date="2025-05-13T10:11:00Z">
        <w:r>
          <w:delText>Pacienti, kteří dosáhnou 18 let</w:delText>
        </w:r>
        <w:r w:rsidR="002378E0">
          <w:delText xml:space="preserve"> a </w:delText>
        </w:r>
        <w:r w:rsidR="0042706B">
          <w:delText>po</w:delText>
        </w:r>
        <w:r>
          <w:delText>užívají 40</w:delText>
        </w:r>
        <w:r w:rsidR="00874DE1" w:rsidRPr="00005EC2">
          <w:rPr>
            <w:szCs w:val="22"/>
          </w:rPr>
          <w:delText> </w:delText>
        </w:r>
        <w:r>
          <w:delText>mg jednou za dva týdny, by měli pokračovat v </w:delText>
        </w:r>
        <w:r w:rsidR="0042706B">
          <w:delText>po</w:delText>
        </w:r>
        <w:r>
          <w:delText>užívání předepsané dávky.</w:delText>
        </w:r>
      </w:del>
    </w:p>
    <w:p w14:paraId="1FE8C7C7" w14:textId="77777777" w:rsidR="006C2839" w:rsidRPr="00D01607" w:rsidRDefault="006C2839" w:rsidP="006C2839">
      <w:pPr>
        <w:numPr>
          <w:ilvl w:val="12"/>
          <w:numId w:val="0"/>
        </w:numPr>
        <w:ind w:right="-2"/>
        <w:rPr>
          <w:del w:id="12880" w:author="AbbVie1" w:date="2025-05-13T10:11:00Z"/>
        </w:rPr>
      </w:pPr>
    </w:p>
    <w:p w14:paraId="4044DF01" w14:textId="77777777" w:rsidR="006C2839" w:rsidRPr="00D01607" w:rsidRDefault="00000000" w:rsidP="00970906">
      <w:pPr>
        <w:keepNext/>
        <w:numPr>
          <w:ilvl w:val="12"/>
          <w:numId w:val="0"/>
        </w:numPr>
        <w:ind w:right="-2"/>
        <w:rPr>
          <w:del w:id="12881" w:author="AbbVie1" w:date="2025-05-13T10:11:00Z"/>
          <w:i/>
          <w:iCs/>
        </w:rPr>
      </w:pPr>
      <w:del w:id="12882" w:author="AbbVie1" w:date="2025-05-13T10:11:00Z">
        <w:r>
          <w:rPr>
            <w:i/>
          </w:rPr>
          <w:delText>Děti</w:delText>
        </w:r>
        <w:r w:rsidR="002378E0">
          <w:rPr>
            <w:i/>
          </w:rPr>
          <w:delText xml:space="preserve"> a </w:delText>
        </w:r>
        <w:r>
          <w:rPr>
            <w:i/>
          </w:rPr>
          <w:delText>dospívající od 6 let s</w:delText>
        </w:r>
        <w:r w:rsidR="00D64214">
          <w:rPr>
            <w:i/>
          </w:rPr>
          <w:delText> </w:delText>
        </w:r>
        <w:r>
          <w:rPr>
            <w:i/>
          </w:rPr>
          <w:delText>tělesnou hmotností 40 kg nebo vyšší</w:delText>
        </w:r>
      </w:del>
    </w:p>
    <w:p w14:paraId="2D2C0EAB" w14:textId="77777777" w:rsidR="006C2839" w:rsidRPr="00D01607" w:rsidRDefault="006C2839" w:rsidP="006C2839">
      <w:pPr>
        <w:numPr>
          <w:ilvl w:val="12"/>
          <w:numId w:val="0"/>
        </w:numPr>
        <w:ind w:right="-2"/>
        <w:rPr>
          <w:del w:id="12883" w:author="AbbVie1" w:date="2025-05-13T10:11:00Z"/>
          <w:i/>
          <w:iCs/>
        </w:rPr>
      </w:pPr>
    </w:p>
    <w:p w14:paraId="0E3B7FC7" w14:textId="77777777" w:rsidR="006C2839" w:rsidRPr="00D01607" w:rsidRDefault="00000000" w:rsidP="006C2839">
      <w:pPr>
        <w:numPr>
          <w:ilvl w:val="12"/>
          <w:numId w:val="0"/>
        </w:numPr>
        <w:ind w:right="-2"/>
        <w:rPr>
          <w:del w:id="12884" w:author="AbbVie1" w:date="2025-05-13T10:11:00Z"/>
        </w:rPr>
      </w:pPr>
      <w:del w:id="12885" w:author="AbbVie1" w:date="2025-05-13T10:11:00Z">
        <w:r>
          <w:delText>Obvyklá dávka přípravku Humira je 160</w:delText>
        </w:r>
        <w:r w:rsidR="00A7483D" w:rsidRPr="00005EC2">
          <w:rPr>
            <w:szCs w:val="22"/>
          </w:rPr>
          <w:delText> </w:delText>
        </w:r>
        <w:r>
          <w:delText>mg</w:delText>
        </w:r>
        <w:r w:rsidR="006B77BF" w:rsidRPr="006B77BF">
          <w:delText xml:space="preserve"> </w:delText>
        </w:r>
        <w:r w:rsidR="006B77BF">
          <w:delText>podaných jako úvodní dávka</w:delText>
        </w:r>
        <w:r>
          <w:delText xml:space="preserve"> (jako čtyři injekce 40</w:delText>
        </w:r>
        <w:r w:rsidR="00A7483D" w:rsidRPr="00005EC2">
          <w:rPr>
            <w:szCs w:val="22"/>
          </w:rPr>
          <w:delText> </w:delText>
        </w:r>
        <w:r>
          <w:delText>mg v</w:delText>
        </w:r>
        <w:r w:rsidR="00BA5CF8">
          <w:delText> </w:delText>
        </w:r>
        <w:r>
          <w:delText>jednom dni nebo dvě injekce 40</w:delText>
        </w:r>
        <w:r w:rsidR="00A7483D" w:rsidRPr="00005EC2">
          <w:rPr>
            <w:szCs w:val="22"/>
          </w:rPr>
          <w:delText> </w:delText>
        </w:r>
        <w:r>
          <w:delText>mg denně ve dvou po sobě jdoucích dnech) následovan</w:delText>
        </w:r>
        <w:r w:rsidR="0042706B">
          <w:delText>ých</w:delText>
        </w:r>
        <w:r>
          <w:delText xml:space="preserve"> 80</w:delText>
        </w:r>
        <w:r w:rsidR="00A7483D" w:rsidRPr="00005EC2">
          <w:rPr>
            <w:szCs w:val="22"/>
          </w:rPr>
          <w:delText> </w:delText>
        </w:r>
        <w:r>
          <w:delText>mg (jako dvě injekce 40</w:delText>
        </w:r>
        <w:r w:rsidR="00A7483D" w:rsidRPr="00005EC2">
          <w:rPr>
            <w:szCs w:val="22"/>
          </w:rPr>
          <w:delText> </w:delText>
        </w:r>
        <w:r>
          <w:delText>mg v</w:delText>
        </w:r>
        <w:r w:rsidR="00BA5CF8">
          <w:delText> </w:delText>
        </w:r>
        <w:r>
          <w:delText>jednom dni) o dva týdny později. Poté se podává obvyklá dávka 80</w:delText>
        </w:r>
        <w:r w:rsidR="00A7483D" w:rsidRPr="00005EC2">
          <w:rPr>
            <w:szCs w:val="22"/>
          </w:rPr>
          <w:delText> </w:delText>
        </w:r>
        <w:r>
          <w:delText>mg jednou za dva týdny.</w:delText>
        </w:r>
      </w:del>
    </w:p>
    <w:p w14:paraId="1BA1BDFA" w14:textId="77777777" w:rsidR="006C2839" w:rsidRPr="00D01607" w:rsidRDefault="006C2839" w:rsidP="006C2839">
      <w:pPr>
        <w:numPr>
          <w:ilvl w:val="12"/>
          <w:numId w:val="0"/>
        </w:numPr>
        <w:ind w:right="-2"/>
        <w:rPr>
          <w:del w:id="12886" w:author="AbbVie1" w:date="2025-05-13T10:11:00Z"/>
        </w:rPr>
      </w:pPr>
    </w:p>
    <w:p w14:paraId="2701DAA4" w14:textId="77777777" w:rsidR="006C2839" w:rsidRPr="00D01607" w:rsidRDefault="00000000" w:rsidP="006C2839">
      <w:pPr>
        <w:ind w:left="0" w:firstLine="0"/>
        <w:rPr>
          <w:del w:id="12887" w:author="AbbVie1" w:date="2025-05-13T10:11:00Z"/>
        </w:rPr>
      </w:pPr>
      <w:del w:id="12888" w:author="AbbVie1" w:date="2025-05-13T10:11:00Z">
        <w:r>
          <w:delText>Pacienti, kteří dosáhnou 18 let</w:delText>
        </w:r>
        <w:r w:rsidR="002378E0">
          <w:delText xml:space="preserve"> a </w:delText>
        </w:r>
        <w:r w:rsidR="0042706B">
          <w:delText>po</w:delText>
        </w:r>
        <w:r>
          <w:delText>užívají 80</w:delText>
        </w:r>
        <w:r w:rsidR="0042706B" w:rsidRPr="001B4A02">
          <w:delText> </w:delText>
        </w:r>
        <w:r>
          <w:delText>mg jednou za dva týdny, by měli pokračovat v </w:delText>
        </w:r>
        <w:r w:rsidR="0042706B">
          <w:delText>po</w:delText>
        </w:r>
        <w:r>
          <w:delText>užívání předepsané dávky.</w:delText>
        </w:r>
      </w:del>
    </w:p>
    <w:p w14:paraId="0D2D8F9C" w14:textId="77777777" w:rsidR="00A909D3" w:rsidRDefault="00A909D3" w:rsidP="00ED48A3">
      <w:pPr>
        <w:numPr>
          <w:ilvl w:val="12"/>
          <w:numId w:val="0"/>
        </w:numPr>
        <w:ind w:right="-2"/>
        <w:rPr>
          <w:del w:id="12889" w:author="AbbVie1" w:date="2025-05-13T10:11:00Z"/>
          <w:u w:val="single"/>
        </w:rPr>
      </w:pPr>
    </w:p>
    <w:p w14:paraId="27EB18D5" w14:textId="77777777" w:rsidR="00F6422F" w:rsidRPr="001B4A02" w:rsidRDefault="00000000" w:rsidP="00ED48A3">
      <w:pPr>
        <w:numPr>
          <w:ilvl w:val="12"/>
          <w:numId w:val="0"/>
        </w:numPr>
        <w:ind w:right="-2"/>
        <w:rPr>
          <w:del w:id="12890" w:author="AbbVie1" w:date="2025-05-13T10:11:00Z"/>
          <w:u w:val="single"/>
        </w:rPr>
      </w:pPr>
      <w:del w:id="12891" w:author="AbbVie1" w:date="2025-05-13T10:11:00Z">
        <w:r w:rsidRPr="001B4A02">
          <w:rPr>
            <w:u w:val="single"/>
          </w:rPr>
          <w:delText>Dospělí pacienti s</w:delText>
        </w:r>
        <w:r w:rsidR="000C2348" w:rsidRPr="001B4A02">
          <w:rPr>
            <w:u w:val="single"/>
          </w:rPr>
          <w:delText> </w:delText>
        </w:r>
        <w:r w:rsidRPr="001B4A02">
          <w:rPr>
            <w:u w:val="single"/>
          </w:rPr>
          <w:delText>neinfekční uveitidou</w:delText>
        </w:r>
      </w:del>
    </w:p>
    <w:p w14:paraId="01246FF6" w14:textId="77777777" w:rsidR="00F6422F" w:rsidRPr="001B4A02" w:rsidRDefault="00F6422F" w:rsidP="00ED48A3">
      <w:pPr>
        <w:numPr>
          <w:ilvl w:val="12"/>
          <w:numId w:val="0"/>
        </w:numPr>
        <w:ind w:right="-2"/>
        <w:rPr>
          <w:del w:id="12892" w:author="AbbVie1" w:date="2025-05-13T10:11:00Z"/>
        </w:rPr>
      </w:pPr>
    </w:p>
    <w:p w14:paraId="6DE7D5E7" w14:textId="77777777" w:rsidR="00F6422F" w:rsidRPr="001B4A02" w:rsidRDefault="00000000" w:rsidP="00ED48A3">
      <w:pPr>
        <w:numPr>
          <w:ilvl w:val="12"/>
          <w:numId w:val="0"/>
        </w:numPr>
        <w:ind w:right="-2"/>
        <w:rPr>
          <w:del w:id="12893" w:author="AbbVie1" w:date="2025-05-13T10:11:00Z"/>
        </w:rPr>
      </w:pPr>
      <w:del w:id="12894" w:author="AbbVie1" w:date="2025-05-13T10:11:00Z">
        <w:r w:rsidRPr="001B4A02">
          <w:delText>Obvyklá dávka přípravku</w:delText>
        </w:r>
        <w:r w:rsidR="003600BE" w:rsidRPr="001B4A02">
          <w:delText xml:space="preserve"> u </w:delText>
        </w:r>
        <w:r w:rsidRPr="001B4A02">
          <w:delText>dospělých s neinfekční uveitidou je 80</w:delText>
        </w:r>
        <w:r w:rsidR="00A7483D">
          <w:delText> mg</w:delText>
        </w:r>
        <w:r w:rsidRPr="001B4A02">
          <w:delText xml:space="preserve"> </w:delText>
        </w:r>
        <w:r w:rsidR="00163087" w:rsidRPr="001B4A02">
          <w:delText xml:space="preserve">(jako dvě injekce v jednom dni) </w:delText>
        </w:r>
        <w:r w:rsidRPr="001B4A02">
          <w:delText>v úvodní dávce následovaných dávkou 40</w:delText>
        </w:r>
        <w:r w:rsidR="00A7483D">
          <w:delText> mg</w:delText>
        </w:r>
        <w:r w:rsidRPr="001B4A02">
          <w:delText xml:space="preserve"> jednou za dva týdny, počínaje jedn</w:delText>
        </w:r>
        <w:r w:rsidR="00032F16" w:rsidRPr="001B4A02">
          <w:delText>ím</w:delText>
        </w:r>
        <w:r w:rsidRPr="001B4A02">
          <w:delText xml:space="preserve"> týdn</w:delText>
        </w:r>
        <w:r w:rsidR="00032F16" w:rsidRPr="001B4A02">
          <w:delText>em</w:delText>
        </w:r>
        <w:r w:rsidRPr="001B4A02">
          <w:delText xml:space="preserve"> po podání úvodní dávky. Injekční aplikace přípravku Humira musí pokračovat tak dlouho, jak určí </w:delText>
        </w:r>
        <w:r w:rsidR="00982002" w:rsidRPr="001B4A02">
          <w:delText>V</w:delText>
        </w:r>
        <w:r w:rsidRPr="001B4A02">
          <w:delText>áš lékař.</w:delText>
        </w:r>
      </w:del>
    </w:p>
    <w:p w14:paraId="7205FF32" w14:textId="77777777" w:rsidR="00F6422F" w:rsidRPr="001B4A02" w:rsidRDefault="00F6422F" w:rsidP="00ED48A3">
      <w:pPr>
        <w:numPr>
          <w:ilvl w:val="12"/>
          <w:numId w:val="0"/>
        </w:numPr>
        <w:ind w:right="-2"/>
        <w:rPr>
          <w:del w:id="12895" w:author="AbbVie1" w:date="2025-05-13T10:11:00Z"/>
        </w:rPr>
      </w:pPr>
    </w:p>
    <w:p w14:paraId="6B1C0557" w14:textId="77777777" w:rsidR="00F6422F" w:rsidRPr="001B4A02" w:rsidRDefault="00000000" w:rsidP="00ED48A3">
      <w:pPr>
        <w:numPr>
          <w:ilvl w:val="12"/>
          <w:numId w:val="0"/>
        </w:numPr>
        <w:ind w:right="-2"/>
        <w:rPr>
          <w:del w:id="12896" w:author="AbbVie1" w:date="2025-05-13T10:11:00Z"/>
        </w:rPr>
      </w:pPr>
      <w:del w:id="12897" w:author="AbbVie1" w:date="2025-05-13T10:11:00Z">
        <w:r w:rsidRPr="001B4A02">
          <w:delText>U neinfekční uveitidy se během terapie přípravkem Humira může pokračovat v</w:delText>
        </w:r>
        <w:r w:rsidR="000928E6" w:rsidRPr="001B4A02">
          <w:delText> </w:delText>
        </w:r>
        <w:r w:rsidRPr="001B4A02">
          <w:delText>podávání kortikosteroidů nebo jiných léků ovlivňujících imunitní syst</w:delText>
        </w:r>
        <w:r w:rsidR="004977D4" w:rsidRPr="001B4A02">
          <w:delText>é</w:delText>
        </w:r>
        <w:r w:rsidRPr="001B4A02">
          <w:delText>m. Přípravek Humira se může podávat i samostatně.</w:delText>
        </w:r>
      </w:del>
    </w:p>
    <w:p w14:paraId="2D05D544" w14:textId="77777777" w:rsidR="00F6282C" w:rsidRPr="001B4A02" w:rsidRDefault="00F6282C" w:rsidP="00ED48A3">
      <w:pPr>
        <w:numPr>
          <w:ilvl w:val="12"/>
          <w:numId w:val="0"/>
        </w:numPr>
        <w:ind w:right="-2"/>
        <w:rPr>
          <w:del w:id="12898" w:author="AbbVie1" w:date="2025-05-13T10:11:00Z"/>
        </w:rPr>
      </w:pPr>
    </w:p>
    <w:p w14:paraId="53D35284" w14:textId="77777777" w:rsidR="00F6282C" w:rsidRPr="001B4A02" w:rsidRDefault="00000000" w:rsidP="004D0686">
      <w:pPr>
        <w:keepNext/>
        <w:numPr>
          <w:ilvl w:val="12"/>
          <w:numId w:val="0"/>
        </w:numPr>
        <w:tabs>
          <w:tab w:val="left" w:pos="708"/>
        </w:tabs>
        <w:rPr>
          <w:del w:id="12899" w:author="AbbVie1" w:date="2025-05-13T10:11:00Z"/>
          <w:u w:val="single"/>
        </w:rPr>
      </w:pPr>
      <w:del w:id="12900" w:author="AbbVie1" w:date="2025-05-13T10:11:00Z">
        <w:r w:rsidRPr="001B4A02">
          <w:rPr>
            <w:szCs w:val="22"/>
            <w:u w:val="single"/>
          </w:rPr>
          <w:delText>Děti</w:delText>
        </w:r>
        <w:r w:rsidR="002378E0">
          <w:rPr>
            <w:szCs w:val="22"/>
            <w:u w:val="single"/>
          </w:rPr>
          <w:delText xml:space="preserve"> a </w:delText>
        </w:r>
        <w:r w:rsidR="00163087" w:rsidRPr="001B4A02">
          <w:rPr>
            <w:szCs w:val="22"/>
            <w:u w:val="single"/>
          </w:rPr>
          <w:delText>dospívající</w:delText>
        </w:r>
        <w:r w:rsidRPr="001B4A02">
          <w:rPr>
            <w:szCs w:val="22"/>
            <w:u w:val="single"/>
          </w:rPr>
          <w:delText xml:space="preserve"> s</w:delText>
        </w:r>
        <w:r w:rsidR="000C2348" w:rsidRPr="001B4A02">
          <w:rPr>
            <w:szCs w:val="22"/>
            <w:u w:val="single"/>
          </w:rPr>
          <w:delText> </w:delText>
        </w:r>
        <w:r w:rsidRPr="001B4A02">
          <w:rPr>
            <w:szCs w:val="22"/>
            <w:u w:val="single"/>
          </w:rPr>
          <w:delText>chronickou neinfekční uveitidou od 2 let</w:delText>
        </w:r>
      </w:del>
    </w:p>
    <w:p w14:paraId="6D11705C" w14:textId="77777777" w:rsidR="00F6282C" w:rsidRPr="001B4A02" w:rsidRDefault="00F6282C" w:rsidP="004D0686">
      <w:pPr>
        <w:keepNext/>
        <w:numPr>
          <w:ilvl w:val="12"/>
          <w:numId w:val="0"/>
        </w:numPr>
        <w:tabs>
          <w:tab w:val="left" w:pos="708"/>
        </w:tabs>
        <w:rPr>
          <w:del w:id="12901" w:author="AbbVie1" w:date="2025-05-13T10:11:00Z"/>
        </w:rPr>
      </w:pPr>
    </w:p>
    <w:p w14:paraId="51107487" w14:textId="77777777" w:rsidR="00163087" w:rsidRPr="001B4A02" w:rsidRDefault="00000000" w:rsidP="004D0686">
      <w:pPr>
        <w:keepNext/>
        <w:numPr>
          <w:ilvl w:val="12"/>
          <w:numId w:val="0"/>
        </w:numPr>
        <w:tabs>
          <w:tab w:val="left" w:pos="708"/>
        </w:tabs>
        <w:rPr>
          <w:del w:id="12902" w:author="AbbVie1" w:date="2025-05-13T10:11:00Z"/>
          <w:bCs/>
          <w:i/>
          <w:szCs w:val="22"/>
          <w:u w:val="single"/>
          <w:bdr w:val="nil"/>
        </w:rPr>
      </w:pPr>
      <w:del w:id="12903" w:author="AbbVie1" w:date="2025-05-13T10:11:00Z">
        <w:r w:rsidRPr="001B4A02">
          <w:rPr>
            <w:i/>
          </w:rPr>
          <w:delText>Děti</w:delText>
        </w:r>
        <w:r w:rsidR="002378E0">
          <w:rPr>
            <w:i/>
          </w:rPr>
          <w:delText xml:space="preserve"> a </w:delText>
        </w:r>
        <w:r w:rsidRPr="001B4A02">
          <w:rPr>
            <w:i/>
          </w:rPr>
          <w:delText xml:space="preserve">dospívající </w:delText>
        </w:r>
        <w:r w:rsidR="00E44302" w:rsidRPr="001B4A02">
          <w:rPr>
            <w:i/>
          </w:rPr>
          <w:delText xml:space="preserve">od 2 let </w:delText>
        </w:r>
        <w:r w:rsidRPr="001B4A02">
          <w:rPr>
            <w:i/>
          </w:rPr>
          <w:delText xml:space="preserve">s tělesnou hmotností </w:delText>
        </w:r>
        <w:r w:rsidR="00783FD1" w:rsidRPr="001B4A02">
          <w:rPr>
            <w:i/>
          </w:rPr>
          <w:delText>do</w:delText>
        </w:r>
        <w:r w:rsidRPr="001B4A02">
          <w:rPr>
            <w:i/>
          </w:rPr>
          <w:delText xml:space="preserve"> 30 kg</w:delText>
        </w:r>
        <w:r w:rsidRPr="001B4A02">
          <w:rPr>
            <w:bCs/>
            <w:i/>
            <w:szCs w:val="22"/>
            <w:u w:val="single"/>
          </w:rPr>
          <w:delText xml:space="preserve"> </w:delText>
        </w:r>
      </w:del>
    </w:p>
    <w:p w14:paraId="7F5349AA" w14:textId="77777777" w:rsidR="00F6282C" w:rsidRPr="001B4A02" w:rsidRDefault="00F6282C" w:rsidP="004D0686">
      <w:pPr>
        <w:keepNext/>
        <w:numPr>
          <w:ilvl w:val="12"/>
          <w:numId w:val="0"/>
        </w:numPr>
        <w:tabs>
          <w:tab w:val="left" w:pos="708"/>
        </w:tabs>
        <w:rPr>
          <w:del w:id="12904" w:author="AbbVie1" w:date="2025-05-13T10:11:00Z"/>
        </w:rPr>
      </w:pPr>
    </w:p>
    <w:p w14:paraId="393DEACE" w14:textId="77777777" w:rsidR="00F6282C" w:rsidRPr="001B4A02" w:rsidRDefault="00000000" w:rsidP="00ED48A3">
      <w:pPr>
        <w:rPr>
          <w:del w:id="12905" w:author="AbbVie1" w:date="2025-05-13T10:11:00Z"/>
        </w:rPr>
      </w:pPr>
      <w:del w:id="12906" w:author="AbbVie1" w:date="2025-05-13T10:11:00Z">
        <w:r w:rsidRPr="001B4A02">
          <w:rPr>
            <w:szCs w:val="22"/>
          </w:rPr>
          <w:delText>Obvyklá dávka přípravku Humira je 20 mg každý druhý týden s</w:delText>
        </w:r>
        <w:r w:rsidR="000C2348" w:rsidRPr="001B4A02">
          <w:rPr>
            <w:szCs w:val="22"/>
          </w:rPr>
          <w:delText> </w:delText>
        </w:r>
        <w:r w:rsidRPr="001B4A02">
          <w:rPr>
            <w:szCs w:val="22"/>
          </w:rPr>
          <w:delText>methotrexátem.</w:delText>
        </w:r>
      </w:del>
    </w:p>
    <w:p w14:paraId="1765B7FB" w14:textId="77777777" w:rsidR="00F6282C" w:rsidRPr="001B4A02" w:rsidRDefault="00F6282C" w:rsidP="00ED48A3">
      <w:pPr>
        <w:rPr>
          <w:del w:id="12907" w:author="AbbVie1" w:date="2025-05-13T10:11:00Z"/>
        </w:rPr>
      </w:pPr>
    </w:p>
    <w:p w14:paraId="344FD52D" w14:textId="77777777" w:rsidR="00F6282C" w:rsidRPr="001B4A02" w:rsidRDefault="00000000" w:rsidP="00ED48A3">
      <w:pPr>
        <w:ind w:left="0" w:firstLine="0"/>
        <w:rPr>
          <w:del w:id="12908" w:author="AbbVie1" w:date="2025-05-13T10:11:00Z"/>
          <w:strike/>
        </w:rPr>
      </w:pPr>
      <w:del w:id="12909" w:author="AbbVie1" w:date="2025-05-13T10:11:00Z">
        <w:r w:rsidRPr="001B4A02">
          <w:rPr>
            <w:szCs w:val="22"/>
          </w:rPr>
          <w:delText>Váš lékař může také předepsat úvodní dávku 40 mg, která může být podávána jeden týden před zahájením obvyklé</w:delText>
        </w:r>
        <w:r w:rsidR="00D2784C" w:rsidRPr="001B4A02">
          <w:rPr>
            <w:szCs w:val="22"/>
          </w:rPr>
          <w:delText>ho</w:delText>
        </w:r>
        <w:r w:rsidRPr="001B4A02">
          <w:rPr>
            <w:szCs w:val="22"/>
          </w:rPr>
          <w:delText xml:space="preserve"> dávk</w:delText>
        </w:r>
        <w:r w:rsidR="00D2784C" w:rsidRPr="001B4A02">
          <w:rPr>
            <w:szCs w:val="22"/>
          </w:rPr>
          <w:delText>ování</w:delText>
        </w:r>
        <w:r w:rsidRPr="001B4A02">
          <w:rPr>
            <w:szCs w:val="22"/>
          </w:rPr>
          <w:delText>.</w:delText>
        </w:r>
      </w:del>
    </w:p>
    <w:p w14:paraId="75B1F3A4" w14:textId="77777777" w:rsidR="00F6282C" w:rsidRPr="001B4A02" w:rsidRDefault="00F6282C" w:rsidP="00ED48A3">
      <w:pPr>
        <w:rPr>
          <w:del w:id="12910" w:author="AbbVie1" w:date="2025-05-13T10:11:00Z"/>
        </w:rPr>
      </w:pPr>
    </w:p>
    <w:p w14:paraId="46DCC1AE" w14:textId="77777777" w:rsidR="00163087" w:rsidRPr="001B4A02" w:rsidRDefault="00000000" w:rsidP="00163087">
      <w:pPr>
        <w:numPr>
          <w:ilvl w:val="12"/>
          <w:numId w:val="0"/>
        </w:numPr>
        <w:ind w:right="-2"/>
        <w:rPr>
          <w:del w:id="12911" w:author="AbbVie1" w:date="2025-05-13T10:11:00Z"/>
          <w:i/>
        </w:rPr>
      </w:pPr>
      <w:del w:id="12912" w:author="AbbVie1" w:date="2025-05-13T10:11:00Z">
        <w:r w:rsidRPr="001B4A02">
          <w:rPr>
            <w:i/>
          </w:rPr>
          <w:delText>Děti</w:delText>
        </w:r>
        <w:r w:rsidR="002378E0">
          <w:rPr>
            <w:i/>
          </w:rPr>
          <w:delText xml:space="preserve"> a </w:delText>
        </w:r>
        <w:r w:rsidRPr="001B4A02">
          <w:rPr>
            <w:i/>
          </w:rPr>
          <w:delText xml:space="preserve">dospívající </w:delText>
        </w:r>
        <w:r w:rsidR="00E44302" w:rsidRPr="001B4A02">
          <w:rPr>
            <w:i/>
          </w:rPr>
          <w:delText xml:space="preserve">od 2 let </w:delText>
        </w:r>
        <w:r w:rsidRPr="001B4A02">
          <w:rPr>
            <w:i/>
          </w:rPr>
          <w:delText>s tělesnou hmotností 30 kg</w:delText>
        </w:r>
        <w:r w:rsidR="001D2B8E" w:rsidRPr="001B4A02">
          <w:rPr>
            <w:i/>
          </w:rPr>
          <w:delText xml:space="preserve"> nebo vyšší</w:delText>
        </w:r>
      </w:del>
    </w:p>
    <w:p w14:paraId="1DFF07A8" w14:textId="77777777" w:rsidR="00F6282C" w:rsidRPr="001B4A02" w:rsidRDefault="00F6282C" w:rsidP="00ED48A3">
      <w:pPr>
        <w:rPr>
          <w:del w:id="12913" w:author="AbbVie1" w:date="2025-05-13T10:11:00Z"/>
        </w:rPr>
      </w:pPr>
    </w:p>
    <w:p w14:paraId="5BD56A88" w14:textId="77777777" w:rsidR="00F6282C" w:rsidRPr="001B4A02" w:rsidRDefault="00000000" w:rsidP="00ED48A3">
      <w:pPr>
        <w:rPr>
          <w:del w:id="12914" w:author="AbbVie1" w:date="2025-05-13T10:11:00Z"/>
        </w:rPr>
      </w:pPr>
      <w:del w:id="12915" w:author="AbbVie1" w:date="2025-05-13T10:11:00Z">
        <w:r w:rsidRPr="001B4A02">
          <w:rPr>
            <w:szCs w:val="22"/>
          </w:rPr>
          <w:delText>Obvyklá dávka přípravku Humira je 40 mg každý druhý týden s</w:delText>
        </w:r>
        <w:r w:rsidR="000C2348" w:rsidRPr="001B4A02">
          <w:rPr>
            <w:szCs w:val="22"/>
          </w:rPr>
          <w:delText> </w:delText>
        </w:r>
        <w:r w:rsidRPr="001B4A02">
          <w:rPr>
            <w:szCs w:val="22"/>
          </w:rPr>
          <w:delText>methotrexátem.</w:delText>
        </w:r>
      </w:del>
    </w:p>
    <w:p w14:paraId="2564CD95" w14:textId="77777777" w:rsidR="00F6282C" w:rsidRPr="001B4A02" w:rsidRDefault="00F6282C" w:rsidP="00ED48A3">
      <w:pPr>
        <w:rPr>
          <w:del w:id="12916" w:author="AbbVie1" w:date="2025-05-13T10:11:00Z"/>
        </w:rPr>
      </w:pPr>
    </w:p>
    <w:p w14:paraId="272F8F5E" w14:textId="77777777" w:rsidR="00F6282C" w:rsidRPr="001B4A02" w:rsidRDefault="00000000" w:rsidP="004A1680">
      <w:pPr>
        <w:numPr>
          <w:ilvl w:val="12"/>
          <w:numId w:val="0"/>
        </w:numPr>
        <w:ind w:right="-2"/>
        <w:rPr>
          <w:del w:id="12917" w:author="AbbVie1" w:date="2025-05-13T10:11:00Z"/>
        </w:rPr>
      </w:pPr>
      <w:del w:id="12918" w:author="AbbVie1" w:date="2025-05-13T10:11:00Z">
        <w:r w:rsidRPr="001B4A02">
          <w:rPr>
            <w:szCs w:val="22"/>
          </w:rPr>
          <w:delText>Váš lékař může také předepsat úvodní dávku 80 mg, která může být podávána jeden týden před zahájením obvyklé</w:delText>
        </w:r>
        <w:r w:rsidR="00D2784C" w:rsidRPr="001B4A02">
          <w:rPr>
            <w:szCs w:val="22"/>
          </w:rPr>
          <w:delText>ho</w:delText>
        </w:r>
        <w:r w:rsidRPr="001B4A02">
          <w:rPr>
            <w:szCs w:val="22"/>
          </w:rPr>
          <w:delText xml:space="preserve"> dávk</w:delText>
        </w:r>
        <w:r w:rsidR="00D2784C" w:rsidRPr="001B4A02">
          <w:rPr>
            <w:szCs w:val="22"/>
          </w:rPr>
          <w:delText>ování</w:delText>
        </w:r>
        <w:r w:rsidRPr="001B4A02">
          <w:rPr>
            <w:szCs w:val="22"/>
          </w:rPr>
          <w:delText>.</w:delText>
        </w:r>
      </w:del>
    </w:p>
    <w:p w14:paraId="669BD280" w14:textId="77777777" w:rsidR="00F6422F" w:rsidRPr="001B4A02" w:rsidRDefault="00F6422F" w:rsidP="00ED48A3">
      <w:pPr>
        <w:ind w:left="0" w:firstLine="0"/>
        <w:rPr>
          <w:del w:id="12919" w:author="AbbVie1" w:date="2025-05-13T10:11:00Z"/>
        </w:rPr>
      </w:pPr>
    </w:p>
    <w:p w14:paraId="02E7720A" w14:textId="77777777" w:rsidR="00986502" w:rsidRPr="001B4A02" w:rsidRDefault="00000000" w:rsidP="00ED48A3">
      <w:pPr>
        <w:ind w:left="0" w:firstLine="0"/>
        <w:rPr>
          <w:del w:id="12920" w:author="AbbVie1" w:date="2025-05-13T10:11:00Z"/>
          <w:b/>
        </w:rPr>
      </w:pPr>
      <w:del w:id="12921" w:author="AbbVie1" w:date="2025-05-13T10:11:00Z">
        <w:r w:rsidRPr="001B4A02">
          <w:rPr>
            <w:b/>
          </w:rPr>
          <w:delText>Způsob</w:delText>
        </w:r>
        <w:r w:rsidR="002378E0">
          <w:rPr>
            <w:b/>
          </w:rPr>
          <w:delText xml:space="preserve"> a </w:delText>
        </w:r>
        <w:r w:rsidRPr="001B4A02">
          <w:rPr>
            <w:b/>
          </w:rPr>
          <w:delText>cesta podání</w:delText>
        </w:r>
      </w:del>
    </w:p>
    <w:p w14:paraId="040E8E94" w14:textId="77777777" w:rsidR="00986502" w:rsidRPr="001B4A02" w:rsidRDefault="00986502" w:rsidP="00ED48A3">
      <w:pPr>
        <w:ind w:left="0" w:firstLine="0"/>
        <w:rPr>
          <w:del w:id="12922" w:author="AbbVie1" w:date="2025-05-13T10:11:00Z"/>
        </w:rPr>
      </w:pPr>
    </w:p>
    <w:p w14:paraId="3D8065F0" w14:textId="77777777" w:rsidR="00986502" w:rsidRPr="001B4A02" w:rsidRDefault="00000000" w:rsidP="00ED48A3">
      <w:pPr>
        <w:ind w:left="0" w:firstLine="0"/>
        <w:rPr>
          <w:del w:id="12923" w:author="AbbVie1" w:date="2025-05-13T10:11:00Z"/>
        </w:rPr>
      </w:pPr>
      <w:del w:id="12924" w:author="AbbVie1" w:date="2025-05-13T10:11:00Z">
        <w:r w:rsidRPr="001B4A02">
          <w:delText>Přípravek Humira se podává injekčně pod kůži (subkutánní injekcí).</w:delText>
        </w:r>
      </w:del>
    </w:p>
    <w:p w14:paraId="01D36C11" w14:textId="77777777" w:rsidR="00661A68" w:rsidRPr="001B4A02" w:rsidRDefault="00661A68" w:rsidP="00ED48A3">
      <w:pPr>
        <w:ind w:left="0" w:firstLine="0"/>
        <w:rPr>
          <w:del w:id="12925" w:author="AbbVie1" w:date="2025-05-13T10:11:00Z"/>
        </w:rPr>
      </w:pPr>
    </w:p>
    <w:p w14:paraId="26E58219" w14:textId="77777777" w:rsidR="00073F8F" w:rsidRPr="001B4A02" w:rsidRDefault="00000000" w:rsidP="000928E6">
      <w:pPr>
        <w:keepNext/>
        <w:ind w:left="0" w:firstLine="0"/>
        <w:rPr>
          <w:del w:id="12926" w:author="AbbVie1" w:date="2025-05-13T10:11:00Z"/>
          <w:b/>
        </w:rPr>
      </w:pPr>
      <w:del w:id="12927" w:author="AbbVie1" w:date="2025-05-13T10:11:00Z">
        <w:r w:rsidRPr="001B4A02">
          <w:rPr>
            <w:b/>
          </w:rPr>
          <w:delText xml:space="preserve">Jak si </w:delText>
        </w:r>
        <w:r w:rsidR="00E91CB6" w:rsidRPr="001B4A02">
          <w:rPr>
            <w:b/>
          </w:rPr>
          <w:delText>sám (sama)</w:delText>
        </w:r>
        <w:r w:rsidRPr="001B4A02">
          <w:rPr>
            <w:b/>
          </w:rPr>
          <w:delText xml:space="preserve"> připravíte</w:delText>
        </w:r>
        <w:r w:rsidR="002378E0">
          <w:rPr>
            <w:b/>
          </w:rPr>
          <w:delText xml:space="preserve"> a </w:delText>
        </w:r>
        <w:r w:rsidRPr="001B4A02">
          <w:rPr>
            <w:b/>
          </w:rPr>
          <w:delText>podáte injekci přípravku Humira</w:delText>
        </w:r>
      </w:del>
    </w:p>
    <w:p w14:paraId="4DBCBC38" w14:textId="77777777" w:rsidR="00073F8F" w:rsidRPr="001B4A02" w:rsidRDefault="00073F8F" w:rsidP="000928E6">
      <w:pPr>
        <w:keepNext/>
        <w:ind w:left="0" w:firstLine="0"/>
        <w:rPr>
          <w:del w:id="12928" w:author="AbbVie1" w:date="2025-05-13T10:11:00Z"/>
        </w:rPr>
      </w:pPr>
    </w:p>
    <w:p w14:paraId="5C8D9798" w14:textId="77777777" w:rsidR="00073F8F" w:rsidRPr="001B4A02" w:rsidRDefault="00000000" w:rsidP="00ED48A3">
      <w:pPr>
        <w:ind w:left="0" w:firstLine="0"/>
        <w:rPr>
          <w:del w:id="12929" w:author="AbbVie1" w:date="2025-05-13T10:11:00Z"/>
        </w:rPr>
      </w:pPr>
      <w:del w:id="12930" w:author="AbbVie1" w:date="2025-05-13T10:11:00Z">
        <w:r w:rsidRPr="001B4A02">
          <w:delText>V</w:delText>
        </w:r>
        <w:r w:rsidR="00584C17">
          <w:delText> </w:delText>
        </w:r>
        <w:r w:rsidRPr="001B4A02">
          <w:delText xml:space="preserve">následujících pokynech je vysvětleno, jak si máte </w:delText>
        </w:r>
        <w:r w:rsidR="00A44744" w:rsidRPr="001B4A02">
          <w:delText>podat</w:delText>
        </w:r>
        <w:r w:rsidRPr="001B4A02">
          <w:delText xml:space="preserve"> injekci přípravku Humira za použití předplněného pera. Prosíme, přečtěte si pečlivě tyto pokyny</w:delText>
        </w:r>
        <w:r w:rsidR="002378E0">
          <w:delText xml:space="preserve"> a </w:delText>
        </w:r>
        <w:r w:rsidRPr="001B4A02">
          <w:delText xml:space="preserve">přesně je dodržujte. Váš lékař nebo zdravotní sestra </w:delText>
        </w:r>
        <w:r w:rsidR="007F5AA6" w:rsidRPr="001B4A02">
          <w:delText>V</w:delText>
        </w:r>
        <w:r w:rsidRPr="001B4A02">
          <w:delText>ás poučí</w:delText>
        </w:r>
        <w:r w:rsidR="0023396A" w:rsidRPr="001B4A02">
          <w:delText>,</w:delText>
        </w:r>
        <w:r w:rsidRPr="001B4A02">
          <w:delText xml:space="preserve"> jak si sám (sama) </w:delText>
        </w:r>
        <w:r w:rsidR="00444E8A" w:rsidRPr="001B4A02">
          <w:delText>podat</w:delText>
        </w:r>
        <w:r w:rsidRPr="001B4A02">
          <w:delText xml:space="preserve"> injekci. Nepokoušejte si </w:delText>
        </w:r>
        <w:r w:rsidR="00E91CB6" w:rsidRPr="001B4A02">
          <w:delText>sám (sama)</w:delText>
        </w:r>
        <w:r w:rsidRPr="001B4A02">
          <w:delText xml:space="preserve"> </w:delText>
        </w:r>
        <w:r w:rsidR="00444E8A" w:rsidRPr="001B4A02">
          <w:delText>podat</w:delText>
        </w:r>
        <w:r w:rsidRPr="001B4A02">
          <w:delText xml:space="preserve"> injekci, dokud si nebudete jist</w:delText>
        </w:r>
        <w:r w:rsidR="009E1608" w:rsidRPr="001B4A02">
          <w:delText>ý</w:delText>
        </w:r>
        <w:r w:rsidRPr="001B4A02">
          <w:delText>(</w:delText>
        </w:r>
        <w:r w:rsidR="009E1608" w:rsidRPr="001B4A02">
          <w:delText>á</w:delText>
        </w:r>
        <w:r w:rsidRPr="001B4A02">
          <w:delText>), že jste pochopil(a), jak připravovat</w:delText>
        </w:r>
        <w:r w:rsidR="002378E0">
          <w:delText xml:space="preserve"> a </w:delText>
        </w:r>
        <w:r w:rsidR="00444E8A" w:rsidRPr="001B4A02">
          <w:delText>podat</w:delText>
        </w:r>
        <w:r w:rsidRPr="001B4A02">
          <w:delText xml:space="preserve"> injekci. Po řádném procvičení si můžete injekci </w:delText>
        </w:r>
        <w:r w:rsidR="00444E8A" w:rsidRPr="001B4A02">
          <w:delText>podat</w:delText>
        </w:r>
        <w:r w:rsidRPr="001B4A02">
          <w:delText xml:space="preserve"> sám (sama) nebo to může provádět i jiná osoba, např. člen rodiny nebo přítel či přítelkyně. </w:delText>
        </w:r>
      </w:del>
    </w:p>
    <w:p w14:paraId="3EFD8799" w14:textId="77777777" w:rsidR="00073F8F" w:rsidRPr="001B4A02" w:rsidRDefault="00073F8F" w:rsidP="00ED48A3">
      <w:pPr>
        <w:ind w:left="0" w:firstLine="0"/>
        <w:rPr>
          <w:del w:id="12931" w:author="AbbVie1" w:date="2025-05-13T10:11:00Z"/>
        </w:rPr>
      </w:pPr>
    </w:p>
    <w:p w14:paraId="1F47C935" w14:textId="77777777" w:rsidR="00073F8F" w:rsidRPr="001B4A02" w:rsidRDefault="00000000" w:rsidP="00ED48A3">
      <w:pPr>
        <w:ind w:left="0" w:firstLine="0"/>
        <w:rPr>
          <w:del w:id="12932" w:author="AbbVie1" w:date="2025-05-13T10:11:00Z"/>
          <w:b/>
          <w:bCs/>
        </w:rPr>
      </w:pPr>
      <w:del w:id="12933" w:author="AbbVie1" w:date="2025-05-13T10:11:00Z">
        <w:r w:rsidRPr="001B4A02">
          <w:rPr>
            <w:b/>
            <w:bCs/>
          </w:rPr>
          <w:delText>Co musím udělat předtím, než si sám</w:delText>
        </w:r>
        <w:r w:rsidR="00A27A27" w:rsidRPr="001B4A02">
          <w:rPr>
            <w:b/>
            <w:bCs/>
          </w:rPr>
          <w:delText xml:space="preserve"> </w:delText>
        </w:r>
        <w:r w:rsidRPr="001B4A02">
          <w:rPr>
            <w:b/>
            <w:bCs/>
          </w:rPr>
          <w:delText>(</w:delText>
        </w:r>
        <w:r w:rsidR="004064CF" w:rsidRPr="001B4A02">
          <w:rPr>
            <w:b/>
            <w:bCs/>
          </w:rPr>
          <w:delText>sam</w:delText>
        </w:r>
        <w:r w:rsidRPr="001B4A02">
          <w:rPr>
            <w:b/>
            <w:bCs/>
          </w:rPr>
          <w:delText>a) podám podkožní injekci přípravku Humira?</w:delText>
        </w:r>
      </w:del>
    </w:p>
    <w:p w14:paraId="1FFEBAD1" w14:textId="77777777" w:rsidR="00073F8F" w:rsidRPr="001B4A02" w:rsidRDefault="00073F8F" w:rsidP="00ED48A3">
      <w:pPr>
        <w:ind w:left="0" w:firstLine="0"/>
        <w:rPr>
          <w:del w:id="12934" w:author="AbbVie1" w:date="2025-05-13T10:11:00Z"/>
        </w:rPr>
      </w:pPr>
    </w:p>
    <w:p w14:paraId="0A519F1F" w14:textId="77777777" w:rsidR="00073F8F" w:rsidRPr="001B4A02" w:rsidRDefault="00000000" w:rsidP="00ED48A3">
      <w:pPr>
        <w:pStyle w:val="EndnoteText"/>
        <w:numPr>
          <w:ilvl w:val="0"/>
          <w:numId w:val="44"/>
        </w:numPr>
        <w:tabs>
          <w:tab w:val="clear" w:pos="720"/>
          <w:tab w:val="num" w:pos="567"/>
        </w:tabs>
        <w:ind w:left="567" w:hanging="567"/>
        <w:rPr>
          <w:del w:id="12935" w:author="AbbVie1" w:date="2025-05-13T10:11:00Z"/>
          <w:lang w:val="cs-CZ"/>
        </w:rPr>
      </w:pPr>
      <w:del w:id="12936" w:author="AbbVie1" w:date="2025-05-13T10:11:00Z">
        <w:r w:rsidRPr="001B4A02">
          <w:rPr>
            <w:lang w:val="cs-CZ"/>
          </w:rPr>
          <w:delText>Pečlivě si umyjte ruce</w:delText>
        </w:r>
        <w:r w:rsidR="00F75DA8" w:rsidRPr="001B4A02">
          <w:rPr>
            <w:lang w:val="cs-CZ"/>
          </w:rPr>
          <w:delText>.</w:delText>
        </w:r>
      </w:del>
    </w:p>
    <w:p w14:paraId="78522EC4" w14:textId="77777777" w:rsidR="00073F8F" w:rsidRPr="001B4A02" w:rsidRDefault="00000000" w:rsidP="00ED48A3">
      <w:pPr>
        <w:numPr>
          <w:ilvl w:val="0"/>
          <w:numId w:val="44"/>
        </w:numPr>
        <w:tabs>
          <w:tab w:val="clear" w:pos="720"/>
          <w:tab w:val="num" w:pos="567"/>
        </w:tabs>
        <w:ind w:left="567" w:hanging="567"/>
        <w:rPr>
          <w:del w:id="12937" w:author="AbbVie1" w:date="2025-05-13T10:11:00Z"/>
        </w:rPr>
      </w:pPr>
      <w:del w:id="12938" w:author="AbbVie1" w:date="2025-05-13T10:11:00Z">
        <w:r w:rsidRPr="001B4A02">
          <w:delText>Z chladničky vyjměte jednodávkový blistr obsahující jedno předplněné pero s </w:delText>
        </w:r>
        <w:r w:rsidR="00D6542D" w:rsidRPr="001B4A02">
          <w:delText xml:space="preserve">přípravkem </w:delText>
        </w:r>
        <w:r w:rsidRPr="001B4A02">
          <w:delText>Humira</w:delText>
        </w:r>
        <w:r w:rsidR="00F75DA8" w:rsidRPr="001B4A02">
          <w:delText>.</w:delText>
        </w:r>
      </w:del>
    </w:p>
    <w:p w14:paraId="03D9127D" w14:textId="77777777" w:rsidR="00073F8F" w:rsidRPr="001B4A02" w:rsidRDefault="00000000" w:rsidP="00ED48A3">
      <w:pPr>
        <w:numPr>
          <w:ilvl w:val="0"/>
          <w:numId w:val="44"/>
        </w:numPr>
        <w:tabs>
          <w:tab w:val="clear" w:pos="720"/>
          <w:tab w:val="num" w:pos="567"/>
        </w:tabs>
        <w:ind w:left="567" w:hanging="567"/>
        <w:rPr>
          <w:del w:id="12939" w:author="AbbVie1" w:date="2025-05-13T10:11:00Z"/>
        </w:rPr>
      </w:pPr>
      <w:del w:id="12940" w:author="AbbVie1" w:date="2025-05-13T10:11:00Z">
        <w:r w:rsidRPr="001B4A02">
          <w:delText>Předplněným perem netřepejte, ani jej nesmíte upustit</w:delText>
        </w:r>
        <w:r w:rsidR="00F75DA8" w:rsidRPr="001B4A02">
          <w:delText>.</w:delText>
        </w:r>
      </w:del>
    </w:p>
    <w:p w14:paraId="39A6ED7F" w14:textId="77777777" w:rsidR="00073F8F" w:rsidRPr="001B4A02" w:rsidRDefault="00000000" w:rsidP="00ED48A3">
      <w:pPr>
        <w:numPr>
          <w:ilvl w:val="0"/>
          <w:numId w:val="44"/>
        </w:numPr>
        <w:tabs>
          <w:tab w:val="clear" w:pos="720"/>
          <w:tab w:val="num" w:pos="567"/>
        </w:tabs>
        <w:ind w:left="567" w:hanging="567"/>
        <w:rPr>
          <w:del w:id="12941" w:author="AbbVie1" w:date="2025-05-13T10:11:00Z"/>
        </w:rPr>
      </w:pPr>
      <w:del w:id="12942" w:author="AbbVie1" w:date="2025-05-13T10:11:00Z">
        <w:r w:rsidRPr="001B4A02">
          <w:delText>Na čistý povrch si připravte následující pomůcky</w:delText>
        </w:r>
        <w:r w:rsidR="00F75DA8" w:rsidRPr="001B4A02">
          <w:delText>.</w:delText>
        </w:r>
      </w:del>
    </w:p>
    <w:p w14:paraId="53F201CB" w14:textId="77777777" w:rsidR="00073F8F" w:rsidRPr="001B4A02" w:rsidRDefault="00073F8F" w:rsidP="00ED48A3">
      <w:pPr>
        <w:ind w:left="0" w:firstLine="0"/>
        <w:rPr>
          <w:del w:id="12943" w:author="AbbVie1" w:date="2025-05-13T10:11:00Z"/>
        </w:rPr>
      </w:pPr>
    </w:p>
    <w:p w14:paraId="063BAEBA" w14:textId="77777777" w:rsidR="00073F8F" w:rsidRPr="001B4A02" w:rsidRDefault="00000000" w:rsidP="00ED48A3">
      <w:pPr>
        <w:numPr>
          <w:ilvl w:val="1"/>
          <w:numId w:val="44"/>
        </w:numPr>
        <w:tabs>
          <w:tab w:val="clear" w:pos="1440"/>
          <w:tab w:val="num" w:pos="1134"/>
        </w:tabs>
        <w:ind w:left="1134" w:hanging="567"/>
        <w:rPr>
          <w:del w:id="12944" w:author="AbbVie1" w:date="2025-05-13T10:11:00Z"/>
        </w:rPr>
      </w:pPr>
      <w:del w:id="12945" w:author="AbbVie1" w:date="2025-05-13T10:11:00Z">
        <w:r w:rsidRPr="001B4A02">
          <w:delText>Jedno předplněné pero s přípravkem Humira</w:delText>
        </w:r>
      </w:del>
    </w:p>
    <w:p w14:paraId="3AAAD137" w14:textId="77777777" w:rsidR="00073F8F" w:rsidRPr="001B4A02" w:rsidRDefault="00000000" w:rsidP="00ED48A3">
      <w:pPr>
        <w:numPr>
          <w:ilvl w:val="1"/>
          <w:numId w:val="44"/>
        </w:numPr>
        <w:tabs>
          <w:tab w:val="clear" w:pos="1440"/>
          <w:tab w:val="num" w:pos="1134"/>
        </w:tabs>
        <w:ind w:left="1134" w:hanging="567"/>
        <w:rPr>
          <w:del w:id="12946" w:author="AbbVie1" w:date="2025-05-13T10:11:00Z"/>
        </w:rPr>
      </w:pPr>
      <w:del w:id="12947" w:author="AbbVie1" w:date="2025-05-13T10:11:00Z">
        <w:r w:rsidRPr="001B4A02">
          <w:delText>Jeden tampón s alkoholem</w:delText>
        </w:r>
      </w:del>
    </w:p>
    <w:p w14:paraId="4628F4EF" w14:textId="77777777" w:rsidR="006726DF" w:rsidRPr="001B4A02" w:rsidRDefault="006726DF" w:rsidP="00ED48A3">
      <w:pPr>
        <w:ind w:left="2160"/>
        <w:rPr>
          <w:del w:id="12948" w:author="AbbVie1" w:date="2025-05-13T10:11:00Z"/>
        </w:rPr>
      </w:pPr>
    </w:p>
    <w:tbl>
      <w:tblPr>
        <w:tblW w:w="0" w:type="auto"/>
        <w:jc w:val="center"/>
        <w:tblLook w:val="01E0" w:firstRow="1" w:lastRow="1" w:firstColumn="1" w:lastColumn="1" w:noHBand="0" w:noVBand="0"/>
      </w:tblPr>
      <w:tblGrid>
        <w:gridCol w:w="4572"/>
        <w:gridCol w:w="4499"/>
      </w:tblGrid>
      <w:tr w:rsidR="00534A2D" w14:paraId="17FBAF5C" w14:textId="77777777" w:rsidTr="008A6404">
        <w:trPr>
          <w:jc w:val="center"/>
          <w:del w:id="12949" w:author="AbbVie1" w:date="2025-05-13T10:11:00Z"/>
        </w:trPr>
        <w:tc>
          <w:tcPr>
            <w:tcW w:w="4643" w:type="dxa"/>
            <w:shd w:val="clear" w:color="auto" w:fill="auto"/>
          </w:tcPr>
          <w:p w14:paraId="2C495961" w14:textId="77777777" w:rsidR="006726DF" w:rsidRPr="001B4A02" w:rsidRDefault="00000000" w:rsidP="00ED48A3">
            <w:pPr>
              <w:jc w:val="right"/>
              <w:rPr>
                <w:del w:id="12950" w:author="AbbVie1" w:date="2025-05-13T10:11:00Z"/>
                <w:i/>
                <w:iCs/>
              </w:rPr>
            </w:pPr>
            <w:del w:id="12951" w:author="AbbVie1" w:date="2025-05-13T10:11:00Z">
              <w:r w:rsidRPr="001B4A02">
                <w:rPr>
                  <w:i/>
                  <w:iCs/>
                  <w:noProof/>
                  <w:lang w:val="en-US"/>
                </w:rPr>
                <w:drawing>
                  <wp:inline distT="0" distB="0" distL="0" distR="0" wp14:anchorId="642A065E" wp14:editId="3B4327F4">
                    <wp:extent cx="1664970" cy="1612900"/>
                    <wp:effectExtent l="0" t="0" r="0" b="6350"/>
                    <wp:docPr id="536" name="obrázek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Picture 536"/>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664970" cy="1612900"/>
                            </a:xfrm>
                            <a:prstGeom prst="rect">
                              <a:avLst/>
                            </a:prstGeom>
                            <a:noFill/>
                            <a:ln>
                              <a:noFill/>
                            </a:ln>
                          </pic:spPr>
                        </pic:pic>
                      </a:graphicData>
                    </a:graphic>
                  </wp:inline>
                </w:drawing>
              </w:r>
            </w:del>
          </w:p>
        </w:tc>
        <w:tc>
          <w:tcPr>
            <w:tcW w:w="4644" w:type="dxa"/>
            <w:shd w:val="clear" w:color="auto" w:fill="auto"/>
          </w:tcPr>
          <w:p w14:paraId="14F6AEF0" w14:textId="77777777" w:rsidR="006726DF" w:rsidRPr="001B4A02" w:rsidRDefault="006726DF" w:rsidP="00ED48A3">
            <w:pPr>
              <w:rPr>
                <w:del w:id="12952" w:author="AbbVie1" w:date="2025-05-13T10:11:00Z"/>
                <w:iCs/>
              </w:rPr>
            </w:pPr>
          </w:p>
          <w:p w14:paraId="56A1F8B7" w14:textId="77777777" w:rsidR="006726DF" w:rsidRPr="001B4A02" w:rsidRDefault="006726DF" w:rsidP="00ED48A3">
            <w:pPr>
              <w:rPr>
                <w:del w:id="12953" w:author="AbbVie1" w:date="2025-05-13T10:11:00Z"/>
                <w:iCs/>
              </w:rPr>
            </w:pPr>
          </w:p>
          <w:p w14:paraId="1ECF61EB" w14:textId="77777777" w:rsidR="006726DF" w:rsidRPr="001B4A02" w:rsidRDefault="00000000" w:rsidP="00ED48A3">
            <w:pPr>
              <w:rPr>
                <w:del w:id="12954" w:author="AbbVie1" w:date="2025-05-13T10:11:00Z"/>
              </w:rPr>
            </w:pPr>
            <w:del w:id="12955" w:author="AbbVie1" w:date="2025-05-13T10:11:00Z">
              <w:r w:rsidRPr="001B4A02">
                <w:delText>Tampón</w:delText>
              </w:r>
            </w:del>
          </w:p>
          <w:p w14:paraId="14EC3B42" w14:textId="77777777" w:rsidR="006726DF" w:rsidRPr="001B4A02" w:rsidRDefault="006726DF" w:rsidP="00ED48A3">
            <w:pPr>
              <w:rPr>
                <w:del w:id="12956" w:author="AbbVie1" w:date="2025-05-13T10:11:00Z"/>
              </w:rPr>
            </w:pPr>
          </w:p>
          <w:p w14:paraId="45AA0002" w14:textId="77777777" w:rsidR="006726DF" w:rsidRPr="001B4A02" w:rsidRDefault="006726DF" w:rsidP="00ED48A3">
            <w:pPr>
              <w:rPr>
                <w:del w:id="12957" w:author="AbbVie1" w:date="2025-05-13T10:11:00Z"/>
              </w:rPr>
            </w:pPr>
          </w:p>
          <w:p w14:paraId="25CF2CF0" w14:textId="77777777" w:rsidR="006726DF" w:rsidRPr="001B4A02" w:rsidRDefault="00000000" w:rsidP="00ED48A3">
            <w:pPr>
              <w:rPr>
                <w:del w:id="12958" w:author="AbbVie1" w:date="2025-05-13T10:11:00Z"/>
                <w:iCs/>
              </w:rPr>
            </w:pPr>
            <w:del w:id="12959" w:author="AbbVie1" w:date="2025-05-13T10:11:00Z">
              <w:r w:rsidRPr="001B4A02">
                <w:delText>Okénko</w:delText>
              </w:r>
            </w:del>
          </w:p>
        </w:tc>
      </w:tr>
    </w:tbl>
    <w:p w14:paraId="2D830A6E" w14:textId="77777777" w:rsidR="006726DF" w:rsidRPr="001B4A02" w:rsidRDefault="006726DF" w:rsidP="00ED48A3">
      <w:pPr>
        <w:ind w:left="0" w:firstLine="0"/>
        <w:jc w:val="center"/>
        <w:rPr>
          <w:del w:id="12960" w:author="AbbVie1" w:date="2025-05-13T10:11:00Z"/>
        </w:rPr>
      </w:pPr>
    </w:p>
    <w:p w14:paraId="1733E5AC" w14:textId="77777777" w:rsidR="00073F8F" w:rsidRPr="001B4A02" w:rsidRDefault="00000000" w:rsidP="00ED48A3">
      <w:pPr>
        <w:pStyle w:val="EndnoteText"/>
        <w:numPr>
          <w:ilvl w:val="0"/>
          <w:numId w:val="44"/>
        </w:numPr>
        <w:tabs>
          <w:tab w:val="clear" w:pos="720"/>
          <w:tab w:val="num" w:pos="567"/>
        </w:tabs>
        <w:ind w:left="567" w:hanging="567"/>
        <w:rPr>
          <w:del w:id="12961" w:author="AbbVie1" w:date="2025-05-13T10:11:00Z"/>
          <w:lang w:val="cs-CZ"/>
        </w:rPr>
      </w:pPr>
      <w:del w:id="12962" w:author="AbbVie1" w:date="2025-05-13T10:11:00Z">
        <w:r w:rsidRPr="001B4A02">
          <w:rPr>
            <w:lang w:val="cs-CZ"/>
          </w:rPr>
          <w:delText>Zkontrolujte datum použitelnosti, které je vytištěné na štítku předplněného pera (</w:delText>
        </w:r>
        <w:r w:rsidR="006000CD" w:rsidRPr="001B4A02">
          <w:rPr>
            <w:lang w:val="cs-CZ"/>
          </w:rPr>
          <w:delText>EXP</w:delText>
        </w:r>
        <w:r w:rsidRPr="001B4A02">
          <w:rPr>
            <w:lang w:val="cs-CZ"/>
          </w:rPr>
          <w:delText>). Nepoužívejte přípravek po uplynutí měsíce</w:delText>
        </w:r>
        <w:r w:rsidR="002378E0">
          <w:rPr>
            <w:lang w:val="cs-CZ"/>
          </w:rPr>
          <w:delText xml:space="preserve"> a </w:delText>
        </w:r>
        <w:r w:rsidRPr="001B4A02">
          <w:rPr>
            <w:lang w:val="cs-CZ"/>
          </w:rPr>
          <w:delText>roku uvedeného na předplněném peru.</w:delText>
        </w:r>
      </w:del>
    </w:p>
    <w:p w14:paraId="3CFEA471" w14:textId="77777777" w:rsidR="00073F8F" w:rsidRPr="001B4A02" w:rsidRDefault="00000000" w:rsidP="00ED48A3">
      <w:pPr>
        <w:rPr>
          <w:del w:id="12963" w:author="AbbVie1" w:date="2025-05-13T10:11:00Z"/>
        </w:rPr>
      </w:pPr>
      <w:del w:id="12964" w:author="AbbVie1" w:date="2025-05-13T10:11:00Z">
        <w:r w:rsidRPr="001B4A02">
          <w:delText>6.</w:delText>
        </w:r>
        <w:r w:rsidRPr="001B4A02">
          <w:tab/>
          <w:delText xml:space="preserve">Předplněné pero držte tak, aby šedý kryt (označený „1“) směřoval vzhůru. Zkontrolujte vzhled roztoku přípravku Humira skrze </w:delText>
        </w:r>
        <w:r w:rsidR="00167D69" w:rsidRPr="001B4A02">
          <w:delText xml:space="preserve">okénko </w:delText>
        </w:r>
        <w:r w:rsidRPr="001B4A02">
          <w:delText>na bocích předplněného pera. Roztok musí být čirý</w:delText>
        </w:r>
        <w:r w:rsidR="002378E0">
          <w:delText xml:space="preserve"> a </w:delText>
        </w:r>
        <w:r w:rsidRPr="001B4A02">
          <w:delText>bez zabarvení. Jestliže je zakalený nebo změnil barvu, případně jsou v něm patrné vločky či částečky, nesmíte jej použít. Ne</w:delText>
        </w:r>
        <w:r w:rsidR="005D5238" w:rsidRPr="001B4A02">
          <w:delText>po</w:delText>
        </w:r>
        <w:r w:rsidRPr="001B4A02">
          <w:delText xml:space="preserve">užívejte předplněné pero, jestliže bylo vystaveno mrazu nebo ponecháno na přímém slunečním světle. Oba kryty, šedý i vínový, odstraňte </w:delText>
        </w:r>
        <w:r w:rsidRPr="001B4A02">
          <w:rPr>
            <w:b/>
          </w:rPr>
          <w:delText>bezprostředně</w:delText>
        </w:r>
        <w:r w:rsidRPr="001B4A02">
          <w:delText xml:space="preserve"> před injekcí.</w:delText>
        </w:r>
      </w:del>
    </w:p>
    <w:p w14:paraId="0FF75C4B" w14:textId="77777777" w:rsidR="00073F8F" w:rsidRPr="001B4A02" w:rsidRDefault="00073F8F" w:rsidP="00BA0A72">
      <w:pPr>
        <w:ind w:left="0" w:firstLine="0"/>
        <w:rPr>
          <w:del w:id="12965" w:author="AbbVie1" w:date="2025-05-13T10:11:00Z"/>
        </w:rPr>
      </w:pPr>
    </w:p>
    <w:tbl>
      <w:tblPr>
        <w:tblW w:w="0" w:type="auto"/>
        <w:tblLook w:val="01E0" w:firstRow="1" w:lastRow="1" w:firstColumn="1" w:lastColumn="1" w:noHBand="0" w:noVBand="0"/>
      </w:tblPr>
      <w:tblGrid>
        <w:gridCol w:w="4565"/>
        <w:gridCol w:w="4506"/>
      </w:tblGrid>
      <w:tr w:rsidR="00534A2D" w14:paraId="5359616E" w14:textId="77777777" w:rsidTr="008A6404">
        <w:trPr>
          <w:del w:id="12966" w:author="AbbVie1" w:date="2025-05-13T10:11:00Z"/>
        </w:trPr>
        <w:tc>
          <w:tcPr>
            <w:tcW w:w="4643" w:type="dxa"/>
            <w:shd w:val="clear" w:color="auto" w:fill="auto"/>
          </w:tcPr>
          <w:p w14:paraId="1F9C6989" w14:textId="77777777" w:rsidR="006726DF" w:rsidRPr="001B4A02" w:rsidRDefault="00000000" w:rsidP="00ED48A3">
            <w:pPr>
              <w:jc w:val="right"/>
              <w:rPr>
                <w:del w:id="12967" w:author="AbbVie1" w:date="2025-05-13T10:11:00Z"/>
              </w:rPr>
            </w:pPr>
            <w:del w:id="12968" w:author="AbbVie1" w:date="2025-05-13T10:11:00Z">
              <w:r w:rsidRPr="001B4A02">
                <w:rPr>
                  <w:noProof/>
                  <w:lang w:val="en-US"/>
                </w:rPr>
                <w:drawing>
                  <wp:inline distT="0" distB="0" distL="0" distR="0" wp14:anchorId="1A609362" wp14:editId="0602E4FB">
                    <wp:extent cx="1742440" cy="1785620"/>
                    <wp:effectExtent l="0" t="0" r="0" b="5080"/>
                    <wp:docPr id="537" name="obrázek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Picture 537"/>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742440" cy="1785620"/>
                            </a:xfrm>
                            <a:prstGeom prst="rect">
                              <a:avLst/>
                            </a:prstGeom>
                            <a:noFill/>
                            <a:ln>
                              <a:noFill/>
                            </a:ln>
                          </pic:spPr>
                        </pic:pic>
                      </a:graphicData>
                    </a:graphic>
                  </wp:inline>
                </w:drawing>
              </w:r>
            </w:del>
          </w:p>
        </w:tc>
        <w:tc>
          <w:tcPr>
            <w:tcW w:w="4644" w:type="dxa"/>
            <w:shd w:val="clear" w:color="auto" w:fill="auto"/>
          </w:tcPr>
          <w:p w14:paraId="4E8980C3" w14:textId="77777777" w:rsidR="006726DF" w:rsidRPr="001B4A02" w:rsidRDefault="006726DF" w:rsidP="00ED48A3">
            <w:pPr>
              <w:rPr>
                <w:del w:id="12969" w:author="AbbVie1" w:date="2025-05-13T10:11:00Z"/>
              </w:rPr>
            </w:pPr>
          </w:p>
          <w:p w14:paraId="0C1DAA6F" w14:textId="77777777" w:rsidR="006726DF" w:rsidRPr="001B4A02" w:rsidRDefault="006726DF" w:rsidP="00ED48A3">
            <w:pPr>
              <w:rPr>
                <w:del w:id="12970" w:author="AbbVie1" w:date="2025-05-13T10:11:00Z"/>
              </w:rPr>
            </w:pPr>
          </w:p>
          <w:p w14:paraId="692025E2" w14:textId="77777777" w:rsidR="006726DF" w:rsidRPr="001B4A02" w:rsidRDefault="006726DF" w:rsidP="00ED48A3">
            <w:pPr>
              <w:rPr>
                <w:del w:id="12971" w:author="AbbVie1" w:date="2025-05-13T10:11:00Z"/>
              </w:rPr>
            </w:pPr>
          </w:p>
          <w:p w14:paraId="115A4CD6" w14:textId="77777777" w:rsidR="006726DF" w:rsidRPr="001B4A02" w:rsidRDefault="00000000" w:rsidP="00ED48A3">
            <w:pPr>
              <w:rPr>
                <w:del w:id="12972" w:author="AbbVie1" w:date="2025-05-13T10:11:00Z"/>
              </w:rPr>
            </w:pPr>
            <w:del w:id="12973" w:author="AbbVie1" w:date="2025-05-13T10:11:00Z">
              <w:r w:rsidRPr="001B4A02">
                <w:delText>Okénko</w:delText>
              </w:r>
            </w:del>
          </w:p>
          <w:p w14:paraId="50425946" w14:textId="77777777" w:rsidR="006726DF" w:rsidRPr="001B4A02" w:rsidRDefault="006726DF" w:rsidP="00ED48A3">
            <w:pPr>
              <w:rPr>
                <w:del w:id="12974" w:author="AbbVie1" w:date="2025-05-13T10:11:00Z"/>
              </w:rPr>
            </w:pPr>
          </w:p>
          <w:p w14:paraId="1C67C0BA" w14:textId="77777777" w:rsidR="006726DF" w:rsidRPr="001B4A02" w:rsidRDefault="00000000" w:rsidP="00ED48A3">
            <w:pPr>
              <w:rPr>
                <w:del w:id="12975" w:author="AbbVie1" w:date="2025-05-13T10:11:00Z"/>
              </w:rPr>
            </w:pPr>
            <w:del w:id="12976" w:author="AbbVie1" w:date="2025-05-13T10:11:00Z">
              <w:r w:rsidRPr="001B4A02">
                <w:delText>Čirý roztok v</w:delText>
              </w:r>
              <w:r w:rsidR="000928E6" w:rsidRPr="001B4A02">
                <w:delText> </w:delText>
              </w:r>
              <w:r w:rsidRPr="001B4A02">
                <w:delText>injekční stříkačce</w:delText>
              </w:r>
            </w:del>
          </w:p>
        </w:tc>
      </w:tr>
    </w:tbl>
    <w:p w14:paraId="26FBAC34" w14:textId="77777777" w:rsidR="00073F8F" w:rsidRPr="001B4A02" w:rsidRDefault="00073F8F" w:rsidP="00ED48A3">
      <w:pPr>
        <w:tabs>
          <w:tab w:val="left" w:pos="567"/>
        </w:tabs>
        <w:ind w:left="0" w:firstLine="0"/>
        <w:rPr>
          <w:del w:id="12977" w:author="AbbVie1" w:date="2025-05-13T10:11:00Z"/>
        </w:rPr>
      </w:pPr>
    </w:p>
    <w:p w14:paraId="200A084E" w14:textId="77777777" w:rsidR="00073F8F" w:rsidRPr="001B4A02" w:rsidRDefault="00000000" w:rsidP="00ED48A3">
      <w:pPr>
        <w:tabs>
          <w:tab w:val="left" w:pos="567"/>
        </w:tabs>
        <w:ind w:left="0" w:firstLine="0"/>
        <w:rPr>
          <w:del w:id="12978" w:author="AbbVie1" w:date="2025-05-13T10:11:00Z"/>
          <w:b/>
        </w:rPr>
      </w:pPr>
      <w:del w:id="12979" w:author="AbbVie1" w:date="2025-05-13T10:11:00Z">
        <w:r w:rsidRPr="001B4A02">
          <w:rPr>
            <w:b/>
          </w:rPr>
          <w:delText>Kam bych si měl(a) injekci podat?</w:delText>
        </w:r>
      </w:del>
    </w:p>
    <w:p w14:paraId="3BED61C4" w14:textId="77777777" w:rsidR="00073F8F" w:rsidRPr="001B4A02" w:rsidRDefault="00073F8F" w:rsidP="00ED48A3">
      <w:pPr>
        <w:ind w:left="0" w:firstLine="0"/>
        <w:rPr>
          <w:del w:id="12980" w:author="AbbVie1" w:date="2025-05-13T10:11:00Z"/>
        </w:rPr>
      </w:pPr>
    </w:p>
    <w:p w14:paraId="1CCC7658" w14:textId="77777777" w:rsidR="00073F8F" w:rsidRPr="001B4A02" w:rsidRDefault="00000000" w:rsidP="00ED48A3">
      <w:pPr>
        <w:pStyle w:val="EMEANormal"/>
        <w:numPr>
          <w:ilvl w:val="0"/>
          <w:numId w:val="45"/>
        </w:numPr>
        <w:tabs>
          <w:tab w:val="clear" w:pos="562"/>
          <w:tab w:val="clear" w:pos="720"/>
          <w:tab w:val="num" w:pos="567"/>
        </w:tabs>
        <w:suppressAutoHyphens w:val="0"/>
        <w:ind w:left="567" w:hanging="567"/>
        <w:rPr>
          <w:del w:id="12981" w:author="AbbVie1" w:date="2025-05-13T10:11:00Z"/>
          <w:lang w:val="cs-CZ"/>
        </w:rPr>
      </w:pPr>
      <w:del w:id="12982" w:author="AbbVie1" w:date="2025-05-13T10:11:00Z">
        <w:r w:rsidRPr="001B4A02">
          <w:rPr>
            <w:lang w:val="cs-CZ"/>
          </w:rPr>
          <w:delText>Vyberte si místo na stehně nebo na břiše (s výjimkou oblasti kolem pupku).</w:delText>
        </w:r>
      </w:del>
    </w:p>
    <w:p w14:paraId="6AE4D526" w14:textId="77777777" w:rsidR="00073F8F" w:rsidRPr="001B4A02" w:rsidRDefault="00073F8F" w:rsidP="00ED48A3">
      <w:pPr>
        <w:ind w:left="0" w:firstLine="0"/>
        <w:jc w:val="center"/>
        <w:rPr>
          <w:del w:id="12983" w:author="AbbVie1" w:date="2025-05-13T10:11:00Z"/>
          <w:b/>
        </w:rPr>
      </w:pPr>
    </w:p>
    <w:p w14:paraId="67D20212" w14:textId="77777777" w:rsidR="00073F8F" w:rsidRPr="001B4A02" w:rsidRDefault="00000000" w:rsidP="00ED48A3">
      <w:pPr>
        <w:ind w:left="2835" w:firstLine="0"/>
        <w:rPr>
          <w:del w:id="12984" w:author="AbbVie1" w:date="2025-05-13T10:11:00Z"/>
          <w:b/>
        </w:rPr>
      </w:pPr>
      <w:del w:id="12985" w:author="AbbVie1" w:date="2025-05-13T10:11:00Z">
        <w:r w:rsidRPr="001B4A02">
          <w:rPr>
            <w:noProof/>
            <w:lang w:val="en-US"/>
          </w:rPr>
          <w:drawing>
            <wp:inline distT="0" distB="0" distL="0" distR="0" wp14:anchorId="38172483" wp14:editId="6AE07953">
              <wp:extent cx="1664970" cy="1664970"/>
              <wp:effectExtent l="0" t="0" r="0" b="0"/>
              <wp:docPr id="538" name="obrázek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Picture 538"/>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1664970" cy="1664970"/>
                      </a:xfrm>
                      <a:prstGeom prst="rect">
                        <a:avLst/>
                      </a:prstGeom>
                      <a:noFill/>
                      <a:ln>
                        <a:noFill/>
                      </a:ln>
                    </pic:spPr>
                  </pic:pic>
                </a:graphicData>
              </a:graphic>
            </wp:inline>
          </w:drawing>
        </w:r>
      </w:del>
    </w:p>
    <w:p w14:paraId="7EA662B3" w14:textId="77777777" w:rsidR="006726DF" w:rsidRPr="001B4A02" w:rsidRDefault="006726DF" w:rsidP="00BA0A72">
      <w:pPr>
        <w:rPr>
          <w:del w:id="12986" w:author="AbbVie1" w:date="2025-05-13T10:11:00Z"/>
          <w:b/>
        </w:rPr>
      </w:pPr>
    </w:p>
    <w:p w14:paraId="50255806" w14:textId="77777777" w:rsidR="00073F8F" w:rsidRPr="000654D2" w:rsidRDefault="00000000" w:rsidP="00BA0A72">
      <w:pPr>
        <w:pStyle w:val="EndnoteText"/>
        <w:rPr>
          <w:del w:id="12987" w:author="AbbVie1" w:date="2025-05-13T10:11:00Z"/>
        </w:rPr>
      </w:pPr>
      <w:del w:id="12988" w:author="AbbVie1" w:date="2025-05-13T10:11:00Z">
        <w:r w:rsidRPr="001B4A02">
          <w:rPr>
            <w:lang w:val="cs-CZ"/>
          </w:rPr>
          <w:delText>2.</w:delText>
        </w:r>
        <w:r w:rsidRPr="001B4A02">
          <w:rPr>
            <w:lang w:val="cs-CZ"/>
          </w:rPr>
          <w:tab/>
          <w:delText xml:space="preserve">Pokaždé změňte místo vpichu, zamezíte tím vzniku zánětu v určitém okrsku kůže. Každá nová </w:delText>
        </w:r>
        <w:r w:rsidRPr="001B4A02">
          <w:delText>injekce se má aplikovat ve vzdálenosti nejméně 3 cm od místa posledního vpichu.</w:delText>
        </w:r>
      </w:del>
    </w:p>
    <w:p w14:paraId="43AEC6B4" w14:textId="77777777" w:rsidR="00073F8F" w:rsidRPr="001B4A02" w:rsidRDefault="00000000" w:rsidP="00ED48A3">
      <w:pPr>
        <w:rPr>
          <w:del w:id="12989" w:author="AbbVie1" w:date="2025-05-13T10:11:00Z"/>
          <w:b/>
        </w:rPr>
      </w:pPr>
      <w:del w:id="12990" w:author="AbbVie1" w:date="2025-05-13T10:11:00Z">
        <w:r w:rsidRPr="001B4A02">
          <w:delText>3.</w:delText>
        </w:r>
        <w:r w:rsidRPr="001B4A02">
          <w:tab/>
          <w:delText>Neaplikujte si injekci do oblasti, kde je kůže zarudlá, kde jsou modřiny nebo je kůže tvrdá. To mohou být známky infekce.</w:delText>
        </w:r>
      </w:del>
    </w:p>
    <w:p w14:paraId="2309D024" w14:textId="77777777" w:rsidR="00073F8F" w:rsidRPr="001B4A02" w:rsidRDefault="00073F8F" w:rsidP="00ED48A3">
      <w:pPr>
        <w:rPr>
          <w:del w:id="12991" w:author="AbbVie1" w:date="2025-05-13T10:11:00Z"/>
        </w:rPr>
      </w:pPr>
    </w:p>
    <w:p w14:paraId="4A82CC5F" w14:textId="77777777" w:rsidR="00073F8F" w:rsidRPr="001B4A02" w:rsidRDefault="00000000" w:rsidP="00F82C79">
      <w:pPr>
        <w:keepNext/>
        <w:ind w:left="0" w:firstLine="0"/>
        <w:rPr>
          <w:del w:id="12992" w:author="AbbVie1" w:date="2025-05-13T10:11:00Z"/>
          <w:b/>
        </w:rPr>
      </w:pPr>
      <w:del w:id="12993" w:author="AbbVie1" w:date="2025-05-13T10:11:00Z">
        <w:r w:rsidRPr="001B4A02">
          <w:rPr>
            <w:b/>
          </w:rPr>
          <w:delText>Jak si injekci podám?</w:delText>
        </w:r>
      </w:del>
    </w:p>
    <w:p w14:paraId="16E72371" w14:textId="77777777" w:rsidR="00073F8F" w:rsidRPr="001B4A02" w:rsidRDefault="00073F8F" w:rsidP="00ED48A3">
      <w:pPr>
        <w:ind w:left="0" w:firstLine="0"/>
        <w:rPr>
          <w:del w:id="12994" w:author="AbbVie1" w:date="2025-05-13T10:11:00Z"/>
        </w:rPr>
      </w:pPr>
    </w:p>
    <w:p w14:paraId="3C47721B" w14:textId="77777777" w:rsidR="00073F8F" w:rsidRPr="001B4A02" w:rsidRDefault="00000000" w:rsidP="00BA0A72">
      <w:pPr>
        <w:rPr>
          <w:del w:id="12995" w:author="AbbVie1" w:date="2025-05-13T10:11:00Z"/>
        </w:rPr>
      </w:pPr>
      <w:del w:id="12996" w:author="AbbVie1" w:date="2025-05-13T10:11:00Z">
        <w:r w:rsidRPr="001B4A02">
          <w:delText>1.</w:delText>
        </w:r>
        <w:r w:rsidRPr="001B4A02">
          <w:tab/>
          <w:delText>Potřete krouživými pohyby místo vpichu přiloženým tampónem s alkoholem. Nedotýkejte se</w:delText>
        </w:r>
        <w:r w:rsidR="00C94D6E">
          <w:delText xml:space="preserve"> </w:delText>
        </w:r>
        <w:r w:rsidRPr="001B4A02">
          <w:delText>znovu místa vpichu před aplikací injekce.</w:delText>
        </w:r>
      </w:del>
    </w:p>
    <w:p w14:paraId="1BF1374C" w14:textId="77777777" w:rsidR="00073F8F" w:rsidRPr="001B4A02" w:rsidRDefault="00000000" w:rsidP="00ED48A3">
      <w:pPr>
        <w:rPr>
          <w:del w:id="12997" w:author="AbbVie1" w:date="2025-05-13T10:11:00Z"/>
        </w:rPr>
      </w:pPr>
      <w:del w:id="12998" w:author="AbbVie1" w:date="2025-05-13T10:11:00Z">
        <w:r w:rsidRPr="001B4A02">
          <w:delText>2.</w:delText>
        </w:r>
        <w:r w:rsidRPr="001B4A02">
          <w:tab/>
          <w:delText xml:space="preserve">Oba kryty, šedý i vínový, odstraňte </w:delText>
        </w:r>
        <w:r w:rsidRPr="001B4A02">
          <w:rPr>
            <w:b/>
          </w:rPr>
          <w:delText>bezprostředně</w:delText>
        </w:r>
        <w:r w:rsidRPr="001B4A02">
          <w:delText xml:space="preserve"> před injekcí. Pře</w:delText>
        </w:r>
        <w:r w:rsidR="00774007" w:rsidRPr="001B4A02">
          <w:delText>d</w:delText>
        </w:r>
        <w:r w:rsidRPr="001B4A02">
          <w:delText>plněné pero držte jednou rukou za šedé tělo. Pero uchopte uprostřed tak, abyste rukou nezakrývali ani šedý kryt (1), ani kryt vínové barvy (2). Držte pero tak, aby šedý kryt (1) směřoval vzhůru. Druhou rukou tahem v přímém směru sejměte šedý kryt (1)</w:delText>
        </w:r>
        <w:r w:rsidR="00167D69" w:rsidRPr="001B4A02">
          <w:delText>, zkontrolujte, že byl malý černý kryt jehly odstraněn s horním krytem</w:delText>
        </w:r>
        <w:r w:rsidR="002378E0">
          <w:delText xml:space="preserve"> a </w:delText>
        </w:r>
        <w:r w:rsidR="00167D69" w:rsidRPr="001B4A02">
          <w:delText>poté jej</w:delText>
        </w:r>
        <w:r w:rsidRPr="001B4A02">
          <w:delText xml:space="preserve"> odložte. Pokud z</w:delText>
        </w:r>
        <w:r w:rsidR="004823B6" w:rsidRPr="001B4A02">
          <w:delText> </w:delText>
        </w:r>
        <w:r w:rsidRPr="001B4A02">
          <w:delText>jehly unikne pár drobných kapek tekutiny, je to v</w:delText>
        </w:r>
        <w:r w:rsidR="004823B6" w:rsidRPr="001B4A02">
          <w:delText> </w:delText>
        </w:r>
        <w:r w:rsidRPr="001B4A02">
          <w:delText xml:space="preserve">pořádku. Nyní můžete vidět bílé pouzdro jehly. Nesnažte se dotýkat jehly ukryté v hlavni. Pero </w:delText>
        </w:r>
        <w:r w:rsidRPr="001B4A02">
          <w:rPr>
            <w:b/>
            <w:bCs/>
          </w:rPr>
          <w:delText>OPĚTOVNĚ NEUZAVÍREJTE</w:delText>
        </w:r>
        <w:r w:rsidRPr="001B4A02">
          <w:delText>, protože byste mohli poškodit jehlu uvnitř.</w:delText>
        </w:r>
      </w:del>
    </w:p>
    <w:p w14:paraId="0FE32F03" w14:textId="77777777" w:rsidR="00073F8F" w:rsidRPr="001B4A02" w:rsidRDefault="00073F8F" w:rsidP="00ED48A3">
      <w:pPr>
        <w:rPr>
          <w:del w:id="12999" w:author="AbbVie1" w:date="2025-05-13T10:11:00Z"/>
        </w:rPr>
      </w:pPr>
    </w:p>
    <w:p w14:paraId="198F35BF" w14:textId="77777777" w:rsidR="006726DF" w:rsidRPr="001B4A02" w:rsidRDefault="00000000" w:rsidP="00ED48A3">
      <w:pPr>
        <w:jc w:val="center"/>
        <w:rPr>
          <w:del w:id="13000" w:author="AbbVie1" w:date="2025-05-13T10:11:00Z"/>
        </w:rPr>
      </w:pPr>
      <w:del w:id="13001" w:author="AbbVie1" w:date="2025-05-13T10:11:00Z">
        <w:r w:rsidRPr="001B4A02">
          <w:rPr>
            <w:noProof/>
            <w:lang w:val="en-US"/>
          </w:rPr>
          <w:drawing>
            <wp:inline distT="0" distB="0" distL="0" distR="0" wp14:anchorId="409B46C9" wp14:editId="1FF75A93">
              <wp:extent cx="2001520" cy="2044700"/>
              <wp:effectExtent l="0" t="0" r="0" b="0"/>
              <wp:docPr id="539" name="obrázek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Picture 539"/>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2001520" cy="2044700"/>
                      </a:xfrm>
                      <a:prstGeom prst="rect">
                        <a:avLst/>
                      </a:prstGeom>
                      <a:noFill/>
                      <a:ln>
                        <a:noFill/>
                      </a:ln>
                    </pic:spPr>
                  </pic:pic>
                </a:graphicData>
              </a:graphic>
            </wp:inline>
          </w:drawing>
        </w:r>
      </w:del>
    </w:p>
    <w:p w14:paraId="260DA7F2" w14:textId="77777777" w:rsidR="006726DF" w:rsidRPr="001B4A02" w:rsidRDefault="006726DF" w:rsidP="00ED48A3">
      <w:pPr>
        <w:rPr>
          <w:del w:id="13002" w:author="AbbVie1" w:date="2025-05-13T10:11:00Z"/>
        </w:rPr>
      </w:pPr>
    </w:p>
    <w:p w14:paraId="74F0B44B" w14:textId="77777777" w:rsidR="00073F8F" w:rsidRPr="001B4A02" w:rsidRDefault="00000000" w:rsidP="00ED48A3">
      <w:pPr>
        <w:rPr>
          <w:del w:id="13003" w:author="AbbVie1" w:date="2025-05-13T10:11:00Z"/>
          <w:b/>
          <w:bCs/>
        </w:rPr>
      </w:pPr>
      <w:del w:id="13004" w:author="AbbVie1" w:date="2025-05-13T10:11:00Z">
        <w:r w:rsidRPr="001B4A02">
          <w:delText>3.</w:delText>
        </w:r>
        <w:r w:rsidRPr="001B4A02">
          <w:tab/>
          <w:delText xml:space="preserve">Tahem v přímém směru odstraňte bezpečnostní kryt vínové barvy (označený „2“) tak, abyste odkryli vínové aktivační tlačítko. Předplněné pero je nyní připraveno k použití. Nemačkejte vínové aktivační tlačítko, dokud pero neumístíte do správné polohy, protože tím dojde k vyprázdnění léku. </w:delText>
        </w:r>
        <w:r w:rsidRPr="001B4A02">
          <w:rPr>
            <w:b/>
            <w:bCs/>
          </w:rPr>
          <w:delText>Pero OPĚTOVNĚ NEUZAVÍREJTE, protože by při tom část léčiva mohla vytéct.</w:delText>
        </w:r>
      </w:del>
    </w:p>
    <w:p w14:paraId="5141A917" w14:textId="77777777" w:rsidR="009E300D" w:rsidRPr="001B4A02" w:rsidRDefault="009E300D" w:rsidP="00ED48A3">
      <w:pPr>
        <w:rPr>
          <w:del w:id="13005" w:author="AbbVie1" w:date="2025-05-13T10:11:00Z"/>
          <w:bCs/>
        </w:rPr>
      </w:pPr>
    </w:p>
    <w:p w14:paraId="5F00BD55" w14:textId="77777777" w:rsidR="00073F8F" w:rsidRPr="001B4A02" w:rsidRDefault="00000000" w:rsidP="00ED48A3">
      <w:pPr>
        <w:keepNext/>
        <w:rPr>
          <w:del w:id="13006" w:author="AbbVie1" w:date="2025-05-13T10:11:00Z"/>
          <w:b/>
        </w:rPr>
      </w:pPr>
      <w:del w:id="13007" w:author="AbbVie1" w:date="2025-05-13T10:11:00Z">
        <w:r w:rsidRPr="001B4A02">
          <w:rPr>
            <w:b/>
          </w:rPr>
          <w:delText xml:space="preserve">Podání injekce </w:delText>
        </w:r>
      </w:del>
    </w:p>
    <w:p w14:paraId="3A6C47E3" w14:textId="77777777" w:rsidR="00073F8F" w:rsidRPr="001B4A02" w:rsidRDefault="00073F8F" w:rsidP="00ED48A3">
      <w:pPr>
        <w:keepNext/>
        <w:rPr>
          <w:del w:id="13008" w:author="AbbVie1" w:date="2025-05-13T10:11:00Z"/>
        </w:rPr>
      </w:pPr>
    </w:p>
    <w:p w14:paraId="670E996B" w14:textId="77777777" w:rsidR="00073F8F" w:rsidRPr="001B4A02" w:rsidRDefault="00000000" w:rsidP="00ED48A3">
      <w:pPr>
        <w:keepNext/>
        <w:numPr>
          <w:ilvl w:val="0"/>
          <w:numId w:val="46"/>
        </w:numPr>
        <w:tabs>
          <w:tab w:val="clear" w:pos="360"/>
          <w:tab w:val="num" w:pos="567"/>
        </w:tabs>
        <w:ind w:left="567" w:hanging="567"/>
        <w:rPr>
          <w:del w:id="13009" w:author="AbbVie1" w:date="2025-05-13T10:11:00Z"/>
        </w:rPr>
      </w:pPr>
      <w:del w:id="13010" w:author="AbbVie1" w:date="2025-05-13T10:11:00Z">
        <w:r w:rsidRPr="001B4A02">
          <w:delText>Jednou volnou rukou jemně uchopte</w:delText>
        </w:r>
        <w:r w:rsidR="002378E0">
          <w:delText xml:space="preserve"> a </w:delText>
        </w:r>
        <w:r w:rsidRPr="001B4A02">
          <w:delText>pevně podržte přiměřeně velkou plochu očištěné kůže v místě, kam si chcete podat injekci</w:delText>
        </w:r>
        <w:r w:rsidR="002378E0">
          <w:delText xml:space="preserve"> a </w:delText>
        </w:r>
        <w:r w:rsidRPr="001B4A02">
          <w:delText>pevně držte (viz níže).</w:delText>
        </w:r>
      </w:del>
    </w:p>
    <w:p w14:paraId="3620826D" w14:textId="77777777" w:rsidR="00073F8F" w:rsidRPr="001B4A02" w:rsidRDefault="00000000" w:rsidP="00ED48A3">
      <w:pPr>
        <w:pStyle w:val="EndnoteText"/>
        <w:numPr>
          <w:ilvl w:val="0"/>
          <w:numId w:val="46"/>
        </w:numPr>
        <w:tabs>
          <w:tab w:val="clear" w:pos="360"/>
          <w:tab w:val="num" w:pos="567"/>
        </w:tabs>
        <w:ind w:left="567" w:hanging="567"/>
        <w:rPr>
          <w:del w:id="13011" w:author="AbbVie1" w:date="2025-05-13T10:11:00Z"/>
          <w:lang w:val="cs-CZ"/>
        </w:rPr>
      </w:pPr>
      <w:del w:id="13012" w:author="AbbVie1" w:date="2025-05-13T10:11:00Z">
        <w:r w:rsidRPr="001B4A02">
          <w:rPr>
            <w:lang w:val="cs-CZ"/>
          </w:rPr>
          <w:delText>Přiložte bílý konec předplněného pera ke kůži pod pravým úhlem (90°) tak, abyste viděli na okénko pera. Přítomnost jedné nebo více bublinek v okénku je normá</w:delText>
        </w:r>
        <w:r w:rsidR="00110425" w:rsidRPr="001B4A02">
          <w:rPr>
            <w:lang w:val="cs-CZ"/>
          </w:rPr>
          <w:delText>l</w:delText>
        </w:r>
        <w:r w:rsidRPr="001B4A02">
          <w:rPr>
            <w:lang w:val="cs-CZ"/>
          </w:rPr>
          <w:delText>ní.</w:delText>
        </w:r>
      </w:del>
    </w:p>
    <w:p w14:paraId="1838604C" w14:textId="77777777" w:rsidR="00073F8F" w:rsidRPr="001B4A02" w:rsidRDefault="00000000" w:rsidP="00ED48A3">
      <w:pPr>
        <w:numPr>
          <w:ilvl w:val="0"/>
          <w:numId w:val="46"/>
        </w:numPr>
        <w:tabs>
          <w:tab w:val="clear" w:pos="360"/>
          <w:tab w:val="num" w:pos="567"/>
        </w:tabs>
        <w:ind w:left="567" w:hanging="567"/>
        <w:rPr>
          <w:del w:id="13013" w:author="AbbVie1" w:date="2025-05-13T10:11:00Z"/>
        </w:rPr>
      </w:pPr>
      <w:del w:id="13014" w:author="AbbVie1" w:date="2025-05-13T10:11:00Z">
        <w:r w:rsidRPr="001B4A02">
          <w:delText>Držte tělo předplněného pera</w:delText>
        </w:r>
        <w:r w:rsidR="002378E0">
          <w:delText xml:space="preserve"> a </w:delText>
        </w:r>
        <w:r w:rsidRPr="001B4A02">
          <w:delText>současně lehce přitiskněte dolů opačný konec pera opatřený jehlou (pero držte na jednom místě, aniž byste jím hýbali).</w:delText>
        </w:r>
      </w:del>
    </w:p>
    <w:p w14:paraId="45D30F23" w14:textId="77777777" w:rsidR="00073F8F" w:rsidRPr="001B4A02" w:rsidRDefault="00000000" w:rsidP="00ED48A3">
      <w:pPr>
        <w:numPr>
          <w:ilvl w:val="0"/>
          <w:numId w:val="46"/>
        </w:numPr>
        <w:tabs>
          <w:tab w:val="clear" w:pos="360"/>
          <w:tab w:val="num" w:pos="567"/>
        </w:tabs>
        <w:ind w:left="567" w:hanging="567"/>
        <w:rPr>
          <w:del w:id="13015" w:author="AbbVie1" w:date="2025-05-13T10:11:00Z"/>
        </w:rPr>
      </w:pPr>
      <w:del w:id="13016" w:author="AbbVie1" w:date="2025-05-13T10:11:00Z">
        <w:r w:rsidRPr="001B4A02">
          <w:delText>Ukazováčkem, případně palcem stiskněte vínové aktivační tlačítko na horním konci pera v momentě, kdy jste připraveni si injekci vpíchnout (viz níže). Poté uslyšíte hlasité cvaknutí, přičemž se uvolní jehla</w:delText>
        </w:r>
        <w:r w:rsidR="002378E0">
          <w:delText xml:space="preserve"> a </w:delText>
        </w:r>
        <w:r w:rsidRPr="001B4A02">
          <w:delText>také ucítíte mírné bodnutí, jak jehla prochází kůží.</w:delText>
        </w:r>
      </w:del>
    </w:p>
    <w:p w14:paraId="4CF88F26" w14:textId="77777777" w:rsidR="00073F8F" w:rsidRPr="001B4A02" w:rsidRDefault="00000000" w:rsidP="00ED48A3">
      <w:pPr>
        <w:numPr>
          <w:ilvl w:val="0"/>
          <w:numId w:val="46"/>
        </w:numPr>
        <w:tabs>
          <w:tab w:val="clear" w:pos="360"/>
          <w:tab w:val="num" w:pos="567"/>
        </w:tabs>
        <w:ind w:left="567" w:hanging="567"/>
        <w:rPr>
          <w:del w:id="13017" w:author="AbbVie1" w:date="2025-05-13T10:11:00Z"/>
        </w:rPr>
      </w:pPr>
      <w:del w:id="13018" w:author="AbbVie1" w:date="2025-05-13T10:11:00Z">
        <w:r w:rsidRPr="001B4A02">
          <w:delText>Ponechte předplněné pero přitisknuté ke kůži</w:delText>
        </w:r>
        <w:r w:rsidR="002378E0">
          <w:delText xml:space="preserve"> a </w:delText>
        </w:r>
        <w:r w:rsidRPr="001B4A02">
          <w:delText xml:space="preserve">stálým tlakem jej přidržujte na místě ještě přibližně </w:delText>
        </w:r>
        <w:r w:rsidRPr="001B4A02">
          <w:rPr>
            <w:b/>
            <w:bCs/>
          </w:rPr>
          <w:delText>po dobu 10 sekund,</w:delText>
        </w:r>
        <w:r w:rsidRPr="001B4A02">
          <w:delText xml:space="preserve"> </w:delText>
        </w:r>
        <w:r w:rsidRPr="001B4A02">
          <w:rPr>
            <w:b/>
            <w:bCs/>
          </w:rPr>
          <w:delText>aby bylo zaručeno podání celého obsahu injekce</w:delText>
        </w:r>
        <w:r w:rsidRPr="001B4A02">
          <w:delText>. V průběhu aplikace injekce předplněné pero neodkládejte.</w:delText>
        </w:r>
      </w:del>
    </w:p>
    <w:p w14:paraId="7698920C" w14:textId="77777777" w:rsidR="006726DF" w:rsidRPr="001B4A02" w:rsidRDefault="006726DF" w:rsidP="00ED48A3">
      <w:pPr>
        <w:rPr>
          <w:del w:id="13019" w:author="AbbVie1" w:date="2025-05-13T10:11:00Z"/>
        </w:rPr>
      </w:pPr>
    </w:p>
    <w:tbl>
      <w:tblPr>
        <w:tblW w:w="0" w:type="auto"/>
        <w:jc w:val="center"/>
        <w:tblLook w:val="01E0" w:firstRow="1" w:lastRow="1" w:firstColumn="1" w:lastColumn="1" w:noHBand="0" w:noVBand="0"/>
      </w:tblPr>
      <w:tblGrid>
        <w:gridCol w:w="4539"/>
        <w:gridCol w:w="4532"/>
      </w:tblGrid>
      <w:tr w:rsidR="00534A2D" w14:paraId="3E4FA136" w14:textId="77777777" w:rsidTr="008A6404">
        <w:trPr>
          <w:jc w:val="center"/>
          <w:del w:id="13020" w:author="AbbVie1" w:date="2025-05-13T10:11:00Z"/>
        </w:trPr>
        <w:tc>
          <w:tcPr>
            <w:tcW w:w="4643" w:type="dxa"/>
            <w:shd w:val="clear" w:color="auto" w:fill="auto"/>
          </w:tcPr>
          <w:p w14:paraId="5627D01E" w14:textId="77777777" w:rsidR="006726DF" w:rsidRPr="001B4A02" w:rsidRDefault="00000000" w:rsidP="00ED48A3">
            <w:pPr>
              <w:jc w:val="center"/>
              <w:rPr>
                <w:del w:id="13021" w:author="AbbVie1" w:date="2025-05-13T10:11:00Z"/>
              </w:rPr>
            </w:pPr>
            <w:del w:id="13022" w:author="AbbVie1" w:date="2025-05-13T10:11:00Z">
              <w:r w:rsidRPr="001B4A02">
                <w:rPr>
                  <w:noProof/>
                  <w:lang w:val="en-US"/>
                </w:rPr>
                <w:drawing>
                  <wp:inline distT="0" distB="0" distL="0" distR="0" wp14:anchorId="6F5A6CCD" wp14:editId="7B0CE589">
                    <wp:extent cx="1742440" cy="1673225"/>
                    <wp:effectExtent l="0" t="0" r="0" b="3175"/>
                    <wp:docPr id="540" name="obrázek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Picture 540"/>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1742440" cy="1673225"/>
                            </a:xfrm>
                            <a:prstGeom prst="rect">
                              <a:avLst/>
                            </a:prstGeom>
                            <a:noFill/>
                            <a:ln>
                              <a:noFill/>
                            </a:ln>
                          </pic:spPr>
                        </pic:pic>
                      </a:graphicData>
                    </a:graphic>
                  </wp:inline>
                </w:drawing>
              </w:r>
            </w:del>
          </w:p>
        </w:tc>
        <w:tc>
          <w:tcPr>
            <w:tcW w:w="4644" w:type="dxa"/>
            <w:shd w:val="clear" w:color="auto" w:fill="auto"/>
          </w:tcPr>
          <w:p w14:paraId="5067EF2E" w14:textId="77777777" w:rsidR="006726DF" w:rsidRPr="001B4A02" w:rsidRDefault="00000000" w:rsidP="00ED48A3">
            <w:pPr>
              <w:jc w:val="center"/>
              <w:rPr>
                <w:del w:id="13023" w:author="AbbVie1" w:date="2025-05-13T10:11:00Z"/>
              </w:rPr>
            </w:pPr>
            <w:del w:id="13024" w:author="AbbVie1" w:date="2025-05-13T10:11:00Z">
              <w:r w:rsidRPr="001B4A02">
                <w:rPr>
                  <w:noProof/>
                  <w:lang w:val="en-US"/>
                </w:rPr>
                <w:drawing>
                  <wp:inline distT="0" distB="0" distL="0" distR="0" wp14:anchorId="38CEBCB8" wp14:editId="6E2AB3BC">
                    <wp:extent cx="1664970" cy="1664970"/>
                    <wp:effectExtent l="0" t="0" r="0" b="0"/>
                    <wp:docPr id="541" name="obrázek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Picture 541"/>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1664970" cy="1664970"/>
                            </a:xfrm>
                            <a:prstGeom prst="rect">
                              <a:avLst/>
                            </a:prstGeom>
                            <a:noFill/>
                            <a:ln>
                              <a:noFill/>
                            </a:ln>
                          </pic:spPr>
                        </pic:pic>
                      </a:graphicData>
                    </a:graphic>
                  </wp:inline>
                </w:drawing>
              </w:r>
            </w:del>
          </w:p>
        </w:tc>
      </w:tr>
    </w:tbl>
    <w:p w14:paraId="0FE864DE" w14:textId="77777777" w:rsidR="006726DF" w:rsidRPr="001B4A02" w:rsidRDefault="006726DF" w:rsidP="00ED48A3">
      <w:pPr>
        <w:rPr>
          <w:del w:id="13025" w:author="AbbVie1" w:date="2025-05-13T10:11:00Z"/>
        </w:rPr>
      </w:pPr>
    </w:p>
    <w:p w14:paraId="617260BA" w14:textId="77777777" w:rsidR="00A30301" w:rsidRPr="001B4A02" w:rsidRDefault="00000000" w:rsidP="00ED48A3">
      <w:pPr>
        <w:ind w:left="550" w:hanging="550"/>
        <w:rPr>
          <w:del w:id="13026" w:author="AbbVie1" w:date="2025-05-13T10:11:00Z"/>
        </w:rPr>
      </w:pPr>
      <w:del w:id="13027" w:author="AbbVie1" w:date="2025-05-13T10:11:00Z">
        <w:r w:rsidRPr="001B4A02">
          <w:delText xml:space="preserve">6. </w:delText>
        </w:r>
        <w:r w:rsidRPr="001B4A02">
          <w:tab/>
          <w:delText>V průběhu aplikace injekce uvidíte, jak se v </w:delText>
        </w:r>
        <w:r w:rsidR="00AE2AED" w:rsidRPr="001B4A02">
          <w:delText xml:space="preserve">okénku </w:delText>
        </w:r>
        <w:r w:rsidRPr="001B4A02">
          <w:delText>pera posunuje žlutý indikátor. Injekce je ukončena, jakmile se žlutý indikátor přestane posouvat. Žlutý indikátor je součástí pístu předplněného pera. Pokud se žlutý indikátor v okénku neukáže, píst se neposunul dostatečně</w:delText>
        </w:r>
        <w:r w:rsidR="002378E0">
          <w:delText xml:space="preserve"> a </w:delText>
        </w:r>
        <w:r w:rsidRPr="001B4A02">
          <w:delText>došlo k neúplnému podání léčiva.</w:delText>
        </w:r>
      </w:del>
    </w:p>
    <w:p w14:paraId="7BF5B5BB" w14:textId="77777777" w:rsidR="00073F8F" w:rsidRPr="001B4A02" w:rsidRDefault="00073F8F" w:rsidP="00ED48A3">
      <w:pPr>
        <w:ind w:left="550" w:hanging="550"/>
        <w:rPr>
          <w:del w:id="13028" w:author="AbbVie1" w:date="2025-05-13T10:11:00Z"/>
        </w:rPr>
      </w:pPr>
    </w:p>
    <w:p w14:paraId="1C49B1EF" w14:textId="77777777" w:rsidR="00073F8F" w:rsidRPr="001B4A02" w:rsidRDefault="00000000" w:rsidP="00ED48A3">
      <w:pPr>
        <w:pStyle w:val="EMEANormal"/>
        <w:tabs>
          <w:tab w:val="left" w:pos="720"/>
        </w:tabs>
        <w:ind w:left="550" w:hanging="550"/>
        <w:rPr>
          <w:del w:id="13029" w:author="AbbVie1" w:date="2025-05-13T10:11:00Z"/>
          <w:lang w:val="cs-CZ"/>
        </w:rPr>
      </w:pPr>
      <w:del w:id="13030" w:author="AbbVie1" w:date="2025-05-13T10:11:00Z">
        <w:r w:rsidRPr="001B4A02">
          <w:rPr>
            <w:lang w:val="cs-CZ"/>
          </w:rPr>
          <w:delText xml:space="preserve">7. </w:delText>
        </w:r>
        <w:r w:rsidRPr="001B4A02">
          <w:rPr>
            <w:lang w:val="cs-CZ"/>
          </w:rPr>
          <w:tab/>
          <w:delText>Předplněné pero nadzvedněte kolmo vzhůru směrem od místa vpichu injekce. Bílé pouzdro jehly se tím posune dolů přes jehlu</w:delText>
        </w:r>
        <w:r w:rsidR="002378E0">
          <w:rPr>
            <w:lang w:val="cs-CZ"/>
          </w:rPr>
          <w:delText xml:space="preserve"> a </w:delText>
        </w:r>
        <w:r w:rsidRPr="001B4A02">
          <w:rPr>
            <w:lang w:val="cs-CZ"/>
          </w:rPr>
          <w:delText xml:space="preserve">nad špičkou jehly se uzavře. Nesnažte se dotknout jehly. Bílé pouzdro jehly je na peru umístěno pro Vaši ochranu, </w:delText>
        </w:r>
        <w:r w:rsidR="00063784" w:rsidRPr="001B4A02">
          <w:rPr>
            <w:lang w:val="cs-CZ"/>
          </w:rPr>
          <w:delText>abyste o jehlu nemohli zavadit.</w:delText>
        </w:r>
      </w:del>
    </w:p>
    <w:p w14:paraId="523BDFFC" w14:textId="77777777" w:rsidR="006726DF" w:rsidRPr="001B4A02" w:rsidRDefault="00000000" w:rsidP="00ED48A3">
      <w:pPr>
        <w:rPr>
          <w:del w:id="13031" w:author="AbbVie1" w:date="2025-05-13T10:11:00Z"/>
        </w:rPr>
      </w:pPr>
      <w:del w:id="13032" w:author="AbbVie1" w:date="2025-05-13T10:11:00Z">
        <w:r w:rsidRPr="001B4A02">
          <w:tab/>
        </w:r>
      </w:del>
    </w:p>
    <w:tbl>
      <w:tblPr>
        <w:tblW w:w="0" w:type="auto"/>
        <w:jc w:val="center"/>
        <w:tblLook w:val="01E0" w:firstRow="1" w:lastRow="1" w:firstColumn="1" w:lastColumn="1" w:noHBand="0" w:noVBand="0"/>
      </w:tblPr>
      <w:tblGrid>
        <w:gridCol w:w="2838"/>
        <w:gridCol w:w="1692"/>
        <w:gridCol w:w="2796"/>
        <w:gridCol w:w="1745"/>
      </w:tblGrid>
      <w:tr w:rsidR="00534A2D" w14:paraId="18E15D48" w14:textId="77777777" w:rsidTr="008A6404">
        <w:trPr>
          <w:jc w:val="center"/>
          <w:del w:id="13033" w:author="AbbVie1" w:date="2025-05-13T10:11:00Z"/>
        </w:trPr>
        <w:tc>
          <w:tcPr>
            <w:tcW w:w="2321" w:type="dxa"/>
            <w:shd w:val="clear" w:color="auto" w:fill="auto"/>
          </w:tcPr>
          <w:p w14:paraId="5E0CAF4C" w14:textId="77777777" w:rsidR="006726DF" w:rsidRPr="001B4A02" w:rsidRDefault="00000000" w:rsidP="00ED48A3">
            <w:pPr>
              <w:pStyle w:val="EMEANormal"/>
              <w:ind w:left="567" w:hanging="567"/>
              <w:rPr>
                <w:del w:id="13034" w:author="AbbVie1" w:date="2025-05-13T10:11:00Z"/>
                <w:lang w:val="cs-CZ"/>
              </w:rPr>
            </w:pPr>
            <w:del w:id="13035" w:author="AbbVie1" w:date="2025-05-13T10:11:00Z">
              <w:r w:rsidRPr="001B4A02">
                <w:rPr>
                  <w:noProof/>
                </w:rPr>
                <w:drawing>
                  <wp:inline distT="0" distB="0" distL="0" distR="0" wp14:anchorId="773E2BC7" wp14:editId="2722747F">
                    <wp:extent cx="1664970" cy="1664970"/>
                    <wp:effectExtent l="0" t="0" r="0" b="0"/>
                    <wp:docPr id="542" name="obrázek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Picture 542"/>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1664970" cy="1664970"/>
                            </a:xfrm>
                            <a:prstGeom prst="rect">
                              <a:avLst/>
                            </a:prstGeom>
                            <a:noFill/>
                            <a:ln>
                              <a:noFill/>
                            </a:ln>
                          </pic:spPr>
                        </pic:pic>
                      </a:graphicData>
                    </a:graphic>
                  </wp:inline>
                </w:drawing>
              </w:r>
            </w:del>
          </w:p>
        </w:tc>
        <w:tc>
          <w:tcPr>
            <w:tcW w:w="2322" w:type="dxa"/>
            <w:shd w:val="clear" w:color="auto" w:fill="auto"/>
          </w:tcPr>
          <w:p w14:paraId="27ADCDE7" w14:textId="77777777" w:rsidR="006726DF" w:rsidRPr="001B4A02" w:rsidRDefault="006726DF" w:rsidP="00ED48A3">
            <w:pPr>
              <w:pStyle w:val="EMEANormal"/>
              <w:ind w:left="567" w:hanging="567"/>
              <w:rPr>
                <w:del w:id="13036" w:author="AbbVie1" w:date="2025-05-13T10:11:00Z"/>
                <w:lang w:val="cs-CZ"/>
              </w:rPr>
            </w:pPr>
          </w:p>
          <w:p w14:paraId="51C0E1D8" w14:textId="77777777" w:rsidR="006726DF" w:rsidRPr="001B4A02" w:rsidRDefault="00000000" w:rsidP="00ED48A3">
            <w:pPr>
              <w:tabs>
                <w:tab w:val="left" w:pos="3190"/>
              </w:tabs>
              <w:ind w:left="-5" w:firstLine="5"/>
              <w:rPr>
                <w:del w:id="13037" w:author="AbbVie1" w:date="2025-05-13T10:11:00Z"/>
              </w:rPr>
            </w:pPr>
            <w:del w:id="13038" w:author="AbbVie1" w:date="2025-05-13T10:11:00Z">
              <w:r w:rsidRPr="001B4A02">
                <w:delText>Bílé pouzdro jehly</w:delText>
              </w:r>
            </w:del>
          </w:p>
        </w:tc>
        <w:tc>
          <w:tcPr>
            <w:tcW w:w="2322" w:type="dxa"/>
            <w:shd w:val="clear" w:color="auto" w:fill="auto"/>
          </w:tcPr>
          <w:p w14:paraId="6FA50DE2" w14:textId="77777777" w:rsidR="006726DF" w:rsidRPr="001B4A02" w:rsidRDefault="00000000" w:rsidP="00ED48A3">
            <w:pPr>
              <w:pStyle w:val="EMEANormal"/>
              <w:ind w:left="567" w:hanging="567"/>
              <w:rPr>
                <w:del w:id="13039" w:author="AbbVie1" w:date="2025-05-13T10:11:00Z"/>
                <w:lang w:val="cs-CZ"/>
              </w:rPr>
            </w:pPr>
            <w:del w:id="13040" w:author="AbbVie1" w:date="2025-05-13T10:11:00Z">
              <w:r w:rsidRPr="001B4A02">
                <w:rPr>
                  <w:noProof/>
                </w:rPr>
                <w:drawing>
                  <wp:inline distT="0" distB="0" distL="0" distR="0" wp14:anchorId="6FDBE1B5" wp14:editId="616ED816">
                    <wp:extent cx="1630680" cy="1664970"/>
                    <wp:effectExtent l="0" t="0" r="7620" b="0"/>
                    <wp:docPr id="543" name="obrázek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Picture 543"/>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1630680" cy="1664970"/>
                            </a:xfrm>
                            <a:prstGeom prst="rect">
                              <a:avLst/>
                            </a:prstGeom>
                            <a:noFill/>
                            <a:ln>
                              <a:noFill/>
                            </a:ln>
                          </pic:spPr>
                        </pic:pic>
                      </a:graphicData>
                    </a:graphic>
                  </wp:inline>
                </w:drawing>
              </w:r>
            </w:del>
          </w:p>
        </w:tc>
        <w:tc>
          <w:tcPr>
            <w:tcW w:w="2322" w:type="dxa"/>
            <w:shd w:val="clear" w:color="auto" w:fill="auto"/>
          </w:tcPr>
          <w:p w14:paraId="2A127EF4" w14:textId="77777777" w:rsidR="006726DF" w:rsidRPr="001B4A02" w:rsidRDefault="006726DF" w:rsidP="00ED48A3">
            <w:pPr>
              <w:pStyle w:val="EMEANormal"/>
              <w:ind w:left="567" w:hanging="567"/>
              <w:rPr>
                <w:del w:id="13041" w:author="AbbVie1" w:date="2025-05-13T10:11:00Z"/>
                <w:lang w:val="cs-CZ"/>
              </w:rPr>
            </w:pPr>
          </w:p>
          <w:p w14:paraId="229D2731" w14:textId="77777777" w:rsidR="006726DF" w:rsidRPr="001B4A02" w:rsidRDefault="006726DF" w:rsidP="00ED48A3">
            <w:pPr>
              <w:pStyle w:val="EMEANormal"/>
              <w:ind w:left="567" w:hanging="567"/>
              <w:rPr>
                <w:del w:id="13042" w:author="AbbVie1" w:date="2025-05-13T10:11:00Z"/>
                <w:lang w:val="cs-CZ"/>
              </w:rPr>
            </w:pPr>
          </w:p>
          <w:p w14:paraId="01F54065" w14:textId="77777777" w:rsidR="006726DF" w:rsidRPr="001B4A02" w:rsidRDefault="006726DF" w:rsidP="00ED48A3">
            <w:pPr>
              <w:pStyle w:val="EMEANormal"/>
              <w:ind w:left="567" w:hanging="567"/>
              <w:rPr>
                <w:del w:id="13043" w:author="AbbVie1" w:date="2025-05-13T10:11:00Z"/>
                <w:lang w:val="cs-CZ"/>
              </w:rPr>
            </w:pPr>
          </w:p>
          <w:p w14:paraId="38B42202" w14:textId="77777777" w:rsidR="006726DF" w:rsidRPr="001B4A02" w:rsidRDefault="00000000" w:rsidP="00ED48A3">
            <w:pPr>
              <w:pStyle w:val="EMEANormal"/>
              <w:ind w:left="567" w:hanging="567"/>
              <w:rPr>
                <w:del w:id="13044" w:author="AbbVie1" w:date="2025-05-13T10:11:00Z"/>
                <w:lang w:val="cs-CZ"/>
              </w:rPr>
            </w:pPr>
            <w:del w:id="13045" w:author="AbbVie1" w:date="2025-05-13T10:11:00Z">
              <w:r w:rsidRPr="001B4A02">
                <w:rPr>
                  <w:lang w:val="cs-CZ"/>
                </w:rPr>
                <w:delText>Okénko</w:delText>
              </w:r>
            </w:del>
          </w:p>
          <w:p w14:paraId="71896CDC" w14:textId="77777777" w:rsidR="006726DF" w:rsidRPr="001B4A02" w:rsidRDefault="006726DF" w:rsidP="00ED48A3">
            <w:pPr>
              <w:pStyle w:val="EMEANormal"/>
              <w:ind w:left="567" w:hanging="567"/>
              <w:rPr>
                <w:del w:id="13046" w:author="AbbVie1" w:date="2025-05-13T10:11:00Z"/>
                <w:lang w:val="cs-CZ"/>
              </w:rPr>
            </w:pPr>
          </w:p>
          <w:p w14:paraId="4022255D" w14:textId="77777777" w:rsidR="006726DF" w:rsidRPr="001B4A02" w:rsidRDefault="00000000" w:rsidP="00ED48A3">
            <w:pPr>
              <w:tabs>
                <w:tab w:val="left" w:pos="7370"/>
              </w:tabs>
              <w:ind w:left="0" w:firstLine="0"/>
              <w:rPr>
                <w:del w:id="13047" w:author="AbbVie1" w:date="2025-05-13T10:11:00Z"/>
              </w:rPr>
            </w:pPr>
            <w:del w:id="13048" w:author="AbbVie1" w:date="2025-05-13T10:11:00Z">
              <w:r w:rsidRPr="001B4A02">
                <w:delText>Viditelný žlutý indikátor</w:delText>
              </w:r>
            </w:del>
          </w:p>
          <w:p w14:paraId="79003AEC" w14:textId="77777777" w:rsidR="006726DF" w:rsidRPr="001B4A02" w:rsidRDefault="006726DF" w:rsidP="00ED48A3">
            <w:pPr>
              <w:pStyle w:val="EMEANormal"/>
              <w:ind w:left="567" w:hanging="567"/>
              <w:rPr>
                <w:del w:id="13049" w:author="AbbVie1" w:date="2025-05-13T10:11:00Z"/>
                <w:lang w:val="cs-CZ"/>
              </w:rPr>
            </w:pPr>
          </w:p>
        </w:tc>
      </w:tr>
    </w:tbl>
    <w:p w14:paraId="18C45C37" w14:textId="77777777" w:rsidR="006726DF" w:rsidRPr="001B4A02" w:rsidRDefault="006726DF" w:rsidP="00ED48A3">
      <w:pPr>
        <w:pStyle w:val="EMEANormal"/>
        <w:tabs>
          <w:tab w:val="left" w:pos="720"/>
        </w:tabs>
        <w:ind w:left="550" w:hanging="550"/>
        <w:rPr>
          <w:del w:id="13050" w:author="AbbVie1" w:date="2025-05-13T10:11:00Z"/>
          <w:lang w:val="cs-CZ"/>
        </w:rPr>
      </w:pPr>
    </w:p>
    <w:p w14:paraId="40126147" w14:textId="77777777" w:rsidR="00073F8F" w:rsidRPr="001B4A02" w:rsidRDefault="00000000" w:rsidP="00ED48A3">
      <w:pPr>
        <w:pStyle w:val="EMEANormal"/>
        <w:tabs>
          <w:tab w:val="left" w:pos="720"/>
        </w:tabs>
        <w:ind w:left="550" w:hanging="550"/>
        <w:rPr>
          <w:del w:id="13051" w:author="AbbVie1" w:date="2025-05-13T10:11:00Z"/>
          <w:lang w:val="cs-CZ"/>
        </w:rPr>
      </w:pPr>
      <w:del w:id="13052" w:author="AbbVie1" w:date="2025-05-13T10:11:00Z">
        <w:r w:rsidRPr="001B4A02">
          <w:rPr>
            <w:lang w:val="cs-CZ"/>
          </w:rPr>
          <w:delText xml:space="preserve">8. </w:delText>
        </w:r>
        <w:r w:rsidRPr="001B4A02">
          <w:rPr>
            <w:lang w:val="cs-CZ"/>
          </w:rPr>
          <w:tab/>
          <w:delText>Může se Vám stát, že se v místě vpichu objeví kapka krve. Na místo vpichu můžete přitisknout vatový tampónek nebo kousek gázy</w:delText>
        </w:r>
        <w:r w:rsidR="002378E0">
          <w:rPr>
            <w:lang w:val="cs-CZ"/>
          </w:rPr>
          <w:delText xml:space="preserve"> a </w:delText>
        </w:r>
        <w:r w:rsidRPr="001B4A02">
          <w:rPr>
            <w:lang w:val="cs-CZ"/>
          </w:rPr>
          <w:delText>podržet zhruba 10 vteřin. Netřete místo vpichu. Pokud chcete, můžete</w:delText>
        </w:r>
        <w:r w:rsidR="00063784" w:rsidRPr="001B4A02">
          <w:rPr>
            <w:lang w:val="cs-CZ"/>
          </w:rPr>
          <w:delText xml:space="preserve"> místo vpichu zalepit náplastí.</w:delText>
        </w:r>
      </w:del>
    </w:p>
    <w:p w14:paraId="1C2ABC95" w14:textId="77777777" w:rsidR="00073F8F" w:rsidRPr="001B4A02" w:rsidRDefault="00073F8F" w:rsidP="00ED48A3">
      <w:pPr>
        <w:pStyle w:val="EndnoteText"/>
        <w:ind w:left="0" w:firstLine="0"/>
        <w:rPr>
          <w:del w:id="13053" w:author="AbbVie1" w:date="2025-05-13T10:11:00Z"/>
          <w:lang w:val="cs-CZ"/>
        </w:rPr>
      </w:pPr>
    </w:p>
    <w:p w14:paraId="2E91672A" w14:textId="77777777" w:rsidR="00073F8F" w:rsidRPr="001B4A02" w:rsidRDefault="00000000" w:rsidP="00ED48A3">
      <w:pPr>
        <w:ind w:left="0" w:firstLine="0"/>
        <w:rPr>
          <w:del w:id="13054" w:author="AbbVie1" w:date="2025-05-13T10:11:00Z"/>
          <w:b/>
        </w:rPr>
      </w:pPr>
      <w:del w:id="13055" w:author="AbbVie1" w:date="2025-05-13T10:11:00Z">
        <w:r w:rsidRPr="001B4A02">
          <w:rPr>
            <w:b/>
          </w:rPr>
          <w:delText>Odstranění pomůcek</w:delText>
        </w:r>
      </w:del>
    </w:p>
    <w:p w14:paraId="1B2F713B" w14:textId="77777777" w:rsidR="00073F8F" w:rsidRPr="00DB7D9B" w:rsidRDefault="00073F8F" w:rsidP="00ED48A3">
      <w:pPr>
        <w:ind w:left="0" w:firstLine="0"/>
        <w:rPr>
          <w:del w:id="13056" w:author="AbbVie1" w:date="2025-05-13T10:11:00Z"/>
        </w:rPr>
      </w:pPr>
    </w:p>
    <w:p w14:paraId="0617960A" w14:textId="77777777" w:rsidR="00073F8F" w:rsidRPr="00DB7D9B" w:rsidRDefault="00000000" w:rsidP="00ED48A3">
      <w:pPr>
        <w:numPr>
          <w:ilvl w:val="0"/>
          <w:numId w:val="12"/>
        </w:numPr>
        <w:rPr>
          <w:del w:id="13057" w:author="AbbVie1" w:date="2025-05-13T10:11:00Z"/>
        </w:rPr>
      </w:pPr>
      <w:del w:id="13058" w:author="AbbVie1" w:date="2025-05-13T10:11:00Z">
        <w:r w:rsidRPr="001B4A02">
          <w:delText>Každé předplněné pero používejte pouze pro jedno injekční podání. Žádný z krytů nevracejte zpět na pře</w:delText>
        </w:r>
        <w:r w:rsidR="00774007" w:rsidRPr="001B4A02">
          <w:delText>d</w:delText>
        </w:r>
        <w:r w:rsidRPr="001B4A02">
          <w:delText>plněné pero.</w:delText>
        </w:r>
      </w:del>
    </w:p>
    <w:p w14:paraId="51E3BA8C" w14:textId="77777777" w:rsidR="00073F8F" w:rsidRPr="001B4A02" w:rsidRDefault="00000000" w:rsidP="00ED48A3">
      <w:pPr>
        <w:numPr>
          <w:ilvl w:val="0"/>
          <w:numId w:val="12"/>
        </w:numPr>
        <w:rPr>
          <w:del w:id="13059" w:author="AbbVie1" w:date="2025-05-13T10:11:00Z"/>
        </w:rPr>
      </w:pPr>
      <w:del w:id="13060" w:author="AbbVie1" w:date="2025-05-13T10:11:00Z">
        <w:r w:rsidRPr="001B4A02">
          <w:delText>Po vpíchnutí přípravku Humira vyhoďte ihned použité předplněné pero do speciální nádoby, jak jste byli poučeni lékařem, zdravotní sestrou nebo lékárníkem.</w:delText>
        </w:r>
      </w:del>
    </w:p>
    <w:p w14:paraId="2878808D" w14:textId="77777777" w:rsidR="00073F8F" w:rsidRPr="00DB7D9B" w:rsidRDefault="00000000" w:rsidP="00ED48A3">
      <w:pPr>
        <w:numPr>
          <w:ilvl w:val="0"/>
          <w:numId w:val="12"/>
        </w:numPr>
        <w:rPr>
          <w:del w:id="13061" w:author="AbbVie1" w:date="2025-05-13T10:11:00Z"/>
        </w:rPr>
      </w:pPr>
      <w:del w:id="13062" w:author="AbbVie1" w:date="2025-05-13T10:11:00Z">
        <w:r w:rsidRPr="001B4A02">
          <w:delText xml:space="preserve">Tuto nádobu uchovávejte mimo </w:delText>
        </w:r>
        <w:r w:rsidR="00852DE0" w:rsidRPr="001B4A02">
          <w:delText>dohled</w:delText>
        </w:r>
        <w:r w:rsidR="002378E0">
          <w:delText xml:space="preserve"> a </w:delText>
        </w:r>
        <w:r w:rsidRPr="001B4A02">
          <w:delText>dosah dětí.</w:delText>
        </w:r>
      </w:del>
    </w:p>
    <w:p w14:paraId="31E86615" w14:textId="77777777" w:rsidR="00073F8F" w:rsidRPr="001B4A02" w:rsidRDefault="00073F8F" w:rsidP="00ED48A3">
      <w:pPr>
        <w:ind w:left="0" w:firstLine="0"/>
        <w:rPr>
          <w:del w:id="13063" w:author="AbbVie1" w:date="2025-05-13T10:11:00Z"/>
        </w:rPr>
      </w:pPr>
    </w:p>
    <w:p w14:paraId="3BA10AB2" w14:textId="77777777" w:rsidR="00073F8F" w:rsidRPr="001B4A02" w:rsidRDefault="00000000" w:rsidP="000C2348">
      <w:pPr>
        <w:keepNext/>
        <w:ind w:left="0" w:firstLine="0"/>
        <w:rPr>
          <w:del w:id="13064" w:author="AbbVie1" w:date="2025-05-13T10:11:00Z"/>
          <w:b/>
        </w:rPr>
      </w:pPr>
      <w:del w:id="13065" w:author="AbbVie1" w:date="2025-05-13T10:11:00Z">
        <w:r w:rsidRPr="001B4A02">
          <w:rPr>
            <w:b/>
          </w:rPr>
          <w:delText xml:space="preserve">Jestliže jste </w:delText>
        </w:r>
        <w:r w:rsidR="00375B03" w:rsidRPr="001B4A02">
          <w:rPr>
            <w:b/>
          </w:rPr>
          <w:delText>po</w:delText>
        </w:r>
        <w:r w:rsidRPr="001B4A02">
          <w:rPr>
            <w:b/>
          </w:rPr>
          <w:delText>užil(a) více přípravku Humira, než jste měl(a)</w:delText>
        </w:r>
      </w:del>
    </w:p>
    <w:p w14:paraId="2C242B0D" w14:textId="77777777" w:rsidR="00073F8F" w:rsidRPr="00DB7D9B" w:rsidRDefault="00073F8F" w:rsidP="000C2348">
      <w:pPr>
        <w:keepNext/>
        <w:ind w:left="0" w:firstLine="0"/>
        <w:rPr>
          <w:del w:id="13066" w:author="AbbVie1" w:date="2025-05-13T10:11:00Z"/>
        </w:rPr>
      </w:pPr>
    </w:p>
    <w:p w14:paraId="02946A24" w14:textId="77777777" w:rsidR="00073F8F" w:rsidRPr="001B4A02" w:rsidRDefault="00000000" w:rsidP="00ED48A3">
      <w:pPr>
        <w:ind w:left="0" w:firstLine="0"/>
        <w:rPr>
          <w:del w:id="13067" w:author="AbbVie1" w:date="2025-05-13T10:11:00Z"/>
        </w:rPr>
      </w:pPr>
      <w:del w:id="13068" w:author="AbbVie1" w:date="2025-05-13T10:11:00Z">
        <w:r w:rsidRPr="001B4A02">
          <w:delText>Pokud jste si náhodně aplikoval(a) přípravek Humira častěji</w:delText>
        </w:r>
        <w:r w:rsidR="004E2192" w:rsidRPr="001B4A02">
          <w:delText>,</w:delText>
        </w:r>
        <w:r w:rsidRPr="001B4A02">
          <w:delText xml:space="preserve"> než </w:delText>
        </w:r>
        <w:r w:rsidR="007F5AA6" w:rsidRPr="001B4A02">
          <w:delText>V</w:delText>
        </w:r>
        <w:r w:rsidRPr="001B4A02">
          <w:delText xml:space="preserve">ám bylo předepsáno, kontaktujte svého lékaře </w:delText>
        </w:r>
        <w:r w:rsidR="00986502" w:rsidRPr="001B4A02">
          <w:delText>nebo lékárníka</w:delText>
        </w:r>
        <w:r w:rsidR="002378E0">
          <w:delText xml:space="preserve"> a </w:delText>
        </w:r>
        <w:r w:rsidRPr="001B4A02">
          <w:delText xml:space="preserve">oznamte mu, že jste </w:delText>
        </w:r>
        <w:r w:rsidR="002710F8" w:rsidRPr="001B4A02">
          <w:delText>po</w:delText>
        </w:r>
        <w:r w:rsidRPr="001B4A02">
          <w:delText>užil(a) větší množství léku. Vždy si s sebou vezměte vnější obal</w:delText>
        </w:r>
        <w:r w:rsidR="001D2B8E" w:rsidRPr="001B4A02">
          <w:delText xml:space="preserve"> léku</w:delText>
        </w:r>
        <w:r w:rsidRPr="001B4A02">
          <w:delText>,</w:delText>
        </w:r>
        <w:r w:rsidR="002378E0">
          <w:delText xml:space="preserve"> a </w:delText>
        </w:r>
        <w:r w:rsidRPr="001B4A02">
          <w:delText>to i když je prázdn</w:delText>
        </w:r>
        <w:r w:rsidR="001D2B8E" w:rsidRPr="001B4A02">
          <w:delText>ý</w:delText>
        </w:r>
        <w:r w:rsidRPr="001B4A02">
          <w:delText>.</w:delText>
        </w:r>
      </w:del>
    </w:p>
    <w:p w14:paraId="12B8A772" w14:textId="77777777" w:rsidR="00073F8F" w:rsidRPr="001B4A02" w:rsidRDefault="00073F8F" w:rsidP="00ED48A3">
      <w:pPr>
        <w:ind w:left="0" w:firstLine="0"/>
        <w:rPr>
          <w:del w:id="13069" w:author="AbbVie1" w:date="2025-05-13T10:11:00Z"/>
        </w:rPr>
      </w:pPr>
    </w:p>
    <w:p w14:paraId="50FC7504" w14:textId="77777777" w:rsidR="00073F8F" w:rsidRPr="001B4A02" w:rsidRDefault="00000000" w:rsidP="00DB7D9B">
      <w:pPr>
        <w:keepNext/>
        <w:ind w:left="0" w:firstLine="0"/>
        <w:rPr>
          <w:del w:id="13070" w:author="AbbVie1" w:date="2025-05-13T10:11:00Z"/>
          <w:b/>
        </w:rPr>
      </w:pPr>
      <w:del w:id="13071" w:author="AbbVie1" w:date="2025-05-13T10:11:00Z">
        <w:r w:rsidRPr="001B4A02">
          <w:rPr>
            <w:b/>
          </w:rPr>
          <w:delText xml:space="preserve">Jestliže jste zapomněl(a) </w:delText>
        </w:r>
        <w:r w:rsidR="00375B03" w:rsidRPr="001B4A02">
          <w:rPr>
            <w:b/>
          </w:rPr>
          <w:delText>po</w:delText>
        </w:r>
        <w:r w:rsidRPr="001B4A02">
          <w:rPr>
            <w:b/>
          </w:rPr>
          <w:delText>užít přípravek Humira</w:delText>
        </w:r>
      </w:del>
    </w:p>
    <w:p w14:paraId="0021F891" w14:textId="77777777" w:rsidR="00073F8F" w:rsidRPr="001B4A02" w:rsidRDefault="00073F8F" w:rsidP="00DB7D9B">
      <w:pPr>
        <w:keepNext/>
        <w:ind w:left="0" w:firstLine="0"/>
        <w:rPr>
          <w:del w:id="13072" w:author="AbbVie1" w:date="2025-05-13T10:11:00Z"/>
        </w:rPr>
      </w:pPr>
    </w:p>
    <w:p w14:paraId="32498B8C" w14:textId="77777777" w:rsidR="00073F8F" w:rsidRPr="001B4A02" w:rsidRDefault="00000000" w:rsidP="00ED48A3">
      <w:pPr>
        <w:ind w:left="0" w:firstLine="0"/>
        <w:rPr>
          <w:del w:id="13073" w:author="AbbVie1" w:date="2025-05-13T10:11:00Z"/>
        </w:rPr>
      </w:pPr>
      <w:del w:id="13074" w:author="AbbVie1" w:date="2025-05-13T10:11:00Z">
        <w:r w:rsidRPr="001B4A02">
          <w:delText xml:space="preserve">Pokud si zapomenete </w:delText>
        </w:r>
        <w:r w:rsidR="00631040" w:rsidRPr="001B4A02">
          <w:delText xml:space="preserve">podat </w:delText>
        </w:r>
        <w:r w:rsidRPr="001B4A02">
          <w:delText>injekci, m</w:delText>
        </w:r>
        <w:r w:rsidR="007B06BB">
          <w:delText>áte</w:delText>
        </w:r>
        <w:r w:rsidRPr="001B4A02">
          <w:delText xml:space="preserve"> si ji </w:delText>
        </w:r>
        <w:r w:rsidR="00631040" w:rsidRPr="001B4A02">
          <w:delText xml:space="preserve">aplikovat </w:delText>
        </w:r>
        <w:r w:rsidRPr="001B4A02">
          <w:delText xml:space="preserve">ihned, jak si vzpomenete. Poté si </w:delText>
        </w:r>
        <w:r w:rsidR="00631040" w:rsidRPr="001B4A02">
          <w:delText xml:space="preserve">podejte </w:delText>
        </w:r>
        <w:r w:rsidRPr="001B4A02">
          <w:delText xml:space="preserve">další dávku </w:delText>
        </w:r>
        <w:r w:rsidR="00E54D7E" w:rsidRPr="001B4A02">
          <w:delText>původně</w:delText>
        </w:r>
        <w:r w:rsidR="00D61DE4">
          <w:delText xml:space="preserve"> </w:delText>
        </w:r>
        <w:r w:rsidRPr="001B4A02">
          <w:delText>plánovan</w:delText>
        </w:r>
        <w:r w:rsidR="00E54D7E" w:rsidRPr="001B4A02">
          <w:delText>ý</w:delText>
        </w:r>
        <w:r w:rsidRPr="001B4A02">
          <w:delText xml:space="preserve"> den, jako kdybyste nezapomněl(a) </w:delText>
        </w:r>
        <w:r w:rsidR="00631040" w:rsidRPr="001B4A02">
          <w:delText xml:space="preserve">na </w:delText>
        </w:r>
        <w:r w:rsidRPr="001B4A02">
          <w:delText>předchozí dávku.</w:delText>
        </w:r>
      </w:del>
    </w:p>
    <w:p w14:paraId="4A7B4E88" w14:textId="77777777" w:rsidR="00986502" w:rsidRPr="00262E54" w:rsidRDefault="00986502" w:rsidP="00ED48A3">
      <w:pPr>
        <w:ind w:left="0" w:firstLine="0"/>
        <w:rPr>
          <w:del w:id="13075" w:author="AbbVie1" w:date="2025-05-13T10:11:00Z"/>
        </w:rPr>
      </w:pPr>
    </w:p>
    <w:p w14:paraId="77808301" w14:textId="77777777" w:rsidR="00986502" w:rsidRPr="001B4A02" w:rsidRDefault="00000000" w:rsidP="00262E54">
      <w:pPr>
        <w:keepNext/>
        <w:ind w:left="0" w:firstLine="0"/>
        <w:rPr>
          <w:del w:id="13076" w:author="AbbVie1" w:date="2025-05-13T10:11:00Z"/>
          <w:b/>
        </w:rPr>
      </w:pPr>
      <w:del w:id="13077" w:author="AbbVie1" w:date="2025-05-13T10:11:00Z">
        <w:r w:rsidRPr="001B4A02">
          <w:rPr>
            <w:b/>
          </w:rPr>
          <w:delText xml:space="preserve">Jestliže jste přestal(a) </w:delText>
        </w:r>
        <w:r w:rsidR="00375B03" w:rsidRPr="001B4A02">
          <w:rPr>
            <w:b/>
          </w:rPr>
          <w:delText>po</w:delText>
        </w:r>
        <w:r w:rsidRPr="001B4A02">
          <w:rPr>
            <w:b/>
          </w:rPr>
          <w:delText>užívat přípravek Humira</w:delText>
        </w:r>
      </w:del>
    </w:p>
    <w:p w14:paraId="182EC822" w14:textId="77777777" w:rsidR="00986502" w:rsidRPr="001B4A02" w:rsidRDefault="00986502" w:rsidP="00262E54">
      <w:pPr>
        <w:keepNext/>
        <w:ind w:left="0" w:firstLine="0"/>
        <w:rPr>
          <w:del w:id="13078" w:author="AbbVie1" w:date="2025-05-13T10:11:00Z"/>
        </w:rPr>
      </w:pPr>
    </w:p>
    <w:p w14:paraId="55C0831D" w14:textId="77777777" w:rsidR="00073F8F" w:rsidRPr="001B4A02" w:rsidRDefault="00000000" w:rsidP="00ED48A3">
      <w:pPr>
        <w:ind w:left="0" w:firstLine="0"/>
        <w:rPr>
          <w:del w:id="13079" w:author="AbbVie1" w:date="2025-05-13T10:11:00Z"/>
        </w:rPr>
      </w:pPr>
      <w:del w:id="13080" w:author="AbbVie1" w:date="2025-05-13T10:11:00Z">
        <w:r w:rsidRPr="001B4A02">
          <w:delText>Rozhodnutí o</w:delText>
        </w:r>
        <w:r w:rsidR="00063784" w:rsidRPr="001B4A02">
          <w:delText> </w:delText>
        </w:r>
        <w:r w:rsidRPr="001B4A02">
          <w:delText xml:space="preserve">tom, zda </w:delText>
        </w:r>
        <w:r w:rsidR="00375B03" w:rsidRPr="001B4A02">
          <w:delText>po</w:delText>
        </w:r>
        <w:r w:rsidRPr="001B4A02">
          <w:delText>užívání přípravku Humi</w:delText>
        </w:r>
        <w:r w:rsidR="00032F16" w:rsidRPr="001B4A02">
          <w:delText>r</w:delText>
        </w:r>
        <w:r w:rsidRPr="001B4A02">
          <w:delText>a přerušit, musí</w:delText>
        </w:r>
        <w:r w:rsidR="00702A71" w:rsidRPr="001B4A02">
          <w:delText>te</w:delText>
        </w:r>
        <w:r w:rsidRPr="001B4A02">
          <w:delText xml:space="preserve"> konzultov</w:delText>
        </w:r>
        <w:r w:rsidR="00702A71" w:rsidRPr="001B4A02">
          <w:delText>at se svým</w:delText>
        </w:r>
        <w:r w:rsidRPr="001B4A02">
          <w:delText xml:space="preserve"> lékařem. Po přerušení léčby se Vám mohou příznaky</w:delText>
        </w:r>
        <w:r w:rsidR="00702A71" w:rsidRPr="001B4A02">
          <w:delText xml:space="preserve"> onemocnění</w:delText>
        </w:r>
        <w:r w:rsidRPr="001B4A02">
          <w:delText xml:space="preserve"> vrátit.</w:delText>
        </w:r>
      </w:del>
    </w:p>
    <w:p w14:paraId="5572C34E" w14:textId="77777777" w:rsidR="00986502" w:rsidRPr="001B4A02" w:rsidRDefault="00986502" w:rsidP="00ED48A3">
      <w:pPr>
        <w:ind w:left="0" w:firstLine="0"/>
        <w:rPr>
          <w:del w:id="13081" w:author="AbbVie1" w:date="2025-05-13T10:11:00Z"/>
        </w:rPr>
      </w:pPr>
    </w:p>
    <w:p w14:paraId="2EBB6406" w14:textId="77777777" w:rsidR="00073F8F" w:rsidRPr="001B4A02" w:rsidRDefault="00000000" w:rsidP="00ED48A3">
      <w:pPr>
        <w:ind w:left="0" w:firstLine="0"/>
        <w:rPr>
          <w:del w:id="13082" w:author="AbbVie1" w:date="2025-05-13T10:11:00Z"/>
        </w:rPr>
      </w:pPr>
      <w:del w:id="13083" w:author="AbbVie1" w:date="2025-05-13T10:11:00Z">
        <w:r w:rsidRPr="001B4A02">
          <w:delText xml:space="preserve">Máte-li jakékoli další otázky týkající se </w:delText>
        </w:r>
        <w:r w:rsidR="00375B03" w:rsidRPr="001B4A02">
          <w:delText>po</w:delText>
        </w:r>
        <w:r w:rsidRPr="001B4A02">
          <w:delText>užívání tohoto přípravku, zeptejte se svého lékaře nebo lékárníka.</w:delText>
        </w:r>
      </w:del>
    </w:p>
    <w:p w14:paraId="65F9081A" w14:textId="77777777" w:rsidR="00073F8F" w:rsidRPr="001B4A02" w:rsidRDefault="00073F8F" w:rsidP="00ED48A3">
      <w:pPr>
        <w:ind w:left="0" w:firstLine="0"/>
        <w:rPr>
          <w:del w:id="13084" w:author="AbbVie1" w:date="2025-05-13T10:11:00Z"/>
        </w:rPr>
      </w:pPr>
    </w:p>
    <w:p w14:paraId="1DB8CA0E" w14:textId="77777777" w:rsidR="00225D61" w:rsidRPr="001B4A02" w:rsidRDefault="00225D61" w:rsidP="00ED48A3">
      <w:pPr>
        <w:ind w:left="0" w:firstLine="0"/>
        <w:rPr>
          <w:del w:id="13085" w:author="AbbVie1" w:date="2025-05-13T10:11:00Z"/>
        </w:rPr>
      </w:pPr>
    </w:p>
    <w:p w14:paraId="552C312F" w14:textId="77777777" w:rsidR="00073F8F" w:rsidRPr="001B4A02" w:rsidRDefault="00000000" w:rsidP="00262E54">
      <w:pPr>
        <w:keepNext/>
        <w:numPr>
          <w:ilvl w:val="12"/>
          <w:numId w:val="0"/>
        </w:numPr>
        <w:ind w:left="567" w:hanging="567"/>
        <w:outlineLvl w:val="1"/>
        <w:rPr>
          <w:del w:id="13086" w:author="AbbVie1" w:date="2025-05-13T10:11:00Z"/>
        </w:rPr>
      </w:pPr>
      <w:del w:id="13087" w:author="AbbVie1" w:date="2025-05-13T10:11:00Z">
        <w:r w:rsidRPr="001B4A02">
          <w:rPr>
            <w:b/>
          </w:rPr>
          <w:delText>4.</w:delText>
        </w:r>
        <w:r w:rsidRPr="001B4A02">
          <w:rPr>
            <w:b/>
          </w:rPr>
          <w:tab/>
          <w:delText>M</w:delText>
        </w:r>
        <w:r w:rsidR="00986502" w:rsidRPr="001B4A02">
          <w:rPr>
            <w:b/>
          </w:rPr>
          <w:delText>ožné nežádoucí účinky</w:delText>
        </w:r>
      </w:del>
    </w:p>
    <w:p w14:paraId="1B67B776" w14:textId="77777777" w:rsidR="00073F8F" w:rsidRPr="001B4A02" w:rsidRDefault="00073F8F" w:rsidP="00262E54">
      <w:pPr>
        <w:keepNext/>
        <w:numPr>
          <w:ilvl w:val="12"/>
          <w:numId w:val="0"/>
        </w:numPr>
        <w:ind w:right="-29"/>
        <w:jc w:val="both"/>
        <w:rPr>
          <w:del w:id="13088" w:author="AbbVie1" w:date="2025-05-13T10:11:00Z"/>
        </w:rPr>
      </w:pPr>
    </w:p>
    <w:p w14:paraId="74F5E61B" w14:textId="77777777" w:rsidR="00073F8F" w:rsidRPr="001B4A02" w:rsidRDefault="00000000" w:rsidP="00ED48A3">
      <w:pPr>
        <w:ind w:left="0" w:firstLine="0"/>
        <w:rPr>
          <w:del w:id="13089" w:author="AbbVie1" w:date="2025-05-13T10:11:00Z"/>
        </w:rPr>
      </w:pPr>
      <w:del w:id="13090" w:author="AbbVie1" w:date="2025-05-13T10:11:00Z">
        <w:r w:rsidRPr="001B4A02">
          <w:delText xml:space="preserve">Podobně jako všechny léky může mít i </w:delText>
        </w:r>
        <w:r w:rsidR="004E2192" w:rsidRPr="001B4A02">
          <w:delText>tento přípravek</w:delText>
        </w:r>
        <w:r w:rsidRPr="001B4A02">
          <w:delText xml:space="preserve"> nežádoucí účinky, které se ale nemusí vyskytnout u každého. Většina nežádoucích účinků je mírné nebo střední závažnosti. Některé však mohou být závažné</w:delText>
        </w:r>
        <w:r w:rsidR="002378E0">
          <w:delText xml:space="preserve"> a </w:delText>
        </w:r>
        <w:r w:rsidRPr="001B4A02">
          <w:delText xml:space="preserve">vyžadují léčbu. Nežádoucí účinky se mohou vyskytnout i do </w:delText>
        </w:r>
        <w:r w:rsidR="00A75551" w:rsidRPr="001B4A02">
          <w:delText>4</w:delText>
        </w:r>
        <w:r w:rsidRPr="001B4A02">
          <w:delText xml:space="preserve"> měsíců po poslední dávce přípravku Humira.</w:delText>
        </w:r>
      </w:del>
    </w:p>
    <w:p w14:paraId="18899B83" w14:textId="77777777" w:rsidR="00B878B6" w:rsidRPr="001B4A02" w:rsidRDefault="00B878B6" w:rsidP="00ED48A3">
      <w:pPr>
        <w:ind w:left="0" w:firstLine="0"/>
        <w:rPr>
          <w:del w:id="13091" w:author="AbbVie1" w:date="2025-05-13T10:11:00Z"/>
        </w:rPr>
      </w:pPr>
    </w:p>
    <w:p w14:paraId="721FB43F" w14:textId="77777777" w:rsidR="00073F8F" w:rsidRPr="001B4A02" w:rsidRDefault="00000000" w:rsidP="00ED48A3">
      <w:pPr>
        <w:keepNext/>
        <w:ind w:left="0" w:firstLine="0"/>
        <w:rPr>
          <w:del w:id="13092" w:author="AbbVie1" w:date="2025-05-13T10:11:00Z"/>
        </w:rPr>
      </w:pPr>
      <w:del w:id="13093" w:author="AbbVie1" w:date="2025-05-13T10:11:00Z">
        <w:r w:rsidRPr="001B4A02">
          <w:delText>Ihned o</w:delText>
        </w:r>
        <w:r w:rsidR="003600BE" w:rsidRPr="001B4A02">
          <w:delText xml:space="preserve">znamte svému lékaři, pokud </w:delText>
        </w:r>
        <w:r w:rsidR="00F81D2C" w:rsidRPr="001B4A02">
          <w:delText>si všimnete jakýchkoli z následujících účinků</w:delText>
        </w:r>
      </w:del>
    </w:p>
    <w:p w14:paraId="4552D5EA" w14:textId="77777777" w:rsidR="00073F8F" w:rsidRPr="001B4A02" w:rsidRDefault="00000000" w:rsidP="00ED48A3">
      <w:pPr>
        <w:keepNext/>
        <w:numPr>
          <w:ilvl w:val="0"/>
          <w:numId w:val="19"/>
        </w:numPr>
        <w:tabs>
          <w:tab w:val="clear" w:pos="720"/>
          <w:tab w:val="num" w:pos="540"/>
        </w:tabs>
        <w:ind w:left="0" w:firstLine="0"/>
        <w:rPr>
          <w:del w:id="13094" w:author="AbbVie1" w:date="2025-05-13T10:11:00Z"/>
        </w:rPr>
      </w:pPr>
      <w:del w:id="13095" w:author="AbbVie1" w:date="2025-05-13T10:11:00Z">
        <w:r w:rsidRPr="001B4A02">
          <w:delText>silná vyrážka, kopřivka nebo jiné známky alergické reakce;</w:delText>
        </w:r>
      </w:del>
    </w:p>
    <w:p w14:paraId="15E543C2" w14:textId="77777777" w:rsidR="00073F8F" w:rsidRPr="001B4A02" w:rsidRDefault="00000000" w:rsidP="00ED48A3">
      <w:pPr>
        <w:keepNext/>
        <w:numPr>
          <w:ilvl w:val="0"/>
          <w:numId w:val="19"/>
        </w:numPr>
        <w:tabs>
          <w:tab w:val="clear" w:pos="720"/>
          <w:tab w:val="num" w:pos="540"/>
        </w:tabs>
        <w:ind w:left="0" w:firstLine="0"/>
        <w:rPr>
          <w:del w:id="13096" w:author="AbbVie1" w:date="2025-05-13T10:11:00Z"/>
        </w:rPr>
      </w:pPr>
      <w:del w:id="13097" w:author="AbbVie1" w:date="2025-05-13T10:11:00Z">
        <w:r w:rsidRPr="001B4A02">
          <w:delText>ot</w:delText>
        </w:r>
        <w:r w:rsidR="006D39E6">
          <w:delText>ok</w:delText>
        </w:r>
        <w:r w:rsidRPr="001B4A02">
          <w:delText xml:space="preserve"> obličej</w:delText>
        </w:r>
        <w:r w:rsidR="006D39E6">
          <w:delText>e</w:delText>
        </w:r>
        <w:r w:rsidRPr="001B4A02">
          <w:delText>, ru</w:delText>
        </w:r>
        <w:r w:rsidR="006D39E6">
          <w:delText>kou</w:delText>
        </w:r>
        <w:r w:rsidRPr="001B4A02">
          <w:delText>, noh</w:delText>
        </w:r>
        <w:r w:rsidR="006D39E6">
          <w:delText>ou</w:delText>
        </w:r>
        <w:r w:rsidRPr="001B4A02">
          <w:delText>;</w:delText>
        </w:r>
      </w:del>
    </w:p>
    <w:p w14:paraId="17652379" w14:textId="77777777" w:rsidR="00073F8F" w:rsidRPr="001B4A02" w:rsidRDefault="00000000" w:rsidP="00ED48A3">
      <w:pPr>
        <w:keepNext/>
        <w:numPr>
          <w:ilvl w:val="0"/>
          <w:numId w:val="19"/>
        </w:numPr>
        <w:tabs>
          <w:tab w:val="clear" w:pos="720"/>
          <w:tab w:val="num" w:pos="540"/>
        </w:tabs>
        <w:ind w:left="0" w:firstLine="0"/>
        <w:rPr>
          <w:del w:id="13098" w:author="AbbVie1" w:date="2025-05-13T10:11:00Z"/>
        </w:rPr>
      </w:pPr>
      <w:del w:id="13099" w:author="AbbVie1" w:date="2025-05-13T10:11:00Z">
        <w:r w:rsidRPr="001B4A02">
          <w:delText>obtíže s dechem či polykáním;</w:delText>
        </w:r>
      </w:del>
    </w:p>
    <w:p w14:paraId="1E0EA310" w14:textId="77777777" w:rsidR="00073F8F" w:rsidRPr="001B4A02" w:rsidRDefault="00000000" w:rsidP="00262E54">
      <w:pPr>
        <w:numPr>
          <w:ilvl w:val="0"/>
          <w:numId w:val="19"/>
        </w:numPr>
        <w:tabs>
          <w:tab w:val="clear" w:pos="720"/>
          <w:tab w:val="num" w:pos="540"/>
        </w:tabs>
        <w:ind w:left="0" w:firstLine="0"/>
        <w:rPr>
          <w:del w:id="13100" w:author="AbbVie1" w:date="2025-05-13T10:11:00Z"/>
        </w:rPr>
      </w:pPr>
      <w:del w:id="13101" w:author="AbbVie1" w:date="2025-05-13T10:11:00Z">
        <w:r w:rsidRPr="001B4A02">
          <w:delText>zadýchávání, které se zhorší v poloze vleže nebo otoky nohou</w:delText>
        </w:r>
        <w:r w:rsidR="00986502" w:rsidRPr="001B4A02">
          <w:delText>.</w:delText>
        </w:r>
      </w:del>
    </w:p>
    <w:p w14:paraId="329268F1" w14:textId="77777777" w:rsidR="00073F8F" w:rsidRPr="001B4A02" w:rsidRDefault="00073F8F" w:rsidP="00ED48A3">
      <w:pPr>
        <w:pStyle w:val="EndnoteText"/>
        <w:ind w:left="0" w:firstLine="0"/>
        <w:rPr>
          <w:del w:id="13102" w:author="AbbVie1" w:date="2025-05-13T10:11:00Z"/>
          <w:lang w:val="cs-CZ"/>
        </w:rPr>
      </w:pPr>
    </w:p>
    <w:p w14:paraId="35D0AE02" w14:textId="77777777" w:rsidR="00073F8F" w:rsidRPr="001B4A02" w:rsidRDefault="00000000" w:rsidP="00262E54">
      <w:pPr>
        <w:keepNext/>
        <w:ind w:left="0" w:firstLine="0"/>
        <w:rPr>
          <w:del w:id="13103" w:author="AbbVie1" w:date="2025-05-13T10:11:00Z"/>
        </w:rPr>
      </w:pPr>
      <w:del w:id="13104" w:author="AbbVie1" w:date="2025-05-13T10:11:00Z">
        <w:r w:rsidRPr="001B4A02">
          <w:delText xml:space="preserve">Oznamte svému lékaři co nejdříve, pokud </w:delText>
        </w:r>
        <w:r w:rsidR="00F81D2C" w:rsidRPr="001B4A02">
          <w:delText>si všimnete jakýchkoli z následujících účinků</w:delText>
        </w:r>
      </w:del>
    </w:p>
    <w:p w14:paraId="21B04F01" w14:textId="77777777" w:rsidR="00073F8F" w:rsidRPr="001B4A02" w:rsidRDefault="00000000" w:rsidP="00ED48A3">
      <w:pPr>
        <w:numPr>
          <w:ilvl w:val="0"/>
          <w:numId w:val="20"/>
        </w:numPr>
        <w:tabs>
          <w:tab w:val="clear" w:pos="720"/>
          <w:tab w:val="num" w:pos="540"/>
        </w:tabs>
        <w:ind w:left="0" w:firstLine="0"/>
        <w:rPr>
          <w:del w:id="13105" w:author="AbbVie1" w:date="2025-05-13T10:11:00Z"/>
        </w:rPr>
      </w:pPr>
      <w:del w:id="13106" w:author="AbbVie1" w:date="2025-05-13T10:11:00Z">
        <w:r w:rsidRPr="001B4A02">
          <w:delText xml:space="preserve">známky infekce, jako </w:delText>
        </w:r>
        <w:r w:rsidR="00005EC2" w:rsidRPr="001B4A02">
          <w:rPr>
            <w:szCs w:val="22"/>
          </w:rPr>
          <w:delText xml:space="preserve">jsou </w:delText>
        </w:r>
        <w:r w:rsidRPr="001B4A02">
          <w:delText>horečka, pocit nemoci, zranění, problémy se zuby, pálení při močení;</w:delText>
        </w:r>
      </w:del>
    </w:p>
    <w:p w14:paraId="03D3AFC2" w14:textId="77777777" w:rsidR="00073F8F" w:rsidRPr="001B4A02" w:rsidRDefault="00000000" w:rsidP="00ED48A3">
      <w:pPr>
        <w:numPr>
          <w:ilvl w:val="0"/>
          <w:numId w:val="20"/>
        </w:numPr>
        <w:tabs>
          <w:tab w:val="clear" w:pos="720"/>
          <w:tab w:val="num" w:pos="540"/>
        </w:tabs>
        <w:ind w:left="0" w:firstLine="0"/>
        <w:rPr>
          <w:del w:id="13107" w:author="AbbVie1" w:date="2025-05-13T10:11:00Z"/>
        </w:rPr>
      </w:pPr>
      <w:del w:id="13108" w:author="AbbVie1" w:date="2025-05-13T10:11:00Z">
        <w:r w:rsidRPr="001B4A02">
          <w:delText>pocit slabosti nebo únavy;</w:delText>
        </w:r>
      </w:del>
    </w:p>
    <w:p w14:paraId="6B0A6982" w14:textId="77777777" w:rsidR="00073F8F" w:rsidRPr="001B4A02" w:rsidRDefault="00000000" w:rsidP="00ED48A3">
      <w:pPr>
        <w:numPr>
          <w:ilvl w:val="0"/>
          <w:numId w:val="20"/>
        </w:numPr>
        <w:tabs>
          <w:tab w:val="clear" w:pos="720"/>
          <w:tab w:val="num" w:pos="540"/>
        </w:tabs>
        <w:ind w:left="0" w:firstLine="0"/>
        <w:rPr>
          <w:del w:id="13109" w:author="AbbVie1" w:date="2025-05-13T10:11:00Z"/>
        </w:rPr>
      </w:pPr>
      <w:del w:id="13110" w:author="AbbVie1" w:date="2025-05-13T10:11:00Z">
        <w:r w:rsidRPr="001B4A02">
          <w:delText>kašel;</w:delText>
        </w:r>
      </w:del>
    </w:p>
    <w:p w14:paraId="097E9DBC" w14:textId="77777777" w:rsidR="00073F8F" w:rsidRPr="001B4A02" w:rsidRDefault="00000000" w:rsidP="00ED48A3">
      <w:pPr>
        <w:numPr>
          <w:ilvl w:val="0"/>
          <w:numId w:val="20"/>
        </w:numPr>
        <w:tabs>
          <w:tab w:val="clear" w:pos="720"/>
          <w:tab w:val="num" w:pos="540"/>
        </w:tabs>
        <w:ind w:left="0" w:firstLine="0"/>
        <w:rPr>
          <w:del w:id="13111" w:author="AbbVie1" w:date="2025-05-13T10:11:00Z"/>
        </w:rPr>
      </w:pPr>
      <w:del w:id="13112" w:author="AbbVie1" w:date="2025-05-13T10:11:00Z">
        <w:r w:rsidRPr="001B4A02">
          <w:delText>brnění;</w:delText>
        </w:r>
      </w:del>
    </w:p>
    <w:p w14:paraId="5975F25D" w14:textId="77777777" w:rsidR="00073F8F" w:rsidRPr="001B4A02" w:rsidRDefault="00000000" w:rsidP="00ED48A3">
      <w:pPr>
        <w:numPr>
          <w:ilvl w:val="0"/>
          <w:numId w:val="20"/>
        </w:numPr>
        <w:tabs>
          <w:tab w:val="clear" w:pos="720"/>
          <w:tab w:val="num" w:pos="540"/>
        </w:tabs>
        <w:ind w:left="0" w:firstLine="0"/>
        <w:rPr>
          <w:del w:id="13113" w:author="AbbVie1" w:date="2025-05-13T10:11:00Z"/>
        </w:rPr>
      </w:pPr>
      <w:del w:id="13114" w:author="AbbVie1" w:date="2025-05-13T10:11:00Z">
        <w:r w:rsidRPr="001B4A02">
          <w:delText>snížená citlivost;</w:delText>
        </w:r>
      </w:del>
    </w:p>
    <w:p w14:paraId="1CDFB50D" w14:textId="77777777" w:rsidR="00073F8F" w:rsidRPr="001B4A02" w:rsidRDefault="00000000" w:rsidP="00ED48A3">
      <w:pPr>
        <w:numPr>
          <w:ilvl w:val="0"/>
          <w:numId w:val="20"/>
        </w:numPr>
        <w:tabs>
          <w:tab w:val="clear" w:pos="720"/>
          <w:tab w:val="num" w:pos="540"/>
        </w:tabs>
        <w:ind w:left="0" w:firstLine="0"/>
        <w:rPr>
          <w:del w:id="13115" w:author="AbbVie1" w:date="2025-05-13T10:11:00Z"/>
        </w:rPr>
      </w:pPr>
      <w:del w:id="13116" w:author="AbbVie1" w:date="2025-05-13T10:11:00Z">
        <w:r w:rsidRPr="001B4A02">
          <w:delText>dvojité vidění;</w:delText>
        </w:r>
      </w:del>
    </w:p>
    <w:p w14:paraId="4D317057" w14:textId="77777777" w:rsidR="00073F8F" w:rsidRPr="001B4A02" w:rsidRDefault="00000000" w:rsidP="00ED48A3">
      <w:pPr>
        <w:numPr>
          <w:ilvl w:val="0"/>
          <w:numId w:val="20"/>
        </w:numPr>
        <w:tabs>
          <w:tab w:val="clear" w:pos="720"/>
          <w:tab w:val="num" w:pos="540"/>
        </w:tabs>
        <w:ind w:left="0" w:firstLine="0"/>
        <w:rPr>
          <w:del w:id="13117" w:author="AbbVie1" w:date="2025-05-13T10:11:00Z"/>
        </w:rPr>
      </w:pPr>
      <w:del w:id="13118" w:author="AbbVie1" w:date="2025-05-13T10:11:00Z">
        <w:r w:rsidRPr="001B4A02">
          <w:delText>slabost horních nebo dolních končetin;</w:delText>
        </w:r>
      </w:del>
    </w:p>
    <w:p w14:paraId="7CAF916B" w14:textId="77777777" w:rsidR="00986502" w:rsidRPr="001B4A02" w:rsidRDefault="00000000" w:rsidP="00ED48A3">
      <w:pPr>
        <w:numPr>
          <w:ilvl w:val="0"/>
          <w:numId w:val="20"/>
        </w:numPr>
        <w:tabs>
          <w:tab w:val="clear" w:pos="720"/>
          <w:tab w:val="num" w:pos="540"/>
        </w:tabs>
        <w:ind w:left="0" w:firstLine="0"/>
        <w:rPr>
          <w:del w:id="13119" w:author="AbbVie1" w:date="2025-05-13T10:11:00Z"/>
        </w:rPr>
      </w:pPr>
      <w:del w:id="13120" w:author="AbbVie1" w:date="2025-05-13T10:11:00Z">
        <w:r w:rsidRPr="001B4A02">
          <w:delText>otok (boule) nebo opar, který se nehojí;</w:delText>
        </w:r>
      </w:del>
    </w:p>
    <w:p w14:paraId="766AB193" w14:textId="77777777" w:rsidR="00073F8F" w:rsidRPr="001B4A02" w:rsidRDefault="00000000" w:rsidP="00ED48A3">
      <w:pPr>
        <w:numPr>
          <w:ilvl w:val="0"/>
          <w:numId w:val="20"/>
        </w:numPr>
        <w:tabs>
          <w:tab w:val="clear" w:pos="720"/>
          <w:tab w:val="num" w:pos="540"/>
        </w:tabs>
        <w:ind w:left="567" w:hanging="567"/>
        <w:rPr>
          <w:del w:id="13121" w:author="AbbVie1" w:date="2025-05-13T10:11:00Z"/>
        </w:rPr>
      </w:pPr>
      <w:del w:id="13122" w:author="AbbVie1" w:date="2025-05-13T10:11:00Z">
        <w:r>
          <w:rPr>
            <w:bCs/>
            <w:szCs w:val="22"/>
          </w:rPr>
          <w:delText>známky</w:delText>
        </w:r>
        <w:r w:rsidR="002378E0">
          <w:rPr>
            <w:bCs/>
            <w:szCs w:val="22"/>
          </w:rPr>
          <w:delText xml:space="preserve"> a </w:delText>
        </w:r>
        <w:r w:rsidR="00986502" w:rsidRPr="001B4A02">
          <w:rPr>
            <w:bCs/>
            <w:szCs w:val="22"/>
          </w:rPr>
          <w:delText>příznaky podezřelé z krevních poruch, jako je přetrvávající horečka, tvorba modřin, krvácení, bledost</w:delText>
        </w:r>
        <w:r w:rsidRPr="001B4A02">
          <w:delText>.</w:delText>
        </w:r>
      </w:del>
    </w:p>
    <w:p w14:paraId="762B5068" w14:textId="77777777" w:rsidR="00073F8F" w:rsidRPr="001B4A02" w:rsidRDefault="00073F8F" w:rsidP="00ED48A3">
      <w:pPr>
        <w:pStyle w:val="EndnoteText"/>
        <w:ind w:left="0" w:firstLine="0"/>
        <w:rPr>
          <w:del w:id="13123" w:author="AbbVie1" w:date="2025-05-13T10:11:00Z"/>
          <w:lang w:val="cs-CZ"/>
        </w:rPr>
      </w:pPr>
    </w:p>
    <w:p w14:paraId="76B8974B" w14:textId="77777777" w:rsidR="00073F8F" w:rsidRPr="001B4A02" w:rsidRDefault="00000000" w:rsidP="00262E54">
      <w:pPr>
        <w:keepNext/>
        <w:ind w:left="0" w:firstLine="0"/>
        <w:rPr>
          <w:del w:id="13124" w:author="AbbVie1" w:date="2025-05-13T10:11:00Z"/>
        </w:rPr>
      </w:pPr>
      <w:del w:id="13125" w:author="AbbVie1" w:date="2025-05-13T10:11:00Z">
        <w:r w:rsidRPr="001B4A02">
          <w:delText xml:space="preserve">Příznaky popsané výše mohou být známkami níže uvedeného seznamu nežádoucích účinků, které byly popsány při </w:delText>
        </w:r>
        <w:r w:rsidR="00375B03" w:rsidRPr="001B4A02">
          <w:delText>po</w:delText>
        </w:r>
        <w:r w:rsidRPr="001B4A02">
          <w:delText>užívání přípravku Humira:</w:delText>
        </w:r>
      </w:del>
    </w:p>
    <w:p w14:paraId="22911FA5" w14:textId="77777777" w:rsidR="00073F8F" w:rsidRPr="001B4A02" w:rsidRDefault="00073F8F" w:rsidP="00262E54">
      <w:pPr>
        <w:keepNext/>
        <w:ind w:left="0" w:firstLine="0"/>
        <w:rPr>
          <w:del w:id="13126" w:author="AbbVie1" w:date="2025-05-13T10:11:00Z"/>
        </w:rPr>
      </w:pPr>
    </w:p>
    <w:p w14:paraId="3477B91C" w14:textId="77777777" w:rsidR="00073F8F" w:rsidRPr="001B4A02" w:rsidRDefault="00000000" w:rsidP="00262E54">
      <w:pPr>
        <w:keepNext/>
        <w:ind w:left="0" w:firstLine="0"/>
        <w:rPr>
          <w:del w:id="13127" w:author="AbbVie1" w:date="2025-05-13T10:11:00Z"/>
        </w:rPr>
      </w:pPr>
      <w:del w:id="13128" w:author="AbbVie1" w:date="2025-05-13T10:11:00Z">
        <w:r w:rsidRPr="001B4A02">
          <w:delText>Velmi časté (</w:delText>
        </w:r>
        <w:r w:rsidR="003472B2" w:rsidRPr="001B4A02">
          <w:rPr>
            <w:shd w:val="clear" w:color="auto" w:fill="FFFFFF"/>
          </w:rPr>
          <w:delText>mohou postihnout více než 1 z 10 osob</w:delText>
        </w:r>
        <w:r w:rsidRPr="001B4A02">
          <w:delText>)</w:delText>
        </w:r>
      </w:del>
    </w:p>
    <w:p w14:paraId="70053B8A" w14:textId="77777777" w:rsidR="00F87035" w:rsidRPr="001B4A02" w:rsidRDefault="00F87035" w:rsidP="00262E54">
      <w:pPr>
        <w:keepNext/>
        <w:ind w:left="0" w:firstLine="0"/>
        <w:rPr>
          <w:del w:id="13129" w:author="AbbVie1" w:date="2025-05-13T10:11:00Z"/>
        </w:rPr>
      </w:pPr>
    </w:p>
    <w:p w14:paraId="13CA0B35" w14:textId="77777777" w:rsidR="009629A1" w:rsidRPr="001B4A02" w:rsidRDefault="00000000" w:rsidP="007C5EA6">
      <w:pPr>
        <w:numPr>
          <w:ilvl w:val="0"/>
          <w:numId w:val="75"/>
        </w:numPr>
        <w:tabs>
          <w:tab w:val="clear" w:pos="720"/>
        </w:tabs>
        <w:ind w:left="567" w:hanging="567"/>
        <w:rPr>
          <w:del w:id="13130" w:author="AbbVie1" w:date="2025-05-13T10:11:00Z"/>
        </w:rPr>
      </w:pPr>
      <w:del w:id="13131" w:author="AbbVie1" w:date="2025-05-13T10:11:00Z">
        <w:r w:rsidRPr="001B4A02">
          <w:rPr>
            <w:bCs/>
            <w:szCs w:val="22"/>
          </w:rPr>
          <w:delText>reakce v místě injekčního vpichu (včetně bolesti, otoku, zarudnutí nebo svědění)</w:delText>
        </w:r>
        <w:r w:rsidRPr="001B4A02">
          <w:delText>;</w:delText>
        </w:r>
      </w:del>
    </w:p>
    <w:p w14:paraId="491C9D49" w14:textId="77777777" w:rsidR="0052113D" w:rsidRPr="001B4A02" w:rsidRDefault="00000000" w:rsidP="007C5EA6">
      <w:pPr>
        <w:numPr>
          <w:ilvl w:val="0"/>
          <w:numId w:val="49"/>
        </w:numPr>
        <w:tabs>
          <w:tab w:val="clear" w:pos="720"/>
        </w:tabs>
        <w:ind w:left="567" w:hanging="567"/>
        <w:rPr>
          <w:del w:id="13132" w:author="AbbVie1" w:date="2025-05-13T10:11:00Z"/>
          <w:bCs/>
          <w:szCs w:val="22"/>
        </w:rPr>
      </w:pPr>
      <w:del w:id="13133" w:author="AbbVie1" w:date="2025-05-13T10:11:00Z">
        <w:r w:rsidRPr="001B4A02">
          <w:rPr>
            <w:bCs/>
            <w:szCs w:val="22"/>
          </w:rPr>
          <w:delText>infekce dýchacích cest (včetně nastydnutí, rýmy, infekce vedlejších nosních dutin, zápalu plic)</w:delText>
        </w:r>
        <w:r w:rsidRPr="001B4A02">
          <w:delText>;</w:delText>
        </w:r>
      </w:del>
    </w:p>
    <w:p w14:paraId="69CAD9BA" w14:textId="77777777" w:rsidR="0052113D" w:rsidRPr="001B4A02" w:rsidRDefault="00000000" w:rsidP="007C5EA6">
      <w:pPr>
        <w:numPr>
          <w:ilvl w:val="0"/>
          <w:numId w:val="49"/>
        </w:numPr>
        <w:tabs>
          <w:tab w:val="clear" w:pos="720"/>
        </w:tabs>
        <w:ind w:left="567" w:hanging="567"/>
        <w:rPr>
          <w:del w:id="13134" w:author="AbbVie1" w:date="2025-05-13T10:11:00Z"/>
          <w:bCs/>
          <w:szCs w:val="22"/>
        </w:rPr>
      </w:pPr>
      <w:del w:id="13135" w:author="AbbVie1" w:date="2025-05-13T10:11:00Z">
        <w:r w:rsidRPr="001B4A02">
          <w:rPr>
            <w:bCs/>
            <w:szCs w:val="22"/>
          </w:rPr>
          <w:delText>bolest hlavy</w:delText>
        </w:r>
        <w:r w:rsidRPr="001B4A02">
          <w:delText>;</w:delText>
        </w:r>
      </w:del>
    </w:p>
    <w:p w14:paraId="260F971A" w14:textId="77777777" w:rsidR="0052113D" w:rsidRPr="001B4A02" w:rsidRDefault="00000000" w:rsidP="007C5EA6">
      <w:pPr>
        <w:numPr>
          <w:ilvl w:val="0"/>
          <w:numId w:val="49"/>
        </w:numPr>
        <w:tabs>
          <w:tab w:val="clear" w:pos="720"/>
        </w:tabs>
        <w:ind w:left="567" w:hanging="567"/>
        <w:rPr>
          <w:del w:id="13136" w:author="AbbVie1" w:date="2025-05-13T10:11:00Z"/>
          <w:bCs/>
          <w:szCs w:val="22"/>
        </w:rPr>
      </w:pPr>
      <w:del w:id="13137" w:author="AbbVie1" w:date="2025-05-13T10:11:00Z">
        <w:r w:rsidRPr="001B4A02">
          <w:rPr>
            <w:bCs/>
            <w:szCs w:val="22"/>
          </w:rPr>
          <w:delText>bolest břicha</w:delText>
        </w:r>
        <w:r w:rsidRPr="001B4A02">
          <w:delText>;</w:delText>
        </w:r>
      </w:del>
    </w:p>
    <w:p w14:paraId="3F2494D1" w14:textId="77777777" w:rsidR="0052113D" w:rsidRPr="001B4A02" w:rsidRDefault="00000000" w:rsidP="007C5EA6">
      <w:pPr>
        <w:numPr>
          <w:ilvl w:val="0"/>
          <w:numId w:val="49"/>
        </w:numPr>
        <w:tabs>
          <w:tab w:val="clear" w:pos="720"/>
        </w:tabs>
        <w:ind w:left="567" w:hanging="567"/>
        <w:rPr>
          <w:del w:id="13138" w:author="AbbVie1" w:date="2025-05-13T10:11:00Z"/>
          <w:bCs/>
          <w:szCs w:val="22"/>
        </w:rPr>
      </w:pPr>
      <w:del w:id="13139" w:author="AbbVie1" w:date="2025-05-13T10:11:00Z">
        <w:r>
          <w:rPr>
            <w:bCs/>
            <w:szCs w:val="22"/>
          </w:rPr>
          <w:delText>pocit na zvracení</w:delText>
        </w:r>
        <w:r w:rsidR="002378E0">
          <w:rPr>
            <w:bCs/>
            <w:szCs w:val="22"/>
          </w:rPr>
          <w:delText xml:space="preserve"> a </w:delText>
        </w:r>
        <w:r w:rsidRPr="001B4A02">
          <w:rPr>
            <w:bCs/>
            <w:szCs w:val="22"/>
          </w:rPr>
          <w:delText>zvracení</w:delText>
        </w:r>
        <w:r w:rsidRPr="001B4A02">
          <w:delText>;</w:delText>
        </w:r>
      </w:del>
    </w:p>
    <w:p w14:paraId="796DDDA1" w14:textId="77777777" w:rsidR="0052113D" w:rsidRPr="001B4A02" w:rsidRDefault="00000000" w:rsidP="007C5EA6">
      <w:pPr>
        <w:numPr>
          <w:ilvl w:val="0"/>
          <w:numId w:val="49"/>
        </w:numPr>
        <w:tabs>
          <w:tab w:val="clear" w:pos="720"/>
        </w:tabs>
        <w:ind w:left="567" w:hanging="567"/>
        <w:rPr>
          <w:del w:id="13140" w:author="AbbVie1" w:date="2025-05-13T10:11:00Z"/>
          <w:bCs/>
          <w:szCs w:val="22"/>
        </w:rPr>
      </w:pPr>
      <w:del w:id="13141" w:author="AbbVie1" w:date="2025-05-13T10:11:00Z">
        <w:r w:rsidRPr="001B4A02">
          <w:rPr>
            <w:bCs/>
            <w:szCs w:val="22"/>
          </w:rPr>
          <w:delText>vyrážka</w:delText>
        </w:r>
        <w:r w:rsidRPr="001B4A02">
          <w:delText>;</w:delText>
        </w:r>
      </w:del>
    </w:p>
    <w:p w14:paraId="06DC632D" w14:textId="77777777" w:rsidR="00073F8F" w:rsidRPr="001B4A02" w:rsidRDefault="00000000" w:rsidP="007C5EA6">
      <w:pPr>
        <w:numPr>
          <w:ilvl w:val="0"/>
          <w:numId w:val="49"/>
        </w:numPr>
        <w:tabs>
          <w:tab w:val="clear" w:pos="720"/>
        </w:tabs>
        <w:ind w:left="567" w:hanging="567"/>
        <w:rPr>
          <w:del w:id="13142" w:author="AbbVie1" w:date="2025-05-13T10:11:00Z"/>
        </w:rPr>
      </w:pPr>
      <w:del w:id="13143" w:author="AbbVie1" w:date="2025-05-13T10:11:00Z">
        <w:r w:rsidRPr="001B4A02">
          <w:rPr>
            <w:bCs/>
            <w:szCs w:val="22"/>
          </w:rPr>
          <w:delText>bolest svalů</w:delText>
        </w:r>
        <w:r w:rsidR="002378E0">
          <w:rPr>
            <w:bCs/>
            <w:szCs w:val="22"/>
          </w:rPr>
          <w:delText xml:space="preserve"> a </w:delText>
        </w:r>
        <w:r w:rsidRPr="001B4A02">
          <w:rPr>
            <w:bCs/>
            <w:szCs w:val="22"/>
          </w:rPr>
          <w:delText>kloubů.</w:delText>
        </w:r>
      </w:del>
    </w:p>
    <w:p w14:paraId="4FD56839" w14:textId="77777777" w:rsidR="00073F8F" w:rsidRPr="001B4A02" w:rsidRDefault="00073F8F" w:rsidP="00ED48A3">
      <w:pPr>
        <w:ind w:left="0" w:firstLine="0"/>
        <w:rPr>
          <w:del w:id="13144" w:author="AbbVie1" w:date="2025-05-13T10:11:00Z"/>
        </w:rPr>
      </w:pPr>
    </w:p>
    <w:p w14:paraId="490C395C" w14:textId="77777777" w:rsidR="00073F8F" w:rsidRPr="001B4A02" w:rsidRDefault="00000000" w:rsidP="00262E54">
      <w:pPr>
        <w:keepNext/>
        <w:tabs>
          <w:tab w:val="left" w:pos="0"/>
        </w:tabs>
        <w:ind w:left="0" w:firstLine="0"/>
        <w:rPr>
          <w:del w:id="13145" w:author="AbbVie1" w:date="2025-05-13T10:11:00Z"/>
        </w:rPr>
      </w:pPr>
      <w:del w:id="13146" w:author="AbbVie1" w:date="2025-05-13T10:11:00Z">
        <w:r w:rsidRPr="001B4A02">
          <w:delText>Časté (</w:delText>
        </w:r>
        <w:r w:rsidR="00680EF3" w:rsidRPr="001B4A02">
          <w:delText>mohou postihnout nejvýše</w:delText>
        </w:r>
        <w:r w:rsidR="003472B2" w:rsidRPr="001B4A02">
          <w:delText xml:space="preserve"> 1 z</w:delText>
        </w:r>
        <w:r w:rsidR="004823B6" w:rsidRPr="001B4A02">
          <w:delText> </w:delText>
        </w:r>
        <w:r w:rsidR="003472B2" w:rsidRPr="001B4A02">
          <w:delText>10 osob</w:delText>
        </w:r>
        <w:r w:rsidRPr="001B4A02">
          <w:delText>)</w:delText>
        </w:r>
      </w:del>
    </w:p>
    <w:p w14:paraId="7501526A" w14:textId="77777777" w:rsidR="00F87035" w:rsidRPr="001B4A02" w:rsidRDefault="00F87035" w:rsidP="00262E54">
      <w:pPr>
        <w:keepNext/>
        <w:tabs>
          <w:tab w:val="left" w:pos="0"/>
        </w:tabs>
        <w:ind w:left="0" w:firstLine="0"/>
        <w:rPr>
          <w:del w:id="13147" w:author="AbbVie1" w:date="2025-05-13T10:11:00Z"/>
        </w:rPr>
      </w:pPr>
    </w:p>
    <w:p w14:paraId="4EC39E19" w14:textId="77777777" w:rsidR="00E23DF0" w:rsidRPr="001B4A02" w:rsidRDefault="00000000" w:rsidP="007C5EA6">
      <w:pPr>
        <w:numPr>
          <w:ilvl w:val="0"/>
          <w:numId w:val="49"/>
        </w:numPr>
        <w:tabs>
          <w:tab w:val="clear" w:pos="720"/>
        </w:tabs>
        <w:ind w:left="567" w:hanging="567"/>
        <w:rPr>
          <w:del w:id="13148" w:author="AbbVie1" w:date="2025-05-13T10:11:00Z"/>
        </w:rPr>
      </w:pPr>
      <w:del w:id="13149" w:author="AbbVie1" w:date="2025-05-13T10:11:00Z">
        <w:r>
          <w:rPr>
            <w:bCs/>
            <w:szCs w:val="22"/>
          </w:rPr>
          <w:delText>závažné</w:delText>
        </w:r>
        <w:r w:rsidRPr="001B4A02">
          <w:rPr>
            <w:bCs/>
            <w:szCs w:val="22"/>
          </w:rPr>
          <w:delText xml:space="preserve"> infekce (včetně otravy krve</w:delText>
        </w:r>
        <w:r w:rsidR="002378E0">
          <w:rPr>
            <w:bCs/>
            <w:szCs w:val="22"/>
          </w:rPr>
          <w:delText xml:space="preserve"> a </w:delText>
        </w:r>
        <w:r w:rsidRPr="001B4A02">
          <w:rPr>
            <w:bCs/>
            <w:szCs w:val="22"/>
          </w:rPr>
          <w:delText>chřipky)</w:delText>
        </w:r>
        <w:r w:rsidRPr="001B4A02">
          <w:delText>;</w:delText>
        </w:r>
      </w:del>
    </w:p>
    <w:p w14:paraId="41950D02" w14:textId="77777777" w:rsidR="00A94BD7" w:rsidRPr="001B4A02" w:rsidRDefault="00000000" w:rsidP="007C5EA6">
      <w:pPr>
        <w:numPr>
          <w:ilvl w:val="0"/>
          <w:numId w:val="49"/>
        </w:numPr>
        <w:tabs>
          <w:tab w:val="clear" w:pos="720"/>
        </w:tabs>
        <w:ind w:left="567" w:hanging="567"/>
        <w:rPr>
          <w:del w:id="13150" w:author="AbbVie1" w:date="2025-05-13T10:11:00Z"/>
        </w:rPr>
      </w:pPr>
      <w:del w:id="13151" w:author="AbbVie1" w:date="2025-05-13T10:11:00Z">
        <w:r w:rsidRPr="001B4A02">
          <w:delText>střevní infekce (včetně gastroenteritidy);</w:delText>
        </w:r>
      </w:del>
    </w:p>
    <w:p w14:paraId="0E20DD19" w14:textId="77777777" w:rsidR="00E23DF0" w:rsidRPr="001B4A02" w:rsidRDefault="00000000" w:rsidP="007C5EA6">
      <w:pPr>
        <w:numPr>
          <w:ilvl w:val="0"/>
          <w:numId w:val="49"/>
        </w:numPr>
        <w:tabs>
          <w:tab w:val="clear" w:pos="720"/>
        </w:tabs>
        <w:ind w:left="567" w:hanging="567"/>
        <w:rPr>
          <w:del w:id="13152" w:author="AbbVie1" w:date="2025-05-13T10:11:00Z"/>
        </w:rPr>
      </w:pPr>
      <w:del w:id="13153" w:author="AbbVie1" w:date="2025-05-13T10:11:00Z">
        <w:r w:rsidRPr="001B4A02">
          <w:rPr>
            <w:bCs/>
            <w:szCs w:val="22"/>
          </w:rPr>
          <w:delText>kožní infekce (včetně celulitidy</w:delText>
        </w:r>
        <w:r w:rsidR="002378E0">
          <w:rPr>
            <w:bCs/>
            <w:szCs w:val="22"/>
          </w:rPr>
          <w:delText xml:space="preserve"> a </w:delText>
        </w:r>
        <w:r w:rsidRPr="001B4A02">
          <w:rPr>
            <w:bCs/>
            <w:szCs w:val="22"/>
          </w:rPr>
          <w:delText>pásového oparu)</w:delText>
        </w:r>
        <w:r w:rsidRPr="001B4A02">
          <w:delText>;</w:delText>
        </w:r>
      </w:del>
    </w:p>
    <w:p w14:paraId="1DCEB39E" w14:textId="77777777" w:rsidR="00E23DF0" w:rsidRPr="001B4A02" w:rsidRDefault="00000000" w:rsidP="007C5EA6">
      <w:pPr>
        <w:numPr>
          <w:ilvl w:val="0"/>
          <w:numId w:val="49"/>
        </w:numPr>
        <w:tabs>
          <w:tab w:val="clear" w:pos="720"/>
        </w:tabs>
        <w:ind w:left="567" w:hanging="567"/>
        <w:rPr>
          <w:del w:id="13154" w:author="AbbVie1" w:date="2025-05-13T10:11:00Z"/>
        </w:rPr>
      </w:pPr>
      <w:del w:id="13155" w:author="AbbVie1" w:date="2025-05-13T10:11:00Z">
        <w:r w:rsidRPr="001B4A02">
          <w:delText>ušní infekce;</w:delText>
        </w:r>
      </w:del>
    </w:p>
    <w:p w14:paraId="1DCD7C55" w14:textId="77777777" w:rsidR="00E23DF0" w:rsidRPr="001B4A02" w:rsidRDefault="00000000" w:rsidP="007C5EA6">
      <w:pPr>
        <w:numPr>
          <w:ilvl w:val="0"/>
          <w:numId w:val="49"/>
        </w:numPr>
        <w:tabs>
          <w:tab w:val="clear" w:pos="720"/>
        </w:tabs>
        <w:ind w:left="567" w:hanging="567"/>
        <w:rPr>
          <w:del w:id="13156" w:author="AbbVie1" w:date="2025-05-13T10:11:00Z"/>
        </w:rPr>
      </w:pPr>
      <w:del w:id="13157" w:author="AbbVie1" w:date="2025-05-13T10:11:00Z">
        <w:r w:rsidRPr="001B4A02">
          <w:rPr>
            <w:bCs/>
            <w:szCs w:val="22"/>
          </w:rPr>
          <w:delText>infekce v ústech (včetně zubních infekcí</w:delText>
        </w:r>
        <w:r w:rsidR="002378E0">
          <w:rPr>
            <w:bCs/>
            <w:szCs w:val="22"/>
          </w:rPr>
          <w:delText xml:space="preserve"> a </w:delText>
        </w:r>
        <w:r w:rsidRPr="001B4A02">
          <w:rPr>
            <w:bCs/>
            <w:szCs w:val="22"/>
          </w:rPr>
          <w:delText>oparu na rtu)</w:delText>
        </w:r>
        <w:r w:rsidRPr="001B4A02">
          <w:delText>;</w:delText>
        </w:r>
      </w:del>
    </w:p>
    <w:p w14:paraId="6F278ABD" w14:textId="77777777" w:rsidR="00E23DF0" w:rsidRPr="001B4A02" w:rsidRDefault="00000000" w:rsidP="007C5EA6">
      <w:pPr>
        <w:numPr>
          <w:ilvl w:val="0"/>
          <w:numId w:val="49"/>
        </w:numPr>
        <w:tabs>
          <w:tab w:val="clear" w:pos="720"/>
        </w:tabs>
        <w:ind w:left="567" w:hanging="567"/>
        <w:rPr>
          <w:del w:id="13158" w:author="AbbVie1" w:date="2025-05-13T10:11:00Z"/>
        </w:rPr>
      </w:pPr>
      <w:del w:id="13159" w:author="AbbVie1" w:date="2025-05-13T10:11:00Z">
        <w:r w:rsidRPr="001B4A02">
          <w:rPr>
            <w:bCs/>
            <w:szCs w:val="22"/>
          </w:rPr>
          <w:delText>infekce pohlavních orgánů</w:delText>
        </w:r>
        <w:r w:rsidRPr="001B4A02">
          <w:delText>;</w:delText>
        </w:r>
      </w:del>
    </w:p>
    <w:p w14:paraId="5B0267E6" w14:textId="77777777" w:rsidR="00073F8F" w:rsidRPr="001B4A02" w:rsidRDefault="00000000" w:rsidP="007C5EA6">
      <w:pPr>
        <w:numPr>
          <w:ilvl w:val="0"/>
          <w:numId w:val="49"/>
        </w:numPr>
        <w:tabs>
          <w:tab w:val="clear" w:pos="720"/>
        </w:tabs>
        <w:ind w:left="567" w:hanging="567"/>
        <w:rPr>
          <w:del w:id="13160" w:author="AbbVie1" w:date="2025-05-13T10:11:00Z"/>
        </w:rPr>
      </w:pPr>
      <w:del w:id="13161" w:author="AbbVie1" w:date="2025-05-13T10:11:00Z">
        <w:r w:rsidRPr="001B4A02">
          <w:delText>zánět</w:delText>
        </w:r>
        <w:r w:rsidR="00E23DF0" w:rsidRPr="001B4A02">
          <w:delText>y</w:delText>
        </w:r>
        <w:r w:rsidRPr="001B4A02">
          <w:delText xml:space="preserve"> močových cest;</w:delText>
        </w:r>
      </w:del>
    </w:p>
    <w:p w14:paraId="0658CA7C" w14:textId="77777777" w:rsidR="00073F8F" w:rsidRPr="001B4A02" w:rsidRDefault="00000000" w:rsidP="007C5EA6">
      <w:pPr>
        <w:numPr>
          <w:ilvl w:val="0"/>
          <w:numId w:val="49"/>
        </w:numPr>
        <w:tabs>
          <w:tab w:val="clear" w:pos="720"/>
        </w:tabs>
        <w:ind w:left="567" w:hanging="567"/>
        <w:rPr>
          <w:del w:id="13162" w:author="AbbVie1" w:date="2025-05-13T10:11:00Z"/>
        </w:rPr>
      </w:pPr>
      <w:del w:id="13163" w:author="AbbVie1" w:date="2025-05-13T10:11:00Z">
        <w:r w:rsidRPr="001B4A02">
          <w:rPr>
            <w:bCs/>
            <w:szCs w:val="22"/>
          </w:rPr>
          <w:delText>plísňové infekce</w:delText>
        </w:r>
        <w:r w:rsidRPr="001B4A02">
          <w:delText>;</w:delText>
        </w:r>
      </w:del>
    </w:p>
    <w:p w14:paraId="175CA80E" w14:textId="77777777" w:rsidR="00B00EA5" w:rsidRPr="001B4A02" w:rsidRDefault="00000000" w:rsidP="007C5EA6">
      <w:pPr>
        <w:numPr>
          <w:ilvl w:val="0"/>
          <w:numId w:val="49"/>
        </w:numPr>
        <w:tabs>
          <w:tab w:val="clear" w:pos="720"/>
        </w:tabs>
        <w:ind w:left="567" w:hanging="567"/>
        <w:rPr>
          <w:del w:id="13164" w:author="AbbVie1" w:date="2025-05-13T10:11:00Z"/>
        </w:rPr>
      </w:pPr>
      <w:del w:id="13165" w:author="AbbVie1" w:date="2025-05-13T10:11:00Z">
        <w:r w:rsidRPr="001B4A02">
          <w:delText>záněty kloubů;</w:delText>
        </w:r>
      </w:del>
    </w:p>
    <w:p w14:paraId="58A7CC9E" w14:textId="77777777" w:rsidR="00E23DF0" w:rsidRPr="001B4A02" w:rsidRDefault="00000000" w:rsidP="007C5EA6">
      <w:pPr>
        <w:numPr>
          <w:ilvl w:val="0"/>
          <w:numId w:val="49"/>
        </w:numPr>
        <w:tabs>
          <w:tab w:val="clear" w:pos="720"/>
        </w:tabs>
        <w:ind w:left="567" w:hanging="567"/>
        <w:rPr>
          <w:del w:id="13166" w:author="AbbVie1" w:date="2025-05-13T10:11:00Z"/>
          <w:shd w:val="clear" w:color="auto" w:fill="FFFF00"/>
        </w:rPr>
      </w:pPr>
      <w:del w:id="13167" w:author="AbbVie1" w:date="2025-05-13T10:11:00Z">
        <w:r w:rsidRPr="001B4A02">
          <w:delText>nezhoubné nádory;</w:delText>
        </w:r>
      </w:del>
    </w:p>
    <w:p w14:paraId="3861B7B2" w14:textId="77777777" w:rsidR="00E23DF0" w:rsidRPr="001B4A02" w:rsidRDefault="00000000" w:rsidP="007C5EA6">
      <w:pPr>
        <w:numPr>
          <w:ilvl w:val="0"/>
          <w:numId w:val="49"/>
        </w:numPr>
        <w:tabs>
          <w:tab w:val="clear" w:pos="720"/>
        </w:tabs>
        <w:ind w:left="567" w:hanging="567"/>
        <w:rPr>
          <w:del w:id="13168" w:author="AbbVie1" w:date="2025-05-13T10:11:00Z"/>
          <w:shd w:val="clear" w:color="auto" w:fill="FFFF00"/>
        </w:rPr>
      </w:pPr>
      <w:del w:id="13169" w:author="AbbVie1" w:date="2025-05-13T10:11:00Z">
        <w:r w:rsidRPr="001B4A02">
          <w:delText>rakovina kůže;</w:delText>
        </w:r>
      </w:del>
    </w:p>
    <w:p w14:paraId="17D0E987" w14:textId="77777777" w:rsidR="00E23DF0" w:rsidRPr="001B4A02" w:rsidRDefault="00000000" w:rsidP="007C5EA6">
      <w:pPr>
        <w:numPr>
          <w:ilvl w:val="0"/>
          <w:numId w:val="49"/>
        </w:numPr>
        <w:tabs>
          <w:tab w:val="clear" w:pos="720"/>
        </w:tabs>
        <w:ind w:left="567" w:hanging="567"/>
        <w:rPr>
          <w:del w:id="13170" w:author="AbbVie1" w:date="2025-05-13T10:11:00Z"/>
          <w:shd w:val="clear" w:color="auto" w:fill="FFFF00"/>
        </w:rPr>
      </w:pPr>
      <w:del w:id="13171" w:author="AbbVie1" w:date="2025-05-13T10:11:00Z">
        <w:r w:rsidRPr="001B4A02">
          <w:delText>alergické reakce (včetně sezónní alergie);</w:delText>
        </w:r>
      </w:del>
    </w:p>
    <w:p w14:paraId="449BACEB" w14:textId="77777777" w:rsidR="00661A68" w:rsidRPr="001B4A02" w:rsidRDefault="00000000" w:rsidP="007C5EA6">
      <w:pPr>
        <w:numPr>
          <w:ilvl w:val="0"/>
          <w:numId w:val="49"/>
        </w:numPr>
        <w:tabs>
          <w:tab w:val="clear" w:pos="720"/>
        </w:tabs>
        <w:ind w:left="567" w:hanging="567"/>
        <w:rPr>
          <w:del w:id="13172" w:author="AbbVie1" w:date="2025-05-13T10:11:00Z"/>
          <w:shd w:val="clear" w:color="auto" w:fill="FFFF00"/>
        </w:rPr>
      </w:pPr>
      <w:del w:id="13173" w:author="AbbVie1" w:date="2025-05-13T10:11:00Z">
        <w:r w:rsidRPr="001B4A02">
          <w:delText>dehydratace;</w:delText>
        </w:r>
      </w:del>
    </w:p>
    <w:p w14:paraId="23459B26" w14:textId="77777777" w:rsidR="00E23DF0" w:rsidRPr="001B4A02" w:rsidRDefault="00000000" w:rsidP="007C5EA6">
      <w:pPr>
        <w:numPr>
          <w:ilvl w:val="0"/>
          <w:numId w:val="49"/>
        </w:numPr>
        <w:tabs>
          <w:tab w:val="clear" w:pos="720"/>
        </w:tabs>
        <w:ind w:left="567" w:hanging="567"/>
        <w:rPr>
          <w:del w:id="13174" w:author="AbbVie1" w:date="2025-05-13T10:11:00Z"/>
          <w:shd w:val="clear" w:color="auto" w:fill="FFFF00"/>
        </w:rPr>
      </w:pPr>
      <w:del w:id="13175" w:author="AbbVie1" w:date="2025-05-13T10:11:00Z">
        <w:r w:rsidRPr="001B4A02">
          <w:delText>změny nálad (včetně deprese);</w:delText>
        </w:r>
      </w:del>
    </w:p>
    <w:p w14:paraId="405DCA3C" w14:textId="77777777" w:rsidR="00E23DF0" w:rsidRPr="001B4A02" w:rsidRDefault="00000000" w:rsidP="007C5EA6">
      <w:pPr>
        <w:numPr>
          <w:ilvl w:val="0"/>
          <w:numId w:val="49"/>
        </w:numPr>
        <w:tabs>
          <w:tab w:val="clear" w:pos="720"/>
        </w:tabs>
        <w:ind w:left="567" w:hanging="567"/>
        <w:rPr>
          <w:del w:id="13176" w:author="AbbVie1" w:date="2025-05-13T10:11:00Z"/>
          <w:shd w:val="clear" w:color="auto" w:fill="FFFF00"/>
        </w:rPr>
      </w:pPr>
      <w:del w:id="13177" w:author="AbbVie1" w:date="2025-05-13T10:11:00Z">
        <w:r w:rsidRPr="001B4A02">
          <w:delText>úzkost;</w:delText>
        </w:r>
      </w:del>
    </w:p>
    <w:p w14:paraId="692439EF" w14:textId="77777777" w:rsidR="00E23DF0" w:rsidRPr="001B4A02" w:rsidRDefault="00000000" w:rsidP="007C5EA6">
      <w:pPr>
        <w:numPr>
          <w:ilvl w:val="0"/>
          <w:numId w:val="49"/>
        </w:numPr>
        <w:tabs>
          <w:tab w:val="clear" w:pos="720"/>
        </w:tabs>
        <w:ind w:left="567" w:hanging="567"/>
        <w:rPr>
          <w:del w:id="13178" w:author="AbbVie1" w:date="2025-05-13T10:11:00Z"/>
          <w:shd w:val="clear" w:color="auto" w:fill="FFFF00"/>
        </w:rPr>
      </w:pPr>
      <w:del w:id="13179" w:author="AbbVie1" w:date="2025-05-13T10:11:00Z">
        <w:r w:rsidRPr="001B4A02">
          <w:delText>obtížné usínání;</w:delText>
        </w:r>
      </w:del>
    </w:p>
    <w:p w14:paraId="2DCF735F" w14:textId="77777777" w:rsidR="00E23DF0" w:rsidRPr="001B4A02" w:rsidRDefault="00000000" w:rsidP="007C5EA6">
      <w:pPr>
        <w:numPr>
          <w:ilvl w:val="0"/>
          <w:numId w:val="49"/>
        </w:numPr>
        <w:tabs>
          <w:tab w:val="clear" w:pos="720"/>
        </w:tabs>
        <w:ind w:left="567" w:hanging="567"/>
        <w:rPr>
          <w:del w:id="13180" w:author="AbbVie1" w:date="2025-05-13T10:11:00Z"/>
          <w:shd w:val="clear" w:color="auto" w:fill="FFFF00"/>
        </w:rPr>
      </w:pPr>
      <w:del w:id="13181" w:author="AbbVie1" w:date="2025-05-13T10:11:00Z">
        <w:r w:rsidRPr="001B4A02">
          <w:delText>poruchy pocitového vnímání</w:delText>
        </w:r>
        <w:r w:rsidR="00A27A27" w:rsidRPr="001B4A02">
          <w:delText>,</w:delText>
        </w:r>
        <w:r w:rsidRPr="001B4A02">
          <w:delText xml:space="preserve"> jako je brnění, svědění nebo znecitlivění;</w:delText>
        </w:r>
      </w:del>
    </w:p>
    <w:p w14:paraId="0A89CC6C" w14:textId="77777777" w:rsidR="00E23DF0" w:rsidRPr="001B4A02" w:rsidRDefault="00000000" w:rsidP="007C5EA6">
      <w:pPr>
        <w:numPr>
          <w:ilvl w:val="0"/>
          <w:numId w:val="49"/>
        </w:numPr>
        <w:tabs>
          <w:tab w:val="clear" w:pos="720"/>
        </w:tabs>
        <w:ind w:left="567" w:hanging="567"/>
        <w:rPr>
          <w:del w:id="13182" w:author="AbbVie1" w:date="2025-05-13T10:11:00Z"/>
          <w:shd w:val="clear" w:color="auto" w:fill="FFFF00"/>
        </w:rPr>
      </w:pPr>
      <w:del w:id="13183" w:author="AbbVie1" w:date="2025-05-13T10:11:00Z">
        <w:r w:rsidRPr="001B4A02">
          <w:delText>migréna;</w:delText>
        </w:r>
      </w:del>
    </w:p>
    <w:p w14:paraId="6373F498" w14:textId="77777777" w:rsidR="00E23DF0" w:rsidRPr="001B4A02" w:rsidRDefault="00000000" w:rsidP="007C5EA6">
      <w:pPr>
        <w:numPr>
          <w:ilvl w:val="0"/>
          <w:numId w:val="49"/>
        </w:numPr>
        <w:tabs>
          <w:tab w:val="clear" w:pos="720"/>
        </w:tabs>
        <w:ind w:left="567" w:hanging="567"/>
        <w:rPr>
          <w:del w:id="13184" w:author="AbbVie1" w:date="2025-05-13T10:11:00Z"/>
          <w:shd w:val="clear" w:color="auto" w:fill="FFFF00"/>
        </w:rPr>
      </w:pPr>
      <w:del w:id="13185" w:author="AbbVie1" w:date="2025-05-13T10:11:00Z">
        <w:r w:rsidRPr="001B4A02">
          <w:delText>útlak nervových kořenů (včetně bolesti v bedrech</w:delText>
        </w:r>
        <w:r w:rsidR="002378E0">
          <w:delText xml:space="preserve"> a </w:delText>
        </w:r>
        <w:r w:rsidRPr="001B4A02">
          <w:delText>bolesti dolních končetin);</w:delText>
        </w:r>
      </w:del>
    </w:p>
    <w:p w14:paraId="727B4F3F" w14:textId="77777777" w:rsidR="00E23DF0" w:rsidRPr="001B4A02" w:rsidRDefault="00000000" w:rsidP="007C5EA6">
      <w:pPr>
        <w:numPr>
          <w:ilvl w:val="0"/>
          <w:numId w:val="49"/>
        </w:numPr>
        <w:tabs>
          <w:tab w:val="clear" w:pos="720"/>
        </w:tabs>
        <w:ind w:left="567" w:hanging="567"/>
        <w:rPr>
          <w:del w:id="13186" w:author="AbbVie1" w:date="2025-05-13T10:11:00Z"/>
          <w:shd w:val="clear" w:color="auto" w:fill="FFFF00"/>
        </w:rPr>
      </w:pPr>
      <w:del w:id="13187" w:author="AbbVie1" w:date="2025-05-13T10:11:00Z">
        <w:r w:rsidRPr="001B4A02">
          <w:delText>poruchy zraku;</w:delText>
        </w:r>
      </w:del>
    </w:p>
    <w:p w14:paraId="7F9C1087" w14:textId="77777777" w:rsidR="00E23DF0" w:rsidRPr="001B4A02" w:rsidRDefault="00000000" w:rsidP="007C5EA6">
      <w:pPr>
        <w:numPr>
          <w:ilvl w:val="0"/>
          <w:numId w:val="49"/>
        </w:numPr>
        <w:tabs>
          <w:tab w:val="clear" w:pos="720"/>
        </w:tabs>
        <w:ind w:left="567" w:hanging="567"/>
        <w:rPr>
          <w:del w:id="13188" w:author="AbbVie1" w:date="2025-05-13T10:11:00Z"/>
        </w:rPr>
      </w:pPr>
      <w:del w:id="13189" w:author="AbbVie1" w:date="2025-05-13T10:11:00Z">
        <w:r w:rsidRPr="001B4A02">
          <w:delText>oční infekce;</w:delText>
        </w:r>
      </w:del>
    </w:p>
    <w:p w14:paraId="213319EF" w14:textId="77777777" w:rsidR="00B00EA5" w:rsidRPr="001B4A02" w:rsidRDefault="00000000" w:rsidP="007C5EA6">
      <w:pPr>
        <w:numPr>
          <w:ilvl w:val="0"/>
          <w:numId w:val="49"/>
        </w:numPr>
        <w:tabs>
          <w:tab w:val="clear" w:pos="720"/>
        </w:tabs>
        <w:ind w:left="567" w:hanging="567"/>
        <w:rPr>
          <w:del w:id="13190" w:author="AbbVie1" w:date="2025-05-13T10:11:00Z"/>
        </w:rPr>
      </w:pPr>
      <w:del w:id="13191" w:author="AbbVie1" w:date="2025-05-13T10:11:00Z">
        <w:r w:rsidRPr="001B4A02">
          <w:delText>záněty očního víčka</w:delText>
        </w:r>
        <w:r w:rsidR="002378E0">
          <w:delText xml:space="preserve"> a </w:delText>
        </w:r>
        <w:r w:rsidRPr="001B4A02">
          <w:delText>otoky oka;</w:delText>
        </w:r>
      </w:del>
    </w:p>
    <w:p w14:paraId="4076A849" w14:textId="77777777" w:rsidR="00073F8F" w:rsidRPr="001B4A02" w:rsidRDefault="00000000" w:rsidP="007C5EA6">
      <w:pPr>
        <w:numPr>
          <w:ilvl w:val="0"/>
          <w:numId w:val="49"/>
        </w:numPr>
        <w:tabs>
          <w:tab w:val="clear" w:pos="720"/>
        </w:tabs>
        <w:ind w:left="567" w:hanging="567"/>
        <w:rPr>
          <w:del w:id="13192" w:author="AbbVie1" w:date="2025-05-13T10:11:00Z"/>
        </w:rPr>
      </w:pPr>
      <w:del w:id="13193" w:author="AbbVie1" w:date="2025-05-13T10:11:00Z">
        <w:r w:rsidRPr="001B4A02">
          <w:delText>točení hlavy;</w:delText>
        </w:r>
      </w:del>
    </w:p>
    <w:p w14:paraId="2322D6C8"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194" w:author="AbbVie1" w:date="2025-05-13T10:11:00Z"/>
          <w:lang w:val="cs-CZ"/>
        </w:rPr>
      </w:pPr>
      <w:del w:id="13195" w:author="AbbVie1" w:date="2025-05-13T10:11:00Z">
        <w:r w:rsidRPr="001B4A02">
          <w:rPr>
            <w:lang w:val="cs-CZ"/>
          </w:rPr>
          <w:delText>pocity rychlého bušení srdce;</w:delText>
        </w:r>
      </w:del>
    </w:p>
    <w:p w14:paraId="0A967D78"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196" w:author="AbbVie1" w:date="2025-05-13T10:11:00Z"/>
          <w:lang w:val="cs-CZ"/>
        </w:rPr>
      </w:pPr>
      <w:del w:id="13197" w:author="AbbVie1" w:date="2025-05-13T10:11:00Z">
        <w:r w:rsidRPr="001B4A02">
          <w:rPr>
            <w:lang w:val="cs-CZ"/>
          </w:rPr>
          <w:delText>vysoký krevní tlak;</w:delText>
        </w:r>
      </w:del>
    </w:p>
    <w:p w14:paraId="4A580AA8"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198" w:author="AbbVie1" w:date="2025-05-13T10:11:00Z"/>
          <w:lang w:val="cs-CZ"/>
        </w:rPr>
      </w:pPr>
      <w:del w:id="13199" w:author="AbbVie1" w:date="2025-05-13T10:11:00Z">
        <w:r w:rsidRPr="001B4A02">
          <w:rPr>
            <w:lang w:val="cs-CZ"/>
          </w:rPr>
          <w:delText>návaly hork</w:delText>
        </w:r>
        <w:r w:rsidR="006D39E6">
          <w:rPr>
            <w:lang w:val="cs-CZ"/>
          </w:rPr>
          <w:delText>a</w:delText>
        </w:r>
        <w:r w:rsidRPr="001B4A02">
          <w:rPr>
            <w:lang w:val="cs-CZ"/>
          </w:rPr>
          <w:delText>;</w:delText>
        </w:r>
      </w:del>
    </w:p>
    <w:p w14:paraId="2E9DB35D"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00" w:author="AbbVie1" w:date="2025-05-13T10:11:00Z"/>
          <w:lang w:val="cs-CZ"/>
        </w:rPr>
      </w:pPr>
      <w:del w:id="13201" w:author="AbbVie1" w:date="2025-05-13T10:11:00Z">
        <w:r w:rsidRPr="001B4A02">
          <w:rPr>
            <w:lang w:val="cs-CZ"/>
          </w:rPr>
          <w:delText>krevní podlitiny;</w:delText>
        </w:r>
      </w:del>
    </w:p>
    <w:p w14:paraId="72F6B293" w14:textId="77777777" w:rsidR="00073F8F" w:rsidRPr="001B4A02" w:rsidRDefault="00000000" w:rsidP="007C5EA6">
      <w:pPr>
        <w:pStyle w:val="EMEANormal"/>
        <w:numPr>
          <w:ilvl w:val="0"/>
          <w:numId w:val="49"/>
        </w:numPr>
        <w:tabs>
          <w:tab w:val="clear" w:pos="562"/>
          <w:tab w:val="clear" w:pos="720"/>
        </w:tabs>
        <w:suppressAutoHyphens w:val="0"/>
        <w:ind w:left="567" w:hanging="567"/>
        <w:rPr>
          <w:del w:id="13202" w:author="AbbVie1" w:date="2025-05-13T10:11:00Z"/>
          <w:lang w:val="cs-CZ"/>
        </w:rPr>
      </w:pPr>
      <w:del w:id="13203" w:author="AbbVie1" w:date="2025-05-13T10:11:00Z">
        <w:r w:rsidRPr="001B4A02">
          <w:rPr>
            <w:lang w:val="cs-CZ"/>
          </w:rPr>
          <w:delText xml:space="preserve">kašel; </w:delText>
        </w:r>
      </w:del>
    </w:p>
    <w:p w14:paraId="7D2DAFA7"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04" w:author="AbbVie1" w:date="2025-05-13T10:11:00Z"/>
          <w:lang w:val="cs-CZ"/>
        </w:rPr>
      </w:pPr>
      <w:del w:id="13205" w:author="AbbVie1" w:date="2025-05-13T10:11:00Z">
        <w:r w:rsidRPr="001B4A02">
          <w:rPr>
            <w:lang w:val="cs-CZ"/>
          </w:rPr>
          <w:delText>astma;</w:delText>
        </w:r>
      </w:del>
    </w:p>
    <w:p w14:paraId="5CB89C6B"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06" w:author="AbbVie1" w:date="2025-05-13T10:11:00Z"/>
          <w:lang w:val="cs-CZ"/>
        </w:rPr>
      </w:pPr>
      <w:del w:id="13207" w:author="AbbVie1" w:date="2025-05-13T10:11:00Z">
        <w:r w:rsidRPr="001B4A02">
          <w:rPr>
            <w:lang w:val="cs-CZ"/>
          </w:rPr>
          <w:delText>zkrácení dechu;</w:delText>
        </w:r>
      </w:del>
    </w:p>
    <w:p w14:paraId="31558D5D"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08" w:author="AbbVie1" w:date="2025-05-13T10:11:00Z"/>
          <w:lang w:val="cs-CZ"/>
        </w:rPr>
      </w:pPr>
      <w:del w:id="13209" w:author="AbbVie1" w:date="2025-05-13T10:11:00Z">
        <w:r w:rsidRPr="001B4A02">
          <w:rPr>
            <w:lang w:val="cs-CZ"/>
          </w:rPr>
          <w:delText>krvácení ze zažívacího ústrojí;</w:delText>
        </w:r>
      </w:del>
    </w:p>
    <w:p w14:paraId="3A1CF01E"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10" w:author="AbbVie1" w:date="2025-05-13T10:11:00Z"/>
          <w:lang w:val="cs-CZ"/>
        </w:rPr>
      </w:pPr>
      <w:del w:id="13211" w:author="AbbVie1" w:date="2025-05-13T10:11:00Z">
        <w:r w:rsidRPr="001B4A02">
          <w:rPr>
            <w:lang w:val="cs-CZ"/>
          </w:rPr>
          <w:delText>zažívací obtíže (poruchy trávení, nadýmání, pálení žáhy);</w:delText>
        </w:r>
      </w:del>
    </w:p>
    <w:p w14:paraId="033485BF"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12" w:author="AbbVie1" w:date="2025-05-13T10:11:00Z"/>
          <w:lang w:val="cs-CZ"/>
        </w:rPr>
      </w:pPr>
      <w:del w:id="13213" w:author="AbbVie1" w:date="2025-05-13T10:11:00Z">
        <w:r w:rsidRPr="001B4A02">
          <w:rPr>
            <w:lang w:val="cs-CZ"/>
          </w:rPr>
          <w:delText>refluxní choroba jícnu;</w:delText>
        </w:r>
      </w:del>
    </w:p>
    <w:p w14:paraId="10FB9182" w14:textId="77777777" w:rsidR="00073F8F" w:rsidRPr="001B4A02" w:rsidRDefault="00000000" w:rsidP="007C5EA6">
      <w:pPr>
        <w:pStyle w:val="EMEANormal"/>
        <w:numPr>
          <w:ilvl w:val="0"/>
          <w:numId w:val="49"/>
        </w:numPr>
        <w:tabs>
          <w:tab w:val="clear" w:pos="562"/>
          <w:tab w:val="clear" w:pos="720"/>
        </w:tabs>
        <w:suppressAutoHyphens w:val="0"/>
        <w:ind w:left="567" w:hanging="567"/>
        <w:rPr>
          <w:del w:id="13214" w:author="AbbVie1" w:date="2025-05-13T10:11:00Z"/>
          <w:shd w:val="clear" w:color="auto" w:fill="FFFF00"/>
          <w:lang w:val="cs-CZ"/>
        </w:rPr>
      </w:pPr>
      <w:del w:id="13215" w:author="AbbVie1" w:date="2025-05-13T10:11:00Z">
        <w:r w:rsidRPr="001B4A02">
          <w:rPr>
            <w:lang w:val="cs-CZ"/>
          </w:rPr>
          <w:delText>sicca syndrom (včetně suchých očí</w:delText>
        </w:r>
        <w:r w:rsidR="002378E0">
          <w:rPr>
            <w:lang w:val="cs-CZ"/>
          </w:rPr>
          <w:delText xml:space="preserve"> a </w:delText>
        </w:r>
        <w:r w:rsidRPr="001B4A02">
          <w:rPr>
            <w:lang w:val="cs-CZ"/>
          </w:rPr>
          <w:delText>suchosti v</w:delText>
        </w:r>
        <w:r w:rsidR="000928E6" w:rsidRPr="001B4A02">
          <w:rPr>
            <w:lang w:val="cs-CZ"/>
          </w:rPr>
          <w:delText> </w:delText>
        </w:r>
        <w:r w:rsidRPr="001B4A02">
          <w:rPr>
            <w:lang w:val="cs-CZ"/>
          </w:rPr>
          <w:delText xml:space="preserve">ústech); </w:delText>
        </w:r>
      </w:del>
    </w:p>
    <w:p w14:paraId="1E09E6A6" w14:textId="77777777" w:rsidR="00073F8F" w:rsidRPr="001B4A02" w:rsidRDefault="00000000" w:rsidP="007C5EA6">
      <w:pPr>
        <w:pStyle w:val="EMEANormal"/>
        <w:numPr>
          <w:ilvl w:val="0"/>
          <w:numId w:val="49"/>
        </w:numPr>
        <w:tabs>
          <w:tab w:val="clear" w:pos="562"/>
          <w:tab w:val="clear" w:pos="720"/>
        </w:tabs>
        <w:suppressAutoHyphens w:val="0"/>
        <w:ind w:left="567" w:hanging="567"/>
        <w:rPr>
          <w:del w:id="13216" w:author="AbbVie1" w:date="2025-05-13T10:11:00Z"/>
          <w:shd w:val="clear" w:color="auto" w:fill="FFFF00"/>
          <w:lang w:val="cs-CZ"/>
        </w:rPr>
      </w:pPr>
      <w:del w:id="13217" w:author="AbbVie1" w:date="2025-05-13T10:11:00Z">
        <w:r w:rsidRPr="001B4A02">
          <w:rPr>
            <w:lang w:val="cs-CZ"/>
          </w:rPr>
          <w:delText>svědění;</w:delText>
        </w:r>
        <w:r w:rsidRPr="001B4A02">
          <w:rPr>
            <w:shd w:val="clear" w:color="auto" w:fill="FFFF00"/>
            <w:lang w:val="cs-CZ"/>
          </w:rPr>
          <w:delText xml:space="preserve"> </w:delText>
        </w:r>
      </w:del>
    </w:p>
    <w:p w14:paraId="7CE21E2E"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18" w:author="AbbVie1" w:date="2025-05-13T10:11:00Z"/>
          <w:shd w:val="clear" w:color="auto" w:fill="FFFF00"/>
          <w:lang w:val="cs-CZ"/>
        </w:rPr>
      </w:pPr>
      <w:del w:id="13219" w:author="AbbVie1" w:date="2025-05-13T10:11:00Z">
        <w:r w:rsidRPr="001B4A02">
          <w:rPr>
            <w:lang w:val="cs-CZ"/>
          </w:rPr>
          <w:delText>svědivá vyrážka;</w:delText>
        </w:r>
      </w:del>
    </w:p>
    <w:p w14:paraId="09ACCD8A"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20" w:author="AbbVie1" w:date="2025-05-13T10:11:00Z"/>
          <w:shd w:val="clear" w:color="auto" w:fill="FFFF00"/>
          <w:lang w:val="cs-CZ"/>
        </w:rPr>
      </w:pPr>
      <w:del w:id="13221" w:author="AbbVie1" w:date="2025-05-13T10:11:00Z">
        <w:r w:rsidRPr="001B4A02">
          <w:rPr>
            <w:lang w:val="cs-CZ"/>
          </w:rPr>
          <w:delText>tvorba modřin;</w:delText>
        </w:r>
      </w:del>
    </w:p>
    <w:p w14:paraId="4555E04E"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22" w:author="AbbVie1" w:date="2025-05-13T10:11:00Z"/>
          <w:shd w:val="clear" w:color="auto" w:fill="FFFF00"/>
          <w:lang w:val="cs-CZ"/>
        </w:rPr>
      </w:pPr>
      <w:del w:id="13223" w:author="AbbVie1" w:date="2025-05-13T10:11:00Z">
        <w:r w:rsidRPr="001B4A02">
          <w:rPr>
            <w:lang w:val="cs-CZ"/>
          </w:rPr>
          <w:delText>záněty kůže (jako je ekzém);</w:delText>
        </w:r>
      </w:del>
    </w:p>
    <w:p w14:paraId="0A8ADA85"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24" w:author="AbbVie1" w:date="2025-05-13T10:11:00Z"/>
          <w:shd w:val="clear" w:color="auto" w:fill="FFFF00"/>
          <w:lang w:val="cs-CZ"/>
        </w:rPr>
      </w:pPr>
      <w:del w:id="13225" w:author="AbbVie1" w:date="2025-05-13T10:11:00Z">
        <w:r w:rsidRPr="001B4A02">
          <w:rPr>
            <w:lang w:val="cs-CZ"/>
          </w:rPr>
          <w:delText>lámavost nehtů na prstech rukou</w:delText>
        </w:r>
        <w:r w:rsidR="002378E0">
          <w:rPr>
            <w:lang w:val="cs-CZ"/>
          </w:rPr>
          <w:delText xml:space="preserve"> a </w:delText>
        </w:r>
        <w:r w:rsidRPr="001B4A02">
          <w:rPr>
            <w:lang w:val="cs-CZ"/>
          </w:rPr>
          <w:delText>nohou;</w:delText>
        </w:r>
      </w:del>
    </w:p>
    <w:p w14:paraId="0BEDCD0D"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26" w:author="AbbVie1" w:date="2025-05-13T10:11:00Z"/>
          <w:shd w:val="clear" w:color="auto" w:fill="FFFF00"/>
          <w:lang w:val="cs-CZ"/>
        </w:rPr>
      </w:pPr>
      <w:del w:id="13227" w:author="AbbVie1" w:date="2025-05-13T10:11:00Z">
        <w:r w:rsidRPr="001B4A02">
          <w:rPr>
            <w:lang w:val="cs-CZ"/>
          </w:rPr>
          <w:delText>zvýšené pocení;</w:delText>
        </w:r>
      </w:del>
    </w:p>
    <w:p w14:paraId="3CE0300F" w14:textId="77777777" w:rsidR="00290BEB" w:rsidRPr="001B4A02" w:rsidRDefault="00000000" w:rsidP="007C5EA6">
      <w:pPr>
        <w:pStyle w:val="EMEANormal"/>
        <w:numPr>
          <w:ilvl w:val="0"/>
          <w:numId w:val="49"/>
        </w:numPr>
        <w:tabs>
          <w:tab w:val="clear" w:pos="562"/>
          <w:tab w:val="clear" w:pos="720"/>
        </w:tabs>
        <w:suppressAutoHyphens w:val="0"/>
        <w:ind w:left="567" w:hanging="567"/>
        <w:rPr>
          <w:del w:id="13228" w:author="AbbVie1" w:date="2025-05-13T10:11:00Z"/>
          <w:shd w:val="clear" w:color="auto" w:fill="FFFF00"/>
          <w:lang w:val="cs-CZ"/>
        </w:rPr>
      </w:pPr>
      <w:del w:id="13229" w:author="AbbVie1" w:date="2025-05-13T10:11:00Z">
        <w:r w:rsidRPr="001B4A02">
          <w:rPr>
            <w:lang w:val="cs-CZ"/>
          </w:rPr>
          <w:delText>vypadávání vlasů</w:delText>
        </w:r>
        <w:r w:rsidRPr="001B4A02">
          <w:rPr>
            <w:lang w:val="cs-CZ" w:eastAsia="de-DE"/>
          </w:rPr>
          <w:delText>;</w:delText>
        </w:r>
      </w:del>
    </w:p>
    <w:p w14:paraId="7FA07C19" w14:textId="77777777" w:rsidR="00290BEB" w:rsidRPr="001B4A02" w:rsidRDefault="00000000" w:rsidP="007C5EA6">
      <w:pPr>
        <w:pStyle w:val="EMEANormal"/>
        <w:numPr>
          <w:ilvl w:val="0"/>
          <w:numId w:val="49"/>
        </w:numPr>
        <w:tabs>
          <w:tab w:val="clear" w:pos="562"/>
          <w:tab w:val="clear" w:pos="720"/>
        </w:tabs>
        <w:suppressAutoHyphens w:val="0"/>
        <w:ind w:left="567" w:hanging="567"/>
        <w:rPr>
          <w:del w:id="13230" w:author="AbbVie1" w:date="2025-05-13T10:11:00Z"/>
          <w:shd w:val="clear" w:color="auto" w:fill="FFFF00"/>
          <w:lang w:val="cs-CZ"/>
        </w:rPr>
      </w:pPr>
      <w:del w:id="13231" w:author="AbbVie1" w:date="2025-05-13T10:11:00Z">
        <w:r w:rsidRPr="001B4A02">
          <w:rPr>
            <w:lang w:val="cs-CZ"/>
          </w:rPr>
          <w:delText>nový vznik nebo zhoršení psoriázy (lupénky);</w:delText>
        </w:r>
      </w:del>
    </w:p>
    <w:p w14:paraId="4AC5C451"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32" w:author="AbbVie1" w:date="2025-05-13T10:11:00Z"/>
          <w:shd w:val="clear" w:color="auto" w:fill="FFFF00"/>
          <w:lang w:val="cs-CZ"/>
        </w:rPr>
      </w:pPr>
      <w:del w:id="13233" w:author="AbbVie1" w:date="2025-05-13T10:11:00Z">
        <w:r w:rsidRPr="001B4A02">
          <w:rPr>
            <w:lang w:val="cs-CZ"/>
          </w:rPr>
          <w:delText>svalové křeče;</w:delText>
        </w:r>
      </w:del>
    </w:p>
    <w:p w14:paraId="20092D5F"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34" w:author="AbbVie1" w:date="2025-05-13T10:11:00Z"/>
          <w:shd w:val="clear" w:color="auto" w:fill="FFFF00"/>
          <w:lang w:val="cs-CZ"/>
        </w:rPr>
      </w:pPr>
      <w:del w:id="13235" w:author="AbbVie1" w:date="2025-05-13T10:11:00Z">
        <w:r w:rsidRPr="001B4A02">
          <w:rPr>
            <w:lang w:val="cs-CZ"/>
          </w:rPr>
          <w:delText>krev v moči;</w:delText>
        </w:r>
      </w:del>
    </w:p>
    <w:p w14:paraId="1B1E561A"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36" w:author="AbbVie1" w:date="2025-05-13T10:11:00Z"/>
          <w:shd w:val="clear" w:color="auto" w:fill="FFFF00"/>
          <w:lang w:val="cs-CZ"/>
        </w:rPr>
      </w:pPr>
      <w:del w:id="13237" w:author="AbbVie1" w:date="2025-05-13T10:11:00Z">
        <w:r w:rsidRPr="001B4A02">
          <w:rPr>
            <w:lang w:val="cs-CZ"/>
          </w:rPr>
          <w:delText>onemocnění ledvin;</w:delText>
        </w:r>
      </w:del>
    </w:p>
    <w:p w14:paraId="75D9ECF2"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38" w:author="AbbVie1" w:date="2025-05-13T10:11:00Z"/>
          <w:shd w:val="clear" w:color="auto" w:fill="FFFF00"/>
          <w:lang w:val="cs-CZ"/>
        </w:rPr>
      </w:pPr>
      <w:del w:id="13239" w:author="AbbVie1" w:date="2025-05-13T10:11:00Z">
        <w:r w:rsidRPr="001B4A02">
          <w:rPr>
            <w:lang w:val="cs-CZ"/>
          </w:rPr>
          <w:delText>bolest na hrudi;</w:delText>
        </w:r>
      </w:del>
    </w:p>
    <w:p w14:paraId="44640762"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40" w:author="AbbVie1" w:date="2025-05-13T10:11:00Z"/>
          <w:shd w:val="clear" w:color="auto" w:fill="FFFF00"/>
          <w:lang w:val="cs-CZ"/>
        </w:rPr>
      </w:pPr>
      <w:del w:id="13241" w:author="AbbVie1" w:date="2025-05-13T10:11:00Z">
        <w:r>
          <w:rPr>
            <w:lang w:val="cs-CZ"/>
          </w:rPr>
          <w:delText>edém (</w:delText>
        </w:r>
        <w:r w:rsidRPr="001B4A02">
          <w:rPr>
            <w:lang w:val="cs-CZ"/>
          </w:rPr>
          <w:delText>otok</w:delText>
        </w:r>
        <w:r>
          <w:rPr>
            <w:lang w:val="cs-CZ"/>
          </w:rPr>
          <w:delText>)</w:delText>
        </w:r>
        <w:r w:rsidRPr="001B4A02">
          <w:rPr>
            <w:lang w:val="cs-CZ"/>
          </w:rPr>
          <w:delText>;</w:delText>
        </w:r>
      </w:del>
    </w:p>
    <w:p w14:paraId="4C7C2406" w14:textId="77777777" w:rsidR="00B00EA5" w:rsidRPr="001B4A02" w:rsidRDefault="00000000" w:rsidP="007C5EA6">
      <w:pPr>
        <w:pStyle w:val="EMEANormal"/>
        <w:numPr>
          <w:ilvl w:val="0"/>
          <w:numId w:val="49"/>
        </w:numPr>
        <w:tabs>
          <w:tab w:val="clear" w:pos="562"/>
          <w:tab w:val="clear" w:pos="720"/>
        </w:tabs>
        <w:suppressAutoHyphens w:val="0"/>
        <w:ind w:left="567" w:hanging="567"/>
        <w:rPr>
          <w:del w:id="13242" w:author="AbbVie1" w:date="2025-05-13T10:11:00Z"/>
          <w:shd w:val="clear" w:color="auto" w:fill="FFFF00"/>
          <w:lang w:val="cs-CZ"/>
        </w:rPr>
      </w:pPr>
      <w:del w:id="13243" w:author="AbbVie1" w:date="2025-05-13T10:11:00Z">
        <w:r w:rsidRPr="001B4A02">
          <w:rPr>
            <w:lang w:val="cs-CZ"/>
          </w:rPr>
          <w:delText>horečka;</w:delText>
        </w:r>
      </w:del>
    </w:p>
    <w:p w14:paraId="517EE9D2" w14:textId="77777777" w:rsidR="00602C5F" w:rsidRPr="001B4A02" w:rsidRDefault="00000000" w:rsidP="007C5EA6">
      <w:pPr>
        <w:pStyle w:val="EMEANormal"/>
        <w:numPr>
          <w:ilvl w:val="0"/>
          <w:numId w:val="49"/>
        </w:numPr>
        <w:tabs>
          <w:tab w:val="clear" w:pos="562"/>
          <w:tab w:val="clear" w:pos="720"/>
        </w:tabs>
        <w:suppressAutoHyphens w:val="0"/>
        <w:ind w:left="567" w:hanging="567"/>
        <w:rPr>
          <w:del w:id="13244" w:author="AbbVie1" w:date="2025-05-13T10:11:00Z"/>
          <w:shd w:val="clear" w:color="auto" w:fill="FFFF00"/>
          <w:lang w:val="cs-CZ"/>
        </w:rPr>
      </w:pPr>
      <w:del w:id="13245" w:author="AbbVie1" w:date="2025-05-13T10:11:00Z">
        <w:r w:rsidRPr="001B4A02">
          <w:rPr>
            <w:lang w:val="cs-CZ"/>
          </w:rPr>
          <w:delText>snížení počtu krevních destiček, což zvyšuje riziko krvácení nebo tvorby modřin;</w:delText>
        </w:r>
      </w:del>
    </w:p>
    <w:p w14:paraId="0CDD0FDC" w14:textId="77777777" w:rsidR="00073F8F" w:rsidRPr="001B4A02" w:rsidRDefault="00000000" w:rsidP="007C5EA6">
      <w:pPr>
        <w:pStyle w:val="EMEANormal"/>
        <w:numPr>
          <w:ilvl w:val="0"/>
          <w:numId w:val="49"/>
        </w:numPr>
        <w:tabs>
          <w:tab w:val="clear" w:pos="562"/>
          <w:tab w:val="clear" w:pos="720"/>
        </w:tabs>
        <w:suppressAutoHyphens w:val="0"/>
        <w:ind w:left="567" w:hanging="567"/>
        <w:rPr>
          <w:del w:id="13246" w:author="AbbVie1" w:date="2025-05-13T10:11:00Z"/>
          <w:lang w:val="cs-CZ"/>
        </w:rPr>
      </w:pPr>
      <w:del w:id="13247" w:author="AbbVie1" w:date="2025-05-13T10:11:00Z">
        <w:r w:rsidRPr="001B4A02">
          <w:rPr>
            <w:lang w:val="cs-CZ"/>
          </w:rPr>
          <w:delText>poruchy hojení.</w:delText>
        </w:r>
      </w:del>
    </w:p>
    <w:p w14:paraId="17B613FC" w14:textId="77777777" w:rsidR="00073F8F" w:rsidRPr="001B4A02" w:rsidRDefault="00073F8F" w:rsidP="00ED48A3">
      <w:pPr>
        <w:ind w:left="0" w:firstLine="0"/>
        <w:rPr>
          <w:del w:id="13248" w:author="AbbVie1" w:date="2025-05-13T10:11:00Z"/>
        </w:rPr>
      </w:pPr>
    </w:p>
    <w:p w14:paraId="3F2972B4" w14:textId="77777777" w:rsidR="00073F8F" w:rsidRPr="001B4A02" w:rsidRDefault="00000000" w:rsidP="00262E54">
      <w:pPr>
        <w:keepNext/>
        <w:ind w:left="0" w:firstLine="0"/>
        <w:rPr>
          <w:del w:id="13249" w:author="AbbVie1" w:date="2025-05-13T10:11:00Z"/>
        </w:rPr>
      </w:pPr>
      <w:del w:id="13250" w:author="AbbVie1" w:date="2025-05-13T10:11:00Z">
        <w:r w:rsidRPr="001B4A02">
          <w:delText>Méně časté (</w:delText>
        </w:r>
        <w:r w:rsidR="00680EF3" w:rsidRPr="001B4A02">
          <w:rPr>
            <w:shd w:val="clear" w:color="auto" w:fill="FFFFFF"/>
          </w:rPr>
          <w:delText>mohou postihnout nejvýše</w:delText>
        </w:r>
        <w:r w:rsidR="003472B2" w:rsidRPr="001B4A02">
          <w:rPr>
            <w:shd w:val="clear" w:color="auto" w:fill="FFFFFF"/>
          </w:rPr>
          <w:delText xml:space="preserve"> 1 ze 100 osob</w:delText>
        </w:r>
        <w:r w:rsidRPr="001B4A02">
          <w:delText>)</w:delText>
        </w:r>
      </w:del>
    </w:p>
    <w:p w14:paraId="34223A29" w14:textId="77777777" w:rsidR="00F87035" w:rsidRPr="001B4A02" w:rsidRDefault="00F87035" w:rsidP="00262E54">
      <w:pPr>
        <w:keepNext/>
        <w:ind w:left="0" w:firstLine="0"/>
        <w:rPr>
          <w:del w:id="13251" w:author="AbbVie1" w:date="2025-05-13T10:11:00Z"/>
        </w:rPr>
      </w:pPr>
    </w:p>
    <w:p w14:paraId="201DF769" w14:textId="77777777" w:rsidR="00602C5F" w:rsidRPr="001B4A02" w:rsidRDefault="00000000" w:rsidP="007C5EA6">
      <w:pPr>
        <w:pStyle w:val="EMEANormal"/>
        <w:numPr>
          <w:ilvl w:val="0"/>
          <w:numId w:val="59"/>
        </w:numPr>
        <w:tabs>
          <w:tab w:val="clear" w:pos="562"/>
          <w:tab w:val="clear" w:pos="720"/>
        </w:tabs>
        <w:suppressAutoHyphens w:val="0"/>
        <w:ind w:left="567" w:hanging="567"/>
        <w:rPr>
          <w:del w:id="13252" w:author="AbbVie1" w:date="2025-05-13T10:11:00Z"/>
          <w:lang w:val="cs-CZ"/>
        </w:rPr>
      </w:pPr>
      <w:del w:id="13253" w:author="AbbVie1" w:date="2025-05-13T10:11:00Z">
        <w:r w:rsidRPr="001B4A02">
          <w:rPr>
            <w:lang w:val="cs-CZ"/>
          </w:rPr>
          <w:delText>oportunní infekce (které zahrnují tuberkulózu</w:delText>
        </w:r>
        <w:r w:rsidR="002378E0">
          <w:rPr>
            <w:lang w:val="cs-CZ"/>
          </w:rPr>
          <w:delText xml:space="preserve"> a </w:delText>
        </w:r>
        <w:r w:rsidRPr="001B4A02">
          <w:rPr>
            <w:lang w:val="cs-CZ"/>
          </w:rPr>
          <w:delText>jiné infekce</w:delText>
        </w:r>
        <w:r w:rsidR="00774007" w:rsidRPr="001B4A02">
          <w:rPr>
            <w:lang w:val="cs-CZ"/>
          </w:rPr>
          <w:delText>,</w:delText>
        </w:r>
        <w:r w:rsidRPr="001B4A02">
          <w:rPr>
            <w:lang w:val="cs-CZ"/>
          </w:rPr>
          <w:delText xml:space="preserve"> které se objevují</w:delText>
        </w:r>
        <w:r w:rsidR="007F5AA6" w:rsidRPr="001B4A02">
          <w:rPr>
            <w:lang w:val="cs-CZ"/>
          </w:rPr>
          <w:delText>,</w:delText>
        </w:r>
        <w:r w:rsidRPr="001B4A02">
          <w:rPr>
            <w:lang w:val="cs-CZ"/>
          </w:rPr>
          <w:delText xml:space="preserve"> když je snížena odolnost vůči onemocněním</w:delText>
        </w:r>
        <w:r w:rsidR="00774007" w:rsidRPr="001B4A02">
          <w:rPr>
            <w:lang w:val="cs-CZ"/>
          </w:rPr>
          <w:delText>)</w:delText>
        </w:r>
        <w:r w:rsidRPr="001B4A02">
          <w:rPr>
            <w:lang w:val="cs-CZ"/>
          </w:rPr>
          <w:delText>;</w:delText>
        </w:r>
      </w:del>
    </w:p>
    <w:p w14:paraId="38A939AE" w14:textId="77777777" w:rsidR="00602C5F" w:rsidRPr="001B4A02" w:rsidRDefault="00000000" w:rsidP="007C5EA6">
      <w:pPr>
        <w:pStyle w:val="EMEANormal"/>
        <w:numPr>
          <w:ilvl w:val="0"/>
          <w:numId w:val="59"/>
        </w:numPr>
        <w:tabs>
          <w:tab w:val="clear" w:pos="562"/>
          <w:tab w:val="clear" w:pos="720"/>
        </w:tabs>
        <w:suppressAutoHyphens w:val="0"/>
        <w:ind w:left="567" w:hanging="567"/>
        <w:rPr>
          <w:del w:id="13254" w:author="AbbVie1" w:date="2025-05-13T10:11:00Z"/>
          <w:lang w:val="cs-CZ"/>
        </w:rPr>
      </w:pPr>
      <w:del w:id="13255" w:author="AbbVie1" w:date="2025-05-13T10:11:00Z">
        <w:r w:rsidRPr="001B4A02">
          <w:rPr>
            <w:lang w:val="cs-CZ"/>
          </w:rPr>
          <w:delText>neurologické infekce (včetně virové meningitidy);</w:delText>
        </w:r>
      </w:del>
    </w:p>
    <w:p w14:paraId="4F16AD70" w14:textId="77777777" w:rsidR="00602C5F" w:rsidRPr="001B4A02" w:rsidRDefault="00000000" w:rsidP="007C5EA6">
      <w:pPr>
        <w:numPr>
          <w:ilvl w:val="0"/>
          <w:numId w:val="50"/>
        </w:numPr>
        <w:tabs>
          <w:tab w:val="clear" w:pos="720"/>
        </w:tabs>
        <w:ind w:left="567" w:hanging="567"/>
        <w:rPr>
          <w:del w:id="13256" w:author="AbbVie1" w:date="2025-05-13T10:11:00Z"/>
        </w:rPr>
      </w:pPr>
      <w:del w:id="13257" w:author="AbbVie1" w:date="2025-05-13T10:11:00Z">
        <w:r w:rsidRPr="001B4A02">
          <w:delText>záněty oka;</w:delText>
        </w:r>
      </w:del>
    </w:p>
    <w:p w14:paraId="34088ABD" w14:textId="77777777" w:rsidR="00602C5F" w:rsidRPr="001B4A02" w:rsidRDefault="00000000" w:rsidP="007C5EA6">
      <w:pPr>
        <w:numPr>
          <w:ilvl w:val="0"/>
          <w:numId w:val="50"/>
        </w:numPr>
        <w:tabs>
          <w:tab w:val="clear" w:pos="720"/>
        </w:tabs>
        <w:ind w:left="567" w:hanging="567"/>
        <w:rPr>
          <w:del w:id="13258" w:author="AbbVie1" w:date="2025-05-13T10:11:00Z"/>
        </w:rPr>
      </w:pPr>
      <w:del w:id="13259" w:author="AbbVie1" w:date="2025-05-13T10:11:00Z">
        <w:r w:rsidRPr="001B4A02">
          <w:delText>bakteriální infekce;</w:delText>
        </w:r>
      </w:del>
    </w:p>
    <w:p w14:paraId="46BF4176" w14:textId="77777777" w:rsidR="00290BEB" w:rsidRPr="001B4A02" w:rsidRDefault="00000000" w:rsidP="007C5EA6">
      <w:pPr>
        <w:numPr>
          <w:ilvl w:val="0"/>
          <w:numId w:val="50"/>
        </w:numPr>
        <w:tabs>
          <w:tab w:val="clear" w:pos="720"/>
        </w:tabs>
        <w:ind w:left="567" w:hanging="567"/>
        <w:rPr>
          <w:del w:id="13260" w:author="AbbVie1" w:date="2025-05-13T10:11:00Z"/>
        </w:rPr>
      </w:pPr>
      <w:del w:id="13261" w:author="AbbVie1" w:date="2025-05-13T10:11:00Z">
        <w:r w:rsidRPr="001B4A02">
          <w:rPr>
            <w:lang w:eastAsia="de-DE"/>
          </w:rPr>
          <w:delText>divertikulitida (zánětlivé onemocnění spojené s</w:delText>
        </w:r>
        <w:r w:rsidR="000C2348" w:rsidRPr="001B4A02">
          <w:rPr>
            <w:lang w:eastAsia="de-DE"/>
          </w:rPr>
          <w:delText> </w:delText>
        </w:r>
        <w:r w:rsidRPr="001B4A02">
          <w:rPr>
            <w:lang w:eastAsia="de-DE"/>
          </w:rPr>
          <w:delText>infekcí tlustého střeva);</w:delText>
        </w:r>
      </w:del>
    </w:p>
    <w:p w14:paraId="323F2CAD" w14:textId="77777777" w:rsidR="00602C5F" w:rsidRPr="001B4A02" w:rsidRDefault="00000000" w:rsidP="007C5EA6">
      <w:pPr>
        <w:numPr>
          <w:ilvl w:val="0"/>
          <w:numId w:val="50"/>
        </w:numPr>
        <w:tabs>
          <w:tab w:val="clear" w:pos="720"/>
        </w:tabs>
        <w:ind w:left="567" w:hanging="567"/>
        <w:rPr>
          <w:del w:id="13262" w:author="AbbVie1" w:date="2025-05-13T10:11:00Z"/>
        </w:rPr>
      </w:pPr>
      <w:del w:id="13263" w:author="AbbVie1" w:date="2025-05-13T10:11:00Z">
        <w:r w:rsidRPr="001B4A02">
          <w:delText>rakovina</w:delText>
        </w:r>
        <w:r w:rsidR="007F5AA6" w:rsidRPr="001B4A02">
          <w:delText>;</w:delText>
        </w:r>
      </w:del>
    </w:p>
    <w:p w14:paraId="3CA1B666" w14:textId="77777777" w:rsidR="00602C5F" w:rsidRPr="001B4A02" w:rsidRDefault="00000000" w:rsidP="007C5EA6">
      <w:pPr>
        <w:numPr>
          <w:ilvl w:val="0"/>
          <w:numId w:val="50"/>
        </w:numPr>
        <w:tabs>
          <w:tab w:val="clear" w:pos="720"/>
        </w:tabs>
        <w:ind w:left="567" w:hanging="567"/>
        <w:rPr>
          <w:del w:id="13264" w:author="AbbVie1" w:date="2025-05-13T10:11:00Z"/>
        </w:rPr>
      </w:pPr>
      <w:del w:id="13265" w:author="AbbVie1" w:date="2025-05-13T10:11:00Z">
        <w:r w:rsidRPr="001B4A02">
          <w:delText>rakovina postihující mízní systém;</w:delText>
        </w:r>
      </w:del>
    </w:p>
    <w:p w14:paraId="22DF40D2" w14:textId="77777777" w:rsidR="00602C5F" w:rsidRPr="001B4A02" w:rsidRDefault="00000000" w:rsidP="007C5EA6">
      <w:pPr>
        <w:numPr>
          <w:ilvl w:val="0"/>
          <w:numId w:val="50"/>
        </w:numPr>
        <w:tabs>
          <w:tab w:val="clear" w:pos="720"/>
        </w:tabs>
        <w:ind w:left="567" w:hanging="567"/>
        <w:rPr>
          <w:del w:id="13266" w:author="AbbVie1" w:date="2025-05-13T10:11:00Z"/>
        </w:rPr>
      </w:pPr>
      <w:del w:id="13267" w:author="AbbVie1" w:date="2025-05-13T10:11:00Z">
        <w:r w:rsidRPr="001B4A02">
          <w:delText>melanom;</w:delText>
        </w:r>
      </w:del>
    </w:p>
    <w:p w14:paraId="69C682FE" w14:textId="77777777" w:rsidR="00290BEB" w:rsidRPr="001B4A02" w:rsidRDefault="00000000" w:rsidP="007C5EA6">
      <w:pPr>
        <w:numPr>
          <w:ilvl w:val="0"/>
          <w:numId w:val="50"/>
        </w:numPr>
        <w:tabs>
          <w:tab w:val="clear" w:pos="720"/>
        </w:tabs>
        <w:ind w:left="567" w:hanging="567"/>
        <w:rPr>
          <w:del w:id="13268" w:author="AbbVie1" w:date="2025-05-13T10:11:00Z"/>
        </w:rPr>
      </w:pPr>
      <w:del w:id="13269" w:author="AbbVie1" w:date="2025-05-13T10:11:00Z">
        <w:r w:rsidRPr="001B4A02">
          <w:delText>poruchy imunitního systému</w:delText>
        </w:r>
        <w:r w:rsidR="00774007" w:rsidRPr="001B4A02">
          <w:delText>,</w:delText>
        </w:r>
        <w:r w:rsidRPr="001B4A02">
          <w:delText xml:space="preserve"> které mohou postihovat plíce, kůži</w:delText>
        </w:r>
        <w:r w:rsidR="002378E0">
          <w:delText xml:space="preserve"> a </w:delText>
        </w:r>
        <w:r w:rsidRPr="001B4A02">
          <w:delText>lymfatické uzliny (nejčastěji se projevující jako sarkoidóza);</w:delText>
        </w:r>
      </w:del>
    </w:p>
    <w:p w14:paraId="7F9C27C8" w14:textId="77777777" w:rsidR="00DB5270" w:rsidRPr="001B4A02" w:rsidRDefault="00000000" w:rsidP="007C5EA6">
      <w:pPr>
        <w:numPr>
          <w:ilvl w:val="0"/>
          <w:numId w:val="50"/>
        </w:numPr>
        <w:tabs>
          <w:tab w:val="clear" w:pos="720"/>
        </w:tabs>
        <w:ind w:left="567" w:hanging="567"/>
        <w:rPr>
          <w:del w:id="13270" w:author="AbbVie1" w:date="2025-05-13T10:11:00Z"/>
        </w:rPr>
      </w:pPr>
      <w:del w:id="13271" w:author="AbbVie1" w:date="2025-05-13T10:11:00Z">
        <w:r w:rsidRPr="001B4A02">
          <w:delText>vaskulitida (zánět krevních cév);</w:delText>
        </w:r>
      </w:del>
    </w:p>
    <w:p w14:paraId="24AF17DF" w14:textId="77777777" w:rsidR="00602C5F" w:rsidRPr="001B4A02" w:rsidRDefault="00000000" w:rsidP="007C5EA6">
      <w:pPr>
        <w:numPr>
          <w:ilvl w:val="0"/>
          <w:numId w:val="50"/>
        </w:numPr>
        <w:tabs>
          <w:tab w:val="clear" w:pos="720"/>
        </w:tabs>
        <w:ind w:left="567" w:hanging="567"/>
        <w:rPr>
          <w:del w:id="13272" w:author="AbbVie1" w:date="2025-05-13T10:11:00Z"/>
        </w:rPr>
      </w:pPr>
      <w:del w:id="13273" w:author="AbbVie1" w:date="2025-05-13T10:11:00Z">
        <w:r w:rsidRPr="001B4A02">
          <w:delText>třes;</w:delText>
        </w:r>
      </w:del>
    </w:p>
    <w:p w14:paraId="6C33955C" w14:textId="77777777" w:rsidR="00661A68" w:rsidRPr="001B4A02" w:rsidRDefault="00000000" w:rsidP="007C5EA6">
      <w:pPr>
        <w:numPr>
          <w:ilvl w:val="0"/>
          <w:numId w:val="50"/>
        </w:numPr>
        <w:tabs>
          <w:tab w:val="clear" w:pos="720"/>
        </w:tabs>
        <w:ind w:left="567" w:hanging="567"/>
        <w:rPr>
          <w:del w:id="13274" w:author="AbbVie1" w:date="2025-05-13T10:11:00Z"/>
        </w:rPr>
      </w:pPr>
      <w:del w:id="13275" w:author="AbbVie1" w:date="2025-05-13T10:11:00Z">
        <w:r w:rsidRPr="001B4A02">
          <w:delText>neuropatie (postižení nervů);</w:delText>
        </w:r>
      </w:del>
    </w:p>
    <w:p w14:paraId="11F5D1FA" w14:textId="77777777" w:rsidR="00290BEB" w:rsidRPr="001B4A02" w:rsidRDefault="00000000" w:rsidP="007C5EA6">
      <w:pPr>
        <w:numPr>
          <w:ilvl w:val="0"/>
          <w:numId w:val="50"/>
        </w:numPr>
        <w:tabs>
          <w:tab w:val="clear" w:pos="720"/>
        </w:tabs>
        <w:ind w:left="567" w:hanging="567"/>
        <w:rPr>
          <w:del w:id="13276" w:author="AbbVie1" w:date="2025-05-13T10:11:00Z"/>
        </w:rPr>
      </w:pPr>
      <w:del w:id="13277" w:author="AbbVie1" w:date="2025-05-13T10:11:00Z">
        <w:r w:rsidRPr="001B4A02">
          <w:delText>mozková mrtvice;</w:delText>
        </w:r>
      </w:del>
    </w:p>
    <w:p w14:paraId="1E85187F" w14:textId="77777777" w:rsidR="00602C5F" w:rsidRPr="001B4A02" w:rsidRDefault="00000000" w:rsidP="007C5EA6">
      <w:pPr>
        <w:numPr>
          <w:ilvl w:val="0"/>
          <w:numId w:val="50"/>
        </w:numPr>
        <w:tabs>
          <w:tab w:val="clear" w:pos="720"/>
        </w:tabs>
        <w:ind w:left="567" w:hanging="567"/>
        <w:rPr>
          <w:del w:id="13278" w:author="AbbVie1" w:date="2025-05-13T10:11:00Z"/>
        </w:rPr>
      </w:pPr>
      <w:del w:id="13279" w:author="AbbVie1" w:date="2025-05-13T10:11:00Z">
        <w:r w:rsidRPr="001B4A02">
          <w:delText xml:space="preserve">ztráta sluchu, </w:delText>
        </w:r>
        <w:r w:rsidR="006D39E6">
          <w:delText>ušní šelest</w:delText>
        </w:r>
        <w:r w:rsidRPr="001B4A02">
          <w:delText>;</w:delText>
        </w:r>
      </w:del>
    </w:p>
    <w:p w14:paraId="73098E36" w14:textId="77777777" w:rsidR="00602C5F" w:rsidRPr="001B4A02" w:rsidRDefault="00000000" w:rsidP="007C5EA6">
      <w:pPr>
        <w:numPr>
          <w:ilvl w:val="0"/>
          <w:numId w:val="50"/>
        </w:numPr>
        <w:tabs>
          <w:tab w:val="clear" w:pos="720"/>
        </w:tabs>
        <w:ind w:left="567" w:hanging="567"/>
        <w:rPr>
          <w:del w:id="13280" w:author="AbbVie1" w:date="2025-05-13T10:11:00Z"/>
        </w:rPr>
      </w:pPr>
      <w:del w:id="13281" w:author="AbbVie1" w:date="2025-05-13T10:11:00Z">
        <w:r w:rsidRPr="001B4A02">
          <w:delText>pocity nepravidelného bušení srdce</w:delText>
        </w:r>
        <w:r w:rsidR="00A27A27" w:rsidRPr="001B4A02">
          <w:delText>,</w:delText>
        </w:r>
        <w:r w:rsidRPr="001B4A02">
          <w:delText xml:space="preserve"> jako je vynechání tepu;</w:delText>
        </w:r>
      </w:del>
    </w:p>
    <w:p w14:paraId="50A191CC" w14:textId="77777777" w:rsidR="00602C5F" w:rsidRPr="001B4A02" w:rsidRDefault="00000000" w:rsidP="007C5EA6">
      <w:pPr>
        <w:numPr>
          <w:ilvl w:val="0"/>
          <w:numId w:val="50"/>
        </w:numPr>
        <w:tabs>
          <w:tab w:val="clear" w:pos="720"/>
        </w:tabs>
        <w:ind w:left="567" w:hanging="567"/>
        <w:rPr>
          <w:del w:id="13282" w:author="AbbVie1" w:date="2025-05-13T10:11:00Z"/>
        </w:rPr>
      </w:pPr>
      <w:del w:id="13283" w:author="AbbVie1" w:date="2025-05-13T10:11:00Z">
        <w:r w:rsidRPr="001B4A02">
          <w:delText>srdeční obtíže, které mohou způsobovat zkrácení dechu nebo otékání kotníků;</w:delText>
        </w:r>
      </w:del>
    </w:p>
    <w:p w14:paraId="61631367" w14:textId="77777777" w:rsidR="00290BEB" w:rsidRPr="001B4A02" w:rsidRDefault="00000000" w:rsidP="007C5EA6">
      <w:pPr>
        <w:numPr>
          <w:ilvl w:val="0"/>
          <w:numId w:val="50"/>
        </w:numPr>
        <w:tabs>
          <w:tab w:val="clear" w:pos="720"/>
        </w:tabs>
        <w:ind w:left="567" w:hanging="567"/>
        <w:rPr>
          <w:del w:id="13284" w:author="AbbVie1" w:date="2025-05-13T10:11:00Z"/>
        </w:rPr>
      </w:pPr>
      <w:del w:id="13285" w:author="AbbVie1" w:date="2025-05-13T10:11:00Z">
        <w:r w:rsidRPr="001B4A02">
          <w:delText>srdeční příhoda (infarkt);</w:delText>
        </w:r>
      </w:del>
    </w:p>
    <w:p w14:paraId="30EC3D85" w14:textId="77777777" w:rsidR="00661A68" w:rsidRPr="001B4A02" w:rsidRDefault="00000000" w:rsidP="007C5EA6">
      <w:pPr>
        <w:numPr>
          <w:ilvl w:val="0"/>
          <w:numId w:val="50"/>
        </w:numPr>
        <w:tabs>
          <w:tab w:val="clear" w:pos="720"/>
        </w:tabs>
        <w:ind w:left="567" w:hanging="567"/>
        <w:rPr>
          <w:del w:id="13286" w:author="AbbVie1" w:date="2025-05-13T10:11:00Z"/>
        </w:rPr>
      </w:pPr>
      <w:del w:id="13287" w:author="AbbVie1" w:date="2025-05-13T10:11:00Z">
        <w:r w:rsidRPr="001B4A02">
          <w:delText>výduť ve stěně velkých tepen, zánět žilních městků, blokáda krevních cév;</w:delText>
        </w:r>
      </w:del>
    </w:p>
    <w:p w14:paraId="7200EEC1" w14:textId="77777777" w:rsidR="00602C5F" w:rsidRPr="001B4A02" w:rsidRDefault="00000000" w:rsidP="007C5EA6">
      <w:pPr>
        <w:numPr>
          <w:ilvl w:val="0"/>
          <w:numId w:val="50"/>
        </w:numPr>
        <w:tabs>
          <w:tab w:val="clear" w:pos="720"/>
        </w:tabs>
        <w:ind w:left="567" w:hanging="567"/>
        <w:rPr>
          <w:del w:id="13288" w:author="AbbVie1" w:date="2025-05-13T10:11:00Z"/>
        </w:rPr>
      </w:pPr>
      <w:del w:id="13289" w:author="AbbVie1" w:date="2025-05-13T10:11:00Z">
        <w:r w:rsidRPr="001B4A02">
          <w:delText>plicní onemocnění způsobující zkrácení dechu (včetně zánětu);</w:delText>
        </w:r>
      </w:del>
    </w:p>
    <w:p w14:paraId="28D46158" w14:textId="77777777" w:rsidR="00290BEB" w:rsidRPr="001B4A02" w:rsidRDefault="00000000" w:rsidP="007C5EA6">
      <w:pPr>
        <w:numPr>
          <w:ilvl w:val="0"/>
          <w:numId w:val="50"/>
        </w:numPr>
        <w:tabs>
          <w:tab w:val="clear" w:pos="720"/>
        </w:tabs>
        <w:ind w:left="567" w:hanging="567"/>
        <w:rPr>
          <w:del w:id="13290" w:author="AbbVie1" w:date="2025-05-13T10:11:00Z"/>
        </w:rPr>
      </w:pPr>
      <w:del w:id="13291" w:author="AbbVie1" w:date="2025-05-13T10:11:00Z">
        <w:r w:rsidRPr="001B4A02">
          <w:rPr>
            <w:lang w:eastAsia="de-DE"/>
          </w:rPr>
          <w:delText>plicní embolie (uzávěr plicní tepny);</w:delText>
        </w:r>
      </w:del>
    </w:p>
    <w:p w14:paraId="76A730ED" w14:textId="77777777" w:rsidR="00290BEB" w:rsidRPr="001B4A02" w:rsidRDefault="00000000" w:rsidP="007C5EA6">
      <w:pPr>
        <w:numPr>
          <w:ilvl w:val="0"/>
          <w:numId w:val="50"/>
        </w:numPr>
        <w:tabs>
          <w:tab w:val="clear" w:pos="720"/>
        </w:tabs>
        <w:ind w:left="567" w:hanging="567"/>
        <w:rPr>
          <w:del w:id="13292" w:author="AbbVie1" w:date="2025-05-13T10:11:00Z"/>
        </w:rPr>
      </w:pPr>
      <w:del w:id="13293" w:author="AbbVie1" w:date="2025-05-13T10:11:00Z">
        <w:r w:rsidRPr="001B4A02">
          <w:rPr>
            <w:lang w:eastAsia="de-DE"/>
          </w:rPr>
          <w:delText>pleurální výpotek (neobvyklé nahromadění tekutiny v prostoru pohrudnice);</w:delText>
        </w:r>
      </w:del>
    </w:p>
    <w:p w14:paraId="070CEAA3" w14:textId="77777777" w:rsidR="00602C5F" w:rsidRPr="001B4A02" w:rsidRDefault="00000000" w:rsidP="007C5EA6">
      <w:pPr>
        <w:numPr>
          <w:ilvl w:val="0"/>
          <w:numId w:val="50"/>
        </w:numPr>
        <w:tabs>
          <w:tab w:val="clear" w:pos="720"/>
        </w:tabs>
        <w:ind w:left="567" w:hanging="567"/>
        <w:rPr>
          <w:del w:id="13294" w:author="AbbVie1" w:date="2025-05-13T10:11:00Z"/>
        </w:rPr>
      </w:pPr>
      <w:del w:id="13295" w:author="AbbVie1" w:date="2025-05-13T10:11:00Z">
        <w:r w:rsidRPr="001B4A02">
          <w:delText>zánět slinivky břišní, způsobující závažné bolesti břicha</w:delText>
        </w:r>
        <w:r w:rsidR="002378E0">
          <w:delText xml:space="preserve"> a </w:delText>
        </w:r>
        <w:r w:rsidRPr="001B4A02">
          <w:delText>zad;</w:delText>
        </w:r>
      </w:del>
    </w:p>
    <w:p w14:paraId="1592307B" w14:textId="77777777" w:rsidR="00602C5F" w:rsidRPr="001B4A02" w:rsidRDefault="00000000" w:rsidP="007C5EA6">
      <w:pPr>
        <w:numPr>
          <w:ilvl w:val="0"/>
          <w:numId w:val="50"/>
        </w:numPr>
        <w:tabs>
          <w:tab w:val="clear" w:pos="720"/>
        </w:tabs>
        <w:ind w:left="567" w:hanging="567"/>
        <w:rPr>
          <w:del w:id="13296" w:author="AbbVie1" w:date="2025-05-13T10:11:00Z"/>
        </w:rPr>
      </w:pPr>
      <w:del w:id="13297" w:author="AbbVie1" w:date="2025-05-13T10:11:00Z">
        <w:r w:rsidRPr="001B4A02">
          <w:delText>potíže s polykáním;</w:delText>
        </w:r>
      </w:del>
    </w:p>
    <w:p w14:paraId="245A9A2E" w14:textId="77777777" w:rsidR="00602C5F" w:rsidRPr="001B4A02" w:rsidRDefault="00000000" w:rsidP="007C5EA6">
      <w:pPr>
        <w:numPr>
          <w:ilvl w:val="0"/>
          <w:numId w:val="50"/>
        </w:numPr>
        <w:tabs>
          <w:tab w:val="clear" w:pos="720"/>
        </w:tabs>
        <w:ind w:left="567" w:hanging="567"/>
        <w:rPr>
          <w:del w:id="13298" w:author="AbbVie1" w:date="2025-05-13T10:11:00Z"/>
        </w:rPr>
      </w:pPr>
      <w:del w:id="13299" w:author="AbbVie1" w:date="2025-05-13T10:11:00Z">
        <w:r>
          <w:delText xml:space="preserve">edém </w:delText>
        </w:r>
        <w:r>
          <w:rPr>
            <w:szCs w:val="22"/>
          </w:rPr>
          <w:delText>obličeje</w:delText>
        </w:r>
        <w:r w:rsidRPr="001B4A02">
          <w:delText xml:space="preserve"> </w:delText>
        </w:r>
        <w:r>
          <w:delText>(</w:delText>
        </w:r>
        <w:r w:rsidRPr="001B4A02">
          <w:delText xml:space="preserve">otok </w:delText>
        </w:r>
        <w:r w:rsidR="00EE6ABF">
          <w:rPr>
            <w:szCs w:val="22"/>
          </w:rPr>
          <w:delText>obličeje</w:delText>
        </w:r>
        <w:r>
          <w:rPr>
            <w:szCs w:val="22"/>
          </w:rPr>
          <w:delText>)</w:delText>
        </w:r>
        <w:r w:rsidR="00DB5270" w:rsidRPr="001B4A02">
          <w:delText>;</w:delText>
        </w:r>
      </w:del>
    </w:p>
    <w:p w14:paraId="42D992BB" w14:textId="77777777" w:rsidR="00602C5F" w:rsidRPr="001B4A02" w:rsidRDefault="00000000" w:rsidP="007C5EA6">
      <w:pPr>
        <w:numPr>
          <w:ilvl w:val="0"/>
          <w:numId w:val="50"/>
        </w:numPr>
        <w:tabs>
          <w:tab w:val="clear" w:pos="720"/>
        </w:tabs>
        <w:ind w:left="567" w:hanging="567"/>
        <w:rPr>
          <w:del w:id="13300" w:author="AbbVie1" w:date="2025-05-13T10:11:00Z"/>
        </w:rPr>
      </w:pPr>
      <w:del w:id="13301" w:author="AbbVie1" w:date="2025-05-13T10:11:00Z">
        <w:r w:rsidRPr="001B4A02">
          <w:delText>zánět žlučníku, žlučníkové kameny;</w:delText>
        </w:r>
      </w:del>
    </w:p>
    <w:p w14:paraId="2FDED65E" w14:textId="77777777" w:rsidR="00602C5F" w:rsidRPr="001B4A02" w:rsidRDefault="00000000" w:rsidP="007C5EA6">
      <w:pPr>
        <w:numPr>
          <w:ilvl w:val="0"/>
          <w:numId w:val="50"/>
        </w:numPr>
        <w:tabs>
          <w:tab w:val="clear" w:pos="720"/>
        </w:tabs>
        <w:ind w:left="567" w:hanging="567"/>
        <w:rPr>
          <w:del w:id="13302" w:author="AbbVie1" w:date="2025-05-13T10:11:00Z"/>
        </w:rPr>
      </w:pPr>
      <w:del w:id="13303" w:author="AbbVie1" w:date="2025-05-13T10:11:00Z">
        <w:r w:rsidRPr="007815F1">
          <w:delText>ztu</w:delText>
        </w:r>
        <w:r>
          <w:rPr>
            <w:szCs w:val="22"/>
          </w:rPr>
          <w:delText>kovění</w:delText>
        </w:r>
        <w:r w:rsidRPr="001B4A02">
          <w:delText xml:space="preserve"> jater;</w:delText>
        </w:r>
      </w:del>
    </w:p>
    <w:p w14:paraId="12D2A41A" w14:textId="77777777" w:rsidR="00602C5F" w:rsidRPr="001B4A02" w:rsidRDefault="00000000" w:rsidP="007C5EA6">
      <w:pPr>
        <w:numPr>
          <w:ilvl w:val="0"/>
          <w:numId w:val="50"/>
        </w:numPr>
        <w:tabs>
          <w:tab w:val="clear" w:pos="720"/>
        </w:tabs>
        <w:ind w:left="567" w:hanging="567"/>
        <w:rPr>
          <w:del w:id="13304" w:author="AbbVie1" w:date="2025-05-13T10:11:00Z"/>
        </w:rPr>
      </w:pPr>
      <w:del w:id="13305" w:author="AbbVie1" w:date="2025-05-13T10:11:00Z">
        <w:r w:rsidRPr="001B4A02">
          <w:delText>noční pocení;</w:delText>
        </w:r>
      </w:del>
    </w:p>
    <w:p w14:paraId="35EE25A7" w14:textId="77777777" w:rsidR="00602C5F" w:rsidRPr="001B4A02" w:rsidRDefault="00000000" w:rsidP="007C5EA6">
      <w:pPr>
        <w:numPr>
          <w:ilvl w:val="0"/>
          <w:numId w:val="50"/>
        </w:numPr>
        <w:tabs>
          <w:tab w:val="clear" w:pos="720"/>
        </w:tabs>
        <w:ind w:left="567" w:hanging="567"/>
        <w:rPr>
          <w:del w:id="13306" w:author="AbbVie1" w:date="2025-05-13T10:11:00Z"/>
        </w:rPr>
      </w:pPr>
      <w:del w:id="13307" w:author="AbbVie1" w:date="2025-05-13T10:11:00Z">
        <w:r w:rsidRPr="001B4A02">
          <w:delText>zjizvení;</w:delText>
        </w:r>
      </w:del>
    </w:p>
    <w:p w14:paraId="0C2757F4" w14:textId="77777777" w:rsidR="00602C5F" w:rsidRPr="001B4A02" w:rsidRDefault="00000000" w:rsidP="007C5EA6">
      <w:pPr>
        <w:numPr>
          <w:ilvl w:val="0"/>
          <w:numId w:val="50"/>
        </w:numPr>
        <w:tabs>
          <w:tab w:val="clear" w:pos="720"/>
        </w:tabs>
        <w:ind w:left="567" w:hanging="567"/>
        <w:rPr>
          <w:del w:id="13308" w:author="AbbVie1" w:date="2025-05-13T10:11:00Z"/>
        </w:rPr>
      </w:pPr>
      <w:del w:id="13309" w:author="AbbVie1" w:date="2025-05-13T10:11:00Z">
        <w:r w:rsidRPr="001B4A02">
          <w:delText>neobvyklé poškození svalů;</w:delText>
        </w:r>
      </w:del>
    </w:p>
    <w:p w14:paraId="5C65EEC6" w14:textId="77777777" w:rsidR="00661A68" w:rsidRPr="001B4A02" w:rsidRDefault="00000000" w:rsidP="007C5EA6">
      <w:pPr>
        <w:numPr>
          <w:ilvl w:val="0"/>
          <w:numId w:val="50"/>
        </w:numPr>
        <w:tabs>
          <w:tab w:val="clear" w:pos="720"/>
        </w:tabs>
        <w:ind w:left="567" w:hanging="567"/>
        <w:rPr>
          <w:del w:id="13310" w:author="AbbVie1" w:date="2025-05-13T10:11:00Z"/>
        </w:rPr>
      </w:pPr>
      <w:del w:id="13311" w:author="AbbVie1" w:date="2025-05-13T10:11:00Z">
        <w:r w:rsidRPr="001B4A02">
          <w:delText>systémový lupus erythematodes (zahrnující zánět kůže, srdce, plic, kloubů</w:delText>
        </w:r>
        <w:r w:rsidR="002378E0">
          <w:delText xml:space="preserve"> a </w:delText>
        </w:r>
        <w:r w:rsidRPr="001B4A02">
          <w:delText>jiných orgánových systémů);</w:delText>
        </w:r>
      </w:del>
    </w:p>
    <w:p w14:paraId="4D86188A" w14:textId="77777777" w:rsidR="00602C5F" w:rsidRPr="001B4A02" w:rsidRDefault="00000000" w:rsidP="007C5EA6">
      <w:pPr>
        <w:numPr>
          <w:ilvl w:val="0"/>
          <w:numId w:val="50"/>
        </w:numPr>
        <w:tabs>
          <w:tab w:val="clear" w:pos="720"/>
        </w:tabs>
        <w:ind w:left="567" w:hanging="567"/>
        <w:rPr>
          <w:del w:id="13312" w:author="AbbVie1" w:date="2025-05-13T10:11:00Z"/>
        </w:rPr>
      </w:pPr>
      <w:del w:id="13313" w:author="AbbVie1" w:date="2025-05-13T10:11:00Z">
        <w:r w:rsidRPr="001B4A02">
          <w:delText>přerušovaný spánek;</w:delText>
        </w:r>
      </w:del>
    </w:p>
    <w:p w14:paraId="2C685494" w14:textId="77777777" w:rsidR="00602C5F" w:rsidRPr="001B4A02" w:rsidRDefault="00000000" w:rsidP="007C5EA6">
      <w:pPr>
        <w:numPr>
          <w:ilvl w:val="0"/>
          <w:numId w:val="50"/>
        </w:numPr>
        <w:tabs>
          <w:tab w:val="clear" w:pos="720"/>
        </w:tabs>
        <w:ind w:left="567" w:hanging="567"/>
        <w:rPr>
          <w:del w:id="13314" w:author="AbbVie1" w:date="2025-05-13T10:11:00Z"/>
        </w:rPr>
      </w:pPr>
      <w:del w:id="13315" w:author="AbbVie1" w:date="2025-05-13T10:11:00Z">
        <w:r w:rsidRPr="001B4A02">
          <w:delText>impotence;</w:delText>
        </w:r>
      </w:del>
    </w:p>
    <w:p w14:paraId="39818191" w14:textId="77777777" w:rsidR="00602C5F" w:rsidRPr="001B4A02" w:rsidRDefault="00000000" w:rsidP="007C5EA6">
      <w:pPr>
        <w:numPr>
          <w:ilvl w:val="0"/>
          <w:numId w:val="50"/>
        </w:numPr>
        <w:tabs>
          <w:tab w:val="clear" w:pos="720"/>
        </w:tabs>
        <w:ind w:left="567" w:hanging="567"/>
        <w:rPr>
          <w:del w:id="13316" w:author="AbbVie1" w:date="2025-05-13T10:11:00Z"/>
        </w:rPr>
      </w:pPr>
      <w:del w:id="13317" w:author="AbbVie1" w:date="2025-05-13T10:11:00Z">
        <w:r w:rsidRPr="001B4A02">
          <w:delText>záněty.</w:delText>
        </w:r>
      </w:del>
    </w:p>
    <w:p w14:paraId="38545C50" w14:textId="77777777" w:rsidR="00073F8F" w:rsidRPr="001B4A02" w:rsidRDefault="00073F8F" w:rsidP="00ED48A3">
      <w:pPr>
        <w:pStyle w:val="EMEANormal"/>
        <w:tabs>
          <w:tab w:val="clear" w:pos="562"/>
        </w:tabs>
        <w:suppressAutoHyphens w:val="0"/>
        <w:rPr>
          <w:del w:id="13318" w:author="AbbVie1" w:date="2025-05-13T10:11:00Z"/>
          <w:lang w:val="cs-CZ"/>
        </w:rPr>
      </w:pPr>
    </w:p>
    <w:p w14:paraId="17662B3A" w14:textId="77777777" w:rsidR="00073F8F" w:rsidRPr="001B4A02" w:rsidRDefault="00000000" w:rsidP="00262E54">
      <w:pPr>
        <w:keepNext/>
        <w:ind w:left="0" w:firstLine="0"/>
        <w:rPr>
          <w:del w:id="13319" w:author="AbbVie1" w:date="2025-05-13T10:11:00Z"/>
        </w:rPr>
      </w:pPr>
      <w:del w:id="13320" w:author="AbbVie1" w:date="2025-05-13T10:11:00Z">
        <w:r w:rsidRPr="001B4A02">
          <w:delText>Vzácné (</w:delText>
        </w:r>
        <w:r w:rsidR="00680EF3" w:rsidRPr="001B4A02">
          <w:delText>mohou postihnout nejvýše</w:delText>
        </w:r>
        <w:r w:rsidR="003472B2" w:rsidRPr="001B4A02">
          <w:delText xml:space="preserve"> 1 z 1</w:delText>
        </w:r>
        <w:r w:rsidR="009F584E" w:rsidRPr="001B4A02">
          <w:delText> </w:delText>
        </w:r>
        <w:r w:rsidR="003472B2" w:rsidRPr="001B4A02">
          <w:delText>000 osob</w:delText>
        </w:r>
        <w:r w:rsidRPr="001B4A02">
          <w:delText>)</w:delText>
        </w:r>
      </w:del>
    </w:p>
    <w:p w14:paraId="45951275" w14:textId="77777777" w:rsidR="00F87035" w:rsidRPr="001B4A02" w:rsidRDefault="00F87035" w:rsidP="00262E54">
      <w:pPr>
        <w:keepNext/>
        <w:ind w:left="0" w:firstLine="0"/>
        <w:rPr>
          <w:del w:id="13321" w:author="AbbVie1" w:date="2025-05-13T10:11:00Z"/>
        </w:rPr>
      </w:pPr>
    </w:p>
    <w:p w14:paraId="02F1E9CD" w14:textId="77777777" w:rsidR="00290BEB" w:rsidRPr="001B4A02" w:rsidRDefault="00000000" w:rsidP="007C5EA6">
      <w:pPr>
        <w:numPr>
          <w:ilvl w:val="0"/>
          <w:numId w:val="51"/>
        </w:numPr>
        <w:tabs>
          <w:tab w:val="clear" w:pos="720"/>
        </w:tabs>
        <w:ind w:left="567" w:hanging="567"/>
        <w:rPr>
          <w:del w:id="13322" w:author="AbbVie1" w:date="2025-05-13T10:11:00Z"/>
        </w:rPr>
      </w:pPr>
      <w:del w:id="13323" w:author="AbbVie1" w:date="2025-05-13T10:11:00Z">
        <w:r w:rsidRPr="001B4A02">
          <w:delText>leukémie (rakovina postihující krev</w:delText>
        </w:r>
        <w:r w:rsidR="002378E0">
          <w:delText xml:space="preserve"> a </w:delText>
        </w:r>
        <w:r w:rsidRPr="001B4A02">
          <w:delText>kostní dřeň);</w:delText>
        </w:r>
      </w:del>
    </w:p>
    <w:p w14:paraId="15A3020A" w14:textId="77777777" w:rsidR="00290BEB" w:rsidRPr="001B4A02" w:rsidRDefault="00000000" w:rsidP="007C5EA6">
      <w:pPr>
        <w:numPr>
          <w:ilvl w:val="0"/>
          <w:numId w:val="51"/>
        </w:numPr>
        <w:tabs>
          <w:tab w:val="clear" w:pos="720"/>
        </w:tabs>
        <w:ind w:left="567" w:hanging="567"/>
        <w:rPr>
          <w:del w:id="13324" w:author="AbbVie1" w:date="2025-05-13T10:11:00Z"/>
        </w:rPr>
      </w:pPr>
      <w:del w:id="13325" w:author="AbbVie1" w:date="2025-05-13T10:11:00Z">
        <w:r w:rsidRPr="001B4A02">
          <w:delText>závažné alergické reakce doprovázené šokem;</w:delText>
        </w:r>
      </w:del>
    </w:p>
    <w:p w14:paraId="299205B0" w14:textId="77777777" w:rsidR="00602C5F" w:rsidRPr="001B4A02" w:rsidRDefault="00000000" w:rsidP="007C5EA6">
      <w:pPr>
        <w:numPr>
          <w:ilvl w:val="0"/>
          <w:numId w:val="51"/>
        </w:numPr>
        <w:tabs>
          <w:tab w:val="clear" w:pos="720"/>
        </w:tabs>
        <w:ind w:left="567" w:hanging="567"/>
        <w:rPr>
          <w:del w:id="13326" w:author="AbbVie1" w:date="2025-05-13T10:11:00Z"/>
        </w:rPr>
      </w:pPr>
      <w:del w:id="13327" w:author="AbbVie1" w:date="2025-05-13T10:11:00Z">
        <w:r w:rsidRPr="001B4A02">
          <w:delText>roztroušená skleróza;</w:delText>
        </w:r>
      </w:del>
    </w:p>
    <w:p w14:paraId="61F1096D" w14:textId="77777777" w:rsidR="00290BEB" w:rsidRPr="001B4A02" w:rsidRDefault="00000000" w:rsidP="007C5EA6">
      <w:pPr>
        <w:numPr>
          <w:ilvl w:val="0"/>
          <w:numId w:val="51"/>
        </w:numPr>
        <w:tabs>
          <w:tab w:val="clear" w:pos="720"/>
        </w:tabs>
        <w:ind w:left="567" w:hanging="567"/>
        <w:rPr>
          <w:del w:id="13328" w:author="AbbVie1" w:date="2025-05-13T10:11:00Z"/>
        </w:rPr>
      </w:pPr>
      <w:del w:id="13329" w:author="AbbVie1" w:date="2025-05-13T10:11:00Z">
        <w:r w:rsidRPr="001B4A02">
          <w:delText>nervové poruchy (jako záněty očního nervu</w:delText>
        </w:r>
        <w:r w:rsidR="002378E0">
          <w:delText xml:space="preserve"> a </w:delText>
        </w:r>
        <w:r w:rsidRPr="001B4A02">
          <w:delText>Guillain-Barré syndrom, který může způsobit svalovou slabost, abnormální pocity, brnění v pažích</w:delText>
        </w:r>
        <w:r w:rsidR="002378E0">
          <w:delText xml:space="preserve"> a </w:delText>
        </w:r>
        <w:r w:rsidRPr="001B4A02">
          <w:delText>horní části těla);</w:delText>
        </w:r>
      </w:del>
    </w:p>
    <w:p w14:paraId="7703884A" w14:textId="77777777" w:rsidR="00073F8F" w:rsidRPr="001B4A02" w:rsidRDefault="00000000" w:rsidP="007C5EA6">
      <w:pPr>
        <w:numPr>
          <w:ilvl w:val="0"/>
          <w:numId w:val="58"/>
        </w:numPr>
        <w:tabs>
          <w:tab w:val="clear" w:pos="720"/>
        </w:tabs>
        <w:ind w:left="567" w:hanging="567"/>
        <w:rPr>
          <w:del w:id="13330" w:author="AbbVie1" w:date="2025-05-13T10:11:00Z"/>
        </w:rPr>
      </w:pPr>
      <w:del w:id="13331" w:author="AbbVie1" w:date="2025-05-13T10:11:00Z">
        <w:r w:rsidRPr="001B4A02">
          <w:delText>zástava srdečních stahů;</w:delText>
        </w:r>
      </w:del>
    </w:p>
    <w:p w14:paraId="5D907C16" w14:textId="77777777" w:rsidR="00290BEB" w:rsidRPr="001B4A02" w:rsidRDefault="00000000" w:rsidP="007C5EA6">
      <w:pPr>
        <w:numPr>
          <w:ilvl w:val="0"/>
          <w:numId w:val="58"/>
        </w:numPr>
        <w:tabs>
          <w:tab w:val="clear" w:pos="720"/>
        </w:tabs>
        <w:ind w:left="567" w:hanging="567"/>
        <w:rPr>
          <w:del w:id="13332" w:author="AbbVie1" w:date="2025-05-13T10:11:00Z"/>
        </w:rPr>
      </w:pPr>
      <w:del w:id="13333" w:author="AbbVie1" w:date="2025-05-13T10:11:00Z">
        <w:r w:rsidRPr="001B4A02">
          <w:rPr>
            <w:lang w:eastAsia="de-DE"/>
          </w:rPr>
          <w:delText>plicní fibróza (zjizvení plic)</w:delText>
        </w:r>
        <w:r w:rsidR="00774007" w:rsidRPr="001B4A02">
          <w:rPr>
            <w:lang w:eastAsia="de-DE"/>
          </w:rPr>
          <w:delText>;</w:delText>
        </w:r>
      </w:del>
    </w:p>
    <w:p w14:paraId="0AF545EA" w14:textId="77777777" w:rsidR="00290BEB" w:rsidRPr="001B4A02" w:rsidRDefault="00000000" w:rsidP="007C5EA6">
      <w:pPr>
        <w:numPr>
          <w:ilvl w:val="0"/>
          <w:numId w:val="58"/>
        </w:numPr>
        <w:tabs>
          <w:tab w:val="clear" w:pos="720"/>
        </w:tabs>
        <w:ind w:left="567" w:hanging="567"/>
        <w:rPr>
          <w:del w:id="13334" w:author="AbbVie1" w:date="2025-05-13T10:11:00Z"/>
        </w:rPr>
      </w:pPr>
      <w:del w:id="13335" w:author="AbbVie1" w:date="2025-05-13T10:11:00Z">
        <w:r w:rsidRPr="001B4A02">
          <w:delText>perforace (protržení) střeva;</w:delText>
        </w:r>
      </w:del>
    </w:p>
    <w:p w14:paraId="7E87E763" w14:textId="77777777" w:rsidR="003472B2" w:rsidRPr="001B4A02" w:rsidRDefault="00000000" w:rsidP="007C5EA6">
      <w:pPr>
        <w:numPr>
          <w:ilvl w:val="0"/>
          <w:numId w:val="58"/>
        </w:numPr>
        <w:tabs>
          <w:tab w:val="clear" w:pos="720"/>
        </w:tabs>
        <w:ind w:left="567" w:hanging="567"/>
        <w:rPr>
          <w:del w:id="13336" w:author="AbbVie1" w:date="2025-05-13T10:11:00Z"/>
        </w:rPr>
      </w:pPr>
      <w:del w:id="13337" w:author="AbbVie1" w:date="2025-05-13T10:11:00Z">
        <w:r w:rsidRPr="001B4A02">
          <w:delText>hepatitida</w:delText>
        </w:r>
        <w:r w:rsidR="00F47DB9">
          <w:delText xml:space="preserve"> (zánět jater)</w:delText>
        </w:r>
        <w:r w:rsidRPr="001B4A02">
          <w:delText>;</w:delText>
        </w:r>
      </w:del>
    </w:p>
    <w:p w14:paraId="3EC4C8CF" w14:textId="77777777" w:rsidR="00290BEB" w:rsidRPr="001B4A02" w:rsidRDefault="00000000" w:rsidP="007C5EA6">
      <w:pPr>
        <w:numPr>
          <w:ilvl w:val="0"/>
          <w:numId w:val="58"/>
        </w:numPr>
        <w:tabs>
          <w:tab w:val="clear" w:pos="720"/>
        </w:tabs>
        <w:ind w:left="567" w:hanging="567"/>
        <w:rPr>
          <w:del w:id="13338" w:author="AbbVie1" w:date="2025-05-13T10:11:00Z"/>
        </w:rPr>
      </w:pPr>
      <w:del w:id="13339" w:author="AbbVie1" w:date="2025-05-13T10:11:00Z">
        <w:r w:rsidRPr="001B4A02">
          <w:delText>reaktivace hepatitidy B;</w:delText>
        </w:r>
      </w:del>
    </w:p>
    <w:p w14:paraId="1E58932E" w14:textId="77777777" w:rsidR="002A6DBA" w:rsidRPr="001B4A02" w:rsidRDefault="00000000" w:rsidP="007C5EA6">
      <w:pPr>
        <w:numPr>
          <w:ilvl w:val="0"/>
          <w:numId w:val="58"/>
        </w:numPr>
        <w:tabs>
          <w:tab w:val="clear" w:pos="720"/>
        </w:tabs>
        <w:ind w:left="567" w:hanging="567"/>
        <w:rPr>
          <w:del w:id="13340" w:author="AbbVie1" w:date="2025-05-13T10:11:00Z"/>
        </w:rPr>
      </w:pPr>
      <w:del w:id="13341" w:author="AbbVie1" w:date="2025-05-13T10:11:00Z">
        <w:r w:rsidRPr="001B4A02">
          <w:rPr>
            <w:szCs w:val="22"/>
          </w:rPr>
          <w:delText>autoimunní hepatitida (zánět jater způsobený imunitním systémem vlastního těla);</w:delText>
        </w:r>
      </w:del>
    </w:p>
    <w:p w14:paraId="4713075B" w14:textId="77777777" w:rsidR="00290BEB" w:rsidRPr="001B4A02" w:rsidRDefault="00000000" w:rsidP="007C5EA6">
      <w:pPr>
        <w:numPr>
          <w:ilvl w:val="0"/>
          <w:numId w:val="58"/>
        </w:numPr>
        <w:tabs>
          <w:tab w:val="clear" w:pos="720"/>
        </w:tabs>
        <w:ind w:left="567" w:hanging="567"/>
        <w:rPr>
          <w:del w:id="13342" w:author="AbbVie1" w:date="2025-05-13T10:11:00Z"/>
        </w:rPr>
      </w:pPr>
      <w:del w:id="13343" w:author="AbbVie1" w:date="2025-05-13T10:11:00Z">
        <w:r w:rsidRPr="001B4A02">
          <w:delText>kožní vaskulitida (zánět krevních cév v kůži);</w:delText>
        </w:r>
      </w:del>
    </w:p>
    <w:p w14:paraId="400DF803" w14:textId="77777777" w:rsidR="00290BEB" w:rsidRPr="001B4A02" w:rsidRDefault="00000000" w:rsidP="007C5EA6">
      <w:pPr>
        <w:numPr>
          <w:ilvl w:val="0"/>
          <w:numId w:val="58"/>
        </w:numPr>
        <w:tabs>
          <w:tab w:val="clear" w:pos="720"/>
        </w:tabs>
        <w:ind w:left="567" w:hanging="567"/>
        <w:rPr>
          <w:del w:id="13344" w:author="AbbVie1" w:date="2025-05-13T10:11:00Z"/>
        </w:rPr>
      </w:pPr>
      <w:del w:id="13345" w:author="AbbVie1" w:date="2025-05-13T10:11:00Z">
        <w:r w:rsidRPr="001B4A02">
          <w:delText>Stevens</w:delText>
        </w:r>
        <w:r w:rsidR="00C43387">
          <w:delText>ův</w:delText>
        </w:r>
        <w:r w:rsidRPr="001B4A02">
          <w:delText>-Johnsonův syndrom (časné příznaky zahrnují únavu, horečku, bolest hlavy</w:delText>
        </w:r>
        <w:r w:rsidR="002378E0">
          <w:delText xml:space="preserve"> a </w:delText>
        </w:r>
        <w:r w:rsidRPr="001B4A02">
          <w:delText>vyrážku);</w:delText>
        </w:r>
      </w:del>
    </w:p>
    <w:p w14:paraId="72F06FA4" w14:textId="77777777" w:rsidR="00290BEB" w:rsidRPr="001B4A02" w:rsidRDefault="00000000" w:rsidP="007C5EA6">
      <w:pPr>
        <w:numPr>
          <w:ilvl w:val="0"/>
          <w:numId w:val="58"/>
        </w:numPr>
        <w:tabs>
          <w:tab w:val="clear" w:pos="720"/>
        </w:tabs>
        <w:ind w:left="567" w:hanging="567"/>
        <w:rPr>
          <w:del w:id="13346" w:author="AbbVie1" w:date="2025-05-13T10:11:00Z"/>
        </w:rPr>
      </w:pPr>
      <w:del w:id="13347" w:author="AbbVie1" w:date="2025-05-13T10:11:00Z">
        <w:r w:rsidRPr="00490910">
          <w:rPr>
            <w:szCs w:val="22"/>
          </w:rPr>
          <w:delText xml:space="preserve">edém </w:delText>
        </w:r>
        <w:r>
          <w:rPr>
            <w:szCs w:val="22"/>
          </w:rPr>
          <w:delText>obličeje</w:delText>
        </w:r>
        <w:r w:rsidRPr="00490910">
          <w:rPr>
            <w:szCs w:val="22"/>
          </w:rPr>
          <w:delText xml:space="preserve"> (</w:delText>
        </w:r>
        <w:r w:rsidRPr="001B4A02">
          <w:delText xml:space="preserve">otok </w:delText>
        </w:r>
        <w:r w:rsidR="00EE6ABF">
          <w:rPr>
            <w:szCs w:val="22"/>
          </w:rPr>
          <w:delText>obličeje</w:delText>
        </w:r>
        <w:r>
          <w:rPr>
            <w:szCs w:val="22"/>
          </w:rPr>
          <w:delText>)</w:delText>
        </w:r>
        <w:r w:rsidRPr="001B4A02">
          <w:delText xml:space="preserve"> spojen</w:delText>
        </w:r>
        <w:r>
          <w:delText>ý</w:delText>
        </w:r>
        <w:r w:rsidRPr="001B4A02">
          <w:delText xml:space="preserve"> s alergickými reakcemi;</w:delText>
        </w:r>
      </w:del>
    </w:p>
    <w:p w14:paraId="0CF7DDA5" w14:textId="77777777" w:rsidR="00073F8F" w:rsidRPr="001B4A02" w:rsidRDefault="00000000" w:rsidP="007C5EA6">
      <w:pPr>
        <w:numPr>
          <w:ilvl w:val="0"/>
          <w:numId w:val="58"/>
        </w:numPr>
        <w:tabs>
          <w:tab w:val="clear" w:pos="720"/>
        </w:tabs>
        <w:ind w:left="567" w:hanging="567"/>
        <w:rPr>
          <w:del w:id="13348" w:author="AbbVie1" w:date="2025-05-13T10:11:00Z"/>
        </w:rPr>
      </w:pPr>
      <w:del w:id="13349" w:author="AbbVie1" w:date="2025-05-13T10:11:00Z">
        <w:r w:rsidRPr="001B4A02">
          <w:delText>erythema multiforme (zánětlivá kožní vyrážka);</w:delText>
        </w:r>
      </w:del>
    </w:p>
    <w:p w14:paraId="1BFEA82F" w14:textId="77777777" w:rsidR="00A94BD7" w:rsidRPr="001B4A02" w:rsidRDefault="00000000" w:rsidP="007C5EA6">
      <w:pPr>
        <w:numPr>
          <w:ilvl w:val="0"/>
          <w:numId w:val="58"/>
        </w:numPr>
        <w:tabs>
          <w:tab w:val="clear" w:pos="720"/>
        </w:tabs>
        <w:ind w:left="567" w:hanging="567"/>
        <w:rPr>
          <w:del w:id="13350" w:author="AbbVie1" w:date="2025-05-13T10:11:00Z"/>
        </w:rPr>
      </w:pPr>
      <w:del w:id="13351" w:author="AbbVie1" w:date="2025-05-13T10:11:00Z">
        <w:r w:rsidRPr="001B4A02">
          <w:delText>lupus-like syndrom (onemocnění s přízn</w:delText>
        </w:r>
        <w:r w:rsidR="00131693" w:rsidRPr="001B4A02">
          <w:delText>aky podobnými lupus erythematode</w:delText>
        </w:r>
        <w:r w:rsidRPr="001B4A02">
          <w:delText>s);</w:delText>
        </w:r>
      </w:del>
    </w:p>
    <w:p w14:paraId="1386D11E" w14:textId="77777777" w:rsidR="00454E16" w:rsidRDefault="00000000" w:rsidP="007C5EA6">
      <w:pPr>
        <w:numPr>
          <w:ilvl w:val="0"/>
          <w:numId w:val="58"/>
        </w:numPr>
        <w:tabs>
          <w:tab w:val="clear" w:pos="720"/>
        </w:tabs>
        <w:ind w:left="567" w:hanging="567"/>
        <w:rPr>
          <w:del w:id="13352" w:author="AbbVie1" w:date="2025-05-13T10:11:00Z"/>
        </w:rPr>
      </w:pPr>
      <w:del w:id="13353" w:author="AbbVie1" w:date="2025-05-13T10:11:00Z">
        <w:r w:rsidRPr="001B4A02">
          <w:delText>angioedém (lokalizovaný otok kůže)</w:delText>
        </w:r>
        <w:r w:rsidR="000654D2">
          <w:delText>;</w:delText>
        </w:r>
      </w:del>
    </w:p>
    <w:p w14:paraId="36112EA9" w14:textId="77777777" w:rsidR="00602C5F" w:rsidRPr="001B4A02" w:rsidRDefault="00000000" w:rsidP="007C5EA6">
      <w:pPr>
        <w:numPr>
          <w:ilvl w:val="0"/>
          <w:numId w:val="58"/>
        </w:numPr>
        <w:tabs>
          <w:tab w:val="clear" w:pos="720"/>
        </w:tabs>
        <w:ind w:left="567" w:hanging="567"/>
        <w:rPr>
          <w:del w:id="13354" w:author="AbbVie1" w:date="2025-05-13T10:11:00Z"/>
        </w:rPr>
      </w:pPr>
      <w:del w:id="13355" w:author="AbbVie1" w:date="2025-05-13T10:11:00Z">
        <w:r>
          <w:delText xml:space="preserve">lichenoidní kožní reakce (svědivá </w:delText>
        </w:r>
        <w:r w:rsidR="00844B73" w:rsidRPr="00A644C2">
          <w:delText>načervenalá až purpurově zbarvená</w:delText>
        </w:r>
        <w:r>
          <w:delText xml:space="preserve"> vyrážka)</w:delText>
        </w:r>
        <w:r w:rsidR="00A94BD7" w:rsidRPr="001B4A02">
          <w:delText>.</w:delText>
        </w:r>
      </w:del>
    </w:p>
    <w:p w14:paraId="4C37DD2A" w14:textId="77777777" w:rsidR="00602C5F" w:rsidRPr="001B4A02" w:rsidRDefault="00602C5F" w:rsidP="00ED48A3">
      <w:pPr>
        <w:ind w:left="0" w:right="-29" w:firstLine="0"/>
        <w:rPr>
          <w:del w:id="13356" w:author="AbbVie1" w:date="2025-05-13T10:11:00Z"/>
        </w:rPr>
      </w:pPr>
    </w:p>
    <w:p w14:paraId="162C70F2" w14:textId="77777777" w:rsidR="003072DD" w:rsidRPr="001B4A02" w:rsidRDefault="00000000" w:rsidP="00262E54">
      <w:pPr>
        <w:keepNext/>
        <w:ind w:left="0" w:right="-29" w:firstLine="0"/>
        <w:rPr>
          <w:del w:id="13357" w:author="AbbVie1" w:date="2025-05-13T10:11:00Z"/>
        </w:rPr>
      </w:pPr>
      <w:del w:id="13358" w:author="AbbVie1" w:date="2025-05-13T10:11:00Z">
        <w:r w:rsidRPr="001B4A02">
          <w:delText>Není známo (frekvenci výskytu nelze z</w:delText>
        </w:r>
        <w:r w:rsidR="004823B6" w:rsidRPr="001B4A02">
          <w:delText> </w:delText>
        </w:r>
        <w:r w:rsidRPr="001B4A02">
          <w:delText>dostupných údajů určit)</w:delText>
        </w:r>
      </w:del>
    </w:p>
    <w:p w14:paraId="41F5C1D7" w14:textId="77777777" w:rsidR="00F87035" w:rsidRPr="001B4A02" w:rsidRDefault="00F87035" w:rsidP="00262E54">
      <w:pPr>
        <w:keepNext/>
        <w:ind w:left="0" w:right="-29" w:firstLine="0"/>
        <w:rPr>
          <w:del w:id="13359" w:author="AbbVie1" w:date="2025-05-13T10:11:00Z"/>
        </w:rPr>
      </w:pPr>
    </w:p>
    <w:p w14:paraId="0C1A2B5A" w14:textId="77777777" w:rsidR="003072DD" w:rsidRPr="001B4A02" w:rsidRDefault="00000000" w:rsidP="00262E54">
      <w:pPr>
        <w:keepNext/>
        <w:numPr>
          <w:ilvl w:val="0"/>
          <w:numId w:val="48"/>
        </w:numPr>
        <w:tabs>
          <w:tab w:val="clear" w:pos="720"/>
        </w:tabs>
        <w:ind w:left="567" w:hanging="567"/>
        <w:rPr>
          <w:del w:id="13360" w:author="AbbVie1" w:date="2025-05-13T10:11:00Z"/>
        </w:rPr>
      </w:pPr>
      <w:del w:id="13361" w:author="AbbVie1" w:date="2025-05-13T10:11:00Z">
        <w:r w:rsidRPr="001B4A02">
          <w:delText xml:space="preserve">hepatosplenický T-buněčný </w:delText>
        </w:r>
        <w:r w:rsidR="00F75DA8" w:rsidRPr="001B4A02">
          <w:delText xml:space="preserve">lymfom </w:delText>
        </w:r>
        <w:r w:rsidRPr="001B4A02">
          <w:delText xml:space="preserve">(vzácný druh rakoviny krve, </w:delText>
        </w:r>
        <w:r w:rsidR="00F75DA8" w:rsidRPr="001B4A02">
          <w:delText xml:space="preserve">který </w:delText>
        </w:r>
        <w:r w:rsidRPr="001B4A02">
          <w:delText>je obvykle smrtelný);</w:delText>
        </w:r>
      </w:del>
    </w:p>
    <w:p w14:paraId="62FDD1CB" w14:textId="77777777" w:rsidR="003072DD" w:rsidRDefault="00000000" w:rsidP="007C5EA6">
      <w:pPr>
        <w:numPr>
          <w:ilvl w:val="0"/>
          <w:numId w:val="48"/>
        </w:numPr>
        <w:tabs>
          <w:tab w:val="clear" w:pos="720"/>
        </w:tabs>
        <w:ind w:left="567" w:hanging="567"/>
        <w:rPr>
          <w:del w:id="13362" w:author="AbbVie1" w:date="2025-05-13T10:11:00Z"/>
        </w:rPr>
      </w:pPr>
      <w:del w:id="13363" w:author="AbbVie1" w:date="2025-05-13T10:11:00Z">
        <w:r w:rsidRPr="001B4A02">
          <w:delText>karcinom z</w:delText>
        </w:r>
        <w:r w:rsidR="004823B6" w:rsidRPr="001B4A02">
          <w:delText> </w:delText>
        </w:r>
        <w:r w:rsidRPr="001B4A02">
          <w:delText>Merkelových buněk (typ kožního karcinomu);</w:delText>
        </w:r>
      </w:del>
    </w:p>
    <w:p w14:paraId="3E663821" w14:textId="77777777" w:rsidR="00B2204A" w:rsidRPr="001B4A02" w:rsidRDefault="00000000" w:rsidP="007C5EA6">
      <w:pPr>
        <w:numPr>
          <w:ilvl w:val="0"/>
          <w:numId w:val="48"/>
        </w:numPr>
        <w:tabs>
          <w:tab w:val="clear" w:pos="720"/>
        </w:tabs>
        <w:ind w:left="567" w:hanging="567"/>
        <w:rPr>
          <w:del w:id="13364" w:author="AbbVie1" w:date="2025-05-13T10:11:00Z"/>
        </w:rPr>
      </w:pPr>
      <w:del w:id="13365" w:author="AbbVie1" w:date="2025-05-13T10:11:00Z">
        <w:r>
          <w:delText xml:space="preserve">Kaposiho </w:delText>
        </w:r>
        <w:r w:rsidRPr="009A21A5">
          <w:delText>sarkom</w:delText>
        </w:r>
        <w:r>
          <w:delText xml:space="preserve">, vzácné nádorové onemocnění související s infekcí vyvolanou lidským herpesvirem typu 8. Kaposiho </w:delText>
        </w:r>
        <w:r w:rsidRPr="009A21A5">
          <w:delText>sarkom</w:delText>
        </w:r>
        <w:r>
          <w:delText xml:space="preserve"> se nejčastěji vyskytuje ve formě fialových skvrn na kůži;</w:delText>
        </w:r>
      </w:del>
    </w:p>
    <w:p w14:paraId="72842C97" w14:textId="77777777" w:rsidR="003072DD" w:rsidRPr="001B4A02" w:rsidRDefault="00000000" w:rsidP="007C5EA6">
      <w:pPr>
        <w:numPr>
          <w:ilvl w:val="0"/>
          <w:numId w:val="48"/>
        </w:numPr>
        <w:tabs>
          <w:tab w:val="clear" w:pos="720"/>
        </w:tabs>
        <w:ind w:left="567" w:hanging="567"/>
        <w:rPr>
          <w:del w:id="13366" w:author="AbbVie1" w:date="2025-05-13T10:11:00Z"/>
        </w:rPr>
      </w:pPr>
      <w:del w:id="13367" w:author="AbbVie1" w:date="2025-05-13T10:11:00Z">
        <w:r w:rsidRPr="001B4A02">
          <w:delText>selhání jater;</w:delText>
        </w:r>
      </w:del>
    </w:p>
    <w:p w14:paraId="53AF9E8E" w14:textId="77777777" w:rsidR="00000ECA" w:rsidRDefault="00000000" w:rsidP="007C5EA6">
      <w:pPr>
        <w:numPr>
          <w:ilvl w:val="0"/>
          <w:numId w:val="48"/>
        </w:numPr>
        <w:tabs>
          <w:tab w:val="clear" w:pos="720"/>
        </w:tabs>
        <w:ind w:left="567" w:hanging="567"/>
        <w:rPr>
          <w:del w:id="13368" w:author="AbbVie1" w:date="2025-05-13T10:11:00Z"/>
        </w:rPr>
      </w:pPr>
      <w:del w:id="13369" w:author="AbbVie1" w:date="2025-05-13T10:11:00Z">
        <w:r w:rsidRPr="001B4A02">
          <w:delText>zhoršení onemocnění nazývané dermatomyozitida (pozorovatelné jako kožní vyrážka doprovázená svalovou slabostí)</w:delText>
        </w:r>
        <w:r>
          <w:delText>;</w:delText>
        </w:r>
      </w:del>
    </w:p>
    <w:p w14:paraId="1362979D" w14:textId="77777777" w:rsidR="003072DD" w:rsidRPr="001B4A02" w:rsidRDefault="00000000" w:rsidP="007C5EA6">
      <w:pPr>
        <w:numPr>
          <w:ilvl w:val="0"/>
          <w:numId w:val="48"/>
        </w:numPr>
        <w:tabs>
          <w:tab w:val="clear" w:pos="720"/>
        </w:tabs>
        <w:ind w:left="567" w:hanging="567"/>
        <w:rPr>
          <w:del w:id="13370" w:author="AbbVie1" w:date="2025-05-13T10:11:00Z"/>
        </w:rPr>
      </w:pPr>
      <w:del w:id="13371" w:author="AbbVie1" w:date="2025-05-13T10:11:00Z">
        <w:r w:rsidRPr="000752A7">
          <w:rPr>
            <w:color w:val="000000"/>
            <w:szCs w:val="22"/>
          </w:rPr>
          <w:delText>zvýšení tělesné hmotnosti (u</w:delText>
        </w:r>
        <w:r w:rsidRPr="000752A7">
          <w:rPr>
            <w:szCs w:val="22"/>
            <w:lang w:eastAsia="cs-CZ"/>
          </w:rPr>
          <w:delText> </w:delText>
        </w:r>
        <w:r w:rsidRPr="000752A7">
          <w:rPr>
            <w:color w:val="000000"/>
            <w:szCs w:val="22"/>
          </w:rPr>
          <w:delText>většiny pacientů byl přírůstek hmotnosti malý)</w:delText>
        </w:r>
        <w:r w:rsidRPr="001B4A02">
          <w:delText>.</w:delText>
        </w:r>
      </w:del>
    </w:p>
    <w:p w14:paraId="485F1656" w14:textId="77777777" w:rsidR="003072DD" w:rsidRPr="001B4A02" w:rsidRDefault="003072DD" w:rsidP="00ED48A3">
      <w:pPr>
        <w:ind w:left="0" w:right="-29" w:firstLine="0"/>
        <w:rPr>
          <w:del w:id="13372" w:author="AbbVie1" w:date="2025-05-13T10:11:00Z"/>
        </w:rPr>
      </w:pPr>
    </w:p>
    <w:p w14:paraId="02E8B2D8" w14:textId="77777777" w:rsidR="00602C5F" w:rsidRPr="001B4A02" w:rsidRDefault="00000000" w:rsidP="00ED48A3">
      <w:pPr>
        <w:ind w:left="0" w:right="-29" w:firstLine="0"/>
        <w:rPr>
          <w:del w:id="13373" w:author="AbbVie1" w:date="2025-05-13T10:11:00Z"/>
        </w:rPr>
      </w:pPr>
      <w:del w:id="13374" w:author="AbbVie1" w:date="2025-05-13T10:11:00Z">
        <w:r w:rsidRPr="001B4A02">
          <w:delText xml:space="preserve">Některé nežádoucí účinky pozorované </w:delText>
        </w:r>
        <w:r w:rsidR="003072DD" w:rsidRPr="001B4A02">
          <w:delText>u</w:delText>
        </w:r>
        <w:r w:rsidR="004E2192" w:rsidRPr="001B4A02">
          <w:delText> přípravku</w:delText>
        </w:r>
        <w:r w:rsidR="003072DD" w:rsidRPr="001B4A02">
          <w:delText xml:space="preserve"> Humir</w:delText>
        </w:r>
        <w:r w:rsidR="004E2192" w:rsidRPr="001B4A02">
          <w:delText>a</w:delText>
        </w:r>
        <w:r w:rsidRPr="001B4A02">
          <w:delText xml:space="preserve"> mohou probíhat bez příznaků</w:delText>
        </w:r>
        <w:r w:rsidR="002378E0">
          <w:delText xml:space="preserve"> a </w:delText>
        </w:r>
        <w:r w:rsidRPr="001B4A02">
          <w:delText>mohou být objeveny pouze s pomocí krevních testů.</w:delText>
        </w:r>
      </w:del>
    </w:p>
    <w:p w14:paraId="3421B487" w14:textId="77777777" w:rsidR="00602C5F" w:rsidRPr="001B4A02" w:rsidRDefault="00000000" w:rsidP="00ED48A3">
      <w:pPr>
        <w:ind w:left="0" w:right="-29" w:firstLine="0"/>
        <w:rPr>
          <w:del w:id="13375" w:author="AbbVie1" w:date="2025-05-13T10:11:00Z"/>
        </w:rPr>
      </w:pPr>
      <w:del w:id="13376" w:author="AbbVie1" w:date="2025-05-13T10:11:00Z">
        <w:r w:rsidRPr="001B4A02">
          <w:delText>Tyto zahrnují:</w:delText>
        </w:r>
      </w:del>
    </w:p>
    <w:p w14:paraId="0C177165" w14:textId="77777777" w:rsidR="00602C5F" w:rsidRPr="001B4A02" w:rsidRDefault="00602C5F" w:rsidP="00ED48A3">
      <w:pPr>
        <w:ind w:left="0" w:right="-29" w:firstLine="0"/>
        <w:rPr>
          <w:del w:id="13377" w:author="AbbVie1" w:date="2025-05-13T10:11:00Z"/>
        </w:rPr>
      </w:pPr>
    </w:p>
    <w:p w14:paraId="7A65EBB5" w14:textId="77777777" w:rsidR="00602C5F" w:rsidRPr="001B4A02" w:rsidRDefault="00000000" w:rsidP="00F82C79">
      <w:pPr>
        <w:keepNext/>
        <w:ind w:left="0" w:right="-29" w:firstLine="0"/>
        <w:rPr>
          <w:del w:id="13378" w:author="AbbVie1" w:date="2025-05-13T10:11:00Z"/>
        </w:rPr>
      </w:pPr>
      <w:del w:id="13379" w:author="AbbVie1" w:date="2025-05-13T10:11:00Z">
        <w:r w:rsidRPr="001B4A02">
          <w:delText xml:space="preserve">Velmi časté </w:delText>
        </w:r>
        <w:r w:rsidRPr="001B4A02">
          <w:rPr>
            <w:shd w:val="clear" w:color="auto" w:fill="FFFFFF"/>
          </w:rPr>
          <w:delText>(</w:delText>
        </w:r>
        <w:r w:rsidR="003472B2" w:rsidRPr="001B4A02">
          <w:rPr>
            <w:shd w:val="clear" w:color="auto" w:fill="FFFFFF"/>
          </w:rPr>
          <w:delText>mohou postihnout více než 1 z 10 osob</w:delText>
        </w:r>
        <w:r w:rsidRPr="001B4A02">
          <w:delText>)</w:delText>
        </w:r>
      </w:del>
    </w:p>
    <w:p w14:paraId="33106B8D" w14:textId="77777777" w:rsidR="00F87035" w:rsidRPr="001B4A02" w:rsidRDefault="00F87035" w:rsidP="00F82C79">
      <w:pPr>
        <w:keepNext/>
        <w:ind w:left="0" w:right="-29" w:firstLine="0"/>
        <w:rPr>
          <w:del w:id="13380" w:author="AbbVie1" w:date="2025-05-13T10:11:00Z"/>
        </w:rPr>
      </w:pPr>
    </w:p>
    <w:p w14:paraId="17FAD02D" w14:textId="77777777" w:rsidR="00602C5F" w:rsidRPr="001B4A02" w:rsidRDefault="00000000" w:rsidP="007C5EA6">
      <w:pPr>
        <w:pStyle w:val="EMEANormal"/>
        <w:numPr>
          <w:ilvl w:val="0"/>
          <w:numId w:val="59"/>
        </w:numPr>
        <w:tabs>
          <w:tab w:val="clear" w:pos="562"/>
          <w:tab w:val="clear" w:pos="720"/>
        </w:tabs>
        <w:suppressAutoHyphens w:val="0"/>
        <w:ind w:left="567" w:hanging="567"/>
        <w:rPr>
          <w:del w:id="13381" w:author="AbbVie1" w:date="2025-05-13T10:11:00Z"/>
          <w:lang w:val="cs-CZ"/>
        </w:rPr>
      </w:pPr>
      <w:del w:id="13382" w:author="AbbVie1" w:date="2025-05-13T10:11:00Z">
        <w:r w:rsidRPr="001B4A02">
          <w:rPr>
            <w:lang w:val="cs-CZ"/>
          </w:rPr>
          <w:delText>nízký počet bílých krvinek;</w:delText>
        </w:r>
      </w:del>
    </w:p>
    <w:p w14:paraId="0C10FA8F" w14:textId="77777777" w:rsidR="00602C5F" w:rsidRPr="001B4A02" w:rsidRDefault="00000000" w:rsidP="007C5EA6">
      <w:pPr>
        <w:pStyle w:val="EMEANormal"/>
        <w:numPr>
          <w:ilvl w:val="0"/>
          <w:numId w:val="59"/>
        </w:numPr>
        <w:tabs>
          <w:tab w:val="clear" w:pos="562"/>
          <w:tab w:val="clear" w:pos="720"/>
        </w:tabs>
        <w:suppressAutoHyphens w:val="0"/>
        <w:ind w:left="567" w:hanging="567"/>
        <w:rPr>
          <w:del w:id="13383" w:author="AbbVie1" w:date="2025-05-13T10:11:00Z"/>
          <w:lang w:val="cs-CZ"/>
        </w:rPr>
      </w:pPr>
      <w:del w:id="13384" w:author="AbbVie1" w:date="2025-05-13T10:11:00Z">
        <w:r w:rsidRPr="001B4A02">
          <w:rPr>
            <w:lang w:val="cs-CZ"/>
          </w:rPr>
          <w:delText>nízký počet červených krvinek;</w:delText>
        </w:r>
      </w:del>
    </w:p>
    <w:p w14:paraId="0268F9DF" w14:textId="77777777" w:rsidR="00602C5F" w:rsidRPr="001B4A02" w:rsidRDefault="00000000" w:rsidP="007C5EA6">
      <w:pPr>
        <w:pStyle w:val="EMEANormal"/>
        <w:numPr>
          <w:ilvl w:val="0"/>
          <w:numId w:val="59"/>
        </w:numPr>
        <w:tabs>
          <w:tab w:val="clear" w:pos="562"/>
          <w:tab w:val="clear" w:pos="720"/>
        </w:tabs>
        <w:suppressAutoHyphens w:val="0"/>
        <w:ind w:left="567" w:hanging="567"/>
        <w:rPr>
          <w:del w:id="13385" w:author="AbbVie1" w:date="2025-05-13T10:11:00Z"/>
          <w:lang w:val="cs-CZ"/>
        </w:rPr>
      </w:pPr>
      <w:del w:id="13386" w:author="AbbVie1" w:date="2025-05-13T10:11:00Z">
        <w:r w:rsidRPr="001B4A02">
          <w:rPr>
            <w:lang w:val="cs-CZ"/>
          </w:rPr>
          <w:delText>zvýšení tuků v krvi;</w:delText>
        </w:r>
      </w:del>
    </w:p>
    <w:p w14:paraId="1046A327" w14:textId="77777777" w:rsidR="00602C5F" w:rsidRPr="001B4A02" w:rsidRDefault="00000000" w:rsidP="007C5EA6">
      <w:pPr>
        <w:pStyle w:val="EMEANormal"/>
        <w:numPr>
          <w:ilvl w:val="0"/>
          <w:numId w:val="59"/>
        </w:numPr>
        <w:tabs>
          <w:tab w:val="clear" w:pos="562"/>
          <w:tab w:val="clear" w:pos="720"/>
        </w:tabs>
        <w:suppressAutoHyphens w:val="0"/>
        <w:ind w:left="567" w:hanging="567"/>
        <w:rPr>
          <w:del w:id="13387" w:author="AbbVie1" w:date="2025-05-13T10:11:00Z"/>
          <w:lang w:val="cs-CZ"/>
        </w:rPr>
      </w:pPr>
      <w:del w:id="13388" w:author="AbbVie1" w:date="2025-05-13T10:11:00Z">
        <w:r w:rsidRPr="001B4A02">
          <w:rPr>
            <w:lang w:val="cs-CZ"/>
          </w:rPr>
          <w:delText>zvýšení jaterních enzymů.</w:delText>
        </w:r>
      </w:del>
    </w:p>
    <w:p w14:paraId="00EDB90F" w14:textId="77777777" w:rsidR="00602C5F" w:rsidRPr="001B4A02" w:rsidRDefault="00602C5F" w:rsidP="00ED48A3">
      <w:pPr>
        <w:pStyle w:val="EMEANormal"/>
        <w:tabs>
          <w:tab w:val="left" w:pos="0"/>
        </w:tabs>
        <w:suppressAutoHyphens w:val="0"/>
        <w:rPr>
          <w:del w:id="13389" w:author="AbbVie1" w:date="2025-05-13T10:11:00Z"/>
          <w:lang w:val="cs-CZ"/>
        </w:rPr>
      </w:pPr>
    </w:p>
    <w:p w14:paraId="3AE12D2C" w14:textId="77777777" w:rsidR="00602C5F" w:rsidRPr="001B4A02" w:rsidRDefault="00000000" w:rsidP="00ED48A3">
      <w:pPr>
        <w:keepNext/>
        <w:shd w:val="clear" w:color="auto" w:fill="FFFFFF"/>
        <w:tabs>
          <w:tab w:val="left" w:pos="0"/>
        </w:tabs>
        <w:ind w:left="0" w:firstLine="0"/>
        <w:rPr>
          <w:del w:id="13390" w:author="AbbVie1" w:date="2025-05-13T10:11:00Z"/>
        </w:rPr>
      </w:pPr>
      <w:del w:id="13391" w:author="AbbVie1" w:date="2025-05-13T10:11:00Z">
        <w:r w:rsidRPr="001B4A02">
          <w:delText>Časté (</w:delText>
        </w:r>
        <w:r w:rsidR="00680EF3" w:rsidRPr="001B4A02">
          <w:delText>mohou postihnout nejvýše</w:delText>
        </w:r>
        <w:r w:rsidR="003472B2" w:rsidRPr="001B4A02">
          <w:delText xml:space="preserve"> 1 z</w:delText>
        </w:r>
        <w:r w:rsidR="004823B6" w:rsidRPr="001B4A02">
          <w:delText> </w:delText>
        </w:r>
        <w:r w:rsidR="003472B2" w:rsidRPr="001B4A02">
          <w:delText>10 osob</w:delText>
        </w:r>
        <w:r w:rsidR="000C2348" w:rsidRPr="001B4A02">
          <w:delText>)</w:delText>
        </w:r>
      </w:del>
    </w:p>
    <w:p w14:paraId="6B8EB7B7" w14:textId="77777777" w:rsidR="00F87035" w:rsidRPr="001B4A02" w:rsidRDefault="00F87035" w:rsidP="00ED48A3">
      <w:pPr>
        <w:keepNext/>
        <w:shd w:val="clear" w:color="auto" w:fill="FFFFFF"/>
        <w:tabs>
          <w:tab w:val="left" w:pos="0"/>
        </w:tabs>
        <w:ind w:left="0" w:firstLine="0"/>
        <w:rPr>
          <w:del w:id="13392" w:author="AbbVie1" w:date="2025-05-13T10:11:00Z"/>
        </w:rPr>
      </w:pPr>
    </w:p>
    <w:p w14:paraId="5D2ADEC4" w14:textId="77777777" w:rsidR="00602C5F" w:rsidRPr="001B4A02" w:rsidRDefault="00000000" w:rsidP="007C5EA6">
      <w:pPr>
        <w:pStyle w:val="EMEANormal"/>
        <w:keepNext/>
        <w:numPr>
          <w:ilvl w:val="0"/>
          <w:numId w:val="59"/>
        </w:numPr>
        <w:tabs>
          <w:tab w:val="clear" w:pos="562"/>
          <w:tab w:val="clear" w:pos="720"/>
        </w:tabs>
        <w:suppressAutoHyphens w:val="0"/>
        <w:ind w:left="567" w:hanging="567"/>
        <w:rPr>
          <w:del w:id="13393" w:author="AbbVie1" w:date="2025-05-13T10:11:00Z"/>
          <w:lang w:val="cs-CZ"/>
        </w:rPr>
      </w:pPr>
      <w:del w:id="13394" w:author="AbbVie1" w:date="2025-05-13T10:11:00Z">
        <w:r w:rsidRPr="001B4A02">
          <w:rPr>
            <w:lang w:val="cs-CZ"/>
          </w:rPr>
          <w:delText>vysoký počet bílých krvinek;</w:delText>
        </w:r>
      </w:del>
    </w:p>
    <w:p w14:paraId="50B0E5A3" w14:textId="77777777" w:rsidR="00602C5F" w:rsidRPr="001B4A02" w:rsidRDefault="00000000" w:rsidP="00262E54">
      <w:pPr>
        <w:pStyle w:val="EMEANormal"/>
        <w:numPr>
          <w:ilvl w:val="0"/>
          <w:numId w:val="59"/>
        </w:numPr>
        <w:tabs>
          <w:tab w:val="clear" w:pos="562"/>
          <w:tab w:val="clear" w:pos="720"/>
        </w:tabs>
        <w:suppressAutoHyphens w:val="0"/>
        <w:ind w:left="567" w:hanging="567"/>
        <w:rPr>
          <w:del w:id="13395" w:author="AbbVie1" w:date="2025-05-13T10:11:00Z"/>
          <w:lang w:val="cs-CZ"/>
        </w:rPr>
      </w:pPr>
      <w:del w:id="13396" w:author="AbbVie1" w:date="2025-05-13T10:11:00Z">
        <w:r w:rsidRPr="001B4A02">
          <w:rPr>
            <w:lang w:val="cs-CZ"/>
          </w:rPr>
          <w:delText>nízký počet krevních destiček;</w:delText>
        </w:r>
      </w:del>
    </w:p>
    <w:p w14:paraId="2D666F4A" w14:textId="77777777" w:rsidR="00602C5F" w:rsidRPr="001B4A02" w:rsidRDefault="00000000" w:rsidP="00262E54">
      <w:pPr>
        <w:pStyle w:val="EMEANormal"/>
        <w:numPr>
          <w:ilvl w:val="0"/>
          <w:numId w:val="59"/>
        </w:numPr>
        <w:tabs>
          <w:tab w:val="clear" w:pos="562"/>
          <w:tab w:val="clear" w:pos="720"/>
        </w:tabs>
        <w:suppressAutoHyphens w:val="0"/>
        <w:ind w:left="567" w:hanging="567"/>
        <w:rPr>
          <w:del w:id="13397" w:author="AbbVie1" w:date="2025-05-13T10:11:00Z"/>
          <w:lang w:val="cs-CZ"/>
        </w:rPr>
      </w:pPr>
      <w:del w:id="13398" w:author="AbbVie1" w:date="2025-05-13T10:11:00Z">
        <w:r w:rsidRPr="001B4A02">
          <w:rPr>
            <w:lang w:val="cs-CZ"/>
          </w:rPr>
          <w:delText>zvýšení kyseliny močové v krvi;</w:delText>
        </w:r>
      </w:del>
    </w:p>
    <w:p w14:paraId="4DC831E3" w14:textId="77777777" w:rsidR="00602C5F" w:rsidRPr="001B4A02" w:rsidRDefault="00000000" w:rsidP="00262E54">
      <w:pPr>
        <w:pStyle w:val="EMEANormal"/>
        <w:numPr>
          <w:ilvl w:val="0"/>
          <w:numId w:val="59"/>
        </w:numPr>
        <w:tabs>
          <w:tab w:val="clear" w:pos="562"/>
          <w:tab w:val="clear" w:pos="720"/>
        </w:tabs>
        <w:suppressAutoHyphens w:val="0"/>
        <w:ind w:left="567" w:hanging="567"/>
        <w:rPr>
          <w:del w:id="13399" w:author="AbbVie1" w:date="2025-05-13T10:11:00Z"/>
          <w:lang w:val="cs-CZ"/>
        </w:rPr>
      </w:pPr>
      <w:del w:id="13400" w:author="AbbVie1" w:date="2025-05-13T10:11:00Z">
        <w:r w:rsidRPr="001B4A02">
          <w:rPr>
            <w:lang w:val="cs-CZ"/>
          </w:rPr>
          <w:delText>neobvyklé hodnoty sodíku v krvi;</w:delText>
        </w:r>
      </w:del>
    </w:p>
    <w:p w14:paraId="142EC0A9" w14:textId="77777777" w:rsidR="00602C5F" w:rsidRPr="001B4A02" w:rsidRDefault="00000000" w:rsidP="00262E54">
      <w:pPr>
        <w:pStyle w:val="EMEANormal"/>
        <w:numPr>
          <w:ilvl w:val="0"/>
          <w:numId w:val="59"/>
        </w:numPr>
        <w:tabs>
          <w:tab w:val="clear" w:pos="562"/>
          <w:tab w:val="clear" w:pos="720"/>
        </w:tabs>
        <w:suppressAutoHyphens w:val="0"/>
        <w:ind w:left="567" w:hanging="567"/>
        <w:rPr>
          <w:del w:id="13401" w:author="AbbVie1" w:date="2025-05-13T10:11:00Z"/>
          <w:lang w:val="cs-CZ"/>
        </w:rPr>
      </w:pPr>
      <w:del w:id="13402" w:author="AbbVie1" w:date="2025-05-13T10:11:00Z">
        <w:r w:rsidRPr="001B4A02">
          <w:rPr>
            <w:lang w:val="cs-CZ"/>
          </w:rPr>
          <w:delText>nízké hodnoty vápníku v krvi;</w:delText>
        </w:r>
      </w:del>
    </w:p>
    <w:p w14:paraId="60A1DC26" w14:textId="77777777" w:rsidR="00602C5F" w:rsidRPr="001B4A02" w:rsidRDefault="00000000" w:rsidP="00262E54">
      <w:pPr>
        <w:pStyle w:val="EMEANormal"/>
        <w:numPr>
          <w:ilvl w:val="0"/>
          <w:numId w:val="59"/>
        </w:numPr>
        <w:tabs>
          <w:tab w:val="clear" w:pos="562"/>
          <w:tab w:val="clear" w:pos="720"/>
        </w:tabs>
        <w:suppressAutoHyphens w:val="0"/>
        <w:ind w:left="567" w:hanging="567"/>
        <w:rPr>
          <w:del w:id="13403" w:author="AbbVie1" w:date="2025-05-13T10:11:00Z"/>
          <w:lang w:val="cs-CZ"/>
        </w:rPr>
      </w:pPr>
      <w:del w:id="13404" w:author="AbbVie1" w:date="2025-05-13T10:11:00Z">
        <w:r w:rsidRPr="001B4A02">
          <w:rPr>
            <w:lang w:val="cs-CZ"/>
          </w:rPr>
          <w:delText>nízké hodnoty fosforu v krvi;</w:delText>
        </w:r>
      </w:del>
    </w:p>
    <w:p w14:paraId="3C8785F5" w14:textId="77777777" w:rsidR="00602C5F" w:rsidRPr="001B4A02" w:rsidRDefault="00000000" w:rsidP="00262E54">
      <w:pPr>
        <w:pStyle w:val="EMEANormal"/>
        <w:numPr>
          <w:ilvl w:val="0"/>
          <w:numId w:val="59"/>
        </w:numPr>
        <w:tabs>
          <w:tab w:val="clear" w:pos="562"/>
          <w:tab w:val="clear" w:pos="720"/>
        </w:tabs>
        <w:suppressAutoHyphens w:val="0"/>
        <w:ind w:left="567" w:hanging="567"/>
        <w:rPr>
          <w:del w:id="13405" w:author="AbbVie1" w:date="2025-05-13T10:11:00Z"/>
          <w:lang w:val="cs-CZ"/>
        </w:rPr>
      </w:pPr>
      <w:del w:id="13406" w:author="AbbVie1" w:date="2025-05-13T10:11:00Z">
        <w:r w:rsidRPr="001B4A02">
          <w:rPr>
            <w:lang w:val="cs-CZ"/>
          </w:rPr>
          <w:delText>vysoké hladiny krevního cukru;</w:delText>
        </w:r>
      </w:del>
    </w:p>
    <w:p w14:paraId="362ACDEA" w14:textId="77777777" w:rsidR="00602C5F" w:rsidRPr="001B4A02" w:rsidRDefault="00000000" w:rsidP="00262E54">
      <w:pPr>
        <w:pStyle w:val="EMEANormal"/>
        <w:numPr>
          <w:ilvl w:val="0"/>
          <w:numId w:val="59"/>
        </w:numPr>
        <w:tabs>
          <w:tab w:val="clear" w:pos="562"/>
          <w:tab w:val="clear" w:pos="720"/>
        </w:tabs>
        <w:suppressAutoHyphens w:val="0"/>
        <w:ind w:left="567" w:hanging="567"/>
        <w:rPr>
          <w:del w:id="13407" w:author="AbbVie1" w:date="2025-05-13T10:11:00Z"/>
          <w:lang w:val="cs-CZ"/>
        </w:rPr>
      </w:pPr>
      <w:del w:id="13408" w:author="AbbVie1" w:date="2025-05-13T10:11:00Z">
        <w:r w:rsidRPr="001B4A02">
          <w:rPr>
            <w:lang w:val="cs-CZ"/>
          </w:rPr>
          <w:delText>vysoké hodnoty laktátdehydrogenázy v krvi;</w:delText>
        </w:r>
      </w:del>
    </w:p>
    <w:p w14:paraId="232A4F8B" w14:textId="77777777" w:rsidR="00A94BD7" w:rsidRPr="001B4A02" w:rsidRDefault="00000000" w:rsidP="00262E54">
      <w:pPr>
        <w:pStyle w:val="EMEANormal"/>
        <w:numPr>
          <w:ilvl w:val="0"/>
          <w:numId w:val="59"/>
        </w:numPr>
        <w:tabs>
          <w:tab w:val="clear" w:pos="562"/>
          <w:tab w:val="clear" w:pos="720"/>
        </w:tabs>
        <w:suppressAutoHyphens w:val="0"/>
        <w:ind w:left="567" w:hanging="567"/>
        <w:rPr>
          <w:del w:id="13409" w:author="AbbVie1" w:date="2025-05-13T10:11:00Z"/>
          <w:lang w:val="cs-CZ"/>
        </w:rPr>
      </w:pPr>
      <w:del w:id="13410" w:author="AbbVie1" w:date="2025-05-13T10:11:00Z">
        <w:r w:rsidRPr="001B4A02">
          <w:rPr>
            <w:lang w:val="cs-CZ"/>
          </w:rPr>
          <w:delText>přítomnost autoprotilátek v krvi;</w:delText>
        </w:r>
      </w:del>
    </w:p>
    <w:p w14:paraId="293A508E" w14:textId="77777777" w:rsidR="00A94BD7" w:rsidRPr="001B4A02" w:rsidRDefault="00000000" w:rsidP="00262E54">
      <w:pPr>
        <w:pStyle w:val="EMEANormal"/>
        <w:numPr>
          <w:ilvl w:val="0"/>
          <w:numId w:val="59"/>
        </w:numPr>
        <w:tabs>
          <w:tab w:val="clear" w:pos="562"/>
          <w:tab w:val="clear" w:pos="720"/>
        </w:tabs>
        <w:suppressAutoHyphens w:val="0"/>
        <w:ind w:left="567" w:hanging="567"/>
        <w:rPr>
          <w:del w:id="13411" w:author="AbbVie1" w:date="2025-05-13T10:11:00Z"/>
          <w:lang w:val="cs-CZ"/>
        </w:rPr>
      </w:pPr>
      <w:del w:id="13412" w:author="AbbVie1" w:date="2025-05-13T10:11:00Z">
        <w:r w:rsidRPr="001B4A02">
          <w:rPr>
            <w:lang w:val="cs-CZ"/>
          </w:rPr>
          <w:delText>nízká hladina draslíku v krvi.</w:delText>
        </w:r>
      </w:del>
    </w:p>
    <w:p w14:paraId="3D310EE2" w14:textId="77777777" w:rsidR="00A94BD7" w:rsidRPr="001B4A02" w:rsidRDefault="00A94BD7" w:rsidP="00262E54">
      <w:pPr>
        <w:pStyle w:val="EMEANormal"/>
        <w:tabs>
          <w:tab w:val="clear" w:pos="562"/>
          <w:tab w:val="left" w:pos="0"/>
        </w:tabs>
        <w:suppressAutoHyphens w:val="0"/>
        <w:rPr>
          <w:del w:id="13413" w:author="AbbVie1" w:date="2025-05-13T10:11:00Z"/>
          <w:lang w:val="cs-CZ"/>
        </w:rPr>
      </w:pPr>
    </w:p>
    <w:p w14:paraId="1E14CFE4" w14:textId="77777777" w:rsidR="00A94BD7" w:rsidRPr="001B4A02" w:rsidRDefault="00000000" w:rsidP="00262E54">
      <w:pPr>
        <w:keepNext/>
        <w:ind w:left="0" w:right="-28" w:firstLine="0"/>
        <w:rPr>
          <w:del w:id="13414" w:author="AbbVie1" w:date="2025-05-13T10:11:00Z"/>
        </w:rPr>
      </w:pPr>
      <w:del w:id="13415" w:author="AbbVie1" w:date="2025-05-13T10:11:00Z">
        <w:r w:rsidRPr="001B4A02">
          <w:delText>Méně časté (</w:delText>
        </w:r>
        <w:r w:rsidRPr="001B4A02">
          <w:rPr>
            <w:shd w:val="clear" w:color="auto" w:fill="FFFFFF"/>
          </w:rPr>
          <w:delText>mohou postihnout nejvýše 1 ze 100 osob</w:delText>
        </w:r>
        <w:r w:rsidRPr="001B4A02">
          <w:delText>)</w:delText>
        </w:r>
      </w:del>
    </w:p>
    <w:p w14:paraId="1F7824DD" w14:textId="77777777" w:rsidR="00A94BD7" w:rsidRPr="001B4A02" w:rsidRDefault="00A94BD7" w:rsidP="00262E54">
      <w:pPr>
        <w:keepNext/>
        <w:ind w:left="0" w:right="-28" w:firstLine="0"/>
        <w:rPr>
          <w:del w:id="13416" w:author="AbbVie1" w:date="2025-05-13T10:11:00Z"/>
        </w:rPr>
      </w:pPr>
    </w:p>
    <w:p w14:paraId="5F2AED41" w14:textId="77777777" w:rsidR="00602C5F" w:rsidRPr="001B4A02" w:rsidRDefault="00000000" w:rsidP="00262E54">
      <w:pPr>
        <w:pStyle w:val="EMEANormal"/>
        <w:numPr>
          <w:ilvl w:val="0"/>
          <w:numId w:val="59"/>
        </w:numPr>
        <w:tabs>
          <w:tab w:val="clear" w:pos="562"/>
          <w:tab w:val="clear" w:pos="720"/>
        </w:tabs>
        <w:suppressAutoHyphens w:val="0"/>
        <w:ind w:left="567" w:hanging="567"/>
        <w:rPr>
          <w:del w:id="13417" w:author="AbbVie1" w:date="2025-05-13T10:11:00Z"/>
          <w:lang w:val="cs-CZ"/>
        </w:rPr>
      </w:pPr>
      <w:del w:id="13418" w:author="AbbVie1" w:date="2025-05-13T10:11:00Z">
        <w:r w:rsidRPr="001B4A02">
          <w:rPr>
            <w:lang w:val="cs-CZ"/>
          </w:rPr>
          <w:delText>zvýšená hladina bilirubinu (jaterní test z krve).</w:delText>
        </w:r>
      </w:del>
    </w:p>
    <w:p w14:paraId="0CDCAE95" w14:textId="77777777" w:rsidR="00602C5F" w:rsidRPr="001B4A02" w:rsidRDefault="00602C5F" w:rsidP="00ED48A3">
      <w:pPr>
        <w:pStyle w:val="EMEANormal"/>
        <w:tabs>
          <w:tab w:val="left" w:pos="0"/>
        </w:tabs>
        <w:suppressAutoHyphens w:val="0"/>
        <w:rPr>
          <w:del w:id="13419" w:author="AbbVie1" w:date="2025-05-13T10:11:00Z"/>
          <w:lang w:val="cs-CZ"/>
        </w:rPr>
      </w:pPr>
    </w:p>
    <w:p w14:paraId="0922470D" w14:textId="77777777" w:rsidR="00602C5F" w:rsidRPr="001B4A02" w:rsidRDefault="00000000" w:rsidP="00262E54">
      <w:pPr>
        <w:keepNext/>
        <w:ind w:left="0" w:right="-28" w:firstLine="0"/>
        <w:rPr>
          <w:del w:id="13420" w:author="AbbVie1" w:date="2025-05-13T10:11:00Z"/>
        </w:rPr>
      </w:pPr>
      <w:del w:id="13421" w:author="AbbVie1" w:date="2025-05-13T10:11:00Z">
        <w:r w:rsidRPr="001B4A02">
          <w:delText>Vzácné (</w:delText>
        </w:r>
        <w:r w:rsidR="00680EF3" w:rsidRPr="001B4A02">
          <w:delText>mohou postihnout nejvýše</w:delText>
        </w:r>
        <w:r w:rsidR="000303B9" w:rsidRPr="001B4A02">
          <w:delText xml:space="preserve"> 1 z 1</w:delText>
        </w:r>
        <w:r w:rsidR="009F584E" w:rsidRPr="001B4A02">
          <w:delText> </w:delText>
        </w:r>
        <w:r w:rsidR="000303B9" w:rsidRPr="001B4A02">
          <w:delText>000 osob</w:delText>
        </w:r>
        <w:r w:rsidRPr="001B4A02">
          <w:delText>)</w:delText>
        </w:r>
      </w:del>
    </w:p>
    <w:p w14:paraId="030C64B0" w14:textId="77777777" w:rsidR="00F87035" w:rsidRPr="001B4A02" w:rsidRDefault="00F87035" w:rsidP="00262E54">
      <w:pPr>
        <w:keepNext/>
        <w:ind w:left="0" w:right="-28" w:firstLine="0"/>
        <w:rPr>
          <w:del w:id="13422" w:author="AbbVie1" w:date="2025-05-13T10:11:00Z"/>
        </w:rPr>
      </w:pPr>
    </w:p>
    <w:p w14:paraId="0D7F78CD" w14:textId="77777777" w:rsidR="00602C5F" w:rsidRPr="001B4A02" w:rsidRDefault="00000000" w:rsidP="007C5EA6">
      <w:pPr>
        <w:pStyle w:val="EMEANormal"/>
        <w:numPr>
          <w:ilvl w:val="0"/>
          <w:numId w:val="59"/>
        </w:numPr>
        <w:tabs>
          <w:tab w:val="clear" w:pos="562"/>
          <w:tab w:val="clear" w:pos="720"/>
        </w:tabs>
        <w:suppressAutoHyphens w:val="0"/>
        <w:ind w:left="567" w:hanging="567"/>
        <w:rPr>
          <w:del w:id="13423" w:author="AbbVie1" w:date="2025-05-13T10:11:00Z"/>
          <w:lang w:val="cs-CZ"/>
        </w:rPr>
      </w:pPr>
      <w:del w:id="13424" w:author="AbbVie1" w:date="2025-05-13T10:11:00Z">
        <w:r w:rsidRPr="001B4A02">
          <w:rPr>
            <w:lang w:val="cs-CZ"/>
          </w:rPr>
          <w:delText>nízké počty bílých krvinek, červených krvinek</w:delText>
        </w:r>
        <w:r w:rsidR="002378E0">
          <w:rPr>
            <w:lang w:val="cs-CZ"/>
          </w:rPr>
          <w:delText xml:space="preserve"> a </w:delText>
        </w:r>
        <w:r w:rsidR="00E26C70" w:rsidRPr="001B4A02">
          <w:rPr>
            <w:lang w:val="cs-CZ"/>
          </w:rPr>
          <w:delText xml:space="preserve">krevních </w:delText>
        </w:r>
        <w:r w:rsidRPr="001B4A02">
          <w:rPr>
            <w:lang w:val="cs-CZ"/>
          </w:rPr>
          <w:delText>destiček</w:delText>
        </w:r>
        <w:r w:rsidR="00774007" w:rsidRPr="001B4A02">
          <w:rPr>
            <w:lang w:val="cs-CZ"/>
          </w:rPr>
          <w:delText>.</w:delText>
        </w:r>
      </w:del>
    </w:p>
    <w:p w14:paraId="6E4A012D" w14:textId="77777777" w:rsidR="00602C5F" w:rsidRPr="001B4A02" w:rsidRDefault="00602C5F" w:rsidP="0009084E">
      <w:pPr>
        <w:pStyle w:val="EMEANormal"/>
        <w:tabs>
          <w:tab w:val="left" w:pos="0"/>
        </w:tabs>
        <w:suppressAutoHyphens w:val="0"/>
        <w:rPr>
          <w:del w:id="13425" w:author="AbbVie1" w:date="2025-05-13T10:11:00Z"/>
          <w:lang w:val="cs-CZ"/>
        </w:rPr>
      </w:pPr>
    </w:p>
    <w:p w14:paraId="281C0EBD" w14:textId="77777777" w:rsidR="005F59C4" w:rsidRPr="00BA0A72" w:rsidRDefault="00000000" w:rsidP="0009084E">
      <w:pPr>
        <w:keepNext/>
        <w:numPr>
          <w:ilvl w:val="12"/>
          <w:numId w:val="0"/>
        </w:numPr>
        <w:rPr>
          <w:del w:id="13426" w:author="AbbVie1" w:date="2025-05-13T10:11:00Z"/>
          <w:b/>
        </w:rPr>
      </w:pPr>
      <w:del w:id="13427" w:author="AbbVie1" w:date="2025-05-13T10:11:00Z">
        <w:r w:rsidRPr="00BA0A72">
          <w:rPr>
            <w:b/>
          </w:rPr>
          <w:delText>Hlášení nežádoucích účinků</w:delText>
        </w:r>
      </w:del>
    </w:p>
    <w:p w14:paraId="576E3802" w14:textId="77777777" w:rsidR="005F59C4" w:rsidRPr="001B4A02" w:rsidRDefault="00000000" w:rsidP="0009084E">
      <w:pPr>
        <w:numPr>
          <w:ilvl w:val="12"/>
          <w:numId w:val="0"/>
        </w:numPr>
        <w:rPr>
          <w:del w:id="13428" w:author="AbbVie1" w:date="2025-05-13T10:11:00Z"/>
        </w:rPr>
      </w:pPr>
      <w:del w:id="13429" w:author="AbbVie1" w:date="2025-05-13T10:11:00Z">
        <w:r w:rsidRPr="001B4A02">
          <w:delText xml:space="preserve">Pokud se </w:delText>
        </w:r>
        <w:r w:rsidR="004823B6" w:rsidRPr="001B4A02">
          <w:delText>u </w:delText>
        </w:r>
        <w:r w:rsidR="00986502" w:rsidRPr="001B4A02">
          <w:delText xml:space="preserve">Vás vyskytne </w:delText>
        </w:r>
        <w:r w:rsidRPr="001B4A02">
          <w:delText>kterýkoli z nežádoucích účinků</w:delText>
        </w:r>
        <w:r w:rsidR="00986502" w:rsidRPr="001B4A02">
          <w:delText>, sdělte to svému lékaři nebo lékárníkovi. Stejně postupujte i v</w:delText>
        </w:r>
        <w:r w:rsidR="000928E6" w:rsidRPr="001B4A02">
          <w:delText> </w:delText>
        </w:r>
        <w:r w:rsidR="00986502" w:rsidRPr="001B4A02">
          <w:delText xml:space="preserve">případě </w:delText>
        </w:r>
        <w:r w:rsidRPr="001B4A02">
          <w:delText>jakýchkoli nežádoucích účinků, které nejsou uvedeny v této příbalové informaci.</w:delText>
        </w:r>
        <w:r w:rsidR="000654D2">
          <w:delText xml:space="preserve"> </w:delText>
        </w:r>
        <w:r w:rsidRPr="001B4A02">
          <w:delText xml:space="preserve">Nežádoucí účinky můžete hlásit také přímo prostřednictvím </w:delText>
        </w:r>
        <w:r w:rsidR="001D5342" w:rsidRPr="001B4A02">
          <w:rPr>
            <w:shd w:val="clear" w:color="auto" w:fill="A6A6A6"/>
          </w:rPr>
          <w:delText>národního systému hlášení nežádoucích účinků uvedeného v </w:delText>
        </w:r>
        <w:r w:rsidR="001D5342">
          <w:fldChar w:fldCharType="begin"/>
        </w:r>
        <w:r w:rsidR="001D5342">
          <w:delInstrText>HYPERLINK "http://www.ema.europa.eu/docs/en_GB/document_library/Template_or_form/2013/03/WC500139752.doc"</w:delInstrText>
        </w:r>
        <w:r w:rsidR="001D5342">
          <w:fldChar w:fldCharType="separate"/>
        </w:r>
        <w:r w:rsidR="001D5342" w:rsidRPr="001B4A02">
          <w:rPr>
            <w:rStyle w:val="Hyperlink"/>
            <w:shd w:val="clear" w:color="auto" w:fill="A6A6A6"/>
          </w:rPr>
          <w:delText>Dodatku V</w:delText>
        </w:r>
        <w:r w:rsidR="001D5342">
          <w:fldChar w:fldCharType="end"/>
        </w:r>
        <w:r w:rsidR="001D5342" w:rsidRPr="001B4A02">
          <w:rPr>
            <w:shd w:val="clear" w:color="auto" w:fill="FFFFFF"/>
          </w:rPr>
          <w:delText>.</w:delText>
        </w:r>
        <w:r w:rsidR="00B6510E" w:rsidRPr="001B4A02">
          <w:delText xml:space="preserve"> </w:delText>
        </w:r>
        <w:r w:rsidRPr="001B4A02">
          <w:delText>Nahlášením nežádoucích účinků můžete přispět k získání více informací o</w:delText>
        </w:r>
        <w:r w:rsidR="00063784" w:rsidRPr="001B4A02">
          <w:delText> </w:delText>
        </w:r>
        <w:r w:rsidRPr="001B4A02">
          <w:delText>bezpečnosti tohoto přípravku.</w:delText>
        </w:r>
      </w:del>
    </w:p>
    <w:p w14:paraId="3A678C47" w14:textId="77777777" w:rsidR="00073F8F" w:rsidRPr="001B4A02" w:rsidRDefault="00073F8F" w:rsidP="0009084E">
      <w:pPr>
        <w:ind w:left="0" w:firstLine="0"/>
        <w:rPr>
          <w:del w:id="13430" w:author="AbbVie1" w:date="2025-05-13T10:11:00Z"/>
        </w:rPr>
      </w:pPr>
    </w:p>
    <w:p w14:paraId="317D5AAF" w14:textId="77777777" w:rsidR="00225D61" w:rsidRPr="001B4A02" w:rsidRDefault="00225D61" w:rsidP="0009084E">
      <w:pPr>
        <w:ind w:left="0" w:firstLine="0"/>
        <w:rPr>
          <w:del w:id="13431" w:author="AbbVie1" w:date="2025-05-13T10:11:00Z"/>
        </w:rPr>
      </w:pPr>
    </w:p>
    <w:p w14:paraId="310CABB7" w14:textId="77777777" w:rsidR="00073F8F" w:rsidRPr="001B4A02" w:rsidRDefault="00000000" w:rsidP="00262E54">
      <w:pPr>
        <w:keepNext/>
        <w:numPr>
          <w:ilvl w:val="12"/>
          <w:numId w:val="0"/>
        </w:numPr>
        <w:ind w:left="567" w:hanging="567"/>
        <w:outlineLvl w:val="1"/>
        <w:rPr>
          <w:del w:id="13432" w:author="AbbVie1" w:date="2025-05-13T10:11:00Z"/>
        </w:rPr>
      </w:pPr>
      <w:del w:id="13433" w:author="AbbVie1" w:date="2025-05-13T10:11:00Z">
        <w:r w:rsidRPr="001B4A02">
          <w:rPr>
            <w:b/>
          </w:rPr>
          <w:delText>5.</w:delText>
        </w:r>
        <w:r w:rsidRPr="001B4A02">
          <w:rPr>
            <w:b/>
          </w:rPr>
          <w:tab/>
          <w:delText>J</w:delText>
        </w:r>
        <w:r w:rsidR="00986502" w:rsidRPr="001B4A02">
          <w:rPr>
            <w:b/>
          </w:rPr>
          <w:delText>ak přípravek Humira uchovávat</w:delText>
        </w:r>
      </w:del>
    </w:p>
    <w:p w14:paraId="4E24518A" w14:textId="77777777" w:rsidR="00073F8F" w:rsidRPr="001B4A02" w:rsidRDefault="00073F8F" w:rsidP="00262E54">
      <w:pPr>
        <w:keepNext/>
        <w:numPr>
          <w:ilvl w:val="12"/>
          <w:numId w:val="0"/>
        </w:numPr>
        <w:ind w:right="-2"/>
        <w:jc w:val="both"/>
        <w:rPr>
          <w:del w:id="13434" w:author="AbbVie1" w:date="2025-05-13T10:11:00Z"/>
        </w:rPr>
      </w:pPr>
    </w:p>
    <w:p w14:paraId="6258EE9A" w14:textId="77777777" w:rsidR="00073F8F" w:rsidRPr="001B4A02" w:rsidRDefault="00000000" w:rsidP="00ED48A3">
      <w:pPr>
        <w:ind w:left="0" w:firstLine="0"/>
        <w:rPr>
          <w:del w:id="13435" w:author="AbbVie1" w:date="2025-05-13T10:11:00Z"/>
        </w:rPr>
      </w:pPr>
      <w:del w:id="13436" w:author="AbbVie1" w:date="2025-05-13T10:11:00Z">
        <w:r w:rsidRPr="001B4A02">
          <w:delText xml:space="preserve">Uchovávejte mimo </w:delText>
        </w:r>
        <w:r w:rsidR="00986502" w:rsidRPr="001B4A02">
          <w:delText>dohled</w:delText>
        </w:r>
        <w:r w:rsidR="002378E0">
          <w:delText xml:space="preserve"> a </w:delText>
        </w:r>
        <w:r w:rsidRPr="001B4A02">
          <w:delText>dosah dětí.</w:delText>
        </w:r>
      </w:del>
    </w:p>
    <w:p w14:paraId="08C67120" w14:textId="77777777" w:rsidR="00073F8F" w:rsidRPr="001B4A02" w:rsidRDefault="00073F8F" w:rsidP="00ED48A3">
      <w:pPr>
        <w:ind w:left="0" w:firstLine="0"/>
        <w:rPr>
          <w:del w:id="13437" w:author="AbbVie1" w:date="2025-05-13T10:11:00Z"/>
        </w:rPr>
      </w:pPr>
    </w:p>
    <w:p w14:paraId="3FEE90AC" w14:textId="77777777" w:rsidR="00073F8F" w:rsidRPr="001B4A02" w:rsidRDefault="00000000" w:rsidP="00ED48A3">
      <w:pPr>
        <w:ind w:left="0" w:firstLine="0"/>
        <w:rPr>
          <w:del w:id="13438" w:author="AbbVie1" w:date="2025-05-13T10:11:00Z"/>
        </w:rPr>
      </w:pPr>
      <w:del w:id="13439" w:author="AbbVie1" w:date="2025-05-13T10:11:00Z">
        <w:r w:rsidRPr="001B4A02">
          <w:delText xml:space="preserve">Nepoužívejte přípravek Humira po uplynutí doby použitelnosti uvedené na lahvičce/blistru/krabičce za </w:delText>
        </w:r>
        <w:r w:rsidR="00774007" w:rsidRPr="001B4A02">
          <w:delText>EXP</w:delText>
        </w:r>
        <w:r w:rsidRPr="001B4A02">
          <w:delText xml:space="preserve">. </w:delText>
        </w:r>
      </w:del>
    </w:p>
    <w:p w14:paraId="3E30EB3B" w14:textId="77777777" w:rsidR="00073F8F" w:rsidRPr="001B4A02" w:rsidRDefault="00073F8F" w:rsidP="00ED48A3">
      <w:pPr>
        <w:ind w:left="0" w:firstLine="0"/>
        <w:rPr>
          <w:del w:id="13440" w:author="AbbVie1" w:date="2025-05-13T10:11:00Z"/>
        </w:rPr>
      </w:pPr>
    </w:p>
    <w:p w14:paraId="75BCFA9E" w14:textId="77777777" w:rsidR="00073F8F" w:rsidRPr="001B4A02" w:rsidRDefault="00000000" w:rsidP="00ED48A3">
      <w:pPr>
        <w:tabs>
          <w:tab w:val="left" w:pos="567"/>
        </w:tabs>
        <w:ind w:left="0" w:firstLine="0"/>
        <w:rPr>
          <w:del w:id="13441" w:author="AbbVie1" w:date="2025-05-13T10:11:00Z"/>
        </w:rPr>
      </w:pPr>
      <w:del w:id="13442" w:author="AbbVie1" w:date="2025-05-13T10:11:00Z">
        <w:r w:rsidRPr="001B4A02">
          <w:delText>Uchovávejte v chladničce (2</w:delText>
        </w:r>
        <w:r w:rsidR="003A6A97" w:rsidRPr="001B4A02">
          <w:delText xml:space="preserve"> </w:delText>
        </w:r>
        <w:r w:rsidRPr="001B4A02">
          <w:delText>°C</w:delText>
        </w:r>
        <w:r w:rsidR="004E7B71">
          <w:delText xml:space="preserve"> </w:delText>
        </w:r>
        <w:r w:rsidR="003A6A97" w:rsidRPr="001B4A02">
          <w:delText>–</w:delText>
        </w:r>
        <w:r w:rsidR="004E7B71">
          <w:delText xml:space="preserve"> </w:delText>
        </w:r>
        <w:r w:rsidRPr="001B4A02">
          <w:delText>8</w:delText>
        </w:r>
        <w:r w:rsidR="003A6A97" w:rsidRPr="001B4A02">
          <w:delText xml:space="preserve"> </w:delText>
        </w:r>
        <w:r w:rsidRPr="001B4A02">
          <w:delText>°C). Chraňte před mrazem. Uchovávejte předplněné pero v krabičce</w:delText>
        </w:r>
        <w:r w:rsidR="005F2397" w:rsidRPr="001B4A02">
          <w:delText>, aby byl přípravek chráněn před světlem</w:delText>
        </w:r>
        <w:r w:rsidRPr="001B4A02">
          <w:delText>.</w:delText>
        </w:r>
      </w:del>
    </w:p>
    <w:p w14:paraId="6DE76479" w14:textId="77777777" w:rsidR="005F2397" w:rsidRPr="001B4A02" w:rsidRDefault="005F2397" w:rsidP="00ED48A3">
      <w:pPr>
        <w:tabs>
          <w:tab w:val="left" w:pos="708"/>
        </w:tabs>
        <w:autoSpaceDE w:val="0"/>
        <w:autoSpaceDN w:val="0"/>
        <w:adjustRightInd w:val="0"/>
        <w:rPr>
          <w:del w:id="13443" w:author="AbbVie1" w:date="2025-05-13T10:11:00Z"/>
          <w:szCs w:val="22"/>
          <w:lang w:eastAsia="en-GB"/>
        </w:rPr>
      </w:pPr>
    </w:p>
    <w:p w14:paraId="61067782" w14:textId="77777777" w:rsidR="005F2397" w:rsidRPr="001B4A02" w:rsidRDefault="00000000" w:rsidP="00262E54">
      <w:pPr>
        <w:keepNext/>
        <w:tabs>
          <w:tab w:val="left" w:pos="708"/>
        </w:tabs>
        <w:autoSpaceDE w:val="0"/>
        <w:autoSpaceDN w:val="0"/>
        <w:adjustRightInd w:val="0"/>
        <w:rPr>
          <w:del w:id="13444" w:author="AbbVie1" w:date="2025-05-13T10:11:00Z"/>
          <w:szCs w:val="22"/>
          <w:lang w:eastAsia="en-GB"/>
        </w:rPr>
      </w:pPr>
      <w:del w:id="13445" w:author="AbbVie1" w:date="2025-05-13T10:11:00Z">
        <w:r w:rsidRPr="001B4A02">
          <w:rPr>
            <w:szCs w:val="22"/>
            <w:lang w:eastAsia="en-GB"/>
          </w:rPr>
          <w:delText>Jiná možnost uchovávání:</w:delText>
        </w:r>
      </w:del>
    </w:p>
    <w:p w14:paraId="50239250" w14:textId="77777777" w:rsidR="005F2397" w:rsidRPr="001B4A02" w:rsidRDefault="005F2397" w:rsidP="00262E54">
      <w:pPr>
        <w:keepNext/>
        <w:tabs>
          <w:tab w:val="left" w:pos="708"/>
        </w:tabs>
        <w:autoSpaceDE w:val="0"/>
        <w:autoSpaceDN w:val="0"/>
        <w:adjustRightInd w:val="0"/>
        <w:rPr>
          <w:del w:id="13446" w:author="AbbVie1" w:date="2025-05-13T10:11:00Z"/>
          <w:szCs w:val="22"/>
          <w:lang w:eastAsia="en-GB"/>
        </w:rPr>
      </w:pPr>
    </w:p>
    <w:p w14:paraId="7FB0E9F7" w14:textId="77777777" w:rsidR="005F2397" w:rsidRPr="001B4A02" w:rsidRDefault="00000000" w:rsidP="00ED48A3">
      <w:pPr>
        <w:tabs>
          <w:tab w:val="left" w:pos="0"/>
        </w:tabs>
        <w:autoSpaceDE w:val="0"/>
        <w:autoSpaceDN w:val="0"/>
        <w:adjustRightInd w:val="0"/>
        <w:ind w:left="0" w:firstLine="0"/>
        <w:rPr>
          <w:del w:id="13447" w:author="AbbVie1" w:date="2025-05-13T10:11:00Z"/>
          <w:szCs w:val="22"/>
          <w:lang w:eastAsia="en-GB"/>
        </w:rPr>
      </w:pPr>
      <w:del w:id="13448" w:author="AbbVie1" w:date="2025-05-13T10:11:00Z">
        <w:r w:rsidRPr="001B4A02">
          <w:rPr>
            <w:szCs w:val="22"/>
            <w:lang w:eastAsia="en-GB"/>
          </w:rPr>
          <w:delText>Pokud je to potřeba (například pokud cestujete), je možno uchovávat jednotlivá předplněná pera přípravku Humira při pokojové teplotě (až do 25</w:delText>
        </w:r>
        <w:r w:rsidR="003A6A97" w:rsidRPr="001B4A02">
          <w:rPr>
            <w:szCs w:val="22"/>
            <w:lang w:eastAsia="en-GB"/>
          </w:rPr>
          <w:delText xml:space="preserve"> </w:delText>
        </w:r>
        <w:r w:rsidRPr="001B4A02">
          <w:rPr>
            <w:szCs w:val="22"/>
            <w:lang w:eastAsia="en-GB"/>
          </w:rPr>
          <w:delText>°C) po dobu maximálně 14 dní. Vždy se ujistěte, že je přípravek chráněn před světlem. Jakmile je vyjmut z</w:delText>
        </w:r>
        <w:r w:rsidR="004823B6" w:rsidRPr="001B4A02">
          <w:rPr>
            <w:szCs w:val="22"/>
            <w:lang w:eastAsia="en-GB"/>
          </w:rPr>
          <w:delText> </w:delText>
        </w:r>
        <w:r w:rsidRPr="001B4A02">
          <w:rPr>
            <w:szCs w:val="22"/>
            <w:lang w:eastAsia="en-GB"/>
          </w:rPr>
          <w:delText>lednice</w:delText>
        </w:r>
        <w:r w:rsidR="002378E0">
          <w:rPr>
            <w:szCs w:val="22"/>
            <w:lang w:eastAsia="en-GB"/>
          </w:rPr>
          <w:delText xml:space="preserve"> a </w:delText>
        </w:r>
        <w:r w:rsidRPr="001B4A02">
          <w:rPr>
            <w:szCs w:val="22"/>
            <w:lang w:eastAsia="en-GB"/>
          </w:rPr>
          <w:delText xml:space="preserve">ponechán při pokojové teplotě, pero </w:delText>
        </w:r>
        <w:r w:rsidRPr="001B4A02">
          <w:rPr>
            <w:b/>
            <w:szCs w:val="22"/>
            <w:lang w:eastAsia="en-GB"/>
          </w:rPr>
          <w:delText>musí být použito do 14 dní nebo zlikvidováno,</w:delText>
        </w:r>
        <w:r w:rsidR="002378E0">
          <w:rPr>
            <w:b/>
            <w:szCs w:val="22"/>
            <w:lang w:eastAsia="en-GB"/>
          </w:rPr>
          <w:delText xml:space="preserve"> a </w:delText>
        </w:r>
        <w:r w:rsidR="005928C5" w:rsidRPr="001B4A02">
          <w:rPr>
            <w:szCs w:val="22"/>
            <w:lang w:eastAsia="en-GB"/>
          </w:rPr>
          <w:delText>to i v</w:delText>
        </w:r>
        <w:r w:rsidR="004823B6" w:rsidRPr="001B4A02">
          <w:rPr>
            <w:szCs w:val="22"/>
            <w:lang w:eastAsia="en-GB"/>
          </w:rPr>
          <w:delText> </w:delText>
        </w:r>
        <w:r w:rsidR="005928C5" w:rsidRPr="001B4A02">
          <w:rPr>
            <w:szCs w:val="22"/>
            <w:lang w:eastAsia="en-GB"/>
          </w:rPr>
          <w:delText>situaci, kdy je vráceno</w:delText>
        </w:r>
        <w:r w:rsidR="00D6542D" w:rsidRPr="001B4A02">
          <w:rPr>
            <w:szCs w:val="22"/>
            <w:lang w:eastAsia="en-GB"/>
          </w:rPr>
          <w:delText xml:space="preserve"> zpět do lednice.</w:delText>
        </w:r>
      </w:del>
    </w:p>
    <w:p w14:paraId="410C9FF1" w14:textId="77777777" w:rsidR="005F2397" w:rsidRPr="001B4A02" w:rsidRDefault="005F2397" w:rsidP="00ED48A3">
      <w:pPr>
        <w:tabs>
          <w:tab w:val="left" w:pos="708"/>
        </w:tabs>
        <w:autoSpaceDE w:val="0"/>
        <w:autoSpaceDN w:val="0"/>
        <w:adjustRightInd w:val="0"/>
        <w:rPr>
          <w:del w:id="13449" w:author="AbbVie1" w:date="2025-05-13T10:11:00Z"/>
          <w:szCs w:val="22"/>
          <w:lang w:eastAsia="en-GB"/>
        </w:rPr>
      </w:pPr>
    </w:p>
    <w:p w14:paraId="1C60BA18" w14:textId="77777777" w:rsidR="00073F8F" w:rsidRPr="001B4A02" w:rsidRDefault="00000000" w:rsidP="00ED48A3">
      <w:pPr>
        <w:ind w:left="0" w:firstLine="0"/>
        <w:rPr>
          <w:del w:id="13450" w:author="AbbVie1" w:date="2025-05-13T10:11:00Z"/>
          <w:b/>
        </w:rPr>
      </w:pPr>
      <w:del w:id="13451" w:author="AbbVie1" w:date="2025-05-13T10:11:00Z">
        <w:r w:rsidRPr="0043226A">
          <w:rPr>
            <w:szCs w:val="22"/>
            <w:lang w:eastAsia="en-GB"/>
          </w:rPr>
          <w:delText>Poznamenejte si</w:delText>
        </w:r>
        <w:r w:rsidR="005F2397" w:rsidRPr="001B4A02">
          <w:rPr>
            <w:szCs w:val="22"/>
            <w:lang w:eastAsia="en-GB"/>
          </w:rPr>
          <w:delText xml:space="preserve"> datum, kdy jste pero poprvé vyjmul(a) z</w:delText>
        </w:r>
        <w:r w:rsidR="004823B6" w:rsidRPr="001B4A02">
          <w:rPr>
            <w:szCs w:val="22"/>
            <w:lang w:eastAsia="en-GB"/>
          </w:rPr>
          <w:delText> </w:delText>
        </w:r>
        <w:r w:rsidR="005F2397" w:rsidRPr="001B4A02">
          <w:rPr>
            <w:szCs w:val="22"/>
            <w:lang w:eastAsia="en-GB"/>
          </w:rPr>
          <w:delText>lednice</w:delText>
        </w:r>
        <w:r w:rsidR="005928C5" w:rsidRPr="001B4A02">
          <w:rPr>
            <w:szCs w:val="22"/>
            <w:lang w:eastAsia="en-GB"/>
          </w:rPr>
          <w:delText>,</w:delText>
        </w:r>
        <w:r w:rsidR="002378E0">
          <w:rPr>
            <w:szCs w:val="22"/>
            <w:lang w:eastAsia="en-GB"/>
          </w:rPr>
          <w:delText xml:space="preserve"> a </w:delText>
        </w:r>
        <w:r w:rsidR="005F2397" w:rsidRPr="001B4A02">
          <w:rPr>
            <w:szCs w:val="22"/>
            <w:lang w:eastAsia="en-GB"/>
          </w:rPr>
          <w:delText>tak</w:delText>
        </w:r>
        <w:r w:rsidR="005928C5" w:rsidRPr="001B4A02">
          <w:rPr>
            <w:szCs w:val="22"/>
            <w:lang w:eastAsia="en-GB"/>
          </w:rPr>
          <w:delText>é</w:delText>
        </w:r>
        <w:r w:rsidR="005F2397" w:rsidRPr="001B4A02">
          <w:rPr>
            <w:szCs w:val="22"/>
            <w:lang w:eastAsia="en-GB"/>
          </w:rPr>
          <w:delText xml:space="preserve"> datum, kdy je třeba jej znehodnotit</w:delText>
        </w:r>
        <w:r w:rsidR="005F2397" w:rsidRPr="001B4A02">
          <w:delText>.</w:delText>
        </w:r>
      </w:del>
    </w:p>
    <w:p w14:paraId="45CFE084" w14:textId="77777777" w:rsidR="00D527DA" w:rsidRPr="001B4A02" w:rsidRDefault="00D527DA" w:rsidP="00ED48A3">
      <w:pPr>
        <w:ind w:left="0" w:firstLine="0"/>
        <w:rPr>
          <w:del w:id="13452" w:author="AbbVie1" w:date="2025-05-13T10:11:00Z"/>
        </w:rPr>
      </w:pPr>
    </w:p>
    <w:p w14:paraId="52E511D3" w14:textId="77777777" w:rsidR="00D527DA" w:rsidRPr="001B4A02" w:rsidRDefault="00000000" w:rsidP="00ED48A3">
      <w:pPr>
        <w:ind w:left="0" w:firstLine="0"/>
        <w:rPr>
          <w:del w:id="13453" w:author="AbbVie1" w:date="2025-05-13T10:11:00Z"/>
        </w:rPr>
      </w:pPr>
      <w:del w:id="13454" w:author="AbbVie1" w:date="2025-05-13T10:11:00Z">
        <w:r w:rsidRPr="001B4A02">
          <w:delText>Nevyhazujte žádné léčivé přípravky do odpadních vod nebo domácího odpadu. Zeptejte se svého léká</w:delText>
        </w:r>
        <w:r w:rsidR="00084DA1" w:rsidRPr="001B4A02">
          <w:delText>r</w:delText>
        </w:r>
        <w:r w:rsidRPr="001B4A02">
          <w:delText>níka, jak naložit s přípravky, které již nepoužíváte. Tato opatření pomáhají chránit životní prostředí.</w:delText>
        </w:r>
        <w:r w:rsidR="007E1D0D" w:rsidRPr="001B4A02">
          <w:delText xml:space="preserve"> </w:delText>
        </w:r>
      </w:del>
    </w:p>
    <w:p w14:paraId="38E9BEBE" w14:textId="77777777" w:rsidR="00225D61" w:rsidRPr="001B4A02" w:rsidRDefault="00225D61" w:rsidP="00ED48A3">
      <w:pPr>
        <w:ind w:left="0" w:firstLine="0"/>
        <w:rPr>
          <w:del w:id="13455" w:author="AbbVie1" w:date="2025-05-13T10:11:00Z"/>
        </w:rPr>
      </w:pPr>
    </w:p>
    <w:p w14:paraId="7A4758DC" w14:textId="77777777" w:rsidR="00244116" w:rsidRPr="001B4A02" w:rsidRDefault="00244116" w:rsidP="00ED48A3">
      <w:pPr>
        <w:ind w:left="0" w:firstLine="0"/>
        <w:rPr>
          <w:del w:id="13456" w:author="AbbVie1" w:date="2025-05-13T10:11:00Z"/>
        </w:rPr>
      </w:pPr>
    </w:p>
    <w:p w14:paraId="1E28E7F6" w14:textId="77777777" w:rsidR="00073F8F" w:rsidRPr="001B4A02" w:rsidRDefault="00000000" w:rsidP="004D0686">
      <w:pPr>
        <w:keepNext/>
        <w:numPr>
          <w:ilvl w:val="12"/>
          <w:numId w:val="0"/>
        </w:numPr>
        <w:ind w:left="567" w:hanging="567"/>
        <w:outlineLvl w:val="1"/>
        <w:rPr>
          <w:del w:id="13457" w:author="AbbVie1" w:date="2025-05-13T10:11:00Z"/>
          <w:b/>
        </w:rPr>
      </w:pPr>
      <w:del w:id="13458" w:author="AbbVie1" w:date="2025-05-13T10:11:00Z">
        <w:r w:rsidRPr="001B4A02">
          <w:rPr>
            <w:b/>
          </w:rPr>
          <w:delText>6.</w:delText>
        </w:r>
        <w:r w:rsidRPr="001B4A02">
          <w:rPr>
            <w:b/>
          </w:rPr>
          <w:tab/>
        </w:r>
        <w:r w:rsidR="00D527DA" w:rsidRPr="001B4A02">
          <w:rPr>
            <w:b/>
          </w:rPr>
          <w:delText>Obsah balení</w:delText>
        </w:r>
        <w:r w:rsidR="002378E0">
          <w:rPr>
            <w:b/>
          </w:rPr>
          <w:delText xml:space="preserve"> a </w:delText>
        </w:r>
        <w:r w:rsidR="00D527DA" w:rsidRPr="001B4A02">
          <w:rPr>
            <w:b/>
          </w:rPr>
          <w:delText>další informace</w:delText>
        </w:r>
      </w:del>
    </w:p>
    <w:p w14:paraId="22577B8C" w14:textId="77777777" w:rsidR="00073F8F" w:rsidRPr="001B4A02" w:rsidRDefault="00073F8F" w:rsidP="004D0686">
      <w:pPr>
        <w:keepNext/>
        <w:ind w:left="0" w:firstLine="0"/>
        <w:rPr>
          <w:del w:id="13459" w:author="AbbVie1" w:date="2025-05-13T10:11:00Z"/>
        </w:rPr>
      </w:pPr>
    </w:p>
    <w:p w14:paraId="112B5FA9" w14:textId="77777777" w:rsidR="00073F8F" w:rsidRPr="001B4A02" w:rsidRDefault="00000000" w:rsidP="00262E54">
      <w:pPr>
        <w:keepNext/>
        <w:numPr>
          <w:ilvl w:val="12"/>
          <w:numId w:val="0"/>
        </w:numPr>
        <w:rPr>
          <w:del w:id="13460" w:author="AbbVie1" w:date="2025-05-13T10:11:00Z"/>
          <w:b/>
          <w:bCs/>
        </w:rPr>
      </w:pPr>
      <w:del w:id="13461" w:author="AbbVie1" w:date="2025-05-13T10:11:00Z">
        <w:r w:rsidRPr="001B4A02">
          <w:rPr>
            <w:b/>
            <w:bCs/>
          </w:rPr>
          <w:delText xml:space="preserve">Co </w:delText>
        </w:r>
        <w:r w:rsidR="004E2192" w:rsidRPr="001B4A02">
          <w:rPr>
            <w:b/>
          </w:rPr>
          <w:delText xml:space="preserve">přípravek </w:delText>
        </w:r>
        <w:r w:rsidRPr="001B4A02">
          <w:rPr>
            <w:b/>
            <w:bCs/>
          </w:rPr>
          <w:delText>Humira obsahuje</w:delText>
        </w:r>
      </w:del>
    </w:p>
    <w:p w14:paraId="480199E8" w14:textId="77777777" w:rsidR="00073F8F" w:rsidRPr="001B4A02" w:rsidRDefault="00073F8F" w:rsidP="00262E54">
      <w:pPr>
        <w:keepNext/>
        <w:ind w:left="0" w:firstLine="0"/>
        <w:rPr>
          <w:del w:id="13462" w:author="AbbVie1" w:date="2025-05-13T10:11:00Z"/>
        </w:rPr>
      </w:pPr>
    </w:p>
    <w:p w14:paraId="007A2603" w14:textId="77777777" w:rsidR="00073F8F" w:rsidRPr="001B4A02" w:rsidRDefault="00000000" w:rsidP="0009084E">
      <w:pPr>
        <w:ind w:left="0" w:firstLine="0"/>
        <w:rPr>
          <w:del w:id="13463" w:author="AbbVie1" w:date="2025-05-13T10:11:00Z"/>
        </w:rPr>
      </w:pPr>
      <w:del w:id="13464" w:author="AbbVie1" w:date="2025-05-13T10:11:00Z">
        <w:r w:rsidRPr="001B4A02">
          <w:delText>Léčivou látkou je adalimumab</w:delText>
        </w:r>
        <w:r w:rsidR="00B91C50" w:rsidRPr="001B4A02">
          <w:delText>um</w:delText>
        </w:r>
        <w:r w:rsidRPr="001B4A02">
          <w:delText>.</w:delText>
        </w:r>
      </w:del>
    </w:p>
    <w:p w14:paraId="6910F490" w14:textId="77777777" w:rsidR="00073F8F" w:rsidRPr="001B4A02" w:rsidRDefault="00000000" w:rsidP="0009084E">
      <w:pPr>
        <w:ind w:left="0" w:firstLine="0"/>
        <w:rPr>
          <w:del w:id="13465" w:author="AbbVie1" w:date="2025-05-13T10:11:00Z"/>
        </w:rPr>
      </w:pPr>
      <w:del w:id="13466" w:author="AbbVie1" w:date="2025-05-13T10:11:00Z">
        <w:r w:rsidRPr="001B4A02">
          <w:delText>Pomocn</w:delText>
        </w:r>
        <w:r w:rsidR="00E91CB6" w:rsidRPr="001B4A02">
          <w:delText>ými</w:delText>
        </w:r>
        <w:r w:rsidRPr="001B4A02">
          <w:delText xml:space="preserve"> látk</w:delText>
        </w:r>
        <w:r w:rsidR="00E91CB6" w:rsidRPr="001B4A02">
          <w:delText>ami</w:delText>
        </w:r>
        <w:r w:rsidRPr="001B4A02">
          <w:delText xml:space="preserve"> jsou mannitol, monohydrát kyseliny citronové, dihydrát </w:delText>
        </w:r>
        <w:r w:rsidR="007A4774" w:rsidRPr="001B4A02">
          <w:delText>natrium-citrátu</w:delText>
        </w:r>
        <w:r w:rsidRPr="001B4A02">
          <w:delText>, dihydrát dihydrogenfosforečnanu sodného, dihydrát hydrogenfosforečnanu sodného, chlorid sodný, polysorbát 80, hydroxid sodný</w:delText>
        </w:r>
        <w:r w:rsidR="002378E0">
          <w:delText xml:space="preserve"> a </w:delText>
        </w:r>
        <w:r w:rsidRPr="001B4A02">
          <w:delText xml:space="preserve">voda </w:delText>
        </w:r>
        <w:r w:rsidR="00202301" w:rsidRPr="001B4A02">
          <w:delText>pro</w:delText>
        </w:r>
        <w:r w:rsidRPr="001B4A02">
          <w:delText xml:space="preserve"> injekci.</w:delText>
        </w:r>
      </w:del>
    </w:p>
    <w:p w14:paraId="4A833059" w14:textId="77777777" w:rsidR="007F7787" w:rsidRPr="001B4A02" w:rsidRDefault="007F7787" w:rsidP="0009084E">
      <w:pPr>
        <w:ind w:left="0" w:firstLine="0"/>
        <w:rPr>
          <w:del w:id="13467" w:author="AbbVie1" w:date="2025-05-13T10:11:00Z"/>
        </w:rPr>
      </w:pPr>
    </w:p>
    <w:p w14:paraId="25E2AB30" w14:textId="77777777" w:rsidR="00073F8F" w:rsidRPr="001B4A02" w:rsidRDefault="00000000" w:rsidP="00262E54">
      <w:pPr>
        <w:keepNext/>
        <w:numPr>
          <w:ilvl w:val="12"/>
          <w:numId w:val="0"/>
        </w:numPr>
        <w:rPr>
          <w:del w:id="13468" w:author="AbbVie1" w:date="2025-05-13T10:11:00Z"/>
          <w:b/>
          <w:bCs/>
        </w:rPr>
      </w:pPr>
      <w:del w:id="13469" w:author="AbbVie1" w:date="2025-05-13T10:11:00Z">
        <w:r w:rsidRPr="001B4A02">
          <w:rPr>
            <w:b/>
            <w:bCs/>
          </w:rPr>
          <w:delText>Jak přípravek Humira injekční roztok v předplněném peru vypadá</w:delText>
        </w:r>
        <w:r w:rsidR="002378E0">
          <w:rPr>
            <w:b/>
            <w:bCs/>
          </w:rPr>
          <w:delText xml:space="preserve"> a </w:delText>
        </w:r>
        <w:r w:rsidRPr="001B4A02">
          <w:rPr>
            <w:b/>
            <w:bCs/>
          </w:rPr>
          <w:delText>co obsahuje toto balení</w:delText>
        </w:r>
      </w:del>
    </w:p>
    <w:p w14:paraId="03CE16A6" w14:textId="77777777" w:rsidR="00073F8F" w:rsidRPr="001B4A02" w:rsidRDefault="00073F8F" w:rsidP="00262E54">
      <w:pPr>
        <w:keepNext/>
        <w:ind w:left="0" w:firstLine="0"/>
        <w:rPr>
          <w:del w:id="13470" w:author="AbbVie1" w:date="2025-05-13T10:11:00Z"/>
        </w:rPr>
      </w:pPr>
    </w:p>
    <w:p w14:paraId="1447995A" w14:textId="77777777" w:rsidR="00073F8F" w:rsidRPr="001B4A02" w:rsidRDefault="00000000" w:rsidP="0009084E">
      <w:pPr>
        <w:ind w:left="0" w:firstLine="0"/>
        <w:rPr>
          <w:del w:id="13471" w:author="AbbVie1" w:date="2025-05-13T10:11:00Z"/>
        </w:rPr>
      </w:pPr>
      <w:del w:id="13472" w:author="AbbVie1" w:date="2025-05-13T10:11:00Z">
        <w:r w:rsidRPr="001B4A02">
          <w:delText>Přípravek Humira 40 mg injekční roztok v předplněném peru je dodáván jako sterilní roztok 40</w:delText>
        </w:r>
        <w:r w:rsidR="00A7483D">
          <w:delText> mg</w:delText>
        </w:r>
        <w:r w:rsidRPr="001B4A02">
          <w:delText xml:space="preserve"> adalimumabu, rozpuštěného v 0,8</w:delText>
        </w:r>
        <w:r w:rsidR="00443CD1" w:rsidRPr="001B4A02">
          <w:delText> </w:delText>
        </w:r>
        <w:r w:rsidRPr="001B4A02">
          <w:delText>ml roztoku.</w:delText>
        </w:r>
      </w:del>
    </w:p>
    <w:p w14:paraId="19D2CA45" w14:textId="77777777" w:rsidR="007F7787" w:rsidRPr="001B4A02" w:rsidRDefault="007F7787" w:rsidP="0009084E">
      <w:pPr>
        <w:ind w:left="0" w:firstLine="0"/>
        <w:rPr>
          <w:del w:id="13473" w:author="AbbVie1" w:date="2025-05-13T10:11:00Z"/>
        </w:rPr>
      </w:pPr>
    </w:p>
    <w:p w14:paraId="46A671DD" w14:textId="77777777" w:rsidR="00073F8F" w:rsidRPr="001B4A02" w:rsidRDefault="00000000" w:rsidP="0009084E">
      <w:pPr>
        <w:ind w:left="0" w:firstLine="0"/>
        <w:rPr>
          <w:del w:id="13474" w:author="AbbVie1" w:date="2025-05-13T10:11:00Z"/>
        </w:rPr>
      </w:pPr>
      <w:del w:id="13475" w:author="AbbVie1" w:date="2025-05-13T10:11:00Z">
        <w:r w:rsidRPr="001B4A02">
          <w:delText>Přípravek Humira injekční roztok v předplněném peru je injekční pero šedé</w:delText>
        </w:r>
        <w:r w:rsidR="002378E0">
          <w:delText xml:space="preserve"> a </w:delText>
        </w:r>
        <w:r w:rsidRPr="001B4A02">
          <w:delText>vínové barvy pro jednorázové použití, které obsahuje skleněnou injekční stříkačku naplněnou přípravkem Humira. Pero má dva kryty – jeden z nich je šedé barvy</w:delText>
        </w:r>
        <w:r w:rsidR="002378E0">
          <w:delText xml:space="preserve"> a </w:delText>
        </w:r>
        <w:r w:rsidRPr="001B4A02">
          <w:delText>je označen „1“</w:delText>
        </w:r>
        <w:r w:rsidR="002378E0">
          <w:delText xml:space="preserve"> a </w:delText>
        </w:r>
        <w:r w:rsidRPr="001B4A02">
          <w:delText>druhý kryt je vínové barvy</w:delText>
        </w:r>
        <w:r w:rsidR="002378E0">
          <w:delText xml:space="preserve"> a </w:delText>
        </w:r>
        <w:r w:rsidRPr="001B4A02">
          <w:delText>je označen „2“. Na každém boku pera je okénko, kterým lze vidět roztok přípravku Humira uvnitř injekční stříkačky.</w:delText>
        </w:r>
      </w:del>
    </w:p>
    <w:p w14:paraId="7A6AF8FC" w14:textId="77777777" w:rsidR="007F7787" w:rsidRPr="001B4A02" w:rsidRDefault="007F7787" w:rsidP="0009084E">
      <w:pPr>
        <w:ind w:left="0" w:firstLine="0"/>
        <w:rPr>
          <w:del w:id="13476" w:author="AbbVie1" w:date="2025-05-13T10:11:00Z"/>
        </w:rPr>
      </w:pPr>
    </w:p>
    <w:p w14:paraId="74DEC33F" w14:textId="77777777" w:rsidR="00334F6D" w:rsidRPr="001B4A02" w:rsidRDefault="00000000" w:rsidP="0009084E">
      <w:pPr>
        <w:numPr>
          <w:ilvl w:val="12"/>
          <w:numId w:val="0"/>
        </w:numPr>
        <w:rPr>
          <w:del w:id="13477" w:author="AbbVie1" w:date="2025-05-13T10:11:00Z"/>
        </w:rPr>
      </w:pPr>
      <w:del w:id="13478" w:author="AbbVie1" w:date="2025-05-13T10:11:00Z">
        <w:r w:rsidRPr="001B4A02">
          <w:delText>Přípravek Humira injekční roztok v předplněném peru je k </w:delText>
        </w:r>
        <w:r w:rsidR="00FC7725" w:rsidRPr="001B4A02">
          <w:delText>dispozici</w:delText>
        </w:r>
        <w:r w:rsidRPr="001B4A02">
          <w:delText xml:space="preserve"> v baleních po 1, 2, 4</w:delText>
        </w:r>
        <w:r w:rsidR="002378E0">
          <w:delText xml:space="preserve"> a </w:delText>
        </w:r>
        <w:r w:rsidRPr="001B4A02">
          <w:delText xml:space="preserve">6 předplněných perech. </w:delText>
        </w:r>
        <w:r w:rsidR="00AE2AED" w:rsidRPr="001B4A02">
          <w:delText>U</w:delText>
        </w:r>
        <w:r w:rsidR="00A02FA4" w:rsidRPr="001B4A02">
          <w:delText> </w:delText>
        </w:r>
        <w:r w:rsidR="00AE2AED" w:rsidRPr="001B4A02">
          <w:delText>balení s 1 předplněným perem jsou přibaleny 2 tampóny s alkoholem (1</w:delText>
        </w:r>
        <w:r w:rsidR="00A02FA4" w:rsidRPr="001B4A02">
          <w:delText> </w:delText>
        </w:r>
        <w:r w:rsidR="00AE2AED" w:rsidRPr="001B4A02">
          <w:delText>náhradní). Balení se 2, 4</w:delText>
        </w:r>
        <w:r w:rsidR="002378E0">
          <w:delText xml:space="preserve"> a </w:delText>
        </w:r>
        <w:r w:rsidR="00AE2AED" w:rsidRPr="001B4A02">
          <w:delText>6 předplněnými pery obsahují 1 tampón s alkoholem na každé předplněné pero.</w:delText>
        </w:r>
      </w:del>
    </w:p>
    <w:p w14:paraId="20F530B7" w14:textId="77777777" w:rsidR="00334F6D" w:rsidRPr="001B4A02" w:rsidRDefault="00334F6D" w:rsidP="0009084E">
      <w:pPr>
        <w:numPr>
          <w:ilvl w:val="12"/>
          <w:numId w:val="0"/>
        </w:numPr>
        <w:rPr>
          <w:del w:id="13479" w:author="AbbVie1" w:date="2025-05-13T10:11:00Z"/>
        </w:rPr>
      </w:pPr>
    </w:p>
    <w:p w14:paraId="795A9473" w14:textId="77777777" w:rsidR="00436638" w:rsidRPr="001B4A02" w:rsidRDefault="00000000" w:rsidP="0009084E">
      <w:pPr>
        <w:numPr>
          <w:ilvl w:val="12"/>
          <w:numId w:val="0"/>
        </w:numPr>
        <w:rPr>
          <w:del w:id="13480" w:author="AbbVie1" w:date="2025-05-13T10:11:00Z"/>
        </w:rPr>
      </w:pPr>
      <w:del w:id="13481" w:author="AbbVie1" w:date="2025-05-13T10:11:00Z">
        <w:r w:rsidRPr="001B4A02">
          <w:delText>Na trhu nemus</w:delText>
        </w:r>
        <w:r w:rsidR="004C2FD7" w:rsidRPr="001B4A02">
          <w:delText>í být všechny velikosti balení.</w:delText>
        </w:r>
      </w:del>
    </w:p>
    <w:p w14:paraId="22FDF3EB" w14:textId="77777777" w:rsidR="00334F6D" w:rsidRPr="001B4A02" w:rsidRDefault="00334F6D" w:rsidP="0009084E">
      <w:pPr>
        <w:numPr>
          <w:ilvl w:val="12"/>
          <w:numId w:val="0"/>
        </w:numPr>
        <w:rPr>
          <w:del w:id="13482" w:author="AbbVie1" w:date="2025-05-13T10:11:00Z"/>
        </w:rPr>
      </w:pPr>
    </w:p>
    <w:p w14:paraId="038346D5" w14:textId="77777777" w:rsidR="00073F8F" w:rsidRPr="001B4A02" w:rsidRDefault="00000000" w:rsidP="0009084E">
      <w:pPr>
        <w:numPr>
          <w:ilvl w:val="12"/>
          <w:numId w:val="0"/>
        </w:numPr>
        <w:rPr>
          <w:del w:id="13483" w:author="AbbVie1" w:date="2025-05-13T10:11:00Z"/>
        </w:rPr>
      </w:pPr>
      <w:del w:id="13484" w:author="AbbVie1" w:date="2025-05-13T10:11:00Z">
        <w:r w:rsidRPr="001B4A02">
          <w:delText>Přípravek Humira je k </w:delText>
        </w:r>
        <w:r w:rsidR="00C92B1C" w:rsidRPr="001B4A02">
          <w:delText>dispozici</w:delText>
        </w:r>
        <w:r w:rsidRPr="001B4A02">
          <w:delText xml:space="preserve"> jako injekční lahvička</w:delText>
        </w:r>
        <w:r w:rsidR="00436638" w:rsidRPr="001B4A02">
          <w:delText>,</w:delText>
        </w:r>
        <w:r w:rsidRPr="001B4A02">
          <w:delText xml:space="preserve"> předplněná injekční stříkačka</w:delText>
        </w:r>
        <w:r w:rsidR="00436638" w:rsidRPr="001B4A02">
          <w:delText xml:space="preserve"> a</w:delText>
        </w:r>
        <w:r w:rsidR="00163087" w:rsidRPr="001B4A02">
          <w:delText>/nebo</w:delText>
        </w:r>
        <w:r w:rsidR="00436638" w:rsidRPr="001B4A02">
          <w:delText xml:space="preserve"> pře</w:delText>
        </w:r>
        <w:r w:rsidR="004064CF" w:rsidRPr="001B4A02">
          <w:delText>d</w:delText>
        </w:r>
        <w:r w:rsidR="00436638" w:rsidRPr="001B4A02">
          <w:delText>plněné pero</w:delText>
        </w:r>
        <w:r w:rsidRPr="001B4A02">
          <w:delText>.</w:delText>
        </w:r>
      </w:del>
    </w:p>
    <w:p w14:paraId="5E40FF4B" w14:textId="77777777" w:rsidR="00073F8F" w:rsidRPr="001B4A02" w:rsidRDefault="00073F8F" w:rsidP="0009084E">
      <w:pPr>
        <w:ind w:left="0" w:firstLine="0"/>
        <w:rPr>
          <w:del w:id="13485" w:author="AbbVie1" w:date="2025-05-13T10:11:00Z"/>
        </w:rPr>
      </w:pPr>
    </w:p>
    <w:p w14:paraId="7E8EB6A3" w14:textId="77777777" w:rsidR="00073F8F" w:rsidRPr="001B4A02" w:rsidRDefault="00000000" w:rsidP="00262E54">
      <w:pPr>
        <w:keepNext/>
        <w:ind w:left="0" w:firstLine="0"/>
        <w:rPr>
          <w:del w:id="13486" w:author="AbbVie1" w:date="2025-05-13T10:11:00Z"/>
          <w:b/>
        </w:rPr>
      </w:pPr>
      <w:del w:id="13487" w:author="AbbVie1" w:date="2025-05-13T10:11:00Z">
        <w:r w:rsidRPr="001B4A02">
          <w:rPr>
            <w:b/>
          </w:rPr>
          <w:delText>Držitel rozhodnutí o registraci</w:delText>
        </w:r>
      </w:del>
    </w:p>
    <w:p w14:paraId="4401759D" w14:textId="77777777" w:rsidR="00073F8F" w:rsidRPr="001B4A02" w:rsidRDefault="00073F8F" w:rsidP="00262E54">
      <w:pPr>
        <w:keepNext/>
        <w:ind w:left="0" w:firstLine="0"/>
        <w:rPr>
          <w:del w:id="13488" w:author="AbbVie1" w:date="2025-05-13T10:11:00Z"/>
        </w:rPr>
      </w:pPr>
    </w:p>
    <w:p w14:paraId="0709DF2E" w14:textId="77777777" w:rsidR="00E86403" w:rsidRPr="001B4A02" w:rsidRDefault="00000000" w:rsidP="0009084E">
      <w:pPr>
        <w:keepNext/>
        <w:autoSpaceDE w:val="0"/>
        <w:autoSpaceDN w:val="0"/>
        <w:adjustRightInd w:val="0"/>
        <w:ind w:left="0" w:firstLine="0"/>
        <w:rPr>
          <w:del w:id="13489" w:author="AbbVie1" w:date="2025-05-13T10:11:00Z"/>
          <w:szCs w:val="22"/>
          <w:lang w:eastAsia="en-GB"/>
        </w:rPr>
      </w:pPr>
      <w:del w:id="13490" w:author="AbbVie1" w:date="2025-05-13T10:11:00Z">
        <w:r w:rsidRPr="001B4A02">
          <w:rPr>
            <w:szCs w:val="22"/>
            <w:lang w:eastAsia="en-GB"/>
          </w:rPr>
          <w:delText>AbbVie Deutschland GmbH &amp; Co. KG</w:delText>
        </w:r>
      </w:del>
    </w:p>
    <w:p w14:paraId="20C3A4B4" w14:textId="77777777" w:rsidR="00E86403" w:rsidRPr="001B4A02" w:rsidRDefault="00000000" w:rsidP="00262E54">
      <w:pPr>
        <w:autoSpaceDE w:val="0"/>
        <w:autoSpaceDN w:val="0"/>
        <w:adjustRightInd w:val="0"/>
        <w:ind w:left="0" w:firstLine="0"/>
        <w:rPr>
          <w:del w:id="13491" w:author="AbbVie1" w:date="2025-05-13T10:11:00Z"/>
          <w:szCs w:val="22"/>
          <w:lang w:eastAsia="en-GB"/>
        </w:rPr>
      </w:pPr>
      <w:del w:id="13492" w:author="AbbVie1" w:date="2025-05-13T10:11:00Z">
        <w:r w:rsidRPr="001B4A02">
          <w:rPr>
            <w:szCs w:val="22"/>
            <w:lang w:eastAsia="en-GB"/>
          </w:rPr>
          <w:delText>Knollstrasse</w:delText>
        </w:r>
      </w:del>
    </w:p>
    <w:p w14:paraId="0C9261B0" w14:textId="77777777" w:rsidR="00E86403" w:rsidRPr="001B4A02" w:rsidRDefault="00000000" w:rsidP="00262E54">
      <w:pPr>
        <w:autoSpaceDE w:val="0"/>
        <w:autoSpaceDN w:val="0"/>
        <w:adjustRightInd w:val="0"/>
        <w:ind w:left="0" w:firstLine="0"/>
        <w:rPr>
          <w:del w:id="13493" w:author="AbbVie1" w:date="2025-05-13T10:11:00Z"/>
          <w:szCs w:val="22"/>
          <w:lang w:eastAsia="en-GB"/>
        </w:rPr>
      </w:pPr>
      <w:del w:id="13494" w:author="AbbVie1" w:date="2025-05-13T10:11:00Z">
        <w:r w:rsidRPr="001B4A02">
          <w:rPr>
            <w:szCs w:val="22"/>
            <w:lang w:eastAsia="en-GB"/>
          </w:rPr>
          <w:delText>67061 Ludwigshafen</w:delText>
        </w:r>
      </w:del>
    </w:p>
    <w:p w14:paraId="66BA5DAC" w14:textId="77777777" w:rsidR="00E82959" w:rsidRPr="001B4A02" w:rsidRDefault="00000000" w:rsidP="0009084E">
      <w:pPr>
        <w:ind w:left="0" w:firstLine="0"/>
        <w:rPr>
          <w:del w:id="13495" w:author="AbbVie1" w:date="2025-05-13T10:11:00Z"/>
        </w:rPr>
      </w:pPr>
      <w:del w:id="13496" w:author="AbbVie1" w:date="2025-05-13T10:11:00Z">
        <w:r w:rsidRPr="001B4A02">
          <w:rPr>
            <w:szCs w:val="22"/>
            <w:lang w:eastAsia="en-GB"/>
          </w:rPr>
          <w:delText>Německo</w:delText>
        </w:r>
      </w:del>
    </w:p>
    <w:p w14:paraId="16A88D4B" w14:textId="77777777" w:rsidR="00E82959" w:rsidRPr="001B4A02" w:rsidRDefault="00E82959" w:rsidP="0009084E">
      <w:pPr>
        <w:ind w:left="0" w:firstLine="0"/>
        <w:rPr>
          <w:del w:id="13497" w:author="AbbVie1" w:date="2025-05-13T10:11:00Z"/>
        </w:rPr>
      </w:pPr>
    </w:p>
    <w:p w14:paraId="5B4128BF" w14:textId="77777777" w:rsidR="00073F8F" w:rsidRPr="001B4A02" w:rsidRDefault="00000000" w:rsidP="00262E54">
      <w:pPr>
        <w:keepNext/>
        <w:ind w:left="0" w:firstLine="0"/>
        <w:rPr>
          <w:del w:id="13498" w:author="AbbVie1" w:date="2025-05-13T10:11:00Z"/>
          <w:b/>
        </w:rPr>
      </w:pPr>
      <w:del w:id="13499" w:author="AbbVie1" w:date="2025-05-13T10:11:00Z">
        <w:r w:rsidRPr="001B4A02">
          <w:rPr>
            <w:b/>
          </w:rPr>
          <w:delText>Výrobce</w:delText>
        </w:r>
      </w:del>
    </w:p>
    <w:p w14:paraId="6DC5118F" w14:textId="77777777" w:rsidR="00073F8F" w:rsidRPr="001B4A02" w:rsidRDefault="00073F8F" w:rsidP="00262E54">
      <w:pPr>
        <w:keepNext/>
        <w:ind w:left="0" w:firstLine="0"/>
        <w:rPr>
          <w:del w:id="13500" w:author="AbbVie1" w:date="2025-05-13T10:11:00Z"/>
        </w:rPr>
      </w:pPr>
    </w:p>
    <w:p w14:paraId="3C3F838D" w14:textId="77777777" w:rsidR="000B0F99" w:rsidRPr="001B4A02" w:rsidRDefault="00000000" w:rsidP="0009084E">
      <w:pPr>
        <w:ind w:left="0" w:firstLine="0"/>
        <w:rPr>
          <w:del w:id="13501" w:author="AbbVie1" w:date="2025-05-13T10:11:00Z"/>
        </w:rPr>
      </w:pPr>
      <w:del w:id="13502" w:author="AbbVie1" w:date="2025-05-13T10:11:00Z">
        <w:r w:rsidRPr="001B4A02">
          <w:delText>AbbVie Biotechnology GmbH</w:delText>
        </w:r>
      </w:del>
    </w:p>
    <w:p w14:paraId="6BA68193" w14:textId="77777777" w:rsidR="000B0F99" w:rsidRPr="001B4A02" w:rsidRDefault="00000000" w:rsidP="0009084E">
      <w:pPr>
        <w:numPr>
          <w:ilvl w:val="12"/>
          <w:numId w:val="0"/>
        </w:numPr>
        <w:tabs>
          <w:tab w:val="left" w:pos="720"/>
        </w:tabs>
        <w:rPr>
          <w:del w:id="13503" w:author="AbbVie1" w:date="2025-05-13T10:11:00Z"/>
        </w:rPr>
      </w:pPr>
      <w:del w:id="13504" w:author="AbbVie1" w:date="2025-05-13T10:11:00Z">
        <w:r w:rsidRPr="001B4A02">
          <w:delText>Knollstrasse</w:delText>
        </w:r>
      </w:del>
    </w:p>
    <w:p w14:paraId="6DC5DDEF" w14:textId="77777777" w:rsidR="000B0F99" w:rsidRPr="001B4A02" w:rsidRDefault="00000000" w:rsidP="0009084E">
      <w:pPr>
        <w:numPr>
          <w:ilvl w:val="12"/>
          <w:numId w:val="0"/>
        </w:numPr>
        <w:tabs>
          <w:tab w:val="left" w:pos="720"/>
        </w:tabs>
        <w:rPr>
          <w:del w:id="13505" w:author="AbbVie1" w:date="2025-05-13T10:11:00Z"/>
        </w:rPr>
      </w:pPr>
      <w:del w:id="13506" w:author="AbbVie1" w:date="2025-05-13T10:11:00Z">
        <w:r w:rsidRPr="001B4A02">
          <w:delText>67061 Ludwigshafen</w:delText>
        </w:r>
      </w:del>
    </w:p>
    <w:p w14:paraId="5AE00BA4" w14:textId="77777777" w:rsidR="000B0F99" w:rsidRPr="001B4A02" w:rsidRDefault="00000000" w:rsidP="0009084E">
      <w:pPr>
        <w:numPr>
          <w:ilvl w:val="12"/>
          <w:numId w:val="0"/>
        </w:numPr>
        <w:tabs>
          <w:tab w:val="left" w:pos="720"/>
        </w:tabs>
        <w:rPr>
          <w:del w:id="13507" w:author="AbbVie1" w:date="2025-05-13T10:11:00Z"/>
        </w:rPr>
      </w:pPr>
      <w:del w:id="13508" w:author="AbbVie1" w:date="2025-05-13T10:11:00Z">
        <w:r w:rsidRPr="001B4A02">
          <w:delText>Německo</w:delText>
        </w:r>
      </w:del>
    </w:p>
    <w:p w14:paraId="602B691E" w14:textId="77777777" w:rsidR="000B0F99" w:rsidRPr="001B4A02" w:rsidRDefault="000B0F99" w:rsidP="0009084E">
      <w:pPr>
        <w:ind w:left="0" w:firstLine="0"/>
        <w:rPr>
          <w:del w:id="13509" w:author="AbbVie1" w:date="2025-05-13T10:11:00Z"/>
        </w:rPr>
      </w:pPr>
    </w:p>
    <w:p w14:paraId="7C6C9C3B" w14:textId="77777777" w:rsidR="00073F8F" w:rsidRPr="001B4A02" w:rsidRDefault="00000000" w:rsidP="00262E54">
      <w:pPr>
        <w:keepNext/>
        <w:numPr>
          <w:ilvl w:val="12"/>
          <w:numId w:val="0"/>
        </w:numPr>
        <w:rPr>
          <w:del w:id="13510" w:author="AbbVie1" w:date="2025-05-13T10:11:00Z"/>
        </w:rPr>
      </w:pPr>
      <w:del w:id="13511" w:author="AbbVie1" w:date="2025-05-13T10:11:00Z">
        <w:r w:rsidRPr="001B4A02">
          <w:delText>Další informace o tomto přípravku získáte u místního zástupce držitele rozhodnutí o registraci.</w:delText>
        </w:r>
      </w:del>
    </w:p>
    <w:p w14:paraId="6DB278B2" w14:textId="77777777" w:rsidR="00091412" w:rsidRPr="001B4A02" w:rsidRDefault="00091412" w:rsidP="00262E54">
      <w:pPr>
        <w:keepNext/>
        <w:ind w:left="0" w:firstLine="0"/>
        <w:rPr>
          <w:del w:id="13512" w:author="AbbVie1" w:date="2025-05-13T10:11:00Z"/>
          <w:sz w:val="24"/>
          <w:szCs w:val="24"/>
        </w:rPr>
      </w:pPr>
    </w:p>
    <w:tbl>
      <w:tblPr>
        <w:tblW w:w="9356" w:type="dxa"/>
        <w:tblInd w:w="-34" w:type="dxa"/>
        <w:tblLayout w:type="fixed"/>
        <w:tblLook w:val="0000" w:firstRow="0" w:lastRow="0" w:firstColumn="0" w:lastColumn="0" w:noHBand="0" w:noVBand="0"/>
      </w:tblPr>
      <w:tblGrid>
        <w:gridCol w:w="34"/>
        <w:gridCol w:w="4610"/>
        <w:gridCol w:w="34"/>
        <w:gridCol w:w="4678"/>
      </w:tblGrid>
      <w:tr w:rsidR="00534A2D" w14:paraId="349BB770" w14:textId="77777777" w:rsidTr="001F79B0">
        <w:trPr>
          <w:del w:id="13513" w:author="AbbVie1" w:date="2025-05-13T10:11:00Z"/>
        </w:trPr>
        <w:tc>
          <w:tcPr>
            <w:tcW w:w="4644" w:type="dxa"/>
            <w:gridSpan w:val="2"/>
          </w:tcPr>
          <w:p w14:paraId="72CD28D7" w14:textId="77777777" w:rsidR="00AC4204" w:rsidRPr="00BD646C" w:rsidRDefault="00000000" w:rsidP="001F79B0">
            <w:pPr>
              <w:rPr>
                <w:del w:id="13514" w:author="AbbVie1" w:date="2025-05-13T10:11:00Z"/>
                <w:b/>
                <w:bCs/>
                <w:szCs w:val="22"/>
                <w:lang w:val="fr-BE"/>
              </w:rPr>
            </w:pPr>
            <w:del w:id="13515" w:author="AbbVie1" w:date="2025-05-13T10:11:00Z">
              <w:r w:rsidRPr="00BD646C">
                <w:rPr>
                  <w:b/>
                  <w:bCs/>
                  <w:szCs w:val="22"/>
                  <w:lang w:val="fr-BE"/>
                </w:rPr>
                <w:delText>België/Belgique/Belgien</w:delText>
              </w:r>
            </w:del>
          </w:p>
          <w:p w14:paraId="43A4BAC3" w14:textId="77777777" w:rsidR="00AC4204" w:rsidRPr="00BD646C" w:rsidRDefault="00000000" w:rsidP="001F79B0">
            <w:pPr>
              <w:rPr>
                <w:del w:id="13516" w:author="AbbVie1" w:date="2025-05-13T10:11:00Z"/>
                <w:bCs/>
                <w:szCs w:val="22"/>
                <w:lang w:val="fr-FR"/>
              </w:rPr>
            </w:pPr>
            <w:del w:id="13517" w:author="AbbVie1" w:date="2025-05-13T10:11:00Z">
              <w:r w:rsidRPr="00BD646C">
                <w:rPr>
                  <w:bCs/>
                  <w:szCs w:val="22"/>
                  <w:lang w:val="fr-FR"/>
                </w:rPr>
                <w:delText>AbbVie SA</w:delText>
              </w:r>
            </w:del>
          </w:p>
          <w:p w14:paraId="219DB205" w14:textId="77777777" w:rsidR="00AC4204" w:rsidRPr="00BD646C" w:rsidRDefault="00000000" w:rsidP="001F79B0">
            <w:pPr>
              <w:rPr>
                <w:del w:id="13518" w:author="AbbVie1" w:date="2025-05-13T10:11:00Z"/>
                <w:szCs w:val="22"/>
                <w:lang w:val="fr-FR"/>
              </w:rPr>
            </w:pPr>
            <w:del w:id="13519" w:author="AbbVie1" w:date="2025-05-13T10:11:00Z">
              <w:r w:rsidRPr="00BD646C">
                <w:rPr>
                  <w:bCs/>
                  <w:szCs w:val="22"/>
                  <w:lang w:val="fr-FR"/>
                </w:rPr>
                <w:delText xml:space="preserve">Tél/Tel: +32 10 </w:delText>
              </w:r>
              <w:r w:rsidRPr="00BD646C">
                <w:rPr>
                  <w:szCs w:val="22"/>
                  <w:lang w:val="fr-FR"/>
                </w:rPr>
                <w:delText>477811</w:delText>
              </w:r>
            </w:del>
          </w:p>
          <w:p w14:paraId="39C321DD" w14:textId="77777777" w:rsidR="00AC4204" w:rsidRPr="00BD646C" w:rsidRDefault="00AC4204" w:rsidP="001F79B0">
            <w:pPr>
              <w:rPr>
                <w:del w:id="13520" w:author="AbbVie1" w:date="2025-05-13T10:11:00Z"/>
                <w:bCs/>
                <w:szCs w:val="22"/>
                <w:lang w:val="fr-FR"/>
              </w:rPr>
            </w:pPr>
          </w:p>
        </w:tc>
        <w:tc>
          <w:tcPr>
            <w:tcW w:w="4678" w:type="dxa"/>
            <w:gridSpan w:val="2"/>
          </w:tcPr>
          <w:p w14:paraId="0DF6F008" w14:textId="77777777" w:rsidR="00AC4204" w:rsidRPr="00BD646C" w:rsidRDefault="00000000" w:rsidP="001F79B0">
            <w:pPr>
              <w:rPr>
                <w:del w:id="13521" w:author="AbbVie1" w:date="2025-05-13T10:11:00Z"/>
                <w:b/>
                <w:bCs/>
                <w:szCs w:val="22"/>
                <w:lang w:val="lt-LT"/>
              </w:rPr>
            </w:pPr>
            <w:del w:id="13522" w:author="AbbVie1" w:date="2025-05-13T10:11:00Z">
              <w:r w:rsidRPr="00BD646C">
                <w:rPr>
                  <w:b/>
                  <w:bCs/>
                  <w:szCs w:val="22"/>
                  <w:lang w:val="lt-LT"/>
                </w:rPr>
                <w:delText>Lietuva</w:delText>
              </w:r>
            </w:del>
          </w:p>
          <w:p w14:paraId="55632717" w14:textId="77777777" w:rsidR="00AC4204" w:rsidRPr="00BD646C" w:rsidRDefault="00000000" w:rsidP="001F79B0">
            <w:pPr>
              <w:rPr>
                <w:del w:id="13523" w:author="AbbVie1" w:date="2025-05-13T10:11:00Z"/>
                <w:bCs/>
                <w:szCs w:val="22"/>
                <w:lang w:val="lv-LV"/>
              </w:rPr>
            </w:pPr>
            <w:del w:id="13524" w:author="AbbVie1" w:date="2025-05-13T10:11:00Z">
              <w:r w:rsidRPr="00BD646C">
                <w:rPr>
                  <w:bCs/>
                  <w:szCs w:val="22"/>
                  <w:lang w:val="lv-LV"/>
                </w:rPr>
                <w:delText xml:space="preserve">AbbVie UAB </w:delText>
              </w:r>
            </w:del>
          </w:p>
          <w:p w14:paraId="57DF826F" w14:textId="77777777" w:rsidR="00AC4204" w:rsidRPr="00BD646C" w:rsidRDefault="00000000" w:rsidP="001F79B0">
            <w:pPr>
              <w:rPr>
                <w:del w:id="13525" w:author="AbbVie1" w:date="2025-05-13T10:11:00Z"/>
                <w:bCs/>
                <w:szCs w:val="22"/>
                <w:lang w:val="lv-LV"/>
              </w:rPr>
            </w:pPr>
            <w:del w:id="13526" w:author="AbbVie1" w:date="2025-05-13T10:11:00Z">
              <w:r w:rsidRPr="00BD646C">
                <w:rPr>
                  <w:bCs/>
                  <w:szCs w:val="22"/>
                  <w:lang w:val="lv-LV"/>
                </w:rPr>
                <w:delText>Tel: +370 5 205 3023</w:delText>
              </w:r>
            </w:del>
          </w:p>
        </w:tc>
      </w:tr>
      <w:tr w:rsidR="00534A2D" w14:paraId="04821B7A" w14:textId="77777777" w:rsidTr="001F79B0">
        <w:trPr>
          <w:del w:id="13527" w:author="AbbVie1" w:date="2025-05-13T10:11:00Z"/>
        </w:trPr>
        <w:tc>
          <w:tcPr>
            <w:tcW w:w="4644" w:type="dxa"/>
            <w:gridSpan w:val="2"/>
          </w:tcPr>
          <w:p w14:paraId="54D918BB" w14:textId="77777777" w:rsidR="00AC4204" w:rsidRPr="00BD646C" w:rsidRDefault="00000000" w:rsidP="00AC4204">
            <w:pPr>
              <w:keepNext/>
              <w:rPr>
                <w:del w:id="13528" w:author="AbbVie1" w:date="2025-05-13T10:11:00Z"/>
                <w:b/>
                <w:bCs/>
                <w:szCs w:val="22"/>
                <w:lang w:val="bg-BG"/>
              </w:rPr>
            </w:pPr>
            <w:del w:id="13529" w:author="AbbVie1" w:date="2025-05-13T10:11:00Z">
              <w:r w:rsidRPr="00BD646C">
                <w:rPr>
                  <w:b/>
                  <w:bCs/>
                  <w:szCs w:val="22"/>
                  <w:lang w:val="bg-BG"/>
                </w:rPr>
                <w:delText>България</w:delText>
              </w:r>
            </w:del>
          </w:p>
          <w:p w14:paraId="27969DFE" w14:textId="77777777" w:rsidR="00AC4204" w:rsidRPr="00BD646C" w:rsidRDefault="00000000" w:rsidP="00AC4204">
            <w:pPr>
              <w:keepNext/>
              <w:rPr>
                <w:del w:id="13530" w:author="AbbVie1" w:date="2025-05-13T10:11:00Z"/>
                <w:szCs w:val="22"/>
                <w:lang w:val="da-DK"/>
              </w:rPr>
            </w:pPr>
            <w:del w:id="13531" w:author="AbbVie1" w:date="2025-05-13T10:11:00Z">
              <w:r w:rsidRPr="00BD646C">
                <w:rPr>
                  <w:szCs w:val="22"/>
                  <w:lang w:val="sk-SK"/>
                </w:rPr>
                <w:delText>АбВи ЕООД</w:delText>
              </w:r>
            </w:del>
          </w:p>
          <w:p w14:paraId="5837EDDE" w14:textId="77777777" w:rsidR="00AC4204" w:rsidRPr="00BD646C" w:rsidRDefault="00000000" w:rsidP="00AC4204">
            <w:pPr>
              <w:keepNext/>
              <w:rPr>
                <w:del w:id="13532" w:author="AbbVie1" w:date="2025-05-13T10:11:00Z"/>
                <w:bCs/>
                <w:szCs w:val="22"/>
                <w:lang w:val="da-DK"/>
              </w:rPr>
            </w:pPr>
            <w:del w:id="13533" w:author="AbbVie1" w:date="2025-05-13T10:11:00Z">
              <w:r w:rsidRPr="00BD646C">
                <w:rPr>
                  <w:szCs w:val="22"/>
                  <w:lang w:val="sk-SK"/>
                </w:rPr>
                <w:delText>Тел</w:delText>
              </w:r>
              <w:r w:rsidRPr="005B1CF3">
                <w:rPr>
                  <w:szCs w:val="22"/>
                  <w:rPrChange w:id="13534" w:author="Abbvie02" w:date="2025-05-16T11:16:00Z">
                    <w:rPr>
                      <w:szCs w:val="22"/>
                      <w:lang w:val="it-IT"/>
                    </w:rPr>
                  </w:rPrChange>
                </w:rPr>
                <w:delText>.:+359 2 90 30 430</w:delText>
              </w:r>
            </w:del>
          </w:p>
        </w:tc>
        <w:tc>
          <w:tcPr>
            <w:tcW w:w="4678" w:type="dxa"/>
            <w:gridSpan w:val="2"/>
          </w:tcPr>
          <w:p w14:paraId="74AD3A42" w14:textId="77777777" w:rsidR="00AC4204" w:rsidRPr="00BD646C" w:rsidRDefault="00000000" w:rsidP="00AC4204">
            <w:pPr>
              <w:keepNext/>
              <w:rPr>
                <w:del w:id="13535" w:author="AbbVie1" w:date="2025-05-13T10:11:00Z"/>
                <w:b/>
                <w:bCs/>
                <w:szCs w:val="22"/>
                <w:lang w:val="de-DE"/>
              </w:rPr>
            </w:pPr>
            <w:del w:id="13536" w:author="AbbVie1" w:date="2025-05-13T10:11:00Z">
              <w:r w:rsidRPr="00BD646C">
                <w:rPr>
                  <w:b/>
                  <w:bCs/>
                  <w:szCs w:val="22"/>
                  <w:lang w:val="de-DE"/>
                </w:rPr>
                <w:delText>Luxembourg/Luxemburg</w:delText>
              </w:r>
            </w:del>
          </w:p>
          <w:p w14:paraId="34A0E34C" w14:textId="77777777" w:rsidR="00AC4204" w:rsidRPr="00BD646C" w:rsidRDefault="00000000" w:rsidP="00AC4204">
            <w:pPr>
              <w:keepNext/>
              <w:rPr>
                <w:del w:id="13537" w:author="AbbVie1" w:date="2025-05-13T10:11:00Z"/>
                <w:bCs/>
                <w:szCs w:val="22"/>
                <w:lang w:val="de-DE"/>
              </w:rPr>
            </w:pPr>
            <w:del w:id="13538" w:author="AbbVie1" w:date="2025-05-13T10:11:00Z">
              <w:r w:rsidRPr="00BD646C">
                <w:rPr>
                  <w:bCs/>
                  <w:szCs w:val="22"/>
                  <w:lang w:val="de-DE"/>
                </w:rPr>
                <w:delText>AbbVie SA</w:delText>
              </w:r>
            </w:del>
          </w:p>
          <w:p w14:paraId="1B3CB50D" w14:textId="77777777" w:rsidR="00AC4204" w:rsidRPr="00BD646C" w:rsidRDefault="00000000" w:rsidP="00AC4204">
            <w:pPr>
              <w:keepNext/>
              <w:rPr>
                <w:del w:id="13539" w:author="AbbVie1" w:date="2025-05-13T10:11:00Z"/>
                <w:bCs/>
                <w:szCs w:val="22"/>
                <w:lang w:val="de-DE"/>
              </w:rPr>
            </w:pPr>
            <w:del w:id="13540" w:author="AbbVie1" w:date="2025-05-13T10:11:00Z">
              <w:r w:rsidRPr="00BD646C">
                <w:rPr>
                  <w:bCs/>
                  <w:szCs w:val="22"/>
                  <w:lang w:val="de-DE"/>
                </w:rPr>
                <w:delText>Belgique/Belgien</w:delText>
              </w:r>
            </w:del>
          </w:p>
          <w:p w14:paraId="02FA706B" w14:textId="77777777" w:rsidR="00AC4204" w:rsidRPr="00BD646C" w:rsidRDefault="00000000" w:rsidP="00AC4204">
            <w:pPr>
              <w:keepNext/>
              <w:rPr>
                <w:del w:id="13541" w:author="AbbVie1" w:date="2025-05-13T10:11:00Z"/>
                <w:bCs/>
                <w:szCs w:val="22"/>
                <w:lang w:val="fr-FR"/>
              </w:rPr>
            </w:pPr>
            <w:del w:id="13542" w:author="AbbVie1" w:date="2025-05-13T10:11:00Z">
              <w:r w:rsidRPr="00BD646C">
                <w:rPr>
                  <w:bCs/>
                  <w:szCs w:val="22"/>
                  <w:lang w:val="fr-FR"/>
                </w:rPr>
                <w:delText>Tél/Tel: +32 10 477811</w:delText>
              </w:r>
            </w:del>
          </w:p>
          <w:p w14:paraId="5CB7714A" w14:textId="77777777" w:rsidR="00AC4204" w:rsidRPr="00BD646C" w:rsidRDefault="00AC4204" w:rsidP="00AC4204">
            <w:pPr>
              <w:keepNext/>
              <w:rPr>
                <w:del w:id="13543" w:author="AbbVie1" w:date="2025-05-13T10:11:00Z"/>
                <w:bCs/>
                <w:szCs w:val="22"/>
                <w:lang w:val="fr-FR"/>
              </w:rPr>
            </w:pPr>
          </w:p>
        </w:tc>
      </w:tr>
      <w:tr w:rsidR="00534A2D" w14:paraId="5A0D2AE7" w14:textId="77777777" w:rsidTr="001F79B0">
        <w:trPr>
          <w:del w:id="13544" w:author="AbbVie1" w:date="2025-05-13T10:11:00Z"/>
        </w:trPr>
        <w:tc>
          <w:tcPr>
            <w:tcW w:w="4644" w:type="dxa"/>
            <w:gridSpan w:val="2"/>
          </w:tcPr>
          <w:p w14:paraId="0E64B78B" w14:textId="77777777" w:rsidR="00AC4204" w:rsidRPr="00BD646C" w:rsidRDefault="00000000" w:rsidP="001F79B0">
            <w:pPr>
              <w:keepNext/>
              <w:rPr>
                <w:del w:id="13545" w:author="AbbVie1" w:date="2025-05-13T10:11:00Z"/>
                <w:b/>
                <w:bCs/>
                <w:szCs w:val="22"/>
                <w:lang w:val="sk-SK"/>
              </w:rPr>
            </w:pPr>
            <w:del w:id="13546" w:author="AbbVie1" w:date="2025-05-13T10:11:00Z">
              <w:r w:rsidRPr="00BD646C">
                <w:rPr>
                  <w:b/>
                  <w:bCs/>
                  <w:szCs w:val="22"/>
                  <w:lang w:val="sk-SK"/>
                </w:rPr>
                <w:delText>Česká republika</w:delText>
              </w:r>
            </w:del>
          </w:p>
          <w:p w14:paraId="48E20705" w14:textId="77777777" w:rsidR="00AC4204" w:rsidRPr="00BD646C" w:rsidRDefault="00000000" w:rsidP="001F79B0">
            <w:pPr>
              <w:keepNext/>
              <w:rPr>
                <w:del w:id="13547" w:author="AbbVie1" w:date="2025-05-13T10:11:00Z"/>
                <w:bCs/>
                <w:szCs w:val="22"/>
                <w:lang w:val="sk-SK"/>
              </w:rPr>
            </w:pPr>
            <w:del w:id="13548" w:author="AbbVie1" w:date="2025-05-13T10:11:00Z">
              <w:r w:rsidRPr="00BD646C">
                <w:rPr>
                  <w:bCs/>
                  <w:szCs w:val="22"/>
                  <w:lang w:val="sk-SK"/>
                </w:rPr>
                <w:delText xml:space="preserve">AbbVie s.r.o. </w:delText>
              </w:r>
            </w:del>
          </w:p>
          <w:p w14:paraId="22341526" w14:textId="77777777" w:rsidR="00AC4204" w:rsidRPr="00BD646C" w:rsidRDefault="00000000" w:rsidP="001F79B0">
            <w:pPr>
              <w:keepNext/>
              <w:rPr>
                <w:del w:id="13549" w:author="AbbVie1" w:date="2025-05-13T10:11:00Z"/>
                <w:bCs/>
                <w:szCs w:val="22"/>
                <w:lang w:val="sk-SK"/>
              </w:rPr>
            </w:pPr>
            <w:del w:id="13550" w:author="AbbVie1" w:date="2025-05-13T10:11:00Z">
              <w:r w:rsidRPr="00BD646C">
                <w:rPr>
                  <w:bCs/>
                  <w:szCs w:val="22"/>
                  <w:lang w:val="sk-SK"/>
                </w:rPr>
                <w:delText>Tel: +420 233 098 111</w:delText>
              </w:r>
            </w:del>
          </w:p>
        </w:tc>
        <w:tc>
          <w:tcPr>
            <w:tcW w:w="4678" w:type="dxa"/>
            <w:gridSpan w:val="2"/>
          </w:tcPr>
          <w:p w14:paraId="431C0D79" w14:textId="77777777" w:rsidR="00AC4204" w:rsidRPr="00BD646C" w:rsidRDefault="00000000" w:rsidP="001F79B0">
            <w:pPr>
              <w:keepNext/>
              <w:rPr>
                <w:del w:id="13551" w:author="AbbVie1" w:date="2025-05-13T10:11:00Z"/>
                <w:b/>
                <w:bCs/>
                <w:szCs w:val="22"/>
                <w:lang w:val="hu-HU"/>
              </w:rPr>
            </w:pPr>
            <w:del w:id="13552" w:author="AbbVie1" w:date="2025-05-13T10:11:00Z">
              <w:r w:rsidRPr="00BD646C">
                <w:rPr>
                  <w:b/>
                  <w:bCs/>
                  <w:szCs w:val="22"/>
                  <w:lang w:val="hu-HU"/>
                </w:rPr>
                <w:delText>Magyarország</w:delText>
              </w:r>
            </w:del>
          </w:p>
          <w:p w14:paraId="263DBD6A" w14:textId="77777777" w:rsidR="00AC4204" w:rsidRPr="00BD646C" w:rsidRDefault="00000000" w:rsidP="001F79B0">
            <w:pPr>
              <w:keepNext/>
              <w:rPr>
                <w:del w:id="13553" w:author="AbbVie1" w:date="2025-05-13T10:11:00Z"/>
                <w:bCs/>
                <w:szCs w:val="22"/>
                <w:lang w:val="hu-HU"/>
              </w:rPr>
            </w:pPr>
            <w:del w:id="13554" w:author="AbbVie1" w:date="2025-05-13T10:11:00Z">
              <w:r w:rsidRPr="00BD646C">
                <w:rPr>
                  <w:bCs/>
                  <w:szCs w:val="22"/>
                  <w:lang w:val="hu-HU"/>
                </w:rPr>
                <w:delText>AbbVie Kft.</w:delText>
              </w:r>
            </w:del>
          </w:p>
          <w:p w14:paraId="299858E9" w14:textId="77777777" w:rsidR="00AC4204" w:rsidRPr="00BD646C" w:rsidRDefault="00000000" w:rsidP="001F79B0">
            <w:pPr>
              <w:keepNext/>
              <w:rPr>
                <w:del w:id="13555" w:author="AbbVie1" w:date="2025-05-13T10:11:00Z"/>
                <w:bCs/>
                <w:szCs w:val="22"/>
                <w:lang w:val="hu-HU"/>
              </w:rPr>
            </w:pPr>
            <w:del w:id="13556" w:author="AbbVie1" w:date="2025-05-13T10:11:00Z">
              <w:r w:rsidRPr="00BD646C">
                <w:rPr>
                  <w:bCs/>
                  <w:szCs w:val="22"/>
                  <w:lang w:val="hu-HU"/>
                </w:rPr>
                <w:delText>Tel.:+36 1 455 8600</w:delText>
              </w:r>
            </w:del>
          </w:p>
          <w:p w14:paraId="5497AE79" w14:textId="77777777" w:rsidR="00AC4204" w:rsidRPr="00BD646C" w:rsidRDefault="00AC4204" w:rsidP="001F79B0">
            <w:pPr>
              <w:keepNext/>
              <w:rPr>
                <w:del w:id="13557" w:author="AbbVie1" w:date="2025-05-13T10:11:00Z"/>
                <w:bCs/>
                <w:szCs w:val="22"/>
                <w:lang w:val="hu-HU"/>
              </w:rPr>
            </w:pPr>
          </w:p>
        </w:tc>
      </w:tr>
      <w:tr w:rsidR="00534A2D" w14:paraId="74E4A051" w14:textId="77777777" w:rsidTr="001F79B0">
        <w:trPr>
          <w:trHeight w:val="737"/>
          <w:del w:id="13558" w:author="AbbVie1" w:date="2025-05-13T10:11:00Z"/>
        </w:trPr>
        <w:tc>
          <w:tcPr>
            <w:tcW w:w="4644" w:type="dxa"/>
            <w:gridSpan w:val="2"/>
          </w:tcPr>
          <w:p w14:paraId="4633BCAE" w14:textId="77777777" w:rsidR="00AC4204" w:rsidRPr="005B1CF3" w:rsidRDefault="00000000" w:rsidP="001F79B0">
            <w:pPr>
              <w:rPr>
                <w:del w:id="13559" w:author="AbbVie1" w:date="2025-05-13T10:11:00Z"/>
                <w:b/>
                <w:bCs/>
                <w:szCs w:val="22"/>
                <w:rPrChange w:id="13560" w:author="Abbvie02" w:date="2025-05-16T11:16:00Z">
                  <w:rPr>
                    <w:del w:id="13561" w:author="AbbVie1" w:date="2025-05-13T10:11:00Z"/>
                    <w:b/>
                    <w:bCs/>
                    <w:szCs w:val="22"/>
                    <w:lang w:val="en-US"/>
                  </w:rPr>
                </w:rPrChange>
              </w:rPr>
            </w:pPr>
            <w:del w:id="13562" w:author="AbbVie1" w:date="2025-05-13T10:11:00Z">
              <w:r w:rsidRPr="005B1CF3">
                <w:rPr>
                  <w:b/>
                  <w:bCs/>
                  <w:szCs w:val="22"/>
                  <w:rPrChange w:id="13563" w:author="Abbvie02" w:date="2025-05-16T11:16:00Z">
                    <w:rPr>
                      <w:b/>
                      <w:bCs/>
                      <w:szCs w:val="22"/>
                      <w:lang w:val="en-US"/>
                    </w:rPr>
                  </w:rPrChange>
                </w:rPr>
                <w:delText>Danmark</w:delText>
              </w:r>
            </w:del>
          </w:p>
          <w:p w14:paraId="49DA341B" w14:textId="77777777" w:rsidR="00AC4204" w:rsidRPr="005B1CF3" w:rsidRDefault="00000000" w:rsidP="001F79B0">
            <w:pPr>
              <w:rPr>
                <w:del w:id="13564" w:author="AbbVie1" w:date="2025-05-13T10:11:00Z"/>
                <w:bCs/>
                <w:szCs w:val="22"/>
                <w:rPrChange w:id="13565" w:author="Abbvie02" w:date="2025-05-16T11:16:00Z">
                  <w:rPr>
                    <w:del w:id="13566" w:author="AbbVie1" w:date="2025-05-13T10:11:00Z"/>
                    <w:bCs/>
                    <w:szCs w:val="22"/>
                    <w:lang w:val="en-US"/>
                  </w:rPr>
                </w:rPrChange>
              </w:rPr>
            </w:pPr>
            <w:del w:id="13567" w:author="AbbVie1" w:date="2025-05-13T10:11:00Z">
              <w:r w:rsidRPr="005B1CF3">
                <w:rPr>
                  <w:bCs/>
                  <w:szCs w:val="22"/>
                  <w:rPrChange w:id="13568" w:author="Abbvie02" w:date="2025-05-16T11:16:00Z">
                    <w:rPr>
                      <w:bCs/>
                      <w:szCs w:val="22"/>
                      <w:lang w:val="en-US"/>
                    </w:rPr>
                  </w:rPrChange>
                </w:rPr>
                <w:delText>AbbVie A/S</w:delText>
              </w:r>
            </w:del>
          </w:p>
          <w:p w14:paraId="530DC1EE" w14:textId="77777777" w:rsidR="00AC4204" w:rsidRPr="00BD646C" w:rsidRDefault="00000000" w:rsidP="001F79B0">
            <w:pPr>
              <w:rPr>
                <w:del w:id="13569" w:author="AbbVie1" w:date="2025-05-13T10:11:00Z"/>
                <w:bCs/>
                <w:szCs w:val="22"/>
                <w:lang w:val="sk-SK"/>
              </w:rPr>
            </w:pPr>
            <w:del w:id="13570" w:author="AbbVie1" w:date="2025-05-13T10:11:00Z">
              <w:r w:rsidRPr="005B1CF3">
                <w:rPr>
                  <w:bCs/>
                  <w:szCs w:val="22"/>
                  <w:rPrChange w:id="13571" w:author="Abbvie02" w:date="2025-05-16T11:16:00Z">
                    <w:rPr>
                      <w:bCs/>
                      <w:szCs w:val="22"/>
                      <w:lang w:val="en-US"/>
                    </w:rPr>
                  </w:rPrChange>
                </w:rPr>
                <w:delText>Tlf: +45 72 30-20-28</w:delText>
              </w:r>
            </w:del>
          </w:p>
        </w:tc>
        <w:tc>
          <w:tcPr>
            <w:tcW w:w="4678" w:type="dxa"/>
            <w:gridSpan w:val="2"/>
          </w:tcPr>
          <w:p w14:paraId="51D5A44C" w14:textId="77777777" w:rsidR="00AC4204" w:rsidRPr="00BD646C" w:rsidRDefault="00000000" w:rsidP="001F79B0">
            <w:pPr>
              <w:rPr>
                <w:del w:id="13572" w:author="AbbVie1" w:date="2025-05-13T10:11:00Z"/>
                <w:b/>
                <w:bCs/>
                <w:szCs w:val="22"/>
                <w:lang w:val="mt-MT"/>
              </w:rPr>
            </w:pPr>
            <w:del w:id="13573" w:author="AbbVie1" w:date="2025-05-13T10:11:00Z">
              <w:r w:rsidRPr="00BD646C">
                <w:rPr>
                  <w:b/>
                  <w:bCs/>
                  <w:szCs w:val="22"/>
                  <w:lang w:val="mt-MT"/>
                </w:rPr>
                <w:delText>Malta</w:delText>
              </w:r>
            </w:del>
          </w:p>
          <w:p w14:paraId="0C0CD37A" w14:textId="77777777" w:rsidR="00AC4204" w:rsidRPr="00BD646C" w:rsidRDefault="00000000" w:rsidP="001F79B0">
            <w:pPr>
              <w:rPr>
                <w:del w:id="13574" w:author="AbbVie1" w:date="2025-05-13T10:11:00Z"/>
                <w:bCs/>
                <w:szCs w:val="22"/>
                <w:lang w:val="sk-SK"/>
              </w:rPr>
            </w:pPr>
            <w:del w:id="13575" w:author="AbbVie1" w:date="2025-05-13T10:11:00Z">
              <w:r w:rsidRPr="00BD646C">
                <w:rPr>
                  <w:bCs/>
                  <w:szCs w:val="22"/>
                  <w:lang w:val="sk-SK"/>
                </w:rPr>
                <w:delText xml:space="preserve">V.J.Salomone Pharma Limited </w:delText>
              </w:r>
            </w:del>
          </w:p>
          <w:p w14:paraId="631996F5" w14:textId="77777777" w:rsidR="00AC4204" w:rsidRPr="00BD646C" w:rsidRDefault="00000000" w:rsidP="001F79B0">
            <w:pPr>
              <w:rPr>
                <w:del w:id="13576" w:author="AbbVie1" w:date="2025-05-13T10:11:00Z"/>
                <w:bCs/>
                <w:szCs w:val="22"/>
                <w:lang w:val="sk-SK"/>
              </w:rPr>
            </w:pPr>
            <w:del w:id="13577" w:author="AbbVie1" w:date="2025-05-13T10:11:00Z">
              <w:r w:rsidRPr="00BD646C">
                <w:rPr>
                  <w:bCs/>
                  <w:szCs w:val="22"/>
                  <w:lang w:val="sk-SK"/>
                </w:rPr>
                <w:delText xml:space="preserve">Tel: </w:delText>
              </w:r>
              <w:r>
                <w:rPr>
                  <w:bCs/>
                  <w:szCs w:val="22"/>
                </w:rPr>
                <w:delText>+356 21220174</w:delText>
              </w:r>
            </w:del>
          </w:p>
          <w:p w14:paraId="67C11236" w14:textId="77777777" w:rsidR="00AC4204" w:rsidRPr="00BD646C" w:rsidRDefault="00AC4204" w:rsidP="001F79B0">
            <w:pPr>
              <w:rPr>
                <w:del w:id="13578" w:author="AbbVie1" w:date="2025-05-13T10:11:00Z"/>
                <w:bCs/>
                <w:szCs w:val="22"/>
                <w:lang w:val="sk-SK"/>
              </w:rPr>
            </w:pPr>
          </w:p>
        </w:tc>
      </w:tr>
      <w:tr w:rsidR="00534A2D" w14:paraId="30F484B4" w14:textId="77777777" w:rsidTr="001F79B0">
        <w:trPr>
          <w:del w:id="13579" w:author="AbbVie1" w:date="2025-05-13T10:11:00Z"/>
        </w:trPr>
        <w:tc>
          <w:tcPr>
            <w:tcW w:w="4644" w:type="dxa"/>
            <w:gridSpan w:val="2"/>
          </w:tcPr>
          <w:p w14:paraId="01E7498D" w14:textId="77777777" w:rsidR="00AC4204" w:rsidRPr="00BD646C" w:rsidRDefault="00000000" w:rsidP="001F79B0">
            <w:pPr>
              <w:rPr>
                <w:del w:id="13580" w:author="AbbVie1" w:date="2025-05-13T10:11:00Z"/>
                <w:b/>
                <w:bCs/>
                <w:szCs w:val="22"/>
                <w:lang w:val="de-DE"/>
              </w:rPr>
            </w:pPr>
            <w:del w:id="13581" w:author="AbbVie1" w:date="2025-05-13T10:11:00Z">
              <w:r w:rsidRPr="00BD646C">
                <w:rPr>
                  <w:b/>
                  <w:bCs/>
                  <w:szCs w:val="22"/>
                  <w:lang w:val="de-DE"/>
                </w:rPr>
                <w:delText>Deutschland</w:delText>
              </w:r>
            </w:del>
          </w:p>
          <w:p w14:paraId="20FD5F18" w14:textId="77777777" w:rsidR="00AC4204" w:rsidRPr="00BD646C" w:rsidRDefault="00000000" w:rsidP="001F79B0">
            <w:pPr>
              <w:rPr>
                <w:del w:id="13582" w:author="AbbVie1" w:date="2025-05-13T10:11:00Z"/>
                <w:bCs/>
                <w:szCs w:val="22"/>
                <w:lang w:val="de-DE"/>
              </w:rPr>
            </w:pPr>
            <w:del w:id="13583" w:author="AbbVie1" w:date="2025-05-13T10:11:00Z">
              <w:r w:rsidRPr="00BD646C">
                <w:rPr>
                  <w:szCs w:val="22"/>
                  <w:lang w:val="de-DE"/>
                </w:rPr>
                <w:delText xml:space="preserve">AbbVie Deutschland </w:delText>
              </w:r>
              <w:r w:rsidRPr="00BD646C">
                <w:rPr>
                  <w:bCs/>
                  <w:szCs w:val="22"/>
                  <w:lang w:val="de-DE"/>
                </w:rPr>
                <w:delText>GmbH &amp; Co. KG</w:delText>
              </w:r>
            </w:del>
          </w:p>
          <w:p w14:paraId="3335F064" w14:textId="77777777" w:rsidR="00AC4204" w:rsidRPr="00BD646C" w:rsidRDefault="00000000" w:rsidP="001F79B0">
            <w:pPr>
              <w:rPr>
                <w:del w:id="13584" w:author="AbbVie1" w:date="2025-05-13T10:11:00Z"/>
                <w:szCs w:val="22"/>
                <w:lang w:val="de-DE"/>
              </w:rPr>
            </w:pPr>
            <w:del w:id="13585" w:author="AbbVie1" w:date="2025-05-13T10:11:00Z">
              <w:r w:rsidRPr="00BD646C">
                <w:rPr>
                  <w:szCs w:val="22"/>
                  <w:lang w:val="de-DE"/>
                </w:rPr>
                <w:delText>Tel: 00800 222843 33 (gebührenfrei)</w:delText>
              </w:r>
            </w:del>
          </w:p>
          <w:p w14:paraId="3754008C" w14:textId="77777777" w:rsidR="00AC4204" w:rsidRPr="00BD646C" w:rsidRDefault="00000000" w:rsidP="001F79B0">
            <w:pPr>
              <w:rPr>
                <w:del w:id="13586" w:author="AbbVie1" w:date="2025-05-13T10:11:00Z"/>
                <w:szCs w:val="22"/>
                <w:lang w:val="de-DE"/>
              </w:rPr>
            </w:pPr>
            <w:del w:id="13587" w:author="AbbVie1" w:date="2025-05-13T10:11:00Z">
              <w:r w:rsidRPr="00BD646C">
                <w:rPr>
                  <w:szCs w:val="22"/>
                  <w:lang w:val="de-DE"/>
                </w:rPr>
                <w:delText>Tel: +49 (0) 611 / 1720-0</w:delText>
              </w:r>
            </w:del>
          </w:p>
          <w:p w14:paraId="2CA5DAFE" w14:textId="77777777" w:rsidR="00AC4204" w:rsidRPr="00BD646C" w:rsidRDefault="00AC4204" w:rsidP="001F79B0">
            <w:pPr>
              <w:rPr>
                <w:del w:id="13588" w:author="AbbVie1" w:date="2025-05-13T10:11:00Z"/>
                <w:szCs w:val="22"/>
                <w:lang w:val="de-DE"/>
              </w:rPr>
            </w:pPr>
          </w:p>
        </w:tc>
        <w:tc>
          <w:tcPr>
            <w:tcW w:w="4678" w:type="dxa"/>
            <w:gridSpan w:val="2"/>
          </w:tcPr>
          <w:p w14:paraId="71CF1DD5" w14:textId="77777777" w:rsidR="00AC4204" w:rsidRPr="00BD646C" w:rsidRDefault="00000000" w:rsidP="001F79B0">
            <w:pPr>
              <w:rPr>
                <w:del w:id="13589" w:author="AbbVie1" w:date="2025-05-13T10:11:00Z"/>
                <w:b/>
                <w:bCs/>
                <w:szCs w:val="22"/>
                <w:lang w:val="nl-NL"/>
              </w:rPr>
            </w:pPr>
            <w:del w:id="13590" w:author="AbbVie1" w:date="2025-05-13T10:11:00Z">
              <w:r w:rsidRPr="00BD646C">
                <w:rPr>
                  <w:b/>
                  <w:bCs/>
                  <w:szCs w:val="22"/>
                  <w:lang w:val="nl-NL"/>
                </w:rPr>
                <w:delText>Nederland</w:delText>
              </w:r>
            </w:del>
          </w:p>
          <w:p w14:paraId="31B8733C" w14:textId="77777777" w:rsidR="00AC4204" w:rsidRPr="00BD646C" w:rsidRDefault="00000000" w:rsidP="001F79B0">
            <w:pPr>
              <w:rPr>
                <w:del w:id="13591" w:author="AbbVie1" w:date="2025-05-13T10:11:00Z"/>
                <w:bCs/>
                <w:szCs w:val="22"/>
                <w:lang w:val="de-DE"/>
              </w:rPr>
            </w:pPr>
            <w:del w:id="13592" w:author="AbbVie1" w:date="2025-05-13T10:11:00Z">
              <w:r w:rsidRPr="00BD646C">
                <w:rPr>
                  <w:bCs/>
                  <w:szCs w:val="22"/>
                  <w:lang w:val="de-DE"/>
                </w:rPr>
                <w:delText>AbbVie B.V.</w:delText>
              </w:r>
            </w:del>
          </w:p>
          <w:p w14:paraId="0C298C35" w14:textId="77777777" w:rsidR="00AC4204" w:rsidRPr="00BD646C" w:rsidRDefault="00000000" w:rsidP="001F79B0">
            <w:pPr>
              <w:rPr>
                <w:del w:id="13593" w:author="AbbVie1" w:date="2025-05-13T10:11:00Z"/>
                <w:bCs/>
                <w:szCs w:val="22"/>
                <w:lang w:val="de-DE"/>
              </w:rPr>
            </w:pPr>
            <w:del w:id="13594" w:author="AbbVie1" w:date="2025-05-13T10:11:00Z">
              <w:r w:rsidRPr="00BD646C">
                <w:rPr>
                  <w:bCs/>
                  <w:szCs w:val="22"/>
                  <w:lang w:val="de-DE"/>
                </w:rPr>
                <w:delText>Tel: +31 (0)88 322 2843</w:delText>
              </w:r>
            </w:del>
          </w:p>
        </w:tc>
      </w:tr>
      <w:tr w:rsidR="00534A2D" w14:paraId="75AC1563" w14:textId="77777777" w:rsidTr="001F79B0">
        <w:trPr>
          <w:del w:id="13595" w:author="AbbVie1" w:date="2025-05-13T10:11:00Z"/>
        </w:trPr>
        <w:tc>
          <w:tcPr>
            <w:tcW w:w="4644" w:type="dxa"/>
            <w:gridSpan w:val="2"/>
          </w:tcPr>
          <w:p w14:paraId="2F93B0C1" w14:textId="77777777" w:rsidR="00AC4204" w:rsidRPr="00BD646C" w:rsidRDefault="00000000" w:rsidP="001F79B0">
            <w:pPr>
              <w:rPr>
                <w:del w:id="13596" w:author="AbbVie1" w:date="2025-05-13T10:11:00Z"/>
                <w:b/>
                <w:bCs/>
                <w:szCs w:val="22"/>
                <w:lang w:val="et-EE"/>
              </w:rPr>
            </w:pPr>
            <w:del w:id="13597" w:author="AbbVie1" w:date="2025-05-13T10:11:00Z">
              <w:r w:rsidRPr="00BD646C">
                <w:rPr>
                  <w:b/>
                  <w:bCs/>
                  <w:szCs w:val="22"/>
                  <w:lang w:val="et-EE"/>
                </w:rPr>
                <w:delText>Eesti</w:delText>
              </w:r>
            </w:del>
          </w:p>
          <w:p w14:paraId="4FF09AE7" w14:textId="77777777" w:rsidR="00AC4204" w:rsidRPr="00BD646C" w:rsidRDefault="00000000" w:rsidP="001F79B0">
            <w:pPr>
              <w:rPr>
                <w:del w:id="13598" w:author="AbbVie1" w:date="2025-05-13T10:11:00Z"/>
                <w:bCs/>
                <w:szCs w:val="22"/>
                <w:lang w:val="et-EE"/>
              </w:rPr>
            </w:pPr>
            <w:del w:id="13599" w:author="AbbVie1" w:date="2025-05-13T10:11:00Z">
              <w:r w:rsidRPr="00BD646C">
                <w:rPr>
                  <w:bCs/>
                  <w:szCs w:val="22"/>
                  <w:lang w:val="et-EE"/>
                </w:rPr>
                <w:delText xml:space="preserve">AbbVie </w:delText>
              </w:r>
              <w:r w:rsidRPr="00BD646C">
                <w:rPr>
                  <w:bCs/>
                  <w:szCs w:val="22"/>
                  <w:lang w:val="sk-SK"/>
                </w:rPr>
                <w:delText>OÜ</w:delText>
              </w:r>
              <w:r w:rsidRPr="00BD646C">
                <w:rPr>
                  <w:bCs/>
                  <w:szCs w:val="22"/>
                  <w:lang w:val="et-EE"/>
                </w:rPr>
                <w:delText xml:space="preserve"> </w:delText>
              </w:r>
            </w:del>
          </w:p>
          <w:p w14:paraId="5C7371FF" w14:textId="77777777" w:rsidR="00AC4204" w:rsidRPr="00BD646C" w:rsidRDefault="00000000" w:rsidP="001F79B0">
            <w:pPr>
              <w:rPr>
                <w:del w:id="13600" w:author="AbbVie1" w:date="2025-05-13T10:11:00Z"/>
                <w:bCs/>
                <w:szCs w:val="22"/>
                <w:lang w:val="lv-LV"/>
              </w:rPr>
            </w:pPr>
            <w:del w:id="13601" w:author="AbbVie1" w:date="2025-05-13T10:11:00Z">
              <w:r w:rsidRPr="00BD646C">
                <w:rPr>
                  <w:bCs/>
                  <w:szCs w:val="22"/>
                  <w:lang w:val="et-EE"/>
                </w:rPr>
                <w:delText>Tel: +372 623 1011</w:delText>
              </w:r>
            </w:del>
          </w:p>
        </w:tc>
        <w:tc>
          <w:tcPr>
            <w:tcW w:w="4678" w:type="dxa"/>
            <w:gridSpan w:val="2"/>
          </w:tcPr>
          <w:p w14:paraId="53E93AEC" w14:textId="77777777" w:rsidR="00AC4204" w:rsidRPr="00BD646C" w:rsidRDefault="00000000" w:rsidP="001F79B0">
            <w:pPr>
              <w:rPr>
                <w:del w:id="13602" w:author="AbbVie1" w:date="2025-05-13T10:11:00Z"/>
                <w:b/>
                <w:bCs/>
                <w:szCs w:val="22"/>
                <w:lang w:val="nb-NO"/>
              </w:rPr>
            </w:pPr>
            <w:del w:id="13603" w:author="AbbVie1" w:date="2025-05-13T10:11:00Z">
              <w:r w:rsidRPr="00BD646C">
                <w:rPr>
                  <w:b/>
                  <w:bCs/>
                  <w:szCs w:val="22"/>
                  <w:lang w:val="nb-NO"/>
                </w:rPr>
                <w:delText>Norge</w:delText>
              </w:r>
            </w:del>
          </w:p>
          <w:p w14:paraId="3586502B" w14:textId="77777777" w:rsidR="00AC4204" w:rsidRPr="00BD646C" w:rsidRDefault="00000000" w:rsidP="001F79B0">
            <w:pPr>
              <w:rPr>
                <w:del w:id="13604" w:author="AbbVie1" w:date="2025-05-13T10:11:00Z"/>
                <w:bCs/>
                <w:szCs w:val="22"/>
                <w:lang w:val="sk-SK"/>
              </w:rPr>
            </w:pPr>
            <w:del w:id="13605" w:author="AbbVie1" w:date="2025-05-13T10:11:00Z">
              <w:r w:rsidRPr="00BD646C">
                <w:rPr>
                  <w:bCs/>
                  <w:szCs w:val="22"/>
                  <w:lang w:val="sk-SK"/>
                </w:rPr>
                <w:delText>AbbVie AS</w:delText>
              </w:r>
            </w:del>
          </w:p>
          <w:p w14:paraId="7CBE52B1" w14:textId="77777777" w:rsidR="00AC4204" w:rsidRPr="00BD646C" w:rsidRDefault="00000000" w:rsidP="001F79B0">
            <w:pPr>
              <w:rPr>
                <w:del w:id="13606" w:author="AbbVie1" w:date="2025-05-13T10:11:00Z"/>
                <w:bCs/>
                <w:szCs w:val="22"/>
                <w:lang w:val="sk-SK"/>
              </w:rPr>
            </w:pPr>
            <w:del w:id="13607" w:author="AbbVie1" w:date="2025-05-13T10:11:00Z">
              <w:r w:rsidRPr="00BD646C">
                <w:rPr>
                  <w:bCs/>
                  <w:szCs w:val="22"/>
                  <w:lang w:val="sk-SK"/>
                </w:rPr>
                <w:delText>Tlf: +47 67 81 80 00</w:delText>
              </w:r>
            </w:del>
          </w:p>
          <w:p w14:paraId="2C773EAC" w14:textId="77777777" w:rsidR="00AC4204" w:rsidRPr="00BD646C" w:rsidRDefault="00AC4204" w:rsidP="001F79B0">
            <w:pPr>
              <w:rPr>
                <w:del w:id="13608" w:author="AbbVie1" w:date="2025-05-13T10:11:00Z"/>
                <w:bCs/>
                <w:szCs w:val="22"/>
                <w:lang w:val="sk-SK"/>
              </w:rPr>
            </w:pPr>
          </w:p>
        </w:tc>
      </w:tr>
      <w:tr w:rsidR="00534A2D" w14:paraId="0D7FE843" w14:textId="77777777" w:rsidTr="001F79B0">
        <w:trPr>
          <w:trHeight w:val="794"/>
          <w:del w:id="13609" w:author="AbbVie1" w:date="2025-05-13T10:11:00Z"/>
        </w:trPr>
        <w:tc>
          <w:tcPr>
            <w:tcW w:w="4644" w:type="dxa"/>
            <w:gridSpan w:val="2"/>
          </w:tcPr>
          <w:p w14:paraId="65BD6D0D" w14:textId="77777777" w:rsidR="00AC4204" w:rsidRPr="00BD646C" w:rsidRDefault="00000000" w:rsidP="001F79B0">
            <w:pPr>
              <w:rPr>
                <w:del w:id="13610" w:author="AbbVie1" w:date="2025-05-13T10:11:00Z"/>
                <w:b/>
                <w:bCs/>
                <w:szCs w:val="22"/>
                <w:lang w:val="el-GR"/>
              </w:rPr>
            </w:pPr>
            <w:del w:id="13611" w:author="AbbVie1" w:date="2025-05-13T10:11:00Z">
              <w:r w:rsidRPr="00BD646C">
                <w:rPr>
                  <w:b/>
                  <w:bCs/>
                  <w:szCs w:val="22"/>
                  <w:lang w:val="el-GR"/>
                </w:rPr>
                <w:delText>Ελλάδα</w:delText>
              </w:r>
            </w:del>
          </w:p>
          <w:p w14:paraId="2F0D6FC1" w14:textId="77777777" w:rsidR="00AC4204" w:rsidRPr="00BD646C" w:rsidRDefault="00000000" w:rsidP="001F79B0">
            <w:pPr>
              <w:rPr>
                <w:del w:id="13612" w:author="AbbVie1" w:date="2025-05-13T10:11:00Z"/>
                <w:bCs/>
                <w:szCs w:val="22"/>
                <w:lang w:val="el-GR"/>
              </w:rPr>
            </w:pPr>
            <w:del w:id="13613" w:author="AbbVie1" w:date="2025-05-13T10:11:00Z">
              <w:r w:rsidRPr="00BD646C">
                <w:rPr>
                  <w:bCs/>
                  <w:szCs w:val="22"/>
                  <w:lang w:val="et-EE"/>
                </w:rPr>
                <w:delText xml:space="preserve">AbbVie </w:delText>
              </w:r>
              <w:r w:rsidRPr="00BD646C">
                <w:rPr>
                  <w:szCs w:val="22"/>
                  <w:lang w:val="el-GR"/>
                </w:rPr>
                <w:delText>ΦΑΡΜΑΚΕΥΤΙΚΗ Α.Ε.</w:delText>
              </w:r>
            </w:del>
          </w:p>
          <w:p w14:paraId="31850566" w14:textId="77777777" w:rsidR="00AC4204" w:rsidRPr="00BD646C" w:rsidRDefault="00000000" w:rsidP="001F79B0">
            <w:pPr>
              <w:rPr>
                <w:del w:id="13614" w:author="AbbVie1" w:date="2025-05-13T10:11:00Z"/>
                <w:bCs/>
                <w:szCs w:val="22"/>
                <w:lang w:val="sk-SK"/>
              </w:rPr>
            </w:pPr>
            <w:del w:id="13615" w:author="AbbVie1" w:date="2025-05-13T10:11:00Z">
              <w:r w:rsidRPr="00BD646C">
                <w:rPr>
                  <w:bCs/>
                  <w:szCs w:val="22"/>
                  <w:lang w:val="el-GR"/>
                </w:rPr>
                <w:delText xml:space="preserve">Τηλ: +30 </w:delText>
              </w:r>
              <w:r w:rsidRPr="00BD646C">
                <w:rPr>
                  <w:bCs/>
                  <w:szCs w:val="22"/>
                  <w:lang w:val="sk-SK"/>
                </w:rPr>
                <w:delText>214 4165 555</w:delText>
              </w:r>
            </w:del>
          </w:p>
        </w:tc>
        <w:tc>
          <w:tcPr>
            <w:tcW w:w="4678" w:type="dxa"/>
            <w:gridSpan w:val="2"/>
          </w:tcPr>
          <w:p w14:paraId="572CDC11" w14:textId="77777777" w:rsidR="00AC4204" w:rsidRPr="00BD646C" w:rsidRDefault="00000000" w:rsidP="001F79B0">
            <w:pPr>
              <w:rPr>
                <w:del w:id="13616" w:author="AbbVie1" w:date="2025-05-13T10:11:00Z"/>
                <w:b/>
                <w:bCs/>
                <w:szCs w:val="22"/>
                <w:lang w:val="de-DE"/>
              </w:rPr>
            </w:pPr>
            <w:del w:id="13617" w:author="AbbVie1" w:date="2025-05-13T10:11:00Z">
              <w:r w:rsidRPr="00BD646C">
                <w:rPr>
                  <w:b/>
                  <w:bCs/>
                  <w:szCs w:val="22"/>
                  <w:lang w:val="de-DE"/>
                </w:rPr>
                <w:delText>Österreich</w:delText>
              </w:r>
            </w:del>
          </w:p>
          <w:p w14:paraId="6F0352FC" w14:textId="77777777" w:rsidR="00AC4204" w:rsidRPr="00BD646C" w:rsidRDefault="00000000" w:rsidP="001F79B0">
            <w:pPr>
              <w:rPr>
                <w:del w:id="13618" w:author="AbbVie1" w:date="2025-05-13T10:11:00Z"/>
                <w:bCs/>
                <w:szCs w:val="22"/>
                <w:lang w:val="de-DE"/>
              </w:rPr>
            </w:pPr>
            <w:del w:id="13619" w:author="AbbVie1" w:date="2025-05-13T10:11:00Z">
              <w:r w:rsidRPr="00BD646C">
                <w:rPr>
                  <w:bCs/>
                  <w:szCs w:val="22"/>
                  <w:lang w:val="de-DE"/>
                </w:rPr>
                <w:delText xml:space="preserve">AbbVie GmbH </w:delText>
              </w:r>
            </w:del>
          </w:p>
          <w:p w14:paraId="6D939371" w14:textId="77777777" w:rsidR="00AC4204" w:rsidRPr="00BD646C" w:rsidRDefault="00000000" w:rsidP="001F79B0">
            <w:pPr>
              <w:rPr>
                <w:del w:id="13620" w:author="AbbVie1" w:date="2025-05-13T10:11:00Z"/>
                <w:bCs/>
                <w:szCs w:val="22"/>
                <w:lang w:val="de-DE"/>
              </w:rPr>
            </w:pPr>
            <w:del w:id="13621" w:author="AbbVie1" w:date="2025-05-13T10:11:00Z">
              <w:r w:rsidRPr="00BD646C">
                <w:rPr>
                  <w:bCs/>
                  <w:szCs w:val="22"/>
                  <w:lang w:val="de-DE"/>
                </w:rPr>
                <w:delText>Tel: +43 1 20589-0</w:delText>
              </w:r>
            </w:del>
          </w:p>
          <w:p w14:paraId="518C46AB" w14:textId="77777777" w:rsidR="00AC4204" w:rsidRPr="00BD646C" w:rsidRDefault="00AC4204" w:rsidP="001F79B0">
            <w:pPr>
              <w:rPr>
                <w:del w:id="13622" w:author="AbbVie1" w:date="2025-05-13T10:11:00Z"/>
                <w:bCs/>
                <w:szCs w:val="22"/>
                <w:lang w:val="de-DE"/>
              </w:rPr>
            </w:pPr>
          </w:p>
        </w:tc>
      </w:tr>
      <w:tr w:rsidR="00534A2D" w14:paraId="7636C778" w14:textId="77777777" w:rsidTr="001F79B0">
        <w:trPr>
          <w:gridBefore w:val="1"/>
          <w:wBefore w:w="34" w:type="dxa"/>
          <w:del w:id="13623" w:author="AbbVie1" w:date="2025-05-13T10:11:00Z"/>
        </w:trPr>
        <w:tc>
          <w:tcPr>
            <w:tcW w:w="4644" w:type="dxa"/>
            <w:gridSpan w:val="2"/>
          </w:tcPr>
          <w:p w14:paraId="7EFE1985" w14:textId="77777777" w:rsidR="00AC4204" w:rsidRPr="00BD646C" w:rsidRDefault="00000000" w:rsidP="001F79B0">
            <w:pPr>
              <w:rPr>
                <w:del w:id="13624" w:author="AbbVie1" w:date="2025-05-13T10:11:00Z"/>
                <w:b/>
                <w:bCs/>
                <w:szCs w:val="22"/>
                <w:lang w:val="es-ES"/>
              </w:rPr>
            </w:pPr>
            <w:del w:id="13625" w:author="AbbVie1" w:date="2025-05-13T10:11:00Z">
              <w:r w:rsidRPr="00BD646C">
                <w:rPr>
                  <w:b/>
                  <w:bCs/>
                  <w:szCs w:val="22"/>
                  <w:lang w:val="es-ES"/>
                </w:rPr>
                <w:delText>España</w:delText>
              </w:r>
            </w:del>
          </w:p>
          <w:p w14:paraId="7525F295" w14:textId="77777777" w:rsidR="00AC4204" w:rsidRPr="00BD646C" w:rsidRDefault="00000000" w:rsidP="001F79B0">
            <w:pPr>
              <w:rPr>
                <w:del w:id="13626" w:author="AbbVie1" w:date="2025-05-13T10:11:00Z"/>
                <w:szCs w:val="22"/>
                <w:lang w:val="es-ES"/>
              </w:rPr>
            </w:pPr>
            <w:del w:id="13627" w:author="AbbVie1" w:date="2025-05-13T10:11:00Z">
              <w:r w:rsidRPr="00BD646C">
                <w:rPr>
                  <w:szCs w:val="22"/>
                  <w:lang w:val="es-ES"/>
                </w:rPr>
                <w:delText xml:space="preserve">AbbVie </w:delText>
              </w:r>
              <w:r w:rsidRPr="00BD646C">
                <w:rPr>
                  <w:bCs/>
                  <w:szCs w:val="22"/>
                  <w:lang w:val="es-ES"/>
                </w:rPr>
                <w:delText>Spain</w:delText>
              </w:r>
              <w:r w:rsidRPr="00BD646C">
                <w:rPr>
                  <w:szCs w:val="22"/>
                  <w:lang w:val="es-ES"/>
                </w:rPr>
                <w:delText>, S.L.U</w:delText>
              </w:r>
              <w:r w:rsidRPr="00BD646C">
                <w:rPr>
                  <w:bCs/>
                  <w:szCs w:val="22"/>
                  <w:lang w:val="es-ES"/>
                </w:rPr>
                <w:delText>.</w:delText>
              </w:r>
            </w:del>
          </w:p>
          <w:p w14:paraId="4BD8344A" w14:textId="77777777" w:rsidR="00AC4204" w:rsidRPr="00BD646C" w:rsidRDefault="00000000" w:rsidP="001F79B0">
            <w:pPr>
              <w:rPr>
                <w:del w:id="13628" w:author="AbbVie1" w:date="2025-05-13T10:11:00Z"/>
                <w:bCs/>
                <w:szCs w:val="22"/>
                <w:lang w:val="pl-PL"/>
              </w:rPr>
            </w:pPr>
            <w:del w:id="13629" w:author="AbbVie1" w:date="2025-05-13T10:11:00Z">
              <w:r w:rsidRPr="00BD646C">
                <w:rPr>
                  <w:bCs/>
                  <w:szCs w:val="22"/>
                  <w:lang w:val="pt-PT"/>
                </w:rPr>
                <w:delText>Tel: +34 91 384 09 10</w:delText>
              </w:r>
            </w:del>
          </w:p>
        </w:tc>
        <w:tc>
          <w:tcPr>
            <w:tcW w:w="4678" w:type="dxa"/>
          </w:tcPr>
          <w:p w14:paraId="405AE5F5" w14:textId="77777777" w:rsidR="00AC4204" w:rsidRPr="00BD646C" w:rsidRDefault="00000000" w:rsidP="001F79B0">
            <w:pPr>
              <w:rPr>
                <w:del w:id="13630" w:author="AbbVie1" w:date="2025-05-13T10:11:00Z"/>
                <w:b/>
                <w:bCs/>
                <w:iCs/>
                <w:szCs w:val="22"/>
                <w:lang w:val="pl-PL"/>
              </w:rPr>
            </w:pPr>
            <w:del w:id="13631" w:author="AbbVie1" w:date="2025-05-13T10:11:00Z">
              <w:r w:rsidRPr="00BD646C">
                <w:rPr>
                  <w:b/>
                  <w:bCs/>
                  <w:iCs/>
                  <w:szCs w:val="22"/>
                  <w:lang w:val="pl-PL"/>
                </w:rPr>
                <w:delText>Polska</w:delText>
              </w:r>
            </w:del>
          </w:p>
          <w:p w14:paraId="7A34B121" w14:textId="77777777" w:rsidR="00AC4204" w:rsidRPr="00BD646C" w:rsidRDefault="00000000" w:rsidP="001F79B0">
            <w:pPr>
              <w:rPr>
                <w:del w:id="13632" w:author="AbbVie1" w:date="2025-05-13T10:11:00Z"/>
                <w:bCs/>
                <w:szCs w:val="22"/>
                <w:lang w:val="pl-PL"/>
              </w:rPr>
            </w:pPr>
            <w:del w:id="13633" w:author="AbbVie1" w:date="2025-05-13T10:11:00Z">
              <w:r w:rsidRPr="00BD646C">
                <w:rPr>
                  <w:bCs/>
                  <w:szCs w:val="22"/>
                  <w:lang w:val="pl-PL"/>
                </w:rPr>
                <w:delText>AbbVie Sp. z o.o.</w:delText>
              </w:r>
            </w:del>
          </w:p>
          <w:p w14:paraId="527C49FB" w14:textId="77777777" w:rsidR="00AC4204" w:rsidRPr="00BD646C" w:rsidRDefault="00000000" w:rsidP="001F79B0">
            <w:pPr>
              <w:rPr>
                <w:del w:id="13634" w:author="AbbVie1" w:date="2025-05-13T10:11:00Z"/>
                <w:bCs/>
                <w:szCs w:val="22"/>
                <w:lang w:val="pl-PL"/>
              </w:rPr>
            </w:pPr>
            <w:del w:id="13635" w:author="AbbVie1" w:date="2025-05-13T10:11:00Z">
              <w:r w:rsidRPr="00BD646C">
                <w:rPr>
                  <w:szCs w:val="22"/>
                  <w:lang w:val="es-ES"/>
                </w:rPr>
                <w:delText xml:space="preserve">Tel.: +48 22 </w:delText>
              </w:r>
              <w:r w:rsidRPr="00BD646C">
                <w:rPr>
                  <w:bCs/>
                  <w:szCs w:val="22"/>
                  <w:lang w:val="pl-PL"/>
                </w:rPr>
                <w:delText xml:space="preserve">372 78 00 </w:delText>
              </w:r>
            </w:del>
          </w:p>
          <w:p w14:paraId="052EF9EE" w14:textId="77777777" w:rsidR="00AC4204" w:rsidRPr="00BD646C" w:rsidRDefault="00AC4204" w:rsidP="001F79B0">
            <w:pPr>
              <w:rPr>
                <w:del w:id="13636" w:author="AbbVie1" w:date="2025-05-13T10:11:00Z"/>
                <w:bCs/>
                <w:szCs w:val="22"/>
                <w:lang w:val="pl-PL"/>
              </w:rPr>
            </w:pPr>
          </w:p>
        </w:tc>
      </w:tr>
      <w:tr w:rsidR="00534A2D" w14:paraId="5BA73D9E" w14:textId="77777777" w:rsidTr="001F79B0">
        <w:trPr>
          <w:trHeight w:val="734"/>
          <w:del w:id="13637" w:author="AbbVie1" w:date="2025-05-13T10:11:00Z"/>
        </w:trPr>
        <w:tc>
          <w:tcPr>
            <w:tcW w:w="4678" w:type="dxa"/>
            <w:gridSpan w:val="3"/>
          </w:tcPr>
          <w:p w14:paraId="2E8F46A6" w14:textId="77777777" w:rsidR="00AC4204" w:rsidRPr="00BD646C" w:rsidRDefault="00000000" w:rsidP="001F79B0">
            <w:pPr>
              <w:rPr>
                <w:del w:id="13638" w:author="AbbVie1" w:date="2025-05-13T10:11:00Z"/>
                <w:b/>
                <w:bCs/>
                <w:szCs w:val="22"/>
                <w:lang w:val="fr-FR"/>
              </w:rPr>
            </w:pPr>
            <w:del w:id="13639" w:author="AbbVie1" w:date="2025-05-13T10:11:00Z">
              <w:r w:rsidRPr="00BD646C">
                <w:rPr>
                  <w:b/>
                  <w:bCs/>
                  <w:szCs w:val="22"/>
                  <w:lang w:val="fr-FR"/>
                </w:rPr>
                <w:delText>France</w:delText>
              </w:r>
            </w:del>
          </w:p>
          <w:p w14:paraId="4996121D" w14:textId="77777777" w:rsidR="00AC4204" w:rsidRPr="00BD646C" w:rsidRDefault="00000000" w:rsidP="001F79B0">
            <w:pPr>
              <w:rPr>
                <w:del w:id="13640" w:author="AbbVie1" w:date="2025-05-13T10:11:00Z"/>
                <w:bCs/>
                <w:szCs w:val="22"/>
                <w:lang w:val="fr-FR"/>
              </w:rPr>
            </w:pPr>
            <w:del w:id="13641" w:author="AbbVie1" w:date="2025-05-13T10:11:00Z">
              <w:r w:rsidRPr="00BD646C">
                <w:rPr>
                  <w:bCs/>
                  <w:szCs w:val="22"/>
                  <w:lang w:val="fr-FR"/>
                </w:rPr>
                <w:delText>AbbVie</w:delText>
              </w:r>
            </w:del>
          </w:p>
          <w:p w14:paraId="1D41CB23" w14:textId="77777777" w:rsidR="00AC4204" w:rsidRPr="00BD646C" w:rsidRDefault="00000000" w:rsidP="001F79B0">
            <w:pPr>
              <w:rPr>
                <w:del w:id="13642" w:author="AbbVie1" w:date="2025-05-13T10:11:00Z"/>
                <w:bCs/>
                <w:szCs w:val="22"/>
                <w:lang w:val="fr-FR"/>
              </w:rPr>
            </w:pPr>
            <w:del w:id="13643" w:author="AbbVie1" w:date="2025-05-13T10:11:00Z">
              <w:r w:rsidRPr="00BD646C">
                <w:rPr>
                  <w:bCs/>
                  <w:szCs w:val="22"/>
                  <w:lang w:val="fr-FR"/>
                </w:rPr>
                <w:delText>Tél: +33 (0) 1 45 60 13 00</w:delText>
              </w:r>
            </w:del>
          </w:p>
        </w:tc>
        <w:tc>
          <w:tcPr>
            <w:tcW w:w="4678" w:type="dxa"/>
          </w:tcPr>
          <w:p w14:paraId="001AC713" w14:textId="77777777" w:rsidR="00AC4204" w:rsidRPr="00BD646C" w:rsidRDefault="00000000" w:rsidP="001F79B0">
            <w:pPr>
              <w:rPr>
                <w:del w:id="13644" w:author="AbbVie1" w:date="2025-05-13T10:11:00Z"/>
                <w:b/>
                <w:bCs/>
                <w:szCs w:val="22"/>
                <w:lang w:val="pt-PT"/>
              </w:rPr>
            </w:pPr>
            <w:del w:id="13645" w:author="AbbVie1" w:date="2025-05-13T10:11:00Z">
              <w:r w:rsidRPr="00BD646C">
                <w:rPr>
                  <w:b/>
                  <w:bCs/>
                  <w:szCs w:val="22"/>
                  <w:lang w:val="pt-PT"/>
                </w:rPr>
                <w:delText>Portugal</w:delText>
              </w:r>
            </w:del>
          </w:p>
          <w:p w14:paraId="1E53D0B6" w14:textId="77777777" w:rsidR="00AC4204" w:rsidRPr="00BD646C" w:rsidRDefault="00000000" w:rsidP="001F79B0">
            <w:pPr>
              <w:rPr>
                <w:del w:id="13646" w:author="AbbVie1" w:date="2025-05-13T10:11:00Z"/>
                <w:bCs/>
                <w:szCs w:val="22"/>
                <w:lang w:val="fr-FR"/>
              </w:rPr>
            </w:pPr>
            <w:del w:id="13647" w:author="AbbVie1" w:date="2025-05-13T10:11:00Z">
              <w:r w:rsidRPr="00BD646C">
                <w:rPr>
                  <w:bCs/>
                  <w:szCs w:val="22"/>
                  <w:lang w:val="fr-FR"/>
                </w:rPr>
                <w:delText xml:space="preserve">AbbVie, Lda. </w:delText>
              </w:r>
            </w:del>
          </w:p>
          <w:p w14:paraId="107AA16D" w14:textId="77777777" w:rsidR="00AC4204" w:rsidRPr="00BD646C" w:rsidRDefault="00000000" w:rsidP="001F79B0">
            <w:pPr>
              <w:rPr>
                <w:del w:id="13648" w:author="AbbVie1" w:date="2025-05-13T10:11:00Z"/>
                <w:szCs w:val="22"/>
                <w:lang w:val="fr-FR"/>
              </w:rPr>
            </w:pPr>
            <w:del w:id="13649" w:author="AbbVie1" w:date="2025-05-13T10:11:00Z">
              <w:r w:rsidRPr="00BD646C">
                <w:rPr>
                  <w:szCs w:val="22"/>
                  <w:lang w:val="fr-FR"/>
                </w:rPr>
                <w:delText>Tel: +351 (0)21 1908400</w:delText>
              </w:r>
            </w:del>
          </w:p>
          <w:p w14:paraId="4B8F8327" w14:textId="77777777" w:rsidR="00AC4204" w:rsidRPr="00BD646C" w:rsidRDefault="00AC4204" w:rsidP="001F79B0">
            <w:pPr>
              <w:rPr>
                <w:del w:id="13650" w:author="AbbVie1" w:date="2025-05-13T10:11:00Z"/>
                <w:szCs w:val="22"/>
                <w:lang w:val="fr-FR"/>
              </w:rPr>
            </w:pPr>
          </w:p>
        </w:tc>
      </w:tr>
      <w:tr w:rsidR="00534A2D" w14:paraId="6062ED69" w14:textId="77777777" w:rsidTr="001F79B0">
        <w:trPr>
          <w:gridBefore w:val="1"/>
          <w:wBefore w:w="34" w:type="dxa"/>
          <w:del w:id="13651" w:author="AbbVie1" w:date="2025-05-13T10:11:00Z"/>
        </w:trPr>
        <w:tc>
          <w:tcPr>
            <w:tcW w:w="4644" w:type="dxa"/>
            <w:gridSpan w:val="2"/>
          </w:tcPr>
          <w:p w14:paraId="39F3B70E" w14:textId="77777777" w:rsidR="00AC4204" w:rsidRPr="005B1CF3" w:rsidRDefault="00000000" w:rsidP="001F79B0">
            <w:pPr>
              <w:rPr>
                <w:del w:id="13652" w:author="AbbVie1" w:date="2025-05-13T10:11:00Z"/>
                <w:szCs w:val="22"/>
                <w:rPrChange w:id="13653" w:author="Abbvie02" w:date="2025-05-16T11:16:00Z">
                  <w:rPr>
                    <w:del w:id="13654" w:author="AbbVie1" w:date="2025-05-13T10:11:00Z"/>
                    <w:szCs w:val="22"/>
                    <w:lang w:val="en-GB"/>
                  </w:rPr>
                </w:rPrChange>
              </w:rPr>
            </w:pPr>
            <w:del w:id="13655" w:author="AbbVie1" w:date="2025-05-13T10:11:00Z">
              <w:r w:rsidRPr="005B1CF3">
                <w:rPr>
                  <w:b/>
                  <w:bCs/>
                  <w:szCs w:val="22"/>
                  <w:rPrChange w:id="13656" w:author="Abbvie02" w:date="2025-05-16T11:16:00Z">
                    <w:rPr>
                      <w:b/>
                      <w:bCs/>
                      <w:szCs w:val="22"/>
                      <w:lang w:val="en-GB"/>
                    </w:rPr>
                  </w:rPrChange>
                </w:rPr>
                <w:delText xml:space="preserve">Hrvatska </w:delText>
              </w:r>
            </w:del>
          </w:p>
          <w:p w14:paraId="55C27A10" w14:textId="77777777" w:rsidR="00AC4204" w:rsidRPr="00BD646C" w:rsidRDefault="00000000" w:rsidP="001F79B0">
            <w:pPr>
              <w:rPr>
                <w:del w:id="13657" w:author="AbbVie1" w:date="2025-05-13T10:11:00Z"/>
                <w:szCs w:val="22"/>
                <w:lang w:val="hr-HR"/>
              </w:rPr>
            </w:pPr>
            <w:del w:id="13658" w:author="AbbVie1" w:date="2025-05-13T10:11:00Z">
              <w:r w:rsidRPr="00BD646C">
                <w:rPr>
                  <w:szCs w:val="22"/>
                  <w:lang w:val="hr-HR"/>
                </w:rPr>
                <w:delText>AbbVie d.o.o.</w:delText>
              </w:r>
            </w:del>
          </w:p>
          <w:p w14:paraId="20D199D2" w14:textId="77777777" w:rsidR="00AC4204" w:rsidRPr="005B1CF3" w:rsidRDefault="00000000" w:rsidP="001F79B0">
            <w:pPr>
              <w:rPr>
                <w:del w:id="13659" w:author="AbbVie1" w:date="2025-05-13T10:11:00Z"/>
                <w:bCs/>
                <w:szCs w:val="22"/>
                <w:rPrChange w:id="13660" w:author="Abbvie02" w:date="2025-05-16T11:16:00Z">
                  <w:rPr>
                    <w:del w:id="13661" w:author="AbbVie1" w:date="2025-05-13T10:11:00Z"/>
                    <w:bCs/>
                    <w:szCs w:val="22"/>
                    <w:lang w:val="it-IT"/>
                  </w:rPr>
                </w:rPrChange>
              </w:rPr>
            </w:pPr>
            <w:del w:id="13662" w:author="AbbVie1" w:date="2025-05-13T10:11:00Z">
              <w:r w:rsidRPr="00BD646C">
                <w:rPr>
                  <w:szCs w:val="22"/>
                  <w:lang w:val="hr-HR"/>
                </w:rPr>
                <w:delText xml:space="preserve">Tel + 385 (0)1 </w:delText>
              </w:r>
              <w:r w:rsidRPr="005B1CF3">
                <w:rPr>
                  <w:szCs w:val="22"/>
                  <w:rPrChange w:id="13663" w:author="Abbvie02" w:date="2025-05-16T11:16:00Z">
                    <w:rPr>
                      <w:szCs w:val="22"/>
                      <w:lang w:val="en-US"/>
                    </w:rPr>
                  </w:rPrChange>
                </w:rPr>
                <w:delText>5625 501</w:delText>
              </w:r>
            </w:del>
          </w:p>
        </w:tc>
        <w:tc>
          <w:tcPr>
            <w:tcW w:w="4678" w:type="dxa"/>
          </w:tcPr>
          <w:p w14:paraId="2406D73F" w14:textId="77777777" w:rsidR="00AC4204" w:rsidRPr="005B1CF3" w:rsidRDefault="00000000" w:rsidP="001F79B0">
            <w:pPr>
              <w:rPr>
                <w:del w:id="13664" w:author="AbbVie1" w:date="2025-05-13T10:11:00Z"/>
                <w:b/>
                <w:bCs/>
                <w:szCs w:val="22"/>
                <w:rPrChange w:id="13665" w:author="Abbvie02" w:date="2025-05-16T11:16:00Z">
                  <w:rPr>
                    <w:del w:id="13666" w:author="AbbVie1" w:date="2025-05-13T10:11:00Z"/>
                    <w:b/>
                    <w:bCs/>
                    <w:szCs w:val="22"/>
                    <w:lang w:val="it-IT"/>
                  </w:rPr>
                </w:rPrChange>
              </w:rPr>
            </w:pPr>
            <w:del w:id="13667" w:author="AbbVie1" w:date="2025-05-13T10:11:00Z">
              <w:r w:rsidRPr="005B1CF3">
                <w:rPr>
                  <w:b/>
                  <w:bCs/>
                  <w:szCs w:val="22"/>
                  <w:rPrChange w:id="13668" w:author="Abbvie02" w:date="2025-05-16T11:16:00Z">
                    <w:rPr>
                      <w:b/>
                      <w:bCs/>
                      <w:szCs w:val="22"/>
                      <w:lang w:val="it-IT"/>
                    </w:rPr>
                  </w:rPrChange>
                </w:rPr>
                <w:delText>România</w:delText>
              </w:r>
            </w:del>
          </w:p>
          <w:p w14:paraId="357C4A14" w14:textId="77777777" w:rsidR="00AC4204" w:rsidRPr="005B1CF3" w:rsidRDefault="00000000" w:rsidP="001F79B0">
            <w:pPr>
              <w:rPr>
                <w:del w:id="13669" w:author="AbbVie1" w:date="2025-05-13T10:11:00Z"/>
                <w:szCs w:val="22"/>
                <w:rPrChange w:id="13670" w:author="Abbvie02" w:date="2025-05-16T11:16:00Z">
                  <w:rPr>
                    <w:del w:id="13671" w:author="AbbVie1" w:date="2025-05-13T10:11:00Z"/>
                    <w:szCs w:val="22"/>
                    <w:lang w:val="it-IT"/>
                  </w:rPr>
                </w:rPrChange>
              </w:rPr>
            </w:pPr>
            <w:del w:id="13672" w:author="AbbVie1" w:date="2025-05-13T10:11:00Z">
              <w:r w:rsidRPr="005B1CF3">
                <w:rPr>
                  <w:szCs w:val="22"/>
                  <w:rPrChange w:id="13673" w:author="Abbvie02" w:date="2025-05-16T11:16:00Z">
                    <w:rPr>
                      <w:szCs w:val="22"/>
                      <w:lang w:val="it-IT"/>
                    </w:rPr>
                  </w:rPrChange>
                </w:rPr>
                <w:delText>AbbVie S.R.L.</w:delText>
              </w:r>
            </w:del>
          </w:p>
          <w:p w14:paraId="7C32B1F6" w14:textId="77777777" w:rsidR="00AC4204" w:rsidRPr="00BD646C" w:rsidRDefault="00000000" w:rsidP="001F79B0">
            <w:pPr>
              <w:rPr>
                <w:del w:id="13674" w:author="AbbVie1" w:date="2025-05-13T10:11:00Z"/>
                <w:szCs w:val="22"/>
                <w:lang w:val="pl-PL"/>
              </w:rPr>
            </w:pPr>
            <w:del w:id="13675" w:author="AbbVie1" w:date="2025-05-13T10:11:00Z">
              <w:r w:rsidRPr="00BD646C">
                <w:rPr>
                  <w:szCs w:val="22"/>
                  <w:lang w:val="pl-PL"/>
                </w:rPr>
                <w:delText>Tel: +40 21 529 30 35</w:delText>
              </w:r>
            </w:del>
          </w:p>
          <w:p w14:paraId="3FE21C42" w14:textId="77777777" w:rsidR="00AC4204" w:rsidRPr="00BD646C" w:rsidRDefault="00AC4204" w:rsidP="001F79B0">
            <w:pPr>
              <w:rPr>
                <w:del w:id="13676" w:author="AbbVie1" w:date="2025-05-13T10:11:00Z"/>
                <w:szCs w:val="22"/>
                <w:lang w:val="pl-PL"/>
              </w:rPr>
            </w:pPr>
          </w:p>
        </w:tc>
      </w:tr>
      <w:tr w:rsidR="00534A2D" w14:paraId="2B9C3F2A" w14:textId="77777777" w:rsidTr="001F79B0">
        <w:trPr>
          <w:gridBefore w:val="1"/>
          <w:wBefore w:w="34" w:type="dxa"/>
          <w:del w:id="13677" w:author="AbbVie1" w:date="2025-05-13T10:11:00Z"/>
        </w:trPr>
        <w:tc>
          <w:tcPr>
            <w:tcW w:w="4644" w:type="dxa"/>
            <w:gridSpan w:val="2"/>
          </w:tcPr>
          <w:p w14:paraId="4E3AC264" w14:textId="77777777" w:rsidR="00AC4204" w:rsidRPr="00BD646C" w:rsidRDefault="00000000" w:rsidP="001F79B0">
            <w:pPr>
              <w:rPr>
                <w:del w:id="13678" w:author="AbbVie1" w:date="2025-05-13T10:11:00Z"/>
                <w:b/>
                <w:bCs/>
                <w:szCs w:val="22"/>
                <w:lang w:val="sk-SK"/>
              </w:rPr>
            </w:pPr>
            <w:del w:id="13679" w:author="AbbVie1" w:date="2025-05-13T10:11:00Z">
              <w:r w:rsidRPr="00BD646C">
                <w:rPr>
                  <w:b/>
                  <w:bCs/>
                  <w:szCs w:val="22"/>
                  <w:lang w:val="sk-SK"/>
                </w:rPr>
                <w:delText>Ireland</w:delText>
              </w:r>
            </w:del>
          </w:p>
          <w:p w14:paraId="3F4049B9" w14:textId="77777777" w:rsidR="00AC4204" w:rsidRPr="00BD646C" w:rsidRDefault="00000000" w:rsidP="001F79B0">
            <w:pPr>
              <w:rPr>
                <w:del w:id="13680" w:author="AbbVie1" w:date="2025-05-13T10:11:00Z"/>
                <w:bCs/>
                <w:szCs w:val="22"/>
                <w:lang w:val="sk-SK"/>
              </w:rPr>
            </w:pPr>
            <w:del w:id="13681" w:author="AbbVie1" w:date="2025-05-13T10:11:00Z">
              <w:r w:rsidRPr="00BD646C">
                <w:rPr>
                  <w:bCs/>
                  <w:szCs w:val="22"/>
                  <w:lang w:val="sk-SK"/>
                </w:rPr>
                <w:delText xml:space="preserve">AbbVie Limited </w:delText>
              </w:r>
            </w:del>
          </w:p>
          <w:p w14:paraId="20591E6B" w14:textId="77777777" w:rsidR="00AC4204" w:rsidRPr="00BD646C" w:rsidRDefault="00000000" w:rsidP="001F79B0">
            <w:pPr>
              <w:rPr>
                <w:del w:id="13682" w:author="AbbVie1" w:date="2025-05-13T10:11:00Z"/>
                <w:bCs/>
                <w:szCs w:val="22"/>
                <w:lang w:val="sk-SK"/>
              </w:rPr>
            </w:pPr>
            <w:del w:id="13683" w:author="AbbVie1" w:date="2025-05-13T10:11:00Z">
              <w:r w:rsidRPr="00BD646C">
                <w:rPr>
                  <w:bCs/>
                  <w:szCs w:val="22"/>
                  <w:lang w:val="pt-PT"/>
                </w:rPr>
                <w:delText>Tel: +353 (0)1 428790</w:delText>
              </w:r>
              <w:r w:rsidR="00C57483">
                <w:rPr>
                  <w:bCs/>
                  <w:szCs w:val="22"/>
                  <w:lang w:val="pt-PT"/>
                </w:rPr>
                <w:delText>0</w:delText>
              </w:r>
            </w:del>
          </w:p>
        </w:tc>
        <w:tc>
          <w:tcPr>
            <w:tcW w:w="4678" w:type="dxa"/>
          </w:tcPr>
          <w:p w14:paraId="15F0AB0B" w14:textId="77777777" w:rsidR="00AC4204" w:rsidRPr="00BD646C" w:rsidRDefault="00000000" w:rsidP="001F79B0">
            <w:pPr>
              <w:rPr>
                <w:del w:id="13684" w:author="AbbVie1" w:date="2025-05-13T10:11:00Z"/>
                <w:b/>
                <w:bCs/>
                <w:szCs w:val="22"/>
                <w:lang w:val="sl-SI"/>
              </w:rPr>
            </w:pPr>
            <w:del w:id="13685" w:author="AbbVie1" w:date="2025-05-13T10:11:00Z">
              <w:r w:rsidRPr="00BD646C">
                <w:rPr>
                  <w:b/>
                  <w:bCs/>
                  <w:szCs w:val="22"/>
                  <w:lang w:val="sl-SI"/>
                </w:rPr>
                <w:delText>Slovenija</w:delText>
              </w:r>
            </w:del>
          </w:p>
          <w:p w14:paraId="4CDE7300" w14:textId="77777777" w:rsidR="00AC4204" w:rsidRPr="00BD646C" w:rsidRDefault="00000000" w:rsidP="001F79B0">
            <w:pPr>
              <w:rPr>
                <w:del w:id="13686" w:author="AbbVie1" w:date="2025-05-13T10:11:00Z"/>
                <w:bCs/>
                <w:szCs w:val="22"/>
                <w:lang w:val="sl-SI"/>
              </w:rPr>
            </w:pPr>
            <w:del w:id="13687" w:author="AbbVie1" w:date="2025-05-13T10:11:00Z">
              <w:r w:rsidRPr="00BD646C">
                <w:rPr>
                  <w:bCs/>
                  <w:szCs w:val="22"/>
                  <w:lang w:val="sl-SI"/>
                </w:rPr>
                <w:delText xml:space="preserve">AbbVie </w:delText>
              </w:r>
              <w:r w:rsidRPr="00BD646C">
                <w:rPr>
                  <w:szCs w:val="22"/>
                  <w:lang w:val="sl-SI"/>
                </w:rPr>
                <w:delText>Biofarmacevtska družba d.o.o.</w:delText>
              </w:r>
            </w:del>
          </w:p>
          <w:p w14:paraId="0CEEB513" w14:textId="77777777" w:rsidR="00AC4204" w:rsidRPr="00BD646C" w:rsidRDefault="00000000" w:rsidP="001F79B0">
            <w:pPr>
              <w:rPr>
                <w:del w:id="13688" w:author="AbbVie1" w:date="2025-05-13T10:11:00Z"/>
                <w:bCs/>
                <w:szCs w:val="22"/>
                <w:lang w:val="sl-SI"/>
              </w:rPr>
            </w:pPr>
            <w:del w:id="13689" w:author="AbbVie1" w:date="2025-05-13T10:11:00Z">
              <w:r w:rsidRPr="00BD646C">
                <w:rPr>
                  <w:bCs/>
                  <w:szCs w:val="22"/>
                  <w:lang w:val="sl-SI"/>
                </w:rPr>
                <w:delText>Tel: +386 (1)32 08 060</w:delText>
              </w:r>
            </w:del>
          </w:p>
          <w:p w14:paraId="3CA546DC" w14:textId="77777777" w:rsidR="00AC4204" w:rsidRPr="00BD646C" w:rsidRDefault="00AC4204" w:rsidP="001F79B0">
            <w:pPr>
              <w:rPr>
                <w:del w:id="13690" w:author="AbbVie1" w:date="2025-05-13T10:11:00Z"/>
                <w:bCs/>
                <w:szCs w:val="22"/>
                <w:lang w:val="sl-SI"/>
              </w:rPr>
            </w:pPr>
          </w:p>
        </w:tc>
      </w:tr>
      <w:tr w:rsidR="00534A2D" w14:paraId="35FF37AE" w14:textId="77777777" w:rsidTr="001F79B0">
        <w:trPr>
          <w:gridBefore w:val="1"/>
          <w:wBefore w:w="34" w:type="dxa"/>
          <w:del w:id="13691" w:author="AbbVie1" w:date="2025-05-13T10:11:00Z"/>
        </w:trPr>
        <w:tc>
          <w:tcPr>
            <w:tcW w:w="4644" w:type="dxa"/>
            <w:gridSpan w:val="2"/>
          </w:tcPr>
          <w:p w14:paraId="242FEE8C" w14:textId="77777777" w:rsidR="00AC4204" w:rsidRPr="00BD646C" w:rsidRDefault="00000000" w:rsidP="001F79B0">
            <w:pPr>
              <w:rPr>
                <w:del w:id="13692" w:author="AbbVie1" w:date="2025-05-13T10:11:00Z"/>
                <w:b/>
                <w:bCs/>
                <w:szCs w:val="22"/>
                <w:lang w:val="is-IS"/>
              </w:rPr>
            </w:pPr>
            <w:del w:id="13693" w:author="AbbVie1" w:date="2025-05-13T10:11:00Z">
              <w:r w:rsidRPr="00BD646C">
                <w:rPr>
                  <w:b/>
                  <w:bCs/>
                  <w:szCs w:val="22"/>
                  <w:lang w:val="is-IS"/>
                </w:rPr>
                <w:delText>Ísland</w:delText>
              </w:r>
            </w:del>
          </w:p>
          <w:p w14:paraId="5DDF44DA" w14:textId="77777777" w:rsidR="00AC4204" w:rsidRPr="00BD646C" w:rsidRDefault="00000000" w:rsidP="001F79B0">
            <w:pPr>
              <w:rPr>
                <w:del w:id="13694" w:author="AbbVie1" w:date="2025-05-13T10:11:00Z"/>
                <w:bCs/>
                <w:szCs w:val="22"/>
                <w:lang w:val="sk-SK"/>
              </w:rPr>
            </w:pPr>
            <w:del w:id="13695" w:author="AbbVie1" w:date="2025-05-13T10:11:00Z">
              <w:r w:rsidRPr="00BD646C">
                <w:rPr>
                  <w:bCs/>
                  <w:szCs w:val="22"/>
                  <w:lang w:val="sk-SK"/>
                </w:rPr>
                <w:delText>Vistor hf.</w:delText>
              </w:r>
            </w:del>
          </w:p>
          <w:p w14:paraId="596150C9" w14:textId="77777777" w:rsidR="00AC4204" w:rsidRPr="00BD646C" w:rsidRDefault="00000000" w:rsidP="001F79B0">
            <w:pPr>
              <w:rPr>
                <w:del w:id="13696" w:author="AbbVie1" w:date="2025-05-13T10:11:00Z"/>
                <w:bCs/>
                <w:szCs w:val="22"/>
                <w:lang w:val="sk-SK"/>
              </w:rPr>
            </w:pPr>
            <w:del w:id="13697" w:author="AbbVie1" w:date="2025-05-13T10:11:00Z">
              <w:r w:rsidRPr="00BD646C">
                <w:rPr>
                  <w:bCs/>
                  <w:szCs w:val="22"/>
                  <w:lang w:val="sk-SK"/>
                </w:rPr>
                <w:delText>Tel: +354 535 7000</w:delText>
              </w:r>
            </w:del>
          </w:p>
        </w:tc>
        <w:tc>
          <w:tcPr>
            <w:tcW w:w="4678" w:type="dxa"/>
          </w:tcPr>
          <w:p w14:paraId="056516F3" w14:textId="77777777" w:rsidR="00AC4204" w:rsidRPr="00BD646C" w:rsidRDefault="00000000" w:rsidP="001F79B0">
            <w:pPr>
              <w:rPr>
                <w:del w:id="13698" w:author="AbbVie1" w:date="2025-05-13T10:11:00Z"/>
                <w:b/>
                <w:bCs/>
                <w:szCs w:val="22"/>
                <w:lang w:val="sk-SK"/>
              </w:rPr>
            </w:pPr>
            <w:del w:id="13699" w:author="AbbVie1" w:date="2025-05-13T10:11:00Z">
              <w:r w:rsidRPr="00BD646C">
                <w:rPr>
                  <w:b/>
                  <w:bCs/>
                  <w:szCs w:val="22"/>
                  <w:lang w:val="sk-SK"/>
                </w:rPr>
                <w:delText>Slovenská republika</w:delText>
              </w:r>
            </w:del>
          </w:p>
          <w:p w14:paraId="122E1949" w14:textId="77777777" w:rsidR="00AC4204" w:rsidRPr="00BD646C" w:rsidRDefault="00000000" w:rsidP="001F79B0">
            <w:pPr>
              <w:rPr>
                <w:del w:id="13700" w:author="AbbVie1" w:date="2025-05-13T10:11:00Z"/>
                <w:bCs/>
                <w:szCs w:val="22"/>
                <w:lang w:val="sk-SK"/>
              </w:rPr>
            </w:pPr>
            <w:del w:id="13701" w:author="AbbVie1" w:date="2025-05-13T10:11:00Z">
              <w:r w:rsidRPr="00BD646C">
                <w:rPr>
                  <w:bCs/>
                  <w:szCs w:val="22"/>
                  <w:lang w:val="sk-SK"/>
                </w:rPr>
                <w:delText>AbbVie s.r.o.</w:delText>
              </w:r>
            </w:del>
          </w:p>
          <w:p w14:paraId="0D8CB10E" w14:textId="77777777" w:rsidR="00AC4204" w:rsidRPr="00BD646C" w:rsidRDefault="00000000" w:rsidP="001F79B0">
            <w:pPr>
              <w:rPr>
                <w:del w:id="13702" w:author="AbbVie1" w:date="2025-05-13T10:11:00Z"/>
                <w:bCs/>
                <w:szCs w:val="22"/>
                <w:lang w:val="sk-SK"/>
              </w:rPr>
            </w:pPr>
            <w:del w:id="13703" w:author="AbbVie1" w:date="2025-05-13T10:11:00Z">
              <w:r w:rsidRPr="00BD646C">
                <w:rPr>
                  <w:bCs/>
                  <w:szCs w:val="22"/>
                  <w:lang w:val="sk-SK"/>
                </w:rPr>
                <w:delText>Tel: +421 2 5050 0777</w:delText>
              </w:r>
            </w:del>
          </w:p>
          <w:p w14:paraId="69712E04" w14:textId="77777777" w:rsidR="00AC4204" w:rsidRPr="00BD646C" w:rsidRDefault="00AC4204" w:rsidP="001F79B0">
            <w:pPr>
              <w:rPr>
                <w:del w:id="13704" w:author="AbbVie1" w:date="2025-05-13T10:11:00Z"/>
                <w:bCs/>
                <w:szCs w:val="22"/>
                <w:lang w:val="sk-SK"/>
              </w:rPr>
            </w:pPr>
          </w:p>
        </w:tc>
      </w:tr>
      <w:tr w:rsidR="00534A2D" w14:paraId="641A5DC6" w14:textId="77777777" w:rsidTr="001F79B0">
        <w:trPr>
          <w:gridBefore w:val="1"/>
          <w:wBefore w:w="34" w:type="dxa"/>
          <w:del w:id="13705" w:author="AbbVie1" w:date="2025-05-13T10:11:00Z"/>
        </w:trPr>
        <w:tc>
          <w:tcPr>
            <w:tcW w:w="4644" w:type="dxa"/>
            <w:gridSpan w:val="2"/>
          </w:tcPr>
          <w:p w14:paraId="1B07DB17" w14:textId="77777777" w:rsidR="00AC4204" w:rsidRPr="005B1CF3" w:rsidRDefault="00000000" w:rsidP="001F79B0">
            <w:pPr>
              <w:rPr>
                <w:del w:id="13706" w:author="AbbVie1" w:date="2025-05-13T10:11:00Z"/>
                <w:b/>
                <w:bCs/>
                <w:szCs w:val="22"/>
                <w:rPrChange w:id="13707" w:author="Abbvie02" w:date="2025-05-16T11:16:00Z">
                  <w:rPr>
                    <w:del w:id="13708" w:author="AbbVie1" w:date="2025-05-13T10:11:00Z"/>
                    <w:b/>
                    <w:bCs/>
                    <w:szCs w:val="22"/>
                    <w:lang w:val="it-IT"/>
                  </w:rPr>
                </w:rPrChange>
              </w:rPr>
            </w:pPr>
            <w:del w:id="13709" w:author="AbbVie1" w:date="2025-05-13T10:11:00Z">
              <w:r w:rsidRPr="005B1CF3">
                <w:rPr>
                  <w:b/>
                  <w:bCs/>
                  <w:szCs w:val="22"/>
                  <w:rPrChange w:id="13710" w:author="Abbvie02" w:date="2025-05-16T11:16:00Z">
                    <w:rPr>
                      <w:b/>
                      <w:bCs/>
                      <w:szCs w:val="22"/>
                      <w:lang w:val="it-IT"/>
                    </w:rPr>
                  </w:rPrChange>
                </w:rPr>
                <w:delText>Italia</w:delText>
              </w:r>
            </w:del>
          </w:p>
          <w:p w14:paraId="176CC2C5" w14:textId="77777777" w:rsidR="00AC4204" w:rsidRPr="00BD646C" w:rsidRDefault="00000000" w:rsidP="001F79B0">
            <w:pPr>
              <w:rPr>
                <w:del w:id="13711" w:author="AbbVie1" w:date="2025-05-13T10:11:00Z"/>
                <w:bCs/>
                <w:szCs w:val="22"/>
                <w:lang w:val="pt-PT"/>
              </w:rPr>
            </w:pPr>
            <w:del w:id="13712" w:author="AbbVie1" w:date="2025-05-13T10:11:00Z">
              <w:r w:rsidRPr="00BD646C">
                <w:rPr>
                  <w:bCs/>
                  <w:szCs w:val="22"/>
                  <w:lang w:val="pt-PT"/>
                </w:rPr>
                <w:delText xml:space="preserve">AbbVie S.r.l. </w:delText>
              </w:r>
            </w:del>
          </w:p>
          <w:p w14:paraId="4278C8FF" w14:textId="77777777" w:rsidR="00AC4204" w:rsidRPr="00BD646C" w:rsidRDefault="00000000" w:rsidP="001F79B0">
            <w:pPr>
              <w:rPr>
                <w:del w:id="13713" w:author="AbbVie1" w:date="2025-05-13T10:11:00Z"/>
                <w:bCs/>
                <w:szCs w:val="22"/>
                <w:lang w:val="fi-FI"/>
              </w:rPr>
            </w:pPr>
            <w:del w:id="13714" w:author="AbbVie1" w:date="2025-05-13T10:11:00Z">
              <w:r w:rsidRPr="00BD646C">
                <w:rPr>
                  <w:bCs/>
                  <w:szCs w:val="22"/>
                  <w:lang w:val="fr-FR"/>
                </w:rPr>
                <w:delText>Tel: +39 06 928921</w:delText>
              </w:r>
            </w:del>
          </w:p>
        </w:tc>
        <w:tc>
          <w:tcPr>
            <w:tcW w:w="4678" w:type="dxa"/>
          </w:tcPr>
          <w:p w14:paraId="2EC3B8C7" w14:textId="77777777" w:rsidR="00AC4204" w:rsidRPr="00BD646C" w:rsidRDefault="00000000" w:rsidP="001F79B0">
            <w:pPr>
              <w:rPr>
                <w:del w:id="13715" w:author="AbbVie1" w:date="2025-05-13T10:11:00Z"/>
                <w:b/>
                <w:bCs/>
                <w:szCs w:val="22"/>
                <w:lang w:val="fi-FI"/>
              </w:rPr>
            </w:pPr>
            <w:del w:id="13716" w:author="AbbVie1" w:date="2025-05-13T10:11:00Z">
              <w:r w:rsidRPr="00BD646C">
                <w:rPr>
                  <w:b/>
                  <w:bCs/>
                  <w:szCs w:val="22"/>
                  <w:lang w:val="fi-FI"/>
                </w:rPr>
                <w:delText>Suomi/Finland</w:delText>
              </w:r>
            </w:del>
          </w:p>
          <w:p w14:paraId="2594717A" w14:textId="77777777" w:rsidR="00AC4204" w:rsidRPr="00BD646C" w:rsidRDefault="00000000" w:rsidP="001F79B0">
            <w:pPr>
              <w:rPr>
                <w:del w:id="13717" w:author="AbbVie1" w:date="2025-05-13T10:11:00Z"/>
                <w:bCs/>
                <w:szCs w:val="22"/>
                <w:lang w:val="de-CH"/>
              </w:rPr>
            </w:pPr>
            <w:del w:id="13718" w:author="AbbVie1" w:date="2025-05-13T10:11:00Z">
              <w:r w:rsidRPr="00BD646C">
                <w:rPr>
                  <w:bCs/>
                  <w:szCs w:val="22"/>
                  <w:lang w:val="sk-SK"/>
                </w:rPr>
                <w:delText>AbbVie Oy</w:delText>
              </w:r>
            </w:del>
          </w:p>
          <w:p w14:paraId="4AD21E3A" w14:textId="77777777" w:rsidR="00AC4204" w:rsidRPr="00BD646C" w:rsidRDefault="00000000" w:rsidP="001F79B0">
            <w:pPr>
              <w:rPr>
                <w:del w:id="13719" w:author="AbbVie1" w:date="2025-05-13T10:11:00Z"/>
                <w:bCs/>
                <w:szCs w:val="22"/>
                <w:lang w:val="sk-SK"/>
              </w:rPr>
            </w:pPr>
            <w:del w:id="13720" w:author="AbbVie1" w:date="2025-05-13T10:11:00Z">
              <w:r w:rsidRPr="00BD646C">
                <w:rPr>
                  <w:bCs/>
                  <w:szCs w:val="22"/>
                  <w:lang w:val="sk-SK"/>
                </w:rPr>
                <w:delText>Puh/Tel: +358 (0)10 2411 200</w:delText>
              </w:r>
            </w:del>
          </w:p>
          <w:p w14:paraId="79DE66CA" w14:textId="77777777" w:rsidR="00AC4204" w:rsidRPr="00BD646C" w:rsidRDefault="00AC4204" w:rsidP="001F79B0">
            <w:pPr>
              <w:rPr>
                <w:del w:id="13721" w:author="AbbVie1" w:date="2025-05-13T10:11:00Z"/>
                <w:szCs w:val="22"/>
                <w:lang w:val="sk-SK"/>
              </w:rPr>
            </w:pPr>
          </w:p>
        </w:tc>
      </w:tr>
      <w:tr w:rsidR="00534A2D" w14:paraId="5C4CF068" w14:textId="77777777" w:rsidTr="001F79B0">
        <w:trPr>
          <w:gridBefore w:val="1"/>
          <w:wBefore w:w="34" w:type="dxa"/>
          <w:cantSplit/>
          <w:trHeight w:val="887"/>
          <w:del w:id="13722" w:author="AbbVie1" w:date="2025-05-13T10:11:00Z"/>
        </w:trPr>
        <w:tc>
          <w:tcPr>
            <w:tcW w:w="4644" w:type="dxa"/>
            <w:gridSpan w:val="2"/>
          </w:tcPr>
          <w:p w14:paraId="628C61A6" w14:textId="77777777" w:rsidR="00AC4204" w:rsidRPr="00BD646C" w:rsidRDefault="00000000" w:rsidP="001F79B0">
            <w:pPr>
              <w:rPr>
                <w:del w:id="13723" w:author="AbbVie1" w:date="2025-05-13T10:11:00Z"/>
                <w:b/>
                <w:bCs/>
                <w:szCs w:val="22"/>
                <w:lang w:val="el-GR"/>
              </w:rPr>
            </w:pPr>
            <w:del w:id="13724" w:author="AbbVie1" w:date="2025-05-13T10:11:00Z">
              <w:r w:rsidRPr="00BD646C">
                <w:rPr>
                  <w:b/>
                  <w:bCs/>
                  <w:szCs w:val="22"/>
                  <w:lang w:val="el-GR"/>
                </w:rPr>
                <w:delText>Κύπρος</w:delText>
              </w:r>
            </w:del>
          </w:p>
          <w:p w14:paraId="3E8B0CA6" w14:textId="77777777" w:rsidR="00AC4204" w:rsidRPr="00BD646C" w:rsidRDefault="00000000" w:rsidP="001F79B0">
            <w:pPr>
              <w:rPr>
                <w:del w:id="13725" w:author="AbbVie1" w:date="2025-05-13T10:11:00Z"/>
                <w:bCs/>
                <w:szCs w:val="22"/>
                <w:lang w:val="el-GR"/>
              </w:rPr>
            </w:pPr>
            <w:del w:id="13726" w:author="AbbVie1" w:date="2025-05-13T10:11:00Z">
              <w:r w:rsidRPr="00BD646C">
                <w:rPr>
                  <w:bCs/>
                  <w:szCs w:val="22"/>
                  <w:lang w:val="sk-SK"/>
                </w:rPr>
                <w:delText xml:space="preserve">Lifepharma (Z.A.M.) </w:delText>
              </w:r>
              <w:r w:rsidRPr="005B1CF3">
                <w:rPr>
                  <w:bCs/>
                  <w:szCs w:val="22"/>
                  <w:rPrChange w:id="13727" w:author="Abbvie02" w:date="2025-05-16T11:16:00Z">
                    <w:rPr>
                      <w:bCs/>
                      <w:szCs w:val="22"/>
                      <w:lang w:val="it-IT"/>
                    </w:rPr>
                  </w:rPrChange>
                </w:rPr>
                <w:delText>Ltd</w:delText>
              </w:r>
            </w:del>
          </w:p>
          <w:p w14:paraId="777112FE" w14:textId="77777777" w:rsidR="00AC4204" w:rsidRPr="00BD646C" w:rsidRDefault="00000000" w:rsidP="001F79B0">
            <w:pPr>
              <w:rPr>
                <w:del w:id="13728" w:author="AbbVie1" w:date="2025-05-13T10:11:00Z"/>
                <w:bCs/>
                <w:szCs w:val="22"/>
                <w:lang w:val="lv-LV"/>
              </w:rPr>
            </w:pPr>
            <w:del w:id="13729" w:author="AbbVie1" w:date="2025-05-13T10:11:00Z">
              <w:r w:rsidRPr="00BD646C">
                <w:rPr>
                  <w:bCs/>
                  <w:szCs w:val="22"/>
                  <w:lang w:val="el-GR"/>
                </w:rPr>
                <w:delText>Τηλ.: +357 22 34 74 40</w:delText>
              </w:r>
            </w:del>
          </w:p>
        </w:tc>
        <w:tc>
          <w:tcPr>
            <w:tcW w:w="4678" w:type="dxa"/>
          </w:tcPr>
          <w:p w14:paraId="47F2A08B" w14:textId="77777777" w:rsidR="00AC4204" w:rsidRPr="00BD646C" w:rsidRDefault="00000000" w:rsidP="001F79B0">
            <w:pPr>
              <w:rPr>
                <w:del w:id="13730" w:author="AbbVie1" w:date="2025-05-13T10:11:00Z"/>
                <w:b/>
                <w:bCs/>
                <w:szCs w:val="22"/>
                <w:lang w:val="sk-SK"/>
              </w:rPr>
            </w:pPr>
            <w:del w:id="13731" w:author="AbbVie1" w:date="2025-05-13T10:11:00Z">
              <w:r w:rsidRPr="00BD646C">
                <w:rPr>
                  <w:b/>
                  <w:bCs/>
                  <w:szCs w:val="22"/>
                  <w:lang w:val="sk-SK"/>
                </w:rPr>
                <w:delText>Sverige</w:delText>
              </w:r>
            </w:del>
          </w:p>
          <w:p w14:paraId="4205E184" w14:textId="77777777" w:rsidR="00AC4204" w:rsidRPr="00BD646C" w:rsidRDefault="00000000" w:rsidP="001F79B0">
            <w:pPr>
              <w:rPr>
                <w:del w:id="13732" w:author="AbbVie1" w:date="2025-05-13T10:11:00Z"/>
                <w:bCs/>
                <w:szCs w:val="22"/>
                <w:lang w:val="pt-PT"/>
              </w:rPr>
            </w:pPr>
            <w:del w:id="13733" w:author="AbbVie1" w:date="2025-05-13T10:11:00Z">
              <w:r w:rsidRPr="00BD646C">
                <w:rPr>
                  <w:bCs/>
                  <w:szCs w:val="22"/>
                  <w:lang w:val="pt-PT"/>
                </w:rPr>
                <w:delText>AbbVie AB</w:delText>
              </w:r>
            </w:del>
          </w:p>
          <w:p w14:paraId="76A969CE" w14:textId="77777777" w:rsidR="00AC4204" w:rsidRPr="00BD646C" w:rsidRDefault="00000000" w:rsidP="001F79B0">
            <w:pPr>
              <w:rPr>
                <w:del w:id="13734" w:author="AbbVie1" w:date="2025-05-13T10:11:00Z"/>
                <w:bCs/>
                <w:szCs w:val="22"/>
                <w:lang w:val="sk-SK"/>
              </w:rPr>
            </w:pPr>
            <w:del w:id="13735" w:author="AbbVie1" w:date="2025-05-13T10:11:00Z">
              <w:r w:rsidRPr="00BD646C">
                <w:rPr>
                  <w:bCs/>
                  <w:szCs w:val="22"/>
                  <w:lang w:val="da-DK"/>
                </w:rPr>
                <w:delText>Tel: +46 (0)8 684 44 600</w:delText>
              </w:r>
            </w:del>
          </w:p>
        </w:tc>
      </w:tr>
      <w:tr w:rsidR="00534A2D" w14:paraId="16646826" w14:textId="77777777" w:rsidTr="001F79B0">
        <w:trPr>
          <w:gridBefore w:val="1"/>
          <w:wBefore w:w="34" w:type="dxa"/>
          <w:cantSplit/>
          <w:trHeight w:val="761"/>
          <w:del w:id="13736" w:author="AbbVie1" w:date="2025-05-13T10:11:00Z"/>
        </w:trPr>
        <w:tc>
          <w:tcPr>
            <w:tcW w:w="4644" w:type="dxa"/>
            <w:gridSpan w:val="2"/>
          </w:tcPr>
          <w:p w14:paraId="0EAFA744" w14:textId="77777777" w:rsidR="00AC4204" w:rsidRPr="00BD646C" w:rsidRDefault="00000000" w:rsidP="001F79B0">
            <w:pPr>
              <w:rPr>
                <w:del w:id="13737" w:author="AbbVie1" w:date="2025-05-13T10:11:00Z"/>
                <w:b/>
                <w:bCs/>
                <w:szCs w:val="22"/>
                <w:lang w:val="lv-LV"/>
              </w:rPr>
            </w:pPr>
            <w:del w:id="13738" w:author="AbbVie1" w:date="2025-05-13T10:11:00Z">
              <w:r w:rsidRPr="00BD646C">
                <w:rPr>
                  <w:b/>
                  <w:bCs/>
                  <w:szCs w:val="22"/>
                  <w:lang w:val="lv-LV"/>
                </w:rPr>
                <w:delText>Latvija</w:delText>
              </w:r>
            </w:del>
          </w:p>
          <w:p w14:paraId="03B09B3F" w14:textId="77777777" w:rsidR="00AC4204" w:rsidRPr="00BD646C" w:rsidRDefault="00000000" w:rsidP="001F79B0">
            <w:pPr>
              <w:rPr>
                <w:del w:id="13739" w:author="AbbVie1" w:date="2025-05-13T10:11:00Z"/>
                <w:bCs/>
                <w:szCs w:val="22"/>
                <w:lang w:val="lv-LV"/>
              </w:rPr>
            </w:pPr>
            <w:del w:id="13740" w:author="AbbVie1" w:date="2025-05-13T10:11:00Z">
              <w:r w:rsidRPr="00BD646C">
                <w:rPr>
                  <w:bCs/>
                  <w:szCs w:val="22"/>
                  <w:lang w:val="lv-LV"/>
                </w:rPr>
                <w:delText xml:space="preserve">AbbVie SIA </w:delText>
              </w:r>
            </w:del>
          </w:p>
          <w:p w14:paraId="29407490" w14:textId="77777777" w:rsidR="00AC4204" w:rsidRPr="00BD646C" w:rsidRDefault="00000000" w:rsidP="001F79B0">
            <w:pPr>
              <w:rPr>
                <w:del w:id="13741" w:author="AbbVie1" w:date="2025-05-13T10:11:00Z"/>
                <w:bCs/>
                <w:szCs w:val="22"/>
                <w:lang w:val="lv-LV"/>
              </w:rPr>
            </w:pPr>
            <w:del w:id="13742" w:author="AbbVie1" w:date="2025-05-13T10:11:00Z">
              <w:r w:rsidRPr="00BD646C">
                <w:rPr>
                  <w:bCs/>
                  <w:szCs w:val="22"/>
                  <w:lang w:val="lv-LV"/>
                </w:rPr>
                <w:delText>Tel: +371 67605000</w:delText>
              </w:r>
            </w:del>
          </w:p>
        </w:tc>
        <w:tc>
          <w:tcPr>
            <w:tcW w:w="4678" w:type="dxa"/>
          </w:tcPr>
          <w:p w14:paraId="28C48664" w14:textId="77777777" w:rsidR="00AC4204" w:rsidRPr="00BD646C" w:rsidRDefault="00AC4204" w:rsidP="001F79B0">
            <w:pPr>
              <w:rPr>
                <w:del w:id="13743" w:author="AbbVie1" w:date="2025-05-13T10:11:00Z"/>
                <w:b/>
                <w:bCs/>
                <w:szCs w:val="22"/>
                <w:lang w:val="sk-SK"/>
              </w:rPr>
            </w:pPr>
          </w:p>
        </w:tc>
      </w:tr>
    </w:tbl>
    <w:p w14:paraId="24FC27AA" w14:textId="77777777" w:rsidR="000E3758" w:rsidRPr="001B4A02" w:rsidRDefault="000E3758" w:rsidP="007930C0">
      <w:pPr>
        <w:ind w:left="0" w:firstLine="0"/>
        <w:rPr>
          <w:del w:id="13744" w:author="AbbVie1" w:date="2025-05-13T10:11:00Z"/>
        </w:rPr>
      </w:pPr>
    </w:p>
    <w:p w14:paraId="788A5E86" w14:textId="77777777" w:rsidR="00073F8F" w:rsidRPr="001B4A02" w:rsidRDefault="00000000" w:rsidP="007930C0">
      <w:pPr>
        <w:ind w:left="0" w:firstLine="0"/>
        <w:rPr>
          <w:del w:id="13745" w:author="AbbVie1" w:date="2025-05-13T10:11:00Z"/>
          <w:b/>
        </w:rPr>
      </w:pPr>
      <w:del w:id="13746" w:author="AbbVie1" w:date="2025-05-13T10:11:00Z">
        <w:r w:rsidRPr="001B4A02">
          <w:rPr>
            <w:b/>
          </w:rPr>
          <w:delText xml:space="preserve">Tato příbalová informace byla naposledy </w:delText>
        </w:r>
        <w:r w:rsidR="00986502" w:rsidRPr="001B4A02">
          <w:rPr>
            <w:b/>
          </w:rPr>
          <w:delText>revidována</w:delText>
        </w:r>
        <w:r w:rsidR="00F75DA8" w:rsidRPr="001B4A02">
          <w:rPr>
            <w:b/>
          </w:rPr>
          <w:delText xml:space="preserve"> v</w:delText>
        </w:r>
        <w:r w:rsidR="00CD59CE">
          <w:rPr>
            <w:b/>
          </w:rPr>
          <w:delText> </w:delText>
        </w:r>
      </w:del>
    </w:p>
    <w:p w14:paraId="6F593C9A" w14:textId="77777777" w:rsidR="00361B67" w:rsidRPr="001B4A02" w:rsidRDefault="00361B67" w:rsidP="007930C0">
      <w:pPr>
        <w:ind w:left="0" w:firstLine="0"/>
        <w:rPr>
          <w:del w:id="13747" w:author="AbbVie1" w:date="2025-05-13T10:11:00Z"/>
        </w:rPr>
      </w:pPr>
    </w:p>
    <w:p w14:paraId="4D76DEF3" w14:textId="77777777" w:rsidR="003A279D" w:rsidRPr="001B4A02" w:rsidRDefault="00000000" w:rsidP="007930C0">
      <w:pPr>
        <w:ind w:left="0" w:firstLine="0"/>
        <w:rPr>
          <w:del w:id="13748" w:author="AbbVie1" w:date="2025-05-13T10:11:00Z"/>
        </w:rPr>
      </w:pPr>
      <w:del w:id="13749" w:author="AbbVie1" w:date="2025-05-13T10:11:00Z">
        <w:r w:rsidRPr="001B4A02">
          <w:delText>Podrobné informace o</w:delText>
        </w:r>
        <w:r w:rsidR="007930C0" w:rsidRPr="001B4A02">
          <w:delText> </w:delText>
        </w:r>
        <w:r w:rsidRPr="001B4A02">
          <w:delText>tomto léčivém přípravku jsou k</w:delText>
        </w:r>
        <w:r w:rsidR="007930C0" w:rsidRPr="001B4A02">
          <w:delText> </w:delText>
        </w:r>
        <w:r w:rsidRPr="001B4A02">
          <w:delText xml:space="preserve">dispozici na webových stránkách Evropské agentury pro léčivé přípravky </w:delText>
        </w:r>
        <w:r w:rsidR="00E72527">
          <w:fldChar w:fldCharType="begin"/>
        </w:r>
        <w:r w:rsidR="00E72527">
          <w:delInstrText>HYPERLINK "http://www.ema.europa.eu"</w:delInstrText>
        </w:r>
        <w:r w:rsidR="00E72527">
          <w:fldChar w:fldCharType="separate"/>
        </w:r>
        <w:r w:rsidR="00E72527" w:rsidRPr="001B4A02">
          <w:delText>http://www.ema.europa.eu</w:delText>
        </w:r>
        <w:r w:rsidR="00E72527">
          <w:fldChar w:fldCharType="end"/>
        </w:r>
        <w:r w:rsidRPr="001B4A02">
          <w:delText>.</w:delText>
        </w:r>
      </w:del>
    </w:p>
    <w:p w14:paraId="6453E59E" w14:textId="77777777" w:rsidR="00F6282C" w:rsidRPr="001B4A02" w:rsidRDefault="00F6282C" w:rsidP="007930C0">
      <w:pPr>
        <w:ind w:left="0" w:firstLine="0"/>
        <w:rPr>
          <w:del w:id="13750" w:author="AbbVie1" w:date="2025-05-13T10:11:00Z"/>
        </w:rPr>
      </w:pPr>
    </w:p>
    <w:p w14:paraId="019CDA55" w14:textId="77777777" w:rsidR="00D2784C" w:rsidRPr="001B4A02" w:rsidRDefault="00000000" w:rsidP="007930C0">
      <w:pPr>
        <w:ind w:left="0" w:firstLine="0"/>
        <w:rPr>
          <w:del w:id="13751" w:author="AbbVie1" w:date="2025-05-13T10:11:00Z"/>
          <w:b/>
          <w:color w:val="000000"/>
        </w:rPr>
      </w:pPr>
      <w:del w:id="13752" w:author="AbbVie1" w:date="2025-05-13T10:11:00Z">
        <w:r w:rsidRPr="001B4A02">
          <w:rPr>
            <w:b/>
            <w:bCs/>
            <w:color w:val="000000"/>
          </w:rPr>
          <w:delText>Chcete-li si tuto příbalovou informaci poslechnout, nebo chcete-li si vyžádat její kopii v Braillově písmu, velkým tiskem nebo ve formě audionahrávky,</w:delText>
        </w:r>
        <w:r w:rsidRPr="001B4A02">
          <w:rPr>
            <w:b/>
            <w:color w:val="000000"/>
          </w:rPr>
          <w:delText xml:space="preserve"> kontaktujte místního zástupce držitele rozhodnutí o registraci.</w:delText>
        </w:r>
      </w:del>
    </w:p>
    <w:p w14:paraId="7970B2FC" w14:textId="77777777" w:rsidR="00D80CCA" w:rsidRPr="001B4A02" w:rsidRDefault="00000000" w:rsidP="00D80CCA">
      <w:pPr>
        <w:ind w:left="0" w:firstLine="0"/>
        <w:jc w:val="center"/>
      </w:pPr>
      <w:del w:id="13753" w:author="AbbVie1" w:date="2025-05-13T10:11:00Z">
        <w:r w:rsidRPr="001B4A02">
          <w:br w:type="page"/>
        </w:r>
      </w:del>
      <w:bookmarkStart w:id="13754" w:name="_Hlk73709795"/>
      <w:r w:rsidRPr="001B4A02">
        <w:rPr>
          <w:b/>
        </w:rPr>
        <w:t>Příbalová informace: informace pro pacienta</w:t>
      </w:r>
    </w:p>
    <w:p w14:paraId="738F7205" w14:textId="77777777" w:rsidR="00D80CCA" w:rsidRPr="001B4A02" w:rsidRDefault="00D80CCA" w:rsidP="00D80CCA">
      <w:pPr>
        <w:ind w:left="0" w:firstLine="0"/>
        <w:jc w:val="center"/>
      </w:pPr>
    </w:p>
    <w:bookmarkEnd w:id="13754"/>
    <w:p w14:paraId="61161496" w14:textId="77777777" w:rsidR="00D80CCA" w:rsidRPr="001B4A02" w:rsidRDefault="00000000" w:rsidP="004B14C0">
      <w:pPr>
        <w:ind w:left="0" w:firstLine="0"/>
        <w:jc w:val="center"/>
        <w:outlineLvl w:val="0"/>
      </w:pPr>
      <w:r w:rsidRPr="001B4A02">
        <w:rPr>
          <w:b/>
        </w:rPr>
        <w:t>Humira 40 mg injekční roztok v předplněné injekční stříkačce</w:t>
      </w:r>
    </w:p>
    <w:p w14:paraId="2720B88D" w14:textId="77777777" w:rsidR="00D80CCA" w:rsidRPr="001B4A02" w:rsidRDefault="00000000" w:rsidP="00D80CCA">
      <w:pPr>
        <w:ind w:left="0" w:firstLine="0"/>
        <w:jc w:val="center"/>
        <w:rPr>
          <w:bCs/>
        </w:rPr>
      </w:pPr>
      <w:r w:rsidRPr="001B4A02">
        <w:rPr>
          <w:bCs/>
        </w:rPr>
        <w:t>adalimumab</w:t>
      </w:r>
      <w:del w:id="13755" w:author="Abbvie02" w:date="2025-05-16T11:51:00Z">
        <w:r w:rsidRPr="001B4A02">
          <w:rPr>
            <w:bCs/>
          </w:rPr>
          <w:delText>um</w:delText>
        </w:r>
      </w:del>
    </w:p>
    <w:p w14:paraId="2D54CEF1" w14:textId="77777777" w:rsidR="00D80CCA" w:rsidRPr="001B4A02" w:rsidRDefault="00D80CCA" w:rsidP="00D80CCA">
      <w:pPr>
        <w:ind w:left="0" w:firstLine="0"/>
      </w:pPr>
    </w:p>
    <w:p w14:paraId="2993C599" w14:textId="77777777" w:rsidR="00D80CCA" w:rsidRPr="001B4A02" w:rsidRDefault="00000000" w:rsidP="00D80CCA">
      <w:pPr>
        <w:ind w:left="0" w:firstLine="0"/>
      </w:pPr>
      <w:r w:rsidRPr="001B4A02">
        <w:rPr>
          <w:b/>
        </w:rPr>
        <w:t>Přečtěte si pozorně celou příbalovou informaci dříve, než začnete tento přípravek používat, protože obsahuje pro Vás důležité údaje.</w:t>
      </w:r>
    </w:p>
    <w:p w14:paraId="25105474" w14:textId="77777777" w:rsidR="00D80CCA" w:rsidRPr="001B4A02" w:rsidRDefault="00000000" w:rsidP="00D80CCA">
      <w:r w:rsidRPr="001B4A02">
        <w:t>-</w:t>
      </w:r>
      <w:r w:rsidRPr="001B4A02">
        <w:tab/>
        <w:t>Ponechte si příbalovou informaci pro případ, že si ji budete potřebovat přečíst znovu.</w:t>
      </w:r>
    </w:p>
    <w:p w14:paraId="7E849FC2" w14:textId="77777777" w:rsidR="00D80CCA" w:rsidRPr="001B4A02" w:rsidRDefault="00000000" w:rsidP="00D80CCA">
      <w:r w:rsidRPr="001B4A02">
        <w:t>-</w:t>
      </w:r>
      <w:r w:rsidRPr="001B4A02">
        <w:tab/>
        <w:t xml:space="preserve">Váš lékař Vám rovněž vydá </w:t>
      </w:r>
      <w:r w:rsidRPr="001B4A02">
        <w:rPr>
          <w:b/>
        </w:rPr>
        <w:t>informační kartičku</w:t>
      </w:r>
      <w:r w:rsidRPr="001B4A02">
        <w:t>, která obsahuje důležité bezpečnostní informace, se kterými musíte být seznámen(a) před zahájením léčby přípravkem Humira</w:t>
      </w:r>
      <w:r w:rsidR="002378E0">
        <w:t xml:space="preserve"> a </w:t>
      </w:r>
      <w:r w:rsidRPr="001B4A02">
        <w:t xml:space="preserve">během léčby tímto lékem. Mějte tuto </w:t>
      </w:r>
      <w:r w:rsidRPr="001B4A02">
        <w:rPr>
          <w:b/>
        </w:rPr>
        <w:t>informační kartičku</w:t>
      </w:r>
      <w:r w:rsidRPr="001B4A02">
        <w:t xml:space="preserve"> vždy při sobě.</w:t>
      </w:r>
    </w:p>
    <w:p w14:paraId="40F1C977" w14:textId="77777777" w:rsidR="00D80CCA" w:rsidRPr="001B4A02" w:rsidRDefault="00000000" w:rsidP="00D80CCA">
      <w:r w:rsidRPr="001B4A02">
        <w:t>-</w:t>
      </w:r>
      <w:r w:rsidRPr="001B4A02">
        <w:tab/>
        <w:t>Máte-li jakékoli otázky, zeptejte se svého lékaře nebo lékárníka.</w:t>
      </w:r>
    </w:p>
    <w:p w14:paraId="16CABAF7" w14:textId="77777777" w:rsidR="00D80CCA" w:rsidRPr="001B4A02" w:rsidRDefault="00000000" w:rsidP="00D80CCA">
      <w:pPr>
        <w:numPr>
          <w:ilvl w:val="0"/>
          <w:numId w:val="1"/>
        </w:numPr>
        <w:ind w:left="567" w:hanging="567"/>
      </w:pPr>
      <w:r w:rsidRPr="001B4A02">
        <w:t>Tento přípravek byl předepsán výhradně Vám. Nedávejte jej žádné další osobě. Mohl by jí ublížit,</w:t>
      </w:r>
      <w:r w:rsidR="002378E0">
        <w:t xml:space="preserve"> a </w:t>
      </w:r>
      <w:r w:rsidRPr="001B4A02">
        <w:t>to i tehdy, má-li stejné známky onemocnění jako Vy.</w:t>
      </w:r>
    </w:p>
    <w:p w14:paraId="7A735C4F" w14:textId="77777777" w:rsidR="00D80CCA" w:rsidRPr="001B4A02" w:rsidRDefault="00000000" w:rsidP="00D80CCA">
      <w:pPr>
        <w:numPr>
          <w:ilvl w:val="0"/>
          <w:numId w:val="1"/>
        </w:numPr>
        <w:ind w:left="567" w:hanging="567"/>
      </w:pPr>
      <w:r w:rsidRPr="001B4A02">
        <w:t>Pokud se u Vás vyskytne kterýkoli z nežádoucích účinků, sdělte to svému lékaři nebo lékárníkovi. Stejně postupujte v případě jakýchkoli nežádoucích účinků, které nejsou uvedeny v této příbalové informaci. Viz bod 4.</w:t>
      </w:r>
    </w:p>
    <w:p w14:paraId="36A946F3" w14:textId="77777777" w:rsidR="00D80CCA" w:rsidRPr="001B4A02" w:rsidRDefault="00D80CCA" w:rsidP="00D80CCA">
      <w:pPr>
        <w:ind w:left="0" w:firstLine="0"/>
      </w:pPr>
    </w:p>
    <w:p w14:paraId="1713A2AF" w14:textId="77777777" w:rsidR="00D80CCA" w:rsidRPr="001B4A02" w:rsidRDefault="00000000" w:rsidP="0009084E">
      <w:pPr>
        <w:numPr>
          <w:ilvl w:val="12"/>
          <w:numId w:val="0"/>
        </w:numPr>
      </w:pPr>
      <w:r w:rsidRPr="001B4A02">
        <w:rPr>
          <w:b/>
        </w:rPr>
        <w:t>Co naleznete v této příbalové informaci</w:t>
      </w:r>
    </w:p>
    <w:p w14:paraId="6754D536" w14:textId="77777777" w:rsidR="00D80CCA" w:rsidRPr="001B4A02" w:rsidRDefault="00000000" w:rsidP="00D80CCA">
      <w:pPr>
        <w:ind w:left="0" w:right="-29" w:firstLine="0"/>
      </w:pPr>
      <w:r w:rsidRPr="001B4A02">
        <w:t>1.</w:t>
      </w:r>
      <w:r w:rsidRPr="001B4A02">
        <w:tab/>
        <w:t>Co je přípravek Humira</w:t>
      </w:r>
      <w:r w:rsidR="002378E0">
        <w:t xml:space="preserve"> a </w:t>
      </w:r>
      <w:r w:rsidRPr="001B4A02">
        <w:t>k čemu se používá</w:t>
      </w:r>
    </w:p>
    <w:p w14:paraId="3C8456F4" w14:textId="77777777" w:rsidR="00D80CCA" w:rsidRPr="001B4A02" w:rsidRDefault="00000000" w:rsidP="00D80CCA">
      <w:pPr>
        <w:ind w:left="0" w:right="-29" w:firstLine="0"/>
      </w:pPr>
      <w:r w:rsidRPr="001B4A02">
        <w:t>2.</w:t>
      </w:r>
      <w:r w:rsidRPr="001B4A02">
        <w:tab/>
        <w:t>Čemu musíte věnovat pozornost, než za</w:t>
      </w:r>
      <w:r w:rsidR="00CE4530">
        <w:t>čnete přípravek Humira používat</w:t>
      </w:r>
    </w:p>
    <w:p w14:paraId="3C089C6B" w14:textId="77777777" w:rsidR="00D80CCA" w:rsidRPr="001B4A02" w:rsidRDefault="00000000" w:rsidP="00D80CCA">
      <w:pPr>
        <w:ind w:left="0" w:right="-29" w:firstLine="0"/>
      </w:pPr>
      <w:r w:rsidRPr="001B4A02">
        <w:t>3.</w:t>
      </w:r>
      <w:r w:rsidRPr="001B4A02">
        <w:tab/>
      </w:r>
      <w:r w:rsidR="00CE4530">
        <w:t>Jak se přípravek Humira používá</w:t>
      </w:r>
    </w:p>
    <w:p w14:paraId="31657D2E" w14:textId="77777777" w:rsidR="00D80CCA" w:rsidRPr="001B4A02" w:rsidRDefault="00000000" w:rsidP="00D80CCA">
      <w:pPr>
        <w:ind w:left="0" w:right="-29" w:firstLine="0"/>
      </w:pPr>
      <w:r w:rsidRPr="001B4A02">
        <w:t>4.</w:t>
      </w:r>
      <w:r w:rsidRPr="001B4A02">
        <w:tab/>
        <w:t>Možné nežádoucí účinky</w:t>
      </w:r>
    </w:p>
    <w:p w14:paraId="1D800C0E" w14:textId="77777777" w:rsidR="00D80CCA" w:rsidRPr="001B4A02" w:rsidRDefault="00000000" w:rsidP="00D80CCA">
      <w:pPr>
        <w:ind w:left="0" w:right="-29" w:firstLine="0"/>
      </w:pPr>
      <w:r w:rsidRPr="001B4A02">
        <w:t>5.</w:t>
      </w:r>
      <w:r w:rsidRPr="001B4A02">
        <w:tab/>
        <w:t>Jak přípravek Humira uchovávat</w:t>
      </w:r>
    </w:p>
    <w:p w14:paraId="545B2D5B" w14:textId="77777777" w:rsidR="00D80CCA" w:rsidRPr="001B4A02" w:rsidRDefault="00000000" w:rsidP="00D80CCA">
      <w:pPr>
        <w:ind w:left="0" w:right="-29" w:firstLine="0"/>
      </w:pPr>
      <w:r w:rsidRPr="001B4A02">
        <w:t>6.</w:t>
      </w:r>
      <w:r w:rsidRPr="001B4A02">
        <w:tab/>
        <w:t>Obsah balení</w:t>
      </w:r>
      <w:r w:rsidR="002378E0">
        <w:t xml:space="preserve"> a </w:t>
      </w:r>
      <w:r w:rsidRPr="001B4A02">
        <w:t>další informace</w:t>
      </w:r>
    </w:p>
    <w:p w14:paraId="48E7E5B5" w14:textId="77777777" w:rsidR="00D80CCA" w:rsidRPr="001B4A02" w:rsidRDefault="00000000" w:rsidP="00D80CCA">
      <w:pPr>
        <w:ind w:left="0" w:right="-29" w:firstLine="0"/>
      </w:pPr>
      <w:r w:rsidRPr="001B4A02">
        <w:t>7.</w:t>
      </w:r>
      <w:r w:rsidRPr="001B4A02">
        <w:tab/>
      </w:r>
      <w:r w:rsidR="00454E16">
        <w:t>Aplikace injekce přípravku Humira</w:t>
      </w:r>
    </w:p>
    <w:p w14:paraId="03642EF1" w14:textId="77777777" w:rsidR="00D80CCA" w:rsidRPr="001B4A02" w:rsidRDefault="00D80CCA" w:rsidP="00D80CCA">
      <w:pPr>
        <w:ind w:left="0" w:firstLine="0"/>
      </w:pPr>
    </w:p>
    <w:p w14:paraId="35699364" w14:textId="77777777" w:rsidR="00D80CCA" w:rsidRPr="001B4A02" w:rsidRDefault="00D80CCA" w:rsidP="00D80CCA">
      <w:pPr>
        <w:ind w:left="0" w:firstLine="0"/>
      </w:pPr>
    </w:p>
    <w:p w14:paraId="2E4833E1" w14:textId="77777777" w:rsidR="00D80CCA" w:rsidRPr="001B4A02" w:rsidRDefault="00000000" w:rsidP="00262E54">
      <w:pPr>
        <w:keepNext/>
        <w:numPr>
          <w:ilvl w:val="12"/>
          <w:numId w:val="0"/>
        </w:numPr>
        <w:ind w:left="567" w:hanging="567"/>
        <w:outlineLvl w:val="1"/>
        <w:rPr>
          <w:b/>
        </w:rPr>
      </w:pPr>
      <w:r w:rsidRPr="001B4A02">
        <w:rPr>
          <w:b/>
        </w:rPr>
        <w:t>1.</w:t>
      </w:r>
      <w:r w:rsidRPr="001B4A02">
        <w:rPr>
          <w:b/>
        </w:rPr>
        <w:tab/>
        <w:t>Co je přípravek Humira</w:t>
      </w:r>
      <w:r w:rsidR="002378E0">
        <w:rPr>
          <w:b/>
        </w:rPr>
        <w:t xml:space="preserve"> a </w:t>
      </w:r>
      <w:r w:rsidRPr="001B4A02">
        <w:rPr>
          <w:b/>
        </w:rPr>
        <w:t>k čemu se používá</w:t>
      </w:r>
    </w:p>
    <w:p w14:paraId="22FAFC55" w14:textId="77777777" w:rsidR="00D80CCA" w:rsidRPr="001B4A02" w:rsidRDefault="00D80CCA" w:rsidP="00262E54">
      <w:pPr>
        <w:keepNext/>
        <w:ind w:left="0" w:firstLine="0"/>
      </w:pPr>
    </w:p>
    <w:p w14:paraId="11AF0832" w14:textId="77777777" w:rsidR="00D80CCA" w:rsidRPr="001B4A02" w:rsidRDefault="00000000" w:rsidP="00D80CCA">
      <w:pPr>
        <w:ind w:left="0" w:firstLine="0"/>
      </w:pPr>
      <w:r w:rsidRPr="001B4A02">
        <w:t>Přípravek Humira obs</w:t>
      </w:r>
      <w:r w:rsidR="00CE4530">
        <w:t>ahuje léčivou látku adalimumab.</w:t>
      </w:r>
    </w:p>
    <w:p w14:paraId="02DA2C4D" w14:textId="77777777" w:rsidR="00D80CCA" w:rsidRPr="001B4A02" w:rsidRDefault="00D80CCA" w:rsidP="00D80CCA">
      <w:pPr>
        <w:ind w:left="0" w:firstLine="0"/>
      </w:pPr>
    </w:p>
    <w:p w14:paraId="06E23A0D" w14:textId="77777777" w:rsidR="00D80CCA" w:rsidRPr="001B4A02" w:rsidRDefault="00000000" w:rsidP="00262E54">
      <w:pPr>
        <w:keepNext/>
        <w:ind w:left="0" w:firstLine="0"/>
      </w:pPr>
      <w:r w:rsidRPr="001B4A02">
        <w:t>Přípravek Humira se používá k léčbě</w:t>
      </w:r>
    </w:p>
    <w:p w14:paraId="2FD9C16B" w14:textId="77777777" w:rsidR="00D80CCA" w:rsidRPr="001B4A02" w:rsidRDefault="00000000" w:rsidP="00D80CCA">
      <w:pPr>
        <w:numPr>
          <w:ilvl w:val="0"/>
          <w:numId w:val="48"/>
        </w:numPr>
        <w:tabs>
          <w:tab w:val="clear" w:pos="720"/>
        </w:tabs>
        <w:ind w:left="426" w:hanging="426"/>
      </w:pPr>
      <w:r w:rsidRPr="001B4A02">
        <w:t>revmatoidní artritidy</w:t>
      </w:r>
    </w:p>
    <w:p w14:paraId="4FDDF549" w14:textId="77777777" w:rsidR="00D80CCA" w:rsidRPr="001B4A02" w:rsidRDefault="00000000" w:rsidP="00D80CCA">
      <w:pPr>
        <w:numPr>
          <w:ilvl w:val="0"/>
          <w:numId w:val="48"/>
        </w:numPr>
        <w:tabs>
          <w:tab w:val="clear" w:pos="720"/>
        </w:tabs>
        <w:ind w:left="426" w:hanging="426"/>
      </w:pPr>
      <w:r w:rsidRPr="001B4A02">
        <w:t>polyartikulární juvenilní idiopatické artritidy</w:t>
      </w:r>
    </w:p>
    <w:p w14:paraId="1117D0CB" w14:textId="77777777" w:rsidR="00D80CCA" w:rsidRPr="001B4A02" w:rsidRDefault="00000000" w:rsidP="00D80CCA">
      <w:pPr>
        <w:numPr>
          <w:ilvl w:val="0"/>
          <w:numId w:val="48"/>
        </w:numPr>
        <w:tabs>
          <w:tab w:val="clear" w:pos="720"/>
        </w:tabs>
        <w:ind w:left="426" w:hanging="426"/>
      </w:pPr>
      <w:r w:rsidRPr="001B4A02">
        <w:t>entezopatické artritidy</w:t>
      </w:r>
    </w:p>
    <w:p w14:paraId="59B1C0AE" w14:textId="77777777" w:rsidR="00D80CCA" w:rsidRPr="001B4A02" w:rsidRDefault="00000000" w:rsidP="00D80CCA">
      <w:pPr>
        <w:numPr>
          <w:ilvl w:val="0"/>
          <w:numId w:val="48"/>
        </w:numPr>
        <w:tabs>
          <w:tab w:val="clear" w:pos="720"/>
        </w:tabs>
        <w:ind w:left="426" w:hanging="426"/>
      </w:pPr>
      <w:r w:rsidRPr="001B4A02">
        <w:t>ankylozující spondylitidy</w:t>
      </w:r>
    </w:p>
    <w:p w14:paraId="1339B140" w14:textId="77777777" w:rsidR="00D80CCA" w:rsidRPr="001B4A02" w:rsidRDefault="00000000" w:rsidP="00D80CCA">
      <w:pPr>
        <w:numPr>
          <w:ilvl w:val="0"/>
          <w:numId w:val="48"/>
        </w:numPr>
        <w:tabs>
          <w:tab w:val="clear" w:pos="720"/>
        </w:tabs>
        <w:ind w:left="426" w:hanging="426"/>
      </w:pPr>
      <w:r w:rsidRPr="001B4A02">
        <w:t>axiální spondylartritidy bez radiologického průkazu ankylozující spondylitidy</w:t>
      </w:r>
    </w:p>
    <w:p w14:paraId="27519627" w14:textId="77777777" w:rsidR="00D80CCA" w:rsidRPr="001B4A02" w:rsidRDefault="00000000" w:rsidP="00D80CCA">
      <w:pPr>
        <w:numPr>
          <w:ilvl w:val="0"/>
          <w:numId w:val="48"/>
        </w:numPr>
        <w:tabs>
          <w:tab w:val="clear" w:pos="720"/>
        </w:tabs>
        <w:ind w:left="426" w:hanging="426"/>
      </w:pPr>
      <w:r w:rsidRPr="001B4A02">
        <w:t>psoriatické artritidy</w:t>
      </w:r>
    </w:p>
    <w:p w14:paraId="7FFA2EF4" w14:textId="77777777" w:rsidR="00D80CCA" w:rsidRPr="001B4A02" w:rsidRDefault="00000000" w:rsidP="00D80CCA">
      <w:pPr>
        <w:numPr>
          <w:ilvl w:val="0"/>
          <w:numId w:val="48"/>
        </w:numPr>
        <w:tabs>
          <w:tab w:val="clear" w:pos="720"/>
        </w:tabs>
        <w:ind w:left="426" w:hanging="426"/>
      </w:pPr>
      <w:r w:rsidRPr="001B4A02">
        <w:t>ložiskové psoriázy</w:t>
      </w:r>
    </w:p>
    <w:p w14:paraId="3BE85036" w14:textId="77777777" w:rsidR="00D80CCA" w:rsidRPr="001B4A02" w:rsidRDefault="00000000" w:rsidP="00D80CCA">
      <w:pPr>
        <w:numPr>
          <w:ilvl w:val="0"/>
          <w:numId w:val="48"/>
        </w:numPr>
        <w:tabs>
          <w:tab w:val="clear" w:pos="720"/>
        </w:tabs>
        <w:ind w:left="426" w:hanging="426"/>
      </w:pPr>
      <w:r w:rsidRPr="001B4A02">
        <w:t>hidradenitis suppurativa</w:t>
      </w:r>
    </w:p>
    <w:p w14:paraId="5A59EDF9" w14:textId="77777777" w:rsidR="00D80CCA" w:rsidRPr="001B4A02" w:rsidRDefault="00000000" w:rsidP="00D80CCA">
      <w:pPr>
        <w:numPr>
          <w:ilvl w:val="0"/>
          <w:numId w:val="48"/>
        </w:numPr>
        <w:tabs>
          <w:tab w:val="clear" w:pos="720"/>
        </w:tabs>
        <w:ind w:left="426" w:hanging="426"/>
      </w:pPr>
      <w:r w:rsidRPr="001B4A02">
        <w:t>Crohnovy choroby</w:t>
      </w:r>
    </w:p>
    <w:p w14:paraId="470B58CD" w14:textId="77777777" w:rsidR="00D80CCA" w:rsidRPr="001B4A02" w:rsidRDefault="00000000" w:rsidP="00D80CCA">
      <w:pPr>
        <w:numPr>
          <w:ilvl w:val="0"/>
          <w:numId w:val="48"/>
        </w:numPr>
        <w:tabs>
          <w:tab w:val="clear" w:pos="720"/>
        </w:tabs>
        <w:ind w:left="426" w:hanging="426"/>
      </w:pPr>
      <w:r w:rsidRPr="001B4A02">
        <w:t>ulcerózní kolitidy</w:t>
      </w:r>
    </w:p>
    <w:p w14:paraId="195A872B" w14:textId="77777777" w:rsidR="00D80CCA" w:rsidRPr="001B4A02" w:rsidRDefault="00000000" w:rsidP="00D80CCA">
      <w:pPr>
        <w:numPr>
          <w:ilvl w:val="0"/>
          <w:numId w:val="48"/>
        </w:numPr>
        <w:tabs>
          <w:tab w:val="clear" w:pos="720"/>
        </w:tabs>
        <w:ind w:left="426" w:hanging="426"/>
      </w:pPr>
      <w:r w:rsidRPr="001B4A02">
        <w:t>neinfekční uveitidy</w:t>
      </w:r>
    </w:p>
    <w:p w14:paraId="4100362B" w14:textId="77777777" w:rsidR="00D80CCA" w:rsidRPr="001B4A02" w:rsidRDefault="00D80CCA" w:rsidP="00D80CCA">
      <w:pPr>
        <w:ind w:left="0" w:firstLine="0"/>
      </w:pPr>
    </w:p>
    <w:p w14:paraId="402AD647" w14:textId="77777777" w:rsidR="00D80CCA" w:rsidRPr="001B4A02" w:rsidRDefault="00000000" w:rsidP="00D80CCA">
      <w:r w:rsidRPr="001B4A02">
        <w:t>Léčivá látka v přípravku Humira, adalimumab, je lidská monoklonální protilátka.</w:t>
      </w:r>
    </w:p>
    <w:p w14:paraId="466B46A5" w14:textId="77777777" w:rsidR="00D80CCA" w:rsidRPr="001B4A02" w:rsidRDefault="00000000" w:rsidP="00D80CCA">
      <w:r w:rsidRPr="001B4A02">
        <w:t>Monoklonální protilátky jsou bílkoviny, které se váží na specifický cíl.</w:t>
      </w:r>
    </w:p>
    <w:p w14:paraId="1C821484" w14:textId="77777777" w:rsidR="00D80CCA" w:rsidRPr="001B4A02" w:rsidRDefault="00D80CCA" w:rsidP="00D80CCA"/>
    <w:p w14:paraId="4559C6FF" w14:textId="77777777" w:rsidR="00D80CCA" w:rsidRPr="001B4A02" w:rsidRDefault="00000000" w:rsidP="00D80CCA">
      <w:pPr>
        <w:ind w:left="0" w:firstLine="0"/>
      </w:pPr>
      <w:r w:rsidRPr="001B4A02">
        <w:t xml:space="preserve">Cíl pro adalimumab je bílkovina označená jako tumor nekrotizující faktor (TNFα), která </w:t>
      </w:r>
      <w:r w:rsidRPr="001B4A02">
        <w:rPr>
          <w:color w:val="000000"/>
          <w:szCs w:val="22"/>
        </w:rPr>
        <w:t>působí v imunitním (obranném) systému</w:t>
      </w:r>
      <w:r w:rsidR="002378E0">
        <w:rPr>
          <w:color w:val="000000"/>
          <w:szCs w:val="22"/>
        </w:rPr>
        <w:t xml:space="preserve"> a </w:t>
      </w:r>
      <w:r w:rsidRPr="001B4A02">
        <w:t xml:space="preserve">je přítomna ve zvýšených hladinách </w:t>
      </w:r>
      <w:r w:rsidRPr="001B4A02">
        <w:rPr>
          <w:color w:val="000000"/>
          <w:szCs w:val="22"/>
        </w:rPr>
        <w:t>při zánětlivých onemocněních uvedených výše. Navázáním na TNFα snižuje přípravek Humira zánětlivý proces u těchto onemocnění</w:t>
      </w:r>
      <w:r w:rsidRPr="001B4A02">
        <w:t>.</w:t>
      </w:r>
    </w:p>
    <w:p w14:paraId="20340393" w14:textId="77777777" w:rsidR="00D80CCA" w:rsidRPr="001B4A02" w:rsidRDefault="00D80CCA" w:rsidP="00D80CCA">
      <w:pPr>
        <w:ind w:left="0" w:firstLine="0"/>
      </w:pPr>
    </w:p>
    <w:p w14:paraId="0679D734" w14:textId="77777777" w:rsidR="00D80CCA" w:rsidRPr="001B4A02" w:rsidRDefault="00000000" w:rsidP="00D80CCA">
      <w:pPr>
        <w:pStyle w:val="EMEAHeadingUnderline"/>
        <w:keepNext/>
        <w:tabs>
          <w:tab w:val="clear" w:pos="562"/>
        </w:tabs>
        <w:suppressAutoHyphens w:val="0"/>
        <w:spacing w:beforeLines="0" w:before="0" w:afterLines="0" w:after="0"/>
        <w:rPr>
          <w:b/>
          <w:u w:val="none"/>
          <w:lang w:val="cs-CZ"/>
        </w:rPr>
      </w:pPr>
      <w:r w:rsidRPr="001B4A02">
        <w:rPr>
          <w:b/>
          <w:u w:val="none"/>
          <w:lang w:val="cs-CZ"/>
        </w:rPr>
        <w:t>Revmatoidní artritida</w:t>
      </w:r>
    </w:p>
    <w:p w14:paraId="0B418D3B" w14:textId="77777777" w:rsidR="00D80CCA" w:rsidRPr="001B4A02" w:rsidRDefault="00D80CCA" w:rsidP="00D80CCA">
      <w:pPr>
        <w:keepNext/>
        <w:ind w:left="0" w:firstLine="0"/>
      </w:pPr>
    </w:p>
    <w:p w14:paraId="6CD3D1C5" w14:textId="77777777" w:rsidR="00D80CCA" w:rsidRPr="001B4A02" w:rsidRDefault="00000000" w:rsidP="00D80CCA">
      <w:pPr>
        <w:ind w:left="0" w:firstLine="0"/>
      </w:pPr>
      <w:r w:rsidRPr="001B4A02">
        <w:t>Revmatoidní artritida je zánětlivé onemocnění kloubů.</w:t>
      </w:r>
    </w:p>
    <w:p w14:paraId="15235B65" w14:textId="77777777" w:rsidR="00D80CCA" w:rsidRPr="001B4A02" w:rsidRDefault="00D80CCA" w:rsidP="00D80CCA">
      <w:pPr>
        <w:ind w:left="0" w:firstLine="0"/>
      </w:pPr>
    </w:p>
    <w:p w14:paraId="0875E9AB" w14:textId="77777777" w:rsidR="00D80CCA" w:rsidRPr="001B4A02" w:rsidRDefault="00000000" w:rsidP="00D80CCA">
      <w:pPr>
        <w:ind w:left="0" w:firstLine="0"/>
      </w:pPr>
      <w:r w:rsidRPr="001B4A02">
        <w:t>Přípravek Humira se používá k léčbě středně těžké až těžké revmatoidní artritidy u dospělých. Můžete nejdříve užívat jiné chorobu modifikující léky, jako je methotrexát. Pokud u Vás tyto léky nevyvolají uspokojivou odpověď, pak dostanete přípravek Humira.</w:t>
      </w:r>
    </w:p>
    <w:p w14:paraId="2E91EC89" w14:textId="77777777" w:rsidR="00D80CCA" w:rsidRPr="001B4A02" w:rsidRDefault="00D80CCA" w:rsidP="00D80CCA">
      <w:pPr>
        <w:ind w:left="0" w:firstLine="0"/>
      </w:pPr>
    </w:p>
    <w:p w14:paraId="2F2C0C14" w14:textId="77777777" w:rsidR="00D80CCA" w:rsidRPr="001B4A02" w:rsidRDefault="00000000" w:rsidP="00D80CCA">
      <w:pPr>
        <w:ind w:left="0" w:firstLine="0"/>
      </w:pPr>
      <w:r w:rsidRPr="001B4A02">
        <w:t>Přípravek Humira je možné použít rovněž k léčbě těžké, aktivní</w:t>
      </w:r>
      <w:r w:rsidR="002378E0">
        <w:t xml:space="preserve"> a </w:t>
      </w:r>
      <w:r w:rsidRPr="001B4A02">
        <w:t>progresivní revmatoidní artritidy bez předchozí léčby methotrexátem.</w:t>
      </w:r>
    </w:p>
    <w:p w14:paraId="47D8199B" w14:textId="77777777" w:rsidR="00D80CCA" w:rsidRPr="001B4A02" w:rsidRDefault="00D80CCA" w:rsidP="00D80CCA">
      <w:pPr>
        <w:ind w:left="0" w:firstLine="0"/>
      </w:pPr>
    </w:p>
    <w:p w14:paraId="485B2DF1" w14:textId="77777777" w:rsidR="00D80CCA" w:rsidRPr="001B4A02" w:rsidRDefault="00000000" w:rsidP="00D80CCA">
      <w:pPr>
        <w:ind w:left="0" w:firstLine="0"/>
      </w:pPr>
      <w:r w:rsidRPr="001B4A02">
        <w:t>Přípravek Humira může zpomalit poškození kloubů způsobené zánětlivým onemocněním</w:t>
      </w:r>
      <w:r w:rsidR="002378E0">
        <w:t xml:space="preserve"> a </w:t>
      </w:r>
      <w:r w:rsidRPr="001B4A02">
        <w:t>může zlepšit rozsah jejich pohybu.</w:t>
      </w:r>
    </w:p>
    <w:p w14:paraId="6CFE6032" w14:textId="77777777" w:rsidR="00D80CCA" w:rsidRPr="001B4A02" w:rsidRDefault="00D80CCA" w:rsidP="00D80CCA">
      <w:pPr>
        <w:ind w:left="0" w:firstLine="0"/>
      </w:pPr>
    </w:p>
    <w:p w14:paraId="75BD62B6" w14:textId="77777777" w:rsidR="00D80CCA" w:rsidRPr="001B4A02" w:rsidRDefault="00000000" w:rsidP="00D80CCA">
      <w:pPr>
        <w:ind w:left="0" w:firstLine="0"/>
      </w:pPr>
      <w:r w:rsidRPr="001B4A02">
        <w:t>Váš lékař rozhodne o tom, zda máte přípravek Humira používat společně s methotrexátem nebo bez něho.</w:t>
      </w:r>
    </w:p>
    <w:p w14:paraId="7D80C664" w14:textId="77777777" w:rsidR="00D80CCA" w:rsidRPr="001B4A02" w:rsidRDefault="00D80CCA" w:rsidP="00D80CCA">
      <w:pPr>
        <w:pStyle w:val="EMEAHeadingUnderline"/>
        <w:tabs>
          <w:tab w:val="clear" w:pos="562"/>
          <w:tab w:val="left" w:pos="708"/>
        </w:tabs>
        <w:suppressAutoHyphens w:val="0"/>
        <w:spacing w:beforeLines="0" w:before="0" w:afterLines="0" w:after="0"/>
        <w:rPr>
          <w:lang w:val="cs-CZ"/>
        </w:rPr>
      </w:pPr>
    </w:p>
    <w:p w14:paraId="5047E848" w14:textId="77777777" w:rsidR="00D80CCA" w:rsidRPr="001B4A02" w:rsidRDefault="00000000" w:rsidP="00975013">
      <w:pPr>
        <w:pStyle w:val="EMEAHeadingUnderline"/>
        <w:keepNext/>
        <w:tabs>
          <w:tab w:val="clear" w:pos="562"/>
          <w:tab w:val="left" w:pos="708"/>
        </w:tabs>
        <w:suppressAutoHyphens w:val="0"/>
        <w:spacing w:beforeLines="0" w:before="0" w:afterLines="0" w:after="0"/>
        <w:rPr>
          <w:b/>
          <w:u w:val="none"/>
          <w:lang w:val="cs-CZ"/>
        </w:rPr>
      </w:pPr>
      <w:r w:rsidRPr="001B4A02">
        <w:rPr>
          <w:b/>
          <w:u w:val="none"/>
          <w:lang w:val="cs-CZ"/>
        </w:rPr>
        <w:t>Polyartikulární juvenilní idiopatická artritida</w:t>
      </w:r>
    </w:p>
    <w:p w14:paraId="71A6F908" w14:textId="77777777" w:rsidR="00D80CCA" w:rsidRPr="001B4A02" w:rsidRDefault="00D80CCA" w:rsidP="00975013">
      <w:pPr>
        <w:keepNext/>
        <w:ind w:left="0" w:firstLine="0"/>
        <w:rPr>
          <w:u w:val="single"/>
        </w:rPr>
      </w:pPr>
    </w:p>
    <w:p w14:paraId="2DAC90CF" w14:textId="77777777" w:rsidR="00D80CCA" w:rsidRPr="001B4A02" w:rsidRDefault="00000000" w:rsidP="00D80CCA">
      <w:pPr>
        <w:ind w:left="0" w:firstLine="0"/>
        <w:rPr>
          <w:u w:val="single"/>
        </w:rPr>
      </w:pPr>
      <w:r w:rsidRPr="001B4A02">
        <w:t>Polyartikulární juvenilní idiopatická artritida je zánětlivé onemocnění kloubů.</w:t>
      </w:r>
    </w:p>
    <w:p w14:paraId="503C1410" w14:textId="77777777" w:rsidR="00D80CCA" w:rsidRPr="001B4A02" w:rsidRDefault="00D80CCA" w:rsidP="00D80CCA">
      <w:pPr>
        <w:ind w:left="0" w:firstLine="0"/>
      </w:pPr>
    </w:p>
    <w:p w14:paraId="2BDA92DD" w14:textId="77777777" w:rsidR="00D80CCA" w:rsidRPr="001B4A02" w:rsidRDefault="00000000" w:rsidP="00D80CCA">
      <w:pPr>
        <w:ind w:left="0" w:firstLine="0"/>
      </w:pPr>
      <w:r w:rsidRPr="001B4A02">
        <w:t>Přípravek Humira se používá k léčbě polyartikulární juvenilní idiopatické artritidy u pacientů od 2 let. Zpočátku můžete užívat jiné chorobu modifikující léky, jako je methotrexát. Pokud u Vás tyto léky nevyvolají uspokojivou odpověď, pak dostanete přípravek Humira.</w:t>
      </w:r>
    </w:p>
    <w:p w14:paraId="7B40F515" w14:textId="77777777" w:rsidR="004A7732" w:rsidRDefault="004A7732" w:rsidP="00D80CCA">
      <w:pPr>
        <w:ind w:left="0" w:firstLine="0"/>
      </w:pPr>
    </w:p>
    <w:p w14:paraId="06072DCE" w14:textId="77777777" w:rsidR="00D80CCA" w:rsidRPr="001B4A02" w:rsidRDefault="00000000" w:rsidP="00D80CCA">
      <w:pPr>
        <w:ind w:left="0" w:firstLine="0"/>
      </w:pPr>
      <w:r w:rsidRPr="001B4A02">
        <w:t>Váš lékař rozhodne o tom, zda máte přípravek Humira používat společně s methotrexátem nebo bez něho.</w:t>
      </w:r>
    </w:p>
    <w:p w14:paraId="5C74DF06" w14:textId="77777777" w:rsidR="00D80CCA" w:rsidRPr="001B4A02" w:rsidRDefault="00D80CCA" w:rsidP="00D80CCA">
      <w:pPr>
        <w:ind w:left="0" w:firstLine="0"/>
      </w:pPr>
    </w:p>
    <w:p w14:paraId="0A9CC2F3" w14:textId="77777777" w:rsidR="00D80CCA" w:rsidRPr="001B4A02" w:rsidRDefault="00000000" w:rsidP="00975013">
      <w:pPr>
        <w:keepNext/>
        <w:ind w:left="0" w:firstLine="0"/>
      </w:pPr>
      <w:r w:rsidRPr="001B4A02">
        <w:rPr>
          <w:b/>
        </w:rPr>
        <w:t>Entezopatická artritida</w:t>
      </w:r>
    </w:p>
    <w:p w14:paraId="3AEF889E" w14:textId="77777777" w:rsidR="00D80CCA" w:rsidRPr="001B4A02" w:rsidRDefault="00D80CCA" w:rsidP="00975013">
      <w:pPr>
        <w:keepNext/>
        <w:ind w:left="0" w:firstLine="0"/>
      </w:pPr>
    </w:p>
    <w:p w14:paraId="1258F2E9" w14:textId="77777777" w:rsidR="00D80CCA" w:rsidRPr="001B4A02" w:rsidRDefault="00000000" w:rsidP="00D80CCA">
      <w:pPr>
        <w:numPr>
          <w:ilvl w:val="12"/>
          <w:numId w:val="0"/>
        </w:numPr>
        <w:ind w:right="-2"/>
      </w:pPr>
      <w:r w:rsidRPr="001B4A02">
        <w:t>Entezopatická artritida je zánětlivé onemocnění kloubů</w:t>
      </w:r>
      <w:r w:rsidR="002378E0">
        <w:t xml:space="preserve"> a </w:t>
      </w:r>
      <w:r w:rsidRPr="001B4A02">
        <w:t>míst, na kterých se šlachy upínají na kost.</w:t>
      </w:r>
    </w:p>
    <w:p w14:paraId="796BA27E" w14:textId="77777777" w:rsidR="00D80CCA" w:rsidRPr="001B4A02" w:rsidRDefault="00D80CCA" w:rsidP="00D80CCA">
      <w:pPr>
        <w:numPr>
          <w:ilvl w:val="12"/>
          <w:numId w:val="0"/>
        </w:numPr>
        <w:ind w:right="-2"/>
      </w:pPr>
    </w:p>
    <w:p w14:paraId="3145B169" w14:textId="77777777" w:rsidR="00D80CCA" w:rsidRPr="001B4A02" w:rsidRDefault="00000000" w:rsidP="00D80CCA">
      <w:pPr>
        <w:ind w:left="0" w:firstLine="0"/>
      </w:pPr>
      <w:r w:rsidRPr="001B4A02">
        <w:t>Přípravek Humira se používá k léčbě entezopatické artritidy u pacientů od 6 let. Zpočátku můžete užívat jiné chorobu modifikující léky, jako je methotrexát. Pokud u Vás tyto léky nevyvolají uspokojivou odpověď, pak dostanete přípravek Humira.</w:t>
      </w:r>
    </w:p>
    <w:p w14:paraId="59B3E9E0" w14:textId="77777777" w:rsidR="00D80CCA" w:rsidRPr="001B4A02" w:rsidRDefault="00D80CCA" w:rsidP="00D80CCA">
      <w:pPr>
        <w:ind w:left="0" w:firstLine="0"/>
      </w:pPr>
    </w:p>
    <w:p w14:paraId="66202352" w14:textId="77777777" w:rsidR="00D80CCA" w:rsidRPr="001B4A02" w:rsidRDefault="00000000" w:rsidP="00975013">
      <w:pPr>
        <w:pStyle w:val="EMEAHeadingUnderline"/>
        <w:keepNext/>
        <w:tabs>
          <w:tab w:val="clear" w:pos="562"/>
          <w:tab w:val="left" w:pos="708"/>
        </w:tabs>
        <w:suppressAutoHyphens w:val="0"/>
        <w:spacing w:beforeLines="0" w:before="0" w:afterLines="0" w:after="0"/>
        <w:rPr>
          <w:b/>
          <w:u w:val="none"/>
          <w:lang w:val="cs-CZ"/>
        </w:rPr>
      </w:pPr>
      <w:r w:rsidRPr="001B4A02">
        <w:rPr>
          <w:b/>
          <w:u w:val="none"/>
          <w:lang w:val="cs-CZ"/>
        </w:rPr>
        <w:t>Ankylozující spondylitida</w:t>
      </w:r>
      <w:r w:rsidR="002378E0">
        <w:rPr>
          <w:b/>
          <w:u w:val="none"/>
          <w:lang w:val="cs-CZ"/>
        </w:rPr>
        <w:t xml:space="preserve"> a </w:t>
      </w:r>
      <w:r w:rsidRPr="001B4A02">
        <w:rPr>
          <w:b/>
          <w:u w:val="none"/>
          <w:lang w:val="cs-CZ"/>
        </w:rPr>
        <w:t>axiální spondylartritida bez radiologického průkazu ankylozující spondylitidy</w:t>
      </w:r>
    </w:p>
    <w:p w14:paraId="79F7DEAC" w14:textId="77777777" w:rsidR="00D80CCA" w:rsidRPr="001B4A02" w:rsidRDefault="00D80CCA" w:rsidP="00975013">
      <w:pPr>
        <w:pStyle w:val="EMEANormal"/>
        <w:keepNext/>
        <w:rPr>
          <w:lang w:val="cs-CZ"/>
        </w:rPr>
      </w:pPr>
    </w:p>
    <w:p w14:paraId="35265D2D" w14:textId="77777777" w:rsidR="00D80CCA" w:rsidRPr="001B4A02" w:rsidRDefault="00000000" w:rsidP="00D80CCA">
      <w:pPr>
        <w:ind w:left="0" w:firstLine="0"/>
      </w:pPr>
      <w:r w:rsidRPr="001B4A02">
        <w:t>Ankylozující spondylitida</w:t>
      </w:r>
      <w:r w:rsidR="002378E0">
        <w:t xml:space="preserve"> a </w:t>
      </w:r>
      <w:r w:rsidRPr="001B4A02">
        <w:t>axiální spondylartritida bez radiologického průkazu ankylozující spondylitidy jsou zánětlivá onemocnění páteře.</w:t>
      </w:r>
    </w:p>
    <w:p w14:paraId="1BD16862" w14:textId="77777777" w:rsidR="00D80CCA" w:rsidRPr="001B4A02" w:rsidRDefault="00D80CCA" w:rsidP="00D80CCA">
      <w:pPr>
        <w:ind w:left="0" w:firstLine="0"/>
      </w:pPr>
    </w:p>
    <w:p w14:paraId="4B9E33B2" w14:textId="77777777" w:rsidR="00D80CCA" w:rsidRPr="001B4A02" w:rsidRDefault="00000000" w:rsidP="00D80CCA">
      <w:pPr>
        <w:ind w:left="0" w:firstLine="0"/>
        <w:rPr>
          <w:u w:val="single"/>
        </w:rPr>
      </w:pPr>
      <w:r w:rsidRPr="001B4A02">
        <w:t>Přípravek Humira se používá k léčbě těžké ankylozující spondylitidy</w:t>
      </w:r>
      <w:r w:rsidR="002378E0">
        <w:t xml:space="preserve"> a </w:t>
      </w:r>
      <w:r w:rsidRPr="001B4A02">
        <w:t>axiální spondylartritidy bez radiologického průkazu ankylozující spondylitidy u dospělých. Mohou Vám být nejprve podávány jiné léky. Pokud u Vás tato léčba nevyvolá uspokojivou odpověď, pak dostanete přípravek Humira.</w:t>
      </w:r>
    </w:p>
    <w:p w14:paraId="0F320111" w14:textId="77777777" w:rsidR="00D80CCA" w:rsidRPr="001B4A02" w:rsidRDefault="00D80CCA" w:rsidP="00D80CCA">
      <w:pPr>
        <w:ind w:left="0" w:firstLine="0"/>
        <w:rPr>
          <w:u w:val="single"/>
        </w:rPr>
      </w:pPr>
    </w:p>
    <w:p w14:paraId="0C5FB502" w14:textId="77777777" w:rsidR="00D80CCA" w:rsidRPr="001B4A02" w:rsidRDefault="00000000" w:rsidP="00975013">
      <w:pPr>
        <w:keepNext/>
        <w:rPr>
          <w:b/>
        </w:rPr>
      </w:pPr>
      <w:r w:rsidRPr="001B4A02">
        <w:rPr>
          <w:b/>
        </w:rPr>
        <w:t>Psoriatická artritida</w:t>
      </w:r>
    </w:p>
    <w:p w14:paraId="4EAFBA4F" w14:textId="77777777" w:rsidR="00D80CCA" w:rsidRPr="001B4A02" w:rsidRDefault="00D80CCA" w:rsidP="00975013">
      <w:pPr>
        <w:keepNext/>
      </w:pPr>
    </w:p>
    <w:p w14:paraId="468B4576" w14:textId="77777777" w:rsidR="00D80CCA" w:rsidRPr="001B4A02" w:rsidRDefault="00000000" w:rsidP="00D80CCA">
      <w:pPr>
        <w:ind w:left="0" w:firstLine="0"/>
      </w:pPr>
      <w:r w:rsidRPr="001B4A02">
        <w:t>Psoriatická artritida je zánětlivé onemocnění kloubů, které je obvykle spojeno s psoriázou.</w:t>
      </w:r>
    </w:p>
    <w:p w14:paraId="67F494C2" w14:textId="77777777" w:rsidR="00D80CCA" w:rsidRPr="001B4A02" w:rsidRDefault="00D80CCA" w:rsidP="00D80CCA">
      <w:pPr>
        <w:ind w:left="0" w:firstLine="0"/>
      </w:pPr>
    </w:p>
    <w:p w14:paraId="2CFBCEF6" w14:textId="77777777" w:rsidR="00D80CCA" w:rsidRPr="001B4A02" w:rsidRDefault="00000000" w:rsidP="00D80CCA">
      <w:pPr>
        <w:ind w:left="0" w:firstLine="0"/>
      </w:pPr>
      <w:r w:rsidRPr="001B4A02">
        <w:t>Přípravek Humira se používá k léčbě psoriatické artritidy u dospělých. Přípravek Humira může zpomalit poškození kloubů způsobené onemocněním</w:t>
      </w:r>
      <w:r w:rsidR="002378E0">
        <w:t xml:space="preserve"> a </w:t>
      </w:r>
      <w:r w:rsidRPr="001B4A02">
        <w:t>může zlepšit rozsah jejich pohybu. Mohou Vám být nejprve podávány jiné léky. Pokud u Vás tato léčba nevyvolá uspokojivou odpověď, pak dostanete přípravek Humira.</w:t>
      </w:r>
    </w:p>
    <w:p w14:paraId="533F9034" w14:textId="77777777" w:rsidR="00D80CCA" w:rsidRPr="001B4A02" w:rsidRDefault="00D80CCA" w:rsidP="00D80CCA">
      <w:pPr>
        <w:ind w:left="0" w:firstLine="0"/>
      </w:pPr>
    </w:p>
    <w:p w14:paraId="488BF6C1" w14:textId="77777777" w:rsidR="00D80CCA" w:rsidRPr="001B4A02" w:rsidRDefault="00000000" w:rsidP="003C624D">
      <w:pPr>
        <w:keepNext/>
        <w:ind w:left="0" w:firstLine="0"/>
        <w:rPr>
          <w:b/>
        </w:rPr>
      </w:pPr>
      <w:r w:rsidRPr="001B4A02">
        <w:rPr>
          <w:b/>
        </w:rPr>
        <w:t>Ložisková psoriáza</w:t>
      </w:r>
    </w:p>
    <w:p w14:paraId="3C86181D" w14:textId="77777777" w:rsidR="00D80CCA" w:rsidRPr="001B4A02" w:rsidRDefault="00D80CCA" w:rsidP="003C624D">
      <w:pPr>
        <w:keepNext/>
        <w:ind w:left="0" w:firstLine="0"/>
      </w:pPr>
    </w:p>
    <w:p w14:paraId="7F57EDBE" w14:textId="77777777" w:rsidR="00D80CCA" w:rsidRDefault="00000000" w:rsidP="00E863A7">
      <w:pPr>
        <w:ind w:left="0" w:firstLine="0"/>
      </w:pPr>
      <w:r w:rsidRPr="001B4A02">
        <w:t>Ložisková psoriáza je kožní onemocnění, které se projevuje ohraničenými, zarudlými, vyvýšenými ložisky, krytými stříbřitě lesklými šupinami. Ložisková psoriáza může postihovat také nehty, může způsobit jejich ztluštění, drolení</w:t>
      </w:r>
      <w:r w:rsidR="002378E0">
        <w:t xml:space="preserve"> a </w:t>
      </w:r>
      <w:r w:rsidRPr="001B4A02">
        <w:t>odlučování od nehtového lůžka, což může být bolestivé.</w:t>
      </w:r>
    </w:p>
    <w:p w14:paraId="6B4890BA" w14:textId="77777777" w:rsidR="00E863A7" w:rsidRPr="001B4A02" w:rsidRDefault="00E863A7" w:rsidP="00E863A7">
      <w:pPr>
        <w:ind w:left="0" w:firstLine="0"/>
      </w:pPr>
    </w:p>
    <w:p w14:paraId="59E50F67" w14:textId="77777777" w:rsidR="00D80CCA" w:rsidRPr="001B4A02" w:rsidRDefault="00000000" w:rsidP="003C624D">
      <w:pPr>
        <w:keepNext/>
        <w:ind w:left="0" w:firstLine="0"/>
      </w:pPr>
      <w:r w:rsidRPr="001B4A02">
        <w:t>Příp</w:t>
      </w:r>
      <w:r w:rsidR="00E863A7">
        <w:t>ravek Humira se používá k léčbě</w:t>
      </w:r>
    </w:p>
    <w:p w14:paraId="438CC88C" w14:textId="77777777" w:rsidR="00D80CCA" w:rsidRPr="001B4A02" w:rsidRDefault="00000000" w:rsidP="00D80CCA">
      <w:pPr>
        <w:numPr>
          <w:ilvl w:val="0"/>
          <w:numId w:val="259"/>
        </w:numPr>
      </w:pPr>
      <w:r w:rsidRPr="001B4A02">
        <w:t>středně těžké až těžké chronické ložiskové psoriázy u dospělých a</w:t>
      </w:r>
    </w:p>
    <w:p w14:paraId="0AF66C71" w14:textId="77777777" w:rsidR="00D80CCA" w:rsidRPr="001B4A02" w:rsidRDefault="00000000" w:rsidP="00D80CCA">
      <w:pPr>
        <w:numPr>
          <w:ilvl w:val="0"/>
          <w:numId w:val="259"/>
        </w:numPr>
      </w:pPr>
      <w:r w:rsidRPr="001B4A02">
        <w:t>těžké chronické ložiskové psoriázy u dětí</w:t>
      </w:r>
      <w:r w:rsidR="002378E0">
        <w:t xml:space="preserve"> a </w:t>
      </w:r>
      <w:r w:rsidRPr="001B4A02">
        <w:t>dospívajících od 4 do 17 let, u kterých lokální léčba</w:t>
      </w:r>
      <w:r w:rsidR="002378E0">
        <w:t xml:space="preserve"> a </w:t>
      </w:r>
      <w:r w:rsidRPr="001B4A02">
        <w:t>fototerapie neúčinkovaly dobře nebo je u nich tato léčba nevhodná.</w:t>
      </w:r>
    </w:p>
    <w:p w14:paraId="2AAAECC4" w14:textId="77777777" w:rsidR="00D80CCA" w:rsidRPr="001B4A02" w:rsidRDefault="00D80CCA" w:rsidP="00D80CCA">
      <w:pPr>
        <w:ind w:left="0" w:firstLine="0"/>
      </w:pPr>
    </w:p>
    <w:p w14:paraId="7A49DA24" w14:textId="77777777" w:rsidR="00D80CCA" w:rsidRPr="001B4A02" w:rsidRDefault="00000000" w:rsidP="00D80CCA">
      <w:pPr>
        <w:keepNext/>
        <w:ind w:left="0" w:firstLine="0"/>
        <w:rPr>
          <w:rFonts w:eastAsia="Calibri"/>
          <w:b/>
          <w:szCs w:val="22"/>
        </w:rPr>
      </w:pPr>
      <w:r w:rsidRPr="001B4A02">
        <w:rPr>
          <w:rFonts w:eastAsia="Calibri"/>
          <w:b/>
          <w:szCs w:val="22"/>
        </w:rPr>
        <w:t>Hidradenitis suppurativa</w:t>
      </w:r>
    </w:p>
    <w:p w14:paraId="7E428718" w14:textId="77777777" w:rsidR="00D80CCA" w:rsidRPr="001B4A02" w:rsidRDefault="00D80CCA" w:rsidP="00D80CCA">
      <w:pPr>
        <w:keepNext/>
        <w:ind w:left="0" w:firstLine="0"/>
        <w:rPr>
          <w:rFonts w:eastAsia="Calibri"/>
          <w:szCs w:val="22"/>
        </w:rPr>
      </w:pPr>
    </w:p>
    <w:p w14:paraId="594592D6" w14:textId="77777777" w:rsidR="00D80CCA" w:rsidRPr="001B4A02" w:rsidRDefault="00000000" w:rsidP="00975013">
      <w:pPr>
        <w:ind w:left="0" w:firstLine="0"/>
        <w:rPr>
          <w:rFonts w:eastAsia="Calibri"/>
          <w:szCs w:val="22"/>
        </w:rPr>
      </w:pPr>
      <w:r w:rsidRPr="001B4A02">
        <w:rPr>
          <w:rFonts w:eastAsia="Calibri"/>
          <w:szCs w:val="22"/>
        </w:rPr>
        <w:t>Hidradenitis suppurativa (někdy nazývaná acne inversa) je chronické</w:t>
      </w:r>
      <w:r w:rsidR="002378E0">
        <w:rPr>
          <w:rFonts w:eastAsia="Calibri"/>
          <w:szCs w:val="22"/>
        </w:rPr>
        <w:t xml:space="preserve"> a </w:t>
      </w:r>
      <w:r w:rsidRPr="001B4A02">
        <w:rPr>
          <w:rFonts w:eastAsia="Calibri"/>
          <w:szCs w:val="22"/>
        </w:rPr>
        <w:t>často bolestivé zánětlivé kožní onemocnění. Příznaky mohou zahrnovat citlivé uzly (boláky)</w:t>
      </w:r>
      <w:r w:rsidR="002378E0">
        <w:rPr>
          <w:rFonts w:eastAsia="Calibri"/>
          <w:szCs w:val="22"/>
        </w:rPr>
        <w:t xml:space="preserve"> a </w:t>
      </w:r>
      <w:r w:rsidRPr="001B4A02">
        <w:rPr>
          <w:rFonts w:eastAsia="Calibri"/>
          <w:szCs w:val="22"/>
        </w:rPr>
        <w:t>abscesy (nežity), které mohou obsahovat hnis. Nejčastěji postihuje specifické části kůže, jako např. pod prsy, podpaždí, vnitřní část stehen, třísla</w:t>
      </w:r>
      <w:r w:rsidR="002378E0">
        <w:rPr>
          <w:rFonts w:eastAsia="Calibri"/>
          <w:szCs w:val="22"/>
        </w:rPr>
        <w:t xml:space="preserve"> a </w:t>
      </w:r>
      <w:r w:rsidRPr="001B4A02">
        <w:rPr>
          <w:rFonts w:eastAsia="Calibri"/>
          <w:szCs w:val="22"/>
        </w:rPr>
        <w:t>hýždě. Na postižených částech se také mohou objevovat jizvy.</w:t>
      </w:r>
    </w:p>
    <w:p w14:paraId="5D1F03F7" w14:textId="77777777" w:rsidR="00D80CCA" w:rsidRPr="001B4A02" w:rsidRDefault="00D80CCA" w:rsidP="00D80CCA">
      <w:pPr>
        <w:ind w:left="0" w:firstLine="0"/>
        <w:rPr>
          <w:rFonts w:eastAsia="Calibri"/>
          <w:szCs w:val="22"/>
        </w:rPr>
      </w:pPr>
    </w:p>
    <w:p w14:paraId="09E80DF9" w14:textId="77777777" w:rsidR="00D80CCA" w:rsidRPr="001B4A02" w:rsidRDefault="00000000" w:rsidP="00975013">
      <w:pPr>
        <w:keepNext/>
        <w:ind w:left="0" w:firstLine="0"/>
        <w:rPr>
          <w:rFonts w:eastAsia="Calibri"/>
          <w:szCs w:val="22"/>
        </w:rPr>
      </w:pPr>
      <w:r w:rsidRPr="001B4A02">
        <w:t xml:space="preserve">Přípravek </w:t>
      </w:r>
      <w:r w:rsidRPr="001B4A02">
        <w:rPr>
          <w:rFonts w:eastAsia="Calibri"/>
          <w:szCs w:val="22"/>
        </w:rPr>
        <w:t>Humira se používá k léčbě</w:t>
      </w:r>
    </w:p>
    <w:p w14:paraId="266CCADF" w14:textId="77777777" w:rsidR="00D80CCA" w:rsidRPr="001B4A02" w:rsidRDefault="00000000" w:rsidP="00D80CCA">
      <w:pPr>
        <w:numPr>
          <w:ilvl w:val="0"/>
          <w:numId w:val="260"/>
        </w:numPr>
        <w:rPr>
          <w:rFonts w:eastAsia="Calibri"/>
          <w:szCs w:val="22"/>
        </w:rPr>
      </w:pPr>
      <w:r>
        <w:rPr>
          <w:rFonts w:eastAsia="Calibri"/>
          <w:szCs w:val="22"/>
        </w:rPr>
        <w:t xml:space="preserve">středně těžké až těžké </w:t>
      </w:r>
      <w:r w:rsidRPr="001B4A02">
        <w:rPr>
          <w:rFonts w:eastAsia="Calibri"/>
          <w:szCs w:val="22"/>
        </w:rPr>
        <w:t>hidradenitis suppurativa u dospělých</w:t>
      </w:r>
      <w:r w:rsidR="002378E0">
        <w:rPr>
          <w:rFonts w:eastAsia="Calibri"/>
          <w:szCs w:val="22"/>
        </w:rPr>
        <w:t xml:space="preserve"> a </w:t>
      </w:r>
    </w:p>
    <w:p w14:paraId="36AF9671" w14:textId="77777777" w:rsidR="00D80CCA" w:rsidRPr="001B4A02" w:rsidRDefault="00000000" w:rsidP="00D80CCA">
      <w:pPr>
        <w:numPr>
          <w:ilvl w:val="0"/>
          <w:numId w:val="260"/>
        </w:numPr>
        <w:rPr>
          <w:rFonts w:eastAsia="Calibri"/>
          <w:szCs w:val="22"/>
        </w:rPr>
      </w:pPr>
      <w:r w:rsidRPr="001B4A02">
        <w:rPr>
          <w:rFonts w:eastAsia="Calibri"/>
          <w:szCs w:val="22"/>
        </w:rPr>
        <w:t>středně těžké</w:t>
      </w:r>
      <w:r w:rsidR="00996970">
        <w:rPr>
          <w:rFonts w:eastAsia="Calibri"/>
          <w:szCs w:val="22"/>
        </w:rPr>
        <w:t xml:space="preserve"> až</w:t>
      </w:r>
      <w:r w:rsidRPr="001B4A02">
        <w:rPr>
          <w:rFonts w:eastAsia="Calibri"/>
          <w:szCs w:val="22"/>
        </w:rPr>
        <w:t xml:space="preserve"> </w:t>
      </w:r>
      <w:r w:rsidR="00077963">
        <w:rPr>
          <w:rFonts w:eastAsia="Calibri"/>
          <w:szCs w:val="22"/>
        </w:rPr>
        <w:t xml:space="preserve">těžké </w:t>
      </w:r>
      <w:r w:rsidRPr="001B4A02">
        <w:rPr>
          <w:rFonts w:eastAsia="Calibri"/>
          <w:szCs w:val="22"/>
        </w:rPr>
        <w:t xml:space="preserve">hidradenitis suppurativa u dospívajících od 12 do 17 let. </w:t>
      </w:r>
    </w:p>
    <w:p w14:paraId="092B4731" w14:textId="77777777" w:rsidR="00D80CCA" w:rsidRPr="001B4A02" w:rsidRDefault="00D80CCA" w:rsidP="00BD5616">
      <w:pPr>
        <w:rPr>
          <w:rFonts w:eastAsia="Calibri"/>
          <w:szCs w:val="22"/>
        </w:rPr>
      </w:pPr>
    </w:p>
    <w:p w14:paraId="5C56E9FB" w14:textId="77777777" w:rsidR="00D80CCA" w:rsidRPr="001B4A02" w:rsidRDefault="00000000" w:rsidP="00D80CCA">
      <w:pPr>
        <w:ind w:left="0" w:firstLine="0"/>
        <w:rPr>
          <w:rFonts w:eastAsia="Calibri"/>
          <w:szCs w:val="22"/>
        </w:rPr>
      </w:pPr>
      <w:r w:rsidRPr="001B4A02">
        <w:rPr>
          <w:rFonts w:eastAsia="Calibri"/>
          <w:szCs w:val="22"/>
        </w:rPr>
        <w:t>Přípravek Humira pomáhá snižovat počet boláků</w:t>
      </w:r>
      <w:r w:rsidR="002378E0">
        <w:rPr>
          <w:rFonts w:eastAsia="Calibri"/>
          <w:szCs w:val="22"/>
        </w:rPr>
        <w:t xml:space="preserve"> a </w:t>
      </w:r>
      <w:r w:rsidRPr="001B4A02">
        <w:rPr>
          <w:rFonts w:eastAsia="Calibri"/>
          <w:szCs w:val="22"/>
        </w:rPr>
        <w:t>nežitů způsobených nemocí</w:t>
      </w:r>
      <w:r w:rsidR="002378E0">
        <w:rPr>
          <w:rFonts w:eastAsia="Calibri"/>
          <w:szCs w:val="22"/>
        </w:rPr>
        <w:t xml:space="preserve"> a </w:t>
      </w:r>
      <w:r w:rsidRPr="001B4A02">
        <w:rPr>
          <w:rFonts w:eastAsia="Calibri"/>
          <w:szCs w:val="22"/>
        </w:rPr>
        <w:t xml:space="preserve">bolest, která je s tímto onemocněním často spojena. </w:t>
      </w:r>
      <w:r w:rsidRPr="001B4A02">
        <w:t>Mohou Vám být nejprve podávány jiné léky. Pokud u Vás tato léčba nevyvolá uspokojivou odpověď, pak dostanete přípravek Humira.</w:t>
      </w:r>
    </w:p>
    <w:p w14:paraId="0D5B3175" w14:textId="77777777" w:rsidR="00D80CCA" w:rsidRPr="001B4A02" w:rsidRDefault="00D80CCA" w:rsidP="00D80CCA">
      <w:pPr>
        <w:ind w:left="0" w:firstLine="0"/>
      </w:pPr>
    </w:p>
    <w:p w14:paraId="7E84FEDC" w14:textId="77777777" w:rsidR="00D80CCA" w:rsidRPr="001B4A02" w:rsidRDefault="00000000" w:rsidP="00D80CCA">
      <w:pPr>
        <w:pStyle w:val="EMEAHeadingUnderline"/>
        <w:keepNext/>
        <w:tabs>
          <w:tab w:val="clear" w:pos="562"/>
          <w:tab w:val="left" w:pos="708"/>
        </w:tabs>
        <w:suppressAutoHyphens w:val="0"/>
        <w:spacing w:beforeLines="0" w:before="0" w:afterLines="0" w:after="0"/>
        <w:rPr>
          <w:b/>
          <w:u w:val="none"/>
          <w:lang w:val="cs-CZ"/>
        </w:rPr>
      </w:pPr>
      <w:r w:rsidRPr="001B4A02">
        <w:rPr>
          <w:b/>
          <w:u w:val="none"/>
          <w:lang w:val="cs-CZ"/>
        </w:rPr>
        <w:t>Crohnova choroba</w:t>
      </w:r>
    </w:p>
    <w:p w14:paraId="4F324850" w14:textId="77777777" w:rsidR="00D80CCA" w:rsidRPr="001B4A02" w:rsidRDefault="00D80CCA" w:rsidP="00D80CCA">
      <w:pPr>
        <w:pStyle w:val="EMEANormal"/>
        <w:keepNext/>
        <w:rPr>
          <w:lang w:val="cs-CZ"/>
        </w:rPr>
      </w:pPr>
    </w:p>
    <w:p w14:paraId="570D11C8" w14:textId="77777777" w:rsidR="00154F04" w:rsidRDefault="00000000" w:rsidP="00154F04">
      <w:pPr>
        <w:pStyle w:val="EMEANormal"/>
        <w:tabs>
          <w:tab w:val="clear" w:pos="562"/>
        </w:tabs>
        <w:rPr>
          <w:lang w:val="cs-CZ"/>
        </w:rPr>
      </w:pPr>
      <w:r w:rsidRPr="001B4A02">
        <w:rPr>
          <w:lang w:val="cs-CZ"/>
        </w:rPr>
        <w:t>Crohnova choroba je zánětlivé onemocnění trávicího traktu.</w:t>
      </w:r>
    </w:p>
    <w:p w14:paraId="2B701500" w14:textId="77777777" w:rsidR="00154F04" w:rsidRPr="001B4A02" w:rsidRDefault="00154F04" w:rsidP="00154F04">
      <w:pPr>
        <w:pStyle w:val="EMEANormal"/>
        <w:tabs>
          <w:tab w:val="clear" w:pos="562"/>
        </w:tabs>
        <w:rPr>
          <w:lang w:val="cs-CZ"/>
        </w:rPr>
      </w:pPr>
    </w:p>
    <w:p w14:paraId="05E277B2" w14:textId="77777777" w:rsidR="00D80CCA" w:rsidRPr="001B4A02" w:rsidRDefault="00000000" w:rsidP="00975013">
      <w:pPr>
        <w:keepNext/>
        <w:ind w:left="0" w:firstLine="0"/>
      </w:pPr>
      <w:r w:rsidRPr="001B4A02">
        <w:t xml:space="preserve">Přípravek Humira se používá k léčbě </w:t>
      </w:r>
    </w:p>
    <w:p w14:paraId="5C16A135" w14:textId="77777777" w:rsidR="00D80CCA" w:rsidRPr="001B4A02" w:rsidRDefault="00000000" w:rsidP="00D80CCA">
      <w:pPr>
        <w:pStyle w:val="EMEANormal"/>
        <w:numPr>
          <w:ilvl w:val="0"/>
          <w:numId w:val="102"/>
        </w:numPr>
        <w:tabs>
          <w:tab w:val="clear" w:pos="562"/>
          <w:tab w:val="left" w:pos="720"/>
        </w:tabs>
        <w:ind w:left="720"/>
        <w:rPr>
          <w:lang w:val="cs-CZ"/>
        </w:rPr>
      </w:pPr>
      <w:r w:rsidRPr="001B4A02">
        <w:rPr>
          <w:szCs w:val="21"/>
          <w:lang w:val="cs-CZ"/>
        </w:rPr>
        <w:t xml:space="preserve">středně </w:t>
      </w:r>
      <w:r w:rsidRPr="001B4A02">
        <w:rPr>
          <w:rFonts w:eastAsia="Calibri"/>
          <w:szCs w:val="22"/>
          <w:lang w:val="cs-CZ"/>
        </w:rPr>
        <w:t xml:space="preserve">těžké až těžké </w:t>
      </w:r>
      <w:r w:rsidRPr="001B4A02">
        <w:rPr>
          <w:szCs w:val="21"/>
          <w:lang w:val="cs-CZ"/>
        </w:rPr>
        <w:t>Crohnovy choroby u dospělých a</w:t>
      </w:r>
    </w:p>
    <w:p w14:paraId="6B335B46" w14:textId="77777777" w:rsidR="00D80CCA" w:rsidRPr="001B4A02" w:rsidRDefault="00000000" w:rsidP="00D80CCA">
      <w:pPr>
        <w:pStyle w:val="EMEANormal"/>
        <w:numPr>
          <w:ilvl w:val="0"/>
          <w:numId w:val="102"/>
        </w:numPr>
        <w:tabs>
          <w:tab w:val="clear" w:pos="562"/>
          <w:tab w:val="left" w:pos="720"/>
        </w:tabs>
        <w:ind w:left="720"/>
        <w:rPr>
          <w:lang w:val="cs-CZ"/>
        </w:rPr>
      </w:pPr>
      <w:r w:rsidRPr="001B4A02">
        <w:rPr>
          <w:szCs w:val="21"/>
          <w:lang w:val="cs-CZ"/>
        </w:rPr>
        <w:t xml:space="preserve">středně </w:t>
      </w:r>
      <w:r w:rsidRPr="001B4A02">
        <w:rPr>
          <w:rFonts w:eastAsia="Calibri"/>
          <w:szCs w:val="22"/>
          <w:lang w:val="cs-CZ"/>
        </w:rPr>
        <w:t xml:space="preserve">těžké až těžké </w:t>
      </w:r>
      <w:r w:rsidRPr="001B4A02">
        <w:rPr>
          <w:szCs w:val="21"/>
          <w:lang w:val="cs-CZ"/>
        </w:rPr>
        <w:t>Crohnovy choroby u dětí</w:t>
      </w:r>
      <w:r w:rsidR="002378E0">
        <w:rPr>
          <w:szCs w:val="21"/>
          <w:lang w:val="cs-CZ"/>
        </w:rPr>
        <w:t xml:space="preserve"> a </w:t>
      </w:r>
      <w:r w:rsidRPr="001B4A02">
        <w:rPr>
          <w:szCs w:val="21"/>
          <w:lang w:val="cs-CZ"/>
        </w:rPr>
        <w:t>dospívajících od 6 do 17 let.</w:t>
      </w:r>
    </w:p>
    <w:p w14:paraId="2C417149" w14:textId="77777777" w:rsidR="00D80CCA" w:rsidRPr="001B4A02" w:rsidRDefault="00D80CCA" w:rsidP="00D80CCA">
      <w:pPr>
        <w:ind w:left="0" w:firstLine="0"/>
      </w:pPr>
    </w:p>
    <w:p w14:paraId="65A3C3E0" w14:textId="77777777" w:rsidR="00D80CCA" w:rsidRPr="001B4A02" w:rsidRDefault="00000000" w:rsidP="00D80CCA">
      <w:pPr>
        <w:ind w:left="0" w:firstLine="0"/>
      </w:pPr>
      <w:r w:rsidRPr="001B4A02">
        <w:t>Mohou Vám být nejprve podávány jiné léky. Pokud u Vás tato léčba nevyvolá uspokojivou odpověď, pak dostanete přípravek Humira.</w:t>
      </w:r>
    </w:p>
    <w:p w14:paraId="569E57B8" w14:textId="77777777" w:rsidR="00D80CCA" w:rsidRPr="001B4A02" w:rsidRDefault="00D80CCA" w:rsidP="00D80CCA">
      <w:pPr>
        <w:ind w:left="0" w:firstLine="0"/>
      </w:pPr>
    </w:p>
    <w:p w14:paraId="1398048A" w14:textId="77777777" w:rsidR="00D80CCA" w:rsidRPr="001B4A02" w:rsidRDefault="00000000" w:rsidP="00975013">
      <w:pPr>
        <w:keepNext/>
        <w:ind w:left="0" w:firstLine="0"/>
        <w:rPr>
          <w:b/>
        </w:rPr>
      </w:pPr>
      <w:r w:rsidRPr="001B4A02">
        <w:rPr>
          <w:b/>
        </w:rPr>
        <w:t>Ulcerózní kolitida</w:t>
      </w:r>
    </w:p>
    <w:p w14:paraId="49F2DBAD" w14:textId="77777777" w:rsidR="00D80CCA" w:rsidRPr="001B4A02" w:rsidRDefault="00D80CCA" w:rsidP="00975013">
      <w:pPr>
        <w:keepNext/>
        <w:ind w:left="0" w:firstLine="0"/>
      </w:pPr>
    </w:p>
    <w:p w14:paraId="04E268DF" w14:textId="77777777" w:rsidR="00D80CCA" w:rsidRPr="001B4A02" w:rsidRDefault="00000000" w:rsidP="00D80CCA">
      <w:pPr>
        <w:ind w:left="0" w:firstLine="0"/>
      </w:pPr>
      <w:r w:rsidRPr="001B4A02">
        <w:t>Ulcerózní kolitida je zánětlivé onemocnění tlustého střeva.</w:t>
      </w:r>
    </w:p>
    <w:p w14:paraId="7CDDF180" w14:textId="77777777" w:rsidR="00D80CCA" w:rsidRPr="001B4A02" w:rsidRDefault="00D80CCA" w:rsidP="00D80CCA">
      <w:pPr>
        <w:ind w:left="0" w:firstLine="0"/>
      </w:pPr>
    </w:p>
    <w:p w14:paraId="6986A812" w14:textId="77777777" w:rsidR="00A909D3" w:rsidRDefault="00000000" w:rsidP="00975013">
      <w:pPr>
        <w:keepNext/>
        <w:ind w:left="0" w:firstLine="0"/>
      </w:pPr>
      <w:r w:rsidRPr="001B4A02">
        <w:t>Přípravek Humira se používá k léčbě</w:t>
      </w:r>
    </w:p>
    <w:p w14:paraId="6DEA9C05" w14:textId="77777777" w:rsidR="00A909D3" w:rsidRDefault="00000000" w:rsidP="001D2137">
      <w:pPr>
        <w:pStyle w:val="ListParagraph"/>
        <w:numPr>
          <w:ilvl w:val="0"/>
          <w:numId w:val="275"/>
        </w:numPr>
      </w:pPr>
      <w:r w:rsidRPr="001B4A02">
        <w:t>středně těžké až těžké ulcerózní kolitidy u dospělých</w:t>
      </w:r>
      <w:r w:rsidR="00875B54">
        <w:t xml:space="preserve"> a</w:t>
      </w:r>
    </w:p>
    <w:p w14:paraId="5C7051B8" w14:textId="77777777" w:rsidR="00A909D3" w:rsidRDefault="00000000" w:rsidP="00975013">
      <w:pPr>
        <w:pStyle w:val="ListParagraph"/>
        <w:numPr>
          <w:ilvl w:val="0"/>
          <w:numId w:val="275"/>
        </w:numPr>
        <w:ind w:left="714" w:hanging="357"/>
      </w:pPr>
      <w:r>
        <w:t>středně těžké až těžké ulcerózní kolitidy u dětí</w:t>
      </w:r>
      <w:r w:rsidR="002378E0">
        <w:t xml:space="preserve"> a </w:t>
      </w:r>
      <w:r>
        <w:t>dospívajících od 6 do 17 let</w:t>
      </w:r>
      <w:r w:rsidR="00875B54">
        <w:t>.</w:t>
      </w:r>
    </w:p>
    <w:p w14:paraId="5BFBDAE1" w14:textId="77777777" w:rsidR="00A909D3" w:rsidRDefault="00A909D3" w:rsidP="00D80CCA">
      <w:pPr>
        <w:ind w:left="0" w:firstLine="0"/>
      </w:pPr>
    </w:p>
    <w:p w14:paraId="6808DE2D" w14:textId="77777777" w:rsidR="00D80CCA" w:rsidRPr="001B4A02" w:rsidRDefault="00000000" w:rsidP="00D80CCA">
      <w:pPr>
        <w:ind w:left="0" w:firstLine="0"/>
      </w:pPr>
      <w:r w:rsidRPr="001B4A02">
        <w:t>Mohou Vám být nejprve podávány jiné léky. Pokud u Vás tato léčba nevyvolá uspokojivou odpověď, pak dostanete přípravek Humira.</w:t>
      </w:r>
    </w:p>
    <w:p w14:paraId="37404887" w14:textId="77777777" w:rsidR="00D80CCA" w:rsidRPr="001B4A02" w:rsidRDefault="00D80CCA" w:rsidP="00D80CCA">
      <w:pPr>
        <w:ind w:left="0" w:firstLine="0"/>
      </w:pPr>
    </w:p>
    <w:p w14:paraId="382B3743" w14:textId="77777777" w:rsidR="00D80CCA" w:rsidRPr="001B4A02" w:rsidRDefault="00000000" w:rsidP="00975013">
      <w:pPr>
        <w:pStyle w:val="EMEANormal"/>
        <w:keepNext/>
        <w:rPr>
          <w:b/>
          <w:lang w:val="cs-CZ"/>
        </w:rPr>
      </w:pPr>
      <w:r w:rsidRPr="001B4A02">
        <w:rPr>
          <w:b/>
          <w:szCs w:val="21"/>
          <w:lang w:val="cs-CZ"/>
        </w:rPr>
        <w:t>Neinfekční uveitida</w:t>
      </w:r>
    </w:p>
    <w:p w14:paraId="6CF3E578" w14:textId="77777777" w:rsidR="00D80CCA" w:rsidRPr="001B4A02" w:rsidRDefault="00D80CCA" w:rsidP="00975013">
      <w:pPr>
        <w:pStyle w:val="EMEANormal"/>
        <w:keepNext/>
        <w:rPr>
          <w:lang w:val="cs-CZ"/>
        </w:rPr>
      </w:pPr>
    </w:p>
    <w:p w14:paraId="63B72E84" w14:textId="77777777" w:rsidR="00D80CCA" w:rsidRPr="001B4A02" w:rsidRDefault="00000000" w:rsidP="00D80CCA">
      <w:pPr>
        <w:pStyle w:val="EMEANormal"/>
        <w:rPr>
          <w:lang w:val="cs-CZ"/>
        </w:rPr>
      </w:pPr>
      <w:r w:rsidRPr="001B4A02">
        <w:rPr>
          <w:lang w:val="cs-CZ"/>
        </w:rPr>
        <w:t>Neinfekční uveitida je zánětlivé onemocnění postihující některé části oka.</w:t>
      </w:r>
    </w:p>
    <w:p w14:paraId="05807CF6" w14:textId="77777777" w:rsidR="00D80CCA" w:rsidRPr="001B4A02" w:rsidRDefault="00D80CCA" w:rsidP="00D80CCA">
      <w:pPr>
        <w:pStyle w:val="EMEANormal"/>
        <w:rPr>
          <w:lang w:val="cs-CZ"/>
        </w:rPr>
      </w:pPr>
    </w:p>
    <w:p w14:paraId="2D469846" w14:textId="77777777" w:rsidR="00D80CCA" w:rsidRPr="001B4A02" w:rsidRDefault="00000000" w:rsidP="00975013">
      <w:pPr>
        <w:pStyle w:val="EMEANormal"/>
        <w:keepNext/>
        <w:rPr>
          <w:lang w:val="cs-CZ"/>
        </w:rPr>
      </w:pPr>
      <w:r w:rsidRPr="001B4A02">
        <w:rPr>
          <w:lang w:val="cs-CZ"/>
        </w:rPr>
        <w:t>Příp</w:t>
      </w:r>
      <w:r w:rsidR="00BD5616">
        <w:rPr>
          <w:lang w:val="cs-CZ"/>
        </w:rPr>
        <w:t>ravek Humira se používá k léčbě</w:t>
      </w:r>
    </w:p>
    <w:p w14:paraId="084C8408" w14:textId="77777777" w:rsidR="00D80CCA" w:rsidRPr="001B4A02" w:rsidRDefault="00000000" w:rsidP="007E416D">
      <w:pPr>
        <w:pStyle w:val="EMEANormal"/>
        <w:numPr>
          <w:ilvl w:val="0"/>
          <w:numId w:val="52"/>
        </w:numPr>
        <w:tabs>
          <w:tab w:val="clear" w:pos="562"/>
          <w:tab w:val="clear" w:pos="720"/>
        </w:tabs>
        <w:rPr>
          <w:lang w:val="cs-CZ"/>
        </w:rPr>
      </w:pPr>
      <w:r w:rsidRPr="001B4A02">
        <w:rPr>
          <w:lang w:val="cs-CZ"/>
        </w:rPr>
        <w:t>dospělých s neinfekční uveitidou se zánětem postihujícím zadní část oka</w:t>
      </w:r>
    </w:p>
    <w:p w14:paraId="7A71EF22" w14:textId="77777777" w:rsidR="00D80CCA" w:rsidRPr="001B4A02" w:rsidRDefault="00000000" w:rsidP="007E416D">
      <w:pPr>
        <w:pStyle w:val="EMEANormal"/>
        <w:numPr>
          <w:ilvl w:val="0"/>
          <w:numId w:val="52"/>
        </w:numPr>
        <w:tabs>
          <w:tab w:val="clear" w:pos="562"/>
          <w:tab w:val="clear" w:pos="720"/>
        </w:tabs>
        <w:rPr>
          <w:lang w:val="cs-CZ"/>
        </w:rPr>
      </w:pPr>
      <w:r w:rsidRPr="001B4A02">
        <w:rPr>
          <w:lang w:val="cs-CZ"/>
        </w:rPr>
        <w:t>dětí od 2 let s chronickou neinfekční uveitidou se zánětem postihujícím přední část oka</w:t>
      </w:r>
      <w:r w:rsidR="00E863A7">
        <w:rPr>
          <w:lang w:val="cs-CZ"/>
        </w:rPr>
        <w:t>.</w:t>
      </w:r>
    </w:p>
    <w:p w14:paraId="7FEFEF72" w14:textId="77777777" w:rsidR="00D80CCA" w:rsidRPr="001B4A02" w:rsidRDefault="00D80CCA" w:rsidP="00D80CCA">
      <w:pPr>
        <w:pStyle w:val="EMEANormal"/>
        <w:rPr>
          <w:lang w:val="cs-CZ"/>
        </w:rPr>
      </w:pPr>
    </w:p>
    <w:p w14:paraId="32C1F19C" w14:textId="77777777" w:rsidR="00D80CCA" w:rsidRPr="001B4A02" w:rsidRDefault="00000000" w:rsidP="00D80CCA">
      <w:pPr>
        <w:pStyle w:val="EMEANormal"/>
        <w:rPr>
          <w:lang w:val="cs-CZ"/>
        </w:rPr>
      </w:pPr>
      <w:r w:rsidRPr="001B4A02">
        <w:rPr>
          <w:lang w:val="cs-CZ"/>
        </w:rPr>
        <w:t>Tento zánět může vést ke zhoršení zraku a/nebo výskytu plovoucích zákalů v oku (černé tečky nebo chomáčkovité čáry pohybující se v zorném poli). Přípravek Humira tento zánět snižuje.</w:t>
      </w:r>
    </w:p>
    <w:p w14:paraId="555EB7A0" w14:textId="77777777" w:rsidR="00D80CCA" w:rsidRPr="001B4A02" w:rsidRDefault="00D80CCA" w:rsidP="00D80CCA">
      <w:pPr>
        <w:pStyle w:val="EMEANormal"/>
        <w:tabs>
          <w:tab w:val="clear" w:pos="562"/>
        </w:tabs>
        <w:rPr>
          <w:lang w:val="cs-CZ"/>
        </w:rPr>
      </w:pPr>
    </w:p>
    <w:p w14:paraId="2DB759AE" w14:textId="77777777" w:rsidR="00D80CCA" w:rsidRPr="001B4A02" w:rsidRDefault="00000000" w:rsidP="00D80CCA">
      <w:pPr>
        <w:pStyle w:val="EMEANormal"/>
        <w:tabs>
          <w:tab w:val="clear" w:pos="562"/>
        </w:tabs>
        <w:rPr>
          <w:lang w:val="cs-CZ"/>
        </w:rPr>
      </w:pPr>
      <w:r w:rsidRPr="001B4A02">
        <w:rPr>
          <w:lang w:val="cs-CZ"/>
        </w:rPr>
        <w:t>Mohou Vám být nejprve podány jiné léky. Pokud u Vás tato léčba nevyvolá uspokojivou odpověď, pak dostanete přípravek Humira.</w:t>
      </w:r>
    </w:p>
    <w:p w14:paraId="6DF838E8" w14:textId="77777777" w:rsidR="00D80CCA" w:rsidRPr="001B4A02" w:rsidRDefault="00D80CCA" w:rsidP="00D80CCA">
      <w:pPr>
        <w:ind w:left="0" w:firstLine="0"/>
      </w:pPr>
    </w:p>
    <w:p w14:paraId="66AC0E2C" w14:textId="77777777" w:rsidR="00D80CCA" w:rsidRPr="001B4A02" w:rsidRDefault="00D80CCA" w:rsidP="00D80CCA">
      <w:pPr>
        <w:ind w:left="0" w:firstLine="0"/>
      </w:pPr>
    </w:p>
    <w:p w14:paraId="71A88B6B" w14:textId="77777777" w:rsidR="00D80CCA" w:rsidRPr="001B4A02" w:rsidRDefault="00000000" w:rsidP="004B14C0">
      <w:pPr>
        <w:keepNext/>
        <w:numPr>
          <w:ilvl w:val="12"/>
          <w:numId w:val="0"/>
        </w:numPr>
        <w:ind w:left="567" w:hanging="567"/>
        <w:outlineLvl w:val="1"/>
      </w:pPr>
      <w:r w:rsidRPr="001B4A02">
        <w:rPr>
          <w:b/>
        </w:rPr>
        <w:t>2.</w:t>
      </w:r>
      <w:r w:rsidRPr="001B4A02">
        <w:rPr>
          <w:b/>
        </w:rPr>
        <w:tab/>
        <w:t>Čemu musíte věnovat pozornost, než začnete přípravek Humira používat</w:t>
      </w:r>
    </w:p>
    <w:p w14:paraId="69F9751D" w14:textId="77777777" w:rsidR="00D80CCA" w:rsidRPr="001B4A02" w:rsidRDefault="00D80CCA" w:rsidP="007E416D">
      <w:pPr>
        <w:keepNext/>
        <w:numPr>
          <w:ilvl w:val="12"/>
          <w:numId w:val="0"/>
        </w:numPr>
        <w:ind w:right="-2"/>
      </w:pPr>
    </w:p>
    <w:p w14:paraId="220ED372" w14:textId="77777777" w:rsidR="00D80CCA" w:rsidRPr="001B4A02" w:rsidRDefault="00000000" w:rsidP="007E416D">
      <w:pPr>
        <w:keepNext/>
        <w:ind w:left="0" w:right="-29" w:firstLine="0"/>
        <w:jc w:val="both"/>
        <w:rPr>
          <w:b/>
        </w:rPr>
      </w:pPr>
      <w:r w:rsidRPr="001B4A02">
        <w:rPr>
          <w:b/>
        </w:rPr>
        <w:t>Nepoužívejte přípravek Humira</w:t>
      </w:r>
    </w:p>
    <w:p w14:paraId="2DD28432" w14:textId="77777777" w:rsidR="00D80CCA" w:rsidRPr="001B4A02" w:rsidRDefault="00D80CCA" w:rsidP="007E416D">
      <w:pPr>
        <w:keepNext/>
        <w:ind w:left="0" w:firstLine="0"/>
      </w:pPr>
    </w:p>
    <w:p w14:paraId="00264C75" w14:textId="77777777" w:rsidR="00D80CCA" w:rsidRPr="001B4A02" w:rsidRDefault="00000000" w:rsidP="00D80CCA">
      <w:pPr>
        <w:numPr>
          <w:ilvl w:val="0"/>
          <w:numId w:val="15"/>
        </w:numPr>
        <w:tabs>
          <w:tab w:val="clear" w:pos="720"/>
        </w:tabs>
        <w:ind w:left="567" w:hanging="567"/>
      </w:pPr>
      <w:r w:rsidRPr="001B4A02">
        <w:t>Jestliže jste alergický(á) na adalimumab nebo na kteroukoli další složku tohoto přípravku (uvedenou v bodě 6).</w:t>
      </w:r>
    </w:p>
    <w:p w14:paraId="584FD342" w14:textId="77777777" w:rsidR="00D80CCA" w:rsidRPr="001B4A02" w:rsidRDefault="00D80CCA" w:rsidP="00D80CCA"/>
    <w:p w14:paraId="09687202" w14:textId="77777777" w:rsidR="00D80CCA" w:rsidRPr="001B4A02" w:rsidRDefault="00000000" w:rsidP="00D80CCA">
      <w:pPr>
        <w:numPr>
          <w:ilvl w:val="0"/>
          <w:numId w:val="15"/>
        </w:numPr>
        <w:tabs>
          <w:tab w:val="clear" w:pos="720"/>
        </w:tabs>
        <w:ind w:left="567" w:hanging="567"/>
      </w:pPr>
      <w:r w:rsidRPr="001B4A02">
        <w:t>Jestliže máte aktivní tuberkulózu nebo jiné závažné infekce (viz „Upozornění</w:t>
      </w:r>
      <w:r w:rsidR="002378E0">
        <w:t xml:space="preserve"> a </w:t>
      </w:r>
      <w:r w:rsidRPr="001B4A02">
        <w:t>opatření“). Je důležité, abyste lékaře informoval(a), pokud se u Vás vyskytují příznaky infekce, např. horečka, zranění, pocit únavy nebo problémy se zuby.</w:t>
      </w:r>
    </w:p>
    <w:p w14:paraId="06EA6F3A" w14:textId="77777777" w:rsidR="00D80CCA" w:rsidRPr="001B4A02" w:rsidRDefault="00D80CCA" w:rsidP="00D80CCA"/>
    <w:p w14:paraId="6AB9B5E5" w14:textId="77777777" w:rsidR="00D80CCA" w:rsidRPr="001B4A02" w:rsidRDefault="00000000" w:rsidP="00D80CCA">
      <w:pPr>
        <w:numPr>
          <w:ilvl w:val="0"/>
          <w:numId w:val="15"/>
        </w:numPr>
        <w:tabs>
          <w:tab w:val="clear" w:pos="720"/>
        </w:tabs>
        <w:ind w:left="567" w:hanging="567"/>
      </w:pPr>
      <w:r w:rsidRPr="001B4A02">
        <w:t>Jestliže trpíte středně těžkým nebo těžkým srdečním selháním. Je důležité, abyste informoval(a) svého lékaře, pokud se u Vás vyskytly nebo v současné době vyskytují vážné problémy se srdcem (viz „Upozornění</w:t>
      </w:r>
      <w:r w:rsidR="002378E0">
        <w:t xml:space="preserve"> a </w:t>
      </w:r>
      <w:r w:rsidRPr="001B4A02">
        <w:t>opatření“).</w:t>
      </w:r>
    </w:p>
    <w:p w14:paraId="71840A60" w14:textId="77777777" w:rsidR="00D80CCA" w:rsidRPr="001B4A02" w:rsidRDefault="00D80CCA" w:rsidP="00D80CCA">
      <w:pPr>
        <w:pStyle w:val="EndnoteText"/>
        <w:rPr>
          <w:lang w:val="cs-CZ"/>
        </w:rPr>
      </w:pPr>
    </w:p>
    <w:p w14:paraId="718EEC33" w14:textId="77777777" w:rsidR="00D80CCA" w:rsidRPr="001B4A02" w:rsidRDefault="00000000" w:rsidP="00D80CCA">
      <w:pPr>
        <w:keepNext/>
        <w:rPr>
          <w:b/>
        </w:rPr>
      </w:pPr>
      <w:r w:rsidRPr="001B4A02">
        <w:rPr>
          <w:b/>
        </w:rPr>
        <w:t>Upozornění</w:t>
      </w:r>
      <w:r w:rsidR="002378E0">
        <w:rPr>
          <w:b/>
        </w:rPr>
        <w:t xml:space="preserve"> a </w:t>
      </w:r>
      <w:r w:rsidRPr="001B4A02">
        <w:rPr>
          <w:b/>
        </w:rPr>
        <w:t>opatření</w:t>
      </w:r>
    </w:p>
    <w:p w14:paraId="13084CF4" w14:textId="77777777" w:rsidR="00D80CCA" w:rsidRPr="001B4A02" w:rsidRDefault="00D80CCA" w:rsidP="00D80CCA">
      <w:pPr>
        <w:keepNext/>
      </w:pPr>
    </w:p>
    <w:p w14:paraId="407CD9D3" w14:textId="77777777" w:rsidR="00D80CCA" w:rsidRPr="001B4A02" w:rsidRDefault="00000000" w:rsidP="00262E54">
      <w:r w:rsidRPr="001B4A02">
        <w:t>Před použitím přípravku Humira se poraďte se svým lékařem nebo lékárníkem.</w:t>
      </w:r>
    </w:p>
    <w:p w14:paraId="10BD3B70" w14:textId="77777777" w:rsidR="00D80CCA" w:rsidRPr="001B4A02" w:rsidRDefault="00D80CCA" w:rsidP="00D80CCA">
      <w:pPr>
        <w:pStyle w:val="EMEANormal"/>
        <w:tabs>
          <w:tab w:val="clear" w:pos="562"/>
          <w:tab w:val="num" w:pos="550"/>
        </w:tabs>
        <w:ind w:left="550" w:hanging="550"/>
        <w:rPr>
          <w:highlight w:val="yellow"/>
          <w:lang w:val="cs-CZ"/>
        </w:rPr>
      </w:pPr>
    </w:p>
    <w:p w14:paraId="469DEB9D" w14:textId="77777777" w:rsidR="00D80CCA" w:rsidRPr="001B4A02" w:rsidRDefault="00000000" w:rsidP="00262E54">
      <w:pPr>
        <w:keepNext/>
        <w:rPr>
          <w:u w:val="single"/>
        </w:rPr>
      </w:pPr>
      <w:r w:rsidRPr="001B4A02">
        <w:rPr>
          <w:u w:val="single"/>
        </w:rPr>
        <w:t>Alergické reakce</w:t>
      </w:r>
    </w:p>
    <w:p w14:paraId="3364BB28" w14:textId="77777777" w:rsidR="00D80CCA" w:rsidRPr="001B4A02" w:rsidRDefault="00D80CCA" w:rsidP="00262E54">
      <w:pPr>
        <w:keepNext/>
      </w:pPr>
    </w:p>
    <w:p w14:paraId="3A6CAE32" w14:textId="77777777" w:rsidR="00D80CCA" w:rsidRPr="001B4A02" w:rsidRDefault="00000000" w:rsidP="00D80CCA">
      <w:pPr>
        <w:numPr>
          <w:ilvl w:val="0"/>
          <w:numId w:val="15"/>
        </w:numPr>
        <w:tabs>
          <w:tab w:val="clear" w:pos="720"/>
          <w:tab w:val="num" w:pos="540"/>
        </w:tabs>
        <w:ind w:left="567" w:hanging="567"/>
      </w:pPr>
      <w:r w:rsidRPr="001B4A02">
        <w:t>Jestliže se u Vás objeví alergické reakce s příznaky, jako je pocit tíhy na hrudi, dýchavičnost, závratě, otoky nebo vyrážka, nepodávejte si další injekci přípravku Humira</w:t>
      </w:r>
      <w:r w:rsidR="002378E0">
        <w:t xml:space="preserve"> a </w:t>
      </w:r>
      <w:r w:rsidRPr="001B4A02">
        <w:t xml:space="preserve">kontaktujte ihned svého lékaře, protože </w:t>
      </w:r>
      <w:r w:rsidRPr="001B4A02">
        <w:rPr>
          <w:bCs/>
          <w:szCs w:val="22"/>
        </w:rPr>
        <w:t>tyto reakce mohou být ve vzácných případech život ohrožující</w:t>
      </w:r>
      <w:r w:rsidRPr="001B4A02">
        <w:t>.</w:t>
      </w:r>
    </w:p>
    <w:p w14:paraId="766384A2" w14:textId="77777777" w:rsidR="00D80CCA" w:rsidRPr="001B4A02" w:rsidRDefault="00D80CCA" w:rsidP="00D80CCA">
      <w:pPr>
        <w:ind w:left="0" w:firstLine="0"/>
      </w:pPr>
    </w:p>
    <w:p w14:paraId="62E43E33" w14:textId="77777777" w:rsidR="00D80CCA" w:rsidRPr="001B4A02" w:rsidRDefault="00000000" w:rsidP="00262E54">
      <w:pPr>
        <w:keepNext/>
        <w:ind w:left="0" w:firstLine="0"/>
        <w:rPr>
          <w:u w:val="single"/>
        </w:rPr>
      </w:pPr>
      <w:r w:rsidRPr="001B4A02">
        <w:rPr>
          <w:u w:val="single"/>
        </w:rPr>
        <w:t>Infekce</w:t>
      </w:r>
    </w:p>
    <w:p w14:paraId="69331466" w14:textId="77777777" w:rsidR="00D80CCA" w:rsidRPr="001B4A02" w:rsidRDefault="00D80CCA" w:rsidP="00262E54">
      <w:pPr>
        <w:keepNext/>
        <w:tabs>
          <w:tab w:val="num" w:pos="540"/>
        </w:tabs>
      </w:pPr>
    </w:p>
    <w:p w14:paraId="67A28024" w14:textId="77777777" w:rsidR="00D80CCA" w:rsidRPr="001B4A02" w:rsidRDefault="00000000" w:rsidP="00D80CCA">
      <w:pPr>
        <w:numPr>
          <w:ilvl w:val="0"/>
          <w:numId w:val="15"/>
        </w:numPr>
        <w:tabs>
          <w:tab w:val="clear" w:pos="720"/>
          <w:tab w:val="num" w:pos="540"/>
        </w:tabs>
        <w:ind w:left="567" w:hanging="567"/>
      </w:pPr>
      <w:r w:rsidRPr="001B4A02">
        <w:t>Jestliže máte nějakou infekci, včetně dlouhodobé infekce nebo infekce postihující jednu část těla (například bércový vřed), obraťte se před zahájením léčby přípravkem Humira na svého lékaře. Pokud si nejste jistý(á), kontaktujte svého lékaře.</w:t>
      </w:r>
    </w:p>
    <w:p w14:paraId="601AE547" w14:textId="77777777" w:rsidR="00D80CCA" w:rsidRPr="001B4A02" w:rsidRDefault="00D80CCA" w:rsidP="00D80CCA">
      <w:pPr>
        <w:tabs>
          <w:tab w:val="num" w:pos="540"/>
        </w:tabs>
      </w:pPr>
    </w:p>
    <w:p w14:paraId="02DACCD5" w14:textId="77777777" w:rsidR="00D80CCA" w:rsidRPr="001B4A02" w:rsidRDefault="00000000" w:rsidP="00D80CCA">
      <w:pPr>
        <w:numPr>
          <w:ilvl w:val="0"/>
          <w:numId w:val="15"/>
        </w:numPr>
        <w:tabs>
          <w:tab w:val="clear" w:pos="720"/>
          <w:tab w:val="num" w:pos="540"/>
        </w:tabs>
        <w:ind w:left="567" w:hanging="567"/>
      </w:pPr>
      <w:r w:rsidRPr="001B4A02">
        <w:t xml:space="preserve">Při léčbě přípravkem Humira můžete být náchylnější k infekcím. Riziko může stoupat, pokud máte problémy s plícemi. Tyto infekce mohou být </w:t>
      </w:r>
      <w:r w:rsidRPr="001B4A02">
        <w:rPr>
          <w:bCs/>
          <w:szCs w:val="22"/>
        </w:rPr>
        <w:t>závažné</w:t>
      </w:r>
      <w:r w:rsidR="002378E0">
        <w:rPr>
          <w:bCs/>
          <w:szCs w:val="22"/>
        </w:rPr>
        <w:t xml:space="preserve"> a </w:t>
      </w:r>
      <w:r w:rsidRPr="001B4A02">
        <w:rPr>
          <w:bCs/>
          <w:szCs w:val="22"/>
        </w:rPr>
        <w:t>zahrnují:</w:t>
      </w:r>
    </w:p>
    <w:p w14:paraId="1EF0BA68" w14:textId="77777777" w:rsidR="00D80CCA" w:rsidRPr="001B4A02" w:rsidRDefault="00000000" w:rsidP="00D80CCA">
      <w:pPr>
        <w:numPr>
          <w:ilvl w:val="1"/>
          <w:numId w:val="15"/>
        </w:numPr>
      </w:pPr>
      <w:r w:rsidRPr="001B4A02">
        <w:rPr>
          <w:bCs/>
          <w:szCs w:val="22"/>
        </w:rPr>
        <w:t xml:space="preserve">tuberkulózu </w:t>
      </w:r>
    </w:p>
    <w:p w14:paraId="142BF603" w14:textId="77777777" w:rsidR="00D80CCA" w:rsidRPr="001B4A02" w:rsidRDefault="00000000" w:rsidP="00D80CCA">
      <w:pPr>
        <w:numPr>
          <w:ilvl w:val="1"/>
          <w:numId w:val="15"/>
        </w:numPr>
      </w:pPr>
      <w:r w:rsidRPr="001B4A02">
        <w:rPr>
          <w:bCs/>
          <w:szCs w:val="22"/>
        </w:rPr>
        <w:t xml:space="preserve">infekce způsobené viry, plísněmi, </w:t>
      </w:r>
      <w:r w:rsidRPr="001B4A02">
        <w:t xml:space="preserve">parazity </w:t>
      </w:r>
      <w:r w:rsidRPr="001B4A02">
        <w:rPr>
          <w:bCs/>
          <w:szCs w:val="22"/>
        </w:rPr>
        <w:t>nebo bakteriemi</w:t>
      </w:r>
    </w:p>
    <w:p w14:paraId="75898D7B" w14:textId="77777777" w:rsidR="00D80CCA" w:rsidRPr="001B4A02" w:rsidRDefault="00000000" w:rsidP="00D80CCA">
      <w:pPr>
        <w:numPr>
          <w:ilvl w:val="1"/>
          <w:numId w:val="15"/>
        </w:numPr>
      </w:pPr>
      <w:r w:rsidRPr="001B4A02">
        <w:rPr>
          <w:bCs/>
          <w:szCs w:val="22"/>
        </w:rPr>
        <w:t>závažné infekce v krvi (sepse)</w:t>
      </w:r>
    </w:p>
    <w:p w14:paraId="390590F5" w14:textId="77777777" w:rsidR="00D80CCA" w:rsidRPr="001B4A02" w:rsidRDefault="00D80CCA" w:rsidP="00D80CCA">
      <w:pPr>
        <w:ind w:firstLine="0"/>
        <w:rPr>
          <w:bCs/>
          <w:szCs w:val="22"/>
        </w:rPr>
      </w:pPr>
    </w:p>
    <w:p w14:paraId="2596E8CA" w14:textId="77777777" w:rsidR="00D80CCA" w:rsidRPr="001B4A02" w:rsidRDefault="00000000" w:rsidP="00D80CCA">
      <w:pPr>
        <w:ind w:firstLine="0"/>
      </w:pPr>
      <w:r w:rsidRPr="001B4A02">
        <w:rPr>
          <w:bCs/>
          <w:szCs w:val="22"/>
        </w:rPr>
        <w:t>Tyto infekce mohou být ve vzácných případech život ohrožující</w:t>
      </w:r>
      <w:r w:rsidRPr="001B4A02">
        <w:t xml:space="preserve">. Je důležité, abyste informoval(a) lékaře, pokud se u Vás vyskytnou příznaky, jako je horečka, zranění, </w:t>
      </w:r>
      <w:r w:rsidR="009D27A7">
        <w:t xml:space="preserve">pocit </w:t>
      </w:r>
      <w:r w:rsidR="009D27A7" w:rsidRPr="001B4A02">
        <w:t>únav</w:t>
      </w:r>
      <w:r w:rsidR="009D27A7">
        <w:t>y</w:t>
      </w:r>
      <w:r w:rsidR="009D27A7" w:rsidRPr="001B4A02">
        <w:t xml:space="preserve"> </w:t>
      </w:r>
      <w:r w:rsidRPr="001B4A02">
        <w:t>nebo problémy se zuby. Váš lékař Vám může říci, abyste po nějakou dobu přípravek Humira nepoužíval(a).</w:t>
      </w:r>
    </w:p>
    <w:p w14:paraId="296D426F" w14:textId="77777777" w:rsidR="00D80CCA" w:rsidRPr="001B4A02" w:rsidRDefault="00D80CCA" w:rsidP="00D80CCA">
      <w:pPr>
        <w:ind w:firstLine="0"/>
      </w:pPr>
    </w:p>
    <w:p w14:paraId="5F9A66E0" w14:textId="77777777" w:rsidR="00D80CCA" w:rsidRPr="001B4A02" w:rsidRDefault="00000000" w:rsidP="00D80CCA">
      <w:pPr>
        <w:pStyle w:val="EMEABullet2"/>
        <w:numPr>
          <w:ilvl w:val="0"/>
          <w:numId w:val="103"/>
        </w:numPr>
        <w:tabs>
          <w:tab w:val="clear" w:pos="720"/>
          <w:tab w:val="num" w:pos="567"/>
        </w:tabs>
        <w:ind w:left="567" w:hanging="567"/>
        <w:rPr>
          <w:lang w:val="cs-CZ"/>
        </w:rPr>
      </w:pPr>
      <w:r w:rsidRPr="001B4A02">
        <w:rPr>
          <w:lang w:val="cs-CZ"/>
        </w:rPr>
        <w:t>Jestliže žijete v oblastech, ve kterých jsou velmi časté plísňové infekce (například histoplasmóza, kokcidioidomykóza nebo blastomykóza), nebo pokud do takových oblastí cestujete, oznamte to svému lékaři.</w:t>
      </w:r>
    </w:p>
    <w:p w14:paraId="41699550" w14:textId="77777777" w:rsidR="00D80CCA" w:rsidRPr="001B4A02" w:rsidRDefault="00D80CCA" w:rsidP="00D80CCA">
      <w:pPr>
        <w:pStyle w:val="EMEANormal"/>
        <w:rPr>
          <w:lang w:val="cs-CZ"/>
        </w:rPr>
      </w:pPr>
    </w:p>
    <w:p w14:paraId="0A91F429" w14:textId="77777777" w:rsidR="00D80CCA" w:rsidRPr="001B4A02" w:rsidRDefault="00000000" w:rsidP="00D80CCA">
      <w:pPr>
        <w:pStyle w:val="EMEABullet2"/>
        <w:numPr>
          <w:ilvl w:val="0"/>
          <w:numId w:val="103"/>
        </w:numPr>
        <w:tabs>
          <w:tab w:val="clear" w:pos="720"/>
          <w:tab w:val="num" w:pos="567"/>
        </w:tabs>
        <w:ind w:left="567" w:hanging="567"/>
        <w:rPr>
          <w:lang w:val="cs-CZ"/>
        </w:rPr>
      </w:pPr>
      <w:r w:rsidRPr="001B4A02">
        <w:rPr>
          <w:lang w:val="cs-CZ"/>
        </w:rPr>
        <w:t>Jestliže trpíte opakovanými infekcemi nebo jinými stavy, které zvyšují riziko infekce, oznamte to svému lékaři.</w:t>
      </w:r>
    </w:p>
    <w:p w14:paraId="1C50710F" w14:textId="77777777" w:rsidR="00D80CCA" w:rsidRPr="001B4A02" w:rsidRDefault="00D80CCA" w:rsidP="00D80CCA">
      <w:pPr>
        <w:pStyle w:val="EMEANormal"/>
        <w:rPr>
          <w:lang w:val="cs-CZ"/>
        </w:rPr>
      </w:pPr>
    </w:p>
    <w:p w14:paraId="550E0DB6" w14:textId="77777777" w:rsidR="00D80CCA" w:rsidRPr="001B4A02" w:rsidRDefault="00000000" w:rsidP="00D80CCA">
      <w:pPr>
        <w:pStyle w:val="EMEABullet2"/>
        <w:numPr>
          <w:ilvl w:val="0"/>
          <w:numId w:val="103"/>
        </w:numPr>
        <w:tabs>
          <w:tab w:val="clear" w:pos="720"/>
          <w:tab w:val="num" w:pos="567"/>
        </w:tabs>
        <w:suppressAutoHyphens w:val="0"/>
        <w:ind w:left="567" w:hanging="567"/>
        <w:rPr>
          <w:lang w:val="cs-CZ"/>
        </w:rPr>
      </w:pPr>
      <w:r w:rsidRPr="001B4A02">
        <w:rPr>
          <w:lang w:val="cs-CZ"/>
        </w:rPr>
        <w:t>Jestliže je Vám více než 65 let, může být u Vás při používání přípravku Humira vyšší pravděpodobnost onemocnění nějakou infekcí. Vy i Váš lékař byste během léčby přípravkem Humira měli věnovat zvláštní pozornost známkám infekce. Je důležité informovat svého lékaře, jestliže se u Vás vyskytnou příznaky infekce, například horečka, pokud jste se poranil(a), máte pocit únavy nebo problémy se zuby.</w:t>
      </w:r>
    </w:p>
    <w:p w14:paraId="1730E0FA" w14:textId="77777777" w:rsidR="00D80CCA" w:rsidRPr="001B4A02" w:rsidRDefault="00D80CCA" w:rsidP="00B20827">
      <w:pPr>
        <w:ind w:left="0" w:firstLine="0"/>
      </w:pPr>
    </w:p>
    <w:p w14:paraId="493392D6" w14:textId="77777777" w:rsidR="00D80CCA" w:rsidRPr="001B4A02" w:rsidRDefault="00000000" w:rsidP="00B20827">
      <w:pPr>
        <w:pStyle w:val="EMEABullet2"/>
        <w:keepNext/>
        <w:numPr>
          <w:ilvl w:val="0"/>
          <w:numId w:val="0"/>
        </w:numPr>
        <w:tabs>
          <w:tab w:val="clear" w:pos="567"/>
          <w:tab w:val="left" w:pos="0"/>
        </w:tabs>
        <w:rPr>
          <w:u w:val="single"/>
          <w:lang w:val="cs-CZ"/>
        </w:rPr>
      </w:pPr>
      <w:r w:rsidRPr="001B4A02">
        <w:rPr>
          <w:u w:val="single"/>
          <w:lang w:val="cs-CZ"/>
        </w:rPr>
        <w:t>Tuberkulóza</w:t>
      </w:r>
    </w:p>
    <w:p w14:paraId="5A950889" w14:textId="77777777" w:rsidR="00D80CCA" w:rsidRPr="001B4A02" w:rsidRDefault="00D80CCA" w:rsidP="00B20827">
      <w:pPr>
        <w:keepNext/>
        <w:tabs>
          <w:tab w:val="num" w:pos="540"/>
        </w:tabs>
      </w:pPr>
    </w:p>
    <w:p w14:paraId="22756615" w14:textId="77777777" w:rsidR="00D80CCA" w:rsidRPr="001B4A02" w:rsidRDefault="00000000" w:rsidP="00D80CCA">
      <w:pPr>
        <w:numPr>
          <w:ilvl w:val="0"/>
          <w:numId w:val="15"/>
        </w:numPr>
        <w:tabs>
          <w:tab w:val="clear" w:pos="720"/>
          <w:tab w:val="num" w:pos="567"/>
        </w:tabs>
        <w:ind w:left="567" w:hanging="567"/>
      </w:pPr>
      <w:r w:rsidRPr="001B4A02">
        <w:t>Je velmi důležité, abyste informoval(a) svého lékaře v</w:t>
      </w:r>
      <w:r w:rsidR="00BA5CF8">
        <w:t> </w:t>
      </w:r>
      <w:r w:rsidRPr="001B4A02">
        <w:t>případě, že jste měl(a) tuberkulózu nebo jste byl(a) v</w:t>
      </w:r>
      <w:r w:rsidR="00BA5CF8">
        <w:t> </w:t>
      </w:r>
      <w:r w:rsidRPr="001B4A02">
        <w:t>těsném kontaktu s</w:t>
      </w:r>
      <w:r w:rsidR="00BA5CF8">
        <w:t> </w:t>
      </w:r>
      <w:r w:rsidRPr="001B4A02">
        <w:t>někým, kdo měl tuberkulózu. Jestliže máte aktivní tuberkulózu, přípravek Humira nepoužívejte.</w:t>
      </w:r>
    </w:p>
    <w:p w14:paraId="0CDA0634" w14:textId="77777777" w:rsidR="00D80CCA" w:rsidRPr="001B4A02" w:rsidRDefault="00D80CCA" w:rsidP="00D80CCA">
      <w:pPr>
        <w:ind w:firstLine="0"/>
      </w:pPr>
    </w:p>
    <w:p w14:paraId="232CB2D0" w14:textId="77777777" w:rsidR="00D80CCA" w:rsidRPr="001B4A02" w:rsidRDefault="00000000" w:rsidP="00D80CCA">
      <w:pPr>
        <w:numPr>
          <w:ilvl w:val="0"/>
          <w:numId w:val="15"/>
        </w:numPr>
        <w:tabs>
          <w:tab w:val="clear" w:pos="720"/>
          <w:tab w:val="num" w:pos="1418"/>
        </w:tabs>
        <w:ind w:left="1418" w:hanging="284"/>
      </w:pPr>
      <w:r w:rsidRPr="001B4A02">
        <w:t>Protože u pacientů léčených přípravkem Humira byly hlášeny případy tuberkulózy, před zahájením léčby přípravkem Humira Vás lékař vyšetří, zda se příznaky tohoto onemocnění u Vás nevyskytly. To znamená, že u Vás podrobně zhodnotí dříve prodělaná onemocnění</w:t>
      </w:r>
      <w:r w:rsidR="002378E0">
        <w:t xml:space="preserve"> a </w:t>
      </w:r>
      <w:r w:rsidRPr="001B4A02">
        <w:t>provede potřebná kontrolní vyšetření (například rentgen hrudníku</w:t>
      </w:r>
      <w:r w:rsidR="002378E0">
        <w:t xml:space="preserve"> a </w:t>
      </w:r>
      <w:r w:rsidRPr="001B4A02">
        <w:t>tuberkulinový test). Provedení těchto vyšetření</w:t>
      </w:r>
      <w:r w:rsidR="002378E0">
        <w:t xml:space="preserve"> a </w:t>
      </w:r>
      <w:r w:rsidRPr="001B4A02">
        <w:t xml:space="preserve">jejich výsledky zaznamená do Vaší </w:t>
      </w:r>
      <w:r w:rsidRPr="001B4A02">
        <w:rPr>
          <w:b/>
        </w:rPr>
        <w:t>informační kartičky</w:t>
      </w:r>
      <w:r w:rsidR="008F0064">
        <w:t>.</w:t>
      </w:r>
    </w:p>
    <w:p w14:paraId="04D498B4" w14:textId="77777777" w:rsidR="00D80CCA" w:rsidRPr="001B4A02" w:rsidRDefault="00000000" w:rsidP="00D80CCA">
      <w:pPr>
        <w:numPr>
          <w:ilvl w:val="0"/>
          <w:numId w:val="15"/>
        </w:numPr>
        <w:tabs>
          <w:tab w:val="clear" w:pos="720"/>
          <w:tab w:val="num" w:pos="786"/>
          <w:tab w:val="left" w:pos="1418"/>
        </w:tabs>
        <w:ind w:left="1418" w:hanging="284"/>
      </w:pPr>
      <w:r w:rsidRPr="001B4A02">
        <w:t>Tuberkulóza se může vyvinout během léčby,</w:t>
      </w:r>
      <w:r w:rsidR="002378E0">
        <w:t xml:space="preserve"> a </w:t>
      </w:r>
      <w:r w:rsidRPr="001B4A02">
        <w:t>to i v případě, že jste dostával(a) nebo dostáváte léky na prevenci tuberkulózy.</w:t>
      </w:r>
    </w:p>
    <w:p w14:paraId="6AF2DB46" w14:textId="77777777" w:rsidR="00D80CCA" w:rsidRPr="001B4A02" w:rsidRDefault="00000000" w:rsidP="00D80CCA">
      <w:pPr>
        <w:numPr>
          <w:ilvl w:val="0"/>
          <w:numId w:val="15"/>
        </w:numPr>
        <w:tabs>
          <w:tab w:val="clear" w:pos="720"/>
          <w:tab w:val="num" w:pos="1418"/>
        </w:tabs>
        <w:ind w:left="1418" w:hanging="284"/>
      </w:pPr>
      <w:r w:rsidRPr="001B4A02">
        <w:t>Pokud se u Vás objeví příznaky tuberkulózy (například kašel, který neustupuje, úbytek na hmotnosti, ztráta energie, mírná horečka), nebo se během léčby i po léčbě objeví jiná infekce</w:t>
      </w:r>
      <w:r w:rsidR="008F0064">
        <w:t>, sdělte to ihned svému lékaři.</w:t>
      </w:r>
    </w:p>
    <w:p w14:paraId="01D2FAE1" w14:textId="77777777" w:rsidR="00D80CCA" w:rsidRPr="001B4A02" w:rsidRDefault="00D80CCA" w:rsidP="00D80CCA">
      <w:pPr>
        <w:ind w:left="0" w:firstLine="0"/>
      </w:pPr>
    </w:p>
    <w:p w14:paraId="15EF3354" w14:textId="77777777" w:rsidR="00D80CCA" w:rsidRPr="001B4A02" w:rsidRDefault="00000000" w:rsidP="00262E54">
      <w:pPr>
        <w:keepNext/>
        <w:ind w:left="0" w:firstLine="0"/>
        <w:rPr>
          <w:u w:val="single"/>
        </w:rPr>
      </w:pPr>
      <w:r w:rsidRPr="001B4A02">
        <w:rPr>
          <w:u w:val="single"/>
        </w:rPr>
        <w:t>Hepatitida B</w:t>
      </w:r>
    </w:p>
    <w:p w14:paraId="1490C9BB" w14:textId="77777777" w:rsidR="00D80CCA" w:rsidRPr="001B4A02" w:rsidRDefault="00D80CCA" w:rsidP="00262E54">
      <w:pPr>
        <w:keepNext/>
      </w:pPr>
    </w:p>
    <w:p w14:paraId="1197B57F" w14:textId="77777777" w:rsidR="00D80CCA" w:rsidRDefault="00000000" w:rsidP="00D80CCA">
      <w:r w:rsidRPr="001B4A02">
        <w:rPr>
          <w:rFonts w:ascii="Symbol" w:hAnsi="Symbol"/>
        </w:rPr>
        <w:sym w:font="Symbol" w:char="F0B7"/>
      </w:r>
      <w:r w:rsidRPr="001B4A02">
        <w:tab/>
        <w:t>Jestliže jste nositelem viru hepatitidy typu B (HBV), jestliže máte aktivní HBV infekci nebo si myslíte, že byste mohl(a) být ohrožen(a) infekc</w:t>
      </w:r>
      <w:r w:rsidR="008F0064">
        <w:t>í HBV, řekněte to svému lékaři.</w:t>
      </w:r>
    </w:p>
    <w:p w14:paraId="041A8336" w14:textId="77777777" w:rsidR="008F0064" w:rsidRPr="001B4A02" w:rsidRDefault="008F0064" w:rsidP="00D80CCA"/>
    <w:p w14:paraId="08285954" w14:textId="77777777" w:rsidR="00D80CCA" w:rsidRPr="001B4A02" w:rsidRDefault="00000000" w:rsidP="00D80CCA">
      <w:pPr>
        <w:numPr>
          <w:ilvl w:val="0"/>
          <w:numId w:val="261"/>
        </w:numPr>
        <w:ind w:left="1418" w:hanging="284"/>
      </w:pPr>
      <w:r w:rsidRPr="001B4A02">
        <w:t>Váš lékař Vás na infekci HBV vyšetří. Přípravek Humira může u</w:t>
      </w:r>
      <w:r w:rsidR="000654D2">
        <w:t> </w:t>
      </w:r>
      <w:r w:rsidRPr="001B4A02">
        <w:t>lidí, kteří jsou nositeli HBV, způs</w:t>
      </w:r>
      <w:r w:rsidR="008F0064">
        <w:t>obovat opětovnou aktivaci viru.</w:t>
      </w:r>
    </w:p>
    <w:p w14:paraId="0EF7B386" w14:textId="77777777" w:rsidR="00D80CCA" w:rsidRPr="001B4A02" w:rsidRDefault="00000000" w:rsidP="00D80CCA">
      <w:pPr>
        <w:numPr>
          <w:ilvl w:val="0"/>
          <w:numId w:val="261"/>
        </w:numPr>
        <w:ind w:left="1418" w:hanging="284"/>
      </w:pPr>
      <w:r w:rsidRPr="001B4A02">
        <w:t>V některých ojedinělých případech, zvláště pokud berete jiné léky k potlačení imunitního systému, může být reaktivace viru HBV život ohrožující.</w:t>
      </w:r>
    </w:p>
    <w:p w14:paraId="4FAEE482" w14:textId="77777777" w:rsidR="00D80CCA" w:rsidRPr="001B4A02" w:rsidRDefault="00D80CCA" w:rsidP="00D80CCA">
      <w:pPr>
        <w:ind w:left="0" w:firstLine="0"/>
      </w:pPr>
    </w:p>
    <w:p w14:paraId="03813E59" w14:textId="77777777" w:rsidR="00D80CCA" w:rsidRPr="001B4A02" w:rsidRDefault="00000000" w:rsidP="00262E54">
      <w:pPr>
        <w:keepNext/>
        <w:ind w:left="0" w:firstLine="0"/>
        <w:rPr>
          <w:u w:val="single"/>
        </w:rPr>
      </w:pPr>
      <w:r w:rsidRPr="001B4A02">
        <w:rPr>
          <w:u w:val="single"/>
        </w:rPr>
        <w:t>Operace nebo stomatologický zákrok</w:t>
      </w:r>
    </w:p>
    <w:p w14:paraId="10419E1F" w14:textId="77777777" w:rsidR="00D80CCA" w:rsidRPr="001B4A02" w:rsidRDefault="00D80CCA" w:rsidP="00262E54">
      <w:pPr>
        <w:keepNext/>
        <w:ind w:left="0" w:firstLine="0"/>
      </w:pPr>
    </w:p>
    <w:p w14:paraId="405BD12C" w14:textId="77777777" w:rsidR="00D80CCA" w:rsidRPr="001B4A02" w:rsidRDefault="00000000" w:rsidP="00D80CCA">
      <w:pPr>
        <w:pStyle w:val="EndnoteText"/>
        <w:numPr>
          <w:ilvl w:val="1"/>
          <w:numId w:val="15"/>
        </w:numPr>
        <w:tabs>
          <w:tab w:val="clear" w:pos="1440"/>
          <w:tab w:val="num" w:pos="567"/>
        </w:tabs>
        <w:ind w:left="567" w:hanging="567"/>
        <w:rPr>
          <w:lang w:val="cs-CZ"/>
        </w:rPr>
      </w:pPr>
      <w:r w:rsidRPr="001B4A02">
        <w:rPr>
          <w:lang w:val="cs-CZ"/>
        </w:rPr>
        <w:t>Pokud Vám má být provedena operace nebo stomatologický výkon, informujte, prosím, svého lékaře, že jste léčen(a) přípravkem Humira. Váš lékař může doporučit dočasné přerušení léčby přípravkem Humira.</w:t>
      </w:r>
    </w:p>
    <w:p w14:paraId="1D744A85" w14:textId="77777777" w:rsidR="00D80CCA" w:rsidRPr="001B4A02" w:rsidRDefault="00D80CCA" w:rsidP="00D80CCA">
      <w:pPr>
        <w:ind w:left="0" w:firstLine="0"/>
      </w:pPr>
    </w:p>
    <w:p w14:paraId="115B9960" w14:textId="77777777" w:rsidR="00D80CCA" w:rsidRPr="001B4A02" w:rsidRDefault="00000000" w:rsidP="00262E54">
      <w:pPr>
        <w:keepNext/>
        <w:ind w:left="0" w:firstLine="0"/>
        <w:rPr>
          <w:u w:val="single"/>
        </w:rPr>
      </w:pPr>
      <w:r w:rsidRPr="001B4A02">
        <w:rPr>
          <w:u w:val="single"/>
        </w:rPr>
        <w:t>Demyelinizační onemocnění</w:t>
      </w:r>
    </w:p>
    <w:p w14:paraId="0217AF2D" w14:textId="77777777" w:rsidR="00D80CCA" w:rsidRPr="001B4A02" w:rsidRDefault="00D80CCA" w:rsidP="00262E54">
      <w:pPr>
        <w:keepNext/>
        <w:tabs>
          <w:tab w:val="num" w:pos="540"/>
        </w:tabs>
      </w:pPr>
    </w:p>
    <w:p w14:paraId="61A806C5" w14:textId="77777777" w:rsidR="00D80CCA" w:rsidRPr="001B4A02" w:rsidRDefault="00000000" w:rsidP="00D80CCA">
      <w:pPr>
        <w:numPr>
          <w:ilvl w:val="0"/>
          <w:numId w:val="15"/>
        </w:numPr>
        <w:tabs>
          <w:tab w:val="clear" w:pos="720"/>
          <w:tab w:val="num" w:pos="540"/>
        </w:tabs>
        <w:ind w:left="567" w:hanging="567"/>
      </w:pPr>
      <w:r w:rsidRPr="001B4A02">
        <w:t>Jestliže máte demyelinizační onemocnění (onemocnění, které postihuje ochrannou vrstvu nervů, jako je roztroušená skleróza), lékař určí, zda můžete být léčen(a) přípravkem Humira. Pokud se u Vás objeví některé příznaky, například změny vidění, slabost rukou nebo nohou či znecitlivění nebo brnění v některé části těla, musíte o tom Vašeho lékaře neprodleně informovat.</w:t>
      </w:r>
    </w:p>
    <w:p w14:paraId="0618A0F8" w14:textId="77777777" w:rsidR="00D80CCA" w:rsidRPr="001B4A02" w:rsidRDefault="00D80CCA" w:rsidP="00D80CCA">
      <w:pPr>
        <w:ind w:left="0" w:firstLine="0"/>
      </w:pPr>
    </w:p>
    <w:p w14:paraId="79E3F5B3" w14:textId="77777777" w:rsidR="00D80CCA" w:rsidRPr="001B4A02" w:rsidRDefault="00000000" w:rsidP="00262E54">
      <w:pPr>
        <w:keepNext/>
        <w:ind w:left="0" w:firstLine="0"/>
        <w:rPr>
          <w:u w:val="single"/>
        </w:rPr>
      </w:pPr>
      <w:r w:rsidRPr="001B4A02">
        <w:rPr>
          <w:u w:val="single"/>
        </w:rPr>
        <w:t>Očkování</w:t>
      </w:r>
    </w:p>
    <w:p w14:paraId="3955C94A" w14:textId="77777777" w:rsidR="00D80CCA" w:rsidRPr="001B4A02" w:rsidRDefault="00D80CCA" w:rsidP="00262E54">
      <w:pPr>
        <w:keepNext/>
        <w:tabs>
          <w:tab w:val="num" w:pos="540"/>
        </w:tabs>
      </w:pPr>
    </w:p>
    <w:p w14:paraId="2B180010" w14:textId="77777777" w:rsidR="00D80CCA" w:rsidRDefault="00000000" w:rsidP="00D80CCA">
      <w:pPr>
        <w:numPr>
          <w:ilvl w:val="0"/>
          <w:numId w:val="15"/>
        </w:numPr>
        <w:tabs>
          <w:tab w:val="clear" w:pos="720"/>
          <w:tab w:val="num" w:pos="540"/>
        </w:tabs>
        <w:ind w:left="567" w:hanging="567"/>
      </w:pPr>
      <w:r w:rsidRPr="001B4A02">
        <w:t>Během léčby přípravkem Humira nesmíte dostat určité očkovací látky, které by mohly vyvolat vznik infekce</w:t>
      </w:r>
      <w:r w:rsidR="008F0064">
        <w:t>.</w:t>
      </w:r>
    </w:p>
    <w:p w14:paraId="52C73A08" w14:textId="77777777" w:rsidR="008F0064" w:rsidRPr="001B4A02" w:rsidRDefault="008F0064" w:rsidP="00BA0A72">
      <w:pPr>
        <w:ind w:left="0" w:firstLine="0"/>
      </w:pPr>
    </w:p>
    <w:p w14:paraId="400A250A" w14:textId="77777777" w:rsidR="00D80CCA" w:rsidRPr="001B4A02" w:rsidRDefault="00000000" w:rsidP="00D80CCA">
      <w:pPr>
        <w:numPr>
          <w:ilvl w:val="1"/>
          <w:numId w:val="15"/>
        </w:numPr>
      </w:pPr>
      <w:r w:rsidRPr="001B4A02">
        <w:t xml:space="preserve">Domluvte se se svým lékařem o možnosti očkování ještě </w:t>
      </w:r>
      <w:r w:rsidR="008F0064">
        <w:t>předtím, než budete očkován(a).</w:t>
      </w:r>
    </w:p>
    <w:p w14:paraId="603BCC32" w14:textId="77777777" w:rsidR="00D80CCA" w:rsidRPr="001B4A02" w:rsidRDefault="00000000" w:rsidP="00D80CCA">
      <w:pPr>
        <w:numPr>
          <w:ilvl w:val="1"/>
          <w:numId w:val="15"/>
        </w:numPr>
      </w:pPr>
      <w:r w:rsidRPr="001B4A02">
        <w:t>Doporučuje se, aby dětští pacienti absolvovali pokud možno všechna naplánovaná očkování odpovídající jejich věku před zah</w:t>
      </w:r>
      <w:r w:rsidR="00CE4530">
        <w:t>ájením léčby přípravkem Humira.</w:t>
      </w:r>
    </w:p>
    <w:p w14:paraId="711572A7" w14:textId="77777777" w:rsidR="00D80CCA" w:rsidRPr="001B4A02" w:rsidRDefault="00000000" w:rsidP="00D80CCA">
      <w:pPr>
        <w:numPr>
          <w:ilvl w:val="1"/>
          <w:numId w:val="15"/>
        </w:numPr>
      </w:pPr>
      <w:r w:rsidRPr="001B4A02">
        <w:t>Pokud jste p</w:t>
      </w:r>
      <w:r w:rsidR="00CE4530">
        <w:t xml:space="preserve">řípravek Humira používala během </w:t>
      </w:r>
      <w:r w:rsidRPr="001B4A02">
        <w:t>těhotenství, může být Vaše dítě náchylnější k infekcím po dobu přibližně pěti měsíců poté, co jste dostala poslední dávku přípravku Humira v průběhu těhotenství. Je důležité, abyste oznámila lékaři Vašeho dítěte</w:t>
      </w:r>
      <w:r w:rsidR="002378E0">
        <w:t xml:space="preserve"> a </w:t>
      </w:r>
      <w:r w:rsidRPr="001B4A02">
        <w:t>jiným zdravotnickým pracovníkům, že Vám byl přípravek Humira v těhotenství podáván, aby se na základě této informace mohli rozhodnout, kdy je vhodné Vaše dítě očkovat.</w:t>
      </w:r>
    </w:p>
    <w:p w14:paraId="5EDC5E5D" w14:textId="77777777" w:rsidR="00D80CCA" w:rsidRPr="001B4A02" w:rsidRDefault="00D80CCA" w:rsidP="00D80CCA">
      <w:pPr>
        <w:ind w:left="0" w:firstLine="0"/>
      </w:pPr>
    </w:p>
    <w:p w14:paraId="471CECA0" w14:textId="77777777" w:rsidR="00D80CCA" w:rsidRPr="001B4A02" w:rsidRDefault="00000000" w:rsidP="00D80CCA">
      <w:pPr>
        <w:keepNext/>
        <w:ind w:left="0" w:firstLine="0"/>
        <w:rPr>
          <w:u w:val="single"/>
        </w:rPr>
      </w:pPr>
      <w:r w:rsidRPr="001B4A02">
        <w:rPr>
          <w:u w:val="single"/>
        </w:rPr>
        <w:t>Srdeční selhání</w:t>
      </w:r>
    </w:p>
    <w:p w14:paraId="3BAEA3F8" w14:textId="77777777" w:rsidR="00D80CCA" w:rsidRPr="001B4A02" w:rsidRDefault="00D80CCA" w:rsidP="00262E54">
      <w:pPr>
        <w:keepNext/>
        <w:tabs>
          <w:tab w:val="num" w:pos="540"/>
        </w:tabs>
      </w:pPr>
    </w:p>
    <w:p w14:paraId="35D545E0" w14:textId="77777777" w:rsidR="00D80CCA" w:rsidRPr="001B4A02" w:rsidRDefault="00000000" w:rsidP="00D80CCA">
      <w:pPr>
        <w:numPr>
          <w:ilvl w:val="0"/>
          <w:numId w:val="15"/>
        </w:numPr>
        <w:tabs>
          <w:tab w:val="clear" w:pos="720"/>
          <w:tab w:val="num" w:pos="540"/>
        </w:tabs>
        <w:ind w:left="567" w:hanging="567"/>
      </w:pPr>
      <w:r w:rsidRPr="001B4A02">
        <w:t>Pokud se u Vás vyskytuje mírné srdeční selhávání</w:t>
      </w:r>
      <w:r w:rsidR="002378E0">
        <w:t xml:space="preserve"> a </w:t>
      </w:r>
      <w:r w:rsidRPr="001B4A02">
        <w:t>jste léčen(a) přípravkem Humira, musí být lékařem pečlivě sledován stav Vašeho srdce. Je důležité, abyste sdělil(a) svému lékaři, že se u Vás vyskytly nebo se v současné době vyskytují závažné problémy se srdcem. Pokud se u Vás vyskytnou nové nebo se zhorší již stávající známky srdečního selhávání (např. dýchavičnost nebo otoky dolních končetin), musíte ihned kontaktovat svého lékaře. Váš lékař rozhodne, zda máte používat přípravek Humira.</w:t>
      </w:r>
    </w:p>
    <w:p w14:paraId="51E6619D" w14:textId="77777777" w:rsidR="00D80CCA" w:rsidRPr="001B4A02" w:rsidRDefault="00D80CCA" w:rsidP="00D80CCA">
      <w:pPr>
        <w:pStyle w:val="ListParagraph"/>
        <w:ind w:left="0" w:firstLine="0"/>
      </w:pPr>
    </w:p>
    <w:p w14:paraId="0E3BA991" w14:textId="77777777" w:rsidR="00D80CCA" w:rsidRPr="001B4A02" w:rsidRDefault="00000000" w:rsidP="00D80CCA">
      <w:pPr>
        <w:keepNext/>
        <w:ind w:left="0" w:firstLine="0"/>
        <w:rPr>
          <w:u w:val="single"/>
        </w:rPr>
      </w:pPr>
      <w:r w:rsidRPr="001B4A02">
        <w:rPr>
          <w:u w:val="single"/>
        </w:rPr>
        <w:t>Horečka, modřiny</w:t>
      </w:r>
      <w:r w:rsidR="009D27A7">
        <w:rPr>
          <w:u w:val="single"/>
        </w:rPr>
        <w:t>, krvácení</w:t>
      </w:r>
      <w:r w:rsidRPr="001B4A02">
        <w:rPr>
          <w:u w:val="single"/>
        </w:rPr>
        <w:t xml:space="preserve"> nebo bledost</w:t>
      </w:r>
    </w:p>
    <w:p w14:paraId="21E4D7E0" w14:textId="77777777" w:rsidR="00D80CCA" w:rsidRPr="001B4A02" w:rsidRDefault="00D80CCA" w:rsidP="00262E54">
      <w:pPr>
        <w:keepNext/>
        <w:ind w:left="0" w:firstLine="0"/>
      </w:pPr>
    </w:p>
    <w:p w14:paraId="633A68B1" w14:textId="77777777" w:rsidR="00D80CCA" w:rsidRPr="001B4A02" w:rsidRDefault="00000000" w:rsidP="00D80CCA">
      <w:pPr>
        <w:numPr>
          <w:ilvl w:val="0"/>
          <w:numId w:val="8"/>
        </w:numPr>
        <w:tabs>
          <w:tab w:val="clear" w:pos="720"/>
          <w:tab w:val="num" w:pos="0"/>
        </w:tabs>
        <w:ind w:left="567" w:hanging="567"/>
      </w:pPr>
      <w:r w:rsidRPr="001B4A02">
        <w:rPr>
          <w:bCs/>
          <w:szCs w:val="22"/>
        </w:rPr>
        <w:t xml:space="preserve">U některých pacientů nemusí tělo vytvářet dostatek krvinek, které bojují s infekcemi nebo pomáhají zastavit krvácení. Váš lékař se </w:t>
      </w:r>
      <w:r w:rsidR="00965320">
        <w:rPr>
          <w:bCs/>
          <w:szCs w:val="22"/>
        </w:rPr>
        <w:t xml:space="preserve">může rozhodnout ukončit léčbu. </w:t>
      </w:r>
      <w:r w:rsidRPr="001B4A02">
        <w:rPr>
          <w:bCs/>
          <w:szCs w:val="22"/>
        </w:rPr>
        <w:t>Jestliže máte horečku, která neodeznívá, modřiny nebo snadno krvácíte, případně jste velmi bledý(á), ihned se spojte s lékařem.</w:t>
      </w:r>
    </w:p>
    <w:p w14:paraId="52CF309B" w14:textId="77777777" w:rsidR="00D80CCA" w:rsidRPr="001B4A02" w:rsidRDefault="00D80CCA" w:rsidP="00D80CCA">
      <w:pPr>
        <w:ind w:left="0" w:firstLine="0"/>
      </w:pPr>
    </w:p>
    <w:p w14:paraId="71889022" w14:textId="77777777" w:rsidR="00D80CCA" w:rsidRPr="001B4A02" w:rsidRDefault="00000000" w:rsidP="00262E54">
      <w:pPr>
        <w:keepNext/>
        <w:ind w:left="0" w:firstLine="0"/>
        <w:rPr>
          <w:u w:val="single"/>
        </w:rPr>
      </w:pPr>
      <w:r w:rsidRPr="001B4A02">
        <w:rPr>
          <w:u w:val="single"/>
        </w:rPr>
        <w:t>Rakovina</w:t>
      </w:r>
    </w:p>
    <w:p w14:paraId="1F0E62C9" w14:textId="77777777" w:rsidR="00D80CCA" w:rsidRPr="001B4A02" w:rsidRDefault="00D80CCA" w:rsidP="00262E54">
      <w:pPr>
        <w:keepNext/>
        <w:ind w:left="0" w:firstLine="0"/>
      </w:pPr>
    </w:p>
    <w:p w14:paraId="05F08B5F" w14:textId="77777777" w:rsidR="00D80CCA" w:rsidRPr="001B4A02" w:rsidRDefault="00000000" w:rsidP="00D80CCA">
      <w:pPr>
        <w:pStyle w:val="EndnoteText"/>
        <w:numPr>
          <w:ilvl w:val="0"/>
          <w:numId w:val="8"/>
        </w:numPr>
        <w:tabs>
          <w:tab w:val="clear" w:pos="720"/>
          <w:tab w:val="num" w:pos="0"/>
        </w:tabs>
        <w:ind w:left="567" w:hanging="567"/>
        <w:rPr>
          <w:bCs/>
          <w:szCs w:val="22"/>
          <w:lang w:val="cs-CZ"/>
        </w:rPr>
      </w:pPr>
      <w:r w:rsidRPr="001B4A02">
        <w:rPr>
          <w:bCs/>
          <w:szCs w:val="22"/>
          <w:lang w:val="cs-CZ"/>
        </w:rPr>
        <w:t xml:space="preserve">U dětských i dospělých pacientů léčených přípravkem Humira nebo jinými blokátory TNF byly popsány velmi vzácné případy </w:t>
      </w:r>
      <w:r w:rsidR="008F0064">
        <w:rPr>
          <w:bCs/>
          <w:szCs w:val="22"/>
          <w:lang w:val="cs-CZ"/>
        </w:rPr>
        <w:t>výskytu určitých typů rakoviny.</w:t>
      </w:r>
    </w:p>
    <w:p w14:paraId="781F6086" w14:textId="77777777" w:rsidR="00D80CCA" w:rsidRPr="001B4A02" w:rsidRDefault="00D80CCA" w:rsidP="008F0064">
      <w:pPr>
        <w:pStyle w:val="EndnoteText"/>
        <w:rPr>
          <w:bCs/>
          <w:szCs w:val="22"/>
          <w:lang w:val="cs-CZ"/>
        </w:rPr>
      </w:pPr>
    </w:p>
    <w:p w14:paraId="66C6EA8A" w14:textId="77777777" w:rsidR="00D80CCA" w:rsidRPr="001B4A02" w:rsidRDefault="00000000" w:rsidP="00D80CCA">
      <w:pPr>
        <w:pStyle w:val="EndnoteText"/>
        <w:numPr>
          <w:ilvl w:val="1"/>
          <w:numId w:val="8"/>
        </w:numPr>
        <w:rPr>
          <w:bCs/>
          <w:szCs w:val="22"/>
          <w:lang w:val="cs-CZ"/>
        </w:rPr>
      </w:pPr>
      <w:r w:rsidRPr="001B4A02">
        <w:rPr>
          <w:bCs/>
          <w:szCs w:val="22"/>
          <w:lang w:val="cs-CZ"/>
        </w:rPr>
        <w:t>Lidé se závažnější formou revmatoidní artritidy, jejichž onemocnění trvá delší dobu, mívají vyšší průměrné riziko vzniku lymfomu (rakovina postihující mízní systém)</w:t>
      </w:r>
      <w:r w:rsidR="002378E0">
        <w:rPr>
          <w:bCs/>
          <w:szCs w:val="22"/>
          <w:lang w:val="cs-CZ"/>
        </w:rPr>
        <w:t xml:space="preserve"> a </w:t>
      </w:r>
      <w:r w:rsidRPr="001B4A02">
        <w:rPr>
          <w:bCs/>
          <w:szCs w:val="22"/>
          <w:lang w:val="cs-CZ"/>
        </w:rPr>
        <w:t>leukémie (rakovina p</w:t>
      </w:r>
      <w:r w:rsidR="008F0064">
        <w:rPr>
          <w:bCs/>
          <w:szCs w:val="22"/>
          <w:lang w:val="cs-CZ"/>
        </w:rPr>
        <w:t>ostihující krev</w:t>
      </w:r>
      <w:r w:rsidR="002378E0">
        <w:rPr>
          <w:bCs/>
          <w:szCs w:val="22"/>
          <w:lang w:val="cs-CZ"/>
        </w:rPr>
        <w:t xml:space="preserve"> a </w:t>
      </w:r>
      <w:r w:rsidR="008F0064">
        <w:rPr>
          <w:bCs/>
          <w:szCs w:val="22"/>
          <w:lang w:val="cs-CZ"/>
        </w:rPr>
        <w:t>kostní dřeň).</w:t>
      </w:r>
    </w:p>
    <w:p w14:paraId="7820A5B1" w14:textId="77777777" w:rsidR="00D80CCA" w:rsidRPr="001B4A02" w:rsidRDefault="00000000" w:rsidP="00D80CCA">
      <w:pPr>
        <w:pStyle w:val="EndnoteText"/>
        <w:numPr>
          <w:ilvl w:val="1"/>
          <w:numId w:val="8"/>
        </w:numPr>
        <w:rPr>
          <w:bCs/>
          <w:szCs w:val="22"/>
          <w:lang w:val="cs-CZ"/>
        </w:rPr>
      </w:pPr>
      <w:r w:rsidRPr="001B4A02">
        <w:rPr>
          <w:bCs/>
          <w:szCs w:val="22"/>
          <w:lang w:val="cs-CZ"/>
        </w:rPr>
        <w:t>Jestliže používáte přípravek Humira, riziko onemocnění lymfomem, leukémií nebo jiným druhem rakoviny může vzrůst. Ve vzácných případech byl u pacientů používajících přípravek Humira pozorován neobvyklý</w:t>
      </w:r>
      <w:r w:rsidR="002378E0">
        <w:rPr>
          <w:bCs/>
          <w:szCs w:val="22"/>
          <w:lang w:val="cs-CZ"/>
        </w:rPr>
        <w:t xml:space="preserve"> a </w:t>
      </w:r>
      <w:r w:rsidRPr="001B4A02">
        <w:rPr>
          <w:bCs/>
          <w:szCs w:val="22"/>
          <w:lang w:val="cs-CZ"/>
        </w:rPr>
        <w:t>závažný typ lymfomu. Někteří z těchto pacientů byli také léčeni azathi</w:t>
      </w:r>
      <w:r w:rsidR="008F0064">
        <w:rPr>
          <w:bCs/>
          <w:szCs w:val="22"/>
          <w:lang w:val="cs-CZ"/>
        </w:rPr>
        <w:t>oprinem nebo 6-merkaptopurinem.</w:t>
      </w:r>
    </w:p>
    <w:p w14:paraId="17817748" w14:textId="77777777" w:rsidR="00D80CCA" w:rsidRPr="001B4A02" w:rsidRDefault="00000000" w:rsidP="00D80CCA">
      <w:pPr>
        <w:pStyle w:val="EndnoteText"/>
        <w:numPr>
          <w:ilvl w:val="1"/>
          <w:numId w:val="8"/>
        </w:numPr>
        <w:rPr>
          <w:bCs/>
          <w:szCs w:val="22"/>
          <w:lang w:val="cs-CZ"/>
        </w:rPr>
      </w:pPr>
      <w:r w:rsidRPr="001B4A02">
        <w:rPr>
          <w:bCs/>
          <w:szCs w:val="22"/>
          <w:lang w:val="cs-CZ"/>
        </w:rPr>
        <w:t>Oznamte lékaři, pokud užíváte azathioprin nebo 6-merkaptopuri</w:t>
      </w:r>
      <w:r w:rsidR="008F0064">
        <w:rPr>
          <w:bCs/>
          <w:szCs w:val="22"/>
          <w:lang w:val="cs-CZ"/>
        </w:rPr>
        <w:t>n současně s přípravkem Humira.</w:t>
      </w:r>
    </w:p>
    <w:p w14:paraId="5CC9C1EC" w14:textId="77777777" w:rsidR="00D80CCA" w:rsidRPr="001B4A02" w:rsidRDefault="00000000" w:rsidP="00D80CCA">
      <w:pPr>
        <w:pStyle w:val="EndnoteText"/>
        <w:numPr>
          <w:ilvl w:val="1"/>
          <w:numId w:val="8"/>
        </w:numPr>
        <w:rPr>
          <w:bCs/>
          <w:szCs w:val="22"/>
          <w:lang w:val="cs-CZ"/>
        </w:rPr>
      </w:pPr>
      <w:r w:rsidRPr="001B4A02">
        <w:rPr>
          <w:bCs/>
          <w:szCs w:val="22"/>
          <w:lang w:val="cs-CZ"/>
        </w:rPr>
        <w:t>U pacientů léčených přípravkem Humira byly pozorovány případy kožního</w:t>
      </w:r>
      <w:r w:rsidR="008F0064">
        <w:rPr>
          <w:bCs/>
          <w:szCs w:val="22"/>
          <w:lang w:val="cs-CZ"/>
        </w:rPr>
        <w:t xml:space="preserve"> karcinomu nemelanomového typu.</w:t>
      </w:r>
    </w:p>
    <w:p w14:paraId="4321607D" w14:textId="77777777" w:rsidR="00D80CCA" w:rsidRPr="001B4A02" w:rsidRDefault="00000000" w:rsidP="00D80CCA">
      <w:pPr>
        <w:pStyle w:val="EndnoteText"/>
        <w:numPr>
          <w:ilvl w:val="1"/>
          <w:numId w:val="8"/>
        </w:numPr>
        <w:rPr>
          <w:bCs/>
          <w:szCs w:val="22"/>
          <w:lang w:val="cs-CZ"/>
        </w:rPr>
      </w:pPr>
      <w:r w:rsidRPr="001B4A02">
        <w:rPr>
          <w:bCs/>
          <w:szCs w:val="22"/>
          <w:lang w:val="cs-CZ"/>
        </w:rPr>
        <w:t>Pokud se během léčby nebo po ní objeví nové kožní léze nebo pokud stávající kožní léze změní vzhled, sdělte to lékaři.</w:t>
      </w:r>
    </w:p>
    <w:p w14:paraId="727F6882" w14:textId="77777777" w:rsidR="00D80CCA" w:rsidRPr="001B4A02" w:rsidRDefault="00D80CCA" w:rsidP="00D80CCA">
      <w:pPr>
        <w:pStyle w:val="EndnoteText"/>
        <w:ind w:left="0" w:firstLine="0"/>
        <w:rPr>
          <w:bCs/>
          <w:szCs w:val="22"/>
          <w:lang w:val="cs-CZ"/>
        </w:rPr>
      </w:pPr>
    </w:p>
    <w:p w14:paraId="1CD93FE9" w14:textId="77777777" w:rsidR="00D80CCA" w:rsidRPr="001B4A02" w:rsidRDefault="00000000" w:rsidP="00D80CCA">
      <w:pPr>
        <w:pStyle w:val="EndnoteText"/>
        <w:numPr>
          <w:ilvl w:val="0"/>
          <w:numId w:val="8"/>
        </w:numPr>
        <w:tabs>
          <w:tab w:val="clear" w:pos="720"/>
          <w:tab w:val="num" w:pos="0"/>
        </w:tabs>
        <w:ind w:left="567" w:hanging="567"/>
        <w:rPr>
          <w:bCs/>
          <w:szCs w:val="22"/>
          <w:lang w:val="cs-CZ"/>
        </w:rPr>
      </w:pPr>
      <w:r w:rsidRPr="001B4A02">
        <w:rPr>
          <w:bCs/>
          <w:szCs w:val="22"/>
          <w:lang w:val="cs-CZ"/>
        </w:rPr>
        <w:t xml:space="preserve">U pacientů se specifickým typem plicního onemocnění zvaným chronická obstrukční choroba plicní (CHOPN), kteří byli léčeni jiným TNF blokátorem, byly hlášeny i případy jiných druhů rakoviny, nežli jsou lymfomy. Jestliže trpíte CHOPN nebo hodně kouříte, </w:t>
      </w:r>
      <w:r w:rsidR="00D70909" w:rsidRPr="001B4A02">
        <w:rPr>
          <w:bCs/>
          <w:szCs w:val="22"/>
          <w:lang w:val="cs-CZ"/>
        </w:rPr>
        <w:t>měl</w:t>
      </w:r>
      <w:r w:rsidR="00D70909">
        <w:rPr>
          <w:bCs/>
          <w:szCs w:val="22"/>
          <w:lang w:val="cs-CZ"/>
        </w:rPr>
        <w:t>(a)</w:t>
      </w:r>
      <w:r w:rsidRPr="001B4A02">
        <w:rPr>
          <w:bCs/>
          <w:szCs w:val="22"/>
          <w:lang w:val="cs-CZ"/>
        </w:rPr>
        <w:t xml:space="preserve"> byste si se svým lékařem promluvit, je-li pro Vás léčba blokátorem TNF vhodná.</w:t>
      </w:r>
    </w:p>
    <w:p w14:paraId="55758AB6" w14:textId="77777777" w:rsidR="00D80CCA" w:rsidRPr="001B4A02" w:rsidRDefault="00D80CCA" w:rsidP="00D80CCA">
      <w:pPr>
        <w:ind w:left="0" w:firstLine="0"/>
      </w:pPr>
    </w:p>
    <w:p w14:paraId="19574362" w14:textId="77777777" w:rsidR="00D80CCA" w:rsidRPr="001B4A02" w:rsidRDefault="00000000" w:rsidP="00262E54">
      <w:pPr>
        <w:pStyle w:val="EndnoteText"/>
        <w:keepNext/>
        <w:ind w:left="0" w:firstLine="0"/>
        <w:rPr>
          <w:bCs/>
          <w:szCs w:val="22"/>
          <w:u w:val="single"/>
          <w:lang w:val="cs-CZ"/>
        </w:rPr>
      </w:pPr>
      <w:r w:rsidRPr="001B4A02">
        <w:rPr>
          <w:bCs/>
          <w:szCs w:val="22"/>
          <w:u w:val="single"/>
          <w:lang w:val="cs-CZ"/>
        </w:rPr>
        <w:t>Autoimunitní onemocnění</w:t>
      </w:r>
    </w:p>
    <w:p w14:paraId="43C0C338" w14:textId="77777777" w:rsidR="00D80CCA" w:rsidRPr="001B4A02" w:rsidRDefault="00D80CCA" w:rsidP="00262E54">
      <w:pPr>
        <w:keepNext/>
      </w:pPr>
    </w:p>
    <w:p w14:paraId="550E1329" w14:textId="77777777" w:rsidR="00D80CCA" w:rsidRPr="001B4A02" w:rsidRDefault="00000000" w:rsidP="00D80CCA">
      <w:pPr>
        <w:numPr>
          <w:ilvl w:val="0"/>
          <w:numId w:val="254"/>
        </w:numPr>
        <w:ind w:left="567" w:hanging="567"/>
      </w:pPr>
      <w:r w:rsidRPr="001B4A02">
        <w:t>Vzácně může vést léčba přípravkem Humira k příznakům podobajícím se onemocnění zvanému lupus. Pokud se objeví příznaky, jako je trvalá nevysvětlitelná</w:t>
      </w:r>
      <w:r w:rsidR="009D27A7">
        <w:t xml:space="preserve"> vyrážka,</w:t>
      </w:r>
      <w:r w:rsidRPr="001B4A02">
        <w:t xml:space="preserve"> horečka, bolest kloubů nebo únava, kontaktujte svého lékaře.</w:t>
      </w:r>
    </w:p>
    <w:p w14:paraId="1801E13E" w14:textId="77777777" w:rsidR="00D80CCA" w:rsidRPr="001B4A02" w:rsidRDefault="00D80CCA" w:rsidP="00D80CCA">
      <w:pPr>
        <w:pStyle w:val="EndnoteText"/>
        <w:ind w:left="0" w:firstLine="0"/>
        <w:rPr>
          <w:bCs/>
          <w:szCs w:val="22"/>
          <w:lang w:val="cs-CZ"/>
        </w:rPr>
      </w:pPr>
    </w:p>
    <w:p w14:paraId="1B2AB6BB" w14:textId="77777777" w:rsidR="00D80CCA" w:rsidRPr="001B4A02" w:rsidRDefault="00000000" w:rsidP="00262E54">
      <w:pPr>
        <w:pStyle w:val="EndnoteText"/>
        <w:keepNext/>
        <w:ind w:left="0" w:firstLine="0"/>
        <w:rPr>
          <w:b/>
          <w:bCs/>
          <w:szCs w:val="22"/>
          <w:lang w:val="cs-CZ"/>
        </w:rPr>
      </w:pPr>
      <w:r w:rsidRPr="001B4A02">
        <w:rPr>
          <w:b/>
          <w:bCs/>
          <w:szCs w:val="22"/>
          <w:lang w:val="cs-CZ"/>
        </w:rPr>
        <w:t>Děti</w:t>
      </w:r>
      <w:r w:rsidR="002378E0">
        <w:rPr>
          <w:b/>
          <w:bCs/>
          <w:szCs w:val="22"/>
          <w:lang w:val="cs-CZ"/>
        </w:rPr>
        <w:t xml:space="preserve"> a </w:t>
      </w:r>
      <w:r w:rsidRPr="001B4A02">
        <w:rPr>
          <w:b/>
          <w:bCs/>
          <w:szCs w:val="22"/>
          <w:lang w:val="cs-CZ"/>
        </w:rPr>
        <w:t>dospívající</w:t>
      </w:r>
    </w:p>
    <w:p w14:paraId="50B0E80B" w14:textId="77777777" w:rsidR="00D80CCA" w:rsidRPr="001B4A02" w:rsidRDefault="00D80CCA" w:rsidP="00262E54">
      <w:pPr>
        <w:pStyle w:val="EndnoteText"/>
        <w:keepNext/>
        <w:ind w:left="0" w:firstLine="0"/>
        <w:rPr>
          <w:bCs/>
          <w:szCs w:val="22"/>
          <w:lang w:val="cs-CZ"/>
        </w:rPr>
      </w:pPr>
    </w:p>
    <w:p w14:paraId="2DC2CC1C" w14:textId="77777777" w:rsidR="00D80CCA" w:rsidRPr="001B4A02" w:rsidRDefault="00000000" w:rsidP="00D80CCA">
      <w:pPr>
        <w:pStyle w:val="EndnoteText"/>
        <w:numPr>
          <w:ilvl w:val="0"/>
          <w:numId w:val="230"/>
        </w:numPr>
        <w:ind w:left="567" w:hanging="567"/>
        <w:rPr>
          <w:bCs/>
          <w:szCs w:val="22"/>
          <w:lang w:val="cs-CZ"/>
        </w:rPr>
      </w:pPr>
      <w:r w:rsidRPr="001B4A02">
        <w:rPr>
          <w:bCs/>
          <w:szCs w:val="22"/>
          <w:lang w:val="cs-CZ"/>
        </w:rPr>
        <w:t>Očkování: pokud je to možné, mělo by být Vaše dítě očkováno ještě předtím, než začne přípravek Humira používat.</w:t>
      </w:r>
    </w:p>
    <w:p w14:paraId="251D070B" w14:textId="77777777" w:rsidR="00D80CCA" w:rsidRPr="001B4A02" w:rsidRDefault="00D80CCA" w:rsidP="00D80CCA">
      <w:pPr>
        <w:ind w:left="0" w:firstLine="0"/>
      </w:pPr>
    </w:p>
    <w:p w14:paraId="65A405AA" w14:textId="77777777" w:rsidR="00D80CCA" w:rsidRPr="001B4A02" w:rsidRDefault="00000000" w:rsidP="00D80CCA">
      <w:pPr>
        <w:keepNext/>
        <w:ind w:left="0" w:firstLine="0"/>
        <w:rPr>
          <w:b/>
        </w:rPr>
      </w:pPr>
      <w:r w:rsidRPr="001B4A02">
        <w:rPr>
          <w:b/>
        </w:rPr>
        <w:t>Další léčivé přípravky</w:t>
      </w:r>
      <w:r w:rsidR="002378E0">
        <w:rPr>
          <w:b/>
        </w:rPr>
        <w:t xml:space="preserve"> a </w:t>
      </w:r>
      <w:r w:rsidRPr="001B4A02">
        <w:rPr>
          <w:b/>
        </w:rPr>
        <w:t>přípravek Humira</w:t>
      </w:r>
    </w:p>
    <w:p w14:paraId="607A2E56" w14:textId="77777777" w:rsidR="00D80CCA" w:rsidRPr="001B4A02" w:rsidRDefault="00D80CCA" w:rsidP="00D80CCA">
      <w:pPr>
        <w:keepNext/>
        <w:ind w:left="0" w:firstLine="0"/>
      </w:pPr>
    </w:p>
    <w:p w14:paraId="4A508271" w14:textId="77777777" w:rsidR="00D80CCA" w:rsidRPr="001B4A02" w:rsidRDefault="00000000" w:rsidP="00262E54">
      <w:pPr>
        <w:ind w:left="0" w:firstLine="0"/>
      </w:pPr>
      <w:r w:rsidRPr="001B4A02">
        <w:t>Informujte svého lékaře nebo lékárníka o všech lécích, které užíváte, které jste v nedávné době užíval(a) nebo které možná budete užívat.</w:t>
      </w:r>
    </w:p>
    <w:p w14:paraId="0DA903CB" w14:textId="77777777" w:rsidR="00D80CCA" w:rsidRPr="001B4A02" w:rsidRDefault="00D80CCA" w:rsidP="00D80CCA">
      <w:pPr>
        <w:ind w:left="0" w:firstLine="0"/>
      </w:pPr>
    </w:p>
    <w:p w14:paraId="280334F3" w14:textId="77777777" w:rsidR="00D80CCA" w:rsidRPr="001B4A02" w:rsidRDefault="00000000" w:rsidP="00D80CCA">
      <w:pPr>
        <w:ind w:left="0" w:firstLine="0"/>
      </w:pPr>
      <w:r w:rsidRPr="001B4A02">
        <w:t xml:space="preserve">Přípravek Humira nesmíte z důvodu </w:t>
      </w:r>
      <w:r w:rsidRPr="001B4A02">
        <w:rPr>
          <w:bCs/>
          <w:szCs w:val="22"/>
        </w:rPr>
        <w:t>zvýšeného rizika závažné infekce</w:t>
      </w:r>
      <w:r w:rsidRPr="001B4A02">
        <w:t xml:space="preserve"> používat s léky, které obsahují následující léčivé látky:</w:t>
      </w:r>
    </w:p>
    <w:p w14:paraId="1E131C94" w14:textId="77777777" w:rsidR="00D80CCA" w:rsidRPr="001B4A02" w:rsidRDefault="00000000" w:rsidP="00D80CCA">
      <w:pPr>
        <w:numPr>
          <w:ilvl w:val="0"/>
          <w:numId w:val="8"/>
        </w:numPr>
      </w:pPr>
      <w:r w:rsidRPr="001B4A02">
        <w:t>anakinra</w:t>
      </w:r>
    </w:p>
    <w:p w14:paraId="5E3C2C7C" w14:textId="77777777" w:rsidR="00D80CCA" w:rsidRPr="001B4A02" w:rsidRDefault="00000000" w:rsidP="00D80CCA">
      <w:pPr>
        <w:numPr>
          <w:ilvl w:val="0"/>
          <w:numId w:val="8"/>
        </w:numPr>
      </w:pPr>
      <w:r w:rsidRPr="001B4A02">
        <w:t>abatacept.</w:t>
      </w:r>
    </w:p>
    <w:p w14:paraId="45837F44" w14:textId="77777777" w:rsidR="00D80CCA" w:rsidRPr="001B4A02" w:rsidRDefault="00D80CCA" w:rsidP="00D80CCA">
      <w:pPr>
        <w:ind w:left="0" w:firstLine="0"/>
      </w:pPr>
    </w:p>
    <w:p w14:paraId="60B634F5" w14:textId="77777777" w:rsidR="00D80CCA" w:rsidRPr="001B4A02" w:rsidRDefault="00000000" w:rsidP="00D80CCA">
      <w:pPr>
        <w:keepNext/>
        <w:ind w:left="0" w:firstLine="0"/>
      </w:pPr>
      <w:r w:rsidRPr="001B4A02">
        <w:t>Přípravek Humira lze používat společně s:</w:t>
      </w:r>
    </w:p>
    <w:p w14:paraId="491A925D" w14:textId="77777777" w:rsidR="00D80CCA" w:rsidRPr="001B4A02" w:rsidRDefault="00000000" w:rsidP="00D80CCA">
      <w:pPr>
        <w:numPr>
          <w:ilvl w:val="0"/>
          <w:numId w:val="8"/>
        </w:numPr>
      </w:pPr>
      <w:r w:rsidRPr="001B4A02">
        <w:t xml:space="preserve">methotrexátem </w:t>
      </w:r>
    </w:p>
    <w:p w14:paraId="1B6DE130" w14:textId="77777777" w:rsidR="00D80CCA" w:rsidRPr="001B4A02" w:rsidRDefault="00000000" w:rsidP="00D80CCA">
      <w:pPr>
        <w:numPr>
          <w:ilvl w:val="0"/>
          <w:numId w:val="8"/>
        </w:numPr>
      </w:pPr>
      <w:r w:rsidRPr="001B4A02">
        <w:t>některými chorobu modifikujícími antirevmatiky (například sulfasalazin, hydroxychlorochin, leflunomid</w:t>
      </w:r>
      <w:r w:rsidR="002378E0">
        <w:t xml:space="preserve"> a </w:t>
      </w:r>
      <w:r w:rsidRPr="001B4A02">
        <w:t>injekční přípravky s obsahem solí zlata)</w:t>
      </w:r>
    </w:p>
    <w:p w14:paraId="6164BB63" w14:textId="77777777" w:rsidR="00D80CCA" w:rsidRPr="001B4A02" w:rsidRDefault="00000000" w:rsidP="00D80CCA">
      <w:pPr>
        <w:numPr>
          <w:ilvl w:val="0"/>
          <w:numId w:val="8"/>
        </w:numPr>
      </w:pPr>
      <w:r w:rsidRPr="001B4A02">
        <w:t>steroidy nebo léky proti bolestem,</w:t>
      </w:r>
      <w:r w:rsidR="002378E0">
        <w:t xml:space="preserve"> a </w:t>
      </w:r>
      <w:r w:rsidRPr="001B4A02">
        <w:t>to i s nesteroidními antirevmatiky (NSAID).</w:t>
      </w:r>
    </w:p>
    <w:p w14:paraId="7075B3B5" w14:textId="77777777" w:rsidR="00D80CCA" w:rsidRPr="001B4A02" w:rsidRDefault="00D80CCA" w:rsidP="00D80CCA">
      <w:pPr>
        <w:pStyle w:val="EMEANormal"/>
        <w:tabs>
          <w:tab w:val="clear" w:pos="562"/>
        </w:tabs>
        <w:suppressAutoHyphens w:val="0"/>
        <w:rPr>
          <w:lang w:val="cs-CZ"/>
        </w:rPr>
      </w:pPr>
    </w:p>
    <w:p w14:paraId="6E7C126C" w14:textId="77777777" w:rsidR="00D80CCA" w:rsidRPr="001B4A02" w:rsidRDefault="00000000" w:rsidP="00D80CCA">
      <w:pPr>
        <w:pStyle w:val="EMEANormal"/>
        <w:tabs>
          <w:tab w:val="clear" w:pos="562"/>
        </w:tabs>
        <w:suppressAutoHyphens w:val="0"/>
        <w:rPr>
          <w:bCs/>
          <w:szCs w:val="22"/>
          <w:lang w:val="cs-CZ"/>
        </w:rPr>
      </w:pPr>
      <w:r w:rsidRPr="001B4A02">
        <w:rPr>
          <w:bCs/>
          <w:szCs w:val="22"/>
          <w:lang w:val="cs-CZ"/>
        </w:rPr>
        <w:t>Máte-li nějaké dotazy, zeptejte se prosím svého lékaře.</w:t>
      </w:r>
    </w:p>
    <w:p w14:paraId="28DBBA30" w14:textId="77777777" w:rsidR="00D80CCA" w:rsidRPr="001B4A02" w:rsidRDefault="00D80CCA" w:rsidP="00D80CCA">
      <w:pPr>
        <w:pStyle w:val="EMEANormal"/>
        <w:tabs>
          <w:tab w:val="clear" w:pos="562"/>
        </w:tabs>
        <w:suppressAutoHyphens w:val="0"/>
        <w:rPr>
          <w:bCs/>
          <w:szCs w:val="22"/>
          <w:lang w:val="cs-CZ"/>
        </w:rPr>
      </w:pPr>
    </w:p>
    <w:p w14:paraId="10828E25" w14:textId="77777777" w:rsidR="00D80CCA" w:rsidRPr="001B4A02" w:rsidRDefault="00000000" w:rsidP="00D80CCA">
      <w:pPr>
        <w:keepNext/>
        <w:rPr>
          <w:b/>
        </w:rPr>
      </w:pPr>
      <w:r w:rsidRPr="001B4A02">
        <w:rPr>
          <w:b/>
        </w:rPr>
        <w:t>Těhotenství</w:t>
      </w:r>
      <w:r w:rsidR="002378E0">
        <w:rPr>
          <w:b/>
        </w:rPr>
        <w:t xml:space="preserve"> a </w:t>
      </w:r>
      <w:r w:rsidRPr="001B4A02">
        <w:rPr>
          <w:b/>
        </w:rPr>
        <w:t>kojení</w:t>
      </w:r>
    </w:p>
    <w:p w14:paraId="7B93D896" w14:textId="77777777" w:rsidR="00D80CCA" w:rsidRPr="001B4A02" w:rsidRDefault="00D80CCA" w:rsidP="00D80CCA">
      <w:pPr>
        <w:keepNext/>
        <w:ind w:left="0" w:firstLine="0"/>
      </w:pPr>
    </w:p>
    <w:p w14:paraId="71E8E6B4" w14:textId="77777777" w:rsidR="00496866" w:rsidRDefault="00000000" w:rsidP="00496866">
      <w:pPr>
        <w:pStyle w:val="ListParagraph"/>
        <w:numPr>
          <w:ilvl w:val="0"/>
          <w:numId w:val="268"/>
        </w:numPr>
      </w:pPr>
      <w:r>
        <w:t>Máte zvážit použití vhodné antikoncepce k prevenci těhotenství</w:t>
      </w:r>
      <w:r w:rsidR="002378E0">
        <w:t xml:space="preserve"> a </w:t>
      </w:r>
      <w:r>
        <w:t>pokračovat v jejím užívání</w:t>
      </w:r>
      <w:r w:rsidRPr="001B4A02">
        <w:t xml:space="preserve"> po dobu nejméně pěti měsíců po posledním podání přípravku Humira.</w:t>
      </w:r>
    </w:p>
    <w:p w14:paraId="0EE77D1B" w14:textId="77777777" w:rsidR="00496866" w:rsidRDefault="00000000" w:rsidP="00496866">
      <w:pPr>
        <w:pStyle w:val="ListParagraph"/>
        <w:numPr>
          <w:ilvl w:val="0"/>
          <w:numId w:val="266"/>
        </w:numPr>
      </w:pPr>
      <w:r>
        <w:t>Pokud jste těhotná, domníváte se, že můžete být těhotná</w:t>
      </w:r>
      <w:r w:rsidR="00196227">
        <w:t>,</w:t>
      </w:r>
      <w:r>
        <w:t xml:space="preserve"> nebo plánujete otěhotnět, požádejte svého lékaře o</w:t>
      </w:r>
      <w:r w:rsidR="00563486">
        <w:t> </w:t>
      </w:r>
      <w:r>
        <w:t>doporučení týkající se užívání tohoto přípravku.</w:t>
      </w:r>
    </w:p>
    <w:p w14:paraId="61B73612" w14:textId="77777777" w:rsidR="00496866" w:rsidRDefault="00000000" w:rsidP="00496866">
      <w:pPr>
        <w:pStyle w:val="ListParagraph"/>
        <w:numPr>
          <w:ilvl w:val="0"/>
          <w:numId w:val="266"/>
        </w:numPr>
      </w:pPr>
      <w:r>
        <w:t>Přípravek Humira má být užíván během těhotenství pouze tehdy, je-li to nezbytně nutné.</w:t>
      </w:r>
    </w:p>
    <w:p w14:paraId="4CA23265" w14:textId="77777777" w:rsidR="00496866" w:rsidRDefault="00000000" w:rsidP="00496866">
      <w:pPr>
        <w:pStyle w:val="ListParagraph"/>
        <w:numPr>
          <w:ilvl w:val="0"/>
          <w:numId w:val="266"/>
        </w:numPr>
      </w:pPr>
      <w:r>
        <w:t>Na základě studie prováděné u</w:t>
      </w:r>
      <w:r w:rsidR="00563486">
        <w:t> </w:t>
      </w:r>
      <w:r>
        <w:t>těhotných žen nebylo zjištěno zvýšené riziko vrozených vad, pokud matka během těhotenství užívala přípravek Humira, ve srovnání s matkami se stejným onemocněním, které přípravek Humira neužívaly.</w:t>
      </w:r>
    </w:p>
    <w:p w14:paraId="05742F13" w14:textId="77777777" w:rsidR="00496866" w:rsidRDefault="00000000" w:rsidP="00496866">
      <w:pPr>
        <w:pStyle w:val="ListParagraph"/>
        <w:numPr>
          <w:ilvl w:val="0"/>
          <w:numId w:val="266"/>
        </w:numPr>
      </w:pPr>
      <w:r>
        <w:t>Přípravek Humira lze podávat během kojení.</w:t>
      </w:r>
    </w:p>
    <w:p w14:paraId="553EB255" w14:textId="77777777" w:rsidR="00496866" w:rsidRDefault="00000000" w:rsidP="00496866">
      <w:pPr>
        <w:pStyle w:val="ListParagraph"/>
        <w:numPr>
          <w:ilvl w:val="0"/>
          <w:numId w:val="266"/>
        </w:numPr>
      </w:pPr>
      <w:r>
        <w:t>Jestliže jste používala</w:t>
      </w:r>
      <w:r w:rsidRPr="001B4A02">
        <w:t xml:space="preserve"> přípravek Humira během těhotenství, může být </w:t>
      </w:r>
      <w:r>
        <w:t>Vaše</w:t>
      </w:r>
      <w:r w:rsidRPr="001B4A02">
        <w:t xml:space="preserve"> dítě náchylnější k infekcím.</w:t>
      </w:r>
    </w:p>
    <w:p w14:paraId="614C5D30" w14:textId="77777777" w:rsidR="00496866" w:rsidRDefault="00000000" w:rsidP="00496866">
      <w:pPr>
        <w:pStyle w:val="ListParagraph"/>
        <w:numPr>
          <w:ilvl w:val="0"/>
          <w:numId w:val="266"/>
        </w:numPr>
      </w:pPr>
      <w:r w:rsidRPr="001B4A02">
        <w:t>Je důležité, abyste informovala dětského lékaře</w:t>
      </w:r>
      <w:r w:rsidR="002378E0">
        <w:t xml:space="preserve"> a </w:t>
      </w:r>
      <w:r w:rsidRPr="001B4A02">
        <w:t>ostatní zdravotnické pracovníky před očkováním</w:t>
      </w:r>
      <w:r>
        <w:t xml:space="preserve"> Vašeho</w:t>
      </w:r>
      <w:r w:rsidRPr="001B4A02">
        <w:t xml:space="preserve"> dítěte, že </w:t>
      </w:r>
      <w:r>
        <w:t xml:space="preserve">jste </w:t>
      </w:r>
      <w:r w:rsidRPr="001B4A02">
        <w:t>během těhotenství používala přípravek Humira</w:t>
      </w:r>
      <w:r>
        <w:t xml:space="preserve">. </w:t>
      </w:r>
      <w:r w:rsidRPr="001B4A02">
        <w:t xml:space="preserve">Více informací </w:t>
      </w:r>
      <w:r>
        <w:t>týkající</w:t>
      </w:r>
      <w:r w:rsidR="00196227">
        <w:t>ch</w:t>
      </w:r>
      <w:r>
        <w:t xml:space="preserve"> se očkování </w:t>
      </w:r>
      <w:r w:rsidRPr="001B4A02">
        <w:t xml:space="preserve">najdete v části </w:t>
      </w:r>
      <w:r w:rsidR="00563486">
        <w:t>„</w:t>
      </w:r>
      <w:r>
        <w:t>Upozornění</w:t>
      </w:r>
      <w:r w:rsidR="002378E0">
        <w:t xml:space="preserve"> a </w:t>
      </w:r>
      <w:r>
        <w:t>opatření“</w:t>
      </w:r>
      <w:r w:rsidRPr="001B4A02">
        <w:t>.</w:t>
      </w:r>
    </w:p>
    <w:p w14:paraId="499FF35F" w14:textId="77777777" w:rsidR="00D80CCA" w:rsidRPr="001B4A02" w:rsidRDefault="00D80CCA" w:rsidP="0009084E">
      <w:pPr>
        <w:ind w:left="0" w:firstLine="0"/>
      </w:pPr>
    </w:p>
    <w:p w14:paraId="184863CC" w14:textId="77777777" w:rsidR="00D80CCA" w:rsidRPr="001B4A02" w:rsidRDefault="00000000" w:rsidP="00262E54">
      <w:pPr>
        <w:pStyle w:val="EMEANormal"/>
        <w:keepNext/>
        <w:tabs>
          <w:tab w:val="clear" w:pos="562"/>
        </w:tabs>
        <w:suppressAutoHyphens w:val="0"/>
        <w:rPr>
          <w:b/>
          <w:bCs/>
          <w:lang w:val="cs-CZ"/>
        </w:rPr>
      </w:pPr>
      <w:r w:rsidRPr="001B4A02">
        <w:rPr>
          <w:b/>
          <w:bCs/>
          <w:lang w:val="cs-CZ"/>
        </w:rPr>
        <w:t>Řízení dopravních prostředků</w:t>
      </w:r>
      <w:r w:rsidR="002378E0">
        <w:rPr>
          <w:b/>
          <w:bCs/>
          <w:lang w:val="cs-CZ"/>
        </w:rPr>
        <w:t xml:space="preserve"> a </w:t>
      </w:r>
      <w:r w:rsidRPr="001B4A02">
        <w:rPr>
          <w:b/>
          <w:bCs/>
          <w:lang w:val="cs-CZ"/>
        </w:rPr>
        <w:t>obsluha strojů</w:t>
      </w:r>
    </w:p>
    <w:p w14:paraId="2C294C3F" w14:textId="77777777" w:rsidR="00D80CCA" w:rsidRPr="001B4A02" w:rsidRDefault="00D80CCA" w:rsidP="00262E54">
      <w:pPr>
        <w:keepNext/>
        <w:ind w:left="0" w:firstLine="0"/>
      </w:pPr>
    </w:p>
    <w:p w14:paraId="475EDD23" w14:textId="77777777" w:rsidR="00D80CCA" w:rsidRPr="001B4A02" w:rsidRDefault="00000000" w:rsidP="0009084E">
      <w:pPr>
        <w:numPr>
          <w:ilvl w:val="12"/>
          <w:numId w:val="0"/>
        </w:numPr>
        <w:rPr>
          <w:bCs/>
        </w:rPr>
      </w:pPr>
      <w:r w:rsidRPr="001B4A02">
        <w:t>Přípravek Humira může mít malý vliv na schopnost řídit, jezdit na kole nebo obsluhovat stroje. Po použití přípravku Humira se může objevit pocit točení hlavy</w:t>
      </w:r>
      <w:r w:rsidR="002378E0">
        <w:t xml:space="preserve"> a </w:t>
      </w:r>
      <w:r w:rsidRPr="001B4A02">
        <w:t>poruchy vidění.</w:t>
      </w:r>
    </w:p>
    <w:p w14:paraId="1D564FCC" w14:textId="77777777" w:rsidR="00D80CCA" w:rsidRDefault="00D80CCA" w:rsidP="0009084E">
      <w:pPr>
        <w:numPr>
          <w:ilvl w:val="12"/>
          <w:numId w:val="0"/>
        </w:numPr>
        <w:rPr>
          <w:ins w:id="13756" w:author="AbbVie1" w:date="2025-05-13T10:13:00Z"/>
        </w:rPr>
      </w:pPr>
    </w:p>
    <w:p w14:paraId="134014E9" w14:textId="77777777" w:rsidR="00FC50CC" w:rsidRDefault="00000000" w:rsidP="00B03483">
      <w:pPr>
        <w:keepNext/>
        <w:numPr>
          <w:ilvl w:val="12"/>
          <w:numId w:val="0"/>
        </w:numPr>
        <w:jc w:val="both"/>
        <w:rPr>
          <w:ins w:id="13757" w:author="AbbVie1" w:date="2025-05-13T10:13:00Z"/>
          <w:b/>
          <w:bCs/>
        </w:rPr>
      </w:pPr>
      <w:ins w:id="13758" w:author="AbbVie1" w:date="2025-05-13T10:13:00Z">
        <w:r>
          <w:rPr>
            <w:b/>
            <w:bCs/>
          </w:rPr>
          <w:t>Přípravek Humira obsahuje polysorbát</w:t>
        </w:r>
      </w:ins>
    </w:p>
    <w:p w14:paraId="1C6EF348" w14:textId="77777777" w:rsidR="00FC50CC" w:rsidRPr="00B03483" w:rsidRDefault="00FC50CC" w:rsidP="00B03483">
      <w:pPr>
        <w:keepNext/>
        <w:numPr>
          <w:ilvl w:val="12"/>
          <w:numId w:val="0"/>
        </w:numPr>
        <w:jc w:val="both"/>
        <w:rPr>
          <w:ins w:id="13759" w:author="AbbVie1" w:date="2025-05-13T10:13:00Z"/>
        </w:rPr>
      </w:pPr>
    </w:p>
    <w:p w14:paraId="6777D351" w14:textId="77777777" w:rsidR="00FC50CC" w:rsidRPr="0073620E" w:rsidRDefault="00000000" w:rsidP="00FC50CC">
      <w:pPr>
        <w:numPr>
          <w:ilvl w:val="12"/>
          <w:numId w:val="0"/>
        </w:numPr>
        <w:ind w:right="-2"/>
        <w:jc w:val="both"/>
        <w:rPr>
          <w:ins w:id="13760" w:author="AbbVie1" w:date="2025-05-13T10:13:00Z"/>
        </w:rPr>
      </w:pPr>
      <w:ins w:id="13761" w:author="AbbVie1" w:date="2025-05-13T10:13:00Z">
        <w:r>
          <w:t>Tento léčivý přípravek obsahuje 0,</w:t>
        </w:r>
      </w:ins>
      <w:ins w:id="13762" w:author="AbbVie1" w:date="2025-05-13T10:14:00Z">
        <w:r>
          <w:t>4</w:t>
        </w:r>
      </w:ins>
      <w:ins w:id="13763" w:author="AbbVie1" w:date="2025-05-13T10:13:00Z">
        <w:r>
          <w:t xml:space="preserve"> mg polysorbátu 80 v jedné </w:t>
        </w:r>
      </w:ins>
      <w:ins w:id="13764" w:author="AbbVie1" w:date="2025-05-13T10:14:00Z">
        <w:r>
          <w:t>4</w:t>
        </w:r>
      </w:ins>
      <w:ins w:id="13765" w:author="AbbVie1" w:date="2025-05-13T10:13:00Z">
        <w:r>
          <w:t>0mg dávce. Polysorbáty mohou způsobit alergické reakce.</w:t>
        </w:r>
        <w:r w:rsidRPr="0028456C">
          <w:t xml:space="preserve"> Informujte svého lékaře, pokud </w:t>
        </w:r>
      </w:ins>
      <w:ins w:id="13766" w:author="AbbVie1" w:date="2025-05-13T10:14:00Z">
        <w:r>
          <w:t>máte</w:t>
        </w:r>
      </w:ins>
      <w:ins w:id="13767" w:author="AbbVie1" w:date="2025-05-13T10:13:00Z">
        <w:r w:rsidRPr="0028456C">
          <w:t xml:space="preserve"> jakékoli alergie.</w:t>
        </w:r>
      </w:ins>
    </w:p>
    <w:p w14:paraId="7AF2B32C" w14:textId="77777777" w:rsidR="00FC50CC" w:rsidRPr="001B4A02" w:rsidRDefault="00FC50CC" w:rsidP="0009084E">
      <w:pPr>
        <w:numPr>
          <w:ilvl w:val="12"/>
          <w:numId w:val="0"/>
        </w:numPr>
      </w:pPr>
    </w:p>
    <w:p w14:paraId="4BD09CA4" w14:textId="77777777" w:rsidR="00D80CCA" w:rsidRPr="001B4A02" w:rsidRDefault="00D80CCA" w:rsidP="0009084E">
      <w:pPr>
        <w:numPr>
          <w:ilvl w:val="12"/>
          <w:numId w:val="0"/>
        </w:numPr>
      </w:pPr>
    </w:p>
    <w:p w14:paraId="1D160A95" w14:textId="77777777" w:rsidR="00D80CCA" w:rsidRPr="001B4A02" w:rsidRDefault="00000000" w:rsidP="00262E54">
      <w:pPr>
        <w:keepNext/>
        <w:numPr>
          <w:ilvl w:val="12"/>
          <w:numId w:val="0"/>
        </w:numPr>
        <w:ind w:left="567" w:hanging="567"/>
        <w:outlineLvl w:val="1"/>
      </w:pPr>
      <w:r w:rsidRPr="001B4A02">
        <w:rPr>
          <w:b/>
        </w:rPr>
        <w:t>3.</w:t>
      </w:r>
      <w:r w:rsidRPr="001B4A02">
        <w:rPr>
          <w:b/>
        </w:rPr>
        <w:tab/>
        <w:t>Jak se přípravek Humira používá</w:t>
      </w:r>
    </w:p>
    <w:p w14:paraId="71A0C926" w14:textId="77777777" w:rsidR="00D80CCA" w:rsidRPr="001B4A02" w:rsidRDefault="00D80CCA" w:rsidP="00262E54">
      <w:pPr>
        <w:keepNext/>
        <w:numPr>
          <w:ilvl w:val="12"/>
          <w:numId w:val="0"/>
        </w:numPr>
        <w:ind w:right="-2"/>
        <w:jc w:val="both"/>
      </w:pPr>
    </w:p>
    <w:p w14:paraId="40519A89" w14:textId="77777777" w:rsidR="00D80CCA" w:rsidRPr="001B4A02" w:rsidRDefault="00000000" w:rsidP="00D80CCA">
      <w:pPr>
        <w:ind w:left="0" w:firstLine="0"/>
      </w:pPr>
      <w:r w:rsidRPr="001B4A02">
        <w:t>Vždy používejte tento přípravek přesně podle pokynů svého lékaře nebo lékárníka. Pokud si nejste jistý(á), poraďte se s</w:t>
      </w:r>
      <w:r w:rsidR="00DD1650">
        <w:t>e svým lékařem nebo lékárníkem.</w:t>
      </w:r>
    </w:p>
    <w:p w14:paraId="15A24A9F" w14:textId="77777777" w:rsidR="00691DB0" w:rsidRDefault="00691DB0" w:rsidP="00D80CCA">
      <w:pPr>
        <w:numPr>
          <w:ilvl w:val="12"/>
          <w:numId w:val="0"/>
        </w:numPr>
        <w:ind w:right="-2"/>
      </w:pPr>
    </w:p>
    <w:p w14:paraId="0E1568DE" w14:textId="77777777" w:rsidR="00D80CCA" w:rsidRPr="001B4A02" w:rsidRDefault="00000000" w:rsidP="00D80CCA">
      <w:pPr>
        <w:numPr>
          <w:ilvl w:val="12"/>
          <w:numId w:val="0"/>
        </w:numPr>
        <w:ind w:right="-2"/>
      </w:pPr>
      <w:r w:rsidRPr="001B4A02">
        <w:t>Doporučené dávky přípravku Humira u každého schváleného použití jsou uvedeny v následující tabulce. Lékař Vám může předepsat jinou sílu přípravku Humira, pokud potřebujete jinou dávku.</w:t>
      </w:r>
    </w:p>
    <w:p w14:paraId="6664BB7A" w14:textId="77777777" w:rsidR="00D80CCA" w:rsidRPr="001B4A02" w:rsidRDefault="00D80CCA" w:rsidP="00D80CCA">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13"/>
        <w:gridCol w:w="3032"/>
      </w:tblGrid>
      <w:tr w:rsidR="00534A2D" w14:paraId="5F9960C7" w14:textId="77777777" w:rsidTr="00085F34">
        <w:tc>
          <w:tcPr>
            <w:tcW w:w="9287" w:type="dxa"/>
            <w:gridSpan w:val="3"/>
            <w:shd w:val="clear" w:color="auto" w:fill="auto"/>
          </w:tcPr>
          <w:p w14:paraId="41792551" w14:textId="77777777" w:rsidR="00D80CCA" w:rsidRPr="001B4A02" w:rsidRDefault="00000000" w:rsidP="003C624D">
            <w:pPr>
              <w:keepNext/>
              <w:numPr>
                <w:ilvl w:val="12"/>
                <w:numId w:val="0"/>
              </w:numPr>
              <w:ind w:right="-2"/>
              <w:rPr>
                <w:b/>
              </w:rPr>
            </w:pPr>
            <w:r w:rsidRPr="001B4A02">
              <w:rPr>
                <w:b/>
              </w:rPr>
              <w:t>Revmatoidní artritida, psoriatická artritida, ankylozující spondylitida nebo axiální spondylartritida bez radiografického průkazu ankylozující spondylitidy</w:t>
            </w:r>
          </w:p>
        </w:tc>
      </w:tr>
      <w:tr w:rsidR="00534A2D" w14:paraId="095D41CC" w14:textId="77777777" w:rsidTr="00085F34">
        <w:tc>
          <w:tcPr>
            <w:tcW w:w="3095" w:type="dxa"/>
            <w:shd w:val="clear" w:color="auto" w:fill="auto"/>
          </w:tcPr>
          <w:p w14:paraId="1A228FA8" w14:textId="77777777" w:rsidR="00D80CCA" w:rsidRPr="001B4A02" w:rsidRDefault="00000000" w:rsidP="003C624D">
            <w:pPr>
              <w:keepNext/>
              <w:numPr>
                <w:ilvl w:val="12"/>
                <w:numId w:val="0"/>
              </w:numPr>
              <w:ind w:right="-2"/>
            </w:pPr>
            <w:r w:rsidRPr="001B4A02">
              <w:rPr>
                <w:b/>
              </w:rPr>
              <w:t>Věk nebo tělesná hmotnost</w:t>
            </w:r>
          </w:p>
        </w:tc>
        <w:tc>
          <w:tcPr>
            <w:tcW w:w="3096" w:type="dxa"/>
            <w:shd w:val="clear" w:color="auto" w:fill="auto"/>
          </w:tcPr>
          <w:p w14:paraId="3AEDDFF2" w14:textId="77777777" w:rsidR="00D80CCA" w:rsidRPr="001B4A02" w:rsidRDefault="00000000" w:rsidP="003C624D">
            <w:pPr>
              <w:keepNext/>
              <w:numPr>
                <w:ilvl w:val="12"/>
                <w:numId w:val="0"/>
              </w:numPr>
              <w:ind w:right="-2"/>
            </w:pPr>
            <w:r w:rsidRPr="001B4A02">
              <w:rPr>
                <w:b/>
              </w:rPr>
              <w:t>Kolik používat</w:t>
            </w:r>
            <w:r w:rsidR="002378E0">
              <w:rPr>
                <w:b/>
              </w:rPr>
              <w:t xml:space="preserve"> a </w:t>
            </w:r>
            <w:r w:rsidRPr="001B4A02">
              <w:rPr>
                <w:b/>
              </w:rPr>
              <w:t>jak často?</w:t>
            </w:r>
          </w:p>
        </w:tc>
        <w:tc>
          <w:tcPr>
            <w:tcW w:w="3096" w:type="dxa"/>
            <w:shd w:val="clear" w:color="auto" w:fill="auto"/>
          </w:tcPr>
          <w:p w14:paraId="52B51E6E" w14:textId="77777777" w:rsidR="00D80CCA" w:rsidRPr="001B4A02" w:rsidRDefault="00000000" w:rsidP="003C624D">
            <w:pPr>
              <w:keepNext/>
              <w:numPr>
                <w:ilvl w:val="12"/>
                <w:numId w:val="0"/>
              </w:numPr>
              <w:ind w:right="-2"/>
            </w:pPr>
            <w:r w:rsidRPr="001B4A02">
              <w:rPr>
                <w:b/>
              </w:rPr>
              <w:t>Poznámky</w:t>
            </w:r>
          </w:p>
        </w:tc>
      </w:tr>
      <w:tr w:rsidR="00534A2D" w14:paraId="3A817BC6" w14:textId="77777777" w:rsidTr="00085F34">
        <w:tc>
          <w:tcPr>
            <w:tcW w:w="3095" w:type="dxa"/>
            <w:shd w:val="clear" w:color="auto" w:fill="auto"/>
          </w:tcPr>
          <w:p w14:paraId="59B1EECC" w14:textId="77777777" w:rsidR="00D80CCA" w:rsidRPr="001B4A02" w:rsidRDefault="00000000" w:rsidP="003C624D">
            <w:pPr>
              <w:keepNext/>
              <w:numPr>
                <w:ilvl w:val="12"/>
                <w:numId w:val="0"/>
              </w:numPr>
              <w:ind w:right="-2"/>
            </w:pPr>
            <w:r w:rsidRPr="001B4A02">
              <w:t>Dospělí</w:t>
            </w:r>
          </w:p>
        </w:tc>
        <w:tc>
          <w:tcPr>
            <w:tcW w:w="3096" w:type="dxa"/>
            <w:shd w:val="clear" w:color="auto" w:fill="auto"/>
          </w:tcPr>
          <w:p w14:paraId="1A22F116" w14:textId="77777777" w:rsidR="00D80CCA" w:rsidRPr="001B4A02" w:rsidRDefault="00000000" w:rsidP="003C624D">
            <w:pPr>
              <w:keepNext/>
              <w:numPr>
                <w:ilvl w:val="12"/>
                <w:numId w:val="0"/>
              </w:numPr>
              <w:ind w:right="-2"/>
            </w:pPr>
            <w:r w:rsidRPr="001B4A02">
              <w:t>40</w:t>
            </w:r>
            <w:r w:rsidR="00A7483D">
              <w:t> mg</w:t>
            </w:r>
            <w:r w:rsidRPr="001B4A02">
              <w:t xml:space="preserve"> jednou za dva týdny</w:t>
            </w:r>
          </w:p>
        </w:tc>
        <w:tc>
          <w:tcPr>
            <w:tcW w:w="3096" w:type="dxa"/>
            <w:shd w:val="clear" w:color="auto" w:fill="auto"/>
          </w:tcPr>
          <w:p w14:paraId="49879ED3" w14:textId="77777777" w:rsidR="00D80CCA" w:rsidRPr="001B4A02" w:rsidRDefault="00000000" w:rsidP="003C624D">
            <w:pPr>
              <w:keepNext/>
              <w:ind w:left="0" w:firstLine="0"/>
            </w:pPr>
            <w:r w:rsidRPr="001B4A02">
              <w:t>U revmatoidní artritidy se při léčbě přípravkem Humira pokračuje v podávání methotrexátu. Pokud Váš lékař určí, že je pro Vás methotrexát nevhodný, podává se přípravek Humira samostatně.</w:t>
            </w:r>
          </w:p>
          <w:p w14:paraId="72E4E994" w14:textId="77777777" w:rsidR="00D80CCA" w:rsidRPr="001B4A02" w:rsidRDefault="00D80CCA" w:rsidP="003C624D">
            <w:pPr>
              <w:keepNext/>
              <w:numPr>
                <w:ilvl w:val="12"/>
                <w:numId w:val="0"/>
              </w:numPr>
              <w:ind w:right="-2"/>
            </w:pPr>
          </w:p>
          <w:p w14:paraId="52E1C64E" w14:textId="77777777" w:rsidR="00D80CCA" w:rsidRPr="001B4A02" w:rsidRDefault="00000000" w:rsidP="00E863A7">
            <w:pPr>
              <w:keepNext/>
              <w:numPr>
                <w:ilvl w:val="12"/>
                <w:numId w:val="0"/>
              </w:numPr>
              <w:ind w:right="-2"/>
            </w:pPr>
            <w:r w:rsidRPr="001B4A02">
              <w:t>Jestliže máte revmatoidní artritidu</w:t>
            </w:r>
            <w:r w:rsidR="002378E0">
              <w:t xml:space="preserve"> a </w:t>
            </w:r>
            <w:r w:rsidRPr="001B4A02">
              <w:t xml:space="preserve">spolu s přípravkem Humira nedostáváte methotrexát, může lékař rozhodnout, že budete dostávat </w:t>
            </w:r>
            <w:r w:rsidR="00E863A7">
              <w:t xml:space="preserve">přípravek Humira </w:t>
            </w:r>
            <w:r w:rsidRPr="001B4A02">
              <w:t>40</w:t>
            </w:r>
            <w:r w:rsidR="00A7483D">
              <w:t> mg</w:t>
            </w:r>
            <w:r w:rsidRPr="001B4A02">
              <w:t xml:space="preserve"> </w:t>
            </w:r>
            <w:r w:rsidR="005F5E75" w:rsidRPr="001B4A02">
              <w:t xml:space="preserve">jednou týdně </w:t>
            </w:r>
            <w:r w:rsidR="00D45BC2" w:rsidRPr="001B4A02">
              <w:t>nebo 80</w:t>
            </w:r>
            <w:r w:rsidR="00A7483D">
              <w:t> mg</w:t>
            </w:r>
            <w:r w:rsidR="00D45BC2" w:rsidRPr="001B4A02">
              <w:t xml:space="preserve"> jednou za dva týdny</w:t>
            </w:r>
            <w:r w:rsidRPr="001B4A02">
              <w:t>.</w:t>
            </w:r>
          </w:p>
        </w:tc>
      </w:tr>
    </w:tbl>
    <w:p w14:paraId="147621D1" w14:textId="77777777" w:rsidR="00D80CCA" w:rsidRPr="001B4A02" w:rsidRDefault="00D80CCA" w:rsidP="00D80CCA">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11"/>
        <w:gridCol w:w="3026"/>
      </w:tblGrid>
      <w:tr w:rsidR="00534A2D" w14:paraId="67FDC636" w14:textId="77777777" w:rsidTr="00085F34">
        <w:tc>
          <w:tcPr>
            <w:tcW w:w="9287" w:type="dxa"/>
            <w:gridSpan w:val="3"/>
            <w:shd w:val="clear" w:color="auto" w:fill="auto"/>
          </w:tcPr>
          <w:p w14:paraId="12FBFBF6" w14:textId="77777777" w:rsidR="00D80CCA" w:rsidRPr="001B4A02" w:rsidRDefault="00000000" w:rsidP="00085F34">
            <w:pPr>
              <w:keepNext/>
              <w:numPr>
                <w:ilvl w:val="12"/>
                <w:numId w:val="0"/>
              </w:numPr>
              <w:ind w:right="-2"/>
            </w:pPr>
            <w:r w:rsidRPr="001B4A02">
              <w:rPr>
                <w:b/>
              </w:rPr>
              <w:t>Polyartikulární juvenilní idiopatická artritida</w:t>
            </w:r>
          </w:p>
        </w:tc>
      </w:tr>
      <w:tr w:rsidR="00534A2D" w14:paraId="79155867" w14:textId="77777777" w:rsidTr="00085F34">
        <w:tc>
          <w:tcPr>
            <w:tcW w:w="3095" w:type="dxa"/>
            <w:shd w:val="clear" w:color="auto" w:fill="auto"/>
          </w:tcPr>
          <w:p w14:paraId="0DA9E827" w14:textId="77777777" w:rsidR="00D80CCA" w:rsidRPr="001B4A02" w:rsidRDefault="00000000" w:rsidP="00085F34">
            <w:pPr>
              <w:keepNext/>
              <w:numPr>
                <w:ilvl w:val="12"/>
                <w:numId w:val="0"/>
              </w:numPr>
              <w:ind w:right="-2"/>
            </w:pPr>
            <w:r w:rsidRPr="001B4A02">
              <w:rPr>
                <w:b/>
              </w:rPr>
              <w:t>Věk nebo tělesná hmotnost</w:t>
            </w:r>
          </w:p>
        </w:tc>
        <w:tc>
          <w:tcPr>
            <w:tcW w:w="3096" w:type="dxa"/>
            <w:shd w:val="clear" w:color="auto" w:fill="auto"/>
          </w:tcPr>
          <w:p w14:paraId="4A3BCE2C" w14:textId="77777777" w:rsidR="00D80CCA" w:rsidRPr="001B4A02" w:rsidRDefault="00000000" w:rsidP="00085F34">
            <w:pPr>
              <w:keepNext/>
              <w:numPr>
                <w:ilvl w:val="12"/>
                <w:numId w:val="0"/>
              </w:numPr>
              <w:ind w:right="-2"/>
            </w:pPr>
            <w:r w:rsidRPr="001B4A02">
              <w:rPr>
                <w:b/>
              </w:rPr>
              <w:t>Kolik používat</w:t>
            </w:r>
            <w:r w:rsidR="002378E0">
              <w:rPr>
                <w:b/>
              </w:rPr>
              <w:t xml:space="preserve"> a </w:t>
            </w:r>
            <w:r w:rsidRPr="001B4A02">
              <w:rPr>
                <w:b/>
              </w:rPr>
              <w:t>jak často?</w:t>
            </w:r>
          </w:p>
        </w:tc>
        <w:tc>
          <w:tcPr>
            <w:tcW w:w="3096" w:type="dxa"/>
            <w:shd w:val="clear" w:color="auto" w:fill="auto"/>
          </w:tcPr>
          <w:p w14:paraId="73615C0D" w14:textId="77777777" w:rsidR="00D80CCA" w:rsidRPr="001B4A02" w:rsidRDefault="00000000" w:rsidP="00085F34">
            <w:pPr>
              <w:numPr>
                <w:ilvl w:val="12"/>
                <w:numId w:val="0"/>
              </w:numPr>
              <w:ind w:right="-2"/>
            </w:pPr>
            <w:r w:rsidRPr="001B4A02">
              <w:rPr>
                <w:b/>
              </w:rPr>
              <w:t>Poznámky</w:t>
            </w:r>
          </w:p>
        </w:tc>
      </w:tr>
      <w:tr w:rsidR="00534A2D" w14:paraId="4DB561F9" w14:textId="77777777" w:rsidTr="00085F34">
        <w:tc>
          <w:tcPr>
            <w:tcW w:w="3095" w:type="dxa"/>
            <w:shd w:val="clear" w:color="auto" w:fill="auto"/>
          </w:tcPr>
          <w:p w14:paraId="42ED6705" w14:textId="77777777" w:rsidR="00D80CCA" w:rsidRPr="001B4A02" w:rsidRDefault="00000000" w:rsidP="00085F34">
            <w:pPr>
              <w:keepNext/>
              <w:numPr>
                <w:ilvl w:val="12"/>
                <w:numId w:val="0"/>
              </w:numPr>
              <w:ind w:right="-2"/>
            </w:pPr>
            <w:r w:rsidRPr="001B4A02">
              <w:t>Děti, dospívající</w:t>
            </w:r>
            <w:r w:rsidR="002378E0">
              <w:t xml:space="preserve"> a </w:t>
            </w:r>
            <w:r w:rsidRPr="001B4A02">
              <w:t>dospělí od 2 let s tělesnou hmotností 30 kg nebo vyšší</w:t>
            </w:r>
          </w:p>
        </w:tc>
        <w:tc>
          <w:tcPr>
            <w:tcW w:w="3096" w:type="dxa"/>
            <w:shd w:val="clear" w:color="auto" w:fill="auto"/>
          </w:tcPr>
          <w:p w14:paraId="2896118B" w14:textId="77777777" w:rsidR="00D80CCA" w:rsidRPr="001B4A02" w:rsidRDefault="00000000" w:rsidP="00085F34">
            <w:pPr>
              <w:keepNext/>
              <w:numPr>
                <w:ilvl w:val="12"/>
                <w:numId w:val="0"/>
              </w:numPr>
              <w:ind w:right="-2"/>
            </w:pPr>
            <w:r w:rsidRPr="001B4A02">
              <w:t>40</w:t>
            </w:r>
            <w:r w:rsidR="00A7483D">
              <w:t> mg</w:t>
            </w:r>
            <w:r w:rsidRPr="001B4A02">
              <w:t xml:space="preserve"> jednou za dva týdny</w:t>
            </w:r>
          </w:p>
        </w:tc>
        <w:tc>
          <w:tcPr>
            <w:tcW w:w="3096" w:type="dxa"/>
            <w:shd w:val="clear" w:color="auto" w:fill="auto"/>
          </w:tcPr>
          <w:p w14:paraId="202BDC76" w14:textId="77777777" w:rsidR="00D80CCA" w:rsidRPr="001B4A02" w:rsidRDefault="00000000" w:rsidP="00085F34">
            <w:pPr>
              <w:numPr>
                <w:ilvl w:val="12"/>
                <w:numId w:val="0"/>
              </w:numPr>
              <w:ind w:right="-2"/>
            </w:pPr>
            <w:r w:rsidRPr="001B4A02">
              <w:t>Nepoužitelné</w:t>
            </w:r>
          </w:p>
        </w:tc>
      </w:tr>
      <w:tr w:rsidR="00534A2D" w14:paraId="037B1739" w14:textId="77777777" w:rsidTr="00085F34">
        <w:tc>
          <w:tcPr>
            <w:tcW w:w="3095" w:type="dxa"/>
            <w:shd w:val="clear" w:color="auto" w:fill="auto"/>
          </w:tcPr>
          <w:p w14:paraId="427C75C2" w14:textId="77777777" w:rsidR="00D80CCA" w:rsidRPr="001B4A02" w:rsidRDefault="00000000" w:rsidP="00085F34">
            <w:pPr>
              <w:keepNext/>
              <w:numPr>
                <w:ilvl w:val="12"/>
                <w:numId w:val="0"/>
              </w:numPr>
              <w:ind w:right="-2"/>
            </w:pPr>
            <w:r w:rsidRPr="001B4A02">
              <w:t>Děti</w:t>
            </w:r>
            <w:r w:rsidR="002378E0">
              <w:t xml:space="preserve"> a </w:t>
            </w:r>
            <w:r w:rsidRPr="001B4A02">
              <w:t>dospívající od 2 let s tělesnou hmotností od 10 kg do 30 kg</w:t>
            </w:r>
          </w:p>
        </w:tc>
        <w:tc>
          <w:tcPr>
            <w:tcW w:w="3096" w:type="dxa"/>
            <w:shd w:val="clear" w:color="auto" w:fill="auto"/>
          </w:tcPr>
          <w:p w14:paraId="3BBE6752" w14:textId="77777777" w:rsidR="00D80CCA" w:rsidRPr="001B4A02" w:rsidRDefault="00000000" w:rsidP="00085F34">
            <w:pPr>
              <w:keepNext/>
              <w:numPr>
                <w:ilvl w:val="12"/>
                <w:numId w:val="0"/>
              </w:numPr>
              <w:ind w:right="-2"/>
            </w:pPr>
            <w:r w:rsidRPr="001B4A02">
              <w:t>20</w:t>
            </w:r>
            <w:r w:rsidR="00A7483D">
              <w:t> mg</w:t>
            </w:r>
            <w:r w:rsidRPr="001B4A02">
              <w:t xml:space="preserve"> jednou za dva týdny</w:t>
            </w:r>
          </w:p>
        </w:tc>
        <w:tc>
          <w:tcPr>
            <w:tcW w:w="3096" w:type="dxa"/>
            <w:shd w:val="clear" w:color="auto" w:fill="auto"/>
          </w:tcPr>
          <w:p w14:paraId="128E9872" w14:textId="77777777" w:rsidR="00D80CCA" w:rsidRPr="001B4A02" w:rsidRDefault="00000000" w:rsidP="00085F34">
            <w:pPr>
              <w:numPr>
                <w:ilvl w:val="12"/>
                <w:numId w:val="0"/>
              </w:numPr>
              <w:ind w:right="-2"/>
            </w:pPr>
            <w:r w:rsidRPr="001B4A02">
              <w:t>Nepoužitelné</w:t>
            </w:r>
          </w:p>
        </w:tc>
      </w:tr>
    </w:tbl>
    <w:p w14:paraId="243695F6" w14:textId="77777777" w:rsidR="00D80CCA" w:rsidRPr="001B4A02" w:rsidRDefault="00D80CCA" w:rsidP="00D80CCA">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11"/>
        <w:gridCol w:w="3026"/>
      </w:tblGrid>
      <w:tr w:rsidR="00534A2D" w14:paraId="4307BC7A" w14:textId="77777777" w:rsidTr="00085F34">
        <w:tc>
          <w:tcPr>
            <w:tcW w:w="9287" w:type="dxa"/>
            <w:gridSpan w:val="3"/>
            <w:shd w:val="clear" w:color="auto" w:fill="auto"/>
          </w:tcPr>
          <w:p w14:paraId="5D23D74E" w14:textId="77777777" w:rsidR="00D80CCA" w:rsidRPr="001B4A02" w:rsidRDefault="00000000" w:rsidP="00085F34">
            <w:pPr>
              <w:keepNext/>
              <w:numPr>
                <w:ilvl w:val="12"/>
                <w:numId w:val="0"/>
              </w:numPr>
              <w:ind w:right="-2"/>
              <w:rPr>
                <w:b/>
              </w:rPr>
            </w:pPr>
            <w:r w:rsidRPr="001B4A02">
              <w:rPr>
                <w:b/>
              </w:rPr>
              <w:t>Entezopatická artritida</w:t>
            </w:r>
          </w:p>
        </w:tc>
      </w:tr>
      <w:tr w:rsidR="00534A2D" w14:paraId="6E8CE731" w14:textId="77777777" w:rsidTr="00085F34">
        <w:tc>
          <w:tcPr>
            <w:tcW w:w="3095" w:type="dxa"/>
            <w:shd w:val="clear" w:color="auto" w:fill="auto"/>
          </w:tcPr>
          <w:p w14:paraId="1AD678CD" w14:textId="77777777" w:rsidR="00D80CCA" w:rsidRPr="001B4A02" w:rsidRDefault="00000000" w:rsidP="00085F34">
            <w:pPr>
              <w:keepNext/>
              <w:numPr>
                <w:ilvl w:val="12"/>
                <w:numId w:val="0"/>
              </w:numPr>
              <w:ind w:right="-2"/>
            </w:pPr>
            <w:r w:rsidRPr="001B4A02">
              <w:rPr>
                <w:b/>
              </w:rPr>
              <w:t>Věk nebo tělesná hmotnost</w:t>
            </w:r>
          </w:p>
        </w:tc>
        <w:tc>
          <w:tcPr>
            <w:tcW w:w="3096" w:type="dxa"/>
            <w:shd w:val="clear" w:color="auto" w:fill="auto"/>
          </w:tcPr>
          <w:p w14:paraId="30E51A34" w14:textId="77777777" w:rsidR="00D80CCA" w:rsidRPr="001B4A02" w:rsidRDefault="00000000" w:rsidP="00085F34">
            <w:pPr>
              <w:keepNext/>
              <w:numPr>
                <w:ilvl w:val="12"/>
                <w:numId w:val="0"/>
              </w:numPr>
              <w:ind w:right="-2"/>
            </w:pPr>
            <w:r w:rsidRPr="001B4A02">
              <w:rPr>
                <w:b/>
              </w:rPr>
              <w:t>Kolik používat</w:t>
            </w:r>
            <w:r w:rsidR="002378E0">
              <w:rPr>
                <w:b/>
              </w:rPr>
              <w:t xml:space="preserve"> a </w:t>
            </w:r>
            <w:r w:rsidRPr="001B4A02">
              <w:rPr>
                <w:b/>
              </w:rPr>
              <w:t>jak často?</w:t>
            </w:r>
          </w:p>
        </w:tc>
        <w:tc>
          <w:tcPr>
            <w:tcW w:w="3096" w:type="dxa"/>
            <w:shd w:val="clear" w:color="auto" w:fill="auto"/>
          </w:tcPr>
          <w:p w14:paraId="602B0C8A" w14:textId="77777777" w:rsidR="00D80CCA" w:rsidRPr="001B4A02" w:rsidRDefault="00000000" w:rsidP="00085F34">
            <w:pPr>
              <w:keepNext/>
              <w:numPr>
                <w:ilvl w:val="12"/>
                <w:numId w:val="0"/>
              </w:numPr>
              <w:ind w:right="-2"/>
            </w:pPr>
            <w:r w:rsidRPr="001B4A02">
              <w:rPr>
                <w:b/>
              </w:rPr>
              <w:t>Poznámky</w:t>
            </w:r>
          </w:p>
        </w:tc>
      </w:tr>
      <w:tr w:rsidR="00534A2D" w14:paraId="6FFE32BD" w14:textId="77777777" w:rsidTr="00085F34">
        <w:tc>
          <w:tcPr>
            <w:tcW w:w="3095" w:type="dxa"/>
            <w:shd w:val="clear" w:color="auto" w:fill="auto"/>
          </w:tcPr>
          <w:p w14:paraId="2E8E3392" w14:textId="77777777" w:rsidR="00D80CCA" w:rsidRPr="001B4A02" w:rsidRDefault="00000000" w:rsidP="00085F34">
            <w:pPr>
              <w:keepNext/>
              <w:numPr>
                <w:ilvl w:val="12"/>
                <w:numId w:val="0"/>
              </w:numPr>
              <w:ind w:right="-2"/>
            </w:pPr>
            <w:r w:rsidRPr="001B4A02">
              <w:t>Děti, dospívající</w:t>
            </w:r>
            <w:r w:rsidR="002378E0">
              <w:t xml:space="preserve"> a </w:t>
            </w:r>
            <w:r w:rsidRPr="001B4A02">
              <w:t>dospělí od 6 let s tělesnou hmotností 30 kg nebo vyšší</w:t>
            </w:r>
          </w:p>
        </w:tc>
        <w:tc>
          <w:tcPr>
            <w:tcW w:w="3096" w:type="dxa"/>
            <w:shd w:val="clear" w:color="auto" w:fill="auto"/>
          </w:tcPr>
          <w:p w14:paraId="205D29C1" w14:textId="77777777" w:rsidR="00D80CCA" w:rsidRPr="001B4A02" w:rsidRDefault="00000000" w:rsidP="00085F34">
            <w:pPr>
              <w:keepNext/>
              <w:numPr>
                <w:ilvl w:val="12"/>
                <w:numId w:val="0"/>
              </w:numPr>
              <w:ind w:right="-2"/>
            </w:pPr>
            <w:r w:rsidRPr="001B4A02">
              <w:t>40</w:t>
            </w:r>
            <w:r w:rsidR="00A7483D">
              <w:t> mg</w:t>
            </w:r>
            <w:r w:rsidRPr="001B4A02">
              <w:t xml:space="preserve"> jednou za dva týdny</w:t>
            </w:r>
          </w:p>
        </w:tc>
        <w:tc>
          <w:tcPr>
            <w:tcW w:w="3096" w:type="dxa"/>
            <w:shd w:val="clear" w:color="auto" w:fill="auto"/>
          </w:tcPr>
          <w:p w14:paraId="3117900E" w14:textId="77777777" w:rsidR="00D80CCA" w:rsidRPr="001B4A02" w:rsidRDefault="00000000" w:rsidP="00085F34">
            <w:pPr>
              <w:keepNext/>
              <w:numPr>
                <w:ilvl w:val="12"/>
                <w:numId w:val="0"/>
              </w:numPr>
              <w:ind w:right="-2"/>
            </w:pPr>
            <w:r w:rsidRPr="001B4A02">
              <w:t>Nepoužitelné</w:t>
            </w:r>
          </w:p>
        </w:tc>
      </w:tr>
      <w:tr w:rsidR="00534A2D" w14:paraId="2CCD6944" w14:textId="77777777" w:rsidTr="00085F34">
        <w:tc>
          <w:tcPr>
            <w:tcW w:w="3095" w:type="dxa"/>
            <w:shd w:val="clear" w:color="auto" w:fill="auto"/>
          </w:tcPr>
          <w:p w14:paraId="05ED6BB5" w14:textId="77777777" w:rsidR="00D80CCA" w:rsidRPr="001B4A02" w:rsidRDefault="00000000" w:rsidP="00085F34">
            <w:pPr>
              <w:keepNext/>
              <w:numPr>
                <w:ilvl w:val="12"/>
                <w:numId w:val="0"/>
              </w:numPr>
              <w:ind w:right="-2"/>
            </w:pPr>
            <w:r w:rsidRPr="001B4A02">
              <w:t>Děti</w:t>
            </w:r>
            <w:r w:rsidR="002378E0">
              <w:t xml:space="preserve"> a </w:t>
            </w:r>
            <w:r w:rsidRPr="001B4A02">
              <w:t>dospívající od 6 let s tělesnou hmotností od 15 kg do 30 kg</w:t>
            </w:r>
          </w:p>
        </w:tc>
        <w:tc>
          <w:tcPr>
            <w:tcW w:w="3096" w:type="dxa"/>
            <w:shd w:val="clear" w:color="auto" w:fill="auto"/>
          </w:tcPr>
          <w:p w14:paraId="0049B9BA" w14:textId="77777777" w:rsidR="00D80CCA" w:rsidRPr="001B4A02" w:rsidRDefault="00000000" w:rsidP="00085F34">
            <w:pPr>
              <w:keepNext/>
              <w:numPr>
                <w:ilvl w:val="12"/>
                <w:numId w:val="0"/>
              </w:numPr>
              <w:ind w:right="-2"/>
            </w:pPr>
            <w:r w:rsidRPr="001B4A02">
              <w:t>20</w:t>
            </w:r>
            <w:r w:rsidR="00A7483D">
              <w:t> mg</w:t>
            </w:r>
            <w:r w:rsidRPr="001B4A02">
              <w:t xml:space="preserve"> jednou za dva týdny</w:t>
            </w:r>
          </w:p>
        </w:tc>
        <w:tc>
          <w:tcPr>
            <w:tcW w:w="3096" w:type="dxa"/>
            <w:shd w:val="clear" w:color="auto" w:fill="auto"/>
          </w:tcPr>
          <w:p w14:paraId="2766C62D" w14:textId="77777777" w:rsidR="00D80CCA" w:rsidRPr="001B4A02" w:rsidRDefault="00000000" w:rsidP="00085F34">
            <w:pPr>
              <w:keepNext/>
              <w:numPr>
                <w:ilvl w:val="12"/>
                <w:numId w:val="0"/>
              </w:numPr>
              <w:ind w:right="-2"/>
            </w:pPr>
            <w:r w:rsidRPr="001B4A02">
              <w:t>Nepoužitelné</w:t>
            </w:r>
          </w:p>
        </w:tc>
      </w:tr>
    </w:tbl>
    <w:p w14:paraId="5F4C316A" w14:textId="77777777" w:rsidR="00D80CCA" w:rsidRPr="001B4A02" w:rsidRDefault="00D80CCA" w:rsidP="00D80CCA">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3"/>
      </w:tblGrid>
      <w:tr w:rsidR="00534A2D" w14:paraId="5C54D747" w14:textId="77777777" w:rsidTr="00085F34">
        <w:tc>
          <w:tcPr>
            <w:tcW w:w="9287" w:type="dxa"/>
            <w:gridSpan w:val="3"/>
            <w:shd w:val="clear" w:color="auto" w:fill="auto"/>
          </w:tcPr>
          <w:p w14:paraId="091095F0" w14:textId="77777777" w:rsidR="00D80CCA" w:rsidRPr="001B4A02" w:rsidRDefault="00000000" w:rsidP="00085F34">
            <w:pPr>
              <w:numPr>
                <w:ilvl w:val="12"/>
                <w:numId w:val="0"/>
              </w:numPr>
              <w:ind w:right="-2"/>
            </w:pPr>
            <w:r w:rsidRPr="001B4A02">
              <w:rPr>
                <w:b/>
              </w:rPr>
              <w:t>Ložisková psoriáza</w:t>
            </w:r>
          </w:p>
        </w:tc>
      </w:tr>
      <w:tr w:rsidR="00534A2D" w14:paraId="5D2260C1" w14:textId="77777777" w:rsidTr="00085F34">
        <w:tc>
          <w:tcPr>
            <w:tcW w:w="3095" w:type="dxa"/>
            <w:shd w:val="clear" w:color="auto" w:fill="auto"/>
          </w:tcPr>
          <w:p w14:paraId="3DD39662" w14:textId="77777777" w:rsidR="00D80CCA" w:rsidRPr="001B4A02" w:rsidRDefault="00000000" w:rsidP="00085F34">
            <w:pPr>
              <w:numPr>
                <w:ilvl w:val="12"/>
                <w:numId w:val="0"/>
              </w:numPr>
              <w:ind w:right="-2"/>
            </w:pPr>
            <w:r w:rsidRPr="001B4A02">
              <w:rPr>
                <w:b/>
              </w:rPr>
              <w:t>Věk nebo tělesná hmotnost</w:t>
            </w:r>
          </w:p>
        </w:tc>
        <w:tc>
          <w:tcPr>
            <w:tcW w:w="3096" w:type="dxa"/>
            <w:shd w:val="clear" w:color="auto" w:fill="auto"/>
          </w:tcPr>
          <w:p w14:paraId="793D1466" w14:textId="77777777" w:rsidR="00D80CCA" w:rsidRPr="001B4A02" w:rsidRDefault="00000000" w:rsidP="00085F34">
            <w:pPr>
              <w:numPr>
                <w:ilvl w:val="12"/>
                <w:numId w:val="0"/>
              </w:numPr>
              <w:ind w:right="-2"/>
            </w:pPr>
            <w:r w:rsidRPr="001B4A02">
              <w:rPr>
                <w:b/>
              </w:rPr>
              <w:t>Kolik používat</w:t>
            </w:r>
            <w:r w:rsidR="002378E0">
              <w:rPr>
                <w:b/>
              </w:rPr>
              <w:t xml:space="preserve"> a </w:t>
            </w:r>
            <w:r w:rsidRPr="001B4A02">
              <w:rPr>
                <w:b/>
              </w:rPr>
              <w:t>jak často?</w:t>
            </w:r>
          </w:p>
        </w:tc>
        <w:tc>
          <w:tcPr>
            <w:tcW w:w="3096" w:type="dxa"/>
            <w:shd w:val="clear" w:color="auto" w:fill="auto"/>
          </w:tcPr>
          <w:p w14:paraId="3744955A" w14:textId="77777777" w:rsidR="00D80CCA" w:rsidRPr="001B4A02" w:rsidRDefault="00000000" w:rsidP="00085F34">
            <w:pPr>
              <w:numPr>
                <w:ilvl w:val="12"/>
                <w:numId w:val="0"/>
              </w:numPr>
              <w:ind w:right="-2"/>
            </w:pPr>
            <w:r w:rsidRPr="001B4A02">
              <w:rPr>
                <w:b/>
              </w:rPr>
              <w:t>Poznámky</w:t>
            </w:r>
          </w:p>
        </w:tc>
      </w:tr>
      <w:tr w:rsidR="00534A2D" w14:paraId="74BBC747" w14:textId="77777777" w:rsidTr="00085F34">
        <w:tc>
          <w:tcPr>
            <w:tcW w:w="3095" w:type="dxa"/>
            <w:shd w:val="clear" w:color="auto" w:fill="auto"/>
          </w:tcPr>
          <w:p w14:paraId="0AE6BBC3" w14:textId="77777777" w:rsidR="00D80CCA" w:rsidRPr="001B4A02" w:rsidRDefault="00000000" w:rsidP="00085F34">
            <w:pPr>
              <w:numPr>
                <w:ilvl w:val="12"/>
                <w:numId w:val="0"/>
              </w:numPr>
              <w:ind w:right="-2"/>
            </w:pPr>
            <w:r w:rsidRPr="001B4A02">
              <w:t>Dospělí</w:t>
            </w:r>
          </w:p>
          <w:p w14:paraId="50BDCDAE" w14:textId="77777777" w:rsidR="00D80CCA" w:rsidRPr="001B4A02" w:rsidRDefault="00D80CCA" w:rsidP="00085F34">
            <w:pPr>
              <w:numPr>
                <w:ilvl w:val="12"/>
                <w:numId w:val="0"/>
              </w:numPr>
              <w:ind w:right="-2"/>
            </w:pPr>
          </w:p>
        </w:tc>
        <w:tc>
          <w:tcPr>
            <w:tcW w:w="3096" w:type="dxa"/>
            <w:shd w:val="clear" w:color="auto" w:fill="auto"/>
          </w:tcPr>
          <w:p w14:paraId="1C885BA3" w14:textId="77777777" w:rsidR="00D80CCA" w:rsidRPr="001B4A02" w:rsidRDefault="00000000" w:rsidP="00085F34">
            <w:pPr>
              <w:numPr>
                <w:ilvl w:val="12"/>
                <w:numId w:val="0"/>
              </w:numPr>
              <w:ind w:right="-2"/>
            </w:pPr>
            <w:r w:rsidRPr="001B4A02">
              <w:t>První dávka 80</w:t>
            </w:r>
            <w:r w:rsidR="00A7483D">
              <w:t> mg</w:t>
            </w:r>
            <w:r w:rsidRPr="001B4A02">
              <w:t xml:space="preserve"> (dvě injekce po 40</w:t>
            </w:r>
            <w:r w:rsidR="00A7483D">
              <w:t> mg</w:t>
            </w:r>
            <w:r w:rsidRPr="001B4A02">
              <w:t xml:space="preserve"> v jeden den) následovaná dávkou 40</w:t>
            </w:r>
            <w:r w:rsidR="00A7483D">
              <w:t> mg</w:t>
            </w:r>
            <w:r w:rsidRPr="001B4A02">
              <w:t xml:space="preserve"> jednou za dva týdny, počínaje jedním týdnem po první dávce.</w:t>
            </w:r>
          </w:p>
        </w:tc>
        <w:tc>
          <w:tcPr>
            <w:tcW w:w="3096" w:type="dxa"/>
            <w:shd w:val="clear" w:color="auto" w:fill="auto"/>
          </w:tcPr>
          <w:p w14:paraId="3630445F" w14:textId="77777777" w:rsidR="00D80CCA" w:rsidRPr="001B4A02" w:rsidRDefault="00000000" w:rsidP="00D45BC2">
            <w:pPr>
              <w:ind w:left="0" w:firstLine="0"/>
            </w:pPr>
            <w:r w:rsidRPr="001B4A02">
              <w:t>Jestliže je Vaše odpověď nedostatečná, lékař může zvýšit dávkování na 40</w:t>
            </w:r>
            <w:r w:rsidR="00A7483D">
              <w:t> mg</w:t>
            </w:r>
            <w:r w:rsidRPr="001B4A02">
              <w:t xml:space="preserve"> jednou týdně</w:t>
            </w:r>
            <w:r w:rsidR="00D45BC2" w:rsidRPr="001B4A02">
              <w:t xml:space="preserve"> nebo 80</w:t>
            </w:r>
            <w:r w:rsidR="00A7483D">
              <w:t> mg</w:t>
            </w:r>
            <w:r w:rsidR="00D45BC2" w:rsidRPr="001B4A02">
              <w:t xml:space="preserve"> jednou za dva týdny</w:t>
            </w:r>
            <w:r w:rsidRPr="001B4A02">
              <w:t>.</w:t>
            </w:r>
          </w:p>
        </w:tc>
      </w:tr>
      <w:tr w:rsidR="00534A2D" w14:paraId="4FA2FC12" w14:textId="77777777" w:rsidTr="00085F34">
        <w:tc>
          <w:tcPr>
            <w:tcW w:w="3095" w:type="dxa"/>
            <w:shd w:val="clear" w:color="auto" w:fill="auto"/>
          </w:tcPr>
          <w:p w14:paraId="62D8D5AB" w14:textId="77777777" w:rsidR="00D80CCA" w:rsidRPr="001B4A02" w:rsidRDefault="00000000" w:rsidP="00085F34">
            <w:pPr>
              <w:numPr>
                <w:ilvl w:val="12"/>
                <w:numId w:val="0"/>
              </w:numPr>
              <w:ind w:right="-2"/>
            </w:pPr>
            <w:r w:rsidRPr="001B4A02">
              <w:t>Děti</w:t>
            </w:r>
            <w:r w:rsidR="002378E0">
              <w:t xml:space="preserve"> a </w:t>
            </w:r>
            <w:r w:rsidRPr="001B4A02">
              <w:t>dospívající od 4 do 17 let s tělesnou hmotností 30 kg nebo vyšší</w:t>
            </w:r>
          </w:p>
        </w:tc>
        <w:tc>
          <w:tcPr>
            <w:tcW w:w="3096" w:type="dxa"/>
            <w:shd w:val="clear" w:color="auto" w:fill="auto"/>
          </w:tcPr>
          <w:p w14:paraId="3389EA19" w14:textId="77777777" w:rsidR="00D80CCA" w:rsidRPr="001B4A02" w:rsidRDefault="00000000" w:rsidP="00085F34">
            <w:pPr>
              <w:numPr>
                <w:ilvl w:val="12"/>
                <w:numId w:val="0"/>
              </w:numPr>
              <w:ind w:right="-2"/>
            </w:pPr>
            <w:r w:rsidRPr="001B4A02">
              <w:t>První dávka 40</w:t>
            </w:r>
            <w:r w:rsidR="00A7483D">
              <w:t> mg</w:t>
            </w:r>
            <w:r w:rsidRPr="001B4A02">
              <w:t xml:space="preserve"> následovaná o týden později dávkou 40 mg</w:t>
            </w:r>
            <w:r w:rsidR="00086C66">
              <w:t>.</w:t>
            </w:r>
          </w:p>
          <w:p w14:paraId="4CE686EA" w14:textId="77777777" w:rsidR="00D80CCA" w:rsidRPr="001B4A02" w:rsidRDefault="00D80CCA" w:rsidP="00085F34">
            <w:pPr>
              <w:numPr>
                <w:ilvl w:val="12"/>
                <w:numId w:val="0"/>
              </w:numPr>
              <w:ind w:right="-2"/>
            </w:pPr>
          </w:p>
          <w:p w14:paraId="42D2A3F0" w14:textId="77777777" w:rsidR="00D80CCA" w:rsidRPr="001B4A02" w:rsidRDefault="00000000" w:rsidP="00085F34">
            <w:pPr>
              <w:numPr>
                <w:ilvl w:val="12"/>
                <w:numId w:val="0"/>
              </w:numPr>
              <w:ind w:right="-2"/>
            </w:pPr>
            <w:r w:rsidRPr="001B4A02">
              <w:t xml:space="preserve">Poté se podává obvyklá dávka </w:t>
            </w:r>
            <w:r w:rsidR="00154F04">
              <w:t>4</w:t>
            </w:r>
            <w:r w:rsidRPr="001B4A02">
              <w:t>0</w:t>
            </w:r>
            <w:r w:rsidR="00584C17" w:rsidRPr="001B4A02">
              <w:t> </w:t>
            </w:r>
            <w:r w:rsidRPr="001B4A02">
              <w:t>mg jednou za dva týdny.</w:t>
            </w:r>
          </w:p>
        </w:tc>
        <w:tc>
          <w:tcPr>
            <w:tcW w:w="3096" w:type="dxa"/>
            <w:shd w:val="clear" w:color="auto" w:fill="auto"/>
          </w:tcPr>
          <w:p w14:paraId="25E7FB5E" w14:textId="77777777" w:rsidR="00D80CCA" w:rsidRPr="001B4A02" w:rsidRDefault="00000000" w:rsidP="00085F34">
            <w:pPr>
              <w:numPr>
                <w:ilvl w:val="12"/>
                <w:numId w:val="0"/>
              </w:numPr>
              <w:ind w:right="-2"/>
            </w:pPr>
            <w:r w:rsidRPr="001B4A02">
              <w:t>Nepoužitelné</w:t>
            </w:r>
          </w:p>
        </w:tc>
      </w:tr>
      <w:tr w:rsidR="00534A2D" w14:paraId="2599D6FA" w14:textId="77777777" w:rsidTr="00085F34">
        <w:tc>
          <w:tcPr>
            <w:tcW w:w="3095" w:type="dxa"/>
            <w:shd w:val="clear" w:color="auto" w:fill="auto"/>
          </w:tcPr>
          <w:p w14:paraId="3AAD1DD9" w14:textId="77777777" w:rsidR="00D80CCA" w:rsidRPr="001B4A02" w:rsidRDefault="00000000" w:rsidP="00085F34">
            <w:pPr>
              <w:numPr>
                <w:ilvl w:val="12"/>
                <w:numId w:val="0"/>
              </w:numPr>
              <w:ind w:right="-2"/>
            </w:pPr>
            <w:r w:rsidRPr="001B4A02">
              <w:t>Děti</w:t>
            </w:r>
            <w:r w:rsidR="002378E0">
              <w:t xml:space="preserve"> a </w:t>
            </w:r>
            <w:r w:rsidRPr="001B4A02">
              <w:t>dospívající od 4 do 17 let s tělesnou hmotností od 15 kg do 30 kg</w:t>
            </w:r>
          </w:p>
        </w:tc>
        <w:tc>
          <w:tcPr>
            <w:tcW w:w="3096" w:type="dxa"/>
            <w:shd w:val="clear" w:color="auto" w:fill="auto"/>
          </w:tcPr>
          <w:p w14:paraId="1E5EE979" w14:textId="77777777" w:rsidR="00D80CCA" w:rsidRPr="001B4A02" w:rsidRDefault="00000000" w:rsidP="00085F34">
            <w:pPr>
              <w:numPr>
                <w:ilvl w:val="12"/>
                <w:numId w:val="0"/>
              </w:numPr>
              <w:ind w:right="-2"/>
            </w:pPr>
            <w:r w:rsidRPr="001B4A02">
              <w:t>První dávka 20 mg následovaná o týden později dávkou 20 mg</w:t>
            </w:r>
            <w:r w:rsidR="00086C66">
              <w:t>.</w:t>
            </w:r>
          </w:p>
          <w:p w14:paraId="3A2F800E" w14:textId="77777777" w:rsidR="00D80CCA" w:rsidRPr="001B4A02" w:rsidRDefault="00D80CCA" w:rsidP="00085F34">
            <w:pPr>
              <w:numPr>
                <w:ilvl w:val="12"/>
                <w:numId w:val="0"/>
              </w:numPr>
              <w:ind w:right="-2"/>
            </w:pPr>
          </w:p>
          <w:p w14:paraId="4B505C4C" w14:textId="77777777" w:rsidR="00D80CCA" w:rsidRPr="001B4A02" w:rsidRDefault="00000000" w:rsidP="00085F34">
            <w:pPr>
              <w:numPr>
                <w:ilvl w:val="12"/>
                <w:numId w:val="0"/>
              </w:numPr>
              <w:ind w:right="-2"/>
            </w:pPr>
            <w:r w:rsidRPr="001B4A02">
              <w:t>Poté se podává obvyklá dávka 20</w:t>
            </w:r>
            <w:r w:rsidR="00A7483D">
              <w:t> mg</w:t>
            </w:r>
            <w:r w:rsidRPr="001B4A02">
              <w:t xml:space="preserve"> jednou za dva týdny.</w:t>
            </w:r>
          </w:p>
        </w:tc>
        <w:tc>
          <w:tcPr>
            <w:tcW w:w="3096" w:type="dxa"/>
            <w:shd w:val="clear" w:color="auto" w:fill="auto"/>
          </w:tcPr>
          <w:p w14:paraId="64F1A6D3" w14:textId="77777777" w:rsidR="00D80CCA" w:rsidRPr="001B4A02" w:rsidRDefault="00000000" w:rsidP="00085F34">
            <w:pPr>
              <w:numPr>
                <w:ilvl w:val="12"/>
                <w:numId w:val="0"/>
              </w:numPr>
              <w:ind w:right="-2"/>
            </w:pPr>
            <w:r w:rsidRPr="001B4A02">
              <w:t>Nepoužitelné</w:t>
            </w:r>
          </w:p>
        </w:tc>
      </w:tr>
    </w:tbl>
    <w:p w14:paraId="19D904FF" w14:textId="77777777" w:rsidR="00D80CCA" w:rsidRPr="001B4A02" w:rsidRDefault="00D80CCA" w:rsidP="00D80CCA">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0"/>
        <w:gridCol w:w="3026"/>
      </w:tblGrid>
      <w:tr w:rsidR="00534A2D" w14:paraId="0CAF78AC" w14:textId="77777777" w:rsidTr="00085F34">
        <w:tc>
          <w:tcPr>
            <w:tcW w:w="9287" w:type="dxa"/>
            <w:gridSpan w:val="3"/>
            <w:shd w:val="clear" w:color="auto" w:fill="auto"/>
          </w:tcPr>
          <w:p w14:paraId="35A16BC0" w14:textId="77777777" w:rsidR="00D80CCA" w:rsidRPr="001B4A02" w:rsidRDefault="00000000" w:rsidP="00085F34">
            <w:pPr>
              <w:numPr>
                <w:ilvl w:val="12"/>
                <w:numId w:val="0"/>
              </w:numPr>
              <w:ind w:right="-2"/>
              <w:rPr>
                <w:b/>
              </w:rPr>
            </w:pPr>
            <w:r w:rsidRPr="001B4A02">
              <w:rPr>
                <w:b/>
              </w:rPr>
              <w:t>Hidradenitis suppurativa</w:t>
            </w:r>
          </w:p>
        </w:tc>
      </w:tr>
      <w:tr w:rsidR="00534A2D" w14:paraId="5246F2D3" w14:textId="77777777" w:rsidTr="00085F34">
        <w:tc>
          <w:tcPr>
            <w:tcW w:w="3095" w:type="dxa"/>
            <w:shd w:val="clear" w:color="auto" w:fill="auto"/>
          </w:tcPr>
          <w:p w14:paraId="42B522BF" w14:textId="77777777" w:rsidR="00D80CCA" w:rsidRPr="001B4A02" w:rsidRDefault="00000000" w:rsidP="00085F34">
            <w:pPr>
              <w:numPr>
                <w:ilvl w:val="12"/>
                <w:numId w:val="0"/>
              </w:numPr>
              <w:ind w:right="-2"/>
            </w:pPr>
            <w:r w:rsidRPr="001B4A02">
              <w:rPr>
                <w:b/>
              </w:rPr>
              <w:t>Věk nebo tělesná hmotnost</w:t>
            </w:r>
          </w:p>
        </w:tc>
        <w:tc>
          <w:tcPr>
            <w:tcW w:w="3096" w:type="dxa"/>
            <w:shd w:val="clear" w:color="auto" w:fill="auto"/>
          </w:tcPr>
          <w:p w14:paraId="3A02BF12" w14:textId="77777777" w:rsidR="00D80CCA" w:rsidRPr="001B4A02" w:rsidRDefault="00000000" w:rsidP="00085F34">
            <w:pPr>
              <w:numPr>
                <w:ilvl w:val="12"/>
                <w:numId w:val="0"/>
              </w:numPr>
              <w:ind w:right="-2"/>
            </w:pPr>
            <w:r w:rsidRPr="001B4A02">
              <w:rPr>
                <w:b/>
              </w:rPr>
              <w:t>Kolik používat</w:t>
            </w:r>
            <w:r w:rsidR="002378E0">
              <w:rPr>
                <w:b/>
              </w:rPr>
              <w:t xml:space="preserve"> a </w:t>
            </w:r>
            <w:r w:rsidRPr="001B4A02">
              <w:rPr>
                <w:b/>
              </w:rPr>
              <w:t>jak často?</w:t>
            </w:r>
          </w:p>
        </w:tc>
        <w:tc>
          <w:tcPr>
            <w:tcW w:w="3096" w:type="dxa"/>
            <w:shd w:val="clear" w:color="auto" w:fill="auto"/>
          </w:tcPr>
          <w:p w14:paraId="1668EC89" w14:textId="77777777" w:rsidR="00D80CCA" w:rsidRPr="001B4A02" w:rsidRDefault="00000000" w:rsidP="00085F34">
            <w:pPr>
              <w:numPr>
                <w:ilvl w:val="12"/>
                <w:numId w:val="0"/>
              </w:numPr>
              <w:ind w:right="-2"/>
            </w:pPr>
            <w:r w:rsidRPr="001B4A02">
              <w:rPr>
                <w:b/>
              </w:rPr>
              <w:t>Poznámky</w:t>
            </w:r>
          </w:p>
        </w:tc>
      </w:tr>
      <w:tr w:rsidR="00534A2D" w14:paraId="02E1B2DA" w14:textId="77777777" w:rsidTr="00085F34">
        <w:tc>
          <w:tcPr>
            <w:tcW w:w="3095" w:type="dxa"/>
            <w:shd w:val="clear" w:color="auto" w:fill="auto"/>
          </w:tcPr>
          <w:p w14:paraId="06DE6531" w14:textId="77777777" w:rsidR="00D80CCA" w:rsidRPr="001B4A02" w:rsidRDefault="00000000" w:rsidP="00085F34">
            <w:pPr>
              <w:numPr>
                <w:ilvl w:val="12"/>
                <w:numId w:val="0"/>
              </w:numPr>
              <w:ind w:right="-2"/>
            </w:pPr>
            <w:r w:rsidRPr="001B4A02">
              <w:t>Dospělí</w:t>
            </w:r>
          </w:p>
        </w:tc>
        <w:tc>
          <w:tcPr>
            <w:tcW w:w="3096" w:type="dxa"/>
            <w:shd w:val="clear" w:color="auto" w:fill="auto"/>
          </w:tcPr>
          <w:p w14:paraId="1CDCC8CB" w14:textId="77777777" w:rsidR="00D80CCA" w:rsidRPr="001B4A02" w:rsidRDefault="00000000" w:rsidP="00085F34">
            <w:pPr>
              <w:numPr>
                <w:ilvl w:val="12"/>
                <w:numId w:val="0"/>
              </w:numPr>
              <w:ind w:right="-2"/>
            </w:pPr>
            <w:r w:rsidRPr="001B4A02">
              <w:t>První dávka 160</w:t>
            </w:r>
            <w:r w:rsidR="00A7483D">
              <w:t> mg</w:t>
            </w:r>
            <w:r w:rsidRPr="001B4A02">
              <w:t xml:space="preserve"> (čtyři injekce po 40</w:t>
            </w:r>
            <w:r w:rsidR="00A7483D">
              <w:t> mg</w:t>
            </w:r>
            <w:r w:rsidRPr="001B4A02">
              <w:t xml:space="preserve"> v jeden den nebo dvě injekce 40</w:t>
            </w:r>
            <w:r w:rsidR="00A7483D">
              <w:t> mg</w:t>
            </w:r>
            <w:r w:rsidRPr="001B4A02">
              <w:t xml:space="preserve"> denně po dva po sobě jdoucí dny) následovaná dávkou 80</w:t>
            </w:r>
            <w:r w:rsidR="00A7483D">
              <w:t> mg</w:t>
            </w:r>
            <w:r w:rsidRPr="001B4A02">
              <w:t xml:space="preserve"> (dvě injekce po 40</w:t>
            </w:r>
            <w:r w:rsidR="00A7483D">
              <w:t> mg</w:t>
            </w:r>
            <w:r w:rsidRPr="001B4A02">
              <w:t xml:space="preserve"> v jeden den) o dva týdny později. Po dvou dalších týdnech pokračujte dávkou 40</w:t>
            </w:r>
            <w:r w:rsidR="00A7483D">
              <w:t> mg</w:t>
            </w:r>
            <w:r w:rsidRPr="001B4A02">
              <w:t xml:space="preserve"> jednou týdně</w:t>
            </w:r>
            <w:r w:rsidR="00D45BC2" w:rsidRPr="001B4A02">
              <w:t xml:space="preserve"> nebo 80</w:t>
            </w:r>
            <w:r w:rsidR="00A7483D">
              <w:t> mg</w:t>
            </w:r>
            <w:r w:rsidR="00D45BC2" w:rsidRPr="001B4A02">
              <w:t xml:space="preserve"> jednou za dva týdny, jak Vám předepsal lékař</w:t>
            </w:r>
            <w:r w:rsidRPr="001B4A02">
              <w:t>.</w:t>
            </w:r>
            <w:r w:rsidRPr="001B4A02">
              <w:rPr>
                <w:szCs w:val="22"/>
              </w:rPr>
              <w:t xml:space="preserve"> </w:t>
            </w:r>
          </w:p>
        </w:tc>
        <w:tc>
          <w:tcPr>
            <w:tcW w:w="3096" w:type="dxa"/>
            <w:shd w:val="clear" w:color="auto" w:fill="auto"/>
          </w:tcPr>
          <w:p w14:paraId="5D0FCBDE" w14:textId="77777777" w:rsidR="00D80CCA" w:rsidRPr="001B4A02" w:rsidRDefault="00000000" w:rsidP="00085F34">
            <w:pPr>
              <w:pStyle w:val="gtcbodytext"/>
              <w:spacing w:before="0" w:after="0" w:line="240" w:lineRule="auto"/>
              <w:rPr>
                <w:sz w:val="22"/>
                <w:szCs w:val="22"/>
                <w:lang w:val="cs-CZ"/>
              </w:rPr>
            </w:pPr>
            <w:r w:rsidRPr="001B4A02">
              <w:rPr>
                <w:sz w:val="22"/>
                <w:szCs w:val="22"/>
                <w:lang w:val="cs-CZ"/>
              </w:rPr>
              <w:t>Doporučuje se postižená místa denně omývat antiseptickým přípravkem.</w:t>
            </w:r>
          </w:p>
          <w:p w14:paraId="420CDF5C" w14:textId="77777777" w:rsidR="00D80CCA" w:rsidRPr="001B4A02" w:rsidRDefault="00D80CCA" w:rsidP="00085F34">
            <w:pPr>
              <w:numPr>
                <w:ilvl w:val="12"/>
                <w:numId w:val="0"/>
              </w:numPr>
              <w:ind w:right="-2"/>
            </w:pPr>
          </w:p>
        </w:tc>
      </w:tr>
      <w:tr w:rsidR="00534A2D" w14:paraId="0472F9C0" w14:textId="77777777" w:rsidTr="00085F34">
        <w:tc>
          <w:tcPr>
            <w:tcW w:w="3095" w:type="dxa"/>
            <w:shd w:val="clear" w:color="auto" w:fill="auto"/>
          </w:tcPr>
          <w:p w14:paraId="27971449" w14:textId="77777777" w:rsidR="00D80CCA" w:rsidRPr="001B4A02" w:rsidRDefault="00000000" w:rsidP="00085F34">
            <w:pPr>
              <w:numPr>
                <w:ilvl w:val="12"/>
                <w:numId w:val="0"/>
              </w:numPr>
              <w:ind w:right="-2"/>
            </w:pPr>
            <w:r w:rsidRPr="001B4A02">
              <w:rPr>
                <w:szCs w:val="22"/>
              </w:rPr>
              <w:t>Dospívající od 12 do 17 let s tělesnou hmotností 30 kg</w:t>
            </w:r>
            <w:r w:rsidRPr="001B4A02">
              <w:t xml:space="preserve"> nebo vyšší</w:t>
            </w:r>
          </w:p>
        </w:tc>
        <w:tc>
          <w:tcPr>
            <w:tcW w:w="3096" w:type="dxa"/>
            <w:shd w:val="clear" w:color="auto" w:fill="auto"/>
          </w:tcPr>
          <w:p w14:paraId="69F20C1C" w14:textId="77777777" w:rsidR="00D80CCA" w:rsidRPr="001B4A02" w:rsidRDefault="00000000" w:rsidP="00085F34">
            <w:pPr>
              <w:numPr>
                <w:ilvl w:val="12"/>
                <w:numId w:val="0"/>
              </w:numPr>
              <w:ind w:right="-2"/>
            </w:pPr>
            <w:r w:rsidRPr="001B4A02">
              <w:rPr>
                <w:szCs w:val="22"/>
              </w:rPr>
              <w:t>První dávka 80</w:t>
            </w:r>
            <w:r w:rsidR="00A7483D">
              <w:rPr>
                <w:szCs w:val="22"/>
              </w:rPr>
              <w:t> mg</w:t>
            </w:r>
            <w:r w:rsidRPr="001B4A02">
              <w:rPr>
                <w:szCs w:val="22"/>
              </w:rPr>
              <w:t xml:space="preserve"> (dvě injekce 40 mg jednou denně) následovaná dávkou 40 mg </w:t>
            </w:r>
            <w:r w:rsidR="00CA36AC">
              <w:rPr>
                <w:szCs w:val="22"/>
              </w:rPr>
              <w:t>jednou za dva týdny</w:t>
            </w:r>
            <w:r w:rsidRPr="001B4A02">
              <w:rPr>
                <w:szCs w:val="22"/>
              </w:rPr>
              <w:t xml:space="preserve"> o jeden týden později.</w:t>
            </w:r>
          </w:p>
        </w:tc>
        <w:tc>
          <w:tcPr>
            <w:tcW w:w="3096" w:type="dxa"/>
            <w:shd w:val="clear" w:color="auto" w:fill="auto"/>
          </w:tcPr>
          <w:p w14:paraId="05C78BFB" w14:textId="77777777" w:rsidR="00D80CCA" w:rsidRPr="001B4A02" w:rsidRDefault="00000000" w:rsidP="00085F34">
            <w:pPr>
              <w:pStyle w:val="gtcbodytext"/>
              <w:spacing w:before="0" w:after="0" w:line="240" w:lineRule="auto"/>
              <w:rPr>
                <w:sz w:val="22"/>
                <w:szCs w:val="22"/>
                <w:lang w:val="cs-CZ"/>
              </w:rPr>
            </w:pPr>
            <w:r w:rsidRPr="001B4A02">
              <w:rPr>
                <w:sz w:val="22"/>
                <w:szCs w:val="22"/>
                <w:lang w:val="cs-CZ"/>
              </w:rPr>
              <w:t xml:space="preserve">Jestliže je Vaše odpověď </w:t>
            </w:r>
            <w:r w:rsidR="00D45BC2" w:rsidRPr="001B4A02">
              <w:rPr>
                <w:sz w:val="22"/>
                <w:szCs w:val="22"/>
                <w:lang w:val="cs-CZ"/>
              </w:rPr>
              <w:t>na léčbu přípravkem Humira 40</w:t>
            </w:r>
            <w:r w:rsidR="00A7483D">
              <w:rPr>
                <w:sz w:val="22"/>
                <w:szCs w:val="22"/>
                <w:lang w:val="cs-CZ"/>
              </w:rPr>
              <w:t> mg</w:t>
            </w:r>
            <w:r w:rsidR="00D45BC2" w:rsidRPr="001B4A02">
              <w:rPr>
                <w:sz w:val="22"/>
                <w:szCs w:val="22"/>
                <w:lang w:val="cs-CZ"/>
              </w:rPr>
              <w:t xml:space="preserve"> jednou za dva týdny </w:t>
            </w:r>
            <w:r w:rsidRPr="001B4A02">
              <w:rPr>
                <w:sz w:val="22"/>
                <w:szCs w:val="22"/>
                <w:lang w:val="cs-CZ"/>
              </w:rPr>
              <w:t>nedostatečná, lékař může zvýšit dávkování na 40</w:t>
            </w:r>
            <w:r w:rsidR="00A7483D">
              <w:rPr>
                <w:sz w:val="22"/>
                <w:szCs w:val="22"/>
                <w:lang w:val="cs-CZ"/>
              </w:rPr>
              <w:t> mg</w:t>
            </w:r>
            <w:r w:rsidRPr="001B4A02">
              <w:rPr>
                <w:sz w:val="22"/>
                <w:szCs w:val="22"/>
                <w:lang w:val="cs-CZ"/>
              </w:rPr>
              <w:t xml:space="preserve"> jednou týdně</w:t>
            </w:r>
            <w:r w:rsidR="00D45BC2" w:rsidRPr="001B4A02">
              <w:rPr>
                <w:sz w:val="22"/>
                <w:szCs w:val="22"/>
                <w:lang w:val="cs-CZ"/>
              </w:rPr>
              <w:t xml:space="preserve"> nebo 80</w:t>
            </w:r>
            <w:r w:rsidR="00A7483D">
              <w:rPr>
                <w:sz w:val="22"/>
                <w:szCs w:val="22"/>
                <w:lang w:val="cs-CZ"/>
              </w:rPr>
              <w:t> mg</w:t>
            </w:r>
            <w:r w:rsidR="00D45BC2" w:rsidRPr="001B4A02">
              <w:rPr>
                <w:sz w:val="22"/>
                <w:szCs w:val="22"/>
                <w:lang w:val="cs-CZ"/>
              </w:rPr>
              <w:t xml:space="preserve"> jednou za dva týdny</w:t>
            </w:r>
            <w:r w:rsidRPr="001B4A02">
              <w:rPr>
                <w:sz w:val="22"/>
                <w:szCs w:val="22"/>
                <w:lang w:val="cs-CZ"/>
              </w:rPr>
              <w:t>.</w:t>
            </w:r>
          </w:p>
          <w:p w14:paraId="5351CEAF" w14:textId="77777777" w:rsidR="00D80CCA" w:rsidRPr="001B4A02" w:rsidRDefault="00000000" w:rsidP="00085F34">
            <w:pPr>
              <w:pStyle w:val="gtcbodytext"/>
              <w:spacing w:before="0" w:after="0" w:line="240" w:lineRule="auto"/>
              <w:rPr>
                <w:sz w:val="22"/>
                <w:szCs w:val="22"/>
                <w:lang w:val="cs-CZ"/>
              </w:rPr>
            </w:pPr>
            <w:r w:rsidRPr="001B4A02">
              <w:rPr>
                <w:sz w:val="22"/>
                <w:szCs w:val="22"/>
                <w:lang w:val="cs-CZ"/>
              </w:rPr>
              <w:t>Doporučuje se postižená místa denně omývat antiseptickým přípravkem.</w:t>
            </w:r>
          </w:p>
        </w:tc>
      </w:tr>
    </w:tbl>
    <w:p w14:paraId="49E3FCFD" w14:textId="77777777" w:rsidR="00D80CCA" w:rsidRPr="001B4A02" w:rsidRDefault="00D80CCA" w:rsidP="00D80CCA">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5"/>
        <w:gridCol w:w="3016"/>
      </w:tblGrid>
      <w:tr w:rsidR="00534A2D" w14:paraId="5C20E6DF" w14:textId="77777777" w:rsidTr="00085F34">
        <w:tc>
          <w:tcPr>
            <w:tcW w:w="9287" w:type="dxa"/>
            <w:gridSpan w:val="3"/>
            <w:shd w:val="clear" w:color="auto" w:fill="auto"/>
          </w:tcPr>
          <w:p w14:paraId="4A6D3F44" w14:textId="77777777" w:rsidR="00D80CCA" w:rsidRPr="001B4A02" w:rsidRDefault="00000000" w:rsidP="00085F34">
            <w:pPr>
              <w:keepNext/>
              <w:numPr>
                <w:ilvl w:val="12"/>
                <w:numId w:val="0"/>
              </w:numPr>
              <w:ind w:right="-2"/>
            </w:pPr>
            <w:r w:rsidRPr="001B4A02">
              <w:rPr>
                <w:b/>
              </w:rPr>
              <w:t>Crohnova choroba</w:t>
            </w:r>
          </w:p>
        </w:tc>
      </w:tr>
      <w:tr w:rsidR="00534A2D" w14:paraId="47BE4A56" w14:textId="77777777" w:rsidTr="00085F34">
        <w:tc>
          <w:tcPr>
            <w:tcW w:w="3095" w:type="dxa"/>
            <w:shd w:val="clear" w:color="auto" w:fill="auto"/>
          </w:tcPr>
          <w:p w14:paraId="7545EAAD" w14:textId="77777777" w:rsidR="00D80CCA" w:rsidRPr="001B4A02" w:rsidRDefault="00000000" w:rsidP="00085F34">
            <w:pPr>
              <w:keepNext/>
              <w:numPr>
                <w:ilvl w:val="12"/>
                <w:numId w:val="0"/>
              </w:numPr>
              <w:ind w:right="-2"/>
            </w:pPr>
            <w:r w:rsidRPr="001B4A02">
              <w:rPr>
                <w:b/>
              </w:rPr>
              <w:t>Věk nebo tělesná hmotnost</w:t>
            </w:r>
          </w:p>
        </w:tc>
        <w:tc>
          <w:tcPr>
            <w:tcW w:w="3096" w:type="dxa"/>
            <w:shd w:val="clear" w:color="auto" w:fill="auto"/>
          </w:tcPr>
          <w:p w14:paraId="1648DDBF" w14:textId="77777777" w:rsidR="00D80CCA" w:rsidRPr="001B4A02" w:rsidRDefault="00000000" w:rsidP="00085F34">
            <w:pPr>
              <w:keepNext/>
              <w:numPr>
                <w:ilvl w:val="12"/>
                <w:numId w:val="0"/>
              </w:numPr>
              <w:ind w:right="-2"/>
            </w:pPr>
            <w:r w:rsidRPr="001B4A02">
              <w:rPr>
                <w:b/>
              </w:rPr>
              <w:t>Kolik používat</w:t>
            </w:r>
            <w:r w:rsidR="002378E0">
              <w:rPr>
                <w:b/>
              </w:rPr>
              <w:t xml:space="preserve"> a </w:t>
            </w:r>
            <w:r w:rsidRPr="001B4A02">
              <w:rPr>
                <w:b/>
              </w:rPr>
              <w:t>jak často?</w:t>
            </w:r>
          </w:p>
        </w:tc>
        <w:tc>
          <w:tcPr>
            <w:tcW w:w="3096" w:type="dxa"/>
            <w:shd w:val="clear" w:color="auto" w:fill="auto"/>
          </w:tcPr>
          <w:p w14:paraId="046F9546" w14:textId="77777777" w:rsidR="00D80CCA" w:rsidRPr="001B4A02" w:rsidRDefault="00000000" w:rsidP="00085F34">
            <w:pPr>
              <w:numPr>
                <w:ilvl w:val="12"/>
                <w:numId w:val="0"/>
              </w:numPr>
              <w:ind w:right="-2"/>
            </w:pPr>
            <w:r w:rsidRPr="001B4A02">
              <w:rPr>
                <w:b/>
              </w:rPr>
              <w:t>Poznámky</w:t>
            </w:r>
          </w:p>
        </w:tc>
      </w:tr>
      <w:tr w:rsidR="00534A2D" w14:paraId="554A5A2F" w14:textId="77777777" w:rsidTr="00085F34">
        <w:tc>
          <w:tcPr>
            <w:tcW w:w="3095" w:type="dxa"/>
            <w:shd w:val="clear" w:color="auto" w:fill="auto"/>
          </w:tcPr>
          <w:p w14:paraId="6A36B003" w14:textId="77777777" w:rsidR="00D80CCA" w:rsidRPr="001B4A02" w:rsidRDefault="00000000" w:rsidP="00085F34">
            <w:pPr>
              <w:keepNext/>
              <w:numPr>
                <w:ilvl w:val="12"/>
                <w:numId w:val="0"/>
              </w:numPr>
              <w:ind w:right="-2"/>
            </w:pPr>
            <w:r w:rsidRPr="001B4A02">
              <w:t>Děti, dospívající</w:t>
            </w:r>
            <w:r w:rsidR="002378E0">
              <w:t xml:space="preserve"> a </w:t>
            </w:r>
            <w:r w:rsidRPr="001B4A02">
              <w:t>dospělí od 6 let s hmotností 40</w:t>
            </w:r>
            <w:r w:rsidR="002767FC">
              <w:t> kg</w:t>
            </w:r>
            <w:r w:rsidRPr="001B4A02">
              <w:t xml:space="preserve"> nebo vyšší</w:t>
            </w:r>
          </w:p>
        </w:tc>
        <w:tc>
          <w:tcPr>
            <w:tcW w:w="3096" w:type="dxa"/>
            <w:shd w:val="clear" w:color="auto" w:fill="auto"/>
          </w:tcPr>
          <w:p w14:paraId="4F0B5D13" w14:textId="77777777" w:rsidR="00D80CCA" w:rsidRPr="001B4A02" w:rsidRDefault="00000000" w:rsidP="00085F34">
            <w:pPr>
              <w:keepNext/>
              <w:ind w:left="0" w:firstLine="0"/>
            </w:pPr>
            <w:r w:rsidRPr="001B4A02">
              <w:t>První dávka 80</w:t>
            </w:r>
            <w:r w:rsidR="00A7483D">
              <w:t> mg</w:t>
            </w:r>
            <w:r w:rsidRPr="001B4A02">
              <w:t xml:space="preserve"> (dvě injekce po 40</w:t>
            </w:r>
            <w:r w:rsidR="00A7483D">
              <w:t> mg</w:t>
            </w:r>
            <w:r w:rsidRPr="001B4A02">
              <w:t xml:space="preserve"> v jeden den) následovaná o dva týdny později dávkou 40</w:t>
            </w:r>
            <w:r w:rsidR="00A7483D">
              <w:t> mg</w:t>
            </w:r>
            <w:r w:rsidRPr="001B4A02">
              <w:t>.</w:t>
            </w:r>
          </w:p>
          <w:p w14:paraId="01FE70A8" w14:textId="77777777" w:rsidR="00D80CCA" w:rsidRPr="001B4A02" w:rsidRDefault="00D80CCA" w:rsidP="00085F34">
            <w:pPr>
              <w:keepNext/>
              <w:ind w:left="0" w:firstLine="0"/>
            </w:pPr>
          </w:p>
          <w:p w14:paraId="19348CD7" w14:textId="77777777" w:rsidR="00D80CCA" w:rsidRPr="001B4A02" w:rsidRDefault="00000000" w:rsidP="00085F34">
            <w:pPr>
              <w:keepNext/>
              <w:numPr>
                <w:ilvl w:val="12"/>
                <w:numId w:val="0"/>
              </w:numPr>
            </w:pPr>
            <w:r w:rsidRPr="001B4A02">
              <w:t>Jestliže se vyžaduje rychlejší reakce na léčbu, lékař může předepsat první dávku 160</w:t>
            </w:r>
            <w:r w:rsidR="00A7483D">
              <w:t> mg</w:t>
            </w:r>
            <w:r w:rsidRPr="001B4A02">
              <w:t xml:space="preserve"> (čtyři injekce 40</w:t>
            </w:r>
            <w:r w:rsidR="00A7483D">
              <w:t> mg</w:t>
            </w:r>
            <w:r w:rsidRPr="001B4A02">
              <w:t xml:space="preserve"> v jeden den nebo dvě injekce 40</w:t>
            </w:r>
            <w:r w:rsidR="00A7483D">
              <w:t> mg</w:t>
            </w:r>
            <w:r w:rsidRPr="001B4A02">
              <w:t xml:space="preserve"> denně po dva po sobě jdoucí dny) následovanou 80</w:t>
            </w:r>
            <w:r w:rsidR="00A7483D">
              <w:t> mg</w:t>
            </w:r>
            <w:r w:rsidRPr="001B4A02">
              <w:t xml:space="preserve"> (dvě injekce 40</w:t>
            </w:r>
            <w:r w:rsidR="00A7483D">
              <w:t> mg</w:t>
            </w:r>
            <w:r w:rsidRPr="001B4A02">
              <w:t xml:space="preserve"> v jeden den) o dva týdny později.</w:t>
            </w:r>
          </w:p>
          <w:p w14:paraId="100BC33E" w14:textId="77777777" w:rsidR="00D80CCA" w:rsidRPr="001B4A02" w:rsidRDefault="00D80CCA" w:rsidP="00085F34">
            <w:pPr>
              <w:keepNext/>
              <w:numPr>
                <w:ilvl w:val="12"/>
                <w:numId w:val="0"/>
              </w:numPr>
            </w:pPr>
          </w:p>
          <w:p w14:paraId="2E4DCF4E" w14:textId="77777777" w:rsidR="00D80CCA" w:rsidRPr="001B4A02" w:rsidRDefault="00000000" w:rsidP="00085F34">
            <w:pPr>
              <w:keepNext/>
              <w:numPr>
                <w:ilvl w:val="12"/>
                <w:numId w:val="0"/>
              </w:numPr>
              <w:ind w:right="-2"/>
            </w:pPr>
            <w:r w:rsidRPr="001B4A02">
              <w:t>Poté se podává obvyklá dávka 40</w:t>
            </w:r>
            <w:r w:rsidR="00A7483D">
              <w:t> mg</w:t>
            </w:r>
            <w:r w:rsidRPr="001B4A02">
              <w:t xml:space="preserve"> jednou za dva týdny.</w:t>
            </w:r>
          </w:p>
        </w:tc>
        <w:tc>
          <w:tcPr>
            <w:tcW w:w="3096" w:type="dxa"/>
            <w:shd w:val="clear" w:color="auto" w:fill="auto"/>
          </w:tcPr>
          <w:p w14:paraId="7A16BC7F" w14:textId="77777777" w:rsidR="00D80CCA" w:rsidRPr="001B4A02" w:rsidRDefault="00000000" w:rsidP="00DF4146">
            <w:pPr>
              <w:keepNext/>
              <w:ind w:left="0" w:firstLine="0"/>
            </w:pPr>
            <w:r w:rsidRPr="001B4A02">
              <w:t>Váš lékař může dávkování zvýšit na 40</w:t>
            </w:r>
            <w:r w:rsidR="00A7483D">
              <w:t> mg</w:t>
            </w:r>
            <w:r w:rsidRPr="001B4A02">
              <w:t xml:space="preserve"> </w:t>
            </w:r>
            <w:r w:rsidR="00DF4146" w:rsidRPr="00783FD1">
              <w:rPr>
                <w:szCs w:val="22"/>
              </w:rPr>
              <w:t>jednou týdně</w:t>
            </w:r>
            <w:r w:rsidR="00DF4146" w:rsidRPr="001B4A02">
              <w:t xml:space="preserve"> </w:t>
            </w:r>
            <w:r w:rsidR="00D45BC2" w:rsidRPr="001B4A02">
              <w:t>nebo 80</w:t>
            </w:r>
            <w:r w:rsidR="00A7483D">
              <w:t> mg</w:t>
            </w:r>
            <w:r w:rsidR="00D45BC2" w:rsidRPr="001B4A02">
              <w:t xml:space="preserve"> jednou za dva týdny</w:t>
            </w:r>
            <w:r w:rsidRPr="001B4A02">
              <w:t>.</w:t>
            </w:r>
          </w:p>
        </w:tc>
      </w:tr>
      <w:tr w:rsidR="00534A2D" w14:paraId="3ACF5E09" w14:textId="77777777" w:rsidTr="00085F34">
        <w:tc>
          <w:tcPr>
            <w:tcW w:w="3095" w:type="dxa"/>
            <w:shd w:val="clear" w:color="auto" w:fill="auto"/>
          </w:tcPr>
          <w:p w14:paraId="20729544" w14:textId="77777777" w:rsidR="00D80CCA" w:rsidRPr="001B4A02" w:rsidRDefault="00000000" w:rsidP="00085F34">
            <w:pPr>
              <w:numPr>
                <w:ilvl w:val="12"/>
                <w:numId w:val="0"/>
              </w:numPr>
              <w:ind w:right="-2"/>
            </w:pPr>
            <w:r w:rsidRPr="001B4A02">
              <w:t>Děti</w:t>
            </w:r>
            <w:r w:rsidR="002378E0">
              <w:t xml:space="preserve"> a </w:t>
            </w:r>
            <w:r w:rsidRPr="001B4A02">
              <w:t>dospívající od 6 do 17 let s hmotností do 40</w:t>
            </w:r>
            <w:r w:rsidR="002767FC">
              <w:t> kg</w:t>
            </w:r>
            <w:r w:rsidRPr="001B4A02">
              <w:t xml:space="preserve"> </w:t>
            </w:r>
          </w:p>
        </w:tc>
        <w:tc>
          <w:tcPr>
            <w:tcW w:w="3096" w:type="dxa"/>
            <w:shd w:val="clear" w:color="auto" w:fill="auto"/>
          </w:tcPr>
          <w:p w14:paraId="66D52386" w14:textId="77777777" w:rsidR="00D80CCA" w:rsidRPr="001B4A02" w:rsidRDefault="00000000" w:rsidP="00085F34">
            <w:pPr>
              <w:ind w:left="0" w:firstLine="0"/>
            </w:pPr>
            <w:r w:rsidRPr="001B4A02">
              <w:t>První dávka 40</w:t>
            </w:r>
            <w:r w:rsidR="00A7483D">
              <w:t> mg</w:t>
            </w:r>
            <w:r w:rsidRPr="001B4A02">
              <w:t xml:space="preserve"> následovaná o dva týdny později dávkou 20</w:t>
            </w:r>
            <w:r w:rsidR="00A7483D">
              <w:t> mg</w:t>
            </w:r>
            <w:r w:rsidRPr="001B4A02">
              <w:t>.</w:t>
            </w:r>
          </w:p>
          <w:p w14:paraId="19C0B302" w14:textId="77777777" w:rsidR="00D80CCA" w:rsidRPr="001B4A02" w:rsidRDefault="00D80CCA" w:rsidP="00085F34">
            <w:pPr>
              <w:ind w:left="0" w:firstLine="0"/>
            </w:pPr>
          </w:p>
          <w:p w14:paraId="10A019B6" w14:textId="77777777" w:rsidR="00D80CCA" w:rsidRPr="001B4A02" w:rsidRDefault="00000000" w:rsidP="00085F34">
            <w:pPr>
              <w:numPr>
                <w:ilvl w:val="12"/>
                <w:numId w:val="0"/>
              </w:numPr>
            </w:pPr>
            <w:r w:rsidRPr="001B4A02">
              <w:t>Jestliže se vyžaduje rychlejší reakce na léčbu, lékař může předepsat první dávku 80</w:t>
            </w:r>
            <w:r w:rsidR="00A7483D">
              <w:t> mg</w:t>
            </w:r>
            <w:r w:rsidRPr="001B4A02">
              <w:t xml:space="preserve"> (dvě injekce 40</w:t>
            </w:r>
            <w:r w:rsidR="00A7483D">
              <w:t> mg</w:t>
            </w:r>
            <w:r w:rsidRPr="001B4A02">
              <w:t xml:space="preserve"> v jeden den) následovanou 40</w:t>
            </w:r>
            <w:r w:rsidR="00A7483D">
              <w:t> mg</w:t>
            </w:r>
            <w:r w:rsidRPr="001B4A02">
              <w:t xml:space="preserve"> o dva týdny později.</w:t>
            </w:r>
          </w:p>
          <w:p w14:paraId="6907279E" w14:textId="77777777" w:rsidR="00D80CCA" w:rsidRPr="001B4A02" w:rsidRDefault="00D80CCA" w:rsidP="00085F34">
            <w:pPr>
              <w:numPr>
                <w:ilvl w:val="12"/>
                <w:numId w:val="0"/>
              </w:numPr>
            </w:pPr>
          </w:p>
          <w:p w14:paraId="5287C3B2" w14:textId="77777777" w:rsidR="00D80CCA" w:rsidRPr="001B4A02" w:rsidRDefault="00000000" w:rsidP="00085F34">
            <w:pPr>
              <w:numPr>
                <w:ilvl w:val="12"/>
                <w:numId w:val="0"/>
              </w:numPr>
            </w:pPr>
            <w:r w:rsidRPr="001B4A02">
              <w:t>Poté se podává obvyklá dávka 20</w:t>
            </w:r>
            <w:r w:rsidR="00A7483D">
              <w:t> mg</w:t>
            </w:r>
            <w:r w:rsidRPr="001B4A02">
              <w:t xml:space="preserve"> jednou za dva týdny.</w:t>
            </w:r>
          </w:p>
        </w:tc>
        <w:tc>
          <w:tcPr>
            <w:tcW w:w="3096" w:type="dxa"/>
            <w:shd w:val="clear" w:color="auto" w:fill="auto"/>
          </w:tcPr>
          <w:p w14:paraId="3D6B61B3" w14:textId="77777777" w:rsidR="00D80CCA" w:rsidRPr="001B4A02" w:rsidRDefault="00000000" w:rsidP="00085F34">
            <w:pPr>
              <w:ind w:left="0" w:firstLine="0"/>
            </w:pPr>
            <w:r w:rsidRPr="001B4A02">
              <w:t>Váš lékař může četnost dávkování zvýšit na 20</w:t>
            </w:r>
            <w:r w:rsidR="00A7483D">
              <w:t> mg</w:t>
            </w:r>
            <w:r w:rsidRPr="001B4A02">
              <w:t xml:space="preserve"> </w:t>
            </w:r>
            <w:r w:rsidR="00DF4146" w:rsidRPr="00783FD1">
              <w:rPr>
                <w:szCs w:val="22"/>
              </w:rPr>
              <w:t>jednou týdně</w:t>
            </w:r>
            <w:r w:rsidRPr="001B4A02">
              <w:t>.</w:t>
            </w:r>
          </w:p>
          <w:p w14:paraId="5B8FE84B" w14:textId="77777777" w:rsidR="00D80CCA" w:rsidRPr="001B4A02" w:rsidRDefault="00D80CCA" w:rsidP="00085F34">
            <w:pPr>
              <w:numPr>
                <w:ilvl w:val="12"/>
                <w:numId w:val="0"/>
              </w:numPr>
              <w:ind w:right="-2"/>
            </w:pPr>
          </w:p>
        </w:tc>
      </w:tr>
    </w:tbl>
    <w:p w14:paraId="4057627A" w14:textId="77777777" w:rsidR="00D80CCA" w:rsidRPr="001B4A02" w:rsidRDefault="00D80CCA" w:rsidP="00D80CCA">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5"/>
        <w:gridCol w:w="3021"/>
      </w:tblGrid>
      <w:tr w:rsidR="00534A2D" w14:paraId="3778E431" w14:textId="77777777" w:rsidTr="002B46AE">
        <w:tc>
          <w:tcPr>
            <w:tcW w:w="9061" w:type="dxa"/>
            <w:gridSpan w:val="3"/>
            <w:shd w:val="clear" w:color="auto" w:fill="auto"/>
          </w:tcPr>
          <w:p w14:paraId="7369A8AD" w14:textId="77777777" w:rsidR="00D80CCA" w:rsidRPr="001B4A02" w:rsidRDefault="00000000" w:rsidP="00085F34">
            <w:pPr>
              <w:keepNext/>
              <w:numPr>
                <w:ilvl w:val="12"/>
                <w:numId w:val="0"/>
              </w:numPr>
              <w:ind w:right="-2"/>
              <w:rPr>
                <w:b/>
              </w:rPr>
            </w:pPr>
            <w:r w:rsidRPr="001B4A02">
              <w:rPr>
                <w:b/>
                <w:szCs w:val="22"/>
              </w:rPr>
              <w:t>Ulcerózní kolitida</w:t>
            </w:r>
          </w:p>
        </w:tc>
      </w:tr>
      <w:tr w:rsidR="00534A2D" w14:paraId="2807EFB2" w14:textId="77777777" w:rsidTr="002B46AE">
        <w:tc>
          <w:tcPr>
            <w:tcW w:w="3015" w:type="dxa"/>
            <w:shd w:val="clear" w:color="auto" w:fill="auto"/>
          </w:tcPr>
          <w:p w14:paraId="33D702A5" w14:textId="77777777" w:rsidR="00D80CCA" w:rsidRPr="001B4A02" w:rsidRDefault="00000000" w:rsidP="00085F34">
            <w:pPr>
              <w:keepNext/>
              <w:numPr>
                <w:ilvl w:val="12"/>
                <w:numId w:val="0"/>
              </w:numPr>
              <w:ind w:right="-2"/>
            </w:pPr>
            <w:r w:rsidRPr="001B4A02">
              <w:rPr>
                <w:b/>
              </w:rPr>
              <w:t>Věk nebo tělesná hmotnost</w:t>
            </w:r>
          </w:p>
        </w:tc>
        <w:tc>
          <w:tcPr>
            <w:tcW w:w="3025" w:type="dxa"/>
            <w:shd w:val="clear" w:color="auto" w:fill="auto"/>
          </w:tcPr>
          <w:p w14:paraId="5A8D3B6C" w14:textId="77777777" w:rsidR="00D80CCA" w:rsidRPr="001B4A02" w:rsidRDefault="00000000" w:rsidP="00085F34">
            <w:pPr>
              <w:keepNext/>
              <w:numPr>
                <w:ilvl w:val="12"/>
                <w:numId w:val="0"/>
              </w:numPr>
              <w:ind w:right="-2"/>
            </w:pPr>
            <w:r w:rsidRPr="001B4A02">
              <w:rPr>
                <w:b/>
              </w:rPr>
              <w:t>Kolik používat</w:t>
            </w:r>
            <w:r w:rsidR="002378E0">
              <w:rPr>
                <w:b/>
              </w:rPr>
              <w:t xml:space="preserve"> a </w:t>
            </w:r>
            <w:r w:rsidRPr="001B4A02">
              <w:rPr>
                <w:b/>
              </w:rPr>
              <w:t>jak často?</w:t>
            </w:r>
          </w:p>
        </w:tc>
        <w:tc>
          <w:tcPr>
            <w:tcW w:w="3021" w:type="dxa"/>
            <w:shd w:val="clear" w:color="auto" w:fill="auto"/>
          </w:tcPr>
          <w:p w14:paraId="772D8303" w14:textId="77777777" w:rsidR="00D80CCA" w:rsidRPr="001B4A02" w:rsidRDefault="00000000" w:rsidP="00085F34">
            <w:pPr>
              <w:numPr>
                <w:ilvl w:val="12"/>
                <w:numId w:val="0"/>
              </w:numPr>
              <w:ind w:right="-2"/>
            </w:pPr>
            <w:r w:rsidRPr="001B4A02">
              <w:rPr>
                <w:b/>
              </w:rPr>
              <w:t>Poznámky</w:t>
            </w:r>
          </w:p>
        </w:tc>
      </w:tr>
      <w:tr w:rsidR="00534A2D" w14:paraId="7A6FECA0" w14:textId="77777777" w:rsidTr="002B46AE">
        <w:tc>
          <w:tcPr>
            <w:tcW w:w="3015" w:type="dxa"/>
            <w:shd w:val="clear" w:color="auto" w:fill="auto"/>
          </w:tcPr>
          <w:p w14:paraId="53833ED4" w14:textId="77777777" w:rsidR="00D80CCA" w:rsidRPr="001B4A02" w:rsidRDefault="00000000" w:rsidP="00085F34">
            <w:pPr>
              <w:keepNext/>
              <w:numPr>
                <w:ilvl w:val="12"/>
                <w:numId w:val="0"/>
              </w:numPr>
              <w:ind w:right="-2"/>
            </w:pPr>
            <w:r w:rsidRPr="001B4A02">
              <w:t>Dospělí</w:t>
            </w:r>
          </w:p>
        </w:tc>
        <w:tc>
          <w:tcPr>
            <w:tcW w:w="3025" w:type="dxa"/>
            <w:shd w:val="clear" w:color="auto" w:fill="auto"/>
          </w:tcPr>
          <w:p w14:paraId="6D0E2993" w14:textId="77777777" w:rsidR="00D80CCA" w:rsidRPr="001B4A02" w:rsidRDefault="00000000" w:rsidP="00085F34">
            <w:pPr>
              <w:keepNext/>
              <w:numPr>
                <w:ilvl w:val="12"/>
                <w:numId w:val="0"/>
              </w:numPr>
            </w:pPr>
            <w:r w:rsidRPr="001B4A02">
              <w:t>První dávka 160</w:t>
            </w:r>
            <w:r w:rsidR="00A7483D">
              <w:t> mg</w:t>
            </w:r>
            <w:r w:rsidRPr="001B4A02">
              <w:t xml:space="preserve"> (čtyři injekce po 40</w:t>
            </w:r>
            <w:r w:rsidR="00A7483D">
              <w:t> mg</w:t>
            </w:r>
            <w:r w:rsidRPr="001B4A02">
              <w:t xml:space="preserve"> v jeden den nebo dvě injekce 40</w:t>
            </w:r>
            <w:r w:rsidR="00A7483D">
              <w:t> mg</w:t>
            </w:r>
            <w:r w:rsidRPr="001B4A02">
              <w:t xml:space="preserve"> denně po dva po sobě jdoucí dny) následovaná dávkou 80</w:t>
            </w:r>
            <w:r w:rsidR="00A7483D">
              <w:t> mg</w:t>
            </w:r>
            <w:r w:rsidRPr="001B4A02">
              <w:t xml:space="preserve"> (dvě injekce po 40</w:t>
            </w:r>
            <w:r w:rsidR="00A7483D">
              <w:t> mg</w:t>
            </w:r>
            <w:r w:rsidRPr="001B4A02">
              <w:t xml:space="preserve"> v jeden den) o dva týdny později.</w:t>
            </w:r>
          </w:p>
          <w:p w14:paraId="535DCF15" w14:textId="77777777" w:rsidR="00D80CCA" w:rsidRPr="001B4A02" w:rsidRDefault="00D80CCA" w:rsidP="00085F34">
            <w:pPr>
              <w:keepNext/>
              <w:numPr>
                <w:ilvl w:val="12"/>
                <w:numId w:val="0"/>
              </w:numPr>
            </w:pPr>
          </w:p>
          <w:p w14:paraId="50DE3B02" w14:textId="77777777" w:rsidR="00D80CCA" w:rsidRPr="001B4A02" w:rsidRDefault="00000000" w:rsidP="00085F34">
            <w:pPr>
              <w:keepNext/>
              <w:numPr>
                <w:ilvl w:val="12"/>
                <w:numId w:val="0"/>
              </w:numPr>
            </w:pPr>
            <w:r>
              <w:t xml:space="preserve">Poté se podává </w:t>
            </w:r>
            <w:r w:rsidRPr="001B4A02">
              <w:t>obvyklá dávka 40</w:t>
            </w:r>
            <w:r w:rsidR="00A7483D">
              <w:t> mg</w:t>
            </w:r>
            <w:r w:rsidRPr="001B4A02">
              <w:t xml:space="preserve"> jednou za dva týdny.</w:t>
            </w:r>
            <w:r w:rsidRPr="001B4A02">
              <w:rPr>
                <w:szCs w:val="22"/>
              </w:rPr>
              <w:t xml:space="preserve"> </w:t>
            </w:r>
          </w:p>
        </w:tc>
        <w:tc>
          <w:tcPr>
            <w:tcW w:w="3021" w:type="dxa"/>
            <w:shd w:val="clear" w:color="auto" w:fill="auto"/>
          </w:tcPr>
          <w:p w14:paraId="788AA885" w14:textId="77777777" w:rsidR="00D80CCA" w:rsidRPr="001B4A02" w:rsidRDefault="00000000" w:rsidP="00DF4146">
            <w:pPr>
              <w:numPr>
                <w:ilvl w:val="12"/>
                <w:numId w:val="0"/>
              </w:numPr>
              <w:ind w:right="-2"/>
            </w:pPr>
            <w:r w:rsidRPr="001B4A02">
              <w:t>Váš lékař může dávkování zvýšit na 40</w:t>
            </w:r>
            <w:r w:rsidR="00A7483D">
              <w:t> mg</w:t>
            </w:r>
            <w:r w:rsidRPr="001B4A02">
              <w:t xml:space="preserve"> </w:t>
            </w:r>
            <w:r w:rsidR="00DF4146" w:rsidRPr="00783FD1">
              <w:rPr>
                <w:szCs w:val="22"/>
              </w:rPr>
              <w:t>jednou týdně</w:t>
            </w:r>
            <w:r w:rsidR="00D45BC2" w:rsidRPr="001B4A02">
              <w:t xml:space="preserve"> nebo 80</w:t>
            </w:r>
            <w:r w:rsidR="00A7483D">
              <w:t> mg</w:t>
            </w:r>
            <w:r w:rsidR="00D45BC2" w:rsidRPr="001B4A02">
              <w:t xml:space="preserve"> jednou za dva týdny</w:t>
            </w:r>
            <w:r w:rsidRPr="001B4A02">
              <w:t>.</w:t>
            </w:r>
          </w:p>
        </w:tc>
      </w:tr>
      <w:tr w:rsidR="00534A2D" w14:paraId="007B3120" w14:textId="77777777" w:rsidTr="002B46AE">
        <w:tc>
          <w:tcPr>
            <w:tcW w:w="3015" w:type="dxa"/>
            <w:tcBorders>
              <w:top w:val="single" w:sz="4" w:space="0" w:color="auto"/>
              <w:left w:val="single" w:sz="4" w:space="0" w:color="auto"/>
              <w:bottom w:val="single" w:sz="4" w:space="0" w:color="auto"/>
              <w:right w:val="single" w:sz="4" w:space="0" w:color="auto"/>
            </w:tcBorders>
            <w:shd w:val="clear" w:color="auto" w:fill="auto"/>
          </w:tcPr>
          <w:p w14:paraId="32D5AF23" w14:textId="77777777" w:rsidR="002B46AE" w:rsidRPr="001B4A02" w:rsidRDefault="00000000" w:rsidP="002B46AE">
            <w:pPr>
              <w:keepNext/>
              <w:numPr>
                <w:ilvl w:val="12"/>
                <w:numId w:val="0"/>
              </w:numPr>
              <w:ind w:right="-2"/>
            </w:pPr>
            <w:r>
              <w:t>Děti</w:t>
            </w:r>
            <w:r w:rsidR="002378E0">
              <w:t xml:space="preserve"> a </w:t>
            </w:r>
            <w:r>
              <w:t>dospívající od 6 let s tělesnou hmotností do 40</w:t>
            </w:r>
            <w:r w:rsidR="002767FC">
              <w:t> kg</w:t>
            </w:r>
          </w:p>
        </w:tc>
        <w:tc>
          <w:tcPr>
            <w:tcW w:w="3025" w:type="dxa"/>
            <w:tcBorders>
              <w:top w:val="single" w:sz="4" w:space="0" w:color="auto"/>
              <w:left w:val="single" w:sz="4" w:space="0" w:color="auto"/>
              <w:bottom w:val="single" w:sz="4" w:space="0" w:color="auto"/>
              <w:right w:val="single" w:sz="4" w:space="0" w:color="auto"/>
            </w:tcBorders>
            <w:shd w:val="clear" w:color="auto" w:fill="auto"/>
          </w:tcPr>
          <w:p w14:paraId="4AAC92AD" w14:textId="77777777" w:rsidR="002B46AE" w:rsidRPr="00D01607" w:rsidRDefault="00000000" w:rsidP="002B46AE">
            <w:pPr>
              <w:keepNext/>
              <w:numPr>
                <w:ilvl w:val="12"/>
                <w:numId w:val="0"/>
              </w:numPr>
            </w:pPr>
            <w:r>
              <w:t>První dávka 80</w:t>
            </w:r>
            <w:r w:rsidR="00A7483D" w:rsidRPr="00005EC2">
              <w:rPr>
                <w:szCs w:val="22"/>
              </w:rPr>
              <w:t> </w:t>
            </w:r>
            <w:r>
              <w:t>mg (dvě injekce 40</w:t>
            </w:r>
            <w:r w:rsidR="00A7483D" w:rsidRPr="00005EC2">
              <w:rPr>
                <w:szCs w:val="22"/>
              </w:rPr>
              <w:t> </w:t>
            </w:r>
            <w:r>
              <w:t xml:space="preserve">mg v jednom dni) následovaná </w:t>
            </w:r>
            <w:r w:rsidR="004863E7" w:rsidRPr="001B4A02">
              <w:t xml:space="preserve">dávkou </w:t>
            </w:r>
            <w:r>
              <w:t>40</w:t>
            </w:r>
            <w:r w:rsidR="00A7483D" w:rsidRPr="00005EC2">
              <w:rPr>
                <w:szCs w:val="22"/>
              </w:rPr>
              <w:t> </w:t>
            </w:r>
            <w:r>
              <w:t>mg (jedna injekce 40</w:t>
            </w:r>
            <w:r w:rsidR="00A7483D" w:rsidRPr="00005EC2">
              <w:rPr>
                <w:szCs w:val="22"/>
              </w:rPr>
              <w:t> </w:t>
            </w:r>
            <w:r>
              <w:t>mg) o dva týdny později.</w:t>
            </w:r>
          </w:p>
          <w:p w14:paraId="5983E331" w14:textId="77777777" w:rsidR="002B46AE" w:rsidRPr="00D01607" w:rsidRDefault="002B46AE" w:rsidP="002B46AE">
            <w:pPr>
              <w:keepNext/>
              <w:numPr>
                <w:ilvl w:val="12"/>
                <w:numId w:val="0"/>
              </w:numPr>
            </w:pPr>
          </w:p>
          <w:p w14:paraId="33AFC1AB" w14:textId="77777777" w:rsidR="002B46AE" w:rsidRPr="001B4A02" w:rsidRDefault="00000000" w:rsidP="002B46AE">
            <w:pPr>
              <w:keepNext/>
              <w:numPr>
                <w:ilvl w:val="12"/>
                <w:numId w:val="0"/>
              </w:numPr>
            </w:pPr>
            <w:r>
              <w:t>Poté se podává obvyklá dávka 40</w:t>
            </w:r>
            <w:r w:rsidR="00A7483D" w:rsidRPr="00005EC2">
              <w:rPr>
                <w:szCs w:val="22"/>
              </w:rPr>
              <w:t> </w:t>
            </w:r>
            <w:r>
              <w:t>mg jednou za dva týdny.</w:t>
            </w:r>
          </w:p>
        </w:tc>
        <w:tc>
          <w:tcPr>
            <w:tcW w:w="3021" w:type="dxa"/>
            <w:tcBorders>
              <w:top w:val="single" w:sz="4" w:space="0" w:color="auto"/>
              <w:left w:val="single" w:sz="4" w:space="0" w:color="auto"/>
              <w:bottom w:val="single" w:sz="4" w:space="0" w:color="auto"/>
              <w:right w:val="single" w:sz="4" w:space="0" w:color="auto"/>
            </w:tcBorders>
            <w:shd w:val="clear" w:color="auto" w:fill="auto"/>
          </w:tcPr>
          <w:p w14:paraId="78A5820D" w14:textId="77777777" w:rsidR="002B46AE" w:rsidRPr="001B4A02" w:rsidRDefault="00000000" w:rsidP="002B46AE">
            <w:pPr>
              <w:numPr>
                <w:ilvl w:val="12"/>
                <w:numId w:val="0"/>
              </w:numPr>
              <w:ind w:right="-2"/>
            </w:pPr>
            <w:r>
              <w:t xml:space="preserve">Měl(a) byste nadále </w:t>
            </w:r>
            <w:r w:rsidR="00C468CD">
              <w:t>po</w:t>
            </w:r>
            <w:r>
              <w:t>užívat přípravek Humira v obvyklé dávce,</w:t>
            </w:r>
            <w:r w:rsidR="002378E0">
              <w:t xml:space="preserve"> a </w:t>
            </w:r>
            <w:r>
              <w:t>to i po dosažení věku 18 let.</w:t>
            </w:r>
          </w:p>
        </w:tc>
      </w:tr>
      <w:tr w:rsidR="00534A2D" w14:paraId="1417FCE9" w14:textId="77777777" w:rsidTr="002B46AE">
        <w:tc>
          <w:tcPr>
            <w:tcW w:w="3015" w:type="dxa"/>
            <w:tcBorders>
              <w:top w:val="single" w:sz="4" w:space="0" w:color="auto"/>
              <w:left w:val="single" w:sz="4" w:space="0" w:color="auto"/>
              <w:bottom w:val="single" w:sz="4" w:space="0" w:color="auto"/>
              <w:right w:val="single" w:sz="4" w:space="0" w:color="auto"/>
            </w:tcBorders>
            <w:shd w:val="clear" w:color="auto" w:fill="auto"/>
          </w:tcPr>
          <w:p w14:paraId="11184A9B" w14:textId="77777777" w:rsidR="002B46AE" w:rsidRPr="001B4A02" w:rsidRDefault="00000000" w:rsidP="002B46AE">
            <w:pPr>
              <w:keepNext/>
              <w:numPr>
                <w:ilvl w:val="12"/>
                <w:numId w:val="0"/>
              </w:numPr>
              <w:ind w:right="-2"/>
            </w:pPr>
            <w:r>
              <w:t>Děti</w:t>
            </w:r>
            <w:r w:rsidR="002378E0">
              <w:t xml:space="preserve"> a </w:t>
            </w:r>
            <w:r>
              <w:t>dospívající od 6 let s tělesnou hmotností 40</w:t>
            </w:r>
            <w:r w:rsidR="002767FC">
              <w:t> kg</w:t>
            </w:r>
            <w:r>
              <w:t xml:space="preserve"> nebo vyšší</w:t>
            </w:r>
          </w:p>
        </w:tc>
        <w:tc>
          <w:tcPr>
            <w:tcW w:w="3025" w:type="dxa"/>
            <w:tcBorders>
              <w:top w:val="single" w:sz="4" w:space="0" w:color="auto"/>
              <w:left w:val="single" w:sz="4" w:space="0" w:color="auto"/>
              <w:bottom w:val="single" w:sz="4" w:space="0" w:color="auto"/>
              <w:right w:val="single" w:sz="4" w:space="0" w:color="auto"/>
            </w:tcBorders>
            <w:shd w:val="clear" w:color="auto" w:fill="auto"/>
          </w:tcPr>
          <w:p w14:paraId="6BF2D5B4" w14:textId="77777777" w:rsidR="002B46AE" w:rsidRPr="00D01607" w:rsidRDefault="00000000" w:rsidP="002B46AE">
            <w:pPr>
              <w:keepNext/>
              <w:numPr>
                <w:ilvl w:val="12"/>
                <w:numId w:val="0"/>
              </w:numPr>
            </w:pPr>
            <w:r>
              <w:t>První dávka 160</w:t>
            </w:r>
            <w:r w:rsidR="00A7483D" w:rsidRPr="00005EC2">
              <w:rPr>
                <w:szCs w:val="22"/>
              </w:rPr>
              <w:t> </w:t>
            </w:r>
            <w:r>
              <w:t>mg (čtyři injekce 40</w:t>
            </w:r>
            <w:r w:rsidR="00A7483D" w:rsidRPr="00005EC2">
              <w:rPr>
                <w:szCs w:val="22"/>
              </w:rPr>
              <w:t> </w:t>
            </w:r>
            <w:r>
              <w:t>mg v jednom dni nebo dvě injekce 40</w:t>
            </w:r>
            <w:r w:rsidR="00584C17" w:rsidRPr="001B4A02">
              <w:t> </w:t>
            </w:r>
            <w:r>
              <w:t xml:space="preserve">mg denně ve dvou po sobě jdoucích dnech) následovaná </w:t>
            </w:r>
            <w:r w:rsidR="004863E7" w:rsidRPr="00490910">
              <w:t xml:space="preserve">dávkou </w:t>
            </w:r>
            <w:r>
              <w:t>80</w:t>
            </w:r>
            <w:r w:rsidR="004863E7">
              <w:t> </w:t>
            </w:r>
            <w:r>
              <w:t>mg (dvě injekce 40</w:t>
            </w:r>
            <w:r w:rsidR="00A7483D" w:rsidRPr="00005EC2">
              <w:rPr>
                <w:szCs w:val="22"/>
              </w:rPr>
              <w:t> </w:t>
            </w:r>
            <w:r>
              <w:t>mg v jednom dni) o dva týdny později.</w:t>
            </w:r>
          </w:p>
          <w:p w14:paraId="5DFD44FA" w14:textId="77777777" w:rsidR="002B46AE" w:rsidRPr="00D01607" w:rsidRDefault="002B46AE" w:rsidP="002B46AE">
            <w:pPr>
              <w:keepNext/>
              <w:numPr>
                <w:ilvl w:val="12"/>
                <w:numId w:val="0"/>
              </w:numPr>
            </w:pPr>
          </w:p>
          <w:p w14:paraId="584C0050" w14:textId="77777777" w:rsidR="002B46AE" w:rsidRPr="001B4A02" w:rsidRDefault="00000000" w:rsidP="002B46AE">
            <w:pPr>
              <w:keepNext/>
              <w:numPr>
                <w:ilvl w:val="12"/>
                <w:numId w:val="0"/>
              </w:numPr>
            </w:pPr>
            <w:r>
              <w:t>Poté se podává obvyklá dávka 80</w:t>
            </w:r>
            <w:r w:rsidR="00A7483D" w:rsidRPr="00005EC2">
              <w:rPr>
                <w:szCs w:val="22"/>
              </w:rPr>
              <w:t> </w:t>
            </w:r>
            <w:r>
              <w:t>mg jednou za dva týdny.</w:t>
            </w:r>
          </w:p>
        </w:tc>
        <w:tc>
          <w:tcPr>
            <w:tcW w:w="3021" w:type="dxa"/>
            <w:tcBorders>
              <w:top w:val="single" w:sz="4" w:space="0" w:color="auto"/>
              <w:left w:val="single" w:sz="4" w:space="0" w:color="auto"/>
              <w:bottom w:val="single" w:sz="4" w:space="0" w:color="auto"/>
              <w:right w:val="single" w:sz="4" w:space="0" w:color="auto"/>
            </w:tcBorders>
            <w:shd w:val="clear" w:color="auto" w:fill="auto"/>
          </w:tcPr>
          <w:p w14:paraId="76B4E090" w14:textId="77777777" w:rsidR="002B46AE" w:rsidRPr="001B4A02" w:rsidRDefault="00000000" w:rsidP="002B46AE">
            <w:pPr>
              <w:numPr>
                <w:ilvl w:val="12"/>
                <w:numId w:val="0"/>
              </w:numPr>
              <w:ind w:right="-2"/>
            </w:pPr>
            <w:r>
              <w:t xml:space="preserve">Měl(a) byste nadále </w:t>
            </w:r>
            <w:r w:rsidR="00C468CD">
              <w:t>po</w:t>
            </w:r>
            <w:r>
              <w:t>užívat přípravek Humira v obvyklé dávce,</w:t>
            </w:r>
            <w:r w:rsidR="002378E0">
              <w:t xml:space="preserve"> a </w:t>
            </w:r>
            <w:r>
              <w:t>to i po dosažení věku 18 let.</w:t>
            </w:r>
          </w:p>
        </w:tc>
      </w:tr>
    </w:tbl>
    <w:p w14:paraId="774E2F36" w14:textId="77777777" w:rsidR="00D80CCA" w:rsidRPr="001B4A02" w:rsidRDefault="00D80CCA" w:rsidP="00D80CCA">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25"/>
        <w:gridCol w:w="3032"/>
      </w:tblGrid>
      <w:tr w:rsidR="00534A2D" w14:paraId="0A21A2EF" w14:textId="77777777" w:rsidTr="00A909D3">
        <w:tc>
          <w:tcPr>
            <w:tcW w:w="9061" w:type="dxa"/>
            <w:gridSpan w:val="3"/>
            <w:shd w:val="clear" w:color="auto" w:fill="auto"/>
          </w:tcPr>
          <w:p w14:paraId="0D763025" w14:textId="77777777" w:rsidR="00D80CCA" w:rsidRPr="001B4A02" w:rsidRDefault="00000000" w:rsidP="00085F34">
            <w:pPr>
              <w:numPr>
                <w:ilvl w:val="12"/>
                <w:numId w:val="0"/>
              </w:numPr>
              <w:ind w:right="-2"/>
              <w:rPr>
                <w:b/>
              </w:rPr>
            </w:pPr>
            <w:r w:rsidRPr="001B4A02">
              <w:rPr>
                <w:b/>
                <w:szCs w:val="22"/>
              </w:rPr>
              <w:t>Neinfekční uveitida</w:t>
            </w:r>
          </w:p>
        </w:tc>
      </w:tr>
      <w:tr w:rsidR="00534A2D" w14:paraId="298E0E84" w14:textId="77777777" w:rsidTr="00A909D3">
        <w:tc>
          <w:tcPr>
            <w:tcW w:w="3004" w:type="dxa"/>
            <w:shd w:val="clear" w:color="auto" w:fill="auto"/>
          </w:tcPr>
          <w:p w14:paraId="477453BC" w14:textId="77777777" w:rsidR="00D80CCA" w:rsidRPr="001B4A02" w:rsidRDefault="00000000" w:rsidP="00085F34">
            <w:pPr>
              <w:numPr>
                <w:ilvl w:val="12"/>
                <w:numId w:val="0"/>
              </w:numPr>
              <w:ind w:right="-2"/>
            </w:pPr>
            <w:r w:rsidRPr="001B4A02">
              <w:rPr>
                <w:b/>
              </w:rPr>
              <w:t>Věk nebo tělesná hmotnost</w:t>
            </w:r>
          </w:p>
        </w:tc>
        <w:tc>
          <w:tcPr>
            <w:tcW w:w="3025" w:type="dxa"/>
            <w:shd w:val="clear" w:color="auto" w:fill="auto"/>
          </w:tcPr>
          <w:p w14:paraId="54BD33E1" w14:textId="77777777" w:rsidR="00D80CCA" w:rsidRPr="001B4A02" w:rsidRDefault="00000000" w:rsidP="00085F34">
            <w:pPr>
              <w:tabs>
                <w:tab w:val="left" w:pos="0"/>
              </w:tabs>
            </w:pPr>
            <w:r w:rsidRPr="001B4A02">
              <w:rPr>
                <w:b/>
              </w:rPr>
              <w:t>Kolik používat</w:t>
            </w:r>
            <w:r w:rsidR="002378E0">
              <w:rPr>
                <w:b/>
              </w:rPr>
              <w:t xml:space="preserve"> a </w:t>
            </w:r>
            <w:r w:rsidRPr="001B4A02">
              <w:rPr>
                <w:b/>
              </w:rPr>
              <w:t>jak často?</w:t>
            </w:r>
          </w:p>
        </w:tc>
        <w:tc>
          <w:tcPr>
            <w:tcW w:w="3032" w:type="dxa"/>
            <w:shd w:val="clear" w:color="auto" w:fill="auto"/>
          </w:tcPr>
          <w:p w14:paraId="797C1DBF" w14:textId="77777777" w:rsidR="00D80CCA" w:rsidRPr="001B4A02" w:rsidRDefault="00000000" w:rsidP="00085F34">
            <w:pPr>
              <w:numPr>
                <w:ilvl w:val="12"/>
                <w:numId w:val="0"/>
              </w:numPr>
            </w:pPr>
            <w:r w:rsidRPr="001B4A02">
              <w:rPr>
                <w:b/>
              </w:rPr>
              <w:t>Poznámky</w:t>
            </w:r>
          </w:p>
        </w:tc>
      </w:tr>
      <w:tr w:rsidR="00534A2D" w14:paraId="46BFBEC4" w14:textId="77777777" w:rsidTr="00A909D3">
        <w:tc>
          <w:tcPr>
            <w:tcW w:w="3004" w:type="dxa"/>
            <w:shd w:val="clear" w:color="auto" w:fill="auto"/>
          </w:tcPr>
          <w:p w14:paraId="49CFA79B" w14:textId="77777777" w:rsidR="00D80CCA" w:rsidRPr="001B4A02" w:rsidRDefault="00000000" w:rsidP="00085F34">
            <w:pPr>
              <w:numPr>
                <w:ilvl w:val="12"/>
                <w:numId w:val="0"/>
              </w:numPr>
              <w:ind w:right="-2"/>
            </w:pPr>
            <w:r w:rsidRPr="001B4A02">
              <w:t>Dospělí</w:t>
            </w:r>
          </w:p>
        </w:tc>
        <w:tc>
          <w:tcPr>
            <w:tcW w:w="3025" w:type="dxa"/>
            <w:shd w:val="clear" w:color="auto" w:fill="auto"/>
          </w:tcPr>
          <w:p w14:paraId="3E5DD45A" w14:textId="77777777" w:rsidR="00D80CCA" w:rsidRPr="001B4A02" w:rsidRDefault="00000000" w:rsidP="00085F34">
            <w:pPr>
              <w:tabs>
                <w:tab w:val="left" w:pos="0"/>
              </w:tabs>
              <w:ind w:left="0" w:firstLine="0"/>
            </w:pPr>
            <w:r w:rsidRPr="001B4A02">
              <w:t>První dávka 80</w:t>
            </w:r>
            <w:r w:rsidR="00A7483D">
              <w:t> mg</w:t>
            </w:r>
            <w:r w:rsidRPr="001B4A02">
              <w:t xml:space="preserve"> (dvě injekce po 40</w:t>
            </w:r>
            <w:r w:rsidR="00A7483D">
              <w:t> mg</w:t>
            </w:r>
            <w:r w:rsidRPr="001B4A02">
              <w:t xml:space="preserve"> v jeden den) následovaná dávkou 40</w:t>
            </w:r>
            <w:r w:rsidR="00A7483D">
              <w:t> mg</w:t>
            </w:r>
            <w:r w:rsidRPr="001B4A02">
              <w:t xml:space="preserve"> jednou za dva týdny, počínaje jedním týdnem po první dávce.</w:t>
            </w:r>
          </w:p>
        </w:tc>
        <w:tc>
          <w:tcPr>
            <w:tcW w:w="3032" w:type="dxa"/>
            <w:shd w:val="clear" w:color="auto" w:fill="auto"/>
          </w:tcPr>
          <w:p w14:paraId="30A861E1" w14:textId="77777777" w:rsidR="00D80CCA" w:rsidRPr="001B4A02" w:rsidRDefault="00000000" w:rsidP="00085F34">
            <w:pPr>
              <w:numPr>
                <w:ilvl w:val="12"/>
                <w:numId w:val="0"/>
              </w:numPr>
            </w:pPr>
            <w:r w:rsidRPr="001B4A02">
              <w:t>Během používání přípravku Humira je možno pokračovat v podávání kortikosteroidů nebo jiných léků, které ovlivňují imunitní systém. Přípravek Humira se rovněž může podávat samotný.</w:t>
            </w:r>
          </w:p>
        </w:tc>
      </w:tr>
      <w:tr w:rsidR="00534A2D" w14:paraId="14F7FEAC" w14:textId="77777777" w:rsidTr="00A909D3">
        <w:tc>
          <w:tcPr>
            <w:tcW w:w="3004" w:type="dxa"/>
            <w:shd w:val="clear" w:color="auto" w:fill="auto"/>
          </w:tcPr>
          <w:p w14:paraId="450650BA" w14:textId="77777777" w:rsidR="00D80CCA" w:rsidRPr="001B4A02" w:rsidRDefault="00000000" w:rsidP="00085F34">
            <w:pPr>
              <w:numPr>
                <w:ilvl w:val="12"/>
                <w:numId w:val="0"/>
              </w:numPr>
              <w:ind w:right="-2"/>
            </w:pPr>
            <w:r w:rsidRPr="001B4A02">
              <w:t>Děti</w:t>
            </w:r>
            <w:r w:rsidR="002378E0">
              <w:t xml:space="preserve"> a </w:t>
            </w:r>
            <w:r w:rsidRPr="001B4A02">
              <w:t>dospívající od 2 let s tělesnou hmotností do 30 kg</w:t>
            </w:r>
          </w:p>
        </w:tc>
        <w:tc>
          <w:tcPr>
            <w:tcW w:w="3025" w:type="dxa"/>
            <w:shd w:val="clear" w:color="auto" w:fill="auto"/>
          </w:tcPr>
          <w:p w14:paraId="1E53BC26" w14:textId="77777777" w:rsidR="00D80CCA" w:rsidRPr="001B4A02" w:rsidRDefault="00000000" w:rsidP="00085F34">
            <w:pPr>
              <w:tabs>
                <w:tab w:val="left" w:pos="0"/>
              </w:tabs>
              <w:ind w:left="0" w:firstLine="0"/>
            </w:pPr>
            <w:r w:rsidRPr="001B4A02">
              <w:t>20</w:t>
            </w:r>
            <w:r w:rsidR="00A7483D">
              <w:t> mg</w:t>
            </w:r>
            <w:r w:rsidRPr="001B4A02">
              <w:t xml:space="preserve"> jednou za dva týdny</w:t>
            </w:r>
          </w:p>
        </w:tc>
        <w:tc>
          <w:tcPr>
            <w:tcW w:w="3032" w:type="dxa"/>
            <w:shd w:val="clear" w:color="auto" w:fill="auto"/>
          </w:tcPr>
          <w:p w14:paraId="0D65C9B6" w14:textId="77777777" w:rsidR="00D80CCA" w:rsidRPr="001B4A02" w:rsidRDefault="00000000" w:rsidP="00085F34">
            <w:pPr>
              <w:numPr>
                <w:ilvl w:val="12"/>
                <w:numId w:val="0"/>
              </w:numPr>
            </w:pPr>
            <w:r w:rsidRPr="001B4A02">
              <w:t>Váš lékař může předepsat úvodní dávku 40</w:t>
            </w:r>
            <w:r w:rsidR="00A7483D">
              <w:t> mg</w:t>
            </w:r>
            <w:r w:rsidRPr="001B4A02">
              <w:t>, která bude podána jeden týden před zahájením obvyklého dávkování 20</w:t>
            </w:r>
            <w:r w:rsidR="00A7483D">
              <w:t> mg</w:t>
            </w:r>
            <w:r w:rsidRPr="001B4A02">
              <w:t xml:space="preserve"> jednou za dva týdny. Přípravek Humira je doporučen pro použití v kombinaci s methotrexátem.</w:t>
            </w:r>
          </w:p>
        </w:tc>
      </w:tr>
      <w:tr w:rsidR="00534A2D" w14:paraId="6BDB2829" w14:textId="77777777" w:rsidTr="00A909D3">
        <w:tc>
          <w:tcPr>
            <w:tcW w:w="3004" w:type="dxa"/>
            <w:shd w:val="clear" w:color="auto" w:fill="auto"/>
          </w:tcPr>
          <w:p w14:paraId="08F1BEC4" w14:textId="77777777" w:rsidR="00D80CCA" w:rsidRPr="001B4A02" w:rsidRDefault="00000000" w:rsidP="00085F34">
            <w:pPr>
              <w:numPr>
                <w:ilvl w:val="12"/>
                <w:numId w:val="0"/>
              </w:numPr>
              <w:ind w:right="-2"/>
            </w:pPr>
            <w:r w:rsidRPr="001B4A02">
              <w:t>Děti</w:t>
            </w:r>
            <w:r w:rsidR="002378E0">
              <w:t xml:space="preserve"> a </w:t>
            </w:r>
            <w:r w:rsidRPr="001B4A02">
              <w:t>dospívající od 2 let s tělesnou hmotností 30 kg nebo vyšší</w:t>
            </w:r>
          </w:p>
        </w:tc>
        <w:tc>
          <w:tcPr>
            <w:tcW w:w="3025" w:type="dxa"/>
            <w:shd w:val="clear" w:color="auto" w:fill="auto"/>
          </w:tcPr>
          <w:p w14:paraId="3D30141C" w14:textId="77777777" w:rsidR="00D80CCA" w:rsidRPr="001B4A02" w:rsidRDefault="00000000" w:rsidP="00085F34">
            <w:pPr>
              <w:tabs>
                <w:tab w:val="left" w:pos="0"/>
              </w:tabs>
              <w:ind w:left="0" w:firstLine="0"/>
            </w:pPr>
            <w:r w:rsidRPr="001B4A02">
              <w:t>40</w:t>
            </w:r>
            <w:r w:rsidR="00A7483D">
              <w:t> mg</w:t>
            </w:r>
            <w:r w:rsidRPr="001B4A02">
              <w:t xml:space="preserve"> jednou za dva týdny</w:t>
            </w:r>
          </w:p>
        </w:tc>
        <w:tc>
          <w:tcPr>
            <w:tcW w:w="3032" w:type="dxa"/>
            <w:shd w:val="clear" w:color="auto" w:fill="auto"/>
          </w:tcPr>
          <w:p w14:paraId="788044C5" w14:textId="77777777" w:rsidR="00D80CCA" w:rsidRPr="001B4A02" w:rsidRDefault="00000000" w:rsidP="00085F34">
            <w:pPr>
              <w:numPr>
                <w:ilvl w:val="12"/>
                <w:numId w:val="0"/>
              </w:numPr>
            </w:pPr>
            <w:r w:rsidRPr="001B4A02">
              <w:t>Váš lékař může předepsat úvodní dávku 80</w:t>
            </w:r>
            <w:r w:rsidR="00A7483D">
              <w:t> mg</w:t>
            </w:r>
            <w:r w:rsidRPr="001B4A02">
              <w:t>, která bude podána jeden týden před zahájením obvyklého dávkování 40 mg jednou za dva týdny. Přípravek Humira je doporučen pro použití v kombinaci s methotrexátem.</w:t>
            </w:r>
          </w:p>
        </w:tc>
      </w:tr>
    </w:tbl>
    <w:p w14:paraId="51A08AA1" w14:textId="77777777" w:rsidR="00D80CCA" w:rsidRPr="001B4A02" w:rsidRDefault="00D80CCA" w:rsidP="00D80CCA">
      <w:pPr>
        <w:ind w:left="0" w:firstLine="0"/>
        <w:rPr>
          <w:u w:val="single"/>
        </w:rPr>
      </w:pPr>
    </w:p>
    <w:p w14:paraId="16F32552" w14:textId="77777777" w:rsidR="00D80CCA" w:rsidRPr="001B4A02" w:rsidRDefault="00000000" w:rsidP="00262E54">
      <w:pPr>
        <w:keepNext/>
        <w:ind w:left="0" w:firstLine="0"/>
        <w:rPr>
          <w:b/>
        </w:rPr>
      </w:pPr>
      <w:r w:rsidRPr="001B4A02">
        <w:rPr>
          <w:b/>
        </w:rPr>
        <w:t>Způsob</w:t>
      </w:r>
      <w:r w:rsidR="002378E0">
        <w:rPr>
          <w:b/>
        </w:rPr>
        <w:t xml:space="preserve"> a </w:t>
      </w:r>
      <w:r w:rsidRPr="001B4A02">
        <w:rPr>
          <w:b/>
        </w:rPr>
        <w:t>cesta podání</w:t>
      </w:r>
    </w:p>
    <w:p w14:paraId="08EB84AC" w14:textId="77777777" w:rsidR="00D80CCA" w:rsidRPr="001B4A02" w:rsidRDefault="00D80CCA" w:rsidP="00262E54">
      <w:pPr>
        <w:keepNext/>
        <w:ind w:left="0" w:firstLine="0"/>
      </w:pPr>
    </w:p>
    <w:p w14:paraId="4E4D71B5" w14:textId="77777777" w:rsidR="00D80CCA" w:rsidRPr="001B4A02" w:rsidRDefault="00000000" w:rsidP="00D80CCA">
      <w:pPr>
        <w:ind w:left="0" w:firstLine="0"/>
      </w:pPr>
      <w:r w:rsidRPr="001B4A02">
        <w:t>Přípravek Humira se podává injekčně pod kůži (subkutánní injekcí).</w:t>
      </w:r>
    </w:p>
    <w:p w14:paraId="0C100194" w14:textId="77777777" w:rsidR="00D80CCA" w:rsidRPr="001B4A02" w:rsidRDefault="00D80CCA" w:rsidP="00D80CCA">
      <w:pPr>
        <w:ind w:left="0" w:firstLine="0"/>
      </w:pPr>
    </w:p>
    <w:p w14:paraId="5D192F8E" w14:textId="77777777" w:rsidR="00D80CCA" w:rsidRPr="001B4A02" w:rsidRDefault="00000000" w:rsidP="00D80CCA">
      <w:pPr>
        <w:ind w:left="0" w:firstLine="0"/>
        <w:rPr>
          <w:b/>
        </w:rPr>
      </w:pPr>
      <w:r w:rsidRPr="001B4A02">
        <w:rPr>
          <w:b/>
        </w:rPr>
        <w:t>Podrobné pokyny k injikování přípravku Humira jsou uvedeny v bodě 7 „</w:t>
      </w:r>
      <w:r w:rsidR="00454E16">
        <w:rPr>
          <w:b/>
        </w:rPr>
        <w:t>Aplikace injekce přípravku Humira</w:t>
      </w:r>
      <w:r w:rsidRPr="001B4A02">
        <w:rPr>
          <w:b/>
        </w:rPr>
        <w:t>“.</w:t>
      </w:r>
    </w:p>
    <w:p w14:paraId="2A423B8B" w14:textId="77777777" w:rsidR="00D80CCA" w:rsidRPr="001B4A02" w:rsidRDefault="00D80CCA" w:rsidP="00D80CCA">
      <w:pPr>
        <w:ind w:left="0" w:firstLine="0"/>
      </w:pPr>
    </w:p>
    <w:p w14:paraId="49F31EFC" w14:textId="77777777" w:rsidR="00D80CCA" w:rsidRPr="001B4A02" w:rsidRDefault="00000000" w:rsidP="00262E54">
      <w:pPr>
        <w:keepNext/>
        <w:ind w:left="0" w:firstLine="0"/>
        <w:rPr>
          <w:b/>
        </w:rPr>
      </w:pPr>
      <w:r w:rsidRPr="001B4A02">
        <w:rPr>
          <w:b/>
        </w:rPr>
        <w:t>Jestliže jste použil(a) více přípravku Humira, než jste měl(a)</w:t>
      </w:r>
    </w:p>
    <w:p w14:paraId="0EF87B12" w14:textId="77777777" w:rsidR="00D80CCA" w:rsidRPr="001B4A02" w:rsidRDefault="00D80CCA" w:rsidP="00262E54">
      <w:pPr>
        <w:keepNext/>
        <w:ind w:left="0" w:firstLine="0"/>
      </w:pPr>
    </w:p>
    <w:p w14:paraId="6D962CFD" w14:textId="77777777" w:rsidR="00D80CCA" w:rsidRPr="001B4A02" w:rsidRDefault="00000000" w:rsidP="00D80CCA">
      <w:pPr>
        <w:ind w:left="0" w:firstLine="0"/>
      </w:pPr>
      <w:r w:rsidRPr="001B4A02">
        <w:t>Pokud jste si náhodně aplikoval(a) přípravek Humira častěji, než Vám bylo předepsáno, kontaktujte svého lékaře nebo lékárníka</w:t>
      </w:r>
      <w:r w:rsidR="002378E0">
        <w:t xml:space="preserve"> a </w:t>
      </w:r>
      <w:r w:rsidRPr="001B4A02">
        <w:t>oznamte jim, že jste použil(a) větší množství léku. Vždy si s sebou vezměte vnější obal léku,</w:t>
      </w:r>
      <w:r w:rsidR="002378E0">
        <w:t xml:space="preserve"> a </w:t>
      </w:r>
      <w:r w:rsidRPr="001B4A02">
        <w:t>to i když je prázdný.</w:t>
      </w:r>
    </w:p>
    <w:p w14:paraId="3548E2BE" w14:textId="77777777" w:rsidR="00D80CCA" w:rsidRPr="001B4A02" w:rsidRDefault="00D80CCA" w:rsidP="00D80CCA">
      <w:pPr>
        <w:ind w:left="0" w:firstLine="0"/>
      </w:pPr>
    </w:p>
    <w:p w14:paraId="482F5E2D" w14:textId="77777777" w:rsidR="00D80CCA" w:rsidRPr="001B4A02" w:rsidRDefault="00000000" w:rsidP="00D80CCA">
      <w:pPr>
        <w:keepNext/>
        <w:ind w:left="0" w:firstLine="0"/>
        <w:rPr>
          <w:b/>
        </w:rPr>
      </w:pPr>
      <w:r w:rsidRPr="001B4A02">
        <w:rPr>
          <w:b/>
        </w:rPr>
        <w:t>Jestliže jste zapomněl(a) použít přípravek Humira</w:t>
      </w:r>
    </w:p>
    <w:p w14:paraId="5C3CC54E" w14:textId="77777777" w:rsidR="00D80CCA" w:rsidRPr="001B4A02" w:rsidRDefault="00D80CCA" w:rsidP="00D80CCA">
      <w:pPr>
        <w:keepNext/>
        <w:ind w:left="0" w:firstLine="0"/>
      </w:pPr>
    </w:p>
    <w:p w14:paraId="226A1CD3" w14:textId="77777777" w:rsidR="00D80CCA" w:rsidRPr="001B4A02" w:rsidRDefault="00000000" w:rsidP="00384AEC">
      <w:pPr>
        <w:ind w:left="0" w:firstLine="0"/>
      </w:pPr>
      <w:r w:rsidRPr="001B4A02">
        <w:t>Pokud si zapomenete podat injekci, m</w:t>
      </w:r>
      <w:r w:rsidR="007B06BB">
        <w:t>áte</w:t>
      </w:r>
      <w:r w:rsidRPr="001B4A02">
        <w:t xml:space="preserve"> si ji aplikovat ihned, jak si vzpomenete. Poté si podejte další dávku původně plánovaný den, jako kdybyste nezapomněl(a) na předchozí dávku.</w:t>
      </w:r>
    </w:p>
    <w:p w14:paraId="5BE09C2C" w14:textId="77777777" w:rsidR="00D80CCA" w:rsidRPr="001B4A02" w:rsidRDefault="00D80CCA" w:rsidP="00D80CCA">
      <w:pPr>
        <w:ind w:left="0" w:firstLine="0"/>
      </w:pPr>
    </w:p>
    <w:p w14:paraId="52D435CD" w14:textId="77777777" w:rsidR="00D80CCA" w:rsidRPr="001B4A02" w:rsidRDefault="00000000" w:rsidP="00262E54">
      <w:pPr>
        <w:keepNext/>
        <w:ind w:left="0" w:firstLine="0"/>
        <w:rPr>
          <w:b/>
        </w:rPr>
      </w:pPr>
      <w:r w:rsidRPr="001B4A02">
        <w:rPr>
          <w:b/>
        </w:rPr>
        <w:t>Jestliže jste přestal(a) používat přípravek Humira</w:t>
      </w:r>
    </w:p>
    <w:p w14:paraId="3220CFF1" w14:textId="77777777" w:rsidR="00D80CCA" w:rsidRPr="001B4A02" w:rsidRDefault="00D80CCA" w:rsidP="00262E54">
      <w:pPr>
        <w:keepNext/>
        <w:ind w:left="0" w:firstLine="0"/>
      </w:pPr>
    </w:p>
    <w:p w14:paraId="2FD61B8E" w14:textId="77777777" w:rsidR="00D80CCA" w:rsidRPr="001B4A02" w:rsidRDefault="00000000" w:rsidP="00D80CCA">
      <w:pPr>
        <w:ind w:left="0" w:firstLine="0"/>
      </w:pPr>
      <w:r w:rsidRPr="001B4A02">
        <w:t>Rozhodnutí o tom, zda používání přípravku Humira přerušit, musíte konzultovat se svým lékařem.</w:t>
      </w:r>
    </w:p>
    <w:p w14:paraId="43EBE99B" w14:textId="77777777" w:rsidR="00D80CCA" w:rsidRPr="001B4A02" w:rsidRDefault="00000000" w:rsidP="00D80CCA">
      <w:pPr>
        <w:ind w:left="0" w:firstLine="0"/>
      </w:pPr>
      <w:r w:rsidRPr="001B4A02">
        <w:t>Pokud přestanete přípravek Humira používat, příznaky onemocnění se Vám mohou vrátit.</w:t>
      </w:r>
    </w:p>
    <w:p w14:paraId="4C6DC30A" w14:textId="77777777" w:rsidR="00D80CCA" w:rsidRPr="001B4A02" w:rsidRDefault="00D80CCA" w:rsidP="00D80CCA">
      <w:pPr>
        <w:ind w:left="0" w:firstLine="0"/>
      </w:pPr>
    </w:p>
    <w:p w14:paraId="29E02768" w14:textId="77777777" w:rsidR="00D80CCA" w:rsidRPr="001B4A02" w:rsidRDefault="00000000" w:rsidP="00D80CCA">
      <w:pPr>
        <w:ind w:left="0" w:firstLine="0"/>
      </w:pPr>
      <w:r w:rsidRPr="001B4A02">
        <w:t>Máte-li jakékoli další otázky týkající se používání tohoto přípravku, zeptejte se svého lékaře nebo lékárníka.</w:t>
      </w:r>
    </w:p>
    <w:p w14:paraId="17549348" w14:textId="77777777" w:rsidR="00D80CCA" w:rsidRPr="001B4A02" w:rsidRDefault="00D80CCA" w:rsidP="00D80CCA">
      <w:pPr>
        <w:ind w:left="0" w:firstLine="0"/>
      </w:pPr>
    </w:p>
    <w:p w14:paraId="22A2E41C" w14:textId="77777777" w:rsidR="00D80CCA" w:rsidRPr="001B4A02" w:rsidRDefault="00D80CCA" w:rsidP="00D80CCA">
      <w:pPr>
        <w:ind w:left="0" w:firstLine="0"/>
      </w:pPr>
    </w:p>
    <w:p w14:paraId="5E15CD6D" w14:textId="77777777" w:rsidR="00D80CCA" w:rsidRPr="001B4A02" w:rsidRDefault="00000000" w:rsidP="00262E54">
      <w:pPr>
        <w:keepNext/>
        <w:numPr>
          <w:ilvl w:val="12"/>
          <w:numId w:val="0"/>
        </w:numPr>
        <w:ind w:left="567" w:hanging="567"/>
        <w:outlineLvl w:val="1"/>
      </w:pPr>
      <w:r w:rsidRPr="001B4A02">
        <w:rPr>
          <w:b/>
        </w:rPr>
        <w:t>4.</w:t>
      </w:r>
      <w:r w:rsidRPr="001B4A02">
        <w:rPr>
          <w:b/>
        </w:rPr>
        <w:tab/>
        <w:t>Možné nežádoucí účinky</w:t>
      </w:r>
    </w:p>
    <w:p w14:paraId="0576C4D7" w14:textId="77777777" w:rsidR="00D80CCA" w:rsidRPr="001B4A02" w:rsidRDefault="00D80CCA" w:rsidP="00262E54">
      <w:pPr>
        <w:keepNext/>
        <w:numPr>
          <w:ilvl w:val="12"/>
          <w:numId w:val="0"/>
        </w:numPr>
        <w:ind w:right="-29"/>
        <w:jc w:val="both"/>
      </w:pPr>
    </w:p>
    <w:p w14:paraId="386A1158" w14:textId="77777777" w:rsidR="00D80CCA" w:rsidRPr="001B4A02" w:rsidRDefault="00000000" w:rsidP="00D80CCA">
      <w:pPr>
        <w:ind w:left="0" w:firstLine="0"/>
      </w:pPr>
      <w:r w:rsidRPr="001B4A02">
        <w:t>Podobně jako všechny léky může mít i tento přípravek nežádoucí účinky, které se ale nemusí vyskytnout u každého. Většina nežádoucích účinků je mírné nebo střední závažnosti. Některé však mohou být závažné</w:t>
      </w:r>
      <w:r w:rsidR="002378E0">
        <w:t xml:space="preserve"> a </w:t>
      </w:r>
      <w:r w:rsidRPr="001B4A02">
        <w:t>vyžadují léčbu. Nežádoucí účinky se mohou vyskytnout i do 4 měsíců po poslední dávce přípravku Humira.</w:t>
      </w:r>
    </w:p>
    <w:p w14:paraId="5828415F" w14:textId="77777777" w:rsidR="00D80CCA" w:rsidRPr="001B4A02" w:rsidRDefault="00D80CCA" w:rsidP="00D80CCA">
      <w:pPr>
        <w:ind w:left="0" w:firstLine="0"/>
      </w:pPr>
    </w:p>
    <w:p w14:paraId="1B60C2A3" w14:textId="77777777" w:rsidR="00D80CCA" w:rsidRPr="001B4A02" w:rsidRDefault="00000000" w:rsidP="00262E54">
      <w:pPr>
        <w:keepNext/>
        <w:ind w:left="0" w:firstLine="0"/>
        <w:rPr>
          <w:b/>
        </w:rPr>
      </w:pPr>
      <w:r w:rsidRPr="001B4A02">
        <w:rPr>
          <w:b/>
        </w:rPr>
        <w:t>Ihned oznamte svému lékaři, pokud si všimnete jakýchkoli z následujících účinků</w:t>
      </w:r>
    </w:p>
    <w:p w14:paraId="6A17BAFC" w14:textId="77777777" w:rsidR="00D80CCA" w:rsidRPr="001B4A02" w:rsidRDefault="00D80CCA" w:rsidP="00262E54">
      <w:pPr>
        <w:keepNext/>
        <w:ind w:left="0" w:firstLine="0"/>
      </w:pPr>
    </w:p>
    <w:p w14:paraId="2B6D323C" w14:textId="77777777" w:rsidR="00D80CCA" w:rsidRPr="001B4A02" w:rsidRDefault="00000000" w:rsidP="00D80CCA">
      <w:pPr>
        <w:numPr>
          <w:ilvl w:val="0"/>
          <w:numId w:val="19"/>
        </w:numPr>
        <w:tabs>
          <w:tab w:val="clear" w:pos="720"/>
          <w:tab w:val="num" w:pos="540"/>
        </w:tabs>
        <w:ind w:left="0" w:firstLine="0"/>
      </w:pPr>
      <w:r w:rsidRPr="001B4A02">
        <w:t>silná vyrážka, kopřivka nebo jiné známky alergické reakce</w:t>
      </w:r>
    </w:p>
    <w:p w14:paraId="172CF5BA" w14:textId="77777777" w:rsidR="00D80CCA" w:rsidRPr="001B4A02" w:rsidRDefault="00000000" w:rsidP="00D80CCA">
      <w:pPr>
        <w:numPr>
          <w:ilvl w:val="0"/>
          <w:numId w:val="19"/>
        </w:numPr>
        <w:tabs>
          <w:tab w:val="clear" w:pos="720"/>
          <w:tab w:val="num" w:pos="540"/>
        </w:tabs>
        <w:ind w:left="0" w:firstLine="0"/>
      </w:pPr>
      <w:r w:rsidRPr="001B4A02">
        <w:t>ot</w:t>
      </w:r>
      <w:r w:rsidR="006D39E6">
        <w:t>ok</w:t>
      </w:r>
      <w:r w:rsidRPr="001B4A02">
        <w:t xml:space="preserve"> obličej</w:t>
      </w:r>
      <w:r w:rsidR="006D39E6">
        <w:t>e</w:t>
      </w:r>
      <w:r w:rsidRPr="001B4A02">
        <w:t>, ru</w:t>
      </w:r>
      <w:r w:rsidR="006D39E6">
        <w:t>kou</w:t>
      </w:r>
      <w:r w:rsidRPr="001B4A02">
        <w:t>, noh</w:t>
      </w:r>
      <w:r w:rsidR="006D39E6">
        <w:t>ou</w:t>
      </w:r>
    </w:p>
    <w:p w14:paraId="32DB9073" w14:textId="77777777" w:rsidR="00D80CCA" w:rsidRPr="001B4A02" w:rsidRDefault="00000000" w:rsidP="00D80CCA">
      <w:pPr>
        <w:numPr>
          <w:ilvl w:val="0"/>
          <w:numId w:val="19"/>
        </w:numPr>
        <w:tabs>
          <w:tab w:val="clear" w:pos="720"/>
          <w:tab w:val="num" w:pos="540"/>
        </w:tabs>
        <w:ind w:left="0" w:firstLine="0"/>
      </w:pPr>
      <w:r w:rsidRPr="001B4A02">
        <w:t>obtíže s dechem či polykáním</w:t>
      </w:r>
    </w:p>
    <w:p w14:paraId="2C41683E" w14:textId="77777777" w:rsidR="00D80CCA" w:rsidRPr="001B4A02" w:rsidRDefault="00000000" w:rsidP="00D80CCA">
      <w:pPr>
        <w:numPr>
          <w:ilvl w:val="0"/>
          <w:numId w:val="19"/>
        </w:numPr>
        <w:tabs>
          <w:tab w:val="clear" w:pos="720"/>
          <w:tab w:val="num" w:pos="540"/>
        </w:tabs>
        <w:ind w:left="0" w:firstLine="0"/>
      </w:pPr>
      <w:r w:rsidRPr="001B4A02">
        <w:t>zadýchávání při tělesné činnosti nebo v poloze vleže, nebo otoky nohou</w:t>
      </w:r>
    </w:p>
    <w:p w14:paraId="6448CB8B" w14:textId="77777777" w:rsidR="00D80CCA" w:rsidRPr="001B4A02" w:rsidRDefault="00D80CCA" w:rsidP="00D80CCA">
      <w:pPr>
        <w:pStyle w:val="EndnoteText"/>
        <w:rPr>
          <w:lang w:val="cs-CZ"/>
        </w:rPr>
      </w:pPr>
    </w:p>
    <w:p w14:paraId="57B5761A" w14:textId="77777777" w:rsidR="00D80CCA" w:rsidRPr="001B4A02" w:rsidRDefault="00000000" w:rsidP="00262E54">
      <w:pPr>
        <w:keepNext/>
        <w:ind w:left="0" w:firstLine="0"/>
        <w:rPr>
          <w:b/>
        </w:rPr>
      </w:pPr>
      <w:r w:rsidRPr="001B4A02">
        <w:rPr>
          <w:b/>
        </w:rPr>
        <w:t>Oznamte svému lékaři co nejdříve, pokud si všimnete jakýchkoli z následujících účinků</w:t>
      </w:r>
    </w:p>
    <w:p w14:paraId="67809EC8" w14:textId="77777777" w:rsidR="00D80CCA" w:rsidRPr="001B4A02" w:rsidRDefault="00D80CCA" w:rsidP="00262E54">
      <w:pPr>
        <w:keepNext/>
        <w:ind w:left="0" w:firstLine="0"/>
      </w:pPr>
    </w:p>
    <w:p w14:paraId="4C58489B" w14:textId="77777777" w:rsidR="00D80CCA" w:rsidRPr="001B4A02" w:rsidRDefault="00000000" w:rsidP="00D80CCA">
      <w:pPr>
        <w:numPr>
          <w:ilvl w:val="0"/>
          <w:numId w:val="20"/>
        </w:numPr>
        <w:tabs>
          <w:tab w:val="clear" w:pos="720"/>
          <w:tab w:val="num" w:pos="540"/>
        </w:tabs>
        <w:ind w:left="0" w:firstLine="0"/>
      </w:pPr>
      <w:r w:rsidRPr="001B4A02">
        <w:t xml:space="preserve">známky infekce, jako </w:t>
      </w:r>
      <w:r w:rsidR="00005EC2" w:rsidRPr="001B4A02">
        <w:rPr>
          <w:szCs w:val="22"/>
        </w:rPr>
        <w:t xml:space="preserve">jsou </w:t>
      </w:r>
      <w:r w:rsidRPr="001B4A02">
        <w:t>horečka, pocit nemoci, zranění, problémy se zuby, pálení při močení</w:t>
      </w:r>
    </w:p>
    <w:p w14:paraId="71E63600" w14:textId="77777777" w:rsidR="00D80CCA" w:rsidRPr="001B4A02" w:rsidRDefault="00000000" w:rsidP="00D80CCA">
      <w:pPr>
        <w:numPr>
          <w:ilvl w:val="0"/>
          <w:numId w:val="20"/>
        </w:numPr>
        <w:tabs>
          <w:tab w:val="clear" w:pos="720"/>
          <w:tab w:val="num" w:pos="540"/>
        </w:tabs>
        <w:ind w:left="0" w:firstLine="0"/>
      </w:pPr>
      <w:r w:rsidRPr="001B4A02">
        <w:t>pocit slabosti nebo únavy</w:t>
      </w:r>
    </w:p>
    <w:p w14:paraId="27B29A15" w14:textId="77777777" w:rsidR="00D80CCA" w:rsidRPr="001B4A02" w:rsidRDefault="00000000" w:rsidP="00D80CCA">
      <w:pPr>
        <w:numPr>
          <w:ilvl w:val="0"/>
          <w:numId w:val="20"/>
        </w:numPr>
        <w:tabs>
          <w:tab w:val="clear" w:pos="720"/>
          <w:tab w:val="num" w:pos="540"/>
        </w:tabs>
        <w:ind w:left="0" w:firstLine="0"/>
      </w:pPr>
      <w:r w:rsidRPr="001B4A02">
        <w:t>kašel</w:t>
      </w:r>
    </w:p>
    <w:p w14:paraId="09CDE9AE" w14:textId="77777777" w:rsidR="00D80CCA" w:rsidRPr="001B4A02" w:rsidRDefault="00000000" w:rsidP="00D80CCA">
      <w:pPr>
        <w:numPr>
          <w:ilvl w:val="0"/>
          <w:numId w:val="20"/>
        </w:numPr>
        <w:tabs>
          <w:tab w:val="clear" w:pos="720"/>
          <w:tab w:val="num" w:pos="540"/>
        </w:tabs>
        <w:ind w:left="0" w:firstLine="0"/>
      </w:pPr>
      <w:r w:rsidRPr="001B4A02">
        <w:t>brnění</w:t>
      </w:r>
    </w:p>
    <w:p w14:paraId="3B8A67B7" w14:textId="77777777" w:rsidR="00D80CCA" w:rsidRPr="001B4A02" w:rsidRDefault="00000000" w:rsidP="00D80CCA">
      <w:pPr>
        <w:numPr>
          <w:ilvl w:val="0"/>
          <w:numId w:val="20"/>
        </w:numPr>
        <w:tabs>
          <w:tab w:val="clear" w:pos="720"/>
          <w:tab w:val="num" w:pos="540"/>
        </w:tabs>
        <w:ind w:left="0" w:firstLine="0"/>
      </w:pPr>
      <w:r w:rsidRPr="001B4A02">
        <w:t>snížená citlivost</w:t>
      </w:r>
    </w:p>
    <w:p w14:paraId="47B9B777" w14:textId="77777777" w:rsidR="00D80CCA" w:rsidRPr="001B4A02" w:rsidRDefault="00000000" w:rsidP="00D80CCA">
      <w:pPr>
        <w:numPr>
          <w:ilvl w:val="0"/>
          <w:numId w:val="20"/>
        </w:numPr>
        <w:tabs>
          <w:tab w:val="clear" w:pos="720"/>
          <w:tab w:val="num" w:pos="540"/>
        </w:tabs>
        <w:ind w:left="0" w:firstLine="0"/>
      </w:pPr>
      <w:r w:rsidRPr="001B4A02">
        <w:t>dvojité vidění</w:t>
      </w:r>
    </w:p>
    <w:p w14:paraId="3AC01DDB" w14:textId="77777777" w:rsidR="00D80CCA" w:rsidRPr="001B4A02" w:rsidRDefault="00000000" w:rsidP="00D80CCA">
      <w:pPr>
        <w:numPr>
          <w:ilvl w:val="0"/>
          <w:numId w:val="20"/>
        </w:numPr>
        <w:tabs>
          <w:tab w:val="clear" w:pos="720"/>
          <w:tab w:val="num" w:pos="540"/>
        </w:tabs>
        <w:ind w:left="0" w:firstLine="0"/>
      </w:pPr>
      <w:r w:rsidRPr="001B4A02">
        <w:t>slabost horních nebo dolních končetin</w:t>
      </w:r>
    </w:p>
    <w:p w14:paraId="77463B4A" w14:textId="77777777" w:rsidR="00D80CCA" w:rsidRPr="001B4A02" w:rsidRDefault="00000000" w:rsidP="00D80CCA">
      <w:pPr>
        <w:numPr>
          <w:ilvl w:val="0"/>
          <w:numId w:val="20"/>
        </w:numPr>
        <w:tabs>
          <w:tab w:val="clear" w:pos="720"/>
          <w:tab w:val="num" w:pos="540"/>
        </w:tabs>
        <w:ind w:left="0" w:firstLine="0"/>
      </w:pPr>
      <w:r w:rsidRPr="001B4A02">
        <w:t>otok (boule) nebo opar, který se nehojí</w:t>
      </w:r>
    </w:p>
    <w:p w14:paraId="5C5D72D4" w14:textId="77777777" w:rsidR="00D80CCA" w:rsidRPr="001B4A02" w:rsidRDefault="00000000" w:rsidP="00D80CCA">
      <w:pPr>
        <w:numPr>
          <w:ilvl w:val="0"/>
          <w:numId w:val="20"/>
        </w:numPr>
        <w:tabs>
          <w:tab w:val="clear" w:pos="720"/>
          <w:tab w:val="num" w:pos="540"/>
        </w:tabs>
        <w:ind w:left="567" w:hanging="567"/>
      </w:pPr>
      <w:r>
        <w:rPr>
          <w:bCs/>
          <w:szCs w:val="22"/>
        </w:rPr>
        <w:t>známky</w:t>
      </w:r>
      <w:r w:rsidR="002378E0">
        <w:rPr>
          <w:bCs/>
          <w:szCs w:val="22"/>
        </w:rPr>
        <w:t xml:space="preserve"> a </w:t>
      </w:r>
      <w:r w:rsidRPr="001B4A02">
        <w:rPr>
          <w:bCs/>
          <w:szCs w:val="22"/>
        </w:rPr>
        <w:t>příznaky podezřelé z krevních poruch, jako je přetrvávající horečka, tvorba modřin, krvácení, bledost</w:t>
      </w:r>
    </w:p>
    <w:p w14:paraId="080B0D0E" w14:textId="77777777" w:rsidR="00D80CCA" w:rsidRPr="001B4A02" w:rsidRDefault="00D80CCA" w:rsidP="00D80CCA">
      <w:pPr>
        <w:pStyle w:val="EndnoteText"/>
        <w:ind w:left="0" w:firstLine="0"/>
        <w:rPr>
          <w:lang w:val="cs-CZ"/>
        </w:rPr>
      </w:pPr>
    </w:p>
    <w:p w14:paraId="2B0083FD" w14:textId="77777777" w:rsidR="00D80CCA" w:rsidRPr="001B4A02" w:rsidRDefault="00000000" w:rsidP="00D80CCA">
      <w:pPr>
        <w:ind w:left="0" w:firstLine="0"/>
      </w:pPr>
      <w:r w:rsidRPr="001B4A02">
        <w:t>Příznaky popsané výše mohou být známkami níže uvedeného seznamu nežádoucích účinků, které byly popsány při používání přípravku Humira.</w:t>
      </w:r>
    </w:p>
    <w:p w14:paraId="4DD459B3" w14:textId="77777777" w:rsidR="00D80CCA" w:rsidRPr="001B4A02" w:rsidRDefault="00D80CCA" w:rsidP="00D80CCA">
      <w:pPr>
        <w:ind w:left="0" w:firstLine="0"/>
      </w:pPr>
    </w:p>
    <w:p w14:paraId="66820B3B" w14:textId="77777777" w:rsidR="00D80CCA" w:rsidRPr="001B4A02" w:rsidRDefault="00000000" w:rsidP="00262E54">
      <w:pPr>
        <w:keepNext/>
        <w:tabs>
          <w:tab w:val="left" w:pos="5745"/>
        </w:tabs>
        <w:ind w:left="0" w:firstLine="0"/>
      </w:pPr>
      <w:r w:rsidRPr="001B4A02">
        <w:rPr>
          <w:b/>
        </w:rPr>
        <w:t>Velmi časté</w:t>
      </w:r>
      <w:r w:rsidRPr="001B4A02">
        <w:t xml:space="preserve"> (</w:t>
      </w:r>
      <w:r w:rsidRPr="001B4A02">
        <w:rPr>
          <w:shd w:val="clear" w:color="auto" w:fill="FFFFFF"/>
        </w:rPr>
        <w:t>mohou postihnout více než 1 z 10 osob</w:t>
      </w:r>
      <w:r w:rsidRPr="001B4A02">
        <w:t>)</w:t>
      </w:r>
    </w:p>
    <w:p w14:paraId="25F5C328" w14:textId="77777777" w:rsidR="00D80CCA" w:rsidRPr="001B4A02" w:rsidRDefault="00D80CCA" w:rsidP="00262E54">
      <w:pPr>
        <w:keepNext/>
        <w:tabs>
          <w:tab w:val="left" w:pos="5745"/>
        </w:tabs>
        <w:ind w:left="0" w:firstLine="0"/>
        <w:rPr>
          <w:bCs/>
          <w:szCs w:val="22"/>
        </w:rPr>
      </w:pPr>
    </w:p>
    <w:p w14:paraId="604C9E82" w14:textId="77777777" w:rsidR="00D80CCA" w:rsidRPr="001B4A02" w:rsidRDefault="00000000" w:rsidP="00D80CCA">
      <w:pPr>
        <w:numPr>
          <w:ilvl w:val="2"/>
          <w:numId w:val="17"/>
        </w:numPr>
        <w:tabs>
          <w:tab w:val="clear" w:pos="2160"/>
        </w:tabs>
        <w:ind w:left="567" w:hanging="567"/>
      </w:pPr>
      <w:r w:rsidRPr="001B4A02">
        <w:t xml:space="preserve">reakce v místě injekčního vpichu (včetně </w:t>
      </w:r>
      <w:r w:rsidRPr="001B4A02">
        <w:rPr>
          <w:bCs/>
          <w:szCs w:val="22"/>
        </w:rPr>
        <w:t>bolesti, otoku, zarudnutí nebo svědění)</w:t>
      </w:r>
    </w:p>
    <w:p w14:paraId="7669DE47" w14:textId="77777777" w:rsidR="00D80CCA" w:rsidRPr="001B4A02" w:rsidRDefault="00000000" w:rsidP="00D80CCA">
      <w:pPr>
        <w:numPr>
          <w:ilvl w:val="0"/>
          <w:numId w:val="17"/>
        </w:numPr>
        <w:tabs>
          <w:tab w:val="clear" w:pos="720"/>
        </w:tabs>
        <w:ind w:left="567" w:hanging="567"/>
        <w:rPr>
          <w:bCs/>
          <w:szCs w:val="22"/>
        </w:rPr>
      </w:pPr>
      <w:r w:rsidRPr="001B4A02">
        <w:rPr>
          <w:bCs/>
          <w:szCs w:val="22"/>
        </w:rPr>
        <w:t>infekce dýchacích cest (včetně nastydnutí, rýmy, infekce vedlejších nosních dutin, zápalu plic)</w:t>
      </w:r>
    </w:p>
    <w:p w14:paraId="56815010" w14:textId="77777777" w:rsidR="00D80CCA" w:rsidRPr="001B4A02" w:rsidRDefault="00000000" w:rsidP="00D80CCA">
      <w:pPr>
        <w:numPr>
          <w:ilvl w:val="0"/>
          <w:numId w:val="17"/>
        </w:numPr>
        <w:tabs>
          <w:tab w:val="clear" w:pos="720"/>
        </w:tabs>
        <w:ind w:left="567" w:hanging="567"/>
        <w:rPr>
          <w:bCs/>
          <w:szCs w:val="22"/>
        </w:rPr>
      </w:pPr>
      <w:r w:rsidRPr="001B4A02">
        <w:rPr>
          <w:bCs/>
          <w:szCs w:val="22"/>
        </w:rPr>
        <w:t>bolest hlavy</w:t>
      </w:r>
    </w:p>
    <w:p w14:paraId="39E962D5" w14:textId="77777777" w:rsidR="00D80CCA" w:rsidRPr="001B4A02" w:rsidRDefault="00000000" w:rsidP="00D80CCA">
      <w:pPr>
        <w:numPr>
          <w:ilvl w:val="0"/>
          <w:numId w:val="17"/>
        </w:numPr>
        <w:tabs>
          <w:tab w:val="clear" w:pos="720"/>
        </w:tabs>
        <w:ind w:left="567" w:hanging="567"/>
        <w:rPr>
          <w:bCs/>
          <w:szCs w:val="22"/>
        </w:rPr>
      </w:pPr>
      <w:r w:rsidRPr="001B4A02">
        <w:rPr>
          <w:bCs/>
          <w:szCs w:val="22"/>
        </w:rPr>
        <w:t>bolest břicha</w:t>
      </w:r>
    </w:p>
    <w:p w14:paraId="49816A3B" w14:textId="77777777" w:rsidR="00D80CCA" w:rsidRPr="001B4A02" w:rsidRDefault="00000000" w:rsidP="00D80CCA">
      <w:pPr>
        <w:numPr>
          <w:ilvl w:val="0"/>
          <w:numId w:val="17"/>
        </w:numPr>
        <w:tabs>
          <w:tab w:val="clear" w:pos="720"/>
        </w:tabs>
        <w:ind w:left="567" w:hanging="567"/>
        <w:rPr>
          <w:bCs/>
          <w:szCs w:val="22"/>
        </w:rPr>
      </w:pPr>
      <w:r>
        <w:rPr>
          <w:bCs/>
          <w:szCs w:val="22"/>
        </w:rPr>
        <w:t>pocit na zvracení</w:t>
      </w:r>
      <w:r w:rsidR="002378E0">
        <w:rPr>
          <w:bCs/>
          <w:szCs w:val="22"/>
        </w:rPr>
        <w:t xml:space="preserve"> a </w:t>
      </w:r>
      <w:r w:rsidRPr="001B4A02">
        <w:rPr>
          <w:bCs/>
          <w:szCs w:val="22"/>
        </w:rPr>
        <w:t>zvracení</w:t>
      </w:r>
    </w:p>
    <w:p w14:paraId="04D54602" w14:textId="77777777" w:rsidR="00D80CCA" w:rsidRPr="001B4A02" w:rsidRDefault="00000000" w:rsidP="00D80CCA">
      <w:pPr>
        <w:numPr>
          <w:ilvl w:val="0"/>
          <w:numId w:val="17"/>
        </w:numPr>
        <w:tabs>
          <w:tab w:val="clear" w:pos="720"/>
        </w:tabs>
        <w:ind w:left="567" w:hanging="567"/>
        <w:rPr>
          <w:bCs/>
          <w:szCs w:val="22"/>
        </w:rPr>
      </w:pPr>
      <w:r w:rsidRPr="001B4A02">
        <w:rPr>
          <w:bCs/>
          <w:szCs w:val="22"/>
        </w:rPr>
        <w:t>vyrážka</w:t>
      </w:r>
    </w:p>
    <w:p w14:paraId="04EB75C6" w14:textId="77777777" w:rsidR="00D80CCA" w:rsidRPr="001B4A02" w:rsidRDefault="00000000" w:rsidP="00D80CCA">
      <w:pPr>
        <w:numPr>
          <w:ilvl w:val="0"/>
          <w:numId w:val="17"/>
        </w:numPr>
        <w:tabs>
          <w:tab w:val="clear" w:pos="720"/>
        </w:tabs>
        <w:ind w:left="567" w:hanging="567"/>
      </w:pPr>
      <w:r w:rsidRPr="001B4A02">
        <w:rPr>
          <w:bCs/>
          <w:szCs w:val="22"/>
        </w:rPr>
        <w:t>bolest svalů</w:t>
      </w:r>
      <w:r w:rsidR="002378E0">
        <w:rPr>
          <w:bCs/>
          <w:szCs w:val="22"/>
        </w:rPr>
        <w:t xml:space="preserve"> a </w:t>
      </w:r>
      <w:r w:rsidRPr="001B4A02">
        <w:rPr>
          <w:bCs/>
          <w:szCs w:val="22"/>
        </w:rPr>
        <w:t>kloubů</w:t>
      </w:r>
    </w:p>
    <w:p w14:paraId="5811E580" w14:textId="77777777" w:rsidR="00D80CCA" w:rsidRPr="001B4A02" w:rsidRDefault="00D80CCA" w:rsidP="00D80CCA">
      <w:pPr>
        <w:ind w:left="0" w:firstLine="0"/>
      </w:pPr>
    </w:p>
    <w:p w14:paraId="419E3EA9" w14:textId="77777777" w:rsidR="00D80CCA" w:rsidRPr="001B4A02" w:rsidRDefault="00000000" w:rsidP="00D80CCA">
      <w:pPr>
        <w:keepNext/>
        <w:tabs>
          <w:tab w:val="left" w:pos="0"/>
        </w:tabs>
        <w:ind w:left="0" w:firstLine="0"/>
      </w:pPr>
      <w:r w:rsidRPr="001B4A02">
        <w:rPr>
          <w:b/>
        </w:rPr>
        <w:t>Časté</w:t>
      </w:r>
      <w:r w:rsidRPr="001B4A02">
        <w:t xml:space="preserve"> (mohou postihnout nejvýše 1 z 10 osob)</w:t>
      </w:r>
    </w:p>
    <w:p w14:paraId="6ED6A718" w14:textId="77777777" w:rsidR="00D80CCA" w:rsidRPr="001B4A02" w:rsidRDefault="00D80CCA" w:rsidP="00D80CCA">
      <w:pPr>
        <w:keepNext/>
        <w:tabs>
          <w:tab w:val="left" w:pos="0"/>
        </w:tabs>
        <w:ind w:left="0" w:firstLine="0"/>
      </w:pPr>
    </w:p>
    <w:p w14:paraId="3BD52B6C" w14:textId="77777777" w:rsidR="00D80CCA" w:rsidRPr="001B4A02" w:rsidRDefault="00000000" w:rsidP="00D80CCA">
      <w:pPr>
        <w:keepNext/>
        <w:numPr>
          <w:ilvl w:val="0"/>
          <w:numId w:val="17"/>
        </w:numPr>
        <w:tabs>
          <w:tab w:val="clear" w:pos="720"/>
        </w:tabs>
        <w:ind w:left="567" w:hanging="567"/>
      </w:pPr>
      <w:r>
        <w:rPr>
          <w:bCs/>
          <w:szCs w:val="22"/>
        </w:rPr>
        <w:t>závažné</w:t>
      </w:r>
      <w:r w:rsidRPr="001B4A02">
        <w:rPr>
          <w:bCs/>
          <w:szCs w:val="22"/>
        </w:rPr>
        <w:t xml:space="preserve"> infekce (včetně otravy krve</w:t>
      </w:r>
      <w:r w:rsidR="002378E0">
        <w:rPr>
          <w:bCs/>
          <w:szCs w:val="22"/>
        </w:rPr>
        <w:t xml:space="preserve"> a </w:t>
      </w:r>
      <w:r w:rsidRPr="001B4A02">
        <w:rPr>
          <w:bCs/>
          <w:szCs w:val="22"/>
        </w:rPr>
        <w:t>chřipky)</w:t>
      </w:r>
    </w:p>
    <w:p w14:paraId="7BEF90B1" w14:textId="77777777" w:rsidR="00D80CCA" w:rsidRPr="001B4A02" w:rsidRDefault="00000000" w:rsidP="00262E54">
      <w:pPr>
        <w:numPr>
          <w:ilvl w:val="0"/>
          <w:numId w:val="17"/>
        </w:numPr>
        <w:tabs>
          <w:tab w:val="clear" w:pos="720"/>
        </w:tabs>
        <w:ind w:left="567" w:hanging="567"/>
      </w:pPr>
      <w:r w:rsidRPr="001B4A02">
        <w:t>střevní infekce (včetně gastroenteritidy)</w:t>
      </w:r>
    </w:p>
    <w:p w14:paraId="308EDAED" w14:textId="77777777" w:rsidR="00D80CCA" w:rsidRPr="001B4A02" w:rsidRDefault="00000000" w:rsidP="00D80CCA">
      <w:pPr>
        <w:numPr>
          <w:ilvl w:val="0"/>
          <w:numId w:val="17"/>
        </w:numPr>
        <w:tabs>
          <w:tab w:val="clear" w:pos="720"/>
        </w:tabs>
        <w:ind w:left="567" w:hanging="567"/>
      </w:pPr>
      <w:r w:rsidRPr="001B4A02">
        <w:rPr>
          <w:bCs/>
          <w:szCs w:val="22"/>
        </w:rPr>
        <w:t>kožní infekce (včetně celulitidy</w:t>
      </w:r>
      <w:r w:rsidR="002378E0">
        <w:rPr>
          <w:bCs/>
          <w:szCs w:val="22"/>
        </w:rPr>
        <w:t xml:space="preserve"> a </w:t>
      </w:r>
      <w:r w:rsidRPr="001B4A02">
        <w:rPr>
          <w:bCs/>
          <w:szCs w:val="22"/>
        </w:rPr>
        <w:t>pásového oparu)</w:t>
      </w:r>
    </w:p>
    <w:p w14:paraId="73717D0D" w14:textId="77777777" w:rsidR="00D80CCA" w:rsidRPr="001B4A02" w:rsidRDefault="00000000" w:rsidP="00D80CCA">
      <w:pPr>
        <w:numPr>
          <w:ilvl w:val="0"/>
          <w:numId w:val="17"/>
        </w:numPr>
        <w:tabs>
          <w:tab w:val="clear" w:pos="720"/>
        </w:tabs>
        <w:ind w:left="567" w:hanging="567"/>
      </w:pPr>
      <w:r w:rsidRPr="001B4A02">
        <w:t>ušní infekce</w:t>
      </w:r>
    </w:p>
    <w:p w14:paraId="63D75C73" w14:textId="77777777" w:rsidR="00D80CCA" w:rsidRPr="001B4A02" w:rsidRDefault="00000000" w:rsidP="00D80CCA">
      <w:pPr>
        <w:numPr>
          <w:ilvl w:val="0"/>
          <w:numId w:val="17"/>
        </w:numPr>
        <w:tabs>
          <w:tab w:val="clear" w:pos="720"/>
        </w:tabs>
        <w:ind w:left="567" w:hanging="567"/>
      </w:pPr>
      <w:r w:rsidRPr="001B4A02">
        <w:rPr>
          <w:bCs/>
          <w:szCs w:val="22"/>
        </w:rPr>
        <w:t>infekce v ústech (včetně zubních infekcí</w:t>
      </w:r>
      <w:r w:rsidR="002378E0">
        <w:rPr>
          <w:bCs/>
          <w:szCs w:val="22"/>
        </w:rPr>
        <w:t xml:space="preserve"> a </w:t>
      </w:r>
      <w:r w:rsidRPr="001B4A02">
        <w:rPr>
          <w:bCs/>
          <w:szCs w:val="22"/>
        </w:rPr>
        <w:t>oparu na rtu)</w:t>
      </w:r>
    </w:p>
    <w:p w14:paraId="58028403" w14:textId="77777777" w:rsidR="00D80CCA" w:rsidRPr="001B4A02" w:rsidRDefault="00000000" w:rsidP="00D80CCA">
      <w:pPr>
        <w:numPr>
          <w:ilvl w:val="0"/>
          <w:numId w:val="17"/>
        </w:numPr>
        <w:tabs>
          <w:tab w:val="clear" w:pos="720"/>
        </w:tabs>
        <w:ind w:left="567" w:hanging="567"/>
      </w:pPr>
      <w:r w:rsidRPr="001B4A02">
        <w:rPr>
          <w:bCs/>
          <w:szCs w:val="22"/>
        </w:rPr>
        <w:t>infekce pohlavních orgánů</w:t>
      </w:r>
    </w:p>
    <w:p w14:paraId="738F57EE" w14:textId="77777777" w:rsidR="00D80CCA" w:rsidRPr="001B4A02" w:rsidRDefault="00000000" w:rsidP="00D80CCA">
      <w:pPr>
        <w:numPr>
          <w:ilvl w:val="2"/>
          <w:numId w:val="17"/>
        </w:numPr>
        <w:tabs>
          <w:tab w:val="clear" w:pos="2160"/>
        </w:tabs>
        <w:ind w:left="567" w:hanging="567"/>
        <w:rPr>
          <w:shd w:val="clear" w:color="auto" w:fill="FFFF00"/>
        </w:rPr>
      </w:pPr>
      <w:r w:rsidRPr="001B4A02">
        <w:t>záněty močových cest</w:t>
      </w:r>
      <w:r w:rsidRPr="001B4A02">
        <w:rPr>
          <w:shd w:val="clear" w:color="auto" w:fill="FFFF00"/>
        </w:rPr>
        <w:t xml:space="preserve"> </w:t>
      </w:r>
    </w:p>
    <w:p w14:paraId="5D2D346E" w14:textId="77777777" w:rsidR="00D80CCA" w:rsidRPr="001B4A02" w:rsidRDefault="00000000" w:rsidP="00D80CCA">
      <w:pPr>
        <w:numPr>
          <w:ilvl w:val="0"/>
          <w:numId w:val="48"/>
        </w:numPr>
        <w:tabs>
          <w:tab w:val="clear" w:pos="720"/>
        </w:tabs>
        <w:ind w:left="567" w:hanging="567"/>
        <w:rPr>
          <w:shd w:val="clear" w:color="auto" w:fill="FFFF00"/>
        </w:rPr>
      </w:pPr>
      <w:r w:rsidRPr="001B4A02">
        <w:t>plísňové infekce</w:t>
      </w:r>
    </w:p>
    <w:p w14:paraId="2A413A40" w14:textId="77777777" w:rsidR="00D80CCA" w:rsidRPr="001B4A02" w:rsidRDefault="00000000" w:rsidP="00D80CCA">
      <w:pPr>
        <w:numPr>
          <w:ilvl w:val="0"/>
          <w:numId w:val="48"/>
        </w:numPr>
        <w:tabs>
          <w:tab w:val="clear" w:pos="720"/>
        </w:tabs>
        <w:ind w:left="567" w:hanging="567"/>
        <w:rPr>
          <w:shd w:val="clear" w:color="auto" w:fill="FFFF00"/>
        </w:rPr>
      </w:pPr>
      <w:r w:rsidRPr="001B4A02">
        <w:t>záněty kloubů</w:t>
      </w:r>
    </w:p>
    <w:p w14:paraId="23647E5F" w14:textId="77777777" w:rsidR="00D80CCA" w:rsidRPr="001B4A02" w:rsidRDefault="00000000" w:rsidP="00D80CCA">
      <w:pPr>
        <w:numPr>
          <w:ilvl w:val="0"/>
          <w:numId w:val="48"/>
        </w:numPr>
        <w:tabs>
          <w:tab w:val="clear" w:pos="720"/>
        </w:tabs>
        <w:ind w:left="567" w:hanging="567"/>
        <w:rPr>
          <w:shd w:val="clear" w:color="auto" w:fill="FFFF00"/>
        </w:rPr>
      </w:pPr>
      <w:r w:rsidRPr="001B4A02">
        <w:t>nezhoubné nádory</w:t>
      </w:r>
    </w:p>
    <w:p w14:paraId="6150C32C" w14:textId="77777777" w:rsidR="00D80CCA" w:rsidRPr="001B4A02" w:rsidRDefault="00000000" w:rsidP="00D80CCA">
      <w:pPr>
        <w:numPr>
          <w:ilvl w:val="0"/>
          <w:numId w:val="48"/>
        </w:numPr>
        <w:tabs>
          <w:tab w:val="clear" w:pos="720"/>
        </w:tabs>
        <w:ind w:left="567" w:hanging="567"/>
        <w:rPr>
          <w:shd w:val="clear" w:color="auto" w:fill="FFFF00"/>
        </w:rPr>
      </w:pPr>
      <w:r w:rsidRPr="001B4A02">
        <w:t>rakovina kůže</w:t>
      </w:r>
    </w:p>
    <w:p w14:paraId="725C65D1" w14:textId="77777777" w:rsidR="00D80CCA" w:rsidRPr="001B4A02" w:rsidRDefault="00000000" w:rsidP="00D80CCA">
      <w:pPr>
        <w:numPr>
          <w:ilvl w:val="0"/>
          <w:numId w:val="48"/>
        </w:numPr>
        <w:tabs>
          <w:tab w:val="clear" w:pos="720"/>
        </w:tabs>
        <w:ind w:left="567" w:hanging="567"/>
        <w:rPr>
          <w:shd w:val="clear" w:color="auto" w:fill="FFFF00"/>
        </w:rPr>
      </w:pPr>
      <w:r w:rsidRPr="001B4A02">
        <w:t>alergické reakce (včetně sezónní alergie)</w:t>
      </w:r>
    </w:p>
    <w:p w14:paraId="5DBB0646" w14:textId="77777777" w:rsidR="00D80CCA" w:rsidRPr="001B4A02" w:rsidRDefault="00000000" w:rsidP="00D80CCA">
      <w:pPr>
        <w:numPr>
          <w:ilvl w:val="0"/>
          <w:numId w:val="48"/>
        </w:numPr>
        <w:tabs>
          <w:tab w:val="clear" w:pos="720"/>
        </w:tabs>
        <w:ind w:left="567" w:hanging="567"/>
        <w:rPr>
          <w:shd w:val="clear" w:color="auto" w:fill="FFFF00"/>
        </w:rPr>
      </w:pPr>
      <w:r w:rsidRPr="001B4A02">
        <w:t>dehydratace</w:t>
      </w:r>
    </w:p>
    <w:p w14:paraId="6AEC954D" w14:textId="77777777" w:rsidR="00D80CCA" w:rsidRPr="001B4A02" w:rsidRDefault="00000000" w:rsidP="00D80CCA">
      <w:pPr>
        <w:numPr>
          <w:ilvl w:val="0"/>
          <w:numId w:val="48"/>
        </w:numPr>
        <w:tabs>
          <w:tab w:val="clear" w:pos="720"/>
        </w:tabs>
        <w:ind w:left="567" w:hanging="567"/>
        <w:rPr>
          <w:shd w:val="clear" w:color="auto" w:fill="FFFF00"/>
        </w:rPr>
      </w:pPr>
      <w:r w:rsidRPr="001B4A02">
        <w:t>změny nálad (včetně deprese)</w:t>
      </w:r>
    </w:p>
    <w:p w14:paraId="11289E11" w14:textId="77777777" w:rsidR="00D80CCA" w:rsidRPr="001B4A02" w:rsidRDefault="00000000" w:rsidP="00D80CCA">
      <w:pPr>
        <w:numPr>
          <w:ilvl w:val="0"/>
          <w:numId w:val="48"/>
        </w:numPr>
        <w:tabs>
          <w:tab w:val="clear" w:pos="720"/>
        </w:tabs>
        <w:ind w:left="567" w:hanging="567"/>
        <w:rPr>
          <w:shd w:val="clear" w:color="auto" w:fill="FFFF00"/>
        </w:rPr>
      </w:pPr>
      <w:r w:rsidRPr="001B4A02">
        <w:t>úzkost</w:t>
      </w:r>
    </w:p>
    <w:p w14:paraId="5E44A5A6" w14:textId="77777777" w:rsidR="00D80CCA" w:rsidRPr="001B4A02" w:rsidRDefault="00000000" w:rsidP="00D80CCA">
      <w:pPr>
        <w:numPr>
          <w:ilvl w:val="0"/>
          <w:numId w:val="48"/>
        </w:numPr>
        <w:tabs>
          <w:tab w:val="clear" w:pos="720"/>
        </w:tabs>
        <w:ind w:left="567" w:hanging="567"/>
        <w:rPr>
          <w:shd w:val="clear" w:color="auto" w:fill="FFFF00"/>
        </w:rPr>
      </w:pPr>
      <w:r w:rsidRPr="001B4A02">
        <w:t>obtížné usínání</w:t>
      </w:r>
    </w:p>
    <w:p w14:paraId="0A93C958" w14:textId="77777777" w:rsidR="00D80CCA" w:rsidRPr="001B4A02" w:rsidRDefault="00000000" w:rsidP="00D80CCA">
      <w:pPr>
        <w:numPr>
          <w:ilvl w:val="0"/>
          <w:numId w:val="48"/>
        </w:numPr>
        <w:tabs>
          <w:tab w:val="clear" w:pos="720"/>
        </w:tabs>
        <w:ind w:left="567" w:hanging="567"/>
        <w:rPr>
          <w:shd w:val="clear" w:color="auto" w:fill="FFFF00"/>
        </w:rPr>
      </w:pPr>
      <w:r w:rsidRPr="001B4A02">
        <w:t>poruchy pocitového vnímání, jako je brnění, svědění nebo znecitlivění</w:t>
      </w:r>
    </w:p>
    <w:p w14:paraId="629FE7FE" w14:textId="77777777" w:rsidR="00D80CCA" w:rsidRPr="001B4A02" w:rsidRDefault="00000000" w:rsidP="00D80CCA">
      <w:pPr>
        <w:numPr>
          <w:ilvl w:val="0"/>
          <w:numId w:val="48"/>
        </w:numPr>
        <w:tabs>
          <w:tab w:val="clear" w:pos="720"/>
        </w:tabs>
        <w:ind w:left="567" w:hanging="567"/>
        <w:rPr>
          <w:shd w:val="clear" w:color="auto" w:fill="FFFF00"/>
        </w:rPr>
      </w:pPr>
      <w:r w:rsidRPr="001B4A02">
        <w:t>migréna</w:t>
      </w:r>
    </w:p>
    <w:p w14:paraId="2B93EFDD" w14:textId="77777777" w:rsidR="00D80CCA" w:rsidRPr="001B4A02" w:rsidRDefault="00000000" w:rsidP="00D80CCA">
      <w:pPr>
        <w:numPr>
          <w:ilvl w:val="0"/>
          <w:numId w:val="48"/>
        </w:numPr>
        <w:tabs>
          <w:tab w:val="clear" w:pos="720"/>
        </w:tabs>
        <w:ind w:left="567" w:hanging="567"/>
        <w:rPr>
          <w:shd w:val="clear" w:color="auto" w:fill="FFFF00"/>
        </w:rPr>
      </w:pPr>
      <w:r w:rsidRPr="001B4A02">
        <w:t>útlak nervových kořenů (včetně bolesti v bedrech</w:t>
      </w:r>
      <w:r w:rsidR="002378E0">
        <w:t xml:space="preserve"> a </w:t>
      </w:r>
      <w:r w:rsidRPr="001B4A02">
        <w:t>bolesti dolních končetin)</w:t>
      </w:r>
    </w:p>
    <w:p w14:paraId="6565BD09" w14:textId="77777777" w:rsidR="00D80CCA" w:rsidRPr="001B4A02" w:rsidRDefault="00000000" w:rsidP="00D80CCA">
      <w:pPr>
        <w:numPr>
          <w:ilvl w:val="0"/>
          <w:numId w:val="48"/>
        </w:numPr>
        <w:tabs>
          <w:tab w:val="clear" w:pos="720"/>
        </w:tabs>
        <w:ind w:left="567" w:hanging="567"/>
        <w:rPr>
          <w:shd w:val="clear" w:color="auto" w:fill="FFFF00"/>
        </w:rPr>
      </w:pPr>
      <w:r w:rsidRPr="001B4A02">
        <w:t>poruchy zraku</w:t>
      </w:r>
    </w:p>
    <w:p w14:paraId="0B11F49D" w14:textId="77777777" w:rsidR="00D80CCA" w:rsidRPr="001B4A02" w:rsidRDefault="00000000" w:rsidP="00D80CCA">
      <w:pPr>
        <w:numPr>
          <w:ilvl w:val="0"/>
          <w:numId w:val="48"/>
        </w:numPr>
        <w:tabs>
          <w:tab w:val="clear" w:pos="720"/>
        </w:tabs>
        <w:ind w:left="567" w:hanging="567"/>
        <w:rPr>
          <w:shd w:val="clear" w:color="auto" w:fill="FFFF00"/>
        </w:rPr>
      </w:pPr>
      <w:r w:rsidRPr="001B4A02">
        <w:t>oční infekce</w:t>
      </w:r>
    </w:p>
    <w:p w14:paraId="4AE1E58E" w14:textId="77777777" w:rsidR="00D80CCA" w:rsidRPr="001B4A02" w:rsidRDefault="00000000" w:rsidP="00D80CCA">
      <w:pPr>
        <w:numPr>
          <w:ilvl w:val="0"/>
          <w:numId w:val="48"/>
        </w:numPr>
        <w:tabs>
          <w:tab w:val="clear" w:pos="720"/>
        </w:tabs>
        <w:ind w:left="567" w:hanging="567"/>
        <w:rPr>
          <w:shd w:val="clear" w:color="auto" w:fill="FFFF00"/>
        </w:rPr>
      </w:pPr>
      <w:r w:rsidRPr="001B4A02">
        <w:t>záněty očního víčka</w:t>
      </w:r>
      <w:r w:rsidR="002378E0">
        <w:t xml:space="preserve"> a </w:t>
      </w:r>
      <w:r w:rsidRPr="001B4A02">
        <w:t>otoky oka</w:t>
      </w:r>
    </w:p>
    <w:p w14:paraId="57304D1B" w14:textId="77777777" w:rsidR="00D80CCA" w:rsidRPr="001B4A02" w:rsidRDefault="00000000" w:rsidP="00D80CCA">
      <w:pPr>
        <w:pStyle w:val="EMEANormal"/>
        <w:numPr>
          <w:ilvl w:val="2"/>
          <w:numId w:val="17"/>
        </w:numPr>
        <w:tabs>
          <w:tab w:val="clear" w:pos="562"/>
          <w:tab w:val="clear" w:pos="2160"/>
        </w:tabs>
        <w:suppressAutoHyphens w:val="0"/>
        <w:ind w:left="567" w:hanging="567"/>
        <w:rPr>
          <w:lang w:val="cs-CZ"/>
        </w:rPr>
      </w:pPr>
      <w:r w:rsidRPr="001B4A02">
        <w:rPr>
          <w:lang w:val="cs-CZ"/>
        </w:rPr>
        <w:t>vertigo (závrať nebo točení hlavy)</w:t>
      </w:r>
    </w:p>
    <w:p w14:paraId="730ADA73" w14:textId="77777777" w:rsidR="00D80CCA" w:rsidRPr="001B4A02" w:rsidRDefault="00000000" w:rsidP="00D80CCA">
      <w:pPr>
        <w:pStyle w:val="EMEANormal"/>
        <w:numPr>
          <w:ilvl w:val="0"/>
          <w:numId w:val="17"/>
        </w:numPr>
        <w:tabs>
          <w:tab w:val="clear" w:pos="562"/>
          <w:tab w:val="clear" w:pos="720"/>
        </w:tabs>
        <w:suppressAutoHyphens w:val="0"/>
        <w:ind w:left="567" w:hanging="567"/>
        <w:rPr>
          <w:lang w:val="cs-CZ"/>
        </w:rPr>
      </w:pPr>
      <w:r w:rsidRPr="001B4A02">
        <w:rPr>
          <w:lang w:val="cs-CZ"/>
        </w:rPr>
        <w:t>pocity rychlého bušení srdce</w:t>
      </w:r>
    </w:p>
    <w:p w14:paraId="026B5F39" w14:textId="77777777" w:rsidR="00D80CCA" w:rsidRPr="001B4A02" w:rsidRDefault="00000000" w:rsidP="00D80CCA">
      <w:pPr>
        <w:pStyle w:val="EMEANormal"/>
        <w:numPr>
          <w:ilvl w:val="0"/>
          <w:numId w:val="17"/>
        </w:numPr>
        <w:tabs>
          <w:tab w:val="clear" w:pos="562"/>
          <w:tab w:val="clear" w:pos="720"/>
        </w:tabs>
        <w:suppressAutoHyphens w:val="0"/>
        <w:ind w:left="567" w:hanging="567"/>
        <w:rPr>
          <w:lang w:val="cs-CZ"/>
        </w:rPr>
      </w:pPr>
      <w:r w:rsidRPr="001B4A02">
        <w:rPr>
          <w:lang w:val="cs-CZ"/>
        </w:rPr>
        <w:t>vysoký krevní tlak</w:t>
      </w:r>
    </w:p>
    <w:p w14:paraId="6C30C17B" w14:textId="77777777" w:rsidR="00D80CCA" w:rsidRPr="001B4A02" w:rsidRDefault="00000000" w:rsidP="00D80CCA">
      <w:pPr>
        <w:pStyle w:val="EMEANormal"/>
        <w:numPr>
          <w:ilvl w:val="0"/>
          <w:numId w:val="17"/>
        </w:numPr>
        <w:tabs>
          <w:tab w:val="clear" w:pos="562"/>
          <w:tab w:val="clear" w:pos="720"/>
        </w:tabs>
        <w:suppressAutoHyphens w:val="0"/>
        <w:ind w:left="567" w:hanging="567"/>
        <w:rPr>
          <w:lang w:val="cs-CZ"/>
        </w:rPr>
      </w:pPr>
      <w:r w:rsidRPr="001B4A02">
        <w:rPr>
          <w:lang w:val="cs-CZ"/>
        </w:rPr>
        <w:t>návaly hork</w:t>
      </w:r>
      <w:r w:rsidR="006D39E6">
        <w:rPr>
          <w:lang w:val="cs-CZ"/>
        </w:rPr>
        <w:t>a</w:t>
      </w:r>
    </w:p>
    <w:p w14:paraId="257B793C" w14:textId="77777777" w:rsidR="00D80CCA" w:rsidRPr="001B4A02" w:rsidRDefault="00000000" w:rsidP="00D80CCA">
      <w:pPr>
        <w:pStyle w:val="EMEANormal"/>
        <w:numPr>
          <w:ilvl w:val="0"/>
          <w:numId w:val="17"/>
        </w:numPr>
        <w:tabs>
          <w:tab w:val="clear" w:pos="562"/>
          <w:tab w:val="clear" w:pos="720"/>
        </w:tabs>
        <w:suppressAutoHyphens w:val="0"/>
        <w:ind w:left="567" w:hanging="567"/>
        <w:rPr>
          <w:lang w:val="cs-CZ"/>
        </w:rPr>
      </w:pPr>
      <w:r w:rsidRPr="001B4A02">
        <w:rPr>
          <w:lang w:val="cs-CZ"/>
        </w:rPr>
        <w:t>krevní podlitiny (nahromadění krve mimo cévy</w:t>
      </w:r>
      <w:r w:rsidR="007D4850">
        <w:rPr>
          <w:lang w:val="cs-CZ"/>
        </w:rPr>
        <w:t>)</w:t>
      </w:r>
    </w:p>
    <w:p w14:paraId="0CE6AC6C" w14:textId="77777777" w:rsidR="00D80CCA" w:rsidRPr="001B4A02" w:rsidRDefault="00000000" w:rsidP="00D80CCA">
      <w:pPr>
        <w:pStyle w:val="EMEANormal"/>
        <w:numPr>
          <w:ilvl w:val="2"/>
          <w:numId w:val="17"/>
        </w:numPr>
        <w:tabs>
          <w:tab w:val="clear" w:pos="562"/>
          <w:tab w:val="clear" w:pos="2160"/>
        </w:tabs>
        <w:suppressAutoHyphens w:val="0"/>
        <w:ind w:left="567" w:hanging="567"/>
        <w:rPr>
          <w:lang w:val="cs-CZ"/>
        </w:rPr>
      </w:pPr>
      <w:r w:rsidRPr="001B4A02">
        <w:rPr>
          <w:lang w:val="cs-CZ"/>
        </w:rPr>
        <w:t>kašel</w:t>
      </w:r>
    </w:p>
    <w:p w14:paraId="08715280" w14:textId="77777777" w:rsidR="00D80CCA" w:rsidRPr="001B4A02" w:rsidRDefault="00000000" w:rsidP="00D80CCA">
      <w:pPr>
        <w:pStyle w:val="EMEANormal"/>
        <w:numPr>
          <w:ilvl w:val="0"/>
          <w:numId w:val="17"/>
        </w:numPr>
        <w:tabs>
          <w:tab w:val="clear" w:pos="562"/>
          <w:tab w:val="clear" w:pos="720"/>
        </w:tabs>
        <w:suppressAutoHyphens w:val="0"/>
        <w:ind w:left="567" w:hanging="567"/>
        <w:rPr>
          <w:lang w:val="cs-CZ"/>
        </w:rPr>
      </w:pPr>
      <w:r w:rsidRPr="001B4A02">
        <w:rPr>
          <w:lang w:val="cs-CZ"/>
        </w:rPr>
        <w:t>astma</w:t>
      </w:r>
    </w:p>
    <w:p w14:paraId="7E76B2DE" w14:textId="77777777" w:rsidR="00D80CCA" w:rsidRPr="001B4A02" w:rsidRDefault="00000000" w:rsidP="00D80CCA">
      <w:pPr>
        <w:pStyle w:val="EMEANormal"/>
        <w:numPr>
          <w:ilvl w:val="0"/>
          <w:numId w:val="17"/>
        </w:numPr>
        <w:tabs>
          <w:tab w:val="clear" w:pos="562"/>
          <w:tab w:val="clear" w:pos="720"/>
        </w:tabs>
        <w:suppressAutoHyphens w:val="0"/>
        <w:ind w:left="567" w:hanging="567"/>
        <w:rPr>
          <w:lang w:val="cs-CZ"/>
        </w:rPr>
      </w:pPr>
      <w:r w:rsidRPr="001B4A02">
        <w:rPr>
          <w:lang w:val="cs-CZ"/>
        </w:rPr>
        <w:t>zkrácení dechu</w:t>
      </w:r>
    </w:p>
    <w:p w14:paraId="2AB8DB99" w14:textId="77777777" w:rsidR="00D80CCA" w:rsidRPr="001B4A02" w:rsidRDefault="00000000" w:rsidP="00D80CCA">
      <w:pPr>
        <w:pStyle w:val="EMEANormal"/>
        <w:numPr>
          <w:ilvl w:val="0"/>
          <w:numId w:val="17"/>
        </w:numPr>
        <w:tabs>
          <w:tab w:val="clear" w:pos="562"/>
          <w:tab w:val="clear" w:pos="720"/>
        </w:tabs>
        <w:suppressAutoHyphens w:val="0"/>
        <w:ind w:left="567" w:hanging="567"/>
        <w:rPr>
          <w:lang w:val="cs-CZ"/>
        </w:rPr>
      </w:pPr>
      <w:r w:rsidRPr="001B4A02">
        <w:rPr>
          <w:lang w:val="cs-CZ"/>
        </w:rPr>
        <w:t>krvácení ze zažívacího ústrojí</w:t>
      </w:r>
    </w:p>
    <w:p w14:paraId="10CD3442" w14:textId="77777777" w:rsidR="00D80CCA" w:rsidRPr="001B4A02" w:rsidRDefault="00000000" w:rsidP="00D80CCA">
      <w:pPr>
        <w:pStyle w:val="EMEANormal"/>
        <w:numPr>
          <w:ilvl w:val="0"/>
          <w:numId w:val="17"/>
        </w:numPr>
        <w:tabs>
          <w:tab w:val="clear" w:pos="562"/>
          <w:tab w:val="clear" w:pos="720"/>
        </w:tabs>
        <w:suppressAutoHyphens w:val="0"/>
        <w:ind w:left="567" w:hanging="567"/>
        <w:rPr>
          <w:lang w:val="cs-CZ"/>
        </w:rPr>
      </w:pPr>
      <w:r w:rsidRPr="001B4A02">
        <w:rPr>
          <w:lang w:val="cs-CZ"/>
        </w:rPr>
        <w:t>zažívací obtíže (poruchy trávení, nadýmání, pálení žáhy)</w:t>
      </w:r>
    </w:p>
    <w:p w14:paraId="2B5A79E1" w14:textId="77777777" w:rsidR="00D80CCA" w:rsidRPr="001B4A02" w:rsidRDefault="00000000" w:rsidP="00D80CCA">
      <w:pPr>
        <w:pStyle w:val="EMEANormal"/>
        <w:numPr>
          <w:ilvl w:val="0"/>
          <w:numId w:val="17"/>
        </w:numPr>
        <w:tabs>
          <w:tab w:val="clear" w:pos="562"/>
          <w:tab w:val="clear" w:pos="720"/>
        </w:tabs>
        <w:suppressAutoHyphens w:val="0"/>
        <w:ind w:left="567" w:hanging="567"/>
        <w:rPr>
          <w:lang w:val="cs-CZ"/>
        </w:rPr>
      </w:pPr>
      <w:r w:rsidRPr="001B4A02">
        <w:rPr>
          <w:lang w:val="cs-CZ"/>
        </w:rPr>
        <w:t>refluxní choroba jícnu</w:t>
      </w:r>
    </w:p>
    <w:p w14:paraId="49028587" w14:textId="77777777" w:rsidR="00D80CCA" w:rsidRPr="001B4A02" w:rsidRDefault="00000000" w:rsidP="00D80CCA">
      <w:pPr>
        <w:pStyle w:val="EMEANormal"/>
        <w:numPr>
          <w:ilvl w:val="0"/>
          <w:numId w:val="17"/>
        </w:numPr>
        <w:tabs>
          <w:tab w:val="clear" w:pos="562"/>
          <w:tab w:val="clear" w:pos="720"/>
        </w:tabs>
        <w:suppressAutoHyphens w:val="0"/>
        <w:ind w:left="567" w:hanging="567"/>
        <w:rPr>
          <w:lang w:val="cs-CZ"/>
        </w:rPr>
      </w:pPr>
      <w:r w:rsidRPr="001B4A02">
        <w:rPr>
          <w:lang w:val="cs-CZ"/>
        </w:rPr>
        <w:t>sicca syndrom (včetně suchých očí</w:t>
      </w:r>
      <w:r w:rsidR="002378E0">
        <w:rPr>
          <w:lang w:val="cs-CZ"/>
        </w:rPr>
        <w:t xml:space="preserve"> a </w:t>
      </w:r>
      <w:r w:rsidRPr="001B4A02">
        <w:rPr>
          <w:lang w:val="cs-CZ"/>
        </w:rPr>
        <w:t>suchosti v ústech)</w:t>
      </w:r>
    </w:p>
    <w:p w14:paraId="00C96F41" w14:textId="77777777" w:rsidR="00D80CCA" w:rsidRPr="001B4A02" w:rsidRDefault="00000000" w:rsidP="00D80CCA">
      <w:pPr>
        <w:pStyle w:val="EMEANormal"/>
        <w:numPr>
          <w:ilvl w:val="2"/>
          <w:numId w:val="17"/>
        </w:numPr>
        <w:tabs>
          <w:tab w:val="clear" w:pos="562"/>
          <w:tab w:val="clear" w:pos="2160"/>
        </w:tabs>
        <w:suppressAutoHyphens w:val="0"/>
        <w:ind w:left="567" w:hanging="567"/>
        <w:rPr>
          <w:shd w:val="clear" w:color="auto" w:fill="FFFF00"/>
          <w:lang w:val="cs-CZ"/>
        </w:rPr>
      </w:pPr>
      <w:r w:rsidRPr="001B4A02">
        <w:rPr>
          <w:lang w:val="cs-CZ"/>
        </w:rPr>
        <w:t>svědění</w:t>
      </w:r>
    </w:p>
    <w:p w14:paraId="4ABDB09B" w14:textId="77777777" w:rsidR="00D80CCA" w:rsidRPr="001B4A02" w:rsidRDefault="00000000" w:rsidP="00D80CCA">
      <w:pPr>
        <w:pStyle w:val="EMEANormal"/>
        <w:numPr>
          <w:ilvl w:val="0"/>
          <w:numId w:val="17"/>
        </w:numPr>
        <w:tabs>
          <w:tab w:val="clear" w:pos="562"/>
          <w:tab w:val="clear" w:pos="720"/>
        </w:tabs>
        <w:suppressAutoHyphens w:val="0"/>
        <w:ind w:left="567" w:hanging="567"/>
        <w:rPr>
          <w:shd w:val="clear" w:color="auto" w:fill="FFFF00"/>
          <w:lang w:val="cs-CZ"/>
        </w:rPr>
      </w:pPr>
      <w:r w:rsidRPr="001B4A02">
        <w:rPr>
          <w:lang w:val="cs-CZ"/>
        </w:rPr>
        <w:t>svědivá vyrážka</w:t>
      </w:r>
    </w:p>
    <w:p w14:paraId="6A2D19A7" w14:textId="77777777" w:rsidR="00D80CCA" w:rsidRPr="001B4A02" w:rsidRDefault="00000000" w:rsidP="00D80CCA">
      <w:pPr>
        <w:pStyle w:val="EMEANormal"/>
        <w:numPr>
          <w:ilvl w:val="0"/>
          <w:numId w:val="17"/>
        </w:numPr>
        <w:tabs>
          <w:tab w:val="clear" w:pos="562"/>
          <w:tab w:val="clear" w:pos="720"/>
        </w:tabs>
        <w:suppressAutoHyphens w:val="0"/>
        <w:ind w:left="567" w:hanging="567"/>
        <w:rPr>
          <w:shd w:val="clear" w:color="auto" w:fill="FFFF00"/>
          <w:lang w:val="cs-CZ"/>
        </w:rPr>
      </w:pPr>
      <w:r w:rsidRPr="001B4A02">
        <w:rPr>
          <w:lang w:val="cs-CZ"/>
        </w:rPr>
        <w:t>tvorba modřin</w:t>
      </w:r>
    </w:p>
    <w:p w14:paraId="5F3DFDD3" w14:textId="77777777" w:rsidR="00D80CCA" w:rsidRPr="001B4A02" w:rsidRDefault="00000000" w:rsidP="00D80CCA">
      <w:pPr>
        <w:pStyle w:val="EMEANormal"/>
        <w:numPr>
          <w:ilvl w:val="0"/>
          <w:numId w:val="17"/>
        </w:numPr>
        <w:tabs>
          <w:tab w:val="clear" w:pos="562"/>
          <w:tab w:val="clear" w:pos="720"/>
        </w:tabs>
        <w:suppressAutoHyphens w:val="0"/>
        <w:ind w:left="567" w:hanging="567"/>
        <w:rPr>
          <w:shd w:val="clear" w:color="auto" w:fill="FFFF00"/>
          <w:lang w:val="cs-CZ"/>
        </w:rPr>
      </w:pPr>
      <w:r w:rsidRPr="001B4A02">
        <w:rPr>
          <w:lang w:val="cs-CZ"/>
        </w:rPr>
        <w:t>záněty kůže (jako je ekzém)</w:t>
      </w:r>
    </w:p>
    <w:p w14:paraId="683F5F8B" w14:textId="77777777" w:rsidR="00D80CCA" w:rsidRPr="001B4A02" w:rsidRDefault="00000000" w:rsidP="00D80CCA">
      <w:pPr>
        <w:pStyle w:val="EMEANormal"/>
        <w:numPr>
          <w:ilvl w:val="0"/>
          <w:numId w:val="17"/>
        </w:numPr>
        <w:tabs>
          <w:tab w:val="clear" w:pos="562"/>
          <w:tab w:val="clear" w:pos="720"/>
        </w:tabs>
        <w:suppressAutoHyphens w:val="0"/>
        <w:ind w:left="567" w:hanging="567"/>
        <w:rPr>
          <w:shd w:val="clear" w:color="auto" w:fill="FFFF00"/>
          <w:lang w:val="cs-CZ"/>
        </w:rPr>
      </w:pPr>
      <w:r w:rsidRPr="001B4A02">
        <w:rPr>
          <w:lang w:val="cs-CZ"/>
        </w:rPr>
        <w:t>lámavost nehtů na prstech rukou</w:t>
      </w:r>
      <w:r w:rsidR="002378E0">
        <w:rPr>
          <w:lang w:val="cs-CZ"/>
        </w:rPr>
        <w:t xml:space="preserve"> a </w:t>
      </w:r>
      <w:r w:rsidRPr="001B4A02">
        <w:rPr>
          <w:lang w:val="cs-CZ"/>
        </w:rPr>
        <w:t>nohou</w:t>
      </w:r>
    </w:p>
    <w:p w14:paraId="624133CE" w14:textId="77777777" w:rsidR="00D80CCA" w:rsidRPr="001B4A02" w:rsidRDefault="00000000" w:rsidP="00D80CCA">
      <w:pPr>
        <w:pStyle w:val="EMEANormal"/>
        <w:numPr>
          <w:ilvl w:val="0"/>
          <w:numId w:val="17"/>
        </w:numPr>
        <w:tabs>
          <w:tab w:val="clear" w:pos="562"/>
          <w:tab w:val="clear" w:pos="720"/>
        </w:tabs>
        <w:suppressAutoHyphens w:val="0"/>
        <w:ind w:left="567" w:hanging="567"/>
        <w:rPr>
          <w:shd w:val="clear" w:color="auto" w:fill="FFFF00"/>
          <w:lang w:val="cs-CZ"/>
        </w:rPr>
      </w:pPr>
      <w:r w:rsidRPr="001B4A02">
        <w:rPr>
          <w:lang w:val="cs-CZ"/>
        </w:rPr>
        <w:t>zvýšené pocení</w:t>
      </w:r>
    </w:p>
    <w:p w14:paraId="7A6D5DA5" w14:textId="77777777" w:rsidR="00D80CCA" w:rsidRPr="001B4A02" w:rsidRDefault="00000000" w:rsidP="00D80CCA">
      <w:pPr>
        <w:pStyle w:val="EMEANormal"/>
        <w:numPr>
          <w:ilvl w:val="0"/>
          <w:numId w:val="17"/>
        </w:numPr>
        <w:tabs>
          <w:tab w:val="clear" w:pos="562"/>
          <w:tab w:val="clear" w:pos="720"/>
        </w:tabs>
        <w:suppressAutoHyphens w:val="0"/>
        <w:ind w:left="567" w:hanging="567"/>
        <w:rPr>
          <w:shd w:val="clear" w:color="auto" w:fill="FFFF00"/>
          <w:lang w:val="cs-CZ"/>
        </w:rPr>
      </w:pPr>
      <w:r w:rsidRPr="001B4A02">
        <w:rPr>
          <w:lang w:val="cs-CZ"/>
        </w:rPr>
        <w:t>vypadávání vlasů</w:t>
      </w:r>
    </w:p>
    <w:p w14:paraId="50AE6DCA" w14:textId="77777777" w:rsidR="00D80CCA" w:rsidRPr="001B4A02" w:rsidRDefault="00000000" w:rsidP="00D80CCA">
      <w:pPr>
        <w:pStyle w:val="EMEANormal"/>
        <w:numPr>
          <w:ilvl w:val="0"/>
          <w:numId w:val="17"/>
        </w:numPr>
        <w:tabs>
          <w:tab w:val="clear" w:pos="562"/>
          <w:tab w:val="clear" w:pos="720"/>
        </w:tabs>
        <w:suppressAutoHyphens w:val="0"/>
        <w:ind w:left="567" w:hanging="567"/>
        <w:rPr>
          <w:shd w:val="clear" w:color="auto" w:fill="FFFF00"/>
          <w:lang w:val="cs-CZ"/>
        </w:rPr>
      </w:pPr>
      <w:r w:rsidRPr="001B4A02">
        <w:rPr>
          <w:lang w:val="cs-CZ"/>
        </w:rPr>
        <w:t>nový vznik nebo zhoršení psoriázy (lupénky)</w:t>
      </w:r>
    </w:p>
    <w:p w14:paraId="4EB6B91F" w14:textId="77777777" w:rsidR="00D80CCA" w:rsidRPr="001B4A02" w:rsidRDefault="00000000" w:rsidP="00D80CCA">
      <w:pPr>
        <w:pStyle w:val="EMEANormal"/>
        <w:numPr>
          <w:ilvl w:val="0"/>
          <w:numId w:val="17"/>
        </w:numPr>
        <w:tabs>
          <w:tab w:val="clear" w:pos="562"/>
          <w:tab w:val="clear" w:pos="720"/>
        </w:tabs>
        <w:suppressAutoHyphens w:val="0"/>
        <w:ind w:left="567" w:hanging="567"/>
        <w:rPr>
          <w:shd w:val="clear" w:color="auto" w:fill="FFFF00"/>
          <w:lang w:val="cs-CZ"/>
        </w:rPr>
      </w:pPr>
      <w:r w:rsidRPr="001B4A02">
        <w:rPr>
          <w:lang w:val="cs-CZ"/>
        </w:rPr>
        <w:t>svalové křeče</w:t>
      </w:r>
    </w:p>
    <w:p w14:paraId="52E8B2D3" w14:textId="77777777" w:rsidR="00D80CCA" w:rsidRPr="001B4A02" w:rsidRDefault="00000000" w:rsidP="00D80CCA">
      <w:pPr>
        <w:pStyle w:val="EMEANormal"/>
        <w:numPr>
          <w:ilvl w:val="0"/>
          <w:numId w:val="17"/>
        </w:numPr>
        <w:tabs>
          <w:tab w:val="clear" w:pos="562"/>
          <w:tab w:val="clear" w:pos="720"/>
        </w:tabs>
        <w:suppressAutoHyphens w:val="0"/>
        <w:ind w:left="567" w:hanging="567"/>
        <w:rPr>
          <w:shd w:val="clear" w:color="auto" w:fill="FFFF00"/>
          <w:lang w:val="cs-CZ"/>
        </w:rPr>
      </w:pPr>
      <w:r w:rsidRPr="001B4A02">
        <w:rPr>
          <w:lang w:val="cs-CZ"/>
        </w:rPr>
        <w:t>krev v moči</w:t>
      </w:r>
    </w:p>
    <w:p w14:paraId="44213D51" w14:textId="77777777" w:rsidR="00D80CCA" w:rsidRPr="001B4A02" w:rsidRDefault="00000000" w:rsidP="00D80CCA">
      <w:pPr>
        <w:pStyle w:val="EMEANormal"/>
        <w:numPr>
          <w:ilvl w:val="0"/>
          <w:numId w:val="17"/>
        </w:numPr>
        <w:tabs>
          <w:tab w:val="clear" w:pos="562"/>
          <w:tab w:val="clear" w:pos="720"/>
        </w:tabs>
        <w:suppressAutoHyphens w:val="0"/>
        <w:ind w:left="567" w:hanging="567"/>
        <w:rPr>
          <w:shd w:val="clear" w:color="auto" w:fill="FFFF00"/>
          <w:lang w:val="cs-CZ"/>
        </w:rPr>
      </w:pPr>
      <w:r w:rsidRPr="001B4A02">
        <w:rPr>
          <w:lang w:val="cs-CZ"/>
        </w:rPr>
        <w:t>onemocnění ledvin</w:t>
      </w:r>
    </w:p>
    <w:p w14:paraId="4A3A1F25" w14:textId="77777777" w:rsidR="00D80CCA" w:rsidRPr="001B4A02" w:rsidRDefault="00000000" w:rsidP="00D80CCA">
      <w:pPr>
        <w:pStyle w:val="EMEANormal"/>
        <w:numPr>
          <w:ilvl w:val="0"/>
          <w:numId w:val="17"/>
        </w:numPr>
        <w:tabs>
          <w:tab w:val="clear" w:pos="562"/>
          <w:tab w:val="clear" w:pos="720"/>
        </w:tabs>
        <w:suppressAutoHyphens w:val="0"/>
        <w:ind w:left="567" w:hanging="567"/>
        <w:rPr>
          <w:shd w:val="clear" w:color="auto" w:fill="FFFF00"/>
          <w:lang w:val="cs-CZ"/>
        </w:rPr>
      </w:pPr>
      <w:r w:rsidRPr="001B4A02">
        <w:rPr>
          <w:lang w:val="cs-CZ"/>
        </w:rPr>
        <w:t>bolest na hrudi</w:t>
      </w:r>
    </w:p>
    <w:p w14:paraId="32C9BCA9" w14:textId="77777777" w:rsidR="00D80CCA" w:rsidRPr="001B4A02" w:rsidRDefault="00000000" w:rsidP="00D80CCA">
      <w:pPr>
        <w:pStyle w:val="EMEANormal"/>
        <w:numPr>
          <w:ilvl w:val="0"/>
          <w:numId w:val="17"/>
        </w:numPr>
        <w:tabs>
          <w:tab w:val="clear" w:pos="562"/>
          <w:tab w:val="clear" w:pos="720"/>
        </w:tabs>
        <w:suppressAutoHyphens w:val="0"/>
        <w:ind w:left="567" w:hanging="567"/>
        <w:rPr>
          <w:shd w:val="clear" w:color="auto" w:fill="FFFF00"/>
          <w:lang w:val="cs-CZ"/>
        </w:rPr>
      </w:pPr>
      <w:r w:rsidRPr="001B4A02">
        <w:rPr>
          <w:lang w:val="cs-CZ"/>
        </w:rPr>
        <w:t>edém (otok)</w:t>
      </w:r>
    </w:p>
    <w:p w14:paraId="005780A8" w14:textId="77777777" w:rsidR="00D80CCA" w:rsidRPr="001B4A02" w:rsidRDefault="00000000" w:rsidP="00D80CCA">
      <w:pPr>
        <w:pStyle w:val="EMEANormal"/>
        <w:numPr>
          <w:ilvl w:val="0"/>
          <w:numId w:val="17"/>
        </w:numPr>
        <w:tabs>
          <w:tab w:val="clear" w:pos="562"/>
          <w:tab w:val="clear" w:pos="720"/>
        </w:tabs>
        <w:suppressAutoHyphens w:val="0"/>
        <w:ind w:left="567" w:hanging="567"/>
        <w:rPr>
          <w:shd w:val="clear" w:color="auto" w:fill="FFFF00"/>
          <w:lang w:val="cs-CZ"/>
        </w:rPr>
      </w:pPr>
      <w:r w:rsidRPr="001B4A02">
        <w:rPr>
          <w:lang w:val="cs-CZ"/>
        </w:rPr>
        <w:t>horečka</w:t>
      </w:r>
    </w:p>
    <w:p w14:paraId="37EF57AB" w14:textId="77777777" w:rsidR="00D80CCA" w:rsidRPr="001B4A02" w:rsidRDefault="00000000" w:rsidP="00D80CCA">
      <w:pPr>
        <w:pStyle w:val="EMEANormal"/>
        <w:numPr>
          <w:ilvl w:val="0"/>
          <w:numId w:val="17"/>
        </w:numPr>
        <w:tabs>
          <w:tab w:val="clear" w:pos="562"/>
          <w:tab w:val="clear" w:pos="720"/>
        </w:tabs>
        <w:suppressAutoHyphens w:val="0"/>
        <w:ind w:left="567" w:hanging="567"/>
        <w:rPr>
          <w:shd w:val="clear" w:color="auto" w:fill="FFFF00"/>
          <w:lang w:val="cs-CZ"/>
        </w:rPr>
      </w:pPr>
      <w:r w:rsidRPr="001B4A02">
        <w:rPr>
          <w:lang w:val="cs-CZ"/>
        </w:rPr>
        <w:t>snížení počtu krevních destiček, což zvyšuje riziko krvácení nebo tvorby modřin</w:t>
      </w:r>
    </w:p>
    <w:p w14:paraId="7402FC28" w14:textId="77777777" w:rsidR="00D80CCA" w:rsidRPr="001B4A02" w:rsidRDefault="00000000" w:rsidP="00D80CCA">
      <w:pPr>
        <w:pStyle w:val="EMEANormal"/>
        <w:numPr>
          <w:ilvl w:val="0"/>
          <w:numId w:val="17"/>
        </w:numPr>
        <w:tabs>
          <w:tab w:val="clear" w:pos="562"/>
          <w:tab w:val="clear" w:pos="720"/>
        </w:tabs>
        <w:suppressAutoHyphens w:val="0"/>
        <w:ind w:left="567" w:hanging="567"/>
        <w:rPr>
          <w:shd w:val="clear" w:color="auto" w:fill="FFFF00"/>
          <w:lang w:val="cs-CZ"/>
        </w:rPr>
      </w:pPr>
      <w:r w:rsidRPr="001B4A02">
        <w:rPr>
          <w:lang w:val="cs-CZ"/>
        </w:rPr>
        <w:t>poruchy hojení</w:t>
      </w:r>
    </w:p>
    <w:p w14:paraId="31908C3C" w14:textId="77777777" w:rsidR="00D80CCA" w:rsidRPr="001B4A02" w:rsidRDefault="00D80CCA" w:rsidP="00D80CCA">
      <w:pPr>
        <w:ind w:left="0" w:firstLine="0"/>
      </w:pPr>
    </w:p>
    <w:p w14:paraId="11609D76" w14:textId="77777777" w:rsidR="00D80CCA" w:rsidRPr="001B4A02" w:rsidRDefault="00000000" w:rsidP="00D80CCA">
      <w:pPr>
        <w:keepNext/>
        <w:ind w:left="0" w:firstLine="0"/>
      </w:pPr>
      <w:r w:rsidRPr="001B4A02">
        <w:rPr>
          <w:b/>
        </w:rPr>
        <w:t>Méně časté</w:t>
      </w:r>
      <w:r w:rsidRPr="001B4A02">
        <w:t xml:space="preserve"> (</w:t>
      </w:r>
      <w:r w:rsidRPr="001B4A02">
        <w:rPr>
          <w:shd w:val="clear" w:color="auto" w:fill="FFFFFF"/>
        </w:rPr>
        <w:t>mohou postihnout nejvýše 1 ze 100 osob</w:t>
      </w:r>
      <w:r w:rsidRPr="001B4A02">
        <w:t xml:space="preserve">) </w:t>
      </w:r>
    </w:p>
    <w:p w14:paraId="42856C2B" w14:textId="77777777" w:rsidR="00D80CCA" w:rsidRPr="001B4A02" w:rsidRDefault="00D80CCA" w:rsidP="00D80CCA">
      <w:pPr>
        <w:keepNext/>
        <w:ind w:left="0" w:firstLine="0"/>
      </w:pPr>
    </w:p>
    <w:p w14:paraId="13937F39" w14:textId="77777777" w:rsidR="00D80CCA" w:rsidRPr="001B4A02" w:rsidRDefault="00000000" w:rsidP="00D80CCA">
      <w:pPr>
        <w:pStyle w:val="EMEANormal"/>
        <w:keepNext/>
        <w:numPr>
          <w:ilvl w:val="0"/>
          <w:numId w:val="48"/>
        </w:numPr>
        <w:tabs>
          <w:tab w:val="clear" w:pos="562"/>
          <w:tab w:val="clear" w:pos="720"/>
        </w:tabs>
        <w:suppressAutoHyphens w:val="0"/>
        <w:ind w:left="567" w:hanging="567"/>
        <w:rPr>
          <w:lang w:val="cs-CZ"/>
        </w:rPr>
      </w:pPr>
      <w:r w:rsidRPr="001B4A02">
        <w:rPr>
          <w:lang w:val="cs-CZ"/>
        </w:rPr>
        <w:t>oportunní infekce (které zahrnují tuberkulózu</w:t>
      </w:r>
      <w:r w:rsidR="002378E0">
        <w:rPr>
          <w:lang w:val="cs-CZ"/>
        </w:rPr>
        <w:t xml:space="preserve"> a </w:t>
      </w:r>
      <w:r w:rsidRPr="001B4A02">
        <w:rPr>
          <w:lang w:val="cs-CZ"/>
        </w:rPr>
        <w:t>jiné infekce, které se objevují, když je snížena odolnost vůči onemocněním)</w:t>
      </w:r>
    </w:p>
    <w:p w14:paraId="1C8459C4"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neurologické infekce (včetně virové meningitidy)</w:t>
      </w:r>
    </w:p>
    <w:p w14:paraId="1C74868D" w14:textId="77777777" w:rsidR="00D80CCA" w:rsidRPr="001B4A02" w:rsidRDefault="00000000" w:rsidP="00D80CCA">
      <w:pPr>
        <w:numPr>
          <w:ilvl w:val="0"/>
          <w:numId w:val="17"/>
        </w:numPr>
        <w:tabs>
          <w:tab w:val="clear" w:pos="720"/>
        </w:tabs>
        <w:ind w:left="567" w:hanging="567"/>
      </w:pPr>
      <w:r w:rsidRPr="001B4A02">
        <w:t>záněty oka</w:t>
      </w:r>
    </w:p>
    <w:p w14:paraId="3D5A9A9A" w14:textId="77777777" w:rsidR="00D80CCA" w:rsidRPr="001B4A02" w:rsidRDefault="00000000" w:rsidP="00D80CCA">
      <w:pPr>
        <w:numPr>
          <w:ilvl w:val="0"/>
          <w:numId w:val="17"/>
        </w:numPr>
        <w:tabs>
          <w:tab w:val="clear" w:pos="720"/>
        </w:tabs>
        <w:ind w:left="567" w:hanging="567"/>
      </w:pPr>
      <w:r w:rsidRPr="001B4A02">
        <w:t>bakteriální infekce</w:t>
      </w:r>
    </w:p>
    <w:p w14:paraId="57E9D571" w14:textId="77777777" w:rsidR="00D80CCA" w:rsidRPr="001B4A02" w:rsidRDefault="00000000" w:rsidP="00D80CCA">
      <w:pPr>
        <w:numPr>
          <w:ilvl w:val="0"/>
          <w:numId w:val="17"/>
        </w:numPr>
        <w:tabs>
          <w:tab w:val="clear" w:pos="720"/>
        </w:tabs>
        <w:ind w:left="567" w:hanging="567"/>
      </w:pPr>
      <w:r w:rsidRPr="001B4A02">
        <w:rPr>
          <w:lang w:eastAsia="de-DE"/>
        </w:rPr>
        <w:t>divertikulitida (zánětlivé onemocnění spojené s infekcí tlustého střeva)</w:t>
      </w:r>
    </w:p>
    <w:p w14:paraId="40AE458A" w14:textId="77777777" w:rsidR="00D80CCA" w:rsidRPr="001B4A02" w:rsidRDefault="00000000" w:rsidP="00D80CCA">
      <w:pPr>
        <w:numPr>
          <w:ilvl w:val="0"/>
          <w:numId w:val="17"/>
        </w:numPr>
        <w:tabs>
          <w:tab w:val="clear" w:pos="720"/>
        </w:tabs>
        <w:ind w:left="567" w:hanging="567"/>
      </w:pPr>
      <w:r w:rsidRPr="001B4A02">
        <w:t>rakovina</w:t>
      </w:r>
    </w:p>
    <w:p w14:paraId="78AE91C7" w14:textId="77777777" w:rsidR="00D80CCA" w:rsidRPr="001B4A02" w:rsidRDefault="00000000" w:rsidP="00D80CCA">
      <w:pPr>
        <w:numPr>
          <w:ilvl w:val="0"/>
          <w:numId w:val="17"/>
        </w:numPr>
        <w:tabs>
          <w:tab w:val="clear" w:pos="720"/>
        </w:tabs>
        <w:ind w:left="567" w:hanging="567"/>
      </w:pPr>
      <w:r w:rsidRPr="001B4A02">
        <w:t>rakovina postihující mízní systém</w:t>
      </w:r>
    </w:p>
    <w:p w14:paraId="5C1B668B" w14:textId="77777777" w:rsidR="00D80CCA" w:rsidRPr="001B4A02" w:rsidRDefault="00000000" w:rsidP="00D80CCA">
      <w:pPr>
        <w:numPr>
          <w:ilvl w:val="0"/>
          <w:numId w:val="17"/>
        </w:numPr>
        <w:tabs>
          <w:tab w:val="clear" w:pos="720"/>
        </w:tabs>
        <w:ind w:left="567" w:hanging="567"/>
      </w:pPr>
      <w:r w:rsidRPr="001B4A02">
        <w:t>melanom</w:t>
      </w:r>
    </w:p>
    <w:p w14:paraId="2239C807" w14:textId="77777777" w:rsidR="00D80CCA" w:rsidRPr="001B4A02" w:rsidRDefault="00000000" w:rsidP="00D80CCA">
      <w:pPr>
        <w:numPr>
          <w:ilvl w:val="0"/>
          <w:numId w:val="17"/>
        </w:numPr>
        <w:tabs>
          <w:tab w:val="clear" w:pos="720"/>
        </w:tabs>
        <w:ind w:left="567" w:hanging="567"/>
      </w:pPr>
      <w:r w:rsidRPr="001B4A02">
        <w:t>poruchy imunitního systému, které mohou postihovat plíce, kůži</w:t>
      </w:r>
      <w:r w:rsidR="002378E0">
        <w:t xml:space="preserve"> a </w:t>
      </w:r>
      <w:r w:rsidRPr="001B4A02">
        <w:t>lymfatické uzliny (nejčastěji se projevující jako sarkoidóza)</w:t>
      </w:r>
    </w:p>
    <w:p w14:paraId="1DBB6CBE" w14:textId="77777777" w:rsidR="00D80CCA" w:rsidRPr="001B4A02" w:rsidRDefault="00000000" w:rsidP="00D80CCA">
      <w:pPr>
        <w:numPr>
          <w:ilvl w:val="0"/>
          <w:numId w:val="17"/>
        </w:numPr>
        <w:tabs>
          <w:tab w:val="clear" w:pos="720"/>
        </w:tabs>
        <w:ind w:left="567" w:hanging="567"/>
      </w:pPr>
      <w:r w:rsidRPr="001B4A02">
        <w:t>vaskulitida (zánět krevních cév)</w:t>
      </w:r>
    </w:p>
    <w:p w14:paraId="3A477157" w14:textId="77777777" w:rsidR="00D80CCA" w:rsidRPr="001B4A02" w:rsidRDefault="00000000" w:rsidP="00D80CCA">
      <w:pPr>
        <w:numPr>
          <w:ilvl w:val="0"/>
          <w:numId w:val="17"/>
        </w:numPr>
        <w:tabs>
          <w:tab w:val="clear" w:pos="720"/>
        </w:tabs>
        <w:ind w:left="567" w:hanging="567"/>
      </w:pPr>
      <w:r w:rsidRPr="001B4A02">
        <w:t>tremor (třes)</w:t>
      </w:r>
    </w:p>
    <w:p w14:paraId="61D3F8E9" w14:textId="77777777" w:rsidR="00D80CCA" w:rsidRPr="001B4A02" w:rsidRDefault="00000000" w:rsidP="00D80CCA">
      <w:pPr>
        <w:numPr>
          <w:ilvl w:val="0"/>
          <w:numId w:val="17"/>
        </w:numPr>
        <w:tabs>
          <w:tab w:val="clear" w:pos="720"/>
        </w:tabs>
        <w:ind w:left="567" w:hanging="567"/>
      </w:pPr>
      <w:r w:rsidRPr="001B4A02">
        <w:t>neuropatie (postižení nervů)</w:t>
      </w:r>
    </w:p>
    <w:p w14:paraId="1C00E879" w14:textId="77777777" w:rsidR="00D80CCA" w:rsidRPr="001B4A02" w:rsidRDefault="00000000" w:rsidP="00D80CCA">
      <w:pPr>
        <w:numPr>
          <w:ilvl w:val="0"/>
          <w:numId w:val="17"/>
        </w:numPr>
        <w:tabs>
          <w:tab w:val="clear" w:pos="720"/>
        </w:tabs>
        <w:ind w:left="567" w:hanging="567"/>
      </w:pPr>
      <w:r w:rsidRPr="001B4A02">
        <w:t>mozková mrtvice</w:t>
      </w:r>
    </w:p>
    <w:p w14:paraId="69E33E06" w14:textId="77777777" w:rsidR="00D80CCA" w:rsidRPr="001B4A02" w:rsidRDefault="00000000" w:rsidP="00D80CCA">
      <w:pPr>
        <w:numPr>
          <w:ilvl w:val="0"/>
          <w:numId w:val="17"/>
        </w:numPr>
        <w:tabs>
          <w:tab w:val="clear" w:pos="720"/>
        </w:tabs>
        <w:ind w:left="567" w:hanging="567"/>
      </w:pPr>
      <w:r w:rsidRPr="001B4A02">
        <w:t xml:space="preserve">ztráta sluchu, </w:t>
      </w:r>
      <w:r w:rsidR="006D39E6">
        <w:t>ušní šelest</w:t>
      </w:r>
    </w:p>
    <w:p w14:paraId="4DCF64BD" w14:textId="77777777" w:rsidR="00D80CCA" w:rsidRPr="001B4A02" w:rsidRDefault="00000000" w:rsidP="00D80CCA">
      <w:pPr>
        <w:numPr>
          <w:ilvl w:val="0"/>
          <w:numId w:val="17"/>
        </w:numPr>
        <w:tabs>
          <w:tab w:val="clear" w:pos="720"/>
        </w:tabs>
        <w:ind w:left="567" w:hanging="567"/>
      </w:pPr>
      <w:r w:rsidRPr="001B4A02">
        <w:t>pocity nepravidelného bušení srdce, jako je vynechání tepu</w:t>
      </w:r>
    </w:p>
    <w:p w14:paraId="28588A77" w14:textId="77777777" w:rsidR="00D80CCA" w:rsidRPr="001B4A02" w:rsidRDefault="00000000" w:rsidP="00D80CCA">
      <w:pPr>
        <w:numPr>
          <w:ilvl w:val="0"/>
          <w:numId w:val="17"/>
        </w:numPr>
        <w:tabs>
          <w:tab w:val="clear" w:pos="720"/>
        </w:tabs>
        <w:ind w:left="567" w:hanging="567"/>
      </w:pPr>
      <w:r w:rsidRPr="001B4A02">
        <w:t>srdeční obtíže, které mohou způsobovat zkrácení dechu nebo otékání kotníků</w:t>
      </w:r>
    </w:p>
    <w:p w14:paraId="67C4CEF8" w14:textId="77777777" w:rsidR="00D80CCA" w:rsidRPr="001B4A02" w:rsidRDefault="00000000" w:rsidP="00D80CCA">
      <w:pPr>
        <w:numPr>
          <w:ilvl w:val="0"/>
          <w:numId w:val="17"/>
        </w:numPr>
        <w:tabs>
          <w:tab w:val="clear" w:pos="720"/>
        </w:tabs>
        <w:ind w:left="567" w:hanging="567"/>
      </w:pPr>
      <w:r w:rsidRPr="001B4A02">
        <w:t>srdeční příhoda (infarkt)</w:t>
      </w:r>
    </w:p>
    <w:p w14:paraId="0444F4D6" w14:textId="77777777" w:rsidR="00D80CCA" w:rsidRPr="001B4A02" w:rsidRDefault="00000000" w:rsidP="00D80CCA">
      <w:pPr>
        <w:numPr>
          <w:ilvl w:val="0"/>
          <w:numId w:val="17"/>
        </w:numPr>
        <w:tabs>
          <w:tab w:val="clear" w:pos="720"/>
        </w:tabs>
        <w:ind w:left="567" w:hanging="567"/>
      </w:pPr>
      <w:r w:rsidRPr="001B4A02">
        <w:t>výduť ve stěně velkých tepen, zánět žilních městků, blokáda krevních cév</w:t>
      </w:r>
    </w:p>
    <w:p w14:paraId="64716911" w14:textId="77777777" w:rsidR="00D80CCA" w:rsidRPr="001B4A02" w:rsidRDefault="00000000" w:rsidP="00D80CCA">
      <w:pPr>
        <w:numPr>
          <w:ilvl w:val="0"/>
          <w:numId w:val="17"/>
        </w:numPr>
        <w:tabs>
          <w:tab w:val="clear" w:pos="720"/>
        </w:tabs>
        <w:ind w:left="567" w:hanging="567"/>
      </w:pPr>
      <w:r w:rsidRPr="001B4A02">
        <w:t>plicní onemocnění způsobující zkrácení dechu (včetně zánětu)</w:t>
      </w:r>
    </w:p>
    <w:p w14:paraId="6DD89B46" w14:textId="77777777" w:rsidR="00D80CCA" w:rsidRPr="001B4A02" w:rsidRDefault="00000000" w:rsidP="00D80CCA">
      <w:pPr>
        <w:numPr>
          <w:ilvl w:val="0"/>
          <w:numId w:val="17"/>
        </w:numPr>
        <w:tabs>
          <w:tab w:val="clear" w:pos="720"/>
        </w:tabs>
        <w:ind w:left="567" w:hanging="567"/>
      </w:pPr>
      <w:r w:rsidRPr="001B4A02">
        <w:rPr>
          <w:lang w:eastAsia="de-DE"/>
        </w:rPr>
        <w:t>plicní embolie (uzávěr plicní tepny)</w:t>
      </w:r>
    </w:p>
    <w:p w14:paraId="29C9AE10" w14:textId="77777777" w:rsidR="00D80CCA" w:rsidRPr="001B4A02" w:rsidRDefault="00000000" w:rsidP="00D80CCA">
      <w:pPr>
        <w:numPr>
          <w:ilvl w:val="0"/>
          <w:numId w:val="17"/>
        </w:numPr>
        <w:tabs>
          <w:tab w:val="clear" w:pos="720"/>
        </w:tabs>
        <w:ind w:left="567" w:hanging="567"/>
      </w:pPr>
      <w:r w:rsidRPr="001B4A02">
        <w:rPr>
          <w:lang w:eastAsia="de-DE"/>
        </w:rPr>
        <w:t>pleurální výpotek (neobvyklé nahromadění tekutiny v prostoru pohrudnice)</w:t>
      </w:r>
    </w:p>
    <w:p w14:paraId="3927695D" w14:textId="77777777" w:rsidR="00D80CCA" w:rsidRPr="001B4A02" w:rsidRDefault="00000000" w:rsidP="00D80CCA">
      <w:pPr>
        <w:numPr>
          <w:ilvl w:val="0"/>
          <w:numId w:val="17"/>
        </w:numPr>
        <w:tabs>
          <w:tab w:val="clear" w:pos="720"/>
        </w:tabs>
        <w:ind w:left="567" w:hanging="567"/>
      </w:pPr>
      <w:r w:rsidRPr="001B4A02">
        <w:t>zánět slinivky břišní, způsobující závažné bolesti břicha</w:t>
      </w:r>
      <w:r w:rsidR="002378E0">
        <w:t xml:space="preserve"> a </w:t>
      </w:r>
      <w:r w:rsidRPr="001B4A02">
        <w:t>zad</w:t>
      </w:r>
    </w:p>
    <w:p w14:paraId="3801EE8D" w14:textId="77777777" w:rsidR="00D80CCA" w:rsidRPr="001B4A02" w:rsidRDefault="00000000" w:rsidP="00D80CCA">
      <w:pPr>
        <w:numPr>
          <w:ilvl w:val="0"/>
          <w:numId w:val="17"/>
        </w:numPr>
        <w:tabs>
          <w:tab w:val="clear" w:pos="720"/>
        </w:tabs>
        <w:ind w:left="567" w:hanging="567"/>
      </w:pPr>
      <w:r w:rsidRPr="001B4A02">
        <w:t>potíže s polykáním</w:t>
      </w:r>
    </w:p>
    <w:p w14:paraId="3D2961ED" w14:textId="77777777" w:rsidR="00D80CCA" w:rsidRPr="001B4A02" w:rsidRDefault="00000000" w:rsidP="00D80CCA">
      <w:pPr>
        <w:numPr>
          <w:ilvl w:val="0"/>
          <w:numId w:val="17"/>
        </w:numPr>
        <w:tabs>
          <w:tab w:val="clear" w:pos="720"/>
        </w:tabs>
        <w:ind w:left="567" w:hanging="567"/>
      </w:pPr>
      <w:r w:rsidRPr="001B4A02">
        <w:t xml:space="preserve">edém </w:t>
      </w:r>
      <w:r w:rsidR="00560725">
        <w:t>obličeje</w:t>
      </w:r>
      <w:r w:rsidR="00560725" w:rsidRPr="001B4A02">
        <w:t xml:space="preserve"> </w:t>
      </w:r>
      <w:r w:rsidRPr="001B4A02">
        <w:t xml:space="preserve">(otok </w:t>
      </w:r>
      <w:r w:rsidR="00560725">
        <w:t>obličeje</w:t>
      </w:r>
      <w:r w:rsidRPr="001B4A02">
        <w:t>)</w:t>
      </w:r>
    </w:p>
    <w:p w14:paraId="779E9E9B" w14:textId="77777777" w:rsidR="00D80CCA" w:rsidRPr="001B4A02" w:rsidRDefault="00000000" w:rsidP="00D80CCA">
      <w:pPr>
        <w:numPr>
          <w:ilvl w:val="0"/>
          <w:numId w:val="17"/>
        </w:numPr>
        <w:tabs>
          <w:tab w:val="clear" w:pos="720"/>
        </w:tabs>
        <w:ind w:left="567" w:hanging="567"/>
      </w:pPr>
      <w:r w:rsidRPr="001B4A02">
        <w:t>zánět žlučníku, žlučníkové kameny</w:t>
      </w:r>
    </w:p>
    <w:p w14:paraId="1B379486" w14:textId="77777777" w:rsidR="00D80CCA" w:rsidRPr="001B4A02" w:rsidRDefault="00000000" w:rsidP="00D80CCA">
      <w:pPr>
        <w:numPr>
          <w:ilvl w:val="0"/>
          <w:numId w:val="17"/>
        </w:numPr>
        <w:tabs>
          <w:tab w:val="clear" w:pos="720"/>
        </w:tabs>
        <w:ind w:left="567" w:hanging="567"/>
      </w:pPr>
      <w:r w:rsidRPr="007815F1">
        <w:t>ztu</w:t>
      </w:r>
      <w:r>
        <w:rPr>
          <w:szCs w:val="22"/>
        </w:rPr>
        <w:t>kovění</w:t>
      </w:r>
      <w:r w:rsidR="00CA36AC">
        <w:t xml:space="preserve"> </w:t>
      </w:r>
      <w:r w:rsidRPr="001B4A02">
        <w:t>jater</w:t>
      </w:r>
    </w:p>
    <w:p w14:paraId="3E49A807" w14:textId="77777777" w:rsidR="00D80CCA" w:rsidRPr="001B4A02" w:rsidRDefault="00000000" w:rsidP="00D80CCA">
      <w:pPr>
        <w:numPr>
          <w:ilvl w:val="0"/>
          <w:numId w:val="17"/>
        </w:numPr>
        <w:tabs>
          <w:tab w:val="clear" w:pos="720"/>
        </w:tabs>
        <w:ind w:left="567" w:hanging="567"/>
      </w:pPr>
      <w:r w:rsidRPr="001B4A02">
        <w:t>noční pocení</w:t>
      </w:r>
    </w:p>
    <w:p w14:paraId="2ABFFC18" w14:textId="77777777" w:rsidR="00D80CCA" w:rsidRPr="001B4A02" w:rsidRDefault="00000000" w:rsidP="00D80CCA">
      <w:pPr>
        <w:numPr>
          <w:ilvl w:val="0"/>
          <w:numId w:val="17"/>
        </w:numPr>
        <w:tabs>
          <w:tab w:val="clear" w:pos="720"/>
        </w:tabs>
        <w:ind w:left="567" w:hanging="567"/>
      </w:pPr>
      <w:r w:rsidRPr="001B4A02">
        <w:t>zjizvení</w:t>
      </w:r>
    </w:p>
    <w:p w14:paraId="2236FF9C" w14:textId="77777777" w:rsidR="00D80CCA" w:rsidRPr="001B4A02" w:rsidRDefault="00000000" w:rsidP="00D80CCA">
      <w:pPr>
        <w:numPr>
          <w:ilvl w:val="0"/>
          <w:numId w:val="17"/>
        </w:numPr>
        <w:tabs>
          <w:tab w:val="clear" w:pos="720"/>
        </w:tabs>
        <w:ind w:left="567" w:hanging="567"/>
      </w:pPr>
      <w:r w:rsidRPr="001B4A02">
        <w:t>neobvyklé poškození svalů</w:t>
      </w:r>
    </w:p>
    <w:p w14:paraId="32F8C3D0" w14:textId="77777777" w:rsidR="00D80CCA" w:rsidRPr="001B4A02" w:rsidRDefault="00000000" w:rsidP="00D80CCA">
      <w:pPr>
        <w:numPr>
          <w:ilvl w:val="0"/>
          <w:numId w:val="17"/>
        </w:numPr>
        <w:tabs>
          <w:tab w:val="clear" w:pos="720"/>
        </w:tabs>
        <w:ind w:left="567" w:hanging="567"/>
      </w:pPr>
      <w:r w:rsidRPr="001B4A02">
        <w:t>systémový lupus erythematodes (zahrnující zánět kůže, srdce, plic, kloubů</w:t>
      </w:r>
      <w:r w:rsidR="002378E0">
        <w:t xml:space="preserve"> a </w:t>
      </w:r>
      <w:r w:rsidRPr="001B4A02">
        <w:t>jiných orgánových systémů)</w:t>
      </w:r>
    </w:p>
    <w:p w14:paraId="0C7CC8A0" w14:textId="77777777" w:rsidR="00D80CCA" w:rsidRPr="001B4A02" w:rsidRDefault="00000000" w:rsidP="00D80CCA">
      <w:pPr>
        <w:numPr>
          <w:ilvl w:val="0"/>
          <w:numId w:val="17"/>
        </w:numPr>
        <w:tabs>
          <w:tab w:val="clear" w:pos="720"/>
        </w:tabs>
        <w:ind w:left="567" w:hanging="567"/>
      </w:pPr>
      <w:r w:rsidRPr="001B4A02">
        <w:t>přerušovaný spánek</w:t>
      </w:r>
    </w:p>
    <w:p w14:paraId="2A294F3C" w14:textId="77777777" w:rsidR="00D80CCA" w:rsidRPr="001B4A02" w:rsidRDefault="00000000" w:rsidP="00D80CCA">
      <w:pPr>
        <w:numPr>
          <w:ilvl w:val="0"/>
          <w:numId w:val="17"/>
        </w:numPr>
        <w:tabs>
          <w:tab w:val="clear" w:pos="720"/>
        </w:tabs>
        <w:ind w:left="567" w:hanging="567"/>
      </w:pPr>
      <w:r w:rsidRPr="001B4A02">
        <w:t>impotence</w:t>
      </w:r>
    </w:p>
    <w:p w14:paraId="0DD1719D" w14:textId="77777777" w:rsidR="00D80CCA" w:rsidRPr="001B4A02" w:rsidRDefault="00000000" w:rsidP="00D80CCA">
      <w:pPr>
        <w:numPr>
          <w:ilvl w:val="0"/>
          <w:numId w:val="17"/>
        </w:numPr>
        <w:tabs>
          <w:tab w:val="clear" w:pos="720"/>
        </w:tabs>
        <w:ind w:left="567" w:hanging="567"/>
        <w:rPr>
          <w:shd w:val="clear" w:color="auto" w:fill="FFFF00"/>
        </w:rPr>
      </w:pPr>
      <w:r w:rsidRPr="001B4A02">
        <w:t>záněty</w:t>
      </w:r>
    </w:p>
    <w:p w14:paraId="37004C15" w14:textId="77777777" w:rsidR="00D80CCA" w:rsidRPr="001B4A02" w:rsidRDefault="00D80CCA" w:rsidP="00D80CCA">
      <w:pPr>
        <w:ind w:left="0" w:right="-29" w:firstLine="0"/>
      </w:pPr>
    </w:p>
    <w:p w14:paraId="21739660" w14:textId="77777777" w:rsidR="00D80CCA" w:rsidRPr="001B4A02" w:rsidRDefault="00000000" w:rsidP="00262E54">
      <w:pPr>
        <w:keepNext/>
        <w:ind w:left="0" w:right="-29" w:firstLine="0"/>
      </w:pPr>
      <w:r w:rsidRPr="001B4A02">
        <w:rPr>
          <w:b/>
        </w:rPr>
        <w:t>Vzácné</w:t>
      </w:r>
      <w:r w:rsidRPr="001B4A02">
        <w:t xml:space="preserve"> (mohou postihnout nejvýše 1 z 1 000 osob)</w:t>
      </w:r>
    </w:p>
    <w:p w14:paraId="6A5CA50F" w14:textId="77777777" w:rsidR="00D80CCA" w:rsidRPr="001B4A02" w:rsidRDefault="00D80CCA" w:rsidP="00262E54">
      <w:pPr>
        <w:keepNext/>
        <w:ind w:left="0" w:right="-29" w:firstLine="0"/>
        <w:rPr>
          <w:shd w:val="clear" w:color="auto" w:fill="FFFF00"/>
        </w:rPr>
      </w:pPr>
    </w:p>
    <w:p w14:paraId="7F351586" w14:textId="77777777" w:rsidR="00D80CCA" w:rsidRPr="001B4A02" w:rsidRDefault="00000000" w:rsidP="00D80CCA">
      <w:pPr>
        <w:numPr>
          <w:ilvl w:val="0"/>
          <w:numId w:val="17"/>
        </w:numPr>
        <w:tabs>
          <w:tab w:val="clear" w:pos="720"/>
        </w:tabs>
        <w:ind w:left="567" w:hanging="567"/>
      </w:pPr>
      <w:r w:rsidRPr="001B4A02">
        <w:t>leukémie (rakovina postihující krev</w:t>
      </w:r>
      <w:r w:rsidR="002378E0">
        <w:t xml:space="preserve"> a </w:t>
      </w:r>
      <w:r w:rsidRPr="001B4A02">
        <w:t>kostní dřeň)</w:t>
      </w:r>
    </w:p>
    <w:p w14:paraId="3287B728" w14:textId="77777777" w:rsidR="00D80CCA" w:rsidRPr="001B4A02" w:rsidRDefault="00000000" w:rsidP="00D80CCA">
      <w:pPr>
        <w:numPr>
          <w:ilvl w:val="0"/>
          <w:numId w:val="17"/>
        </w:numPr>
        <w:tabs>
          <w:tab w:val="clear" w:pos="720"/>
        </w:tabs>
        <w:ind w:left="567" w:hanging="567"/>
      </w:pPr>
      <w:r w:rsidRPr="001B4A02">
        <w:t>závažné alergické reakce doprovázené šokem</w:t>
      </w:r>
    </w:p>
    <w:p w14:paraId="1B8A4E94" w14:textId="77777777" w:rsidR="00D80CCA" w:rsidRPr="001B4A02" w:rsidRDefault="00000000" w:rsidP="00D80CCA">
      <w:pPr>
        <w:numPr>
          <w:ilvl w:val="0"/>
          <w:numId w:val="17"/>
        </w:numPr>
        <w:tabs>
          <w:tab w:val="clear" w:pos="720"/>
        </w:tabs>
        <w:ind w:left="567" w:hanging="567"/>
      </w:pPr>
      <w:r w:rsidRPr="001B4A02">
        <w:t>roztroušená skleróza</w:t>
      </w:r>
    </w:p>
    <w:p w14:paraId="23F53D76" w14:textId="77777777" w:rsidR="00D80CCA" w:rsidRPr="001B4A02" w:rsidRDefault="00000000" w:rsidP="00D80CCA">
      <w:pPr>
        <w:numPr>
          <w:ilvl w:val="0"/>
          <w:numId w:val="17"/>
        </w:numPr>
        <w:tabs>
          <w:tab w:val="clear" w:pos="720"/>
        </w:tabs>
        <w:ind w:left="567" w:hanging="567"/>
      </w:pPr>
      <w:r w:rsidRPr="001B4A02">
        <w:t>nervové poruchy (jako záněty očního nervu</w:t>
      </w:r>
      <w:r w:rsidR="002378E0">
        <w:t xml:space="preserve"> a </w:t>
      </w:r>
      <w:r w:rsidRPr="001B4A02">
        <w:t>Guillain-Barré syndrom, který může způsobit svalovou slabost, abnormální pocity, brnění v pažích</w:t>
      </w:r>
      <w:r w:rsidR="002378E0">
        <w:t xml:space="preserve"> a </w:t>
      </w:r>
      <w:r w:rsidRPr="001B4A02">
        <w:t>horní části těla)</w:t>
      </w:r>
    </w:p>
    <w:p w14:paraId="1243AC77" w14:textId="77777777" w:rsidR="00D80CCA" w:rsidRPr="001B4A02" w:rsidRDefault="00000000" w:rsidP="00D80CCA">
      <w:pPr>
        <w:numPr>
          <w:ilvl w:val="0"/>
          <w:numId w:val="48"/>
        </w:numPr>
        <w:tabs>
          <w:tab w:val="clear" w:pos="720"/>
        </w:tabs>
        <w:ind w:left="567" w:hanging="567"/>
      </w:pPr>
      <w:r w:rsidRPr="001B4A02">
        <w:t>zástava srdečních stahů</w:t>
      </w:r>
    </w:p>
    <w:p w14:paraId="493C077A" w14:textId="77777777" w:rsidR="00D80CCA" w:rsidRPr="001B4A02" w:rsidRDefault="00000000" w:rsidP="00D80CCA">
      <w:pPr>
        <w:numPr>
          <w:ilvl w:val="0"/>
          <w:numId w:val="48"/>
        </w:numPr>
        <w:tabs>
          <w:tab w:val="clear" w:pos="720"/>
        </w:tabs>
        <w:ind w:left="567" w:hanging="567"/>
      </w:pPr>
      <w:r w:rsidRPr="001B4A02">
        <w:rPr>
          <w:lang w:eastAsia="de-DE"/>
        </w:rPr>
        <w:t>plicní fibróza (zjizvení plic)</w:t>
      </w:r>
    </w:p>
    <w:p w14:paraId="1EF7C0A5" w14:textId="77777777" w:rsidR="00D80CCA" w:rsidRPr="001B4A02" w:rsidRDefault="00000000" w:rsidP="00D80CCA">
      <w:pPr>
        <w:numPr>
          <w:ilvl w:val="0"/>
          <w:numId w:val="48"/>
        </w:numPr>
        <w:tabs>
          <w:tab w:val="clear" w:pos="720"/>
        </w:tabs>
        <w:ind w:left="567" w:hanging="567"/>
      </w:pPr>
      <w:r w:rsidRPr="001B4A02">
        <w:t>perforace (protržení) střeva</w:t>
      </w:r>
    </w:p>
    <w:p w14:paraId="21A62DF2" w14:textId="77777777" w:rsidR="00D80CCA" w:rsidRPr="001B4A02" w:rsidRDefault="00000000" w:rsidP="00D80CCA">
      <w:pPr>
        <w:numPr>
          <w:ilvl w:val="0"/>
          <w:numId w:val="48"/>
        </w:numPr>
        <w:tabs>
          <w:tab w:val="clear" w:pos="720"/>
        </w:tabs>
        <w:ind w:left="567" w:hanging="567"/>
      </w:pPr>
      <w:r w:rsidRPr="001B4A02">
        <w:t>hepatitida</w:t>
      </w:r>
      <w:r w:rsidR="00F47DB9">
        <w:t xml:space="preserve"> (zánět jater)</w:t>
      </w:r>
    </w:p>
    <w:p w14:paraId="7F3D52A2" w14:textId="77777777" w:rsidR="00D80CCA" w:rsidRPr="001B4A02" w:rsidRDefault="00000000" w:rsidP="00D80CCA">
      <w:pPr>
        <w:numPr>
          <w:ilvl w:val="0"/>
          <w:numId w:val="48"/>
        </w:numPr>
        <w:tabs>
          <w:tab w:val="clear" w:pos="720"/>
        </w:tabs>
        <w:ind w:left="567" w:hanging="567"/>
      </w:pPr>
      <w:r w:rsidRPr="001B4A02">
        <w:t>reaktivace hepatitidy B</w:t>
      </w:r>
    </w:p>
    <w:p w14:paraId="6E981A1E" w14:textId="77777777" w:rsidR="00D80CCA" w:rsidRPr="001B4A02" w:rsidRDefault="00000000" w:rsidP="00D80CCA">
      <w:pPr>
        <w:numPr>
          <w:ilvl w:val="0"/>
          <w:numId w:val="48"/>
        </w:numPr>
        <w:tabs>
          <w:tab w:val="clear" w:pos="720"/>
        </w:tabs>
        <w:ind w:left="567" w:hanging="567"/>
      </w:pPr>
      <w:r w:rsidRPr="001B4A02">
        <w:rPr>
          <w:szCs w:val="22"/>
        </w:rPr>
        <w:t>autoimunní hepatitida (zánět jater způsobený imunitním systémem vlastního těla)</w:t>
      </w:r>
    </w:p>
    <w:p w14:paraId="5C2EE81C" w14:textId="77777777" w:rsidR="00D80CCA" w:rsidRPr="001B4A02" w:rsidRDefault="00000000" w:rsidP="00D80CCA">
      <w:pPr>
        <w:numPr>
          <w:ilvl w:val="0"/>
          <w:numId w:val="48"/>
        </w:numPr>
        <w:tabs>
          <w:tab w:val="clear" w:pos="720"/>
        </w:tabs>
        <w:ind w:left="567" w:hanging="567"/>
      </w:pPr>
      <w:r w:rsidRPr="001B4A02">
        <w:t>kožní vaskulitida (zánět krevních cév v kůži)</w:t>
      </w:r>
    </w:p>
    <w:p w14:paraId="0E8B53B7" w14:textId="77777777" w:rsidR="00D80CCA" w:rsidRPr="001B4A02" w:rsidRDefault="00000000" w:rsidP="00D80CCA">
      <w:pPr>
        <w:numPr>
          <w:ilvl w:val="0"/>
          <w:numId w:val="48"/>
        </w:numPr>
        <w:tabs>
          <w:tab w:val="clear" w:pos="720"/>
        </w:tabs>
        <w:ind w:left="567" w:hanging="567"/>
      </w:pPr>
      <w:r w:rsidRPr="001B4A02">
        <w:t>Stevens</w:t>
      </w:r>
      <w:r w:rsidR="00C43387">
        <w:t>ův</w:t>
      </w:r>
      <w:r w:rsidRPr="001B4A02">
        <w:t>-Johnsonův syndrom (časné příznaky zahrnují únavu, horečku, bolest hlavy</w:t>
      </w:r>
      <w:r w:rsidR="002378E0">
        <w:t xml:space="preserve"> a </w:t>
      </w:r>
      <w:r w:rsidRPr="001B4A02">
        <w:t>vyrážku)</w:t>
      </w:r>
    </w:p>
    <w:p w14:paraId="12174948" w14:textId="77777777" w:rsidR="00D80CCA" w:rsidRPr="001B4A02" w:rsidRDefault="00000000" w:rsidP="00D80CCA">
      <w:pPr>
        <w:numPr>
          <w:ilvl w:val="0"/>
          <w:numId w:val="48"/>
        </w:numPr>
        <w:tabs>
          <w:tab w:val="clear" w:pos="720"/>
        </w:tabs>
        <w:ind w:left="567" w:hanging="567"/>
      </w:pPr>
      <w:r w:rsidRPr="001B4A02">
        <w:t xml:space="preserve">edém </w:t>
      </w:r>
      <w:r w:rsidR="00560725">
        <w:t>obličeje</w:t>
      </w:r>
      <w:r w:rsidRPr="001B4A02">
        <w:t xml:space="preserve"> (otok</w:t>
      </w:r>
      <w:r w:rsidR="00560725">
        <w:t xml:space="preserve"> obličeje</w:t>
      </w:r>
      <w:r w:rsidRPr="001B4A02">
        <w:t>) spojený s alergickými reakcemi</w:t>
      </w:r>
    </w:p>
    <w:p w14:paraId="226312AB" w14:textId="77777777" w:rsidR="00D80CCA" w:rsidRPr="001B4A02" w:rsidRDefault="00000000" w:rsidP="00D80CCA">
      <w:pPr>
        <w:numPr>
          <w:ilvl w:val="0"/>
          <w:numId w:val="48"/>
        </w:numPr>
        <w:tabs>
          <w:tab w:val="clear" w:pos="720"/>
        </w:tabs>
        <w:ind w:left="567" w:hanging="567"/>
      </w:pPr>
      <w:r w:rsidRPr="001B4A02">
        <w:t>erythema multiforme (zánětlivá kožní vyrážka)</w:t>
      </w:r>
    </w:p>
    <w:p w14:paraId="4DCFF6D9" w14:textId="77777777" w:rsidR="00D80CCA" w:rsidRPr="001B4A02" w:rsidRDefault="00000000" w:rsidP="00D80CCA">
      <w:pPr>
        <w:numPr>
          <w:ilvl w:val="0"/>
          <w:numId w:val="48"/>
        </w:numPr>
        <w:tabs>
          <w:tab w:val="clear" w:pos="720"/>
        </w:tabs>
        <w:ind w:left="567" w:hanging="567"/>
      </w:pPr>
      <w:r w:rsidRPr="001B4A02">
        <w:t>lupus-like syndrom (onemocnění s příznaky podobnými lupus erythematodes)</w:t>
      </w:r>
    </w:p>
    <w:p w14:paraId="3E3DBCAC" w14:textId="77777777" w:rsidR="00D80CCA" w:rsidRDefault="00000000" w:rsidP="00D80CCA">
      <w:pPr>
        <w:numPr>
          <w:ilvl w:val="0"/>
          <w:numId w:val="48"/>
        </w:numPr>
        <w:tabs>
          <w:tab w:val="clear" w:pos="720"/>
        </w:tabs>
        <w:ind w:left="567" w:hanging="567"/>
      </w:pPr>
      <w:r w:rsidRPr="001B4A02">
        <w:t>angioedém (lokalizovaný otok kůže)</w:t>
      </w:r>
    </w:p>
    <w:p w14:paraId="617BE428" w14:textId="77777777" w:rsidR="00454E16" w:rsidRPr="001B4A02" w:rsidRDefault="00000000" w:rsidP="00D80CCA">
      <w:pPr>
        <w:numPr>
          <w:ilvl w:val="0"/>
          <w:numId w:val="48"/>
        </w:numPr>
        <w:tabs>
          <w:tab w:val="clear" w:pos="720"/>
        </w:tabs>
        <w:ind w:left="567" w:hanging="567"/>
      </w:pPr>
      <w:r>
        <w:t xml:space="preserve">lichenoidní kožní reakce (svědivá </w:t>
      </w:r>
      <w:r w:rsidR="00844B73" w:rsidRPr="00A644C2">
        <w:t>načervenalá až purpurově zbarvená</w:t>
      </w:r>
      <w:r>
        <w:t xml:space="preserve"> vyrážka)</w:t>
      </w:r>
    </w:p>
    <w:p w14:paraId="68ECABEB" w14:textId="77777777" w:rsidR="00D80CCA" w:rsidRPr="001B4A02" w:rsidRDefault="00D80CCA" w:rsidP="00D80CCA">
      <w:pPr>
        <w:ind w:left="0" w:firstLine="0"/>
      </w:pPr>
    </w:p>
    <w:p w14:paraId="5A8C4AF5" w14:textId="77777777" w:rsidR="00D80CCA" w:rsidRPr="001B4A02" w:rsidRDefault="00000000" w:rsidP="00B20827">
      <w:pPr>
        <w:keepNext/>
        <w:ind w:left="0" w:right="-28" w:firstLine="0"/>
      </w:pPr>
      <w:r w:rsidRPr="001B4A02">
        <w:rPr>
          <w:b/>
        </w:rPr>
        <w:t>Není známo</w:t>
      </w:r>
      <w:r w:rsidRPr="001B4A02">
        <w:t xml:space="preserve"> (frekvenci výskytu nelze z dostupných údajů určit)</w:t>
      </w:r>
    </w:p>
    <w:p w14:paraId="53248B1E" w14:textId="77777777" w:rsidR="00D80CCA" w:rsidRPr="001B4A02" w:rsidRDefault="00D80CCA" w:rsidP="00B20827">
      <w:pPr>
        <w:keepNext/>
        <w:ind w:left="0" w:right="-28" w:firstLine="0"/>
      </w:pPr>
    </w:p>
    <w:p w14:paraId="3BF9F03D" w14:textId="77777777" w:rsidR="00D72E8F" w:rsidRDefault="00000000" w:rsidP="00D80CCA">
      <w:pPr>
        <w:numPr>
          <w:ilvl w:val="0"/>
          <w:numId w:val="48"/>
        </w:numPr>
        <w:tabs>
          <w:tab w:val="clear" w:pos="720"/>
        </w:tabs>
        <w:ind w:left="567" w:hanging="567"/>
      </w:pPr>
      <w:r w:rsidRPr="001B4A02">
        <w:t>hepatosplenický T-buněčný lymfom (vzácný druh rakoviny krve, který je obvykle smrtelný)</w:t>
      </w:r>
    </w:p>
    <w:p w14:paraId="7E82350A" w14:textId="77777777" w:rsidR="00D80CCA" w:rsidRDefault="00000000" w:rsidP="00D80CCA">
      <w:pPr>
        <w:numPr>
          <w:ilvl w:val="0"/>
          <w:numId w:val="48"/>
        </w:numPr>
        <w:tabs>
          <w:tab w:val="clear" w:pos="720"/>
        </w:tabs>
        <w:ind w:left="567" w:hanging="567"/>
      </w:pPr>
      <w:r w:rsidRPr="001B4A02">
        <w:t>karcinom z Merkelových buněk (typ kožního karcinomu)</w:t>
      </w:r>
    </w:p>
    <w:p w14:paraId="6439BB83" w14:textId="77777777" w:rsidR="00B2204A" w:rsidRPr="001B4A02" w:rsidRDefault="00000000" w:rsidP="00D80CCA">
      <w:pPr>
        <w:numPr>
          <w:ilvl w:val="0"/>
          <w:numId w:val="48"/>
        </w:numPr>
        <w:tabs>
          <w:tab w:val="clear" w:pos="720"/>
        </w:tabs>
        <w:ind w:left="567" w:hanging="567"/>
      </w:pPr>
      <w:r>
        <w:t xml:space="preserve">Kaposiho </w:t>
      </w:r>
      <w:r w:rsidRPr="009A21A5">
        <w:t>sarkom</w:t>
      </w:r>
      <w:r>
        <w:t xml:space="preserve">, vzácné nádorové onemocnění související s infekcí vyvolanou lidským herpesvirem typu 8. Kaposiho </w:t>
      </w:r>
      <w:r w:rsidRPr="009A21A5">
        <w:t>sarkom</w:t>
      </w:r>
      <w:r>
        <w:t xml:space="preserve"> se nejčastěji vyskytuje ve formě fialových skvrn na kůži</w:t>
      </w:r>
    </w:p>
    <w:p w14:paraId="15DB8C99" w14:textId="77777777" w:rsidR="00D80CCA" w:rsidRPr="001B4A02" w:rsidRDefault="00000000" w:rsidP="00D80CCA">
      <w:pPr>
        <w:numPr>
          <w:ilvl w:val="0"/>
          <w:numId w:val="48"/>
        </w:numPr>
        <w:tabs>
          <w:tab w:val="clear" w:pos="720"/>
        </w:tabs>
        <w:ind w:left="567" w:hanging="567"/>
      </w:pPr>
      <w:r w:rsidRPr="001B4A02">
        <w:t>selhání jater</w:t>
      </w:r>
    </w:p>
    <w:p w14:paraId="22AD94AA" w14:textId="77777777" w:rsidR="00D80CCA" w:rsidRDefault="00000000" w:rsidP="00D80CCA">
      <w:pPr>
        <w:numPr>
          <w:ilvl w:val="0"/>
          <w:numId w:val="48"/>
        </w:numPr>
        <w:tabs>
          <w:tab w:val="clear" w:pos="720"/>
        </w:tabs>
        <w:ind w:left="567" w:hanging="567"/>
      </w:pPr>
      <w:r w:rsidRPr="001B4A02">
        <w:t>zhoršení onemocnění nazývané dermatomyozitida (pozorovatelné jako kožní vyrážka doprovázená svalovou slabostí)</w:t>
      </w:r>
    </w:p>
    <w:p w14:paraId="782CF161" w14:textId="77777777" w:rsidR="00000ECA" w:rsidRPr="001B4A02" w:rsidRDefault="00000000" w:rsidP="00D80CCA">
      <w:pPr>
        <w:numPr>
          <w:ilvl w:val="0"/>
          <w:numId w:val="48"/>
        </w:numPr>
        <w:tabs>
          <w:tab w:val="clear" w:pos="720"/>
        </w:tabs>
        <w:ind w:left="567" w:hanging="567"/>
      </w:pPr>
      <w:r w:rsidRPr="000752A7">
        <w:rPr>
          <w:color w:val="000000"/>
          <w:szCs w:val="22"/>
        </w:rPr>
        <w:t>zvýšení tělesné hmotnosti (u</w:t>
      </w:r>
      <w:r w:rsidRPr="000752A7">
        <w:rPr>
          <w:szCs w:val="22"/>
          <w:lang w:eastAsia="cs-CZ"/>
        </w:rPr>
        <w:t> </w:t>
      </w:r>
      <w:r w:rsidRPr="000752A7">
        <w:rPr>
          <w:color w:val="000000"/>
          <w:szCs w:val="22"/>
        </w:rPr>
        <w:t>většiny pacientů byl přírůstek hmotnosti malý)</w:t>
      </w:r>
    </w:p>
    <w:p w14:paraId="6F351C35" w14:textId="77777777" w:rsidR="00D80CCA" w:rsidRPr="001B4A02" w:rsidRDefault="00D80CCA" w:rsidP="00D80CCA">
      <w:pPr>
        <w:ind w:left="0" w:firstLine="0"/>
      </w:pPr>
    </w:p>
    <w:p w14:paraId="638814C3" w14:textId="77777777" w:rsidR="00D80CCA" w:rsidRPr="001B4A02" w:rsidRDefault="00000000" w:rsidP="00262E54">
      <w:pPr>
        <w:keepNext/>
        <w:ind w:left="0" w:right="-29" w:firstLine="0"/>
      </w:pPr>
      <w:r w:rsidRPr="001B4A02">
        <w:t>Některé nežádoucí účinky pozorované u přípravku Humira mohou probíhat bez příznaků</w:t>
      </w:r>
      <w:r w:rsidR="002378E0">
        <w:t xml:space="preserve"> a </w:t>
      </w:r>
      <w:r w:rsidRPr="001B4A02">
        <w:t>mohou být objeveny pouze s pomocí krevních testů. Tyto zahrnují:</w:t>
      </w:r>
    </w:p>
    <w:p w14:paraId="76917240" w14:textId="77777777" w:rsidR="00D80CCA" w:rsidRPr="001B4A02" w:rsidRDefault="00D80CCA" w:rsidP="00262E54">
      <w:pPr>
        <w:keepNext/>
        <w:ind w:left="0" w:right="-29" w:firstLine="0"/>
      </w:pPr>
    </w:p>
    <w:p w14:paraId="44D8F34A" w14:textId="77777777" w:rsidR="00D80CCA" w:rsidRPr="001B4A02" w:rsidRDefault="00000000" w:rsidP="00262E54">
      <w:pPr>
        <w:keepNext/>
        <w:ind w:left="0" w:right="-29" w:firstLine="0"/>
      </w:pPr>
      <w:r w:rsidRPr="001B4A02">
        <w:rPr>
          <w:b/>
        </w:rPr>
        <w:t>Velmi časté</w:t>
      </w:r>
      <w:r w:rsidRPr="001B4A02">
        <w:t xml:space="preserve"> </w:t>
      </w:r>
      <w:r w:rsidRPr="001B4A02">
        <w:rPr>
          <w:shd w:val="clear" w:color="auto" w:fill="FFFFFF"/>
        </w:rPr>
        <w:t>(mohou postihnout více než 1 z 10 osob</w:t>
      </w:r>
      <w:r w:rsidRPr="001B4A02">
        <w:t>)</w:t>
      </w:r>
    </w:p>
    <w:p w14:paraId="51FA4967" w14:textId="77777777" w:rsidR="00D80CCA" w:rsidRPr="001B4A02" w:rsidRDefault="00D80CCA" w:rsidP="00262E54">
      <w:pPr>
        <w:keepNext/>
        <w:ind w:left="0" w:right="-29" w:firstLine="0"/>
      </w:pPr>
    </w:p>
    <w:p w14:paraId="09DEE75D"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nízký počet bílých krvinek</w:t>
      </w:r>
    </w:p>
    <w:p w14:paraId="475E8053"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nízký počet červených krvinek</w:t>
      </w:r>
    </w:p>
    <w:p w14:paraId="0F6DCA12"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zvýšení tuků v krvi</w:t>
      </w:r>
    </w:p>
    <w:p w14:paraId="01EDC6D2"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zvýšení jaterních enzymů</w:t>
      </w:r>
    </w:p>
    <w:p w14:paraId="19F11532" w14:textId="77777777" w:rsidR="00D80CCA" w:rsidRPr="001B4A02" w:rsidRDefault="00D80CCA" w:rsidP="00D80CCA">
      <w:pPr>
        <w:pStyle w:val="EMEANormal"/>
        <w:tabs>
          <w:tab w:val="left" w:pos="0"/>
        </w:tabs>
        <w:suppressAutoHyphens w:val="0"/>
        <w:rPr>
          <w:lang w:val="cs-CZ"/>
        </w:rPr>
      </w:pPr>
    </w:p>
    <w:p w14:paraId="50C6EDC4" w14:textId="77777777" w:rsidR="00D80CCA" w:rsidRPr="001B4A02" w:rsidRDefault="00000000" w:rsidP="00262E54">
      <w:pPr>
        <w:keepNext/>
        <w:shd w:val="clear" w:color="auto" w:fill="FFFFFF"/>
        <w:tabs>
          <w:tab w:val="left" w:pos="0"/>
        </w:tabs>
        <w:ind w:left="0" w:firstLine="0"/>
      </w:pPr>
      <w:r w:rsidRPr="001B4A02">
        <w:rPr>
          <w:b/>
        </w:rPr>
        <w:t>Časté</w:t>
      </w:r>
      <w:r w:rsidRPr="001B4A02">
        <w:t xml:space="preserve"> (mohou postihnout nejvýše 1 z 10 osob)</w:t>
      </w:r>
    </w:p>
    <w:p w14:paraId="7A9C576F" w14:textId="77777777" w:rsidR="00D80CCA" w:rsidRPr="001B4A02" w:rsidRDefault="00D80CCA" w:rsidP="00262E54">
      <w:pPr>
        <w:keepNext/>
        <w:shd w:val="clear" w:color="auto" w:fill="FFFFFF"/>
        <w:tabs>
          <w:tab w:val="left" w:pos="0"/>
        </w:tabs>
        <w:ind w:left="0" w:firstLine="0"/>
      </w:pPr>
    </w:p>
    <w:p w14:paraId="5AD3385B"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vysoký počet bílých krvinek</w:t>
      </w:r>
    </w:p>
    <w:p w14:paraId="7425DEC9"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nízký počet krevních destiček</w:t>
      </w:r>
    </w:p>
    <w:p w14:paraId="6BE0BC27"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zvýšení kyseliny močové v krvi</w:t>
      </w:r>
    </w:p>
    <w:p w14:paraId="279F1D2E"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neobvyklé hodnoty sodíku v krvi</w:t>
      </w:r>
    </w:p>
    <w:p w14:paraId="1E2F2EAD"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nízké hodnoty vápníku v krvi</w:t>
      </w:r>
    </w:p>
    <w:p w14:paraId="131E68D5"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nízké hodnoty fosforu v krvi</w:t>
      </w:r>
    </w:p>
    <w:p w14:paraId="10A87FE2"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vysoké hladiny krevního cukru</w:t>
      </w:r>
    </w:p>
    <w:p w14:paraId="2B3EC60A"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vysoké hodnoty laktátdehydrogenázy v krvi</w:t>
      </w:r>
    </w:p>
    <w:p w14:paraId="2240254F"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přítomnost autoprotilátek v krvi</w:t>
      </w:r>
    </w:p>
    <w:p w14:paraId="11E3F99B"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nízká hladina draslíku v krvi</w:t>
      </w:r>
    </w:p>
    <w:p w14:paraId="71EB61BC" w14:textId="77777777" w:rsidR="00D80CCA" w:rsidRPr="001B4A02" w:rsidRDefault="00D80CCA" w:rsidP="00D80CCA">
      <w:pPr>
        <w:pStyle w:val="EMEANormal"/>
        <w:tabs>
          <w:tab w:val="left" w:pos="0"/>
        </w:tabs>
        <w:suppressAutoHyphens w:val="0"/>
        <w:rPr>
          <w:lang w:val="cs-CZ"/>
        </w:rPr>
      </w:pPr>
    </w:p>
    <w:p w14:paraId="6E114C80" w14:textId="77777777" w:rsidR="00D80CCA" w:rsidRPr="001B4A02" w:rsidRDefault="00000000" w:rsidP="00262E54">
      <w:pPr>
        <w:keepNext/>
        <w:ind w:left="0" w:right="-29" w:firstLine="0"/>
      </w:pPr>
      <w:r w:rsidRPr="001B4A02">
        <w:rPr>
          <w:b/>
        </w:rPr>
        <w:t>Méně časté</w:t>
      </w:r>
      <w:r w:rsidRPr="001B4A02">
        <w:t xml:space="preserve"> (</w:t>
      </w:r>
      <w:r w:rsidRPr="001B4A02">
        <w:rPr>
          <w:shd w:val="clear" w:color="auto" w:fill="FFFFFF"/>
        </w:rPr>
        <w:t>mohou postihnout nejvýše 1 ze 100 osob</w:t>
      </w:r>
      <w:r w:rsidRPr="001B4A02">
        <w:t>)</w:t>
      </w:r>
    </w:p>
    <w:p w14:paraId="28B0B739" w14:textId="77777777" w:rsidR="00D80CCA" w:rsidRPr="001B4A02" w:rsidRDefault="00D80CCA" w:rsidP="00262E54">
      <w:pPr>
        <w:keepNext/>
        <w:ind w:left="0" w:right="-29" w:firstLine="0"/>
      </w:pPr>
    </w:p>
    <w:p w14:paraId="1E71CEC4" w14:textId="77777777" w:rsidR="00D80CCA" w:rsidRPr="001B4A02" w:rsidRDefault="00000000" w:rsidP="00D80CCA">
      <w:pPr>
        <w:pStyle w:val="EMEANormal"/>
        <w:numPr>
          <w:ilvl w:val="0"/>
          <w:numId w:val="48"/>
        </w:numPr>
        <w:tabs>
          <w:tab w:val="clear" w:pos="562"/>
          <w:tab w:val="clear" w:pos="720"/>
        </w:tabs>
        <w:suppressAutoHyphens w:val="0"/>
        <w:ind w:left="567" w:hanging="567"/>
        <w:rPr>
          <w:lang w:val="cs-CZ"/>
        </w:rPr>
      </w:pPr>
      <w:r w:rsidRPr="001B4A02">
        <w:rPr>
          <w:lang w:val="cs-CZ"/>
        </w:rPr>
        <w:t>zvýšená hladina bilirubinu (jaterní test z krve)</w:t>
      </w:r>
    </w:p>
    <w:p w14:paraId="0F15EC81" w14:textId="77777777" w:rsidR="00D80CCA" w:rsidRPr="001B4A02" w:rsidRDefault="00D80CCA" w:rsidP="00D80CCA">
      <w:pPr>
        <w:pStyle w:val="EMEANormal"/>
        <w:tabs>
          <w:tab w:val="left" w:pos="0"/>
        </w:tabs>
        <w:suppressAutoHyphens w:val="0"/>
        <w:rPr>
          <w:lang w:val="cs-CZ"/>
        </w:rPr>
      </w:pPr>
    </w:p>
    <w:p w14:paraId="571EC649" w14:textId="77777777" w:rsidR="00D80CCA" w:rsidRPr="001B4A02" w:rsidRDefault="00000000" w:rsidP="00262E54">
      <w:pPr>
        <w:pStyle w:val="EMEANormal"/>
        <w:keepNext/>
        <w:tabs>
          <w:tab w:val="left" w:pos="0"/>
        </w:tabs>
        <w:suppressAutoHyphens w:val="0"/>
        <w:rPr>
          <w:lang w:val="cs-CZ"/>
        </w:rPr>
      </w:pPr>
      <w:r w:rsidRPr="001B4A02">
        <w:rPr>
          <w:b/>
          <w:lang w:val="cs-CZ"/>
        </w:rPr>
        <w:t>Vzácné</w:t>
      </w:r>
      <w:r w:rsidRPr="001B4A02">
        <w:rPr>
          <w:lang w:val="cs-CZ"/>
        </w:rPr>
        <w:t xml:space="preserve"> (mohou postihnout nejvýše 1 z 1 000 osob)</w:t>
      </w:r>
    </w:p>
    <w:p w14:paraId="52A9CBEA" w14:textId="77777777" w:rsidR="00D80CCA" w:rsidRPr="001B4A02" w:rsidRDefault="00D80CCA" w:rsidP="00262E54">
      <w:pPr>
        <w:pStyle w:val="EMEANormal"/>
        <w:keepNext/>
        <w:tabs>
          <w:tab w:val="left" w:pos="0"/>
        </w:tabs>
        <w:suppressAutoHyphens w:val="0"/>
        <w:rPr>
          <w:lang w:val="cs-CZ"/>
        </w:rPr>
      </w:pPr>
    </w:p>
    <w:p w14:paraId="5700B157" w14:textId="77777777" w:rsidR="00D80CCA" w:rsidRPr="001B4A02" w:rsidRDefault="00000000" w:rsidP="00D80CCA">
      <w:pPr>
        <w:pStyle w:val="EMEANormal"/>
        <w:numPr>
          <w:ilvl w:val="2"/>
          <w:numId w:val="17"/>
        </w:numPr>
        <w:tabs>
          <w:tab w:val="clear" w:pos="562"/>
          <w:tab w:val="clear" w:pos="2160"/>
        </w:tabs>
        <w:suppressAutoHyphens w:val="0"/>
        <w:ind w:left="567" w:hanging="567"/>
        <w:rPr>
          <w:lang w:val="cs-CZ"/>
        </w:rPr>
      </w:pPr>
      <w:r w:rsidRPr="001B4A02">
        <w:rPr>
          <w:lang w:val="cs-CZ"/>
        </w:rPr>
        <w:t>nízké počty bílých krvinek, červených krvinek</w:t>
      </w:r>
      <w:r w:rsidR="002378E0">
        <w:rPr>
          <w:lang w:val="cs-CZ"/>
        </w:rPr>
        <w:t xml:space="preserve"> a </w:t>
      </w:r>
      <w:r w:rsidRPr="001B4A02">
        <w:rPr>
          <w:lang w:val="cs-CZ"/>
        </w:rPr>
        <w:t>krevních destiček</w:t>
      </w:r>
    </w:p>
    <w:p w14:paraId="50A02E92" w14:textId="77777777" w:rsidR="00D80CCA" w:rsidRPr="001B4A02" w:rsidRDefault="00D80CCA" w:rsidP="0009084E">
      <w:pPr>
        <w:numPr>
          <w:ilvl w:val="12"/>
          <w:numId w:val="0"/>
        </w:numPr>
      </w:pPr>
    </w:p>
    <w:p w14:paraId="2C277A52" w14:textId="77777777" w:rsidR="00D80CCA" w:rsidRPr="001B4A02" w:rsidRDefault="00000000" w:rsidP="0009084E">
      <w:pPr>
        <w:keepNext/>
        <w:numPr>
          <w:ilvl w:val="12"/>
          <w:numId w:val="0"/>
        </w:numPr>
        <w:rPr>
          <w:b/>
        </w:rPr>
      </w:pPr>
      <w:r w:rsidRPr="001B4A02">
        <w:rPr>
          <w:b/>
        </w:rPr>
        <w:t>Hlášení nežádoucích účinků</w:t>
      </w:r>
    </w:p>
    <w:p w14:paraId="018C691F" w14:textId="77777777" w:rsidR="00D80CCA" w:rsidRPr="001B4A02" w:rsidRDefault="00000000" w:rsidP="0009084E">
      <w:pPr>
        <w:numPr>
          <w:ilvl w:val="12"/>
          <w:numId w:val="0"/>
        </w:numPr>
      </w:pPr>
      <w:r w:rsidRPr="001B4A02">
        <w:t>Pokud se u Vás vyskytne kterýkoli z nežádoucích účinků, sdělte to svému lékaři nebo lékárníkovi. Stejně postupujte i v případě jakýchkoli nežádoucích účinků, které nejsou uvedeny v této příbalové informaci.</w:t>
      </w:r>
      <w:r w:rsidR="008F0064">
        <w:t xml:space="preserve"> </w:t>
      </w:r>
      <w:r w:rsidRPr="001B4A02">
        <w:t xml:space="preserve">Nežádoucí účinky můžete hlásit také přímo prostřednictvím </w:t>
      </w:r>
      <w:r w:rsidRPr="001B4A02">
        <w:rPr>
          <w:shd w:val="clear" w:color="auto" w:fill="A6A6A6"/>
        </w:rPr>
        <w:t>národního systému hlášení nežádoucích účinků uvedeného v </w:t>
      </w:r>
      <w:hyperlink r:id="rId61" w:history="1">
        <w:r w:rsidR="00D80CCA" w:rsidRPr="001B4A02">
          <w:rPr>
            <w:rStyle w:val="Hyperlink"/>
            <w:shd w:val="clear" w:color="auto" w:fill="A6A6A6"/>
          </w:rPr>
          <w:t>Dodatku V</w:t>
        </w:r>
      </w:hyperlink>
      <w:r w:rsidRPr="001B4A02">
        <w:rPr>
          <w:shd w:val="clear" w:color="auto" w:fill="FFFFFF"/>
        </w:rPr>
        <w:t>.</w:t>
      </w:r>
      <w:r w:rsidRPr="001B4A02">
        <w:t xml:space="preserve"> Nahlášením nežádoucích účinků můžete přispět k získání více informací o bezpečnosti tohoto přípravku.</w:t>
      </w:r>
    </w:p>
    <w:p w14:paraId="02A968C3" w14:textId="77777777" w:rsidR="00D80CCA" w:rsidRPr="001B4A02" w:rsidRDefault="00D80CCA" w:rsidP="0009084E">
      <w:pPr>
        <w:ind w:left="0" w:firstLine="0"/>
      </w:pPr>
    </w:p>
    <w:p w14:paraId="3824B18C" w14:textId="77777777" w:rsidR="00D80CCA" w:rsidRPr="001B4A02" w:rsidRDefault="00D80CCA" w:rsidP="0009084E">
      <w:pPr>
        <w:ind w:left="0" w:firstLine="0"/>
      </w:pPr>
    </w:p>
    <w:p w14:paraId="72BC0961" w14:textId="77777777" w:rsidR="00D80CCA" w:rsidRPr="001B4A02" w:rsidRDefault="00000000" w:rsidP="00262E54">
      <w:pPr>
        <w:keepNext/>
        <w:numPr>
          <w:ilvl w:val="12"/>
          <w:numId w:val="0"/>
        </w:numPr>
        <w:ind w:left="567" w:hanging="567"/>
        <w:outlineLvl w:val="1"/>
      </w:pPr>
      <w:r w:rsidRPr="001B4A02">
        <w:rPr>
          <w:b/>
        </w:rPr>
        <w:t>5.</w:t>
      </w:r>
      <w:r w:rsidRPr="001B4A02">
        <w:rPr>
          <w:b/>
        </w:rPr>
        <w:tab/>
        <w:t>Jak přípravek Humira uchovávat</w:t>
      </w:r>
    </w:p>
    <w:p w14:paraId="32C0C4B3" w14:textId="77777777" w:rsidR="00D80CCA" w:rsidRPr="001B4A02" w:rsidRDefault="00D80CCA" w:rsidP="00262E54">
      <w:pPr>
        <w:keepNext/>
        <w:numPr>
          <w:ilvl w:val="12"/>
          <w:numId w:val="0"/>
        </w:numPr>
      </w:pPr>
    </w:p>
    <w:p w14:paraId="2846E79D" w14:textId="77777777" w:rsidR="00D80CCA" w:rsidRPr="001B4A02" w:rsidRDefault="00000000" w:rsidP="0009084E">
      <w:pPr>
        <w:ind w:left="0" w:firstLine="0"/>
      </w:pPr>
      <w:r w:rsidRPr="001B4A02">
        <w:t>Uchovávejte tento přípravek mimo dohled</w:t>
      </w:r>
      <w:r w:rsidR="002378E0">
        <w:t xml:space="preserve"> a </w:t>
      </w:r>
      <w:r w:rsidRPr="001B4A02">
        <w:t>dosah dětí.</w:t>
      </w:r>
    </w:p>
    <w:p w14:paraId="43302AAE" w14:textId="77777777" w:rsidR="00D80CCA" w:rsidRPr="001B4A02" w:rsidRDefault="00D80CCA" w:rsidP="0009084E">
      <w:pPr>
        <w:ind w:left="0" w:firstLine="0"/>
      </w:pPr>
    </w:p>
    <w:p w14:paraId="29E23B57" w14:textId="77777777" w:rsidR="00D80CCA" w:rsidRPr="001B4A02" w:rsidRDefault="00000000" w:rsidP="0009084E">
      <w:pPr>
        <w:ind w:left="0" w:firstLine="0"/>
      </w:pPr>
      <w:r w:rsidRPr="001B4A02">
        <w:t>Nepoužívejte přípravek Humira po uplynutí doby použitelnosti uvedené na lahvičce/bl</w:t>
      </w:r>
      <w:r w:rsidR="00DD1650">
        <w:t>istru/krabičce za EXP.</w:t>
      </w:r>
    </w:p>
    <w:p w14:paraId="670B422F" w14:textId="77777777" w:rsidR="00D80CCA" w:rsidRPr="001B4A02" w:rsidRDefault="00D80CCA" w:rsidP="0009084E">
      <w:pPr>
        <w:ind w:left="0" w:firstLine="0"/>
      </w:pPr>
    </w:p>
    <w:p w14:paraId="35F6ED27" w14:textId="77777777" w:rsidR="00D80CCA" w:rsidRPr="001B4A02" w:rsidRDefault="00000000" w:rsidP="0009084E">
      <w:pPr>
        <w:tabs>
          <w:tab w:val="left" w:pos="567"/>
        </w:tabs>
        <w:ind w:left="0" w:firstLine="0"/>
      </w:pPr>
      <w:r w:rsidRPr="001B4A02">
        <w:t>Uchovávejte v chladničce (2</w:t>
      </w:r>
      <w:r w:rsidR="00DD1650">
        <w:t xml:space="preserve"> °C</w:t>
      </w:r>
      <w:r w:rsidR="004E7B71">
        <w:t xml:space="preserve"> </w:t>
      </w:r>
      <w:r w:rsidR="00DD1650">
        <w:t>–</w:t>
      </w:r>
      <w:r w:rsidR="004E7B71">
        <w:t xml:space="preserve"> </w:t>
      </w:r>
      <w:r w:rsidR="00DD1650">
        <w:t>8 °C). Chraňte před mrazem.</w:t>
      </w:r>
    </w:p>
    <w:p w14:paraId="5CF4B01B" w14:textId="77777777" w:rsidR="00D80CCA" w:rsidRPr="001B4A02" w:rsidRDefault="00D80CCA" w:rsidP="0009084E">
      <w:pPr>
        <w:tabs>
          <w:tab w:val="left" w:pos="567"/>
        </w:tabs>
        <w:ind w:left="0" w:firstLine="0"/>
      </w:pPr>
    </w:p>
    <w:p w14:paraId="3214EBD4" w14:textId="77777777" w:rsidR="00D80CCA" w:rsidRPr="001B4A02" w:rsidRDefault="00000000" w:rsidP="0009084E">
      <w:pPr>
        <w:tabs>
          <w:tab w:val="left" w:pos="567"/>
        </w:tabs>
        <w:ind w:left="0" w:firstLine="0"/>
      </w:pPr>
      <w:r w:rsidRPr="001B4A02">
        <w:t>Uchovávejte předplněnou injekční stříkačku v krabičce, aby byl přípravek chráněn před světlem.</w:t>
      </w:r>
    </w:p>
    <w:p w14:paraId="67A7ECB2" w14:textId="77777777" w:rsidR="00D80CCA" w:rsidRPr="001B4A02" w:rsidRDefault="00D80CCA" w:rsidP="0009084E">
      <w:pPr>
        <w:tabs>
          <w:tab w:val="left" w:pos="708"/>
        </w:tabs>
        <w:autoSpaceDE w:val="0"/>
        <w:autoSpaceDN w:val="0"/>
        <w:adjustRightInd w:val="0"/>
        <w:ind w:left="0" w:firstLine="0"/>
        <w:rPr>
          <w:szCs w:val="22"/>
          <w:lang w:eastAsia="en-GB"/>
        </w:rPr>
      </w:pPr>
    </w:p>
    <w:p w14:paraId="303049D9" w14:textId="77777777" w:rsidR="00D80CCA" w:rsidRPr="001B4A02" w:rsidRDefault="00000000" w:rsidP="00262E54">
      <w:pPr>
        <w:keepNext/>
        <w:tabs>
          <w:tab w:val="left" w:pos="708"/>
        </w:tabs>
        <w:autoSpaceDE w:val="0"/>
        <w:autoSpaceDN w:val="0"/>
        <w:adjustRightInd w:val="0"/>
        <w:ind w:left="0" w:firstLine="0"/>
        <w:rPr>
          <w:szCs w:val="22"/>
          <w:lang w:eastAsia="en-GB"/>
        </w:rPr>
      </w:pPr>
      <w:r w:rsidRPr="001B4A02">
        <w:rPr>
          <w:szCs w:val="22"/>
          <w:lang w:eastAsia="en-GB"/>
        </w:rPr>
        <w:t>Jiná možnost uchovávání:</w:t>
      </w:r>
    </w:p>
    <w:p w14:paraId="478DD3DC" w14:textId="77777777" w:rsidR="00D80CCA" w:rsidRPr="001B4A02" w:rsidRDefault="00D80CCA" w:rsidP="00262E54">
      <w:pPr>
        <w:keepNext/>
        <w:tabs>
          <w:tab w:val="left" w:pos="708"/>
        </w:tabs>
        <w:autoSpaceDE w:val="0"/>
        <w:autoSpaceDN w:val="0"/>
        <w:adjustRightInd w:val="0"/>
        <w:ind w:left="0" w:firstLine="0"/>
        <w:rPr>
          <w:szCs w:val="22"/>
          <w:lang w:eastAsia="en-GB"/>
        </w:rPr>
      </w:pPr>
    </w:p>
    <w:p w14:paraId="27058A72" w14:textId="77777777" w:rsidR="00D80CCA" w:rsidRPr="001B4A02" w:rsidRDefault="00000000" w:rsidP="0009084E">
      <w:pPr>
        <w:tabs>
          <w:tab w:val="left" w:pos="0"/>
        </w:tabs>
        <w:autoSpaceDE w:val="0"/>
        <w:autoSpaceDN w:val="0"/>
        <w:adjustRightInd w:val="0"/>
        <w:ind w:left="0" w:firstLine="0"/>
        <w:rPr>
          <w:szCs w:val="22"/>
          <w:lang w:eastAsia="en-GB"/>
        </w:rPr>
      </w:pPr>
      <w:r w:rsidRPr="001B4A02">
        <w:rPr>
          <w:szCs w:val="22"/>
          <w:lang w:eastAsia="en-GB"/>
        </w:rPr>
        <w:t>Pokud je to potřeba (například pokud cestujete), je možno uchovávat jednotlivé předplněné injekční stříkačky přípravku Humira při pokojové teplotě (až do 25 °C) po dobu maximálně 14 dní. Vždy se ujistěte, že je přípravek chráněn před světlem. Jakmile je vyjmut z lednice</w:t>
      </w:r>
      <w:r w:rsidR="002378E0">
        <w:rPr>
          <w:szCs w:val="22"/>
          <w:lang w:eastAsia="en-GB"/>
        </w:rPr>
        <w:t xml:space="preserve"> a </w:t>
      </w:r>
      <w:r w:rsidRPr="001B4A02">
        <w:rPr>
          <w:szCs w:val="22"/>
          <w:lang w:eastAsia="en-GB"/>
        </w:rPr>
        <w:t xml:space="preserve">ponechán při pokojové teplotě, stříkačka </w:t>
      </w:r>
      <w:r w:rsidRPr="001B4A02">
        <w:rPr>
          <w:b/>
          <w:szCs w:val="22"/>
          <w:lang w:eastAsia="en-GB"/>
        </w:rPr>
        <w:t>musí být použita do 14 dní nebo zlikvidována,</w:t>
      </w:r>
      <w:r w:rsidR="002378E0">
        <w:rPr>
          <w:b/>
          <w:szCs w:val="22"/>
          <w:lang w:eastAsia="en-GB"/>
        </w:rPr>
        <w:t xml:space="preserve"> a </w:t>
      </w:r>
      <w:r w:rsidRPr="001B4A02">
        <w:rPr>
          <w:szCs w:val="22"/>
          <w:lang w:eastAsia="en-GB"/>
        </w:rPr>
        <w:t>to i v situaci, kdy je vrácena zpět do lednice.</w:t>
      </w:r>
    </w:p>
    <w:p w14:paraId="1A9D03FE" w14:textId="77777777" w:rsidR="00D80CCA" w:rsidRPr="001B4A02" w:rsidRDefault="00D80CCA" w:rsidP="0009084E">
      <w:pPr>
        <w:tabs>
          <w:tab w:val="left" w:pos="708"/>
        </w:tabs>
        <w:autoSpaceDE w:val="0"/>
        <w:autoSpaceDN w:val="0"/>
        <w:adjustRightInd w:val="0"/>
        <w:ind w:left="0" w:firstLine="0"/>
        <w:rPr>
          <w:szCs w:val="22"/>
          <w:lang w:eastAsia="en-GB"/>
        </w:rPr>
      </w:pPr>
    </w:p>
    <w:p w14:paraId="14AEF32E" w14:textId="77777777" w:rsidR="00D80CCA" w:rsidRPr="001B4A02" w:rsidRDefault="00000000" w:rsidP="0009084E">
      <w:pPr>
        <w:ind w:left="0" w:firstLine="0"/>
        <w:rPr>
          <w:b/>
        </w:rPr>
      </w:pPr>
      <w:r w:rsidRPr="0043226A">
        <w:rPr>
          <w:szCs w:val="22"/>
          <w:lang w:eastAsia="en-GB"/>
        </w:rPr>
        <w:t>Poznamenejte si</w:t>
      </w:r>
      <w:r w:rsidRPr="001B4A02">
        <w:rPr>
          <w:szCs w:val="22"/>
          <w:lang w:eastAsia="en-GB"/>
        </w:rPr>
        <w:t xml:space="preserve"> datum, kdy jste stříkačku poprvé vyjmul(a) z lednice,</w:t>
      </w:r>
      <w:r w:rsidR="002378E0">
        <w:rPr>
          <w:szCs w:val="22"/>
          <w:lang w:eastAsia="en-GB"/>
        </w:rPr>
        <w:t xml:space="preserve"> a </w:t>
      </w:r>
      <w:r w:rsidRPr="001B4A02">
        <w:rPr>
          <w:szCs w:val="22"/>
          <w:lang w:eastAsia="en-GB"/>
        </w:rPr>
        <w:t>také datum, kdy je třeba ji znehodnotit</w:t>
      </w:r>
      <w:r w:rsidRPr="001B4A02">
        <w:t>.</w:t>
      </w:r>
    </w:p>
    <w:p w14:paraId="16B3DF44" w14:textId="77777777" w:rsidR="00D80CCA" w:rsidRPr="001B4A02" w:rsidRDefault="00D80CCA" w:rsidP="0009084E">
      <w:pPr>
        <w:ind w:left="0" w:firstLine="0"/>
      </w:pPr>
    </w:p>
    <w:p w14:paraId="0D88E5FC" w14:textId="77777777" w:rsidR="00D80CCA" w:rsidRPr="001B4A02" w:rsidRDefault="00000000" w:rsidP="0009084E">
      <w:pPr>
        <w:ind w:left="0" w:firstLine="0"/>
      </w:pPr>
      <w:r w:rsidRPr="001B4A02">
        <w:t xml:space="preserve">Nevyhazujte žádné léčivé přípravky do odpadních vod nebo domácího odpadu. Zeptejte se svého lékárníka, jak naložit s přípravky, které již nepoužíváte. Tato opatření pomáhají chránit životní prostředí. </w:t>
      </w:r>
    </w:p>
    <w:p w14:paraId="57EBA373" w14:textId="77777777" w:rsidR="00D80CCA" w:rsidRPr="001B4A02" w:rsidRDefault="00D80CCA" w:rsidP="0009084E">
      <w:pPr>
        <w:ind w:left="0" w:firstLine="0"/>
      </w:pPr>
    </w:p>
    <w:p w14:paraId="05EA67BF" w14:textId="77777777" w:rsidR="00D80CCA" w:rsidRPr="001B4A02" w:rsidRDefault="00D80CCA" w:rsidP="0009084E">
      <w:pPr>
        <w:ind w:left="0" w:firstLine="0"/>
      </w:pPr>
    </w:p>
    <w:p w14:paraId="0C9AAC42" w14:textId="77777777" w:rsidR="00D80CCA" w:rsidRPr="001B4A02" w:rsidRDefault="00000000" w:rsidP="00262E54">
      <w:pPr>
        <w:keepNext/>
        <w:numPr>
          <w:ilvl w:val="12"/>
          <w:numId w:val="0"/>
        </w:numPr>
        <w:ind w:left="567" w:hanging="567"/>
        <w:outlineLvl w:val="1"/>
        <w:rPr>
          <w:b/>
        </w:rPr>
      </w:pPr>
      <w:r w:rsidRPr="001B4A02">
        <w:rPr>
          <w:b/>
        </w:rPr>
        <w:t>6.</w:t>
      </w:r>
      <w:r w:rsidRPr="001B4A02">
        <w:rPr>
          <w:b/>
        </w:rPr>
        <w:tab/>
        <w:t>Obsah balení</w:t>
      </w:r>
      <w:r w:rsidR="002378E0">
        <w:rPr>
          <w:b/>
        </w:rPr>
        <w:t xml:space="preserve"> a </w:t>
      </w:r>
      <w:r w:rsidRPr="001B4A02">
        <w:rPr>
          <w:b/>
        </w:rPr>
        <w:t>další informace</w:t>
      </w:r>
    </w:p>
    <w:p w14:paraId="24CF175A" w14:textId="77777777" w:rsidR="00D80CCA" w:rsidRPr="001B4A02" w:rsidRDefault="00D80CCA" w:rsidP="00262E54">
      <w:pPr>
        <w:keepNext/>
        <w:ind w:left="0" w:firstLine="0"/>
      </w:pPr>
    </w:p>
    <w:p w14:paraId="37BF9417" w14:textId="77777777" w:rsidR="00D80CCA" w:rsidRPr="001B4A02" w:rsidRDefault="00000000" w:rsidP="00262E54">
      <w:pPr>
        <w:keepNext/>
        <w:numPr>
          <w:ilvl w:val="12"/>
          <w:numId w:val="0"/>
        </w:numPr>
        <w:rPr>
          <w:b/>
          <w:bCs/>
        </w:rPr>
      </w:pPr>
      <w:r w:rsidRPr="001B4A02">
        <w:rPr>
          <w:b/>
          <w:bCs/>
        </w:rPr>
        <w:t xml:space="preserve">Co </w:t>
      </w:r>
      <w:r w:rsidRPr="001B4A02">
        <w:rPr>
          <w:b/>
        </w:rPr>
        <w:t xml:space="preserve">přípravek </w:t>
      </w:r>
      <w:r w:rsidRPr="001B4A02">
        <w:rPr>
          <w:b/>
          <w:bCs/>
        </w:rPr>
        <w:t>Humira obsahuje</w:t>
      </w:r>
    </w:p>
    <w:p w14:paraId="4BA0F944" w14:textId="77777777" w:rsidR="00D80CCA" w:rsidRPr="001B4A02" w:rsidRDefault="00D80CCA" w:rsidP="00262E54">
      <w:pPr>
        <w:keepNext/>
        <w:ind w:left="0" w:firstLine="0"/>
      </w:pPr>
    </w:p>
    <w:p w14:paraId="79878768" w14:textId="77777777" w:rsidR="00D80CCA" w:rsidRPr="001B4A02" w:rsidRDefault="00000000" w:rsidP="0009084E">
      <w:pPr>
        <w:ind w:left="0" w:firstLine="0"/>
      </w:pPr>
      <w:r w:rsidRPr="001B4A02">
        <w:t>Léčivou látkou je adalimumab</w:t>
      </w:r>
      <w:del w:id="13768" w:author="Abbvie02" w:date="2025-05-16T11:51:00Z">
        <w:r w:rsidRPr="001B4A02">
          <w:delText>um</w:delText>
        </w:r>
      </w:del>
      <w:r w:rsidRPr="001B4A02">
        <w:t>.</w:t>
      </w:r>
    </w:p>
    <w:p w14:paraId="5F629B96" w14:textId="77777777" w:rsidR="00D80CCA" w:rsidRPr="001B4A02" w:rsidRDefault="00000000" w:rsidP="0009084E">
      <w:pPr>
        <w:ind w:left="0" w:firstLine="0"/>
      </w:pPr>
      <w:r w:rsidRPr="001B4A02">
        <w:t>Pomocnými látkami jsou mannitol, polysorbát 80</w:t>
      </w:r>
      <w:r w:rsidR="002378E0">
        <w:t xml:space="preserve"> a </w:t>
      </w:r>
      <w:r w:rsidRPr="001B4A02">
        <w:t>voda pro injekci.</w:t>
      </w:r>
    </w:p>
    <w:p w14:paraId="64F7BE9A" w14:textId="77777777" w:rsidR="00D80CCA" w:rsidRPr="001B4A02" w:rsidRDefault="00D80CCA" w:rsidP="0009084E">
      <w:pPr>
        <w:ind w:left="0" w:firstLine="0"/>
      </w:pPr>
    </w:p>
    <w:p w14:paraId="0F58167B" w14:textId="77777777" w:rsidR="00D80CCA" w:rsidRPr="001B4A02" w:rsidRDefault="00000000" w:rsidP="0009084E">
      <w:pPr>
        <w:keepNext/>
        <w:numPr>
          <w:ilvl w:val="12"/>
          <w:numId w:val="0"/>
        </w:numPr>
        <w:rPr>
          <w:b/>
          <w:bCs/>
        </w:rPr>
      </w:pPr>
      <w:r w:rsidRPr="001B4A02">
        <w:rPr>
          <w:b/>
          <w:bCs/>
        </w:rPr>
        <w:t>Jak přípravek Humira injekční roztok v předplněné injekční stříkačce vypadá</w:t>
      </w:r>
      <w:r w:rsidR="002378E0">
        <w:rPr>
          <w:b/>
          <w:bCs/>
        </w:rPr>
        <w:t xml:space="preserve"> a </w:t>
      </w:r>
      <w:r w:rsidRPr="001B4A02">
        <w:rPr>
          <w:b/>
          <w:bCs/>
        </w:rPr>
        <w:t>co obsahuje toto balení</w:t>
      </w:r>
    </w:p>
    <w:p w14:paraId="41631BD0" w14:textId="77777777" w:rsidR="00D80CCA" w:rsidRPr="001B4A02" w:rsidRDefault="00D80CCA" w:rsidP="0009084E">
      <w:pPr>
        <w:keepNext/>
        <w:numPr>
          <w:ilvl w:val="12"/>
          <w:numId w:val="0"/>
        </w:numPr>
        <w:rPr>
          <w:bCs/>
        </w:rPr>
      </w:pPr>
    </w:p>
    <w:p w14:paraId="122EDE12" w14:textId="77777777" w:rsidR="00D80CCA" w:rsidRPr="001B4A02" w:rsidRDefault="00000000" w:rsidP="00384AEC">
      <w:pPr>
        <w:ind w:left="0" w:firstLine="0"/>
      </w:pPr>
      <w:r w:rsidRPr="001B4A02">
        <w:t>Přípravek Humira 40 mg injekční roztok v předplněné injekční stříkačce je dodáván jako sterilní roztok 40</w:t>
      </w:r>
      <w:r w:rsidR="00A7483D">
        <w:t> mg</w:t>
      </w:r>
      <w:r w:rsidRPr="001B4A02">
        <w:t xml:space="preserve"> adalimumabu, rozpuštěného v 0,4</w:t>
      </w:r>
      <w:r w:rsidR="00443CD1" w:rsidRPr="001B4A02">
        <w:t> </w:t>
      </w:r>
      <w:r w:rsidRPr="001B4A02">
        <w:t>ml roztoku.</w:t>
      </w:r>
    </w:p>
    <w:p w14:paraId="2B0A1469" w14:textId="77777777" w:rsidR="00D80CCA" w:rsidRPr="001B4A02" w:rsidRDefault="00D80CCA" w:rsidP="00384AEC">
      <w:pPr>
        <w:ind w:left="0" w:firstLine="0"/>
      </w:pPr>
    </w:p>
    <w:p w14:paraId="3CBDB8A4" w14:textId="77777777" w:rsidR="00D80CCA" w:rsidRPr="001B4A02" w:rsidRDefault="00000000" w:rsidP="0009084E">
      <w:pPr>
        <w:ind w:left="0" w:firstLine="0"/>
      </w:pPr>
      <w:r w:rsidRPr="001B4A02">
        <w:t>Přípravek Humira injekční roztok v předplněné injekční stříkačce je skleněná injekční stříkačka, která obsahuje roztok adalimumabu. Jedno balení určené pro použití pacientem obsahuje</w:t>
      </w:r>
      <w:r w:rsidR="00DD1650">
        <w:t xml:space="preserve"> </w:t>
      </w:r>
      <w:r w:rsidRPr="001B4A02">
        <w:t>1, 2, 4 nebo</w:t>
      </w:r>
      <w:r w:rsidR="00DD1650">
        <w:t xml:space="preserve"> </w:t>
      </w:r>
      <w:r w:rsidRPr="001B4A02">
        <w:t>6 předplněných injekčních stříkaček</w:t>
      </w:r>
      <w:r w:rsidR="002378E0">
        <w:t xml:space="preserve"> a </w:t>
      </w:r>
      <w:r w:rsidRPr="001B4A02">
        <w:t>1, 2, 4 nebo 6</w:t>
      </w:r>
      <w:r w:rsidR="00DD1650">
        <w:t xml:space="preserve"> tamp</w:t>
      </w:r>
      <w:ins w:id="13769" w:author="Abbvie02" w:date="2025-05-16T12:33:00Z">
        <w:r w:rsidR="009165EF">
          <w:t>o</w:t>
        </w:r>
      </w:ins>
      <w:del w:id="13770" w:author="Abbvie02" w:date="2025-05-16T12:33:00Z">
        <w:r w:rsidR="00DD1650">
          <w:delText>ó</w:delText>
        </w:r>
      </w:del>
      <w:r w:rsidR="00DD1650">
        <w:t>nů napuštěných alkoholem.</w:t>
      </w:r>
    </w:p>
    <w:p w14:paraId="556143C5" w14:textId="77777777" w:rsidR="00D80CCA" w:rsidRPr="001B4A02" w:rsidRDefault="00D80CCA" w:rsidP="0009084E">
      <w:pPr>
        <w:ind w:left="0" w:firstLine="0"/>
      </w:pPr>
    </w:p>
    <w:p w14:paraId="0F71AE64" w14:textId="77777777" w:rsidR="00D80CCA" w:rsidRPr="001B4A02" w:rsidRDefault="00000000" w:rsidP="0009084E">
      <w:pPr>
        <w:ind w:left="0" w:firstLine="0"/>
      </w:pPr>
      <w:r w:rsidRPr="001B4A02">
        <w:t>Na trhu nemusí být všechny velikosti balení.</w:t>
      </w:r>
    </w:p>
    <w:p w14:paraId="173BF34B" w14:textId="77777777" w:rsidR="00D80CCA" w:rsidRPr="001B4A02" w:rsidRDefault="00D80CCA" w:rsidP="0009084E">
      <w:pPr>
        <w:ind w:left="0" w:firstLine="0"/>
      </w:pPr>
    </w:p>
    <w:p w14:paraId="71F14A3A" w14:textId="77777777" w:rsidR="00D80CCA" w:rsidRPr="001B4A02" w:rsidRDefault="00000000" w:rsidP="0009084E">
      <w:pPr>
        <w:numPr>
          <w:ilvl w:val="12"/>
          <w:numId w:val="0"/>
        </w:numPr>
      </w:pPr>
      <w:r w:rsidRPr="001B4A02">
        <w:t>Přípravek Humira je k </w:t>
      </w:r>
      <w:r w:rsidR="00C92B1C" w:rsidRPr="001B4A02">
        <w:t>dispozici</w:t>
      </w:r>
      <w:r w:rsidRPr="001B4A02">
        <w:t xml:space="preserve"> jako injekční lahvička, předplněná injekční stříkačka a/nebo předplněné pero.</w:t>
      </w:r>
    </w:p>
    <w:p w14:paraId="50B985EF" w14:textId="77777777" w:rsidR="00D80CCA" w:rsidRPr="001B4A02" w:rsidRDefault="00D80CCA" w:rsidP="0009084E">
      <w:pPr>
        <w:ind w:left="0" w:firstLine="0"/>
      </w:pPr>
    </w:p>
    <w:p w14:paraId="78540D31" w14:textId="77777777" w:rsidR="00D80CCA" w:rsidRPr="001B4A02" w:rsidRDefault="00000000" w:rsidP="0009084E">
      <w:pPr>
        <w:keepNext/>
        <w:ind w:left="0" w:firstLine="0"/>
        <w:rPr>
          <w:b/>
        </w:rPr>
      </w:pPr>
      <w:r w:rsidRPr="001B4A02">
        <w:rPr>
          <w:b/>
        </w:rPr>
        <w:t>Držitel rozhodnutí o registraci</w:t>
      </w:r>
    </w:p>
    <w:p w14:paraId="4B8B1C2B" w14:textId="77777777" w:rsidR="00D80CCA" w:rsidRPr="001B4A02" w:rsidRDefault="00D80CCA" w:rsidP="0009084E">
      <w:pPr>
        <w:keepNext/>
        <w:ind w:left="0" w:firstLine="0"/>
      </w:pPr>
    </w:p>
    <w:p w14:paraId="32C471C4" w14:textId="77777777" w:rsidR="00D80CCA" w:rsidRPr="001B4A02" w:rsidRDefault="00000000" w:rsidP="0009084E">
      <w:pPr>
        <w:keepNext/>
        <w:autoSpaceDE w:val="0"/>
        <w:autoSpaceDN w:val="0"/>
        <w:adjustRightInd w:val="0"/>
        <w:ind w:left="0" w:firstLine="0"/>
        <w:rPr>
          <w:szCs w:val="22"/>
          <w:lang w:eastAsia="en-GB"/>
        </w:rPr>
      </w:pPr>
      <w:r w:rsidRPr="001B4A02">
        <w:rPr>
          <w:szCs w:val="22"/>
          <w:lang w:eastAsia="en-GB"/>
        </w:rPr>
        <w:t>AbbVie Deutschland GmbH &amp; Co. KG</w:t>
      </w:r>
    </w:p>
    <w:p w14:paraId="354D455E" w14:textId="77777777" w:rsidR="00D80CCA" w:rsidRPr="001B4A02" w:rsidRDefault="00000000" w:rsidP="00262E54">
      <w:pPr>
        <w:autoSpaceDE w:val="0"/>
        <w:autoSpaceDN w:val="0"/>
        <w:adjustRightInd w:val="0"/>
        <w:ind w:left="0" w:firstLine="0"/>
        <w:rPr>
          <w:szCs w:val="22"/>
          <w:lang w:eastAsia="en-GB"/>
        </w:rPr>
      </w:pPr>
      <w:r w:rsidRPr="001B4A02">
        <w:rPr>
          <w:szCs w:val="22"/>
          <w:lang w:eastAsia="en-GB"/>
        </w:rPr>
        <w:t>Knollstrasse</w:t>
      </w:r>
    </w:p>
    <w:p w14:paraId="706B06D4" w14:textId="77777777" w:rsidR="00D80CCA" w:rsidRPr="001B4A02" w:rsidRDefault="00000000" w:rsidP="00262E54">
      <w:pPr>
        <w:autoSpaceDE w:val="0"/>
        <w:autoSpaceDN w:val="0"/>
        <w:adjustRightInd w:val="0"/>
        <w:ind w:left="0" w:firstLine="0"/>
        <w:rPr>
          <w:szCs w:val="22"/>
          <w:lang w:eastAsia="en-GB"/>
        </w:rPr>
      </w:pPr>
      <w:r w:rsidRPr="001B4A02">
        <w:rPr>
          <w:szCs w:val="22"/>
          <w:lang w:eastAsia="en-GB"/>
        </w:rPr>
        <w:t>67061 Ludwigshafen</w:t>
      </w:r>
    </w:p>
    <w:p w14:paraId="54F1F17E" w14:textId="77777777" w:rsidR="00D80CCA" w:rsidRPr="001B4A02" w:rsidRDefault="00000000" w:rsidP="0009084E">
      <w:pPr>
        <w:ind w:left="0" w:firstLine="0"/>
      </w:pPr>
      <w:r w:rsidRPr="001B4A02">
        <w:rPr>
          <w:szCs w:val="22"/>
          <w:lang w:eastAsia="en-GB"/>
        </w:rPr>
        <w:t>Německo</w:t>
      </w:r>
    </w:p>
    <w:p w14:paraId="60CA5FFD" w14:textId="77777777" w:rsidR="00D80CCA" w:rsidRPr="001B4A02" w:rsidRDefault="00D80CCA" w:rsidP="0009084E">
      <w:pPr>
        <w:ind w:left="0" w:firstLine="0"/>
      </w:pPr>
    </w:p>
    <w:p w14:paraId="4ED1585B" w14:textId="77777777" w:rsidR="00D80CCA" w:rsidRPr="001B4A02" w:rsidRDefault="00000000" w:rsidP="004950AA">
      <w:pPr>
        <w:keepNext/>
        <w:ind w:left="0" w:firstLine="0"/>
        <w:rPr>
          <w:b/>
        </w:rPr>
      </w:pPr>
      <w:r w:rsidRPr="001B4A02">
        <w:rPr>
          <w:b/>
        </w:rPr>
        <w:t>Výrobce</w:t>
      </w:r>
    </w:p>
    <w:p w14:paraId="50378708" w14:textId="77777777" w:rsidR="00D80CCA" w:rsidRPr="001B4A02" w:rsidRDefault="00D80CCA" w:rsidP="004950AA">
      <w:pPr>
        <w:keepNext/>
        <w:ind w:left="0" w:firstLine="0"/>
      </w:pPr>
    </w:p>
    <w:p w14:paraId="7D440DED" w14:textId="77777777" w:rsidR="00D80CCA" w:rsidRPr="001B4A02" w:rsidRDefault="00000000" w:rsidP="0009084E">
      <w:pPr>
        <w:ind w:left="0" w:firstLine="0"/>
      </w:pPr>
      <w:r w:rsidRPr="001B4A02">
        <w:t>AbbVie Biotechnology GmbH</w:t>
      </w:r>
    </w:p>
    <w:p w14:paraId="36D73D00" w14:textId="77777777" w:rsidR="00D80CCA" w:rsidRPr="001B4A02" w:rsidRDefault="00000000" w:rsidP="0009084E">
      <w:pPr>
        <w:numPr>
          <w:ilvl w:val="12"/>
          <w:numId w:val="0"/>
        </w:numPr>
        <w:tabs>
          <w:tab w:val="left" w:pos="720"/>
        </w:tabs>
      </w:pPr>
      <w:r w:rsidRPr="001B4A02">
        <w:t>Knollstrasse</w:t>
      </w:r>
    </w:p>
    <w:p w14:paraId="7A4C053C" w14:textId="77777777" w:rsidR="00D80CCA" w:rsidRPr="001B4A02" w:rsidRDefault="00000000" w:rsidP="0009084E">
      <w:pPr>
        <w:numPr>
          <w:ilvl w:val="12"/>
          <w:numId w:val="0"/>
        </w:numPr>
        <w:tabs>
          <w:tab w:val="left" w:pos="720"/>
        </w:tabs>
      </w:pPr>
      <w:r w:rsidRPr="001B4A02">
        <w:t>67061 Ludwigshafen</w:t>
      </w:r>
    </w:p>
    <w:p w14:paraId="5171BFA3" w14:textId="77777777" w:rsidR="00D80CCA" w:rsidRPr="001B4A02" w:rsidRDefault="00000000" w:rsidP="0009084E">
      <w:pPr>
        <w:numPr>
          <w:ilvl w:val="12"/>
          <w:numId w:val="0"/>
        </w:numPr>
        <w:tabs>
          <w:tab w:val="left" w:pos="720"/>
        </w:tabs>
      </w:pPr>
      <w:r w:rsidRPr="001B4A02">
        <w:t>Německo</w:t>
      </w:r>
    </w:p>
    <w:p w14:paraId="13D1BF56" w14:textId="77777777" w:rsidR="00D80CCA" w:rsidRPr="001B4A02" w:rsidRDefault="00D80CCA" w:rsidP="0009084E">
      <w:pPr>
        <w:ind w:left="0" w:firstLine="0"/>
      </w:pPr>
    </w:p>
    <w:p w14:paraId="70A60807" w14:textId="77777777" w:rsidR="00D80CCA" w:rsidRPr="001B4A02" w:rsidRDefault="00000000" w:rsidP="0009084E">
      <w:pPr>
        <w:keepNext/>
        <w:numPr>
          <w:ilvl w:val="12"/>
          <w:numId w:val="0"/>
        </w:numPr>
      </w:pPr>
      <w:r w:rsidRPr="001B4A02">
        <w:t>Další informace o tomto přípravku získáte u místního zástupce držitele rozhodnutí o registraci:</w:t>
      </w:r>
    </w:p>
    <w:p w14:paraId="2C8EE0D1" w14:textId="77777777" w:rsidR="00D80CCA" w:rsidRPr="001B4A02" w:rsidRDefault="00D80CCA" w:rsidP="0009084E">
      <w:pPr>
        <w:keepNext/>
        <w:ind w:left="0" w:firstLine="0"/>
        <w:rPr>
          <w:sz w:val="24"/>
          <w:szCs w:val="24"/>
        </w:rPr>
      </w:pPr>
    </w:p>
    <w:tbl>
      <w:tblPr>
        <w:tblW w:w="9356" w:type="dxa"/>
        <w:tblInd w:w="-34" w:type="dxa"/>
        <w:tblLayout w:type="fixed"/>
        <w:tblLook w:val="0000" w:firstRow="0" w:lastRow="0" w:firstColumn="0" w:lastColumn="0" w:noHBand="0" w:noVBand="0"/>
      </w:tblPr>
      <w:tblGrid>
        <w:gridCol w:w="34"/>
        <w:gridCol w:w="4610"/>
        <w:gridCol w:w="34"/>
        <w:gridCol w:w="4678"/>
      </w:tblGrid>
      <w:tr w:rsidR="00534A2D" w14:paraId="3D054618" w14:textId="77777777" w:rsidTr="001F79B0">
        <w:tc>
          <w:tcPr>
            <w:tcW w:w="4644" w:type="dxa"/>
            <w:gridSpan w:val="2"/>
          </w:tcPr>
          <w:p w14:paraId="0053778A" w14:textId="77777777" w:rsidR="00AC4204" w:rsidRPr="00BD646C" w:rsidRDefault="00000000" w:rsidP="001F79B0">
            <w:pPr>
              <w:rPr>
                <w:b/>
                <w:bCs/>
                <w:szCs w:val="22"/>
                <w:lang w:val="fr-BE"/>
              </w:rPr>
            </w:pPr>
            <w:r w:rsidRPr="00BD646C">
              <w:rPr>
                <w:b/>
                <w:bCs/>
                <w:szCs w:val="22"/>
                <w:lang w:val="fr-BE"/>
              </w:rPr>
              <w:t>België/Belgique/Belgien</w:t>
            </w:r>
          </w:p>
          <w:p w14:paraId="1D1D92CC" w14:textId="77777777" w:rsidR="00AC4204" w:rsidRPr="00BD646C" w:rsidRDefault="00000000" w:rsidP="001F79B0">
            <w:pPr>
              <w:rPr>
                <w:bCs/>
                <w:szCs w:val="22"/>
                <w:lang w:val="fr-FR"/>
              </w:rPr>
            </w:pPr>
            <w:r w:rsidRPr="00BD646C">
              <w:rPr>
                <w:bCs/>
                <w:szCs w:val="22"/>
                <w:lang w:val="fr-FR"/>
              </w:rPr>
              <w:t>AbbVie SA</w:t>
            </w:r>
          </w:p>
          <w:p w14:paraId="12954F4A" w14:textId="77777777" w:rsidR="00AC4204" w:rsidRPr="00BD646C" w:rsidRDefault="00000000" w:rsidP="001F79B0">
            <w:pPr>
              <w:rPr>
                <w:szCs w:val="22"/>
                <w:lang w:val="fr-FR"/>
              </w:rPr>
            </w:pPr>
            <w:r w:rsidRPr="00BD646C">
              <w:rPr>
                <w:bCs/>
                <w:szCs w:val="22"/>
                <w:lang w:val="fr-FR"/>
              </w:rPr>
              <w:t xml:space="preserve">Tél/Tel: +32 10 </w:t>
            </w:r>
            <w:r w:rsidRPr="00BD646C">
              <w:rPr>
                <w:szCs w:val="22"/>
                <w:lang w:val="fr-FR"/>
              </w:rPr>
              <w:t>477811</w:t>
            </w:r>
          </w:p>
          <w:p w14:paraId="050F8E12" w14:textId="77777777" w:rsidR="00AC4204" w:rsidRPr="00BD646C" w:rsidRDefault="00AC4204" w:rsidP="001F79B0">
            <w:pPr>
              <w:rPr>
                <w:bCs/>
                <w:szCs w:val="22"/>
                <w:lang w:val="fr-FR"/>
              </w:rPr>
            </w:pPr>
          </w:p>
        </w:tc>
        <w:tc>
          <w:tcPr>
            <w:tcW w:w="4678" w:type="dxa"/>
            <w:gridSpan w:val="2"/>
          </w:tcPr>
          <w:p w14:paraId="40CA0741" w14:textId="77777777" w:rsidR="00AC4204" w:rsidRPr="00BD646C" w:rsidRDefault="00000000" w:rsidP="001F79B0">
            <w:pPr>
              <w:rPr>
                <w:b/>
                <w:bCs/>
                <w:szCs w:val="22"/>
                <w:lang w:val="lt-LT"/>
              </w:rPr>
            </w:pPr>
            <w:r w:rsidRPr="00BD646C">
              <w:rPr>
                <w:b/>
                <w:bCs/>
                <w:szCs w:val="22"/>
                <w:lang w:val="lt-LT"/>
              </w:rPr>
              <w:t>Lietuva</w:t>
            </w:r>
          </w:p>
          <w:p w14:paraId="218523BA" w14:textId="77777777" w:rsidR="00AC4204" w:rsidRPr="00BD646C" w:rsidRDefault="00000000" w:rsidP="001F79B0">
            <w:pPr>
              <w:rPr>
                <w:bCs/>
                <w:szCs w:val="22"/>
                <w:lang w:val="lv-LV"/>
              </w:rPr>
            </w:pPr>
            <w:r w:rsidRPr="00BD646C">
              <w:rPr>
                <w:bCs/>
                <w:szCs w:val="22"/>
                <w:lang w:val="lv-LV"/>
              </w:rPr>
              <w:t xml:space="preserve">AbbVie UAB </w:t>
            </w:r>
          </w:p>
          <w:p w14:paraId="0BB86B9E" w14:textId="77777777" w:rsidR="00AC4204" w:rsidRPr="00BD646C" w:rsidRDefault="00000000" w:rsidP="001F79B0">
            <w:pPr>
              <w:rPr>
                <w:bCs/>
                <w:szCs w:val="22"/>
                <w:lang w:val="lv-LV"/>
              </w:rPr>
            </w:pPr>
            <w:r w:rsidRPr="00BD646C">
              <w:rPr>
                <w:bCs/>
                <w:szCs w:val="22"/>
                <w:lang w:val="lv-LV"/>
              </w:rPr>
              <w:t>Tel: +370 5 205 3023</w:t>
            </w:r>
          </w:p>
        </w:tc>
      </w:tr>
      <w:tr w:rsidR="00534A2D" w14:paraId="3E81B062" w14:textId="77777777" w:rsidTr="001F79B0">
        <w:tc>
          <w:tcPr>
            <w:tcW w:w="4644" w:type="dxa"/>
            <w:gridSpan w:val="2"/>
          </w:tcPr>
          <w:p w14:paraId="0E5EDB51" w14:textId="77777777" w:rsidR="00AC4204" w:rsidRPr="00BD646C" w:rsidRDefault="00000000" w:rsidP="001F79B0">
            <w:pPr>
              <w:rPr>
                <w:b/>
                <w:bCs/>
                <w:szCs w:val="22"/>
                <w:lang w:val="bg-BG"/>
              </w:rPr>
            </w:pPr>
            <w:r w:rsidRPr="00BD646C">
              <w:rPr>
                <w:b/>
                <w:bCs/>
                <w:szCs w:val="22"/>
                <w:lang w:val="bg-BG"/>
              </w:rPr>
              <w:t>България</w:t>
            </w:r>
          </w:p>
          <w:p w14:paraId="681068AC" w14:textId="77777777" w:rsidR="00AC4204" w:rsidRPr="00BD646C" w:rsidRDefault="00000000" w:rsidP="001F79B0">
            <w:pPr>
              <w:rPr>
                <w:szCs w:val="22"/>
                <w:lang w:val="da-DK"/>
              </w:rPr>
            </w:pPr>
            <w:r w:rsidRPr="00BD646C">
              <w:rPr>
                <w:szCs w:val="22"/>
                <w:lang w:val="sk-SK"/>
              </w:rPr>
              <w:t>АбВи ЕООД</w:t>
            </w:r>
          </w:p>
          <w:p w14:paraId="588C7BCE" w14:textId="77777777" w:rsidR="00AC4204" w:rsidRPr="00BD646C" w:rsidRDefault="00000000" w:rsidP="001F79B0">
            <w:pPr>
              <w:rPr>
                <w:bCs/>
                <w:szCs w:val="22"/>
                <w:lang w:val="da-DK"/>
              </w:rPr>
            </w:pPr>
            <w:r w:rsidRPr="00BD646C">
              <w:rPr>
                <w:szCs w:val="22"/>
                <w:lang w:val="sk-SK"/>
              </w:rPr>
              <w:t>Тел</w:t>
            </w:r>
            <w:r w:rsidRPr="00BD646C">
              <w:rPr>
                <w:szCs w:val="22"/>
                <w:lang w:val="it-IT"/>
              </w:rPr>
              <w:t>.:+359 2 90 30 430</w:t>
            </w:r>
          </w:p>
        </w:tc>
        <w:tc>
          <w:tcPr>
            <w:tcW w:w="4678" w:type="dxa"/>
            <w:gridSpan w:val="2"/>
          </w:tcPr>
          <w:p w14:paraId="20766834" w14:textId="77777777" w:rsidR="00AC4204" w:rsidRPr="00BD646C" w:rsidRDefault="00000000" w:rsidP="001F79B0">
            <w:pPr>
              <w:rPr>
                <w:b/>
                <w:bCs/>
                <w:szCs w:val="22"/>
                <w:lang w:val="de-DE"/>
              </w:rPr>
            </w:pPr>
            <w:r w:rsidRPr="00BD646C">
              <w:rPr>
                <w:b/>
                <w:bCs/>
                <w:szCs w:val="22"/>
                <w:lang w:val="de-DE"/>
              </w:rPr>
              <w:t>Luxembourg/Luxemburg</w:t>
            </w:r>
          </w:p>
          <w:p w14:paraId="7988489C" w14:textId="77777777" w:rsidR="00AC4204" w:rsidRPr="00BD646C" w:rsidRDefault="00000000" w:rsidP="001F79B0">
            <w:pPr>
              <w:rPr>
                <w:bCs/>
                <w:szCs w:val="22"/>
                <w:lang w:val="de-DE"/>
              </w:rPr>
            </w:pPr>
            <w:r w:rsidRPr="00BD646C">
              <w:rPr>
                <w:bCs/>
                <w:szCs w:val="22"/>
                <w:lang w:val="de-DE"/>
              </w:rPr>
              <w:t>AbbVie SA</w:t>
            </w:r>
          </w:p>
          <w:p w14:paraId="7C5691F0" w14:textId="77777777" w:rsidR="00AC4204" w:rsidRPr="00BD646C" w:rsidRDefault="00000000" w:rsidP="001F79B0">
            <w:pPr>
              <w:rPr>
                <w:bCs/>
                <w:szCs w:val="22"/>
                <w:lang w:val="de-DE"/>
              </w:rPr>
            </w:pPr>
            <w:r w:rsidRPr="00BD646C">
              <w:rPr>
                <w:bCs/>
                <w:szCs w:val="22"/>
                <w:lang w:val="de-DE"/>
              </w:rPr>
              <w:t>Belgique/Belgien</w:t>
            </w:r>
          </w:p>
          <w:p w14:paraId="20299B67" w14:textId="77777777" w:rsidR="00AC4204" w:rsidRPr="00BD646C" w:rsidRDefault="00000000" w:rsidP="001F79B0">
            <w:pPr>
              <w:rPr>
                <w:bCs/>
                <w:szCs w:val="22"/>
                <w:lang w:val="fr-FR"/>
              </w:rPr>
            </w:pPr>
            <w:r w:rsidRPr="00BD646C">
              <w:rPr>
                <w:bCs/>
                <w:szCs w:val="22"/>
                <w:lang w:val="fr-FR"/>
              </w:rPr>
              <w:t>Tél/Tel: +32 10 477811</w:t>
            </w:r>
          </w:p>
          <w:p w14:paraId="773B7197" w14:textId="77777777" w:rsidR="00AC4204" w:rsidRPr="00BD646C" w:rsidRDefault="00AC4204" w:rsidP="001F79B0">
            <w:pPr>
              <w:rPr>
                <w:bCs/>
                <w:szCs w:val="22"/>
                <w:lang w:val="fr-FR"/>
              </w:rPr>
            </w:pPr>
          </w:p>
        </w:tc>
      </w:tr>
      <w:tr w:rsidR="00534A2D" w14:paraId="060C1184" w14:textId="77777777" w:rsidTr="001F79B0">
        <w:tc>
          <w:tcPr>
            <w:tcW w:w="4644" w:type="dxa"/>
            <w:gridSpan w:val="2"/>
          </w:tcPr>
          <w:p w14:paraId="10586344" w14:textId="77777777" w:rsidR="00AC4204" w:rsidRPr="00BD646C" w:rsidRDefault="00000000" w:rsidP="001F79B0">
            <w:pPr>
              <w:keepNext/>
              <w:rPr>
                <w:b/>
                <w:bCs/>
                <w:szCs w:val="22"/>
                <w:lang w:val="sk-SK"/>
              </w:rPr>
            </w:pPr>
            <w:r w:rsidRPr="00BD646C">
              <w:rPr>
                <w:b/>
                <w:bCs/>
                <w:szCs w:val="22"/>
                <w:lang w:val="sk-SK"/>
              </w:rPr>
              <w:t>Česká republika</w:t>
            </w:r>
          </w:p>
          <w:p w14:paraId="29E4DC01" w14:textId="77777777" w:rsidR="00AC4204" w:rsidRPr="00BD646C" w:rsidRDefault="00000000" w:rsidP="001F79B0">
            <w:pPr>
              <w:keepNext/>
              <w:rPr>
                <w:bCs/>
                <w:szCs w:val="22"/>
                <w:lang w:val="sk-SK"/>
              </w:rPr>
            </w:pPr>
            <w:r w:rsidRPr="00BD646C">
              <w:rPr>
                <w:bCs/>
                <w:szCs w:val="22"/>
                <w:lang w:val="sk-SK"/>
              </w:rPr>
              <w:t xml:space="preserve">AbbVie s.r.o. </w:t>
            </w:r>
          </w:p>
          <w:p w14:paraId="4BD8E3F6" w14:textId="77777777" w:rsidR="00AC4204" w:rsidRPr="00BD646C" w:rsidRDefault="00000000" w:rsidP="001F79B0">
            <w:pPr>
              <w:keepNext/>
              <w:rPr>
                <w:bCs/>
                <w:szCs w:val="22"/>
                <w:lang w:val="sk-SK"/>
              </w:rPr>
            </w:pPr>
            <w:r w:rsidRPr="00BD646C">
              <w:rPr>
                <w:bCs/>
                <w:szCs w:val="22"/>
                <w:lang w:val="sk-SK"/>
              </w:rPr>
              <w:t>Tel: +420 233 098 111</w:t>
            </w:r>
          </w:p>
        </w:tc>
        <w:tc>
          <w:tcPr>
            <w:tcW w:w="4678" w:type="dxa"/>
            <w:gridSpan w:val="2"/>
          </w:tcPr>
          <w:p w14:paraId="5AAE26C9" w14:textId="77777777" w:rsidR="00AC4204" w:rsidRPr="00BD646C" w:rsidRDefault="00000000" w:rsidP="001F79B0">
            <w:pPr>
              <w:keepNext/>
              <w:rPr>
                <w:b/>
                <w:bCs/>
                <w:szCs w:val="22"/>
                <w:lang w:val="hu-HU"/>
              </w:rPr>
            </w:pPr>
            <w:r w:rsidRPr="00BD646C">
              <w:rPr>
                <w:b/>
                <w:bCs/>
                <w:szCs w:val="22"/>
                <w:lang w:val="hu-HU"/>
              </w:rPr>
              <w:t>Magyarország</w:t>
            </w:r>
          </w:p>
          <w:p w14:paraId="6612E5BA" w14:textId="77777777" w:rsidR="00AC4204" w:rsidRPr="00BD646C" w:rsidRDefault="00000000" w:rsidP="001F79B0">
            <w:pPr>
              <w:keepNext/>
              <w:rPr>
                <w:bCs/>
                <w:szCs w:val="22"/>
                <w:lang w:val="hu-HU"/>
              </w:rPr>
            </w:pPr>
            <w:r w:rsidRPr="00BD646C">
              <w:rPr>
                <w:bCs/>
                <w:szCs w:val="22"/>
                <w:lang w:val="hu-HU"/>
              </w:rPr>
              <w:t>AbbVie Kft.</w:t>
            </w:r>
          </w:p>
          <w:p w14:paraId="7E04024F" w14:textId="77777777" w:rsidR="00AC4204" w:rsidRPr="00BD646C" w:rsidRDefault="00000000" w:rsidP="001F79B0">
            <w:pPr>
              <w:keepNext/>
              <w:rPr>
                <w:bCs/>
                <w:szCs w:val="22"/>
                <w:lang w:val="hu-HU"/>
              </w:rPr>
            </w:pPr>
            <w:r w:rsidRPr="00BD646C">
              <w:rPr>
                <w:bCs/>
                <w:szCs w:val="22"/>
                <w:lang w:val="hu-HU"/>
              </w:rPr>
              <w:t>Tel.:+36 1 455 8600</w:t>
            </w:r>
          </w:p>
          <w:p w14:paraId="7AD9868F" w14:textId="77777777" w:rsidR="00AC4204" w:rsidRPr="00BD646C" w:rsidRDefault="00AC4204" w:rsidP="001F79B0">
            <w:pPr>
              <w:keepNext/>
              <w:rPr>
                <w:bCs/>
                <w:szCs w:val="22"/>
                <w:lang w:val="hu-HU"/>
              </w:rPr>
            </w:pPr>
          </w:p>
        </w:tc>
      </w:tr>
      <w:tr w:rsidR="00534A2D" w14:paraId="3D809695" w14:textId="77777777" w:rsidTr="001F79B0">
        <w:trPr>
          <w:trHeight w:val="737"/>
        </w:trPr>
        <w:tc>
          <w:tcPr>
            <w:tcW w:w="4644" w:type="dxa"/>
            <w:gridSpan w:val="2"/>
          </w:tcPr>
          <w:p w14:paraId="1808A848" w14:textId="77777777" w:rsidR="00AC4204" w:rsidRPr="00BD646C" w:rsidRDefault="00000000" w:rsidP="001F79B0">
            <w:pPr>
              <w:rPr>
                <w:b/>
                <w:bCs/>
                <w:szCs w:val="22"/>
                <w:lang w:val="en-US"/>
              </w:rPr>
            </w:pPr>
            <w:r w:rsidRPr="00BD646C">
              <w:rPr>
                <w:b/>
                <w:bCs/>
                <w:szCs w:val="22"/>
                <w:lang w:val="en-US"/>
              </w:rPr>
              <w:t>Danmark</w:t>
            </w:r>
          </w:p>
          <w:p w14:paraId="1F2C95E5" w14:textId="77777777" w:rsidR="00AC4204" w:rsidRPr="00BD646C" w:rsidRDefault="00000000" w:rsidP="001F79B0">
            <w:pPr>
              <w:rPr>
                <w:bCs/>
                <w:szCs w:val="22"/>
                <w:lang w:val="en-US"/>
              </w:rPr>
            </w:pPr>
            <w:r w:rsidRPr="00BD646C">
              <w:rPr>
                <w:bCs/>
                <w:szCs w:val="22"/>
                <w:lang w:val="en-US"/>
              </w:rPr>
              <w:t>AbbVie A/S</w:t>
            </w:r>
          </w:p>
          <w:p w14:paraId="0C7F2D77" w14:textId="77777777" w:rsidR="00AC4204" w:rsidRPr="00BD646C" w:rsidRDefault="00000000" w:rsidP="001F79B0">
            <w:pPr>
              <w:rPr>
                <w:bCs/>
                <w:szCs w:val="22"/>
                <w:lang w:val="sk-SK"/>
              </w:rPr>
            </w:pPr>
            <w:r w:rsidRPr="00BD646C">
              <w:rPr>
                <w:bCs/>
                <w:szCs w:val="22"/>
                <w:lang w:val="en-US"/>
              </w:rPr>
              <w:t>Tlf</w:t>
            </w:r>
            <w:ins w:id="13771" w:author="AbbVie1" w:date="2025-05-13T10:14:00Z">
              <w:r w:rsidR="00FC50CC">
                <w:rPr>
                  <w:bCs/>
                  <w:szCs w:val="22"/>
                  <w:lang w:val="en-US"/>
                </w:rPr>
                <w:t>.</w:t>
              </w:r>
            </w:ins>
            <w:r w:rsidRPr="00BD646C">
              <w:rPr>
                <w:bCs/>
                <w:szCs w:val="22"/>
                <w:lang w:val="en-US"/>
              </w:rPr>
              <w:t>: +45 72 30-20-28</w:t>
            </w:r>
          </w:p>
        </w:tc>
        <w:tc>
          <w:tcPr>
            <w:tcW w:w="4678" w:type="dxa"/>
            <w:gridSpan w:val="2"/>
          </w:tcPr>
          <w:p w14:paraId="05FFD559" w14:textId="77777777" w:rsidR="00AC4204" w:rsidRPr="00BD646C" w:rsidRDefault="00000000" w:rsidP="001F79B0">
            <w:pPr>
              <w:rPr>
                <w:b/>
                <w:bCs/>
                <w:szCs w:val="22"/>
                <w:lang w:val="mt-MT"/>
              </w:rPr>
            </w:pPr>
            <w:r w:rsidRPr="00BD646C">
              <w:rPr>
                <w:b/>
                <w:bCs/>
                <w:szCs w:val="22"/>
                <w:lang w:val="mt-MT"/>
              </w:rPr>
              <w:t>Malta</w:t>
            </w:r>
          </w:p>
          <w:p w14:paraId="42A863C4" w14:textId="77777777" w:rsidR="00AC4204" w:rsidRPr="00BD646C" w:rsidRDefault="00000000" w:rsidP="001F79B0">
            <w:pPr>
              <w:rPr>
                <w:bCs/>
                <w:szCs w:val="22"/>
                <w:lang w:val="sk-SK"/>
              </w:rPr>
            </w:pPr>
            <w:r w:rsidRPr="00BD646C">
              <w:rPr>
                <w:bCs/>
                <w:szCs w:val="22"/>
                <w:lang w:val="sk-SK"/>
              </w:rPr>
              <w:t xml:space="preserve">V.J.Salomone Pharma Limited </w:t>
            </w:r>
          </w:p>
          <w:p w14:paraId="51082507" w14:textId="77777777" w:rsidR="00AC4204" w:rsidRPr="00BD646C" w:rsidRDefault="00000000" w:rsidP="001F79B0">
            <w:pPr>
              <w:rPr>
                <w:bCs/>
                <w:szCs w:val="22"/>
                <w:lang w:val="sk-SK"/>
              </w:rPr>
            </w:pPr>
            <w:r w:rsidRPr="00BD646C">
              <w:rPr>
                <w:bCs/>
                <w:szCs w:val="22"/>
                <w:lang w:val="sk-SK"/>
              </w:rPr>
              <w:t xml:space="preserve">Tel: </w:t>
            </w:r>
            <w:r>
              <w:rPr>
                <w:bCs/>
                <w:szCs w:val="22"/>
              </w:rPr>
              <w:t>+356 21220174</w:t>
            </w:r>
          </w:p>
          <w:p w14:paraId="40815AAE" w14:textId="77777777" w:rsidR="00AC4204" w:rsidRPr="00BD646C" w:rsidRDefault="00AC4204" w:rsidP="001F79B0">
            <w:pPr>
              <w:rPr>
                <w:bCs/>
                <w:szCs w:val="22"/>
                <w:lang w:val="sk-SK"/>
              </w:rPr>
            </w:pPr>
          </w:p>
        </w:tc>
      </w:tr>
      <w:tr w:rsidR="00534A2D" w14:paraId="44A5744D" w14:textId="77777777" w:rsidTr="001F79B0">
        <w:tc>
          <w:tcPr>
            <w:tcW w:w="4644" w:type="dxa"/>
            <w:gridSpan w:val="2"/>
          </w:tcPr>
          <w:p w14:paraId="091DB603" w14:textId="77777777" w:rsidR="00AC4204" w:rsidRPr="00BD646C" w:rsidRDefault="00000000" w:rsidP="001F79B0">
            <w:pPr>
              <w:rPr>
                <w:b/>
                <w:bCs/>
                <w:szCs w:val="22"/>
                <w:lang w:val="de-DE"/>
              </w:rPr>
            </w:pPr>
            <w:r w:rsidRPr="00BD646C">
              <w:rPr>
                <w:b/>
                <w:bCs/>
                <w:szCs w:val="22"/>
                <w:lang w:val="de-DE"/>
              </w:rPr>
              <w:t>Deutschland</w:t>
            </w:r>
          </w:p>
          <w:p w14:paraId="53DC496F" w14:textId="77777777" w:rsidR="00AC4204" w:rsidRPr="00BD646C" w:rsidRDefault="00000000" w:rsidP="001F79B0">
            <w:pPr>
              <w:rPr>
                <w:bCs/>
                <w:szCs w:val="22"/>
                <w:lang w:val="de-DE"/>
              </w:rPr>
            </w:pPr>
            <w:r w:rsidRPr="00BD646C">
              <w:rPr>
                <w:szCs w:val="22"/>
                <w:lang w:val="de-DE"/>
              </w:rPr>
              <w:t xml:space="preserve">AbbVie Deutschland </w:t>
            </w:r>
            <w:r w:rsidRPr="00BD646C">
              <w:rPr>
                <w:bCs/>
                <w:szCs w:val="22"/>
                <w:lang w:val="de-DE"/>
              </w:rPr>
              <w:t>GmbH &amp; Co. KG</w:t>
            </w:r>
          </w:p>
          <w:p w14:paraId="44FA17F1" w14:textId="77777777" w:rsidR="00AC4204" w:rsidRPr="00BD646C" w:rsidRDefault="00000000" w:rsidP="001F79B0">
            <w:pPr>
              <w:rPr>
                <w:szCs w:val="22"/>
                <w:lang w:val="de-DE"/>
              </w:rPr>
            </w:pPr>
            <w:r w:rsidRPr="00BD646C">
              <w:rPr>
                <w:szCs w:val="22"/>
                <w:lang w:val="de-DE"/>
              </w:rPr>
              <w:t>Tel: 00800 222843 33 (gebührenfrei)</w:t>
            </w:r>
          </w:p>
          <w:p w14:paraId="4975529D" w14:textId="77777777" w:rsidR="00AC4204" w:rsidRPr="00BD646C" w:rsidRDefault="00000000" w:rsidP="001F79B0">
            <w:pPr>
              <w:rPr>
                <w:szCs w:val="22"/>
                <w:lang w:val="de-DE"/>
              </w:rPr>
            </w:pPr>
            <w:r w:rsidRPr="00BD646C">
              <w:rPr>
                <w:szCs w:val="22"/>
                <w:lang w:val="de-DE"/>
              </w:rPr>
              <w:t>Tel: +49 (0) 611 / 1720-0</w:t>
            </w:r>
          </w:p>
          <w:p w14:paraId="34EF379D" w14:textId="77777777" w:rsidR="00AC4204" w:rsidRPr="00BD646C" w:rsidRDefault="00AC4204" w:rsidP="001F79B0">
            <w:pPr>
              <w:rPr>
                <w:szCs w:val="22"/>
                <w:lang w:val="de-DE"/>
              </w:rPr>
            </w:pPr>
          </w:p>
        </w:tc>
        <w:tc>
          <w:tcPr>
            <w:tcW w:w="4678" w:type="dxa"/>
            <w:gridSpan w:val="2"/>
          </w:tcPr>
          <w:p w14:paraId="58354F0F" w14:textId="77777777" w:rsidR="00AC4204" w:rsidRPr="00BD646C" w:rsidRDefault="00000000" w:rsidP="001F79B0">
            <w:pPr>
              <w:rPr>
                <w:b/>
                <w:bCs/>
                <w:szCs w:val="22"/>
                <w:lang w:val="nl-NL"/>
              </w:rPr>
            </w:pPr>
            <w:r w:rsidRPr="00BD646C">
              <w:rPr>
                <w:b/>
                <w:bCs/>
                <w:szCs w:val="22"/>
                <w:lang w:val="nl-NL"/>
              </w:rPr>
              <w:t>Nederland</w:t>
            </w:r>
          </w:p>
          <w:p w14:paraId="1026E82A" w14:textId="77777777" w:rsidR="00AC4204" w:rsidRPr="00BD646C" w:rsidRDefault="00000000" w:rsidP="001F79B0">
            <w:pPr>
              <w:rPr>
                <w:bCs/>
                <w:szCs w:val="22"/>
                <w:lang w:val="de-DE"/>
              </w:rPr>
            </w:pPr>
            <w:r w:rsidRPr="00BD646C">
              <w:rPr>
                <w:bCs/>
                <w:szCs w:val="22"/>
                <w:lang w:val="de-DE"/>
              </w:rPr>
              <w:t>AbbVie B.V.</w:t>
            </w:r>
          </w:p>
          <w:p w14:paraId="3FA55472" w14:textId="77777777" w:rsidR="00AC4204" w:rsidRPr="00BD646C" w:rsidRDefault="00000000" w:rsidP="001F79B0">
            <w:pPr>
              <w:rPr>
                <w:bCs/>
                <w:szCs w:val="22"/>
                <w:lang w:val="de-DE"/>
              </w:rPr>
            </w:pPr>
            <w:r w:rsidRPr="00BD646C">
              <w:rPr>
                <w:bCs/>
                <w:szCs w:val="22"/>
                <w:lang w:val="de-DE"/>
              </w:rPr>
              <w:t>Tel: +31 (0)88 322 2843</w:t>
            </w:r>
          </w:p>
        </w:tc>
      </w:tr>
      <w:tr w:rsidR="00534A2D" w14:paraId="7904A978" w14:textId="77777777" w:rsidTr="001F79B0">
        <w:tc>
          <w:tcPr>
            <w:tcW w:w="4644" w:type="dxa"/>
            <w:gridSpan w:val="2"/>
          </w:tcPr>
          <w:p w14:paraId="1A6B947A" w14:textId="77777777" w:rsidR="00AC4204" w:rsidRPr="00BD646C" w:rsidRDefault="00000000" w:rsidP="001F79B0">
            <w:pPr>
              <w:rPr>
                <w:b/>
                <w:bCs/>
                <w:szCs w:val="22"/>
                <w:lang w:val="et-EE"/>
              </w:rPr>
            </w:pPr>
            <w:r w:rsidRPr="00BD646C">
              <w:rPr>
                <w:b/>
                <w:bCs/>
                <w:szCs w:val="22"/>
                <w:lang w:val="et-EE"/>
              </w:rPr>
              <w:t>Eesti</w:t>
            </w:r>
          </w:p>
          <w:p w14:paraId="2C2BD261" w14:textId="77777777" w:rsidR="00AC4204" w:rsidRPr="00BD646C" w:rsidRDefault="00000000" w:rsidP="001F79B0">
            <w:pPr>
              <w:rPr>
                <w:bCs/>
                <w:szCs w:val="22"/>
                <w:lang w:val="et-EE"/>
              </w:rPr>
            </w:pPr>
            <w:r w:rsidRPr="00BD646C">
              <w:rPr>
                <w:bCs/>
                <w:szCs w:val="22"/>
                <w:lang w:val="et-EE"/>
              </w:rPr>
              <w:t xml:space="preserve">AbbVie </w:t>
            </w:r>
            <w:r w:rsidRPr="00BD646C">
              <w:rPr>
                <w:bCs/>
                <w:szCs w:val="22"/>
                <w:lang w:val="sk-SK"/>
              </w:rPr>
              <w:t>OÜ</w:t>
            </w:r>
            <w:r w:rsidRPr="00BD646C">
              <w:rPr>
                <w:bCs/>
                <w:szCs w:val="22"/>
                <w:lang w:val="et-EE"/>
              </w:rPr>
              <w:t xml:space="preserve"> </w:t>
            </w:r>
          </w:p>
          <w:p w14:paraId="2832A6B6" w14:textId="77777777" w:rsidR="00AC4204" w:rsidRPr="00BD646C" w:rsidRDefault="00000000" w:rsidP="001F79B0">
            <w:pPr>
              <w:rPr>
                <w:bCs/>
                <w:szCs w:val="22"/>
                <w:lang w:val="lv-LV"/>
              </w:rPr>
            </w:pPr>
            <w:r w:rsidRPr="00BD646C">
              <w:rPr>
                <w:bCs/>
                <w:szCs w:val="22"/>
                <w:lang w:val="et-EE"/>
              </w:rPr>
              <w:t>Tel: +372 623 1011</w:t>
            </w:r>
          </w:p>
        </w:tc>
        <w:tc>
          <w:tcPr>
            <w:tcW w:w="4678" w:type="dxa"/>
            <w:gridSpan w:val="2"/>
          </w:tcPr>
          <w:p w14:paraId="3A3254EE" w14:textId="77777777" w:rsidR="00AC4204" w:rsidRPr="00BD646C" w:rsidRDefault="00000000" w:rsidP="001F79B0">
            <w:pPr>
              <w:rPr>
                <w:b/>
                <w:bCs/>
                <w:szCs w:val="22"/>
                <w:lang w:val="nb-NO"/>
              </w:rPr>
            </w:pPr>
            <w:r w:rsidRPr="00BD646C">
              <w:rPr>
                <w:b/>
                <w:bCs/>
                <w:szCs w:val="22"/>
                <w:lang w:val="nb-NO"/>
              </w:rPr>
              <w:t>Norge</w:t>
            </w:r>
          </w:p>
          <w:p w14:paraId="37F10CDF" w14:textId="77777777" w:rsidR="00AC4204" w:rsidRPr="00BD646C" w:rsidRDefault="00000000" w:rsidP="001F79B0">
            <w:pPr>
              <w:rPr>
                <w:bCs/>
                <w:szCs w:val="22"/>
                <w:lang w:val="sk-SK"/>
              </w:rPr>
            </w:pPr>
            <w:r w:rsidRPr="00BD646C">
              <w:rPr>
                <w:bCs/>
                <w:szCs w:val="22"/>
                <w:lang w:val="sk-SK"/>
              </w:rPr>
              <w:t>AbbVie AS</w:t>
            </w:r>
          </w:p>
          <w:p w14:paraId="35879BC2" w14:textId="77777777" w:rsidR="00AC4204" w:rsidRPr="00BD646C" w:rsidRDefault="00000000" w:rsidP="001F79B0">
            <w:pPr>
              <w:rPr>
                <w:bCs/>
                <w:szCs w:val="22"/>
                <w:lang w:val="sk-SK"/>
              </w:rPr>
            </w:pPr>
            <w:r w:rsidRPr="00BD646C">
              <w:rPr>
                <w:bCs/>
                <w:szCs w:val="22"/>
                <w:lang w:val="sk-SK"/>
              </w:rPr>
              <w:t>Tlf: +47 67 81 80 00</w:t>
            </w:r>
          </w:p>
          <w:p w14:paraId="2E6F25AA" w14:textId="77777777" w:rsidR="00AC4204" w:rsidRPr="00BD646C" w:rsidRDefault="00AC4204" w:rsidP="001F79B0">
            <w:pPr>
              <w:rPr>
                <w:bCs/>
                <w:szCs w:val="22"/>
                <w:lang w:val="sk-SK"/>
              </w:rPr>
            </w:pPr>
          </w:p>
        </w:tc>
      </w:tr>
      <w:tr w:rsidR="00534A2D" w14:paraId="000BDE0A" w14:textId="77777777" w:rsidTr="001F79B0">
        <w:trPr>
          <w:trHeight w:val="794"/>
        </w:trPr>
        <w:tc>
          <w:tcPr>
            <w:tcW w:w="4644" w:type="dxa"/>
            <w:gridSpan w:val="2"/>
          </w:tcPr>
          <w:p w14:paraId="42E66212" w14:textId="77777777" w:rsidR="00AC4204" w:rsidRPr="00BD646C" w:rsidRDefault="00000000" w:rsidP="001F79B0">
            <w:pPr>
              <w:rPr>
                <w:b/>
                <w:bCs/>
                <w:szCs w:val="22"/>
                <w:lang w:val="el-GR"/>
              </w:rPr>
            </w:pPr>
            <w:r w:rsidRPr="00BD646C">
              <w:rPr>
                <w:b/>
                <w:bCs/>
                <w:szCs w:val="22"/>
                <w:lang w:val="el-GR"/>
              </w:rPr>
              <w:t>Ελλάδα</w:t>
            </w:r>
          </w:p>
          <w:p w14:paraId="1B4D2196" w14:textId="77777777" w:rsidR="00AC4204" w:rsidRPr="00BD646C" w:rsidRDefault="00000000" w:rsidP="001F79B0">
            <w:pPr>
              <w:rPr>
                <w:bCs/>
                <w:szCs w:val="22"/>
                <w:lang w:val="el-GR"/>
              </w:rPr>
            </w:pPr>
            <w:r w:rsidRPr="00BD646C">
              <w:rPr>
                <w:bCs/>
                <w:szCs w:val="22"/>
                <w:lang w:val="et-EE"/>
              </w:rPr>
              <w:t xml:space="preserve">AbbVie </w:t>
            </w:r>
            <w:r w:rsidRPr="00BD646C">
              <w:rPr>
                <w:szCs w:val="22"/>
                <w:lang w:val="el-GR"/>
              </w:rPr>
              <w:t>ΦΑΡΜΑΚΕΥΤΙΚΗ Α.Ε.</w:t>
            </w:r>
          </w:p>
          <w:p w14:paraId="790E312F" w14:textId="77777777" w:rsidR="00AC4204" w:rsidRPr="00BD646C" w:rsidRDefault="00000000" w:rsidP="001F79B0">
            <w:pPr>
              <w:rPr>
                <w:bCs/>
                <w:szCs w:val="22"/>
                <w:lang w:val="sk-SK"/>
              </w:rPr>
            </w:pPr>
            <w:r w:rsidRPr="00BD646C">
              <w:rPr>
                <w:bCs/>
                <w:szCs w:val="22"/>
                <w:lang w:val="el-GR"/>
              </w:rPr>
              <w:t xml:space="preserve">Τηλ: +30 </w:t>
            </w:r>
            <w:r w:rsidRPr="00BD646C">
              <w:rPr>
                <w:bCs/>
                <w:szCs w:val="22"/>
                <w:lang w:val="sk-SK"/>
              </w:rPr>
              <w:t>214 4165 555</w:t>
            </w:r>
          </w:p>
        </w:tc>
        <w:tc>
          <w:tcPr>
            <w:tcW w:w="4678" w:type="dxa"/>
            <w:gridSpan w:val="2"/>
          </w:tcPr>
          <w:p w14:paraId="3081D308" w14:textId="77777777" w:rsidR="00AC4204" w:rsidRPr="00BD646C" w:rsidRDefault="00000000" w:rsidP="001F79B0">
            <w:pPr>
              <w:rPr>
                <w:b/>
                <w:bCs/>
                <w:szCs w:val="22"/>
                <w:lang w:val="de-DE"/>
              </w:rPr>
            </w:pPr>
            <w:r w:rsidRPr="00BD646C">
              <w:rPr>
                <w:b/>
                <w:bCs/>
                <w:szCs w:val="22"/>
                <w:lang w:val="de-DE"/>
              </w:rPr>
              <w:t>Österreich</w:t>
            </w:r>
          </w:p>
          <w:p w14:paraId="7F89B697" w14:textId="77777777" w:rsidR="00AC4204" w:rsidRPr="00BD646C" w:rsidRDefault="00000000" w:rsidP="001F79B0">
            <w:pPr>
              <w:rPr>
                <w:bCs/>
                <w:szCs w:val="22"/>
                <w:lang w:val="de-DE"/>
              </w:rPr>
            </w:pPr>
            <w:r w:rsidRPr="00BD646C">
              <w:rPr>
                <w:bCs/>
                <w:szCs w:val="22"/>
                <w:lang w:val="de-DE"/>
              </w:rPr>
              <w:t xml:space="preserve">AbbVie GmbH </w:t>
            </w:r>
          </w:p>
          <w:p w14:paraId="612EB324" w14:textId="77777777" w:rsidR="00AC4204" w:rsidRPr="00BD646C" w:rsidRDefault="00000000" w:rsidP="001F79B0">
            <w:pPr>
              <w:rPr>
                <w:bCs/>
                <w:szCs w:val="22"/>
                <w:lang w:val="de-DE"/>
              </w:rPr>
            </w:pPr>
            <w:r w:rsidRPr="00BD646C">
              <w:rPr>
                <w:bCs/>
                <w:szCs w:val="22"/>
                <w:lang w:val="de-DE"/>
              </w:rPr>
              <w:t>Tel: +43 1 20589-0</w:t>
            </w:r>
          </w:p>
          <w:p w14:paraId="579B68AF" w14:textId="77777777" w:rsidR="00AC4204" w:rsidRPr="00BD646C" w:rsidRDefault="00AC4204" w:rsidP="001F79B0">
            <w:pPr>
              <w:rPr>
                <w:bCs/>
                <w:szCs w:val="22"/>
                <w:lang w:val="de-DE"/>
              </w:rPr>
            </w:pPr>
          </w:p>
        </w:tc>
      </w:tr>
      <w:tr w:rsidR="00534A2D" w14:paraId="6885E539" w14:textId="77777777" w:rsidTr="001F79B0">
        <w:trPr>
          <w:gridBefore w:val="1"/>
          <w:wBefore w:w="34" w:type="dxa"/>
        </w:trPr>
        <w:tc>
          <w:tcPr>
            <w:tcW w:w="4644" w:type="dxa"/>
            <w:gridSpan w:val="2"/>
          </w:tcPr>
          <w:p w14:paraId="6251DEA7" w14:textId="77777777" w:rsidR="00AC4204" w:rsidRPr="00BD646C" w:rsidRDefault="00000000" w:rsidP="00AC4204">
            <w:pPr>
              <w:keepNext/>
              <w:rPr>
                <w:b/>
                <w:bCs/>
                <w:szCs w:val="22"/>
                <w:lang w:val="es-ES"/>
              </w:rPr>
            </w:pPr>
            <w:r w:rsidRPr="00BD646C">
              <w:rPr>
                <w:b/>
                <w:bCs/>
                <w:szCs w:val="22"/>
                <w:lang w:val="es-ES"/>
              </w:rPr>
              <w:t>España</w:t>
            </w:r>
          </w:p>
          <w:p w14:paraId="79D78F46" w14:textId="77777777" w:rsidR="00AC4204" w:rsidRPr="00BD646C" w:rsidRDefault="00000000" w:rsidP="00AC4204">
            <w:pPr>
              <w:keepNext/>
              <w:rPr>
                <w:szCs w:val="22"/>
                <w:lang w:val="es-ES"/>
              </w:rPr>
            </w:pPr>
            <w:r w:rsidRPr="00BD646C">
              <w:rPr>
                <w:szCs w:val="22"/>
                <w:lang w:val="es-ES"/>
              </w:rPr>
              <w:t xml:space="preserve">AbbVie </w:t>
            </w:r>
            <w:r w:rsidRPr="00BD646C">
              <w:rPr>
                <w:bCs/>
                <w:szCs w:val="22"/>
                <w:lang w:val="es-ES"/>
              </w:rPr>
              <w:t>Spain</w:t>
            </w:r>
            <w:r w:rsidRPr="00BD646C">
              <w:rPr>
                <w:szCs w:val="22"/>
                <w:lang w:val="es-ES"/>
              </w:rPr>
              <w:t>, S.L.U</w:t>
            </w:r>
            <w:r w:rsidRPr="00BD646C">
              <w:rPr>
                <w:bCs/>
                <w:szCs w:val="22"/>
                <w:lang w:val="es-ES"/>
              </w:rPr>
              <w:t>.</w:t>
            </w:r>
          </w:p>
          <w:p w14:paraId="5DA05967" w14:textId="77777777" w:rsidR="00AC4204" w:rsidRPr="00BD646C" w:rsidRDefault="00000000" w:rsidP="00AC4204">
            <w:pPr>
              <w:keepNext/>
              <w:rPr>
                <w:bCs/>
                <w:szCs w:val="22"/>
                <w:lang w:val="pl-PL"/>
              </w:rPr>
            </w:pPr>
            <w:r w:rsidRPr="00BD646C">
              <w:rPr>
                <w:bCs/>
                <w:szCs w:val="22"/>
                <w:lang w:val="pt-PT"/>
              </w:rPr>
              <w:t>Tel: +34 91 384 09 10</w:t>
            </w:r>
          </w:p>
        </w:tc>
        <w:tc>
          <w:tcPr>
            <w:tcW w:w="4678" w:type="dxa"/>
          </w:tcPr>
          <w:p w14:paraId="6B92B0B0" w14:textId="77777777" w:rsidR="00AC4204" w:rsidRPr="00BD646C" w:rsidRDefault="00000000" w:rsidP="00AC4204">
            <w:pPr>
              <w:keepNext/>
              <w:rPr>
                <w:b/>
                <w:bCs/>
                <w:iCs/>
                <w:szCs w:val="22"/>
                <w:lang w:val="pl-PL"/>
              </w:rPr>
            </w:pPr>
            <w:r w:rsidRPr="00BD646C">
              <w:rPr>
                <w:b/>
                <w:bCs/>
                <w:iCs/>
                <w:szCs w:val="22"/>
                <w:lang w:val="pl-PL"/>
              </w:rPr>
              <w:t>Polska</w:t>
            </w:r>
          </w:p>
          <w:p w14:paraId="75913BD5" w14:textId="77777777" w:rsidR="00AC4204" w:rsidRPr="00BD646C" w:rsidRDefault="00000000" w:rsidP="00AC4204">
            <w:pPr>
              <w:keepNext/>
              <w:rPr>
                <w:bCs/>
                <w:szCs w:val="22"/>
                <w:lang w:val="pl-PL"/>
              </w:rPr>
            </w:pPr>
            <w:r w:rsidRPr="00BD646C">
              <w:rPr>
                <w:bCs/>
                <w:szCs w:val="22"/>
                <w:lang w:val="pl-PL"/>
              </w:rPr>
              <w:t>AbbVie Sp. z o.o.</w:t>
            </w:r>
          </w:p>
          <w:p w14:paraId="5FB149CC" w14:textId="77777777" w:rsidR="00AC4204" w:rsidRPr="00BD646C" w:rsidRDefault="00000000" w:rsidP="00AC4204">
            <w:pPr>
              <w:keepNext/>
              <w:rPr>
                <w:bCs/>
                <w:szCs w:val="22"/>
                <w:lang w:val="pl-PL"/>
              </w:rPr>
            </w:pPr>
            <w:r w:rsidRPr="00BD646C">
              <w:rPr>
                <w:szCs w:val="22"/>
                <w:lang w:val="es-ES"/>
              </w:rPr>
              <w:t xml:space="preserve">Tel.: +48 22 </w:t>
            </w:r>
            <w:r w:rsidRPr="00BD646C">
              <w:rPr>
                <w:bCs/>
                <w:szCs w:val="22"/>
                <w:lang w:val="pl-PL"/>
              </w:rPr>
              <w:t xml:space="preserve">372 78 00 </w:t>
            </w:r>
          </w:p>
          <w:p w14:paraId="2F68F4D9" w14:textId="77777777" w:rsidR="00AC4204" w:rsidRPr="00BD646C" w:rsidRDefault="00AC4204" w:rsidP="00AC4204">
            <w:pPr>
              <w:keepNext/>
              <w:rPr>
                <w:bCs/>
                <w:szCs w:val="22"/>
                <w:lang w:val="pl-PL"/>
              </w:rPr>
            </w:pPr>
          </w:p>
        </w:tc>
      </w:tr>
      <w:tr w:rsidR="00534A2D" w14:paraId="060935F2" w14:textId="77777777" w:rsidTr="001F79B0">
        <w:trPr>
          <w:trHeight w:val="734"/>
        </w:trPr>
        <w:tc>
          <w:tcPr>
            <w:tcW w:w="4678" w:type="dxa"/>
            <w:gridSpan w:val="3"/>
          </w:tcPr>
          <w:p w14:paraId="73B7A4FA" w14:textId="77777777" w:rsidR="00AC4204" w:rsidRPr="00BD646C" w:rsidRDefault="00000000" w:rsidP="001F79B0">
            <w:pPr>
              <w:rPr>
                <w:b/>
                <w:bCs/>
                <w:szCs w:val="22"/>
                <w:lang w:val="fr-FR"/>
              </w:rPr>
            </w:pPr>
            <w:r w:rsidRPr="00BD646C">
              <w:rPr>
                <w:b/>
                <w:bCs/>
                <w:szCs w:val="22"/>
                <w:lang w:val="fr-FR"/>
              </w:rPr>
              <w:t>France</w:t>
            </w:r>
          </w:p>
          <w:p w14:paraId="674112E3" w14:textId="77777777" w:rsidR="00AC4204" w:rsidRPr="00BD646C" w:rsidRDefault="00000000" w:rsidP="001F79B0">
            <w:pPr>
              <w:rPr>
                <w:bCs/>
                <w:szCs w:val="22"/>
                <w:lang w:val="fr-FR"/>
              </w:rPr>
            </w:pPr>
            <w:r w:rsidRPr="00BD646C">
              <w:rPr>
                <w:bCs/>
                <w:szCs w:val="22"/>
                <w:lang w:val="fr-FR"/>
              </w:rPr>
              <w:t>AbbVie</w:t>
            </w:r>
          </w:p>
          <w:p w14:paraId="467E8946" w14:textId="77777777" w:rsidR="00AC4204" w:rsidRPr="00BD646C" w:rsidRDefault="00000000" w:rsidP="001F79B0">
            <w:pPr>
              <w:rPr>
                <w:bCs/>
                <w:szCs w:val="22"/>
                <w:lang w:val="fr-FR"/>
              </w:rPr>
            </w:pPr>
            <w:r w:rsidRPr="00BD646C">
              <w:rPr>
                <w:bCs/>
                <w:szCs w:val="22"/>
                <w:lang w:val="fr-FR"/>
              </w:rPr>
              <w:t>Tél: +33 (0) 1 45 60 13 00</w:t>
            </w:r>
          </w:p>
        </w:tc>
        <w:tc>
          <w:tcPr>
            <w:tcW w:w="4678" w:type="dxa"/>
          </w:tcPr>
          <w:p w14:paraId="7F65111A" w14:textId="77777777" w:rsidR="00AC4204" w:rsidRPr="00BD646C" w:rsidRDefault="00000000" w:rsidP="001F79B0">
            <w:pPr>
              <w:rPr>
                <w:b/>
                <w:bCs/>
                <w:szCs w:val="22"/>
                <w:lang w:val="pt-PT"/>
              </w:rPr>
            </w:pPr>
            <w:r w:rsidRPr="00BD646C">
              <w:rPr>
                <w:b/>
                <w:bCs/>
                <w:szCs w:val="22"/>
                <w:lang w:val="pt-PT"/>
              </w:rPr>
              <w:t>Portugal</w:t>
            </w:r>
          </w:p>
          <w:p w14:paraId="634E0802" w14:textId="77777777" w:rsidR="00AC4204" w:rsidRPr="00BD646C" w:rsidRDefault="00000000" w:rsidP="001F79B0">
            <w:pPr>
              <w:rPr>
                <w:bCs/>
                <w:szCs w:val="22"/>
                <w:lang w:val="fr-FR"/>
              </w:rPr>
            </w:pPr>
            <w:r w:rsidRPr="00BD646C">
              <w:rPr>
                <w:bCs/>
                <w:szCs w:val="22"/>
                <w:lang w:val="fr-FR"/>
              </w:rPr>
              <w:t xml:space="preserve">AbbVie, Lda. </w:t>
            </w:r>
          </w:p>
          <w:p w14:paraId="43960E6A" w14:textId="77777777" w:rsidR="00AC4204" w:rsidRPr="00BD646C" w:rsidRDefault="00000000" w:rsidP="001F79B0">
            <w:pPr>
              <w:rPr>
                <w:szCs w:val="22"/>
                <w:lang w:val="fr-FR"/>
              </w:rPr>
            </w:pPr>
            <w:r w:rsidRPr="00BD646C">
              <w:rPr>
                <w:szCs w:val="22"/>
                <w:lang w:val="fr-FR"/>
              </w:rPr>
              <w:t>Tel: +351 (0)21 1908400</w:t>
            </w:r>
          </w:p>
          <w:p w14:paraId="6EB3E29B" w14:textId="77777777" w:rsidR="00AC4204" w:rsidRPr="00BD646C" w:rsidRDefault="00AC4204" w:rsidP="001F79B0">
            <w:pPr>
              <w:rPr>
                <w:szCs w:val="22"/>
                <w:lang w:val="fr-FR"/>
              </w:rPr>
            </w:pPr>
          </w:p>
        </w:tc>
      </w:tr>
      <w:tr w:rsidR="00534A2D" w14:paraId="4EC3E238" w14:textId="77777777" w:rsidTr="001F79B0">
        <w:trPr>
          <w:gridBefore w:val="1"/>
          <w:wBefore w:w="34" w:type="dxa"/>
        </w:trPr>
        <w:tc>
          <w:tcPr>
            <w:tcW w:w="4644" w:type="dxa"/>
            <w:gridSpan w:val="2"/>
          </w:tcPr>
          <w:p w14:paraId="2A672C1A" w14:textId="77777777" w:rsidR="00AC4204" w:rsidRPr="005B1CF3" w:rsidRDefault="00000000" w:rsidP="001F79B0">
            <w:pPr>
              <w:rPr>
                <w:szCs w:val="22"/>
                <w:rPrChange w:id="13772" w:author="Abbvie02" w:date="2025-05-16T11:16:00Z">
                  <w:rPr>
                    <w:szCs w:val="22"/>
                    <w:lang w:val="en-GB"/>
                  </w:rPr>
                </w:rPrChange>
              </w:rPr>
            </w:pPr>
            <w:r w:rsidRPr="005B1CF3">
              <w:rPr>
                <w:b/>
                <w:bCs/>
                <w:szCs w:val="22"/>
                <w:rPrChange w:id="13773" w:author="Abbvie02" w:date="2025-05-16T11:16:00Z">
                  <w:rPr>
                    <w:b/>
                    <w:bCs/>
                    <w:szCs w:val="22"/>
                    <w:lang w:val="en-GB"/>
                  </w:rPr>
                </w:rPrChange>
              </w:rPr>
              <w:t xml:space="preserve">Hrvatska </w:t>
            </w:r>
          </w:p>
          <w:p w14:paraId="5313BB35" w14:textId="77777777" w:rsidR="00AC4204" w:rsidRPr="00BD646C" w:rsidRDefault="00000000" w:rsidP="001F79B0">
            <w:pPr>
              <w:rPr>
                <w:szCs w:val="22"/>
                <w:lang w:val="hr-HR"/>
              </w:rPr>
            </w:pPr>
            <w:r w:rsidRPr="00BD646C">
              <w:rPr>
                <w:szCs w:val="22"/>
                <w:lang w:val="hr-HR"/>
              </w:rPr>
              <w:t>AbbVie d.o.o.</w:t>
            </w:r>
          </w:p>
          <w:p w14:paraId="3701D152" w14:textId="77777777" w:rsidR="00AC4204" w:rsidRPr="00BD646C" w:rsidRDefault="00000000" w:rsidP="001F79B0">
            <w:pPr>
              <w:rPr>
                <w:bCs/>
                <w:szCs w:val="22"/>
                <w:lang w:val="it-IT"/>
              </w:rPr>
            </w:pPr>
            <w:r w:rsidRPr="00BD646C">
              <w:rPr>
                <w:szCs w:val="22"/>
                <w:lang w:val="hr-HR"/>
              </w:rPr>
              <w:t xml:space="preserve">Tel + 385 (0)1 </w:t>
            </w:r>
            <w:r w:rsidRPr="00BD646C">
              <w:rPr>
                <w:szCs w:val="22"/>
                <w:lang w:val="en-US"/>
              </w:rPr>
              <w:t>5625 501</w:t>
            </w:r>
          </w:p>
        </w:tc>
        <w:tc>
          <w:tcPr>
            <w:tcW w:w="4678" w:type="dxa"/>
          </w:tcPr>
          <w:p w14:paraId="5BC8144C" w14:textId="77777777" w:rsidR="00AC4204" w:rsidRPr="00BD646C" w:rsidRDefault="00000000" w:rsidP="001F79B0">
            <w:pPr>
              <w:rPr>
                <w:b/>
                <w:bCs/>
                <w:szCs w:val="22"/>
                <w:lang w:val="it-IT"/>
              </w:rPr>
            </w:pPr>
            <w:r w:rsidRPr="00BD646C">
              <w:rPr>
                <w:b/>
                <w:bCs/>
                <w:szCs w:val="22"/>
                <w:lang w:val="it-IT"/>
              </w:rPr>
              <w:t>România</w:t>
            </w:r>
          </w:p>
          <w:p w14:paraId="25BF9BD3" w14:textId="77777777" w:rsidR="00AC4204" w:rsidRPr="00BD646C" w:rsidRDefault="00000000" w:rsidP="001F79B0">
            <w:pPr>
              <w:rPr>
                <w:szCs w:val="22"/>
                <w:lang w:val="it-IT"/>
              </w:rPr>
            </w:pPr>
            <w:r w:rsidRPr="00BD646C">
              <w:rPr>
                <w:szCs w:val="22"/>
                <w:lang w:val="it-IT"/>
              </w:rPr>
              <w:t>AbbVie S.R.L.</w:t>
            </w:r>
          </w:p>
          <w:p w14:paraId="42C9BCED" w14:textId="77777777" w:rsidR="00AC4204" w:rsidRPr="00BD646C" w:rsidRDefault="00000000" w:rsidP="001F79B0">
            <w:pPr>
              <w:rPr>
                <w:szCs w:val="22"/>
                <w:lang w:val="pl-PL"/>
              </w:rPr>
            </w:pPr>
            <w:r w:rsidRPr="00BD646C">
              <w:rPr>
                <w:szCs w:val="22"/>
                <w:lang w:val="pl-PL"/>
              </w:rPr>
              <w:t>Tel: +40 21 529 30 35</w:t>
            </w:r>
          </w:p>
          <w:p w14:paraId="5061B0AE" w14:textId="77777777" w:rsidR="00AC4204" w:rsidRPr="00BD646C" w:rsidRDefault="00AC4204" w:rsidP="001F79B0">
            <w:pPr>
              <w:rPr>
                <w:szCs w:val="22"/>
                <w:lang w:val="pl-PL"/>
              </w:rPr>
            </w:pPr>
          </w:p>
        </w:tc>
      </w:tr>
      <w:tr w:rsidR="00534A2D" w14:paraId="374AB1A7" w14:textId="77777777" w:rsidTr="001F79B0">
        <w:trPr>
          <w:gridBefore w:val="1"/>
          <w:wBefore w:w="34" w:type="dxa"/>
        </w:trPr>
        <w:tc>
          <w:tcPr>
            <w:tcW w:w="4644" w:type="dxa"/>
            <w:gridSpan w:val="2"/>
          </w:tcPr>
          <w:p w14:paraId="4BCA6478" w14:textId="77777777" w:rsidR="00AC4204" w:rsidRPr="00BD646C" w:rsidRDefault="00000000" w:rsidP="001F79B0">
            <w:pPr>
              <w:rPr>
                <w:b/>
                <w:bCs/>
                <w:szCs w:val="22"/>
                <w:lang w:val="sk-SK"/>
              </w:rPr>
            </w:pPr>
            <w:r w:rsidRPr="00BD646C">
              <w:rPr>
                <w:b/>
                <w:bCs/>
                <w:szCs w:val="22"/>
                <w:lang w:val="sk-SK"/>
              </w:rPr>
              <w:t>Ireland</w:t>
            </w:r>
          </w:p>
          <w:p w14:paraId="2E7D3F8A" w14:textId="77777777" w:rsidR="00AC4204" w:rsidRPr="00BD646C" w:rsidRDefault="00000000" w:rsidP="001F79B0">
            <w:pPr>
              <w:rPr>
                <w:bCs/>
                <w:szCs w:val="22"/>
                <w:lang w:val="sk-SK"/>
              </w:rPr>
            </w:pPr>
            <w:r w:rsidRPr="00BD646C">
              <w:rPr>
                <w:bCs/>
                <w:szCs w:val="22"/>
                <w:lang w:val="sk-SK"/>
              </w:rPr>
              <w:t xml:space="preserve">AbbVie Limited </w:t>
            </w:r>
          </w:p>
          <w:p w14:paraId="15FB52D9" w14:textId="77777777" w:rsidR="00AC4204" w:rsidRPr="00BD646C" w:rsidRDefault="00000000" w:rsidP="001F79B0">
            <w:pPr>
              <w:rPr>
                <w:bCs/>
                <w:szCs w:val="22"/>
                <w:lang w:val="sk-SK"/>
              </w:rPr>
            </w:pPr>
            <w:r w:rsidRPr="00BD646C">
              <w:rPr>
                <w:bCs/>
                <w:szCs w:val="22"/>
                <w:lang w:val="pt-PT"/>
              </w:rPr>
              <w:t>Tel: +353 (0)1 428790</w:t>
            </w:r>
            <w:r w:rsidR="00C57483">
              <w:rPr>
                <w:bCs/>
                <w:szCs w:val="22"/>
                <w:lang w:val="pt-PT"/>
              </w:rPr>
              <w:t>0</w:t>
            </w:r>
          </w:p>
        </w:tc>
        <w:tc>
          <w:tcPr>
            <w:tcW w:w="4678" w:type="dxa"/>
          </w:tcPr>
          <w:p w14:paraId="65A60DC5" w14:textId="77777777" w:rsidR="00AC4204" w:rsidRPr="00BD646C" w:rsidRDefault="00000000" w:rsidP="001F79B0">
            <w:pPr>
              <w:rPr>
                <w:b/>
                <w:bCs/>
                <w:szCs w:val="22"/>
                <w:lang w:val="sl-SI"/>
              </w:rPr>
            </w:pPr>
            <w:r w:rsidRPr="00BD646C">
              <w:rPr>
                <w:b/>
                <w:bCs/>
                <w:szCs w:val="22"/>
                <w:lang w:val="sl-SI"/>
              </w:rPr>
              <w:t>Slovenija</w:t>
            </w:r>
          </w:p>
          <w:p w14:paraId="2E6B2E96" w14:textId="77777777" w:rsidR="00AC4204" w:rsidRPr="00BD646C" w:rsidRDefault="00000000" w:rsidP="001F79B0">
            <w:pPr>
              <w:rPr>
                <w:bCs/>
                <w:szCs w:val="22"/>
                <w:lang w:val="sl-SI"/>
              </w:rPr>
            </w:pPr>
            <w:r w:rsidRPr="00BD646C">
              <w:rPr>
                <w:bCs/>
                <w:szCs w:val="22"/>
                <w:lang w:val="sl-SI"/>
              </w:rPr>
              <w:t xml:space="preserve">AbbVie </w:t>
            </w:r>
            <w:r w:rsidRPr="00BD646C">
              <w:rPr>
                <w:szCs w:val="22"/>
                <w:lang w:val="sl-SI"/>
              </w:rPr>
              <w:t>Biofarmacevtska družba d.o.o.</w:t>
            </w:r>
          </w:p>
          <w:p w14:paraId="60E6F92C" w14:textId="77777777" w:rsidR="00AC4204" w:rsidRPr="00BD646C" w:rsidRDefault="00000000" w:rsidP="001F79B0">
            <w:pPr>
              <w:rPr>
                <w:bCs/>
                <w:szCs w:val="22"/>
                <w:lang w:val="sl-SI"/>
              </w:rPr>
            </w:pPr>
            <w:r w:rsidRPr="00BD646C">
              <w:rPr>
                <w:bCs/>
                <w:szCs w:val="22"/>
                <w:lang w:val="sl-SI"/>
              </w:rPr>
              <w:t>Tel: +386 (1)32 08 060</w:t>
            </w:r>
          </w:p>
          <w:p w14:paraId="17F1EE2B" w14:textId="77777777" w:rsidR="00AC4204" w:rsidRPr="00BD646C" w:rsidRDefault="00AC4204" w:rsidP="001F79B0">
            <w:pPr>
              <w:rPr>
                <w:bCs/>
                <w:szCs w:val="22"/>
                <w:lang w:val="sl-SI"/>
              </w:rPr>
            </w:pPr>
          </w:p>
        </w:tc>
      </w:tr>
      <w:tr w:rsidR="00534A2D" w14:paraId="3EBE984B" w14:textId="77777777" w:rsidTr="001F79B0">
        <w:trPr>
          <w:gridBefore w:val="1"/>
          <w:wBefore w:w="34" w:type="dxa"/>
        </w:trPr>
        <w:tc>
          <w:tcPr>
            <w:tcW w:w="4644" w:type="dxa"/>
            <w:gridSpan w:val="2"/>
          </w:tcPr>
          <w:p w14:paraId="478E18D4" w14:textId="77777777" w:rsidR="00AC4204" w:rsidRPr="00BD646C" w:rsidRDefault="00000000" w:rsidP="001F79B0">
            <w:pPr>
              <w:rPr>
                <w:b/>
                <w:bCs/>
                <w:szCs w:val="22"/>
                <w:lang w:val="is-IS"/>
              </w:rPr>
            </w:pPr>
            <w:r w:rsidRPr="00BD646C">
              <w:rPr>
                <w:b/>
                <w:bCs/>
                <w:szCs w:val="22"/>
                <w:lang w:val="is-IS"/>
              </w:rPr>
              <w:t>Ísland</w:t>
            </w:r>
          </w:p>
          <w:p w14:paraId="315B4998" w14:textId="77777777" w:rsidR="00AC4204" w:rsidRPr="00BD646C" w:rsidRDefault="00000000" w:rsidP="001F79B0">
            <w:pPr>
              <w:rPr>
                <w:bCs/>
                <w:szCs w:val="22"/>
                <w:lang w:val="sk-SK"/>
              </w:rPr>
            </w:pPr>
            <w:r w:rsidRPr="00BD646C">
              <w:rPr>
                <w:bCs/>
                <w:szCs w:val="22"/>
                <w:lang w:val="sk-SK"/>
              </w:rPr>
              <w:t>Vistor</w:t>
            </w:r>
            <w:del w:id="13774" w:author="AbbVie1" w:date="2025-05-13T10:14:00Z">
              <w:r w:rsidRPr="00BD646C">
                <w:rPr>
                  <w:bCs/>
                  <w:szCs w:val="22"/>
                  <w:lang w:val="sk-SK"/>
                </w:rPr>
                <w:delText xml:space="preserve"> hf.</w:delText>
              </w:r>
            </w:del>
          </w:p>
          <w:p w14:paraId="16231820" w14:textId="77777777" w:rsidR="00AC4204" w:rsidRPr="00BD646C" w:rsidRDefault="00000000" w:rsidP="001F79B0">
            <w:pPr>
              <w:rPr>
                <w:bCs/>
                <w:szCs w:val="22"/>
                <w:lang w:val="sk-SK"/>
              </w:rPr>
            </w:pPr>
            <w:r w:rsidRPr="00BD646C">
              <w:rPr>
                <w:bCs/>
                <w:szCs w:val="22"/>
                <w:lang w:val="sk-SK"/>
              </w:rPr>
              <w:t>Tel: +354 535 7000</w:t>
            </w:r>
          </w:p>
        </w:tc>
        <w:tc>
          <w:tcPr>
            <w:tcW w:w="4678" w:type="dxa"/>
          </w:tcPr>
          <w:p w14:paraId="5B61372D" w14:textId="77777777" w:rsidR="00AC4204" w:rsidRPr="00BD646C" w:rsidRDefault="00000000" w:rsidP="001F79B0">
            <w:pPr>
              <w:rPr>
                <w:b/>
                <w:bCs/>
                <w:szCs w:val="22"/>
                <w:lang w:val="sk-SK"/>
              </w:rPr>
            </w:pPr>
            <w:r w:rsidRPr="00BD646C">
              <w:rPr>
                <w:b/>
                <w:bCs/>
                <w:szCs w:val="22"/>
                <w:lang w:val="sk-SK"/>
              </w:rPr>
              <w:t>Slovenská republika</w:t>
            </w:r>
          </w:p>
          <w:p w14:paraId="3B8E91FD" w14:textId="77777777" w:rsidR="00AC4204" w:rsidRPr="00BD646C" w:rsidRDefault="00000000" w:rsidP="001F79B0">
            <w:pPr>
              <w:rPr>
                <w:bCs/>
                <w:szCs w:val="22"/>
                <w:lang w:val="sk-SK"/>
              </w:rPr>
            </w:pPr>
            <w:r w:rsidRPr="00BD646C">
              <w:rPr>
                <w:bCs/>
                <w:szCs w:val="22"/>
                <w:lang w:val="sk-SK"/>
              </w:rPr>
              <w:t>AbbVie s.r.o.</w:t>
            </w:r>
          </w:p>
          <w:p w14:paraId="67836C2D" w14:textId="77777777" w:rsidR="00AC4204" w:rsidRPr="00BD646C" w:rsidRDefault="00000000" w:rsidP="001F79B0">
            <w:pPr>
              <w:rPr>
                <w:bCs/>
                <w:szCs w:val="22"/>
                <w:lang w:val="sk-SK"/>
              </w:rPr>
            </w:pPr>
            <w:r w:rsidRPr="00BD646C">
              <w:rPr>
                <w:bCs/>
                <w:szCs w:val="22"/>
                <w:lang w:val="sk-SK"/>
              </w:rPr>
              <w:t>Tel: +421 2 5050 0777</w:t>
            </w:r>
          </w:p>
          <w:p w14:paraId="37D9EF50" w14:textId="77777777" w:rsidR="00AC4204" w:rsidRPr="00BD646C" w:rsidRDefault="00AC4204" w:rsidP="001F79B0">
            <w:pPr>
              <w:rPr>
                <w:bCs/>
                <w:szCs w:val="22"/>
                <w:lang w:val="sk-SK"/>
              </w:rPr>
            </w:pPr>
          </w:p>
        </w:tc>
      </w:tr>
      <w:tr w:rsidR="00534A2D" w14:paraId="70569436" w14:textId="77777777" w:rsidTr="001F79B0">
        <w:trPr>
          <w:gridBefore w:val="1"/>
          <w:wBefore w:w="34" w:type="dxa"/>
        </w:trPr>
        <w:tc>
          <w:tcPr>
            <w:tcW w:w="4644" w:type="dxa"/>
            <w:gridSpan w:val="2"/>
          </w:tcPr>
          <w:p w14:paraId="30E552FC" w14:textId="77777777" w:rsidR="00AC4204" w:rsidRPr="00BD646C" w:rsidRDefault="00000000" w:rsidP="001F79B0">
            <w:pPr>
              <w:rPr>
                <w:b/>
                <w:bCs/>
                <w:szCs w:val="22"/>
                <w:lang w:val="it-IT"/>
              </w:rPr>
            </w:pPr>
            <w:r w:rsidRPr="00BD646C">
              <w:rPr>
                <w:b/>
                <w:bCs/>
                <w:szCs w:val="22"/>
                <w:lang w:val="it-IT"/>
              </w:rPr>
              <w:t>Italia</w:t>
            </w:r>
          </w:p>
          <w:p w14:paraId="68AD49F0" w14:textId="77777777" w:rsidR="00AC4204" w:rsidRPr="00BD646C" w:rsidRDefault="00000000" w:rsidP="001F79B0">
            <w:pPr>
              <w:rPr>
                <w:bCs/>
                <w:szCs w:val="22"/>
                <w:lang w:val="pt-PT"/>
              </w:rPr>
            </w:pPr>
            <w:r w:rsidRPr="00BD646C">
              <w:rPr>
                <w:bCs/>
                <w:szCs w:val="22"/>
                <w:lang w:val="pt-PT"/>
              </w:rPr>
              <w:t xml:space="preserve">AbbVie S.r.l. </w:t>
            </w:r>
          </w:p>
          <w:p w14:paraId="5AFA6576" w14:textId="77777777" w:rsidR="00AC4204" w:rsidRPr="00BD646C" w:rsidRDefault="00000000" w:rsidP="001F79B0">
            <w:pPr>
              <w:rPr>
                <w:bCs/>
                <w:szCs w:val="22"/>
                <w:lang w:val="fi-FI"/>
              </w:rPr>
            </w:pPr>
            <w:r w:rsidRPr="00BD646C">
              <w:rPr>
                <w:bCs/>
                <w:szCs w:val="22"/>
                <w:lang w:val="fr-FR"/>
              </w:rPr>
              <w:t>Tel: +39 06 928921</w:t>
            </w:r>
          </w:p>
        </w:tc>
        <w:tc>
          <w:tcPr>
            <w:tcW w:w="4678" w:type="dxa"/>
          </w:tcPr>
          <w:p w14:paraId="53134193" w14:textId="77777777" w:rsidR="00AC4204" w:rsidRPr="00BD646C" w:rsidRDefault="00000000" w:rsidP="001F79B0">
            <w:pPr>
              <w:rPr>
                <w:b/>
                <w:bCs/>
                <w:szCs w:val="22"/>
                <w:lang w:val="fi-FI"/>
              </w:rPr>
            </w:pPr>
            <w:r w:rsidRPr="00BD646C">
              <w:rPr>
                <w:b/>
                <w:bCs/>
                <w:szCs w:val="22"/>
                <w:lang w:val="fi-FI"/>
              </w:rPr>
              <w:t>Suomi/Finland</w:t>
            </w:r>
          </w:p>
          <w:p w14:paraId="24C778D9" w14:textId="77777777" w:rsidR="00AC4204" w:rsidRPr="00BD646C" w:rsidRDefault="00000000" w:rsidP="001F79B0">
            <w:pPr>
              <w:rPr>
                <w:bCs/>
                <w:szCs w:val="22"/>
                <w:lang w:val="de-CH"/>
              </w:rPr>
            </w:pPr>
            <w:r w:rsidRPr="00BD646C">
              <w:rPr>
                <w:bCs/>
                <w:szCs w:val="22"/>
                <w:lang w:val="sk-SK"/>
              </w:rPr>
              <w:t>AbbVie Oy</w:t>
            </w:r>
          </w:p>
          <w:p w14:paraId="1373EB83" w14:textId="77777777" w:rsidR="00AC4204" w:rsidRPr="00BD646C" w:rsidRDefault="00000000" w:rsidP="001F79B0">
            <w:pPr>
              <w:rPr>
                <w:bCs/>
                <w:szCs w:val="22"/>
                <w:lang w:val="sk-SK"/>
              </w:rPr>
            </w:pPr>
            <w:r w:rsidRPr="00BD646C">
              <w:rPr>
                <w:bCs/>
                <w:szCs w:val="22"/>
                <w:lang w:val="sk-SK"/>
              </w:rPr>
              <w:t>Puh/Tel: +358 (0)10 2411 200</w:t>
            </w:r>
          </w:p>
          <w:p w14:paraId="611EA96D" w14:textId="77777777" w:rsidR="00AC4204" w:rsidRPr="00BD646C" w:rsidRDefault="00AC4204" w:rsidP="001F79B0">
            <w:pPr>
              <w:rPr>
                <w:szCs w:val="22"/>
                <w:lang w:val="sk-SK"/>
              </w:rPr>
            </w:pPr>
          </w:p>
        </w:tc>
      </w:tr>
      <w:tr w:rsidR="00534A2D" w14:paraId="581026CE" w14:textId="77777777" w:rsidTr="001F79B0">
        <w:trPr>
          <w:gridBefore w:val="1"/>
          <w:wBefore w:w="34" w:type="dxa"/>
          <w:cantSplit/>
          <w:trHeight w:val="887"/>
        </w:trPr>
        <w:tc>
          <w:tcPr>
            <w:tcW w:w="4644" w:type="dxa"/>
            <w:gridSpan w:val="2"/>
          </w:tcPr>
          <w:p w14:paraId="4480BEBF" w14:textId="77777777" w:rsidR="00AC4204" w:rsidRPr="00BD646C" w:rsidRDefault="00000000" w:rsidP="001F79B0">
            <w:pPr>
              <w:rPr>
                <w:b/>
                <w:bCs/>
                <w:szCs w:val="22"/>
                <w:lang w:val="el-GR"/>
              </w:rPr>
            </w:pPr>
            <w:r w:rsidRPr="00BD646C">
              <w:rPr>
                <w:b/>
                <w:bCs/>
                <w:szCs w:val="22"/>
                <w:lang w:val="el-GR"/>
              </w:rPr>
              <w:t>Κύπρος</w:t>
            </w:r>
          </w:p>
          <w:p w14:paraId="1A228B38" w14:textId="77777777" w:rsidR="00AC4204" w:rsidRPr="00BD646C" w:rsidRDefault="00000000" w:rsidP="001F79B0">
            <w:pPr>
              <w:rPr>
                <w:bCs/>
                <w:szCs w:val="22"/>
                <w:lang w:val="el-GR"/>
              </w:rPr>
            </w:pPr>
            <w:r w:rsidRPr="00BD646C">
              <w:rPr>
                <w:bCs/>
                <w:szCs w:val="22"/>
                <w:lang w:val="sk-SK"/>
              </w:rPr>
              <w:t xml:space="preserve">Lifepharma (Z.A.M.) </w:t>
            </w:r>
            <w:r w:rsidRPr="00BD646C">
              <w:rPr>
                <w:bCs/>
                <w:szCs w:val="22"/>
                <w:lang w:val="it-IT"/>
              </w:rPr>
              <w:t>Ltd</w:t>
            </w:r>
          </w:p>
          <w:p w14:paraId="3A43910D" w14:textId="77777777" w:rsidR="00AC4204" w:rsidRPr="00BD646C" w:rsidRDefault="00000000" w:rsidP="001F79B0">
            <w:pPr>
              <w:rPr>
                <w:bCs/>
                <w:szCs w:val="22"/>
                <w:lang w:val="lv-LV"/>
              </w:rPr>
            </w:pPr>
            <w:r w:rsidRPr="00BD646C">
              <w:rPr>
                <w:bCs/>
                <w:szCs w:val="22"/>
                <w:lang w:val="el-GR"/>
              </w:rPr>
              <w:t>Τηλ.: +357 22 34 74 40</w:t>
            </w:r>
          </w:p>
        </w:tc>
        <w:tc>
          <w:tcPr>
            <w:tcW w:w="4678" w:type="dxa"/>
          </w:tcPr>
          <w:p w14:paraId="4D2071EB" w14:textId="77777777" w:rsidR="00AC4204" w:rsidRPr="00BD646C" w:rsidRDefault="00000000" w:rsidP="001F79B0">
            <w:pPr>
              <w:rPr>
                <w:b/>
                <w:bCs/>
                <w:szCs w:val="22"/>
                <w:lang w:val="sk-SK"/>
              </w:rPr>
            </w:pPr>
            <w:r w:rsidRPr="00BD646C">
              <w:rPr>
                <w:b/>
                <w:bCs/>
                <w:szCs w:val="22"/>
                <w:lang w:val="sk-SK"/>
              </w:rPr>
              <w:t>Sverige</w:t>
            </w:r>
          </w:p>
          <w:p w14:paraId="70BF282C" w14:textId="77777777" w:rsidR="00AC4204" w:rsidRPr="00BD646C" w:rsidRDefault="00000000" w:rsidP="001F79B0">
            <w:pPr>
              <w:rPr>
                <w:bCs/>
                <w:szCs w:val="22"/>
                <w:lang w:val="pt-PT"/>
              </w:rPr>
            </w:pPr>
            <w:r w:rsidRPr="00BD646C">
              <w:rPr>
                <w:bCs/>
                <w:szCs w:val="22"/>
                <w:lang w:val="pt-PT"/>
              </w:rPr>
              <w:t>AbbVie AB</w:t>
            </w:r>
          </w:p>
          <w:p w14:paraId="70751E16" w14:textId="77777777" w:rsidR="00AC4204" w:rsidRPr="00BD646C" w:rsidRDefault="00000000" w:rsidP="001F79B0">
            <w:pPr>
              <w:rPr>
                <w:bCs/>
                <w:szCs w:val="22"/>
                <w:lang w:val="sk-SK"/>
              </w:rPr>
            </w:pPr>
            <w:r w:rsidRPr="00BD646C">
              <w:rPr>
                <w:bCs/>
                <w:szCs w:val="22"/>
                <w:lang w:val="da-DK"/>
              </w:rPr>
              <w:t>Tel: +46 (0)8 684 44 600</w:t>
            </w:r>
          </w:p>
        </w:tc>
      </w:tr>
      <w:tr w:rsidR="00534A2D" w14:paraId="7FA916A9" w14:textId="77777777" w:rsidTr="001F79B0">
        <w:trPr>
          <w:gridBefore w:val="1"/>
          <w:wBefore w:w="34" w:type="dxa"/>
          <w:cantSplit/>
          <w:trHeight w:val="761"/>
        </w:trPr>
        <w:tc>
          <w:tcPr>
            <w:tcW w:w="4644" w:type="dxa"/>
            <w:gridSpan w:val="2"/>
          </w:tcPr>
          <w:p w14:paraId="7EAD8D91" w14:textId="77777777" w:rsidR="00AC4204" w:rsidRPr="00BD646C" w:rsidRDefault="00000000" w:rsidP="001F79B0">
            <w:pPr>
              <w:rPr>
                <w:b/>
                <w:bCs/>
                <w:szCs w:val="22"/>
                <w:lang w:val="lv-LV"/>
              </w:rPr>
            </w:pPr>
            <w:r w:rsidRPr="00BD646C">
              <w:rPr>
                <w:b/>
                <w:bCs/>
                <w:szCs w:val="22"/>
                <w:lang w:val="lv-LV"/>
              </w:rPr>
              <w:t>Latvija</w:t>
            </w:r>
          </w:p>
          <w:p w14:paraId="631CE09F" w14:textId="77777777" w:rsidR="00AC4204" w:rsidRPr="00BD646C" w:rsidRDefault="00000000" w:rsidP="001F79B0">
            <w:pPr>
              <w:rPr>
                <w:bCs/>
                <w:szCs w:val="22"/>
                <w:lang w:val="lv-LV"/>
              </w:rPr>
            </w:pPr>
            <w:r w:rsidRPr="00BD646C">
              <w:rPr>
                <w:bCs/>
                <w:szCs w:val="22"/>
                <w:lang w:val="lv-LV"/>
              </w:rPr>
              <w:t xml:space="preserve">AbbVie SIA </w:t>
            </w:r>
          </w:p>
          <w:p w14:paraId="65E211CB" w14:textId="77777777" w:rsidR="00AC4204" w:rsidRPr="00BD646C" w:rsidRDefault="00000000" w:rsidP="001F79B0">
            <w:pPr>
              <w:rPr>
                <w:bCs/>
                <w:szCs w:val="22"/>
                <w:lang w:val="lv-LV"/>
              </w:rPr>
            </w:pPr>
            <w:r w:rsidRPr="00BD646C">
              <w:rPr>
                <w:bCs/>
                <w:szCs w:val="22"/>
                <w:lang w:val="lv-LV"/>
              </w:rPr>
              <w:t>Tel: +371 67605000</w:t>
            </w:r>
          </w:p>
        </w:tc>
        <w:tc>
          <w:tcPr>
            <w:tcW w:w="4678" w:type="dxa"/>
          </w:tcPr>
          <w:p w14:paraId="2CD19760" w14:textId="77777777" w:rsidR="00AC4204" w:rsidRPr="00BD646C" w:rsidRDefault="00AC4204" w:rsidP="001F79B0">
            <w:pPr>
              <w:rPr>
                <w:b/>
                <w:bCs/>
                <w:szCs w:val="22"/>
                <w:lang w:val="sk-SK"/>
              </w:rPr>
            </w:pPr>
          </w:p>
        </w:tc>
      </w:tr>
    </w:tbl>
    <w:p w14:paraId="14D75AF7" w14:textId="77777777" w:rsidR="00D80CCA" w:rsidRPr="001B4A02" w:rsidRDefault="00D80CCA" w:rsidP="00D80CCA">
      <w:pPr>
        <w:ind w:left="0" w:firstLine="0"/>
      </w:pPr>
    </w:p>
    <w:p w14:paraId="24C97C17" w14:textId="77777777" w:rsidR="00D80CCA" w:rsidRPr="001B4A02" w:rsidRDefault="00000000" w:rsidP="00D80CCA">
      <w:pPr>
        <w:ind w:left="0" w:firstLine="0"/>
        <w:rPr>
          <w:b/>
        </w:rPr>
      </w:pPr>
      <w:r w:rsidRPr="001B4A02">
        <w:rPr>
          <w:b/>
        </w:rPr>
        <w:t>Tato příbalová informace byla naposledy revidována v</w:t>
      </w:r>
      <w:r w:rsidR="00CD59CE">
        <w:rPr>
          <w:b/>
        </w:rPr>
        <w:t> </w:t>
      </w:r>
    </w:p>
    <w:p w14:paraId="60AA4755" w14:textId="77777777" w:rsidR="00D80CCA" w:rsidRPr="001B4A02" w:rsidRDefault="00D80CCA" w:rsidP="00D80CCA">
      <w:pPr>
        <w:ind w:left="0" w:firstLine="0"/>
      </w:pPr>
    </w:p>
    <w:p w14:paraId="7F7F84EE" w14:textId="77777777" w:rsidR="00D80CCA" w:rsidRDefault="00000000" w:rsidP="00D80CCA">
      <w:pPr>
        <w:ind w:left="0" w:firstLine="0"/>
        <w:rPr>
          <w:ins w:id="13775" w:author="AbbVie1" w:date="2025-05-13T10:15:00Z"/>
        </w:rPr>
      </w:pPr>
      <w:r w:rsidRPr="001B4A02">
        <w:t xml:space="preserve">Podrobné informace o tomto léčivém přípravku jsou k dispozici na webových stránkách Evropské </w:t>
      </w:r>
      <w:r w:rsidRPr="001B4A02">
        <w:rPr>
          <w:szCs w:val="22"/>
        </w:rPr>
        <w:t xml:space="preserve">agentury pro léčivé přípravky </w:t>
      </w:r>
      <w:ins w:id="13776" w:author="AbbVie1" w:date="2025-05-13T10:15:00Z">
        <w:r w:rsidR="00FC50CC">
          <w:fldChar w:fldCharType="begin"/>
        </w:r>
        <w:r w:rsidR="00FC50CC">
          <w:instrText>HYPERLINK "</w:instrText>
        </w:r>
      </w:ins>
      <w:r w:rsidR="00FC50CC" w:rsidRPr="001B4A02">
        <w:instrText>http</w:instrText>
      </w:r>
      <w:ins w:id="13777" w:author="AbbVie1" w:date="2025-05-13T10:15:00Z">
        <w:r w:rsidR="00FC50CC">
          <w:instrText>s</w:instrText>
        </w:r>
      </w:ins>
      <w:r w:rsidR="00FC50CC" w:rsidRPr="001B4A02">
        <w:instrText>://www.ema.europa.eu</w:instrText>
      </w:r>
      <w:ins w:id="13778" w:author="AbbVie1" w:date="2025-05-13T10:15:00Z">
        <w:r w:rsidR="00FC50CC">
          <w:instrText>"</w:instrText>
        </w:r>
        <w:r w:rsidR="00FC50CC">
          <w:fldChar w:fldCharType="separate"/>
        </w:r>
      </w:ins>
      <w:r w:rsidR="00FC50CC" w:rsidRPr="004C0040">
        <w:rPr>
          <w:rStyle w:val="Hyperlink"/>
        </w:rPr>
        <w:t>http</w:t>
      </w:r>
      <w:ins w:id="13779" w:author="AbbVie1" w:date="2025-05-13T10:15:00Z">
        <w:r w:rsidR="00FC50CC" w:rsidRPr="004C0040">
          <w:rPr>
            <w:rStyle w:val="Hyperlink"/>
          </w:rPr>
          <w:t>s</w:t>
        </w:r>
      </w:ins>
      <w:r w:rsidR="00FC50CC" w:rsidRPr="004C0040">
        <w:rPr>
          <w:rStyle w:val="Hyperlink"/>
        </w:rPr>
        <w:t>://www.ema.europa.eu</w:t>
      </w:r>
      <w:ins w:id="13780" w:author="AbbVie1" w:date="2025-05-13T10:15:00Z">
        <w:r w:rsidR="00FC50CC">
          <w:fldChar w:fldCharType="end"/>
        </w:r>
      </w:ins>
      <w:r w:rsidRPr="001B4A02">
        <w:t>.</w:t>
      </w:r>
    </w:p>
    <w:p w14:paraId="5A1BA4BB" w14:textId="77777777" w:rsidR="00FC50CC" w:rsidRPr="001B4A02" w:rsidRDefault="00FC50CC" w:rsidP="00D80CCA">
      <w:pPr>
        <w:ind w:left="0" w:firstLine="0"/>
        <w:rPr>
          <w:del w:id="13781" w:author="AbbVie1" w:date="2025-05-13T10:15:00Z"/>
        </w:rPr>
      </w:pPr>
    </w:p>
    <w:p w14:paraId="718B86F4" w14:textId="77777777" w:rsidR="00D80CCA" w:rsidRPr="001B4A02" w:rsidRDefault="00D80CCA" w:rsidP="00D80CCA">
      <w:pPr>
        <w:ind w:left="0" w:firstLine="0"/>
      </w:pPr>
    </w:p>
    <w:p w14:paraId="10C5237F" w14:textId="77777777" w:rsidR="00D80CCA" w:rsidRPr="001B4A02" w:rsidRDefault="00000000" w:rsidP="00D80CCA">
      <w:pPr>
        <w:ind w:left="0" w:firstLine="0"/>
        <w:rPr>
          <w:b/>
          <w:color w:val="000000"/>
        </w:rPr>
      </w:pPr>
      <w:r w:rsidRPr="001B4A02">
        <w:rPr>
          <w:b/>
          <w:bCs/>
          <w:color w:val="000000"/>
        </w:rPr>
        <w:t>Chcete-li si tuto příbalovou informaci poslechnout, nebo chcete-li si vyžádat její kopii v Braillově písmu, velkým tiskem nebo ve formě audionahrávky,</w:t>
      </w:r>
      <w:r w:rsidRPr="001B4A02">
        <w:rPr>
          <w:b/>
          <w:color w:val="000000"/>
        </w:rPr>
        <w:t xml:space="preserve"> kontaktujte místního zástupce držitele rozhodnutí o registraci.</w:t>
      </w:r>
    </w:p>
    <w:p w14:paraId="75EF857E" w14:textId="77777777" w:rsidR="00D80CCA" w:rsidRPr="001B4A02" w:rsidRDefault="00D80CCA" w:rsidP="00D80CCA">
      <w:pPr>
        <w:ind w:left="0" w:firstLine="0"/>
      </w:pPr>
    </w:p>
    <w:p w14:paraId="00E1221F" w14:textId="77777777" w:rsidR="00D80CCA" w:rsidRPr="001B4A02" w:rsidRDefault="00000000" w:rsidP="004B14C0">
      <w:pPr>
        <w:pStyle w:val="No-numheading3Agency"/>
        <w:spacing w:before="0" w:after="0"/>
        <w:ind w:left="567" w:hanging="567"/>
        <w:outlineLvl w:val="1"/>
        <w:rPr>
          <w:rFonts w:ascii="Times New Roman" w:hAnsi="Times New Roman"/>
          <w:lang w:val="cs-CZ"/>
        </w:rPr>
      </w:pPr>
      <w:r w:rsidRPr="001B4A02">
        <w:rPr>
          <w:rFonts w:ascii="Times New Roman" w:hAnsi="Times New Roman"/>
          <w:lang w:val="cs-CZ"/>
        </w:rPr>
        <w:t>7.</w:t>
      </w:r>
      <w:r w:rsidRPr="001B4A02">
        <w:rPr>
          <w:rFonts w:ascii="Times New Roman" w:hAnsi="Times New Roman"/>
          <w:lang w:val="cs-CZ"/>
        </w:rPr>
        <w:tab/>
      </w:r>
      <w:r w:rsidR="00454E16">
        <w:rPr>
          <w:rFonts w:ascii="Times New Roman" w:hAnsi="Times New Roman"/>
          <w:lang w:val="cs-CZ"/>
        </w:rPr>
        <w:t>Aplikace injekce přípravku Humira</w:t>
      </w:r>
    </w:p>
    <w:p w14:paraId="57E6AFBD" w14:textId="77777777" w:rsidR="00D80CCA" w:rsidRPr="001B4A02" w:rsidRDefault="00D80CCA" w:rsidP="00D80CCA">
      <w:pPr>
        <w:pStyle w:val="BodytextAgency"/>
        <w:keepNext/>
        <w:spacing w:after="0" w:line="240" w:lineRule="auto"/>
        <w:rPr>
          <w:rFonts w:ascii="Times New Roman" w:hAnsi="Times New Roman"/>
          <w:sz w:val="22"/>
          <w:szCs w:val="22"/>
          <w:lang w:val="cs-CZ"/>
        </w:rPr>
      </w:pPr>
    </w:p>
    <w:p w14:paraId="47F0D382" w14:textId="77777777" w:rsidR="00D80CCA" w:rsidRPr="001B4A02" w:rsidRDefault="00000000" w:rsidP="00D80CCA">
      <w:pPr>
        <w:numPr>
          <w:ilvl w:val="0"/>
          <w:numId w:val="104"/>
        </w:numPr>
        <w:suppressAutoHyphens/>
      </w:pPr>
      <w:r w:rsidRPr="001B4A02">
        <w:t>V následujících pokynech je vysvětleno, jak si máte podat podkožní injekci přípravku Humira za použití předplněné injekční stříkačky. Nejprve si pokyny pečlivě pročtěte,</w:t>
      </w:r>
      <w:r w:rsidR="002378E0">
        <w:t xml:space="preserve"> a </w:t>
      </w:r>
      <w:r w:rsidRPr="001B4A02">
        <w:t>pak podle nich krok za krokem postupujte.</w:t>
      </w:r>
    </w:p>
    <w:p w14:paraId="7CEEEC1A" w14:textId="77777777" w:rsidR="00D80CCA" w:rsidRPr="001B4A02" w:rsidRDefault="00D80CCA" w:rsidP="00D80CCA">
      <w:pPr>
        <w:ind w:left="720"/>
      </w:pPr>
    </w:p>
    <w:p w14:paraId="74E4A564" w14:textId="77777777" w:rsidR="00D80CCA" w:rsidRPr="001B4A02" w:rsidRDefault="00000000" w:rsidP="00D80CCA">
      <w:pPr>
        <w:numPr>
          <w:ilvl w:val="0"/>
          <w:numId w:val="104"/>
        </w:numPr>
        <w:suppressAutoHyphens/>
      </w:pPr>
      <w:r w:rsidRPr="001B4A02">
        <w:t>Váš lékař, zdravotní sestra nebo lékárník Vás poučí, jak si sám (sama) podat injekci.</w:t>
      </w:r>
    </w:p>
    <w:p w14:paraId="02A9E897" w14:textId="77777777" w:rsidR="00D80CCA" w:rsidRPr="001B4A02" w:rsidRDefault="00D80CCA" w:rsidP="00262E54">
      <w:pPr>
        <w:pStyle w:val="ListParagraph"/>
      </w:pPr>
    </w:p>
    <w:p w14:paraId="4B4C94B0" w14:textId="77777777" w:rsidR="00D80CCA" w:rsidRPr="001B4A02" w:rsidRDefault="00000000" w:rsidP="00D80CCA">
      <w:pPr>
        <w:numPr>
          <w:ilvl w:val="0"/>
          <w:numId w:val="104"/>
        </w:numPr>
        <w:suppressAutoHyphens/>
      </w:pPr>
      <w:r w:rsidRPr="001B4A02">
        <w:t>Nepokoušejte si sám (sama) podat injekci, dokud si nebudete jistý(á), že jste pochopil(a), jak ji připravovat</w:t>
      </w:r>
      <w:r w:rsidR="002378E0">
        <w:t xml:space="preserve"> a </w:t>
      </w:r>
      <w:r w:rsidRPr="001B4A02">
        <w:t>podat.</w:t>
      </w:r>
    </w:p>
    <w:p w14:paraId="53F107BE" w14:textId="77777777" w:rsidR="00D80CCA" w:rsidRPr="001B4A02" w:rsidRDefault="00D80CCA" w:rsidP="00D80CCA">
      <w:pPr>
        <w:ind w:left="720"/>
      </w:pPr>
    </w:p>
    <w:p w14:paraId="60C2F2C4" w14:textId="77777777" w:rsidR="00D80CCA" w:rsidRPr="001B4A02" w:rsidRDefault="00000000" w:rsidP="00D80CCA">
      <w:pPr>
        <w:numPr>
          <w:ilvl w:val="0"/>
          <w:numId w:val="104"/>
        </w:numPr>
        <w:suppressAutoHyphens/>
      </w:pPr>
      <w:r w:rsidRPr="001B4A02">
        <w:t>Po řádném procvičení si můžete injekci podat sám (sama) nebo to může provádět i jiná osoba, např. člen rodiny nebo přítel či přítelkyně.</w:t>
      </w:r>
    </w:p>
    <w:p w14:paraId="31E834E0" w14:textId="77777777" w:rsidR="00D80CCA" w:rsidRPr="001B4A02" w:rsidRDefault="00D80CCA" w:rsidP="00D80CCA">
      <w:pPr>
        <w:ind w:left="720"/>
      </w:pPr>
    </w:p>
    <w:p w14:paraId="34414FE4" w14:textId="77777777" w:rsidR="00D80CCA" w:rsidRPr="001B4A02" w:rsidRDefault="00000000" w:rsidP="00D80CCA">
      <w:pPr>
        <w:pStyle w:val="EMEAHeadingLeaflet"/>
        <w:numPr>
          <w:ilvl w:val="0"/>
          <w:numId w:val="104"/>
        </w:numPr>
        <w:tabs>
          <w:tab w:val="clear" w:pos="562"/>
        </w:tabs>
        <w:spacing w:beforeLines="0" w:afterLines="0"/>
        <w:rPr>
          <w:rFonts w:ascii="Times New Roman" w:hAnsi="Times New Roman"/>
          <w:b w:val="0"/>
          <w:lang w:val="cs-CZ"/>
        </w:rPr>
      </w:pPr>
      <w:r w:rsidRPr="001B4A02">
        <w:rPr>
          <w:rFonts w:ascii="Times New Roman" w:hAnsi="Times New Roman"/>
          <w:b w:val="0"/>
          <w:lang w:val="cs-CZ"/>
        </w:rPr>
        <w:t>Každou předplněnou injekční stříkačku použijte jen pro jednu injekci.</w:t>
      </w:r>
    </w:p>
    <w:p w14:paraId="48A2A17D" w14:textId="77777777" w:rsidR="00D80CCA" w:rsidRPr="001B4A02" w:rsidRDefault="00D80CCA" w:rsidP="00D80CCA">
      <w:pPr>
        <w:ind w:left="0" w:firstLine="0"/>
        <w:jc w:val="center"/>
      </w:pPr>
    </w:p>
    <w:p w14:paraId="221A1313" w14:textId="77777777" w:rsidR="00D80CCA" w:rsidRPr="00977D2C" w:rsidRDefault="00000000" w:rsidP="00D80CCA">
      <w:pPr>
        <w:keepNext/>
        <w:ind w:left="0" w:firstLine="0"/>
      </w:pPr>
      <w:r w:rsidRPr="001B4A02">
        <w:rPr>
          <w:b/>
        </w:rPr>
        <w:t>Humira předplněná injekční stříkačka</w:t>
      </w:r>
    </w:p>
    <w:p w14:paraId="5D5A917F" w14:textId="77777777" w:rsidR="00D80CCA" w:rsidRPr="001B4A02" w:rsidRDefault="00D80CCA" w:rsidP="00D80CCA">
      <w:pPr>
        <w:keepNext/>
        <w:ind w:left="0" w:firstLine="0"/>
        <w:jc w:val="center"/>
      </w:pPr>
    </w:p>
    <w:p w14:paraId="768CADEB" w14:textId="77777777" w:rsidR="00D80CCA" w:rsidRPr="001B4A02" w:rsidRDefault="00D80CCA" w:rsidP="00D80CCA">
      <w:pPr>
        <w:keepNext/>
        <w:ind w:left="0" w:firstLine="0"/>
      </w:pPr>
    </w:p>
    <w:p w14:paraId="0DF90915" w14:textId="77777777" w:rsidR="00D80CCA" w:rsidRPr="001B4A02" w:rsidRDefault="00000000" w:rsidP="00D80CCA">
      <w:pPr>
        <w:keepNext/>
        <w:ind w:left="1701" w:firstLine="0"/>
        <w:rPr>
          <w:b/>
        </w:rPr>
      </w:pPr>
      <w:r w:rsidRPr="001B4A02">
        <w:rPr>
          <w:b/>
        </w:rPr>
        <w:t xml:space="preserve">     Píst                            Opora pro prsty             Kryt jehly</w:t>
      </w:r>
    </w:p>
    <w:p w14:paraId="25DE3615" w14:textId="77777777" w:rsidR="00D80CCA" w:rsidRPr="001B4A02" w:rsidRDefault="00000000" w:rsidP="00D80CCA">
      <w:pPr>
        <w:keepNext/>
        <w:ind w:left="0" w:firstLine="0"/>
        <w:jc w:val="center"/>
        <w:rPr>
          <w:b/>
        </w:rPr>
      </w:pPr>
      <w:r w:rsidRPr="00AD6F48">
        <w:rPr>
          <w:noProof/>
          <w:lang w:eastAsia="cs-CZ"/>
        </w:rPr>
        <w:t xml:space="preserve"> </w:t>
      </w:r>
      <w:r>
        <w:rPr>
          <w:noProof/>
          <w:lang w:val="en-US"/>
        </w:rPr>
        <w:drawing>
          <wp:inline distT="0" distB="0" distL="0" distR="0" wp14:anchorId="74649D3B" wp14:editId="52F0C716">
            <wp:extent cx="3364865" cy="1477645"/>
            <wp:effectExtent l="0" t="0" r="6985" b="8255"/>
            <wp:docPr id="9" name="Picture 21"/>
            <wp:cNvGraphicFramePr/>
            <a:graphic xmlns:a="http://schemas.openxmlformats.org/drawingml/2006/main">
              <a:graphicData uri="http://schemas.openxmlformats.org/drawingml/2006/picture">
                <pic:pic xmlns:pic="http://schemas.openxmlformats.org/drawingml/2006/picture">
                  <pic:nvPicPr>
                    <pic:cNvPr id="9" name="Picture 21"/>
                    <pic:cNvPicPr/>
                  </pic:nvPicPr>
                  <pic:blipFill>
                    <a:blip r:embed="rId22">
                      <a:extLst>
                        <a:ext uri="{28A0092B-C50C-407E-A947-70E740481C1C}">
                          <a14:useLocalDpi xmlns:a14="http://schemas.microsoft.com/office/drawing/2010/main" val="0"/>
                        </a:ext>
                      </a:extLst>
                    </a:blip>
                    <a:stretch>
                      <a:fillRect/>
                    </a:stretch>
                  </pic:blipFill>
                  <pic:spPr>
                    <a:xfrm>
                      <a:off x="0" y="0"/>
                      <a:ext cx="3364865" cy="1477645"/>
                    </a:xfrm>
                    <a:prstGeom prst="rect">
                      <a:avLst/>
                    </a:prstGeom>
                  </pic:spPr>
                </pic:pic>
              </a:graphicData>
            </a:graphic>
          </wp:inline>
        </w:drawing>
      </w:r>
    </w:p>
    <w:p w14:paraId="58CD9A18" w14:textId="77777777" w:rsidR="00D80CCA" w:rsidRPr="00977D2C" w:rsidRDefault="00D80CCA" w:rsidP="00D80CCA">
      <w:pPr>
        <w:ind w:left="0" w:firstLine="0"/>
        <w:jc w:val="center"/>
      </w:pPr>
    </w:p>
    <w:p w14:paraId="629D7C15" w14:textId="77777777" w:rsidR="00D80CCA" w:rsidRPr="00977D2C" w:rsidRDefault="00000000" w:rsidP="003C624D">
      <w:pPr>
        <w:pStyle w:val="EMEAHeadingLeaflet"/>
        <w:keepNext/>
        <w:spacing w:beforeLines="0" w:afterLines="0"/>
        <w:rPr>
          <w:rFonts w:ascii="Times New Roman" w:hAnsi="Times New Roman"/>
          <w:b w:val="0"/>
          <w:lang w:val="cs-CZ"/>
        </w:rPr>
      </w:pPr>
      <w:r w:rsidRPr="001B4A02">
        <w:rPr>
          <w:rFonts w:ascii="Times New Roman" w:hAnsi="Times New Roman"/>
          <w:lang w:val="cs-CZ"/>
        </w:rPr>
        <w:t>Předplněnou injekční stříkačku nepoužívejte</w:t>
      </w:r>
      <w:r w:rsidR="002378E0">
        <w:rPr>
          <w:rFonts w:ascii="Times New Roman" w:hAnsi="Times New Roman"/>
          <w:lang w:val="cs-CZ"/>
        </w:rPr>
        <w:t xml:space="preserve"> a </w:t>
      </w:r>
      <w:r w:rsidRPr="001B4A02">
        <w:rPr>
          <w:rFonts w:ascii="Times New Roman" w:hAnsi="Times New Roman"/>
          <w:lang w:val="cs-CZ"/>
        </w:rPr>
        <w:t>zavolejte svému lé</w:t>
      </w:r>
      <w:r w:rsidR="00977D2C">
        <w:rPr>
          <w:rFonts w:ascii="Times New Roman" w:hAnsi="Times New Roman"/>
          <w:lang w:val="cs-CZ"/>
        </w:rPr>
        <w:t>kaři nebo lékárníkovi, jestliže</w:t>
      </w:r>
    </w:p>
    <w:p w14:paraId="4EAE2B03" w14:textId="77777777" w:rsidR="00D80CCA" w:rsidRPr="001B4A02" w:rsidRDefault="00D80CCA" w:rsidP="003C624D">
      <w:pPr>
        <w:pStyle w:val="EMEANormal"/>
        <w:keepNext/>
        <w:rPr>
          <w:lang w:val="cs-CZ"/>
        </w:rPr>
      </w:pPr>
    </w:p>
    <w:p w14:paraId="0AB4F5D3" w14:textId="77777777" w:rsidR="00D80CCA" w:rsidRPr="001B4A02" w:rsidRDefault="00000000" w:rsidP="003C624D">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je roztok zakalený, změnil barvu nebo v něm jsou patrné vločky či částečky</w:t>
      </w:r>
    </w:p>
    <w:p w14:paraId="5B474A0F" w14:textId="77777777" w:rsidR="00D80CCA" w:rsidRPr="001B4A02" w:rsidRDefault="00000000" w:rsidP="003C624D">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uplynulo datum použitelnosti (EXP)</w:t>
      </w:r>
    </w:p>
    <w:p w14:paraId="58F11A4F" w14:textId="77777777" w:rsidR="00D80CCA" w:rsidRPr="001B4A02" w:rsidRDefault="00000000" w:rsidP="003C624D">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byl roztok zmrazen nebo ponechán na přímém slunečním světle</w:t>
      </w:r>
    </w:p>
    <w:p w14:paraId="348B2204" w14:textId="77777777" w:rsidR="00D80CCA" w:rsidRPr="001B4A02" w:rsidRDefault="00000000" w:rsidP="003C624D">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předplněná injekční stříkačka upadla nebo praskla</w:t>
      </w:r>
    </w:p>
    <w:p w14:paraId="58A4BAB5" w14:textId="77777777" w:rsidR="00D80CCA" w:rsidRPr="001B4A02" w:rsidRDefault="00D80CCA" w:rsidP="00D80CCA">
      <w:pPr>
        <w:pStyle w:val="EMEAHeadingLeaflet"/>
        <w:keepNext/>
        <w:tabs>
          <w:tab w:val="clear" w:pos="562"/>
          <w:tab w:val="left" w:pos="0"/>
        </w:tabs>
        <w:spacing w:beforeLines="0" w:afterLines="0"/>
        <w:rPr>
          <w:rFonts w:ascii="Times New Roman" w:hAnsi="Times New Roman"/>
          <w:b w:val="0"/>
          <w:lang w:val="cs-CZ"/>
        </w:rPr>
      </w:pPr>
    </w:p>
    <w:p w14:paraId="429BA7FE" w14:textId="77777777" w:rsidR="00D80CCA" w:rsidRPr="00977D2C" w:rsidRDefault="00000000" w:rsidP="00D80CCA">
      <w:pPr>
        <w:pStyle w:val="EMEAHeadingLeaflet"/>
        <w:keepNext/>
        <w:tabs>
          <w:tab w:val="clear" w:pos="562"/>
          <w:tab w:val="left" w:pos="0"/>
        </w:tabs>
        <w:spacing w:beforeLines="0" w:afterLines="0"/>
        <w:rPr>
          <w:rFonts w:ascii="Times New Roman" w:hAnsi="Times New Roman"/>
          <w:b w:val="0"/>
          <w:lang w:val="cs-CZ"/>
        </w:rPr>
      </w:pPr>
      <w:r w:rsidRPr="001B4A02">
        <w:rPr>
          <w:rFonts w:ascii="Times New Roman" w:hAnsi="Times New Roman"/>
          <w:lang w:val="cs-CZ"/>
        </w:rPr>
        <w:t>Kryt odstraňte až bezprostředně před podáním injekce. Uchovávejte přípravek Humira mimo dohled</w:t>
      </w:r>
      <w:r w:rsidR="002378E0">
        <w:rPr>
          <w:rFonts w:ascii="Times New Roman" w:hAnsi="Times New Roman"/>
          <w:lang w:val="cs-CZ"/>
        </w:rPr>
        <w:t xml:space="preserve"> a </w:t>
      </w:r>
      <w:r w:rsidRPr="001B4A02">
        <w:rPr>
          <w:rFonts w:ascii="Times New Roman" w:hAnsi="Times New Roman"/>
          <w:lang w:val="cs-CZ"/>
        </w:rPr>
        <w:t>dosah dětí.</w:t>
      </w:r>
    </w:p>
    <w:p w14:paraId="688886E0" w14:textId="77777777" w:rsidR="00D80CCA" w:rsidRPr="00977D2C" w:rsidRDefault="00D80CCA" w:rsidP="00D80CCA">
      <w:pPr>
        <w:ind w:left="0" w:firstLine="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534A2D" w14:paraId="557C0366" w14:textId="77777777" w:rsidTr="00085F34">
        <w:tc>
          <w:tcPr>
            <w:tcW w:w="9287" w:type="dxa"/>
            <w:gridSpan w:val="2"/>
            <w:tcBorders>
              <w:bottom w:val="single" w:sz="4" w:space="0" w:color="auto"/>
            </w:tcBorders>
            <w:shd w:val="clear" w:color="auto" w:fill="auto"/>
          </w:tcPr>
          <w:p w14:paraId="58AB23C7" w14:textId="77777777" w:rsidR="00D80CCA" w:rsidRPr="00977D2C" w:rsidRDefault="00000000" w:rsidP="00085F34">
            <w:pPr>
              <w:pStyle w:val="EMEAHeadingLeaflet"/>
              <w:spacing w:beforeLines="0" w:afterLines="0"/>
              <w:rPr>
                <w:rFonts w:ascii="Times New Roman" w:hAnsi="Times New Roman"/>
                <w:b w:val="0"/>
                <w:lang w:val="cs-CZ"/>
              </w:rPr>
            </w:pPr>
            <w:r w:rsidRPr="001B4A02">
              <w:rPr>
                <w:rFonts w:ascii="Times New Roman" w:hAnsi="Times New Roman"/>
                <w:lang w:val="cs-CZ"/>
              </w:rPr>
              <w:t>KROK 1</w:t>
            </w:r>
          </w:p>
          <w:p w14:paraId="3888726B" w14:textId="77777777" w:rsidR="00D80CCA" w:rsidRPr="001B4A02" w:rsidRDefault="00D80CCA" w:rsidP="00085F34">
            <w:pPr>
              <w:pStyle w:val="EMEANormal"/>
              <w:rPr>
                <w:lang w:val="cs-CZ"/>
              </w:rPr>
            </w:pPr>
          </w:p>
          <w:p w14:paraId="659A46A4" w14:textId="77777777" w:rsidR="00D80CCA" w:rsidRPr="001B4A02" w:rsidRDefault="00000000" w:rsidP="00085F34">
            <w:pPr>
              <w:pStyle w:val="EMEAHeadingLeaflet"/>
              <w:spacing w:beforeLines="0" w:afterLines="0"/>
              <w:rPr>
                <w:rFonts w:ascii="Times New Roman" w:hAnsi="Times New Roman"/>
                <w:b w:val="0"/>
                <w:lang w:val="cs-CZ"/>
              </w:rPr>
            </w:pPr>
            <w:r w:rsidRPr="001B4A02">
              <w:rPr>
                <w:rFonts w:ascii="Times New Roman" w:hAnsi="Times New Roman"/>
                <w:b w:val="0"/>
                <w:lang w:val="cs-CZ"/>
              </w:rPr>
              <w:t>Přípravek Humira vyjměte z chladničky.</w:t>
            </w:r>
          </w:p>
          <w:p w14:paraId="6A94DE43" w14:textId="77777777" w:rsidR="00D80CCA" w:rsidRPr="001B4A02" w:rsidRDefault="00D80CCA" w:rsidP="00085F34">
            <w:pPr>
              <w:pStyle w:val="EMEANormal"/>
              <w:rPr>
                <w:lang w:val="cs-CZ"/>
              </w:rPr>
            </w:pPr>
          </w:p>
          <w:p w14:paraId="6C1FA4A0" w14:textId="77777777" w:rsidR="00D80CCA" w:rsidRPr="001B4A02" w:rsidRDefault="00000000" w:rsidP="00085F34">
            <w:pPr>
              <w:pStyle w:val="EMEAHeadingLeaflet"/>
              <w:spacing w:beforeLines="0" w:afterLines="0"/>
              <w:rPr>
                <w:rFonts w:ascii="Times New Roman" w:hAnsi="Times New Roman"/>
                <w:b w:val="0"/>
                <w:lang w:val="cs-CZ"/>
              </w:rPr>
            </w:pPr>
            <w:r w:rsidRPr="001B4A02">
              <w:rPr>
                <w:rFonts w:ascii="Times New Roman" w:hAnsi="Times New Roman"/>
                <w:b w:val="0"/>
                <w:lang w:val="cs-CZ"/>
              </w:rPr>
              <w:t xml:space="preserve">Přípravek Humira nechte </w:t>
            </w:r>
            <w:r w:rsidRPr="001B4A02">
              <w:rPr>
                <w:rFonts w:ascii="Times New Roman" w:hAnsi="Times New Roman"/>
                <w:lang w:val="cs-CZ"/>
              </w:rPr>
              <w:t>15 až 30 minut</w:t>
            </w:r>
            <w:r w:rsidRPr="001B4A02">
              <w:rPr>
                <w:rFonts w:ascii="Times New Roman" w:hAnsi="Times New Roman"/>
                <w:b w:val="0"/>
                <w:lang w:val="cs-CZ"/>
              </w:rPr>
              <w:t xml:space="preserve"> před podáním injekce při pokojové teplotě.</w:t>
            </w:r>
          </w:p>
          <w:p w14:paraId="14FB8ABC" w14:textId="77777777" w:rsidR="00D80CCA" w:rsidRPr="001B4A02" w:rsidRDefault="00D80CCA" w:rsidP="00085F34">
            <w:pPr>
              <w:pStyle w:val="EMEAHeadingLeaflet"/>
              <w:spacing w:beforeLines="0" w:afterLines="0"/>
              <w:rPr>
                <w:rFonts w:ascii="Times New Roman" w:hAnsi="Times New Roman"/>
                <w:b w:val="0"/>
                <w:lang w:val="cs-CZ"/>
              </w:rPr>
            </w:pPr>
          </w:p>
          <w:p w14:paraId="11060479" w14:textId="77777777" w:rsidR="00D80CCA" w:rsidRPr="001B4A02" w:rsidRDefault="00000000" w:rsidP="00085F34">
            <w:pPr>
              <w:pStyle w:val="EMEAHeadingLeaflet"/>
              <w:numPr>
                <w:ilvl w:val="0"/>
                <w:numId w:val="106"/>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 xml:space="preserve">Během doby, kdy je přípravek Humira ponechán při pokojové teplotě, </w:t>
            </w:r>
            <w:r w:rsidRPr="001B4A02">
              <w:rPr>
                <w:rFonts w:ascii="Times New Roman" w:hAnsi="Times New Roman"/>
                <w:lang w:val="cs-CZ"/>
              </w:rPr>
              <w:t xml:space="preserve">nesundávejte </w:t>
            </w:r>
            <w:r w:rsidRPr="001B4A02">
              <w:rPr>
                <w:rFonts w:ascii="Times New Roman" w:hAnsi="Times New Roman"/>
                <w:b w:val="0"/>
                <w:lang w:val="cs-CZ"/>
              </w:rPr>
              <w:t>kryt jehly</w:t>
            </w:r>
          </w:p>
          <w:p w14:paraId="2EE655F2" w14:textId="77777777" w:rsidR="00D80CCA" w:rsidRPr="001B4A02" w:rsidRDefault="00000000" w:rsidP="00085F34">
            <w:pPr>
              <w:pStyle w:val="EMEANormal"/>
              <w:numPr>
                <w:ilvl w:val="0"/>
                <w:numId w:val="106"/>
              </w:numPr>
              <w:tabs>
                <w:tab w:val="clear" w:pos="562"/>
                <w:tab w:val="left" w:pos="720"/>
              </w:tabs>
              <w:rPr>
                <w:lang w:val="cs-CZ"/>
              </w:rPr>
            </w:pPr>
            <w:r w:rsidRPr="001B4A02">
              <w:rPr>
                <w:lang w:val="cs-CZ"/>
              </w:rPr>
              <w:t xml:space="preserve">Přípravek Humira </w:t>
            </w:r>
            <w:r w:rsidRPr="001B4A02">
              <w:rPr>
                <w:b/>
                <w:lang w:val="cs-CZ"/>
              </w:rPr>
              <w:t>neohřívejte</w:t>
            </w:r>
            <w:r w:rsidRPr="001B4A02">
              <w:rPr>
                <w:lang w:val="cs-CZ"/>
              </w:rPr>
              <w:t xml:space="preserve"> žádným jiným způsobem. </w:t>
            </w:r>
            <w:r w:rsidRPr="001B4A02">
              <w:rPr>
                <w:b/>
                <w:lang w:val="cs-CZ"/>
              </w:rPr>
              <w:t>Neohřívejte</w:t>
            </w:r>
            <w:r w:rsidRPr="001B4A02">
              <w:rPr>
                <w:lang w:val="cs-CZ"/>
              </w:rPr>
              <w:t xml:space="preserve"> jej například v mikrovlnné troubě nebo v horké vodě</w:t>
            </w:r>
          </w:p>
        </w:tc>
      </w:tr>
      <w:tr w:rsidR="00534A2D" w14:paraId="13D86DAC" w14:textId="77777777" w:rsidTr="00085F34">
        <w:tc>
          <w:tcPr>
            <w:tcW w:w="3708" w:type="dxa"/>
            <w:tcBorders>
              <w:right w:val="nil"/>
            </w:tcBorders>
            <w:shd w:val="clear" w:color="auto" w:fill="auto"/>
          </w:tcPr>
          <w:p w14:paraId="119B3BC5" w14:textId="77777777" w:rsidR="00D80CCA" w:rsidRPr="00977D2C" w:rsidRDefault="00000000" w:rsidP="00970906">
            <w:pPr>
              <w:pStyle w:val="EMEANormal"/>
              <w:rPr>
                <w:lang w:val="cs-CZ"/>
              </w:rPr>
            </w:pPr>
            <w:r>
              <w:rPr>
                <w:b/>
                <w:lang w:val="cs-CZ"/>
              </w:rPr>
              <w:t>KROK 2</w:t>
            </w:r>
          </w:p>
          <w:p w14:paraId="0B50B4A2" w14:textId="77777777" w:rsidR="00D80CCA" w:rsidRPr="00977D2C" w:rsidRDefault="00D80CCA" w:rsidP="00970906">
            <w:pPr>
              <w:pStyle w:val="EMEANormal"/>
              <w:rPr>
                <w:lang w:val="cs-CZ"/>
              </w:rPr>
            </w:pPr>
          </w:p>
          <w:p w14:paraId="322E69F1" w14:textId="77777777" w:rsidR="00D80CCA" w:rsidRPr="001B4A02" w:rsidRDefault="00000000" w:rsidP="00970906">
            <w:pPr>
              <w:pStyle w:val="EMEANormal"/>
              <w:rPr>
                <w:b/>
                <w:lang w:val="cs-CZ"/>
              </w:rPr>
            </w:pPr>
            <w:r w:rsidRPr="001B4A02">
              <w:rPr>
                <w:b/>
                <w:lang w:val="cs-CZ"/>
              </w:rPr>
              <w:t xml:space="preserve">           Injekční stříkačka</w:t>
            </w:r>
          </w:p>
          <w:p w14:paraId="39A31A25" w14:textId="77777777" w:rsidR="00D80CCA" w:rsidRPr="001B4A02" w:rsidRDefault="00000000" w:rsidP="00970906">
            <w:pPr>
              <w:pStyle w:val="EMEANormal"/>
              <w:rPr>
                <w:lang w:val="cs-CZ"/>
              </w:rPr>
            </w:pPr>
            <w:r>
              <w:rPr>
                <w:noProof/>
                <w:lang w:eastAsia="cs-CZ"/>
              </w:rPr>
              <w:t xml:space="preserve"> </w:t>
            </w:r>
            <w:r>
              <w:rPr>
                <w:noProof/>
              </w:rPr>
              <w:drawing>
                <wp:inline distT="0" distB="0" distL="0" distR="0" wp14:anchorId="7A126B22" wp14:editId="2FA4F6E1">
                  <wp:extent cx="2217420" cy="2052320"/>
                  <wp:effectExtent l="0" t="0" r="0" b="5080"/>
                  <wp:docPr id="13" name="Picture 24"/>
                  <wp:cNvGraphicFramePr/>
                  <a:graphic xmlns:a="http://schemas.openxmlformats.org/drawingml/2006/main">
                    <a:graphicData uri="http://schemas.openxmlformats.org/drawingml/2006/picture">
                      <pic:pic xmlns:pic="http://schemas.openxmlformats.org/drawingml/2006/picture">
                        <pic:nvPicPr>
                          <pic:cNvPr id="13" name="Picture 24"/>
                          <pic:cNvPicPr/>
                        </pic:nvPicPr>
                        <pic:blipFill>
                          <a:blip r:embed="rId23">
                            <a:extLst>
                              <a:ext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14:paraId="412EBDE1" w14:textId="77777777" w:rsidR="00D80CCA" w:rsidRPr="001B4A02" w:rsidRDefault="00000000" w:rsidP="00970906">
            <w:pPr>
              <w:pStyle w:val="EMEANormal"/>
              <w:rPr>
                <w:b/>
                <w:lang w:val="cs-CZ"/>
              </w:rPr>
            </w:pPr>
            <w:r w:rsidRPr="001B4A02">
              <w:rPr>
                <w:b/>
                <w:lang w:val="cs-CZ"/>
              </w:rPr>
              <w:t xml:space="preserve">                 Tamp</w:t>
            </w:r>
            <w:ins w:id="13782" w:author="Abbvie02" w:date="2025-05-16T12:33:00Z">
              <w:r w:rsidR="009165EF">
                <w:rPr>
                  <w:b/>
                  <w:lang w:val="cs-CZ"/>
                </w:rPr>
                <w:t>o</w:t>
              </w:r>
            </w:ins>
            <w:del w:id="13783" w:author="Abbvie02" w:date="2025-05-16T12:33:00Z">
              <w:r w:rsidRPr="001B4A02">
                <w:rPr>
                  <w:b/>
                  <w:lang w:val="cs-CZ"/>
                </w:rPr>
                <w:delText>ó</w:delText>
              </w:r>
            </w:del>
            <w:r w:rsidRPr="001B4A02">
              <w:rPr>
                <w:b/>
                <w:lang w:val="cs-CZ"/>
              </w:rPr>
              <w:t>n</w:t>
            </w:r>
          </w:p>
        </w:tc>
        <w:tc>
          <w:tcPr>
            <w:tcW w:w="5579" w:type="dxa"/>
            <w:tcBorders>
              <w:left w:val="nil"/>
            </w:tcBorders>
            <w:shd w:val="clear" w:color="auto" w:fill="auto"/>
          </w:tcPr>
          <w:p w14:paraId="393742AC" w14:textId="77777777" w:rsidR="00D80CCA"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 xml:space="preserve">Zkontrolujte datum použitelnosti (EXP). Předplněnou injekční stříkačku </w:t>
            </w:r>
            <w:r w:rsidRPr="001B4A02">
              <w:rPr>
                <w:rFonts w:ascii="Times New Roman" w:hAnsi="Times New Roman"/>
                <w:lang w:val="cs-CZ"/>
              </w:rPr>
              <w:t>nepoužívejte</w:t>
            </w:r>
            <w:r w:rsidRPr="001B4A02">
              <w:rPr>
                <w:rFonts w:ascii="Times New Roman" w:hAnsi="Times New Roman"/>
                <w:b w:val="0"/>
                <w:lang w:val="cs-CZ"/>
              </w:rPr>
              <w:t>, jestliže datum použitelnosti již uplynulo.</w:t>
            </w:r>
          </w:p>
          <w:p w14:paraId="18058379" w14:textId="77777777" w:rsidR="00D80CCA" w:rsidRPr="001B4A02" w:rsidRDefault="00D80CCA" w:rsidP="00970906">
            <w:pPr>
              <w:pStyle w:val="EMEANormal"/>
              <w:rPr>
                <w:lang w:val="cs-CZ"/>
              </w:rPr>
            </w:pPr>
          </w:p>
          <w:p w14:paraId="26917B45" w14:textId="77777777" w:rsidR="00D80CCA"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Na čistý povrch si připravte následující pomůcky</w:t>
            </w:r>
          </w:p>
          <w:p w14:paraId="3632D664" w14:textId="77777777" w:rsidR="00D80CCA" w:rsidRPr="001B4A02" w:rsidRDefault="00D80CCA" w:rsidP="00970906">
            <w:pPr>
              <w:pStyle w:val="EMEANormal"/>
              <w:rPr>
                <w:lang w:val="cs-CZ"/>
              </w:rPr>
            </w:pPr>
          </w:p>
          <w:p w14:paraId="57578960" w14:textId="77777777" w:rsidR="00D80CCA" w:rsidRPr="001B4A02" w:rsidRDefault="00000000" w:rsidP="00970906">
            <w:pPr>
              <w:pStyle w:val="EMEAHeadingLeaflet"/>
              <w:numPr>
                <w:ilvl w:val="0"/>
                <w:numId w:val="107"/>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1 předplněnou injekční stříkačku na jedno použití</w:t>
            </w:r>
            <w:r w:rsidR="002378E0">
              <w:rPr>
                <w:rFonts w:ascii="Times New Roman" w:hAnsi="Times New Roman"/>
                <w:b w:val="0"/>
                <w:lang w:val="cs-CZ"/>
              </w:rPr>
              <w:t xml:space="preserve"> a </w:t>
            </w:r>
          </w:p>
          <w:p w14:paraId="543E19EA" w14:textId="77777777" w:rsidR="00D80CCA" w:rsidRPr="001B4A02" w:rsidRDefault="00000000" w:rsidP="00970906">
            <w:pPr>
              <w:pStyle w:val="EMEAHeadingLeaflet"/>
              <w:numPr>
                <w:ilvl w:val="0"/>
                <w:numId w:val="107"/>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1 tamp</w:t>
            </w:r>
            <w:ins w:id="13784" w:author="Abbvie02" w:date="2025-05-16T12:33:00Z">
              <w:r w:rsidR="009165EF">
                <w:rPr>
                  <w:rFonts w:ascii="Times New Roman" w:hAnsi="Times New Roman"/>
                  <w:b w:val="0"/>
                  <w:lang w:val="cs-CZ"/>
                </w:rPr>
                <w:t>o</w:t>
              </w:r>
            </w:ins>
            <w:del w:id="13785" w:author="Abbvie02" w:date="2025-05-16T12:33:00Z">
              <w:r w:rsidRPr="001B4A02">
                <w:rPr>
                  <w:rFonts w:ascii="Times New Roman" w:hAnsi="Times New Roman"/>
                  <w:b w:val="0"/>
                  <w:lang w:val="cs-CZ"/>
                </w:rPr>
                <w:delText>ó</w:delText>
              </w:r>
            </w:del>
            <w:r w:rsidRPr="001B4A02">
              <w:rPr>
                <w:rFonts w:ascii="Times New Roman" w:hAnsi="Times New Roman"/>
                <w:b w:val="0"/>
                <w:lang w:val="cs-CZ"/>
              </w:rPr>
              <w:t>n s alkoholem</w:t>
            </w:r>
          </w:p>
          <w:p w14:paraId="6D751161" w14:textId="77777777" w:rsidR="00D80CCA" w:rsidRPr="001B4A02" w:rsidRDefault="00D80CCA" w:rsidP="00970906">
            <w:pPr>
              <w:pStyle w:val="EMEANormal"/>
              <w:rPr>
                <w:lang w:val="cs-CZ"/>
              </w:rPr>
            </w:pPr>
          </w:p>
          <w:p w14:paraId="3F289B3E" w14:textId="77777777" w:rsidR="00D80CCA" w:rsidRPr="001B4A02" w:rsidRDefault="00000000" w:rsidP="00970906">
            <w:pPr>
              <w:pStyle w:val="EMEANormal"/>
              <w:rPr>
                <w:lang w:val="cs-CZ"/>
              </w:rPr>
            </w:pPr>
            <w:r w:rsidRPr="001B4A02">
              <w:rPr>
                <w:lang w:val="cs-CZ"/>
              </w:rPr>
              <w:t>Umyjte si</w:t>
            </w:r>
            <w:r w:rsidR="002378E0">
              <w:rPr>
                <w:lang w:val="cs-CZ"/>
              </w:rPr>
              <w:t xml:space="preserve"> a </w:t>
            </w:r>
            <w:r w:rsidRPr="001B4A02">
              <w:rPr>
                <w:lang w:val="cs-CZ"/>
              </w:rPr>
              <w:t>osušte ruce.</w:t>
            </w:r>
          </w:p>
        </w:tc>
      </w:tr>
      <w:tr w:rsidR="00534A2D" w14:paraId="5DD12AA2" w14:textId="77777777" w:rsidTr="00085F34">
        <w:tc>
          <w:tcPr>
            <w:tcW w:w="3708" w:type="dxa"/>
            <w:tcBorders>
              <w:top w:val="single" w:sz="4" w:space="0" w:color="auto"/>
              <w:left w:val="single" w:sz="4" w:space="0" w:color="auto"/>
              <w:bottom w:val="single" w:sz="4" w:space="0" w:color="auto"/>
              <w:right w:val="nil"/>
            </w:tcBorders>
            <w:shd w:val="clear" w:color="auto" w:fill="auto"/>
          </w:tcPr>
          <w:p w14:paraId="70F41248" w14:textId="77777777" w:rsidR="00D80CCA" w:rsidRPr="00977D2C" w:rsidRDefault="00000000" w:rsidP="00970906">
            <w:pPr>
              <w:pStyle w:val="EMEANormal"/>
              <w:keepNext/>
              <w:rPr>
                <w:lang w:val="cs-CZ"/>
              </w:rPr>
            </w:pPr>
            <w:r w:rsidRPr="001B4A02">
              <w:rPr>
                <w:b/>
                <w:lang w:val="cs-CZ"/>
              </w:rPr>
              <w:t>KROK 3</w:t>
            </w:r>
          </w:p>
          <w:p w14:paraId="5E6E5A34" w14:textId="77777777" w:rsidR="00D80CCA" w:rsidRPr="001B4A02" w:rsidRDefault="00D80CCA" w:rsidP="00970906">
            <w:pPr>
              <w:pStyle w:val="EMEANormal"/>
              <w:keepNext/>
              <w:rPr>
                <w:lang w:val="cs-CZ"/>
              </w:rPr>
            </w:pPr>
          </w:p>
          <w:p w14:paraId="4A875515" w14:textId="77777777" w:rsidR="00D80CCA" w:rsidRPr="001B4A02" w:rsidRDefault="00000000" w:rsidP="00970906">
            <w:pPr>
              <w:pStyle w:val="EMEANormal"/>
              <w:keepNext/>
              <w:rPr>
                <w:b/>
                <w:lang w:val="cs-CZ"/>
              </w:rPr>
            </w:pPr>
            <w:r w:rsidRPr="001B4A02">
              <w:rPr>
                <w:b/>
                <w:lang w:val="cs-CZ"/>
              </w:rPr>
              <w:t>Místa pro podání injekce</w:t>
            </w:r>
          </w:p>
          <w:p w14:paraId="44D7D873" w14:textId="77777777" w:rsidR="00D80CCA" w:rsidRPr="001B4A02" w:rsidRDefault="00000000" w:rsidP="00970906">
            <w:pPr>
              <w:pStyle w:val="EMEANormal"/>
              <w:keepNext/>
              <w:rPr>
                <w:b/>
                <w:lang w:val="cs-CZ"/>
              </w:rPr>
            </w:pPr>
            <w:r w:rsidRPr="001B4A02">
              <w:rPr>
                <w:b/>
                <w:noProof/>
              </w:rPr>
              <w:drawing>
                <wp:inline distT="0" distB="0" distL="0" distR="0" wp14:anchorId="669FF592" wp14:editId="219CC818">
                  <wp:extent cx="2277110" cy="2372360"/>
                  <wp:effectExtent l="0" t="0" r="8890" b="8890"/>
                  <wp:docPr id="546" name="obrázek 154"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obrázek 154" descr="STEP3_grey"/>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277110" cy="2372360"/>
                          </a:xfrm>
                          <a:prstGeom prst="rect">
                            <a:avLst/>
                          </a:prstGeom>
                          <a:noFill/>
                          <a:ln>
                            <a:noFill/>
                          </a:ln>
                        </pic:spPr>
                      </pic:pic>
                    </a:graphicData>
                  </a:graphic>
                </wp:inline>
              </w:drawing>
            </w:r>
          </w:p>
          <w:p w14:paraId="27979B1B" w14:textId="77777777" w:rsidR="00D80CCA" w:rsidRPr="001B4A02" w:rsidRDefault="00000000" w:rsidP="00970906">
            <w:pPr>
              <w:pStyle w:val="EMEANormal"/>
              <w:keepNext/>
              <w:rPr>
                <w:b/>
                <w:lang w:val="cs-CZ"/>
              </w:rPr>
            </w:pPr>
            <w:r w:rsidRPr="001B4A02">
              <w:rPr>
                <w:b/>
                <w:lang w:val="cs-CZ"/>
              </w:rPr>
              <w:t xml:space="preserve">     Místa pro podání injekce</w:t>
            </w:r>
          </w:p>
        </w:tc>
        <w:tc>
          <w:tcPr>
            <w:tcW w:w="5579" w:type="dxa"/>
            <w:tcBorders>
              <w:top w:val="single" w:sz="4" w:space="0" w:color="auto"/>
              <w:left w:val="nil"/>
              <w:bottom w:val="single" w:sz="4" w:space="0" w:color="auto"/>
              <w:right w:val="single" w:sz="4" w:space="0" w:color="auto"/>
            </w:tcBorders>
            <w:shd w:val="clear" w:color="auto" w:fill="auto"/>
          </w:tcPr>
          <w:p w14:paraId="7E2620CA" w14:textId="77777777" w:rsidR="00D80CCA"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Vyberte si místo pro podání injekce:</w:t>
            </w:r>
          </w:p>
          <w:p w14:paraId="17C4D840" w14:textId="77777777" w:rsidR="00D80CCA" w:rsidRPr="001B4A02" w:rsidRDefault="00D80CCA" w:rsidP="00970906">
            <w:pPr>
              <w:pStyle w:val="EMEAHeadingLeaflet"/>
              <w:keepNext/>
              <w:spacing w:beforeLines="0" w:afterLines="0"/>
              <w:rPr>
                <w:rFonts w:ascii="Times New Roman" w:hAnsi="Times New Roman"/>
                <w:b w:val="0"/>
                <w:lang w:val="cs-CZ"/>
              </w:rPr>
            </w:pPr>
          </w:p>
          <w:p w14:paraId="75A8D442" w14:textId="77777777" w:rsidR="00D80CCA" w:rsidRPr="001B4A02" w:rsidRDefault="00000000" w:rsidP="00970906">
            <w:pPr>
              <w:pStyle w:val="EMEAHeadingLeaflet"/>
              <w:keepNext/>
              <w:numPr>
                <w:ilvl w:val="0"/>
                <w:numId w:val="108"/>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Na přední straně stehna nebo</w:t>
            </w:r>
          </w:p>
          <w:p w14:paraId="68E3CCFA" w14:textId="77777777" w:rsidR="00D80CCA" w:rsidRPr="001B4A02" w:rsidRDefault="00000000" w:rsidP="00970906">
            <w:pPr>
              <w:pStyle w:val="EMEAHeadingLeaflet"/>
              <w:keepNext/>
              <w:numPr>
                <w:ilvl w:val="0"/>
                <w:numId w:val="108"/>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Na břiše nejméně 5</w:t>
            </w:r>
            <w:r w:rsidR="00B76F26" w:rsidRPr="00B76F26">
              <w:rPr>
                <w:szCs w:val="22"/>
                <w:lang w:val="cs-CZ"/>
              </w:rPr>
              <w:t> </w:t>
            </w:r>
            <w:r w:rsidRPr="001B4A02">
              <w:rPr>
                <w:rFonts w:ascii="Times New Roman" w:hAnsi="Times New Roman"/>
                <w:b w:val="0"/>
                <w:lang w:val="cs-CZ"/>
              </w:rPr>
              <w:t>cm od pupku</w:t>
            </w:r>
          </w:p>
          <w:p w14:paraId="063B8D55" w14:textId="77777777" w:rsidR="00D80CCA" w:rsidRPr="001B4A02" w:rsidRDefault="00000000" w:rsidP="00970906">
            <w:pPr>
              <w:pStyle w:val="EMEAHeadingLeaflet"/>
              <w:keepNext/>
              <w:numPr>
                <w:ilvl w:val="0"/>
                <w:numId w:val="108"/>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Nejméně 3</w:t>
            </w:r>
            <w:r w:rsidR="00B76F26" w:rsidRPr="00B76F26">
              <w:rPr>
                <w:szCs w:val="22"/>
                <w:lang w:val="cs-CZ"/>
              </w:rPr>
              <w:t> </w:t>
            </w:r>
            <w:r w:rsidRPr="001B4A02">
              <w:rPr>
                <w:rFonts w:ascii="Times New Roman" w:hAnsi="Times New Roman"/>
                <w:b w:val="0"/>
                <w:lang w:val="cs-CZ"/>
              </w:rPr>
              <w:t>cm od posledního místa vpichu</w:t>
            </w:r>
          </w:p>
          <w:p w14:paraId="35A9A8AE" w14:textId="77777777" w:rsidR="00D80CCA" w:rsidRPr="001B4A02" w:rsidRDefault="00D80CCA" w:rsidP="00970906">
            <w:pPr>
              <w:pStyle w:val="EMEAHeadingLeaflet"/>
              <w:keepNext/>
              <w:spacing w:beforeLines="0" w:afterLines="0"/>
              <w:rPr>
                <w:rFonts w:ascii="Times New Roman" w:hAnsi="Times New Roman"/>
                <w:b w:val="0"/>
                <w:lang w:val="cs-CZ"/>
              </w:rPr>
            </w:pPr>
          </w:p>
          <w:p w14:paraId="48B8FAE5" w14:textId="77777777" w:rsidR="00D80CCA"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Otřete krouživými pohyby místo vpichu tamp</w:t>
            </w:r>
            <w:ins w:id="13786" w:author="Abbvie02" w:date="2025-05-16T12:33:00Z">
              <w:r w:rsidR="009165EF">
                <w:rPr>
                  <w:rFonts w:ascii="Times New Roman" w:hAnsi="Times New Roman"/>
                  <w:b w:val="0"/>
                  <w:lang w:val="cs-CZ"/>
                </w:rPr>
                <w:t>o</w:t>
              </w:r>
            </w:ins>
            <w:del w:id="13787" w:author="Abbvie02" w:date="2025-05-16T12:33:00Z">
              <w:r w:rsidRPr="001B4A02">
                <w:rPr>
                  <w:rFonts w:ascii="Times New Roman" w:hAnsi="Times New Roman"/>
                  <w:b w:val="0"/>
                  <w:lang w:val="cs-CZ"/>
                </w:rPr>
                <w:delText>ó</w:delText>
              </w:r>
            </w:del>
            <w:r w:rsidRPr="001B4A02">
              <w:rPr>
                <w:rFonts w:ascii="Times New Roman" w:hAnsi="Times New Roman"/>
                <w:b w:val="0"/>
                <w:lang w:val="cs-CZ"/>
              </w:rPr>
              <w:t>nem s alkoholem.</w:t>
            </w:r>
          </w:p>
          <w:p w14:paraId="7B7DFB4E" w14:textId="77777777" w:rsidR="00D80CCA" w:rsidRPr="001B4A02" w:rsidRDefault="00D80CCA" w:rsidP="00970906">
            <w:pPr>
              <w:pStyle w:val="EMEAHeadingLeaflet"/>
              <w:keepNext/>
              <w:spacing w:beforeLines="0" w:afterLines="0"/>
              <w:rPr>
                <w:rFonts w:ascii="Times New Roman" w:hAnsi="Times New Roman"/>
                <w:b w:val="0"/>
                <w:lang w:val="cs-CZ"/>
              </w:rPr>
            </w:pPr>
          </w:p>
          <w:p w14:paraId="2B1ED08E" w14:textId="77777777" w:rsidR="00D80CCA" w:rsidRPr="001B4A02" w:rsidRDefault="00000000" w:rsidP="00970906">
            <w:pPr>
              <w:pStyle w:val="EMEAHeadingLeaflet"/>
              <w:keepNext/>
              <w:numPr>
                <w:ilvl w:val="0"/>
                <w:numId w:val="48"/>
              </w:numPr>
              <w:tabs>
                <w:tab w:val="clear" w:pos="562"/>
                <w:tab w:val="clear" w:pos="720"/>
                <w:tab w:val="left" w:pos="757"/>
              </w:tabs>
              <w:spacing w:beforeLines="0" w:afterLines="0"/>
              <w:rPr>
                <w:rFonts w:ascii="Times New Roman" w:hAnsi="Times New Roman"/>
                <w:b w:val="0"/>
                <w:lang w:val="cs-CZ"/>
              </w:rPr>
            </w:pPr>
            <w:r w:rsidRPr="001B4A02">
              <w:rPr>
                <w:rFonts w:ascii="Times New Roman" w:hAnsi="Times New Roman"/>
                <w:b w:val="0"/>
                <w:lang w:val="cs-CZ"/>
              </w:rPr>
              <w:t xml:space="preserve">Injekci </w:t>
            </w:r>
            <w:r w:rsidRPr="001B4A02">
              <w:rPr>
                <w:rFonts w:ascii="Times New Roman" w:hAnsi="Times New Roman"/>
                <w:lang w:val="cs-CZ"/>
              </w:rPr>
              <w:t>nevpichujte</w:t>
            </w:r>
            <w:r w:rsidRPr="001B4A02">
              <w:rPr>
                <w:rFonts w:ascii="Times New Roman" w:hAnsi="Times New Roman"/>
                <w:b w:val="0"/>
                <w:lang w:val="cs-CZ"/>
              </w:rPr>
              <w:t xml:space="preserve"> přes oděv</w:t>
            </w:r>
          </w:p>
          <w:p w14:paraId="58339CBE" w14:textId="77777777" w:rsidR="00D80CCA" w:rsidRPr="001B4A02" w:rsidRDefault="00000000" w:rsidP="00970906">
            <w:pPr>
              <w:pStyle w:val="EMEANormal"/>
              <w:keepNext/>
              <w:numPr>
                <w:ilvl w:val="0"/>
                <w:numId w:val="48"/>
              </w:numPr>
              <w:tabs>
                <w:tab w:val="clear" w:pos="562"/>
              </w:tabs>
              <w:rPr>
                <w:lang w:val="cs-CZ"/>
              </w:rPr>
            </w:pPr>
            <w:r w:rsidRPr="001B4A02">
              <w:rPr>
                <w:lang w:val="cs-CZ"/>
              </w:rPr>
              <w:t xml:space="preserve">Injekci </w:t>
            </w:r>
            <w:r w:rsidRPr="001B4A02">
              <w:rPr>
                <w:b/>
                <w:lang w:val="cs-CZ"/>
              </w:rPr>
              <w:t>nevpichujte</w:t>
            </w:r>
            <w:r w:rsidRPr="001B4A02">
              <w:rPr>
                <w:lang w:val="cs-CZ"/>
              </w:rPr>
              <w:t xml:space="preserve"> do kůže, která je citlivá, zhmožděná, červená, zatvrdlá, zjizvená, se striemi, ani do ložisek psoriázy</w:t>
            </w:r>
          </w:p>
          <w:p w14:paraId="4F1117F6" w14:textId="77777777" w:rsidR="00D80CCA" w:rsidRPr="001B4A02" w:rsidRDefault="00D80CCA" w:rsidP="00970906">
            <w:pPr>
              <w:pStyle w:val="EMEAHeadingLeaflet"/>
              <w:keepNext/>
              <w:spacing w:beforeLines="0" w:afterLines="0"/>
              <w:rPr>
                <w:rFonts w:ascii="Times New Roman" w:hAnsi="Times New Roman"/>
                <w:b w:val="0"/>
                <w:lang w:val="cs-CZ"/>
              </w:rPr>
            </w:pPr>
          </w:p>
        </w:tc>
      </w:tr>
      <w:tr w:rsidR="00534A2D" w14:paraId="1BEF846B" w14:textId="77777777" w:rsidTr="00085F34">
        <w:tc>
          <w:tcPr>
            <w:tcW w:w="3708" w:type="dxa"/>
            <w:tcBorders>
              <w:top w:val="single" w:sz="4" w:space="0" w:color="auto"/>
              <w:left w:val="single" w:sz="4" w:space="0" w:color="auto"/>
              <w:bottom w:val="single" w:sz="4" w:space="0" w:color="auto"/>
              <w:right w:val="nil"/>
            </w:tcBorders>
            <w:shd w:val="clear" w:color="auto" w:fill="auto"/>
          </w:tcPr>
          <w:p w14:paraId="3C5D62C4" w14:textId="77777777" w:rsidR="00D80CCA" w:rsidRPr="00977D2C" w:rsidRDefault="00000000" w:rsidP="00977D2C">
            <w:pPr>
              <w:pStyle w:val="EMEANormal"/>
              <w:rPr>
                <w:lang w:val="cs-CZ"/>
              </w:rPr>
            </w:pPr>
            <w:r w:rsidRPr="001B4A02">
              <w:rPr>
                <w:b/>
                <w:lang w:val="cs-CZ"/>
              </w:rPr>
              <w:t>KROK 4</w:t>
            </w:r>
          </w:p>
          <w:p w14:paraId="65A2D1D7" w14:textId="77777777" w:rsidR="00D80CCA" w:rsidRPr="001B4A02" w:rsidRDefault="00000000" w:rsidP="00977D2C">
            <w:pPr>
              <w:pStyle w:val="EMEANormal"/>
              <w:rPr>
                <w:b/>
                <w:lang w:val="cs-CZ"/>
              </w:rPr>
            </w:pPr>
            <w:r>
              <w:rPr>
                <w:noProof/>
                <w:lang w:eastAsia="cs-CZ"/>
              </w:rPr>
              <w:t xml:space="preserve"> </w:t>
            </w:r>
            <w:r>
              <w:rPr>
                <w:noProof/>
              </w:rPr>
              <w:drawing>
                <wp:inline distT="0" distB="0" distL="0" distR="0" wp14:anchorId="16B50355" wp14:editId="394D99B6">
                  <wp:extent cx="2011680" cy="1563370"/>
                  <wp:effectExtent l="0" t="0" r="7620" b="0"/>
                  <wp:docPr id="15" name="Picture 32"/>
                  <wp:cNvGraphicFramePr/>
                  <a:graphic xmlns:a="http://schemas.openxmlformats.org/drawingml/2006/main">
                    <a:graphicData uri="http://schemas.openxmlformats.org/drawingml/2006/picture">
                      <pic:pic xmlns:pic="http://schemas.openxmlformats.org/drawingml/2006/picture">
                        <pic:nvPicPr>
                          <pic:cNvPr id="15" name="Picture 32"/>
                          <pic:cNvPicPr/>
                        </pic:nvPicPr>
                        <pic:blipFill>
                          <a:blip r:embed="rId25">
                            <a:extLst>
                              <a:ext uri="{28A0092B-C50C-407E-A947-70E740481C1C}">
                                <a14:useLocalDpi xmlns:a14="http://schemas.microsoft.com/office/drawing/2010/main" val="0"/>
                              </a:ext>
                            </a:extLst>
                          </a:blip>
                          <a:stretch>
                            <a:fillRect/>
                          </a:stretch>
                        </pic:blipFill>
                        <pic:spPr>
                          <a:xfrm>
                            <a:off x="0" y="0"/>
                            <a:ext cx="2011680" cy="1563370"/>
                          </a:xfrm>
                          <a:prstGeom prst="rect">
                            <a:avLst/>
                          </a:prstGeom>
                        </pic:spPr>
                      </pic:pic>
                    </a:graphicData>
                  </a:graphic>
                </wp:inline>
              </w:drawing>
            </w:r>
          </w:p>
        </w:tc>
        <w:tc>
          <w:tcPr>
            <w:tcW w:w="5579" w:type="dxa"/>
            <w:tcBorders>
              <w:top w:val="single" w:sz="4" w:space="0" w:color="auto"/>
              <w:left w:val="nil"/>
              <w:bottom w:val="single" w:sz="4" w:space="0" w:color="auto"/>
              <w:right w:val="single" w:sz="4" w:space="0" w:color="auto"/>
            </w:tcBorders>
            <w:shd w:val="clear" w:color="auto" w:fill="auto"/>
          </w:tcPr>
          <w:p w14:paraId="325920BD" w14:textId="77777777" w:rsidR="00D80CCA" w:rsidRPr="001B4A02" w:rsidRDefault="00000000" w:rsidP="00977D2C">
            <w:pPr>
              <w:pStyle w:val="EMEAHeadingLeaflet"/>
              <w:spacing w:beforeLines="0" w:afterLines="0"/>
              <w:rPr>
                <w:rFonts w:ascii="Times New Roman" w:hAnsi="Times New Roman"/>
                <w:b w:val="0"/>
                <w:lang w:val="cs-CZ"/>
              </w:rPr>
            </w:pPr>
            <w:r w:rsidRPr="001B4A02">
              <w:rPr>
                <w:rFonts w:ascii="Times New Roman" w:hAnsi="Times New Roman"/>
                <w:b w:val="0"/>
                <w:lang w:val="cs-CZ"/>
              </w:rPr>
              <w:t>Předplněnou injekční stříkačku držte v jedné ruce.</w:t>
            </w:r>
          </w:p>
          <w:p w14:paraId="2049C143" w14:textId="77777777" w:rsidR="00D80CCA" w:rsidRPr="001B4A02" w:rsidRDefault="00D80CCA" w:rsidP="00977D2C">
            <w:pPr>
              <w:pStyle w:val="EMEANormal"/>
              <w:rPr>
                <w:lang w:val="cs-CZ"/>
              </w:rPr>
            </w:pPr>
          </w:p>
          <w:p w14:paraId="4887EF92" w14:textId="77777777" w:rsidR="00D80CCA" w:rsidRPr="001B4A02" w:rsidRDefault="00000000" w:rsidP="00977D2C">
            <w:pPr>
              <w:pStyle w:val="EMEAHeadingLeaflet"/>
              <w:spacing w:beforeLines="0" w:afterLines="0"/>
              <w:rPr>
                <w:rFonts w:ascii="Times New Roman" w:hAnsi="Times New Roman"/>
                <w:b w:val="0"/>
                <w:lang w:val="cs-CZ"/>
              </w:rPr>
            </w:pPr>
            <w:r w:rsidRPr="001B4A02">
              <w:rPr>
                <w:rFonts w:ascii="Times New Roman" w:hAnsi="Times New Roman"/>
                <w:b w:val="0"/>
                <w:lang w:val="cs-CZ"/>
              </w:rPr>
              <w:t>Zkontrolujte vzhled roztoku v předplněné injekční stříkačce.</w:t>
            </w:r>
          </w:p>
          <w:p w14:paraId="21FE91C7" w14:textId="77777777" w:rsidR="00D80CCA" w:rsidRPr="001B4A02" w:rsidRDefault="00D80CCA" w:rsidP="00977D2C">
            <w:pPr>
              <w:pStyle w:val="EMEANormal"/>
              <w:rPr>
                <w:lang w:val="cs-CZ"/>
              </w:rPr>
            </w:pPr>
          </w:p>
          <w:p w14:paraId="3E2B3BB0" w14:textId="77777777" w:rsidR="00D80CCA" w:rsidRPr="001B4A02" w:rsidRDefault="00000000" w:rsidP="00977D2C">
            <w:pPr>
              <w:pStyle w:val="EMEAHeadingLeaflet"/>
              <w:numPr>
                <w:ilvl w:val="0"/>
                <w:numId w:val="110"/>
              </w:numPr>
              <w:tabs>
                <w:tab w:val="clear" w:pos="562"/>
                <w:tab w:val="left" w:pos="792"/>
                <w:tab w:val="left" w:pos="1647"/>
              </w:tabs>
              <w:spacing w:beforeLines="0" w:afterLines="0"/>
              <w:ind w:left="792"/>
              <w:rPr>
                <w:rFonts w:ascii="Times New Roman" w:hAnsi="Times New Roman"/>
                <w:b w:val="0"/>
                <w:lang w:val="cs-CZ"/>
              </w:rPr>
            </w:pPr>
            <w:r w:rsidRPr="001B4A02">
              <w:rPr>
                <w:rFonts w:ascii="Times New Roman" w:hAnsi="Times New Roman"/>
                <w:b w:val="0"/>
                <w:lang w:val="cs-CZ"/>
              </w:rPr>
              <w:t>Zkontrolujte, zda je roztok čirý</w:t>
            </w:r>
            <w:r w:rsidR="002378E0">
              <w:rPr>
                <w:rFonts w:ascii="Times New Roman" w:hAnsi="Times New Roman"/>
                <w:b w:val="0"/>
                <w:lang w:val="cs-CZ"/>
              </w:rPr>
              <w:t xml:space="preserve"> a </w:t>
            </w:r>
            <w:r w:rsidRPr="001B4A02">
              <w:rPr>
                <w:rFonts w:ascii="Times New Roman" w:hAnsi="Times New Roman"/>
                <w:b w:val="0"/>
                <w:lang w:val="cs-CZ"/>
              </w:rPr>
              <w:t>bezbarvý</w:t>
            </w:r>
          </w:p>
          <w:p w14:paraId="1B9D91DA" w14:textId="77777777" w:rsidR="00D80CCA" w:rsidRPr="001B4A02" w:rsidRDefault="00000000" w:rsidP="00977D2C">
            <w:pPr>
              <w:pStyle w:val="EMEAHeadingLeaflet"/>
              <w:numPr>
                <w:ilvl w:val="0"/>
                <w:numId w:val="110"/>
              </w:numPr>
              <w:tabs>
                <w:tab w:val="clear" w:pos="562"/>
                <w:tab w:val="left" w:pos="792"/>
                <w:tab w:val="left" w:pos="1647"/>
              </w:tabs>
              <w:spacing w:beforeLines="0" w:afterLines="0"/>
              <w:ind w:left="792"/>
              <w:rPr>
                <w:rFonts w:ascii="Times New Roman" w:hAnsi="Times New Roman"/>
                <w:b w:val="0"/>
                <w:lang w:val="cs-CZ"/>
              </w:rPr>
            </w:pPr>
            <w:r w:rsidRPr="001B4A02">
              <w:rPr>
                <w:rFonts w:ascii="Times New Roman" w:hAnsi="Times New Roman"/>
                <w:b w:val="0"/>
                <w:lang w:val="cs-CZ"/>
              </w:rPr>
              <w:t xml:space="preserve">Předplněnou injekční stříkačku </w:t>
            </w:r>
            <w:r w:rsidRPr="001B4A02">
              <w:rPr>
                <w:rFonts w:ascii="Times New Roman" w:hAnsi="Times New Roman"/>
                <w:lang w:val="cs-CZ"/>
              </w:rPr>
              <w:t>nepoužívejte</w:t>
            </w:r>
            <w:r w:rsidRPr="001B4A02">
              <w:rPr>
                <w:rFonts w:ascii="Times New Roman" w:hAnsi="Times New Roman"/>
                <w:b w:val="0"/>
                <w:lang w:val="cs-CZ"/>
              </w:rPr>
              <w:t>, jestliže je roztok zakalený nebo v něm jsou viditelné částice</w:t>
            </w:r>
          </w:p>
          <w:p w14:paraId="06F1138B" w14:textId="77777777" w:rsidR="00D80CCA" w:rsidRPr="001B4A02" w:rsidRDefault="00000000" w:rsidP="00977D2C">
            <w:pPr>
              <w:pStyle w:val="EMEANormal"/>
              <w:numPr>
                <w:ilvl w:val="0"/>
                <w:numId w:val="110"/>
              </w:numPr>
              <w:tabs>
                <w:tab w:val="clear" w:pos="562"/>
                <w:tab w:val="left" w:pos="792"/>
                <w:tab w:val="left" w:pos="1647"/>
              </w:tabs>
              <w:ind w:left="792"/>
              <w:rPr>
                <w:lang w:val="cs-CZ"/>
              </w:rPr>
            </w:pPr>
            <w:r w:rsidRPr="001B4A02">
              <w:rPr>
                <w:lang w:val="cs-CZ"/>
              </w:rPr>
              <w:t xml:space="preserve">Předplněnou injekční stříkačku </w:t>
            </w:r>
            <w:r w:rsidRPr="001B4A02">
              <w:rPr>
                <w:b/>
                <w:lang w:val="cs-CZ"/>
              </w:rPr>
              <w:t>nepoužívejte</w:t>
            </w:r>
            <w:r w:rsidRPr="001B4A02">
              <w:rPr>
                <w:lang w:val="cs-CZ"/>
              </w:rPr>
              <w:t>, jestliže spadla na zem nebo se rozbila</w:t>
            </w:r>
          </w:p>
          <w:p w14:paraId="69876993" w14:textId="77777777" w:rsidR="00D80CCA" w:rsidRPr="001B4A02" w:rsidRDefault="00D80CCA" w:rsidP="00977D2C">
            <w:pPr>
              <w:pStyle w:val="EMEAHeadingLeaflet"/>
              <w:spacing w:beforeLines="0" w:afterLines="0"/>
              <w:rPr>
                <w:rFonts w:ascii="Times New Roman" w:hAnsi="Times New Roman"/>
                <w:b w:val="0"/>
                <w:lang w:val="cs-CZ"/>
              </w:rPr>
            </w:pPr>
          </w:p>
          <w:p w14:paraId="0AEA2172" w14:textId="77777777" w:rsidR="00D80CCA" w:rsidRPr="001B4A02" w:rsidRDefault="00000000" w:rsidP="00977D2C">
            <w:pPr>
              <w:pStyle w:val="EMEAHeadingLeaflet"/>
              <w:spacing w:beforeLines="0" w:afterLines="0"/>
              <w:rPr>
                <w:rFonts w:ascii="Times New Roman" w:hAnsi="Times New Roman"/>
                <w:b w:val="0"/>
                <w:lang w:val="cs-CZ"/>
              </w:rPr>
            </w:pPr>
            <w:r w:rsidRPr="001B4A02">
              <w:rPr>
                <w:rFonts w:ascii="Times New Roman" w:hAnsi="Times New Roman"/>
                <w:b w:val="0"/>
                <w:lang w:val="cs-CZ"/>
              </w:rPr>
              <w:t>Opatrně sejměte kryt jehly rovně pomocí jedné ruky. Kryt jehly zlikvidujte. Nenasazujte jej znovu.</w:t>
            </w:r>
          </w:p>
          <w:p w14:paraId="5311BB40" w14:textId="77777777" w:rsidR="00D80CCA" w:rsidRPr="001B4A02" w:rsidRDefault="00D80CCA" w:rsidP="00977D2C">
            <w:pPr>
              <w:pStyle w:val="EMEANormal"/>
              <w:rPr>
                <w:lang w:val="cs-CZ"/>
              </w:rPr>
            </w:pPr>
          </w:p>
          <w:p w14:paraId="6A495FDD" w14:textId="77777777" w:rsidR="00D80CCA" w:rsidRPr="001B4A02" w:rsidRDefault="00000000" w:rsidP="00977D2C">
            <w:pPr>
              <w:pStyle w:val="ListParagraph"/>
              <w:numPr>
                <w:ilvl w:val="0"/>
                <w:numId w:val="194"/>
              </w:numPr>
              <w:tabs>
                <w:tab w:val="left" w:pos="792"/>
              </w:tabs>
              <w:suppressAutoHyphens/>
              <w:ind w:left="792"/>
              <w:contextualSpacing/>
            </w:pPr>
            <w:r w:rsidRPr="001B4A02">
              <w:t xml:space="preserve">Dávejte pozor, abyste se </w:t>
            </w:r>
            <w:r w:rsidRPr="001B4A02">
              <w:rPr>
                <w:b/>
              </w:rPr>
              <w:t>nedotkl(a)</w:t>
            </w:r>
            <w:r w:rsidRPr="001B4A02">
              <w:t xml:space="preserve"> jehly ani se </w:t>
            </w:r>
            <w:r w:rsidRPr="001B4A02">
              <w:rPr>
                <w:b/>
              </w:rPr>
              <w:t>nedotkl(a)</w:t>
            </w:r>
            <w:r w:rsidRPr="001B4A02">
              <w:t xml:space="preserve"> jehlou žádného povrchu</w:t>
            </w:r>
          </w:p>
        </w:tc>
      </w:tr>
      <w:tr w:rsidR="00534A2D" w14:paraId="2C2946AA" w14:textId="77777777" w:rsidTr="00085F34">
        <w:tc>
          <w:tcPr>
            <w:tcW w:w="3708" w:type="dxa"/>
            <w:tcBorders>
              <w:top w:val="single" w:sz="4" w:space="0" w:color="auto"/>
              <w:left w:val="single" w:sz="4" w:space="0" w:color="auto"/>
              <w:bottom w:val="single" w:sz="4" w:space="0" w:color="auto"/>
              <w:right w:val="nil"/>
            </w:tcBorders>
            <w:shd w:val="clear" w:color="auto" w:fill="auto"/>
          </w:tcPr>
          <w:p w14:paraId="4EB7BC43" w14:textId="77777777" w:rsidR="00D80CCA" w:rsidRPr="001B4A02" w:rsidRDefault="00000000" w:rsidP="00970906">
            <w:pPr>
              <w:pStyle w:val="EMEANormal"/>
              <w:rPr>
                <w:b/>
                <w:lang w:val="cs-CZ"/>
              </w:rPr>
            </w:pPr>
            <w:r w:rsidRPr="001B4A02">
              <w:rPr>
                <w:b/>
                <w:lang w:val="cs-CZ"/>
              </w:rPr>
              <w:t>KROK 5</w:t>
            </w:r>
          </w:p>
          <w:p w14:paraId="79BE2370" w14:textId="77777777" w:rsidR="00D80CCA" w:rsidRPr="001B4A02" w:rsidRDefault="00000000" w:rsidP="00970906">
            <w:pPr>
              <w:pStyle w:val="EMEANormal"/>
              <w:rPr>
                <w:b/>
                <w:lang w:val="cs-CZ"/>
              </w:rPr>
            </w:pPr>
            <w:r w:rsidRPr="001B4A02">
              <w:rPr>
                <w:b/>
                <w:noProof/>
              </w:rPr>
              <w:drawing>
                <wp:inline distT="0" distB="0" distL="0" distR="0" wp14:anchorId="710EC00B" wp14:editId="5DEA5989">
                  <wp:extent cx="1992630" cy="1975485"/>
                  <wp:effectExtent l="0" t="0" r="7620" b="5715"/>
                  <wp:docPr id="548" name="obrázek 156"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obrázek 156" descr="STEP_5_SYRINGE_IFU_FILLING_grey"/>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992630" cy="197548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shd w:val="clear" w:color="auto" w:fill="auto"/>
          </w:tcPr>
          <w:p w14:paraId="0E627C5F" w14:textId="77777777" w:rsidR="00D80CCA"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Držte předplněnou injekční stříkačku s jehlou směřující nahoru.</w:t>
            </w:r>
          </w:p>
          <w:p w14:paraId="734A0593" w14:textId="77777777" w:rsidR="00EE5B9A" w:rsidRPr="00EE5B9A" w:rsidRDefault="00EE5B9A" w:rsidP="00970906">
            <w:pPr>
              <w:pStyle w:val="EMEANormal"/>
              <w:rPr>
                <w:lang w:val="cs-CZ"/>
              </w:rPr>
            </w:pPr>
          </w:p>
          <w:p w14:paraId="79C4DA06" w14:textId="77777777" w:rsidR="00D80CCA" w:rsidRPr="001B4A02" w:rsidRDefault="00000000" w:rsidP="00970906">
            <w:pPr>
              <w:pStyle w:val="EMEABullet2"/>
              <w:numPr>
                <w:ilvl w:val="0"/>
                <w:numId w:val="123"/>
              </w:numPr>
              <w:tabs>
                <w:tab w:val="clear" w:pos="567"/>
                <w:tab w:val="clear" w:pos="690"/>
                <w:tab w:val="num" w:pos="792"/>
              </w:tabs>
              <w:ind w:left="792"/>
              <w:rPr>
                <w:lang w:val="cs-CZ"/>
              </w:rPr>
            </w:pPr>
            <w:r w:rsidRPr="001B4A02">
              <w:rPr>
                <w:lang w:val="cs-CZ"/>
              </w:rPr>
              <w:t>Držte předplněnou injekční stříkačku v úrovni očí jednou rukou, abyste viděli vzduch v předplněné injekční stříkačce</w:t>
            </w:r>
          </w:p>
          <w:p w14:paraId="0FED21AD" w14:textId="77777777" w:rsidR="00D80CCA" w:rsidRPr="001B4A02" w:rsidRDefault="00D80CCA" w:rsidP="00970906"/>
          <w:p w14:paraId="1731A951" w14:textId="77777777" w:rsidR="00D80CCA"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Pomalu zatlačte na píst, abyste vytlačili vzduch přes jehlu.</w:t>
            </w:r>
          </w:p>
          <w:p w14:paraId="67393621" w14:textId="77777777" w:rsidR="00D80CCA" w:rsidRPr="001B4A02" w:rsidRDefault="00D80CCA" w:rsidP="00970906">
            <w:pPr>
              <w:pStyle w:val="EMEANormal"/>
              <w:rPr>
                <w:lang w:val="cs-CZ"/>
              </w:rPr>
            </w:pPr>
          </w:p>
          <w:p w14:paraId="18DE888D" w14:textId="77777777" w:rsidR="00D80CCA" w:rsidRPr="001B4A02" w:rsidRDefault="00000000" w:rsidP="00970906">
            <w:pPr>
              <w:pStyle w:val="EMEABullet2"/>
              <w:numPr>
                <w:ilvl w:val="0"/>
                <w:numId w:val="123"/>
              </w:numPr>
              <w:tabs>
                <w:tab w:val="clear" w:pos="567"/>
                <w:tab w:val="clear" w:pos="690"/>
                <w:tab w:val="num" w:pos="792"/>
              </w:tabs>
              <w:ind w:left="792"/>
              <w:rPr>
                <w:lang w:val="cs-CZ"/>
              </w:rPr>
            </w:pPr>
            <w:r w:rsidRPr="001B4A02">
              <w:rPr>
                <w:lang w:val="cs-CZ"/>
              </w:rPr>
              <w:t>Je normální, že se na konci jehly objeví kapka tekutiny</w:t>
            </w:r>
          </w:p>
        </w:tc>
      </w:tr>
      <w:tr w:rsidR="00534A2D" w14:paraId="1BF23A59" w14:textId="77777777" w:rsidTr="00085F34">
        <w:tc>
          <w:tcPr>
            <w:tcW w:w="3708" w:type="dxa"/>
            <w:tcBorders>
              <w:top w:val="single" w:sz="4" w:space="0" w:color="auto"/>
              <w:left w:val="single" w:sz="4" w:space="0" w:color="auto"/>
              <w:bottom w:val="single" w:sz="4" w:space="0" w:color="auto"/>
              <w:right w:val="nil"/>
            </w:tcBorders>
            <w:shd w:val="clear" w:color="auto" w:fill="auto"/>
          </w:tcPr>
          <w:p w14:paraId="4688BF80" w14:textId="77777777" w:rsidR="00D80CCA" w:rsidRPr="001B4A02" w:rsidRDefault="00000000" w:rsidP="00970906">
            <w:pPr>
              <w:pStyle w:val="EMEANormal"/>
              <w:keepNext/>
              <w:rPr>
                <w:b/>
                <w:lang w:val="cs-CZ"/>
              </w:rPr>
            </w:pPr>
            <w:r w:rsidRPr="001B4A02">
              <w:rPr>
                <w:b/>
                <w:lang w:val="cs-CZ"/>
              </w:rPr>
              <w:t>KROK 6</w:t>
            </w:r>
          </w:p>
          <w:p w14:paraId="07275FE1" w14:textId="77777777" w:rsidR="00D80CCA" w:rsidRPr="001B4A02" w:rsidRDefault="00000000" w:rsidP="00970906">
            <w:pPr>
              <w:pStyle w:val="EMEANormal"/>
              <w:keepNext/>
              <w:rPr>
                <w:b/>
                <w:lang w:val="cs-CZ"/>
              </w:rPr>
            </w:pPr>
            <w:r w:rsidRPr="001B4A02">
              <w:rPr>
                <w:b/>
                <w:noProof/>
              </w:rPr>
              <w:drawing>
                <wp:inline distT="0" distB="0" distL="0" distR="0" wp14:anchorId="0279BA36" wp14:editId="12E94A24">
                  <wp:extent cx="2251710" cy="2139315"/>
                  <wp:effectExtent l="0" t="0" r="0" b="0"/>
                  <wp:docPr id="549" name="obrázek 157"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obrázek 157" descr="STEP_6_SYRINGE_IFU_PRE-INJECTION_grey"/>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2251710" cy="213931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shd w:val="clear" w:color="auto" w:fill="auto"/>
          </w:tcPr>
          <w:p w14:paraId="0C95EE11" w14:textId="77777777" w:rsidR="00D80CCA"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Držte předplněnou injekční stříkačku za její tělo v jedné ruce mezi palcem</w:t>
            </w:r>
            <w:r w:rsidR="002378E0">
              <w:rPr>
                <w:rFonts w:ascii="Times New Roman" w:hAnsi="Times New Roman"/>
                <w:b w:val="0"/>
                <w:lang w:val="cs-CZ"/>
              </w:rPr>
              <w:t xml:space="preserve"> a </w:t>
            </w:r>
            <w:r w:rsidRPr="001B4A02">
              <w:rPr>
                <w:rFonts w:ascii="Times New Roman" w:hAnsi="Times New Roman"/>
                <w:b w:val="0"/>
                <w:lang w:val="cs-CZ"/>
              </w:rPr>
              <w:t>ukazovákem, jako byste drželi pero.</w:t>
            </w:r>
          </w:p>
          <w:p w14:paraId="6EDAC5E9" w14:textId="77777777" w:rsidR="00D80CCA" w:rsidRPr="001B4A02" w:rsidRDefault="00D80CCA" w:rsidP="00970906">
            <w:pPr>
              <w:pStyle w:val="EMEANormal"/>
              <w:keepNext/>
              <w:rPr>
                <w:lang w:val="cs-CZ"/>
              </w:rPr>
            </w:pPr>
          </w:p>
          <w:p w14:paraId="59E75D46" w14:textId="77777777" w:rsidR="00D80CCA"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Druhou rukou stiskněte kůži v místě vpichu tak, aby vznikla vyvýšená plocha,</w:t>
            </w:r>
            <w:r w:rsidR="002378E0">
              <w:rPr>
                <w:rFonts w:ascii="Times New Roman" w:hAnsi="Times New Roman"/>
                <w:b w:val="0"/>
                <w:lang w:val="cs-CZ"/>
              </w:rPr>
              <w:t xml:space="preserve"> a </w:t>
            </w:r>
            <w:r w:rsidRPr="001B4A02">
              <w:rPr>
                <w:rFonts w:ascii="Times New Roman" w:hAnsi="Times New Roman"/>
                <w:b w:val="0"/>
                <w:lang w:val="cs-CZ"/>
              </w:rPr>
              <w:t>pevně ji držte.</w:t>
            </w:r>
          </w:p>
        </w:tc>
      </w:tr>
      <w:tr w:rsidR="00534A2D" w14:paraId="014321C4" w14:textId="77777777" w:rsidTr="00085F34">
        <w:tc>
          <w:tcPr>
            <w:tcW w:w="3708" w:type="dxa"/>
            <w:tcBorders>
              <w:top w:val="single" w:sz="4" w:space="0" w:color="auto"/>
              <w:left w:val="single" w:sz="4" w:space="0" w:color="auto"/>
              <w:bottom w:val="single" w:sz="4" w:space="0" w:color="auto"/>
              <w:right w:val="nil"/>
            </w:tcBorders>
            <w:shd w:val="clear" w:color="auto" w:fill="auto"/>
          </w:tcPr>
          <w:p w14:paraId="36B51BBC" w14:textId="77777777" w:rsidR="00D80CCA" w:rsidRPr="001B4A02" w:rsidRDefault="00000000" w:rsidP="00977D2C">
            <w:pPr>
              <w:pStyle w:val="EMEANormal"/>
              <w:rPr>
                <w:b/>
                <w:lang w:val="cs-CZ"/>
              </w:rPr>
            </w:pPr>
            <w:r w:rsidRPr="001B4A02">
              <w:rPr>
                <w:b/>
                <w:lang w:val="cs-CZ"/>
              </w:rPr>
              <w:t>KROK 7</w:t>
            </w:r>
          </w:p>
          <w:p w14:paraId="5CF5C600" w14:textId="77777777" w:rsidR="00D80CCA" w:rsidRPr="001B4A02" w:rsidRDefault="00000000" w:rsidP="00977D2C">
            <w:pPr>
              <w:pStyle w:val="EMEANormal"/>
              <w:rPr>
                <w:b/>
                <w:lang w:val="cs-CZ"/>
              </w:rPr>
            </w:pPr>
            <w:r w:rsidRPr="001B4A02">
              <w:rPr>
                <w:b/>
                <w:noProof/>
              </w:rPr>
              <w:drawing>
                <wp:inline distT="0" distB="0" distL="0" distR="0" wp14:anchorId="1ACDF41D" wp14:editId="6A1ACD61">
                  <wp:extent cx="2182495" cy="2673985"/>
                  <wp:effectExtent l="0" t="0" r="8255" b="0"/>
                  <wp:docPr id="550" name="obrázek 550"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Picture 550" descr="STEP_7_SYRINGE_IFU_ABDOMEN-THIGH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182495" cy="267398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shd w:val="clear" w:color="auto" w:fill="auto"/>
          </w:tcPr>
          <w:p w14:paraId="5BB9CB82" w14:textId="77777777" w:rsidR="00D80CCA" w:rsidRPr="001B4A02" w:rsidRDefault="00000000" w:rsidP="00977D2C">
            <w:pPr>
              <w:pStyle w:val="EMEAHeadingLeaflet"/>
              <w:spacing w:beforeLines="0" w:afterLines="0"/>
              <w:rPr>
                <w:rFonts w:ascii="Times New Roman" w:hAnsi="Times New Roman"/>
                <w:b w:val="0"/>
                <w:lang w:val="cs-CZ"/>
              </w:rPr>
            </w:pPr>
            <w:r w:rsidRPr="001B4A02">
              <w:rPr>
                <w:rFonts w:ascii="Times New Roman" w:hAnsi="Times New Roman"/>
                <w:b w:val="0"/>
                <w:lang w:val="cs-CZ"/>
              </w:rPr>
              <w:t>Zaveďte celou jehlu jedním rychlým, krátkým pohybem do kůže pod úhlem asi 45 stupňů.</w:t>
            </w:r>
          </w:p>
          <w:p w14:paraId="01C12E72" w14:textId="77777777" w:rsidR="00D80CCA" w:rsidRPr="001B4A02" w:rsidRDefault="00D80CCA" w:rsidP="00977D2C">
            <w:pPr>
              <w:pStyle w:val="EMEAHeadingLeaflet"/>
              <w:spacing w:beforeLines="0" w:afterLines="0"/>
              <w:rPr>
                <w:rFonts w:ascii="Times New Roman" w:hAnsi="Times New Roman"/>
                <w:b w:val="0"/>
                <w:lang w:val="cs-CZ"/>
              </w:rPr>
            </w:pPr>
          </w:p>
          <w:p w14:paraId="6B1F7453" w14:textId="77777777" w:rsidR="00D80CCA" w:rsidRPr="001B4A02" w:rsidRDefault="00000000" w:rsidP="00977D2C">
            <w:pPr>
              <w:numPr>
                <w:ilvl w:val="0"/>
                <w:numId w:val="192"/>
              </w:numPr>
              <w:tabs>
                <w:tab w:val="left" w:pos="792"/>
              </w:tabs>
              <w:suppressAutoHyphens/>
              <w:ind w:left="792"/>
            </w:pPr>
            <w:r w:rsidRPr="001B4A02">
              <w:t>Po zavedení jehly pusťte kůži, kterou držíte</w:t>
            </w:r>
          </w:p>
          <w:p w14:paraId="30BE74BD" w14:textId="77777777" w:rsidR="00D80CCA" w:rsidRPr="001B4A02" w:rsidRDefault="00D80CCA" w:rsidP="00977D2C">
            <w:pPr>
              <w:pStyle w:val="EMEAHeadingLeaflet"/>
              <w:spacing w:beforeLines="0" w:afterLines="0"/>
              <w:rPr>
                <w:rFonts w:ascii="Times New Roman" w:hAnsi="Times New Roman"/>
                <w:b w:val="0"/>
                <w:lang w:val="cs-CZ"/>
              </w:rPr>
            </w:pPr>
          </w:p>
          <w:p w14:paraId="15914650" w14:textId="77777777" w:rsidR="00D80CCA" w:rsidRPr="001B4A02" w:rsidRDefault="00000000" w:rsidP="00977D2C">
            <w:pPr>
              <w:pStyle w:val="EMEAHeadingLeaflet"/>
              <w:spacing w:beforeLines="0" w:afterLines="0"/>
              <w:rPr>
                <w:rFonts w:ascii="Times New Roman" w:hAnsi="Times New Roman"/>
                <w:b w:val="0"/>
                <w:lang w:val="cs-CZ"/>
              </w:rPr>
            </w:pPr>
            <w:r w:rsidRPr="001B4A02">
              <w:rPr>
                <w:rFonts w:ascii="Times New Roman" w:hAnsi="Times New Roman"/>
                <w:b w:val="0"/>
                <w:lang w:val="cs-CZ"/>
              </w:rPr>
              <w:t>Pomalu stlačte píst zcela dolů, dokud není veškerá tekutina podána</w:t>
            </w:r>
            <w:r w:rsidR="002378E0">
              <w:rPr>
                <w:rFonts w:ascii="Times New Roman" w:hAnsi="Times New Roman"/>
                <w:b w:val="0"/>
                <w:lang w:val="cs-CZ"/>
              </w:rPr>
              <w:t xml:space="preserve"> a </w:t>
            </w:r>
            <w:r w:rsidRPr="001B4A02">
              <w:rPr>
                <w:rFonts w:ascii="Times New Roman" w:hAnsi="Times New Roman"/>
                <w:b w:val="0"/>
                <w:lang w:val="cs-CZ"/>
              </w:rPr>
              <w:t>předplněná injekční stříkačka není prázdná.</w:t>
            </w:r>
          </w:p>
        </w:tc>
      </w:tr>
      <w:tr w:rsidR="00534A2D" w14:paraId="401A64AD" w14:textId="77777777" w:rsidTr="00085F34">
        <w:tc>
          <w:tcPr>
            <w:tcW w:w="3708" w:type="dxa"/>
            <w:tcBorders>
              <w:top w:val="single" w:sz="4" w:space="0" w:color="auto"/>
              <w:left w:val="single" w:sz="4" w:space="0" w:color="auto"/>
              <w:bottom w:val="single" w:sz="4" w:space="0" w:color="auto"/>
              <w:right w:val="nil"/>
            </w:tcBorders>
            <w:shd w:val="clear" w:color="auto" w:fill="auto"/>
          </w:tcPr>
          <w:p w14:paraId="0773003F" w14:textId="77777777" w:rsidR="00D80CCA" w:rsidRPr="00977D2C" w:rsidRDefault="00000000" w:rsidP="00970906">
            <w:pPr>
              <w:pStyle w:val="EMEANormal"/>
              <w:rPr>
                <w:lang w:val="cs-CZ"/>
              </w:rPr>
            </w:pPr>
            <w:r w:rsidRPr="001B4A02">
              <w:rPr>
                <w:b/>
                <w:lang w:val="cs-CZ"/>
              </w:rPr>
              <w:t>KROK 8</w:t>
            </w:r>
          </w:p>
          <w:p w14:paraId="61DD3286" w14:textId="77777777" w:rsidR="00D80CCA" w:rsidRDefault="00000000" w:rsidP="00970906">
            <w:pPr>
              <w:pStyle w:val="EMEANormal"/>
              <w:rPr>
                <w:b/>
                <w:lang w:val="cs-CZ"/>
              </w:rPr>
            </w:pPr>
            <w:r>
              <w:rPr>
                <w:noProof/>
              </w:rPr>
              <w:drawing>
                <wp:inline distT="0" distB="0" distL="0" distR="0" wp14:anchorId="21460211" wp14:editId="15CA1B5F">
                  <wp:extent cx="1983740" cy="2092960"/>
                  <wp:effectExtent l="0" t="0" r="0" b="2540"/>
                  <wp:docPr id="12" name="Picture 41"/>
                  <wp:cNvGraphicFramePr/>
                  <a:graphic xmlns:a="http://schemas.openxmlformats.org/drawingml/2006/main">
                    <a:graphicData uri="http://schemas.openxmlformats.org/drawingml/2006/picture">
                      <pic:pic xmlns:pic="http://schemas.openxmlformats.org/drawingml/2006/picture">
                        <pic:nvPicPr>
                          <pic:cNvPr id="12" name="Picture 4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83740" cy="2092960"/>
                          </a:xfrm>
                          <a:prstGeom prst="rect">
                            <a:avLst/>
                          </a:prstGeom>
                        </pic:spPr>
                      </pic:pic>
                    </a:graphicData>
                  </a:graphic>
                </wp:inline>
              </w:drawing>
            </w:r>
          </w:p>
          <w:p w14:paraId="7DE82883" w14:textId="77777777" w:rsidR="00A31163" w:rsidRPr="001B4A02" w:rsidRDefault="00000000" w:rsidP="00970906">
            <w:pPr>
              <w:pStyle w:val="EMEANormal"/>
              <w:rPr>
                <w:b/>
                <w:lang w:val="cs-CZ"/>
              </w:rPr>
            </w:pPr>
            <w:r>
              <w:rPr>
                <w:b/>
                <w:szCs w:val="22"/>
                <w:lang w:val="cs-CZ"/>
              </w:rPr>
              <w:t xml:space="preserve">          </w:t>
            </w:r>
            <w:r w:rsidRPr="003858B5">
              <w:rPr>
                <w:b/>
                <w:szCs w:val="22"/>
                <w:lang w:val="cs-CZ"/>
              </w:rPr>
              <w:t>Bavlněný tamp</w:t>
            </w:r>
            <w:ins w:id="13788" w:author="Abbvie02" w:date="2025-05-16T12:33:00Z">
              <w:r w:rsidR="009165EF">
                <w:rPr>
                  <w:b/>
                  <w:szCs w:val="22"/>
                  <w:lang w:val="cs-CZ"/>
                </w:rPr>
                <w:t>o</w:t>
              </w:r>
            </w:ins>
            <w:del w:id="13789" w:author="Abbvie02" w:date="2025-05-16T12:33:00Z">
              <w:r w:rsidRPr="003858B5">
                <w:rPr>
                  <w:b/>
                  <w:szCs w:val="22"/>
                  <w:lang w:val="cs-CZ"/>
                </w:rPr>
                <w:delText>ó</w:delText>
              </w:r>
            </w:del>
            <w:r w:rsidRPr="003858B5">
              <w:rPr>
                <w:b/>
                <w:szCs w:val="22"/>
                <w:lang w:val="cs-CZ"/>
              </w:rPr>
              <w:t>n</w:t>
            </w:r>
          </w:p>
        </w:tc>
        <w:tc>
          <w:tcPr>
            <w:tcW w:w="5579" w:type="dxa"/>
            <w:tcBorders>
              <w:top w:val="single" w:sz="4" w:space="0" w:color="auto"/>
              <w:left w:val="nil"/>
              <w:bottom w:val="single" w:sz="4" w:space="0" w:color="auto"/>
              <w:right w:val="single" w:sz="4" w:space="0" w:color="auto"/>
            </w:tcBorders>
            <w:shd w:val="clear" w:color="auto" w:fill="auto"/>
          </w:tcPr>
          <w:p w14:paraId="4E672C6A" w14:textId="77777777" w:rsidR="00D80CCA"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Po podání injekce jehlu pomalu vytáhněte z kůže</w:t>
            </w:r>
            <w:r w:rsidR="002378E0">
              <w:rPr>
                <w:rFonts w:ascii="Times New Roman" w:hAnsi="Times New Roman"/>
                <w:b w:val="0"/>
                <w:lang w:val="cs-CZ"/>
              </w:rPr>
              <w:t xml:space="preserve"> a </w:t>
            </w:r>
            <w:r w:rsidRPr="001B4A02">
              <w:rPr>
                <w:rFonts w:ascii="Times New Roman" w:hAnsi="Times New Roman"/>
                <w:b w:val="0"/>
                <w:lang w:val="cs-CZ"/>
              </w:rPr>
              <w:t>předplněnou injekční stříkačku přitom držte ve stejném úhlu.</w:t>
            </w:r>
          </w:p>
          <w:p w14:paraId="671FBE0A" w14:textId="77777777" w:rsidR="00D80CCA" w:rsidRPr="001B4A02" w:rsidRDefault="00D80CCA" w:rsidP="00970906">
            <w:pPr>
              <w:pStyle w:val="EMEANormal"/>
              <w:rPr>
                <w:lang w:val="cs-CZ"/>
              </w:rPr>
            </w:pPr>
          </w:p>
          <w:p w14:paraId="47CA762D" w14:textId="77777777" w:rsidR="00D80CCA"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Po dokončení injekce přiložte na kůži přes místo vpichu bavlněný tamp</w:t>
            </w:r>
            <w:ins w:id="13790" w:author="Abbvie02" w:date="2025-05-16T12:34:00Z">
              <w:r w:rsidR="009165EF">
                <w:rPr>
                  <w:rFonts w:ascii="Times New Roman" w:hAnsi="Times New Roman"/>
                  <w:b w:val="0"/>
                  <w:lang w:val="cs-CZ"/>
                </w:rPr>
                <w:t>o</w:t>
              </w:r>
            </w:ins>
            <w:del w:id="13791" w:author="Abbvie02" w:date="2025-05-16T12:34:00Z">
              <w:r w:rsidRPr="001B4A02">
                <w:rPr>
                  <w:rFonts w:ascii="Times New Roman" w:hAnsi="Times New Roman"/>
                  <w:b w:val="0"/>
                  <w:lang w:val="cs-CZ"/>
                </w:rPr>
                <w:delText>ó</w:delText>
              </w:r>
            </w:del>
            <w:r w:rsidRPr="001B4A02">
              <w:rPr>
                <w:rFonts w:ascii="Times New Roman" w:hAnsi="Times New Roman"/>
                <w:b w:val="0"/>
                <w:lang w:val="cs-CZ"/>
              </w:rPr>
              <w:t>n nebo gázu.</w:t>
            </w:r>
          </w:p>
          <w:p w14:paraId="3D246F72" w14:textId="77777777" w:rsidR="00D80CCA" w:rsidRPr="001B4A02" w:rsidRDefault="00D80CCA" w:rsidP="00970906">
            <w:pPr>
              <w:pStyle w:val="EMEANormal"/>
              <w:rPr>
                <w:lang w:val="cs-CZ"/>
              </w:rPr>
            </w:pPr>
          </w:p>
          <w:p w14:paraId="39D42CC0" w14:textId="77777777" w:rsidR="00D80CCA" w:rsidRPr="001B4A02" w:rsidRDefault="00000000" w:rsidP="00970906">
            <w:pPr>
              <w:pStyle w:val="EMEABullet2"/>
              <w:numPr>
                <w:ilvl w:val="0"/>
                <w:numId w:val="123"/>
              </w:numPr>
              <w:tabs>
                <w:tab w:val="clear" w:pos="567"/>
                <w:tab w:val="clear" w:pos="690"/>
                <w:tab w:val="num" w:pos="900"/>
              </w:tabs>
              <w:ind w:left="900"/>
              <w:rPr>
                <w:lang w:val="cs-CZ"/>
              </w:rPr>
            </w:pPr>
            <w:r w:rsidRPr="001B4A02">
              <w:rPr>
                <w:b/>
                <w:lang w:val="cs-CZ"/>
              </w:rPr>
              <w:t>Netřete</w:t>
            </w:r>
            <w:r w:rsidRPr="001B4A02">
              <w:rPr>
                <w:lang w:val="cs-CZ"/>
              </w:rPr>
              <w:t xml:space="preserve"> místo vpichu</w:t>
            </w:r>
          </w:p>
          <w:p w14:paraId="1BC58E67" w14:textId="77777777" w:rsidR="00D80CCA" w:rsidRPr="001B4A02" w:rsidRDefault="00000000" w:rsidP="00970906">
            <w:pPr>
              <w:pStyle w:val="ListParagraph"/>
              <w:numPr>
                <w:ilvl w:val="0"/>
                <w:numId w:val="123"/>
              </w:numPr>
              <w:tabs>
                <w:tab w:val="clear" w:pos="690"/>
                <w:tab w:val="num" w:pos="900"/>
              </w:tabs>
              <w:suppressAutoHyphens/>
              <w:ind w:left="900"/>
              <w:contextualSpacing/>
            </w:pPr>
            <w:r w:rsidRPr="001B4A02">
              <w:t>Mírné krvácení v místě vpichu je normální</w:t>
            </w:r>
          </w:p>
          <w:p w14:paraId="04F4D84B" w14:textId="77777777" w:rsidR="00D80CCA" w:rsidRPr="001B4A02" w:rsidRDefault="00D80CCA" w:rsidP="00970906">
            <w:pPr>
              <w:pStyle w:val="ListParagraph"/>
              <w:suppressAutoHyphens/>
              <w:ind w:left="0" w:firstLine="0"/>
              <w:contextualSpacing/>
            </w:pPr>
          </w:p>
        </w:tc>
      </w:tr>
      <w:tr w:rsidR="00534A2D" w14:paraId="5DB840FA" w14:textId="77777777" w:rsidTr="00085F34">
        <w:tc>
          <w:tcPr>
            <w:tcW w:w="9287" w:type="dxa"/>
            <w:gridSpan w:val="2"/>
            <w:tcBorders>
              <w:top w:val="single" w:sz="4" w:space="0" w:color="auto"/>
              <w:left w:val="single" w:sz="4" w:space="0" w:color="auto"/>
              <w:bottom w:val="single" w:sz="4" w:space="0" w:color="auto"/>
              <w:right w:val="single" w:sz="4" w:space="0" w:color="auto"/>
            </w:tcBorders>
            <w:shd w:val="clear" w:color="auto" w:fill="auto"/>
          </w:tcPr>
          <w:p w14:paraId="4F9519DD" w14:textId="77777777" w:rsidR="00D80CCA" w:rsidRPr="001B4A02" w:rsidRDefault="00000000" w:rsidP="00970906">
            <w:pPr>
              <w:keepNext/>
              <w:rPr>
                <w:b/>
              </w:rPr>
            </w:pPr>
            <w:r w:rsidRPr="001B4A02">
              <w:rPr>
                <w:b/>
              </w:rPr>
              <w:t>KROK 9</w:t>
            </w:r>
          </w:p>
          <w:p w14:paraId="260E0509" w14:textId="77777777" w:rsidR="00D80CCA" w:rsidRPr="001B4A02" w:rsidRDefault="00D80CCA" w:rsidP="00970906">
            <w:pPr>
              <w:keepNext/>
            </w:pPr>
          </w:p>
          <w:p w14:paraId="02E3E445" w14:textId="77777777" w:rsidR="00D80CCA"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Použitou předplněnou injekční stříkačku vyhoďte do speciální nádoby, jak jste byli poučeni lékařem, zdravotní sestrou nebo lékárníkem.</w:t>
            </w:r>
          </w:p>
          <w:p w14:paraId="7BB8CECE" w14:textId="77777777" w:rsidR="00D80CCA"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lang w:val="cs-CZ"/>
              </w:rPr>
              <w:t xml:space="preserve">Nikdy </w:t>
            </w:r>
            <w:r w:rsidRPr="001B4A02">
              <w:rPr>
                <w:rFonts w:ascii="Times New Roman" w:hAnsi="Times New Roman"/>
                <w:b w:val="0"/>
                <w:lang w:val="cs-CZ"/>
              </w:rPr>
              <w:t>nenasazujte kryt zpátky na jehlu.</w:t>
            </w:r>
          </w:p>
          <w:p w14:paraId="7BE2A753" w14:textId="77777777" w:rsidR="00D80CCA" w:rsidRPr="001B4A02" w:rsidRDefault="00D80CCA" w:rsidP="00970906">
            <w:pPr>
              <w:pStyle w:val="EMEANormal"/>
              <w:keepNext/>
              <w:rPr>
                <w:lang w:val="cs-CZ"/>
              </w:rPr>
            </w:pPr>
          </w:p>
          <w:p w14:paraId="413A210D" w14:textId="77777777" w:rsidR="00D80CCA" w:rsidRPr="001B4A02" w:rsidRDefault="00000000" w:rsidP="00970906">
            <w:pPr>
              <w:pStyle w:val="EMEAHeadingLeaflet"/>
              <w:keepNext/>
              <w:numPr>
                <w:ilvl w:val="0"/>
                <w:numId w:val="114"/>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 xml:space="preserve">Předplněnou injekční stříkačku </w:t>
            </w:r>
            <w:r w:rsidRPr="001B4A02">
              <w:rPr>
                <w:rFonts w:ascii="Times New Roman" w:hAnsi="Times New Roman"/>
                <w:lang w:val="cs-CZ"/>
              </w:rPr>
              <w:t>nerecyklujte</w:t>
            </w:r>
            <w:r w:rsidRPr="001B4A02">
              <w:rPr>
                <w:rFonts w:ascii="Times New Roman" w:hAnsi="Times New Roman"/>
                <w:b w:val="0"/>
                <w:lang w:val="cs-CZ"/>
              </w:rPr>
              <w:t xml:space="preserve"> ani nevyhazujte do domácího odpadu</w:t>
            </w:r>
          </w:p>
          <w:p w14:paraId="6E12B9F9" w14:textId="77777777" w:rsidR="00D80CCA" w:rsidRPr="001B4A02" w:rsidRDefault="00000000" w:rsidP="00970906">
            <w:pPr>
              <w:pStyle w:val="EMEANormal"/>
              <w:keepNext/>
              <w:numPr>
                <w:ilvl w:val="0"/>
                <w:numId w:val="114"/>
              </w:numPr>
              <w:tabs>
                <w:tab w:val="clear" w:pos="562"/>
                <w:tab w:val="left" w:pos="720"/>
              </w:tabs>
              <w:rPr>
                <w:lang w:val="cs-CZ"/>
              </w:rPr>
            </w:pPr>
            <w:r w:rsidRPr="001B4A02">
              <w:rPr>
                <w:lang w:val="cs-CZ"/>
              </w:rPr>
              <w:t>Předplněnou injekční stříkačku</w:t>
            </w:r>
            <w:r w:rsidR="002378E0">
              <w:rPr>
                <w:lang w:val="cs-CZ"/>
              </w:rPr>
              <w:t xml:space="preserve"> a </w:t>
            </w:r>
            <w:r w:rsidRPr="001B4A02">
              <w:rPr>
                <w:lang w:val="cs-CZ"/>
              </w:rPr>
              <w:t xml:space="preserve">speciální odpadní nádobu </w:t>
            </w:r>
            <w:r w:rsidRPr="001B4A02">
              <w:rPr>
                <w:b/>
                <w:lang w:val="cs-CZ"/>
              </w:rPr>
              <w:t xml:space="preserve">vždy </w:t>
            </w:r>
            <w:r w:rsidRPr="001B4A02">
              <w:rPr>
                <w:lang w:val="cs-CZ"/>
              </w:rPr>
              <w:t>uchovávejte mimo dohled</w:t>
            </w:r>
            <w:r w:rsidR="002378E0">
              <w:rPr>
                <w:lang w:val="cs-CZ"/>
              </w:rPr>
              <w:t xml:space="preserve"> a </w:t>
            </w:r>
            <w:r w:rsidRPr="001B4A02">
              <w:rPr>
                <w:lang w:val="cs-CZ"/>
              </w:rPr>
              <w:t>dosah dětí</w:t>
            </w:r>
          </w:p>
          <w:p w14:paraId="5F7585E2" w14:textId="77777777" w:rsidR="00D80CCA" w:rsidRPr="001B4A02" w:rsidRDefault="00D80CCA" w:rsidP="00970906">
            <w:pPr>
              <w:pStyle w:val="EMEANormal"/>
              <w:tabs>
                <w:tab w:val="clear" w:pos="562"/>
                <w:tab w:val="left" w:pos="720"/>
              </w:tabs>
              <w:rPr>
                <w:lang w:val="cs-CZ"/>
              </w:rPr>
            </w:pPr>
          </w:p>
          <w:p w14:paraId="3A9E15D4" w14:textId="77777777" w:rsidR="00D80CCA" w:rsidRPr="001B4A02" w:rsidRDefault="00000000" w:rsidP="00970906">
            <w:pPr>
              <w:pStyle w:val="EMEAHeadingLeaflet"/>
              <w:spacing w:beforeLines="0" w:afterLines="0"/>
              <w:rPr>
                <w:rFonts w:ascii="Times New Roman" w:hAnsi="Times New Roman"/>
                <w:b w:val="0"/>
                <w:lang w:val="cs-CZ"/>
              </w:rPr>
            </w:pPr>
            <w:r w:rsidRPr="00A2409E">
              <w:rPr>
                <w:rFonts w:ascii="Times New Roman" w:hAnsi="Times New Roman"/>
                <w:b w:val="0"/>
                <w:szCs w:val="22"/>
                <w:lang w:val="cs-CZ"/>
              </w:rPr>
              <w:t>Kryt jehly, tamp</w:t>
            </w:r>
            <w:ins w:id="13792" w:author="Abbvie02" w:date="2025-05-16T12:34:00Z">
              <w:r w:rsidR="009165EF">
                <w:rPr>
                  <w:rFonts w:ascii="Times New Roman" w:hAnsi="Times New Roman"/>
                  <w:b w:val="0"/>
                  <w:szCs w:val="22"/>
                  <w:lang w:val="cs-CZ"/>
                </w:rPr>
                <w:t>o</w:t>
              </w:r>
            </w:ins>
            <w:del w:id="13793" w:author="Abbvie02" w:date="2025-05-16T12:34:00Z">
              <w:r w:rsidRPr="00A2409E">
                <w:rPr>
                  <w:rFonts w:ascii="Times New Roman" w:hAnsi="Times New Roman" w:hint="eastAsia"/>
                  <w:b w:val="0"/>
                  <w:szCs w:val="22"/>
                  <w:lang w:val="cs-CZ"/>
                </w:rPr>
                <w:delText>ó</w:delText>
              </w:r>
            </w:del>
            <w:r w:rsidRPr="00A2409E">
              <w:rPr>
                <w:rFonts w:ascii="Times New Roman" w:hAnsi="Times New Roman"/>
                <w:b w:val="0"/>
                <w:szCs w:val="22"/>
                <w:lang w:val="cs-CZ"/>
              </w:rPr>
              <w:t>n s</w:t>
            </w:r>
            <w:r w:rsidRPr="00A2409E">
              <w:rPr>
                <w:rFonts w:ascii="Times New Roman" w:hAnsi="Times New Roman" w:hint="eastAsia"/>
                <w:b w:val="0"/>
                <w:szCs w:val="22"/>
                <w:lang w:val="cs-CZ"/>
              </w:rPr>
              <w:t> </w:t>
            </w:r>
            <w:r w:rsidRPr="00A2409E">
              <w:rPr>
                <w:rFonts w:ascii="Times New Roman" w:hAnsi="Times New Roman"/>
                <w:b w:val="0"/>
                <w:szCs w:val="22"/>
                <w:lang w:val="cs-CZ"/>
              </w:rPr>
              <w:t>alkoholem, bavln</w:t>
            </w:r>
            <w:r w:rsidRPr="00A2409E">
              <w:rPr>
                <w:rFonts w:ascii="Times New Roman" w:hAnsi="Times New Roman" w:hint="eastAsia"/>
                <w:b w:val="0"/>
                <w:szCs w:val="22"/>
                <w:lang w:val="cs-CZ"/>
              </w:rPr>
              <w:t>ě</w:t>
            </w:r>
            <w:r w:rsidRPr="00A2409E">
              <w:rPr>
                <w:rFonts w:ascii="Times New Roman" w:hAnsi="Times New Roman"/>
                <w:b w:val="0"/>
                <w:szCs w:val="22"/>
                <w:lang w:val="cs-CZ"/>
              </w:rPr>
              <w:t>n</w:t>
            </w:r>
            <w:r w:rsidRPr="00A2409E">
              <w:rPr>
                <w:rFonts w:ascii="Times New Roman" w:hAnsi="Times New Roman" w:hint="eastAsia"/>
                <w:b w:val="0"/>
                <w:szCs w:val="22"/>
                <w:lang w:val="cs-CZ"/>
              </w:rPr>
              <w:t>ý</w:t>
            </w:r>
            <w:r w:rsidRPr="00A2409E">
              <w:rPr>
                <w:rFonts w:ascii="Times New Roman" w:hAnsi="Times New Roman"/>
                <w:b w:val="0"/>
                <w:szCs w:val="22"/>
                <w:lang w:val="cs-CZ"/>
              </w:rPr>
              <w:t xml:space="preserve"> tamp</w:t>
            </w:r>
            <w:ins w:id="13794" w:author="Abbvie02" w:date="2025-05-16T12:34:00Z">
              <w:r w:rsidR="009165EF">
                <w:rPr>
                  <w:rFonts w:ascii="Times New Roman" w:hAnsi="Times New Roman"/>
                  <w:b w:val="0"/>
                  <w:szCs w:val="22"/>
                  <w:lang w:val="cs-CZ"/>
                </w:rPr>
                <w:t>o</w:t>
              </w:r>
            </w:ins>
            <w:del w:id="13795" w:author="Abbvie02" w:date="2025-05-16T12:34:00Z">
              <w:r w:rsidRPr="00A2409E">
                <w:rPr>
                  <w:rFonts w:ascii="Times New Roman" w:hAnsi="Times New Roman" w:hint="eastAsia"/>
                  <w:b w:val="0"/>
                  <w:szCs w:val="22"/>
                  <w:lang w:val="cs-CZ"/>
                </w:rPr>
                <w:delText>ó</w:delText>
              </w:r>
            </w:del>
            <w:r w:rsidRPr="00A2409E">
              <w:rPr>
                <w:rFonts w:ascii="Times New Roman" w:hAnsi="Times New Roman"/>
                <w:b w:val="0"/>
                <w:szCs w:val="22"/>
                <w:lang w:val="cs-CZ"/>
              </w:rPr>
              <w:t>n nebo g</w:t>
            </w:r>
            <w:r w:rsidRPr="00A2409E">
              <w:rPr>
                <w:rFonts w:ascii="Times New Roman" w:hAnsi="Times New Roman" w:hint="eastAsia"/>
                <w:b w:val="0"/>
                <w:szCs w:val="22"/>
                <w:lang w:val="cs-CZ"/>
              </w:rPr>
              <w:t>á</w:t>
            </w:r>
            <w:r w:rsidRPr="00A2409E">
              <w:rPr>
                <w:rFonts w:ascii="Times New Roman" w:hAnsi="Times New Roman"/>
                <w:b w:val="0"/>
                <w:szCs w:val="22"/>
                <w:lang w:val="cs-CZ"/>
              </w:rPr>
              <w:t>zu, blistr</w:t>
            </w:r>
            <w:r w:rsidR="002378E0">
              <w:rPr>
                <w:rFonts w:ascii="Times New Roman" w:hAnsi="Times New Roman"/>
                <w:b w:val="0"/>
                <w:szCs w:val="22"/>
                <w:lang w:val="cs-CZ"/>
              </w:rPr>
              <w:t xml:space="preserve"> a </w:t>
            </w:r>
            <w:r w:rsidRPr="00A2409E">
              <w:rPr>
                <w:rFonts w:ascii="Times New Roman" w:hAnsi="Times New Roman"/>
                <w:b w:val="0"/>
                <w:szCs w:val="22"/>
                <w:lang w:val="cs-CZ"/>
              </w:rPr>
              <w:t>obal m</w:t>
            </w:r>
            <w:r w:rsidRPr="00A2409E">
              <w:rPr>
                <w:rFonts w:ascii="Times New Roman" w:hAnsi="Times New Roman" w:hint="eastAsia"/>
                <w:b w:val="0"/>
                <w:szCs w:val="22"/>
                <w:lang w:val="cs-CZ"/>
              </w:rPr>
              <w:t>ůž</w:t>
            </w:r>
            <w:r w:rsidRPr="00A2409E">
              <w:rPr>
                <w:rFonts w:ascii="Times New Roman" w:hAnsi="Times New Roman"/>
                <w:b w:val="0"/>
                <w:szCs w:val="22"/>
                <w:lang w:val="cs-CZ"/>
              </w:rPr>
              <w:t>ete vyhodit do dom</w:t>
            </w:r>
            <w:r w:rsidRPr="00A2409E">
              <w:rPr>
                <w:rFonts w:ascii="Times New Roman" w:hAnsi="Times New Roman" w:hint="eastAsia"/>
                <w:b w:val="0"/>
                <w:szCs w:val="22"/>
                <w:lang w:val="cs-CZ"/>
              </w:rPr>
              <w:t>á</w:t>
            </w:r>
            <w:r w:rsidRPr="00A2409E">
              <w:rPr>
                <w:rFonts w:ascii="Times New Roman" w:hAnsi="Times New Roman"/>
                <w:b w:val="0"/>
                <w:szCs w:val="22"/>
                <w:lang w:val="cs-CZ"/>
              </w:rPr>
              <w:t>c</w:t>
            </w:r>
            <w:r w:rsidRPr="00A2409E">
              <w:rPr>
                <w:rFonts w:ascii="Times New Roman" w:hAnsi="Times New Roman" w:hint="eastAsia"/>
                <w:b w:val="0"/>
                <w:szCs w:val="22"/>
                <w:lang w:val="cs-CZ"/>
              </w:rPr>
              <w:t>í</w:t>
            </w:r>
            <w:r w:rsidRPr="00A2409E">
              <w:rPr>
                <w:rFonts w:ascii="Times New Roman" w:hAnsi="Times New Roman"/>
                <w:b w:val="0"/>
                <w:szCs w:val="22"/>
                <w:lang w:val="cs-CZ"/>
              </w:rPr>
              <w:t>ho odpadu.</w:t>
            </w:r>
          </w:p>
        </w:tc>
      </w:tr>
    </w:tbl>
    <w:p w14:paraId="00A1A44B" w14:textId="77777777" w:rsidR="00CA2697" w:rsidRDefault="00CA2697" w:rsidP="00A21F62">
      <w:pPr>
        <w:ind w:left="0" w:firstLine="0"/>
        <w:jc w:val="center"/>
      </w:pPr>
    </w:p>
    <w:p w14:paraId="5428932F" w14:textId="77777777" w:rsidR="00E316F8" w:rsidRDefault="00000000" w:rsidP="007A4DEE">
      <w:pPr>
        <w:ind w:left="0" w:firstLine="0"/>
        <w:rPr>
          <w:b/>
        </w:rPr>
      </w:pPr>
      <w:r w:rsidRPr="00490910">
        <w:rPr>
          <w:b/>
        </w:rPr>
        <w:br w:type="page"/>
      </w:r>
    </w:p>
    <w:p w14:paraId="33A345EC" w14:textId="77777777" w:rsidR="00FF1D36" w:rsidRPr="001B4A02" w:rsidRDefault="00000000" w:rsidP="00A21F62">
      <w:pPr>
        <w:ind w:left="0" w:firstLine="0"/>
        <w:jc w:val="center"/>
        <w:rPr>
          <w:b/>
        </w:rPr>
      </w:pPr>
      <w:r w:rsidRPr="001B4A02">
        <w:rPr>
          <w:b/>
        </w:rPr>
        <w:t>Příbalová informace: informace pro pacienta</w:t>
      </w:r>
    </w:p>
    <w:p w14:paraId="19BE377E" w14:textId="77777777" w:rsidR="00FF1D36" w:rsidRPr="001B4A02" w:rsidRDefault="00FF1D36" w:rsidP="00ED48A3">
      <w:pPr>
        <w:ind w:left="0" w:firstLine="0"/>
        <w:jc w:val="center"/>
        <w:rPr>
          <w:b/>
        </w:rPr>
      </w:pPr>
    </w:p>
    <w:p w14:paraId="31639E90" w14:textId="77777777" w:rsidR="00FF1D36" w:rsidRPr="001B4A02" w:rsidRDefault="00000000" w:rsidP="004B14C0">
      <w:pPr>
        <w:ind w:left="0" w:firstLine="0"/>
        <w:jc w:val="center"/>
        <w:outlineLvl w:val="0"/>
        <w:rPr>
          <w:b/>
        </w:rPr>
      </w:pPr>
      <w:r w:rsidRPr="001B4A02">
        <w:rPr>
          <w:b/>
        </w:rPr>
        <w:t>Humira 40 mg injekční roztok v předplněném peru</w:t>
      </w:r>
    </w:p>
    <w:p w14:paraId="55C6C038" w14:textId="77777777" w:rsidR="00FF1D36" w:rsidRPr="001B4A02" w:rsidRDefault="00000000" w:rsidP="00ED48A3">
      <w:pPr>
        <w:ind w:left="0" w:firstLine="0"/>
        <w:jc w:val="center"/>
        <w:rPr>
          <w:bCs/>
        </w:rPr>
      </w:pPr>
      <w:r w:rsidRPr="001B4A02">
        <w:rPr>
          <w:bCs/>
        </w:rPr>
        <w:t>adalimumab</w:t>
      </w:r>
      <w:del w:id="13796" w:author="Abbvie02" w:date="2025-05-16T11:51:00Z">
        <w:r w:rsidRPr="001B4A02">
          <w:rPr>
            <w:bCs/>
          </w:rPr>
          <w:delText>um</w:delText>
        </w:r>
      </w:del>
    </w:p>
    <w:p w14:paraId="44C9103E" w14:textId="77777777" w:rsidR="00FF1D36" w:rsidRPr="001B4A02" w:rsidRDefault="00FF1D36" w:rsidP="00ED48A3">
      <w:pPr>
        <w:ind w:left="0" w:firstLine="0"/>
      </w:pPr>
    </w:p>
    <w:p w14:paraId="7080E393" w14:textId="77777777" w:rsidR="00FF1D36" w:rsidRPr="001B4A02" w:rsidRDefault="00000000" w:rsidP="00ED48A3">
      <w:pPr>
        <w:ind w:left="0" w:firstLine="0"/>
        <w:rPr>
          <w:b/>
        </w:rPr>
      </w:pPr>
      <w:r w:rsidRPr="001B4A02">
        <w:rPr>
          <w:b/>
        </w:rPr>
        <w:t xml:space="preserve">Přečtěte si pozorně celou příbalovou informaci dříve, než začnete tento přípravek </w:t>
      </w:r>
      <w:r w:rsidR="00781AEE" w:rsidRPr="001B4A02">
        <w:rPr>
          <w:b/>
        </w:rPr>
        <w:t>po</w:t>
      </w:r>
      <w:r w:rsidRPr="001B4A02">
        <w:rPr>
          <w:b/>
        </w:rPr>
        <w:t>užívat, protože o</w:t>
      </w:r>
      <w:r w:rsidR="000C293E" w:rsidRPr="001B4A02">
        <w:rPr>
          <w:b/>
        </w:rPr>
        <w:t>bsahuje pro Vás důležité údaje.</w:t>
      </w:r>
    </w:p>
    <w:p w14:paraId="1BA7826E" w14:textId="77777777" w:rsidR="00FF1D36" w:rsidRPr="001B4A02" w:rsidRDefault="00000000" w:rsidP="00ED48A3">
      <w:r w:rsidRPr="001B4A02">
        <w:t>-</w:t>
      </w:r>
      <w:r w:rsidRPr="001B4A02">
        <w:tab/>
        <w:t>Ponechte si příbalovou informaci pro případ, že si ji budete potřebovat přečíst znovu.</w:t>
      </w:r>
    </w:p>
    <w:p w14:paraId="04436B8A" w14:textId="77777777" w:rsidR="00FF1D36" w:rsidRPr="001B4A02" w:rsidRDefault="00000000" w:rsidP="00ED48A3">
      <w:r w:rsidRPr="001B4A02">
        <w:t>-</w:t>
      </w:r>
      <w:r w:rsidRPr="001B4A02">
        <w:tab/>
        <w:t xml:space="preserve">Váš lékař Vám rovněž vydá </w:t>
      </w:r>
      <w:r w:rsidRPr="001B4A02">
        <w:rPr>
          <w:b/>
        </w:rPr>
        <w:t>informační kartičku</w:t>
      </w:r>
      <w:r w:rsidRPr="001B4A02">
        <w:t xml:space="preserve">, která obsahuje důležité bezpečnostní informace, se kterými musíte být seznámen(a) před zahájením </w:t>
      </w:r>
      <w:r w:rsidR="00781AEE" w:rsidRPr="001B4A02">
        <w:t xml:space="preserve">léčby přípravkem </w:t>
      </w:r>
      <w:r w:rsidRPr="001B4A02">
        <w:t>Humira</w:t>
      </w:r>
      <w:r w:rsidR="002378E0">
        <w:t xml:space="preserve"> a </w:t>
      </w:r>
      <w:r w:rsidRPr="001B4A02">
        <w:t xml:space="preserve">během léčby tímto lékem. Mějte tuto </w:t>
      </w:r>
      <w:r w:rsidRPr="001B4A02">
        <w:rPr>
          <w:b/>
        </w:rPr>
        <w:t>informační kartičku</w:t>
      </w:r>
      <w:r w:rsidRPr="001B4A02">
        <w:t xml:space="preserve"> vždy při sobě.</w:t>
      </w:r>
    </w:p>
    <w:p w14:paraId="29813BBD" w14:textId="77777777" w:rsidR="00FF1D36" w:rsidRPr="001B4A02" w:rsidRDefault="00000000" w:rsidP="00ED48A3">
      <w:r w:rsidRPr="001B4A02">
        <w:t>-</w:t>
      </w:r>
      <w:r w:rsidRPr="001B4A02">
        <w:tab/>
        <w:t>Máte-li jakékoli otázky, zeptejte se svého lékaře nebo lékárníka.</w:t>
      </w:r>
    </w:p>
    <w:p w14:paraId="5DDD9AC0" w14:textId="77777777" w:rsidR="00FF1D36" w:rsidRPr="001B4A02" w:rsidRDefault="00000000" w:rsidP="00ED48A3">
      <w:pPr>
        <w:numPr>
          <w:ilvl w:val="0"/>
          <w:numId w:val="1"/>
        </w:numPr>
        <w:ind w:left="567" w:hanging="567"/>
      </w:pPr>
      <w:r w:rsidRPr="001B4A02">
        <w:t>Tento přípravek byl předepsán výhradně Vám. Nedávejte jej žádné další osobě. Mohl by jí ublížit</w:t>
      </w:r>
      <w:r w:rsidR="00EC1112" w:rsidRPr="001B4A02">
        <w:t>,</w:t>
      </w:r>
      <w:r w:rsidR="002378E0">
        <w:t xml:space="preserve"> a </w:t>
      </w:r>
      <w:r w:rsidRPr="001B4A02">
        <w:t>to i tehdy, má-li stejné známky onemocnění jako Vy.</w:t>
      </w:r>
    </w:p>
    <w:p w14:paraId="19869078" w14:textId="77777777" w:rsidR="00FF1D36" w:rsidRPr="001B4A02" w:rsidRDefault="00000000" w:rsidP="00ED48A3">
      <w:pPr>
        <w:numPr>
          <w:ilvl w:val="0"/>
          <w:numId w:val="1"/>
        </w:numPr>
        <w:ind w:left="567" w:hanging="567"/>
      </w:pPr>
      <w:r w:rsidRPr="001B4A02">
        <w:t>Pokud se u Vás vyskytne kterýkoli z nežádoucích účinků, sdělte to svému lékaři nebo lékárníkovi. Stejně postupujte v případě jakýchkoli nežádoucích účinků, které nejsou uvedeny v této příbalové informaci</w:t>
      </w:r>
      <w:r w:rsidR="002E6533" w:rsidRPr="001B4A02">
        <w:t>.</w:t>
      </w:r>
      <w:r w:rsidRPr="001B4A02">
        <w:t xml:space="preserve"> </w:t>
      </w:r>
      <w:r w:rsidR="002E6533" w:rsidRPr="001B4A02">
        <w:t>V</w:t>
      </w:r>
      <w:r w:rsidRPr="001B4A02">
        <w:t>iz bod 4.</w:t>
      </w:r>
    </w:p>
    <w:p w14:paraId="5A610177" w14:textId="77777777" w:rsidR="00FF1D36" w:rsidRPr="001B4A02" w:rsidRDefault="00FF1D36" w:rsidP="00ED48A3">
      <w:pPr>
        <w:ind w:left="0" w:firstLine="0"/>
      </w:pPr>
    </w:p>
    <w:p w14:paraId="56822312" w14:textId="77777777" w:rsidR="00FF1D36" w:rsidRPr="001B4A02" w:rsidRDefault="00000000" w:rsidP="0067453A">
      <w:pPr>
        <w:numPr>
          <w:ilvl w:val="12"/>
          <w:numId w:val="0"/>
        </w:numPr>
      </w:pPr>
      <w:r w:rsidRPr="001B4A02">
        <w:rPr>
          <w:b/>
        </w:rPr>
        <w:t>Co naleznete v této příbalové informaci</w:t>
      </w:r>
    </w:p>
    <w:p w14:paraId="59885882" w14:textId="77777777" w:rsidR="00FF1D36" w:rsidRPr="001B4A02" w:rsidRDefault="00000000" w:rsidP="00ED48A3">
      <w:pPr>
        <w:ind w:left="0" w:right="-29" w:firstLine="0"/>
      </w:pPr>
      <w:r w:rsidRPr="001B4A02">
        <w:t>1.</w:t>
      </w:r>
      <w:r w:rsidRPr="001B4A02">
        <w:tab/>
        <w:t>Co je přípravek Humira</w:t>
      </w:r>
      <w:r w:rsidR="002378E0">
        <w:t xml:space="preserve"> a </w:t>
      </w:r>
      <w:r w:rsidRPr="001B4A02">
        <w:t>k čemu se používá</w:t>
      </w:r>
    </w:p>
    <w:p w14:paraId="5EB84D70" w14:textId="77777777" w:rsidR="00FF1D36" w:rsidRPr="001B4A02" w:rsidRDefault="00000000" w:rsidP="00ED48A3">
      <w:pPr>
        <w:ind w:left="0" w:right="-29" w:firstLine="0"/>
      </w:pPr>
      <w:r w:rsidRPr="001B4A02">
        <w:t>2.</w:t>
      </w:r>
      <w:r w:rsidRPr="001B4A02">
        <w:tab/>
        <w:t xml:space="preserve">Čemu musíte věnovat pozornost, než začnete přípravek Humira </w:t>
      </w:r>
      <w:r w:rsidR="00781AEE" w:rsidRPr="001B4A02">
        <w:t>po</w:t>
      </w:r>
      <w:r w:rsidR="000C293E" w:rsidRPr="001B4A02">
        <w:t>užívat</w:t>
      </w:r>
    </w:p>
    <w:p w14:paraId="5F7FB633" w14:textId="77777777" w:rsidR="00FF1D36" w:rsidRPr="001B4A02" w:rsidRDefault="00000000" w:rsidP="00ED48A3">
      <w:pPr>
        <w:ind w:left="0" w:right="-29" w:firstLine="0"/>
      </w:pPr>
      <w:r w:rsidRPr="001B4A02">
        <w:t>3.</w:t>
      </w:r>
      <w:r w:rsidRPr="001B4A02">
        <w:tab/>
        <w:t xml:space="preserve">Jak se </w:t>
      </w:r>
      <w:r w:rsidR="004E2192" w:rsidRPr="001B4A02">
        <w:t xml:space="preserve">přípravek </w:t>
      </w:r>
      <w:r w:rsidRPr="001B4A02">
        <w:t xml:space="preserve">Humira </w:t>
      </w:r>
      <w:r w:rsidR="00781AEE" w:rsidRPr="001B4A02">
        <w:t>po</w:t>
      </w:r>
      <w:r w:rsidRPr="001B4A02">
        <w:t xml:space="preserve">užívá </w:t>
      </w:r>
    </w:p>
    <w:p w14:paraId="417DADAD" w14:textId="77777777" w:rsidR="00FF1D36" w:rsidRPr="001B4A02" w:rsidRDefault="00000000" w:rsidP="00ED48A3">
      <w:pPr>
        <w:ind w:left="0" w:right="-29" w:firstLine="0"/>
      </w:pPr>
      <w:r w:rsidRPr="001B4A02">
        <w:t>4.</w:t>
      </w:r>
      <w:r w:rsidRPr="001B4A02">
        <w:tab/>
        <w:t>Možné nežádoucí účinky</w:t>
      </w:r>
    </w:p>
    <w:p w14:paraId="0D7C95F3" w14:textId="77777777" w:rsidR="00FF1D36" w:rsidRPr="001B4A02" w:rsidRDefault="00000000" w:rsidP="00ED48A3">
      <w:pPr>
        <w:ind w:left="0" w:right="-29" w:firstLine="0"/>
      </w:pPr>
      <w:r w:rsidRPr="001B4A02">
        <w:t>5.</w:t>
      </w:r>
      <w:r w:rsidRPr="001B4A02">
        <w:tab/>
        <w:t>Jak přípravek Humira uchovávat</w:t>
      </w:r>
    </w:p>
    <w:p w14:paraId="7F91456B" w14:textId="77777777" w:rsidR="00FF1D36" w:rsidRPr="001B4A02" w:rsidRDefault="00000000" w:rsidP="00ED48A3">
      <w:pPr>
        <w:ind w:left="0" w:right="-29" w:firstLine="0"/>
      </w:pPr>
      <w:r w:rsidRPr="001B4A02">
        <w:t>6.</w:t>
      </w:r>
      <w:r w:rsidRPr="001B4A02">
        <w:tab/>
        <w:t>Obsah balení</w:t>
      </w:r>
      <w:r w:rsidR="002378E0">
        <w:t xml:space="preserve"> a </w:t>
      </w:r>
      <w:r w:rsidRPr="001B4A02">
        <w:t>další informace</w:t>
      </w:r>
    </w:p>
    <w:p w14:paraId="03211847" w14:textId="77777777" w:rsidR="002E6533" w:rsidRPr="001B4A02" w:rsidRDefault="00000000" w:rsidP="00ED48A3">
      <w:pPr>
        <w:ind w:left="0" w:right="-29" w:firstLine="0"/>
      </w:pPr>
      <w:r w:rsidRPr="001B4A02">
        <w:t>7.</w:t>
      </w:r>
      <w:r w:rsidRPr="001B4A02">
        <w:tab/>
      </w:r>
      <w:r w:rsidR="00454E16">
        <w:t>Aplikace injekce přípravku Humira</w:t>
      </w:r>
    </w:p>
    <w:p w14:paraId="27AD1FC1" w14:textId="77777777" w:rsidR="00FF1D36" w:rsidRPr="001B4A02" w:rsidRDefault="00FF1D36" w:rsidP="00ED48A3">
      <w:pPr>
        <w:ind w:left="0" w:firstLine="0"/>
      </w:pPr>
    </w:p>
    <w:p w14:paraId="37A7FF4A" w14:textId="77777777" w:rsidR="00FF1D36" w:rsidRPr="001B4A02" w:rsidRDefault="00FF1D36" w:rsidP="00ED48A3">
      <w:pPr>
        <w:ind w:left="0" w:firstLine="0"/>
      </w:pPr>
    </w:p>
    <w:p w14:paraId="42F99200" w14:textId="77777777" w:rsidR="00FF1D36" w:rsidRPr="001B4A02" w:rsidRDefault="00000000" w:rsidP="004B14C0">
      <w:pPr>
        <w:numPr>
          <w:ilvl w:val="12"/>
          <w:numId w:val="0"/>
        </w:numPr>
        <w:ind w:left="567" w:hanging="567"/>
        <w:outlineLvl w:val="1"/>
        <w:rPr>
          <w:b/>
        </w:rPr>
      </w:pPr>
      <w:r w:rsidRPr="001B4A02">
        <w:rPr>
          <w:b/>
        </w:rPr>
        <w:t>1.</w:t>
      </w:r>
      <w:r w:rsidRPr="001B4A02">
        <w:rPr>
          <w:b/>
        </w:rPr>
        <w:tab/>
        <w:t>Co je přípravek Humira</w:t>
      </w:r>
      <w:r w:rsidR="002378E0">
        <w:rPr>
          <w:b/>
        </w:rPr>
        <w:t xml:space="preserve"> a </w:t>
      </w:r>
      <w:r w:rsidRPr="001B4A02">
        <w:rPr>
          <w:b/>
        </w:rPr>
        <w:t>k čemu se používá</w:t>
      </w:r>
    </w:p>
    <w:p w14:paraId="7B62D4DA" w14:textId="77777777" w:rsidR="007F7787" w:rsidRPr="001B4A02" w:rsidRDefault="007F7787" w:rsidP="007F7787">
      <w:pPr>
        <w:ind w:left="0" w:firstLine="0"/>
        <w:rPr>
          <w:b/>
        </w:rPr>
      </w:pPr>
    </w:p>
    <w:p w14:paraId="198C9AA5" w14:textId="77777777" w:rsidR="00FF1D36" w:rsidRPr="001B4A02" w:rsidRDefault="00000000" w:rsidP="006B0663">
      <w:pPr>
        <w:ind w:left="0" w:firstLine="0"/>
      </w:pPr>
      <w:r w:rsidRPr="001B4A02">
        <w:t>Příp</w:t>
      </w:r>
      <w:r w:rsidR="00E91CB6" w:rsidRPr="001B4A02">
        <w:t>r</w:t>
      </w:r>
      <w:r w:rsidRPr="001B4A02">
        <w:t>avek Humira obsahuje léčivou látku adalimumab</w:t>
      </w:r>
      <w:r w:rsidR="002E6533" w:rsidRPr="001B4A02">
        <w:t>.</w:t>
      </w:r>
    </w:p>
    <w:p w14:paraId="421571B3" w14:textId="77777777" w:rsidR="00FF1D36" w:rsidRPr="001B4A02" w:rsidRDefault="00FF1D36" w:rsidP="00ED48A3">
      <w:pPr>
        <w:ind w:left="0" w:firstLine="0"/>
      </w:pPr>
    </w:p>
    <w:p w14:paraId="4BB7BDFD" w14:textId="77777777" w:rsidR="002E6533" w:rsidRPr="001B4A02" w:rsidRDefault="00000000" w:rsidP="00ED48A3">
      <w:r w:rsidRPr="001B4A02">
        <w:t>Přípravek Humira se používá k</w:t>
      </w:r>
      <w:r w:rsidR="007930C0" w:rsidRPr="001B4A02">
        <w:t> </w:t>
      </w:r>
      <w:r w:rsidRPr="001B4A02">
        <w:t>léčbě</w:t>
      </w:r>
    </w:p>
    <w:p w14:paraId="63006435" w14:textId="77777777" w:rsidR="002E6533" w:rsidRPr="001B4A02" w:rsidRDefault="00000000" w:rsidP="00ED48A3">
      <w:pPr>
        <w:numPr>
          <w:ilvl w:val="0"/>
          <w:numId w:val="100"/>
        </w:numPr>
        <w:tabs>
          <w:tab w:val="left" w:pos="720"/>
        </w:tabs>
        <w:suppressAutoHyphens/>
      </w:pPr>
      <w:r w:rsidRPr="001B4A02">
        <w:t>revmatoidní artritidy</w:t>
      </w:r>
    </w:p>
    <w:p w14:paraId="2111222B" w14:textId="77777777" w:rsidR="002E6533" w:rsidRPr="001B4A02" w:rsidRDefault="00000000" w:rsidP="00ED48A3">
      <w:pPr>
        <w:numPr>
          <w:ilvl w:val="0"/>
          <w:numId w:val="100"/>
        </w:numPr>
        <w:tabs>
          <w:tab w:val="left" w:pos="720"/>
        </w:tabs>
        <w:suppressAutoHyphens/>
      </w:pPr>
      <w:r w:rsidRPr="001B4A02">
        <w:t>polyartikulární juvenilní idiopatické artritidy</w:t>
      </w:r>
    </w:p>
    <w:p w14:paraId="29588817" w14:textId="77777777" w:rsidR="002E6533" w:rsidRPr="001B4A02" w:rsidRDefault="00000000" w:rsidP="00ED48A3">
      <w:pPr>
        <w:numPr>
          <w:ilvl w:val="0"/>
          <w:numId w:val="100"/>
        </w:numPr>
        <w:tabs>
          <w:tab w:val="left" w:pos="720"/>
        </w:tabs>
        <w:suppressAutoHyphens/>
      </w:pPr>
      <w:r w:rsidRPr="001B4A02">
        <w:t>entezopatické artritidy</w:t>
      </w:r>
    </w:p>
    <w:p w14:paraId="4469A43C" w14:textId="77777777" w:rsidR="002E6533" w:rsidRPr="001B4A02" w:rsidRDefault="00000000" w:rsidP="00ED48A3">
      <w:pPr>
        <w:numPr>
          <w:ilvl w:val="0"/>
          <w:numId w:val="100"/>
        </w:numPr>
        <w:tabs>
          <w:tab w:val="left" w:pos="720"/>
        </w:tabs>
        <w:suppressAutoHyphens/>
      </w:pPr>
      <w:r w:rsidRPr="001B4A02">
        <w:t>ankylozující spondylitidy</w:t>
      </w:r>
    </w:p>
    <w:p w14:paraId="23CE6F62" w14:textId="77777777" w:rsidR="002E6533" w:rsidRPr="001B4A02" w:rsidRDefault="00000000" w:rsidP="00ED48A3">
      <w:pPr>
        <w:numPr>
          <w:ilvl w:val="0"/>
          <w:numId w:val="100"/>
        </w:numPr>
        <w:tabs>
          <w:tab w:val="left" w:pos="720"/>
        </w:tabs>
        <w:suppressAutoHyphens/>
      </w:pPr>
      <w:r w:rsidRPr="001B4A02">
        <w:t>axiální spondylartritidy bez radiologického průkazu ankylozující spondylitidy</w:t>
      </w:r>
    </w:p>
    <w:p w14:paraId="4193D76C" w14:textId="77777777" w:rsidR="002E6533" w:rsidRPr="001B4A02" w:rsidRDefault="00000000" w:rsidP="00ED48A3">
      <w:pPr>
        <w:numPr>
          <w:ilvl w:val="0"/>
          <w:numId w:val="100"/>
        </w:numPr>
        <w:tabs>
          <w:tab w:val="left" w:pos="720"/>
        </w:tabs>
        <w:suppressAutoHyphens/>
      </w:pPr>
      <w:r w:rsidRPr="001B4A02">
        <w:t>psoriatické artritidy</w:t>
      </w:r>
    </w:p>
    <w:p w14:paraId="5FBC1563" w14:textId="77777777" w:rsidR="002E6533" w:rsidRPr="001B4A02" w:rsidRDefault="00000000" w:rsidP="00ED48A3">
      <w:pPr>
        <w:numPr>
          <w:ilvl w:val="0"/>
          <w:numId w:val="100"/>
        </w:numPr>
        <w:tabs>
          <w:tab w:val="left" w:pos="720"/>
        </w:tabs>
        <w:suppressAutoHyphens/>
      </w:pPr>
      <w:r w:rsidRPr="001B4A02">
        <w:t>ložiskové psoriázy</w:t>
      </w:r>
    </w:p>
    <w:p w14:paraId="4D8D57EC" w14:textId="77777777" w:rsidR="002E6533" w:rsidRPr="001B4A02" w:rsidRDefault="00000000" w:rsidP="00ED48A3">
      <w:pPr>
        <w:numPr>
          <w:ilvl w:val="0"/>
          <w:numId w:val="100"/>
        </w:numPr>
        <w:tabs>
          <w:tab w:val="left" w:pos="720"/>
        </w:tabs>
        <w:suppressAutoHyphens/>
      </w:pPr>
      <w:r w:rsidRPr="001B4A02">
        <w:t>hidradenitis suppurativa</w:t>
      </w:r>
    </w:p>
    <w:p w14:paraId="4272D439" w14:textId="77777777" w:rsidR="002E6533" w:rsidRPr="001B4A02" w:rsidRDefault="00000000" w:rsidP="00ED48A3">
      <w:pPr>
        <w:numPr>
          <w:ilvl w:val="0"/>
          <w:numId w:val="100"/>
        </w:numPr>
        <w:tabs>
          <w:tab w:val="left" w:pos="720"/>
        </w:tabs>
        <w:suppressAutoHyphens/>
      </w:pPr>
      <w:r w:rsidRPr="001B4A02">
        <w:t>Crohnovy choroby</w:t>
      </w:r>
    </w:p>
    <w:p w14:paraId="4A44603B" w14:textId="77777777" w:rsidR="002E6533" w:rsidRPr="001B4A02" w:rsidRDefault="00000000" w:rsidP="00ED48A3">
      <w:pPr>
        <w:numPr>
          <w:ilvl w:val="0"/>
          <w:numId w:val="100"/>
        </w:numPr>
        <w:tabs>
          <w:tab w:val="left" w:pos="720"/>
        </w:tabs>
        <w:suppressAutoHyphens/>
      </w:pPr>
      <w:r w:rsidRPr="001B4A02">
        <w:t>ulcerózní kolitidy</w:t>
      </w:r>
    </w:p>
    <w:p w14:paraId="3C2C82E3" w14:textId="77777777" w:rsidR="006B4A05" w:rsidRPr="001B4A02" w:rsidRDefault="00000000" w:rsidP="00ED48A3">
      <w:pPr>
        <w:numPr>
          <w:ilvl w:val="0"/>
          <w:numId w:val="100"/>
        </w:numPr>
        <w:tabs>
          <w:tab w:val="left" w:pos="720"/>
        </w:tabs>
        <w:suppressAutoHyphens/>
      </w:pPr>
      <w:r w:rsidRPr="001B4A02">
        <w:t>neinfekční uveitidy</w:t>
      </w:r>
    </w:p>
    <w:p w14:paraId="12A614EF" w14:textId="77777777" w:rsidR="002E6533" w:rsidRPr="001B4A02" w:rsidRDefault="002E6533" w:rsidP="00ED48A3">
      <w:pPr>
        <w:ind w:left="0" w:firstLine="0"/>
      </w:pPr>
    </w:p>
    <w:p w14:paraId="087DDFD5" w14:textId="77777777" w:rsidR="006B0663" w:rsidRPr="001B4A02" w:rsidRDefault="00000000" w:rsidP="006B0663">
      <w:r w:rsidRPr="001B4A02">
        <w:t>Léčiv</w:t>
      </w:r>
      <w:r w:rsidR="008B1569" w:rsidRPr="001B4A02">
        <w:t>á</w:t>
      </w:r>
      <w:r w:rsidRPr="001B4A02">
        <w:t xml:space="preserve"> látk</w:t>
      </w:r>
      <w:r w:rsidR="008B1569" w:rsidRPr="001B4A02">
        <w:t>a</w:t>
      </w:r>
      <w:r w:rsidRPr="001B4A02">
        <w:t xml:space="preserve"> v přípravku Humira</w:t>
      </w:r>
      <w:r w:rsidR="008B1569" w:rsidRPr="001B4A02">
        <w:t>,</w:t>
      </w:r>
      <w:r w:rsidRPr="001B4A02">
        <w:t xml:space="preserve"> adalimumab, je lidská monoklonální protilátka.</w:t>
      </w:r>
    </w:p>
    <w:p w14:paraId="60009B09" w14:textId="77777777" w:rsidR="006B0663" w:rsidRPr="001B4A02" w:rsidRDefault="00000000" w:rsidP="006B0663">
      <w:r w:rsidRPr="001B4A02">
        <w:t xml:space="preserve">Monoklonální protilátky jsou bílkoviny, které se váží na specifický cíl. </w:t>
      </w:r>
    </w:p>
    <w:p w14:paraId="12488C01" w14:textId="77777777" w:rsidR="006B0663" w:rsidRPr="001B4A02" w:rsidRDefault="006B0663" w:rsidP="006B0663"/>
    <w:p w14:paraId="042FACC7" w14:textId="77777777" w:rsidR="006B0663" w:rsidRPr="001B4A02" w:rsidRDefault="00000000" w:rsidP="006B0663">
      <w:pPr>
        <w:ind w:left="0" w:firstLine="0"/>
      </w:pPr>
      <w:r w:rsidRPr="001B4A02">
        <w:t xml:space="preserve">Cíl pro adalimumab je bílkovina označená jako tumor nekrotizující faktor (TNFα), která </w:t>
      </w:r>
      <w:r w:rsidRPr="001B4A02">
        <w:rPr>
          <w:color w:val="000000"/>
          <w:szCs w:val="22"/>
        </w:rPr>
        <w:t>působí v imunitním (obranném) systému</w:t>
      </w:r>
      <w:r w:rsidR="002378E0">
        <w:rPr>
          <w:color w:val="000000"/>
          <w:szCs w:val="22"/>
        </w:rPr>
        <w:t xml:space="preserve"> a </w:t>
      </w:r>
      <w:r w:rsidRPr="001B4A02">
        <w:t xml:space="preserve">je přítomna ve zvýšených hladinách </w:t>
      </w:r>
      <w:r w:rsidRPr="001B4A02">
        <w:rPr>
          <w:color w:val="000000"/>
          <w:szCs w:val="22"/>
        </w:rPr>
        <w:t>při zánětlivých onemocněních uvedených výše. Navázáním na TNFα snižuje přípravek Humira zánětlivý proces u</w:t>
      </w:r>
      <w:r w:rsidR="00A02FA4" w:rsidRPr="001B4A02">
        <w:rPr>
          <w:color w:val="000000"/>
          <w:szCs w:val="22"/>
        </w:rPr>
        <w:t> </w:t>
      </w:r>
      <w:r w:rsidRPr="001B4A02">
        <w:rPr>
          <w:color w:val="000000"/>
          <w:szCs w:val="22"/>
        </w:rPr>
        <w:t>těchto onemocnění</w:t>
      </w:r>
      <w:r w:rsidRPr="001B4A02">
        <w:t>.</w:t>
      </w:r>
    </w:p>
    <w:p w14:paraId="3403FA6D" w14:textId="77777777" w:rsidR="002E6533" w:rsidRPr="001B4A02" w:rsidRDefault="002E6533" w:rsidP="00ED48A3">
      <w:pPr>
        <w:ind w:left="0" w:firstLine="0"/>
      </w:pPr>
    </w:p>
    <w:p w14:paraId="17AB00EA" w14:textId="77777777" w:rsidR="00FF1D36" w:rsidRPr="001B4A02" w:rsidRDefault="00000000" w:rsidP="00975013">
      <w:pPr>
        <w:pStyle w:val="EMEAHeadingUnderline"/>
        <w:keepNext/>
        <w:tabs>
          <w:tab w:val="clear" w:pos="562"/>
        </w:tabs>
        <w:suppressAutoHyphens w:val="0"/>
        <w:spacing w:beforeLines="0" w:before="0" w:afterLines="0" w:after="0"/>
        <w:rPr>
          <w:b/>
          <w:u w:val="none"/>
          <w:lang w:val="cs-CZ"/>
        </w:rPr>
      </w:pPr>
      <w:r w:rsidRPr="001B4A02">
        <w:rPr>
          <w:b/>
          <w:u w:val="none"/>
          <w:lang w:val="cs-CZ"/>
        </w:rPr>
        <w:t>Revmatoidní artritida</w:t>
      </w:r>
    </w:p>
    <w:p w14:paraId="164ED844" w14:textId="77777777" w:rsidR="00FF1D36" w:rsidRPr="001B4A02" w:rsidRDefault="00FF1D36" w:rsidP="00975013">
      <w:pPr>
        <w:keepNext/>
        <w:ind w:left="0" w:firstLine="0"/>
      </w:pPr>
    </w:p>
    <w:p w14:paraId="69CB7893" w14:textId="77777777" w:rsidR="00FF1D36" w:rsidRPr="001B4A02" w:rsidRDefault="00000000" w:rsidP="00ED48A3">
      <w:pPr>
        <w:ind w:left="0" w:firstLine="0"/>
      </w:pPr>
      <w:r w:rsidRPr="001B4A02">
        <w:t>Revmatoidní artritida je zánětlivé onemocnění kloubů.</w:t>
      </w:r>
    </w:p>
    <w:p w14:paraId="3DDD915E" w14:textId="77777777" w:rsidR="00FF1D36" w:rsidRPr="001B4A02" w:rsidRDefault="00FF1D36" w:rsidP="00ED48A3">
      <w:pPr>
        <w:ind w:left="0" w:firstLine="0"/>
      </w:pPr>
    </w:p>
    <w:p w14:paraId="781EA78D" w14:textId="77777777" w:rsidR="00FF1D36" w:rsidRPr="001B4A02" w:rsidRDefault="00000000" w:rsidP="00ED48A3">
      <w:pPr>
        <w:ind w:left="0" w:firstLine="0"/>
      </w:pPr>
      <w:r w:rsidRPr="001B4A02">
        <w:t xml:space="preserve">Přípravek Humira se používá k léčbě </w:t>
      </w:r>
      <w:r w:rsidR="002E6533" w:rsidRPr="001B4A02">
        <w:t xml:space="preserve">středně </w:t>
      </w:r>
      <w:r w:rsidR="0069682D" w:rsidRPr="001B4A02">
        <w:t>těžké až těžké</w:t>
      </w:r>
      <w:r w:rsidR="002E6533" w:rsidRPr="001B4A02">
        <w:t xml:space="preserve"> </w:t>
      </w:r>
      <w:r w:rsidRPr="001B4A02">
        <w:t>revmatoidní artritidy</w:t>
      </w:r>
      <w:r w:rsidR="000C293E" w:rsidRPr="001B4A02">
        <w:t xml:space="preserve"> u </w:t>
      </w:r>
      <w:r w:rsidRPr="001B4A02">
        <w:t>dospělých.</w:t>
      </w:r>
      <w:r w:rsidR="00F0754B" w:rsidRPr="001B4A02">
        <w:t xml:space="preserve"> </w:t>
      </w:r>
      <w:r w:rsidR="002E6533" w:rsidRPr="001B4A02">
        <w:t>M</w:t>
      </w:r>
      <w:r w:rsidRPr="001B4A02">
        <w:t>ůžete nejdříve užívat jiné chorobu modifikující léky, jako je methotrexát. Pokud</w:t>
      </w:r>
      <w:r w:rsidR="000C293E" w:rsidRPr="001B4A02">
        <w:t xml:space="preserve"> u </w:t>
      </w:r>
      <w:r w:rsidRPr="001B4A02">
        <w:t>Vás tyto léky nevyvolají uspokojivou odpověď, pak dostanete přípravek Humira.</w:t>
      </w:r>
    </w:p>
    <w:p w14:paraId="4B0EB559" w14:textId="77777777" w:rsidR="00FF1D36" w:rsidRPr="001B4A02" w:rsidRDefault="00FF1D36" w:rsidP="00ED48A3">
      <w:pPr>
        <w:ind w:left="0" w:firstLine="0"/>
      </w:pPr>
    </w:p>
    <w:p w14:paraId="0E4FEB2E" w14:textId="77777777" w:rsidR="00FF1D36" w:rsidRPr="001B4A02" w:rsidRDefault="00000000" w:rsidP="00ED48A3">
      <w:pPr>
        <w:ind w:left="0" w:firstLine="0"/>
      </w:pPr>
      <w:r w:rsidRPr="001B4A02">
        <w:t xml:space="preserve">Přípravek Humira je možné použít rovněž k léčbě </w:t>
      </w:r>
      <w:r w:rsidR="0069682D" w:rsidRPr="001B4A02">
        <w:t>těžké</w:t>
      </w:r>
      <w:r w:rsidRPr="001B4A02">
        <w:t>, aktivní</w:t>
      </w:r>
      <w:r w:rsidR="002378E0">
        <w:t xml:space="preserve"> a </w:t>
      </w:r>
      <w:r w:rsidRPr="001B4A02">
        <w:t>progresivní revmatoidní artritidy bez předchozí léčby methotrexátem.</w:t>
      </w:r>
    </w:p>
    <w:p w14:paraId="2AFE0101" w14:textId="77777777" w:rsidR="00FF1D36" w:rsidRPr="001B4A02" w:rsidRDefault="00FF1D36" w:rsidP="00ED48A3">
      <w:pPr>
        <w:ind w:left="0" w:firstLine="0"/>
      </w:pPr>
    </w:p>
    <w:p w14:paraId="6D794D2A" w14:textId="77777777" w:rsidR="00FF1D36" w:rsidRPr="001B4A02" w:rsidRDefault="00000000" w:rsidP="00ED48A3">
      <w:pPr>
        <w:ind w:left="0" w:firstLine="0"/>
      </w:pPr>
      <w:r w:rsidRPr="001B4A02">
        <w:t>Přípravek Humira může zpomalit poškození kloubů způsobené zánětlivým onemocněním</w:t>
      </w:r>
      <w:r w:rsidR="002378E0">
        <w:t xml:space="preserve"> a </w:t>
      </w:r>
      <w:r w:rsidRPr="001B4A02">
        <w:t>může zlepšit rozsah jejich pohybu.</w:t>
      </w:r>
    </w:p>
    <w:p w14:paraId="6192413D" w14:textId="77777777" w:rsidR="00FF1D36" w:rsidRPr="001B4A02" w:rsidRDefault="00FF1D36" w:rsidP="00ED48A3">
      <w:pPr>
        <w:ind w:left="0" w:firstLine="0"/>
      </w:pPr>
    </w:p>
    <w:p w14:paraId="42DD9A1A" w14:textId="77777777" w:rsidR="00FF1D36" w:rsidRPr="001B4A02" w:rsidRDefault="00000000" w:rsidP="00ED48A3">
      <w:pPr>
        <w:ind w:left="0" w:firstLine="0"/>
      </w:pPr>
      <w:r w:rsidRPr="001B4A02">
        <w:t>Váš lékař rozhodne o</w:t>
      </w:r>
      <w:r w:rsidR="00063784" w:rsidRPr="001B4A02">
        <w:t> </w:t>
      </w:r>
      <w:r w:rsidRPr="001B4A02">
        <w:t xml:space="preserve">tom, zda máte přípravek Humira </w:t>
      </w:r>
      <w:r w:rsidR="00A51E2C" w:rsidRPr="001B4A02">
        <w:t>po</w:t>
      </w:r>
      <w:r w:rsidRPr="001B4A02">
        <w:t>užívat společně s methotrexátem nebo bez něho.</w:t>
      </w:r>
    </w:p>
    <w:p w14:paraId="4A6DA239" w14:textId="77777777" w:rsidR="00F0754B" w:rsidRPr="001B4A02" w:rsidRDefault="00F0754B" w:rsidP="00ED48A3">
      <w:pPr>
        <w:ind w:left="0" w:firstLine="0"/>
      </w:pPr>
    </w:p>
    <w:p w14:paraId="6AF5492F" w14:textId="77777777" w:rsidR="00FF1D36" w:rsidRPr="001B4A02" w:rsidRDefault="00000000" w:rsidP="00975013">
      <w:pPr>
        <w:keepNext/>
        <w:ind w:left="0" w:firstLine="0"/>
        <w:rPr>
          <w:u w:val="single"/>
        </w:rPr>
      </w:pPr>
      <w:r w:rsidRPr="001B4A02">
        <w:rPr>
          <w:b/>
        </w:rPr>
        <w:t>Polyartikulární juvenilní idiopatická artritida</w:t>
      </w:r>
    </w:p>
    <w:p w14:paraId="5F05802A" w14:textId="77777777" w:rsidR="00F0754B" w:rsidRPr="001B4A02" w:rsidRDefault="00F0754B" w:rsidP="00975013">
      <w:pPr>
        <w:keepNext/>
        <w:ind w:left="0" w:firstLine="0"/>
      </w:pPr>
    </w:p>
    <w:p w14:paraId="7112C144" w14:textId="77777777" w:rsidR="00FF1D36" w:rsidRPr="001B4A02" w:rsidRDefault="00000000" w:rsidP="00ED48A3">
      <w:pPr>
        <w:ind w:left="0" w:firstLine="0"/>
      </w:pPr>
      <w:r w:rsidRPr="001B4A02">
        <w:t xml:space="preserve">Polyartikulární juvenilní idiopatická artritida </w:t>
      </w:r>
      <w:r w:rsidR="002E6533" w:rsidRPr="001B4A02">
        <w:t>je</w:t>
      </w:r>
      <w:r w:rsidRPr="001B4A02">
        <w:t xml:space="preserve"> zánětliv</w:t>
      </w:r>
      <w:r w:rsidR="002E6533" w:rsidRPr="001B4A02">
        <w:t>é</w:t>
      </w:r>
      <w:r w:rsidRPr="001B4A02">
        <w:t xml:space="preserve"> onemocnění</w:t>
      </w:r>
      <w:r w:rsidR="002E6533" w:rsidRPr="001B4A02">
        <w:t xml:space="preserve"> kloubů</w:t>
      </w:r>
      <w:r w:rsidRPr="001B4A02">
        <w:t>.</w:t>
      </w:r>
    </w:p>
    <w:p w14:paraId="778D5120" w14:textId="77777777" w:rsidR="00FF1D36" w:rsidRPr="001B4A02" w:rsidRDefault="00FF1D36" w:rsidP="00ED48A3">
      <w:pPr>
        <w:ind w:left="0" w:firstLine="0"/>
        <w:rPr>
          <w:u w:val="single"/>
        </w:rPr>
      </w:pPr>
    </w:p>
    <w:p w14:paraId="036E298C" w14:textId="77777777" w:rsidR="00FF1D36" w:rsidRPr="001B4A02" w:rsidRDefault="00000000" w:rsidP="00ED48A3">
      <w:pPr>
        <w:ind w:left="0" w:firstLine="0"/>
      </w:pPr>
      <w:r w:rsidRPr="001B4A02">
        <w:t>Přípravek Humira se používá k léčbě polyartikulární juvenilní idiopatické artritidy</w:t>
      </w:r>
      <w:r w:rsidR="000C293E" w:rsidRPr="001B4A02">
        <w:t xml:space="preserve"> u </w:t>
      </w:r>
      <w:r w:rsidR="002E6533" w:rsidRPr="001B4A02">
        <w:t xml:space="preserve">pacientů </w:t>
      </w:r>
      <w:r w:rsidRPr="001B4A02">
        <w:t>od 2 let</w:t>
      </w:r>
      <w:r w:rsidR="002E6533" w:rsidRPr="001B4A02">
        <w:t>.</w:t>
      </w:r>
      <w:r w:rsidRPr="001B4A02">
        <w:t xml:space="preserve"> Zpočátku můžete užívat jiné chorobu modifikující léky, jako je methotrexát. Pokud</w:t>
      </w:r>
      <w:r w:rsidR="000C293E" w:rsidRPr="001B4A02">
        <w:t xml:space="preserve"> u </w:t>
      </w:r>
      <w:r w:rsidRPr="001B4A02">
        <w:t>Vás tyto léky nevyvolají uspokojivou odpověď, pak dostanete přípravek Humira.</w:t>
      </w:r>
    </w:p>
    <w:p w14:paraId="343C8925" w14:textId="77777777" w:rsidR="00F77FEE" w:rsidRPr="001B4A02" w:rsidRDefault="00F77FEE" w:rsidP="00ED48A3">
      <w:pPr>
        <w:ind w:left="0" w:firstLine="0"/>
      </w:pPr>
    </w:p>
    <w:p w14:paraId="11662D81" w14:textId="77777777" w:rsidR="002E6533" w:rsidRPr="001B4A02" w:rsidRDefault="00000000" w:rsidP="00ED48A3">
      <w:pPr>
        <w:ind w:left="0" w:firstLine="0"/>
      </w:pPr>
      <w:r w:rsidRPr="001B4A02">
        <w:t>Váš lékař rozhodne o</w:t>
      </w:r>
      <w:r w:rsidR="00063784" w:rsidRPr="001B4A02">
        <w:t> </w:t>
      </w:r>
      <w:r w:rsidRPr="001B4A02">
        <w:t xml:space="preserve">tom, zda máte přípravek Humira </w:t>
      </w:r>
      <w:r w:rsidR="00A51E2C" w:rsidRPr="001B4A02">
        <w:t>po</w:t>
      </w:r>
      <w:r w:rsidRPr="001B4A02">
        <w:t>užívat společně s methotrexátem nebo bez něho.</w:t>
      </w:r>
    </w:p>
    <w:p w14:paraId="17EC7845" w14:textId="77777777" w:rsidR="002E6533" w:rsidRPr="001B4A02" w:rsidRDefault="002E6533" w:rsidP="00ED48A3">
      <w:pPr>
        <w:ind w:left="0" w:firstLine="0"/>
      </w:pPr>
    </w:p>
    <w:p w14:paraId="65CEB0B4" w14:textId="77777777" w:rsidR="002E6533" w:rsidRPr="001B4A02" w:rsidRDefault="00000000" w:rsidP="00975013">
      <w:pPr>
        <w:keepNext/>
        <w:ind w:left="0" w:firstLine="0"/>
        <w:rPr>
          <w:b/>
        </w:rPr>
      </w:pPr>
      <w:r w:rsidRPr="001B4A02">
        <w:rPr>
          <w:b/>
        </w:rPr>
        <w:t>Entezopatická artritida</w:t>
      </w:r>
    </w:p>
    <w:p w14:paraId="455DC7BA" w14:textId="77777777" w:rsidR="002E6533" w:rsidRPr="001B4A02" w:rsidRDefault="002E6533" w:rsidP="00975013">
      <w:pPr>
        <w:keepNext/>
        <w:ind w:left="0" w:firstLine="0"/>
      </w:pPr>
    </w:p>
    <w:p w14:paraId="39C3F859" w14:textId="77777777" w:rsidR="002E6533" w:rsidRPr="001B4A02" w:rsidRDefault="00000000" w:rsidP="00ED48A3">
      <w:pPr>
        <w:numPr>
          <w:ilvl w:val="12"/>
          <w:numId w:val="0"/>
        </w:numPr>
        <w:ind w:right="-2"/>
      </w:pPr>
      <w:r w:rsidRPr="001B4A02">
        <w:t>Entezopatická artritida je zánětlivé onemocnění kloubů</w:t>
      </w:r>
      <w:r w:rsidR="002378E0">
        <w:t xml:space="preserve"> a </w:t>
      </w:r>
      <w:r w:rsidRPr="001B4A02">
        <w:t>míst, na kterých se šlachy upínají na kost.</w:t>
      </w:r>
    </w:p>
    <w:p w14:paraId="2E1B36A4" w14:textId="77777777" w:rsidR="002E6533" w:rsidRPr="001B4A02" w:rsidRDefault="002E6533" w:rsidP="00ED48A3">
      <w:pPr>
        <w:numPr>
          <w:ilvl w:val="12"/>
          <w:numId w:val="0"/>
        </w:numPr>
        <w:ind w:right="-2"/>
      </w:pPr>
    </w:p>
    <w:p w14:paraId="650BEFEB" w14:textId="77777777" w:rsidR="002E6533" w:rsidRPr="001B4A02" w:rsidRDefault="00000000" w:rsidP="00ED48A3">
      <w:pPr>
        <w:ind w:left="0" w:firstLine="0"/>
      </w:pPr>
      <w:r w:rsidRPr="001B4A02">
        <w:t>Přípravek Humira se používá k léčbě entezopatické artritidy</w:t>
      </w:r>
      <w:r w:rsidR="000C293E" w:rsidRPr="001B4A02">
        <w:t xml:space="preserve"> u </w:t>
      </w:r>
      <w:r w:rsidRPr="001B4A02">
        <w:t>pacientů od 6 let. Zpočátku můžete užívat jiné chorobu modifikující léky, jako je methotrexát. Pokud</w:t>
      </w:r>
      <w:r w:rsidR="000C293E" w:rsidRPr="001B4A02">
        <w:t xml:space="preserve"> u </w:t>
      </w:r>
      <w:r w:rsidRPr="001B4A02">
        <w:t>Vás tyto léky nevyvolají uspokojivou odpověď, pak dostanete přípravek Humira.</w:t>
      </w:r>
    </w:p>
    <w:p w14:paraId="15FFE902" w14:textId="77777777" w:rsidR="002E6533" w:rsidRPr="001B4A02" w:rsidRDefault="002E6533" w:rsidP="00ED48A3">
      <w:pPr>
        <w:ind w:left="0" w:firstLine="0"/>
      </w:pPr>
    </w:p>
    <w:p w14:paraId="159AB504" w14:textId="77777777" w:rsidR="00F77FEE" w:rsidRPr="001B4A02" w:rsidRDefault="00000000" w:rsidP="00975013">
      <w:pPr>
        <w:pStyle w:val="EMEANormal"/>
        <w:keepNext/>
        <w:rPr>
          <w:lang w:val="cs-CZ"/>
        </w:rPr>
      </w:pPr>
      <w:r w:rsidRPr="001B4A02">
        <w:rPr>
          <w:b/>
          <w:lang w:val="cs-CZ"/>
        </w:rPr>
        <w:t>Ankylozující spondylitida</w:t>
      </w:r>
      <w:r w:rsidR="002378E0">
        <w:rPr>
          <w:b/>
          <w:lang w:val="cs-CZ"/>
        </w:rPr>
        <w:t xml:space="preserve"> a </w:t>
      </w:r>
      <w:r w:rsidRPr="001B4A02">
        <w:rPr>
          <w:b/>
          <w:lang w:val="cs-CZ"/>
        </w:rPr>
        <w:t>axiální spondylartritida bez radiologického průkazu ankylozující spondylitidy</w:t>
      </w:r>
    </w:p>
    <w:p w14:paraId="6B1F1246" w14:textId="77777777" w:rsidR="009E1608" w:rsidRPr="001B4A02" w:rsidRDefault="009E1608" w:rsidP="00975013">
      <w:pPr>
        <w:pStyle w:val="EMEANormal"/>
        <w:keepNext/>
        <w:rPr>
          <w:lang w:val="cs-CZ"/>
        </w:rPr>
      </w:pPr>
    </w:p>
    <w:p w14:paraId="220CEDA2" w14:textId="77777777" w:rsidR="00FF1D36" w:rsidRPr="001B4A02" w:rsidRDefault="00000000" w:rsidP="00ED48A3">
      <w:pPr>
        <w:pStyle w:val="EMEANormal"/>
        <w:rPr>
          <w:lang w:val="cs-CZ"/>
        </w:rPr>
      </w:pPr>
      <w:r w:rsidRPr="001B4A02">
        <w:rPr>
          <w:lang w:val="cs-CZ"/>
        </w:rPr>
        <w:t>Ankylozující spondylitida</w:t>
      </w:r>
      <w:r w:rsidR="002378E0">
        <w:rPr>
          <w:lang w:val="cs-CZ"/>
        </w:rPr>
        <w:t xml:space="preserve"> a </w:t>
      </w:r>
      <w:r w:rsidRPr="001B4A02">
        <w:rPr>
          <w:lang w:val="cs-CZ"/>
        </w:rPr>
        <w:t>axiální spondylartritida bez radiologického průkazu ankylozující spondylitidy jsou zánětlivá onemocnění páteře.</w:t>
      </w:r>
    </w:p>
    <w:p w14:paraId="65053066" w14:textId="77777777" w:rsidR="00FF1D36" w:rsidRPr="001B4A02" w:rsidRDefault="00FF1D36" w:rsidP="00ED48A3">
      <w:pPr>
        <w:pStyle w:val="EMEANormal"/>
        <w:rPr>
          <w:lang w:val="cs-CZ"/>
        </w:rPr>
      </w:pPr>
    </w:p>
    <w:p w14:paraId="131E9D03" w14:textId="77777777" w:rsidR="00FF1D36" w:rsidRPr="001B4A02" w:rsidRDefault="00000000" w:rsidP="00ED48A3">
      <w:pPr>
        <w:ind w:left="0" w:firstLine="0"/>
        <w:rPr>
          <w:u w:val="single"/>
        </w:rPr>
      </w:pPr>
      <w:r w:rsidRPr="001B4A02">
        <w:t xml:space="preserve">Přípravek Humira se používá k léčbě </w:t>
      </w:r>
      <w:r w:rsidR="0069682D" w:rsidRPr="001B4A02">
        <w:t xml:space="preserve">těžké </w:t>
      </w:r>
      <w:r w:rsidRPr="001B4A02">
        <w:t>ankylozující spondylitidy</w:t>
      </w:r>
      <w:r w:rsidR="002378E0">
        <w:t xml:space="preserve"> a </w:t>
      </w:r>
      <w:r w:rsidRPr="001B4A02">
        <w:t>axiální spondylartritidy bez radiologického průkazu ankylozující spondylitidy</w:t>
      </w:r>
      <w:r w:rsidR="000C293E" w:rsidRPr="001B4A02">
        <w:t xml:space="preserve"> u </w:t>
      </w:r>
      <w:r w:rsidRPr="001B4A02">
        <w:t xml:space="preserve">dospělých. </w:t>
      </w:r>
      <w:r w:rsidR="002E6533" w:rsidRPr="001B4A02">
        <w:t xml:space="preserve">Mohou Vám být </w:t>
      </w:r>
      <w:r w:rsidRPr="001B4A02">
        <w:t>nejprve podávány jiné léky. Pokud</w:t>
      </w:r>
      <w:r w:rsidR="000C293E" w:rsidRPr="001B4A02">
        <w:t xml:space="preserve"> u </w:t>
      </w:r>
      <w:r w:rsidRPr="001B4A02">
        <w:t>Vás tato léčba nevyvolá uspokojivou odpověď, pak dostanete přípravek Humira.</w:t>
      </w:r>
    </w:p>
    <w:p w14:paraId="187A3B68" w14:textId="77777777" w:rsidR="00FF1D36" w:rsidRPr="001B4A02" w:rsidRDefault="00FF1D36" w:rsidP="00ED48A3">
      <w:pPr>
        <w:rPr>
          <w:u w:val="single"/>
        </w:rPr>
      </w:pPr>
    </w:p>
    <w:p w14:paraId="2445CAEB" w14:textId="77777777" w:rsidR="00FF1D36" w:rsidRPr="001B4A02" w:rsidRDefault="00000000" w:rsidP="00975013">
      <w:pPr>
        <w:keepNext/>
        <w:rPr>
          <w:b/>
        </w:rPr>
      </w:pPr>
      <w:r w:rsidRPr="001B4A02">
        <w:rPr>
          <w:b/>
        </w:rPr>
        <w:t>Psoriatická artritida</w:t>
      </w:r>
    </w:p>
    <w:p w14:paraId="24864D73" w14:textId="77777777" w:rsidR="00FF1D36" w:rsidRPr="001B4A02" w:rsidRDefault="00FF1D36" w:rsidP="00975013">
      <w:pPr>
        <w:keepNext/>
      </w:pPr>
    </w:p>
    <w:p w14:paraId="4F55F178" w14:textId="77777777" w:rsidR="00FF1D36" w:rsidRPr="001B4A02" w:rsidRDefault="00000000" w:rsidP="00ED48A3">
      <w:pPr>
        <w:ind w:left="0" w:firstLine="0"/>
      </w:pPr>
      <w:r w:rsidRPr="001B4A02">
        <w:t xml:space="preserve">Psoriatická artritida je </w:t>
      </w:r>
      <w:r w:rsidR="002E6533" w:rsidRPr="001B4A02">
        <w:t xml:space="preserve">zánětlivé onemocnění </w:t>
      </w:r>
      <w:r w:rsidRPr="001B4A02">
        <w:t>kloubů</w:t>
      </w:r>
      <w:r w:rsidR="002E6533" w:rsidRPr="001B4A02">
        <w:t>, které je obvykle spojeno s psoriázou.</w:t>
      </w:r>
    </w:p>
    <w:p w14:paraId="2F1D6761" w14:textId="77777777" w:rsidR="00FF1D36" w:rsidRPr="001B4A02" w:rsidRDefault="00FF1D36" w:rsidP="00ED48A3"/>
    <w:p w14:paraId="1613C577" w14:textId="77777777" w:rsidR="00FF1D36" w:rsidRPr="001B4A02" w:rsidRDefault="00000000" w:rsidP="00ED48A3">
      <w:pPr>
        <w:ind w:left="0" w:firstLine="0"/>
      </w:pPr>
      <w:r w:rsidRPr="001B4A02">
        <w:t>Přípravek Humira se používá k léčbě psoriatické artritidy</w:t>
      </w:r>
      <w:r w:rsidR="000C293E" w:rsidRPr="001B4A02">
        <w:t xml:space="preserve"> u </w:t>
      </w:r>
      <w:r w:rsidRPr="001B4A02">
        <w:t xml:space="preserve">dospělých. </w:t>
      </w:r>
      <w:r w:rsidR="002E6533" w:rsidRPr="001B4A02">
        <w:t>P</w:t>
      </w:r>
      <w:r w:rsidRPr="001B4A02">
        <w:t>říprav</w:t>
      </w:r>
      <w:r w:rsidR="00781AEE" w:rsidRPr="001B4A02">
        <w:t>e</w:t>
      </w:r>
      <w:r w:rsidRPr="001B4A02">
        <w:t xml:space="preserve">k Humira </w:t>
      </w:r>
      <w:r w:rsidR="002E6533" w:rsidRPr="001B4A02">
        <w:t xml:space="preserve">může </w:t>
      </w:r>
      <w:r w:rsidRPr="001B4A02">
        <w:t>zpomal</w:t>
      </w:r>
      <w:r w:rsidR="002E6533" w:rsidRPr="001B4A02">
        <w:t>it</w:t>
      </w:r>
      <w:r w:rsidRPr="001B4A02">
        <w:t xml:space="preserve"> poškození kloubů způsobené onemocněním</w:t>
      </w:r>
      <w:r w:rsidR="002378E0">
        <w:t xml:space="preserve"> a </w:t>
      </w:r>
      <w:r w:rsidR="002E6533" w:rsidRPr="001B4A02">
        <w:t>může zlepšit rozsah jejich pohybu. Mohou Vám být nejprve podávány jiné léky. Pokud</w:t>
      </w:r>
      <w:r w:rsidR="000C293E" w:rsidRPr="001B4A02">
        <w:t xml:space="preserve"> u </w:t>
      </w:r>
      <w:r w:rsidR="002E6533" w:rsidRPr="001B4A02">
        <w:t>Vás tato léčba nevyvolá uspokojivou odpověď, pak dostanete přípravek Humira.</w:t>
      </w:r>
    </w:p>
    <w:p w14:paraId="0F8B15D0" w14:textId="77777777" w:rsidR="00FF1D36" w:rsidRPr="001B4A02" w:rsidRDefault="00FF1D36" w:rsidP="00ED48A3">
      <w:pPr>
        <w:ind w:left="0" w:firstLine="0"/>
        <w:rPr>
          <w:u w:val="single"/>
        </w:rPr>
      </w:pPr>
    </w:p>
    <w:p w14:paraId="65D08D26" w14:textId="77777777" w:rsidR="008B115F" w:rsidRPr="001B4A02" w:rsidRDefault="00000000" w:rsidP="00975013">
      <w:pPr>
        <w:keepNext/>
        <w:ind w:left="0" w:firstLine="0"/>
        <w:rPr>
          <w:u w:val="single"/>
        </w:rPr>
      </w:pPr>
      <w:r w:rsidRPr="001B4A02">
        <w:rPr>
          <w:b/>
        </w:rPr>
        <w:t>Ložisková psoriáza</w:t>
      </w:r>
    </w:p>
    <w:p w14:paraId="0CC3DAAD" w14:textId="77777777" w:rsidR="00FF1D36" w:rsidRPr="001B4A02" w:rsidRDefault="00FF1D36" w:rsidP="00975013">
      <w:pPr>
        <w:keepNext/>
        <w:ind w:left="0" w:firstLine="0"/>
      </w:pPr>
    </w:p>
    <w:p w14:paraId="50A8D997" w14:textId="77777777" w:rsidR="00FF1D36" w:rsidRPr="001B4A02" w:rsidRDefault="00000000" w:rsidP="00ED48A3">
      <w:pPr>
        <w:ind w:left="0" w:firstLine="0"/>
      </w:pPr>
      <w:r w:rsidRPr="001B4A02">
        <w:t xml:space="preserve">Ložisková psoriáza je kožní onemocnění, které se projevuje ohraničenými, zarudlými, vyvýšenými ložisky, krytými stříbřitě lesklými šupinami. </w:t>
      </w:r>
      <w:r w:rsidR="00FE3367" w:rsidRPr="001B4A02">
        <w:t xml:space="preserve">Ložisková psoriáza může postihovat také nehty, může způsobit jejich </w:t>
      </w:r>
      <w:r w:rsidR="000B75A4" w:rsidRPr="001B4A02">
        <w:t>ztluštění</w:t>
      </w:r>
      <w:r w:rsidR="00FE3367" w:rsidRPr="001B4A02">
        <w:t>, drolení</w:t>
      </w:r>
      <w:r w:rsidR="002378E0">
        <w:t xml:space="preserve"> a </w:t>
      </w:r>
      <w:r w:rsidR="00FE3367" w:rsidRPr="001B4A02">
        <w:t>odlučování od nehtového lůžka, což může být bolestivé.</w:t>
      </w:r>
    </w:p>
    <w:p w14:paraId="78B05F47" w14:textId="77777777" w:rsidR="00FF1D36" w:rsidRPr="001B4A02" w:rsidRDefault="00FF1D36" w:rsidP="00ED48A3">
      <w:pPr>
        <w:ind w:left="0" w:firstLine="0"/>
      </w:pPr>
    </w:p>
    <w:p w14:paraId="21441670" w14:textId="77777777" w:rsidR="002B71A2" w:rsidRPr="001B4A02" w:rsidRDefault="00000000" w:rsidP="00975013">
      <w:pPr>
        <w:keepNext/>
        <w:ind w:left="0" w:firstLine="0"/>
      </w:pPr>
      <w:r w:rsidRPr="001B4A02">
        <w:t xml:space="preserve">Přípravek Humira se používá k léčbě </w:t>
      </w:r>
    </w:p>
    <w:p w14:paraId="4C1D930A" w14:textId="77777777" w:rsidR="002B71A2" w:rsidRPr="001B4A02" w:rsidRDefault="00000000" w:rsidP="00ED48A3">
      <w:pPr>
        <w:pStyle w:val="EMEANormal"/>
        <w:numPr>
          <w:ilvl w:val="0"/>
          <w:numId w:val="101"/>
        </w:numPr>
        <w:tabs>
          <w:tab w:val="clear" w:pos="562"/>
          <w:tab w:val="left" w:pos="720"/>
        </w:tabs>
        <w:rPr>
          <w:szCs w:val="21"/>
          <w:lang w:val="cs-CZ"/>
        </w:rPr>
      </w:pPr>
      <w:r w:rsidRPr="001B4A02">
        <w:rPr>
          <w:szCs w:val="21"/>
          <w:lang w:val="cs-CZ"/>
        </w:rPr>
        <w:t xml:space="preserve">středně </w:t>
      </w:r>
      <w:r w:rsidR="0069682D" w:rsidRPr="001B4A02">
        <w:rPr>
          <w:szCs w:val="21"/>
          <w:lang w:val="cs-CZ"/>
        </w:rPr>
        <w:t>těžké až těžké</w:t>
      </w:r>
      <w:r w:rsidRPr="001B4A02">
        <w:rPr>
          <w:szCs w:val="21"/>
          <w:lang w:val="cs-CZ"/>
        </w:rPr>
        <w:t xml:space="preserve"> chronické ložiskové psoriázy</w:t>
      </w:r>
      <w:r w:rsidR="00B12121" w:rsidRPr="001B4A02">
        <w:rPr>
          <w:szCs w:val="21"/>
          <w:lang w:val="cs-CZ"/>
        </w:rPr>
        <w:t xml:space="preserve"> u </w:t>
      </w:r>
      <w:r w:rsidRPr="001B4A02">
        <w:rPr>
          <w:szCs w:val="21"/>
          <w:lang w:val="cs-CZ"/>
        </w:rPr>
        <w:t>dospělých a</w:t>
      </w:r>
    </w:p>
    <w:p w14:paraId="259EC3FF" w14:textId="77777777" w:rsidR="00FF1D36" w:rsidRPr="001B4A02" w:rsidRDefault="00000000" w:rsidP="00ED48A3">
      <w:pPr>
        <w:pStyle w:val="EMEANormal"/>
        <w:numPr>
          <w:ilvl w:val="0"/>
          <w:numId w:val="101"/>
        </w:numPr>
        <w:tabs>
          <w:tab w:val="clear" w:pos="562"/>
          <w:tab w:val="left" w:pos="720"/>
        </w:tabs>
        <w:rPr>
          <w:szCs w:val="21"/>
          <w:lang w:val="cs-CZ"/>
        </w:rPr>
      </w:pPr>
      <w:r w:rsidRPr="001B4A02">
        <w:rPr>
          <w:lang w:val="cs-CZ"/>
        </w:rPr>
        <w:t xml:space="preserve">těžké </w:t>
      </w:r>
      <w:r w:rsidR="002B71A2" w:rsidRPr="001B4A02">
        <w:rPr>
          <w:lang w:val="cs-CZ"/>
        </w:rPr>
        <w:t>chronické ložiskové psoriázy</w:t>
      </w:r>
      <w:r w:rsidR="00B12121" w:rsidRPr="001B4A02">
        <w:rPr>
          <w:lang w:val="cs-CZ"/>
        </w:rPr>
        <w:t xml:space="preserve"> u </w:t>
      </w:r>
      <w:r w:rsidR="002C0232" w:rsidRPr="001B4A02">
        <w:rPr>
          <w:lang w:val="cs-CZ"/>
        </w:rPr>
        <w:t>dětí</w:t>
      </w:r>
      <w:r w:rsidR="002378E0">
        <w:rPr>
          <w:lang w:val="cs-CZ"/>
        </w:rPr>
        <w:t xml:space="preserve"> a </w:t>
      </w:r>
      <w:r w:rsidR="002C0232" w:rsidRPr="001B4A02">
        <w:rPr>
          <w:lang w:val="cs-CZ"/>
        </w:rPr>
        <w:t>dospívajících od 4 do 17 let,</w:t>
      </w:r>
      <w:r w:rsidR="00B12121" w:rsidRPr="001B4A02">
        <w:rPr>
          <w:lang w:val="cs-CZ"/>
        </w:rPr>
        <w:t xml:space="preserve"> u </w:t>
      </w:r>
      <w:r w:rsidR="002C0232" w:rsidRPr="001B4A02">
        <w:rPr>
          <w:lang w:val="cs-CZ"/>
        </w:rPr>
        <w:t>kterých lokální léčba</w:t>
      </w:r>
      <w:r w:rsidR="002378E0">
        <w:rPr>
          <w:lang w:val="cs-CZ"/>
        </w:rPr>
        <w:t xml:space="preserve"> a </w:t>
      </w:r>
      <w:r w:rsidR="002C0232" w:rsidRPr="001B4A02">
        <w:rPr>
          <w:lang w:val="cs-CZ"/>
        </w:rPr>
        <w:t xml:space="preserve">fototerapie </w:t>
      </w:r>
      <w:r w:rsidR="00B86AAF" w:rsidRPr="001B4A02">
        <w:rPr>
          <w:lang w:val="cs-CZ"/>
        </w:rPr>
        <w:t>neúčinkovaly</w:t>
      </w:r>
      <w:r w:rsidR="002C0232" w:rsidRPr="001B4A02">
        <w:rPr>
          <w:lang w:val="cs-CZ"/>
        </w:rPr>
        <w:t xml:space="preserve"> dobře nebo je</w:t>
      </w:r>
      <w:r w:rsidR="00B12121" w:rsidRPr="001B4A02">
        <w:rPr>
          <w:lang w:val="cs-CZ"/>
        </w:rPr>
        <w:t xml:space="preserve"> u </w:t>
      </w:r>
      <w:r w:rsidR="002C0232" w:rsidRPr="001B4A02">
        <w:rPr>
          <w:lang w:val="cs-CZ"/>
        </w:rPr>
        <w:t>nich tato léčba nevhodná.</w:t>
      </w:r>
    </w:p>
    <w:p w14:paraId="56D1CD8D" w14:textId="77777777" w:rsidR="00FF1D36" w:rsidRPr="001B4A02" w:rsidRDefault="00FF1D36" w:rsidP="00ED48A3">
      <w:pPr>
        <w:ind w:left="0" w:firstLine="0"/>
      </w:pPr>
    </w:p>
    <w:p w14:paraId="49C771BD" w14:textId="77777777" w:rsidR="008B115F" w:rsidRPr="001B4A02" w:rsidRDefault="00000000" w:rsidP="00975013">
      <w:pPr>
        <w:keepNext/>
        <w:ind w:left="0" w:firstLine="0"/>
        <w:rPr>
          <w:rFonts w:eastAsia="Calibri"/>
          <w:szCs w:val="22"/>
          <w:u w:val="single"/>
        </w:rPr>
      </w:pPr>
      <w:r w:rsidRPr="001B4A02">
        <w:rPr>
          <w:rFonts w:eastAsia="Calibri"/>
          <w:b/>
          <w:szCs w:val="22"/>
        </w:rPr>
        <w:t>Hidradenitis suppurativa</w:t>
      </w:r>
    </w:p>
    <w:p w14:paraId="03633F7F" w14:textId="77777777" w:rsidR="00FF1D36" w:rsidRPr="001B4A02" w:rsidRDefault="00FF1D36" w:rsidP="00975013">
      <w:pPr>
        <w:keepNext/>
        <w:ind w:left="0" w:firstLine="0"/>
        <w:rPr>
          <w:rFonts w:eastAsia="Calibri"/>
          <w:szCs w:val="22"/>
        </w:rPr>
      </w:pPr>
    </w:p>
    <w:p w14:paraId="1187AAD4" w14:textId="77777777" w:rsidR="00FF1D36" w:rsidRPr="001B4A02" w:rsidRDefault="00000000" w:rsidP="00ED48A3">
      <w:pPr>
        <w:ind w:left="0" w:firstLine="0"/>
        <w:rPr>
          <w:rFonts w:eastAsia="Calibri"/>
          <w:szCs w:val="22"/>
        </w:rPr>
      </w:pPr>
      <w:r w:rsidRPr="001B4A02">
        <w:rPr>
          <w:rFonts w:eastAsia="Calibri"/>
          <w:szCs w:val="22"/>
        </w:rPr>
        <w:t>Hidradenitis suppurativa (někdy nazývaná acne inversa) je chronické</w:t>
      </w:r>
      <w:r w:rsidR="002378E0">
        <w:rPr>
          <w:rFonts w:eastAsia="Calibri"/>
          <w:szCs w:val="22"/>
        </w:rPr>
        <w:t xml:space="preserve"> a </w:t>
      </w:r>
      <w:r w:rsidRPr="001B4A02">
        <w:rPr>
          <w:rFonts w:eastAsia="Calibri"/>
          <w:szCs w:val="22"/>
        </w:rPr>
        <w:t>často bolestivé zánětlivé kožní onemocnění. Příznaky mohou zahrnovat citlivé uzly (boláky)</w:t>
      </w:r>
      <w:r w:rsidR="002378E0">
        <w:rPr>
          <w:rFonts w:eastAsia="Calibri"/>
          <w:szCs w:val="22"/>
        </w:rPr>
        <w:t xml:space="preserve"> a </w:t>
      </w:r>
      <w:r w:rsidRPr="001B4A02">
        <w:rPr>
          <w:rFonts w:eastAsia="Calibri"/>
          <w:szCs w:val="22"/>
        </w:rPr>
        <w:t>abscesy (nežity), které mohou obsahovat hnis. Nejčastěji postihuje specifické části kůže, jako např. pod prsy, podpaždí, vnitřní část stehen, třísla</w:t>
      </w:r>
      <w:r w:rsidR="002378E0">
        <w:rPr>
          <w:rFonts w:eastAsia="Calibri"/>
          <w:szCs w:val="22"/>
        </w:rPr>
        <w:t xml:space="preserve"> a </w:t>
      </w:r>
      <w:r w:rsidRPr="001B4A02">
        <w:rPr>
          <w:rFonts w:eastAsia="Calibri"/>
          <w:szCs w:val="22"/>
        </w:rPr>
        <w:t>hýždě. Na postižených částech se také mohou objevovat jizvy.</w:t>
      </w:r>
    </w:p>
    <w:p w14:paraId="1CB149A1" w14:textId="77777777" w:rsidR="00FF1D36" w:rsidRPr="001B4A02" w:rsidRDefault="00FF1D36" w:rsidP="00ED48A3">
      <w:pPr>
        <w:ind w:left="0" w:firstLine="0"/>
        <w:rPr>
          <w:rFonts w:eastAsia="Calibri"/>
          <w:szCs w:val="22"/>
        </w:rPr>
      </w:pPr>
    </w:p>
    <w:p w14:paraId="58626B52" w14:textId="77777777" w:rsidR="005A6D66" w:rsidRPr="001B4A02" w:rsidRDefault="00000000" w:rsidP="00975013">
      <w:pPr>
        <w:keepNext/>
        <w:ind w:left="0" w:firstLine="0"/>
        <w:rPr>
          <w:rFonts w:eastAsia="Calibri"/>
          <w:szCs w:val="22"/>
        </w:rPr>
      </w:pPr>
      <w:r w:rsidRPr="001B4A02">
        <w:t xml:space="preserve">Přípravek </w:t>
      </w:r>
      <w:r w:rsidR="00FF1D36" w:rsidRPr="001B4A02">
        <w:rPr>
          <w:rFonts w:eastAsia="Calibri"/>
          <w:szCs w:val="22"/>
        </w:rPr>
        <w:t>Humira se používá k</w:t>
      </w:r>
      <w:r w:rsidR="002B71A2" w:rsidRPr="001B4A02">
        <w:rPr>
          <w:rFonts w:eastAsia="Calibri"/>
          <w:szCs w:val="22"/>
        </w:rPr>
        <w:t> </w:t>
      </w:r>
      <w:r w:rsidR="00FF1D36" w:rsidRPr="001B4A02">
        <w:rPr>
          <w:rFonts w:eastAsia="Calibri"/>
          <w:szCs w:val="22"/>
        </w:rPr>
        <w:t>léčbě</w:t>
      </w:r>
      <w:r w:rsidR="002B71A2" w:rsidRPr="001B4A02">
        <w:rPr>
          <w:rFonts w:eastAsia="Calibri"/>
          <w:szCs w:val="22"/>
        </w:rPr>
        <w:t xml:space="preserve"> </w:t>
      </w:r>
    </w:p>
    <w:p w14:paraId="52BC0DB7" w14:textId="77777777" w:rsidR="005A6D66" w:rsidRPr="001B4A02" w:rsidRDefault="00000000" w:rsidP="00ED48A3">
      <w:pPr>
        <w:numPr>
          <w:ilvl w:val="2"/>
          <w:numId w:val="17"/>
        </w:numPr>
        <w:tabs>
          <w:tab w:val="clear" w:pos="2160"/>
        </w:tabs>
        <w:ind w:left="709"/>
        <w:rPr>
          <w:rFonts w:eastAsia="Calibri"/>
          <w:szCs w:val="22"/>
        </w:rPr>
      </w:pPr>
      <w:r w:rsidRPr="001B4A02">
        <w:rPr>
          <w:rFonts w:eastAsia="Calibri"/>
          <w:szCs w:val="22"/>
        </w:rPr>
        <w:t xml:space="preserve">středně </w:t>
      </w:r>
      <w:r w:rsidR="0069682D" w:rsidRPr="001B4A02">
        <w:rPr>
          <w:rFonts w:eastAsia="Calibri"/>
          <w:szCs w:val="22"/>
        </w:rPr>
        <w:t>těžké až těžké</w:t>
      </w:r>
      <w:r w:rsidR="00FF1D36" w:rsidRPr="001B4A02">
        <w:rPr>
          <w:rFonts w:eastAsia="Calibri"/>
          <w:szCs w:val="22"/>
        </w:rPr>
        <w:t xml:space="preserve"> hidradenitis suppurativa</w:t>
      </w:r>
      <w:r w:rsidR="00B12121" w:rsidRPr="001B4A02">
        <w:rPr>
          <w:rFonts w:eastAsia="Calibri"/>
          <w:szCs w:val="22"/>
        </w:rPr>
        <w:t xml:space="preserve"> u </w:t>
      </w:r>
      <w:r w:rsidR="00FF1D36" w:rsidRPr="001B4A02">
        <w:rPr>
          <w:rFonts w:eastAsia="Calibri"/>
          <w:szCs w:val="22"/>
        </w:rPr>
        <w:t>dospělých</w:t>
      </w:r>
      <w:r w:rsidR="002378E0">
        <w:rPr>
          <w:rFonts w:eastAsia="Calibri"/>
          <w:szCs w:val="22"/>
        </w:rPr>
        <w:t xml:space="preserve"> a </w:t>
      </w:r>
    </w:p>
    <w:p w14:paraId="13671906" w14:textId="77777777" w:rsidR="005A6D66" w:rsidRPr="001B4A02" w:rsidRDefault="00000000" w:rsidP="00ED48A3">
      <w:pPr>
        <w:numPr>
          <w:ilvl w:val="2"/>
          <w:numId w:val="17"/>
        </w:numPr>
        <w:tabs>
          <w:tab w:val="clear" w:pos="2160"/>
        </w:tabs>
        <w:ind w:left="709"/>
        <w:rPr>
          <w:rFonts w:eastAsia="Calibri"/>
          <w:szCs w:val="22"/>
        </w:rPr>
      </w:pPr>
      <w:r w:rsidRPr="001B4A02">
        <w:rPr>
          <w:rFonts w:eastAsia="Calibri"/>
          <w:szCs w:val="22"/>
        </w:rPr>
        <w:t xml:space="preserve">středně těžké </w:t>
      </w:r>
      <w:r w:rsidR="00077963">
        <w:rPr>
          <w:rFonts w:eastAsia="Calibri"/>
          <w:szCs w:val="22"/>
        </w:rPr>
        <w:t xml:space="preserve">až těžké </w:t>
      </w:r>
      <w:r w:rsidRPr="001B4A02">
        <w:rPr>
          <w:rFonts w:eastAsia="Calibri"/>
          <w:szCs w:val="22"/>
        </w:rPr>
        <w:t>hidradenitis suppurativ</w:t>
      </w:r>
      <w:r w:rsidR="00FF1468" w:rsidRPr="001B4A02">
        <w:rPr>
          <w:rFonts w:eastAsia="Calibri"/>
          <w:szCs w:val="22"/>
        </w:rPr>
        <w:t>a</w:t>
      </w:r>
      <w:r w:rsidR="00B12121" w:rsidRPr="001B4A02">
        <w:rPr>
          <w:rFonts w:eastAsia="Calibri"/>
          <w:szCs w:val="22"/>
        </w:rPr>
        <w:t xml:space="preserve"> u </w:t>
      </w:r>
      <w:r w:rsidRPr="001B4A02">
        <w:rPr>
          <w:rFonts w:eastAsia="Calibri"/>
          <w:szCs w:val="22"/>
        </w:rPr>
        <w:t>dospívajících od 12</w:t>
      </w:r>
      <w:r w:rsidR="0074704A" w:rsidRPr="001B4A02">
        <w:rPr>
          <w:rFonts w:eastAsia="Calibri"/>
          <w:szCs w:val="22"/>
        </w:rPr>
        <w:t xml:space="preserve"> do 17</w:t>
      </w:r>
      <w:r w:rsidRPr="001B4A02">
        <w:rPr>
          <w:rFonts w:eastAsia="Calibri"/>
          <w:szCs w:val="22"/>
        </w:rPr>
        <w:t> let.</w:t>
      </w:r>
    </w:p>
    <w:p w14:paraId="7537B219" w14:textId="77777777" w:rsidR="005A6D66" w:rsidRPr="001B4A02" w:rsidRDefault="005A6D66" w:rsidP="00B12121">
      <w:pPr>
        <w:rPr>
          <w:rFonts w:eastAsia="Calibri"/>
          <w:szCs w:val="22"/>
        </w:rPr>
      </w:pPr>
    </w:p>
    <w:p w14:paraId="74B86EC0" w14:textId="77777777" w:rsidR="00FF1D36" w:rsidRPr="001B4A02" w:rsidRDefault="00000000" w:rsidP="00ED48A3">
      <w:pPr>
        <w:ind w:left="0" w:firstLine="0"/>
        <w:rPr>
          <w:rFonts w:eastAsia="Calibri"/>
          <w:szCs w:val="22"/>
        </w:rPr>
      </w:pPr>
      <w:r w:rsidRPr="001B4A02">
        <w:rPr>
          <w:rFonts w:eastAsia="Calibri"/>
          <w:szCs w:val="22"/>
        </w:rPr>
        <w:t>Přípravek Humira pomáhá snižovat počet boláků</w:t>
      </w:r>
      <w:r w:rsidR="002378E0">
        <w:rPr>
          <w:rFonts w:eastAsia="Calibri"/>
          <w:szCs w:val="22"/>
        </w:rPr>
        <w:t xml:space="preserve"> a </w:t>
      </w:r>
      <w:r w:rsidRPr="001B4A02">
        <w:rPr>
          <w:rFonts w:eastAsia="Calibri"/>
          <w:szCs w:val="22"/>
        </w:rPr>
        <w:t>nežitů</w:t>
      </w:r>
      <w:r w:rsidR="002B71A2" w:rsidRPr="001B4A02">
        <w:rPr>
          <w:rFonts w:eastAsia="Calibri"/>
          <w:szCs w:val="22"/>
        </w:rPr>
        <w:t xml:space="preserve"> způsobených nemocí</w:t>
      </w:r>
      <w:r w:rsidR="002378E0">
        <w:rPr>
          <w:rFonts w:eastAsia="Calibri"/>
          <w:szCs w:val="22"/>
        </w:rPr>
        <w:t xml:space="preserve"> a </w:t>
      </w:r>
      <w:r w:rsidRPr="001B4A02">
        <w:rPr>
          <w:rFonts w:eastAsia="Calibri"/>
          <w:szCs w:val="22"/>
        </w:rPr>
        <w:t>bolest, která je s</w:t>
      </w:r>
      <w:r w:rsidR="004823B6" w:rsidRPr="001B4A02">
        <w:rPr>
          <w:rFonts w:eastAsia="Calibri"/>
          <w:szCs w:val="22"/>
        </w:rPr>
        <w:t> </w:t>
      </w:r>
      <w:r w:rsidRPr="001B4A02">
        <w:rPr>
          <w:rFonts w:eastAsia="Calibri"/>
          <w:szCs w:val="22"/>
        </w:rPr>
        <w:t>tímto onemocněním často spojena.</w:t>
      </w:r>
      <w:r w:rsidR="002B71A2" w:rsidRPr="001B4A02">
        <w:rPr>
          <w:rFonts w:eastAsia="Calibri"/>
          <w:szCs w:val="22"/>
        </w:rPr>
        <w:t xml:space="preserve"> </w:t>
      </w:r>
      <w:r w:rsidR="002B71A2" w:rsidRPr="001B4A02">
        <w:t>Mohou Vám být nejprve podávány jiné léky. Pokud</w:t>
      </w:r>
      <w:r w:rsidR="00B12121" w:rsidRPr="001B4A02">
        <w:t xml:space="preserve"> u </w:t>
      </w:r>
      <w:r w:rsidR="002B71A2" w:rsidRPr="001B4A02">
        <w:t>Vás tato léčba nevyvolá uspokojivou odpověď, pak dostanete přípravek Humira.</w:t>
      </w:r>
    </w:p>
    <w:p w14:paraId="627DBDC0" w14:textId="77777777" w:rsidR="00FF1D36" w:rsidRPr="001B4A02" w:rsidRDefault="00FF1D36" w:rsidP="00ED48A3">
      <w:pPr>
        <w:ind w:left="0" w:firstLine="0"/>
      </w:pPr>
    </w:p>
    <w:p w14:paraId="0CE54E49" w14:textId="77777777" w:rsidR="00FF1D36" w:rsidRPr="001B4A02" w:rsidRDefault="00000000" w:rsidP="00ED48A3">
      <w:pPr>
        <w:pStyle w:val="EMEANormal"/>
        <w:keepNext/>
        <w:rPr>
          <w:lang w:val="cs-CZ"/>
        </w:rPr>
      </w:pPr>
      <w:r w:rsidRPr="001B4A02">
        <w:rPr>
          <w:b/>
          <w:lang w:val="cs-CZ"/>
        </w:rPr>
        <w:t>Crohnova choroba</w:t>
      </w:r>
    </w:p>
    <w:p w14:paraId="53F910B3" w14:textId="77777777" w:rsidR="00F0754B" w:rsidRPr="001B4A02" w:rsidRDefault="00F0754B" w:rsidP="00ED48A3">
      <w:pPr>
        <w:pStyle w:val="EMEANormal"/>
        <w:keepNext/>
        <w:rPr>
          <w:lang w:val="cs-CZ"/>
        </w:rPr>
      </w:pPr>
    </w:p>
    <w:p w14:paraId="15027620" w14:textId="77777777" w:rsidR="00FF1D36" w:rsidRPr="001B4A02" w:rsidRDefault="00000000" w:rsidP="00975013">
      <w:pPr>
        <w:pStyle w:val="EMEANormal"/>
        <w:rPr>
          <w:lang w:val="cs-CZ"/>
        </w:rPr>
      </w:pPr>
      <w:r w:rsidRPr="001B4A02">
        <w:rPr>
          <w:lang w:val="cs-CZ"/>
        </w:rPr>
        <w:t>Crohnova choroba je zánětlivé onemocnění trávicího traktu.</w:t>
      </w:r>
    </w:p>
    <w:p w14:paraId="1A7A6DF6" w14:textId="77777777" w:rsidR="00FF1D36" w:rsidRPr="001B4A02" w:rsidRDefault="00FF1D36" w:rsidP="00ED48A3">
      <w:pPr>
        <w:pStyle w:val="EMEANormal"/>
        <w:rPr>
          <w:lang w:val="cs-CZ"/>
        </w:rPr>
      </w:pPr>
    </w:p>
    <w:p w14:paraId="65D94304" w14:textId="77777777" w:rsidR="002B71A2" w:rsidRPr="001B4A02" w:rsidRDefault="00000000" w:rsidP="00975013">
      <w:pPr>
        <w:keepNext/>
        <w:ind w:left="0" w:firstLine="0"/>
      </w:pPr>
      <w:r w:rsidRPr="001B4A02">
        <w:t xml:space="preserve">Přípravek Humira se používá k léčbě </w:t>
      </w:r>
    </w:p>
    <w:p w14:paraId="5AECE9B0" w14:textId="77777777" w:rsidR="002B71A2" w:rsidRPr="001B4A02" w:rsidRDefault="00000000" w:rsidP="00ED48A3">
      <w:pPr>
        <w:pStyle w:val="EMEANormal"/>
        <w:numPr>
          <w:ilvl w:val="0"/>
          <w:numId w:val="102"/>
        </w:numPr>
        <w:tabs>
          <w:tab w:val="clear" w:pos="562"/>
          <w:tab w:val="left" w:pos="720"/>
        </w:tabs>
        <w:ind w:left="720"/>
        <w:rPr>
          <w:lang w:val="cs-CZ"/>
        </w:rPr>
      </w:pPr>
      <w:r w:rsidRPr="001B4A02">
        <w:rPr>
          <w:szCs w:val="21"/>
          <w:lang w:val="cs-CZ"/>
        </w:rPr>
        <w:t xml:space="preserve">středně </w:t>
      </w:r>
      <w:r w:rsidR="0069682D" w:rsidRPr="001B4A02">
        <w:rPr>
          <w:rFonts w:eastAsia="Calibri"/>
          <w:szCs w:val="22"/>
          <w:lang w:val="cs-CZ"/>
        </w:rPr>
        <w:t>těžké až těžké</w:t>
      </w:r>
      <w:r w:rsidR="004A1680" w:rsidRPr="001B4A02">
        <w:rPr>
          <w:rFonts w:eastAsia="Calibri"/>
          <w:szCs w:val="22"/>
          <w:lang w:val="cs-CZ"/>
        </w:rPr>
        <w:t xml:space="preserve"> </w:t>
      </w:r>
      <w:r w:rsidRPr="001B4A02">
        <w:rPr>
          <w:szCs w:val="21"/>
          <w:lang w:val="cs-CZ"/>
        </w:rPr>
        <w:t>Crohnovy choroby</w:t>
      </w:r>
      <w:r w:rsidR="00B12121" w:rsidRPr="001B4A02">
        <w:rPr>
          <w:szCs w:val="21"/>
          <w:lang w:val="cs-CZ"/>
        </w:rPr>
        <w:t xml:space="preserve"> u </w:t>
      </w:r>
      <w:r w:rsidRPr="001B4A02">
        <w:rPr>
          <w:szCs w:val="21"/>
          <w:lang w:val="cs-CZ"/>
        </w:rPr>
        <w:t>dospělých a</w:t>
      </w:r>
    </w:p>
    <w:p w14:paraId="4DCDDABB" w14:textId="77777777" w:rsidR="002B71A2" w:rsidRPr="001B4A02" w:rsidRDefault="00000000" w:rsidP="00ED48A3">
      <w:pPr>
        <w:pStyle w:val="EMEANormal"/>
        <w:numPr>
          <w:ilvl w:val="0"/>
          <w:numId w:val="102"/>
        </w:numPr>
        <w:tabs>
          <w:tab w:val="clear" w:pos="562"/>
          <w:tab w:val="left" w:pos="720"/>
        </w:tabs>
        <w:ind w:left="720"/>
        <w:rPr>
          <w:lang w:val="cs-CZ"/>
        </w:rPr>
      </w:pPr>
      <w:r w:rsidRPr="001B4A02">
        <w:rPr>
          <w:szCs w:val="21"/>
          <w:lang w:val="cs-CZ"/>
        </w:rPr>
        <w:t xml:space="preserve">středně </w:t>
      </w:r>
      <w:r w:rsidR="0069682D" w:rsidRPr="001B4A02">
        <w:rPr>
          <w:rFonts w:eastAsia="Calibri"/>
          <w:szCs w:val="22"/>
          <w:lang w:val="cs-CZ"/>
        </w:rPr>
        <w:t>těžké až těžké</w:t>
      </w:r>
      <w:r w:rsidR="004A1680" w:rsidRPr="001B4A02">
        <w:rPr>
          <w:rFonts w:eastAsia="Calibri"/>
          <w:szCs w:val="22"/>
          <w:lang w:val="cs-CZ"/>
        </w:rPr>
        <w:t xml:space="preserve"> </w:t>
      </w:r>
      <w:r w:rsidRPr="001B4A02">
        <w:rPr>
          <w:szCs w:val="21"/>
          <w:lang w:val="cs-CZ"/>
        </w:rPr>
        <w:t>Crohnovy choroby</w:t>
      </w:r>
      <w:r w:rsidR="00B12121" w:rsidRPr="001B4A02">
        <w:rPr>
          <w:szCs w:val="21"/>
          <w:lang w:val="cs-CZ"/>
        </w:rPr>
        <w:t xml:space="preserve"> u </w:t>
      </w:r>
      <w:r w:rsidRPr="001B4A02">
        <w:rPr>
          <w:szCs w:val="21"/>
          <w:lang w:val="cs-CZ"/>
        </w:rPr>
        <w:t>dětí</w:t>
      </w:r>
      <w:r w:rsidR="002378E0">
        <w:rPr>
          <w:szCs w:val="21"/>
          <w:lang w:val="cs-CZ"/>
        </w:rPr>
        <w:t xml:space="preserve"> a </w:t>
      </w:r>
      <w:r w:rsidRPr="001B4A02">
        <w:rPr>
          <w:szCs w:val="21"/>
          <w:lang w:val="cs-CZ"/>
        </w:rPr>
        <w:t xml:space="preserve">dospívajících od 6 </w:t>
      </w:r>
      <w:r w:rsidR="00F12A15" w:rsidRPr="001B4A02">
        <w:rPr>
          <w:szCs w:val="21"/>
          <w:lang w:val="cs-CZ"/>
        </w:rPr>
        <w:t>do 17 </w:t>
      </w:r>
      <w:r w:rsidRPr="001B4A02">
        <w:rPr>
          <w:szCs w:val="21"/>
          <w:lang w:val="cs-CZ"/>
        </w:rPr>
        <w:t>let</w:t>
      </w:r>
      <w:r w:rsidR="00382363" w:rsidRPr="001B4A02">
        <w:rPr>
          <w:szCs w:val="21"/>
          <w:lang w:val="cs-CZ"/>
        </w:rPr>
        <w:t>.</w:t>
      </w:r>
    </w:p>
    <w:p w14:paraId="6D4D10F2" w14:textId="77777777" w:rsidR="002B71A2" w:rsidRPr="001B4A02" w:rsidRDefault="002B71A2" w:rsidP="00ED48A3">
      <w:pPr>
        <w:ind w:left="0" w:firstLine="0"/>
      </w:pPr>
    </w:p>
    <w:p w14:paraId="40900C06" w14:textId="77777777" w:rsidR="00FF1D36" w:rsidRPr="001B4A02" w:rsidRDefault="00000000" w:rsidP="00ED48A3">
      <w:pPr>
        <w:ind w:left="0" w:firstLine="0"/>
      </w:pPr>
      <w:r w:rsidRPr="001B4A02">
        <w:t>Mohou Vám být nejprve podávány jiné léky. Pokud</w:t>
      </w:r>
      <w:r w:rsidR="00B12121" w:rsidRPr="001B4A02">
        <w:t xml:space="preserve"> u </w:t>
      </w:r>
      <w:r w:rsidRPr="001B4A02">
        <w:t>Vás tato léčba nevyvolá uspokojivou odpověď, pak dostanete přípravek Humira.</w:t>
      </w:r>
    </w:p>
    <w:p w14:paraId="712A229C" w14:textId="77777777" w:rsidR="00FF1D36" w:rsidRPr="001B4A02" w:rsidRDefault="00FF1D36" w:rsidP="00ED48A3">
      <w:pPr>
        <w:ind w:left="0" w:firstLine="0"/>
      </w:pPr>
    </w:p>
    <w:p w14:paraId="787EB21B" w14:textId="77777777" w:rsidR="008B115F" w:rsidRPr="001B4A02" w:rsidRDefault="00000000" w:rsidP="00975013">
      <w:pPr>
        <w:keepNext/>
        <w:ind w:left="0" w:firstLine="0"/>
        <w:rPr>
          <w:u w:val="single"/>
        </w:rPr>
      </w:pPr>
      <w:r w:rsidRPr="001B4A02">
        <w:rPr>
          <w:b/>
        </w:rPr>
        <w:t>Ulcerózní kolitida</w:t>
      </w:r>
    </w:p>
    <w:p w14:paraId="2F83A454" w14:textId="77777777" w:rsidR="00FF1D36" w:rsidRPr="001B4A02" w:rsidRDefault="00FF1D36" w:rsidP="00975013">
      <w:pPr>
        <w:keepNext/>
        <w:ind w:left="0" w:firstLine="0"/>
      </w:pPr>
    </w:p>
    <w:p w14:paraId="6844015B" w14:textId="77777777" w:rsidR="00FF1D36" w:rsidRPr="001B4A02" w:rsidRDefault="00000000" w:rsidP="00ED48A3">
      <w:pPr>
        <w:ind w:left="0" w:firstLine="0"/>
      </w:pPr>
      <w:r w:rsidRPr="001B4A02">
        <w:t xml:space="preserve">Ulcerózní kolitida je zánětlivé onemocnění </w:t>
      </w:r>
      <w:r w:rsidR="002B71A2" w:rsidRPr="001B4A02">
        <w:t xml:space="preserve">tlustého </w:t>
      </w:r>
      <w:r w:rsidRPr="001B4A02">
        <w:t>střev</w:t>
      </w:r>
      <w:r w:rsidR="002B71A2" w:rsidRPr="001B4A02">
        <w:t>a</w:t>
      </w:r>
      <w:r w:rsidRPr="001B4A02">
        <w:t>.</w:t>
      </w:r>
    </w:p>
    <w:p w14:paraId="13F4EDE8" w14:textId="77777777" w:rsidR="00B12121" w:rsidRPr="001B4A02" w:rsidRDefault="00B12121" w:rsidP="00ED48A3">
      <w:pPr>
        <w:ind w:left="0" w:firstLine="0"/>
      </w:pPr>
    </w:p>
    <w:p w14:paraId="36579BB3" w14:textId="77777777" w:rsidR="003F3934" w:rsidRDefault="00000000" w:rsidP="00975013">
      <w:pPr>
        <w:keepNext/>
        <w:ind w:left="0" w:firstLine="0"/>
      </w:pPr>
      <w:r w:rsidRPr="001B4A02">
        <w:t>Přípravek Humira se používá k léčbě</w:t>
      </w:r>
      <w:r w:rsidR="002B71A2" w:rsidRPr="001B4A02">
        <w:t xml:space="preserve"> </w:t>
      </w:r>
    </w:p>
    <w:p w14:paraId="59FCE144" w14:textId="77777777" w:rsidR="003F3934" w:rsidRDefault="00000000" w:rsidP="001D2137">
      <w:pPr>
        <w:pStyle w:val="ListParagraph"/>
        <w:numPr>
          <w:ilvl w:val="0"/>
          <w:numId w:val="277"/>
        </w:numPr>
      </w:pPr>
      <w:r w:rsidRPr="001B4A02">
        <w:t xml:space="preserve">středně </w:t>
      </w:r>
      <w:r w:rsidR="0069682D" w:rsidRPr="003F3934">
        <w:rPr>
          <w:rFonts w:eastAsia="Calibri"/>
          <w:szCs w:val="22"/>
        </w:rPr>
        <w:t>těžké až těžké</w:t>
      </w:r>
      <w:r w:rsidR="00C914B5" w:rsidRPr="003F3934">
        <w:rPr>
          <w:rFonts w:eastAsia="Calibri"/>
          <w:szCs w:val="22"/>
        </w:rPr>
        <w:t xml:space="preserve"> </w:t>
      </w:r>
      <w:r w:rsidR="00FF1D36" w:rsidRPr="001B4A02">
        <w:t>ulcerózní kolitidy</w:t>
      </w:r>
      <w:r w:rsidR="00B12121" w:rsidRPr="001B4A02">
        <w:t xml:space="preserve"> u </w:t>
      </w:r>
      <w:r w:rsidR="00FF1D36" w:rsidRPr="001B4A02">
        <w:t>dospělých</w:t>
      </w:r>
      <w:r w:rsidR="003578CA">
        <w:t xml:space="preserve"> </w:t>
      </w:r>
      <w:r w:rsidR="009C4763">
        <w:t>a</w:t>
      </w:r>
    </w:p>
    <w:p w14:paraId="555AD33B" w14:textId="77777777" w:rsidR="003F3934" w:rsidRDefault="00000000" w:rsidP="001D2137">
      <w:pPr>
        <w:pStyle w:val="ListParagraph"/>
        <w:numPr>
          <w:ilvl w:val="0"/>
          <w:numId w:val="277"/>
        </w:numPr>
      </w:pPr>
      <w:r>
        <w:t>středně těžké až těžké ulcerózní kolitidy u dětí</w:t>
      </w:r>
      <w:r w:rsidR="002378E0">
        <w:t xml:space="preserve"> a </w:t>
      </w:r>
      <w:r>
        <w:t>dospívajících od 6 do 17 let</w:t>
      </w:r>
      <w:r w:rsidR="009C4763">
        <w:t>.</w:t>
      </w:r>
    </w:p>
    <w:p w14:paraId="18665CFF" w14:textId="77777777" w:rsidR="003F3934" w:rsidRDefault="003F3934" w:rsidP="00ED48A3">
      <w:pPr>
        <w:ind w:left="0" w:firstLine="0"/>
      </w:pPr>
    </w:p>
    <w:p w14:paraId="2A0A5EF5" w14:textId="77777777" w:rsidR="00FF1D36" w:rsidRPr="001B4A02" w:rsidRDefault="00000000" w:rsidP="00ED48A3">
      <w:pPr>
        <w:ind w:left="0" w:firstLine="0"/>
      </w:pPr>
      <w:r w:rsidRPr="001B4A02">
        <w:t>Mohou Vám být nejprve podávány jiné léky. Pokud</w:t>
      </w:r>
      <w:r w:rsidR="00B12121" w:rsidRPr="001B4A02">
        <w:t xml:space="preserve"> u </w:t>
      </w:r>
      <w:r w:rsidRPr="001B4A02">
        <w:t>Vás tato léčba nevyvolá uspokojivou odpověď, pak dostanete přípravek Humira.</w:t>
      </w:r>
    </w:p>
    <w:p w14:paraId="6AE998F2" w14:textId="77777777" w:rsidR="00FF1D36" w:rsidRPr="001B4A02" w:rsidRDefault="00FF1D36" w:rsidP="00ED48A3">
      <w:pPr>
        <w:ind w:left="0" w:firstLine="0"/>
      </w:pPr>
    </w:p>
    <w:p w14:paraId="1E9D61BE" w14:textId="77777777" w:rsidR="00F6422F" w:rsidRPr="001B4A02" w:rsidRDefault="00000000" w:rsidP="00975013">
      <w:pPr>
        <w:pStyle w:val="EMEANormal"/>
        <w:keepNext/>
        <w:rPr>
          <w:b/>
          <w:lang w:val="cs-CZ"/>
        </w:rPr>
      </w:pPr>
      <w:r w:rsidRPr="001B4A02">
        <w:rPr>
          <w:b/>
          <w:szCs w:val="21"/>
          <w:lang w:val="cs-CZ"/>
        </w:rPr>
        <w:t xml:space="preserve">Neinfekční uveitida </w:t>
      </w:r>
    </w:p>
    <w:p w14:paraId="16BB8A2C" w14:textId="77777777" w:rsidR="00F6422F" w:rsidRPr="001B4A02" w:rsidRDefault="00F6422F" w:rsidP="00975013">
      <w:pPr>
        <w:pStyle w:val="EMEANormal"/>
        <w:keepNext/>
        <w:rPr>
          <w:lang w:val="cs-CZ"/>
        </w:rPr>
      </w:pPr>
    </w:p>
    <w:p w14:paraId="33B06CC9" w14:textId="77777777" w:rsidR="00F6422F" w:rsidRPr="001B4A02" w:rsidRDefault="00000000" w:rsidP="00ED48A3">
      <w:pPr>
        <w:pStyle w:val="EMEANormal"/>
        <w:rPr>
          <w:lang w:val="cs-CZ"/>
        </w:rPr>
      </w:pPr>
      <w:r w:rsidRPr="001B4A02">
        <w:rPr>
          <w:lang w:val="cs-CZ"/>
        </w:rPr>
        <w:t>Neinfekční uveitida je zánět</w:t>
      </w:r>
      <w:r w:rsidR="004977D4" w:rsidRPr="001B4A02">
        <w:rPr>
          <w:lang w:val="cs-CZ"/>
        </w:rPr>
        <w:t>l</w:t>
      </w:r>
      <w:r w:rsidRPr="001B4A02">
        <w:rPr>
          <w:lang w:val="cs-CZ"/>
        </w:rPr>
        <w:t>ivé onemocnění postihující některé části oka.</w:t>
      </w:r>
    </w:p>
    <w:p w14:paraId="124A3AB5" w14:textId="77777777" w:rsidR="00F6422F" w:rsidRPr="001B4A02" w:rsidRDefault="00F6422F" w:rsidP="00ED48A3">
      <w:pPr>
        <w:pStyle w:val="EMEANormal"/>
        <w:rPr>
          <w:lang w:val="cs-CZ"/>
        </w:rPr>
      </w:pPr>
    </w:p>
    <w:p w14:paraId="44BAE382" w14:textId="77777777" w:rsidR="00F12A15" w:rsidRPr="001B4A02" w:rsidRDefault="00000000" w:rsidP="00975013">
      <w:pPr>
        <w:pStyle w:val="EMEANormal"/>
        <w:keepNext/>
        <w:rPr>
          <w:lang w:val="cs-CZ"/>
        </w:rPr>
      </w:pPr>
      <w:r w:rsidRPr="001B4A02">
        <w:rPr>
          <w:lang w:val="cs-CZ"/>
        </w:rPr>
        <w:t xml:space="preserve">Přípravek </w:t>
      </w:r>
      <w:r w:rsidR="00F6422F" w:rsidRPr="001B4A02">
        <w:rPr>
          <w:lang w:val="cs-CZ"/>
        </w:rPr>
        <w:t>Humira se používá k</w:t>
      </w:r>
      <w:r w:rsidRPr="001B4A02">
        <w:rPr>
          <w:lang w:val="cs-CZ"/>
        </w:rPr>
        <w:t> </w:t>
      </w:r>
      <w:r w:rsidR="00F6422F" w:rsidRPr="001B4A02">
        <w:rPr>
          <w:lang w:val="cs-CZ"/>
        </w:rPr>
        <w:t>léčbě</w:t>
      </w:r>
    </w:p>
    <w:p w14:paraId="50B6BD14" w14:textId="77777777" w:rsidR="00F12A15" w:rsidRPr="001B4A02" w:rsidRDefault="00000000" w:rsidP="00AA1CF3">
      <w:pPr>
        <w:pStyle w:val="EMEANormal"/>
        <w:numPr>
          <w:ilvl w:val="0"/>
          <w:numId w:val="238"/>
        </w:numPr>
        <w:tabs>
          <w:tab w:val="clear" w:pos="562"/>
        </w:tabs>
        <w:rPr>
          <w:lang w:val="cs-CZ"/>
        </w:rPr>
      </w:pPr>
      <w:r w:rsidRPr="001B4A02">
        <w:rPr>
          <w:lang w:val="cs-CZ"/>
        </w:rPr>
        <w:t>d</w:t>
      </w:r>
      <w:r w:rsidR="00F6422F" w:rsidRPr="001B4A02">
        <w:rPr>
          <w:lang w:val="cs-CZ"/>
        </w:rPr>
        <w:t>ospělých s</w:t>
      </w:r>
      <w:r w:rsidR="004823B6" w:rsidRPr="001B4A02">
        <w:rPr>
          <w:lang w:val="cs-CZ"/>
        </w:rPr>
        <w:t> </w:t>
      </w:r>
      <w:r w:rsidR="00F6422F" w:rsidRPr="001B4A02">
        <w:rPr>
          <w:lang w:val="cs-CZ"/>
        </w:rPr>
        <w:t>neinfekční uveitidou se zánětem postihujícím zadní část oka</w:t>
      </w:r>
    </w:p>
    <w:p w14:paraId="0D8093B7" w14:textId="77777777" w:rsidR="00F12A15" w:rsidRPr="001B4A02" w:rsidRDefault="00000000" w:rsidP="00AA1CF3">
      <w:pPr>
        <w:pStyle w:val="EMEANormal"/>
        <w:numPr>
          <w:ilvl w:val="0"/>
          <w:numId w:val="238"/>
        </w:numPr>
        <w:tabs>
          <w:tab w:val="clear" w:pos="562"/>
        </w:tabs>
        <w:rPr>
          <w:lang w:val="cs-CZ"/>
        </w:rPr>
      </w:pPr>
      <w:r w:rsidRPr="001B4A02">
        <w:rPr>
          <w:lang w:val="cs-CZ"/>
        </w:rPr>
        <w:t>dětí od 2 let</w:t>
      </w:r>
      <w:r w:rsidR="00532A9D" w:rsidRPr="001B4A02">
        <w:rPr>
          <w:lang w:val="cs-CZ"/>
        </w:rPr>
        <w:t xml:space="preserve"> </w:t>
      </w:r>
      <w:r w:rsidRPr="001B4A02">
        <w:rPr>
          <w:lang w:val="cs-CZ"/>
        </w:rPr>
        <w:t>s chronickou neinfekční uveitidou se zánětem postihujícím přední část oka</w:t>
      </w:r>
      <w:r w:rsidR="00793BE4">
        <w:rPr>
          <w:lang w:val="cs-CZ"/>
        </w:rPr>
        <w:t>.</w:t>
      </w:r>
    </w:p>
    <w:p w14:paraId="18AF9917" w14:textId="77777777" w:rsidR="00F12A15" w:rsidRPr="001B4A02" w:rsidRDefault="00F12A15" w:rsidP="00AA1CF3">
      <w:pPr>
        <w:pStyle w:val="EMEANormal"/>
        <w:tabs>
          <w:tab w:val="clear" w:pos="562"/>
        </w:tabs>
        <w:rPr>
          <w:lang w:val="cs-CZ"/>
        </w:rPr>
      </w:pPr>
    </w:p>
    <w:p w14:paraId="2390D762" w14:textId="77777777" w:rsidR="00F6422F" w:rsidRPr="001B4A02" w:rsidRDefault="00000000" w:rsidP="00AA1CF3">
      <w:pPr>
        <w:pStyle w:val="EMEANormal"/>
        <w:tabs>
          <w:tab w:val="clear" w:pos="562"/>
        </w:tabs>
        <w:rPr>
          <w:lang w:val="cs-CZ"/>
        </w:rPr>
      </w:pPr>
      <w:r w:rsidRPr="001B4A02">
        <w:rPr>
          <w:lang w:val="cs-CZ"/>
        </w:rPr>
        <w:t xml:space="preserve">Tento zánět </w:t>
      </w:r>
      <w:r w:rsidR="00F12A15" w:rsidRPr="001B4A02">
        <w:rPr>
          <w:lang w:val="cs-CZ"/>
        </w:rPr>
        <w:t xml:space="preserve">může vést </w:t>
      </w:r>
      <w:r w:rsidRPr="001B4A02">
        <w:rPr>
          <w:lang w:val="cs-CZ"/>
        </w:rPr>
        <w:t>ke zhoršení zraku a/nebo výskytu plovoucích zákalů v</w:t>
      </w:r>
      <w:r w:rsidR="004823B6" w:rsidRPr="001B4A02">
        <w:rPr>
          <w:lang w:val="cs-CZ"/>
        </w:rPr>
        <w:t> </w:t>
      </w:r>
      <w:r w:rsidRPr="001B4A02">
        <w:rPr>
          <w:lang w:val="cs-CZ"/>
        </w:rPr>
        <w:t xml:space="preserve">oku (černé tečky nebo chomáčkovité čáry pohybující se </w:t>
      </w:r>
      <w:r w:rsidR="003E702B" w:rsidRPr="001B4A02">
        <w:rPr>
          <w:lang w:val="cs-CZ"/>
        </w:rPr>
        <w:t>v</w:t>
      </w:r>
      <w:r w:rsidR="004823B6" w:rsidRPr="001B4A02">
        <w:rPr>
          <w:lang w:val="cs-CZ"/>
        </w:rPr>
        <w:t> </w:t>
      </w:r>
      <w:r w:rsidRPr="001B4A02">
        <w:rPr>
          <w:lang w:val="cs-CZ"/>
        </w:rPr>
        <w:t>zorné</w:t>
      </w:r>
      <w:r w:rsidR="003E702B" w:rsidRPr="001B4A02">
        <w:rPr>
          <w:lang w:val="cs-CZ"/>
        </w:rPr>
        <w:t>m</w:t>
      </w:r>
      <w:r w:rsidRPr="001B4A02">
        <w:rPr>
          <w:lang w:val="cs-CZ"/>
        </w:rPr>
        <w:t xml:space="preserve"> </w:t>
      </w:r>
      <w:r w:rsidR="003E702B" w:rsidRPr="001B4A02">
        <w:rPr>
          <w:lang w:val="cs-CZ"/>
        </w:rPr>
        <w:t>poli</w:t>
      </w:r>
      <w:r w:rsidRPr="001B4A02">
        <w:rPr>
          <w:lang w:val="cs-CZ"/>
        </w:rPr>
        <w:t>).</w:t>
      </w:r>
      <w:r w:rsidR="004E2192" w:rsidRPr="001B4A02">
        <w:rPr>
          <w:lang w:val="cs-CZ"/>
        </w:rPr>
        <w:t xml:space="preserve"> Přípravek</w:t>
      </w:r>
      <w:r w:rsidRPr="001B4A02">
        <w:rPr>
          <w:lang w:val="cs-CZ"/>
        </w:rPr>
        <w:t xml:space="preserve"> Humira </w:t>
      </w:r>
      <w:r w:rsidR="00532A9D" w:rsidRPr="001B4A02">
        <w:rPr>
          <w:lang w:val="cs-CZ"/>
        </w:rPr>
        <w:t xml:space="preserve">tento </w:t>
      </w:r>
      <w:r w:rsidRPr="001B4A02">
        <w:rPr>
          <w:lang w:val="cs-CZ"/>
        </w:rPr>
        <w:t>zánět snižuje.</w:t>
      </w:r>
      <w:r w:rsidR="00F12A15" w:rsidRPr="001B4A02">
        <w:rPr>
          <w:lang w:val="cs-CZ"/>
        </w:rPr>
        <w:t xml:space="preserve"> Mohou Vám být nejprve podány jiné léky. Pokud u</w:t>
      </w:r>
      <w:r w:rsidR="004823B6" w:rsidRPr="001B4A02">
        <w:rPr>
          <w:lang w:val="cs-CZ"/>
        </w:rPr>
        <w:t> </w:t>
      </w:r>
      <w:r w:rsidR="00F12A15" w:rsidRPr="001B4A02">
        <w:rPr>
          <w:lang w:val="cs-CZ"/>
        </w:rPr>
        <w:t xml:space="preserve">Vás tato léčba nevyvolá uspokojivou odpověď, </w:t>
      </w:r>
      <w:r w:rsidR="00507DAA" w:rsidRPr="001B4A02">
        <w:rPr>
          <w:lang w:val="cs-CZ"/>
        </w:rPr>
        <w:t>pak dostanete přípravek Humira.</w:t>
      </w:r>
    </w:p>
    <w:p w14:paraId="06A37DC8" w14:textId="77777777" w:rsidR="00F6422F" w:rsidRPr="001B4A02" w:rsidRDefault="00F6422F" w:rsidP="007F7787">
      <w:pPr>
        <w:numPr>
          <w:ilvl w:val="12"/>
          <w:numId w:val="0"/>
        </w:numPr>
      </w:pPr>
    </w:p>
    <w:p w14:paraId="491D1774" w14:textId="77777777" w:rsidR="00F6422F" w:rsidRPr="001B4A02" w:rsidRDefault="00F6422F" w:rsidP="007F7787">
      <w:pPr>
        <w:numPr>
          <w:ilvl w:val="12"/>
          <w:numId w:val="0"/>
        </w:numPr>
      </w:pPr>
    </w:p>
    <w:p w14:paraId="7C19A703" w14:textId="77777777" w:rsidR="00FF1D36" w:rsidRPr="001B4A02" w:rsidRDefault="00000000" w:rsidP="004B14C0">
      <w:pPr>
        <w:keepNext/>
        <w:numPr>
          <w:ilvl w:val="12"/>
          <w:numId w:val="0"/>
        </w:numPr>
        <w:ind w:left="567" w:hanging="567"/>
        <w:outlineLvl w:val="1"/>
      </w:pPr>
      <w:r w:rsidRPr="001B4A02">
        <w:rPr>
          <w:b/>
        </w:rPr>
        <w:t>2.</w:t>
      </w:r>
      <w:r w:rsidRPr="001B4A02">
        <w:rPr>
          <w:b/>
        </w:rPr>
        <w:tab/>
        <w:t xml:space="preserve">Čemu musíte věnovat pozornost, než začnete přípravek Humira </w:t>
      </w:r>
      <w:r w:rsidR="00781AEE" w:rsidRPr="001B4A02">
        <w:rPr>
          <w:b/>
        </w:rPr>
        <w:t>po</w:t>
      </w:r>
      <w:r w:rsidRPr="001B4A02">
        <w:rPr>
          <w:b/>
        </w:rPr>
        <w:t>užívat</w:t>
      </w:r>
    </w:p>
    <w:p w14:paraId="7F29112D" w14:textId="77777777" w:rsidR="00FF1D36" w:rsidRPr="001B4A02" w:rsidRDefault="00FF1D36" w:rsidP="00003181">
      <w:pPr>
        <w:keepNext/>
        <w:numPr>
          <w:ilvl w:val="12"/>
          <w:numId w:val="0"/>
        </w:numPr>
        <w:ind w:right="-2"/>
      </w:pPr>
    </w:p>
    <w:p w14:paraId="6584EB8C" w14:textId="77777777" w:rsidR="00FF1D36" w:rsidRPr="001B4A02" w:rsidRDefault="00000000" w:rsidP="00003181">
      <w:pPr>
        <w:keepNext/>
        <w:ind w:left="0" w:right="-29" w:firstLine="0"/>
        <w:jc w:val="both"/>
        <w:rPr>
          <w:b/>
        </w:rPr>
      </w:pPr>
      <w:r w:rsidRPr="001B4A02">
        <w:rPr>
          <w:b/>
        </w:rPr>
        <w:t>Ne</w:t>
      </w:r>
      <w:r w:rsidR="00781AEE" w:rsidRPr="001B4A02">
        <w:rPr>
          <w:b/>
        </w:rPr>
        <w:t>po</w:t>
      </w:r>
      <w:r w:rsidRPr="001B4A02">
        <w:rPr>
          <w:b/>
        </w:rPr>
        <w:t>užívejte přípravek Humira</w:t>
      </w:r>
    </w:p>
    <w:p w14:paraId="374D51F8" w14:textId="77777777" w:rsidR="00FF1D36" w:rsidRPr="001B4A02" w:rsidRDefault="00FF1D36" w:rsidP="00003181">
      <w:pPr>
        <w:keepNext/>
        <w:ind w:left="0" w:firstLine="0"/>
      </w:pPr>
    </w:p>
    <w:p w14:paraId="2C4E7774" w14:textId="77777777" w:rsidR="00FF1D36" w:rsidRPr="001B4A02" w:rsidRDefault="00000000" w:rsidP="00003181">
      <w:pPr>
        <w:keepNext/>
        <w:numPr>
          <w:ilvl w:val="0"/>
          <w:numId w:val="15"/>
        </w:numPr>
        <w:tabs>
          <w:tab w:val="clear" w:pos="720"/>
        </w:tabs>
        <w:ind w:left="567" w:hanging="567"/>
      </w:pPr>
      <w:r>
        <w:t>J</w:t>
      </w:r>
      <w:r w:rsidRPr="001B4A02">
        <w:t>estliže jste alergický(á) na adalimumab nebo na kteroukoli další složku tohoto přípravku (uvedeno</w:t>
      </w:r>
      <w:r w:rsidR="003B225F" w:rsidRPr="001B4A02">
        <w:t>u</w:t>
      </w:r>
      <w:r w:rsidRPr="001B4A02">
        <w:t xml:space="preserve"> v bodě 6).</w:t>
      </w:r>
    </w:p>
    <w:p w14:paraId="5949673E" w14:textId="77777777" w:rsidR="00FF1D36" w:rsidRPr="001B4A02" w:rsidRDefault="00FF1D36" w:rsidP="00003181">
      <w:pPr>
        <w:keepNext/>
      </w:pPr>
    </w:p>
    <w:p w14:paraId="700AA803" w14:textId="77777777" w:rsidR="00FF1D36" w:rsidRPr="001B4A02" w:rsidRDefault="00000000" w:rsidP="00003181">
      <w:pPr>
        <w:keepNext/>
        <w:numPr>
          <w:ilvl w:val="0"/>
          <w:numId w:val="15"/>
        </w:numPr>
        <w:tabs>
          <w:tab w:val="clear" w:pos="720"/>
        </w:tabs>
        <w:ind w:left="567" w:hanging="567"/>
      </w:pPr>
      <w:r>
        <w:t>J</w:t>
      </w:r>
      <w:r w:rsidRPr="001B4A02">
        <w:t xml:space="preserve">estliže máte </w:t>
      </w:r>
      <w:r w:rsidR="002B71A2" w:rsidRPr="001B4A02">
        <w:t xml:space="preserve">aktivní tuberkulózu nebo jiné </w:t>
      </w:r>
      <w:r w:rsidR="00F34089" w:rsidRPr="001B4A02">
        <w:t>závažné</w:t>
      </w:r>
      <w:r w:rsidR="002B71A2" w:rsidRPr="001B4A02">
        <w:t xml:space="preserve"> </w:t>
      </w:r>
      <w:r w:rsidRPr="001B4A02">
        <w:t>infekc</w:t>
      </w:r>
      <w:r w:rsidR="002B71A2" w:rsidRPr="001B4A02">
        <w:t>e</w:t>
      </w:r>
      <w:r w:rsidRPr="001B4A02">
        <w:t xml:space="preserve"> (viz „Upozornění</w:t>
      </w:r>
      <w:r w:rsidR="002378E0">
        <w:t xml:space="preserve"> a </w:t>
      </w:r>
      <w:r w:rsidRPr="001B4A02">
        <w:t>opatření“). Je důležité, abyste lékaře informoval(a), pokud se u Vás vyskytují příznaky infekce, např</w:t>
      </w:r>
      <w:r w:rsidR="002B71A2" w:rsidRPr="001B4A02">
        <w:t>íklad</w:t>
      </w:r>
      <w:r w:rsidRPr="001B4A02">
        <w:t xml:space="preserve"> horečka, zranění, pocit únavy nebo problémy se zuby.</w:t>
      </w:r>
    </w:p>
    <w:p w14:paraId="63DC69E8" w14:textId="77777777" w:rsidR="00FF1D36" w:rsidRPr="001B4A02" w:rsidRDefault="00FF1D36" w:rsidP="00003181">
      <w:pPr>
        <w:keepNext/>
      </w:pPr>
    </w:p>
    <w:p w14:paraId="19D7DC00" w14:textId="77777777" w:rsidR="00FF1D36" w:rsidRPr="001B4A02" w:rsidRDefault="00000000" w:rsidP="00003181">
      <w:pPr>
        <w:keepNext/>
        <w:numPr>
          <w:ilvl w:val="0"/>
          <w:numId w:val="15"/>
        </w:numPr>
        <w:tabs>
          <w:tab w:val="clear" w:pos="720"/>
        </w:tabs>
        <w:ind w:left="567" w:hanging="567"/>
      </w:pPr>
      <w:r>
        <w:t>J</w:t>
      </w:r>
      <w:r w:rsidRPr="001B4A02">
        <w:t>estliže trpíte středně těžkým nebo těžkým srdečním selháním. Je důležité, abyste informoval(a) svého lékaře, pokud se u Vás vyskytly nebo v současné době vyskytují vážné problémy se srdcem (viz „Upozornění</w:t>
      </w:r>
      <w:r w:rsidR="002378E0">
        <w:t xml:space="preserve"> a </w:t>
      </w:r>
      <w:r w:rsidRPr="001B4A02">
        <w:t>opatření“).</w:t>
      </w:r>
    </w:p>
    <w:p w14:paraId="091FA300" w14:textId="77777777" w:rsidR="00FF1D36" w:rsidRPr="001B4A02" w:rsidRDefault="00FF1D36" w:rsidP="00ED48A3">
      <w:pPr>
        <w:pStyle w:val="EndnoteText"/>
        <w:rPr>
          <w:lang w:val="cs-CZ"/>
        </w:rPr>
      </w:pPr>
    </w:p>
    <w:p w14:paraId="1DBCF6EB" w14:textId="77777777" w:rsidR="00FF1D36" w:rsidRPr="001B4A02" w:rsidRDefault="00000000" w:rsidP="00ED48A3">
      <w:pPr>
        <w:rPr>
          <w:b/>
        </w:rPr>
      </w:pPr>
      <w:r w:rsidRPr="001B4A02">
        <w:rPr>
          <w:b/>
        </w:rPr>
        <w:t>Upozornění</w:t>
      </w:r>
      <w:r w:rsidR="002378E0">
        <w:rPr>
          <w:b/>
        </w:rPr>
        <w:t xml:space="preserve"> a </w:t>
      </w:r>
      <w:r w:rsidRPr="001B4A02">
        <w:rPr>
          <w:b/>
        </w:rPr>
        <w:t xml:space="preserve">opatření </w:t>
      </w:r>
    </w:p>
    <w:p w14:paraId="75594685" w14:textId="77777777" w:rsidR="00FF1D36" w:rsidRPr="001B4A02" w:rsidRDefault="00FF1D36" w:rsidP="00ED48A3"/>
    <w:p w14:paraId="7CF36282" w14:textId="77777777" w:rsidR="00FF1D36" w:rsidRPr="001B4A02" w:rsidRDefault="00000000" w:rsidP="00ED48A3">
      <w:pPr>
        <w:ind w:left="0" w:firstLine="0"/>
      </w:pPr>
      <w:r w:rsidRPr="001B4A02">
        <w:t xml:space="preserve">Před </w:t>
      </w:r>
      <w:r w:rsidR="00781AEE" w:rsidRPr="001B4A02">
        <w:t>po</w:t>
      </w:r>
      <w:r w:rsidRPr="001B4A02">
        <w:t>užitím přípravku Humira se poraďte se svým lékařem nebo lékárníkem.</w:t>
      </w:r>
    </w:p>
    <w:p w14:paraId="201721B8" w14:textId="77777777" w:rsidR="00FF1D36" w:rsidRPr="001B4A02" w:rsidRDefault="00FF1D36" w:rsidP="00ED48A3"/>
    <w:p w14:paraId="32755980" w14:textId="77777777" w:rsidR="00D72725" w:rsidRPr="001B4A02" w:rsidRDefault="00000000" w:rsidP="00ED48A3">
      <w:pPr>
        <w:rPr>
          <w:u w:val="single"/>
        </w:rPr>
      </w:pPr>
      <w:r w:rsidRPr="001B4A02">
        <w:rPr>
          <w:u w:val="single"/>
        </w:rPr>
        <w:t>Alergické reakce</w:t>
      </w:r>
    </w:p>
    <w:p w14:paraId="5AF74C2E" w14:textId="77777777" w:rsidR="00D72725" w:rsidRPr="001B4A02" w:rsidRDefault="00D72725" w:rsidP="00ED48A3"/>
    <w:p w14:paraId="5C3261E4" w14:textId="77777777" w:rsidR="00FF1D36" w:rsidRPr="001B4A02" w:rsidRDefault="00000000" w:rsidP="00ED48A3">
      <w:pPr>
        <w:numPr>
          <w:ilvl w:val="0"/>
          <w:numId w:val="15"/>
        </w:numPr>
        <w:tabs>
          <w:tab w:val="clear" w:pos="720"/>
          <w:tab w:val="num" w:pos="540"/>
        </w:tabs>
        <w:ind w:left="567" w:hanging="567"/>
      </w:pPr>
      <w:r w:rsidRPr="001B4A02">
        <w:t xml:space="preserve">Jestliže se u Vás </w:t>
      </w:r>
      <w:r w:rsidR="00D72725" w:rsidRPr="001B4A02">
        <w:t xml:space="preserve">objeví </w:t>
      </w:r>
      <w:r w:rsidRPr="001B4A02">
        <w:t>alergické reakce s</w:t>
      </w:r>
      <w:r w:rsidR="00E91CB6" w:rsidRPr="001B4A02">
        <w:t> </w:t>
      </w:r>
      <w:r w:rsidRPr="001B4A02">
        <w:t>příznaky</w:t>
      </w:r>
      <w:r w:rsidR="00E91CB6" w:rsidRPr="001B4A02">
        <w:t>,</w:t>
      </w:r>
      <w:r w:rsidRPr="001B4A02">
        <w:t xml:space="preserve"> jako je pocit tíhy na hrudi, dýchavičnost, závratě, otoky nebo vyrážka, nepodávejte si další injekci přípravku Humira</w:t>
      </w:r>
      <w:r w:rsidR="002378E0">
        <w:t xml:space="preserve"> a </w:t>
      </w:r>
      <w:r w:rsidRPr="001B4A02">
        <w:t>kontaktujte ihned svého lékaře</w:t>
      </w:r>
      <w:r w:rsidR="00076CDE" w:rsidRPr="001B4A02">
        <w:t xml:space="preserve">, protože </w:t>
      </w:r>
      <w:r w:rsidR="00076CDE" w:rsidRPr="001B4A02">
        <w:rPr>
          <w:bCs/>
          <w:szCs w:val="22"/>
        </w:rPr>
        <w:t>tyto reakce mohou být ve vzácných případech život ohrožující</w:t>
      </w:r>
      <w:r w:rsidRPr="001B4A02">
        <w:t>.</w:t>
      </w:r>
    </w:p>
    <w:p w14:paraId="13E25839" w14:textId="77777777" w:rsidR="00FF1D36" w:rsidRPr="001B4A02" w:rsidRDefault="00FF1D36" w:rsidP="00ED48A3">
      <w:pPr>
        <w:tabs>
          <w:tab w:val="num" w:pos="540"/>
        </w:tabs>
      </w:pPr>
    </w:p>
    <w:p w14:paraId="6D5F47DD" w14:textId="77777777" w:rsidR="00D72725" w:rsidRPr="001B4A02" w:rsidRDefault="00000000" w:rsidP="00ED48A3">
      <w:pPr>
        <w:tabs>
          <w:tab w:val="num" w:pos="540"/>
        </w:tabs>
        <w:rPr>
          <w:u w:val="single"/>
        </w:rPr>
      </w:pPr>
      <w:r w:rsidRPr="001B4A02">
        <w:rPr>
          <w:u w:val="single"/>
        </w:rPr>
        <w:t>Infekce</w:t>
      </w:r>
    </w:p>
    <w:p w14:paraId="7B54DC39" w14:textId="77777777" w:rsidR="00D72725" w:rsidRPr="001B4A02" w:rsidRDefault="00D72725" w:rsidP="00ED48A3">
      <w:pPr>
        <w:tabs>
          <w:tab w:val="num" w:pos="540"/>
        </w:tabs>
      </w:pPr>
    </w:p>
    <w:p w14:paraId="01916920" w14:textId="77777777" w:rsidR="00FF1D36" w:rsidRPr="001B4A02" w:rsidRDefault="00000000" w:rsidP="00ED48A3">
      <w:pPr>
        <w:numPr>
          <w:ilvl w:val="0"/>
          <w:numId w:val="15"/>
        </w:numPr>
        <w:tabs>
          <w:tab w:val="clear" w:pos="720"/>
          <w:tab w:val="num" w:pos="540"/>
        </w:tabs>
        <w:ind w:left="567" w:hanging="567"/>
      </w:pPr>
      <w:r w:rsidRPr="001B4A02">
        <w:t xml:space="preserve">Jestliže máte nějakou infekci, včetně dlouhodobé </w:t>
      </w:r>
      <w:r w:rsidR="00D72725" w:rsidRPr="001B4A02">
        <w:t xml:space="preserve">infekce </w:t>
      </w:r>
      <w:r w:rsidRPr="001B4A02">
        <w:t>nebo infekce</w:t>
      </w:r>
      <w:r w:rsidR="00D72725" w:rsidRPr="001B4A02">
        <w:t xml:space="preserve"> </w:t>
      </w:r>
      <w:r w:rsidR="00AC34BF" w:rsidRPr="001B4A02">
        <w:t>postihující</w:t>
      </w:r>
      <w:r w:rsidR="00D74096" w:rsidRPr="001B4A02">
        <w:t xml:space="preserve"> </w:t>
      </w:r>
      <w:r w:rsidR="00AC34BF" w:rsidRPr="001B4A02">
        <w:t>jednu</w:t>
      </w:r>
      <w:r w:rsidR="00D72725" w:rsidRPr="001B4A02">
        <w:t xml:space="preserve"> část těla</w:t>
      </w:r>
      <w:r w:rsidRPr="001B4A02">
        <w:t xml:space="preserve"> (např</w:t>
      </w:r>
      <w:r w:rsidR="00D72725" w:rsidRPr="001B4A02">
        <w:t>íklad</w:t>
      </w:r>
      <w:r w:rsidRPr="001B4A02">
        <w:t xml:space="preserve"> bércový vřed), obraťte se před zahájením léčby přípravkem Humira na svého lékaře. Pokud si nejste jist</w:t>
      </w:r>
      <w:r w:rsidR="009E1608" w:rsidRPr="001B4A02">
        <w:t>ý</w:t>
      </w:r>
      <w:r w:rsidRPr="001B4A02">
        <w:t>(</w:t>
      </w:r>
      <w:r w:rsidR="009E1608" w:rsidRPr="001B4A02">
        <w:t>á</w:t>
      </w:r>
      <w:r w:rsidRPr="001B4A02">
        <w:t>), kontaktujte svého lékaře.</w:t>
      </w:r>
    </w:p>
    <w:p w14:paraId="427AB230" w14:textId="77777777" w:rsidR="00FF1D36" w:rsidRPr="001B4A02" w:rsidRDefault="00FF1D36" w:rsidP="00ED48A3">
      <w:pPr>
        <w:tabs>
          <w:tab w:val="num" w:pos="540"/>
        </w:tabs>
      </w:pPr>
    </w:p>
    <w:p w14:paraId="7812B2CD" w14:textId="77777777" w:rsidR="00D72725" w:rsidRPr="001B4A02" w:rsidRDefault="00000000" w:rsidP="00ED48A3">
      <w:pPr>
        <w:numPr>
          <w:ilvl w:val="0"/>
          <w:numId w:val="15"/>
        </w:numPr>
        <w:tabs>
          <w:tab w:val="clear" w:pos="720"/>
          <w:tab w:val="num" w:pos="540"/>
        </w:tabs>
        <w:ind w:left="567" w:hanging="567"/>
      </w:pPr>
      <w:r w:rsidRPr="001B4A02">
        <w:t>Při léčbě přípravkem Humira můžete být náchylnější k infekcím. Riziko může stoupat, pokud máte problémy s</w:t>
      </w:r>
      <w:r w:rsidR="004823B6" w:rsidRPr="001B4A02">
        <w:t> </w:t>
      </w:r>
      <w:r w:rsidRPr="001B4A02">
        <w:t xml:space="preserve">plícemi. Tyto infekce mohou být </w:t>
      </w:r>
      <w:r w:rsidRPr="001B4A02">
        <w:rPr>
          <w:bCs/>
          <w:szCs w:val="22"/>
        </w:rPr>
        <w:t>závažné</w:t>
      </w:r>
      <w:r w:rsidR="002378E0">
        <w:rPr>
          <w:bCs/>
          <w:szCs w:val="22"/>
        </w:rPr>
        <w:t xml:space="preserve"> a </w:t>
      </w:r>
      <w:r w:rsidRPr="001B4A02">
        <w:rPr>
          <w:bCs/>
          <w:szCs w:val="22"/>
        </w:rPr>
        <w:t>zahrnují:</w:t>
      </w:r>
    </w:p>
    <w:p w14:paraId="00626633" w14:textId="77777777" w:rsidR="00D72725" w:rsidRPr="001B4A02" w:rsidRDefault="00000000" w:rsidP="00ED48A3">
      <w:pPr>
        <w:pStyle w:val="EMEANormal"/>
        <w:numPr>
          <w:ilvl w:val="0"/>
          <w:numId w:val="102"/>
        </w:numPr>
        <w:tabs>
          <w:tab w:val="clear" w:pos="562"/>
          <w:tab w:val="left" w:pos="788"/>
        </w:tabs>
        <w:ind w:left="1134" w:hanging="567"/>
        <w:rPr>
          <w:szCs w:val="21"/>
          <w:lang w:val="cs-CZ"/>
        </w:rPr>
      </w:pPr>
      <w:r w:rsidRPr="001B4A02">
        <w:rPr>
          <w:szCs w:val="21"/>
          <w:lang w:val="cs-CZ"/>
        </w:rPr>
        <w:t>tuberkulózu</w:t>
      </w:r>
    </w:p>
    <w:p w14:paraId="59F77297" w14:textId="77777777" w:rsidR="00D72725" w:rsidRPr="001B4A02" w:rsidRDefault="00000000" w:rsidP="00ED48A3">
      <w:pPr>
        <w:pStyle w:val="EMEANormal"/>
        <w:numPr>
          <w:ilvl w:val="0"/>
          <w:numId w:val="102"/>
        </w:numPr>
        <w:tabs>
          <w:tab w:val="clear" w:pos="562"/>
          <w:tab w:val="left" w:pos="788"/>
        </w:tabs>
        <w:ind w:left="1134" w:hanging="567"/>
        <w:rPr>
          <w:szCs w:val="21"/>
          <w:lang w:val="cs-CZ"/>
        </w:rPr>
      </w:pPr>
      <w:r w:rsidRPr="001B4A02">
        <w:rPr>
          <w:szCs w:val="21"/>
          <w:lang w:val="cs-CZ"/>
        </w:rPr>
        <w:t>infekce způsobené viry, plísněmi</w:t>
      </w:r>
      <w:r w:rsidR="007C5563" w:rsidRPr="001B4A02">
        <w:rPr>
          <w:szCs w:val="21"/>
          <w:lang w:val="cs-CZ"/>
        </w:rPr>
        <w:t>,</w:t>
      </w:r>
      <w:r w:rsidRPr="001B4A02">
        <w:rPr>
          <w:szCs w:val="21"/>
          <w:lang w:val="cs-CZ"/>
        </w:rPr>
        <w:t xml:space="preserve"> parazity nebo bakteriemi</w:t>
      </w:r>
    </w:p>
    <w:p w14:paraId="04F3F050" w14:textId="77777777" w:rsidR="00D72725" w:rsidRPr="001B4A02" w:rsidRDefault="00000000" w:rsidP="00ED48A3">
      <w:pPr>
        <w:pStyle w:val="EMEANormal"/>
        <w:numPr>
          <w:ilvl w:val="0"/>
          <w:numId w:val="102"/>
        </w:numPr>
        <w:tabs>
          <w:tab w:val="clear" w:pos="562"/>
          <w:tab w:val="left" w:pos="788"/>
        </w:tabs>
        <w:ind w:left="1134" w:hanging="567"/>
        <w:rPr>
          <w:szCs w:val="21"/>
          <w:lang w:val="cs-CZ"/>
        </w:rPr>
      </w:pPr>
      <w:r w:rsidRPr="001B4A02">
        <w:rPr>
          <w:szCs w:val="21"/>
          <w:lang w:val="cs-CZ"/>
        </w:rPr>
        <w:t>závažné infekce v krvi (sepse)</w:t>
      </w:r>
    </w:p>
    <w:p w14:paraId="1D56ECAE" w14:textId="77777777" w:rsidR="008B115F" w:rsidRPr="001B4A02" w:rsidRDefault="008B115F" w:rsidP="00ED48A3">
      <w:pPr>
        <w:ind w:firstLine="0"/>
        <w:rPr>
          <w:bCs/>
          <w:szCs w:val="22"/>
        </w:rPr>
      </w:pPr>
    </w:p>
    <w:p w14:paraId="2AC28ADB" w14:textId="77777777" w:rsidR="00FF1D36" w:rsidRPr="001B4A02" w:rsidRDefault="00000000" w:rsidP="00ED48A3">
      <w:pPr>
        <w:ind w:firstLine="0"/>
      </w:pPr>
      <w:r w:rsidRPr="001B4A02">
        <w:rPr>
          <w:bCs/>
          <w:szCs w:val="22"/>
        </w:rPr>
        <w:t>Tyto infekce mohou být ve vzácných případech život ohrožující</w:t>
      </w:r>
      <w:r w:rsidRPr="001B4A02">
        <w:t>. Je důležité, abyste informoval(a) lékaře, pokud se u Vás vyskytnou příznaky</w:t>
      </w:r>
      <w:r w:rsidR="00F0754B" w:rsidRPr="001B4A02">
        <w:t>,</w:t>
      </w:r>
      <w:r w:rsidRPr="001B4A02">
        <w:t xml:space="preserve"> jako je horečka, zranění, </w:t>
      </w:r>
      <w:r w:rsidR="00077963">
        <w:t xml:space="preserve">pocit </w:t>
      </w:r>
      <w:r w:rsidR="00077963" w:rsidRPr="001B4A02">
        <w:t>únav</w:t>
      </w:r>
      <w:r w:rsidR="00077963">
        <w:t>y</w:t>
      </w:r>
      <w:r w:rsidR="00077963" w:rsidRPr="001B4A02">
        <w:t xml:space="preserve"> </w:t>
      </w:r>
      <w:r w:rsidRPr="001B4A02">
        <w:t>nebo problémy se zuby. Váš lékař Vám může říci, abyste po nějakou dobu přípravek Humira ne</w:t>
      </w:r>
      <w:r w:rsidR="00AA40BE" w:rsidRPr="001B4A02">
        <w:t>po</w:t>
      </w:r>
      <w:r w:rsidRPr="001B4A02">
        <w:t>užíval(a).</w:t>
      </w:r>
    </w:p>
    <w:p w14:paraId="0455BD84" w14:textId="77777777" w:rsidR="00FF1D36" w:rsidRPr="001B4A02" w:rsidRDefault="00FF1D36" w:rsidP="00ED48A3">
      <w:pPr>
        <w:tabs>
          <w:tab w:val="num" w:pos="540"/>
        </w:tabs>
      </w:pPr>
    </w:p>
    <w:p w14:paraId="68542F24" w14:textId="77777777" w:rsidR="00D72725" w:rsidRPr="001B4A02" w:rsidRDefault="00000000" w:rsidP="00ED48A3">
      <w:pPr>
        <w:pStyle w:val="EMEABullet2"/>
        <w:numPr>
          <w:ilvl w:val="0"/>
          <w:numId w:val="103"/>
        </w:numPr>
        <w:tabs>
          <w:tab w:val="clear" w:pos="567"/>
        </w:tabs>
        <w:rPr>
          <w:lang w:val="cs-CZ"/>
        </w:rPr>
      </w:pPr>
      <w:r w:rsidRPr="001B4A02">
        <w:rPr>
          <w:lang w:val="cs-CZ"/>
        </w:rPr>
        <w:t>Jestliže žijete v</w:t>
      </w:r>
      <w:r w:rsidR="004823B6" w:rsidRPr="001B4A02">
        <w:rPr>
          <w:lang w:val="cs-CZ"/>
        </w:rPr>
        <w:t> </w:t>
      </w:r>
      <w:r w:rsidRPr="001B4A02">
        <w:rPr>
          <w:lang w:val="cs-CZ"/>
        </w:rPr>
        <w:t>oblastech, ve kterých jsou velmi časté plísňové infekce (například histoplasmóza, kokcidioidomykóza nebo blastomykóza), nebo pokud do takových oblastí cestujete, oznamte to svému lékaři.</w:t>
      </w:r>
    </w:p>
    <w:p w14:paraId="00A16F25" w14:textId="77777777" w:rsidR="00D72725" w:rsidRPr="001B4A02" w:rsidRDefault="00D72725" w:rsidP="00ED48A3">
      <w:pPr>
        <w:pStyle w:val="EMEANormal"/>
        <w:rPr>
          <w:lang w:val="cs-CZ"/>
        </w:rPr>
      </w:pPr>
    </w:p>
    <w:p w14:paraId="4C31839B" w14:textId="77777777" w:rsidR="00D72725" w:rsidRPr="001B4A02" w:rsidRDefault="00000000" w:rsidP="00ED48A3">
      <w:pPr>
        <w:pStyle w:val="EMEABullet2"/>
        <w:numPr>
          <w:ilvl w:val="0"/>
          <w:numId w:val="103"/>
        </w:numPr>
        <w:tabs>
          <w:tab w:val="clear" w:pos="567"/>
        </w:tabs>
        <w:rPr>
          <w:lang w:val="cs-CZ"/>
        </w:rPr>
      </w:pPr>
      <w:r w:rsidRPr="001B4A02">
        <w:rPr>
          <w:lang w:val="cs-CZ"/>
        </w:rPr>
        <w:t>Jestliže trpíte opakovanými infekcemi nebo jinými stavy, které zvyšují riziko infekce, oznamte to svému lékaři.</w:t>
      </w:r>
    </w:p>
    <w:p w14:paraId="2292AEBF" w14:textId="77777777" w:rsidR="00D72725" w:rsidRPr="001B4A02" w:rsidRDefault="00D72725" w:rsidP="00ED48A3">
      <w:pPr>
        <w:pStyle w:val="EMEANormal"/>
        <w:rPr>
          <w:lang w:val="cs-CZ"/>
        </w:rPr>
      </w:pPr>
    </w:p>
    <w:p w14:paraId="7046A7BB" w14:textId="77777777" w:rsidR="00D72725" w:rsidRPr="001B4A02" w:rsidRDefault="00000000" w:rsidP="00507DAA">
      <w:pPr>
        <w:pStyle w:val="EMEABullet2"/>
        <w:numPr>
          <w:ilvl w:val="0"/>
          <w:numId w:val="103"/>
        </w:numPr>
        <w:tabs>
          <w:tab w:val="clear" w:pos="567"/>
        </w:tabs>
        <w:suppressAutoHyphens w:val="0"/>
        <w:ind w:left="714" w:hanging="357"/>
        <w:rPr>
          <w:lang w:val="cs-CZ"/>
        </w:rPr>
      </w:pPr>
      <w:r w:rsidRPr="001B4A02">
        <w:rPr>
          <w:lang w:val="cs-CZ"/>
        </w:rPr>
        <w:t>Jestliže je Vám více než 65 let, může být u</w:t>
      </w:r>
      <w:r w:rsidR="004823B6" w:rsidRPr="001B4A02">
        <w:rPr>
          <w:lang w:val="cs-CZ"/>
        </w:rPr>
        <w:t> </w:t>
      </w:r>
      <w:r w:rsidRPr="001B4A02">
        <w:rPr>
          <w:lang w:val="cs-CZ"/>
        </w:rPr>
        <w:t xml:space="preserve">Vás při </w:t>
      </w:r>
      <w:r w:rsidR="00AA40BE" w:rsidRPr="001B4A02">
        <w:rPr>
          <w:lang w:val="cs-CZ"/>
        </w:rPr>
        <w:t>po</w:t>
      </w:r>
      <w:r w:rsidRPr="001B4A02">
        <w:rPr>
          <w:lang w:val="cs-CZ"/>
        </w:rPr>
        <w:t>užívání přípravku Humira vyšší pravděpodobnost onemocnění nějakou infekcí. Vy i Váš lékař byste během léčby přípravkem Humira měli věnovat zvláštní pozornost známkám infekce. Je důležité informovat svého lékaře, jestliže se u</w:t>
      </w:r>
      <w:r w:rsidR="00507DAA" w:rsidRPr="001B4A02">
        <w:rPr>
          <w:lang w:val="cs-CZ"/>
        </w:rPr>
        <w:t> </w:t>
      </w:r>
      <w:r w:rsidRPr="001B4A02">
        <w:rPr>
          <w:lang w:val="cs-CZ"/>
        </w:rPr>
        <w:t>Vás vyskytnou příznaky infekce, například horečka, pokud jste se poranil(a), máte pocit únavy nebo problémy se zuby.</w:t>
      </w:r>
    </w:p>
    <w:p w14:paraId="619DA2AC" w14:textId="77777777" w:rsidR="00D72725" w:rsidRPr="001B4A02" w:rsidRDefault="00D72725" w:rsidP="00ED48A3">
      <w:pPr>
        <w:pStyle w:val="EMEANormal"/>
        <w:rPr>
          <w:lang w:val="cs-CZ"/>
        </w:rPr>
      </w:pPr>
    </w:p>
    <w:p w14:paraId="7776967E" w14:textId="77777777" w:rsidR="00D72725" w:rsidRPr="001B4A02" w:rsidRDefault="00000000" w:rsidP="00ED48A3">
      <w:pPr>
        <w:pStyle w:val="EMEABullet2"/>
        <w:keepNext/>
        <w:numPr>
          <w:ilvl w:val="0"/>
          <w:numId w:val="0"/>
        </w:numPr>
        <w:tabs>
          <w:tab w:val="clear" w:pos="567"/>
          <w:tab w:val="left" w:pos="0"/>
        </w:tabs>
        <w:rPr>
          <w:u w:val="single"/>
          <w:lang w:val="cs-CZ"/>
        </w:rPr>
      </w:pPr>
      <w:r w:rsidRPr="001B4A02">
        <w:rPr>
          <w:u w:val="single"/>
          <w:lang w:val="cs-CZ"/>
        </w:rPr>
        <w:t>Tuberkulóza</w:t>
      </w:r>
    </w:p>
    <w:p w14:paraId="1B786333" w14:textId="77777777" w:rsidR="00D72725" w:rsidRPr="001B4A02" w:rsidRDefault="00D72725" w:rsidP="00ED48A3">
      <w:pPr>
        <w:pStyle w:val="EMEANormal"/>
        <w:keepNext/>
        <w:rPr>
          <w:lang w:val="cs-CZ"/>
        </w:rPr>
      </w:pPr>
    </w:p>
    <w:p w14:paraId="74826614" w14:textId="77777777" w:rsidR="00D72725" w:rsidRPr="001B4A02" w:rsidRDefault="00000000" w:rsidP="00ED48A3">
      <w:pPr>
        <w:pStyle w:val="EMEABullet2"/>
        <w:numPr>
          <w:ilvl w:val="0"/>
          <w:numId w:val="103"/>
        </w:numPr>
        <w:tabs>
          <w:tab w:val="clear" w:pos="567"/>
        </w:tabs>
        <w:rPr>
          <w:lang w:val="cs-CZ"/>
        </w:rPr>
      </w:pPr>
      <w:r w:rsidRPr="001B4A02">
        <w:rPr>
          <w:lang w:val="cs-CZ"/>
        </w:rPr>
        <w:t>Je velmi důležité, abyste informoval(a) svého lékaře v</w:t>
      </w:r>
      <w:r w:rsidR="00507DAA" w:rsidRPr="001B4A02">
        <w:rPr>
          <w:lang w:val="cs-CZ"/>
        </w:rPr>
        <w:t> </w:t>
      </w:r>
      <w:r w:rsidRPr="001B4A02">
        <w:rPr>
          <w:lang w:val="cs-CZ"/>
        </w:rPr>
        <w:t>případě, že jste měl(a) tuberkulózu nebo jste byl(a) v</w:t>
      </w:r>
      <w:r w:rsidR="00507DAA" w:rsidRPr="001B4A02">
        <w:rPr>
          <w:lang w:val="cs-CZ"/>
        </w:rPr>
        <w:t> </w:t>
      </w:r>
      <w:r w:rsidRPr="001B4A02">
        <w:rPr>
          <w:lang w:val="cs-CZ"/>
        </w:rPr>
        <w:t>těsném kontaktu s</w:t>
      </w:r>
      <w:r w:rsidR="00507DAA" w:rsidRPr="001B4A02">
        <w:rPr>
          <w:lang w:val="cs-CZ"/>
        </w:rPr>
        <w:t> </w:t>
      </w:r>
      <w:r w:rsidRPr="001B4A02">
        <w:rPr>
          <w:lang w:val="cs-CZ"/>
        </w:rPr>
        <w:t>někým, kdo měl tuberkulózu. Jestliže máte aktivní tuberkulózu, přípravek Humira ne</w:t>
      </w:r>
      <w:r w:rsidR="00AA40BE" w:rsidRPr="001B4A02">
        <w:rPr>
          <w:lang w:val="cs-CZ"/>
        </w:rPr>
        <w:t>po</w:t>
      </w:r>
      <w:r w:rsidRPr="001B4A02">
        <w:rPr>
          <w:lang w:val="cs-CZ"/>
        </w:rPr>
        <w:t>užívejte.</w:t>
      </w:r>
    </w:p>
    <w:p w14:paraId="49930334" w14:textId="77777777" w:rsidR="00D72725" w:rsidRPr="001B4A02" w:rsidRDefault="00D72725" w:rsidP="00ED48A3">
      <w:pPr>
        <w:tabs>
          <w:tab w:val="num" w:pos="540"/>
        </w:tabs>
      </w:pPr>
    </w:p>
    <w:p w14:paraId="27EEB823" w14:textId="77777777" w:rsidR="00D72725" w:rsidRPr="001B4A02" w:rsidRDefault="00000000" w:rsidP="00ED48A3">
      <w:pPr>
        <w:numPr>
          <w:ilvl w:val="0"/>
          <w:numId w:val="15"/>
        </w:numPr>
        <w:tabs>
          <w:tab w:val="clear" w:pos="720"/>
          <w:tab w:val="num" w:pos="786"/>
          <w:tab w:val="left" w:pos="1276"/>
        </w:tabs>
        <w:ind w:left="1276" w:hanging="567"/>
      </w:pPr>
      <w:r w:rsidRPr="001B4A02">
        <w:t>Protože u pacientů léčených přípravkem Humira byly hlášeny případy tuberkulózy, před zahájením léčby přípravkem Humira Vás lékař vyšetří, zda se příznaky tohoto onemocnění u Vás nevyskytly. To znamená, že u</w:t>
      </w:r>
      <w:r w:rsidR="00A02FA4" w:rsidRPr="001B4A02">
        <w:t> </w:t>
      </w:r>
      <w:r w:rsidRPr="001B4A02">
        <w:t>Vás podrobně zhodnotí dříve prodělaná onemocnění, provede potřebná kontrolní vyšetření (například rentgen hrudníku</w:t>
      </w:r>
      <w:r w:rsidR="002378E0">
        <w:t xml:space="preserve"> a </w:t>
      </w:r>
      <w:r w:rsidRPr="001B4A02">
        <w:t>tuberkulinový test). Provedení těchto vyšetření</w:t>
      </w:r>
      <w:r w:rsidR="002378E0">
        <w:t xml:space="preserve"> a </w:t>
      </w:r>
      <w:r w:rsidRPr="001B4A02">
        <w:t xml:space="preserve">jejich výsledky zaznamená do Vaší </w:t>
      </w:r>
      <w:r w:rsidRPr="001B4A02">
        <w:rPr>
          <w:b/>
        </w:rPr>
        <w:t>informační kartičky</w:t>
      </w:r>
      <w:r w:rsidR="00DD1650">
        <w:t>.</w:t>
      </w:r>
    </w:p>
    <w:p w14:paraId="0C1ACCD1" w14:textId="77777777" w:rsidR="00D72725" w:rsidRPr="001B4A02" w:rsidRDefault="00000000" w:rsidP="00ED48A3">
      <w:pPr>
        <w:numPr>
          <w:ilvl w:val="0"/>
          <w:numId w:val="15"/>
        </w:numPr>
        <w:tabs>
          <w:tab w:val="clear" w:pos="720"/>
          <w:tab w:val="num" w:pos="786"/>
          <w:tab w:val="left" w:pos="1276"/>
        </w:tabs>
        <w:ind w:left="1276" w:hanging="567"/>
      </w:pPr>
      <w:r w:rsidRPr="001B4A02">
        <w:t>Tuberkulóza se může vyvinout během léčby,</w:t>
      </w:r>
      <w:r w:rsidR="002378E0">
        <w:t xml:space="preserve"> a </w:t>
      </w:r>
      <w:r w:rsidRPr="001B4A02">
        <w:t>to i v případě, že jste dostával(a) nebo dostáváte léky na prevenci tuberkulózy.</w:t>
      </w:r>
    </w:p>
    <w:p w14:paraId="7B3026F1" w14:textId="77777777" w:rsidR="00FF1D36" w:rsidRPr="001B4A02" w:rsidRDefault="00000000" w:rsidP="00ED48A3">
      <w:pPr>
        <w:numPr>
          <w:ilvl w:val="0"/>
          <w:numId w:val="15"/>
        </w:numPr>
        <w:tabs>
          <w:tab w:val="clear" w:pos="720"/>
          <w:tab w:val="num" w:pos="786"/>
          <w:tab w:val="left" w:pos="1276"/>
        </w:tabs>
        <w:ind w:left="1276" w:hanging="567"/>
      </w:pPr>
      <w:r w:rsidRPr="001B4A02">
        <w:t>Pokud se u Vás objeví příznaky tuberkulózy (</w:t>
      </w:r>
      <w:r w:rsidR="00E12C0D" w:rsidRPr="001B4A02">
        <w:t xml:space="preserve">například </w:t>
      </w:r>
      <w:r w:rsidRPr="001B4A02">
        <w:t xml:space="preserve">kašel, </w:t>
      </w:r>
      <w:r w:rsidR="00E12C0D" w:rsidRPr="001B4A02">
        <w:t xml:space="preserve">který neustupuje, </w:t>
      </w:r>
      <w:r w:rsidRPr="001B4A02">
        <w:t xml:space="preserve">úbytek na </w:t>
      </w:r>
      <w:r w:rsidR="007C5563" w:rsidRPr="001B4A02">
        <w:t>hmotnosti</w:t>
      </w:r>
      <w:r w:rsidRPr="001B4A02">
        <w:t xml:space="preserve">, </w:t>
      </w:r>
      <w:r w:rsidR="00E12C0D" w:rsidRPr="001B4A02">
        <w:t>ztráta energie</w:t>
      </w:r>
      <w:r w:rsidRPr="001B4A02">
        <w:t>, mírná horečka), nebo se během léčby i po léčbě objeví jiná infekce</w:t>
      </w:r>
      <w:r w:rsidR="00507DAA" w:rsidRPr="001B4A02">
        <w:t>, sdělte to ihned svému lékaři.</w:t>
      </w:r>
    </w:p>
    <w:p w14:paraId="0152F486" w14:textId="77777777" w:rsidR="00FF1D36" w:rsidRPr="001B4A02" w:rsidRDefault="00FF1D36" w:rsidP="00ED48A3">
      <w:pPr>
        <w:ind w:left="0" w:firstLine="0"/>
      </w:pPr>
    </w:p>
    <w:p w14:paraId="667B6DA7" w14:textId="77777777" w:rsidR="00E12C0D" w:rsidRPr="001B4A02" w:rsidRDefault="00000000" w:rsidP="00ED48A3">
      <w:pPr>
        <w:rPr>
          <w:u w:val="single"/>
        </w:rPr>
      </w:pPr>
      <w:r w:rsidRPr="001B4A02">
        <w:rPr>
          <w:u w:val="single"/>
        </w:rPr>
        <w:t>Hepatitida B</w:t>
      </w:r>
    </w:p>
    <w:p w14:paraId="282A899F" w14:textId="77777777" w:rsidR="00E12C0D" w:rsidRPr="001B4A02" w:rsidRDefault="00E12C0D" w:rsidP="00ED48A3"/>
    <w:p w14:paraId="02EE5190" w14:textId="77777777" w:rsidR="00E12C0D" w:rsidRDefault="00000000" w:rsidP="00ED48A3">
      <w:r w:rsidRPr="001B4A02">
        <w:rPr>
          <w:rFonts w:ascii="Symbol" w:hAnsi="Symbol"/>
        </w:rPr>
        <w:sym w:font="Symbol" w:char="F0B7"/>
      </w:r>
      <w:r w:rsidRPr="001B4A02">
        <w:tab/>
        <w:t>Jestliže jste nositelem viru hepatitidy typu B (HBV), jestliže máte aktivní HBV infekci nebo si myslíte, že byste mohl</w:t>
      </w:r>
      <w:r w:rsidR="00B724C3" w:rsidRPr="001B4A02">
        <w:t>(a)</w:t>
      </w:r>
      <w:r w:rsidRPr="001B4A02">
        <w:t xml:space="preserve"> být </w:t>
      </w:r>
      <w:r w:rsidR="00B724C3" w:rsidRPr="001B4A02">
        <w:t xml:space="preserve">ohrožen(a) </w:t>
      </w:r>
      <w:r w:rsidRPr="001B4A02">
        <w:t>infekcí HBV, řekněte to svému lékaři.</w:t>
      </w:r>
    </w:p>
    <w:p w14:paraId="0BBBA8A7" w14:textId="77777777" w:rsidR="00793BE4" w:rsidRPr="001B4A02" w:rsidRDefault="00793BE4" w:rsidP="00ED48A3"/>
    <w:p w14:paraId="3941D002" w14:textId="77777777" w:rsidR="00E12C0D" w:rsidRPr="001B4A02" w:rsidRDefault="00000000" w:rsidP="00ED48A3">
      <w:pPr>
        <w:numPr>
          <w:ilvl w:val="0"/>
          <w:numId w:val="15"/>
        </w:numPr>
        <w:tabs>
          <w:tab w:val="clear" w:pos="720"/>
          <w:tab w:val="num" w:pos="786"/>
          <w:tab w:val="left" w:pos="1276"/>
        </w:tabs>
        <w:ind w:left="1276" w:hanging="567"/>
      </w:pPr>
      <w:r w:rsidRPr="001B4A02">
        <w:t xml:space="preserve">Váš lékař Vás na infekci HBV vyšetří. </w:t>
      </w:r>
      <w:r w:rsidR="004E2192" w:rsidRPr="001B4A02">
        <w:t xml:space="preserve">Přípravek </w:t>
      </w:r>
      <w:r w:rsidRPr="001B4A02">
        <w:t xml:space="preserve">Humira může u lidí, kteří jsou nositeli HBV, způsobovat opětovnou aktivaci viru. </w:t>
      </w:r>
    </w:p>
    <w:p w14:paraId="2CD5B62F" w14:textId="77777777" w:rsidR="00FF1D36" w:rsidRPr="001B4A02" w:rsidRDefault="00000000" w:rsidP="00ED48A3">
      <w:pPr>
        <w:numPr>
          <w:ilvl w:val="0"/>
          <w:numId w:val="15"/>
        </w:numPr>
        <w:tabs>
          <w:tab w:val="clear" w:pos="720"/>
          <w:tab w:val="num" w:pos="786"/>
          <w:tab w:val="left" w:pos="1276"/>
        </w:tabs>
        <w:ind w:left="1276" w:hanging="567"/>
      </w:pPr>
      <w:r w:rsidRPr="001B4A02">
        <w:t xml:space="preserve">V některých </w:t>
      </w:r>
      <w:r w:rsidR="00E12C0D" w:rsidRPr="001B4A02">
        <w:t xml:space="preserve">vzácných </w:t>
      </w:r>
      <w:r w:rsidRPr="001B4A02">
        <w:t>případech, zvláště pokud berete jiné léky k potlačení imunitního systému, může být reaktivace viru HBV život ohrožující.</w:t>
      </w:r>
    </w:p>
    <w:p w14:paraId="1DBAEEFC" w14:textId="77777777" w:rsidR="00FF1D36" w:rsidRPr="001B4A02" w:rsidRDefault="00FF1D36" w:rsidP="00ED48A3"/>
    <w:p w14:paraId="276EFF15" w14:textId="77777777" w:rsidR="00E12C0D" w:rsidRPr="001B4A02" w:rsidRDefault="00000000" w:rsidP="00ED48A3">
      <w:pPr>
        <w:rPr>
          <w:u w:val="single"/>
        </w:rPr>
      </w:pPr>
      <w:r w:rsidRPr="001B4A02">
        <w:rPr>
          <w:u w:val="single"/>
        </w:rPr>
        <w:t>Operace</w:t>
      </w:r>
      <w:r w:rsidR="006B0663" w:rsidRPr="001B4A02">
        <w:rPr>
          <w:u w:val="single"/>
        </w:rPr>
        <w:t xml:space="preserve"> nebo stomatologický zákrok</w:t>
      </w:r>
    </w:p>
    <w:p w14:paraId="683C91AF" w14:textId="77777777" w:rsidR="00E12C0D" w:rsidRPr="001B4A02" w:rsidRDefault="00E12C0D" w:rsidP="00ED48A3"/>
    <w:p w14:paraId="76ADC43B" w14:textId="77777777" w:rsidR="00FF1D36" w:rsidRPr="001B4A02" w:rsidRDefault="00000000" w:rsidP="00ED48A3">
      <w:pPr>
        <w:pStyle w:val="EndnoteText"/>
        <w:numPr>
          <w:ilvl w:val="1"/>
          <w:numId w:val="15"/>
        </w:numPr>
        <w:tabs>
          <w:tab w:val="clear" w:pos="1440"/>
          <w:tab w:val="num" w:pos="567"/>
        </w:tabs>
        <w:ind w:left="567" w:hanging="567"/>
        <w:rPr>
          <w:lang w:val="cs-CZ"/>
        </w:rPr>
      </w:pPr>
      <w:r w:rsidRPr="001B4A02">
        <w:rPr>
          <w:lang w:val="cs-CZ"/>
        </w:rPr>
        <w:t xml:space="preserve">Pokud Vám má být provedena operace nebo stomatologický </w:t>
      </w:r>
      <w:r w:rsidR="006B0663" w:rsidRPr="001B4A02">
        <w:rPr>
          <w:lang w:val="cs-CZ"/>
        </w:rPr>
        <w:t>zákrok</w:t>
      </w:r>
      <w:r w:rsidRPr="001B4A02">
        <w:rPr>
          <w:lang w:val="cs-CZ"/>
        </w:rPr>
        <w:t>, informujte, prosím, svého lékaře, že jste léčen(a) přípravkem Humira. Váš lékař může doporučit dočasné přerušení léčby přípravkem Humira.</w:t>
      </w:r>
    </w:p>
    <w:p w14:paraId="034E0D97" w14:textId="77777777" w:rsidR="00FF1D36" w:rsidRPr="001B4A02" w:rsidRDefault="00FF1D36" w:rsidP="00ED48A3">
      <w:pPr>
        <w:tabs>
          <w:tab w:val="num" w:pos="540"/>
        </w:tabs>
      </w:pPr>
    </w:p>
    <w:p w14:paraId="646BFA99" w14:textId="77777777" w:rsidR="00E12C0D" w:rsidRPr="001B4A02" w:rsidRDefault="00000000" w:rsidP="00ED48A3">
      <w:pPr>
        <w:tabs>
          <w:tab w:val="num" w:pos="540"/>
        </w:tabs>
        <w:rPr>
          <w:u w:val="single"/>
        </w:rPr>
      </w:pPr>
      <w:r w:rsidRPr="001B4A02">
        <w:rPr>
          <w:u w:val="single"/>
        </w:rPr>
        <w:t>Demyelinizační onemocnění</w:t>
      </w:r>
    </w:p>
    <w:p w14:paraId="1D79A7E3" w14:textId="77777777" w:rsidR="00E12C0D" w:rsidRPr="001B4A02" w:rsidRDefault="00E12C0D" w:rsidP="00ED48A3">
      <w:pPr>
        <w:tabs>
          <w:tab w:val="num" w:pos="540"/>
        </w:tabs>
      </w:pPr>
    </w:p>
    <w:p w14:paraId="5F2A73F3" w14:textId="77777777" w:rsidR="00FF1D36" w:rsidRPr="001B4A02" w:rsidRDefault="00000000" w:rsidP="00ED48A3">
      <w:pPr>
        <w:numPr>
          <w:ilvl w:val="0"/>
          <w:numId w:val="15"/>
        </w:numPr>
        <w:tabs>
          <w:tab w:val="clear" w:pos="720"/>
          <w:tab w:val="num" w:pos="540"/>
        </w:tabs>
        <w:ind w:left="567" w:hanging="567"/>
      </w:pPr>
      <w:r w:rsidRPr="001B4A02">
        <w:t>Jestliže máte demyelinizační onemocnění</w:t>
      </w:r>
      <w:r w:rsidR="006B0663" w:rsidRPr="001B4A02">
        <w:t xml:space="preserve"> (onemocnění, které postihuje ochrannou vrstvu nervů, jako je roztroušená skleróza)</w:t>
      </w:r>
      <w:r w:rsidR="00B102AD" w:rsidRPr="001B4A02">
        <w:t xml:space="preserve">, </w:t>
      </w:r>
      <w:r w:rsidRPr="001B4A02">
        <w:t>lékař určí, zda můžete být léčen(a) přípravkem Humira.</w:t>
      </w:r>
      <w:r w:rsidR="00B102AD" w:rsidRPr="001B4A02">
        <w:t xml:space="preserve"> Pokud se</w:t>
      </w:r>
      <w:r w:rsidR="00B12121" w:rsidRPr="001B4A02">
        <w:t xml:space="preserve"> u </w:t>
      </w:r>
      <w:r w:rsidR="00982002" w:rsidRPr="001B4A02">
        <w:t>V</w:t>
      </w:r>
      <w:r w:rsidR="00B102AD" w:rsidRPr="001B4A02">
        <w:t xml:space="preserve">ás objeví některé příznaky, například změny vidění, slabost rukou nebo nohou či </w:t>
      </w:r>
      <w:r w:rsidR="002746D0" w:rsidRPr="001B4A02">
        <w:t>znecitlivění</w:t>
      </w:r>
      <w:r w:rsidR="00B102AD" w:rsidRPr="001B4A02">
        <w:t xml:space="preserve"> nebo brnění v některé části těla, musíte o</w:t>
      </w:r>
      <w:r w:rsidR="00063784" w:rsidRPr="001B4A02">
        <w:t> </w:t>
      </w:r>
      <w:r w:rsidR="00B102AD" w:rsidRPr="001B4A02">
        <w:t xml:space="preserve">tom </w:t>
      </w:r>
      <w:r w:rsidR="00982002" w:rsidRPr="001B4A02">
        <w:t>V</w:t>
      </w:r>
      <w:r w:rsidR="00B102AD" w:rsidRPr="001B4A02">
        <w:t>ašeho lékaře neprodleně informovat.</w:t>
      </w:r>
    </w:p>
    <w:p w14:paraId="7AAF0BDD" w14:textId="77777777" w:rsidR="00FF1D36" w:rsidRPr="001B4A02" w:rsidRDefault="00FF1D36" w:rsidP="00ED48A3">
      <w:pPr>
        <w:tabs>
          <w:tab w:val="num" w:pos="540"/>
        </w:tabs>
      </w:pPr>
    </w:p>
    <w:p w14:paraId="28670E47" w14:textId="77777777" w:rsidR="00E12C0D" w:rsidRPr="001B4A02" w:rsidRDefault="00000000" w:rsidP="00ED48A3">
      <w:pPr>
        <w:tabs>
          <w:tab w:val="num" w:pos="540"/>
        </w:tabs>
        <w:rPr>
          <w:u w:val="single"/>
        </w:rPr>
      </w:pPr>
      <w:r w:rsidRPr="001B4A02">
        <w:rPr>
          <w:u w:val="single"/>
        </w:rPr>
        <w:t>Očkování</w:t>
      </w:r>
    </w:p>
    <w:p w14:paraId="149B9057" w14:textId="77777777" w:rsidR="00E12C0D" w:rsidRPr="001B4A02" w:rsidRDefault="00E12C0D" w:rsidP="00ED48A3">
      <w:pPr>
        <w:tabs>
          <w:tab w:val="num" w:pos="540"/>
        </w:tabs>
      </w:pPr>
    </w:p>
    <w:p w14:paraId="2EFD0537" w14:textId="77777777" w:rsidR="00E12C0D" w:rsidRDefault="00000000" w:rsidP="00ED48A3">
      <w:pPr>
        <w:numPr>
          <w:ilvl w:val="0"/>
          <w:numId w:val="15"/>
        </w:numPr>
        <w:tabs>
          <w:tab w:val="clear" w:pos="720"/>
          <w:tab w:val="num" w:pos="540"/>
        </w:tabs>
        <w:ind w:left="567" w:hanging="567"/>
      </w:pPr>
      <w:r w:rsidRPr="001B4A02">
        <w:t>Během léčby přípravkem Humira nesmíte dostat určité očkovací látky, které by mohly vyvolat vznik infekce</w:t>
      </w:r>
      <w:r w:rsidR="00063784" w:rsidRPr="001B4A02">
        <w:t>.</w:t>
      </w:r>
    </w:p>
    <w:p w14:paraId="3BBDDDE1" w14:textId="77777777" w:rsidR="00793BE4" w:rsidRPr="001B4A02" w:rsidRDefault="00793BE4" w:rsidP="00BA0A72">
      <w:pPr>
        <w:ind w:left="0" w:firstLine="0"/>
      </w:pPr>
    </w:p>
    <w:p w14:paraId="7DF5E4D7" w14:textId="77777777" w:rsidR="00E12C0D" w:rsidRPr="001B4A02" w:rsidRDefault="00000000" w:rsidP="00ED48A3">
      <w:pPr>
        <w:numPr>
          <w:ilvl w:val="0"/>
          <w:numId w:val="15"/>
        </w:numPr>
        <w:tabs>
          <w:tab w:val="clear" w:pos="720"/>
          <w:tab w:val="num" w:pos="786"/>
          <w:tab w:val="left" w:pos="1276"/>
        </w:tabs>
        <w:ind w:left="1276" w:hanging="567"/>
      </w:pPr>
      <w:r w:rsidRPr="001B4A02">
        <w:t>D</w:t>
      </w:r>
      <w:r w:rsidR="00FF1D36" w:rsidRPr="001B4A02">
        <w:t>omluvte se se svým lékařem o</w:t>
      </w:r>
      <w:r w:rsidR="00F46CFA" w:rsidRPr="001B4A02">
        <w:t> </w:t>
      </w:r>
      <w:r w:rsidR="00FF1D36" w:rsidRPr="001B4A02">
        <w:t xml:space="preserve">možnosti očkování ještě </w:t>
      </w:r>
      <w:r w:rsidR="00063784" w:rsidRPr="001B4A02">
        <w:t>předtím, než budete očkován(a).</w:t>
      </w:r>
    </w:p>
    <w:p w14:paraId="5D58FFB8" w14:textId="77777777" w:rsidR="00E12C0D" w:rsidRPr="001B4A02" w:rsidRDefault="00000000" w:rsidP="00ED48A3">
      <w:pPr>
        <w:numPr>
          <w:ilvl w:val="0"/>
          <w:numId w:val="15"/>
        </w:numPr>
        <w:tabs>
          <w:tab w:val="clear" w:pos="720"/>
          <w:tab w:val="num" w:pos="786"/>
          <w:tab w:val="left" w:pos="1276"/>
        </w:tabs>
        <w:ind w:left="1276" w:hanging="567"/>
      </w:pPr>
      <w:r w:rsidRPr="001B4A02">
        <w:t xml:space="preserve">Doporučuje se, aby </w:t>
      </w:r>
      <w:r w:rsidR="00635E3F" w:rsidRPr="001B4A02">
        <w:t>dětští pacien</w:t>
      </w:r>
      <w:r w:rsidR="001C0166" w:rsidRPr="001B4A02">
        <w:t>t</w:t>
      </w:r>
      <w:r w:rsidR="00635E3F" w:rsidRPr="001B4A02">
        <w:t>i</w:t>
      </w:r>
      <w:r w:rsidRPr="001B4A02">
        <w:t xml:space="preserve"> absolvoval</w:t>
      </w:r>
      <w:r w:rsidR="00635E3F" w:rsidRPr="001B4A02">
        <w:t>i</w:t>
      </w:r>
      <w:r w:rsidRPr="001B4A02">
        <w:t xml:space="preserve"> pokud možno </w:t>
      </w:r>
      <w:r w:rsidR="006B0663" w:rsidRPr="001B4A02">
        <w:t>všechna naplánovaná očkování odpovídající jejich věku před zahájením léčby přípravkem Humira</w:t>
      </w:r>
      <w:r w:rsidR="00063784" w:rsidRPr="001B4A02">
        <w:t>.</w:t>
      </w:r>
    </w:p>
    <w:p w14:paraId="3A571A2C" w14:textId="77777777" w:rsidR="00FF1D36" w:rsidRPr="001B4A02" w:rsidRDefault="00000000" w:rsidP="00ED48A3">
      <w:pPr>
        <w:numPr>
          <w:ilvl w:val="0"/>
          <w:numId w:val="15"/>
        </w:numPr>
        <w:tabs>
          <w:tab w:val="clear" w:pos="720"/>
          <w:tab w:val="num" w:pos="786"/>
          <w:tab w:val="left" w:pos="1276"/>
        </w:tabs>
        <w:ind w:left="1276" w:hanging="567"/>
      </w:pPr>
      <w:r w:rsidRPr="001B4A02">
        <w:t xml:space="preserve">Pokud jste přípravek Humira </w:t>
      </w:r>
      <w:r w:rsidR="00781AEE" w:rsidRPr="001B4A02">
        <w:t>po</w:t>
      </w:r>
      <w:r w:rsidRPr="001B4A02">
        <w:t xml:space="preserve">užívala během těhotenství, může být Vaše dítě náchylnější k infekcím po dobu přibližně pěti měsíců poté, co jste dostala poslední dávku přípravku </w:t>
      </w:r>
      <w:r w:rsidR="00E12C0D" w:rsidRPr="001B4A02">
        <w:t xml:space="preserve">Humira </w:t>
      </w:r>
      <w:r w:rsidRPr="001B4A02">
        <w:t>v</w:t>
      </w:r>
      <w:r w:rsidR="000928E6" w:rsidRPr="001B4A02">
        <w:t> </w:t>
      </w:r>
      <w:r w:rsidRPr="001B4A02">
        <w:t>průběhu těhotenství. Je důležité, abyste oznámila lékaři Vašeho dítěte</w:t>
      </w:r>
      <w:r w:rsidR="002378E0">
        <w:t xml:space="preserve"> a </w:t>
      </w:r>
      <w:r w:rsidRPr="001B4A02">
        <w:t>jiným zdravotnickým pracovníkům, že Vám byl přípravek Humira v těhotenství podáván, aby se na základě této informace mohli rozhodnout, kdy je vhodné Vaše dítě očkovat.</w:t>
      </w:r>
    </w:p>
    <w:p w14:paraId="3A93EC24" w14:textId="77777777" w:rsidR="00FF1D36" w:rsidRPr="001B4A02" w:rsidRDefault="00FF1D36" w:rsidP="00ED48A3">
      <w:pPr>
        <w:tabs>
          <w:tab w:val="num" w:pos="540"/>
        </w:tabs>
      </w:pPr>
    </w:p>
    <w:p w14:paraId="57D6F8F8" w14:textId="77777777" w:rsidR="00E12C0D" w:rsidRPr="001B4A02" w:rsidRDefault="00000000" w:rsidP="00B20827">
      <w:pPr>
        <w:keepNext/>
        <w:tabs>
          <w:tab w:val="num" w:pos="540"/>
        </w:tabs>
        <w:rPr>
          <w:u w:val="single"/>
        </w:rPr>
      </w:pPr>
      <w:r w:rsidRPr="001B4A02">
        <w:rPr>
          <w:u w:val="single"/>
        </w:rPr>
        <w:t>Srdeční selhání</w:t>
      </w:r>
    </w:p>
    <w:p w14:paraId="6D1A1E67" w14:textId="77777777" w:rsidR="00E12C0D" w:rsidRPr="001B4A02" w:rsidRDefault="00E12C0D" w:rsidP="00B20827">
      <w:pPr>
        <w:keepNext/>
        <w:tabs>
          <w:tab w:val="num" w:pos="540"/>
        </w:tabs>
      </w:pPr>
    </w:p>
    <w:p w14:paraId="1E0D4D3B" w14:textId="77777777" w:rsidR="00FF1D36" w:rsidRPr="001B4A02" w:rsidRDefault="00000000" w:rsidP="002A01B7">
      <w:pPr>
        <w:numPr>
          <w:ilvl w:val="0"/>
          <w:numId w:val="15"/>
        </w:numPr>
        <w:tabs>
          <w:tab w:val="clear" w:pos="720"/>
        </w:tabs>
        <w:ind w:left="567" w:hanging="567"/>
      </w:pPr>
      <w:r w:rsidRPr="001B4A02">
        <w:t>Pokud se u Vás vyskytuje mírné srdeční selhávání</w:t>
      </w:r>
      <w:r w:rsidR="002378E0">
        <w:t xml:space="preserve"> a </w:t>
      </w:r>
      <w:r w:rsidRPr="001B4A02">
        <w:t>jste léčen(a) přípravkem Humira, musí být lékařem pečlivě sledován stav Vašeho srdce. Je důležité, abyste sdělil(a) svému lékaři, že se u Vás vyskytly nebo se v současné době vyskytují závažné problémy se srdcem. Pokud se u Vás vyskytnou nové nebo se zhorší již stávající známky srdečního selhávání (např. dýchavičnost nebo otoky dolních končetin), musíte ihned kontaktovat svého lékaře. Váš lékař rozhodne, zda máte používat přípravek Humira</w:t>
      </w:r>
      <w:r w:rsidR="00063784" w:rsidRPr="001B4A02">
        <w:t>.</w:t>
      </w:r>
    </w:p>
    <w:p w14:paraId="7F5894FD" w14:textId="77777777" w:rsidR="00F77FEE" w:rsidRPr="001B4A02" w:rsidRDefault="00F77FEE" w:rsidP="00ED48A3"/>
    <w:p w14:paraId="0458B5D6" w14:textId="77777777" w:rsidR="002A01B7" w:rsidRPr="001B4A02" w:rsidRDefault="00000000" w:rsidP="002A01B7">
      <w:pPr>
        <w:tabs>
          <w:tab w:val="left" w:pos="1276"/>
        </w:tabs>
        <w:rPr>
          <w:u w:val="single"/>
        </w:rPr>
      </w:pPr>
      <w:r w:rsidRPr="001B4A02">
        <w:rPr>
          <w:u w:val="single"/>
        </w:rPr>
        <w:t>Horečka, modřiny</w:t>
      </w:r>
      <w:r w:rsidR="003A2C15">
        <w:rPr>
          <w:u w:val="single"/>
        </w:rPr>
        <w:t>, krvácení</w:t>
      </w:r>
      <w:r w:rsidRPr="001B4A02">
        <w:rPr>
          <w:u w:val="single"/>
        </w:rPr>
        <w:t xml:space="preserve"> nebo bledost</w:t>
      </w:r>
    </w:p>
    <w:p w14:paraId="5A447309" w14:textId="77777777" w:rsidR="002A01B7" w:rsidRPr="001B4A02" w:rsidRDefault="002A01B7" w:rsidP="00ED48A3"/>
    <w:p w14:paraId="0EFE0520" w14:textId="77777777" w:rsidR="00FF1D36" w:rsidRPr="001B4A02" w:rsidRDefault="00000000" w:rsidP="007C5EA6">
      <w:pPr>
        <w:numPr>
          <w:ilvl w:val="0"/>
          <w:numId w:val="255"/>
        </w:numPr>
        <w:ind w:left="567" w:hanging="567"/>
      </w:pPr>
      <w:r w:rsidRPr="001B4A02">
        <w:rPr>
          <w:bCs/>
          <w:szCs w:val="22"/>
        </w:rPr>
        <w:t>U některých pacientů nemusí tělo vytvářet dostatek kr</w:t>
      </w:r>
      <w:r w:rsidR="00C670F4" w:rsidRPr="001B4A02">
        <w:rPr>
          <w:bCs/>
          <w:szCs w:val="22"/>
        </w:rPr>
        <w:t>vinek</w:t>
      </w:r>
      <w:r w:rsidRPr="001B4A02">
        <w:rPr>
          <w:bCs/>
          <w:szCs w:val="22"/>
        </w:rPr>
        <w:t>, které bojují</w:t>
      </w:r>
      <w:r w:rsidR="00BF5B99" w:rsidRPr="001B4A02">
        <w:rPr>
          <w:bCs/>
          <w:szCs w:val="22"/>
        </w:rPr>
        <w:t xml:space="preserve"> </w:t>
      </w:r>
      <w:r w:rsidRPr="001B4A02">
        <w:rPr>
          <w:bCs/>
          <w:szCs w:val="22"/>
        </w:rPr>
        <w:t>s infekcemi nebo pomáhají zastavit krvácení. Váš lékař se může rozhodnout ukončit léčbu. Jestliže máte horečku, která neodeznívá, modřiny nebo snadno krvácí</w:t>
      </w:r>
      <w:r w:rsidR="00B2623D" w:rsidRPr="001B4A02">
        <w:rPr>
          <w:bCs/>
          <w:szCs w:val="22"/>
        </w:rPr>
        <w:t>te</w:t>
      </w:r>
      <w:r w:rsidRPr="001B4A02">
        <w:rPr>
          <w:bCs/>
          <w:szCs w:val="22"/>
        </w:rPr>
        <w:t>, případně jste velmi bledý</w:t>
      </w:r>
      <w:r w:rsidR="00B2623D" w:rsidRPr="001B4A02">
        <w:rPr>
          <w:bCs/>
          <w:szCs w:val="22"/>
        </w:rPr>
        <w:t>(</w:t>
      </w:r>
      <w:r w:rsidRPr="001B4A02">
        <w:rPr>
          <w:bCs/>
          <w:szCs w:val="22"/>
        </w:rPr>
        <w:t>á</w:t>
      </w:r>
      <w:r w:rsidR="00B2623D" w:rsidRPr="001B4A02">
        <w:rPr>
          <w:bCs/>
          <w:szCs w:val="22"/>
        </w:rPr>
        <w:t>)</w:t>
      </w:r>
      <w:r w:rsidRPr="001B4A02">
        <w:rPr>
          <w:bCs/>
          <w:szCs w:val="22"/>
        </w:rPr>
        <w:t>, ihned se spojte s lékařem.</w:t>
      </w:r>
    </w:p>
    <w:p w14:paraId="421762D5" w14:textId="77777777" w:rsidR="00FF1D36" w:rsidRPr="001B4A02" w:rsidRDefault="00FF1D36" w:rsidP="00ED48A3">
      <w:pPr>
        <w:ind w:left="0" w:firstLine="0"/>
      </w:pPr>
    </w:p>
    <w:p w14:paraId="163766CA" w14:textId="77777777" w:rsidR="00E12C0D" w:rsidRPr="001B4A02" w:rsidRDefault="00000000" w:rsidP="00ED48A3">
      <w:pPr>
        <w:ind w:left="0" w:firstLine="0"/>
        <w:rPr>
          <w:u w:val="single"/>
        </w:rPr>
      </w:pPr>
      <w:r w:rsidRPr="001B4A02">
        <w:rPr>
          <w:u w:val="single"/>
        </w:rPr>
        <w:t>Rakovina</w:t>
      </w:r>
    </w:p>
    <w:p w14:paraId="666F0BF4" w14:textId="77777777" w:rsidR="00E12C0D" w:rsidRPr="001B4A02" w:rsidRDefault="00E12C0D" w:rsidP="00ED48A3">
      <w:pPr>
        <w:ind w:left="0" w:firstLine="0"/>
      </w:pPr>
    </w:p>
    <w:p w14:paraId="4D2A6ECD" w14:textId="77777777" w:rsidR="00E12C0D" w:rsidRPr="001B4A02" w:rsidRDefault="00000000" w:rsidP="00ED48A3">
      <w:pPr>
        <w:pStyle w:val="EndnoteText"/>
        <w:numPr>
          <w:ilvl w:val="0"/>
          <w:numId w:val="8"/>
        </w:numPr>
        <w:tabs>
          <w:tab w:val="clear" w:pos="720"/>
          <w:tab w:val="num" w:pos="0"/>
        </w:tabs>
        <w:ind w:left="567" w:hanging="567"/>
        <w:rPr>
          <w:bCs/>
          <w:szCs w:val="22"/>
          <w:lang w:val="cs-CZ"/>
        </w:rPr>
      </w:pPr>
      <w:r w:rsidRPr="001B4A02">
        <w:rPr>
          <w:bCs/>
          <w:szCs w:val="22"/>
          <w:lang w:val="cs-CZ"/>
        </w:rPr>
        <w:t xml:space="preserve">U dětských i dospělých pacientů léčených přípravkem Humira nebo jinými blokátory TNF byly popsány velmi vzácné případy </w:t>
      </w:r>
      <w:r w:rsidR="000928E6" w:rsidRPr="001B4A02">
        <w:rPr>
          <w:bCs/>
          <w:szCs w:val="22"/>
          <w:lang w:val="cs-CZ"/>
        </w:rPr>
        <w:t>výskytu určitých typů rakoviny.</w:t>
      </w:r>
    </w:p>
    <w:p w14:paraId="6FE97C2C" w14:textId="77777777" w:rsidR="00256F99" w:rsidRPr="001B4A02" w:rsidRDefault="00256F99" w:rsidP="00BF5B99"/>
    <w:p w14:paraId="6B4D8BAF" w14:textId="77777777" w:rsidR="00E12C0D" w:rsidRPr="001B4A02" w:rsidRDefault="00000000" w:rsidP="00ED48A3">
      <w:pPr>
        <w:numPr>
          <w:ilvl w:val="0"/>
          <w:numId w:val="15"/>
        </w:numPr>
        <w:tabs>
          <w:tab w:val="clear" w:pos="720"/>
          <w:tab w:val="num" w:pos="786"/>
          <w:tab w:val="left" w:pos="1276"/>
        </w:tabs>
        <w:ind w:left="1276" w:hanging="567"/>
      </w:pPr>
      <w:r w:rsidRPr="001B4A02">
        <w:t>Lidé se závažnější formou revmatoidní artritidy, jejichž onemocnění trvá delší dobu, mívají vyšší průměrné riziko vzniku lymfomu (rakovin</w:t>
      </w:r>
      <w:r w:rsidR="00B015D7" w:rsidRPr="001B4A02">
        <w:t>a</w:t>
      </w:r>
      <w:r w:rsidRPr="001B4A02">
        <w:t xml:space="preserve"> postihující mízní systém)</w:t>
      </w:r>
      <w:r w:rsidR="002378E0">
        <w:t xml:space="preserve"> a </w:t>
      </w:r>
      <w:r w:rsidRPr="001B4A02">
        <w:t>leukémie (rakovin</w:t>
      </w:r>
      <w:r w:rsidR="00B015D7" w:rsidRPr="001B4A02">
        <w:t>a</w:t>
      </w:r>
      <w:r w:rsidRPr="001B4A02">
        <w:t xml:space="preserve"> p</w:t>
      </w:r>
      <w:r w:rsidR="000928E6" w:rsidRPr="001B4A02">
        <w:t>ostihující krev</w:t>
      </w:r>
      <w:r w:rsidR="002378E0">
        <w:t xml:space="preserve"> a </w:t>
      </w:r>
      <w:r w:rsidR="000928E6" w:rsidRPr="001B4A02">
        <w:t>kostní dřeň).</w:t>
      </w:r>
    </w:p>
    <w:p w14:paraId="18F4A167" w14:textId="77777777" w:rsidR="00E12C0D" w:rsidRPr="001B4A02" w:rsidRDefault="00000000" w:rsidP="00ED48A3">
      <w:pPr>
        <w:numPr>
          <w:ilvl w:val="0"/>
          <w:numId w:val="15"/>
        </w:numPr>
        <w:tabs>
          <w:tab w:val="clear" w:pos="720"/>
          <w:tab w:val="num" w:pos="786"/>
          <w:tab w:val="left" w:pos="1276"/>
        </w:tabs>
        <w:ind w:left="1276" w:hanging="567"/>
      </w:pPr>
      <w:r w:rsidRPr="001B4A02">
        <w:t xml:space="preserve">Jestliže </w:t>
      </w:r>
      <w:r w:rsidR="00AA40BE" w:rsidRPr="001B4A02">
        <w:t>po</w:t>
      </w:r>
      <w:r w:rsidRPr="001B4A02">
        <w:t>užíváte přípravek Humira, riziko onemocnění lymfomem, leukémií nebo jiným druhem rakoviny může vzrůst. Ve vzácných případech byl u</w:t>
      </w:r>
      <w:r w:rsidR="00B12121" w:rsidRPr="001B4A02">
        <w:t> </w:t>
      </w:r>
      <w:r w:rsidRPr="001B4A02">
        <w:t xml:space="preserve">pacientů </w:t>
      </w:r>
      <w:r w:rsidR="00AA40BE" w:rsidRPr="001B4A02">
        <w:t>po</w:t>
      </w:r>
      <w:r w:rsidRPr="001B4A02">
        <w:t>užívajících přípravek Humira pozorován neobvyklý</w:t>
      </w:r>
      <w:r w:rsidR="002378E0">
        <w:t xml:space="preserve"> a </w:t>
      </w:r>
      <w:r w:rsidRPr="001B4A02">
        <w:t>závažný typ lymfomu. Někteří z těchto pacientů byli také léčeni azathi</w:t>
      </w:r>
      <w:r w:rsidR="000928E6" w:rsidRPr="001B4A02">
        <w:t>oprinem nebo 6-merkaptopurinem.</w:t>
      </w:r>
    </w:p>
    <w:p w14:paraId="7BE0A463" w14:textId="77777777" w:rsidR="005D5F75" w:rsidRPr="001B4A02" w:rsidRDefault="00000000" w:rsidP="00ED48A3">
      <w:pPr>
        <w:numPr>
          <w:ilvl w:val="0"/>
          <w:numId w:val="15"/>
        </w:numPr>
        <w:tabs>
          <w:tab w:val="clear" w:pos="720"/>
          <w:tab w:val="num" w:pos="786"/>
          <w:tab w:val="left" w:pos="1276"/>
        </w:tabs>
        <w:ind w:left="1276" w:hanging="567"/>
      </w:pPr>
      <w:r w:rsidRPr="001B4A02">
        <w:t>Oznamte lékaři, pokud užívá</w:t>
      </w:r>
      <w:r w:rsidR="00E12C0D" w:rsidRPr="001B4A02">
        <w:t>te</w:t>
      </w:r>
      <w:r w:rsidRPr="001B4A02">
        <w:t xml:space="preserve"> azathioprin nebo 6-merkaptopuri</w:t>
      </w:r>
      <w:r w:rsidR="000928E6" w:rsidRPr="001B4A02">
        <w:t>n současně s přípravkem Humira.</w:t>
      </w:r>
    </w:p>
    <w:p w14:paraId="740F5E1A" w14:textId="77777777" w:rsidR="00E12C0D" w:rsidRPr="001B4A02" w:rsidRDefault="00000000" w:rsidP="00ED48A3">
      <w:pPr>
        <w:numPr>
          <w:ilvl w:val="0"/>
          <w:numId w:val="15"/>
        </w:numPr>
        <w:tabs>
          <w:tab w:val="clear" w:pos="720"/>
          <w:tab w:val="num" w:pos="786"/>
          <w:tab w:val="left" w:pos="1276"/>
        </w:tabs>
        <w:ind w:left="1276" w:hanging="567"/>
      </w:pPr>
      <w:r w:rsidRPr="001B4A02">
        <w:t>U pacientů léčených přípravkem Humira byly</w:t>
      </w:r>
      <w:r w:rsidR="00AF57C0" w:rsidRPr="001B4A02">
        <w:t xml:space="preserve"> </w:t>
      </w:r>
      <w:r w:rsidRPr="001B4A02">
        <w:t>pozorovány případy kožní rakoviny</w:t>
      </w:r>
      <w:r w:rsidR="000928E6" w:rsidRPr="001B4A02">
        <w:t xml:space="preserve"> nemelanomového typu.</w:t>
      </w:r>
    </w:p>
    <w:p w14:paraId="0C99FA45" w14:textId="77777777" w:rsidR="00FF1D36" w:rsidRPr="001B4A02" w:rsidRDefault="00000000" w:rsidP="00ED48A3">
      <w:pPr>
        <w:numPr>
          <w:ilvl w:val="0"/>
          <w:numId w:val="15"/>
        </w:numPr>
        <w:tabs>
          <w:tab w:val="clear" w:pos="720"/>
          <w:tab w:val="num" w:pos="786"/>
          <w:tab w:val="left" w:pos="1276"/>
        </w:tabs>
        <w:ind w:left="1276" w:hanging="567"/>
      </w:pPr>
      <w:r w:rsidRPr="001B4A02">
        <w:t>Pokud se během léčby nebo po ní objeví nové kožní léze nebo pokud stávající kožní léze změní vzhled, sdělte to lékaři.</w:t>
      </w:r>
    </w:p>
    <w:p w14:paraId="0A22CF0F" w14:textId="77777777" w:rsidR="00FF1D36" w:rsidRPr="001B4A02" w:rsidRDefault="00FF1D36" w:rsidP="00ED48A3">
      <w:pPr>
        <w:pStyle w:val="EndnoteText"/>
        <w:ind w:left="0" w:firstLine="0"/>
        <w:rPr>
          <w:bCs/>
          <w:szCs w:val="22"/>
          <w:lang w:val="cs-CZ"/>
        </w:rPr>
      </w:pPr>
    </w:p>
    <w:p w14:paraId="746E2972" w14:textId="77777777" w:rsidR="00FF1D36" w:rsidRPr="001B4A02" w:rsidRDefault="00000000" w:rsidP="00ED48A3">
      <w:pPr>
        <w:pStyle w:val="EndnoteText"/>
        <w:numPr>
          <w:ilvl w:val="0"/>
          <w:numId w:val="8"/>
        </w:numPr>
        <w:tabs>
          <w:tab w:val="clear" w:pos="720"/>
          <w:tab w:val="num" w:pos="0"/>
        </w:tabs>
        <w:ind w:left="567" w:hanging="567"/>
        <w:rPr>
          <w:bCs/>
          <w:szCs w:val="22"/>
          <w:lang w:val="cs-CZ"/>
        </w:rPr>
      </w:pPr>
      <w:r w:rsidRPr="001B4A02">
        <w:rPr>
          <w:bCs/>
          <w:szCs w:val="22"/>
          <w:lang w:val="cs-CZ"/>
        </w:rPr>
        <w:t xml:space="preserve">U pacientů se specifickým typem plicního onemocnění zvaným chronická obstrukční choroba plicní (CHOPN), kteří byli léčeni jiným TNF blokátorem, byly hlášeny i případy jiných druhů rakoviny, nežli jsou lymfomy. Jestliže trpíte CHOPN nebo hodně kouříte, </w:t>
      </w:r>
      <w:r w:rsidR="00D70909" w:rsidRPr="001B4A02">
        <w:rPr>
          <w:bCs/>
          <w:szCs w:val="22"/>
          <w:lang w:val="cs-CZ"/>
        </w:rPr>
        <w:t>měl</w:t>
      </w:r>
      <w:r w:rsidR="00D70909">
        <w:rPr>
          <w:bCs/>
          <w:szCs w:val="22"/>
          <w:lang w:val="cs-CZ"/>
        </w:rPr>
        <w:t>(a)</w:t>
      </w:r>
      <w:r w:rsidRPr="001B4A02">
        <w:rPr>
          <w:bCs/>
          <w:szCs w:val="22"/>
          <w:lang w:val="cs-CZ"/>
        </w:rPr>
        <w:t xml:space="preserve"> byste si se svým lékařem promluvit, je</w:t>
      </w:r>
      <w:r w:rsidR="008A637C" w:rsidRPr="001B4A02">
        <w:rPr>
          <w:bCs/>
          <w:szCs w:val="22"/>
          <w:lang w:val="cs-CZ"/>
        </w:rPr>
        <w:t>-</w:t>
      </w:r>
      <w:r w:rsidRPr="001B4A02">
        <w:rPr>
          <w:bCs/>
          <w:szCs w:val="22"/>
          <w:lang w:val="cs-CZ"/>
        </w:rPr>
        <w:t>li pro Vás léčba blokátorem TNF vhodná.</w:t>
      </w:r>
    </w:p>
    <w:p w14:paraId="4138E0B1" w14:textId="77777777" w:rsidR="00256F99" w:rsidRPr="001B4A02" w:rsidRDefault="00256F99" w:rsidP="00BF5B99"/>
    <w:p w14:paraId="3E10BDE4" w14:textId="77777777" w:rsidR="00256F99" w:rsidRPr="001B4A02" w:rsidRDefault="00000000" w:rsidP="00256F99">
      <w:pPr>
        <w:pStyle w:val="EndnoteText"/>
        <w:ind w:left="0" w:firstLine="0"/>
        <w:rPr>
          <w:bCs/>
          <w:szCs w:val="22"/>
          <w:u w:val="single"/>
          <w:lang w:val="cs-CZ"/>
        </w:rPr>
      </w:pPr>
      <w:r w:rsidRPr="001B4A02">
        <w:rPr>
          <w:bCs/>
          <w:szCs w:val="22"/>
          <w:u w:val="single"/>
          <w:lang w:val="cs-CZ"/>
        </w:rPr>
        <w:t>Autoimunitní onemocnění</w:t>
      </w:r>
    </w:p>
    <w:p w14:paraId="2351BAA2" w14:textId="77777777" w:rsidR="00256F99" w:rsidRPr="001B4A02" w:rsidRDefault="00256F99" w:rsidP="00256F99"/>
    <w:p w14:paraId="1171946C" w14:textId="77777777" w:rsidR="00256F99" w:rsidRPr="001B4A02" w:rsidRDefault="00000000" w:rsidP="00C806C1">
      <w:pPr>
        <w:numPr>
          <w:ilvl w:val="0"/>
          <w:numId w:val="252"/>
        </w:numPr>
        <w:ind w:left="567" w:hanging="567"/>
      </w:pPr>
      <w:r w:rsidRPr="001B4A02">
        <w:t>Vzácně může vést léčba přípravkem Humira k </w:t>
      </w:r>
      <w:r w:rsidR="00744B46" w:rsidRPr="001B4A02">
        <w:t>příznakům podobajícím se onemocnění zvanému</w:t>
      </w:r>
      <w:r w:rsidRPr="001B4A02">
        <w:t xml:space="preserve"> lupus. Pokud se objeví</w:t>
      </w:r>
      <w:r w:rsidR="00C806C1" w:rsidRPr="001B4A02">
        <w:t xml:space="preserve"> </w:t>
      </w:r>
      <w:r w:rsidRPr="001B4A02">
        <w:t>příznaky, jako je trvalá nevysvětlitelná</w:t>
      </w:r>
      <w:r w:rsidR="003A2C15">
        <w:t xml:space="preserve"> vyrážka,</w:t>
      </w:r>
      <w:r w:rsidRPr="001B4A02">
        <w:t xml:space="preserve"> horečka, bolest kloubů nebo únava, kontaktujte svého lékaře.</w:t>
      </w:r>
    </w:p>
    <w:p w14:paraId="4D57B638" w14:textId="77777777" w:rsidR="00256F99" w:rsidRPr="001B4A02" w:rsidRDefault="00256F99" w:rsidP="00BF5B99"/>
    <w:p w14:paraId="38F66B05" w14:textId="77777777" w:rsidR="00FF1D36" w:rsidRPr="001B4A02" w:rsidRDefault="00000000" w:rsidP="00ED48A3">
      <w:pPr>
        <w:pStyle w:val="EndnoteText"/>
        <w:ind w:left="0" w:firstLine="0"/>
        <w:rPr>
          <w:b/>
          <w:bCs/>
          <w:szCs w:val="22"/>
          <w:lang w:val="cs-CZ"/>
        </w:rPr>
      </w:pPr>
      <w:r w:rsidRPr="001B4A02">
        <w:rPr>
          <w:b/>
          <w:bCs/>
          <w:szCs w:val="22"/>
          <w:lang w:val="cs-CZ"/>
        </w:rPr>
        <w:t>Děti</w:t>
      </w:r>
      <w:r w:rsidR="002378E0">
        <w:rPr>
          <w:b/>
          <w:bCs/>
          <w:szCs w:val="22"/>
          <w:lang w:val="cs-CZ"/>
        </w:rPr>
        <w:t xml:space="preserve"> a </w:t>
      </w:r>
      <w:r w:rsidRPr="001B4A02">
        <w:rPr>
          <w:b/>
          <w:bCs/>
          <w:szCs w:val="22"/>
          <w:lang w:val="cs-CZ"/>
        </w:rPr>
        <w:t>dospívající</w:t>
      </w:r>
    </w:p>
    <w:p w14:paraId="60746F23" w14:textId="77777777" w:rsidR="00FF1D36" w:rsidRPr="001B4A02" w:rsidRDefault="00FF1D36" w:rsidP="00ED48A3">
      <w:pPr>
        <w:pStyle w:val="EndnoteText"/>
        <w:rPr>
          <w:bCs/>
          <w:szCs w:val="22"/>
          <w:lang w:val="cs-CZ"/>
        </w:rPr>
      </w:pPr>
    </w:p>
    <w:p w14:paraId="6DD88720" w14:textId="77777777" w:rsidR="00FF1D36" w:rsidRPr="001B4A02" w:rsidRDefault="00000000" w:rsidP="00ED48A3">
      <w:pPr>
        <w:pStyle w:val="EndnoteText"/>
        <w:numPr>
          <w:ilvl w:val="0"/>
          <w:numId w:val="231"/>
        </w:numPr>
        <w:ind w:left="567" w:hanging="567"/>
        <w:rPr>
          <w:bCs/>
          <w:szCs w:val="22"/>
          <w:lang w:val="cs-CZ"/>
        </w:rPr>
      </w:pPr>
      <w:r w:rsidRPr="001B4A02">
        <w:rPr>
          <w:bCs/>
          <w:szCs w:val="22"/>
          <w:lang w:val="cs-CZ"/>
        </w:rPr>
        <w:t>Očkování: pokud je to možné, mělo by být Vaše dítě očkováno ještě předtím, než začne</w:t>
      </w:r>
      <w:r w:rsidR="00032F16" w:rsidRPr="001B4A02">
        <w:rPr>
          <w:bCs/>
          <w:szCs w:val="22"/>
          <w:lang w:val="cs-CZ"/>
        </w:rPr>
        <w:t xml:space="preserve"> </w:t>
      </w:r>
      <w:r w:rsidRPr="001B4A02">
        <w:rPr>
          <w:bCs/>
          <w:szCs w:val="22"/>
          <w:lang w:val="cs-CZ"/>
        </w:rPr>
        <w:t xml:space="preserve">přípravek Humira </w:t>
      </w:r>
      <w:r w:rsidR="00781AEE" w:rsidRPr="001B4A02">
        <w:rPr>
          <w:bCs/>
          <w:szCs w:val="22"/>
          <w:lang w:val="cs-CZ"/>
        </w:rPr>
        <w:t>po</w:t>
      </w:r>
      <w:r w:rsidRPr="001B4A02">
        <w:rPr>
          <w:bCs/>
          <w:szCs w:val="22"/>
          <w:lang w:val="cs-CZ"/>
        </w:rPr>
        <w:t>užívat.</w:t>
      </w:r>
    </w:p>
    <w:p w14:paraId="26C4C8AB" w14:textId="77777777" w:rsidR="00FF1D36" w:rsidRPr="001B4A02" w:rsidRDefault="00FF1D36" w:rsidP="00ED48A3">
      <w:pPr>
        <w:pStyle w:val="EndnoteText"/>
        <w:ind w:left="0" w:firstLine="0"/>
        <w:rPr>
          <w:bCs/>
          <w:szCs w:val="22"/>
          <w:lang w:val="cs-CZ"/>
        </w:rPr>
      </w:pPr>
    </w:p>
    <w:p w14:paraId="66530D47" w14:textId="77777777" w:rsidR="00FF1D36" w:rsidRPr="001B4A02" w:rsidRDefault="00000000" w:rsidP="00ED48A3">
      <w:pPr>
        <w:ind w:left="0" w:firstLine="0"/>
        <w:rPr>
          <w:b/>
        </w:rPr>
      </w:pPr>
      <w:r w:rsidRPr="001B4A02">
        <w:rPr>
          <w:b/>
        </w:rPr>
        <w:t>Další léčivé přípravky</w:t>
      </w:r>
      <w:r w:rsidR="002378E0">
        <w:rPr>
          <w:b/>
        </w:rPr>
        <w:t xml:space="preserve"> a </w:t>
      </w:r>
      <w:r w:rsidRPr="001B4A02">
        <w:rPr>
          <w:b/>
        </w:rPr>
        <w:t>přípravek Humira</w:t>
      </w:r>
    </w:p>
    <w:p w14:paraId="1B314FBC" w14:textId="77777777" w:rsidR="00FF1D36" w:rsidRPr="001B4A02" w:rsidRDefault="00FF1D36" w:rsidP="00ED48A3">
      <w:pPr>
        <w:ind w:left="0" w:firstLine="0"/>
      </w:pPr>
    </w:p>
    <w:p w14:paraId="4DCCAB33" w14:textId="77777777" w:rsidR="00FF1D36" w:rsidRPr="001B4A02" w:rsidRDefault="00000000" w:rsidP="00ED48A3">
      <w:pPr>
        <w:ind w:left="0" w:firstLine="0"/>
      </w:pPr>
      <w:r w:rsidRPr="001B4A02">
        <w:t>Informujt</w:t>
      </w:r>
      <w:r w:rsidR="00063784" w:rsidRPr="001B4A02">
        <w:t>e svého lékaře nebo lékárníka o </w:t>
      </w:r>
      <w:r w:rsidRPr="001B4A02">
        <w:t>všech lécích, které užíváte, které jste v nedávné době užíval(a) nebo které možná bude</w:t>
      </w:r>
      <w:r w:rsidR="003B6669" w:rsidRPr="001B4A02">
        <w:t>te</w:t>
      </w:r>
      <w:r w:rsidRPr="001B4A02">
        <w:t xml:space="preserve"> užívat.</w:t>
      </w:r>
    </w:p>
    <w:p w14:paraId="3FD09D71" w14:textId="77777777" w:rsidR="00FF1D36" w:rsidRPr="001B4A02" w:rsidRDefault="00FF1D36" w:rsidP="00ED48A3">
      <w:pPr>
        <w:ind w:left="0" w:firstLine="0"/>
      </w:pPr>
    </w:p>
    <w:p w14:paraId="4134D0B1" w14:textId="77777777" w:rsidR="00E12C0D" w:rsidRPr="001B4A02" w:rsidRDefault="00000000" w:rsidP="00ED48A3">
      <w:pPr>
        <w:ind w:left="0" w:firstLine="0"/>
      </w:pPr>
      <w:r w:rsidRPr="001B4A02">
        <w:t xml:space="preserve">Přípravek Humira </w:t>
      </w:r>
      <w:r w:rsidR="001C561A" w:rsidRPr="001B4A02">
        <w:t>nesmíte</w:t>
      </w:r>
      <w:r w:rsidR="008B3392" w:rsidRPr="001B4A02">
        <w:t xml:space="preserve"> z důvodu </w:t>
      </w:r>
      <w:r w:rsidR="008B3392" w:rsidRPr="001B4A02">
        <w:rPr>
          <w:bCs/>
          <w:szCs w:val="22"/>
        </w:rPr>
        <w:t>zvýšeného rizika závažné infekce</w:t>
      </w:r>
      <w:r w:rsidRPr="001B4A02">
        <w:t xml:space="preserve"> </w:t>
      </w:r>
      <w:r w:rsidR="00781AEE" w:rsidRPr="001B4A02">
        <w:t>po</w:t>
      </w:r>
      <w:r w:rsidRPr="001B4A02">
        <w:t>užívat s</w:t>
      </w:r>
      <w:r w:rsidR="001C561A" w:rsidRPr="001B4A02">
        <w:t> </w:t>
      </w:r>
      <w:r w:rsidRPr="001B4A02">
        <w:t>léky</w:t>
      </w:r>
      <w:r w:rsidR="001C561A" w:rsidRPr="001B4A02">
        <w:t>, které</w:t>
      </w:r>
      <w:r w:rsidRPr="001B4A02">
        <w:t xml:space="preserve"> obsahují</w:t>
      </w:r>
      <w:r w:rsidR="0074704A" w:rsidRPr="001B4A02">
        <w:t xml:space="preserve"> následující</w:t>
      </w:r>
      <w:r w:rsidRPr="001B4A02">
        <w:t xml:space="preserve"> léčivé látky:</w:t>
      </w:r>
    </w:p>
    <w:p w14:paraId="2236EB92" w14:textId="77777777" w:rsidR="00E12C0D" w:rsidRPr="001B4A02" w:rsidRDefault="00000000" w:rsidP="00ED48A3">
      <w:pPr>
        <w:numPr>
          <w:ilvl w:val="0"/>
          <w:numId w:val="8"/>
        </w:numPr>
      </w:pPr>
      <w:r w:rsidRPr="001B4A02">
        <w:t>anakinra</w:t>
      </w:r>
    </w:p>
    <w:p w14:paraId="2FF80EA4" w14:textId="77777777" w:rsidR="00E12C0D" w:rsidRPr="001B4A02" w:rsidRDefault="00000000" w:rsidP="00ED48A3">
      <w:pPr>
        <w:numPr>
          <w:ilvl w:val="0"/>
          <w:numId w:val="8"/>
        </w:numPr>
      </w:pPr>
      <w:r w:rsidRPr="001B4A02">
        <w:t>abatacept.</w:t>
      </w:r>
    </w:p>
    <w:p w14:paraId="5A5671CF" w14:textId="77777777" w:rsidR="00E12C0D" w:rsidRPr="001B4A02" w:rsidRDefault="00E12C0D" w:rsidP="00ED48A3">
      <w:pPr>
        <w:ind w:left="0" w:firstLine="0"/>
      </w:pPr>
    </w:p>
    <w:p w14:paraId="4158EFEF" w14:textId="77777777" w:rsidR="00E12C0D" w:rsidRPr="001B4A02" w:rsidRDefault="00000000" w:rsidP="00ED48A3">
      <w:pPr>
        <w:keepNext/>
        <w:ind w:left="0" w:firstLine="0"/>
      </w:pPr>
      <w:r w:rsidRPr="001B4A02">
        <w:t xml:space="preserve">Přípravek Humira lze </w:t>
      </w:r>
      <w:r w:rsidR="00781AEE" w:rsidRPr="001B4A02">
        <w:t>po</w:t>
      </w:r>
      <w:r w:rsidRPr="001B4A02">
        <w:t>užívat společně s:</w:t>
      </w:r>
    </w:p>
    <w:p w14:paraId="0BF98695" w14:textId="77777777" w:rsidR="00E12C0D" w:rsidRPr="001B4A02" w:rsidRDefault="00000000" w:rsidP="00ED48A3">
      <w:pPr>
        <w:numPr>
          <w:ilvl w:val="0"/>
          <w:numId w:val="8"/>
        </w:numPr>
      </w:pPr>
      <w:r w:rsidRPr="001B4A02">
        <w:t xml:space="preserve">methotrexátem </w:t>
      </w:r>
    </w:p>
    <w:p w14:paraId="7EACC509" w14:textId="77777777" w:rsidR="006B6963" w:rsidRPr="001B4A02" w:rsidRDefault="00000000" w:rsidP="00ED48A3">
      <w:pPr>
        <w:numPr>
          <w:ilvl w:val="0"/>
          <w:numId w:val="8"/>
        </w:numPr>
      </w:pPr>
      <w:r w:rsidRPr="001B4A02">
        <w:t>některými chorobu modifikujícími antirevmatiky (</w:t>
      </w:r>
      <w:r w:rsidR="00E12C0D" w:rsidRPr="001B4A02">
        <w:t xml:space="preserve">například </w:t>
      </w:r>
      <w:r w:rsidRPr="001B4A02">
        <w:t>sulfasalazin, hydroxychlorochin, leflunomid</w:t>
      </w:r>
      <w:r w:rsidR="002378E0">
        <w:t xml:space="preserve"> a </w:t>
      </w:r>
      <w:r w:rsidRPr="001B4A02">
        <w:t>injekční přípravky s obsahem solí zlata)</w:t>
      </w:r>
    </w:p>
    <w:p w14:paraId="450FF257" w14:textId="77777777" w:rsidR="00FF1D36" w:rsidRPr="001B4A02" w:rsidRDefault="00000000" w:rsidP="00ED48A3">
      <w:pPr>
        <w:numPr>
          <w:ilvl w:val="0"/>
          <w:numId w:val="8"/>
        </w:numPr>
      </w:pPr>
      <w:r w:rsidRPr="001B4A02">
        <w:t>steroidy nebo léky proti bolestem,</w:t>
      </w:r>
      <w:r w:rsidR="002378E0">
        <w:t xml:space="preserve"> a </w:t>
      </w:r>
      <w:r w:rsidRPr="001B4A02">
        <w:t>to i s nesteroidními antirevmatiky (NSAID).</w:t>
      </w:r>
    </w:p>
    <w:p w14:paraId="0FD0C80E" w14:textId="77777777" w:rsidR="00FF1D36" w:rsidRPr="001B4A02" w:rsidRDefault="00FF1D36" w:rsidP="00ED48A3">
      <w:pPr>
        <w:pStyle w:val="EMEANormal"/>
        <w:tabs>
          <w:tab w:val="clear" w:pos="562"/>
        </w:tabs>
        <w:suppressAutoHyphens w:val="0"/>
        <w:rPr>
          <w:lang w:val="cs-CZ"/>
        </w:rPr>
      </w:pPr>
    </w:p>
    <w:p w14:paraId="57976965" w14:textId="77777777" w:rsidR="00FF1D36" w:rsidRPr="001B4A02" w:rsidRDefault="00000000" w:rsidP="00ED48A3">
      <w:pPr>
        <w:pStyle w:val="EMEANormal"/>
        <w:tabs>
          <w:tab w:val="clear" w:pos="562"/>
        </w:tabs>
        <w:suppressAutoHyphens w:val="0"/>
        <w:rPr>
          <w:bCs/>
          <w:szCs w:val="22"/>
          <w:lang w:val="cs-CZ"/>
        </w:rPr>
      </w:pPr>
      <w:r w:rsidRPr="001B4A02">
        <w:rPr>
          <w:bCs/>
          <w:szCs w:val="22"/>
          <w:lang w:val="cs-CZ"/>
        </w:rPr>
        <w:t>Máte-li nějaké dotazy, zeptejte se prosím svého lékaře.</w:t>
      </w:r>
    </w:p>
    <w:p w14:paraId="66B33D40" w14:textId="77777777" w:rsidR="00FF1D36" w:rsidRPr="001B4A02" w:rsidRDefault="00FF1D36" w:rsidP="00ED48A3">
      <w:pPr>
        <w:pStyle w:val="EndnoteText"/>
        <w:ind w:left="0" w:firstLine="0"/>
        <w:rPr>
          <w:lang w:val="cs-CZ"/>
        </w:rPr>
      </w:pPr>
    </w:p>
    <w:p w14:paraId="0541C03B" w14:textId="77777777" w:rsidR="00FF1D36" w:rsidRPr="001B4A02" w:rsidRDefault="00000000" w:rsidP="00ED48A3">
      <w:pPr>
        <w:keepNext/>
        <w:rPr>
          <w:b/>
        </w:rPr>
      </w:pPr>
      <w:r w:rsidRPr="001B4A02">
        <w:rPr>
          <w:b/>
        </w:rPr>
        <w:t>Těhotenství</w:t>
      </w:r>
      <w:r w:rsidR="002378E0">
        <w:rPr>
          <w:b/>
        </w:rPr>
        <w:t xml:space="preserve"> a </w:t>
      </w:r>
      <w:r w:rsidRPr="001B4A02">
        <w:rPr>
          <w:b/>
        </w:rPr>
        <w:t>kojení</w:t>
      </w:r>
    </w:p>
    <w:p w14:paraId="46785433" w14:textId="77777777" w:rsidR="00FF1D36" w:rsidRPr="001B4A02" w:rsidRDefault="00FF1D36" w:rsidP="00ED48A3">
      <w:pPr>
        <w:keepNext/>
        <w:ind w:left="0" w:firstLine="0"/>
      </w:pPr>
    </w:p>
    <w:p w14:paraId="11430E48" w14:textId="77777777" w:rsidR="002C7B91" w:rsidRDefault="00000000" w:rsidP="002C7B91">
      <w:pPr>
        <w:pStyle w:val="ListParagraph"/>
        <w:numPr>
          <w:ilvl w:val="0"/>
          <w:numId w:val="268"/>
        </w:numPr>
      </w:pPr>
      <w:r>
        <w:t>Máte zvážit použití vhodné antikoncepce k prevenci těhotenství</w:t>
      </w:r>
      <w:r w:rsidR="002378E0">
        <w:t xml:space="preserve"> a </w:t>
      </w:r>
      <w:r>
        <w:t>pokračovat v jejím užívání</w:t>
      </w:r>
      <w:r w:rsidRPr="001B4A02">
        <w:t xml:space="preserve"> po dobu nejméně pěti měsíců po posledním podání přípravku Humira.</w:t>
      </w:r>
    </w:p>
    <w:p w14:paraId="5487AD42" w14:textId="77777777" w:rsidR="002C7B91" w:rsidRDefault="00000000" w:rsidP="002C7B91">
      <w:pPr>
        <w:pStyle w:val="ListParagraph"/>
        <w:numPr>
          <w:ilvl w:val="0"/>
          <w:numId w:val="266"/>
        </w:numPr>
      </w:pPr>
      <w:r>
        <w:t>Pokud jste těhotná, domníváte se, že můžete být těhotná</w:t>
      </w:r>
      <w:r w:rsidR="00196227">
        <w:t>,</w:t>
      </w:r>
      <w:r>
        <w:t xml:space="preserve"> nebo plánujete otěhotnět, požádejte svého lékaře o</w:t>
      </w:r>
      <w:r w:rsidR="00563486">
        <w:t> </w:t>
      </w:r>
      <w:r>
        <w:t>doporučení týkající se užívání tohoto přípravku.</w:t>
      </w:r>
    </w:p>
    <w:p w14:paraId="740E934B" w14:textId="77777777" w:rsidR="002C7B91" w:rsidRDefault="00000000" w:rsidP="002C7B91">
      <w:pPr>
        <w:pStyle w:val="ListParagraph"/>
        <w:numPr>
          <w:ilvl w:val="0"/>
          <w:numId w:val="266"/>
        </w:numPr>
      </w:pPr>
      <w:r>
        <w:t>Přípravek Humira má být užíván během těhotenství pouze tehdy, je-li to nezbytně nutné.</w:t>
      </w:r>
    </w:p>
    <w:p w14:paraId="6E3587AC" w14:textId="77777777" w:rsidR="002C7B91" w:rsidRDefault="00000000" w:rsidP="002C7B91">
      <w:pPr>
        <w:pStyle w:val="ListParagraph"/>
        <w:numPr>
          <w:ilvl w:val="0"/>
          <w:numId w:val="266"/>
        </w:numPr>
      </w:pPr>
      <w:r>
        <w:t>Na základě studie prováděné u</w:t>
      </w:r>
      <w:r w:rsidR="00563486">
        <w:t> </w:t>
      </w:r>
      <w:r>
        <w:t>těhotných žen nebylo zjištěno zvýšené riziko vrozených vad, pokud matka během těhotenství užívala přípravek Humira, ve srovnání s matkami se stejným onemocněním, které přípravek Humira neužívaly.</w:t>
      </w:r>
    </w:p>
    <w:p w14:paraId="16A2D330" w14:textId="77777777" w:rsidR="002C7B91" w:rsidRDefault="00000000" w:rsidP="002C7B91">
      <w:pPr>
        <w:pStyle w:val="ListParagraph"/>
        <w:numPr>
          <w:ilvl w:val="0"/>
          <w:numId w:val="266"/>
        </w:numPr>
      </w:pPr>
      <w:r>
        <w:t>Přípravek Humira lze podávat během kojení.</w:t>
      </w:r>
    </w:p>
    <w:p w14:paraId="7F8C9C18" w14:textId="77777777" w:rsidR="002C7B91" w:rsidRDefault="00000000" w:rsidP="002C7B91">
      <w:pPr>
        <w:pStyle w:val="ListParagraph"/>
        <w:numPr>
          <w:ilvl w:val="0"/>
          <w:numId w:val="266"/>
        </w:numPr>
      </w:pPr>
      <w:r>
        <w:t>Jestliže jste používala</w:t>
      </w:r>
      <w:r w:rsidRPr="001B4A02">
        <w:t xml:space="preserve"> přípravek Humira během těhotenství, může být </w:t>
      </w:r>
      <w:r>
        <w:t>Vaše</w:t>
      </w:r>
      <w:r w:rsidRPr="001B4A02">
        <w:t xml:space="preserve"> dítě náchylnější k infekcím.</w:t>
      </w:r>
    </w:p>
    <w:p w14:paraId="504D45BF" w14:textId="77777777" w:rsidR="002C7B91" w:rsidRDefault="00000000" w:rsidP="002C7B91">
      <w:pPr>
        <w:pStyle w:val="ListParagraph"/>
        <w:numPr>
          <w:ilvl w:val="0"/>
          <w:numId w:val="266"/>
        </w:numPr>
      </w:pPr>
      <w:r w:rsidRPr="001B4A02">
        <w:t>Je důležité, abyste informovala dětského lékaře</w:t>
      </w:r>
      <w:r w:rsidR="002378E0">
        <w:t xml:space="preserve"> a </w:t>
      </w:r>
      <w:r w:rsidRPr="001B4A02">
        <w:t>ostatní zdravotnické pracovníky před očkováním</w:t>
      </w:r>
      <w:r>
        <w:t xml:space="preserve"> Vašeho</w:t>
      </w:r>
      <w:r w:rsidRPr="001B4A02">
        <w:t xml:space="preserve"> dítěte, že </w:t>
      </w:r>
      <w:r>
        <w:t xml:space="preserve">jste </w:t>
      </w:r>
      <w:r w:rsidRPr="001B4A02">
        <w:t>během těhotenství používala přípravek Humira</w:t>
      </w:r>
      <w:r>
        <w:t xml:space="preserve">. </w:t>
      </w:r>
      <w:r w:rsidRPr="001B4A02">
        <w:t xml:space="preserve">Více informací </w:t>
      </w:r>
      <w:r>
        <w:t>týkající</w:t>
      </w:r>
      <w:r w:rsidR="00196227">
        <w:t>ch</w:t>
      </w:r>
      <w:r>
        <w:t xml:space="preserve"> se očkování </w:t>
      </w:r>
      <w:r w:rsidRPr="001B4A02">
        <w:t xml:space="preserve">najdete v části </w:t>
      </w:r>
      <w:r w:rsidR="00563486">
        <w:t>„</w:t>
      </w:r>
      <w:r>
        <w:t>Upozornění</w:t>
      </w:r>
      <w:r w:rsidR="002378E0">
        <w:t xml:space="preserve"> a </w:t>
      </w:r>
      <w:r>
        <w:t>opatření“</w:t>
      </w:r>
      <w:r w:rsidRPr="001B4A02">
        <w:t>.</w:t>
      </w:r>
    </w:p>
    <w:p w14:paraId="3F798222" w14:textId="77777777" w:rsidR="00FF1D36" w:rsidRPr="001B4A02" w:rsidRDefault="00FF1D36" w:rsidP="004B14C0">
      <w:pPr>
        <w:ind w:left="0" w:firstLine="0"/>
      </w:pPr>
    </w:p>
    <w:p w14:paraId="338232B6" w14:textId="77777777" w:rsidR="00FF1D36" w:rsidRPr="001B4A02" w:rsidRDefault="00000000" w:rsidP="004B14C0">
      <w:pPr>
        <w:pStyle w:val="EMEANormal"/>
        <w:tabs>
          <w:tab w:val="clear" w:pos="562"/>
        </w:tabs>
        <w:suppressAutoHyphens w:val="0"/>
        <w:rPr>
          <w:b/>
          <w:bCs/>
          <w:lang w:val="cs-CZ"/>
        </w:rPr>
      </w:pPr>
      <w:r w:rsidRPr="001B4A02">
        <w:rPr>
          <w:b/>
          <w:bCs/>
          <w:lang w:val="cs-CZ"/>
        </w:rPr>
        <w:t>Řízení dopravních prostředků</w:t>
      </w:r>
      <w:r w:rsidR="002378E0">
        <w:rPr>
          <w:b/>
          <w:bCs/>
          <w:lang w:val="cs-CZ"/>
        </w:rPr>
        <w:t xml:space="preserve"> a </w:t>
      </w:r>
      <w:r w:rsidRPr="001B4A02">
        <w:rPr>
          <w:b/>
          <w:bCs/>
          <w:lang w:val="cs-CZ"/>
        </w:rPr>
        <w:t>obsluha strojů</w:t>
      </w:r>
    </w:p>
    <w:p w14:paraId="24E03A39" w14:textId="77777777" w:rsidR="007F7787" w:rsidRPr="001B4A02" w:rsidRDefault="007F7787" w:rsidP="004B14C0">
      <w:pPr>
        <w:ind w:left="0" w:firstLine="0"/>
        <w:rPr>
          <w:b/>
        </w:rPr>
      </w:pPr>
    </w:p>
    <w:p w14:paraId="492668D5" w14:textId="77777777" w:rsidR="00FF1D36" w:rsidRPr="001B4A02" w:rsidRDefault="00000000" w:rsidP="004B14C0">
      <w:pPr>
        <w:numPr>
          <w:ilvl w:val="12"/>
          <w:numId w:val="0"/>
        </w:numPr>
      </w:pPr>
      <w:r w:rsidRPr="001B4A02">
        <w:t xml:space="preserve">Přípravek Humira může mít </w:t>
      </w:r>
      <w:r w:rsidR="007C5563" w:rsidRPr="001B4A02">
        <w:t>malý</w:t>
      </w:r>
      <w:r w:rsidRPr="001B4A02">
        <w:t xml:space="preserve"> vliv na schopnost řídit, jezdit na kole nebo obsluhovat stroje. Po </w:t>
      </w:r>
      <w:r w:rsidR="00781AEE" w:rsidRPr="001B4A02">
        <w:t>po</w:t>
      </w:r>
      <w:r w:rsidRPr="001B4A02">
        <w:t>užití přípravku Humira se může objevit pocit točení hlavy</w:t>
      </w:r>
      <w:r w:rsidR="002378E0">
        <w:t xml:space="preserve"> a </w:t>
      </w:r>
      <w:r w:rsidRPr="001B4A02">
        <w:t>poruchy vidění.</w:t>
      </w:r>
    </w:p>
    <w:p w14:paraId="6190A232" w14:textId="77777777" w:rsidR="00FF1D36" w:rsidRDefault="00FF1D36" w:rsidP="004B14C0">
      <w:pPr>
        <w:numPr>
          <w:ilvl w:val="12"/>
          <w:numId w:val="0"/>
        </w:numPr>
        <w:ind w:right="-2"/>
        <w:rPr>
          <w:ins w:id="13797" w:author="AbbVie1" w:date="2025-05-13T10:15:00Z"/>
        </w:rPr>
      </w:pPr>
    </w:p>
    <w:p w14:paraId="04AB4ACF" w14:textId="77777777" w:rsidR="00FC50CC" w:rsidRDefault="00000000" w:rsidP="00B03483">
      <w:pPr>
        <w:keepNext/>
        <w:numPr>
          <w:ilvl w:val="12"/>
          <w:numId w:val="0"/>
        </w:numPr>
        <w:jc w:val="both"/>
        <w:rPr>
          <w:ins w:id="13798" w:author="AbbVie1" w:date="2025-05-13T10:15:00Z"/>
          <w:b/>
          <w:bCs/>
        </w:rPr>
      </w:pPr>
      <w:ins w:id="13799" w:author="AbbVie1" w:date="2025-05-13T10:15:00Z">
        <w:r>
          <w:rPr>
            <w:b/>
            <w:bCs/>
          </w:rPr>
          <w:t>Přípravek Humira obsahuje polysorbát</w:t>
        </w:r>
      </w:ins>
    </w:p>
    <w:p w14:paraId="3A61973B" w14:textId="77777777" w:rsidR="00FC50CC" w:rsidRPr="00B03483" w:rsidRDefault="00FC50CC" w:rsidP="00B03483">
      <w:pPr>
        <w:keepNext/>
        <w:numPr>
          <w:ilvl w:val="12"/>
          <w:numId w:val="0"/>
        </w:numPr>
        <w:jc w:val="both"/>
        <w:rPr>
          <w:ins w:id="13800" w:author="AbbVie1" w:date="2025-05-13T10:15:00Z"/>
        </w:rPr>
      </w:pPr>
    </w:p>
    <w:p w14:paraId="4CF37678" w14:textId="77777777" w:rsidR="00FC50CC" w:rsidRDefault="00000000" w:rsidP="00B03483">
      <w:pPr>
        <w:numPr>
          <w:ilvl w:val="12"/>
          <w:numId w:val="0"/>
        </w:numPr>
        <w:ind w:right="-2"/>
        <w:jc w:val="both"/>
        <w:rPr>
          <w:ins w:id="13801" w:author="Abbvie02" w:date="2025-05-16T12:04:00Z"/>
        </w:rPr>
      </w:pPr>
      <w:ins w:id="13802" w:author="AbbVie1" w:date="2025-05-13T10:15:00Z">
        <w:r>
          <w:t>Tento léčivý přípravek obsahuje 0,4 mg polysorbátu 80 v jedné 40mg dávce. Polysorbáty mohou způsobit alergické reakce.</w:t>
        </w:r>
        <w:r w:rsidRPr="0028456C">
          <w:t xml:space="preserve"> Informujte svého lékaře, pokud </w:t>
        </w:r>
        <w:r>
          <w:t>máte</w:t>
        </w:r>
        <w:r w:rsidRPr="0028456C">
          <w:t xml:space="preserve"> jakékoli alergie.</w:t>
        </w:r>
      </w:ins>
    </w:p>
    <w:p w14:paraId="3314B0BD" w14:textId="77777777" w:rsidR="00B03483" w:rsidRPr="001B4A02" w:rsidRDefault="00B03483" w:rsidP="00B03483">
      <w:pPr>
        <w:numPr>
          <w:ilvl w:val="12"/>
          <w:numId w:val="0"/>
        </w:numPr>
        <w:ind w:right="-2"/>
        <w:jc w:val="both"/>
      </w:pPr>
    </w:p>
    <w:p w14:paraId="3BCCFFA7" w14:textId="77777777" w:rsidR="00FF1D36" w:rsidRPr="001B4A02" w:rsidRDefault="00FF1D36" w:rsidP="004B14C0">
      <w:pPr>
        <w:numPr>
          <w:ilvl w:val="12"/>
          <w:numId w:val="0"/>
        </w:numPr>
        <w:ind w:right="-2"/>
      </w:pPr>
    </w:p>
    <w:p w14:paraId="42787DF6" w14:textId="77777777" w:rsidR="00FF1D36" w:rsidRPr="001B4A02" w:rsidRDefault="00000000" w:rsidP="004B14C0">
      <w:pPr>
        <w:numPr>
          <w:ilvl w:val="12"/>
          <w:numId w:val="0"/>
        </w:numPr>
        <w:ind w:left="567" w:hanging="567"/>
        <w:outlineLvl w:val="1"/>
      </w:pPr>
      <w:r w:rsidRPr="001B4A02">
        <w:rPr>
          <w:b/>
        </w:rPr>
        <w:t>3.</w:t>
      </w:r>
      <w:r w:rsidRPr="001B4A02">
        <w:rPr>
          <w:b/>
        </w:rPr>
        <w:tab/>
        <w:t xml:space="preserve">Jak se přípravek Humira </w:t>
      </w:r>
      <w:r w:rsidR="00781AEE" w:rsidRPr="001B4A02">
        <w:rPr>
          <w:b/>
        </w:rPr>
        <w:t>po</w:t>
      </w:r>
      <w:r w:rsidRPr="001B4A02">
        <w:rPr>
          <w:b/>
        </w:rPr>
        <w:t>užívá</w:t>
      </w:r>
    </w:p>
    <w:p w14:paraId="23852D78" w14:textId="77777777" w:rsidR="00FF1D36" w:rsidRPr="001B4A02" w:rsidRDefault="00FF1D36" w:rsidP="004B14C0">
      <w:pPr>
        <w:numPr>
          <w:ilvl w:val="12"/>
          <w:numId w:val="0"/>
        </w:numPr>
        <w:ind w:right="-2"/>
      </w:pPr>
    </w:p>
    <w:p w14:paraId="472E2C09" w14:textId="77777777" w:rsidR="00FF1D36" w:rsidRPr="001B4A02" w:rsidRDefault="00000000" w:rsidP="004B14C0">
      <w:pPr>
        <w:ind w:left="0" w:firstLine="0"/>
      </w:pPr>
      <w:r w:rsidRPr="001B4A02">
        <w:t xml:space="preserve">Vždy </w:t>
      </w:r>
      <w:r w:rsidR="00781AEE" w:rsidRPr="001B4A02">
        <w:t>po</w:t>
      </w:r>
      <w:r w:rsidRPr="001B4A02">
        <w:t>užívejte tento přípravek přesně podle pokynů svého lékaře nebo lékárníka. Pokud si nejste jistý(á), poraďte se se svým lékařem nebo lékárníkem.</w:t>
      </w:r>
      <w:r w:rsidR="0074704A" w:rsidRPr="001B4A02">
        <w:t xml:space="preserve"> Lékař Vám může předepsat jinou sílu přípravku Humira, pokud potřebuje</w:t>
      </w:r>
      <w:r w:rsidR="00FB1E29" w:rsidRPr="001B4A02">
        <w:t>te</w:t>
      </w:r>
      <w:r w:rsidR="0074704A" w:rsidRPr="001B4A02">
        <w:t xml:space="preserve"> jinou dávku.</w:t>
      </w:r>
    </w:p>
    <w:p w14:paraId="515C2E22" w14:textId="77777777" w:rsidR="00FF1D36" w:rsidRPr="001B4A02" w:rsidRDefault="00FF1D36" w:rsidP="004B14C0">
      <w:pPr>
        <w:ind w:left="0" w:firstLine="0"/>
        <w:rPr>
          <w:u w:val="single"/>
        </w:rPr>
      </w:pPr>
    </w:p>
    <w:p w14:paraId="5862B886" w14:textId="77777777" w:rsidR="006B6963" w:rsidRPr="001B4A02" w:rsidRDefault="00000000" w:rsidP="004B14C0">
      <w:pPr>
        <w:numPr>
          <w:ilvl w:val="12"/>
          <w:numId w:val="0"/>
        </w:numPr>
        <w:ind w:right="-2"/>
      </w:pPr>
      <w:r w:rsidRPr="001B4A02">
        <w:t>Doporučené dávky přípravku Humira</w:t>
      </w:r>
      <w:r w:rsidR="00B12121" w:rsidRPr="001B4A02">
        <w:t xml:space="preserve"> u </w:t>
      </w:r>
      <w:r w:rsidRPr="001B4A02">
        <w:t>každého schváleného použití jsou uvedeny v následující tabulce.</w:t>
      </w:r>
    </w:p>
    <w:p w14:paraId="5E4DD547" w14:textId="77777777" w:rsidR="009B02BB" w:rsidRPr="001B4A02" w:rsidRDefault="009B02BB" w:rsidP="004B14C0">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13"/>
        <w:gridCol w:w="3032"/>
      </w:tblGrid>
      <w:tr w:rsidR="00534A2D" w14:paraId="5EE018C2" w14:textId="77777777" w:rsidTr="006B6963">
        <w:tc>
          <w:tcPr>
            <w:tcW w:w="9287" w:type="dxa"/>
            <w:gridSpan w:val="3"/>
            <w:shd w:val="clear" w:color="auto" w:fill="auto"/>
          </w:tcPr>
          <w:p w14:paraId="6AFBF482" w14:textId="77777777" w:rsidR="006B6963" w:rsidRPr="001B4A02" w:rsidRDefault="00000000" w:rsidP="00EB32F5">
            <w:pPr>
              <w:keepNext/>
              <w:numPr>
                <w:ilvl w:val="12"/>
                <w:numId w:val="0"/>
              </w:numPr>
              <w:ind w:right="-2"/>
              <w:rPr>
                <w:b/>
              </w:rPr>
            </w:pPr>
            <w:r w:rsidRPr="001B4A02">
              <w:rPr>
                <w:b/>
              </w:rPr>
              <w:t>Revmatoidní artritida, psoriatická artritida, ankylozující spondylitida nebo axiální spondylartritida bez radiografického průkazu ankylozující spondylitidy</w:t>
            </w:r>
          </w:p>
        </w:tc>
      </w:tr>
      <w:tr w:rsidR="00534A2D" w14:paraId="6F60FA11" w14:textId="77777777" w:rsidTr="006B6963">
        <w:tc>
          <w:tcPr>
            <w:tcW w:w="3095" w:type="dxa"/>
            <w:shd w:val="clear" w:color="auto" w:fill="auto"/>
          </w:tcPr>
          <w:p w14:paraId="5622BC4B" w14:textId="77777777" w:rsidR="006B6963" w:rsidRPr="001B4A02" w:rsidRDefault="00000000" w:rsidP="00EB32F5">
            <w:pPr>
              <w:keepNext/>
              <w:numPr>
                <w:ilvl w:val="12"/>
                <w:numId w:val="0"/>
              </w:numPr>
              <w:ind w:right="-2"/>
            </w:pPr>
            <w:r w:rsidRPr="001B4A02">
              <w:rPr>
                <w:b/>
              </w:rPr>
              <w:t>Věk nebo tělesná hmotnost</w:t>
            </w:r>
          </w:p>
        </w:tc>
        <w:tc>
          <w:tcPr>
            <w:tcW w:w="3096" w:type="dxa"/>
            <w:shd w:val="clear" w:color="auto" w:fill="auto"/>
          </w:tcPr>
          <w:p w14:paraId="0D9E5FB7" w14:textId="77777777" w:rsidR="006B6963" w:rsidRPr="001B4A02" w:rsidRDefault="00000000" w:rsidP="00EB32F5">
            <w:pPr>
              <w:keepNext/>
              <w:numPr>
                <w:ilvl w:val="12"/>
                <w:numId w:val="0"/>
              </w:numPr>
              <w:ind w:right="-2"/>
            </w:pPr>
            <w:r w:rsidRPr="001B4A02">
              <w:rPr>
                <w:b/>
              </w:rPr>
              <w:t xml:space="preserve">Kolik </w:t>
            </w:r>
            <w:r w:rsidR="00FF288D" w:rsidRPr="001B4A02">
              <w:rPr>
                <w:b/>
              </w:rPr>
              <w:t>po</w:t>
            </w:r>
            <w:r w:rsidRPr="001B4A02">
              <w:rPr>
                <w:b/>
              </w:rPr>
              <w:t>užívat</w:t>
            </w:r>
            <w:r w:rsidR="002378E0">
              <w:rPr>
                <w:b/>
              </w:rPr>
              <w:t xml:space="preserve"> a </w:t>
            </w:r>
            <w:r w:rsidRPr="001B4A02">
              <w:rPr>
                <w:b/>
              </w:rPr>
              <w:t>jak často?</w:t>
            </w:r>
          </w:p>
        </w:tc>
        <w:tc>
          <w:tcPr>
            <w:tcW w:w="3096" w:type="dxa"/>
            <w:shd w:val="clear" w:color="auto" w:fill="auto"/>
          </w:tcPr>
          <w:p w14:paraId="0FCABA7D" w14:textId="77777777" w:rsidR="006B6963" w:rsidRPr="001B4A02" w:rsidRDefault="00000000" w:rsidP="00EB32F5">
            <w:pPr>
              <w:keepNext/>
              <w:numPr>
                <w:ilvl w:val="12"/>
                <w:numId w:val="0"/>
              </w:numPr>
              <w:ind w:right="-2"/>
            </w:pPr>
            <w:r w:rsidRPr="001B4A02">
              <w:rPr>
                <w:b/>
              </w:rPr>
              <w:t>Poznámky</w:t>
            </w:r>
          </w:p>
        </w:tc>
      </w:tr>
      <w:tr w:rsidR="00534A2D" w14:paraId="29536CEA" w14:textId="77777777" w:rsidTr="006B6963">
        <w:tc>
          <w:tcPr>
            <w:tcW w:w="3095" w:type="dxa"/>
            <w:shd w:val="clear" w:color="auto" w:fill="auto"/>
          </w:tcPr>
          <w:p w14:paraId="766641E7" w14:textId="77777777" w:rsidR="006B6963" w:rsidRPr="001B4A02" w:rsidRDefault="00000000" w:rsidP="00EB32F5">
            <w:pPr>
              <w:keepNext/>
              <w:numPr>
                <w:ilvl w:val="12"/>
                <w:numId w:val="0"/>
              </w:numPr>
              <w:ind w:right="-2"/>
            </w:pPr>
            <w:r w:rsidRPr="001B4A02">
              <w:t>Dospělí</w:t>
            </w:r>
          </w:p>
        </w:tc>
        <w:tc>
          <w:tcPr>
            <w:tcW w:w="3096" w:type="dxa"/>
            <w:shd w:val="clear" w:color="auto" w:fill="auto"/>
          </w:tcPr>
          <w:p w14:paraId="4BFB3221" w14:textId="77777777" w:rsidR="006B6963" w:rsidRPr="001B4A02" w:rsidRDefault="00000000" w:rsidP="00EB32F5">
            <w:pPr>
              <w:keepNext/>
              <w:numPr>
                <w:ilvl w:val="12"/>
                <w:numId w:val="0"/>
              </w:numPr>
              <w:ind w:right="-2"/>
            </w:pPr>
            <w:r w:rsidRPr="001B4A02">
              <w:t>40</w:t>
            </w:r>
            <w:r w:rsidR="00A7483D">
              <w:t> mg</w:t>
            </w:r>
            <w:r w:rsidRPr="001B4A02">
              <w:t xml:space="preserve"> jednou za dva týdny</w:t>
            </w:r>
          </w:p>
        </w:tc>
        <w:tc>
          <w:tcPr>
            <w:tcW w:w="3096" w:type="dxa"/>
            <w:shd w:val="clear" w:color="auto" w:fill="auto"/>
          </w:tcPr>
          <w:p w14:paraId="7EBEF586" w14:textId="77777777" w:rsidR="006B6963" w:rsidRPr="001B4A02" w:rsidRDefault="00000000" w:rsidP="00EB32F5">
            <w:pPr>
              <w:keepNext/>
              <w:ind w:left="0" w:firstLine="0"/>
            </w:pPr>
            <w:r w:rsidRPr="001B4A02">
              <w:t xml:space="preserve">U revmatoidní artritidy se při léčbě přípravkem Humira pokračuje v podávání methotrexátu. Pokud Váš lékař určí, že je pro Vás methotrexát nevhodný, podává se </w:t>
            </w:r>
            <w:r w:rsidR="004E2192" w:rsidRPr="001B4A02">
              <w:t xml:space="preserve">přípravek </w:t>
            </w:r>
            <w:r w:rsidRPr="001B4A02">
              <w:t>Humira samostatně.</w:t>
            </w:r>
          </w:p>
          <w:p w14:paraId="7EDE1834" w14:textId="77777777" w:rsidR="006B6963" w:rsidRPr="001B4A02" w:rsidRDefault="00000000" w:rsidP="00E863A7">
            <w:pPr>
              <w:keepNext/>
              <w:numPr>
                <w:ilvl w:val="12"/>
                <w:numId w:val="0"/>
              </w:numPr>
              <w:ind w:right="-2"/>
            </w:pPr>
            <w:r w:rsidRPr="001B4A02">
              <w:t>Jestliže máte revmatoidní artritidu</w:t>
            </w:r>
            <w:r w:rsidR="002378E0">
              <w:t xml:space="preserve"> a </w:t>
            </w:r>
            <w:r w:rsidRPr="001B4A02">
              <w:t xml:space="preserve">spolu s přípravkem Humira nedostáváte methotrexát, může lékař rozhodnout, že budete dostávat </w:t>
            </w:r>
            <w:r w:rsidR="00E863A7">
              <w:t xml:space="preserve">přípravek Humira </w:t>
            </w:r>
            <w:r w:rsidRPr="001B4A02">
              <w:t>40</w:t>
            </w:r>
            <w:r w:rsidR="00A7483D">
              <w:t> mg</w:t>
            </w:r>
            <w:r w:rsidRPr="001B4A02">
              <w:t xml:space="preserve"> </w:t>
            </w:r>
            <w:r w:rsidR="005F5E75" w:rsidRPr="001B4A02">
              <w:t xml:space="preserve">jednou týdně </w:t>
            </w:r>
            <w:r w:rsidR="00D45BC2" w:rsidRPr="001B4A02">
              <w:t>nebo 80</w:t>
            </w:r>
            <w:r w:rsidR="00A7483D">
              <w:t> mg</w:t>
            </w:r>
            <w:r w:rsidR="00D45BC2" w:rsidRPr="001B4A02">
              <w:t xml:space="preserve"> jednou za dva týdny</w:t>
            </w:r>
            <w:r w:rsidRPr="001B4A02">
              <w:t>.</w:t>
            </w:r>
          </w:p>
        </w:tc>
      </w:tr>
    </w:tbl>
    <w:p w14:paraId="008627C0" w14:textId="77777777" w:rsidR="006B6963" w:rsidRPr="001B4A02" w:rsidRDefault="006B6963" w:rsidP="00ED48A3">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11"/>
        <w:gridCol w:w="3026"/>
      </w:tblGrid>
      <w:tr w:rsidR="00534A2D" w14:paraId="2E0B38F1" w14:textId="77777777" w:rsidTr="006B6963">
        <w:tc>
          <w:tcPr>
            <w:tcW w:w="9287" w:type="dxa"/>
            <w:gridSpan w:val="3"/>
            <w:shd w:val="clear" w:color="auto" w:fill="auto"/>
          </w:tcPr>
          <w:p w14:paraId="35AFA2F4" w14:textId="77777777" w:rsidR="006B6963" w:rsidRPr="001B4A02" w:rsidRDefault="00000000" w:rsidP="00ED48A3">
            <w:pPr>
              <w:keepNext/>
              <w:numPr>
                <w:ilvl w:val="12"/>
                <w:numId w:val="0"/>
              </w:numPr>
              <w:ind w:right="-2"/>
            </w:pPr>
            <w:r w:rsidRPr="001B4A02">
              <w:rPr>
                <w:b/>
              </w:rPr>
              <w:t>Polyartikulární juvenilní idiopatická artritida</w:t>
            </w:r>
          </w:p>
        </w:tc>
      </w:tr>
      <w:tr w:rsidR="00534A2D" w14:paraId="10CF1464" w14:textId="77777777" w:rsidTr="006B6963">
        <w:tc>
          <w:tcPr>
            <w:tcW w:w="3095" w:type="dxa"/>
            <w:shd w:val="clear" w:color="auto" w:fill="auto"/>
          </w:tcPr>
          <w:p w14:paraId="7F9453BB" w14:textId="77777777" w:rsidR="006B6963" w:rsidRPr="001B4A02" w:rsidRDefault="00000000" w:rsidP="00ED48A3">
            <w:pPr>
              <w:keepNext/>
              <w:numPr>
                <w:ilvl w:val="12"/>
                <w:numId w:val="0"/>
              </w:numPr>
              <w:ind w:right="-2"/>
            </w:pPr>
            <w:r w:rsidRPr="001B4A02">
              <w:rPr>
                <w:b/>
              </w:rPr>
              <w:t>Věk nebo tělesná hmotnost</w:t>
            </w:r>
          </w:p>
        </w:tc>
        <w:tc>
          <w:tcPr>
            <w:tcW w:w="3096" w:type="dxa"/>
            <w:shd w:val="clear" w:color="auto" w:fill="auto"/>
          </w:tcPr>
          <w:p w14:paraId="785D397F" w14:textId="77777777" w:rsidR="006B6963" w:rsidRPr="001B4A02" w:rsidRDefault="00000000" w:rsidP="00ED48A3">
            <w:pPr>
              <w:keepNext/>
              <w:numPr>
                <w:ilvl w:val="12"/>
                <w:numId w:val="0"/>
              </w:numPr>
              <w:ind w:right="-2"/>
            </w:pPr>
            <w:r w:rsidRPr="001B4A02">
              <w:rPr>
                <w:b/>
              </w:rPr>
              <w:t xml:space="preserve">Kolik </w:t>
            </w:r>
            <w:r w:rsidR="00FF288D" w:rsidRPr="001B4A02">
              <w:rPr>
                <w:b/>
              </w:rPr>
              <w:t>po</w:t>
            </w:r>
            <w:r w:rsidRPr="001B4A02">
              <w:rPr>
                <w:b/>
              </w:rPr>
              <w:t>užívat</w:t>
            </w:r>
            <w:r w:rsidR="002378E0">
              <w:rPr>
                <w:b/>
              </w:rPr>
              <w:t xml:space="preserve"> a </w:t>
            </w:r>
            <w:r w:rsidRPr="001B4A02">
              <w:rPr>
                <w:b/>
              </w:rPr>
              <w:t>jak často?</w:t>
            </w:r>
          </w:p>
        </w:tc>
        <w:tc>
          <w:tcPr>
            <w:tcW w:w="3096" w:type="dxa"/>
            <w:shd w:val="clear" w:color="auto" w:fill="auto"/>
          </w:tcPr>
          <w:p w14:paraId="2B73B40D" w14:textId="77777777" w:rsidR="006B6963" w:rsidRPr="001B4A02" w:rsidRDefault="00000000" w:rsidP="00ED48A3">
            <w:pPr>
              <w:numPr>
                <w:ilvl w:val="12"/>
                <w:numId w:val="0"/>
              </w:numPr>
              <w:ind w:right="-2"/>
            </w:pPr>
            <w:r w:rsidRPr="001B4A02">
              <w:rPr>
                <w:b/>
              </w:rPr>
              <w:t>Poznámky</w:t>
            </w:r>
          </w:p>
        </w:tc>
      </w:tr>
      <w:tr w:rsidR="00534A2D" w14:paraId="53CB7163" w14:textId="77777777" w:rsidTr="006B6963">
        <w:tc>
          <w:tcPr>
            <w:tcW w:w="3095" w:type="dxa"/>
            <w:shd w:val="clear" w:color="auto" w:fill="auto"/>
          </w:tcPr>
          <w:p w14:paraId="734E069C" w14:textId="77777777" w:rsidR="006B6963" w:rsidRPr="001B4A02" w:rsidRDefault="00000000" w:rsidP="00E44302">
            <w:pPr>
              <w:keepNext/>
              <w:numPr>
                <w:ilvl w:val="12"/>
                <w:numId w:val="0"/>
              </w:numPr>
              <w:ind w:right="-2"/>
            </w:pPr>
            <w:r w:rsidRPr="001B4A02">
              <w:t>Děti</w:t>
            </w:r>
            <w:r w:rsidR="00FB1E29" w:rsidRPr="001B4A02">
              <w:t>, dospívající</w:t>
            </w:r>
            <w:r w:rsidR="002378E0">
              <w:t xml:space="preserve"> a </w:t>
            </w:r>
            <w:r w:rsidRPr="001B4A02">
              <w:t xml:space="preserve">dospělí </w:t>
            </w:r>
            <w:r w:rsidR="00E44302" w:rsidRPr="001B4A02">
              <w:t xml:space="preserve">od 2 let </w:t>
            </w:r>
            <w:r w:rsidRPr="001B4A02">
              <w:t>s tělesnou hmotností 30 kg nebo vyšší</w:t>
            </w:r>
          </w:p>
        </w:tc>
        <w:tc>
          <w:tcPr>
            <w:tcW w:w="3096" w:type="dxa"/>
            <w:shd w:val="clear" w:color="auto" w:fill="auto"/>
          </w:tcPr>
          <w:p w14:paraId="1360770D" w14:textId="77777777" w:rsidR="006B6963" w:rsidRPr="001B4A02" w:rsidRDefault="00000000" w:rsidP="00ED48A3">
            <w:pPr>
              <w:keepNext/>
              <w:numPr>
                <w:ilvl w:val="12"/>
                <w:numId w:val="0"/>
              </w:numPr>
              <w:ind w:right="-2"/>
            </w:pPr>
            <w:r w:rsidRPr="001B4A02">
              <w:t>40</w:t>
            </w:r>
            <w:r w:rsidR="00A7483D">
              <w:t> mg</w:t>
            </w:r>
            <w:r w:rsidRPr="001B4A02">
              <w:t xml:space="preserve"> jednou za dva týdny</w:t>
            </w:r>
          </w:p>
        </w:tc>
        <w:tc>
          <w:tcPr>
            <w:tcW w:w="3096" w:type="dxa"/>
            <w:shd w:val="clear" w:color="auto" w:fill="auto"/>
          </w:tcPr>
          <w:p w14:paraId="76C3E23F" w14:textId="77777777" w:rsidR="006B6963" w:rsidRPr="001B4A02" w:rsidRDefault="00000000" w:rsidP="00773F5C">
            <w:pPr>
              <w:numPr>
                <w:ilvl w:val="12"/>
                <w:numId w:val="0"/>
              </w:numPr>
              <w:ind w:right="-2"/>
            </w:pPr>
            <w:r w:rsidRPr="001B4A02">
              <w:t>Nepoužitelné</w:t>
            </w:r>
          </w:p>
        </w:tc>
      </w:tr>
      <w:tr w:rsidR="00534A2D" w14:paraId="23568DE9" w14:textId="77777777" w:rsidTr="006B6963">
        <w:tc>
          <w:tcPr>
            <w:tcW w:w="3095" w:type="dxa"/>
            <w:shd w:val="clear" w:color="auto" w:fill="auto"/>
          </w:tcPr>
          <w:p w14:paraId="3EC9CF63" w14:textId="77777777" w:rsidR="0074704A" w:rsidRPr="001B4A02" w:rsidRDefault="00000000" w:rsidP="00E44302">
            <w:pPr>
              <w:keepNext/>
              <w:numPr>
                <w:ilvl w:val="12"/>
                <w:numId w:val="0"/>
              </w:numPr>
              <w:ind w:right="-2"/>
            </w:pPr>
            <w:r w:rsidRPr="001B4A02">
              <w:t>Děti</w:t>
            </w:r>
            <w:r w:rsidR="002378E0">
              <w:t xml:space="preserve"> a </w:t>
            </w:r>
            <w:r w:rsidR="00FB1E29" w:rsidRPr="001B4A02">
              <w:t>dospívající</w:t>
            </w:r>
            <w:r w:rsidRPr="001B4A02">
              <w:t xml:space="preserve"> </w:t>
            </w:r>
            <w:r w:rsidR="00E44302" w:rsidRPr="001B4A02">
              <w:t xml:space="preserve">od 2 let </w:t>
            </w:r>
            <w:r w:rsidRPr="001B4A02">
              <w:t xml:space="preserve">s tělesnou hmotností </w:t>
            </w:r>
            <w:r w:rsidR="00783FD1" w:rsidRPr="001B4A02">
              <w:t xml:space="preserve">od </w:t>
            </w:r>
            <w:r w:rsidRPr="001B4A02">
              <w:t xml:space="preserve">10 kg </w:t>
            </w:r>
            <w:r w:rsidR="00783FD1" w:rsidRPr="001B4A02">
              <w:t>do</w:t>
            </w:r>
            <w:r w:rsidRPr="001B4A02">
              <w:t xml:space="preserve"> 30 kg</w:t>
            </w:r>
          </w:p>
        </w:tc>
        <w:tc>
          <w:tcPr>
            <w:tcW w:w="3096" w:type="dxa"/>
            <w:shd w:val="clear" w:color="auto" w:fill="auto"/>
          </w:tcPr>
          <w:p w14:paraId="5F25DC6F" w14:textId="77777777" w:rsidR="0074704A" w:rsidRPr="001B4A02" w:rsidRDefault="00000000" w:rsidP="0074704A">
            <w:pPr>
              <w:keepNext/>
              <w:numPr>
                <w:ilvl w:val="12"/>
                <w:numId w:val="0"/>
              </w:numPr>
              <w:ind w:right="-2"/>
            </w:pPr>
            <w:r w:rsidRPr="001B4A02">
              <w:t>20</w:t>
            </w:r>
            <w:r w:rsidR="00A7483D">
              <w:t> mg</w:t>
            </w:r>
            <w:r w:rsidRPr="001B4A02">
              <w:t xml:space="preserve"> jednou za dva týdny</w:t>
            </w:r>
          </w:p>
        </w:tc>
        <w:tc>
          <w:tcPr>
            <w:tcW w:w="3096" w:type="dxa"/>
            <w:shd w:val="clear" w:color="auto" w:fill="auto"/>
          </w:tcPr>
          <w:p w14:paraId="4A867580" w14:textId="77777777" w:rsidR="0074704A" w:rsidRPr="001B4A02" w:rsidRDefault="00000000" w:rsidP="00773F5C">
            <w:pPr>
              <w:numPr>
                <w:ilvl w:val="12"/>
                <w:numId w:val="0"/>
              </w:numPr>
              <w:ind w:right="-2"/>
            </w:pPr>
            <w:r w:rsidRPr="001B4A02">
              <w:t>Nepoužitelné</w:t>
            </w:r>
          </w:p>
        </w:tc>
      </w:tr>
    </w:tbl>
    <w:p w14:paraId="4A8EF863" w14:textId="77777777" w:rsidR="006B6963" w:rsidRPr="001B4A02" w:rsidRDefault="006B6963" w:rsidP="00ED48A3">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11"/>
        <w:gridCol w:w="3026"/>
      </w:tblGrid>
      <w:tr w:rsidR="00534A2D" w14:paraId="320DFEAB" w14:textId="77777777" w:rsidTr="006B6963">
        <w:tc>
          <w:tcPr>
            <w:tcW w:w="9287" w:type="dxa"/>
            <w:gridSpan w:val="3"/>
            <w:shd w:val="clear" w:color="auto" w:fill="auto"/>
          </w:tcPr>
          <w:p w14:paraId="69DBD883" w14:textId="77777777" w:rsidR="006B6963" w:rsidRPr="001B4A02" w:rsidRDefault="00000000" w:rsidP="00ED48A3">
            <w:pPr>
              <w:keepNext/>
              <w:numPr>
                <w:ilvl w:val="12"/>
                <w:numId w:val="0"/>
              </w:numPr>
              <w:ind w:right="-2"/>
              <w:rPr>
                <w:b/>
              </w:rPr>
            </w:pPr>
            <w:r w:rsidRPr="001B4A02">
              <w:rPr>
                <w:b/>
              </w:rPr>
              <w:t>Entezopatická artritida</w:t>
            </w:r>
          </w:p>
        </w:tc>
      </w:tr>
      <w:tr w:rsidR="00534A2D" w14:paraId="71A77ED9" w14:textId="77777777" w:rsidTr="006B6963">
        <w:tc>
          <w:tcPr>
            <w:tcW w:w="3095" w:type="dxa"/>
            <w:shd w:val="clear" w:color="auto" w:fill="auto"/>
          </w:tcPr>
          <w:p w14:paraId="5DEFC13B" w14:textId="77777777" w:rsidR="006B6963" w:rsidRPr="001B4A02" w:rsidRDefault="00000000" w:rsidP="00ED48A3">
            <w:pPr>
              <w:keepNext/>
              <w:numPr>
                <w:ilvl w:val="12"/>
                <w:numId w:val="0"/>
              </w:numPr>
              <w:ind w:right="-2"/>
            </w:pPr>
            <w:r w:rsidRPr="001B4A02">
              <w:rPr>
                <w:b/>
              </w:rPr>
              <w:t>Věk nebo tělesná hmotnost</w:t>
            </w:r>
          </w:p>
        </w:tc>
        <w:tc>
          <w:tcPr>
            <w:tcW w:w="3096" w:type="dxa"/>
            <w:shd w:val="clear" w:color="auto" w:fill="auto"/>
          </w:tcPr>
          <w:p w14:paraId="51D4EFD7" w14:textId="77777777" w:rsidR="006B6963" w:rsidRPr="001B4A02" w:rsidRDefault="00000000" w:rsidP="00ED48A3">
            <w:pPr>
              <w:keepNext/>
              <w:numPr>
                <w:ilvl w:val="12"/>
                <w:numId w:val="0"/>
              </w:numPr>
              <w:ind w:right="-2"/>
            </w:pPr>
            <w:r w:rsidRPr="001B4A02">
              <w:rPr>
                <w:b/>
              </w:rPr>
              <w:t xml:space="preserve">Kolik </w:t>
            </w:r>
            <w:r w:rsidR="00FF288D" w:rsidRPr="001B4A02">
              <w:rPr>
                <w:b/>
              </w:rPr>
              <w:t>po</w:t>
            </w:r>
            <w:r w:rsidRPr="001B4A02">
              <w:rPr>
                <w:b/>
              </w:rPr>
              <w:t>užívat</w:t>
            </w:r>
            <w:r w:rsidR="002378E0">
              <w:rPr>
                <w:b/>
              </w:rPr>
              <w:t xml:space="preserve"> a </w:t>
            </w:r>
            <w:r w:rsidRPr="001B4A02">
              <w:rPr>
                <w:b/>
              </w:rPr>
              <w:t>jak často?</w:t>
            </w:r>
          </w:p>
        </w:tc>
        <w:tc>
          <w:tcPr>
            <w:tcW w:w="3096" w:type="dxa"/>
            <w:shd w:val="clear" w:color="auto" w:fill="auto"/>
          </w:tcPr>
          <w:p w14:paraId="7101EB29" w14:textId="77777777" w:rsidR="006B6963" w:rsidRPr="001B4A02" w:rsidRDefault="00000000" w:rsidP="00ED48A3">
            <w:pPr>
              <w:keepNext/>
              <w:numPr>
                <w:ilvl w:val="12"/>
                <w:numId w:val="0"/>
              </w:numPr>
              <w:ind w:right="-2"/>
            </w:pPr>
            <w:r w:rsidRPr="001B4A02">
              <w:rPr>
                <w:b/>
              </w:rPr>
              <w:t>Poznámky</w:t>
            </w:r>
          </w:p>
        </w:tc>
      </w:tr>
      <w:tr w:rsidR="00534A2D" w14:paraId="59750C5F" w14:textId="77777777" w:rsidTr="006B6963">
        <w:tc>
          <w:tcPr>
            <w:tcW w:w="3095" w:type="dxa"/>
            <w:shd w:val="clear" w:color="auto" w:fill="auto"/>
          </w:tcPr>
          <w:p w14:paraId="41BA4DE2" w14:textId="77777777" w:rsidR="00256F99" w:rsidRPr="001B4A02" w:rsidRDefault="00000000" w:rsidP="00E44302">
            <w:pPr>
              <w:keepNext/>
              <w:numPr>
                <w:ilvl w:val="12"/>
                <w:numId w:val="0"/>
              </w:numPr>
              <w:ind w:right="-2"/>
            </w:pPr>
            <w:r w:rsidRPr="001B4A02">
              <w:t>Děti, dospívající</w:t>
            </w:r>
            <w:r w:rsidR="002378E0">
              <w:t xml:space="preserve"> a </w:t>
            </w:r>
            <w:r w:rsidRPr="001B4A02">
              <w:t xml:space="preserve">dospělí </w:t>
            </w:r>
            <w:r w:rsidR="00E44302" w:rsidRPr="001B4A02">
              <w:t xml:space="preserve">od 6 let </w:t>
            </w:r>
            <w:r w:rsidRPr="001B4A02">
              <w:t>s tělesnou hmotností 30 kg nebo vyšší</w:t>
            </w:r>
          </w:p>
        </w:tc>
        <w:tc>
          <w:tcPr>
            <w:tcW w:w="3096" w:type="dxa"/>
            <w:shd w:val="clear" w:color="auto" w:fill="auto"/>
          </w:tcPr>
          <w:p w14:paraId="234AA51B" w14:textId="77777777" w:rsidR="00256F99" w:rsidRPr="001B4A02" w:rsidRDefault="00000000" w:rsidP="00256F99">
            <w:pPr>
              <w:keepNext/>
              <w:numPr>
                <w:ilvl w:val="12"/>
                <w:numId w:val="0"/>
              </w:numPr>
              <w:ind w:right="-2"/>
            </w:pPr>
            <w:r w:rsidRPr="001B4A02">
              <w:t>40</w:t>
            </w:r>
            <w:r w:rsidR="00A7483D">
              <w:t> mg</w:t>
            </w:r>
            <w:r w:rsidRPr="001B4A02">
              <w:t xml:space="preserve"> jednou za dva týdny</w:t>
            </w:r>
          </w:p>
        </w:tc>
        <w:tc>
          <w:tcPr>
            <w:tcW w:w="3096" w:type="dxa"/>
            <w:shd w:val="clear" w:color="auto" w:fill="auto"/>
          </w:tcPr>
          <w:p w14:paraId="01ACB3A9" w14:textId="77777777" w:rsidR="00256F99" w:rsidRPr="001B4A02" w:rsidRDefault="00000000" w:rsidP="00773F5C">
            <w:pPr>
              <w:keepNext/>
              <w:numPr>
                <w:ilvl w:val="12"/>
                <w:numId w:val="0"/>
              </w:numPr>
              <w:ind w:right="-2"/>
            </w:pPr>
            <w:r w:rsidRPr="001B4A02">
              <w:t>Nepoužitelné</w:t>
            </w:r>
          </w:p>
        </w:tc>
      </w:tr>
      <w:tr w:rsidR="00534A2D" w14:paraId="0EB983D0" w14:textId="77777777" w:rsidTr="006B6963">
        <w:tc>
          <w:tcPr>
            <w:tcW w:w="3095" w:type="dxa"/>
            <w:shd w:val="clear" w:color="auto" w:fill="auto"/>
          </w:tcPr>
          <w:p w14:paraId="7A687845" w14:textId="77777777" w:rsidR="00256F99" w:rsidRPr="001B4A02" w:rsidRDefault="00000000" w:rsidP="00E44302">
            <w:pPr>
              <w:keepNext/>
              <w:numPr>
                <w:ilvl w:val="12"/>
                <w:numId w:val="0"/>
              </w:numPr>
              <w:ind w:right="-2"/>
            </w:pPr>
            <w:r w:rsidRPr="001B4A02">
              <w:t>Děti</w:t>
            </w:r>
            <w:r w:rsidR="002378E0">
              <w:t xml:space="preserve"> a </w:t>
            </w:r>
            <w:r w:rsidRPr="001B4A02">
              <w:t xml:space="preserve">dospívající </w:t>
            </w:r>
            <w:r w:rsidR="00E44302" w:rsidRPr="001B4A02">
              <w:t xml:space="preserve">od 6 let </w:t>
            </w:r>
            <w:r w:rsidRPr="001B4A02">
              <w:t xml:space="preserve">s tělesnou hmotností </w:t>
            </w:r>
            <w:r w:rsidR="00783FD1" w:rsidRPr="001B4A02">
              <w:t xml:space="preserve">od </w:t>
            </w:r>
            <w:r w:rsidRPr="001B4A02">
              <w:t xml:space="preserve">15 kg </w:t>
            </w:r>
            <w:r w:rsidR="00783FD1" w:rsidRPr="001B4A02">
              <w:t>do</w:t>
            </w:r>
            <w:r w:rsidRPr="001B4A02">
              <w:t xml:space="preserve"> 30 kg</w:t>
            </w:r>
          </w:p>
        </w:tc>
        <w:tc>
          <w:tcPr>
            <w:tcW w:w="3096" w:type="dxa"/>
            <w:shd w:val="clear" w:color="auto" w:fill="auto"/>
          </w:tcPr>
          <w:p w14:paraId="14DAE528" w14:textId="77777777" w:rsidR="00256F99" w:rsidRPr="001B4A02" w:rsidRDefault="00000000" w:rsidP="00256F99">
            <w:pPr>
              <w:keepNext/>
              <w:numPr>
                <w:ilvl w:val="12"/>
                <w:numId w:val="0"/>
              </w:numPr>
              <w:ind w:right="-2"/>
            </w:pPr>
            <w:r w:rsidRPr="001B4A02">
              <w:t>20</w:t>
            </w:r>
            <w:r w:rsidR="00A7483D">
              <w:t> mg</w:t>
            </w:r>
            <w:r w:rsidRPr="001B4A02">
              <w:t xml:space="preserve"> jednou za dva týdny</w:t>
            </w:r>
          </w:p>
        </w:tc>
        <w:tc>
          <w:tcPr>
            <w:tcW w:w="3096" w:type="dxa"/>
            <w:shd w:val="clear" w:color="auto" w:fill="auto"/>
          </w:tcPr>
          <w:p w14:paraId="2C95ED33" w14:textId="77777777" w:rsidR="00256F99" w:rsidRPr="001B4A02" w:rsidRDefault="00000000" w:rsidP="00773F5C">
            <w:pPr>
              <w:keepNext/>
              <w:numPr>
                <w:ilvl w:val="12"/>
                <w:numId w:val="0"/>
              </w:numPr>
              <w:ind w:right="-2"/>
            </w:pPr>
            <w:r w:rsidRPr="001B4A02">
              <w:t>Nepoužitelné</w:t>
            </w:r>
          </w:p>
        </w:tc>
      </w:tr>
    </w:tbl>
    <w:p w14:paraId="7E028492" w14:textId="77777777" w:rsidR="006B6963" w:rsidRPr="001B4A02" w:rsidRDefault="006B6963" w:rsidP="00ED48A3">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3"/>
      </w:tblGrid>
      <w:tr w:rsidR="00534A2D" w14:paraId="6BBADB83" w14:textId="77777777" w:rsidTr="006B6963">
        <w:tc>
          <w:tcPr>
            <w:tcW w:w="9287" w:type="dxa"/>
            <w:gridSpan w:val="3"/>
            <w:shd w:val="clear" w:color="auto" w:fill="auto"/>
          </w:tcPr>
          <w:p w14:paraId="41A4D637" w14:textId="77777777" w:rsidR="006B6963" w:rsidRPr="001B4A02" w:rsidRDefault="00000000" w:rsidP="00ED48A3">
            <w:pPr>
              <w:numPr>
                <w:ilvl w:val="12"/>
                <w:numId w:val="0"/>
              </w:numPr>
              <w:ind w:right="-2"/>
            </w:pPr>
            <w:r w:rsidRPr="001B4A02">
              <w:rPr>
                <w:b/>
              </w:rPr>
              <w:t>Ložisková psoriáza</w:t>
            </w:r>
          </w:p>
        </w:tc>
      </w:tr>
      <w:tr w:rsidR="00534A2D" w14:paraId="677400D6" w14:textId="77777777" w:rsidTr="006B6963">
        <w:tc>
          <w:tcPr>
            <w:tcW w:w="3095" w:type="dxa"/>
            <w:shd w:val="clear" w:color="auto" w:fill="auto"/>
          </w:tcPr>
          <w:p w14:paraId="7A842121" w14:textId="77777777" w:rsidR="006B6963" w:rsidRPr="001B4A02" w:rsidRDefault="00000000" w:rsidP="00ED48A3">
            <w:pPr>
              <w:numPr>
                <w:ilvl w:val="12"/>
                <w:numId w:val="0"/>
              </w:numPr>
              <w:ind w:right="-2"/>
            </w:pPr>
            <w:r w:rsidRPr="001B4A02">
              <w:rPr>
                <w:b/>
              </w:rPr>
              <w:t>Věk nebo tělesná hmotnost</w:t>
            </w:r>
          </w:p>
        </w:tc>
        <w:tc>
          <w:tcPr>
            <w:tcW w:w="3096" w:type="dxa"/>
            <w:shd w:val="clear" w:color="auto" w:fill="auto"/>
          </w:tcPr>
          <w:p w14:paraId="39F7E899" w14:textId="77777777" w:rsidR="006B6963" w:rsidRPr="001B4A02" w:rsidRDefault="00000000" w:rsidP="00ED48A3">
            <w:pPr>
              <w:numPr>
                <w:ilvl w:val="12"/>
                <w:numId w:val="0"/>
              </w:numPr>
              <w:ind w:right="-2"/>
            </w:pPr>
            <w:r w:rsidRPr="001B4A02">
              <w:rPr>
                <w:b/>
              </w:rPr>
              <w:t xml:space="preserve">Kolik </w:t>
            </w:r>
            <w:r w:rsidR="00FF288D" w:rsidRPr="001B4A02">
              <w:rPr>
                <w:b/>
              </w:rPr>
              <w:t>po</w:t>
            </w:r>
            <w:r w:rsidRPr="001B4A02">
              <w:rPr>
                <w:b/>
              </w:rPr>
              <w:t>užívat</w:t>
            </w:r>
            <w:r w:rsidR="002378E0">
              <w:rPr>
                <w:b/>
              </w:rPr>
              <w:t xml:space="preserve"> a </w:t>
            </w:r>
            <w:r w:rsidRPr="001B4A02">
              <w:rPr>
                <w:b/>
              </w:rPr>
              <w:t>jak často?</w:t>
            </w:r>
          </w:p>
        </w:tc>
        <w:tc>
          <w:tcPr>
            <w:tcW w:w="3096" w:type="dxa"/>
            <w:shd w:val="clear" w:color="auto" w:fill="auto"/>
          </w:tcPr>
          <w:p w14:paraId="76A307ED" w14:textId="77777777" w:rsidR="006B6963" w:rsidRPr="001B4A02" w:rsidRDefault="00000000" w:rsidP="00ED48A3">
            <w:pPr>
              <w:numPr>
                <w:ilvl w:val="12"/>
                <w:numId w:val="0"/>
              </w:numPr>
              <w:ind w:right="-2"/>
            </w:pPr>
            <w:r w:rsidRPr="001B4A02">
              <w:rPr>
                <w:b/>
              </w:rPr>
              <w:t>Poznámky</w:t>
            </w:r>
          </w:p>
        </w:tc>
      </w:tr>
      <w:tr w:rsidR="00534A2D" w14:paraId="4A89E916" w14:textId="77777777" w:rsidTr="006B6963">
        <w:tc>
          <w:tcPr>
            <w:tcW w:w="3095" w:type="dxa"/>
            <w:shd w:val="clear" w:color="auto" w:fill="auto"/>
          </w:tcPr>
          <w:p w14:paraId="685107C1" w14:textId="77777777" w:rsidR="006B6963" w:rsidRPr="001B4A02" w:rsidRDefault="00000000" w:rsidP="00ED48A3">
            <w:pPr>
              <w:numPr>
                <w:ilvl w:val="12"/>
                <w:numId w:val="0"/>
              </w:numPr>
              <w:ind w:right="-2"/>
            </w:pPr>
            <w:r w:rsidRPr="001B4A02">
              <w:t>Dospělí</w:t>
            </w:r>
          </w:p>
          <w:p w14:paraId="07A3542E" w14:textId="77777777" w:rsidR="006B6963" w:rsidRPr="001B4A02" w:rsidRDefault="006B6963" w:rsidP="00ED48A3">
            <w:pPr>
              <w:numPr>
                <w:ilvl w:val="12"/>
                <w:numId w:val="0"/>
              </w:numPr>
              <w:ind w:right="-2"/>
            </w:pPr>
          </w:p>
        </w:tc>
        <w:tc>
          <w:tcPr>
            <w:tcW w:w="3096" w:type="dxa"/>
            <w:shd w:val="clear" w:color="auto" w:fill="auto"/>
          </w:tcPr>
          <w:p w14:paraId="1FE10CC1" w14:textId="77777777" w:rsidR="006B6963" w:rsidRPr="001B4A02" w:rsidRDefault="00000000" w:rsidP="00710CD0">
            <w:pPr>
              <w:numPr>
                <w:ilvl w:val="12"/>
                <w:numId w:val="0"/>
              </w:numPr>
              <w:ind w:right="-2"/>
            </w:pPr>
            <w:r w:rsidRPr="001B4A02">
              <w:t>První dávka 80</w:t>
            </w:r>
            <w:r w:rsidR="00A7483D">
              <w:t> mg</w:t>
            </w:r>
            <w:r w:rsidRPr="001B4A02">
              <w:t xml:space="preserve"> (dvě injekce po 40</w:t>
            </w:r>
            <w:r w:rsidR="00A7483D">
              <w:t> mg</w:t>
            </w:r>
            <w:r w:rsidRPr="001B4A02">
              <w:t xml:space="preserve"> v jeden den) následovaná dávkou 40</w:t>
            </w:r>
            <w:r w:rsidR="00A7483D">
              <w:t> mg</w:t>
            </w:r>
            <w:r w:rsidRPr="001B4A02">
              <w:t xml:space="preserve"> jednou za dva týdny, počínaje jedn</w:t>
            </w:r>
            <w:r w:rsidR="00032F16" w:rsidRPr="001B4A02">
              <w:t>ím</w:t>
            </w:r>
            <w:r w:rsidRPr="001B4A02">
              <w:t xml:space="preserve"> týdn</w:t>
            </w:r>
            <w:r w:rsidR="00032F16" w:rsidRPr="001B4A02">
              <w:t>em</w:t>
            </w:r>
            <w:r w:rsidRPr="001B4A02">
              <w:t xml:space="preserve"> po první dávce.</w:t>
            </w:r>
          </w:p>
        </w:tc>
        <w:tc>
          <w:tcPr>
            <w:tcW w:w="3096" w:type="dxa"/>
            <w:shd w:val="clear" w:color="auto" w:fill="auto"/>
          </w:tcPr>
          <w:p w14:paraId="17B309C1" w14:textId="77777777" w:rsidR="006B6963" w:rsidRPr="001B4A02" w:rsidRDefault="00000000" w:rsidP="00B20827">
            <w:pPr>
              <w:ind w:left="0" w:firstLine="0"/>
            </w:pPr>
            <w:r w:rsidRPr="001B4A02">
              <w:t xml:space="preserve">Jestliže je Vaše odpověď nedostatečná, lékař může zvýšit </w:t>
            </w:r>
            <w:r w:rsidR="0096238D" w:rsidRPr="001B4A02">
              <w:t xml:space="preserve">dávkování </w:t>
            </w:r>
            <w:r w:rsidRPr="001B4A02">
              <w:t>na 40</w:t>
            </w:r>
            <w:r w:rsidR="00A7483D">
              <w:t> mg</w:t>
            </w:r>
            <w:r w:rsidRPr="001B4A02">
              <w:t xml:space="preserve"> jednou týdně</w:t>
            </w:r>
            <w:r w:rsidR="00D45BC2" w:rsidRPr="001B4A02">
              <w:t xml:space="preserve"> nebo 80</w:t>
            </w:r>
            <w:r w:rsidR="00A7483D">
              <w:t> mg</w:t>
            </w:r>
            <w:r w:rsidR="00D45BC2" w:rsidRPr="001B4A02">
              <w:t xml:space="preserve"> jednou za dva týdny</w:t>
            </w:r>
            <w:r w:rsidRPr="001B4A02">
              <w:t>.</w:t>
            </w:r>
          </w:p>
        </w:tc>
      </w:tr>
      <w:tr w:rsidR="00534A2D" w14:paraId="6FC78C8E" w14:textId="77777777" w:rsidTr="006B6963">
        <w:tc>
          <w:tcPr>
            <w:tcW w:w="3095" w:type="dxa"/>
            <w:shd w:val="clear" w:color="auto" w:fill="auto"/>
          </w:tcPr>
          <w:p w14:paraId="27BFBEC5" w14:textId="77777777" w:rsidR="00256F99" w:rsidRPr="001B4A02" w:rsidRDefault="00000000" w:rsidP="00256F99">
            <w:pPr>
              <w:numPr>
                <w:ilvl w:val="12"/>
                <w:numId w:val="0"/>
              </w:numPr>
              <w:ind w:right="-2"/>
            </w:pPr>
            <w:r w:rsidRPr="001B4A02">
              <w:t>Děti</w:t>
            </w:r>
            <w:r w:rsidR="002378E0">
              <w:t xml:space="preserve"> a </w:t>
            </w:r>
            <w:r w:rsidRPr="001B4A02">
              <w:t>dospívající od 4 do 17 let s tělesnou hmotností 30 kg nebo vyšší</w:t>
            </w:r>
          </w:p>
        </w:tc>
        <w:tc>
          <w:tcPr>
            <w:tcW w:w="3096" w:type="dxa"/>
            <w:shd w:val="clear" w:color="auto" w:fill="auto"/>
          </w:tcPr>
          <w:p w14:paraId="020653E0" w14:textId="77777777" w:rsidR="00256F99" w:rsidRPr="001B4A02" w:rsidRDefault="00000000" w:rsidP="00256F99">
            <w:pPr>
              <w:numPr>
                <w:ilvl w:val="12"/>
                <w:numId w:val="0"/>
              </w:numPr>
              <w:ind w:right="-2"/>
            </w:pPr>
            <w:r w:rsidRPr="001B4A02">
              <w:t>První dávka 40</w:t>
            </w:r>
            <w:r w:rsidR="00A7483D">
              <w:t> mg</w:t>
            </w:r>
            <w:r w:rsidRPr="001B4A02">
              <w:t xml:space="preserve"> následovaná o</w:t>
            </w:r>
            <w:r w:rsidR="00F46CFA" w:rsidRPr="001B4A02">
              <w:t> </w:t>
            </w:r>
            <w:r w:rsidRPr="001B4A02">
              <w:t>týden později dávkou 40 mg</w:t>
            </w:r>
            <w:r w:rsidR="00355655" w:rsidRPr="001B4A02">
              <w:t>.</w:t>
            </w:r>
          </w:p>
          <w:p w14:paraId="47CC76B7" w14:textId="77777777" w:rsidR="00256F99" w:rsidRPr="001B4A02" w:rsidRDefault="00256F99" w:rsidP="00256F99">
            <w:pPr>
              <w:numPr>
                <w:ilvl w:val="12"/>
                <w:numId w:val="0"/>
              </w:numPr>
              <w:ind w:right="-2"/>
            </w:pPr>
          </w:p>
          <w:p w14:paraId="09F3291F" w14:textId="77777777" w:rsidR="00256F99" w:rsidRPr="001B4A02" w:rsidRDefault="00000000" w:rsidP="00256F99">
            <w:pPr>
              <w:numPr>
                <w:ilvl w:val="12"/>
                <w:numId w:val="0"/>
              </w:numPr>
              <w:ind w:right="-2"/>
            </w:pPr>
            <w:r w:rsidRPr="001B4A02">
              <w:t xml:space="preserve">Poté se podává obvyklá dávka </w:t>
            </w:r>
            <w:r w:rsidR="00154F04">
              <w:t>4</w:t>
            </w:r>
            <w:r w:rsidRPr="001B4A02">
              <w:t>0</w:t>
            </w:r>
            <w:r w:rsidR="00A7483D">
              <w:t> mg</w:t>
            </w:r>
            <w:r w:rsidRPr="001B4A02">
              <w:t xml:space="preserve"> jednou za dva týdny.</w:t>
            </w:r>
          </w:p>
        </w:tc>
        <w:tc>
          <w:tcPr>
            <w:tcW w:w="3096" w:type="dxa"/>
            <w:shd w:val="clear" w:color="auto" w:fill="auto"/>
          </w:tcPr>
          <w:p w14:paraId="507D3E30" w14:textId="77777777" w:rsidR="00256F99" w:rsidRPr="001B4A02" w:rsidRDefault="00000000" w:rsidP="00773F5C">
            <w:pPr>
              <w:numPr>
                <w:ilvl w:val="12"/>
                <w:numId w:val="0"/>
              </w:numPr>
              <w:ind w:right="-2"/>
            </w:pPr>
            <w:r w:rsidRPr="001B4A02">
              <w:t>Nepoužitelné</w:t>
            </w:r>
          </w:p>
        </w:tc>
      </w:tr>
      <w:tr w:rsidR="00534A2D" w14:paraId="06C275D2" w14:textId="77777777" w:rsidTr="006B6963">
        <w:tc>
          <w:tcPr>
            <w:tcW w:w="3095" w:type="dxa"/>
            <w:shd w:val="clear" w:color="auto" w:fill="auto"/>
          </w:tcPr>
          <w:p w14:paraId="55680A9D" w14:textId="77777777" w:rsidR="00256F99" w:rsidRPr="001B4A02" w:rsidRDefault="00000000" w:rsidP="00783FD1">
            <w:pPr>
              <w:numPr>
                <w:ilvl w:val="12"/>
                <w:numId w:val="0"/>
              </w:numPr>
              <w:ind w:right="-2"/>
            </w:pPr>
            <w:r w:rsidRPr="001B4A02">
              <w:t>Děti</w:t>
            </w:r>
            <w:r w:rsidR="002378E0">
              <w:t xml:space="preserve"> a </w:t>
            </w:r>
            <w:r w:rsidRPr="001B4A02">
              <w:t xml:space="preserve">dospívající od 4 do 17 let s tělesnou hmotností </w:t>
            </w:r>
            <w:r w:rsidR="00783FD1" w:rsidRPr="001B4A02">
              <w:t xml:space="preserve">od </w:t>
            </w:r>
            <w:r w:rsidRPr="001B4A02">
              <w:t xml:space="preserve">15 kg </w:t>
            </w:r>
            <w:r w:rsidR="00783FD1" w:rsidRPr="001B4A02">
              <w:t>do</w:t>
            </w:r>
            <w:r w:rsidRPr="001B4A02">
              <w:t xml:space="preserve"> 30 kg</w:t>
            </w:r>
          </w:p>
        </w:tc>
        <w:tc>
          <w:tcPr>
            <w:tcW w:w="3096" w:type="dxa"/>
            <w:shd w:val="clear" w:color="auto" w:fill="auto"/>
          </w:tcPr>
          <w:p w14:paraId="136BF996" w14:textId="77777777" w:rsidR="00256F99" w:rsidRPr="001B4A02" w:rsidRDefault="00000000" w:rsidP="00256F99">
            <w:pPr>
              <w:numPr>
                <w:ilvl w:val="12"/>
                <w:numId w:val="0"/>
              </w:numPr>
              <w:ind w:right="-2"/>
            </w:pPr>
            <w:r w:rsidRPr="001B4A02">
              <w:t>První dávka 20 mg následovaná o</w:t>
            </w:r>
            <w:r w:rsidR="00F46CFA" w:rsidRPr="001B4A02">
              <w:t> </w:t>
            </w:r>
            <w:r w:rsidRPr="001B4A02">
              <w:t>týden později dávkou 20 mg</w:t>
            </w:r>
            <w:r w:rsidR="00B20827" w:rsidRPr="001B4A02">
              <w:t>.</w:t>
            </w:r>
          </w:p>
          <w:p w14:paraId="3052AD16" w14:textId="77777777" w:rsidR="00256F99" w:rsidRPr="001B4A02" w:rsidRDefault="00256F99" w:rsidP="00256F99">
            <w:pPr>
              <w:numPr>
                <w:ilvl w:val="12"/>
                <w:numId w:val="0"/>
              </w:numPr>
              <w:ind w:right="-2"/>
            </w:pPr>
          </w:p>
          <w:p w14:paraId="6EC6E44E" w14:textId="77777777" w:rsidR="00256F99" w:rsidRPr="001B4A02" w:rsidRDefault="00000000" w:rsidP="00256F99">
            <w:pPr>
              <w:numPr>
                <w:ilvl w:val="12"/>
                <w:numId w:val="0"/>
              </w:numPr>
              <w:ind w:right="-2"/>
            </w:pPr>
            <w:r w:rsidRPr="001B4A02">
              <w:t>Poté se podává obvyklá dávka 20</w:t>
            </w:r>
            <w:r w:rsidR="00A7483D">
              <w:t> mg</w:t>
            </w:r>
            <w:r w:rsidRPr="001B4A02">
              <w:t xml:space="preserve"> jednou za dva týdny.</w:t>
            </w:r>
          </w:p>
        </w:tc>
        <w:tc>
          <w:tcPr>
            <w:tcW w:w="3096" w:type="dxa"/>
            <w:shd w:val="clear" w:color="auto" w:fill="auto"/>
          </w:tcPr>
          <w:p w14:paraId="5F3170D5" w14:textId="77777777" w:rsidR="00256F99" w:rsidRPr="001B4A02" w:rsidRDefault="00000000" w:rsidP="00773F5C">
            <w:pPr>
              <w:numPr>
                <w:ilvl w:val="12"/>
                <w:numId w:val="0"/>
              </w:numPr>
              <w:ind w:right="-2"/>
            </w:pPr>
            <w:r w:rsidRPr="001B4A02">
              <w:t>Nepoužitelné</w:t>
            </w:r>
          </w:p>
        </w:tc>
      </w:tr>
    </w:tbl>
    <w:p w14:paraId="6D2EB5FB" w14:textId="77777777" w:rsidR="006B6963" w:rsidRPr="001B4A02" w:rsidRDefault="006B6963" w:rsidP="00ED48A3">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0"/>
        <w:gridCol w:w="3026"/>
      </w:tblGrid>
      <w:tr w:rsidR="00534A2D" w14:paraId="3B17C764" w14:textId="77777777" w:rsidTr="006B6963">
        <w:tc>
          <w:tcPr>
            <w:tcW w:w="9287" w:type="dxa"/>
            <w:gridSpan w:val="3"/>
            <w:shd w:val="clear" w:color="auto" w:fill="auto"/>
          </w:tcPr>
          <w:p w14:paraId="34083CF8" w14:textId="77777777" w:rsidR="006B6963" w:rsidRPr="001B4A02" w:rsidRDefault="00000000" w:rsidP="00EB32F5">
            <w:pPr>
              <w:keepNext/>
              <w:numPr>
                <w:ilvl w:val="12"/>
                <w:numId w:val="0"/>
              </w:numPr>
              <w:ind w:right="-2"/>
              <w:rPr>
                <w:b/>
              </w:rPr>
            </w:pPr>
            <w:r w:rsidRPr="001B4A02">
              <w:rPr>
                <w:b/>
              </w:rPr>
              <w:t>Hidradenitis suppurativa</w:t>
            </w:r>
          </w:p>
        </w:tc>
      </w:tr>
      <w:tr w:rsidR="00534A2D" w14:paraId="5D2E51C1" w14:textId="77777777" w:rsidTr="006B6963">
        <w:tc>
          <w:tcPr>
            <w:tcW w:w="3095" w:type="dxa"/>
            <w:shd w:val="clear" w:color="auto" w:fill="auto"/>
          </w:tcPr>
          <w:p w14:paraId="1A49243E" w14:textId="77777777" w:rsidR="006B6963" w:rsidRPr="001B4A02" w:rsidRDefault="00000000" w:rsidP="00EB32F5">
            <w:pPr>
              <w:keepNext/>
              <w:numPr>
                <w:ilvl w:val="12"/>
                <w:numId w:val="0"/>
              </w:numPr>
              <w:ind w:right="-2"/>
            </w:pPr>
            <w:r w:rsidRPr="001B4A02">
              <w:rPr>
                <w:b/>
              </w:rPr>
              <w:t>Věk nebo tělesná hmotnost</w:t>
            </w:r>
          </w:p>
        </w:tc>
        <w:tc>
          <w:tcPr>
            <w:tcW w:w="3096" w:type="dxa"/>
            <w:shd w:val="clear" w:color="auto" w:fill="auto"/>
          </w:tcPr>
          <w:p w14:paraId="03001AFF" w14:textId="77777777" w:rsidR="006B6963" w:rsidRPr="001B4A02" w:rsidRDefault="00000000" w:rsidP="00EB32F5">
            <w:pPr>
              <w:keepNext/>
              <w:numPr>
                <w:ilvl w:val="12"/>
                <w:numId w:val="0"/>
              </w:numPr>
              <w:ind w:right="-2"/>
            </w:pPr>
            <w:r w:rsidRPr="001B4A02">
              <w:rPr>
                <w:b/>
              </w:rPr>
              <w:t xml:space="preserve">Kolik </w:t>
            </w:r>
            <w:r w:rsidR="00FF288D" w:rsidRPr="001B4A02">
              <w:rPr>
                <w:b/>
              </w:rPr>
              <w:t>po</w:t>
            </w:r>
            <w:r w:rsidRPr="001B4A02">
              <w:rPr>
                <w:b/>
              </w:rPr>
              <w:t>užívat</w:t>
            </w:r>
            <w:r w:rsidR="002378E0">
              <w:rPr>
                <w:b/>
              </w:rPr>
              <w:t xml:space="preserve"> a </w:t>
            </w:r>
            <w:r w:rsidRPr="001B4A02">
              <w:rPr>
                <w:b/>
              </w:rPr>
              <w:t>jak často?</w:t>
            </w:r>
          </w:p>
        </w:tc>
        <w:tc>
          <w:tcPr>
            <w:tcW w:w="3096" w:type="dxa"/>
            <w:shd w:val="clear" w:color="auto" w:fill="auto"/>
          </w:tcPr>
          <w:p w14:paraId="36184C27" w14:textId="77777777" w:rsidR="006B6963" w:rsidRPr="001B4A02" w:rsidRDefault="00000000" w:rsidP="00EB32F5">
            <w:pPr>
              <w:keepNext/>
              <w:numPr>
                <w:ilvl w:val="12"/>
                <w:numId w:val="0"/>
              </w:numPr>
              <w:ind w:right="-2"/>
            </w:pPr>
            <w:r w:rsidRPr="001B4A02">
              <w:rPr>
                <w:b/>
              </w:rPr>
              <w:t>Poznámky</w:t>
            </w:r>
          </w:p>
        </w:tc>
      </w:tr>
      <w:tr w:rsidR="00534A2D" w14:paraId="40BDDC55" w14:textId="77777777" w:rsidTr="006B6963">
        <w:tc>
          <w:tcPr>
            <w:tcW w:w="3095" w:type="dxa"/>
            <w:shd w:val="clear" w:color="auto" w:fill="auto"/>
          </w:tcPr>
          <w:p w14:paraId="550344EF" w14:textId="77777777" w:rsidR="006B6963" w:rsidRPr="001B4A02" w:rsidRDefault="00000000" w:rsidP="00EB32F5">
            <w:pPr>
              <w:keepNext/>
              <w:numPr>
                <w:ilvl w:val="12"/>
                <w:numId w:val="0"/>
              </w:numPr>
              <w:ind w:right="-2"/>
            </w:pPr>
            <w:r w:rsidRPr="001B4A02">
              <w:t>Dospělí</w:t>
            </w:r>
          </w:p>
        </w:tc>
        <w:tc>
          <w:tcPr>
            <w:tcW w:w="3096" w:type="dxa"/>
            <w:shd w:val="clear" w:color="auto" w:fill="auto"/>
          </w:tcPr>
          <w:p w14:paraId="79786D45" w14:textId="77777777" w:rsidR="006B6963" w:rsidRPr="001B4A02" w:rsidRDefault="00000000" w:rsidP="00EB32F5">
            <w:pPr>
              <w:keepNext/>
              <w:numPr>
                <w:ilvl w:val="12"/>
                <w:numId w:val="0"/>
              </w:numPr>
              <w:ind w:right="-2"/>
            </w:pPr>
            <w:r w:rsidRPr="001B4A02">
              <w:t>První dávka 160</w:t>
            </w:r>
            <w:r w:rsidR="00A7483D">
              <w:t> mg</w:t>
            </w:r>
            <w:r w:rsidRPr="001B4A02">
              <w:t xml:space="preserve"> (čtyři injekce po 40</w:t>
            </w:r>
            <w:r w:rsidR="00A7483D">
              <w:t> mg</w:t>
            </w:r>
            <w:r w:rsidRPr="001B4A02">
              <w:t xml:space="preserve"> v jeden den nebo dvě injekce 40</w:t>
            </w:r>
            <w:r w:rsidR="00A7483D">
              <w:t> mg</w:t>
            </w:r>
            <w:r w:rsidRPr="001B4A02">
              <w:t xml:space="preserve"> denně po dva po sobě jdoucí dny) následovaná dávkou 80</w:t>
            </w:r>
            <w:r w:rsidR="00A7483D">
              <w:t> mg</w:t>
            </w:r>
            <w:r w:rsidRPr="001B4A02">
              <w:t xml:space="preserve"> (dvě injekce po 40</w:t>
            </w:r>
            <w:r w:rsidR="00A7483D">
              <w:t> mg</w:t>
            </w:r>
            <w:r w:rsidRPr="001B4A02">
              <w:t xml:space="preserve"> v jeden den) o dva týdny později. Po dvou dalších týdnech pokračujte dávkou 40</w:t>
            </w:r>
            <w:r w:rsidR="00A7483D">
              <w:t> mg</w:t>
            </w:r>
            <w:r w:rsidRPr="001B4A02">
              <w:t xml:space="preserve"> jednou týdně</w:t>
            </w:r>
            <w:r w:rsidR="00355655" w:rsidRPr="001B4A02">
              <w:t xml:space="preserve"> nebo 80</w:t>
            </w:r>
            <w:r w:rsidR="00A7483D">
              <w:t> mg</w:t>
            </w:r>
            <w:r w:rsidR="00355655" w:rsidRPr="001B4A02">
              <w:t xml:space="preserve"> jednou za dva týdny, jak Vám předepsal lékař</w:t>
            </w:r>
            <w:r w:rsidRPr="001B4A02">
              <w:t>.</w:t>
            </w:r>
            <w:r w:rsidRPr="001B4A02">
              <w:rPr>
                <w:szCs w:val="22"/>
              </w:rPr>
              <w:t xml:space="preserve"> </w:t>
            </w:r>
          </w:p>
        </w:tc>
        <w:tc>
          <w:tcPr>
            <w:tcW w:w="3096" w:type="dxa"/>
            <w:shd w:val="clear" w:color="auto" w:fill="auto"/>
          </w:tcPr>
          <w:p w14:paraId="1C04F837" w14:textId="77777777" w:rsidR="006B6963" w:rsidRPr="001B4A02" w:rsidRDefault="00000000" w:rsidP="00EB32F5">
            <w:pPr>
              <w:pStyle w:val="gtcbodytext"/>
              <w:keepNext/>
              <w:spacing w:before="0" w:after="0" w:line="240" w:lineRule="auto"/>
              <w:rPr>
                <w:sz w:val="22"/>
                <w:szCs w:val="22"/>
                <w:lang w:val="cs-CZ"/>
              </w:rPr>
            </w:pPr>
            <w:r w:rsidRPr="001B4A02">
              <w:rPr>
                <w:sz w:val="22"/>
                <w:szCs w:val="22"/>
                <w:lang w:val="cs-CZ"/>
              </w:rPr>
              <w:t>Doporučuje se postižená místa denně omývat antiseptickým přípravkem.</w:t>
            </w:r>
          </w:p>
          <w:p w14:paraId="05B30B1C" w14:textId="77777777" w:rsidR="006B6963" w:rsidRPr="001B4A02" w:rsidRDefault="006B6963" w:rsidP="00EB32F5">
            <w:pPr>
              <w:keepNext/>
              <w:numPr>
                <w:ilvl w:val="12"/>
                <w:numId w:val="0"/>
              </w:numPr>
              <w:ind w:right="-2"/>
            </w:pPr>
          </w:p>
        </w:tc>
      </w:tr>
      <w:tr w:rsidR="00534A2D" w14:paraId="6B8F8811" w14:textId="77777777" w:rsidTr="006B6963">
        <w:tc>
          <w:tcPr>
            <w:tcW w:w="3095" w:type="dxa"/>
            <w:shd w:val="clear" w:color="auto" w:fill="auto"/>
          </w:tcPr>
          <w:p w14:paraId="4EBA7455" w14:textId="77777777" w:rsidR="006B379F" w:rsidRPr="001B4A02" w:rsidRDefault="00000000" w:rsidP="0088128B">
            <w:pPr>
              <w:numPr>
                <w:ilvl w:val="12"/>
                <w:numId w:val="0"/>
              </w:numPr>
              <w:ind w:right="-2"/>
            </w:pPr>
            <w:r w:rsidRPr="001B4A02">
              <w:rPr>
                <w:szCs w:val="22"/>
              </w:rPr>
              <w:t>Dospívající od 12</w:t>
            </w:r>
            <w:r w:rsidR="00D24CCD" w:rsidRPr="001B4A02">
              <w:rPr>
                <w:szCs w:val="22"/>
              </w:rPr>
              <w:t xml:space="preserve"> do 17 </w:t>
            </w:r>
            <w:r w:rsidRPr="001B4A02">
              <w:rPr>
                <w:szCs w:val="22"/>
              </w:rPr>
              <w:t>let s</w:t>
            </w:r>
            <w:r w:rsidR="004823B6" w:rsidRPr="001B4A02">
              <w:rPr>
                <w:szCs w:val="22"/>
              </w:rPr>
              <w:t> </w:t>
            </w:r>
            <w:r w:rsidRPr="001B4A02">
              <w:rPr>
                <w:szCs w:val="22"/>
              </w:rPr>
              <w:t>tělesnou hmotností 30 kg</w:t>
            </w:r>
            <w:r w:rsidR="0088128B" w:rsidRPr="001B4A02">
              <w:t xml:space="preserve"> nebo </w:t>
            </w:r>
            <w:r w:rsidR="001D2B8E" w:rsidRPr="001B4A02">
              <w:t>vyšší</w:t>
            </w:r>
          </w:p>
        </w:tc>
        <w:tc>
          <w:tcPr>
            <w:tcW w:w="3096" w:type="dxa"/>
            <w:shd w:val="clear" w:color="auto" w:fill="auto"/>
          </w:tcPr>
          <w:p w14:paraId="620DB758" w14:textId="77777777" w:rsidR="006B379F" w:rsidRPr="001B4A02" w:rsidRDefault="00000000" w:rsidP="0028371E">
            <w:pPr>
              <w:numPr>
                <w:ilvl w:val="12"/>
                <w:numId w:val="0"/>
              </w:numPr>
              <w:ind w:right="-2"/>
            </w:pPr>
            <w:r w:rsidRPr="001B4A02">
              <w:rPr>
                <w:szCs w:val="22"/>
              </w:rPr>
              <w:t>První dávka 80</w:t>
            </w:r>
            <w:r w:rsidR="00A7483D">
              <w:rPr>
                <w:szCs w:val="22"/>
              </w:rPr>
              <w:t> mg</w:t>
            </w:r>
            <w:r w:rsidRPr="001B4A02">
              <w:rPr>
                <w:szCs w:val="22"/>
              </w:rPr>
              <w:t xml:space="preserve"> (dvě injekce </w:t>
            </w:r>
            <w:r w:rsidR="00F14ACE" w:rsidRPr="001B4A02">
              <w:rPr>
                <w:szCs w:val="22"/>
              </w:rPr>
              <w:t xml:space="preserve">40 mg </w:t>
            </w:r>
            <w:r w:rsidRPr="001B4A02">
              <w:rPr>
                <w:szCs w:val="22"/>
              </w:rPr>
              <w:t>jednou denně) následovan</w:t>
            </w:r>
            <w:r w:rsidR="00FF1468" w:rsidRPr="001B4A02">
              <w:rPr>
                <w:szCs w:val="22"/>
              </w:rPr>
              <w:t>á</w:t>
            </w:r>
            <w:r w:rsidRPr="001B4A02">
              <w:rPr>
                <w:szCs w:val="22"/>
              </w:rPr>
              <w:t xml:space="preserve"> dávkou 40 mg každý druhý týden o</w:t>
            </w:r>
            <w:r w:rsidR="00063784" w:rsidRPr="001B4A02">
              <w:rPr>
                <w:szCs w:val="22"/>
              </w:rPr>
              <w:t> </w:t>
            </w:r>
            <w:r w:rsidRPr="001B4A02">
              <w:rPr>
                <w:szCs w:val="22"/>
              </w:rPr>
              <w:t>je</w:t>
            </w:r>
            <w:r w:rsidR="00D6542D" w:rsidRPr="001B4A02">
              <w:rPr>
                <w:szCs w:val="22"/>
              </w:rPr>
              <w:t>den týden později.</w:t>
            </w:r>
          </w:p>
        </w:tc>
        <w:tc>
          <w:tcPr>
            <w:tcW w:w="3096" w:type="dxa"/>
            <w:shd w:val="clear" w:color="auto" w:fill="auto"/>
          </w:tcPr>
          <w:p w14:paraId="433F9C56" w14:textId="77777777" w:rsidR="006B379F" w:rsidRPr="001B4A02" w:rsidRDefault="00000000" w:rsidP="00ED48A3">
            <w:pPr>
              <w:pStyle w:val="gtcbodytext"/>
              <w:spacing w:before="0" w:after="0" w:line="240" w:lineRule="auto"/>
              <w:rPr>
                <w:sz w:val="22"/>
                <w:szCs w:val="22"/>
                <w:lang w:val="cs-CZ"/>
              </w:rPr>
            </w:pPr>
            <w:r w:rsidRPr="001B4A02">
              <w:rPr>
                <w:sz w:val="22"/>
                <w:szCs w:val="22"/>
                <w:lang w:val="cs-CZ"/>
              </w:rPr>
              <w:t xml:space="preserve">Jestliže je Vaše odpověď </w:t>
            </w:r>
            <w:r w:rsidR="00355655" w:rsidRPr="001B4A02">
              <w:rPr>
                <w:sz w:val="22"/>
                <w:szCs w:val="22"/>
                <w:lang w:val="cs-CZ"/>
              </w:rPr>
              <w:t>na léčbu přípravkem Humira 40</w:t>
            </w:r>
            <w:r w:rsidR="00A7483D">
              <w:rPr>
                <w:sz w:val="22"/>
                <w:szCs w:val="22"/>
                <w:lang w:val="cs-CZ"/>
              </w:rPr>
              <w:t> mg</w:t>
            </w:r>
            <w:r w:rsidR="00355655" w:rsidRPr="001B4A02">
              <w:rPr>
                <w:sz w:val="22"/>
                <w:szCs w:val="22"/>
                <w:lang w:val="cs-CZ"/>
              </w:rPr>
              <w:t xml:space="preserve"> jednou za dva týdny </w:t>
            </w:r>
            <w:r w:rsidRPr="001B4A02">
              <w:rPr>
                <w:sz w:val="22"/>
                <w:szCs w:val="22"/>
                <w:lang w:val="cs-CZ"/>
              </w:rPr>
              <w:t>nedostatečná</w:t>
            </w:r>
            <w:r w:rsidR="004F026A" w:rsidRPr="001B4A02">
              <w:rPr>
                <w:sz w:val="22"/>
                <w:szCs w:val="22"/>
                <w:lang w:val="cs-CZ"/>
              </w:rPr>
              <w:t xml:space="preserve">, </w:t>
            </w:r>
            <w:r w:rsidRPr="001B4A02">
              <w:rPr>
                <w:sz w:val="22"/>
                <w:szCs w:val="22"/>
                <w:lang w:val="cs-CZ"/>
              </w:rPr>
              <w:t xml:space="preserve">lékař může zvýšit </w:t>
            </w:r>
            <w:r w:rsidR="0096238D" w:rsidRPr="001B4A02">
              <w:rPr>
                <w:sz w:val="22"/>
                <w:szCs w:val="22"/>
                <w:lang w:val="cs-CZ"/>
              </w:rPr>
              <w:t xml:space="preserve">dávkování </w:t>
            </w:r>
            <w:r w:rsidRPr="001B4A02">
              <w:rPr>
                <w:sz w:val="22"/>
                <w:szCs w:val="22"/>
                <w:lang w:val="cs-CZ"/>
              </w:rPr>
              <w:t>na 40</w:t>
            </w:r>
            <w:r w:rsidR="00A7483D">
              <w:rPr>
                <w:sz w:val="22"/>
                <w:szCs w:val="22"/>
                <w:lang w:val="cs-CZ"/>
              </w:rPr>
              <w:t> mg</w:t>
            </w:r>
            <w:r w:rsidRPr="001B4A02">
              <w:rPr>
                <w:sz w:val="22"/>
                <w:szCs w:val="22"/>
                <w:lang w:val="cs-CZ"/>
              </w:rPr>
              <w:t xml:space="preserve"> jednou týdně</w:t>
            </w:r>
            <w:r w:rsidR="00355655" w:rsidRPr="001B4A02">
              <w:rPr>
                <w:sz w:val="22"/>
                <w:szCs w:val="22"/>
                <w:lang w:val="cs-CZ"/>
              </w:rPr>
              <w:t xml:space="preserve"> nebo 80</w:t>
            </w:r>
            <w:r w:rsidR="00A7483D">
              <w:rPr>
                <w:sz w:val="22"/>
                <w:szCs w:val="22"/>
                <w:lang w:val="cs-CZ"/>
              </w:rPr>
              <w:t> mg</w:t>
            </w:r>
            <w:r w:rsidR="00355655" w:rsidRPr="001B4A02">
              <w:rPr>
                <w:sz w:val="22"/>
                <w:szCs w:val="22"/>
                <w:lang w:val="cs-CZ"/>
              </w:rPr>
              <w:t xml:space="preserve"> jednou za dva týdny</w:t>
            </w:r>
            <w:r w:rsidRPr="001B4A02">
              <w:rPr>
                <w:sz w:val="22"/>
                <w:szCs w:val="22"/>
                <w:lang w:val="cs-CZ"/>
              </w:rPr>
              <w:t>.</w:t>
            </w:r>
          </w:p>
          <w:p w14:paraId="7A5D6242" w14:textId="77777777" w:rsidR="006B379F" w:rsidRPr="001B4A02" w:rsidRDefault="00000000" w:rsidP="00ED48A3">
            <w:pPr>
              <w:pStyle w:val="gtcbodytext"/>
              <w:spacing w:before="0" w:after="0" w:line="240" w:lineRule="auto"/>
              <w:rPr>
                <w:sz w:val="22"/>
                <w:szCs w:val="22"/>
                <w:lang w:val="cs-CZ"/>
              </w:rPr>
            </w:pPr>
            <w:r w:rsidRPr="001B4A02">
              <w:rPr>
                <w:sz w:val="22"/>
                <w:szCs w:val="22"/>
                <w:lang w:val="cs-CZ"/>
              </w:rPr>
              <w:t>Doporučuje se postižená místa denně omývat antiseptickým přípravkem.</w:t>
            </w:r>
          </w:p>
        </w:tc>
      </w:tr>
    </w:tbl>
    <w:p w14:paraId="7C63EB62" w14:textId="77777777" w:rsidR="006B6963" w:rsidRPr="001B4A02" w:rsidRDefault="006B6963" w:rsidP="00ED48A3">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5"/>
        <w:gridCol w:w="3016"/>
      </w:tblGrid>
      <w:tr w:rsidR="00534A2D" w14:paraId="541B4719" w14:textId="77777777" w:rsidTr="006B6963">
        <w:tc>
          <w:tcPr>
            <w:tcW w:w="9287" w:type="dxa"/>
            <w:gridSpan w:val="3"/>
            <w:shd w:val="clear" w:color="auto" w:fill="auto"/>
          </w:tcPr>
          <w:p w14:paraId="204A0E82" w14:textId="77777777" w:rsidR="006B6963" w:rsidRPr="001B4A02" w:rsidRDefault="00000000" w:rsidP="00ED48A3">
            <w:pPr>
              <w:keepNext/>
              <w:numPr>
                <w:ilvl w:val="12"/>
                <w:numId w:val="0"/>
              </w:numPr>
              <w:ind w:right="-2"/>
            </w:pPr>
            <w:r w:rsidRPr="001B4A02">
              <w:rPr>
                <w:b/>
              </w:rPr>
              <w:t>Crohnova choroba</w:t>
            </w:r>
          </w:p>
        </w:tc>
      </w:tr>
      <w:tr w:rsidR="00534A2D" w14:paraId="67D6BD75" w14:textId="77777777" w:rsidTr="006B6963">
        <w:tc>
          <w:tcPr>
            <w:tcW w:w="3095" w:type="dxa"/>
            <w:shd w:val="clear" w:color="auto" w:fill="auto"/>
          </w:tcPr>
          <w:p w14:paraId="35837AED" w14:textId="77777777" w:rsidR="006B6963" w:rsidRPr="001B4A02" w:rsidRDefault="00000000" w:rsidP="00ED48A3">
            <w:pPr>
              <w:keepNext/>
              <w:numPr>
                <w:ilvl w:val="12"/>
                <w:numId w:val="0"/>
              </w:numPr>
              <w:ind w:right="-2"/>
            </w:pPr>
            <w:r w:rsidRPr="001B4A02">
              <w:rPr>
                <w:b/>
              </w:rPr>
              <w:t>Věk nebo tělesná hmotnost</w:t>
            </w:r>
          </w:p>
        </w:tc>
        <w:tc>
          <w:tcPr>
            <w:tcW w:w="3096" w:type="dxa"/>
            <w:shd w:val="clear" w:color="auto" w:fill="auto"/>
          </w:tcPr>
          <w:p w14:paraId="100F9EB5" w14:textId="77777777" w:rsidR="006B6963" w:rsidRPr="001B4A02" w:rsidRDefault="00000000" w:rsidP="00ED48A3">
            <w:pPr>
              <w:keepNext/>
              <w:numPr>
                <w:ilvl w:val="12"/>
                <w:numId w:val="0"/>
              </w:numPr>
              <w:ind w:right="-2"/>
            </w:pPr>
            <w:r w:rsidRPr="001B4A02">
              <w:rPr>
                <w:b/>
              </w:rPr>
              <w:t xml:space="preserve">Kolik </w:t>
            </w:r>
            <w:r w:rsidR="00FF288D" w:rsidRPr="001B4A02">
              <w:rPr>
                <w:b/>
              </w:rPr>
              <w:t>po</w:t>
            </w:r>
            <w:r w:rsidRPr="001B4A02">
              <w:rPr>
                <w:b/>
              </w:rPr>
              <w:t>užívat</w:t>
            </w:r>
            <w:r w:rsidR="002378E0">
              <w:rPr>
                <w:b/>
              </w:rPr>
              <w:t xml:space="preserve"> a </w:t>
            </w:r>
            <w:r w:rsidRPr="001B4A02">
              <w:rPr>
                <w:b/>
              </w:rPr>
              <w:t>jak často?</w:t>
            </w:r>
          </w:p>
        </w:tc>
        <w:tc>
          <w:tcPr>
            <w:tcW w:w="3096" w:type="dxa"/>
            <w:shd w:val="clear" w:color="auto" w:fill="auto"/>
          </w:tcPr>
          <w:p w14:paraId="4248399B" w14:textId="77777777" w:rsidR="006B6963" w:rsidRPr="001B4A02" w:rsidRDefault="00000000" w:rsidP="00ED48A3">
            <w:pPr>
              <w:numPr>
                <w:ilvl w:val="12"/>
                <w:numId w:val="0"/>
              </w:numPr>
              <w:ind w:right="-2"/>
            </w:pPr>
            <w:r w:rsidRPr="001B4A02">
              <w:rPr>
                <w:b/>
              </w:rPr>
              <w:t>Poznámky</w:t>
            </w:r>
          </w:p>
        </w:tc>
      </w:tr>
      <w:tr w:rsidR="00534A2D" w14:paraId="25742CBC" w14:textId="77777777" w:rsidTr="006B6963">
        <w:tc>
          <w:tcPr>
            <w:tcW w:w="3095" w:type="dxa"/>
            <w:shd w:val="clear" w:color="auto" w:fill="auto"/>
          </w:tcPr>
          <w:p w14:paraId="342F1CA7" w14:textId="77777777" w:rsidR="006B6963" w:rsidRPr="001B4A02" w:rsidRDefault="00000000" w:rsidP="00E44302">
            <w:pPr>
              <w:keepNext/>
              <w:numPr>
                <w:ilvl w:val="12"/>
                <w:numId w:val="0"/>
              </w:numPr>
              <w:ind w:right="-2"/>
            </w:pPr>
            <w:r w:rsidRPr="001B4A02">
              <w:t>Děti</w:t>
            </w:r>
            <w:r w:rsidR="00D24CCD" w:rsidRPr="001B4A02">
              <w:t xml:space="preserve">, </w:t>
            </w:r>
            <w:r w:rsidRPr="001B4A02">
              <w:t>dospívající</w:t>
            </w:r>
            <w:r w:rsidR="002378E0">
              <w:t xml:space="preserve"> a </w:t>
            </w:r>
            <w:r w:rsidR="00D24CCD" w:rsidRPr="001B4A02">
              <w:t>dospělí</w:t>
            </w:r>
            <w:r w:rsidRPr="001B4A02">
              <w:t xml:space="preserve"> </w:t>
            </w:r>
            <w:r w:rsidR="00E44302" w:rsidRPr="001B4A02">
              <w:t xml:space="preserve">od 6 let </w:t>
            </w:r>
            <w:r w:rsidRPr="001B4A02">
              <w:t>s hmotností 40</w:t>
            </w:r>
            <w:r w:rsidR="002767FC">
              <w:t> kg</w:t>
            </w:r>
            <w:r w:rsidR="00783FD1" w:rsidRPr="001B4A02">
              <w:t xml:space="preserve"> nebo vyšší</w:t>
            </w:r>
          </w:p>
        </w:tc>
        <w:tc>
          <w:tcPr>
            <w:tcW w:w="3096" w:type="dxa"/>
            <w:shd w:val="clear" w:color="auto" w:fill="auto"/>
          </w:tcPr>
          <w:p w14:paraId="0E6B02C5" w14:textId="77777777" w:rsidR="006B6963" w:rsidRPr="001B4A02" w:rsidRDefault="00000000" w:rsidP="00ED48A3">
            <w:pPr>
              <w:keepNext/>
              <w:ind w:left="0" w:firstLine="0"/>
            </w:pPr>
            <w:r w:rsidRPr="001B4A02">
              <w:t>První dávka 80</w:t>
            </w:r>
            <w:r w:rsidR="00A7483D">
              <w:t> mg</w:t>
            </w:r>
            <w:r w:rsidRPr="001B4A02">
              <w:t xml:space="preserve"> (dvě injekce po 40</w:t>
            </w:r>
            <w:r w:rsidR="00A7483D">
              <w:t> mg</w:t>
            </w:r>
            <w:r w:rsidR="00063784" w:rsidRPr="001B4A02">
              <w:t xml:space="preserve"> v jeden den) následovaná o </w:t>
            </w:r>
            <w:r w:rsidRPr="001B4A02">
              <w:t>dva týdny později dávkou 40</w:t>
            </w:r>
            <w:r w:rsidR="00A7483D">
              <w:t> mg</w:t>
            </w:r>
            <w:r w:rsidRPr="001B4A02">
              <w:t>.</w:t>
            </w:r>
          </w:p>
          <w:p w14:paraId="3A55F9B6" w14:textId="77777777" w:rsidR="00D06278" w:rsidRPr="001B4A02" w:rsidRDefault="00D06278" w:rsidP="00ED48A3">
            <w:pPr>
              <w:keepNext/>
              <w:ind w:left="0" w:firstLine="0"/>
            </w:pPr>
          </w:p>
          <w:p w14:paraId="0F599329" w14:textId="77777777" w:rsidR="006B6963" w:rsidRPr="001B4A02" w:rsidRDefault="00000000" w:rsidP="00ED48A3">
            <w:pPr>
              <w:keepNext/>
              <w:numPr>
                <w:ilvl w:val="12"/>
                <w:numId w:val="0"/>
              </w:numPr>
            </w:pPr>
            <w:r w:rsidRPr="001B4A02">
              <w:t xml:space="preserve">Jestliže se vyžaduje rychlejší </w:t>
            </w:r>
            <w:r w:rsidR="00E54D7E" w:rsidRPr="001B4A02">
              <w:t>reakce na léčbu</w:t>
            </w:r>
            <w:r w:rsidRPr="001B4A02">
              <w:t>, lékař může předepsat první dávku 160</w:t>
            </w:r>
            <w:r w:rsidR="00A7483D">
              <w:t> mg</w:t>
            </w:r>
            <w:r w:rsidRPr="001B4A02">
              <w:t xml:space="preserve"> (čtyři injekce 40</w:t>
            </w:r>
            <w:r w:rsidR="00A7483D">
              <w:t> mg</w:t>
            </w:r>
            <w:r w:rsidRPr="001B4A02">
              <w:t xml:space="preserve"> v jeden den nebo dvě injekce 40</w:t>
            </w:r>
            <w:r w:rsidR="00A7483D">
              <w:t> mg</w:t>
            </w:r>
            <w:r w:rsidRPr="001B4A02">
              <w:t xml:space="preserve"> denně po dva po sobě jdoucí dny) následovanou 80</w:t>
            </w:r>
            <w:r w:rsidR="00A7483D">
              <w:t> mg</w:t>
            </w:r>
            <w:r w:rsidRPr="001B4A02">
              <w:t xml:space="preserve"> (dvě injekce 40</w:t>
            </w:r>
            <w:r w:rsidR="00A7483D">
              <w:t> mg</w:t>
            </w:r>
            <w:r w:rsidRPr="001B4A02">
              <w:t xml:space="preserve"> v jeden den) o dva týdny později.</w:t>
            </w:r>
          </w:p>
          <w:p w14:paraId="7A6F4FC7" w14:textId="77777777" w:rsidR="00D06278" w:rsidRPr="001B4A02" w:rsidRDefault="00D06278" w:rsidP="00ED48A3">
            <w:pPr>
              <w:keepNext/>
              <w:numPr>
                <w:ilvl w:val="12"/>
                <w:numId w:val="0"/>
              </w:numPr>
            </w:pPr>
          </w:p>
          <w:p w14:paraId="1B5474DD" w14:textId="77777777" w:rsidR="006B6963" w:rsidRPr="001B4A02" w:rsidRDefault="00000000" w:rsidP="00ED48A3">
            <w:pPr>
              <w:keepNext/>
              <w:numPr>
                <w:ilvl w:val="12"/>
                <w:numId w:val="0"/>
              </w:numPr>
              <w:ind w:right="-2"/>
            </w:pPr>
            <w:r w:rsidRPr="001B4A02">
              <w:t>Poté se podává obvyklá dávka 40</w:t>
            </w:r>
            <w:r w:rsidR="00A7483D">
              <w:t> mg</w:t>
            </w:r>
            <w:r w:rsidRPr="001B4A02">
              <w:t xml:space="preserve"> jednou za dva týdny.</w:t>
            </w:r>
          </w:p>
        </w:tc>
        <w:tc>
          <w:tcPr>
            <w:tcW w:w="3096" w:type="dxa"/>
            <w:shd w:val="clear" w:color="auto" w:fill="auto"/>
          </w:tcPr>
          <w:p w14:paraId="12140799" w14:textId="77777777" w:rsidR="006B6963" w:rsidRPr="001B4A02" w:rsidRDefault="00000000" w:rsidP="00355655">
            <w:pPr>
              <w:keepNext/>
              <w:ind w:left="0" w:firstLine="0"/>
            </w:pPr>
            <w:r w:rsidRPr="001B4A02">
              <w:t xml:space="preserve">Váš lékař může </w:t>
            </w:r>
            <w:r w:rsidR="00690F45" w:rsidRPr="001B4A02">
              <w:t>dávkování</w:t>
            </w:r>
            <w:r w:rsidRPr="001B4A02">
              <w:t xml:space="preserve"> zvýšit na 40</w:t>
            </w:r>
            <w:r w:rsidR="00A7483D">
              <w:t> mg</w:t>
            </w:r>
            <w:r w:rsidRPr="001B4A02">
              <w:t xml:space="preserve"> </w:t>
            </w:r>
            <w:r w:rsidR="00DF4146" w:rsidRPr="00783FD1">
              <w:rPr>
                <w:szCs w:val="22"/>
              </w:rPr>
              <w:t>jednou týdně</w:t>
            </w:r>
            <w:r w:rsidR="00DF4146" w:rsidRPr="001B4A02">
              <w:t xml:space="preserve"> </w:t>
            </w:r>
            <w:r w:rsidR="00355655" w:rsidRPr="001B4A02">
              <w:t>nebo 80</w:t>
            </w:r>
            <w:r w:rsidR="00A7483D">
              <w:t> mg</w:t>
            </w:r>
            <w:r w:rsidR="00355655" w:rsidRPr="001B4A02">
              <w:t xml:space="preserve"> jednou za dva týdny</w:t>
            </w:r>
            <w:r w:rsidRPr="001B4A02">
              <w:t>.</w:t>
            </w:r>
          </w:p>
        </w:tc>
      </w:tr>
      <w:tr w:rsidR="00534A2D" w14:paraId="7F0B1F52" w14:textId="77777777" w:rsidTr="006B6963">
        <w:tc>
          <w:tcPr>
            <w:tcW w:w="3095" w:type="dxa"/>
            <w:shd w:val="clear" w:color="auto" w:fill="auto"/>
          </w:tcPr>
          <w:p w14:paraId="74E4EBF4" w14:textId="77777777" w:rsidR="006B6963" w:rsidRPr="001B4A02" w:rsidRDefault="00000000" w:rsidP="00783FD1">
            <w:pPr>
              <w:numPr>
                <w:ilvl w:val="12"/>
                <w:numId w:val="0"/>
              </w:numPr>
              <w:ind w:right="-2"/>
            </w:pPr>
            <w:r w:rsidRPr="001B4A02">
              <w:t>Děti</w:t>
            </w:r>
            <w:r w:rsidR="002378E0">
              <w:t xml:space="preserve"> a </w:t>
            </w:r>
            <w:r w:rsidR="00BC7EFC" w:rsidRPr="001B4A02">
              <w:t xml:space="preserve">dospívající </w:t>
            </w:r>
            <w:r w:rsidRPr="001B4A02">
              <w:t>od 6</w:t>
            </w:r>
            <w:r w:rsidR="00BC7EFC" w:rsidRPr="001B4A02">
              <w:t xml:space="preserve"> do 17</w:t>
            </w:r>
            <w:r w:rsidRPr="001B4A02">
              <w:t xml:space="preserve"> let s hmotností </w:t>
            </w:r>
            <w:r w:rsidR="00783FD1" w:rsidRPr="001B4A02">
              <w:t>do</w:t>
            </w:r>
            <w:r w:rsidRPr="001B4A02">
              <w:t xml:space="preserve"> 40</w:t>
            </w:r>
            <w:r w:rsidR="002767FC">
              <w:t> kg</w:t>
            </w:r>
            <w:r w:rsidRPr="001B4A02">
              <w:t xml:space="preserve"> </w:t>
            </w:r>
          </w:p>
        </w:tc>
        <w:tc>
          <w:tcPr>
            <w:tcW w:w="3096" w:type="dxa"/>
            <w:shd w:val="clear" w:color="auto" w:fill="auto"/>
          </w:tcPr>
          <w:p w14:paraId="0D3CF0AC" w14:textId="77777777" w:rsidR="006B6963" w:rsidRPr="001B4A02" w:rsidRDefault="00000000" w:rsidP="00ED48A3">
            <w:pPr>
              <w:ind w:left="0" w:firstLine="0"/>
            </w:pPr>
            <w:r w:rsidRPr="001B4A02">
              <w:t>P</w:t>
            </w:r>
            <w:r w:rsidR="00063784" w:rsidRPr="001B4A02">
              <w:t>rvní dávka 40</w:t>
            </w:r>
            <w:r w:rsidR="00A7483D">
              <w:t> mg</w:t>
            </w:r>
            <w:r w:rsidR="00063784" w:rsidRPr="001B4A02">
              <w:t xml:space="preserve"> následovaná o </w:t>
            </w:r>
            <w:r w:rsidRPr="001B4A02">
              <w:t>dva týdny později dávkou 20</w:t>
            </w:r>
            <w:r w:rsidR="00A7483D">
              <w:t> mg</w:t>
            </w:r>
            <w:r w:rsidRPr="001B4A02">
              <w:t>.</w:t>
            </w:r>
          </w:p>
          <w:p w14:paraId="75E9A1DD" w14:textId="77777777" w:rsidR="00D06278" w:rsidRPr="001B4A02" w:rsidRDefault="00D06278" w:rsidP="00ED48A3">
            <w:pPr>
              <w:ind w:left="0" w:firstLine="0"/>
            </w:pPr>
          </w:p>
          <w:p w14:paraId="1EF3A202" w14:textId="77777777" w:rsidR="006B6963" w:rsidRPr="001B4A02" w:rsidRDefault="00000000" w:rsidP="00ED48A3">
            <w:pPr>
              <w:numPr>
                <w:ilvl w:val="12"/>
                <w:numId w:val="0"/>
              </w:numPr>
            </w:pPr>
            <w:r w:rsidRPr="001B4A02">
              <w:t xml:space="preserve">Jestliže se vyžaduje rychlejší </w:t>
            </w:r>
            <w:r w:rsidR="00E54D7E" w:rsidRPr="001B4A02">
              <w:t>reakce na léčbu</w:t>
            </w:r>
            <w:r w:rsidRPr="001B4A02">
              <w:t>, lékař může předepsat první dávku 80</w:t>
            </w:r>
            <w:r w:rsidR="00A7483D">
              <w:t> mg</w:t>
            </w:r>
            <w:r w:rsidRPr="001B4A02">
              <w:t xml:space="preserve"> (dvě injekce 40</w:t>
            </w:r>
            <w:r w:rsidR="00A7483D">
              <w:t> mg</w:t>
            </w:r>
            <w:r w:rsidRPr="001B4A02">
              <w:t xml:space="preserve"> v jeden den) následovanou 40</w:t>
            </w:r>
            <w:r w:rsidR="00A7483D">
              <w:t> mg</w:t>
            </w:r>
            <w:r w:rsidRPr="001B4A02">
              <w:t xml:space="preserve"> o dva týdny později.</w:t>
            </w:r>
          </w:p>
          <w:p w14:paraId="039AF0FC" w14:textId="77777777" w:rsidR="00D06278" w:rsidRPr="001B4A02" w:rsidRDefault="00D06278" w:rsidP="00ED48A3">
            <w:pPr>
              <w:numPr>
                <w:ilvl w:val="12"/>
                <w:numId w:val="0"/>
              </w:numPr>
            </w:pPr>
          </w:p>
          <w:p w14:paraId="6A1BA73F" w14:textId="77777777" w:rsidR="006B6963" w:rsidRPr="001B4A02" w:rsidRDefault="00000000" w:rsidP="00ED48A3">
            <w:pPr>
              <w:numPr>
                <w:ilvl w:val="12"/>
                <w:numId w:val="0"/>
              </w:numPr>
            </w:pPr>
            <w:r w:rsidRPr="001B4A02">
              <w:t>Poté se podává obvyklá dávka 20</w:t>
            </w:r>
            <w:r w:rsidR="00A7483D">
              <w:t> mg</w:t>
            </w:r>
            <w:r w:rsidRPr="001B4A02">
              <w:t xml:space="preserve"> jednou za dva týdny.</w:t>
            </w:r>
          </w:p>
        </w:tc>
        <w:tc>
          <w:tcPr>
            <w:tcW w:w="3096" w:type="dxa"/>
            <w:shd w:val="clear" w:color="auto" w:fill="auto"/>
          </w:tcPr>
          <w:p w14:paraId="41EC0277" w14:textId="77777777" w:rsidR="006B6963" w:rsidRPr="001B4A02" w:rsidRDefault="00000000" w:rsidP="00ED48A3">
            <w:pPr>
              <w:ind w:left="0" w:firstLine="0"/>
            </w:pPr>
            <w:r w:rsidRPr="001B4A02">
              <w:t xml:space="preserve">Váš lékař může </w:t>
            </w:r>
            <w:r w:rsidR="00690F45" w:rsidRPr="001B4A02">
              <w:t>četnost dávkování</w:t>
            </w:r>
            <w:r w:rsidRPr="001B4A02">
              <w:t xml:space="preserve"> zvýšit na 20</w:t>
            </w:r>
            <w:r w:rsidR="00A7483D">
              <w:t> mg</w:t>
            </w:r>
            <w:r w:rsidRPr="001B4A02">
              <w:t xml:space="preserve"> </w:t>
            </w:r>
            <w:r w:rsidR="00DF4146" w:rsidRPr="00783FD1">
              <w:rPr>
                <w:szCs w:val="22"/>
              </w:rPr>
              <w:t>jednou týdně</w:t>
            </w:r>
            <w:r w:rsidRPr="001B4A02">
              <w:t>.</w:t>
            </w:r>
          </w:p>
          <w:p w14:paraId="16275C42" w14:textId="77777777" w:rsidR="006B6963" w:rsidRPr="001B4A02" w:rsidRDefault="006B6963" w:rsidP="00ED48A3">
            <w:pPr>
              <w:numPr>
                <w:ilvl w:val="12"/>
                <w:numId w:val="0"/>
              </w:numPr>
              <w:ind w:right="-2"/>
            </w:pPr>
          </w:p>
        </w:tc>
      </w:tr>
    </w:tbl>
    <w:p w14:paraId="68BD9AB3" w14:textId="77777777" w:rsidR="006B6963" w:rsidRPr="001B4A02" w:rsidRDefault="006B6963" w:rsidP="00ED48A3">
      <w:pPr>
        <w:ind w:left="0" w:firstLine="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5"/>
        <w:gridCol w:w="3021"/>
      </w:tblGrid>
      <w:tr w:rsidR="00534A2D" w14:paraId="7F9D3808" w14:textId="77777777" w:rsidTr="003F3934">
        <w:tc>
          <w:tcPr>
            <w:tcW w:w="9061" w:type="dxa"/>
            <w:gridSpan w:val="3"/>
            <w:shd w:val="clear" w:color="auto" w:fill="auto"/>
          </w:tcPr>
          <w:p w14:paraId="4CE4C66E" w14:textId="77777777" w:rsidR="006B6963" w:rsidRPr="001B4A02" w:rsidRDefault="00000000" w:rsidP="00ED48A3">
            <w:pPr>
              <w:keepNext/>
              <w:numPr>
                <w:ilvl w:val="12"/>
                <w:numId w:val="0"/>
              </w:numPr>
              <w:ind w:right="-2"/>
              <w:rPr>
                <w:b/>
              </w:rPr>
            </w:pPr>
            <w:r w:rsidRPr="001B4A02">
              <w:rPr>
                <w:b/>
                <w:szCs w:val="22"/>
              </w:rPr>
              <w:t>Ulcerózní kolitida</w:t>
            </w:r>
          </w:p>
        </w:tc>
      </w:tr>
      <w:tr w:rsidR="00534A2D" w14:paraId="0BC27906" w14:textId="77777777" w:rsidTr="003F3934">
        <w:tc>
          <w:tcPr>
            <w:tcW w:w="3015" w:type="dxa"/>
            <w:shd w:val="clear" w:color="auto" w:fill="auto"/>
          </w:tcPr>
          <w:p w14:paraId="4D7B9573" w14:textId="77777777" w:rsidR="006B6963" w:rsidRPr="001B4A02" w:rsidRDefault="00000000" w:rsidP="00ED48A3">
            <w:pPr>
              <w:keepNext/>
              <w:numPr>
                <w:ilvl w:val="12"/>
                <w:numId w:val="0"/>
              </w:numPr>
              <w:ind w:right="-2"/>
            </w:pPr>
            <w:r w:rsidRPr="001B4A02">
              <w:rPr>
                <w:b/>
              </w:rPr>
              <w:t>Věk nebo tělesná hmotnost</w:t>
            </w:r>
          </w:p>
        </w:tc>
        <w:tc>
          <w:tcPr>
            <w:tcW w:w="3025" w:type="dxa"/>
            <w:shd w:val="clear" w:color="auto" w:fill="auto"/>
          </w:tcPr>
          <w:p w14:paraId="19213113" w14:textId="77777777" w:rsidR="006B6963" w:rsidRPr="001B4A02" w:rsidRDefault="00000000" w:rsidP="00ED48A3">
            <w:pPr>
              <w:keepNext/>
              <w:numPr>
                <w:ilvl w:val="12"/>
                <w:numId w:val="0"/>
              </w:numPr>
              <w:ind w:right="-2"/>
            </w:pPr>
            <w:r w:rsidRPr="001B4A02">
              <w:rPr>
                <w:b/>
              </w:rPr>
              <w:t xml:space="preserve">Kolik </w:t>
            </w:r>
            <w:r w:rsidR="00FF288D" w:rsidRPr="001B4A02">
              <w:rPr>
                <w:b/>
              </w:rPr>
              <w:t>po</w:t>
            </w:r>
            <w:r w:rsidRPr="001B4A02">
              <w:rPr>
                <w:b/>
              </w:rPr>
              <w:t>užívat</w:t>
            </w:r>
            <w:r w:rsidR="002378E0">
              <w:rPr>
                <w:b/>
              </w:rPr>
              <w:t xml:space="preserve"> a </w:t>
            </w:r>
            <w:r w:rsidRPr="001B4A02">
              <w:rPr>
                <w:b/>
              </w:rPr>
              <w:t>jak často?</w:t>
            </w:r>
          </w:p>
        </w:tc>
        <w:tc>
          <w:tcPr>
            <w:tcW w:w="3021" w:type="dxa"/>
            <w:shd w:val="clear" w:color="auto" w:fill="auto"/>
          </w:tcPr>
          <w:p w14:paraId="296466A4" w14:textId="77777777" w:rsidR="006B6963" w:rsidRPr="001B4A02" w:rsidRDefault="00000000" w:rsidP="00ED48A3">
            <w:pPr>
              <w:numPr>
                <w:ilvl w:val="12"/>
                <w:numId w:val="0"/>
              </w:numPr>
              <w:ind w:right="-2"/>
            </w:pPr>
            <w:r w:rsidRPr="001B4A02">
              <w:rPr>
                <w:b/>
              </w:rPr>
              <w:t>Poznámky</w:t>
            </w:r>
          </w:p>
        </w:tc>
      </w:tr>
      <w:tr w:rsidR="00534A2D" w14:paraId="561700C0" w14:textId="77777777" w:rsidTr="003F3934">
        <w:tc>
          <w:tcPr>
            <w:tcW w:w="3015" w:type="dxa"/>
            <w:shd w:val="clear" w:color="auto" w:fill="auto"/>
          </w:tcPr>
          <w:p w14:paraId="3EA98DAF" w14:textId="77777777" w:rsidR="006B6963" w:rsidRPr="001B4A02" w:rsidRDefault="00000000" w:rsidP="00ED48A3">
            <w:pPr>
              <w:keepNext/>
              <w:numPr>
                <w:ilvl w:val="12"/>
                <w:numId w:val="0"/>
              </w:numPr>
              <w:ind w:right="-2"/>
            </w:pPr>
            <w:r w:rsidRPr="001B4A02">
              <w:t>Dospělí</w:t>
            </w:r>
          </w:p>
        </w:tc>
        <w:tc>
          <w:tcPr>
            <w:tcW w:w="3025" w:type="dxa"/>
            <w:shd w:val="clear" w:color="auto" w:fill="auto"/>
          </w:tcPr>
          <w:p w14:paraId="09AD3663" w14:textId="77777777" w:rsidR="006B6963" w:rsidRPr="001B4A02" w:rsidRDefault="00000000" w:rsidP="00ED48A3">
            <w:pPr>
              <w:keepNext/>
              <w:numPr>
                <w:ilvl w:val="12"/>
                <w:numId w:val="0"/>
              </w:numPr>
            </w:pPr>
            <w:r w:rsidRPr="001B4A02">
              <w:t>První dávka 160</w:t>
            </w:r>
            <w:r w:rsidR="00A7483D">
              <w:t> mg</w:t>
            </w:r>
            <w:r w:rsidRPr="001B4A02">
              <w:t xml:space="preserve"> (čtyři injekce po 40</w:t>
            </w:r>
            <w:r w:rsidR="00A7483D">
              <w:t> mg</w:t>
            </w:r>
            <w:r w:rsidRPr="001B4A02">
              <w:t xml:space="preserve"> v jeden den nebo dvě injekce 40</w:t>
            </w:r>
            <w:r w:rsidR="00A7483D">
              <w:t> mg</w:t>
            </w:r>
            <w:r w:rsidRPr="001B4A02">
              <w:t xml:space="preserve"> denně po dva po sobě jdoucí dny) následovaná dávkou 80</w:t>
            </w:r>
            <w:r w:rsidR="00A7483D">
              <w:t> mg</w:t>
            </w:r>
            <w:r w:rsidRPr="001B4A02">
              <w:t xml:space="preserve"> (dvě injekce po 40</w:t>
            </w:r>
            <w:r w:rsidR="00A7483D">
              <w:t> mg</w:t>
            </w:r>
            <w:r w:rsidRPr="001B4A02">
              <w:t xml:space="preserve"> v jeden den) o dva týdny později.</w:t>
            </w:r>
          </w:p>
          <w:p w14:paraId="550C3633" w14:textId="77777777" w:rsidR="00D06278" w:rsidRPr="001B4A02" w:rsidRDefault="00D06278" w:rsidP="00ED48A3">
            <w:pPr>
              <w:keepNext/>
              <w:numPr>
                <w:ilvl w:val="12"/>
                <w:numId w:val="0"/>
              </w:numPr>
            </w:pPr>
          </w:p>
          <w:p w14:paraId="5088323F" w14:textId="77777777" w:rsidR="006B6963" w:rsidRPr="001B4A02" w:rsidRDefault="00000000" w:rsidP="00ED48A3">
            <w:pPr>
              <w:keepNext/>
              <w:numPr>
                <w:ilvl w:val="12"/>
                <w:numId w:val="0"/>
              </w:numPr>
            </w:pPr>
            <w:r>
              <w:t xml:space="preserve">Poté se podává </w:t>
            </w:r>
            <w:r w:rsidRPr="001B4A02">
              <w:t>obvyklá dávka 40</w:t>
            </w:r>
            <w:r w:rsidR="00A7483D">
              <w:t> mg</w:t>
            </w:r>
            <w:r w:rsidRPr="001B4A02">
              <w:t xml:space="preserve"> jednou za dva týdny.</w:t>
            </w:r>
            <w:r w:rsidRPr="001B4A02">
              <w:rPr>
                <w:szCs w:val="22"/>
              </w:rPr>
              <w:t xml:space="preserve"> </w:t>
            </w:r>
          </w:p>
        </w:tc>
        <w:tc>
          <w:tcPr>
            <w:tcW w:w="3021" w:type="dxa"/>
            <w:shd w:val="clear" w:color="auto" w:fill="auto"/>
          </w:tcPr>
          <w:p w14:paraId="13FC6E0F" w14:textId="77777777" w:rsidR="006B6963" w:rsidRPr="001B4A02" w:rsidRDefault="00000000" w:rsidP="00355655">
            <w:pPr>
              <w:numPr>
                <w:ilvl w:val="12"/>
                <w:numId w:val="0"/>
              </w:numPr>
              <w:ind w:right="-2"/>
            </w:pPr>
            <w:r w:rsidRPr="001B4A02">
              <w:t xml:space="preserve">Váš lékař může </w:t>
            </w:r>
            <w:r w:rsidR="00690F45" w:rsidRPr="001B4A02">
              <w:t>dávkování</w:t>
            </w:r>
            <w:r w:rsidRPr="001B4A02">
              <w:t xml:space="preserve"> zvýšit na 40</w:t>
            </w:r>
            <w:r w:rsidR="00A7483D">
              <w:t> mg</w:t>
            </w:r>
            <w:r w:rsidRPr="001B4A02">
              <w:t xml:space="preserve"> </w:t>
            </w:r>
            <w:r w:rsidR="00DF4146" w:rsidRPr="00783FD1">
              <w:rPr>
                <w:szCs w:val="22"/>
              </w:rPr>
              <w:t>jednou týdně</w:t>
            </w:r>
            <w:r w:rsidR="00DF4146" w:rsidRPr="001B4A02">
              <w:t xml:space="preserve"> </w:t>
            </w:r>
            <w:r w:rsidR="00355655" w:rsidRPr="001B4A02">
              <w:t>nebo 80</w:t>
            </w:r>
            <w:r w:rsidR="00A7483D">
              <w:t> mg</w:t>
            </w:r>
            <w:r w:rsidR="00355655" w:rsidRPr="001B4A02">
              <w:t xml:space="preserve"> jednou za dva týdny</w:t>
            </w:r>
            <w:r w:rsidRPr="001B4A02">
              <w:t>.</w:t>
            </w:r>
          </w:p>
        </w:tc>
      </w:tr>
      <w:tr w:rsidR="00534A2D" w14:paraId="74380881" w14:textId="77777777" w:rsidTr="003F3934">
        <w:tc>
          <w:tcPr>
            <w:tcW w:w="3015" w:type="dxa"/>
            <w:shd w:val="clear" w:color="auto" w:fill="auto"/>
          </w:tcPr>
          <w:p w14:paraId="4B84B4A5" w14:textId="77777777" w:rsidR="003578CA" w:rsidRPr="001B4A02" w:rsidRDefault="00000000" w:rsidP="003578CA">
            <w:pPr>
              <w:keepNext/>
              <w:numPr>
                <w:ilvl w:val="12"/>
                <w:numId w:val="0"/>
              </w:numPr>
              <w:ind w:right="-2"/>
            </w:pPr>
            <w:bookmarkStart w:id="13803" w:name="_Hlk53583140"/>
            <w:r>
              <w:t>Děti</w:t>
            </w:r>
            <w:r w:rsidR="002378E0">
              <w:t xml:space="preserve"> a </w:t>
            </w:r>
            <w:r>
              <w:t>dospívající od 6 let s</w:t>
            </w:r>
            <w:r w:rsidR="002B46AE">
              <w:t> </w:t>
            </w:r>
            <w:r>
              <w:t>tělesnou hmotností do 40 kg</w:t>
            </w:r>
          </w:p>
        </w:tc>
        <w:tc>
          <w:tcPr>
            <w:tcW w:w="3025" w:type="dxa"/>
            <w:shd w:val="clear" w:color="auto" w:fill="auto"/>
          </w:tcPr>
          <w:p w14:paraId="3D12F130" w14:textId="77777777" w:rsidR="003578CA" w:rsidRPr="00D01607" w:rsidRDefault="00000000" w:rsidP="003578CA">
            <w:pPr>
              <w:numPr>
                <w:ilvl w:val="12"/>
                <w:numId w:val="0"/>
              </w:numPr>
            </w:pPr>
            <w:r>
              <w:t>První dávka 80</w:t>
            </w:r>
            <w:r w:rsidR="00A7483D" w:rsidRPr="00005EC2">
              <w:rPr>
                <w:szCs w:val="22"/>
              </w:rPr>
              <w:t> </w:t>
            </w:r>
            <w:r>
              <w:t>mg (dvě injekce 40</w:t>
            </w:r>
            <w:r w:rsidR="00A7483D" w:rsidRPr="00005EC2">
              <w:rPr>
                <w:szCs w:val="22"/>
              </w:rPr>
              <w:t> </w:t>
            </w:r>
            <w:r>
              <w:t xml:space="preserve">mg v jednom dni) následovaná </w:t>
            </w:r>
            <w:r w:rsidR="004863E7">
              <w:t xml:space="preserve">dávkou </w:t>
            </w:r>
            <w:r>
              <w:t>40</w:t>
            </w:r>
            <w:r w:rsidR="00A7483D" w:rsidRPr="00005EC2">
              <w:rPr>
                <w:szCs w:val="22"/>
              </w:rPr>
              <w:t> </w:t>
            </w:r>
            <w:r>
              <w:t>mg (jedna injekce 40</w:t>
            </w:r>
            <w:r w:rsidR="00A7483D" w:rsidRPr="00005EC2">
              <w:rPr>
                <w:szCs w:val="22"/>
              </w:rPr>
              <w:t> </w:t>
            </w:r>
            <w:r>
              <w:t>mg) o dva týdny později.</w:t>
            </w:r>
          </w:p>
          <w:p w14:paraId="1ABB90B6" w14:textId="77777777" w:rsidR="003578CA" w:rsidRPr="00D01607" w:rsidRDefault="003578CA" w:rsidP="003578CA">
            <w:pPr>
              <w:numPr>
                <w:ilvl w:val="12"/>
                <w:numId w:val="0"/>
              </w:numPr>
            </w:pPr>
          </w:p>
          <w:p w14:paraId="28AB5A87" w14:textId="77777777" w:rsidR="003578CA" w:rsidRPr="001B4A02" w:rsidRDefault="00000000" w:rsidP="003578CA">
            <w:pPr>
              <w:keepNext/>
              <w:numPr>
                <w:ilvl w:val="12"/>
                <w:numId w:val="0"/>
              </w:numPr>
            </w:pPr>
            <w:r>
              <w:t>Poté se podává obvyklá dávka 40</w:t>
            </w:r>
            <w:r w:rsidR="00A7483D" w:rsidRPr="00005EC2">
              <w:rPr>
                <w:szCs w:val="22"/>
              </w:rPr>
              <w:t> </w:t>
            </w:r>
            <w:r>
              <w:t>mg jednou za dva týdny.</w:t>
            </w:r>
          </w:p>
        </w:tc>
        <w:tc>
          <w:tcPr>
            <w:tcW w:w="3021" w:type="dxa"/>
            <w:shd w:val="clear" w:color="auto" w:fill="auto"/>
          </w:tcPr>
          <w:p w14:paraId="50BCC0AA" w14:textId="77777777" w:rsidR="003578CA" w:rsidRPr="001B4A02" w:rsidRDefault="00000000" w:rsidP="003578CA">
            <w:pPr>
              <w:numPr>
                <w:ilvl w:val="12"/>
                <w:numId w:val="0"/>
              </w:numPr>
              <w:ind w:right="-2"/>
            </w:pPr>
            <w:r>
              <w:t>Měl</w:t>
            </w:r>
            <w:r w:rsidR="002B46AE">
              <w:t>(a)</w:t>
            </w:r>
            <w:r>
              <w:t xml:space="preserve"> byste nadále </w:t>
            </w:r>
            <w:r w:rsidR="00C468CD">
              <w:t>po</w:t>
            </w:r>
            <w:r>
              <w:t>užívat přípravek Humira v obvyklé dávce,</w:t>
            </w:r>
            <w:r w:rsidR="002378E0">
              <w:t xml:space="preserve"> a </w:t>
            </w:r>
            <w:r>
              <w:t>to i po dosažení věku 18 let.</w:t>
            </w:r>
          </w:p>
        </w:tc>
      </w:tr>
      <w:tr w:rsidR="00534A2D" w14:paraId="14F8DA11" w14:textId="77777777" w:rsidTr="003F3934">
        <w:tc>
          <w:tcPr>
            <w:tcW w:w="3015" w:type="dxa"/>
            <w:shd w:val="clear" w:color="auto" w:fill="auto"/>
          </w:tcPr>
          <w:p w14:paraId="24AB3965" w14:textId="77777777" w:rsidR="003578CA" w:rsidRPr="001B4A02" w:rsidRDefault="00000000" w:rsidP="003578CA">
            <w:pPr>
              <w:keepNext/>
              <w:numPr>
                <w:ilvl w:val="12"/>
                <w:numId w:val="0"/>
              </w:numPr>
              <w:ind w:right="-2"/>
            </w:pPr>
            <w:r>
              <w:t>Děti</w:t>
            </w:r>
            <w:r w:rsidR="002378E0">
              <w:t xml:space="preserve"> a </w:t>
            </w:r>
            <w:r>
              <w:t>dospívající od 6 let s</w:t>
            </w:r>
            <w:r w:rsidR="002B46AE">
              <w:t> </w:t>
            </w:r>
            <w:r>
              <w:t>tělesnou hmotností 40 kg nebo vyšší</w:t>
            </w:r>
          </w:p>
        </w:tc>
        <w:tc>
          <w:tcPr>
            <w:tcW w:w="3025" w:type="dxa"/>
            <w:shd w:val="clear" w:color="auto" w:fill="auto"/>
          </w:tcPr>
          <w:p w14:paraId="57C5AD55" w14:textId="77777777" w:rsidR="003578CA" w:rsidRPr="00D01607" w:rsidRDefault="00000000" w:rsidP="003578CA">
            <w:pPr>
              <w:numPr>
                <w:ilvl w:val="12"/>
                <w:numId w:val="0"/>
              </w:numPr>
            </w:pPr>
            <w:r>
              <w:t>První dávka 160</w:t>
            </w:r>
            <w:r w:rsidR="00A7483D" w:rsidRPr="00005EC2">
              <w:rPr>
                <w:szCs w:val="22"/>
              </w:rPr>
              <w:t> </w:t>
            </w:r>
            <w:r>
              <w:t>mg (čtyři injekce 40</w:t>
            </w:r>
            <w:r w:rsidR="00A7483D" w:rsidRPr="00005EC2">
              <w:rPr>
                <w:szCs w:val="22"/>
              </w:rPr>
              <w:t> </w:t>
            </w:r>
            <w:r>
              <w:t>mg v</w:t>
            </w:r>
            <w:r w:rsidR="002B46AE">
              <w:t> </w:t>
            </w:r>
            <w:r>
              <w:t>jednom dni nebo dvě injekce 40</w:t>
            </w:r>
            <w:r w:rsidR="00A7483D" w:rsidRPr="00005EC2">
              <w:rPr>
                <w:szCs w:val="22"/>
              </w:rPr>
              <w:t> </w:t>
            </w:r>
            <w:r>
              <w:t xml:space="preserve">mg denně ve dvou po sobě jdoucích dnech) následovaná </w:t>
            </w:r>
            <w:r w:rsidR="004863E7" w:rsidRPr="00490910">
              <w:t xml:space="preserve">dávkou </w:t>
            </w:r>
            <w:r>
              <w:t>80</w:t>
            </w:r>
            <w:r w:rsidR="00C468CD">
              <w:t> </w:t>
            </w:r>
            <w:r>
              <w:t>mg (dvě injekce 40</w:t>
            </w:r>
            <w:r w:rsidR="00A7483D" w:rsidRPr="00005EC2">
              <w:rPr>
                <w:szCs w:val="22"/>
              </w:rPr>
              <w:t> </w:t>
            </w:r>
            <w:r>
              <w:t>mg v</w:t>
            </w:r>
            <w:r w:rsidR="002B46AE">
              <w:t> </w:t>
            </w:r>
            <w:r>
              <w:t>jednom dni) o dva týdny později.</w:t>
            </w:r>
          </w:p>
          <w:p w14:paraId="55978752" w14:textId="77777777" w:rsidR="003578CA" w:rsidRPr="00D01607" w:rsidRDefault="003578CA" w:rsidP="003578CA">
            <w:pPr>
              <w:numPr>
                <w:ilvl w:val="12"/>
                <w:numId w:val="0"/>
              </w:numPr>
            </w:pPr>
          </w:p>
          <w:p w14:paraId="312F2EC7" w14:textId="77777777" w:rsidR="003578CA" w:rsidRPr="001B4A02" w:rsidRDefault="00000000" w:rsidP="003578CA">
            <w:pPr>
              <w:keepNext/>
              <w:numPr>
                <w:ilvl w:val="12"/>
                <w:numId w:val="0"/>
              </w:numPr>
            </w:pPr>
            <w:r>
              <w:t>Poté se podává obvyklá dávka 80</w:t>
            </w:r>
            <w:r w:rsidR="00A7483D" w:rsidRPr="00005EC2">
              <w:rPr>
                <w:szCs w:val="22"/>
              </w:rPr>
              <w:t> </w:t>
            </w:r>
            <w:r>
              <w:t>mg jednou za dva týdny.</w:t>
            </w:r>
          </w:p>
        </w:tc>
        <w:tc>
          <w:tcPr>
            <w:tcW w:w="3021" w:type="dxa"/>
            <w:shd w:val="clear" w:color="auto" w:fill="auto"/>
          </w:tcPr>
          <w:p w14:paraId="7A2267E6" w14:textId="77777777" w:rsidR="003578CA" w:rsidRPr="001B4A02" w:rsidRDefault="00000000" w:rsidP="003578CA">
            <w:pPr>
              <w:numPr>
                <w:ilvl w:val="12"/>
                <w:numId w:val="0"/>
              </w:numPr>
              <w:ind w:right="-2"/>
            </w:pPr>
            <w:r>
              <w:t>Měl</w:t>
            </w:r>
            <w:r w:rsidR="002B46AE">
              <w:t>(a)</w:t>
            </w:r>
            <w:r>
              <w:t xml:space="preserve"> byste nadále </w:t>
            </w:r>
            <w:r w:rsidR="00C468CD">
              <w:t>po</w:t>
            </w:r>
            <w:r>
              <w:t>užívat přípravek Humira v obvyklé dávce,</w:t>
            </w:r>
            <w:r w:rsidR="002378E0">
              <w:t xml:space="preserve"> a </w:t>
            </w:r>
            <w:r>
              <w:t>to i po dosažení věku 18 let.</w:t>
            </w:r>
          </w:p>
        </w:tc>
      </w:tr>
      <w:bookmarkEnd w:id="13803"/>
    </w:tbl>
    <w:p w14:paraId="29D28D3A" w14:textId="77777777" w:rsidR="00D06278" w:rsidRPr="001B4A02" w:rsidRDefault="00D06278" w:rsidP="00ED48A3">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3022"/>
        <w:gridCol w:w="3029"/>
      </w:tblGrid>
      <w:tr w:rsidR="00534A2D" w14:paraId="1DC94BC3" w14:textId="77777777" w:rsidTr="00B55983">
        <w:tc>
          <w:tcPr>
            <w:tcW w:w="9287" w:type="dxa"/>
            <w:gridSpan w:val="3"/>
            <w:shd w:val="clear" w:color="auto" w:fill="auto"/>
          </w:tcPr>
          <w:p w14:paraId="0D80B5C0" w14:textId="77777777" w:rsidR="006B4A05" w:rsidRPr="001B4A02" w:rsidRDefault="00000000" w:rsidP="00ED48A3">
            <w:pPr>
              <w:numPr>
                <w:ilvl w:val="12"/>
                <w:numId w:val="0"/>
              </w:numPr>
              <w:ind w:right="-2"/>
              <w:rPr>
                <w:b/>
              </w:rPr>
            </w:pPr>
            <w:r w:rsidRPr="001B4A02">
              <w:rPr>
                <w:b/>
                <w:szCs w:val="22"/>
              </w:rPr>
              <w:t>Neinfekční uveitida</w:t>
            </w:r>
          </w:p>
        </w:tc>
      </w:tr>
      <w:tr w:rsidR="00534A2D" w14:paraId="4B4F0A65" w14:textId="77777777" w:rsidTr="00B55983">
        <w:tc>
          <w:tcPr>
            <w:tcW w:w="3095" w:type="dxa"/>
            <w:shd w:val="clear" w:color="auto" w:fill="auto"/>
          </w:tcPr>
          <w:p w14:paraId="4E6C367B" w14:textId="77777777" w:rsidR="006B4A05" w:rsidRPr="001B4A02" w:rsidRDefault="00000000" w:rsidP="00ED48A3">
            <w:pPr>
              <w:numPr>
                <w:ilvl w:val="12"/>
                <w:numId w:val="0"/>
              </w:numPr>
              <w:ind w:right="-2"/>
            </w:pPr>
            <w:r w:rsidRPr="001B4A02">
              <w:rPr>
                <w:b/>
              </w:rPr>
              <w:t>Věk nebo tělesná hmotnost</w:t>
            </w:r>
          </w:p>
        </w:tc>
        <w:tc>
          <w:tcPr>
            <w:tcW w:w="3096" w:type="dxa"/>
            <w:shd w:val="clear" w:color="auto" w:fill="auto"/>
          </w:tcPr>
          <w:p w14:paraId="2872E0D4" w14:textId="77777777" w:rsidR="006B4A05" w:rsidRPr="001B4A02" w:rsidRDefault="00000000" w:rsidP="00ED48A3">
            <w:pPr>
              <w:tabs>
                <w:tab w:val="left" w:pos="0"/>
              </w:tabs>
            </w:pPr>
            <w:r w:rsidRPr="001B4A02">
              <w:rPr>
                <w:b/>
              </w:rPr>
              <w:t xml:space="preserve">Kolik </w:t>
            </w:r>
            <w:r w:rsidR="00FF288D" w:rsidRPr="001B4A02">
              <w:rPr>
                <w:b/>
              </w:rPr>
              <w:t>po</w:t>
            </w:r>
            <w:r w:rsidRPr="001B4A02">
              <w:rPr>
                <w:b/>
              </w:rPr>
              <w:t>užívat</w:t>
            </w:r>
            <w:r w:rsidR="002378E0">
              <w:rPr>
                <w:b/>
              </w:rPr>
              <w:t xml:space="preserve"> a </w:t>
            </w:r>
            <w:r w:rsidRPr="001B4A02">
              <w:rPr>
                <w:b/>
              </w:rPr>
              <w:t>jak často?</w:t>
            </w:r>
          </w:p>
        </w:tc>
        <w:tc>
          <w:tcPr>
            <w:tcW w:w="3096" w:type="dxa"/>
            <w:shd w:val="clear" w:color="auto" w:fill="auto"/>
          </w:tcPr>
          <w:p w14:paraId="5A27FE2E" w14:textId="77777777" w:rsidR="006B4A05" w:rsidRPr="001B4A02" w:rsidRDefault="00000000" w:rsidP="00ED48A3">
            <w:pPr>
              <w:numPr>
                <w:ilvl w:val="12"/>
                <w:numId w:val="0"/>
              </w:numPr>
            </w:pPr>
            <w:r w:rsidRPr="001B4A02">
              <w:rPr>
                <w:b/>
              </w:rPr>
              <w:t>Poznámky</w:t>
            </w:r>
          </w:p>
        </w:tc>
      </w:tr>
      <w:tr w:rsidR="00534A2D" w14:paraId="7BCD5F97" w14:textId="77777777" w:rsidTr="00B55983">
        <w:tc>
          <w:tcPr>
            <w:tcW w:w="3095" w:type="dxa"/>
            <w:shd w:val="clear" w:color="auto" w:fill="auto"/>
          </w:tcPr>
          <w:p w14:paraId="324E9CCF" w14:textId="77777777" w:rsidR="006B4A05" w:rsidRPr="001B4A02" w:rsidRDefault="00000000" w:rsidP="00ED48A3">
            <w:pPr>
              <w:numPr>
                <w:ilvl w:val="12"/>
                <w:numId w:val="0"/>
              </w:numPr>
              <w:ind w:right="-2"/>
            </w:pPr>
            <w:r w:rsidRPr="001B4A02">
              <w:t>Dospělí</w:t>
            </w:r>
          </w:p>
        </w:tc>
        <w:tc>
          <w:tcPr>
            <w:tcW w:w="3096" w:type="dxa"/>
            <w:shd w:val="clear" w:color="auto" w:fill="auto"/>
          </w:tcPr>
          <w:p w14:paraId="0CE27C0E" w14:textId="77777777" w:rsidR="006B4A05" w:rsidRPr="001B4A02" w:rsidRDefault="00000000" w:rsidP="00710CD0">
            <w:pPr>
              <w:tabs>
                <w:tab w:val="left" w:pos="0"/>
              </w:tabs>
              <w:ind w:left="0" w:firstLine="0"/>
            </w:pPr>
            <w:r w:rsidRPr="001B4A02">
              <w:t>První dávka 80</w:t>
            </w:r>
            <w:r w:rsidR="00A7483D">
              <w:t> mg</w:t>
            </w:r>
            <w:r w:rsidRPr="001B4A02">
              <w:t xml:space="preserve"> (dvě injekce po 40</w:t>
            </w:r>
            <w:r w:rsidR="00A7483D">
              <w:t> mg</w:t>
            </w:r>
            <w:r w:rsidRPr="001B4A02">
              <w:t xml:space="preserve"> </w:t>
            </w:r>
            <w:r w:rsidR="00C7213A" w:rsidRPr="001B4A02">
              <w:t>v jeden den</w:t>
            </w:r>
            <w:r w:rsidRPr="001B4A02">
              <w:t xml:space="preserve">) </w:t>
            </w:r>
            <w:r w:rsidR="00C7213A" w:rsidRPr="001B4A02">
              <w:t xml:space="preserve">následovaná dávkou </w:t>
            </w:r>
            <w:r w:rsidRPr="001B4A02">
              <w:t>40</w:t>
            </w:r>
            <w:r w:rsidR="00A7483D">
              <w:t> mg</w:t>
            </w:r>
            <w:r w:rsidRPr="001B4A02">
              <w:t xml:space="preserve"> </w:t>
            </w:r>
            <w:r w:rsidR="00C7213A" w:rsidRPr="001B4A02">
              <w:t>jednou za dva týdny, počínaje jedn</w:t>
            </w:r>
            <w:r w:rsidR="00032F16" w:rsidRPr="001B4A02">
              <w:t>ím</w:t>
            </w:r>
            <w:r w:rsidR="00C7213A" w:rsidRPr="001B4A02">
              <w:t xml:space="preserve"> týdn</w:t>
            </w:r>
            <w:r w:rsidR="00032F16" w:rsidRPr="001B4A02">
              <w:t>em</w:t>
            </w:r>
            <w:r w:rsidR="00C7213A" w:rsidRPr="001B4A02">
              <w:t xml:space="preserve"> po první dávce</w:t>
            </w:r>
            <w:r w:rsidRPr="001B4A02">
              <w:t>.</w:t>
            </w:r>
          </w:p>
        </w:tc>
        <w:tc>
          <w:tcPr>
            <w:tcW w:w="3096" w:type="dxa"/>
            <w:shd w:val="clear" w:color="auto" w:fill="auto"/>
          </w:tcPr>
          <w:p w14:paraId="67BDEA2B" w14:textId="77777777" w:rsidR="006B4A05" w:rsidRPr="001B4A02" w:rsidRDefault="00000000" w:rsidP="00ED48A3">
            <w:pPr>
              <w:numPr>
                <w:ilvl w:val="12"/>
                <w:numId w:val="0"/>
              </w:numPr>
            </w:pPr>
            <w:r w:rsidRPr="001B4A02">
              <w:t>Během používání přípravku Humira je možno pokračovat v podávání kortikosteroidů nebo jiných léků, které ovlivňují imunitní syst</w:t>
            </w:r>
            <w:r w:rsidR="00A27A27" w:rsidRPr="001B4A02">
              <w:t>é</w:t>
            </w:r>
            <w:r w:rsidRPr="001B4A02">
              <w:t>m. Přípravek Humira se rovněž může podávat samotný.</w:t>
            </w:r>
          </w:p>
        </w:tc>
      </w:tr>
      <w:tr w:rsidR="00534A2D" w14:paraId="0AE69D7C" w14:textId="77777777" w:rsidTr="00B55983">
        <w:tc>
          <w:tcPr>
            <w:tcW w:w="3095" w:type="dxa"/>
            <w:shd w:val="clear" w:color="auto" w:fill="auto"/>
          </w:tcPr>
          <w:p w14:paraId="10D91A3F" w14:textId="77777777" w:rsidR="005D5F75" w:rsidRPr="001B4A02" w:rsidRDefault="00000000" w:rsidP="00E44302">
            <w:pPr>
              <w:numPr>
                <w:ilvl w:val="12"/>
                <w:numId w:val="0"/>
              </w:numPr>
              <w:ind w:right="-2"/>
            </w:pPr>
            <w:r w:rsidRPr="001B4A02">
              <w:t>Děti</w:t>
            </w:r>
            <w:r w:rsidR="002378E0">
              <w:t xml:space="preserve"> a </w:t>
            </w:r>
            <w:r w:rsidR="00075234" w:rsidRPr="001B4A02">
              <w:t>dospívající</w:t>
            </w:r>
            <w:r w:rsidRPr="001B4A02">
              <w:t xml:space="preserve"> </w:t>
            </w:r>
            <w:r w:rsidR="00E44302" w:rsidRPr="001B4A02">
              <w:t xml:space="preserve">od 2 let </w:t>
            </w:r>
            <w:r w:rsidRPr="001B4A02">
              <w:t xml:space="preserve">s tělesnou hmotností </w:t>
            </w:r>
            <w:r w:rsidR="00783FD1" w:rsidRPr="001B4A02">
              <w:t>do</w:t>
            </w:r>
            <w:r w:rsidRPr="001B4A02">
              <w:t xml:space="preserve"> 30 kg</w:t>
            </w:r>
          </w:p>
        </w:tc>
        <w:tc>
          <w:tcPr>
            <w:tcW w:w="3096" w:type="dxa"/>
            <w:shd w:val="clear" w:color="auto" w:fill="auto"/>
          </w:tcPr>
          <w:p w14:paraId="73D0960F" w14:textId="77777777" w:rsidR="005D5F75" w:rsidRPr="001B4A02" w:rsidRDefault="00000000" w:rsidP="00ED48A3">
            <w:pPr>
              <w:tabs>
                <w:tab w:val="left" w:pos="0"/>
              </w:tabs>
              <w:ind w:left="0" w:firstLine="0"/>
            </w:pPr>
            <w:r w:rsidRPr="001B4A02">
              <w:t>20</w:t>
            </w:r>
            <w:r w:rsidR="00A7483D">
              <w:t> mg</w:t>
            </w:r>
            <w:r w:rsidRPr="001B4A02">
              <w:t xml:space="preserve"> jednou za dva týdny</w:t>
            </w:r>
          </w:p>
        </w:tc>
        <w:tc>
          <w:tcPr>
            <w:tcW w:w="3096" w:type="dxa"/>
            <w:shd w:val="clear" w:color="auto" w:fill="auto"/>
          </w:tcPr>
          <w:p w14:paraId="2419BFFA" w14:textId="77777777" w:rsidR="005D5F75" w:rsidRPr="001B4A02" w:rsidRDefault="00000000" w:rsidP="00557275">
            <w:pPr>
              <w:numPr>
                <w:ilvl w:val="12"/>
                <w:numId w:val="0"/>
              </w:numPr>
            </w:pPr>
            <w:r w:rsidRPr="001B4A02">
              <w:t>Váš lékař může předepsat úvodní dávku</w:t>
            </w:r>
            <w:r w:rsidR="00557275" w:rsidRPr="001B4A02">
              <w:t xml:space="preserve"> 40 mg</w:t>
            </w:r>
            <w:r w:rsidRPr="001B4A02">
              <w:t>, která bude podána jeden týden před zahájením obvyklé</w:t>
            </w:r>
            <w:r w:rsidR="0096238D" w:rsidRPr="001B4A02">
              <w:t>ho dávkování</w:t>
            </w:r>
            <w:r w:rsidRPr="001B4A02">
              <w:t xml:space="preserve"> 20 mg jednou za dva týdny. Přípravek Humira je doporučen pro použití v kombinaci s methotrexátem.</w:t>
            </w:r>
          </w:p>
        </w:tc>
      </w:tr>
      <w:tr w:rsidR="00534A2D" w14:paraId="509CF572" w14:textId="77777777" w:rsidTr="00B55983">
        <w:tc>
          <w:tcPr>
            <w:tcW w:w="3095" w:type="dxa"/>
            <w:shd w:val="clear" w:color="auto" w:fill="auto"/>
          </w:tcPr>
          <w:p w14:paraId="4C345259" w14:textId="77777777" w:rsidR="005D5F75" w:rsidRPr="001B4A02" w:rsidRDefault="00000000" w:rsidP="00E44302">
            <w:pPr>
              <w:numPr>
                <w:ilvl w:val="12"/>
                <w:numId w:val="0"/>
              </w:numPr>
              <w:ind w:right="-2"/>
            </w:pPr>
            <w:r w:rsidRPr="001B4A02">
              <w:t>Děti</w:t>
            </w:r>
            <w:r w:rsidR="002378E0">
              <w:t xml:space="preserve"> a </w:t>
            </w:r>
            <w:r w:rsidR="00075234" w:rsidRPr="001B4A02">
              <w:t>dospívající</w:t>
            </w:r>
            <w:r w:rsidRPr="001B4A02">
              <w:t xml:space="preserve"> </w:t>
            </w:r>
            <w:r w:rsidR="00E44302" w:rsidRPr="001B4A02">
              <w:t xml:space="preserve">od 2 let </w:t>
            </w:r>
            <w:r w:rsidRPr="001B4A02">
              <w:t>s tělesnou hmotností 30 kg</w:t>
            </w:r>
            <w:r w:rsidR="0088128B" w:rsidRPr="001B4A02">
              <w:t xml:space="preserve"> nebo </w:t>
            </w:r>
            <w:r w:rsidR="001D2B8E" w:rsidRPr="001B4A02">
              <w:t>vyšší</w:t>
            </w:r>
          </w:p>
        </w:tc>
        <w:tc>
          <w:tcPr>
            <w:tcW w:w="3096" w:type="dxa"/>
            <w:shd w:val="clear" w:color="auto" w:fill="auto"/>
          </w:tcPr>
          <w:p w14:paraId="0E47F1EF" w14:textId="77777777" w:rsidR="005D5F75" w:rsidRPr="001B4A02" w:rsidRDefault="00000000" w:rsidP="00ED48A3">
            <w:pPr>
              <w:tabs>
                <w:tab w:val="left" w:pos="0"/>
              </w:tabs>
              <w:ind w:left="0" w:firstLine="0"/>
            </w:pPr>
            <w:r w:rsidRPr="001B4A02">
              <w:t>40 mg jednou za dva týdny</w:t>
            </w:r>
          </w:p>
        </w:tc>
        <w:tc>
          <w:tcPr>
            <w:tcW w:w="3096" w:type="dxa"/>
            <w:shd w:val="clear" w:color="auto" w:fill="auto"/>
          </w:tcPr>
          <w:p w14:paraId="791909E1" w14:textId="77777777" w:rsidR="005D5F75" w:rsidRPr="001B4A02" w:rsidRDefault="00000000" w:rsidP="00557275">
            <w:pPr>
              <w:numPr>
                <w:ilvl w:val="12"/>
                <w:numId w:val="0"/>
              </w:numPr>
            </w:pPr>
            <w:r w:rsidRPr="001B4A02">
              <w:t>Váš lékař může předepsat úvodní dávku 80 mg, která bude podána jeden týden před zahájením obvyklé</w:t>
            </w:r>
            <w:r w:rsidR="0096238D" w:rsidRPr="001B4A02">
              <w:t>ho dávkování</w:t>
            </w:r>
            <w:r w:rsidRPr="001B4A02">
              <w:t xml:space="preserve"> 40 mg jednou za dva týdny. Přípravek Humira je doporučen pro použití v kombinaci s methotrexátem.</w:t>
            </w:r>
          </w:p>
        </w:tc>
      </w:tr>
    </w:tbl>
    <w:p w14:paraId="3081083B" w14:textId="77777777" w:rsidR="006B4A05" w:rsidRPr="001B4A02" w:rsidRDefault="006B4A05" w:rsidP="00ED48A3">
      <w:pPr>
        <w:ind w:left="0" w:firstLine="0"/>
        <w:rPr>
          <w:u w:val="single"/>
        </w:rPr>
      </w:pPr>
    </w:p>
    <w:p w14:paraId="612595E6" w14:textId="77777777" w:rsidR="00FF1D36" w:rsidRPr="001B4A02" w:rsidRDefault="00000000" w:rsidP="00ED48A3">
      <w:pPr>
        <w:keepNext/>
        <w:ind w:left="0" w:firstLine="0"/>
        <w:rPr>
          <w:b/>
        </w:rPr>
      </w:pPr>
      <w:r w:rsidRPr="001B4A02">
        <w:rPr>
          <w:b/>
        </w:rPr>
        <w:t>Způsob</w:t>
      </w:r>
      <w:r w:rsidR="002378E0">
        <w:rPr>
          <w:b/>
        </w:rPr>
        <w:t xml:space="preserve"> a </w:t>
      </w:r>
      <w:r w:rsidRPr="001B4A02">
        <w:rPr>
          <w:b/>
        </w:rPr>
        <w:t>cesta podání</w:t>
      </w:r>
    </w:p>
    <w:p w14:paraId="79F489EB" w14:textId="77777777" w:rsidR="00FF1D36" w:rsidRPr="001B4A02" w:rsidRDefault="00FF1D36" w:rsidP="00ED48A3">
      <w:pPr>
        <w:keepNext/>
        <w:ind w:left="0" w:firstLine="0"/>
      </w:pPr>
    </w:p>
    <w:p w14:paraId="355BF5C2" w14:textId="77777777" w:rsidR="00FF1D36" w:rsidRPr="001B4A02" w:rsidRDefault="00000000" w:rsidP="00507DAA">
      <w:pPr>
        <w:ind w:left="0" w:firstLine="0"/>
      </w:pPr>
      <w:r w:rsidRPr="001B4A02">
        <w:t>Přípravek Humira se podává injekčně pod kůži (subkutánní injekcí).</w:t>
      </w:r>
    </w:p>
    <w:p w14:paraId="23EFD0D8" w14:textId="77777777" w:rsidR="00FF1D36" w:rsidRPr="001B4A02" w:rsidRDefault="00FF1D36" w:rsidP="00ED48A3">
      <w:pPr>
        <w:ind w:left="0" w:firstLine="0"/>
      </w:pPr>
    </w:p>
    <w:p w14:paraId="422BBF3E" w14:textId="77777777" w:rsidR="006B6963" w:rsidRPr="001B4A02" w:rsidRDefault="00000000" w:rsidP="00ED48A3">
      <w:pPr>
        <w:ind w:left="0" w:firstLine="0"/>
        <w:rPr>
          <w:b/>
        </w:rPr>
      </w:pPr>
      <w:r w:rsidRPr="001B4A02">
        <w:rPr>
          <w:b/>
        </w:rPr>
        <w:t>Podrobné pokyny k injikování přípravku Humira jsou uvedeny v bodě 7 „</w:t>
      </w:r>
      <w:r w:rsidR="00454E16">
        <w:rPr>
          <w:b/>
        </w:rPr>
        <w:t>Aplikace injekce přípravku Humira</w:t>
      </w:r>
      <w:r w:rsidRPr="001B4A02">
        <w:rPr>
          <w:b/>
        </w:rPr>
        <w:t>“.</w:t>
      </w:r>
    </w:p>
    <w:p w14:paraId="23548006" w14:textId="77777777" w:rsidR="00FF1D36" w:rsidRPr="001B4A02" w:rsidRDefault="00FF1D36" w:rsidP="00ED48A3">
      <w:pPr>
        <w:pStyle w:val="EMEANormal"/>
        <w:tabs>
          <w:tab w:val="left" w:pos="720"/>
        </w:tabs>
        <w:ind w:left="550" w:hanging="550"/>
        <w:rPr>
          <w:lang w:val="cs-CZ"/>
        </w:rPr>
      </w:pPr>
    </w:p>
    <w:p w14:paraId="7BC01921" w14:textId="77777777" w:rsidR="00FF1D36" w:rsidRPr="001B4A02" w:rsidRDefault="00000000" w:rsidP="008F1B0E">
      <w:pPr>
        <w:keepNext/>
        <w:ind w:left="0" w:firstLine="0"/>
        <w:rPr>
          <w:b/>
        </w:rPr>
      </w:pPr>
      <w:r w:rsidRPr="001B4A02">
        <w:rPr>
          <w:b/>
        </w:rPr>
        <w:t xml:space="preserve">Jestliže jste </w:t>
      </w:r>
      <w:r w:rsidR="00FF288D" w:rsidRPr="001B4A02">
        <w:rPr>
          <w:b/>
        </w:rPr>
        <w:t>po</w:t>
      </w:r>
      <w:r w:rsidRPr="001B4A02">
        <w:rPr>
          <w:b/>
        </w:rPr>
        <w:t>užil(a) více přípravku Humira, než jste měl(a)</w:t>
      </w:r>
    </w:p>
    <w:p w14:paraId="1390F49D" w14:textId="77777777" w:rsidR="00FF1D36" w:rsidRPr="001B4A02" w:rsidRDefault="00FF1D36" w:rsidP="008F1B0E">
      <w:pPr>
        <w:keepNext/>
        <w:ind w:left="0" w:firstLine="0"/>
      </w:pPr>
    </w:p>
    <w:p w14:paraId="3B04D49F" w14:textId="77777777" w:rsidR="00FF1D36" w:rsidRPr="001B4A02" w:rsidRDefault="00000000" w:rsidP="00ED48A3">
      <w:pPr>
        <w:ind w:left="0" w:firstLine="0"/>
      </w:pPr>
      <w:r w:rsidRPr="001B4A02">
        <w:t>Pokud jste si náhodně aplikoval(a) přípravek Humira častěji</w:t>
      </w:r>
      <w:r w:rsidR="004E2192" w:rsidRPr="001B4A02">
        <w:t>,</w:t>
      </w:r>
      <w:r w:rsidRPr="001B4A02">
        <w:t xml:space="preserve"> než Vám bylo předepsáno, kontaktujte svého lékaře nebo lékárníka</w:t>
      </w:r>
      <w:r w:rsidR="002378E0">
        <w:t xml:space="preserve"> a </w:t>
      </w:r>
      <w:r w:rsidRPr="001B4A02">
        <w:t xml:space="preserve">oznamte </w:t>
      </w:r>
      <w:r w:rsidR="006B6963" w:rsidRPr="001B4A02">
        <w:t>jim</w:t>
      </w:r>
      <w:r w:rsidRPr="001B4A02">
        <w:t xml:space="preserve">, že jste </w:t>
      </w:r>
      <w:r w:rsidR="00FF288D" w:rsidRPr="001B4A02">
        <w:t>po</w:t>
      </w:r>
      <w:r w:rsidRPr="001B4A02">
        <w:t>užil(a) větší množství léku. Vždy si s sebou vezměte vnější obal</w:t>
      </w:r>
      <w:r w:rsidR="00674B42" w:rsidRPr="001B4A02">
        <w:t xml:space="preserve"> léku</w:t>
      </w:r>
      <w:r w:rsidRPr="001B4A02">
        <w:t>,</w:t>
      </w:r>
      <w:r w:rsidR="002378E0">
        <w:t xml:space="preserve"> a </w:t>
      </w:r>
      <w:r w:rsidRPr="001B4A02">
        <w:t>to i když je prázdn</w:t>
      </w:r>
      <w:r w:rsidR="00674B42" w:rsidRPr="001B4A02">
        <w:t>ý</w:t>
      </w:r>
      <w:r w:rsidRPr="001B4A02">
        <w:t>.</w:t>
      </w:r>
    </w:p>
    <w:p w14:paraId="435DAA55" w14:textId="77777777" w:rsidR="00FF1D36" w:rsidRPr="001B4A02" w:rsidRDefault="00FF1D36" w:rsidP="00ED48A3">
      <w:pPr>
        <w:ind w:left="0" w:firstLine="0"/>
      </w:pPr>
    </w:p>
    <w:p w14:paraId="7B5C5F29" w14:textId="77777777" w:rsidR="00FF1D36" w:rsidRPr="001B4A02" w:rsidRDefault="00000000" w:rsidP="00003181">
      <w:pPr>
        <w:keepNext/>
        <w:ind w:left="0" w:firstLine="0"/>
        <w:rPr>
          <w:b/>
        </w:rPr>
      </w:pPr>
      <w:r w:rsidRPr="001B4A02">
        <w:rPr>
          <w:b/>
        </w:rPr>
        <w:t xml:space="preserve">Jestliže jste zapomněl(a) </w:t>
      </w:r>
      <w:r w:rsidR="00FF288D" w:rsidRPr="001B4A02">
        <w:rPr>
          <w:b/>
        </w:rPr>
        <w:t>po</w:t>
      </w:r>
      <w:r w:rsidRPr="001B4A02">
        <w:rPr>
          <w:b/>
        </w:rPr>
        <w:t>užít přípravek Humira</w:t>
      </w:r>
    </w:p>
    <w:p w14:paraId="21BB9165" w14:textId="77777777" w:rsidR="00FF1D36" w:rsidRPr="001B4A02" w:rsidRDefault="00FF1D36" w:rsidP="00003181">
      <w:pPr>
        <w:keepNext/>
        <w:ind w:left="0" w:firstLine="0"/>
      </w:pPr>
    </w:p>
    <w:p w14:paraId="33C59FF1" w14:textId="77777777" w:rsidR="00FF1D36" w:rsidRPr="001B4A02" w:rsidRDefault="00000000" w:rsidP="00507DAA">
      <w:pPr>
        <w:ind w:left="0" w:firstLine="0"/>
      </w:pPr>
      <w:r w:rsidRPr="001B4A02">
        <w:t xml:space="preserve">Pokud si zapomenete </w:t>
      </w:r>
      <w:r w:rsidR="00631040" w:rsidRPr="001B4A02">
        <w:t xml:space="preserve">podat </w:t>
      </w:r>
      <w:r w:rsidRPr="001B4A02">
        <w:t>injekci, m</w:t>
      </w:r>
      <w:r w:rsidR="007B06BB">
        <w:t>áte</w:t>
      </w:r>
      <w:r w:rsidRPr="001B4A02">
        <w:t xml:space="preserve"> si ji </w:t>
      </w:r>
      <w:r w:rsidR="00631040" w:rsidRPr="001B4A02">
        <w:t xml:space="preserve">aplikovat </w:t>
      </w:r>
      <w:r w:rsidRPr="001B4A02">
        <w:t xml:space="preserve">ihned, jak si vzpomenete. Poté si </w:t>
      </w:r>
      <w:r w:rsidR="00631040" w:rsidRPr="001B4A02">
        <w:t xml:space="preserve">podejte </w:t>
      </w:r>
      <w:r w:rsidRPr="001B4A02">
        <w:t xml:space="preserve">další dávku </w:t>
      </w:r>
      <w:r w:rsidR="00E54D7E" w:rsidRPr="001B4A02">
        <w:t xml:space="preserve">původně </w:t>
      </w:r>
      <w:r w:rsidRPr="001B4A02">
        <w:t>plánovan</w:t>
      </w:r>
      <w:r w:rsidR="00E54D7E" w:rsidRPr="001B4A02">
        <w:t>ý</w:t>
      </w:r>
      <w:r w:rsidRPr="001B4A02">
        <w:t xml:space="preserve"> den, jako kdybyste nezapomněl(a) </w:t>
      </w:r>
      <w:r w:rsidR="00631040" w:rsidRPr="001B4A02">
        <w:t xml:space="preserve">na </w:t>
      </w:r>
      <w:r w:rsidRPr="001B4A02">
        <w:t>předchozí dávku.</w:t>
      </w:r>
    </w:p>
    <w:p w14:paraId="3F95A8A2" w14:textId="77777777" w:rsidR="00FF1D36" w:rsidRPr="001B4A02" w:rsidRDefault="00FF1D36" w:rsidP="00ED48A3">
      <w:pPr>
        <w:ind w:left="0" w:firstLine="0"/>
      </w:pPr>
    </w:p>
    <w:p w14:paraId="6B731EA6" w14:textId="77777777" w:rsidR="00FF1D36" w:rsidRPr="001B4A02" w:rsidRDefault="00000000" w:rsidP="008F1B0E">
      <w:pPr>
        <w:keepNext/>
        <w:ind w:left="0" w:firstLine="0"/>
        <w:rPr>
          <w:b/>
        </w:rPr>
      </w:pPr>
      <w:r w:rsidRPr="001B4A02">
        <w:rPr>
          <w:b/>
        </w:rPr>
        <w:t xml:space="preserve">Jestliže jste přestal(a) </w:t>
      </w:r>
      <w:r w:rsidR="00FF288D" w:rsidRPr="001B4A02">
        <w:rPr>
          <w:b/>
        </w:rPr>
        <w:t>po</w:t>
      </w:r>
      <w:r w:rsidRPr="001B4A02">
        <w:rPr>
          <w:b/>
        </w:rPr>
        <w:t>užívat přípravek Humira</w:t>
      </w:r>
    </w:p>
    <w:p w14:paraId="3A6BB14E" w14:textId="77777777" w:rsidR="00FF1D36" w:rsidRPr="001B4A02" w:rsidRDefault="00FF1D36" w:rsidP="008F1B0E">
      <w:pPr>
        <w:keepNext/>
        <w:ind w:left="0" w:firstLine="0"/>
      </w:pPr>
    </w:p>
    <w:p w14:paraId="507DBF7F" w14:textId="77777777" w:rsidR="00FF1D36" w:rsidRPr="001B4A02" w:rsidRDefault="00000000" w:rsidP="00ED48A3">
      <w:pPr>
        <w:ind w:left="0" w:firstLine="0"/>
      </w:pPr>
      <w:r w:rsidRPr="001B4A02">
        <w:t xml:space="preserve">Rozhodnutí o tom, zda </w:t>
      </w:r>
      <w:r w:rsidR="00FF288D" w:rsidRPr="001B4A02">
        <w:t>po</w:t>
      </w:r>
      <w:r w:rsidRPr="001B4A02">
        <w:t>užívání přípravku Humi</w:t>
      </w:r>
      <w:r w:rsidR="00032F16" w:rsidRPr="001B4A02">
        <w:t>r</w:t>
      </w:r>
      <w:r w:rsidRPr="001B4A02">
        <w:t>a přerušit, musí</w:t>
      </w:r>
      <w:r w:rsidR="00702A71" w:rsidRPr="001B4A02">
        <w:t>te</w:t>
      </w:r>
      <w:r w:rsidRPr="001B4A02">
        <w:t xml:space="preserve"> konzultov</w:t>
      </w:r>
      <w:r w:rsidR="00702A71" w:rsidRPr="001B4A02">
        <w:t>at se svým</w:t>
      </w:r>
      <w:r w:rsidRPr="001B4A02">
        <w:t xml:space="preserve"> lékařem. </w:t>
      </w:r>
      <w:r w:rsidR="006B6963" w:rsidRPr="001B4A02">
        <w:t xml:space="preserve">Pokud přestanete přípravek Humira </w:t>
      </w:r>
      <w:r w:rsidR="00FF288D" w:rsidRPr="001B4A02">
        <w:t>po</w:t>
      </w:r>
      <w:r w:rsidR="006B6963" w:rsidRPr="001B4A02">
        <w:t xml:space="preserve">užívat, </w:t>
      </w:r>
      <w:r w:rsidRPr="001B4A02">
        <w:t>příznaky</w:t>
      </w:r>
      <w:r w:rsidR="006B6963" w:rsidRPr="001B4A02">
        <w:t xml:space="preserve"> </w:t>
      </w:r>
      <w:r w:rsidR="00702A71" w:rsidRPr="001B4A02">
        <w:t xml:space="preserve">onemocnění </w:t>
      </w:r>
      <w:r w:rsidR="006B6963" w:rsidRPr="001B4A02">
        <w:t>se Vám mohou</w:t>
      </w:r>
      <w:r w:rsidRPr="001B4A02">
        <w:t xml:space="preserve"> vrátit.</w:t>
      </w:r>
    </w:p>
    <w:p w14:paraId="032853E4" w14:textId="77777777" w:rsidR="00FF1D36" w:rsidRPr="001B4A02" w:rsidRDefault="00FF1D36" w:rsidP="00ED48A3">
      <w:pPr>
        <w:ind w:left="0" w:firstLine="0"/>
      </w:pPr>
    </w:p>
    <w:p w14:paraId="3D2702C2" w14:textId="77777777" w:rsidR="00FF1D36" w:rsidRPr="001B4A02" w:rsidRDefault="00000000" w:rsidP="00ED48A3">
      <w:pPr>
        <w:ind w:left="0" w:firstLine="0"/>
      </w:pPr>
      <w:r w:rsidRPr="001B4A02">
        <w:t xml:space="preserve">Máte-li jakékoli další otázky týkající se </w:t>
      </w:r>
      <w:r w:rsidR="00FF288D" w:rsidRPr="001B4A02">
        <w:t>po</w:t>
      </w:r>
      <w:r w:rsidRPr="001B4A02">
        <w:t xml:space="preserve">užívání tohoto </w:t>
      </w:r>
      <w:r w:rsidR="004E2192" w:rsidRPr="001B4A02">
        <w:t>přípravku</w:t>
      </w:r>
      <w:r w:rsidRPr="001B4A02">
        <w:t>, zeptejte se svého lékaře nebo lékárníka.</w:t>
      </w:r>
    </w:p>
    <w:p w14:paraId="1CA19769" w14:textId="77777777" w:rsidR="00FF1D36" w:rsidRPr="001B4A02" w:rsidRDefault="00FF1D36" w:rsidP="00ED48A3">
      <w:pPr>
        <w:ind w:left="0" w:firstLine="0"/>
      </w:pPr>
    </w:p>
    <w:p w14:paraId="7E3A53D5" w14:textId="77777777" w:rsidR="00FF1D36" w:rsidRPr="001B4A02" w:rsidRDefault="00FF1D36" w:rsidP="00ED48A3">
      <w:pPr>
        <w:ind w:left="0" w:firstLine="0"/>
      </w:pPr>
    </w:p>
    <w:p w14:paraId="1EAF1787" w14:textId="77777777" w:rsidR="00FF1D36" w:rsidRPr="001B4A02" w:rsidRDefault="00000000" w:rsidP="008F1B0E">
      <w:pPr>
        <w:keepNext/>
        <w:numPr>
          <w:ilvl w:val="12"/>
          <w:numId w:val="0"/>
        </w:numPr>
        <w:ind w:left="567" w:hanging="567"/>
        <w:outlineLvl w:val="1"/>
      </w:pPr>
      <w:r w:rsidRPr="001B4A02">
        <w:rPr>
          <w:b/>
        </w:rPr>
        <w:t>4.</w:t>
      </w:r>
      <w:r w:rsidRPr="001B4A02">
        <w:rPr>
          <w:b/>
        </w:rPr>
        <w:tab/>
        <w:t>Možné nežádoucí účinky</w:t>
      </w:r>
    </w:p>
    <w:p w14:paraId="3E266757" w14:textId="77777777" w:rsidR="00FF1D36" w:rsidRPr="001B4A02" w:rsidRDefault="00FF1D36" w:rsidP="008F1B0E">
      <w:pPr>
        <w:keepNext/>
        <w:numPr>
          <w:ilvl w:val="12"/>
          <w:numId w:val="0"/>
        </w:numPr>
        <w:ind w:right="-28"/>
      </w:pPr>
    </w:p>
    <w:p w14:paraId="62575184" w14:textId="77777777" w:rsidR="00FF1D36" w:rsidRPr="001B4A02" w:rsidRDefault="00000000" w:rsidP="00ED48A3">
      <w:pPr>
        <w:ind w:left="0" w:firstLine="0"/>
      </w:pPr>
      <w:r w:rsidRPr="001B4A02">
        <w:t xml:space="preserve">Podobně jako všechny léky může mít i </w:t>
      </w:r>
      <w:r w:rsidR="004E2192" w:rsidRPr="001B4A02">
        <w:t>tento přípravek</w:t>
      </w:r>
      <w:r w:rsidRPr="001B4A02">
        <w:t xml:space="preserve"> nežádoucí účinky, které se ale nemusí vyskytnout u každého. Většina nežádoucích účinků je mírné nebo střední závažnosti. Některé však mohou být závažné</w:t>
      </w:r>
      <w:r w:rsidR="002378E0">
        <w:t xml:space="preserve"> a </w:t>
      </w:r>
      <w:r w:rsidRPr="001B4A02">
        <w:t>vyžadují léčbu. Nežádoucí účinky se mohou vyskytnout i do 4 měsíců po poslední dávce přípravku Humira.</w:t>
      </w:r>
    </w:p>
    <w:p w14:paraId="4ADF17C9" w14:textId="77777777" w:rsidR="00FF1D36" w:rsidRPr="001B4A02" w:rsidRDefault="00FF1D36" w:rsidP="00ED48A3">
      <w:pPr>
        <w:ind w:left="0" w:firstLine="0"/>
      </w:pPr>
    </w:p>
    <w:p w14:paraId="6BA043E6" w14:textId="77777777" w:rsidR="006B6963" w:rsidRPr="001B4A02" w:rsidRDefault="00000000" w:rsidP="00ED48A3">
      <w:pPr>
        <w:keepNext/>
        <w:ind w:left="0" w:firstLine="0"/>
        <w:rPr>
          <w:b/>
        </w:rPr>
      </w:pPr>
      <w:r w:rsidRPr="001B4A02">
        <w:rPr>
          <w:b/>
        </w:rPr>
        <w:t>Ihned o</w:t>
      </w:r>
      <w:r w:rsidR="00B12121" w:rsidRPr="001B4A02">
        <w:rPr>
          <w:b/>
        </w:rPr>
        <w:t xml:space="preserve">znamte svému lékaři, pokud </w:t>
      </w:r>
      <w:r w:rsidR="00F81D2C" w:rsidRPr="001B4A02">
        <w:rPr>
          <w:b/>
        </w:rPr>
        <w:t>si všimnete jakýchkoli z následujících účinků</w:t>
      </w:r>
    </w:p>
    <w:p w14:paraId="7E59AC23" w14:textId="77777777" w:rsidR="00F81D2C" w:rsidRPr="001B4A02" w:rsidRDefault="00F81D2C" w:rsidP="00ED48A3">
      <w:pPr>
        <w:keepNext/>
        <w:ind w:left="0" w:firstLine="0"/>
      </w:pPr>
    </w:p>
    <w:p w14:paraId="512DB5F9" w14:textId="77777777" w:rsidR="00FF1D36" w:rsidRPr="001B4A02" w:rsidRDefault="00000000" w:rsidP="004B14C0">
      <w:pPr>
        <w:keepNext/>
        <w:numPr>
          <w:ilvl w:val="0"/>
          <w:numId w:val="19"/>
        </w:numPr>
        <w:tabs>
          <w:tab w:val="clear" w:pos="720"/>
        </w:tabs>
        <w:ind w:left="567" w:hanging="567"/>
      </w:pPr>
      <w:r w:rsidRPr="001B4A02">
        <w:t>silná vyrážka, kopřivka nebo jiné známky alergické reakce</w:t>
      </w:r>
    </w:p>
    <w:p w14:paraId="61AAE3A7" w14:textId="77777777" w:rsidR="00FF1D36" w:rsidRPr="001B4A02" w:rsidRDefault="00000000" w:rsidP="004B14C0">
      <w:pPr>
        <w:keepNext/>
        <w:numPr>
          <w:ilvl w:val="0"/>
          <w:numId w:val="19"/>
        </w:numPr>
        <w:tabs>
          <w:tab w:val="clear" w:pos="720"/>
        </w:tabs>
        <w:ind w:left="567" w:hanging="567"/>
      </w:pPr>
      <w:r w:rsidRPr="001B4A02">
        <w:t>ot</w:t>
      </w:r>
      <w:r w:rsidR="006D39E6">
        <w:t>ok</w:t>
      </w:r>
      <w:r w:rsidRPr="001B4A02">
        <w:t xml:space="preserve"> obličej</w:t>
      </w:r>
      <w:r w:rsidR="006D39E6">
        <w:t>e</w:t>
      </w:r>
      <w:r w:rsidRPr="001B4A02">
        <w:t>, ru</w:t>
      </w:r>
      <w:r w:rsidR="006D39E6">
        <w:t>kou</w:t>
      </w:r>
      <w:r w:rsidRPr="001B4A02">
        <w:t>, noh</w:t>
      </w:r>
      <w:r w:rsidR="006D39E6">
        <w:t>ou</w:t>
      </w:r>
    </w:p>
    <w:p w14:paraId="73EC6178" w14:textId="77777777" w:rsidR="00FF1D36" w:rsidRPr="001B4A02" w:rsidRDefault="00000000" w:rsidP="004B14C0">
      <w:pPr>
        <w:keepNext/>
        <w:numPr>
          <w:ilvl w:val="0"/>
          <w:numId w:val="19"/>
        </w:numPr>
        <w:tabs>
          <w:tab w:val="clear" w:pos="720"/>
        </w:tabs>
        <w:ind w:left="567" w:hanging="567"/>
      </w:pPr>
      <w:r w:rsidRPr="001B4A02">
        <w:t>obtíže s dechem či polykáním</w:t>
      </w:r>
    </w:p>
    <w:p w14:paraId="4E6436B3" w14:textId="77777777" w:rsidR="00FF1D36" w:rsidRPr="001B4A02" w:rsidRDefault="00000000" w:rsidP="004B14C0">
      <w:pPr>
        <w:numPr>
          <w:ilvl w:val="0"/>
          <w:numId w:val="19"/>
        </w:numPr>
        <w:tabs>
          <w:tab w:val="clear" w:pos="720"/>
        </w:tabs>
        <w:ind w:left="567" w:hanging="567"/>
      </w:pPr>
      <w:r w:rsidRPr="001B4A02">
        <w:t>zadýchávání</w:t>
      </w:r>
      <w:r w:rsidR="006B6963" w:rsidRPr="001B4A02">
        <w:t xml:space="preserve"> při tělesné činnosti nebo</w:t>
      </w:r>
      <w:r w:rsidRPr="001B4A02">
        <w:t xml:space="preserve"> v poloze vleže</w:t>
      </w:r>
      <w:r w:rsidR="006B6963" w:rsidRPr="001B4A02">
        <w:t>,</w:t>
      </w:r>
      <w:r w:rsidRPr="001B4A02">
        <w:t xml:space="preserve"> nebo otoky nohou</w:t>
      </w:r>
    </w:p>
    <w:p w14:paraId="75933F79" w14:textId="77777777" w:rsidR="00FF1D36" w:rsidRPr="001B4A02" w:rsidRDefault="00FF1D36" w:rsidP="00ED48A3">
      <w:pPr>
        <w:pStyle w:val="EndnoteText"/>
        <w:ind w:left="0" w:firstLine="0"/>
        <w:rPr>
          <w:lang w:val="cs-CZ"/>
        </w:rPr>
      </w:pPr>
    </w:p>
    <w:p w14:paraId="2CF70BFB" w14:textId="77777777" w:rsidR="00FF1D36" w:rsidRPr="001B4A02" w:rsidRDefault="00000000" w:rsidP="008F1B0E">
      <w:pPr>
        <w:keepNext/>
        <w:ind w:left="0" w:firstLine="0"/>
        <w:rPr>
          <w:b/>
        </w:rPr>
      </w:pPr>
      <w:r w:rsidRPr="001B4A02">
        <w:rPr>
          <w:b/>
        </w:rPr>
        <w:t xml:space="preserve">Oznamte svému lékaři co nejdříve, pokud </w:t>
      </w:r>
      <w:r w:rsidR="00F81D2C" w:rsidRPr="001B4A02">
        <w:rPr>
          <w:b/>
        </w:rPr>
        <w:t>si všimnete jakýchkoli z následujících účinků</w:t>
      </w:r>
    </w:p>
    <w:p w14:paraId="1C935BF3" w14:textId="77777777" w:rsidR="00F81D2C" w:rsidRPr="001B4A02" w:rsidRDefault="00F81D2C" w:rsidP="008F1B0E">
      <w:pPr>
        <w:keepNext/>
        <w:ind w:left="0" w:firstLine="0"/>
      </w:pPr>
    </w:p>
    <w:p w14:paraId="5C3B42DB" w14:textId="77777777" w:rsidR="00FF1D36" w:rsidRPr="001B4A02" w:rsidRDefault="00000000" w:rsidP="008F1B0E">
      <w:pPr>
        <w:keepNext/>
        <w:numPr>
          <w:ilvl w:val="0"/>
          <w:numId w:val="20"/>
        </w:numPr>
        <w:tabs>
          <w:tab w:val="clear" w:pos="720"/>
        </w:tabs>
        <w:ind w:left="567" w:hanging="567"/>
      </w:pPr>
      <w:r w:rsidRPr="001B4A02">
        <w:t xml:space="preserve">známky infekce, jako </w:t>
      </w:r>
      <w:r w:rsidR="00005EC2" w:rsidRPr="001B4A02">
        <w:rPr>
          <w:szCs w:val="22"/>
        </w:rPr>
        <w:t xml:space="preserve">jsou </w:t>
      </w:r>
      <w:r w:rsidRPr="001B4A02">
        <w:t>horečka, pocit nemoci, zranění, problémy se zuby, pálení při močení</w:t>
      </w:r>
    </w:p>
    <w:p w14:paraId="6880B3A2" w14:textId="77777777" w:rsidR="00FF1D36" w:rsidRPr="001B4A02" w:rsidRDefault="00000000" w:rsidP="004B14C0">
      <w:pPr>
        <w:numPr>
          <w:ilvl w:val="0"/>
          <w:numId w:val="20"/>
        </w:numPr>
        <w:tabs>
          <w:tab w:val="clear" w:pos="720"/>
        </w:tabs>
        <w:ind w:left="567" w:hanging="567"/>
      </w:pPr>
      <w:r w:rsidRPr="001B4A02">
        <w:t>pocit slabosti nebo únavy</w:t>
      </w:r>
    </w:p>
    <w:p w14:paraId="2C783328" w14:textId="77777777" w:rsidR="00FF1D36" w:rsidRPr="001B4A02" w:rsidRDefault="00000000" w:rsidP="004B14C0">
      <w:pPr>
        <w:numPr>
          <w:ilvl w:val="0"/>
          <w:numId w:val="20"/>
        </w:numPr>
        <w:tabs>
          <w:tab w:val="clear" w:pos="720"/>
        </w:tabs>
        <w:ind w:left="567" w:hanging="567"/>
      </w:pPr>
      <w:r w:rsidRPr="001B4A02">
        <w:t>kašel</w:t>
      </w:r>
    </w:p>
    <w:p w14:paraId="1A4F4F30" w14:textId="77777777" w:rsidR="00FF1D36" w:rsidRPr="001B4A02" w:rsidRDefault="00000000" w:rsidP="004B14C0">
      <w:pPr>
        <w:numPr>
          <w:ilvl w:val="0"/>
          <w:numId w:val="20"/>
        </w:numPr>
        <w:tabs>
          <w:tab w:val="clear" w:pos="720"/>
        </w:tabs>
        <w:ind w:left="567" w:hanging="567"/>
      </w:pPr>
      <w:r w:rsidRPr="001B4A02">
        <w:t>brnění</w:t>
      </w:r>
    </w:p>
    <w:p w14:paraId="6F9DAD1E" w14:textId="77777777" w:rsidR="00FF1D36" w:rsidRPr="001B4A02" w:rsidRDefault="00000000" w:rsidP="004B14C0">
      <w:pPr>
        <w:numPr>
          <w:ilvl w:val="0"/>
          <w:numId w:val="20"/>
        </w:numPr>
        <w:tabs>
          <w:tab w:val="clear" w:pos="720"/>
        </w:tabs>
        <w:ind w:left="567" w:hanging="567"/>
      </w:pPr>
      <w:r w:rsidRPr="001B4A02">
        <w:t>snížená citlivost</w:t>
      </w:r>
    </w:p>
    <w:p w14:paraId="0F073915" w14:textId="77777777" w:rsidR="00FF1D36" w:rsidRPr="001B4A02" w:rsidRDefault="00000000" w:rsidP="004B14C0">
      <w:pPr>
        <w:numPr>
          <w:ilvl w:val="0"/>
          <w:numId w:val="20"/>
        </w:numPr>
        <w:tabs>
          <w:tab w:val="clear" w:pos="720"/>
        </w:tabs>
        <w:ind w:left="567" w:hanging="567"/>
      </w:pPr>
      <w:r w:rsidRPr="001B4A02">
        <w:t>dvojité vidění</w:t>
      </w:r>
    </w:p>
    <w:p w14:paraId="2325A4BC" w14:textId="77777777" w:rsidR="00FF1D36" w:rsidRPr="001B4A02" w:rsidRDefault="00000000" w:rsidP="004B14C0">
      <w:pPr>
        <w:numPr>
          <w:ilvl w:val="0"/>
          <w:numId w:val="20"/>
        </w:numPr>
        <w:tabs>
          <w:tab w:val="clear" w:pos="720"/>
        </w:tabs>
        <w:ind w:left="567" w:hanging="567"/>
      </w:pPr>
      <w:r w:rsidRPr="001B4A02">
        <w:t>slabost horních nebo dolních končetin</w:t>
      </w:r>
    </w:p>
    <w:p w14:paraId="762D8C6C" w14:textId="77777777" w:rsidR="00FF1D36" w:rsidRPr="001B4A02" w:rsidRDefault="00000000" w:rsidP="004B14C0">
      <w:pPr>
        <w:numPr>
          <w:ilvl w:val="0"/>
          <w:numId w:val="20"/>
        </w:numPr>
        <w:tabs>
          <w:tab w:val="clear" w:pos="720"/>
        </w:tabs>
        <w:ind w:left="567" w:hanging="567"/>
      </w:pPr>
      <w:r w:rsidRPr="001B4A02">
        <w:t>otok (boule) nebo opar, který se nehojí</w:t>
      </w:r>
    </w:p>
    <w:p w14:paraId="4C70FA0E" w14:textId="77777777" w:rsidR="00FF1D36" w:rsidRPr="001B4A02" w:rsidRDefault="00000000" w:rsidP="004B14C0">
      <w:pPr>
        <w:numPr>
          <w:ilvl w:val="0"/>
          <w:numId w:val="20"/>
        </w:numPr>
        <w:tabs>
          <w:tab w:val="clear" w:pos="720"/>
        </w:tabs>
        <w:ind w:left="567" w:hanging="567"/>
      </w:pPr>
      <w:r>
        <w:rPr>
          <w:bCs/>
          <w:szCs w:val="22"/>
        </w:rPr>
        <w:t>známky</w:t>
      </w:r>
      <w:r w:rsidR="002378E0">
        <w:rPr>
          <w:bCs/>
          <w:szCs w:val="22"/>
        </w:rPr>
        <w:t xml:space="preserve"> a </w:t>
      </w:r>
      <w:r w:rsidRPr="001B4A02">
        <w:rPr>
          <w:bCs/>
          <w:szCs w:val="22"/>
        </w:rPr>
        <w:t>příznaky podezřelé z krevních poruch, jako je přetrvávající horečka, tvorba modřin, krvácení, bledost</w:t>
      </w:r>
    </w:p>
    <w:p w14:paraId="2535B771" w14:textId="77777777" w:rsidR="00FF1D36" w:rsidRPr="001B4A02" w:rsidRDefault="00FF1D36" w:rsidP="00ED48A3">
      <w:pPr>
        <w:pStyle w:val="EndnoteText"/>
        <w:ind w:left="0" w:firstLine="0"/>
        <w:rPr>
          <w:lang w:val="cs-CZ"/>
        </w:rPr>
      </w:pPr>
    </w:p>
    <w:p w14:paraId="18CB210D" w14:textId="77777777" w:rsidR="00FF1D36" w:rsidRPr="001B4A02" w:rsidRDefault="00000000" w:rsidP="00ED48A3">
      <w:pPr>
        <w:ind w:left="0" w:firstLine="0"/>
      </w:pPr>
      <w:r w:rsidRPr="001B4A02">
        <w:t xml:space="preserve">Příznaky popsané výše mohou být známkami níže uvedeného seznamu nežádoucích účinků, které byly popsány při </w:t>
      </w:r>
      <w:r w:rsidR="00FF288D" w:rsidRPr="001B4A02">
        <w:t>po</w:t>
      </w:r>
      <w:r w:rsidRPr="001B4A02">
        <w:t>užívání přípravku Humira</w:t>
      </w:r>
      <w:r w:rsidR="00A745D1" w:rsidRPr="001B4A02">
        <w:t>.</w:t>
      </w:r>
    </w:p>
    <w:p w14:paraId="43BFAFA3" w14:textId="77777777" w:rsidR="00FF1D36" w:rsidRPr="001B4A02" w:rsidRDefault="00FF1D36" w:rsidP="00ED48A3">
      <w:pPr>
        <w:ind w:left="0" w:firstLine="0"/>
      </w:pPr>
    </w:p>
    <w:p w14:paraId="2BC1D7BC" w14:textId="77777777" w:rsidR="00FF1D36" w:rsidRPr="001B4A02" w:rsidRDefault="00000000" w:rsidP="00ED48A3">
      <w:pPr>
        <w:keepNext/>
        <w:ind w:left="0" w:firstLine="0"/>
      </w:pPr>
      <w:r w:rsidRPr="001B4A02">
        <w:rPr>
          <w:b/>
        </w:rPr>
        <w:t>Velmi časté</w:t>
      </w:r>
      <w:r w:rsidRPr="001B4A02">
        <w:t xml:space="preserve"> (</w:t>
      </w:r>
      <w:r w:rsidRPr="001B4A02">
        <w:rPr>
          <w:shd w:val="clear" w:color="auto" w:fill="FFFFFF"/>
        </w:rPr>
        <w:t>mohou postihnout více než 1 z 10 osob</w:t>
      </w:r>
      <w:r w:rsidRPr="001B4A02">
        <w:t>)</w:t>
      </w:r>
    </w:p>
    <w:p w14:paraId="467E00C4" w14:textId="77777777" w:rsidR="00FF1D36" w:rsidRPr="001B4A02" w:rsidRDefault="00FF1D36" w:rsidP="00ED48A3">
      <w:pPr>
        <w:keepNext/>
        <w:ind w:left="0" w:firstLine="0"/>
      </w:pPr>
    </w:p>
    <w:p w14:paraId="6AF04541" w14:textId="77777777" w:rsidR="00FF1D36" w:rsidRPr="001B4A02" w:rsidRDefault="00000000" w:rsidP="004B14C0">
      <w:pPr>
        <w:keepNext/>
        <w:numPr>
          <w:ilvl w:val="0"/>
          <w:numId w:val="75"/>
        </w:numPr>
        <w:tabs>
          <w:tab w:val="clear" w:pos="720"/>
        </w:tabs>
        <w:ind w:left="567" w:hanging="567"/>
      </w:pPr>
      <w:r w:rsidRPr="001B4A02">
        <w:rPr>
          <w:bCs/>
          <w:szCs w:val="22"/>
        </w:rPr>
        <w:t>reakce v místě injekčního vpichu (včetně bolesti, otoku, zarudnutí nebo svědění)</w:t>
      </w:r>
    </w:p>
    <w:p w14:paraId="1E9DB797" w14:textId="77777777" w:rsidR="00FF1D36" w:rsidRPr="001B4A02" w:rsidRDefault="00000000" w:rsidP="004B14C0">
      <w:pPr>
        <w:numPr>
          <w:ilvl w:val="0"/>
          <w:numId w:val="49"/>
        </w:numPr>
        <w:tabs>
          <w:tab w:val="clear" w:pos="720"/>
        </w:tabs>
        <w:ind w:left="567" w:hanging="567"/>
        <w:rPr>
          <w:bCs/>
          <w:szCs w:val="22"/>
        </w:rPr>
      </w:pPr>
      <w:r w:rsidRPr="001B4A02">
        <w:rPr>
          <w:bCs/>
          <w:szCs w:val="22"/>
        </w:rPr>
        <w:t>infekce dýchacích cest (včetně nastydnutí, rýmy, infekce vedlejších nosních dutin, zápalu plic)</w:t>
      </w:r>
    </w:p>
    <w:p w14:paraId="2398E1C4" w14:textId="77777777" w:rsidR="00FF1D36" w:rsidRPr="001B4A02" w:rsidRDefault="00000000" w:rsidP="004B14C0">
      <w:pPr>
        <w:numPr>
          <w:ilvl w:val="0"/>
          <w:numId w:val="49"/>
        </w:numPr>
        <w:tabs>
          <w:tab w:val="clear" w:pos="720"/>
        </w:tabs>
        <w:ind w:left="567" w:hanging="567"/>
        <w:rPr>
          <w:bCs/>
          <w:szCs w:val="22"/>
        </w:rPr>
      </w:pPr>
      <w:r w:rsidRPr="001B4A02">
        <w:rPr>
          <w:bCs/>
          <w:szCs w:val="22"/>
        </w:rPr>
        <w:t>bolest hlavy</w:t>
      </w:r>
    </w:p>
    <w:p w14:paraId="3B19E1BD" w14:textId="77777777" w:rsidR="00FF1D36" w:rsidRPr="001B4A02" w:rsidRDefault="00000000" w:rsidP="004B14C0">
      <w:pPr>
        <w:numPr>
          <w:ilvl w:val="0"/>
          <w:numId w:val="49"/>
        </w:numPr>
        <w:tabs>
          <w:tab w:val="clear" w:pos="720"/>
        </w:tabs>
        <w:ind w:left="567" w:hanging="567"/>
        <w:rPr>
          <w:bCs/>
          <w:szCs w:val="22"/>
        </w:rPr>
      </w:pPr>
      <w:r w:rsidRPr="001B4A02">
        <w:rPr>
          <w:bCs/>
          <w:szCs w:val="22"/>
        </w:rPr>
        <w:t>bolest břicha</w:t>
      </w:r>
    </w:p>
    <w:p w14:paraId="6AF5D8B7" w14:textId="77777777" w:rsidR="00FF1D36" w:rsidRPr="001B4A02" w:rsidRDefault="00000000" w:rsidP="004B14C0">
      <w:pPr>
        <w:numPr>
          <w:ilvl w:val="0"/>
          <w:numId w:val="49"/>
        </w:numPr>
        <w:tabs>
          <w:tab w:val="clear" w:pos="720"/>
        </w:tabs>
        <w:ind w:left="567" w:hanging="567"/>
        <w:rPr>
          <w:bCs/>
          <w:szCs w:val="22"/>
        </w:rPr>
      </w:pPr>
      <w:r>
        <w:rPr>
          <w:bCs/>
          <w:szCs w:val="22"/>
        </w:rPr>
        <w:t>pocit na zvracení</w:t>
      </w:r>
      <w:r w:rsidR="002378E0">
        <w:rPr>
          <w:bCs/>
          <w:szCs w:val="22"/>
        </w:rPr>
        <w:t xml:space="preserve"> a </w:t>
      </w:r>
      <w:r w:rsidRPr="001B4A02">
        <w:rPr>
          <w:bCs/>
          <w:szCs w:val="22"/>
        </w:rPr>
        <w:t>zvracení</w:t>
      </w:r>
    </w:p>
    <w:p w14:paraId="7487C223" w14:textId="77777777" w:rsidR="00FF1D36" w:rsidRPr="001B4A02" w:rsidRDefault="00000000" w:rsidP="004B14C0">
      <w:pPr>
        <w:numPr>
          <w:ilvl w:val="0"/>
          <w:numId w:val="49"/>
        </w:numPr>
        <w:tabs>
          <w:tab w:val="clear" w:pos="720"/>
        </w:tabs>
        <w:ind w:left="567" w:hanging="567"/>
        <w:rPr>
          <w:bCs/>
          <w:szCs w:val="22"/>
        </w:rPr>
      </w:pPr>
      <w:r w:rsidRPr="001B4A02">
        <w:rPr>
          <w:bCs/>
          <w:szCs w:val="22"/>
        </w:rPr>
        <w:t>vyrážka</w:t>
      </w:r>
    </w:p>
    <w:p w14:paraId="172FBB05" w14:textId="77777777" w:rsidR="00FF1D36" w:rsidRPr="001B4A02" w:rsidRDefault="00000000" w:rsidP="004B14C0">
      <w:pPr>
        <w:numPr>
          <w:ilvl w:val="0"/>
          <w:numId w:val="49"/>
        </w:numPr>
        <w:tabs>
          <w:tab w:val="clear" w:pos="720"/>
        </w:tabs>
        <w:ind w:left="567" w:hanging="567"/>
      </w:pPr>
      <w:r w:rsidRPr="001B4A02">
        <w:rPr>
          <w:bCs/>
          <w:szCs w:val="22"/>
        </w:rPr>
        <w:t>bolest svalů</w:t>
      </w:r>
      <w:r w:rsidR="002378E0">
        <w:rPr>
          <w:bCs/>
          <w:szCs w:val="22"/>
        </w:rPr>
        <w:t xml:space="preserve"> a </w:t>
      </w:r>
      <w:r w:rsidRPr="001B4A02">
        <w:rPr>
          <w:bCs/>
          <w:szCs w:val="22"/>
        </w:rPr>
        <w:t>kloubů</w:t>
      </w:r>
    </w:p>
    <w:p w14:paraId="1D265D80" w14:textId="77777777" w:rsidR="00FF1D36" w:rsidRPr="001B4A02" w:rsidRDefault="00FF1D36" w:rsidP="00ED48A3">
      <w:pPr>
        <w:ind w:left="0" w:firstLine="0"/>
      </w:pPr>
    </w:p>
    <w:p w14:paraId="63DDB131" w14:textId="77777777" w:rsidR="00FF1D36" w:rsidRPr="001B4A02" w:rsidRDefault="00000000" w:rsidP="007D438D">
      <w:pPr>
        <w:keepNext/>
        <w:tabs>
          <w:tab w:val="left" w:pos="0"/>
        </w:tabs>
        <w:ind w:left="0" w:firstLine="0"/>
      </w:pPr>
      <w:r w:rsidRPr="001B4A02">
        <w:rPr>
          <w:b/>
        </w:rPr>
        <w:t>Časté</w:t>
      </w:r>
      <w:r w:rsidRPr="001B4A02">
        <w:t xml:space="preserve"> (mohou postihnout nejvýše 1 z</w:t>
      </w:r>
      <w:r w:rsidR="000928E6" w:rsidRPr="001B4A02">
        <w:t> </w:t>
      </w:r>
      <w:r w:rsidRPr="001B4A02">
        <w:t>10 osob)</w:t>
      </w:r>
    </w:p>
    <w:p w14:paraId="4AE39FC2" w14:textId="77777777" w:rsidR="00FF1D36" w:rsidRPr="001B4A02" w:rsidRDefault="00FF1D36" w:rsidP="007D438D">
      <w:pPr>
        <w:keepNext/>
        <w:tabs>
          <w:tab w:val="left" w:pos="0"/>
        </w:tabs>
        <w:ind w:left="0" w:firstLine="0"/>
      </w:pPr>
    </w:p>
    <w:p w14:paraId="1974B217" w14:textId="77777777" w:rsidR="00FF1D36" w:rsidRPr="001B4A02" w:rsidRDefault="00000000" w:rsidP="004B14C0">
      <w:pPr>
        <w:numPr>
          <w:ilvl w:val="0"/>
          <w:numId w:val="49"/>
        </w:numPr>
        <w:tabs>
          <w:tab w:val="clear" w:pos="720"/>
        </w:tabs>
        <w:ind w:left="567" w:hanging="567"/>
      </w:pPr>
      <w:r>
        <w:rPr>
          <w:bCs/>
          <w:szCs w:val="22"/>
        </w:rPr>
        <w:t>závažné</w:t>
      </w:r>
      <w:r w:rsidRPr="001B4A02">
        <w:rPr>
          <w:bCs/>
          <w:szCs w:val="22"/>
        </w:rPr>
        <w:t xml:space="preserve"> infekce (včetně otravy krve</w:t>
      </w:r>
      <w:r w:rsidR="002378E0">
        <w:rPr>
          <w:bCs/>
          <w:szCs w:val="22"/>
        </w:rPr>
        <w:t xml:space="preserve"> a </w:t>
      </w:r>
      <w:r w:rsidRPr="001B4A02">
        <w:rPr>
          <w:bCs/>
          <w:szCs w:val="22"/>
        </w:rPr>
        <w:t>chřipky)</w:t>
      </w:r>
    </w:p>
    <w:p w14:paraId="2CE0E350" w14:textId="77777777" w:rsidR="00635E3F" w:rsidRPr="001B4A02" w:rsidRDefault="00000000" w:rsidP="004B14C0">
      <w:pPr>
        <w:numPr>
          <w:ilvl w:val="0"/>
          <w:numId w:val="49"/>
        </w:numPr>
        <w:tabs>
          <w:tab w:val="clear" w:pos="720"/>
        </w:tabs>
        <w:ind w:left="567" w:hanging="567"/>
      </w:pPr>
      <w:r w:rsidRPr="001B4A02">
        <w:rPr>
          <w:bCs/>
          <w:szCs w:val="22"/>
        </w:rPr>
        <w:t>střevní infekce (včetně gastroenteritidy)</w:t>
      </w:r>
    </w:p>
    <w:p w14:paraId="4A7D4E6D" w14:textId="77777777" w:rsidR="00FF1D36" w:rsidRPr="001B4A02" w:rsidRDefault="00000000" w:rsidP="004B14C0">
      <w:pPr>
        <w:numPr>
          <w:ilvl w:val="0"/>
          <w:numId w:val="49"/>
        </w:numPr>
        <w:tabs>
          <w:tab w:val="clear" w:pos="720"/>
        </w:tabs>
        <w:ind w:left="567" w:hanging="567"/>
      </w:pPr>
      <w:r w:rsidRPr="001B4A02">
        <w:rPr>
          <w:bCs/>
          <w:szCs w:val="22"/>
        </w:rPr>
        <w:t>kožní infekce (včetně celulitidy</w:t>
      </w:r>
      <w:r w:rsidR="002378E0">
        <w:rPr>
          <w:bCs/>
          <w:szCs w:val="22"/>
        </w:rPr>
        <w:t xml:space="preserve"> a </w:t>
      </w:r>
      <w:r w:rsidRPr="001B4A02">
        <w:rPr>
          <w:bCs/>
          <w:szCs w:val="22"/>
        </w:rPr>
        <w:t>pásového oparu)</w:t>
      </w:r>
    </w:p>
    <w:p w14:paraId="443687AF" w14:textId="77777777" w:rsidR="00FF1D36" w:rsidRPr="001B4A02" w:rsidRDefault="00000000" w:rsidP="004B14C0">
      <w:pPr>
        <w:numPr>
          <w:ilvl w:val="0"/>
          <w:numId w:val="49"/>
        </w:numPr>
        <w:tabs>
          <w:tab w:val="clear" w:pos="720"/>
        </w:tabs>
        <w:ind w:left="567" w:hanging="567"/>
      </w:pPr>
      <w:r w:rsidRPr="001B4A02">
        <w:t>ušní infekce</w:t>
      </w:r>
    </w:p>
    <w:p w14:paraId="7B00277A" w14:textId="77777777" w:rsidR="00FF1D36" w:rsidRPr="001B4A02" w:rsidRDefault="00000000" w:rsidP="004B14C0">
      <w:pPr>
        <w:numPr>
          <w:ilvl w:val="0"/>
          <w:numId w:val="49"/>
        </w:numPr>
        <w:tabs>
          <w:tab w:val="clear" w:pos="720"/>
        </w:tabs>
        <w:ind w:left="567" w:hanging="567"/>
      </w:pPr>
      <w:r w:rsidRPr="001B4A02">
        <w:rPr>
          <w:bCs/>
          <w:szCs w:val="22"/>
        </w:rPr>
        <w:t>infekce v ústech (včetně zubních infekcí</w:t>
      </w:r>
      <w:r w:rsidR="002378E0">
        <w:rPr>
          <w:bCs/>
          <w:szCs w:val="22"/>
        </w:rPr>
        <w:t xml:space="preserve"> a </w:t>
      </w:r>
      <w:r w:rsidRPr="001B4A02">
        <w:rPr>
          <w:bCs/>
          <w:szCs w:val="22"/>
        </w:rPr>
        <w:t>oparu na rtu)</w:t>
      </w:r>
    </w:p>
    <w:p w14:paraId="4FF76A88" w14:textId="77777777" w:rsidR="00FF1D36" w:rsidRPr="001B4A02" w:rsidRDefault="00000000" w:rsidP="004B14C0">
      <w:pPr>
        <w:numPr>
          <w:ilvl w:val="0"/>
          <w:numId w:val="49"/>
        </w:numPr>
        <w:tabs>
          <w:tab w:val="clear" w:pos="720"/>
        </w:tabs>
        <w:ind w:left="567" w:hanging="567"/>
      </w:pPr>
      <w:r w:rsidRPr="001B4A02">
        <w:rPr>
          <w:bCs/>
          <w:szCs w:val="22"/>
        </w:rPr>
        <w:t>infekce pohlavních orgánů</w:t>
      </w:r>
    </w:p>
    <w:p w14:paraId="61BEBCF2" w14:textId="77777777" w:rsidR="00FF1D36" w:rsidRPr="001B4A02" w:rsidRDefault="00000000" w:rsidP="004B14C0">
      <w:pPr>
        <w:numPr>
          <w:ilvl w:val="0"/>
          <w:numId w:val="49"/>
        </w:numPr>
        <w:tabs>
          <w:tab w:val="clear" w:pos="720"/>
        </w:tabs>
        <w:ind w:left="567" w:hanging="567"/>
      </w:pPr>
      <w:r w:rsidRPr="001B4A02">
        <w:t>záněty močových cest</w:t>
      </w:r>
    </w:p>
    <w:p w14:paraId="6D636C13" w14:textId="77777777" w:rsidR="00FF1D36" w:rsidRPr="001B4A02" w:rsidRDefault="00000000" w:rsidP="004B14C0">
      <w:pPr>
        <w:numPr>
          <w:ilvl w:val="0"/>
          <w:numId w:val="49"/>
        </w:numPr>
        <w:tabs>
          <w:tab w:val="clear" w:pos="720"/>
        </w:tabs>
        <w:ind w:left="567" w:hanging="567"/>
      </w:pPr>
      <w:r w:rsidRPr="001B4A02">
        <w:rPr>
          <w:bCs/>
          <w:szCs w:val="22"/>
        </w:rPr>
        <w:t>plísňové infekce</w:t>
      </w:r>
    </w:p>
    <w:p w14:paraId="1A35FEC7" w14:textId="77777777" w:rsidR="00FF1D36" w:rsidRPr="001B4A02" w:rsidRDefault="00000000" w:rsidP="004B14C0">
      <w:pPr>
        <w:numPr>
          <w:ilvl w:val="0"/>
          <w:numId w:val="49"/>
        </w:numPr>
        <w:tabs>
          <w:tab w:val="clear" w:pos="720"/>
        </w:tabs>
        <w:ind w:left="567" w:hanging="567"/>
      </w:pPr>
      <w:r w:rsidRPr="001B4A02">
        <w:t>záněty kloubů</w:t>
      </w:r>
    </w:p>
    <w:p w14:paraId="247BE519" w14:textId="77777777" w:rsidR="00FF1D36" w:rsidRPr="001B4A02" w:rsidRDefault="00000000" w:rsidP="004B14C0">
      <w:pPr>
        <w:numPr>
          <w:ilvl w:val="0"/>
          <w:numId w:val="49"/>
        </w:numPr>
        <w:tabs>
          <w:tab w:val="clear" w:pos="720"/>
        </w:tabs>
        <w:ind w:left="567" w:hanging="567"/>
        <w:rPr>
          <w:shd w:val="clear" w:color="auto" w:fill="FFFF00"/>
        </w:rPr>
      </w:pPr>
      <w:r w:rsidRPr="001B4A02">
        <w:t>nezhoubné nádory</w:t>
      </w:r>
    </w:p>
    <w:p w14:paraId="4010AA87" w14:textId="77777777" w:rsidR="00FF1D36" w:rsidRPr="001B4A02" w:rsidRDefault="00000000" w:rsidP="004B14C0">
      <w:pPr>
        <w:numPr>
          <w:ilvl w:val="0"/>
          <w:numId w:val="49"/>
        </w:numPr>
        <w:tabs>
          <w:tab w:val="clear" w:pos="720"/>
        </w:tabs>
        <w:ind w:left="567" w:hanging="567"/>
        <w:rPr>
          <w:shd w:val="clear" w:color="auto" w:fill="FFFF00"/>
        </w:rPr>
      </w:pPr>
      <w:r w:rsidRPr="001B4A02">
        <w:t>rakovina kůže</w:t>
      </w:r>
    </w:p>
    <w:p w14:paraId="5A6ACA98" w14:textId="77777777" w:rsidR="00FF1D36" w:rsidRPr="001B4A02" w:rsidRDefault="00000000" w:rsidP="004B14C0">
      <w:pPr>
        <w:numPr>
          <w:ilvl w:val="0"/>
          <w:numId w:val="49"/>
        </w:numPr>
        <w:tabs>
          <w:tab w:val="clear" w:pos="720"/>
        </w:tabs>
        <w:ind w:left="567" w:hanging="567"/>
        <w:rPr>
          <w:shd w:val="clear" w:color="auto" w:fill="FFFF00"/>
        </w:rPr>
      </w:pPr>
      <w:r w:rsidRPr="001B4A02">
        <w:t>alergické reakce (včetně sezónní alergie)</w:t>
      </w:r>
    </w:p>
    <w:p w14:paraId="4DEB02FB" w14:textId="77777777" w:rsidR="00FF1D36" w:rsidRPr="001B4A02" w:rsidRDefault="00000000" w:rsidP="004B14C0">
      <w:pPr>
        <w:numPr>
          <w:ilvl w:val="0"/>
          <w:numId w:val="49"/>
        </w:numPr>
        <w:tabs>
          <w:tab w:val="clear" w:pos="720"/>
        </w:tabs>
        <w:ind w:left="567" w:hanging="567"/>
        <w:rPr>
          <w:shd w:val="clear" w:color="auto" w:fill="FFFF00"/>
        </w:rPr>
      </w:pPr>
      <w:r w:rsidRPr="001B4A02">
        <w:t>dehydratace</w:t>
      </w:r>
    </w:p>
    <w:p w14:paraId="4BDE4840" w14:textId="77777777" w:rsidR="00FF1D36" w:rsidRPr="001B4A02" w:rsidRDefault="00000000" w:rsidP="004B14C0">
      <w:pPr>
        <w:numPr>
          <w:ilvl w:val="0"/>
          <w:numId w:val="49"/>
        </w:numPr>
        <w:tabs>
          <w:tab w:val="clear" w:pos="720"/>
        </w:tabs>
        <w:ind w:left="567" w:hanging="567"/>
        <w:rPr>
          <w:shd w:val="clear" w:color="auto" w:fill="FFFF00"/>
        </w:rPr>
      </w:pPr>
      <w:r w:rsidRPr="001B4A02">
        <w:t>změny nálad (včetně deprese)</w:t>
      </w:r>
    </w:p>
    <w:p w14:paraId="29869CC3" w14:textId="77777777" w:rsidR="00FF1D36" w:rsidRPr="001B4A02" w:rsidRDefault="00000000" w:rsidP="004B14C0">
      <w:pPr>
        <w:numPr>
          <w:ilvl w:val="0"/>
          <w:numId w:val="49"/>
        </w:numPr>
        <w:tabs>
          <w:tab w:val="clear" w:pos="720"/>
        </w:tabs>
        <w:ind w:left="567" w:hanging="567"/>
        <w:rPr>
          <w:shd w:val="clear" w:color="auto" w:fill="FFFF00"/>
        </w:rPr>
      </w:pPr>
      <w:r w:rsidRPr="001B4A02">
        <w:t>úzkost</w:t>
      </w:r>
    </w:p>
    <w:p w14:paraId="2C38B2B1" w14:textId="77777777" w:rsidR="00FF1D36" w:rsidRPr="001B4A02" w:rsidRDefault="00000000" w:rsidP="004B14C0">
      <w:pPr>
        <w:numPr>
          <w:ilvl w:val="0"/>
          <w:numId w:val="49"/>
        </w:numPr>
        <w:tabs>
          <w:tab w:val="clear" w:pos="720"/>
        </w:tabs>
        <w:ind w:left="567" w:hanging="567"/>
        <w:rPr>
          <w:shd w:val="clear" w:color="auto" w:fill="FFFF00"/>
        </w:rPr>
      </w:pPr>
      <w:r w:rsidRPr="001B4A02">
        <w:t>obtížné usínání</w:t>
      </w:r>
    </w:p>
    <w:p w14:paraId="162BFF94" w14:textId="77777777" w:rsidR="00FF1D36" w:rsidRPr="001B4A02" w:rsidRDefault="00000000" w:rsidP="004B14C0">
      <w:pPr>
        <w:numPr>
          <w:ilvl w:val="0"/>
          <w:numId w:val="49"/>
        </w:numPr>
        <w:tabs>
          <w:tab w:val="clear" w:pos="720"/>
        </w:tabs>
        <w:ind w:left="567" w:hanging="567"/>
        <w:rPr>
          <w:shd w:val="clear" w:color="auto" w:fill="FFFF00"/>
        </w:rPr>
      </w:pPr>
      <w:r w:rsidRPr="001B4A02">
        <w:t>poruchy pocitového vnímání</w:t>
      </w:r>
      <w:r w:rsidR="00A27A27" w:rsidRPr="001B4A02">
        <w:t>,</w:t>
      </w:r>
      <w:r w:rsidRPr="001B4A02">
        <w:t xml:space="preserve"> jako je brnění, svědění nebo znecitlivění</w:t>
      </w:r>
    </w:p>
    <w:p w14:paraId="30F88AFC" w14:textId="77777777" w:rsidR="00FF1D36" w:rsidRPr="001B4A02" w:rsidRDefault="00000000" w:rsidP="004B14C0">
      <w:pPr>
        <w:numPr>
          <w:ilvl w:val="0"/>
          <w:numId w:val="49"/>
        </w:numPr>
        <w:tabs>
          <w:tab w:val="clear" w:pos="720"/>
        </w:tabs>
        <w:ind w:left="567" w:hanging="567"/>
        <w:rPr>
          <w:shd w:val="clear" w:color="auto" w:fill="FFFF00"/>
        </w:rPr>
      </w:pPr>
      <w:r w:rsidRPr="001B4A02">
        <w:t>migréna</w:t>
      </w:r>
    </w:p>
    <w:p w14:paraId="49F8C48E" w14:textId="77777777" w:rsidR="00FF1D36" w:rsidRPr="001B4A02" w:rsidRDefault="00000000" w:rsidP="004B14C0">
      <w:pPr>
        <w:numPr>
          <w:ilvl w:val="0"/>
          <w:numId w:val="49"/>
        </w:numPr>
        <w:tabs>
          <w:tab w:val="clear" w:pos="720"/>
        </w:tabs>
        <w:ind w:left="567" w:hanging="567"/>
        <w:rPr>
          <w:shd w:val="clear" w:color="auto" w:fill="FFFF00"/>
        </w:rPr>
      </w:pPr>
      <w:r w:rsidRPr="001B4A02">
        <w:t>útlak nervových kořenů (včetně bolesti v bedrech</w:t>
      </w:r>
      <w:r w:rsidR="002378E0">
        <w:t xml:space="preserve"> a </w:t>
      </w:r>
      <w:r w:rsidRPr="001B4A02">
        <w:t>bolesti dolních končetin)</w:t>
      </w:r>
    </w:p>
    <w:p w14:paraId="679961B6" w14:textId="77777777" w:rsidR="00FF1D36" w:rsidRPr="001B4A02" w:rsidRDefault="00000000" w:rsidP="004B14C0">
      <w:pPr>
        <w:numPr>
          <w:ilvl w:val="0"/>
          <w:numId w:val="49"/>
        </w:numPr>
        <w:tabs>
          <w:tab w:val="clear" w:pos="720"/>
        </w:tabs>
        <w:ind w:left="567" w:hanging="567"/>
        <w:rPr>
          <w:shd w:val="clear" w:color="auto" w:fill="FFFF00"/>
        </w:rPr>
      </w:pPr>
      <w:r w:rsidRPr="001B4A02">
        <w:t>poruchy zraku</w:t>
      </w:r>
    </w:p>
    <w:p w14:paraId="02467310" w14:textId="77777777" w:rsidR="00FF1D36" w:rsidRPr="001B4A02" w:rsidRDefault="00000000" w:rsidP="004B14C0">
      <w:pPr>
        <w:numPr>
          <w:ilvl w:val="0"/>
          <w:numId w:val="49"/>
        </w:numPr>
        <w:tabs>
          <w:tab w:val="clear" w:pos="720"/>
        </w:tabs>
        <w:ind w:left="567" w:hanging="567"/>
      </w:pPr>
      <w:r w:rsidRPr="001B4A02">
        <w:t xml:space="preserve">oční </w:t>
      </w:r>
      <w:r w:rsidR="006B6963" w:rsidRPr="001B4A02">
        <w:t>záněty</w:t>
      </w:r>
    </w:p>
    <w:p w14:paraId="63B8EE86" w14:textId="77777777" w:rsidR="00FF1D36" w:rsidRPr="001B4A02" w:rsidRDefault="00000000" w:rsidP="004B14C0">
      <w:pPr>
        <w:numPr>
          <w:ilvl w:val="0"/>
          <w:numId w:val="49"/>
        </w:numPr>
        <w:tabs>
          <w:tab w:val="clear" w:pos="720"/>
        </w:tabs>
        <w:ind w:left="567" w:hanging="567"/>
      </w:pPr>
      <w:r w:rsidRPr="001B4A02">
        <w:t>záněty očního víčka</w:t>
      </w:r>
      <w:r w:rsidR="002378E0">
        <w:t xml:space="preserve"> a </w:t>
      </w:r>
      <w:r w:rsidRPr="001B4A02">
        <w:t>otoky oka</w:t>
      </w:r>
    </w:p>
    <w:p w14:paraId="48A36FFC" w14:textId="77777777" w:rsidR="00FF1D36" w:rsidRPr="001B4A02" w:rsidRDefault="00000000" w:rsidP="004B14C0">
      <w:pPr>
        <w:numPr>
          <w:ilvl w:val="0"/>
          <w:numId w:val="49"/>
        </w:numPr>
        <w:tabs>
          <w:tab w:val="clear" w:pos="720"/>
        </w:tabs>
        <w:ind w:left="567" w:hanging="567"/>
      </w:pPr>
      <w:r w:rsidRPr="001B4A02">
        <w:t>vertigo (závrať nebo točení hlavy)</w:t>
      </w:r>
    </w:p>
    <w:p w14:paraId="410BF734" w14:textId="77777777" w:rsidR="00FF1D36" w:rsidRPr="001B4A02" w:rsidRDefault="00000000" w:rsidP="004B14C0">
      <w:pPr>
        <w:pStyle w:val="EMEANormal"/>
        <w:numPr>
          <w:ilvl w:val="0"/>
          <w:numId w:val="49"/>
        </w:numPr>
        <w:tabs>
          <w:tab w:val="clear" w:pos="562"/>
          <w:tab w:val="clear" w:pos="720"/>
        </w:tabs>
        <w:suppressAutoHyphens w:val="0"/>
        <w:ind w:left="567" w:hanging="567"/>
        <w:rPr>
          <w:lang w:val="cs-CZ"/>
        </w:rPr>
      </w:pPr>
      <w:r w:rsidRPr="001B4A02">
        <w:rPr>
          <w:lang w:val="cs-CZ"/>
        </w:rPr>
        <w:t>pocity rychlého bušení srdce</w:t>
      </w:r>
    </w:p>
    <w:p w14:paraId="03176BDF" w14:textId="77777777" w:rsidR="00FF1D36" w:rsidRPr="001B4A02" w:rsidRDefault="00000000" w:rsidP="004B14C0">
      <w:pPr>
        <w:pStyle w:val="EMEANormal"/>
        <w:numPr>
          <w:ilvl w:val="0"/>
          <w:numId w:val="49"/>
        </w:numPr>
        <w:tabs>
          <w:tab w:val="clear" w:pos="562"/>
          <w:tab w:val="clear" w:pos="720"/>
        </w:tabs>
        <w:suppressAutoHyphens w:val="0"/>
        <w:ind w:left="567" w:hanging="567"/>
        <w:rPr>
          <w:lang w:val="cs-CZ"/>
        </w:rPr>
      </w:pPr>
      <w:r w:rsidRPr="001B4A02">
        <w:rPr>
          <w:lang w:val="cs-CZ"/>
        </w:rPr>
        <w:t>vysoký krevní tlak</w:t>
      </w:r>
    </w:p>
    <w:p w14:paraId="349205A8" w14:textId="77777777" w:rsidR="00FF1D36" w:rsidRPr="001B4A02" w:rsidRDefault="00000000" w:rsidP="004B14C0">
      <w:pPr>
        <w:pStyle w:val="EMEANormal"/>
        <w:numPr>
          <w:ilvl w:val="0"/>
          <w:numId w:val="49"/>
        </w:numPr>
        <w:tabs>
          <w:tab w:val="clear" w:pos="562"/>
          <w:tab w:val="clear" w:pos="720"/>
        </w:tabs>
        <w:suppressAutoHyphens w:val="0"/>
        <w:ind w:left="567" w:hanging="567"/>
        <w:rPr>
          <w:lang w:val="cs-CZ"/>
        </w:rPr>
      </w:pPr>
      <w:r w:rsidRPr="001B4A02">
        <w:rPr>
          <w:lang w:val="cs-CZ"/>
        </w:rPr>
        <w:t>návaly hork</w:t>
      </w:r>
      <w:r w:rsidR="006D39E6">
        <w:rPr>
          <w:lang w:val="cs-CZ"/>
        </w:rPr>
        <w:t>a</w:t>
      </w:r>
    </w:p>
    <w:p w14:paraId="60EFC7FC" w14:textId="77777777" w:rsidR="00FF1D36" w:rsidRPr="001B4A02" w:rsidRDefault="00000000" w:rsidP="004B14C0">
      <w:pPr>
        <w:pStyle w:val="EMEANormal"/>
        <w:numPr>
          <w:ilvl w:val="0"/>
          <w:numId w:val="49"/>
        </w:numPr>
        <w:tabs>
          <w:tab w:val="clear" w:pos="562"/>
          <w:tab w:val="clear" w:pos="720"/>
        </w:tabs>
        <w:suppressAutoHyphens w:val="0"/>
        <w:ind w:left="567" w:hanging="567"/>
        <w:rPr>
          <w:lang w:val="cs-CZ"/>
        </w:rPr>
      </w:pPr>
      <w:r w:rsidRPr="001B4A02">
        <w:rPr>
          <w:lang w:val="cs-CZ"/>
        </w:rPr>
        <w:t>krevní podlitiny</w:t>
      </w:r>
      <w:r w:rsidR="006B6963" w:rsidRPr="001B4A02">
        <w:rPr>
          <w:lang w:val="cs-CZ"/>
        </w:rPr>
        <w:t xml:space="preserve"> (nahromadění krve mimo cévy)</w:t>
      </w:r>
    </w:p>
    <w:p w14:paraId="69D80A1A" w14:textId="77777777" w:rsidR="00FF1D36" w:rsidRPr="001B4A02" w:rsidRDefault="00000000" w:rsidP="004B14C0">
      <w:pPr>
        <w:pStyle w:val="EMEANormal"/>
        <w:numPr>
          <w:ilvl w:val="0"/>
          <w:numId w:val="49"/>
        </w:numPr>
        <w:tabs>
          <w:tab w:val="clear" w:pos="562"/>
          <w:tab w:val="clear" w:pos="720"/>
        </w:tabs>
        <w:suppressAutoHyphens w:val="0"/>
        <w:ind w:left="567" w:hanging="567"/>
        <w:rPr>
          <w:lang w:val="cs-CZ"/>
        </w:rPr>
      </w:pPr>
      <w:r w:rsidRPr="001B4A02">
        <w:rPr>
          <w:lang w:val="cs-CZ"/>
        </w:rPr>
        <w:t xml:space="preserve">kašel </w:t>
      </w:r>
    </w:p>
    <w:p w14:paraId="20087571" w14:textId="77777777" w:rsidR="00FF1D36" w:rsidRPr="001B4A02" w:rsidRDefault="00000000" w:rsidP="004B14C0">
      <w:pPr>
        <w:pStyle w:val="EMEANormal"/>
        <w:numPr>
          <w:ilvl w:val="0"/>
          <w:numId w:val="49"/>
        </w:numPr>
        <w:tabs>
          <w:tab w:val="clear" w:pos="562"/>
          <w:tab w:val="clear" w:pos="720"/>
        </w:tabs>
        <w:suppressAutoHyphens w:val="0"/>
        <w:ind w:left="567" w:hanging="567"/>
        <w:rPr>
          <w:lang w:val="cs-CZ"/>
        </w:rPr>
      </w:pPr>
      <w:r w:rsidRPr="001B4A02">
        <w:rPr>
          <w:lang w:val="cs-CZ"/>
        </w:rPr>
        <w:t>astma</w:t>
      </w:r>
    </w:p>
    <w:p w14:paraId="7F8E3C66" w14:textId="77777777" w:rsidR="00FF1D36" w:rsidRPr="001B4A02" w:rsidRDefault="00000000" w:rsidP="004B14C0">
      <w:pPr>
        <w:pStyle w:val="EMEANormal"/>
        <w:numPr>
          <w:ilvl w:val="0"/>
          <w:numId w:val="49"/>
        </w:numPr>
        <w:tabs>
          <w:tab w:val="clear" w:pos="562"/>
          <w:tab w:val="clear" w:pos="720"/>
        </w:tabs>
        <w:suppressAutoHyphens w:val="0"/>
        <w:ind w:left="567" w:hanging="567"/>
        <w:rPr>
          <w:lang w:val="cs-CZ"/>
        </w:rPr>
      </w:pPr>
      <w:r w:rsidRPr="001B4A02">
        <w:rPr>
          <w:lang w:val="cs-CZ"/>
        </w:rPr>
        <w:t>zkrácení dechu</w:t>
      </w:r>
    </w:p>
    <w:p w14:paraId="0EB018C8" w14:textId="77777777" w:rsidR="00FF1D36" w:rsidRPr="001B4A02" w:rsidRDefault="00000000" w:rsidP="004B14C0">
      <w:pPr>
        <w:pStyle w:val="EMEANormal"/>
        <w:numPr>
          <w:ilvl w:val="0"/>
          <w:numId w:val="49"/>
        </w:numPr>
        <w:tabs>
          <w:tab w:val="clear" w:pos="562"/>
          <w:tab w:val="clear" w:pos="720"/>
        </w:tabs>
        <w:suppressAutoHyphens w:val="0"/>
        <w:ind w:left="567" w:hanging="567"/>
        <w:rPr>
          <w:lang w:val="cs-CZ"/>
        </w:rPr>
      </w:pPr>
      <w:r w:rsidRPr="001B4A02">
        <w:rPr>
          <w:lang w:val="cs-CZ"/>
        </w:rPr>
        <w:t>krvácení ze zažívacího ústrojí</w:t>
      </w:r>
    </w:p>
    <w:p w14:paraId="14B370B9" w14:textId="77777777" w:rsidR="00FF1D36" w:rsidRPr="001B4A02" w:rsidRDefault="00000000" w:rsidP="004B14C0">
      <w:pPr>
        <w:pStyle w:val="EMEANormal"/>
        <w:numPr>
          <w:ilvl w:val="0"/>
          <w:numId w:val="49"/>
        </w:numPr>
        <w:tabs>
          <w:tab w:val="clear" w:pos="562"/>
          <w:tab w:val="clear" w:pos="720"/>
        </w:tabs>
        <w:suppressAutoHyphens w:val="0"/>
        <w:ind w:left="567" w:hanging="567"/>
        <w:rPr>
          <w:lang w:val="cs-CZ"/>
        </w:rPr>
      </w:pPr>
      <w:r w:rsidRPr="001B4A02">
        <w:rPr>
          <w:lang w:val="cs-CZ"/>
        </w:rPr>
        <w:t>zažívací obtíže (poruchy trávení, nadýmání, pálení žáhy)</w:t>
      </w:r>
    </w:p>
    <w:p w14:paraId="42F8284C" w14:textId="77777777" w:rsidR="00FF1D36" w:rsidRPr="001B4A02" w:rsidRDefault="00000000" w:rsidP="004B14C0">
      <w:pPr>
        <w:pStyle w:val="EMEANormal"/>
        <w:numPr>
          <w:ilvl w:val="0"/>
          <w:numId w:val="49"/>
        </w:numPr>
        <w:tabs>
          <w:tab w:val="clear" w:pos="562"/>
          <w:tab w:val="clear" w:pos="720"/>
        </w:tabs>
        <w:suppressAutoHyphens w:val="0"/>
        <w:ind w:left="567" w:hanging="567"/>
        <w:rPr>
          <w:lang w:val="cs-CZ"/>
        </w:rPr>
      </w:pPr>
      <w:r w:rsidRPr="001B4A02">
        <w:rPr>
          <w:lang w:val="cs-CZ"/>
        </w:rPr>
        <w:t>refluxní choroba jícnu</w:t>
      </w:r>
    </w:p>
    <w:p w14:paraId="452EC333"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sicca syndrom (včetně suchých očí</w:t>
      </w:r>
      <w:r w:rsidR="002378E0">
        <w:rPr>
          <w:lang w:val="cs-CZ"/>
        </w:rPr>
        <w:t xml:space="preserve"> a </w:t>
      </w:r>
      <w:r w:rsidRPr="001B4A02">
        <w:rPr>
          <w:lang w:val="cs-CZ"/>
        </w:rPr>
        <w:t>suchosti v</w:t>
      </w:r>
      <w:r w:rsidR="000928E6" w:rsidRPr="001B4A02">
        <w:rPr>
          <w:lang w:val="cs-CZ"/>
        </w:rPr>
        <w:t> </w:t>
      </w:r>
      <w:r w:rsidRPr="001B4A02">
        <w:rPr>
          <w:lang w:val="cs-CZ"/>
        </w:rPr>
        <w:t>ú</w:t>
      </w:r>
      <w:r w:rsidR="000928E6" w:rsidRPr="001B4A02">
        <w:rPr>
          <w:lang w:val="cs-CZ"/>
        </w:rPr>
        <w:t>stech)</w:t>
      </w:r>
    </w:p>
    <w:p w14:paraId="2E036255"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svědění</w:t>
      </w:r>
      <w:r w:rsidRPr="001B4A02">
        <w:rPr>
          <w:shd w:val="clear" w:color="auto" w:fill="FFFF00"/>
          <w:lang w:val="cs-CZ"/>
        </w:rPr>
        <w:t xml:space="preserve"> </w:t>
      </w:r>
    </w:p>
    <w:p w14:paraId="52E01272"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svědivá vyrážka</w:t>
      </w:r>
    </w:p>
    <w:p w14:paraId="793088C3"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tvorba modřin</w:t>
      </w:r>
    </w:p>
    <w:p w14:paraId="55FB8983"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záněty kůže (jako je ekzém)</w:t>
      </w:r>
    </w:p>
    <w:p w14:paraId="2DD75D5A"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lámavost nehtů na prstech rukou</w:t>
      </w:r>
      <w:r w:rsidR="002378E0">
        <w:rPr>
          <w:lang w:val="cs-CZ"/>
        </w:rPr>
        <w:t xml:space="preserve"> a </w:t>
      </w:r>
      <w:r w:rsidRPr="001B4A02">
        <w:rPr>
          <w:lang w:val="cs-CZ"/>
        </w:rPr>
        <w:t>nohou</w:t>
      </w:r>
    </w:p>
    <w:p w14:paraId="3A251BB7"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zvýšené pocení</w:t>
      </w:r>
    </w:p>
    <w:p w14:paraId="3CA5030A"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vypadávání vlasů</w:t>
      </w:r>
    </w:p>
    <w:p w14:paraId="21725C05"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nový vznik nebo zhoršení psoriázy (lupénky)</w:t>
      </w:r>
    </w:p>
    <w:p w14:paraId="3B40E6EF"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svalové křeče</w:t>
      </w:r>
    </w:p>
    <w:p w14:paraId="43E844BA"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krev v moči</w:t>
      </w:r>
    </w:p>
    <w:p w14:paraId="40A16E9C"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onemocnění ledvin</w:t>
      </w:r>
    </w:p>
    <w:p w14:paraId="0C1D24C0"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bolest na hrudi</w:t>
      </w:r>
    </w:p>
    <w:p w14:paraId="55179791"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edém (otok)</w:t>
      </w:r>
    </w:p>
    <w:p w14:paraId="051E69E6"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horečka</w:t>
      </w:r>
    </w:p>
    <w:p w14:paraId="7AD15652" w14:textId="77777777" w:rsidR="00FF1D36" w:rsidRPr="001B4A02" w:rsidRDefault="00000000" w:rsidP="004B14C0">
      <w:pPr>
        <w:pStyle w:val="EMEANormal"/>
        <w:numPr>
          <w:ilvl w:val="0"/>
          <w:numId w:val="49"/>
        </w:numPr>
        <w:tabs>
          <w:tab w:val="clear" w:pos="562"/>
          <w:tab w:val="clear" w:pos="720"/>
        </w:tabs>
        <w:suppressAutoHyphens w:val="0"/>
        <w:ind w:left="567" w:hanging="567"/>
        <w:rPr>
          <w:shd w:val="clear" w:color="auto" w:fill="FFFF00"/>
          <w:lang w:val="cs-CZ"/>
        </w:rPr>
      </w:pPr>
      <w:r w:rsidRPr="001B4A02">
        <w:rPr>
          <w:lang w:val="cs-CZ"/>
        </w:rPr>
        <w:t>snížení počtu krevních destiček, což zvyšuje riziko krvácení nebo tvorby modřin</w:t>
      </w:r>
    </w:p>
    <w:p w14:paraId="4BE989B7" w14:textId="77777777" w:rsidR="00FF1D36" w:rsidRPr="001B4A02" w:rsidRDefault="00000000" w:rsidP="004B14C0">
      <w:pPr>
        <w:pStyle w:val="EMEANormal"/>
        <w:numPr>
          <w:ilvl w:val="0"/>
          <w:numId w:val="49"/>
        </w:numPr>
        <w:tabs>
          <w:tab w:val="clear" w:pos="562"/>
          <w:tab w:val="clear" w:pos="720"/>
        </w:tabs>
        <w:suppressAutoHyphens w:val="0"/>
        <w:ind w:left="567" w:hanging="567"/>
        <w:rPr>
          <w:lang w:val="cs-CZ"/>
        </w:rPr>
      </w:pPr>
      <w:r w:rsidRPr="001B4A02">
        <w:rPr>
          <w:lang w:val="cs-CZ"/>
        </w:rPr>
        <w:t>poruchy hojení</w:t>
      </w:r>
    </w:p>
    <w:p w14:paraId="59550A1F" w14:textId="77777777" w:rsidR="00FF1D36" w:rsidRPr="001B4A02" w:rsidRDefault="00FF1D36" w:rsidP="00ED48A3">
      <w:pPr>
        <w:ind w:left="0" w:firstLine="0"/>
      </w:pPr>
    </w:p>
    <w:p w14:paraId="2E721C88" w14:textId="77777777" w:rsidR="00FF1D36" w:rsidRPr="001B4A02" w:rsidRDefault="00000000" w:rsidP="007D438D">
      <w:pPr>
        <w:keepNext/>
        <w:ind w:left="0" w:firstLine="0"/>
      </w:pPr>
      <w:r w:rsidRPr="001B4A02">
        <w:rPr>
          <w:b/>
        </w:rPr>
        <w:t>Méně časté</w:t>
      </w:r>
      <w:r w:rsidRPr="001B4A02">
        <w:t xml:space="preserve"> (</w:t>
      </w:r>
      <w:r w:rsidRPr="001B4A02">
        <w:rPr>
          <w:shd w:val="clear" w:color="auto" w:fill="FFFFFF"/>
        </w:rPr>
        <w:t>mohou postihnout nejvýše 1 ze 100 osob</w:t>
      </w:r>
      <w:r w:rsidRPr="001B4A02">
        <w:t xml:space="preserve">) </w:t>
      </w:r>
    </w:p>
    <w:p w14:paraId="6ABD5C01" w14:textId="77777777" w:rsidR="00FF1D36" w:rsidRPr="001B4A02" w:rsidRDefault="00FF1D36" w:rsidP="007D438D">
      <w:pPr>
        <w:keepNext/>
        <w:ind w:left="0" w:firstLine="0"/>
      </w:pPr>
    </w:p>
    <w:p w14:paraId="7D7F80F4"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oportunní infekce (které zahrnují tuberkulózu</w:t>
      </w:r>
      <w:r w:rsidR="002378E0">
        <w:rPr>
          <w:lang w:val="cs-CZ"/>
        </w:rPr>
        <w:t xml:space="preserve"> a </w:t>
      </w:r>
      <w:r w:rsidRPr="001B4A02">
        <w:rPr>
          <w:lang w:val="cs-CZ"/>
        </w:rPr>
        <w:t>jiné infekce, které se objevují, když je snížena odolnost vůči onemocněním)</w:t>
      </w:r>
    </w:p>
    <w:p w14:paraId="1F8314BE"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neurologické infekce (včetně virové meningitidy)</w:t>
      </w:r>
    </w:p>
    <w:p w14:paraId="02BF797F" w14:textId="77777777" w:rsidR="00FF1D36" w:rsidRPr="001B4A02" w:rsidRDefault="00000000" w:rsidP="004B14C0">
      <w:pPr>
        <w:numPr>
          <w:ilvl w:val="0"/>
          <w:numId w:val="50"/>
        </w:numPr>
        <w:tabs>
          <w:tab w:val="clear" w:pos="720"/>
        </w:tabs>
        <w:ind w:left="567" w:hanging="567"/>
      </w:pPr>
      <w:r w:rsidRPr="001B4A02">
        <w:t>záněty oka</w:t>
      </w:r>
    </w:p>
    <w:p w14:paraId="06A4A0A8" w14:textId="77777777" w:rsidR="00FF1D36" w:rsidRPr="001B4A02" w:rsidRDefault="00000000" w:rsidP="004B14C0">
      <w:pPr>
        <w:numPr>
          <w:ilvl w:val="0"/>
          <w:numId w:val="50"/>
        </w:numPr>
        <w:tabs>
          <w:tab w:val="clear" w:pos="720"/>
        </w:tabs>
        <w:ind w:left="567" w:hanging="567"/>
      </w:pPr>
      <w:r w:rsidRPr="001B4A02">
        <w:t>bakteriální infekce</w:t>
      </w:r>
    </w:p>
    <w:p w14:paraId="74B40441" w14:textId="77777777" w:rsidR="00FF1D36" w:rsidRPr="001B4A02" w:rsidRDefault="00000000" w:rsidP="004B14C0">
      <w:pPr>
        <w:numPr>
          <w:ilvl w:val="0"/>
          <w:numId w:val="50"/>
        </w:numPr>
        <w:tabs>
          <w:tab w:val="clear" w:pos="720"/>
        </w:tabs>
        <w:ind w:left="567" w:hanging="567"/>
      </w:pPr>
      <w:r w:rsidRPr="001B4A02">
        <w:rPr>
          <w:lang w:eastAsia="de-DE"/>
        </w:rPr>
        <w:t>divertikulitida (zánětlivé onemocnění spojené s</w:t>
      </w:r>
      <w:r w:rsidR="004823B6" w:rsidRPr="001B4A02">
        <w:rPr>
          <w:lang w:eastAsia="de-DE"/>
        </w:rPr>
        <w:t> </w:t>
      </w:r>
      <w:r w:rsidRPr="001B4A02">
        <w:rPr>
          <w:lang w:eastAsia="de-DE"/>
        </w:rPr>
        <w:t>infekcí tlustého střeva)</w:t>
      </w:r>
    </w:p>
    <w:p w14:paraId="39141D6D" w14:textId="77777777" w:rsidR="00FF1D36" w:rsidRPr="001B4A02" w:rsidRDefault="00000000" w:rsidP="004B14C0">
      <w:pPr>
        <w:numPr>
          <w:ilvl w:val="0"/>
          <w:numId w:val="50"/>
        </w:numPr>
        <w:tabs>
          <w:tab w:val="clear" w:pos="720"/>
        </w:tabs>
        <w:ind w:left="567" w:hanging="567"/>
      </w:pPr>
      <w:r w:rsidRPr="001B4A02">
        <w:t>rakovina</w:t>
      </w:r>
    </w:p>
    <w:p w14:paraId="53B9B7D6" w14:textId="77777777" w:rsidR="00FF1D36" w:rsidRPr="001B4A02" w:rsidRDefault="00000000" w:rsidP="004B14C0">
      <w:pPr>
        <w:numPr>
          <w:ilvl w:val="0"/>
          <w:numId w:val="50"/>
        </w:numPr>
        <w:tabs>
          <w:tab w:val="clear" w:pos="720"/>
        </w:tabs>
        <w:ind w:left="567" w:hanging="567"/>
      </w:pPr>
      <w:r w:rsidRPr="001B4A02">
        <w:t>rakovina postihující mízní systém</w:t>
      </w:r>
    </w:p>
    <w:p w14:paraId="16CE7366" w14:textId="77777777" w:rsidR="00FF1D36" w:rsidRPr="001B4A02" w:rsidRDefault="00000000" w:rsidP="004B14C0">
      <w:pPr>
        <w:numPr>
          <w:ilvl w:val="0"/>
          <w:numId w:val="50"/>
        </w:numPr>
        <w:tabs>
          <w:tab w:val="clear" w:pos="720"/>
        </w:tabs>
        <w:ind w:left="567" w:hanging="567"/>
      </w:pPr>
      <w:r w:rsidRPr="001B4A02">
        <w:t>melanom</w:t>
      </w:r>
    </w:p>
    <w:p w14:paraId="092DBDB1" w14:textId="77777777" w:rsidR="00FF1D36" w:rsidRPr="001B4A02" w:rsidRDefault="00000000" w:rsidP="004B14C0">
      <w:pPr>
        <w:numPr>
          <w:ilvl w:val="0"/>
          <w:numId w:val="50"/>
        </w:numPr>
        <w:tabs>
          <w:tab w:val="clear" w:pos="720"/>
        </w:tabs>
        <w:ind w:left="567" w:hanging="567"/>
      </w:pPr>
      <w:r w:rsidRPr="001B4A02">
        <w:t>poruchy imunitního systému, které mohou postihovat plíce, kůži</w:t>
      </w:r>
      <w:r w:rsidR="002378E0">
        <w:t xml:space="preserve"> a </w:t>
      </w:r>
      <w:r w:rsidRPr="001B4A02">
        <w:t>lymfatické uzliny (nejčastěji se projevující jako sarkoidóza)</w:t>
      </w:r>
    </w:p>
    <w:p w14:paraId="3AD2D42B" w14:textId="77777777" w:rsidR="00FF1D36" w:rsidRPr="001B4A02" w:rsidRDefault="00000000" w:rsidP="004B14C0">
      <w:pPr>
        <w:numPr>
          <w:ilvl w:val="0"/>
          <w:numId w:val="50"/>
        </w:numPr>
        <w:tabs>
          <w:tab w:val="clear" w:pos="720"/>
        </w:tabs>
        <w:ind w:left="567" w:hanging="567"/>
      </w:pPr>
      <w:r w:rsidRPr="001B4A02">
        <w:t>vaskulitida (zánět krevních cév)</w:t>
      </w:r>
    </w:p>
    <w:p w14:paraId="4522372F" w14:textId="77777777" w:rsidR="00FF1D36" w:rsidRPr="001B4A02" w:rsidRDefault="00000000" w:rsidP="004B14C0">
      <w:pPr>
        <w:numPr>
          <w:ilvl w:val="0"/>
          <w:numId w:val="50"/>
        </w:numPr>
        <w:tabs>
          <w:tab w:val="clear" w:pos="720"/>
        </w:tabs>
        <w:ind w:left="567" w:hanging="567"/>
      </w:pPr>
      <w:r w:rsidRPr="001B4A02">
        <w:t>třes</w:t>
      </w:r>
    </w:p>
    <w:p w14:paraId="4CABDD71" w14:textId="77777777" w:rsidR="00FF1D36" w:rsidRPr="001B4A02" w:rsidRDefault="00000000" w:rsidP="004B14C0">
      <w:pPr>
        <w:numPr>
          <w:ilvl w:val="0"/>
          <w:numId w:val="50"/>
        </w:numPr>
        <w:tabs>
          <w:tab w:val="clear" w:pos="720"/>
        </w:tabs>
        <w:ind w:left="567" w:hanging="567"/>
      </w:pPr>
      <w:r w:rsidRPr="001B4A02">
        <w:t>neuropatie (postižení nervů)</w:t>
      </w:r>
    </w:p>
    <w:p w14:paraId="785B09F2" w14:textId="77777777" w:rsidR="00FF1D36" w:rsidRPr="001B4A02" w:rsidRDefault="00000000" w:rsidP="004B14C0">
      <w:pPr>
        <w:numPr>
          <w:ilvl w:val="0"/>
          <w:numId w:val="50"/>
        </w:numPr>
        <w:tabs>
          <w:tab w:val="clear" w:pos="720"/>
        </w:tabs>
        <w:ind w:left="567" w:hanging="567"/>
      </w:pPr>
      <w:r w:rsidRPr="001B4A02">
        <w:t>mozková mrtvice</w:t>
      </w:r>
    </w:p>
    <w:p w14:paraId="57997735" w14:textId="77777777" w:rsidR="00FF1D36" w:rsidRPr="001B4A02" w:rsidRDefault="00000000" w:rsidP="004B14C0">
      <w:pPr>
        <w:numPr>
          <w:ilvl w:val="0"/>
          <w:numId w:val="50"/>
        </w:numPr>
        <w:tabs>
          <w:tab w:val="clear" w:pos="720"/>
        </w:tabs>
        <w:ind w:left="567" w:hanging="567"/>
      </w:pPr>
      <w:r w:rsidRPr="001B4A02">
        <w:t xml:space="preserve">ztráta sluchu, </w:t>
      </w:r>
      <w:r w:rsidR="00BC6AA5">
        <w:t>ušní šelest</w:t>
      </w:r>
    </w:p>
    <w:p w14:paraId="357F147B" w14:textId="77777777" w:rsidR="00FF1D36" w:rsidRPr="001B4A02" w:rsidRDefault="00000000" w:rsidP="004B14C0">
      <w:pPr>
        <w:numPr>
          <w:ilvl w:val="0"/>
          <w:numId w:val="50"/>
        </w:numPr>
        <w:tabs>
          <w:tab w:val="clear" w:pos="720"/>
        </w:tabs>
        <w:ind w:left="567" w:hanging="567"/>
      </w:pPr>
      <w:r w:rsidRPr="001B4A02">
        <w:t>pocity nepravidelného bušení srdce</w:t>
      </w:r>
      <w:r w:rsidR="00A27A27" w:rsidRPr="001B4A02">
        <w:t>,</w:t>
      </w:r>
      <w:r w:rsidRPr="001B4A02">
        <w:t xml:space="preserve"> jako je vynechání tepu</w:t>
      </w:r>
    </w:p>
    <w:p w14:paraId="67417F8F" w14:textId="77777777" w:rsidR="00FF1D36" w:rsidRPr="001B4A02" w:rsidRDefault="00000000" w:rsidP="004B14C0">
      <w:pPr>
        <w:numPr>
          <w:ilvl w:val="0"/>
          <w:numId w:val="50"/>
        </w:numPr>
        <w:tabs>
          <w:tab w:val="clear" w:pos="720"/>
        </w:tabs>
        <w:ind w:left="567" w:hanging="567"/>
      </w:pPr>
      <w:r w:rsidRPr="001B4A02">
        <w:t>srdeční obtíže, které mohou způsobovat zkrácení dechu nebo otékání kotníků</w:t>
      </w:r>
    </w:p>
    <w:p w14:paraId="56C778B9" w14:textId="77777777" w:rsidR="00FF1D36" w:rsidRPr="001B4A02" w:rsidRDefault="00000000" w:rsidP="004B14C0">
      <w:pPr>
        <w:numPr>
          <w:ilvl w:val="0"/>
          <w:numId w:val="50"/>
        </w:numPr>
        <w:tabs>
          <w:tab w:val="clear" w:pos="720"/>
        </w:tabs>
        <w:ind w:left="567" w:hanging="567"/>
      </w:pPr>
      <w:r w:rsidRPr="001B4A02">
        <w:t>srdeční příhoda (infarkt)</w:t>
      </w:r>
    </w:p>
    <w:p w14:paraId="3D6F4100" w14:textId="77777777" w:rsidR="00FF1D36" w:rsidRPr="001B4A02" w:rsidRDefault="00000000" w:rsidP="004B14C0">
      <w:pPr>
        <w:numPr>
          <w:ilvl w:val="0"/>
          <w:numId w:val="50"/>
        </w:numPr>
        <w:tabs>
          <w:tab w:val="clear" w:pos="720"/>
        </w:tabs>
        <w:ind w:left="567" w:hanging="567"/>
      </w:pPr>
      <w:r w:rsidRPr="001B4A02">
        <w:t>výduť ve stěně velkých tepen, zánět žilních městků, blokáda krevních cév</w:t>
      </w:r>
    </w:p>
    <w:p w14:paraId="701D7723" w14:textId="77777777" w:rsidR="00FF1D36" w:rsidRPr="001B4A02" w:rsidRDefault="00000000" w:rsidP="004B14C0">
      <w:pPr>
        <w:numPr>
          <w:ilvl w:val="0"/>
          <w:numId w:val="50"/>
        </w:numPr>
        <w:tabs>
          <w:tab w:val="clear" w:pos="720"/>
        </w:tabs>
        <w:ind w:left="567" w:hanging="567"/>
      </w:pPr>
      <w:r w:rsidRPr="001B4A02">
        <w:t>plicní onemocnění způsobující zkrácení dechu (včetně zánětu)</w:t>
      </w:r>
    </w:p>
    <w:p w14:paraId="35706743" w14:textId="77777777" w:rsidR="00FF1D36" w:rsidRPr="001B4A02" w:rsidRDefault="00000000" w:rsidP="004B14C0">
      <w:pPr>
        <w:numPr>
          <w:ilvl w:val="0"/>
          <w:numId w:val="50"/>
        </w:numPr>
        <w:tabs>
          <w:tab w:val="clear" w:pos="720"/>
        </w:tabs>
        <w:ind w:left="567" w:hanging="567"/>
      </w:pPr>
      <w:r w:rsidRPr="001B4A02">
        <w:rPr>
          <w:lang w:eastAsia="de-DE"/>
        </w:rPr>
        <w:t>plicní embolie (uzávěr plicní tepny)</w:t>
      </w:r>
    </w:p>
    <w:p w14:paraId="34363E65" w14:textId="77777777" w:rsidR="00FF1D36" w:rsidRPr="001B4A02" w:rsidRDefault="00000000" w:rsidP="004B14C0">
      <w:pPr>
        <w:numPr>
          <w:ilvl w:val="0"/>
          <w:numId w:val="50"/>
        </w:numPr>
        <w:tabs>
          <w:tab w:val="clear" w:pos="720"/>
        </w:tabs>
        <w:ind w:left="567" w:hanging="567"/>
      </w:pPr>
      <w:r w:rsidRPr="001B4A02">
        <w:rPr>
          <w:lang w:eastAsia="de-DE"/>
        </w:rPr>
        <w:t>pleurální výpotek (neobvyklé nahromadění tekutiny v prostoru pohrudnice)</w:t>
      </w:r>
    </w:p>
    <w:p w14:paraId="2004865B" w14:textId="77777777" w:rsidR="00FF1D36" w:rsidRPr="001B4A02" w:rsidRDefault="00000000" w:rsidP="004B14C0">
      <w:pPr>
        <w:numPr>
          <w:ilvl w:val="0"/>
          <w:numId w:val="50"/>
        </w:numPr>
        <w:tabs>
          <w:tab w:val="clear" w:pos="720"/>
        </w:tabs>
        <w:ind w:left="567" w:hanging="567"/>
      </w:pPr>
      <w:r w:rsidRPr="001B4A02">
        <w:t>zánět slinivky břišní, způsobující závažné bolesti břicha</w:t>
      </w:r>
      <w:r w:rsidR="002378E0">
        <w:t xml:space="preserve"> a </w:t>
      </w:r>
      <w:r w:rsidRPr="001B4A02">
        <w:t>zad</w:t>
      </w:r>
    </w:p>
    <w:p w14:paraId="68A3067B" w14:textId="77777777" w:rsidR="00FF1D36" w:rsidRPr="001B4A02" w:rsidRDefault="00000000" w:rsidP="004B14C0">
      <w:pPr>
        <w:numPr>
          <w:ilvl w:val="0"/>
          <w:numId w:val="50"/>
        </w:numPr>
        <w:tabs>
          <w:tab w:val="clear" w:pos="720"/>
        </w:tabs>
        <w:ind w:left="567" w:hanging="567"/>
      </w:pPr>
      <w:r w:rsidRPr="001B4A02">
        <w:t>potíže s polykáním</w:t>
      </w:r>
    </w:p>
    <w:p w14:paraId="513C8A14" w14:textId="77777777" w:rsidR="00FF1D36" w:rsidRPr="001B4A02" w:rsidRDefault="00000000" w:rsidP="004B14C0">
      <w:pPr>
        <w:numPr>
          <w:ilvl w:val="0"/>
          <w:numId w:val="50"/>
        </w:numPr>
        <w:tabs>
          <w:tab w:val="clear" w:pos="720"/>
        </w:tabs>
        <w:ind w:left="567" w:hanging="567"/>
      </w:pPr>
      <w:r w:rsidRPr="001B4A02">
        <w:t xml:space="preserve">edém </w:t>
      </w:r>
      <w:r w:rsidR="00560725">
        <w:t>obličeje</w:t>
      </w:r>
      <w:r w:rsidR="00560725" w:rsidRPr="001B4A02">
        <w:t xml:space="preserve"> </w:t>
      </w:r>
      <w:r w:rsidRPr="001B4A02">
        <w:t xml:space="preserve">(otok </w:t>
      </w:r>
      <w:r w:rsidR="00560725">
        <w:t>obličeje</w:t>
      </w:r>
      <w:r w:rsidRPr="001B4A02">
        <w:t>)</w:t>
      </w:r>
    </w:p>
    <w:p w14:paraId="1A8A029A" w14:textId="77777777" w:rsidR="00FF1D36" w:rsidRPr="001B4A02" w:rsidRDefault="00000000" w:rsidP="004B14C0">
      <w:pPr>
        <w:numPr>
          <w:ilvl w:val="0"/>
          <w:numId w:val="50"/>
        </w:numPr>
        <w:tabs>
          <w:tab w:val="clear" w:pos="720"/>
        </w:tabs>
        <w:ind w:left="567" w:hanging="567"/>
      </w:pPr>
      <w:r w:rsidRPr="001B4A02">
        <w:t>zánět žlučníku, žlučníkové kameny</w:t>
      </w:r>
    </w:p>
    <w:p w14:paraId="3B927F8C" w14:textId="77777777" w:rsidR="00FF1D36" w:rsidRPr="001B4A02" w:rsidRDefault="00000000" w:rsidP="004B14C0">
      <w:pPr>
        <w:numPr>
          <w:ilvl w:val="0"/>
          <w:numId w:val="50"/>
        </w:numPr>
        <w:tabs>
          <w:tab w:val="clear" w:pos="720"/>
        </w:tabs>
        <w:ind w:left="567" w:hanging="567"/>
      </w:pPr>
      <w:r w:rsidRPr="007815F1">
        <w:t>ztu</w:t>
      </w:r>
      <w:r>
        <w:rPr>
          <w:szCs w:val="22"/>
        </w:rPr>
        <w:t>kovění</w:t>
      </w:r>
      <w:r w:rsidR="003A2C15" w:rsidRPr="001B4A02">
        <w:t xml:space="preserve"> </w:t>
      </w:r>
      <w:r w:rsidRPr="001B4A02">
        <w:t>jater</w:t>
      </w:r>
    </w:p>
    <w:p w14:paraId="7E340123" w14:textId="77777777" w:rsidR="00FF1D36" w:rsidRPr="001B4A02" w:rsidRDefault="00000000" w:rsidP="004B14C0">
      <w:pPr>
        <w:numPr>
          <w:ilvl w:val="0"/>
          <w:numId w:val="50"/>
        </w:numPr>
        <w:tabs>
          <w:tab w:val="clear" w:pos="720"/>
        </w:tabs>
        <w:ind w:left="567" w:hanging="567"/>
      </w:pPr>
      <w:r w:rsidRPr="001B4A02">
        <w:t>noční pocení</w:t>
      </w:r>
    </w:p>
    <w:p w14:paraId="2C1C8F68" w14:textId="77777777" w:rsidR="00FF1D36" w:rsidRPr="001B4A02" w:rsidRDefault="00000000" w:rsidP="004B14C0">
      <w:pPr>
        <w:numPr>
          <w:ilvl w:val="0"/>
          <w:numId w:val="50"/>
        </w:numPr>
        <w:tabs>
          <w:tab w:val="clear" w:pos="720"/>
        </w:tabs>
        <w:ind w:left="567" w:hanging="567"/>
      </w:pPr>
      <w:r w:rsidRPr="001B4A02">
        <w:t>zjizvení</w:t>
      </w:r>
    </w:p>
    <w:p w14:paraId="5EB64DA4" w14:textId="77777777" w:rsidR="00FF1D36" w:rsidRPr="001B4A02" w:rsidRDefault="00000000" w:rsidP="004B14C0">
      <w:pPr>
        <w:numPr>
          <w:ilvl w:val="0"/>
          <w:numId w:val="50"/>
        </w:numPr>
        <w:tabs>
          <w:tab w:val="clear" w:pos="720"/>
        </w:tabs>
        <w:ind w:left="567" w:hanging="567"/>
      </w:pPr>
      <w:r w:rsidRPr="001B4A02">
        <w:t>neobvyklé poškození svalů</w:t>
      </w:r>
    </w:p>
    <w:p w14:paraId="12CD63A6" w14:textId="77777777" w:rsidR="00FF1D36" w:rsidRPr="001B4A02" w:rsidRDefault="00000000" w:rsidP="004B14C0">
      <w:pPr>
        <w:numPr>
          <w:ilvl w:val="0"/>
          <w:numId w:val="50"/>
        </w:numPr>
        <w:tabs>
          <w:tab w:val="clear" w:pos="720"/>
        </w:tabs>
        <w:ind w:left="567" w:hanging="567"/>
      </w:pPr>
      <w:r w:rsidRPr="001B4A02">
        <w:t>systémový lupus erythematodes (zahrnující zánět kůže, srdce, plic, kloubů</w:t>
      </w:r>
      <w:r w:rsidR="002378E0">
        <w:t xml:space="preserve"> a </w:t>
      </w:r>
      <w:r w:rsidRPr="001B4A02">
        <w:t>jiných orgánových systémů)</w:t>
      </w:r>
    </w:p>
    <w:p w14:paraId="6C748D53" w14:textId="77777777" w:rsidR="00FF1D36" w:rsidRPr="001B4A02" w:rsidRDefault="00000000" w:rsidP="004B14C0">
      <w:pPr>
        <w:numPr>
          <w:ilvl w:val="0"/>
          <w:numId w:val="50"/>
        </w:numPr>
        <w:tabs>
          <w:tab w:val="clear" w:pos="720"/>
        </w:tabs>
        <w:ind w:left="567" w:hanging="567"/>
      </w:pPr>
      <w:r w:rsidRPr="001B4A02">
        <w:t>přerušovaný spánek</w:t>
      </w:r>
    </w:p>
    <w:p w14:paraId="4E5EA7EE" w14:textId="77777777" w:rsidR="00FF1D36" w:rsidRPr="001B4A02" w:rsidRDefault="00000000" w:rsidP="004B14C0">
      <w:pPr>
        <w:numPr>
          <w:ilvl w:val="0"/>
          <w:numId w:val="50"/>
        </w:numPr>
        <w:tabs>
          <w:tab w:val="clear" w:pos="720"/>
        </w:tabs>
        <w:ind w:left="567" w:hanging="567"/>
      </w:pPr>
      <w:r w:rsidRPr="001B4A02">
        <w:t>impotence</w:t>
      </w:r>
    </w:p>
    <w:p w14:paraId="205D3C31" w14:textId="77777777" w:rsidR="00FF1D36" w:rsidRPr="001B4A02" w:rsidRDefault="00000000" w:rsidP="004B14C0">
      <w:pPr>
        <w:numPr>
          <w:ilvl w:val="0"/>
          <w:numId w:val="50"/>
        </w:numPr>
        <w:tabs>
          <w:tab w:val="clear" w:pos="720"/>
        </w:tabs>
        <w:ind w:left="567" w:hanging="567"/>
      </w:pPr>
      <w:r w:rsidRPr="001B4A02">
        <w:t>záněty</w:t>
      </w:r>
    </w:p>
    <w:p w14:paraId="33DAD867" w14:textId="77777777" w:rsidR="00FF1D36" w:rsidRPr="001B4A02" w:rsidRDefault="00FF1D36" w:rsidP="00ED48A3">
      <w:pPr>
        <w:pStyle w:val="EMEANormal"/>
        <w:tabs>
          <w:tab w:val="clear" w:pos="562"/>
        </w:tabs>
        <w:suppressAutoHyphens w:val="0"/>
        <w:rPr>
          <w:lang w:val="cs-CZ"/>
        </w:rPr>
      </w:pPr>
    </w:p>
    <w:p w14:paraId="6DACAE86" w14:textId="77777777" w:rsidR="00FF1D36" w:rsidRPr="001B4A02" w:rsidRDefault="00000000" w:rsidP="008F1B0E">
      <w:pPr>
        <w:keepNext/>
        <w:ind w:left="0" w:firstLine="0"/>
      </w:pPr>
      <w:r w:rsidRPr="001B4A02">
        <w:rPr>
          <w:b/>
        </w:rPr>
        <w:t>Vzácné</w:t>
      </w:r>
      <w:r w:rsidRPr="001B4A02">
        <w:t xml:space="preserve"> (mohou postihnout nejvýše 1 z 1</w:t>
      </w:r>
      <w:r w:rsidR="009F584E" w:rsidRPr="001B4A02">
        <w:t> </w:t>
      </w:r>
      <w:r w:rsidRPr="001B4A02">
        <w:t>000 osob)</w:t>
      </w:r>
    </w:p>
    <w:p w14:paraId="14B032FC" w14:textId="77777777" w:rsidR="00FF1D36" w:rsidRPr="001B4A02" w:rsidRDefault="00FF1D36" w:rsidP="008F1B0E">
      <w:pPr>
        <w:keepNext/>
        <w:ind w:left="0" w:firstLine="0"/>
      </w:pPr>
    </w:p>
    <w:p w14:paraId="46A09B07" w14:textId="77777777" w:rsidR="00FF1D36" w:rsidRPr="001B4A02" w:rsidRDefault="00000000" w:rsidP="007C5EA6">
      <w:pPr>
        <w:numPr>
          <w:ilvl w:val="0"/>
          <w:numId w:val="51"/>
        </w:numPr>
        <w:tabs>
          <w:tab w:val="clear" w:pos="720"/>
        </w:tabs>
        <w:ind w:left="567" w:hanging="567"/>
      </w:pPr>
      <w:r w:rsidRPr="001B4A02">
        <w:t>leukémie (rakovina postihující krev</w:t>
      </w:r>
      <w:r w:rsidR="002378E0">
        <w:t xml:space="preserve"> a </w:t>
      </w:r>
      <w:r w:rsidRPr="001B4A02">
        <w:t>kostní dřeň)</w:t>
      </w:r>
    </w:p>
    <w:p w14:paraId="1A683F33" w14:textId="77777777" w:rsidR="00FF1D36" w:rsidRPr="001B4A02" w:rsidRDefault="00000000" w:rsidP="007C5EA6">
      <w:pPr>
        <w:numPr>
          <w:ilvl w:val="0"/>
          <w:numId w:val="51"/>
        </w:numPr>
        <w:tabs>
          <w:tab w:val="clear" w:pos="720"/>
        </w:tabs>
        <w:ind w:left="567" w:hanging="567"/>
      </w:pPr>
      <w:r w:rsidRPr="001B4A02">
        <w:t>závažné alergické reakce doprovázené šokem</w:t>
      </w:r>
    </w:p>
    <w:p w14:paraId="2C4D5155" w14:textId="77777777" w:rsidR="00FF1D36" w:rsidRPr="001B4A02" w:rsidRDefault="00000000" w:rsidP="007C5EA6">
      <w:pPr>
        <w:numPr>
          <w:ilvl w:val="0"/>
          <w:numId w:val="51"/>
        </w:numPr>
        <w:tabs>
          <w:tab w:val="clear" w:pos="720"/>
        </w:tabs>
        <w:ind w:left="567" w:hanging="567"/>
      </w:pPr>
      <w:r w:rsidRPr="001B4A02">
        <w:t>roztroušená skleróza</w:t>
      </w:r>
    </w:p>
    <w:p w14:paraId="2D36007F" w14:textId="77777777" w:rsidR="00FF1D36" w:rsidRPr="001B4A02" w:rsidRDefault="00000000" w:rsidP="007C5EA6">
      <w:pPr>
        <w:numPr>
          <w:ilvl w:val="0"/>
          <w:numId w:val="51"/>
        </w:numPr>
        <w:tabs>
          <w:tab w:val="clear" w:pos="720"/>
        </w:tabs>
        <w:ind w:left="567" w:hanging="567"/>
      </w:pPr>
      <w:r w:rsidRPr="001B4A02">
        <w:t>nervové poruchy (jako záněty očního nervu</w:t>
      </w:r>
      <w:r w:rsidR="002378E0">
        <w:t xml:space="preserve"> a </w:t>
      </w:r>
      <w:r w:rsidRPr="001B4A02">
        <w:t>Guillain-Barré syndrom, který může způsobit svalovou slabost, abnormální pocity, brnění v pažích</w:t>
      </w:r>
      <w:r w:rsidR="002378E0">
        <w:t xml:space="preserve"> a </w:t>
      </w:r>
      <w:r w:rsidRPr="001B4A02">
        <w:t>horní části těla)</w:t>
      </w:r>
    </w:p>
    <w:p w14:paraId="0BBDE115" w14:textId="77777777" w:rsidR="00FF1D36" w:rsidRPr="001B4A02" w:rsidRDefault="00000000" w:rsidP="007C5EA6">
      <w:pPr>
        <w:numPr>
          <w:ilvl w:val="0"/>
          <w:numId w:val="58"/>
        </w:numPr>
        <w:tabs>
          <w:tab w:val="clear" w:pos="720"/>
        </w:tabs>
        <w:ind w:left="567" w:hanging="567"/>
      </w:pPr>
      <w:r w:rsidRPr="001B4A02">
        <w:t>zástava srdečních stahů</w:t>
      </w:r>
    </w:p>
    <w:p w14:paraId="0E70870C" w14:textId="77777777" w:rsidR="00FF1D36" w:rsidRPr="001B4A02" w:rsidRDefault="00000000" w:rsidP="007C5EA6">
      <w:pPr>
        <w:numPr>
          <w:ilvl w:val="0"/>
          <w:numId w:val="58"/>
        </w:numPr>
        <w:tabs>
          <w:tab w:val="clear" w:pos="720"/>
        </w:tabs>
        <w:ind w:left="567" w:hanging="567"/>
      </w:pPr>
      <w:r w:rsidRPr="001B4A02">
        <w:rPr>
          <w:lang w:eastAsia="de-DE"/>
        </w:rPr>
        <w:t>plicní fibróza (zjizvení plic)</w:t>
      </w:r>
    </w:p>
    <w:p w14:paraId="0DF9957A" w14:textId="77777777" w:rsidR="00FF1D36" w:rsidRPr="001B4A02" w:rsidRDefault="00000000" w:rsidP="007C5EA6">
      <w:pPr>
        <w:numPr>
          <w:ilvl w:val="0"/>
          <w:numId w:val="58"/>
        </w:numPr>
        <w:tabs>
          <w:tab w:val="clear" w:pos="720"/>
        </w:tabs>
        <w:ind w:left="567" w:hanging="567"/>
      </w:pPr>
      <w:r w:rsidRPr="001B4A02">
        <w:t>perforace (protržení) střeva</w:t>
      </w:r>
    </w:p>
    <w:p w14:paraId="3AE8330D" w14:textId="77777777" w:rsidR="00FF1D36" w:rsidRPr="001B4A02" w:rsidRDefault="00000000" w:rsidP="007C5EA6">
      <w:pPr>
        <w:numPr>
          <w:ilvl w:val="0"/>
          <w:numId w:val="58"/>
        </w:numPr>
        <w:tabs>
          <w:tab w:val="clear" w:pos="720"/>
        </w:tabs>
        <w:ind w:left="567" w:hanging="567"/>
      </w:pPr>
      <w:r w:rsidRPr="001B4A02">
        <w:t>hepatitida</w:t>
      </w:r>
      <w:r w:rsidR="00F47DB9">
        <w:t xml:space="preserve"> (zánět jater)</w:t>
      </w:r>
    </w:p>
    <w:p w14:paraId="78FB495E" w14:textId="77777777" w:rsidR="00FF1D36" w:rsidRPr="001B4A02" w:rsidRDefault="00000000" w:rsidP="007C5EA6">
      <w:pPr>
        <w:numPr>
          <w:ilvl w:val="0"/>
          <w:numId w:val="58"/>
        </w:numPr>
        <w:tabs>
          <w:tab w:val="clear" w:pos="720"/>
        </w:tabs>
        <w:ind w:left="567" w:hanging="567"/>
      </w:pPr>
      <w:r w:rsidRPr="001B4A02">
        <w:t>reaktivace hepatitidy B</w:t>
      </w:r>
    </w:p>
    <w:p w14:paraId="5B3A9E92" w14:textId="77777777" w:rsidR="00FF1D36" w:rsidRPr="001B4A02" w:rsidRDefault="00000000" w:rsidP="007C5EA6">
      <w:pPr>
        <w:numPr>
          <w:ilvl w:val="0"/>
          <w:numId w:val="58"/>
        </w:numPr>
        <w:tabs>
          <w:tab w:val="clear" w:pos="720"/>
        </w:tabs>
        <w:ind w:left="567" w:hanging="567"/>
      </w:pPr>
      <w:r w:rsidRPr="001B4A02">
        <w:rPr>
          <w:szCs w:val="22"/>
        </w:rPr>
        <w:t>autoimunní hepatitida (zánět jater způsobený imunitním systémem vlastního těla)</w:t>
      </w:r>
    </w:p>
    <w:p w14:paraId="72E237F4" w14:textId="77777777" w:rsidR="00FF1D36" w:rsidRPr="001B4A02" w:rsidRDefault="00000000" w:rsidP="007C5EA6">
      <w:pPr>
        <w:numPr>
          <w:ilvl w:val="0"/>
          <w:numId w:val="58"/>
        </w:numPr>
        <w:tabs>
          <w:tab w:val="clear" w:pos="720"/>
        </w:tabs>
        <w:ind w:left="567" w:hanging="567"/>
      </w:pPr>
      <w:r w:rsidRPr="001B4A02">
        <w:t>kožní vaskulitida (zánět krevních cév v kůži)</w:t>
      </w:r>
    </w:p>
    <w:p w14:paraId="6B898193" w14:textId="77777777" w:rsidR="00FF1D36" w:rsidRPr="001B4A02" w:rsidRDefault="00000000" w:rsidP="007C5EA6">
      <w:pPr>
        <w:numPr>
          <w:ilvl w:val="0"/>
          <w:numId w:val="58"/>
        </w:numPr>
        <w:tabs>
          <w:tab w:val="clear" w:pos="720"/>
        </w:tabs>
        <w:ind w:left="567" w:hanging="567"/>
      </w:pPr>
      <w:r w:rsidRPr="001B4A02">
        <w:t>Stevens</w:t>
      </w:r>
      <w:r w:rsidR="00C43387">
        <w:t>ův</w:t>
      </w:r>
      <w:r w:rsidRPr="001B4A02">
        <w:t>-Johnsonův syndrom (časné příznaky zahrnují únavu, horečku, bolest hlavy</w:t>
      </w:r>
      <w:r w:rsidR="002378E0">
        <w:t xml:space="preserve"> a </w:t>
      </w:r>
      <w:r w:rsidRPr="001B4A02">
        <w:t>vyrážku)</w:t>
      </w:r>
    </w:p>
    <w:p w14:paraId="153CE103" w14:textId="77777777" w:rsidR="00FF1D36" w:rsidRPr="001B4A02" w:rsidRDefault="00000000" w:rsidP="007C5EA6">
      <w:pPr>
        <w:numPr>
          <w:ilvl w:val="0"/>
          <w:numId w:val="58"/>
        </w:numPr>
        <w:tabs>
          <w:tab w:val="clear" w:pos="720"/>
        </w:tabs>
        <w:ind w:left="567" w:hanging="567"/>
      </w:pPr>
      <w:r w:rsidRPr="001B4A02">
        <w:t xml:space="preserve">edém </w:t>
      </w:r>
      <w:r w:rsidR="00560725">
        <w:t>obličeje</w:t>
      </w:r>
      <w:r w:rsidRPr="001B4A02">
        <w:t xml:space="preserve"> (otok</w:t>
      </w:r>
      <w:r w:rsidR="00560725">
        <w:t xml:space="preserve"> obličeje</w:t>
      </w:r>
      <w:r w:rsidRPr="001B4A02">
        <w:t>) spojený s alergickými reakcemi</w:t>
      </w:r>
    </w:p>
    <w:p w14:paraId="5B90E643" w14:textId="77777777" w:rsidR="00FF1D36" w:rsidRPr="001B4A02" w:rsidRDefault="00000000" w:rsidP="007C5EA6">
      <w:pPr>
        <w:numPr>
          <w:ilvl w:val="0"/>
          <w:numId w:val="58"/>
        </w:numPr>
        <w:tabs>
          <w:tab w:val="clear" w:pos="720"/>
        </w:tabs>
        <w:ind w:left="567" w:hanging="567"/>
      </w:pPr>
      <w:r w:rsidRPr="001B4A02">
        <w:t>erythema multiforme (zánětlivá kožní vyrážka)</w:t>
      </w:r>
    </w:p>
    <w:p w14:paraId="60DE7EB1" w14:textId="77777777" w:rsidR="00635E3F" w:rsidRPr="001B4A02" w:rsidRDefault="00000000" w:rsidP="007C5EA6">
      <w:pPr>
        <w:numPr>
          <w:ilvl w:val="0"/>
          <w:numId w:val="58"/>
        </w:numPr>
        <w:tabs>
          <w:tab w:val="clear" w:pos="720"/>
        </w:tabs>
        <w:ind w:left="567" w:hanging="567"/>
      </w:pPr>
      <w:r w:rsidRPr="001B4A02">
        <w:t>lupus-like syndrom (onemocnění s příznaky podobnými lupus erythematodes)</w:t>
      </w:r>
    </w:p>
    <w:p w14:paraId="52AF2AC9" w14:textId="77777777" w:rsidR="000336BC" w:rsidRDefault="00000000" w:rsidP="000336BC">
      <w:pPr>
        <w:numPr>
          <w:ilvl w:val="0"/>
          <w:numId w:val="48"/>
        </w:numPr>
        <w:tabs>
          <w:tab w:val="clear" w:pos="720"/>
        </w:tabs>
        <w:ind w:left="567" w:hanging="567"/>
      </w:pPr>
      <w:r w:rsidRPr="001B4A02">
        <w:t>angioedém (lokalizovaný otok kůže)</w:t>
      </w:r>
    </w:p>
    <w:p w14:paraId="25093CBC" w14:textId="77777777" w:rsidR="000336BC" w:rsidRPr="00490910" w:rsidRDefault="00000000" w:rsidP="000336BC">
      <w:pPr>
        <w:numPr>
          <w:ilvl w:val="0"/>
          <w:numId w:val="48"/>
        </w:numPr>
        <w:tabs>
          <w:tab w:val="clear" w:pos="720"/>
        </w:tabs>
        <w:ind w:left="567" w:hanging="567"/>
      </w:pPr>
      <w:r>
        <w:t xml:space="preserve">lichenoidní kožní reakce (svědivá </w:t>
      </w:r>
      <w:r w:rsidR="00844B73" w:rsidRPr="00A644C2">
        <w:t>načervenalá až purpurově zbarvená</w:t>
      </w:r>
      <w:r>
        <w:t xml:space="preserve"> vyrážka)</w:t>
      </w:r>
    </w:p>
    <w:p w14:paraId="6E6BB85C" w14:textId="77777777" w:rsidR="00FF1D36" w:rsidRPr="001B4A02" w:rsidRDefault="00FF1D36" w:rsidP="00ED48A3">
      <w:pPr>
        <w:ind w:left="0" w:right="-29" w:firstLine="0"/>
      </w:pPr>
    </w:p>
    <w:p w14:paraId="358C86E0" w14:textId="77777777" w:rsidR="00FF1D36" w:rsidRPr="001B4A02" w:rsidRDefault="00000000" w:rsidP="00EB32F5">
      <w:pPr>
        <w:keepNext/>
        <w:ind w:left="0" w:right="-29" w:firstLine="0"/>
      </w:pPr>
      <w:r w:rsidRPr="001B4A02">
        <w:rPr>
          <w:b/>
        </w:rPr>
        <w:t>Není známo</w:t>
      </w:r>
      <w:r w:rsidRPr="001B4A02">
        <w:t xml:space="preserve"> (frekvenci výskytu nelze z</w:t>
      </w:r>
      <w:r w:rsidR="000928E6" w:rsidRPr="001B4A02">
        <w:t> </w:t>
      </w:r>
      <w:r w:rsidRPr="001B4A02">
        <w:t>dostupných údajů určit)</w:t>
      </w:r>
    </w:p>
    <w:p w14:paraId="6B1F171D" w14:textId="77777777" w:rsidR="00FF1D36" w:rsidRPr="001B4A02" w:rsidRDefault="00FF1D36" w:rsidP="00EB32F5">
      <w:pPr>
        <w:keepNext/>
        <w:ind w:left="0" w:right="-29" w:firstLine="0"/>
      </w:pPr>
    </w:p>
    <w:p w14:paraId="22C6A847" w14:textId="77777777" w:rsidR="00FF1D36" w:rsidRPr="001B4A02" w:rsidRDefault="00000000" w:rsidP="004B14C0">
      <w:pPr>
        <w:keepNext/>
        <w:numPr>
          <w:ilvl w:val="0"/>
          <w:numId w:val="48"/>
        </w:numPr>
        <w:tabs>
          <w:tab w:val="clear" w:pos="720"/>
        </w:tabs>
        <w:ind w:left="567" w:hanging="567"/>
      </w:pPr>
      <w:r w:rsidRPr="001B4A02">
        <w:t>hepatosplenický T-buněčný lymfom (vzácný druh rakoviny krve, který je obvykle smrtelný)</w:t>
      </w:r>
    </w:p>
    <w:p w14:paraId="3A325F45" w14:textId="77777777" w:rsidR="00FF1D36" w:rsidRDefault="00000000" w:rsidP="004B14C0">
      <w:pPr>
        <w:numPr>
          <w:ilvl w:val="0"/>
          <w:numId w:val="48"/>
        </w:numPr>
        <w:tabs>
          <w:tab w:val="clear" w:pos="720"/>
        </w:tabs>
        <w:ind w:left="567" w:hanging="567"/>
      </w:pPr>
      <w:r w:rsidRPr="001B4A02">
        <w:t>karcinom z</w:t>
      </w:r>
      <w:r w:rsidR="000928E6" w:rsidRPr="001B4A02">
        <w:t> </w:t>
      </w:r>
      <w:r w:rsidRPr="001B4A02">
        <w:t>Merkelových buněk (typ kožního karcinomu)</w:t>
      </w:r>
    </w:p>
    <w:p w14:paraId="397DABBD" w14:textId="77777777" w:rsidR="00B2204A" w:rsidRPr="001B4A02" w:rsidRDefault="00000000" w:rsidP="004B14C0">
      <w:pPr>
        <w:numPr>
          <w:ilvl w:val="0"/>
          <w:numId w:val="48"/>
        </w:numPr>
        <w:tabs>
          <w:tab w:val="clear" w:pos="720"/>
        </w:tabs>
        <w:ind w:left="567" w:hanging="567"/>
      </w:pPr>
      <w:r>
        <w:t xml:space="preserve">Kaposiho </w:t>
      </w:r>
      <w:r w:rsidRPr="009A21A5">
        <w:t>sarkom</w:t>
      </w:r>
      <w:r>
        <w:t xml:space="preserve">, vzácné nádorové onemocnění související s infekcí vyvolanou lidským herpesvirem typu 8. Kaposiho </w:t>
      </w:r>
      <w:r w:rsidRPr="009A21A5">
        <w:t>sarkom</w:t>
      </w:r>
      <w:r>
        <w:t xml:space="preserve"> se nejčastěji vyskytuje ve formě fialových skvrn na kůži</w:t>
      </w:r>
    </w:p>
    <w:p w14:paraId="25324B0D" w14:textId="77777777" w:rsidR="00FF1D36" w:rsidRPr="001B4A02" w:rsidRDefault="00000000" w:rsidP="004B14C0">
      <w:pPr>
        <w:numPr>
          <w:ilvl w:val="0"/>
          <w:numId w:val="48"/>
        </w:numPr>
        <w:tabs>
          <w:tab w:val="clear" w:pos="720"/>
        </w:tabs>
        <w:ind w:left="567" w:hanging="567"/>
      </w:pPr>
      <w:r w:rsidRPr="001B4A02">
        <w:t>selhání jater</w:t>
      </w:r>
    </w:p>
    <w:p w14:paraId="1575FFF3" w14:textId="77777777" w:rsidR="00FF1D36" w:rsidRPr="001B4A02" w:rsidRDefault="00000000" w:rsidP="004B14C0">
      <w:pPr>
        <w:numPr>
          <w:ilvl w:val="0"/>
          <w:numId w:val="48"/>
        </w:numPr>
        <w:tabs>
          <w:tab w:val="clear" w:pos="720"/>
        </w:tabs>
        <w:ind w:left="567" w:hanging="567"/>
      </w:pPr>
      <w:r w:rsidRPr="001B4A02">
        <w:t>zhoršení onemocnění nazývané dermatomyozitida (pozorovatelné jako kožní vyrážka doprovázená svalovou slabostí)</w:t>
      </w:r>
    </w:p>
    <w:p w14:paraId="6AE8D907" w14:textId="77777777" w:rsidR="00000ECA" w:rsidRPr="001B4A02" w:rsidRDefault="00000000" w:rsidP="00000ECA">
      <w:pPr>
        <w:numPr>
          <w:ilvl w:val="0"/>
          <w:numId w:val="48"/>
        </w:numPr>
        <w:tabs>
          <w:tab w:val="clear" w:pos="720"/>
        </w:tabs>
        <w:ind w:left="567" w:hanging="567"/>
      </w:pPr>
      <w:r w:rsidRPr="000752A7">
        <w:rPr>
          <w:color w:val="000000"/>
          <w:szCs w:val="22"/>
        </w:rPr>
        <w:t>zvýšení tělesné hmotnosti (u</w:t>
      </w:r>
      <w:r w:rsidRPr="000752A7">
        <w:rPr>
          <w:szCs w:val="22"/>
          <w:lang w:eastAsia="cs-CZ"/>
        </w:rPr>
        <w:t> </w:t>
      </w:r>
      <w:r w:rsidRPr="000752A7">
        <w:rPr>
          <w:color w:val="000000"/>
          <w:szCs w:val="22"/>
        </w:rPr>
        <w:t>většiny pacientů byl přírůstek hmotnosti malý)</w:t>
      </w:r>
    </w:p>
    <w:p w14:paraId="01DAD3E3" w14:textId="77777777" w:rsidR="00FF1D36" w:rsidRPr="001B4A02" w:rsidRDefault="00FF1D36" w:rsidP="00ED48A3">
      <w:pPr>
        <w:ind w:left="0" w:right="-29" w:firstLine="0"/>
      </w:pPr>
    </w:p>
    <w:p w14:paraId="42FF6622" w14:textId="77777777" w:rsidR="00FF1D36" w:rsidRPr="001B4A02" w:rsidRDefault="00000000" w:rsidP="00ED48A3">
      <w:pPr>
        <w:ind w:left="0" w:right="-29" w:firstLine="0"/>
      </w:pPr>
      <w:r w:rsidRPr="001B4A02">
        <w:t>Některé nežádoucí účinky pozorované u</w:t>
      </w:r>
      <w:r w:rsidR="004E2192" w:rsidRPr="001B4A02">
        <w:t> přípravku</w:t>
      </w:r>
      <w:r w:rsidRPr="001B4A02">
        <w:t xml:space="preserve"> Humir</w:t>
      </w:r>
      <w:r w:rsidR="004E2192" w:rsidRPr="001B4A02">
        <w:t>a</w:t>
      </w:r>
      <w:r w:rsidRPr="001B4A02">
        <w:t xml:space="preserve"> mohou probíhat bez příznaků</w:t>
      </w:r>
      <w:r w:rsidR="002378E0">
        <w:t xml:space="preserve"> a </w:t>
      </w:r>
      <w:r w:rsidRPr="001B4A02">
        <w:t>mohou být objeveny pouze s pomocí krevních testů.</w:t>
      </w:r>
      <w:r w:rsidR="008B115F" w:rsidRPr="001B4A02">
        <w:t xml:space="preserve"> </w:t>
      </w:r>
      <w:r w:rsidRPr="001B4A02">
        <w:t xml:space="preserve">Tyto </w:t>
      </w:r>
      <w:r w:rsidR="0069125D" w:rsidRPr="001B4A02">
        <w:t xml:space="preserve">nežádoucí účinky </w:t>
      </w:r>
      <w:r w:rsidRPr="001B4A02">
        <w:t>zahrnují:</w:t>
      </w:r>
    </w:p>
    <w:p w14:paraId="5AFE08CF" w14:textId="77777777" w:rsidR="00FF1D36" w:rsidRPr="001B4A02" w:rsidRDefault="00FF1D36" w:rsidP="00ED48A3">
      <w:pPr>
        <w:ind w:left="0" w:right="-29" w:firstLine="0"/>
      </w:pPr>
    </w:p>
    <w:p w14:paraId="5EA4D19A" w14:textId="77777777" w:rsidR="00FF1D36" w:rsidRPr="001B4A02" w:rsidRDefault="00000000" w:rsidP="008F1B0E">
      <w:pPr>
        <w:keepNext/>
        <w:ind w:left="0" w:right="-29" w:firstLine="0"/>
      </w:pPr>
      <w:r w:rsidRPr="001B4A02">
        <w:rPr>
          <w:b/>
        </w:rPr>
        <w:t>Velmi časté</w:t>
      </w:r>
      <w:r w:rsidRPr="001B4A02">
        <w:t xml:space="preserve"> </w:t>
      </w:r>
      <w:r w:rsidRPr="001B4A02">
        <w:rPr>
          <w:shd w:val="clear" w:color="auto" w:fill="FFFFFF"/>
        </w:rPr>
        <w:t>(mohou postihnout více než 1 z 10 osob</w:t>
      </w:r>
      <w:r w:rsidRPr="001B4A02">
        <w:t>)</w:t>
      </w:r>
    </w:p>
    <w:p w14:paraId="7409EA11" w14:textId="77777777" w:rsidR="00FF1D36" w:rsidRPr="001B4A02" w:rsidRDefault="00FF1D36" w:rsidP="008F1B0E">
      <w:pPr>
        <w:keepNext/>
        <w:ind w:left="0" w:right="-29" w:firstLine="0"/>
      </w:pPr>
    </w:p>
    <w:p w14:paraId="3B65884F"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nízký počet bílých krvinek</w:t>
      </w:r>
    </w:p>
    <w:p w14:paraId="412B1B89"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nízký počet červených krvinek</w:t>
      </w:r>
    </w:p>
    <w:p w14:paraId="2DCC32A2"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zvýšení tuků v krvi</w:t>
      </w:r>
    </w:p>
    <w:p w14:paraId="0DBF3EDB"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zvýšení jaterních enzymů</w:t>
      </w:r>
    </w:p>
    <w:p w14:paraId="7CDB0E67" w14:textId="77777777" w:rsidR="00FF1D36" w:rsidRPr="001B4A02" w:rsidRDefault="00FF1D36" w:rsidP="00ED48A3">
      <w:pPr>
        <w:pStyle w:val="EMEANormal"/>
        <w:tabs>
          <w:tab w:val="left" w:pos="0"/>
        </w:tabs>
        <w:suppressAutoHyphens w:val="0"/>
        <w:rPr>
          <w:lang w:val="cs-CZ"/>
        </w:rPr>
      </w:pPr>
    </w:p>
    <w:p w14:paraId="7AC4841E" w14:textId="77777777" w:rsidR="00FF1D36" w:rsidRPr="001B4A02" w:rsidRDefault="00000000" w:rsidP="00ED48A3">
      <w:pPr>
        <w:keepNext/>
        <w:shd w:val="clear" w:color="auto" w:fill="FFFFFF"/>
        <w:tabs>
          <w:tab w:val="left" w:pos="0"/>
        </w:tabs>
        <w:ind w:left="0" w:firstLine="0"/>
      </w:pPr>
      <w:r w:rsidRPr="001B4A02">
        <w:rPr>
          <w:b/>
        </w:rPr>
        <w:t>Časté</w:t>
      </w:r>
      <w:r w:rsidRPr="001B4A02">
        <w:t xml:space="preserve"> (mohou postihnout nejvýše 1 z</w:t>
      </w:r>
      <w:r w:rsidR="000928E6" w:rsidRPr="001B4A02">
        <w:t> </w:t>
      </w:r>
      <w:r w:rsidRPr="001B4A02">
        <w:t xml:space="preserve">10 osob) </w:t>
      </w:r>
    </w:p>
    <w:p w14:paraId="600D7918" w14:textId="77777777" w:rsidR="00FF1D36" w:rsidRPr="001B4A02" w:rsidRDefault="00FF1D36" w:rsidP="00ED48A3">
      <w:pPr>
        <w:keepNext/>
        <w:shd w:val="clear" w:color="auto" w:fill="FFFFFF"/>
        <w:tabs>
          <w:tab w:val="left" w:pos="0"/>
        </w:tabs>
        <w:ind w:left="0" w:firstLine="0"/>
      </w:pPr>
    </w:p>
    <w:p w14:paraId="7FEB73D8"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vysoký počet bílých krvinek</w:t>
      </w:r>
    </w:p>
    <w:p w14:paraId="06C8156A"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nízký počet krevních destiček</w:t>
      </w:r>
    </w:p>
    <w:p w14:paraId="44EA455F"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zvýšení kyseliny močové v krvi</w:t>
      </w:r>
    </w:p>
    <w:p w14:paraId="6A741A63"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neobvyklé hodnoty sodíku v krvi</w:t>
      </w:r>
    </w:p>
    <w:p w14:paraId="03252FBF"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nízké hodnoty vápníku v krvi</w:t>
      </w:r>
    </w:p>
    <w:p w14:paraId="44A55574"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nízké hodnoty fosforu v krvi</w:t>
      </w:r>
    </w:p>
    <w:p w14:paraId="15CC1D49"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vysoké hladiny krevního cukru</w:t>
      </w:r>
    </w:p>
    <w:p w14:paraId="528C3157"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vysoké hodnoty laktátdehydrogenázy v krvi</w:t>
      </w:r>
    </w:p>
    <w:p w14:paraId="674DBCCE"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přítomnost autoprotilátek v</w:t>
      </w:r>
      <w:r w:rsidR="00635E3F" w:rsidRPr="001B4A02">
        <w:rPr>
          <w:lang w:val="cs-CZ"/>
        </w:rPr>
        <w:t> </w:t>
      </w:r>
      <w:r w:rsidRPr="001B4A02">
        <w:rPr>
          <w:lang w:val="cs-CZ"/>
        </w:rPr>
        <w:t>krvi</w:t>
      </w:r>
    </w:p>
    <w:p w14:paraId="2C5121C0" w14:textId="77777777" w:rsidR="00635E3F"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nízká hladina draslíku v krvi</w:t>
      </w:r>
    </w:p>
    <w:p w14:paraId="3F888057" w14:textId="77777777" w:rsidR="00FF1D36" w:rsidRPr="001B4A02" w:rsidRDefault="00FF1D36" w:rsidP="00ED48A3">
      <w:pPr>
        <w:pStyle w:val="EMEANormal"/>
        <w:tabs>
          <w:tab w:val="left" w:pos="0"/>
        </w:tabs>
        <w:suppressAutoHyphens w:val="0"/>
        <w:rPr>
          <w:lang w:val="cs-CZ"/>
        </w:rPr>
      </w:pPr>
    </w:p>
    <w:p w14:paraId="72B06F48" w14:textId="77777777" w:rsidR="00FF1D36" w:rsidRPr="001B4A02" w:rsidRDefault="00000000" w:rsidP="008F1B0E">
      <w:pPr>
        <w:keepNext/>
        <w:ind w:left="0" w:right="-29" w:firstLine="0"/>
      </w:pPr>
      <w:r w:rsidRPr="001B4A02">
        <w:rPr>
          <w:b/>
        </w:rPr>
        <w:t>Méně časté</w:t>
      </w:r>
      <w:r w:rsidRPr="001B4A02">
        <w:t xml:space="preserve"> (mohou postihnout nejvýše 1 ze 100 osob)</w:t>
      </w:r>
    </w:p>
    <w:p w14:paraId="75AA09A6" w14:textId="77777777" w:rsidR="00FF1D36" w:rsidRPr="001B4A02" w:rsidRDefault="00FF1D36" w:rsidP="008F1B0E">
      <w:pPr>
        <w:keepNext/>
        <w:ind w:left="0" w:right="-29" w:firstLine="0"/>
      </w:pPr>
    </w:p>
    <w:p w14:paraId="1741261C" w14:textId="77777777" w:rsidR="00FF1D36"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zvýšená hladina bilirubinu (jaterní test z krve)</w:t>
      </w:r>
    </w:p>
    <w:p w14:paraId="395FBCF1" w14:textId="77777777" w:rsidR="00FF1D36" w:rsidRPr="001B4A02" w:rsidRDefault="00FF1D36" w:rsidP="00ED48A3">
      <w:pPr>
        <w:pStyle w:val="EMEANormal"/>
        <w:tabs>
          <w:tab w:val="left" w:pos="0"/>
        </w:tabs>
        <w:suppressAutoHyphens w:val="0"/>
        <w:rPr>
          <w:lang w:val="cs-CZ"/>
        </w:rPr>
      </w:pPr>
    </w:p>
    <w:p w14:paraId="28E028F1" w14:textId="77777777" w:rsidR="00635E3F" w:rsidRPr="001B4A02" w:rsidRDefault="00000000" w:rsidP="008F1B0E">
      <w:pPr>
        <w:keepNext/>
        <w:ind w:left="0" w:right="-29" w:firstLine="0"/>
        <w:rPr>
          <w:b/>
        </w:rPr>
      </w:pPr>
      <w:r w:rsidRPr="001B4A02">
        <w:rPr>
          <w:b/>
        </w:rPr>
        <w:t>Vzácné</w:t>
      </w:r>
      <w:r w:rsidR="00FF1D36" w:rsidRPr="001B4A02">
        <w:t xml:space="preserve"> </w:t>
      </w:r>
      <w:r w:rsidR="00AF57C0" w:rsidRPr="001B4A02">
        <w:t>(</w:t>
      </w:r>
      <w:r w:rsidRPr="001B4A02">
        <w:rPr>
          <w:shd w:val="clear" w:color="auto" w:fill="FFFFFF"/>
        </w:rPr>
        <w:t>mohou postihnout nejvýše 1 z 1 000 osob</w:t>
      </w:r>
      <w:r w:rsidRPr="001B4A02">
        <w:t>)</w:t>
      </w:r>
    </w:p>
    <w:p w14:paraId="3A8F72A7" w14:textId="77777777" w:rsidR="00635E3F" w:rsidRPr="001B4A02" w:rsidRDefault="00635E3F" w:rsidP="008F1B0E">
      <w:pPr>
        <w:keepNext/>
        <w:ind w:left="0" w:right="-29" w:firstLine="0"/>
      </w:pPr>
    </w:p>
    <w:p w14:paraId="2C2E46FD" w14:textId="77777777" w:rsidR="00635E3F" w:rsidRPr="001B4A02" w:rsidRDefault="00000000" w:rsidP="004B14C0">
      <w:pPr>
        <w:pStyle w:val="EMEANormal"/>
        <w:numPr>
          <w:ilvl w:val="0"/>
          <w:numId w:val="59"/>
        </w:numPr>
        <w:tabs>
          <w:tab w:val="clear" w:pos="562"/>
          <w:tab w:val="clear" w:pos="720"/>
        </w:tabs>
        <w:suppressAutoHyphens w:val="0"/>
        <w:ind w:left="567" w:hanging="567"/>
        <w:rPr>
          <w:lang w:val="cs-CZ"/>
        </w:rPr>
      </w:pPr>
      <w:r w:rsidRPr="001B4A02">
        <w:rPr>
          <w:lang w:val="cs-CZ"/>
        </w:rPr>
        <w:t>nízké počty bílých krvinek, červených krvinek</w:t>
      </w:r>
      <w:r w:rsidR="002378E0">
        <w:rPr>
          <w:lang w:val="cs-CZ"/>
        </w:rPr>
        <w:t xml:space="preserve"> a </w:t>
      </w:r>
      <w:r w:rsidR="00E26C70" w:rsidRPr="001B4A02">
        <w:rPr>
          <w:lang w:val="cs-CZ"/>
        </w:rPr>
        <w:t xml:space="preserve">krevních </w:t>
      </w:r>
      <w:r w:rsidRPr="001B4A02">
        <w:rPr>
          <w:lang w:val="cs-CZ"/>
        </w:rPr>
        <w:t>destiček</w:t>
      </w:r>
    </w:p>
    <w:p w14:paraId="066614FB" w14:textId="77777777" w:rsidR="00FF1D36" w:rsidRPr="001B4A02" w:rsidRDefault="00FF1D36" w:rsidP="004B14C0">
      <w:pPr>
        <w:ind w:left="0" w:firstLine="0"/>
      </w:pPr>
    </w:p>
    <w:p w14:paraId="153F9616" w14:textId="77777777" w:rsidR="00FF1D36" w:rsidRPr="00BA0A72" w:rsidRDefault="00000000" w:rsidP="004B14C0">
      <w:pPr>
        <w:keepNext/>
        <w:numPr>
          <w:ilvl w:val="12"/>
          <w:numId w:val="0"/>
        </w:numPr>
        <w:rPr>
          <w:b/>
        </w:rPr>
      </w:pPr>
      <w:r w:rsidRPr="00BA0A72">
        <w:rPr>
          <w:b/>
        </w:rPr>
        <w:t>Hlášení nežádoucích účinků</w:t>
      </w:r>
    </w:p>
    <w:p w14:paraId="436D869C" w14:textId="77777777" w:rsidR="00FF1D36" w:rsidRPr="001B4A02" w:rsidRDefault="00000000" w:rsidP="004B14C0">
      <w:pPr>
        <w:numPr>
          <w:ilvl w:val="12"/>
          <w:numId w:val="0"/>
        </w:numPr>
      </w:pPr>
      <w:r w:rsidRPr="001B4A02">
        <w:t>Pokud se u Vás vyskytne kterýkoli z nežádoucích účinků, sdělte to svému lékaři nebo lékárníkovi. Stejně postupujte i v případě jakýchkoli nežádoucích účinků, které nejsou uvedeny v této příbalové informaci.</w:t>
      </w:r>
      <w:r w:rsidR="00D94EB1">
        <w:t xml:space="preserve"> </w:t>
      </w:r>
      <w:r w:rsidRPr="001B4A02">
        <w:t xml:space="preserve">Nežádoucí účinky můžete hlásit také přímo prostřednictvím </w:t>
      </w:r>
      <w:r w:rsidRPr="001B4A02">
        <w:rPr>
          <w:shd w:val="clear" w:color="auto" w:fill="A6A6A6"/>
        </w:rPr>
        <w:t>národního systému hlášení nežádoucích účinků uvedeného v </w:t>
      </w:r>
      <w:hyperlink r:id="rId63" w:history="1">
        <w:r w:rsidR="00FF1D36" w:rsidRPr="001B4A02">
          <w:rPr>
            <w:rStyle w:val="Hyperlink"/>
            <w:shd w:val="clear" w:color="auto" w:fill="A6A6A6"/>
          </w:rPr>
          <w:t>Dodatku V</w:t>
        </w:r>
      </w:hyperlink>
      <w:r w:rsidRPr="001B4A02">
        <w:rPr>
          <w:shd w:val="clear" w:color="auto" w:fill="FFFFFF"/>
        </w:rPr>
        <w:t>.</w:t>
      </w:r>
      <w:r w:rsidR="009B02BB" w:rsidRPr="001B4A02">
        <w:t xml:space="preserve"> </w:t>
      </w:r>
      <w:r w:rsidRPr="001B4A02">
        <w:t>Nahlášením nežádoucích účinků můžete přispět k získání více informací o</w:t>
      </w:r>
      <w:r w:rsidR="00063784" w:rsidRPr="001B4A02">
        <w:t> </w:t>
      </w:r>
      <w:r w:rsidRPr="001B4A02">
        <w:t>bezpečnosti tohoto přípravku.</w:t>
      </w:r>
    </w:p>
    <w:p w14:paraId="5BD1E67D" w14:textId="77777777" w:rsidR="00FF1D36" w:rsidRPr="001B4A02" w:rsidRDefault="00FF1D36" w:rsidP="004B14C0">
      <w:pPr>
        <w:ind w:left="0" w:firstLine="0"/>
      </w:pPr>
    </w:p>
    <w:p w14:paraId="1E841EC1" w14:textId="77777777" w:rsidR="00FF1D36" w:rsidRPr="001B4A02" w:rsidRDefault="00FF1D36" w:rsidP="004B14C0">
      <w:pPr>
        <w:ind w:left="0" w:firstLine="0"/>
      </w:pPr>
    </w:p>
    <w:p w14:paraId="4D9CA7AE" w14:textId="77777777" w:rsidR="00FF1D36" w:rsidRPr="001B4A02" w:rsidRDefault="00000000" w:rsidP="008F1B0E">
      <w:pPr>
        <w:keepNext/>
        <w:numPr>
          <w:ilvl w:val="12"/>
          <w:numId w:val="0"/>
        </w:numPr>
        <w:ind w:left="567" w:hanging="567"/>
        <w:outlineLvl w:val="1"/>
      </w:pPr>
      <w:r w:rsidRPr="001B4A02">
        <w:rPr>
          <w:b/>
        </w:rPr>
        <w:t>5.</w:t>
      </w:r>
      <w:r w:rsidRPr="001B4A02">
        <w:rPr>
          <w:b/>
        </w:rPr>
        <w:tab/>
        <w:t>Jak přípravek Humira uchovávat</w:t>
      </w:r>
    </w:p>
    <w:p w14:paraId="0DD9A8B0" w14:textId="77777777" w:rsidR="00FF1D36" w:rsidRPr="001B4A02" w:rsidRDefault="00FF1D36" w:rsidP="008F1B0E">
      <w:pPr>
        <w:keepNext/>
        <w:numPr>
          <w:ilvl w:val="12"/>
          <w:numId w:val="0"/>
        </w:numPr>
        <w:ind w:right="-2"/>
      </w:pPr>
    </w:p>
    <w:p w14:paraId="72291FAE" w14:textId="77777777" w:rsidR="00FF1D36" w:rsidRPr="001B4A02" w:rsidRDefault="00000000" w:rsidP="004B14C0">
      <w:pPr>
        <w:ind w:left="0" w:firstLine="0"/>
      </w:pPr>
      <w:r w:rsidRPr="001B4A02">
        <w:t>Uchovávejte mimo dohled</w:t>
      </w:r>
      <w:r w:rsidR="002378E0">
        <w:t xml:space="preserve"> a </w:t>
      </w:r>
      <w:r w:rsidRPr="001B4A02">
        <w:t>dosah dětí.</w:t>
      </w:r>
    </w:p>
    <w:p w14:paraId="2EB15BCF" w14:textId="77777777" w:rsidR="00FF1D36" w:rsidRPr="001B4A02" w:rsidRDefault="00FF1D36" w:rsidP="004B14C0">
      <w:pPr>
        <w:ind w:left="0" w:firstLine="0"/>
      </w:pPr>
    </w:p>
    <w:p w14:paraId="651BE8F1" w14:textId="77777777" w:rsidR="00FF1D36" w:rsidRPr="001B4A02" w:rsidRDefault="00000000" w:rsidP="004B14C0">
      <w:pPr>
        <w:ind w:left="0" w:firstLine="0"/>
      </w:pPr>
      <w:r w:rsidRPr="001B4A02">
        <w:t>Nepoužívejte přípravek Humira po uplynutí doby použitelnosti uvedené na la</w:t>
      </w:r>
      <w:r w:rsidR="00507DAA" w:rsidRPr="001B4A02">
        <w:t>hvičce/blistru/krabičce za EXP.</w:t>
      </w:r>
    </w:p>
    <w:p w14:paraId="7AC45018" w14:textId="77777777" w:rsidR="00FF1D36" w:rsidRPr="001B4A02" w:rsidRDefault="00FF1D36" w:rsidP="004B14C0">
      <w:pPr>
        <w:ind w:left="0" w:firstLine="0"/>
      </w:pPr>
    </w:p>
    <w:p w14:paraId="5841B429" w14:textId="77777777" w:rsidR="0039684E" w:rsidRPr="001B4A02" w:rsidRDefault="00000000" w:rsidP="004B14C0">
      <w:pPr>
        <w:tabs>
          <w:tab w:val="left" w:pos="567"/>
        </w:tabs>
        <w:ind w:left="0" w:firstLine="0"/>
      </w:pPr>
      <w:r w:rsidRPr="001B4A02">
        <w:t>Uchovávejte v chladničce (2</w:t>
      </w:r>
      <w:r w:rsidR="003A6A97" w:rsidRPr="001B4A02">
        <w:t xml:space="preserve"> </w:t>
      </w:r>
      <w:r w:rsidRPr="001B4A02">
        <w:t>°C</w:t>
      </w:r>
      <w:r w:rsidR="004F1632">
        <w:t xml:space="preserve"> </w:t>
      </w:r>
      <w:r w:rsidR="003A6A97" w:rsidRPr="001B4A02">
        <w:t>–</w:t>
      </w:r>
      <w:r w:rsidR="004F1632">
        <w:t xml:space="preserve"> </w:t>
      </w:r>
      <w:r w:rsidRPr="001B4A02">
        <w:t>8</w:t>
      </w:r>
      <w:r w:rsidR="003A6A97" w:rsidRPr="001B4A02">
        <w:t xml:space="preserve"> </w:t>
      </w:r>
      <w:r w:rsidRPr="001B4A02">
        <w:t xml:space="preserve">°C). Chraňte před mrazem. </w:t>
      </w:r>
    </w:p>
    <w:p w14:paraId="6BA96414" w14:textId="77777777" w:rsidR="0039684E" w:rsidRPr="001B4A02" w:rsidRDefault="0039684E" w:rsidP="004B14C0">
      <w:pPr>
        <w:tabs>
          <w:tab w:val="left" w:pos="567"/>
        </w:tabs>
        <w:ind w:left="0" w:firstLine="0"/>
      </w:pPr>
    </w:p>
    <w:p w14:paraId="5C7155A4" w14:textId="77777777" w:rsidR="00FF1D36" w:rsidRPr="001B4A02" w:rsidRDefault="00000000" w:rsidP="004B14C0">
      <w:pPr>
        <w:tabs>
          <w:tab w:val="left" w:pos="567"/>
        </w:tabs>
        <w:ind w:left="0" w:firstLine="0"/>
      </w:pPr>
      <w:r w:rsidRPr="001B4A02">
        <w:t>Uchovávejte předplněné pero v krabičce, aby byl přípravek chráněn před světlem.</w:t>
      </w:r>
    </w:p>
    <w:p w14:paraId="02EF5085" w14:textId="77777777" w:rsidR="00FF1D36" w:rsidRPr="001B4A02" w:rsidRDefault="00FF1D36" w:rsidP="004B14C0">
      <w:pPr>
        <w:tabs>
          <w:tab w:val="left" w:pos="708"/>
        </w:tabs>
        <w:autoSpaceDE w:val="0"/>
        <w:autoSpaceDN w:val="0"/>
        <w:adjustRightInd w:val="0"/>
        <w:rPr>
          <w:szCs w:val="22"/>
          <w:lang w:eastAsia="en-GB"/>
        </w:rPr>
      </w:pPr>
    </w:p>
    <w:p w14:paraId="31F0ACEC" w14:textId="77777777" w:rsidR="00FF1D36" w:rsidRPr="001B4A02" w:rsidRDefault="00000000" w:rsidP="008F1B0E">
      <w:pPr>
        <w:keepNext/>
        <w:tabs>
          <w:tab w:val="left" w:pos="708"/>
        </w:tabs>
        <w:autoSpaceDE w:val="0"/>
        <w:autoSpaceDN w:val="0"/>
        <w:adjustRightInd w:val="0"/>
        <w:rPr>
          <w:szCs w:val="22"/>
          <w:lang w:eastAsia="en-GB"/>
        </w:rPr>
      </w:pPr>
      <w:r w:rsidRPr="001B4A02">
        <w:rPr>
          <w:szCs w:val="22"/>
          <w:lang w:eastAsia="en-GB"/>
        </w:rPr>
        <w:t>Jiná možnost uchovávání:</w:t>
      </w:r>
    </w:p>
    <w:p w14:paraId="7926B2D3" w14:textId="77777777" w:rsidR="00FF1D36" w:rsidRPr="001B4A02" w:rsidRDefault="00FF1D36" w:rsidP="008F1B0E">
      <w:pPr>
        <w:keepNext/>
        <w:tabs>
          <w:tab w:val="left" w:pos="708"/>
        </w:tabs>
        <w:autoSpaceDE w:val="0"/>
        <w:autoSpaceDN w:val="0"/>
        <w:adjustRightInd w:val="0"/>
        <w:rPr>
          <w:szCs w:val="22"/>
          <w:lang w:eastAsia="en-GB"/>
        </w:rPr>
      </w:pPr>
    </w:p>
    <w:p w14:paraId="5CA7385E" w14:textId="77777777" w:rsidR="00FF1D36" w:rsidRPr="001B4A02" w:rsidRDefault="00000000" w:rsidP="004B14C0">
      <w:pPr>
        <w:tabs>
          <w:tab w:val="left" w:pos="0"/>
        </w:tabs>
        <w:autoSpaceDE w:val="0"/>
        <w:autoSpaceDN w:val="0"/>
        <w:adjustRightInd w:val="0"/>
        <w:ind w:left="0" w:firstLine="0"/>
        <w:rPr>
          <w:szCs w:val="22"/>
          <w:lang w:eastAsia="en-GB"/>
        </w:rPr>
      </w:pPr>
      <w:r w:rsidRPr="001B4A02">
        <w:rPr>
          <w:szCs w:val="22"/>
          <w:lang w:eastAsia="en-GB"/>
        </w:rPr>
        <w:t>Pokud je to potřeba (například pokud cestujete), je možno uchovávat jednotlivá předplněná pera přípravku Humira při pokojové teplotě (až do 25</w:t>
      </w:r>
      <w:r w:rsidR="003A6A97" w:rsidRPr="001B4A02">
        <w:rPr>
          <w:szCs w:val="22"/>
          <w:lang w:eastAsia="en-GB"/>
        </w:rPr>
        <w:t xml:space="preserve"> </w:t>
      </w:r>
      <w:r w:rsidRPr="001B4A02">
        <w:rPr>
          <w:szCs w:val="22"/>
          <w:lang w:eastAsia="en-GB"/>
        </w:rPr>
        <w:t>°C) po dobu maximálně 14 dní. Vždy se ujistěte, že je přípravek chráněn před světlem. Jakmile je vyjmut z</w:t>
      </w:r>
      <w:r w:rsidR="000928E6" w:rsidRPr="001B4A02">
        <w:rPr>
          <w:szCs w:val="22"/>
          <w:lang w:eastAsia="en-GB"/>
        </w:rPr>
        <w:t> </w:t>
      </w:r>
      <w:r w:rsidRPr="001B4A02">
        <w:rPr>
          <w:szCs w:val="22"/>
          <w:lang w:eastAsia="en-GB"/>
        </w:rPr>
        <w:t>lednice</w:t>
      </w:r>
      <w:r w:rsidR="002378E0">
        <w:rPr>
          <w:szCs w:val="22"/>
          <w:lang w:eastAsia="en-GB"/>
        </w:rPr>
        <w:t xml:space="preserve"> a </w:t>
      </w:r>
      <w:r w:rsidRPr="001B4A02">
        <w:rPr>
          <w:szCs w:val="22"/>
          <w:lang w:eastAsia="en-GB"/>
        </w:rPr>
        <w:t xml:space="preserve">ponechán při pokojové teplotě, pero </w:t>
      </w:r>
      <w:r w:rsidRPr="001B4A02">
        <w:rPr>
          <w:b/>
          <w:szCs w:val="22"/>
          <w:lang w:eastAsia="en-GB"/>
        </w:rPr>
        <w:t>musí být použito do 14 dní nebo zlikvidováno,</w:t>
      </w:r>
      <w:r w:rsidR="002378E0">
        <w:rPr>
          <w:b/>
          <w:szCs w:val="22"/>
          <w:lang w:eastAsia="en-GB"/>
        </w:rPr>
        <w:t xml:space="preserve"> a </w:t>
      </w:r>
      <w:r w:rsidRPr="001B4A02">
        <w:rPr>
          <w:szCs w:val="22"/>
          <w:lang w:eastAsia="en-GB"/>
        </w:rPr>
        <w:t>to i v</w:t>
      </w:r>
      <w:r w:rsidR="000928E6" w:rsidRPr="001B4A02">
        <w:rPr>
          <w:szCs w:val="22"/>
          <w:lang w:eastAsia="en-GB"/>
        </w:rPr>
        <w:t> </w:t>
      </w:r>
      <w:r w:rsidRPr="001B4A02">
        <w:rPr>
          <w:szCs w:val="22"/>
          <w:lang w:eastAsia="en-GB"/>
        </w:rPr>
        <w:t>situaci, k</w:t>
      </w:r>
      <w:r w:rsidR="00D6542D" w:rsidRPr="001B4A02">
        <w:rPr>
          <w:szCs w:val="22"/>
          <w:lang w:eastAsia="en-GB"/>
        </w:rPr>
        <w:t>dy je vráceno zpět do lednice.</w:t>
      </w:r>
    </w:p>
    <w:p w14:paraId="162A67C3" w14:textId="77777777" w:rsidR="00FF1D36" w:rsidRPr="001B4A02" w:rsidRDefault="00FF1D36" w:rsidP="004B14C0">
      <w:pPr>
        <w:tabs>
          <w:tab w:val="left" w:pos="708"/>
        </w:tabs>
        <w:autoSpaceDE w:val="0"/>
        <w:autoSpaceDN w:val="0"/>
        <w:adjustRightInd w:val="0"/>
        <w:rPr>
          <w:szCs w:val="22"/>
          <w:lang w:eastAsia="en-GB"/>
        </w:rPr>
      </w:pPr>
    </w:p>
    <w:p w14:paraId="73DB4FBF" w14:textId="77777777" w:rsidR="00FF1D36" w:rsidRPr="001B4A02" w:rsidRDefault="00000000" w:rsidP="004B14C0">
      <w:pPr>
        <w:ind w:left="0" w:firstLine="0"/>
        <w:rPr>
          <w:b/>
        </w:rPr>
      </w:pPr>
      <w:r w:rsidRPr="0043226A">
        <w:rPr>
          <w:szCs w:val="22"/>
          <w:lang w:eastAsia="en-GB"/>
        </w:rPr>
        <w:t>Poznamenejte si</w:t>
      </w:r>
      <w:r w:rsidRPr="001B4A02">
        <w:rPr>
          <w:szCs w:val="22"/>
          <w:lang w:eastAsia="en-GB"/>
        </w:rPr>
        <w:t xml:space="preserve"> datum, kdy jste pero poprvé vyjmul(a) z</w:t>
      </w:r>
      <w:r w:rsidR="000928E6" w:rsidRPr="001B4A02">
        <w:rPr>
          <w:szCs w:val="22"/>
          <w:lang w:eastAsia="en-GB"/>
        </w:rPr>
        <w:t> </w:t>
      </w:r>
      <w:r w:rsidRPr="001B4A02">
        <w:rPr>
          <w:szCs w:val="22"/>
          <w:lang w:eastAsia="en-GB"/>
        </w:rPr>
        <w:t>lednice,</w:t>
      </w:r>
      <w:r w:rsidR="002378E0">
        <w:rPr>
          <w:szCs w:val="22"/>
          <w:lang w:eastAsia="en-GB"/>
        </w:rPr>
        <w:t xml:space="preserve"> a </w:t>
      </w:r>
      <w:r w:rsidRPr="001B4A02">
        <w:rPr>
          <w:szCs w:val="22"/>
          <w:lang w:eastAsia="en-GB"/>
        </w:rPr>
        <w:t>také datum, kdy je třeba jej znehodnotit</w:t>
      </w:r>
      <w:r w:rsidRPr="001B4A02">
        <w:t>.</w:t>
      </w:r>
    </w:p>
    <w:p w14:paraId="3F8F3D29" w14:textId="77777777" w:rsidR="00FF1D36" w:rsidRPr="001B4A02" w:rsidRDefault="00FF1D36" w:rsidP="004B14C0">
      <w:pPr>
        <w:ind w:left="0" w:firstLine="0"/>
      </w:pPr>
    </w:p>
    <w:p w14:paraId="752A2196" w14:textId="77777777" w:rsidR="00FF1D36" w:rsidRPr="001B4A02" w:rsidRDefault="00000000" w:rsidP="004B14C0">
      <w:pPr>
        <w:ind w:left="0" w:firstLine="0"/>
      </w:pPr>
      <w:r w:rsidRPr="001B4A02">
        <w:t>Nevyhazujte žádné léčivé přípravky do odpadních vod nebo domácího odpadu. Zeptejte se svého léká</w:t>
      </w:r>
      <w:r w:rsidR="00084DA1" w:rsidRPr="001B4A02">
        <w:t>r</w:t>
      </w:r>
      <w:r w:rsidRPr="001B4A02">
        <w:t>níka, jak naložit s přípravky, které již nepoužíváte. Tato opatření pomáhají chránit životní prostředí.</w:t>
      </w:r>
    </w:p>
    <w:p w14:paraId="6C577392" w14:textId="77777777" w:rsidR="00FF1D36" w:rsidRPr="008F1B0E" w:rsidRDefault="00FF1D36" w:rsidP="00ED48A3">
      <w:pPr>
        <w:ind w:left="0" w:firstLine="0"/>
      </w:pPr>
    </w:p>
    <w:p w14:paraId="71F9A072" w14:textId="77777777" w:rsidR="00FF1D36" w:rsidRPr="008F1B0E" w:rsidRDefault="00FF1D36" w:rsidP="00ED48A3">
      <w:pPr>
        <w:ind w:left="0" w:firstLine="0"/>
      </w:pPr>
    </w:p>
    <w:p w14:paraId="108D31B9" w14:textId="77777777" w:rsidR="00FF1D36" w:rsidRPr="001B4A02" w:rsidRDefault="00000000" w:rsidP="008F1B0E">
      <w:pPr>
        <w:keepNext/>
        <w:numPr>
          <w:ilvl w:val="12"/>
          <w:numId w:val="0"/>
        </w:numPr>
        <w:ind w:left="567" w:hanging="567"/>
        <w:outlineLvl w:val="1"/>
        <w:rPr>
          <w:b/>
        </w:rPr>
      </w:pPr>
      <w:r w:rsidRPr="001B4A02">
        <w:rPr>
          <w:b/>
        </w:rPr>
        <w:t>6.</w:t>
      </w:r>
      <w:r w:rsidRPr="001B4A02">
        <w:rPr>
          <w:b/>
        </w:rPr>
        <w:tab/>
        <w:t>Obsah balení</w:t>
      </w:r>
      <w:r w:rsidR="002378E0">
        <w:rPr>
          <w:b/>
        </w:rPr>
        <w:t xml:space="preserve"> a </w:t>
      </w:r>
      <w:r w:rsidRPr="001B4A02">
        <w:rPr>
          <w:b/>
        </w:rPr>
        <w:t>další informace</w:t>
      </w:r>
    </w:p>
    <w:p w14:paraId="13B946E0" w14:textId="77777777" w:rsidR="00FF1D36" w:rsidRPr="001B4A02" w:rsidRDefault="00FF1D36" w:rsidP="008F1B0E">
      <w:pPr>
        <w:keepNext/>
        <w:ind w:left="0" w:firstLine="0"/>
      </w:pPr>
    </w:p>
    <w:p w14:paraId="45E0A97C" w14:textId="77777777" w:rsidR="00FF1D36" w:rsidRPr="001B4A02" w:rsidRDefault="00000000" w:rsidP="008F1B0E">
      <w:pPr>
        <w:keepNext/>
        <w:numPr>
          <w:ilvl w:val="12"/>
          <w:numId w:val="0"/>
        </w:numPr>
        <w:rPr>
          <w:b/>
          <w:bCs/>
        </w:rPr>
      </w:pPr>
      <w:r w:rsidRPr="001B4A02">
        <w:rPr>
          <w:b/>
          <w:bCs/>
        </w:rPr>
        <w:t xml:space="preserve">Co </w:t>
      </w:r>
      <w:r w:rsidR="004E2192" w:rsidRPr="001B4A02">
        <w:rPr>
          <w:b/>
        </w:rPr>
        <w:t xml:space="preserve">přípravek </w:t>
      </w:r>
      <w:r w:rsidRPr="001B4A02">
        <w:rPr>
          <w:b/>
          <w:bCs/>
        </w:rPr>
        <w:t>Humira obsahuje</w:t>
      </w:r>
    </w:p>
    <w:p w14:paraId="56D2D708" w14:textId="77777777" w:rsidR="00FF1D36" w:rsidRPr="001B4A02" w:rsidRDefault="00FF1D36" w:rsidP="008F1B0E">
      <w:pPr>
        <w:keepNext/>
        <w:ind w:left="0" w:firstLine="0"/>
      </w:pPr>
    </w:p>
    <w:p w14:paraId="719037B4" w14:textId="77777777" w:rsidR="00FF1D36" w:rsidRPr="001B4A02" w:rsidRDefault="00000000" w:rsidP="0067453A">
      <w:pPr>
        <w:ind w:left="0" w:firstLine="0"/>
      </w:pPr>
      <w:r w:rsidRPr="001B4A02">
        <w:t>Léčivou látkou je adalimumab</w:t>
      </w:r>
      <w:del w:id="13804" w:author="Abbvie02" w:date="2025-05-16T11:51:00Z">
        <w:r w:rsidR="007C5563" w:rsidRPr="001B4A02">
          <w:delText>um</w:delText>
        </w:r>
      </w:del>
      <w:r w:rsidRPr="001B4A02">
        <w:t>.</w:t>
      </w:r>
    </w:p>
    <w:p w14:paraId="44B5E083" w14:textId="77777777" w:rsidR="00FF1D36" w:rsidRPr="001B4A02" w:rsidRDefault="00000000" w:rsidP="0067453A">
      <w:pPr>
        <w:ind w:left="0" w:firstLine="0"/>
      </w:pPr>
      <w:r w:rsidRPr="001B4A02">
        <w:t>Pomocn</w:t>
      </w:r>
      <w:r w:rsidR="00E91CB6" w:rsidRPr="001B4A02">
        <w:t>ými</w:t>
      </w:r>
      <w:r w:rsidRPr="001B4A02">
        <w:t xml:space="preserve"> látk</w:t>
      </w:r>
      <w:r w:rsidR="00E91CB6" w:rsidRPr="001B4A02">
        <w:t>ami</w:t>
      </w:r>
      <w:r w:rsidRPr="001B4A02">
        <w:t xml:space="preserve"> jsou mannitol, polysorbát 80</w:t>
      </w:r>
      <w:r w:rsidR="002378E0">
        <w:t xml:space="preserve"> a </w:t>
      </w:r>
      <w:r w:rsidRPr="001B4A02">
        <w:t xml:space="preserve">voda </w:t>
      </w:r>
      <w:r w:rsidR="00202301" w:rsidRPr="001B4A02">
        <w:t>pro</w:t>
      </w:r>
      <w:r w:rsidRPr="001B4A02">
        <w:t xml:space="preserve"> injekci.</w:t>
      </w:r>
    </w:p>
    <w:p w14:paraId="1072DFA1" w14:textId="77777777" w:rsidR="007F7787" w:rsidRPr="001B4A02" w:rsidRDefault="007F7787" w:rsidP="0067453A">
      <w:pPr>
        <w:ind w:left="0" w:firstLine="0"/>
      </w:pPr>
    </w:p>
    <w:p w14:paraId="21F9D565" w14:textId="77777777" w:rsidR="00FF1D36" w:rsidRPr="001B4A02" w:rsidRDefault="00000000" w:rsidP="008F1B0E">
      <w:pPr>
        <w:keepNext/>
        <w:numPr>
          <w:ilvl w:val="12"/>
          <w:numId w:val="0"/>
        </w:numPr>
        <w:rPr>
          <w:b/>
          <w:bCs/>
        </w:rPr>
      </w:pPr>
      <w:r w:rsidRPr="001B4A02">
        <w:rPr>
          <w:b/>
          <w:bCs/>
        </w:rPr>
        <w:t>Jak přípravek Humira injekční roztok v předplněném peru vypadá</w:t>
      </w:r>
      <w:r w:rsidR="002378E0">
        <w:rPr>
          <w:b/>
          <w:bCs/>
        </w:rPr>
        <w:t xml:space="preserve"> a </w:t>
      </w:r>
      <w:r w:rsidRPr="001B4A02">
        <w:rPr>
          <w:b/>
          <w:bCs/>
        </w:rPr>
        <w:t>co obsahuje toto balení</w:t>
      </w:r>
    </w:p>
    <w:p w14:paraId="087C361F" w14:textId="77777777" w:rsidR="00FF1D36" w:rsidRPr="001B4A02" w:rsidRDefault="00FF1D36" w:rsidP="008F1B0E">
      <w:pPr>
        <w:keepNext/>
        <w:ind w:left="0" w:firstLine="0"/>
      </w:pPr>
    </w:p>
    <w:p w14:paraId="2035001B" w14:textId="77777777" w:rsidR="00FF1D36" w:rsidRPr="001B4A02" w:rsidRDefault="00000000" w:rsidP="0067453A">
      <w:pPr>
        <w:ind w:left="0" w:firstLine="0"/>
      </w:pPr>
      <w:r w:rsidRPr="001B4A02">
        <w:t>Přípravek Humira 40 mg injekční roztok v předplněném peru je dodáván jako sterilní roztok 40</w:t>
      </w:r>
      <w:r w:rsidR="00A7483D">
        <w:t> mg</w:t>
      </w:r>
      <w:r w:rsidRPr="001B4A02">
        <w:t xml:space="preserve"> adalimumabu, rozpuštěného v 0,</w:t>
      </w:r>
      <w:r w:rsidR="0039684E" w:rsidRPr="001B4A02">
        <w:t>4</w:t>
      </w:r>
      <w:r w:rsidR="00D65FBD" w:rsidRPr="001B4A02">
        <w:t> </w:t>
      </w:r>
      <w:r w:rsidRPr="001B4A02">
        <w:t>ml roztoku.</w:t>
      </w:r>
    </w:p>
    <w:p w14:paraId="2C51D22B" w14:textId="77777777" w:rsidR="007F7787" w:rsidRPr="001B4A02" w:rsidRDefault="007F7787" w:rsidP="0067453A">
      <w:pPr>
        <w:ind w:left="0" w:firstLine="0"/>
      </w:pPr>
    </w:p>
    <w:p w14:paraId="59F8849A" w14:textId="77777777" w:rsidR="00FF1D36" w:rsidRPr="001B4A02" w:rsidRDefault="00000000" w:rsidP="0067453A">
      <w:pPr>
        <w:ind w:left="0" w:firstLine="0"/>
      </w:pPr>
      <w:r w:rsidRPr="001B4A02">
        <w:t>Přípravek Humira injekční roztok v předplněném peru je injekční pero šedé</w:t>
      </w:r>
      <w:r w:rsidR="002378E0">
        <w:t xml:space="preserve"> a </w:t>
      </w:r>
      <w:r w:rsidRPr="001B4A02">
        <w:t>vínové barvy pro jednorázové použití, které obsahuje skleněnou injekční stříkačku naplněnou přípravkem Humira. Pero má dva kryty – jeden z nich je šedé barvy</w:t>
      </w:r>
      <w:r w:rsidR="002378E0">
        <w:t xml:space="preserve"> a </w:t>
      </w:r>
      <w:r w:rsidRPr="001B4A02">
        <w:t>je označen „1“</w:t>
      </w:r>
      <w:r w:rsidR="002378E0">
        <w:t xml:space="preserve"> a </w:t>
      </w:r>
      <w:r w:rsidRPr="001B4A02">
        <w:t>druhý kryt je vínové barvy</w:t>
      </w:r>
      <w:r w:rsidR="002378E0">
        <w:t xml:space="preserve"> a </w:t>
      </w:r>
      <w:r w:rsidRPr="001B4A02">
        <w:t>je označen „2“. Na každém boku pera je okénko, kterým lze vidět roztok přípravku Humira uvnitř injekční stříkačky.</w:t>
      </w:r>
    </w:p>
    <w:p w14:paraId="2E03DEA4" w14:textId="77777777" w:rsidR="007F7787" w:rsidRPr="001B4A02" w:rsidRDefault="007F7787" w:rsidP="0067453A">
      <w:pPr>
        <w:ind w:left="0" w:firstLine="0"/>
      </w:pPr>
    </w:p>
    <w:p w14:paraId="6580F31F" w14:textId="77777777" w:rsidR="00FF1D36" w:rsidRPr="001B4A02" w:rsidRDefault="00000000" w:rsidP="0067453A">
      <w:pPr>
        <w:numPr>
          <w:ilvl w:val="12"/>
          <w:numId w:val="0"/>
        </w:numPr>
      </w:pPr>
      <w:r w:rsidRPr="001B4A02">
        <w:t>Přípravek Humira injekční roztok v předplněném peru je k </w:t>
      </w:r>
      <w:r w:rsidR="00FC7725" w:rsidRPr="001B4A02">
        <w:t>dispozici</w:t>
      </w:r>
      <w:r w:rsidRPr="001B4A02">
        <w:t xml:space="preserve"> v baleních po 1, 2, 4</w:t>
      </w:r>
      <w:r w:rsidR="002378E0">
        <w:t xml:space="preserve"> a </w:t>
      </w:r>
      <w:r w:rsidRPr="001B4A02">
        <w:t>6 předplněných perech. U</w:t>
      </w:r>
      <w:r w:rsidR="00A02FA4" w:rsidRPr="001B4A02">
        <w:t> </w:t>
      </w:r>
      <w:r w:rsidRPr="001B4A02">
        <w:t>balení s 1 předplněným perem jsou přibaleny 2 tamp</w:t>
      </w:r>
      <w:ins w:id="13805" w:author="Abbvie02" w:date="2025-05-16T12:34:00Z">
        <w:r w:rsidR="009165EF">
          <w:t>o</w:t>
        </w:r>
      </w:ins>
      <w:del w:id="13806" w:author="Abbvie02" w:date="2025-05-16T12:34:00Z">
        <w:r w:rsidRPr="001B4A02">
          <w:delText>ó</w:delText>
        </w:r>
      </w:del>
      <w:r w:rsidRPr="001B4A02">
        <w:t>ny s alkoholem (1</w:t>
      </w:r>
      <w:r w:rsidR="00A02FA4" w:rsidRPr="001B4A02">
        <w:t> </w:t>
      </w:r>
      <w:r w:rsidRPr="001B4A02">
        <w:t>náhradní). Balení se 2, 4</w:t>
      </w:r>
      <w:r w:rsidR="002378E0">
        <w:t xml:space="preserve"> a </w:t>
      </w:r>
      <w:r w:rsidRPr="001B4A02">
        <w:t>6 předplněnými pery obsahují 1 tamp</w:t>
      </w:r>
      <w:ins w:id="13807" w:author="Abbvie02" w:date="2025-05-16T12:34:00Z">
        <w:r w:rsidR="009165EF">
          <w:t>o</w:t>
        </w:r>
      </w:ins>
      <w:del w:id="13808" w:author="Abbvie02" w:date="2025-05-16T12:34:00Z">
        <w:r w:rsidRPr="001B4A02">
          <w:delText>ó</w:delText>
        </w:r>
      </w:del>
      <w:r w:rsidRPr="001B4A02">
        <w:t xml:space="preserve">n s alkoholem na každé předplněné pero. Na trhu nemusí být všechny velikosti balení. </w:t>
      </w:r>
    </w:p>
    <w:p w14:paraId="1EFBD949" w14:textId="77777777" w:rsidR="007F7787" w:rsidRPr="001B4A02" w:rsidRDefault="007F7787" w:rsidP="0067453A">
      <w:pPr>
        <w:ind w:left="0" w:firstLine="0"/>
      </w:pPr>
    </w:p>
    <w:p w14:paraId="3ECB8403" w14:textId="77777777" w:rsidR="00FF1D36" w:rsidRPr="001B4A02" w:rsidRDefault="00000000" w:rsidP="0067453A">
      <w:pPr>
        <w:numPr>
          <w:ilvl w:val="12"/>
          <w:numId w:val="0"/>
        </w:numPr>
      </w:pPr>
      <w:r w:rsidRPr="001B4A02">
        <w:t>Přípravek Humira je k </w:t>
      </w:r>
      <w:r w:rsidR="00C92B1C" w:rsidRPr="001B4A02">
        <w:t>dispozici</w:t>
      </w:r>
      <w:r w:rsidRPr="001B4A02">
        <w:t xml:space="preserve"> jako injekční lahvička, předplněná injekční stříkačka a</w:t>
      </w:r>
      <w:r w:rsidR="00075234" w:rsidRPr="001B4A02">
        <w:t>/nebo</w:t>
      </w:r>
      <w:r w:rsidRPr="001B4A02">
        <w:t xml:space="preserve"> předplněné pero.</w:t>
      </w:r>
    </w:p>
    <w:p w14:paraId="20942D4D" w14:textId="77777777" w:rsidR="00FF1D36" w:rsidRPr="001B4A02" w:rsidRDefault="00FF1D36" w:rsidP="0067453A">
      <w:pPr>
        <w:ind w:left="0" w:firstLine="0"/>
      </w:pPr>
    </w:p>
    <w:p w14:paraId="6F9A9E03" w14:textId="77777777" w:rsidR="00FF1D36" w:rsidRPr="001B4A02" w:rsidRDefault="00000000" w:rsidP="007D438D">
      <w:pPr>
        <w:keepNext/>
        <w:ind w:left="0" w:firstLine="0"/>
        <w:rPr>
          <w:b/>
        </w:rPr>
      </w:pPr>
      <w:r w:rsidRPr="001B4A02">
        <w:rPr>
          <w:b/>
        </w:rPr>
        <w:t>Držitel rozhodnutí o registraci</w:t>
      </w:r>
    </w:p>
    <w:p w14:paraId="19ACDE64" w14:textId="77777777" w:rsidR="00FF1D36" w:rsidRPr="001B4A02" w:rsidRDefault="00FF1D36" w:rsidP="007D438D">
      <w:pPr>
        <w:keepNext/>
        <w:ind w:left="0" w:firstLine="0"/>
      </w:pPr>
    </w:p>
    <w:p w14:paraId="17DC5B34" w14:textId="77777777" w:rsidR="00E86403" w:rsidRPr="001B4A02" w:rsidRDefault="00000000" w:rsidP="0067453A">
      <w:pPr>
        <w:keepNext/>
        <w:autoSpaceDE w:val="0"/>
        <w:autoSpaceDN w:val="0"/>
        <w:adjustRightInd w:val="0"/>
        <w:ind w:left="0" w:firstLine="0"/>
        <w:rPr>
          <w:szCs w:val="22"/>
          <w:lang w:eastAsia="en-GB"/>
        </w:rPr>
      </w:pPr>
      <w:r w:rsidRPr="001B4A02">
        <w:rPr>
          <w:szCs w:val="22"/>
          <w:lang w:eastAsia="en-GB"/>
        </w:rPr>
        <w:t>AbbVie Deutschland GmbH &amp; Co. KG</w:t>
      </w:r>
    </w:p>
    <w:p w14:paraId="7BA38831" w14:textId="77777777" w:rsidR="00E86403" w:rsidRPr="001B4A02" w:rsidRDefault="00000000" w:rsidP="0067453A">
      <w:pPr>
        <w:keepNext/>
        <w:autoSpaceDE w:val="0"/>
        <w:autoSpaceDN w:val="0"/>
        <w:adjustRightInd w:val="0"/>
        <w:ind w:left="0" w:firstLine="0"/>
        <w:rPr>
          <w:szCs w:val="22"/>
          <w:lang w:eastAsia="en-GB"/>
        </w:rPr>
      </w:pPr>
      <w:r w:rsidRPr="001B4A02">
        <w:rPr>
          <w:szCs w:val="22"/>
          <w:lang w:eastAsia="en-GB"/>
        </w:rPr>
        <w:t>Knollstrasse</w:t>
      </w:r>
    </w:p>
    <w:p w14:paraId="4BACC9BE" w14:textId="77777777" w:rsidR="00E86403" w:rsidRPr="001B4A02" w:rsidRDefault="00000000" w:rsidP="0067453A">
      <w:pPr>
        <w:keepNext/>
        <w:autoSpaceDE w:val="0"/>
        <w:autoSpaceDN w:val="0"/>
        <w:adjustRightInd w:val="0"/>
        <w:ind w:left="0" w:firstLine="0"/>
        <w:rPr>
          <w:szCs w:val="22"/>
          <w:lang w:eastAsia="en-GB"/>
        </w:rPr>
      </w:pPr>
      <w:r w:rsidRPr="001B4A02">
        <w:rPr>
          <w:szCs w:val="22"/>
          <w:lang w:eastAsia="en-GB"/>
        </w:rPr>
        <w:t>67061 Ludwigshafen</w:t>
      </w:r>
    </w:p>
    <w:p w14:paraId="3EC4674C" w14:textId="77777777" w:rsidR="00FF1D36" w:rsidRPr="001B4A02" w:rsidRDefault="00000000" w:rsidP="0067453A">
      <w:pPr>
        <w:ind w:left="0" w:firstLine="0"/>
      </w:pPr>
      <w:r w:rsidRPr="001B4A02">
        <w:rPr>
          <w:szCs w:val="22"/>
          <w:lang w:eastAsia="en-GB"/>
        </w:rPr>
        <w:t>Německo</w:t>
      </w:r>
    </w:p>
    <w:p w14:paraId="0FBBB052" w14:textId="77777777" w:rsidR="00FF1D36" w:rsidRPr="001B4A02" w:rsidRDefault="00FF1D36" w:rsidP="0067453A">
      <w:pPr>
        <w:ind w:left="0" w:firstLine="0"/>
      </w:pPr>
    </w:p>
    <w:p w14:paraId="2E67E7DF" w14:textId="77777777" w:rsidR="00FF1D36" w:rsidRPr="001B4A02" w:rsidRDefault="00000000" w:rsidP="0067453A">
      <w:pPr>
        <w:keepNext/>
        <w:ind w:left="0" w:firstLine="0"/>
        <w:rPr>
          <w:b/>
        </w:rPr>
      </w:pPr>
      <w:r w:rsidRPr="001B4A02">
        <w:rPr>
          <w:b/>
        </w:rPr>
        <w:t>Výrobce</w:t>
      </w:r>
    </w:p>
    <w:p w14:paraId="633724AF" w14:textId="77777777" w:rsidR="00FF1D36" w:rsidRPr="001B4A02" w:rsidRDefault="00FF1D36" w:rsidP="0067453A">
      <w:pPr>
        <w:keepNext/>
        <w:ind w:left="0" w:firstLine="0"/>
      </w:pPr>
    </w:p>
    <w:p w14:paraId="55874323" w14:textId="77777777" w:rsidR="00FF1D36" w:rsidRPr="001B4A02" w:rsidRDefault="00000000" w:rsidP="0067453A">
      <w:pPr>
        <w:keepNext/>
        <w:ind w:left="0" w:firstLine="0"/>
      </w:pPr>
      <w:r w:rsidRPr="001B4A02">
        <w:t>AbbVie Biotechnology GmbH</w:t>
      </w:r>
    </w:p>
    <w:p w14:paraId="41276F54" w14:textId="77777777" w:rsidR="00FF1D36" w:rsidRPr="001B4A02" w:rsidRDefault="00000000" w:rsidP="0067453A">
      <w:pPr>
        <w:keepNext/>
        <w:numPr>
          <w:ilvl w:val="12"/>
          <w:numId w:val="0"/>
        </w:numPr>
        <w:tabs>
          <w:tab w:val="left" w:pos="720"/>
        </w:tabs>
      </w:pPr>
      <w:r w:rsidRPr="001B4A02">
        <w:t>Knollstrasse</w:t>
      </w:r>
    </w:p>
    <w:p w14:paraId="20E6CCA6" w14:textId="77777777" w:rsidR="00FF1D36" w:rsidRPr="001B4A02" w:rsidRDefault="00000000" w:rsidP="0067453A">
      <w:pPr>
        <w:keepNext/>
        <w:numPr>
          <w:ilvl w:val="12"/>
          <w:numId w:val="0"/>
        </w:numPr>
        <w:tabs>
          <w:tab w:val="left" w:pos="720"/>
        </w:tabs>
      </w:pPr>
      <w:r w:rsidRPr="001B4A02">
        <w:t>67061 Ludwigshafen</w:t>
      </w:r>
    </w:p>
    <w:p w14:paraId="5145BBB1" w14:textId="77777777" w:rsidR="00FF1D36" w:rsidRPr="001B4A02" w:rsidRDefault="00000000" w:rsidP="0067453A">
      <w:pPr>
        <w:keepNext/>
        <w:numPr>
          <w:ilvl w:val="12"/>
          <w:numId w:val="0"/>
        </w:numPr>
        <w:tabs>
          <w:tab w:val="left" w:pos="720"/>
        </w:tabs>
      </w:pPr>
      <w:r w:rsidRPr="001B4A02">
        <w:t>Německo</w:t>
      </w:r>
    </w:p>
    <w:p w14:paraId="7B3E68C3" w14:textId="77777777" w:rsidR="00FF1D36" w:rsidRPr="001B4A02" w:rsidRDefault="00FF1D36" w:rsidP="0067453A">
      <w:pPr>
        <w:ind w:left="0" w:firstLine="0"/>
      </w:pPr>
    </w:p>
    <w:p w14:paraId="2445FD86" w14:textId="77777777" w:rsidR="00FF1D36" w:rsidRPr="001B4A02" w:rsidRDefault="00000000" w:rsidP="008F1B0E">
      <w:pPr>
        <w:keepNext/>
        <w:numPr>
          <w:ilvl w:val="12"/>
          <w:numId w:val="0"/>
        </w:numPr>
      </w:pPr>
      <w:r w:rsidRPr="001B4A02">
        <w:t>Další informace o tomto přípravku získáte u místního zástupce držitele rozhodnutí o registraci</w:t>
      </w:r>
      <w:r w:rsidR="0069125D" w:rsidRPr="001B4A02">
        <w:t>:</w:t>
      </w:r>
    </w:p>
    <w:p w14:paraId="2C1BBABF" w14:textId="77777777" w:rsidR="00FF1D36" w:rsidRPr="001B4A02" w:rsidRDefault="00FF1D36" w:rsidP="008F1B0E">
      <w:pPr>
        <w:keepNext/>
        <w:ind w:left="0" w:firstLine="0"/>
        <w:rPr>
          <w:sz w:val="24"/>
          <w:szCs w:val="24"/>
        </w:rPr>
      </w:pPr>
    </w:p>
    <w:tbl>
      <w:tblPr>
        <w:tblW w:w="9356" w:type="dxa"/>
        <w:tblInd w:w="-34" w:type="dxa"/>
        <w:tblLayout w:type="fixed"/>
        <w:tblLook w:val="0000" w:firstRow="0" w:lastRow="0" w:firstColumn="0" w:lastColumn="0" w:noHBand="0" w:noVBand="0"/>
      </w:tblPr>
      <w:tblGrid>
        <w:gridCol w:w="34"/>
        <w:gridCol w:w="4610"/>
        <w:gridCol w:w="34"/>
        <w:gridCol w:w="4678"/>
      </w:tblGrid>
      <w:tr w:rsidR="00534A2D" w14:paraId="1EE5C3CE" w14:textId="77777777" w:rsidTr="001F79B0">
        <w:tc>
          <w:tcPr>
            <w:tcW w:w="4644" w:type="dxa"/>
            <w:gridSpan w:val="2"/>
          </w:tcPr>
          <w:p w14:paraId="3ED80CA6" w14:textId="77777777" w:rsidR="00AC4204" w:rsidRPr="00BD646C" w:rsidRDefault="00000000" w:rsidP="001F79B0">
            <w:pPr>
              <w:rPr>
                <w:b/>
                <w:bCs/>
                <w:szCs w:val="22"/>
                <w:lang w:val="fr-BE"/>
              </w:rPr>
            </w:pPr>
            <w:r w:rsidRPr="00BD646C">
              <w:rPr>
                <w:b/>
                <w:bCs/>
                <w:szCs w:val="22"/>
                <w:lang w:val="fr-BE"/>
              </w:rPr>
              <w:t>België/Belgique/Belgien</w:t>
            </w:r>
          </w:p>
          <w:p w14:paraId="016A1F4A" w14:textId="77777777" w:rsidR="00AC4204" w:rsidRPr="00BD646C" w:rsidRDefault="00000000" w:rsidP="001F79B0">
            <w:pPr>
              <w:rPr>
                <w:bCs/>
                <w:szCs w:val="22"/>
                <w:lang w:val="fr-FR"/>
              </w:rPr>
            </w:pPr>
            <w:r w:rsidRPr="00BD646C">
              <w:rPr>
                <w:bCs/>
                <w:szCs w:val="22"/>
                <w:lang w:val="fr-FR"/>
              </w:rPr>
              <w:t>AbbVie SA</w:t>
            </w:r>
          </w:p>
          <w:p w14:paraId="5F3F0B55" w14:textId="77777777" w:rsidR="00AC4204" w:rsidRPr="00BD646C" w:rsidRDefault="00000000" w:rsidP="001F79B0">
            <w:pPr>
              <w:rPr>
                <w:szCs w:val="22"/>
                <w:lang w:val="fr-FR"/>
              </w:rPr>
            </w:pPr>
            <w:r w:rsidRPr="00BD646C">
              <w:rPr>
                <w:bCs/>
                <w:szCs w:val="22"/>
                <w:lang w:val="fr-FR"/>
              </w:rPr>
              <w:t xml:space="preserve">Tél/Tel: +32 10 </w:t>
            </w:r>
            <w:r w:rsidRPr="00BD646C">
              <w:rPr>
                <w:szCs w:val="22"/>
                <w:lang w:val="fr-FR"/>
              </w:rPr>
              <w:t>477811</w:t>
            </w:r>
          </w:p>
          <w:p w14:paraId="10A2B797" w14:textId="77777777" w:rsidR="00AC4204" w:rsidRPr="00BD646C" w:rsidRDefault="00AC4204" w:rsidP="001F79B0">
            <w:pPr>
              <w:rPr>
                <w:bCs/>
                <w:szCs w:val="22"/>
                <w:lang w:val="fr-FR"/>
              </w:rPr>
            </w:pPr>
          </w:p>
        </w:tc>
        <w:tc>
          <w:tcPr>
            <w:tcW w:w="4678" w:type="dxa"/>
            <w:gridSpan w:val="2"/>
          </w:tcPr>
          <w:p w14:paraId="4D69D686" w14:textId="77777777" w:rsidR="00AC4204" w:rsidRPr="00BD646C" w:rsidRDefault="00000000" w:rsidP="001F79B0">
            <w:pPr>
              <w:rPr>
                <w:b/>
                <w:bCs/>
                <w:szCs w:val="22"/>
                <w:lang w:val="lt-LT"/>
              </w:rPr>
            </w:pPr>
            <w:r w:rsidRPr="00BD646C">
              <w:rPr>
                <w:b/>
                <w:bCs/>
                <w:szCs w:val="22"/>
                <w:lang w:val="lt-LT"/>
              </w:rPr>
              <w:t>Lietuva</w:t>
            </w:r>
          </w:p>
          <w:p w14:paraId="7057B522" w14:textId="77777777" w:rsidR="00AC4204" w:rsidRPr="00BD646C" w:rsidRDefault="00000000" w:rsidP="001F79B0">
            <w:pPr>
              <w:rPr>
                <w:bCs/>
                <w:szCs w:val="22"/>
                <w:lang w:val="lv-LV"/>
              </w:rPr>
            </w:pPr>
            <w:r w:rsidRPr="00BD646C">
              <w:rPr>
                <w:bCs/>
                <w:szCs w:val="22"/>
                <w:lang w:val="lv-LV"/>
              </w:rPr>
              <w:t xml:space="preserve">AbbVie UAB </w:t>
            </w:r>
          </w:p>
          <w:p w14:paraId="6FCCCD1D" w14:textId="77777777" w:rsidR="00AC4204" w:rsidRPr="00BD646C" w:rsidRDefault="00000000" w:rsidP="001F79B0">
            <w:pPr>
              <w:rPr>
                <w:bCs/>
                <w:szCs w:val="22"/>
                <w:lang w:val="lv-LV"/>
              </w:rPr>
            </w:pPr>
            <w:r w:rsidRPr="00BD646C">
              <w:rPr>
                <w:bCs/>
                <w:szCs w:val="22"/>
                <w:lang w:val="lv-LV"/>
              </w:rPr>
              <w:t>Tel: +370 5 205 3023</w:t>
            </w:r>
          </w:p>
        </w:tc>
      </w:tr>
      <w:tr w:rsidR="00534A2D" w14:paraId="29674B56" w14:textId="77777777" w:rsidTr="001F79B0">
        <w:tc>
          <w:tcPr>
            <w:tcW w:w="4644" w:type="dxa"/>
            <w:gridSpan w:val="2"/>
          </w:tcPr>
          <w:p w14:paraId="6F956975" w14:textId="77777777" w:rsidR="00AC4204" w:rsidRPr="00BD646C" w:rsidRDefault="00000000" w:rsidP="001F79B0">
            <w:pPr>
              <w:rPr>
                <w:b/>
                <w:bCs/>
                <w:szCs w:val="22"/>
                <w:lang w:val="bg-BG"/>
              </w:rPr>
            </w:pPr>
            <w:r w:rsidRPr="00BD646C">
              <w:rPr>
                <w:b/>
                <w:bCs/>
                <w:szCs w:val="22"/>
                <w:lang w:val="bg-BG"/>
              </w:rPr>
              <w:t>България</w:t>
            </w:r>
          </w:p>
          <w:p w14:paraId="51FBB37A" w14:textId="77777777" w:rsidR="00AC4204" w:rsidRPr="00BD646C" w:rsidRDefault="00000000" w:rsidP="001F79B0">
            <w:pPr>
              <w:rPr>
                <w:szCs w:val="22"/>
                <w:lang w:val="da-DK"/>
              </w:rPr>
            </w:pPr>
            <w:r w:rsidRPr="00BD646C">
              <w:rPr>
                <w:szCs w:val="22"/>
                <w:lang w:val="sk-SK"/>
              </w:rPr>
              <w:t>АбВи ЕООД</w:t>
            </w:r>
          </w:p>
          <w:p w14:paraId="40212078" w14:textId="77777777" w:rsidR="00AC4204" w:rsidRPr="00BD646C" w:rsidRDefault="00000000" w:rsidP="001F79B0">
            <w:pPr>
              <w:rPr>
                <w:bCs/>
                <w:szCs w:val="22"/>
                <w:lang w:val="da-DK"/>
              </w:rPr>
            </w:pPr>
            <w:r w:rsidRPr="00BD646C">
              <w:rPr>
                <w:szCs w:val="22"/>
                <w:lang w:val="sk-SK"/>
              </w:rPr>
              <w:t>Тел</w:t>
            </w:r>
            <w:r w:rsidRPr="00BD646C">
              <w:rPr>
                <w:szCs w:val="22"/>
                <w:lang w:val="it-IT"/>
              </w:rPr>
              <w:t>.:+359 2 90 30 430</w:t>
            </w:r>
          </w:p>
        </w:tc>
        <w:tc>
          <w:tcPr>
            <w:tcW w:w="4678" w:type="dxa"/>
            <w:gridSpan w:val="2"/>
          </w:tcPr>
          <w:p w14:paraId="51E76A91" w14:textId="77777777" w:rsidR="00AC4204" w:rsidRPr="00BD646C" w:rsidRDefault="00000000" w:rsidP="001F79B0">
            <w:pPr>
              <w:rPr>
                <w:b/>
                <w:bCs/>
                <w:szCs w:val="22"/>
                <w:lang w:val="de-DE"/>
              </w:rPr>
            </w:pPr>
            <w:r w:rsidRPr="00BD646C">
              <w:rPr>
                <w:b/>
                <w:bCs/>
                <w:szCs w:val="22"/>
                <w:lang w:val="de-DE"/>
              </w:rPr>
              <w:t>Luxembourg/Luxemburg</w:t>
            </w:r>
          </w:p>
          <w:p w14:paraId="35F027C0" w14:textId="77777777" w:rsidR="00AC4204" w:rsidRPr="00BD646C" w:rsidRDefault="00000000" w:rsidP="001F79B0">
            <w:pPr>
              <w:rPr>
                <w:bCs/>
                <w:szCs w:val="22"/>
                <w:lang w:val="de-DE"/>
              </w:rPr>
            </w:pPr>
            <w:r w:rsidRPr="00BD646C">
              <w:rPr>
                <w:bCs/>
                <w:szCs w:val="22"/>
                <w:lang w:val="de-DE"/>
              </w:rPr>
              <w:t>AbbVie SA</w:t>
            </w:r>
          </w:p>
          <w:p w14:paraId="5931B9E1" w14:textId="77777777" w:rsidR="00AC4204" w:rsidRPr="00BD646C" w:rsidRDefault="00000000" w:rsidP="001F79B0">
            <w:pPr>
              <w:rPr>
                <w:bCs/>
                <w:szCs w:val="22"/>
                <w:lang w:val="de-DE"/>
              </w:rPr>
            </w:pPr>
            <w:r w:rsidRPr="00BD646C">
              <w:rPr>
                <w:bCs/>
                <w:szCs w:val="22"/>
                <w:lang w:val="de-DE"/>
              </w:rPr>
              <w:t>Belgique/Belgien</w:t>
            </w:r>
          </w:p>
          <w:p w14:paraId="63B4D15D" w14:textId="77777777" w:rsidR="00AC4204" w:rsidRPr="00BD646C" w:rsidRDefault="00000000" w:rsidP="001F79B0">
            <w:pPr>
              <w:rPr>
                <w:bCs/>
                <w:szCs w:val="22"/>
                <w:lang w:val="fr-FR"/>
              </w:rPr>
            </w:pPr>
            <w:r w:rsidRPr="00BD646C">
              <w:rPr>
                <w:bCs/>
                <w:szCs w:val="22"/>
                <w:lang w:val="fr-FR"/>
              </w:rPr>
              <w:t>Tél/Tel: +32 10 477811</w:t>
            </w:r>
          </w:p>
          <w:p w14:paraId="2AD0DAD1" w14:textId="77777777" w:rsidR="00AC4204" w:rsidRPr="00BD646C" w:rsidRDefault="00AC4204" w:rsidP="001F79B0">
            <w:pPr>
              <w:rPr>
                <w:bCs/>
                <w:szCs w:val="22"/>
                <w:lang w:val="fr-FR"/>
              </w:rPr>
            </w:pPr>
          </w:p>
        </w:tc>
      </w:tr>
      <w:tr w:rsidR="00534A2D" w14:paraId="6A134491" w14:textId="77777777" w:rsidTr="001F79B0">
        <w:tc>
          <w:tcPr>
            <w:tcW w:w="4644" w:type="dxa"/>
            <w:gridSpan w:val="2"/>
          </w:tcPr>
          <w:p w14:paraId="7AC1D9B0" w14:textId="77777777" w:rsidR="00AC4204" w:rsidRPr="00BD646C" w:rsidRDefault="00000000" w:rsidP="001F79B0">
            <w:pPr>
              <w:keepNext/>
              <w:rPr>
                <w:b/>
                <w:bCs/>
                <w:szCs w:val="22"/>
                <w:lang w:val="sk-SK"/>
              </w:rPr>
            </w:pPr>
            <w:r w:rsidRPr="00BD646C">
              <w:rPr>
                <w:b/>
                <w:bCs/>
                <w:szCs w:val="22"/>
                <w:lang w:val="sk-SK"/>
              </w:rPr>
              <w:t>Česká republika</w:t>
            </w:r>
          </w:p>
          <w:p w14:paraId="79C91EA8" w14:textId="77777777" w:rsidR="00AC4204" w:rsidRPr="00BD646C" w:rsidRDefault="00000000" w:rsidP="001F79B0">
            <w:pPr>
              <w:keepNext/>
              <w:rPr>
                <w:bCs/>
                <w:szCs w:val="22"/>
                <w:lang w:val="sk-SK"/>
              </w:rPr>
            </w:pPr>
            <w:r w:rsidRPr="00BD646C">
              <w:rPr>
                <w:bCs/>
                <w:szCs w:val="22"/>
                <w:lang w:val="sk-SK"/>
              </w:rPr>
              <w:t xml:space="preserve">AbbVie s.r.o. </w:t>
            </w:r>
          </w:p>
          <w:p w14:paraId="33AA1EA0" w14:textId="77777777" w:rsidR="00AC4204" w:rsidRPr="00BD646C" w:rsidRDefault="00000000" w:rsidP="001F79B0">
            <w:pPr>
              <w:keepNext/>
              <w:rPr>
                <w:bCs/>
                <w:szCs w:val="22"/>
                <w:lang w:val="sk-SK"/>
              </w:rPr>
            </w:pPr>
            <w:r w:rsidRPr="00BD646C">
              <w:rPr>
                <w:bCs/>
                <w:szCs w:val="22"/>
                <w:lang w:val="sk-SK"/>
              </w:rPr>
              <w:t>Tel: +420 233 098 111</w:t>
            </w:r>
          </w:p>
        </w:tc>
        <w:tc>
          <w:tcPr>
            <w:tcW w:w="4678" w:type="dxa"/>
            <w:gridSpan w:val="2"/>
          </w:tcPr>
          <w:p w14:paraId="2065A2E3" w14:textId="77777777" w:rsidR="00AC4204" w:rsidRPr="00BD646C" w:rsidRDefault="00000000" w:rsidP="001F79B0">
            <w:pPr>
              <w:keepNext/>
              <w:rPr>
                <w:b/>
                <w:bCs/>
                <w:szCs w:val="22"/>
                <w:lang w:val="hu-HU"/>
              </w:rPr>
            </w:pPr>
            <w:r w:rsidRPr="00BD646C">
              <w:rPr>
                <w:b/>
                <w:bCs/>
                <w:szCs w:val="22"/>
                <w:lang w:val="hu-HU"/>
              </w:rPr>
              <w:t>Magyarország</w:t>
            </w:r>
          </w:p>
          <w:p w14:paraId="7626B23B" w14:textId="77777777" w:rsidR="00AC4204" w:rsidRPr="00BD646C" w:rsidRDefault="00000000" w:rsidP="001F79B0">
            <w:pPr>
              <w:keepNext/>
              <w:rPr>
                <w:bCs/>
                <w:szCs w:val="22"/>
                <w:lang w:val="hu-HU"/>
              </w:rPr>
            </w:pPr>
            <w:r w:rsidRPr="00BD646C">
              <w:rPr>
                <w:bCs/>
                <w:szCs w:val="22"/>
                <w:lang w:val="hu-HU"/>
              </w:rPr>
              <w:t>AbbVie Kft.</w:t>
            </w:r>
          </w:p>
          <w:p w14:paraId="4590847C" w14:textId="77777777" w:rsidR="00AC4204" w:rsidRPr="00BD646C" w:rsidRDefault="00000000" w:rsidP="001F79B0">
            <w:pPr>
              <w:keepNext/>
              <w:rPr>
                <w:bCs/>
                <w:szCs w:val="22"/>
                <w:lang w:val="hu-HU"/>
              </w:rPr>
            </w:pPr>
            <w:r w:rsidRPr="00BD646C">
              <w:rPr>
                <w:bCs/>
                <w:szCs w:val="22"/>
                <w:lang w:val="hu-HU"/>
              </w:rPr>
              <w:t>Tel.:+36 1 455 8600</w:t>
            </w:r>
          </w:p>
          <w:p w14:paraId="5437570C" w14:textId="77777777" w:rsidR="00AC4204" w:rsidRPr="00BD646C" w:rsidRDefault="00AC4204" w:rsidP="001F79B0">
            <w:pPr>
              <w:keepNext/>
              <w:rPr>
                <w:bCs/>
                <w:szCs w:val="22"/>
                <w:lang w:val="hu-HU"/>
              </w:rPr>
            </w:pPr>
          </w:p>
        </w:tc>
      </w:tr>
      <w:tr w:rsidR="00534A2D" w14:paraId="7BDAB93F" w14:textId="77777777" w:rsidTr="001F79B0">
        <w:trPr>
          <w:trHeight w:val="737"/>
        </w:trPr>
        <w:tc>
          <w:tcPr>
            <w:tcW w:w="4644" w:type="dxa"/>
            <w:gridSpan w:val="2"/>
          </w:tcPr>
          <w:p w14:paraId="003A6D62" w14:textId="77777777" w:rsidR="00AC4204" w:rsidRPr="00BD646C" w:rsidRDefault="00000000" w:rsidP="001F79B0">
            <w:pPr>
              <w:rPr>
                <w:b/>
                <w:bCs/>
                <w:szCs w:val="22"/>
                <w:lang w:val="en-US"/>
              </w:rPr>
            </w:pPr>
            <w:r w:rsidRPr="00BD646C">
              <w:rPr>
                <w:b/>
                <w:bCs/>
                <w:szCs w:val="22"/>
                <w:lang w:val="en-US"/>
              </w:rPr>
              <w:t>Danmark</w:t>
            </w:r>
          </w:p>
          <w:p w14:paraId="5C8301FF" w14:textId="77777777" w:rsidR="00AC4204" w:rsidRPr="00BD646C" w:rsidRDefault="00000000" w:rsidP="001F79B0">
            <w:pPr>
              <w:rPr>
                <w:bCs/>
                <w:szCs w:val="22"/>
                <w:lang w:val="en-US"/>
              </w:rPr>
            </w:pPr>
            <w:r w:rsidRPr="00BD646C">
              <w:rPr>
                <w:bCs/>
                <w:szCs w:val="22"/>
                <w:lang w:val="en-US"/>
              </w:rPr>
              <w:t>AbbVie A/S</w:t>
            </w:r>
          </w:p>
          <w:p w14:paraId="28F072B9" w14:textId="77777777" w:rsidR="00AC4204" w:rsidRPr="00BD646C" w:rsidRDefault="00000000" w:rsidP="001F79B0">
            <w:pPr>
              <w:rPr>
                <w:bCs/>
                <w:szCs w:val="22"/>
                <w:lang w:val="sk-SK"/>
              </w:rPr>
            </w:pPr>
            <w:r w:rsidRPr="00BD646C">
              <w:rPr>
                <w:bCs/>
                <w:szCs w:val="22"/>
                <w:lang w:val="en-US"/>
              </w:rPr>
              <w:t>Tlf</w:t>
            </w:r>
            <w:ins w:id="13809" w:author="AbbVie1" w:date="2025-05-13T10:16:00Z">
              <w:r w:rsidR="00FC50CC">
                <w:rPr>
                  <w:bCs/>
                  <w:szCs w:val="22"/>
                  <w:lang w:val="en-US"/>
                </w:rPr>
                <w:t>.</w:t>
              </w:r>
            </w:ins>
            <w:r w:rsidRPr="00BD646C">
              <w:rPr>
                <w:bCs/>
                <w:szCs w:val="22"/>
                <w:lang w:val="en-US"/>
              </w:rPr>
              <w:t>: +45 72 30-20-28</w:t>
            </w:r>
          </w:p>
        </w:tc>
        <w:tc>
          <w:tcPr>
            <w:tcW w:w="4678" w:type="dxa"/>
            <w:gridSpan w:val="2"/>
          </w:tcPr>
          <w:p w14:paraId="2B6DF854" w14:textId="77777777" w:rsidR="00AC4204" w:rsidRPr="00BD646C" w:rsidRDefault="00000000" w:rsidP="001F79B0">
            <w:pPr>
              <w:rPr>
                <w:b/>
                <w:bCs/>
                <w:szCs w:val="22"/>
                <w:lang w:val="mt-MT"/>
              </w:rPr>
            </w:pPr>
            <w:r w:rsidRPr="00BD646C">
              <w:rPr>
                <w:b/>
                <w:bCs/>
                <w:szCs w:val="22"/>
                <w:lang w:val="mt-MT"/>
              </w:rPr>
              <w:t>Malta</w:t>
            </w:r>
          </w:p>
          <w:p w14:paraId="34DC6F2E" w14:textId="77777777" w:rsidR="00AC4204" w:rsidRPr="00BD646C" w:rsidRDefault="00000000" w:rsidP="001F79B0">
            <w:pPr>
              <w:rPr>
                <w:bCs/>
                <w:szCs w:val="22"/>
                <w:lang w:val="sk-SK"/>
              </w:rPr>
            </w:pPr>
            <w:r w:rsidRPr="00BD646C">
              <w:rPr>
                <w:bCs/>
                <w:szCs w:val="22"/>
                <w:lang w:val="sk-SK"/>
              </w:rPr>
              <w:t xml:space="preserve">V.J.Salomone Pharma Limited </w:t>
            </w:r>
          </w:p>
          <w:p w14:paraId="07A20830" w14:textId="77777777" w:rsidR="00AC4204" w:rsidRPr="00BD646C" w:rsidRDefault="00000000" w:rsidP="001F79B0">
            <w:pPr>
              <w:rPr>
                <w:bCs/>
                <w:szCs w:val="22"/>
                <w:lang w:val="sk-SK"/>
              </w:rPr>
            </w:pPr>
            <w:r w:rsidRPr="00BD646C">
              <w:rPr>
                <w:bCs/>
                <w:szCs w:val="22"/>
                <w:lang w:val="sk-SK"/>
              </w:rPr>
              <w:t xml:space="preserve">Tel: </w:t>
            </w:r>
            <w:r>
              <w:rPr>
                <w:bCs/>
                <w:szCs w:val="22"/>
              </w:rPr>
              <w:t>+356 21220174</w:t>
            </w:r>
          </w:p>
          <w:p w14:paraId="6E20D00F" w14:textId="77777777" w:rsidR="00AC4204" w:rsidRPr="00BD646C" w:rsidRDefault="00AC4204" w:rsidP="001F79B0">
            <w:pPr>
              <w:rPr>
                <w:bCs/>
                <w:szCs w:val="22"/>
                <w:lang w:val="sk-SK"/>
              </w:rPr>
            </w:pPr>
          </w:p>
        </w:tc>
      </w:tr>
      <w:tr w:rsidR="00534A2D" w14:paraId="5505BBFE" w14:textId="77777777" w:rsidTr="001F79B0">
        <w:tc>
          <w:tcPr>
            <w:tcW w:w="4644" w:type="dxa"/>
            <w:gridSpan w:val="2"/>
          </w:tcPr>
          <w:p w14:paraId="11019203" w14:textId="77777777" w:rsidR="00AC4204" w:rsidRPr="00BD646C" w:rsidRDefault="00000000" w:rsidP="001F79B0">
            <w:pPr>
              <w:rPr>
                <w:b/>
                <w:bCs/>
                <w:szCs w:val="22"/>
                <w:lang w:val="de-DE"/>
              </w:rPr>
            </w:pPr>
            <w:r w:rsidRPr="00BD646C">
              <w:rPr>
                <w:b/>
                <w:bCs/>
                <w:szCs w:val="22"/>
                <w:lang w:val="de-DE"/>
              </w:rPr>
              <w:t>Deutschland</w:t>
            </w:r>
          </w:p>
          <w:p w14:paraId="044B34C4" w14:textId="77777777" w:rsidR="00AC4204" w:rsidRPr="00BD646C" w:rsidRDefault="00000000" w:rsidP="001F79B0">
            <w:pPr>
              <w:rPr>
                <w:bCs/>
                <w:szCs w:val="22"/>
                <w:lang w:val="de-DE"/>
              </w:rPr>
            </w:pPr>
            <w:r w:rsidRPr="00BD646C">
              <w:rPr>
                <w:szCs w:val="22"/>
                <w:lang w:val="de-DE"/>
              </w:rPr>
              <w:t xml:space="preserve">AbbVie Deutschland </w:t>
            </w:r>
            <w:r w:rsidRPr="00BD646C">
              <w:rPr>
                <w:bCs/>
                <w:szCs w:val="22"/>
                <w:lang w:val="de-DE"/>
              </w:rPr>
              <w:t>GmbH &amp; Co. KG</w:t>
            </w:r>
          </w:p>
          <w:p w14:paraId="5433F51B" w14:textId="77777777" w:rsidR="00AC4204" w:rsidRPr="00BD646C" w:rsidRDefault="00000000" w:rsidP="001F79B0">
            <w:pPr>
              <w:rPr>
                <w:szCs w:val="22"/>
                <w:lang w:val="de-DE"/>
              </w:rPr>
            </w:pPr>
            <w:r w:rsidRPr="00BD646C">
              <w:rPr>
                <w:szCs w:val="22"/>
                <w:lang w:val="de-DE"/>
              </w:rPr>
              <w:t>Tel: 00800 222843 33 (gebührenfrei)</w:t>
            </w:r>
          </w:p>
          <w:p w14:paraId="684EE599" w14:textId="77777777" w:rsidR="00AC4204" w:rsidRPr="00BD646C" w:rsidRDefault="00000000" w:rsidP="001F79B0">
            <w:pPr>
              <w:rPr>
                <w:szCs w:val="22"/>
                <w:lang w:val="de-DE"/>
              </w:rPr>
            </w:pPr>
            <w:r w:rsidRPr="00BD646C">
              <w:rPr>
                <w:szCs w:val="22"/>
                <w:lang w:val="de-DE"/>
              </w:rPr>
              <w:t>Tel: +49 (0) 611 / 1720-0</w:t>
            </w:r>
          </w:p>
          <w:p w14:paraId="35CB01CA" w14:textId="77777777" w:rsidR="00AC4204" w:rsidRPr="00BD646C" w:rsidRDefault="00AC4204" w:rsidP="001F79B0">
            <w:pPr>
              <w:rPr>
                <w:szCs w:val="22"/>
                <w:lang w:val="de-DE"/>
              </w:rPr>
            </w:pPr>
          </w:p>
        </w:tc>
        <w:tc>
          <w:tcPr>
            <w:tcW w:w="4678" w:type="dxa"/>
            <w:gridSpan w:val="2"/>
          </w:tcPr>
          <w:p w14:paraId="481068BE" w14:textId="77777777" w:rsidR="00AC4204" w:rsidRPr="00BD646C" w:rsidRDefault="00000000" w:rsidP="001F79B0">
            <w:pPr>
              <w:rPr>
                <w:b/>
                <w:bCs/>
                <w:szCs w:val="22"/>
                <w:lang w:val="nl-NL"/>
              </w:rPr>
            </w:pPr>
            <w:r w:rsidRPr="00BD646C">
              <w:rPr>
                <w:b/>
                <w:bCs/>
                <w:szCs w:val="22"/>
                <w:lang w:val="nl-NL"/>
              </w:rPr>
              <w:t>Nederland</w:t>
            </w:r>
          </w:p>
          <w:p w14:paraId="388F0A01" w14:textId="77777777" w:rsidR="00AC4204" w:rsidRPr="00BD646C" w:rsidRDefault="00000000" w:rsidP="001F79B0">
            <w:pPr>
              <w:rPr>
                <w:bCs/>
                <w:szCs w:val="22"/>
                <w:lang w:val="de-DE"/>
              </w:rPr>
            </w:pPr>
            <w:r w:rsidRPr="00BD646C">
              <w:rPr>
                <w:bCs/>
                <w:szCs w:val="22"/>
                <w:lang w:val="de-DE"/>
              </w:rPr>
              <w:t>AbbVie B.V.</w:t>
            </w:r>
          </w:p>
          <w:p w14:paraId="627F9F0E" w14:textId="77777777" w:rsidR="00AC4204" w:rsidRPr="00BD646C" w:rsidRDefault="00000000" w:rsidP="001F79B0">
            <w:pPr>
              <w:rPr>
                <w:bCs/>
                <w:szCs w:val="22"/>
                <w:lang w:val="de-DE"/>
              </w:rPr>
            </w:pPr>
            <w:r w:rsidRPr="00BD646C">
              <w:rPr>
                <w:bCs/>
                <w:szCs w:val="22"/>
                <w:lang w:val="de-DE"/>
              </w:rPr>
              <w:t>Tel: +31 (0)88 322 2843</w:t>
            </w:r>
          </w:p>
        </w:tc>
      </w:tr>
      <w:tr w:rsidR="00534A2D" w14:paraId="5FEBF31A" w14:textId="77777777" w:rsidTr="001F79B0">
        <w:tc>
          <w:tcPr>
            <w:tcW w:w="4644" w:type="dxa"/>
            <w:gridSpan w:val="2"/>
          </w:tcPr>
          <w:p w14:paraId="5809EC4B" w14:textId="77777777" w:rsidR="00AC4204" w:rsidRPr="00BD646C" w:rsidRDefault="00000000" w:rsidP="001F79B0">
            <w:pPr>
              <w:rPr>
                <w:b/>
                <w:bCs/>
                <w:szCs w:val="22"/>
                <w:lang w:val="et-EE"/>
              </w:rPr>
            </w:pPr>
            <w:r w:rsidRPr="00BD646C">
              <w:rPr>
                <w:b/>
                <w:bCs/>
                <w:szCs w:val="22"/>
                <w:lang w:val="et-EE"/>
              </w:rPr>
              <w:t>Eesti</w:t>
            </w:r>
          </w:p>
          <w:p w14:paraId="0FBADE1A" w14:textId="77777777" w:rsidR="00AC4204" w:rsidRPr="00BD646C" w:rsidRDefault="00000000" w:rsidP="001F79B0">
            <w:pPr>
              <w:rPr>
                <w:bCs/>
                <w:szCs w:val="22"/>
                <w:lang w:val="et-EE"/>
              </w:rPr>
            </w:pPr>
            <w:r w:rsidRPr="00BD646C">
              <w:rPr>
                <w:bCs/>
                <w:szCs w:val="22"/>
                <w:lang w:val="et-EE"/>
              </w:rPr>
              <w:t xml:space="preserve">AbbVie </w:t>
            </w:r>
            <w:r w:rsidRPr="00BD646C">
              <w:rPr>
                <w:bCs/>
                <w:szCs w:val="22"/>
                <w:lang w:val="sk-SK"/>
              </w:rPr>
              <w:t>OÜ</w:t>
            </w:r>
            <w:r w:rsidRPr="00BD646C">
              <w:rPr>
                <w:bCs/>
                <w:szCs w:val="22"/>
                <w:lang w:val="et-EE"/>
              </w:rPr>
              <w:t xml:space="preserve"> </w:t>
            </w:r>
          </w:p>
          <w:p w14:paraId="0EE751A8" w14:textId="77777777" w:rsidR="00AC4204" w:rsidRPr="00BD646C" w:rsidRDefault="00000000" w:rsidP="001F79B0">
            <w:pPr>
              <w:rPr>
                <w:bCs/>
                <w:szCs w:val="22"/>
                <w:lang w:val="lv-LV"/>
              </w:rPr>
            </w:pPr>
            <w:r w:rsidRPr="00BD646C">
              <w:rPr>
                <w:bCs/>
                <w:szCs w:val="22"/>
                <w:lang w:val="et-EE"/>
              </w:rPr>
              <w:t>Tel: +372 623 1011</w:t>
            </w:r>
          </w:p>
        </w:tc>
        <w:tc>
          <w:tcPr>
            <w:tcW w:w="4678" w:type="dxa"/>
            <w:gridSpan w:val="2"/>
          </w:tcPr>
          <w:p w14:paraId="5B345513" w14:textId="77777777" w:rsidR="00AC4204" w:rsidRPr="00BD646C" w:rsidRDefault="00000000" w:rsidP="001F79B0">
            <w:pPr>
              <w:rPr>
                <w:b/>
                <w:bCs/>
                <w:szCs w:val="22"/>
                <w:lang w:val="nb-NO"/>
              </w:rPr>
            </w:pPr>
            <w:r w:rsidRPr="00BD646C">
              <w:rPr>
                <w:b/>
                <w:bCs/>
                <w:szCs w:val="22"/>
                <w:lang w:val="nb-NO"/>
              </w:rPr>
              <w:t>Norge</w:t>
            </w:r>
          </w:p>
          <w:p w14:paraId="01B098D7" w14:textId="77777777" w:rsidR="00AC4204" w:rsidRPr="00BD646C" w:rsidRDefault="00000000" w:rsidP="001F79B0">
            <w:pPr>
              <w:rPr>
                <w:bCs/>
                <w:szCs w:val="22"/>
                <w:lang w:val="sk-SK"/>
              </w:rPr>
            </w:pPr>
            <w:r w:rsidRPr="00BD646C">
              <w:rPr>
                <w:bCs/>
                <w:szCs w:val="22"/>
                <w:lang w:val="sk-SK"/>
              </w:rPr>
              <w:t>AbbVie AS</w:t>
            </w:r>
          </w:p>
          <w:p w14:paraId="6EE428E6" w14:textId="77777777" w:rsidR="00AC4204" w:rsidRPr="00BD646C" w:rsidRDefault="00000000" w:rsidP="001F79B0">
            <w:pPr>
              <w:rPr>
                <w:bCs/>
                <w:szCs w:val="22"/>
                <w:lang w:val="sk-SK"/>
              </w:rPr>
            </w:pPr>
            <w:r w:rsidRPr="00BD646C">
              <w:rPr>
                <w:bCs/>
                <w:szCs w:val="22"/>
                <w:lang w:val="sk-SK"/>
              </w:rPr>
              <w:t>Tlf: +47 67 81 80 00</w:t>
            </w:r>
          </w:p>
          <w:p w14:paraId="4201F39F" w14:textId="77777777" w:rsidR="00AC4204" w:rsidRPr="00BD646C" w:rsidRDefault="00AC4204" w:rsidP="001F79B0">
            <w:pPr>
              <w:rPr>
                <w:bCs/>
                <w:szCs w:val="22"/>
                <w:lang w:val="sk-SK"/>
              </w:rPr>
            </w:pPr>
          </w:p>
        </w:tc>
      </w:tr>
      <w:tr w:rsidR="00534A2D" w14:paraId="687FD84C" w14:textId="77777777" w:rsidTr="001F79B0">
        <w:trPr>
          <w:trHeight w:val="794"/>
        </w:trPr>
        <w:tc>
          <w:tcPr>
            <w:tcW w:w="4644" w:type="dxa"/>
            <w:gridSpan w:val="2"/>
          </w:tcPr>
          <w:p w14:paraId="79DA0C33" w14:textId="77777777" w:rsidR="00AC4204" w:rsidRPr="00BD646C" w:rsidRDefault="00000000" w:rsidP="001F79B0">
            <w:pPr>
              <w:rPr>
                <w:b/>
                <w:bCs/>
                <w:szCs w:val="22"/>
                <w:lang w:val="el-GR"/>
              </w:rPr>
            </w:pPr>
            <w:r w:rsidRPr="00BD646C">
              <w:rPr>
                <w:b/>
                <w:bCs/>
                <w:szCs w:val="22"/>
                <w:lang w:val="el-GR"/>
              </w:rPr>
              <w:t>Ελλάδα</w:t>
            </w:r>
          </w:p>
          <w:p w14:paraId="3D1305FA" w14:textId="77777777" w:rsidR="00AC4204" w:rsidRPr="00BD646C" w:rsidRDefault="00000000" w:rsidP="001F79B0">
            <w:pPr>
              <w:rPr>
                <w:bCs/>
                <w:szCs w:val="22"/>
                <w:lang w:val="el-GR"/>
              </w:rPr>
            </w:pPr>
            <w:r w:rsidRPr="00BD646C">
              <w:rPr>
                <w:bCs/>
                <w:szCs w:val="22"/>
                <w:lang w:val="et-EE"/>
              </w:rPr>
              <w:t xml:space="preserve">AbbVie </w:t>
            </w:r>
            <w:r w:rsidRPr="00BD646C">
              <w:rPr>
                <w:szCs w:val="22"/>
                <w:lang w:val="el-GR"/>
              </w:rPr>
              <w:t>ΦΑΡΜΑΚΕΥΤΙΚΗ Α.Ε.</w:t>
            </w:r>
          </w:p>
          <w:p w14:paraId="1DD90EA1" w14:textId="77777777" w:rsidR="00AC4204" w:rsidRPr="00BD646C" w:rsidRDefault="00000000" w:rsidP="001F79B0">
            <w:pPr>
              <w:rPr>
                <w:bCs/>
                <w:szCs w:val="22"/>
                <w:lang w:val="sk-SK"/>
              </w:rPr>
            </w:pPr>
            <w:r w:rsidRPr="00BD646C">
              <w:rPr>
                <w:bCs/>
                <w:szCs w:val="22"/>
                <w:lang w:val="el-GR"/>
              </w:rPr>
              <w:t xml:space="preserve">Τηλ: +30 </w:t>
            </w:r>
            <w:r w:rsidRPr="00BD646C">
              <w:rPr>
                <w:bCs/>
                <w:szCs w:val="22"/>
                <w:lang w:val="sk-SK"/>
              </w:rPr>
              <w:t>214 4165 555</w:t>
            </w:r>
          </w:p>
        </w:tc>
        <w:tc>
          <w:tcPr>
            <w:tcW w:w="4678" w:type="dxa"/>
            <w:gridSpan w:val="2"/>
          </w:tcPr>
          <w:p w14:paraId="2B1302EB" w14:textId="77777777" w:rsidR="00AC4204" w:rsidRPr="00BD646C" w:rsidRDefault="00000000" w:rsidP="001F79B0">
            <w:pPr>
              <w:rPr>
                <w:b/>
                <w:bCs/>
                <w:szCs w:val="22"/>
                <w:lang w:val="de-DE"/>
              </w:rPr>
            </w:pPr>
            <w:r w:rsidRPr="00BD646C">
              <w:rPr>
                <w:b/>
                <w:bCs/>
                <w:szCs w:val="22"/>
                <w:lang w:val="de-DE"/>
              </w:rPr>
              <w:t>Österreich</w:t>
            </w:r>
          </w:p>
          <w:p w14:paraId="1363AF57" w14:textId="77777777" w:rsidR="00AC4204" w:rsidRPr="00BD646C" w:rsidRDefault="00000000" w:rsidP="001F79B0">
            <w:pPr>
              <w:rPr>
                <w:bCs/>
                <w:szCs w:val="22"/>
                <w:lang w:val="de-DE"/>
              </w:rPr>
            </w:pPr>
            <w:r w:rsidRPr="00BD646C">
              <w:rPr>
                <w:bCs/>
                <w:szCs w:val="22"/>
                <w:lang w:val="de-DE"/>
              </w:rPr>
              <w:t xml:space="preserve">AbbVie GmbH </w:t>
            </w:r>
          </w:p>
          <w:p w14:paraId="724A5865" w14:textId="77777777" w:rsidR="00AC4204" w:rsidRPr="00BD646C" w:rsidRDefault="00000000" w:rsidP="001F79B0">
            <w:pPr>
              <w:rPr>
                <w:bCs/>
                <w:szCs w:val="22"/>
                <w:lang w:val="de-DE"/>
              </w:rPr>
            </w:pPr>
            <w:r w:rsidRPr="00BD646C">
              <w:rPr>
                <w:bCs/>
                <w:szCs w:val="22"/>
                <w:lang w:val="de-DE"/>
              </w:rPr>
              <w:t>Tel: +43 1 20589-0</w:t>
            </w:r>
          </w:p>
          <w:p w14:paraId="292E18F3" w14:textId="77777777" w:rsidR="00AC4204" w:rsidRPr="00BD646C" w:rsidRDefault="00AC4204" w:rsidP="001F79B0">
            <w:pPr>
              <w:rPr>
                <w:bCs/>
                <w:szCs w:val="22"/>
                <w:lang w:val="de-DE"/>
              </w:rPr>
            </w:pPr>
          </w:p>
        </w:tc>
      </w:tr>
      <w:tr w:rsidR="00534A2D" w14:paraId="6E3A9014" w14:textId="77777777" w:rsidTr="001F79B0">
        <w:trPr>
          <w:gridBefore w:val="1"/>
          <w:wBefore w:w="34" w:type="dxa"/>
        </w:trPr>
        <w:tc>
          <w:tcPr>
            <w:tcW w:w="4644" w:type="dxa"/>
            <w:gridSpan w:val="2"/>
          </w:tcPr>
          <w:p w14:paraId="0B99DA64" w14:textId="77777777" w:rsidR="00AC4204" w:rsidRPr="00BD646C" w:rsidRDefault="00000000" w:rsidP="001F79B0">
            <w:pPr>
              <w:rPr>
                <w:b/>
                <w:bCs/>
                <w:szCs w:val="22"/>
                <w:lang w:val="es-ES"/>
              </w:rPr>
            </w:pPr>
            <w:r w:rsidRPr="00BD646C">
              <w:rPr>
                <w:b/>
                <w:bCs/>
                <w:szCs w:val="22"/>
                <w:lang w:val="es-ES"/>
              </w:rPr>
              <w:t>España</w:t>
            </w:r>
          </w:p>
          <w:p w14:paraId="285BEEB1" w14:textId="77777777" w:rsidR="00AC4204" w:rsidRPr="00BD646C" w:rsidRDefault="00000000" w:rsidP="001F79B0">
            <w:pPr>
              <w:rPr>
                <w:szCs w:val="22"/>
                <w:lang w:val="es-ES"/>
              </w:rPr>
            </w:pPr>
            <w:r w:rsidRPr="00BD646C">
              <w:rPr>
                <w:szCs w:val="22"/>
                <w:lang w:val="es-ES"/>
              </w:rPr>
              <w:t xml:space="preserve">AbbVie </w:t>
            </w:r>
            <w:r w:rsidRPr="00BD646C">
              <w:rPr>
                <w:bCs/>
                <w:szCs w:val="22"/>
                <w:lang w:val="es-ES"/>
              </w:rPr>
              <w:t>Spain</w:t>
            </w:r>
            <w:r w:rsidRPr="00BD646C">
              <w:rPr>
                <w:szCs w:val="22"/>
                <w:lang w:val="es-ES"/>
              </w:rPr>
              <w:t>, S.L.U</w:t>
            </w:r>
            <w:r w:rsidRPr="00BD646C">
              <w:rPr>
                <w:bCs/>
                <w:szCs w:val="22"/>
                <w:lang w:val="es-ES"/>
              </w:rPr>
              <w:t>.</w:t>
            </w:r>
          </w:p>
          <w:p w14:paraId="69E0D743" w14:textId="77777777" w:rsidR="00AC4204" w:rsidRPr="00BD646C" w:rsidRDefault="00000000" w:rsidP="001F79B0">
            <w:pPr>
              <w:rPr>
                <w:bCs/>
                <w:szCs w:val="22"/>
                <w:lang w:val="pl-PL"/>
              </w:rPr>
            </w:pPr>
            <w:r w:rsidRPr="00BD646C">
              <w:rPr>
                <w:bCs/>
                <w:szCs w:val="22"/>
                <w:lang w:val="pt-PT"/>
              </w:rPr>
              <w:t>Tel: +34 91 384 09 10</w:t>
            </w:r>
          </w:p>
        </w:tc>
        <w:tc>
          <w:tcPr>
            <w:tcW w:w="4678" w:type="dxa"/>
          </w:tcPr>
          <w:p w14:paraId="71AF12CF" w14:textId="77777777" w:rsidR="00AC4204" w:rsidRPr="00BD646C" w:rsidRDefault="00000000" w:rsidP="001F79B0">
            <w:pPr>
              <w:rPr>
                <w:b/>
                <w:bCs/>
                <w:iCs/>
                <w:szCs w:val="22"/>
                <w:lang w:val="pl-PL"/>
              </w:rPr>
            </w:pPr>
            <w:r w:rsidRPr="00BD646C">
              <w:rPr>
                <w:b/>
                <w:bCs/>
                <w:iCs/>
                <w:szCs w:val="22"/>
                <w:lang w:val="pl-PL"/>
              </w:rPr>
              <w:t>Polska</w:t>
            </w:r>
          </w:p>
          <w:p w14:paraId="6471777F" w14:textId="77777777" w:rsidR="00AC4204" w:rsidRPr="00BD646C" w:rsidRDefault="00000000" w:rsidP="001F79B0">
            <w:pPr>
              <w:rPr>
                <w:bCs/>
                <w:szCs w:val="22"/>
                <w:lang w:val="pl-PL"/>
              </w:rPr>
            </w:pPr>
            <w:r w:rsidRPr="00BD646C">
              <w:rPr>
                <w:bCs/>
                <w:szCs w:val="22"/>
                <w:lang w:val="pl-PL"/>
              </w:rPr>
              <w:t>AbbVie Sp. z o.o.</w:t>
            </w:r>
          </w:p>
          <w:p w14:paraId="70023D58" w14:textId="77777777" w:rsidR="00AC4204" w:rsidRPr="00BD646C" w:rsidRDefault="00000000" w:rsidP="001F79B0">
            <w:pPr>
              <w:rPr>
                <w:bCs/>
                <w:szCs w:val="22"/>
                <w:lang w:val="pl-PL"/>
              </w:rPr>
            </w:pPr>
            <w:r w:rsidRPr="00BD646C">
              <w:rPr>
                <w:szCs w:val="22"/>
                <w:lang w:val="es-ES"/>
              </w:rPr>
              <w:t xml:space="preserve">Tel.: +48 22 </w:t>
            </w:r>
            <w:r w:rsidRPr="00BD646C">
              <w:rPr>
                <w:bCs/>
                <w:szCs w:val="22"/>
                <w:lang w:val="pl-PL"/>
              </w:rPr>
              <w:t xml:space="preserve">372 78 00 </w:t>
            </w:r>
          </w:p>
          <w:p w14:paraId="20F83CA0" w14:textId="77777777" w:rsidR="00AC4204" w:rsidRPr="00BD646C" w:rsidRDefault="00AC4204" w:rsidP="001F79B0">
            <w:pPr>
              <w:rPr>
                <w:bCs/>
                <w:szCs w:val="22"/>
                <w:lang w:val="pl-PL"/>
              </w:rPr>
            </w:pPr>
          </w:p>
        </w:tc>
      </w:tr>
      <w:tr w:rsidR="00534A2D" w14:paraId="0A484A24" w14:textId="77777777" w:rsidTr="001F79B0">
        <w:trPr>
          <w:trHeight w:val="734"/>
        </w:trPr>
        <w:tc>
          <w:tcPr>
            <w:tcW w:w="4678" w:type="dxa"/>
            <w:gridSpan w:val="3"/>
          </w:tcPr>
          <w:p w14:paraId="57B633D1" w14:textId="77777777" w:rsidR="00AC4204" w:rsidRPr="00BD646C" w:rsidRDefault="00000000" w:rsidP="001F79B0">
            <w:pPr>
              <w:rPr>
                <w:b/>
                <w:bCs/>
                <w:szCs w:val="22"/>
                <w:lang w:val="fr-FR"/>
              </w:rPr>
            </w:pPr>
            <w:r w:rsidRPr="00BD646C">
              <w:rPr>
                <w:b/>
                <w:bCs/>
                <w:szCs w:val="22"/>
                <w:lang w:val="fr-FR"/>
              </w:rPr>
              <w:t>France</w:t>
            </w:r>
          </w:p>
          <w:p w14:paraId="03EED024" w14:textId="77777777" w:rsidR="00AC4204" w:rsidRPr="00BD646C" w:rsidRDefault="00000000" w:rsidP="001F79B0">
            <w:pPr>
              <w:rPr>
                <w:bCs/>
                <w:szCs w:val="22"/>
                <w:lang w:val="fr-FR"/>
              </w:rPr>
            </w:pPr>
            <w:r w:rsidRPr="00BD646C">
              <w:rPr>
                <w:bCs/>
                <w:szCs w:val="22"/>
                <w:lang w:val="fr-FR"/>
              </w:rPr>
              <w:t>AbbVie</w:t>
            </w:r>
          </w:p>
          <w:p w14:paraId="7BB3A82D" w14:textId="77777777" w:rsidR="00AC4204" w:rsidRPr="00BD646C" w:rsidRDefault="00000000" w:rsidP="001F79B0">
            <w:pPr>
              <w:rPr>
                <w:bCs/>
                <w:szCs w:val="22"/>
                <w:lang w:val="fr-FR"/>
              </w:rPr>
            </w:pPr>
            <w:r w:rsidRPr="00BD646C">
              <w:rPr>
                <w:bCs/>
                <w:szCs w:val="22"/>
                <w:lang w:val="fr-FR"/>
              </w:rPr>
              <w:t>Tél: +33 (0) 1 45 60 13 00</w:t>
            </w:r>
          </w:p>
        </w:tc>
        <w:tc>
          <w:tcPr>
            <w:tcW w:w="4678" w:type="dxa"/>
          </w:tcPr>
          <w:p w14:paraId="3647C1E8" w14:textId="77777777" w:rsidR="00AC4204" w:rsidRPr="00BD646C" w:rsidRDefault="00000000" w:rsidP="001F79B0">
            <w:pPr>
              <w:rPr>
                <w:b/>
                <w:bCs/>
                <w:szCs w:val="22"/>
                <w:lang w:val="pt-PT"/>
              </w:rPr>
            </w:pPr>
            <w:r w:rsidRPr="00BD646C">
              <w:rPr>
                <w:b/>
                <w:bCs/>
                <w:szCs w:val="22"/>
                <w:lang w:val="pt-PT"/>
              </w:rPr>
              <w:t>Portugal</w:t>
            </w:r>
          </w:p>
          <w:p w14:paraId="79E6A8FC" w14:textId="77777777" w:rsidR="00AC4204" w:rsidRPr="00BD646C" w:rsidRDefault="00000000" w:rsidP="001F79B0">
            <w:pPr>
              <w:rPr>
                <w:bCs/>
                <w:szCs w:val="22"/>
                <w:lang w:val="fr-FR"/>
              </w:rPr>
            </w:pPr>
            <w:r w:rsidRPr="00BD646C">
              <w:rPr>
                <w:bCs/>
                <w:szCs w:val="22"/>
                <w:lang w:val="fr-FR"/>
              </w:rPr>
              <w:t xml:space="preserve">AbbVie, Lda. </w:t>
            </w:r>
          </w:p>
          <w:p w14:paraId="20EDC53C" w14:textId="77777777" w:rsidR="00AC4204" w:rsidRPr="00BD646C" w:rsidRDefault="00000000" w:rsidP="001F79B0">
            <w:pPr>
              <w:rPr>
                <w:szCs w:val="22"/>
                <w:lang w:val="fr-FR"/>
              </w:rPr>
            </w:pPr>
            <w:r w:rsidRPr="00BD646C">
              <w:rPr>
                <w:szCs w:val="22"/>
                <w:lang w:val="fr-FR"/>
              </w:rPr>
              <w:t>Tel: +351 (0)21 1908400</w:t>
            </w:r>
          </w:p>
          <w:p w14:paraId="5CB441AC" w14:textId="77777777" w:rsidR="00AC4204" w:rsidRPr="00BD646C" w:rsidRDefault="00AC4204" w:rsidP="001F79B0">
            <w:pPr>
              <w:rPr>
                <w:szCs w:val="22"/>
                <w:lang w:val="fr-FR"/>
              </w:rPr>
            </w:pPr>
          </w:p>
        </w:tc>
      </w:tr>
      <w:tr w:rsidR="00534A2D" w14:paraId="7E1FDD0C" w14:textId="77777777" w:rsidTr="001F79B0">
        <w:trPr>
          <w:gridBefore w:val="1"/>
          <w:wBefore w:w="34" w:type="dxa"/>
        </w:trPr>
        <w:tc>
          <w:tcPr>
            <w:tcW w:w="4644" w:type="dxa"/>
            <w:gridSpan w:val="2"/>
          </w:tcPr>
          <w:p w14:paraId="1250F4B6" w14:textId="77777777" w:rsidR="00AC4204" w:rsidRPr="005B1CF3" w:rsidRDefault="00000000" w:rsidP="001F79B0">
            <w:pPr>
              <w:rPr>
                <w:szCs w:val="22"/>
                <w:rPrChange w:id="13810" w:author="Abbvie02" w:date="2025-05-16T11:16:00Z">
                  <w:rPr>
                    <w:szCs w:val="22"/>
                    <w:lang w:val="en-GB"/>
                  </w:rPr>
                </w:rPrChange>
              </w:rPr>
            </w:pPr>
            <w:r w:rsidRPr="005B1CF3">
              <w:rPr>
                <w:b/>
                <w:bCs/>
                <w:szCs w:val="22"/>
                <w:rPrChange w:id="13811" w:author="Abbvie02" w:date="2025-05-16T11:16:00Z">
                  <w:rPr>
                    <w:b/>
                    <w:bCs/>
                    <w:szCs w:val="22"/>
                    <w:lang w:val="en-GB"/>
                  </w:rPr>
                </w:rPrChange>
              </w:rPr>
              <w:t xml:space="preserve">Hrvatska </w:t>
            </w:r>
          </w:p>
          <w:p w14:paraId="46C8B558" w14:textId="77777777" w:rsidR="00AC4204" w:rsidRPr="00BD646C" w:rsidRDefault="00000000" w:rsidP="001F79B0">
            <w:pPr>
              <w:rPr>
                <w:szCs w:val="22"/>
                <w:lang w:val="hr-HR"/>
              </w:rPr>
            </w:pPr>
            <w:r w:rsidRPr="00BD646C">
              <w:rPr>
                <w:szCs w:val="22"/>
                <w:lang w:val="hr-HR"/>
              </w:rPr>
              <w:t>AbbVie d.o.o.</w:t>
            </w:r>
          </w:p>
          <w:p w14:paraId="1CE1D8E6" w14:textId="77777777" w:rsidR="00AC4204" w:rsidRPr="00BD646C" w:rsidRDefault="00000000" w:rsidP="001F79B0">
            <w:pPr>
              <w:rPr>
                <w:bCs/>
                <w:szCs w:val="22"/>
                <w:lang w:val="it-IT"/>
              </w:rPr>
            </w:pPr>
            <w:r w:rsidRPr="00BD646C">
              <w:rPr>
                <w:szCs w:val="22"/>
                <w:lang w:val="hr-HR"/>
              </w:rPr>
              <w:t xml:space="preserve">Tel + 385 (0)1 </w:t>
            </w:r>
            <w:r w:rsidRPr="00BD646C">
              <w:rPr>
                <w:szCs w:val="22"/>
                <w:lang w:val="en-US"/>
              </w:rPr>
              <w:t>5625 501</w:t>
            </w:r>
          </w:p>
        </w:tc>
        <w:tc>
          <w:tcPr>
            <w:tcW w:w="4678" w:type="dxa"/>
          </w:tcPr>
          <w:p w14:paraId="1F4AA08F" w14:textId="77777777" w:rsidR="00AC4204" w:rsidRPr="00BD646C" w:rsidRDefault="00000000" w:rsidP="001F79B0">
            <w:pPr>
              <w:rPr>
                <w:b/>
                <w:bCs/>
                <w:szCs w:val="22"/>
                <w:lang w:val="it-IT"/>
              </w:rPr>
            </w:pPr>
            <w:r w:rsidRPr="00BD646C">
              <w:rPr>
                <w:b/>
                <w:bCs/>
                <w:szCs w:val="22"/>
                <w:lang w:val="it-IT"/>
              </w:rPr>
              <w:t>România</w:t>
            </w:r>
          </w:p>
          <w:p w14:paraId="0CFE5FD9" w14:textId="77777777" w:rsidR="00AC4204" w:rsidRPr="00BD646C" w:rsidRDefault="00000000" w:rsidP="001F79B0">
            <w:pPr>
              <w:rPr>
                <w:szCs w:val="22"/>
                <w:lang w:val="it-IT"/>
              </w:rPr>
            </w:pPr>
            <w:r w:rsidRPr="00BD646C">
              <w:rPr>
                <w:szCs w:val="22"/>
                <w:lang w:val="it-IT"/>
              </w:rPr>
              <w:t>AbbVie S.R.L.</w:t>
            </w:r>
          </w:p>
          <w:p w14:paraId="15AFCFC4" w14:textId="77777777" w:rsidR="00AC4204" w:rsidRPr="00BD646C" w:rsidRDefault="00000000" w:rsidP="001F79B0">
            <w:pPr>
              <w:rPr>
                <w:szCs w:val="22"/>
                <w:lang w:val="pl-PL"/>
              </w:rPr>
            </w:pPr>
            <w:r w:rsidRPr="00BD646C">
              <w:rPr>
                <w:szCs w:val="22"/>
                <w:lang w:val="pl-PL"/>
              </w:rPr>
              <w:t>Tel: +40 21 529 30 35</w:t>
            </w:r>
          </w:p>
          <w:p w14:paraId="14C25411" w14:textId="77777777" w:rsidR="00AC4204" w:rsidRPr="00BD646C" w:rsidRDefault="00AC4204" w:rsidP="001F79B0">
            <w:pPr>
              <w:rPr>
                <w:szCs w:val="22"/>
                <w:lang w:val="pl-PL"/>
              </w:rPr>
            </w:pPr>
          </w:p>
        </w:tc>
      </w:tr>
      <w:tr w:rsidR="00534A2D" w14:paraId="0941C613" w14:textId="77777777" w:rsidTr="001F79B0">
        <w:trPr>
          <w:gridBefore w:val="1"/>
          <w:wBefore w:w="34" w:type="dxa"/>
        </w:trPr>
        <w:tc>
          <w:tcPr>
            <w:tcW w:w="4644" w:type="dxa"/>
            <w:gridSpan w:val="2"/>
          </w:tcPr>
          <w:p w14:paraId="27702380" w14:textId="77777777" w:rsidR="00AC4204" w:rsidRPr="00BD646C" w:rsidRDefault="00000000" w:rsidP="001F79B0">
            <w:pPr>
              <w:rPr>
                <w:b/>
                <w:bCs/>
                <w:szCs w:val="22"/>
                <w:lang w:val="sk-SK"/>
              </w:rPr>
            </w:pPr>
            <w:r w:rsidRPr="00BD646C">
              <w:rPr>
                <w:b/>
                <w:bCs/>
                <w:szCs w:val="22"/>
                <w:lang w:val="sk-SK"/>
              </w:rPr>
              <w:t>Ireland</w:t>
            </w:r>
          </w:p>
          <w:p w14:paraId="140EAF02" w14:textId="77777777" w:rsidR="00AC4204" w:rsidRPr="00BD646C" w:rsidRDefault="00000000" w:rsidP="001F79B0">
            <w:pPr>
              <w:rPr>
                <w:bCs/>
                <w:szCs w:val="22"/>
                <w:lang w:val="sk-SK"/>
              </w:rPr>
            </w:pPr>
            <w:r w:rsidRPr="00BD646C">
              <w:rPr>
                <w:bCs/>
                <w:szCs w:val="22"/>
                <w:lang w:val="sk-SK"/>
              </w:rPr>
              <w:t xml:space="preserve">AbbVie Limited </w:t>
            </w:r>
          </w:p>
          <w:p w14:paraId="125C9A79" w14:textId="77777777" w:rsidR="00AC4204" w:rsidRPr="00BD646C" w:rsidRDefault="00000000" w:rsidP="001F79B0">
            <w:pPr>
              <w:rPr>
                <w:bCs/>
                <w:szCs w:val="22"/>
                <w:lang w:val="sk-SK"/>
              </w:rPr>
            </w:pPr>
            <w:r w:rsidRPr="00BD646C">
              <w:rPr>
                <w:bCs/>
                <w:szCs w:val="22"/>
                <w:lang w:val="pt-PT"/>
              </w:rPr>
              <w:t>Tel: +353 (0)1 428790</w:t>
            </w:r>
            <w:r w:rsidR="00C57483">
              <w:rPr>
                <w:bCs/>
                <w:szCs w:val="22"/>
                <w:lang w:val="pt-PT"/>
              </w:rPr>
              <w:t>0</w:t>
            </w:r>
          </w:p>
        </w:tc>
        <w:tc>
          <w:tcPr>
            <w:tcW w:w="4678" w:type="dxa"/>
          </w:tcPr>
          <w:p w14:paraId="059ED706" w14:textId="77777777" w:rsidR="00AC4204" w:rsidRPr="00BD646C" w:rsidRDefault="00000000" w:rsidP="001F79B0">
            <w:pPr>
              <w:rPr>
                <w:b/>
                <w:bCs/>
                <w:szCs w:val="22"/>
                <w:lang w:val="sl-SI"/>
              </w:rPr>
            </w:pPr>
            <w:r w:rsidRPr="00BD646C">
              <w:rPr>
                <w:b/>
                <w:bCs/>
                <w:szCs w:val="22"/>
                <w:lang w:val="sl-SI"/>
              </w:rPr>
              <w:t>Slovenija</w:t>
            </w:r>
          </w:p>
          <w:p w14:paraId="39ABA419" w14:textId="77777777" w:rsidR="00AC4204" w:rsidRPr="00BD646C" w:rsidRDefault="00000000" w:rsidP="001F79B0">
            <w:pPr>
              <w:rPr>
                <w:bCs/>
                <w:szCs w:val="22"/>
                <w:lang w:val="sl-SI"/>
              </w:rPr>
            </w:pPr>
            <w:r w:rsidRPr="00BD646C">
              <w:rPr>
                <w:bCs/>
                <w:szCs w:val="22"/>
                <w:lang w:val="sl-SI"/>
              </w:rPr>
              <w:t xml:space="preserve">AbbVie </w:t>
            </w:r>
            <w:r w:rsidRPr="00BD646C">
              <w:rPr>
                <w:szCs w:val="22"/>
                <w:lang w:val="sl-SI"/>
              </w:rPr>
              <w:t>Biofarmacevtska družba d.o.o.</w:t>
            </w:r>
          </w:p>
          <w:p w14:paraId="08C31F4A" w14:textId="77777777" w:rsidR="00AC4204" w:rsidRPr="00BD646C" w:rsidRDefault="00000000" w:rsidP="001F79B0">
            <w:pPr>
              <w:rPr>
                <w:bCs/>
                <w:szCs w:val="22"/>
                <w:lang w:val="sl-SI"/>
              </w:rPr>
            </w:pPr>
            <w:r w:rsidRPr="00BD646C">
              <w:rPr>
                <w:bCs/>
                <w:szCs w:val="22"/>
                <w:lang w:val="sl-SI"/>
              </w:rPr>
              <w:t>Tel: +386 (1)32 08 060</w:t>
            </w:r>
          </w:p>
          <w:p w14:paraId="409402F2" w14:textId="77777777" w:rsidR="00AC4204" w:rsidRPr="00BD646C" w:rsidRDefault="00AC4204" w:rsidP="001F79B0">
            <w:pPr>
              <w:rPr>
                <w:bCs/>
                <w:szCs w:val="22"/>
                <w:lang w:val="sl-SI"/>
              </w:rPr>
            </w:pPr>
          </w:p>
        </w:tc>
      </w:tr>
      <w:tr w:rsidR="00534A2D" w14:paraId="3BACB0B4" w14:textId="77777777" w:rsidTr="001F79B0">
        <w:trPr>
          <w:gridBefore w:val="1"/>
          <w:wBefore w:w="34" w:type="dxa"/>
        </w:trPr>
        <w:tc>
          <w:tcPr>
            <w:tcW w:w="4644" w:type="dxa"/>
            <w:gridSpan w:val="2"/>
          </w:tcPr>
          <w:p w14:paraId="3B58774E" w14:textId="77777777" w:rsidR="00AC4204" w:rsidRPr="00BD646C" w:rsidRDefault="00000000" w:rsidP="001F79B0">
            <w:pPr>
              <w:rPr>
                <w:b/>
                <w:bCs/>
                <w:szCs w:val="22"/>
                <w:lang w:val="is-IS"/>
              </w:rPr>
            </w:pPr>
            <w:r w:rsidRPr="00BD646C">
              <w:rPr>
                <w:b/>
                <w:bCs/>
                <w:szCs w:val="22"/>
                <w:lang w:val="is-IS"/>
              </w:rPr>
              <w:t>Ísland</w:t>
            </w:r>
          </w:p>
          <w:p w14:paraId="4BE5D236" w14:textId="77777777" w:rsidR="00AC4204" w:rsidRPr="00BD646C" w:rsidRDefault="00000000" w:rsidP="001F79B0">
            <w:pPr>
              <w:rPr>
                <w:bCs/>
                <w:szCs w:val="22"/>
                <w:lang w:val="sk-SK"/>
              </w:rPr>
            </w:pPr>
            <w:r w:rsidRPr="00BD646C">
              <w:rPr>
                <w:bCs/>
                <w:szCs w:val="22"/>
                <w:lang w:val="sk-SK"/>
              </w:rPr>
              <w:t xml:space="preserve">Vistor </w:t>
            </w:r>
            <w:del w:id="13812" w:author="AbbVie1" w:date="2025-05-13T10:16:00Z">
              <w:r w:rsidRPr="00BD646C">
                <w:rPr>
                  <w:bCs/>
                  <w:szCs w:val="22"/>
                  <w:lang w:val="sk-SK"/>
                </w:rPr>
                <w:delText>hf.</w:delText>
              </w:r>
            </w:del>
          </w:p>
          <w:p w14:paraId="4ABE4A84" w14:textId="77777777" w:rsidR="00AC4204" w:rsidRPr="00BD646C" w:rsidRDefault="00000000" w:rsidP="001F79B0">
            <w:pPr>
              <w:rPr>
                <w:bCs/>
                <w:szCs w:val="22"/>
                <w:lang w:val="sk-SK"/>
              </w:rPr>
            </w:pPr>
            <w:r w:rsidRPr="00BD646C">
              <w:rPr>
                <w:bCs/>
                <w:szCs w:val="22"/>
                <w:lang w:val="sk-SK"/>
              </w:rPr>
              <w:t>Tel: +354 535 7000</w:t>
            </w:r>
          </w:p>
        </w:tc>
        <w:tc>
          <w:tcPr>
            <w:tcW w:w="4678" w:type="dxa"/>
          </w:tcPr>
          <w:p w14:paraId="013D8F2F" w14:textId="77777777" w:rsidR="00AC4204" w:rsidRPr="00BD646C" w:rsidRDefault="00000000" w:rsidP="001F79B0">
            <w:pPr>
              <w:rPr>
                <w:b/>
                <w:bCs/>
                <w:szCs w:val="22"/>
                <w:lang w:val="sk-SK"/>
              </w:rPr>
            </w:pPr>
            <w:r w:rsidRPr="00BD646C">
              <w:rPr>
                <w:b/>
                <w:bCs/>
                <w:szCs w:val="22"/>
                <w:lang w:val="sk-SK"/>
              </w:rPr>
              <w:t>Slovenská republika</w:t>
            </w:r>
          </w:p>
          <w:p w14:paraId="31AAC0C3" w14:textId="77777777" w:rsidR="00AC4204" w:rsidRPr="00BD646C" w:rsidRDefault="00000000" w:rsidP="001F79B0">
            <w:pPr>
              <w:rPr>
                <w:bCs/>
                <w:szCs w:val="22"/>
                <w:lang w:val="sk-SK"/>
              </w:rPr>
            </w:pPr>
            <w:r w:rsidRPr="00BD646C">
              <w:rPr>
                <w:bCs/>
                <w:szCs w:val="22"/>
                <w:lang w:val="sk-SK"/>
              </w:rPr>
              <w:t>AbbVie s.r.o.</w:t>
            </w:r>
          </w:p>
          <w:p w14:paraId="7EB1C5A4" w14:textId="77777777" w:rsidR="00AC4204" w:rsidRPr="00BD646C" w:rsidRDefault="00000000" w:rsidP="001F79B0">
            <w:pPr>
              <w:rPr>
                <w:bCs/>
                <w:szCs w:val="22"/>
                <w:lang w:val="sk-SK"/>
              </w:rPr>
            </w:pPr>
            <w:r w:rsidRPr="00BD646C">
              <w:rPr>
                <w:bCs/>
                <w:szCs w:val="22"/>
                <w:lang w:val="sk-SK"/>
              </w:rPr>
              <w:t>Tel: +421 2 5050 0777</w:t>
            </w:r>
          </w:p>
          <w:p w14:paraId="04F810E4" w14:textId="77777777" w:rsidR="00AC4204" w:rsidRPr="00BD646C" w:rsidRDefault="00AC4204" w:rsidP="001F79B0">
            <w:pPr>
              <w:rPr>
                <w:bCs/>
                <w:szCs w:val="22"/>
                <w:lang w:val="sk-SK"/>
              </w:rPr>
            </w:pPr>
          </w:p>
        </w:tc>
      </w:tr>
      <w:tr w:rsidR="00534A2D" w14:paraId="07D72FEB" w14:textId="77777777" w:rsidTr="001F79B0">
        <w:trPr>
          <w:gridBefore w:val="1"/>
          <w:wBefore w:w="34" w:type="dxa"/>
        </w:trPr>
        <w:tc>
          <w:tcPr>
            <w:tcW w:w="4644" w:type="dxa"/>
            <w:gridSpan w:val="2"/>
          </w:tcPr>
          <w:p w14:paraId="6B03B3DE" w14:textId="77777777" w:rsidR="00AC4204" w:rsidRPr="00BD646C" w:rsidRDefault="00000000" w:rsidP="001F79B0">
            <w:pPr>
              <w:rPr>
                <w:b/>
                <w:bCs/>
                <w:szCs w:val="22"/>
                <w:lang w:val="it-IT"/>
              </w:rPr>
            </w:pPr>
            <w:r w:rsidRPr="00BD646C">
              <w:rPr>
                <w:b/>
                <w:bCs/>
                <w:szCs w:val="22"/>
                <w:lang w:val="it-IT"/>
              </w:rPr>
              <w:t>Italia</w:t>
            </w:r>
          </w:p>
          <w:p w14:paraId="08183A9F" w14:textId="77777777" w:rsidR="00AC4204" w:rsidRPr="00BD646C" w:rsidRDefault="00000000" w:rsidP="001F79B0">
            <w:pPr>
              <w:rPr>
                <w:bCs/>
                <w:szCs w:val="22"/>
                <w:lang w:val="pt-PT"/>
              </w:rPr>
            </w:pPr>
            <w:r w:rsidRPr="00BD646C">
              <w:rPr>
                <w:bCs/>
                <w:szCs w:val="22"/>
                <w:lang w:val="pt-PT"/>
              </w:rPr>
              <w:t xml:space="preserve">AbbVie S.r.l. </w:t>
            </w:r>
          </w:p>
          <w:p w14:paraId="248D99B0" w14:textId="77777777" w:rsidR="00AC4204" w:rsidRPr="00BD646C" w:rsidRDefault="00000000" w:rsidP="001F79B0">
            <w:pPr>
              <w:rPr>
                <w:bCs/>
                <w:szCs w:val="22"/>
                <w:lang w:val="fi-FI"/>
              </w:rPr>
            </w:pPr>
            <w:r w:rsidRPr="00BD646C">
              <w:rPr>
                <w:bCs/>
                <w:szCs w:val="22"/>
                <w:lang w:val="fr-FR"/>
              </w:rPr>
              <w:t>Tel: +39 06 928921</w:t>
            </w:r>
          </w:p>
        </w:tc>
        <w:tc>
          <w:tcPr>
            <w:tcW w:w="4678" w:type="dxa"/>
          </w:tcPr>
          <w:p w14:paraId="674DCA0E" w14:textId="77777777" w:rsidR="00AC4204" w:rsidRPr="00BD646C" w:rsidRDefault="00000000" w:rsidP="001F79B0">
            <w:pPr>
              <w:rPr>
                <w:b/>
                <w:bCs/>
                <w:szCs w:val="22"/>
                <w:lang w:val="fi-FI"/>
              </w:rPr>
            </w:pPr>
            <w:r w:rsidRPr="00BD646C">
              <w:rPr>
                <w:b/>
                <w:bCs/>
                <w:szCs w:val="22"/>
                <w:lang w:val="fi-FI"/>
              </w:rPr>
              <w:t>Suomi/Finland</w:t>
            </w:r>
          </w:p>
          <w:p w14:paraId="2E4D621D" w14:textId="77777777" w:rsidR="00AC4204" w:rsidRPr="00BD646C" w:rsidRDefault="00000000" w:rsidP="001F79B0">
            <w:pPr>
              <w:rPr>
                <w:bCs/>
                <w:szCs w:val="22"/>
                <w:lang w:val="de-CH"/>
              </w:rPr>
            </w:pPr>
            <w:r w:rsidRPr="00BD646C">
              <w:rPr>
                <w:bCs/>
                <w:szCs w:val="22"/>
                <w:lang w:val="sk-SK"/>
              </w:rPr>
              <w:t>AbbVie Oy</w:t>
            </w:r>
          </w:p>
          <w:p w14:paraId="69B9C302" w14:textId="77777777" w:rsidR="00AC4204" w:rsidRPr="00BD646C" w:rsidRDefault="00000000" w:rsidP="001F79B0">
            <w:pPr>
              <w:rPr>
                <w:bCs/>
                <w:szCs w:val="22"/>
                <w:lang w:val="sk-SK"/>
              </w:rPr>
            </w:pPr>
            <w:r w:rsidRPr="00BD646C">
              <w:rPr>
                <w:bCs/>
                <w:szCs w:val="22"/>
                <w:lang w:val="sk-SK"/>
              </w:rPr>
              <w:t>Puh/Tel: +358 (0)10 2411 200</w:t>
            </w:r>
          </w:p>
          <w:p w14:paraId="167B00B7" w14:textId="77777777" w:rsidR="00AC4204" w:rsidRPr="00BD646C" w:rsidRDefault="00AC4204" w:rsidP="001F79B0">
            <w:pPr>
              <w:rPr>
                <w:szCs w:val="22"/>
                <w:lang w:val="sk-SK"/>
              </w:rPr>
            </w:pPr>
          </w:p>
        </w:tc>
      </w:tr>
      <w:tr w:rsidR="00534A2D" w14:paraId="0CFD4821" w14:textId="77777777" w:rsidTr="001F79B0">
        <w:trPr>
          <w:gridBefore w:val="1"/>
          <w:wBefore w:w="34" w:type="dxa"/>
          <w:cantSplit/>
          <w:trHeight w:val="887"/>
        </w:trPr>
        <w:tc>
          <w:tcPr>
            <w:tcW w:w="4644" w:type="dxa"/>
            <w:gridSpan w:val="2"/>
          </w:tcPr>
          <w:p w14:paraId="65561021" w14:textId="77777777" w:rsidR="00AC4204" w:rsidRPr="00BD646C" w:rsidRDefault="00000000" w:rsidP="001F79B0">
            <w:pPr>
              <w:rPr>
                <w:b/>
                <w:bCs/>
                <w:szCs w:val="22"/>
                <w:lang w:val="el-GR"/>
              </w:rPr>
            </w:pPr>
            <w:r w:rsidRPr="00BD646C">
              <w:rPr>
                <w:b/>
                <w:bCs/>
                <w:szCs w:val="22"/>
                <w:lang w:val="el-GR"/>
              </w:rPr>
              <w:t>Κύπρος</w:t>
            </w:r>
          </w:p>
          <w:p w14:paraId="31B59FF3" w14:textId="77777777" w:rsidR="00AC4204" w:rsidRPr="00BD646C" w:rsidRDefault="00000000" w:rsidP="001F79B0">
            <w:pPr>
              <w:rPr>
                <w:bCs/>
                <w:szCs w:val="22"/>
                <w:lang w:val="el-GR"/>
              </w:rPr>
            </w:pPr>
            <w:r w:rsidRPr="00BD646C">
              <w:rPr>
                <w:bCs/>
                <w:szCs w:val="22"/>
                <w:lang w:val="sk-SK"/>
              </w:rPr>
              <w:t xml:space="preserve">Lifepharma (Z.A.M.) </w:t>
            </w:r>
            <w:r w:rsidRPr="00BD646C">
              <w:rPr>
                <w:bCs/>
                <w:szCs w:val="22"/>
                <w:lang w:val="it-IT"/>
              </w:rPr>
              <w:t>Ltd</w:t>
            </w:r>
          </w:p>
          <w:p w14:paraId="1FC5FE94" w14:textId="77777777" w:rsidR="00AC4204" w:rsidRPr="00BD646C" w:rsidRDefault="00000000" w:rsidP="001F79B0">
            <w:pPr>
              <w:rPr>
                <w:bCs/>
                <w:szCs w:val="22"/>
                <w:lang w:val="lv-LV"/>
              </w:rPr>
            </w:pPr>
            <w:r w:rsidRPr="00BD646C">
              <w:rPr>
                <w:bCs/>
                <w:szCs w:val="22"/>
                <w:lang w:val="el-GR"/>
              </w:rPr>
              <w:t>Τηλ.: +357 22 34 74 40</w:t>
            </w:r>
          </w:p>
        </w:tc>
        <w:tc>
          <w:tcPr>
            <w:tcW w:w="4678" w:type="dxa"/>
          </w:tcPr>
          <w:p w14:paraId="09C42A51" w14:textId="77777777" w:rsidR="00AC4204" w:rsidRPr="00BD646C" w:rsidRDefault="00000000" w:rsidP="001F79B0">
            <w:pPr>
              <w:rPr>
                <w:b/>
                <w:bCs/>
                <w:szCs w:val="22"/>
                <w:lang w:val="sk-SK"/>
              </w:rPr>
            </w:pPr>
            <w:r w:rsidRPr="00BD646C">
              <w:rPr>
                <w:b/>
                <w:bCs/>
                <w:szCs w:val="22"/>
                <w:lang w:val="sk-SK"/>
              </w:rPr>
              <w:t>Sverige</w:t>
            </w:r>
          </w:p>
          <w:p w14:paraId="459821E5" w14:textId="77777777" w:rsidR="00AC4204" w:rsidRPr="00BD646C" w:rsidRDefault="00000000" w:rsidP="001F79B0">
            <w:pPr>
              <w:rPr>
                <w:bCs/>
                <w:szCs w:val="22"/>
                <w:lang w:val="pt-PT"/>
              </w:rPr>
            </w:pPr>
            <w:r w:rsidRPr="00BD646C">
              <w:rPr>
                <w:bCs/>
                <w:szCs w:val="22"/>
                <w:lang w:val="pt-PT"/>
              </w:rPr>
              <w:t>AbbVie AB</w:t>
            </w:r>
          </w:p>
          <w:p w14:paraId="78591811" w14:textId="77777777" w:rsidR="00AC4204" w:rsidRPr="00BD646C" w:rsidRDefault="00000000" w:rsidP="001F79B0">
            <w:pPr>
              <w:rPr>
                <w:bCs/>
                <w:szCs w:val="22"/>
                <w:lang w:val="sk-SK"/>
              </w:rPr>
            </w:pPr>
            <w:r w:rsidRPr="00BD646C">
              <w:rPr>
                <w:bCs/>
                <w:szCs w:val="22"/>
                <w:lang w:val="da-DK"/>
              </w:rPr>
              <w:t>Tel: +46 (0)8 684 44 600</w:t>
            </w:r>
          </w:p>
        </w:tc>
      </w:tr>
      <w:tr w:rsidR="00534A2D" w14:paraId="27964772" w14:textId="77777777" w:rsidTr="001F79B0">
        <w:trPr>
          <w:gridBefore w:val="1"/>
          <w:wBefore w:w="34" w:type="dxa"/>
          <w:cantSplit/>
          <w:trHeight w:val="761"/>
        </w:trPr>
        <w:tc>
          <w:tcPr>
            <w:tcW w:w="4644" w:type="dxa"/>
            <w:gridSpan w:val="2"/>
          </w:tcPr>
          <w:p w14:paraId="6BC4C884" w14:textId="77777777" w:rsidR="00AC4204" w:rsidRPr="00BD646C" w:rsidRDefault="00000000" w:rsidP="001F79B0">
            <w:pPr>
              <w:rPr>
                <w:b/>
                <w:bCs/>
                <w:szCs w:val="22"/>
                <w:lang w:val="lv-LV"/>
              </w:rPr>
            </w:pPr>
            <w:r w:rsidRPr="00BD646C">
              <w:rPr>
                <w:b/>
                <w:bCs/>
                <w:szCs w:val="22"/>
                <w:lang w:val="lv-LV"/>
              </w:rPr>
              <w:t>Latvija</w:t>
            </w:r>
          </w:p>
          <w:p w14:paraId="774D686F" w14:textId="77777777" w:rsidR="00AC4204" w:rsidRPr="00BD646C" w:rsidRDefault="00000000" w:rsidP="001F79B0">
            <w:pPr>
              <w:rPr>
                <w:bCs/>
                <w:szCs w:val="22"/>
                <w:lang w:val="lv-LV"/>
              </w:rPr>
            </w:pPr>
            <w:r w:rsidRPr="00BD646C">
              <w:rPr>
                <w:bCs/>
                <w:szCs w:val="22"/>
                <w:lang w:val="lv-LV"/>
              </w:rPr>
              <w:t xml:space="preserve">AbbVie SIA </w:t>
            </w:r>
          </w:p>
          <w:p w14:paraId="6FAC6D85" w14:textId="77777777" w:rsidR="00AC4204" w:rsidRPr="00BD646C" w:rsidRDefault="00000000" w:rsidP="001F79B0">
            <w:pPr>
              <w:rPr>
                <w:bCs/>
                <w:szCs w:val="22"/>
                <w:lang w:val="lv-LV"/>
              </w:rPr>
            </w:pPr>
            <w:r w:rsidRPr="00BD646C">
              <w:rPr>
                <w:bCs/>
                <w:szCs w:val="22"/>
                <w:lang w:val="lv-LV"/>
              </w:rPr>
              <w:t>Tel: +371 67605000</w:t>
            </w:r>
          </w:p>
        </w:tc>
        <w:tc>
          <w:tcPr>
            <w:tcW w:w="4678" w:type="dxa"/>
          </w:tcPr>
          <w:p w14:paraId="44F2899E" w14:textId="77777777" w:rsidR="00AC4204" w:rsidRPr="00BD646C" w:rsidRDefault="00AC4204" w:rsidP="001F79B0">
            <w:pPr>
              <w:rPr>
                <w:b/>
                <w:bCs/>
                <w:szCs w:val="22"/>
                <w:lang w:val="sk-SK"/>
              </w:rPr>
            </w:pPr>
          </w:p>
        </w:tc>
      </w:tr>
    </w:tbl>
    <w:p w14:paraId="4B3F9A1C" w14:textId="77777777" w:rsidR="00FF1D36" w:rsidRPr="001B4A02" w:rsidRDefault="00FF1D36" w:rsidP="00507DAA">
      <w:pPr>
        <w:ind w:left="0" w:firstLine="0"/>
      </w:pPr>
    </w:p>
    <w:p w14:paraId="6207F8C4" w14:textId="77777777" w:rsidR="00FF1D36" w:rsidRPr="001B4A02" w:rsidRDefault="00000000" w:rsidP="00507DAA">
      <w:pPr>
        <w:ind w:left="0" w:firstLine="0"/>
        <w:rPr>
          <w:b/>
        </w:rPr>
      </w:pPr>
      <w:r w:rsidRPr="001B4A02">
        <w:rPr>
          <w:b/>
        </w:rPr>
        <w:t>Tato příbalová informace byla naposledy revidována v</w:t>
      </w:r>
      <w:r w:rsidR="00CD59CE">
        <w:rPr>
          <w:b/>
        </w:rPr>
        <w:t> </w:t>
      </w:r>
    </w:p>
    <w:p w14:paraId="66DF53D0" w14:textId="77777777" w:rsidR="00FF1D36" w:rsidRPr="001B4A02" w:rsidRDefault="00FF1D36" w:rsidP="00507DAA">
      <w:pPr>
        <w:ind w:left="0" w:firstLine="0"/>
      </w:pPr>
    </w:p>
    <w:p w14:paraId="209F3FE3" w14:textId="77777777" w:rsidR="00FF1D36" w:rsidRPr="001B4A02" w:rsidRDefault="00000000" w:rsidP="00507DAA">
      <w:pPr>
        <w:ind w:left="0" w:firstLine="0"/>
      </w:pPr>
      <w:r w:rsidRPr="001B4A02">
        <w:t>Podrobné informace o</w:t>
      </w:r>
      <w:r w:rsidR="00507DAA" w:rsidRPr="001B4A02">
        <w:t> </w:t>
      </w:r>
      <w:r w:rsidRPr="001B4A02">
        <w:t>tomto léčivém přípravku jsou k</w:t>
      </w:r>
      <w:r w:rsidR="00507DAA" w:rsidRPr="001B4A02">
        <w:t> </w:t>
      </w:r>
      <w:r w:rsidRPr="001B4A02">
        <w:t xml:space="preserve">dispozici na webových stránkách Evropské agentury pro léčivé přípravky </w:t>
      </w:r>
      <w:ins w:id="13813" w:author="AbbVie1" w:date="2025-05-13T10:16:00Z">
        <w:r w:rsidR="00FC50CC">
          <w:fldChar w:fldCharType="begin"/>
        </w:r>
        <w:r w:rsidR="00FC50CC">
          <w:instrText>HYPERLINK "</w:instrText>
        </w:r>
      </w:ins>
      <w:r w:rsidR="00FC50CC" w:rsidRPr="001B4A02">
        <w:instrText>http</w:instrText>
      </w:r>
      <w:ins w:id="13814" w:author="AbbVie1" w:date="2025-05-13T10:16:00Z">
        <w:r w:rsidR="00FC50CC">
          <w:instrText>s</w:instrText>
        </w:r>
      </w:ins>
      <w:r w:rsidR="00FC50CC" w:rsidRPr="001B4A02">
        <w:instrText>://www.ema.europa.eu</w:instrText>
      </w:r>
      <w:ins w:id="13815" w:author="AbbVie1" w:date="2025-05-13T10:16:00Z">
        <w:r w:rsidR="00FC50CC">
          <w:instrText>"</w:instrText>
        </w:r>
        <w:r w:rsidR="00FC50CC">
          <w:fldChar w:fldCharType="separate"/>
        </w:r>
      </w:ins>
      <w:r w:rsidR="00FC50CC" w:rsidRPr="004C0040">
        <w:rPr>
          <w:rStyle w:val="Hyperlink"/>
        </w:rPr>
        <w:t>http</w:t>
      </w:r>
      <w:ins w:id="13816" w:author="AbbVie1" w:date="2025-05-13T10:16:00Z">
        <w:r w:rsidR="00FC50CC" w:rsidRPr="004C0040">
          <w:rPr>
            <w:rStyle w:val="Hyperlink"/>
          </w:rPr>
          <w:t>s</w:t>
        </w:r>
      </w:ins>
      <w:r w:rsidR="00FC50CC" w:rsidRPr="004C0040">
        <w:rPr>
          <w:rStyle w:val="Hyperlink"/>
        </w:rPr>
        <w:t>://www.ema.europa.eu</w:t>
      </w:r>
      <w:ins w:id="13817" w:author="AbbVie1" w:date="2025-05-13T10:16:00Z">
        <w:r w:rsidR="00FC50CC">
          <w:fldChar w:fldCharType="end"/>
        </w:r>
      </w:ins>
      <w:r w:rsidRPr="001B4A02">
        <w:t>.</w:t>
      </w:r>
    </w:p>
    <w:p w14:paraId="18629B78" w14:textId="77777777" w:rsidR="00FF1D36" w:rsidRPr="001B4A02" w:rsidRDefault="00FF1D36" w:rsidP="00507DAA">
      <w:pPr>
        <w:ind w:left="0" w:firstLine="0"/>
      </w:pPr>
    </w:p>
    <w:p w14:paraId="19F30052" w14:textId="77777777" w:rsidR="00D11EC5" w:rsidRPr="001B4A02" w:rsidRDefault="00000000" w:rsidP="00507DAA">
      <w:pPr>
        <w:ind w:left="0" w:firstLine="0"/>
        <w:rPr>
          <w:b/>
          <w:color w:val="000000"/>
        </w:rPr>
      </w:pPr>
      <w:r w:rsidRPr="001B4A02">
        <w:rPr>
          <w:b/>
          <w:bCs/>
          <w:color w:val="000000"/>
        </w:rPr>
        <w:t>Chcete-li si tuto příbalovou informaci poslechnout, nebo chcete-li si vyžádat její kopii v Braillově písmu, velkým tiskem nebo ve formě audionahrávky,</w:t>
      </w:r>
      <w:r w:rsidRPr="001B4A02">
        <w:rPr>
          <w:b/>
          <w:color w:val="000000"/>
        </w:rPr>
        <w:t xml:space="preserve"> kontaktujte </w:t>
      </w:r>
      <w:r w:rsidR="00876531" w:rsidRPr="001B4A02">
        <w:rPr>
          <w:b/>
          <w:color w:val="000000"/>
        </w:rPr>
        <w:t>místního zástupce</w:t>
      </w:r>
      <w:r w:rsidRPr="001B4A02">
        <w:rPr>
          <w:b/>
          <w:color w:val="000000"/>
        </w:rPr>
        <w:t xml:space="preserve"> držitele rozhodnutí o</w:t>
      </w:r>
      <w:r w:rsidR="00EC1112" w:rsidRPr="001B4A02">
        <w:rPr>
          <w:b/>
          <w:color w:val="000000"/>
        </w:rPr>
        <w:t> </w:t>
      </w:r>
      <w:r w:rsidRPr="001B4A02">
        <w:rPr>
          <w:b/>
          <w:color w:val="000000"/>
        </w:rPr>
        <w:t>registraci.</w:t>
      </w:r>
    </w:p>
    <w:p w14:paraId="1A600655" w14:textId="77777777" w:rsidR="0069125D" w:rsidRPr="001B4A02" w:rsidRDefault="0069125D" w:rsidP="00507DAA">
      <w:pPr>
        <w:ind w:left="0" w:firstLine="0"/>
      </w:pPr>
    </w:p>
    <w:p w14:paraId="70DFBBB9" w14:textId="77777777" w:rsidR="00D11EC5" w:rsidRPr="001B4A02" w:rsidRDefault="00D11EC5" w:rsidP="00507DAA">
      <w:pPr>
        <w:ind w:left="0" w:firstLine="0"/>
      </w:pPr>
    </w:p>
    <w:p w14:paraId="5231A809" w14:textId="77777777" w:rsidR="0069125D" w:rsidRPr="001B4A02" w:rsidRDefault="00000000" w:rsidP="004B14C0">
      <w:pPr>
        <w:pStyle w:val="No-numheading3Agency"/>
        <w:spacing w:before="0" w:after="0"/>
        <w:ind w:left="567" w:hanging="567"/>
        <w:outlineLvl w:val="1"/>
        <w:rPr>
          <w:rFonts w:ascii="Times New Roman" w:hAnsi="Times New Roman"/>
          <w:lang w:val="cs-CZ"/>
        </w:rPr>
      </w:pPr>
      <w:r w:rsidRPr="001B4A02">
        <w:rPr>
          <w:rFonts w:ascii="Times New Roman" w:hAnsi="Times New Roman"/>
          <w:lang w:val="cs-CZ"/>
        </w:rPr>
        <w:t>7.</w:t>
      </w:r>
      <w:r w:rsidRPr="001B4A02">
        <w:rPr>
          <w:rFonts w:ascii="Times New Roman" w:hAnsi="Times New Roman"/>
          <w:lang w:val="cs-CZ"/>
        </w:rPr>
        <w:tab/>
      </w:r>
      <w:r w:rsidR="000336BC">
        <w:rPr>
          <w:rFonts w:ascii="Times New Roman" w:hAnsi="Times New Roman"/>
          <w:lang w:val="cs-CZ"/>
        </w:rPr>
        <w:t>Aplikace injekce přípravku Humira</w:t>
      </w:r>
    </w:p>
    <w:p w14:paraId="5608369D" w14:textId="77777777" w:rsidR="0069125D" w:rsidRPr="001B4A02" w:rsidRDefault="0069125D" w:rsidP="00ED48A3">
      <w:pPr>
        <w:pStyle w:val="BodytextAgency"/>
        <w:keepNext/>
        <w:spacing w:after="0" w:line="240" w:lineRule="auto"/>
        <w:rPr>
          <w:rFonts w:ascii="Times New Roman" w:hAnsi="Times New Roman"/>
          <w:sz w:val="22"/>
          <w:szCs w:val="22"/>
          <w:lang w:val="cs-CZ"/>
        </w:rPr>
      </w:pPr>
    </w:p>
    <w:p w14:paraId="1423FA9B" w14:textId="77777777" w:rsidR="0069125D" w:rsidRPr="001B4A02" w:rsidRDefault="00000000" w:rsidP="00ED48A3">
      <w:pPr>
        <w:numPr>
          <w:ilvl w:val="0"/>
          <w:numId w:val="104"/>
        </w:numPr>
        <w:suppressAutoHyphens/>
      </w:pPr>
      <w:r w:rsidRPr="001B4A02">
        <w:t>V</w:t>
      </w:r>
      <w:r w:rsidR="00D65FBD">
        <w:t> </w:t>
      </w:r>
      <w:r w:rsidRPr="001B4A02">
        <w:t xml:space="preserve">následujících pokynech je vysvětleno, jak si máte </w:t>
      </w:r>
      <w:r w:rsidR="00E7011D" w:rsidRPr="001B4A02">
        <w:t xml:space="preserve">podat </w:t>
      </w:r>
      <w:r w:rsidR="00075234" w:rsidRPr="001B4A02">
        <w:t xml:space="preserve">podkožní </w:t>
      </w:r>
      <w:r w:rsidRPr="001B4A02">
        <w:t>injekci přípravku Humira za použití předplněného pera. Nejprve si pokyny pečlivě pročtěte</w:t>
      </w:r>
      <w:r w:rsidR="00A27A27" w:rsidRPr="001B4A02">
        <w:t>,</w:t>
      </w:r>
      <w:r w:rsidR="002378E0">
        <w:t xml:space="preserve"> a </w:t>
      </w:r>
      <w:r w:rsidRPr="001B4A02">
        <w:t>p</w:t>
      </w:r>
      <w:r w:rsidR="00507DAA" w:rsidRPr="001B4A02">
        <w:t xml:space="preserve">ak </w:t>
      </w:r>
      <w:r w:rsidR="00A44744" w:rsidRPr="001B4A02">
        <w:t>podle nich</w:t>
      </w:r>
      <w:r w:rsidR="00507DAA" w:rsidRPr="001B4A02">
        <w:t xml:space="preserve"> krok za krokem </w:t>
      </w:r>
      <w:r w:rsidR="00A44744" w:rsidRPr="001B4A02">
        <w:t>postupujte</w:t>
      </w:r>
      <w:r w:rsidR="00507DAA" w:rsidRPr="001B4A02">
        <w:t>.</w:t>
      </w:r>
    </w:p>
    <w:p w14:paraId="4351D06B" w14:textId="77777777" w:rsidR="0069125D" w:rsidRPr="001B4A02" w:rsidRDefault="0069125D" w:rsidP="00ED48A3">
      <w:pPr>
        <w:ind w:left="720"/>
      </w:pPr>
    </w:p>
    <w:p w14:paraId="34B576FB" w14:textId="77777777" w:rsidR="0069125D" w:rsidRPr="001B4A02" w:rsidRDefault="00000000" w:rsidP="00ED48A3">
      <w:pPr>
        <w:numPr>
          <w:ilvl w:val="0"/>
          <w:numId w:val="104"/>
        </w:numPr>
        <w:suppressAutoHyphens/>
      </w:pPr>
      <w:r w:rsidRPr="001B4A02">
        <w:t>Váš lékař, zdravotní sestra nebo lékárník Vás poučí, jak s</w:t>
      </w:r>
      <w:r w:rsidR="00507DAA" w:rsidRPr="001B4A02">
        <w:t xml:space="preserve">i sám (sama) </w:t>
      </w:r>
      <w:r w:rsidR="00444E8A" w:rsidRPr="001B4A02">
        <w:t>podat</w:t>
      </w:r>
      <w:r w:rsidR="00507DAA" w:rsidRPr="001B4A02">
        <w:t xml:space="preserve"> injekci.</w:t>
      </w:r>
    </w:p>
    <w:p w14:paraId="30A25A6B" w14:textId="77777777" w:rsidR="0069125D" w:rsidRPr="001B4A02" w:rsidRDefault="0069125D" w:rsidP="00ED48A3">
      <w:pPr>
        <w:ind w:left="720"/>
      </w:pPr>
    </w:p>
    <w:p w14:paraId="5F738F8A" w14:textId="77777777" w:rsidR="0069125D" w:rsidRPr="001B4A02" w:rsidRDefault="00000000" w:rsidP="00ED48A3">
      <w:pPr>
        <w:numPr>
          <w:ilvl w:val="0"/>
          <w:numId w:val="104"/>
        </w:numPr>
        <w:suppressAutoHyphens/>
      </w:pPr>
      <w:r w:rsidRPr="001B4A02">
        <w:t xml:space="preserve">Nepokoušejte si </w:t>
      </w:r>
      <w:r w:rsidR="00E91CB6" w:rsidRPr="001B4A02">
        <w:t>sám (sama)</w:t>
      </w:r>
      <w:r w:rsidRPr="001B4A02">
        <w:t xml:space="preserve"> </w:t>
      </w:r>
      <w:r w:rsidR="00444E8A" w:rsidRPr="001B4A02">
        <w:t>podat</w:t>
      </w:r>
      <w:r w:rsidRPr="001B4A02">
        <w:t xml:space="preserve"> injekci, dokud si nebudete jist</w:t>
      </w:r>
      <w:r w:rsidR="009E1608" w:rsidRPr="001B4A02">
        <w:t>ý</w:t>
      </w:r>
      <w:r w:rsidRPr="001B4A02">
        <w:t>(</w:t>
      </w:r>
      <w:r w:rsidR="009E1608" w:rsidRPr="001B4A02">
        <w:t>á</w:t>
      </w:r>
      <w:r w:rsidRPr="001B4A02">
        <w:t xml:space="preserve">), že jste pochopil(a), </w:t>
      </w:r>
      <w:r w:rsidR="00507DAA" w:rsidRPr="001B4A02">
        <w:t>jak ji připravovat</w:t>
      </w:r>
      <w:r w:rsidR="002378E0">
        <w:t xml:space="preserve"> a </w:t>
      </w:r>
      <w:r w:rsidR="00444E8A" w:rsidRPr="001B4A02">
        <w:t>podat</w:t>
      </w:r>
      <w:r w:rsidR="00507DAA" w:rsidRPr="001B4A02">
        <w:t>.</w:t>
      </w:r>
    </w:p>
    <w:p w14:paraId="6F5684B6" w14:textId="77777777" w:rsidR="0069125D" w:rsidRPr="001B4A02" w:rsidRDefault="0069125D" w:rsidP="00ED48A3">
      <w:pPr>
        <w:ind w:left="720"/>
      </w:pPr>
    </w:p>
    <w:p w14:paraId="652E2351" w14:textId="77777777" w:rsidR="0069125D" w:rsidRPr="001B4A02" w:rsidRDefault="00000000" w:rsidP="00ED48A3">
      <w:pPr>
        <w:numPr>
          <w:ilvl w:val="0"/>
          <w:numId w:val="104"/>
        </w:numPr>
        <w:suppressAutoHyphens/>
      </w:pPr>
      <w:r w:rsidRPr="001B4A02">
        <w:t xml:space="preserve">Po řádném procvičení si můžete injekci </w:t>
      </w:r>
      <w:r w:rsidR="00444E8A" w:rsidRPr="001B4A02">
        <w:t>podat</w:t>
      </w:r>
      <w:r w:rsidRPr="001B4A02">
        <w:t xml:space="preserve"> sám (sama) nebo to může provádět i jiná osoba, např. člen rodiny nebo přítel či přítelkyně.</w:t>
      </w:r>
    </w:p>
    <w:p w14:paraId="360DB52A" w14:textId="77777777" w:rsidR="0069125D" w:rsidRPr="001B4A02" w:rsidRDefault="0069125D" w:rsidP="00ED48A3">
      <w:pPr>
        <w:ind w:left="720"/>
      </w:pPr>
    </w:p>
    <w:p w14:paraId="46EBE4D3" w14:textId="77777777" w:rsidR="0069125D" w:rsidRPr="001B4A02" w:rsidRDefault="00000000" w:rsidP="00ED48A3">
      <w:pPr>
        <w:pStyle w:val="EMEAHeadingLeaflet"/>
        <w:numPr>
          <w:ilvl w:val="0"/>
          <w:numId w:val="104"/>
        </w:numPr>
        <w:tabs>
          <w:tab w:val="clear" w:pos="562"/>
        </w:tabs>
        <w:spacing w:beforeLines="0" w:afterLines="0"/>
        <w:rPr>
          <w:rFonts w:ascii="Times New Roman" w:hAnsi="Times New Roman"/>
          <w:b w:val="0"/>
          <w:lang w:val="cs-CZ"/>
        </w:rPr>
      </w:pPr>
      <w:r w:rsidRPr="001B4A02">
        <w:rPr>
          <w:rFonts w:ascii="Times New Roman" w:hAnsi="Times New Roman"/>
          <w:b w:val="0"/>
          <w:lang w:val="cs-CZ"/>
        </w:rPr>
        <w:t>Každé předplněné pero použijte jen pro jednu injekci.</w:t>
      </w:r>
    </w:p>
    <w:p w14:paraId="62B640F3" w14:textId="77777777" w:rsidR="0069125D" w:rsidRPr="001B4A02" w:rsidRDefault="0069125D" w:rsidP="00ED48A3">
      <w:pPr>
        <w:pStyle w:val="EMEANormal"/>
        <w:rPr>
          <w:lang w:val="cs-CZ"/>
        </w:rPr>
      </w:pPr>
    </w:p>
    <w:p w14:paraId="04E6A35E" w14:textId="77777777" w:rsidR="0069125D" w:rsidRPr="001B4A02" w:rsidRDefault="00000000" w:rsidP="00ED48A3">
      <w:pPr>
        <w:pStyle w:val="EMEANormal"/>
        <w:keepNext/>
        <w:rPr>
          <w:b/>
          <w:lang w:val="cs-CZ"/>
        </w:rPr>
      </w:pPr>
      <w:r w:rsidRPr="001B4A02">
        <w:rPr>
          <w:b/>
          <w:lang w:val="cs-CZ"/>
        </w:rPr>
        <w:t>Předplněné pero Humira</w:t>
      </w:r>
    </w:p>
    <w:p w14:paraId="1F15EEA5" w14:textId="77777777" w:rsidR="0069125D" w:rsidRPr="001B4A02" w:rsidRDefault="0069125D" w:rsidP="00ED48A3">
      <w:pPr>
        <w:pStyle w:val="EMEANormal"/>
        <w:keepNext/>
        <w:rPr>
          <w:lang w:val="cs-CZ"/>
        </w:rPr>
      </w:pPr>
    </w:p>
    <w:p w14:paraId="2770EAD6" w14:textId="77777777" w:rsidR="0069125D" w:rsidRPr="001B4A02" w:rsidRDefault="00000000" w:rsidP="00ED48A3">
      <w:pPr>
        <w:pStyle w:val="EMEANormal"/>
        <w:keepNext/>
        <w:rPr>
          <w:b/>
          <w:lang w:val="cs-CZ"/>
        </w:rPr>
      </w:pPr>
      <w:r w:rsidRPr="001B4A02">
        <w:rPr>
          <w:b/>
          <w:lang w:val="cs-CZ"/>
        </w:rPr>
        <w:t xml:space="preserve">   Šedý kryt 1     Bílé pouzdro jehly      Bílá šipka                                                 Vínový kryt 2</w:t>
      </w:r>
    </w:p>
    <w:p w14:paraId="31EDE4BE" w14:textId="77777777" w:rsidR="0069125D" w:rsidRPr="001B4A02" w:rsidRDefault="00000000" w:rsidP="00ED48A3">
      <w:pPr>
        <w:pStyle w:val="EMEANormal"/>
        <w:keepNext/>
        <w:rPr>
          <w:lang w:val="cs-CZ"/>
        </w:rPr>
      </w:pPr>
      <w:r w:rsidRPr="001B4A02">
        <w:rPr>
          <w:noProof/>
        </w:rPr>
        <w:drawing>
          <wp:inline distT="0" distB="0" distL="0" distR="0" wp14:anchorId="0588D326" wp14:editId="6D18FECA">
            <wp:extent cx="5883275" cy="1423670"/>
            <wp:effectExtent l="0" t="0" r="3175" b="5080"/>
            <wp:docPr id="552" name="obrázek 552"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Picture 552" descr="HUMIRAPEN_grey"/>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5883275" cy="1423670"/>
                    </a:xfrm>
                    <a:prstGeom prst="rect">
                      <a:avLst/>
                    </a:prstGeom>
                    <a:noFill/>
                    <a:ln>
                      <a:noFill/>
                    </a:ln>
                  </pic:spPr>
                </pic:pic>
              </a:graphicData>
            </a:graphic>
          </wp:inline>
        </w:drawing>
      </w:r>
    </w:p>
    <w:p w14:paraId="0E6D0E11" w14:textId="77777777" w:rsidR="0069125D" w:rsidRPr="001B4A02" w:rsidRDefault="00000000" w:rsidP="00ED48A3">
      <w:pPr>
        <w:pStyle w:val="EMEANormal"/>
        <w:rPr>
          <w:b/>
          <w:lang w:val="cs-CZ"/>
        </w:rPr>
      </w:pPr>
      <w:r w:rsidRPr="001B4A02">
        <w:rPr>
          <w:b/>
          <w:lang w:val="cs-CZ"/>
        </w:rPr>
        <w:t xml:space="preserve">                              Jehla             Kontrolní okénko                         Vínové aktivační tlačítko     </w:t>
      </w:r>
    </w:p>
    <w:p w14:paraId="08C148C4" w14:textId="77777777" w:rsidR="0069125D" w:rsidRPr="001B4A02" w:rsidRDefault="00000000" w:rsidP="00ED48A3">
      <w:pPr>
        <w:pStyle w:val="EMEANormal"/>
        <w:rPr>
          <w:b/>
          <w:lang w:val="cs-CZ"/>
        </w:rPr>
      </w:pPr>
      <w:r w:rsidRPr="001B4A02">
        <w:rPr>
          <w:b/>
          <w:lang w:val="cs-CZ"/>
        </w:rPr>
        <w:t xml:space="preserve">           </w:t>
      </w:r>
    </w:p>
    <w:p w14:paraId="7A114F95" w14:textId="77777777" w:rsidR="0069125D" w:rsidRPr="001B4A02" w:rsidRDefault="00000000" w:rsidP="00ED48A3">
      <w:pPr>
        <w:pStyle w:val="EMEAHeadingLeaflet"/>
        <w:keepNext/>
        <w:spacing w:beforeLines="0" w:afterLines="0"/>
        <w:rPr>
          <w:rFonts w:ascii="Times New Roman" w:hAnsi="Times New Roman"/>
          <w:lang w:val="cs-CZ"/>
        </w:rPr>
      </w:pPr>
      <w:r w:rsidRPr="001B4A02">
        <w:rPr>
          <w:rFonts w:ascii="Times New Roman" w:hAnsi="Times New Roman"/>
          <w:lang w:val="cs-CZ"/>
        </w:rPr>
        <w:t>Pero nepoužívejte</w:t>
      </w:r>
      <w:r w:rsidR="002378E0">
        <w:rPr>
          <w:rFonts w:ascii="Times New Roman" w:hAnsi="Times New Roman"/>
          <w:lang w:val="cs-CZ"/>
        </w:rPr>
        <w:t xml:space="preserve"> a </w:t>
      </w:r>
      <w:r w:rsidRPr="001B4A02">
        <w:rPr>
          <w:rFonts w:ascii="Times New Roman" w:hAnsi="Times New Roman"/>
          <w:lang w:val="cs-CZ"/>
        </w:rPr>
        <w:t>zavolejte svému lékaři nebo lékárníkovi, jestliže</w:t>
      </w:r>
    </w:p>
    <w:p w14:paraId="0526F2CE" w14:textId="77777777" w:rsidR="00D06278" w:rsidRPr="001B4A02" w:rsidRDefault="00D06278" w:rsidP="00ED48A3">
      <w:pPr>
        <w:pStyle w:val="EMEANormal"/>
        <w:keepNext/>
        <w:rPr>
          <w:lang w:val="cs-CZ"/>
        </w:rPr>
      </w:pPr>
    </w:p>
    <w:p w14:paraId="423D7D10" w14:textId="77777777" w:rsidR="0069125D" w:rsidRPr="001B4A02" w:rsidRDefault="00000000" w:rsidP="00ED48A3">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je roztok zakalený, změnil barvu nebo v</w:t>
      </w:r>
      <w:r w:rsidR="00075234" w:rsidRPr="001B4A02">
        <w:rPr>
          <w:rFonts w:ascii="Times New Roman" w:hAnsi="Times New Roman"/>
          <w:b w:val="0"/>
          <w:lang w:val="cs-CZ"/>
        </w:rPr>
        <w:t> </w:t>
      </w:r>
      <w:r w:rsidRPr="001B4A02">
        <w:rPr>
          <w:rFonts w:ascii="Times New Roman" w:hAnsi="Times New Roman"/>
          <w:b w:val="0"/>
          <w:lang w:val="cs-CZ"/>
        </w:rPr>
        <w:t>něm jsou patrné vločky či částečky</w:t>
      </w:r>
    </w:p>
    <w:p w14:paraId="4BF39971" w14:textId="77777777" w:rsidR="0069125D" w:rsidRPr="001B4A02" w:rsidRDefault="00000000" w:rsidP="00ED48A3">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uplynulo datum použitelnosti (EXP)</w:t>
      </w:r>
    </w:p>
    <w:p w14:paraId="5B525A97" w14:textId="77777777" w:rsidR="0069125D" w:rsidRPr="001B4A02" w:rsidRDefault="00000000" w:rsidP="00ED48A3">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byl roztok zmrazen nebo ponechán na přímém slunečním světle</w:t>
      </w:r>
    </w:p>
    <w:p w14:paraId="016A4B32" w14:textId="77777777" w:rsidR="0069125D" w:rsidRPr="001B4A02" w:rsidRDefault="00000000" w:rsidP="00ED48A3">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předplněné pero upadlo nebo prasklo</w:t>
      </w:r>
    </w:p>
    <w:p w14:paraId="65D365B3" w14:textId="77777777" w:rsidR="0069125D" w:rsidRPr="001B4A02" w:rsidRDefault="0069125D" w:rsidP="00ED48A3">
      <w:pPr>
        <w:pStyle w:val="EMEANormal"/>
        <w:rPr>
          <w:lang w:val="cs-CZ"/>
        </w:rPr>
      </w:pPr>
    </w:p>
    <w:p w14:paraId="79F16821" w14:textId="77777777" w:rsidR="0069125D" w:rsidRPr="001B4A02" w:rsidRDefault="00000000" w:rsidP="00970906">
      <w:pPr>
        <w:pStyle w:val="EMEAHeadingLeaflet"/>
        <w:tabs>
          <w:tab w:val="clear" w:pos="562"/>
          <w:tab w:val="left" w:pos="0"/>
        </w:tabs>
        <w:spacing w:beforeLines="0" w:afterLines="0"/>
        <w:rPr>
          <w:rFonts w:ascii="Times New Roman" w:hAnsi="Times New Roman"/>
          <w:lang w:val="cs-CZ"/>
        </w:rPr>
      </w:pPr>
      <w:r w:rsidRPr="001B4A02">
        <w:rPr>
          <w:rFonts w:ascii="Times New Roman" w:hAnsi="Times New Roman"/>
          <w:lang w:val="cs-CZ"/>
        </w:rPr>
        <w:t xml:space="preserve">Oba kryty odstraňte až bezprostředně před injekcí. Uchovávejte </w:t>
      </w:r>
      <w:r w:rsidR="00A745D1" w:rsidRPr="001B4A02">
        <w:rPr>
          <w:rFonts w:ascii="Times New Roman" w:hAnsi="Times New Roman"/>
          <w:lang w:val="cs-CZ"/>
        </w:rPr>
        <w:t xml:space="preserve">přípravek Humira </w:t>
      </w:r>
      <w:r w:rsidRPr="001B4A02">
        <w:rPr>
          <w:rFonts w:ascii="Times New Roman" w:hAnsi="Times New Roman"/>
          <w:lang w:val="cs-CZ"/>
        </w:rPr>
        <w:t>mimo dohled</w:t>
      </w:r>
      <w:r w:rsidR="002378E0">
        <w:rPr>
          <w:rFonts w:ascii="Times New Roman" w:hAnsi="Times New Roman"/>
          <w:lang w:val="cs-CZ"/>
        </w:rPr>
        <w:t xml:space="preserve"> a </w:t>
      </w:r>
      <w:r w:rsidRPr="001B4A02">
        <w:rPr>
          <w:rFonts w:ascii="Times New Roman" w:hAnsi="Times New Roman"/>
          <w:lang w:val="cs-CZ"/>
        </w:rPr>
        <w:t>dosah dětí.</w:t>
      </w:r>
    </w:p>
    <w:p w14:paraId="3D34B911" w14:textId="77777777" w:rsidR="0069125D" w:rsidRPr="001B4A02" w:rsidRDefault="0069125D" w:rsidP="00970906">
      <w:pPr>
        <w:pStyle w:val="EMEANormal"/>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534A2D" w14:paraId="558B8AB1" w14:textId="77777777" w:rsidTr="001D778F">
        <w:tc>
          <w:tcPr>
            <w:tcW w:w="9287" w:type="dxa"/>
            <w:gridSpan w:val="2"/>
            <w:tcBorders>
              <w:bottom w:val="single" w:sz="4" w:space="0" w:color="auto"/>
            </w:tcBorders>
            <w:shd w:val="clear" w:color="auto" w:fill="auto"/>
          </w:tcPr>
          <w:p w14:paraId="2AAC9D6A" w14:textId="77777777" w:rsidR="0069125D" w:rsidRPr="001B4A02" w:rsidRDefault="00000000" w:rsidP="00970906">
            <w:pPr>
              <w:pStyle w:val="EMEAHeadingLeaflet"/>
              <w:spacing w:beforeLines="0" w:afterLines="0"/>
              <w:rPr>
                <w:rFonts w:ascii="Times New Roman" w:hAnsi="Times New Roman"/>
                <w:lang w:val="cs-CZ"/>
              </w:rPr>
            </w:pPr>
            <w:r w:rsidRPr="001B4A02">
              <w:rPr>
                <w:rFonts w:ascii="Times New Roman" w:hAnsi="Times New Roman"/>
                <w:lang w:val="cs-CZ"/>
              </w:rPr>
              <w:t>KROK 1</w:t>
            </w:r>
          </w:p>
          <w:p w14:paraId="3B1FB5FD" w14:textId="77777777" w:rsidR="0069125D" w:rsidRPr="001B4A02" w:rsidRDefault="0069125D" w:rsidP="00970906">
            <w:pPr>
              <w:pStyle w:val="EMEANormal"/>
              <w:rPr>
                <w:lang w:val="cs-CZ"/>
              </w:rPr>
            </w:pPr>
          </w:p>
          <w:p w14:paraId="4A957384" w14:textId="77777777" w:rsidR="0069125D"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Přípravek Humira vyjměte z</w:t>
            </w:r>
            <w:r w:rsidR="00075234" w:rsidRPr="001B4A02">
              <w:rPr>
                <w:rFonts w:ascii="Times New Roman" w:hAnsi="Times New Roman"/>
                <w:b w:val="0"/>
                <w:lang w:val="cs-CZ"/>
              </w:rPr>
              <w:t> </w:t>
            </w:r>
            <w:r w:rsidRPr="001B4A02">
              <w:rPr>
                <w:rFonts w:ascii="Times New Roman" w:hAnsi="Times New Roman"/>
                <w:b w:val="0"/>
                <w:lang w:val="cs-CZ"/>
              </w:rPr>
              <w:t>chladničky.</w:t>
            </w:r>
          </w:p>
          <w:p w14:paraId="627D692A" w14:textId="77777777" w:rsidR="0069125D" w:rsidRPr="001B4A02" w:rsidRDefault="0069125D" w:rsidP="00970906">
            <w:pPr>
              <w:pStyle w:val="EMEANormal"/>
              <w:rPr>
                <w:lang w:val="cs-CZ"/>
              </w:rPr>
            </w:pPr>
          </w:p>
          <w:p w14:paraId="003864C7" w14:textId="77777777" w:rsidR="0069125D"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 xml:space="preserve">Přípravek Humira nechte </w:t>
            </w:r>
            <w:r w:rsidRPr="001B4A02">
              <w:rPr>
                <w:rFonts w:ascii="Times New Roman" w:hAnsi="Times New Roman"/>
                <w:lang w:val="cs-CZ"/>
              </w:rPr>
              <w:t>15 až 30 minut</w:t>
            </w:r>
            <w:r w:rsidRPr="001B4A02">
              <w:rPr>
                <w:rFonts w:ascii="Times New Roman" w:hAnsi="Times New Roman"/>
                <w:b w:val="0"/>
                <w:lang w:val="cs-CZ"/>
              </w:rPr>
              <w:t xml:space="preserve"> před injekcí při pokojové teplotě.</w:t>
            </w:r>
          </w:p>
          <w:p w14:paraId="0E7EC4B8" w14:textId="77777777" w:rsidR="0069125D" w:rsidRPr="001B4A02" w:rsidRDefault="0069125D" w:rsidP="00970906">
            <w:pPr>
              <w:pStyle w:val="EMEANormal"/>
              <w:rPr>
                <w:lang w:val="cs-CZ"/>
              </w:rPr>
            </w:pPr>
          </w:p>
          <w:p w14:paraId="304D7095" w14:textId="77777777" w:rsidR="0069125D" w:rsidRPr="001B4A02" w:rsidRDefault="00000000" w:rsidP="00970906">
            <w:pPr>
              <w:pStyle w:val="EMEAHeadingLeaflet"/>
              <w:numPr>
                <w:ilvl w:val="0"/>
                <w:numId w:val="106"/>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V</w:t>
            </w:r>
            <w:r w:rsidR="00075234" w:rsidRPr="001B4A02">
              <w:rPr>
                <w:rFonts w:ascii="Times New Roman" w:hAnsi="Times New Roman"/>
                <w:b w:val="0"/>
                <w:lang w:val="cs-CZ"/>
              </w:rPr>
              <w:t> </w:t>
            </w:r>
            <w:r w:rsidRPr="001B4A02">
              <w:rPr>
                <w:rFonts w:ascii="Times New Roman" w:hAnsi="Times New Roman"/>
                <w:b w:val="0"/>
                <w:lang w:val="cs-CZ"/>
              </w:rPr>
              <w:t xml:space="preserve">době, kdy necháváte přípravek Humira ohřát na teplotu místnosti, </w:t>
            </w:r>
            <w:r w:rsidRPr="001B4A02">
              <w:rPr>
                <w:rFonts w:ascii="Times New Roman" w:hAnsi="Times New Roman"/>
                <w:lang w:val="cs-CZ"/>
              </w:rPr>
              <w:t>nesundávejte</w:t>
            </w:r>
            <w:r w:rsidRPr="001B4A02">
              <w:rPr>
                <w:rFonts w:ascii="Times New Roman" w:hAnsi="Times New Roman"/>
                <w:b w:val="0"/>
                <w:lang w:val="cs-CZ"/>
              </w:rPr>
              <w:t xml:space="preserve"> šedý ani vínový kryt</w:t>
            </w:r>
          </w:p>
          <w:p w14:paraId="25E4CCA5" w14:textId="77777777" w:rsidR="0069125D" w:rsidRPr="001B4A02" w:rsidRDefault="00000000" w:rsidP="00970906">
            <w:pPr>
              <w:pStyle w:val="EMEANormal"/>
              <w:numPr>
                <w:ilvl w:val="0"/>
                <w:numId w:val="106"/>
              </w:numPr>
              <w:tabs>
                <w:tab w:val="clear" w:pos="562"/>
                <w:tab w:val="left" w:pos="720"/>
              </w:tabs>
              <w:rPr>
                <w:lang w:val="cs-CZ"/>
              </w:rPr>
            </w:pPr>
            <w:r w:rsidRPr="001B4A02">
              <w:rPr>
                <w:lang w:val="cs-CZ"/>
              </w:rPr>
              <w:t xml:space="preserve">Přípravek Humira </w:t>
            </w:r>
            <w:r w:rsidRPr="001B4A02">
              <w:rPr>
                <w:b/>
                <w:lang w:val="cs-CZ"/>
              </w:rPr>
              <w:t>neohřívejte</w:t>
            </w:r>
            <w:r w:rsidRPr="001B4A02">
              <w:rPr>
                <w:lang w:val="cs-CZ"/>
              </w:rPr>
              <w:t xml:space="preserve"> žádným jiným způsobem. </w:t>
            </w:r>
            <w:r w:rsidRPr="001B4A02">
              <w:rPr>
                <w:b/>
                <w:lang w:val="cs-CZ"/>
              </w:rPr>
              <w:t>Neohřívejte</w:t>
            </w:r>
            <w:r w:rsidRPr="001B4A02">
              <w:rPr>
                <w:lang w:val="cs-CZ"/>
              </w:rPr>
              <w:t xml:space="preserve"> jej například v</w:t>
            </w:r>
            <w:r w:rsidR="00075234" w:rsidRPr="001B4A02">
              <w:rPr>
                <w:lang w:val="cs-CZ"/>
              </w:rPr>
              <w:t> </w:t>
            </w:r>
            <w:r w:rsidRPr="001B4A02">
              <w:rPr>
                <w:lang w:val="cs-CZ"/>
              </w:rPr>
              <w:t>mikrovlnné troubě nebo v</w:t>
            </w:r>
            <w:r w:rsidR="00075234" w:rsidRPr="001B4A02">
              <w:rPr>
                <w:lang w:val="cs-CZ"/>
              </w:rPr>
              <w:t> </w:t>
            </w:r>
            <w:r w:rsidRPr="001B4A02">
              <w:rPr>
                <w:lang w:val="cs-CZ"/>
              </w:rPr>
              <w:t>horké vodě</w:t>
            </w:r>
          </w:p>
        </w:tc>
      </w:tr>
      <w:tr w:rsidR="00534A2D" w14:paraId="091011EF" w14:textId="77777777" w:rsidTr="001D778F">
        <w:tc>
          <w:tcPr>
            <w:tcW w:w="3708" w:type="dxa"/>
            <w:tcBorders>
              <w:right w:val="nil"/>
            </w:tcBorders>
            <w:shd w:val="clear" w:color="auto" w:fill="auto"/>
          </w:tcPr>
          <w:p w14:paraId="65547D58" w14:textId="77777777" w:rsidR="0069125D" w:rsidRPr="001B4A02" w:rsidRDefault="00000000" w:rsidP="00970906">
            <w:pPr>
              <w:pStyle w:val="EMEANormal"/>
              <w:rPr>
                <w:b/>
                <w:lang w:val="cs-CZ"/>
              </w:rPr>
            </w:pPr>
            <w:r w:rsidRPr="001B4A02">
              <w:rPr>
                <w:b/>
                <w:lang w:val="cs-CZ"/>
              </w:rPr>
              <w:t xml:space="preserve">KROK 2 </w:t>
            </w:r>
          </w:p>
          <w:p w14:paraId="75597906" w14:textId="77777777" w:rsidR="0069125D" w:rsidRPr="001B4A02" w:rsidRDefault="0069125D" w:rsidP="00970906">
            <w:pPr>
              <w:pStyle w:val="EMEANormal"/>
              <w:rPr>
                <w:b/>
                <w:lang w:val="cs-CZ"/>
              </w:rPr>
            </w:pPr>
          </w:p>
          <w:p w14:paraId="0484D624" w14:textId="77777777" w:rsidR="0069125D" w:rsidRPr="001B4A02" w:rsidRDefault="00000000" w:rsidP="00970906">
            <w:pPr>
              <w:pStyle w:val="EMEANormal"/>
              <w:rPr>
                <w:b/>
                <w:lang w:val="cs-CZ"/>
              </w:rPr>
            </w:pPr>
            <w:r w:rsidRPr="001B4A02">
              <w:rPr>
                <w:lang w:val="cs-CZ"/>
              </w:rPr>
              <w:t xml:space="preserve">               </w:t>
            </w:r>
            <w:r w:rsidRPr="001B4A02">
              <w:rPr>
                <w:b/>
                <w:lang w:val="cs-CZ"/>
              </w:rPr>
              <w:t>Pero</w:t>
            </w:r>
          </w:p>
          <w:p w14:paraId="7717D966" w14:textId="77777777" w:rsidR="0069125D" w:rsidRPr="001B4A02" w:rsidRDefault="00000000" w:rsidP="00970906">
            <w:pPr>
              <w:pStyle w:val="EMEANormal"/>
              <w:rPr>
                <w:lang w:val="cs-CZ"/>
              </w:rPr>
            </w:pPr>
            <w:r w:rsidRPr="001B4A02">
              <w:rPr>
                <w:noProof/>
              </w:rPr>
              <w:drawing>
                <wp:inline distT="0" distB="0" distL="0" distR="0" wp14:anchorId="72F38F1B" wp14:editId="04C5E53D">
                  <wp:extent cx="2165350" cy="2286000"/>
                  <wp:effectExtent l="0" t="0" r="6350" b="0"/>
                  <wp:docPr id="553" name="obrázek 553"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Picture 553" descr="STEP2_grey"/>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2165350" cy="2286000"/>
                          </a:xfrm>
                          <a:prstGeom prst="rect">
                            <a:avLst/>
                          </a:prstGeom>
                          <a:noFill/>
                          <a:ln>
                            <a:noFill/>
                          </a:ln>
                        </pic:spPr>
                      </pic:pic>
                    </a:graphicData>
                  </a:graphic>
                </wp:inline>
              </w:drawing>
            </w:r>
          </w:p>
          <w:p w14:paraId="68FC1257" w14:textId="77777777" w:rsidR="0069125D" w:rsidRPr="001B4A02" w:rsidRDefault="00000000" w:rsidP="00970906">
            <w:pPr>
              <w:pStyle w:val="EMEANormal"/>
              <w:rPr>
                <w:b/>
                <w:lang w:val="cs-CZ"/>
              </w:rPr>
            </w:pPr>
            <w:r w:rsidRPr="001B4A02">
              <w:rPr>
                <w:b/>
                <w:lang w:val="cs-CZ"/>
              </w:rPr>
              <w:t xml:space="preserve">                Tamp</w:t>
            </w:r>
            <w:ins w:id="13818" w:author="Abbvie02" w:date="2025-05-16T12:34:00Z">
              <w:r w:rsidR="009165EF">
                <w:rPr>
                  <w:b/>
                  <w:lang w:val="cs-CZ"/>
                </w:rPr>
                <w:t>o</w:t>
              </w:r>
            </w:ins>
            <w:del w:id="13819" w:author="Abbvie02" w:date="2025-05-16T12:34:00Z">
              <w:r w:rsidRPr="001B4A02">
                <w:rPr>
                  <w:b/>
                  <w:lang w:val="cs-CZ"/>
                </w:rPr>
                <w:delText>ó</w:delText>
              </w:r>
            </w:del>
            <w:r w:rsidRPr="001B4A02">
              <w:rPr>
                <w:b/>
                <w:lang w:val="cs-CZ"/>
              </w:rPr>
              <w:t>n</w:t>
            </w:r>
          </w:p>
        </w:tc>
        <w:tc>
          <w:tcPr>
            <w:tcW w:w="5579" w:type="dxa"/>
            <w:tcBorders>
              <w:left w:val="nil"/>
            </w:tcBorders>
            <w:shd w:val="clear" w:color="auto" w:fill="auto"/>
          </w:tcPr>
          <w:p w14:paraId="29589037" w14:textId="77777777" w:rsidR="0069125D" w:rsidRPr="001B4A02" w:rsidRDefault="0069125D" w:rsidP="00970906">
            <w:pPr>
              <w:pStyle w:val="EMEAHeadingLeaflet"/>
              <w:spacing w:beforeLines="0" w:afterLines="0"/>
              <w:rPr>
                <w:rFonts w:ascii="Times New Roman" w:hAnsi="Times New Roman"/>
                <w:b w:val="0"/>
                <w:lang w:val="cs-CZ"/>
              </w:rPr>
            </w:pPr>
          </w:p>
          <w:p w14:paraId="45A14414" w14:textId="77777777" w:rsidR="0069125D"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 xml:space="preserve">Zkontrolujte datum použitelnosti (EXP). Předplněné pero </w:t>
            </w:r>
            <w:r w:rsidRPr="001B4A02">
              <w:rPr>
                <w:rFonts w:ascii="Times New Roman" w:hAnsi="Times New Roman"/>
                <w:lang w:val="cs-CZ"/>
              </w:rPr>
              <w:t>nepoužívejte</w:t>
            </w:r>
            <w:r w:rsidRPr="001B4A02">
              <w:rPr>
                <w:rFonts w:ascii="Times New Roman" w:hAnsi="Times New Roman"/>
                <w:b w:val="0"/>
                <w:lang w:val="cs-CZ"/>
              </w:rPr>
              <w:t>, jestliže datum použitelnosti již uplynulo.</w:t>
            </w:r>
          </w:p>
          <w:p w14:paraId="56BD92A6" w14:textId="77777777" w:rsidR="0069125D" w:rsidRPr="001B4A02" w:rsidRDefault="0069125D" w:rsidP="00970906">
            <w:pPr>
              <w:pStyle w:val="EMEANormal"/>
              <w:rPr>
                <w:lang w:val="cs-CZ"/>
              </w:rPr>
            </w:pPr>
          </w:p>
          <w:p w14:paraId="41AFCCE9" w14:textId="77777777" w:rsidR="0069125D" w:rsidRPr="001B4A02" w:rsidRDefault="00000000" w:rsidP="00970906">
            <w:pPr>
              <w:pStyle w:val="EMEAHeadingLeaflet"/>
              <w:spacing w:beforeLines="0" w:afterLines="0"/>
              <w:rPr>
                <w:rFonts w:ascii="Times New Roman" w:hAnsi="Times New Roman"/>
                <w:b w:val="0"/>
                <w:lang w:val="cs-CZ"/>
              </w:rPr>
            </w:pPr>
            <w:r w:rsidRPr="00A2409E">
              <w:rPr>
                <w:rFonts w:ascii="Times New Roman" w:hAnsi="Times New Roman"/>
                <w:b w:val="0"/>
                <w:lang w:val="cs-CZ"/>
              </w:rPr>
              <w:t xml:space="preserve">Na </w:t>
            </w:r>
            <w:r w:rsidRPr="00A2409E">
              <w:rPr>
                <w:rFonts w:ascii="Times New Roman" w:hAnsi="Times New Roman" w:hint="eastAsia"/>
                <w:b w:val="0"/>
                <w:lang w:val="cs-CZ"/>
              </w:rPr>
              <w:t>č</w:t>
            </w:r>
            <w:r w:rsidRPr="00A2409E">
              <w:rPr>
                <w:rFonts w:ascii="Times New Roman" w:hAnsi="Times New Roman"/>
                <w:b w:val="0"/>
                <w:lang w:val="cs-CZ"/>
              </w:rPr>
              <w:t>ist</w:t>
            </w:r>
            <w:r w:rsidRPr="00A2409E">
              <w:rPr>
                <w:rFonts w:ascii="Times New Roman" w:hAnsi="Times New Roman" w:hint="eastAsia"/>
                <w:b w:val="0"/>
                <w:lang w:val="cs-CZ"/>
              </w:rPr>
              <w:t>ý</w:t>
            </w:r>
            <w:r w:rsidRPr="00A2409E">
              <w:rPr>
                <w:rFonts w:ascii="Times New Roman" w:hAnsi="Times New Roman"/>
                <w:b w:val="0"/>
                <w:lang w:val="cs-CZ"/>
              </w:rPr>
              <w:t xml:space="preserve"> povrch si p</w:t>
            </w:r>
            <w:r w:rsidRPr="00A2409E">
              <w:rPr>
                <w:rFonts w:ascii="Times New Roman" w:hAnsi="Times New Roman" w:hint="eastAsia"/>
                <w:b w:val="0"/>
                <w:lang w:val="cs-CZ"/>
              </w:rPr>
              <w:t>ř</w:t>
            </w:r>
            <w:r w:rsidRPr="00A2409E">
              <w:rPr>
                <w:rFonts w:ascii="Times New Roman" w:hAnsi="Times New Roman"/>
                <w:b w:val="0"/>
                <w:lang w:val="cs-CZ"/>
              </w:rPr>
              <w:t>ipravte n</w:t>
            </w:r>
            <w:r w:rsidRPr="00A2409E">
              <w:rPr>
                <w:rFonts w:ascii="Times New Roman" w:hAnsi="Times New Roman" w:hint="eastAsia"/>
                <w:b w:val="0"/>
                <w:lang w:val="cs-CZ"/>
              </w:rPr>
              <w:t>á</w:t>
            </w:r>
            <w:r w:rsidRPr="00A2409E">
              <w:rPr>
                <w:rFonts w:ascii="Times New Roman" w:hAnsi="Times New Roman"/>
                <w:b w:val="0"/>
                <w:lang w:val="cs-CZ"/>
              </w:rPr>
              <w:t>sleduj</w:t>
            </w:r>
            <w:r w:rsidRPr="00A2409E">
              <w:rPr>
                <w:rFonts w:ascii="Times New Roman" w:hAnsi="Times New Roman" w:hint="eastAsia"/>
                <w:b w:val="0"/>
                <w:lang w:val="cs-CZ"/>
              </w:rPr>
              <w:t>í</w:t>
            </w:r>
            <w:r w:rsidRPr="00A2409E">
              <w:rPr>
                <w:rFonts w:ascii="Times New Roman" w:hAnsi="Times New Roman"/>
                <w:b w:val="0"/>
                <w:lang w:val="cs-CZ"/>
              </w:rPr>
              <w:t>c</w:t>
            </w:r>
            <w:r w:rsidRPr="00A2409E">
              <w:rPr>
                <w:rFonts w:ascii="Times New Roman" w:hAnsi="Times New Roman" w:hint="eastAsia"/>
                <w:b w:val="0"/>
                <w:lang w:val="cs-CZ"/>
              </w:rPr>
              <w:t>í</w:t>
            </w:r>
            <w:r w:rsidRPr="00A2409E">
              <w:rPr>
                <w:rFonts w:ascii="Times New Roman" w:hAnsi="Times New Roman"/>
                <w:b w:val="0"/>
                <w:lang w:val="cs-CZ"/>
              </w:rPr>
              <w:t xml:space="preserve"> pom</w:t>
            </w:r>
            <w:r w:rsidRPr="00A2409E">
              <w:rPr>
                <w:rFonts w:ascii="Times New Roman" w:hAnsi="Times New Roman" w:hint="eastAsia"/>
                <w:b w:val="0"/>
                <w:lang w:val="cs-CZ"/>
              </w:rPr>
              <w:t>ů</w:t>
            </w:r>
            <w:r w:rsidRPr="00A2409E">
              <w:rPr>
                <w:rFonts w:ascii="Times New Roman" w:hAnsi="Times New Roman"/>
                <w:b w:val="0"/>
                <w:lang w:val="cs-CZ"/>
              </w:rPr>
              <w:t>cky</w:t>
            </w:r>
          </w:p>
          <w:p w14:paraId="1054E1FC" w14:textId="77777777" w:rsidR="0069125D" w:rsidRPr="001B4A02" w:rsidRDefault="0069125D" w:rsidP="00970906">
            <w:pPr>
              <w:pStyle w:val="EMEANormal"/>
              <w:rPr>
                <w:lang w:val="cs-CZ"/>
              </w:rPr>
            </w:pPr>
          </w:p>
          <w:p w14:paraId="236E4422" w14:textId="77777777" w:rsidR="0069125D" w:rsidRPr="001B4A02" w:rsidRDefault="00000000" w:rsidP="00970906">
            <w:pPr>
              <w:pStyle w:val="EMEAHeadingLeaflet"/>
              <w:numPr>
                <w:ilvl w:val="0"/>
                <w:numId w:val="107"/>
              </w:numPr>
              <w:tabs>
                <w:tab w:val="clear" w:pos="562"/>
                <w:tab w:val="left" w:pos="757"/>
              </w:tabs>
              <w:spacing w:beforeLines="0" w:afterLines="0"/>
              <w:rPr>
                <w:rFonts w:ascii="Times New Roman" w:hAnsi="Times New Roman"/>
                <w:b w:val="0"/>
                <w:lang w:val="cs-CZ"/>
              </w:rPr>
            </w:pPr>
            <w:r w:rsidRPr="001B4A02">
              <w:rPr>
                <w:rFonts w:ascii="Times New Roman" w:hAnsi="Times New Roman"/>
                <w:b w:val="0"/>
                <w:lang w:val="cs-CZ"/>
              </w:rPr>
              <w:t>1 předplněné pero s</w:t>
            </w:r>
            <w:r w:rsidR="00075234" w:rsidRPr="001B4A02">
              <w:rPr>
                <w:rFonts w:ascii="Times New Roman" w:hAnsi="Times New Roman"/>
                <w:b w:val="0"/>
                <w:lang w:val="cs-CZ"/>
              </w:rPr>
              <w:t> </w:t>
            </w:r>
            <w:r w:rsidRPr="001B4A02">
              <w:rPr>
                <w:rFonts w:ascii="Times New Roman" w:hAnsi="Times New Roman"/>
                <w:b w:val="0"/>
                <w:lang w:val="cs-CZ"/>
              </w:rPr>
              <w:t>přípravkem Humira a</w:t>
            </w:r>
          </w:p>
          <w:p w14:paraId="5838A00C" w14:textId="77777777" w:rsidR="0069125D" w:rsidRPr="001B4A02" w:rsidRDefault="00000000" w:rsidP="00970906">
            <w:pPr>
              <w:pStyle w:val="EMEAHeadingLeaflet"/>
              <w:numPr>
                <w:ilvl w:val="0"/>
                <w:numId w:val="107"/>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1 tamp</w:t>
            </w:r>
            <w:ins w:id="13820" w:author="Abbvie02" w:date="2025-05-16T12:34:00Z">
              <w:r w:rsidR="009165EF">
                <w:rPr>
                  <w:rFonts w:ascii="Times New Roman" w:hAnsi="Times New Roman"/>
                  <w:b w:val="0"/>
                  <w:lang w:val="cs-CZ"/>
                </w:rPr>
                <w:t>o</w:t>
              </w:r>
            </w:ins>
            <w:del w:id="13821" w:author="Abbvie02" w:date="2025-05-16T12:34:00Z">
              <w:r w:rsidRPr="001B4A02">
                <w:rPr>
                  <w:rFonts w:ascii="Times New Roman" w:hAnsi="Times New Roman"/>
                  <w:b w:val="0"/>
                  <w:lang w:val="cs-CZ"/>
                </w:rPr>
                <w:delText>ó</w:delText>
              </w:r>
            </w:del>
            <w:r w:rsidRPr="001B4A02">
              <w:rPr>
                <w:rFonts w:ascii="Times New Roman" w:hAnsi="Times New Roman"/>
                <w:b w:val="0"/>
                <w:lang w:val="cs-CZ"/>
              </w:rPr>
              <w:t>n s</w:t>
            </w:r>
            <w:r w:rsidR="00075234" w:rsidRPr="001B4A02">
              <w:rPr>
                <w:rFonts w:ascii="Times New Roman" w:hAnsi="Times New Roman"/>
                <w:b w:val="0"/>
                <w:lang w:val="cs-CZ"/>
              </w:rPr>
              <w:t> </w:t>
            </w:r>
            <w:r w:rsidRPr="001B4A02">
              <w:rPr>
                <w:rFonts w:ascii="Times New Roman" w:hAnsi="Times New Roman"/>
                <w:b w:val="0"/>
                <w:lang w:val="cs-CZ"/>
              </w:rPr>
              <w:t>alkoholem</w:t>
            </w:r>
          </w:p>
          <w:p w14:paraId="0F60C215" w14:textId="77777777" w:rsidR="0069125D" w:rsidRPr="001B4A02" w:rsidRDefault="0069125D" w:rsidP="00970906">
            <w:pPr>
              <w:pStyle w:val="EMEANormal"/>
              <w:rPr>
                <w:lang w:val="cs-CZ"/>
              </w:rPr>
            </w:pPr>
          </w:p>
          <w:p w14:paraId="0E024B51" w14:textId="77777777" w:rsidR="0069125D" w:rsidRPr="001B4A02" w:rsidRDefault="00000000" w:rsidP="00970906">
            <w:pPr>
              <w:pStyle w:val="EMEANormal"/>
              <w:rPr>
                <w:lang w:val="cs-CZ"/>
              </w:rPr>
            </w:pPr>
            <w:r w:rsidRPr="001B4A02">
              <w:rPr>
                <w:lang w:val="cs-CZ"/>
              </w:rPr>
              <w:t>Umyjte</w:t>
            </w:r>
            <w:r w:rsidR="002378E0">
              <w:rPr>
                <w:lang w:val="cs-CZ"/>
              </w:rPr>
              <w:t xml:space="preserve"> a </w:t>
            </w:r>
            <w:r w:rsidRPr="001B4A02">
              <w:rPr>
                <w:lang w:val="cs-CZ"/>
              </w:rPr>
              <w:t xml:space="preserve">osušte </w:t>
            </w:r>
            <w:r w:rsidR="009C2686" w:rsidRPr="001B4A02">
              <w:rPr>
                <w:lang w:val="cs-CZ"/>
              </w:rPr>
              <w:t xml:space="preserve">si </w:t>
            </w:r>
            <w:r w:rsidRPr="001B4A02">
              <w:rPr>
                <w:lang w:val="cs-CZ"/>
              </w:rPr>
              <w:t>ruce.</w:t>
            </w:r>
          </w:p>
        </w:tc>
      </w:tr>
      <w:tr w:rsidR="00534A2D" w14:paraId="67782081" w14:textId="77777777" w:rsidTr="001D778F">
        <w:tc>
          <w:tcPr>
            <w:tcW w:w="3708" w:type="dxa"/>
            <w:tcBorders>
              <w:right w:val="nil"/>
            </w:tcBorders>
            <w:shd w:val="clear" w:color="auto" w:fill="auto"/>
          </w:tcPr>
          <w:p w14:paraId="488CB772" w14:textId="77777777" w:rsidR="0069125D" w:rsidRPr="001B4A02" w:rsidRDefault="00000000" w:rsidP="00003181">
            <w:pPr>
              <w:pStyle w:val="EMEANormal"/>
              <w:rPr>
                <w:b/>
                <w:lang w:val="cs-CZ"/>
              </w:rPr>
            </w:pPr>
            <w:r w:rsidRPr="001B4A02">
              <w:rPr>
                <w:b/>
                <w:lang w:val="cs-CZ"/>
              </w:rPr>
              <w:t>KROK 3</w:t>
            </w:r>
          </w:p>
          <w:p w14:paraId="59665E0A" w14:textId="77777777" w:rsidR="0069125D" w:rsidRPr="001B4A02" w:rsidRDefault="0069125D" w:rsidP="00ED48A3">
            <w:pPr>
              <w:pStyle w:val="EMEANormal"/>
              <w:keepNext/>
              <w:rPr>
                <w:b/>
                <w:lang w:val="cs-CZ"/>
              </w:rPr>
            </w:pPr>
          </w:p>
          <w:p w14:paraId="4732865D" w14:textId="77777777" w:rsidR="0069125D" w:rsidRPr="001B4A02" w:rsidRDefault="00000000" w:rsidP="00ED48A3">
            <w:pPr>
              <w:pStyle w:val="EMEANormal"/>
              <w:keepNext/>
              <w:rPr>
                <w:b/>
                <w:lang w:val="cs-CZ"/>
              </w:rPr>
            </w:pPr>
            <w:r w:rsidRPr="001B4A02">
              <w:rPr>
                <w:b/>
                <w:lang w:val="cs-CZ"/>
              </w:rPr>
              <w:t>Místa pro podání injekce</w:t>
            </w:r>
          </w:p>
          <w:p w14:paraId="78598ABA" w14:textId="77777777" w:rsidR="0069125D" w:rsidRPr="001B4A02" w:rsidRDefault="00000000" w:rsidP="00ED48A3">
            <w:pPr>
              <w:pStyle w:val="EMEANormal"/>
              <w:keepNext/>
              <w:rPr>
                <w:lang w:val="cs-CZ"/>
              </w:rPr>
            </w:pPr>
            <w:r w:rsidRPr="001B4A02">
              <w:rPr>
                <w:noProof/>
              </w:rPr>
              <w:drawing>
                <wp:inline distT="0" distB="0" distL="0" distR="0" wp14:anchorId="36F81453" wp14:editId="663092B6">
                  <wp:extent cx="2277110" cy="2380615"/>
                  <wp:effectExtent l="0" t="0" r="8890" b="635"/>
                  <wp:docPr id="554" name="obrázek 554"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Picture 554" descr="STEP3_grey"/>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277110" cy="2380615"/>
                          </a:xfrm>
                          <a:prstGeom prst="rect">
                            <a:avLst/>
                          </a:prstGeom>
                          <a:noFill/>
                          <a:ln>
                            <a:noFill/>
                          </a:ln>
                        </pic:spPr>
                      </pic:pic>
                    </a:graphicData>
                  </a:graphic>
                </wp:inline>
              </w:drawing>
            </w:r>
          </w:p>
          <w:p w14:paraId="1E2C05D2" w14:textId="77777777" w:rsidR="0069125D" w:rsidRPr="001B4A02" w:rsidRDefault="00000000" w:rsidP="00ED48A3">
            <w:pPr>
              <w:pStyle w:val="EMEANormal"/>
              <w:keepNext/>
              <w:rPr>
                <w:b/>
                <w:lang w:val="cs-CZ"/>
              </w:rPr>
            </w:pPr>
            <w:r w:rsidRPr="001B4A02">
              <w:rPr>
                <w:lang w:val="cs-CZ"/>
              </w:rPr>
              <w:t xml:space="preserve">     </w:t>
            </w:r>
            <w:r w:rsidRPr="001B4A02">
              <w:rPr>
                <w:b/>
                <w:lang w:val="cs-CZ"/>
              </w:rPr>
              <w:t>Místa pro podání injekce</w:t>
            </w:r>
          </w:p>
        </w:tc>
        <w:tc>
          <w:tcPr>
            <w:tcW w:w="5579" w:type="dxa"/>
            <w:tcBorders>
              <w:left w:val="nil"/>
            </w:tcBorders>
            <w:shd w:val="clear" w:color="auto" w:fill="auto"/>
          </w:tcPr>
          <w:p w14:paraId="19E813B2" w14:textId="77777777" w:rsidR="0069125D" w:rsidRPr="001B4A02" w:rsidRDefault="0069125D" w:rsidP="00ED48A3">
            <w:pPr>
              <w:pStyle w:val="EMEAHeadingLeaflet"/>
              <w:keepNext/>
              <w:spacing w:beforeLines="0" w:afterLines="0"/>
              <w:rPr>
                <w:rFonts w:ascii="Times New Roman" w:hAnsi="Times New Roman"/>
                <w:b w:val="0"/>
                <w:lang w:val="cs-CZ"/>
              </w:rPr>
            </w:pPr>
          </w:p>
          <w:p w14:paraId="7748554C" w14:textId="77777777" w:rsidR="0069125D" w:rsidRPr="001B4A02" w:rsidRDefault="00000000" w:rsidP="00ED48A3">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Vyberte si místo pro podání injekce:</w:t>
            </w:r>
          </w:p>
          <w:p w14:paraId="2CFD494F" w14:textId="77777777" w:rsidR="0069125D" w:rsidRPr="001B4A02" w:rsidRDefault="0069125D" w:rsidP="00ED48A3">
            <w:pPr>
              <w:pStyle w:val="EMEANormal"/>
              <w:keepNext/>
              <w:rPr>
                <w:lang w:val="cs-CZ"/>
              </w:rPr>
            </w:pPr>
          </w:p>
          <w:p w14:paraId="0BF2298E" w14:textId="77777777" w:rsidR="0069125D" w:rsidRPr="001B4A02" w:rsidRDefault="00000000" w:rsidP="00ED48A3">
            <w:pPr>
              <w:pStyle w:val="EMEAHeadingLeaflet"/>
              <w:keepNext/>
              <w:numPr>
                <w:ilvl w:val="0"/>
                <w:numId w:val="108"/>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na přední straně stehna nebo</w:t>
            </w:r>
          </w:p>
          <w:p w14:paraId="6430D57F" w14:textId="77777777" w:rsidR="0069125D" w:rsidRPr="001B4A02" w:rsidRDefault="00000000" w:rsidP="00ED48A3">
            <w:pPr>
              <w:pStyle w:val="EMEAHeadingLeaflet"/>
              <w:keepNext/>
              <w:numPr>
                <w:ilvl w:val="0"/>
                <w:numId w:val="108"/>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na břiše nejméně 5</w:t>
            </w:r>
            <w:r w:rsidR="00B76F26" w:rsidRPr="00B76F26">
              <w:rPr>
                <w:szCs w:val="22"/>
                <w:lang w:val="cs-CZ"/>
              </w:rPr>
              <w:t> </w:t>
            </w:r>
            <w:r w:rsidRPr="001B4A02">
              <w:rPr>
                <w:rFonts w:ascii="Times New Roman" w:hAnsi="Times New Roman"/>
                <w:b w:val="0"/>
                <w:lang w:val="cs-CZ"/>
              </w:rPr>
              <w:t>cm od pupíku</w:t>
            </w:r>
          </w:p>
          <w:p w14:paraId="407B49B8" w14:textId="77777777" w:rsidR="0069125D" w:rsidRPr="001B4A02" w:rsidRDefault="00000000" w:rsidP="00ED48A3">
            <w:pPr>
              <w:pStyle w:val="EMEAHeadingLeaflet"/>
              <w:keepNext/>
              <w:numPr>
                <w:ilvl w:val="0"/>
                <w:numId w:val="108"/>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nejméně 3</w:t>
            </w:r>
            <w:r w:rsidR="00B76F26" w:rsidRPr="00B76F26">
              <w:rPr>
                <w:szCs w:val="22"/>
                <w:lang w:val="cs-CZ"/>
              </w:rPr>
              <w:t> </w:t>
            </w:r>
            <w:r w:rsidRPr="001B4A02">
              <w:rPr>
                <w:rFonts w:ascii="Times New Roman" w:hAnsi="Times New Roman"/>
                <w:b w:val="0"/>
                <w:lang w:val="cs-CZ"/>
              </w:rPr>
              <w:t>cm od posledního místa vpichu</w:t>
            </w:r>
          </w:p>
          <w:p w14:paraId="54C7F6DA" w14:textId="77777777" w:rsidR="0069125D" w:rsidRPr="001B4A02" w:rsidRDefault="0069125D" w:rsidP="00ED48A3">
            <w:pPr>
              <w:pStyle w:val="EMEANormal"/>
              <w:keepNext/>
              <w:rPr>
                <w:lang w:val="cs-CZ"/>
              </w:rPr>
            </w:pPr>
          </w:p>
          <w:p w14:paraId="1655EF53" w14:textId="77777777" w:rsidR="0069125D" w:rsidRPr="001B4A02" w:rsidRDefault="00000000" w:rsidP="00ED48A3">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Otřete krouživými pohyby místo vpichu tamp</w:t>
            </w:r>
            <w:ins w:id="13822" w:author="Abbvie02" w:date="2025-05-16T12:34:00Z">
              <w:r w:rsidR="009165EF">
                <w:rPr>
                  <w:rFonts w:ascii="Times New Roman" w:hAnsi="Times New Roman"/>
                  <w:b w:val="0"/>
                  <w:lang w:val="cs-CZ"/>
                </w:rPr>
                <w:t>o</w:t>
              </w:r>
            </w:ins>
            <w:del w:id="13823" w:author="Abbvie02" w:date="2025-05-16T12:34:00Z">
              <w:r w:rsidRPr="001B4A02">
                <w:rPr>
                  <w:rFonts w:ascii="Times New Roman" w:hAnsi="Times New Roman"/>
                  <w:b w:val="0"/>
                  <w:lang w:val="cs-CZ"/>
                </w:rPr>
                <w:delText>ó</w:delText>
              </w:r>
            </w:del>
            <w:r w:rsidRPr="001B4A02">
              <w:rPr>
                <w:rFonts w:ascii="Times New Roman" w:hAnsi="Times New Roman"/>
                <w:b w:val="0"/>
                <w:lang w:val="cs-CZ"/>
              </w:rPr>
              <w:t>nem s</w:t>
            </w:r>
            <w:r w:rsidR="00075234" w:rsidRPr="001B4A02">
              <w:rPr>
                <w:rFonts w:ascii="Times New Roman" w:hAnsi="Times New Roman"/>
                <w:b w:val="0"/>
                <w:lang w:val="cs-CZ"/>
              </w:rPr>
              <w:t> </w:t>
            </w:r>
            <w:r w:rsidRPr="001B4A02">
              <w:rPr>
                <w:rFonts w:ascii="Times New Roman" w:hAnsi="Times New Roman"/>
                <w:b w:val="0"/>
                <w:lang w:val="cs-CZ"/>
              </w:rPr>
              <w:t>alkoholem.</w:t>
            </w:r>
          </w:p>
          <w:p w14:paraId="79CB0CBB" w14:textId="77777777" w:rsidR="0069125D" w:rsidRPr="001B4A02" w:rsidRDefault="0069125D" w:rsidP="00ED48A3">
            <w:pPr>
              <w:pStyle w:val="EMEANormal"/>
              <w:keepNext/>
              <w:rPr>
                <w:lang w:val="cs-CZ"/>
              </w:rPr>
            </w:pPr>
          </w:p>
          <w:p w14:paraId="7DB44A01" w14:textId="77777777" w:rsidR="0069125D" w:rsidRPr="001B4A02" w:rsidRDefault="00000000" w:rsidP="00ED48A3">
            <w:pPr>
              <w:pStyle w:val="EMEAHeadingLeaflet"/>
              <w:keepNext/>
              <w:numPr>
                <w:ilvl w:val="0"/>
                <w:numId w:val="109"/>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 xml:space="preserve">Injekci </w:t>
            </w:r>
            <w:r w:rsidRPr="001B4A02">
              <w:rPr>
                <w:rFonts w:ascii="Times New Roman" w:hAnsi="Times New Roman"/>
                <w:lang w:val="cs-CZ"/>
              </w:rPr>
              <w:t>nevpichujte</w:t>
            </w:r>
            <w:r w:rsidRPr="001B4A02">
              <w:rPr>
                <w:rFonts w:ascii="Times New Roman" w:hAnsi="Times New Roman"/>
                <w:b w:val="0"/>
                <w:lang w:val="cs-CZ"/>
              </w:rPr>
              <w:t xml:space="preserve"> přes oděv</w:t>
            </w:r>
          </w:p>
          <w:p w14:paraId="0888141C" w14:textId="77777777" w:rsidR="0069125D" w:rsidRPr="001B4A02" w:rsidRDefault="00000000" w:rsidP="00ED48A3">
            <w:pPr>
              <w:pStyle w:val="EMEANormal"/>
              <w:keepNext/>
              <w:numPr>
                <w:ilvl w:val="0"/>
                <w:numId w:val="109"/>
              </w:numPr>
              <w:tabs>
                <w:tab w:val="clear" w:pos="562"/>
                <w:tab w:val="left" w:pos="757"/>
              </w:tabs>
              <w:rPr>
                <w:lang w:val="cs-CZ"/>
              </w:rPr>
            </w:pPr>
            <w:r w:rsidRPr="001B4A02">
              <w:rPr>
                <w:lang w:val="cs-CZ"/>
              </w:rPr>
              <w:t>Injekci</w:t>
            </w:r>
            <w:r w:rsidRPr="001B4A02">
              <w:rPr>
                <w:b/>
                <w:lang w:val="cs-CZ"/>
              </w:rPr>
              <w:t xml:space="preserve"> nevpichujte</w:t>
            </w:r>
            <w:r w:rsidRPr="001B4A02">
              <w:rPr>
                <w:lang w:val="cs-CZ"/>
              </w:rPr>
              <w:t xml:space="preserve"> do kůže, která je citlivá, zhmožděná, červená, zatvrdlá, zjizvená, se striemi, ani do ložisek psoriázy</w:t>
            </w:r>
          </w:p>
        </w:tc>
      </w:tr>
      <w:tr w:rsidR="00534A2D" w14:paraId="01147ABD" w14:textId="77777777" w:rsidTr="001D778F">
        <w:tc>
          <w:tcPr>
            <w:tcW w:w="3708" w:type="dxa"/>
            <w:tcBorders>
              <w:right w:val="nil"/>
            </w:tcBorders>
            <w:shd w:val="clear" w:color="auto" w:fill="auto"/>
          </w:tcPr>
          <w:p w14:paraId="0683E6C2" w14:textId="77777777" w:rsidR="0069125D" w:rsidRPr="001B4A02" w:rsidRDefault="00000000" w:rsidP="00970906">
            <w:pPr>
              <w:pStyle w:val="EMEANormal"/>
              <w:rPr>
                <w:b/>
                <w:lang w:val="cs-CZ"/>
              </w:rPr>
            </w:pPr>
            <w:r w:rsidRPr="001B4A02">
              <w:rPr>
                <w:b/>
                <w:lang w:val="cs-CZ"/>
              </w:rPr>
              <w:t>KROK 4</w:t>
            </w:r>
          </w:p>
          <w:p w14:paraId="0D38578D" w14:textId="77777777" w:rsidR="0069125D" w:rsidRPr="001B4A02" w:rsidRDefault="0069125D" w:rsidP="00970906">
            <w:pPr>
              <w:pStyle w:val="EMEANormal"/>
              <w:rPr>
                <w:b/>
                <w:lang w:val="cs-CZ"/>
              </w:rPr>
            </w:pPr>
          </w:p>
          <w:p w14:paraId="4583831B" w14:textId="77777777" w:rsidR="0069125D" w:rsidRPr="001B4A02" w:rsidRDefault="00000000" w:rsidP="00970906">
            <w:pPr>
              <w:pStyle w:val="EMEANormal"/>
              <w:rPr>
                <w:lang w:val="cs-CZ"/>
              </w:rPr>
            </w:pPr>
            <w:r w:rsidRPr="001B4A02">
              <w:rPr>
                <w:noProof/>
              </w:rPr>
              <w:drawing>
                <wp:inline distT="0" distB="0" distL="0" distR="0" wp14:anchorId="707932CC" wp14:editId="749E9E6A">
                  <wp:extent cx="2208530" cy="2044700"/>
                  <wp:effectExtent l="0" t="0" r="1270" b="0"/>
                  <wp:docPr id="555" name="obrázek 555"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Picture 555" descr="STEP4_grey"/>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2208530" cy="2044700"/>
                          </a:xfrm>
                          <a:prstGeom prst="rect">
                            <a:avLst/>
                          </a:prstGeom>
                          <a:noFill/>
                          <a:ln>
                            <a:noFill/>
                          </a:ln>
                        </pic:spPr>
                      </pic:pic>
                    </a:graphicData>
                  </a:graphic>
                </wp:inline>
              </w:drawing>
            </w:r>
          </w:p>
        </w:tc>
        <w:tc>
          <w:tcPr>
            <w:tcW w:w="5579" w:type="dxa"/>
            <w:tcBorders>
              <w:left w:val="nil"/>
            </w:tcBorders>
            <w:shd w:val="clear" w:color="auto" w:fill="auto"/>
          </w:tcPr>
          <w:p w14:paraId="61497634" w14:textId="77777777" w:rsidR="0069125D" w:rsidRPr="001B4A02" w:rsidRDefault="0069125D" w:rsidP="00970906">
            <w:pPr>
              <w:pStyle w:val="EMEAHeadingLeaflet"/>
              <w:spacing w:beforeLines="0" w:afterLines="0"/>
              <w:rPr>
                <w:rFonts w:ascii="Times New Roman" w:hAnsi="Times New Roman"/>
                <w:b w:val="0"/>
                <w:lang w:val="cs-CZ"/>
              </w:rPr>
            </w:pPr>
          </w:p>
          <w:p w14:paraId="5A488919" w14:textId="77777777" w:rsidR="0069125D"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 xml:space="preserve">Předplněné pero držte tak, aby šedý kryt 1 směřoval vzhůru. </w:t>
            </w:r>
          </w:p>
          <w:p w14:paraId="2BC0669D" w14:textId="77777777" w:rsidR="0069125D" w:rsidRPr="001B4A02" w:rsidRDefault="0069125D" w:rsidP="00970906">
            <w:pPr>
              <w:pStyle w:val="EMEANormal"/>
              <w:rPr>
                <w:lang w:val="cs-CZ"/>
              </w:rPr>
            </w:pPr>
          </w:p>
          <w:p w14:paraId="0F2D6968" w14:textId="77777777" w:rsidR="0069125D"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Zkontrolujte vzhled roztoku přes okénko.</w:t>
            </w:r>
          </w:p>
          <w:p w14:paraId="5C31827C" w14:textId="77777777" w:rsidR="0069125D" w:rsidRPr="001B4A02" w:rsidRDefault="0069125D" w:rsidP="00970906">
            <w:pPr>
              <w:pStyle w:val="EMEANormal"/>
              <w:rPr>
                <w:lang w:val="cs-CZ"/>
              </w:rPr>
            </w:pPr>
          </w:p>
          <w:p w14:paraId="7267C8BA" w14:textId="77777777" w:rsidR="0069125D" w:rsidRPr="001B4A02" w:rsidRDefault="00000000" w:rsidP="00970906">
            <w:pPr>
              <w:pStyle w:val="EMEAHeadingLeaflet"/>
              <w:numPr>
                <w:ilvl w:val="0"/>
                <w:numId w:val="110"/>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Výskyt 1 nebo v</w:t>
            </w:r>
            <w:r w:rsidR="00785E3C" w:rsidRPr="001B4A02">
              <w:rPr>
                <w:rFonts w:ascii="Times New Roman" w:hAnsi="Times New Roman"/>
                <w:b w:val="0"/>
                <w:lang w:val="cs-CZ"/>
              </w:rPr>
              <w:t>í</w:t>
            </w:r>
            <w:r w:rsidRPr="001B4A02">
              <w:rPr>
                <w:rFonts w:ascii="Times New Roman" w:hAnsi="Times New Roman"/>
                <w:b w:val="0"/>
                <w:lang w:val="cs-CZ"/>
              </w:rPr>
              <w:t>ce bublin v</w:t>
            </w:r>
            <w:r w:rsidR="00075234" w:rsidRPr="001B4A02">
              <w:rPr>
                <w:rFonts w:ascii="Times New Roman" w:hAnsi="Times New Roman"/>
                <w:b w:val="0"/>
                <w:lang w:val="cs-CZ"/>
              </w:rPr>
              <w:t> </w:t>
            </w:r>
            <w:r w:rsidRPr="001B4A02">
              <w:rPr>
                <w:rFonts w:ascii="Times New Roman" w:hAnsi="Times New Roman"/>
                <w:b w:val="0"/>
                <w:lang w:val="cs-CZ"/>
              </w:rPr>
              <w:t>okénku je normální</w:t>
            </w:r>
          </w:p>
          <w:p w14:paraId="128C872D" w14:textId="77777777" w:rsidR="0069125D" w:rsidRPr="001B4A02" w:rsidRDefault="00000000" w:rsidP="00970906">
            <w:pPr>
              <w:pStyle w:val="EMEAHeadingLeaflet"/>
              <w:numPr>
                <w:ilvl w:val="0"/>
                <w:numId w:val="110"/>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Zkontrolujte, zda je roztok čirý</w:t>
            </w:r>
            <w:r w:rsidR="002378E0">
              <w:rPr>
                <w:rFonts w:ascii="Times New Roman" w:hAnsi="Times New Roman"/>
                <w:b w:val="0"/>
                <w:lang w:val="cs-CZ"/>
              </w:rPr>
              <w:t xml:space="preserve"> a </w:t>
            </w:r>
            <w:r w:rsidRPr="001B4A02">
              <w:rPr>
                <w:rFonts w:ascii="Times New Roman" w:hAnsi="Times New Roman"/>
                <w:b w:val="0"/>
                <w:lang w:val="cs-CZ"/>
              </w:rPr>
              <w:t>bezbarvý</w:t>
            </w:r>
          </w:p>
          <w:p w14:paraId="342A89B6" w14:textId="77777777" w:rsidR="0069125D" w:rsidRPr="001B4A02" w:rsidRDefault="00000000" w:rsidP="00970906">
            <w:pPr>
              <w:pStyle w:val="EMEAHeadingLeaflet"/>
              <w:numPr>
                <w:ilvl w:val="0"/>
                <w:numId w:val="110"/>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 xml:space="preserve">Předplněné pero </w:t>
            </w:r>
            <w:r w:rsidRPr="001B4A02">
              <w:rPr>
                <w:rFonts w:ascii="Times New Roman" w:hAnsi="Times New Roman"/>
                <w:lang w:val="cs-CZ"/>
              </w:rPr>
              <w:t>nepoužívejte</w:t>
            </w:r>
            <w:r w:rsidRPr="001B4A02">
              <w:rPr>
                <w:rFonts w:ascii="Times New Roman" w:hAnsi="Times New Roman"/>
                <w:b w:val="0"/>
                <w:lang w:val="cs-CZ"/>
              </w:rPr>
              <w:t>, jestliže je roztok zakalený nebo v</w:t>
            </w:r>
            <w:r w:rsidR="00075234" w:rsidRPr="001B4A02">
              <w:rPr>
                <w:rFonts w:ascii="Times New Roman" w:hAnsi="Times New Roman"/>
                <w:b w:val="0"/>
                <w:lang w:val="cs-CZ"/>
              </w:rPr>
              <w:t> </w:t>
            </w:r>
            <w:r w:rsidRPr="001B4A02">
              <w:rPr>
                <w:rFonts w:ascii="Times New Roman" w:hAnsi="Times New Roman"/>
                <w:b w:val="0"/>
                <w:lang w:val="cs-CZ"/>
              </w:rPr>
              <w:t>něm jsou viditelné částice</w:t>
            </w:r>
          </w:p>
          <w:p w14:paraId="5EF1E614" w14:textId="77777777" w:rsidR="0069125D" w:rsidRPr="001B4A02" w:rsidRDefault="00000000" w:rsidP="00970906">
            <w:pPr>
              <w:pStyle w:val="EMEANormal"/>
              <w:numPr>
                <w:ilvl w:val="0"/>
                <w:numId w:val="110"/>
              </w:numPr>
              <w:tabs>
                <w:tab w:val="clear" w:pos="562"/>
                <w:tab w:val="left" w:pos="757"/>
              </w:tabs>
              <w:rPr>
                <w:lang w:val="cs-CZ"/>
              </w:rPr>
            </w:pPr>
            <w:r w:rsidRPr="001B4A02">
              <w:rPr>
                <w:lang w:val="cs-CZ"/>
              </w:rPr>
              <w:t xml:space="preserve">Předplněné pero </w:t>
            </w:r>
            <w:r w:rsidRPr="001B4A02">
              <w:rPr>
                <w:b/>
                <w:lang w:val="cs-CZ"/>
              </w:rPr>
              <w:t>nepoužívejte</w:t>
            </w:r>
            <w:r w:rsidRPr="001B4A02">
              <w:rPr>
                <w:lang w:val="cs-CZ"/>
              </w:rPr>
              <w:t>, jestliže spadlo na zem nebo se rozbilo</w:t>
            </w:r>
          </w:p>
        </w:tc>
      </w:tr>
      <w:tr w:rsidR="00534A2D" w14:paraId="14FC41F1" w14:textId="77777777" w:rsidTr="001D778F">
        <w:tc>
          <w:tcPr>
            <w:tcW w:w="3708" w:type="dxa"/>
            <w:tcBorders>
              <w:right w:val="nil"/>
            </w:tcBorders>
            <w:shd w:val="clear" w:color="auto" w:fill="auto"/>
          </w:tcPr>
          <w:p w14:paraId="09B5669A" w14:textId="77777777" w:rsidR="0069125D" w:rsidRPr="001B4A02" w:rsidRDefault="00000000" w:rsidP="00970906">
            <w:pPr>
              <w:pStyle w:val="EMEANormal"/>
              <w:rPr>
                <w:lang w:val="cs-CZ"/>
              </w:rPr>
            </w:pPr>
            <w:r w:rsidRPr="001B4A02">
              <w:rPr>
                <w:b/>
                <w:lang w:val="cs-CZ"/>
              </w:rPr>
              <w:t>KROK 5</w:t>
            </w:r>
            <w:r w:rsidRPr="001B4A02">
              <w:rPr>
                <w:lang w:val="cs-CZ"/>
              </w:rPr>
              <w:t xml:space="preserve"> </w:t>
            </w:r>
          </w:p>
          <w:p w14:paraId="0F2DCF6E" w14:textId="77777777" w:rsidR="0069125D" w:rsidRPr="001B4A02" w:rsidRDefault="0069125D" w:rsidP="00970906">
            <w:pPr>
              <w:pStyle w:val="EMEANormal"/>
              <w:rPr>
                <w:lang w:val="cs-CZ"/>
              </w:rPr>
            </w:pPr>
          </w:p>
          <w:p w14:paraId="6B7B77C0" w14:textId="77777777" w:rsidR="0069125D" w:rsidRPr="001B4A02" w:rsidRDefault="00000000" w:rsidP="00970906">
            <w:pPr>
              <w:pStyle w:val="EMEANormal"/>
              <w:rPr>
                <w:b/>
                <w:lang w:val="cs-CZ"/>
              </w:rPr>
            </w:pPr>
            <w:r w:rsidRPr="001B4A02">
              <w:rPr>
                <w:b/>
                <w:lang w:val="cs-CZ"/>
              </w:rPr>
              <w:t>Kryt 1</w:t>
            </w:r>
          </w:p>
          <w:p w14:paraId="7AADFF90" w14:textId="77777777" w:rsidR="0069125D" w:rsidRPr="001B4A02" w:rsidRDefault="00000000" w:rsidP="00970906">
            <w:pPr>
              <w:pStyle w:val="EMEANormal"/>
              <w:rPr>
                <w:lang w:val="cs-CZ"/>
              </w:rPr>
            </w:pPr>
            <w:r w:rsidRPr="001B4A02">
              <w:rPr>
                <w:noProof/>
              </w:rPr>
              <w:drawing>
                <wp:inline distT="0" distB="0" distL="0" distR="0" wp14:anchorId="04302E57" wp14:editId="476E6D63">
                  <wp:extent cx="2026920" cy="1854835"/>
                  <wp:effectExtent l="0" t="0" r="0" b="0"/>
                  <wp:docPr id="556" name="obrázek 556"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Picture 556" descr="EU_IFU_STEP5_grey"/>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2026920" cy="1854835"/>
                          </a:xfrm>
                          <a:prstGeom prst="rect">
                            <a:avLst/>
                          </a:prstGeom>
                          <a:noFill/>
                          <a:ln>
                            <a:noFill/>
                          </a:ln>
                        </pic:spPr>
                      </pic:pic>
                    </a:graphicData>
                  </a:graphic>
                </wp:inline>
              </w:drawing>
            </w:r>
          </w:p>
          <w:p w14:paraId="003234D2" w14:textId="77777777" w:rsidR="0069125D" w:rsidRPr="001B4A02" w:rsidRDefault="00000000" w:rsidP="00970906">
            <w:pPr>
              <w:pStyle w:val="EMEANormal"/>
              <w:rPr>
                <w:b/>
                <w:lang w:val="cs-CZ"/>
              </w:rPr>
            </w:pPr>
            <w:r w:rsidRPr="001B4A02">
              <w:rPr>
                <w:b/>
                <w:lang w:val="cs-CZ"/>
              </w:rPr>
              <w:t xml:space="preserve">                                            Kryt 2</w:t>
            </w:r>
          </w:p>
        </w:tc>
        <w:tc>
          <w:tcPr>
            <w:tcW w:w="5579" w:type="dxa"/>
            <w:tcBorders>
              <w:left w:val="nil"/>
            </w:tcBorders>
            <w:shd w:val="clear" w:color="auto" w:fill="auto"/>
          </w:tcPr>
          <w:p w14:paraId="2121195C" w14:textId="77777777" w:rsidR="0069125D" w:rsidRPr="001B4A02" w:rsidRDefault="0069125D" w:rsidP="00970906">
            <w:pPr>
              <w:pStyle w:val="EMEAHeadingLeaflet"/>
              <w:spacing w:beforeLines="0" w:afterLines="0"/>
              <w:rPr>
                <w:rFonts w:ascii="Times New Roman" w:hAnsi="Times New Roman"/>
                <w:b w:val="0"/>
                <w:lang w:val="cs-CZ"/>
              </w:rPr>
            </w:pPr>
          </w:p>
          <w:p w14:paraId="0DD69353" w14:textId="77777777" w:rsidR="0069125D"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Tahem v</w:t>
            </w:r>
            <w:r w:rsidR="00075234" w:rsidRPr="001B4A02">
              <w:rPr>
                <w:rFonts w:ascii="Times New Roman" w:hAnsi="Times New Roman"/>
                <w:b w:val="0"/>
                <w:lang w:val="cs-CZ"/>
              </w:rPr>
              <w:t> </w:t>
            </w:r>
            <w:r w:rsidRPr="001B4A02">
              <w:rPr>
                <w:rFonts w:ascii="Times New Roman" w:hAnsi="Times New Roman"/>
                <w:b w:val="0"/>
                <w:lang w:val="cs-CZ"/>
              </w:rPr>
              <w:t>přímém směru sejměte šedý kryt 1. Kryt zlikvidujte. Nenasazujte jej znovu.</w:t>
            </w:r>
          </w:p>
          <w:p w14:paraId="7BDEA227" w14:textId="77777777" w:rsidR="0069125D" w:rsidRPr="001B4A02" w:rsidRDefault="0069125D" w:rsidP="00970906">
            <w:pPr>
              <w:pStyle w:val="EMEANormal"/>
              <w:rPr>
                <w:lang w:val="cs-CZ"/>
              </w:rPr>
            </w:pPr>
          </w:p>
          <w:p w14:paraId="26FFAB8E" w14:textId="77777777" w:rsidR="0069125D" w:rsidRPr="001B4A02" w:rsidRDefault="00000000" w:rsidP="00970906">
            <w:pPr>
              <w:pStyle w:val="EMEAHeadingLeaflet"/>
              <w:numPr>
                <w:ilvl w:val="0"/>
                <w:numId w:val="111"/>
              </w:numPr>
              <w:tabs>
                <w:tab w:val="clear" w:pos="562"/>
                <w:tab w:val="left" w:pos="757"/>
              </w:tabs>
              <w:spacing w:beforeLines="0" w:afterLines="0"/>
              <w:ind w:left="763"/>
              <w:rPr>
                <w:rFonts w:ascii="Times New Roman" w:hAnsi="Times New Roman"/>
                <w:b w:val="0"/>
                <w:lang w:val="cs-CZ"/>
              </w:rPr>
            </w:pPr>
            <w:r w:rsidRPr="001B4A02">
              <w:rPr>
                <w:rFonts w:ascii="Times New Roman" w:hAnsi="Times New Roman"/>
                <w:b w:val="0"/>
                <w:lang w:val="cs-CZ"/>
              </w:rPr>
              <w:t>Zkontrolujte, že malý černý kryt jehly byl odstraněn s</w:t>
            </w:r>
            <w:r w:rsidR="00075234" w:rsidRPr="001B4A02">
              <w:rPr>
                <w:rFonts w:ascii="Times New Roman" w:hAnsi="Times New Roman"/>
                <w:b w:val="0"/>
                <w:lang w:val="cs-CZ"/>
              </w:rPr>
              <w:t> </w:t>
            </w:r>
            <w:r w:rsidRPr="001B4A02">
              <w:rPr>
                <w:rFonts w:ascii="Times New Roman" w:hAnsi="Times New Roman"/>
                <w:b w:val="0"/>
                <w:lang w:val="cs-CZ"/>
              </w:rPr>
              <w:t>horním krytem</w:t>
            </w:r>
          </w:p>
          <w:p w14:paraId="396523F4" w14:textId="77777777" w:rsidR="0069125D" w:rsidRPr="001B4A02" w:rsidRDefault="00000000" w:rsidP="00970906">
            <w:pPr>
              <w:pStyle w:val="EMEAHeadingLeaflet"/>
              <w:numPr>
                <w:ilvl w:val="0"/>
                <w:numId w:val="111"/>
              </w:numPr>
              <w:tabs>
                <w:tab w:val="clear" w:pos="562"/>
                <w:tab w:val="left" w:pos="757"/>
              </w:tabs>
              <w:spacing w:beforeLines="0" w:afterLines="0"/>
              <w:rPr>
                <w:rFonts w:ascii="Times New Roman" w:hAnsi="Times New Roman"/>
                <w:b w:val="0"/>
                <w:lang w:val="cs-CZ"/>
              </w:rPr>
            </w:pPr>
            <w:r w:rsidRPr="001B4A02">
              <w:rPr>
                <w:rFonts w:ascii="Times New Roman" w:hAnsi="Times New Roman"/>
                <w:b w:val="0"/>
                <w:lang w:val="cs-CZ"/>
              </w:rPr>
              <w:t>Pokud z</w:t>
            </w:r>
            <w:r w:rsidR="00075234" w:rsidRPr="001B4A02">
              <w:rPr>
                <w:rFonts w:ascii="Times New Roman" w:hAnsi="Times New Roman"/>
                <w:b w:val="0"/>
                <w:lang w:val="cs-CZ"/>
              </w:rPr>
              <w:t> </w:t>
            </w:r>
            <w:r w:rsidRPr="001B4A02">
              <w:rPr>
                <w:rFonts w:ascii="Times New Roman" w:hAnsi="Times New Roman"/>
                <w:b w:val="0"/>
                <w:lang w:val="cs-CZ"/>
              </w:rPr>
              <w:t>jehly unikne pár drobných kapek tekutiny, je to v</w:t>
            </w:r>
            <w:r w:rsidR="00075234" w:rsidRPr="001B4A02">
              <w:rPr>
                <w:rFonts w:ascii="Times New Roman" w:hAnsi="Times New Roman"/>
                <w:b w:val="0"/>
                <w:lang w:val="cs-CZ"/>
              </w:rPr>
              <w:t> </w:t>
            </w:r>
            <w:r w:rsidRPr="001B4A02">
              <w:rPr>
                <w:rFonts w:ascii="Times New Roman" w:hAnsi="Times New Roman"/>
                <w:b w:val="0"/>
                <w:lang w:val="cs-CZ"/>
              </w:rPr>
              <w:t>pořádku</w:t>
            </w:r>
          </w:p>
          <w:p w14:paraId="78211869" w14:textId="77777777" w:rsidR="0069125D" w:rsidRPr="001B4A02" w:rsidRDefault="0069125D" w:rsidP="00970906">
            <w:pPr>
              <w:pStyle w:val="EMEANormal"/>
              <w:rPr>
                <w:lang w:val="cs-CZ"/>
              </w:rPr>
            </w:pPr>
          </w:p>
          <w:p w14:paraId="28B26D01" w14:textId="77777777" w:rsidR="0069125D"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Tahem v</w:t>
            </w:r>
            <w:r w:rsidR="00075234" w:rsidRPr="001B4A02">
              <w:rPr>
                <w:rFonts w:ascii="Times New Roman" w:hAnsi="Times New Roman"/>
                <w:b w:val="0"/>
                <w:lang w:val="cs-CZ"/>
              </w:rPr>
              <w:t> </w:t>
            </w:r>
            <w:r w:rsidRPr="001B4A02">
              <w:rPr>
                <w:rFonts w:ascii="Times New Roman" w:hAnsi="Times New Roman"/>
                <w:b w:val="0"/>
                <w:lang w:val="cs-CZ"/>
              </w:rPr>
              <w:t>přímém směru sejměte vínový kryt 2. Kryt zlikvidujte. Nenasazujte jej znovu.</w:t>
            </w:r>
          </w:p>
          <w:p w14:paraId="600C98C0" w14:textId="77777777" w:rsidR="0069125D" w:rsidRPr="001B4A02" w:rsidRDefault="0069125D" w:rsidP="00970906">
            <w:pPr>
              <w:pStyle w:val="EMEANormal"/>
              <w:rPr>
                <w:lang w:val="cs-CZ"/>
              </w:rPr>
            </w:pPr>
          </w:p>
          <w:p w14:paraId="5E4CF256" w14:textId="77777777" w:rsidR="0069125D" w:rsidRPr="001B4A02" w:rsidRDefault="00000000" w:rsidP="00970906">
            <w:pPr>
              <w:pStyle w:val="EMEANormal"/>
              <w:rPr>
                <w:lang w:val="cs-CZ"/>
              </w:rPr>
            </w:pPr>
            <w:r w:rsidRPr="001B4A02">
              <w:rPr>
                <w:lang w:val="cs-CZ"/>
              </w:rPr>
              <w:t>Předplněné pero je nyní připraveno k</w:t>
            </w:r>
            <w:r w:rsidR="00075234" w:rsidRPr="001B4A02">
              <w:rPr>
                <w:lang w:val="cs-CZ"/>
              </w:rPr>
              <w:t> </w:t>
            </w:r>
            <w:r w:rsidRPr="001B4A02">
              <w:rPr>
                <w:lang w:val="cs-CZ"/>
              </w:rPr>
              <w:t>použití.</w:t>
            </w:r>
          </w:p>
          <w:p w14:paraId="48F9BF5C" w14:textId="77777777" w:rsidR="0069125D" w:rsidRPr="001B4A02" w:rsidRDefault="0069125D" w:rsidP="00970906">
            <w:pPr>
              <w:pStyle w:val="EMEANormal"/>
              <w:rPr>
                <w:lang w:val="cs-CZ"/>
              </w:rPr>
            </w:pPr>
          </w:p>
          <w:p w14:paraId="302EF867" w14:textId="77777777" w:rsidR="0069125D" w:rsidRPr="001B4A02" w:rsidRDefault="00000000" w:rsidP="00970906">
            <w:pPr>
              <w:pStyle w:val="EMEANormal"/>
              <w:rPr>
                <w:lang w:val="cs-CZ"/>
              </w:rPr>
            </w:pPr>
            <w:r w:rsidRPr="001B4A02">
              <w:rPr>
                <w:lang w:val="cs-CZ"/>
              </w:rPr>
              <w:t>Předplněné pero natočte tak, aby bílá šipka směřovala k</w:t>
            </w:r>
            <w:r w:rsidR="00075234" w:rsidRPr="001B4A02">
              <w:rPr>
                <w:lang w:val="cs-CZ"/>
              </w:rPr>
              <w:t> </w:t>
            </w:r>
            <w:r w:rsidRPr="001B4A02">
              <w:rPr>
                <w:lang w:val="cs-CZ"/>
              </w:rPr>
              <w:t>místu vpichu.</w:t>
            </w:r>
          </w:p>
        </w:tc>
      </w:tr>
      <w:tr w:rsidR="00534A2D" w14:paraId="33899BBB" w14:textId="77777777" w:rsidTr="001D778F">
        <w:tc>
          <w:tcPr>
            <w:tcW w:w="3708" w:type="dxa"/>
            <w:tcBorders>
              <w:right w:val="nil"/>
            </w:tcBorders>
            <w:shd w:val="clear" w:color="auto" w:fill="auto"/>
          </w:tcPr>
          <w:p w14:paraId="2C7A68B5" w14:textId="77777777" w:rsidR="0069125D" w:rsidRPr="001B4A02" w:rsidRDefault="00000000" w:rsidP="00003181">
            <w:pPr>
              <w:pStyle w:val="EMEANormal"/>
              <w:rPr>
                <w:b/>
                <w:lang w:val="cs-CZ"/>
              </w:rPr>
            </w:pPr>
            <w:r w:rsidRPr="001B4A02">
              <w:rPr>
                <w:b/>
                <w:lang w:val="cs-CZ"/>
              </w:rPr>
              <w:t>KROK 6</w:t>
            </w:r>
          </w:p>
          <w:p w14:paraId="6F0FBD65" w14:textId="77777777" w:rsidR="0069125D" w:rsidRPr="001B4A02" w:rsidRDefault="00000000" w:rsidP="00ED48A3">
            <w:pPr>
              <w:pStyle w:val="EMEANormal"/>
              <w:keepNext/>
              <w:rPr>
                <w:lang w:val="cs-CZ"/>
              </w:rPr>
            </w:pPr>
            <w:r w:rsidRPr="001B4A02">
              <w:rPr>
                <w:noProof/>
              </w:rPr>
              <w:drawing>
                <wp:inline distT="0" distB="0" distL="0" distR="0" wp14:anchorId="72674820" wp14:editId="7F46F9AB">
                  <wp:extent cx="2259965" cy="2139315"/>
                  <wp:effectExtent l="0" t="0" r="6985" b="0"/>
                  <wp:docPr id="557" name="obrázek 557"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Picture 557" descr="STEP6_grey"/>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2259965" cy="2139315"/>
                          </a:xfrm>
                          <a:prstGeom prst="rect">
                            <a:avLst/>
                          </a:prstGeom>
                          <a:noFill/>
                          <a:ln>
                            <a:noFill/>
                          </a:ln>
                        </pic:spPr>
                      </pic:pic>
                    </a:graphicData>
                  </a:graphic>
                </wp:inline>
              </w:drawing>
            </w:r>
          </w:p>
        </w:tc>
        <w:tc>
          <w:tcPr>
            <w:tcW w:w="5579" w:type="dxa"/>
            <w:tcBorders>
              <w:left w:val="nil"/>
            </w:tcBorders>
            <w:shd w:val="clear" w:color="auto" w:fill="auto"/>
          </w:tcPr>
          <w:p w14:paraId="49E1BD22" w14:textId="77777777" w:rsidR="0069125D" w:rsidRPr="001B4A02" w:rsidRDefault="0069125D" w:rsidP="00ED48A3">
            <w:pPr>
              <w:pStyle w:val="EMEAHeadingLeaflet"/>
              <w:keepNext/>
              <w:spacing w:beforeLines="0" w:afterLines="0"/>
              <w:rPr>
                <w:rFonts w:ascii="Times New Roman" w:hAnsi="Times New Roman"/>
                <w:b w:val="0"/>
                <w:lang w:val="cs-CZ"/>
              </w:rPr>
            </w:pPr>
          </w:p>
          <w:p w14:paraId="74219B7D" w14:textId="77777777" w:rsidR="0069125D" w:rsidRPr="001B4A02" w:rsidRDefault="00000000" w:rsidP="00ED48A3">
            <w:pPr>
              <w:pStyle w:val="EMEAHeadingLeaflet"/>
              <w:keepNext/>
              <w:spacing w:beforeLines="0" w:afterLines="0"/>
              <w:rPr>
                <w:rFonts w:ascii="Times New Roman" w:hAnsi="Times New Roman"/>
                <w:b w:val="0"/>
                <w:lang w:val="cs-CZ"/>
              </w:rPr>
            </w:pPr>
            <w:r w:rsidRPr="00243EC5">
              <w:rPr>
                <w:rFonts w:ascii="Times New Roman" w:hAnsi="Times New Roman"/>
                <w:b w:val="0"/>
                <w:lang w:val="cs-CZ"/>
              </w:rPr>
              <w:t xml:space="preserve">Druhou rukou </w:t>
            </w:r>
            <w:r>
              <w:rPr>
                <w:rFonts w:ascii="Times New Roman" w:hAnsi="Times New Roman"/>
                <w:b w:val="0"/>
                <w:lang w:val="cs-CZ"/>
              </w:rPr>
              <w:t>s</w:t>
            </w:r>
            <w:r w:rsidRPr="001B4A02">
              <w:rPr>
                <w:rFonts w:ascii="Times New Roman" w:hAnsi="Times New Roman"/>
                <w:b w:val="0"/>
                <w:lang w:val="cs-CZ"/>
              </w:rPr>
              <w:t>tiskněte kůži v</w:t>
            </w:r>
            <w:r w:rsidR="00075234" w:rsidRPr="001B4A02">
              <w:rPr>
                <w:rFonts w:ascii="Times New Roman" w:hAnsi="Times New Roman"/>
                <w:b w:val="0"/>
                <w:lang w:val="cs-CZ"/>
              </w:rPr>
              <w:t> </w:t>
            </w:r>
            <w:r w:rsidRPr="001B4A02">
              <w:rPr>
                <w:rFonts w:ascii="Times New Roman" w:hAnsi="Times New Roman"/>
                <w:b w:val="0"/>
                <w:lang w:val="cs-CZ"/>
              </w:rPr>
              <w:t>místě vpichu</w:t>
            </w:r>
            <w:r w:rsidR="00A745D1" w:rsidRPr="001B4A02">
              <w:rPr>
                <w:rFonts w:ascii="Times New Roman" w:hAnsi="Times New Roman"/>
                <w:b w:val="0"/>
                <w:lang w:val="cs-CZ"/>
              </w:rPr>
              <w:t xml:space="preserve"> </w:t>
            </w:r>
            <w:r w:rsidRPr="001B4A02">
              <w:rPr>
                <w:rFonts w:ascii="Times New Roman" w:hAnsi="Times New Roman"/>
                <w:b w:val="0"/>
                <w:lang w:val="cs-CZ"/>
              </w:rPr>
              <w:t>tak</w:t>
            </w:r>
            <w:r w:rsidR="009C2686" w:rsidRPr="001B4A02">
              <w:rPr>
                <w:rFonts w:ascii="Times New Roman" w:hAnsi="Times New Roman"/>
                <w:b w:val="0"/>
                <w:lang w:val="cs-CZ"/>
              </w:rPr>
              <w:t>,</w:t>
            </w:r>
            <w:r w:rsidRPr="001B4A02">
              <w:rPr>
                <w:rFonts w:ascii="Times New Roman" w:hAnsi="Times New Roman"/>
                <w:b w:val="0"/>
                <w:lang w:val="cs-CZ"/>
              </w:rPr>
              <w:t xml:space="preserve"> aby vznikla </w:t>
            </w:r>
            <w:r>
              <w:rPr>
                <w:rFonts w:ascii="Times New Roman" w:hAnsi="Times New Roman"/>
                <w:b w:val="0"/>
                <w:lang w:val="cs-CZ"/>
              </w:rPr>
              <w:t>vy</w:t>
            </w:r>
            <w:r w:rsidRPr="001B4A02">
              <w:rPr>
                <w:rFonts w:ascii="Times New Roman" w:hAnsi="Times New Roman"/>
                <w:b w:val="0"/>
                <w:lang w:val="cs-CZ"/>
              </w:rPr>
              <w:t>výšená plocha,</w:t>
            </w:r>
            <w:r w:rsidR="002378E0">
              <w:rPr>
                <w:rFonts w:ascii="Times New Roman" w:hAnsi="Times New Roman"/>
                <w:b w:val="0"/>
                <w:lang w:val="cs-CZ"/>
              </w:rPr>
              <w:t xml:space="preserve"> a </w:t>
            </w:r>
            <w:r w:rsidRPr="001B4A02">
              <w:rPr>
                <w:rFonts w:ascii="Times New Roman" w:hAnsi="Times New Roman"/>
                <w:b w:val="0"/>
                <w:lang w:val="cs-CZ"/>
              </w:rPr>
              <w:t>pevně ji držte</w:t>
            </w:r>
            <w:r w:rsidR="008A5EF5">
              <w:rPr>
                <w:rFonts w:ascii="Times New Roman" w:hAnsi="Times New Roman"/>
                <w:b w:val="0"/>
                <w:lang w:val="cs-CZ"/>
              </w:rPr>
              <w:t>, dokud n</w:t>
            </w:r>
            <w:r w:rsidR="00B378D1">
              <w:rPr>
                <w:rFonts w:ascii="Times New Roman" w:hAnsi="Times New Roman"/>
                <w:b w:val="0"/>
                <w:lang w:val="cs-CZ"/>
              </w:rPr>
              <w:t xml:space="preserve">ebude </w:t>
            </w:r>
            <w:r w:rsidR="008A5EF5">
              <w:rPr>
                <w:rFonts w:ascii="Times New Roman" w:hAnsi="Times New Roman"/>
                <w:b w:val="0"/>
                <w:lang w:val="cs-CZ"/>
              </w:rPr>
              <w:t xml:space="preserve">injekce </w:t>
            </w:r>
            <w:r w:rsidR="00B378D1">
              <w:rPr>
                <w:rFonts w:ascii="Times New Roman" w:hAnsi="Times New Roman"/>
                <w:b w:val="0"/>
                <w:lang w:val="cs-CZ"/>
              </w:rPr>
              <w:t>dokončen</w:t>
            </w:r>
            <w:r w:rsidR="003C3D7A">
              <w:rPr>
                <w:rFonts w:ascii="Times New Roman" w:hAnsi="Times New Roman"/>
                <w:b w:val="0"/>
                <w:lang w:val="cs-CZ"/>
              </w:rPr>
              <w:t>a</w:t>
            </w:r>
            <w:r w:rsidRPr="001B4A02">
              <w:rPr>
                <w:rFonts w:ascii="Times New Roman" w:hAnsi="Times New Roman"/>
                <w:b w:val="0"/>
                <w:lang w:val="cs-CZ"/>
              </w:rPr>
              <w:t>.</w:t>
            </w:r>
          </w:p>
          <w:p w14:paraId="4856F7F5" w14:textId="77777777" w:rsidR="0069125D" w:rsidRPr="001B4A02" w:rsidRDefault="0069125D" w:rsidP="00ED48A3">
            <w:pPr>
              <w:pStyle w:val="EMEANormal"/>
              <w:keepNext/>
              <w:rPr>
                <w:lang w:val="cs-CZ"/>
              </w:rPr>
            </w:pPr>
          </w:p>
          <w:p w14:paraId="4B733B0F" w14:textId="77777777" w:rsidR="0069125D" w:rsidRPr="001B4A02" w:rsidRDefault="00000000" w:rsidP="00ED48A3">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Bílou šipku nasměrujte k</w:t>
            </w:r>
            <w:r w:rsidR="00075234" w:rsidRPr="001B4A02">
              <w:rPr>
                <w:rFonts w:ascii="Times New Roman" w:hAnsi="Times New Roman"/>
                <w:b w:val="0"/>
                <w:lang w:val="cs-CZ"/>
              </w:rPr>
              <w:t> </w:t>
            </w:r>
            <w:r w:rsidRPr="001B4A02">
              <w:rPr>
                <w:rFonts w:ascii="Times New Roman" w:hAnsi="Times New Roman"/>
                <w:b w:val="0"/>
                <w:lang w:val="cs-CZ"/>
              </w:rPr>
              <w:t>místu vpichu (stehno nebo břicho).</w:t>
            </w:r>
          </w:p>
          <w:p w14:paraId="1EAD8C1D" w14:textId="77777777" w:rsidR="0069125D" w:rsidRPr="001B4A02" w:rsidRDefault="0069125D" w:rsidP="00ED48A3">
            <w:pPr>
              <w:pStyle w:val="EMEANormal"/>
              <w:keepNext/>
              <w:rPr>
                <w:lang w:val="cs-CZ"/>
              </w:rPr>
            </w:pPr>
          </w:p>
          <w:p w14:paraId="02E4E9F7" w14:textId="77777777" w:rsidR="0069125D" w:rsidRPr="001B4A02" w:rsidRDefault="00000000" w:rsidP="00ED48A3">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Přiložte bílé pouzdro jehly k</w:t>
            </w:r>
            <w:r w:rsidR="00075234" w:rsidRPr="001B4A02">
              <w:rPr>
                <w:rFonts w:ascii="Times New Roman" w:hAnsi="Times New Roman"/>
                <w:b w:val="0"/>
                <w:lang w:val="cs-CZ"/>
              </w:rPr>
              <w:t> </w:t>
            </w:r>
            <w:r w:rsidRPr="001B4A02">
              <w:rPr>
                <w:rFonts w:ascii="Times New Roman" w:hAnsi="Times New Roman"/>
                <w:b w:val="0"/>
                <w:lang w:val="cs-CZ"/>
              </w:rPr>
              <w:t>místu vpichu pod pravým úhlem (</w:t>
            </w:r>
            <w:r w:rsidRPr="001B4A02">
              <w:rPr>
                <w:rFonts w:ascii="Times New Roman" w:hAnsi="Times New Roman"/>
                <w:lang w:val="cs-CZ"/>
              </w:rPr>
              <w:t>90°</w:t>
            </w:r>
            <w:r w:rsidRPr="001B4A02">
              <w:rPr>
                <w:rFonts w:ascii="Times New Roman" w:hAnsi="Times New Roman"/>
                <w:b w:val="0"/>
                <w:lang w:val="cs-CZ"/>
              </w:rPr>
              <w:t>).</w:t>
            </w:r>
          </w:p>
          <w:p w14:paraId="22F04967" w14:textId="77777777" w:rsidR="0069125D" w:rsidRPr="001B4A02" w:rsidRDefault="0069125D" w:rsidP="00ED48A3">
            <w:pPr>
              <w:pStyle w:val="EMEANormal"/>
              <w:keepNext/>
              <w:rPr>
                <w:lang w:val="cs-CZ"/>
              </w:rPr>
            </w:pPr>
          </w:p>
          <w:p w14:paraId="773CAF63" w14:textId="77777777" w:rsidR="0069125D" w:rsidRDefault="00000000" w:rsidP="00ED48A3">
            <w:pPr>
              <w:pStyle w:val="EMEANormal"/>
              <w:keepNext/>
              <w:rPr>
                <w:lang w:val="cs-CZ"/>
              </w:rPr>
            </w:pPr>
            <w:r w:rsidRPr="001B4A02">
              <w:rPr>
                <w:lang w:val="cs-CZ"/>
              </w:rPr>
              <w:t>Předplněné pero držte tak, abyste viděl(a) na kontrolní okénko.</w:t>
            </w:r>
          </w:p>
          <w:p w14:paraId="6E2157EE" w14:textId="77777777" w:rsidR="008A5EF5" w:rsidRDefault="008A5EF5" w:rsidP="00ED48A3">
            <w:pPr>
              <w:pStyle w:val="EMEANormal"/>
              <w:keepNext/>
              <w:rPr>
                <w:lang w:val="cs-CZ"/>
              </w:rPr>
            </w:pPr>
          </w:p>
          <w:p w14:paraId="1037461E" w14:textId="77777777" w:rsidR="008A5EF5" w:rsidRPr="001B4A02" w:rsidRDefault="00000000" w:rsidP="00ED48A3">
            <w:pPr>
              <w:pStyle w:val="EMEANormal"/>
              <w:keepNext/>
              <w:rPr>
                <w:lang w:val="cs-CZ"/>
              </w:rPr>
            </w:pPr>
            <w:r w:rsidRPr="00F261A6">
              <w:rPr>
                <w:b/>
                <w:bCs/>
                <w:lang w:val="cs-CZ"/>
              </w:rPr>
              <w:t>Nestlačujte</w:t>
            </w:r>
            <w:r w:rsidRPr="008A5EF5">
              <w:rPr>
                <w:lang w:val="cs-CZ"/>
              </w:rPr>
              <w:t xml:space="preserve"> vínové aktivační tlačítko, dokud nebudete připraven(a) na injekc</w:t>
            </w:r>
            <w:r w:rsidR="003C3D7A">
              <w:rPr>
                <w:lang w:val="cs-CZ"/>
              </w:rPr>
              <w:t>i.</w:t>
            </w:r>
          </w:p>
        </w:tc>
      </w:tr>
      <w:tr w:rsidR="00534A2D" w14:paraId="3CA68557" w14:textId="77777777" w:rsidTr="001D778F">
        <w:tc>
          <w:tcPr>
            <w:tcW w:w="3708" w:type="dxa"/>
            <w:tcBorders>
              <w:right w:val="nil"/>
            </w:tcBorders>
            <w:shd w:val="clear" w:color="auto" w:fill="auto"/>
          </w:tcPr>
          <w:p w14:paraId="41281C91" w14:textId="77777777" w:rsidR="0069125D" w:rsidRPr="001B4A02" w:rsidRDefault="00000000" w:rsidP="00970906">
            <w:pPr>
              <w:pStyle w:val="EMEANormal"/>
              <w:jc w:val="both"/>
              <w:rPr>
                <w:b/>
                <w:lang w:val="cs-CZ"/>
              </w:rPr>
            </w:pPr>
            <w:r w:rsidRPr="001B4A02">
              <w:rPr>
                <w:b/>
                <w:lang w:val="cs-CZ"/>
              </w:rPr>
              <w:t>KROK 7</w:t>
            </w:r>
          </w:p>
          <w:p w14:paraId="3ADCB307" w14:textId="77777777" w:rsidR="0069125D" w:rsidRPr="001B4A02" w:rsidRDefault="0069125D" w:rsidP="00970906">
            <w:pPr>
              <w:pStyle w:val="EMEANormal"/>
              <w:jc w:val="both"/>
              <w:rPr>
                <w:b/>
                <w:lang w:val="cs-CZ"/>
              </w:rPr>
            </w:pPr>
          </w:p>
          <w:p w14:paraId="3FCCF0E7" w14:textId="77777777" w:rsidR="0069125D" w:rsidRPr="001B4A02" w:rsidRDefault="00000000" w:rsidP="00970906">
            <w:pPr>
              <w:pStyle w:val="EMEANormal"/>
              <w:rPr>
                <w:b/>
                <w:lang w:val="cs-CZ"/>
              </w:rPr>
            </w:pPr>
            <w:r w:rsidRPr="001B4A02">
              <w:rPr>
                <w:b/>
                <w:lang w:val="cs-CZ"/>
              </w:rPr>
              <w:t xml:space="preserve">                             10 sekund                             </w:t>
            </w:r>
          </w:p>
          <w:p w14:paraId="3442B432" w14:textId="77777777" w:rsidR="0069125D" w:rsidRPr="001B4A02" w:rsidRDefault="00000000" w:rsidP="00970906">
            <w:pPr>
              <w:pStyle w:val="EMEANormal"/>
              <w:rPr>
                <w:lang w:val="cs-CZ"/>
              </w:rPr>
            </w:pPr>
            <w:r w:rsidRPr="001B4A02">
              <w:rPr>
                <w:noProof/>
              </w:rPr>
              <w:drawing>
                <wp:inline distT="0" distB="0" distL="0" distR="0" wp14:anchorId="60E513AC" wp14:editId="4F30A5BE">
                  <wp:extent cx="2216785" cy="2777490"/>
                  <wp:effectExtent l="0" t="0" r="0" b="3810"/>
                  <wp:docPr id="558" name="obrázek 558" descr="STEP7a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Picture 558" descr="STEP7a_grey"/>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2216785" cy="2777490"/>
                          </a:xfrm>
                          <a:prstGeom prst="rect">
                            <a:avLst/>
                          </a:prstGeom>
                          <a:noFill/>
                          <a:ln>
                            <a:noFill/>
                          </a:ln>
                        </pic:spPr>
                      </pic:pic>
                    </a:graphicData>
                  </a:graphic>
                </wp:inline>
              </w:drawing>
            </w:r>
          </w:p>
        </w:tc>
        <w:tc>
          <w:tcPr>
            <w:tcW w:w="5579" w:type="dxa"/>
            <w:tcBorders>
              <w:left w:val="nil"/>
            </w:tcBorders>
            <w:shd w:val="clear" w:color="auto" w:fill="auto"/>
          </w:tcPr>
          <w:p w14:paraId="7E07B9AD" w14:textId="77777777" w:rsidR="0069125D" w:rsidRPr="001B4A02" w:rsidRDefault="0069125D" w:rsidP="00970906">
            <w:pPr>
              <w:pStyle w:val="EMEAHeadingLeaflet"/>
              <w:spacing w:beforeLines="0" w:afterLines="0"/>
              <w:rPr>
                <w:rFonts w:ascii="Times New Roman" w:hAnsi="Times New Roman"/>
                <w:lang w:val="cs-CZ"/>
              </w:rPr>
            </w:pPr>
          </w:p>
          <w:p w14:paraId="096B280C" w14:textId="77777777" w:rsidR="00937026" w:rsidRDefault="00000000" w:rsidP="00970906">
            <w:pPr>
              <w:pStyle w:val="EMEAHeadingLeaflet"/>
              <w:spacing w:beforeLines="0" w:afterLines="0"/>
              <w:rPr>
                <w:rFonts w:ascii="Times New Roman" w:hAnsi="Times New Roman"/>
                <w:lang w:val="cs-CZ"/>
              </w:rPr>
            </w:pPr>
            <w:r>
              <w:rPr>
                <w:rFonts w:ascii="Times New Roman" w:hAnsi="Times New Roman"/>
                <w:b w:val="0"/>
                <w:lang w:val="cs-CZ"/>
              </w:rPr>
              <w:t>Před</w:t>
            </w:r>
            <w:r w:rsidR="00B378D1">
              <w:rPr>
                <w:rFonts w:ascii="Times New Roman" w:hAnsi="Times New Roman"/>
                <w:b w:val="0"/>
                <w:lang w:val="cs-CZ"/>
              </w:rPr>
              <w:t xml:space="preserve"> </w:t>
            </w:r>
            <w:r w:rsidR="003C3D7A">
              <w:rPr>
                <w:rFonts w:ascii="Times New Roman" w:hAnsi="Times New Roman"/>
                <w:b w:val="0"/>
                <w:lang w:val="cs-CZ"/>
              </w:rPr>
              <w:t xml:space="preserve">podáním </w:t>
            </w:r>
            <w:r w:rsidR="00B378D1">
              <w:rPr>
                <w:rFonts w:ascii="Times New Roman" w:hAnsi="Times New Roman"/>
                <w:b w:val="0"/>
                <w:lang w:val="cs-CZ"/>
              </w:rPr>
              <w:t>injekc</w:t>
            </w:r>
            <w:r w:rsidR="003C3D7A">
              <w:rPr>
                <w:rFonts w:ascii="Times New Roman" w:hAnsi="Times New Roman"/>
                <w:b w:val="0"/>
                <w:lang w:val="cs-CZ"/>
              </w:rPr>
              <w:t>e</w:t>
            </w:r>
            <w:r w:rsidR="00B378D1">
              <w:rPr>
                <w:rFonts w:ascii="Times New Roman" w:hAnsi="Times New Roman"/>
                <w:b w:val="0"/>
                <w:lang w:val="cs-CZ"/>
              </w:rPr>
              <w:t xml:space="preserve"> </w:t>
            </w:r>
            <w:r w:rsidR="00B378D1" w:rsidRPr="00F261A6">
              <w:rPr>
                <w:rFonts w:ascii="Times New Roman" w:hAnsi="Times New Roman"/>
                <w:bCs/>
                <w:lang w:val="cs-CZ"/>
              </w:rPr>
              <w:t xml:space="preserve">pevně </w:t>
            </w:r>
            <w:r w:rsidR="00B378D1" w:rsidRPr="00B378D1">
              <w:rPr>
                <w:rFonts w:ascii="Times New Roman" w:hAnsi="Times New Roman"/>
                <w:bCs/>
                <w:lang w:val="cs-CZ"/>
              </w:rPr>
              <w:t>přitiskněte</w:t>
            </w:r>
            <w:r w:rsidR="00B378D1" w:rsidRPr="00F261A6">
              <w:rPr>
                <w:rFonts w:ascii="Times New Roman" w:hAnsi="Times New Roman"/>
                <w:bCs/>
                <w:lang w:val="cs-CZ"/>
              </w:rPr>
              <w:t xml:space="preserve"> p</w:t>
            </w:r>
            <w:r w:rsidR="0069125D" w:rsidRPr="00F261A6">
              <w:rPr>
                <w:rFonts w:ascii="Times New Roman" w:hAnsi="Times New Roman"/>
                <w:bCs/>
                <w:lang w:val="cs-CZ"/>
              </w:rPr>
              <w:t>ředplněné pero</w:t>
            </w:r>
            <w:r w:rsidR="0069125D" w:rsidRPr="001B4A02">
              <w:rPr>
                <w:rFonts w:ascii="Times New Roman" w:hAnsi="Times New Roman"/>
                <w:b w:val="0"/>
                <w:lang w:val="cs-CZ"/>
              </w:rPr>
              <w:t xml:space="preserve"> proti místu vpichu</w:t>
            </w:r>
            <w:r w:rsidR="00B378D1">
              <w:rPr>
                <w:rFonts w:ascii="Times New Roman" w:hAnsi="Times New Roman"/>
                <w:b w:val="0"/>
                <w:lang w:val="cs-CZ"/>
              </w:rPr>
              <w:t>.</w:t>
            </w:r>
          </w:p>
          <w:p w14:paraId="6EEC141F" w14:textId="77777777" w:rsidR="0069125D" w:rsidRPr="001B4A02" w:rsidRDefault="00000000" w:rsidP="00970906">
            <w:pPr>
              <w:pStyle w:val="EMEAHeadingLeaflet"/>
              <w:spacing w:beforeLines="0" w:afterLines="0"/>
              <w:rPr>
                <w:rFonts w:ascii="Times New Roman" w:hAnsi="Times New Roman"/>
                <w:b w:val="0"/>
                <w:lang w:val="cs-CZ"/>
              </w:rPr>
            </w:pPr>
            <w:r>
              <w:rPr>
                <w:rFonts w:ascii="Times New Roman" w:hAnsi="Times New Roman"/>
                <w:lang w:val="cs-CZ"/>
              </w:rPr>
              <w:t>D</w:t>
            </w:r>
            <w:r w:rsidRPr="001B4A02">
              <w:rPr>
                <w:rFonts w:ascii="Times New Roman" w:hAnsi="Times New Roman"/>
                <w:lang w:val="cs-CZ"/>
              </w:rPr>
              <w:t xml:space="preserve">ržte </w:t>
            </w:r>
            <w:r w:rsidR="00F06BE3">
              <w:rPr>
                <w:rFonts w:ascii="Times New Roman" w:hAnsi="Times New Roman"/>
                <w:lang w:val="cs-CZ"/>
              </w:rPr>
              <w:t>ho</w:t>
            </w:r>
            <w:r w:rsidRPr="001B4A02">
              <w:rPr>
                <w:rFonts w:ascii="Times New Roman" w:hAnsi="Times New Roman"/>
                <w:lang w:val="cs-CZ"/>
              </w:rPr>
              <w:t xml:space="preserve"> přitisknuté</w:t>
            </w:r>
            <w:r>
              <w:rPr>
                <w:rFonts w:ascii="Times New Roman" w:hAnsi="Times New Roman"/>
                <w:lang w:val="cs-CZ"/>
              </w:rPr>
              <w:t xml:space="preserve">, </w:t>
            </w:r>
            <w:r w:rsidRPr="00F261A6">
              <w:rPr>
                <w:rFonts w:ascii="Times New Roman" w:hAnsi="Times New Roman"/>
                <w:b w:val="0"/>
                <w:bCs/>
                <w:lang w:val="cs-CZ"/>
              </w:rPr>
              <w:t>aby nedošlo k</w:t>
            </w:r>
            <w:r w:rsidR="000E6605">
              <w:rPr>
                <w:rFonts w:ascii="Times New Roman" w:hAnsi="Times New Roman"/>
                <w:b w:val="0"/>
                <w:bCs/>
                <w:lang w:val="cs-CZ"/>
              </w:rPr>
              <w:t> </w:t>
            </w:r>
            <w:r w:rsidRPr="00F261A6">
              <w:rPr>
                <w:rFonts w:ascii="Times New Roman" w:hAnsi="Times New Roman"/>
                <w:b w:val="0"/>
                <w:bCs/>
                <w:lang w:val="cs-CZ"/>
              </w:rPr>
              <w:t>jeho sklouznutí z</w:t>
            </w:r>
            <w:r w:rsidR="000E6605">
              <w:rPr>
                <w:rFonts w:ascii="Times New Roman" w:hAnsi="Times New Roman"/>
                <w:b w:val="0"/>
                <w:bCs/>
                <w:lang w:val="cs-CZ"/>
              </w:rPr>
              <w:t> </w:t>
            </w:r>
            <w:r w:rsidRPr="00F261A6">
              <w:rPr>
                <w:rFonts w:ascii="Times New Roman" w:hAnsi="Times New Roman"/>
                <w:b w:val="0"/>
                <w:bCs/>
                <w:lang w:val="cs-CZ"/>
              </w:rPr>
              <w:t>pokožky běhe</w:t>
            </w:r>
            <w:r>
              <w:rPr>
                <w:rFonts w:ascii="Times New Roman" w:hAnsi="Times New Roman"/>
                <w:b w:val="0"/>
                <w:bCs/>
                <w:lang w:val="cs-CZ"/>
              </w:rPr>
              <w:t>m</w:t>
            </w:r>
            <w:r w:rsidRPr="00F261A6">
              <w:rPr>
                <w:rFonts w:ascii="Times New Roman" w:hAnsi="Times New Roman"/>
                <w:b w:val="0"/>
                <w:bCs/>
                <w:lang w:val="cs-CZ"/>
              </w:rPr>
              <w:t xml:space="preserve"> injekce.</w:t>
            </w:r>
          </w:p>
          <w:p w14:paraId="71CCD934" w14:textId="77777777" w:rsidR="0069125D" w:rsidRPr="001B4A02" w:rsidRDefault="0069125D" w:rsidP="00970906">
            <w:pPr>
              <w:pStyle w:val="EMEANormal"/>
              <w:rPr>
                <w:lang w:val="cs-CZ"/>
              </w:rPr>
            </w:pPr>
          </w:p>
          <w:p w14:paraId="5AB5881D" w14:textId="77777777" w:rsidR="0069125D"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lang w:val="cs-CZ"/>
              </w:rPr>
              <w:t>Stiskněte</w:t>
            </w:r>
            <w:r w:rsidRPr="001B4A02">
              <w:rPr>
                <w:rFonts w:ascii="Times New Roman" w:hAnsi="Times New Roman"/>
                <w:b w:val="0"/>
                <w:lang w:val="cs-CZ"/>
              </w:rPr>
              <w:t xml:space="preserve"> vínové aktivační tlačítko</w:t>
            </w:r>
            <w:r w:rsidR="002378E0">
              <w:rPr>
                <w:rFonts w:ascii="Times New Roman" w:hAnsi="Times New Roman"/>
                <w:b w:val="0"/>
                <w:lang w:val="cs-CZ"/>
              </w:rPr>
              <w:t xml:space="preserve"> a </w:t>
            </w:r>
            <w:r w:rsidRPr="001B4A02">
              <w:rPr>
                <w:rFonts w:ascii="Times New Roman" w:hAnsi="Times New Roman"/>
                <w:lang w:val="cs-CZ"/>
              </w:rPr>
              <w:t xml:space="preserve">10 </w:t>
            </w:r>
            <w:r w:rsidRPr="001B4A02">
              <w:rPr>
                <w:rFonts w:ascii="Times New Roman" w:hAnsi="Times New Roman"/>
                <w:b w:val="0"/>
                <w:lang w:val="cs-CZ"/>
              </w:rPr>
              <w:t>sekund pomalu počítejte.</w:t>
            </w:r>
          </w:p>
          <w:p w14:paraId="0133B3DB" w14:textId="77777777" w:rsidR="0069125D" w:rsidRPr="001B4A02" w:rsidRDefault="0069125D" w:rsidP="00970906">
            <w:pPr>
              <w:pStyle w:val="EMEANormal"/>
              <w:rPr>
                <w:lang w:val="cs-CZ"/>
              </w:rPr>
            </w:pPr>
          </w:p>
          <w:p w14:paraId="37877A94" w14:textId="77777777" w:rsidR="0069125D" w:rsidRPr="001B4A02" w:rsidRDefault="00000000" w:rsidP="00970906">
            <w:pPr>
              <w:pStyle w:val="EMEAHeadingLeaflet"/>
              <w:numPr>
                <w:ilvl w:val="0"/>
                <w:numId w:val="112"/>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 xml:space="preserve">Začátek injekce oznámí hlasité </w:t>
            </w:r>
            <w:r w:rsidRPr="001B4A02">
              <w:rPr>
                <w:rFonts w:ascii="Times New Roman" w:hAnsi="Times New Roman"/>
                <w:lang w:val="cs-CZ"/>
              </w:rPr>
              <w:t>cvaknutí</w:t>
            </w:r>
          </w:p>
          <w:p w14:paraId="63764513" w14:textId="77777777" w:rsidR="0069125D" w:rsidRPr="001B4A02" w:rsidRDefault="00000000" w:rsidP="00970906">
            <w:pPr>
              <w:pStyle w:val="EMEAHeadingLeaflet"/>
              <w:numPr>
                <w:ilvl w:val="0"/>
                <w:numId w:val="112"/>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Předplněné pero stále</w:t>
            </w:r>
            <w:r w:rsidRPr="001B4A02">
              <w:rPr>
                <w:rFonts w:ascii="Times New Roman" w:hAnsi="Times New Roman"/>
                <w:lang w:val="cs-CZ"/>
              </w:rPr>
              <w:t xml:space="preserve"> držte </w:t>
            </w:r>
            <w:r w:rsidR="00B378D1">
              <w:rPr>
                <w:rFonts w:ascii="Times New Roman" w:hAnsi="Times New Roman"/>
                <w:lang w:val="cs-CZ"/>
              </w:rPr>
              <w:t xml:space="preserve">pevně </w:t>
            </w:r>
            <w:r w:rsidRPr="001B4A02">
              <w:rPr>
                <w:rFonts w:ascii="Times New Roman" w:hAnsi="Times New Roman"/>
                <w:lang w:val="cs-CZ"/>
              </w:rPr>
              <w:t>přitisknuté</w:t>
            </w:r>
            <w:r w:rsidRPr="001B4A02">
              <w:rPr>
                <w:rFonts w:ascii="Times New Roman" w:hAnsi="Times New Roman"/>
                <w:b w:val="0"/>
                <w:lang w:val="cs-CZ"/>
              </w:rPr>
              <w:t xml:space="preserve"> na místo vpichu</w:t>
            </w:r>
            <w:r w:rsidR="00B378D1">
              <w:rPr>
                <w:rFonts w:ascii="Times New Roman" w:hAnsi="Times New Roman"/>
                <w:b w:val="0"/>
                <w:lang w:val="cs-CZ"/>
              </w:rPr>
              <w:t>, dokud nebude injekce dokončena.</w:t>
            </w:r>
            <w:r w:rsidRPr="001B4A02">
              <w:rPr>
                <w:rFonts w:ascii="Times New Roman" w:hAnsi="Times New Roman"/>
                <w:b w:val="0"/>
                <w:lang w:val="cs-CZ"/>
              </w:rPr>
              <w:t xml:space="preserve"> </w:t>
            </w:r>
          </w:p>
          <w:p w14:paraId="4B44CFE1" w14:textId="77777777" w:rsidR="0069125D" w:rsidRPr="001B4A02" w:rsidRDefault="0069125D" w:rsidP="00970906">
            <w:pPr>
              <w:pStyle w:val="EMEANormal"/>
              <w:rPr>
                <w:lang w:val="cs-CZ"/>
              </w:rPr>
            </w:pPr>
          </w:p>
          <w:p w14:paraId="29E7CCBF" w14:textId="77777777" w:rsidR="0069125D" w:rsidRPr="001B4A02" w:rsidRDefault="00000000" w:rsidP="00970906">
            <w:pPr>
              <w:pStyle w:val="EMEANormal"/>
              <w:rPr>
                <w:lang w:val="cs-CZ"/>
              </w:rPr>
            </w:pPr>
            <w:r w:rsidRPr="001B4A02">
              <w:rPr>
                <w:lang w:val="cs-CZ"/>
              </w:rPr>
              <w:t>Injekce je ukončena, jakmile se žlutý indikátor přestane posouvat.</w:t>
            </w:r>
          </w:p>
        </w:tc>
      </w:tr>
      <w:tr w:rsidR="00534A2D" w14:paraId="4AACC052" w14:textId="77777777" w:rsidTr="001D778F">
        <w:tc>
          <w:tcPr>
            <w:tcW w:w="3708" w:type="dxa"/>
            <w:tcBorders>
              <w:right w:val="nil"/>
            </w:tcBorders>
            <w:shd w:val="clear" w:color="auto" w:fill="auto"/>
          </w:tcPr>
          <w:p w14:paraId="5B563F28" w14:textId="77777777" w:rsidR="0069125D" w:rsidRPr="001B4A02" w:rsidRDefault="00000000" w:rsidP="00970906">
            <w:pPr>
              <w:pStyle w:val="EMEANormal"/>
              <w:rPr>
                <w:b/>
                <w:lang w:val="cs-CZ"/>
              </w:rPr>
            </w:pPr>
            <w:r w:rsidRPr="001B4A02">
              <w:rPr>
                <w:b/>
                <w:lang w:val="cs-CZ"/>
              </w:rPr>
              <w:t>KROK 8</w:t>
            </w:r>
          </w:p>
          <w:p w14:paraId="16C1D898" w14:textId="77777777" w:rsidR="0069125D" w:rsidRPr="001B4A02" w:rsidRDefault="0069125D" w:rsidP="00970906">
            <w:pPr>
              <w:pStyle w:val="EMEANormal"/>
              <w:rPr>
                <w:b/>
                <w:lang w:val="cs-CZ"/>
              </w:rPr>
            </w:pPr>
          </w:p>
          <w:p w14:paraId="259F0AC0" w14:textId="77777777" w:rsidR="0069125D" w:rsidRPr="001B4A02" w:rsidRDefault="00000000" w:rsidP="00970906">
            <w:pPr>
              <w:pStyle w:val="EMEANormal"/>
              <w:rPr>
                <w:lang w:val="cs-CZ"/>
              </w:rPr>
            </w:pPr>
            <w:r w:rsidRPr="001B4A02">
              <w:rPr>
                <w:noProof/>
              </w:rPr>
              <w:drawing>
                <wp:inline distT="0" distB="0" distL="0" distR="0" wp14:anchorId="18535852" wp14:editId="507003A6">
                  <wp:extent cx="2026920" cy="1802765"/>
                  <wp:effectExtent l="0" t="0" r="0" b="6985"/>
                  <wp:docPr id="559" name="obrázek 559"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Picture 559" descr="STEP8_grey"/>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2026920" cy="1802765"/>
                          </a:xfrm>
                          <a:prstGeom prst="rect">
                            <a:avLst/>
                          </a:prstGeom>
                          <a:noFill/>
                          <a:ln>
                            <a:noFill/>
                          </a:ln>
                        </pic:spPr>
                      </pic:pic>
                    </a:graphicData>
                  </a:graphic>
                </wp:inline>
              </w:drawing>
            </w:r>
            <w:r w:rsidRPr="001B4A02">
              <w:rPr>
                <w:lang w:val="cs-CZ"/>
              </w:rPr>
              <w:t xml:space="preserve"> </w:t>
            </w:r>
          </w:p>
        </w:tc>
        <w:tc>
          <w:tcPr>
            <w:tcW w:w="5579" w:type="dxa"/>
            <w:tcBorders>
              <w:left w:val="nil"/>
            </w:tcBorders>
            <w:shd w:val="clear" w:color="auto" w:fill="auto"/>
          </w:tcPr>
          <w:p w14:paraId="616C1ED2" w14:textId="77777777" w:rsidR="0069125D" w:rsidRPr="001B4A02" w:rsidRDefault="0069125D" w:rsidP="00970906">
            <w:pPr>
              <w:pStyle w:val="EMEAHeadingLeaflet"/>
              <w:spacing w:beforeLines="0" w:afterLines="0"/>
              <w:rPr>
                <w:rFonts w:ascii="Times New Roman" w:hAnsi="Times New Roman"/>
                <w:b w:val="0"/>
                <w:lang w:val="cs-CZ"/>
              </w:rPr>
            </w:pPr>
          </w:p>
          <w:p w14:paraId="0BE74B8A" w14:textId="77777777" w:rsidR="0069125D"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Po ukončení injekce předplněné pero pomalu nadzvedněte z</w:t>
            </w:r>
            <w:r w:rsidR="00075234" w:rsidRPr="001B4A02">
              <w:rPr>
                <w:rFonts w:ascii="Times New Roman" w:hAnsi="Times New Roman"/>
                <w:b w:val="0"/>
                <w:lang w:val="cs-CZ"/>
              </w:rPr>
              <w:t> </w:t>
            </w:r>
            <w:r w:rsidRPr="001B4A02">
              <w:rPr>
                <w:rFonts w:ascii="Times New Roman" w:hAnsi="Times New Roman"/>
                <w:b w:val="0"/>
                <w:lang w:val="cs-CZ"/>
              </w:rPr>
              <w:t>kůže. Bílé pouzdro jehly překryje špičku jehly.</w:t>
            </w:r>
          </w:p>
          <w:p w14:paraId="43499A2A" w14:textId="77777777" w:rsidR="00B378D1" w:rsidRDefault="00B378D1" w:rsidP="00970906">
            <w:pPr>
              <w:pStyle w:val="EMEANormal"/>
              <w:rPr>
                <w:lang w:val="cs-CZ"/>
              </w:rPr>
            </w:pPr>
          </w:p>
          <w:p w14:paraId="79AC1D76" w14:textId="77777777" w:rsidR="00B378D1" w:rsidRPr="00B378D1" w:rsidRDefault="00000000" w:rsidP="00970906">
            <w:pPr>
              <w:pStyle w:val="ListParagraph"/>
              <w:numPr>
                <w:ilvl w:val="0"/>
                <w:numId w:val="59"/>
              </w:numPr>
              <w:tabs>
                <w:tab w:val="left" w:pos="757"/>
              </w:tabs>
              <w:suppressAutoHyphens/>
            </w:pPr>
            <w:r w:rsidRPr="00B378D1">
              <w:t xml:space="preserve">Malé množství </w:t>
            </w:r>
            <w:r>
              <w:t>roztoku</w:t>
            </w:r>
            <w:r w:rsidRPr="00B378D1">
              <w:t xml:space="preserve"> v</w:t>
            </w:r>
            <w:r w:rsidR="000E6605">
              <w:t> </w:t>
            </w:r>
            <w:r w:rsidRPr="00B378D1">
              <w:t>místě vpichu je normální</w:t>
            </w:r>
          </w:p>
          <w:p w14:paraId="5AF340C3" w14:textId="77777777" w:rsidR="0069125D" w:rsidRPr="001B4A02" w:rsidRDefault="0069125D" w:rsidP="00970906">
            <w:pPr>
              <w:pStyle w:val="EMEANormal"/>
              <w:rPr>
                <w:lang w:val="cs-CZ"/>
              </w:rPr>
            </w:pPr>
          </w:p>
          <w:p w14:paraId="41084D49" w14:textId="77777777" w:rsidR="0069125D" w:rsidRPr="001B4A02" w:rsidRDefault="00000000" w:rsidP="00970906">
            <w:pPr>
              <w:pStyle w:val="EMEANormal"/>
              <w:rPr>
                <w:lang w:val="cs-CZ"/>
              </w:rPr>
            </w:pPr>
            <w:r w:rsidRPr="001B4A02">
              <w:rPr>
                <w:lang w:val="cs-CZ"/>
              </w:rPr>
              <w:t>Pokud je na místě vpichu v</w:t>
            </w:r>
            <w:r w:rsidR="00785E3C" w:rsidRPr="001B4A02">
              <w:rPr>
                <w:lang w:val="cs-CZ"/>
              </w:rPr>
              <w:t>í</w:t>
            </w:r>
            <w:r w:rsidRPr="001B4A02">
              <w:rPr>
                <w:lang w:val="cs-CZ"/>
              </w:rPr>
              <w:t>ce než pár kapek roztoku, kontaktujte svého lékaře, zdravotní sestru nebo lékárníka.</w:t>
            </w:r>
          </w:p>
          <w:p w14:paraId="7689B831" w14:textId="77777777" w:rsidR="0069125D" w:rsidRPr="001B4A02" w:rsidRDefault="0069125D" w:rsidP="00970906">
            <w:pPr>
              <w:pStyle w:val="EMEANormal"/>
              <w:rPr>
                <w:lang w:val="cs-CZ"/>
              </w:rPr>
            </w:pPr>
          </w:p>
          <w:p w14:paraId="1C6C255E" w14:textId="77777777" w:rsidR="0069125D"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Po dokončení injekce přiložte na kůži přes místo vpichu bavlněný tamp</w:t>
            </w:r>
            <w:ins w:id="13824" w:author="Abbvie02" w:date="2025-05-16T12:34:00Z">
              <w:r w:rsidR="009165EF">
                <w:rPr>
                  <w:rFonts w:ascii="Times New Roman" w:hAnsi="Times New Roman"/>
                  <w:b w:val="0"/>
                  <w:lang w:val="cs-CZ"/>
                </w:rPr>
                <w:t>o</w:t>
              </w:r>
            </w:ins>
            <w:del w:id="13825" w:author="Abbvie02" w:date="2025-05-16T12:34:00Z">
              <w:r w:rsidRPr="001B4A02">
                <w:rPr>
                  <w:rFonts w:ascii="Times New Roman" w:hAnsi="Times New Roman"/>
                  <w:b w:val="0"/>
                  <w:lang w:val="cs-CZ"/>
                </w:rPr>
                <w:delText>ó</w:delText>
              </w:r>
            </w:del>
            <w:r w:rsidRPr="001B4A02">
              <w:rPr>
                <w:rFonts w:ascii="Times New Roman" w:hAnsi="Times New Roman"/>
                <w:b w:val="0"/>
                <w:lang w:val="cs-CZ"/>
              </w:rPr>
              <w:t>n nebo gázu.</w:t>
            </w:r>
          </w:p>
          <w:p w14:paraId="7BE23A79" w14:textId="77777777" w:rsidR="0069125D" w:rsidRPr="001B4A02" w:rsidRDefault="0069125D" w:rsidP="00970906">
            <w:pPr>
              <w:pStyle w:val="EMEANormal"/>
              <w:rPr>
                <w:lang w:val="cs-CZ"/>
              </w:rPr>
            </w:pPr>
          </w:p>
          <w:p w14:paraId="30EA1E0F" w14:textId="77777777" w:rsidR="0069125D" w:rsidRPr="001B4A02" w:rsidRDefault="00000000" w:rsidP="00970906">
            <w:pPr>
              <w:pStyle w:val="EMEAHeadingLeaflet"/>
              <w:numPr>
                <w:ilvl w:val="0"/>
                <w:numId w:val="113"/>
              </w:numPr>
              <w:tabs>
                <w:tab w:val="clear" w:pos="562"/>
                <w:tab w:val="left" w:pos="757"/>
              </w:tabs>
              <w:spacing w:beforeLines="0" w:afterLines="0"/>
              <w:ind w:left="757"/>
              <w:rPr>
                <w:rFonts w:ascii="Times New Roman" w:hAnsi="Times New Roman"/>
                <w:b w:val="0"/>
                <w:lang w:val="cs-CZ"/>
              </w:rPr>
            </w:pPr>
            <w:r w:rsidRPr="007E416D">
              <w:rPr>
                <w:rFonts w:ascii="Times New Roman" w:hAnsi="Times New Roman"/>
                <w:lang w:val="cs-CZ"/>
              </w:rPr>
              <w:t>Net</w:t>
            </w:r>
            <w:r w:rsidRPr="007E416D">
              <w:rPr>
                <w:rFonts w:ascii="Times New Roman" w:hAnsi="Times New Roman" w:hint="eastAsia"/>
                <w:lang w:val="cs-CZ"/>
              </w:rPr>
              <w:t>ř</w:t>
            </w:r>
            <w:r w:rsidRPr="007E416D">
              <w:rPr>
                <w:rFonts w:ascii="Times New Roman" w:hAnsi="Times New Roman"/>
                <w:lang w:val="cs-CZ"/>
              </w:rPr>
              <w:t>ete</w:t>
            </w:r>
            <w:r w:rsidRPr="007E416D">
              <w:rPr>
                <w:rFonts w:ascii="Times New Roman" w:hAnsi="Times New Roman"/>
                <w:b w:val="0"/>
                <w:lang w:val="cs-CZ"/>
              </w:rPr>
              <w:t xml:space="preserve"> m</w:t>
            </w:r>
            <w:r w:rsidRPr="007E416D">
              <w:rPr>
                <w:rFonts w:ascii="Times New Roman" w:hAnsi="Times New Roman" w:hint="eastAsia"/>
                <w:b w:val="0"/>
                <w:lang w:val="cs-CZ"/>
              </w:rPr>
              <w:t>í</w:t>
            </w:r>
            <w:r w:rsidRPr="007E416D">
              <w:rPr>
                <w:rFonts w:ascii="Times New Roman" w:hAnsi="Times New Roman"/>
                <w:b w:val="0"/>
                <w:lang w:val="cs-CZ"/>
              </w:rPr>
              <w:t>sto vpichu</w:t>
            </w:r>
          </w:p>
          <w:p w14:paraId="208FE0B8" w14:textId="77777777" w:rsidR="0069125D" w:rsidRPr="001B4A02" w:rsidRDefault="00000000" w:rsidP="00970906">
            <w:pPr>
              <w:pStyle w:val="EMEANormal"/>
              <w:numPr>
                <w:ilvl w:val="0"/>
                <w:numId w:val="113"/>
              </w:numPr>
              <w:tabs>
                <w:tab w:val="clear" w:pos="562"/>
                <w:tab w:val="left" w:pos="757"/>
              </w:tabs>
              <w:rPr>
                <w:lang w:val="cs-CZ"/>
              </w:rPr>
            </w:pPr>
            <w:r w:rsidRPr="001B4A02">
              <w:rPr>
                <w:lang w:val="cs-CZ"/>
              </w:rPr>
              <w:t>Mírné krvácení v</w:t>
            </w:r>
            <w:r w:rsidR="00075234" w:rsidRPr="001B4A02">
              <w:rPr>
                <w:lang w:val="cs-CZ"/>
              </w:rPr>
              <w:t> </w:t>
            </w:r>
            <w:r w:rsidRPr="001B4A02">
              <w:rPr>
                <w:lang w:val="cs-CZ"/>
              </w:rPr>
              <w:t>místě vpichu je normální</w:t>
            </w:r>
          </w:p>
        </w:tc>
      </w:tr>
      <w:tr w:rsidR="00534A2D" w14:paraId="672063AE" w14:textId="77777777" w:rsidTr="001D778F">
        <w:tc>
          <w:tcPr>
            <w:tcW w:w="9287" w:type="dxa"/>
            <w:gridSpan w:val="2"/>
            <w:shd w:val="clear" w:color="auto" w:fill="auto"/>
          </w:tcPr>
          <w:p w14:paraId="605ADC95" w14:textId="77777777" w:rsidR="0069125D" w:rsidRPr="001B4A02" w:rsidRDefault="00000000" w:rsidP="00970906">
            <w:pPr>
              <w:keepNext/>
              <w:rPr>
                <w:b/>
              </w:rPr>
            </w:pPr>
            <w:r w:rsidRPr="001B4A02">
              <w:rPr>
                <w:b/>
              </w:rPr>
              <w:t>KROK 9</w:t>
            </w:r>
          </w:p>
          <w:p w14:paraId="18CD3552" w14:textId="77777777" w:rsidR="0069125D" w:rsidRPr="001B4A02" w:rsidRDefault="0069125D" w:rsidP="00970906">
            <w:pPr>
              <w:keepNext/>
              <w:rPr>
                <w:b/>
              </w:rPr>
            </w:pPr>
          </w:p>
          <w:p w14:paraId="13834191" w14:textId="77777777" w:rsidR="0069125D"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Použité předplněné pero vyhoďte do speciální nádoby, jak jste byli poučeni lékařem, zdravotní sestrou nebo lékárníkem.</w:t>
            </w:r>
          </w:p>
          <w:p w14:paraId="2D7702B0" w14:textId="77777777" w:rsidR="0069125D" w:rsidRPr="001B4A02" w:rsidRDefault="0069125D" w:rsidP="00970906">
            <w:pPr>
              <w:pStyle w:val="EMEANormal"/>
              <w:keepNext/>
              <w:rPr>
                <w:lang w:val="cs-CZ"/>
              </w:rPr>
            </w:pPr>
          </w:p>
          <w:p w14:paraId="49AED774" w14:textId="77777777" w:rsidR="0069125D" w:rsidRPr="001B4A02" w:rsidRDefault="00000000" w:rsidP="00970906">
            <w:pPr>
              <w:pStyle w:val="EMEAHeadingLeaflet"/>
              <w:keepNext/>
              <w:numPr>
                <w:ilvl w:val="0"/>
                <w:numId w:val="114"/>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 xml:space="preserve">Předplněné pero </w:t>
            </w:r>
            <w:r w:rsidRPr="001B4A02">
              <w:rPr>
                <w:rFonts w:ascii="Times New Roman" w:hAnsi="Times New Roman"/>
                <w:lang w:val="cs-CZ"/>
              </w:rPr>
              <w:t>nerecyklujte</w:t>
            </w:r>
            <w:r w:rsidRPr="001B4A02">
              <w:rPr>
                <w:rFonts w:ascii="Times New Roman" w:hAnsi="Times New Roman"/>
                <w:b w:val="0"/>
                <w:lang w:val="cs-CZ"/>
              </w:rPr>
              <w:t xml:space="preserve"> ani nevyhazujte do domácího odpadu</w:t>
            </w:r>
          </w:p>
          <w:p w14:paraId="538C5BD9" w14:textId="77777777" w:rsidR="0069125D" w:rsidRPr="001B4A02" w:rsidRDefault="00000000" w:rsidP="00970906">
            <w:pPr>
              <w:pStyle w:val="EMEANormal"/>
              <w:keepNext/>
              <w:numPr>
                <w:ilvl w:val="0"/>
                <w:numId w:val="114"/>
              </w:numPr>
              <w:tabs>
                <w:tab w:val="clear" w:pos="562"/>
                <w:tab w:val="left" w:pos="720"/>
              </w:tabs>
              <w:rPr>
                <w:lang w:val="cs-CZ"/>
              </w:rPr>
            </w:pPr>
            <w:r w:rsidRPr="001B4A02">
              <w:rPr>
                <w:lang w:val="cs-CZ"/>
              </w:rPr>
              <w:t>Předplněné pero</w:t>
            </w:r>
            <w:r w:rsidR="002378E0">
              <w:rPr>
                <w:lang w:val="cs-CZ"/>
              </w:rPr>
              <w:t xml:space="preserve"> a </w:t>
            </w:r>
            <w:r w:rsidRPr="001B4A02">
              <w:rPr>
                <w:lang w:val="cs-CZ"/>
              </w:rPr>
              <w:t xml:space="preserve">speciální odpadní nádobu </w:t>
            </w:r>
            <w:r w:rsidRPr="001B4A02">
              <w:rPr>
                <w:b/>
                <w:lang w:val="cs-CZ"/>
              </w:rPr>
              <w:t xml:space="preserve">vždy </w:t>
            </w:r>
            <w:r w:rsidRPr="001B4A02">
              <w:rPr>
                <w:lang w:val="cs-CZ"/>
              </w:rPr>
              <w:t>uchovávejte mimo dohled</w:t>
            </w:r>
            <w:r w:rsidR="002378E0">
              <w:rPr>
                <w:lang w:val="cs-CZ"/>
              </w:rPr>
              <w:t xml:space="preserve"> a </w:t>
            </w:r>
            <w:r w:rsidRPr="001B4A02">
              <w:rPr>
                <w:lang w:val="cs-CZ"/>
              </w:rPr>
              <w:t>dosah dětí</w:t>
            </w:r>
          </w:p>
          <w:p w14:paraId="4AAC8473" w14:textId="77777777" w:rsidR="00A2409E" w:rsidRDefault="00A2409E" w:rsidP="00970906">
            <w:pPr>
              <w:pStyle w:val="EMEANormal"/>
              <w:keepNext/>
              <w:rPr>
                <w:szCs w:val="22"/>
                <w:lang w:val="cs-CZ"/>
              </w:rPr>
            </w:pPr>
          </w:p>
          <w:p w14:paraId="576209D7" w14:textId="77777777" w:rsidR="0069125D" w:rsidRPr="001B4A02" w:rsidRDefault="00000000" w:rsidP="00970906">
            <w:pPr>
              <w:pStyle w:val="EMEANormal"/>
              <w:keepNext/>
              <w:rPr>
                <w:lang w:val="cs-CZ"/>
              </w:rPr>
            </w:pPr>
            <w:r w:rsidRPr="001B4A02">
              <w:rPr>
                <w:szCs w:val="22"/>
                <w:lang w:val="cs-CZ"/>
              </w:rPr>
              <w:t>Kryty, tamp</w:t>
            </w:r>
            <w:ins w:id="13826" w:author="Abbvie02" w:date="2025-05-16T12:34:00Z">
              <w:r w:rsidR="009165EF">
                <w:rPr>
                  <w:szCs w:val="22"/>
                  <w:lang w:val="cs-CZ"/>
                </w:rPr>
                <w:t>o</w:t>
              </w:r>
            </w:ins>
            <w:del w:id="13827" w:author="Abbvie02" w:date="2025-05-16T12:34:00Z">
              <w:r w:rsidR="00785E3C" w:rsidRPr="001B4A02">
                <w:rPr>
                  <w:szCs w:val="22"/>
                  <w:lang w:val="cs-CZ"/>
                </w:rPr>
                <w:delText>ó</w:delText>
              </w:r>
            </w:del>
            <w:r w:rsidRPr="001B4A02">
              <w:rPr>
                <w:szCs w:val="22"/>
                <w:lang w:val="cs-CZ"/>
              </w:rPr>
              <w:t>n s</w:t>
            </w:r>
            <w:r w:rsidR="00075234" w:rsidRPr="001B4A02">
              <w:rPr>
                <w:szCs w:val="22"/>
                <w:lang w:val="cs-CZ"/>
              </w:rPr>
              <w:t> </w:t>
            </w:r>
            <w:r w:rsidRPr="001B4A02">
              <w:rPr>
                <w:szCs w:val="22"/>
                <w:lang w:val="cs-CZ"/>
              </w:rPr>
              <w:t>alkoholem, bavlněný tamp</w:t>
            </w:r>
            <w:ins w:id="13828" w:author="Abbvie02" w:date="2025-05-16T12:34:00Z">
              <w:r w:rsidR="009165EF">
                <w:rPr>
                  <w:szCs w:val="22"/>
                  <w:lang w:val="cs-CZ"/>
                </w:rPr>
                <w:t>o</w:t>
              </w:r>
            </w:ins>
            <w:del w:id="13829" w:author="Abbvie02" w:date="2025-05-16T12:34:00Z">
              <w:r w:rsidR="00785E3C" w:rsidRPr="001B4A02">
                <w:rPr>
                  <w:szCs w:val="22"/>
                  <w:lang w:val="cs-CZ"/>
                </w:rPr>
                <w:delText>ó</w:delText>
              </w:r>
            </w:del>
            <w:r w:rsidRPr="001B4A02">
              <w:rPr>
                <w:szCs w:val="22"/>
                <w:lang w:val="cs-CZ"/>
              </w:rPr>
              <w:t xml:space="preserve">n nebo </w:t>
            </w:r>
            <w:r w:rsidR="009C2686" w:rsidRPr="001B4A02">
              <w:rPr>
                <w:szCs w:val="22"/>
                <w:lang w:val="cs-CZ"/>
              </w:rPr>
              <w:t>gázu</w:t>
            </w:r>
            <w:r w:rsidRPr="001B4A02">
              <w:rPr>
                <w:szCs w:val="22"/>
                <w:lang w:val="cs-CZ"/>
              </w:rPr>
              <w:t>, blistr</w:t>
            </w:r>
            <w:r w:rsidR="002378E0">
              <w:rPr>
                <w:szCs w:val="22"/>
                <w:lang w:val="cs-CZ"/>
              </w:rPr>
              <w:t xml:space="preserve"> a </w:t>
            </w:r>
            <w:r w:rsidRPr="001B4A02">
              <w:rPr>
                <w:szCs w:val="22"/>
                <w:lang w:val="cs-CZ"/>
              </w:rPr>
              <w:t>obal můžete vyhodit do domácího odpadu.</w:t>
            </w:r>
          </w:p>
        </w:tc>
      </w:tr>
    </w:tbl>
    <w:p w14:paraId="609CFD99" w14:textId="77777777" w:rsidR="001C5A66" w:rsidRPr="001B4A02" w:rsidRDefault="001C5A66" w:rsidP="00ED48A3">
      <w:pPr>
        <w:ind w:left="0" w:firstLine="0"/>
      </w:pPr>
    </w:p>
    <w:p w14:paraId="01B9CC4C" w14:textId="77777777" w:rsidR="00BB0E02" w:rsidRPr="001B4A02" w:rsidRDefault="00000000" w:rsidP="001F4D3C">
      <w:pPr>
        <w:ind w:left="0" w:firstLine="0"/>
        <w:jc w:val="center"/>
      </w:pPr>
      <w:r w:rsidRPr="001B4A02">
        <w:br w:type="page"/>
      </w:r>
      <w:r w:rsidRPr="001B4A02">
        <w:rPr>
          <w:b/>
        </w:rPr>
        <w:t>Příbalová informace: informace pro pacienta</w:t>
      </w:r>
    </w:p>
    <w:p w14:paraId="4FDF40CC" w14:textId="77777777" w:rsidR="008D112A" w:rsidRPr="001B4A02" w:rsidRDefault="008D112A" w:rsidP="00ED48A3">
      <w:pPr>
        <w:jc w:val="center"/>
      </w:pPr>
    </w:p>
    <w:p w14:paraId="42C5AD00" w14:textId="77777777" w:rsidR="008D112A" w:rsidRPr="001B4A02" w:rsidRDefault="00000000" w:rsidP="004B14C0">
      <w:pPr>
        <w:jc w:val="center"/>
        <w:outlineLvl w:val="0"/>
      </w:pPr>
      <w:r w:rsidRPr="001B4A02">
        <w:rPr>
          <w:b/>
          <w:bCs/>
        </w:rPr>
        <w:t xml:space="preserve">Humira </w:t>
      </w:r>
      <w:r w:rsidRPr="001B4A02">
        <w:rPr>
          <w:b/>
        </w:rPr>
        <w:t xml:space="preserve">80 mg </w:t>
      </w:r>
      <w:r w:rsidR="00BB0E02" w:rsidRPr="001B4A02">
        <w:rPr>
          <w:b/>
        </w:rPr>
        <w:t>injekční roztok v</w:t>
      </w:r>
      <w:r w:rsidR="00075234" w:rsidRPr="001B4A02">
        <w:rPr>
          <w:b/>
        </w:rPr>
        <w:t> </w:t>
      </w:r>
      <w:r w:rsidR="00BB0E02" w:rsidRPr="001B4A02">
        <w:rPr>
          <w:b/>
        </w:rPr>
        <w:t>předplněné injekční stříkačce</w:t>
      </w:r>
    </w:p>
    <w:p w14:paraId="348AB025" w14:textId="77777777" w:rsidR="008D112A" w:rsidRPr="001B4A02" w:rsidRDefault="00000000" w:rsidP="00ED48A3">
      <w:pPr>
        <w:jc w:val="center"/>
      </w:pPr>
      <w:r w:rsidRPr="001B4A02">
        <w:t>adalimumab</w:t>
      </w:r>
      <w:del w:id="13830" w:author="Abbvie02" w:date="2025-05-16T11:51:00Z">
        <w:r w:rsidR="00BB0E02" w:rsidRPr="001B4A02">
          <w:delText>um</w:delText>
        </w:r>
      </w:del>
    </w:p>
    <w:p w14:paraId="4794386F" w14:textId="77777777" w:rsidR="008D112A" w:rsidRPr="001B4A02" w:rsidRDefault="008D112A" w:rsidP="00ED48A3">
      <w:pPr>
        <w:jc w:val="center"/>
      </w:pPr>
    </w:p>
    <w:p w14:paraId="1C45CE9F" w14:textId="77777777" w:rsidR="00BB0E02" w:rsidRPr="001B4A02" w:rsidRDefault="00000000" w:rsidP="00ED48A3">
      <w:pPr>
        <w:ind w:left="0" w:firstLine="0"/>
        <w:rPr>
          <w:b/>
        </w:rPr>
      </w:pPr>
      <w:r w:rsidRPr="001B4A02">
        <w:rPr>
          <w:b/>
        </w:rPr>
        <w:t xml:space="preserve">Přečtěte si pozorně celou příbalovou informaci dříve, než začnete tento přípravek </w:t>
      </w:r>
      <w:r w:rsidR="00FF288D" w:rsidRPr="001B4A02">
        <w:rPr>
          <w:b/>
        </w:rPr>
        <w:t>po</w:t>
      </w:r>
      <w:r w:rsidRPr="001B4A02">
        <w:rPr>
          <w:b/>
        </w:rPr>
        <w:t>užívat, protože o</w:t>
      </w:r>
      <w:r w:rsidR="0028371E" w:rsidRPr="001B4A02">
        <w:rPr>
          <w:b/>
        </w:rPr>
        <w:t>bsahuje pro Vás důležité údaje.</w:t>
      </w:r>
    </w:p>
    <w:p w14:paraId="3D146A80" w14:textId="77777777" w:rsidR="00BB0E02" w:rsidRPr="001B4A02" w:rsidRDefault="00000000" w:rsidP="00ED48A3">
      <w:r w:rsidRPr="001B4A02">
        <w:t>-</w:t>
      </w:r>
      <w:r w:rsidRPr="001B4A02">
        <w:tab/>
        <w:t>Ponechte si příbalovou informaci pro případ, že si ji budete potřebovat přečíst znovu.</w:t>
      </w:r>
    </w:p>
    <w:p w14:paraId="534687F1" w14:textId="77777777" w:rsidR="00BB0E02" w:rsidRPr="001B4A02" w:rsidRDefault="00000000" w:rsidP="00ED48A3">
      <w:r w:rsidRPr="001B4A02">
        <w:t>-</w:t>
      </w:r>
      <w:r w:rsidRPr="001B4A02">
        <w:tab/>
        <w:t xml:space="preserve">Váš lékař Vám rovněž vydá </w:t>
      </w:r>
      <w:r w:rsidRPr="001B4A02">
        <w:rPr>
          <w:b/>
        </w:rPr>
        <w:t>informační kartičku</w:t>
      </w:r>
      <w:r w:rsidRPr="001B4A02">
        <w:t xml:space="preserve">, která obsahuje důležité bezpečnostní informace, se kterými musíte být seznámen(a) před zahájením </w:t>
      </w:r>
      <w:r w:rsidR="00D32374" w:rsidRPr="001B4A02">
        <w:t>léčby</w:t>
      </w:r>
      <w:r w:rsidRPr="001B4A02">
        <w:t xml:space="preserve"> přípravk</w:t>
      </w:r>
      <w:r w:rsidR="00D32374" w:rsidRPr="001B4A02">
        <w:t>em</w:t>
      </w:r>
      <w:r w:rsidRPr="001B4A02">
        <w:t xml:space="preserve"> Humira</w:t>
      </w:r>
      <w:r w:rsidR="002378E0">
        <w:t xml:space="preserve"> a </w:t>
      </w:r>
      <w:r w:rsidRPr="001B4A02">
        <w:t xml:space="preserve">během léčby tímto lékem. Mějte tuto </w:t>
      </w:r>
      <w:r w:rsidRPr="001B4A02">
        <w:rPr>
          <w:b/>
        </w:rPr>
        <w:t>informační kartičku</w:t>
      </w:r>
      <w:r w:rsidRPr="001B4A02">
        <w:t xml:space="preserve"> vždy při sobě.</w:t>
      </w:r>
    </w:p>
    <w:p w14:paraId="53DA016A" w14:textId="77777777" w:rsidR="00BB0E02" w:rsidRPr="001B4A02" w:rsidRDefault="00000000" w:rsidP="00ED48A3">
      <w:r w:rsidRPr="001B4A02">
        <w:t>-</w:t>
      </w:r>
      <w:r w:rsidRPr="001B4A02">
        <w:tab/>
        <w:t>Máte-li jakékoli další otázky, zeptejte se svého lékaře nebo lékárníka.</w:t>
      </w:r>
    </w:p>
    <w:p w14:paraId="6D7529AE" w14:textId="77777777" w:rsidR="00BB0E02" w:rsidRPr="001B4A02" w:rsidRDefault="00000000" w:rsidP="00ED48A3">
      <w:pPr>
        <w:numPr>
          <w:ilvl w:val="0"/>
          <w:numId w:val="1"/>
        </w:numPr>
        <w:ind w:left="567" w:hanging="567"/>
      </w:pPr>
      <w:r w:rsidRPr="001B4A02">
        <w:t>Tento přípravek byl předepsán výhradně Vám. Nedávejte jej žádné další osobě. Mohl by jí ublížit</w:t>
      </w:r>
      <w:r w:rsidR="00D11EC5" w:rsidRPr="001B4A02">
        <w:t>,</w:t>
      </w:r>
      <w:r w:rsidR="002378E0">
        <w:t xml:space="preserve"> a </w:t>
      </w:r>
      <w:r w:rsidRPr="001B4A02">
        <w:t>to i tehdy, má-li stejné známky onemocnění jako Vy.</w:t>
      </w:r>
    </w:p>
    <w:p w14:paraId="42CCE0D0" w14:textId="77777777" w:rsidR="00BB0E02" w:rsidRPr="001B4A02" w:rsidRDefault="00000000" w:rsidP="00ED48A3">
      <w:pPr>
        <w:numPr>
          <w:ilvl w:val="0"/>
          <w:numId w:val="1"/>
        </w:numPr>
        <w:ind w:left="567" w:hanging="567"/>
      </w:pPr>
      <w:r w:rsidRPr="001B4A02">
        <w:t>Pokud se u Vás vyskytne kterýkoli z</w:t>
      </w:r>
      <w:r w:rsidR="00075234" w:rsidRPr="001B4A02">
        <w:t> </w:t>
      </w:r>
      <w:r w:rsidRPr="001B4A02">
        <w:t>nežádoucích účinků, sdělte to svému lékaři nebo lékárníkovi. Stejně postupujte v</w:t>
      </w:r>
      <w:r w:rsidR="00075234" w:rsidRPr="001B4A02">
        <w:t> </w:t>
      </w:r>
      <w:r w:rsidRPr="001B4A02">
        <w:t>případě jakýchkoli nežádoucích účinků, které nejsou uvedeny v</w:t>
      </w:r>
      <w:r w:rsidR="00075234" w:rsidRPr="001B4A02">
        <w:t> </w:t>
      </w:r>
      <w:r w:rsidRPr="001B4A02">
        <w:t>této příbalové informaci</w:t>
      </w:r>
      <w:r w:rsidR="006159C5" w:rsidRPr="001B4A02">
        <w:t>.</w:t>
      </w:r>
      <w:r w:rsidRPr="001B4A02">
        <w:t xml:space="preserve"> </w:t>
      </w:r>
      <w:r w:rsidR="006159C5" w:rsidRPr="001B4A02">
        <w:t>V</w:t>
      </w:r>
      <w:r w:rsidRPr="001B4A02">
        <w:t>iz bod 4.</w:t>
      </w:r>
    </w:p>
    <w:p w14:paraId="48D954EB" w14:textId="77777777" w:rsidR="00BB0E02" w:rsidRPr="001B4A02" w:rsidRDefault="00BB0E02" w:rsidP="00ED48A3">
      <w:pPr>
        <w:ind w:left="0" w:firstLine="0"/>
      </w:pPr>
    </w:p>
    <w:p w14:paraId="549B8E8A" w14:textId="77777777" w:rsidR="00BB0E02" w:rsidRPr="001B4A02" w:rsidRDefault="00000000" w:rsidP="0067453A">
      <w:pPr>
        <w:numPr>
          <w:ilvl w:val="12"/>
          <w:numId w:val="0"/>
        </w:numPr>
      </w:pPr>
      <w:r w:rsidRPr="001B4A02">
        <w:rPr>
          <w:b/>
        </w:rPr>
        <w:t>Co naleznete v</w:t>
      </w:r>
      <w:r w:rsidR="00075234" w:rsidRPr="001B4A02">
        <w:rPr>
          <w:b/>
        </w:rPr>
        <w:t> </w:t>
      </w:r>
      <w:r w:rsidRPr="001B4A02">
        <w:rPr>
          <w:b/>
        </w:rPr>
        <w:t>této příbalové informaci</w:t>
      </w:r>
      <w:r w:rsidRPr="001B4A02">
        <w:t xml:space="preserve"> </w:t>
      </w:r>
    </w:p>
    <w:p w14:paraId="6EB835CC" w14:textId="77777777" w:rsidR="00BB0E02" w:rsidRPr="001B4A02" w:rsidRDefault="00000000" w:rsidP="00ED48A3">
      <w:pPr>
        <w:ind w:left="0" w:right="-29" w:firstLine="0"/>
      </w:pPr>
      <w:r w:rsidRPr="001B4A02">
        <w:t>1.</w:t>
      </w:r>
      <w:r w:rsidRPr="001B4A02">
        <w:tab/>
        <w:t>Co je přípravek Humira</w:t>
      </w:r>
      <w:r w:rsidR="002378E0">
        <w:t xml:space="preserve"> a </w:t>
      </w:r>
      <w:r w:rsidRPr="001B4A02">
        <w:t>k</w:t>
      </w:r>
      <w:r w:rsidR="00075234" w:rsidRPr="001B4A02">
        <w:t> </w:t>
      </w:r>
      <w:r w:rsidRPr="001B4A02">
        <w:t>čemu se používá</w:t>
      </w:r>
    </w:p>
    <w:p w14:paraId="2BF4C201" w14:textId="77777777" w:rsidR="00BB0E02" w:rsidRPr="001B4A02" w:rsidRDefault="00000000" w:rsidP="00ED48A3">
      <w:pPr>
        <w:ind w:left="0" w:right="-29" w:firstLine="0"/>
      </w:pPr>
      <w:r w:rsidRPr="001B4A02">
        <w:t>2.</w:t>
      </w:r>
      <w:r w:rsidRPr="001B4A02">
        <w:tab/>
        <w:t xml:space="preserve">Čemu musíte věnovat pozornost, než začnete přípravek Humira </w:t>
      </w:r>
      <w:r w:rsidR="00D32374" w:rsidRPr="001B4A02">
        <w:t>po</w:t>
      </w:r>
      <w:r w:rsidRPr="001B4A02">
        <w:t xml:space="preserve">užívat </w:t>
      </w:r>
    </w:p>
    <w:p w14:paraId="67C3739B" w14:textId="77777777" w:rsidR="00BB0E02" w:rsidRPr="001B4A02" w:rsidRDefault="00000000" w:rsidP="00ED48A3">
      <w:pPr>
        <w:ind w:left="0" w:right="-29" w:firstLine="0"/>
      </w:pPr>
      <w:r w:rsidRPr="001B4A02">
        <w:t>3.</w:t>
      </w:r>
      <w:r w:rsidRPr="001B4A02">
        <w:tab/>
        <w:t xml:space="preserve">Jak se </w:t>
      </w:r>
      <w:r w:rsidR="009E1608" w:rsidRPr="001B4A02">
        <w:t xml:space="preserve">přípravek </w:t>
      </w:r>
      <w:r w:rsidRPr="001B4A02">
        <w:t xml:space="preserve">Humira </w:t>
      </w:r>
      <w:r w:rsidR="00D32374" w:rsidRPr="001B4A02">
        <w:t>po</w:t>
      </w:r>
      <w:r w:rsidRPr="001B4A02">
        <w:t xml:space="preserve">užívá </w:t>
      </w:r>
    </w:p>
    <w:p w14:paraId="5036F9F1" w14:textId="77777777" w:rsidR="00BB0E02" w:rsidRPr="001B4A02" w:rsidRDefault="00000000" w:rsidP="00ED48A3">
      <w:pPr>
        <w:ind w:left="0" w:right="-29" w:firstLine="0"/>
      </w:pPr>
      <w:r w:rsidRPr="001B4A02">
        <w:t>4.</w:t>
      </w:r>
      <w:r w:rsidRPr="001B4A02">
        <w:tab/>
        <w:t>Možné nežádoucí účinky</w:t>
      </w:r>
    </w:p>
    <w:p w14:paraId="681F7D52" w14:textId="77777777" w:rsidR="00BB0E02" w:rsidRPr="001B4A02" w:rsidRDefault="00000000" w:rsidP="00ED48A3">
      <w:pPr>
        <w:ind w:left="0" w:right="-29" w:firstLine="0"/>
      </w:pPr>
      <w:r w:rsidRPr="001B4A02">
        <w:t>5.</w:t>
      </w:r>
      <w:r w:rsidRPr="001B4A02">
        <w:tab/>
        <w:t>Jak přípravek Humira uchovávat</w:t>
      </w:r>
    </w:p>
    <w:p w14:paraId="1B17ACC6" w14:textId="77777777" w:rsidR="00BB0E02" w:rsidRPr="001B4A02" w:rsidRDefault="00000000" w:rsidP="00ED48A3">
      <w:pPr>
        <w:ind w:left="0" w:right="-29" w:firstLine="0"/>
      </w:pPr>
      <w:r w:rsidRPr="001B4A02">
        <w:t>6.</w:t>
      </w:r>
      <w:r w:rsidRPr="001B4A02">
        <w:tab/>
        <w:t>Obsah balení</w:t>
      </w:r>
      <w:r w:rsidR="002378E0">
        <w:t xml:space="preserve"> a </w:t>
      </w:r>
      <w:r w:rsidRPr="001B4A02">
        <w:t>další informace</w:t>
      </w:r>
    </w:p>
    <w:p w14:paraId="764BF6AD" w14:textId="77777777" w:rsidR="006159C5" w:rsidRPr="001B4A02" w:rsidRDefault="00000000" w:rsidP="00ED48A3">
      <w:pPr>
        <w:ind w:left="0" w:right="-29" w:firstLine="0"/>
      </w:pPr>
      <w:r w:rsidRPr="001B4A02">
        <w:t>7.</w:t>
      </w:r>
      <w:r w:rsidRPr="001B4A02">
        <w:tab/>
      </w:r>
      <w:r w:rsidR="009A3A57">
        <w:t>Aplikace injekce přípravku Humira</w:t>
      </w:r>
    </w:p>
    <w:p w14:paraId="5B434761" w14:textId="77777777" w:rsidR="008D112A" w:rsidRPr="001B4A02" w:rsidRDefault="008D112A" w:rsidP="00ED48A3">
      <w:pPr>
        <w:ind w:right="-29"/>
      </w:pPr>
    </w:p>
    <w:p w14:paraId="3F1629E2" w14:textId="77777777" w:rsidR="008D112A" w:rsidRPr="001B4A02" w:rsidRDefault="008D112A" w:rsidP="00ED48A3">
      <w:pPr>
        <w:ind w:right="-29"/>
      </w:pPr>
    </w:p>
    <w:p w14:paraId="50518E2E" w14:textId="77777777" w:rsidR="008D112A" w:rsidRPr="001B4A02" w:rsidRDefault="00000000" w:rsidP="004B14C0">
      <w:pPr>
        <w:pStyle w:val="EMEAHeading1"/>
        <w:spacing w:beforeLines="0" w:afterLines="0"/>
        <w:outlineLvl w:val="1"/>
        <w:rPr>
          <w:rFonts w:ascii="Times New Roman" w:hAnsi="Times New Roman"/>
          <w:caps w:val="0"/>
          <w:lang w:val="cs-CZ"/>
        </w:rPr>
      </w:pPr>
      <w:r w:rsidRPr="001B4A02">
        <w:rPr>
          <w:rFonts w:ascii="Times New Roman" w:hAnsi="Times New Roman"/>
          <w:caps w:val="0"/>
          <w:lang w:val="cs-CZ"/>
        </w:rPr>
        <w:t>1.</w:t>
      </w:r>
      <w:r w:rsidRPr="001B4A02">
        <w:rPr>
          <w:rFonts w:ascii="Times New Roman" w:hAnsi="Times New Roman"/>
          <w:caps w:val="0"/>
          <w:lang w:val="cs-CZ"/>
        </w:rPr>
        <w:tab/>
      </w:r>
      <w:r w:rsidR="00BB0E02" w:rsidRPr="001B4A02">
        <w:rPr>
          <w:rFonts w:ascii="Times New Roman" w:hAnsi="Times New Roman"/>
          <w:caps w:val="0"/>
          <w:lang w:val="cs-CZ"/>
        </w:rPr>
        <w:t>Co je přípravek Humira</w:t>
      </w:r>
      <w:r w:rsidR="002378E0">
        <w:rPr>
          <w:rFonts w:ascii="Times New Roman" w:hAnsi="Times New Roman"/>
          <w:caps w:val="0"/>
          <w:lang w:val="cs-CZ"/>
        </w:rPr>
        <w:t xml:space="preserve"> a </w:t>
      </w:r>
      <w:r w:rsidR="00BB0E02" w:rsidRPr="001B4A02">
        <w:rPr>
          <w:rFonts w:ascii="Times New Roman" w:hAnsi="Times New Roman"/>
          <w:caps w:val="0"/>
          <w:lang w:val="cs-CZ"/>
        </w:rPr>
        <w:t>k</w:t>
      </w:r>
      <w:r w:rsidR="00075234" w:rsidRPr="001B4A02">
        <w:rPr>
          <w:rFonts w:ascii="Times New Roman" w:hAnsi="Times New Roman"/>
          <w:caps w:val="0"/>
          <w:lang w:val="cs-CZ"/>
        </w:rPr>
        <w:t> </w:t>
      </w:r>
      <w:r w:rsidR="00BB0E02" w:rsidRPr="001B4A02">
        <w:rPr>
          <w:rFonts w:ascii="Times New Roman" w:hAnsi="Times New Roman"/>
          <w:caps w:val="0"/>
          <w:lang w:val="cs-CZ"/>
        </w:rPr>
        <w:t>čemu se používá</w:t>
      </w:r>
    </w:p>
    <w:p w14:paraId="63C854B3" w14:textId="77777777" w:rsidR="008D112A" w:rsidRPr="001B4A02" w:rsidRDefault="008D112A" w:rsidP="00ED48A3">
      <w:pPr>
        <w:pStyle w:val="EMEANormal"/>
        <w:rPr>
          <w:lang w:val="cs-CZ"/>
        </w:rPr>
      </w:pPr>
    </w:p>
    <w:p w14:paraId="176636A3" w14:textId="77777777" w:rsidR="00635E3F" w:rsidRPr="001B4A02" w:rsidRDefault="00000000" w:rsidP="00ED48A3">
      <w:pPr>
        <w:ind w:left="0" w:firstLine="0"/>
      </w:pPr>
      <w:r w:rsidRPr="001B4A02">
        <w:t>Příp</w:t>
      </w:r>
      <w:r w:rsidR="00E91CB6" w:rsidRPr="001B4A02">
        <w:t>r</w:t>
      </w:r>
      <w:r w:rsidRPr="001B4A02">
        <w:t xml:space="preserve">avek Humira obsahuje léčivou látku adalimumab. </w:t>
      </w:r>
    </w:p>
    <w:p w14:paraId="474ADC5D" w14:textId="77777777" w:rsidR="00BB0E02" w:rsidRPr="001B4A02" w:rsidRDefault="00BB0E02" w:rsidP="00ED48A3">
      <w:pPr>
        <w:ind w:left="0" w:firstLine="0"/>
      </w:pPr>
    </w:p>
    <w:p w14:paraId="1DF4AAC3" w14:textId="77777777" w:rsidR="008D112A" w:rsidRPr="001B4A02" w:rsidRDefault="00000000" w:rsidP="00ED48A3">
      <w:r w:rsidRPr="001B4A02">
        <w:t xml:space="preserve">Přípravek Humira </w:t>
      </w:r>
      <w:r w:rsidR="00BB0E02" w:rsidRPr="001B4A02">
        <w:t>se používá k</w:t>
      </w:r>
      <w:r w:rsidR="00075234" w:rsidRPr="001B4A02">
        <w:t> </w:t>
      </w:r>
      <w:r w:rsidR="00BB0E02" w:rsidRPr="001B4A02">
        <w:t>léčbě</w:t>
      </w:r>
    </w:p>
    <w:p w14:paraId="4E47BF8C" w14:textId="77777777" w:rsidR="00355655" w:rsidRPr="001B4A02" w:rsidRDefault="00000000" w:rsidP="00ED48A3">
      <w:pPr>
        <w:numPr>
          <w:ilvl w:val="0"/>
          <w:numId w:val="100"/>
        </w:numPr>
        <w:tabs>
          <w:tab w:val="left" w:pos="720"/>
        </w:tabs>
        <w:suppressAutoHyphens/>
        <w:ind w:left="714" w:hanging="357"/>
      </w:pPr>
      <w:r w:rsidRPr="001B4A02">
        <w:t>revmatoidní artritidy</w:t>
      </w:r>
    </w:p>
    <w:p w14:paraId="318C4D5B" w14:textId="77777777" w:rsidR="008D112A" w:rsidRPr="001B4A02" w:rsidRDefault="00000000" w:rsidP="00ED48A3">
      <w:pPr>
        <w:numPr>
          <w:ilvl w:val="0"/>
          <w:numId w:val="100"/>
        </w:numPr>
        <w:tabs>
          <w:tab w:val="left" w:pos="720"/>
        </w:tabs>
        <w:suppressAutoHyphens/>
        <w:ind w:left="714" w:hanging="357"/>
      </w:pPr>
      <w:r w:rsidRPr="001B4A02">
        <w:t>ložiskové psoriázy</w:t>
      </w:r>
    </w:p>
    <w:p w14:paraId="6E805A52" w14:textId="77777777" w:rsidR="00BB0E02" w:rsidRPr="001B4A02" w:rsidRDefault="00000000" w:rsidP="00ED48A3">
      <w:pPr>
        <w:numPr>
          <w:ilvl w:val="0"/>
          <w:numId w:val="100"/>
        </w:numPr>
        <w:tabs>
          <w:tab w:val="left" w:pos="720"/>
        </w:tabs>
        <w:suppressAutoHyphens/>
        <w:ind w:left="714" w:hanging="357"/>
      </w:pPr>
      <w:r w:rsidRPr="001B4A02">
        <w:t>hidradenitis suppurativa</w:t>
      </w:r>
    </w:p>
    <w:p w14:paraId="4D15F9D1" w14:textId="77777777" w:rsidR="008D112A" w:rsidRPr="001B4A02" w:rsidRDefault="00000000" w:rsidP="00ED48A3">
      <w:pPr>
        <w:numPr>
          <w:ilvl w:val="0"/>
          <w:numId w:val="100"/>
        </w:numPr>
        <w:tabs>
          <w:tab w:val="left" w:pos="720"/>
        </w:tabs>
        <w:suppressAutoHyphens/>
        <w:ind w:left="714" w:hanging="357"/>
      </w:pPr>
      <w:r w:rsidRPr="001B4A02">
        <w:t>Crohnovy choroby</w:t>
      </w:r>
    </w:p>
    <w:p w14:paraId="5F1DB4D8" w14:textId="77777777" w:rsidR="008D112A" w:rsidRPr="001B4A02" w:rsidRDefault="00000000" w:rsidP="00ED48A3">
      <w:pPr>
        <w:numPr>
          <w:ilvl w:val="0"/>
          <w:numId w:val="100"/>
        </w:numPr>
        <w:tabs>
          <w:tab w:val="left" w:pos="720"/>
        </w:tabs>
        <w:suppressAutoHyphens/>
        <w:ind w:left="714" w:hanging="357"/>
      </w:pPr>
      <w:r w:rsidRPr="001B4A02">
        <w:t>ulcerózní kolitidy</w:t>
      </w:r>
    </w:p>
    <w:p w14:paraId="11AFAE38" w14:textId="77777777" w:rsidR="008D112A" w:rsidRPr="001B4A02" w:rsidRDefault="00000000" w:rsidP="00ED48A3">
      <w:pPr>
        <w:numPr>
          <w:ilvl w:val="0"/>
          <w:numId w:val="100"/>
        </w:numPr>
        <w:tabs>
          <w:tab w:val="left" w:pos="720"/>
        </w:tabs>
        <w:suppressAutoHyphens/>
        <w:ind w:left="714" w:hanging="357"/>
        <w:rPr>
          <w:iCs/>
        </w:rPr>
      </w:pPr>
      <w:r w:rsidRPr="001B4A02">
        <w:t xml:space="preserve">neinfekční uveitidy </w:t>
      </w:r>
    </w:p>
    <w:p w14:paraId="1BBB5577" w14:textId="77777777" w:rsidR="008D112A" w:rsidRPr="001B4A02" w:rsidRDefault="008D112A" w:rsidP="00ED48A3">
      <w:pPr>
        <w:rPr>
          <w:highlight w:val="yellow"/>
        </w:rPr>
      </w:pPr>
    </w:p>
    <w:p w14:paraId="7CCA75C4" w14:textId="77777777" w:rsidR="00635E3F" w:rsidRPr="001B4A02" w:rsidRDefault="00000000" w:rsidP="00635E3F">
      <w:pPr>
        <w:ind w:left="0" w:firstLine="0"/>
      </w:pPr>
      <w:r w:rsidRPr="001B4A02">
        <w:t>Léčiv</w:t>
      </w:r>
      <w:r w:rsidR="00320049" w:rsidRPr="001B4A02">
        <w:t>á</w:t>
      </w:r>
      <w:r w:rsidRPr="001B4A02">
        <w:t xml:space="preserve"> látk</w:t>
      </w:r>
      <w:r w:rsidR="00320049" w:rsidRPr="001B4A02">
        <w:t>a</w:t>
      </w:r>
      <w:r w:rsidRPr="001B4A02">
        <w:t xml:space="preserve"> v přípravku Humira</w:t>
      </w:r>
      <w:r w:rsidR="00320049" w:rsidRPr="001B4A02">
        <w:t>,</w:t>
      </w:r>
      <w:r w:rsidRPr="001B4A02">
        <w:t xml:space="preserve"> adalimumab, je </w:t>
      </w:r>
      <w:r w:rsidR="00B50434" w:rsidRPr="001B4A02">
        <w:t>lidská monoklonální protilátka</w:t>
      </w:r>
      <w:r w:rsidRPr="001B4A02">
        <w:t xml:space="preserve">. Monoklonální protilátky jsou bílkoviny, které se váží na specifický cíl. </w:t>
      </w:r>
    </w:p>
    <w:p w14:paraId="7E14E19A" w14:textId="77777777" w:rsidR="00635E3F" w:rsidRPr="001B4A02" w:rsidRDefault="00635E3F" w:rsidP="00635E3F">
      <w:pPr>
        <w:ind w:left="0" w:firstLine="0"/>
      </w:pPr>
    </w:p>
    <w:p w14:paraId="021FC577" w14:textId="77777777" w:rsidR="00635E3F" w:rsidRPr="001B4A02" w:rsidRDefault="00000000" w:rsidP="00635E3F">
      <w:pPr>
        <w:ind w:left="0" w:firstLine="0"/>
      </w:pPr>
      <w:r w:rsidRPr="001B4A02">
        <w:t xml:space="preserve">Cíl pro adalimumab je bílkovina označená jako tumor nekrotizující faktor (TNFα), která </w:t>
      </w:r>
      <w:r w:rsidRPr="001B4A02">
        <w:rPr>
          <w:color w:val="000000"/>
          <w:szCs w:val="22"/>
        </w:rPr>
        <w:t>působí v imunitním (obranném) systému</w:t>
      </w:r>
      <w:r w:rsidR="002378E0">
        <w:rPr>
          <w:color w:val="000000"/>
          <w:szCs w:val="22"/>
        </w:rPr>
        <w:t xml:space="preserve"> a </w:t>
      </w:r>
      <w:r w:rsidRPr="001B4A02">
        <w:t xml:space="preserve">je přítomna ve zvýšených hladinách </w:t>
      </w:r>
      <w:r w:rsidRPr="001B4A02">
        <w:rPr>
          <w:color w:val="000000"/>
          <w:szCs w:val="22"/>
        </w:rPr>
        <w:t>při zánětlivých onemocněních uvedených výše. Navázáním na TNFα snižuje přípravek Humira zánětlivý proces u</w:t>
      </w:r>
      <w:r w:rsidR="00A02FA4" w:rsidRPr="001B4A02">
        <w:rPr>
          <w:color w:val="000000"/>
          <w:szCs w:val="22"/>
        </w:rPr>
        <w:t> </w:t>
      </w:r>
      <w:r w:rsidRPr="001B4A02">
        <w:rPr>
          <w:color w:val="000000"/>
          <w:szCs w:val="22"/>
        </w:rPr>
        <w:t>těchto onemocnění</w:t>
      </w:r>
      <w:r w:rsidRPr="001B4A02">
        <w:t>.</w:t>
      </w:r>
    </w:p>
    <w:p w14:paraId="17E704BB" w14:textId="77777777" w:rsidR="008D112A" w:rsidRPr="001B4A02" w:rsidRDefault="008D112A" w:rsidP="00635E3F">
      <w:pPr>
        <w:ind w:left="0" w:firstLine="0"/>
      </w:pPr>
    </w:p>
    <w:p w14:paraId="14AD2AA4" w14:textId="77777777" w:rsidR="00355655" w:rsidRPr="001B4A02" w:rsidRDefault="00000000" w:rsidP="009C4763">
      <w:pPr>
        <w:pStyle w:val="EMEAHeadingUnderline"/>
        <w:keepNext/>
        <w:tabs>
          <w:tab w:val="clear" w:pos="562"/>
        </w:tabs>
        <w:suppressAutoHyphens w:val="0"/>
        <w:spacing w:beforeLines="0" w:before="0" w:afterLines="0" w:after="0"/>
        <w:rPr>
          <w:b/>
          <w:u w:val="none"/>
          <w:lang w:val="cs-CZ"/>
        </w:rPr>
      </w:pPr>
      <w:r w:rsidRPr="001B4A02">
        <w:rPr>
          <w:b/>
          <w:u w:val="none"/>
          <w:lang w:val="cs-CZ"/>
        </w:rPr>
        <w:t>Revmatoidní artritida</w:t>
      </w:r>
    </w:p>
    <w:p w14:paraId="5249A29B" w14:textId="77777777" w:rsidR="00355655" w:rsidRPr="001B4A02" w:rsidRDefault="00355655" w:rsidP="009C4763">
      <w:pPr>
        <w:keepNext/>
        <w:ind w:left="0" w:firstLine="0"/>
      </w:pPr>
    </w:p>
    <w:p w14:paraId="6DEFE3A8" w14:textId="77777777" w:rsidR="00355655" w:rsidRPr="001B4A02" w:rsidRDefault="00000000" w:rsidP="00355655">
      <w:pPr>
        <w:ind w:left="0" w:firstLine="0"/>
      </w:pPr>
      <w:r w:rsidRPr="001B4A02">
        <w:t>Revmatoidní artritida je zánětlivé onemocnění kloubů.</w:t>
      </w:r>
    </w:p>
    <w:p w14:paraId="26FD8B96" w14:textId="77777777" w:rsidR="00355655" w:rsidRPr="001B4A02" w:rsidRDefault="00355655" w:rsidP="00355655">
      <w:pPr>
        <w:ind w:left="0" w:firstLine="0"/>
      </w:pPr>
    </w:p>
    <w:p w14:paraId="67E0AE2A" w14:textId="77777777" w:rsidR="00355655" w:rsidRPr="001B4A02" w:rsidRDefault="00000000" w:rsidP="00355655">
      <w:pPr>
        <w:ind w:left="0" w:firstLine="0"/>
      </w:pPr>
      <w:r w:rsidRPr="001B4A02">
        <w:t>Přípravek Humira se používá k léčbě středně těžké až těžké revmatoidní artritidy u dospělých. Můžete nejdříve užívat jiné chorobu modifikující léky, jako je methotrexát. Pokud u Vás tyto léky nevyvolají uspokojivou odpověď, pak dostanete přípravek Humira.</w:t>
      </w:r>
    </w:p>
    <w:p w14:paraId="318675B3" w14:textId="77777777" w:rsidR="00355655" w:rsidRPr="001B4A02" w:rsidRDefault="00355655" w:rsidP="00355655">
      <w:pPr>
        <w:ind w:left="0" w:firstLine="0"/>
      </w:pPr>
    </w:p>
    <w:p w14:paraId="0E5E11D9" w14:textId="77777777" w:rsidR="00355655" w:rsidRPr="001B4A02" w:rsidRDefault="00000000" w:rsidP="00355655">
      <w:pPr>
        <w:ind w:left="0" w:firstLine="0"/>
      </w:pPr>
      <w:r w:rsidRPr="001B4A02">
        <w:t>Přípravek Humira je možné použít rovněž k léčbě těžké, aktivní</w:t>
      </w:r>
      <w:r w:rsidR="002378E0">
        <w:t xml:space="preserve"> a </w:t>
      </w:r>
      <w:r w:rsidRPr="001B4A02">
        <w:t>progresivní revmatoidní artritidy bez předchozí léčby methotrexátem.</w:t>
      </w:r>
    </w:p>
    <w:p w14:paraId="49DF5FB0" w14:textId="77777777" w:rsidR="00355655" w:rsidRPr="001B4A02" w:rsidRDefault="00355655" w:rsidP="00355655">
      <w:pPr>
        <w:ind w:left="0" w:firstLine="0"/>
      </w:pPr>
    </w:p>
    <w:p w14:paraId="1966C313" w14:textId="77777777" w:rsidR="00355655" w:rsidRPr="001B4A02" w:rsidRDefault="00000000" w:rsidP="00355655">
      <w:pPr>
        <w:ind w:left="0" w:firstLine="0"/>
      </w:pPr>
      <w:r w:rsidRPr="001B4A02">
        <w:t>Přípravek Humira může zpomalit poškození kloubů způsobené zánětlivým onemocněním</w:t>
      </w:r>
      <w:r w:rsidR="002378E0">
        <w:t xml:space="preserve"> a </w:t>
      </w:r>
      <w:r w:rsidRPr="001B4A02">
        <w:t>může zlepšit rozsah jejich pohybu.</w:t>
      </w:r>
    </w:p>
    <w:p w14:paraId="1656651B" w14:textId="77777777" w:rsidR="00355655" w:rsidRPr="001B4A02" w:rsidRDefault="00355655" w:rsidP="00355655">
      <w:pPr>
        <w:ind w:left="0" w:firstLine="0"/>
      </w:pPr>
    </w:p>
    <w:p w14:paraId="0B716EF0" w14:textId="77777777" w:rsidR="00355655" w:rsidRPr="001B4A02" w:rsidRDefault="00000000" w:rsidP="00355655">
      <w:pPr>
        <w:ind w:left="0" w:firstLine="0"/>
      </w:pPr>
      <w:r w:rsidRPr="001B4A02">
        <w:t>Váš lékař rozhodne o tom, zda máte přípravek Humira používat společně s methotrexátem nebo bez něho.</w:t>
      </w:r>
    </w:p>
    <w:p w14:paraId="19B9B486" w14:textId="77777777" w:rsidR="00355655" w:rsidRPr="001B4A02" w:rsidRDefault="00355655" w:rsidP="00635E3F">
      <w:pPr>
        <w:ind w:left="0" w:firstLine="0"/>
      </w:pPr>
    </w:p>
    <w:p w14:paraId="044F292A" w14:textId="77777777" w:rsidR="008D112A" w:rsidRPr="001B4A02" w:rsidRDefault="00000000" w:rsidP="009C4763">
      <w:pPr>
        <w:pStyle w:val="DefaultText"/>
        <w:keepNext/>
        <w:rPr>
          <w:rFonts w:ascii="Times New Roman" w:hAnsi="Times New Roman"/>
          <w:u w:val="single"/>
          <w:lang w:val="cs-CZ"/>
        </w:rPr>
      </w:pPr>
      <w:r w:rsidRPr="001B4A02">
        <w:rPr>
          <w:rFonts w:ascii="Times New Roman" w:hAnsi="Times New Roman"/>
          <w:b/>
          <w:lang w:val="cs-CZ"/>
        </w:rPr>
        <w:t>Ložisková psoriáza</w:t>
      </w:r>
    </w:p>
    <w:p w14:paraId="6BEAD160" w14:textId="77777777" w:rsidR="008D112A" w:rsidRPr="001B4A02" w:rsidRDefault="008D112A" w:rsidP="009C4763">
      <w:pPr>
        <w:keepNext/>
        <w:autoSpaceDE w:val="0"/>
        <w:autoSpaceDN w:val="0"/>
        <w:adjustRightInd w:val="0"/>
      </w:pPr>
    </w:p>
    <w:p w14:paraId="2A6F34A8" w14:textId="77777777" w:rsidR="008D112A" w:rsidRPr="001B4A02" w:rsidRDefault="00000000" w:rsidP="00ED48A3">
      <w:pPr>
        <w:numPr>
          <w:ilvl w:val="12"/>
          <w:numId w:val="0"/>
        </w:numPr>
        <w:ind w:right="-2"/>
      </w:pPr>
      <w:r w:rsidRPr="001B4A02">
        <w:t xml:space="preserve">Ložisková psoriáza je kožní onemocnění, které se projevuje ohraničenými, zarudlými, vyvýšenými ložisky, krytými stříbřitě lesklými šupinami. </w:t>
      </w:r>
      <w:r w:rsidR="00FE3367" w:rsidRPr="001B4A02">
        <w:t xml:space="preserve">Ložisková psoriáza může postihovat také nehty, může způsobit jejich </w:t>
      </w:r>
      <w:r w:rsidR="000B75A4" w:rsidRPr="001B4A02">
        <w:t>ztluštění</w:t>
      </w:r>
      <w:r w:rsidR="00FE3367" w:rsidRPr="001B4A02">
        <w:t>, drolení</w:t>
      </w:r>
      <w:r w:rsidR="002378E0">
        <w:t xml:space="preserve"> a </w:t>
      </w:r>
      <w:r w:rsidR="00FE3367" w:rsidRPr="001B4A02">
        <w:t>odlučování od nehtového lůžka, což může být bolestivé.</w:t>
      </w:r>
    </w:p>
    <w:p w14:paraId="0743D059" w14:textId="77777777" w:rsidR="008D112A" w:rsidRPr="001B4A02" w:rsidRDefault="008D112A" w:rsidP="00ED48A3">
      <w:pPr>
        <w:autoSpaceDE w:val="0"/>
        <w:autoSpaceDN w:val="0"/>
        <w:adjustRightInd w:val="0"/>
      </w:pPr>
    </w:p>
    <w:p w14:paraId="4F9CAC77" w14:textId="77777777" w:rsidR="008D112A" w:rsidRPr="001B4A02" w:rsidRDefault="00000000" w:rsidP="00ED48A3">
      <w:pPr>
        <w:pStyle w:val="EMEANormal"/>
        <w:rPr>
          <w:lang w:val="cs-CZ"/>
        </w:rPr>
      </w:pPr>
      <w:r w:rsidRPr="001B4A02">
        <w:rPr>
          <w:lang w:val="cs-CZ"/>
        </w:rPr>
        <w:t>Přípravek Humira se používá k</w:t>
      </w:r>
      <w:r w:rsidR="00075234" w:rsidRPr="001B4A02">
        <w:rPr>
          <w:lang w:val="cs-CZ"/>
        </w:rPr>
        <w:t> </w:t>
      </w:r>
      <w:r w:rsidRPr="001B4A02">
        <w:rPr>
          <w:lang w:val="cs-CZ"/>
        </w:rPr>
        <w:t xml:space="preserve">léčbě </w:t>
      </w:r>
      <w:r w:rsidRPr="001B4A02">
        <w:rPr>
          <w:szCs w:val="21"/>
          <w:lang w:val="cs-CZ"/>
        </w:rPr>
        <w:t xml:space="preserve">středně </w:t>
      </w:r>
      <w:r w:rsidR="00FE3367" w:rsidRPr="001B4A02">
        <w:rPr>
          <w:szCs w:val="21"/>
          <w:lang w:val="cs-CZ"/>
        </w:rPr>
        <w:t xml:space="preserve">těžké </w:t>
      </w:r>
      <w:r w:rsidRPr="001B4A02">
        <w:rPr>
          <w:szCs w:val="21"/>
          <w:lang w:val="cs-CZ"/>
        </w:rPr>
        <w:t xml:space="preserve">až </w:t>
      </w:r>
      <w:r w:rsidR="00FE3367" w:rsidRPr="001B4A02">
        <w:rPr>
          <w:szCs w:val="21"/>
          <w:lang w:val="cs-CZ"/>
        </w:rPr>
        <w:t>těžké</w:t>
      </w:r>
      <w:r w:rsidR="00507DAA" w:rsidRPr="001B4A02">
        <w:rPr>
          <w:szCs w:val="21"/>
          <w:lang w:val="cs-CZ"/>
        </w:rPr>
        <w:t xml:space="preserve"> chronické ložiskové psoriázy u </w:t>
      </w:r>
      <w:r w:rsidRPr="001B4A02">
        <w:rPr>
          <w:szCs w:val="21"/>
          <w:lang w:val="cs-CZ"/>
        </w:rPr>
        <w:t>dospělých</w:t>
      </w:r>
      <w:r w:rsidRPr="001B4A02">
        <w:rPr>
          <w:lang w:val="cs-CZ"/>
        </w:rPr>
        <w:t>.</w:t>
      </w:r>
    </w:p>
    <w:p w14:paraId="48912BAB" w14:textId="77777777" w:rsidR="008D112A" w:rsidRPr="001B4A02" w:rsidRDefault="008D112A" w:rsidP="00ED48A3">
      <w:pPr>
        <w:numPr>
          <w:ilvl w:val="12"/>
          <w:numId w:val="0"/>
        </w:numPr>
        <w:ind w:right="-2"/>
      </w:pPr>
    </w:p>
    <w:p w14:paraId="0445222E" w14:textId="77777777" w:rsidR="008D112A" w:rsidRPr="001B4A02" w:rsidRDefault="00000000" w:rsidP="00ED48A3">
      <w:pPr>
        <w:pStyle w:val="EMEANormal"/>
        <w:keepNext/>
        <w:rPr>
          <w:u w:val="single"/>
          <w:lang w:val="cs-CZ"/>
        </w:rPr>
      </w:pPr>
      <w:r w:rsidRPr="001B4A02">
        <w:rPr>
          <w:b/>
          <w:szCs w:val="21"/>
          <w:lang w:val="cs-CZ"/>
        </w:rPr>
        <w:t>Hidradenitis suppurativa</w:t>
      </w:r>
    </w:p>
    <w:p w14:paraId="6B3CF721" w14:textId="77777777" w:rsidR="008D112A" w:rsidRPr="001B4A02" w:rsidRDefault="008D112A" w:rsidP="00ED48A3">
      <w:pPr>
        <w:keepNext/>
      </w:pPr>
    </w:p>
    <w:p w14:paraId="1CE1A494" w14:textId="77777777" w:rsidR="00D230C3" w:rsidRPr="001B4A02" w:rsidRDefault="00000000" w:rsidP="00ED48A3">
      <w:pPr>
        <w:ind w:left="0" w:firstLine="0"/>
        <w:rPr>
          <w:rFonts w:eastAsia="Calibri"/>
          <w:szCs w:val="22"/>
        </w:rPr>
      </w:pPr>
      <w:r w:rsidRPr="001B4A02">
        <w:rPr>
          <w:rFonts w:eastAsia="Calibri"/>
          <w:szCs w:val="22"/>
        </w:rPr>
        <w:t>Hidradenitis suppurativa (někdy nazývaná acne inversa) je chronické</w:t>
      </w:r>
      <w:r w:rsidR="002378E0">
        <w:rPr>
          <w:rFonts w:eastAsia="Calibri"/>
          <w:szCs w:val="22"/>
        </w:rPr>
        <w:t xml:space="preserve"> a </w:t>
      </w:r>
      <w:r w:rsidRPr="001B4A02">
        <w:rPr>
          <w:rFonts w:eastAsia="Calibri"/>
          <w:szCs w:val="22"/>
        </w:rPr>
        <w:t>často bolestivé zánětlivé kožní onemocnění. Příznaky mohou zahrnovat citlivé uzly (boláky)</w:t>
      </w:r>
      <w:r w:rsidR="002378E0">
        <w:rPr>
          <w:rFonts w:eastAsia="Calibri"/>
          <w:szCs w:val="22"/>
        </w:rPr>
        <w:t xml:space="preserve"> a </w:t>
      </w:r>
      <w:r w:rsidRPr="001B4A02">
        <w:rPr>
          <w:rFonts w:eastAsia="Calibri"/>
          <w:szCs w:val="22"/>
        </w:rPr>
        <w:t>abscesy (nežity), které mohou obsahovat hnis. Nejčastěji postihuje specifické části kůže, jako např. pod prsy, podpaždí, vnitřní část stehen, třísla</w:t>
      </w:r>
      <w:r w:rsidR="002378E0">
        <w:rPr>
          <w:rFonts w:eastAsia="Calibri"/>
          <w:szCs w:val="22"/>
        </w:rPr>
        <w:t xml:space="preserve"> a </w:t>
      </w:r>
      <w:r w:rsidRPr="001B4A02">
        <w:rPr>
          <w:rFonts w:eastAsia="Calibri"/>
          <w:szCs w:val="22"/>
        </w:rPr>
        <w:t>hýždě. Na postižených částech se také mohou objevovat jizvy.</w:t>
      </w:r>
    </w:p>
    <w:p w14:paraId="17737159" w14:textId="77777777" w:rsidR="008D112A" w:rsidRPr="001B4A02" w:rsidRDefault="008D112A" w:rsidP="00ED48A3"/>
    <w:p w14:paraId="42D023EC" w14:textId="77777777" w:rsidR="00675E2D" w:rsidRPr="001B4A02" w:rsidRDefault="00000000" w:rsidP="001D31EF">
      <w:pPr>
        <w:keepNext/>
        <w:ind w:left="0" w:firstLine="0"/>
        <w:rPr>
          <w:rFonts w:eastAsia="Calibri"/>
          <w:szCs w:val="22"/>
        </w:rPr>
      </w:pPr>
      <w:r w:rsidRPr="001B4A02">
        <w:t xml:space="preserve">Přípravek </w:t>
      </w:r>
      <w:r w:rsidRPr="001B4A02">
        <w:rPr>
          <w:rFonts w:eastAsia="Calibri"/>
          <w:szCs w:val="22"/>
        </w:rPr>
        <w:t>Humira se používá k</w:t>
      </w:r>
      <w:r w:rsidR="00075234" w:rsidRPr="001B4A02">
        <w:rPr>
          <w:rFonts w:eastAsia="Calibri"/>
          <w:szCs w:val="22"/>
        </w:rPr>
        <w:t> </w:t>
      </w:r>
      <w:r w:rsidRPr="001B4A02">
        <w:rPr>
          <w:rFonts w:eastAsia="Calibri"/>
          <w:szCs w:val="22"/>
        </w:rPr>
        <w:t xml:space="preserve">léčbě </w:t>
      </w:r>
    </w:p>
    <w:p w14:paraId="45FEDE3D" w14:textId="77777777" w:rsidR="00675E2D" w:rsidRPr="001B4A02" w:rsidRDefault="00000000" w:rsidP="00ED48A3">
      <w:pPr>
        <w:numPr>
          <w:ilvl w:val="2"/>
          <w:numId w:val="17"/>
        </w:numPr>
        <w:tabs>
          <w:tab w:val="clear" w:pos="2160"/>
          <w:tab w:val="left" w:pos="720"/>
        </w:tabs>
        <w:ind w:left="714" w:hanging="357"/>
        <w:rPr>
          <w:rFonts w:eastAsia="Calibri"/>
          <w:szCs w:val="22"/>
        </w:rPr>
      </w:pPr>
      <w:r w:rsidRPr="001B4A02">
        <w:rPr>
          <w:rFonts w:eastAsia="Calibri"/>
          <w:szCs w:val="22"/>
        </w:rPr>
        <w:t xml:space="preserve">středně </w:t>
      </w:r>
      <w:r w:rsidR="00FE3367" w:rsidRPr="001B4A02">
        <w:rPr>
          <w:rFonts w:eastAsia="Calibri"/>
          <w:szCs w:val="22"/>
        </w:rPr>
        <w:t>těžké</w:t>
      </w:r>
      <w:r w:rsidRPr="001B4A02">
        <w:rPr>
          <w:rFonts w:eastAsia="Calibri"/>
          <w:szCs w:val="22"/>
        </w:rPr>
        <w:t xml:space="preserve"> až </w:t>
      </w:r>
      <w:r w:rsidR="00FE3367" w:rsidRPr="001B4A02">
        <w:rPr>
          <w:rFonts w:eastAsia="Calibri"/>
          <w:szCs w:val="22"/>
        </w:rPr>
        <w:t>těžké</w:t>
      </w:r>
      <w:r w:rsidRPr="001B4A02">
        <w:rPr>
          <w:rFonts w:eastAsia="Calibri"/>
          <w:szCs w:val="22"/>
        </w:rPr>
        <w:t xml:space="preserve"> hidradenitis suppurativa</w:t>
      </w:r>
      <w:r w:rsidR="00B12121" w:rsidRPr="001B4A02">
        <w:rPr>
          <w:rFonts w:eastAsia="Calibri"/>
          <w:szCs w:val="22"/>
        </w:rPr>
        <w:t xml:space="preserve"> u </w:t>
      </w:r>
      <w:r w:rsidRPr="001B4A02">
        <w:rPr>
          <w:rFonts w:eastAsia="Calibri"/>
          <w:szCs w:val="22"/>
        </w:rPr>
        <w:t>dospělých</w:t>
      </w:r>
      <w:r w:rsidR="002378E0">
        <w:rPr>
          <w:rFonts w:eastAsia="Calibri"/>
          <w:szCs w:val="22"/>
        </w:rPr>
        <w:t xml:space="preserve"> a </w:t>
      </w:r>
    </w:p>
    <w:p w14:paraId="5DA0AB44" w14:textId="77777777" w:rsidR="00675E2D" w:rsidRPr="001B4A02" w:rsidRDefault="00000000" w:rsidP="00ED48A3">
      <w:pPr>
        <w:numPr>
          <w:ilvl w:val="2"/>
          <w:numId w:val="17"/>
        </w:numPr>
        <w:tabs>
          <w:tab w:val="clear" w:pos="2160"/>
          <w:tab w:val="left" w:pos="720"/>
        </w:tabs>
        <w:ind w:left="714" w:hanging="357"/>
        <w:rPr>
          <w:rFonts w:eastAsia="Calibri"/>
          <w:szCs w:val="22"/>
        </w:rPr>
      </w:pPr>
      <w:r w:rsidRPr="001B4A02">
        <w:rPr>
          <w:rFonts w:eastAsia="Calibri"/>
          <w:szCs w:val="22"/>
        </w:rPr>
        <w:t xml:space="preserve">středně těžké </w:t>
      </w:r>
      <w:r w:rsidR="00015A80" w:rsidRPr="001B4A02">
        <w:rPr>
          <w:rFonts w:eastAsia="Calibri"/>
          <w:szCs w:val="22"/>
        </w:rPr>
        <w:t xml:space="preserve">až těžké </w:t>
      </w:r>
      <w:r w:rsidRPr="001B4A02">
        <w:rPr>
          <w:rFonts w:eastAsia="Calibri"/>
          <w:szCs w:val="22"/>
        </w:rPr>
        <w:t>hidradenitis suppurativa</w:t>
      </w:r>
      <w:r w:rsidR="00B12121" w:rsidRPr="001B4A02">
        <w:rPr>
          <w:rFonts w:eastAsia="Calibri"/>
          <w:szCs w:val="22"/>
        </w:rPr>
        <w:t xml:space="preserve"> u </w:t>
      </w:r>
      <w:r w:rsidRPr="001B4A02">
        <w:rPr>
          <w:rFonts w:eastAsia="Calibri"/>
          <w:szCs w:val="22"/>
        </w:rPr>
        <w:t>dospívajících od 12</w:t>
      </w:r>
      <w:r w:rsidR="00075234" w:rsidRPr="001B4A02">
        <w:rPr>
          <w:rFonts w:eastAsia="Calibri"/>
          <w:szCs w:val="22"/>
        </w:rPr>
        <w:t xml:space="preserve"> d</w:t>
      </w:r>
      <w:r w:rsidR="00075234" w:rsidRPr="001B4A02">
        <w:t>o 17</w:t>
      </w:r>
      <w:r w:rsidRPr="001B4A02">
        <w:rPr>
          <w:rFonts w:eastAsia="Calibri"/>
          <w:szCs w:val="22"/>
        </w:rPr>
        <w:t> let.</w:t>
      </w:r>
    </w:p>
    <w:p w14:paraId="77D73920" w14:textId="77777777" w:rsidR="00675E2D" w:rsidRPr="001B4A02" w:rsidRDefault="00675E2D" w:rsidP="00ED48A3">
      <w:pPr>
        <w:rPr>
          <w:rFonts w:eastAsia="Calibri"/>
          <w:szCs w:val="22"/>
        </w:rPr>
      </w:pPr>
    </w:p>
    <w:p w14:paraId="16B77045" w14:textId="77777777" w:rsidR="00675E2D" w:rsidRPr="001B4A02" w:rsidRDefault="00000000" w:rsidP="00ED48A3">
      <w:pPr>
        <w:ind w:left="0" w:firstLine="0"/>
        <w:rPr>
          <w:rFonts w:eastAsia="Calibri"/>
          <w:szCs w:val="22"/>
        </w:rPr>
      </w:pPr>
      <w:r w:rsidRPr="001B4A02">
        <w:rPr>
          <w:rFonts w:eastAsia="Calibri"/>
          <w:szCs w:val="22"/>
        </w:rPr>
        <w:t>Přípravek Humira pomáhá snižovat počet boláků</w:t>
      </w:r>
      <w:r w:rsidR="002378E0">
        <w:rPr>
          <w:rFonts w:eastAsia="Calibri"/>
          <w:szCs w:val="22"/>
        </w:rPr>
        <w:t xml:space="preserve"> a </w:t>
      </w:r>
      <w:r w:rsidRPr="001B4A02">
        <w:rPr>
          <w:rFonts w:eastAsia="Calibri"/>
          <w:szCs w:val="22"/>
        </w:rPr>
        <w:t>nežitů způsobených nemocí</w:t>
      </w:r>
      <w:r w:rsidR="002378E0">
        <w:rPr>
          <w:rFonts w:eastAsia="Calibri"/>
          <w:szCs w:val="22"/>
        </w:rPr>
        <w:t xml:space="preserve"> a </w:t>
      </w:r>
      <w:r w:rsidRPr="001B4A02">
        <w:rPr>
          <w:rFonts w:eastAsia="Calibri"/>
          <w:szCs w:val="22"/>
        </w:rPr>
        <w:t>bolest, která je s</w:t>
      </w:r>
      <w:r w:rsidR="004823B6" w:rsidRPr="001B4A02">
        <w:rPr>
          <w:rFonts w:eastAsia="Calibri"/>
          <w:szCs w:val="22"/>
        </w:rPr>
        <w:t> </w:t>
      </w:r>
      <w:r w:rsidRPr="001B4A02">
        <w:rPr>
          <w:rFonts w:eastAsia="Calibri"/>
          <w:szCs w:val="22"/>
        </w:rPr>
        <w:t xml:space="preserve">tímto onemocněním často spojena. </w:t>
      </w:r>
      <w:r w:rsidRPr="001B4A02">
        <w:t>Mohou Vám být nejprve podávány jiné léky. Pokud</w:t>
      </w:r>
      <w:r w:rsidR="00B12121" w:rsidRPr="001B4A02">
        <w:t xml:space="preserve"> u </w:t>
      </w:r>
      <w:r w:rsidRPr="001B4A02">
        <w:t>Vás tato léčba nevyvolá uspokojivou odpověď, pak dostanete přípravek Humira.</w:t>
      </w:r>
    </w:p>
    <w:p w14:paraId="165AD36C" w14:textId="77777777" w:rsidR="008D112A" w:rsidRPr="001B4A02" w:rsidRDefault="008D112A" w:rsidP="00ED48A3">
      <w:pPr>
        <w:pStyle w:val="EMEANormal"/>
        <w:rPr>
          <w:lang w:val="cs-CZ"/>
        </w:rPr>
      </w:pPr>
    </w:p>
    <w:p w14:paraId="356D8D3C" w14:textId="77777777" w:rsidR="008D112A" w:rsidRPr="001B4A02" w:rsidRDefault="00000000" w:rsidP="00ED48A3">
      <w:pPr>
        <w:pStyle w:val="EMEANormal"/>
        <w:keepNext/>
        <w:rPr>
          <w:u w:val="single"/>
          <w:lang w:val="cs-CZ"/>
        </w:rPr>
      </w:pPr>
      <w:r w:rsidRPr="001B4A02">
        <w:rPr>
          <w:b/>
          <w:lang w:val="cs-CZ"/>
        </w:rPr>
        <w:t>Crohnova choroba</w:t>
      </w:r>
    </w:p>
    <w:p w14:paraId="46CFF6B6" w14:textId="77777777" w:rsidR="008D112A" w:rsidRPr="001B4A02" w:rsidRDefault="008D112A" w:rsidP="00ED48A3">
      <w:pPr>
        <w:pStyle w:val="EMEANormal"/>
        <w:keepNext/>
        <w:rPr>
          <w:u w:val="single"/>
          <w:lang w:val="cs-CZ"/>
        </w:rPr>
      </w:pPr>
    </w:p>
    <w:p w14:paraId="33387BA2" w14:textId="77777777" w:rsidR="00675E2D" w:rsidRPr="001B4A02" w:rsidRDefault="00000000" w:rsidP="00507DAA">
      <w:pPr>
        <w:pStyle w:val="EMEANormal"/>
        <w:rPr>
          <w:lang w:val="cs-CZ"/>
        </w:rPr>
      </w:pPr>
      <w:r w:rsidRPr="001B4A02">
        <w:rPr>
          <w:lang w:val="cs-CZ"/>
        </w:rPr>
        <w:t>Crohnova choroba je zánětlivé onemocnění trávicího traktu.</w:t>
      </w:r>
    </w:p>
    <w:p w14:paraId="18EBD5B0" w14:textId="77777777" w:rsidR="00675E2D" w:rsidRPr="001B4A02" w:rsidRDefault="00675E2D" w:rsidP="00ED48A3">
      <w:pPr>
        <w:pStyle w:val="EMEANormal"/>
        <w:rPr>
          <w:lang w:val="cs-CZ"/>
        </w:rPr>
      </w:pPr>
    </w:p>
    <w:p w14:paraId="2A7180A1" w14:textId="77777777" w:rsidR="00675E2D" w:rsidRPr="001B4A02" w:rsidRDefault="00000000" w:rsidP="001D31EF">
      <w:pPr>
        <w:keepNext/>
        <w:ind w:left="0" w:firstLine="0"/>
      </w:pPr>
      <w:r w:rsidRPr="001B4A02">
        <w:t xml:space="preserve">Přípravek Humira se používá k léčbě </w:t>
      </w:r>
    </w:p>
    <w:p w14:paraId="5F606319" w14:textId="77777777" w:rsidR="00675E2D" w:rsidRPr="001B4A02" w:rsidRDefault="00000000" w:rsidP="00ED48A3">
      <w:pPr>
        <w:pStyle w:val="EMEANormal"/>
        <w:numPr>
          <w:ilvl w:val="0"/>
          <w:numId w:val="102"/>
        </w:numPr>
        <w:tabs>
          <w:tab w:val="clear" w:pos="562"/>
          <w:tab w:val="left" w:pos="720"/>
        </w:tabs>
        <w:ind w:left="720"/>
        <w:rPr>
          <w:lang w:val="cs-CZ"/>
        </w:rPr>
      </w:pPr>
      <w:r w:rsidRPr="001B4A02">
        <w:rPr>
          <w:szCs w:val="21"/>
          <w:lang w:val="cs-CZ"/>
        </w:rPr>
        <w:t>středně těžké až těžké Crohnovy choroby</w:t>
      </w:r>
      <w:r w:rsidR="00B12121" w:rsidRPr="001B4A02">
        <w:rPr>
          <w:szCs w:val="21"/>
          <w:lang w:val="cs-CZ"/>
        </w:rPr>
        <w:t xml:space="preserve"> u </w:t>
      </w:r>
      <w:r w:rsidRPr="001B4A02">
        <w:rPr>
          <w:szCs w:val="21"/>
          <w:lang w:val="cs-CZ"/>
        </w:rPr>
        <w:t>dospělých a</w:t>
      </w:r>
    </w:p>
    <w:p w14:paraId="0FC6A248" w14:textId="77777777" w:rsidR="00675E2D" w:rsidRPr="001B4A02" w:rsidRDefault="00000000" w:rsidP="00ED48A3">
      <w:pPr>
        <w:pStyle w:val="EMEANormal"/>
        <w:numPr>
          <w:ilvl w:val="0"/>
          <w:numId w:val="102"/>
        </w:numPr>
        <w:tabs>
          <w:tab w:val="clear" w:pos="562"/>
          <w:tab w:val="left" w:pos="720"/>
        </w:tabs>
        <w:ind w:left="720"/>
        <w:rPr>
          <w:lang w:val="cs-CZ"/>
        </w:rPr>
      </w:pPr>
      <w:r w:rsidRPr="001B4A02">
        <w:rPr>
          <w:szCs w:val="21"/>
          <w:lang w:val="cs-CZ"/>
        </w:rPr>
        <w:t>středně těžké až těžké Crohnovy choroby</w:t>
      </w:r>
      <w:r w:rsidR="00B12121" w:rsidRPr="001B4A02">
        <w:rPr>
          <w:szCs w:val="21"/>
          <w:lang w:val="cs-CZ"/>
        </w:rPr>
        <w:t xml:space="preserve"> u </w:t>
      </w:r>
      <w:r w:rsidRPr="001B4A02">
        <w:rPr>
          <w:szCs w:val="21"/>
          <w:lang w:val="cs-CZ"/>
        </w:rPr>
        <w:t>dětí</w:t>
      </w:r>
      <w:r w:rsidR="002378E0">
        <w:rPr>
          <w:szCs w:val="21"/>
          <w:lang w:val="cs-CZ"/>
        </w:rPr>
        <w:t xml:space="preserve"> a </w:t>
      </w:r>
      <w:r w:rsidRPr="001B4A02">
        <w:rPr>
          <w:szCs w:val="21"/>
          <w:lang w:val="cs-CZ"/>
        </w:rPr>
        <w:t>dospívajících od 6</w:t>
      </w:r>
      <w:r w:rsidR="00FA5048" w:rsidRPr="001B4A02">
        <w:rPr>
          <w:szCs w:val="21"/>
          <w:lang w:val="cs-CZ"/>
        </w:rPr>
        <w:t xml:space="preserve"> do 17 </w:t>
      </w:r>
      <w:r w:rsidRPr="001B4A02">
        <w:rPr>
          <w:szCs w:val="21"/>
          <w:lang w:val="cs-CZ"/>
        </w:rPr>
        <w:t>let</w:t>
      </w:r>
      <w:r w:rsidR="00F14ACE" w:rsidRPr="001B4A02">
        <w:rPr>
          <w:szCs w:val="21"/>
          <w:lang w:val="cs-CZ"/>
        </w:rPr>
        <w:t>.</w:t>
      </w:r>
    </w:p>
    <w:p w14:paraId="524C62B8" w14:textId="77777777" w:rsidR="00675E2D" w:rsidRPr="001B4A02" w:rsidRDefault="00675E2D" w:rsidP="00ED48A3">
      <w:pPr>
        <w:ind w:left="0" w:firstLine="0"/>
      </w:pPr>
    </w:p>
    <w:p w14:paraId="57742062" w14:textId="77777777" w:rsidR="00675E2D" w:rsidRPr="001B4A02" w:rsidRDefault="00000000" w:rsidP="00ED48A3">
      <w:pPr>
        <w:ind w:left="0" w:firstLine="0"/>
      </w:pPr>
      <w:r w:rsidRPr="001B4A02">
        <w:t>Mohou Vám být nejprve podávány jiné léky. Pokud</w:t>
      </w:r>
      <w:r w:rsidR="00B12121" w:rsidRPr="001B4A02">
        <w:t xml:space="preserve"> u </w:t>
      </w:r>
      <w:r w:rsidRPr="001B4A02">
        <w:t>Vás tato léčba nevyvolá uspokojivou odpověď, pak dostanete přípravek Humira.</w:t>
      </w:r>
    </w:p>
    <w:p w14:paraId="1D0B2CE4" w14:textId="77777777" w:rsidR="00675E2D" w:rsidRPr="001B4A02" w:rsidRDefault="00675E2D" w:rsidP="00ED48A3">
      <w:pPr>
        <w:ind w:left="0" w:firstLine="0"/>
      </w:pPr>
    </w:p>
    <w:p w14:paraId="50C5DFC6" w14:textId="77777777" w:rsidR="00675E2D" w:rsidRPr="001B4A02" w:rsidRDefault="00000000" w:rsidP="009C4763">
      <w:pPr>
        <w:keepNext/>
        <w:ind w:left="0" w:firstLine="0"/>
        <w:rPr>
          <w:u w:val="single"/>
        </w:rPr>
      </w:pPr>
      <w:r w:rsidRPr="001B4A02">
        <w:rPr>
          <w:b/>
        </w:rPr>
        <w:t>Ulcerózní kolitida</w:t>
      </w:r>
    </w:p>
    <w:p w14:paraId="52268A91" w14:textId="77777777" w:rsidR="00675E2D" w:rsidRPr="001B4A02" w:rsidRDefault="00675E2D" w:rsidP="009C4763">
      <w:pPr>
        <w:keepNext/>
        <w:ind w:left="0" w:firstLine="0"/>
      </w:pPr>
    </w:p>
    <w:p w14:paraId="2B9EBC23" w14:textId="77777777" w:rsidR="00675E2D" w:rsidRPr="001B4A02" w:rsidRDefault="00000000" w:rsidP="00ED48A3">
      <w:pPr>
        <w:ind w:left="0" w:firstLine="0"/>
      </w:pPr>
      <w:r w:rsidRPr="001B4A02">
        <w:t>Ulcerózní kolitida je zánětlivé onemocnění tlustého střeva.</w:t>
      </w:r>
    </w:p>
    <w:p w14:paraId="03A44DEE" w14:textId="77777777" w:rsidR="009865EB" w:rsidRPr="001B4A02" w:rsidRDefault="009865EB" w:rsidP="00ED48A3">
      <w:pPr>
        <w:pStyle w:val="EMEANormal"/>
        <w:rPr>
          <w:lang w:val="cs-CZ"/>
        </w:rPr>
      </w:pPr>
    </w:p>
    <w:p w14:paraId="514E5450" w14:textId="77777777" w:rsidR="003F3934" w:rsidRDefault="00000000" w:rsidP="001D31EF">
      <w:pPr>
        <w:pStyle w:val="EMEANormal"/>
        <w:keepNext/>
        <w:rPr>
          <w:lang w:val="cs-CZ"/>
        </w:rPr>
      </w:pPr>
      <w:r w:rsidRPr="001B4A02">
        <w:rPr>
          <w:lang w:val="cs-CZ"/>
        </w:rPr>
        <w:t xml:space="preserve">Přípravek Humira se používá k léčbě </w:t>
      </w:r>
    </w:p>
    <w:p w14:paraId="45056B63" w14:textId="77777777" w:rsidR="003F3934" w:rsidRDefault="00000000" w:rsidP="004D42A7">
      <w:pPr>
        <w:pStyle w:val="EMEANormal"/>
        <w:numPr>
          <w:ilvl w:val="0"/>
          <w:numId w:val="279"/>
        </w:numPr>
        <w:tabs>
          <w:tab w:val="clear" w:pos="562"/>
          <w:tab w:val="left" w:pos="709"/>
        </w:tabs>
        <w:rPr>
          <w:lang w:val="cs-CZ"/>
        </w:rPr>
      </w:pPr>
      <w:r w:rsidRPr="001B4A02">
        <w:rPr>
          <w:lang w:val="cs-CZ"/>
        </w:rPr>
        <w:t xml:space="preserve">středně těžké až těžké </w:t>
      </w:r>
      <w:r w:rsidR="00675E2D" w:rsidRPr="001B4A02">
        <w:rPr>
          <w:lang w:val="cs-CZ"/>
        </w:rPr>
        <w:t>ulcerózní kolitidy</w:t>
      </w:r>
      <w:r w:rsidR="00B12121" w:rsidRPr="001B4A02">
        <w:rPr>
          <w:lang w:val="cs-CZ"/>
        </w:rPr>
        <w:t xml:space="preserve"> u </w:t>
      </w:r>
      <w:r w:rsidR="00675E2D" w:rsidRPr="001B4A02">
        <w:rPr>
          <w:lang w:val="cs-CZ"/>
        </w:rPr>
        <w:t>dospělých</w:t>
      </w:r>
      <w:r w:rsidR="003578CA">
        <w:rPr>
          <w:lang w:val="cs-CZ"/>
        </w:rPr>
        <w:t xml:space="preserve"> </w:t>
      </w:r>
      <w:r w:rsidR="009C4763">
        <w:rPr>
          <w:lang w:val="cs-CZ"/>
        </w:rPr>
        <w:t>a</w:t>
      </w:r>
    </w:p>
    <w:p w14:paraId="7BF58523" w14:textId="77777777" w:rsidR="003F3934" w:rsidRDefault="00000000" w:rsidP="004D42A7">
      <w:pPr>
        <w:pStyle w:val="EMEANormal"/>
        <w:numPr>
          <w:ilvl w:val="0"/>
          <w:numId w:val="279"/>
        </w:numPr>
        <w:tabs>
          <w:tab w:val="clear" w:pos="562"/>
          <w:tab w:val="left" w:pos="709"/>
        </w:tabs>
        <w:rPr>
          <w:lang w:val="cs-CZ"/>
        </w:rPr>
      </w:pPr>
      <w:r w:rsidRPr="001D2137">
        <w:rPr>
          <w:lang w:val="cs-CZ"/>
        </w:rPr>
        <w:t>středně těžké až těžké ulcerózní kolitidy u dětí</w:t>
      </w:r>
      <w:r w:rsidR="002378E0">
        <w:rPr>
          <w:lang w:val="cs-CZ"/>
        </w:rPr>
        <w:t xml:space="preserve"> a </w:t>
      </w:r>
      <w:r w:rsidRPr="001D2137">
        <w:rPr>
          <w:lang w:val="cs-CZ"/>
        </w:rPr>
        <w:t>dospívajících od 6 do 17 let</w:t>
      </w:r>
      <w:r w:rsidR="009C4763">
        <w:rPr>
          <w:lang w:val="cs-CZ"/>
        </w:rPr>
        <w:t>.</w:t>
      </w:r>
    </w:p>
    <w:p w14:paraId="15017732" w14:textId="77777777" w:rsidR="003F3934" w:rsidRDefault="003F3934" w:rsidP="00ED48A3">
      <w:pPr>
        <w:pStyle w:val="EMEANormal"/>
        <w:rPr>
          <w:lang w:val="cs-CZ"/>
        </w:rPr>
      </w:pPr>
    </w:p>
    <w:p w14:paraId="744666CB" w14:textId="77777777" w:rsidR="008D112A" w:rsidRPr="001B4A02" w:rsidRDefault="00000000" w:rsidP="00ED48A3">
      <w:pPr>
        <w:pStyle w:val="EMEANormal"/>
        <w:rPr>
          <w:szCs w:val="21"/>
          <w:lang w:val="cs-CZ"/>
        </w:rPr>
      </w:pPr>
      <w:r w:rsidRPr="001B4A02">
        <w:rPr>
          <w:lang w:val="cs-CZ"/>
        </w:rPr>
        <w:t>Mohou Vám být nejprve podávány jiné léky. Pokud</w:t>
      </w:r>
      <w:r w:rsidR="00B12121" w:rsidRPr="001B4A02">
        <w:rPr>
          <w:lang w:val="cs-CZ"/>
        </w:rPr>
        <w:t xml:space="preserve"> u </w:t>
      </w:r>
      <w:r w:rsidRPr="001B4A02">
        <w:rPr>
          <w:lang w:val="cs-CZ"/>
        </w:rPr>
        <w:t>Vás tato léčba nevyvolá uspokojivou odpověď, pak dostanete přípravek Humira.</w:t>
      </w:r>
    </w:p>
    <w:p w14:paraId="4BE26B56" w14:textId="77777777" w:rsidR="008D112A" w:rsidRPr="001B4A02" w:rsidRDefault="008D112A" w:rsidP="00ED48A3">
      <w:pPr>
        <w:pStyle w:val="EMEANormal"/>
        <w:rPr>
          <w:lang w:val="cs-CZ"/>
        </w:rPr>
      </w:pPr>
    </w:p>
    <w:p w14:paraId="483CAA2B" w14:textId="77777777" w:rsidR="008D112A" w:rsidRPr="001B4A02" w:rsidRDefault="00000000" w:rsidP="009C4763">
      <w:pPr>
        <w:pStyle w:val="EMEANormal"/>
        <w:keepNext/>
        <w:rPr>
          <w:b/>
          <w:lang w:val="cs-CZ"/>
        </w:rPr>
      </w:pPr>
      <w:r w:rsidRPr="001B4A02">
        <w:rPr>
          <w:b/>
          <w:szCs w:val="21"/>
          <w:lang w:val="cs-CZ"/>
        </w:rPr>
        <w:t>Neinfekční uveitida</w:t>
      </w:r>
    </w:p>
    <w:p w14:paraId="5A590AFC" w14:textId="77777777" w:rsidR="008D112A" w:rsidRPr="001B4A02" w:rsidRDefault="008D112A" w:rsidP="009C4763">
      <w:pPr>
        <w:pStyle w:val="EMEANormal"/>
        <w:keepNext/>
        <w:rPr>
          <w:lang w:val="cs-CZ"/>
        </w:rPr>
      </w:pPr>
    </w:p>
    <w:p w14:paraId="25075DCF" w14:textId="77777777" w:rsidR="00675E2D" w:rsidRPr="001B4A02" w:rsidRDefault="00000000" w:rsidP="00ED48A3">
      <w:pPr>
        <w:pStyle w:val="EMEANormal"/>
        <w:rPr>
          <w:lang w:val="cs-CZ"/>
        </w:rPr>
      </w:pPr>
      <w:r w:rsidRPr="001B4A02">
        <w:rPr>
          <w:lang w:val="cs-CZ"/>
        </w:rPr>
        <w:t>Neinfekční uveitida je zánětlivé onemocnění postihující některé části oka.</w:t>
      </w:r>
    </w:p>
    <w:p w14:paraId="26A69622" w14:textId="77777777" w:rsidR="00675E2D" w:rsidRPr="001B4A02" w:rsidRDefault="00675E2D" w:rsidP="00ED48A3">
      <w:pPr>
        <w:pStyle w:val="EMEANormal"/>
        <w:rPr>
          <w:lang w:val="cs-CZ"/>
        </w:rPr>
      </w:pPr>
    </w:p>
    <w:p w14:paraId="5FDA5836" w14:textId="77777777" w:rsidR="0097128F" w:rsidRPr="001B4A02" w:rsidRDefault="00000000" w:rsidP="00BA0A72">
      <w:pPr>
        <w:pStyle w:val="EMEANormal"/>
        <w:keepNext/>
        <w:tabs>
          <w:tab w:val="clear" w:pos="562"/>
          <w:tab w:val="left" w:pos="720"/>
        </w:tabs>
        <w:rPr>
          <w:lang w:val="cs-CZ"/>
        </w:rPr>
      </w:pPr>
      <w:r w:rsidRPr="001B4A02">
        <w:rPr>
          <w:lang w:val="cs-CZ"/>
        </w:rPr>
        <w:t xml:space="preserve">Přípravek </w:t>
      </w:r>
      <w:r w:rsidR="00675E2D" w:rsidRPr="001B4A02">
        <w:rPr>
          <w:lang w:val="cs-CZ"/>
        </w:rPr>
        <w:t>Humira se používá k</w:t>
      </w:r>
      <w:r w:rsidR="00507DAA" w:rsidRPr="001B4A02">
        <w:rPr>
          <w:lang w:val="cs-CZ"/>
        </w:rPr>
        <w:t> </w:t>
      </w:r>
      <w:r w:rsidR="00675E2D" w:rsidRPr="001B4A02">
        <w:rPr>
          <w:lang w:val="cs-CZ"/>
        </w:rPr>
        <w:t xml:space="preserve">léčbě </w:t>
      </w:r>
    </w:p>
    <w:p w14:paraId="567702DB" w14:textId="77777777" w:rsidR="0097128F" w:rsidRPr="001B4A02" w:rsidRDefault="00000000" w:rsidP="00BA0A72">
      <w:pPr>
        <w:pStyle w:val="EMEANormal"/>
        <w:keepNext/>
        <w:numPr>
          <w:ilvl w:val="0"/>
          <w:numId w:val="239"/>
        </w:numPr>
        <w:tabs>
          <w:tab w:val="clear" w:pos="562"/>
          <w:tab w:val="left" w:pos="720"/>
        </w:tabs>
        <w:rPr>
          <w:lang w:val="cs-CZ"/>
        </w:rPr>
      </w:pPr>
      <w:r w:rsidRPr="001B4A02">
        <w:rPr>
          <w:lang w:val="cs-CZ"/>
        </w:rPr>
        <w:t>d</w:t>
      </w:r>
      <w:r w:rsidR="00675E2D" w:rsidRPr="001B4A02">
        <w:rPr>
          <w:lang w:val="cs-CZ"/>
        </w:rPr>
        <w:t>ospělých s</w:t>
      </w:r>
      <w:r w:rsidR="004823B6" w:rsidRPr="001B4A02">
        <w:rPr>
          <w:lang w:val="cs-CZ"/>
        </w:rPr>
        <w:t> </w:t>
      </w:r>
      <w:r w:rsidR="00675E2D" w:rsidRPr="001B4A02">
        <w:rPr>
          <w:lang w:val="cs-CZ"/>
        </w:rPr>
        <w:t>neinfekční uveitidou se zánětem postihujícím zadní část oka</w:t>
      </w:r>
    </w:p>
    <w:p w14:paraId="2EB57356" w14:textId="77777777" w:rsidR="0097128F" w:rsidRPr="001B4A02" w:rsidRDefault="00000000" w:rsidP="00AA1CF3">
      <w:pPr>
        <w:pStyle w:val="EMEANormal"/>
        <w:numPr>
          <w:ilvl w:val="0"/>
          <w:numId w:val="239"/>
        </w:numPr>
        <w:tabs>
          <w:tab w:val="clear" w:pos="562"/>
          <w:tab w:val="left" w:pos="720"/>
        </w:tabs>
        <w:rPr>
          <w:lang w:val="cs-CZ"/>
        </w:rPr>
      </w:pPr>
      <w:r w:rsidRPr="001B4A02">
        <w:rPr>
          <w:lang w:val="cs-CZ"/>
        </w:rPr>
        <w:t>dětí od 2 let</w:t>
      </w:r>
      <w:r w:rsidR="00532A9D" w:rsidRPr="001B4A02">
        <w:rPr>
          <w:lang w:val="cs-CZ"/>
        </w:rPr>
        <w:t xml:space="preserve"> </w:t>
      </w:r>
      <w:r w:rsidRPr="001B4A02">
        <w:rPr>
          <w:lang w:val="cs-CZ"/>
        </w:rPr>
        <w:t>s chronickou neinfekční uveitidou se zánětem postihujícím přední část oka</w:t>
      </w:r>
      <w:r w:rsidR="004A7732">
        <w:rPr>
          <w:lang w:val="cs-CZ"/>
        </w:rPr>
        <w:t>.</w:t>
      </w:r>
    </w:p>
    <w:p w14:paraId="021673AD" w14:textId="77777777" w:rsidR="0097128F" w:rsidRPr="001B4A02" w:rsidRDefault="0097128F" w:rsidP="00ED48A3">
      <w:pPr>
        <w:pStyle w:val="EMEANormal"/>
        <w:tabs>
          <w:tab w:val="clear" w:pos="562"/>
          <w:tab w:val="left" w:pos="720"/>
        </w:tabs>
        <w:rPr>
          <w:lang w:val="cs-CZ"/>
        </w:rPr>
      </w:pPr>
    </w:p>
    <w:p w14:paraId="326067A0" w14:textId="77777777" w:rsidR="008D112A" w:rsidRPr="001B4A02" w:rsidRDefault="00000000" w:rsidP="00ED48A3">
      <w:pPr>
        <w:pStyle w:val="EMEANormal"/>
        <w:tabs>
          <w:tab w:val="clear" w:pos="562"/>
          <w:tab w:val="left" w:pos="720"/>
        </w:tabs>
        <w:rPr>
          <w:lang w:val="cs-CZ"/>
        </w:rPr>
      </w:pPr>
      <w:r w:rsidRPr="001B4A02">
        <w:rPr>
          <w:lang w:val="cs-CZ"/>
        </w:rPr>
        <w:t xml:space="preserve">Tento zánět </w:t>
      </w:r>
      <w:r w:rsidR="0097128F" w:rsidRPr="001B4A02">
        <w:rPr>
          <w:lang w:val="cs-CZ"/>
        </w:rPr>
        <w:t xml:space="preserve">může vést </w:t>
      </w:r>
      <w:r w:rsidRPr="001B4A02">
        <w:rPr>
          <w:lang w:val="cs-CZ"/>
        </w:rPr>
        <w:t>ke zhoršení zraku a/nebo výskytu plovoucích zákalů v</w:t>
      </w:r>
      <w:r w:rsidR="000928E6" w:rsidRPr="001B4A02">
        <w:rPr>
          <w:lang w:val="cs-CZ"/>
        </w:rPr>
        <w:t> </w:t>
      </w:r>
      <w:r w:rsidRPr="001B4A02">
        <w:rPr>
          <w:lang w:val="cs-CZ"/>
        </w:rPr>
        <w:t xml:space="preserve">oku (černé tečky nebo chomáčkovité čáry pohybující se </w:t>
      </w:r>
      <w:r w:rsidR="003E702B" w:rsidRPr="001B4A02">
        <w:rPr>
          <w:lang w:val="cs-CZ"/>
        </w:rPr>
        <w:t>v</w:t>
      </w:r>
      <w:r w:rsidR="000928E6" w:rsidRPr="001B4A02">
        <w:rPr>
          <w:lang w:val="cs-CZ"/>
        </w:rPr>
        <w:t> </w:t>
      </w:r>
      <w:r w:rsidRPr="001B4A02">
        <w:rPr>
          <w:lang w:val="cs-CZ"/>
        </w:rPr>
        <w:t>zorné</w:t>
      </w:r>
      <w:r w:rsidR="003E702B" w:rsidRPr="001B4A02">
        <w:rPr>
          <w:lang w:val="cs-CZ"/>
        </w:rPr>
        <w:t>m</w:t>
      </w:r>
      <w:r w:rsidRPr="001B4A02">
        <w:rPr>
          <w:lang w:val="cs-CZ"/>
        </w:rPr>
        <w:t xml:space="preserve"> </w:t>
      </w:r>
      <w:r w:rsidR="003E702B" w:rsidRPr="001B4A02">
        <w:rPr>
          <w:lang w:val="cs-CZ"/>
        </w:rPr>
        <w:t>poli</w:t>
      </w:r>
      <w:r w:rsidRPr="001B4A02">
        <w:rPr>
          <w:lang w:val="cs-CZ"/>
        </w:rPr>
        <w:t xml:space="preserve">). </w:t>
      </w:r>
      <w:r w:rsidR="009E1608" w:rsidRPr="001B4A02">
        <w:rPr>
          <w:lang w:val="cs-CZ"/>
        </w:rPr>
        <w:t xml:space="preserve">Přípravek </w:t>
      </w:r>
      <w:r w:rsidRPr="001B4A02">
        <w:rPr>
          <w:lang w:val="cs-CZ"/>
        </w:rPr>
        <w:t xml:space="preserve">Humira </w:t>
      </w:r>
      <w:r w:rsidR="00532A9D" w:rsidRPr="001B4A02">
        <w:rPr>
          <w:lang w:val="cs-CZ"/>
        </w:rPr>
        <w:t xml:space="preserve">tento </w:t>
      </w:r>
      <w:r w:rsidRPr="001B4A02">
        <w:rPr>
          <w:lang w:val="cs-CZ"/>
        </w:rPr>
        <w:t>zánět snižuje.</w:t>
      </w:r>
      <w:r w:rsidR="00FE093B" w:rsidRPr="001B4A02">
        <w:rPr>
          <w:lang w:val="cs-CZ"/>
        </w:rPr>
        <w:t xml:space="preserve"> </w:t>
      </w:r>
      <w:r w:rsidR="00FE093B" w:rsidRPr="001B4A02">
        <w:rPr>
          <w:szCs w:val="22"/>
          <w:lang w:val="cs-CZ"/>
        </w:rPr>
        <w:t>Nejprve můžete dostat jiné léky. Pokud na tyto léky nebudete dostatečně dobře reagovat, bude Vám podán přípravek Humira.</w:t>
      </w:r>
    </w:p>
    <w:p w14:paraId="37742C4F" w14:textId="77777777" w:rsidR="008D112A" w:rsidRPr="001B4A02" w:rsidRDefault="008D112A" w:rsidP="00ED48A3">
      <w:pPr>
        <w:pStyle w:val="EMEANormal"/>
        <w:rPr>
          <w:lang w:val="cs-CZ"/>
        </w:rPr>
      </w:pPr>
    </w:p>
    <w:p w14:paraId="7ED4B29B" w14:textId="77777777" w:rsidR="00981A5A" w:rsidRPr="001B4A02" w:rsidRDefault="00981A5A" w:rsidP="00ED48A3">
      <w:pPr>
        <w:pStyle w:val="EMEANormal"/>
        <w:rPr>
          <w:lang w:val="cs-CZ"/>
        </w:rPr>
      </w:pPr>
    </w:p>
    <w:p w14:paraId="40D4D154" w14:textId="77777777" w:rsidR="008D112A" w:rsidRPr="001B4A02" w:rsidRDefault="00000000" w:rsidP="009C4763">
      <w:pPr>
        <w:pStyle w:val="EMEAHeading2SPCEmpty"/>
        <w:keepNext/>
        <w:spacing w:afterLines="0"/>
        <w:rPr>
          <w:rFonts w:ascii="Times New Roman" w:hAnsi="Times New Roman"/>
          <w:lang w:val="cs-CZ"/>
        </w:rPr>
      </w:pPr>
      <w:r w:rsidRPr="001B4A02">
        <w:rPr>
          <w:rFonts w:ascii="Times New Roman" w:hAnsi="Times New Roman"/>
          <w:lang w:val="cs-CZ"/>
        </w:rPr>
        <w:t>2.</w:t>
      </w:r>
      <w:r w:rsidRPr="001B4A02">
        <w:rPr>
          <w:rFonts w:ascii="Times New Roman" w:hAnsi="Times New Roman"/>
          <w:lang w:val="cs-CZ"/>
        </w:rPr>
        <w:tab/>
      </w:r>
      <w:r w:rsidR="00675E2D" w:rsidRPr="001B4A02">
        <w:rPr>
          <w:rFonts w:ascii="Times New Roman" w:hAnsi="Times New Roman"/>
          <w:lang w:val="cs-CZ"/>
        </w:rPr>
        <w:t xml:space="preserve">Čemu musíte věnovat pozornost, než začnete přípravek Humira </w:t>
      </w:r>
      <w:r w:rsidR="003B6669" w:rsidRPr="001B4A02">
        <w:rPr>
          <w:rFonts w:ascii="Times New Roman" w:hAnsi="Times New Roman"/>
          <w:lang w:val="cs-CZ"/>
        </w:rPr>
        <w:t>po</w:t>
      </w:r>
      <w:r w:rsidR="00675E2D" w:rsidRPr="001B4A02">
        <w:rPr>
          <w:rFonts w:ascii="Times New Roman" w:hAnsi="Times New Roman"/>
          <w:lang w:val="cs-CZ"/>
        </w:rPr>
        <w:t>užívat</w:t>
      </w:r>
    </w:p>
    <w:p w14:paraId="3F6F6872" w14:textId="77777777" w:rsidR="008D112A" w:rsidRPr="001B4A02" w:rsidRDefault="008D112A" w:rsidP="009C4763">
      <w:pPr>
        <w:pStyle w:val="EMEANormal"/>
        <w:keepNext/>
        <w:rPr>
          <w:lang w:val="cs-CZ"/>
        </w:rPr>
      </w:pPr>
    </w:p>
    <w:p w14:paraId="3006AA97" w14:textId="77777777" w:rsidR="008D112A" w:rsidRPr="001B4A02" w:rsidRDefault="00000000" w:rsidP="009C4763">
      <w:pPr>
        <w:pStyle w:val="EMEAHeading2SPCEmpty"/>
        <w:keepNext/>
        <w:spacing w:afterLines="0"/>
        <w:outlineLvl w:val="9"/>
        <w:rPr>
          <w:rFonts w:ascii="Times New Roman" w:hAnsi="Times New Roman"/>
          <w:lang w:val="cs-CZ"/>
        </w:rPr>
      </w:pPr>
      <w:r w:rsidRPr="001B4A02">
        <w:rPr>
          <w:rFonts w:ascii="Times New Roman" w:hAnsi="Times New Roman"/>
          <w:lang w:val="cs-CZ"/>
        </w:rPr>
        <w:t>Ne</w:t>
      </w:r>
      <w:r w:rsidR="003B6669" w:rsidRPr="001B4A02">
        <w:rPr>
          <w:rFonts w:ascii="Times New Roman" w:hAnsi="Times New Roman"/>
          <w:lang w:val="cs-CZ"/>
        </w:rPr>
        <w:t>po</w:t>
      </w:r>
      <w:r w:rsidRPr="001B4A02">
        <w:rPr>
          <w:rFonts w:ascii="Times New Roman" w:hAnsi="Times New Roman"/>
          <w:lang w:val="cs-CZ"/>
        </w:rPr>
        <w:t>užívejte přípravek Humira</w:t>
      </w:r>
    </w:p>
    <w:p w14:paraId="0ACB4025" w14:textId="77777777" w:rsidR="008D112A" w:rsidRPr="001B4A02" w:rsidRDefault="008D112A" w:rsidP="009C4763">
      <w:pPr>
        <w:pStyle w:val="EMEANormal"/>
        <w:keepNext/>
        <w:rPr>
          <w:lang w:val="cs-CZ"/>
        </w:rPr>
      </w:pPr>
    </w:p>
    <w:p w14:paraId="32688463" w14:textId="77777777" w:rsidR="0051746B" w:rsidRPr="001B4A02" w:rsidRDefault="00000000" w:rsidP="00ED48A3">
      <w:pPr>
        <w:numPr>
          <w:ilvl w:val="0"/>
          <w:numId w:val="15"/>
        </w:numPr>
        <w:tabs>
          <w:tab w:val="clear" w:pos="720"/>
        </w:tabs>
        <w:ind w:left="567" w:hanging="567"/>
      </w:pPr>
      <w:r>
        <w:t>J</w:t>
      </w:r>
      <w:r w:rsidRPr="001B4A02">
        <w:t>estliže jste alergický(á) na adalimumab nebo na kteroukoli další složku tohoto přípravku (uvedenou v bodě 6).</w:t>
      </w:r>
    </w:p>
    <w:p w14:paraId="6EABA59A" w14:textId="77777777" w:rsidR="0051746B" w:rsidRPr="001B4A02" w:rsidRDefault="0051746B" w:rsidP="00ED48A3"/>
    <w:p w14:paraId="49FCE467" w14:textId="77777777" w:rsidR="0051746B" w:rsidRPr="001B4A02" w:rsidRDefault="00000000" w:rsidP="00ED48A3">
      <w:pPr>
        <w:numPr>
          <w:ilvl w:val="0"/>
          <w:numId w:val="15"/>
        </w:numPr>
        <w:tabs>
          <w:tab w:val="clear" w:pos="720"/>
        </w:tabs>
        <w:ind w:left="567" w:hanging="567"/>
      </w:pPr>
      <w:r>
        <w:t>J</w:t>
      </w:r>
      <w:r w:rsidRPr="001B4A02">
        <w:t xml:space="preserve">estliže máte aktivní tuberkulózu nebo jiné </w:t>
      </w:r>
      <w:r w:rsidR="00213F4A" w:rsidRPr="001B4A02">
        <w:t>závažné</w:t>
      </w:r>
      <w:r w:rsidRPr="001B4A02">
        <w:t xml:space="preserve"> infekce (viz „Upozornění</w:t>
      </w:r>
      <w:r w:rsidR="002378E0">
        <w:t xml:space="preserve"> a </w:t>
      </w:r>
      <w:r w:rsidRPr="001B4A02">
        <w:t>opatření“). Je důležité, abyste lékaře informoval(a), pokud se u Vás vyskytují příznaky infekce, například horečka, zranění, pocit únavy nebo problémy se zuby.</w:t>
      </w:r>
    </w:p>
    <w:p w14:paraId="05D32D25" w14:textId="77777777" w:rsidR="0051746B" w:rsidRPr="001B4A02" w:rsidRDefault="0051746B" w:rsidP="00ED48A3"/>
    <w:p w14:paraId="1177A33C" w14:textId="77777777" w:rsidR="0051746B" w:rsidRPr="001B4A02" w:rsidRDefault="00000000" w:rsidP="00ED48A3">
      <w:pPr>
        <w:numPr>
          <w:ilvl w:val="0"/>
          <w:numId w:val="15"/>
        </w:numPr>
        <w:tabs>
          <w:tab w:val="clear" w:pos="720"/>
        </w:tabs>
        <w:ind w:left="567" w:hanging="567"/>
      </w:pPr>
      <w:r>
        <w:t>J</w:t>
      </w:r>
      <w:r w:rsidRPr="001B4A02">
        <w:t>estliže trpíte středně těžkým nebo těžkým srdečním selháním. Je důležité, abyste informoval(a) svého lékaře, pokud se u Vás vyskytly nebo v současné době vyskytují vážné problémy se srdcem (viz „Upozornění</w:t>
      </w:r>
      <w:r w:rsidR="002378E0">
        <w:t xml:space="preserve"> a </w:t>
      </w:r>
      <w:r w:rsidRPr="001B4A02">
        <w:t>opatření“).</w:t>
      </w:r>
    </w:p>
    <w:p w14:paraId="35BDF084" w14:textId="77777777" w:rsidR="008D112A" w:rsidRPr="001B4A02" w:rsidRDefault="008D112A" w:rsidP="00ED48A3">
      <w:pPr>
        <w:pStyle w:val="EMEANormal"/>
        <w:rPr>
          <w:lang w:val="cs-CZ"/>
        </w:rPr>
      </w:pPr>
    </w:p>
    <w:p w14:paraId="52C0C8E0" w14:textId="77777777" w:rsidR="008D112A" w:rsidRPr="001B4A02" w:rsidRDefault="00000000" w:rsidP="00ED48A3">
      <w:pPr>
        <w:pStyle w:val="EMEABullet2"/>
        <w:keepNext/>
        <w:numPr>
          <w:ilvl w:val="0"/>
          <w:numId w:val="0"/>
        </w:numPr>
        <w:rPr>
          <w:b/>
          <w:bCs/>
          <w:lang w:val="cs-CZ"/>
        </w:rPr>
      </w:pPr>
      <w:r w:rsidRPr="001B4A02">
        <w:rPr>
          <w:b/>
          <w:bCs/>
          <w:lang w:val="cs-CZ"/>
        </w:rPr>
        <w:t>Upozornění</w:t>
      </w:r>
      <w:r w:rsidR="002378E0">
        <w:rPr>
          <w:b/>
          <w:bCs/>
          <w:lang w:val="cs-CZ"/>
        </w:rPr>
        <w:t xml:space="preserve"> a </w:t>
      </w:r>
      <w:r w:rsidRPr="001B4A02">
        <w:rPr>
          <w:b/>
          <w:bCs/>
          <w:lang w:val="cs-CZ"/>
        </w:rPr>
        <w:t>opatření</w:t>
      </w:r>
    </w:p>
    <w:p w14:paraId="48E719CF" w14:textId="77777777" w:rsidR="0051746B" w:rsidRPr="001B4A02" w:rsidRDefault="0051746B" w:rsidP="00ED48A3">
      <w:pPr>
        <w:pStyle w:val="EMEABullet2"/>
        <w:keepNext/>
        <w:numPr>
          <w:ilvl w:val="0"/>
          <w:numId w:val="0"/>
        </w:numPr>
        <w:rPr>
          <w:bCs/>
          <w:lang w:val="cs-CZ"/>
        </w:rPr>
      </w:pPr>
    </w:p>
    <w:p w14:paraId="64D5EB45" w14:textId="77777777" w:rsidR="0051746B" w:rsidRPr="001B4A02" w:rsidRDefault="00000000" w:rsidP="00ED48A3">
      <w:pPr>
        <w:ind w:left="0" w:firstLine="0"/>
      </w:pPr>
      <w:r w:rsidRPr="001B4A02">
        <w:t xml:space="preserve">Před </w:t>
      </w:r>
      <w:r w:rsidR="00D32374" w:rsidRPr="001B4A02">
        <w:t>po</w:t>
      </w:r>
      <w:r w:rsidRPr="001B4A02">
        <w:t>užitím přípravku Humira se poraďte se svým lékařem nebo lékárníkem.</w:t>
      </w:r>
    </w:p>
    <w:p w14:paraId="7DAFA46F" w14:textId="77777777" w:rsidR="008D112A" w:rsidRPr="001B4A02" w:rsidRDefault="008D112A" w:rsidP="00ED48A3">
      <w:pPr>
        <w:pStyle w:val="EMEANormal"/>
        <w:tabs>
          <w:tab w:val="clear" w:pos="562"/>
          <w:tab w:val="num" w:pos="550"/>
        </w:tabs>
        <w:ind w:left="550" w:hanging="550"/>
        <w:rPr>
          <w:highlight w:val="yellow"/>
          <w:lang w:val="cs-CZ"/>
        </w:rPr>
      </w:pPr>
    </w:p>
    <w:p w14:paraId="56442584" w14:textId="77777777" w:rsidR="0051746B" w:rsidRPr="001B4A02" w:rsidRDefault="00000000" w:rsidP="00ED48A3">
      <w:pPr>
        <w:rPr>
          <w:u w:val="single"/>
        </w:rPr>
      </w:pPr>
      <w:r w:rsidRPr="001B4A02">
        <w:rPr>
          <w:u w:val="single"/>
        </w:rPr>
        <w:t>Alergické reakce</w:t>
      </w:r>
    </w:p>
    <w:p w14:paraId="0F602813" w14:textId="77777777" w:rsidR="0051746B" w:rsidRPr="001B4A02" w:rsidRDefault="0051746B" w:rsidP="00ED48A3"/>
    <w:p w14:paraId="76EE22B0" w14:textId="77777777" w:rsidR="0051746B" w:rsidRPr="001B4A02" w:rsidRDefault="00000000" w:rsidP="00ED48A3">
      <w:pPr>
        <w:numPr>
          <w:ilvl w:val="0"/>
          <w:numId w:val="15"/>
        </w:numPr>
        <w:tabs>
          <w:tab w:val="clear" w:pos="720"/>
          <w:tab w:val="num" w:pos="540"/>
        </w:tabs>
        <w:ind w:left="567" w:hanging="567"/>
      </w:pPr>
      <w:r w:rsidRPr="001B4A02">
        <w:t>Jestliže se u Vás objeví alergické reakce s</w:t>
      </w:r>
      <w:r w:rsidR="00E91CB6" w:rsidRPr="001B4A02">
        <w:t> </w:t>
      </w:r>
      <w:r w:rsidRPr="001B4A02">
        <w:t>příznaky</w:t>
      </w:r>
      <w:r w:rsidR="00E91CB6" w:rsidRPr="001B4A02">
        <w:t>,</w:t>
      </w:r>
      <w:r w:rsidRPr="001B4A02">
        <w:t xml:space="preserve"> jako je pocit tíhy na hrudi, dýchavičnost, závratě, otoky nebo vyrážka, nepodávejte si další injekci přípravku Humira</w:t>
      </w:r>
      <w:r w:rsidR="002378E0">
        <w:t xml:space="preserve"> a </w:t>
      </w:r>
      <w:r w:rsidRPr="001B4A02">
        <w:t>kontaktujte ihned svého lékaře</w:t>
      </w:r>
      <w:r w:rsidR="00555979" w:rsidRPr="001B4A02">
        <w:t xml:space="preserve">, protože </w:t>
      </w:r>
      <w:r w:rsidR="00555979" w:rsidRPr="001B4A02">
        <w:rPr>
          <w:bCs/>
          <w:szCs w:val="22"/>
        </w:rPr>
        <w:t>tyto reakce mohou být ve vzácných případech život ohrožující</w:t>
      </w:r>
      <w:r w:rsidRPr="001B4A02">
        <w:t>.</w:t>
      </w:r>
    </w:p>
    <w:p w14:paraId="28B5A636" w14:textId="77777777" w:rsidR="0051746B" w:rsidRPr="001B4A02" w:rsidRDefault="0051746B" w:rsidP="00ED48A3">
      <w:pPr>
        <w:tabs>
          <w:tab w:val="num" w:pos="540"/>
        </w:tabs>
      </w:pPr>
    </w:p>
    <w:p w14:paraId="5BB62B39" w14:textId="77777777" w:rsidR="0051746B" w:rsidRPr="001B4A02" w:rsidRDefault="00000000" w:rsidP="00ED48A3">
      <w:pPr>
        <w:tabs>
          <w:tab w:val="num" w:pos="540"/>
        </w:tabs>
        <w:rPr>
          <w:u w:val="single"/>
        </w:rPr>
      </w:pPr>
      <w:r w:rsidRPr="001B4A02">
        <w:rPr>
          <w:u w:val="single"/>
        </w:rPr>
        <w:t>Infekce</w:t>
      </w:r>
    </w:p>
    <w:p w14:paraId="76A52017" w14:textId="77777777" w:rsidR="0051746B" w:rsidRPr="001B4A02" w:rsidRDefault="0051746B" w:rsidP="00ED48A3">
      <w:pPr>
        <w:tabs>
          <w:tab w:val="num" w:pos="540"/>
        </w:tabs>
      </w:pPr>
    </w:p>
    <w:p w14:paraId="37CD1242" w14:textId="77777777" w:rsidR="0051746B" w:rsidRPr="001B4A02" w:rsidRDefault="00000000" w:rsidP="00ED48A3">
      <w:pPr>
        <w:numPr>
          <w:ilvl w:val="0"/>
          <w:numId w:val="15"/>
        </w:numPr>
        <w:tabs>
          <w:tab w:val="clear" w:pos="720"/>
          <w:tab w:val="num" w:pos="540"/>
        </w:tabs>
        <w:ind w:left="567" w:hanging="567"/>
      </w:pPr>
      <w:r w:rsidRPr="001B4A02">
        <w:t xml:space="preserve">Jestliže máte nějakou infekci, včetně dlouhodobé infekce nebo infekce </w:t>
      </w:r>
      <w:r w:rsidR="00AC34BF" w:rsidRPr="001B4A02">
        <w:t>postihující</w:t>
      </w:r>
      <w:r w:rsidR="00D74096" w:rsidRPr="001B4A02">
        <w:t xml:space="preserve"> </w:t>
      </w:r>
      <w:r w:rsidR="00AC34BF" w:rsidRPr="001B4A02">
        <w:t>jednu</w:t>
      </w:r>
      <w:r w:rsidRPr="001B4A02">
        <w:t xml:space="preserve"> část těla (například bércový vřed), obraťte se před zahájením léčby přípravkem Humira na svého lékaře. Pokud si nejste jist</w:t>
      </w:r>
      <w:r w:rsidR="009E1608" w:rsidRPr="001B4A02">
        <w:t>ý</w:t>
      </w:r>
      <w:r w:rsidRPr="001B4A02">
        <w:t>(</w:t>
      </w:r>
      <w:r w:rsidR="009E1608" w:rsidRPr="001B4A02">
        <w:t>á</w:t>
      </w:r>
      <w:r w:rsidRPr="001B4A02">
        <w:t>), kontaktujte svého lékaře.</w:t>
      </w:r>
    </w:p>
    <w:p w14:paraId="51424A36" w14:textId="77777777" w:rsidR="0051746B" w:rsidRPr="001B4A02" w:rsidRDefault="0051746B" w:rsidP="00ED48A3">
      <w:pPr>
        <w:tabs>
          <w:tab w:val="num" w:pos="540"/>
        </w:tabs>
      </w:pPr>
    </w:p>
    <w:p w14:paraId="7725EA75" w14:textId="77777777" w:rsidR="0051746B" w:rsidRPr="001B4A02" w:rsidRDefault="00000000" w:rsidP="00ED48A3">
      <w:pPr>
        <w:numPr>
          <w:ilvl w:val="0"/>
          <w:numId w:val="15"/>
        </w:numPr>
        <w:tabs>
          <w:tab w:val="clear" w:pos="720"/>
          <w:tab w:val="num" w:pos="540"/>
        </w:tabs>
        <w:ind w:left="567" w:hanging="567"/>
      </w:pPr>
      <w:r w:rsidRPr="001B4A02">
        <w:t>Při léčbě přípravkem Humira můžete být náchylnější k infekcím. Riziko může stoupat, pokud máte problémy s</w:t>
      </w:r>
      <w:r w:rsidR="004823B6" w:rsidRPr="001B4A02">
        <w:t> </w:t>
      </w:r>
      <w:r w:rsidRPr="001B4A02">
        <w:t xml:space="preserve">plícemi. Tyto infekce mohou být </w:t>
      </w:r>
      <w:r w:rsidRPr="001B4A02">
        <w:rPr>
          <w:bCs/>
          <w:szCs w:val="22"/>
        </w:rPr>
        <w:t>závažné</w:t>
      </w:r>
      <w:r w:rsidR="002378E0">
        <w:rPr>
          <w:bCs/>
          <w:szCs w:val="22"/>
        </w:rPr>
        <w:t xml:space="preserve"> a </w:t>
      </w:r>
      <w:r w:rsidRPr="001B4A02">
        <w:rPr>
          <w:bCs/>
          <w:szCs w:val="22"/>
        </w:rPr>
        <w:t>zahrnují:</w:t>
      </w:r>
    </w:p>
    <w:p w14:paraId="04A0797A" w14:textId="77777777" w:rsidR="0051746B" w:rsidRPr="001B4A02" w:rsidRDefault="00000000" w:rsidP="00ED48A3">
      <w:pPr>
        <w:pStyle w:val="EMEANormal"/>
        <w:numPr>
          <w:ilvl w:val="0"/>
          <w:numId w:val="102"/>
        </w:numPr>
        <w:tabs>
          <w:tab w:val="clear" w:pos="562"/>
          <w:tab w:val="left" w:pos="1134"/>
        </w:tabs>
        <w:ind w:left="1134" w:hanging="567"/>
        <w:rPr>
          <w:szCs w:val="21"/>
          <w:lang w:val="cs-CZ"/>
        </w:rPr>
      </w:pPr>
      <w:r w:rsidRPr="001B4A02">
        <w:rPr>
          <w:szCs w:val="21"/>
          <w:lang w:val="cs-CZ"/>
        </w:rPr>
        <w:t>tuberkulózu</w:t>
      </w:r>
    </w:p>
    <w:p w14:paraId="1B60F140" w14:textId="77777777" w:rsidR="0051746B" w:rsidRPr="001B4A02" w:rsidRDefault="00000000" w:rsidP="00ED48A3">
      <w:pPr>
        <w:pStyle w:val="EMEANormal"/>
        <w:numPr>
          <w:ilvl w:val="0"/>
          <w:numId w:val="102"/>
        </w:numPr>
        <w:tabs>
          <w:tab w:val="clear" w:pos="562"/>
          <w:tab w:val="left" w:pos="1134"/>
        </w:tabs>
        <w:ind w:left="1134" w:hanging="567"/>
        <w:rPr>
          <w:szCs w:val="21"/>
          <w:lang w:val="cs-CZ"/>
        </w:rPr>
      </w:pPr>
      <w:r w:rsidRPr="001B4A02">
        <w:rPr>
          <w:szCs w:val="21"/>
          <w:lang w:val="cs-CZ"/>
        </w:rPr>
        <w:t>infekce způsobené viry, plísněmi, parazity nebo bakteriemi</w:t>
      </w:r>
    </w:p>
    <w:p w14:paraId="7113D301" w14:textId="77777777" w:rsidR="0051746B" w:rsidRPr="001B4A02" w:rsidRDefault="00000000" w:rsidP="00ED48A3">
      <w:pPr>
        <w:pStyle w:val="EMEANormal"/>
        <w:numPr>
          <w:ilvl w:val="0"/>
          <w:numId w:val="102"/>
        </w:numPr>
        <w:tabs>
          <w:tab w:val="clear" w:pos="562"/>
          <w:tab w:val="left" w:pos="1134"/>
        </w:tabs>
        <w:ind w:left="1134" w:hanging="567"/>
        <w:rPr>
          <w:szCs w:val="21"/>
          <w:lang w:val="cs-CZ"/>
        </w:rPr>
      </w:pPr>
      <w:r w:rsidRPr="001B4A02">
        <w:rPr>
          <w:szCs w:val="21"/>
          <w:lang w:val="cs-CZ"/>
        </w:rPr>
        <w:t>závažné infekce v krvi (sepse)</w:t>
      </w:r>
    </w:p>
    <w:p w14:paraId="2092B464" w14:textId="77777777" w:rsidR="0051746B" w:rsidRPr="001B4A02" w:rsidRDefault="0051746B" w:rsidP="00ED48A3">
      <w:pPr>
        <w:ind w:firstLine="0"/>
        <w:rPr>
          <w:bCs/>
          <w:szCs w:val="22"/>
        </w:rPr>
      </w:pPr>
    </w:p>
    <w:p w14:paraId="371F30E0" w14:textId="77777777" w:rsidR="0051746B" w:rsidRPr="001B4A02" w:rsidRDefault="00000000" w:rsidP="00ED48A3">
      <w:pPr>
        <w:ind w:firstLine="0"/>
      </w:pPr>
      <w:r w:rsidRPr="001B4A02">
        <w:rPr>
          <w:bCs/>
          <w:szCs w:val="22"/>
        </w:rPr>
        <w:t>Tyto infekce mohou být ve vzácných případech život ohrožující</w:t>
      </w:r>
      <w:r w:rsidRPr="001B4A02">
        <w:t xml:space="preserve">. Je důležité, abyste informoval(a) lékaře, pokud se u Vás vyskytnou příznaky, jako je horečka, zranění, </w:t>
      </w:r>
      <w:r w:rsidR="00435E33">
        <w:t xml:space="preserve">pocit </w:t>
      </w:r>
      <w:r w:rsidRPr="001B4A02">
        <w:t>únav</w:t>
      </w:r>
      <w:r w:rsidR="00435E33">
        <w:t>y</w:t>
      </w:r>
      <w:r w:rsidRPr="001B4A02">
        <w:t xml:space="preserve"> nebo problémy se zuby. Váš lékař Vám může říci, abyste po nějakou dobu přípravek Humira ne</w:t>
      </w:r>
      <w:r w:rsidR="00D32374" w:rsidRPr="001B4A02">
        <w:t>po</w:t>
      </w:r>
      <w:r w:rsidRPr="001B4A02">
        <w:t>užíval(a).</w:t>
      </w:r>
    </w:p>
    <w:p w14:paraId="42A2E554" w14:textId="77777777" w:rsidR="0051746B" w:rsidRPr="001B4A02" w:rsidRDefault="0051746B" w:rsidP="00ED48A3">
      <w:pPr>
        <w:tabs>
          <w:tab w:val="num" w:pos="540"/>
        </w:tabs>
      </w:pPr>
    </w:p>
    <w:p w14:paraId="7E44AD31" w14:textId="77777777" w:rsidR="0051746B" w:rsidRPr="001B4A02" w:rsidRDefault="00000000" w:rsidP="00ED48A3">
      <w:pPr>
        <w:pStyle w:val="EMEABullet2"/>
        <w:numPr>
          <w:ilvl w:val="0"/>
          <w:numId w:val="222"/>
        </w:numPr>
        <w:tabs>
          <w:tab w:val="clear" w:pos="567"/>
        </w:tabs>
        <w:ind w:left="567" w:hanging="567"/>
        <w:rPr>
          <w:lang w:val="cs-CZ"/>
        </w:rPr>
      </w:pPr>
      <w:r w:rsidRPr="001B4A02">
        <w:rPr>
          <w:lang w:val="cs-CZ"/>
        </w:rPr>
        <w:t>Jestliže žijete v</w:t>
      </w:r>
      <w:r w:rsidR="000928E6" w:rsidRPr="001B4A02">
        <w:rPr>
          <w:lang w:val="cs-CZ"/>
        </w:rPr>
        <w:t> </w:t>
      </w:r>
      <w:r w:rsidRPr="001B4A02">
        <w:rPr>
          <w:lang w:val="cs-CZ"/>
        </w:rPr>
        <w:t>oblastech, ve kterých jsou velmi časté plísňové infekce (například histoplasmóza, kokcidioidomykóza nebo blastomykóza), nebo pokud do takových oblastí cestujete, oznamte to svému lékaři.</w:t>
      </w:r>
    </w:p>
    <w:p w14:paraId="2BB51D4C" w14:textId="77777777" w:rsidR="00FE093B" w:rsidRPr="001B4A02" w:rsidRDefault="00FE093B" w:rsidP="00ED48A3"/>
    <w:p w14:paraId="5E31C70C" w14:textId="77777777" w:rsidR="0051746B" w:rsidRPr="001B4A02" w:rsidRDefault="00000000" w:rsidP="00ED48A3">
      <w:pPr>
        <w:pStyle w:val="EMEABullet2"/>
        <w:numPr>
          <w:ilvl w:val="0"/>
          <w:numId w:val="103"/>
        </w:numPr>
        <w:tabs>
          <w:tab w:val="clear" w:pos="567"/>
          <w:tab w:val="clear" w:pos="720"/>
        </w:tabs>
        <w:ind w:left="567" w:hanging="567"/>
        <w:rPr>
          <w:lang w:val="cs-CZ"/>
        </w:rPr>
      </w:pPr>
      <w:r w:rsidRPr="001B4A02">
        <w:rPr>
          <w:lang w:val="cs-CZ"/>
        </w:rPr>
        <w:t>Jestliže trpíte opakovanými infekcemi nebo jinými stavy, které zvyšují riziko infekce, oznamte to svému lékaři.</w:t>
      </w:r>
    </w:p>
    <w:p w14:paraId="36ADFA6A" w14:textId="77777777" w:rsidR="0051746B" w:rsidRPr="001B4A02" w:rsidRDefault="0051746B" w:rsidP="00ED48A3">
      <w:pPr>
        <w:pStyle w:val="EMEANormal"/>
        <w:rPr>
          <w:lang w:val="cs-CZ"/>
        </w:rPr>
      </w:pPr>
    </w:p>
    <w:p w14:paraId="4B6C934B" w14:textId="77777777" w:rsidR="0051746B" w:rsidRPr="001B4A02" w:rsidRDefault="00000000" w:rsidP="00ED48A3">
      <w:pPr>
        <w:pStyle w:val="EMEABullet2"/>
        <w:keepNext/>
        <w:numPr>
          <w:ilvl w:val="0"/>
          <w:numId w:val="103"/>
        </w:numPr>
        <w:tabs>
          <w:tab w:val="clear" w:pos="567"/>
          <w:tab w:val="clear" w:pos="720"/>
        </w:tabs>
        <w:ind w:left="567" w:hanging="567"/>
        <w:rPr>
          <w:lang w:val="cs-CZ"/>
        </w:rPr>
      </w:pPr>
      <w:r w:rsidRPr="001B4A02">
        <w:rPr>
          <w:lang w:val="cs-CZ"/>
        </w:rPr>
        <w:t>Jestliže je Vám více než 65 let, může být u</w:t>
      </w:r>
      <w:r w:rsidR="00507DAA" w:rsidRPr="001B4A02">
        <w:rPr>
          <w:lang w:val="cs-CZ"/>
        </w:rPr>
        <w:t> </w:t>
      </w:r>
      <w:r w:rsidRPr="001B4A02">
        <w:rPr>
          <w:lang w:val="cs-CZ"/>
        </w:rPr>
        <w:t xml:space="preserve">Vás při </w:t>
      </w:r>
      <w:r w:rsidR="003B6669" w:rsidRPr="001B4A02">
        <w:rPr>
          <w:lang w:val="cs-CZ"/>
        </w:rPr>
        <w:t>po</w:t>
      </w:r>
      <w:r w:rsidRPr="001B4A02">
        <w:rPr>
          <w:lang w:val="cs-CZ"/>
        </w:rPr>
        <w:t>užívání přípravku Humira vyšší pravděpodobnost onemocnění nějakou infekcí. Vy i Váš lékař byste během léčby přípravkem Humira měli věnovat zvláštní pozornost známkám infekce. Je důležité informovat svého lékaře, jestliže se u</w:t>
      </w:r>
      <w:r w:rsidR="00507DAA" w:rsidRPr="001B4A02">
        <w:rPr>
          <w:lang w:val="cs-CZ"/>
        </w:rPr>
        <w:t> </w:t>
      </w:r>
      <w:r w:rsidRPr="001B4A02">
        <w:rPr>
          <w:lang w:val="cs-CZ"/>
        </w:rPr>
        <w:t>Vás vyskytnou příznaky infekce, například horečka, pokud jste se poranil(a), máte pocit únavy nebo problémy se zuby.</w:t>
      </w:r>
    </w:p>
    <w:p w14:paraId="1F5B7578" w14:textId="77777777" w:rsidR="0051746B" w:rsidRPr="001B4A02" w:rsidRDefault="0051746B" w:rsidP="00ED48A3">
      <w:pPr>
        <w:pStyle w:val="EMEANormal"/>
        <w:rPr>
          <w:lang w:val="cs-CZ"/>
        </w:rPr>
      </w:pPr>
    </w:p>
    <w:p w14:paraId="12B6528A" w14:textId="77777777" w:rsidR="0051746B" w:rsidRPr="001B4A02" w:rsidRDefault="00000000" w:rsidP="000928E6">
      <w:pPr>
        <w:pStyle w:val="EMEABullet2"/>
        <w:keepNext/>
        <w:numPr>
          <w:ilvl w:val="0"/>
          <w:numId w:val="0"/>
        </w:numPr>
        <w:tabs>
          <w:tab w:val="clear" w:pos="567"/>
          <w:tab w:val="left" w:pos="0"/>
        </w:tabs>
        <w:suppressAutoHyphens w:val="0"/>
        <w:rPr>
          <w:u w:val="single"/>
          <w:lang w:val="cs-CZ"/>
        </w:rPr>
      </w:pPr>
      <w:r w:rsidRPr="001B4A02">
        <w:rPr>
          <w:u w:val="single"/>
          <w:lang w:val="cs-CZ"/>
        </w:rPr>
        <w:t>Tuberkulóza</w:t>
      </w:r>
    </w:p>
    <w:p w14:paraId="778938B8" w14:textId="77777777" w:rsidR="0051746B" w:rsidRPr="001B4A02" w:rsidRDefault="0051746B" w:rsidP="000928E6">
      <w:pPr>
        <w:pStyle w:val="EMEANormal"/>
        <w:keepNext/>
        <w:suppressAutoHyphens w:val="0"/>
        <w:rPr>
          <w:lang w:val="cs-CZ"/>
        </w:rPr>
      </w:pPr>
    </w:p>
    <w:p w14:paraId="6651DAB6" w14:textId="77777777" w:rsidR="0051746B" w:rsidRPr="001B4A02" w:rsidRDefault="00000000" w:rsidP="00ED48A3">
      <w:pPr>
        <w:pStyle w:val="EMEABullet2"/>
        <w:numPr>
          <w:ilvl w:val="0"/>
          <w:numId w:val="103"/>
        </w:numPr>
        <w:tabs>
          <w:tab w:val="clear" w:pos="567"/>
          <w:tab w:val="clear" w:pos="720"/>
        </w:tabs>
        <w:ind w:left="567" w:hanging="567"/>
        <w:rPr>
          <w:lang w:val="cs-CZ"/>
        </w:rPr>
      </w:pPr>
      <w:r w:rsidRPr="001B4A02">
        <w:rPr>
          <w:lang w:val="cs-CZ"/>
        </w:rPr>
        <w:t>Je velmi důležité, abyste informoval(a) svého lékaře v</w:t>
      </w:r>
      <w:r w:rsidR="000928E6" w:rsidRPr="001B4A02">
        <w:rPr>
          <w:lang w:val="cs-CZ"/>
        </w:rPr>
        <w:t> </w:t>
      </w:r>
      <w:r w:rsidRPr="001B4A02">
        <w:rPr>
          <w:lang w:val="cs-CZ"/>
        </w:rPr>
        <w:t>případě, že jste měl(a) tuberkulózu nebo jste byl(a) v</w:t>
      </w:r>
      <w:r w:rsidR="000928E6" w:rsidRPr="001B4A02">
        <w:rPr>
          <w:lang w:val="cs-CZ"/>
        </w:rPr>
        <w:t> </w:t>
      </w:r>
      <w:r w:rsidRPr="001B4A02">
        <w:rPr>
          <w:lang w:val="cs-CZ"/>
        </w:rPr>
        <w:t>těsném kontaktu s</w:t>
      </w:r>
      <w:r w:rsidR="004823B6" w:rsidRPr="001B4A02">
        <w:rPr>
          <w:lang w:val="cs-CZ"/>
        </w:rPr>
        <w:t> </w:t>
      </w:r>
      <w:r w:rsidRPr="001B4A02">
        <w:rPr>
          <w:lang w:val="cs-CZ"/>
        </w:rPr>
        <w:t>někým, kdo měl tuberkulózu. Jestliže máte aktivní tuberkulózu, přípravek Humira ne</w:t>
      </w:r>
      <w:r w:rsidR="00D32374" w:rsidRPr="001B4A02">
        <w:rPr>
          <w:lang w:val="cs-CZ"/>
        </w:rPr>
        <w:t>po</w:t>
      </w:r>
      <w:r w:rsidRPr="001B4A02">
        <w:rPr>
          <w:lang w:val="cs-CZ"/>
        </w:rPr>
        <w:t>užívejte.</w:t>
      </w:r>
    </w:p>
    <w:p w14:paraId="6D40594C" w14:textId="77777777" w:rsidR="0051746B" w:rsidRPr="001B4A02" w:rsidRDefault="0051746B" w:rsidP="00ED48A3">
      <w:pPr>
        <w:tabs>
          <w:tab w:val="num" w:pos="540"/>
        </w:tabs>
      </w:pPr>
    </w:p>
    <w:p w14:paraId="58AEA900" w14:textId="77777777" w:rsidR="008333D3" w:rsidRPr="001B4A02" w:rsidRDefault="00000000" w:rsidP="00ED48A3">
      <w:pPr>
        <w:numPr>
          <w:ilvl w:val="0"/>
          <w:numId w:val="15"/>
        </w:numPr>
        <w:tabs>
          <w:tab w:val="clear" w:pos="720"/>
          <w:tab w:val="num" w:pos="786"/>
          <w:tab w:val="left" w:pos="1276"/>
        </w:tabs>
        <w:ind w:left="1276" w:hanging="567"/>
      </w:pPr>
      <w:r w:rsidRPr="001B4A02">
        <w:t>Protože u pacientů léčených přípravkem Humira byly hlášeny případy tuberkulózy, před zahájením léčby přípravkem Humira Vás lékař vyšetří, zda se příznaky tohoto onemocnění u Vás nevyskytly. To znamená, že u</w:t>
      </w:r>
      <w:r w:rsidR="00B12121" w:rsidRPr="001B4A02">
        <w:t> </w:t>
      </w:r>
      <w:r w:rsidRPr="001B4A02">
        <w:t>Vás podrobně zhodnotí dříve prodělaná onemocnění, provede potřebná kontrolní vyšetření (například rentgen hrudníku</w:t>
      </w:r>
      <w:r w:rsidR="002378E0">
        <w:t xml:space="preserve"> a </w:t>
      </w:r>
      <w:r w:rsidRPr="001B4A02">
        <w:t>tuberkulinový test). Provedení těchto vyšetření</w:t>
      </w:r>
      <w:r w:rsidR="002378E0">
        <w:t xml:space="preserve"> a </w:t>
      </w:r>
      <w:r w:rsidRPr="001B4A02">
        <w:t xml:space="preserve">jejich výsledky zaznamená do Vaší </w:t>
      </w:r>
      <w:r w:rsidRPr="001B4A02">
        <w:rPr>
          <w:b/>
        </w:rPr>
        <w:t>informační kartičky</w:t>
      </w:r>
      <w:r w:rsidRPr="001B4A02">
        <w:t>.</w:t>
      </w:r>
    </w:p>
    <w:p w14:paraId="3F965086" w14:textId="77777777" w:rsidR="00FE093B" w:rsidRPr="001B4A02" w:rsidRDefault="00FE093B" w:rsidP="00ED48A3">
      <w:pPr>
        <w:tabs>
          <w:tab w:val="left" w:pos="1276"/>
        </w:tabs>
        <w:ind w:left="1276" w:firstLine="0"/>
      </w:pPr>
    </w:p>
    <w:p w14:paraId="049BF143" w14:textId="77777777" w:rsidR="0051746B" w:rsidRPr="001B4A02" w:rsidRDefault="00000000" w:rsidP="00ED48A3">
      <w:pPr>
        <w:numPr>
          <w:ilvl w:val="0"/>
          <w:numId w:val="15"/>
        </w:numPr>
        <w:tabs>
          <w:tab w:val="clear" w:pos="720"/>
          <w:tab w:val="num" w:pos="786"/>
          <w:tab w:val="left" w:pos="1276"/>
        </w:tabs>
        <w:ind w:left="1276" w:hanging="567"/>
      </w:pPr>
      <w:r w:rsidRPr="001B4A02">
        <w:t>Tuberkulóza se může vyvinout během léčby,</w:t>
      </w:r>
      <w:r w:rsidR="002378E0">
        <w:t xml:space="preserve"> a </w:t>
      </w:r>
      <w:r w:rsidRPr="001B4A02">
        <w:t>to i v případě, že jste dostával(a) nebo dostáváte léky na prevenci tuberkulózy.</w:t>
      </w:r>
    </w:p>
    <w:p w14:paraId="6D833CE0" w14:textId="77777777" w:rsidR="00FE093B" w:rsidRPr="001B4A02" w:rsidRDefault="00FE093B" w:rsidP="00ED48A3">
      <w:pPr>
        <w:tabs>
          <w:tab w:val="left" w:pos="1276"/>
        </w:tabs>
        <w:ind w:left="1276" w:firstLine="0"/>
      </w:pPr>
    </w:p>
    <w:p w14:paraId="5EC35DA7" w14:textId="77777777" w:rsidR="0051746B" w:rsidRPr="001B4A02" w:rsidRDefault="00000000" w:rsidP="00ED48A3">
      <w:pPr>
        <w:numPr>
          <w:ilvl w:val="0"/>
          <w:numId w:val="15"/>
        </w:numPr>
        <w:tabs>
          <w:tab w:val="clear" w:pos="720"/>
          <w:tab w:val="num" w:pos="786"/>
          <w:tab w:val="left" w:pos="1276"/>
        </w:tabs>
        <w:ind w:left="1276" w:hanging="567"/>
      </w:pPr>
      <w:r w:rsidRPr="001B4A02">
        <w:t>Pokud se u Vás objeví příznaky tuberkulózy (například kašel, který neustupuje, úbytek na hmotnosti, ztráta energie, mírná horečka), nebo se během léčby i po léčbě objeví jiná infekce</w:t>
      </w:r>
      <w:r w:rsidR="00507DAA" w:rsidRPr="001B4A02">
        <w:t>, sdělte to ihned svému lékaři.</w:t>
      </w:r>
    </w:p>
    <w:p w14:paraId="07ECA850" w14:textId="77777777" w:rsidR="0051746B" w:rsidRPr="001B4A02" w:rsidRDefault="0051746B" w:rsidP="00ED48A3">
      <w:pPr>
        <w:ind w:left="0" w:firstLine="0"/>
      </w:pPr>
    </w:p>
    <w:p w14:paraId="1D01B3F8" w14:textId="77777777" w:rsidR="0051746B" w:rsidRPr="001B4A02" w:rsidRDefault="00000000" w:rsidP="00ED48A3">
      <w:pPr>
        <w:rPr>
          <w:u w:val="single"/>
        </w:rPr>
      </w:pPr>
      <w:r w:rsidRPr="001B4A02">
        <w:rPr>
          <w:u w:val="single"/>
        </w:rPr>
        <w:t>Hepatitida B</w:t>
      </w:r>
    </w:p>
    <w:p w14:paraId="6561FFB1" w14:textId="77777777" w:rsidR="0051746B" w:rsidRPr="001B4A02" w:rsidRDefault="0051746B" w:rsidP="00ED48A3"/>
    <w:p w14:paraId="7B9B17E4" w14:textId="77777777" w:rsidR="00FE093B" w:rsidRPr="001B4A02" w:rsidRDefault="00000000" w:rsidP="00ED48A3">
      <w:r w:rsidRPr="001B4A02">
        <w:rPr>
          <w:rFonts w:ascii="Symbol" w:hAnsi="Symbol"/>
        </w:rPr>
        <w:sym w:font="Symbol" w:char="F0B7"/>
      </w:r>
      <w:r w:rsidRPr="001B4A02">
        <w:tab/>
        <w:t>Jestliže jste nositelem viru hepatitidy typu B (HBV), jestliže máte aktivní HBV infekci nebo si myslíte, že byste mohl</w:t>
      </w:r>
      <w:r w:rsidR="00B724C3" w:rsidRPr="001B4A02">
        <w:t>(a)</w:t>
      </w:r>
      <w:r w:rsidRPr="001B4A02">
        <w:t xml:space="preserve"> být </w:t>
      </w:r>
      <w:r w:rsidR="00B724C3" w:rsidRPr="001B4A02">
        <w:t xml:space="preserve">ohrožen(a) </w:t>
      </w:r>
      <w:r w:rsidRPr="001B4A02">
        <w:t>infekcí HBV, řekněte to svému lékaři.</w:t>
      </w:r>
    </w:p>
    <w:p w14:paraId="07F089EE" w14:textId="77777777" w:rsidR="0051746B" w:rsidRPr="001B4A02" w:rsidRDefault="0051746B" w:rsidP="00ED48A3">
      <w:pPr>
        <w:ind w:left="0" w:firstLine="0"/>
      </w:pPr>
    </w:p>
    <w:p w14:paraId="31E82BEE" w14:textId="77777777" w:rsidR="00FE093B" w:rsidRPr="001B4A02" w:rsidRDefault="00000000" w:rsidP="00ED48A3">
      <w:pPr>
        <w:numPr>
          <w:ilvl w:val="0"/>
          <w:numId w:val="15"/>
        </w:numPr>
        <w:tabs>
          <w:tab w:val="clear" w:pos="720"/>
          <w:tab w:val="num" w:pos="786"/>
          <w:tab w:val="left" w:pos="1276"/>
        </w:tabs>
        <w:ind w:left="1276" w:hanging="567"/>
      </w:pPr>
      <w:r w:rsidRPr="001B4A02">
        <w:t xml:space="preserve">Váš lékař Vás na infekci HBV vyšetří. </w:t>
      </w:r>
      <w:r w:rsidR="009E1608" w:rsidRPr="001B4A02">
        <w:t xml:space="preserve">Přípravek </w:t>
      </w:r>
      <w:r w:rsidRPr="001B4A02">
        <w:t>Humira může u lidí, kteří jsou nositeli HBV, způsobovat opětovnou aktivaci viru.</w:t>
      </w:r>
    </w:p>
    <w:p w14:paraId="32EA1357" w14:textId="77777777" w:rsidR="0051746B" w:rsidRPr="001B4A02" w:rsidRDefault="0051746B" w:rsidP="00ED48A3">
      <w:pPr>
        <w:tabs>
          <w:tab w:val="left" w:pos="1276"/>
        </w:tabs>
        <w:ind w:left="1276" w:firstLine="0"/>
      </w:pPr>
    </w:p>
    <w:p w14:paraId="58F4CE31" w14:textId="77777777" w:rsidR="0051746B" w:rsidRPr="001B4A02" w:rsidRDefault="00000000" w:rsidP="00ED48A3">
      <w:pPr>
        <w:numPr>
          <w:ilvl w:val="0"/>
          <w:numId w:val="15"/>
        </w:numPr>
        <w:tabs>
          <w:tab w:val="clear" w:pos="720"/>
          <w:tab w:val="num" w:pos="786"/>
          <w:tab w:val="left" w:pos="1276"/>
        </w:tabs>
        <w:ind w:left="1276" w:hanging="567"/>
      </w:pPr>
      <w:r w:rsidRPr="001B4A02">
        <w:t>V některých vzácných případech, zvláště pokud berete jiné léky k potlačení imunitního systému, může být reaktivace viru HBV život ohrožující.</w:t>
      </w:r>
    </w:p>
    <w:p w14:paraId="4297029F" w14:textId="77777777" w:rsidR="0051746B" w:rsidRPr="001B4A02" w:rsidRDefault="0051746B" w:rsidP="00ED48A3"/>
    <w:p w14:paraId="364C58EA" w14:textId="77777777" w:rsidR="0051746B" w:rsidRPr="001B4A02" w:rsidRDefault="00000000" w:rsidP="00ED48A3">
      <w:pPr>
        <w:rPr>
          <w:u w:val="single"/>
        </w:rPr>
      </w:pPr>
      <w:r w:rsidRPr="001B4A02">
        <w:rPr>
          <w:u w:val="single"/>
        </w:rPr>
        <w:t>Operace</w:t>
      </w:r>
      <w:r w:rsidR="00635E3F" w:rsidRPr="001B4A02">
        <w:rPr>
          <w:u w:val="single"/>
        </w:rPr>
        <w:t xml:space="preserve"> nebo stomatologický zákrok</w:t>
      </w:r>
    </w:p>
    <w:p w14:paraId="29FBE9F7" w14:textId="77777777" w:rsidR="0051746B" w:rsidRPr="001B4A02" w:rsidRDefault="0051746B" w:rsidP="00ED48A3"/>
    <w:p w14:paraId="404B8438" w14:textId="77777777" w:rsidR="0051746B" w:rsidRPr="001B4A02" w:rsidRDefault="00000000" w:rsidP="00ED48A3">
      <w:pPr>
        <w:pStyle w:val="EndnoteText"/>
        <w:numPr>
          <w:ilvl w:val="1"/>
          <w:numId w:val="15"/>
        </w:numPr>
        <w:tabs>
          <w:tab w:val="clear" w:pos="1440"/>
          <w:tab w:val="num" w:pos="567"/>
        </w:tabs>
        <w:ind w:left="567" w:hanging="567"/>
        <w:rPr>
          <w:lang w:val="cs-CZ"/>
        </w:rPr>
      </w:pPr>
      <w:r w:rsidRPr="001B4A02">
        <w:rPr>
          <w:lang w:val="cs-CZ"/>
        </w:rPr>
        <w:t xml:space="preserve">Pokud Vám má být provedena operace nebo stomatologický </w:t>
      </w:r>
      <w:r w:rsidR="00635E3F" w:rsidRPr="001B4A02">
        <w:rPr>
          <w:lang w:val="cs-CZ"/>
        </w:rPr>
        <w:t>zákrok</w:t>
      </w:r>
      <w:r w:rsidRPr="001B4A02">
        <w:rPr>
          <w:lang w:val="cs-CZ"/>
        </w:rPr>
        <w:t>, informujte, prosím, svého lékaře, že jste léčen(a) přípravkem Humira. Váš lékař může doporučit dočasné přerušení léčby přípravkem Humira.</w:t>
      </w:r>
    </w:p>
    <w:p w14:paraId="2C1C29DE" w14:textId="77777777" w:rsidR="0051746B" w:rsidRPr="001B4A02" w:rsidRDefault="0051746B" w:rsidP="00ED48A3">
      <w:pPr>
        <w:tabs>
          <w:tab w:val="num" w:pos="540"/>
        </w:tabs>
      </w:pPr>
    </w:p>
    <w:p w14:paraId="4F7EF51A" w14:textId="77777777" w:rsidR="0051746B" w:rsidRPr="001B4A02" w:rsidRDefault="00000000" w:rsidP="00ED48A3">
      <w:pPr>
        <w:tabs>
          <w:tab w:val="num" w:pos="540"/>
        </w:tabs>
        <w:rPr>
          <w:u w:val="single"/>
        </w:rPr>
      </w:pPr>
      <w:r w:rsidRPr="001B4A02">
        <w:rPr>
          <w:u w:val="single"/>
        </w:rPr>
        <w:t>Demyelinizační onemocnění</w:t>
      </w:r>
    </w:p>
    <w:p w14:paraId="548DBCE9" w14:textId="77777777" w:rsidR="0051746B" w:rsidRPr="001B4A02" w:rsidRDefault="0051746B" w:rsidP="00ED48A3">
      <w:pPr>
        <w:tabs>
          <w:tab w:val="num" w:pos="540"/>
        </w:tabs>
      </w:pPr>
    </w:p>
    <w:p w14:paraId="5C952802" w14:textId="77777777" w:rsidR="0051746B" w:rsidRPr="001B4A02" w:rsidRDefault="00000000" w:rsidP="00ED48A3">
      <w:pPr>
        <w:numPr>
          <w:ilvl w:val="0"/>
          <w:numId w:val="15"/>
        </w:numPr>
        <w:tabs>
          <w:tab w:val="clear" w:pos="720"/>
          <w:tab w:val="num" w:pos="540"/>
        </w:tabs>
        <w:ind w:left="567" w:hanging="567"/>
      </w:pPr>
      <w:r w:rsidRPr="001B4A02">
        <w:t>Jestliže máte demyelinizační onemocnění</w:t>
      </w:r>
      <w:r w:rsidR="00635E3F" w:rsidRPr="001B4A02">
        <w:t xml:space="preserve"> (onemocnění, které postihuje ochrannou vrstvu nervů, jako je roztroušená skleróza),</w:t>
      </w:r>
      <w:r w:rsidRPr="001B4A02">
        <w:t xml:space="preserve"> lékař určí, zda můžete být léčen(a) přípravkem Humira. Pokud se</w:t>
      </w:r>
      <w:r w:rsidR="00B12121" w:rsidRPr="001B4A02">
        <w:t xml:space="preserve"> u </w:t>
      </w:r>
      <w:r w:rsidRPr="001B4A02">
        <w:t>Vás objeví některé příznaky, například změny vidění, slabost rukou nebo nohou či znecitlivění nebo brnění</w:t>
      </w:r>
      <w:r w:rsidR="00063784" w:rsidRPr="001B4A02">
        <w:t xml:space="preserve"> v některé části těla, musíte o </w:t>
      </w:r>
      <w:r w:rsidRPr="001B4A02">
        <w:t>tom Vašeho lékaře neprodleně informovat.</w:t>
      </w:r>
    </w:p>
    <w:p w14:paraId="612CCE1C" w14:textId="77777777" w:rsidR="0051746B" w:rsidRPr="001B4A02" w:rsidRDefault="0051746B" w:rsidP="00ED48A3">
      <w:pPr>
        <w:tabs>
          <w:tab w:val="num" w:pos="540"/>
        </w:tabs>
      </w:pPr>
    </w:p>
    <w:p w14:paraId="0EEBEBE8" w14:textId="77777777" w:rsidR="0051746B" w:rsidRPr="001B4A02" w:rsidRDefault="00000000" w:rsidP="00B20827">
      <w:pPr>
        <w:keepNext/>
        <w:tabs>
          <w:tab w:val="num" w:pos="540"/>
        </w:tabs>
        <w:rPr>
          <w:u w:val="single"/>
        </w:rPr>
      </w:pPr>
      <w:r w:rsidRPr="001B4A02">
        <w:rPr>
          <w:u w:val="single"/>
        </w:rPr>
        <w:t>Očkování</w:t>
      </w:r>
    </w:p>
    <w:p w14:paraId="0BC5CDB2" w14:textId="77777777" w:rsidR="0051746B" w:rsidRPr="001B4A02" w:rsidRDefault="0051746B" w:rsidP="00B20827">
      <w:pPr>
        <w:keepNext/>
        <w:tabs>
          <w:tab w:val="num" w:pos="540"/>
        </w:tabs>
      </w:pPr>
    </w:p>
    <w:p w14:paraId="3E70D1CC" w14:textId="77777777" w:rsidR="00FE093B" w:rsidRPr="001B4A02" w:rsidRDefault="00000000" w:rsidP="00ED48A3">
      <w:pPr>
        <w:numPr>
          <w:ilvl w:val="0"/>
          <w:numId w:val="15"/>
        </w:numPr>
        <w:tabs>
          <w:tab w:val="clear" w:pos="720"/>
          <w:tab w:val="num" w:pos="540"/>
        </w:tabs>
        <w:ind w:left="567" w:hanging="567"/>
      </w:pPr>
      <w:r w:rsidRPr="001B4A02">
        <w:t>Během léčby přípravkem Humira nesmíte dostat určité očkovací látky, které by mohly vyvolat vznik infekce.</w:t>
      </w:r>
    </w:p>
    <w:p w14:paraId="092D586D" w14:textId="77777777" w:rsidR="0051746B" w:rsidRPr="001B4A02" w:rsidRDefault="0051746B" w:rsidP="00B12121">
      <w:pPr>
        <w:ind w:left="0" w:firstLine="0"/>
      </w:pPr>
    </w:p>
    <w:p w14:paraId="2BA614DB" w14:textId="77777777" w:rsidR="0051746B" w:rsidRPr="001B4A02" w:rsidRDefault="00000000" w:rsidP="00ED48A3">
      <w:pPr>
        <w:numPr>
          <w:ilvl w:val="0"/>
          <w:numId w:val="15"/>
        </w:numPr>
        <w:tabs>
          <w:tab w:val="clear" w:pos="720"/>
          <w:tab w:val="num" w:pos="786"/>
          <w:tab w:val="left" w:pos="1276"/>
        </w:tabs>
        <w:ind w:left="1276" w:hanging="567"/>
      </w:pPr>
      <w:r w:rsidRPr="001B4A02">
        <w:t>Domluvte se se svým lékařem o</w:t>
      </w:r>
      <w:r w:rsidR="00063784" w:rsidRPr="001B4A02">
        <w:t> </w:t>
      </w:r>
      <w:r w:rsidRPr="001B4A02">
        <w:t xml:space="preserve">možnosti očkování ještě </w:t>
      </w:r>
      <w:r w:rsidR="00FE093B" w:rsidRPr="001B4A02">
        <w:t>předtím, než budete očkován(a).</w:t>
      </w:r>
    </w:p>
    <w:p w14:paraId="1D7AE56F" w14:textId="77777777" w:rsidR="0051746B" w:rsidRPr="001B4A02" w:rsidRDefault="00000000" w:rsidP="00ED48A3">
      <w:pPr>
        <w:numPr>
          <w:ilvl w:val="0"/>
          <w:numId w:val="15"/>
        </w:numPr>
        <w:tabs>
          <w:tab w:val="clear" w:pos="720"/>
          <w:tab w:val="num" w:pos="786"/>
          <w:tab w:val="left" w:pos="1276"/>
        </w:tabs>
        <w:ind w:left="1276" w:hanging="567"/>
      </w:pPr>
      <w:r w:rsidRPr="001B4A02">
        <w:t xml:space="preserve">Doporučuje se, aby dětští pacienti absolvovali pokud možno všechna </w:t>
      </w:r>
      <w:r w:rsidR="00AF57C0" w:rsidRPr="001B4A02">
        <w:t xml:space="preserve">naplánovaná </w:t>
      </w:r>
      <w:r w:rsidRPr="001B4A02">
        <w:t xml:space="preserve">očkování </w:t>
      </w:r>
      <w:r w:rsidR="00AF57C0" w:rsidRPr="001B4A02">
        <w:t xml:space="preserve">odpovídající jejich věku </w:t>
      </w:r>
      <w:r w:rsidRPr="001B4A02">
        <w:t>před zah</w:t>
      </w:r>
      <w:r w:rsidR="00507DAA" w:rsidRPr="001B4A02">
        <w:t>ájením léčby přípravkem Humira.</w:t>
      </w:r>
    </w:p>
    <w:p w14:paraId="0EC09EEE" w14:textId="77777777" w:rsidR="0051746B" w:rsidRPr="001B4A02" w:rsidRDefault="00000000" w:rsidP="00ED48A3">
      <w:pPr>
        <w:numPr>
          <w:ilvl w:val="0"/>
          <w:numId w:val="15"/>
        </w:numPr>
        <w:tabs>
          <w:tab w:val="clear" w:pos="720"/>
          <w:tab w:val="num" w:pos="786"/>
          <w:tab w:val="left" w:pos="1276"/>
        </w:tabs>
        <w:ind w:left="1276" w:hanging="567"/>
      </w:pPr>
      <w:r w:rsidRPr="001B4A02">
        <w:t xml:space="preserve">Pokud jste přípravek Humira </w:t>
      </w:r>
      <w:r w:rsidR="00D32374" w:rsidRPr="001B4A02">
        <w:t>po</w:t>
      </w:r>
      <w:r w:rsidRPr="001B4A02">
        <w:t>užívala během těhotenství, může být Vaše dítě náchylnější k infekcím po dobu přibližně pěti měsíců poté, co jste dostala poslední dávku přípravku Humira v</w:t>
      </w:r>
      <w:r w:rsidR="000928E6" w:rsidRPr="001B4A02">
        <w:t> </w:t>
      </w:r>
      <w:r w:rsidRPr="001B4A02">
        <w:t>průběhu těhotenství. Je důležité, abyste oznámila lékaři Vašeho dítěte</w:t>
      </w:r>
      <w:r w:rsidR="002378E0">
        <w:t xml:space="preserve"> a </w:t>
      </w:r>
      <w:r w:rsidRPr="001B4A02">
        <w:t>jiným zdravotnickým pracovníkům, že Vám byl přípravek Humira v těhotenství podáván, aby se na základě této informace mohli rozhodnout, kdy je vhodné Vaše dítě očkovat.</w:t>
      </w:r>
    </w:p>
    <w:p w14:paraId="0E9DCE81" w14:textId="77777777" w:rsidR="0051746B" w:rsidRPr="001B4A02" w:rsidRDefault="0051746B" w:rsidP="00ED48A3">
      <w:pPr>
        <w:tabs>
          <w:tab w:val="num" w:pos="540"/>
        </w:tabs>
      </w:pPr>
    </w:p>
    <w:p w14:paraId="5707EDA0" w14:textId="77777777" w:rsidR="0051746B" w:rsidRPr="001B4A02" w:rsidRDefault="00000000" w:rsidP="00ED48A3">
      <w:pPr>
        <w:keepNext/>
        <w:tabs>
          <w:tab w:val="num" w:pos="540"/>
        </w:tabs>
        <w:rPr>
          <w:u w:val="single"/>
        </w:rPr>
      </w:pPr>
      <w:r w:rsidRPr="001B4A02">
        <w:rPr>
          <w:u w:val="single"/>
        </w:rPr>
        <w:t>Srdeční selhání</w:t>
      </w:r>
    </w:p>
    <w:p w14:paraId="6633E6E5" w14:textId="77777777" w:rsidR="0051746B" w:rsidRPr="001B4A02" w:rsidRDefault="0051746B" w:rsidP="00ED48A3">
      <w:pPr>
        <w:keepNext/>
        <w:tabs>
          <w:tab w:val="num" w:pos="540"/>
        </w:tabs>
      </w:pPr>
    </w:p>
    <w:p w14:paraId="702DBBE0" w14:textId="77777777" w:rsidR="00FE093B" w:rsidRPr="001B4A02" w:rsidRDefault="00000000" w:rsidP="00B20827">
      <w:pPr>
        <w:numPr>
          <w:ilvl w:val="0"/>
          <w:numId w:val="15"/>
        </w:numPr>
        <w:tabs>
          <w:tab w:val="clear" w:pos="720"/>
        </w:tabs>
        <w:ind w:left="567" w:hanging="567"/>
      </w:pPr>
      <w:r w:rsidRPr="001B4A02">
        <w:t>Pokud se u Vás vyskytuje mírné srdeční selhávání</w:t>
      </w:r>
      <w:r w:rsidR="002378E0">
        <w:t xml:space="preserve"> a </w:t>
      </w:r>
      <w:r w:rsidRPr="001B4A02">
        <w:t>jste léčen(a) přípravkem Humira, musí být lékařem pečlivě sledován stav Vašeho srdce. Je důležité, abyste sdělil(a) svému lékaři, že se u Vás vyskytly nebo se v současné době vyskytují závažné problémy se srdcem. Pokud se u Vás vyskytnou nové nebo se zhorší již stávající známky srdečního selhávání (např. dýchavičnost nebo otoky dolních končetin), musíte ihned kontaktovat svého lékaře. Váš lékař rozhodne, zda máte používat přípravek Humira</w:t>
      </w:r>
      <w:r w:rsidR="0051746B" w:rsidRPr="001B4A02">
        <w:t>.</w:t>
      </w:r>
    </w:p>
    <w:p w14:paraId="258D74AA" w14:textId="77777777" w:rsidR="0051746B" w:rsidRPr="001B4A02" w:rsidRDefault="0051746B" w:rsidP="00B20827">
      <w:pPr>
        <w:tabs>
          <w:tab w:val="left" w:pos="1276"/>
        </w:tabs>
        <w:ind w:left="0" w:firstLine="0"/>
      </w:pPr>
    </w:p>
    <w:p w14:paraId="3EC17400" w14:textId="77777777" w:rsidR="00AF57C0" w:rsidRPr="001B4A02" w:rsidRDefault="00000000" w:rsidP="00507DAA">
      <w:pPr>
        <w:rPr>
          <w:u w:val="single"/>
        </w:rPr>
      </w:pPr>
      <w:r w:rsidRPr="001B4A02">
        <w:rPr>
          <w:u w:val="single"/>
        </w:rPr>
        <w:t>Horečka, modřiny</w:t>
      </w:r>
      <w:r w:rsidR="00557B58">
        <w:rPr>
          <w:u w:val="single"/>
        </w:rPr>
        <w:t>, krvácení</w:t>
      </w:r>
      <w:r w:rsidRPr="001B4A02">
        <w:rPr>
          <w:u w:val="single"/>
        </w:rPr>
        <w:t xml:space="preserve"> nebo bledost</w:t>
      </w:r>
    </w:p>
    <w:p w14:paraId="1E8C0077" w14:textId="77777777" w:rsidR="0051746B" w:rsidRPr="001B4A02" w:rsidRDefault="0051746B" w:rsidP="00507DAA"/>
    <w:p w14:paraId="7BFA8E3F" w14:textId="77777777" w:rsidR="0051746B" w:rsidRPr="001B4A02" w:rsidRDefault="00000000" w:rsidP="007C5EA6">
      <w:pPr>
        <w:numPr>
          <w:ilvl w:val="0"/>
          <w:numId w:val="8"/>
        </w:numPr>
        <w:tabs>
          <w:tab w:val="clear" w:pos="720"/>
        </w:tabs>
        <w:ind w:left="567" w:hanging="567"/>
      </w:pPr>
      <w:r w:rsidRPr="001B4A02">
        <w:rPr>
          <w:bCs/>
          <w:szCs w:val="22"/>
        </w:rPr>
        <w:t>U některých pacientů nemusí tělo vytvářet dostatek kr</w:t>
      </w:r>
      <w:r w:rsidR="00C670F4" w:rsidRPr="001B4A02">
        <w:rPr>
          <w:bCs/>
          <w:szCs w:val="22"/>
        </w:rPr>
        <w:t>vinek</w:t>
      </w:r>
      <w:r w:rsidRPr="001B4A02">
        <w:rPr>
          <w:bCs/>
          <w:szCs w:val="22"/>
        </w:rPr>
        <w:t>, které bojují</w:t>
      </w:r>
      <w:r w:rsidR="00BF5B99" w:rsidRPr="001B4A02">
        <w:rPr>
          <w:bCs/>
          <w:szCs w:val="22"/>
        </w:rPr>
        <w:t xml:space="preserve"> </w:t>
      </w:r>
      <w:r w:rsidRPr="001B4A02">
        <w:rPr>
          <w:bCs/>
          <w:szCs w:val="22"/>
        </w:rPr>
        <w:t>s infekcemi nebo pomáhají zastavit krvácení</w:t>
      </w:r>
      <w:r w:rsidR="00C670F4" w:rsidRPr="001B4A02">
        <w:rPr>
          <w:bCs/>
          <w:szCs w:val="22"/>
        </w:rPr>
        <w:t>.</w:t>
      </w:r>
      <w:r w:rsidRPr="001B4A02">
        <w:rPr>
          <w:bCs/>
          <w:szCs w:val="22"/>
        </w:rPr>
        <w:t xml:space="preserve"> Váš lékař se může rozhodnout ukončit léčbu. Jestliže máte horečku, která neodeznívá, modřiny nebo snadno krvácí</w:t>
      </w:r>
      <w:r w:rsidR="00B2623D" w:rsidRPr="001B4A02">
        <w:rPr>
          <w:bCs/>
          <w:szCs w:val="22"/>
        </w:rPr>
        <w:t>te</w:t>
      </w:r>
      <w:r w:rsidRPr="001B4A02">
        <w:rPr>
          <w:bCs/>
          <w:szCs w:val="22"/>
        </w:rPr>
        <w:t>, případně jste velmi bledý</w:t>
      </w:r>
      <w:r w:rsidR="00B2623D" w:rsidRPr="001B4A02">
        <w:rPr>
          <w:bCs/>
          <w:szCs w:val="22"/>
        </w:rPr>
        <w:t>(</w:t>
      </w:r>
      <w:r w:rsidRPr="001B4A02">
        <w:rPr>
          <w:bCs/>
          <w:szCs w:val="22"/>
        </w:rPr>
        <w:t>á</w:t>
      </w:r>
      <w:r w:rsidR="00B2623D" w:rsidRPr="001B4A02">
        <w:rPr>
          <w:bCs/>
          <w:szCs w:val="22"/>
        </w:rPr>
        <w:t>)</w:t>
      </w:r>
      <w:r w:rsidRPr="001B4A02">
        <w:rPr>
          <w:bCs/>
          <w:szCs w:val="22"/>
        </w:rPr>
        <w:t>, ihned se spojte s lékařem.</w:t>
      </w:r>
    </w:p>
    <w:p w14:paraId="56300FDB" w14:textId="77777777" w:rsidR="0051746B" w:rsidRPr="001B4A02" w:rsidRDefault="0051746B" w:rsidP="00507DAA">
      <w:pPr>
        <w:ind w:left="0" w:firstLine="0"/>
      </w:pPr>
    </w:p>
    <w:p w14:paraId="0CDD1FE6" w14:textId="77777777" w:rsidR="0051746B" w:rsidRPr="001B4A02" w:rsidRDefault="00000000" w:rsidP="00ED48A3">
      <w:pPr>
        <w:ind w:left="0" w:firstLine="0"/>
        <w:rPr>
          <w:u w:val="single"/>
        </w:rPr>
      </w:pPr>
      <w:r w:rsidRPr="001B4A02">
        <w:rPr>
          <w:u w:val="single"/>
        </w:rPr>
        <w:t>Rakovina</w:t>
      </w:r>
    </w:p>
    <w:p w14:paraId="1A1D7E25" w14:textId="77777777" w:rsidR="0051746B" w:rsidRPr="001B4A02" w:rsidRDefault="0051746B" w:rsidP="00ED48A3">
      <w:pPr>
        <w:ind w:left="0" w:firstLine="0"/>
      </w:pPr>
    </w:p>
    <w:p w14:paraId="787CFEC5" w14:textId="77777777" w:rsidR="00FE093B" w:rsidRPr="001B4A02" w:rsidRDefault="00000000" w:rsidP="00ED48A3">
      <w:pPr>
        <w:pStyle w:val="EndnoteText"/>
        <w:numPr>
          <w:ilvl w:val="0"/>
          <w:numId w:val="8"/>
        </w:numPr>
        <w:tabs>
          <w:tab w:val="clear" w:pos="720"/>
          <w:tab w:val="num" w:pos="0"/>
        </w:tabs>
        <w:ind w:left="567" w:hanging="567"/>
        <w:rPr>
          <w:bCs/>
          <w:szCs w:val="22"/>
          <w:lang w:val="cs-CZ"/>
        </w:rPr>
      </w:pPr>
      <w:r w:rsidRPr="001B4A02">
        <w:rPr>
          <w:bCs/>
          <w:szCs w:val="22"/>
          <w:lang w:val="cs-CZ"/>
        </w:rPr>
        <w:t>U dětských i dospělých pacientů léčených přípravkem Humira nebo jinými blokátory TNF byly popsány velmi vzácné případy výskytu určitých typů rakoviny.</w:t>
      </w:r>
    </w:p>
    <w:p w14:paraId="6E46C7A5" w14:textId="77777777" w:rsidR="0051746B" w:rsidRPr="001B4A02" w:rsidRDefault="0051746B" w:rsidP="00B12121">
      <w:pPr>
        <w:pStyle w:val="EndnoteText"/>
        <w:ind w:left="0" w:firstLine="0"/>
        <w:rPr>
          <w:bCs/>
          <w:szCs w:val="22"/>
          <w:lang w:val="cs-CZ"/>
        </w:rPr>
      </w:pPr>
    </w:p>
    <w:p w14:paraId="2C65FD5A" w14:textId="77777777" w:rsidR="00FE093B" w:rsidRPr="001B4A02" w:rsidRDefault="00000000" w:rsidP="00ED48A3">
      <w:pPr>
        <w:numPr>
          <w:ilvl w:val="0"/>
          <w:numId w:val="15"/>
        </w:numPr>
        <w:tabs>
          <w:tab w:val="clear" w:pos="720"/>
          <w:tab w:val="num" w:pos="786"/>
          <w:tab w:val="left" w:pos="1276"/>
        </w:tabs>
        <w:ind w:left="1276" w:hanging="567"/>
      </w:pPr>
      <w:r w:rsidRPr="001B4A02">
        <w:t>Lidé se závažnější formou revmatoidní artritidy, jejichž onemocnění trvá delší dobu, mívají vyšší průměrné riziko vzniku lymfomu (rakovin</w:t>
      </w:r>
      <w:r w:rsidR="00B015D7" w:rsidRPr="001B4A02">
        <w:t>a</w:t>
      </w:r>
      <w:r w:rsidRPr="001B4A02">
        <w:t xml:space="preserve"> postihující mízní systém)</w:t>
      </w:r>
      <w:r w:rsidR="002378E0">
        <w:t xml:space="preserve"> a </w:t>
      </w:r>
      <w:r w:rsidRPr="001B4A02">
        <w:t>leukémie (rakovin</w:t>
      </w:r>
      <w:r w:rsidR="00B015D7" w:rsidRPr="001B4A02">
        <w:t>a</w:t>
      </w:r>
      <w:r w:rsidRPr="001B4A02">
        <w:t xml:space="preserve"> postihující krev</w:t>
      </w:r>
      <w:r w:rsidR="002378E0">
        <w:t xml:space="preserve"> a </w:t>
      </w:r>
      <w:r w:rsidRPr="001B4A02">
        <w:t>kostní dřeň).</w:t>
      </w:r>
    </w:p>
    <w:p w14:paraId="5FB53BA3" w14:textId="77777777" w:rsidR="0051746B" w:rsidRPr="001B4A02" w:rsidRDefault="00000000" w:rsidP="00ED48A3">
      <w:pPr>
        <w:numPr>
          <w:ilvl w:val="0"/>
          <w:numId w:val="15"/>
        </w:numPr>
        <w:tabs>
          <w:tab w:val="clear" w:pos="720"/>
          <w:tab w:val="num" w:pos="786"/>
          <w:tab w:val="left" w:pos="1276"/>
        </w:tabs>
        <w:ind w:left="1276" w:hanging="567"/>
      </w:pPr>
      <w:r w:rsidRPr="001B4A02">
        <w:t xml:space="preserve">Jestliže </w:t>
      </w:r>
      <w:r w:rsidR="00AA40BE" w:rsidRPr="001B4A02">
        <w:t>po</w:t>
      </w:r>
      <w:r w:rsidRPr="001B4A02">
        <w:t>užíváte přípravek Humira, riziko onemocnění lymfomem, leukémií nebo jiným druhem rakoviny může vzrůst. Ve vzácných případech byl u</w:t>
      </w:r>
      <w:r w:rsidR="00B12121" w:rsidRPr="001B4A02">
        <w:t> </w:t>
      </w:r>
      <w:r w:rsidRPr="001B4A02">
        <w:t xml:space="preserve">pacientů </w:t>
      </w:r>
      <w:r w:rsidR="00AA40BE" w:rsidRPr="001B4A02">
        <w:t>po</w:t>
      </w:r>
      <w:r w:rsidRPr="001B4A02">
        <w:t>užívajících přípravek Humira pozorován neobvyklý</w:t>
      </w:r>
      <w:r w:rsidR="002378E0">
        <w:t xml:space="preserve"> a </w:t>
      </w:r>
      <w:r w:rsidRPr="001B4A02">
        <w:t>závažný typ lymfomu. Někteří z těchto pacientů byli také léčeni azathioprinem nebo 6-me</w:t>
      </w:r>
      <w:r w:rsidR="004823B6" w:rsidRPr="001B4A02">
        <w:t>rkaptopurinem.</w:t>
      </w:r>
    </w:p>
    <w:p w14:paraId="46BDC32B" w14:textId="77777777" w:rsidR="008333D3" w:rsidRPr="001B4A02" w:rsidRDefault="00000000" w:rsidP="00ED48A3">
      <w:pPr>
        <w:numPr>
          <w:ilvl w:val="0"/>
          <w:numId w:val="15"/>
        </w:numPr>
        <w:tabs>
          <w:tab w:val="clear" w:pos="720"/>
          <w:tab w:val="num" w:pos="786"/>
          <w:tab w:val="left" w:pos="1276"/>
        </w:tabs>
        <w:ind w:left="1276" w:hanging="567"/>
      </w:pPr>
      <w:r w:rsidRPr="001B4A02">
        <w:t>Oznamte lékaři, pokud užíváte azathioprin nebo 6-merkaptopuri</w:t>
      </w:r>
      <w:r w:rsidR="004823B6" w:rsidRPr="001B4A02">
        <w:t>n současně s přípravkem Humira.</w:t>
      </w:r>
    </w:p>
    <w:p w14:paraId="78F5121F" w14:textId="77777777" w:rsidR="0051746B" w:rsidRPr="001B4A02" w:rsidRDefault="00000000" w:rsidP="00ED48A3">
      <w:pPr>
        <w:numPr>
          <w:ilvl w:val="0"/>
          <w:numId w:val="15"/>
        </w:numPr>
        <w:tabs>
          <w:tab w:val="clear" w:pos="720"/>
          <w:tab w:val="num" w:pos="786"/>
          <w:tab w:val="left" w:pos="1276"/>
        </w:tabs>
        <w:ind w:left="1276" w:hanging="567"/>
      </w:pPr>
      <w:r w:rsidRPr="001B4A02">
        <w:t>U pacientů léčených přípravkem Humira byly pozorovány případy kožn</w:t>
      </w:r>
      <w:r w:rsidR="004823B6" w:rsidRPr="001B4A02">
        <w:t>í rakoviny nemelanomového typu.</w:t>
      </w:r>
    </w:p>
    <w:p w14:paraId="6CC536BB" w14:textId="77777777" w:rsidR="0051746B" w:rsidRPr="001B4A02" w:rsidRDefault="00000000" w:rsidP="00ED48A3">
      <w:pPr>
        <w:numPr>
          <w:ilvl w:val="0"/>
          <w:numId w:val="15"/>
        </w:numPr>
        <w:tabs>
          <w:tab w:val="clear" w:pos="720"/>
          <w:tab w:val="num" w:pos="786"/>
          <w:tab w:val="left" w:pos="1276"/>
        </w:tabs>
        <w:ind w:left="1276" w:hanging="567"/>
      </w:pPr>
      <w:r w:rsidRPr="001B4A02">
        <w:t>Pokud se během léčby nebo po ní objeví nové kožní léze nebo pokud stávající kožní léze změní vzhled, sdělte to lékaři.</w:t>
      </w:r>
    </w:p>
    <w:p w14:paraId="64D18D5B" w14:textId="77777777" w:rsidR="0051746B" w:rsidRPr="001B4A02" w:rsidRDefault="0051746B" w:rsidP="00ED48A3">
      <w:pPr>
        <w:pStyle w:val="EndnoteText"/>
        <w:ind w:left="0" w:firstLine="0"/>
        <w:rPr>
          <w:bCs/>
          <w:szCs w:val="22"/>
          <w:lang w:val="cs-CZ"/>
        </w:rPr>
      </w:pPr>
    </w:p>
    <w:p w14:paraId="5628CBC7" w14:textId="77777777" w:rsidR="0051746B" w:rsidRPr="001B4A02" w:rsidRDefault="00000000" w:rsidP="00ED48A3">
      <w:pPr>
        <w:pStyle w:val="EndnoteText"/>
        <w:numPr>
          <w:ilvl w:val="0"/>
          <w:numId w:val="8"/>
        </w:numPr>
        <w:tabs>
          <w:tab w:val="clear" w:pos="720"/>
          <w:tab w:val="num" w:pos="0"/>
        </w:tabs>
        <w:ind w:left="567" w:hanging="567"/>
        <w:rPr>
          <w:bCs/>
          <w:szCs w:val="22"/>
          <w:lang w:val="cs-CZ"/>
        </w:rPr>
      </w:pPr>
      <w:r w:rsidRPr="001B4A02">
        <w:rPr>
          <w:bCs/>
          <w:szCs w:val="22"/>
          <w:lang w:val="cs-CZ"/>
        </w:rPr>
        <w:t xml:space="preserve">U pacientů se specifickým typem plicního onemocnění zvaným chronická obstrukční choroba plicní (CHOPN), kteří byli léčeni jiným TNF blokátorem, byly hlášeny i případy jiných druhů rakoviny, nežli jsou lymfomy. Jestliže trpíte CHOPN nebo hodně kouříte, </w:t>
      </w:r>
      <w:r w:rsidR="00D70909" w:rsidRPr="001B4A02">
        <w:rPr>
          <w:bCs/>
          <w:szCs w:val="22"/>
          <w:lang w:val="cs-CZ"/>
        </w:rPr>
        <w:t>měl</w:t>
      </w:r>
      <w:r w:rsidR="00D70909">
        <w:rPr>
          <w:bCs/>
          <w:szCs w:val="22"/>
          <w:lang w:val="cs-CZ"/>
        </w:rPr>
        <w:t>(a)</w:t>
      </w:r>
      <w:r w:rsidRPr="001B4A02">
        <w:rPr>
          <w:bCs/>
          <w:szCs w:val="22"/>
          <w:lang w:val="cs-CZ"/>
        </w:rPr>
        <w:t xml:space="preserve"> byste si se svým lékařem</w:t>
      </w:r>
      <w:r w:rsidR="00E84EBF" w:rsidRPr="001B4A02">
        <w:rPr>
          <w:bCs/>
          <w:szCs w:val="22"/>
          <w:lang w:val="cs-CZ"/>
        </w:rPr>
        <w:t xml:space="preserve"> promluvit</w:t>
      </w:r>
      <w:r w:rsidRPr="001B4A02">
        <w:rPr>
          <w:bCs/>
          <w:szCs w:val="22"/>
          <w:lang w:val="cs-CZ"/>
        </w:rPr>
        <w:t>, je</w:t>
      </w:r>
      <w:r w:rsidR="008A637C" w:rsidRPr="001B4A02">
        <w:rPr>
          <w:bCs/>
          <w:szCs w:val="22"/>
          <w:lang w:val="cs-CZ"/>
        </w:rPr>
        <w:t>-</w:t>
      </w:r>
      <w:r w:rsidRPr="001B4A02">
        <w:rPr>
          <w:bCs/>
          <w:szCs w:val="22"/>
          <w:lang w:val="cs-CZ"/>
        </w:rPr>
        <w:t>li pro Vás léčba blokátorem TNF vhodná.</w:t>
      </w:r>
    </w:p>
    <w:p w14:paraId="761E6476" w14:textId="77777777" w:rsidR="00AF57C0" w:rsidRPr="001B4A02" w:rsidRDefault="00AF57C0" w:rsidP="00BF5B99"/>
    <w:p w14:paraId="0700F48A" w14:textId="77777777" w:rsidR="00AF57C0" w:rsidRPr="001B4A02" w:rsidRDefault="00000000" w:rsidP="00AF57C0">
      <w:pPr>
        <w:pStyle w:val="EndnoteText"/>
        <w:ind w:left="0" w:firstLine="0"/>
        <w:rPr>
          <w:bCs/>
          <w:szCs w:val="22"/>
          <w:u w:val="single"/>
          <w:lang w:val="cs-CZ"/>
        </w:rPr>
      </w:pPr>
      <w:r w:rsidRPr="001B4A02">
        <w:rPr>
          <w:bCs/>
          <w:szCs w:val="22"/>
          <w:u w:val="single"/>
          <w:lang w:val="cs-CZ"/>
        </w:rPr>
        <w:t>Autoimunitní onemocnění</w:t>
      </w:r>
    </w:p>
    <w:p w14:paraId="4AB1F460" w14:textId="77777777" w:rsidR="00AF57C0" w:rsidRPr="001B4A02" w:rsidRDefault="00AF57C0" w:rsidP="00AF57C0"/>
    <w:p w14:paraId="27F8E117" w14:textId="77777777" w:rsidR="00AF57C0" w:rsidRPr="001B4A02" w:rsidRDefault="00000000" w:rsidP="00C806C1">
      <w:pPr>
        <w:numPr>
          <w:ilvl w:val="0"/>
          <w:numId w:val="252"/>
        </w:numPr>
        <w:ind w:left="567" w:hanging="567"/>
      </w:pPr>
      <w:r w:rsidRPr="001B4A02">
        <w:t>Vzácně může vést léčba přípravkem Humira k </w:t>
      </w:r>
      <w:r w:rsidR="00744B46" w:rsidRPr="001B4A02">
        <w:t>příznakům podobajícím se onemocnění zvanému</w:t>
      </w:r>
      <w:r w:rsidRPr="001B4A02">
        <w:t xml:space="preserve"> lupus. Pokud se objeví</w:t>
      </w:r>
      <w:r w:rsidR="00C806C1" w:rsidRPr="001B4A02">
        <w:t xml:space="preserve"> </w:t>
      </w:r>
      <w:r w:rsidRPr="001B4A02">
        <w:t xml:space="preserve">příznaky, jako je trvalá nevysvětlitelná </w:t>
      </w:r>
      <w:r w:rsidR="007815F1">
        <w:t xml:space="preserve">vyrážka, </w:t>
      </w:r>
      <w:r w:rsidRPr="001B4A02">
        <w:t>horečka, bolest kloubů nebo únava, kontaktujte svého lékaře.</w:t>
      </w:r>
    </w:p>
    <w:p w14:paraId="11DFFD82" w14:textId="77777777" w:rsidR="00AF57C0" w:rsidRPr="001B4A02" w:rsidRDefault="00AF57C0" w:rsidP="00BF5B99"/>
    <w:p w14:paraId="590D2902" w14:textId="77777777" w:rsidR="008D112A" w:rsidRPr="001B4A02" w:rsidRDefault="008D112A" w:rsidP="00ED48A3">
      <w:pPr>
        <w:pStyle w:val="EMEANormal"/>
        <w:rPr>
          <w:highlight w:val="yellow"/>
          <w:lang w:val="cs-CZ"/>
        </w:rPr>
      </w:pPr>
    </w:p>
    <w:p w14:paraId="68EB2830" w14:textId="77777777" w:rsidR="0051746B" w:rsidRPr="001B4A02" w:rsidRDefault="00000000" w:rsidP="00ED48A3">
      <w:pPr>
        <w:pStyle w:val="EndnoteText"/>
        <w:ind w:left="0" w:firstLine="0"/>
        <w:rPr>
          <w:b/>
          <w:bCs/>
          <w:szCs w:val="22"/>
          <w:lang w:val="cs-CZ"/>
        </w:rPr>
      </w:pPr>
      <w:r w:rsidRPr="001B4A02">
        <w:rPr>
          <w:b/>
          <w:bCs/>
          <w:szCs w:val="22"/>
          <w:lang w:val="cs-CZ"/>
        </w:rPr>
        <w:t>Děti</w:t>
      </w:r>
      <w:r w:rsidR="002378E0">
        <w:rPr>
          <w:b/>
          <w:bCs/>
          <w:szCs w:val="22"/>
          <w:lang w:val="cs-CZ"/>
        </w:rPr>
        <w:t xml:space="preserve"> a </w:t>
      </w:r>
      <w:r w:rsidRPr="001B4A02">
        <w:rPr>
          <w:b/>
          <w:bCs/>
          <w:szCs w:val="22"/>
          <w:lang w:val="cs-CZ"/>
        </w:rPr>
        <w:t>dospívající</w:t>
      </w:r>
    </w:p>
    <w:p w14:paraId="207199F3" w14:textId="77777777" w:rsidR="0051746B" w:rsidRPr="001B4A02" w:rsidRDefault="0051746B" w:rsidP="00ED48A3">
      <w:pPr>
        <w:pStyle w:val="EndnoteText"/>
        <w:ind w:left="0" w:firstLine="0"/>
        <w:rPr>
          <w:bCs/>
          <w:szCs w:val="22"/>
          <w:lang w:val="cs-CZ"/>
        </w:rPr>
      </w:pPr>
    </w:p>
    <w:p w14:paraId="412BB0F4" w14:textId="77777777" w:rsidR="008D112A" w:rsidRPr="001B4A02" w:rsidRDefault="00000000" w:rsidP="00ED48A3">
      <w:pPr>
        <w:pStyle w:val="EMEANormal"/>
        <w:numPr>
          <w:ilvl w:val="0"/>
          <w:numId w:val="222"/>
        </w:numPr>
        <w:ind w:left="567" w:hanging="567"/>
        <w:rPr>
          <w:bCs/>
          <w:szCs w:val="22"/>
          <w:lang w:val="cs-CZ"/>
        </w:rPr>
      </w:pPr>
      <w:r w:rsidRPr="001B4A02">
        <w:rPr>
          <w:bCs/>
          <w:szCs w:val="22"/>
          <w:lang w:val="cs-CZ"/>
        </w:rPr>
        <w:t>Očkování: pokud je to možné, mělo by být Vaše dítě</w:t>
      </w:r>
      <w:r w:rsidR="00E84EBF" w:rsidRPr="001B4A02">
        <w:rPr>
          <w:bCs/>
          <w:szCs w:val="22"/>
          <w:lang w:val="cs-CZ"/>
        </w:rPr>
        <w:t xml:space="preserve"> očkováno</w:t>
      </w:r>
      <w:r w:rsidRPr="001B4A02">
        <w:rPr>
          <w:bCs/>
          <w:szCs w:val="22"/>
          <w:lang w:val="cs-CZ"/>
        </w:rPr>
        <w:t xml:space="preserve"> ještě předtím, než začne</w:t>
      </w:r>
      <w:r w:rsidR="00213F4A" w:rsidRPr="001B4A02">
        <w:rPr>
          <w:bCs/>
          <w:szCs w:val="22"/>
          <w:lang w:val="cs-CZ"/>
        </w:rPr>
        <w:t xml:space="preserve"> </w:t>
      </w:r>
      <w:r w:rsidRPr="001B4A02">
        <w:rPr>
          <w:bCs/>
          <w:szCs w:val="22"/>
          <w:lang w:val="cs-CZ"/>
        </w:rPr>
        <w:t xml:space="preserve">přípravek Humira </w:t>
      </w:r>
      <w:r w:rsidR="00D32374" w:rsidRPr="001B4A02">
        <w:rPr>
          <w:bCs/>
          <w:szCs w:val="22"/>
          <w:lang w:val="cs-CZ"/>
        </w:rPr>
        <w:t>po</w:t>
      </w:r>
      <w:r w:rsidRPr="001B4A02">
        <w:rPr>
          <w:bCs/>
          <w:szCs w:val="22"/>
          <w:lang w:val="cs-CZ"/>
        </w:rPr>
        <w:t>užívat.</w:t>
      </w:r>
    </w:p>
    <w:p w14:paraId="44306AE4" w14:textId="77777777" w:rsidR="0051746B" w:rsidRPr="001B4A02" w:rsidRDefault="0051746B" w:rsidP="00ED48A3">
      <w:pPr>
        <w:pStyle w:val="EMEANormal"/>
        <w:rPr>
          <w:bCs/>
          <w:szCs w:val="22"/>
          <w:lang w:val="cs-CZ"/>
        </w:rPr>
      </w:pPr>
    </w:p>
    <w:p w14:paraId="10817609" w14:textId="77777777" w:rsidR="0051746B" w:rsidRPr="001B4A02" w:rsidRDefault="00000000" w:rsidP="00ED48A3">
      <w:pPr>
        <w:keepNext/>
        <w:ind w:left="0" w:firstLine="0"/>
        <w:rPr>
          <w:b/>
        </w:rPr>
      </w:pPr>
      <w:r w:rsidRPr="001B4A02">
        <w:rPr>
          <w:b/>
        </w:rPr>
        <w:t>Další léčivé přípravky</w:t>
      </w:r>
      <w:r w:rsidR="002378E0">
        <w:rPr>
          <w:b/>
        </w:rPr>
        <w:t xml:space="preserve"> a </w:t>
      </w:r>
      <w:r w:rsidRPr="001B4A02">
        <w:rPr>
          <w:b/>
        </w:rPr>
        <w:t>přípravek Humira</w:t>
      </w:r>
    </w:p>
    <w:p w14:paraId="5199FC81" w14:textId="77777777" w:rsidR="0051746B" w:rsidRPr="001B4A02" w:rsidRDefault="0051746B" w:rsidP="00ED48A3">
      <w:pPr>
        <w:pStyle w:val="EMEANormal"/>
        <w:keepNext/>
        <w:rPr>
          <w:highlight w:val="yellow"/>
          <w:lang w:val="cs-CZ"/>
        </w:rPr>
      </w:pPr>
    </w:p>
    <w:p w14:paraId="1B78B469" w14:textId="77777777" w:rsidR="0051746B" w:rsidRPr="001B4A02" w:rsidRDefault="00000000" w:rsidP="00ED48A3">
      <w:pPr>
        <w:ind w:left="0" w:firstLine="0"/>
      </w:pPr>
      <w:r w:rsidRPr="001B4A02">
        <w:t>Informujte svého lékaře nebo lékárníka o</w:t>
      </w:r>
      <w:r w:rsidR="00063784" w:rsidRPr="001B4A02">
        <w:t> </w:t>
      </w:r>
      <w:r w:rsidRPr="001B4A02">
        <w:t>všech lécích, které užíváte, které jste v nedávné době užíval(a) nebo které možná bude</w:t>
      </w:r>
      <w:r w:rsidR="00AA40BE" w:rsidRPr="001B4A02">
        <w:t>te</w:t>
      </w:r>
      <w:r w:rsidRPr="001B4A02">
        <w:t xml:space="preserve"> užívat.</w:t>
      </w:r>
    </w:p>
    <w:p w14:paraId="00ADE7EE" w14:textId="77777777" w:rsidR="0051746B" w:rsidRPr="001B4A02" w:rsidRDefault="0051746B" w:rsidP="00ED48A3">
      <w:pPr>
        <w:ind w:left="0" w:firstLine="0"/>
      </w:pPr>
    </w:p>
    <w:p w14:paraId="2AA74963" w14:textId="77777777" w:rsidR="0051746B" w:rsidRPr="001B4A02" w:rsidRDefault="00000000" w:rsidP="00ED48A3">
      <w:pPr>
        <w:ind w:left="0" w:firstLine="0"/>
      </w:pPr>
      <w:r w:rsidRPr="001B4A02">
        <w:t xml:space="preserve">Přípravek Humira </w:t>
      </w:r>
      <w:r w:rsidR="001C561A" w:rsidRPr="001B4A02">
        <w:t>nesmíte</w:t>
      </w:r>
      <w:r w:rsidR="008B3392" w:rsidRPr="001B4A02">
        <w:t xml:space="preserve"> z důvodu </w:t>
      </w:r>
      <w:r w:rsidR="008B3392" w:rsidRPr="001B4A02">
        <w:rPr>
          <w:bCs/>
          <w:szCs w:val="22"/>
        </w:rPr>
        <w:t>zvýšeného rizika závažné infekce</w:t>
      </w:r>
      <w:r w:rsidRPr="001B4A02">
        <w:t xml:space="preserve"> </w:t>
      </w:r>
      <w:r w:rsidR="00D32374" w:rsidRPr="001B4A02">
        <w:t>po</w:t>
      </w:r>
      <w:r w:rsidRPr="001B4A02">
        <w:t>užívat s</w:t>
      </w:r>
      <w:r w:rsidR="001C561A" w:rsidRPr="001B4A02">
        <w:t> </w:t>
      </w:r>
      <w:r w:rsidRPr="001B4A02">
        <w:t>léky</w:t>
      </w:r>
      <w:r w:rsidR="001C561A" w:rsidRPr="001B4A02">
        <w:t>, které</w:t>
      </w:r>
      <w:r w:rsidRPr="001B4A02">
        <w:t xml:space="preserve"> obsahují</w:t>
      </w:r>
      <w:r w:rsidR="00075234" w:rsidRPr="001B4A02">
        <w:t xml:space="preserve"> následující</w:t>
      </w:r>
      <w:r w:rsidRPr="001B4A02">
        <w:t xml:space="preserve"> léčivé látky:</w:t>
      </w:r>
    </w:p>
    <w:p w14:paraId="6EB73015" w14:textId="77777777" w:rsidR="0051746B" w:rsidRPr="001B4A02" w:rsidRDefault="00000000" w:rsidP="00ED48A3">
      <w:pPr>
        <w:numPr>
          <w:ilvl w:val="0"/>
          <w:numId w:val="222"/>
        </w:numPr>
        <w:ind w:left="567" w:hanging="567"/>
      </w:pPr>
      <w:r w:rsidRPr="001B4A02">
        <w:t>anakinra</w:t>
      </w:r>
    </w:p>
    <w:p w14:paraId="04BC8829" w14:textId="77777777" w:rsidR="0051746B" w:rsidRPr="001B4A02" w:rsidRDefault="00000000" w:rsidP="00ED48A3">
      <w:pPr>
        <w:numPr>
          <w:ilvl w:val="0"/>
          <w:numId w:val="222"/>
        </w:numPr>
        <w:ind w:left="567" w:hanging="567"/>
      </w:pPr>
      <w:r w:rsidRPr="001B4A02">
        <w:t>abatacept.</w:t>
      </w:r>
    </w:p>
    <w:p w14:paraId="4FC045C4" w14:textId="77777777" w:rsidR="0051746B" w:rsidRPr="001B4A02" w:rsidRDefault="0051746B" w:rsidP="00ED48A3">
      <w:pPr>
        <w:ind w:left="0" w:firstLine="0"/>
      </w:pPr>
    </w:p>
    <w:p w14:paraId="1E4144E0" w14:textId="77777777" w:rsidR="0051746B" w:rsidRPr="001B4A02" w:rsidRDefault="00000000" w:rsidP="00ED48A3">
      <w:pPr>
        <w:ind w:left="0" w:firstLine="0"/>
      </w:pPr>
      <w:r w:rsidRPr="001B4A02">
        <w:t xml:space="preserve">Přípravek Humira lze </w:t>
      </w:r>
      <w:r w:rsidR="00D32374" w:rsidRPr="001B4A02">
        <w:t>po</w:t>
      </w:r>
      <w:r w:rsidRPr="001B4A02">
        <w:t>užívat společně s:</w:t>
      </w:r>
    </w:p>
    <w:p w14:paraId="48FC0297" w14:textId="77777777" w:rsidR="00FE093B" w:rsidRPr="001B4A02" w:rsidRDefault="00000000" w:rsidP="00ED48A3">
      <w:pPr>
        <w:numPr>
          <w:ilvl w:val="0"/>
          <w:numId w:val="8"/>
        </w:numPr>
        <w:tabs>
          <w:tab w:val="clear" w:pos="720"/>
        </w:tabs>
        <w:ind w:left="567" w:hanging="567"/>
      </w:pPr>
      <w:r w:rsidRPr="001B4A02">
        <w:t>methotrexátem</w:t>
      </w:r>
    </w:p>
    <w:p w14:paraId="06FC440F" w14:textId="77777777" w:rsidR="0051746B" w:rsidRPr="001B4A02" w:rsidRDefault="00000000" w:rsidP="00ED48A3">
      <w:pPr>
        <w:numPr>
          <w:ilvl w:val="0"/>
          <w:numId w:val="8"/>
        </w:numPr>
        <w:tabs>
          <w:tab w:val="clear" w:pos="720"/>
        </w:tabs>
        <w:ind w:left="567" w:hanging="567"/>
      </w:pPr>
      <w:r w:rsidRPr="001B4A02">
        <w:t>některými chorobu modifikujícími antirevmatiky (například sulfasalazin, hydroxychlorochin, leflunomid</w:t>
      </w:r>
      <w:r w:rsidR="002378E0">
        <w:t xml:space="preserve"> a </w:t>
      </w:r>
      <w:r w:rsidRPr="001B4A02">
        <w:t>injekční přípravky s obsahem solí zlata)</w:t>
      </w:r>
    </w:p>
    <w:p w14:paraId="16CBA7D4" w14:textId="77777777" w:rsidR="0051746B" w:rsidRPr="001B4A02" w:rsidRDefault="00000000" w:rsidP="00ED48A3">
      <w:pPr>
        <w:numPr>
          <w:ilvl w:val="0"/>
          <w:numId w:val="8"/>
        </w:numPr>
        <w:tabs>
          <w:tab w:val="clear" w:pos="720"/>
        </w:tabs>
        <w:ind w:left="567" w:hanging="567"/>
      </w:pPr>
      <w:r w:rsidRPr="001B4A02">
        <w:t>steroidy nebo léky proti bolestem,</w:t>
      </w:r>
      <w:r w:rsidR="002378E0">
        <w:t xml:space="preserve"> a </w:t>
      </w:r>
      <w:r w:rsidRPr="001B4A02">
        <w:t>to i s nesteroidními antirevmatiky (NSAID).</w:t>
      </w:r>
    </w:p>
    <w:p w14:paraId="1DF22238" w14:textId="77777777" w:rsidR="0051746B" w:rsidRPr="001B4A02" w:rsidRDefault="0051746B" w:rsidP="00ED48A3">
      <w:pPr>
        <w:pStyle w:val="EMEANormal"/>
        <w:tabs>
          <w:tab w:val="clear" w:pos="562"/>
        </w:tabs>
        <w:suppressAutoHyphens w:val="0"/>
        <w:rPr>
          <w:lang w:val="cs-CZ"/>
        </w:rPr>
      </w:pPr>
    </w:p>
    <w:p w14:paraId="6D178CA4" w14:textId="77777777" w:rsidR="008D112A" w:rsidRPr="001B4A02" w:rsidRDefault="00000000" w:rsidP="00ED48A3">
      <w:pPr>
        <w:pStyle w:val="EMEANormal"/>
        <w:rPr>
          <w:lang w:val="cs-CZ"/>
        </w:rPr>
      </w:pPr>
      <w:r w:rsidRPr="001B4A02">
        <w:rPr>
          <w:bCs/>
          <w:szCs w:val="22"/>
          <w:lang w:val="cs-CZ"/>
        </w:rPr>
        <w:t>Máte-li nějaké dotazy, zeptejte se prosím svého lékaře.</w:t>
      </w:r>
    </w:p>
    <w:p w14:paraId="3B7B68AA" w14:textId="77777777" w:rsidR="008D112A" w:rsidRPr="001B4A02" w:rsidRDefault="008D112A" w:rsidP="00ED48A3">
      <w:pPr>
        <w:pStyle w:val="EMEANormal"/>
        <w:rPr>
          <w:lang w:val="cs-CZ"/>
        </w:rPr>
      </w:pPr>
    </w:p>
    <w:p w14:paraId="086B099E" w14:textId="77777777" w:rsidR="00E75D56" w:rsidRPr="001B4A02" w:rsidRDefault="00000000" w:rsidP="00ED48A3">
      <w:pPr>
        <w:rPr>
          <w:b/>
        </w:rPr>
      </w:pPr>
      <w:r w:rsidRPr="001B4A02">
        <w:rPr>
          <w:b/>
        </w:rPr>
        <w:t>Těhotenství</w:t>
      </w:r>
      <w:r w:rsidR="002378E0">
        <w:rPr>
          <w:b/>
        </w:rPr>
        <w:t xml:space="preserve"> a </w:t>
      </w:r>
      <w:r w:rsidRPr="001B4A02">
        <w:rPr>
          <w:b/>
        </w:rPr>
        <w:t>kojení</w:t>
      </w:r>
    </w:p>
    <w:p w14:paraId="0D5CAD4C" w14:textId="77777777" w:rsidR="008D112A" w:rsidRPr="001B4A02" w:rsidRDefault="008D112A" w:rsidP="00ED48A3">
      <w:pPr>
        <w:pStyle w:val="EMEANormal"/>
        <w:keepNext/>
        <w:rPr>
          <w:lang w:val="cs-CZ"/>
        </w:rPr>
      </w:pPr>
    </w:p>
    <w:p w14:paraId="3770E73F" w14:textId="77777777" w:rsidR="002C7B91" w:rsidRDefault="00000000" w:rsidP="002C7B91">
      <w:pPr>
        <w:pStyle w:val="ListParagraph"/>
        <w:numPr>
          <w:ilvl w:val="0"/>
          <w:numId w:val="268"/>
        </w:numPr>
      </w:pPr>
      <w:r>
        <w:t>Máte zvážit použití vhodné antikoncepce k prevenci těhotenství</w:t>
      </w:r>
      <w:r w:rsidR="002378E0">
        <w:t xml:space="preserve"> a </w:t>
      </w:r>
      <w:r>
        <w:t>pokračovat v jejím užívání</w:t>
      </w:r>
      <w:r w:rsidRPr="001B4A02">
        <w:t xml:space="preserve"> po dobu nejméně pěti měsíců po posledním podání přípravku Humira.</w:t>
      </w:r>
    </w:p>
    <w:p w14:paraId="01641CEE" w14:textId="77777777" w:rsidR="002C7B91" w:rsidRDefault="00000000" w:rsidP="002C7B91">
      <w:pPr>
        <w:pStyle w:val="ListParagraph"/>
        <w:numPr>
          <w:ilvl w:val="0"/>
          <w:numId w:val="266"/>
        </w:numPr>
      </w:pPr>
      <w:r>
        <w:t>Pokud jste těhotná, domníváte se, že můžete být těhotná</w:t>
      </w:r>
      <w:r w:rsidR="00196227">
        <w:t>,</w:t>
      </w:r>
      <w:r>
        <w:t xml:space="preserve"> nebo plánujete otěhotnět, požádejte svého lékaře o</w:t>
      </w:r>
      <w:r w:rsidR="00563486">
        <w:t> </w:t>
      </w:r>
      <w:r>
        <w:t>doporučení týkající se užívání tohoto přípravku.</w:t>
      </w:r>
    </w:p>
    <w:p w14:paraId="78B67D0C" w14:textId="77777777" w:rsidR="002C7B91" w:rsidRDefault="00000000" w:rsidP="002C7B91">
      <w:pPr>
        <w:pStyle w:val="ListParagraph"/>
        <w:numPr>
          <w:ilvl w:val="0"/>
          <w:numId w:val="266"/>
        </w:numPr>
      </w:pPr>
      <w:r>
        <w:t>Přípravek Humira má být užíván během těhotenství pouze tehdy, je-li to nezbytně nutné.</w:t>
      </w:r>
    </w:p>
    <w:p w14:paraId="0BE8241C" w14:textId="77777777" w:rsidR="002C7B91" w:rsidRDefault="00000000" w:rsidP="002C7B91">
      <w:pPr>
        <w:pStyle w:val="ListParagraph"/>
        <w:numPr>
          <w:ilvl w:val="0"/>
          <w:numId w:val="266"/>
        </w:numPr>
      </w:pPr>
      <w:r>
        <w:t>Na základě studie prováděné u</w:t>
      </w:r>
      <w:r w:rsidR="00563486">
        <w:t> </w:t>
      </w:r>
      <w:r>
        <w:t>těhotných žen nebylo zjištěno zvýšené riziko vrozených vad, pokud matka během těhotenství užívala přípravek Humira, ve srovnání s matkami se stejným onemocněním, které přípravek Humira neužívaly.</w:t>
      </w:r>
    </w:p>
    <w:p w14:paraId="63BDF0A8" w14:textId="77777777" w:rsidR="002C7B91" w:rsidRDefault="00000000" w:rsidP="002C7B91">
      <w:pPr>
        <w:pStyle w:val="ListParagraph"/>
        <w:numPr>
          <w:ilvl w:val="0"/>
          <w:numId w:val="266"/>
        </w:numPr>
      </w:pPr>
      <w:r>
        <w:t>Přípravek Humira lze podávat během kojení.</w:t>
      </w:r>
    </w:p>
    <w:p w14:paraId="08C63680" w14:textId="77777777" w:rsidR="002C7B91" w:rsidRDefault="00000000" w:rsidP="002C7B91">
      <w:pPr>
        <w:pStyle w:val="ListParagraph"/>
        <w:numPr>
          <w:ilvl w:val="0"/>
          <w:numId w:val="266"/>
        </w:numPr>
      </w:pPr>
      <w:r>
        <w:t>Jestliže jste používala</w:t>
      </w:r>
      <w:r w:rsidRPr="001B4A02">
        <w:t xml:space="preserve"> přípravek Humira během těhotenství, může být </w:t>
      </w:r>
      <w:r>
        <w:t>Vaše</w:t>
      </w:r>
      <w:r w:rsidRPr="001B4A02">
        <w:t xml:space="preserve"> dítě náchylnější k infekcím.</w:t>
      </w:r>
    </w:p>
    <w:p w14:paraId="37257B55" w14:textId="77777777" w:rsidR="002C7B91" w:rsidRDefault="00000000" w:rsidP="002C7B91">
      <w:pPr>
        <w:pStyle w:val="ListParagraph"/>
        <w:numPr>
          <w:ilvl w:val="0"/>
          <w:numId w:val="266"/>
        </w:numPr>
      </w:pPr>
      <w:r w:rsidRPr="001B4A02">
        <w:t>Je důležité, abyste informovala dětského lékaře</w:t>
      </w:r>
      <w:r w:rsidR="002378E0">
        <w:t xml:space="preserve"> a </w:t>
      </w:r>
      <w:r w:rsidRPr="001B4A02">
        <w:t>ostatní zdravotnické pracovníky před očkováním</w:t>
      </w:r>
      <w:r>
        <w:t xml:space="preserve"> Vašeho</w:t>
      </w:r>
      <w:r w:rsidRPr="001B4A02">
        <w:t xml:space="preserve"> dítěte, že </w:t>
      </w:r>
      <w:r>
        <w:t xml:space="preserve">jste </w:t>
      </w:r>
      <w:r w:rsidRPr="001B4A02">
        <w:t>během těhotenství používala přípravek Humira</w:t>
      </w:r>
      <w:r>
        <w:t xml:space="preserve">. </w:t>
      </w:r>
      <w:r w:rsidRPr="001B4A02">
        <w:t xml:space="preserve">Více informací </w:t>
      </w:r>
      <w:r>
        <w:t>týkající</w:t>
      </w:r>
      <w:r w:rsidR="00196227">
        <w:t>ch</w:t>
      </w:r>
      <w:r>
        <w:t xml:space="preserve"> se očkování </w:t>
      </w:r>
      <w:r w:rsidRPr="001B4A02">
        <w:t xml:space="preserve">najdete v části </w:t>
      </w:r>
      <w:r w:rsidR="00563486">
        <w:t>„</w:t>
      </w:r>
      <w:r>
        <w:t>Upozornění</w:t>
      </w:r>
      <w:r w:rsidR="002378E0">
        <w:t xml:space="preserve"> a </w:t>
      </w:r>
      <w:r>
        <w:t>opatření“</w:t>
      </w:r>
      <w:r w:rsidRPr="001B4A02">
        <w:t>.</w:t>
      </w:r>
    </w:p>
    <w:p w14:paraId="33F93383" w14:textId="77777777" w:rsidR="00E75D56" w:rsidRPr="001B4A02" w:rsidRDefault="00E75D56" w:rsidP="0067453A">
      <w:pPr>
        <w:numPr>
          <w:ilvl w:val="12"/>
          <w:numId w:val="0"/>
        </w:numPr>
        <w:ind w:right="-2"/>
      </w:pPr>
    </w:p>
    <w:p w14:paraId="7A39F4F0" w14:textId="77777777" w:rsidR="00E75D56" w:rsidRPr="001B4A02" w:rsidRDefault="00000000" w:rsidP="0067453A">
      <w:pPr>
        <w:pStyle w:val="EMEANormal"/>
        <w:keepNext/>
        <w:tabs>
          <w:tab w:val="clear" w:pos="562"/>
        </w:tabs>
        <w:suppressAutoHyphens w:val="0"/>
        <w:rPr>
          <w:b/>
          <w:bCs/>
          <w:lang w:val="cs-CZ"/>
        </w:rPr>
      </w:pPr>
      <w:r w:rsidRPr="001B4A02">
        <w:rPr>
          <w:b/>
          <w:bCs/>
          <w:lang w:val="cs-CZ"/>
        </w:rPr>
        <w:t>Řízení dopravních prostředků</w:t>
      </w:r>
      <w:r w:rsidR="002378E0">
        <w:rPr>
          <w:b/>
          <w:bCs/>
          <w:lang w:val="cs-CZ"/>
        </w:rPr>
        <w:t xml:space="preserve"> a </w:t>
      </w:r>
      <w:r w:rsidRPr="001B4A02">
        <w:rPr>
          <w:b/>
          <w:bCs/>
          <w:lang w:val="cs-CZ"/>
        </w:rPr>
        <w:t>obsluha strojů</w:t>
      </w:r>
    </w:p>
    <w:p w14:paraId="1C769EEA" w14:textId="77777777" w:rsidR="008D112A" w:rsidRPr="001B4A02" w:rsidRDefault="008D112A" w:rsidP="0067453A">
      <w:pPr>
        <w:keepNext/>
      </w:pPr>
    </w:p>
    <w:p w14:paraId="0DBB3713" w14:textId="77777777" w:rsidR="00E75D56" w:rsidRPr="001B4A02" w:rsidRDefault="00000000" w:rsidP="0067453A">
      <w:pPr>
        <w:numPr>
          <w:ilvl w:val="12"/>
          <w:numId w:val="0"/>
        </w:numPr>
      </w:pPr>
      <w:r w:rsidRPr="001B4A02">
        <w:t xml:space="preserve">Přípravek Humira může mít malý vliv na schopnost řídit, jezdit na kole nebo obsluhovat stroje. Po </w:t>
      </w:r>
      <w:r w:rsidR="00D32374" w:rsidRPr="001B4A02">
        <w:t>po</w:t>
      </w:r>
      <w:r w:rsidRPr="001B4A02">
        <w:t>užití přípravku Humira se může objevit pocit točení hlavy</w:t>
      </w:r>
      <w:r w:rsidR="002378E0">
        <w:t xml:space="preserve"> a </w:t>
      </w:r>
      <w:r w:rsidRPr="001B4A02">
        <w:t>poruchy vidění.</w:t>
      </w:r>
    </w:p>
    <w:p w14:paraId="623C92FD" w14:textId="77777777" w:rsidR="008D112A" w:rsidRDefault="008D112A" w:rsidP="0067453A">
      <w:pPr>
        <w:numPr>
          <w:ilvl w:val="12"/>
          <w:numId w:val="0"/>
        </w:numPr>
        <w:rPr>
          <w:ins w:id="13831" w:author="AbbVie1" w:date="2025-05-13T10:16:00Z"/>
        </w:rPr>
      </w:pPr>
    </w:p>
    <w:p w14:paraId="48DFF1DD" w14:textId="77777777" w:rsidR="00FC50CC" w:rsidRDefault="00000000" w:rsidP="00C60763">
      <w:pPr>
        <w:keepNext/>
        <w:numPr>
          <w:ilvl w:val="12"/>
          <w:numId w:val="0"/>
        </w:numPr>
        <w:jc w:val="both"/>
        <w:rPr>
          <w:ins w:id="13832" w:author="AbbVie1" w:date="2025-05-13T10:16:00Z"/>
          <w:b/>
          <w:bCs/>
        </w:rPr>
      </w:pPr>
      <w:ins w:id="13833" w:author="AbbVie1" w:date="2025-05-13T10:16:00Z">
        <w:r>
          <w:rPr>
            <w:b/>
            <w:bCs/>
          </w:rPr>
          <w:t>Přípravek Humira obsahuje polysorbát</w:t>
        </w:r>
      </w:ins>
    </w:p>
    <w:p w14:paraId="524E9216" w14:textId="77777777" w:rsidR="00FC50CC" w:rsidRPr="00EF1473" w:rsidRDefault="00FC50CC" w:rsidP="00C60763">
      <w:pPr>
        <w:keepNext/>
        <w:numPr>
          <w:ilvl w:val="12"/>
          <w:numId w:val="0"/>
        </w:numPr>
        <w:jc w:val="both"/>
        <w:rPr>
          <w:ins w:id="13834" w:author="AbbVie1" w:date="2025-05-13T10:16:00Z"/>
        </w:rPr>
      </w:pPr>
    </w:p>
    <w:p w14:paraId="2B4737ED" w14:textId="77777777" w:rsidR="00FC50CC" w:rsidRDefault="00000000">
      <w:pPr>
        <w:numPr>
          <w:ilvl w:val="12"/>
          <w:numId w:val="0"/>
        </w:numPr>
        <w:ind w:right="-2"/>
        <w:jc w:val="both"/>
        <w:rPr>
          <w:ins w:id="13835" w:author="Abbvie02" w:date="2025-05-16T12:04:00Z"/>
        </w:rPr>
      </w:pPr>
      <w:ins w:id="13836" w:author="AbbVie1" w:date="2025-05-13T10:16:00Z">
        <w:r>
          <w:t>Tento léčivý přípravek obsahuje 0,</w:t>
        </w:r>
      </w:ins>
      <w:ins w:id="13837" w:author="AbbVie1" w:date="2025-05-13T10:17:00Z">
        <w:r>
          <w:t>8</w:t>
        </w:r>
      </w:ins>
      <w:ins w:id="13838" w:author="AbbVie1" w:date="2025-05-13T10:16:00Z">
        <w:r>
          <w:t xml:space="preserve"> mg polysorbátu 80 v jedné </w:t>
        </w:r>
      </w:ins>
      <w:ins w:id="13839" w:author="AbbVie1" w:date="2025-05-13T10:17:00Z">
        <w:r>
          <w:t>8</w:t>
        </w:r>
      </w:ins>
      <w:ins w:id="13840" w:author="AbbVie1" w:date="2025-05-13T10:16:00Z">
        <w:r>
          <w:t>0mg dávce. Polysorbáty mohou způsobit alergické reakce.</w:t>
        </w:r>
        <w:r w:rsidRPr="0028456C">
          <w:t xml:space="preserve"> Informujte svého lékaře, pokud </w:t>
        </w:r>
        <w:r>
          <w:t>máte</w:t>
        </w:r>
        <w:r w:rsidRPr="0028456C">
          <w:t xml:space="preserve"> jakékoli alergie.</w:t>
        </w:r>
      </w:ins>
    </w:p>
    <w:p w14:paraId="66394215" w14:textId="77777777" w:rsidR="00E0129D" w:rsidRPr="00FC50CC" w:rsidRDefault="00E0129D" w:rsidP="00E0129D">
      <w:pPr>
        <w:numPr>
          <w:ilvl w:val="12"/>
          <w:numId w:val="0"/>
        </w:numPr>
        <w:ind w:right="-2"/>
        <w:jc w:val="both"/>
      </w:pPr>
    </w:p>
    <w:p w14:paraId="3DA9084E" w14:textId="77777777" w:rsidR="006E2C1B" w:rsidRPr="001B4A02" w:rsidRDefault="006E2C1B" w:rsidP="0067453A">
      <w:pPr>
        <w:numPr>
          <w:ilvl w:val="12"/>
          <w:numId w:val="0"/>
        </w:numPr>
      </w:pPr>
    </w:p>
    <w:p w14:paraId="18B068A9" w14:textId="77777777" w:rsidR="008D112A" w:rsidRPr="001B4A02" w:rsidRDefault="00000000" w:rsidP="004B14C0">
      <w:pPr>
        <w:pStyle w:val="EMEAHeading1"/>
        <w:keepNext/>
        <w:spacing w:beforeLines="0" w:afterLines="0"/>
        <w:outlineLvl w:val="1"/>
        <w:rPr>
          <w:rFonts w:ascii="Times New Roman" w:hAnsi="Times New Roman"/>
          <w:caps w:val="0"/>
          <w:lang w:val="cs-CZ"/>
        </w:rPr>
      </w:pPr>
      <w:r w:rsidRPr="001B4A02">
        <w:rPr>
          <w:rFonts w:ascii="Times New Roman" w:hAnsi="Times New Roman"/>
          <w:caps w:val="0"/>
          <w:lang w:val="cs-CZ"/>
        </w:rPr>
        <w:t>3.</w:t>
      </w:r>
      <w:r w:rsidRPr="001B4A02">
        <w:rPr>
          <w:rFonts w:ascii="Times New Roman" w:hAnsi="Times New Roman"/>
          <w:caps w:val="0"/>
          <w:lang w:val="cs-CZ"/>
        </w:rPr>
        <w:tab/>
      </w:r>
      <w:r w:rsidR="00E75D56" w:rsidRPr="001B4A02">
        <w:rPr>
          <w:rFonts w:ascii="Times New Roman" w:hAnsi="Times New Roman"/>
          <w:caps w:val="0"/>
          <w:lang w:val="cs-CZ"/>
        </w:rPr>
        <w:t xml:space="preserve">Jak se přípravek Humira </w:t>
      </w:r>
      <w:r w:rsidR="00D32374" w:rsidRPr="001B4A02">
        <w:rPr>
          <w:rFonts w:ascii="Times New Roman" w:hAnsi="Times New Roman"/>
          <w:caps w:val="0"/>
          <w:lang w:val="cs-CZ"/>
        </w:rPr>
        <w:t>po</w:t>
      </w:r>
      <w:r w:rsidR="00E75D56" w:rsidRPr="001B4A02">
        <w:rPr>
          <w:rFonts w:ascii="Times New Roman" w:hAnsi="Times New Roman"/>
          <w:caps w:val="0"/>
          <w:lang w:val="cs-CZ"/>
        </w:rPr>
        <w:t>užívá</w:t>
      </w:r>
    </w:p>
    <w:p w14:paraId="42ABEA72" w14:textId="77777777" w:rsidR="008D112A" w:rsidRPr="001B4A02" w:rsidRDefault="008D112A" w:rsidP="00ED48A3">
      <w:pPr>
        <w:pStyle w:val="EMEANormal"/>
        <w:keepNext/>
        <w:rPr>
          <w:lang w:val="cs-CZ"/>
        </w:rPr>
      </w:pPr>
    </w:p>
    <w:p w14:paraId="584DE317" w14:textId="77777777" w:rsidR="00E75D56" w:rsidRPr="001B4A02" w:rsidRDefault="00000000" w:rsidP="00ED48A3">
      <w:pPr>
        <w:ind w:left="0" w:firstLine="0"/>
      </w:pPr>
      <w:r w:rsidRPr="001B4A02">
        <w:t xml:space="preserve">Vždy </w:t>
      </w:r>
      <w:r w:rsidR="00D32374" w:rsidRPr="001B4A02">
        <w:t>po</w:t>
      </w:r>
      <w:r w:rsidRPr="001B4A02">
        <w:t>užívejte tento přípravek přesně podle pokynů svého lékaře nebo lékárníka. Pokud si nejste jistý(á), poraďte se se svým lékařem nebo lékárníkem.</w:t>
      </w:r>
    </w:p>
    <w:p w14:paraId="3F0DD4BA" w14:textId="77777777" w:rsidR="00E75D56" w:rsidRPr="001B4A02" w:rsidRDefault="00E75D56" w:rsidP="00ED48A3">
      <w:pPr>
        <w:ind w:left="0" w:firstLine="0"/>
        <w:rPr>
          <w:u w:val="single"/>
        </w:rPr>
      </w:pPr>
    </w:p>
    <w:p w14:paraId="10A6C894" w14:textId="77777777" w:rsidR="008D112A" w:rsidRPr="001B4A02" w:rsidRDefault="00000000" w:rsidP="00ED48A3">
      <w:pPr>
        <w:numPr>
          <w:ilvl w:val="12"/>
          <w:numId w:val="0"/>
        </w:numPr>
        <w:ind w:right="-2"/>
      </w:pPr>
      <w:r w:rsidRPr="001B4A02">
        <w:t>Doporučené dávky přípravku Humira u</w:t>
      </w:r>
      <w:r w:rsidR="00B12121" w:rsidRPr="001B4A02">
        <w:t> </w:t>
      </w:r>
      <w:r w:rsidRPr="001B4A02">
        <w:t>každého schváleného použití jsou uvedeny v následující tabulce.</w:t>
      </w:r>
    </w:p>
    <w:p w14:paraId="6969838B" w14:textId="77777777" w:rsidR="008D112A" w:rsidRPr="001B4A02" w:rsidRDefault="008D112A" w:rsidP="00ED48A3">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13"/>
        <w:gridCol w:w="3032"/>
      </w:tblGrid>
      <w:tr w:rsidR="00534A2D" w14:paraId="625EA4DD" w14:textId="77777777" w:rsidTr="0017164D">
        <w:tc>
          <w:tcPr>
            <w:tcW w:w="9287" w:type="dxa"/>
            <w:gridSpan w:val="3"/>
            <w:shd w:val="clear" w:color="auto" w:fill="auto"/>
          </w:tcPr>
          <w:p w14:paraId="0FE86B07" w14:textId="77777777" w:rsidR="00355655" w:rsidRPr="001B4A02" w:rsidRDefault="00000000" w:rsidP="00355655">
            <w:pPr>
              <w:keepNext/>
              <w:numPr>
                <w:ilvl w:val="12"/>
                <w:numId w:val="0"/>
              </w:numPr>
              <w:ind w:right="-2"/>
              <w:rPr>
                <w:b/>
              </w:rPr>
            </w:pPr>
            <w:r w:rsidRPr="001B4A02">
              <w:rPr>
                <w:b/>
              </w:rPr>
              <w:t>Revmatoidní artritida</w:t>
            </w:r>
          </w:p>
        </w:tc>
      </w:tr>
      <w:tr w:rsidR="00534A2D" w14:paraId="61B0C38F" w14:textId="77777777" w:rsidTr="0017164D">
        <w:tc>
          <w:tcPr>
            <w:tcW w:w="3095" w:type="dxa"/>
            <w:shd w:val="clear" w:color="auto" w:fill="auto"/>
          </w:tcPr>
          <w:p w14:paraId="63E78A66" w14:textId="77777777" w:rsidR="00355655" w:rsidRPr="001B4A02" w:rsidRDefault="00000000" w:rsidP="0017164D">
            <w:pPr>
              <w:keepNext/>
              <w:numPr>
                <w:ilvl w:val="12"/>
                <w:numId w:val="0"/>
              </w:numPr>
              <w:ind w:right="-2"/>
            </w:pPr>
            <w:r w:rsidRPr="001B4A02">
              <w:rPr>
                <w:b/>
              </w:rPr>
              <w:t>Věk nebo tělesná hmotnost</w:t>
            </w:r>
          </w:p>
        </w:tc>
        <w:tc>
          <w:tcPr>
            <w:tcW w:w="3096" w:type="dxa"/>
            <w:shd w:val="clear" w:color="auto" w:fill="auto"/>
          </w:tcPr>
          <w:p w14:paraId="44B55C45" w14:textId="77777777" w:rsidR="00355655" w:rsidRPr="001B4A02" w:rsidRDefault="00000000" w:rsidP="0017164D">
            <w:pPr>
              <w:keepNext/>
              <w:numPr>
                <w:ilvl w:val="12"/>
                <w:numId w:val="0"/>
              </w:numPr>
              <w:ind w:right="-2"/>
            </w:pPr>
            <w:r w:rsidRPr="001B4A02">
              <w:rPr>
                <w:b/>
              </w:rPr>
              <w:t>Kolik používat</w:t>
            </w:r>
            <w:r w:rsidR="002378E0">
              <w:rPr>
                <w:b/>
              </w:rPr>
              <w:t xml:space="preserve"> a </w:t>
            </w:r>
            <w:r w:rsidRPr="001B4A02">
              <w:rPr>
                <w:b/>
              </w:rPr>
              <w:t>jak často?</w:t>
            </w:r>
          </w:p>
        </w:tc>
        <w:tc>
          <w:tcPr>
            <w:tcW w:w="3096" w:type="dxa"/>
            <w:shd w:val="clear" w:color="auto" w:fill="auto"/>
          </w:tcPr>
          <w:p w14:paraId="7CA1AE83" w14:textId="77777777" w:rsidR="00355655" w:rsidRPr="001B4A02" w:rsidRDefault="00000000" w:rsidP="0017164D">
            <w:pPr>
              <w:keepNext/>
              <w:numPr>
                <w:ilvl w:val="12"/>
                <w:numId w:val="0"/>
              </w:numPr>
              <w:ind w:right="-2"/>
            </w:pPr>
            <w:r w:rsidRPr="001B4A02">
              <w:rPr>
                <w:b/>
              </w:rPr>
              <w:t>Poznámky</w:t>
            </w:r>
          </w:p>
        </w:tc>
      </w:tr>
      <w:tr w:rsidR="00534A2D" w14:paraId="3E67A459" w14:textId="77777777" w:rsidTr="0017164D">
        <w:tc>
          <w:tcPr>
            <w:tcW w:w="3095" w:type="dxa"/>
            <w:shd w:val="clear" w:color="auto" w:fill="auto"/>
          </w:tcPr>
          <w:p w14:paraId="554B3B69" w14:textId="77777777" w:rsidR="00355655" w:rsidRPr="001B4A02" w:rsidRDefault="00000000" w:rsidP="0017164D">
            <w:pPr>
              <w:keepNext/>
              <w:numPr>
                <w:ilvl w:val="12"/>
                <w:numId w:val="0"/>
              </w:numPr>
              <w:ind w:right="-2"/>
            </w:pPr>
            <w:r w:rsidRPr="001B4A02">
              <w:t>Dospělí</w:t>
            </w:r>
          </w:p>
        </w:tc>
        <w:tc>
          <w:tcPr>
            <w:tcW w:w="3096" w:type="dxa"/>
            <w:shd w:val="clear" w:color="auto" w:fill="auto"/>
          </w:tcPr>
          <w:p w14:paraId="42330BA7" w14:textId="77777777" w:rsidR="00355655" w:rsidRPr="001B4A02" w:rsidRDefault="00000000" w:rsidP="0017164D">
            <w:pPr>
              <w:keepNext/>
              <w:numPr>
                <w:ilvl w:val="12"/>
                <w:numId w:val="0"/>
              </w:numPr>
              <w:ind w:right="-2"/>
            </w:pPr>
            <w:r w:rsidRPr="001B4A02">
              <w:t>40</w:t>
            </w:r>
            <w:r w:rsidR="00A7483D">
              <w:t> mg</w:t>
            </w:r>
            <w:r w:rsidRPr="001B4A02">
              <w:t xml:space="preserve"> jednou za dva týdny</w:t>
            </w:r>
          </w:p>
        </w:tc>
        <w:tc>
          <w:tcPr>
            <w:tcW w:w="3096" w:type="dxa"/>
            <w:shd w:val="clear" w:color="auto" w:fill="auto"/>
          </w:tcPr>
          <w:p w14:paraId="3B52DDB6" w14:textId="77777777" w:rsidR="00355655" w:rsidRPr="001B4A02" w:rsidRDefault="00000000" w:rsidP="0017164D">
            <w:pPr>
              <w:keepNext/>
              <w:ind w:left="0" w:firstLine="0"/>
            </w:pPr>
            <w:r w:rsidRPr="001B4A02">
              <w:t>U revmatoidní artritidy se při léčbě přípravkem Humira pokračuje v podávání methotrexátu. Pokud Váš lékař určí, že je pro Vás methotrexát nevhodný, podává se přípravek Humira samostatně.</w:t>
            </w:r>
          </w:p>
          <w:p w14:paraId="75105300" w14:textId="77777777" w:rsidR="00355655" w:rsidRPr="001B4A02" w:rsidRDefault="00355655" w:rsidP="0017164D">
            <w:pPr>
              <w:keepNext/>
              <w:ind w:left="0" w:firstLine="0"/>
            </w:pPr>
          </w:p>
          <w:p w14:paraId="0E4D1692" w14:textId="77777777" w:rsidR="00355655" w:rsidRPr="001B4A02" w:rsidRDefault="00000000" w:rsidP="0017164D">
            <w:pPr>
              <w:keepNext/>
              <w:numPr>
                <w:ilvl w:val="12"/>
                <w:numId w:val="0"/>
              </w:numPr>
              <w:ind w:right="-2"/>
            </w:pPr>
            <w:r w:rsidRPr="001B4A02">
              <w:t>Jestliže máte revmatoidní artritidu</w:t>
            </w:r>
            <w:r w:rsidR="002378E0">
              <w:t xml:space="preserve"> a </w:t>
            </w:r>
            <w:r w:rsidRPr="001B4A02">
              <w:t xml:space="preserve">spolu s přípravkem Humira nedostáváte methotrexát, může lékař rozhodnout, že budete dostávat </w:t>
            </w:r>
            <w:r w:rsidR="00B20827" w:rsidRPr="001B4A02">
              <w:t xml:space="preserve">přípravek Humira </w:t>
            </w:r>
            <w:r w:rsidRPr="001B4A02">
              <w:t>40</w:t>
            </w:r>
            <w:r w:rsidR="00A7483D">
              <w:t> mg</w:t>
            </w:r>
            <w:r w:rsidRPr="001B4A02">
              <w:t xml:space="preserve"> </w:t>
            </w:r>
            <w:r w:rsidR="00B20827" w:rsidRPr="001B4A02">
              <w:t>jednou týdně</w:t>
            </w:r>
            <w:r w:rsidRPr="001B4A02">
              <w:t xml:space="preserve"> nebo 80</w:t>
            </w:r>
            <w:r w:rsidR="00A7483D">
              <w:t> mg</w:t>
            </w:r>
            <w:r w:rsidRPr="001B4A02">
              <w:t xml:space="preserve"> jednou za dva týdny.</w:t>
            </w:r>
          </w:p>
        </w:tc>
      </w:tr>
    </w:tbl>
    <w:p w14:paraId="2918C4D9" w14:textId="77777777" w:rsidR="00355655" w:rsidRPr="001B4A02" w:rsidRDefault="00355655" w:rsidP="00ED48A3">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022"/>
        <w:gridCol w:w="3026"/>
      </w:tblGrid>
      <w:tr w:rsidR="00534A2D" w14:paraId="7C68C86F" w14:textId="77777777" w:rsidTr="008D112A">
        <w:tc>
          <w:tcPr>
            <w:tcW w:w="9287" w:type="dxa"/>
            <w:gridSpan w:val="3"/>
            <w:shd w:val="clear" w:color="auto" w:fill="auto"/>
          </w:tcPr>
          <w:p w14:paraId="36447C7E" w14:textId="77777777" w:rsidR="00E75D56" w:rsidRPr="001B4A02" w:rsidRDefault="00000000" w:rsidP="00EB32F5">
            <w:pPr>
              <w:keepNext/>
              <w:numPr>
                <w:ilvl w:val="12"/>
                <w:numId w:val="0"/>
              </w:numPr>
            </w:pPr>
            <w:r w:rsidRPr="001B4A02">
              <w:rPr>
                <w:b/>
              </w:rPr>
              <w:t>Ložisková psoriáza</w:t>
            </w:r>
          </w:p>
        </w:tc>
      </w:tr>
      <w:tr w:rsidR="00534A2D" w14:paraId="0B7F1BD4" w14:textId="77777777" w:rsidTr="008D112A">
        <w:tc>
          <w:tcPr>
            <w:tcW w:w="3095" w:type="dxa"/>
            <w:shd w:val="clear" w:color="auto" w:fill="auto"/>
          </w:tcPr>
          <w:p w14:paraId="5ADE4248" w14:textId="77777777" w:rsidR="00E75D56" w:rsidRPr="001B4A02" w:rsidRDefault="00000000" w:rsidP="00EB32F5">
            <w:pPr>
              <w:keepNext/>
              <w:numPr>
                <w:ilvl w:val="12"/>
                <w:numId w:val="0"/>
              </w:numPr>
            </w:pPr>
            <w:r w:rsidRPr="001B4A02">
              <w:rPr>
                <w:b/>
              </w:rPr>
              <w:t>Věk nebo tělesná hmotnost</w:t>
            </w:r>
          </w:p>
        </w:tc>
        <w:tc>
          <w:tcPr>
            <w:tcW w:w="3096" w:type="dxa"/>
            <w:shd w:val="clear" w:color="auto" w:fill="auto"/>
          </w:tcPr>
          <w:p w14:paraId="1BA1BD05" w14:textId="77777777" w:rsidR="00E75D56" w:rsidRPr="001B4A02" w:rsidRDefault="00000000" w:rsidP="00EB32F5">
            <w:pPr>
              <w:keepNext/>
              <w:numPr>
                <w:ilvl w:val="12"/>
                <w:numId w:val="0"/>
              </w:numPr>
            </w:pPr>
            <w:r w:rsidRPr="001B4A02">
              <w:rPr>
                <w:b/>
              </w:rPr>
              <w:t xml:space="preserve">Kolik </w:t>
            </w:r>
            <w:r w:rsidR="00D32374" w:rsidRPr="001B4A02">
              <w:rPr>
                <w:b/>
              </w:rPr>
              <w:t>po</w:t>
            </w:r>
            <w:r w:rsidRPr="001B4A02">
              <w:rPr>
                <w:b/>
              </w:rPr>
              <w:t>užívat</w:t>
            </w:r>
            <w:r w:rsidR="002378E0">
              <w:rPr>
                <w:b/>
              </w:rPr>
              <w:t xml:space="preserve"> a </w:t>
            </w:r>
            <w:r w:rsidRPr="001B4A02">
              <w:rPr>
                <w:b/>
              </w:rPr>
              <w:t>jak často?</w:t>
            </w:r>
          </w:p>
        </w:tc>
        <w:tc>
          <w:tcPr>
            <w:tcW w:w="3096" w:type="dxa"/>
            <w:shd w:val="clear" w:color="auto" w:fill="auto"/>
          </w:tcPr>
          <w:p w14:paraId="26DD1BC5" w14:textId="77777777" w:rsidR="00E75D56" w:rsidRPr="001B4A02" w:rsidRDefault="00000000" w:rsidP="00EB32F5">
            <w:pPr>
              <w:keepNext/>
              <w:numPr>
                <w:ilvl w:val="12"/>
                <w:numId w:val="0"/>
              </w:numPr>
            </w:pPr>
            <w:r w:rsidRPr="001B4A02">
              <w:rPr>
                <w:b/>
              </w:rPr>
              <w:t>Poznámky</w:t>
            </w:r>
          </w:p>
        </w:tc>
      </w:tr>
      <w:tr w:rsidR="00534A2D" w14:paraId="37CD7A7D" w14:textId="77777777" w:rsidTr="008D112A">
        <w:tc>
          <w:tcPr>
            <w:tcW w:w="3095" w:type="dxa"/>
            <w:shd w:val="clear" w:color="auto" w:fill="auto"/>
          </w:tcPr>
          <w:p w14:paraId="265B3D87" w14:textId="77777777" w:rsidR="00E75D56" w:rsidRPr="001B4A02" w:rsidRDefault="00000000" w:rsidP="00EB32F5">
            <w:pPr>
              <w:keepNext/>
              <w:numPr>
                <w:ilvl w:val="12"/>
                <w:numId w:val="0"/>
              </w:numPr>
            </w:pPr>
            <w:r w:rsidRPr="001B4A02">
              <w:t>Dospělí</w:t>
            </w:r>
          </w:p>
          <w:p w14:paraId="15542FA6" w14:textId="77777777" w:rsidR="00E75D56" w:rsidRPr="001B4A02" w:rsidRDefault="00E75D56" w:rsidP="00EB32F5">
            <w:pPr>
              <w:keepNext/>
              <w:numPr>
                <w:ilvl w:val="12"/>
                <w:numId w:val="0"/>
              </w:numPr>
            </w:pPr>
          </w:p>
        </w:tc>
        <w:tc>
          <w:tcPr>
            <w:tcW w:w="3096" w:type="dxa"/>
            <w:shd w:val="clear" w:color="auto" w:fill="auto"/>
          </w:tcPr>
          <w:p w14:paraId="59B4B158" w14:textId="77777777" w:rsidR="00E75D56" w:rsidRPr="001B4A02" w:rsidRDefault="00000000" w:rsidP="00EB32F5">
            <w:pPr>
              <w:keepNext/>
              <w:numPr>
                <w:ilvl w:val="12"/>
                <w:numId w:val="0"/>
              </w:numPr>
            </w:pPr>
            <w:r w:rsidRPr="001B4A02">
              <w:t>První dávka 80</w:t>
            </w:r>
            <w:r w:rsidR="00A7483D">
              <w:t> mg</w:t>
            </w:r>
            <w:r w:rsidRPr="001B4A02">
              <w:t xml:space="preserve"> (</w:t>
            </w:r>
            <w:r w:rsidR="006D3940" w:rsidRPr="001B4A02">
              <w:t>jedna injekce</w:t>
            </w:r>
            <w:r w:rsidR="00F14ACE" w:rsidRPr="001B4A02">
              <w:t xml:space="preserve"> </w:t>
            </w:r>
            <w:r w:rsidR="00F14ACE" w:rsidRPr="001B4A02">
              <w:rPr>
                <w:szCs w:val="22"/>
              </w:rPr>
              <w:t>80</w:t>
            </w:r>
            <w:r w:rsidR="00A7483D">
              <w:rPr>
                <w:szCs w:val="22"/>
              </w:rPr>
              <w:t> mg</w:t>
            </w:r>
            <w:r w:rsidR="006D3940" w:rsidRPr="001B4A02">
              <w:t>)</w:t>
            </w:r>
            <w:r w:rsidRPr="001B4A02">
              <w:t xml:space="preserve"> následovaná dávkou 40</w:t>
            </w:r>
            <w:r w:rsidR="00A7483D">
              <w:t> mg</w:t>
            </w:r>
            <w:r w:rsidRPr="001B4A02">
              <w:t xml:space="preserve"> jednou za dva týdny počínaje jedn</w:t>
            </w:r>
            <w:r w:rsidR="00032F16" w:rsidRPr="001B4A02">
              <w:t>ím</w:t>
            </w:r>
            <w:r w:rsidRPr="001B4A02">
              <w:t xml:space="preserve"> týdn</w:t>
            </w:r>
            <w:r w:rsidR="00032F16" w:rsidRPr="001B4A02">
              <w:t>em</w:t>
            </w:r>
            <w:r w:rsidRPr="001B4A02">
              <w:t xml:space="preserve"> po první dávce.</w:t>
            </w:r>
          </w:p>
        </w:tc>
        <w:tc>
          <w:tcPr>
            <w:tcW w:w="3096" w:type="dxa"/>
            <w:shd w:val="clear" w:color="auto" w:fill="auto"/>
          </w:tcPr>
          <w:p w14:paraId="04046619" w14:textId="77777777" w:rsidR="00E75D56" w:rsidRPr="001B4A02" w:rsidRDefault="00000000" w:rsidP="00355655">
            <w:pPr>
              <w:keepNext/>
              <w:ind w:left="0" w:firstLine="0"/>
            </w:pPr>
            <w:r w:rsidRPr="001B4A02">
              <w:t xml:space="preserve">Jestliže je Vaše odpověď nedostatečná, lékař může zvýšit </w:t>
            </w:r>
            <w:r w:rsidR="0096238D" w:rsidRPr="001B4A02">
              <w:t xml:space="preserve">dávkování </w:t>
            </w:r>
            <w:r w:rsidRPr="001B4A02">
              <w:t>na 40</w:t>
            </w:r>
            <w:r w:rsidR="00A7483D">
              <w:t> mg</w:t>
            </w:r>
            <w:r w:rsidRPr="001B4A02">
              <w:t xml:space="preserve"> jednou týdně</w:t>
            </w:r>
            <w:r w:rsidR="00355655" w:rsidRPr="001B4A02">
              <w:t xml:space="preserve"> nebo 80</w:t>
            </w:r>
            <w:r w:rsidR="00A7483D">
              <w:t> mg</w:t>
            </w:r>
            <w:r w:rsidR="00355655" w:rsidRPr="001B4A02">
              <w:t xml:space="preserve"> jednou za dva týdny</w:t>
            </w:r>
            <w:r w:rsidRPr="001B4A02">
              <w:t>.</w:t>
            </w:r>
          </w:p>
        </w:tc>
      </w:tr>
    </w:tbl>
    <w:p w14:paraId="60E0EA18" w14:textId="77777777" w:rsidR="008D112A" w:rsidRPr="001B4A02" w:rsidRDefault="008D112A" w:rsidP="00ED48A3">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0"/>
        <w:gridCol w:w="3026"/>
      </w:tblGrid>
      <w:tr w:rsidR="00534A2D" w14:paraId="185815F9" w14:textId="77777777" w:rsidTr="008D112A">
        <w:tc>
          <w:tcPr>
            <w:tcW w:w="9287" w:type="dxa"/>
            <w:gridSpan w:val="3"/>
            <w:shd w:val="clear" w:color="auto" w:fill="auto"/>
          </w:tcPr>
          <w:p w14:paraId="2F818F02" w14:textId="77777777" w:rsidR="00E75D56" w:rsidRPr="001B4A02" w:rsidRDefault="00000000" w:rsidP="00ED48A3">
            <w:pPr>
              <w:keepNext/>
              <w:numPr>
                <w:ilvl w:val="12"/>
                <w:numId w:val="0"/>
              </w:numPr>
              <w:ind w:right="-2"/>
              <w:rPr>
                <w:b/>
                <w:szCs w:val="22"/>
                <w:highlight w:val="yellow"/>
              </w:rPr>
            </w:pPr>
            <w:r w:rsidRPr="001B4A02">
              <w:rPr>
                <w:b/>
                <w:szCs w:val="22"/>
              </w:rPr>
              <w:t>Hidradenitis suppurativa</w:t>
            </w:r>
          </w:p>
        </w:tc>
      </w:tr>
      <w:tr w:rsidR="00534A2D" w14:paraId="4702235D" w14:textId="77777777" w:rsidTr="008D112A">
        <w:tc>
          <w:tcPr>
            <w:tcW w:w="3095" w:type="dxa"/>
            <w:shd w:val="clear" w:color="auto" w:fill="auto"/>
          </w:tcPr>
          <w:p w14:paraId="064FA78F" w14:textId="77777777" w:rsidR="00E75D56" w:rsidRPr="001B4A02" w:rsidRDefault="00000000" w:rsidP="00ED48A3">
            <w:pPr>
              <w:keepNext/>
              <w:numPr>
                <w:ilvl w:val="12"/>
                <w:numId w:val="0"/>
              </w:numPr>
              <w:ind w:right="-2"/>
            </w:pPr>
            <w:r w:rsidRPr="001B4A02">
              <w:rPr>
                <w:b/>
                <w:szCs w:val="22"/>
              </w:rPr>
              <w:t>Věk nebo tělesná hmotnost</w:t>
            </w:r>
          </w:p>
        </w:tc>
        <w:tc>
          <w:tcPr>
            <w:tcW w:w="3096" w:type="dxa"/>
            <w:shd w:val="clear" w:color="auto" w:fill="auto"/>
          </w:tcPr>
          <w:p w14:paraId="38DBD1F8" w14:textId="77777777" w:rsidR="00E75D56" w:rsidRPr="001B4A02" w:rsidRDefault="00000000" w:rsidP="00ED48A3">
            <w:pPr>
              <w:keepNext/>
              <w:numPr>
                <w:ilvl w:val="12"/>
                <w:numId w:val="0"/>
              </w:numPr>
              <w:ind w:right="-2"/>
              <w:rPr>
                <w:szCs w:val="22"/>
              </w:rPr>
            </w:pPr>
            <w:r w:rsidRPr="001B4A02">
              <w:rPr>
                <w:b/>
                <w:szCs w:val="22"/>
              </w:rPr>
              <w:t xml:space="preserve">Kolik </w:t>
            </w:r>
            <w:r w:rsidR="00D32374" w:rsidRPr="001B4A02">
              <w:rPr>
                <w:b/>
                <w:szCs w:val="22"/>
              </w:rPr>
              <w:t>po</w:t>
            </w:r>
            <w:r w:rsidRPr="001B4A02">
              <w:rPr>
                <w:b/>
                <w:szCs w:val="22"/>
              </w:rPr>
              <w:t>užívat</w:t>
            </w:r>
            <w:r w:rsidR="002378E0">
              <w:rPr>
                <w:b/>
                <w:szCs w:val="22"/>
              </w:rPr>
              <w:t xml:space="preserve"> a </w:t>
            </w:r>
            <w:r w:rsidRPr="001B4A02">
              <w:rPr>
                <w:b/>
                <w:szCs w:val="22"/>
              </w:rPr>
              <w:t>jak často?</w:t>
            </w:r>
          </w:p>
        </w:tc>
        <w:tc>
          <w:tcPr>
            <w:tcW w:w="3096" w:type="dxa"/>
            <w:shd w:val="clear" w:color="auto" w:fill="auto"/>
          </w:tcPr>
          <w:p w14:paraId="6412F9B3" w14:textId="77777777" w:rsidR="00E75D56" w:rsidRPr="001B4A02" w:rsidRDefault="00000000" w:rsidP="00ED48A3">
            <w:pPr>
              <w:keepNext/>
              <w:numPr>
                <w:ilvl w:val="12"/>
                <w:numId w:val="0"/>
              </w:numPr>
              <w:ind w:right="-2"/>
            </w:pPr>
            <w:r w:rsidRPr="001B4A02">
              <w:rPr>
                <w:b/>
                <w:szCs w:val="22"/>
              </w:rPr>
              <w:t>Poznámky</w:t>
            </w:r>
          </w:p>
        </w:tc>
      </w:tr>
      <w:tr w:rsidR="00534A2D" w14:paraId="361591BC" w14:textId="77777777" w:rsidTr="008D112A">
        <w:tc>
          <w:tcPr>
            <w:tcW w:w="3095" w:type="dxa"/>
            <w:shd w:val="clear" w:color="auto" w:fill="auto"/>
          </w:tcPr>
          <w:p w14:paraId="381390BC" w14:textId="77777777" w:rsidR="00E64F28" w:rsidRPr="001B4A02" w:rsidRDefault="00000000" w:rsidP="00ED48A3">
            <w:pPr>
              <w:keepNext/>
              <w:numPr>
                <w:ilvl w:val="12"/>
                <w:numId w:val="0"/>
              </w:numPr>
              <w:ind w:right="-2"/>
            </w:pPr>
            <w:r w:rsidRPr="001B4A02">
              <w:rPr>
                <w:szCs w:val="22"/>
              </w:rPr>
              <w:t>Dospělí</w:t>
            </w:r>
          </w:p>
        </w:tc>
        <w:tc>
          <w:tcPr>
            <w:tcW w:w="3096" w:type="dxa"/>
            <w:shd w:val="clear" w:color="auto" w:fill="auto"/>
          </w:tcPr>
          <w:p w14:paraId="61A44FFD" w14:textId="77777777" w:rsidR="00E64F28" w:rsidRPr="001B4A02" w:rsidRDefault="00000000" w:rsidP="00ED48A3">
            <w:pPr>
              <w:keepNext/>
              <w:numPr>
                <w:ilvl w:val="12"/>
                <w:numId w:val="0"/>
              </w:numPr>
              <w:ind w:right="-2"/>
              <w:rPr>
                <w:szCs w:val="22"/>
              </w:rPr>
            </w:pPr>
            <w:r w:rsidRPr="001B4A02">
              <w:rPr>
                <w:szCs w:val="22"/>
              </w:rPr>
              <w:t>První dávka 160</w:t>
            </w:r>
            <w:r w:rsidR="00A7483D">
              <w:rPr>
                <w:szCs w:val="22"/>
              </w:rPr>
              <w:t> mg</w:t>
            </w:r>
            <w:r w:rsidRPr="001B4A02">
              <w:rPr>
                <w:szCs w:val="22"/>
              </w:rPr>
              <w:t xml:space="preserve"> (</w:t>
            </w:r>
            <w:r w:rsidR="006D3940" w:rsidRPr="001B4A02">
              <w:rPr>
                <w:szCs w:val="22"/>
              </w:rPr>
              <w:t xml:space="preserve">dvě </w:t>
            </w:r>
            <w:r w:rsidRPr="001B4A02">
              <w:rPr>
                <w:szCs w:val="22"/>
              </w:rPr>
              <w:t xml:space="preserve">injekce </w:t>
            </w:r>
            <w:r w:rsidR="00F14ACE" w:rsidRPr="001B4A02">
              <w:rPr>
                <w:szCs w:val="22"/>
              </w:rPr>
              <w:t>80</w:t>
            </w:r>
            <w:r w:rsidR="00A7483D">
              <w:rPr>
                <w:szCs w:val="22"/>
              </w:rPr>
              <w:t> mg</w:t>
            </w:r>
            <w:r w:rsidR="00F14ACE" w:rsidRPr="001B4A02">
              <w:rPr>
                <w:szCs w:val="22"/>
              </w:rPr>
              <w:t xml:space="preserve"> </w:t>
            </w:r>
            <w:r w:rsidR="00355F73" w:rsidRPr="001B4A02">
              <w:rPr>
                <w:szCs w:val="22"/>
              </w:rPr>
              <w:t>ve dni 1</w:t>
            </w:r>
            <w:r w:rsidRPr="001B4A02">
              <w:rPr>
                <w:szCs w:val="22"/>
              </w:rPr>
              <w:t xml:space="preserve"> nebo </w:t>
            </w:r>
            <w:r w:rsidR="006D3940" w:rsidRPr="001B4A02">
              <w:rPr>
                <w:szCs w:val="22"/>
              </w:rPr>
              <w:t xml:space="preserve">jedna injekce </w:t>
            </w:r>
            <w:r w:rsidR="00F14ACE" w:rsidRPr="001B4A02">
              <w:rPr>
                <w:szCs w:val="22"/>
              </w:rPr>
              <w:t>80</w:t>
            </w:r>
            <w:r w:rsidR="00A7483D">
              <w:rPr>
                <w:szCs w:val="22"/>
              </w:rPr>
              <w:t> mg</w:t>
            </w:r>
            <w:r w:rsidR="00F14ACE" w:rsidRPr="001B4A02">
              <w:rPr>
                <w:szCs w:val="22"/>
              </w:rPr>
              <w:t xml:space="preserve"> </w:t>
            </w:r>
            <w:r w:rsidRPr="001B4A02">
              <w:rPr>
                <w:szCs w:val="22"/>
              </w:rPr>
              <w:t>denně po dva po sobě jdoucí dny) následovaná dávkou 80</w:t>
            </w:r>
            <w:r w:rsidR="00A7483D">
              <w:rPr>
                <w:szCs w:val="22"/>
              </w:rPr>
              <w:t> mg</w:t>
            </w:r>
            <w:r w:rsidRPr="001B4A02">
              <w:rPr>
                <w:szCs w:val="22"/>
              </w:rPr>
              <w:t xml:space="preserve"> (</w:t>
            </w:r>
            <w:r w:rsidR="006D3940" w:rsidRPr="001B4A02">
              <w:rPr>
                <w:szCs w:val="22"/>
              </w:rPr>
              <w:t xml:space="preserve">jedna </w:t>
            </w:r>
            <w:r w:rsidRPr="001B4A02">
              <w:rPr>
                <w:szCs w:val="22"/>
              </w:rPr>
              <w:t>injekce</w:t>
            </w:r>
            <w:r w:rsidR="00F14ACE" w:rsidRPr="001B4A02">
              <w:rPr>
                <w:szCs w:val="22"/>
              </w:rPr>
              <w:t xml:space="preserve"> 80</w:t>
            </w:r>
            <w:r w:rsidR="00A7483D">
              <w:rPr>
                <w:szCs w:val="22"/>
              </w:rPr>
              <w:t> mg</w:t>
            </w:r>
            <w:r w:rsidRPr="001B4A02">
              <w:rPr>
                <w:szCs w:val="22"/>
              </w:rPr>
              <w:t xml:space="preserve">) o dva týdny později. Po dalších </w:t>
            </w:r>
            <w:r w:rsidR="00355F73" w:rsidRPr="001B4A02">
              <w:rPr>
                <w:szCs w:val="22"/>
              </w:rPr>
              <w:t xml:space="preserve">dvou </w:t>
            </w:r>
            <w:r w:rsidR="00063784" w:rsidRPr="001B4A02">
              <w:rPr>
                <w:szCs w:val="22"/>
              </w:rPr>
              <w:t>týdnech pokračujte dávkou 40</w:t>
            </w:r>
            <w:r w:rsidR="00A7483D">
              <w:rPr>
                <w:szCs w:val="22"/>
              </w:rPr>
              <w:t> mg</w:t>
            </w:r>
            <w:r w:rsidRPr="001B4A02">
              <w:rPr>
                <w:szCs w:val="22"/>
              </w:rPr>
              <w:t xml:space="preserve"> jednou týdně</w:t>
            </w:r>
            <w:r w:rsidR="00355655" w:rsidRPr="001B4A02">
              <w:rPr>
                <w:szCs w:val="22"/>
              </w:rPr>
              <w:t xml:space="preserve"> nebo 80</w:t>
            </w:r>
            <w:r w:rsidR="00A7483D">
              <w:rPr>
                <w:szCs w:val="22"/>
              </w:rPr>
              <w:t> mg</w:t>
            </w:r>
            <w:r w:rsidR="00355655" w:rsidRPr="001B4A02">
              <w:rPr>
                <w:szCs w:val="22"/>
              </w:rPr>
              <w:t xml:space="preserve"> jednou za dva týdny, jak Vám předepsal lékař</w:t>
            </w:r>
            <w:r w:rsidRPr="001B4A02">
              <w:rPr>
                <w:szCs w:val="22"/>
              </w:rPr>
              <w:t xml:space="preserve">. </w:t>
            </w:r>
          </w:p>
        </w:tc>
        <w:tc>
          <w:tcPr>
            <w:tcW w:w="3096" w:type="dxa"/>
            <w:shd w:val="clear" w:color="auto" w:fill="auto"/>
          </w:tcPr>
          <w:p w14:paraId="779D98FD" w14:textId="77777777" w:rsidR="00E64F28" w:rsidRPr="001B4A02" w:rsidRDefault="00000000" w:rsidP="00ED48A3">
            <w:pPr>
              <w:pStyle w:val="gtcbodytext"/>
              <w:keepNext/>
              <w:spacing w:before="0" w:after="0" w:line="240" w:lineRule="auto"/>
              <w:rPr>
                <w:sz w:val="22"/>
                <w:szCs w:val="22"/>
                <w:lang w:val="cs-CZ"/>
              </w:rPr>
            </w:pPr>
            <w:r w:rsidRPr="001B4A02">
              <w:rPr>
                <w:sz w:val="22"/>
                <w:szCs w:val="22"/>
                <w:lang w:val="cs-CZ"/>
              </w:rPr>
              <w:t>Doporučuje se postižená místa denně omývat antiseptickým přípravkem.</w:t>
            </w:r>
          </w:p>
          <w:p w14:paraId="74031A51" w14:textId="77777777" w:rsidR="00E64F28" w:rsidRPr="001B4A02" w:rsidRDefault="00E64F28" w:rsidP="00ED48A3">
            <w:pPr>
              <w:keepNext/>
              <w:numPr>
                <w:ilvl w:val="12"/>
                <w:numId w:val="0"/>
              </w:numPr>
              <w:ind w:right="-2"/>
            </w:pPr>
          </w:p>
        </w:tc>
      </w:tr>
      <w:tr w:rsidR="00534A2D" w14:paraId="54EE503F" w14:textId="77777777" w:rsidTr="008D112A">
        <w:tc>
          <w:tcPr>
            <w:tcW w:w="3095" w:type="dxa"/>
            <w:shd w:val="clear" w:color="auto" w:fill="auto"/>
          </w:tcPr>
          <w:p w14:paraId="748499F5" w14:textId="77777777" w:rsidR="00E64F28" w:rsidRPr="001B4A02" w:rsidRDefault="00000000" w:rsidP="0088128B">
            <w:pPr>
              <w:keepNext/>
              <w:numPr>
                <w:ilvl w:val="12"/>
                <w:numId w:val="0"/>
              </w:numPr>
              <w:ind w:right="-2"/>
              <w:rPr>
                <w:szCs w:val="22"/>
                <w:bdr w:val="nil"/>
              </w:rPr>
            </w:pPr>
            <w:r w:rsidRPr="001B4A02">
              <w:rPr>
                <w:szCs w:val="22"/>
              </w:rPr>
              <w:t>Dospívající od 12</w:t>
            </w:r>
            <w:r w:rsidR="00075234" w:rsidRPr="001B4A02">
              <w:rPr>
                <w:szCs w:val="22"/>
              </w:rPr>
              <w:t xml:space="preserve"> do 17</w:t>
            </w:r>
            <w:r w:rsidRPr="001B4A02">
              <w:rPr>
                <w:szCs w:val="22"/>
              </w:rPr>
              <w:t> let s</w:t>
            </w:r>
            <w:r w:rsidR="00075234" w:rsidRPr="001B4A02">
              <w:rPr>
                <w:szCs w:val="22"/>
              </w:rPr>
              <w:t> </w:t>
            </w:r>
            <w:r w:rsidRPr="001B4A02">
              <w:rPr>
                <w:szCs w:val="22"/>
              </w:rPr>
              <w:t>tělesnou hmotností 30 kg</w:t>
            </w:r>
            <w:r w:rsidR="0088128B" w:rsidRPr="001B4A02">
              <w:t xml:space="preserve"> nebo </w:t>
            </w:r>
            <w:r w:rsidR="001D2B8E" w:rsidRPr="001B4A02">
              <w:t>vyšší</w:t>
            </w:r>
          </w:p>
        </w:tc>
        <w:tc>
          <w:tcPr>
            <w:tcW w:w="3096" w:type="dxa"/>
            <w:shd w:val="clear" w:color="auto" w:fill="auto"/>
          </w:tcPr>
          <w:p w14:paraId="1E1342D8" w14:textId="77777777" w:rsidR="00E64F28" w:rsidRPr="001B4A02" w:rsidRDefault="00000000" w:rsidP="00063784">
            <w:pPr>
              <w:keepNext/>
              <w:numPr>
                <w:ilvl w:val="12"/>
                <w:numId w:val="0"/>
              </w:numPr>
              <w:ind w:right="-2"/>
              <w:rPr>
                <w:szCs w:val="22"/>
                <w:bdr w:val="nil"/>
              </w:rPr>
            </w:pPr>
            <w:r w:rsidRPr="001B4A02">
              <w:rPr>
                <w:szCs w:val="22"/>
              </w:rPr>
              <w:t>První dávka 80 mg (</w:t>
            </w:r>
            <w:r w:rsidR="00FE3367" w:rsidRPr="001B4A02">
              <w:rPr>
                <w:szCs w:val="22"/>
              </w:rPr>
              <w:t xml:space="preserve">jedna </w:t>
            </w:r>
            <w:r w:rsidRPr="001B4A02">
              <w:rPr>
                <w:szCs w:val="22"/>
              </w:rPr>
              <w:t>injekce</w:t>
            </w:r>
            <w:r w:rsidR="00F14ACE" w:rsidRPr="001B4A02">
              <w:rPr>
                <w:szCs w:val="22"/>
              </w:rPr>
              <w:t xml:space="preserve"> 80 mg</w:t>
            </w:r>
            <w:r w:rsidRPr="001B4A02">
              <w:rPr>
                <w:szCs w:val="22"/>
              </w:rPr>
              <w:t>) následovaná dávkou 40 mg každý druhý týden o</w:t>
            </w:r>
            <w:r w:rsidR="00063784" w:rsidRPr="001B4A02">
              <w:rPr>
                <w:szCs w:val="22"/>
              </w:rPr>
              <w:t> </w:t>
            </w:r>
            <w:r w:rsidRPr="001B4A02">
              <w:rPr>
                <w:szCs w:val="22"/>
              </w:rPr>
              <w:t>jeden týden později.</w:t>
            </w:r>
          </w:p>
        </w:tc>
        <w:tc>
          <w:tcPr>
            <w:tcW w:w="3096" w:type="dxa"/>
            <w:shd w:val="clear" w:color="auto" w:fill="auto"/>
          </w:tcPr>
          <w:p w14:paraId="63F80F3D" w14:textId="77777777" w:rsidR="00E64F28" w:rsidRPr="001B4A02" w:rsidRDefault="00000000" w:rsidP="00ED48A3">
            <w:pPr>
              <w:pStyle w:val="gtcbodytext"/>
              <w:keepNext/>
              <w:spacing w:before="0" w:after="0" w:line="240" w:lineRule="auto"/>
              <w:rPr>
                <w:sz w:val="22"/>
                <w:szCs w:val="22"/>
                <w:bdr w:val="nil"/>
                <w:lang w:val="cs-CZ"/>
              </w:rPr>
            </w:pPr>
            <w:r w:rsidRPr="001B4A02">
              <w:rPr>
                <w:sz w:val="22"/>
                <w:szCs w:val="22"/>
                <w:lang w:val="cs-CZ"/>
              </w:rPr>
              <w:t xml:space="preserve">Jestliže je Vaše odpověď </w:t>
            </w:r>
            <w:r w:rsidR="00355655" w:rsidRPr="001B4A02">
              <w:rPr>
                <w:sz w:val="22"/>
                <w:szCs w:val="22"/>
                <w:lang w:val="cs-CZ"/>
              </w:rPr>
              <w:t>na léčbu přípravkem Humira 40</w:t>
            </w:r>
            <w:r w:rsidR="00874C8D">
              <w:rPr>
                <w:sz w:val="22"/>
                <w:szCs w:val="22"/>
                <w:lang w:val="cs-CZ"/>
              </w:rPr>
              <w:t> </w:t>
            </w:r>
            <w:r w:rsidR="00355655" w:rsidRPr="001B4A02">
              <w:rPr>
                <w:sz w:val="22"/>
                <w:szCs w:val="22"/>
                <w:lang w:val="cs-CZ"/>
              </w:rPr>
              <w:t xml:space="preserve">mg jednou za dva týdny </w:t>
            </w:r>
            <w:r w:rsidRPr="001B4A02">
              <w:rPr>
                <w:sz w:val="22"/>
                <w:szCs w:val="22"/>
                <w:lang w:val="cs-CZ"/>
              </w:rPr>
              <w:t xml:space="preserve">nedostatečná, lékař může zvýšit </w:t>
            </w:r>
            <w:r w:rsidR="0096238D" w:rsidRPr="001B4A02">
              <w:rPr>
                <w:sz w:val="22"/>
                <w:szCs w:val="22"/>
                <w:lang w:val="cs-CZ"/>
              </w:rPr>
              <w:t xml:space="preserve">dávkování </w:t>
            </w:r>
            <w:r w:rsidRPr="001B4A02">
              <w:rPr>
                <w:sz w:val="22"/>
                <w:szCs w:val="22"/>
                <w:lang w:val="cs-CZ"/>
              </w:rPr>
              <w:t>na 40</w:t>
            </w:r>
            <w:r w:rsidR="00A7483D">
              <w:rPr>
                <w:sz w:val="22"/>
                <w:szCs w:val="22"/>
                <w:lang w:val="cs-CZ"/>
              </w:rPr>
              <w:t> mg</w:t>
            </w:r>
            <w:r w:rsidRPr="001B4A02">
              <w:rPr>
                <w:sz w:val="22"/>
                <w:szCs w:val="22"/>
                <w:lang w:val="cs-CZ"/>
              </w:rPr>
              <w:t xml:space="preserve"> jednou týdně</w:t>
            </w:r>
            <w:r w:rsidR="00355655" w:rsidRPr="001B4A02">
              <w:rPr>
                <w:sz w:val="22"/>
                <w:szCs w:val="22"/>
                <w:lang w:val="cs-CZ"/>
              </w:rPr>
              <w:t xml:space="preserve"> nebo 80</w:t>
            </w:r>
            <w:r w:rsidR="00A7483D">
              <w:rPr>
                <w:sz w:val="22"/>
                <w:szCs w:val="22"/>
                <w:lang w:val="cs-CZ"/>
              </w:rPr>
              <w:t> mg</w:t>
            </w:r>
            <w:r w:rsidR="00355655" w:rsidRPr="001B4A02">
              <w:rPr>
                <w:sz w:val="22"/>
                <w:szCs w:val="22"/>
                <w:lang w:val="cs-CZ"/>
              </w:rPr>
              <w:t xml:space="preserve"> jednou za dva týdny</w:t>
            </w:r>
            <w:r w:rsidRPr="001B4A02">
              <w:rPr>
                <w:sz w:val="22"/>
                <w:szCs w:val="22"/>
                <w:lang w:val="cs-CZ"/>
              </w:rPr>
              <w:t>.</w:t>
            </w:r>
          </w:p>
          <w:p w14:paraId="3E6D8EE5" w14:textId="77777777" w:rsidR="006D3940" w:rsidRPr="001B4A02" w:rsidRDefault="006D3940" w:rsidP="00ED48A3">
            <w:pPr>
              <w:pStyle w:val="gtcbodytext"/>
              <w:keepNext/>
              <w:spacing w:before="0" w:after="0" w:line="240" w:lineRule="auto"/>
              <w:rPr>
                <w:sz w:val="22"/>
                <w:szCs w:val="22"/>
                <w:bdr w:val="nil"/>
                <w:lang w:val="cs-CZ"/>
              </w:rPr>
            </w:pPr>
          </w:p>
          <w:p w14:paraId="0C0FCB13" w14:textId="77777777" w:rsidR="00E64F28" w:rsidRPr="001B4A02" w:rsidRDefault="00000000" w:rsidP="00ED48A3">
            <w:pPr>
              <w:pStyle w:val="gtcbodytext"/>
              <w:keepNext/>
              <w:spacing w:before="0" w:after="0" w:line="240" w:lineRule="auto"/>
              <w:rPr>
                <w:sz w:val="22"/>
                <w:szCs w:val="22"/>
                <w:bdr w:val="nil"/>
                <w:lang w:val="cs-CZ"/>
              </w:rPr>
            </w:pPr>
            <w:r w:rsidRPr="001B4A02">
              <w:rPr>
                <w:sz w:val="22"/>
                <w:szCs w:val="22"/>
                <w:lang w:val="cs-CZ"/>
              </w:rPr>
              <w:t>Doporučuje se postižená místa denně omývat antiseptickým přípravkem.</w:t>
            </w:r>
          </w:p>
        </w:tc>
      </w:tr>
    </w:tbl>
    <w:p w14:paraId="55897181" w14:textId="77777777" w:rsidR="008D112A" w:rsidRPr="001B4A02" w:rsidRDefault="008D112A" w:rsidP="00ED48A3">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5"/>
        <w:gridCol w:w="3016"/>
      </w:tblGrid>
      <w:tr w:rsidR="00534A2D" w14:paraId="2D0BD9AD" w14:textId="77777777" w:rsidTr="008D112A">
        <w:tc>
          <w:tcPr>
            <w:tcW w:w="9287" w:type="dxa"/>
            <w:gridSpan w:val="3"/>
            <w:shd w:val="clear" w:color="auto" w:fill="auto"/>
          </w:tcPr>
          <w:p w14:paraId="14D43BEE" w14:textId="77777777" w:rsidR="00E64F28" w:rsidRPr="001B4A02" w:rsidRDefault="00000000" w:rsidP="00ED48A3">
            <w:pPr>
              <w:keepNext/>
              <w:numPr>
                <w:ilvl w:val="12"/>
                <w:numId w:val="0"/>
              </w:numPr>
              <w:ind w:right="-2"/>
            </w:pPr>
            <w:r w:rsidRPr="001B4A02">
              <w:rPr>
                <w:b/>
              </w:rPr>
              <w:t>Crohnova choroba</w:t>
            </w:r>
          </w:p>
        </w:tc>
      </w:tr>
      <w:tr w:rsidR="00534A2D" w14:paraId="233A335E" w14:textId="77777777" w:rsidTr="008D112A">
        <w:tc>
          <w:tcPr>
            <w:tcW w:w="3095" w:type="dxa"/>
            <w:shd w:val="clear" w:color="auto" w:fill="auto"/>
          </w:tcPr>
          <w:p w14:paraId="3AAA8EE0" w14:textId="77777777" w:rsidR="00E64F28" w:rsidRPr="001B4A02" w:rsidRDefault="00000000" w:rsidP="00ED48A3">
            <w:pPr>
              <w:numPr>
                <w:ilvl w:val="12"/>
                <w:numId w:val="0"/>
              </w:numPr>
              <w:ind w:right="-2"/>
            </w:pPr>
            <w:r w:rsidRPr="001B4A02">
              <w:rPr>
                <w:b/>
              </w:rPr>
              <w:t>Věk nebo tělesná hmotnost</w:t>
            </w:r>
          </w:p>
        </w:tc>
        <w:tc>
          <w:tcPr>
            <w:tcW w:w="3096" w:type="dxa"/>
            <w:shd w:val="clear" w:color="auto" w:fill="auto"/>
          </w:tcPr>
          <w:p w14:paraId="3C37F6BA" w14:textId="77777777" w:rsidR="00E64F28" w:rsidRPr="001B4A02" w:rsidRDefault="00000000" w:rsidP="00ED48A3">
            <w:pPr>
              <w:keepNext/>
              <w:numPr>
                <w:ilvl w:val="12"/>
                <w:numId w:val="0"/>
              </w:numPr>
              <w:ind w:right="-2"/>
            </w:pPr>
            <w:r w:rsidRPr="001B4A02">
              <w:rPr>
                <w:b/>
              </w:rPr>
              <w:t xml:space="preserve">Kolik </w:t>
            </w:r>
            <w:r w:rsidR="00D32374" w:rsidRPr="001B4A02">
              <w:rPr>
                <w:b/>
              </w:rPr>
              <w:t>po</w:t>
            </w:r>
            <w:r w:rsidRPr="001B4A02">
              <w:rPr>
                <w:b/>
              </w:rPr>
              <w:t>užívat</w:t>
            </w:r>
            <w:r w:rsidR="002378E0">
              <w:rPr>
                <w:b/>
              </w:rPr>
              <w:t xml:space="preserve"> a </w:t>
            </w:r>
            <w:r w:rsidRPr="001B4A02">
              <w:rPr>
                <w:b/>
              </w:rPr>
              <w:t>jak často?</w:t>
            </w:r>
          </w:p>
        </w:tc>
        <w:tc>
          <w:tcPr>
            <w:tcW w:w="3096" w:type="dxa"/>
            <w:shd w:val="clear" w:color="auto" w:fill="auto"/>
          </w:tcPr>
          <w:p w14:paraId="4A00FEC2" w14:textId="77777777" w:rsidR="00E64F28" w:rsidRPr="001B4A02" w:rsidRDefault="00000000" w:rsidP="00ED48A3">
            <w:pPr>
              <w:keepNext/>
              <w:numPr>
                <w:ilvl w:val="12"/>
                <w:numId w:val="0"/>
              </w:numPr>
              <w:ind w:right="-2"/>
            </w:pPr>
            <w:r w:rsidRPr="001B4A02">
              <w:rPr>
                <w:b/>
              </w:rPr>
              <w:t>Poznámky</w:t>
            </w:r>
          </w:p>
        </w:tc>
      </w:tr>
      <w:tr w:rsidR="00534A2D" w14:paraId="55A2A2BD" w14:textId="77777777" w:rsidTr="008D112A">
        <w:tc>
          <w:tcPr>
            <w:tcW w:w="3095" w:type="dxa"/>
            <w:shd w:val="clear" w:color="auto" w:fill="auto"/>
          </w:tcPr>
          <w:p w14:paraId="0AD15D4A" w14:textId="77777777" w:rsidR="00E64F28" w:rsidRPr="001B4A02" w:rsidRDefault="00000000" w:rsidP="00EB32F5">
            <w:pPr>
              <w:numPr>
                <w:ilvl w:val="12"/>
                <w:numId w:val="0"/>
              </w:numPr>
              <w:ind w:right="-2"/>
              <w:rPr>
                <w:highlight w:val="yellow"/>
              </w:rPr>
            </w:pPr>
            <w:r w:rsidRPr="001B4A02">
              <w:t>Děti</w:t>
            </w:r>
            <w:r w:rsidR="00075234" w:rsidRPr="001B4A02">
              <w:t>,</w:t>
            </w:r>
            <w:r w:rsidRPr="001B4A02">
              <w:t xml:space="preserve"> dospívající</w:t>
            </w:r>
            <w:r w:rsidR="002378E0">
              <w:t xml:space="preserve"> a </w:t>
            </w:r>
            <w:r w:rsidR="00075234" w:rsidRPr="001B4A02">
              <w:t>dospělí</w:t>
            </w:r>
            <w:r w:rsidRPr="001B4A02">
              <w:t xml:space="preserve"> </w:t>
            </w:r>
            <w:r w:rsidR="00E44302" w:rsidRPr="001B4A02">
              <w:t xml:space="preserve">od 6 let </w:t>
            </w:r>
            <w:r w:rsidRPr="001B4A02">
              <w:t>s hmotností 40</w:t>
            </w:r>
            <w:r w:rsidR="002767FC">
              <w:t> kg</w:t>
            </w:r>
            <w:r w:rsidR="00355F73" w:rsidRPr="001B4A02">
              <w:t xml:space="preserve"> nebo </w:t>
            </w:r>
            <w:r w:rsidR="001D2B8E" w:rsidRPr="001B4A02">
              <w:t>vyšší</w:t>
            </w:r>
          </w:p>
        </w:tc>
        <w:tc>
          <w:tcPr>
            <w:tcW w:w="3096" w:type="dxa"/>
            <w:shd w:val="clear" w:color="auto" w:fill="auto"/>
          </w:tcPr>
          <w:p w14:paraId="1CF4A5F1" w14:textId="77777777" w:rsidR="00E64F28" w:rsidRPr="001B4A02" w:rsidRDefault="00000000" w:rsidP="00EB32F5">
            <w:pPr>
              <w:ind w:left="0" w:firstLine="0"/>
            </w:pPr>
            <w:r w:rsidRPr="001B4A02">
              <w:t>První dávka 80</w:t>
            </w:r>
            <w:r w:rsidR="00A7483D">
              <w:t> mg</w:t>
            </w:r>
            <w:r w:rsidRPr="001B4A02">
              <w:t xml:space="preserve"> (</w:t>
            </w:r>
            <w:r w:rsidR="00A12685" w:rsidRPr="001B4A02">
              <w:t xml:space="preserve">jedna </w:t>
            </w:r>
            <w:r w:rsidRPr="001B4A02">
              <w:t>injekce</w:t>
            </w:r>
            <w:r w:rsidR="009C0D06" w:rsidRPr="001B4A02">
              <w:t xml:space="preserve"> </w:t>
            </w:r>
            <w:r w:rsidR="00F14ACE" w:rsidRPr="001B4A02">
              <w:rPr>
                <w:szCs w:val="22"/>
              </w:rPr>
              <w:t>80 mg</w:t>
            </w:r>
            <w:r w:rsidRPr="001B4A02">
              <w:t>) následova</w:t>
            </w:r>
            <w:r w:rsidR="00063784" w:rsidRPr="001B4A02">
              <w:t>ná o dva týdny později dávkou 40 </w:t>
            </w:r>
            <w:r w:rsidRPr="001B4A02">
              <w:t>mg.</w:t>
            </w:r>
          </w:p>
          <w:p w14:paraId="708EE205" w14:textId="77777777" w:rsidR="00E64F28" w:rsidRPr="001B4A02" w:rsidRDefault="00E64F28" w:rsidP="00EB32F5">
            <w:pPr>
              <w:ind w:left="0" w:firstLine="0"/>
            </w:pPr>
          </w:p>
          <w:p w14:paraId="3481C0FE" w14:textId="77777777" w:rsidR="00E64F28" w:rsidRPr="001B4A02" w:rsidRDefault="00000000" w:rsidP="00EB32F5">
            <w:pPr>
              <w:numPr>
                <w:ilvl w:val="12"/>
                <w:numId w:val="0"/>
              </w:numPr>
            </w:pPr>
            <w:r w:rsidRPr="001B4A02">
              <w:t xml:space="preserve">Jestliže </w:t>
            </w:r>
            <w:r w:rsidR="00355F73" w:rsidRPr="001B4A02">
              <w:t>je vyžadována</w:t>
            </w:r>
            <w:r w:rsidRPr="001B4A02">
              <w:t xml:space="preserve"> rychlejší odpověď, lékař může předepsat první dávku 160</w:t>
            </w:r>
            <w:r w:rsidR="00A7483D">
              <w:t> mg</w:t>
            </w:r>
            <w:r w:rsidRPr="001B4A02">
              <w:t xml:space="preserve"> (</w:t>
            </w:r>
            <w:r w:rsidR="00A12685" w:rsidRPr="001B4A02">
              <w:t xml:space="preserve">dvě </w:t>
            </w:r>
            <w:r w:rsidRPr="001B4A02">
              <w:t xml:space="preserve">injekce </w:t>
            </w:r>
            <w:r w:rsidR="00F14ACE" w:rsidRPr="001B4A02">
              <w:rPr>
                <w:szCs w:val="22"/>
              </w:rPr>
              <w:t>80 mg</w:t>
            </w:r>
            <w:r w:rsidR="00F14ACE" w:rsidRPr="001B4A02">
              <w:t xml:space="preserve"> </w:t>
            </w:r>
            <w:r w:rsidR="004877C8" w:rsidRPr="001B4A02">
              <w:t>ve dni 1</w:t>
            </w:r>
            <w:r w:rsidRPr="001B4A02">
              <w:t xml:space="preserve"> nebo </w:t>
            </w:r>
            <w:r w:rsidR="00A12685" w:rsidRPr="001B4A02">
              <w:t xml:space="preserve">jedna </w:t>
            </w:r>
            <w:r w:rsidRPr="001B4A02">
              <w:t xml:space="preserve">injekce </w:t>
            </w:r>
            <w:r w:rsidR="009C0D06" w:rsidRPr="001B4A02">
              <w:rPr>
                <w:szCs w:val="22"/>
              </w:rPr>
              <w:t>80 mg</w:t>
            </w:r>
            <w:r w:rsidR="009C0D06" w:rsidRPr="001B4A02">
              <w:t xml:space="preserve"> </w:t>
            </w:r>
            <w:r w:rsidRPr="001B4A02">
              <w:t>denně po dva po sobě jdoucí dny) následovanou 80</w:t>
            </w:r>
            <w:r w:rsidR="00A7483D">
              <w:t> mg</w:t>
            </w:r>
            <w:r w:rsidRPr="001B4A02">
              <w:t xml:space="preserve"> (</w:t>
            </w:r>
            <w:r w:rsidR="00A12685" w:rsidRPr="001B4A02">
              <w:t>jedna injekce</w:t>
            </w:r>
            <w:r w:rsidR="00F14ACE" w:rsidRPr="001B4A02">
              <w:t xml:space="preserve"> </w:t>
            </w:r>
            <w:r w:rsidR="00F14ACE" w:rsidRPr="001B4A02">
              <w:rPr>
                <w:szCs w:val="22"/>
              </w:rPr>
              <w:t>80</w:t>
            </w:r>
            <w:r w:rsidR="00A7483D">
              <w:rPr>
                <w:szCs w:val="22"/>
              </w:rPr>
              <w:t> mg</w:t>
            </w:r>
            <w:r w:rsidR="00A12685" w:rsidRPr="001B4A02">
              <w:t>)</w:t>
            </w:r>
            <w:r w:rsidRPr="001B4A02">
              <w:t xml:space="preserve"> o dva týdny později.</w:t>
            </w:r>
          </w:p>
          <w:p w14:paraId="70D5AEC1" w14:textId="77777777" w:rsidR="00E64F28" w:rsidRPr="001B4A02" w:rsidRDefault="00E64F28" w:rsidP="00EB32F5">
            <w:pPr>
              <w:numPr>
                <w:ilvl w:val="12"/>
                <w:numId w:val="0"/>
              </w:numPr>
            </w:pPr>
          </w:p>
          <w:p w14:paraId="509E2430" w14:textId="77777777" w:rsidR="00E64F28" w:rsidRPr="001B4A02" w:rsidRDefault="00000000" w:rsidP="00EB32F5">
            <w:pPr>
              <w:numPr>
                <w:ilvl w:val="12"/>
                <w:numId w:val="0"/>
              </w:numPr>
              <w:ind w:right="-2"/>
            </w:pPr>
            <w:r w:rsidRPr="001B4A02">
              <w:t>Poté se podává obvyklá dávka 40</w:t>
            </w:r>
            <w:r w:rsidR="00A7483D">
              <w:t> mg</w:t>
            </w:r>
            <w:r w:rsidRPr="001B4A02">
              <w:t xml:space="preserve"> jednou za dva týdny.</w:t>
            </w:r>
          </w:p>
        </w:tc>
        <w:tc>
          <w:tcPr>
            <w:tcW w:w="3096" w:type="dxa"/>
            <w:shd w:val="clear" w:color="auto" w:fill="auto"/>
          </w:tcPr>
          <w:p w14:paraId="5DDF2BDD" w14:textId="77777777" w:rsidR="00E64F28" w:rsidRPr="001B4A02" w:rsidRDefault="00000000" w:rsidP="00355655">
            <w:pPr>
              <w:ind w:left="46" w:firstLine="0"/>
            </w:pPr>
            <w:r w:rsidRPr="001B4A02">
              <w:t xml:space="preserve">Váš lékař může </w:t>
            </w:r>
            <w:r w:rsidR="004877C8" w:rsidRPr="001B4A02">
              <w:t xml:space="preserve">zvýšit </w:t>
            </w:r>
            <w:r w:rsidR="0096238D" w:rsidRPr="001B4A02">
              <w:t xml:space="preserve">dávkování </w:t>
            </w:r>
            <w:r w:rsidRPr="001B4A02">
              <w:t>na 40</w:t>
            </w:r>
            <w:r w:rsidR="00A7483D">
              <w:t> mg</w:t>
            </w:r>
            <w:r w:rsidRPr="001B4A02">
              <w:t xml:space="preserve"> </w:t>
            </w:r>
            <w:r w:rsidR="00DF4146" w:rsidRPr="00783FD1">
              <w:rPr>
                <w:szCs w:val="22"/>
              </w:rPr>
              <w:t>jednou týdně</w:t>
            </w:r>
            <w:r w:rsidR="00DF4146" w:rsidRPr="001B4A02">
              <w:t xml:space="preserve"> </w:t>
            </w:r>
            <w:r w:rsidR="00355655" w:rsidRPr="001B4A02">
              <w:t>nebo 80</w:t>
            </w:r>
            <w:r w:rsidR="00A7483D">
              <w:t> mg</w:t>
            </w:r>
            <w:r w:rsidR="00355655" w:rsidRPr="001B4A02">
              <w:t xml:space="preserve"> jednou za dva týdny</w:t>
            </w:r>
            <w:r w:rsidRPr="001B4A02">
              <w:t>.</w:t>
            </w:r>
          </w:p>
        </w:tc>
      </w:tr>
      <w:tr w:rsidR="00534A2D" w14:paraId="37FE3D31" w14:textId="77777777" w:rsidTr="008D112A">
        <w:tc>
          <w:tcPr>
            <w:tcW w:w="3095" w:type="dxa"/>
            <w:shd w:val="clear" w:color="auto" w:fill="auto"/>
          </w:tcPr>
          <w:p w14:paraId="5B4A0440" w14:textId="77777777" w:rsidR="00E64F28" w:rsidRPr="001B4A02" w:rsidRDefault="00000000" w:rsidP="00EB32F5">
            <w:pPr>
              <w:keepNext/>
              <w:numPr>
                <w:ilvl w:val="12"/>
                <w:numId w:val="0"/>
              </w:numPr>
              <w:ind w:right="-2"/>
            </w:pPr>
            <w:r w:rsidRPr="001B4A02">
              <w:t>Děti</w:t>
            </w:r>
            <w:r w:rsidR="002378E0">
              <w:t xml:space="preserve"> a </w:t>
            </w:r>
            <w:r w:rsidR="00075234" w:rsidRPr="001B4A02">
              <w:t xml:space="preserve">dospívající </w:t>
            </w:r>
            <w:r w:rsidRPr="001B4A02">
              <w:t>od 6</w:t>
            </w:r>
            <w:r w:rsidR="00075234" w:rsidRPr="001B4A02">
              <w:t xml:space="preserve"> do 17</w:t>
            </w:r>
            <w:r w:rsidRPr="001B4A02">
              <w:t xml:space="preserve"> let s hmotností </w:t>
            </w:r>
            <w:r w:rsidR="00783FD1" w:rsidRPr="001B4A02">
              <w:t>do</w:t>
            </w:r>
            <w:r w:rsidRPr="001B4A02">
              <w:t xml:space="preserve"> 40</w:t>
            </w:r>
            <w:r w:rsidR="002767FC">
              <w:t> kg</w:t>
            </w:r>
            <w:r w:rsidRPr="001B4A02">
              <w:t xml:space="preserve"> </w:t>
            </w:r>
          </w:p>
        </w:tc>
        <w:tc>
          <w:tcPr>
            <w:tcW w:w="3096" w:type="dxa"/>
            <w:shd w:val="clear" w:color="auto" w:fill="auto"/>
          </w:tcPr>
          <w:p w14:paraId="4191F20D" w14:textId="77777777" w:rsidR="00E64F28" w:rsidRPr="001B4A02" w:rsidRDefault="00000000" w:rsidP="00EB32F5">
            <w:pPr>
              <w:keepNext/>
              <w:ind w:left="0" w:firstLine="0"/>
            </w:pPr>
            <w:r w:rsidRPr="001B4A02">
              <w:t>P</w:t>
            </w:r>
            <w:r w:rsidR="00063784" w:rsidRPr="001B4A02">
              <w:t>rvní dávka 40</w:t>
            </w:r>
            <w:r w:rsidR="00A7483D">
              <w:t> mg</w:t>
            </w:r>
            <w:r w:rsidR="00063784" w:rsidRPr="001B4A02">
              <w:t xml:space="preserve"> následovaná o </w:t>
            </w:r>
            <w:r w:rsidRPr="001B4A02">
              <w:t>dva týdny později dávkou 20</w:t>
            </w:r>
            <w:r w:rsidR="00A7483D">
              <w:t> mg</w:t>
            </w:r>
            <w:r w:rsidRPr="001B4A02">
              <w:t>.</w:t>
            </w:r>
          </w:p>
          <w:p w14:paraId="16FFBEA8" w14:textId="77777777" w:rsidR="00E64F28" w:rsidRPr="001B4A02" w:rsidRDefault="00E64F28" w:rsidP="00EB32F5">
            <w:pPr>
              <w:keepNext/>
              <w:ind w:left="0" w:firstLine="0"/>
            </w:pPr>
          </w:p>
          <w:p w14:paraId="6C41F604" w14:textId="77777777" w:rsidR="00E64F28" w:rsidRPr="001B4A02" w:rsidRDefault="00000000" w:rsidP="00EB32F5">
            <w:pPr>
              <w:keepNext/>
              <w:numPr>
                <w:ilvl w:val="12"/>
                <w:numId w:val="0"/>
              </w:numPr>
            </w:pPr>
            <w:r w:rsidRPr="001B4A02">
              <w:t xml:space="preserve">Jestliže </w:t>
            </w:r>
            <w:r w:rsidR="004877C8" w:rsidRPr="001B4A02">
              <w:t>je vyžadována</w:t>
            </w:r>
            <w:r w:rsidRPr="001B4A02">
              <w:t xml:space="preserve"> rychlejší odpověď, lékař může předepsat první dávku 80</w:t>
            </w:r>
            <w:r w:rsidR="00A7483D">
              <w:t> mg</w:t>
            </w:r>
            <w:r w:rsidRPr="001B4A02">
              <w:t xml:space="preserve"> (</w:t>
            </w:r>
            <w:r w:rsidR="00F83AA8" w:rsidRPr="001B4A02">
              <w:t xml:space="preserve">jedna </w:t>
            </w:r>
            <w:r w:rsidRPr="001B4A02">
              <w:t>injekce</w:t>
            </w:r>
            <w:r w:rsidR="00F14ACE" w:rsidRPr="001B4A02">
              <w:t xml:space="preserve"> </w:t>
            </w:r>
            <w:r w:rsidR="00F14ACE" w:rsidRPr="001B4A02">
              <w:rPr>
                <w:szCs w:val="22"/>
              </w:rPr>
              <w:t>80</w:t>
            </w:r>
            <w:r w:rsidR="00A7483D">
              <w:rPr>
                <w:szCs w:val="22"/>
              </w:rPr>
              <w:t> mg</w:t>
            </w:r>
            <w:r w:rsidRPr="001B4A02">
              <w:t>) následovanou 40</w:t>
            </w:r>
            <w:r w:rsidR="00A7483D">
              <w:t> mg</w:t>
            </w:r>
            <w:r w:rsidRPr="001B4A02">
              <w:t xml:space="preserve"> o dva týdny později.</w:t>
            </w:r>
          </w:p>
          <w:p w14:paraId="3987E021" w14:textId="77777777" w:rsidR="00E64F28" w:rsidRPr="001B4A02" w:rsidRDefault="00E64F28" w:rsidP="00EB32F5">
            <w:pPr>
              <w:keepNext/>
              <w:numPr>
                <w:ilvl w:val="12"/>
                <w:numId w:val="0"/>
              </w:numPr>
            </w:pPr>
          </w:p>
          <w:p w14:paraId="2CAE2263" w14:textId="77777777" w:rsidR="00E64F28" w:rsidRPr="001B4A02" w:rsidRDefault="00000000" w:rsidP="00EB32F5">
            <w:pPr>
              <w:keepNext/>
              <w:numPr>
                <w:ilvl w:val="12"/>
                <w:numId w:val="0"/>
              </w:numPr>
              <w:ind w:right="-2"/>
            </w:pPr>
            <w:r w:rsidRPr="001B4A02">
              <w:t>Poté se podává obvyklá dávka 20</w:t>
            </w:r>
            <w:r w:rsidR="00A7483D">
              <w:t> mg</w:t>
            </w:r>
            <w:r w:rsidRPr="001B4A02">
              <w:t xml:space="preserve"> jednou za dva týdny.</w:t>
            </w:r>
          </w:p>
        </w:tc>
        <w:tc>
          <w:tcPr>
            <w:tcW w:w="3096" w:type="dxa"/>
            <w:shd w:val="clear" w:color="auto" w:fill="auto"/>
          </w:tcPr>
          <w:p w14:paraId="2F6A05FC" w14:textId="77777777" w:rsidR="00E64F28" w:rsidRPr="001B4A02" w:rsidRDefault="00000000" w:rsidP="00EB32F5">
            <w:pPr>
              <w:keepNext/>
              <w:ind w:left="0" w:firstLine="0"/>
            </w:pPr>
            <w:r w:rsidRPr="001B4A02">
              <w:t xml:space="preserve">Váš lékař může </w:t>
            </w:r>
            <w:r w:rsidR="004877C8" w:rsidRPr="001B4A02">
              <w:t>zvýšit frekvenci</w:t>
            </w:r>
            <w:r w:rsidRPr="001B4A02">
              <w:t xml:space="preserve"> </w:t>
            </w:r>
            <w:r w:rsidR="0096238D" w:rsidRPr="001B4A02">
              <w:t xml:space="preserve">dávkování </w:t>
            </w:r>
            <w:r w:rsidRPr="001B4A02">
              <w:t>na 20</w:t>
            </w:r>
            <w:r w:rsidR="00A7483D">
              <w:t> mg</w:t>
            </w:r>
            <w:r w:rsidRPr="001B4A02">
              <w:t xml:space="preserve"> </w:t>
            </w:r>
            <w:r w:rsidR="00DF4146" w:rsidRPr="00783FD1">
              <w:rPr>
                <w:szCs w:val="22"/>
              </w:rPr>
              <w:t>jednou týdně</w:t>
            </w:r>
            <w:r w:rsidRPr="001B4A02">
              <w:t>.</w:t>
            </w:r>
          </w:p>
          <w:p w14:paraId="11745C1B" w14:textId="77777777" w:rsidR="00E64F28" w:rsidRPr="001B4A02" w:rsidRDefault="00E64F28" w:rsidP="00EB32F5">
            <w:pPr>
              <w:keepNext/>
              <w:numPr>
                <w:ilvl w:val="12"/>
                <w:numId w:val="0"/>
              </w:numPr>
              <w:ind w:right="-2"/>
            </w:pPr>
          </w:p>
        </w:tc>
      </w:tr>
    </w:tbl>
    <w:p w14:paraId="2F7E6249" w14:textId="77777777" w:rsidR="008D112A" w:rsidRPr="001B4A02" w:rsidRDefault="008D112A" w:rsidP="00ED48A3">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5"/>
        <w:gridCol w:w="3021"/>
      </w:tblGrid>
      <w:tr w:rsidR="00534A2D" w14:paraId="2D5EFC7D" w14:textId="77777777" w:rsidTr="003F3934">
        <w:tc>
          <w:tcPr>
            <w:tcW w:w="9061" w:type="dxa"/>
            <w:gridSpan w:val="3"/>
            <w:shd w:val="clear" w:color="auto" w:fill="auto"/>
          </w:tcPr>
          <w:p w14:paraId="1E8D4A10" w14:textId="77777777" w:rsidR="00E64F28" w:rsidRPr="001B4A02" w:rsidRDefault="00000000" w:rsidP="00ED48A3">
            <w:pPr>
              <w:keepNext/>
              <w:numPr>
                <w:ilvl w:val="12"/>
                <w:numId w:val="0"/>
              </w:numPr>
              <w:ind w:right="-2"/>
              <w:rPr>
                <w:b/>
              </w:rPr>
            </w:pPr>
            <w:r w:rsidRPr="001B4A02">
              <w:rPr>
                <w:b/>
                <w:szCs w:val="22"/>
              </w:rPr>
              <w:t>Ulcerózní kolitida</w:t>
            </w:r>
          </w:p>
        </w:tc>
      </w:tr>
      <w:tr w:rsidR="00534A2D" w14:paraId="4A47B204" w14:textId="77777777" w:rsidTr="003F3934">
        <w:tc>
          <w:tcPr>
            <w:tcW w:w="3015" w:type="dxa"/>
            <w:shd w:val="clear" w:color="auto" w:fill="auto"/>
          </w:tcPr>
          <w:p w14:paraId="3009157D" w14:textId="77777777" w:rsidR="006F031F" w:rsidRPr="001B4A02" w:rsidRDefault="00000000" w:rsidP="00ED48A3">
            <w:pPr>
              <w:keepNext/>
              <w:numPr>
                <w:ilvl w:val="12"/>
                <w:numId w:val="0"/>
              </w:numPr>
              <w:ind w:right="-2"/>
            </w:pPr>
            <w:r w:rsidRPr="001B4A02">
              <w:rPr>
                <w:b/>
              </w:rPr>
              <w:t>Věk nebo tělesná hmotnost</w:t>
            </w:r>
          </w:p>
        </w:tc>
        <w:tc>
          <w:tcPr>
            <w:tcW w:w="3025" w:type="dxa"/>
            <w:shd w:val="clear" w:color="auto" w:fill="auto"/>
          </w:tcPr>
          <w:p w14:paraId="678A1A39" w14:textId="77777777" w:rsidR="006F031F" w:rsidRPr="001B4A02" w:rsidRDefault="00000000" w:rsidP="00ED48A3">
            <w:pPr>
              <w:keepNext/>
              <w:numPr>
                <w:ilvl w:val="12"/>
                <w:numId w:val="0"/>
              </w:numPr>
              <w:ind w:right="-2"/>
            </w:pPr>
            <w:r w:rsidRPr="001B4A02">
              <w:rPr>
                <w:b/>
              </w:rPr>
              <w:t xml:space="preserve">Kolik </w:t>
            </w:r>
            <w:r w:rsidR="00D32374" w:rsidRPr="001B4A02">
              <w:rPr>
                <w:b/>
              </w:rPr>
              <w:t>po</w:t>
            </w:r>
            <w:r w:rsidRPr="001B4A02">
              <w:rPr>
                <w:b/>
              </w:rPr>
              <w:t>užívat</w:t>
            </w:r>
            <w:r w:rsidR="002378E0">
              <w:rPr>
                <w:b/>
              </w:rPr>
              <w:t xml:space="preserve"> a </w:t>
            </w:r>
            <w:r w:rsidRPr="001B4A02">
              <w:rPr>
                <w:b/>
              </w:rPr>
              <w:t>jak často?</w:t>
            </w:r>
          </w:p>
        </w:tc>
        <w:tc>
          <w:tcPr>
            <w:tcW w:w="3021" w:type="dxa"/>
            <w:shd w:val="clear" w:color="auto" w:fill="auto"/>
          </w:tcPr>
          <w:p w14:paraId="381CF74A" w14:textId="77777777" w:rsidR="006F031F" w:rsidRPr="001B4A02" w:rsidRDefault="00000000" w:rsidP="00ED48A3">
            <w:pPr>
              <w:keepNext/>
              <w:numPr>
                <w:ilvl w:val="12"/>
                <w:numId w:val="0"/>
              </w:numPr>
              <w:ind w:right="-2"/>
            </w:pPr>
            <w:r w:rsidRPr="001B4A02">
              <w:rPr>
                <w:b/>
              </w:rPr>
              <w:t>Poznámky</w:t>
            </w:r>
          </w:p>
        </w:tc>
      </w:tr>
      <w:tr w:rsidR="00534A2D" w14:paraId="2E452A70" w14:textId="77777777" w:rsidTr="003F3934">
        <w:tc>
          <w:tcPr>
            <w:tcW w:w="3015" w:type="dxa"/>
            <w:shd w:val="clear" w:color="auto" w:fill="auto"/>
          </w:tcPr>
          <w:p w14:paraId="3B851F04" w14:textId="77777777" w:rsidR="006F031F" w:rsidRPr="001B4A02" w:rsidRDefault="00000000" w:rsidP="00ED48A3">
            <w:pPr>
              <w:keepNext/>
              <w:numPr>
                <w:ilvl w:val="12"/>
                <w:numId w:val="0"/>
              </w:numPr>
              <w:ind w:right="-2"/>
            </w:pPr>
            <w:r w:rsidRPr="001B4A02">
              <w:t>Dospělí</w:t>
            </w:r>
          </w:p>
        </w:tc>
        <w:tc>
          <w:tcPr>
            <w:tcW w:w="3025" w:type="dxa"/>
            <w:shd w:val="clear" w:color="auto" w:fill="auto"/>
          </w:tcPr>
          <w:p w14:paraId="7D03B4F1" w14:textId="77777777" w:rsidR="006F031F" w:rsidRPr="001B4A02" w:rsidRDefault="00000000" w:rsidP="00ED48A3">
            <w:pPr>
              <w:numPr>
                <w:ilvl w:val="12"/>
                <w:numId w:val="0"/>
              </w:numPr>
            </w:pPr>
            <w:r w:rsidRPr="001B4A02">
              <w:t>První dávka 160</w:t>
            </w:r>
            <w:r w:rsidR="00A7483D">
              <w:t> mg</w:t>
            </w:r>
            <w:r w:rsidRPr="001B4A02">
              <w:t xml:space="preserve"> (</w:t>
            </w:r>
            <w:r w:rsidR="00F83AA8" w:rsidRPr="001B4A02">
              <w:t xml:space="preserve">dvě </w:t>
            </w:r>
            <w:r w:rsidRPr="001B4A02">
              <w:t xml:space="preserve">injekce </w:t>
            </w:r>
            <w:r w:rsidR="00F14ACE" w:rsidRPr="001B4A02">
              <w:rPr>
                <w:szCs w:val="22"/>
              </w:rPr>
              <w:t>80</w:t>
            </w:r>
            <w:r w:rsidR="00A7483D">
              <w:rPr>
                <w:szCs w:val="22"/>
              </w:rPr>
              <w:t> mg</w:t>
            </w:r>
            <w:r w:rsidR="00F14ACE" w:rsidRPr="001B4A02">
              <w:t xml:space="preserve"> </w:t>
            </w:r>
            <w:r w:rsidR="004877C8" w:rsidRPr="001B4A02">
              <w:t>ve dni 1</w:t>
            </w:r>
            <w:r w:rsidRPr="001B4A02">
              <w:t xml:space="preserve"> nebo </w:t>
            </w:r>
            <w:r w:rsidR="00F83AA8" w:rsidRPr="001B4A02">
              <w:t xml:space="preserve">jedna </w:t>
            </w:r>
            <w:r w:rsidRPr="001B4A02">
              <w:t xml:space="preserve">injekce </w:t>
            </w:r>
            <w:r w:rsidR="009C0D06" w:rsidRPr="001B4A02">
              <w:rPr>
                <w:szCs w:val="22"/>
              </w:rPr>
              <w:t>80 mg</w:t>
            </w:r>
            <w:r w:rsidR="009C0D06" w:rsidRPr="001B4A02">
              <w:t xml:space="preserve"> </w:t>
            </w:r>
            <w:r w:rsidRPr="001B4A02">
              <w:t>denně po dva po sobě jdoucí dny) následovaná dávkou 80</w:t>
            </w:r>
            <w:r w:rsidR="00A7483D">
              <w:t> mg</w:t>
            </w:r>
            <w:r w:rsidRPr="001B4A02">
              <w:t xml:space="preserve"> (</w:t>
            </w:r>
            <w:r w:rsidR="00F83AA8" w:rsidRPr="001B4A02">
              <w:t xml:space="preserve">jedna </w:t>
            </w:r>
            <w:r w:rsidRPr="001B4A02">
              <w:t>injekce</w:t>
            </w:r>
            <w:r w:rsidR="00F14ACE" w:rsidRPr="001B4A02">
              <w:t xml:space="preserve"> </w:t>
            </w:r>
            <w:r w:rsidR="00F14ACE" w:rsidRPr="001B4A02">
              <w:rPr>
                <w:szCs w:val="22"/>
              </w:rPr>
              <w:t>80 mg</w:t>
            </w:r>
            <w:r w:rsidRPr="001B4A02">
              <w:t>) o dva týdny později.</w:t>
            </w:r>
          </w:p>
          <w:p w14:paraId="12416F40" w14:textId="77777777" w:rsidR="006F031F" w:rsidRPr="001B4A02" w:rsidRDefault="006F031F" w:rsidP="00ED48A3">
            <w:pPr>
              <w:numPr>
                <w:ilvl w:val="12"/>
                <w:numId w:val="0"/>
              </w:numPr>
            </w:pPr>
          </w:p>
          <w:p w14:paraId="73559ABA" w14:textId="77777777" w:rsidR="006F031F" w:rsidRPr="001B4A02" w:rsidRDefault="00000000" w:rsidP="00ED48A3">
            <w:pPr>
              <w:keepNext/>
              <w:numPr>
                <w:ilvl w:val="12"/>
                <w:numId w:val="0"/>
              </w:numPr>
            </w:pPr>
            <w:r>
              <w:t xml:space="preserve">Poté se podává </w:t>
            </w:r>
            <w:r w:rsidRPr="001B4A02">
              <w:t xml:space="preserve">obvyklá dávka 40 mg jednou za dva týdny. </w:t>
            </w:r>
          </w:p>
        </w:tc>
        <w:tc>
          <w:tcPr>
            <w:tcW w:w="3021" w:type="dxa"/>
            <w:shd w:val="clear" w:color="auto" w:fill="auto"/>
          </w:tcPr>
          <w:p w14:paraId="361DBF6B" w14:textId="77777777" w:rsidR="006F031F" w:rsidRPr="001B4A02" w:rsidRDefault="00000000" w:rsidP="00355655">
            <w:pPr>
              <w:keepNext/>
              <w:numPr>
                <w:ilvl w:val="12"/>
                <w:numId w:val="0"/>
              </w:numPr>
              <w:ind w:right="-2"/>
            </w:pPr>
            <w:r w:rsidRPr="001B4A02">
              <w:t xml:space="preserve">Váš lékař může </w:t>
            </w:r>
            <w:r w:rsidR="004877C8" w:rsidRPr="001B4A02">
              <w:t xml:space="preserve">zvýšit </w:t>
            </w:r>
            <w:r w:rsidR="0096238D" w:rsidRPr="001B4A02">
              <w:t xml:space="preserve">dávkování </w:t>
            </w:r>
            <w:r w:rsidRPr="001B4A02">
              <w:t>na 40</w:t>
            </w:r>
            <w:r w:rsidR="00A7483D">
              <w:t> mg</w:t>
            </w:r>
            <w:r w:rsidRPr="001B4A02">
              <w:t xml:space="preserve"> </w:t>
            </w:r>
            <w:r w:rsidR="00DF4146" w:rsidRPr="00783FD1">
              <w:rPr>
                <w:szCs w:val="22"/>
              </w:rPr>
              <w:t>jednou týdně</w:t>
            </w:r>
            <w:r w:rsidR="00355655" w:rsidRPr="001B4A02">
              <w:t xml:space="preserve"> nebo 80</w:t>
            </w:r>
            <w:r w:rsidR="00A7483D">
              <w:t> mg</w:t>
            </w:r>
            <w:r w:rsidR="00355655" w:rsidRPr="001B4A02">
              <w:t xml:space="preserve"> jednou za dva týdny</w:t>
            </w:r>
            <w:r w:rsidRPr="001B4A02">
              <w:t>.</w:t>
            </w:r>
          </w:p>
        </w:tc>
      </w:tr>
      <w:tr w:rsidR="00534A2D" w14:paraId="37477EF3" w14:textId="77777777" w:rsidTr="003F3934">
        <w:tc>
          <w:tcPr>
            <w:tcW w:w="3015" w:type="dxa"/>
            <w:shd w:val="clear" w:color="auto" w:fill="auto"/>
          </w:tcPr>
          <w:p w14:paraId="2E79D7DD" w14:textId="77777777" w:rsidR="003578CA" w:rsidRPr="001B4A02" w:rsidRDefault="00000000" w:rsidP="003578CA">
            <w:pPr>
              <w:keepNext/>
              <w:numPr>
                <w:ilvl w:val="12"/>
                <w:numId w:val="0"/>
              </w:numPr>
              <w:ind w:right="-2"/>
            </w:pPr>
            <w:bookmarkStart w:id="13841" w:name="_Hlk53583227"/>
            <w:r>
              <w:t>Děti</w:t>
            </w:r>
            <w:r w:rsidR="002378E0">
              <w:t xml:space="preserve"> a </w:t>
            </w:r>
            <w:r>
              <w:t>dospívající od 6 let s</w:t>
            </w:r>
            <w:r w:rsidR="002B46AE">
              <w:t> </w:t>
            </w:r>
            <w:r>
              <w:t>tělesnou hmotností do 40 kg</w:t>
            </w:r>
          </w:p>
        </w:tc>
        <w:tc>
          <w:tcPr>
            <w:tcW w:w="3025" w:type="dxa"/>
            <w:shd w:val="clear" w:color="auto" w:fill="auto"/>
          </w:tcPr>
          <w:p w14:paraId="135B1693" w14:textId="77777777" w:rsidR="003578CA" w:rsidRPr="00D01607" w:rsidRDefault="00000000" w:rsidP="003578CA">
            <w:pPr>
              <w:numPr>
                <w:ilvl w:val="12"/>
                <w:numId w:val="0"/>
              </w:numPr>
            </w:pPr>
            <w:r>
              <w:t>První dávka 80</w:t>
            </w:r>
            <w:r w:rsidR="00A7483D" w:rsidRPr="00005EC2">
              <w:rPr>
                <w:szCs w:val="22"/>
              </w:rPr>
              <w:t> </w:t>
            </w:r>
            <w:r>
              <w:t>mg (jedna injekce 80</w:t>
            </w:r>
            <w:r w:rsidR="00A7483D" w:rsidRPr="00005EC2">
              <w:rPr>
                <w:szCs w:val="22"/>
              </w:rPr>
              <w:t> </w:t>
            </w:r>
            <w:r>
              <w:t xml:space="preserve">mg) následovaná </w:t>
            </w:r>
            <w:r w:rsidR="004863E7" w:rsidRPr="00490910">
              <w:t xml:space="preserve">dávkou </w:t>
            </w:r>
            <w:r>
              <w:t>40</w:t>
            </w:r>
            <w:r w:rsidR="002B46AE">
              <w:t> </w:t>
            </w:r>
            <w:r>
              <w:t>mg (jedna injekce 40</w:t>
            </w:r>
            <w:r w:rsidR="00A7483D" w:rsidRPr="00005EC2">
              <w:rPr>
                <w:szCs w:val="22"/>
              </w:rPr>
              <w:t> </w:t>
            </w:r>
            <w:r>
              <w:t>mg) o dva týdny později.</w:t>
            </w:r>
          </w:p>
          <w:p w14:paraId="287DBE5A" w14:textId="77777777" w:rsidR="003578CA" w:rsidRPr="00D01607" w:rsidRDefault="003578CA" w:rsidP="003578CA">
            <w:pPr>
              <w:numPr>
                <w:ilvl w:val="12"/>
                <w:numId w:val="0"/>
              </w:numPr>
            </w:pPr>
          </w:p>
          <w:p w14:paraId="7AFC37F7" w14:textId="77777777" w:rsidR="003578CA" w:rsidRPr="001B4A02" w:rsidRDefault="00000000" w:rsidP="003578CA">
            <w:pPr>
              <w:numPr>
                <w:ilvl w:val="12"/>
                <w:numId w:val="0"/>
              </w:numPr>
            </w:pPr>
            <w:r>
              <w:t>Poté se podává obvyklá dávka 40</w:t>
            </w:r>
            <w:r w:rsidR="00A7483D" w:rsidRPr="00005EC2">
              <w:rPr>
                <w:szCs w:val="22"/>
              </w:rPr>
              <w:t> </w:t>
            </w:r>
            <w:r>
              <w:t>mg jednou za dva týdny.</w:t>
            </w:r>
          </w:p>
        </w:tc>
        <w:tc>
          <w:tcPr>
            <w:tcW w:w="3021" w:type="dxa"/>
            <w:shd w:val="clear" w:color="auto" w:fill="auto"/>
          </w:tcPr>
          <w:p w14:paraId="38FC048E" w14:textId="77777777" w:rsidR="003578CA" w:rsidRPr="001B4A02" w:rsidRDefault="00000000" w:rsidP="003578CA">
            <w:pPr>
              <w:keepNext/>
              <w:numPr>
                <w:ilvl w:val="12"/>
                <w:numId w:val="0"/>
              </w:numPr>
              <w:ind w:right="-2"/>
            </w:pPr>
            <w:r>
              <w:t>Měl</w:t>
            </w:r>
            <w:r w:rsidR="002B46AE">
              <w:t>(a)</w:t>
            </w:r>
            <w:r>
              <w:t xml:space="preserve"> byste nadále </w:t>
            </w:r>
            <w:r w:rsidR="00C468CD">
              <w:t>po</w:t>
            </w:r>
            <w:r>
              <w:t>užívat přípravek Humira v obvyklé dávce,</w:t>
            </w:r>
            <w:r w:rsidR="002378E0">
              <w:t xml:space="preserve"> a </w:t>
            </w:r>
            <w:r>
              <w:t>to i po dosažení věku 18 let.</w:t>
            </w:r>
          </w:p>
        </w:tc>
      </w:tr>
      <w:tr w:rsidR="00534A2D" w14:paraId="7C89018D" w14:textId="77777777" w:rsidTr="003F3934">
        <w:tc>
          <w:tcPr>
            <w:tcW w:w="3015" w:type="dxa"/>
            <w:shd w:val="clear" w:color="auto" w:fill="auto"/>
          </w:tcPr>
          <w:p w14:paraId="4CDDEF11" w14:textId="77777777" w:rsidR="003578CA" w:rsidRPr="001B4A02" w:rsidRDefault="00000000" w:rsidP="003578CA">
            <w:pPr>
              <w:keepNext/>
              <w:numPr>
                <w:ilvl w:val="12"/>
                <w:numId w:val="0"/>
              </w:numPr>
              <w:ind w:right="-2"/>
            </w:pPr>
            <w:r>
              <w:t>Děti</w:t>
            </w:r>
            <w:r w:rsidR="002378E0">
              <w:t xml:space="preserve"> a </w:t>
            </w:r>
            <w:r>
              <w:t>dospívající od 6 let s</w:t>
            </w:r>
            <w:r w:rsidR="002B46AE">
              <w:t> </w:t>
            </w:r>
            <w:r>
              <w:t>tělesnou hmotností 40 kg nebo vyšší</w:t>
            </w:r>
          </w:p>
        </w:tc>
        <w:tc>
          <w:tcPr>
            <w:tcW w:w="3025" w:type="dxa"/>
            <w:shd w:val="clear" w:color="auto" w:fill="auto"/>
          </w:tcPr>
          <w:p w14:paraId="79294141" w14:textId="77777777" w:rsidR="003578CA" w:rsidRPr="00D01607" w:rsidRDefault="00000000" w:rsidP="003578CA">
            <w:pPr>
              <w:numPr>
                <w:ilvl w:val="12"/>
                <w:numId w:val="0"/>
              </w:numPr>
            </w:pPr>
            <w:r>
              <w:t>První dávka 160</w:t>
            </w:r>
            <w:r w:rsidR="00A7483D" w:rsidRPr="00005EC2">
              <w:rPr>
                <w:szCs w:val="22"/>
              </w:rPr>
              <w:t> </w:t>
            </w:r>
            <w:r>
              <w:t>mg (dvě injekce 80</w:t>
            </w:r>
            <w:r w:rsidR="00A7483D" w:rsidRPr="00005EC2">
              <w:rPr>
                <w:szCs w:val="22"/>
              </w:rPr>
              <w:t> </w:t>
            </w:r>
            <w:r>
              <w:t>mg v</w:t>
            </w:r>
            <w:r w:rsidR="002B46AE">
              <w:t> </w:t>
            </w:r>
            <w:r>
              <w:t>jednom dni nebo jedna injekce 80</w:t>
            </w:r>
            <w:r w:rsidR="00A7483D" w:rsidRPr="00005EC2">
              <w:rPr>
                <w:szCs w:val="22"/>
              </w:rPr>
              <w:t> </w:t>
            </w:r>
            <w:r>
              <w:t>mg denně ve dvou po sobě jdoucích dnech) následovaná dávkou 80</w:t>
            </w:r>
            <w:r w:rsidR="00A7483D" w:rsidRPr="00005EC2">
              <w:rPr>
                <w:szCs w:val="22"/>
              </w:rPr>
              <w:t> </w:t>
            </w:r>
            <w:r>
              <w:t>mg (jedna injekce 80</w:t>
            </w:r>
            <w:r w:rsidR="00A7483D" w:rsidRPr="00005EC2">
              <w:rPr>
                <w:szCs w:val="22"/>
              </w:rPr>
              <w:t> </w:t>
            </w:r>
            <w:r>
              <w:t>mg) o dva týdny později.</w:t>
            </w:r>
          </w:p>
          <w:p w14:paraId="3EB951E6" w14:textId="77777777" w:rsidR="003578CA" w:rsidRPr="00D01607" w:rsidRDefault="003578CA" w:rsidP="003578CA">
            <w:pPr>
              <w:numPr>
                <w:ilvl w:val="12"/>
                <w:numId w:val="0"/>
              </w:numPr>
            </w:pPr>
          </w:p>
          <w:p w14:paraId="6687C4FC" w14:textId="77777777" w:rsidR="003578CA" w:rsidRPr="001B4A02" w:rsidRDefault="00000000" w:rsidP="003578CA">
            <w:pPr>
              <w:numPr>
                <w:ilvl w:val="12"/>
                <w:numId w:val="0"/>
              </w:numPr>
            </w:pPr>
            <w:r>
              <w:t>Poté se podává obvyklá dávka 80</w:t>
            </w:r>
            <w:r w:rsidR="00A7483D" w:rsidRPr="00005EC2">
              <w:rPr>
                <w:szCs w:val="22"/>
              </w:rPr>
              <w:t> </w:t>
            </w:r>
            <w:r>
              <w:t>mg jednou za dva týdny.</w:t>
            </w:r>
          </w:p>
        </w:tc>
        <w:tc>
          <w:tcPr>
            <w:tcW w:w="3021" w:type="dxa"/>
            <w:shd w:val="clear" w:color="auto" w:fill="auto"/>
          </w:tcPr>
          <w:p w14:paraId="019CEEFD" w14:textId="77777777" w:rsidR="003578CA" w:rsidRPr="001B4A02" w:rsidRDefault="00000000" w:rsidP="003578CA">
            <w:pPr>
              <w:keepNext/>
              <w:numPr>
                <w:ilvl w:val="12"/>
                <w:numId w:val="0"/>
              </w:numPr>
              <w:ind w:right="-2"/>
            </w:pPr>
            <w:r>
              <w:t>Měl</w:t>
            </w:r>
            <w:r w:rsidR="002B46AE">
              <w:t>(a)</w:t>
            </w:r>
            <w:r>
              <w:t xml:space="preserve"> byste nadále </w:t>
            </w:r>
            <w:r w:rsidR="00C468CD">
              <w:t>po</w:t>
            </w:r>
            <w:r>
              <w:t>užívat přípravek Humira v obvyklé dávce,</w:t>
            </w:r>
            <w:r w:rsidR="002378E0">
              <w:t xml:space="preserve"> a </w:t>
            </w:r>
            <w:r>
              <w:t>to i po dosažení věku 18 let.</w:t>
            </w:r>
          </w:p>
        </w:tc>
      </w:tr>
      <w:bookmarkEnd w:id="13841"/>
    </w:tbl>
    <w:p w14:paraId="2F0D6D6B" w14:textId="77777777" w:rsidR="008D112A" w:rsidRPr="001B4A02" w:rsidRDefault="008D112A" w:rsidP="00ED48A3">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3022"/>
        <w:gridCol w:w="3029"/>
      </w:tblGrid>
      <w:tr w:rsidR="00534A2D" w14:paraId="6B61105B" w14:textId="77777777" w:rsidTr="008D112A">
        <w:tc>
          <w:tcPr>
            <w:tcW w:w="9287" w:type="dxa"/>
            <w:gridSpan w:val="3"/>
            <w:shd w:val="clear" w:color="auto" w:fill="auto"/>
          </w:tcPr>
          <w:p w14:paraId="312B762B" w14:textId="77777777" w:rsidR="006F031F" w:rsidRPr="001B4A02" w:rsidRDefault="00000000" w:rsidP="00ED48A3">
            <w:pPr>
              <w:numPr>
                <w:ilvl w:val="12"/>
                <w:numId w:val="0"/>
              </w:numPr>
              <w:ind w:right="-2"/>
              <w:rPr>
                <w:b/>
              </w:rPr>
            </w:pPr>
            <w:r w:rsidRPr="001B4A02">
              <w:rPr>
                <w:b/>
                <w:szCs w:val="22"/>
              </w:rPr>
              <w:t>Neinfekční uveitida</w:t>
            </w:r>
          </w:p>
        </w:tc>
      </w:tr>
      <w:tr w:rsidR="00534A2D" w14:paraId="1DE23750" w14:textId="77777777" w:rsidTr="008D112A">
        <w:tc>
          <w:tcPr>
            <w:tcW w:w="3095" w:type="dxa"/>
            <w:shd w:val="clear" w:color="auto" w:fill="auto"/>
          </w:tcPr>
          <w:p w14:paraId="05BD70DE" w14:textId="77777777" w:rsidR="006F031F" w:rsidRPr="001B4A02" w:rsidRDefault="00000000" w:rsidP="00ED48A3">
            <w:pPr>
              <w:numPr>
                <w:ilvl w:val="12"/>
                <w:numId w:val="0"/>
              </w:numPr>
              <w:ind w:right="-2"/>
            </w:pPr>
            <w:r w:rsidRPr="001B4A02">
              <w:rPr>
                <w:b/>
              </w:rPr>
              <w:t>Věk nebo tělesná hmotnost</w:t>
            </w:r>
          </w:p>
        </w:tc>
        <w:tc>
          <w:tcPr>
            <w:tcW w:w="3096" w:type="dxa"/>
            <w:shd w:val="clear" w:color="auto" w:fill="auto"/>
          </w:tcPr>
          <w:p w14:paraId="4F9FA739" w14:textId="77777777" w:rsidR="006F031F" w:rsidRPr="001B4A02" w:rsidRDefault="00000000" w:rsidP="00ED48A3">
            <w:pPr>
              <w:tabs>
                <w:tab w:val="left" w:pos="0"/>
              </w:tabs>
            </w:pPr>
            <w:r w:rsidRPr="001B4A02">
              <w:rPr>
                <w:b/>
              </w:rPr>
              <w:t xml:space="preserve">Kolik </w:t>
            </w:r>
            <w:r w:rsidR="00D32374" w:rsidRPr="001B4A02">
              <w:rPr>
                <w:b/>
              </w:rPr>
              <w:t>po</w:t>
            </w:r>
            <w:r w:rsidRPr="001B4A02">
              <w:rPr>
                <w:b/>
              </w:rPr>
              <w:t>užívat</w:t>
            </w:r>
            <w:r w:rsidR="002378E0">
              <w:rPr>
                <w:b/>
              </w:rPr>
              <w:t xml:space="preserve"> a </w:t>
            </w:r>
            <w:r w:rsidRPr="001B4A02">
              <w:rPr>
                <w:b/>
              </w:rPr>
              <w:t>jak často?</w:t>
            </w:r>
          </w:p>
        </w:tc>
        <w:tc>
          <w:tcPr>
            <w:tcW w:w="3096" w:type="dxa"/>
            <w:shd w:val="clear" w:color="auto" w:fill="auto"/>
          </w:tcPr>
          <w:p w14:paraId="3ADF26D9" w14:textId="77777777" w:rsidR="006F031F" w:rsidRPr="001B4A02" w:rsidRDefault="00000000" w:rsidP="00ED48A3">
            <w:pPr>
              <w:numPr>
                <w:ilvl w:val="12"/>
                <w:numId w:val="0"/>
              </w:numPr>
              <w:rPr>
                <w:highlight w:val="yellow"/>
              </w:rPr>
            </w:pPr>
            <w:r w:rsidRPr="001B4A02">
              <w:rPr>
                <w:b/>
              </w:rPr>
              <w:t>Poznámky</w:t>
            </w:r>
          </w:p>
        </w:tc>
      </w:tr>
      <w:tr w:rsidR="00534A2D" w14:paraId="3EAB7184" w14:textId="77777777" w:rsidTr="008D112A">
        <w:tc>
          <w:tcPr>
            <w:tcW w:w="3095" w:type="dxa"/>
            <w:shd w:val="clear" w:color="auto" w:fill="auto"/>
          </w:tcPr>
          <w:p w14:paraId="0A70C1CC" w14:textId="77777777" w:rsidR="006F031F" w:rsidRPr="001B4A02" w:rsidRDefault="00000000" w:rsidP="00ED48A3">
            <w:pPr>
              <w:numPr>
                <w:ilvl w:val="12"/>
                <w:numId w:val="0"/>
              </w:numPr>
              <w:ind w:right="-2"/>
            </w:pPr>
            <w:r w:rsidRPr="001B4A02">
              <w:t>Dospělí</w:t>
            </w:r>
          </w:p>
        </w:tc>
        <w:tc>
          <w:tcPr>
            <w:tcW w:w="3096" w:type="dxa"/>
            <w:shd w:val="clear" w:color="auto" w:fill="auto"/>
          </w:tcPr>
          <w:p w14:paraId="22C75866" w14:textId="77777777" w:rsidR="006F031F" w:rsidRPr="001B4A02" w:rsidRDefault="00000000" w:rsidP="00ED48A3">
            <w:pPr>
              <w:ind w:left="0" w:firstLine="0"/>
            </w:pPr>
            <w:r w:rsidRPr="001B4A02">
              <w:t>První dávka 80</w:t>
            </w:r>
            <w:r w:rsidR="00A7483D">
              <w:t> mg</w:t>
            </w:r>
            <w:r w:rsidRPr="001B4A02">
              <w:t xml:space="preserve"> (</w:t>
            </w:r>
            <w:r w:rsidR="00F83AA8" w:rsidRPr="001B4A02">
              <w:t xml:space="preserve">jedna </w:t>
            </w:r>
            <w:r w:rsidRPr="001B4A02">
              <w:t>injekce</w:t>
            </w:r>
            <w:r w:rsidR="00F14ACE" w:rsidRPr="001B4A02">
              <w:t xml:space="preserve"> </w:t>
            </w:r>
            <w:r w:rsidR="00F14ACE" w:rsidRPr="001B4A02">
              <w:rPr>
                <w:szCs w:val="22"/>
              </w:rPr>
              <w:t>80</w:t>
            </w:r>
            <w:r w:rsidR="00A7483D">
              <w:rPr>
                <w:szCs w:val="22"/>
              </w:rPr>
              <w:t> mg</w:t>
            </w:r>
            <w:r w:rsidRPr="001B4A02">
              <w:t>) následovaná dávkou 40</w:t>
            </w:r>
            <w:r w:rsidR="00A7483D">
              <w:t> mg</w:t>
            </w:r>
            <w:r w:rsidRPr="001B4A02">
              <w:t xml:space="preserve"> jednou za dva týdny, počínaje jedn</w:t>
            </w:r>
            <w:r w:rsidR="00032F16" w:rsidRPr="001B4A02">
              <w:t>ím</w:t>
            </w:r>
            <w:r w:rsidRPr="001B4A02">
              <w:t xml:space="preserve"> týdn</w:t>
            </w:r>
            <w:r w:rsidR="00032F16" w:rsidRPr="001B4A02">
              <w:t>em</w:t>
            </w:r>
            <w:r w:rsidRPr="001B4A02">
              <w:t xml:space="preserve"> po první dávce.</w:t>
            </w:r>
          </w:p>
        </w:tc>
        <w:tc>
          <w:tcPr>
            <w:tcW w:w="3096" w:type="dxa"/>
            <w:shd w:val="clear" w:color="auto" w:fill="auto"/>
          </w:tcPr>
          <w:p w14:paraId="5496F7C0" w14:textId="77777777" w:rsidR="006F031F" w:rsidRPr="001B4A02" w:rsidRDefault="00000000" w:rsidP="00ED48A3">
            <w:pPr>
              <w:numPr>
                <w:ilvl w:val="12"/>
                <w:numId w:val="0"/>
              </w:numPr>
            </w:pPr>
            <w:r w:rsidRPr="001B4A02">
              <w:t>Během používání přípravku Humira je možno pokračovat v podávání kortikosteroidů nebo jiných léků, které ovlivňují imunitní syst</w:t>
            </w:r>
            <w:r w:rsidR="00A27A27" w:rsidRPr="001B4A02">
              <w:t>é</w:t>
            </w:r>
            <w:r w:rsidRPr="001B4A02">
              <w:t>m. Přípravek Humira se rovněž může podávat samotný.</w:t>
            </w:r>
          </w:p>
        </w:tc>
      </w:tr>
      <w:tr w:rsidR="00534A2D" w14:paraId="6E4D73E3" w14:textId="77777777" w:rsidTr="008D112A">
        <w:tc>
          <w:tcPr>
            <w:tcW w:w="3095" w:type="dxa"/>
            <w:shd w:val="clear" w:color="auto" w:fill="auto"/>
          </w:tcPr>
          <w:p w14:paraId="522EBCF4" w14:textId="77777777" w:rsidR="00AD3FC6" w:rsidRPr="001B4A02" w:rsidRDefault="00000000" w:rsidP="00E44302">
            <w:pPr>
              <w:keepNext/>
              <w:numPr>
                <w:ilvl w:val="12"/>
                <w:numId w:val="0"/>
              </w:numPr>
              <w:ind w:right="-2"/>
            </w:pPr>
            <w:r w:rsidRPr="001B4A02">
              <w:t>Děti</w:t>
            </w:r>
            <w:r w:rsidR="002378E0">
              <w:t xml:space="preserve"> a </w:t>
            </w:r>
            <w:r w:rsidR="00075234" w:rsidRPr="001B4A02">
              <w:t>dospívající</w:t>
            </w:r>
            <w:r w:rsidRPr="001B4A02">
              <w:t xml:space="preserve"> </w:t>
            </w:r>
            <w:r w:rsidR="00E44302" w:rsidRPr="001B4A02">
              <w:t xml:space="preserve">od 2 let </w:t>
            </w:r>
            <w:r w:rsidRPr="001B4A02">
              <w:t>s</w:t>
            </w:r>
            <w:r w:rsidR="00075234" w:rsidRPr="001B4A02">
              <w:t> </w:t>
            </w:r>
            <w:r w:rsidRPr="001B4A02">
              <w:t xml:space="preserve">tělesnou hmotností </w:t>
            </w:r>
            <w:r w:rsidR="00783FD1" w:rsidRPr="001B4A02">
              <w:t>do</w:t>
            </w:r>
            <w:r w:rsidRPr="001B4A02">
              <w:t xml:space="preserve"> 30 kg</w:t>
            </w:r>
          </w:p>
        </w:tc>
        <w:tc>
          <w:tcPr>
            <w:tcW w:w="3096" w:type="dxa"/>
            <w:shd w:val="clear" w:color="auto" w:fill="auto"/>
          </w:tcPr>
          <w:p w14:paraId="6613BAF9" w14:textId="77777777" w:rsidR="00AD3FC6" w:rsidRPr="001B4A02" w:rsidRDefault="00000000" w:rsidP="00003181">
            <w:pPr>
              <w:keepNext/>
              <w:ind w:left="0" w:firstLine="0"/>
            </w:pPr>
            <w:r w:rsidRPr="001B4A02">
              <w:t>20 mg jednou za dva týdny</w:t>
            </w:r>
          </w:p>
        </w:tc>
        <w:tc>
          <w:tcPr>
            <w:tcW w:w="3096" w:type="dxa"/>
            <w:shd w:val="clear" w:color="auto" w:fill="auto"/>
          </w:tcPr>
          <w:p w14:paraId="1DF8D699" w14:textId="77777777" w:rsidR="00AD3FC6" w:rsidRPr="001B4A02" w:rsidRDefault="00000000" w:rsidP="00003181">
            <w:pPr>
              <w:keepNext/>
              <w:numPr>
                <w:ilvl w:val="12"/>
                <w:numId w:val="0"/>
              </w:numPr>
            </w:pPr>
            <w:r w:rsidRPr="001B4A02">
              <w:t>Váš lékař může předepsat úvodní dávku 40 mg, která bude podána jeden týden před zahájením obvyklé</w:t>
            </w:r>
            <w:r w:rsidR="0096238D" w:rsidRPr="001B4A02">
              <w:t>ho dávkování</w:t>
            </w:r>
            <w:r w:rsidRPr="001B4A02">
              <w:t xml:space="preserve"> 20 mg jednou za dva týdny. Přípravek Humira je doporučen pro použití v</w:t>
            </w:r>
            <w:r w:rsidR="00075234" w:rsidRPr="001B4A02">
              <w:t> </w:t>
            </w:r>
            <w:r w:rsidRPr="001B4A02">
              <w:t>kombinaci s</w:t>
            </w:r>
            <w:r w:rsidR="00075234" w:rsidRPr="001B4A02">
              <w:t> </w:t>
            </w:r>
            <w:r w:rsidRPr="001B4A02">
              <w:t>methotrexátem.</w:t>
            </w:r>
          </w:p>
        </w:tc>
      </w:tr>
      <w:tr w:rsidR="00534A2D" w14:paraId="52C7D386" w14:textId="77777777" w:rsidTr="008D112A">
        <w:tc>
          <w:tcPr>
            <w:tcW w:w="3095" w:type="dxa"/>
            <w:shd w:val="clear" w:color="auto" w:fill="auto"/>
          </w:tcPr>
          <w:p w14:paraId="2C63B02C" w14:textId="77777777" w:rsidR="00AD3FC6" w:rsidRPr="001B4A02" w:rsidRDefault="00000000" w:rsidP="00E44302">
            <w:pPr>
              <w:numPr>
                <w:ilvl w:val="12"/>
                <w:numId w:val="0"/>
              </w:numPr>
              <w:ind w:right="-2"/>
            </w:pPr>
            <w:r w:rsidRPr="001B4A02">
              <w:t>Děti</w:t>
            </w:r>
            <w:r w:rsidR="002378E0">
              <w:t xml:space="preserve"> a </w:t>
            </w:r>
            <w:r w:rsidR="00075234" w:rsidRPr="001B4A02">
              <w:t>dospívající</w:t>
            </w:r>
            <w:r w:rsidRPr="001B4A02">
              <w:t xml:space="preserve"> </w:t>
            </w:r>
            <w:r w:rsidR="00E44302" w:rsidRPr="001B4A02">
              <w:t xml:space="preserve">od 2 let </w:t>
            </w:r>
            <w:r w:rsidRPr="001B4A02">
              <w:t>s tělesnou hmotností 30 kg</w:t>
            </w:r>
            <w:r w:rsidR="0088128B" w:rsidRPr="001B4A02">
              <w:t xml:space="preserve"> nebo </w:t>
            </w:r>
            <w:r w:rsidR="001D2B8E" w:rsidRPr="001B4A02">
              <w:t>vyšší</w:t>
            </w:r>
          </w:p>
        </w:tc>
        <w:tc>
          <w:tcPr>
            <w:tcW w:w="3096" w:type="dxa"/>
            <w:shd w:val="clear" w:color="auto" w:fill="auto"/>
          </w:tcPr>
          <w:p w14:paraId="076A4042" w14:textId="77777777" w:rsidR="00AD3FC6" w:rsidRPr="001B4A02" w:rsidRDefault="00000000" w:rsidP="00ED48A3">
            <w:pPr>
              <w:ind w:left="0" w:firstLine="0"/>
            </w:pPr>
            <w:r w:rsidRPr="001B4A02">
              <w:t>40 mg jednou za dva týdny</w:t>
            </w:r>
          </w:p>
        </w:tc>
        <w:tc>
          <w:tcPr>
            <w:tcW w:w="3096" w:type="dxa"/>
            <w:shd w:val="clear" w:color="auto" w:fill="auto"/>
          </w:tcPr>
          <w:p w14:paraId="122FE744" w14:textId="77777777" w:rsidR="00AD3FC6" w:rsidRPr="001B4A02" w:rsidRDefault="00000000" w:rsidP="00557275">
            <w:pPr>
              <w:numPr>
                <w:ilvl w:val="12"/>
                <w:numId w:val="0"/>
              </w:numPr>
            </w:pPr>
            <w:r w:rsidRPr="001B4A02">
              <w:t>Váš lékař může předepsat úvodní dávku 80 mg, která bude podána jeden týden před zahájením obvyklé</w:t>
            </w:r>
            <w:r w:rsidR="0096238D" w:rsidRPr="001B4A02">
              <w:t>ho dávkování</w:t>
            </w:r>
            <w:r w:rsidRPr="001B4A02">
              <w:t xml:space="preserve"> 40 mg jednou za dva týdny. Přípravek Humira je doporučen pro použití v kombinaci s methotrexátem.</w:t>
            </w:r>
          </w:p>
        </w:tc>
      </w:tr>
    </w:tbl>
    <w:p w14:paraId="570AA1E1" w14:textId="77777777" w:rsidR="008D112A" w:rsidRPr="001B4A02" w:rsidRDefault="008D112A" w:rsidP="00ED48A3">
      <w:pPr>
        <w:pStyle w:val="EMEAHeadingLeaflet"/>
        <w:spacing w:beforeLines="0" w:afterLines="0"/>
        <w:rPr>
          <w:rFonts w:ascii="Times New Roman" w:hAnsi="Times New Roman"/>
          <w:b w:val="0"/>
          <w:lang w:val="cs-CZ"/>
        </w:rPr>
      </w:pPr>
    </w:p>
    <w:p w14:paraId="4DF12BA6" w14:textId="77777777" w:rsidR="00831C68" w:rsidRPr="001B4A02" w:rsidRDefault="00000000" w:rsidP="00ED48A3">
      <w:pPr>
        <w:keepNext/>
        <w:ind w:left="0" w:firstLine="0"/>
        <w:rPr>
          <w:b/>
          <w:szCs w:val="22"/>
        </w:rPr>
      </w:pPr>
      <w:r w:rsidRPr="001B4A02">
        <w:rPr>
          <w:b/>
          <w:szCs w:val="22"/>
        </w:rPr>
        <w:t>Způsob</w:t>
      </w:r>
      <w:r w:rsidR="002378E0">
        <w:rPr>
          <w:b/>
          <w:szCs w:val="22"/>
        </w:rPr>
        <w:t xml:space="preserve"> a </w:t>
      </w:r>
      <w:r w:rsidRPr="001B4A02">
        <w:rPr>
          <w:b/>
          <w:szCs w:val="22"/>
        </w:rPr>
        <w:t>cesta podání</w:t>
      </w:r>
    </w:p>
    <w:p w14:paraId="38246343" w14:textId="77777777" w:rsidR="00831C68" w:rsidRPr="001B4A02" w:rsidRDefault="00831C68" w:rsidP="00ED48A3">
      <w:pPr>
        <w:keepNext/>
        <w:ind w:left="0" w:firstLine="0"/>
        <w:rPr>
          <w:szCs w:val="22"/>
        </w:rPr>
      </w:pPr>
    </w:p>
    <w:p w14:paraId="6700C0A7" w14:textId="77777777" w:rsidR="00831C68" w:rsidRPr="001B4A02" w:rsidRDefault="00000000" w:rsidP="00874C8D">
      <w:pPr>
        <w:ind w:left="0" w:firstLine="0"/>
        <w:rPr>
          <w:szCs w:val="22"/>
        </w:rPr>
      </w:pPr>
      <w:r w:rsidRPr="001B4A02">
        <w:rPr>
          <w:szCs w:val="22"/>
        </w:rPr>
        <w:t>Přípravek Humira se podává injekčně pod kůži (subkutánní injekcí).</w:t>
      </w:r>
    </w:p>
    <w:p w14:paraId="22EBB32B" w14:textId="77777777" w:rsidR="00831C68" w:rsidRPr="001B4A02" w:rsidRDefault="00831C68" w:rsidP="00ED48A3">
      <w:pPr>
        <w:ind w:left="0" w:firstLine="0"/>
        <w:rPr>
          <w:szCs w:val="22"/>
        </w:rPr>
      </w:pPr>
    </w:p>
    <w:p w14:paraId="47452CB2" w14:textId="77777777" w:rsidR="00831C68" w:rsidRPr="001B4A02" w:rsidRDefault="00000000" w:rsidP="00ED48A3">
      <w:pPr>
        <w:ind w:left="0" w:firstLine="0"/>
        <w:rPr>
          <w:b/>
          <w:szCs w:val="22"/>
        </w:rPr>
      </w:pPr>
      <w:r w:rsidRPr="001B4A02">
        <w:rPr>
          <w:b/>
          <w:szCs w:val="22"/>
        </w:rPr>
        <w:t>Podrobné pokyny k injikování přípravku Humira jsou uvedeny v bodě 7 „</w:t>
      </w:r>
      <w:r w:rsidR="009A3A57">
        <w:rPr>
          <w:b/>
          <w:szCs w:val="22"/>
        </w:rPr>
        <w:t>Aplikace injekce přípravku Humira</w:t>
      </w:r>
      <w:r w:rsidRPr="001B4A02">
        <w:rPr>
          <w:b/>
          <w:szCs w:val="22"/>
        </w:rPr>
        <w:t>“.</w:t>
      </w:r>
    </w:p>
    <w:p w14:paraId="43D08BB8" w14:textId="77777777" w:rsidR="00831C68" w:rsidRPr="001B4A02" w:rsidRDefault="00831C68" w:rsidP="00ED48A3">
      <w:pPr>
        <w:pStyle w:val="EMEANormal"/>
        <w:tabs>
          <w:tab w:val="left" w:pos="720"/>
        </w:tabs>
        <w:ind w:left="550" w:hanging="550"/>
        <w:rPr>
          <w:szCs w:val="22"/>
          <w:lang w:val="cs-CZ"/>
        </w:rPr>
      </w:pPr>
    </w:p>
    <w:p w14:paraId="328CF0A1" w14:textId="77777777" w:rsidR="00831C68" w:rsidRPr="001B4A02" w:rsidRDefault="00000000" w:rsidP="008F1B0E">
      <w:pPr>
        <w:keepNext/>
        <w:ind w:left="0" w:firstLine="0"/>
        <w:rPr>
          <w:b/>
          <w:szCs w:val="22"/>
        </w:rPr>
      </w:pPr>
      <w:r w:rsidRPr="001B4A02">
        <w:rPr>
          <w:b/>
          <w:szCs w:val="22"/>
        </w:rPr>
        <w:t xml:space="preserve">Jestliže jste </w:t>
      </w:r>
      <w:r w:rsidR="00D32374" w:rsidRPr="001B4A02">
        <w:rPr>
          <w:b/>
          <w:szCs w:val="22"/>
        </w:rPr>
        <w:t>po</w:t>
      </w:r>
      <w:r w:rsidRPr="001B4A02">
        <w:rPr>
          <w:b/>
          <w:szCs w:val="22"/>
        </w:rPr>
        <w:t>užil(a) více přípravku Humira, než jste měl(a)</w:t>
      </w:r>
    </w:p>
    <w:p w14:paraId="63F821B5" w14:textId="77777777" w:rsidR="00831C68" w:rsidRPr="001B4A02" w:rsidRDefault="00831C68" w:rsidP="008F1B0E">
      <w:pPr>
        <w:keepNext/>
        <w:ind w:left="0" w:firstLine="0"/>
        <w:rPr>
          <w:szCs w:val="22"/>
        </w:rPr>
      </w:pPr>
    </w:p>
    <w:p w14:paraId="4132190F" w14:textId="77777777" w:rsidR="00831C68" w:rsidRPr="001B4A02" w:rsidRDefault="00000000" w:rsidP="00ED48A3">
      <w:pPr>
        <w:ind w:left="0" w:firstLine="0"/>
        <w:rPr>
          <w:szCs w:val="22"/>
        </w:rPr>
      </w:pPr>
      <w:r w:rsidRPr="001B4A02">
        <w:rPr>
          <w:szCs w:val="22"/>
        </w:rPr>
        <w:t>Pokud jste si náhodně aplikoval(a) přípravek Humira častěji</w:t>
      </w:r>
      <w:r w:rsidR="009E1608" w:rsidRPr="001B4A02">
        <w:rPr>
          <w:szCs w:val="22"/>
        </w:rPr>
        <w:t>,</w:t>
      </w:r>
      <w:r w:rsidRPr="001B4A02">
        <w:rPr>
          <w:szCs w:val="22"/>
        </w:rPr>
        <w:t xml:space="preserve"> než Vám bylo předepsáno, kontaktujte svého lékaře nebo lékárníka</w:t>
      </w:r>
      <w:r w:rsidR="002378E0">
        <w:rPr>
          <w:szCs w:val="22"/>
        </w:rPr>
        <w:t xml:space="preserve"> a </w:t>
      </w:r>
      <w:r w:rsidRPr="001B4A02">
        <w:rPr>
          <w:szCs w:val="22"/>
        </w:rPr>
        <w:t xml:space="preserve">oznamte jim, že jste </w:t>
      </w:r>
      <w:r w:rsidR="00D32374" w:rsidRPr="001B4A02">
        <w:rPr>
          <w:szCs w:val="22"/>
        </w:rPr>
        <w:t>po</w:t>
      </w:r>
      <w:r w:rsidRPr="001B4A02">
        <w:rPr>
          <w:szCs w:val="22"/>
        </w:rPr>
        <w:t>užil(a) větší množství léku. Vždy si s sebou vezměte vnější obal</w:t>
      </w:r>
      <w:r w:rsidR="00EC1112" w:rsidRPr="001B4A02">
        <w:rPr>
          <w:szCs w:val="22"/>
        </w:rPr>
        <w:t>,</w:t>
      </w:r>
      <w:r w:rsidR="002378E0">
        <w:rPr>
          <w:szCs w:val="22"/>
        </w:rPr>
        <w:t xml:space="preserve"> a </w:t>
      </w:r>
      <w:r w:rsidRPr="001B4A02">
        <w:rPr>
          <w:szCs w:val="22"/>
        </w:rPr>
        <w:t>to i když je prázdn</w:t>
      </w:r>
      <w:r w:rsidR="00B636FE" w:rsidRPr="001B4A02">
        <w:rPr>
          <w:szCs w:val="22"/>
        </w:rPr>
        <w:t>ý</w:t>
      </w:r>
      <w:r w:rsidRPr="001B4A02">
        <w:rPr>
          <w:szCs w:val="22"/>
        </w:rPr>
        <w:t>.</w:t>
      </w:r>
    </w:p>
    <w:p w14:paraId="39F83B67" w14:textId="77777777" w:rsidR="00831C68" w:rsidRPr="001B4A02" w:rsidRDefault="00831C68" w:rsidP="00ED48A3">
      <w:pPr>
        <w:ind w:left="0" w:firstLine="0"/>
        <w:rPr>
          <w:szCs w:val="22"/>
        </w:rPr>
      </w:pPr>
    </w:p>
    <w:p w14:paraId="030BA7ED" w14:textId="77777777" w:rsidR="00831C68" w:rsidRPr="001B4A02" w:rsidRDefault="00000000" w:rsidP="008F1B0E">
      <w:pPr>
        <w:keepNext/>
        <w:ind w:left="0" w:firstLine="0"/>
        <w:rPr>
          <w:b/>
          <w:szCs w:val="22"/>
        </w:rPr>
      </w:pPr>
      <w:r w:rsidRPr="001B4A02">
        <w:rPr>
          <w:b/>
          <w:szCs w:val="22"/>
        </w:rPr>
        <w:t xml:space="preserve">Jestliže jste zapomněl(a) </w:t>
      </w:r>
      <w:r w:rsidR="00D32374" w:rsidRPr="001B4A02">
        <w:rPr>
          <w:b/>
          <w:szCs w:val="22"/>
        </w:rPr>
        <w:t>po</w:t>
      </w:r>
      <w:r w:rsidRPr="001B4A02">
        <w:rPr>
          <w:b/>
          <w:szCs w:val="22"/>
        </w:rPr>
        <w:t>užít přípravek Humira</w:t>
      </w:r>
    </w:p>
    <w:p w14:paraId="7135E9D7" w14:textId="77777777" w:rsidR="00831C68" w:rsidRPr="001B4A02" w:rsidRDefault="00831C68" w:rsidP="008F1B0E">
      <w:pPr>
        <w:keepNext/>
        <w:ind w:left="0" w:firstLine="0"/>
        <w:rPr>
          <w:szCs w:val="22"/>
        </w:rPr>
      </w:pPr>
    </w:p>
    <w:p w14:paraId="3C58C688" w14:textId="77777777" w:rsidR="00831C68" w:rsidRPr="001B4A02" w:rsidRDefault="00000000" w:rsidP="00ED48A3">
      <w:pPr>
        <w:ind w:left="0" w:firstLine="0"/>
        <w:rPr>
          <w:szCs w:val="22"/>
        </w:rPr>
      </w:pPr>
      <w:r w:rsidRPr="001B4A02">
        <w:rPr>
          <w:szCs w:val="22"/>
        </w:rPr>
        <w:t xml:space="preserve">Pokud si zapomenete </w:t>
      </w:r>
      <w:r w:rsidR="00631040" w:rsidRPr="001B4A02">
        <w:rPr>
          <w:szCs w:val="22"/>
        </w:rPr>
        <w:t xml:space="preserve">podat </w:t>
      </w:r>
      <w:r w:rsidRPr="001B4A02">
        <w:rPr>
          <w:szCs w:val="22"/>
        </w:rPr>
        <w:t>injekci, m</w:t>
      </w:r>
      <w:r w:rsidR="007B06BB">
        <w:rPr>
          <w:szCs w:val="22"/>
        </w:rPr>
        <w:t>áte</w:t>
      </w:r>
      <w:r w:rsidRPr="001B4A02">
        <w:rPr>
          <w:szCs w:val="22"/>
        </w:rPr>
        <w:t xml:space="preserve"> si ji </w:t>
      </w:r>
      <w:r w:rsidR="00631040" w:rsidRPr="001B4A02">
        <w:rPr>
          <w:szCs w:val="22"/>
        </w:rPr>
        <w:t xml:space="preserve">aplikovat </w:t>
      </w:r>
      <w:r w:rsidRPr="001B4A02">
        <w:rPr>
          <w:szCs w:val="22"/>
        </w:rPr>
        <w:t xml:space="preserve">ihned, jak si vzpomenete. Poté si </w:t>
      </w:r>
      <w:r w:rsidR="00631040" w:rsidRPr="001B4A02">
        <w:t xml:space="preserve">podejte </w:t>
      </w:r>
      <w:r w:rsidRPr="001B4A02">
        <w:rPr>
          <w:szCs w:val="22"/>
        </w:rPr>
        <w:t xml:space="preserve">další dávku </w:t>
      </w:r>
      <w:r w:rsidR="00E54D7E" w:rsidRPr="001B4A02">
        <w:t xml:space="preserve">původně </w:t>
      </w:r>
      <w:r w:rsidRPr="001B4A02">
        <w:rPr>
          <w:szCs w:val="22"/>
        </w:rPr>
        <w:t>plánovan</w:t>
      </w:r>
      <w:r w:rsidR="00E54D7E" w:rsidRPr="001B4A02">
        <w:rPr>
          <w:szCs w:val="22"/>
        </w:rPr>
        <w:t>ý</w:t>
      </w:r>
      <w:r w:rsidRPr="001B4A02">
        <w:rPr>
          <w:szCs w:val="22"/>
        </w:rPr>
        <w:t xml:space="preserve"> den, jako kdybyste nezapomněl(a) </w:t>
      </w:r>
      <w:r w:rsidR="00631040" w:rsidRPr="001B4A02">
        <w:rPr>
          <w:szCs w:val="22"/>
        </w:rPr>
        <w:t xml:space="preserve">na </w:t>
      </w:r>
      <w:r w:rsidRPr="001B4A02">
        <w:rPr>
          <w:szCs w:val="22"/>
        </w:rPr>
        <w:t>předchozí dávku.</w:t>
      </w:r>
    </w:p>
    <w:p w14:paraId="34C52FB1" w14:textId="77777777" w:rsidR="00831C68" w:rsidRPr="001B4A02" w:rsidRDefault="00831C68" w:rsidP="00ED48A3">
      <w:pPr>
        <w:ind w:left="0" w:firstLine="0"/>
        <w:rPr>
          <w:szCs w:val="22"/>
        </w:rPr>
      </w:pPr>
    </w:p>
    <w:p w14:paraId="0BC35C71" w14:textId="77777777" w:rsidR="00831C68" w:rsidRPr="001B4A02" w:rsidRDefault="00000000" w:rsidP="008F1B0E">
      <w:pPr>
        <w:keepNext/>
        <w:ind w:left="0" w:firstLine="0"/>
        <w:rPr>
          <w:b/>
          <w:szCs w:val="22"/>
        </w:rPr>
      </w:pPr>
      <w:r w:rsidRPr="001B4A02">
        <w:rPr>
          <w:b/>
          <w:szCs w:val="22"/>
        </w:rPr>
        <w:t xml:space="preserve">Jestliže jste přestal(a) </w:t>
      </w:r>
      <w:r w:rsidR="00D32374" w:rsidRPr="001B4A02">
        <w:rPr>
          <w:b/>
          <w:szCs w:val="22"/>
        </w:rPr>
        <w:t>po</w:t>
      </w:r>
      <w:r w:rsidRPr="001B4A02">
        <w:rPr>
          <w:b/>
          <w:szCs w:val="22"/>
        </w:rPr>
        <w:t>užívat přípravek Humira</w:t>
      </w:r>
    </w:p>
    <w:p w14:paraId="60BE04EF" w14:textId="77777777" w:rsidR="00831C68" w:rsidRPr="001B4A02" w:rsidRDefault="00831C68" w:rsidP="008F1B0E">
      <w:pPr>
        <w:keepNext/>
        <w:ind w:left="0" w:firstLine="0"/>
        <w:rPr>
          <w:szCs w:val="22"/>
        </w:rPr>
      </w:pPr>
    </w:p>
    <w:p w14:paraId="74D03344" w14:textId="77777777" w:rsidR="00831C68" w:rsidRPr="001B4A02" w:rsidRDefault="00000000" w:rsidP="00ED48A3">
      <w:pPr>
        <w:ind w:left="0" w:firstLine="0"/>
        <w:rPr>
          <w:szCs w:val="22"/>
        </w:rPr>
      </w:pPr>
      <w:r w:rsidRPr="001B4A02">
        <w:rPr>
          <w:szCs w:val="22"/>
        </w:rPr>
        <w:t>Rozhodnutí o</w:t>
      </w:r>
      <w:r w:rsidR="00063784" w:rsidRPr="001B4A02">
        <w:rPr>
          <w:szCs w:val="22"/>
        </w:rPr>
        <w:t> </w:t>
      </w:r>
      <w:r w:rsidRPr="001B4A02">
        <w:rPr>
          <w:szCs w:val="22"/>
        </w:rPr>
        <w:t xml:space="preserve">tom, zda </w:t>
      </w:r>
      <w:r w:rsidR="00D32374" w:rsidRPr="001B4A02">
        <w:rPr>
          <w:szCs w:val="22"/>
        </w:rPr>
        <w:t>po</w:t>
      </w:r>
      <w:r w:rsidRPr="001B4A02">
        <w:rPr>
          <w:szCs w:val="22"/>
        </w:rPr>
        <w:t>užívání přípravku Humi</w:t>
      </w:r>
      <w:r w:rsidR="00032F16" w:rsidRPr="001B4A02">
        <w:rPr>
          <w:szCs w:val="22"/>
        </w:rPr>
        <w:t>r</w:t>
      </w:r>
      <w:r w:rsidRPr="001B4A02">
        <w:rPr>
          <w:szCs w:val="22"/>
        </w:rPr>
        <w:t>a přerušit, musí</w:t>
      </w:r>
      <w:r w:rsidR="00702A71" w:rsidRPr="001B4A02">
        <w:rPr>
          <w:szCs w:val="22"/>
        </w:rPr>
        <w:t>te</w:t>
      </w:r>
      <w:r w:rsidRPr="001B4A02">
        <w:rPr>
          <w:szCs w:val="22"/>
        </w:rPr>
        <w:t xml:space="preserve"> konzultov</w:t>
      </w:r>
      <w:r w:rsidR="00702A71" w:rsidRPr="001B4A02">
        <w:t>at se svým</w:t>
      </w:r>
      <w:r w:rsidRPr="001B4A02">
        <w:rPr>
          <w:szCs w:val="22"/>
        </w:rPr>
        <w:t xml:space="preserve"> lékařem. Pokud přestanete přípravek Humira </w:t>
      </w:r>
      <w:r w:rsidR="00D32374" w:rsidRPr="001B4A02">
        <w:rPr>
          <w:szCs w:val="22"/>
        </w:rPr>
        <w:t>po</w:t>
      </w:r>
      <w:r w:rsidRPr="001B4A02">
        <w:rPr>
          <w:szCs w:val="22"/>
        </w:rPr>
        <w:t xml:space="preserve">užívat, příznaky </w:t>
      </w:r>
      <w:r w:rsidR="00702A71" w:rsidRPr="001B4A02">
        <w:t xml:space="preserve">onemocnění </w:t>
      </w:r>
      <w:r w:rsidRPr="001B4A02">
        <w:rPr>
          <w:szCs w:val="22"/>
        </w:rPr>
        <w:t>se Vám mohou vrátit.</w:t>
      </w:r>
    </w:p>
    <w:p w14:paraId="724BADDD" w14:textId="77777777" w:rsidR="00831C68" w:rsidRPr="001B4A02" w:rsidRDefault="00831C68" w:rsidP="00ED48A3">
      <w:pPr>
        <w:ind w:left="0" w:firstLine="0"/>
        <w:rPr>
          <w:szCs w:val="22"/>
        </w:rPr>
      </w:pPr>
    </w:p>
    <w:p w14:paraId="5C59E25B" w14:textId="77777777" w:rsidR="008D112A" w:rsidRPr="001B4A02" w:rsidRDefault="00000000" w:rsidP="00ED48A3">
      <w:pPr>
        <w:ind w:left="0" w:firstLine="0"/>
      </w:pPr>
      <w:r w:rsidRPr="001B4A02">
        <w:rPr>
          <w:szCs w:val="22"/>
        </w:rPr>
        <w:t xml:space="preserve">Máte-li jakékoli další otázky týkající se </w:t>
      </w:r>
      <w:r w:rsidR="00D32374" w:rsidRPr="001B4A02">
        <w:rPr>
          <w:szCs w:val="22"/>
        </w:rPr>
        <w:t>po</w:t>
      </w:r>
      <w:r w:rsidRPr="001B4A02">
        <w:rPr>
          <w:szCs w:val="22"/>
        </w:rPr>
        <w:t xml:space="preserve">užívání tohoto </w:t>
      </w:r>
      <w:r w:rsidR="009E1608" w:rsidRPr="001B4A02">
        <w:rPr>
          <w:szCs w:val="22"/>
        </w:rPr>
        <w:t>přípravku</w:t>
      </w:r>
      <w:r w:rsidRPr="001B4A02">
        <w:rPr>
          <w:szCs w:val="22"/>
        </w:rPr>
        <w:t>, zeptejte se svého lékaře nebo lékárníka.</w:t>
      </w:r>
    </w:p>
    <w:p w14:paraId="7F4DACA0" w14:textId="77777777" w:rsidR="008D112A" w:rsidRPr="001B4A02" w:rsidRDefault="008D112A" w:rsidP="00ED48A3"/>
    <w:p w14:paraId="61E461B8" w14:textId="77777777" w:rsidR="008D112A" w:rsidRPr="001B4A02" w:rsidRDefault="008D112A" w:rsidP="00ED48A3"/>
    <w:p w14:paraId="1185C9C1" w14:textId="77777777" w:rsidR="008D112A" w:rsidRPr="001B4A02" w:rsidRDefault="00000000" w:rsidP="008F1B0E">
      <w:pPr>
        <w:pStyle w:val="EMEAHeading1"/>
        <w:keepNext/>
        <w:suppressAutoHyphens w:val="0"/>
        <w:spacing w:beforeLines="0" w:afterLines="0"/>
        <w:outlineLvl w:val="1"/>
        <w:rPr>
          <w:rFonts w:ascii="Times New Roman" w:hAnsi="Times New Roman"/>
          <w:caps w:val="0"/>
          <w:szCs w:val="22"/>
          <w:lang w:val="cs-CZ"/>
        </w:rPr>
      </w:pPr>
      <w:r w:rsidRPr="001B4A02">
        <w:rPr>
          <w:rFonts w:ascii="Times New Roman" w:hAnsi="Times New Roman"/>
          <w:caps w:val="0"/>
          <w:szCs w:val="22"/>
          <w:lang w:val="cs-CZ"/>
        </w:rPr>
        <w:t>4.</w:t>
      </w:r>
      <w:r w:rsidRPr="001B4A02">
        <w:rPr>
          <w:rFonts w:ascii="Times New Roman" w:hAnsi="Times New Roman"/>
          <w:caps w:val="0"/>
          <w:szCs w:val="22"/>
          <w:lang w:val="cs-CZ"/>
        </w:rPr>
        <w:tab/>
      </w:r>
      <w:r w:rsidR="00831C68" w:rsidRPr="001B4A02">
        <w:rPr>
          <w:rFonts w:ascii="Times New Roman" w:hAnsi="Times New Roman"/>
          <w:caps w:val="0"/>
          <w:szCs w:val="22"/>
          <w:lang w:val="cs-CZ"/>
        </w:rPr>
        <w:t>Možné nežádoucí účinky</w:t>
      </w:r>
    </w:p>
    <w:p w14:paraId="5499B8E5" w14:textId="77777777" w:rsidR="008D112A" w:rsidRPr="001B4A02" w:rsidRDefault="008D112A" w:rsidP="008F1B0E">
      <w:pPr>
        <w:pStyle w:val="EMEANormal"/>
        <w:keepNext/>
        <w:suppressAutoHyphens w:val="0"/>
        <w:rPr>
          <w:lang w:val="cs-CZ"/>
        </w:rPr>
      </w:pPr>
    </w:p>
    <w:p w14:paraId="2857037B" w14:textId="77777777" w:rsidR="00831C68" w:rsidRPr="001B4A02" w:rsidRDefault="00000000" w:rsidP="00ED48A3">
      <w:pPr>
        <w:ind w:left="0" w:firstLine="0"/>
        <w:rPr>
          <w:szCs w:val="22"/>
        </w:rPr>
      </w:pPr>
      <w:r w:rsidRPr="001B4A02">
        <w:rPr>
          <w:szCs w:val="22"/>
        </w:rPr>
        <w:t xml:space="preserve">Podobně jako všechny léky může mít i </w:t>
      </w:r>
      <w:r w:rsidR="009E1608" w:rsidRPr="001B4A02">
        <w:rPr>
          <w:szCs w:val="22"/>
        </w:rPr>
        <w:t>tento přípravek</w:t>
      </w:r>
      <w:r w:rsidRPr="001B4A02">
        <w:rPr>
          <w:szCs w:val="22"/>
        </w:rPr>
        <w:t xml:space="preserve"> nežádoucí účinky, které se ale nemusí vyskytnout u každého. Většina nežádoucích účinků je mírné nebo střední závažnosti. Některé však mohou být závažné</w:t>
      </w:r>
      <w:r w:rsidR="002378E0">
        <w:rPr>
          <w:szCs w:val="22"/>
        </w:rPr>
        <w:t xml:space="preserve"> a </w:t>
      </w:r>
      <w:r w:rsidRPr="001B4A02">
        <w:rPr>
          <w:szCs w:val="22"/>
        </w:rPr>
        <w:t>vyžadují léčbu. Nežádoucí účinky se mohou vyskytnout i do 4 měsíců po poslední dávce přípravku Humira.</w:t>
      </w:r>
    </w:p>
    <w:p w14:paraId="2D2D5ACE" w14:textId="77777777" w:rsidR="008D112A" w:rsidRPr="001B4A02" w:rsidRDefault="008D112A" w:rsidP="00ED48A3"/>
    <w:p w14:paraId="40015180" w14:textId="77777777" w:rsidR="00831C68" w:rsidRPr="001B4A02" w:rsidRDefault="00000000" w:rsidP="00ED48A3">
      <w:pPr>
        <w:keepNext/>
        <w:ind w:left="0" w:firstLine="0"/>
        <w:rPr>
          <w:b/>
          <w:szCs w:val="22"/>
        </w:rPr>
      </w:pPr>
      <w:r w:rsidRPr="001B4A02">
        <w:rPr>
          <w:b/>
          <w:szCs w:val="22"/>
        </w:rPr>
        <w:t>Ihned o</w:t>
      </w:r>
      <w:r w:rsidR="00B12121" w:rsidRPr="001B4A02">
        <w:rPr>
          <w:b/>
          <w:szCs w:val="22"/>
        </w:rPr>
        <w:t xml:space="preserve">znamte svému lékaři, pokud </w:t>
      </w:r>
      <w:r w:rsidR="00F81D2C" w:rsidRPr="001B4A02">
        <w:rPr>
          <w:b/>
        </w:rPr>
        <w:t>si všimnete jakýchkoli z následujících účinků</w:t>
      </w:r>
    </w:p>
    <w:p w14:paraId="0DA06BFA" w14:textId="77777777" w:rsidR="00B636FE" w:rsidRPr="001B4A02" w:rsidRDefault="00B636FE" w:rsidP="00ED48A3">
      <w:pPr>
        <w:keepNext/>
        <w:ind w:left="0" w:firstLine="0"/>
        <w:rPr>
          <w:szCs w:val="22"/>
        </w:rPr>
      </w:pPr>
    </w:p>
    <w:p w14:paraId="5E5B0C71" w14:textId="77777777" w:rsidR="00831C68" w:rsidRPr="001B4A02" w:rsidRDefault="00000000" w:rsidP="00ED48A3">
      <w:pPr>
        <w:keepNext/>
        <w:numPr>
          <w:ilvl w:val="0"/>
          <w:numId w:val="19"/>
        </w:numPr>
        <w:tabs>
          <w:tab w:val="clear" w:pos="720"/>
          <w:tab w:val="num" w:pos="540"/>
        </w:tabs>
        <w:ind w:left="0" w:firstLine="0"/>
        <w:rPr>
          <w:szCs w:val="22"/>
        </w:rPr>
      </w:pPr>
      <w:r w:rsidRPr="001B4A02">
        <w:rPr>
          <w:szCs w:val="22"/>
        </w:rPr>
        <w:t>silná vyrážka, kopřivka nebo jiné známky alergické reakce</w:t>
      </w:r>
    </w:p>
    <w:p w14:paraId="65F934D9" w14:textId="77777777" w:rsidR="00831C68" w:rsidRPr="001B4A02" w:rsidRDefault="00000000" w:rsidP="00ED48A3">
      <w:pPr>
        <w:keepNext/>
        <w:numPr>
          <w:ilvl w:val="0"/>
          <w:numId w:val="19"/>
        </w:numPr>
        <w:tabs>
          <w:tab w:val="clear" w:pos="720"/>
          <w:tab w:val="num" w:pos="540"/>
        </w:tabs>
        <w:ind w:left="0" w:firstLine="0"/>
        <w:rPr>
          <w:szCs w:val="22"/>
        </w:rPr>
      </w:pPr>
      <w:r w:rsidRPr="001B4A02">
        <w:rPr>
          <w:szCs w:val="22"/>
        </w:rPr>
        <w:t>ot</w:t>
      </w:r>
      <w:r w:rsidR="006D39E6">
        <w:rPr>
          <w:szCs w:val="22"/>
        </w:rPr>
        <w:t xml:space="preserve">ok </w:t>
      </w:r>
      <w:r w:rsidRPr="001B4A02">
        <w:rPr>
          <w:szCs w:val="22"/>
        </w:rPr>
        <w:t>obličej</w:t>
      </w:r>
      <w:r w:rsidR="006D39E6">
        <w:rPr>
          <w:szCs w:val="22"/>
        </w:rPr>
        <w:t>e</w:t>
      </w:r>
      <w:r w:rsidRPr="001B4A02">
        <w:rPr>
          <w:szCs w:val="22"/>
        </w:rPr>
        <w:t>, ru</w:t>
      </w:r>
      <w:r w:rsidR="006D39E6">
        <w:rPr>
          <w:szCs w:val="22"/>
        </w:rPr>
        <w:t>kou</w:t>
      </w:r>
      <w:r w:rsidRPr="001B4A02">
        <w:rPr>
          <w:szCs w:val="22"/>
        </w:rPr>
        <w:t>, noh</w:t>
      </w:r>
      <w:r w:rsidR="006D39E6">
        <w:rPr>
          <w:szCs w:val="22"/>
        </w:rPr>
        <w:t>ou</w:t>
      </w:r>
    </w:p>
    <w:p w14:paraId="246D54F5" w14:textId="77777777" w:rsidR="00831C68" w:rsidRPr="001B4A02" w:rsidRDefault="00000000" w:rsidP="00ED48A3">
      <w:pPr>
        <w:keepNext/>
        <w:numPr>
          <w:ilvl w:val="0"/>
          <w:numId w:val="19"/>
        </w:numPr>
        <w:tabs>
          <w:tab w:val="clear" w:pos="720"/>
          <w:tab w:val="num" w:pos="540"/>
        </w:tabs>
        <w:ind w:left="0" w:firstLine="0"/>
        <w:rPr>
          <w:szCs w:val="22"/>
        </w:rPr>
      </w:pPr>
      <w:r w:rsidRPr="001B4A02">
        <w:rPr>
          <w:szCs w:val="22"/>
        </w:rPr>
        <w:t>obtíže s dechem či polykáním</w:t>
      </w:r>
    </w:p>
    <w:p w14:paraId="1160F29B" w14:textId="77777777" w:rsidR="00831C68" w:rsidRPr="001B4A02" w:rsidRDefault="00000000" w:rsidP="008F1B0E">
      <w:pPr>
        <w:numPr>
          <w:ilvl w:val="0"/>
          <w:numId w:val="19"/>
        </w:numPr>
        <w:tabs>
          <w:tab w:val="clear" w:pos="720"/>
          <w:tab w:val="num" w:pos="540"/>
        </w:tabs>
        <w:ind w:left="0" w:firstLine="0"/>
        <w:rPr>
          <w:szCs w:val="22"/>
        </w:rPr>
      </w:pPr>
      <w:r w:rsidRPr="001B4A02">
        <w:rPr>
          <w:szCs w:val="22"/>
        </w:rPr>
        <w:t>zadýchávání při tělesné činnosti nebo v poloze vleže, nebo otoky nohou</w:t>
      </w:r>
    </w:p>
    <w:p w14:paraId="4F47CF3E" w14:textId="77777777" w:rsidR="00831C68" w:rsidRPr="001B4A02" w:rsidRDefault="00831C68" w:rsidP="00ED48A3">
      <w:pPr>
        <w:pStyle w:val="EndnoteText"/>
        <w:ind w:left="0" w:firstLine="0"/>
        <w:rPr>
          <w:szCs w:val="22"/>
          <w:lang w:val="cs-CZ"/>
        </w:rPr>
      </w:pPr>
    </w:p>
    <w:p w14:paraId="10E65A70" w14:textId="77777777" w:rsidR="00831C68" w:rsidRPr="001B4A02" w:rsidRDefault="00000000" w:rsidP="00ED48A3">
      <w:pPr>
        <w:ind w:left="0" w:firstLine="0"/>
        <w:rPr>
          <w:b/>
          <w:szCs w:val="22"/>
        </w:rPr>
      </w:pPr>
      <w:r w:rsidRPr="001B4A02">
        <w:rPr>
          <w:b/>
          <w:szCs w:val="22"/>
        </w:rPr>
        <w:t xml:space="preserve">Oznamte svému lékaři co nejdříve, pokud </w:t>
      </w:r>
      <w:r w:rsidR="00F81D2C" w:rsidRPr="001B4A02">
        <w:rPr>
          <w:b/>
        </w:rPr>
        <w:t>si všimnete jakýchkoli z následujících účinků</w:t>
      </w:r>
    </w:p>
    <w:p w14:paraId="70283727" w14:textId="77777777" w:rsidR="00B636FE" w:rsidRPr="001B4A02" w:rsidRDefault="00B636FE" w:rsidP="00ED48A3">
      <w:pPr>
        <w:ind w:left="0" w:firstLine="0"/>
        <w:rPr>
          <w:szCs w:val="22"/>
        </w:rPr>
      </w:pPr>
    </w:p>
    <w:p w14:paraId="51D8C369" w14:textId="77777777" w:rsidR="00831C68" w:rsidRPr="001B4A02" w:rsidRDefault="00000000" w:rsidP="00ED48A3">
      <w:pPr>
        <w:numPr>
          <w:ilvl w:val="0"/>
          <w:numId w:val="20"/>
        </w:numPr>
        <w:tabs>
          <w:tab w:val="clear" w:pos="720"/>
          <w:tab w:val="num" w:pos="540"/>
        </w:tabs>
        <w:ind w:left="0" w:firstLine="0"/>
        <w:rPr>
          <w:szCs w:val="22"/>
        </w:rPr>
      </w:pPr>
      <w:r w:rsidRPr="001B4A02">
        <w:rPr>
          <w:szCs w:val="22"/>
        </w:rPr>
        <w:t xml:space="preserve">známky infekce, jako </w:t>
      </w:r>
      <w:r w:rsidR="00005EC2" w:rsidRPr="001B4A02">
        <w:rPr>
          <w:szCs w:val="22"/>
        </w:rPr>
        <w:t xml:space="preserve">jsou </w:t>
      </w:r>
      <w:r w:rsidRPr="001B4A02">
        <w:rPr>
          <w:szCs w:val="22"/>
        </w:rPr>
        <w:t>horečka, pocit nemoci, zranění, problémy se zuby, pálení při močení</w:t>
      </w:r>
    </w:p>
    <w:p w14:paraId="03CD70E2" w14:textId="77777777" w:rsidR="00831C68" w:rsidRPr="001B4A02" w:rsidRDefault="00000000" w:rsidP="00ED48A3">
      <w:pPr>
        <w:numPr>
          <w:ilvl w:val="0"/>
          <w:numId w:val="20"/>
        </w:numPr>
        <w:tabs>
          <w:tab w:val="clear" w:pos="720"/>
          <w:tab w:val="num" w:pos="540"/>
        </w:tabs>
        <w:ind w:left="0" w:firstLine="0"/>
        <w:rPr>
          <w:szCs w:val="22"/>
        </w:rPr>
      </w:pPr>
      <w:r w:rsidRPr="001B4A02">
        <w:rPr>
          <w:szCs w:val="22"/>
        </w:rPr>
        <w:t>pocit slabosti nebo únavy</w:t>
      </w:r>
    </w:p>
    <w:p w14:paraId="7B704A7E" w14:textId="77777777" w:rsidR="00831C68" w:rsidRPr="001B4A02" w:rsidRDefault="00000000" w:rsidP="00ED48A3">
      <w:pPr>
        <w:numPr>
          <w:ilvl w:val="0"/>
          <w:numId w:val="20"/>
        </w:numPr>
        <w:tabs>
          <w:tab w:val="clear" w:pos="720"/>
          <w:tab w:val="num" w:pos="540"/>
        </w:tabs>
        <w:ind w:left="0" w:firstLine="0"/>
        <w:rPr>
          <w:szCs w:val="22"/>
        </w:rPr>
      </w:pPr>
      <w:r w:rsidRPr="001B4A02">
        <w:rPr>
          <w:szCs w:val="22"/>
        </w:rPr>
        <w:t>kašel</w:t>
      </w:r>
    </w:p>
    <w:p w14:paraId="1DE6AD0D" w14:textId="77777777" w:rsidR="00831C68" w:rsidRPr="001B4A02" w:rsidRDefault="00000000" w:rsidP="00ED48A3">
      <w:pPr>
        <w:numPr>
          <w:ilvl w:val="0"/>
          <w:numId w:val="20"/>
        </w:numPr>
        <w:tabs>
          <w:tab w:val="clear" w:pos="720"/>
          <w:tab w:val="num" w:pos="540"/>
        </w:tabs>
        <w:ind w:left="0" w:firstLine="0"/>
        <w:rPr>
          <w:szCs w:val="22"/>
        </w:rPr>
      </w:pPr>
      <w:r w:rsidRPr="001B4A02">
        <w:rPr>
          <w:szCs w:val="22"/>
        </w:rPr>
        <w:t>brnění</w:t>
      </w:r>
    </w:p>
    <w:p w14:paraId="35898724" w14:textId="77777777" w:rsidR="00831C68" w:rsidRPr="001B4A02" w:rsidRDefault="00000000" w:rsidP="00ED48A3">
      <w:pPr>
        <w:numPr>
          <w:ilvl w:val="0"/>
          <w:numId w:val="20"/>
        </w:numPr>
        <w:tabs>
          <w:tab w:val="clear" w:pos="720"/>
          <w:tab w:val="num" w:pos="540"/>
        </w:tabs>
        <w:ind w:left="0" w:firstLine="0"/>
        <w:rPr>
          <w:szCs w:val="22"/>
        </w:rPr>
      </w:pPr>
      <w:r w:rsidRPr="001B4A02">
        <w:rPr>
          <w:szCs w:val="22"/>
        </w:rPr>
        <w:t>snížená citlivost</w:t>
      </w:r>
    </w:p>
    <w:p w14:paraId="78124B7D" w14:textId="77777777" w:rsidR="00831C68" w:rsidRPr="001B4A02" w:rsidRDefault="00000000" w:rsidP="00ED48A3">
      <w:pPr>
        <w:numPr>
          <w:ilvl w:val="0"/>
          <w:numId w:val="20"/>
        </w:numPr>
        <w:tabs>
          <w:tab w:val="clear" w:pos="720"/>
          <w:tab w:val="num" w:pos="540"/>
        </w:tabs>
        <w:ind w:left="0" w:firstLine="0"/>
        <w:rPr>
          <w:szCs w:val="22"/>
        </w:rPr>
      </w:pPr>
      <w:r w:rsidRPr="001B4A02">
        <w:rPr>
          <w:szCs w:val="22"/>
        </w:rPr>
        <w:t>dvojité vidění</w:t>
      </w:r>
    </w:p>
    <w:p w14:paraId="70E6EB53" w14:textId="77777777" w:rsidR="00831C68" w:rsidRPr="001B4A02" w:rsidRDefault="00000000" w:rsidP="00ED48A3">
      <w:pPr>
        <w:numPr>
          <w:ilvl w:val="0"/>
          <w:numId w:val="20"/>
        </w:numPr>
        <w:tabs>
          <w:tab w:val="clear" w:pos="720"/>
          <w:tab w:val="num" w:pos="540"/>
        </w:tabs>
        <w:ind w:left="0" w:firstLine="0"/>
        <w:rPr>
          <w:szCs w:val="22"/>
        </w:rPr>
      </w:pPr>
      <w:r w:rsidRPr="001B4A02">
        <w:rPr>
          <w:szCs w:val="22"/>
        </w:rPr>
        <w:t>slabost horních nebo dolních končetin</w:t>
      </w:r>
    </w:p>
    <w:p w14:paraId="65DEC52A" w14:textId="77777777" w:rsidR="00831C68" w:rsidRPr="001B4A02" w:rsidRDefault="00000000" w:rsidP="00ED48A3">
      <w:pPr>
        <w:numPr>
          <w:ilvl w:val="0"/>
          <w:numId w:val="20"/>
        </w:numPr>
        <w:tabs>
          <w:tab w:val="clear" w:pos="720"/>
          <w:tab w:val="num" w:pos="540"/>
        </w:tabs>
        <w:ind w:left="0" w:firstLine="0"/>
        <w:rPr>
          <w:szCs w:val="22"/>
        </w:rPr>
      </w:pPr>
      <w:r w:rsidRPr="001B4A02">
        <w:rPr>
          <w:szCs w:val="22"/>
        </w:rPr>
        <w:t>otok (boule) nebo opar, který se nehojí</w:t>
      </w:r>
    </w:p>
    <w:p w14:paraId="2E3EB965" w14:textId="77777777" w:rsidR="00831C68" w:rsidRPr="001B4A02" w:rsidRDefault="00000000" w:rsidP="00ED48A3">
      <w:pPr>
        <w:numPr>
          <w:ilvl w:val="0"/>
          <w:numId w:val="20"/>
        </w:numPr>
        <w:tabs>
          <w:tab w:val="clear" w:pos="720"/>
          <w:tab w:val="num" w:pos="540"/>
        </w:tabs>
        <w:ind w:left="567" w:hanging="567"/>
        <w:rPr>
          <w:szCs w:val="22"/>
        </w:rPr>
      </w:pPr>
      <w:r>
        <w:rPr>
          <w:bCs/>
          <w:szCs w:val="22"/>
        </w:rPr>
        <w:t>známky</w:t>
      </w:r>
      <w:r w:rsidR="002378E0">
        <w:rPr>
          <w:bCs/>
          <w:szCs w:val="22"/>
        </w:rPr>
        <w:t xml:space="preserve"> a </w:t>
      </w:r>
      <w:r w:rsidRPr="001B4A02">
        <w:rPr>
          <w:bCs/>
          <w:szCs w:val="22"/>
        </w:rPr>
        <w:t>příznaky podezřelé z krevních poruch, jako je přetrvávající horečka, tvorba modřin, krvácení, bledost</w:t>
      </w:r>
    </w:p>
    <w:p w14:paraId="375B2910" w14:textId="77777777" w:rsidR="00831C68" w:rsidRPr="001B4A02" w:rsidRDefault="00831C68" w:rsidP="00ED48A3">
      <w:pPr>
        <w:ind w:left="0" w:firstLine="0"/>
        <w:rPr>
          <w:szCs w:val="22"/>
        </w:rPr>
      </w:pPr>
    </w:p>
    <w:p w14:paraId="3F432EB1" w14:textId="77777777" w:rsidR="00831C68" w:rsidRPr="001B4A02" w:rsidRDefault="00000000" w:rsidP="00ED48A3">
      <w:pPr>
        <w:ind w:left="0" w:firstLine="0"/>
        <w:rPr>
          <w:szCs w:val="22"/>
        </w:rPr>
      </w:pPr>
      <w:r w:rsidRPr="001B4A02">
        <w:rPr>
          <w:szCs w:val="22"/>
        </w:rPr>
        <w:t xml:space="preserve">Příznaky popsané výše mohou být známkami níže uvedeného seznamu nežádoucích účinků, které byly popsány při </w:t>
      </w:r>
      <w:r w:rsidR="00D32374" w:rsidRPr="001B4A02">
        <w:rPr>
          <w:szCs w:val="22"/>
        </w:rPr>
        <w:t>po</w:t>
      </w:r>
      <w:r w:rsidRPr="001B4A02">
        <w:rPr>
          <w:szCs w:val="22"/>
        </w:rPr>
        <w:t>užívání přípravku Humira:</w:t>
      </w:r>
    </w:p>
    <w:p w14:paraId="0F631B03" w14:textId="77777777" w:rsidR="00831C68" w:rsidRPr="001B4A02" w:rsidRDefault="00831C68" w:rsidP="00ED48A3">
      <w:pPr>
        <w:ind w:left="0" w:firstLine="0"/>
        <w:rPr>
          <w:szCs w:val="22"/>
        </w:rPr>
      </w:pPr>
    </w:p>
    <w:p w14:paraId="68100C57" w14:textId="77777777" w:rsidR="00831C68" w:rsidRPr="001B4A02" w:rsidRDefault="00000000" w:rsidP="00ED48A3">
      <w:pPr>
        <w:keepNext/>
        <w:ind w:left="0" w:firstLine="0"/>
        <w:rPr>
          <w:szCs w:val="22"/>
        </w:rPr>
      </w:pPr>
      <w:r w:rsidRPr="001B4A02">
        <w:rPr>
          <w:b/>
          <w:szCs w:val="22"/>
        </w:rPr>
        <w:t>Velmi časté</w:t>
      </w:r>
      <w:r w:rsidRPr="001B4A02">
        <w:rPr>
          <w:szCs w:val="22"/>
        </w:rPr>
        <w:t xml:space="preserve"> (</w:t>
      </w:r>
      <w:r w:rsidRPr="001B4A02">
        <w:rPr>
          <w:szCs w:val="22"/>
          <w:shd w:val="clear" w:color="auto" w:fill="FFFFFF"/>
        </w:rPr>
        <w:t>mohou postihnout více než 1 z 10 osob</w:t>
      </w:r>
      <w:r w:rsidRPr="001B4A02">
        <w:rPr>
          <w:szCs w:val="22"/>
        </w:rPr>
        <w:t>)</w:t>
      </w:r>
    </w:p>
    <w:p w14:paraId="4AB66608" w14:textId="77777777" w:rsidR="00831C68" w:rsidRPr="001B4A02" w:rsidRDefault="00831C68" w:rsidP="00ED48A3">
      <w:pPr>
        <w:keepNext/>
        <w:ind w:left="0" w:firstLine="0"/>
        <w:rPr>
          <w:szCs w:val="22"/>
        </w:rPr>
      </w:pPr>
    </w:p>
    <w:p w14:paraId="5275277B" w14:textId="77777777" w:rsidR="00831C68" w:rsidRPr="001B4A02" w:rsidRDefault="00000000" w:rsidP="007C5EA6">
      <w:pPr>
        <w:keepNext/>
        <w:numPr>
          <w:ilvl w:val="0"/>
          <w:numId w:val="75"/>
        </w:numPr>
        <w:tabs>
          <w:tab w:val="clear" w:pos="720"/>
        </w:tabs>
        <w:ind w:left="567" w:hanging="567"/>
        <w:rPr>
          <w:szCs w:val="22"/>
        </w:rPr>
      </w:pPr>
      <w:r w:rsidRPr="001B4A02">
        <w:rPr>
          <w:bCs/>
          <w:szCs w:val="22"/>
        </w:rPr>
        <w:t>reakce v místě injekčního vpichu (včetně bolesti, otoku, zarudnutí nebo svědění)</w:t>
      </w:r>
    </w:p>
    <w:p w14:paraId="73788D12" w14:textId="77777777" w:rsidR="00831C68" w:rsidRPr="001B4A02" w:rsidRDefault="00000000" w:rsidP="007C5EA6">
      <w:pPr>
        <w:keepNext/>
        <w:numPr>
          <w:ilvl w:val="0"/>
          <w:numId w:val="49"/>
        </w:numPr>
        <w:tabs>
          <w:tab w:val="clear" w:pos="720"/>
        </w:tabs>
        <w:ind w:left="567" w:hanging="567"/>
        <w:rPr>
          <w:bCs/>
          <w:szCs w:val="22"/>
        </w:rPr>
      </w:pPr>
      <w:r w:rsidRPr="001B4A02">
        <w:rPr>
          <w:bCs/>
          <w:szCs w:val="22"/>
        </w:rPr>
        <w:t>infekce dýchacích cest (včetně nastydnutí, rýmy, infekce vedlejších nosních dutin, zápalu plic)</w:t>
      </w:r>
    </w:p>
    <w:p w14:paraId="72C8E140" w14:textId="77777777" w:rsidR="00831C68" w:rsidRPr="001B4A02" w:rsidRDefault="00000000" w:rsidP="007C5EA6">
      <w:pPr>
        <w:keepNext/>
        <w:numPr>
          <w:ilvl w:val="0"/>
          <w:numId w:val="49"/>
        </w:numPr>
        <w:tabs>
          <w:tab w:val="clear" w:pos="720"/>
        </w:tabs>
        <w:ind w:left="567" w:hanging="567"/>
        <w:rPr>
          <w:bCs/>
          <w:szCs w:val="22"/>
        </w:rPr>
      </w:pPr>
      <w:r w:rsidRPr="001B4A02">
        <w:rPr>
          <w:bCs/>
          <w:szCs w:val="22"/>
        </w:rPr>
        <w:t>bolest hlavy</w:t>
      </w:r>
    </w:p>
    <w:p w14:paraId="1F763BE1" w14:textId="77777777" w:rsidR="00831C68" w:rsidRPr="001B4A02" w:rsidRDefault="00000000" w:rsidP="007C5EA6">
      <w:pPr>
        <w:keepNext/>
        <w:numPr>
          <w:ilvl w:val="0"/>
          <w:numId w:val="49"/>
        </w:numPr>
        <w:tabs>
          <w:tab w:val="clear" w:pos="720"/>
        </w:tabs>
        <w:ind w:left="567" w:hanging="567"/>
        <w:rPr>
          <w:bCs/>
          <w:szCs w:val="22"/>
        </w:rPr>
      </w:pPr>
      <w:r w:rsidRPr="001B4A02">
        <w:rPr>
          <w:bCs/>
          <w:szCs w:val="22"/>
        </w:rPr>
        <w:t>bolest břicha</w:t>
      </w:r>
    </w:p>
    <w:p w14:paraId="15E3E24F" w14:textId="77777777" w:rsidR="00831C68" w:rsidRPr="001B4A02" w:rsidRDefault="00000000" w:rsidP="007C5EA6">
      <w:pPr>
        <w:keepNext/>
        <w:numPr>
          <w:ilvl w:val="0"/>
          <w:numId w:val="49"/>
        </w:numPr>
        <w:tabs>
          <w:tab w:val="clear" w:pos="720"/>
        </w:tabs>
        <w:ind w:left="567" w:hanging="567"/>
        <w:rPr>
          <w:bCs/>
          <w:szCs w:val="22"/>
        </w:rPr>
      </w:pPr>
      <w:r>
        <w:rPr>
          <w:bCs/>
          <w:szCs w:val="22"/>
        </w:rPr>
        <w:t>pocit na zvracení</w:t>
      </w:r>
      <w:r w:rsidR="002378E0">
        <w:rPr>
          <w:bCs/>
          <w:szCs w:val="22"/>
        </w:rPr>
        <w:t xml:space="preserve"> a </w:t>
      </w:r>
      <w:r w:rsidRPr="001B4A02">
        <w:rPr>
          <w:bCs/>
          <w:szCs w:val="22"/>
        </w:rPr>
        <w:t>zvracení</w:t>
      </w:r>
    </w:p>
    <w:p w14:paraId="626DB3AF" w14:textId="77777777" w:rsidR="00831C68" w:rsidRPr="001B4A02" w:rsidRDefault="00000000" w:rsidP="007C5EA6">
      <w:pPr>
        <w:keepNext/>
        <w:numPr>
          <w:ilvl w:val="0"/>
          <w:numId w:val="49"/>
        </w:numPr>
        <w:tabs>
          <w:tab w:val="clear" w:pos="720"/>
        </w:tabs>
        <w:ind w:left="567" w:hanging="567"/>
        <w:rPr>
          <w:bCs/>
          <w:szCs w:val="22"/>
        </w:rPr>
      </w:pPr>
      <w:r w:rsidRPr="001B4A02">
        <w:rPr>
          <w:bCs/>
          <w:szCs w:val="22"/>
        </w:rPr>
        <w:t>vyrážka</w:t>
      </w:r>
    </w:p>
    <w:p w14:paraId="25932940" w14:textId="77777777" w:rsidR="00831C68" w:rsidRPr="001B4A02" w:rsidRDefault="00000000" w:rsidP="00874C8D">
      <w:pPr>
        <w:numPr>
          <w:ilvl w:val="0"/>
          <w:numId w:val="49"/>
        </w:numPr>
        <w:tabs>
          <w:tab w:val="clear" w:pos="720"/>
        </w:tabs>
        <w:ind w:left="567" w:hanging="567"/>
        <w:rPr>
          <w:szCs w:val="22"/>
        </w:rPr>
      </w:pPr>
      <w:r w:rsidRPr="001B4A02">
        <w:rPr>
          <w:bCs/>
          <w:szCs w:val="22"/>
        </w:rPr>
        <w:t>bolest svalů</w:t>
      </w:r>
      <w:r w:rsidR="002378E0">
        <w:rPr>
          <w:bCs/>
          <w:szCs w:val="22"/>
        </w:rPr>
        <w:t xml:space="preserve"> a </w:t>
      </w:r>
      <w:r w:rsidRPr="001B4A02">
        <w:rPr>
          <w:bCs/>
          <w:szCs w:val="22"/>
        </w:rPr>
        <w:t>kloubů</w:t>
      </w:r>
    </w:p>
    <w:p w14:paraId="19A24C93" w14:textId="77777777" w:rsidR="00831C68" w:rsidRPr="001B4A02" w:rsidRDefault="00831C68" w:rsidP="00ED48A3">
      <w:pPr>
        <w:ind w:left="0" w:firstLine="0"/>
        <w:rPr>
          <w:szCs w:val="22"/>
        </w:rPr>
      </w:pPr>
    </w:p>
    <w:p w14:paraId="02607275" w14:textId="77777777" w:rsidR="00831C68" w:rsidRPr="001B4A02" w:rsidRDefault="00000000" w:rsidP="008F1B0E">
      <w:pPr>
        <w:keepNext/>
        <w:tabs>
          <w:tab w:val="left" w:pos="0"/>
        </w:tabs>
        <w:ind w:left="0" w:firstLine="0"/>
        <w:rPr>
          <w:szCs w:val="22"/>
        </w:rPr>
      </w:pPr>
      <w:r w:rsidRPr="001B4A02">
        <w:rPr>
          <w:b/>
          <w:szCs w:val="22"/>
        </w:rPr>
        <w:t>Časté</w:t>
      </w:r>
      <w:r w:rsidRPr="001B4A02">
        <w:rPr>
          <w:szCs w:val="22"/>
        </w:rPr>
        <w:t xml:space="preserve"> (mohou postihnout nejvýše 1 z</w:t>
      </w:r>
      <w:r w:rsidR="000928E6" w:rsidRPr="001B4A02">
        <w:rPr>
          <w:szCs w:val="22"/>
        </w:rPr>
        <w:t> </w:t>
      </w:r>
      <w:r w:rsidRPr="001B4A02">
        <w:rPr>
          <w:szCs w:val="22"/>
        </w:rPr>
        <w:t>10 osob)</w:t>
      </w:r>
    </w:p>
    <w:p w14:paraId="491397D1" w14:textId="77777777" w:rsidR="00831C68" w:rsidRPr="001B4A02" w:rsidRDefault="00831C68" w:rsidP="008F1B0E">
      <w:pPr>
        <w:keepNext/>
        <w:tabs>
          <w:tab w:val="left" w:pos="0"/>
        </w:tabs>
        <w:ind w:left="0" w:firstLine="0"/>
        <w:rPr>
          <w:szCs w:val="22"/>
        </w:rPr>
      </w:pPr>
    </w:p>
    <w:p w14:paraId="0FB4184E" w14:textId="77777777" w:rsidR="00831C68" w:rsidRPr="001B4A02" w:rsidRDefault="00000000" w:rsidP="007C5EA6">
      <w:pPr>
        <w:numPr>
          <w:ilvl w:val="0"/>
          <w:numId w:val="49"/>
        </w:numPr>
        <w:tabs>
          <w:tab w:val="clear" w:pos="720"/>
        </w:tabs>
        <w:ind w:left="567" w:hanging="567"/>
        <w:rPr>
          <w:szCs w:val="22"/>
        </w:rPr>
      </w:pPr>
      <w:r>
        <w:rPr>
          <w:bCs/>
          <w:szCs w:val="22"/>
        </w:rPr>
        <w:t>závažné</w:t>
      </w:r>
      <w:r w:rsidRPr="001B4A02">
        <w:rPr>
          <w:bCs/>
          <w:szCs w:val="22"/>
        </w:rPr>
        <w:t xml:space="preserve"> infekce (včetně otravy krve</w:t>
      </w:r>
      <w:r w:rsidR="002378E0">
        <w:rPr>
          <w:bCs/>
          <w:szCs w:val="22"/>
        </w:rPr>
        <w:t xml:space="preserve"> a </w:t>
      </w:r>
      <w:r w:rsidRPr="001B4A02">
        <w:rPr>
          <w:bCs/>
          <w:szCs w:val="22"/>
        </w:rPr>
        <w:t>chřipky)</w:t>
      </w:r>
    </w:p>
    <w:p w14:paraId="0B15179F" w14:textId="77777777" w:rsidR="00AF57C0" w:rsidRPr="001B4A02" w:rsidRDefault="00000000" w:rsidP="007C5EA6">
      <w:pPr>
        <w:numPr>
          <w:ilvl w:val="0"/>
          <w:numId w:val="49"/>
        </w:numPr>
        <w:tabs>
          <w:tab w:val="clear" w:pos="720"/>
        </w:tabs>
        <w:ind w:left="567" w:hanging="567"/>
        <w:rPr>
          <w:szCs w:val="22"/>
        </w:rPr>
      </w:pPr>
      <w:r w:rsidRPr="001B4A02">
        <w:rPr>
          <w:bCs/>
          <w:szCs w:val="22"/>
        </w:rPr>
        <w:t>střevní infekce (včetně gastroenteritidy)</w:t>
      </w:r>
    </w:p>
    <w:p w14:paraId="4337D37A" w14:textId="77777777" w:rsidR="00831C68" w:rsidRPr="001B4A02" w:rsidRDefault="00000000" w:rsidP="007C5EA6">
      <w:pPr>
        <w:numPr>
          <w:ilvl w:val="0"/>
          <w:numId w:val="49"/>
        </w:numPr>
        <w:tabs>
          <w:tab w:val="clear" w:pos="720"/>
        </w:tabs>
        <w:ind w:left="567" w:hanging="567"/>
        <w:rPr>
          <w:szCs w:val="22"/>
        </w:rPr>
      </w:pPr>
      <w:r w:rsidRPr="001B4A02">
        <w:rPr>
          <w:bCs/>
          <w:szCs w:val="22"/>
        </w:rPr>
        <w:t>kožní infekce (včetně celulitidy</w:t>
      </w:r>
      <w:r w:rsidR="002378E0">
        <w:rPr>
          <w:bCs/>
          <w:szCs w:val="22"/>
        </w:rPr>
        <w:t xml:space="preserve"> a </w:t>
      </w:r>
      <w:r w:rsidRPr="001B4A02">
        <w:rPr>
          <w:bCs/>
          <w:szCs w:val="22"/>
        </w:rPr>
        <w:t>pásového oparu)</w:t>
      </w:r>
    </w:p>
    <w:p w14:paraId="4FB8C94F" w14:textId="77777777" w:rsidR="00831C68" w:rsidRPr="001B4A02" w:rsidRDefault="00000000" w:rsidP="007C5EA6">
      <w:pPr>
        <w:numPr>
          <w:ilvl w:val="0"/>
          <w:numId w:val="49"/>
        </w:numPr>
        <w:tabs>
          <w:tab w:val="clear" w:pos="720"/>
        </w:tabs>
        <w:ind w:left="567" w:hanging="567"/>
        <w:rPr>
          <w:szCs w:val="22"/>
        </w:rPr>
      </w:pPr>
      <w:r w:rsidRPr="001B4A02">
        <w:rPr>
          <w:szCs w:val="22"/>
        </w:rPr>
        <w:t>ušní infekce</w:t>
      </w:r>
    </w:p>
    <w:p w14:paraId="7F0FBB4E" w14:textId="77777777" w:rsidR="00831C68" w:rsidRPr="001B4A02" w:rsidRDefault="00000000" w:rsidP="007C5EA6">
      <w:pPr>
        <w:numPr>
          <w:ilvl w:val="0"/>
          <w:numId w:val="49"/>
        </w:numPr>
        <w:tabs>
          <w:tab w:val="clear" w:pos="720"/>
        </w:tabs>
        <w:ind w:left="567" w:hanging="567"/>
        <w:rPr>
          <w:szCs w:val="22"/>
        </w:rPr>
      </w:pPr>
      <w:r w:rsidRPr="001B4A02">
        <w:rPr>
          <w:bCs/>
          <w:szCs w:val="22"/>
        </w:rPr>
        <w:t>infekce v ústech (včetně zubních infekcí</w:t>
      </w:r>
      <w:r w:rsidR="002378E0">
        <w:rPr>
          <w:bCs/>
          <w:szCs w:val="22"/>
        </w:rPr>
        <w:t xml:space="preserve"> a </w:t>
      </w:r>
      <w:r w:rsidRPr="001B4A02">
        <w:rPr>
          <w:bCs/>
          <w:szCs w:val="22"/>
        </w:rPr>
        <w:t>oparu na rtu)</w:t>
      </w:r>
    </w:p>
    <w:p w14:paraId="199196D9" w14:textId="77777777" w:rsidR="00831C68" w:rsidRPr="001B4A02" w:rsidRDefault="00000000" w:rsidP="007C5EA6">
      <w:pPr>
        <w:numPr>
          <w:ilvl w:val="0"/>
          <w:numId w:val="49"/>
        </w:numPr>
        <w:tabs>
          <w:tab w:val="clear" w:pos="720"/>
        </w:tabs>
        <w:ind w:left="567" w:hanging="567"/>
        <w:rPr>
          <w:szCs w:val="22"/>
        </w:rPr>
      </w:pPr>
      <w:r w:rsidRPr="001B4A02">
        <w:rPr>
          <w:bCs/>
          <w:szCs w:val="22"/>
        </w:rPr>
        <w:t>infekce pohlavních orgánů</w:t>
      </w:r>
    </w:p>
    <w:p w14:paraId="0154D1E3" w14:textId="77777777" w:rsidR="00831C68" w:rsidRPr="001B4A02" w:rsidRDefault="00000000" w:rsidP="007C5EA6">
      <w:pPr>
        <w:numPr>
          <w:ilvl w:val="0"/>
          <w:numId w:val="49"/>
        </w:numPr>
        <w:tabs>
          <w:tab w:val="clear" w:pos="720"/>
        </w:tabs>
        <w:ind w:left="567" w:hanging="567"/>
        <w:rPr>
          <w:szCs w:val="22"/>
        </w:rPr>
      </w:pPr>
      <w:r w:rsidRPr="001B4A02">
        <w:rPr>
          <w:szCs w:val="22"/>
        </w:rPr>
        <w:t>záněty močových cest</w:t>
      </w:r>
    </w:p>
    <w:p w14:paraId="2E0496C8" w14:textId="77777777" w:rsidR="00831C68" w:rsidRPr="001B4A02" w:rsidRDefault="00000000" w:rsidP="007C5EA6">
      <w:pPr>
        <w:numPr>
          <w:ilvl w:val="0"/>
          <w:numId w:val="49"/>
        </w:numPr>
        <w:tabs>
          <w:tab w:val="clear" w:pos="720"/>
        </w:tabs>
        <w:ind w:left="567" w:hanging="567"/>
        <w:rPr>
          <w:szCs w:val="22"/>
        </w:rPr>
      </w:pPr>
      <w:r w:rsidRPr="001B4A02">
        <w:rPr>
          <w:bCs/>
          <w:szCs w:val="22"/>
        </w:rPr>
        <w:t>plísňové infekce</w:t>
      </w:r>
    </w:p>
    <w:p w14:paraId="01193BAC" w14:textId="77777777" w:rsidR="00831C68" w:rsidRPr="001B4A02" w:rsidRDefault="00000000" w:rsidP="007C5EA6">
      <w:pPr>
        <w:numPr>
          <w:ilvl w:val="0"/>
          <w:numId w:val="49"/>
        </w:numPr>
        <w:tabs>
          <w:tab w:val="clear" w:pos="720"/>
        </w:tabs>
        <w:ind w:left="567" w:hanging="567"/>
        <w:rPr>
          <w:szCs w:val="22"/>
        </w:rPr>
      </w:pPr>
      <w:r w:rsidRPr="001B4A02">
        <w:rPr>
          <w:szCs w:val="22"/>
        </w:rPr>
        <w:t>záněty kloubů</w:t>
      </w:r>
    </w:p>
    <w:p w14:paraId="4012D943" w14:textId="77777777" w:rsidR="00831C68" w:rsidRPr="001B4A02" w:rsidRDefault="00000000" w:rsidP="007C5EA6">
      <w:pPr>
        <w:numPr>
          <w:ilvl w:val="0"/>
          <w:numId w:val="49"/>
        </w:numPr>
        <w:tabs>
          <w:tab w:val="clear" w:pos="720"/>
        </w:tabs>
        <w:ind w:left="567" w:hanging="567"/>
        <w:rPr>
          <w:szCs w:val="22"/>
          <w:shd w:val="clear" w:color="auto" w:fill="FFFF00"/>
        </w:rPr>
      </w:pPr>
      <w:r w:rsidRPr="001B4A02">
        <w:rPr>
          <w:szCs w:val="22"/>
        </w:rPr>
        <w:t>nezhoubné nádory</w:t>
      </w:r>
    </w:p>
    <w:p w14:paraId="2E25C223" w14:textId="77777777" w:rsidR="00831C68" w:rsidRPr="001B4A02" w:rsidRDefault="00000000" w:rsidP="007C5EA6">
      <w:pPr>
        <w:numPr>
          <w:ilvl w:val="0"/>
          <w:numId w:val="49"/>
        </w:numPr>
        <w:tabs>
          <w:tab w:val="clear" w:pos="720"/>
        </w:tabs>
        <w:ind w:left="567" w:hanging="567"/>
        <w:rPr>
          <w:szCs w:val="22"/>
          <w:shd w:val="clear" w:color="auto" w:fill="FFFF00"/>
        </w:rPr>
      </w:pPr>
      <w:r w:rsidRPr="001B4A02">
        <w:rPr>
          <w:szCs w:val="22"/>
        </w:rPr>
        <w:t>rakovina kůže</w:t>
      </w:r>
    </w:p>
    <w:p w14:paraId="7995776D" w14:textId="77777777" w:rsidR="00831C68" w:rsidRPr="001B4A02" w:rsidRDefault="00000000" w:rsidP="007C5EA6">
      <w:pPr>
        <w:numPr>
          <w:ilvl w:val="0"/>
          <w:numId w:val="49"/>
        </w:numPr>
        <w:tabs>
          <w:tab w:val="clear" w:pos="720"/>
        </w:tabs>
        <w:ind w:left="567" w:hanging="567"/>
        <w:rPr>
          <w:szCs w:val="22"/>
          <w:shd w:val="clear" w:color="auto" w:fill="FFFF00"/>
        </w:rPr>
      </w:pPr>
      <w:r w:rsidRPr="001B4A02">
        <w:rPr>
          <w:szCs w:val="22"/>
        </w:rPr>
        <w:t>alergické reakce (včetně sezónní alergie)</w:t>
      </w:r>
    </w:p>
    <w:p w14:paraId="76139212" w14:textId="77777777" w:rsidR="00831C68" w:rsidRPr="001B4A02" w:rsidRDefault="00000000" w:rsidP="007C5EA6">
      <w:pPr>
        <w:numPr>
          <w:ilvl w:val="0"/>
          <w:numId w:val="49"/>
        </w:numPr>
        <w:tabs>
          <w:tab w:val="clear" w:pos="720"/>
        </w:tabs>
        <w:ind w:left="567" w:hanging="567"/>
        <w:rPr>
          <w:szCs w:val="22"/>
          <w:shd w:val="clear" w:color="auto" w:fill="FFFF00"/>
        </w:rPr>
      </w:pPr>
      <w:r w:rsidRPr="001B4A02">
        <w:rPr>
          <w:szCs w:val="22"/>
        </w:rPr>
        <w:t>dehydratace</w:t>
      </w:r>
    </w:p>
    <w:p w14:paraId="67D7B7F2" w14:textId="77777777" w:rsidR="00831C68" w:rsidRPr="001B4A02" w:rsidRDefault="00000000" w:rsidP="007C5EA6">
      <w:pPr>
        <w:numPr>
          <w:ilvl w:val="0"/>
          <w:numId w:val="49"/>
        </w:numPr>
        <w:tabs>
          <w:tab w:val="clear" w:pos="720"/>
        </w:tabs>
        <w:ind w:left="567" w:hanging="567"/>
        <w:rPr>
          <w:szCs w:val="22"/>
          <w:shd w:val="clear" w:color="auto" w:fill="FFFF00"/>
        </w:rPr>
      </w:pPr>
      <w:r w:rsidRPr="001B4A02">
        <w:rPr>
          <w:szCs w:val="22"/>
        </w:rPr>
        <w:t>změny nálad (včetně deprese)</w:t>
      </w:r>
    </w:p>
    <w:p w14:paraId="59B89F0C" w14:textId="77777777" w:rsidR="00831C68" w:rsidRPr="001B4A02" w:rsidRDefault="00000000" w:rsidP="007C5EA6">
      <w:pPr>
        <w:numPr>
          <w:ilvl w:val="0"/>
          <w:numId w:val="49"/>
        </w:numPr>
        <w:tabs>
          <w:tab w:val="clear" w:pos="720"/>
        </w:tabs>
        <w:ind w:left="567" w:hanging="567"/>
        <w:rPr>
          <w:szCs w:val="22"/>
          <w:shd w:val="clear" w:color="auto" w:fill="FFFF00"/>
        </w:rPr>
      </w:pPr>
      <w:r w:rsidRPr="001B4A02">
        <w:rPr>
          <w:szCs w:val="22"/>
        </w:rPr>
        <w:t>úzkost</w:t>
      </w:r>
    </w:p>
    <w:p w14:paraId="1ABA6AED" w14:textId="77777777" w:rsidR="00831C68" w:rsidRPr="001B4A02" w:rsidRDefault="00000000" w:rsidP="007C5EA6">
      <w:pPr>
        <w:numPr>
          <w:ilvl w:val="0"/>
          <w:numId w:val="49"/>
        </w:numPr>
        <w:tabs>
          <w:tab w:val="clear" w:pos="720"/>
        </w:tabs>
        <w:ind w:left="567" w:hanging="567"/>
        <w:rPr>
          <w:szCs w:val="22"/>
          <w:shd w:val="clear" w:color="auto" w:fill="FFFF00"/>
        </w:rPr>
      </w:pPr>
      <w:r w:rsidRPr="001B4A02">
        <w:rPr>
          <w:szCs w:val="22"/>
        </w:rPr>
        <w:t>obtížné usínání</w:t>
      </w:r>
    </w:p>
    <w:p w14:paraId="7CA4B839" w14:textId="77777777" w:rsidR="00831C68" w:rsidRPr="001B4A02" w:rsidRDefault="00000000" w:rsidP="007C5EA6">
      <w:pPr>
        <w:numPr>
          <w:ilvl w:val="0"/>
          <w:numId w:val="49"/>
        </w:numPr>
        <w:tabs>
          <w:tab w:val="clear" w:pos="720"/>
        </w:tabs>
        <w:ind w:left="567" w:hanging="567"/>
        <w:rPr>
          <w:szCs w:val="22"/>
          <w:shd w:val="clear" w:color="auto" w:fill="FFFF00"/>
        </w:rPr>
      </w:pPr>
      <w:r w:rsidRPr="001B4A02">
        <w:rPr>
          <w:szCs w:val="22"/>
        </w:rPr>
        <w:t>poruchy pocitového vnímání</w:t>
      </w:r>
      <w:r w:rsidR="00A27A27" w:rsidRPr="001B4A02">
        <w:rPr>
          <w:szCs w:val="22"/>
        </w:rPr>
        <w:t>,</w:t>
      </w:r>
      <w:r w:rsidRPr="001B4A02">
        <w:rPr>
          <w:szCs w:val="22"/>
        </w:rPr>
        <w:t xml:space="preserve"> jako je brnění, svědění nebo znecitlivění</w:t>
      </w:r>
    </w:p>
    <w:p w14:paraId="563C5067" w14:textId="77777777" w:rsidR="00831C68" w:rsidRPr="001B4A02" w:rsidRDefault="00000000" w:rsidP="007C5EA6">
      <w:pPr>
        <w:numPr>
          <w:ilvl w:val="0"/>
          <w:numId w:val="49"/>
        </w:numPr>
        <w:tabs>
          <w:tab w:val="clear" w:pos="720"/>
        </w:tabs>
        <w:ind w:left="567" w:hanging="567"/>
        <w:rPr>
          <w:szCs w:val="22"/>
          <w:shd w:val="clear" w:color="auto" w:fill="FFFF00"/>
        </w:rPr>
      </w:pPr>
      <w:r w:rsidRPr="001B4A02">
        <w:rPr>
          <w:szCs w:val="22"/>
        </w:rPr>
        <w:t>migréna</w:t>
      </w:r>
    </w:p>
    <w:p w14:paraId="62E55642" w14:textId="77777777" w:rsidR="00831C68" w:rsidRPr="001B4A02" w:rsidRDefault="00000000" w:rsidP="007C5EA6">
      <w:pPr>
        <w:numPr>
          <w:ilvl w:val="0"/>
          <w:numId w:val="49"/>
        </w:numPr>
        <w:tabs>
          <w:tab w:val="clear" w:pos="720"/>
        </w:tabs>
        <w:ind w:left="567" w:hanging="567"/>
        <w:rPr>
          <w:szCs w:val="22"/>
          <w:shd w:val="clear" w:color="auto" w:fill="FFFF00"/>
        </w:rPr>
      </w:pPr>
      <w:r w:rsidRPr="001B4A02">
        <w:rPr>
          <w:szCs w:val="22"/>
        </w:rPr>
        <w:t>útlak nervových kořenů (včetně bolesti v bedrech</w:t>
      </w:r>
      <w:r w:rsidR="002378E0">
        <w:rPr>
          <w:szCs w:val="22"/>
        </w:rPr>
        <w:t xml:space="preserve"> a </w:t>
      </w:r>
      <w:r w:rsidRPr="001B4A02">
        <w:rPr>
          <w:szCs w:val="22"/>
        </w:rPr>
        <w:t>bolesti dolních končetin)</w:t>
      </w:r>
    </w:p>
    <w:p w14:paraId="132B0FD3" w14:textId="77777777" w:rsidR="00831C68" w:rsidRPr="001B4A02" w:rsidRDefault="00000000" w:rsidP="007C5EA6">
      <w:pPr>
        <w:numPr>
          <w:ilvl w:val="0"/>
          <w:numId w:val="49"/>
        </w:numPr>
        <w:tabs>
          <w:tab w:val="clear" w:pos="720"/>
        </w:tabs>
        <w:ind w:left="567" w:hanging="567"/>
        <w:rPr>
          <w:szCs w:val="22"/>
          <w:shd w:val="clear" w:color="auto" w:fill="FFFF00"/>
        </w:rPr>
      </w:pPr>
      <w:r w:rsidRPr="001B4A02">
        <w:rPr>
          <w:szCs w:val="22"/>
        </w:rPr>
        <w:t>poruchy zraku</w:t>
      </w:r>
    </w:p>
    <w:p w14:paraId="760AD011" w14:textId="77777777" w:rsidR="00831C68" w:rsidRPr="001B4A02" w:rsidRDefault="00000000" w:rsidP="007C5EA6">
      <w:pPr>
        <w:numPr>
          <w:ilvl w:val="0"/>
          <w:numId w:val="49"/>
        </w:numPr>
        <w:tabs>
          <w:tab w:val="clear" w:pos="720"/>
        </w:tabs>
        <w:ind w:left="567" w:hanging="567"/>
        <w:rPr>
          <w:szCs w:val="22"/>
        </w:rPr>
      </w:pPr>
      <w:r w:rsidRPr="001B4A02">
        <w:rPr>
          <w:szCs w:val="22"/>
        </w:rPr>
        <w:t>oční záněty</w:t>
      </w:r>
    </w:p>
    <w:p w14:paraId="17DD01C8" w14:textId="77777777" w:rsidR="00831C68" w:rsidRPr="001B4A02" w:rsidRDefault="00000000" w:rsidP="007C5EA6">
      <w:pPr>
        <w:numPr>
          <w:ilvl w:val="0"/>
          <w:numId w:val="49"/>
        </w:numPr>
        <w:tabs>
          <w:tab w:val="clear" w:pos="720"/>
        </w:tabs>
        <w:ind w:left="567" w:hanging="567"/>
        <w:rPr>
          <w:szCs w:val="22"/>
        </w:rPr>
      </w:pPr>
      <w:r w:rsidRPr="001B4A02">
        <w:rPr>
          <w:szCs w:val="22"/>
        </w:rPr>
        <w:t>záněty očního víčka</w:t>
      </w:r>
      <w:r w:rsidR="002378E0">
        <w:rPr>
          <w:szCs w:val="22"/>
        </w:rPr>
        <w:t xml:space="preserve"> a </w:t>
      </w:r>
      <w:r w:rsidRPr="001B4A02">
        <w:rPr>
          <w:szCs w:val="22"/>
        </w:rPr>
        <w:t>otoky oka</w:t>
      </w:r>
    </w:p>
    <w:p w14:paraId="149A14D3" w14:textId="77777777" w:rsidR="00831C68" w:rsidRPr="001B4A02" w:rsidRDefault="00000000" w:rsidP="007C5EA6">
      <w:pPr>
        <w:numPr>
          <w:ilvl w:val="0"/>
          <w:numId w:val="49"/>
        </w:numPr>
        <w:tabs>
          <w:tab w:val="clear" w:pos="720"/>
        </w:tabs>
        <w:ind w:left="567" w:hanging="567"/>
        <w:rPr>
          <w:szCs w:val="22"/>
        </w:rPr>
      </w:pPr>
      <w:r w:rsidRPr="001B4A02">
        <w:rPr>
          <w:szCs w:val="22"/>
        </w:rPr>
        <w:t>vertigo (závrať nebo točení hlavy)</w:t>
      </w:r>
    </w:p>
    <w:p w14:paraId="761D9AD8"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pocity rychlého bušení srdce</w:t>
      </w:r>
    </w:p>
    <w:p w14:paraId="68CA5983"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vysoký krevní tlak</w:t>
      </w:r>
    </w:p>
    <w:p w14:paraId="35D8D8F9"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 xml:space="preserve">návaly </w:t>
      </w:r>
      <w:r w:rsidR="006D39E6" w:rsidRPr="001B4A02">
        <w:rPr>
          <w:szCs w:val="22"/>
          <w:lang w:val="cs-CZ"/>
        </w:rPr>
        <w:t>hork</w:t>
      </w:r>
      <w:r w:rsidR="006D39E6">
        <w:rPr>
          <w:szCs w:val="22"/>
          <w:lang w:val="cs-CZ"/>
        </w:rPr>
        <w:t>a</w:t>
      </w:r>
    </w:p>
    <w:p w14:paraId="5B088EE3"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krevní podlitiny (nahromadění krve mimo cévy)</w:t>
      </w:r>
    </w:p>
    <w:p w14:paraId="725E90C6"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 xml:space="preserve">kašel </w:t>
      </w:r>
    </w:p>
    <w:p w14:paraId="30E4F4DD"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astma</w:t>
      </w:r>
    </w:p>
    <w:p w14:paraId="5A92A2B7"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zkrácení dechu</w:t>
      </w:r>
    </w:p>
    <w:p w14:paraId="46793DEB"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krvácení ze zažívacího ústrojí</w:t>
      </w:r>
    </w:p>
    <w:p w14:paraId="34492861"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zažívací obtíže (poruchy trávení, nadýmání, pálení žáhy)</w:t>
      </w:r>
    </w:p>
    <w:p w14:paraId="759EDA11"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refluxní choroba jícnu</w:t>
      </w:r>
    </w:p>
    <w:p w14:paraId="6A20AD4B"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sicca syndrom (včetně suchých očí</w:t>
      </w:r>
      <w:r w:rsidR="002378E0">
        <w:rPr>
          <w:szCs w:val="22"/>
          <w:lang w:val="cs-CZ"/>
        </w:rPr>
        <w:t xml:space="preserve"> a </w:t>
      </w:r>
      <w:r w:rsidRPr="001B4A02">
        <w:rPr>
          <w:szCs w:val="22"/>
          <w:lang w:val="cs-CZ"/>
        </w:rPr>
        <w:t>suchosti v</w:t>
      </w:r>
      <w:r w:rsidR="000928E6" w:rsidRPr="001B4A02">
        <w:rPr>
          <w:szCs w:val="22"/>
          <w:lang w:val="cs-CZ"/>
        </w:rPr>
        <w:t> </w:t>
      </w:r>
      <w:r w:rsidRPr="001B4A02">
        <w:rPr>
          <w:szCs w:val="22"/>
          <w:lang w:val="cs-CZ"/>
        </w:rPr>
        <w:t>úste</w:t>
      </w:r>
      <w:r w:rsidR="000928E6" w:rsidRPr="001B4A02">
        <w:rPr>
          <w:szCs w:val="22"/>
          <w:lang w:val="cs-CZ"/>
        </w:rPr>
        <w:t>ch)</w:t>
      </w:r>
    </w:p>
    <w:p w14:paraId="02A4FE7A"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svědění</w:t>
      </w:r>
      <w:r w:rsidRPr="001B4A02">
        <w:rPr>
          <w:szCs w:val="22"/>
          <w:shd w:val="clear" w:color="auto" w:fill="FFFF00"/>
          <w:lang w:val="cs-CZ"/>
        </w:rPr>
        <w:t xml:space="preserve"> </w:t>
      </w:r>
    </w:p>
    <w:p w14:paraId="0EC334D6"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svědivá vyrážka</w:t>
      </w:r>
    </w:p>
    <w:p w14:paraId="71CEB727"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tvorba modřin</w:t>
      </w:r>
    </w:p>
    <w:p w14:paraId="225559F7"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záněty kůže (jako je ekzém)</w:t>
      </w:r>
    </w:p>
    <w:p w14:paraId="3F6929E1"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lámavost nehtů na prstech rukou</w:t>
      </w:r>
      <w:r w:rsidR="002378E0">
        <w:rPr>
          <w:szCs w:val="22"/>
          <w:lang w:val="cs-CZ"/>
        </w:rPr>
        <w:t xml:space="preserve"> a </w:t>
      </w:r>
      <w:r w:rsidRPr="001B4A02">
        <w:rPr>
          <w:szCs w:val="22"/>
          <w:lang w:val="cs-CZ"/>
        </w:rPr>
        <w:t>nohou</w:t>
      </w:r>
    </w:p>
    <w:p w14:paraId="40786BB7"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zvýšené pocení</w:t>
      </w:r>
    </w:p>
    <w:p w14:paraId="66C91030"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vypadávání vlasů</w:t>
      </w:r>
    </w:p>
    <w:p w14:paraId="4A7EF0EE"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nový vznik nebo zhoršení psoriázy (lupénky)</w:t>
      </w:r>
    </w:p>
    <w:p w14:paraId="02EDBF18"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svalové křeče</w:t>
      </w:r>
    </w:p>
    <w:p w14:paraId="75C8AD05"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krev v moči</w:t>
      </w:r>
    </w:p>
    <w:p w14:paraId="2EA28697"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onemocnění ledvin</w:t>
      </w:r>
    </w:p>
    <w:p w14:paraId="2C121D4F"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bolest na hrudi</w:t>
      </w:r>
    </w:p>
    <w:p w14:paraId="4DFB19FE"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edém (otok)</w:t>
      </w:r>
    </w:p>
    <w:p w14:paraId="35210B40"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horečka</w:t>
      </w:r>
    </w:p>
    <w:p w14:paraId="4FB97841"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snížení počtu krevních destiček, což zvyšuje riziko krvácení nebo tvorby modřin</w:t>
      </w:r>
    </w:p>
    <w:p w14:paraId="194745EF" w14:textId="77777777" w:rsidR="00831C68" w:rsidRPr="001B4A02" w:rsidRDefault="00000000" w:rsidP="007C5EA6">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poruchy hojení</w:t>
      </w:r>
    </w:p>
    <w:p w14:paraId="5E52A003" w14:textId="77777777" w:rsidR="00831C68" w:rsidRPr="001B4A02" w:rsidRDefault="00831C68" w:rsidP="00ED48A3">
      <w:pPr>
        <w:ind w:left="0" w:firstLine="0"/>
        <w:rPr>
          <w:szCs w:val="22"/>
        </w:rPr>
      </w:pPr>
    </w:p>
    <w:p w14:paraId="22D18A27" w14:textId="77777777" w:rsidR="00831C68" w:rsidRPr="001B4A02" w:rsidRDefault="00000000" w:rsidP="008F1B0E">
      <w:pPr>
        <w:keepNext/>
        <w:ind w:left="0" w:firstLine="0"/>
        <w:rPr>
          <w:szCs w:val="22"/>
        </w:rPr>
      </w:pPr>
      <w:r w:rsidRPr="001B4A02">
        <w:rPr>
          <w:b/>
          <w:szCs w:val="22"/>
        </w:rPr>
        <w:t>Méně časté</w:t>
      </w:r>
      <w:r w:rsidRPr="001B4A02">
        <w:rPr>
          <w:szCs w:val="22"/>
        </w:rPr>
        <w:t xml:space="preserve"> (</w:t>
      </w:r>
      <w:r w:rsidRPr="001B4A02">
        <w:rPr>
          <w:szCs w:val="22"/>
          <w:shd w:val="clear" w:color="auto" w:fill="FFFFFF"/>
        </w:rPr>
        <w:t>mohou postihnout nejvýše 1 ze 100 osob</w:t>
      </w:r>
      <w:r w:rsidR="004823B6" w:rsidRPr="001B4A02">
        <w:rPr>
          <w:szCs w:val="22"/>
        </w:rPr>
        <w:t>)</w:t>
      </w:r>
    </w:p>
    <w:p w14:paraId="5BADC5B2" w14:textId="77777777" w:rsidR="00831C68" w:rsidRPr="001B4A02" w:rsidRDefault="00831C68" w:rsidP="008F1B0E">
      <w:pPr>
        <w:keepNext/>
        <w:ind w:left="0" w:firstLine="0"/>
        <w:rPr>
          <w:szCs w:val="22"/>
        </w:rPr>
      </w:pPr>
    </w:p>
    <w:p w14:paraId="34861B1A"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oportunní infekce (které zahrnují tuberkulózu</w:t>
      </w:r>
      <w:r w:rsidR="002378E0">
        <w:rPr>
          <w:szCs w:val="22"/>
          <w:lang w:val="cs-CZ"/>
        </w:rPr>
        <w:t xml:space="preserve"> a </w:t>
      </w:r>
      <w:r w:rsidRPr="001B4A02">
        <w:rPr>
          <w:szCs w:val="22"/>
          <w:lang w:val="cs-CZ"/>
        </w:rPr>
        <w:t>jiné infekce, které se objevují, když je snížena odolnost vůči onemocněním)</w:t>
      </w:r>
    </w:p>
    <w:p w14:paraId="17CA7B55"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neurologické infekce (včetně virové meningitidy)</w:t>
      </w:r>
    </w:p>
    <w:p w14:paraId="4DEA18E9" w14:textId="77777777" w:rsidR="00831C68" w:rsidRPr="001B4A02" w:rsidRDefault="00000000" w:rsidP="007C5EA6">
      <w:pPr>
        <w:numPr>
          <w:ilvl w:val="0"/>
          <w:numId w:val="50"/>
        </w:numPr>
        <w:tabs>
          <w:tab w:val="clear" w:pos="720"/>
        </w:tabs>
        <w:ind w:left="567" w:hanging="567"/>
        <w:rPr>
          <w:szCs w:val="22"/>
        </w:rPr>
      </w:pPr>
      <w:r w:rsidRPr="001B4A02">
        <w:rPr>
          <w:szCs w:val="22"/>
        </w:rPr>
        <w:t>záněty oka</w:t>
      </w:r>
    </w:p>
    <w:p w14:paraId="28CA82DB" w14:textId="77777777" w:rsidR="00831C68" w:rsidRPr="001B4A02" w:rsidRDefault="00000000" w:rsidP="007C5EA6">
      <w:pPr>
        <w:numPr>
          <w:ilvl w:val="0"/>
          <w:numId w:val="50"/>
        </w:numPr>
        <w:tabs>
          <w:tab w:val="clear" w:pos="720"/>
        </w:tabs>
        <w:ind w:left="567" w:hanging="567"/>
        <w:rPr>
          <w:szCs w:val="22"/>
        </w:rPr>
      </w:pPr>
      <w:r w:rsidRPr="001B4A02">
        <w:rPr>
          <w:szCs w:val="22"/>
        </w:rPr>
        <w:t>bakteriální infekce</w:t>
      </w:r>
    </w:p>
    <w:p w14:paraId="7C0AC7B9" w14:textId="77777777" w:rsidR="00831C68" w:rsidRPr="001B4A02" w:rsidRDefault="00000000" w:rsidP="007C5EA6">
      <w:pPr>
        <w:numPr>
          <w:ilvl w:val="0"/>
          <w:numId w:val="50"/>
        </w:numPr>
        <w:tabs>
          <w:tab w:val="clear" w:pos="720"/>
        </w:tabs>
        <w:ind w:left="567" w:hanging="567"/>
        <w:rPr>
          <w:szCs w:val="22"/>
        </w:rPr>
      </w:pPr>
      <w:r w:rsidRPr="001B4A02">
        <w:rPr>
          <w:szCs w:val="22"/>
          <w:lang w:eastAsia="de-DE"/>
        </w:rPr>
        <w:t>divertikulitida (zánětlivé onemocnění spojené s</w:t>
      </w:r>
      <w:r w:rsidR="004823B6" w:rsidRPr="001B4A02">
        <w:rPr>
          <w:szCs w:val="22"/>
          <w:lang w:eastAsia="de-DE"/>
        </w:rPr>
        <w:t> </w:t>
      </w:r>
      <w:r w:rsidRPr="001B4A02">
        <w:rPr>
          <w:szCs w:val="22"/>
          <w:lang w:eastAsia="de-DE"/>
        </w:rPr>
        <w:t>infekcí tlustého střeva)</w:t>
      </w:r>
    </w:p>
    <w:p w14:paraId="449CFEF1" w14:textId="77777777" w:rsidR="00831C68" w:rsidRPr="001B4A02" w:rsidRDefault="00000000" w:rsidP="007C5EA6">
      <w:pPr>
        <w:numPr>
          <w:ilvl w:val="0"/>
          <w:numId w:val="50"/>
        </w:numPr>
        <w:tabs>
          <w:tab w:val="clear" w:pos="720"/>
        </w:tabs>
        <w:ind w:left="567" w:hanging="567"/>
        <w:rPr>
          <w:szCs w:val="22"/>
        </w:rPr>
      </w:pPr>
      <w:r w:rsidRPr="001B4A02">
        <w:rPr>
          <w:szCs w:val="22"/>
        </w:rPr>
        <w:t>rakovina</w:t>
      </w:r>
    </w:p>
    <w:p w14:paraId="55ED2B68" w14:textId="77777777" w:rsidR="00831C68" w:rsidRPr="001B4A02" w:rsidRDefault="00000000" w:rsidP="007C5EA6">
      <w:pPr>
        <w:numPr>
          <w:ilvl w:val="0"/>
          <w:numId w:val="50"/>
        </w:numPr>
        <w:tabs>
          <w:tab w:val="clear" w:pos="720"/>
        </w:tabs>
        <w:ind w:left="567" w:hanging="567"/>
        <w:rPr>
          <w:szCs w:val="22"/>
        </w:rPr>
      </w:pPr>
      <w:r w:rsidRPr="001B4A02">
        <w:rPr>
          <w:szCs w:val="22"/>
        </w:rPr>
        <w:t>rakovina postihující mízní systém</w:t>
      </w:r>
    </w:p>
    <w:p w14:paraId="06A7160B" w14:textId="77777777" w:rsidR="00831C68" w:rsidRPr="001B4A02" w:rsidRDefault="00000000" w:rsidP="007C5EA6">
      <w:pPr>
        <w:numPr>
          <w:ilvl w:val="0"/>
          <w:numId w:val="50"/>
        </w:numPr>
        <w:tabs>
          <w:tab w:val="clear" w:pos="720"/>
        </w:tabs>
        <w:ind w:left="567" w:hanging="567"/>
        <w:rPr>
          <w:szCs w:val="22"/>
        </w:rPr>
      </w:pPr>
      <w:r w:rsidRPr="001B4A02">
        <w:rPr>
          <w:szCs w:val="22"/>
        </w:rPr>
        <w:t>melanom</w:t>
      </w:r>
    </w:p>
    <w:p w14:paraId="53054EA1" w14:textId="77777777" w:rsidR="00831C68" w:rsidRPr="001B4A02" w:rsidRDefault="00000000" w:rsidP="007C5EA6">
      <w:pPr>
        <w:numPr>
          <w:ilvl w:val="0"/>
          <w:numId w:val="50"/>
        </w:numPr>
        <w:tabs>
          <w:tab w:val="clear" w:pos="720"/>
        </w:tabs>
        <w:ind w:left="567" w:hanging="567"/>
        <w:rPr>
          <w:szCs w:val="22"/>
        </w:rPr>
      </w:pPr>
      <w:r w:rsidRPr="001B4A02">
        <w:rPr>
          <w:szCs w:val="22"/>
        </w:rPr>
        <w:t>poruchy imunitního systému, které mohou postihovat plíce, kůži</w:t>
      </w:r>
      <w:r w:rsidR="002378E0">
        <w:rPr>
          <w:szCs w:val="22"/>
        </w:rPr>
        <w:t xml:space="preserve"> a </w:t>
      </w:r>
      <w:r w:rsidRPr="001B4A02">
        <w:rPr>
          <w:szCs w:val="22"/>
        </w:rPr>
        <w:t>lymfatické uzliny (nejčastěji se projevující jako sarkoidóza)</w:t>
      </w:r>
    </w:p>
    <w:p w14:paraId="0DA65DE5" w14:textId="77777777" w:rsidR="00831C68" w:rsidRPr="001B4A02" w:rsidRDefault="00000000" w:rsidP="007C5EA6">
      <w:pPr>
        <w:numPr>
          <w:ilvl w:val="0"/>
          <w:numId w:val="50"/>
        </w:numPr>
        <w:tabs>
          <w:tab w:val="clear" w:pos="720"/>
        </w:tabs>
        <w:ind w:left="567" w:hanging="567"/>
        <w:rPr>
          <w:szCs w:val="22"/>
        </w:rPr>
      </w:pPr>
      <w:r w:rsidRPr="001B4A02">
        <w:rPr>
          <w:szCs w:val="22"/>
        </w:rPr>
        <w:t>vaskulitida (zánět krevních cév)</w:t>
      </w:r>
    </w:p>
    <w:p w14:paraId="426CC0C8" w14:textId="77777777" w:rsidR="00831C68" w:rsidRPr="001B4A02" w:rsidRDefault="00000000" w:rsidP="007C5EA6">
      <w:pPr>
        <w:numPr>
          <w:ilvl w:val="0"/>
          <w:numId w:val="50"/>
        </w:numPr>
        <w:tabs>
          <w:tab w:val="clear" w:pos="720"/>
        </w:tabs>
        <w:ind w:left="567" w:hanging="567"/>
        <w:rPr>
          <w:szCs w:val="22"/>
        </w:rPr>
      </w:pPr>
      <w:r w:rsidRPr="001B4A02">
        <w:rPr>
          <w:szCs w:val="22"/>
        </w:rPr>
        <w:t>třes</w:t>
      </w:r>
    </w:p>
    <w:p w14:paraId="612C8109" w14:textId="77777777" w:rsidR="00831C68" w:rsidRPr="001B4A02" w:rsidRDefault="00000000" w:rsidP="007C5EA6">
      <w:pPr>
        <w:numPr>
          <w:ilvl w:val="0"/>
          <w:numId w:val="50"/>
        </w:numPr>
        <w:tabs>
          <w:tab w:val="clear" w:pos="720"/>
        </w:tabs>
        <w:ind w:left="567" w:hanging="567"/>
        <w:rPr>
          <w:szCs w:val="22"/>
        </w:rPr>
      </w:pPr>
      <w:r w:rsidRPr="001B4A02">
        <w:rPr>
          <w:szCs w:val="22"/>
        </w:rPr>
        <w:t>neuropatie (postižení nervů)</w:t>
      </w:r>
    </w:p>
    <w:p w14:paraId="035F21F2" w14:textId="77777777" w:rsidR="00831C68" w:rsidRPr="001B4A02" w:rsidRDefault="00000000" w:rsidP="007C5EA6">
      <w:pPr>
        <w:numPr>
          <w:ilvl w:val="0"/>
          <w:numId w:val="50"/>
        </w:numPr>
        <w:tabs>
          <w:tab w:val="clear" w:pos="720"/>
        </w:tabs>
        <w:ind w:left="567" w:hanging="567"/>
        <w:rPr>
          <w:szCs w:val="22"/>
        </w:rPr>
      </w:pPr>
      <w:r w:rsidRPr="001B4A02">
        <w:rPr>
          <w:szCs w:val="22"/>
        </w:rPr>
        <w:t>mozková mrtvice</w:t>
      </w:r>
    </w:p>
    <w:p w14:paraId="73A5F510" w14:textId="77777777" w:rsidR="00831C68" w:rsidRPr="001B4A02" w:rsidRDefault="00000000" w:rsidP="007C5EA6">
      <w:pPr>
        <w:numPr>
          <w:ilvl w:val="0"/>
          <w:numId w:val="50"/>
        </w:numPr>
        <w:tabs>
          <w:tab w:val="clear" w:pos="720"/>
        </w:tabs>
        <w:ind w:left="567" w:hanging="567"/>
        <w:rPr>
          <w:szCs w:val="22"/>
        </w:rPr>
      </w:pPr>
      <w:r w:rsidRPr="001B4A02">
        <w:rPr>
          <w:szCs w:val="22"/>
        </w:rPr>
        <w:t xml:space="preserve">ztráta sluchu, </w:t>
      </w:r>
      <w:r w:rsidR="00BC6AA5">
        <w:rPr>
          <w:szCs w:val="22"/>
        </w:rPr>
        <w:t>ušní šelest</w:t>
      </w:r>
    </w:p>
    <w:p w14:paraId="40B750D6" w14:textId="77777777" w:rsidR="00831C68" w:rsidRPr="001B4A02" w:rsidRDefault="00000000" w:rsidP="007C5EA6">
      <w:pPr>
        <w:numPr>
          <w:ilvl w:val="0"/>
          <w:numId w:val="50"/>
        </w:numPr>
        <w:tabs>
          <w:tab w:val="clear" w:pos="720"/>
        </w:tabs>
        <w:ind w:left="567" w:hanging="567"/>
        <w:rPr>
          <w:szCs w:val="22"/>
        </w:rPr>
      </w:pPr>
      <w:r w:rsidRPr="001B4A02">
        <w:rPr>
          <w:szCs w:val="22"/>
        </w:rPr>
        <w:t>pocity nepravidelného bušení srdce</w:t>
      </w:r>
      <w:r w:rsidR="00A27A27" w:rsidRPr="001B4A02">
        <w:rPr>
          <w:szCs w:val="22"/>
        </w:rPr>
        <w:t>,</w:t>
      </w:r>
      <w:r w:rsidRPr="001B4A02">
        <w:rPr>
          <w:szCs w:val="22"/>
        </w:rPr>
        <w:t xml:space="preserve"> jako je vynechání tepu</w:t>
      </w:r>
    </w:p>
    <w:p w14:paraId="53A4FC7B" w14:textId="77777777" w:rsidR="00831C68" w:rsidRPr="001B4A02" w:rsidRDefault="00000000" w:rsidP="007C5EA6">
      <w:pPr>
        <w:numPr>
          <w:ilvl w:val="0"/>
          <w:numId w:val="50"/>
        </w:numPr>
        <w:tabs>
          <w:tab w:val="clear" w:pos="720"/>
        </w:tabs>
        <w:ind w:left="567" w:hanging="567"/>
        <w:rPr>
          <w:szCs w:val="22"/>
        </w:rPr>
      </w:pPr>
      <w:r w:rsidRPr="001B4A02">
        <w:rPr>
          <w:szCs w:val="22"/>
        </w:rPr>
        <w:t>srdeční obtíže, které mohou způsobovat zkrácení dechu nebo otékání kotníků</w:t>
      </w:r>
    </w:p>
    <w:p w14:paraId="7B76D33F" w14:textId="77777777" w:rsidR="00831C68" w:rsidRPr="001B4A02" w:rsidRDefault="00000000" w:rsidP="007C5EA6">
      <w:pPr>
        <w:numPr>
          <w:ilvl w:val="0"/>
          <w:numId w:val="50"/>
        </w:numPr>
        <w:tabs>
          <w:tab w:val="clear" w:pos="720"/>
        </w:tabs>
        <w:ind w:left="567" w:hanging="567"/>
        <w:rPr>
          <w:szCs w:val="22"/>
        </w:rPr>
      </w:pPr>
      <w:r w:rsidRPr="001B4A02">
        <w:rPr>
          <w:szCs w:val="22"/>
        </w:rPr>
        <w:t>srdeční příhoda (infarkt)</w:t>
      </w:r>
    </w:p>
    <w:p w14:paraId="18930C8E" w14:textId="77777777" w:rsidR="00831C68" w:rsidRPr="001B4A02" w:rsidRDefault="00000000" w:rsidP="007C5EA6">
      <w:pPr>
        <w:numPr>
          <w:ilvl w:val="0"/>
          <w:numId w:val="50"/>
        </w:numPr>
        <w:tabs>
          <w:tab w:val="clear" w:pos="720"/>
        </w:tabs>
        <w:ind w:left="567" w:hanging="567"/>
        <w:rPr>
          <w:szCs w:val="22"/>
        </w:rPr>
      </w:pPr>
      <w:r w:rsidRPr="001B4A02">
        <w:rPr>
          <w:szCs w:val="22"/>
        </w:rPr>
        <w:t>výduť ve stěně velkých tepen, zánět žilních městků, blokáda krevních cév</w:t>
      </w:r>
    </w:p>
    <w:p w14:paraId="5C555004" w14:textId="77777777" w:rsidR="00831C68" w:rsidRPr="001B4A02" w:rsidRDefault="00000000" w:rsidP="007C5EA6">
      <w:pPr>
        <w:numPr>
          <w:ilvl w:val="0"/>
          <w:numId w:val="50"/>
        </w:numPr>
        <w:tabs>
          <w:tab w:val="clear" w:pos="720"/>
        </w:tabs>
        <w:ind w:left="567" w:hanging="567"/>
        <w:rPr>
          <w:szCs w:val="22"/>
        </w:rPr>
      </w:pPr>
      <w:r w:rsidRPr="001B4A02">
        <w:rPr>
          <w:szCs w:val="22"/>
        </w:rPr>
        <w:t>plicní onemocnění způsobující zkrácení dechu (včetně zánětu)</w:t>
      </w:r>
    </w:p>
    <w:p w14:paraId="4FEB9EA4" w14:textId="77777777" w:rsidR="00831C68" w:rsidRPr="001B4A02" w:rsidRDefault="00000000" w:rsidP="007C5EA6">
      <w:pPr>
        <w:numPr>
          <w:ilvl w:val="0"/>
          <w:numId w:val="50"/>
        </w:numPr>
        <w:tabs>
          <w:tab w:val="clear" w:pos="720"/>
        </w:tabs>
        <w:ind w:left="567" w:hanging="567"/>
        <w:rPr>
          <w:szCs w:val="22"/>
        </w:rPr>
      </w:pPr>
      <w:r w:rsidRPr="001B4A02">
        <w:rPr>
          <w:szCs w:val="22"/>
          <w:lang w:eastAsia="de-DE"/>
        </w:rPr>
        <w:t>plicní embolie (uzávěr plicní tepny)</w:t>
      </w:r>
    </w:p>
    <w:p w14:paraId="1D31D6B7" w14:textId="77777777" w:rsidR="00831C68" w:rsidRPr="001B4A02" w:rsidRDefault="00000000" w:rsidP="007C5EA6">
      <w:pPr>
        <w:numPr>
          <w:ilvl w:val="0"/>
          <w:numId w:val="50"/>
        </w:numPr>
        <w:tabs>
          <w:tab w:val="clear" w:pos="720"/>
        </w:tabs>
        <w:ind w:left="567" w:hanging="567"/>
        <w:rPr>
          <w:szCs w:val="22"/>
        </w:rPr>
      </w:pPr>
      <w:r w:rsidRPr="001B4A02">
        <w:rPr>
          <w:szCs w:val="22"/>
          <w:lang w:eastAsia="de-DE"/>
        </w:rPr>
        <w:t>pleurální výpotek (neobvyklé nahromadění tekutiny v prostoru pohrudnice)</w:t>
      </w:r>
    </w:p>
    <w:p w14:paraId="1C06FBDB" w14:textId="77777777" w:rsidR="00831C68" w:rsidRPr="001B4A02" w:rsidRDefault="00000000" w:rsidP="007C5EA6">
      <w:pPr>
        <w:numPr>
          <w:ilvl w:val="0"/>
          <w:numId w:val="50"/>
        </w:numPr>
        <w:tabs>
          <w:tab w:val="clear" w:pos="720"/>
        </w:tabs>
        <w:ind w:left="567" w:hanging="567"/>
        <w:rPr>
          <w:szCs w:val="22"/>
        </w:rPr>
      </w:pPr>
      <w:r w:rsidRPr="001B4A02">
        <w:rPr>
          <w:szCs w:val="22"/>
        </w:rPr>
        <w:t>zánět slinivky břišní, způsobující závažné bolesti břicha</w:t>
      </w:r>
      <w:r w:rsidR="002378E0">
        <w:rPr>
          <w:szCs w:val="22"/>
        </w:rPr>
        <w:t xml:space="preserve"> a </w:t>
      </w:r>
      <w:r w:rsidRPr="001B4A02">
        <w:rPr>
          <w:szCs w:val="22"/>
        </w:rPr>
        <w:t>zad</w:t>
      </w:r>
    </w:p>
    <w:p w14:paraId="52F8BE13" w14:textId="77777777" w:rsidR="00831C68" w:rsidRPr="001B4A02" w:rsidRDefault="00000000" w:rsidP="007C5EA6">
      <w:pPr>
        <w:numPr>
          <w:ilvl w:val="0"/>
          <w:numId w:val="50"/>
        </w:numPr>
        <w:tabs>
          <w:tab w:val="clear" w:pos="720"/>
        </w:tabs>
        <w:ind w:left="567" w:hanging="567"/>
        <w:rPr>
          <w:szCs w:val="22"/>
        </w:rPr>
      </w:pPr>
      <w:r w:rsidRPr="001B4A02">
        <w:rPr>
          <w:szCs w:val="22"/>
        </w:rPr>
        <w:t>potíže s polykáním</w:t>
      </w:r>
    </w:p>
    <w:p w14:paraId="2BA0BD9D" w14:textId="77777777" w:rsidR="00831C68" w:rsidRPr="001B4A02" w:rsidRDefault="00000000" w:rsidP="007C5EA6">
      <w:pPr>
        <w:numPr>
          <w:ilvl w:val="0"/>
          <w:numId w:val="50"/>
        </w:numPr>
        <w:tabs>
          <w:tab w:val="clear" w:pos="720"/>
        </w:tabs>
        <w:ind w:left="567" w:hanging="567"/>
        <w:rPr>
          <w:szCs w:val="22"/>
        </w:rPr>
      </w:pPr>
      <w:r w:rsidRPr="001B4A02">
        <w:rPr>
          <w:szCs w:val="22"/>
        </w:rPr>
        <w:t xml:space="preserve">edém </w:t>
      </w:r>
      <w:r w:rsidR="00560725">
        <w:rPr>
          <w:szCs w:val="22"/>
        </w:rPr>
        <w:t>obličeje</w:t>
      </w:r>
      <w:r w:rsidR="00560725" w:rsidRPr="001B4A02">
        <w:rPr>
          <w:szCs w:val="22"/>
        </w:rPr>
        <w:t xml:space="preserve"> </w:t>
      </w:r>
      <w:r w:rsidRPr="001B4A02">
        <w:rPr>
          <w:szCs w:val="22"/>
        </w:rPr>
        <w:t xml:space="preserve">(otok </w:t>
      </w:r>
      <w:r w:rsidR="00560725">
        <w:rPr>
          <w:szCs w:val="22"/>
        </w:rPr>
        <w:t>obličeje</w:t>
      </w:r>
      <w:r w:rsidRPr="001B4A02">
        <w:rPr>
          <w:szCs w:val="22"/>
        </w:rPr>
        <w:t>)</w:t>
      </w:r>
    </w:p>
    <w:p w14:paraId="5096FA4A" w14:textId="77777777" w:rsidR="00831C68" w:rsidRPr="001B4A02" w:rsidRDefault="00000000" w:rsidP="007C5EA6">
      <w:pPr>
        <w:numPr>
          <w:ilvl w:val="0"/>
          <w:numId w:val="50"/>
        </w:numPr>
        <w:tabs>
          <w:tab w:val="clear" w:pos="720"/>
        </w:tabs>
        <w:ind w:left="567" w:hanging="567"/>
        <w:rPr>
          <w:szCs w:val="22"/>
        </w:rPr>
      </w:pPr>
      <w:r w:rsidRPr="001B4A02">
        <w:rPr>
          <w:szCs w:val="22"/>
        </w:rPr>
        <w:t>zánět žlučníku, žlučníkové kameny</w:t>
      </w:r>
    </w:p>
    <w:p w14:paraId="4B0CC2F2" w14:textId="77777777" w:rsidR="00831C68" w:rsidRPr="001B4A02" w:rsidRDefault="00000000" w:rsidP="007C5EA6">
      <w:pPr>
        <w:numPr>
          <w:ilvl w:val="0"/>
          <w:numId w:val="50"/>
        </w:numPr>
        <w:tabs>
          <w:tab w:val="clear" w:pos="720"/>
        </w:tabs>
        <w:ind w:left="567" w:hanging="567"/>
        <w:rPr>
          <w:szCs w:val="22"/>
        </w:rPr>
      </w:pPr>
      <w:r w:rsidRPr="007815F1">
        <w:t>ztu</w:t>
      </w:r>
      <w:r>
        <w:rPr>
          <w:szCs w:val="22"/>
        </w:rPr>
        <w:t>kovění</w:t>
      </w:r>
      <w:r w:rsidRPr="001B4A02">
        <w:rPr>
          <w:szCs w:val="22"/>
        </w:rPr>
        <w:t xml:space="preserve"> jater</w:t>
      </w:r>
    </w:p>
    <w:p w14:paraId="439FA47E" w14:textId="77777777" w:rsidR="00831C68" w:rsidRPr="001B4A02" w:rsidRDefault="00000000" w:rsidP="007C5EA6">
      <w:pPr>
        <w:numPr>
          <w:ilvl w:val="0"/>
          <w:numId w:val="50"/>
        </w:numPr>
        <w:tabs>
          <w:tab w:val="clear" w:pos="720"/>
        </w:tabs>
        <w:ind w:left="567" w:hanging="567"/>
        <w:rPr>
          <w:szCs w:val="22"/>
        </w:rPr>
      </w:pPr>
      <w:r w:rsidRPr="001B4A02">
        <w:rPr>
          <w:szCs w:val="22"/>
        </w:rPr>
        <w:t>noční pocení</w:t>
      </w:r>
    </w:p>
    <w:p w14:paraId="5E7642CC" w14:textId="77777777" w:rsidR="00831C68" w:rsidRPr="001B4A02" w:rsidRDefault="00000000" w:rsidP="007C5EA6">
      <w:pPr>
        <w:numPr>
          <w:ilvl w:val="0"/>
          <w:numId w:val="50"/>
        </w:numPr>
        <w:tabs>
          <w:tab w:val="clear" w:pos="720"/>
        </w:tabs>
        <w:ind w:left="567" w:hanging="567"/>
        <w:rPr>
          <w:szCs w:val="22"/>
        </w:rPr>
      </w:pPr>
      <w:r w:rsidRPr="001B4A02">
        <w:rPr>
          <w:szCs w:val="22"/>
        </w:rPr>
        <w:t>zjizvení</w:t>
      </w:r>
    </w:p>
    <w:p w14:paraId="79ED81D2" w14:textId="77777777" w:rsidR="00831C68" w:rsidRPr="001B4A02" w:rsidRDefault="00000000" w:rsidP="007C5EA6">
      <w:pPr>
        <w:numPr>
          <w:ilvl w:val="0"/>
          <w:numId w:val="50"/>
        </w:numPr>
        <w:tabs>
          <w:tab w:val="clear" w:pos="720"/>
        </w:tabs>
        <w:ind w:left="567" w:hanging="567"/>
        <w:rPr>
          <w:szCs w:val="22"/>
        </w:rPr>
      </w:pPr>
      <w:r w:rsidRPr="001B4A02">
        <w:rPr>
          <w:szCs w:val="22"/>
        </w:rPr>
        <w:t>neobvyklé poškození svalů</w:t>
      </w:r>
    </w:p>
    <w:p w14:paraId="279A3CD7" w14:textId="77777777" w:rsidR="00831C68" w:rsidRPr="001B4A02" w:rsidRDefault="00000000" w:rsidP="007C5EA6">
      <w:pPr>
        <w:numPr>
          <w:ilvl w:val="0"/>
          <w:numId w:val="50"/>
        </w:numPr>
        <w:tabs>
          <w:tab w:val="clear" w:pos="720"/>
        </w:tabs>
        <w:ind w:left="567" w:hanging="567"/>
        <w:rPr>
          <w:szCs w:val="22"/>
        </w:rPr>
      </w:pPr>
      <w:r w:rsidRPr="001B4A02">
        <w:rPr>
          <w:szCs w:val="22"/>
        </w:rPr>
        <w:t>systémový lupus erythematodes (zahrnující zánět kůže, srdce, plic, kloubů</w:t>
      </w:r>
      <w:r w:rsidR="002378E0">
        <w:rPr>
          <w:szCs w:val="22"/>
        </w:rPr>
        <w:t xml:space="preserve"> a </w:t>
      </w:r>
      <w:r w:rsidRPr="001B4A02">
        <w:rPr>
          <w:szCs w:val="22"/>
        </w:rPr>
        <w:t>jiných orgánových systémů)</w:t>
      </w:r>
    </w:p>
    <w:p w14:paraId="631CDF24" w14:textId="77777777" w:rsidR="00831C68" w:rsidRPr="001B4A02" w:rsidRDefault="00000000" w:rsidP="007C5EA6">
      <w:pPr>
        <w:numPr>
          <w:ilvl w:val="0"/>
          <w:numId w:val="50"/>
        </w:numPr>
        <w:tabs>
          <w:tab w:val="clear" w:pos="720"/>
        </w:tabs>
        <w:ind w:left="567" w:hanging="567"/>
        <w:rPr>
          <w:szCs w:val="22"/>
        </w:rPr>
      </w:pPr>
      <w:r w:rsidRPr="001B4A02">
        <w:rPr>
          <w:szCs w:val="22"/>
        </w:rPr>
        <w:t>přerušovaný spánek</w:t>
      </w:r>
    </w:p>
    <w:p w14:paraId="65A95C84" w14:textId="77777777" w:rsidR="00831C68" w:rsidRPr="001B4A02" w:rsidRDefault="00000000" w:rsidP="007C5EA6">
      <w:pPr>
        <w:numPr>
          <w:ilvl w:val="0"/>
          <w:numId w:val="50"/>
        </w:numPr>
        <w:tabs>
          <w:tab w:val="clear" w:pos="720"/>
        </w:tabs>
        <w:ind w:left="567" w:hanging="567"/>
        <w:rPr>
          <w:szCs w:val="22"/>
        </w:rPr>
      </w:pPr>
      <w:r w:rsidRPr="001B4A02">
        <w:rPr>
          <w:szCs w:val="22"/>
        </w:rPr>
        <w:t>impotence</w:t>
      </w:r>
    </w:p>
    <w:p w14:paraId="2D4F1822" w14:textId="77777777" w:rsidR="00831C68" w:rsidRPr="001B4A02" w:rsidRDefault="00000000" w:rsidP="007C5EA6">
      <w:pPr>
        <w:numPr>
          <w:ilvl w:val="0"/>
          <w:numId w:val="50"/>
        </w:numPr>
        <w:tabs>
          <w:tab w:val="clear" w:pos="720"/>
        </w:tabs>
        <w:ind w:left="567" w:hanging="567"/>
        <w:rPr>
          <w:szCs w:val="22"/>
        </w:rPr>
      </w:pPr>
      <w:r w:rsidRPr="001B4A02">
        <w:rPr>
          <w:szCs w:val="22"/>
        </w:rPr>
        <w:t>záněty</w:t>
      </w:r>
    </w:p>
    <w:p w14:paraId="4E5DA492" w14:textId="77777777" w:rsidR="00831C68" w:rsidRPr="001B4A02" w:rsidRDefault="00831C68" w:rsidP="00ED48A3">
      <w:pPr>
        <w:pStyle w:val="EMEANormal"/>
        <w:tabs>
          <w:tab w:val="clear" w:pos="562"/>
        </w:tabs>
        <w:suppressAutoHyphens w:val="0"/>
        <w:rPr>
          <w:szCs w:val="22"/>
          <w:lang w:val="cs-CZ"/>
        </w:rPr>
      </w:pPr>
    </w:p>
    <w:p w14:paraId="797F552B" w14:textId="77777777" w:rsidR="00831C68" w:rsidRPr="001B4A02" w:rsidRDefault="00000000" w:rsidP="008F1B0E">
      <w:pPr>
        <w:keepNext/>
        <w:ind w:left="0" w:firstLine="0"/>
        <w:rPr>
          <w:szCs w:val="22"/>
        </w:rPr>
      </w:pPr>
      <w:r w:rsidRPr="001B4A02">
        <w:rPr>
          <w:b/>
          <w:szCs w:val="22"/>
        </w:rPr>
        <w:t>Vzácné</w:t>
      </w:r>
      <w:r w:rsidRPr="001B4A02">
        <w:rPr>
          <w:szCs w:val="22"/>
        </w:rPr>
        <w:t xml:space="preserve"> (mohou postihnout nejvýše 1 z 1</w:t>
      </w:r>
      <w:r w:rsidR="009F584E" w:rsidRPr="001B4A02">
        <w:rPr>
          <w:szCs w:val="22"/>
        </w:rPr>
        <w:t> </w:t>
      </w:r>
      <w:r w:rsidRPr="001B4A02">
        <w:rPr>
          <w:szCs w:val="22"/>
        </w:rPr>
        <w:t>000 osob)</w:t>
      </w:r>
    </w:p>
    <w:p w14:paraId="24F3548C" w14:textId="77777777" w:rsidR="00831C68" w:rsidRPr="001B4A02" w:rsidRDefault="00831C68" w:rsidP="008F1B0E">
      <w:pPr>
        <w:keepNext/>
        <w:ind w:left="0" w:firstLine="0"/>
        <w:rPr>
          <w:szCs w:val="22"/>
        </w:rPr>
      </w:pPr>
    </w:p>
    <w:p w14:paraId="25FF5780" w14:textId="77777777" w:rsidR="00831C68" w:rsidRPr="001B4A02" w:rsidRDefault="00000000" w:rsidP="007C5EA6">
      <w:pPr>
        <w:numPr>
          <w:ilvl w:val="0"/>
          <w:numId w:val="51"/>
        </w:numPr>
        <w:tabs>
          <w:tab w:val="clear" w:pos="720"/>
        </w:tabs>
        <w:ind w:left="567" w:hanging="567"/>
        <w:rPr>
          <w:szCs w:val="22"/>
        </w:rPr>
      </w:pPr>
      <w:r w:rsidRPr="001B4A02">
        <w:rPr>
          <w:szCs w:val="22"/>
        </w:rPr>
        <w:t>leukémie (rakovina postihující krev</w:t>
      </w:r>
      <w:r w:rsidR="002378E0">
        <w:rPr>
          <w:szCs w:val="22"/>
        </w:rPr>
        <w:t xml:space="preserve"> a </w:t>
      </w:r>
      <w:r w:rsidRPr="001B4A02">
        <w:rPr>
          <w:szCs w:val="22"/>
        </w:rPr>
        <w:t>kostní dřeň)</w:t>
      </w:r>
    </w:p>
    <w:p w14:paraId="4FCC9EC5" w14:textId="77777777" w:rsidR="00831C68" w:rsidRPr="001B4A02" w:rsidRDefault="00000000" w:rsidP="007C5EA6">
      <w:pPr>
        <w:numPr>
          <w:ilvl w:val="0"/>
          <w:numId w:val="51"/>
        </w:numPr>
        <w:tabs>
          <w:tab w:val="clear" w:pos="720"/>
        </w:tabs>
        <w:ind w:left="567" w:hanging="567"/>
        <w:rPr>
          <w:szCs w:val="22"/>
        </w:rPr>
      </w:pPr>
      <w:r w:rsidRPr="001B4A02">
        <w:rPr>
          <w:szCs w:val="22"/>
        </w:rPr>
        <w:t>závažné alergické reakce doprovázené šokem</w:t>
      </w:r>
    </w:p>
    <w:p w14:paraId="77F3BA2A" w14:textId="77777777" w:rsidR="00831C68" w:rsidRPr="001B4A02" w:rsidRDefault="00000000" w:rsidP="007C5EA6">
      <w:pPr>
        <w:numPr>
          <w:ilvl w:val="0"/>
          <w:numId w:val="51"/>
        </w:numPr>
        <w:tabs>
          <w:tab w:val="clear" w:pos="720"/>
        </w:tabs>
        <w:ind w:left="567" w:hanging="567"/>
        <w:rPr>
          <w:szCs w:val="22"/>
        </w:rPr>
      </w:pPr>
      <w:r w:rsidRPr="001B4A02">
        <w:rPr>
          <w:szCs w:val="22"/>
        </w:rPr>
        <w:t>roztroušená skleróza</w:t>
      </w:r>
    </w:p>
    <w:p w14:paraId="5C39CBDA" w14:textId="77777777" w:rsidR="00831C68" w:rsidRPr="001B4A02" w:rsidRDefault="00000000" w:rsidP="007C5EA6">
      <w:pPr>
        <w:numPr>
          <w:ilvl w:val="0"/>
          <w:numId w:val="51"/>
        </w:numPr>
        <w:tabs>
          <w:tab w:val="clear" w:pos="720"/>
        </w:tabs>
        <w:ind w:left="567" w:hanging="567"/>
        <w:rPr>
          <w:szCs w:val="22"/>
        </w:rPr>
      </w:pPr>
      <w:r w:rsidRPr="001B4A02">
        <w:rPr>
          <w:szCs w:val="22"/>
        </w:rPr>
        <w:t>nervové poruchy (jako záněty očního nervu</w:t>
      </w:r>
      <w:r w:rsidR="002378E0">
        <w:rPr>
          <w:szCs w:val="22"/>
        </w:rPr>
        <w:t xml:space="preserve"> a </w:t>
      </w:r>
      <w:r w:rsidRPr="001B4A02">
        <w:rPr>
          <w:szCs w:val="22"/>
        </w:rPr>
        <w:t>Guillain-Barré syndrom, který může způsobit svalovou slabost, abnormální pocity, brnění v pažích</w:t>
      </w:r>
      <w:r w:rsidR="002378E0">
        <w:rPr>
          <w:szCs w:val="22"/>
        </w:rPr>
        <w:t xml:space="preserve"> a </w:t>
      </w:r>
      <w:r w:rsidRPr="001B4A02">
        <w:rPr>
          <w:szCs w:val="22"/>
        </w:rPr>
        <w:t>horní části těla)</w:t>
      </w:r>
    </w:p>
    <w:p w14:paraId="304E47EF" w14:textId="77777777" w:rsidR="00831C68" w:rsidRPr="001B4A02" w:rsidRDefault="00000000" w:rsidP="007C5EA6">
      <w:pPr>
        <w:numPr>
          <w:ilvl w:val="0"/>
          <w:numId w:val="58"/>
        </w:numPr>
        <w:tabs>
          <w:tab w:val="clear" w:pos="720"/>
        </w:tabs>
        <w:ind w:left="567" w:hanging="567"/>
        <w:rPr>
          <w:szCs w:val="22"/>
        </w:rPr>
      </w:pPr>
      <w:r w:rsidRPr="001B4A02">
        <w:rPr>
          <w:szCs w:val="22"/>
        </w:rPr>
        <w:t>zástava srdečních stahů</w:t>
      </w:r>
    </w:p>
    <w:p w14:paraId="462A5837" w14:textId="77777777" w:rsidR="00831C68" w:rsidRPr="001B4A02" w:rsidRDefault="00000000" w:rsidP="007C5EA6">
      <w:pPr>
        <w:numPr>
          <w:ilvl w:val="0"/>
          <w:numId w:val="58"/>
        </w:numPr>
        <w:tabs>
          <w:tab w:val="clear" w:pos="720"/>
        </w:tabs>
        <w:ind w:left="567" w:hanging="567"/>
        <w:rPr>
          <w:szCs w:val="22"/>
        </w:rPr>
      </w:pPr>
      <w:r w:rsidRPr="001B4A02">
        <w:rPr>
          <w:szCs w:val="22"/>
          <w:lang w:eastAsia="de-DE"/>
        </w:rPr>
        <w:t>plicní fibróza (zjizvení plic)</w:t>
      </w:r>
    </w:p>
    <w:p w14:paraId="61871F41" w14:textId="77777777" w:rsidR="00831C68" w:rsidRPr="001B4A02" w:rsidRDefault="00000000" w:rsidP="007C5EA6">
      <w:pPr>
        <w:numPr>
          <w:ilvl w:val="0"/>
          <w:numId w:val="58"/>
        </w:numPr>
        <w:tabs>
          <w:tab w:val="clear" w:pos="720"/>
        </w:tabs>
        <w:ind w:left="567" w:hanging="567"/>
        <w:rPr>
          <w:szCs w:val="22"/>
        </w:rPr>
      </w:pPr>
      <w:r w:rsidRPr="001B4A02">
        <w:rPr>
          <w:szCs w:val="22"/>
        </w:rPr>
        <w:t>perforace (protržení) střeva</w:t>
      </w:r>
    </w:p>
    <w:p w14:paraId="17C6E253" w14:textId="77777777" w:rsidR="00831C68" w:rsidRPr="001B4A02" w:rsidRDefault="00000000" w:rsidP="007C5EA6">
      <w:pPr>
        <w:numPr>
          <w:ilvl w:val="0"/>
          <w:numId w:val="58"/>
        </w:numPr>
        <w:tabs>
          <w:tab w:val="clear" w:pos="720"/>
        </w:tabs>
        <w:ind w:left="567" w:hanging="567"/>
        <w:rPr>
          <w:szCs w:val="22"/>
        </w:rPr>
      </w:pPr>
      <w:r w:rsidRPr="001B4A02">
        <w:rPr>
          <w:szCs w:val="22"/>
        </w:rPr>
        <w:t>hepatitida</w:t>
      </w:r>
      <w:r w:rsidR="00F47DB9">
        <w:t xml:space="preserve"> (zánět jater)</w:t>
      </w:r>
    </w:p>
    <w:p w14:paraId="43E5383C" w14:textId="77777777" w:rsidR="00831C68" w:rsidRPr="001B4A02" w:rsidRDefault="00000000" w:rsidP="007C5EA6">
      <w:pPr>
        <w:numPr>
          <w:ilvl w:val="0"/>
          <w:numId w:val="58"/>
        </w:numPr>
        <w:tabs>
          <w:tab w:val="clear" w:pos="720"/>
        </w:tabs>
        <w:ind w:left="567" w:hanging="567"/>
        <w:rPr>
          <w:szCs w:val="22"/>
        </w:rPr>
      </w:pPr>
      <w:r w:rsidRPr="001B4A02">
        <w:rPr>
          <w:szCs w:val="22"/>
        </w:rPr>
        <w:t>reaktivace hepatitidy B</w:t>
      </w:r>
    </w:p>
    <w:p w14:paraId="4BAB2479" w14:textId="77777777" w:rsidR="00831C68" w:rsidRPr="001B4A02" w:rsidRDefault="00000000" w:rsidP="007C5EA6">
      <w:pPr>
        <w:numPr>
          <w:ilvl w:val="0"/>
          <w:numId w:val="58"/>
        </w:numPr>
        <w:tabs>
          <w:tab w:val="clear" w:pos="720"/>
        </w:tabs>
        <w:ind w:left="567" w:hanging="567"/>
        <w:rPr>
          <w:szCs w:val="22"/>
        </w:rPr>
      </w:pPr>
      <w:r w:rsidRPr="001B4A02">
        <w:rPr>
          <w:szCs w:val="22"/>
        </w:rPr>
        <w:t>autoimunní hepatitida (zánět jater způsobený imunitním systémem vlastního těla)</w:t>
      </w:r>
    </w:p>
    <w:p w14:paraId="7FA30527" w14:textId="77777777" w:rsidR="00831C68" w:rsidRPr="001B4A02" w:rsidRDefault="00000000" w:rsidP="007C5EA6">
      <w:pPr>
        <w:numPr>
          <w:ilvl w:val="0"/>
          <w:numId w:val="58"/>
        </w:numPr>
        <w:tabs>
          <w:tab w:val="clear" w:pos="720"/>
        </w:tabs>
        <w:ind w:left="567" w:hanging="567"/>
        <w:rPr>
          <w:szCs w:val="22"/>
        </w:rPr>
      </w:pPr>
      <w:r w:rsidRPr="001B4A02">
        <w:rPr>
          <w:szCs w:val="22"/>
        </w:rPr>
        <w:t>kožní vaskulitida (zánět krevních cév v kůži)</w:t>
      </w:r>
    </w:p>
    <w:p w14:paraId="2C09A926" w14:textId="77777777" w:rsidR="00831C68" w:rsidRPr="001B4A02" w:rsidRDefault="00000000" w:rsidP="007C5EA6">
      <w:pPr>
        <w:numPr>
          <w:ilvl w:val="0"/>
          <w:numId w:val="58"/>
        </w:numPr>
        <w:tabs>
          <w:tab w:val="clear" w:pos="720"/>
        </w:tabs>
        <w:ind w:left="567" w:hanging="567"/>
        <w:rPr>
          <w:szCs w:val="22"/>
        </w:rPr>
      </w:pPr>
      <w:r w:rsidRPr="001B4A02">
        <w:rPr>
          <w:szCs w:val="22"/>
        </w:rPr>
        <w:t>Stevens</w:t>
      </w:r>
      <w:r w:rsidR="00C43387">
        <w:t>ův</w:t>
      </w:r>
      <w:r w:rsidRPr="001B4A02">
        <w:rPr>
          <w:szCs w:val="22"/>
        </w:rPr>
        <w:t>-Johnsonův syndrom (časné příznaky zahrnují únavu, horečku, bolest hlavy</w:t>
      </w:r>
      <w:r w:rsidR="002378E0">
        <w:rPr>
          <w:szCs w:val="22"/>
        </w:rPr>
        <w:t xml:space="preserve"> a </w:t>
      </w:r>
      <w:r w:rsidRPr="001B4A02">
        <w:rPr>
          <w:szCs w:val="22"/>
        </w:rPr>
        <w:t>vyrážku)</w:t>
      </w:r>
    </w:p>
    <w:p w14:paraId="09AAD393" w14:textId="77777777" w:rsidR="00831C68" w:rsidRPr="001B4A02" w:rsidRDefault="00000000" w:rsidP="007C5EA6">
      <w:pPr>
        <w:numPr>
          <w:ilvl w:val="0"/>
          <w:numId w:val="58"/>
        </w:numPr>
        <w:tabs>
          <w:tab w:val="clear" w:pos="720"/>
        </w:tabs>
        <w:ind w:left="567" w:hanging="567"/>
        <w:rPr>
          <w:szCs w:val="22"/>
        </w:rPr>
      </w:pPr>
      <w:r w:rsidRPr="001B4A02">
        <w:rPr>
          <w:szCs w:val="22"/>
        </w:rPr>
        <w:t xml:space="preserve">edém </w:t>
      </w:r>
      <w:r w:rsidR="00560725">
        <w:rPr>
          <w:szCs w:val="22"/>
        </w:rPr>
        <w:t>obličeje</w:t>
      </w:r>
      <w:r w:rsidRPr="001B4A02">
        <w:rPr>
          <w:szCs w:val="22"/>
        </w:rPr>
        <w:t xml:space="preserve"> (otok </w:t>
      </w:r>
      <w:r w:rsidR="00560725">
        <w:rPr>
          <w:szCs w:val="22"/>
        </w:rPr>
        <w:t>obličeje</w:t>
      </w:r>
      <w:r w:rsidRPr="001B4A02">
        <w:rPr>
          <w:szCs w:val="22"/>
        </w:rPr>
        <w:t>) spojený s alergickými reakcemi</w:t>
      </w:r>
    </w:p>
    <w:p w14:paraId="79836DCA" w14:textId="77777777" w:rsidR="00831C68" w:rsidRPr="001B4A02" w:rsidRDefault="00000000" w:rsidP="007C5EA6">
      <w:pPr>
        <w:numPr>
          <w:ilvl w:val="0"/>
          <w:numId w:val="58"/>
        </w:numPr>
        <w:tabs>
          <w:tab w:val="clear" w:pos="720"/>
        </w:tabs>
        <w:ind w:left="567" w:hanging="567"/>
        <w:rPr>
          <w:szCs w:val="22"/>
        </w:rPr>
      </w:pPr>
      <w:r w:rsidRPr="001B4A02">
        <w:rPr>
          <w:szCs w:val="22"/>
        </w:rPr>
        <w:t>erythema multiforme (zánětlivá kožní vyrážka)</w:t>
      </w:r>
    </w:p>
    <w:p w14:paraId="4217D1D9" w14:textId="77777777" w:rsidR="00AF57C0" w:rsidRPr="001B4A02" w:rsidRDefault="00000000" w:rsidP="007C5EA6">
      <w:pPr>
        <w:numPr>
          <w:ilvl w:val="0"/>
          <w:numId w:val="58"/>
        </w:numPr>
        <w:tabs>
          <w:tab w:val="clear" w:pos="720"/>
        </w:tabs>
        <w:ind w:left="567" w:hanging="567"/>
        <w:rPr>
          <w:szCs w:val="22"/>
        </w:rPr>
      </w:pPr>
      <w:r w:rsidRPr="001B4A02">
        <w:rPr>
          <w:szCs w:val="22"/>
        </w:rPr>
        <w:t>lupus-like syndrom (onemocnění s příznaky podobnými lupus erythematodes)</w:t>
      </w:r>
    </w:p>
    <w:p w14:paraId="26DA483A" w14:textId="77777777" w:rsidR="009A3A57" w:rsidRPr="009A3A57" w:rsidRDefault="00000000" w:rsidP="007C5EA6">
      <w:pPr>
        <w:numPr>
          <w:ilvl w:val="0"/>
          <w:numId w:val="58"/>
        </w:numPr>
        <w:tabs>
          <w:tab w:val="clear" w:pos="720"/>
        </w:tabs>
        <w:ind w:left="567" w:hanging="567"/>
        <w:rPr>
          <w:szCs w:val="22"/>
        </w:rPr>
      </w:pPr>
      <w:r w:rsidRPr="001B4A02">
        <w:t>angioedém (lokalizovaný otok kůže)</w:t>
      </w:r>
    </w:p>
    <w:p w14:paraId="1F119D1C" w14:textId="77777777" w:rsidR="00831C68" w:rsidRPr="001B4A02" w:rsidRDefault="00000000" w:rsidP="007C5EA6">
      <w:pPr>
        <w:numPr>
          <w:ilvl w:val="0"/>
          <w:numId w:val="58"/>
        </w:numPr>
        <w:tabs>
          <w:tab w:val="clear" w:pos="720"/>
        </w:tabs>
        <w:ind w:left="567" w:hanging="567"/>
        <w:rPr>
          <w:szCs w:val="22"/>
        </w:rPr>
      </w:pPr>
      <w:r>
        <w:t xml:space="preserve">lichenoidní kožní reakce (svědivá </w:t>
      </w:r>
      <w:r w:rsidR="00844B73" w:rsidRPr="00A644C2">
        <w:t>načervenalá až purpurově zbarvená</w:t>
      </w:r>
      <w:r>
        <w:t xml:space="preserve"> vyrážka)</w:t>
      </w:r>
    </w:p>
    <w:p w14:paraId="01C4EBF4" w14:textId="77777777" w:rsidR="00831C68" w:rsidRPr="001B4A02" w:rsidRDefault="00831C68" w:rsidP="00ED48A3">
      <w:pPr>
        <w:ind w:left="0" w:right="-29" w:firstLine="0"/>
        <w:rPr>
          <w:szCs w:val="22"/>
        </w:rPr>
      </w:pPr>
    </w:p>
    <w:p w14:paraId="7A9CACA1" w14:textId="77777777" w:rsidR="00831C68" w:rsidRPr="001B4A02" w:rsidRDefault="00000000" w:rsidP="00BA0A72">
      <w:pPr>
        <w:keepNext/>
        <w:ind w:left="0" w:right="-28" w:firstLine="0"/>
        <w:rPr>
          <w:szCs w:val="22"/>
        </w:rPr>
      </w:pPr>
      <w:r w:rsidRPr="001B4A02">
        <w:rPr>
          <w:b/>
          <w:szCs w:val="22"/>
        </w:rPr>
        <w:t>Není známo</w:t>
      </w:r>
      <w:r w:rsidRPr="001B4A02">
        <w:rPr>
          <w:szCs w:val="22"/>
        </w:rPr>
        <w:t xml:space="preserve"> (frekvenci výskytu nelze z</w:t>
      </w:r>
      <w:r w:rsidR="000928E6" w:rsidRPr="001B4A02">
        <w:rPr>
          <w:szCs w:val="22"/>
        </w:rPr>
        <w:t> </w:t>
      </w:r>
      <w:r w:rsidRPr="001B4A02">
        <w:rPr>
          <w:szCs w:val="22"/>
        </w:rPr>
        <w:t>dostupných údajů určit)</w:t>
      </w:r>
    </w:p>
    <w:p w14:paraId="67979725" w14:textId="77777777" w:rsidR="00831C68" w:rsidRPr="001B4A02" w:rsidRDefault="00831C68" w:rsidP="00BA0A72">
      <w:pPr>
        <w:keepNext/>
        <w:ind w:left="0" w:right="-28" w:firstLine="0"/>
        <w:rPr>
          <w:szCs w:val="22"/>
        </w:rPr>
      </w:pPr>
    </w:p>
    <w:p w14:paraId="3D8E648C" w14:textId="77777777" w:rsidR="00831C68" w:rsidRPr="001B4A02" w:rsidRDefault="00000000" w:rsidP="007C5EA6">
      <w:pPr>
        <w:numPr>
          <w:ilvl w:val="0"/>
          <w:numId w:val="48"/>
        </w:numPr>
        <w:tabs>
          <w:tab w:val="clear" w:pos="720"/>
        </w:tabs>
        <w:ind w:left="567" w:hanging="567"/>
        <w:rPr>
          <w:szCs w:val="22"/>
        </w:rPr>
      </w:pPr>
      <w:r w:rsidRPr="001B4A02">
        <w:rPr>
          <w:szCs w:val="22"/>
        </w:rPr>
        <w:t>hepatosplenický T-buněčný lymfom (vzácný druh rakoviny krve, který je obvykle smrtelný)</w:t>
      </w:r>
    </w:p>
    <w:p w14:paraId="1AB41D3D" w14:textId="77777777" w:rsidR="00831C68" w:rsidRDefault="00000000" w:rsidP="007C5EA6">
      <w:pPr>
        <w:numPr>
          <w:ilvl w:val="0"/>
          <w:numId w:val="48"/>
        </w:numPr>
        <w:tabs>
          <w:tab w:val="clear" w:pos="720"/>
        </w:tabs>
        <w:ind w:left="567" w:hanging="567"/>
        <w:rPr>
          <w:szCs w:val="22"/>
        </w:rPr>
      </w:pPr>
      <w:r w:rsidRPr="001B4A02">
        <w:rPr>
          <w:szCs w:val="22"/>
        </w:rPr>
        <w:t>karcinom z</w:t>
      </w:r>
      <w:r w:rsidR="000928E6" w:rsidRPr="001B4A02">
        <w:rPr>
          <w:szCs w:val="22"/>
        </w:rPr>
        <w:t> </w:t>
      </w:r>
      <w:r w:rsidRPr="001B4A02">
        <w:rPr>
          <w:szCs w:val="22"/>
        </w:rPr>
        <w:t>Merkelových buněk (typ kožního karcinomu)</w:t>
      </w:r>
    </w:p>
    <w:p w14:paraId="0AD2607D" w14:textId="77777777" w:rsidR="00B2204A" w:rsidRPr="001B4A02" w:rsidRDefault="00000000" w:rsidP="007C5EA6">
      <w:pPr>
        <w:numPr>
          <w:ilvl w:val="0"/>
          <w:numId w:val="48"/>
        </w:numPr>
        <w:tabs>
          <w:tab w:val="clear" w:pos="720"/>
        </w:tabs>
        <w:ind w:left="567" w:hanging="567"/>
        <w:rPr>
          <w:szCs w:val="22"/>
        </w:rPr>
      </w:pPr>
      <w:r>
        <w:t xml:space="preserve">Kaposiho </w:t>
      </w:r>
      <w:r w:rsidRPr="009A21A5">
        <w:t>sarkom</w:t>
      </w:r>
      <w:r>
        <w:t xml:space="preserve">, vzácné nádorové onemocnění související s infekcí vyvolanou lidským herpesvirem typu 8. Kaposiho </w:t>
      </w:r>
      <w:r w:rsidRPr="009A21A5">
        <w:t>sarkom</w:t>
      </w:r>
      <w:r>
        <w:t xml:space="preserve"> se nejčastěji vyskytuje ve formě fialových skvrn na kůži</w:t>
      </w:r>
    </w:p>
    <w:p w14:paraId="43CC5F25" w14:textId="77777777" w:rsidR="00831C68" w:rsidRPr="001B4A02" w:rsidRDefault="00000000" w:rsidP="007C5EA6">
      <w:pPr>
        <w:numPr>
          <w:ilvl w:val="0"/>
          <w:numId w:val="48"/>
        </w:numPr>
        <w:tabs>
          <w:tab w:val="clear" w:pos="720"/>
        </w:tabs>
        <w:ind w:left="567" w:hanging="567"/>
        <w:rPr>
          <w:szCs w:val="22"/>
        </w:rPr>
      </w:pPr>
      <w:r w:rsidRPr="001B4A02">
        <w:rPr>
          <w:szCs w:val="22"/>
        </w:rPr>
        <w:t>selhání jater</w:t>
      </w:r>
    </w:p>
    <w:p w14:paraId="126AF013" w14:textId="77777777" w:rsidR="00831C68" w:rsidRPr="001B4A02" w:rsidRDefault="00000000" w:rsidP="007C5EA6">
      <w:pPr>
        <w:numPr>
          <w:ilvl w:val="0"/>
          <w:numId w:val="48"/>
        </w:numPr>
        <w:tabs>
          <w:tab w:val="clear" w:pos="720"/>
        </w:tabs>
        <w:ind w:left="567" w:hanging="567"/>
        <w:rPr>
          <w:szCs w:val="22"/>
        </w:rPr>
      </w:pPr>
      <w:r w:rsidRPr="001B4A02">
        <w:rPr>
          <w:szCs w:val="22"/>
        </w:rPr>
        <w:t>zhoršení onemocnění nazývané dermatomyozitida (pozorovatelné jako kožní vyrážka doprovázená svalovou slabostí)</w:t>
      </w:r>
    </w:p>
    <w:p w14:paraId="2B88D661" w14:textId="77777777" w:rsidR="00000ECA" w:rsidRPr="001B4A02" w:rsidRDefault="00000000" w:rsidP="00000ECA">
      <w:pPr>
        <w:numPr>
          <w:ilvl w:val="0"/>
          <w:numId w:val="48"/>
        </w:numPr>
        <w:tabs>
          <w:tab w:val="clear" w:pos="720"/>
        </w:tabs>
        <w:ind w:left="567" w:hanging="567"/>
      </w:pPr>
      <w:r w:rsidRPr="000752A7">
        <w:rPr>
          <w:color w:val="000000"/>
          <w:szCs w:val="22"/>
        </w:rPr>
        <w:t>zvýšení tělesné hmotnosti (u</w:t>
      </w:r>
      <w:r w:rsidRPr="000752A7">
        <w:rPr>
          <w:szCs w:val="22"/>
          <w:lang w:eastAsia="cs-CZ"/>
        </w:rPr>
        <w:t> </w:t>
      </w:r>
      <w:r w:rsidRPr="000752A7">
        <w:rPr>
          <w:color w:val="000000"/>
          <w:szCs w:val="22"/>
        </w:rPr>
        <w:t>většiny pacientů byl přírůstek hmotnosti malý)</w:t>
      </w:r>
    </w:p>
    <w:p w14:paraId="3B951A09" w14:textId="77777777" w:rsidR="00831C68" w:rsidRPr="001B4A02" w:rsidRDefault="00831C68" w:rsidP="00ED48A3">
      <w:pPr>
        <w:ind w:left="0" w:right="-29" w:firstLine="0"/>
        <w:rPr>
          <w:szCs w:val="22"/>
        </w:rPr>
      </w:pPr>
    </w:p>
    <w:p w14:paraId="62149A18" w14:textId="77777777" w:rsidR="00831C68" w:rsidRPr="001B4A02" w:rsidRDefault="00000000" w:rsidP="00ED48A3">
      <w:pPr>
        <w:ind w:left="0" w:right="-29" w:firstLine="0"/>
        <w:rPr>
          <w:szCs w:val="22"/>
        </w:rPr>
      </w:pPr>
      <w:r w:rsidRPr="001B4A02">
        <w:rPr>
          <w:szCs w:val="22"/>
        </w:rPr>
        <w:t>Některé nežádoucí účinky pozorované u</w:t>
      </w:r>
      <w:r w:rsidR="009E1608" w:rsidRPr="001B4A02">
        <w:rPr>
          <w:szCs w:val="22"/>
        </w:rPr>
        <w:t> </w:t>
      </w:r>
      <w:r w:rsidR="009E1608" w:rsidRPr="001B4A02">
        <w:t>přípravku</w:t>
      </w:r>
      <w:r w:rsidRPr="001B4A02">
        <w:rPr>
          <w:szCs w:val="22"/>
        </w:rPr>
        <w:t xml:space="preserve"> Humir</w:t>
      </w:r>
      <w:r w:rsidR="009E1608" w:rsidRPr="001B4A02">
        <w:rPr>
          <w:szCs w:val="22"/>
        </w:rPr>
        <w:t>a</w:t>
      </w:r>
      <w:r w:rsidRPr="001B4A02">
        <w:rPr>
          <w:szCs w:val="22"/>
        </w:rPr>
        <w:t xml:space="preserve"> mohou probíhat bez příznaků</w:t>
      </w:r>
      <w:r w:rsidR="002378E0">
        <w:rPr>
          <w:szCs w:val="22"/>
        </w:rPr>
        <w:t xml:space="preserve"> a </w:t>
      </w:r>
      <w:r w:rsidRPr="001B4A02">
        <w:rPr>
          <w:szCs w:val="22"/>
        </w:rPr>
        <w:t>mohou být objeveny pouze s pomocí krevních testů. Tyto nežádoucí účinky zahrnují:</w:t>
      </w:r>
    </w:p>
    <w:p w14:paraId="4B6867DB" w14:textId="77777777" w:rsidR="00831C68" w:rsidRPr="001B4A02" w:rsidRDefault="00831C68" w:rsidP="00ED48A3">
      <w:pPr>
        <w:ind w:left="0" w:right="-29" w:firstLine="0"/>
        <w:rPr>
          <w:szCs w:val="22"/>
        </w:rPr>
      </w:pPr>
    </w:p>
    <w:p w14:paraId="7F650DED" w14:textId="77777777" w:rsidR="00831C68" w:rsidRPr="001B4A02" w:rsidRDefault="00000000" w:rsidP="008F1B0E">
      <w:pPr>
        <w:keepNext/>
        <w:ind w:left="0" w:right="-29" w:firstLine="0"/>
        <w:rPr>
          <w:szCs w:val="22"/>
        </w:rPr>
      </w:pPr>
      <w:r w:rsidRPr="001B4A02">
        <w:rPr>
          <w:b/>
          <w:szCs w:val="22"/>
        </w:rPr>
        <w:t>Velmi časté</w:t>
      </w:r>
      <w:r w:rsidRPr="001B4A02">
        <w:rPr>
          <w:szCs w:val="22"/>
        </w:rPr>
        <w:t xml:space="preserve"> </w:t>
      </w:r>
      <w:r w:rsidRPr="001B4A02">
        <w:rPr>
          <w:szCs w:val="22"/>
          <w:shd w:val="clear" w:color="auto" w:fill="FFFFFF"/>
        </w:rPr>
        <w:t>(mohou postihnout více než 1 z 10 osob</w:t>
      </w:r>
      <w:r w:rsidRPr="001B4A02">
        <w:rPr>
          <w:szCs w:val="22"/>
        </w:rPr>
        <w:t>)</w:t>
      </w:r>
    </w:p>
    <w:p w14:paraId="62D44757" w14:textId="77777777" w:rsidR="00831C68" w:rsidRPr="001B4A02" w:rsidRDefault="00831C68" w:rsidP="008F1B0E">
      <w:pPr>
        <w:keepNext/>
        <w:ind w:left="0" w:right="-29" w:firstLine="0"/>
        <w:rPr>
          <w:szCs w:val="22"/>
        </w:rPr>
      </w:pPr>
    </w:p>
    <w:p w14:paraId="04C1B365"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nízký počet bílých krvinek</w:t>
      </w:r>
    </w:p>
    <w:p w14:paraId="160BD48E"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nízký počet červených krvinek</w:t>
      </w:r>
    </w:p>
    <w:p w14:paraId="5EE5FB2A"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zvýšení tuků v krvi</w:t>
      </w:r>
    </w:p>
    <w:p w14:paraId="37E16136"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zvýšení jaterních enzymů</w:t>
      </w:r>
    </w:p>
    <w:p w14:paraId="5C5B1E1F" w14:textId="77777777" w:rsidR="00831C68" w:rsidRPr="001B4A02" w:rsidRDefault="00831C68" w:rsidP="00ED48A3">
      <w:pPr>
        <w:pStyle w:val="EMEANormal"/>
        <w:tabs>
          <w:tab w:val="left" w:pos="0"/>
        </w:tabs>
        <w:suppressAutoHyphens w:val="0"/>
        <w:rPr>
          <w:szCs w:val="22"/>
          <w:lang w:val="cs-CZ"/>
        </w:rPr>
      </w:pPr>
    </w:p>
    <w:p w14:paraId="2E9F6C5F" w14:textId="77777777" w:rsidR="00831C68" w:rsidRPr="001B4A02" w:rsidRDefault="00000000" w:rsidP="00ED48A3">
      <w:pPr>
        <w:keepNext/>
        <w:shd w:val="clear" w:color="auto" w:fill="FFFFFF"/>
        <w:tabs>
          <w:tab w:val="left" w:pos="0"/>
        </w:tabs>
        <w:ind w:left="0" w:firstLine="0"/>
        <w:rPr>
          <w:szCs w:val="22"/>
        </w:rPr>
      </w:pPr>
      <w:r w:rsidRPr="001B4A02">
        <w:rPr>
          <w:b/>
          <w:szCs w:val="22"/>
        </w:rPr>
        <w:t>Časté</w:t>
      </w:r>
      <w:r w:rsidRPr="001B4A02">
        <w:rPr>
          <w:szCs w:val="22"/>
        </w:rPr>
        <w:t xml:space="preserve"> (mohou postihnout nejvýše 1 z</w:t>
      </w:r>
      <w:r w:rsidR="004823B6" w:rsidRPr="001B4A02">
        <w:rPr>
          <w:szCs w:val="22"/>
        </w:rPr>
        <w:t> </w:t>
      </w:r>
      <w:r w:rsidRPr="001B4A02">
        <w:rPr>
          <w:szCs w:val="22"/>
        </w:rPr>
        <w:t>10</w:t>
      </w:r>
      <w:r w:rsidR="004823B6" w:rsidRPr="001B4A02">
        <w:rPr>
          <w:szCs w:val="22"/>
        </w:rPr>
        <w:t xml:space="preserve"> osob)</w:t>
      </w:r>
    </w:p>
    <w:p w14:paraId="350D3B93" w14:textId="77777777" w:rsidR="00831C68" w:rsidRPr="001B4A02" w:rsidRDefault="00831C68" w:rsidP="00ED48A3">
      <w:pPr>
        <w:keepNext/>
        <w:shd w:val="clear" w:color="auto" w:fill="FFFFFF"/>
        <w:tabs>
          <w:tab w:val="left" w:pos="0"/>
        </w:tabs>
        <w:ind w:left="0" w:firstLine="0"/>
        <w:rPr>
          <w:szCs w:val="22"/>
        </w:rPr>
      </w:pPr>
    </w:p>
    <w:p w14:paraId="57B33FAE"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vysoký počet bílých krvinek</w:t>
      </w:r>
    </w:p>
    <w:p w14:paraId="129EE8C8"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nízký počet krevních destiček</w:t>
      </w:r>
    </w:p>
    <w:p w14:paraId="7554E9B7"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zvýšení kyseliny močové v krvi</w:t>
      </w:r>
    </w:p>
    <w:p w14:paraId="55970000"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neobvyklé hodnoty sodíku v krvi</w:t>
      </w:r>
    </w:p>
    <w:p w14:paraId="1CE7D6D8"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nízké hodnoty vápníku v krvi</w:t>
      </w:r>
    </w:p>
    <w:p w14:paraId="0529E3F4"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nízké hodnoty fosforu v krvi</w:t>
      </w:r>
    </w:p>
    <w:p w14:paraId="331AC60F"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vysoké hladiny krevního cukru</w:t>
      </w:r>
    </w:p>
    <w:p w14:paraId="252CECB1"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vysoké hodnoty laktátdehydrogenázy v krvi</w:t>
      </w:r>
    </w:p>
    <w:p w14:paraId="47810177"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szCs w:val="22"/>
          <w:lang w:val="cs-CZ"/>
        </w:rPr>
        <w:t>přítomnost autoprotilátek v</w:t>
      </w:r>
      <w:r w:rsidR="00AF57C0" w:rsidRPr="001B4A02">
        <w:rPr>
          <w:szCs w:val="22"/>
          <w:lang w:val="cs-CZ"/>
        </w:rPr>
        <w:t> </w:t>
      </w:r>
      <w:r w:rsidRPr="001B4A02">
        <w:rPr>
          <w:szCs w:val="22"/>
          <w:lang w:val="cs-CZ"/>
        </w:rPr>
        <w:t>krvi</w:t>
      </w:r>
    </w:p>
    <w:p w14:paraId="3B2210CA" w14:textId="77777777" w:rsidR="00AF57C0"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lang w:val="cs-CZ"/>
        </w:rPr>
        <w:t>nízká hladina draslíku v krvi</w:t>
      </w:r>
    </w:p>
    <w:p w14:paraId="24EAF811" w14:textId="77777777" w:rsidR="00831C68" w:rsidRPr="001B4A02" w:rsidRDefault="00831C68" w:rsidP="00ED48A3">
      <w:pPr>
        <w:pStyle w:val="EMEANormal"/>
        <w:tabs>
          <w:tab w:val="left" w:pos="0"/>
        </w:tabs>
        <w:suppressAutoHyphens w:val="0"/>
        <w:rPr>
          <w:szCs w:val="22"/>
          <w:lang w:val="cs-CZ"/>
        </w:rPr>
      </w:pPr>
    </w:p>
    <w:p w14:paraId="653B601E" w14:textId="77777777" w:rsidR="00831C68" w:rsidRPr="001B4A02" w:rsidRDefault="00000000" w:rsidP="008F1B0E">
      <w:pPr>
        <w:keepNext/>
        <w:ind w:left="0" w:firstLine="0"/>
        <w:rPr>
          <w:szCs w:val="22"/>
        </w:rPr>
      </w:pPr>
      <w:r w:rsidRPr="001B4A02">
        <w:rPr>
          <w:b/>
          <w:szCs w:val="22"/>
        </w:rPr>
        <w:t>Méně časté</w:t>
      </w:r>
      <w:r w:rsidRPr="001B4A02">
        <w:rPr>
          <w:szCs w:val="22"/>
        </w:rPr>
        <w:t xml:space="preserve"> (mohou postihnout nejvýše 1 ze 100 osob)</w:t>
      </w:r>
    </w:p>
    <w:p w14:paraId="31E344BA" w14:textId="77777777" w:rsidR="00831C68" w:rsidRPr="001B4A02" w:rsidRDefault="00831C68" w:rsidP="008F1B0E">
      <w:pPr>
        <w:keepNext/>
        <w:ind w:left="0" w:firstLine="0"/>
        <w:rPr>
          <w:szCs w:val="22"/>
        </w:rPr>
      </w:pPr>
    </w:p>
    <w:p w14:paraId="76D067A3" w14:textId="77777777" w:rsidR="00831C68" w:rsidRPr="001B4A02" w:rsidRDefault="00000000" w:rsidP="007C5EA6">
      <w:pPr>
        <w:pStyle w:val="EMEANormal"/>
        <w:numPr>
          <w:ilvl w:val="0"/>
          <w:numId w:val="59"/>
        </w:numPr>
        <w:tabs>
          <w:tab w:val="clear" w:pos="562"/>
          <w:tab w:val="clear" w:pos="720"/>
        </w:tabs>
        <w:suppressAutoHyphens w:val="0"/>
        <w:ind w:left="567" w:hanging="567"/>
        <w:rPr>
          <w:szCs w:val="22"/>
          <w:lang w:val="cs-CZ"/>
        </w:rPr>
      </w:pPr>
      <w:r w:rsidRPr="001B4A02">
        <w:rPr>
          <w:lang w:val="cs-CZ"/>
        </w:rPr>
        <w:t>zvýšená hladina bilirubinu (jaterní test z krve)</w:t>
      </w:r>
    </w:p>
    <w:p w14:paraId="3424D0C7" w14:textId="77777777" w:rsidR="00831C68" w:rsidRPr="001B4A02" w:rsidRDefault="00831C68" w:rsidP="00ED48A3">
      <w:pPr>
        <w:pStyle w:val="EMEANormal"/>
        <w:tabs>
          <w:tab w:val="left" w:pos="0"/>
        </w:tabs>
        <w:suppressAutoHyphens w:val="0"/>
        <w:rPr>
          <w:szCs w:val="22"/>
          <w:lang w:val="cs-CZ"/>
        </w:rPr>
      </w:pPr>
    </w:p>
    <w:p w14:paraId="036A1FD0" w14:textId="77777777" w:rsidR="00831C68" w:rsidRPr="001B4A02" w:rsidRDefault="00000000" w:rsidP="00F82C79">
      <w:pPr>
        <w:pStyle w:val="EMEANormal"/>
        <w:keepNext/>
        <w:tabs>
          <w:tab w:val="left" w:pos="0"/>
        </w:tabs>
        <w:suppressAutoHyphens w:val="0"/>
        <w:rPr>
          <w:szCs w:val="22"/>
          <w:lang w:val="cs-CZ"/>
        </w:rPr>
      </w:pPr>
      <w:r w:rsidRPr="001B4A02">
        <w:rPr>
          <w:b/>
          <w:szCs w:val="22"/>
          <w:lang w:val="cs-CZ"/>
        </w:rPr>
        <w:t>Vzácné</w:t>
      </w:r>
      <w:r w:rsidRPr="001B4A02">
        <w:rPr>
          <w:szCs w:val="22"/>
          <w:lang w:val="cs-CZ"/>
        </w:rPr>
        <w:t xml:space="preserve"> (</w:t>
      </w:r>
      <w:r w:rsidRPr="001B4A02">
        <w:rPr>
          <w:shd w:val="clear" w:color="auto" w:fill="FFFFFF"/>
          <w:lang w:val="cs-CZ"/>
        </w:rPr>
        <w:t>mohou postihnout nejvýše 1 z 1 000 osob</w:t>
      </w:r>
      <w:r w:rsidRPr="001B4A02">
        <w:rPr>
          <w:szCs w:val="22"/>
          <w:lang w:val="cs-CZ"/>
        </w:rPr>
        <w:t>)</w:t>
      </w:r>
    </w:p>
    <w:p w14:paraId="195326E9" w14:textId="77777777" w:rsidR="00831C68" w:rsidRPr="001B4A02" w:rsidRDefault="00831C68" w:rsidP="008F1B0E">
      <w:pPr>
        <w:keepNext/>
        <w:numPr>
          <w:ilvl w:val="12"/>
          <w:numId w:val="0"/>
        </w:numPr>
        <w:ind w:right="-2"/>
        <w:rPr>
          <w:szCs w:val="22"/>
        </w:rPr>
      </w:pPr>
    </w:p>
    <w:p w14:paraId="260882E6" w14:textId="77777777" w:rsidR="00831C68" w:rsidRPr="001B4A02" w:rsidRDefault="00000000" w:rsidP="007C5EA6">
      <w:pPr>
        <w:numPr>
          <w:ilvl w:val="0"/>
          <w:numId w:val="59"/>
        </w:numPr>
        <w:tabs>
          <w:tab w:val="clear" w:pos="720"/>
        </w:tabs>
        <w:ind w:left="567" w:hanging="567"/>
        <w:rPr>
          <w:szCs w:val="22"/>
        </w:rPr>
      </w:pPr>
      <w:r w:rsidRPr="001B4A02">
        <w:t>nízké počty bílých krvinek, červených krvinek</w:t>
      </w:r>
      <w:r w:rsidR="002378E0">
        <w:t xml:space="preserve"> a </w:t>
      </w:r>
      <w:r w:rsidR="00E26C70" w:rsidRPr="001B4A02">
        <w:t xml:space="preserve">krevních </w:t>
      </w:r>
      <w:r w:rsidRPr="001B4A02">
        <w:t>destiček</w:t>
      </w:r>
    </w:p>
    <w:p w14:paraId="2F928B9F" w14:textId="77777777" w:rsidR="00831C68" w:rsidRPr="001B4A02" w:rsidRDefault="00831C68" w:rsidP="0067453A">
      <w:pPr>
        <w:numPr>
          <w:ilvl w:val="12"/>
          <w:numId w:val="0"/>
        </w:numPr>
        <w:rPr>
          <w:szCs w:val="22"/>
        </w:rPr>
      </w:pPr>
    </w:p>
    <w:p w14:paraId="240312FA" w14:textId="77777777" w:rsidR="00831C68" w:rsidRPr="00BA0A72" w:rsidRDefault="00000000" w:rsidP="0067453A">
      <w:pPr>
        <w:keepNext/>
        <w:numPr>
          <w:ilvl w:val="12"/>
          <w:numId w:val="0"/>
        </w:numPr>
        <w:rPr>
          <w:b/>
          <w:szCs w:val="22"/>
        </w:rPr>
      </w:pPr>
      <w:r w:rsidRPr="00BA0A72">
        <w:rPr>
          <w:b/>
          <w:szCs w:val="22"/>
        </w:rPr>
        <w:t>Hlášení nežádoucích účinků</w:t>
      </w:r>
    </w:p>
    <w:p w14:paraId="24FBCDD9" w14:textId="77777777" w:rsidR="008D112A" w:rsidRPr="001B4A02" w:rsidRDefault="00000000" w:rsidP="0067453A">
      <w:pPr>
        <w:ind w:left="0" w:firstLine="0"/>
      </w:pPr>
      <w:r w:rsidRPr="001B4A02">
        <w:rPr>
          <w:szCs w:val="22"/>
        </w:rPr>
        <w:t>Pokud se u</w:t>
      </w:r>
      <w:r w:rsidR="00507DAA" w:rsidRPr="001B4A02">
        <w:rPr>
          <w:szCs w:val="22"/>
        </w:rPr>
        <w:t> </w:t>
      </w:r>
      <w:r w:rsidRPr="001B4A02">
        <w:rPr>
          <w:szCs w:val="22"/>
        </w:rPr>
        <w:t>Vás vyskytne kterýkoli z nežádoucích účinků, sdělte to svému lékaři nebo lékárníkovi. Stejně postupujte i v</w:t>
      </w:r>
      <w:r w:rsidR="00507DAA" w:rsidRPr="001B4A02">
        <w:rPr>
          <w:szCs w:val="22"/>
        </w:rPr>
        <w:t> </w:t>
      </w:r>
      <w:r w:rsidRPr="001B4A02">
        <w:rPr>
          <w:szCs w:val="22"/>
        </w:rPr>
        <w:t>případě jakýchkoli nežádoucích účinků, které nejsou uvedeny v této příbalové informaci.</w:t>
      </w:r>
      <w:r w:rsidR="00D94EB1">
        <w:rPr>
          <w:szCs w:val="22"/>
        </w:rPr>
        <w:t xml:space="preserve"> </w:t>
      </w:r>
      <w:r w:rsidRPr="001B4A02">
        <w:rPr>
          <w:szCs w:val="22"/>
        </w:rPr>
        <w:t xml:space="preserve">Nežádoucí účinky můžete hlásit také přímo prostřednictvím </w:t>
      </w:r>
      <w:r w:rsidRPr="001B4A02">
        <w:rPr>
          <w:szCs w:val="22"/>
          <w:shd w:val="clear" w:color="auto" w:fill="A6A6A6"/>
        </w:rPr>
        <w:t>národního systému hlášení nežádoucích účinků uvedeného v </w:t>
      </w:r>
      <w:hyperlink r:id="rId71" w:history="1">
        <w:r w:rsidR="008D112A" w:rsidRPr="001B4A02">
          <w:rPr>
            <w:rStyle w:val="Hyperlink"/>
            <w:szCs w:val="22"/>
            <w:shd w:val="clear" w:color="auto" w:fill="A6A6A6"/>
          </w:rPr>
          <w:t>Dodatku V</w:t>
        </w:r>
      </w:hyperlink>
      <w:r w:rsidRPr="001B4A02">
        <w:rPr>
          <w:szCs w:val="22"/>
          <w:shd w:val="clear" w:color="auto" w:fill="FFFFFF"/>
        </w:rPr>
        <w:t>.</w:t>
      </w:r>
      <w:r w:rsidR="006F280B" w:rsidRPr="001B4A02">
        <w:rPr>
          <w:szCs w:val="22"/>
          <w:shd w:val="clear" w:color="auto" w:fill="FFFFFF"/>
        </w:rPr>
        <w:t xml:space="preserve"> </w:t>
      </w:r>
      <w:r w:rsidRPr="001B4A02">
        <w:rPr>
          <w:szCs w:val="22"/>
        </w:rPr>
        <w:t>Nahlášením nežádoucích účinků můžete při</w:t>
      </w:r>
      <w:r w:rsidR="00063784" w:rsidRPr="001B4A02">
        <w:rPr>
          <w:szCs w:val="22"/>
        </w:rPr>
        <w:t>spět k získání více informací o </w:t>
      </w:r>
      <w:r w:rsidRPr="001B4A02">
        <w:rPr>
          <w:szCs w:val="22"/>
        </w:rPr>
        <w:t>bezpečnosti tohoto přípravku.</w:t>
      </w:r>
      <w:r w:rsidRPr="001B4A02">
        <w:t xml:space="preserve"> </w:t>
      </w:r>
    </w:p>
    <w:p w14:paraId="6B14CD2E" w14:textId="77777777" w:rsidR="008D112A" w:rsidRPr="001B4A02" w:rsidRDefault="008D112A" w:rsidP="0067453A">
      <w:pPr>
        <w:ind w:left="0" w:firstLine="0"/>
      </w:pPr>
    </w:p>
    <w:p w14:paraId="18104544" w14:textId="77777777" w:rsidR="008D112A" w:rsidRPr="001B4A02" w:rsidRDefault="008D112A" w:rsidP="0067453A">
      <w:pPr>
        <w:ind w:left="0" w:firstLine="0"/>
      </w:pPr>
    </w:p>
    <w:p w14:paraId="433DF661" w14:textId="77777777" w:rsidR="00831C68" w:rsidRPr="001B4A02" w:rsidRDefault="00000000" w:rsidP="008F1B0E">
      <w:pPr>
        <w:keepNext/>
        <w:numPr>
          <w:ilvl w:val="12"/>
          <w:numId w:val="0"/>
        </w:numPr>
        <w:outlineLvl w:val="1"/>
        <w:rPr>
          <w:szCs w:val="22"/>
        </w:rPr>
      </w:pPr>
      <w:r w:rsidRPr="001B4A02">
        <w:rPr>
          <w:b/>
          <w:szCs w:val="22"/>
        </w:rPr>
        <w:t>5.</w:t>
      </w:r>
      <w:r w:rsidRPr="001B4A02">
        <w:rPr>
          <w:b/>
          <w:szCs w:val="22"/>
        </w:rPr>
        <w:tab/>
        <w:t>Jak přípravek Humira uchovávat</w:t>
      </w:r>
    </w:p>
    <w:p w14:paraId="3B21B550" w14:textId="77777777" w:rsidR="008D112A" w:rsidRPr="001B4A02" w:rsidRDefault="008D112A" w:rsidP="008F1B0E">
      <w:pPr>
        <w:pStyle w:val="EMEANormal"/>
        <w:keepNext/>
        <w:rPr>
          <w:lang w:val="cs-CZ"/>
        </w:rPr>
      </w:pPr>
    </w:p>
    <w:p w14:paraId="1735A23F" w14:textId="77777777" w:rsidR="00831C68" w:rsidRPr="001B4A02" w:rsidRDefault="00000000" w:rsidP="00ED48A3">
      <w:pPr>
        <w:ind w:left="0" w:firstLine="0"/>
        <w:rPr>
          <w:szCs w:val="22"/>
        </w:rPr>
      </w:pPr>
      <w:r w:rsidRPr="001B4A02">
        <w:rPr>
          <w:szCs w:val="22"/>
        </w:rPr>
        <w:t>Uchovávejte mimo dohled</w:t>
      </w:r>
      <w:r w:rsidR="002378E0">
        <w:rPr>
          <w:szCs w:val="22"/>
        </w:rPr>
        <w:t xml:space="preserve"> a </w:t>
      </w:r>
      <w:r w:rsidRPr="001B4A02">
        <w:rPr>
          <w:szCs w:val="22"/>
        </w:rPr>
        <w:t>dosah dětí.</w:t>
      </w:r>
    </w:p>
    <w:p w14:paraId="7F9DF8BD" w14:textId="77777777" w:rsidR="00831C68" w:rsidRPr="001B4A02" w:rsidRDefault="00831C68" w:rsidP="00ED48A3">
      <w:pPr>
        <w:ind w:left="0" w:firstLine="0"/>
        <w:rPr>
          <w:szCs w:val="22"/>
        </w:rPr>
      </w:pPr>
    </w:p>
    <w:p w14:paraId="6A5C7127" w14:textId="77777777" w:rsidR="00831C68" w:rsidRPr="001B4A02" w:rsidRDefault="00000000" w:rsidP="00ED48A3">
      <w:pPr>
        <w:ind w:left="0" w:firstLine="0"/>
        <w:rPr>
          <w:szCs w:val="22"/>
        </w:rPr>
      </w:pPr>
      <w:r w:rsidRPr="001B4A02">
        <w:rPr>
          <w:szCs w:val="22"/>
        </w:rPr>
        <w:t xml:space="preserve">Nepoužívejte přípravek Humira po uplynutí doby použitelnosti uvedené na </w:t>
      </w:r>
      <w:r w:rsidR="004877C8" w:rsidRPr="001B4A02">
        <w:rPr>
          <w:szCs w:val="22"/>
        </w:rPr>
        <w:t>štítku</w:t>
      </w:r>
      <w:r w:rsidR="00507DAA" w:rsidRPr="001B4A02">
        <w:rPr>
          <w:szCs w:val="22"/>
        </w:rPr>
        <w:t>/blistru/krabičce za EXP.</w:t>
      </w:r>
    </w:p>
    <w:p w14:paraId="776DE72A" w14:textId="77777777" w:rsidR="00831C68" w:rsidRPr="001B4A02" w:rsidRDefault="00831C68" w:rsidP="00ED48A3">
      <w:pPr>
        <w:ind w:left="0" w:firstLine="0"/>
        <w:rPr>
          <w:szCs w:val="22"/>
        </w:rPr>
      </w:pPr>
    </w:p>
    <w:p w14:paraId="4E4A3C14" w14:textId="77777777" w:rsidR="00831C68" w:rsidRPr="001B4A02" w:rsidRDefault="00000000" w:rsidP="00ED48A3">
      <w:pPr>
        <w:tabs>
          <w:tab w:val="left" w:pos="567"/>
        </w:tabs>
        <w:ind w:left="0" w:firstLine="0"/>
        <w:rPr>
          <w:szCs w:val="22"/>
        </w:rPr>
      </w:pPr>
      <w:r w:rsidRPr="001B4A02">
        <w:rPr>
          <w:szCs w:val="22"/>
        </w:rPr>
        <w:t>Uchovávejte v chladničce (2</w:t>
      </w:r>
      <w:r w:rsidR="00507DAA" w:rsidRPr="001B4A02">
        <w:rPr>
          <w:szCs w:val="22"/>
        </w:rPr>
        <w:t xml:space="preserve"> °C</w:t>
      </w:r>
      <w:r w:rsidR="004F1632">
        <w:rPr>
          <w:szCs w:val="22"/>
        </w:rPr>
        <w:t xml:space="preserve"> </w:t>
      </w:r>
      <w:r w:rsidR="00507DAA" w:rsidRPr="001B4A02">
        <w:rPr>
          <w:szCs w:val="22"/>
        </w:rPr>
        <w:t>–</w:t>
      </w:r>
      <w:r w:rsidR="004F1632">
        <w:rPr>
          <w:szCs w:val="22"/>
        </w:rPr>
        <w:t xml:space="preserve"> </w:t>
      </w:r>
      <w:r w:rsidR="00507DAA" w:rsidRPr="001B4A02">
        <w:rPr>
          <w:szCs w:val="22"/>
        </w:rPr>
        <w:t>8 °C). Chraňte před mrazem.</w:t>
      </w:r>
    </w:p>
    <w:p w14:paraId="10EFB4FE" w14:textId="77777777" w:rsidR="00831C68" w:rsidRPr="001B4A02" w:rsidRDefault="00831C68" w:rsidP="00ED48A3">
      <w:pPr>
        <w:tabs>
          <w:tab w:val="left" w:pos="567"/>
        </w:tabs>
        <w:ind w:left="0" w:firstLine="0"/>
        <w:rPr>
          <w:szCs w:val="22"/>
        </w:rPr>
      </w:pPr>
    </w:p>
    <w:p w14:paraId="56FF3310" w14:textId="77777777" w:rsidR="00831C68" w:rsidRPr="001B4A02" w:rsidRDefault="00000000" w:rsidP="00ED48A3">
      <w:pPr>
        <w:tabs>
          <w:tab w:val="left" w:pos="567"/>
        </w:tabs>
        <w:ind w:left="0" w:firstLine="0"/>
        <w:rPr>
          <w:szCs w:val="22"/>
        </w:rPr>
      </w:pPr>
      <w:r w:rsidRPr="001B4A02">
        <w:rPr>
          <w:szCs w:val="22"/>
        </w:rPr>
        <w:t>Uchovávejte předplněn</w:t>
      </w:r>
      <w:r w:rsidR="00B636FE" w:rsidRPr="001B4A02">
        <w:rPr>
          <w:szCs w:val="22"/>
        </w:rPr>
        <w:t>ou injekční stříkačku</w:t>
      </w:r>
      <w:r w:rsidRPr="001B4A02">
        <w:rPr>
          <w:szCs w:val="22"/>
        </w:rPr>
        <w:t xml:space="preserve"> v krabičce, aby byl přípravek chráněn před světlem.</w:t>
      </w:r>
    </w:p>
    <w:p w14:paraId="1756CEE5" w14:textId="77777777" w:rsidR="00831C68" w:rsidRPr="001B4A02" w:rsidRDefault="00831C68" w:rsidP="00ED48A3">
      <w:pPr>
        <w:tabs>
          <w:tab w:val="left" w:pos="708"/>
        </w:tabs>
        <w:autoSpaceDE w:val="0"/>
        <w:autoSpaceDN w:val="0"/>
        <w:adjustRightInd w:val="0"/>
        <w:rPr>
          <w:szCs w:val="22"/>
          <w:lang w:eastAsia="en-GB"/>
        </w:rPr>
      </w:pPr>
    </w:p>
    <w:p w14:paraId="784BF81C" w14:textId="77777777" w:rsidR="008D112A" w:rsidRPr="001B4A02" w:rsidRDefault="00000000" w:rsidP="008F1B0E">
      <w:pPr>
        <w:keepNext/>
        <w:autoSpaceDE w:val="0"/>
        <w:autoSpaceDN w:val="0"/>
        <w:adjustRightInd w:val="0"/>
        <w:rPr>
          <w:szCs w:val="22"/>
          <w:lang w:eastAsia="en-GB"/>
        </w:rPr>
      </w:pPr>
      <w:r w:rsidRPr="001B4A02">
        <w:rPr>
          <w:szCs w:val="22"/>
          <w:lang w:eastAsia="en-GB"/>
        </w:rPr>
        <w:t>Jiná možnost uchovávání:</w:t>
      </w:r>
    </w:p>
    <w:p w14:paraId="157A50F9" w14:textId="77777777" w:rsidR="008D112A" w:rsidRPr="001B4A02" w:rsidRDefault="008D112A" w:rsidP="008F1B0E">
      <w:pPr>
        <w:keepNext/>
        <w:autoSpaceDE w:val="0"/>
        <w:autoSpaceDN w:val="0"/>
        <w:adjustRightInd w:val="0"/>
        <w:rPr>
          <w:szCs w:val="22"/>
          <w:lang w:eastAsia="en-GB"/>
        </w:rPr>
      </w:pPr>
    </w:p>
    <w:p w14:paraId="10810B3F" w14:textId="77777777" w:rsidR="00831C68" w:rsidRPr="001B4A02" w:rsidRDefault="00000000" w:rsidP="00ED48A3">
      <w:pPr>
        <w:tabs>
          <w:tab w:val="left" w:pos="0"/>
        </w:tabs>
        <w:autoSpaceDE w:val="0"/>
        <w:autoSpaceDN w:val="0"/>
        <w:adjustRightInd w:val="0"/>
        <w:ind w:left="0" w:firstLine="0"/>
        <w:rPr>
          <w:szCs w:val="22"/>
          <w:lang w:eastAsia="en-GB"/>
        </w:rPr>
      </w:pPr>
      <w:r w:rsidRPr="001B4A02">
        <w:rPr>
          <w:szCs w:val="22"/>
          <w:lang w:eastAsia="en-GB"/>
        </w:rPr>
        <w:t>Pokud je to potřeba (například pokud cestujete), je možno uchovávat jednotliv</w:t>
      </w:r>
      <w:r w:rsidR="00B636FE" w:rsidRPr="001B4A02">
        <w:rPr>
          <w:szCs w:val="22"/>
          <w:lang w:eastAsia="en-GB"/>
        </w:rPr>
        <w:t>é</w:t>
      </w:r>
      <w:r w:rsidRPr="001B4A02">
        <w:rPr>
          <w:szCs w:val="22"/>
          <w:lang w:eastAsia="en-GB"/>
        </w:rPr>
        <w:t xml:space="preserve"> předplněn</w:t>
      </w:r>
      <w:r w:rsidR="00B636FE" w:rsidRPr="001B4A02">
        <w:rPr>
          <w:szCs w:val="22"/>
          <w:lang w:eastAsia="en-GB"/>
        </w:rPr>
        <w:t>é</w:t>
      </w:r>
      <w:r w:rsidRPr="001B4A02">
        <w:rPr>
          <w:szCs w:val="22"/>
          <w:lang w:eastAsia="en-GB"/>
        </w:rPr>
        <w:t xml:space="preserve"> </w:t>
      </w:r>
      <w:r w:rsidR="00B636FE" w:rsidRPr="001B4A02">
        <w:rPr>
          <w:szCs w:val="22"/>
          <w:lang w:eastAsia="en-GB"/>
        </w:rPr>
        <w:t>injekční stříkačky</w:t>
      </w:r>
      <w:r w:rsidRPr="001B4A02">
        <w:rPr>
          <w:szCs w:val="22"/>
          <w:lang w:eastAsia="en-GB"/>
        </w:rPr>
        <w:t xml:space="preserve"> přípravku Humira při pokojové teplotě (až do 25 °C) po dobu maximálně 14 dní. Vždy se ujistěte, že je přípravek chráněn před světlem. Jakmile je vyjmut</w:t>
      </w:r>
      <w:r w:rsidR="00B636FE" w:rsidRPr="001B4A02">
        <w:rPr>
          <w:szCs w:val="22"/>
          <w:lang w:eastAsia="en-GB"/>
        </w:rPr>
        <w:t>a</w:t>
      </w:r>
      <w:r w:rsidRPr="001B4A02">
        <w:rPr>
          <w:szCs w:val="22"/>
          <w:lang w:eastAsia="en-GB"/>
        </w:rPr>
        <w:t xml:space="preserve"> z</w:t>
      </w:r>
      <w:r w:rsidR="000928E6" w:rsidRPr="001B4A02">
        <w:rPr>
          <w:szCs w:val="22"/>
          <w:lang w:eastAsia="en-GB"/>
        </w:rPr>
        <w:t> </w:t>
      </w:r>
      <w:r w:rsidRPr="001B4A02">
        <w:rPr>
          <w:szCs w:val="22"/>
          <w:lang w:eastAsia="en-GB"/>
        </w:rPr>
        <w:t>lednice</w:t>
      </w:r>
      <w:r w:rsidR="002378E0">
        <w:rPr>
          <w:szCs w:val="22"/>
          <w:lang w:eastAsia="en-GB"/>
        </w:rPr>
        <w:t xml:space="preserve"> a </w:t>
      </w:r>
      <w:r w:rsidRPr="001B4A02">
        <w:rPr>
          <w:szCs w:val="22"/>
          <w:lang w:eastAsia="en-GB"/>
        </w:rPr>
        <w:t>ponechán</w:t>
      </w:r>
      <w:r w:rsidR="00B636FE" w:rsidRPr="001B4A02">
        <w:rPr>
          <w:szCs w:val="22"/>
          <w:lang w:eastAsia="en-GB"/>
        </w:rPr>
        <w:t>a</w:t>
      </w:r>
      <w:r w:rsidRPr="001B4A02">
        <w:rPr>
          <w:szCs w:val="22"/>
          <w:lang w:eastAsia="en-GB"/>
        </w:rPr>
        <w:t xml:space="preserve"> při pokojové teplotě, </w:t>
      </w:r>
      <w:r w:rsidR="00B636FE" w:rsidRPr="001B4A02">
        <w:rPr>
          <w:szCs w:val="22"/>
          <w:lang w:eastAsia="en-GB"/>
        </w:rPr>
        <w:t>injekční stříkačka</w:t>
      </w:r>
      <w:r w:rsidRPr="001B4A02">
        <w:rPr>
          <w:szCs w:val="22"/>
          <w:lang w:eastAsia="en-GB"/>
        </w:rPr>
        <w:t xml:space="preserve"> </w:t>
      </w:r>
      <w:r w:rsidRPr="001B4A02">
        <w:rPr>
          <w:b/>
          <w:szCs w:val="22"/>
          <w:lang w:eastAsia="en-GB"/>
        </w:rPr>
        <w:t>musí být použit</w:t>
      </w:r>
      <w:r w:rsidR="00B636FE" w:rsidRPr="001B4A02">
        <w:rPr>
          <w:b/>
          <w:szCs w:val="22"/>
          <w:lang w:eastAsia="en-GB"/>
        </w:rPr>
        <w:t>a</w:t>
      </w:r>
      <w:r w:rsidRPr="001B4A02">
        <w:rPr>
          <w:b/>
          <w:szCs w:val="22"/>
          <w:lang w:eastAsia="en-GB"/>
        </w:rPr>
        <w:t xml:space="preserve"> do 14 dní nebo zlikvidován</w:t>
      </w:r>
      <w:r w:rsidR="00B636FE" w:rsidRPr="001B4A02">
        <w:rPr>
          <w:b/>
          <w:szCs w:val="22"/>
          <w:lang w:eastAsia="en-GB"/>
        </w:rPr>
        <w:t>a</w:t>
      </w:r>
      <w:r w:rsidRPr="001B4A02">
        <w:rPr>
          <w:b/>
          <w:szCs w:val="22"/>
          <w:lang w:eastAsia="en-GB"/>
        </w:rPr>
        <w:t>,</w:t>
      </w:r>
      <w:r w:rsidR="002378E0">
        <w:rPr>
          <w:b/>
          <w:szCs w:val="22"/>
          <w:lang w:eastAsia="en-GB"/>
        </w:rPr>
        <w:t xml:space="preserve"> a </w:t>
      </w:r>
      <w:r w:rsidRPr="001B4A02">
        <w:rPr>
          <w:szCs w:val="22"/>
          <w:lang w:eastAsia="en-GB"/>
        </w:rPr>
        <w:t>to i v</w:t>
      </w:r>
      <w:r w:rsidR="000928E6" w:rsidRPr="001B4A02">
        <w:rPr>
          <w:szCs w:val="22"/>
          <w:lang w:eastAsia="en-GB"/>
        </w:rPr>
        <w:t> </w:t>
      </w:r>
      <w:r w:rsidRPr="001B4A02">
        <w:rPr>
          <w:szCs w:val="22"/>
          <w:lang w:eastAsia="en-GB"/>
        </w:rPr>
        <w:t>situaci, kdy je vrácen</w:t>
      </w:r>
      <w:r w:rsidR="00B636FE" w:rsidRPr="001B4A02">
        <w:rPr>
          <w:szCs w:val="22"/>
          <w:lang w:eastAsia="en-GB"/>
        </w:rPr>
        <w:t>a</w:t>
      </w:r>
      <w:r w:rsidRPr="001B4A02">
        <w:rPr>
          <w:szCs w:val="22"/>
          <w:lang w:eastAsia="en-GB"/>
        </w:rPr>
        <w:t xml:space="preserve"> zpět do lednice.</w:t>
      </w:r>
    </w:p>
    <w:p w14:paraId="41991880" w14:textId="77777777" w:rsidR="008D112A" w:rsidRPr="001B4A02" w:rsidRDefault="008D112A" w:rsidP="00ED48A3">
      <w:pPr>
        <w:autoSpaceDE w:val="0"/>
        <w:autoSpaceDN w:val="0"/>
        <w:adjustRightInd w:val="0"/>
        <w:rPr>
          <w:szCs w:val="22"/>
          <w:lang w:eastAsia="en-GB"/>
        </w:rPr>
      </w:pPr>
    </w:p>
    <w:p w14:paraId="294DAB36" w14:textId="77777777" w:rsidR="00831C68" w:rsidRPr="001B4A02" w:rsidRDefault="00000000" w:rsidP="00ED48A3">
      <w:pPr>
        <w:ind w:left="0" w:firstLine="0"/>
        <w:rPr>
          <w:b/>
          <w:szCs w:val="22"/>
        </w:rPr>
      </w:pPr>
      <w:r w:rsidRPr="0043226A">
        <w:rPr>
          <w:szCs w:val="22"/>
          <w:lang w:eastAsia="en-GB"/>
        </w:rPr>
        <w:t>Poznamenejte si</w:t>
      </w:r>
      <w:r w:rsidRPr="001B4A02">
        <w:rPr>
          <w:szCs w:val="22"/>
          <w:lang w:eastAsia="en-GB"/>
        </w:rPr>
        <w:t xml:space="preserve"> datum, kdy jste </w:t>
      </w:r>
      <w:r w:rsidR="00B636FE" w:rsidRPr="001B4A02">
        <w:rPr>
          <w:szCs w:val="22"/>
          <w:lang w:eastAsia="en-GB"/>
        </w:rPr>
        <w:t>injekční stříkačku</w:t>
      </w:r>
      <w:r w:rsidRPr="001B4A02">
        <w:rPr>
          <w:szCs w:val="22"/>
          <w:lang w:eastAsia="en-GB"/>
        </w:rPr>
        <w:t xml:space="preserve"> poprvé vyjmul(a) z</w:t>
      </w:r>
      <w:r w:rsidR="00507DAA" w:rsidRPr="001B4A02">
        <w:rPr>
          <w:szCs w:val="22"/>
          <w:lang w:eastAsia="en-GB"/>
        </w:rPr>
        <w:t> </w:t>
      </w:r>
      <w:r w:rsidRPr="001B4A02">
        <w:rPr>
          <w:szCs w:val="22"/>
          <w:lang w:eastAsia="en-GB"/>
        </w:rPr>
        <w:t>lednice,</w:t>
      </w:r>
      <w:r w:rsidR="002378E0">
        <w:rPr>
          <w:szCs w:val="22"/>
          <w:lang w:eastAsia="en-GB"/>
        </w:rPr>
        <w:t xml:space="preserve"> a </w:t>
      </w:r>
      <w:r w:rsidRPr="001B4A02">
        <w:rPr>
          <w:szCs w:val="22"/>
          <w:lang w:eastAsia="en-GB"/>
        </w:rPr>
        <w:t>také datum, kdy je třeba j</w:t>
      </w:r>
      <w:r w:rsidR="00B636FE" w:rsidRPr="001B4A02">
        <w:rPr>
          <w:szCs w:val="22"/>
          <w:lang w:eastAsia="en-GB"/>
        </w:rPr>
        <w:t>i</w:t>
      </w:r>
      <w:r w:rsidRPr="001B4A02">
        <w:rPr>
          <w:szCs w:val="22"/>
          <w:lang w:eastAsia="en-GB"/>
        </w:rPr>
        <w:t xml:space="preserve"> znehodnotit</w:t>
      </w:r>
      <w:r w:rsidRPr="001B4A02">
        <w:rPr>
          <w:szCs w:val="22"/>
        </w:rPr>
        <w:t>.</w:t>
      </w:r>
    </w:p>
    <w:p w14:paraId="23ADFFC0" w14:textId="77777777" w:rsidR="00831C68" w:rsidRPr="001B4A02" w:rsidRDefault="00831C68" w:rsidP="00ED48A3">
      <w:pPr>
        <w:ind w:left="0" w:firstLine="0"/>
        <w:rPr>
          <w:szCs w:val="22"/>
        </w:rPr>
      </w:pPr>
    </w:p>
    <w:p w14:paraId="65392703" w14:textId="77777777" w:rsidR="008D112A" w:rsidRPr="001B4A02" w:rsidRDefault="00000000" w:rsidP="00ED48A3">
      <w:pPr>
        <w:numPr>
          <w:ilvl w:val="12"/>
          <w:numId w:val="0"/>
        </w:numPr>
        <w:ind w:right="-2"/>
      </w:pPr>
      <w:r w:rsidRPr="001B4A02">
        <w:rPr>
          <w:szCs w:val="22"/>
        </w:rPr>
        <w:t>Nevyhazujte žádné léčivé přípravky do odpadních vod nebo domácího odpadu. Zeptejte se svého léká</w:t>
      </w:r>
      <w:r w:rsidR="00084DA1" w:rsidRPr="001B4A02">
        <w:rPr>
          <w:szCs w:val="22"/>
        </w:rPr>
        <w:t>r</w:t>
      </w:r>
      <w:r w:rsidRPr="001B4A02">
        <w:rPr>
          <w:szCs w:val="22"/>
        </w:rPr>
        <w:t>níka, jak naložit s přípravky, které již nepoužíváte. Tato opatření pomáhají chránit životní prostředí.</w:t>
      </w:r>
    </w:p>
    <w:p w14:paraId="5C9A9C1E" w14:textId="77777777" w:rsidR="008D112A" w:rsidRPr="001B4A02" w:rsidRDefault="008D112A" w:rsidP="00ED48A3">
      <w:pPr>
        <w:numPr>
          <w:ilvl w:val="12"/>
          <w:numId w:val="0"/>
        </w:numPr>
        <w:ind w:right="-2"/>
      </w:pPr>
    </w:p>
    <w:p w14:paraId="326418AB" w14:textId="77777777" w:rsidR="009E1608" w:rsidRPr="001B4A02" w:rsidRDefault="009E1608" w:rsidP="00ED48A3">
      <w:pPr>
        <w:numPr>
          <w:ilvl w:val="12"/>
          <w:numId w:val="0"/>
        </w:numPr>
        <w:ind w:right="-2"/>
      </w:pPr>
    </w:p>
    <w:p w14:paraId="451335EE" w14:textId="77777777" w:rsidR="008D112A" w:rsidRPr="001B4A02" w:rsidRDefault="00000000" w:rsidP="004B14C0">
      <w:pPr>
        <w:pStyle w:val="EMEAHeading1"/>
        <w:keepNext/>
        <w:spacing w:beforeLines="0" w:afterLines="0"/>
        <w:outlineLvl w:val="1"/>
        <w:rPr>
          <w:rFonts w:ascii="Times New Roman" w:hAnsi="Times New Roman"/>
          <w:caps w:val="0"/>
          <w:szCs w:val="22"/>
          <w:lang w:val="cs-CZ"/>
        </w:rPr>
      </w:pPr>
      <w:r w:rsidRPr="001B4A02">
        <w:rPr>
          <w:rFonts w:ascii="Times New Roman" w:hAnsi="Times New Roman"/>
          <w:caps w:val="0"/>
          <w:szCs w:val="22"/>
          <w:lang w:val="cs-CZ"/>
        </w:rPr>
        <w:t>6.</w:t>
      </w:r>
      <w:r w:rsidRPr="001B4A02">
        <w:rPr>
          <w:rFonts w:ascii="Times New Roman" w:hAnsi="Times New Roman"/>
          <w:caps w:val="0"/>
          <w:szCs w:val="22"/>
          <w:lang w:val="cs-CZ"/>
        </w:rPr>
        <w:tab/>
      </w:r>
      <w:r w:rsidR="00831C68" w:rsidRPr="001B4A02">
        <w:rPr>
          <w:rFonts w:ascii="Times New Roman" w:hAnsi="Times New Roman"/>
          <w:caps w:val="0"/>
          <w:szCs w:val="22"/>
          <w:lang w:val="cs-CZ"/>
        </w:rPr>
        <w:t>Obsah balení</w:t>
      </w:r>
      <w:r w:rsidR="002378E0">
        <w:rPr>
          <w:rFonts w:ascii="Times New Roman" w:hAnsi="Times New Roman"/>
          <w:caps w:val="0"/>
          <w:szCs w:val="22"/>
          <w:lang w:val="cs-CZ"/>
        </w:rPr>
        <w:t xml:space="preserve"> a </w:t>
      </w:r>
      <w:r w:rsidR="00831C68" w:rsidRPr="001B4A02">
        <w:rPr>
          <w:rFonts w:ascii="Times New Roman" w:hAnsi="Times New Roman"/>
          <w:caps w:val="0"/>
          <w:szCs w:val="22"/>
          <w:lang w:val="cs-CZ"/>
        </w:rPr>
        <w:t>další informace</w:t>
      </w:r>
    </w:p>
    <w:p w14:paraId="0D08D530" w14:textId="77777777" w:rsidR="008D112A" w:rsidRPr="001B4A02" w:rsidRDefault="008D112A" w:rsidP="0067453A">
      <w:pPr>
        <w:keepNext/>
        <w:numPr>
          <w:ilvl w:val="12"/>
          <w:numId w:val="0"/>
        </w:numPr>
      </w:pPr>
    </w:p>
    <w:p w14:paraId="26E7513B" w14:textId="77777777" w:rsidR="00180DE0" w:rsidRPr="001B4A02" w:rsidRDefault="00000000" w:rsidP="008F1B0E">
      <w:pPr>
        <w:keepNext/>
        <w:numPr>
          <w:ilvl w:val="12"/>
          <w:numId w:val="0"/>
        </w:numPr>
        <w:rPr>
          <w:b/>
          <w:bCs/>
          <w:szCs w:val="22"/>
        </w:rPr>
      </w:pPr>
      <w:r w:rsidRPr="001B4A02">
        <w:rPr>
          <w:b/>
          <w:bCs/>
          <w:szCs w:val="22"/>
        </w:rPr>
        <w:t xml:space="preserve">Co </w:t>
      </w:r>
      <w:r w:rsidR="009E1608" w:rsidRPr="001B4A02">
        <w:rPr>
          <w:b/>
        </w:rPr>
        <w:t xml:space="preserve">přípravek </w:t>
      </w:r>
      <w:r w:rsidRPr="001B4A02">
        <w:rPr>
          <w:b/>
          <w:bCs/>
          <w:szCs w:val="22"/>
        </w:rPr>
        <w:t>Humira obsahuje</w:t>
      </w:r>
    </w:p>
    <w:p w14:paraId="13240028" w14:textId="77777777" w:rsidR="00180DE0" w:rsidRPr="001B4A02" w:rsidRDefault="00180DE0" w:rsidP="008F1B0E">
      <w:pPr>
        <w:keepNext/>
        <w:ind w:left="0" w:firstLine="0"/>
        <w:rPr>
          <w:szCs w:val="22"/>
        </w:rPr>
      </w:pPr>
    </w:p>
    <w:p w14:paraId="6726A917" w14:textId="77777777" w:rsidR="00180DE0" w:rsidRPr="001B4A02" w:rsidRDefault="00000000" w:rsidP="0067453A">
      <w:pPr>
        <w:ind w:left="0" w:firstLine="0"/>
        <w:rPr>
          <w:szCs w:val="22"/>
        </w:rPr>
      </w:pPr>
      <w:r w:rsidRPr="001B4A02">
        <w:rPr>
          <w:szCs w:val="22"/>
        </w:rPr>
        <w:t>Léčivou látkou je adalimumab</w:t>
      </w:r>
      <w:del w:id="13842" w:author="Abbvie02" w:date="2025-05-16T11:51:00Z">
        <w:r w:rsidRPr="001B4A02">
          <w:rPr>
            <w:szCs w:val="22"/>
          </w:rPr>
          <w:delText>um</w:delText>
        </w:r>
      </w:del>
      <w:r w:rsidRPr="001B4A02">
        <w:rPr>
          <w:szCs w:val="22"/>
        </w:rPr>
        <w:t>.</w:t>
      </w:r>
    </w:p>
    <w:p w14:paraId="5131B7CA" w14:textId="77777777" w:rsidR="00180DE0" w:rsidRPr="001B4A02" w:rsidRDefault="00000000" w:rsidP="0067453A">
      <w:pPr>
        <w:ind w:left="0" w:firstLine="0"/>
        <w:rPr>
          <w:szCs w:val="22"/>
        </w:rPr>
      </w:pPr>
      <w:r w:rsidRPr="001B4A02">
        <w:rPr>
          <w:szCs w:val="22"/>
        </w:rPr>
        <w:t>Pomocn</w:t>
      </w:r>
      <w:r w:rsidR="00E91CB6" w:rsidRPr="001B4A02">
        <w:rPr>
          <w:szCs w:val="22"/>
        </w:rPr>
        <w:t>ými</w:t>
      </w:r>
      <w:r w:rsidRPr="001B4A02">
        <w:rPr>
          <w:szCs w:val="22"/>
        </w:rPr>
        <w:t xml:space="preserve"> látk</w:t>
      </w:r>
      <w:r w:rsidR="00E91CB6" w:rsidRPr="001B4A02">
        <w:rPr>
          <w:szCs w:val="22"/>
        </w:rPr>
        <w:t>ami</w:t>
      </w:r>
      <w:r w:rsidRPr="001B4A02">
        <w:rPr>
          <w:szCs w:val="22"/>
        </w:rPr>
        <w:t xml:space="preserve"> jsou mannitol, polysorbát 80</w:t>
      </w:r>
      <w:r w:rsidR="002378E0">
        <w:rPr>
          <w:szCs w:val="22"/>
        </w:rPr>
        <w:t xml:space="preserve"> a </w:t>
      </w:r>
      <w:r w:rsidRPr="001B4A02">
        <w:rPr>
          <w:szCs w:val="22"/>
        </w:rPr>
        <w:t xml:space="preserve">voda </w:t>
      </w:r>
      <w:r w:rsidR="00202301" w:rsidRPr="001B4A02">
        <w:t>pro</w:t>
      </w:r>
      <w:r w:rsidRPr="001B4A02">
        <w:rPr>
          <w:szCs w:val="22"/>
        </w:rPr>
        <w:t xml:space="preserve"> injekci.</w:t>
      </w:r>
    </w:p>
    <w:p w14:paraId="7B649174" w14:textId="77777777" w:rsidR="007F7787" w:rsidRPr="001B4A02" w:rsidRDefault="007F7787" w:rsidP="0067453A">
      <w:pPr>
        <w:ind w:left="0" w:firstLine="0"/>
        <w:rPr>
          <w:b/>
        </w:rPr>
      </w:pPr>
    </w:p>
    <w:p w14:paraId="5C2CFD82" w14:textId="77777777" w:rsidR="008D112A" w:rsidRPr="001B4A02" w:rsidRDefault="00000000" w:rsidP="008F1B0E">
      <w:pPr>
        <w:keepNext/>
        <w:numPr>
          <w:ilvl w:val="12"/>
          <w:numId w:val="0"/>
        </w:numPr>
        <w:rPr>
          <w:b/>
          <w:bCs/>
        </w:rPr>
      </w:pPr>
      <w:r w:rsidRPr="001B4A02">
        <w:rPr>
          <w:b/>
          <w:bCs/>
          <w:szCs w:val="22"/>
        </w:rPr>
        <w:t>Jak přípravek Humira injekční roztok v předplněné</w:t>
      </w:r>
      <w:r w:rsidR="00B636FE" w:rsidRPr="001B4A02">
        <w:rPr>
          <w:b/>
          <w:bCs/>
          <w:szCs w:val="22"/>
        </w:rPr>
        <w:t xml:space="preserve"> injekční stříkačce</w:t>
      </w:r>
      <w:r w:rsidRPr="001B4A02">
        <w:rPr>
          <w:b/>
          <w:bCs/>
          <w:szCs w:val="22"/>
        </w:rPr>
        <w:t xml:space="preserve"> vypadá</w:t>
      </w:r>
      <w:r w:rsidR="002378E0">
        <w:rPr>
          <w:b/>
          <w:bCs/>
          <w:szCs w:val="22"/>
        </w:rPr>
        <w:t xml:space="preserve"> a </w:t>
      </w:r>
      <w:r w:rsidRPr="001B4A02">
        <w:rPr>
          <w:b/>
          <w:bCs/>
          <w:szCs w:val="22"/>
        </w:rPr>
        <w:t>co obsahuje toto balení</w:t>
      </w:r>
    </w:p>
    <w:p w14:paraId="4506537F" w14:textId="77777777" w:rsidR="008D112A" w:rsidRPr="008F1B0E" w:rsidRDefault="008D112A" w:rsidP="008F1B0E">
      <w:pPr>
        <w:keepNext/>
        <w:numPr>
          <w:ilvl w:val="12"/>
          <w:numId w:val="0"/>
        </w:numPr>
      </w:pPr>
    </w:p>
    <w:p w14:paraId="1EBDFEDD" w14:textId="77777777" w:rsidR="00180DE0" w:rsidRPr="001B4A02" w:rsidRDefault="00000000" w:rsidP="0067453A">
      <w:pPr>
        <w:ind w:left="0" w:firstLine="0"/>
      </w:pPr>
      <w:r w:rsidRPr="001B4A02">
        <w:rPr>
          <w:szCs w:val="22"/>
        </w:rPr>
        <w:t>Přípravek Humira 80 mg injekční roztok v předplněné</w:t>
      </w:r>
      <w:r w:rsidR="00B636FE" w:rsidRPr="001B4A02">
        <w:rPr>
          <w:szCs w:val="22"/>
        </w:rPr>
        <w:t xml:space="preserve"> injekční stříkačce </w:t>
      </w:r>
      <w:r w:rsidRPr="001B4A02">
        <w:t>je dodáván jako sterilní roztok 80</w:t>
      </w:r>
      <w:r w:rsidR="00A7483D">
        <w:t> mg</w:t>
      </w:r>
      <w:r w:rsidRPr="001B4A02">
        <w:t xml:space="preserve"> adalimumabu</w:t>
      </w:r>
      <w:r w:rsidR="002A321C">
        <w:t>,</w:t>
      </w:r>
      <w:r w:rsidRPr="001B4A02">
        <w:t xml:space="preserve"> rozpuštěného v 0,8</w:t>
      </w:r>
      <w:r w:rsidR="00443CD1" w:rsidRPr="001B4A02">
        <w:t> </w:t>
      </w:r>
      <w:r w:rsidRPr="001B4A02">
        <w:t>ml roztoku.</w:t>
      </w:r>
    </w:p>
    <w:p w14:paraId="79E721F3" w14:textId="77777777" w:rsidR="00180DE0" w:rsidRPr="001B4A02" w:rsidRDefault="00180DE0" w:rsidP="0067453A">
      <w:pPr>
        <w:numPr>
          <w:ilvl w:val="12"/>
          <w:numId w:val="0"/>
        </w:numPr>
      </w:pPr>
    </w:p>
    <w:p w14:paraId="330E53ED" w14:textId="77777777" w:rsidR="008D112A" w:rsidRPr="001B4A02" w:rsidRDefault="00000000" w:rsidP="0067453A">
      <w:pPr>
        <w:numPr>
          <w:ilvl w:val="12"/>
          <w:numId w:val="0"/>
        </w:numPr>
      </w:pPr>
      <w:r w:rsidRPr="001B4A02">
        <w:t>Předplněná injekční stříkačka přípravku Humira je skleněná injekč</w:t>
      </w:r>
      <w:r w:rsidR="00C3156D" w:rsidRPr="001B4A02">
        <w:t>n</w:t>
      </w:r>
      <w:r w:rsidRPr="001B4A02">
        <w:t>í stříkačka obsahující roztok adalimumabu.</w:t>
      </w:r>
    </w:p>
    <w:p w14:paraId="47B66D42" w14:textId="77777777" w:rsidR="008D112A" w:rsidRPr="001B4A02" w:rsidRDefault="008D112A" w:rsidP="0067453A">
      <w:pPr>
        <w:numPr>
          <w:ilvl w:val="12"/>
          <w:numId w:val="0"/>
        </w:numPr>
      </w:pPr>
    </w:p>
    <w:p w14:paraId="3C8A65BA" w14:textId="77777777" w:rsidR="008D112A" w:rsidRPr="001B4A02" w:rsidRDefault="00000000" w:rsidP="0067453A">
      <w:pPr>
        <w:numPr>
          <w:ilvl w:val="12"/>
          <w:numId w:val="0"/>
        </w:numPr>
      </w:pPr>
      <w:r w:rsidRPr="001B4A02">
        <w:t>Předplněná injekč</w:t>
      </w:r>
      <w:r w:rsidR="00A27A27" w:rsidRPr="001B4A02">
        <w:t>n</w:t>
      </w:r>
      <w:r w:rsidRPr="001B4A02">
        <w:t>í stříkačka přípravku Humira je k</w:t>
      </w:r>
      <w:r w:rsidR="00507DAA" w:rsidRPr="001B4A02">
        <w:t> </w:t>
      </w:r>
      <w:r w:rsidRPr="001B4A02">
        <w:t>dispozici v</w:t>
      </w:r>
      <w:r w:rsidR="00507DAA" w:rsidRPr="001B4A02">
        <w:t> </w:t>
      </w:r>
      <w:r w:rsidRPr="001B4A02">
        <w:t>balení obsahujícím 1 předplněnou injekční stříkačku pro použití pacientem</w:t>
      </w:r>
      <w:r w:rsidR="002378E0">
        <w:t xml:space="preserve"> a </w:t>
      </w:r>
      <w:r w:rsidRPr="001B4A02">
        <w:t>1 tamp</w:t>
      </w:r>
      <w:ins w:id="13843" w:author="Abbvie02" w:date="2025-05-16T12:35:00Z">
        <w:r w:rsidR="009165EF">
          <w:t>o</w:t>
        </w:r>
      </w:ins>
      <w:del w:id="13844" w:author="Abbvie02" w:date="2025-05-16T12:35:00Z">
        <w:r w:rsidRPr="001B4A02">
          <w:delText>ó</w:delText>
        </w:r>
      </w:del>
      <w:r w:rsidRPr="001B4A02">
        <w:t>n</w:t>
      </w:r>
      <w:r w:rsidR="00C3156D" w:rsidRPr="001B4A02">
        <w:t xml:space="preserve"> napuštěný alkoholem</w:t>
      </w:r>
      <w:r w:rsidRPr="001B4A02">
        <w:t>.</w:t>
      </w:r>
    </w:p>
    <w:p w14:paraId="246D67DD" w14:textId="77777777" w:rsidR="008D112A" w:rsidRPr="001B4A02" w:rsidRDefault="008D112A" w:rsidP="0067453A">
      <w:pPr>
        <w:numPr>
          <w:ilvl w:val="12"/>
          <w:numId w:val="0"/>
        </w:numPr>
      </w:pPr>
    </w:p>
    <w:p w14:paraId="14365437" w14:textId="77777777" w:rsidR="00180DE0" w:rsidRPr="001B4A02" w:rsidRDefault="00000000" w:rsidP="0067453A">
      <w:pPr>
        <w:numPr>
          <w:ilvl w:val="12"/>
          <w:numId w:val="0"/>
        </w:numPr>
      </w:pPr>
      <w:r w:rsidRPr="001B4A02">
        <w:t>Přípravek Humira je k </w:t>
      </w:r>
      <w:r w:rsidR="00C92B1C" w:rsidRPr="001B4A02">
        <w:t>dispozici</w:t>
      </w:r>
      <w:r w:rsidRPr="001B4A02">
        <w:t xml:space="preserve"> jako injekční lahvička, předplněná injekční stříkačka a</w:t>
      </w:r>
      <w:r w:rsidR="00075234" w:rsidRPr="001B4A02">
        <w:t>/nebo</w:t>
      </w:r>
      <w:r w:rsidRPr="001B4A02">
        <w:t xml:space="preserve"> předplněné pero.</w:t>
      </w:r>
    </w:p>
    <w:p w14:paraId="03498E09" w14:textId="77777777" w:rsidR="00180DE0" w:rsidRPr="001B4A02" w:rsidRDefault="00180DE0" w:rsidP="0067453A">
      <w:pPr>
        <w:numPr>
          <w:ilvl w:val="12"/>
          <w:numId w:val="0"/>
        </w:numPr>
      </w:pPr>
    </w:p>
    <w:p w14:paraId="37DAB0C2" w14:textId="77777777" w:rsidR="00180DE0" w:rsidRPr="001B4A02" w:rsidRDefault="00000000" w:rsidP="0067453A">
      <w:pPr>
        <w:ind w:left="0" w:firstLine="0"/>
        <w:rPr>
          <w:b/>
        </w:rPr>
      </w:pPr>
      <w:r w:rsidRPr="001B4A02">
        <w:rPr>
          <w:b/>
        </w:rPr>
        <w:t>Držitel rozhodnutí o registraci</w:t>
      </w:r>
    </w:p>
    <w:p w14:paraId="5BBBD2E0" w14:textId="77777777" w:rsidR="008D112A" w:rsidRPr="001B4A02" w:rsidRDefault="008D112A" w:rsidP="0067453A">
      <w:pPr>
        <w:keepNext/>
        <w:numPr>
          <w:ilvl w:val="12"/>
          <w:numId w:val="0"/>
        </w:numPr>
      </w:pPr>
    </w:p>
    <w:p w14:paraId="4F95C865" w14:textId="77777777" w:rsidR="00E86403" w:rsidRPr="001B4A02" w:rsidRDefault="00000000" w:rsidP="0067453A">
      <w:pPr>
        <w:keepNext/>
        <w:autoSpaceDE w:val="0"/>
        <w:autoSpaceDN w:val="0"/>
        <w:adjustRightInd w:val="0"/>
        <w:ind w:left="0" w:firstLine="0"/>
        <w:rPr>
          <w:szCs w:val="22"/>
          <w:lang w:eastAsia="en-GB"/>
        </w:rPr>
      </w:pPr>
      <w:r w:rsidRPr="001B4A02">
        <w:rPr>
          <w:szCs w:val="22"/>
          <w:lang w:eastAsia="en-GB"/>
        </w:rPr>
        <w:t>AbbVie Deutschland GmbH &amp; Co. KG</w:t>
      </w:r>
    </w:p>
    <w:p w14:paraId="4035AF8C" w14:textId="77777777" w:rsidR="00E86403" w:rsidRPr="001B4A02" w:rsidRDefault="00000000" w:rsidP="0067453A">
      <w:pPr>
        <w:keepNext/>
        <w:autoSpaceDE w:val="0"/>
        <w:autoSpaceDN w:val="0"/>
        <w:adjustRightInd w:val="0"/>
        <w:ind w:left="0" w:firstLine="0"/>
        <w:rPr>
          <w:szCs w:val="22"/>
          <w:lang w:eastAsia="en-GB"/>
        </w:rPr>
      </w:pPr>
      <w:r w:rsidRPr="001B4A02">
        <w:rPr>
          <w:szCs w:val="22"/>
          <w:lang w:eastAsia="en-GB"/>
        </w:rPr>
        <w:t>Knollstrasse</w:t>
      </w:r>
    </w:p>
    <w:p w14:paraId="669C5411" w14:textId="77777777" w:rsidR="00E86403" w:rsidRPr="001B4A02" w:rsidRDefault="00000000" w:rsidP="0067453A">
      <w:pPr>
        <w:keepNext/>
        <w:autoSpaceDE w:val="0"/>
        <w:autoSpaceDN w:val="0"/>
        <w:adjustRightInd w:val="0"/>
        <w:ind w:left="0" w:firstLine="0"/>
        <w:rPr>
          <w:szCs w:val="22"/>
          <w:lang w:eastAsia="en-GB"/>
        </w:rPr>
      </w:pPr>
      <w:r w:rsidRPr="001B4A02">
        <w:rPr>
          <w:szCs w:val="22"/>
          <w:lang w:eastAsia="en-GB"/>
        </w:rPr>
        <w:t>67061 Ludwigshafen</w:t>
      </w:r>
    </w:p>
    <w:p w14:paraId="1651F196" w14:textId="77777777" w:rsidR="00180DE0" w:rsidRPr="001B4A02" w:rsidRDefault="00000000" w:rsidP="0067453A">
      <w:pPr>
        <w:ind w:left="0" w:firstLine="0"/>
      </w:pPr>
      <w:r w:rsidRPr="001B4A02">
        <w:rPr>
          <w:szCs w:val="22"/>
          <w:lang w:eastAsia="en-GB"/>
        </w:rPr>
        <w:t>Německo</w:t>
      </w:r>
    </w:p>
    <w:p w14:paraId="60ADC010" w14:textId="77777777" w:rsidR="00180DE0" w:rsidRPr="001B4A02" w:rsidRDefault="00180DE0" w:rsidP="0067453A">
      <w:pPr>
        <w:numPr>
          <w:ilvl w:val="12"/>
          <w:numId w:val="0"/>
        </w:numPr>
      </w:pPr>
    </w:p>
    <w:p w14:paraId="04AE04FA" w14:textId="77777777" w:rsidR="00180DE0" w:rsidRPr="001B4A02" w:rsidRDefault="00000000" w:rsidP="008F1B0E">
      <w:pPr>
        <w:keepNext/>
        <w:ind w:left="0" w:firstLine="0"/>
        <w:rPr>
          <w:b/>
        </w:rPr>
      </w:pPr>
      <w:r w:rsidRPr="001B4A02">
        <w:rPr>
          <w:b/>
        </w:rPr>
        <w:t>Výrobce</w:t>
      </w:r>
    </w:p>
    <w:p w14:paraId="23019229" w14:textId="77777777" w:rsidR="00180DE0" w:rsidRPr="001B4A02" w:rsidRDefault="00180DE0" w:rsidP="008F1B0E">
      <w:pPr>
        <w:keepNext/>
        <w:ind w:left="0" w:firstLine="0"/>
      </w:pPr>
    </w:p>
    <w:p w14:paraId="0E50F03C" w14:textId="77777777" w:rsidR="00180DE0" w:rsidRPr="001B4A02" w:rsidRDefault="00000000" w:rsidP="0067453A">
      <w:pPr>
        <w:ind w:left="0" w:firstLine="0"/>
      </w:pPr>
      <w:r w:rsidRPr="001B4A02">
        <w:t>AbbVie Biotechnology GmbH</w:t>
      </w:r>
    </w:p>
    <w:p w14:paraId="521CF042" w14:textId="77777777" w:rsidR="00180DE0" w:rsidRPr="001B4A02" w:rsidRDefault="00000000" w:rsidP="0067453A">
      <w:pPr>
        <w:numPr>
          <w:ilvl w:val="12"/>
          <w:numId w:val="0"/>
        </w:numPr>
        <w:tabs>
          <w:tab w:val="left" w:pos="720"/>
        </w:tabs>
      </w:pPr>
      <w:r w:rsidRPr="001B4A02">
        <w:t>Knollstrasse</w:t>
      </w:r>
    </w:p>
    <w:p w14:paraId="3B39F23D" w14:textId="77777777" w:rsidR="00180DE0" w:rsidRPr="001B4A02" w:rsidRDefault="00000000" w:rsidP="0067453A">
      <w:pPr>
        <w:numPr>
          <w:ilvl w:val="12"/>
          <w:numId w:val="0"/>
        </w:numPr>
        <w:tabs>
          <w:tab w:val="left" w:pos="720"/>
        </w:tabs>
      </w:pPr>
      <w:r w:rsidRPr="001B4A02">
        <w:t>67061 Ludwigshafen</w:t>
      </w:r>
    </w:p>
    <w:p w14:paraId="390ED4F8" w14:textId="77777777" w:rsidR="00180DE0" w:rsidRPr="001B4A02" w:rsidRDefault="00000000" w:rsidP="0067453A">
      <w:pPr>
        <w:numPr>
          <w:ilvl w:val="12"/>
          <w:numId w:val="0"/>
        </w:numPr>
        <w:tabs>
          <w:tab w:val="left" w:pos="720"/>
        </w:tabs>
      </w:pPr>
      <w:r w:rsidRPr="001B4A02">
        <w:t>Německo</w:t>
      </w:r>
    </w:p>
    <w:p w14:paraId="090CFA86" w14:textId="77777777" w:rsidR="00180DE0" w:rsidRPr="001B4A02" w:rsidRDefault="00180DE0" w:rsidP="0067453A">
      <w:pPr>
        <w:ind w:left="0" w:firstLine="0"/>
      </w:pPr>
    </w:p>
    <w:p w14:paraId="51F3A4A5" w14:textId="77777777" w:rsidR="00180DE0" w:rsidRPr="001B4A02" w:rsidRDefault="00000000" w:rsidP="008F1B0E">
      <w:pPr>
        <w:keepNext/>
        <w:numPr>
          <w:ilvl w:val="12"/>
          <w:numId w:val="0"/>
        </w:numPr>
      </w:pPr>
      <w:r w:rsidRPr="001B4A02">
        <w:t>Další informace o tomto přípravku získáte u místního zástupce držitele rozhodnutí o registraci:</w:t>
      </w:r>
    </w:p>
    <w:p w14:paraId="0B00301A" w14:textId="77777777" w:rsidR="008D112A" w:rsidRPr="001B4A02" w:rsidRDefault="008D112A" w:rsidP="008F1B0E">
      <w:pPr>
        <w:keepNext/>
        <w:ind w:left="0" w:firstLine="0"/>
        <w:rPr>
          <w:sz w:val="24"/>
        </w:rPr>
      </w:pPr>
    </w:p>
    <w:tbl>
      <w:tblPr>
        <w:tblW w:w="9356" w:type="dxa"/>
        <w:tblInd w:w="-34" w:type="dxa"/>
        <w:tblLayout w:type="fixed"/>
        <w:tblLook w:val="0000" w:firstRow="0" w:lastRow="0" w:firstColumn="0" w:lastColumn="0" w:noHBand="0" w:noVBand="0"/>
      </w:tblPr>
      <w:tblGrid>
        <w:gridCol w:w="34"/>
        <w:gridCol w:w="4610"/>
        <w:gridCol w:w="34"/>
        <w:gridCol w:w="4678"/>
      </w:tblGrid>
      <w:tr w:rsidR="00534A2D" w14:paraId="1E250423" w14:textId="77777777" w:rsidTr="001F79B0">
        <w:tc>
          <w:tcPr>
            <w:tcW w:w="4644" w:type="dxa"/>
            <w:gridSpan w:val="2"/>
          </w:tcPr>
          <w:p w14:paraId="214206FA" w14:textId="77777777" w:rsidR="00845A64" w:rsidRPr="00BD646C" w:rsidRDefault="00000000" w:rsidP="001F79B0">
            <w:pPr>
              <w:rPr>
                <w:b/>
                <w:bCs/>
                <w:szCs w:val="22"/>
                <w:lang w:val="fr-BE"/>
              </w:rPr>
            </w:pPr>
            <w:r w:rsidRPr="00BD646C">
              <w:rPr>
                <w:b/>
                <w:bCs/>
                <w:szCs w:val="22"/>
                <w:lang w:val="fr-BE"/>
              </w:rPr>
              <w:t>België/Belgique/Belgien</w:t>
            </w:r>
          </w:p>
          <w:p w14:paraId="7D125AC4" w14:textId="77777777" w:rsidR="00845A64" w:rsidRPr="00BD646C" w:rsidRDefault="00000000" w:rsidP="001F79B0">
            <w:pPr>
              <w:rPr>
                <w:bCs/>
                <w:szCs w:val="22"/>
                <w:lang w:val="fr-FR"/>
              </w:rPr>
            </w:pPr>
            <w:r w:rsidRPr="00BD646C">
              <w:rPr>
                <w:bCs/>
                <w:szCs w:val="22"/>
                <w:lang w:val="fr-FR"/>
              </w:rPr>
              <w:t>AbbVie SA</w:t>
            </w:r>
          </w:p>
          <w:p w14:paraId="44310903" w14:textId="77777777" w:rsidR="00845A64" w:rsidRPr="00BD646C" w:rsidRDefault="00000000" w:rsidP="001F79B0">
            <w:pPr>
              <w:rPr>
                <w:szCs w:val="22"/>
                <w:lang w:val="fr-FR"/>
              </w:rPr>
            </w:pPr>
            <w:r w:rsidRPr="00BD646C">
              <w:rPr>
                <w:bCs/>
                <w:szCs w:val="22"/>
                <w:lang w:val="fr-FR"/>
              </w:rPr>
              <w:t xml:space="preserve">Tél/Tel: +32 10 </w:t>
            </w:r>
            <w:r w:rsidRPr="00BD646C">
              <w:rPr>
                <w:szCs w:val="22"/>
                <w:lang w:val="fr-FR"/>
              </w:rPr>
              <w:t>477811</w:t>
            </w:r>
          </w:p>
          <w:p w14:paraId="2833A304" w14:textId="77777777" w:rsidR="00845A64" w:rsidRPr="00BD646C" w:rsidRDefault="00845A64" w:rsidP="001F79B0">
            <w:pPr>
              <w:rPr>
                <w:bCs/>
                <w:szCs w:val="22"/>
                <w:lang w:val="fr-FR"/>
              </w:rPr>
            </w:pPr>
          </w:p>
        </w:tc>
        <w:tc>
          <w:tcPr>
            <w:tcW w:w="4678" w:type="dxa"/>
            <w:gridSpan w:val="2"/>
          </w:tcPr>
          <w:p w14:paraId="60018BA5" w14:textId="77777777" w:rsidR="00845A64" w:rsidRPr="00BD646C" w:rsidRDefault="00000000" w:rsidP="001F79B0">
            <w:pPr>
              <w:rPr>
                <w:b/>
                <w:bCs/>
                <w:szCs w:val="22"/>
                <w:lang w:val="lt-LT"/>
              </w:rPr>
            </w:pPr>
            <w:r w:rsidRPr="00BD646C">
              <w:rPr>
                <w:b/>
                <w:bCs/>
                <w:szCs w:val="22"/>
                <w:lang w:val="lt-LT"/>
              </w:rPr>
              <w:t>Lietuva</w:t>
            </w:r>
          </w:p>
          <w:p w14:paraId="365725D0" w14:textId="77777777" w:rsidR="00845A64" w:rsidRPr="00BD646C" w:rsidRDefault="00000000" w:rsidP="001F79B0">
            <w:pPr>
              <w:rPr>
                <w:bCs/>
                <w:szCs w:val="22"/>
                <w:lang w:val="lv-LV"/>
              </w:rPr>
            </w:pPr>
            <w:r w:rsidRPr="00BD646C">
              <w:rPr>
                <w:bCs/>
                <w:szCs w:val="22"/>
                <w:lang w:val="lv-LV"/>
              </w:rPr>
              <w:t xml:space="preserve">AbbVie UAB </w:t>
            </w:r>
          </w:p>
          <w:p w14:paraId="4852737B" w14:textId="77777777" w:rsidR="00845A64" w:rsidRPr="00BD646C" w:rsidRDefault="00000000" w:rsidP="001F79B0">
            <w:pPr>
              <w:rPr>
                <w:bCs/>
                <w:szCs w:val="22"/>
                <w:lang w:val="lv-LV"/>
              </w:rPr>
            </w:pPr>
            <w:r w:rsidRPr="00BD646C">
              <w:rPr>
                <w:bCs/>
                <w:szCs w:val="22"/>
                <w:lang w:val="lv-LV"/>
              </w:rPr>
              <w:t>Tel: +370 5 205 3023</w:t>
            </w:r>
          </w:p>
        </w:tc>
      </w:tr>
      <w:tr w:rsidR="00534A2D" w14:paraId="4C21F828" w14:textId="77777777" w:rsidTr="001F79B0">
        <w:tc>
          <w:tcPr>
            <w:tcW w:w="4644" w:type="dxa"/>
            <w:gridSpan w:val="2"/>
          </w:tcPr>
          <w:p w14:paraId="0D1C6D03" w14:textId="77777777" w:rsidR="00845A64" w:rsidRPr="00BD646C" w:rsidRDefault="00000000" w:rsidP="001F79B0">
            <w:pPr>
              <w:rPr>
                <w:b/>
                <w:bCs/>
                <w:szCs w:val="22"/>
                <w:lang w:val="bg-BG"/>
              </w:rPr>
            </w:pPr>
            <w:r w:rsidRPr="00BD646C">
              <w:rPr>
                <w:b/>
                <w:bCs/>
                <w:szCs w:val="22"/>
                <w:lang w:val="bg-BG"/>
              </w:rPr>
              <w:t>България</w:t>
            </w:r>
          </w:p>
          <w:p w14:paraId="168ECBB5" w14:textId="77777777" w:rsidR="00845A64" w:rsidRPr="00BD646C" w:rsidRDefault="00000000" w:rsidP="001F79B0">
            <w:pPr>
              <w:rPr>
                <w:szCs w:val="22"/>
                <w:lang w:val="da-DK"/>
              </w:rPr>
            </w:pPr>
            <w:r w:rsidRPr="00BD646C">
              <w:rPr>
                <w:szCs w:val="22"/>
                <w:lang w:val="sk-SK"/>
              </w:rPr>
              <w:t>АбВи ЕООД</w:t>
            </w:r>
          </w:p>
          <w:p w14:paraId="7F299A65" w14:textId="77777777" w:rsidR="00845A64" w:rsidRPr="00BD646C" w:rsidRDefault="00000000" w:rsidP="001F79B0">
            <w:pPr>
              <w:rPr>
                <w:bCs/>
                <w:szCs w:val="22"/>
                <w:lang w:val="da-DK"/>
              </w:rPr>
            </w:pPr>
            <w:r w:rsidRPr="00BD646C">
              <w:rPr>
                <w:szCs w:val="22"/>
                <w:lang w:val="sk-SK"/>
              </w:rPr>
              <w:t>Тел</w:t>
            </w:r>
            <w:r w:rsidRPr="00BD646C">
              <w:rPr>
                <w:szCs w:val="22"/>
                <w:lang w:val="it-IT"/>
              </w:rPr>
              <w:t>.:+359 2 90 30 430</w:t>
            </w:r>
          </w:p>
        </w:tc>
        <w:tc>
          <w:tcPr>
            <w:tcW w:w="4678" w:type="dxa"/>
            <w:gridSpan w:val="2"/>
          </w:tcPr>
          <w:p w14:paraId="7A150501" w14:textId="77777777" w:rsidR="00845A64" w:rsidRPr="00BD646C" w:rsidRDefault="00000000" w:rsidP="001F79B0">
            <w:pPr>
              <w:rPr>
                <w:b/>
                <w:bCs/>
                <w:szCs w:val="22"/>
                <w:lang w:val="de-DE"/>
              </w:rPr>
            </w:pPr>
            <w:r w:rsidRPr="00BD646C">
              <w:rPr>
                <w:b/>
                <w:bCs/>
                <w:szCs w:val="22"/>
                <w:lang w:val="de-DE"/>
              </w:rPr>
              <w:t>Luxembourg/Luxemburg</w:t>
            </w:r>
          </w:p>
          <w:p w14:paraId="136E025C" w14:textId="77777777" w:rsidR="00845A64" w:rsidRPr="00BD646C" w:rsidRDefault="00000000" w:rsidP="001F79B0">
            <w:pPr>
              <w:rPr>
                <w:bCs/>
                <w:szCs w:val="22"/>
                <w:lang w:val="de-DE"/>
              </w:rPr>
            </w:pPr>
            <w:r w:rsidRPr="00BD646C">
              <w:rPr>
                <w:bCs/>
                <w:szCs w:val="22"/>
                <w:lang w:val="de-DE"/>
              </w:rPr>
              <w:t>AbbVie SA</w:t>
            </w:r>
          </w:p>
          <w:p w14:paraId="7E5D34CC" w14:textId="77777777" w:rsidR="00845A64" w:rsidRPr="00BD646C" w:rsidRDefault="00000000" w:rsidP="001F79B0">
            <w:pPr>
              <w:rPr>
                <w:bCs/>
                <w:szCs w:val="22"/>
                <w:lang w:val="de-DE"/>
              </w:rPr>
            </w:pPr>
            <w:r w:rsidRPr="00BD646C">
              <w:rPr>
                <w:bCs/>
                <w:szCs w:val="22"/>
                <w:lang w:val="de-DE"/>
              </w:rPr>
              <w:t>Belgique/Belgien</w:t>
            </w:r>
          </w:p>
          <w:p w14:paraId="58BF6AD9" w14:textId="77777777" w:rsidR="00845A64" w:rsidRPr="00BD646C" w:rsidRDefault="00000000" w:rsidP="001F79B0">
            <w:pPr>
              <w:rPr>
                <w:bCs/>
                <w:szCs w:val="22"/>
                <w:lang w:val="fr-FR"/>
              </w:rPr>
            </w:pPr>
            <w:r w:rsidRPr="00BD646C">
              <w:rPr>
                <w:bCs/>
                <w:szCs w:val="22"/>
                <w:lang w:val="fr-FR"/>
              </w:rPr>
              <w:t>Tél/Tel: +32 10 477811</w:t>
            </w:r>
          </w:p>
          <w:p w14:paraId="4272E0AC" w14:textId="77777777" w:rsidR="00845A64" w:rsidRPr="00BD646C" w:rsidRDefault="00845A64" w:rsidP="001F79B0">
            <w:pPr>
              <w:rPr>
                <w:bCs/>
                <w:szCs w:val="22"/>
                <w:lang w:val="fr-FR"/>
              </w:rPr>
            </w:pPr>
          </w:p>
        </w:tc>
      </w:tr>
      <w:tr w:rsidR="00534A2D" w14:paraId="4A0028A9" w14:textId="77777777" w:rsidTr="001F79B0">
        <w:tc>
          <w:tcPr>
            <w:tcW w:w="4644" w:type="dxa"/>
            <w:gridSpan w:val="2"/>
          </w:tcPr>
          <w:p w14:paraId="4E39EFEC" w14:textId="77777777" w:rsidR="00845A64" w:rsidRPr="00BD646C" w:rsidRDefault="00000000" w:rsidP="001F79B0">
            <w:pPr>
              <w:keepNext/>
              <w:rPr>
                <w:b/>
                <w:bCs/>
                <w:szCs w:val="22"/>
                <w:lang w:val="sk-SK"/>
              </w:rPr>
            </w:pPr>
            <w:r w:rsidRPr="00BD646C">
              <w:rPr>
                <w:b/>
                <w:bCs/>
                <w:szCs w:val="22"/>
                <w:lang w:val="sk-SK"/>
              </w:rPr>
              <w:t>Česká republika</w:t>
            </w:r>
          </w:p>
          <w:p w14:paraId="1FB5FEF6" w14:textId="77777777" w:rsidR="00845A64" w:rsidRPr="00BD646C" w:rsidRDefault="00000000" w:rsidP="001F79B0">
            <w:pPr>
              <w:keepNext/>
              <w:rPr>
                <w:bCs/>
                <w:szCs w:val="22"/>
                <w:lang w:val="sk-SK"/>
              </w:rPr>
            </w:pPr>
            <w:r w:rsidRPr="00BD646C">
              <w:rPr>
                <w:bCs/>
                <w:szCs w:val="22"/>
                <w:lang w:val="sk-SK"/>
              </w:rPr>
              <w:t xml:space="preserve">AbbVie s.r.o. </w:t>
            </w:r>
          </w:p>
          <w:p w14:paraId="2402EF1F" w14:textId="77777777" w:rsidR="00845A64" w:rsidRPr="00BD646C" w:rsidRDefault="00000000" w:rsidP="001F79B0">
            <w:pPr>
              <w:keepNext/>
              <w:rPr>
                <w:bCs/>
                <w:szCs w:val="22"/>
                <w:lang w:val="sk-SK"/>
              </w:rPr>
            </w:pPr>
            <w:r w:rsidRPr="00BD646C">
              <w:rPr>
                <w:bCs/>
                <w:szCs w:val="22"/>
                <w:lang w:val="sk-SK"/>
              </w:rPr>
              <w:t>Tel: +420 233 098 111</w:t>
            </w:r>
          </w:p>
        </w:tc>
        <w:tc>
          <w:tcPr>
            <w:tcW w:w="4678" w:type="dxa"/>
            <w:gridSpan w:val="2"/>
          </w:tcPr>
          <w:p w14:paraId="1F9C443E" w14:textId="77777777" w:rsidR="00845A64" w:rsidRPr="00BD646C" w:rsidRDefault="00000000" w:rsidP="001F79B0">
            <w:pPr>
              <w:keepNext/>
              <w:rPr>
                <w:b/>
                <w:bCs/>
                <w:szCs w:val="22"/>
                <w:lang w:val="hu-HU"/>
              </w:rPr>
            </w:pPr>
            <w:r w:rsidRPr="00BD646C">
              <w:rPr>
                <w:b/>
                <w:bCs/>
                <w:szCs w:val="22"/>
                <w:lang w:val="hu-HU"/>
              </w:rPr>
              <w:t>Magyarország</w:t>
            </w:r>
          </w:p>
          <w:p w14:paraId="48F2B90B" w14:textId="77777777" w:rsidR="00845A64" w:rsidRPr="00BD646C" w:rsidRDefault="00000000" w:rsidP="001F79B0">
            <w:pPr>
              <w:keepNext/>
              <w:rPr>
                <w:bCs/>
                <w:szCs w:val="22"/>
                <w:lang w:val="hu-HU"/>
              </w:rPr>
            </w:pPr>
            <w:r w:rsidRPr="00BD646C">
              <w:rPr>
                <w:bCs/>
                <w:szCs w:val="22"/>
                <w:lang w:val="hu-HU"/>
              </w:rPr>
              <w:t>AbbVie Kft.</w:t>
            </w:r>
          </w:p>
          <w:p w14:paraId="22B1AF84" w14:textId="77777777" w:rsidR="00845A64" w:rsidRPr="00BD646C" w:rsidRDefault="00000000" w:rsidP="001F79B0">
            <w:pPr>
              <w:keepNext/>
              <w:rPr>
                <w:bCs/>
                <w:szCs w:val="22"/>
                <w:lang w:val="hu-HU"/>
              </w:rPr>
            </w:pPr>
            <w:r w:rsidRPr="00BD646C">
              <w:rPr>
                <w:bCs/>
                <w:szCs w:val="22"/>
                <w:lang w:val="hu-HU"/>
              </w:rPr>
              <w:t>Tel.:+36 1 455 8600</w:t>
            </w:r>
          </w:p>
          <w:p w14:paraId="15A73099" w14:textId="77777777" w:rsidR="00845A64" w:rsidRPr="00BD646C" w:rsidRDefault="00845A64" w:rsidP="001F79B0">
            <w:pPr>
              <w:keepNext/>
              <w:rPr>
                <w:bCs/>
                <w:szCs w:val="22"/>
                <w:lang w:val="hu-HU"/>
              </w:rPr>
            </w:pPr>
          </w:p>
        </w:tc>
      </w:tr>
      <w:tr w:rsidR="00534A2D" w14:paraId="32E50F67" w14:textId="77777777" w:rsidTr="001F79B0">
        <w:trPr>
          <w:trHeight w:val="737"/>
        </w:trPr>
        <w:tc>
          <w:tcPr>
            <w:tcW w:w="4644" w:type="dxa"/>
            <w:gridSpan w:val="2"/>
          </w:tcPr>
          <w:p w14:paraId="0324B563" w14:textId="77777777" w:rsidR="00845A64" w:rsidRPr="00BD646C" w:rsidRDefault="00000000" w:rsidP="001F79B0">
            <w:pPr>
              <w:rPr>
                <w:b/>
                <w:bCs/>
                <w:szCs w:val="22"/>
                <w:lang w:val="en-US"/>
              </w:rPr>
            </w:pPr>
            <w:r w:rsidRPr="00BD646C">
              <w:rPr>
                <w:b/>
                <w:bCs/>
                <w:szCs w:val="22"/>
                <w:lang w:val="en-US"/>
              </w:rPr>
              <w:t>Danmark</w:t>
            </w:r>
          </w:p>
          <w:p w14:paraId="324F5036" w14:textId="77777777" w:rsidR="00845A64" w:rsidRPr="00BD646C" w:rsidRDefault="00000000" w:rsidP="001F79B0">
            <w:pPr>
              <w:rPr>
                <w:bCs/>
                <w:szCs w:val="22"/>
                <w:lang w:val="en-US"/>
              </w:rPr>
            </w:pPr>
            <w:r w:rsidRPr="00BD646C">
              <w:rPr>
                <w:bCs/>
                <w:szCs w:val="22"/>
                <w:lang w:val="en-US"/>
              </w:rPr>
              <w:t>AbbVie A/S</w:t>
            </w:r>
          </w:p>
          <w:p w14:paraId="27C4F8C5" w14:textId="77777777" w:rsidR="00845A64" w:rsidRPr="00BD646C" w:rsidRDefault="00000000" w:rsidP="001F79B0">
            <w:pPr>
              <w:rPr>
                <w:bCs/>
                <w:szCs w:val="22"/>
                <w:lang w:val="sk-SK"/>
              </w:rPr>
            </w:pPr>
            <w:r w:rsidRPr="00BD646C">
              <w:rPr>
                <w:bCs/>
                <w:szCs w:val="22"/>
                <w:lang w:val="en-US"/>
              </w:rPr>
              <w:t>Tlf</w:t>
            </w:r>
            <w:ins w:id="13845" w:author="AbbVie1" w:date="2025-05-13T10:17:00Z">
              <w:r w:rsidR="00FC50CC">
                <w:rPr>
                  <w:bCs/>
                  <w:szCs w:val="22"/>
                  <w:lang w:val="en-US"/>
                </w:rPr>
                <w:t>.</w:t>
              </w:r>
            </w:ins>
            <w:r w:rsidRPr="00BD646C">
              <w:rPr>
                <w:bCs/>
                <w:szCs w:val="22"/>
                <w:lang w:val="en-US"/>
              </w:rPr>
              <w:t>: +45 72 30-20-28</w:t>
            </w:r>
          </w:p>
        </w:tc>
        <w:tc>
          <w:tcPr>
            <w:tcW w:w="4678" w:type="dxa"/>
            <w:gridSpan w:val="2"/>
          </w:tcPr>
          <w:p w14:paraId="4A885D2E" w14:textId="77777777" w:rsidR="00845A64" w:rsidRPr="00BD646C" w:rsidRDefault="00000000" w:rsidP="001F79B0">
            <w:pPr>
              <w:rPr>
                <w:b/>
                <w:bCs/>
                <w:szCs w:val="22"/>
                <w:lang w:val="mt-MT"/>
              </w:rPr>
            </w:pPr>
            <w:r w:rsidRPr="00BD646C">
              <w:rPr>
                <w:b/>
                <w:bCs/>
                <w:szCs w:val="22"/>
                <w:lang w:val="mt-MT"/>
              </w:rPr>
              <w:t>Malta</w:t>
            </w:r>
          </w:p>
          <w:p w14:paraId="6C6B8FB7" w14:textId="77777777" w:rsidR="00845A64" w:rsidRPr="00BD646C" w:rsidRDefault="00000000" w:rsidP="001F79B0">
            <w:pPr>
              <w:rPr>
                <w:bCs/>
                <w:szCs w:val="22"/>
                <w:lang w:val="sk-SK"/>
              </w:rPr>
            </w:pPr>
            <w:r w:rsidRPr="00BD646C">
              <w:rPr>
                <w:bCs/>
                <w:szCs w:val="22"/>
                <w:lang w:val="sk-SK"/>
              </w:rPr>
              <w:t xml:space="preserve">V.J.Salomone Pharma Limited </w:t>
            </w:r>
          </w:p>
          <w:p w14:paraId="75754FCC" w14:textId="77777777" w:rsidR="00845A64" w:rsidRPr="00BD646C" w:rsidRDefault="00000000" w:rsidP="001F79B0">
            <w:pPr>
              <w:rPr>
                <w:bCs/>
                <w:szCs w:val="22"/>
                <w:lang w:val="sk-SK"/>
              </w:rPr>
            </w:pPr>
            <w:r w:rsidRPr="00BD646C">
              <w:rPr>
                <w:bCs/>
                <w:szCs w:val="22"/>
                <w:lang w:val="sk-SK"/>
              </w:rPr>
              <w:t xml:space="preserve">Tel: </w:t>
            </w:r>
            <w:r>
              <w:rPr>
                <w:bCs/>
                <w:szCs w:val="22"/>
              </w:rPr>
              <w:t>+356 21220174</w:t>
            </w:r>
          </w:p>
          <w:p w14:paraId="308329BD" w14:textId="77777777" w:rsidR="00845A64" w:rsidRPr="00BD646C" w:rsidRDefault="00845A64" w:rsidP="001F79B0">
            <w:pPr>
              <w:rPr>
                <w:bCs/>
                <w:szCs w:val="22"/>
                <w:lang w:val="sk-SK"/>
              </w:rPr>
            </w:pPr>
          </w:p>
        </w:tc>
      </w:tr>
      <w:tr w:rsidR="00534A2D" w14:paraId="7ED182DC" w14:textId="77777777" w:rsidTr="001F79B0">
        <w:tc>
          <w:tcPr>
            <w:tcW w:w="4644" w:type="dxa"/>
            <w:gridSpan w:val="2"/>
          </w:tcPr>
          <w:p w14:paraId="188CB0CC" w14:textId="77777777" w:rsidR="00845A64" w:rsidRPr="00BD646C" w:rsidRDefault="00000000" w:rsidP="001F79B0">
            <w:pPr>
              <w:rPr>
                <w:b/>
                <w:bCs/>
                <w:szCs w:val="22"/>
                <w:lang w:val="de-DE"/>
              </w:rPr>
            </w:pPr>
            <w:r w:rsidRPr="00BD646C">
              <w:rPr>
                <w:b/>
                <w:bCs/>
                <w:szCs w:val="22"/>
                <w:lang w:val="de-DE"/>
              </w:rPr>
              <w:t>Deutschland</w:t>
            </w:r>
          </w:p>
          <w:p w14:paraId="6867356F" w14:textId="77777777" w:rsidR="00845A64" w:rsidRPr="00BD646C" w:rsidRDefault="00000000" w:rsidP="001F79B0">
            <w:pPr>
              <w:rPr>
                <w:bCs/>
                <w:szCs w:val="22"/>
                <w:lang w:val="de-DE"/>
              </w:rPr>
            </w:pPr>
            <w:r w:rsidRPr="00BD646C">
              <w:rPr>
                <w:szCs w:val="22"/>
                <w:lang w:val="de-DE"/>
              </w:rPr>
              <w:t xml:space="preserve">AbbVie Deutschland </w:t>
            </w:r>
            <w:r w:rsidRPr="00BD646C">
              <w:rPr>
                <w:bCs/>
                <w:szCs w:val="22"/>
                <w:lang w:val="de-DE"/>
              </w:rPr>
              <w:t>GmbH &amp; Co. KG</w:t>
            </w:r>
          </w:p>
          <w:p w14:paraId="5A79CD6C" w14:textId="77777777" w:rsidR="00845A64" w:rsidRPr="00BD646C" w:rsidRDefault="00000000" w:rsidP="001F79B0">
            <w:pPr>
              <w:rPr>
                <w:szCs w:val="22"/>
                <w:lang w:val="de-DE"/>
              </w:rPr>
            </w:pPr>
            <w:r w:rsidRPr="00BD646C">
              <w:rPr>
                <w:szCs w:val="22"/>
                <w:lang w:val="de-DE"/>
              </w:rPr>
              <w:t>Tel: 00800 222843 33 (gebührenfrei)</w:t>
            </w:r>
          </w:p>
          <w:p w14:paraId="0DCA89DF" w14:textId="77777777" w:rsidR="00845A64" w:rsidRPr="00BD646C" w:rsidRDefault="00000000" w:rsidP="001F79B0">
            <w:pPr>
              <w:rPr>
                <w:szCs w:val="22"/>
                <w:lang w:val="de-DE"/>
              </w:rPr>
            </w:pPr>
            <w:r w:rsidRPr="00BD646C">
              <w:rPr>
                <w:szCs w:val="22"/>
                <w:lang w:val="de-DE"/>
              </w:rPr>
              <w:t>Tel: +49 (0) 611 / 1720-0</w:t>
            </w:r>
          </w:p>
          <w:p w14:paraId="2E17D720" w14:textId="77777777" w:rsidR="00845A64" w:rsidRPr="00BD646C" w:rsidRDefault="00845A64" w:rsidP="001F79B0">
            <w:pPr>
              <w:rPr>
                <w:szCs w:val="22"/>
                <w:lang w:val="de-DE"/>
              </w:rPr>
            </w:pPr>
          </w:p>
        </w:tc>
        <w:tc>
          <w:tcPr>
            <w:tcW w:w="4678" w:type="dxa"/>
            <w:gridSpan w:val="2"/>
          </w:tcPr>
          <w:p w14:paraId="63A4B96B" w14:textId="77777777" w:rsidR="00845A64" w:rsidRPr="00BD646C" w:rsidRDefault="00000000" w:rsidP="001F79B0">
            <w:pPr>
              <w:rPr>
                <w:b/>
                <w:bCs/>
                <w:szCs w:val="22"/>
                <w:lang w:val="nl-NL"/>
              </w:rPr>
            </w:pPr>
            <w:r w:rsidRPr="00BD646C">
              <w:rPr>
                <w:b/>
                <w:bCs/>
                <w:szCs w:val="22"/>
                <w:lang w:val="nl-NL"/>
              </w:rPr>
              <w:t>Nederland</w:t>
            </w:r>
          </w:p>
          <w:p w14:paraId="416A330F" w14:textId="77777777" w:rsidR="00845A64" w:rsidRPr="00BD646C" w:rsidRDefault="00000000" w:rsidP="001F79B0">
            <w:pPr>
              <w:rPr>
                <w:bCs/>
                <w:szCs w:val="22"/>
                <w:lang w:val="de-DE"/>
              </w:rPr>
            </w:pPr>
            <w:r w:rsidRPr="00BD646C">
              <w:rPr>
                <w:bCs/>
                <w:szCs w:val="22"/>
                <w:lang w:val="de-DE"/>
              </w:rPr>
              <w:t>AbbVie B.V.</w:t>
            </w:r>
          </w:p>
          <w:p w14:paraId="2235A396" w14:textId="77777777" w:rsidR="00845A64" w:rsidRPr="00BD646C" w:rsidRDefault="00000000" w:rsidP="001F79B0">
            <w:pPr>
              <w:rPr>
                <w:bCs/>
                <w:szCs w:val="22"/>
                <w:lang w:val="de-DE"/>
              </w:rPr>
            </w:pPr>
            <w:r w:rsidRPr="00BD646C">
              <w:rPr>
                <w:bCs/>
                <w:szCs w:val="22"/>
                <w:lang w:val="de-DE"/>
              </w:rPr>
              <w:t>Tel: +31 (0)88 322 2843</w:t>
            </w:r>
          </w:p>
        </w:tc>
      </w:tr>
      <w:tr w:rsidR="00534A2D" w14:paraId="73064DC0" w14:textId="77777777" w:rsidTr="001F79B0">
        <w:tc>
          <w:tcPr>
            <w:tcW w:w="4644" w:type="dxa"/>
            <w:gridSpan w:val="2"/>
          </w:tcPr>
          <w:p w14:paraId="46963C2A" w14:textId="77777777" w:rsidR="00845A64" w:rsidRPr="00BD646C" w:rsidRDefault="00000000" w:rsidP="001F79B0">
            <w:pPr>
              <w:rPr>
                <w:b/>
                <w:bCs/>
                <w:szCs w:val="22"/>
                <w:lang w:val="et-EE"/>
              </w:rPr>
            </w:pPr>
            <w:r w:rsidRPr="00BD646C">
              <w:rPr>
                <w:b/>
                <w:bCs/>
                <w:szCs w:val="22"/>
                <w:lang w:val="et-EE"/>
              </w:rPr>
              <w:t>Eesti</w:t>
            </w:r>
          </w:p>
          <w:p w14:paraId="0C8EF60C" w14:textId="77777777" w:rsidR="00845A64" w:rsidRPr="00BD646C" w:rsidRDefault="00000000" w:rsidP="001F79B0">
            <w:pPr>
              <w:rPr>
                <w:bCs/>
                <w:szCs w:val="22"/>
                <w:lang w:val="et-EE"/>
              </w:rPr>
            </w:pPr>
            <w:r w:rsidRPr="00BD646C">
              <w:rPr>
                <w:bCs/>
                <w:szCs w:val="22"/>
                <w:lang w:val="et-EE"/>
              </w:rPr>
              <w:t xml:space="preserve">AbbVie </w:t>
            </w:r>
            <w:r w:rsidRPr="00BD646C">
              <w:rPr>
                <w:bCs/>
                <w:szCs w:val="22"/>
                <w:lang w:val="sk-SK"/>
              </w:rPr>
              <w:t>OÜ</w:t>
            </w:r>
            <w:r w:rsidRPr="00BD646C">
              <w:rPr>
                <w:bCs/>
                <w:szCs w:val="22"/>
                <w:lang w:val="et-EE"/>
              </w:rPr>
              <w:t xml:space="preserve"> </w:t>
            </w:r>
          </w:p>
          <w:p w14:paraId="6381D537" w14:textId="77777777" w:rsidR="00845A64" w:rsidRPr="00BD646C" w:rsidRDefault="00000000" w:rsidP="001F79B0">
            <w:pPr>
              <w:rPr>
                <w:bCs/>
                <w:szCs w:val="22"/>
                <w:lang w:val="lv-LV"/>
              </w:rPr>
            </w:pPr>
            <w:r w:rsidRPr="00BD646C">
              <w:rPr>
                <w:bCs/>
                <w:szCs w:val="22"/>
                <w:lang w:val="et-EE"/>
              </w:rPr>
              <w:t>Tel: +372 623 1011</w:t>
            </w:r>
          </w:p>
        </w:tc>
        <w:tc>
          <w:tcPr>
            <w:tcW w:w="4678" w:type="dxa"/>
            <w:gridSpan w:val="2"/>
          </w:tcPr>
          <w:p w14:paraId="06DD9B4A" w14:textId="77777777" w:rsidR="00845A64" w:rsidRPr="00BD646C" w:rsidRDefault="00000000" w:rsidP="001F79B0">
            <w:pPr>
              <w:rPr>
                <w:b/>
                <w:bCs/>
                <w:szCs w:val="22"/>
                <w:lang w:val="nb-NO"/>
              </w:rPr>
            </w:pPr>
            <w:r w:rsidRPr="00BD646C">
              <w:rPr>
                <w:b/>
                <w:bCs/>
                <w:szCs w:val="22"/>
                <w:lang w:val="nb-NO"/>
              </w:rPr>
              <w:t>Norge</w:t>
            </w:r>
          </w:p>
          <w:p w14:paraId="7E9B2678" w14:textId="77777777" w:rsidR="00845A64" w:rsidRPr="00BD646C" w:rsidRDefault="00000000" w:rsidP="001F79B0">
            <w:pPr>
              <w:rPr>
                <w:bCs/>
                <w:szCs w:val="22"/>
                <w:lang w:val="sk-SK"/>
              </w:rPr>
            </w:pPr>
            <w:r w:rsidRPr="00BD646C">
              <w:rPr>
                <w:bCs/>
                <w:szCs w:val="22"/>
                <w:lang w:val="sk-SK"/>
              </w:rPr>
              <w:t>AbbVie AS</w:t>
            </w:r>
          </w:p>
          <w:p w14:paraId="211FB977" w14:textId="77777777" w:rsidR="00845A64" w:rsidRPr="00BD646C" w:rsidRDefault="00000000" w:rsidP="001F79B0">
            <w:pPr>
              <w:rPr>
                <w:bCs/>
                <w:szCs w:val="22"/>
                <w:lang w:val="sk-SK"/>
              </w:rPr>
            </w:pPr>
            <w:r w:rsidRPr="00BD646C">
              <w:rPr>
                <w:bCs/>
                <w:szCs w:val="22"/>
                <w:lang w:val="sk-SK"/>
              </w:rPr>
              <w:t>Tlf: +47 67 81 80 00</w:t>
            </w:r>
          </w:p>
          <w:p w14:paraId="591AC50C" w14:textId="77777777" w:rsidR="00845A64" w:rsidRPr="00BD646C" w:rsidRDefault="00845A64" w:rsidP="001F79B0">
            <w:pPr>
              <w:rPr>
                <w:bCs/>
                <w:szCs w:val="22"/>
                <w:lang w:val="sk-SK"/>
              </w:rPr>
            </w:pPr>
          </w:p>
        </w:tc>
      </w:tr>
      <w:tr w:rsidR="00534A2D" w14:paraId="019074CE" w14:textId="77777777" w:rsidTr="001F79B0">
        <w:trPr>
          <w:trHeight w:val="794"/>
        </w:trPr>
        <w:tc>
          <w:tcPr>
            <w:tcW w:w="4644" w:type="dxa"/>
            <w:gridSpan w:val="2"/>
          </w:tcPr>
          <w:p w14:paraId="53E1AA45" w14:textId="77777777" w:rsidR="00845A64" w:rsidRPr="00BD646C" w:rsidRDefault="00000000" w:rsidP="001F79B0">
            <w:pPr>
              <w:rPr>
                <w:b/>
                <w:bCs/>
                <w:szCs w:val="22"/>
                <w:lang w:val="el-GR"/>
              </w:rPr>
            </w:pPr>
            <w:r w:rsidRPr="00BD646C">
              <w:rPr>
                <w:b/>
                <w:bCs/>
                <w:szCs w:val="22"/>
                <w:lang w:val="el-GR"/>
              </w:rPr>
              <w:t>Ελλάδα</w:t>
            </w:r>
          </w:p>
          <w:p w14:paraId="134E0C16" w14:textId="77777777" w:rsidR="00845A64" w:rsidRPr="00BD646C" w:rsidRDefault="00000000" w:rsidP="001F79B0">
            <w:pPr>
              <w:rPr>
                <w:bCs/>
                <w:szCs w:val="22"/>
                <w:lang w:val="el-GR"/>
              </w:rPr>
            </w:pPr>
            <w:r w:rsidRPr="00BD646C">
              <w:rPr>
                <w:bCs/>
                <w:szCs w:val="22"/>
                <w:lang w:val="et-EE"/>
              </w:rPr>
              <w:t xml:space="preserve">AbbVie </w:t>
            </w:r>
            <w:r w:rsidRPr="00BD646C">
              <w:rPr>
                <w:szCs w:val="22"/>
                <w:lang w:val="el-GR"/>
              </w:rPr>
              <w:t>ΦΑΡΜΑΚΕΥΤΙΚΗ Α.Ε.</w:t>
            </w:r>
          </w:p>
          <w:p w14:paraId="34325480" w14:textId="77777777" w:rsidR="00845A64" w:rsidRPr="00BD646C" w:rsidRDefault="00000000" w:rsidP="001F79B0">
            <w:pPr>
              <w:rPr>
                <w:bCs/>
                <w:szCs w:val="22"/>
                <w:lang w:val="sk-SK"/>
              </w:rPr>
            </w:pPr>
            <w:r w:rsidRPr="00BD646C">
              <w:rPr>
                <w:bCs/>
                <w:szCs w:val="22"/>
                <w:lang w:val="el-GR"/>
              </w:rPr>
              <w:t xml:space="preserve">Τηλ: +30 </w:t>
            </w:r>
            <w:r w:rsidRPr="00BD646C">
              <w:rPr>
                <w:bCs/>
                <w:szCs w:val="22"/>
                <w:lang w:val="sk-SK"/>
              </w:rPr>
              <w:t>214 4165 555</w:t>
            </w:r>
          </w:p>
        </w:tc>
        <w:tc>
          <w:tcPr>
            <w:tcW w:w="4678" w:type="dxa"/>
            <w:gridSpan w:val="2"/>
          </w:tcPr>
          <w:p w14:paraId="09E0884C" w14:textId="77777777" w:rsidR="00845A64" w:rsidRPr="00BD646C" w:rsidRDefault="00000000" w:rsidP="001F79B0">
            <w:pPr>
              <w:rPr>
                <w:b/>
                <w:bCs/>
                <w:szCs w:val="22"/>
                <w:lang w:val="de-DE"/>
              </w:rPr>
            </w:pPr>
            <w:r w:rsidRPr="00BD646C">
              <w:rPr>
                <w:b/>
                <w:bCs/>
                <w:szCs w:val="22"/>
                <w:lang w:val="de-DE"/>
              </w:rPr>
              <w:t>Österreich</w:t>
            </w:r>
          </w:p>
          <w:p w14:paraId="05D97E44" w14:textId="77777777" w:rsidR="00845A64" w:rsidRPr="00BD646C" w:rsidRDefault="00000000" w:rsidP="001F79B0">
            <w:pPr>
              <w:rPr>
                <w:bCs/>
                <w:szCs w:val="22"/>
                <w:lang w:val="de-DE"/>
              </w:rPr>
            </w:pPr>
            <w:r w:rsidRPr="00BD646C">
              <w:rPr>
                <w:bCs/>
                <w:szCs w:val="22"/>
                <w:lang w:val="de-DE"/>
              </w:rPr>
              <w:t xml:space="preserve">AbbVie GmbH </w:t>
            </w:r>
          </w:p>
          <w:p w14:paraId="03CDA217" w14:textId="77777777" w:rsidR="00845A64" w:rsidRPr="00BD646C" w:rsidRDefault="00000000" w:rsidP="001F79B0">
            <w:pPr>
              <w:rPr>
                <w:bCs/>
                <w:szCs w:val="22"/>
                <w:lang w:val="de-DE"/>
              </w:rPr>
            </w:pPr>
            <w:r w:rsidRPr="00BD646C">
              <w:rPr>
                <w:bCs/>
                <w:szCs w:val="22"/>
                <w:lang w:val="de-DE"/>
              </w:rPr>
              <w:t>Tel: +43 1 20589-0</w:t>
            </w:r>
          </w:p>
          <w:p w14:paraId="02D0065B" w14:textId="77777777" w:rsidR="00845A64" w:rsidRPr="00BD646C" w:rsidRDefault="00845A64" w:rsidP="001F79B0">
            <w:pPr>
              <w:rPr>
                <w:bCs/>
                <w:szCs w:val="22"/>
                <w:lang w:val="de-DE"/>
              </w:rPr>
            </w:pPr>
          </w:p>
        </w:tc>
      </w:tr>
      <w:tr w:rsidR="00534A2D" w14:paraId="12528941" w14:textId="77777777" w:rsidTr="001F79B0">
        <w:trPr>
          <w:gridBefore w:val="1"/>
          <w:wBefore w:w="34" w:type="dxa"/>
        </w:trPr>
        <w:tc>
          <w:tcPr>
            <w:tcW w:w="4644" w:type="dxa"/>
            <w:gridSpan w:val="2"/>
          </w:tcPr>
          <w:p w14:paraId="1DDDA89B" w14:textId="77777777" w:rsidR="00845A64" w:rsidRPr="00BD646C" w:rsidRDefault="00000000" w:rsidP="001F79B0">
            <w:pPr>
              <w:rPr>
                <w:b/>
                <w:bCs/>
                <w:szCs w:val="22"/>
                <w:lang w:val="es-ES"/>
              </w:rPr>
            </w:pPr>
            <w:r w:rsidRPr="00BD646C">
              <w:rPr>
                <w:b/>
                <w:bCs/>
                <w:szCs w:val="22"/>
                <w:lang w:val="es-ES"/>
              </w:rPr>
              <w:t>España</w:t>
            </w:r>
          </w:p>
          <w:p w14:paraId="5B99FB66" w14:textId="77777777" w:rsidR="00845A64" w:rsidRPr="00BD646C" w:rsidRDefault="00000000" w:rsidP="001F79B0">
            <w:pPr>
              <w:rPr>
                <w:szCs w:val="22"/>
                <w:lang w:val="es-ES"/>
              </w:rPr>
            </w:pPr>
            <w:r w:rsidRPr="00BD646C">
              <w:rPr>
                <w:szCs w:val="22"/>
                <w:lang w:val="es-ES"/>
              </w:rPr>
              <w:t xml:space="preserve">AbbVie </w:t>
            </w:r>
            <w:r w:rsidRPr="00BD646C">
              <w:rPr>
                <w:bCs/>
                <w:szCs w:val="22"/>
                <w:lang w:val="es-ES"/>
              </w:rPr>
              <w:t>Spain</w:t>
            </w:r>
            <w:r w:rsidRPr="00BD646C">
              <w:rPr>
                <w:szCs w:val="22"/>
                <w:lang w:val="es-ES"/>
              </w:rPr>
              <w:t>, S.L.U</w:t>
            </w:r>
            <w:r w:rsidRPr="00BD646C">
              <w:rPr>
                <w:bCs/>
                <w:szCs w:val="22"/>
                <w:lang w:val="es-ES"/>
              </w:rPr>
              <w:t>.</w:t>
            </w:r>
          </w:p>
          <w:p w14:paraId="3D4E4E7C" w14:textId="77777777" w:rsidR="00845A64" w:rsidRPr="00BD646C" w:rsidRDefault="00000000" w:rsidP="001F79B0">
            <w:pPr>
              <w:rPr>
                <w:bCs/>
                <w:szCs w:val="22"/>
                <w:lang w:val="pl-PL"/>
              </w:rPr>
            </w:pPr>
            <w:r w:rsidRPr="00BD646C">
              <w:rPr>
                <w:bCs/>
                <w:szCs w:val="22"/>
                <w:lang w:val="pt-PT"/>
              </w:rPr>
              <w:t>Tel: +34 91 384 09 10</w:t>
            </w:r>
          </w:p>
        </w:tc>
        <w:tc>
          <w:tcPr>
            <w:tcW w:w="4678" w:type="dxa"/>
          </w:tcPr>
          <w:p w14:paraId="0025C5B7" w14:textId="77777777" w:rsidR="00845A64" w:rsidRPr="00BD646C" w:rsidRDefault="00000000" w:rsidP="001F79B0">
            <w:pPr>
              <w:rPr>
                <w:b/>
                <w:bCs/>
                <w:iCs/>
                <w:szCs w:val="22"/>
                <w:lang w:val="pl-PL"/>
              </w:rPr>
            </w:pPr>
            <w:r w:rsidRPr="00BD646C">
              <w:rPr>
                <w:b/>
                <w:bCs/>
                <w:iCs/>
                <w:szCs w:val="22"/>
                <w:lang w:val="pl-PL"/>
              </w:rPr>
              <w:t>Polska</w:t>
            </w:r>
          </w:p>
          <w:p w14:paraId="441EA8B7" w14:textId="77777777" w:rsidR="00845A64" w:rsidRPr="00BD646C" w:rsidRDefault="00000000" w:rsidP="001F79B0">
            <w:pPr>
              <w:rPr>
                <w:bCs/>
                <w:szCs w:val="22"/>
                <w:lang w:val="pl-PL"/>
              </w:rPr>
            </w:pPr>
            <w:r w:rsidRPr="00BD646C">
              <w:rPr>
                <w:bCs/>
                <w:szCs w:val="22"/>
                <w:lang w:val="pl-PL"/>
              </w:rPr>
              <w:t>AbbVie Sp. z o.o.</w:t>
            </w:r>
          </w:p>
          <w:p w14:paraId="673B46E7" w14:textId="77777777" w:rsidR="00845A64" w:rsidRPr="00BD646C" w:rsidRDefault="00000000" w:rsidP="001F79B0">
            <w:pPr>
              <w:rPr>
                <w:bCs/>
                <w:szCs w:val="22"/>
                <w:lang w:val="pl-PL"/>
              </w:rPr>
            </w:pPr>
            <w:r w:rsidRPr="00BD646C">
              <w:rPr>
                <w:szCs w:val="22"/>
                <w:lang w:val="es-ES"/>
              </w:rPr>
              <w:t xml:space="preserve">Tel.: +48 22 </w:t>
            </w:r>
            <w:r w:rsidRPr="00BD646C">
              <w:rPr>
                <w:bCs/>
                <w:szCs w:val="22"/>
                <w:lang w:val="pl-PL"/>
              </w:rPr>
              <w:t xml:space="preserve">372 78 00 </w:t>
            </w:r>
          </w:p>
          <w:p w14:paraId="681BECA6" w14:textId="77777777" w:rsidR="00845A64" w:rsidRPr="00BD646C" w:rsidRDefault="00845A64" w:rsidP="001F79B0">
            <w:pPr>
              <w:rPr>
                <w:bCs/>
                <w:szCs w:val="22"/>
                <w:lang w:val="pl-PL"/>
              </w:rPr>
            </w:pPr>
          </w:p>
        </w:tc>
      </w:tr>
      <w:tr w:rsidR="00534A2D" w14:paraId="59FC3037" w14:textId="77777777" w:rsidTr="001F79B0">
        <w:trPr>
          <w:trHeight w:val="734"/>
        </w:trPr>
        <w:tc>
          <w:tcPr>
            <w:tcW w:w="4678" w:type="dxa"/>
            <w:gridSpan w:val="3"/>
          </w:tcPr>
          <w:p w14:paraId="03683A24" w14:textId="77777777" w:rsidR="00845A64" w:rsidRPr="00BD646C" w:rsidRDefault="00000000" w:rsidP="001F79B0">
            <w:pPr>
              <w:rPr>
                <w:b/>
                <w:bCs/>
                <w:szCs w:val="22"/>
                <w:lang w:val="fr-FR"/>
              </w:rPr>
            </w:pPr>
            <w:r w:rsidRPr="00BD646C">
              <w:rPr>
                <w:b/>
                <w:bCs/>
                <w:szCs w:val="22"/>
                <w:lang w:val="fr-FR"/>
              </w:rPr>
              <w:t>France</w:t>
            </w:r>
          </w:p>
          <w:p w14:paraId="508B1B0B" w14:textId="77777777" w:rsidR="00845A64" w:rsidRPr="00BD646C" w:rsidRDefault="00000000" w:rsidP="001F79B0">
            <w:pPr>
              <w:rPr>
                <w:bCs/>
                <w:szCs w:val="22"/>
                <w:lang w:val="fr-FR"/>
              </w:rPr>
            </w:pPr>
            <w:r w:rsidRPr="00BD646C">
              <w:rPr>
                <w:bCs/>
                <w:szCs w:val="22"/>
                <w:lang w:val="fr-FR"/>
              </w:rPr>
              <w:t>AbbVie</w:t>
            </w:r>
          </w:p>
          <w:p w14:paraId="03995608" w14:textId="77777777" w:rsidR="00845A64" w:rsidRPr="00BD646C" w:rsidRDefault="00000000" w:rsidP="001F79B0">
            <w:pPr>
              <w:rPr>
                <w:bCs/>
                <w:szCs w:val="22"/>
                <w:lang w:val="fr-FR"/>
              </w:rPr>
            </w:pPr>
            <w:r w:rsidRPr="00BD646C">
              <w:rPr>
                <w:bCs/>
                <w:szCs w:val="22"/>
                <w:lang w:val="fr-FR"/>
              </w:rPr>
              <w:t>Tél: +33 (0) 1 45 60 13 00</w:t>
            </w:r>
          </w:p>
        </w:tc>
        <w:tc>
          <w:tcPr>
            <w:tcW w:w="4678" w:type="dxa"/>
          </w:tcPr>
          <w:p w14:paraId="2C862D00" w14:textId="77777777" w:rsidR="00845A64" w:rsidRPr="00BD646C" w:rsidRDefault="00000000" w:rsidP="001F79B0">
            <w:pPr>
              <w:rPr>
                <w:b/>
                <w:bCs/>
                <w:szCs w:val="22"/>
                <w:lang w:val="pt-PT"/>
              </w:rPr>
            </w:pPr>
            <w:r w:rsidRPr="00BD646C">
              <w:rPr>
                <w:b/>
                <w:bCs/>
                <w:szCs w:val="22"/>
                <w:lang w:val="pt-PT"/>
              </w:rPr>
              <w:t>Portugal</w:t>
            </w:r>
          </w:p>
          <w:p w14:paraId="32792667" w14:textId="77777777" w:rsidR="00845A64" w:rsidRPr="00BD646C" w:rsidRDefault="00000000" w:rsidP="001F79B0">
            <w:pPr>
              <w:rPr>
                <w:bCs/>
                <w:szCs w:val="22"/>
                <w:lang w:val="fr-FR"/>
              </w:rPr>
            </w:pPr>
            <w:r w:rsidRPr="00BD646C">
              <w:rPr>
                <w:bCs/>
                <w:szCs w:val="22"/>
                <w:lang w:val="fr-FR"/>
              </w:rPr>
              <w:t xml:space="preserve">AbbVie, Lda. </w:t>
            </w:r>
          </w:p>
          <w:p w14:paraId="6CC3093E" w14:textId="77777777" w:rsidR="00845A64" w:rsidRPr="00BD646C" w:rsidRDefault="00000000" w:rsidP="001F79B0">
            <w:pPr>
              <w:rPr>
                <w:szCs w:val="22"/>
                <w:lang w:val="fr-FR"/>
              </w:rPr>
            </w:pPr>
            <w:r w:rsidRPr="00BD646C">
              <w:rPr>
                <w:szCs w:val="22"/>
                <w:lang w:val="fr-FR"/>
              </w:rPr>
              <w:t>Tel: +351 (0)21 1908400</w:t>
            </w:r>
          </w:p>
          <w:p w14:paraId="114688D6" w14:textId="77777777" w:rsidR="00845A64" w:rsidRPr="00BD646C" w:rsidRDefault="00845A64" w:rsidP="001F79B0">
            <w:pPr>
              <w:rPr>
                <w:szCs w:val="22"/>
                <w:lang w:val="fr-FR"/>
              </w:rPr>
            </w:pPr>
          </w:p>
        </w:tc>
      </w:tr>
      <w:tr w:rsidR="00534A2D" w14:paraId="1AC65C8F" w14:textId="77777777" w:rsidTr="001F79B0">
        <w:trPr>
          <w:gridBefore w:val="1"/>
          <w:wBefore w:w="34" w:type="dxa"/>
        </w:trPr>
        <w:tc>
          <w:tcPr>
            <w:tcW w:w="4644" w:type="dxa"/>
            <w:gridSpan w:val="2"/>
          </w:tcPr>
          <w:p w14:paraId="3AD289D8" w14:textId="77777777" w:rsidR="00845A64" w:rsidRPr="005B1CF3" w:rsidRDefault="00000000" w:rsidP="001F79B0">
            <w:pPr>
              <w:rPr>
                <w:szCs w:val="22"/>
                <w:rPrChange w:id="13846" w:author="Abbvie02" w:date="2025-05-16T11:17:00Z">
                  <w:rPr>
                    <w:szCs w:val="22"/>
                    <w:lang w:val="en-GB"/>
                  </w:rPr>
                </w:rPrChange>
              </w:rPr>
            </w:pPr>
            <w:r w:rsidRPr="005B1CF3">
              <w:rPr>
                <w:b/>
                <w:bCs/>
                <w:szCs w:val="22"/>
                <w:rPrChange w:id="13847" w:author="Abbvie02" w:date="2025-05-16T11:17:00Z">
                  <w:rPr>
                    <w:b/>
                    <w:bCs/>
                    <w:szCs w:val="22"/>
                    <w:lang w:val="en-GB"/>
                  </w:rPr>
                </w:rPrChange>
              </w:rPr>
              <w:t xml:space="preserve">Hrvatska </w:t>
            </w:r>
          </w:p>
          <w:p w14:paraId="39FEF178" w14:textId="77777777" w:rsidR="00845A64" w:rsidRPr="00BD646C" w:rsidRDefault="00000000" w:rsidP="001F79B0">
            <w:pPr>
              <w:rPr>
                <w:szCs w:val="22"/>
                <w:lang w:val="hr-HR"/>
              </w:rPr>
            </w:pPr>
            <w:r w:rsidRPr="00BD646C">
              <w:rPr>
                <w:szCs w:val="22"/>
                <w:lang w:val="hr-HR"/>
              </w:rPr>
              <w:t>AbbVie d.o.o.</w:t>
            </w:r>
          </w:p>
          <w:p w14:paraId="048265CF" w14:textId="77777777" w:rsidR="00845A64" w:rsidRPr="00BD646C" w:rsidRDefault="00000000" w:rsidP="001F79B0">
            <w:pPr>
              <w:rPr>
                <w:bCs/>
                <w:szCs w:val="22"/>
                <w:lang w:val="it-IT"/>
              </w:rPr>
            </w:pPr>
            <w:r w:rsidRPr="00BD646C">
              <w:rPr>
                <w:szCs w:val="22"/>
                <w:lang w:val="hr-HR"/>
              </w:rPr>
              <w:t xml:space="preserve">Tel + 385 (0)1 </w:t>
            </w:r>
            <w:r w:rsidRPr="00BD646C">
              <w:rPr>
                <w:szCs w:val="22"/>
                <w:lang w:val="en-US"/>
              </w:rPr>
              <w:t>5625 501</w:t>
            </w:r>
          </w:p>
        </w:tc>
        <w:tc>
          <w:tcPr>
            <w:tcW w:w="4678" w:type="dxa"/>
          </w:tcPr>
          <w:p w14:paraId="1988682E" w14:textId="77777777" w:rsidR="00845A64" w:rsidRPr="00BD646C" w:rsidRDefault="00000000" w:rsidP="001F79B0">
            <w:pPr>
              <w:rPr>
                <w:b/>
                <w:bCs/>
                <w:szCs w:val="22"/>
                <w:lang w:val="it-IT"/>
              </w:rPr>
            </w:pPr>
            <w:r w:rsidRPr="00BD646C">
              <w:rPr>
                <w:b/>
                <w:bCs/>
                <w:szCs w:val="22"/>
                <w:lang w:val="it-IT"/>
              </w:rPr>
              <w:t>România</w:t>
            </w:r>
          </w:p>
          <w:p w14:paraId="2111661C" w14:textId="77777777" w:rsidR="00845A64" w:rsidRPr="00BD646C" w:rsidRDefault="00000000" w:rsidP="001F79B0">
            <w:pPr>
              <w:rPr>
                <w:szCs w:val="22"/>
                <w:lang w:val="it-IT"/>
              </w:rPr>
            </w:pPr>
            <w:r w:rsidRPr="00BD646C">
              <w:rPr>
                <w:szCs w:val="22"/>
                <w:lang w:val="it-IT"/>
              </w:rPr>
              <w:t>AbbVie S.R.L.</w:t>
            </w:r>
          </w:p>
          <w:p w14:paraId="3386F8E5" w14:textId="77777777" w:rsidR="00845A64" w:rsidRPr="00BD646C" w:rsidRDefault="00000000" w:rsidP="001F79B0">
            <w:pPr>
              <w:rPr>
                <w:szCs w:val="22"/>
                <w:lang w:val="pl-PL"/>
              </w:rPr>
            </w:pPr>
            <w:r w:rsidRPr="00BD646C">
              <w:rPr>
                <w:szCs w:val="22"/>
                <w:lang w:val="pl-PL"/>
              </w:rPr>
              <w:t>Tel: +40 21 529 30 35</w:t>
            </w:r>
          </w:p>
          <w:p w14:paraId="5C072FEC" w14:textId="77777777" w:rsidR="00845A64" w:rsidRPr="00BD646C" w:rsidRDefault="00845A64" w:rsidP="001F79B0">
            <w:pPr>
              <w:rPr>
                <w:szCs w:val="22"/>
                <w:lang w:val="pl-PL"/>
              </w:rPr>
            </w:pPr>
          </w:p>
        </w:tc>
      </w:tr>
      <w:tr w:rsidR="00534A2D" w14:paraId="24DE225B" w14:textId="77777777" w:rsidTr="001F79B0">
        <w:trPr>
          <w:gridBefore w:val="1"/>
          <w:wBefore w:w="34" w:type="dxa"/>
        </w:trPr>
        <w:tc>
          <w:tcPr>
            <w:tcW w:w="4644" w:type="dxa"/>
            <w:gridSpan w:val="2"/>
          </w:tcPr>
          <w:p w14:paraId="46D99C09" w14:textId="77777777" w:rsidR="00845A64" w:rsidRPr="00BD646C" w:rsidRDefault="00000000" w:rsidP="001F79B0">
            <w:pPr>
              <w:rPr>
                <w:b/>
                <w:bCs/>
                <w:szCs w:val="22"/>
                <w:lang w:val="sk-SK"/>
              </w:rPr>
            </w:pPr>
            <w:r w:rsidRPr="00BD646C">
              <w:rPr>
                <w:b/>
                <w:bCs/>
                <w:szCs w:val="22"/>
                <w:lang w:val="sk-SK"/>
              </w:rPr>
              <w:t>Ireland</w:t>
            </w:r>
          </w:p>
          <w:p w14:paraId="2543E70E" w14:textId="77777777" w:rsidR="00845A64" w:rsidRPr="00BD646C" w:rsidRDefault="00000000" w:rsidP="001F79B0">
            <w:pPr>
              <w:rPr>
                <w:bCs/>
                <w:szCs w:val="22"/>
                <w:lang w:val="sk-SK"/>
              </w:rPr>
            </w:pPr>
            <w:r w:rsidRPr="00BD646C">
              <w:rPr>
                <w:bCs/>
                <w:szCs w:val="22"/>
                <w:lang w:val="sk-SK"/>
              </w:rPr>
              <w:t xml:space="preserve">AbbVie Limited </w:t>
            </w:r>
          </w:p>
          <w:p w14:paraId="3903B923" w14:textId="77777777" w:rsidR="00845A64" w:rsidRPr="00BD646C" w:rsidRDefault="00000000" w:rsidP="001F79B0">
            <w:pPr>
              <w:rPr>
                <w:bCs/>
                <w:szCs w:val="22"/>
                <w:lang w:val="sk-SK"/>
              </w:rPr>
            </w:pPr>
            <w:r w:rsidRPr="00BD646C">
              <w:rPr>
                <w:bCs/>
                <w:szCs w:val="22"/>
                <w:lang w:val="pt-PT"/>
              </w:rPr>
              <w:t>Tel: +353 (0)1 42879</w:t>
            </w:r>
            <w:r w:rsidR="00C57483">
              <w:rPr>
                <w:bCs/>
                <w:szCs w:val="22"/>
                <w:lang w:val="pt-PT"/>
              </w:rPr>
              <w:t>0</w:t>
            </w:r>
            <w:r w:rsidRPr="00BD646C">
              <w:rPr>
                <w:bCs/>
                <w:szCs w:val="22"/>
                <w:lang w:val="pt-PT"/>
              </w:rPr>
              <w:t>0</w:t>
            </w:r>
          </w:p>
        </w:tc>
        <w:tc>
          <w:tcPr>
            <w:tcW w:w="4678" w:type="dxa"/>
          </w:tcPr>
          <w:p w14:paraId="5EE23E44" w14:textId="77777777" w:rsidR="00845A64" w:rsidRPr="00BD646C" w:rsidRDefault="00000000" w:rsidP="001F79B0">
            <w:pPr>
              <w:rPr>
                <w:b/>
                <w:bCs/>
                <w:szCs w:val="22"/>
                <w:lang w:val="sl-SI"/>
              </w:rPr>
            </w:pPr>
            <w:r w:rsidRPr="00BD646C">
              <w:rPr>
                <w:b/>
                <w:bCs/>
                <w:szCs w:val="22"/>
                <w:lang w:val="sl-SI"/>
              </w:rPr>
              <w:t>Slovenija</w:t>
            </w:r>
          </w:p>
          <w:p w14:paraId="287BACA4" w14:textId="77777777" w:rsidR="00845A64" w:rsidRPr="00BD646C" w:rsidRDefault="00000000" w:rsidP="001F79B0">
            <w:pPr>
              <w:rPr>
                <w:bCs/>
                <w:szCs w:val="22"/>
                <w:lang w:val="sl-SI"/>
              </w:rPr>
            </w:pPr>
            <w:r w:rsidRPr="00BD646C">
              <w:rPr>
                <w:bCs/>
                <w:szCs w:val="22"/>
                <w:lang w:val="sl-SI"/>
              </w:rPr>
              <w:t xml:space="preserve">AbbVie </w:t>
            </w:r>
            <w:r w:rsidRPr="00BD646C">
              <w:rPr>
                <w:szCs w:val="22"/>
                <w:lang w:val="sl-SI"/>
              </w:rPr>
              <w:t>Biofarmacevtska družba d.o.o.</w:t>
            </w:r>
          </w:p>
          <w:p w14:paraId="2B9AE5AC" w14:textId="77777777" w:rsidR="00845A64" w:rsidRPr="00BD646C" w:rsidRDefault="00000000" w:rsidP="001F79B0">
            <w:pPr>
              <w:rPr>
                <w:bCs/>
                <w:szCs w:val="22"/>
                <w:lang w:val="sl-SI"/>
              </w:rPr>
            </w:pPr>
            <w:r w:rsidRPr="00BD646C">
              <w:rPr>
                <w:bCs/>
                <w:szCs w:val="22"/>
                <w:lang w:val="sl-SI"/>
              </w:rPr>
              <w:t>Tel: +386 (1)32 08 060</w:t>
            </w:r>
          </w:p>
          <w:p w14:paraId="7069C602" w14:textId="77777777" w:rsidR="00845A64" w:rsidRPr="00BD646C" w:rsidRDefault="00845A64" w:rsidP="001F79B0">
            <w:pPr>
              <w:rPr>
                <w:bCs/>
                <w:szCs w:val="22"/>
                <w:lang w:val="sl-SI"/>
              </w:rPr>
            </w:pPr>
          </w:p>
        </w:tc>
      </w:tr>
      <w:tr w:rsidR="00534A2D" w14:paraId="131A6928" w14:textId="77777777" w:rsidTr="001F79B0">
        <w:trPr>
          <w:gridBefore w:val="1"/>
          <w:wBefore w:w="34" w:type="dxa"/>
        </w:trPr>
        <w:tc>
          <w:tcPr>
            <w:tcW w:w="4644" w:type="dxa"/>
            <w:gridSpan w:val="2"/>
          </w:tcPr>
          <w:p w14:paraId="78D8B8A0" w14:textId="77777777" w:rsidR="00845A64" w:rsidRPr="00BD646C" w:rsidRDefault="00000000" w:rsidP="001F79B0">
            <w:pPr>
              <w:rPr>
                <w:b/>
                <w:bCs/>
                <w:szCs w:val="22"/>
                <w:lang w:val="is-IS"/>
              </w:rPr>
            </w:pPr>
            <w:r w:rsidRPr="00BD646C">
              <w:rPr>
                <w:b/>
                <w:bCs/>
                <w:szCs w:val="22"/>
                <w:lang w:val="is-IS"/>
              </w:rPr>
              <w:t>Ísland</w:t>
            </w:r>
          </w:p>
          <w:p w14:paraId="2D2FBB7A" w14:textId="77777777" w:rsidR="00845A64" w:rsidRPr="00BD646C" w:rsidRDefault="00000000" w:rsidP="001F79B0">
            <w:pPr>
              <w:rPr>
                <w:bCs/>
                <w:szCs w:val="22"/>
                <w:lang w:val="sk-SK"/>
              </w:rPr>
            </w:pPr>
            <w:r w:rsidRPr="00BD646C">
              <w:rPr>
                <w:bCs/>
                <w:szCs w:val="22"/>
                <w:lang w:val="sk-SK"/>
              </w:rPr>
              <w:t>Vistor</w:t>
            </w:r>
            <w:del w:id="13848" w:author="AbbVie1" w:date="2025-05-13T10:17:00Z">
              <w:r w:rsidRPr="00BD646C">
                <w:rPr>
                  <w:bCs/>
                  <w:szCs w:val="22"/>
                  <w:lang w:val="sk-SK"/>
                </w:rPr>
                <w:delText xml:space="preserve"> hf.</w:delText>
              </w:r>
            </w:del>
          </w:p>
          <w:p w14:paraId="1B37F9C9" w14:textId="77777777" w:rsidR="00845A64" w:rsidRPr="00BD646C" w:rsidRDefault="00000000" w:rsidP="001F79B0">
            <w:pPr>
              <w:rPr>
                <w:bCs/>
                <w:szCs w:val="22"/>
                <w:lang w:val="sk-SK"/>
              </w:rPr>
            </w:pPr>
            <w:r w:rsidRPr="00BD646C">
              <w:rPr>
                <w:bCs/>
                <w:szCs w:val="22"/>
                <w:lang w:val="sk-SK"/>
              </w:rPr>
              <w:t>Tel: +354 535 7000</w:t>
            </w:r>
          </w:p>
        </w:tc>
        <w:tc>
          <w:tcPr>
            <w:tcW w:w="4678" w:type="dxa"/>
          </w:tcPr>
          <w:p w14:paraId="4D764BEA" w14:textId="77777777" w:rsidR="00845A64" w:rsidRPr="00BD646C" w:rsidRDefault="00000000" w:rsidP="001F79B0">
            <w:pPr>
              <w:rPr>
                <w:b/>
                <w:bCs/>
                <w:szCs w:val="22"/>
                <w:lang w:val="sk-SK"/>
              </w:rPr>
            </w:pPr>
            <w:r w:rsidRPr="00BD646C">
              <w:rPr>
                <w:b/>
                <w:bCs/>
                <w:szCs w:val="22"/>
                <w:lang w:val="sk-SK"/>
              </w:rPr>
              <w:t>Slovenská republika</w:t>
            </w:r>
          </w:p>
          <w:p w14:paraId="4E4B3D2E" w14:textId="77777777" w:rsidR="00845A64" w:rsidRPr="00BD646C" w:rsidRDefault="00000000" w:rsidP="001F79B0">
            <w:pPr>
              <w:rPr>
                <w:bCs/>
                <w:szCs w:val="22"/>
                <w:lang w:val="sk-SK"/>
              </w:rPr>
            </w:pPr>
            <w:r w:rsidRPr="00BD646C">
              <w:rPr>
                <w:bCs/>
                <w:szCs w:val="22"/>
                <w:lang w:val="sk-SK"/>
              </w:rPr>
              <w:t>AbbVie s.r.o.</w:t>
            </w:r>
          </w:p>
          <w:p w14:paraId="3776DA23" w14:textId="77777777" w:rsidR="00845A64" w:rsidRPr="00BD646C" w:rsidRDefault="00000000" w:rsidP="001F79B0">
            <w:pPr>
              <w:rPr>
                <w:bCs/>
                <w:szCs w:val="22"/>
                <w:lang w:val="sk-SK"/>
              </w:rPr>
            </w:pPr>
            <w:r w:rsidRPr="00BD646C">
              <w:rPr>
                <w:bCs/>
                <w:szCs w:val="22"/>
                <w:lang w:val="sk-SK"/>
              </w:rPr>
              <w:t>Tel: +421 2 5050 0777</w:t>
            </w:r>
          </w:p>
          <w:p w14:paraId="659B550B" w14:textId="77777777" w:rsidR="00845A64" w:rsidRPr="00BD646C" w:rsidRDefault="00845A64" w:rsidP="001F79B0">
            <w:pPr>
              <w:rPr>
                <w:bCs/>
                <w:szCs w:val="22"/>
                <w:lang w:val="sk-SK"/>
              </w:rPr>
            </w:pPr>
          </w:p>
        </w:tc>
      </w:tr>
      <w:tr w:rsidR="00534A2D" w14:paraId="5803DE91" w14:textId="77777777" w:rsidTr="001F79B0">
        <w:trPr>
          <w:gridBefore w:val="1"/>
          <w:wBefore w:w="34" w:type="dxa"/>
        </w:trPr>
        <w:tc>
          <w:tcPr>
            <w:tcW w:w="4644" w:type="dxa"/>
            <w:gridSpan w:val="2"/>
          </w:tcPr>
          <w:p w14:paraId="7740D50E" w14:textId="77777777" w:rsidR="00845A64" w:rsidRPr="00BD646C" w:rsidRDefault="00000000" w:rsidP="001F79B0">
            <w:pPr>
              <w:rPr>
                <w:b/>
                <w:bCs/>
                <w:szCs w:val="22"/>
                <w:lang w:val="it-IT"/>
              </w:rPr>
            </w:pPr>
            <w:r w:rsidRPr="00BD646C">
              <w:rPr>
                <w:b/>
                <w:bCs/>
                <w:szCs w:val="22"/>
                <w:lang w:val="it-IT"/>
              </w:rPr>
              <w:t>Italia</w:t>
            </w:r>
          </w:p>
          <w:p w14:paraId="0D3A7CC4" w14:textId="77777777" w:rsidR="00845A64" w:rsidRPr="00BD646C" w:rsidRDefault="00000000" w:rsidP="001F79B0">
            <w:pPr>
              <w:rPr>
                <w:bCs/>
                <w:szCs w:val="22"/>
                <w:lang w:val="pt-PT"/>
              </w:rPr>
            </w:pPr>
            <w:r w:rsidRPr="00BD646C">
              <w:rPr>
                <w:bCs/>
                <w:szCs w:val="22"/>
                <w:lang w:val="pt-PT"/>
              </w:rPr>
              <w:t xml:space="preserve">AbbVie S.r.l. </w:t>
            </w:r>
          </w:p>
          <w:p w14:paraId="17D1164A" w14:textId="77777777" w:rsidR="00845A64" w:rsidRPr="00BD646C" w:rsidRDefault="00000000" w:rsidP="001F79B0">
            <w:pPr>
              <w:rPr>
                <w:bCs/>
                <w:szCs w:val="22"/>
                <w:lang w:val="fi-FI"/>
              </w:rPr>
            </w:pPr>
            <w:r w:rsidRPr="00BD646C">
              <w:rPr>
                <w:bCs/>
                <w:szCs w:val="22"/>
                <w:lang w:val="fr-FR"/>
              </w:rPr>
              <w:t>Tel: +39 06 928921</w:t>
            </w:r>
          </w:p>
        </w:tc>
        <w:tc>
          <w:tcPr>
            <w:tcW w:w="4678" w:type="dxa"/>
          </w:tcPr>
          <w:p w14:paraId="4B50D95E" w14:textId="77777777" w:rsidR="00845A64" w:rsidRPr="00BD646C" w:rsidRDefault="00000000" w:rsidP="001F79B0">
            <w:pPr>
              <w:rPr>
                <w:b/>
                <w:bCs/>
                <w:szCs w:val="22"/>
                <w:lang w:val="fi-FI"/>
              </w:rPr>
            </w:pPr>
            <w:r w:rsidRPr="00BD646C">
              <w:rPr>
                <w:b/>
                <w:bCs/>
                <w:szCs w:val="22"/>
                <w:lang w:val="fi-FI"/>
              </w:rPr>
              <w:t>Suomi/Finland</w:t>
            </w:r>
          </w:p>
          <w:p w14:paraId="77AFC5BC" w14:textId="77777777" w:rsidR="00845A64" w:rsidRPr="00BD646C" w:rsidRDefault="00000000" w:rsidP="001F79B0">
            <w:pPr>
              <w:rPr>
                <w:bCs/>
                <w:szCs w:val="22"/>
                <w:lang w:val="de-CH"/>
              </w:rPr>
            </w:pPr>
            <w:r w:rsidRPr="00BD646C">
              <w:rPr>
                <w:bCs/>
                <w:szCs w:val="22"/>
                <w:lang w:val="sk-SK"/>
              </w:rPr>
              <w:t>AbbVie Oy</w:t>
            </w:r>
          </w:p>
          <w:p w14:paraId="2D41AE4A" w14:textId="77777777" w:rsidR="00845A64" w:rsidRPr="00BD646C" w:rsidRDefault="00000000" w:rsidP="001F79B0">
            <w:pPr>
              <w:rPr>
                <w:bCs/>
                <w:szCs w:val="22"/>
                <w:lang w:val="sk-SK"/>
              </w:rPr>
            </w:pPr>
            <w:r w:rsidRPr="00BD646C">
              <w:rPr>
                <w:bCs/>
                <w:szCs w:val="22"/>
                <w:lang w:val="sk-SK"/>
              </w:rPr>
              <w:t>Puh/Tel: +358 (0)10 2411 200</w:t>
            </w:r>
          </w:p>
          <w:p w14:paraId="4BC8236D" w14:textId="77777777" w:rsidR="00845A64" w:rsidRPr="00BD646C" w:rsidRDefault="00845A64" w:rsidP="001F79B0">
            <w:pPr>
              <w:rPr>
                <w:szCs w:val="22"/>
                <w:lang w:val="sk-SK"/>
              </w:rPr>
            </w:pPr>
          </w:p>
        </w:tc>
      </w:tr>
      <w:tr w:rsidR="00534A2D" w14:paraId="017D8B74" w14:textId="77777777" w:rsidTr="001F79B0">
        <w:trPr>
          <w:gridBefore w:val="1"/>
          <w:wBefore w:w="34" w:type="dxa"/>
          <w:cantSplit/>
          <w:trHeight w:val="887"/>
        </w:trPr>
        <w:tc>
          <w:tcPr>
            <w:tcW w:w="4644" w:type="dxa"/>
            <w:gridSpan w:val="2"/>
          </w:tcPr>
          <w:p w14:paraId="277E55F1" w14:textId="77777777" w:rsidR="00845A64" w:rsidRPr="00BD646C" w:rsidRDefault="00000000" w:rsidP="001F79B0">
            <w:pPr>
              <w:rPr>
                <w:b/>
                <w:bCs/>
                <w:szCs w:val="22"/>
                <w:lang w:val="el-GR"/>
              </w:rPr>
            </w:pPr>
            <w:r w:rsidRPr="00BD646C">
              <w:rPr>
                <w:b/>
                <w:bCs/>
                <w:szCs w:val="22"/>
                <w:lang w:val="el-GR"/>
              </w:rPr>
              <w:t>Κύπρος</w:t>
            </w:r>
          </w:p>
          <w:p w14:paraId="34B3BC4B" w14:textId="77777777" w:rsidR="00845A64" w:rsidRPr="00BD646C" w:rsidRDefault="00000000" w:rsidP="001F79B0">
            <w:pPr>
              <w:rPr>
                <w:bCs/>
                <w:szCs w:val="22"/>
                <w:lang w:val="el-GR"/>
              </w:rPr>
            </w:pPr>
            <w:r w:rsidRPr="00BD646C">
              <w:rPr>
                <w:bCs/>
                <w:szCs w:val="22"/>
                <w:lang w:val="sk-SK"/>
              </w:rPr>
              <w:t xml:space="preserve">Lifepharma (Z.A.M.) </w:t>
            </w:r>
            <w:r w:rsidRPr="00BD646C">
              <w:rPr>
                <w:bCs/>
                <w:szCs w:val="22"/>
                <w:lang w:val="it-IT"/>
              </w:rPr>
              <w:t>Ltd</w:t>
            </w:r>
          </w:p>
          <w:p w14:paraId="6E4B567F" w14:textId="77777777" w:rsidR="00845A64" w:rsidRPr="00BD646C" w:rsidRDefault="00000000" w:rsidP="001F79B0">
            <w:pPr>
              <w:rPr>
                <w:bCs/>
                <w:szCs w:val="22"/>
                <w:lang w:val="lv-LV"/>
              </w:rPr>
            </w:pPr>
            <w:r w:rsidRPr="00BD646C">
              <w:rPr>
                <w:bCs/>
                <w:szCs w:val="22"/>
                <w:lang w:val="el-GR"/>
              </w:rPr>
              <w:t>Τηλ.: +357 22 34 74 40</w:t>
            </w:r>
          </w:p>
        </w:tc>
        <w:tc>
          <w:tcPr>
            <w:tcW w:w="4678" w:type="dxa"/>
          </w:tcPr>
          <w:p w14:paraId="5B422A64" w14:textId="77777777" w:rsidR="00845A64" w:rsidRPr="00BD646C" w:rsidRDefault="00000000" w:rsidP="001F79B0">
            <w:pPr>
              <w:rPr>
                <w:b/>
                <w:bCs/>
                <w:szCs w:val="22"/>
                <w:lang w:val="sk-SK"/>
              </w:rPr>
            </w:pPr>
            <w:r w:rsidRPr="00BD646C">
              <w:rPr>
                <w:b/>
                <w:bCs/>
                <w:szCs w:val="22"/>
                <w:lang w:val="sk-SK"/>
              </w:rPr>
              <w:t>Sverige</w:t>
            </w:r>
          </w:p>
          <w:p w14:paraId="146119AB" w14:textId="77777777" w:rsidR="00845A64" w:rsidRPr="00BD646C" w:rsidRDefault="00000000" w:rsidP="001F79B0">
            <w:pPr>
              <w:rPr>
                <w:bCs/>
                <w:szCs w:val="22"/>
                <w:lang w:val="pt-PT"/>
              </w:rPr>
            </w:pPr>
            <w:r w:rsidRPr="00BD646C">
              <w:rPr>
                <w:bCs/>
                <w:szCs w:val="22"/>
                <w:lang w:val="pt-PT"/>
              </w:rPr>
              <w:t>AbbVie AB</w:t>
            </w:r>
          </w:p>
          <w:p w14:paraId="6C2278B4" w14:textId="77777777" w:rsidR="00845A64" w:rsidRPr="00BD646C" w:rsidRDefault="00000000" w:rsidP="001F79B0">
            <w:pPr>
              <w:rPr>
                <w:bCs/>
                <w:szCs w:val="22"/>
                <w:lang w:val="sk-SK"/>
              </w:rPr>
            </w:pPr>
            <w:r w:rsidRPr="00BD646C">
              <w:rPr>
                <w:bCs/>
                <w:szCs w:val="22"/>
                <w:lang w:val="da-DK"/>
              </w:rPr>
              <w:t>Tel: +46 (0)8 684 44 600</w:t>
            </w:r>
          </w:p>
        </w:tc>
      </w:tr>
      <w:tr w:rsidR="00534A2D" w14:paraId="40CC111C" w14:textId="77777777" w:rsidTr="001F79B0">
        <w:trPr>
          <w:gridBefore w:val="1"/>
          <w:wBefore w:w="34" w:type="dxa"/>
          <w:cantSplit/>
          <w:trHeight w:val="761"/>
        </w:trPr>
        <w:tc>
          <w:tcPr>
            <w:tcW w:w="4644" w:type="dxa"/>
            <w:gridSpan w:val="2"/>
          </w:tcPr>
          <w:p w14:paraId="485B9092" w14:textId="77777777" w:rsidR="00845A64" w:rsidRPr="00BD646C" w:rsidRDefault="00000000" w:rsidP="001F79B0">
            <w:pPr>
              <w:rPr>
                <w:b/>
                <w:bCs/>
                <w:szCs w:val="22"/>
                <w:lang w:val="lv-LV"/>
              </w:rPr>
            </w:pPr>
            <w:r w:rsidRPr="00BD646C">
              <w:rPr>
                <w:b/>
                <w:bCs/>
                <w:szCs w:val="22"/>
                <w:lang w:val="lv-LV"/>
              </w:rPr>
              <w:t>Latvija</w:t>
            </w:r>
          </w:p>
          <w:p w14:paraId="7BC60A0D" w14:textId="77777777" w:rsidR="00845A64" w:rsidRPr="00BD646C" w:rsidRDefault="00000000" w:rsidP="001F79B0">
            <w:pPr>
              <w:rPr>
                <w:bCs/>
                <w:szCs w:val="22"/>
                <w:lang w:val="lv-LV"/>
              </w:rPr>
            </w:pPr>
            <w:r w:rsidRPr="00BD646C">
              <w:rPr>
                <w:bCs/>
                <w:szCs w:val="22"/>
                <w:lang w:val="lv-LV"/>
              </w:rPr>
              <w:t xml:space="preserve">AbbVie SIA </w:t>
            </w:r>
          </w:p>
          <w:p w14:paraId="777C984B" w14:textId="77777777" w:rsidR="00845A64" w:rsidRPr="00BD646C" w:rsidRDefault="00000000" w:rsidP="001F79B0">
            <w:pPr>
              <w:rPr>
                <w:bCs/>
                <w:szCs w:val="22"/>
                <w:lang w:val="lv-LV"/>
              </w:rPr>
            </w:pPr>
            <w:r w:rsidRPr="00BD646C">
              <w:rPr>
                <w:bCs/>
                <w:szCs w:val="22"/>
                <w:lang w:val="lv-LV"/>
              </w:rPr>
              <w:t>Tel: +371 67605000</w:t>
            </w:r>
          </w:p>
        </w:tc>
        <w:tc>
          <w:tcPr>
            <w:tcW w:w="4678" w:type="dxa"/>
          </w:tcPr>
          <w:p w14:paraId="01EB73F4" w14:textId="77777777" w:rsidR="00845A64" w:rsidRPr="00BD646C" w:rsidRDefault="00845A64" w:rsidP="001F79B0">
            <w:pPr>
              <w:rPr>
                <w:b/>
                <w:bCs/>
                <w:szCs w:val="22"/>
                <w:lang w:val="sk-SK"/>
              </w:rPr>
            </w:pPr>
          </w:p>
        </w:tc>
      </w:tr>
    </w:tbl>
    <w:p w14:paraId="6FB94539" w14:textId="77777777" w:rsidR="008D112A" w:rsidRPr="001B4A02" w:rsidRDefault="008D112A" w:rsidP="00507DAA">
      <w:pPr>
        <w:numPr>
          <w:ilvl w:val="12"/>
          <w:numId w:val="0"/>
        </w:numPr>
      </w:pPr>
    </w:p>
    <w:p w14:paraId="31A19BB0" w14:textId="77777777" w:rsidR="00180DE0" w:rsidRPr="001B4A02" w:rsidRDefault="00000000" w:rsidP="00507DAA">
      <w:pPr>
        <w:ind w:left="0" w:firstLine="0"/>
        <w:rPr>
          <w:b/>
        </w:rPr>
      </w:pPr>
      <w:r w:rsidRPr="001B4A02">
        <w:rPr>
          <w:b/>
        </w:rPr>
        <w:t>Tato příbalová informace byla naposledy revidována v</w:t>
      </w:r>
      <w:r w:rsidR="00CD59CE">
        <w:rPr>
          <w:b/>
        </w:rPr>
        <w:t> </w:t>
      </w:r>
    </w:p>
    <w:p w14:paraId="1FDE6BB5" w14:textId="77777777" w:rsidR="00180DE0" w:rsidRPr="001B4A02" w:rsidRDefault="00180DE0" w:rsidP="00507DAA">
      <w:pPr>
        <w:ind w:left="0" w:firstLine="0"/>
      </w:pPr>
    </w:p>
    <w:p w14:paraId="32D6BE25" w14:textId="77777777" w:rsidR="008D112A" w:rsidRPr="001B4A02" w:rsidRDefault="00000000" w:rsidP="00507DAA">
      <w:pPr>
        <w:ind w:left="0" w:firstLine="0"/>
      </w:pPr>
      <w:r w:rsidRPr="001B4A02">
        <w:t>Podrobné informace o</w:t>
      </w:r>
      <w:r w:rsidR="00507DAA" w:rsidRPr="001B4A02">
        <w:t> </w:t>
      </w:r>
      <w:r w:rsidRPr="001B4A02">
        <w:t>tomto léčivém přípravku jsou k</w:t>
      </w:r>
      <w:r w:rsidR="00075234" w:rsidRPr="001B4A02">
        <w:t> </w:t>
      </w:r>
      <w:r w:rsidRPr="001B4A02">
        <w:t xml:space="preserve">dispozici na webových stránkách Evropské agentury pro léčivé přípravky </w:t>
      </w:r>
      <w:ins w:id="13849" w:author="AbbVie1" w:date="2025-05-13T10:17:00Z">
        <w:r w:rsidR="00FC50CC">
          <w:fldChar w:fldCharType="begin"/>
        </w:r>
        <w:r w:rsidR="00FC50CC">
          <w:instrText>HYPERLINK "</w:instrText>
        </w:r>
      </w:ins>
      <w:r w:rsidR="00FC50CC" w:rsidRPr="001B4A02">
        <w:instrText>http</w:instrText>
      </w:r>
      <w:ins w:id="13850" w:author="AbbVie1" w:date="2025-05-13T10:17:00Z">
        <w:r w:rsidR="00FC50CC">
          <w:instrText>s</w:instrText>
        </w:r>
      </w:ins>
      <w:r w:rsidR="00FC50CC" w:rsidRPr="001B4A02">
        <w:instrText>://www.ema.europa.eu</w:instrText>
      </w:r>
      <w:ins w:id="13851" w:author="AbbVie1" w:date="2025-05-13T10:17:00Z">
        <w:r w:rsidR="00FC50CC">
          <w:instrText>"</w:instrText>
        </w:r>
        <w:r w:rsidR="00FC50CC">
          <w:fldChar w:fldCharType="separate"/>
        </w:r>
      </w:ins>
      <w:r w:rsidR="00FC50CC" w:rsidRPr="004C0040">
        <w:rPr>
          <w:rStyle w:val="Hyperlink"/>
        </w:rPr>
        <w:t>http</w:t>
      </w:r>
      <w:ins w:id="13852" w:author="AbbVie1" w:date="2025-05-13T10:17:00Z">
        <w:r w:rsidR="00FC50CC" w:rsidRPr="004C0040">
          <w:rPr>
            <w:rStyle w:val="Hyperlink"/>
          </w:rPr>
          <w:t>s</w:t>
        </w:r>
      </w:ins>
      <w:r w:rsidR="00FC50CC" w:rsidRPr="004C0040">
        <w:rPr>
          <w:rStyle w:val="Hyperlink"/>
        </w:rPr>
        <w:t>://www.ema.europa.eu</w:t>
      </w:r>
      <w:ins w:id="13853" w:author="AbbVie1" w:date="2025-05-13T10:17:00Z">
        <w:r w:rsidR="00FC50CC">
          <w:fldChar w:fldCharType="end"/>
        </w:r>
      </w:ins>
      <w:r w:rsidRPr="001B4A02">
        <w:t>.</w:t>
      </w:r>
    </w:p>
    <w:p w14:paraId="73495E8A" w14:textId="77777777" w:rsidR="00180DE0" w:rsidRPr="001B4A02" w:rsidRDefault="00180DE0" w:rsidP="00507DAA">
      <w:pPr>
        <w:numPr>
          <w:ilvl w:val="12"/>
          <w:numId w:val="0"/>
        </w:numPr>
        <w:rPr>
          <w:color w:val="000000"/>
          <w:highlight w:val="yellow"/>
        </w:rPr>
      </w:pPr>
    </w:p>
    <w:p w14:paraId="60BCD0D0" w14:textId="77777777" w:rsidR="008D112A" w:rsidRPr="001B4A02" w:rsidRDefault="00000000" w:rsidP="00507DAA">
      <w:pPr>
        <w:ind w:left="0" w:firstLine="0"/>
        <w:rPr>
          <w:b/>
          <w:color w:val="000000"/>
        </w:rPr>
      </w:pPr>
      <w:r w:rsidRPr="001B4A02">
        <w:rPr>
          <w:b/>
          <w:bCs/>
          <w:color w:val="000000"/>
        </w:rPr>
        <w:t>Chcete-li si tuto příbalovou informaci poslechnout, nebo chcete-li si vyžádat její kopii v</w:t>
      </w:r>
      <w:r w:rsidR="00075234" w:rsidRPr="001B4A02">
        <w:rPr>
          <w:b/>
          <w:bCs/>
          <w:color w:val="000000"/>
        </w:rPr>
        <w:t> </w:t>
      </w:r>
      <w:r w:rsidRPr="001B4A02">
        <w:rPr>
          <w:b/>
          <w:bCs/>
          <w:color w:val="000000"/>
        </w:rPr>
        <w:t>Braillově písmu, velkým tiskem nebo ve formě audionahrávky,</w:t>
      </w:r>
      <w:r w:rsidR="00E8748E" w:rsidRPr="001B4A02">
        <w:rPr>
          <w:b/>
          <w:color w:val="000000"/>
        </w:rPr>
        <w:t xml:space="preserve"> kontaktujte </w:t>
      </w:r>
      <w:r w:rsidRPr="001B4A02">
        <w:rPr>
          <w:b/>
          <w:bCs/>
          <w:color w:val="000000"/>
        </w:rPr>
        <w:t xml:space="preserve">místního zástupce </w:t>
      </w:r>
      <w:r w:rsidR="00E8748E" w:rsidRPr="001B4A02">
        <w:rPr>
          <w:b/>
          <w:color w:val="000000"/>
        </w:rPr>
        <w:t>držitele rozhodnutí o</w:t>
      </w:r>
      <w:r w:rsidR="00063784" w:rsidRPr="001B4A02">
        <w:rPr>
          <w:b/>
          <w:color w:val="000000"/>
        </w:rPr>
        <w:t> </w:t>
      </w:r>
      <w:r w:rsidR="00E8748E" w:rsidRPr="001B4A02">
        <w:rPr>
          <w:b/>
          <w:color w:val="000000"/>
        </w:rPr>
        <w:t>registraci</w:t>
      </w:r>
      <w:r w:rsidRPr="001B4A02">
        <w:rPr>
          <w:b/>
          <w:color w:val="000000"/>
        </w:rPr>
        <w:t>.</w:t>
      </w:r>
    </w:p>
    <w:p w14:paraId="46A39EFE" w14:textId="77777777" w:rsidR="00B636FE" w:rsidRPr="001B4A02" w:rsidRDefault="00B636FE" w:rsidP="00507DAA">
      <w:pPr>
        <w:ind w:left="0" w:firstLine="0"/>
        <w:rPr>
          <w:color w:val="000000"/>
          <w:highlight w:val="yellow"/>
        </w:rPr>
      </w:pPr>
    </w:p>
    <w:p w14:paraId="0E17518A" w14:textId="77777777" w:rsidR="00B636FE" w:rsidRPr="001B4A02" w:rsidRDefault="00B636FE" w:rsidP="00507DAA">
      <w:pPr>
        <w:ind w:left="0" w:firstLine="0"/>
        <w:rPr>
          <w:color w:val="000000"/>
        </w:rPr>
      </w:pPr>
    </w:p>
    <w:p w14:paraId="2F9FD7C0" w14:textId="77777777" w:rsidR="00BB0E02" w:rsidRPr="001B4A02" w:rsidRDefault="00000000" w:rsidP="00961CF6">
      <w:pPr>
        <w:pStyle w:val="EMEAHeadingLeaflet"/>
        <w:keepNext/>
        <w:spacing w:beforeLines="0" w:afterLines="0"/>
        <w:outlineLvl w:val="1"/>
        <w:rPr>
          <w:rFonts w:ascii="Times New Roman" w:hAnsi="Times New Roman"/>
          <w:lang w:val="cs-CZ"/>
        </w:rPr>
      </w:pPr>
      <w:r w:rsidRPr="001B4A02">
        <w:rPr>
          <w:rFonts w:ascii="Times New Roman" w:hAnsi="Times New Roman"/>
          <w:lang w:val="cs-CZ"/>
        </w:rPr>
        <w:t>7.</w:t>
      </w:r>
      <w:r w:rsidRPr="001B4A02">
        <w:rPr>
          <w:rFonts w:ascii="Times New Roman" w:hAnsi="Times New Roman"/>
          <w:lang w:val="cs-CZ"/>
        </w:rPr>
        <w:tab/>
      </w:r>
      <w:r w:rsidR="009A3A57">
        <w:rPr>
          <w:rFonts w:ascii="Times New Roman" w:hAnsi="Times New Roman"/>
          <w:lang w:val="cs-CZ"/>
        </w:rPr>
        <w:t>Aplikace injekce přípravku Humira</w:t>
      </w:r>
    </w:p>
    <w:p w14:paraId="2224B891" w14:textId="77777777" w:rsidR="00BB0E02" w:rsidRPr="001B4A02" w:rsidRDefault="00BB0E02" w:rsidP="00961CF6">
      <w:pPr>
        <w:pStyle w:val="EMEANormal"/>
        <w:keepNext/>
        <w:rPr>
          <w:lang w:val="cs-CZ"/>
        </w:rPr>
      </w:pPr>
    </w:p>
    <w:p w14:paraId="75C96804" w14:textId="77777777" w:rsidR="00646701" w:rsidRPr="001B4A02" w:rsidRDefault="00000000" w:rsidP="00ED48A3">
      <w:pPr>
        <w:numPr>
          <w:ilvl w:val="0"/>
          <w:numId w:val="104"/>
        </w:numPr>
        <w:suppressAutoHyphens/>
      </w:pPr>
      <w:r w:rsidRPr="001B4A02">
        <w:t>V</w:t>
      </w:r>
      <w:r w:rsidR="00075234" w:rsidRPr="001B4A02">
        <w:t> </w:t>
      </w:r>
      <w:r w:rsidRPr="001B4A02">
        <w:t xml:space="preserve">následujících pokynech je vysvětleno, jak si máte </w:t>
      </w:r>
      <w:r w:rsidR="00E7011D" w:rsidRPr="001B4A02">
        <w:t>podat podkožn</w:t>
      </w:r>
      <w:r w:rsidR="00670387">
        <w:t xml:space="preserve"> </w:t>
      </w:r>
      <w:r w:rsidR="00E7011D" w:rsidRPr="001B4A02">
        <w:t>í</w:t>
      </w:r>
      <w:r w:rsidRPr="001B4A02">
        <w:t>injekci přípravku Humira za použití předplněné</w:t>
      </w:r>
      <w:r w:rsidR="00B636FE" w:rsidRPr="001B4A02">
        <w:t xml:space="preserve"> injekční stříkačky</w:t>
      </w:r>
      <w:r w:rsidRPr="001B4A02">
        <w:t>. Nejprve si pokyny pečlivě pročtěte</w:t>
      </w:r>
      <w:r w:rsidR="00A27A27" w:rsidRPr="001B4A02">
        <w:t>,</w:t>
      </w:r>
      <w:r w:rsidR="002378E0">
        <w:t xml:space="preserve"> a </w:t>
      </w:r>
      <w:r w:rsidRPr="001B4A02">
        <w:t>p</w:t>
      </w:r>
      <w:r w:rsidR="00507DAA" w:rsidRPr="001B4A02">
        <w:t>ak je krok za krokem dodržujte.</w:t>
      </w:r>
    </w:p>
    <w:p w14:paraId="4AA85D62" w14:textId="77777777" w:rsidR="00646701" w:rsidRPr="001B4A02" w:rsidRDefault="00646701" w:rsidP="00ED48A3">
      <w:pPr>
        <w:ind w:left="720"/>
      </w:pPr>
    </w:p>
    <w:p w14:paraId="3813633A" w14:textId="77777777" w:rsidR="00646701" w:rsidRPr="001B4A02" w:rsidRDefault="00000000" w:rsidP="00ED48A3">
      <w:pPr>
        <w:numPr>
          <w:ilvl w:val="0"/>
          <w:numId w:val="104"/>
        </w:numPr>
        <w:suppressAutoHyphens/>
      </w:pPr>
      <w:r w:rsidRPr="001B4A02">
        <w:t>Váš lékař, zdravotní sestra nebo lékárník Vás poučí, jak si sám (sama) aplikovat injekc</w:t>
      </w:r>
      <w:r w:rsidR="00507DAA" w:rsidRPr="001B4A02">
        <w:t>i.</w:t>
      </w:r>
    </w:p>
    <w:p w14:paraId="5AD26DC1" w14:textId="77777777" w:rsidR="00646701" w:rsidRPr="001B4A02" w:rsidRDefault="00646701" w:rsidP="00ED48A3">
      <w:pPr>
        <w:ind w:left="720"/>
      </w:pPr>
    </w:p>
    <w:p w14:paraId="55C95C1B" w14:textId="77777777" w:rsidR="00646701" w:rsidRPr="001B4A02" w:rsidRDefault="00000000" w:rsidP="00ED48A3">
      <w:pPr>
        <w:numPr>
          <w:ilvl w:val="0"/>
          <w:numId w:val="104"/>
        </w:numPr>
        <w:suppressAutoHyphens/>
      </w:pPr>
      <w:r w:rsidRPr="001B4A02">
        <w:t xml:space="preserve">Nepokoušejte si </w:t>
      </w:r>
      <w:r w:rsidR="00E91CB6" w:rsidRPr="001B4A02">
        <w:t>sám (sama)</w:t>
      </w:r>
      <w:r w:rsidRPr="001B4A02">
        <w:t xml:space="preserve"> aplikovat injekci, dokud si nebudete jist</w:t>
      </w:r>
      <w:r w:rsidR="009E1608" w:rsidRPr="001B4A02">
        <w:t>ý</w:t>
      </w:r>
      <w:r w:rsidRPr="001B4A02">
        <w:t>(</w:t>
      </w:r>
      <w:r w:rsidR="009E1608" w:rsidRPr="001B4A02">
        <w:t>á</w:t>
      </w:r>
      <w:r w:rsidRPr="001B4A02">
        <w:t>), že jste pochopil(a), jak ji připravovat</w:t>
      </w:r>
      <w:r w:rsidR="002378E0">
        <w:t xml:space="preserve"> a </w:t>
      </w:r>
      <w:r w:rsidRPr="001B4A02">
        <w:t xml:space="preserve">aplikovat. </w:t>
      </w:r>
    </w:p>
    <w:p w14:paraId="28DF4D3B" w14:textId="77777777" w:rsidR="00646701" w:rsidRPr="001B4A02" w:rsidRDefault="00646701" w:rsidP="00ED48A3">
      <w:pPr>
        <w:ind w:left="720"/>
      </w:pPr>
    </w:p>
    <w:p w14:paraId="19A2869C" w14:textId="77777777" w:rsidR="00646701" w:rsidRPr="001B4A02" w:rsidRDefault="00000000" w:rsidP="00ED48A3">
      <w:pPr>
        <w:numPr>
          <w:ilvl w:val="0"/>
          <w:numId w:val="104"/>
        </w:numPr>
        <w:suppressAutoHyphens/>
      </w:pPr>
      <w:r w:rsidRPr="001B4A02">
        <w:t>Po řádném procvičení si můžete injekci aplikovat sám (sama) nebo to může provádět i jiná osoba, např. člen rodiny nebo přítel či přítelkyně.</w:t>
      </w:r>
    </w:p>
    <w:p w14:paraId="0B12CEAA" w14:textId="77777777" w:rsidR="00646701" w:rsidRPr="001B4A02" w:rsidRDefault="00646701" w:rsidP="00ED48A3">
      <w:pPr>
        <w:ind w:left="720"/>
      </w:pPr>
    </w:p>
    <w:p w14:paraId="6B8F07E0" w14:textId="77777777" w:rsidR="00646701" w:rsidRPr="001B4A02" w:rsidRDefault="00000000" w:rsidP="00ED48A3">
      <w:pPr>
        <w:pStyle w:val="EMEAHeadingLeaflet"/>
        <w:numPr>
          <w:ilvl w:val="0"/>
          <w:numId w:val="104"/>
        </w:numPr>
        <w:tabs>
          <w:tab w:val="clear" w:pos="562"/>
        </w:tabs>
        <w:spacing w:beforeLines="0" w:afterLines="0"/>
        <w:rPr>
          <w:rFonts w:ascii="Times New Roman" w:hAnsi="Times New Roman"/>
          <w:b w:val="0"/>
          <w:lang w:val="cs-CZ"/>
        </w:rPr>
      </w:pPr>
      <w:r w:rsidRPr="001B4A02">
        <w:rPr>
          <w:rFonts w:ascii="Times New Roman" w:hAnsi="Times New Roman"/>
          <w:b w:val="0"/>
          <w:lang w:val="cs-CZ"/>
        </w:rPr>
        <w:t>Každ</w:t>
      </w:r>
      <w:r w:rsidR="0055742A" w:rsidRPr="001B4A02">
        <w:rPr>
          <w:rFonts w:ascii="Times New Roman" w:hAnsi="Times New Roman"/>
          <w:b w:val="0"/>
          <w:lang w:val="cs-CZ"/>
        </w:rPr>
        <w:t>ou</w:t>
      </w:r>
      <w:r w:rsidRPr="001B4A02">
        <w:rPr>
          <w:rFonts w:ascii="Times New Roman" w:hAnsi="Times New Roman"/>
          <w:b w:val="0"/>
          <w:lang w:val="cs-CZ"/>
        </w:rPr>
        <w:t xml:space="preserve"> předplněn</w:t>
      </w:r>
      <w:r w:rsidR="0055742A" w:rsidRPr="001B4A02">
        <w:rPr>
          <w:rFonts w:ascii="Times New Roman" w:hAnsi="Times New Roman"/>
          <w:b w:val="0"/>
          <w:lang w:val="cs-CZ"/>
        </w:rPr>
        <w:t>ou</w:t>
      </w:r>
      <w:r w:rsidRPr="001B4A02">
        <w:rPr>
          <w:rFonts w:ascii="Times New Roman" w:hAnsi="Times New Roman"/>
          <w:b w:val="0"/>
          <w:lang w:val="cs-CZ"/>
        </w:rPr>
        <w:t xml:space="preserve"> </w:t>
      </w:r>
      <w:r w:rsidR="0055742A" w:rsidRPr="001B4A02">
        <w:rPr>
          <w:rFonts w:ascii="Times New Roman" w:hAnsi="Times New Roman"/>
          <w:b w:val="0"/>
          <w:lang w:val="cs-CZ"/>
        </w:rPr>
        <w:t>injekční stříkačku</w:t>
      </w:r>
      <w:r w:rsidRPr="001B4A02">
        <w:rPr>
          <w:rFonts w:ascii="Times New Roman" w:hAnsi="Times New Roman"/>
          <w:b w:val="0"/>
          <w:lang w:val="cs-CZ"/>
        </w:rPr>
        <w:t xml:space="preserve"> použijte jen pro jednu injekci.</w:t>
      </w:r>
    </w:p>
    <w:p w14:paraId="692E1E73" w14:textId="77777777" w:rsidR="00BB0E02" w:rsidRPr="001B4A02" w:rsidRDefault="00BB0E02" w:rsidP="00ED48A3"/>
    <w:p w14:paraId="29530835" w14:textId="77777777" w:rsidR="00BB0E02" w:rsidRPr="00977D2C" w:rsidRDefault="00000000" w:rsidP="00ED48A3">
      <w:pPr>
        <w:keepNext/>
      </w:pPr>
      <w:r w:rsidRPr="001B4A02">
        <w:rPr>
          <w:b/>
        </w:rPr>
        <w:t xml:space="preserve">Humira </w:t>
      </w:r>
      <w:r w:rsidR="00F25EE4" w:rsidRPr="001B4A02">
        <w:rPr>
          <w:b/>
        </w:rPr>
        <w:t>předplněná injekční stříkačka</w:t>
      </w:r>
    </w:p>
    <w:p w14:paraId="716E9857" w14:textId="77777777" w:rsidR="00BB0E02" w:rsidRPr="00977D2C" w:rsidRDefault="00BB0E02" w:rsidP="00ED48A3">
      <w:pPr>
        <w:keepNext/>
      </w:pPr>
    </w:p>
    <w:p w14:paraId="3AD73F90" w14:textId="77777777" w:rsidR="00BB0E02" w:rsidRPr="00977D2C" w:rsidRDefault="00000000" w:rsidP="00ED48A3">
      <w:pPr>
        <w:keepNext/>
      </w:pPr>
      <w:r w:rsidRPr="001B4A02">
        <w:rPr>
          <w:b/>
        </w:rPr>
        <w:tab/>
      </w:r>
      <w:r w:rsidRPr="001B4A02">
        <w:rPr>
          <w:b/>
        </w:rPr>
        <w:tab/>
      </w:r>
      <w:r w:rsidRPr="001B4A02">
        <w:rPr>
          <w:b/>
        </w:rPr>
        <w:tab/>
        <w:t xml:space="preserve">   </w:t>
      </w:r>
      <w:r w:rsidRPr="001B4A02">
        <w:rPr>
          <w:b/>
        </w:rPr>
        <w:tab/>
        <w:t xml:space="preserve">   </w:t>
      </w:r>
      <w:r w:rsidR="00F25EE4" w:rsidRPr="001B4A02">
        <w:rPr>
          <w:b/>
        </w:rPr>
        <w:t>Píst</w:t>
      </w:r>
      <w:r w:rsidRPr="001B4A02">
        <w:rPr>
          <w:b/>
        </w:rPr>
        <w:tab/>
      </w:r>
      <w:r w:rsidRPr="001B4A02">
        <w:rPr>
          <w:b/>
        </w:rPr>
        <w:tab/>
      </w:r>
      <w:r w:rsidRPr="001B4A02">
        <w:rPr>
          <w:b/>
        </w:rPr>
        <w:tab/>
        <w:t xml:space="preserve"> </w:t>
      </w:r>
      <w:r w:rsidR="000A6944" w:rsidRPr="001B4A02">
        <w:rPr>
          <w:b/>
        </w:rPr>
        <w:t>Opora pro prsty</w:t>
      </w:r>
      <w:r w:rsidRPr="001B4A02">
        <w:rPr>
          <w:b/>
        </w:rPr>
        <w:tab/>
        <w:t xml:space="preserve">     </w:t>
      </w:r>
      <w:r w:rsidR="00F25EE4" w:rsidRPr="001B4A02">
        <w:rPr>
          <w:b/>
        </w:rPr>
        <w:t>Kryt jehly</w:t>
      </w:r>
    </w:p>
    <w:p w14:paraId="6EAE37D3" w14:textId="77777777" w:rsidR="00BB0E02" w:rsidRPr="001B4A02" w:rsidRDefault="00000000" w:rsidP="00ED48A3">
      <w:pPr>
        <w:keepNext/>
        <w:jc w:val="center"/>
      </w:pPr>
      <w:r w:rsidRPr="00AD6F48">
        <w:rPr>
          <w:noProof/>
          <w:lang w:eastAsia="cs-CZ"/>
        </w:rPr>
        <w:t xml:space="preserve"> </w:t>
      </w:r>
      <w:r>
        <w:rPr>
          <w:noProof/>
          <w:lang w:val="en-US"/>
        </w:rPr>
        <w:drawing>
          <wp:inline distT="0" distB="0" distL="0" distR="0" wp14:anchorId="7448EA8B" wp14:editId="2C5ABE46">
            <wp:extent cx="3364865" cy="1477645"/>
            <wp:effectExtent l="0" t="0" r="6985" b="8255"/>
            <wp:docPr id="10" name="Picture 21"/>
            <wp:cNvGraphicFramePr/>
            <a:graphic xmlns:a="http://schemas.openxmlformats.org/drawingml/2006/main">
              <a:graphicData uri="http://schemas.openxmlformats.org/drawingml/2006/picture">
                <pic:pic xmlns:pic="http://schemas.openxmlformats.org/drawingml/2006/picture">
                  <pic:nvPicPr>
                    <pic:cNvPr id="10" name="Picture 21"/>
                    <pic:cNvPicPr/>
                  </pic:nvPicPr>
                  <pic:blipFill>
                    <a:blip r:embed="rId22">
                      <a:extLst>
                        <a:ext uri="{28A0092B-C50C-407E-A947-70E740481C1C}">
                          <a14:useLocalDpi xmlns:a14="http://schemas.microsoft.com/office/drawing/2010/main" val="0"/>
                        </a:ext>
                      </a:extLst>
                    </a:blip>
                    <a:stretch>
                      <a:fillRect/>
                    </a:stretch>
                  </pic:blipFill>
                  <pic:spPr>
                    <a:xfrm>
                      <a:off x="0" y="0"/>
                      <a:ext cx="3364865" cy="1477645"/>
                    </a:xfrm>
                    <a:prstGeom prst="rect">
                      <a:avLst/>
                    </a:prstGeom>
                  </pic:spPr>
                </pic:pic>
              </a:graphicData>
            </a:graphic>
          </wp:inline>
        </w:drawing>
      </w:r>
    </w:p>
    <w:p w14:paraId="2CA0828E" w14:textId="77777777" w:rsidR="00BB0E02" w:rsidRPr="001B4A02" w:rsidRDefault="00BB0E02" w:rsidP="00ED48A3"/>
    <w:p w14:paraId="24BD4074" w14:textId="77777777" w:rsidR="00BB0E02" w:rsidRPr="00977D2C" w:rsidRDefault="00000000" w:rsidP="00ED48A3">
      <w:pPr>
        <w:pStyle w:val="EMEAHeadingLeaflet"/>
        <w:keepNext/>
        <w:spacing w:beforeLines="0" w:afterLines="0"/>
        <w:rPr>
          <w:rFonts w:ascii="Times New Roman" w:hAnsi="Times New Roman"/>
          <w:b w:val="0"/>
          <w:lang w:val="cs-CZ"/>
        </w:rPr>
      </w:pPr>
      <w:r w:rsidRPr="001B4A02">
        <w:rPr>
          <w:rFonts w:ascii="Times New Roman" w:hAnsi="Times New Roman"/>
          <w:lang w:val="cs-CZ"/>
        </w:rPr>
        <w:t>Předplněnou injekční stříkačku nepoužívejte</w:t>
      </w:r>
      <w:r w:rsidR="002378E0">
        <w:rPr>
          <w:rFonts w:ascii="Times New Roman" w:hAnsi="Times New Roman"/>
          <w:lang w:val="cs-CZ"/>
        </w:rPr>
        <w:t xml:space="preserve"> a </w:t>
      </w:r>
      <w:r w:rsidRPr="001B4A02">
        <w:rPr>
          <w:rFonts w:ascii="Times New Roman" w:hAnsi="Times New Roman"/>
          <w:lang w:val="cs-CZ"/>
        </w:rPr>
        <w:t>zavolejte svému lé</w:t>
      </w:r>
      <w:r w:rsidR="00977D2C">
        <w:rPr>
          <w:rFonts w:ascii="Times New Roman" w:hAnsi="Times New Roman"/>
          <w:lang w:val="cs-CZ"/>
        </w:rPr>
        <w:t>kaři nebo lékárníkovi, jestliže</w:t>
      </w:r>
    </w:p>
    <w:p w14:paraId="0B5E64D5" w14:textId="77777777" w:rsidR="00F25EE4" w:rsidRPr="001B4A02" w:rsidRDefault="00000000" w:rsidP="00ED48A3">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je roztok zakalený, změnil barvu nebo v</w:t>
      </w:r>
      <w:r w:rsidR="00075234" w:rsidRPr="001B4A02">
        <w:rPr>
          <w:rFonts w:ascii="Times New Roman" w:hAnsi="Times New Roman"/>
          <w:b w:val="0"/>
          <w:lang w:val="cs-CZ"/>
        </w:rPr>
        <w:t> </w:t>
      </w:r>
      <w:r w:rsidRPr="001B4A02">
        <w:rPr>
          <w:rFonts w:ascii="Times New Roman" w:hAnsi="Times New Roman"/>
          <w:b w:val="0"/>
          <w:lang w:val="cs-CZ"/>
        </w:rPr>
        <w:t>něm jsou patrné vločky či částečky</w:t>
      </w:r>
    </w:p>
    <w:p w14:paraId="3F4EE5D1" w14:textId="77777777" w:rsidR="00F25EE4" w:rsidRPr="001B4A02" w:rsidRDefault="00000000" w:rsidP="00ED48A3">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uplynulo datum použitelnosti (EXP)</w:t>
      </w:r>
    </w:p>
    <w:p w14:paraId="50D363BC" w14:textId="77777777" w:rsidR="00F25EE4" w:rsidRPr="001B4A02" w:rsidRDefault="00000000" w:rsidP="00ED48A3">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byl roztok zmrazen nebo ponechán na přímém slunečním světle</w:t>
      </w:r>
    </w:p>
    <w:p w14:paraId="58A5F0D9" w14:textId="77777777" w:rsidR="00F25EE4" w:rsidRPr="001B4A02" w:rsidRDefault="00000000" w:rsidP="00DF4146">
      <w:pPr>
        <w:pStyle w:val="EMEAHeadingLeafle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předplněná injekční stříkačka upadla nebo praskla</w:t>
      </w:r>
    </w:p>
    <w:p w14:paraId="71158E98" w14:textId="77777777" w:rsidR="00F25EE4" w:rsidRPr="001B4A02" w:rsidRDefault="00F25EE4" w:rsidP="00DF4146">
      <w:pPr>
        <w:pStyle w:val="EMEAHeadingLeaflet"/>
        <w:tabs>
          <w:tab w:val="clear" w:pos="562"/>
          <w:tab w:val="left" w:pos="0"/>
        </w:tabs>
        <w:spacing w:beforeLines="0" w:afterLines="0"/>
        <w:rPr>
          <w:rFonts w:ascii="Times New Roman" w:hAnsi="Times New Roman"/>
          <w:b w:val="0"/>
          <w:lang w:val="cs-CZ"/>
        </w:rPr>
      </w:pPr>
    </w:p>
    <w:p w14:paraId="630C4E49" w14:textId="77777777" w:rsidR="00F25EE4" w:rsidRPr="00977D2C" w:rsidRDefault="00000000" w:rsidP="00ED48A3">
      <w:pPr>
        <w:pStyle w:val="EMEAHeadingLeaflet"/>
        <w:keepNext/>
        <w:tabs>
          <w:tab w:val="clear" w:pos="562"/>
          <w:tab w:val="left" w:pos="0"/>
        </w:tabs>
        <w:spacing w:beforeLines="0" w:afterLines="0"/>
        <w:rPr>
          <w:rFonts w:ascii="Times New Roman" w:hAnsi="Times New Roman"/>
          <w:b w:val="0"/>
          <w:lang w:val="cs-CZ"/>
        </w:rPr>
      </w:pPr>
      <w:r w:rsidRPr="001B4A02">
        <w:rPr>
          <w:rFonts w:ascii="Times New Roman" w:hAnsi="Times New Roman"/>
          <w:lang w:val="cs-CZ"/>
        </w:rPr>
        <w:t>Kryt odstraňte až bezprostředně před podáním injekce. Uchovávejte přípravek Humira mimo dohled</w:t>
      </w:r>
      <w:r w:rsidR="002378E0">
        <w:rPr>
          <w:rFonts w:ascii="Times New Roman" w:hAnsi="Times New Roman"/>
          <w:lang w:val="cs-CZ"/>
        </w:rPr>
        <w:t xml:space="preserve"> a </w:t>
      </w:r>
      <w:r w:rsidRPr="001B4A02">
        <w:rPr>
          <w:rFonts w:ascii="Times New Roman" w:hAnsi="Times New Roman"/>
          <w:lang w:val="cs-CZ"/>
        </w:rPr>
        <w:t>dosah dětí.</w:t>
      </w:r>
    </w:p>
    <w:p w14:paraId="6A24241A" w14:textId="77777777" w:rsidR="00BB0E02" w:rsidRPr="00977D2C" w:rsidRDefault="00BB0E02" w:rsidP="00ED48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534A2D" w14:paraId="1ADAB15F" w14:textId="77777777" w:rsidTr="006A63B6">
        <w:tc>
          <w:tcPr>
            <w:tcW w:w="9287" w:type="dxa"/>
            <w:gridSpan w:val="2"/>
            <w:tcBorders>
              <w:bottom w:val="single" w:sz="4" w:space="0" w:color="auto"/>
            </w:tcBorders>
            <w:shd w:val="clear" w:color="auto" w:fill="auto"/>
          </w:tcPr>
          <w:p w14:paraId="0789F4A2" w14:textId="77777777" w:rsidR="00BB0E02" w:rsidRPr="00977D2C" w:rsidRDefault="00000000" w:rsidP="00ED48A3">
            <w:pPr>
              <w:pStyle w:val="EMEAHeadingLeaflet"/>
              <w:spacing w:beforeLines="0" w:afterLines="0"/>
              <w:rPr>
                <w:rFonts w:ascii="Times New Roman" w:hAnsi="Times New Roman"/>
                <w:b w:val="0"/>
                <w:lang w:val="cs-CZ"/>
              </w:rPr>
            </w:pPr>
            <w:r w:rsidRPr="001B4A02">
              <w:rPr>
                <w:rFonts w:ascii="Times New Roman" w:hAnsi="Times New Roman"/>
                <w:lang w:val="cs-CZ"/>
              </w:rPr>
              <w:t>KROK 1</w:t>
            </w:r>
          </w:p>
          <w:p w14:paraId="527A8FA4" w14:textId="77777777" w:rsidR="00BB0E02" w:rsidRPr="00977D2C" w:rsidRDefault="00BB0E02" w:rsidP="00ED48A3">
            <w:pPr>
              <w:pStyle w:val="EMEANormal"/>
              <w:rPr>
                <w:lang w:val="cs-CZ"/>
              </w:rPr>
            </w:pPr>
          </w:p>
          <w:p w14:paraId="42E56789" w14:textId="77777777" w:rsidR="00F25EE4" w:rsidRPr="001B4A02" w:rsidRDefault="00000000" w:rsidP="00ED48A3">
            <w:pPr>
              <w:pStyle w:val="EMEAHeadingLeaflet"/>
              <w:spacing w:beforeLines="0" w:afterLines="0"/>
              <w:rPr>
                <w:rFonts w:ascii="Times New Roman" w:hAnsi="Times New Roman"/>
                <w:b w:val="0"/>
                <w:lang w:val="cs-CZ"/>
              </w:rPr>
            </w:pPr>
            <w:r w:rsidRPr="001B4A02">
              <w:rPr>
                <w:rFonts w:ascii="Times New Roman" w:hAnsi="Times New Roman"/>
                <w:b w:val="0"/>
                <w:lang w:val="cs-CZ"/>
              </w:rPr>
              <w:t>Přípravek Humira vyjměte z</w:t>
            </w:r>
            <w:r w:rsidR="00075234" w:rsidRPr="001B4A02">
              <w:rPr>
                <w:rFonts w:ascii="Times New Roman" w:hAnsi="Times New Roman"/>
                <w:b w:val="0"/>
                <w:lang w:val="cs-CZ"/>
              </w:rPr>
              <w:t> </w:t>
            </w:r>
            <w:r w:rsidRPr="001B4A02">
              <w:rPr>
                <w:rFonts w:ascii="Times New Roman" w:hAnsi="Times New Roman"/>
                <w:b w:val="0"/>
                <w:lang w:val="cs-CZ"/>
              </w:rPr>
              <w:t>chladničky.</w:t>
            </w:r>
          </w:p>
          <w:p w14:paraId="75C1CE41" w14:textId="77777777" w:rsidR="00F25EE4" w:rsidRPr="001B4A02" w:rsidRDefault="00F25EE4" w:rsidP="00ED48A3">
            <w:pPr>
              <w:pStyle w:val="EMEANormal"/>
              <w:rPr>
                <w:lang w:val="cs-CZ"/>
              </w:rPr>
            </w:pPr>
          </w:p>
          <w:p w14:paraId="27128B80" w14:textId="77777777" w:rsidR="00F25EE4" w:rsidRPr="001B4A02" w:rsidRDefault="00000000" w:rsidP="00ED48A3">
            <w:pPr>
              <w:pStyle w:val="EMEAHeadingLeaflet"/>
              <w:spacing w:beforeLines="0" w:afterLines="0"/>
              <w:rPr>
                <w:rFonts w:ascii="Times New Roman" w:hAnsi="Times New Roman"/>
                <w:b w:val="0"/>
                <w:lang w:val="cs-CZ"/>
              </w:rPr>
            </w:pPr>
            <w:r w:rsidRPr="001B4A02">
              <w:rPr>
                <w:rFonts w:ascii="Times New Roman" w:hAnsi="Times New Roman"/>
                <w:b w:val="0"/>
                <w:lang w:val="cs-CZ"/>
              </w:rPr>
              <w:t xml:space="preserve">Přípravek Humira nechte </w:t>
            </w:r>
            <w:r w:rsidRPr="001B4A02">
              <w:rPr>
                <w:rFonts w:ascii="Times New Roman" w:hAnsi="Times New Roman"/>
                <w:lang w:val="cs-CZ"/>
              </w:rPr>
              <w:t>15 až 30 minut</w:t>
            </w:r>
            <w:r w:rsidRPr="001B4A02">
              <w:rPr>
                <w:rFonts w:ascii="Times New Roman" w:hAnsi="Times New Roman"/>
                <w:b w:val="0"/>
                <w:lang w:val="cs-CZ"/>
              </w:rPr>
              <w:t xml:space="preserve"> před </w:t>
            </w:r>
            <w:r w:rsidR="0069434B" w:rsidRPr="001B4A02">
              <w:rPr>
                <w:rFonts w:ascii="Times New Roman" w:hAnsi="Times New Roman"/>
                <w:b w:val="0"/>
                <w:lang w:val="cs-CZ"/>
              </w:rPr>
              <w:t xml:space="preserve">podáním </w:t>
            </w:r>
            <w:r w:rsidRPr="001B4A02">
              <w:rPr>
                <w:rFonts w:ascii="Times New Roman" w:hAnsi="Times New Roman"/>
                <w:b w:val="0"/>
                <w:lang w:val="cs-CZ"/>
              </w:rPr>
              <w:t>injekc</w:t>
            </w:r>
            <w:r w:rsidR="0069434B" w:rsidRPr="001B4A02">
              <w:rPr>
                <w:rFonts w:ascii="Times New Roman" w:hAnsi="Times New Roman"/>
                <w:b w:val="0"/>
                <w:lang w:val="cs-CZ"/>
              </w:rPr>
              <w:t>e</w:t>
            </w:r>
            <w:r w:rsidRPr="001B4A02">
              <w:rPr>
                <w:rFonts w:ascii="Times New Roman" w:hAnsi="Times New Roman"/>
                <w:b w:val="0"/>
                <w:lang w:val="cs-CZ"/>
              </w:rPr>
              <w:t xml:space="preserve"> při pokojové teplotě.</w:t>
            </w:r>
          </w:p>
          <w:p w14:paraId="0D7E78F5" w14:textId="77777777" w:rsidR="00BB0E02" w:rsidRPr="001B4A02" w:rsidRDefault="00BB0E02" w:rsidP="00ED48A3">
            <w:pPr>
              <w:pStyle w:val="EMEAHeadingLeaflet"/>
              <w:spacing w:beforeLines="0" w:afterLines="0"/>
              <w:rPr>
                <w:rFonts w:ascii="Times New Roman" w:hAnsi="Times New Roman"/>
                <w:b w:val="0"/>
                <w:lang w:val="cs-CZ"/>
              </w:rPr>
            </w:pPr>
          </w:p>
          <w:p w14:paraId="47F2FF1C" w14:textId="77777777" w:rsidR="00BB0E02" w:rsidRPr="001B4A02" w:rsidRDefault="00000000" w:rsidP="00ED48A3">
            <w:pPr>
              <w:pStyle w:val="EMEAHeadingLeaflet"/>
              <w:numPr>
                <w:ilvl w:val="0"/>
                <w:numId w:val="106"/>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 xml:space="preserve">Během doby, kdy je přípravek Humira ponechán při pokojové teplotě, </w:t>
            </w:r>
            <w:r w:rsidRPr="001B4A02">
              <w:rPr>
                <w:rFonts w:ascii="Times New Roman" w:hAnsi="Times New Roman"/>
                <w:lang w:val="cs-CZ"/>
              </w:rPr>
              <w:t>nesund</w:t>
            </w:r>
            <w:r w:rsidR="00701345" w:rsidRPr="001B4A02">
              <w:rPr>
                <w:rFonts w:ascii="Times New Roman" w:hAnsi="Times New Roman"/>
                <w:lang w:val="cs-CZ"/>
              </w:rPr>
              <w:t>á</w:t>
            </w:r>
            <w:r w:rsidRPr="001B4A02">
              <w:rPr>
                <w:rFonts w:ascii="Times New Roman" w:hAnsi="Times New Roman"/>
                <w:lang w:val="cs-CZ"/>
              </w:rPr>
              <w:t xml:space="preserve">vejte </w:t>
            </w:r>
            <w:r w:rsidRPr="001B4A02">
              <w:rPr>
                <w:rFonts w:ascii="Times New Roman" w:hAnsi="Times New Roman"/>
                <w:b w:val="0"/>
                <w:lang w:val="cs-CZ"/>
              </w:rPr>
              <w:t>kryt jehly</w:t>
            </w:r>
          </w:p>
          <w:p w14:paraId="5031A02D" w14:textId="77777777" w:rsidR="00BB0E02" w:rsidRPr="001B4A02" w:rsidRDefault="00000000" w:rsidP="00ED48A3">
            <w:pPr>
              <w:pStyle w:val="EMEANormal"/>
              <w:numPr>
                <w:ilvl w:val="0"/>
                <w:numId w:val="106"/>
              </w:numPr>
              <w:tabs>
                <w:tab w:val="clear" w:pos="562"/>
                <w:tab w:val="left" w:pos="720"/>
              </w:tabs>
              <w:rPr>
                <w:lang w:val="cs-CZ"/>
              </w:rPr>
            </w:pPr>
            <w:r w:rsidRPr="001B4A02">
              <w:rPr>
                <w:lang w:val="cs-CZ"/>
              </w:rPr>
              <w:t xml:space="preserve">Přípravek Humira </w:t>
            </w:r>
            <w:r w:rsidRPr="001B4A02">
              <w:rPr>
                <w:b/>
                <w:lang w:val="cs-CZ"/>
              </w:rPr>
              <w:t>neohřívejte</w:t>
            </w:r>
            <w:r w:rsidRPr="001B4A02">
              <w:rPr>
                <w:lang w:val="cs-CZ"/>
              </w:rPr>
              <w:t xml:space="preserve"> žádným jiným způsobem. </w:t>
            </w:r>
            <w:r w:rsidRPr="001B4A02">
              <w:rPr>
                <w:b/>
                <w:lang w:val="cs-CZ"/>
              </w:rPr>
              <w:t>Neohřívejte</w:t>
            </w:r>
            <w:r w:rsidRPr="001B4A02">
              <w:rPr>
                <w:lang w:val="cs-CZ"/>
              </w:rPr>
              <w:t xml:space="preserve"> jej například v</w:t>
            </w:r>
            <w:r w:rsidR="00075234" w:rsidRPr="001B4A02">
              <w:rPr>
                <w:lang w:val="cs-CZ"/>
              </w:rPr>
              <w:t> </w:t>
            </w:r>
            <w:r w:rsidRPr="001B4A02">
              <w:rPr>
                <w:lang w:val="cs-CZ"/>
              </w:rPr>
              <w:t>mikrovlnné troubě nebo v</w:t>
            </w:r>
            <w:r w:rsidR="00075234" w:rsidRPr="001B4A02">
              <w:rPr>
                <w:lang w:val="cs-CZ"/>
              </w:rPr>
              <w:t> </w:t>
            </w:r>
            <w:r w:rsidRPr="001B4A02">
              <w:rPr>
                <w:lang w:val="cs-CZ"/>
              </w:rPr>
              <w:t>horké vodě</w:t>
            </w:r>
          </w:p>
        </w:tc>
      </w:tr>
      <w:tr w:rsidR="00534A2D" w14:paraId="7AB34300" w14:textId="77777777" w:rsidTr="006A63B6">
        <w:tc>
          <w:tcPr>
            <w:tcW w:w="3708" w:type="dxa"/>
            <w:tcBorders>
              <w:right w:val="nil"/>
            </w:tcBorders>
            <w:shd w:val="clear" w:color="auto" w:fill="auto"/>
          </w:tcPr>
          <w:p w14:paraId="52D346E1" w14:textId="77777777" w:rsidR="00BB0E02" w:rsidRPr="00977D2C" w:rsidRDefault="00000000" w:rsidP="00ED48A3">
            <w:pPr>
              <w:pStyle w:val="EMEANormal"/>
              <w:rPr>
                <w:lang w:val="cs-CZ"/>
              </w:rPr>
            </w:pPr>
            <w:r w:rsidRPr="001B4A02">
              <w:rPr>
                <w:b/>
                <w:lang w:val="cs-CZ"/>
              </w:rPr>
              <w:t>KROK</w:t>
            </w:r>
            <w:r w:rsidR="00977D2C">
              <w:rPr>
                <w:b/>
                <w:lang w:val="cs-CZ"/>
              </w:rPr>
              <w:t xml:space="preserve"> 2</w:t>
            </w:r>
          </w:p>
          <w:p w14:paraId="0E52F684" w14:textId="77777777" w:rsidR="00BB0E02" w:rsidRPr="00977D2C" w:rsidRDefault="00BB0E02" w:rsidP="00ED48A3">
            <w:pPr>
              <w:pStyle w:val="EMEANormal"/>
              <w:rPr>
                <w:lang w:val="cs-CZ"/>
              </w:rPr>
            </w:pPr>
          </w:p>
          <w:p w14:paraId="1FC7D217" w14:textId="77777777" w:rsidR="00BB0E02" w:rsidRPr="001B4A02" w:rsidRDefault="00000000" w:rsidP="00ED48A3">
            <w:pPr>
              <w:pStyle w:val="EMEANormal"/>
              <w:rPr>
                <w:b/>
                <w:lang w:val="cs-CZ"/>
              </w:rPr>
            </w:pPr>
            <w:r w:rsidRPr="001B4A02">
              <w:rPr>
                <w:b/>
                <w:lang w:val="cs-CZ"/>
              </w:rPr>
              <w:t xml:space="preserve">           </w:t>
            </w:r>
            <w:r w:rsidR="00A10518" w:rsidRPr="001B4A02">
              <w:rPr>
                <w:b/>
                <w:lang w:val="cs-CZ"/>
              </w:rPr>
              <w:t>Injekční stříkačka</w:t>
            </w:r>
          </w:p>
          <w:p w14:paraId="4FD36F4E" w14:textId="77777777" w:rsidR="00BB0E02" w:rsidRPr="001B4A02" w:rsidRDefault="00000000" w:rsidP="00ED48A3">
            <w:pPr>
              <w:pStyle w:val="EMEANormal"/>
              <w:rPr>
                <w:lang w:val="cs-CZ"/>
              </w:rPr>
            </w:pPr>
            <w:r>
              <w:rPr>
                <w:noProof/>
                <w:lang w:eastAsia="cs-CZ"/>
              </w:rPr>
              <w:t xml:space="preserve"> </w:t>
            </w:r>
            <w:r>
              <w:rPr>
                <w:noProof/>
              </w:rPr>
              <w:drawing>
                <wp:inline distT="0" distB="0" distL="0" distR="0" wp14:anchorId="30424CF0" wp14:editId="7A8E4DEE">
                  <wp:extent cx="2217420" cy="2052320"/>
                  <wp:effectExtent l="0" t="0" r="0" b="5080"/>
                  <wp:docPr id="14" name="Picture 24"/>
                  <wp:cNvGraphicFramePr/>
                  <a:graphic xmlns:a="http://schemas.openxmlformats.org/drawingml/2006/main">
                    <a:graphicData uri="http://schemas.openxmlformats.org/drawingml/2006/picture">
                      <pic:pic xmlns:pic="http://schemas.openxmlformats.org/drawingml/2006/picture">
                        <pic:nvPicPr>
                          <pic:cNvPr id="14" name="Picture 24"/>
                          <pic:cNvPicPr/>
                        </pic:nvPicPr>
                        <pic:blipFill>
                          <a:blip r:embed="rId23">
                            <a:extLst>
                              <a:ext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14:paraId="7D61F0F4" w14:textId="77777777" w:rsidR="00BB0E02" w:rsidRPr="001B4A02" w:rsidRDefault="00000000" w:rsidP="00ED48A3">
            <w:pPr>
              <w:pStyle w:val="EMEANormal"/>
              <w:rPr>
                <w:b/>
                <w:lang w:val="cs-CZ"/>
              </w:rPr>
            </w:pPr>
            <w:r w:rsidRPr="001B4A02">
              <w:rPr>
                <w:b/>
                <w:lang w:val="cs-CZ"/>
              </w:rPr>
              <w:t xml:space="preserve">                 </w:t>
            </w:r>
            <w:r w:rsidR="00A10518" w:rsidRPr="001B4A02">
              <w:rPr>
                <w:b/>
                <w:lang w:val="cs-CZ"/>
              </w:rPr>
              <w:t>Tamp</w:t>
            </w:r>
            <w:ins w:id="13854" w:author="Abbvie02" w:date="2025-05-16T12:35:00Z">
              <w:r w:rsidR="009165EF">
                <w:rPr>
                  <w:b/>
                  <w:lang w:val="cs-CZ"/>
                </w:rPr>
                <w:t>o</w:t>
              </w:r>
            </w:ins>
            <w:del w:id="13855" w:author="Abbvie02" w:date="2025-05-16T12:35:00Z">
              <w:r w:rsidR="00A10518" w:rsidRPr="001B4A02">
                <w:rPr>
                  <w:b/>
                  <w:lang w:val="cs-CZ"/>
                </w:rPr>
                <w:delText>ó</w:delText>
              </w:r>
            </w:del>
            <w:r w:rsidR="00A10518" w:rsidRPr="001B4A02">
              <w:rPr>
                <w:b/>
                <w:lang w:val="cs-CZ"/>
              </w:rPr>
              <w:t>n</w:t>
            </w:r>
          </w:p>
        </w:tc>
        <w:tc>
          <w:tcPr>
            <w:tcW w:w="5579" w:type="dxa"/>
            <w:tcBorders>
              <w:left w:val="nil"/>
            </w:tcBorders>
            <w:shd w:val="clear" w:color="auto" w:fill="auto"/>
          </w:tcPr>
          <w:p w14:paraId="3165B6E1" w14:textId="77777777" w:rsidR="00BB0E02" w:rsidRPr="001B4A02" w:rsidRDefault="00000000" w:rsidP="00ED48A3">
            <w:pPr>
              <w:pStyle w:val="EMEAHeadingLeaflet"/>
              <w:spacing w:beforeLines="0" w:afterLines="0"/>
              <w:rPr>
                <w:rFonts w:ascii="Times New Roman" w:hAnsi="Times New Roman"/>
                <w:b w:val="0"/>
                <w:lang w:val="cs-CZ"/>
              </w:rPr>
            </w:pPr>
            <w:r w:rsidRPr="001B4A02">
              <w:rPr>
                <w:rFonts w:ascii="Times New Roman" w:hAnsi="Times New Roman"/>
                <w:b w:val="0"/>
                <w:lang w:val="cs-CZ"/>
              </w:rPr>
              <w:t>Zkontrolujte datum použitelnosti (EXP). Předplněn</w:t>
            </w:r>
            <w:r w:rsidR="008F3F72" w:rsidRPr="001B4A02">
              <w:rPr>
                <w:rFonts w:ascii="Times New Roman" w:hAnsi="Times New Roman"/>
                <w:b w:val="0"/>
                <w:lang w:val="cs-CZ"/>
              </w:rPr>
              <w:t>ou injekční stříkačku</w:t>
            </w:r>
            <w:r w:rsidRPr="001B4A02">
              <w:rPr>
                <w:rFonts w:ascii="Times New Roman" w:hAnsi="Times New Roman"/>
                <w:b w:val="0"/>
                <w:lang w:val="cs-CZ"/>
              </w:rPr>
              <w:t xml:space="preserve"> </w:t>
            </w:r>
            <w:r w:rsidRPr="001B4A02">
              <w:rPr>
                <w:rFonts w:ascii="Times New Roman" w:hAnsi="Times New Roman"/>
                <w:lang w:val="cs-CZ"/>
              </w:rPr>
              <w:t>nepoužívejte</w:t>
            </w:r>
            <w:r w:rsidRPr="001B4A02">
              <w:rPr>
                <w:rFonts w:ascii="Times New Roman" w:hAnsi="Times New Roman"/>
                <w:b w:val="0"/>
                <w:lang w:val="cs-CZ"/>
              </w:rPr>
              <w:t>, jestliže datum použitelnosti již uplynulo.</w:t>
            </w:r>
          </w:p>
          <w:p w14:paraId="2625A17E" w14:textId="77777777" w:rsidR="00BB0E02" w:rsidRPr="001B4A02" w:rsidRDefault="00BB0E02" w:rsidP="00ED48A3">
            <w:pPr>
              <w:pStyle w:val="EMEANormal"/>
              <w:rPr>
                <w:lang w:val="cs-CZ"/>
              </w:rPr>
            </w:pPr>
          </w:p>
          <w:p w14:paraId="0CB12AC1" w14:textId="77777777" w:rsidR="00BB0E02" w:rsidRPr="001B4A02" w:rsidRDefault="00000000" w:rsidP="00ED48A3">
            <w:pPr>
              <w:pStyle w:val="EMEAHeadingLeaflet"/>
              <w:spacing w:beforeLines="0" w:afterLines="0"/>
              <w:rPr>
                <w:rFonts w:ascii="Times New Roman" w:hAnsi="Times New Roman"/>
                <w:b w:val="0"/>
                <w:lang w:val="cs-CZ"/>
              </w:rPr>
            </w:pPr>
            <w:r w:rsidRPr="001B4A02">
              <w:rPr>
                <w:rFonts w:ascii="Times New Roman" w:hAnsi="Times New Roman"/>
                <w:b w:val="0"/>
                <w:lang w:val="cs-CZ"/>
              </w:rPr>
              <w:t>Na čistý povrch si připravte následující pomůcky</w:t>
            </w:r>
          </w:p>
          <w:p w14:paraId="03C1E8A3" w14:textId="77777777" w:rsidR="00BB0E02" w:rsidRPr="001B4A02" w:rsidRDefault="00BB0E02" w:rsidP="00ED48A3">
            <w:pPr>
              <w:pStyle w:val="EMEANormal"/>
              <w:rPr>
                <w:lang w:val="cs-CZ"/>
              </w:rPr>
            </w:pPr>
          </w:p>
          <w:p w14:paraId="4106635F" w14:textId="77777777" w:rsidR="00BB0E02" w:rsidRPr="001B4A02" w:rsidRDefault="00000000" w:rsidP="00ED48A3">
            <w:pPr>
              <w:pStyle w:val="EMEAHeadingLeaflet"/>
              <w:numPr>
                <w:ilvl w:val="0"/>
                <w:numId w:val="107"/>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 xml:space="preserve">1 </w:t>
            </w:r>
            <w:r w:rsidR="00A10518" w:rsidRPr="001B4A02">
              <w:rPr>
                <w:rFonts w:ascii="Times New Roman" w:hAnsi="Times New Roman"/>
                <w:b w:val="0"/>
                <w:lang w:val="cs-CZ"/>
              </w:rPr>
              <w:t>předplněn</w:t>
            </w:r>
            <w:r w:rsidR="00701345" w:rsidRPr="001B4A02">
              <w:rPr>
                <w:rFonts w:ascii="Times New Roman" w:hAnsi="Times New Roman"/>
                <w:b w:val="0"/>
                <w:lang w:val="cs-CZ"/>
              </w:rPr>
              <w:t>ou</w:t>
            </w:r>
            <w:r w:rsidR="00A10518" w:rsidRPr="001B4A02">
              <w:rPr>
                <w:rFonts w:ascii="Times New Roman" w:hAnsi="Times New Roman"/>
                <w:b w:val="0"/>
                <w:lang w:val="cs-CZ"/>
              </w:rPr>
              <w:t xml:space="preserve"> injekční stříkačk</w:t>
            </w:r>
            <w:r w:rsidR="00701345" w:rsidRPr="001B4A02">
              <w:rPr>
                <w:rFonts w:ascii="Times New Roman" w:hAnsi="Times New Roman"/>
                <w:b w:val="0"/>
                <w:lang w:val="cs-CZ"/>
              </w:rPr>
              <w:t>u</w:t>
            </w:r>
            <w:r w:rsidR="00A10518" w:rsidRPr="001B4A02">
              <w:rPr>
                <w:rFonts w:ascii="Times New Roman" w:hAnsi="Times New Roman"/>
                <w:b w:val="0"/>
                <w:lang w:val="cs-CZ"/>
              </w:rPr>
              <w:t xml:space="preserve"> na jedno použití</w:t>
            </w:r>
            <w:r w:rsidR="002378E0">
              <w:rPr>
                <w:rFonts w:ascii="Times New Roman" w:hAnsi="Times New Roman"/>
                <w:b w:val="0"/>
                <w:lang w:val="cs-CZ"/>
              </w:rPr>
              <w:t xml:space="preserve"> a </w:t>
            </w:r>
          </w:p>
          <w:p w14:paraId="2D1F0928" w14:textId="77777777" w:rsidR="00A10518" w:rsidRPr="001B4A02" w:rsidRDefault="00000000" w:rsidP="00ED48A3">
            <w:pPr>
              <w:pStyle w:val="EMEAHeadingLeaflet"/>
              <w:numPr>
                <w:ilvl w:val="0"/>
                <w:numId w:val="107"/>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1 tamp</w:t>
            </w:r>
            <w:ins w:id="13856" w:author="Abbvie02" w:date="2025-05-16T12:35:00Z">
              <w:r w:rsidR="009165EF">
                <w:rPr>
                  <w:rFonts w:ascii="Times New Roman" w:hAnsi="Times New Roman"/>
                  <w:b w:val="0"/>
                  <w:lang w:val="cs-CZ"/>
                </w:rPr>
                <w:t>o</w:t>
              </w:r>
            </w:ins>
            <w:del w:id="13857" w:author="Abbvie02" w:date="2025-05-16T12:35:00Z">
              <w:r w:rsidRPr="001B4A02">
                <w:rPr>
                  <w:rFonts w:ascii="Times New Roman" w:hAnsi="Times New Roman"/>
                  <w:b w:val="0"/>
                  <w:lang w:val="cs-CZ"/>
                </w:rPr>
                <w:delText>ó</w:delText>
              </w:r>
            </w:del>
            <w:r w:rsidRPr="001B4A02">
              <w:rPr>
                <w:rFonts w:ascii="Times New Roman" w:hAnsi="Times New Roman"/>
                <w:b w:val="0"/>
                <w:lang w:val="cs-CZ"/>
              </w:rPr>
              <w:t>n s</w:t>
            </w:r>
            <w:r w:rsidR="00075234" w:rsidRPr="001B4A02">
              <w:rPr>
                <w:rFonts w:ascii="Times New Roman" w:hAnsi="Times New Roman"/>
                <w:b w:val="0"/>
                <w:lang w:val="cs-CZ"/>
              </w:rPr>
              <w:t> </w:t>
            </w:r>
            <w:r w:rsidRPr="001B4A02">
              <w:rPr>
                <w:rFonts w:ascii="Times New Roman" w:hAnsi="Times New Roman"/>
                <w:b w:val="0"/>
                <w:lang w:val="cs-CZ"/>
              </w:rPr>
              <w:t>alkoholem</w:t>
            </w:r>
          </w:p>
          <w:p w14:paraId="1AAF0E9D" w14:textId="77777777" w:rsidR="00BB0E02" w:rsidRPr="001B4A02" w:rsidRDefault="00BB0E02" w:rsidP="00ED48A3">
            <w:pPr>
              <w:pStyle w:val="EMEANormal"/>
              <w:rPr>
                <w:lang w:val="cs-CZ"/>
              </w:rPr>
            </w:pPr>
          </w:p>
          <w:p w14:paraId="48D050A9" w14:textId="77777777" w:rsidR="00BB0E02" w:rsidRPr="001B4A02" w:rsidRDefault="00000000" w:rsidP="00ED48A3">
            <w:pPr>
              <w:pStyle w:val="EMEANormal"/>
              <w:rPr>
                <w:lang w:val="cs-CZ"/>
              </w:rPr>
            </w:pPr>
            <w:r w:rsidRPr="001B4A02">
              <w:rPr>
                <w:lang w:val="cs-CZ"/>
              </w:rPr>
              <w:t>Umyjte si</w:t>
            </w:r>
            <w:r w:rsidR="002378E0">
              <w:rPr>
                <w:lang w:val="cs-CZ"/>
              </w:rPr>
              <w:t xml:space="preserve"> a </w:t>
            </w:r>
            <w:r w:rsidRPr="001B4A02">
              <w:rPr>
                <w:lang w:val="cs-CZ"/>
              </w:rPr>
              <w:t>osušte ruce.</w:t>
            </w:r>
          </w:p>
        </w:tc>
      </w:tr>
    </w:tbl>
    <w:p w14:paraId="4A1E4E83" w14:textId="77777777" w:rsidR="00BB0E02" w:rsidRPr="001B4A02" w:rsidRDefault="00BB0E02" w:rsidP="00ED48A3">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534A2D" w14:paraId="2900857E" w14:textId="77777777" w:rsidTr="006A63B6">
        <w:tc>
          <w:tcPr>
            <w:tcW w:w="3708" w:type="dxa"/>
            <w:tcBorders>
              <w:right w:val="nil"/>
            </w:tcBorders>
            <w:shd w:val="clear" w:color="auto" w:fill="auto"/>
          </w:tcPr>
          <w:p w14:paraId="07B6C6A5" w14:textId="77777777" w:rsidR="00BB0E02" w:rsidRPr="00977D2C" w:rsidRDefault="00000000" w:rsidP="00970906">
            <w:pPr>
              <w:pStyle w:val="EMEANormal"/>
              <w:rPr>
                <w:lang w:val="cs-CZ"/>
              </w:rPr>
            </w:pPr>
            <w:r w:rsidRPr="001B4A02">
              <w:rPr>
                <w:b/>
                <w:lang w:val="cs-CZ"/>
              </w:rPr>
              <w:t>KROK 3</w:t>
            </w:r>
          </w:p>
          <w:p w14:paraId="09EF4D42" w14:textId="77777777" w:rsidR="00BB0E02" w:rsidRPr="00977D2C" w:rsidRDefault="00BB0E02" w:rsidP="00970906">
            <w:pPr>
              <w:pStyle w:val="EMEANormal"/>
              <w:rPr>
                <w:lang w:val="cs-CZ"/>
              </w:rPr>
            </w:pPr>
          </w:p>
          <w:p w14:paraId="3C73A1FC" w14:textId="77777777" w:rsidR="00BB0E02" w:rsidRPr="001B4A02" w:rsidRDefault="00000000" w:rsidP="00970906">
            <w:pPr>
              <w:pStyle w:val="EMEANormal"/>
              <w:rPr>
                <w:b/>
                <w:lang w:val="cs-CZ"/>
              </w:rPr>
            </w:pPr>
            <w:r w:rsidRPr="001B4A02">
              <w:rPr>
                <w:b/>
                <w:lang w:val="cs-CZ"/>
              </w:rPr>
              <w:t>Místa pro podání injekce</w:t>
            </w:r>
          </w:p>
          <w:p w14:paraId="3B1A258D" w14:textId="77777777" w:rsidR="00BB0E02" w:rsidRPr="001B4A02" w:rsidRDefault="00000000" w:rsidP="00970906">
            <w:pPr>
              <w:pStyle w:val="EMEANormal"/>
              <w:rPr>
                <w:lang w:val="cs-CZ"/>
              </w:rPr>
            </w:pPr>
            <w:r w:rsidRPr="001B4A02">
              <w:rPr>
                <w:noProof/>
              </w:rPr>
              <w:drawing>
                <wp:inline distT="0" distB="0" distL="0" distR="0" wp14:anchorId="40508CE3" wp14:editId="6D39A9D1">
                  <wp:extent cx="2286000" cy="2380615"/>
                  <wp:effectExtent l="0" t="0" r="0" b="635"/>
                  <wp:docPr id="562" name="obrázek 562"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Picture 562" descr="STEP3_grey"/>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286000" cy="2380615"/>
                          </a:xfrm>
                          <a:prstGeom prst="rect">
                            <a:avLst/>
                          </a:prstGeom>
                          <a:noFill/>
                          <a:ln>
                            <a:noFill/>
                          </a:ln>
                        </pic:spPr>
                      </pic:pic>
                    </a:graphicData>
                  </a:graphic>
                </wp:inline>
              </w:drawing>
            </w:r>
          </w:p>
          <w:p w14:paraId="751F665D" w14:textId="77777777" w:rsidR="00BB0E02" w:rsidRPr="001B4A02" w:rsidRDefault="00000000" w:rsidP="00970906">
            <w:pPr>
              <w:pStyle w:val="EMEANormal"/>
              <w:rPr>
                <w:b/>
                <w:lang w:val="cs-CZ"/>
              </w:rPr>
            </w:pPr>
            <w:r w:rsidRPr="001B4A02">
              <w:rPr>
                <w:lang w:val="cs-CZ"/>
              </w:rPr>
              <w:t xml:space="preserve">     </w:t>
            </w:r>
            <w:r w:rsidR="00A10518" w:rsidRPr="001B4A02">
              <w:rPr>
                <w:b/>
                <w:lang w:val="cs-CZ"/>
              </w:rPr>
              <w:t>Místa pro podání injekce</w:t>
            </w:r>
          </w:p>
        </w:tc>
        <w:tc>
          <w:tcPr>
            <w:tcW w:w="5579" w:type="dxa"/>
            <w:tcBorders>
              <w:left w:val="nil"/>
            </w:tcBorders>
            <w:shd w:val="clear" w:color="auto" w:fill="auto"/>
          </w:tcPr>
          <w:p w14:paraId="50A6FD50" w14:textId="77777777" w:rsidR="00A10518"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Vyberte si místo pro podání injekce:</w:t>
            </w:r>
          </w:p>
          <w:p w14:paraId="3150C5E6" w14:textId="77777777" w:rsidR="00A10518" w:rsidRPr="001B4A02" w:rsidRDefault="00A10518" w:rsidP="00970906">
            <w:pPr>
              <w:pStyle w:val="EMEANormal"/>
              <w:rPr>
                <w:lang w:val="cs-CZ"/>
              </w:rPr>
            </w:pPr>
          </w:p>
          <w:p w14:paraId="02C4C83F" w14:textId="77777777" w:rsidR="00A10518" w:rsidRPr="001B4A02" w:rsidRDefault="00000000" w:rsidP="00970906">
            <w:pPr>
              <w:pStyle w:val="EMEAHeadingLeaflet"/>
              <w:numPr>
                <w:ilvl w:val="0"/>
                <w:numId w:val="108"/>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na přední straně stehna nebo</w:t>
            </w:r>
          </w:p>
          <w:p w14:paraId="5242DB7F" w14:textId="77777777" w:rsidR="00A10518" w:rsidRPr="001B4A02" w:rsidRDefault="00000000" w:rsidP="00970906">
            <w:pPr>
              <w:pStyle w:val="EMEAHeadingLeaflet"/>
              <w:numPr>
                <w:ilvl w:val="0"/>
                <w:numId w:val="108"/>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na břiše nejméně 5</w:t>
            </w:r>
            <w:r w:rsidR="00B76F26" w:rsidRPr="00B76F26">
              <w:rPr>
                <w:szCs w:val="22"/>
                <w:lang w:val="cs-CZ"/>
              </w:rPr>
              <w:t> </w:t>
            </w:r>
            <w:r w:rsidRPr="001B4A02">
              <w:rPr>
                <w:rFonts w:ascii="Times New Roman" w:hAnsi="Times New Roman"/>
                <w:b w:val="0"/>
                <w:lang w:val="cs-CZ"/>
              </w:rPr>
              <w:t>cm od pupku</w:t>
            </w:r>
          </w:p>
          <w:p w14:paraId="69EB8355" w14:textId="77777777" w:rsidR="00A10518" w:rsidRPr="001B4A02" w:rsidRDefault="00000000" w:rsidP="00970906">
            <w:pPr>
              <w:pStyle w:val="EMEAHeadingLeaflet"/>
              <w:numPr>
                <w:ilvl w:val="0"/>
                <w:numId w:val="108"/>
              </w:numPr>
              <w:tabs>
                <w:tab w:val="clear" w:pos="562"/>
                <w:tab w:val="left" w:pos="757"/>
              </w:tabs>
              <w:spacing w:beforeLines="0" w:afterLines="0"/>
              <w:ind w:left="757"/>
              <w:rPr>
                <w:rFonts w:ascii="Times New Roman" w:hAnsi="Times New Roman"/>
                <w:b w:val="0"/>
                <w:lang w:val="cs-CZ"/>
              </w:rPr>
            </w:pPr>
            <w:r w:rsidRPr="001B4A02">
              <w:rPr>
                <w:rFonts w:ascii="Times New Roman" w:hAnsi="Times New Roman"/>
                <w:b w:val="0"/>
                <w:lang w:val="cs-CZ"/>
              </w:rPr>
              <w:t>nejméně 3</w:t>
            </w:r>
            <w:r w:rsidR="00B76F26" w:rsidRPr="00B76F26">
              <w:rPr>
                <w:szCs w:val="22"/>
                <w:lang w:val="cs-CZ"/>
              </w:rPr>
              <w:t> </w:t>
            </w:r>
            <w:r w:rsidRPr="001B4A02">
              <w:rPr>
                <w:rFonts w:ascii="Times New Roman" w:hAnsi="Times New Roman"/>
                <w:b w:val="0"/>
                <w:lang w:val="cs-CZ"/>
              </w:rPr>
              <w:t>cm od posledního místa vpichu</w:t>
            </w:r>
          </w:p>
          <w:p w14:paraId="0B1A4FD0" w14:textId="77777777" w:rsidR="00A10518" w:rsidRPr="001B4A02" w:rsidRDefault="00A10518" w:rsidP="00970906">
            <w:pPr>
              <w:pStyle w:val="EMEANormal"/>
              <w:rPr>
                <w:lang w:val="cs-CZ"/>
              </w:rPr>
            </w:pPr>
          </w:p>
          <w:p w14:paraId="0B74A2AD" w14:textId="77777777" w:rsidR="00A10518" w:rsidRPr="001B4A02" w:rsidRDefault="00000000" w:rsidP="00970906">
            <w:pPr>
              <w:pStyle w:val="EMEAHeadingLeaflet"/>
              <w:spacing w:beforeLines="0" w:afterLines="0"/>
              <w:rPr>
                <w:rFonts w:ascii="Times New Roman" w:hAnsi="Times New Roman"/>
                <w:b w:val="0"/>
                <w:lang w:val="cs-CZ"/>
              </w:rPr>
            </w:pPr>
            <w:r w:rsidRPr="001B4A02">
              <w:rPr>
                <w:rFonts w:ascii="Times New Roman" w:hAnsi="Times New Roman"/>
                <w:b w:val="0"/>
                <w:lang w:val="cs-CZ"/>
              </w:rPr>
              <w:t>Otřete krouživými pohyby místo vpichu tamp</w:t>
            </w:r>
            <w:ins w:id="13858" w:author="Abbvie02" w:date="2025-05-16T12:35:00Z">
              <w:r w:rsidR="009165EF">
                <w:rPr>
                  <w:rFonts w:ascii="Times New Roman" w:hAnsi="Times New Roman"/>
                  <w:b w:val="0"/>
                  <w:lang w:val="cs-CZ"/>
                </w:rPr>
                <w:t>o</w:t>
              </w:r>
            </w:ins>
            <w:del w:id="13859" w:author="Abbvie02" w:date="2025-05-16T12:35:00Z">
              <w:r w:rsidRPr="001B4A02">
                <w:rPr>
                  <w:rFonts w:ascii="Times New Roman" w:hAnsi="Times New Roman"/>
                  <w:b w:val="0"/>
                  <w:lang w:val="cs-CZ"/>
                </w:rPr>
                <w:delText>ó</w:delText>
              </w:r>
            </w:del>
            <w:r w:rsidRPr="001B4A02">
              <w:rPr>
                <w:rFonts w:ascii="Times New Roman" w:hAnsi="Times New Roman"/>
                <w:b w:val="0"/>
                <w:lang w:val="cs-CZ"/>
              </w:rPr>
              <w:t>nem s</w:t>
            </w:r>
            <w:r w:rsidR="00075234" w:rsidRPr="001B4A02">
              <w:rPr>
                <w:rFonts w:ascii="Times New Roman" w:hAnsi="Times New Roman"/>
                <w:b w:val="0"/>
                <w:lang w:val="cs-CZ"/>
              </w:rPr>
              <w:t> </w:t>
            </w:r>
            <w:r w:rsidRPr="001B4A02">
              <w:rPr>
                <w:rFonts w:ascii="Times New Roman" w:hAnsi="Times New Roman"/>
                <w:b w:val="0"/>
                <w:lang w:val="cs-CZ"/>
              </w:rPr>
              <w:t>alkoholem.</w:t>
            </w:r>
          </w:p>
          <w:p w14:paraId="14917E99" w14:textId="77777777" w:rsidR="00BB0E02" w:rsidRPr="001B4A02" w:rsidRDefault="00BB0E02" w:rsidP="00970906">
            <w:pPr>
              <w:pStyle w:val="EMEANormal"/>
              <w:rPr>
                <w:lang w:val="cs-CZ"/>
              </w:rPr>
            </w:pPr>
          </w:p>
          <w:p w14:paraId="2CB26C74" w14:textId="77777777" w:rsidR="00A10518" w:rsidRPr="001B4A02" w:rsidRDefault="00000000" w:rsidP="00970906">
            <w:pPr>
              <w:pStyle w:val="EMEAHeadingLeaflet"/>
              <w:numPr>
                <w:ilvl w:val="0"/>
                <w:numId w:val="59"/>
              </w:numPr>
              <w:tabs>
                <w:tab w:val="clear" w:pos="562"/>
                <w:tab w:val="clear" w:pos="720"/>
                <w:tab w:val="left" w:pos="757"/>
              </w:tabs>
              <w:spacing w:beforeLines="0" w:afterLines="0"/>
              <w:rPr>
                <w:rFonts w:ascii="Times New Roman" w:hAnsi="Times New Roman"/>
                <w:b w:val="0"/>
                <w:lang w:val="cs-CZ"/>
              </w:rPr>
            </w:pPr>
            <w:r w:rsidRPr="001B4A02">
              <w:rPr>
                <w:rFonts w:ascii="Times New Roman" w:hAnsi="Times New Roman"/>
                <w:b w:val="0"/>
                <w:lang w:val="cs-CZ"/>
              </w:rPr>
              <w:t xml:space="preserve">Injekci </w:t>
            </w:r>
            <w:r w:rsidRPr="001B4A02">
              <w:rPr>
                <w:rFonts w:ascii="Times New Roman" w:hAnsi="Times New Roman"/>
                <w:lang w:val="cs-CZ"/>
              </w:rPr>
              <w:t>nevpichujte</w:t>
            </w:r>
            <w:r w:rsidRPr="001B4A02">
              <w:rPr>
                <w:rFonts w:ascii="Times New Roman" w:hAnsi="Times New Roman"/>
                <w:b w:val="0"/>
                <w:lang w:val="cs-CZ"/>
              </w:rPr>
              <w:t xml:space="preserve"> přes oděv</w:t>
            </w:r>
          </w:p>
          <w:p w14:paraId="53F772CF" w14:textId="77777777" w:rsidR="00BB0E02" w:rsidRPr="001B4A02" w:rsidRDefault="00000000" w:rsidP="00970906">
            <w:pPr>
              <w:pStyle w:val="EMEANormal"/>
              <w:numPr>
                <w:ilvl w:val="0"/>
                <w:numId w:val="59"/>
              </w:numPr>
              <w:tabs>
                <w:tab w:val="clear" w:pos="562"/>
              </w:tabs>
              <w:rPr>
                <w:lang w:val="cs-CZ"/>
              </w:rPr>
            </w:pPr>
            <w:r w:rsidRPr="001B4A02">
              <w:rPr>
                <w:lang w:val="cs-CZ"/>
              </w:rPr>
              <w:t>Injekci</w:t>
            </w:r>
            <w:r w:rsidRPr="001B4A02">
              <w:rPr>
                <w:b/>
                <w:lang w:val="cs-CZ"/>
              </w:rPr>
              <w:t xml:space="preserve"> nevpichujte</w:t>
            </w:r>
            <w:r w:rsidRPr="001B4A02">
              <w:rPr>
                <w:lang w:val="cs-CZ"/>
              </w:rPr>
              <w:t xml:space="preserve"> do kůže, která je citlivá, zhmožděná, červená, zatvrdlá, zjizvená, se s</w:t>
            </w:r>
            <w:r w:rsidR="00507DAA" w:rsidRPr="001B4A02">
              <w:rPr>
                <w:lang w:val="cs-CZ"/>
              </w:rPr>
              <w:t>triemi, ani do ložisek psoriázy</w:t>
            </w:r>
          </w:p>
          <w:p w14:paraId="56FC52C7" w14:textId="77777777" w:rsidR="00BB0E02" w:rsidRPr="001B4A02" w:rsidRDefault="00BB0E02" w:rsidP="00970906">
            <w:pPr>
              <w:pStyle w:val="EMEAHeadingLeaflet"/>
              <w:tabs>
                <w:tab w:val="clear" w:pos="562"/>
                <w:tab w:val="left" w:pos="757"/>
              </w:tabs>
              <w:spacing w:beforeLines="0" w:afterLines="0"/>
              <w:ind w:left="757"/>
              <w:rPr>
                <w:rFonts w:ascii="Times New Roman" w:hAnsi="Times New Roman"/>
                <w:b w:val="0"/>
                <w:lang w:val="cs-CZ"/>
              </w:rPr>
            </w:pPr>
          </w:p>
        </w:tc>
      </w:tr>
      <w:tr w:rsidR="00534A2D" w14:paraId="288D033E" w14:textId="77777777" w:rsidTr="006A63B6">
        <w:tc>
          <w:tcPr>
            <w:tcW w:w="3708" w:type="dxa"/>
            <w:tcBorders>
              <w:right w:val="nil"/>
            </w:tcBorders>
            <w:shd w:val="clear" w:color="auto" w:fill="auto"/>
          </w:tcPr>
          <w:p w14:paraId="140E0D84" w14:textId="77777777" w:rsidR="00BB0E02" w:rsidRPr="00977D2C" w:rsidRDefault="00000000" w:rsidP="00ED48A3">
            <w:pPr>
              <w:pStyle w:val="EMEANormal"/>
              <w:rPr>
                <w:lang w:val="cs-CZ"/>
              </w:rPr>
            </w:pPr>
            <w:r w:rsidRPr="001B4A02">
              <w:rPr>
                <w:b/>
                <w:lang w:val="cs-CZ"/>
              </w:rPr>
              <w:t>KROK 4</w:t>
            </w:r>
          </w:p>
          <w:p w14:paraId="7A293327" w14:textId="77777777" w:rsidR="00BB0E02" w:rsidRPr="001B4A02" w:rsidRDefault="00000000" w:rsidP="00ED48A3">
            <w:pPr>
              <w:pStyle w:val="EMEANormal"/>
              <w:rPr>
                <w:b/>
                <w:lang w:val="cs-CZ"/>
              </w:rPr>
            </w:pPr>
            <w:r w:rsidRPr="00977D2C">
              <w:rPr>
                <w:noProof/>
                <w:lang w:eastAsia="cs-CZ"/>
              </w:rPr>
              <w:t xml:space="preserve"> </w:t>
            </w:r>
            <w:r>
              <w:rPr>
                <w:noProof/>
              </w:rPr>
              <w:drawing>
                <wp:inline distT="0" distB="0" distL="0" distR="0" wp14:anchorId="5834B075" wp14:editId="78626A51">
                  <wp:extent cx="2011680" cy="1563370"/>
                  <wp:effectExtent l="0" t="0" r="7620" b="0"/>
                  <wp:docPr id="16" name="Picture 32"/>
                  <wp:cNvGraphicFramePr/>
                  <a:graphic xmlns:a="http://schemas.openxmlformats.org/drawingml/2006/main">
                    <a:graphicData uri="http://schemas.openxmlformats.org/drawingml/2006/picture">
                      <pic:pic xmlns:pic="http://schemas.openxmlformats.org/drawingml/2006/picture">
                        <pic:nvPicPr>
                          <pic:cNvPr id="16" name="Picture 32"/>
                          <pic:cNvPicPr/>
                        </pic:nvPicPr>
                        <pic:blipFill>
                          <a:blip r:embed="rId25">
                            <a:extLst>
                              <a:ext uri="{28A0092B-C50C-407E-A947-70E740481C1C}">
                                <a14:useLocalDpi xmlns:a14="http://schemas.microsoft.com/office/drawing/2010/main" val="0"/>
                              </a:ext>
                            </a:extLst>
                          </a:blip>
                          <a:stretch>
                            <a:fillRect/>
                          </a:stretch>
                        </pic:blipFill>
                        <pic:spPr>
                          <a:xfrm>
                            <a:off x="0" y="0"/>
                            <a:ext cx="2011680" cy="1563370"/>
                          </a:xfrm>
                          <a:prstGeom prst="rect">
                            <a:avLst/>
                          </a:prstGeom>
                        </pic:spPr>
                      </pic:pic>
                    </a:graphicData>
                  </a:graphic>
                </wp:inline>
              </w:drawing>
            </w:r>
          </w:p>
        </w:tc>
        <w:tc>
          <w:tcPr>
            <w:tcW w:w="5579" w:type="dxa"/>
            <w:tcBorders>
              <w:left w:val="nil"/>
            </w:tcBorders>
            <w:shd w:val="clear" w:color="auto" w:fill="auto"/>
          </w:tcPr>
          <w:p w14:paraId="199C53D6" w14:textId="77777777" w:rsidR="00BB0E02" w:rsidRPr="001B4A02" w:rsidRDefault="00000000" w:rsidP="00ED48A3">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Předplněnou injekční stříkačku držte v</w:t>
            </w:r>
            <w:r w:rsidR="00075234" w:rsidRPr="001B4A02">
              <w:rPr>
                <w:rFonts w:ascii="Times New Roman" w:hAnsi="Times New Roman"/>
                <w:b w:val="0"/>
                <w:lang w:val="cs-CZ"/>
              </w:rPr>
              <w:t> </w:t>
            </w:r>
            <w:r w:rsidRPr="001B4A02">
              <w:rPr>
                <w:rFonts w:ascii="Times New Roman" w:hAnsi="Times New Roman"/>
                <w:b w:val="0"/>
                <w:lang w:val="cs-CZ"/>
              </w:rPr>
              <w:t>jedné ruce.</w:t>
            </w:r>
          </w:p>
          <w:p w14:paraId="1D48E52D" w14:textId="77777777" w:rsidR="00BB0E02" w:rsidRPr="001B4A02" w:rsidRDefault="00BB0E02" w:rsidP="00ED48A3">
            <w:pPr>
              <w:pStyle w:val="EMEANormal"/>
              <w:rPr>
                <w:lang w:val="cs-CZ"/>
              </w:rPr>
            </w:pPr>
          </w:p>
          <w:p w14:paraId="108CBE2D" w14:textId="77777777" w:rsidR="00BB0E02" w:rsidRPr="001B4A02" w:rsidRDefault="00000000" w:rsidP="00ED48A3">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 xml:space="preserve">Zkontrolujte vzhled </w:t>
            </w:r>
            <w:r w:rsidR="002A02EE" w:rsidRPr="001B4A02">
              <w:rPr>
                <w:rFonts w:ascii="Times New Roman" w:hAnsi="Times New Roman"/>
                <w:b w:val="0"/>
                <w:lang w:val="cs-CZ"/>
              </w:rPr>
              <w:t>roztoku</w:t>
            </w:r>
            <w:r w:rsidRPr="001B4A02">
              <w:rPr>
                <w:rFonts w:ascii="Times New Roman" w:hAnsi="Times New Roman"/>
                <w:b w:val="0"/>
                <w:lang w:val="cs-CZ"/>
              </w:rPr>
              <w:t xml:space="preserve"> </w:t>
            </w:r>
            <w:r w:rsidR="0004196D" w:rsidRPr="001B4A02">
              <w:rPr>
                <w:rFonts w:ascii="Times New Roman" w:hAnsi="Times New Roman"/>
                <w:b w:val="0"/>
                <w:lang w:val="cs-CZ"/>
              </w:rPr>
              <w:t>v</w:t>
            </w:r>
            <w:r w:rsidR="00075234" w:rsidRPr="001B4A02">
              <w:rPr>
                <w:rFonts w:ascii="Times New Roman" w:hAnsi="Times New Roman"/>
                <w:b w:val="0"/>
                <w:lang w:val="cs-CZ"/>
              </w:rPr>
              <w:t> </w:t>
            </w:r>
            <w:r w:rsidR="0004196D" w:rsidRPr="001B4A02">
              <w:rPr>
                <w:rFonts w:ascii="Times New Roman" w:hAnsi="Times New Roman"/>
                <w:b w:val="0"/>
                <w:lang w:val="cs-CZ"/>
              </w:rPr>
              <w:t>předplněné injekční stříkačce</w:t>
            </w:r>
            <w:r w:rsidRPr="001B4A02">
              <w:rPr>
                <w:rFonts w:ascii="Times New Roman" w:hAnsi="Times New Roman"/>
                <w:b w:val="0"/>
                <w:lang w:val="cs-CZ"/>
              </w:rPr>
              <w:t>.</w:t>
            </w:r>
          </w:p>
          <w:p w14:paraId="02687B20" w14:textId="77777777" w:rsidR="00BB0E02" w:rsidRPr="001B4A02" w:rsidRDefault="00BB0E02" w:rsidP="00ED48A3">
            <w:pPr>
              <w:pStyle w:val="EMEANormal"/>
              <w:rPr>
                <w:lang w:val="cs-CZ"/>
              </w:rPr>
            </w:pPr>
          </w:p>
          <w:p w14:paraId="7D4825A1" w14:textId="77777777" w:rsidR="00BB0E02" w:rsidRPr="001B4A02" w:rsidRDefault="00000000" w:rsidP="00ED48A3">
            <w:pPr>
              <w:pStyle w:val="EMEAHeadingLeaflet"/>
              <w:keepNext/>
              <w:numPr>
                <w:ilvl w:val="0"/>
                <w:numId w:val="110"/>
              </w:numPr>
              <w:tabs>
                <w:tab w:val="clear" w:pos="562"/>
                <w:tab w:val="left" w:pos="792"/>
                <w:tab w:val="left" w:pos="1647"/>
              </w:tabs>
              <w:spacing w:beforeLines="0" w:afterLines="0"/>
              <w:ind w:left="792"/>
              <w:rPr>
                <w:rFonts w:ascii="Times New Roman" w:hAnsi="Times New Roman"/>
                <w:b w:val="0"/>
                <w:lang w:val="cs-CZ"/>
              </w:rPr>
            </w:pPr>
            <w:r w:rsidRPr="001B4A02">
              <w:rPr>
                <w:rFonts w:ascii="Times New Roman" w:hAnsi="Times New Roman"/>
                <w:b w:val="0"/>
                <w:lang w:val="cs-CZ"/>
              </w:rPr>
              <w:t>Zkontrolujte, zda je roztok čirý</w:t>
            </w:r>
            <w:r w:rsidR="002378E0">
              <w:rPr>
                <w:rFonts w:ascii="Times New Roman" w:hAnsi="Times New Roman"/>
                <w:b w:val="0"/>
                <w:lang w:val="cs-CZ"/>
              </w:rPr>
              <w:t xml:space="preserve"> a </w:t>
            </w:r>
            <w:r w:rsidRPr="001B4A02">
              <w:rPr>
                <w:rFonts w:ascii="Times New Roman" w:hAnsi="Times New Roman"/>
                <w:b w:val="0"/>
                <w:lang w:val="cs-CZ"/>
              </w:rPr>
              <w:t>bezbarvý</w:t>
            </w:r>
          </w:p>
          <w:p w14:paraId="53D89BBC" w14:textId="77777777" w:rsidR="00BB0E02" w:rsidRPr="001B4A02" w:rsidRDefault="00000000" w:rsidP="00ED48A3">
            <w:pPr>
              <w:pStyle w:val="EMEAHeadingLeaflet"/>
              <w:keepNext/>
              <w:numPr>
                <w:ilvl w:val="0"/>
                <w:numId w:val="110"/>
              </w:numPr>
              <w:tabs>
                <w:tab w:val="clear" w:pos="562"/>
                <w:tab w:val="left" w:pos="792"/>
                <w:tab w:val="left" w:pos="1647"/>
              </w:tabs>
              <w:spacing w:beforeLines="0" w:afterLines="0"/>
              <w:ind w:left="792"/>
              <w:rPr>
                <w:rFonts w:ascii="Times New Roman" w:hAnsi="Times New Roman"/>
                <w:b w:val="0"/>
                <w:lang w:val="cs-CZ"/>
              </w:rPr>
            </w:pPr>
            <w:r w:rsidRPr="001B4A02">
              <w:rPr>
                <w:rFonts w:ascii="Times New Roman" w:hAnsi="Times New Roman"/>
                <w:b w:val="0"/>
                <w:lang w:val="cs-CZ"/>
              </w:rPr>
              <w:t xml:space="preserve">Předplněnou injekční stříkačku </w:t>
            </w:r>
            <w:r w:rsidRPr="001B4A02">
              <w:rPr>
                <w:rFonts w:ascii="Times New Roman" w:hAnsi="Times New Roman"/>
                <w:lang w:val="cs-CZ"/>
              </w:rPr>
              <w:t>nepoužívejte</w:t>
            </w:r>
            <w:r w:rsidRPr="001B4A02">
              <w:rPr>
                <w:rFonts w:ascii="Times New Roman" w:hAnsi="Times New Roman"/>
                <w:b w:val="0"/>
                <w:lang w:val="cs-CZ"/>
              </w:rPr>
              <w:t>, jestliže je roztok zakalený nebo v</w:t>
            </w:r>
            <w:r w:rsidR="00075234" w:rsidRPr="001B4A02">
              <w:rPr>
                <w:rFonts w:ascii="Times New Roman" w:hAnsi="Times New Roman"/>
                <w:b w:val="0"/>
                <w:lang w:val="cs-CZ"/>
              </w:rPr>
              <w:t> </w:t>
            </w:r>
            <w:r w:rsidRPr="001B4A02">
              <w:rPr>
                <w:rFonts w:ascii="Times New Roman" w:hAnsi="Times New Roman"/>
                <w:b w:val="0"/>
                <w:lang w:val="cs-CZ"/>
              </w:rPr>
              <w:t>něm jsou viditelné částice</w:t>
            </w:r>
          </w:p>
          <w:p w14:paraId="37DB4AA6" w14:textId="77777777" w:rsidR="00BB0E02" w:rsidRPr="001B4A02" w:rsidRDefault="00000000" w:rsidP="00ED48A3">
            <w:pPr>
              <w:pStyle w:val="EMEANormal"/>
              <w:numPr>
                <w:ilvl w:val="0"/>
                <w:numId w:val="110"/>
              </w:numPr>
              <w:tabs>
                <w:tab w:val="clear" w:pos="562"/>
                <w:tab w:val="left" w:pos="792"/>
                <w:tab w:val="left" w:pos="1647"/>
              </w:tabs>
              <w:ind w:left="792"/>
              <w:rPr>
                <w:lang w:val="cs-CZ"/>
              </w:rPr>
            </w:pPr>
            <w:r w:rsidRPr="001B4A02">
              <w:rPr>
                <w:b/>
                <w:lang w:val="cs-CZ"/>
              </w:rPr>
              <w:t xml:space="preserve">Předplněnou injekční stříkačku </w:t>
            </w:r>
            <w:r w:rsidRPr="001B4A02">
              <w:rPr>
                <w:lang w:val="cs-CZ"/>
              </w:rPr>
              <w:t>nepoužívejte, jestliže spadla na zem nebo se rozbila</w:t>
            </w:r>
          </w:p>
          <w:p w14:paraId="72CB837D" w14:textId="77777777" w:rsidR="00BB0E02" w:rsidRPr="001B4A02" w:rsidRDefault="00BB0E02" w:rsidP="00ED48A3">
            <w:pPr>
              <w:pStyle w:val="EMEANormal"/>
              <w:tabs>
                <w:tab w:val="clear" w:pos="562"/>
                <w:tab w:val="left" w:pos="792"/>
                <w:tab w:val="left" w:pos="1647"/>
              </w:tabs>
              <w:ind w:left="792"/>
              <w:rPr>
                <w:lang w:val="cs-CZ"/>
              </w:rPr>
            </w:pPr>
          </w:p>
          <w:p w14:paraId="048053AA" w14:textId="77777777" w:rsidR="008A5EF5" w:rsidRPr="008A5EF5" w:rsidRDefault="00000000" w:rsidP="00917EBF">
            <w:pPr>
              <w:pStyle w:val="EMEAHeadingLeaflet"/>
              <w:keepNext/>
              <w:spacing w:beforeLines="0" w:afterLines="0"/>
              <w:rPr>
                <w:lang w:val="cs-CZ"/>
              </w:rPr>
            </w:pPr>
            <w:r w:rsidRPr="001B4A02">
              <w:rPr>
                <w:rFonts w:ascii="Times New Roman" w:hAnsi="Times New Roman"/>
                <w:b w:val="0"/>
                <w:lang w:val="cs-CZ"/>
              </w:rPr>
              <w:t xml:space="preserve">Opatrně sejměte kryt jehly rovně pomocí jedné ruky. </w:t>
            </w:r>
            <w:r w:rsidR="00FE4CC5" w:rsidRPr="001B4A02">
              <w:rPr>
                <w:rFonts w:ascii="Times New Roman" w:hAnsi="Times New Roman"/>
                <w:b w:val="0"/>
                <w:lang w:val="cs-CZ"/>
              </w:rPr>
              <w:t>Kryt jehly zlikvidujte</w:t>
            </w:r>
            <w:r w:rsidR="00BB0E02" w:rsidRPr="001B4A02">
              <w:rPr>
                <w:rFonts w:ascii="Times New Roman" w:hAnsi="Times New Roman"/>
                <w:b w:val="0"/>
                <w:lang w:val="cs-CZ"/>
              </w:rPr>
              <w:t xml:space="preserve">. </w:t>
            </w:r>
            <w:r w:rsidR="00FE4CC5" w:rsidRPr="001B4A02">
              <w:rPr>
                <w:rFonts w:ascii="Times New Roman" w:hAnsi="Times New Roman"/>
                <w:b w:val="0"/>
                <w:lang w:val="cs-CZ"/>
              </w:rPr>
              <w:t>Nenasazujte jej znovu.</w:t>
            </w:r>
          </w:p>
          <w:p w14:paraId="4A1660F9" w14:textId="77777777" w:rsidR="00BB0E02" w:rsidRPr="001B4A02" w:rsidRDefault="00BB0E02" w:rsidP="00ED48A3">
            <w:pPr>
              <w:pStyle w:val="EMEANormal"/>
              <w:rPr>
                <w:lang w:val="cs-CZ"/>
              </w:rPr>
            </w:pPr>
          </w:p>
          <w:p w14:paraId="5792FD7B" w14:textId="77777777" w:rsidR="00BB0E02" w:rsidRPr="001B4A02" w:rsidRDefault="00000000" w:rsidP="00ED48A3">
            <w:pPr>
              <w:pStyle w:val="ListParagraph"/>
              <w:numPr>
                <w:ilvl w:val="0"/>
                <w:numId w:val="194"/>
              </w:numPr>
              <w:tabs>
                <w:tab w:val="left" w:pos="792"/>
              </w:tabs>
              <w:suppressAutoHyphens/>
              <w:ind w:left="792"/>
              <w:contextualSpacing/>
            </w:pPr>
            <w:r w:rsidRPr="001B4A02">
              <w:t xml:space="preserve">Dávejte pozor, abyste se </w:t>
            </w:r>
            <w:r w:rsidRPr="001B4A02">
              <w:rPr>
                <w:b/>
              </w:rPr>
              <w:t>nedotkl(a)</w:t>
            </w:r>
            <w:r w:rsidRPr="001B4A02">
              <w:t xml:space="preserve"> jehly ani se </w:t>
            </w:r>
            <w:r w:rsidRPr="001B4A02">
              <w:rPr>
                <w:b/>
              </w:rPr>
              <w:t>nedotkl</w:t>
            </w:r>
            <w:r w:rsidR="009142FA" w:rsidRPr="001B4A02">
              <w:rPr>
                <w:b/>
              </w:rPr>
              <w:t>(a)</w:t>
            </w:r>
            <w:r w:rsidRPr="001B4A02">
              <w:t xml:space="preserve"> jehlou žádného povrchu</w:t>
            </w:r>
          </w:p>
          <w:p w14:paraId="3D134D65" w14:textId="77777777" w:rsidR="00BB0E02" w:rsidRPr="001B4A02" w:rsidRDefault="00BB0E02" w:rsidP="00ED48A3">
            <w:pPr>
              <w:pStyle w:val="ListParagraph"/>
              <w:tabs>
                <w:tab w:val="left" w:pos="792"/>
              </w:tabs>
              <w:ind w:left="0"/>
              <w:contextualSpacing/>
            </w:pPr>
          </w:p>
        </w:tc>
      </w:tr>
      <w:tr w:rsidR="00534A2D" w14:paraId="4DADC911" w14:textId="77777777" w:rsidTr="006A63B6">
        <w:tc>
          <w:tcPr>
            <w:tcW w:w="3708" w:type="dxa"/>
            <w:tcBorders>
              <w:right w:val="nil"/>
            </w:tcBorders>
            <w:shd w:val="clear" w:color="auto" w:fill="auto"/>
          </w:tcPr>
          <w:p w14:paraId="44C23C69" w14:textId="77777777" w:rsidR="00BB0E02" w:rsidRPr="00977D2C" w:rsidRDefault="00000000" w:rsidP="00ED48A3">
            <w:pPr>
              <w:pStyle w:val="EMEANormal"/>
              <w:rPr>
                <w:lang w:val="cs-CZ"/>
              </w:rPr>
            </w:pPr>
            <w:r w:rsidRPr="001B4A02">
              <w:rPr>
                <w:b/>
                <w:lang w:val="cs-CZ"/>
              </w:rPr>
              <w:t>KROK 5</w:t>
            </w:r>
          </w:p>
          <w:p w14:paraId="6A946EA5" w14:textId="77777777" w:rsidR="00BB0E02" w:rsidRPr="001B4A02" w:rsidRDefault="00000000" w:rsidP="00ED48A3">
            <w:pPr>
              <w:pStyle w:val="EMEANormal"/>
              <w:rPr>
                <w:lang w:val="cs-CZ"/>
              </w:rPr>
            </w:pPr>
            <w:r w:rsidRPr="001B4A02">
              <w:rPr>
                <w:noProof/>
              </w:rPr>
              <w:drawing>
                <wp:inline distT="0" distB="0" distL="0" distR="0" wp14:anchorId="7295A241" wp14:editId="717E8921">
                  <wp:extent cx="2001520" cy="1975485"/>
                  <wp:effectExtent l="0" t="0" r="0" b="5715"/>
                  <wp:docPr id="564" name="obrázek 564"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Picture 564" descr="STEP_5_SYRINGE_IFU_FILLING_grey"/>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001520" cy="1975485"/>
                          </a:xfrm>
                          <a:prstGeom prst="rect">
                            <a:avLst/>
                          </a:prstGeom>
                          <a:noFill/>
                          <a:ln>
                            <a:noFill/>
                          </a:ln>
                        </pic:spPr>
                      </pic:pic>
                    </a:graphicData>
                  </a:graphic>
                </wp:inline>
              </w:drawing>
            </w:r>
          </w:p>
        </w:tc>
        <w:tc>
          <w:tcPr>
            <w:tcW w:w="5579" w:type="dxa"/>
            <w:tcBorders>
              <w:left w:val="nil"/>
            </w:tcBorders>
            <w:shd w:val="clear" w:color="auto" w:fill="auto"/>
          </w:tcPr>
          <w:p w14:paraId="5B659C5C" w14:textId="77777777" w:rsidR="00BB0E02" w:rsidRPr="001B4A02" w:rsidRDefault="00000000" w:rsidP="00ED48A3">
            <w:pPr>
              <w:pStyle w:val="EMEANormal"/>
              <w:tabs>
                <w:tab w:val="clear" w:pos="562"/>
                <w:tab w:val="left" w:pos="0"/>
              </w:tabs>
              <w:rPr>
                <w:szCs w:val="22"/>
                <w:lang w:val="cs-CZ"/>
              </w:rPr>
            </w:pPr>
            <w:r w:rsidRPr="001B4A02">
              <w:rPr>
                <w:lang w:val="cs-CZ"/>
              </w:rPr>
              <w:t>Držte předplněnou injekční stříkačku s</w:t>
            </w:r>
            <w:r w:rsidR="00075234" w:rsidRPr="001B4A02">
              <w:rPr>
                <w:lang w:val="cs-CZ"/>
              </w:rPr>
              <w:t> </w:t>
            </w:r>
            <w:r w:rsidRPr="001B4A02">
              <w:rPr>
                <w:lang w:val="cs-CZ"/>
              </w:rPr>
              <w:t>jeh</w:t>
            </w:r>
            <w:r w:rsidR="00701345" w:rsidRPr="001B4A02">
              <w:rPr>
                <w:lang w:val="cs-CZ"/>
              </w:rPr>
              <w:t>l</w:t>
            </w:r>
            <w:r w:rsidRPr="001B4A02">
              <w:rPr>
                <w:lang w:val="cs-CZ"/>
              </w:rPr>
              <w:t>ou směřující nahoru</w:t>
            </w:r>
            <w:r w:rsidRPr="001B4A02">
              <w:rPr>
                <w:szCs w:val="22"/>
                <w:lang w:val="cs-CZ"/>
              </w:rPr>
              <w:t>.</w:t>
            </w:r>
          </w:p>
          <w:p w14:paraId="642C6F41" w14:textId="77777777" w:rsidR="00BB0E02" w:rsidRPr="001B4A02" w:rsidRDefault="00BB0E02" w:rsidP="00ED48A3">
            <w:pPr>
              <w:pStyle w:val="EMEANormal"/>
              <w:tabs>
                <w:tab w:val="clear" w:pos="562"/>
                <w:tab w:val="left" w:pos="0"/>
              </w:tabs>
              <w:rPr>
                <w:szCs w:val="22"/>
                <w:lang w:val="cs-CZ"/>
              </w:rPr>
            </w:pPr>
          </w:p>
          <w:p w14:paraId="17B4F7CB" w14:textId="77777777" w:rsidR="00BB0E02" w:rsidRPr="001B4A02" w:rsidRDefault="00000000" w:rsidP="00ED48A3">
            <w:pPr>
              <w:pStyle w:val="EMEABullet2"/>
              <w:numPr>
                <w:ilvl w:val="0"/>
                <w:numId w:val="123"/>
              </w:numPr>
              <w:tabs>
                <w:tab w:val="clear" w:pos="567"/>
                <w:tab w:val="clear" w:pos="690"/>
                <w:tab w:val="num" w:pos="792"/>
              </w:tabs>
              <w:ind w:left="792"/>
              <w:rPr>
                <w:lang w:val="cs-CZ"/>
              </w:rPr>
            </w:pPr>
            <w:r w:rsidRPr="001B4A02">
              <w:rPr>
                <w:lang w:val="cs-CZ"/>
              </w:rPr>
              <w:t>Držte předplněnou injekční stříkačku v</w:t>
            </w:r>
            <w:r w:rsidR="00075234" w:rsidRPr="001B4A02">
              <w:rPr>
                <w:lang w:val="cs-CZ"/>
              </w:rPr>
              <w:t> </w:t>
            </w:r>
            <w:r w:rsidRPr="001B4A02">
              <w:rPr>
                <w:lang w:val="cs-CZ"/>
              </w:rPr>
              <w:t>úrovni očí jednou rukou, abyste viděli vzduch v</w:t>
            </w:r>
            <w:r w:rsidR="00075234" w:rsidRPr="001B4A02">
              <w:rPr>
                <w:lang w:val="cs-CZ"/>
              </w:rPr>
              <w:t> </w:t>
            </w:r>
            <w:r w:rsidRPr="001B4A02">
              <w:rPr>
                <w:lang w:val="cs-CZ"/>
              </w:rPr>
              <w:t>předplněné injekční stříkačce</w:t>
            </w:r>
          </w:p>
          <w:p w14:paraId="1492DECC" w14:textId="77777777" w:rsidR="00BB0E02" w:rsidRPr="001B4A02" w:rsidRDefault="00BB0E02" w:rsidP="00ED48A3">
            <w:pPr>
              <w:pStyle w:val="EMEANormal"/>
              <w:rPr>
                <w:lang w:val="cs-CZ"/>
              </w:rPr>
            </w:pPr>
          </w:p>
          <w:p w14:paraId="6179E67D" w14:textId="77777777" w:rsidR="00BB0E02" w:rsidRPr="001B4A02" w:rsidRDefault="00000000" w:rsidP="00ED48A3">
            <w:pPr>
              <w:pStyle w:val="EMEANormal"/>
              <w:rPr>
                <w:szCs w:val="22"/>
                <w:lang w:val="cs-CZ"/>
              </w:rPr>
            </w:pPr>
            <w:r w:rsidRPr="001B4A02">
              <w:rPr>
                <w:szCs w:val="22"/>
                <w:lang w:val="cs-CZ"/>
              </w:rPr>
              <w:t>Pomalu zatlačte na píst, abyste vytlačili vzduch přes jehlu</w:t>
            </w:r>
            <w:r w:rsidR="00507DAA" w:rsidRPr="001B4A02">
              <w:rPr>
                <w:szCs w:val="22"/>
                <w:lang w:val="cs-CZ"/>
              </w:rPr>
              <w:t>.</w:t>
            </w:r>
          </w:p>
          <w:p w14:paraId="1C8C33F6" w14:textId="77777777" w:rsidR="00BB0E02" w:rsidRPr="001B4A02" w:rsidRDefault="00BB0E02" w:rsidP="00ED48A3">
            <w:pPr>
              <w:pStyle w:val="EMEANormal"/>
              <w:rPr>
                <w:szCs w:val="22"/>
                <w:lang w:val="cs-CZ"/>
              </w:rPr>
            </w:pPr>
          </w:p>
          <w:p w14:paraId="49B22315" w14:textId="77777777" w:rsidR="00BB0E02" w:rsidRPr="001B4A02" w:rsidRDefault="00000000" w:rsidP="00ED48A3">
            <w:pPr>
              <w:pStyle w:val="EMEABullet2"/>
              <w:numPr>
                <w:ilvl w:val="0"/>
                <w:numId w:val="123"/>
              </w:numPr>
              <w:tabs>
                <w:tab w:val="clear" w:pos="567"/>
                <w:tab w:val="clear" w:pos="690"/>
                <w:tab w:val="num" w:pos="792"/>
              </w:tabs>
              <w:ind w:left="792"/>
              <w:rPr>
                <w:lang w:val="cs-CZ"/>
              </w:rPr>
            </w:pPr>
            <w:r w:rsidRPr="001B4A02">
              <w:rPr>
                <w:lang w:val="cs-CZ"/>
              </w:rPr>
              <w:t>Je normální, že se na konci jehly objeví kapka tekutiny</w:t>
            </w:r>
          </w:p>
          <w:p w14:paraId="51F8B7BE" w14:textId="77777777" w:rsidR="00BB0E02" w:rsidRPr="001B4A02" w:rsidRDefault="00BB0E02" w:rsidP="00ED48A3">
            <w:pPr>
              <w:pStyle w:val="EMEANormal"/>
              <w:rPr>
                <w:lang w:val="cs-CZ"/>
              </w:rPr>
            </w:pPr>
          </w:p>
        </w:tc>
      </w:tr>
    </w:tbl>
    <w:p w14:paraId="1F07713C" w14:textId="77777777" w:rsidR="00BB0E02" w:rsidRPr="001B4A02" w:rsidRDefault="00BB0E02" w:rsidP="00ED48A3">
      <w:pPr>
        <w:keepNext/>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534A2D" w14:paraId="2BA7415A" w14:textId="77777777" w:rsidTr="006A63B6">
        <w:tc>
          <w:tcPr>
            <w:tcW w:w="3708" w:type="dxa"/>
            <w:tcBorders>
              <w:right w:val="nil"/>
            </w:tcBorders>
            <w:shd w:val="clear" w:color="auto" w:fill="auto"/>
          </w:tcPr>
          <w:p w14:paraId="7B8FDF63" w14:textId="77777777" w:rsidR="00BB0E02" w:rsidRPr="00977D2C" w:rsidRDefault="00000000" w:rsidP="00970906">
            <w:pPr>
              <w:pStyle w:val="EMEANormal"/>
              <w:rPr>
                <w:lang w:val="cs-CZ"/>
              </w:rPr>
            </w:pPr>
            <w:r w:rsidRPr="001B4A02">
              <w:rPr>
                <w:b/>
                <w:lang w:val="cs-CZ"/>
              </w:rPr>
              <w:t>KROK 6</w:t>
            </w:r>
          </w:p>
          <w:p w14:paraId="5979DBF0" w14:textId="77777777" w:rsidR="00BB0E02" w:rsidRPr="001B4A02" w:rsidRDefault="00000000" w:rsidP="00970906">
            <w:pPr>
              <w:pStyle w:val="EMEANormal"/>
              <w:rPr>
                <w:b/>
                <w:highlight w:val="yellow"/>
                <w:lang w:val="cs-CZ"/>
              </w:rPr>
            </w:pPr>
            <w:r w:rsidRPr="001B4A02">
              <w:rPr>
                <w:noProof/>
              </w:rPr>
              <w:drawing>
                <wp:inline distT="0" distB="0" distL="0" distR="0" wp14:anchorId="1E5F9806" wp14:editId="5457DA59">
                  <wp:extent cx="2242820" cy="2139315"/>
                  <wp:effectExtent l="0" t="0" r="5080" b="0"/>
                  <wp:docPr id="565" name="obrázek 565"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Picture 565" descr="STEP_6_SYRINGE_IFU_PRE-INJECTION_grey"/>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242820" cy="2139315"/>
                          </a:xfrm>
                          <a:prstGeom prst="rect">
                            <a:avLst/>
                          </a:prstGeom>
                          <a:noFill/>
                          <a:ln>
                            <a:noFill/>
                          </a:ln>
                        </pic:spPr>
                      </pic:pic>
                    </a:graphicData>
                  </a:graphic>
                </wp:inline>
              </w:drawing>
            </w:r>
          </w:p>
        </w:tc>
        <w:tc>
          <w:tcPr>
            <w:tcW w:w="5579" w:type="dxa"/>
            <w:tcBorders>
              <w:left w:val="nil"/>
            </w:tcBorders>
            <w:shd w:val="clear" w:color="auto" w:fill="auto"/>
          </w:tcPr>
          <w:p w14:paraId="32F77382" w14:textId="77777777" w:rsidR="00BB0E02" w:rsidRPr="001B4A02" w:rsidRDefault="00000000" w:rsidP="00970906">
            <w:pPr>
              <w:ind w:left="0" w:firstLine="0"/>
              <w:rPr>
                <w:szCs w:val="22"/>
              </w:rPr>
            </w:pPr>
            <w:r w:rsidRPr="001B4A02">
              <w:rPr>
                <w:szCs w:val="22"/>
              </w:rPr>
              <w:t>Držte předplněnou injekční stříkačku za její tělo v</w:t>
            </w:r>
            <w:r w:rsidR="00075234" w:rsidRPr="001B4A02">
              <w:rPr>
                <w:szCs w:val="22"/>
              </w:rPr>
              <w:t> </w:t>
            </w:r>
            <w:r w:rsidRPr="001B4A02">
              <w:rPr>
                <w:szCs w:val="22"/>
              </w:rPr>
              <w:t>jedné ruce mezi palcem</w:t>
            </w:r>
            <w:r w:rsidR="002378E0">
              <w:rPr>
                <w:szCs w:val="22"/>
              </w:rPr>
              <w:t xml:space="preserve"> a </w:t>
            </w:r>
            <w:r w:rsidRPr="001B4A02">
              <w:rPr>
                <w:szCs w:val="22"/>
              </w:rPr>
              <w:t>ukazovákem, jako byste drželi pero.</w:t>
            </w:r>
          </w:p>
          <w:p w14:paraId="5A171C97" w14:textId="77777777" w:rsidR="00BB0E02" w:rsidRPr="001B4A02" w:rsidRDefault="00BB0E02" w:rsidP="00970906">
            <w:pPr>
              <w:rPr>
                <w:szCs w:val="22"/>
              </w:rPr>
            </w:pPr>
          </w:p>
          <w:p w14:paraId="43B0A8F1" w14:textId="77777777" w:rsidR="00BB0E02" w:rsidRPr="001B4A02" w:rsidRDefault="00000000" w:rsidP="00970906">
            <w:pPr>
              <w:ind w:left="0" w:firstLine="0"/>
              <w:rPr>
                <w:szCs w:val="22"/>
              </w:rPr>
            </w:pPr>
            <w:r w:rsidRPr="001B4A02">
              <w:rPr>
                <w:szCs w:val="22"/>
              </w:rPr>
              <w:t>Druhou rukou stiskněte kůži v</w:t>
            </w:r>
            <w:r w:rsidR="00075234" w:rsidRPr="001B4A02">
              <w:rPr>
                <w:szCs w:val="22"/>
              </w:rPr>
              <w:t> </w:t>
            </w:r>
            <w:r w:rsidR="00FF328B" w:rsidRPr="001B4A02">
              <w:rPr>
                <w:szCs w:val="22"/>
              </w:rPr>
              <w:t>m</w:t>
            </w:r>
            <w:r w:rsidRPr="001B4A02">
              <w:rPr>
                <w:szCs w:val="22"/>
              </w:rPr>
              <w:t>ístě vpichu tak, aby vznikla vyvýšená plocha</w:t>
            </w:r>
            <w:r w:rsidR="00B2627A">
              <w:rPr>
                <w:szCs w:val="22"/>
              </w:rPr>
              <w:t>,</w:t>
            </w:r>
            <w:r w:rsidR="002378E0">
              <w:rPr>
                <w:szCs w:val="22"/>
              </w:rPr>
              <w:t xml:space="preserve"> a </w:t>
            </w:r>
            <w:r w:rsidRPr="001B4A02">
              <w:rPr>
                <w:szCs w:val="22"/>
              </w:rPr>
              <w:t>pevně ji držte.</w:t>
            </w:r>
          </w:p>
          <w:p w14:paraId="6B4E0874" w14:textId="77777777" w:rsidR="00BB0E02" w:rsidRPr="001B4A02" w:rsidRDefault="00BB0E02" w:rsidP="00970906"/>
        </w:tc>
      </w:tr>
      <w:tr w:rsidR="00534A2D" w14:paraId="280EEE65" w14:textId="77777777" w:rsidTr="006A63B6">
        <w:tc>
          <w:tcPr>
            <w:tcW w:w="3708" w:type="dxa"/>
            <w:tcBorders>
              <w:right w:val="nil"/>
            </w:tcBorders>
            <w:shd w:val="clear" w:color="auto" w:fill="auto"/>
          </w:tcPr>
          <w:p w14:paraId="4A82F33C" w14:textId="77777777" w:rsidR="00BB0E02" w:rsidRPr="00977D2C" w:rsidRDefault="00000000" w:rsidP="00970906">
            <w:pPr>
              <w:pStyle w:val="EMEANormal"/>
              <w:keepNext/>
              <w:rPr>
                <w:lang w:val="cs-CZ"/>
              </w:rPr>
            </w:pPr>
            <w:r w:rsidRPr="001B4A02">
              <w:rPr>
                <w:b/>
                <w:lang w:val="cs-CZ"/>
              </w:rPr>
              <w:t>KROK 7</w:t>
            </w:r>
          </w:p>
          <w:p w14:paraId="1CBA20F6" w14:textId="77777777" w:rsidR="00BB0E02" w:rsidRPr="001B4A02" w:rsidRDefault="00000000" w:rsidP="00970906">
            <w:pPr>
              <w:pStyle w:val="EMEANormal"/>
              <w:keepNext/>
              <w:ind w:left="-360"/>
              <w:rPr>
                <w:b/>
                <w:lang w:val="cs-CZ"/>
              </w:rPr>
            </w:pPr>
            <w:r w:rsidRPr="001B4A02">
              <w:rPr>
                <w:noProof/>
              </w:rPr>
              <w:drawing>
                <wp:inline distT="0" distB="0" distL="0" distR="0" wp14:anchorId="49605CB3" wp14:editId="10D12D1A">
                  <wp:extent cx="2191385" cy="2673985"/>
                  <wp:effectExtent l="0" t="0" r="0" b="0"/>
                  <wp:docPr id="566" name="obrázek 566"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Picture 566" descr="STEP_7_SYRINGE_IFU_ABDOMEN-THIGH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191385" cy="2673985"/>
                          </a:xfrm>
                          <a:prstGeom prst="rect">
                            <a:avLst/>
                          </a:prstGeom>
                          <a:noFill/>
                          <a:ln>
                            <a:noFill/>
                          </a:ln>
                        </pic:spPr>
                      </pic:pic>
                    </a:graphicData>
                  </a:graphic>
                </wp:inline>
              </w:drawing>
            </w:r>
          </w:p>
        </w:tc>
        <w:tc>
          <w:tcPr>
            <w:tcW w:w="5579" w:type="dxa"/>
            <w:tcBorders>
              <w:left w:val="nil"/>
            </w:tcBorders>
            <w:shd w:val="clear" w:color="auto" w:fill="auto"/>
          </w:tcPr>
          <w:p w14:paraId="2B8F40E1" w14:textId="77777777" w:rsidR="00BB0E02" w:rsidRPr="001B4A02" w:rsidRDefault="00000000" w:rsidP="00970906">
            <w:pPr>
              <w:keepNext/>
              <w:ind w:left="0" w:firstLine="0"/>
              <w:rPr>
                <w:szCs w:val="22"/>
              </w:rPr>
            </w:pPr>
            <w:r w:rsidRPr="001B4A02">
              <w:rPr>
                <w:szCs w:val="22"/>
              </w:rPr>
              <w:t>Z</w:t>
            </w:r>
            <w:r w:rsidR="009E3625" w:rsidRPr="001B4A02">
              <w:rPr>
                <w:szCs w:val="22"/>
              </w:rPr>
              <w:t>aveďte</w:t>
            </w:r>
            <w:r w:rsidRPr="001B4A02">
              <w:rPr>
                <w:szCs w:val="22"/>
              </w:rPr>
              <w:t xml:space="preserve"> celou jehlu</w:t>
            </w:r>
            <w:r w:rsidR="009E3625" w:rsidRPr="001B4A02">
              <w:rPr>
                <w:szCs w:val="22"/>
              </w:rPr>
              <w:t xml:space="preserve"> jedním rychlým, kr</w:t>
            </w:r>
            <w:r w:rsidRPr="001B4A02">
              <w:rPr>
                <w:szCs w:val="22"/>
              </w:rPr>
              <w:t>á</w:t>
            </w:r>
            <w:r w:rsidR="009E3625" w:rsidRPr="001B4A02">
              <w:rPr>
                <w:szCs w:val="22"/>
              </w:rPr>
              <w:t>tkým pohybem do kůže pod úhlem asi 45 stupňů</w:t>
            </w:r>
            <w:r w:rsidRPr="001B4A02">
              <w:rPr>
                <w:szCs w:val="22"/>
              </w:rPr>
              <w:t>.</w:t>
            </w:r>
          </w:p>
          <w:p w14:paraId="31B8C477" w14:textId="77777777" w:rsidR="00BB0E02" w:rsidRPr="001B4A02" w:rsidRDefault="00BB0E02" w:rsidP="00970906">
            <w:pPr>
              <w:keepNext/>
              <w:rPr>
                <w:szCs w:val="22"/>
              </w:rPr>
            </w:pPr>
          </w:p>
          <w:p w14:paraId="1855E312" w14:textId="77777777" w:rsidR="00BB0E02" w:rsidRPr="001B4A02" w:rsidRDefault="00000000" w:rsidP="00970906">
            <w:pPr>
              <w:keepNext/>
              <w:numPr>
                <w:ilvl w:val="0"/>
                <w:numId w:val="192"/>
              </w:numPr>
              <w:tabs>
                <w:tab w:val="left" w:pos="792"/>
              </w:tabs>
              <w:suppressAutoHyphens/>
              <w:ind w:left="792"/>
              <w:rPr>
                <w:szCs w:val="22"/>
              </w:rPr>
            </w:pPr>
            <w:r w:rsidRPr="001B4A02">
              <w:t>Po zavedení jehly pusťte kůži, kterou držíte</w:t>
            </w:r>
          </w:p>
          <w:p w14:paraId="31F4FB36" w14:textId="77777777" w:rsidR="00BB0E02" w:rsidRPr="001B4A02" w:rsidRDefault="00BB0E02" w:rsidP="00970906">
            <w:pPr>
              <w:keepNext/>
              <w:rPr>
                <w:szCs w:val="22"/>
              </w:rPr>
            </w:pPr>
          </w:p>
          <w:p w14:paraId="1E562002" w14:textId="77777777" w:rsidR="00BB0E02" w:rsidRPr="001B4A02" w:rsidRDefault="00000000" w:rsidP="00970906">
            <w:pPr>
              <w:keepNext/>
              <w:ind w:left="-22" w:firstLine="0"/>
              <w:rPr>
                <w:szCs w:val="22"/>
              </w:rPr>
            </w:pPr>
            <w:r w:rsidRPr="001B4A02">
              <w:rPr>
                <w:szCs w:val="22"/>
              </w:rPr>
              <w:t xml:space="preserve">Pomalu stlačte píst </w:t>
            </w:r>
            <w:r w:rsidR="00E7011D" w:rsidRPr="001B4A02">
              <w:rPr>
                <w:szCs w:val="22"/>
              </w:rPr>
              <w:t>z</w:t>
            </w:r>
            <w:r w:rsidRPr="001B4A02">
              <w:rPr>
                <w:szCs w:val="22"/>
              </w:rPr>
              <w:t>cel</w:t>
            </w:r>
            <w:r w:rsidR="003B5630" w:rsidRPr="001B4A02">
              <w:rPr>
                <w:szCs w:val="22"/>
              </w:rPr>
              <w:t>a</w:t>
            </w:r>
            <w:r w:rsidR="00E7011D" w:rsidRPr="001B4A02">
              <w:rPr>
                <w:szCs w:val="22"/>
              </w:rPr>
              <w:t xml:space="preserve"> dolů</w:t>
            </w:r>
            <w:r w:rsidRPr="001B4A02">
              <w:rPr>
                <w:szCs w:val="22"/>
              </w:rPr>
              <w:t>, dokud není veškerá tekutina podána</w:t>
            </w:r>
            <w:r w:rsidR="002378E0">
              <w:rPr>
                <w:szCs w:val="22"/>
              </w:rPr>
              <w:t xml:space="preserve"> a </w:t>
            </w:r>
            <w:r w:rsidRPr="001B4A02">
              <w:rPr>
                <w:szCs w:val="22"/>
              </w:rPr>
              <w:t>předplněná injekční stříkačka není prázdná.</w:t>
            </w:r>
          </w:p>
          <w:p w14:paraId="6916BAF3" w14:textId="77777777" w:rsidR="00BB0E02" w:rsidRPr="001B4A02" w:rsidRDefault="00BB0E02" w:rsidP="00970906">
            <w:pPr>
              <w:pStyle w:val="EMEANormal"/>
              <w:keepNext/>
              <w:rPr>
                <w:lang w:val="cs-CZ"/>
              </w:rPr>
            </w:pPr>
          </w:p>
        </w:tc>
      </w:tr>
      <w:tr w:rsidR="00534A2D" w14:paraId="536A0A7B" w14:textId="77777777" w:rsidTr="006A63B6">
        <w:tc>
          <w:tcPr>
            <w:tcW w:w="3708" w:type="dxa"/>
            <w:tcBorders>
              <w:right w:val="nil"/>
            </w:tcBorders>
            <w:shd w:val="clear" w:color="auto" w:fill="auto"/>
          </w:tcPr>
          <w:p w14:paraId="5FDC64AB" w14:textId="77777777" w:rsidR="00BB0E02" w:rsidRPr="001B4A02" w:rsidRDefault="00000000" w:rsidP="00ED48A3">
            <w:pPr>
              <w:pStyle w:val="EMEANormal"/>
              <w:rPr>
                <w:b/>
                <w:lang w:val="cs-CZ"/>
              </w:rPr>
            </w:pPr>
            <w:r w:rsidRPr="001B4A02">
              <w:rPr>
                <w:b/>
                <w:lang w:val="cs-CZ"/>
              </w:rPr>
              <w:t>KROK 8</w:t>
            </w:r>
          </w:p>
          <w:p w14:paraId="250ED501" w14:textId="77777777" w:rsidR="00BB0E02" w:rsidRDefault="00000000" w:rsidP="00ED48A3">
            <w:pPr>
              <w:pStyle w:val="EMEANormal"/>
              <w:rPr>
                <w:noProof/>
                <w:lang w:eastAsia="cs-CZ"/>
              </w:rPr>
            </w:pPr>
            <w:r>
              <w:rPr>
                <w:noProof/>
                <w:lang w:eastAsia="cs-CZ"/>
              </w:rPr>
              <w:t xml:space="preserve"> </w:t>
            </w:r>
            <w:r>
              <w:rPr>
                <w:noProof/>
              </w:rPr>
              <w:drawing>
                <wp:inline distT="0" distB="0" distL="0" distR="0" wp14:anchorId="43BBEB67" wp14:editId="1B42A7A9">
                  <wp:extent cx="1983740" cy="2092960"/>
                  <wp:effectExtent l="0" t="0" r="0" b="254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83740" cy="2092960"/>
                          </a:xfrm>
                          <a:prstGeom prst="rect">
                            <a:avLst/>
                          </a:prstGeom>
                        </pic:spPr>
                      </pic:pic>
                    </a:graphicData>
                  </a:graphic>
                </wp:inline>
              </w:drawing>
            </w:r>
          </w:p>
          <w:p w14:paraId="450E5BE2" w14:textId="77777777" w:rsidR="003858B5" w:rsidRPr="003858B5" w:rsidRDefault="00000000" w:rsidP="00ED48A3">
            <w:pPr>
              <w:pStyle w:val="EMEANormal"/>
              <w:rPr>
                <w:b/>
                <w:lang w:val="cs-CZ"/>
              </w:rPr>
            </w:pPr>
            <w:r>
              <w:rPr>
                <w:b/>
                <w:szCs w:val="22"/>
                <w:lang w:val="cs-CZ"/>
              </w:rPr>
              <w:t xml:space="preserve">          </w:t>
            </w:r>
            <w:r w:rsidRPr="003858B5">
              <w:rPr>
                <w:b/>
                <w:szCs w:val="22"/>
                <w:lang w:val="cs-CZ"/>
              </w:rPr>
              <w:t>Bavlněný tamp</w:t>
            </w:r>
            <w:ins w:id="13860" w:author="Abbvie02" w:date="2025-05-16T12:35:00Z">
              <w:r w:rsidR="009165EF">
                <w:rPr>
                  <w:b/>
                  <w:szCs w:val="22"/>
                  <w:lang w:val="cs-CZ"/>
                </w:rPr>
                <w:t>o</w:t>
              </w:r>
            </w:ins>
            <w:del w:id="13861" w:author="Abbvie02" w:date="2025-05-16T12:35:00Z">
              <w:r w:rsidRPr="003858B5">
                <w:rPr>
                  <w:b/>
                  <w:szCs w:val="22"/>
                  <w:lang w:val="cs-CZ"/>
                </w:rPr>
                <w:delText>ó</w:delText>
              </w:r>
            </w:del>
            <w:r w:rsidRPr="003858B5">
              <w:rPr>
                <w:b/>
                <w:szCs w:val="22"/>
                <w:lang w:val="cs-CZ"/>
              </w:rPr>
              <w:t>n</w:t>
            </w:r>
          </w:p>
        </w:tc>
        <w:tc>
          <w:tcPr>
            <w:tcW w:w="5579" w:type="dxa"/>
            <w:tcBorders>
              <w:left w:val="nil"/>
            </w:tcBorders>
            <w:shd w:val="clear" w:color="auto" w:fill="auto"/>
          </w:tcPr>
          <w:p w14:paraId="52E7C2BE" w14:textId="77777777" w:rsidR="00BB0E02" w:rsidRPr="001B4A02" w:rsidRDefault="00000000" w:rsidP="00ED48A3">
            <w:pPr>
              <w:pStyle w:val="EMEANormal"/>
              <w:rPr>
                <w:lang w:val="cs-CZ"/>
              </w:rPr>
            </w:pPr>
            <w:r w:rsidRPr="001B4A02">
              <w:rPr>
                <w:lang w:val="cs-CZ"/>
              </w:rPr>
              <w:t xml:space="preserve">Po </w:t>
            </w:r>
            <w:r w:rsidR="00652016" w:rsidRPr="001B4A02">
              <w:rPr>
                <w:lang w:val="cs-CZ"/>
              </w:rPr>
              <w:t>podání</w:t>
            </w:r>
            <w:r w:rsidRPr="001B4A02">
              <w:rPr>
                <w:lang w:val="cs-CZ"/>
              </w:rPr>
              <w:t xml:space="preserve"> injekce jehlu pomalu vytáhněte z</w:t>
            </w:r>
            <w:r w:rsidR="00075234" w:rsidRPr="001B4A02">
              <w:rPr>
                <w:lang w:val="cs-CZ"/>
              </w:rPr>
              <w:t> </w:t>
            </w:r>
            <w:r w:rsidRPr="001B4A02">
              <w:rPr>
                <w:lang w:val="cs-CZ"/>
              </w:rPr>
              <w:t>kůže</w:t>
            </w:r>
            <w:r w:rsidR="002378E0">
              <w:rPr>
                <w:lang w:val="cs-CZ"/>
              </w:rPr>
              <w:t xml:space="preserve"> a </w:t>
            </w:r>
            <w:r w:rsidRPr="001B4A02">
              <w:rPr>
                <w:lang w:val="cs-CZ"/>
              </w:rPr>
              <w:t>předplněnou injekční stříkačku přitom držte ve stejném úhlu.</w:t>
            </w:r>
          </w:p>
          <w:p w14:paraId="2026E478" w14:textId="77777777" w:rsidR="00BB0E02" w:rsidRPr="001B4A02" w:rsidRDefault="00BB0E02" w:rsidP="00ED48A3">
            <w:pPr>
              <w:pStyle w:val="EMEANormal"/>
              <w:rPr>
                <w:lang w:val="cs-CZ"/>
              </w:rPr>
            </w:pPr>
          </w:p>
          <w:p w14:paraId="0F178339" w14:textId="77777777" w:rsidR="00BB0E02" w:rsidRPr="001B4A02" w:rsidRDefault="00000000" w:rsidP="00ED48A3">
            <w:pPr>
              <w:pStyle w:val="EMEANormal"/>
              <w:rPr>
                <w:lang w:val="cs-CZ"/>
              </w:rPr>
            </w:pPr>
            <w:r w:rsidRPr="001B4A02">
              <w:rPr>
                <w:lang w:val="cs-CZ"/>
              </w:rPr>
              <w:t>Po dokončení injekce přiložte na kůži přes místo vpichu bavlněný tamp</w:t>
            </w:r>
            <w:ins w:id="13862" w:author="Abbvie02" w:date="2025-05-16T12:35:00Z">
              <w:r w:rsidR="009165EF">
                <w:rPr>
                  <w:lang w:val="cs-CZ"/>
                </w:rPr>
                <w:t>o</w:t>
              </w:r>
            </w:ins>
            <w:del w:id="13863" w:author="Abbvie02" w:date="2025-05-16T12:35:00Z">
              <w:r w:rsidRPr="001B4A02">
                <w:rPr>
                  <w:lang w:val="cs-CZ"/>
                </w:rPr>
                <w:delText>ó</w:delText>
              </w:r>
            </w:del>
            <w:r w:rsidRPr="001B4A02">
              <w:rPr>
                <w:lang w:val="cs-CZ"/>
              </w:rPr>
              <w:t>n nebo gázu.</w:t>
            </w:r>
          </w:p>
          <w:p w14:paraId="1411DAF5" w14:textId="77777777" w:rsidR="00BB0E02" w:rsidRPr="001B4A02" w:rsidRDefault="00BB0E02" w:rsidP="00ED48A3">
            <w:pPr>
              <w:pStyle w:val="EMEANormal"/>
              <w:rPr>
                <w:lang w:val="cs-CZ"/>
              </w:rPr>
            </w:pPr>
          </w:p>
          <w:p w14:paraId="0C0993CB" w14:textId="77777777" w:rsidR="00BB0E02" w:rsidRPr="001B4A02" w:rsidRDefault="00000000" w:rsidP="00ED48A3">
            <w:pPr>
              <w:pStyle w:val="EMEABullet2"/>
              <w:numPr>
                <w:ilvl w:val="0"/>
                <w:numId w:val="123"/>
              </w:numPr>
              <w:tabs>
                <w:tab w:val="clear" w:pos="567"/>
                <w:tab w:val="clear" w:pos="690"/>
                <w:tab w:val="num" w:pos="900"/>
              </w:tabs>
              <w:ind w:left="900"/>
              <w:rPr>
                <w:lang w:val="cs-CZ"/>
              </w:rPr>
            </w:pPr>
            <w:r w:rsidRPr="001B4A02">
              <w:rPr>
                <w:b/>
                <w:lang w:val="cs-CZ"/>
              </w:rPr>
              <w:t>Netřete</w:t>
            </w:r>
            <w:r w:rsidRPr="001B4A02">
              <w:rPr>
                <w:lang w:val="cs-CZ"/>
              </w:rPr>
              <w:t xml:space="preserve"> místo vpichu</w:t>
            </w:r>
          </w:p>
          <w:p w14:paraId="66777B5B" w14:textId="77777777" w:rsidR="00BB0E02" w:rsidRPr="001B4A02" w:rsidRDefault="00000000" w:rsidP="00ED48A3">
            <w:pPr>
              <w:pStyle w:val="ListParagraph"/>
              <w:numPr>
                <w:ilvl w:val="0"/>
                <w:numId w:val="123"/>
              </w:numPr>
              <w:tabs>
                <w:tab w:val="clear" w:pos="690"/>
                <w:tab w:val="num" w:pos="900"/>
              </w:tabs>
              <w:suppressAutoHyphens/>
              <w:ind w:left="900"/>
              <w:contextualSpacing/>
            </w:pPr>
            <w:r w:rsidRPr="001B4A02">
              <w:t>Mírné krvácení v</w:t>
            </w:r>
            <w:r w:rsidR="00075234" w:rsidRPr="001B4A02">
              <w:t> </w:t>
            </w:r>
            <w:r w:rsidRPr="001B4A02">
              <w:t>místě vpichu je normální</w:t>
            </w:r>
          </w:p>
          <w:p w14:paraId="10C43D22" w14:textId="77777777" w:rsidR="00BB0E02" w:rsidRPr="001B4A02" w:rsidRDefault="00BB0E02" w:rsidP="00ED48A3">
            <w:pPr>
              <w:pStyle w:val="EMEABullet2"/>
              <w:numPr>
                <w:ilvl w:val="0"/>
                <w:numId w:val="0"/>
              </w:numPr>
              <w:tabs>
                <w:tab w:val="clear" w:pos="567"/>
              </w:tabs>
              <w:ind w:left="690"/>
              <w:rPr>
                <w:lang w:val="cs-CZ"/>
              </w:rPr>
            </w:pPr>
          </w:p>
        </w:tc>
      </w:tr>
    </w:tbl>
    <w:p w14:paraId="2620F550" w14:textId="77777777" w:rsidR="00BB0E02" w:rsidRPr="001B4A02" w:rsidRDefault="00BB0E02" w:rsidP="00ED48A3">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534A2D" w14:paraId="46C578C6" w14:textId="77777777" w:rsidTr="006A63B6">
        <w:tc>
          <w:tcPr>
            <w:tcW w:w="9287" w:type="dxa"/>
            <w:shd w:val="clear" w:color="auto" w:fill="auto"/>
          </w:tcPr>
          <w:p w14:paraId="596FD5BA" w14:textId="77777777" w:rsidR="00BB0E02" w:rsidRPr="001B4A02" w:rsidRDefault="00000000" w:rsidP="00ED48A3">
            <w:pPr>
              <w:keepNext/>
              <w:rPr>
                <w:b/>
              </w:rPr>
            </w:pPr>
            <w:r w:rsidRPr="001B4A02">
              <w:rPr>
                <w:b/>
              </w:rPr>
              <w:t>KROK 9</w:t>
            </w:r>
          </w:p>
          <w:p w14:paraId="32672E57" w14:textId="77777777" w:rsidR="00BB0E02" w:rsidRPr="001B4A02" w:rsidRDefault="00BB0E02" w:rsidP="00ED48A3">
            <w:pPr>
              <w:keepNext/>
              <w:rPr>
                <w:b/>
              </w:rPr>
            </w:pPr>
          </w:p>
          <w:p w14:paraId="3B699D6B" w14:textId="77777777" w:rsidR="00FE4CC5" w:rsidRPr="001B4A02" w:rsidRDefault="00000000" w:rsidP="00ED48A3">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Použitou předplněnou injekční stříkačku vyhoďte do speciální nádoby, jak jste byli poučeni lékařem, zdravotní sestrou nebo lékárníkem.</w:t>
            </w:r>
          </w:p>
          <w:p w14:paraId="5DC8D53B" w14:textId="77777777" w:rsidR="00BB0E02" w:rsidRPr="001B4A02" w:rsidRDefault="00000000" w:rsidP="00ED48A3">
            <w:pPr>
              <w:pStyle w:val="EMEAHeadingLeaflet"/>
              <w:keepNext/>
              <w:spacing w:beforeLines="0" w:afterLines="0"/>
              <w:rPr>
                <w:rFonts w:ascii="Times New Roman" w:hAnsi="Times New Roman"/>
                <w:b w:val="0"/>
                <w:lang w:val="cs-CZ"/>
              </w:rPr>
            </w:pPr>
            <w:r w:rsidRPr="001B4A02">
              <w:rPr>
                <w:rFonts w:ascii="Times New Roman" w:hAnsi="Times New Roman"/>
                <w:lang w:val="cs-CZ"/>
              </w:rPr>
              <w:t xml:space="preserve">Nikdy </w:t>
            </w:r>
            <w:r w:rsidRPr="001B4A02">
              <w:rPr>
                <w:rFonts w:ascii="Times New Roman" w:hAnsi="Times New Roman"/>
                <w:b w:val="0"/>
                <w:lang w:val="cs-CZ"/>
              </w:rPr>
              <w:t xml:space="preserve">nenasazujte </w:t>
            </w:r>
            <w:r w:rsidR="00FF328B" w:rsidRPr="001B4A02">
              <w:rPr>
                <w:rFonts w:ascii="Times New Roman" w:hAnsi="Times New Roman"/>
                <w:b w:val="0"/>
                <w:lang w:val="cs-CZ"/>
              </w:rPr>
              <w:t>kryt</w:t>
            </w:r>
            <w:r w:rsidRPr="001B4A02">
              <w:rPr>
                <w:rFonts w:ascii="Times New Roman" w:hAnsi="Times New Roman"/>
                <w:b w:val="0"/>
                <w:lang w:val="cs-CZ"/>
              </w:rPr>
              <w:t xml:space="preserve"> zpátky na jehlu.</w:t>
            </w:r>
          </w:p>
          <w:p w14:paraId="7CA91D95" w14:textId="77777777" w:rsidR="00BB0E02" w:rsidRPr="001B4A02" w:rsidRDefault="00BB0E02" w:rsidP="00ED48A3">
            <w:pPr>
              <w:pStyle w:val="EMEANormal"/>
              <w:rPr>
                <w:lang w:val="cs-CZ"/>
              </w:rPr>
            </w:pPr>
          </w:p>
          <w:p w14:paraId="7EE0E592" w14:textId="77777777" w:rsidR="00BB0E02" w:rsidRPr="001B4A02" w:rsidRDefault="00000000" w:rsidP="00ED48A3">
            <w:pPr>
              <w:pStyle w:val="EMEAHeadingLeaflet"/>
              <w:keepNext/>
              <w:numPr>
                <w:ilvl w:val="0"/>
                <w:numId w:val="114"/>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 xml:space="preserve">Předplněnou injekční stříkačku </w:t>
            </w:r>
            <w:r w:rsidRPr="001B4A02">
              <w:rPr>
                <w:rFonts w:ascii="Times New Roman" w:hAnsi="Times New Roman"/>
                <w:lang w:val="cs-CZ"/>
              </w:rPr>
              <w:t>nerecyklujte</w:t>
            </w:r>
            <w:r w:rsidRPr="001B4A02">
              <w:rPr>
                <w:rFonts w:ascii="Times New Roman" w:hAnsi="Times New Roman"/>
                <w:b w:val="0"/>
                <w:lang w:val="cs-CZ"/>
              </w:rPr>
              <w:t xml:space="preserve"> ani nevyhazujte do domácího odpadu</w:t>
            </w:r>
          </w:p>
          <w:p w14:paraId="14D40967" w14:textId="77777777" w:rsidR="00FE4CC5" w:rsidRPr="001B4A02" w:rsidRDefault="00000000" w:rsidP="00ED48A3">
            <w:pPr>
              <w:pStyle w:val="EMEANormal"/>
              <w:numPr>
                <w:ilvl w:val="0"/>
                <w:numId w:val="114"/>
              </w:numPr>
              <w:tabs>
                <w:tab w:val="clear" w:pos="562"/>
                <w:tab w:val="left" w:pos="720"/>
              </w:tabs>
              <w:rPr>
                <w:lang w:val="cs-CZ"/>
              </w:rPr>
            </w:pPr>
            <w:r w:rsidRPr="001B4A02">
              <w:rPr>
                <w:lang w:val="cs-CZ"/>
              </w:rPr>
              <w:t>Předplněnou injekční stříkačku</w:t>
            </w:r>
            <w:r w:rsidR="002378E0">
              <w:rPr>
                <w:lang w:val="cs-CZ"/>
              </w:rPr>
              <w:t xml:space="preserve"> a </w:t>
            </w:r>
            <w:r w:rsidRPr="001B4A02">
              <w:rPr>
                <w:lang w:val="cs-CZ"/>
              </w:rPr>
              <w:t xml:space="preserve">speciální odpadní nádobu </w:t>
            </w:r>
            <w:r w:rsidRPr="001B4A02">
              <w:rPr>
                <w:b/>
                <w:lang w:val="cs-CZ"/>
              </w:rPr>
              <w:t xml:space="preserve">vždy </w:t>
            </w:r>
            <w:r w:rsidRPr="001B4A02">
              <w:rPr>
                <w:lang w:val="cs-CZ"/>
              </w:rPr>
              <w:t>uchovávejte mimo dohled</w:t>
            </w:r>
            <w:r w:rsidR="002378E0">
              <w:rPr>
                <w:lang w:val="cs-CZ"/>
              </w:rPr>
              <w:t xml:space="preserve"> a </w:t>
            </w:r>
            <w:r w:rsidRPr="001B4A02">
              <w:rPr>
                <w:lang w:val="cs-CZ"/>
              </w:rPr>
              <w:t>dosah dětí</w:t>
            </w:r>
          </w:p>
          <w:p w14:paraId="25797588" w14:textId="77777777" w:rsidR="00BB0E02" w:rsidRPr="001B4A02" w:rsidRDefault="00BB0E02" w:rsidP="007E416D">
            <w:pPr>
              <w:pStyle w:val="EMEANormal"/>
              <w:keepNext/>
              <w:tabs>
                <w:tab w:val="clear" w:pos="562"/>
                <w:tab w:val="left" w:pos="720"/>
              </w:tabs>
              <w:rPr>
                <w:lang w:val="cs-CZ"/>
              </w:rPr>
            </w:pPr>
          </w:p>
          <w:p w14:paraId="3F9EB654" w14:textId="77777777" w:rsidR="00BB0E02" w:rsidRPr="001B4A02" w:rsidRDefault="00000000" w:rsidP="00ED48A3">
            <w:pPr>
              <w:pStyle w:val="EMEANormal"/>
              <w:keepNext/>
              <w:rPr>
                <w:lang w:val="cs-CZ"/>
              </w:rPr>
            </w:pPr>
            <w:r w:rsidRPr="001B4A02">
              <w:rPr>
                <w:szCs w:val="22"/>
                <w:lang w:val="cs-CZ"/>
              </w:rPr>
              <w:t>Kryt jehly, tamp</w:t>
            </w:r>
            <w:ins w:id="13864" w:author="Abbvie02" w:date="2025-05-16T12:35:00Z">
              <w:r w:rsidR="009165EF">
                <w:rPr>
                  <w:szCs w:val="22"/>
                  <w:lang w:val="cs-CZ"/>
                </w:rPr>
                <w:t>o</w:t>
              </w:r>
            </w:ins>
            <w:del w:id="13865" w:author="Abbvie02" w:date="2025-05-16T12:35:00Z">
              <w:r w:rsidR="00785E3C" w:rsidRPr="001B4A02">
                <w:rPr>
                  <w:szCs w:val="22"/>
                  <w:lang w:val="cs-CZ"/>
                </w:rPr>
                <w:delText>ó</w:delText>
              </w:r>
            </w:del>
            <w:r w:rsidRPr="001B4A02">
              <w:rPr>
                <w:szCs w:val="22"/>
                <w:lang w:val="cs-CZ"/>
              </w:rPr>
              <w:t>n s</w:t>
            </w:r>
            <w:r w:rsidR="00075234" w:rsidRPr="001B4A02">
              <w:rPr>
                <w:szCs w:val="22"/>
                <w:lang w:val="cs-CZ"/>
              </w:rPr>
              <w:t> </w:t>
            </w:r>
            <w:r w:rsidRPr="001B4A02">
              <w:rPr>
                <w:szCs w:val="22"/>
                <w:lang w:val="cs-CZ"/>
              </w:rPr>
              <w:t>alkoholem, bavlněný tamp</w:t>
            </w:r>
            <w:ins w:id="13866" w:author="Abbvie02" w:date="2025-05-16T12:35:00Z">
              <w:r w:rsidR="009165EF">
                <w:rPr>
                  <w:szCs w:val="22"/>
                  <w:lang w:val="cs-CZ"/>
                </w:rPr>
                <w:t>o</w:t>
              </w:r>
            </w:ins>
            <w:del w:id="13867" w:author="Abbvie02" w:date="2025-05-16T12:35:00Z">
              <w:r w:rsidR="00785E3C" w:rsidRPr="001B4A02">
                <w:rPr>
                  <w:szCs w:val="22"/>
                  <w:lang w:val="cs-CZ"/>
                </w:rPr>
                <w:delText>ó</w:delText>
              </w:r>
            </w:del>
            <w:r w:rsidRPr="001B4A02">
              <w:rPr>
                <w:szCs w:val="22"/>
                <w:lang w:val="cs-CZ"/>
              </w:rPr>
              <w:t>n nebo gáz</w:t>
            </w:r>
            <w:r w:rsidR="00335FC3" w:rsidRPr="001B4A02">
              <w:rPr>
                <w:szCs w:val="22"/>
                <w:lang w:val="cs-CZ"/>
              </w:rPr>
              <w:t>u</w:t>
            </w:r>
            <w:r w:rsidRPr="001B4A02">
              <w:rPr>
                <w:szCs w:val="22"/>
                <w:lang w:val="cs-CZ"/>
              </w:rPr>
              <w:t>, blistr</w:t>
            </w:r>
            <w:r w:rsidR="002378E0">
              <w:rPr>
                <w:szCs w:val="22"/>
                <w:lang w:val="cs-CZ"/>
              </w:rPr>
              <w:t xml:space="preserve"> a </w:t>
            </w:r>
            <w:r w:rsidRPr="001B4A02">
              <w:rPr>
                <w:szCs w:val="22"/>
                <w:lang w:val="cs-CZ"/>
              </w:rPr>
              <w:t>obal můžete vyhodit do domácího odpadu.</w:t>
            </w:r>
          </w:p>
        </w:tc>
      </w:tr>
    </w:tbl>
    <w:p w14:paraId="20B72FFB" w14:textId="77777777" w:rsidR="001C5A66" w:rsidRPr="001B4A02" w:rsidRDefault="001C5A66" w:rsidP="00ED48A3">
      <w:pPr>
        <w:ind w:left="0" w:firstLine="0"/>
      </w:pPr>
    </w:p>
    <w:p w14:paraId="2EB860D0" w14:textId="77777777" w:rsidR="001E5DBB" w:rsidRDefault="00000000" w:rsidP="001E5DBB">
      <w:pPr>
        <w:ind w:left="0" w:firstLine="0"/>
        <w:jc w:val="center"/>
        <w:rPr>
          <w:szCs w:val="22"/>
        </w:rPr>
      </w:pPr>
      <w:r w:rsidRPr="00490910">
        <w:br w:type="page"/>
      </w:r>
    </w:p>
    <w:p w14:paraId="7266E0FA" w14:textId="77777777" w:rsidR="009640B0" w:rsidRPr="001B4A02" w:rsidRDefault="00000000" w:rsidP="00ED48A3">
      <w:pPr>
        <w:ind w:left="0" w:firstLine="0"/>
        <w:jc w:val="center"/>
      </w:pPr>
      <w:r w:rsidRPr="001B4A02">
        <w:rPr>
          <w:b/>
        </w:rPr>
        <w:t>Příbalová informace: informace pro pacienta</w:t>
      </w:r>
    </w:p>
    <w:p w14:paraId="6FD1D9B8" w14:textId="77777777" w:rsidR="009640B0" w:rsidRPr="001B4A02" w:rsidRDefault="009640B0" w:rsidP="00ED48A3">
      <w:pPr>
        <w:ind w:left="0" w:firstLine="0"/>
        <w:jc w:val="center"/>
      </w:pPr>
    </w:p>
    <w:p w14:paraId="609A4E45" w14:textId="77777777" w:rsidR="009640B0" w:rsidRPr="001B4A02" w:rsidRDefault="00000000" w:rsidP="004B14C0">
      <w:pPr>
        <w:ind w:left="0" w:firstLine="0"/>
        <w:jc w:val="center"/>
        <w:outlineLvl w:val="0"/>
      </w:pPr>
      <w:r w:rsidRPr="001B4A02">
        <w:rPr>
          <w:b/>
          <w:bCs/>
        </w:rPr>
        <w:t xml:space="preserve">Humira </w:t>
      </w:r>
      <w:r w:rsidRPr="001B4A02">
        <w:rPr>
          <w:b/>
        </w:rPr>
        <w:t>80 mg injekční roztok v</w:t>
      </w:r>
      <w:r w:rsidR="00075234" w:rsidRPr="001B4A02">
        <w:rPr>
          <w:b/>
        </w:rPr>
        <w:t> </w:t>
      </w:r>
      <w:r w:rsidRPr="001B4A02">
        <w:rPr>
          <w:b/>
        </w:rPr>
        <w:t>předplněném peru</w:t>
      </w:r>
    </w:p>
    <w:p w14:paraId="1AB99299" w14:textId="77777777" w:rsidR="009640B0" w:rsidRPr="001B4A02" w:rsidRDefault="00000000" w:rsidP="00ED48A3">
      <w:pPr>
        <w:ind w:left="0" w:firstLine="0"/>
        <w:jc w:val="center"/>
      </w:pPr>
      <w:r w:rsidRPr="001B4A02">
        <w:t>adalimumab</w:t>
      </w:r>
      <w:del w:id="13868" w:author="Abbvie02" w:date="2025-05-16T11:51:00Z">
        <w:r w:rsidRPr="001B4A02">
          <w:delText>um</w:delText>
        </w:r>
      </w:del>
    </w:p>
    <w:p w14:paraId="5C39AFC7" w14:textId="77777777" w:rsidR="009640B0" w:rsidRPr="001B4A02" w:rsidRDefault="009640B0" w:rsidP="00ED48A3">
      <w:pPr>
        <w:ind w:left="0" w:firstLine="0"/>
        <w:jc w:val="center"/>
      </w:pPr>
    </w:p>
    <w:p w14:paraId="2C1947FA" w14:textId="77777777" w:rsidR="009640B0" w:rsidRPr="001B4A02" w:rsidRDefault="00000000" w:rsidP="00ED48A3">
      <w:pPr>
        <w:ind w:left="0" w:firstLine="0"/>
        <w:rPr>
          <w:b/>
        </w:rPr>
      </w:pPr>
      <w:r w:rsidRPr="001B4A02">
        <w:rPr>
          <w:b/>
        </w:rPr>
        <w:t>Přečtěte si pozorně celou příbalovou informaci dříve, než začnete tento přípravek používat, protože obsahuje pro Vás důležité údaje.</w:t>
      </w:r>
    </w:p>
    <w:p w14:paraId="60EAFDC3" w14:textId="77777777" w:rsidR="009640B0" w:rsidRPr="001B4A02" w:rsidRDefault="00000000" w:rsidP="00ED48A3">
      <w:pPr>
        <w:numPr>
          <w:ilvl w:val="0"/>
          <w:numId w:val="234"/>
        </w:numPr>
        <w:tabs>
          <w:tab w:val="left" w:pos="567"/>
        </w:tabs>
        <w:ind w:left="567" w:hanging="567"/>
      </w:pPr>
      <w:r w:rsidRPr="001B4A02">
        <w:t>Ponechte si příbalovou informaci pro případ, že si ji budete potřebovat přečíst znovu.</w:t>
      </w:r>
    </w:p>
    <w:p w14:paraId="321607AB" w14:textId="77777777" w:rsidR="009640B0" w:rsidRPr="001B4A02" w:rsidRDefault="00000000" w:rsidP="00ED48A3">
      <w:pPr>
        <w:numPr>
          <w:ilvl w:val="0"/>
          <w:numId w:val="234"/>
        </w:numPr>
        <w:tabs>
          <w:tab w:val="left" w:pos="567"/>
        </w:tabs>
        <w:ind w:left="567" w:hanging="567"/>
      </w:pPr>
      <w:r w:rsidRPr="001B4A02">
        <w:t xml:space="preserve">Váš lékař Vám rovněž vydá </w:t>
      </w:r>
      <w:r w:rsidRPr="001B4A02">
        <w:rPr>
          <w:b/>
        </w:rPr>
        <w:t>informační kartičku</w:t>
      </w:r>
      <w:r w:rsidRPr="001B4A02">
        <w:t>, která obsahuje důležité bezpečnostní informace, se kterými musíte být seznámen(a) před zahájením léčby přípravkem Humira</w:t>
      </w:r>
      <w:r w:rsidR="002378E0">
        <w:t xml:space="preserve"> a </w:t>
      </w:r>
      <w:r w:rsidRPr="001B4A02">
        <w:t xml:space="preserve">během léčby tímto lékem. Mějte tuto </w:t>
      </w:r>
      <w:r w:rsidRPr="001B4A02">
        <w:rPr>
          <w:b/>
        </w:rPr>
        <w:t>informační kartičku</w:t>
      </w:r>
      <w:r w:rsidRPr="001B4A02">
        <w:t xml:space="preserve"> vždy při sobě.</w:t>
      </w:r>
    </w:p>
    <w:p w14:paraId="1230FF32" w14:textId="77777777" w:rsidR="009640B0" w:rsidRPr="001B4A02" w:rsidRDefault="00000000" w:rsidP="00ED48A3">
      <w:pPr>
        <w:numPr>
          <w:ilvl w:val="0"/>
          <w:numId w:val="234"/>
        </w:numPr>
        <w:tabs>
          <w:tab w:val="left" w:pos="567"/>
        </w:tabs>
        <w:ind w:left="567" w:hanging="567"/>
      </w:pPr>
      <w:r w:rsidRPr="001B4A02">
        <w:t>Máte-li jakékoli další otázky, zeptejte se svého lékaře nebo lékárníka.</w:t>
      </w:r>
    </w:p>
    <w:p w14:paraId="7CBACCFE" w14:textId="77777777" w:rsidR="009640B0" w:rsidRPr="001B4A02" w:rsidRDefault="00000000" w:rsidP="00ED48A3">
      <w:pPr>
        <w:numPr>
          <w:ilvl w:val="0"/>
          <w:numId w:val="234"/>
        </w:numPr>
        <w:tabs>
          <w:tab w:val="left" w:pos="567"/>
        </w:tabs>
        <w:ind w:left="567" w:hanging="567"/>
      </w:pPr>
      <w:r w:rsidRPr="001B4A02">
        <w:t>Tento přípravek byl předepsán výhradně Vám. Nedávejte jej žádné další osobě. Mohl by jí ublížit</w:t>
      </w:r>
      <w:r w:rsidR="00D11EC5" w:rsidRPr="001B4A02">
        <w:t>,</w:t>
      </w:r>
      <w:r w:rsidR="002378E0">
        <w:t xml:space="preserve"> a </w:t>
      </w:r>
      <w:r w:rsidRPr="001B4A02">
        <w:t>to i tehdy, má-li stejné známky onemocnění jako Vy.</w:t>
      </w:r>
    </w:p>
    <w:p w14:paraId="25573671" w14:textId="77777777" w:rsidR="009640B0" w:rsidRPr="001B4A02" w:rsidRDefault="00000000" w:rsidP="00ED48A3">
      <w:pPr>
        <w:numPr>
          <w:ilvl w:val="0"/>
          <w:numId w:val="234"/>
        </w:numPr>
        <w:tabs>
          <w:tab w:val="left" w:pos="567"/>
        </w:tabs>
        <w:ind w:left="567" w:hanging="567"/>
      </w:pPr>
      <w:r w:rsidRPr="001B4A02">
        <w:t>Pokud se u</w:t>
      </w:r>
      <w:r w:rsidR="00715D0A" w:rsidRPr="001B4A02">
        <w:t> </w:t>
      </w:r>
      <w:r w:rsidRPr="001B4A02">
        <w:t>Vás vyskytne kterýkoli z</w:t>
      </w:r>
      <w:r w:rsidR="00075234" w:rsidRPr="001B4A02">
        <w:t> </w:t>
      </w:r>
      <w:r w:rsidRPr="001B4A02">
        <w:t>nežádoucích účinků, sdělte to svému lékaři nebo lékárníkovi. Stejně postupujte v</w:t>
      </w:r>
      <w:r w:rsidR="00075234" w:rsidRPr="001B4A02">
        <w:t> </w:t>
      </w:r>
      <w:r w:rsidRPr="001B4A02">
        <w:t>případě jakýchkoli nežádoucích účinků, které nejsou uvedeny v</w:t>
      </w:r>
      <w:r w:rsidR="00075234" w:rsidRPr="001B4A02">
        <w:t> </w:t>
      </w:r>
      <w:r w:rsidRPr="001B4A02">
        <w:t>této příbalové informaci</w:t>
      </w:r>
      <w:r w:rsidR="006159C5" w:rsidRPr="001B4A02">
        <w:t>.</w:t>
      </w:r>
      <w:r w:rsidRPr="001B4A02">
        <w:t xml:space="preserve"> </w:t>
      </w:r>
      <w:r w:rsidR="006159C5" w:rsidRPr="001B4A02">
        <w:t>V</w:t>
      </w:r>
      <w:r w:rsidRPr="001B4A02">
        <w:t>iz bod 4.</w:t>
      </w:r>
    </w:p>
    <w:p w14:paraId="1DD064CB" w14:textId="77777777" w:rsidR="009640B0" w:rsidRPr="001B4A02" w:rsidRDefault="009640B0" w:rsidP="00ED48A3">
      <w:pPr>
        <w:ind w:left="0" w:firstLine="0"/>
      </w:pPr>
    </w:p>
    <w:p w14:paraId="5EB78E1F" w14:textId="77777777" w:rsidR="009640B0" w:rsidRPr="001B4A02" w:rsidRDefault="00000000" w:rsidP="0067453A">
      <w:pPr>
        <w:keepNext/>
        <w:numPr>
          <w:ilvl w:val="12"/>
          <w:numId w:val="0"/>
        </w:numPr>
      </w:pPr>
      <w:r w:rsidRPr="001B4A02">
        <w:rPr>
          <w:b/>
        </w:rPr>
        <w:t>Co naleznete v</w:t>
      </w:r>
      <w:r w:rsidR="00075234" w:rsidRPr="001B4A02">
        <w:rPr>
          <w:b/>
        </w:rPr>
        <w:t> </w:t>
      </w:r>
      <w:r w:rsidRPr="001B4A02">
        <w:rPr>
          <w:b/>
        </w:rPr>
        <w:t>této příbalové informaci</w:t>
      </w:r>
    </w:p>
    <w:p w14:paraId="42D414F3" w14:textId="77777777" w:rsidR="009640B0" w:rsidRPr="001B4A02" w:rsidRDefault="00000000" w:rsidP="00ED48A3">
      <w:pPr>
        <w:numPr>
          <w:ilvl w:val="0"/>
          <w:numId w:val="236"/>
        </w:numPr>
        <w:tabs>
          <w:tab w:val="left" w:pos="567"/>
        </w:tabs>
        <w:ind w:left="567" w:hanging="567"/>
      </w:pPr>
      <w:r w:rsidRPr="001B4A02">
        <w:t>Co je přípravek Humira</w:t>
      </w:r>
      <w:r w:rsidR="002378E0">
        <w:t xml:space="preserve"> a </w:t>
      </w:r>
      <w:r w:rsidRPr="001B4A02">
        <w:t>k</w:t>
      </w:r>
      <w:r w:rsidR="00075234" w:rsidRPr="001B4A02">
        <w:t> </w:t>
      </w:r>
      <w:r w:rsidRPr="001B4A02">
        <w:t>čemu se používá</w:t>
      </w:r>
    </w:p>
    <w:p w14:paraId="5D349860" w14:textId="77777777" w:rsidR="009640B0" w:rsidRPr="001B4A02" w:rsidRDefault="00000000" w:rsidP="00ED48A3">
      <w:pPr>
        <w:numPr>
          <w:ilvl w:val="0"/>
          <w:numId w:val="236"/>
        </w:numPr>
        <w:tabs>
          <w:tab w:val="left" w:pos="567"/>
        </w:tabs>
        <w:ind w:left="567" w:hanging="567"/>
      </w:pPr>
      <w:r w:rsidRPr="001B4A02">
        <w:t>Čemu musíte věnovat pozornost, než začnete přípravek Humira používat</w:t>
      </w:r>
    </w:p>
    <w:p w14:paraId="45C67C82" w14:textId="77777777" w:rsidR="009640B0" w:rsidRPr="001B4A02" w:rsidRDefault="00000000" w:rsidP="00ED48A3">
      <w:pPr>
        <w:numPr>
          <w:ilvl w:val="0"/>
          <w:numId w:val="236"/>
        </w:numPr>
        <w:tabs>
          <w:tab w:val="left" w:pos="567"/>
        </w:tabs>
        <w:ind w:left="567" w:hanging="567"/>
      </w:pPr>
      <w:r w:rsidRPr="001B4A02">
        <w:t>Jak se přípravek Humira používá</w:t>
      </w:r>
    </w:p>
    <w:p w14:paraId="6AA354B3" w14:textId="77777777" w:rsidR="009640B0" w:rsidRPr="001B4A02" w:rsidRDefault="00000000" w:rsidP="00ED48A3">
      <w:pPr>
        <w:numPr>
          <w:ilvl w:val="0"/>
          <w:numId w:val="236"/>
        </w:numPr>
        <w:tabs>
          <w:tab w:val="left" w:pos="567"/>
        </w:tabs>
        <w:ind w:left="567" w:hanging="567"/>
      </w:pPr>
      <w:r w:rsidRPr="001B4A02">
        <w:t>Možné nežádoucí účinky</w:t>
      </w:r>
    </w:p>
    <w:p w14:paraId="16F55030" w14:textId="77777777" w:rsidR="009640B0" w:rsidRPr="001B4A02" w:rsidRDefault="00000000" w:rsidP="00ED48A3">
      <w:pPr>
        <w:numPr>
          <w:ilvl w:val="0"/>
          <w:numId w:val="236"/>
        </w:numPr>
        <w:tabs>
          <w:tab w:val="left" w:pos="567"/>
        </w:tabs>
        <w:ind w:left="567" w:hanging="567"/>
      </w:pPr>
      <w:r w:rsidRPr="001B4A02">
        <w:t>Jak přípravek Humira uchovávat</w:t>
      </w:r>
    </w:p>
    <w:p w14:paraId="5C121043" w14:textId="77777777" w:rsidR="009640B0" w:rsidRPr="001B4A02" w:rsidRDefault="00000000" w:rsidP="00ED48A3">
      <w:pPr>
        <w:numPr>
          <w:ilvl w:val="0"/>
          <w:numId w:val="236"/>
        </w:numPr>
        <w:tabs>
          <w:tab w:val="left" w:pos="567"/>
        </w:tabs>
        <w:ind w:left="567" w:hanging="567"/>
      </w:pPr>
      <w:r w:rsidRPr="001B4A02">
        <w:t>Obsah balení</w:t>
      </w:r>
      <w:r w:rsidR="002378E0">
        <w:t xml:space="preserve"> a </w:t>
      </w:r>
      <w:r w:rsidRPr="001B4A02">
        <w:t>další informace</w:t>
      </w:r>
    </w:p>
    <w:p w14:paraId="3C06B77A" w14:textId="77777777" w:rsidR="009865EB" w:rsidRPr="001B4A02" w:rsidRDefault="00000000" w:rsidP="00ED48A3">
      <w:pPr>
        <w:numPr>
          <w:ilvl w:val="0"/>
          <w:numId w:val="236"/>
        </w:numPr>
        <w:tabs>
          <w:tab w:val="left" w:pos="567"/>
        </w:tabs>
        <w:ind w:left="567" w:hanging="567"/>
      </w:pPr>
      <w:r>
        <w:t>Aplikace injekce přípravku Humira</w:t>
      </w:r>
    </w:p>
    <w:p w14:paraId="68B994B1" w14:textId="77777777" w:rsidR="009640B0" w:rsidRPr="001B4A02" w:rsidRDefault="009640B0" w:rsidP="00ED48A3">
      <w:pPr>
        <w:ind w:left="0" w:firstLine="0"/>
      </w:pPr>
    </w:p>
    <w:p w14:paraId="328A2E2E" w14:textId="77777777" w:rsidR="009640B0" w:rsidRPr="001B4A02" w:rsidRDefault="009640B0" w:rsidP="00ED48A3">
      <w:pPr>
        <w:ind w:left="0" w:firstLine="0"/>
      </w:pPr>
    </w:p>
    <w:p w14:paraId="7A1A796B" w14:textId="77777777" w:rsidR="009640B0" w:rsidRPr="001B4A02" w:rsidRDefault="00000000" w:rsidP="001D31EF">
      <w:pPr>
        <w:pStyle w:val="EMEAHeading1"/>
        <w:keepNext/>
        <w:spacing w:beforeLines="0" w:afterLines="0"/>
        <w:outlineLvl w:val="1"/>
        <w:rPr>
          <w:rFonts w:ascii="Times New Roman" w:hAnsi="Times New Roman"/>
          <w:caps w:val="0"/>
          <w:lang w:val="cs-CZ"/>
        </w:rPr>
      </w:pPr>
      <w:r w:rsidRPr="001B4A02">
        <w:rPr>
          <w:rFonts w:ascii="Times New Roman" w:hAnsi="Times New Roman"/>
          <w:caps w:val="0"/>
          <w:lang w:val="cs-CZ"/>
        </w:rPr>
        <w:t>1.</w:t>
      </w:r>
      <w:r w:rsidRPr="001B4A02">
        <w:rPr>
          <w:rFonts w:ascii="Times New Roman" w:hAnsi="Times New Roman"/>
          <w:caps w:val="0"/>
          <w:lang w:val="cs-CZ"/>
        </w:rPr>
        <w:tab/>
        <w:t>Co je přípravek Humira</w:t>
      </w:r>
      <w:r w:rsidR="002378E0">
        <w:rPr>
          <w:rFonts w:ascii="Times New Roman" w:hAnsi="Times New Roman"/>
          <w:caps w:val="0"/>
          <w:lang w:val="cs-CZ"/>
        </w:rPr>
        <w:t xml:space="preserve"> a </w:t>
      </w:r>
      <w:r w:rsidRPr="001B4A02">
        <w:rPr>
          <w:rFonts w:ascii="Times New Roman" w:hAnsi="Times New Roman"/>
          <w:caps w:val="0"/>
          <w:lang w:val="cs-CZ"/>
        </w:rPr>
        <w:t>k</w:t>
      </w:r>
      <w:r w:rsidR="00075234" w:rsidRPr="001B4A02">
        <w:rPr>
          <w:rFonts w:ascii="Times New Roman" w:hAnsi="Times New Roman"/>
          <w:caps w:val="0"/>
          <w:lang w:val="cs-CZ"/>
        </w:rPr>
        <w:t> </w:t>
      </w:r>
      <w:r w:rsidRPr="001B4A02">
        <w:rPr>
          <w:rFonts w:ascii="Times New Roman" w:hAnsi="Times New Roman"/>
          <w:caps w:val="0"/>
          <w:lang w:val="cs-CZ"/>
        </w:rPr>
        <w:t>čemu se používá</w:t>
      </w:r>
    </w:p>
    <w:p w14:paraId="64B0EE7D" w14:textId="77777777" w:rsidR="009640B0" w:rsidRPr="001B4A02" w:rsidRDefault="009640B0" w:rsidP="001D31EF">
      <w:pPr>
        <w:pStyle w:val="EMEANormal"/>
        <w:keepNext/>
        <w:rPr>
          <w:lang w:val="cs-CZ"/>
        </w:rPr>
      </w:pPr>
    </w:p>
    <w:p w14:paraId="72BA0B8C" w14:textId="77777777" w:rsidR="009640B0" w:rsidRPr="001B4A02" w:rsidRDefault="00000000" w:rsidP="003200DF">
      <w:pPr>
        <w:ind w:left="0" w:firstLine="0"/>
      </w:pPr>
      <w:r w:rsidRPr="001B4A02">
        <w:t>Přípravek Humira obsahuje léčivou látku adalimumab</w:t>
      </w:r>
      <w:r w:rsidR="003200DF" w:rsidRPr="001B4A02">
        <w:t>.</w:t>
      </w:r>
    </w:p>
    <w:p w14:paraId="6659E767" w14:textId="77777777" w:rsidR="009640B0" w:rsidRPr="001B4A02" w:rsidRDefault="009640B0" w:rsidP="00ED48A3">
      <w:pPr>
        <w:ind w:left="0" w:firstLine="0"/>
      </w:pPr>
    </w:p>
    <w:p w14:paraId="220F49D7" w14:textId="77777777" w:rsidR="009640B0" w:rsidRPr="001B4A02" w:rsidRDefault="00000000" w:rsidP="001D31EF">
      <w:pPr>
        <w:keepNext/>
        <w:ind w:left="0" w:firstLine="0"/>
      </w:pPr>
      <w:r w:rsidRPr="001B4A02">
        <w:t>Přípravek Humira se používá k</w:t>
      </w:r>
      <w:r w:rsidR="00075234" w:rsidRPr="001B4A02">
        <w:t> </w:t>
      </w:r>
      <w:r w:rsidRPr="001B4A02">
        <w:t>léčbě</w:t>
      </w:r>
    </w:p>
    <w:p w14:paraId="3F907467" w14:textId="77777777" w:rsidR="00355655" w:rsidRPr="001B4A02" w:rsidRDefault="00000000" w:rsidP="00ED48A3">
      <w:pPr>
        <w:numPr>
          <w:ilvl w:val="0"/>
          <w:numId w:val="100"/>
        </w:numPr>
        <w:suppressAutoHyphens/>
        <w:ind w:left="567" w:hanging="283"/>
      </w:pPr>
      <w:r w:rsidRPr="001B4A02">
        <w:t>revmatoidní artritidy</w:t>
      </w:r>
    </w:p>
    <w:p w14:paraId="23CE6F35" w14:textId="77777777" w:rsidR="009640B0" w:rsidRPr="001B4A02" w:rsidRDefault="00000000" w:rsidP="00ED48A3">
      <w:pPr>
        <w:numPr>
          <w:ilvl w:val="0"/>
          <w:numId w:val="100"/>
        </w:numPr>
        <w:suppressAutoHyphens/>
        <w:ind w:left="567" w:hanging="283"/>
      </w:pPr>
      <w:r w:rsidRPr="001B4A02">
        <w:t>ložiskové psoriázy</w:t>
      </w:r>
    </w:p>
    <w:p w14:paraId="418D0B49" w14:textId="77777777" w:rsidR="009640B0" w:rsidRPr="001B4A02" w:rsidRDefault="00000000" w:rsidP="00ED48A3">
      <w:pPr>
        <w:numPr>
          <w:ilvl w:val="0"/>
          <w:numId w:val="100"/>
        </w:numPr>
        <w:suppressAutoHyphens/>
        <w:ind w:left="567" w:hanging="283"/>
      </w:pPr>
      <w:r w:rsidRPr="001B4A02">
        <w:t>hidradenitis suppurativa</w:t>
      </w:r>
    </w:p>
    <w:p w14:paraId="5AF6D0DA" w14:textId="77777777" w:rsidR="009640B0" w:rsidRPr="001B4A02" w:rsidRDefault="00000000" w:rsidP="00ED48A3">
      <w:pPr>
        <w:numPr>
          <w:ilvl w:val="0"/>
          <w:numId w:val="100"/>
        </w:numPr>
        <w:suppressAutoHyphens/>
        <w:ind w:left="567" w:hanging="283"/>
      </w:pPr>
      <w:r w:rsidRPr="001B4A02">
        <w:t>Crohnovy choroby</w:t>
      </w:r>
    </w:p>
    <w:p w14:paraId="49B71329" w14:textId="77777777" w:rsidR="009640B0" w:rsidRPr="001B4A02" w:rsidRDefault="00000000" w:rsidP="00ED48A3">
      <w:pPr>
        <w:numPr>
          <w:ilvl w:val="0"/>
          <w:numId w:val="100"/>
        </w:numPr>
        <w:suppressAutoHyphens/>
        <w:ind w:left="567" w:hanging="283"/>
      </w:pPr>
      <w:r w:rsidRPr="001B4A02">
        <w:t>ulcerózní kolitidy</w:t>
      </w:r>
    </w:p>
    <w:p w14:paraId="0F66EF2E" w14:textId="77777777" w:rsidR="009640B0" w:rsidRPr="001B4A02" w:rsidRDefault="00000000" w:rsidP="00ED48A3">
      <w:pPr>
        <w:numPr>
          <w:ilvl w:val="0"/>
          <w:numId w:val="100"/>
        </w:numPr>
        <w:tabs>
          <w:tab w:val="left" w:pos="0"/>
        </w:tabs>
        <w:suppressAutoHyphens/>
        <w:ind w:left="567" w:hanging="283"/>
        <w:rPr>
          <w:iCs/>
        </w:rPr>
      </w:pPr>
      <w:r w:rsidRPr="001B4A02">
        <w:t xml:space="preserve">neinfekční uveitidy </w:t>
      </w:r>
    </w:p>
    <w:p w14:paraId="7AF25EAC" w14:textId="77777777" w:rsidR="009640B0" w:rsidRPr="001B4A02" w:rsidRDefault="009640B0" w:rsidP="00ED48A3">
      <w:pPr>
        <w:ind w:left="0" w:firstLine="0"/>
        <w:rPr>
          <w:highlight w:val="yellow"/>
        </w:rPr>
      </w:pPr>
    </w:p>
    <w:p w14:paraId="3F26D7B5" w14:textId="77777777" w:rsidR="003200DF" w:rsidRPr="001B4A02" w:rsidRDefault="00000000" w:rsidP="003200DF">
      <w:r w:rsidRPr="001B4A02">
        <w:t>Léčiv</w:t>
      </w:r>
      <w:r w:rsidR="00320049" w:rsidRPr="001B4A02">
        <w:t>á</w:t>
      </w:r>
      <w:r w:rsidRPr="001B4A02">
        <w:t xml:space="preserve"> látk</w:t>
      </w:r>
      <w:r w:rsidR="00320049" w:rsidRPr="001B4A02">
        <w:t>a</w:t>
      </w:r>
      <w:r w:rsidRPr="001B4A02">
        <w:t xml:space="preserve"> v přípravku Humira</w:t>
      </w:r>
      <w:r w:rsidR="00320049" w:rsidRPr="001B4A02">
        <w:t>,</w:t>
      </w:r>
      <w:r w:rsidRPr="001B4A02">
        <w:t xml:space="preserve"> adalimumab, je lidská monoklonální protilátka.</w:t>
      </w:r>
    </w:p>
    <w:p w14:paraId="502E11E5" w14:textId="77777777" w:rsidR="003200DF" w:rsidRPr="001B4A02" w:rsidRDefault="00000000" w:rsidP="003200DF">
      <w:r w:rsidRPr="001B4A02">
        <w:t>Monoklonální protilátky jsou bílkoviny, které se váží na specifický cíl.</w:t>
      </w:r>
    </w:p>
    <w:p w14:paraId="1271618D" w14:textId="77777777" w:rsidR="003200DF" w:rsidRPr="001B4A02" w:rsidRDefault="003200DF" w:rsidP="003200DF"/>
    <w:p w14:paraId="22B80C28" w14:textId="77777777" w:rsidR="003200DF" w:rsidRPr="001B4A02" w:rsidRDefault="00000000" w:rsidP="00ED48A3">
      <w:pPr>
        <w:ind w:left="0" w:firstLine="0"/>
      </w:pPr>
      <w:r w:rsidRPr="001B4A02">
        <w:t xml:space="preserve">Cíl pro adalimumab je bílkovina označená jako tumor nekrotizující faktor (TNFα), která </w:t>
      </w:r>
      <w:r w:rsidRPr="001B4A02">
        <w:rPr>
          <w:color w:val="000000"/>
          <w:szCs w:val="22"/>
        </w:rPr>
        <w:t>působí v imunitním (obranném) systému</w:t>
      </w:r>
      <w:r w:rsidR="002378E0">
        <w:rPr>
          <w:color w:val="000000"/>
          <w:szCs w:val="22"/>
        </w:rPr>
        <w:t xml:space="preserve"> a </w:t>
      </w:r>
      <w:r w:rsidR="00965320">
        <w:t>je přítomna ve zvýšených</w:t>
      </w:r>
      <w:r w:rsidRPr="001B4A02">
        <w:t xml:space="preserve"> hladinách </w:t>
      </w:r>
      <w:r w:rsidRPr="001B4A02">
        <w:rPr>
          <w:color w:val="000000"/>
          <w:szCs w:val="22"/>
        </w:rPr>
        <w:t>při zánětlivých onemocněních uvedených výše. Navázáním na TNFα snižuje přípravek Humira zánětlivý proces u</w:t>
      </w:r>
      <w:r w:rsidR="00A02FA4" w:rsidRPr="001B4A02">
        <w:rPr>
          <w:color w:val="000000"/>
          <w:szCs w:val="22"/>
        </w:rPr>
        <w:t> </w:t>
      </w:r>
      <w:r w:rsidRPr="001B4A02">
        <w:rPr>
          <w:color w:val="000000"/>
          <w:szCs w:val="22"/>
        </w:rPr>
        <w:t>těchto onemocnění</w:t>
      </w:r>
      <w:r w:rsidRPr="001B4A02">
        <w:t>.</w:t>
      </w:r>
    </w:p>
    <w:p w14:paraId="09B71B46" w14:textId="77777777" w:rsidR="009640B0" w:rsidRPr="001B4A02" w:rsidRDefault="009640B0" w:rsidP="00ED48A3">
      <w:pPr>
        <w:ind w:left="0" w:firstLine="0"/>
      </w:pPr>
    </w:p>
    <w:p w14:paraId="509DFD82" w14:textId="77777777" w:rsidR="009F4123" w:rsidRPr="001B4A02" w:rsidRDefault="00000000" w:rsidP="009C4763">
      <w:pPr>
        <w:pStyle w:val="EMEAHeadingUnderline"/>
        <w:keepNext/>
        <w:tabs>
          <w:tab w:val="clear" w:pos="562"/>
        </w:tabs>
        <w:suppressAutoHyphens w:val="0"/>
        <w:spacing w:beforeLines="0" w:before="0" w:afterLines="0" w:after="0"/>
        <w:rPr>
          <w:b/>
          <w:u w:val="none"/>
          <w:lang w:val="cs-CZ"/>
        </w:rPr>
      </w:pPr>
      <w:r w:rsidRPr="001B4A02">
        <w:rPr>
          <w:b/>
          <w:u w:val="none"/>
          <w:lang w:val="cs-CZ"/>
        </w:rPr>
        <w:t>Revmatoidní artritida</w:t>
      </w:r>
    </w:p>
    <w:p w14:paraId="58133D17" w14:textId="77777777" w:rsidR="009F4123" w:rsidRPr="001B4A02" w:rsidRDefault="009F4123" w:rsidP="009C4763">
      <w:pPr>
        <w:keepNext/>
        <w:ind w:left="0" w:firstLine="0"/>
      </w:pPr>
    </w:p>
    <w:p w14:paraId="751B8587" w14:textId="77777777" w:rsidR="009F4123" w:rsidRPr="001B4A02" w:rsidRDefault="00000000" w:rsidP="009F4123">
      <w:pPr>
        <w:ind w:left="0" w:firstLine="0"/>
      </w:pPr>
      <w:r w:rsidRPr="001B4A02">
        <w:t>Revmatoidní artritida je zánětlivé onemocnění kloubů.</w:t>
      </w:r>
    </w:p>
    <w:p w14:paraId="3BDE74A5" w14:textId="77777777" w:rsidR="009F4123" w:rsidRPr="001B4A02" w:rsidRDefault="009F4123" w:rsidP="009F4123">
      <w:pPr>
        <w:ind w:left="0" w:firstLine="0"/>
      </w:pPr>
    </w:p>
    <w:p w14:paraId="602DA74B" w14:textId="77777777" w:rsidR="009F4123" w:rsidRPr="001B4A02" w:rsidRDefault="00000000" w:rsidP="009F4123">
      <w:pPr>
        <w:ind w:left="0" w:firstLine="0"/>
      </w:pPr>
      <w:r w:rsidRPr="001B4A02">
        <w:t>Přípravek Humira se používá k léčbě středně těžké až těžké revmatoidní artritidy u dospělých. Můžete nejdříve užívat jiné chorobu modifikující léky, jako je methotrexát. Pokud u Vás tyto léky nevyvolají uspokojivou odpověď, pak dostanete přípravek Humira.</w:t>
      </w:r>
    </w:p>
    <w:p w14:paraId="5277E1C7" w14:textId="77777777" w:rsidR="009F4123" w:rsidRPr="001B4A02" w:rsidRDefault="009F4123" w:rsidP="009F4123">
      <w:pPr>
        <w:ind w:left="0" w:firstLine="0"/>
      </w:pPr>
    </w:p>
    <w:p w14:paraId="5C1D80F5" w14:textId="77777777" w:rsidR="009F4123" w:rsidRPr="001B4A02" w:rsidRDefault="00000000" w:rsidP="009F4123">
      <w:pPr>
        <w:ind w:left="0" w:firstLine="0"/>
      </w:pPr>
      <w:r w:rsidRPr="001B4A02">
        <w:t>Přípravek Humira je možné použít rovněž k léčbě těžké, aktivní</w:t>
      </w:r>
      <w:r w:rsidR="002378E0">
        <w:t xml:space="preserve"> a </w:t>
      </w:r>
      <w:r w:rsidRPr="001B4A02">
        <w:t>progresivní revmatoidní artritidy bez předchozí léčby methotrexátem.</w:t>
      </w:r>
    </w:p>
    <w:p w14:paraId="72E925E5" w14:textId="77777777" w:rsidR="009F4123" w:rsidRPr="001B4A02" w:rsidRDefault="009F4123" w:rsidP="009F4123">
      <w:pPr>
        <w:ind w:left="0" w:firstLine="0"/>
      </w:pPr>
    </w:p>
    <w:p w14:paraId="755FBBCC" w14:textId="77777777" w:rsidR="009F4123" w:rsidRPr="001B4A02" w:rsidRDefault="00000000" w:rsidP="009F4123">
      <w:pPr>
        <w:ind w:left="0" w:firstLine="0"/>
      </w:pPr>
      <w:r w:rsidRPr="001B4A02">
        <w:t>Přípravek Humira může zpomalit poškození kloubů způsobené zánětlivým onemocněním</w:t>
      </w:r>
      <w:r w:rsidR="002378E0">
        <w:t xml:space="preserve"> a </w:t>
      </w:r>
      <w:r w:rsidRPr="001B4A02">
        <w:t>může zlepšit rozsah jejich pohybu.</w:t>
      </w:r>
    </w:p>
    <w:p w14:paraId="74B479D1" w14:textId="77777777" w:rsidR="009F4123" w:rsidRPr="001B4A02" w:rsidRDefault="009F4123" w:rsidP="009F4123">
      <w:pPr>
        <w:ind w:left="0" w:firstLine="0"/>
      </w:pPr>
    </w:p>
    <w:p w14:paraId="4AB238BE" w14:textId="77777777" w:rsidR="009F4123" w:rsidRPr="001B4A02" w:rsidRDefault="00000000" w:rsidP="009F4123">
      <w:pPr>
        <w:ind w:left="0" w:firstLine="0"/>
      </w:pPr>
      <w:r w:rsidRPr="001B4A02">
        <w:t>Váš lékař rozhodne o tom, zda máte přípravek Humira používat společně s methotrexátem nebo bez něho.</w:t>
      </w:r>
    </w:p>
    <w:p w14:paraId="3237A791" w14:textId="77777777" w:rsidR="009F4123" w:rsidRPr="001B4A02" w:rsidRDefault="009F4123" w:rsidP="00ED48A3">
      <w:pPr>
        <w:ind w:left="0" w:firstLine="0"/>
      </w:pPr>
    </w:p>
    <w:p w14:paraId="1C2437A6" w14:textId="77777777" w:rsidR="009640B0" w:rsidRPr="001B4A02" w:rsidRDefault="00000000" w:rsidP="00ED48A3">
      <w:pPr>
        <w:pStyle w:val="DefaultText"/>
        <w:keepNext/>
        <w:rPr>
          <w:rFonts w:ascii="Times New Roman" w:hAnsi="Times New Roman"/>
          <w:u w:val="single"/>
          <w:lang w:val="cs-CZ"/>
        </w:rPr>
      </w:pPr>
      <w:r w:rsidRPr="001B4A02">
        <w:rPr>
          <w:rFonts w:ascii="Times New Roman" w:hAnsi="Times New Roman"/>
          <w:b/>
          <w:lang w:val="cs-CZ"/>
        </w:rPr>
        <w:t>Ložisková psoriáza</w:t>
      </w:r>
    </w:p>
    <w:p w14:paraId="3477AA35" w14:textId="77777777" w:rsidR="009640B0" w:rsidRPr="001B4A02" w:rsidRDefault="009640B0" w:rsidP="00ED48A3">
      <w:pPr>
        <w:keepNext/>
        <w:autoSpaceDE w:val="0"/>
        <w:autoSpaceDN w:val="0"/>
        <w:adjustRightInd w:val="0"/>
        <w:ind w:left="0" w:firstLine="0"/>
      </w:pPr>
    </w:p>
    <w:p w14:paraId="6DC970FE" w14:textId="77777777" w:rsidR="009640B0" w:rsidRPr="001B4A02" w:rsidRDefault="00000000" w:rsidP="00ED48A3">
      <w:pPr>
        <w:numPr>
          <w:ilvl w:val="12"/>
          <w:numId w:val="0"/>
        </w:numPr>
      </w:pPr>
      <w:r w:rsidRPr="001B4A02">
        <w:t xml:space="preserve">Ložisková psoriáza je kožní onemocnění, které se projevuje ohraničenými, zarudlými, vyvýšenými ložisky, krytými stříbřitě lesklými šupinami. Ložisková psoriáza může postihovat také nehty, může způsobit jejich </w:t>
      </w:r>
      <w:r w:rsidR="000B75A4" w:rsidRPr="001B4A02">
        <w:t>ztluštění</w:t>
      </w:r>
      <w:r w:rsidRPr="001B4A02">
        <w:t>, drolení</w:t>
      </w:r>
      <w:r w:rsidR="002378E0">
        <w:t xml:space="preserve"> a </w:t>
      </w:r>
      <w:r w:rsidRPr="001B4A02">
        <w:t>odlučování od nehtového lůžka, což může být bolestivé.</w:t>
      </w:r>
    </w:p>
    <w:p w14:paraId="6400B3E3" w14:textId="77777777" w:rsidR="009640B0" w:rsidRPr="001B4A02" w:rsidRDefault="009640B0" w:rsidP="00ED48A3">
      <w:pPr>
        <w:autoSpaceDE w:val="0"/>
        <w:autoSpaceDN w:val="0"/>
        <w:adjustRightInd w:val="0"/>
        <w:ind w:left="0" w:firstLine="0"/>
      </w:pPr>
    </w:p>
    <w:p w14:paraId="0A01EFCC" w14:textId="77777777" w:rsidR="009640B0" w:rsidRPr="001B4A02" w:rsidRDefault="00000000" w:rsidP="00CC12ED">
      <w:pPr>
        <w:pStyle w:val="EMEANormal"/>
        <w:rPr>
          <w:lang w:val="cs-CZ"/>
        </w:rPr>
      </w:pPr>
      <w:r w:rsidRPr="001B4A02">
        <w:rPr>
          <w:lang w:val="cs-CZ"/>
        </w:rPr>
        <w:t>Přípravek Humira se používá k</w:t>
      </w:r>
      <w:r w:rsidR="00075234" w:rsidRPr="001B4A02">
        <w:rPr>
          <w:lang w:val="cs-CZ"/>
        </w:rPr>
        <w:t> </w:t>
      </w:r>
      <w:r w:rsidRPr="001B4A02">
        <w:rPr>
          <w:lang w:val="cs-CZ"/>
        </w:rPr>
        <w:t>léčbě</w:t>
      </w:r>
      <w:r w:rsidRPr="001B4A02">
        <w:rPr>
          <w:szCs w:val="21"/>
          <w:lang w:val="cs-CZ"/>
        </w:rPr>
        <w:t>středně těžké až těžké chronické ložiskové psoriázy u</w:t>
      </w:r>
      <w:r w:rsidR="00715D0A" w:rsidRPr="001B4A02">
        <w:rPr>
          <w:szCs w:val="21"/>
          <w:lang w:val="cs-CZ"/>
        </w:rPr>
        <w:t> </w:t>
      </w:r>
      <w:r w:rsidRPr="001B4A02">
        <w:rPr>
          <w:szCs w:val="21"/>
          <w:lang w:val="cs-CZ"/>
        </w:rPr>
        <w:t>dospělých</w:t>
      </w:r>
      <w:r w:rsidRPr="001B4A02">
        <w:rPr>
          <w:lang w:val="cs-CZ"/>
        </w:rPr>
        <w:t>.</w:t>
      </w:r>
    </w:p>
    <w:p w14:paraId="075920E8" w14:textId="77777777" w:rsidR="009640B0" w:rsidRPr="001B4A02" w:rsidRDefault="009640B0" w:rsidP="00ED48A3">
      <w:pPr>
        <w:numPr>
          <w:ilvl w:val="12"/>
          <w:numId w:val="0"/>
        </w:numPr>
      </w:pPr>
    </w:p>
    <w:p w14:paraId="015015D0" w14:textId="77777777" w:rsidR="009640B0" w:rsidRPr="001B4A02" w:rsidRDefault="00000000" w:rsidP="00ED48A3">
      <w:pPr>
        <w:pStyle w:val="EMEANormal"/>
        <w:keepNext/>
        <w:rPr>
          <w:u w:val="single"/>
          <w:lang w:val="cs-CZ"/>
        </w:rPr>
      </w:pPr>
      <w:r w:rsidRPr="001B4A02">
        <w:rPr>
          <w:b/>
          <w:szCs w:val="21"/>
          <w:lang w:val="cs-CZ"/>
        </w:rPr>
        <w:t>Hidradenitis suppurativa</w:t>
      </w:r>
    </w:p>
    <w:p w14:paraId="78618282" w14:textId="77777777" w:rsidR="009640B0" w:rsidRPr="001B4A02" w:rsidRDefault="009640B0" w:rsidP="00ED48A3">
      <w:pPr>
        <w:keepNext/>
        <w:ind w:left="0" w:firstLine="0"/>
      </w:pPr>
    </w:p>
    <w:p w14:paraId="4FD8AD0A" w14:textId="77777777" w:rsidR="009640B0" w:rsidRPr="001B4A02" w:rsidRDefault="00000000" w:rsidP="00ED48A3">
      <w:pPr>
        <w:ind w:left="0" w:firstLine="0"/>
        <w:rPr>
          <w:rFonts w:eastAsia="Calibri"/>
          <w:szCs w:val="22"/>
        </w:rPr>
      </w:pPr>
      <w:r w:rsidRPr="001B4A02">
        <w:rPr>
          <w:rFonts w:eastAsia="Calibri"/>
          <w:szCs w:val="22"/>
        </w:rPr>
        <w:t>Hidradenitis suppurativa (někdy nazývaná acne inversa) je chronické</w:t>
      </w:r>
      <w:r w:rsidR="002378E0">
        <w:rPr>
          <w:rFonts w:eastAsia="Calibri"/>
          <w:szCs w:val="22"/>
        </w:rPr>
        <w:t xml:space="preserve"> a </w:t>
      </w:r>
      <w:r w:rsidRPr="001B4A02">
        <w:rPr>
          <w:rFonts w:eastAsia="Calibri"/>
          <w:szCs w:val="22"/>
        </w:rPr>
        <w:t>často bolestivé zánětlivé kožní onemocnění. Příznaky mohou zahrnovat citlivé uzly (boláky)</w:t>
      </w:r>
      <w:r w:rsidR="002378E0">
        <w:rPr>
          <w:rFonts w:eastAsia="Calibri"/>
          <w:szCs w:val="22"/>
        </w:rPr>
        <w:t xml:space="preserve"> a </w:t>
      </w:r>
      <w:r w:rsidRPr="001B4A02">
        <w:rPr>
          <w:rFonts w:eastAsia="Calibri"/>
          <w:szCs w:val="22"/>
        </w:rPr>
        <w:t>abscesy (nežity), které mohou obsahovat hnis. Nejčastěji postihuje specifické části kůže, jako např. pod prsy, podpaždí, vnitřní část stehen, třísla</w:t>
      </w:r>
      <w:r w:rsidR="002378E0">
        <w:rPr>
          <w:rFonts w:eastAsia="Calibri"/>
          <w:szCs w:val="22"/>
        </w:rPr>
        <w:t xml:space="preserve"> a </w:t>
      </w:r>
      <w:r w:rsidRPr="001B4A02">
        <w:rPr>
          <w:rFonts w:eastAsia="Calibri"/>
          <w:szCs w:val="22"/>
        </w:rPr>
        <w:t>hýždě. Na postižených částech se také mohou objevovat jizvy.</w:t>
      </w:r>
    </w:p>
    <w:p w14:paraId="467328BB" w14:textId="77777777" w:rsidR="009640B0" w:rsidRPr="001B4A02" w:rsidRDefault="009640B0" w:rsidP="00ED48A3">
      <w:pPr>
        <w:ind w:left="0" w:firstLine="0"/>
      </w:pPr>
    </w:p>
    <w:p w14:paraId="4AEE6E71" w14:textId="77777777" w:rsidR="009640B0" w:rsidRPr="001B4A02" w:rsidRDefault="00000000" w:rsidP="001D31EF">
      <w:pPr>
        <w:keepNext/>
        <w:ind w:left="0" w:firstLine="0"/>
        <w:rPr>
          <w:rFonts w:eastAsia="Calibri"/>
          <w:szCs w:val="22"/>
        </w:rPr>
      </w:pPr>
      <w:r w:rsidRPr="001B4A02">
        <w:t xml:space="preserve">Přípravek </w:t>
      </w:r>
      <w:r w:rsidRPr="001B4A02">
        <w:rPr>
          <w:rFonts w:eastAsia="Calibri"/>
          <w:szCs w:val="22"/>
        </w:rPr>
        <w:t>Humira se používá k</w:t>
      </w:r>
      <w:r w:rsidR="00075234" w:rsidRPr="001B4A02">
        <w:rPr>
          <w:rFonts w:eastAsia="Calibri"/>
          <w:szCs w:val="22"/>
        </w:rPr>
        <w:t> </w:t>
      </w:r>
      <w:r w:rsidRPr="001B4A02">
        <w:rPr>
          <w:rFonts w:eastAsia="Calibri"/>
          <w:szCs w:val="22"/>
        </w:rPr>
        <w:t>léčbě</w:t>
      </w:r>
    </w:p>
    <w:p w14:paraId="380FBD18" w14:textId="77777777" w:rsidR="009640B0" w:rsidRPr="001B4A02" w:rsidRDefault="00000000" w:rsidP="00ED48A3">
      <w:pPr>
        <w:numPr>
          <w:ilvl w:val="2"/>
          <w:numId w:val="17"/>
        </w:numPr>
        <w:tabs>
          <w:tab w:val="clear" w:pos="2160"/>
        </w:tabs>
        <w:ind w:left="568" w:hanging="284"/>
        <w:rPr>
          <w:rFonts w:eastAsia="Calibri"/>
          <w:szCs w:val="22"/>
        </w:rPr>
      </w:pPr>
      <w:r w:rsidRPr="001B4A02">
        <w:rPr>
          <w:rFonts w:eastAsia="Calibri"/>
          <w:szCs w:val="22"/>
        </w:rPr>
        <w:t>středně těžké až těžké hidradenitis suppurativa u</w:t>
      </w:r>
      <w:r w:rsidR="00715D0A" w:rsidRPr="001B4A02">
        <w:rPr>
          <w:rFonts w:eastAsia="Calibri"/>
          <w:szCs w:val="22"/>
        </w:rPr>
        <w:t> </w:t>
      </w:r>
      <w:r w:rsidRPr="001B4A02">
        <w:rPr>
          <w:rFonts w:eastAsia="Calibri"/>
          <w:szCs w:val="22"/>
        </w:rPr>
        <w:t>dospělých a</w:t>
      </w:r>
    </w:p>
    <w:p w14:paraId="4ED6059A" w14:textId="77777777" w:rsidR="009640B0" w:rsidRPr="001B4A02" w:rsidRDefault="00000000" w:rsidP="00ED48A3">
      <w:pPr>
        <w:numPr>
          <w:ilvl w:val="2"/>
          <w:numId w:val="17"/>
        </w:numPr>
        <w:tabs>
          <w:tab w:val="clear" w:pos="2160"/>
        </w:tabs>
        <w:ind w:left="568" w:hanging="284"/>
        <w:rPr>
          <w:rFonts w:eastAsia="Calibri"/>
          <w:szCs w:val="22"/>
        </w:rPr>
      </w:pPr>
      <w:r w:rsidRPr="001B4A02">
        <w:rPr>
          <w:rFonts w:eastAsia="Calibri"/>
          <w:szCs w:val="22"/>
        </w:rPr>
        <w:t xml:space="preserve">středně těžké </w:t>
      </w:r>
      <w:r w:rsidR="00015A80" w:rsidRPr="001B4A02">
        <w:rPr>
          <w:rFonts w:eastAsia="Calibri"/>
          <w:szCs w:val="22"/>
        </w:rPr>
        <w:t xml:space="preserve">až těžké </w:t>
      </w:r>
      <w:r w:rsidR="00715D0A" w:rsidRPr="001B4A02">
        <w:rPr>
          <w:rFonts w:eastAsia="Calibri"/>
          <w:szCs w:val="22"/>
        </w:rPr>
        <w:t>hidradenitis suppurativa u </w:t>
      </w:r>
      <w:r w:rsidRPr="001B4A02">
        <w:rPr>
          <w:rFonts w:eastAsia="Calibri"/>
          <w:szCs w:val="22"/>
        </w:rPr>
        <w:t>dospívajících od 12 </w:t>
      </w:r>
      <w:r w:rsidR="00A640F9" w:rsidRPr="001B4A02">
        <w:rPr>
          <w:rFonts w:eastAsia="Calibri"/>
          <w:szCs w:val="22"/>
        </w:rPr>
        <w:t xml:space="preserve">do 17 </w:t>
      </w:r>
      <w:r w:rsidRPr="001B4A02">
        <w:rPr>
          <w:rFonts w:eastAsia="Calibri"/>
          <w:szCs w:val="22"/>
        </w:rPr>
        <w:t>let.</w:t>
      </w:r>
    </w:p>
    <w:p w14:paraId="03A1D484" w14:textId="77777777" w:rsidR="009640B0" w:rsidRPr="001B4A02" w:rsidRDefault="009640B0" w:rsidP="00ED48A3">
      <w:pPr>
        <w:ind w:left="0" w:firstLine="0"/>
        <w:rPr>
          <w:rFonts w:eastAsia="Calibri"/>
          <w:szCs w:val="22"/>
        </w:rPr>
      </w:pPr>
    </w:p>
    <w:p w14:paraId="7262912F" w14:textId="77777777" w:rsidR="009640B0" w:rsidRPr="001B4A02" w:rsidRDefault="00000000" w:rsidP="00ED48A3">
      <w:pPr>
        <w:ind w:left="0" w:firstLine="0"/>
        <w:rPr>
          <w:rFonts w:eastAsia="Calibri"/>
          <w:szCs w:val="22"/>
        </w:rPr>
      </w:pPr>
      <w:r w:rsidRPr="001B4A02">
        <w:rPr>
          <w:rFonts w:eastAsia="Calibri"/>
          <w:szCs w:val="22"/>
        </w:rPr>
        <w:t>Přípravek Humira pomáhá snižovat počet boláků</w:t>
      </w:r>
      <w:r w:rsidR="002378E0">
        <w:rPr>
          <w:rFonts w:eastAsia="Calibri"/>
          <w:szCs w:val="22"/>
        </w:rPr>
        <w:t xml:space="preserve"> a </w:t>
      </w:r>
      <w:r w:rsidRPr="001B4A02">
        <w:rPr>
          <w:rFonts w:eastAsia="Calibri"/>
          <w:szCs w:val="22"/>
        </w:rPr>
        <w:t>nežitů způsobených nemocí</w:t>
      </w:r>
      <w:r w:rsidR="002378E0">
        <w:rPr>
          <w:rFonts w:eastAsia="Calibri"/>
          <w:szCs w:val="22"/>
        </w:rPr>
        <w:t xml:space="preserve"> a </w:t>
      </w:r>
      <w:r w:rsidRPr="001B4A02">
        <w:rPr>
          <w:rFonts w:eastAsia="Calibri"/>
          <w:szCs w:val="22"/>
        </w:rPr>
        <w:t>bolest, která je s</w:t>
      </w:r>
      <w:r w:rsidR="00075234" w:rsidRPr="001B4A02">
        <w:rPr>
          <w:rFonts w:eastAsia="Calibri"/>
          <w:szCs w:val="22"/>
        </w:rPr>
        <w:t> </w:t>
      </w:r>
      <w:r w:rsidRPr="001B4A02">
        <w:rPr>
          <w:rFonts w:eastAsia="Calibri"/>
          <w:szCs w:val="22"/>
        </w:rPr>
        <w:t xml:space="preserve">tímto onemocněním často spojena. </w:t>
      </w:r>
      <w:r w:rsidRPr="001B4A02">
        <w:t>Mohou Vám být nejp</w:t>
      </w:r>
      <w:r w:rsidR="00715D0A" w:rsidRPr="001B4A02">
        <w:t>rve podávány jiné léky. Pokud u </w:t>
      </w:r>
      <w:r w:rsidRPr="001B4A02">
        <w:t>Vás tato léčba nevyvolá uspokojivou odpověď, pak dostanete přípravek Humira.</w:t>
      </w:r>
    </w:p>
    <w:p w14:paraId="4A68B1FB" w14:textId="77777777" w:rsidR="009640B0" w:rsidRPr="001B4A02" w:rsidRDefault="009640B0" w:rsidP="00ED48A3">
      <w:pPr>
        <w:pStyle w:val="EMEANormal"/>
        <w:rPr>
          <w:lang w:val="cs-CZ"/>
        </w:rPr>
      </w:pPr>
    </w:p>
    <w:p w14:paraId="2D80D868" w14:textId="77777777" w:rsidR="009640B0" w:rsidRPr="001B4A02" w:rsidRDefault="00000000" w:rsidP="00ED48A3">
      <w:pPr>
        <w:pStyle w:val="EMEANormal"/>
        <w:keepNext/>
        <w:rPr>
          <w:u w:val="single"/>
          <w:lang w:val="cs-CZ"/>
        </w:rPr>
      </w:pPr>
      <w:r w:rsidRPr="001B4A02">
        <w:rPr>
          <w:b/>
          <w:lang w:val="cs-CZ"/>
        </w:rPr>
        <w:t>Crohnova choroba</w:t>
      </w:r>
    </w:p>
    <w:p w14:paraId="42FAC8AD" w14:textId="77777777" w:rsidR="009640B0" w:rsidRPr="001B4A02" w:rsidRDefault="009640B0" w:rsidP="00ED48A3">
      <w:pPr>
        <w:pStyle w:val="EMEANormal"/>
        <w:keepNext/>
        <w:rPr>
          <w:lang w:val="cs-CZ"/>
        </w:rPr>
      </w:pPr>
    </w:p>
    <w:p w14:paraId="29F165D9" w14:textId="77777777" w:rsidR="009640B0" w:rsidRPr="001B4A02" w:rsidRDefault="00000000" w:rsidP="00715D0A">
      <w:pPr>
        <w:pStyle w:val="EMEANormal"/>
        <w:rPr>
          <w:lang w:val="cs-CZ"/>
        </w:rPr>
      </w:pPr>
      <w:r w:rsidRPr="001B4A02">
        <w:rPr>
          <w:lang w:val="cs-CZ"/>
        </w:rPr>
        <w:t>Crohnova choroba je zánětlivé onemocnění trávicího traktu.</w:t>
      </w:r>
    </w:p>
    <w:p w14:paraId="2CDCF6DF" w14:textId="77777777" w:rsidR="009640B0" w:rsidRPr="001B4A02" w:rsidRDefault="009640B0" w:rsidP="00ED48A3">
      <w:pPr>
        <w:pStyle w:val="EMEANormal"/>
        <w:rPr>
          <w:lang w:val="cs-CZ"/>
        </w:rPr>
      </w:pPr>
    </w:p>
    <w:p w14:paraId="33F795F7" w14:textId="77777777" w:rsidR="009640B0" w:rsidRPr="001B4A02" w:rsidRDefault="00000000" w:rsidP="001D31EF">
      <w:pPr>
        <w:keepNext/>
        <w:ind w:left="0" w:firstLine="0"/>
      </w:pPr>
      <w:r w:rsidRPr="001B4A02">
        <w:t>Přípravek Humira se používá k</w:t>
      </w:r>
      <w:r w:rsidR="00075234" w:rsidRPr="001B4A02">
        <w:t> </w:t>
      </w:r>
      <w:r w:rsidRPr="001B4A02">
        <w:t>léčbě</w:t>
      </w:r>
    </w:p>
    <w:p w14:paraId="3C40ED1D" w14:textId="77777777" w:rsidR="009640B0" w:rsidRPr="001B4A02" w:rsidRDefault="00000000" w:rsidP="00ED48A3">
      <w:pPr>
        <w:pStyle w:val="EMEANormal"/>
        <w:numPr>
          <w:ilvl w:val="0"/>
          <w:numId w:val="102"/>
        </w:numPr>
        <w:tabs>
          <w:tab w:val="clear" w:pos="562"/>
        </w:tabs>
        <w:ind w:left="568" w:hanging="284"/>
        <w:rPr>
          <w:lang w:val="cs-CZ"/>
        </w:rPr>
      </w:pPr>
      <w:r w:rsidRPr="001B4A02">
        <w:rPr>
          <w:rFonts w:eastAsia="Calibri"/>
          <w:szCs w:val="22"/>
          <w:lang w:val="cs-CZ"/>
        </w:rPr>
        <w:t xml:space="preserve">středně těžké až těžké </w:t>
      </w:r>
      <w:r w:rsidRPr="001B4A02">
        <w:rPr>
          <w:szCs w:val="21"/>
          <w:lang w:val="cs-CZ"/>
        </w:rPr>
        <w:t>Crohnovy choroby u</w:t>
      </w:r>
      <w:r w:rsidR="00715D0A" w:rsidRPr="001B4A02">
        <w:rPr>
          <w:szCs w:val="21"/>
          <w:lang w:val="cs-CZ"/>
        </w:rPr>
        <w:t> </w:t>
      </w:r>
      <w:r w:rsidRPr="001B4A02">
        <w:rPr>
          <w:szCs w:val="21"/>
          <w:lang w:val="cs-CZ"/>
        </w:rPr>
        <w:t>dospělých a</w:t>
      </w:r>
    </w:p>
    <w:p w14:paraId="21D536D9" w14:textId="77777777" w:rsidR="009640B0" w:rsidRPr="001B4A02" w:rsidRDefault="00000000" w:rsidP="00ED48A3">
      <w:pPr>
        <w:pStyle w:val="EMEANormal"/>
        <w:numPr>
          <w:ilvl w:val="0"/>
          <w:numId w:val="102"/>
        </w:numPr>
        <w:tabs>
          <w:tab w:val="clear" w:pos="562"/>
        </w:tabs>
        <w:ind w:left="568" w:hanging="284"/>
        <w:rPr>
          <w:lang w:val="cs-CZ"/>
        </w:rPr>
      </w:pPr>
      <w:r w:rsidRPr="001B4A02">
        <w:rPr>
          <w:rFonts w:eastAsia="Calibri"/>
          <w:szCs w:val="22"/>
          <w:lang w:val="cs-CZ"/>
        </w:rPr>
        <w:t xml:space="preserve">středně těžké až těžké </w:t>
      </w:r>
      <w:r w:rsidR="00715D0A" w:rsidRPr="001B4A02">
        <w:rPr>
          <w:szCs w:val="21"/>
          <w:lang w:val="cs-CZ"/>
        </w:rPr>
        <w:t>Crohnovy choroby u </w:t>
      </w:r>
      <w:r w:rsidRPr="001B4A02">
        <w:rPr>
          <w:szCs w:val="21"/>
          <w:lang w:val="cs-CZ"/>
        </w:rPr>
        <w:t>dětí</w:t>
      </w:r>
      <w:r w:rsidR="002378E0">
        <w:rPr>
          <w:szCs w:val="21"/>
          <w:lang w:val="cs-CZ"/>
        </w:rPr>
        <w:t xml:space="preserve"> a </w:t>
      </w:r>
      <w:r w:rsidRPr="001B4A02">
        <w:rPr>
          <w:szCs w:val="21"/>
          <w:lang w:val="cs-CZ"/>
        </w:rPr>
        <w:t>dospívajících od 6 do 17 let.</w:t>
      </w:r>
    </w:p>
    <w:p w14:paraId="0BA5D6FC" w14:textId="77777777" w:rsidR="009640B0" w:rsidRPr="001B4A02" w:rsidRDefault="009640B0" w:rsidP="00ED48A3">
      <w:pPr>
        <w:ind w:left="0" w:firstLine="0"/>
      </w:pPr>
    </w:p>
    <w:p w14:paraId="74354534" w14:textId="77777777" w:rsidR="009640B0" w:rsidRPr="001B4A02" w:rsidRDefault="00000000" w:rsidP="00ED48A3">
      <w:pPr>
        <w:ind w:left="0" w:firstLine="0"/>
      </w:pPr>
      <w:r w:rsidRPr="001B4A02">
        <w:t>Mohou Vám být nejprve podávány jiné léky. Pokud u</w:t>
      </w:r>
      <w:r w:rsidR="00715D0A" w:rsidRPr="001B4A02">
        <w:t> </w:t>
      </w:r>
      <w:r w:rsidRPr="001B4A02">
        <w:t>Vás tato léčba nevyvolá uspokojivou odpověď, pak dostanete přípravek Humira.</w:t>
      </w:r>
    </w:p>
    <w:p w14:paraId="3AACDCEB" w14:textId="77777777" w:rsidR="009640B0" w:rsidRPr="001B4A02" w:rsidRDefault="009640B0" w:rsidP="00ED48A3">
      <w:pPr>
        <w:ind w:left="0" w:firstLine="0"/>
      </w:pPr>
    </w:p>
    <w:p w14:paraId="14A3F51F" w14:textId="77777777" w:rsidR="009640B0" w:rsidRPr="001B4A02" w:rsidRDefault="00000000" w:rsidP="009C4763">
      <w:pPr>
        <w:keepNext/>
        <w:ind w:left="0" w:firstLine="0"/>
        <w:rPr>
          <w:u w:val="single"/>
        </w:rPr>
      </w:pPr>
      <w:r w:rsidRPr="001B4A02">
        <w:rPr>
          <w:b/>
        </w:rPr>
        <w:t>Ulcerózní kolitida</w:t>
      </w:r>
    </w:p>
    <w:p w14:paraId="70FF6041" w14:textId="77777777" w:rsidR="009640B0" w:rsidRPr="001B4A02" w:rsidRDefault="009640B0" w:rsidP="009C4763">
      <w:pPr>
        <w:keepNext/>
        <w:ind w:left="0" w:firstLine="0"/>
      </w:pPr>
    </w:p>
    <w:p w14:paraId="101C8E15" w14:textId="77777777" w:rsidR="009640B0" w:rsidRPr="001B4A02" w:rsidRDefault="00000000" w:rsidP="00ED48A3">
      <w:pPr>
        <w:ind w:left="0" w:firstLine="0"/>
      </w:pPr>
      <w:r w:rsidRPr="001B4A02">
        <w:t>Ulcerózní kolitida je zánětlivé onemocnění tlustého střeva.</w:t>
      </w:r>
    </w:p>
    <w:p w14:paraId="328387D5" w14:textId="77777777" w:rsidR="00754AB2" w:rsidRPr="001B4A02" w:rsidRDefault="00754AB2" w:rsidP="00ED48A3">
      <w:pPr>
        <w:pStyle w:val="EMEANormal"/>
        <w:rPr>
          <w:lang w:val="cs-CZ"/>
        </w:rPr>
      </w:pPr>
    </w:p>
    <w:p w14:paraId="7AFEC5CD" w14:textId="77777777" w:rsidR="00BA2549" w:rsidRPr="00D01607" w:rsidRDefault="00000000" w:rsidP="009C4763">
      <w:pPr>
        <w:keepNext/>
      </w:pPr>
      <w:r>
        <w:t>Přípravek Humira se používá k léčbě</w:t>
      </w:r>
    </w:p>
    <w:p w14:paraId="1AF737FF" w14:textId="77777777" w:rsidR="00BA2549" w:rsidRPr="00D01607" w:rsidRDefault="00000000" w:rsidP="004D42A7">
      <w:pPr>
        <w:pStyle w:val="ListParagraph"/>
        <w:numPr>
          <w:ilvl w:val="0"/>
          <w:numId w:val="278"/>
        </w:numPr>
        <w:tabs>
          <w:tab w:val="left" w:pos="709"/>
        </w:tabs>
        <w:suppressAutoHyphens/>
        <w:rPr>
          <w:szCs w:val="22"/>
        </w:rPr>
      </w:pPr>
      <w:r>
        <w:t>středně těžké až těžké ulcerózní kolitidy u dospělých</w:t>
      </w:r>
      <w:r w:rsidR="009C4763">
        <w:t xml:space="preserve"> a</w:t>
      </w:r>
    </w:p>
    <w:p w14:paraId="192BE21E" w14:textId="77777777" w:rsidR="00BA2549" w:rsidRPr="00D01607" w:rsidRDefault="00000000" w:rsidP="004D42A7">
      <w:pPr>
        <w:pStyle w:val="ListParagraph"/>
        <w:numPr>
          <w:ilvl w:val="0"/>
          <w:numId w:val="278"/>
        </w:numPr>
        <w:tabs>
          <w:tab w:val="left" w:pos="709"/>
        </w:tabs>
        <w:suppressAutoHyphens/>
      </w:pPr>
      <w:r>
        <w:t>středně těžké až těžké ulcerózní kolitidy u dětí</w:t>
      </w:r>
      <w:r w:rsidR="002378E0">
        <w:t xml:space="preserve"> a </w:t>
      </w:r>
      <w:r>
        <w:t>dospívajících od 6 do 17 let</w:t>
      </w:r>
      <w:r w:rsidR="009C4763">
        <w:t>.</w:t>
      </w:r>
    </w:p>
    <w:p w14:paraId="438E6061" w14:textId="77777777" w:rsidR="00BA2549" w:rsidRDefault="00BA2549" w:rsidP="00ED48A3">
      <w:pPr>
        <w:pStyle w:val="EMEANormal"/>
        <w:rPr>
          <w:lang w:val="cs-CZ"/>
        </w:rPr>
      </w:pPr>
    </w:p>
    <w:p w14:paraId="48144E04" w14:textId="77777777" w:rsidR="00BA2549" w:rsidRDefault="00BA2549" w:rsidP="00ED48A3">
      <w:pPr>
        <w:pStyle w:val="EMEANormal"/>
        <w:rPr>
          <w:lang w:val="cs-CZ"/>
        </w:rPr>
      </w:pPr>
    </w:p>
    <w:p w14:paraId="4E01D50E" w14:textId="77777777" w:rsidR="009640B0" w:rsidRPr="001B4A02" w:rsidRDefault="00000000" w:rsidP="00ED48A3">
      <w:pPr>
        <w:pStyle w:val="EMEANormal"/>
        <w:rPr>
          <w:szCs w:val="21"/>
          <w:lang w:val="cs-CZ"/>
        </w:rPr>
      </w:pPr>
      <w:r w:rsidRPr="001B4A02">
        <w:rPr>
          <w:lang w:val="cs-CZ"/>
        </w:rPr>
        <w:t>Mohou Vám být nejprve podávány jiné léky. Pokud u</w:t>
      </w:r>
      <w:r w:rsidR="00B12121" w:rsidRPr="001B4A02">
        <w:rPr>
          <w:lang w:val="cs-CZ"/>
        </w:rPr>
        <w:t> </w:t>
      </w:r>
      <w:r w:rsidRPr="001B4A02">
        <w:rPr>
          <w:lang w:val="cs-CZ"/>
        </w:rPr>
        <w:t>Vás tato léčba nevyvolá uspokojivou odpověď, pak dostanete přípravek Humira.</w:t>
      </w:r>
    </w:p>
    <w:p w14:paraId="37575F9D" w14:textId="77777777" w:rsidR="009640B0" w:rsidRPr="001B4A02" w:rsidRDefault="009640B0" w:rsidP="00ED48A3">
      <w:pPr>
        <w:pStyle w:val="EMEANormal"/>
        <w:rPr>
          <w:lang w:val="cs-CZ"/>
        </w:rPr>
      </w:pPr>
    </w:p>
    <w:p w14:paraId="2DFBE899" w14:textId="77777777" w:rsidR="009640B0" w:rsidRPr="001B4A02" w:rsidRDefault="00000000" w:rsidP="009C4763">
      <w:pPr>
        <w:pStyle w:val="EMEANormal"/>
        <w:keepNext/>
        <w:rPr>
          <w:b/>
          <w:lang w:val="cs-CZ"/>
        </w:rPr>
      </w:pPr>
      <w:r>
        <w:rPr>
          <w:b/>
          <w:szCs w:val="21"/>
          <w:lang w:val="cs-CZ"/>
        </w:rPr>
        <w:t>Neinfekční uveitida</w:t>
      </w:r>
    </w:p>
    <w:p w14:paraId="3416F1E6" w14:textId="77777777" w:rsidR="009640B0" w:rsidRPr="001B4A02" w:rsidRDefault="009640B0" w:rsidP="009C4763">
      <w:pPr>
        <w:pStyle w:val="EMEANormal"/>
        <w:keepNext/>
        <w:rPr>
          <w:lang w:val="cs-CZ"/>
        </w:rPr>
      </w:pPr>
    </w:p>
    <w:p w14:paraId="6F4AE6DC" w14:textId="77777777" w:rsidR="009640B0" w:rsidRPr="001B4A02" w:rsidRDefault="00000000" w:rsidP="00ED48A3">
      <w:pPr>
        <w:pStyle w:val="EMEANormal"/>
        <w:rPr>
          <w:lang w:val="cs-CZ"/>
        </w:rPr>
      </w:pPr>
      <w:r w:rsidRPr="001B4A02">
        <w:rPr>
          <w:lang w:val="cs-CZ"/>
        </w:rPr>
        <w:t>Neinfekční uveitida je zánětlivé onemocnění postihující některé části oka.</w:t>
      </w:r>
    </w:p>
    <w:p w14:paraId="27876BC0" w14:textId="77777777" w:rsidR="009640B0" w:rsidRPr="001B4A02" w:rsidRDefault="009640B0" w:rsidP="00ED48A3">
      <w:pPr>
        <w:pStyle w:val="EMEANormal"/>
        <w:rPr>
          <w:lang w:val="cs-CZ"/>
        </w:rPr>
      </w:pPr>
    </w:p>
    <w:p w14:paraId="113D78E6" w14:textId="77777777" w:rsidR="00AD3FC6" w:rsidRPr="001B4A02" w:rsidRDefault="00000000" w:rsidP="00DD1650">
      <w:pPr>
        <w:pStyle w:val="EMEANormal"/>
        <w:keepNext/>
        <w:tabs>
          <w:tab w:val="clear" w:pos="562"/>
          <w:tab w:val="left" w:pos="720"/>
        </w:tabs>
        <w:rPr>
          <w:lang w:val="cs-CZ"/>
        </w:rPr>
      </w:pPr>
      <w:r w:rsidRPr="001B4A02">
        <w:rPr>
          <w:lang w:val="cs-CZ"/>
        </w:rPr>
        <w:t>Přípravek Humira se používá k</w:t>
      </w:r>
      <w:r w:rsidR="00075234" w:rsidRPr="001B4A02">
        <w:rPr>
          <w:lang w:val="cs-CZ"/>
        </w:rPr>
        <w:t> </w:t>
      </w:r>
      <w:r w:rsidR="00DD1650">
        <w:rPr>
          <w:lang w:val="cs-CZ"/>
        </w:rPr>
        <w:t>léčbě</w:t>
      </w:r>
    </w:p>
    <w:p w14:paraId="7E53C25A" w14:textId="77777777" w:rsidR="00AD3FC6" w:rsidRPr="001B4A02" w:rsidRDefault="00000000" w:rsidP="00AA1CF3">
      <w:pPr>
        <w:pStyle w:val="EMEANormal"/>
        <w:numPr>
          <w:ilvl w:val="0"/>
          <w:numId w:val="240"/>
        </w:numPr>
        <w:tabs>
          <w:tab w:val="clear" w:pos="562"/>
          <w:tab w:val="left" w:pos="720"/>
        </w:tabs>
        <w:rPr>
          <w:lang w:val="cs-CZ"/>
        </w:rPr>
      </w:pPr>
      <w:r w:rsidRPr="001B4A02">
        <w:rPr>
          <w:lang w:val="cs-CZ"/>
        </w:rPr>
        <w:t>d</w:t>
      </w:r>
      <w:r w:rsidR="009640B0" w:rsidRPr="001B4A02">
        <w:rPr>
          <w:lang w:val="cs-CZ"/>
        </w:rPr>
        <w:t>ospělých s</w:t>
      </w:r>
      <w:r w:rsidR="00075234" w:rsidRPr="001B4A02">
        <w:rPr>
          <w:lang w:val="cs-CZ"/>
        </w:rPr>
        <w:t> </w:t>
      </w:r>
      <w:r w:rsidR="009640B0" w:rsidRPr="001B4A02">
        <w:rPr>
          <w:lang w:val="cs-CZ"/>
        </w:rPr>
        <w:t>neinfekční uveitidou se zánětem postihujícím zadní část oka</w:t>
      </w:r>
    </w:p>
    <w:p w14:paraId="6E53FCBD" w14:textId="77777777" w:rsidR="00AD3FC6" w:rsidRPr="001B4A02" w:rsidRDefault="00000000" w:rsidP="00ED48A3">
      <w:pPr>
        <w:pStyle w:val="EMEANormal"/>
        <w:numPr>
          <w:ilvl w:val="0"/>
          <w:numId w:val="240"/>
        </w:numPr>
        <w:tabs>
          <w:tab w:val="clear" w:pos="562"/>
          <w:tab w:val="left" w:pos="720"/>
        </w:tabs>
        <w:rPr>
          <w:lang w:val="cs-CZ"/>
        </w:rPr>
      </w:pPr>
      <w:r w:rsidRPr="001B4A02">
        <w:rPr>
          <w:lang w:val="cs-CZ"/>
        </w:rPr>
        <w:t>dětí od 2 let</w:t>
      </w:r>
      <w:r w:rsidR="00557275" w:rsidRPr="001B4A02">
        <w:rPr>
          <w:lang w:val="cs-CZ"/>
        </w:rPr>
        <w:t xml:space="preserve"> </w:t>
      </w:r>
      <w:r w:rsidRPr="001B4A02">
        <w:rPr>
          <w:lang w:val="cs-CZ"/>
        </w:rPr>
        <w:t>s</w:t>
      </w:r>
      <w:r w:rsidR="00075234" w:rsidRPr="001B4A02">
        <w:rPr>
          <w:lang w:val="cs-CZ"/>
        </w:rPr>
        <w:t> </w:t>
      </w:r>
      <w:r w:rsidRPr="001B4A02">
        <w:rPr>
          <w:lang w:val="cs-CZ"/>
        </w:rPr>
        <w:t>chronickou neinfekční uveitidou se zánětem postihujícím přední část oka.</w:t>
      </w:r>
    </w:p>
    <w:p w14:paraId="2713DD37" w14:textId="77777777" w:rsidR="00AD3FC6" w:rsidRPr="001B4A02" w:rsidRDefault="00AD3FC6" w:rsidP="00ED48A3">
      <w:pPr>
        <w:pStyle w:val="EMEANormal"/>
        <w:tabs>
          <w:tab w:val="clear" w:pos="562"/>
          <w:tab w:val="left" w:pos="720"/>
        </w:tabs>
        <w:rPr>
          <w:lang w:val="cs-CZ"/>
        </w:rPr>
      </w:pPr>
    </w:p>
    <w:p w14:paraId="401A58E1" w14:textId="77777777" w:rsidR="009640B0" w:rsidRPr="001B4A02" w:rsidRDefault="00000000" w:rsidP="00ED48A3">
      <w:pPr>
        <w:pStyle w:val="EMEANormal"/>
        <w:tabs>
          <w:tab w:val="clear" w:pos="562"/>
          <w:tab w:val="left" w:pos="720"/>
        </w:tabs>
        <w:rPr>
          <w:lang w:val="cs-CZ"/>
        </w:rPr>
      </w:pPr>
      <w:r w:rsidRPr="001B4A02">
        <w:rPr>
          <w:lang w:val="cs-CZ"/>
        </w:rPr>
        <w:t xml:space="preserve">Tento zánět </w:t>
      </w:r>
      <w:r w:rsidR="00AD3FC6" w:rsidRPr="001B4A02">
        <w:rPr>
          <w:lang w:val="cs-CZ"/>
        </w:rPr>
        <w:t xml:space="preserve">může vést </w:t>
      </w:r>
      <w:r w:rsidRPr="001B4A02">
        <w:rPr>
          <w:lang w:val="cs-CZ"/>
        </w:rPr>
        <w:t>ke zhoršení zraku a/nebo výskytu plovoucích zákalů v</w:t>
      </w:r>
      <w:r w:rsidR="00075234" w:rsidRPr="001B4A02">
        <w:rPr>
          <w:lang w:val="cs-CZ"/>
        </w:rPr>
        <w:t> </w:t>
      </w:r>
      <w:r w:rsidRPr="001B4A02">
        <w:rPr>
          <w:lang w:val="cs-CZ"/>
        </w:rPr>
        <w:t xml:space="preserve">oku (černé tečky nebo chomáčkovité čáry pohybující se </w:t>
      </w:r>
      <w:r w:rsidR="003E702B" w:rsidRPr="001B4A02">
        <w:rPr>
          <w:lang w:val="cs-CZ"/>
        </w:rPr>
        <w:t>v</w:t>
      </w:r>
      <w:r w:rsidR="00075234" w:rsidRPr="001B4A02">
        <w:rPr>
          <w:lang w:val="cs-CZ"/>
        </w:rPr>
        <w:t> </w:t>
      </w:r>
      <w:r w:rsidRPr="001B4A02">
        <w:rPr>
          <w:lang w:val="cs-CZ"/>
        </w:rPr>
        <w:t>zorné</w:t>
      </w:r>
      <w:r w:rsidR="003E702B" w:rsidRPr="001B4A02">
        <w:rPr>
          <w:lang w:val="cs-CZ"/>
        </w:rPr>
        <w:t>m</w:t>
      </w:r>
      <w:r w:rsidRPr="001B4A02">
        <w:rPr>
          <w:lang w:val="cs-CZ"/>
        </w:rPr>
        <w:t xml:space="preserve"> </w:t>
      </w:r>
      <w:r w:rsidR="003E702B" w:rsidRPr="001B4A02">
        <w:rPr>
          <w:lang w:val="cs-CZ"/>
        </w:rPr>
        <w:t>poli</w:t>
      </w:r>
      <w:r w:rsidRPr="001B4A02">
        <w:rPr>
          <w:lang w:val="cs-CZ"/>
        </w:rPr>
        <w:t xml:space="preserve">). Přípravek Humira </w:t>
      </w:r>
      <w:r w:rsidR="00932C6F" w:rsidRPr="001B4A02">
        <w:rPr>
          <w:lang w:val="cs-CZ"/>
        </w:rPr>
        <w:t xml:space="preserve">tento </w:t>
      </w:r>
      <w:r w:rsidRPr="001B4A02">
        <w:rPr>
          <w:lang w:val="cs-CZ"/>
        </w:rPr>
        <w:t xml:space="preserve">zánět snižuje. </w:t>
      </w:r>
      <w:r w:rsidRPr="001B4A02">
        <w:rPr>
          <w:szCs w:val="22"/>
          <w:lang w:val="cs-CZ"/>
        </w:rPr>
        <w:t>Nejprve můžete dostat jiné léky. Pokud na tyto léky nebudete dostatečně dobře reagovat, bude Vám podán přípravek Humira.</w:t>
      </w:r>
    </w:p>
    <w:p w14:paraId="4DD077AB" w14:textId="77777777" w:rsidR="009640B0" w:rsidRPr="001B4A02" w:rsidRDefault="009640B0" w:rsidP="00ED48A3">
      <w:pPr>
        <w:pStyle w:val="EMEANormal"/>
        <w:rPr>
          <w:lang w:val="cs-CZ"/>
        </w:rPr>
      </w:pPr>
    </w:p>
    <w:p w14:paraId="518BC358" w14:textId="77777777" w:rsidR="009640B0" w:rsidRPr="001B4A02" w:rsidRDefault="009640B0" w:rsidP="00ED48A3">
      <w:pPr>
        <w:pStyle w:val="EMEANormal"/>
        <w:rPr>
          <w:lang w:val="cs-CZ"/>
        </w:rPr>
      </w:pPr>
    </w:p>
    <w:p w14:paraId="79D1FA35" w14:textId="77777777" w:rsidR="009640B0" w:rsidRPr="001B4A02" w:rsidRDefault="00000000" w:rsidP="009C4763">
      <w:pPr>
        <w:pStyle w:val="EMEAHeading2SPCEmpty"/>
        <w:keepNext/>
        <w:spacing w:afterLines="0"/>
        <w:rPr>
          <w:rFonts w:ascii="Times New Roman" w:hAnsi="Times New Roman"/>
          <w:lang w:val="cs-CZ"/>
        </w:rPr>
      </w:pPr>
      <w:r w:rsidRPr="001B4A02">
        <w:rPr>
          <w:rFonts w:ascii="Times New Roman" w:hAnsi="Times New Roman"/>
          <w:lang w:val="cs-CZ"/>
        </w:rPr>
        <w:t>2.</w:t>
      </w:r>
      <w:r w:rsidRPr="001B4A02">
        <w:rPr>
          <w:rFonts w:ascii="Times New Roman" w:hAnsi="Times New Roman"/>
          <w:lang w:val="cs-CZ"/>
        </w:rPr>
        <w:tab/>
        <w:t>Čemu musíte věnovat pozornost, než začnete přípravek Humira používat</w:t>
      </w:r>
    </w:p>
    <w:p w14:paraId="0778AB09" w14:textId="77777777" w:rsidR="009640B0" w:rsidRPr="001B4A02" w:rsidRDefault="009640B0" w:rsidP="009C4763">
      <w:pPr>
        <w:pStyle w:val="EMEANormal"/>
        <w:keepNext/>
        <w:rPr>
          <w:lang w:val="cs-CZ"/>
        </w:rPr>
      </w:pPr>
    </w:p>
    <w:p w14:paraId="3B461B69" w14:textId="77777777" w:rsidR="009640B0" w:rsidRPr="001B4A02" w:rsidRDefault="00000000" w:rsidP="009C4763">
      <w:pPr>
        <w:pStyle w:val="EMEAHeading2SPCEmpty"/>
        <w:keepNext/>
        <w:spacing w:afterLines="0"/>
        <w:outlineLvl w:val="9"/>
        <w:rPr>
          <w:rFonts w:ascii="Times New Roman" w:hAnsi="Times New Roman"/>
          <w:lang w:val="cs-CZ"/>
        </w:rPr>
      </w:pPr>
      <w:r w:rsidRPr="001B4A02">
        <w:rPr>
          <w:rFonts w:ascii="Times New Roman" w:hAnsi="Times New Roman"/>
          <w:lang w:val="cs-CZ"/>
        </w:rPr>
        <w:t>Nepoužívejte přípravek Humira</w:t>
      </w:r>
    </w:p>
    <w:p w14:paraId="0B966C41" w14:textId="77777777" w:rsidR="009640B0" w:rsidRPr="001B4A02" w:rsidRDefault="009640B0" w:rsidP="009C4763">
      <w:pPr>
        <w:pStyle w:val="EMEANormal"/>
        <w:keepNext/>
        <w:rPr>
          <w:lang w:val="cs-CZ"/>
        </w:rPr>
      </w:pPr>
    </w:p>
    <w:p w14:paraId="24C3BCAD" w14:textId="77777777" w:rsidR="009640B0" w:rsidRPr="001B4A02" w:rsidRDefault="00000000" w:rsidP="00ED48A3">
      <w:pPr>
        <w:numPr>
          <w:ilvl w:val="0"/>
          <w:numId w:val="15"/>
        </w:numPr>
        <w:tabs>
          <w:tab w:val="clear" w:pos="720"/>
        </w:tabs>
        <w:ind w:left="568" w:hanging="284"/>
      </w:pPr>
      <w:r>
        <w:t>J</w:t>
      </w:r>
      <w:r w:rsidRPr="001B4A02">
        <w:t>estliže jste alergický(á) na adalimumab nebo na kteroukoli další složku tohoto přípravku (uvedenou v</w:t>
      </w:r>
      <w:r w:rsidR="00075234" w:rsidRPr="001B4A02">
        <w:t> </w:t>
      </w:r>
      <w:r w:rsidRPr="001B4A02">
        <w:t>bodě 6).</w:t>
      </w:r>
    </w:p>
    <w:p w14:paraId="042A0222" w14:textId="77777777" w:rsidR="009640B0" w:rsidRPr="001B4A02" w:rsidRDefault="009640B0" w:rsidP="00ED48A3"/>
    <w:p w14:paraId="5AA07830" w14:textId="77777777" w:rsidR="009640B0" w:rsidRPr="001B4A02" w:rsidRDefault="00000000" w:rsidP="00ED48A3">
      <w:pPr>
        <w:numPr>
          <w:ilvl w:val="0"/>
          <w:numId w:val="15"/>
        </w:numPr>
        <w:tabs>
          <w:tab w:val="clear" w:pos="720"/>
        </w:tabs>
        <w:ind w:left="568" w:hanging="284"/>
      </w:pPr>
      <w:r>
        <w:t>J</w:t>
      </w:r>
      <w:r w:rsidRPr="001B4A02">
        <w:t>estliže máte aktivní tuberkulózu nebo jiné závažné infekce (viz „Upozornění</w:t>
      </w:r>
      <w:r w:rsidR="002378E0">
        <w:t xml:space="preserve"> a </w:t>
      </w:r>
      <w:r w:rsidRPr="001B4A02">
        <w:t>opatření“). Je důležité, abyste informoval(a)</w:t>
      </w:r>
      <w:r w:rsidR="00E068F9" w:rsidRPr="001B4A02">
        <w:t xml:space="preserve"> svého lékaře</w:t>
      </w:r>
      <w:r w:rsidRPr="001B4A02">
        <w:t>, pokud se u Vás vyskytují příznaky infekce, například horečka, zranění, pocit únavy nebo problémy se zuby.</w:t>
      </w:r>
    </w:p>
    <w:p w14:paraId="592FBF39" w14:textId="77777777" w:rsidR="009640B0" w:rsidRPr="001B4A02" w:rsidRDefault="009640B0" w:rsidP="00ED48A3"/>
    <w:p w14:paraId="17C7DC3B" w14:textId="77777777" w:rsidR="009640B0" w:rsidRPr="001B4A02" w:rsidRDefault="00000000" w:rsidP="00ED48A3">
      <w:pPr>
        <w:numPr>
          <w:ilvl w:val="0"/>
          <w:numId w:val="15"/>
        </w:numPr>
        <w:tabs>
          <w:tab w:val="clear" w:pos="720"/>
        </w:tabs>
        <w:ind w:left="568" w:hanging="284"/>
      </w:pPr>
      <w:r>
        <w:t>J</w:t>
      </w:r>
      <w:r w:rsidRPr="001B4A02">
        <w:t>estliže trpíte středně těžkým nebo těžkým srdečním selháním. Je důležité, abyste informoval(a) svého lékaře, pokud se u Vás vyskytly nebo v</w:t>
      </w:r>
      <w:r w:rsidR="00075234" w:rsidRPr="001B4A02">
        <w:t> </w:t>
      </w:r>
      <w:r w:rsidRPr="001B4A02">
        <w:t>současné době vyskytují vážné problémy se srdcem (viz „Upozornění</w:t>
      </w:r>
      <w:r w:rsidR="002378E0">
        <w:t xml:space="preserve"> a </w:t>
      </w:r>
      <w:r w:rsidRPr="001B4A02">
        <w:t>opatření“).</w:t>
      </w:r>
    </w:p>
    <w:p w14:paraId="695873D6" w14:textId="77777777" w:rsidR="009640B0" w:rsidRPr="001B4A02" w:rsidRDefault="009640B0" w:rsidP="00ED48A3">
      <w:pPr>
        <w:pStyle w:val="EMEANormal"/>
        <w:rPr>
          <w:lang w:val="cs-CZ"/>
        </w:rPr>
      </w:pPr>
    </w:p>
    <w:p w14:paraId="0160BF9F" w14:textId="77777777" w:rsidR="009640B0" w:rsidRPr="001B4A02" w:rsidRDefault="00000000" w:rsidP="00ED48A3">
      <w:pPr>
        <w:pStyle w:val="EMEABullet2"/>
        <w:keepNext/>
        <w:numPr>
          <w:ilvl w:val="0"/>
          <w:numId w:val="0"/>
        </w:numPr>
        <w:rPr>
          <w:b/>
          <w:bCs/>
          <w:lang w:val="cs-CZ"/>
        </w:rPr>
      </w:pPr>
      <w:r w:rsidRPr="001B4A02">
        <w:rPr>
          <w:b/>
          <w:bCs/>
          <w:lang w:val="cs-CZ"/>
        </w:rPr>
        <w:t>Upozornění</w:t>
      </w:r>
      <w:r w:rsidR="002378E0">
        <w:rPr>
          <w:b/>
          <w:bCs/>
          <w:lang w:val="cs-CZ"/>
        </w:rPr>
        <w:t xml:space="preserve"> a </w:t>
      </w:r>
      <w:r w:rsidRPr="001B4A02">
        <w:rPr>
          <w:b/>
          <w:bCs/>
          <w:lang w:val="cs-CZ"/>
        </w:rPr>
        <w:t>opatření</w:t>
      </w:r>
    </w:p>
    <w:p w14:paraId="77A3F94C" w14:textId="77777777" w:rsidR="009640B0" w:rsidRPr="001B4A02" w:rsidRDefault="009640B0" w:rsidP="00ED48A3">
      <w:pPr>
        <w:pStyle w:val="EMEABullet2"/>
        <w:keepNext/>
        <w:numPr>
          <w:ilvl w:val="0"/>
          <w:numId w:val="0"/>
        </w:numPr>
        <w:rPr>
          <w:b/>
          <w:bCs/>
          <w:lang w:val="cs-CZ"/>
        </w:rPr>
      </w:pPr>
    </w:p>
    <w:p w14:paraId="689FBDD6" w14:textId="77777777" w:rsidR="009640B0" w:rsidRPr="001B4A02" w:rsidRDefault="00000000" w:rsidP="00ED48A3">
      <w:pPr>
        <w:ind w:left="0" w:firstLine="0"/>
      </w:pPr>
      <w:r w:rsidRPr="001B4A02">
        <w:t>Před použitím přípravku Humira se poraďte se svým lékařem nebo lékárníkem.</w:t>
      </w:r>
    </w:p>
    <w:p w14:paraId="5342AF68" w14:textId="77777777" w:rsidR="009640B0" w:rsidRPr="001B4A02" w:rsidRDefault="009640B0" w:rsidP="00ED48A3">
      <w:pPr>
        <w:pStyle w:val="EMEANormal"/>
        <w:tabs>
          <w:tab w:val="clear" w:pos="562"/>
          <w:tab w:val="num" w:pos="550"/>
        </w:tabs>
        <w:ind w:left="550" w:hanging="550"/>
        <w:rPr>
          <w:highlight w:val="yellow"/>
          <w:lang w:val="cs-CZ"/>
        </w:rPr>
      </w:pPr>
    </w:p>
    <w:p w14:paraId="404FFB81" w14:textId="77777777" w:rsidR="009640B0" w:rsidRPr="001B4A02" w:rsidRDefault="00000000" w:rsidP="001D31EF">
      <w:pPr>
        <w:keepNext/>
        <w:rPr>
          <w:u w:val="single"/>
        </w:rPr>
      </w:pPr>
      <w:r w:rsidRPr="001B4A02">
        <w:rPr>
          <w:u w:val="single"/>
        </w:rPr>
        <w:t>Alergické reakce</w:t>
      </w:r>
    </w:p>
    <w:p w14:paraId="57704BB8" w14:textId="77777777" w:rsidR="009640B0" w:rsidRPr="001B4A02" w:rsidRDefault="009640B0" w:rsidP="001D31EF">
      <w:pPr>
        <w:keepNext/>
      </w:pPr>
    </w:p>
    <w:p w14:paraId="0A15B31B" w14:textId="77777777" w:rsidR="009640B0" w:rsidRPr="001B4A02" w:rsidRDefault="00000000" w:rsidP="00ED48A3">
      <w:pPr>
        <w:numPr>
          <w:ilvl w:val="0"/>
          <w:numId w:val="15"/>
        </w:numPr>
        <w:tabs>
          <w:tab w:val="clear" w:pos="720"/>
          <w:tab w:val="num" w:pos="540"/>
        </w:tabs>
        <w:ind w:left="568" w:hanging="284"/>
      </w:pPr>
      <w:r w:rsidRPr="001B4A02">
        <w:t>Jestliže se u Vás objeví alergické reakce s</w:t>
      </w:r>
      <w:r w:rsidR="00075234" w:rsidRPr="001B4A02">
        <w:t> </w:t>
      </w:r>
      <w:r w:rsidRPr="001B4A02">
        <w:t xml:space="preserve">příznaky, jako </w:t>
      </w:r>
      <w:r w:rsidR="00E068F9" w:rsidRPr="001B4A02">
        <w:t xml:space="preserve">jsou </w:t>
      </w:r>
      <w:r w:rsidRPr="001B4A02">
        <w:t xml:space="preserve">pocit tíhy na hrudi, </w:t>
      </w:r>
      <w:r w:rsidR="006E06A9" w:rsidRPr="001B4A02">
        <w:t>sípání</w:t>
      </w:r>
      <w:r w:rsidRPr="001B4A02">
        <w:t>, závratě, otoky nebo vyrážka, nepodávejte si další injekci přípravku Humira</w:t>
      </w:r>
      <w:r w:rsidR="002378E0">
        <w:t xml:space="preserve"> a </w:t>
      </w:r>
      <w:r w:rsidRPr="001B4A02">
        <w:t>kontaktujte ihned svého lékaře</w:t>
      </w:r>
      <w:r w:rsidR="00555979" w:rsidRPr="001B4A02">
        <w:t xml:space="preserve">, protože </w:t>
      </w:r>
      <w:r w:rsidR="00555979" w:rsidRPr="001B4A02">
        <w:rPr>
          <w:bCs/>
          <w:szCs w:val="22"/>
        </w:rPr>
        <w:t>tyto reakce mohou být ve vzácných případech život ohrožující</w:t>
      </w:r>
      <w:r w:rsidRPr="001B4A02">
        <w:t>.</w:t>
      </w:r>
    </w:p>
    <w:p w14:paraId="7D84BD70" w14:textId="77777777" w:rsidR="009640B0" w:rsidRPr="001B4A02" w:rsidRDefault="009640B0" w:rsidP="00ED48A3">
      <w:pPr>
        <w:tabs>
          <w:tab w:val="num" w:pos="540"/>
        </w:tabs>
      </w:pPr>
    </w:p>
    <w:p w14:paraId="68647F73" w14:textId="77777777" w:rsidR="009640B0" w:rsidRPr="001B4A02" w:rsidRDefault="00000000" w:rsidP="001D31EF">
      <w:pPr>
        <w:keepNext/>
        <w:tabs>
          <w:tab w:val="num" w:pos="540"/>
        </w:tabs>
        <w:rPr>
          <w:u w:val="single"/>
        </w:rPr>
      </w:pPr>
      <w:r w:rsidRPr="001B4A02">
        <w:rPr>
          <w:u w:val="single"/>
        </w:rPr>
        <w:t>Infekce</w:t>
      </w:r>
    </w:p>
    <w:p w14:paraId="727A5217" w14:textId="77777777" w:rsidR="009640B0" w:rsidRPr="001B4A02" w:rsidRDefault="009640B0" w:rsidP="001D31EF">
      <w:pPr>
        <w:keepNext/>
        <w:tabs>
          <w:tab w:val="num" w:pos="540"/>
        </w:tabs>
      </w:pPr>
    </w:p>
    <w:p w14:paraId="59AC2B19" w14:textId="77777777" w:rsidR="009640B0" w:rsidRPr="001B4A02" w:rsidRDefault="00000000" w:rsidP="00ED48A3">
      <w:pPr>
        <w:numPr>
          <w:ilvl w:val="0"/>
          <w:numId w:val="15"/>
        </w:numPr>
        <w:tabs>
          <w:tab w:val="clear" w:pos="720"/>
          <w:tab w:val="num" w:pos="540"/>
        </w:tabs>
        <w:ind w:left="568" w:hanging="284"/>
      </w:pPr>
      <w:r w:rsidRPr="001B4A02">
        <w:t xml:space="preserve">Jestliže máte nějakou infekci, včetně dlouhodobé infekce nebo infekce </w:t>
      </w:r>
      <w:r w:rsidR="00AC34BF" w:rsidRPr="001B4A02">
        <w:t>postihující</w:t>
      </w:r>
      <w:r w:rsidR="00D74096" w:rsidRPr="001B4A02">
        <w:t xml:space="preserve"> </w:t>
      </w:r>
      <w:r w:rsidR="00AC34BF" w:rsidRPr="001B4A02">
        <w:t>jednu</w:t>
      </w:r>
      <w:r w:rsidRPr="001B4A02">
        <w:t xml:space="preserve"> část těla (například bércový vřed), obraťte se před zahájením léčby přípravkem Humira na svého lékaře. Pokud si nejste jistý(á), kontaktujte </w:t>
      </w:r>
      <w:r w:rsidR="009E6A02" w:rsidRPr="001B4A02">
        <w:t xml:space="preserve">prosím </w:t>
      </w:r>
      <w:r w:rsidRPr="001B4A02">
        <w:t>svého lékaře.</w:t>
      </w:r>
    </w:p>
    <w:p w14:paraId="3CFE49E8" w14:textId="77777777" w:rsidR="009640B0" w:rsidRPr="001B4A02" w:rsidRDefault="009640B0" w:rsidP="00ED48A3">
      <w:pPr>
        <w:tabs>
          <w:tab w:val="num" w:pos="540"/>
        </w:tabs>
      </w:pPr>
    </w:p>
    <w:p w14:paraId="02660B5F" w14:textId="77777777" w:rsidR="009640B0" w:rsidRPr="001B4A02" w:rsidRDefault="00000000" w:rsidP="00ED48A3">
      <w:pPr>
        <w:numPr>
          <w:ilvl w:val="0"/>
          <w:numId w:val="15"/>
        </w:numPr>
        <w:tabs>
          <w:tab w:val="clear" w:pos="720"/>
          <w:tab w:val="num" w:pos="540"/>
        </w:tabs>
        <w:ind w:left="568" w:hanging="284"/>
      </w:pPr>
      <w:r w:rsidRPr="001B4A02">
        <w:t>Při léčbě přípravkem Humira můžete být náchylnější k</w:t>
      </w:r>
      <w:r w:rsidR="00075234" w:rsidRPr="001B4A02">
        <w:t> </w:t>
      </w:r>
      <w:r w:rsidRPr="001B4A02">
        <w:t>infekcím. Riziko může stoupat, pokud máte problémy s</w:t>
      </w:r>
      <w:r w:rsidR="00075234" w:rsidRPr="001B4A02">
        <w:t> </w:t>
      </w:r>
      <w:r w:rsidRPr="001B4A02">
        <w:t xml:space="preserve">plícemi. Tyto infekce mohou být </w:t>
      </w:r>
      <w:r w:rsidRPr="001B4A02">
        <w:rPr>
          <w:bCs/>
          <w:szCs w:val="22"/>
        </w:rPr>
        <w:t>závažné</w:t>
      </w:r>
      <w:r w:rsidR="002378E0">
        <w:rPr>
          <w:bCs/>
          <w:szCs w:val="22"/>
        </w:rPr>
        <w:t xml:space="preserve"> a </w:t>
      </w:r>
      <w:r w:rsidRPr="001B4A02">
        <w:rPr>
          <w:bCs/>
          <w:szCs w:val="22"/>
        </w:rPr>
        <w:t>zahrnují:</w:t>
      </w:r>
    </w:p>
    <w:p w14:paraId="1FCEF6EF" w14:textId="77777777" w:rsidR="009640B0" w:rsidRPr="001B4A02" w:rsidRDefault="00000000" w:rsidP="00ED48A3">
      <w:pPr>
        <w:pStyle w:val="EMEANormal"/>
        <w:numPr>
          <w:ilvl w:val="0"/>
          <w:numId w:val="102"/>
        </w:numPr>
        <w:tabs>
          <w:tab w:val="clear" w:pos="562"/>
        </w:tabs>
        <w:ind w:left="851" w:hanging="284"/>
        <w:rPr>
          <w:szCs w:val="21"/>
          <w:lang w:val="cs-CZ"/>
        </w:rPr>
      </w:pPr>
      <w:r w:rsidRPr="001B4A02">
        <w:rPr>
          <w:szCs w:val="21"/>
          <w:lang w:val="cs-CZ"/>
        </w:rPr>
        <w:t>tuberkulózu</w:t>
      </w:r>
    </w:p>
    <w:p w14:paraId="61E3E3E0" w14:textId="77777777" w:rsidR="009640B0" w:rsidRPr="001B4A02" w:rsidRDefault="00000000" w:rsidP="00ED48A3">
      <w:pPr>
        <w:pStyle w:val="EMEANormal"/>
        <w:numPr>
          <w:ilvl w:val="0"/>
          <w:numId w:val="102"/>
        </w:numPr>
        <w:tabs>
          <w:tab w:val="clear" w:pos="562"/>
        </w:tabs>
        <w:ind w:left="851" w:hanging="284"/>
        <w:rPr>
          <w:szCs w:val="21"/>
          <w:lang w:val="cs-CZ"/>
        </w:rPr>
      </w:pPr>
      <w:r w:rsidRPr="001B4A02">
        <w:rPr>
          <w:szCs w:val="21"/>
          <w:lang w:val="cs-CZ"/>
        </w:rPr>
        <w:t>infekce způsobené viry, plísněmi, parazity nebo bakteriemi</w:t>
      </w:r>
    </w:p>
    <w:p w14:paraId="7EA9E9EE" w14:textId="77777777" w:rsidR="009640B0" w:rsidRPr="001B4A02" w:rsidRDefault="00000000" w:rsidP="00ED48A3">
      <w:pPr>
        <w:pStyle w:val="EMEANormal"/>
        <w:numPr>
          <w:ilvl w:val="0"/>
          <w:numId w:val="102"/>
        </w:numPr>
        <w:tabs>
          <w:tab w:val="clear" w:pos="562"/>
        </w:tabs>
        <w:ind w:left="851" w:hanging="284"/>
        <w:rPr>
          <w:szCs w:val="21"/>
          <w:lang w:val="cs-CZ"/>
        </w:rPr>
      </w:pPr>
      <w:r w:rsidRPr="001B4A02">
        <w:rPr>
          <w:szCs w:val="21"/>
          <w:lang w:val="cs-CZ"/>
        </w:rPr>
        <w:t>závažné infekce v</w:t>
      </w:r>
      <w:r w:rsidR="00075234" w:rsidRPr="001B4A02">
        <w:rPr>
          <w:szCs w:val="21"/>
          <w:lang w:val="cs-CZ"/>
        </w:rPr>
        <w:t> </w:t>
      </w:r>
      <w:r w:rsidRPr="001B4A02">
        <w:rPr>
          <w:szCs w:val="21"/>
          <w:lang w:val="cs-CZ"/>
        </w:rPr>
        <w:t>krvi (sepse)</w:t>
      </w:r>
    </w:p>
    <w:p w14:paraId="57803C55" w14:textId="77777777" w:rsidR="009640B0" w:rsidRPr="001B4A02" w:rsidRDefault="009640B0" w:rsidP="00ED48A3">
      <w:pPr>
        <w:ind w:firstLine="0"/>
        <w:rPr>
          <w:bCs/>
          <w:szCs w:val="22"/>
        </w:rPr>
      </w:pPr>
    </w:p>
    <w:p w14:paraId="6D975FDE" w14:textId="77777777" w:rsidR="009640B0" w:rsidRPr="001B4A02" w:rsidRDefault="00000000" w:rsidP="00ED48A3">
      <w:pPr>
        <w:ind w:firstLine="0"/>
      </w:pPr>
      <w:r w:rsidRPr="001B4A02">
        <w:rPr>
          <w:bCs/>
          <w:szCs w:val="22"/>
        </w:rPr>
        <w:t>Tyto infekce mohou být ve vzácných případech život ohrožující</w:t>
      </w:r>
      <w:r w:rsidRPr="001B4A02">
        <w:t xml:space="preserve">. Je důležité, abyste informoval(a) </w:t>
      </w:r>
      <w:r w:rsidR="00E068F9" w:rsidRPr="001B4A02">
        <w:t xml:space="preserve">svého </w:t>
      </w:r>
      <w:r w:rsidRPr="001B4A02">
        <w:t xml:space="preserve">lékaře, pokud se u Vás vyskytnou příznaky, jako </w:t>
      </w:r>
      <w:r w:rsidR="00E068F9" w:rsidRPr="001B4A02">
        <w:t>j</w:t>
      </w:r>
      <w:r w:rsidR="00990E1D">
        <w:t>e</w:t>
      </w:r>
      <w:r w:rsidR="00E068F9" w:rsidRPr="001B4A02">
        <w:t xml:space="preserve"> </w:t>
      </w:r>
      <w:r w:rsidRPr="001B4A02">
        <w:t xml:space="preserve">horečka, zranění, </w:t>
      </w:r>
      <w:r w:rsidR="00435E33">
        <w:t xml:space="preserve">pocit </w:t>
      </w:r>
      <w:r w:rsidRPr="001B4A02">
        <w:t>únav</w:t>
      </w:r>
      <w:r w:rsidR="00435E33">
        <w:t>y</w:t>
      </w:r>
      <w:r w:rsidRPr="001B4A02">
        <w:t xml:space="preserve"> nebo problémy se zuby. </w:t>
      </w:r>
      <w:r w:rsidR="006E06A9" w:rsidRPr="001B4A02">
        <w:t>L</w:t>
      </w:r>
      <w:r w:rsidRPr="001B4A02">
        <w:t>ékař Vám může říci, abyste po nějakou dobu přípravek Humira nepoužíval(a).</w:t>
      </w:r>
    </w:p>
    <w:p w14:paraId="6345C36E" w14:textId="77777777" w:rsidR="009640B0" w:rsidRPr="001B4A02" w:rsidRDefault="009640B0" w:rsidP="00ED48A3">
      <w:pPr>
        <w:tabs>
          <w:tab w:val="num" w:pos="540"/>
        </w:tabs>
      </w:pPr>
    </w:p>
    <w:p w14:paraId="06672F80" w14:textId="77777777" w:rsidR="009640B0" w:rsidRPr="001B4A02" w:rsidRDefault="00000000" w:rsidP="00ED48A3">
      <w:pPr>
        <w:pStyle w:val="EMEABullet2"/>
        <w:numPr>
          <w:ilvl w:val="0"/>
          <w:numId w:val="222"/>
        </w:numPr>
        <w:tabs>
          <w:tab w:val="clear" w:pos="567"/>
        </w:tabs>
        <w:ind w:left="568" w:hanging="284"/>
        <w:rPr>
          <w:lang w:val="cs-CZ"/>
        </w:rPr>
      </w:pPr>
      <w:r w:rsidRPr="001B4A02">
        <w:rPr>
          <w:lang w:val="cs-CZ"/>
        </w:rPr>
        <w:t>Jestliže žijete v</w:t>
      </w:r>
      <w:r w:rsidR="00075234" w:rsidRPr="001B4A02">
        <w:rPr>
          <w:lang w:val="cs-CZ"/>
        </w:rPr>
        <w:t> </w:t>
      </w:r>
      <w:r w:rsidRPr="001B4A02">
        <w:rPr>
          <w:lang w:val="cs-CZ"/>
        </w:rPr>
        <w:t>oblastech, ve kterých jsou velmi časté plísňové infekce (například histoplasmóza, kokcidioidomykóza nebo blastomykóza), nebo pokud do takových oblastí cestujete, oznamte to svému lékaři.</w:t>
      </w:r>
    </w:p>
    <w:p w14:paraId="3F96017D" w14:textId="77777777" w:rsidR="009640B0" w:rsidRPr="001B4A02" w:rsidRDefault="009640B0" w:rsidP="00ED48A3"/>
    <w:p w14:paraId="78C3F6E4" w14:textId="77777777" w:rsidR="009640B0" w:rsidRPr="001B4A02" w:rsidRDefault="00000000" w:rsidP="00ED48A3">
      <w:pPr>
        <w:pStyle w:val="EMEABullet2"/>
        <w:numPr>
          <w:ilvl w:val="0"/>
          <w:numId w:val="103"/>
        </w:numPr>
        <w:tabs>
          <w:tab w:val="clear" w:pos="567"/>
          <w:tab w:val="clear" w:pos="720"/>
        </w:tabs>
        <w:ind w:left="568" w:hanging="284"/>
        <w:rPr>
          <w:lang w:val="cs-CZ"/>
        </w:rPr>
      </w:pPr>
      <w:r w:rsidRPr="001B4A02">
        <w:rPr>
          <w:lang w:val="cs-CZ"/>
        </w:rPr>
        <w:t>Jestliže trpíte opakovanými infekcemi nebo jinými stavy, které zvyšují riziko infekce, oznamte to svému lékaři.</w:t>
      </w:r>
    </w:p>
    <w:p w14:paraId="10E38AE8" w14:textId="77777777" w:rsidR="009640B0" w:rsidRPr="001B4A02" w:rsidRDefault="009640B0" w:rsidP="00ED48A3">
      <w:pPr>
        <w:pStyle w:val="EMEANormal"/>
        <w:rPr>
          <w:lang w:val="cs-CZ"/>
        </w:rPr>
      </w:pPr>
    </w:p>
    <w:p w14:paraId="0454A659" w14:textId="77777777" w:rsidR="009640B0" w:rsidRPr="001B4A02" w:rsidRDefault="00000000" w:rsidP="00ED48A3">
      <w:pPr>
        <w:pStyle w:val="EMEABullet2"/>
        <w:keepNext/>
        <w:numPr>
          <w:ilvl w:val="0"/>
          <w:numId w:val="103"/>
        </w:numPr>
        <w:tabs>
          <w:tab w:val="clear" w:pos="567"/>
          <w:tab w:val="clear" w:pos="720"/>
        </w:tabs>
        <w:ind w:left="568" w:hanging="284"/>
        <w:rPr>
          <w:lang w:val="cs-CZ"/>
        </w:rPr>
      </w:pPr>
      <w:r w:rsidRPr="001B4A02">
        <w:rPr>
          <w:lang w:val="cs-CZ"/>
        </w:rPr>
        <w:t>Jestliže je Vám více než 65 let, může být u</w:t>
      </w:r>
      <w:r w:rsidR="00715D0A" w:rsidRPr="001B4A02">
        <w:rPr>
          <w:lang w:val="cs-CZ"/>
        </w:rPr>
        <w:t> </w:t>
      </w:r>
      <w:r w:rsidRPr="001B4A02">
        <w:rPr>
          <w:lang w:val="cs-CZ"/>
        </w:rPr>
        <w:t>Vás při používání přípravku Humira vyšší pravděpodobnost onemocnění nějakou infekcí. Vy i Váš lékař byste během léčby přípravkem Humira měli věnovat zvláštní pozornost známkám infekce. Je důležité informovat svého lékaře, jestliže se u</w:t>
      </w:r>
      <w:r w:rsidR="00715D0A" w:rsidRPr="001B4A02">
        <w:rPr>
          <w:lang w:val="cs-CZ"/>
        </w:rPr>
        <w:t> </w:t>
      </w:r>
      <w:r w:rsidRPr="001B4A02">
        <w:rPr>
          <w:lang w:val="cs-CZ"/>
        </w:rPr>
        <w:t xml:space="preserve">Vás vyskytnou příznaky infekce, například horečka, </w:t>
      </w:r>
      <w:r w:rsidR="0060069F" w:rsidRPr="001B4A02">
        <w:rPr>
          <w:lang w:val="cs-CZ"/>
        </w:rPr>
        <w:t xml:space="preserve">zranění, </w:t>
      </w:r>
      <w:r w:rsidRPr="001B4A02">
        <w:rPr>
          <w:lang w:val="cs-CZ"/>
        </w:rPr>
        <w:t>únav</w:t>
      </w:r>
      <w:r w:rsidR="006E06A9" w:rsidRPr="001B4A02">
        <w:rPr>
          <w:lang w:val="cs-CZ"/>
        </w:rPr>
        <w:t>a</w:t>
      </w:r>
      <w:r w:rsidRPr="001B4A02">
        <w:rPr>
          <w:lang w:val="cs-CZ"/>
        </w:rPr>
        <w:t xml:space="preserve"> nebo problémy se zuby.</w:t>
      </w:r>
    </w:p>
    <w:p w14:paraId="3E7E636C" w14:textId="77777777" w:rsidR="009640B0" w:rsidRPr="001B4A02" w:rsidRDefault="009640B0" w:rsidP="00ED48A3">
      <w:pPr>
        <w:pStyle w:val="EMEANormal"/>
        <w:rPr>
          <w:lang w:val="cs-CZ"/>
        </w:rPr>
      </w:pPr>
    </w:p>
    <w:p w14:paraId="11B8FDD4" w14:textId="77777777" w:rsidR="009640B0" w:rsidRPr="001B4A02" w:rsidRDefault="00000000" w:rsidP="001D31EF">
      <w:pPr>
        <w:pStyle w:val="EMEABullet2"/>
        <w:keepNext/>
        <w:numPr>
          <w:ilvl w:val="0"/>
          <w:numId w:val="0"/>
        </w:numPr>
        <w:tabs>
          <w:tab w:val="clear" w:pos="567"/>
          <w:tab w:val="left" w:pos="0"/>
        </w:tabs>
        <w:rPr>
          <w:u w:val="single"/>
          <w:lang w:val="cs-CZ"/>
        </w:rPr>
      </w:pPr>
      <w:r w:rsidRPr="001B4A02">
        <w:rPr>
          <w:u w:val="single"/>
          <w:lang w:val="cs-CZ"/>
        </w:rPr>
        <w:t>Tuberkulóza</w:t>
      </w:r>
    </w:p>
    <w:p w14:paraId="00EE6E75" w14:textId="77777777" w:rsidR="009640B0" w:rsidRPr="001B4A02" w:rsidRDefault="009640B0" w:rsidP="001D31EF">
      <w:pPr>
        <w:pStyle w:val="EMEANormal"/>
        <w:keepNext/>
        <w:rPr>
          <w:lang w:val="cs-CZ"/>
        </w:rPr>
      </w:pPr>
    </w:p>
    <w:p w14:paraId="56103A12" w14:textId="77777777" w:rsidR="009640B0" w:rsidRPr="001B4A02" w:rsidRDefault="00000000" w:rsidP="00ED48A3">
      <w:pPr>
        <w:pStyle w:val="EMEABullet2"/>
        <w:numPr>
          <w:ilvl w:val="0"/>
          <w:numId w:val="103"/>
        </w:numPr>
        <w:tabs>
          <w:tab w:val="clear" w:pos="567"/>
          <w:tab w:val="clear" w:pos="720"/>
        </w:tabs>
        <w:ind w:left="568" w:hanging="284"/>
        <w:rPr>
          <w:lang w:val="cs-CZ"/>
        </w:rPr>
      </w:pPr>
      <w:r w:rsidRPr="001B4A02">
        <w:rPr>
          <w:lang w:val="cs-CZ"/>
        </w:rPr>
        <w:t>Je velmi důležité, abyste informoval(a) svého lékaře v</w:t>
      </w:r>
      <w:r w:rsidR="00075234" w:rsidRPr="001B4A02">
        <w:rPr>
          <w:lang w:val="cs-CZ"/>
        </w:rPr>
        <w:t> </w:t>
      </w:r>
      <w:r w:rsidRPr="001B4A02">
        <w:rPr>
          <w:lang w:val="cs-CZ"/>
        </w:rPr>
        <w:t>případě, že jste měl(a) tuberkulózu nebo jste byl(a) v</w:t>
      </w:r>
      <w:r w:rsidR="00075234" w:rsidRPr="001B4A02">
        <w:rPr>
          <w:lang w:val="cs-CZ"/>
        </w:rPr>
        <w:t> </w:t>
      </w:r>
      <w:r w:rsidRPr="001B4A02">
        <w:rPr>
          <w:lang w:val="cs-CZ"/>
        </w:rPr>
        <w:t>těsném kontaktu s</w:t>
      </w:r>
      <w:r w:rsidR="00075234" w:rsidRPr="001B4A02">
        <w:rPr>
          <w:lang w:val="cs-CZ"/>
        </w:rPr>
        <w:t> </w:t>
      </w:r>
      <w:r w:rsidRPr="001B4A02">
        <w:rPr>
          <w:lang w:val="cs-CZ"/>
        </w:rPr>
        <w:t>někým, kdo měl tuberkulózu. Jestliže máte aktivní tuberkulózu, přípravek Humira nepoužívejte.</w:t>
      </w:r>
    </w:p>
    <w:p w14:paraId="4790ADE4" w14:textId="77777777" w:rsidR="009640B0" w:rsidRPr="001B4A02" w:rsidRDefault="009640B0" w:rsidP="00ED48A3">
      <w:pPr>
        <w:tabs>
          <w:tab w:val="num" w:pos="540"/>
        </w:tabs>
      </w:pPr>
    </w:p>
    <w:p w14:paraId="146BD19B" w14:textId="77777777" w:rsidR="009640B0" w:rsidRPr="001B4A02" w:rsidRDefault="00000000" w:rsidP="00ED48A3">
      <w:pPr>
        <w:numPr>
          <w:ilvl w:val="0"/>
          <w:numId w:val="15"/>
        </w:numPr>
        <w:tabs>
          <w:tab w:val="clear" w:pos="720"/>
        </w:tabs>
        <w:ind w:left="851" w:hanging="284"/>
      </w:pPr>
      <w:r w:rsidRPr="001B4A02">
        <w:t>Protože u pacientů léčených přípravkem Humira byly hlášeny případy tuberkulózy, před zahájením léčby přípravkem Humira Vás lékař vyšetří, zda se příznaky tohoto onemocnění u Vás nevyskyt</w:t>
      </w:r>
      <w:r w:rsidR="00145203" w:rsidRPr="001B4A02">
        <w:t>ují</w:t>
      </w:r>
      <w:r w:rsidRPr="001B4A02">
        <w:t>. To znamená, že u</w:t>
      </w:r>
      <w:r w:rsidR="00715D0A" w:rsidRPr="001B4A02">
        <w:t> </w:t>
      </w:r>
      <w:r w:rsidRPr="001B4A02">
        <w:t>Vás podrobně zhodnotí dříve prodělaná onemocnění, provede potřebná kontrolní vyšetření (například rentgen hrudníku</w:t>
      </w:r>
      <w:r w:rsidR="002378E0">
        <w:t xml:space="preserve"> a </w:t>
      </w:r>
      <w:r w:rsidRPr="001B4A02">
        <w:t>tuberkulinový test). Provedení těchto vyšetření</w:t>
      </w:r>
      <w:r w:rsidR="002378E0">
        <w:t xml:space="preserve"> a </w:t>
      </w:r>
      <w:r w:rsidRPr="001B4A02">
        <w:t xml:space="preserve">jejich výsledky zaznamená do Vaší </w:t>
      </w:r>
      <w:r w:rsidRPr="001B4A02">
        <w:rPr>
          <w:b/>
        </w:rPr>
        <w:t>informační kartičky</w:t>
      </w:r>
      <w:r w:rsidRPr="001B4A02">
        <w:t>.</w:t>
      </w:r>
    </w:p>
    <w:p w14:paraId="0754EF9E" w14:textId="77777777" w:rsidR="009640B0" w:rsidRPr="001B4A02" w:rsidRDefault="00000000" w:rsidP="00ED48A3">
      <w:pPr>
        <w:numPr>
          <w:ilvl w:val="0"/>
          <w:numId w:val="15"/>
        </w:numPr>
        <w:tabs>
          <w:tab w:val="clear" w:pos="720"/>
        </w:tabs>
        <w:ind w:left="851" w:hanging="284"/>
      </w:pPr>
      <w:r w:rsidRPr="001B4A02">
        <w:t>Tuberkulóza se může vyvinout během léčby,</w:t>
      </w:r>
      <w:r w:rsidR="002378E0">
        <w:t xml:space="preserve"> a </w:t>
      </w:r>
      <w:r w:rsidRPr="001B4A02">
        <w:t>to i v</w:t>
      </w:r>
      <w:r w:rsidR="00075234" w:rsidRPr="001B4A02">
        <w:t> </w:t>
      </w:r>
      <w:r w:rsidRPr="001B4A02">
        <w:t>případě, že jste dostával(a) nebo dostáváte léky na prevenci tuberkulózy.</w:t>
      </w:r>
    </w:p>
    <w:p w14:paraId="60793EBD" w14:textId="77777777" w:rsidR="009640B0" w:rsidRPr="001B4A02" w:rsidRDefault="00000000" w:rsidP="00ED48A3">
      <w:pPr>
        <w:numPr>
          <w:ilvl w:val="0"/>
          <w:numId w:val="15"/>
        </w:numPr>
        <w:tabs>
          <w:tab w:val="clear" w:pos="720"/>
        </w:tabs>
        <w:ind w:left="851" w:hanging="284"/>
      </w:pPr>
      <w:r w:rsidRPr="001B4A02">
        <w:t xml:space="preserve">Pokud se u Vás objeví příznaky tuberkulózy (například kašel, který neustupuje, úbytek </w:t>
      </w:r>
      <w:r w:rsidR="00145203" w:rsidRPr="001B4A02">
        <w:t>tělesné</w:t>
      </w:r>
      <w:r w:rsidRPr="001B4A02">
        <w:t xml:space="preserve"> hmotnosti, ztráta energie, mírná horečka), nebo se během léčby i po léčbě objeví jiná infekce, sdělte to ihned svému lékaři.</w:t>
      </w:r>
    </w:p>
    <w:p w14:paraId="2668B74C" w14:textId="77777777" w:rsidR="009640B0" w:rsidRPr="001B4A02" w:rsidRDefault="009640B0" w:rsidP="00ED48A3">
      <w:pPr>
        <w:ind w:left="0" w:firstLine="0"/>
      </w:pPr>
    </w:p>
    <w:p w14:paraId="1A4CA1E6" w14:textId="77777777" w:rsidR="009640B0" w:rsidRPr="001B4A02" w:rsidRDefault="00000000" w:rsidP="001D31EF">
      <w:pPr>
        <w:keepNext/>
        <w:rPr>
          <w:u w:val="single"/>
        </w:rPr>
      </w:pPr>
      <w:r w:rsidRPr="001B4A02">
        <w:rPr>
          <w:u w:val="single"/>
        </w:rPr>
        <w:t>Hepatitida B</w:t>
      </w:r>
    </w:p>
    <w:p w14:paraId="08EBAC61" w14:textId="77777777" w:rsidR="009640B0" w:rsidRPr="001B4A02" w:rsidRDefault="009640B0" w:rsidP="001D31EF">
      <w:pPr>
        <w:keepNext/>
      </w:pPr>
    </w:p>
    <w:p w14:paraId="5440C514" w14:textId="77777777" w:rsidR="009640B0" w:rsidRDefault="00000000" w:rsidP="00ED48A3">
      <w:pPr>
        <w:ind w:left="568" w:hanging="284"/>
      </w:pPr>
      <w:r w:rsidRPr="001B4A02">
        <w:rPr>
          <w:rFonts w:ascii="Symbol" w:hAnsi="Symbol"/>
        </w:rPr>
        <w:sym w:font="Symbol" w:char="F0B7"/>
      </w:r>
      <w:r w:rsidRPr="001B4A02">
        <w:tab/>
        <w:t>Jestliže jste nositelem viru hepatitidy</w:t>
      </w:r>
      <w:r w:rsidR="00145203" w:rsidRPr="001B4A02">
        <w:t xml:space="preserve"> </w:t>
      </w:r>
      <w:r w:rsidRPr="001B4A02">
        <w:t>typu B (HBV), jestliže máte aktivní HBV infekci nebo si myslíte, že byste mohl</w:t>
      </w:r>
      <w:r w:rsidR="00E10577" w:rsidRPr="001B4A02">
        <w:t>(a)</w:t>
      </w:r>
      <w:r w:rsidRPr="001B4A02">
        <w:t xml:space="preserve"> </w:t>
      </w:r>
      <w:r w:rsidR="00B724C3" w:rsidRPr="001B4A02">
        <w:t>být ohrožen(a)</w:t>
      </w:r>
      <w:r w:rsidR="00715D0A" w:rsidRPr="001B4A02">
        <w:t xml:space="preserve"> </w:t>
      </w:r>
      <w:r w:rsidRPr="001B4A02">
        <w:t>infekcí HBV, řekněte to svému lékaři.</w:t>
      </w:r>
    </w:p>
    <w:p w14:paraId="53D560D0" w14:textId="77777777" w:rsidR="00FA0529" w:rsidRPr="001B4A02" w:rsidRDefault="00FA0529" w:rsidP="00ED48A3">
      <w:pPr>
        <w:ind w:left="568" w:hanging="284"/>
      </w:pPr>
    </w:p>
    <w:p w14:paraId="3BEFEF84" w14:textId="77777777" w:rsidR="009640B0" w:rsidRPr="001B4A02" w:rsidRDefault="00000000" w:rsidP="00ED48A3">
      <w:pPr>
        <w:numPr>
          <w:ilvl w:val="0"/>
          <w:numId w:val="15"/>
        </w:numPr>
        <w:tabs>
          <w:tab w:val="clear" w:pos="720"/>
        </w:tabs>
        <w:ind w:left="851" w:hanging="284"/>
      </w:pPr>
      <w:r w:rsidRPr="001B4A02">
        <w:t>Váš lékař Vás na infekci HBV vyšetří. Přípravek Humira může u lidí, kteří jsou nositeli HBV, způsobovat opětovnou aktivaci viru.</w:t>
      </w:r>
    </w:p>
    <w:p w14:paraId="7EC480A1" w14:textId="77777777" w:rsidR="009640B0" w:rsidRPr="001B4A02" w:rsidRDefault="00000000" w:rsidP="00ED48A3">
      <w:pPr>
        <w:numPr>
          <w:ilvl w:val="0"/>
          <w:numId w:val="15"/>
        </w:numPr>
        <w:tabs>
          <w:tab w:val="clear" w:pos="720"/>
        </w:tabs>
        <w:ind w:left="851" w:hanging="284"/>
      </w:pPr>
      <w:r w:rsidRPr="001B4A02">
        <w:t>V</w:t>
      </w:r>
      <w:r w:rsidR="00075234" w:rsidRPr="001B4A02">
        <w:t> </w:t>
      </w:r>
      <w:r w:rsidRPr="001B4A02">
        <w:t>některých vzácných případech, zvláště pokud berete jiné léky k</w:t>
      </w:r>
      <w:r w:rsidR="00075234" w:rsidRPr="001B4A02">
        <w:t> </w:t>
      </w:r>
      <w:r w:rsidRPr="001B4A02">
        <w:t>potlačení imunitního systému, může být reaktivace viru HBV život ohrožující.</w:t>
      </w:r>
    </w:p>
    <w:p w14:paraId="53878CFC" w14:textId="77777777" w:rsidR="009640B0" w:rsidRPr="001B4A02" w:rsidRDefault="009640B0" w:rsidP="00ED48A3"/>
    <w:p w14:paraId="123879FD" w14:textId="77777777" w:rsidR="009640B0" w:rsidRPr="001B4A02" w:rsidRDefault="00000000" w:rsidP="001D31EF">
      <w:pPr>
        <w:keepNext/>
        <w:rPr>
          <w:u w:val="single"/>
        </w:rPr>
      </w:pPr>
      <w:r w:rsidRPr="001B4A02">
        <w:rPr>
          <w:u w:val="single"/>
        </w:rPr>
        <w:t>Operace</w:t>
      </w:r>
      <w:r w:rsidR="003200DF" w:rsidRPr="001B4A02">
        <w:rPr>
          <w:u w:val="single"/>
        </w:rPr>
        <w:t xml:space="preserve"> nebo stomatologický zákrok</w:t>
      </w:r>
    </w:p>
    <w:p w14:paraId="1BAC9B9B" w14:textId="77777777" w:rsidR="009640B0" w:rsidRPr="001B4A02" w:rsidRDefault="009640B0" w:rsidP="001D31EF">
      <w:pPr>
        <w:keepNext/>
      </w:pPr>
    </w:p>
    <w:p w14:paraId="47DA41BB" w14:textId="77777777" w:rsidR="009640B0" w:rsidRPr="001B4A02" w:rsidRDefault="00000000" w:rsidP="00ED48A3">
      <w:pPr>
        <w:pStyle w:val="EndnoteText"/>
        <w:numPr>
          <w:ilvl w:val="1"/>
          <w:numId w:val="15"/>
        </w:numPr>
        <w:tabs>
          <w:tab w:val="clear" w:pos="1440"/>
        </w:tabs>
        <w:ind w:left="568" w:hanging="284"/>
        <w:rPr>
          <w:lang w:val="cs-CZ"/>
        </w:rPr>
      </w:pPr>
      <w:r w:rsidRPr="001B4A02">
        <w:rPr>
          <w:lang w:val="cs-CZ"/>
        </w:rPr>
        <w:t xml:space="preserve">Pokud Vám má být provedena operace nebo stomatologický </w:t>
      </w:r>
      <w:r w:rsidR="003200DF" w:rsidRPr="001B4A02">
        <w:rPr>
          <w:lang w:val="cs-CZ"/>
        </w:rPr>
        <w:t>zákrok</w:t>
      </w:r>
      <w:r w:rsidRPr="001B4A02">
        <w:rPr>
          <w:lang w:val="cs-CZ"/>
        </w:rPr>
        <w:t>, informujte prosím svého lékaře, že jste léčen(a) přípravkem Humira. Váš lékař může doporučit dočasné přerušení léčby přípravkem Humira.</w:t>
      </w:r>
    </w:p>
    <w:p w14:paraId="1B187429" w14:textId="77777777" w:rsidR="009640B0" w:rsidRPr="001B4A02" w:rsidRDefault="009640B0" w:rsidP="00ED48A3">
      <w:pPr>
        <w:tabs>
          <w:tab w:val="num" w:pos="540"/>
        </w:tabs>
      </w:pPr>
    </w:p>
    <w:p w14:paraId="142CF87A" w14:textId="77777777" w:rsidR="009640B0" w:rsidRPr="001B4A02" w:rsidRDefault="00000000" w:rsidP="001D31EF">
      <w:pPr>
        <w:keepNext/>
        <w:tabs>
          <w:tab w:val="num" w:pos="540"/>
        </w:tabs>
        <w:rPr>
          <w:u w:val="single"/>
        </w:rPr>
      </w:pPr>
      <w:r w:rsidRPr="001B4A02">
        <w:rPr>
          <w:u w:val="single"/>
        </w:rPr>
        <w:t>Demyelinizační onemocnění</w:t>
      </w:r>
    </w:p>
    <w:p w14:paraId="1C4520E9" w14:textId="77777777" w:rsidR="009640B0" w:rsidRPr="001B4A02" w:rsidRDefault="009640B0" w:rsidP="001D31EF">
      <w:pPr>
        <w:keepNext/>
        <w:tabs>
          <w:tab w:val="num" w:pos="540"/>
        </w:tabs>
      </w:pPr>
    </w:p>
    <w:p w14:paraId="230C5427" w14:textId="77777777" w:rsidR="009640B0" w:rsidRPr="001B4A02" w:rsidRDefault="00000000" w:rsidP="00ED48A3">
      <w:pPr>
        <w:numPr>
          <w:ilvl w:val="0"/>
          <w:numId w:val="15"/>
        </w:numPr>
        <w:tabs>
          <w:tab w:val="clear" w:pos="720"/>
        </w:tabs>
        <w:ind w:left="568" w:hanging="284"/>
      </w:pPr>
      <w:r w:rsidRPr="001B4A02">
        <w:t>Jestliže máte demyelinizační</w:t>
      </w:r>
      <w:r w:rsidR="00715D0A" w:rsidRPr="001B4A02">
        <w:t xml:space="preserve"> onemocnění</w:t>
      </w:r>
      <w:r w:rsidR="003200DF" w:rsidRPr="001B4A02">
        <w:t xml:space="preserve"> (onemocnění, které postihuje ochrannou vrstvu nervů, jako je roztroušená skleróza)</w:t>
      </w:r>
      <w:r w:rsidRPr="001B4A02">
        <w:t>, lékař určí, zda můžete být léčen(a) přípravkem Humira. Pokud se u</w:t>
      </w:r>
      <w:r w:rsidR="00715D0A" w:rsidRPr="001B4A02">
        <w:t> </w:t>
      </w:r>
      <w:r w:rsidRPr="001B4A02">
        <w:t>Vás objeví některé příznaky, například změny vidění, slabost rukou nebo nohou či znecitlivění nebo brnění v</w:t>
      </w:r>
      <w:r w:rsidR="00075234" w:rsidRPr="001B4A02">
        <w:t> </w:t>
      </w:r>
      <w:r w:rsidRPr="001B4A02">
        <w:t>některé části těla</w:t>
      </w:r>
      <w:r w:rsidR="007174FB" w:rsidRPr="001B4A02">
        <w:t>,</w:t>
      </w:r>
      <w:r w:rsidR="009E6A02" w:rsidRPr="001B4A02">
        <w:t xml:space="preserve"> sdělte to ihned svému lékaři</w:t>
      </w:r>
      <w:r w:rsidRPr="001B4A02">
        <w:t>.</w:t>
      </w:r>
    </w:p>
    <w:p w14:paraId="2B0516EA" w14:textId="77777777" w:rsidR="009640B0" w:rsidRPr="001B4A02" w:rsidRDefault="009640B0" w:rsidP="00ED48A3">
      <w:pPr>
        <w:tabs>
          <w:tab w:val="num" w:pos="540"/>
        </w:tabs>
      </w:pPr>
    </w:p>
    <w:p w14:paraId="7D4CD211" w14:textId="77777777" w:rsidR="009640B0" w:rsidRPr="001B4A02" w:rsidRDefault="00000000" w:rsidP="001D31EF">
      <w:pPr>
        <w:keepNext/>
        <w:tabs>
          <w:tab w:val="num" w:pos="540"/>
        </w:tabs>
        <w:rPr>
          <w:u w:val="single"/>
        </w:rPr>
      </w:pPr>
      <w:r w:rsidRPr="001B4A02">
        <w:rPr>
          <w:u w:val="single"/>
        </w:rPr>
        <w:t>Očkování</w:t>
      </w:r>
    </w:p>
    <w:p w14:paraId="0723C5D3" w14:textId="77777777" w:rsidR="009640B0" w:rsidRPr="001B4A02" w:rsidRDefault="009640B0" w:rsidP="001D31EF">
      <w:pPr>
        <w:keepNext/>
        <w:tabs>
          <w:tab w:val="num" w:pos="540"/>
        </w:tabs>
      </w:pPr>
    </w:p>
    <w:p w14:paraId="0268D5A5" w14:textId="77777777" w:rsidR="009640B0" w:rsidRPr="001B4A02" w:rsidRDefault="00000000" w:rsidP="00ED48A3">
      <w:pPr>
        <w:numPr>
          <w:ilvl w:val="0"/>
          <w:numId w:val="15"/>
        </w:numPr>
        <w:tabs>
          <w:tab w:val="clear" w:pos="720"/>
        </w:tabs>
        <w:ind w:left="568" w:hanging="284"/>
      </w:pPr>
      <w:r w:rsidRPr="001B4A02">
        <w:t>Během léčby přípravkem Humira nesmíte dostat určité očkovací látky, které by mohly vyvolat vznik infekce.</w:t>
      </w:r>
    </w:p>
    <w:p w14:paraId="0AD8D1F1" w14:textId="77777777" w:rsidR="009640B0" w:rsidRPr="001B4A02" w:rsidRDefault="009640B0" w:rsidP="00ED48A3">
      <w:pPr>
        <w:ind w:firstLine="0"/>
      </w:pPr>
    </w:p>
    <w:p w14:paraId="3AFACA78" w14:textId="77777777" w:rsidR="009640B0" w:rsidRPr="001B4A02" w:rsidRDefault="00000000" w:rsidP="00ED48A3">
      <w:pPr>
        <w:numPr>
          <w:ilvl w:val="0"/>
          <w:numId w:val="15"/>
        </w:numPr>
        <w:tabs>
          <w:tab w:val="clear" w:pos="720"/>
        </w:tabs>
        <w:ind w:left="851" w:hanging="284"/>
      </w:pPr>
      <w:r w:rsidRPr="001B4A02">
        <w:t>Domluvte se se svým lékařem o</w:t>
      </w:r>
      <w:r w:rsidR="00F46CFA" w:rsidRPr="001B4A02">
        <w:t> </w:t>
      </w:r>
      <w:r w:rsidRPr="001B4A02">
        <w:t>možnosti očkování ještě předtím, než budete očkován(a).</w:t>
      </w:r>
    </w:p>
    <w:p w14:paraId="423625BE" w14:textId="77777777" w:rsidR="009640B0" w:rsidRPr="001B4A02" w:rsidRDefault="00000000" w:rsidP="00ED48A3">
      <w:pPr>
        <w:numPr>
          <w:ilvl w:val="0"/>
          <w:numId w:val="15"/>
        </w:numPr>
        <w:tabs>
          <w:tab w:val="clear" w:pos="720"/>
        </w:tabs>
        <w:ind w:left="851" w:hanging="284"/>
      </w:pPr>
      <w:r w:rsidRPr="001B4A02">
        <w:t xml:space="preserve">Doporučuje se, aby dětští pacienti absolvovali pokud možno všechna </w:t>
      </w:r>
      <w:r w:rsidR="003200DF" w:rsidRPr="001B4A02">
        <w:t>naplánovan</w:t>
      </w:r>
      <w:r w:rsidR="0058384C" w:rsidRPr="001B4A02">
        <w:t>á</w:t>
      </w:r>
      <w:r w:rsidR="003200DF" w:rsidRPr="001B4A02">
        <w:t xml:space="preserve"> </w:t>
      </w:r>
      <w:r w:rsidRPr="001B4A02">
        <w:t>očkování</w:t>
      </w:r>
      <w:r w:rsidR="003200DF" w:rsidRPr="001B4A02">
        <w:t xml:space="preserve"> odpovídající jejich věku</w:t>
      </w:r>
      <w:r w:rsidRPr="001B4A02">
        <w:t xml:space="preserve"> před zahájením léčby přípravkem Humira.</w:t>
      </w:r>
    </w:p>
    <w:p w14:paraId="3252B182" w14:textId="77777777" w:rsidR="009640B0" w:rsidRPr="001B4A02" w:rsidRDefault="00000000" w:rsidP="00ED48A3">
      <w:pPr>
        <w:numPr>
          <w:ilvl w:val="0"/>
          <w:numId w:val="15"/>
        </w:numPr>
        <w:tabs>
          <w:tab w:val="clear" w:pos="720"/>
        </w:tabs>
        <w:ind w:left="851" w:hanging="284"/>
      </w:pPr>
      <w:r w:rsidRPr="001B4A02">
        <w:t>Pokud jste přípravek Humira používala během</w:t>
      </w:r>
      <w:r w:rsidR="00715D0A" w:rsidRPr="001B4A02">
        <w:t xml:space="preserve"> </w:t>
      </w:r>
      <w:r w:rsidRPr="001B4A02">
        <w:t>těhotenství, může být Vaše dítě náchylnější k</w:t>
      </w:r>
      <w:r w:rsidR="00075234" w:rsidRPr="001B4A02">
        <w:t> </w:t>
      </w:r>
      <w:r w:rsidRPr="001B4A02">
        <w:t>infekcím po dobu přibližně pěti měsíců poté, co jste dostala poslední dávku přípravku Humira v</w:t>
      </w:r>
      <w:r w:rsidR="00075234" w:rsidRPr="001B4A02">
        <w:t> </w:t>
      </w:r>
      <w:r w:rsidRPr="001B4A02">
        <w:t>průběhu těhotenství. Je důležité, abyste oznámila lékaři Vašeho dítěte</w:t>
      </w:r>
      <w:r w:rsidR="002378E0">
        <w:t xml:space="preserve"> a </w:t>
      </w:r>
      <w:r w:rsidRPr="001B4A02">
        <w:t>jiným zdravotnickým pracovníkům, že Vám byl přípravek Humira v</w:t>
      </w:r>
      <w:r w:rsidR="00075234" w:rsidRPr="001B4A02">
        <w:t> </w:t>
      </w:r>
      <w:r w:rsidRPr="001B4A02">
        <w:t>těhotenství podáván, aby se na základě této informace mohli rozhodnout, kdy je vhodné Vaše dítě očkovat.</w:t>
      </w:r>
    </w:p>
    <w:p w14:paraId="297086A5" w14:textId="77777777" w:rsidR="009640B0" w:rsidRPr="001B4A02" w:rsidRDefault="009640B0" w:rsidP="00ED48A3">
      <w:pPr>
        <w:tabs>
          <w:tab w:val="num" w:pos="540"/>
        </w:tabs>
      </w:pPr>
    </w:p>
    <w:p w14:paraId="5CEA272E" w14:textId="77777777" w:rsidR="009640B0" w:rsidRPr="001B4A02" w:rsidRDefault="00000000" w:rsidP="00ED48A3">
      <w:pPr>
        <w:keepNext/>
        <w:tabs>
          <w:tab w:val="num" w:pos="540"/>
        </w:tabs>
        <w:rPr>
          <w:u w:val="single"/>
        </w:rPr>
      </w:pPr>
      <w:r w:rsidRPr="001B4A02">
        <w:rPr>
          <w:u w:val="single"/>
        </w:rPr>
        <w:t>Srdeční selhání</w:t>
      </w:r>
    </w:p>
    <w:p w14:paraId="1DEDF53E" w14:textId="77777777" w:rsidR="009640B0" w:rsidRPr="001B4A02" w:rsidRDefault="009640B0" w:rsidP="00ED48A3">
      <w:pPr>
        <w:keepNext/>
        <w:tabs>
          <w:tab w:val="num" w:pos="540"/>
        </w:tabs>
      </w:pPr>
    </w:p>
    <w:p w14:paraId="4CE603B8" w14:textId="77777777" w:rsidR="009640B0" w:rsidRPr="001B4A02" w:rsidRDefault="00000000" w:rsidP="002857B1">
      <w:pPr>
        <w:numPr>
          <w:ilvl w:val="0"/>
          <w:numId w:val="15"/>
        </w:numPr>
        <w:tabs>
          <w:tab w:val="clear" w:pos="720"/>
        </w:tabs>
        <w:ind w:left="851" w:hanging="284"/>
      </w:pPr>
      <w:r w:rsidRPr="001B4A02">
        <w:t>Pokud se u Vás vyskytuje mírné srdeční selhávání</w:t>
      </w:r>
      <w:r w:rsidR="002378E0">
        <w:t xml:space="preserve"> a </w:t>
      </w:r>
      <w:r w:rsidRPr="001B4A02">
        <w:t>jste léčen(a) přípravkem Humira, musí být lékařem pečlivě sledován stav Vašeho srdce. Je důležité, abyste sdělil(a) svému lékaři, že se u Vás vyskytly nebo se v současné době vyskytují závažné problémy se srdcem. Pokud se u Vás vyskytnou nové nebo se zhorší již stávající známky srdečního selhávání (např. dýchavičnost nebo otoky dolních končetin), musíte ihned kontaktovat svého lékaře. Váš lékař rozhodne, zda máte používat přípravek Humira</w:t>
      </w:r>
      <w:r w:rsidR="004A7732">
        <w:t>.</w:t>
      </w:r>
    </w:p>
    <w:p w14:paraId="2F298C87" w14:textId="77777777" w:rsidR="00075234" w:rsidRPr="001B4A02" w:rsidRDefault="00075234" w:rsidP="002857B1">
      <w:pPr>
        <w:pStyle w:val="ListParagraph"/>
        <w:ind w:left="0" w:firstLine="0"/>
      </w:pPr>
    </w:p>
    <w:p w14:paraId="6800D2FC" w14:textId="77777777" w:rsidR="007B15E0" w:rsidRPr="001B4A02" w:rsidRDefault="00000000" w:rsidP="00AF2155">
      <w:pPr>
        <w:keepNext/>
        <w:tabs>
          <w:tab w:val="num" w:pos="540"/>
        </w:tabs>
        <w:rPr>
          <w:u w:val="single"/>
        </w:rPr>
      </w:pPr>
      <w:r w:rsidRPr="001B4A02">
        <w:rPr>
          <w:u w:val="single"/>
        </w:rPr>
        <w:t>Horečka, modřiny</w:t>
      </w:r>
      <w:r w:rsidR="007815F1">
        <w:rPr>
          <w:u w:val="single"/>
        </w:rPr>
        <w:t>, krvácení</w:t>
      </w:r>
      <w:r w:rsidRPr="001B4A02">
        <w:rPr>
          <w:u w:val="single"/>
        </w:rPr>
        <w:t xml:space="preserve"> nebo bledost</w:t>
      </w:r>
    </w:p>
    <w:p w14:paraId="02AAF361" w14:textId="77777777" w:rsidR="007B15E0" w:rsidRPr="001B4A02" w:rsidRDefault="007B15E0" w:rsidP="00AF2155">
      <w:pPr>
        <w:pStyle w:val="ListParagraph"/>
        <w:keepNext/>
      </w:pPr>
    </w:p>
    <w:p w14:paraId="73477DF1" w14:textId="77777777" w:rsidR="007B15E0" w:rsidRPr="001B4A02" w:rsidRDefault="00000000" w:rsidP="00BA0A72">
      <w:pPr>
        <w:numPr>
          <w:ilvl w:val="0"/>
          <w:numId w:val="15"/>
        </w:numPr>
        <w:tabs>
          <w:tab w:val="clear" w:pos="720"/>
        </w:tabs>
        <w:ind w:left="568" w:hanging="284"/>
        <w:rPr>
          <w:bCs/>
          <w:szCs w:val="22"/>
        </w:rPr>
      </w:pPr>
      <w:r w:rsidRPr="001B4A02">
        <w:rPr>
          <w:bCs/>
          <w:szCs w:val="22"/>
        </w:rPr>
        <w:t>U některých pacientů nemusí tělo vytvářet dostatek kr</w:t>
      </w:r>
      <w:r w:rsidR="00C670F4" w:rsidRPr="001B4A02">
        <w:rPr>
          <w:bCs/>
          <w:szCs w:val="22"/>
        </w:rPr>
        <w:t>vinek</w:t>
      </w:r>
      <w:r w:rsidRPr="001B4A02">
        <w:rPr>
          <w:bCs/>
          <w:szCs w:val="22"/>
        </w:rPr>
        <w:t>, které bojují</w:t>
      </w:r>
      <w:r w:rsidR="002857B1" w:rsidRPr="001B4A02">
        <w:rPr>
          <w:bCs/>
          <w:szCs w:val="22"/>
        </w:rPr>
        <w:t xml:space="preserve"> </w:t>
      </w:r>
      <w:r w:rsidRPr="001B4A02">
        <w:rPr>
          <w:bCs/>
          <w:szCs w:val="22"/>
        </w:rPr>
        <w:t>s infekcemi nebo pomáhají zastavit krvácení. Váš lékař se může rozhodnout ukončit léčbu. Jestliže máte horečku, která neodeznívá, modřiny nebo snadno krvácí</w:t>
      </w:r>
      <w:r w:rsidR="00B2623D" w:rsidRPr="001B4A02">
        <w:rPr>
          <w:bCs/>
          <w:szCs w:val="22"/>
        </w:rPr>
        <w:t>te</w:t>
      </w:r>
      <w:r w:rsidRPr="001B4A02">
        <w:rPr>
          <w:bCs/>
          <w:szCs w:val="22"/>
        </w:rPr>
        <w:t>, případně jste velmi bledý</w:t>
      </w:r>
      <w:r w:rsidR="00B2623D" w:rsidRPr="001B4A02">
        <w:rPr>
          <w:bCs/>
          <w:szCs w:val="22"/>
        </w:rPr>
        <w:t>(</w:t>
      </w:r>
      <w:r w:rsidRPr="001B4A02">
        <w:rPr>
          <w:bCs/>
          <w:szCs w:val="22"/>
        </w:rPr>
        <w:t>á</w:t>
      </w:r>
      <w:r w:rsidR="00B2623D" w:rsidRPr="001B4A02">
        <w:rPr>
          <w:bCs/>
          <w:szCs w:val="22"/>
        </w:rPr>
        <w:t>)</w:t>
      </w:r>
      <w:r w:rsidRPr="001B4A02">
        <w:rPr>
          <w:bCs/>
          <w:szCs w:val="22"/>
        </w:rPr>
        <w:t>, ihned se spojte s lékařem</w:t>
      </w:r>
      <w:r w:rsidR="002857B1" w:rsidRPr="001B4A02">
        <w:rPr>
          <w:bCs/>
          <w:szCs w:val="22"/>
        </w:rPr>
        <w:t>.</w:t>
      </w:r>
    </w:p>
    <w:p w14:paraId="18B77F1E" w14:textId="77777777" w:rsidR="009640B0" w:rsidRPr="001B4A02" w:rsidRDefault="009640B0" w:rsidP="00BA0A72">
      <w:pPr>
        <w:ind w:left="0" w:firstLine="0"/>
      </w:pPr>
    </w:p>
    <w:p w14:paraId="52944FFB" w14:textId="77777777" w:rsidR="009640B0" w:rsidRPr="001B4A02" w:rsidRDefault="00000000" w:rsidP="001D31EF">
      <w:pPr>
        <w:keepNext/>
        <w:ind w:left="0" w:firstLine="0"/>
        <w:rPr>
          <w:u w:val="single"/>
        </w:rPr>
      </w:pPr>
      <w:r w:rsidRPr="001B4A02">
        <w:rPr>
          <w:u w:val="single"/>
        </w:rPr>
        <w:t>Rakovina</w:t>
      </w:r>
    </w:p>
    <w:p w14:paraId="1ECD1EDC" w14:textId="77777777" w:rsidR="009640B0" w:rsidRPr="001B4A02" w:rsidRDefault="009640B0" w:rsidP="001D31EF">
      <w:pPr>
        <w:keepNext/>
        <w:ind w:left="0" w:firstLine="0"/>
      </w:pPr>
    </w:p>
    <w:p w14:paraId="3E25AD1F" w14:textId="77777777" w:rsidR="009640B0" w:rsidRPr="001B4A02" w:rsidRDefault="00000000" w:rsidP="00ED48A3">
      <w:pPr>
        <w:pStyle w:val="EndnoteText"/>
        <w:numPr>
          <w:ilvl w:val="0"/>
          <w:numId w:val="8"/>
        </w:numPr>
        <w:tabs>
          <w:tab w:val="clear" w:pos="720"/>
        </w:tabs>
        <w:ind w:left="568" w:hanging="284"/>
        <w:rPr>
          <w:bCs/>
          <w:szCs w:val="22"/>
          <w:lang w:val="cs-CZ"/>
        </w:rPr>
      </w:pPr>
      <w:r w:rsidRPr="001B4A02">
        <w:rPr>
          <w:bCs/>
          <w:szCs w:val="22"/>
          <w:lang w:val="cs-CZ"/>
        </w:rPr>
        <w:t>U dětských i dospělých pacientů léčených přípravkem Humira nebo jinými blokátory TNF byly popsány velmi vzácné případy výskytu určitých typů rakoviny.</w:t>
      </w:r>
    </w:p>
    <w:p w14:paraId="466F57E0" w14:textId="77777777" w:rsidR="009640B0" w:rsidRPr="001B4A02" w:rsidRDefault="009640B0" w:rsidP="00ED48A3">
      <w:pPr>
        <w:pStyle w:val="EndnoteText"/>
        <w:ind w:firstLine="0"/>
        <w:rPr>
          <w:bCs/>
          <w:szCs w:val="22"/>
          <w:lang w:val="cs-CZ"/>
        </w:rPr>
      </w:pPr>
    </w:p>
    <w:p w14:paraId="388B0F82" w14:textId="77777777" w:rsidR="009640B0" w:rsidRPr="001B4A02" w:rsidRDefault="00000000" w:rsidP="00ED48A3">
      <w:pPr>
        <w:numPr>
          <w:ilvl w:val="0"/>
          <w:numId w:val="15"/>
        </w:numPr>
        <w:tabs>
          <w:tab w:val="clear" w:pos="720"/>
        </w:tabs>
        <w:ind w:left="851" w:hanging="284"/>
      </w:pPr>
      <w:r w:rsidRPr="001B4A02">
        <w:t>Lidé se závažnější formou revmatoidní artritidy, jejichž onemocnění trvá delší dobu, mívají vyšší průměrné riziko vzniku lymfomu (rakovin</w:t>
      </w:r>
      <w:r w:rsidR="00B015D7" w:rsidRPr="001B4A02">
        <w:t>a</w:t>
      </w:r>
      <w:r w:rsidRPr="001B4A02">
        <w:t xml:space="preserve"> postihující mízní systém)</w:t>
      </w:r>
      <w:r w:rsidR="002378E0">
        <w:t xml:space="preserve"> a </w:t>
      </w:r>
      <w:r w:rsidRPr="001B4A02">
        <w:t>leuk</w:t>
      </w:r>
      <w:r w:rsidR="009466D6">
        <w:t>é</w:t>
      </w:r>
      <w:r w:rsidRPr="001B4A02">
        <w:t>mie (rakovin</w:t>
      </w:r>
      <w:r w:rsidR="00B015D7" w:rsidRPr="001B4A02">
        <w:t>a</w:t>
      </w:r>
      <w:r w:rsidRPr="001B4A02">
        <w:t xml:space="preserve"> postihující krev</w:t>
      </w:r>
      <w:r w:rsidR="002378E0">
        <w:t xml:space="preserve"> a </w:t>
      </w:r>
      <w:r w:rsidRPr="001B4A02">
        <w:t>kostní dřeň).</w:t>
      </w:r>
    </w:p>
    <w:p w14:paraId="49DEAD9E" w14:textId="77777777" w:rsidR="009640B0" w:rsidRPr="001B4A02" w:rsidRDefault="00000000" w:rsidP="00ED48A3">
      <w:pPr>
        <w:numPr>
          <w:ilvl w:val="0"/>
          <w:numId w:val="15"/>
        </w:numPr>
        <w:tabs>
          <w:tab w:val="clear" w:pos="720"/>
        </w:tabs>
        <w:ind w:left="851" w:hanging="284"/>
      </w:pPr>
      <w:r w:rsidRPr="001B4A02">
        <w:t>Jestliže používáte přípravek Humira, riziko onemocnění lymfomem, leuk</w:t>
      </w:r>
      <w:r w:rsidR="009466D6">
        <w:t>é</w:t>
      </w:r>
      <w:r w:rsidRPr="001B4A02">
        <w:t>mií nebo jiným druhem rakoviny může vzrůst. Ve vzácných případech byl u</w:t>
      </w:r>
      <w:r w:rsidR="00715D0A" w:rsidRPr="001B4A02">
        <w:t> </w:t>
      </w:r>
      <w:r w:rsidRPr="001B4A02">
        <w:t>pacientů používajících přípravek Humira pozorován neobvyklý</w:t>
      </w:r>
      <w:r w:rsidR="002378E0">
        <w:t xml:space="preserve"> a </w:t>
      </w:r>
      <w:r w:rsidRPr="001B4A02">
        <w:t>závažný typ lymfomu. Někteří z</w:t>
      </w:r>
      <w:r w:rsidR="00075234" w:rsidRPr="001B4A02">
        <w:t> </w:t>
      </w:r>
      <w:r w:rsidRPr="001B4A02">
        <w:t xml:space="preserve">těchto pacientů byli také léčeni azathioprinem nebo </w:t>
      </w:r>
      <w:r w:rsidR="00023BC4">
        <w:t>6-</w:t>
      </w:r>
      <w:r w:rsidRPr="001B4A02">
        <w:t>merkaptopurinem.</w:t>
      </w:r>
    </w:p>
    <w:p w14:paraId="7EB7537F" w14:textId="77777777" w:rsidR="009640B0" w:rsidRPr="001B4A02" w:rsidRDefault="00000000" w:rsidP="00ED48A3">
      <w:pPr>
        <w:numPr>
          <w:ilvl w:val="0"/>
          <w:numId w:val="15"/>
        </w:numPr>
        <w:tabs>
          <w:tab w:val="clear" w:pos="720"/>
        </w:tabs>
        <w:ind w:left="851" w:hanging="284"/>
      </w:pPr>
      <w:r w:rsidRPr="001B4A02">
        <w:t xml:space="preserve">Oznamte lékaři, pokud užíváte azathioprin nebo </w:t>
      </w:r>
      <w:r w:rsidR="00023BC4">
        <w:t>6-</w:t>
      </w:r>
      <w:r w:rsidRPr="001B4A02">
        <w:t>merkaptopurin současně s</w:t>
      </w:r>
      <w:r w:rsidR="00075234" w:rsidRPr="001B4A02">
        <w:t> </w:t>
      </w:r>
      <w:r w:rsidRPr="001B4A02">
        <w:t>přípravkem Humira.</w:t>
      </w:r>
    </w:p>
    <w:p w14:paraId="5A0B2BD1" w14:textId="77777777" w:rsidR="009640B0" w:rsidRPr="001B4A02" w:rsidRDefault="00000000" w:rsidP="00ED48A3">
      <w:pPr>
        <w:numPr>
          <w:ilvl w:val="0"/>
          <w:numId w:val="15"/>
        </w:numPr>
        <w:tabs>
          <w:tab w:val="clear" w:pos="720"/>
        </w:tabs>
        <w:ind w:left="851" w:hanging="284"/>
      </w:pPr>
      <w:r w:rsidRPr="001B4A02">
        <w:t>U pacientů léčených přípravkem Humira byly pozorovány případy kožní rakoviny nemelanomového typu.</w:t>
      </w:r>
    </w:p>
    <w:p w14:paraId="799CD45A" w14:textId="77777777" w:rsidR="009640B0" w:rsidRPr="001B4A02" w:rsidRDefault="00000000" w:rsidP="00ED48A3">
      <w:pPr>
        <w:numPr>
          <w:ilvl w:val="0"/>
          <w:numId w:val="15"/>
        </w:numPr>
        <w:tabs>
          <w:tab w:val="clear" w:pos="720"/>
        </w:tabs>
        <w:ind w:left="851" w:hanging="284"/>
      </w:pPr>
      <w:r w:rsidRPr="001B4A02">
        <w:t>Pokud se během léčby nebo po ní objeví nové kožní léze nebo pokud stávající kožní léze změní vzhled, sdělte to lékaři.</w:t>
      </w:r>
    </w:p>
    <w:p w14:paraId="108B8253" w14:textId="77777777" w:rsidR="009640B0" w:rsidRPr="001B4A02" w:rsidRDefault="009640B0" w:rsidP="00ED48A3">
      <w:pPr>
        <w:pStyle w:val="EndnoteText"/>
        <w:ind w:left="0" w:firstLine="0"/>
        <w:rPr>
          <w:bCs/>
          <w:szCs w:val="22"/>
          <w:lang w:val="cs-CZ"/>
        </w:rPr>
      </w:pPr>
    </w:p>
    <w:p w14:paraId="531366EB" w14:textId="77777777" w:rsidR="009640B0" w:rsidRPr="001B4A02" w:rsidRDefault="00000000" w:rsidP="00ED48A3">
      <w:pPr>
        <w:pStyle w:val="EndnoteText"/>
        <w:numPr>
          <w:ilvl w:val="0"/>
          <w:numId w:val="8"/>
        </w:numPr>
        <w:tabs>
          <w:tab w:val="clear" w:pos="720"/>
        </w:tabs>
        <w:ind w:left="568" w:hanging="284"/>
        <w:rPr>
          <w:bCs/>
          <w:szCs w:val="22"/>
          <w:lang w:val="cs-CZ"/>
        </w:rPr>
      </w:pPr>
      <w:r w:rsidRPr="001B4A02">
        <w:rPr>
          <w:bCs/>
          <w:szCs w:val="22"/>
          <w:lang w:val="cs-CZ"/>
        </w:rPr>
        <w:t xml:space="preserve">U pacientů se specifickým typem plicního onemocnění zvaným chronická obstrukční choroba plicní (CHOPN), kteří byli léčeni jiným TNF blokátorem, byly hlášeny </w:t>
      </w:r>
      <w:r w:rsidR="00023BC4">
        <w:rPr>
          <w:bCs/>
          <w:szCs w:val="22"/>
          <w:lang w:val="cs-CZ"/>
        </w:rPr>
        <w:t>i</w:t>
      </w:r>
      <w:r w:rsidR="00023BC4" w:rsidRPr="001B4A02">
        <w:rPr>
          <w:bCs/>
          <w:szCs w:val="22"/>
          <w:lang w:val="cs-CZ"/>
        </w:rPr>
        <w:t> </w:t>
      </w:r>
      <w:r w:rsidRPr="001B4A02">
        <w:rPr>
          <w:bCs/>
          <w:szCs w:val="22"/>
          <w:lang w:val="cs-CZ"/>
        </w:rPr>
        <w:t xml:space="preserve">případy jiných druhů rakoviny, než jsou lymfomy. Jestliže trpíte CHOPN nebo hodně kouříte, </w:t>
      </w:r>
      <w:r w:rsidR="006E5057" w:rsidRPr="001B4A02">
        <w:rPr>
          <w:bCs/>
          <w:szCs w:val="22"/>
          <w:lang w:val="cs-CZ"/>
        </w:rPr>
        <w:t>měl</w:t>
      </w:r>
      <w:r w:rsidR="006E5057">
        <w:rPr>
          <w:bCs/>
          <w:szCs w:val="22"/>
          <w:lang w:val="cs-CZ"/>
        </w:rPr>
        <w:t>(a)</w:t>
      </w:r>
      <w:r w:rsidR="00E84EBF" w:rsidRPr="001B4A02">
        <w:rPr>
          <w:bCs/>
          <w:szCs w:val="22"/>
          <w:lang w:val="cs-CZ"/>
        </w:rPr>
        <w:t xml:space="preserve"> byste </w:t>
      </w:r>
      <w:r w:rsidRPr="001B4A02">
        <w:rPr>
          <w:bCs/>
          <w:szCs w:val="22"/>
          <w:lang w:val="cs-CZ"/>
        </w:rPr>
        <w:t>si se svým lékařem</w:t>
      </w:r>
      <w:r w:rsidR="00E84EBF" w:rsidRPr="001B4A02">
        <w:rPr>
          <w:bCs/>
          <w:szCs w:val="22"/>
          <w:lang w:val="cs-CZ"/>
        </w:rPr>
        <w:t xml:space="preserve"> promluvit</w:t>
      </w:r>
      <w:r w:rsidRPr="001B4A02">
        <w:rPr>
          <w:bCs/>
          <w:szCs w:val="22"/>
          <w:lang w:val="cs-CZ"/>
        </w:rPr>
        <w:t>, je-li pro Vás léčba blokátorem TNF vhodná.</w:t>
      </w:r>
    </w:p>
    <w:p w14:paraId="2A602B20" w14:textId="77777777" w:rsidR="007B15E0" w:rsidRPr="001B4A02" w:rsidRDefault="007B15E0" w:rsidP="002857B1"/>
    <w:p w14:paraId="466337BA" w14:textId="77777777" w:rsidR="007B15E0" w:rsidRPr="001B4A02" w:rsidRDefault="00000000" w:rsidP="001D31EF">
      <w:pPr>
        <w:pStyle w:val="EndnoteText"/>
        <w:keepNext/>
        <w:ind w:left="0" w:firstLine="0"/>
        <w:rPr>
          <w:bCs/>
          <w:szCs w:val="22"/>
          <w:u w:val="single"/>
          <w:lang w:val="cs-CZ"/>
        </w:rPr>
      </w:pPr>
      <w:r w:rsidRPr="001B4A02">
        <w:rPr>
          <w:bCs/>
          <w:szCs w:val="22"/>
          <w:u w:val="single"/>
          <w:lang w:val="cs-CZ"/>
        </w:rPr>
        <w:t>Autoimunitní onemocnění</w:t>
      </w:r>
    </w:p>
    <w:p w14:paraId="675DB0E3" w14:textId="77777777" w:rsidR="007B15E0" w:rsidRPr="001B4A02" w:rsidRDefault="007B15E0" w:rsidP="001D31EF">
      <w:pPr>
        <w:keepNext/>
      </w:pPr>
    </w:p>
    <w:p w14:paraId="1057D7E6" w14:textId="77777777" w:rsidR="007B15E0" w:rsidRPr="001B4A02" w:rsidRDefault="00000000" w:rsidP="002857B1">
      <w:pPr>
        <w:numPr>
          <w:ilvl w:val="0"/>
          <w:numId w:val="252"/>
        </w:numPr>
        <w:ind w:left="567" w:hanging="567"/>
      </w:pPr>
      <w:r w:rsidRPr="001B4A02">
        <w:t>Vzácně může vést léčba přípravkem Humira k </w:t>
      </w:r>
      <w:r w:rsidR="00744B46" w:rsidRPr="001B4A02">
        <w:t>příznakům podobajícím se onemocnění zvanému</w:t>
      </w:r>
      <w:r w:rsidRPr="001B4A02">
        <w:t xml:space="preserve"> lupus. Pokud se objeví</w:t>
      </w:r>
      <w:r w:rsidR="002857B1" w:rsidRPr="001B4A02">
        <w:t xml:space="preserve"> </w:t>
      </w:r>
      <w:r w:rsidRPr="001B4A02">
        <w:t xml:space="preserve">příznaky, jako je trvalá nevysvětlitelná </w:t>
      </w:r>
      <w:r w:rsidR="007815F1">
        <w:t xml:space="preserve">vyrážka, </w:t>
      </w:r>
      <w:r w:rsidRPr="001B4A02">
        <w:t xml:space="preserve">horečka, bolest kloubů nebo únava, kontaktujte svého lékaře. </w:t>
      </w:r>
    </w:p>
    <w:p w14:paraId="15024775" w14:textId="77777777" w:rsidR="009640B0" w:rsidRPr="001B4A02" w:rsidRDefault="009640B0" w:rsidP="00ED48A3">
      <w:pPr>
        <w:pStyle w:val="EMEANormal"/>
        <w:rPr>
          <w:highlight w:val="yellow"/>
          <w:lang w:val="cs-CZ"/>
        </w:rPr>
      </w:pPr>
    </w:p>
    <w:p w14:paraId="137C1020" w14:textId="77777777" w:rsidR="009640B0" w:rsidRPr="001B4A02" w:rsidRDefault="00000000" w:rsidP="00BA0A72">
      <w:pPr>
        <w:pStyle w:val="EndnoteText"/>
        <w:keepNext/>
        <w:ind w:left="0" w:firstLine="0"/>
        <w:rPr>
          <w:b/>
          <w:bCs/>
          <w:szCs w:val="22"/>
          <w:lang w:val="cs-CZ"/>
        </w:rPr>
      </w:pPr>
      <w:r w:rsidRPr="001B4A02">
        <w:rPr>
          <w:b/>
          <w:bCs/>
          <w:szCs w:val="22"/>
          <w:lang w:val="cs-CZ"/>
        </w:rPr>
        <w:t>Děti</w:t>
      </w:r>
      <w:r w:rsidR="002378E0">
        <w:rPr>
          <w:b/>
          <w:bCs/>
          <w:szCs w:val="22"/>
          <w:lang w:val="cs-CZ"/>
        </w:rPr>
        <w:t xml:space="preserve"> a </w:t>
      </w:r>
      <w:r w:rsidRPr="001B4A02">
        <w:rPr>
          <w:b/>
          <w:bCs/>
          <w:szCs w:val="22"/>
          <w:lang w:val="cs-CZ"/>
        </w:rPr>
        <w:t>dospívající</w:t>
      </w:r>
    </w:p>
    <w:p w14:paraId="19834D15" w14:textId="77777777" w:rsidR="009640B0" w:rsidRPr="001B4A02" w:rsidRDefault="009640B0" w:rsidP="00BA0A72">
      <w:pPr>
        <w:pStyle w:val="EndnoteText"/>
        <w:keepNext/>
        <w:ind w:left="0" w:firstLine="0"/>
        <w:rPr>
          <w:bCs/>
          <w:szCs w:val="22"/>
          <w:lang w:val="cs-CZ"/>
        </w:rPr>
      </w:pPr>
    </w:p>
    <w:p w14:paraId="5D30CD9C" w14:textId="77777777" w:rsidR="009640B0" w:rsidRPr="001B4A02" w:rsidRDefault="00000000" w:rsidP="00ED48A3">
      <w:pPr>
        <w:pStyle w:val="EMEANormal"/>
        <w:numPr>
          <w:ilvl w:val="0"/>
          <w:numId w:val="222"/>
        </w:numPr>
        <w:tabs>
          <w:tab w:val="clear" w:pos="562"/>
        </w:tabs>
        <w:ind w:left="568" w:hanging="284"/>
        <w:rPr>
          <w:bCs/>
          <w:szCs w:val="22"/>
          <w:lang w:val="cs-CZ"/>
        </w:rPr>
      </w:pPr>
      <w:r w:rsidRPr="001B4A02">
        <w:rPr>
          <w:bCs/>
          <w:szCs w:val="22"/>
          <w:lang w:val="cs-CZ"/>
        </w:rPr>
        <w:t xml:space="preserve">Očkování: pokud je to možné, </w:t>
      </w:r>
      <w:r w:rsidR="00E062A8" w:rsidRPr="001B4A02">
        <w:rPr>
          <w:bCs/>
          <w:szCs w:val="22"/>
          <w:lang w:val="cs-CZ"/>
        </w:rPr>
        <w:t>má</w:t>
      </w:r>
      <w:r w:rsidRPr="001B4A02">
        <w:rPr>
          <w:bCs/>
          <w:szCs w:val="22"/>
          <w:lang w:val="cs-CZ"/>
        </w:rPr>
        <w:t xml:space="preserve"> Vaše dítě </w:t>
      </w:r>
      <w:r w:rsidR="00E062A8" w:rsidRPr="001B4A02">
        <w:rPr>
          <w:bCs/>
          <w:szCs w:val="22"/>
          <w:lang w:val="cs-CZ"/>
        </w:rPr>
        <w:t xml:space="preserve">absolvovat všechna </w:t>
      </w:r>
      <w:r w:rsidRPr="001B4A02">
        <w:rPr>
          <w:bCs/>
          <w:szCs w:val="22"/>
          <w:lang w:val="cs-CZ"/>
        </w:rPr>
        <w:t>očkován</w:t>
      </w:r>
      <w:r w:rsidR="00E062A8" w:rsidRPr="001B4A02">
        <w:rPr>
          <w:bCs/>
          <w:szCs w:val="22"/>
          <w:lang w:val="cs-CZ"/>
        </w:rPr>
        <w:t>í</w:t>
      </w:r>
      <w:r w:rsidRPr="001B4A02">
        <w:rPr>
          <w:bCs/>
          <w:szCs w:val="22"/>
          <w:lang w:val="cs-CZ"/>
        </w:rPr>
        <w:t xml:space="preserve"> ještě předtím, než začne přípravek Humira používat.</w:t>
      </w:r>
    </w:p>
    <w:p w14:paraId="344CAF3E" w14:textId="77777777" w:rsidR="009640B0" w:rsidRPr="001B4A02" w:rsidRDefault="009640B0" w:rsidP="00ED48A3">
      <w:pPr>
        <w:pStyle w:val="EMEANormal"/>
        <w:rPr>
          <w:bCs/>
          <w:szCs w:val="22"/>
          <w:lang w:val="cs-CZ"/>
        </w:rPr>
      </w:pPr>
    </w:p>
    <w:p w14:paraId="7CEBA1A1" w14:textId="77777777" w:rsidR="009640B0" w:rsidRPr="001B4A02" w:rsidRDefault="00000000" w:rsidP="001D31EF">
      <w:pPr>
        <w:keepNext/>
        <w:ind w:left="0" w:firstLine="0"/>
        <w:rPr>
          <w:b/>
        </w:rPr>
      </w:pPr>
      <w:r w:rsidRPr="001B4A02">
        <w:rPr>
          <w:b/>
        </w:rPr>
        <w:t>Další léčivé přípravky</w:t>
      </w:r>
      <w:r w:rsidR="002378E0">
        <w:rPr>
          <w:b/>
        </w:rPr>
        <w:t xml:space="preserve"> a </w:t>
      </w:r>
      <w:r w:rsidRPr="001B4A02">
        <w:rPr>
          <w:b/>
        </w:rPr>
        <w:t>přípravek Humira</w:t>
      </w:r>
    </w:p>
    <w:p w14:paraId="76A4A1F5" w14:textId="77777777" w:rsidR="009640B0" w:rsidRPr="001B4A02" w:rsidRDefault="009640B0" w:rsidP="001D31EF">
      <w:pPr>
        <w:pStyle w:val="EMEANormal"/>
        <w:keepNext/>
        <w:rPr>
          <w:highlight w:val="yellow"/>
          <w:lang w:val="cs-CZ"/>
        </w:rPr>
      </w:pPr>
    </w:p>
    <w:p w14:paraId="24E6399A" w14:textId="77777777" w:rsidR="009640B0" w:rsidRPr="001B4A02" w:rsidRDefault="00000000" w:rsidP="00ED48A3">
      <w:pPr>
        <w:ind w:left="0" w:firstLine="0"/>
      </w:pPr>
      <w:r w:rsidRPr="001B4A02">
        <w:t>Informujt</w:t>
      </w:r>
      <w:r w:rsidR="00715D0A" w:rsidRPr="001B4A02">
        <w:t>e svého lékaře nebo lékárníka o </w:t>
      </w:r>
      <w:r w:rsidRPr="001B4A02">
        <w:t>všech lécích, které užíváte, které jste v</w:t>
      </w:r>
      <w:r w:rsidR="00075234" w:rsidRPr="001B4A02">
        <w:t> </w:t>
      </w:r>
      <w:r w:rsidRPr="001B4A02">
        <w:t>nedávné době užíval(a) nebo které možná budete užívat.</w:t>
      </w:r>
    </w:p>
    <w:p w14:paraId="2F3C9DB1" w14:textId="77777777" w:rsidR="009640B0" w:rsidRPr="001B4A02" w:rsidRDefault="009640B0" w:rsidP="00ED48A3">
      <w:pPr>
        <w:ind w:left="0" w:firstLine="0"/>
      </w:pPr>
    </w:p>
    <w:p w14:paraId="437A537C" w14:textId="77777777" w:rsidR="009640B0" w:rsidRPr="001B4A02" w:rsidRDefault="00000000" w:rsidP="001D31EF">
      <w:pPr>
        <w:keepNext/>
        <w:ind w:left="0" w:firstLine="0"/>
      </w:pPr>
      <w:r w:rsidRPr="001B4A02">
        <w:t>Přípravek Humira ne</w:t>
      </w:r>
      <w:r w:rsidR="001C561A" w:rsidRPr="001B4A02">
        <w:t xml:space="preserve">smíte </w:t>
      </w:r>
      <w:r w:rsidR="008B3392" w:rsidRPr="001B4A02">
        <w:t xml:space="preserve">z důvodu </w:t>
      </w:r>
      <w:r w:rsidR="008B3392" w:rsidRPr="001B4A02">
        <w:rPr>
          <w:bCs/>
          <w:szCs w:val="22"/>
        </w:rPr>
        <w:t>zvýšeného rizika závažné infekce</w:t>
      </w:r>
      <w:r w:rsidR="008B3392" w:rsidRPr="001B4A02">
        <w:t xml:space="preserve"> </w:t>
      </w:r>
      <w:r w:rsidRPr="001B4A02">
        <w:t>použív</w:t>
      </w:r>
      <w:r w:rsidR="001C561A" w:rsidRPr="001B4A02">
        <w:t>at</w:t>
      </w:r>
      <w:r w:rsidR="00E062A8" w:rsidRPr="001B4A02">
        <w:t xml:space="preserve"> </w:t>
      </w:r>
      <w:r w:rsidRPr="001B4A02">
        <w:t>s</w:t>
      </w:r>
      <w:r w:rsidR="004F5226">
        <w:t xml:space="preserve"> </w:t>
      </w:r>
      <w:r w:rsidRPr="001B4A02">
        <w:t>léky</w:t>
      </w:r>
      <w:r w:rsidR="001C561A" w:rsidRPr="001B4A02">
        <w:t>, které</w:t>
      </w:r>
      <w:r w:rsidRPr="001B4A02">
        <w:t xml:space="preserve"> obsahují</w:t>
      </w:r>
      <w:r w:rsidR="00075234" w:rsidRPr="001B4A02">
        <w:t xml:space="preserve"> následující</w:t>
      </w:r>
      <w:r w:rsidRPr="001B4A02">
        <w:t xml:space="preserve"> léčivé látky:</w:t>
      </w:r>
    </w:p>
    <w:p w14:paraId="46E1A120" w14:textId="77777777" w:rsidR="009640B0" w:rsidRPr="001B4A02" w:rsidRDefault="00000000" w:rsidP="00ED48A3">
      <w:pPr>
        <w:numPr>
          <w:ilvl w:val="0"/>
          <w:numId w:val="222"/>
        </w:numPr>
        <w:ind w:left="568" w:hanging="284"/>
      </w:pPr>
      <w:r w:rsidRPr="001B4A02">
        <w:t>anakinra</w:t>
      </w:r>
    </w:p>
    <w:p w14:paraId="58EF23BD" w14:textId="77777777" w:rsidR="009640B0" w:rsidRPr="001B4A02" w:rsidRDefault="00000000" w:rsidP="00ED48A3">
      <w:pPr>
        <w:numPr>
          <w:ilvl w:val="0"/>
          <w:numId w:val="222"/>
        </w:numPr>
        <w:ind w:left="568" w:hanging="284"/>
      </w:pPr>
      <w:r w:rsidRPr="001B4A02">
        <w:t>abatacept.</w:t>
      </w:r>
    </w:p>
    <w:p w14:paraId="693ADEB4" w14:textId="77777777" w:rsidR="009640B0" w:rsidRPr="001B4A02" w:rsidRDefault="009640B0" w:rsidP="00ED48A3">
      <w:pPr>
        <w:ind w:left="0" w:firstLine="0"/>
      </w:pPr>
    </w:p>
    <w:p w14:paraId="127E7F74" w14:textId="77777777" w:rsidR="009640B0" w:rsidRPr="001B4A02" w:rsidRDefault="00000000" w:rsidP="001D31EF">
      <w:pPr>
        <w:keepNext/>
        <w:ind w:left="0" w:firstLine="0"/>
      </w:pPr>
      <w:r w:rsidRPr="001B4A02">
        <w:t>Přípravek Humira lze používat společně s:</w:t>
      </w:r>
    </w:p>
    <w:p w14:paraId="19EC3360" w14:textId="77777777" w:rsidR="009640B0" w:rsidRPr="001B4A02" w:rsidRDefault="00000000" w:rsidP="00ED48A3">
      <w:pPr>
        <w:numPr>
          <w:ilvl w:val="0"/>
          <w:numId w:val="8"/>
        </w:numPr>
        <w:tabs>
          <w:tab w:val="clear" w:pos="720"/>
        </w:tabs>
        <w:ind w:left="568" w:hanging="284"/>
      </w:pPr>
      <w:r w:rsidRPr="001B4A02">
        <w:t>methotrexátem</w:t>
      </w:r>
    </w:p>
    <w:p w14:paraId="157BA020" w14:textId="77777777" w:rsidR="009640B0" w:rsidRPr="001B4A02" w:rsidRDefault="00000000" w:rsidP="00ED48A3">
      <w:pPr>
        <w:numPr>
          <w:ilvl w:val="0"/>
          <w:numId w:val="8"/>
        </w:numPr>
        <w:tabs>
          <w:tab w:val="clear" w:pos="720"/>
        </w:tabs>
        <w:ind w:left="568" w:hanging="284"/>
      </w:pPr>
      <w:r w:rsidRPr="001B4A02">
        <w:t>některými chorobu modifikujícími antirevmatiky (například sulfasalazin, hydroxychlorochin, leflunomid</w:t>
      </w:r>
      <w:r w:rsidR="002378E0">
        <w:t xml:space="preserve"> a </w:t>
      </w:r>
      <w:r w:rsidRPr="001B4A02">
        <w:t>injekční přípravky s obsahem solí zlata)</w:t>
      </w:r>
    </w:p>
    <w:p w14:paraId="42BAB295" w14:textId="77777777" w:rsidR="009640B0" w:rsidRPr="001B4A02" w:rsidRDefault="00000000" w:rsidP="00ED48A3">
      <w:pPr>
        <w:numPr>
          <w:ilvl w:val="0"/>
          <w:numId w:val="8"/>
        </w:numPr>
        <w:tabs>
          <w:tab w:val="clear" w:pos="720"/>
        </w:tabs>
        <w:ind w:left="568" w:hanging="284"/>
      </w:pPr>
      <w:r w:rsidRPr="001B4A02">
        <w:t>steroidy nebo léky proti bolestem,</w:t>
      </w:r>
      <w:r w:rsidR="002378E0">
        <w:t xml:space="preserve"> a </w:t>
      </w:r>
      <w:r w:rsidRPr="001B4A02">
        <w:t>to i s nesteroidními antirevmatiky (NSAID).</w:t>
      </w:r>
    </w:p>
    <w:p w14:paraId="0F61D87F" w14:textId="77777777" w:rsidR="009640B0" w:rsidRPr="001B4A02" w:rsidRDefault="009640B0" w:rsidP="00ED48A3">
      <w:pPr>
        <w:pStyle w:val="EMEANormal"/>
        <w:tabs>
          <w:tab w:val="clear" w:pos="562"/>
        </w:tabs>
        <w:suppressAutoHyphens w:val="0"/>
        <w:rPr>
          <w:lang w:val="cs-CZ"/>
        </w:rPr>
      </w:pPr>
    </w:p>
    <w:p w14:paraId="37BB35DC" w14:textId="77777777" w:rsidR="009640B0" w:rsidRPr="001B4A02" w:rsidRDefault="00000000" w:rsidP="00ED48A3">
      <w:pPr>
        <w:pStyle w:val="EMEANormal"/>
        <w:rPr>
          <w:lang w:val="cs-CZ"/>
        </w:rPr>
      </w:pPr>
      <w:r w:rsidRPr="001B4A02">
        <w:rPr>
          <w:bCs/>
          <w:szCs w:val="22"/>
          <w:lang w:val="cs-CZ"/>
        </w:rPr>
        <w:t>Máte-li nějaké dotazy, zeptejte se prosím svého lékaře.</w:t>
      </w:r>
    </w:p>
    <w:p w14:paraId="240E1BD4" w14:textId="77777777" w:rsidR="009640B0" w:rsidRPr="001B4A02" w:rsidRDefault="009640B0" w:rsidP="00ED48A3">
      <w:pPr>
        <w:pStyle w:val="EMEANormal"/>
        <w:rPr>
          <w:lang w:val="cs-CZ"/>
        </w:rPr>
      </w:pPr>
    </w:p>
    <w:p w14:paraId="4C4E64DD" w14:textId="77777777" w:rsidR="009640B0" w:rsidRPr="001B4A02" w:rsidRDefault="00000000" w:rsidP="00ED48A3">
      <w:pPr>
        <w:keepNext/>
        <w:rPr>
          <w:b/>
        </w:rPr>
      </w:pPr>
      <w:r w:rsidRPr="001B4A02">
        <w:rPr>
          <w:b/>
        </w:rPr>
        <w:t>Těhotenství</w:t>
      </w:r>
      <w:r w:rsidR="002378E0">
        <w:rPr>
          <w:b/>
        </w:rPr>
        <w:t xml:space="preserve"> a </w:t>
      </w:r>
      <w:r w:rsidRPr="001B4A02">
        <w:rPr>
          <w:b/>
        </w:rPr>
        <w:t>kojení</w:t>
      </w:r>
    </w:p>
    <w:p w14:paraId="76804BBF" w14:textId="77777777" w:rsidR="009640B0" w:rsidRPr="001B4A02" w:rsidRDefault="009640B0" w:rsidP="00ED48A3">
      <w:pPr>
        <w:pStyle w:val="EMEANormal"/>
        <w:keepNext/>
        <w:rPr>
          <w:lang w:val="cs-CZ"/>
        </w:rPr>
      </w:pPr>
    </w:p>
    <w:p w14:paraId="32E6D9F2" w14:textId="77777777" w:rsidR="002C7B91" w:rsidRDefault="00000000" w:rsidP="002C7B91">
      <w:pPr>
        <w:pStyle w:val="ListParagraph"/>
        <w:numPr>
          <w:ilvl w:val="0"/>
          <w:numId w:val="268"/>
        </w:numPr>
      </w:pPr>
      <w:r>
        <w:t>Máte zvážit použití vhodné antikoncepce k prevenci těhotenství</w:t>
      </w:r>
      <w:r w:rsidR="002378E0">
        <w:t xml:space="preserve"> a </w:t>
      </w:r>
      <w:r>
        <w:t>pokračovat v jejím užívání</w:t>
      </w:r>
      <w:r w:rsidRPr="001B4A02">
        <w:t xml:space="preserve"> po dobu nejméně pěti měsíců po posledním podání přípravku Humira.</w:t>
      </w:r>
    </w:p>
    <w:p w14:paraId="5D43E09E" w14:textId="77777777" w:rsidR="002C7B91" w:rsidRDefault="00000000" w:rsidP="002C7B91">
      <w:pPr>
        <w:pStyle w:val="ListParagraph"/>
        <w:numPr>
          <w:ilvl w:val="0"/>
          <w:numId w:val="266"/>
        </w:numPr>
      </w:pPr>
      <w:r>
        <w:t>Pokud jste těhotná, domníváte se, že můžete být těhotná</w:t>
      </w:r>
      <w:r w:rsidR="00196227">
        <w:t>,</w:t>
      </w:r>
      <w:r>
        <w:t xml:space="preserve"> nebo plánujete otěhotnět, požádejte svého lékaře o</w:t>
      </w:r>
      <w:r w:rsidR="00563486">
        <w:t> </w:t>
      </w:r>
      <w:r>
        <w:t>doporučení týkající se užívání tohoto přípravku.</w:t>
      </w:r>
    </w:p>
    <w:p w14:paraId="100D0716" w14:textId="77777777" w:rsidR="002C7B91" w:rsidRDefault="00000000" w:rsidP="002C7B91">
      <w:pPr>
        <w:pStyle w:val="ListParagraph"/>
        <w:numPr>
          <w:ilvl w:val="0"/>
          <w:numId w:val="266"/>
        </w:numPr>
      </w:pPr>
      <w:r>
        <w:t>Přípravek Humira má být užíván během těhotenství pouze tehdy, je-li to nezbytně nutné.</w:t>
      </w:r>
    </w:p>
    <w:p w14:paraId="5ED589DE" w14:textId="77777777" w:rsidR="002C7B91" w:rsidRDefault="00000000" w:rsidP="002C7B91">
      <w:pPr>
        <w:pStyle w:val="ListParagraph"/>
        <w:numPr>
          <w:ilvl w:val="0"/>
          <w:numId w:val="266"/>
        </w:numPr>
      </w:pPr>
      <w:r>
        <w:t>Na základě studie prováděné u</w:t>
      </w:r>
      <w:r w:rsidR="00563486">
        <w:t> </w:t>
      </w:r>
      <w:r>
        <w:t>těhotných žen nebylo zjištěno zvýšené riziko vrozených vad, pokud matka během těhotenství užívala přípravek Humira, ve srovnání s matkami se stejným onemocněním, které přípravek Humira neužívaly.</w:t>
      </w:r>
    </w:p>
    <w:p w14:paraId="4116F04D" w14:textId="77777777" w:rsidR="002C7B91" w:rsidRDefault="00000000" w:rsidP="002C7B91">
      <w:pPr>
        <w:pStyle w:val="ListParagraph"/>
        <w:numPr>
          <w:ilvl w:val="0"/>
          <w:numId w:val="266"/>
        </w:numPr>
      </w:pPr>
      <w:r>
        <w:t>Přípravek Humira lze podávat během kojení.</w:t>
      </w:r>
    </w:p>
    <w:p w14:paraId="280D8DF8" w14:textId="77777777" w:rsidR="002C7B91" w:rsidRDefault="00000000" w:rsidP="002C7B91">
      <w:pPr>
        <w:pStyle w:val="ListParagraph"/>
        <w:numPr>
          <w:ilvl w:val="0"/>
          <w:numId w:val="266"/>
        </w:numPr>
      </w:pPr>
      <w:r>
        <w:t>Jestliže jste používala</w:t>
      </w:r>
      <w:r w:rsidRPr="001B4A02">
        <w:t xml:space="preserve"> přípravek Humira během těhotenství, může být </w:t>
      </w:r>
      <w:r>
        <w:t>Vaše</w:t>
      </w:r>
      <w:r w:rsidRPr="001B4A02">
        <w:t xml:space="preserve"> dítě náchylnější k infekcím.</w:t>
      </w:r>
    </w:p>
    <w:p w14:paraId="2B0C2E53" w14:textId="77777777" w:rsidR="002C7B91" w:rsidRDefault="00000000" w:rsidP="002C7B91">
      <w:pPr>
        <w:pStyle w:val="ListParagraph"/>
        <w:numPr>
          <w:ilvl w:val="0"/>
          <w:numId w:val="266"/>
        </w:numPr>
      </w:pPr>
      <w:r w:rsidRPr="001B4A02">
        <w:t>Je důležité, abyste informovala dětského lékaře</w:t>
      </w:r>
      <w:r w:rsidR="002378E0">
        <w:t xml:space="preserve"> a </w:t>
      </w:r>
      <w:r w:rsidRPr="001B4A02">
        <w:t>ostatní zdravotnické pracovníky před očkováním</w:t>
      </w:r>
      <w:r>
        <w:t xml:space="preserve"> Vašeho</w:t>
      </w:r>
      <w:r w:rsidRPr="001B4A02">
        <w:t xml:space="preserve"> dítěte, že </w:t>
      </w:r>
      <w:r>
        <w:t xml:space="preserve">jste </w:t>
      </w:r>
      <w:r w:rsidRPr="001B4A02">
        <w:t>během těhotenství používala přípravek Humira</w:t>
      </w:r>
      <w:r>
        <w:t xml:space="preserve">. </w:t>
      </w:r>
      <w:r w:rsidRPr="001B4A02">
        <w:t xml:space="preserve">Více informací </w:t>
      </w:r>
      <w:r>
        <w:t>týkající</w:t>
      </w:r>
      <w:r w:rsidR="00196227">
        <w:t>ch</w:t>
      </w:r>
      <w:r>
        <w:t xml:space="preserve"> se očkování </w:t>
      </w:r>
      <w:r w:rsidRPr="001B4A02">
        <w:t xml:space="preserve">najdete v části </w:t>
      </w:r>
      <w:r w:rsidR="00563486">
        <w:t>„</w:t>
      </w:r>
      <w:r>
        <w:t>Upozornění</w:t>
      </w:r>
      <w:r w:rsidR="002378E0">
        <w:t xml:space="preserve"> a </w:t>
      </w:r>
      <w:r>
        <w:t>opatření“</w:t>
      </w:r>
      <w:r w:rsidRPr="001B4A02">
        <w:t>.</w:t>
      </w:r>
    </w:p>
    <w:p w14:paraId="0D59E7B8" w14:textId="77777777" w:rsidR="009640B0" w:rsidRPr="001B4A02" w:rsidRDefault="009640B0" w:rsidP="0067453A">
      <w:pPr>
        <w:numPr>
          <w:ilvl w:val="12"/>
          <w:numId w:val="0"/>
        </w:numPr>
      </w:pPr>
    </w:p>
    <w:p w14:paraId="4D1B2ED9" w14:textId="77777777" w:rsidR="009640B0" w:rsidRPr="001B4A02" w:rsidRDefault="00000000" w:rsidP="001D31EF">
      <w:pPr>
        <w:pStyle w:val="EMEANormal"/>
        <w:keepNext/>
        <w:tabs>
          <w:tab w:val="clear" w:pos="562"/>
        </w:tabs>
        <w:suppressAutoHyphens w:val="0"/>
        <w:rPr>
          <w:b/>
          <w:bCs/>
          <w:lang w:val="cs-CZ"/>
        </w:rPr>
      </w:pPr>
      <w:r w:rsidRPr="001B4A02">
        <w:rPr>
          <w:b/>
          <w:bCs/>
          <w:lang w:val="cs-CZ"/>
        </w:rPr>
        <w:t>Řízení dopravních prostředků</w:t>
      </w:r>
      <w:r w:rsidR="002378E0">
        <w:rPr>
          <w:b/>
          <w:bCs/>
          <w:lang w:val="cs-CZ"/>
        </w:rPr>
        <w:t xml:space="preserve"> a </w:t>
      </w:r>
      <w:r w:rsidRPr="001B4A02">
        <w:rPr>
          <w:b/>
          <w:bCs/>
          <w:lang w:val="cs-CZ"/>
        </w:rPr>
        <w:t>obsluha strojů</w:t>
      </w:r>
    </w:p>
    <w:p w14:paraId="26E10CBB" w14:textId="77777777" w:rsidR="009640B0" w:rsidRPr="001B4A02" w:rsidRDefault="009640B0" w:rsidP="001D31EF">
      <w:pPr>
        <w:keepNext/>
        <w:ind w:left="0" w:firstLine="0"/>
      </w:pPr>
    </w:p>
    <w:p w14:paraId="22B229DE" w14:textId="77777777" w:rsidR="009640B0" w:rsidRPr="001B4A02" w:rsidRDefault="00000000" w:rsidP="0067453A">
      <w:pPr>
        <w:numPr>
          <w:ilvl w:val="12"/>
          <w:numId w:val="0"/>
        </w:numPr>
      </w:pPr>
      <w:r w:rsidRPr="001B4A02">
        <w:t>Přípravek Humira může mít malý vliv na schopnost řídit, jezdit na kole nebo obsluhovat stroje. Po použití přípravku Humira se může objevit pocit točení hlavy</w:t>
      </w:r>
      <w:r w:rsidR="002378E0">
        <w:t xml:space="preserve"> a </w:t>
      </w:r>
      <w:r w:rsidRPr="001B4A02">
        <w:t>poruchy vidění.</w:t>
      </w:r>
    </w:p>
    <w:p w14:paraId="27FCEB83" w14:textId="77777777" w:rsidR="009640B0" w:rsidRDefault="009640B0" w:rsidP="0067453A">
      <w:pPr>
        <w:numPr>
          <w:ilvl w:val="12"/>
          <w:numId w:val="0"/>
        </w:numPr>
        <w:rPr>
          <w:ins w:id="13869" w:author="AbbVie1" w:date="2025-05-13T10:17:00Z"/>
        </w:rPr>
      </w:pPr>
    </w:p>
    <w:p w14:paraId="2CE3CD78" w14:textId="77777777" w:rsidR="00797B97" w:rsidRDefault="00000000" w:rsidP="00797B97">
      <w:pPr>
        <w:keepNext/>
        <w:numPr>
          <w:ilvl w:val="12"/>
          <w:numId w:val="0"/>
        </w:numPr>
        <w:jc w:val="both"/>
        <w:rPr>
          <w:ins w:id="13870" w:author="Abbvie02" w:date="2025-05-16T12:01:00Z"/>
          <w:b/>
          <w:bCs/>
        </w:rPr>
      </w:pPr>
      <w:ins w:id="13871" w:author="Abbvie02" w:date="2025-05-16T12:01:00Z">
        <w:r>
          <w:rPr>
            <w:b/>
            <w:bCs/>
          </w:rPr>
          <w:t>Přípravek Humira obsahuje polysorbát</w:t>
        </w:r>
      </w:ins>
    </w:p>
    <w:p w14:paraId="3A4E3602" w14:textId="77777777" w:rsidR="00797B97" w:rsidRPr="00EF1473" w:rsidRDefault="00797B97" w:rsidP="00797B97">
      <w:pPr>
        <w:keepNext/>
        <w:numPr>
          <w:ilvl w:val="12"/>
          <w:numId w:val="0"/>
        </w:numPr>
        <w:jc w:val="both"/>
        <w:rPr>
          <w:ins w:id="13872" w:author="Abbvie02" w:date="2025-05-16T12:01:00Z"/>
        </w:rPr>
      </w:pPr>
    </w:p>
    <w:p w14:paraId="657AB428" w14:textId="77777777" w:rsidR="00FC50CC" w:rsidRDefault="00000000" w:rsidP="00797B97">
      <w:pPr>
        <w:numPr>
          <w:ilvl w:val="12"/>
          <w:numId w:val="0"/>
        </w:numPr>
        <w:ind w:right="-2"/>
        <w:jc w:val="both"/>
        <w:rPr>
          <w:ins w:id="13873" w:author="Abbvie02" w:date="2025-05-16T12:05:00Z"/>
        </w:rPr>
      </w:pPr>
      <w:ins w:id="13874" w:author="AbbVie1" w:date="2025-05-13T10:17:00Z">
        <w:r>
          <w:t>Tento léčivý přípravek obsahuje 0,8 mg polysorbátu 80 v jedné 80mg dávce. Polysorbáty mohou způsobit alergické reakce.</w:t>
        </w:r>
        <w:r w:rsidRPr="0028456C">
          <w:t xml:space="preserve"> Informujte svého lékaře, pokud </w:t>
        </w:r>
        <w:r>
          <w:t>máte</w:t>
        </w:r>
        <w:r w:rsidRPr="0028456C">
          <w:t xml:space="preserve"> jakékoli alergie.</w:t>
        </w:r>
      </w:ins>
    </w:p>
    <w:p w14:paraId="2F5E3CAC" w14:textId="77777777" w:rsidR="00E0129D" w:rsidRPr="001B4A02" w:rsidRDefault="00E0129D" w:rsidP="00797B97">
      <w:pPr>
        <w:numPr>
          <w:ilvl w:val="12"/>
          <w:numId w:val="0"/>
        </w:numPr>
        <w:ind w:right="-2"/>
        <w:jc w:val="both"/>
      </w:pPr>
    </w:p>
    <w:p w14:paraId="4D4A59AA" w14:textId="77777777" w:rsidR="009640B0" w:rsidRPr="001B4A02" w:rsidRDefault="009640B0" w:rsidP="0067453A">
      <w:pPr>
        <w:numPr>
          <w:ilvl w:val="12"/>
          <w:numId w:val="0"/>
        </w:numPr>
      </w:pPr>
    </w:p>
    <w:p w14:paraId="385EBE07" w14:textId="77777777" w:rsidR="009640B0" w:rsidRPr="001B4A02" w:rsidRDefault="00000000" w:rsidP="004B14C0">
      <w:pPr>
        <w:pStyle w:val="EMEAHeading1"/>
        <w:keepNext/>
        <w:spacing w:beforeLines="0" w:afterLines="0"/>
        <w:outlineLvl w:val="1"/>
        <w:rPr>
          <w:rFonts w:ascii="Times New Roman" w:hAnsi="Times New Roman"/>
          <w:caps w:val="0"/>
          <w:lang w:val="cs-CZ"/>
        </w:rPr>
      </w:pPr>
      <w:r w:rsidRPr="001B4A02">
        <w:rPr>
          <w:rFonts w:ascii="Times New Roman" w:hAnsi="Times New Roman"/>
          <w:caps w:val="0"/>
          <w:lang w:val="cs-CZ"/>
        </w:rPr>
        <w:t>3.</w:t>
      </w:r>
      <w:r w:rsidRPr="001B4A02">
        <w:rPr>
          <w:rFonts w:ascii="Times New Roman" w:hAnsi="Times New Roman"/>
          <w:caps w:val="0"/>
          <w:lang w:val="cs-CZ"/>
        </w:rPr>
        <w:tab/>
        <w:t>Jak se přípravek Humira používá</w:t>
      </w:r>
    </w:p>
    <w:p w14:paraId="25ACE245" w14:textId="77777777" w:rsidR="009640B0" w:rsidRPr="001B4A02" w:rsidRDefault="009640B0" w:rsidP="00ED48A3">
      <w:pPr>
        <w:pStyle w:val="EMEANormal"/>
        <w:keepNext/>
        <w:rPr>
          <w:lang w:val="cs-CZ"/>
        </w:rPr>
      </w:pPr>
    </w:p>
    <w:p w14:paraId="74712EBB" w14:textId="77777777" w:rsidR="009640B0" w:rsidRPr="001B4A02" w:rsidRDefault="00000000" w:rsidP="00ED48A3">
      <w:pPr>
        <w:ind w:left="0" w:firstLine="0"/>
      </w:pPr>
      <w:r w:rsidRPr="001B4A02">
        <w:t>Vždy používejte tento přípravek přesně podle pokynů svého lékaře nebo lékárníka. Pokud si nejste jistý(á), poraďte se se svým lékařem nebo lékárníkem.</w:t>
      </w:r>
    </w:p>
    <w:p w14:paraId="351AA895" w14:textId="77777777" w:rsidR="009640B0" w:rsidRPr="001B4A02" w:rsidRDefault="009640B0" w:rsidP="00ED48A3">
      <w:pPr>
        <w:ind w:left="0" w:firstLine="0"/>
        <w:rPr>
          <w:u w:val="single"/>
        </w:rPr>
      </w:pPr>
    </w:p>
    <w:p w14:paraId="5AC21E4A" w14:textId="77777777" w:rsidR="009640B0" w:rsidRPr="001B4A02" w:rsidRDefault="00000000" w:rsidP="00ED48A3">
      <w:pPr>
        <w:numPr>
          <w:ilvl w:val="12"/>
          <w:numId w:val="0"/>
        </w:numPr>
        <w:ind w:right="-2"/>
      </w:pPr>
      <w:r w:rsidRPr="001B4A02">
        <w:t>Doporučené dávky přípravku Humira u</w:t>
      </w:r>
      <w:r w:rsidR="00B12121" w:rsidRPr="001B4A02">
        <w:t> </w:t>
      </w:r>
      <w:r w:rsidRPr="001B4A02">
        <w:t>každého schváleného použití jsou uvedeny v následující tabulce.</w:t>
      </w:r>
      <w:r w:rsidR="00B83B0E" w:rsidRPr="001B4A02">
        <w:t xml:space="preserve"> </w:t>
      </w:r>
      <w:r w:rsidR="00FC48B5" w:rsidRPr="001B4A02">
        <w:t>L</w:t>
      </w:r>
      <w:r w:rsidR="00B83B0E" w:rsidRPr="001B4A02">
        <w:t>ékař Vám může předepsat jinou sílu přípravku Humira, pokud potřebujete jinou dávku.</w:t>
      </w:r>
    </w:p>
    <w:p w14:paraId="6410E5A1" w14:textId="77777777" w:rsidR="009F4123" w:rsidRPr="001B4A02" w:rsidRDefault="009F4123" w:rsidP="00ED48A3">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13"/>
        <w:gridCol w:w="3032"/>
      </w:tblGrid>
      <w:tr w:rsidR="00534A2D" w14:paraId="5F57095E" w14:textId="77777777" w:rsidTr="0017164D">
        <w:tc>
          <w:tcPr>
            <w:tcW w:w="9287" w:type="dxa"/>
            <w:gridSpan w:val="3"/>
            <w:shd w:val="clear" w:color="auto" w:fill="auto"/>
          </w:tcPr>
          <w:p w14:paraId="77464F24" w14:textId="77777777" w:rsidR="009F4123" w:rsidRPr="001B4A02" w:rsidRDefault="00000000" w:rsidP="0017164D">
            <w:pPr>
              <w:keepNext/>
              <w:numPr>
                <w:ilvl w:val="12"/>
                <w:numId w:val="0"/>
              </w:numPr>
              <w:ind w:right="-2"/>
              <w:rPr>
                <w:b/>
              </w:rPr>
            </w:pPr>
            <w:r w:rsidRPr="001B4A02">
              <w:rPr>
                <w:b/>
              </w:rPr>
              <w:t>Revmatoidní artritida</w:t>
            </w:r>
          </w:p>
        </w:tc>
      </w:tr>
      <w:tr w:rsidR="00534A2D" w14:paraId="472CAF0C" w14:textId="77777777" w:rsidTr="0017164D">
        <w:tc>
          <w:tcPr>
            <w:tcW w:w="3095" w:type="dxa"/>
            <w:shd w:val="clear" w:color="auto" w:fill="auto"/>
          </w:tcPr>
          <w:p w14:paraId="290F4D91" w14:textId="77777777" w:rsidR="009F4123" w:rsidRPr="001B4A02" w:rsidRDefault="00000000" w:rsidP="0017164D">
            <w:pPr>
              <w:keepNext/>
              <w:numPr>
                <w:ilvl w:val="12"/>
                <w:numId w:val="0"/>
              </w:numPr>
              <w:ind w:right="-2"/>
            </w:pPr>
            <w:r w:rsidRPr="001B4A02">
              <w:rPr>
                <w:b/>
              </w:rPr>
              <w:t>Věk nebo tělesná hmotnost</w:t>
            </w:r>
          </w:p>
        </w:tc>
        <w:tc>
          <w:tcPr>
            <w:tcW w:w="3096" w:type="dxa"/>
            <w:shd w:val="clear" w:color="auto" w:fill="auto"/>
          </w:tcPr>
          <w:p w14:paraId="4B1F752A" w14:textId="77777777" w:rsidR="009F4123" w:rsidRPr="001B4A02" w:rsidRDefault="00000000" w:rsidP="0017164D">
            <w:pPr>
              <w:keepNext/>
              <w:numPr>
                <w:ilvl w:val="12"/>
                <w:numId w:val="0"/>
              </w:numPr>
              <w:ind w:right="-2"/>
            </w:pPr>
            <w:r w:rsidRPr="001B4A02">
              <w:rPr>
                <w:b/>
              </w:rPr>
              <w:t>Kolik používat</w:t>
            </w:r>
            <w:r w:rsidR="002378E0">
              <w:rPr>
                <w:b/>
              </w:rPr>
              <w:t xml:space="preserve"> a </w:t>
            </w:r>
            <w:r w:rsidRPr="001B4A02">
              <w:rPr>
                <w:b/>
              </w:rPr>
              <w:t>jak často?</w:t>
            </w:r>
          </w:p>
        </w:tc>
        <w:tc>
          <w:tcPr>
            <w:tcW w:w="3096" w:type="dxa"/>
            <w:shd w:val="clear" w:color="auto" w:fill="auto"/>
          </w:tcPr>
          <w:p w14:paraId="10DE9CA9" w14:textId="77777777" w:rsidR="009F4123" w:rsidRPr="001B4A02" w:rsidRDefault="00000000" w:rsidP="0017164D">
            <w:pPr>
              <w:keepNext/>
              <w:numPr>
                <w:ilvl w:val="12"/>
                <w:numId w:val="0"/>
              </w:numPr>
              <w:ind w:right="-2"/>
            </w:pPr>
            <w:r w:rsidRPr="001B4A02">
              <w:rPr>
                <w:b/>
              </w:rPr>
              <w:t>Poznámky</w:t>
            </w:r>
          </w:p>
        </w:tc>
      </w:tr>
      <w:tr w:rsidR="00534A2D" w14:paraId="0D3E6826" w14:textId="77777777" w:rsidTr="0017164D">
        <w:tc>
          <w:tcPr>
            <w:tcW w:w="3095" w:type="dxa"/>
            <w:shd w:val="clear" w:color="auto" w:fill="auto"/>
          </w:tcPr>
          <w:p w14:paraId="18444D48" w14:textId="77777777" w:rsidR="009F4123" w:rsidRPr="001B4A02" w:rsidRDefault="00000000" w:rsidP="0017164D">
            <w:pPr>
              <w:keepNext/>
              <w:numPr>
                <w:ilvl w:val="12"/>
                <w:numId w:val="0"/>
              </w:numPr>
              <w:ind w:right="-2"/>
            </w:pPr>
            <w:r w:rsidRPr="001B4A02">
              <w:t>Dospělí</w:t>
            </w:r>
          </w:p>
        </w:tc>
        <w:tc>
          <w:tcPr>
            <w:tcW w:w="3096" w:type="dxa"/>
            <w:shd w:val="clear" w:color="auto" w:fill="auto"/>
          </w:tcPr>
          <w:p w14:paraId="0F55888B" w14:textId="77777777" w:rsidR="009F4123" w:rsidRPr="001B4A02" w:rsidRDefault="00000000" w:rsidP="0017164D">
            <w:pPr>
              <w:keepNext/>
              <w:numPr>
                <w:ilvl w:val="12"/>
                <w:numId w:val="0"/>
              </w:numPr>
              <w:ind w:right="-2"/>
            </w:pPr>
            <w:r w:rsidRPr="001B4A02">
              <w:t>40</w:t>
            </w:r>
            <w:r w:rsidR="00A7483D">
              <w:t> mg</w:t>
            </w:r>
            <w:r w:rsidRPr="001B4A02">
              <w:t xml:space="preserve"> jednou za dva týdny</w:t>
            </w:r>
          </w:p>
        </w:tc>
        <w:tc>
          <w:tcPr>
            <w:tcW w:w="3096" w:type="dxa"/>
            <w:shd w:val="clear" w:color="auto" w:fill="auto"/>
          </w:tcPr>
          <w:p w14:paraId="5F63F79D" w14:textId="77777777" w:rsidR="009F4123" w:rsidRPr="001B4A02" w:rsidRDefault="00000000" w:rsidP="0017164D">
            <w:pPr>
              <w:keepNext/>
              <w:ind w:left="0" w:firstLine="0"/>
            </w:pPr>
            <w:r w:rsidRPr="001B4A02">
              <w:t>U revmatoidní artritidy se při léčbě přípravkem Humira pokračuje v podávání methotrexátu. Pokud Váš lékař určí, že je pro Vás methotrexát nevhodný, podává se přípravek Humira samostatně.</w:t>
            </w:r>
          </w:p>
          <w:p w14:paraId="191F27F1" w14:textId="77777777" w:rsidR="009F4123" w:rsidRPr="001B4A02" w:rsidRDefault="009F4123" w:rsidP="0017164D">
            <w:pPr>
              <w:keepNext/>
              <w:ind w:left="0" w:firstLine="0"/>
            </w:pPr>
          </w:p>
          <w:p w14:paraId="5B4BFD39" w14:textId="77777777" w:rsidR="009F4123" w:rsidRPr="001B4A02" w:rsidRDefault="00000000" w:rsidP="0017164D">
            <w:pPr>
              <w:keepNext/>
              <w:numPr>
                <w:ilvl w:val="12"/>
                <w:numId w:val="0"/>
              </w:numPr>
              <w:ind w:right="-2"/>
            </w:pPr>
            <w:r w:rsidRPr="001B4A02">
              <w:t>Jestliže máte revmatoidní artritidu</w:t>
            </w:r>
            <w:r w:rsidR="002378E0">
              <w:t xml:space="preserve"> a </w:t>
            </w:r>
            <w:r w:rsidRPr="001B4A02">
              <w:t xml:space="preserve">spolu s přípravkem Humira nedostáváte methotrexát, může lékař rozhodnout, že budete dostávat </w:t>
            </w:r>
            <w:r w:rsidR="002317A3" w:rsidRPr="001B4A02">
              <w:t>přípravek Humira 40</w:t>
            </w:r>
            <w:r w:rsidR="00A7483D">
              <w:t> mg</w:t>
            </w:r>
            <w:r w:rsidR="002317A3" w:rsidRPr="001B4A02">
              <w:t xml:space="preserve"> jednou týdně </w:t>
            </w:r>
            <w:r w:rsidRPr="001B4A02">
              <w:t>nebo 80</w:t>
            </w:r>
            <w:r w:rsidR="00A7483D">
              <w:t> mg</w:t>
            </w:r>
            <w:r w:rsidRPr="001B4A02">
              <w:t xml:space="preserve"> jednou za dva týdny.</w:t>
            </w:r>
          </w:p>
        </w:tc>
      </w:tr>
    </w:tbl>
    <w:p w14:paraId="2E2E379F" w14:textId="77777777" w:rsidR="009F4123" w:rsidRPr="001B4A02" w:rsidRDefault="009F4123" w:rsidP="00ED48A3">
      <w:pPr>
        <w:numPr>
          <w:ilvl w:val="12"/>
          <w:numId w:val="0"/>
        </w:numPr>
        <w:ind w:right="-2"/>
      </w:pPr>
    </w:p>
    <w:p w14:paraId="3E18A2FB" w14:textId="77777777" w:rsidR="009640B0" w:rsidRPr="001B4A02" w:rsidRDefault="009640B0" w:rsidP="00ED48A3">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022"/>
        <w:gridCol w:w="3026"/>
      </w:tblGrid>
      <w:tr w:rsidR="00534A2D" w14:paraId="49EF99FD" w14:textId="77777777" w:rsidTr="00B87DF7">
        <w:tc>
          <w:tcPr>
            <w:tcW w:w="9287" w:type="dxa"/>
            <w:gridSpan w:val="3"/>
            <w:shd w:val="clear" w:color="auto" w:fill="auto"/>
          </w:tcPr>
          <w:p w14:paraId="52315751" w14:textId="77777777" w:rsidR="009640B0" w:rsidRPr="001B4A02" w:rsidRDefault="00000000" w:rsidP="00ED48A3">
            <w:pPr>
              <w:numPr>
                <w:ilvl w:val="12"/>
                <w:numId w:val="0"/>
              </w:numPr>
            </w:pPr>
            <w:r w:rsidRPr="001B4A02">
              <w:rPr>
                <w:b/>
              </w:rPr>
              <w:t>Ložisková psoriáza</w:t>
            </w:r>
          </w:p>
        </w:tc>
      </w:tr>
      <w:tr w:rsidR="00534A2D" w14:paraId="062653B4" w14:textId="77777777" w:rsidTr="00B87DF7">
        <w:tc>
          <w:tcPr>
            <w:tcW w:w="3095" w:type="dxa"/>
            <w:shd w:val="clear" w:color="auto" w:fill="auto"/>
          </w:tcPr>
          <w:p w14:paraId="07F35767" w14:textId="77777777" w:rsidR="009640B0" w:rsidRPr="001B4A02" w:rsidRDefault="00000000" w:rsidP="00ED48A3">
            <w:pPr>
              <w:numPr>
                <w:ilvl w:val="12"/>
                <w:numId w:val="0"/>
              </w:numPr>
            </w:pPr>
            <w:r w:rsidRPr="001B4A02">
              <w:rPr>
                <w:b/>
              </w:rPr>
              <w:t>Věk nebo tělesná hmotnost</w:t>
            </w:r>
          </w:p>
        </w:tc>
        <w:tc>
          <w:tcPr>
            <w:tcW w:w="3096" w:type="dxa"/>
            <w:shd w:val="clear" w:color="auto" w:fill="auto"/>
          </w:tcPr>
          <w:p w14:paraId="1D6CD1C1" w14:textId="77777777" w:rsidR="009640B0" w:rsidRPr="001B4A02" w:rsidRDefault="00000000" w:rsidP="00ED48A3">
            <w:pPr>
              <w:numPr>
                <w:ilvl w:val="12"/>
                <w:numId w:val="0"/>
              </w:numPr>
            </w:pPr>
            <w:r w:rsidRPr="001B4A02">
              <w:rPr>
                <w:b/>
              </w:rPr>
              <w:t>Kolik používat</w:t>
            </w:r>
            <w:r w:rsidR="002378E0">
              <w:rPr>
                <w:b/>
              </w:rPr>
              <w:t xml:space="preserve"> a </w:t>
            </w:r>
            <w:r w:rsidRPr="001B4A02">
              <w:rPr>
                <w:b/>
              </w:rPr>
              <w:t>jak často?</w:t>
            </w:r>
          </w:p>
        </w:tc>
        <w:tc>
          <w:tcPr>
            <w:tcW w:w="3096" w:type="dxa"/>
            <w:shd w:val="clear" w:color="auto" w:fill="auto"/>
          </w:tcPr>
          <w:p w14:paraId="72B78997" w14:textId="77777777" w:rsidR="009640B0" w:rsidRPr="001B4A02" w:rsidRDefault="00000000" w:rsidP="00ED48A3">
            <w:pPr>
              <w:numPr>
                <w:ilvl w:val="12"/>
                <w:numId w:val="0"/>
              </w:numPr>
            </w:pPr>
            <w:r w:rsidRPr="001B4A02">
              <w:rPr>
                <w:b/>
              </w:rPr>
              <w:t>Poznámky</w:t>
            </w:r>
          </w:p>
        </w:tc>
      </w:tr>
      <w:tr w:rsidR="00534A2D" w14:paraId="32711B8D" w14:textId="77777777" w:rsidTr="00B87DF7">
        <w:tc>
          <w:tcPr>
            <w:tcW w:w="3095" w:type="dxa"/>
            <w:shd w:val="clear" w:color="auto" w:fill="auto"/>
          </w:tcPr>
          <w:p w14:paraId="0765DEF6" w14:textId="77777777" w:rsidR="009640B0" w:rsidRPr="001B4A02" w:rsidRDefault="00000000" w:rsidP="00ED48A3">
            <w:pPr>
              <w:numPr>
                <w:ilvl w:val="12"/>
                <w:numId w:val="0"/>
              </w:numPr>
            </w:pPr>
            <w:r w:rsidRPr="001B4A02">
              <w:t>Dospělí</w:t>
            </w:r>
          </w:p>
          <w:p w14:paraId="6A272A2E" w14:textId="77777777" w:rsidR="009640B0" w:rsidRPr="001B4A02" w:rsidRDefault="009640B0" w:rsidP="00ED48A3">
            <w:pPr>
              <w:numPr>
                <w:ilvl w:val="12"/>
                <w:numId w:val="0"/>
              </w:numPr>
            </w:pPr>
          </w:p>
        </w:tc>
        <w:tc>
          <w:tcPr>
            <w:tcW w:w="3096" w:type="dxa"/>
            <w:shd w:val="clear" w:color="auto" w:fill="auto"/>
          </w:tcPr>
          <w:p w14:paraId="7B8A03FE" w14:textId="77777777" w:rsidR="009640B0" w:rsidRPr="001B4A02" w:rsidRDefault="00000000" w:rsidP="00ED48A3">
            <w:pPr>
              <w:numPr>
                <w:ilvl w:val="12"/>
                <w:numId w:val="0"/>
              </w:numPr>
            </w:pPr>
            <w:r w:rsidRPr="001B4A02">
              <w:t>První dávka 80</w:t>
            </w:r>
            <w:r w:rsidR="00A7483D">
              <w:t> mg</w:t>
            </w:r>
            <w:r w:rsidRPr="001B4A02">
              <w:t xml:space="preserve"> (jedna injekce </w:t>
            </w:r>
            <w:r w:rsidRPr="001B4A02">
              <w:rPr>
                <w:szCs w:val="22"/>
              </w:rPr>
              <w:t>80</w:t>
            </w:r>
            <w:r w:rsidR="00A7483D">
              <w:rPr>
                <w:szCs w:val="22"/>
              </w:rPr>
              <w:t> mg</w:t>
            </w:r>
            <w:r w:rsidRPr="001B4A02">
              <w:t xml:space="preserve">) následovaná </w:t>
            </w:r>
            <w:r w:rsidR="00B97C66" w:rsidRPr="001B4A02">
              <w:rPr>
                <w:szCs w:val="22"/>
              </w:rPr>
              <w:t>o jeden týden později</w:t>
            </w:r>
            <w:r w:rsidR="00B97C66" w:rsidRPr="001B4A02">
              <w:t xml:space="preserve"> </w:t>
            </w:r>
            <w:r w:rsidRPr="001B4A02">
              <w:t>dávkou 40</w:t>
            </w:r>
            <w:r w:rsidR="00A7483D">
              <w:t> mg</w:t>
            </w:r>
            <w:r w:rsidRPr="001B4A02">
              <w:t xml:space="preserve"> jednou za dva týdny.</w:t>
            </w:r>
          </w:p>
        </w:tc>
        <w:tc>
          <w:tcPr>
            <w:tcW w:w="3096" w:type="dxa"/>
            <w:shd w:val="clear" w:color="auto" w:fill="auto"/>
          </w:tcPr>
          <w:p w14:paraId="78C82CF1" w14:textId="77777777" w:rsidR="009640B0" w:rsidRPr="001B4A02" w:rsidRDefault="00000000" w:rsidP="009F4123">
            <w:pPr>
              <w:ind w:left="0" w:firstLine="0"/>
            </w:pPr>
            <w:r w:rsidRPr="001B4A02">
              <w:t xml:space="preserve">Jestliže je Vaše odpověď nedostatečná, lékař může zvýšit </w:t>
            </w:r>
            <w:r w:rsidR="0096238D" w:rsidRPr="001B4A02">
              <w:t xml:space="preserve">dávkování </w:t>
            </w:r>
            <w:r w:rsidRPr="001B4A02">
              <w:t>na 40</w:t>
            </w:r>
            <w:r w:rsidR="00A7483D">
              <w:t> mg</w:t>
            </w:r>
            <w:r w:rsidRPr="001B4A02">
              <w:t xml:space="preserve"> jednou týdně</w:t>
            </w:r>
            <w:r w:rsidR="009F4123" w:rsidRPr="001B4A02">
              <w:t xml:space="preserve"> nebo 80</w:t>
            </w:r>
            <w:r w:rsidR="00A7483D">
              <w:t> mg</w:t>
            </w:r>
            <w:r w:rsidR="009F4123" w:rsidRPr="001B4A02">
              <w:t xml:space="preserve"> jednou za dva týdny</w:t>
            </w:r>
            <w:r w:rsidRPr="001B4A02">
              <w:t>.</w:t>
            </w:r>
          </w:p>
        </w:tc>
      </w:tr>
    </w:tbl>
    <w:p w14:paraId="383ACFC2" w14:textId="77777777" w:rsidR="009640B0" w:rsidRPr="001B4A02" w:rsidRDefault="009640B0" w:rsidP="00ED48A3">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0"/>
        <w:gridCol w:w="3026"/>
      </w:tblGrid>
      <w:tr w:rsidR="00534A2D" w14:paraId="32027321" w14:textId="77777777" w:rsidTr="00B87DF7">
        <w:tc>
          <w:tcPr>
            <w:tcW w:w="9287" w:type="dxa"/>
            <w:gridSpan w:val="3"/>
            <w:shd w:val="clear" w:color="auto" w:fill="auto"/>
          </w:tcPr>
          <w:p w14:paraId="43410FA8" w14:textId="77777777" w:rsidR="009640B0" w:rsidRPr="001B4A02" w:rsidRDefault="00000000" w:rsidP="00ED48A3">
            <w:pPr>
              <w:keepNext/>
              <w:numPr>
                <w:ilvl w:val="12"/>
                <w:numId w:val="0"/>
              </w:numPr>
              <w:ind w:right="-2"/>
              <w:rPr>
                <w:b/>
                <w:szCs w:val="22"/>
                <w:highlight w:val="yellow"/>
              </w:rPr>
            </w:pPr>
            <w:r w:rsidRPr="001B4A02">
              <w:rPr>
                <w:b/>
                <w:szCs w:val="22"/>
              </w:rPr>
              <w:t>Hidradenitis suppurativa</w:t>
            </w:r>
          </w:p>
        </w:tc>
      </w:tr>
      <w:tr w:rsidR="00534A2D" w14:paraId="3236CFB3" w14:textId="77777777" w:rsidTr="00B87DF7">
        <w:tc>
          <w:tcPr>
            <w:tcW w:w="3095" w:type="dxa"/>
            <w:shd w:val="clear" w:color="auto" w:fill="auto"/>
          </w:tcPr>
          <w:p w14:paraId="23077D53" w14:textId="77777777" w:rsidR="009640B0" w:rsidRPr="001B4A02" w:rsidRDefault="00000000" w:rsidP="00ED48A3">
            <w:pPr>
              <w:keepNext/>
              <w:numPr>
                <w:ilvl w:val="12"/>
                <w:numId w:val="0"/>
              </w:numPr>
              <w:ind w:right="-2"/>
            </w:pPr>
            <w:r w:rsidRPr="001B4A02">
              <w:rPr>
                <w:b/>
                <w:szCs w:val="22"/>
              </w:rPr>
              <w:t>Věk nebo tělesná hmotnost</w:t>
            </w:r>
          </w:p>
        </w:tc>
        <w:tc>
          <w:tcPr>
            <w:tcW w:w="3096" w:type="dxa"/>
            <w:shd w:val="clear" w:color="auto" w:fill="auto"/>
          </w:tcPr>
          <w:p w14:paraId="715FA5CD" w14:textId="77777777" w:rsidR="009640B0" w:rsidRPr="001B4A02" w:rsidRDefault="00000000" w:rsidP="00ED48A3">
            <w:pPr>
              <w:keepNext/>
              <w:numPr>
                <w:ilvl w:val="12"/>
                <w:numId w:val="0"/>
              </w:numPr>
              <w:ind w:right="-2"/>
              <w:rPr>
                <w:szCs w:val="22"/>
              </w:rPr>
            </w:pPr>
            <w:r w:rsidRPr="001B4A02">
              <w:rPr>
                <w:b/>
                <w:szCs w:val="22"/>
              </w:rPr>
              <w:t>Kolik používat</w:t>
            </w:r>
            <w:r w:rsidR="002378E0">
              <w:rPr>
                <w:b/>
                <w:szCs w:val="22"/>
              </w:rPr>
              <w:t xml:space="preserve"> a </w:t>
            </w:r>
            <w:r w:rsidRPr="001B4A02">
              <w:rPr>
                <w:b/>
                <w:szCs w:val="22"/>
              </w:rPr>
              <w:t>jak často?</w:t>
            </w:r>
          </w:p>
        </w:tc>
        <w:tc>
          <w:tcPr>
            <w:tcW w:w="3096" w:type="dxa"/>
            <w:shd w:val="clear" w:color="auto" w:fill="auto"/>
          </w:tcPr>
          <w:p w14:paraId="7D68A2B4" w14:textId="77777777" w:rsidR="009640B0" w:rsidRPr="001B4A02" w:rsidRDefault="00000000" w:rsidP="00ED48A3">
            <w:pPr>
              <w:keepNext/>
              <w:numPr>
                <w:ilvl w:val="12"/>
                <w:numId w:val="0"/>
              </w:numPr>
              <w:ind w:right="-2"/>
            </w:pPr>
            <w:r w:rsidRPr="001B4A02">
              <w:rPr>
                <w:b/>
                <w:szCs w:val="22"/>
              </w:rPr>
              <w:t>Poznámky</w:t>
            </w:r>
          </w:p>
        </w:tc>
      </w:tr>
      <w:tr w:rsidR="00534A2D" w14:paraId="35398CE4" w14:textId="77777777" w:rsidTr="00B87DF7">
        <w:tc>
          <w:tcPr>
            <w:tcW w:w="3095" w:type="dxa"/>
            <w:shd w:val="clear" w:color="auto" w:fill="auto"/>
          </w:tcPr>
          <w:p w14:paraId="7BCAC6B0" w14:textId="77777777" w:rsidR="009640B0" w:rsidRPr="001B4A02" w:rsidRDefault="00000000" w:rsidP="00AF2155">
            <w:pPr>
              <w:numPr>
                <w:ilvl w:val="12"/>
                <w:numId w:val="0"/>
              </w:numPr>
              <w:ind w:right="-2"/>
            </w:pPr>
            <w:r w:rsidRPr="001B4A02">
              <w:rPr>
                <w:szCs w:val="22"/>
              </w:rPr>
              <w:t>Dospělí</w:t>
            </w:r>
          </w:p>
        </w:tc>
        <w:tc>
          <w:tcPr>
            <w:tcW w:w="3096" w:type="dxa"/>
            <w:shd w:val="clear" w:color="auto" w:fill="auto"/>
          </w:tcPr>
          <w:p w14:paraId="2D3544C6" w14:textId="77777777" w:rsidR="009640B0" w:rsidRPr="001B4A02" w:rsidRDefault="00000000" w:rsidP="00AF2155">
            <w:pPr>
              <w:numPr>
                <w:ilvl w:val="12"/>
                <w:numId w:val="0"/>
              </w:numPr>
              <w:ind w:right="-2"/>
              <w:rPr>
                <w:szCs w:val="22"/>
              </w:rPr>
            </w:pPr>
            <w:r w:rsidRPr="001B4A02">
              <w:rPr>
                <w:szCs w:val="22"/>
              </w:rPr>
              <w:t>První dávka 160</w:t>
            </w:r>
            <w:r w:rsidR="00A7483D">
              <w:rPr>
                <w:szCs w:val="22"/>
              </w:rPr>
              <w:t> mg</w:t>
            </w:r>
            <w:r w:rsidRPr="001B4A02">
              <w:rPr>
                <w:szCs w:val="22"/>
              </w:rPr>
              <w:t xml:space="preserve"> (dvě injekce 80</w:t>
            </w:r>
            <w:r w:rsidR="00A7483D">
              <w:rPr>
                <w:szCs w:val="22"/>
              </w:rPr>
              <w:t> mg</w:t>
            </w:r>
            <w:r w:rsidRPr="001B4A02">
              <w:rPr>
                <w:szCs w:val="22"/>
              </w:rPr>
              <w:t xml:space="preserve"> ve dni 1 nebo jedna injekce 80</w:t>
            </w:r>
            <w:r w:rsidR="00A7483D">
              <w:rPr>
                <w:szCs w:val="22"/>
              </w:rPr>
              <w:t> mg</w:t>
            </w:r>
            <w:r w:rsidRPr="001B4A02">
              <w:rPr>
                <w:szCs w:val="22"/>
              </w:rPr>
              <w:t xml:space="preserve"> denně po dva po sobě jdoucí dny) následovaná </w:t>
            </w:r>
            <w:r w:rsidR="00B97C66" w:rsidRPr="001B4A02">
              <w:rPr>
                <w:szCs w:val="22"/>
              </w:rPr>
              <w:t xml:space="preserve">o dva týdny později </w:t>
            </w:r>
            <w:r w:rsidRPr="001B4A02">
              <w:rPr>
                <w:szCs w:val="22"/>
              </w:rPr>
              <w:t>dávkou 80</w:t>
            </w:r>
            <w:r w:rsidR="00A7483D">
              <w:rPr>
                <w:szCs w:val="22"/>
              </w:rPr>
              <w:t> mg</w:t>
            </w:r>
            <w:r w:rsidRPr="001B4A02">
              <w:rPr>
                <w:szCs w:val="22"/>
              </w:rPr>
              <w:t xml:space="preserve"> (jedna injekce 80</w:t>
            </w:r>
            <w:r w:rsidR="00A7483D">
              <w:rPr>
                <w:szCs w:val="22"/>
              </w:rPr>
              <w:t> mg</w:t>
            </w:r>
            <w:r w:rsidRPr="001B4A02">
              <w:rPr>
                <w:szCs w:val="22"/>
              </w:rPr>
              <w:t>). Po dalších dvou týdnech pokračujte dávkou 40</w:t>
            </w:r>
            <w:r w:rsidR="00A7483D">
              <w:rPr>
                <w:szCs w:val="22"/>
              </w:rPr>
              <w:t> mg</w:t>
            </w:r>
            <w:r w:rsidRPr="001B4A02">
              <w:rPr>
                <w:szCs w:val="22"/>
              </w:rPr>
              <w:t xml:space="preserve"> jednou týdně</w:t>
            </w:r>
            <w:r w:rsidR="009F4123" w:rsidRPr="001B4A02">
              <w:rPr>
                <w:szCs w:val="22"/>
              </w:rPr>
              <w:t xml:space="preserve"> nebo 80</w:t>
            </w:r>
            <w:r w:rsidR="00A7483D">
              <w:rPr>
                <w:szCs w:val="22"/>
              </w:rPr>
              <w:t> mg</w:t>
            </w:r>
            <w:r w:rsidR="009F4123" w:rsidRPr="001B4A02">
              <w:rPr>
                <w:szCs w:val="22"/>
              </w:rPr>
              <w:t xml:space="preserve"> jednou za dva týdny, jak Vám předepsal lékař</w:t>
            </w:r>
            <w:r w:rsidRPr="001B4A02">
              <w:rPr>
                <w:szCs w:val="22"/>
              </w:rPr>
              <w:t>.</w:t>
            </w:r>
          </w:p>
        </w:tc>
        <w:tc>
          <w:tcPr>
            <w:tcW w:w="3096" w:type="dxa"/>
            <w:shd w:val="clear" w:color="auto" w:fill="auto"/>
          </w:tcPr>
          <w:p w14:paraId="6F9C3D10" w14:textId="77777777" w:rsidR="009640B0" w:rsidRPr="001B4A02" w:rsidRDefault="00000000" w:rsidP="00AF2155">
            <w:pPr>
              <w:pStyle w:val="gtcbodytext"/>
              <w:spacing w:before="0" w:after="0" w:line="240" w:lineRule="auto"/>
              <w:rPr>
                <w:sz w:val="22"/>
                <w:szCs w:val="22"/>
                <w:lang w:val="cs-CZ"/>
              </w:rPr>
            </w:pPr>
            <w:r w:rsidRPr="001B4A02">
              <w:rPr>
                <w:sz w:val="22"/>
                <w:szCs w:val="22"/>
                <w:lang w:val="cs-CZ"/>
              </w:rPr>
              <w:t>Doporučuje se postižená místa denně omývat antiseptickým přípravkem.</w:t>
            </w:r>
          </w:p>
          <w:p w14:paraId="57DF868C" w14:textId="77777777" w:rsidR="009640B0" w:rsidRPr="001B4A02" w:rsidRDefault="009640B0" w:rsidP="00AF2155">
            <w:pPr>
              <w:numPr>
                <w:ilvl w:val="12"/>
                <w:numId w:val="0"/>
              </w:numPr>
              <w:ind w:right="-2"/>
            </w:pPr>
          </w:p>
        </w:tc>
      </w:tr>
      <w:tr w:rsidR="00534A2D" w14:paraId="0CD95DE4" w14:textId="77777777" w:rsidTr="00B87DF7">
        <w:tc>
          <w:tcPr>
            <w:tcW w:w="3095" w:type="dxa"/>
            <w:shd w:val="clear" w:color="auto" w:fill="auto"/>
          </w:tcPr>
          <w:p w14:paraId="7BDECD1C" w14:textId="77777777" w:rsidR="009640B0" w:rsidRPr="001B4A02" w:rsidRDefault="00000000" w:rsidP="00AF2155">
            <w:pPr>
              <w:keepNext/>
              <w:numPr>
                <w:ilvl w:val="12"/>
                <w:numId w:val="0"/>
              </w:numPr>
              <w:rPr>
                <w:szCs w:val="22"/>
                <w:bdr w:val="nil"/>
              </w:rPr>
            </w:pPr>
            <w:r w:rsidRPr="001B4A02">
              <w:rPr>
                <w:szCs w:val="22"/>
              </w:rPr>
              <w:t>Dospívající od 12 </w:t>
            </w:r>
            <w:r w:rsidR="005C6897" w:rsidRPr="001B4A02">
              <w:rPr>
                <w:szCs w:val="22"/>
              </w:rPr>
              <w:t xml:space="preserve">do 17 </w:t>
            </w:r>
            <w:r w:rsidRPr="001B4A02">
              <w:rPr>
                <w:szCs w:val="22"/>
              </w:rPr>
              <w:t>let s</w:t>
            </w:r>
            <w:r w:rsidR="005C6897" w:rsidRPr="001B4A02">
              <w:rPr>
                <w:szCs w:val="22"/>
              </w:rPr>
              <w:t> </w:t>
            </w:r>
            <w:r w:rsidRPr="001B4A02">
              <w:rPr>
                <w:szCs w:val="22"/>
              </w:rPr>
              <w:t>hmotností 30 kg</w:t>
            </w:r>
            <w:r w:rsidR="00B57221" w:rsidRPr="001B4A02">
              <w:rPr>
                <w:szCs w:val="22"/>
              </w:rPr>
              <w:t xml:space="preserve"> nebo </w:t>
            </w:r>
            <w:r w:rsidR="001D2B8E" w:rsidRPr="001B4A02">
              <w:t>vyšší</w:t>
            </w:r>
          </w:p>
        </w:tc>
        <w:tc>
          <w:tcPr>
            <w:tcW w:w="3096" w:type="dxa"/>
            <w:shd w:val="clear" w:color="auto" w:fill="auto"/>
          </w:tcPr>
          <w:p w14:paraId="2D6F938C" w14:textId="77777777" w:rsidR="009640B0" w:rsidRPr="001B4A02" w:rsidRDefault="00000000" w:rsidP="00AF2155">
            <w:pPr>
              <w:keepNext/>
              <w:numPr>
                <w:ilvl w:val="12"/>
                <w:numId w:val="0"/>
              </w:numPr>
              <w:ind w:right="-2"/>
              <w:rPr>
                <w:szCs w:val="22"/>
                <w:bdr w:val="nil"/>
              </w:rPr>
            </w:pPr>
            <w:r w:rsidRPr="001B4A02">
              <w:rPr>
                <w:szCs w:val="22"/>
              </w:rPr>
              <w:t>První dávka 80</w:t>
            </w:r>
            <w:r w:rsidR="00A7483D">
              <w:rPr>
                <w:szCs w:val="22"/>
              </w:rPr>
              <w:t> mg</w:t>
            </w:r>
            <w:r w:rsidRPr="001B4A02">
              <w:rPr>
                <w:szCs w:val="22"/>
              </w:rPr>
              <w:t xml:space="preserve"> (jedna injekce 80</w:t>
            </w:r>
            <w:r w:rsidR="00A7483D">
              <w:rPr>
                <w:szCs w:val="22"/>
              </w:rPr>
              <w:t> mg</w:t>
            </w:r>
            <w:r w:rsidRPr="001B4A02">
              <w:rPr>
                <w:szCs w:val="22"/>
              </w:rPr>
              <w:t xml:space="preserve">) následovaná </w:t>
            </w:r>
            <w:r w:rsidR="00B97C66" w:rsidRPr="001B4A02">
              <w:rPr>
                <w:szCs w:val="22"/>
              </w:rPr>
              <w:t xml:space="preserve">o jeden týden později </w:t>
            </w:r>
            <w:r w:rsidRPr="001B4A02">
              <w:rPr>
                <w:szCs w:val="22"/>
              </w:rPr>
              <w:t>dávkou 40</w:t>
            </w:r>
            <w:r w:rsidR="00A7483D">
              <w:rPr>
                <w:szCs w:val="22"/>
              </w:rPr>
              <w:t> mg</w:t>
            </w:r>
            <w:r w:rsidRPr="001B4A02">
              <w:rPr>
                <w:szCs w:val="22"/>
              </w:rPr>
              <w:t xml:space="preserve"> </w:t>
            </w:r>
            <w:r w:rsidR="000018EF" w:rsidRPr="001B4A02">
              <w:t>jednou za dva týdny</w:t>
            </w:r>
            <w:r w:rsidRPr="001B4A02">
              <w:rPr>
                <w:szCs w:val="22"/>
              </w:rPr>
              <w:t>.</w:t>
            </w:r>
          </w:p>
        </w:tc>
        <w:tc>
          <w:tcPr>
            <w:tcW w:w="3096" w:type="dxa"/>
            <w:shd w:val="clear" w:color="auto" w:fill="auto"/>
          </w:tcPr>
          <w:p w14:paraId="2C7C3CC0" w14:textId="77777777" w:rsidR="009640B0" w:rsidRPr="001B4A02" w:rsidRDefault="00000000" w:rsidP="00AF2155">
            <w:pPr>
              <w:pStyle w:val="gtcbodytext"/>
              <w:keepNext/>
              <w:spacing w:before="0" w:after="0" w:line="240" w:lineRule="auto"/>
              <w:rPr>
                <w:sz w:val="22"/>
                <w:szCs w:val="22"/>
                <w:bdr w:val="nil"/>
                <w:lang w:val="cs-CZ"/>
              </w:rPr>
            </w:pPr>
            <w:r w:rsidRPr="001B4A02">
              <w:rPr>
                <w:sz w:val="22"/>
                <w:szCs w:val="22"/>
                <w:lang w:val="cs-CZ"/>
              </w:rPr>
              <w:t xml:space="preserve">Jestliže je Vaše odpověď </w:t>
            </w:r>
            <w:r w:rsidR="009F4123" w:rsidRPr="001B4A02">
              <w:rPr>
                <w:sz w:val="22"/>
                <w:szCs w:val="22"/>
                <w:lang w:val="cs-CZ"/>
              </w:rPr>
              <w:t>na léčbu přípravkem Humira 40</w:t>
            </w:r>
            <w:r w:rsidR="00A7483D">
              <w:rPr>
                <w:sz w:val="22"/>
                <w:szCs w:val="22"/>
                <w:lang w:val="cs-CZ"/>
              </w:rPr>
              <w:t> mg</w:t>
            </w:r>
            <w:r w:rsidR="009F4123" w:rsidRPr="001B4A02">
              <w:rPr>
                <w:sz w:val="22"/>
                <w:szCs w:val="22"/>
                <w:lang w:val="cs-CZ"/>
              </w:rPr>
              <w:t xml:space="preserve"> jednou za dva týdny </w:t>
            </w:r>
            <w:r w:rsidRPr="001B4A02">
              <w:rPr>
                <w:sz w:val="22"/>
                <w:szCs w:val="22"/>
                <w:lang w:val="cs-CZ"/>
              </w:rPr>
              <w:t xml:space="preserve">nedostatečná, lékař může zvýšit </w:t>
            </w:r>
            <w:r w:rsidR="0096238D" w:rsidRPr="001B4A02">
              <w:rPr>
                <w:sz w:val="22"/>
                <w:szCs w:val="22"/>
                <w:lang w:val="cs-CZ"/>
              </w:rPr>
              <w:t xml:space="preserve">dávkování </w:t>
            </w:r>
            <w:r w:rsidRPr="001B4A02">
              <w:rPr>
                <w:sz w:val="22"/>
                <w:szCs w:val="22"/>
                <w:lang w:val="cs-CZ"/>
              </w:rPr>
              <w:t>na 40</w:t>
            </w:r>
            <w:r w:rsidR="00A7483D">
              <w:rPr>
                <w:sz w:val="22"/>
                <w:szCs w:val="22"/>
                <w:lang w:val="cs-CZ"/>
              </w:rPr>
              <w:t> mg</w:t>
            </w:r>
            <w:r w:rsidRPr="001B4A02">
              <w:rPr>
                <w:sz w:val="22"/>
                <w:szCs w:val="22"/>
                <w:lang w:val="cs-CZ"/>
              </w:rPr>
              <w:t xml:space="preserve"> jednou týdně</w:t>
            </w:r>
            <w:r w:rsidR="009F4123" w:rsidRPr="001B4A02">
              <w:rPr>
                <w:sz w:val="22"/>
                <w:szCs w:val="22"/>
                <w:lang w:val="cs-CZ"/>
              </w:rPr>
              <w:t xml:space="preserve"> nebo 80</w:t>
            </w:r>
            <w:r w:rsidR="00A7483D">
              <w:rPr>
                <w:sz w:val="22"/>
                <w:szCs w:val="22"/>
                <w:lang w:val="cs-CZ"/>
              </w:rPr>
              <w:t> mg</w:t>
            </w:r>
            <w:r w:rsidR="009F4123" w:rsidRPr="001B4A02">
              <w:rPr>
                <w:sz w:val="22"/>
                <w:szCs w:val="22"/>
                <w:lang w:val="cs-CZ"/>
              </w:rPr>
              <w:t xml:space="preserve"> jednou za dva týdny</w:t>
            </w:r>
            <w:r w:rsidRPr="001B4A02">
              <w:rPr>
                <w:sz w:val="22"/>
                <w:szCs w:val="22"/>
                <w:lang w:val="cs-CZ"/>
              </w:rPr>
              <w:t>.</w:t>
            </w:r>
          </w:p>
          <w:p w14:paraId="353351E4" w14:textId="77777777" w:rsidR="009640B0" w:rsidRPr="001B4A02" w:rsidRDefault="00000000" w:rsidP="00AF2155">
            <w:pPr>
              <w:pStyle w:val="gtcbodytext"/>
              <w:keepNext/>
              <w:spacing w:before="0" w:after="0" w:line="240" w:lineRule="auto"/>
              <w:rPr>
                <w:sz w:val="22"/>
                <w:szCs w:val="22"/>
                <w:bdr w:val="nil"/>
                <w:lang w:val="cs-CZ"/>
              </w:rPr>
            </w:pPr>
            <w:r w:rsidRPr="001B4A02">
              <w:rPr>
                <w:sz w:val="22"/>
                <w:szCs w:val="22"/>
                <w:lang w:val="cs-CZ"/>
              </w:rPr>
              <w:t>Doporučuje se postižená místa denně omývat antiseptickým přípravkem.</w:t>
            </w:r>
          </w:p>
        </w:tc>
      </w:tr>
    </w:tbl>
    <w:p w14:paraId="09F3A0F0" w14:textId="77777777" w:rsidR="009640B0" w:rsidRPr="001B4A02" w:rsidRDefault="009640B0" w:rsidP="00ED48A3">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5"/>
        <w:gridCol w:w="3016"/>
      </w:tblGrid>
      <w:tr w:rsidR="00534A2D" w14:paraId="44785669" w14:textId="77777777" w:rsidTr="00B87DF7">
        <w:tc>
          <w:tcPr>
            <w:tcW w:w="9287" w:type="dxa"/>
            <w:gridSpan w:val="3"/>
            <w:shd w:val="clear" w:color="auto" w:fill="auto"/>
          </w:tcPr>
          <w:p w14:paraId="6271D800" w14:textId="77777777" w:rsidR="009640B0" w:rsidRPr="001B4A02" w:rsidRDefault="00000000" w:rsidP="00ED48A3">
            <w:pPr>
              <w:keepNext/>
              <w:numPr>
                <w:ilvl w:val="12"/>
                <w:numId w:val="0"/>
              </w:numPr>
              <w:ind w:right="-2"/>
            </w:pPr>
            <w:r w:rsidRPr="001B4A02">
              <w:rPr>
                <w:b/>
              </w:rPr>
              <w:t>Crohnova choroba</w:t>
            </w:r>
          </w:p>
        </w:tc>
      </w:tr>
      <w:tr w:rsidR="00534A2D" w14:paraId="522FF1CF" w14:textId="77777777" w:rsidTr="00B87DF7">
        <w:tc>
          <w:tcPr>
            <w:tcW w:w="3095" w:type="dxa"/>
            <w:shd w:val="clear" w:color="auto" w:fill="auto"/>
          </w:tcPr>
          <w:p w14:paraId="5797CEE3" w14:textId="77777777" w:rsidR="009640B0" w:rsidRPr="001B4A02" w:rsidRDefault="00000000" w:rsidP="00ED48A3">
            <w:pPr>
              <w:keepNext/>
              <w:numPr>
                <w:ilvl w:val="12"/>
                <w:numId w:val="0"/>
              </w:numPr>
              <w:ind w:right="-2"/>
            </w:pPr>
            <w:r w:rsidRPr="001B4A02">
              <w:rPr>
                <w:b/>
              </w:rPr>
              <w:t>Věk nebo tělesná hmotnost</w:t>
            </w:r>
          </w:p>
        </w:tc>
        <w:tc>
          <w:tcPr>
            <w:tcW w:w="3096" w:type="dxa"/>
            <w:shd w:val="clear" w:color="auto" w:fill="auto"/>
          </w:tcPr>
          <w:p w14:paraId="75E8C503" w14:textId="77777777" w:rsidR="009640B0" w:rsidRPr="001B4A02" w:rsidRDefault="00000000" w:rsidP="00ED48A3">
            <w:pPr>
              <w:keepNext/>
              <w:numPr>
                <w:ilvl w:val="12"/>
                <w:numId w:val="0"/>
              </w:numPr>
              <w:ind w:right="-2"/>
            </w:pPr>
            <w:r w:rsidRPr="001B4A02">
              <w:rPr>
                <w:b/>
              </w:rPr>
              <w:t>Kolik používat</w:t>
            </w:r>
            <w:r w:rsidR="002378E0">
              <w:rPr>
                <w:b/>
              </w:rPr>
              <w:t xml:space="preserve"> a </w:t>
            </w:r>
            <w:r w:rsidRPr="001B4A02">
              <w:rPr>
                <w:b/>
              </w:rPr>
              <w:t>jak často?</w:t>
            </w:r>
          </w:p>
        </w:tc>
        <w:tc>
          <w:tcPr>
            <w:tcW w:w="3096" w:type="dxa"/>
            <w:shd w:val="clear" w:color="auto" w:fill="auto"/>
          </w:tcPr>
          <w:p w14:paraId="7DDAE92A" w14:textId="77777777" w:rsidR="009640B0" w:rsidRPr="001B4A02" w:rsidRDefault="00000000" w:rsidP="00ED48A3">
            <w:pPr>
              <w:keepNext/>
              <w:numPr>
                <w:ilvl w:val="12"/>
                <w:numId w:val="0"/>
              </w:numPr>
              <w:ind w:right="-2"/>
            </w:pPr>
            <w:r w:rsidRPr="001B4A02">
              <w:rPr>
                <w:b/>
              </w:rPr>
              <w:t>Poznámky</w:t>
            </w:r>
          </w:p>
        </w:tc>
      </w:tr>
      <w:tr w:rsidR="00534A2D" w14:paraId="75B263EB" w14:textId="77777777" w:rsidTr="00B87DF7">
        <w:tc>
          <w:tcPr>
            <w:tcW w:w="3095" w:type="dxa"/>
            <w:shd w:val="clear" w:color="auto" w:fill="auto"/>
          </w:tcPr>
          <w:p w14:paraId="145C6E4A" w14:textId="77777777" w:rsidR="009640B0" w:rsidRPr="001B4A02" w:rsidRDefault="00000000" w:rsidP="00ED48A3">
            <w:pPr>
              <w:keepNext/>
              <w:numPr>
                <w:ilvl w:val="12"/>
                <w:numId w:val="0"/>
              </w:numPr>
              <w:ind w:right="-2"/>
              <w:rPr>
                <w:highlight w:val="yellow"/>
              </w:rPr>
            </w:pPr>
            <w:r w:rsidRPr="001B4A02">
              <w:t>Děti</w:t>
            </w:r>
            <w:r w:rsidR="00075234" w:rsidRPr="001B4A02">
              <w:t>,</w:t>
            </w:r>
            <w:r w:rsidRPr="001B4A02">
              <w:t xml:space="preserve"> dospívající</w:t>
            </w:r>
            <w:r w:rsidR="00075234" w:rsidRPr="001B4A02">
              <w:t xml:space="preserve"> </w:t>
            </w:r>
            <w:r w:rsidR="00B57221" w:rsidRPr="001B4A02">
              <w:t xml:space="preserve">od 6 </w:t>
            </w:r>
            <w:r w:rsidR="00746D90" w:rsidRPr="001B4A02">
              <w:t>do 17 let</w:t>
            </w:r>
            <w:r w:rsidR="002378E0">
              <w:t xml:space="preserve"> a </w:t>
            </w:r>
            <w:r w:rsidR="00C33082" w:rsidRPr="001B4A02">
              <w:t>dospělí</w:t>
            </w:r>
            <w:r w:rsidR="00746D90" w:rsidRPr="001B4A02">
              <w:t xml:space="preserve"> </w:t>
            </w:r>
            <w:r w:rsidRPr="001B4A02">
              <w:t>s hmotností 40</w:t>
            </w:r>
            <w:r w:rsidR="002767FC">
              <w:t> kg</w:t>
            </w:r>
            <w:r w:rsidRPr="001B4A02">
              <w:t xml:space="preserve"> nebo </w:t>
            </w:r>
            <w:r w:rsidR="001D2B8E" w:rsidRPr="001B4A02">
              <w:t>vyšší</w:t>
            </w:r>
          </w:p>
        </w:tc>
        <w:tc>
          <w:tcPr>
            <w:tcW w:w="3096" w:type="dxa"/>
            <w:shd w:val="clear" w:color="auto" w:fill="auto"/>
          </w:tcPr>
          <w:p w14:paraId="38FFC96D" w14:textId="77777777" w:rsidR="009640B0" w:rsidRPr="001B4A02" w:rsidRDefault="00000000" w:rsidP="00ED48A3">
            <w:pPr>
              <w:keepNext/>
              <w:ind w:left="0" w:firstLine="0"/>
            </w:pPr>
            <w:r w:rsidRPr="001B4A02">
              <w:t>První dávka 80</w:t>
            </w:r>
            <w:r w:rsidR="00A7483D">
              <w:t> mg</w:t>
            </w:r>
            <w:r w:rsidRPr="001B4A02">
              <w:t xml:space="preserve"> (jedna injekce </w:t>
            </w:r>
            <w:r w:rsidRPr="001B4A02">
              <w:rPr>
                <w:szCs w:val="22"/>
              </w:rPr>
              <w:t>80</w:t>
            </w:r>
            <w:r w:rsidR="00A7483D">
              <w:rPr>
                <w:szCs w:val="22"/>
              </w:rPr>
              <w:t> mg</w:t>
            </w:r>
            <w:r w:rsidRPr="001B4A02">
              <w:t>) následovaná o</w:t>
            </w:r>
            <w:r w:rsidR="00B97C66" w:rsidRPr="001B4A02">
              <w:t> </w:t>
            </w:r>
            <w:r w:rsidRPr="001B4A02">
              <w:t>dva týdny později dávkou 40</w:t>
            </w:r>
            <w:r w:rsidR="00A7483D">
              <w:t> mg</w:t>
            </w:r>
            <w:r w:rsidRPr="001B4A02">
              <w:t>.</w:t>
            </w:r>
          </w:p>
          <w:p w14:paraId="47DF2B72" w14:textId="77777777" w:rsidR="009640B0" w:rsidRPr="001B4A02" w:rsidRDefault="009640B0" w:rsidP="00ED48A3">
            <w:pPr>
              <w:keepNext/>
              <w:ind w:left="0" w:firstLine="0"/>
            </w:pPr>
          </w:p>
          <w:p w14:paraId="57928DE1" w14:textId="77777777" w:rsidR="009640B0" w:rsidRPr="001B4A02" w:rsidRDefault="00000000" w:rsidP="00ED48A3">
            <w:pPr>
              <w:keepNext/>
              <w:numPr>
                <w:ilvl w:val="12"/>
                <w:numId w:val="0"/>
              </w:numPr>
            </w:pPr>
            <w:r w:rsidRPr="001B4A02">
              <w:t>Jestliže je vyžadována rychlejší odpověď, lékař může předepsat první dávku 160</w:t>
            </w:r>
            <w:r w:rsidR="00A7483D">
              <w:t> mg</w:t>
            </w:r>
            <w:r w:rsidRPr="001B4A02">
              <w:t xml:space="preserve"> (dvě injekce </w:t>
            </w:r>
            <w:r w:rsidRPr="001B4A02">
              <w:rPr>
                <w:szCs w:val="22"/>
              </w:rPr>
              <w:t>80</w:t>
            </w:r>
            <w:r w:rsidR="00A7483D">
              <w:rPr>
                <w:szCs w:val="22"/>
              </w:rPr>
              <w:t> mg</w:t>
            </w:r>
            <w:r w:rsidRPr="001B4A02">
              <w:t xml:space="preserve"> ve dni 1 nebo jedna injekce </w:t>
            </w:r>
            <w:r w:rsidRPr="001B4A02">
              <w:rPr>
                <w:szCs w:val="22"/>
              </w:rPr>
              <w:t>80</w:t>
            </w:r>
            <w:r w:rsidR="00A7483D">
              <w:rPr>
                <w:szCs w:val="22"/>
              </w:rPr>
              <w:t> mg</w:t>
            </w:r>
            <w:r w:rsidRPr="001B4A02">
              <w:t xml:space="preserve"> denně po dva po sobě jdoucí dny) následovanou </w:t>
            </w:r>
            <w:r w:rsidR="00B97C66" w:rsidRPr="001B4A02">
              <w:t xml:space="preserve">o dva týdny později </w:t>
            </w:r>
            <w:r w:rsidR="00B57221" w:rsidRPr="001B4A02">
              <w:t xml:space="preserve">dávkou </w:t>
            </w:r>
            <w:r w:rsidRPr="001B4A02">
              <w:t>80</w:t>
            </w:r>
            <w:r w:rsidR="00A7483D">
              <w:t> mg</w:t>
            </w:r>
            <w:r w:rsidRPr="001B4A02">
              <w:t xml:space="preserve"> (jedna injekce </w:t>
            </w:r>
            <w:r w:rsidRPr="001B4A02">
              <w:rPr>
                <w:szCs w:val="22"/>
              </w:rPr>
              <w:t>80</w:t>
            </w:r>
            <w:r w:rsidR="00A7483D">
              <w:rPr>
                <w:szCs w:val="22"/>
              </w:rPr>
              <w:t> mg</w:t>
            </w:r>
            <w:r w:rsidRPr="001B4A02">
              <w:t>).</w:t>
            </w:r>
          </w:p>
          <w:p w14:paraId="2C59C5EF" w14:textId="77777777" w:rsidR="009640B0" w:rsidRPr="001B4A02" w:rsidRDefault="009640B0" w:rsidP="00ED48A3">
            <w:pPr>
              <w:keepNext/>
              <w:numPr>
                <w:ilvl w:val="12"/>
                <w:numId w:val="0"/>
              </w:numPr>
            </w:pPr>
          </w:p>
          <w:p w14:paraId="0B0B2976" w14:textId="77777777" w:rsidR="009640B0" w:rsidRPr="001B4A02" w:rsidRDefault="00000000" w:rsidP="00ED48A3">
            <w:pPr>
              <w:keepNext/>
              <w:numPr>
                <w:ilvl w:val="12"/>
                <w:numId w:val="0"/>
              </w:numPr>
              <w:ind w:right="-2"/>
            </w:pPr>
            <w:r w:rsidRPr="001B4A02">
              <w:t>Poté se podává obvyklá dávka 40</w:t>
            </w:r>
            <w:r w:rsidR="00A7483D">
              <w:t> mg</w:t>
            </w:r>
            <w:r w:rsidRPr="001B4A02">
              <w:t xml:space="preserve"> jednou za dva týdny.</w:t>
            </w:r>
          </w:p>
        </w:tc>
        <w:tc>
          <w:tcPr>
            <w:tcW w:w="3096" w:type="dxa"/>
            <w:shd w:val="clear" w:color="auto" w:fill="auto"/>
          </w:tcPr>
          <w:p w14:paraId="464239DB" w14:textId="77777777" w:rsidR="009640B0" w:rsidRPr="001B4A02" w:rsidRDefault="00000000" w:rsidP="009F4123">
            <w:pPr>
              <w:keepNext/>
              <w:ind w:left="0" w:firstLine="0"/>
            </w:pPr>
            <w:r w:rsidRPr="001B4A02">
              <w:t xml:space="preserve">Lékař může zvýšit </w:t>
            </w:r>
            <w:r w:rsidR="0096238D" w:rsidRPr="001B4A02">
              <w:t xml:space="preserve">dávkování </w:t>
            </w:r>
            <w:r w:rsidRPr="001B4A02">
              <w:t>na 40</w:t>
            </w:r>
            <w:r w:rsidR="00A7483D">
              <w:t> mg</w:t>
            </w:r>
            <w:r w:rsidRPr="001B4A02">
              <w:t xml:space="preserve"> </w:t>
            </w:r>
            <w:r w:rsidR="004D22A5" w:rsidRPr="001B4A02">
              <w:rPr>
                <w:szCs w:val="22"/>
              </w:rPr>
              <w:t>jednou týdně</w:t>
            </w:r>
            <w:r w:rsidR="009F4123" w:rsidRPr="001B4A02">
              <w:rPr>
                <w:szCs w:val="22"/>
              </w:rPr>
              <w:t xml:space="preserve"> nebo 80</w:t>
            </w:r>
            <w:r w:rsidR="00A7483D">
              <w:rPr>
                <w:szCs w:val="22"/>
              </w:rPr>
              <w:t> mg</w:t>
            </w:r>
            <w:r w:rsidR="009F4123" w:rsidRPr="001B4A02">
              <w:rPr>
                <w:szCs w:val="22"/>
              </w:rPr>
              <w:t xml:space="preserve"> jednou za dva týdny</w:t>
            </w:r>
            <w:r w:rsidRPr="001B4A02">
              <w:t>.</w:t>
            </w:r>
          </w:p>
        </w:tc>
      </w:tr>
      <w:tr w:rsidR="00534A2D" w14:paraId="22B53902" w14:textId="77777777" w:rsidTr="00B87DF7">
        <w:tc>
          <w:tcPr>
            <w:tcW w:w="3095" w:type="dxa"/>
            <w:shd w:val="clear" w:color="auto" w:fill="auto"/>
          </w:tcPr>
          <w:p w14:paraId="57B014A6" w14:textId="77777777" w:rsidR="009640B0" w:rsidRPr="001B4A02" w:rsidRDefault="00000000" w:rsidP="00783FD1">
            <w:pPr>
              <w:numPr>
                <w:ilvl w:val="12"/>
                <w:numId w:val="0"/>
              </w:numPr>
              <w:ind w:right="-2"/>
            </w:pPr>
            <w:r w:rsidRPr="001B4A02">
              <w:t>Děti</w:t>
            </w:r>
            <w:r w:rsidR="002378E0">
              <w:t xml:space="preserve"> a </w:t>
            </w:r>
            <w:r w:rsidRPr="001B4A02">
              <w:t xml:space="preserve">dospívající </w:t>
            </w:r>
            <w:r w:rsidR="00B57221" w:rsidRPr="001B4A02">
              <w:t xml:space="preserve">od 6 </w:t>
            </w:r>
            <w:r w:rsidR="00746D90" w:rsidRPr="001B4A02">
              <w:t xml:space="preserve">do 17 let </w:t>
            </w:r>
            <w:r w:rsidRPr="001B4A02">
              <w:t xml:space="preserve">s hmotností </w:t>
            </w:r>
            <w:r w:rsidR="00783FD1" w:rsidRPr="001B4A02">
              <w:t>do</w:t>
            </w:r>
            <w:r w:rsidRPr="001B4A02">
              <w:t xml:space="preserve"> 40</w:t>
            </w:r>
            <w:r w:rsidR="002767FC">
              <w:t> kg</w:t>
            </w:r>
            <w:r w:rsidRPr="001B4A02">
              <w:t xml:space="preserve"> </w:t>
            </w:r>
          </w:p>
        </w:tc>
        <w:tc>
          <w:tcPr>
            <w:tcW w:w="3096" w:type="dxa"/>
            <w:shd w:val="clear" w:color="auto" w:fill="auto"/>
          </w:tcPr>
          <w:p w14:paraId="1914FBE6" w14:textId="77777777" w:rsidR="009640B0" w:rsidRPr="001B4A02" w:rsidRDefault="00000000" w:rsidP="00ED48A3">
            <w:pPr>
              <w:ind w:left="0" w:firstLine="0"/>
            </w:pPr>
            <w:r w:rsidRPr="001B4A02">
              <w:t>První dávka 40</w:t>
            </w:r>
            <w:r w:rsidR="00A7483D">
              <w:t> mg</w:t>
            </w:r>
            <w:r w:rsidRPr="001B4A02">
              <w:t xml:space="preserve"> následovaná o</w:t>
            </w:r>
            <w:r w:rsidR="00F46CFA" w:rsidRPr="001B4A02">
              <w:t> </w:t>
            </w:r>
            <w:r w:rsidRPr="001B4A02">
              <w:t>dva týdny později dávkou 20</w:t>
            </w:r>
            <w:r w:rsidR="00A7483D">
              <w:t> mg</w:t>
            </w:r>
            <w:r w:rsidRPr="001B4A02">
              <w:t>.</w:t>
            </w:r>
          </w:p>
          <w:p w14:paraId="551066FE" w14:textId="77777777" w:rsidR="009640B0" w:rsidRPr="001B4A02" w:rsidRDefault="009640B0" w:rsidP="00ED48A3">
            <w:pPr>
              <w:ind w:left="0" w:firstLine="0"/>
            </w:pPr>
          </w:p>
          <w:p w14:paraId="714C0034" w14:textId="77777777" w:rsidR="009640B0" w:rsidRPr="001B4A02" w:rsidRDefault="00000000" w:rsidP="00ED48A3">
            <w:pPr>
              <w:numPr>
                <w:ilvl w:val="12"/>
                <w:numId w:val="0"/>
              </w:numPr>
            </w:pPr>
            <w:r w:rsidRPr="001B4A02">
              <w:t>Jestliže je vyžadována rychlejší odpověď, lékař může předepsat první dávku 80</w:t>
            </w:r>
            <w:r w:rsidR="00A7483D">
              <w:t> mg</w:t>
            </w:r>
            <w:r w:rsidRPr="001B4A02">
              <w:t xml:space="preserve"> (jedna injekce </w:t>
            </w:r>
            <w:r w:rsidRPr="001B4A02">
              <w:rPr>
                <w:szCs w:val="22"/>
              </w:rPr>
              <w:t>80</w:t>
            </w:r>
            <w:r w:rsidR="00A7483D">
              <w:rPr>
                <w:szCs w:val="22"/>
              </w:rPr>
              <w:t> mg</w:t>
            </w:r>
            <w:r w:rsidRPr="001B4A02">
              <w:t xml:space="preserve">) následovanou </w:t>
            </w:r>
            <w:r w:rsidR="00B97C66" w:rsidRPr="001B4A02">
              <w:t xml:space="preserve">o dva týdny později </w:t>
            </w:r>
            <w:r w:rsidR="00B57221" w:rsidRPr="001B4A02">
              <w:t xml:space="preserve">dávkou </w:t>
            </w:r>
            <w:r w:rsidRPr="001B4A02">
              <w:t>40</w:t>
            </w:r>
            <w:r w:rsidR="00A7483D">
              <w:t> mg</w:t>
            </w:r>
            <w:r w:rsidRPr="001B4A02">
              <w:t>.</w:t>
            </w:r>
          </w:p>
          <w:p w14:paraId="0BB0B43E" w14:textId="77777777" w:rsidR="009640B0" w:rsidRPr="001B4A02" w:rsidRDefault="009640B0" w:rsidP="00ED48A3">
            <w:pPr>
              <w:numPr>
                <w:ilvl w:val="12"/>
                <w:numId w:val="0"/>
              </w:numPr>
            </w:pPr>
          </w:p>
          <w:p w14:paraId="14FF70FD" w14:textId="77777777" w:rsidR="009640B0" w:rsidRPr="001B4A02" w:rsidRDefault="00000000" w:rsidP="00ED48A3">
            <w:pPr>
              <w:numPr>
                <w:ilvl w:val="12"/>
                <w:numId w:val="0"/>
              </w:numPr>
              <w:ind w:right="-2"/>
            </w:pPr>
            <w:r w:rsidRPr="001B4A02">
              <w:t>Poté se podává obvyklá dávka 20</w:t>
            </w:r>
            <w:r w:rsidR="00A7483D">
              <w:t> mg</w:t>
            </w:r>
            <w:r w:rsidRPr="001B4A02">
              <w:t xml:space="preserve"> jednou za dva týdny.</w:t>
            </w:r>
          </w:p>
        </w:tc>
        <w:tc>
          <w:tcPr>
            <w:tcW w:w="3096" w:type="dxa"/>
            <w:shd w:val="clear" w:color="auto" w:fill="auto"/>
          </w:tcPr>
          <w:p w14:paraId="269E51CF" w14:textId="77777777" w:rsidR="009640B0" w:rsidRPr="001B4A02" w:rsidRDefault="00000000" w:rsidP="00961CF6">
            <w:pPr>
              <w:ind w:left="0" w:firstLine="0"/>
            </w:pPr>
            <w:r w:rsidRPr="001B4A02">
              <w:t xml:space="preserve">Lékař může zvýšit frekvenci </w:t>
            </w:r>
            <w:r w:rsidR="0096238D" w:rsidRPr="001B4A02">
              <w:t xml:space="preserve">dávkování </w:t>
            </w:r>
            <w:r w:rsidRPr="001B4A02">
              <w:t>na 20</w:t>
            </w:r>
            <w:r w:rsidR="00A7483D">
              <w:t> mg</w:t>
            </w:r>
            <w:r w:rsidRPr="001B4A02">
              <w:t xml:space="preserve"> </w:t>
            </w:r>
            <w:r w:rsidR="004D22A5" w:rsidRPr="001B4A02">
              <w:rPr>
                <w:szCs w:val="22"/>
              </w:rPr>
              <w:t>jednou týdně</w:t>
            </w:r>
            <w:r w:rsidRPr="001B4A02">
              <w:t>.</w:t>
            </w:r>
          </w:p>
        </w:tc>
      </w:tr>
    </w:tbl>
    <w:p w14:paraId="1D58CE28" w14:textId="77777777" w:rsidR="009640B0" w:rsidRPr="001B4A02" w:rsidRDefault="009640B0" w:rsidP="00ED48A3">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5"/>
        <w:gridCol w:w="3021"/>
      </w:tblGrid>
      <w:tr w:rsidR="00534A2D" w14:paraId="05A5F44C" w14:textId="77777777" w:rsidTr="00BA2549">
        <w:tc>
          <w:tcPr>
            <w:tcW w:w="9061" w:type="dxa"/>
            <w:gridSpan w:val="3"/>
            <w:shd w:val="clear" w:color="auto" w:fill="auto"/>
          </w:tcPr>
          <w:p w14:paraId="72E9927F" w14:textId="77777777" w:rsidR="009640B0" w:rsidRPr="001B4A02" w:rsidRDefault="00000000" w:rsidP="00AF2155">
            <w:pPr>
              <w:numPr>
                <w:ilvl w:val="12"/>
                <w:numId w:val="0"/>
              </w:numPr>
              <w:ind w:right="-2"/>
              <w:rPr>
                <w:b/>
              </w:rPr>
            </w:pPr>
            <w:r w:rsidRPr="001B4A02">
              <w:rPr>
                <w:b/>
                <w:szCs w:val="22"/>
              </w:rPr>
              <w:t>Ulcerózní kolitida</w:t>
            </w:r>
          </w:p>
        </w:tc>
      </w:tr>
      <w:tr w:rsidR="00534A2D" w14:paraId="51518E2A" w14:textId="77777777" w:rsidTr="00BA2549">
        <w:tc>
          <w:tcPr>
            <w:tcW w:w="3015" w:type="dxa"/>
            <w:shd w:val="clear" w:color="auto" w:fill="auto"/>
          </w:tcPr>
          <w:p w14:paraId="4A99B949" w14:textId="77777777" w:rsidR="009640B0" w:rsidRPr="001B4A02" w:rsidRDefault="00000000" w:rsidP="00AF2155">
            <w:pPr>
              <w:numPr>
                <w:ilvl w:val="12"/>
                <w:numId w:val="0"/>
              </w:numPr>
              <w:ind w:right="-2"/>
            </w:pPr>
            <w:r w:rsidRPr="001B4A02">
              <w:rPr>
                <w:b/>
              </w:rPr>
              <w:t>Věk nebo tělesná hmotnost</w:t>
            </w:r>
          </w:p>
        </w:tc>
        <w:tc>
          <w:tcPr>
            <w:tcW w:w="3025" w:type="dxa"/>
            <w:shd w:val="clear" w:color="auto" w:fill="auto"/>
          </w:tcPr>
          <w:p w14:paraId="06660FC6" w14:textId="77777777" w:rsidR="009640B0" w:rsidRPr="001B4A02" w:rsidRDefault="00000000" w:rsidP="00AF2155">
            <w:pPr>
              <w:numPr>
                <w:ilvl w:val="12"/>
                <w:numId w:val="0"/>
              </w:numPr>
              <w:ind w:right="-2"/>
            </w:pPr>
            <w:r w:rsidRPr="001B4A02">
              <w:rPr>
                <w:b/>
              </w:rPr>
              <w:t>Kolik používat</w:t>
            </w:r>
            <w:r w:rsidR="002378E0">
              <w:rPr>
                <w:b/>
              </w:rPr>
              <w:t xml:space="preserve"> a </w:t>
            </w:r>
            <w:r w:rsidRPr="001B4A02">
              <w:rPr>
                <w:b/>
              </w:rPr>
              <w:t>jak často?</w:t>
            </w:r>
          </w:p>
        </w:tc>
        <w:tc>
          <w:tcPr>
            <w:tcW w:w="3021" w:type="dxa"/>
            <w:shd w:val="clear" w:color="auto" w:fill="auto"/>
          </w:tcPr>
          <w:p w14:paraId="1477C1C6" w14:textId="77777777" w:rsidR="009640B0" w:rsidRPr="001B4A02" w:rsidRDefault="00000000" w:rsidP="00AF2155">
            <w:pPr>
              <w:numPr>
                <w:ilvl w:val="12"/>
                <w:numId w:val="0"/>
              </w:numPr>
              <w:ind w:right="-2"/>
            </w:pPr>
            <w:r w:rsidRPr="001B4A02">
              <w:rPr>
                <w:b/>
              </w:rPr>
              <w:t>Poznámky</w:t>
            </w:r>
          </w:p>
        </w:tc>
      </w:tr>
      <w:tr w:rsidR="00534A2D" w14:paraId="461A9315" w14:textId="77777777" w:rsidTr="00BA2549">
        <w:tc>
          <w:tcPr>
            <w:tcW w:w="3015" w:type="dxa"/>
            <w:shd w:val="clear" w:color="auto" w:fill="auto"/>
          </w:tcPr>
          <w:p w14:paraId="40C7B4CE" w14:textId="77777777" w:rsidR="009640B0" w:rsidRPr="001B4A02" w:rsidRDefault="00000000" w:rsidP="00AF2155">
            <w:pPr>
              <w:numPr>
                <w:ilvl w:val="12"/>
                <w:numId w:val="0"/>
              </w:numPr>
              <w:ind w:right="-2"/>
            </w:pPr>
            <w:r w:rsidRPr="001B4A02">
              <w:t>Dospělí</w:t>
            </w:r>
          </w:p>
        </w:tc>
        <w:tc>
          <w:tcPr>
            <w:tcW w:w="3025" w:type="dxa"/>
            <w:shd w:val="clear" w:color="auto" w:fill="auto"/>
          </w:tcPr>
          <w:p w14:paraId="48700A9E" w14:textId="77777777" w:rsidR="009640B0" w:rsidRPr="001B4A02" w:rsidRDefault="00000000" w:rsidP="00AF2155">
            <w:pPr>
              <w:numPr>
                <w:ilvl w:val="12"/>
                <w:numId w:val="0"/>
              </w:numPr>
            </w:pPr>
            <w:r w:rsidRPr="001B4A02">
              <w:t>První dávka 160</w:t>
            </w:r>
            <w:r w:rsidR="00A7483D">
              <w:t> mg</w:t>
            </w:r>
            <w:r w:rsidRPr="001B4A02">
              <w:t xml:space="preserve"> (dvě injekce </w:t>
            </w:r>
            <w:r w:rsidRPr="001B4A02">
              <w:rPr>
                <w:szCs w:val="22"/>
              </w:rPr>
              <w:t>80</w:t>
            </w:r>
            <w:r w:rsidR="00A7483D">
              <w:rPr>
                <w:szCs w:val="22"/>
              </w:rPr>
              <w:t> mg</w:t>
            </w:r>
            <w:r w:rsidRPr="001B4A02">
              <w:t xml:space="preserve"> ve dni 1 nebo jedna injekce </w:t>
            </w:r>
            <w:r w:rsidRPr="001B4A02">
              <w:rPr>
                <w:szCs w:val="22"/>
              </w:rPr>
              <w:t>80</w:t>
            </w:r>
            <w:r w:rsidR="00A7483D">
              <w:rPr>
                <w:szCs w:val="22"/>
              </w:rPr>
              <w:t> mg</w:t>
            </w:r>
            <w:r w:rsidRPr="001B4A02">
              <w:t xml:space="preserve"> denně po dva po sobě jdoucí dny) následovaná </w:t>
            </w:r>
            <w:r w:rsidR="00B97C66" w:rsidRPr="001B4A02">
              <w:t xml:space="preserve">o dva týdny později </w:t>
            </w:r>
            <w:r w:rsidRPr="001B4A02">
              <w:t>dávkou 80</w:t>
            </w:r>
            <w:r w:rsidR="00A7483D">
              <w:t> mg</w:t>
            </w:r>
            <w:r w:rsidRPr="001B4A02">
              <w:t xml:space="preserve"> (jedna injekce </w:t>
            </w:r>
            <w:r w:rsidRPr="001B4A02">
              <w:rPr>
                <w:szCs w:val="22"/>
              </w:rPr>
              <w:t>80</w:t>
            </w:r>
            <w:r w:rsidR="00A7483D">
              <w:rPr>
                <w:szCs w:val="22"/>
              </w:rPr>
              <w:t> mg</w:t>
            </w:r>
            <w:r w:rsidRPr="001B4A02">
              <w:t>).</w:t>
            </w:r>
          </w:p>
          <w:p w14:paraId="0D5429B1" w14:textId="77777777" w:rsidR="009640B0" w:rsidRPr="001B4A02" w:rsidRDefault="009640B0" w:rsidP="00AF2155">
            <w:pPr>
              <w:numPr>
                <w:ilvl w:val="12"/>
                <w:numId w:val="0"/>
              </w:numPr>
            </w:pPr>
          </w:p>
          <w:p w14:paraId="70D01A0E" w14:textId="77777777" w:rsidR="009640B0" w:rsidRPr="001B4A02" w:rsidRDefault="00000000" w:rsidP="00AF2155">
            <w:pPr>
              <w:numPr>
                <w:ilvl w:val="12"/>
                <w:numId w:val="0"/>
              </w:numPr>
            </w:pPr>
            <w:r w:rsidRPr="001B4A02">
              <w:t>Poté se podává obvyklá dávka 40</w:t>
            </w:r>
            <w:r w:rsidR="00A7483D">
              <w:t> mg</w:t>
            </w:r>
            <w:r w:rsidRPr="001B4A02">
              <w:t xml:space="preserve"> jednou za dva týdny. </w:t>
            </w:r>
          </w:p>
        </w:tc>
        <w:tc>
          <w:tcPr>
            <w:tcW w:w="3021" w:type="dxa"/>
            <w:shd w:val="clear" w:color="auto" w:fill="auto"/>
          </w:tcPr>
          <w:p w14:paraId="7A84721C" w14:textId="77777777" w:rsidR="009640B0" w:rsidRPr="001B4A02" w:rsidRDefault="00000000" w:rsidP="009F4123">
            <w:pPr>
              <w:numPr>
                <w:ilvl w:val="12"/>
                <w:numId w:val="0"/>
              </w:numPr>
              <w:ind w:right="-2"/>
            </w:pPr>
            <w:r w:rsidRPr="001B4A02">
              <w:t xml:space="preserve">Lékař může zvýšit </w:t>
            </w:r>
            <w:r w:rsidR="0096238D" w:rsidRPr="001B4A02">
              <w:t xml:space="preserve">dávkování </w:t>
            </w:r>
            <w:r w:rsidRPr="001B4A02">
              <w:t>na 40</w:t>
            </w:r>
            <w:r w:rsidR="00A7483D">
              <w:t> mg</w:t>
            </w:r>
            <w:r w:rsidRPr="001B4A02">
              <w:t xml:space="preserve"> </w:t>
            </w:r>
            <w:r w:rsidR="004D22A5" w:rsidRPr="001B4A02">
              <w:rPr>
                <w:szCs w:val="22"/>
              </w:rPr>
              <w:t>jednou týdně</w:t>
            </w:r>
            <w:r w:rsidR="009F4123" w:rsidRPr="001B4A02">
              <w:rPr>
                <w:szCs w:val="22"/>
              </w:rPr>
              <w:t xml:space="preserve"> nebo 80</w:t>
            </w:r>
            <w:r w:rsidR="00A7483D">
              <w:rPr>
                <w:szCs w:val="22"/>
              </w:rPr>
              <w:t> mg</w:t>
            </w:r>
            <w:r w:rsidR="009F4123" w:rsidRPr="001B4A02">
              <w:rPr>
                <w:szCs w:val="22"/>
              </w:rPr>
              <w:t xml:space="preserve"> jednou za dva týdny</w:t>
            </w:r>
            <w:r w:rsidRPr="001B4A02">
              <w:t>.</w:t>
            </w:r>
          </w:p>
        </w:tc>
      </w:tr>
      <w:tr w:rsidR="00534A2D" w14:paraId="0BB37D61" w14:textId="77777777" w:rsidTr="00BA2549">
        <w:tc>
          <w:tcPr>
            <w:tcW w:w="3015" w:type="dxa"/>
            <w:shd w:val="clear" w:color="auto" w:fill="auto"/>
          </w:tcPr>
          <w:p w14:paraId="048970AA" w14:textId="77777777" w:rsidR="008F4B91" w:rsidRPr="001B4A02" w:rsidRDefault="00000000" w:rsidP="008F4B91">
            <w:pPr>
              <w:numPr>
                <w:ilvl w:val="12"/>
                <w:numId w:val="0"/>
              </w:numPr>
              <w:ind w:right="-2"/>
            </w:pPr>
            <w:bookmarkStart w:id="13875" w:name="_Hlk53583374"/>
            <w:r>
              <w:t>Děti</w:t>
            </w:r>
            <w:r w:rsidR="002378E0">
              <w:t xml:space="preserve"> a </w:t>
            </w:r>
            <w:r>
              <w:t>dospívající od 6 let s</w:t>
            </w:r>
            <w:r w:rsidR="002B46AE">
              <w:t> </w:t>
            </w:r>
            <w:r>
              <w:t>tělesnou hmotností do 40 kg</w:t>
            </w:r>
          </w:p>
        </w:tc>
        <w:tc>
          <w:tcPr>
            <w:tcW w:w="3025" w:type="dxa"/>
            <w:shd w:val="clear" w:color="auto" w:fill="auto"/>
          </w:tcPr>
          <w:p w14:paraId="27B3C9AE" w14:textId="77777777" w:rsidR="008F4B91" w:rsidRPr="00D01607" w:rsidRDefault="00000000" w:rsidP="008F4B91">
            <w:pPr>
              <w:numPr>
                <w:ilvl w:val="12"/>
                <w:numId w:val="0"/>
              </w:numPr>
            </w:pPr>
            <w:r>
              <w:t>První dávka 80</w:t>
            </w:r>
            <w:r w:rsidR="00D277F3" w:rsidRPr="00005EC2">
              <w:rPr>
                <w:szCs w:val="22"/>
              </w:rPr>
              <w:t> </w:t>
            </w:r>
            <w:r>
              <w:t>mg (jedna injekce 80</w:t>
            </w:r>
            <w:r w:rsidR="00D277F3" w:rsidRPr="00005EC2">
              <w:rPr>
                <w:szCs w:val="22"/>
              </w:rPr>
              <w:t> </w:t>
            </w:r>
            <w:r>
              <w:t xml:space="preserve">mg) následovaná </w:t>
            </w:r>
            <w:r w:rsidR="00C468CD">
              <w:t xml:space="preserve">dávkou </w:t>
            </w:r>
            <w:r>
              <w:t>40</w:t>
            </w:r>
            <w:r w:rsidR="002B46AE">
              <w:t> </w:t>
            </w:r>
            <w:r>
              <w:t>mg (jedna injekce 40</w:t>
            </w:r>
            <w:r w:rsidR="00D277F3" w:rsidRPr="00005EC2">
              <w:rPr>
                <w:szCs w:val="22"/>
              </w:rPr>
              <w:t> </w:t>
            </w:r>
            <w:r>
              <w:t>mg) o dva týdny později.</w:t>
            </w:r>
          </w:p>
          <w:p w14:paraId="374CDA39" w14:textId="77777777" w:rsidR="008F4B91" w:rsidRPr="00D01607" w:rsidRDefault="008F4B91" w:rsidP="008F4B91">
            <w:pPr>
              <w:numPr>
                <w:ilvl w:val="12"/>
                <w:numId w:val="0"/>
              </w:numPr>
            </w:pPr>
          </w:p>
          <w:p w14:paraId="1A5C9786" w14:textId="77777777" w:rsidR="008F4B91" w:rsidRPr="001B4A02" w:rsidRDefault="00000000" w:rsidP="008F4B91">
            <w:pPr>
              <w:numPr>
                <w:ilvl w:val="12"/>
                <w:numId w:val="0"/>
              </w:numPr>
            </w:pPr>
            <w:r>
              <w:t>Poté se podává obvyklá dávka 40</w:t>
            </w:r>
            <w:r w:rsidR="00D277F3" w:rsidRPr="00005EC2">
              <w:rPr>
                <w:szCs w:val="22"/>
              </w:rPr>
              <w:t> </w:t>
            </w:r>
            <w:r>
              <w:t>mg jednou za dva týdny.</w:t>
            </w:r>
          </w:p>
        </w:tc>
        <w:tc>
          <w:tcPr>
            <w:tcW w:w="3021" w:type="dxa"/>
            <w:shd w:val="clear" w:color="auto" w:fill="auto"/>
          </w:tcPr>
          <w:p w14:paraId="6D2DA8D9" w14:textId="77777777" w:rsidR="008F4B91" w:rsidRPr="001B4A02" w:rsidRDefault="00000000" w:rsidP="008F4B91">
            <w:pPr>
              <w:numPr>
                <w:ilvl w:val="12"/>
                <w:numId w:val="0"/>
              </w:numPr>
              <w:ind w:right="-2"/>
            </w:pPr>
            <w:r>
              <w:t>Měl</w:t>
            </w:r>
            <w:r w:rsidR="002B46AE">
              <w:t>(a)</w:t>
            </w:r>
            <w:r>
              <w:t xml:space="preserve"> byste nadále </w:t>
            </w:r>
            <w:r w:rsidR="00C468CD">
              <w:t>po</w:t>
            </w:r>
            <w:r>
              <w:t>užívat přípravek Humira v obvyklé dávce,</w:t>
            </w:r>
            <w:r w:rsidR="002378E0">
              <w:t xml:space="preserve"> a </w:t>
            </w:r>
            <w:r>
              <w:t>to i po dosažení věku 18 let.</w:t>
            </w:r>
          </w:p>
        </w:tc>
      </w:tr>
      <w:tr w:rsidR="00534A2D" w14:paraId="2E5ACDF4" w14:textId="77777777" w:rsidTr="00BA2549">
        <w:tc>
          <w:tcPr>
            <w:tcW w:w="3015" w:type="dxa"/>
            <w:shd w:val="clear" w:color="auto" w:fill="auto"/>
          </w:tcPr>
          <w:p w14:paraId="7FDD9F1E" w14:textId="77777777" w:rsidR="008F4B91" w:rsidRPr="001B4A02" w:rsidRDefault="00000000" w:rsidP="008F4B91">
            <w:pPr>
              <w:numPr>
                <w:ilvl w:val="12"/>
                <w:numId w:val="0"/>
              </w:numPr>
              <w:ind w:right="-2"/>
            </w:pPr>
            <w:r>
              <w:t>Děti</w:t>
            </w:r>
            <w:r w:rsidR="002378E0">
              <w:t xml:space="preserve"> a </w:t>
            </w:r>
            <w:r>
              <w:t>dospívající od 6 let s</w:t>
            </w:r>
            <w:r w:rsidR="002B46AE">
              <w:t> </w:t>
            </w:r>
            <w:r>
              <w:t>tělesnou hmotností 40 kg nebo vyšší</w:t>
            </w:r>
          </w:p>
        </w:tc>
        <w:tc>
          <w:tcPr>
            <w:tcW w:w="3025" w:type="dxa"/>
            <w:shd w:val="clear" w:color="auto" w:fill="auto"/>
          </w:tcPr>
          <w:p w14:paraId="742E3A88" w14:textId="77777777" w:rsidR="008F4B91" w:rsidRPr="00D01607" w:rsidRDefault="00000000" w:rsidP="008F4B91">
            <w:pPr>
              <w:numPr>
                <w:ilvl w:val="12"/>
                <w:numId w:val="0"/>
              </w:numPr>
            </w:pPr>
            <w:r>
              <w:t>První dávka 160</w:t>
            </w:r>
            <w:r w:rsidR="00D277F3" w:rsidRPr="00005EC2">
              <w:rPr>
                <w:szCs w:val="22"/>
              </w:rPr>
              <w:t> </w:t>
            </w:r>
            <w:r>
              <w:t>mg (dvě injekce 80</w:t>
            </w:r>
            <w:r w:rsidR="00D277F3" w:rsidRPr="00005EC2">
              <w:rPr>
                <w:szCs w:val="22"/>
              </w:rPr>
              <w:t> </w:t>
            </w:r>
            <w:r>
              <w:t>mg v</w:t>
            </w:r>
            <w:r w:rsidR="002B46AE">
              <w:t> </w:t>
            </w:r>
            <w:r>
              <w:t>jednom dni nebo jedna injekce 80</w:t>
            </w:r>
            <w:r w:rsidR="00D277F3" w:rsidRPr="00005EC2">
              <w:rPr>
                <w:szCs w:val="22"/>
              </w:rPr>
              <w:t> </w:t>
            </w:r>
            <w:r>
              <w:t>mg denně ve dvou po sobě jdoucích dnech) následovaná dávkou 80</w:t>
            </w:r>
            <w:r w:rsidR="00D277F3" w:rsidRPr="00005EC2">
              <w:rPr>
                <w:szCs w:val="22"/>
              </w:rPr>
              <w:t> </w:t>
            </w:r>
            <w:r>
              <w:t>mg (jedna injekce 80</w:t>
            </w:r>
            <w:r w:rsidR="00D277F3" w:rsidRPr="00005EC2">
              <w:rPr>
                <w:szCs w:val="22"/>
              </w:rPr>
              <w:t> </w:t>
            </w:r>
            <w:r>
              <w:t>mg) o dva týdny později.</w:t>
            </w:r>
          </w:p>
          <w:p w14:paraId="2C885E55" w14:textId="77777777" w:rsidR="008F4B91" w:rsidRPr="00D01607" w:rsidRDefault="008F4B91" w:rsidP="008F4B91">
            <w:pPr>
              <w:numPr>
                <w:ilvl w:val="12"/>
                <w:numId w:val="0"/>
              </w:numPr>
            </w:pPr>
          </w:p>
          <w:p w14:paraId="06979E27" w14:textId="77777777" w:rsidR="008F4B91" w:rsidRPr="001B4A02" w:rsidRDefault="00000000" w:rsidP="008F4B91">
            <w:pPr>
              <w:numPr>
                <w:ilvl w:val="12"/>
                <w:numId w:val="0"/>
              </w:numPr>
            </w:pPr>
            <w:r>
              <w:t>Poté se podává obvyklá dávka 80</w:t>
            </w:r>
            <w:r w:rsidR="00D277F3" w:rsidRPr="00005EC2">
              <w:rPr>
                <w:szCs w:val="22"/>
              </w:rPr>
              <w:t> </w:t>
            </w:r>
            <w:r>
              <w:t>mg jednou za dva týdny.</w:t>
            </w:r>
          </w:p>
        </w:tc>
        <w:tc>
          <w:tcPr>
            <w:tcW w:w="3021" w:type="dxa"/>
            <w:shd w:val="clear" w:color="auto" w:fill="auto"/>
          </w:tcPr>
          <w:p w14:paraId="019AE549" w14:textId="77777777" w:rsidR="008F4B91" w:rsidRPr="001B4A02" w:rsidRDefault="00000000" w:rsidP="008F4B91">
            <w:pPr>
              <w:numPr>
                <w:ilvl w:val="12"/>
                <w:numId w:val="0"/>
              </w:numPr>
              <w:ind w:right="-2"/>
            </w:pPr>
            <w:r>
              <w:t>Měl</w:t>
            </w:r>
            <w:r w:rsidR="002B46AE">
              <w:t>(a)</w:t>
            </w:r>
            <w:r>
              <w:t xml:space="preserve"> byste nadále </w:t>
            </w:r>
            <w:r w:rsidR="00C468CD">
              <w:t>po</w:t>
            </w:r>
            <w:r>
              <w:t>užívat přípravek Humira v obvyklé dávce,</w:t>
            </w:r>
            <w:r w:rsidR="002378E0">
              <w:t xml:space="preserve"> a </w:t>
            </w:r>
            <w:r>
              <w:t>to i po dosažení věku 18 let.</w:t>
            </w:r>
          </w:p>
        </w:tc>
      </w:tr>
      <w:bookmarkEnd w:id="13875"/>
    </w:tbl>
    <w:p w14:paraId="6C9BD877" w14:textId="77777777" w:rsidR="009640B0" w:rsidRPr="001B4A02" w:rsidRDefault="009640B0" w:rsidP="00ED48A3">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3022"/>
        <w:gridCol w:w="3029"/>
      </w:tblGrid>
      <w:tr w:rsidR="00534A2D" w14:paraId="023B65C9" w14:textId="77777777" w:rsidTr="00B87DF7">
        <w:tc>
          <w:tcPr>
            <w:tcW w:w="9287" w:type="dxa"/>
            <w:gridSpan w:val="3"/>
            <w:shd w:val="clear" w:color="auto" w:fill="auto"/>
          </w:tcPr>
          <w:p w14:paraId="31CC35DE" w14:textId="77777777" w:rsidR="009640B0" w:rsidRPr="001B4A02" w:rsidRDefault="00000000" w:rsidP="00AF2155">
            <w:pPr>
              <w:keepNext/>
              <w:numPr>
                <w:ilvl w:val="12"/>
                <w:numId w:val="0"/>
              </w:numPr>
              <w:ind w:right="-2"/>
              <w:rPr>
                <w:b/>
              </w:rPr>
            </w:pPr>
            <w:r w:rsidRPr="001B4A02">
              <w:rPr>
                <w:b/>
                <w:szCs w:val="22"/>
              </w:rPr>
              <w:t>Neinfekční uveitida</w:t>
            </w:r>
          </w:p>
        </w:tc>
      </w:tr>
      <w:tr w:rsidR="00534A2D" w14:paraId="6C91B20A" w14:textId="77777777" w:rsidTr="00B87DF7">
        <w:tc>
          <w:tcPr>
            <w:tcW w:w="3095" w:type="dxa"/>
            <w:shd w:val="clear" w:color="auto" w:fill="auto"/>
          </w:tcPr>
          <w:p w14:paraId="3BBC8538" w14:textId="77777777" w:rsidR="009640B0" w:rsidRPr="001B4A02" w:rsidRDefault="00000000" w:rsidP="00AF2155">
            <w:pPr>
              <w:keepNext/>
              <w:numPr>
                <w:ilvl w:val="12"/>
                <w:numId w:val="0"/>
              </w:numPr>
              <w:ind w:right="-2"/>
            </w:pPr>
            <w:r w:rsidRPr="001B4A02">
              <w:rPr>
                <w:b/>
              </w:rPr>
              <w:t>Věk nebo tělesná hmotnost</w:t>
            </w:r>
          </w:p>
        </w:tc>
        <w:tc>
          <w:tcPr>
            <w:tcW w:w="3096" w:type="dxa"/>
            <w:shd w:val="clear" w:color="auto" w:fill="auto"/>
          </w:tcPr>
          <w:p w14:paraId="4A4F8DD6" w14:textId="77777777" w:rsidR="009640B0" w:rsidRPr="001B4A02" w:rsidRDefault="00000000" w:rsidP="00AF2155">
            <w:pPr>
              <w:keepNext/>
              <w:tabs>
                <w:tab w:val="left" w:pos="0"/>
              </w:tabs>
            </w:pPr>
            <w:r w:rsidRPr="001B4A02">
              <w:rPr>
                <w:b/>
              </w:rPr>
              <w:t>Kolik používat</w:t>
            </w:r>
            <w:r w:rsidR="002378E0">
              <w:rPr>
                <w:b/>
              </w:rPr>
              <w:t xml:space="preserve"> a </w:t>
            </w:r>
            <w:r w:rsidRPr="001B4A02">
              <w:rPr>
                <w:b/>
              </w:rPr>
              <w:t>jak často?</w:t>
            </w:r>
          </w:p>
        </w:tc>
        <w:tc>
          <w:tcPr>
            <w:tcW w:w="3096" w:type="dxa"/>
            <w:shd w:val="clear" w:color="auto" w:fill="auto"/>
          </w:tcPr>
          <w:p w14:paraId="69012913" w14:textId="77777777" w:rsidR="009640B0" w:rsidRPr="001B4A02" w:rsidRDefault="00000000" w:rsidP="00AF2155">
            <w:pPr>
              <w:keepNext/>
              <w:numPr>
                <w:ilvl w:val="12"/>
                <w:numId w:val="0"/>
              </w:numPr>
              <w:rPr>
                <w:highlight w:val="yellow"/>
              </w:rPr>
            </w:pPr>
            <w:r w:rsidRPr="001B4A02">
              <w:rPr>
                <w:b/>
              </w:rPr>
              <w:t>Poznámky</w:t>
            </w:r>
          </w:p>
        </w:tc>
      </w:tr>
      <w:tr w:rsidR="00534A2D" w14:paraId="02CC573A" w14:textId="77777777" w:rsidTr="00B87DF7">
        <w:tc>
          <w:tcPr>
            <w:tcW w:w="3095" w:type="dxa"/>
            <w:shd w:val="clear" w:color="auto" w:fill="auto"/>
          </w:tcPr>
          <w:p w14:paraId="2C68184E" w14:textId="77777777" w:rsidR="009640B0" w:rsidRPr="001B4A02" w:rsidRDefault="00000000" w:rsidP="00AF2155">
            <w:pPr>
              <w:keepNext/>
              <w:numPr>
                <w:ilvl w:val="12"/>
                <w:numId w:val="0"/>
              </w:numPr>
              <w:ind w:right="-2"/>
            </w:pPr>
            <w:r w:rsidRPr="001B4A02">
              <w:t>Dospělí</w:t>
            </w:r>
          </w:p>
        </w:tc>
        <w:tc>
          <w:tcPr>
            <w:tcW w:w="3096" w:type="dxa"/>
            <w:shd w:val="clear" w:color="auto" w:fill="auto"/>
          </w:tcPr>
          <w:p w14:paraId="307926C1" w14:textId="77777777" w:rsidR="009640B0" w:rsidRPr="001B4A02" w:rsidRDefault="00000000" w:rsidP="00AF2155">
            <w:pPr>
              <w:keepNext/>
              <w:ind w:left="0" w:firstLine="0"/>
            </w:pPr>
            <w:r w:rsidRPr="001B4A02">
              <w:t>První dávka 80</w:t>
            </w:r>
            <w:r w:rsidR="00D277F3">
              <w:t> mg</w:t>
            </w:r>
            <w:r w:rsidRPr="001B4A02">
              <w:t xml:space="preserve"> (jedna injekce </w:t>
            </w:r>
            <w:r w:rsidRPr="001B4A02">
              <w:rPr>
                <w:szCs w:val="22"/>
              </w:rPr>
              <w:t>80</w:t>
            </w:r>
            <w:r w:rsidR="00D277F3">
              <w:rPr>
                <w:szCs w:val="22"/>
              </w:rPr>
              <w:t> mg</w:t>
            </w:r>
            <w:r w:rsidRPr="001B4A02">
              <w:t xml:space="preserve">) následovaná </w:t>
            </w:r>
            <w:r w:rsidR="00B97C66" w:rsidRPr="001B4A02">
              <w:rPr>
                <w:szCs w:val="22"/>
              </w:rPr>
              <w:t xml:space="preserve">o jeden týden později </w:t>
            </w:r>
            <w:r w:rsidRPr="001B4A02">
              <w:t>dávkou 40 mg jednou za dva týdny.</w:t>
            </w:r>
          </w:p>
        </w:tc>
        <w:tc>
          <w:tcPr>
            <w:tcW w:w="3096" w:type="dxa"/>
            <w:shd w:val="clear" w:color="auto" w:fill="auto"/>
          </w:tcPr>
          <w:p w14:paraId="32D0795B" w14:textId="77777777" w:rsidR="009640B0" w:rsidRPr="001B4A02" w:rsidRDefault="00000000" w:rsidP="00AF2155">
            <w:pPr>
              <w:keepNext/>
              <w:numPr>
                <w:ilvl w:val="12"/>
                <w:numId w:val="0"/>
              </w:numPr>
            </w:pPr>
            <w:r w:rsidRPr="001B4A02">
              <w:t>Během používání přípravku Humira je možno pokračovat v podávání kortikosteroidů nebo jiných léků, které ovlivňují imunitní syst</w:t>
            </w:r>
            <w:r w:rsidR="00A27A27" w:rsidRPr="001B4A02">
              <w:t>é</w:t>
            </w:r>
            <w:r w:rsidRPr="001B4A02">
              <w:t>m. Přípravek Humira se rovněž může podávat samotný.</w:t>
            </w:r>
          </w:p>
        </w:tc>
      </w:tr>
      <w:tr w:rsidR="00534A2D" w14:paraId="3697CE68" w14:textId="77777777" w:rsidTr="00B87DF7">
        <w:tc>
          <w:tcPr>
            <w:tcW w:w="3095" w:type="dxa"/>
            <w:shd w:val="clear" w:color="auto" w:fill="auto"/>
          </w:tcPr>
          <w:p w14:paraId="743B0444" w14:textId="77777777" w:rsidR="00AD3FC6" w:rsidRPr="001B4A02" w:rsidRDefault="00000000" w:rsidP="00E44302">
            <w:pPr>
              <w:numPr>
                <w:ilvl w:val="12"/>
                <w:numId w:val="0"/>
              </w:numPr>
              <w:ind w:right="-2"/>
            </w:pPr>
            <w:r w:rsidRPr="001B4A02">
              <w:t>Děti</w:t>
            </w:r>
            <w:r w:rsidR="002378E0">
              <w:t xml:space="preserve"> a </w:t>
            </w:r>
            <w:r w:rsidR="00075234" w:rsidRPr="001B4A02">
              <w:t xml:space="preserve">dospívající </w:t>
            </w:r>
            <w:r w:rsidR="00E44302" w:rsidRPr="001B4A02">
              <w:t xml:space="preserve">od 2 let </w:t>
            </w:r>
            <w:r w:rsidRPr="001B4A02">
              <w:t xml:space="preserve">s tělesnou hmotností </w:t>
            </w:r>
            <w:r w:rsidR="00783FD1" w:rsidRPr="001B4A02">
              <w:t>do</w:t>
            </w:r>
            <w:r w:rsidRPr="001B4A02">
              <w:t xml:space="preserve"> 30 kg</w:t>
            </w:r>
          </w:p>
        </w:tc>
        <w:tc>
          <w:tcPr>
            <w:tcW w:w="3096" w:type="dxa"/>
            <w:shd w:val="clear" w:color="auto" w:fill="auto"/>
          </w:tcPr>
          <w:p w14:paraId="171F8764" w14:textId="77777777" w:rsidR="00AD3FC6" w:rsidRPr="001B4A02" w:rsidRDefault="00000000" w:rsidP="00ED48A3">
            <w:pPr>
              <w:ind w:left="0" w:firstLine="0"/>
            </w:pPr>
            <w:r w:rsidRPr="001B4A02">
              <w:t>20 mg jednou za dva týdny</w:t>
            </w:r>
          </w:p>
        </w:tc>
        <w:tc>
          <w:tcPr>
            <w:tcW w:w="3096" w:type="dxa"/>
            <w:shd w:val="clear" w:color="auto" w:fill="auto"/>
          </w:tcPr>
          <w:p w14:paraId="2F99B3E9" w14:textId="77777777" w:rsidR="00AD3FC6" w:rsidRPr="001B4A02" w:rsidRDefault="00000000" w:rsidP="00557275">
            <w:pPr>
              <w:numPr>
                <w:ilvl w:val="12"/>
                <w:numId w:val="0"/>
              </w:numPr>
            </w:pPr>
            <w:r w:rsidRPr="001B4A02">
              <w:t>Váš lékař může předepsat úvodní dávku 40 mg, která bude podána jeden týden před zahájením obvyklé</w:t>
            </w:r>
            <w:r w:rsidR="0096238D" w:rsidRPr="001B4A02">
              <w:t>ho dávkování</w:t>
            </w:r>
            <w:r w:rsidRPr="001B4A02">
              <w:t xml:space="preserve"> 20 mg jednou za dva týdny. Přípravek Humira je doporučen pro použití v kombinaci s methotrexátem.</w:t>
            </w:r>
          </w:p>
        </w:tc>
      </w:tr>
      <w:tr w:rsidR="00534A2D" w14:paraId="15212253" w14:textId="77777777" w:rsidTr="00B87DF7">
        <w:tc>
          <w:tcPr>
            <w:tcW w:w="3095" w:type="dxa"/>
            <w:shd w:val="clear" w:color="auto" w:fill="auto"/>
          </w:tcPr>
          <w:p w14:paraId="78D640AC" w14:textId="77777777" w:rsidR="00AD3FC6" w:rsidRPr="001B4A02" w:rsidRDefault="00000000" w:rsidP="00E44302">
            <w:pPr>
              <w:numPr>
                <w:ilvl w:val="12"/>
                <w:numId w:val="0"/>
              </w:numPr>
              <w:ind w:right="-2"/>
            </w:pPr>
            <w:r w:rsidRPr="001B4A02">
              <w:t>Děti</w:t>
            </w:r>
            <w:r w:rsidR="002378E0">
              <w:t xml:space="preserve"> a </w:t>
            </w:r>
            <w:r w:rsidR="00075234" w:rsidRPr="001B4A02">
              <w:t>dospívající</w:t>
            </w:r>
            <w:r w:rsidRPr="001B4A02">
              <w:t xml:space="preserve"> </w:t>
            </w:r>
            <w:r w:rsidR="00E44302" w:rsidRPr="001B4A02">
              <w:t xml:space="preserve">od 2 let </w:t>
            </w:r>
            <w:r w:rsidRPr="001B4A02">
              <w:t>s tělesnou hmotností 30 kg</w:t>
            </w:r>
            <w:r w:rsidR="0088128B" w:rsidRPr="001B4A02">
              <w:t xml:space="preserve"> nebo </w:t>
            </w:r>
            <w:r w:rsidR="001D2B8E" w:rsidRPr="001B4A02">
              <w:t>vyšší</w:t>
            </w:r>
          </w:p>
        </w:tc>
        <w:tc>
          <w:tcPr>
            <w:tcW w:w="3096" w:type="dxa"/>
            <w:shd w:val="clear" w:color="auto" w:fill="auto"/>
          </w:tcPr>
          <w:p w14:paraId="4E7BFEF8" w14:textId="77777777" w:rsidR="00AD3FC6" w:rsidRPr="001B4A02" w:rsidRDefault="00000000" w:rsidP="00ED48A3">
            <w:pPr>
              <w:ind w:left="0" w:firstLine="0"/>
            </w:pPr>
            <w:r w:rsidRPr="001B4A02">
              <w:t>40 mg jednou za dva týdny</w:t>
            </w:r>
          </w:p>
        </w:tc>
        <w:tc>
          <w:tcPr>
            <w:tcW w:w="3096" w:type="dxa"/>
            <w:shd w:val="clear" w:color="auto" w:fill="auto"/>
          </w:tcPr>
          <w:p w14:paraId="05F14CEF" w14:textId="77777777" w:rsidR="00AD3FC6" w:rsidRPr="001B4A02" w:rsidRDefault="00000000" w:rsidP="00557275">
            <w:pPr>
              <w:numPr>
                <w:ilvl w:val="12"/>
                <w:numId w:val="0"/>
              </w:numPr>
            </w:pPr>
            <w:r w:rsidRPr="001B4A02">
              <w:t>Váš lékař může předepsat úvodní dávku 80 mg, která bude podána jeden týden před zahájením obvyklé</w:t>
            </w:r>
            <w:r w:rsidR="0096238D" w:rsidRPr="001B4A02">
              <w:t>ho dávkování</w:t>
            </w:r>
            <w:r w:rsidRPr="001B4A02">
              <w:t xml:space="preserve"> 40 mg jednou za dva týdny. Přípravek Humira je doporučen pro použití v kombinaci s methotrexátem.</w:t>
            </w:r>
          </w:p>
        </w:tc>
      </w:tr>
    </w:tbl>
    <w:p w14:paraId="332E9827" w14:textId="77777777" w:rsidR="009640B0" w:rsidRPr="001B4A02" w:rsidRDefault="009640B0" w:rsidP="00ED48A3">
      <w:pPr>
        <w:pStyle w:val="EMEAHeadingLeaflet"/>
        <w:spacing w:beforeLines="0" w:afterLines="0"/>
        <w:rPr>
          <w:rFonts w:ascii="Times New Roman" w:hAnsi="Times New Roman"/>
          <w:b w:val="0"/>
          <w:lang w:val="cs-CZ"/>
        </w:rPr>
      </w:pPr>
    </w:p>
    <w:p w14:paraId="1D8FED62" w14:textId="77777777" w:rsidR="009640B0" w:rsidRPr="001B4A02" w:rsidRDefault="00000000" w:rsidP="00ED48A3">
      <w:pPr>
        <w:keepNext/>
        <w:ind w:left="0" w:firstLine="0"/>
        <w:rPr>
          <w:b/>
          <w:szCs w:val="22"/>
        </w:rPr>
      </w:pPr>
      <w:r w:rsidRPr="001B4A02">
        <w:rPr>
          <w:b/>
          <w:szCs w:val="22"/>
        </w:rPr>
        <w:t>Způsob</w:t>
      </w:r>
      <w:r w:rsidR="002378E0">
        <w:rPr>
          <w:b/>
          <w:szCs w:val="22"/>
        </w:rPr>
        <w:t xml:space="preserve"> a </w:t>
      </w:r>
      <w:r w:rsidRPr="001B4A02">
        <w:rPr>
          <w:b/>
          <w:szCs w:val="22"/>
        </w:rPr>
        <w:t>cesta podání</w:t>
      </w:r>
    </w:p>
    <w:p w14:paraId="35927A94" w14:textId="77777777" w:rsidR="009640B0" w:rsidRPr="001B4A02" w:rsidRDefault="009640B0" w:rsidP="00ED48A3">
      <w:pPr>
        <w:keepNext/>
        <w:ind w:left="0" w:firstLine="0"/>
        <w:rPr>
          <w:szCs w:val="22"/>
        </w:rPr>
      </w:pPr>
    </w:p>
    <w:p w14:paraId="4F755F86" w14:textId="77777777" w:rsidR="009640B0" w:rsidRPr="001B4A02" w:rsidRDefault="00000000" w:rsidP="00ED48A3">
      <w:pPr>
        <w:ind w:left="0" w:firstLine="0"/>
        <w:rPr>
          <w:szCs w:val="22"/>
        </w:rPr>
      </w:pPr>
      <w:r w:rsidRPr="001B4A02">
        <w:rPr>
          <w:szCs w:val="22"/>
        </w:rPr>
        <w:t>Přípravek Humira se podává injekčně pod kůži (subkutánní injekcí).</w:t>
      </w:r>
    </w:p>
    <w:p w14:paraId="64DE76C3" w14:textId="77777777" w:rsidR="009640B0" w:rsidRPr="001B4A02" w:rsidRDefault="009640B0" w:rsidP="00ED48A3">
      <w:pPr>
        <w:ind w:left="0" w:firstLine="0"/>
        <w:rPr>
          <w:szCs w:val="22"/>
        </w:rPr>
      </w:pPr>
    </w:p>
    <w:p w14:paraId="457F03EF" w14:textId="77777777" w:rsidR="009640B0" w:rsidRPr="001B4A02" w:rsidRDefault="00000000" w:rsidP="00ED48A3">
      <w:pPr>
        <w:ind w:left="0" w:firstLine="0"/>
        <w:rPr>
          <w:b/>
          <w:szCs w:val="22"/>
        </w:rPr>
      </w:pPr>
      <w:r w:rsidRPr="001B4A02">
        <w:rPr>
          <w:b/>
          <w:szCs w:val="22"/>
        </w:rPr>
        <w:t>Podrobné pokyny k injikování přípravku Humira jsou uvedeny v bodě 7 „</w:t>
      </w:r>
      <w:r w:rsidR="009A3A57">
        <w:rPr>
          <w:b/>
          <w:szCs w:val="22"/>
        </w:rPr>
        <w:t>Aplikace injekce přípravku Humira</w:t>
      </w:r>
      <w:r w:rsidRPr="001B4A02">
        <w:rPr>
          <w:b/>
          <w:szCs w:val="22"/>
        </w:rPr>
        <w:t>“.</w:t>
      </w:r>
    </w:p>
    <w:p w14:paraId="34C6D3A6" w14:textId="77777777" w:rsidR="009640B0" w:rsidRPr="001B4A02" w:rsidRDefault="009640B0" w:rsidP="00ED48A3">
      <w:pPr>
        <w:pStyle w:val="EMEANormal"/>
        <w:tabs>
          <w:tab w:val="left" w:pos="720"/>
        </w:tabs>
        <w:ind w:left="550" w:hanging="550"/>
        <w:rPr>
          <w:szCs w:val="22"/>
          <w:lang w:val="cs-CZ"/>
        </w:rPr>
      </w:pPr>
    </w:p>
    <w:p w14:paraId="4AB24964" w14:textId="77777777" w:rsidR="009640B0" w:rsidRPr="001B4A02" w:rsidRDefault="00000000" w:rsidP="001D31EF">
      <w:pPr>
        <w:keepNext/>
        <w:ind w:left="0" w:firstLine="0"/>
        <w:rPr>
          <w:b/>
          <w:szCs w:val="22"/>
        </w:rPr>
      </w:pPr>
      <w:r w:rsidRPr="001B4A02">
        <w:rPr>
          <w:b/>
          <w:szCs w:val="22"/>
        </w:rPr>
        <w:t>Jestliže jste použil(a) více přípravku Humira, než jste měl(a)</w:t>
      </w:r>
    </w:p>
    <w:p w14:paraId="34B6631C" w14:textId="77777777" w:rsidR="009640B0" w:rsidRPr="001B4A02" w:rsidRDefault="009640B0" w:rsidP="001D31EF">
      <w:pPr>
        <w:keepNext/>
        <w:ind w:left="0" w:firstLine="0"/>
        <w:rPr>
          <w:szCs w:val="22"/>
        </w:rPr>
      </w:pPr>
    </w:p>
    <w:p w14:paraId="54050495" w14:textId="77777777" w:rsidR="009640B0" w:rsidRPr="001B4A02" w:rsidRDefault="00000000" w:rsidP="00ED48A3">
      <w:pPr>
        <w:ind w:left="0" w:firstLine="0"/>
        <w:rPr>
          <w:szCs w:val="22"/>
        </w:rPr>
      </w:pPr>
      <w:r w:rsidRPr="001B4A02">
        <w:rPr>
          <w:szCs w:val="22"/>
        </w:rPr>
        <w:t>Pokud jste si náhodně aplikoval(a) přípravek Humira častěji, než Vám bylo předepsáno, kontaktujte svého lékaře nebo lékárníka</w:t>
      </w:r>
      <w:r w:rsidR="002378E0">
        <w:rPr>
          <w:szCs w:val="22"/>
        </w:rPr>
        <w:t xml:space="preserve"> a </w:t>
      </w:r>
      <w:r w:rsidRPr="001B4A02">
        <w:rPr>
          <w:szCs w:val="22"/>
        </w:rPr>
        <w:t>oznamte jim, že jste použil(a) větší množství léku. Vždy si s sebou vezměte vnější obal</w:t>
      </w:r>
      <w:r w:rsidR="00EC1112" w:rsidRPr="001B4A02">
        <w:rPr>
          <w:szCs w:val="22"/>
        </w:rPr>
        <w:t>,</w:t>
      </w:r>
      <w:r w:rsidR="002378E0">
        <w:rPr>
          <w:szCs w:val="22"/>
        </w:rPr>
        <w:t xml:space="preserve"> a </w:t>
      </w:r>
      <w:r w:rsidRPr="001B4A02">
        <w:rPr>
          <w:szCs w:val="22"/>
        </w:rPr>
        <w:t>to i když je prázdný.</w:t>
      </w:r>
    </w:p>
    <w:p w14:paraId="5F8DB90B" w14:textId="77777777" w:rsidR="009640B0" w:rsidRPr="001B4A02" w:rsidRDefault="009640B0" w:rsidP="00ED48A3">
      <w:pPr>
        <w:ind w:left="0" w:firstLine="0"/>
        <w:rPr>
          <w:szCs w:val="22"/>
        </w:rPr>
      </w:pPr>
    </w:p>
    <w:p w14:paraId="5B00D0EF" w14:textId="77777777" w:rsidR="009640B0" w:rsidRPr="001B4A02" w:rsidRDefault="00000000" w:rsidP="00715D0A">
      <w:pPr>
        <w:keepNext/>
        <w:ind w:left="0" w:firstLine="0"/>
        <w:rPr>
          <w:b/>
          <w:szCs w:val="22"/>
        </w:rPr>
      </w:pPr>
      <w:r w:rsidRPr="001B4A02">
        <w:rPr>
          <w:b/>
          <w:szCs w:val="22"/>
        </w:rPr>
        <w:t>Jestliže jste zapomněl(a) použít přípravek Humira</w:t>
      </w:r>
    </w:p>
    <w:p w14:paraId="495C36EB" w14:textId="77777777" w:rsidR="009640B0" w:rsidRPr="001B4A02" w:rsidRDefault="009640B0" w:rsidP="00715D0A">
      <w:pPr>
        <w:keepNext/>
        <w:ind w:left="0" w:firstLine="0"/>
        <w:rPr>
          <w:szCs w:val="22"/>
        </w:rPr>
      </w:pPr>
    </w:p>
    <w:p w14:paraId="71B3A3E5" w14:textId="77777777" w:rsidR="009640B0" w:rsidRPr="001B4A02" w:rsidRDefault="00000000" w:rsidP="00ED48A3">
      <w:pPr>
        <w:ind w:left="0" w:firstLine="0"/>
        <w:rPr>
          <w:szCs w:val="22"/>
        </w:rPr>
      </w:pPr>
      <w:r w:rsidRPr="001B4A02">
        <w:rPr>
          <w:szCs w:val="22"/>
        </w:rPr>
        <w:t xml:space="preserve">Pokud si zapomenete </w:t>
      </w:r>
      <w:r w:rsidR="00631040" w:rsidRPr="001B4A02">
        <w:rPr>
          <w:szCs w:val="22"/>
        </w:rPr>
        <w:t xml:space="preserve">podat </w:t>
      </w:r>
      <w:r w:rsidRPr="001B4A02">
        <w:rPr>
          <w:szCs w:val="22"/>
        </w:rPr>
        <w:t>injekci, m</w:t>
      </w:r>
      <w:r w:rsidR="007B06BB">
        <w:rPr>
          <w:szCs w:val="22"/>
        </w:rPr>
        <w:t>áte</w:t>
      </w:r>
      <w:r w:rsidRPr="001B4A02">
        <w:rPr>
          <w:szCs w:val="22"/>
        </w:rPr>
        <w:t xml:space="preserve"> si ji </w:t>
      </w:r>
      <w:r w:rsidR="00631040" w:rsidRPr="001B4A02">
        <w:rPr>
          <w:szCs w:val="22"/>
        </w:rPr>
        <w:t xml:space="preserve">aplikovat </w:t>
      </w:r>
      <w:r w:rsidRPr="001B4A02">
        <w:rPr>
          <w:szCs w:val="22"/>
        </w:rPr>
        <w:t xml:space="preserve">ihned, jak si vzpomenete. Poté si </w:t>
      </w:r>
      <w:r w:rsidR="00631040" w:rsidRPr="001B4A02">
        <w:t>podejte</w:t>
      </w:r>
      <w:r w:rsidR="003B5630" w:rsidRPr="001B4A02">
        <w:t xml:space="preserve"> </w:t>
      </w:r>
      <w:r w:rsidRPr="001B4A02">
        <w:rPr>
          <w:szCs w:val="22"/>
        </w:rPr>
        <w:t xml:space="preserve">další dávku </w:t>
      </w:r>
      <w:r w:rsidR="00E54D7E" w:rsidRPr="001B4A02">
        <w:t xml:space="preserve">původně </w:t>
      </w:r>
      <w:r w:rsidRPr="001B4A02">
        <w:rPr>
          <w:szCs w:val="22"/>
        </w:rPr>
        <w:t>plánovan</w:t>
      </w:r>
      <w:r w:rsidR="00E54D7E" w:rsidRPr="001B4A02">
        <w:rPr>
          <w:szCs w:val="22"/>
        </w:rPr>
        <w:t>ý</w:t>
      </w:r>
      <w:r w:rsidRPr="001B4A02">
        <w:rPr>
          <w:szCs w:val="22"/>
        </w:rPr>
        <w:t xml:space="preserve"> den, jako kdybyste nezapomněl(a) </w:t>
      </w:r>
      <w:r w:rsidR="00631040" w:rsidRPr="001B4A02">
        <w:rPr>
          <w:szCs w:val="22"/>
        </w:rPr>
        <w:t xml:space="preserve">na </w:t>
      </w:r>
      <w:r w:rsidRPr="001B4A02">
        <w:rPr>
          <w:szCs w:val="22"/>
        </w:rPr>
        <w:t>předchozí dávku.</w:t>
      </w:r>
    </w:p>
    <w:p w14:paraId="13A36FD2" w14:textId="77777777" w:rsidR="009640B0" w:rsidRPr="001B4A02" w:rsidRDefault="009640B0" w:rsidP="00ED48A3">
      <w:pPr>
        <w:ind w:left="0" w:firstLine="0"/>
        <w:rPr>
          <w:szCs w:val="22"/>
        </w:rPr>
      </w:pPr>
    </w:p>
    <w:p w14:paraId="000586DC" w14:textId="77777777" w:rsidR="009640B0" w:rsidRPr="001B4A02" w:rsidRDefault="00000000" w:rsidP="001D31EF">
      <w:pPr>
        <w:keepNext/>
        <w:ind w:left="0" w:firstLine="0"/>
        <w:rPr>
          <w:b/>
          <w:szCs w:val="22"/>
        </w:rPr>
      </w:pPr>
      <w:r w:rsidRPr="001B4A02">
        <w:rPr>
          <w:b/>
          <w:szCs w:val="22"/>
        </w:rPr>
        <w:t>Jestliže jste přestal(a) používat přípravek Humira</w:t>
      </w:r>
    </w:p>
    <w:p w14:paraId="6F1368E8" w14:textId="77777777" w:rsidR="009640B0" w:rsidRPr="001B4A02" w:rsidRDefault="009640B0" w:rsidP="001D31EF">
      <w:pPr>
        <w:keepNext/>
        <w:ind w:left="0" w:firstLine="0"/>
        <w:rPr>
          <w:szCs w:val="22"/>
        </w:rPr>
      </w:pPr>
    </w:p>
    <w:p w14:paraId="56AC74F5" w14:textId="77777777" w:rsidR="009640B0" w:rsidRPr="001B4A02" w:rsidRDefault="00000000" w:rsidP="00ED48A3">
      <w:pPr>
        <w:ind w:left="0" w:firstLine="0"/>
        <w:rPr>
          <w:szCs w:val="22"/>
        </w:rPr>
      </w:pPr>
      <w:r w:rsidRPr="001B4A02">
        <w:rPr>
          <w:szCs w:val="22"/>
        </w:rPr>
        <w:t xml:space="preserve">Rozhodnutí o tom, zda používání přípravku Humira přerušit, </w:t>
      </w:r>
      <w:r w:rsidR="00702A71" w:rsidRPr="001B4A02">
        <w:rPr>
          <w:szCs w:val="22"/>
        </w:rPr>
        <w:t xml:space="preserve">musíte </w:t>
      </w:r>
      <w:r w:rsidR="002809C6" w:rsidRPr="001B4A02">
        <w:rPr>
          <w:szCs w:val="22"/>
        </w:rPr>
        <w:t>konzult</w:t>
      </w:r>
      <w:r w:rsidR="00702A71" w:rsidRPr="001B4A02">
        <w:rPr>
          <w:szCs w:val="22"/>
        </w:rPr>
        <w:t>ovat</w:t>
      </w:r>
      <w:r w:rsidR="002809C6" w:rsidRPr="001B4A02">
        <w:rPr>
          <w:szCs w:val="22"/>
        </w:rPr>
        <w:t xml:space="preserve"> se svým </w:t>
      </w:r>
      <w:r w:rsidRPr="001B4A02">
        <w:rPr>
          <w:szCs w:val="22"/>
        </w:rPr>
        <w:t xml:space="preserve">lékařem. Pokud přestanete přípravek Humira používat, příznaky </w:t>
      </w:r>
      <w:r w:rsidR="00702A71" w:rsidRPr="001B4A02">
        <w:t xml:space="preserve">onemocnění </w:t>
      </w:r>
      <w:r w:rsidRPr="001B4A02">
        <w:rPr>
          <w:szCs w:val="22"/>
        </w:rPr>
        <w:t>se Vám mohou vrátit.</w:t>
      </w:r>
    </w:p>
    <w:p w14:paraId="310FB931" w14:textId="77777777" w:rsidR="009640B0" w:rsidRPr="001B4A02" w:rsidRDefault="009640B0" w:rsidP="00ED48A3">
      <w:pPr>
        <w:ind w:left="0" w:firstLine="0"/>
        <w:rPr>
          <w:szCs w:val="22"/>
        </w:rPr>
      </w:pPr>
    </w:p>
    <w:p w14:paraId="43404CA4" w14:textId="77777777" w:rsidR="009640B0" w:rsidRPr="001B4A02" w:rsidRDefault="00000000" w:rsidP="00ED48A3">
      <w:pPr>
        <w:ind w:left="0" w:firstLine="0"/>
      </w:pPr>
      <w:r w:rsidRPr="001B4A02">
        <w:rPr>
          <w:szCs w:val="22"/>
        </w:rPr>
        <w:t>Máte-li jakékoli další otázky týkající se používání tohoto přípravku, zeptejte se svého lékaře nebo lékárníka.</w:t>
      </w:r>
    </w:p>
    <w:p w14:paraId="14C90021" w14:textId="77777777" w:rsidR="009640B0" w:rsidRPr="001B4A02" w:rsidRDefault="009640B0" w:rsidP="00ED48A3"/>
    <w:p w14:paraId="7E16AF93" w14:textId="77777777" w:rsidR="009640B0" w:rsidRPr="001B4A02" w:rsidRDefault="009640B0" w:rsidP="00ED48A3"/>
    <w:p w14:paraId="475AA671" w14:textId="77777777" w:rsidR="009640B0" w:rsidRPr="001B4A02" w:rsidRDefault="00000000" w:rsidP="001D31EF">
      <w:pPr>
        <w:pStyle w:val="EMEAHeading1"/>
        <w:keepNext/>
        <w:spacing w:beforeLines="0" w:afterLines="0"/>
        <w:outlineLvl w:val="1"/>
        <w:rPr>
          <w:rFonts w:ascii="Times New Roman" w:hAnsi="Times New Roman"/>
          <w:caps w:val="0"/>
          <w:szCs w:val="22"/>
          <w:lang w:val="cs-CZ"/>
        </w:rPr>
      </w:pPr>
      <w:r w:rsidRPr="001B4A02">
        <w:rPr>
          <w:rFonts w:ascii="Times New Roman" w:hAnsi="Times New Roman"/>
          <w:caps w:val="0"/>
          <w:szCs w:val="22"/>
          <w:lang w:val="cs-CZ"/>
        </w:rPr>
        <w:t>4.</w:t>
      </w:r>
      <w:r w:rsidRPr="001B4A02">
        <w:rPr>
          <w:rFonts w:ascii="Times New Roman" w:hAnsi="Times New Roman"/>
          <w:caps w:val="0"/>
          <w:szCs w:val="22"/>
          <w:lang w:val="cs-CZ"/>
        </w:rPr>
        <w:tab/>
        <w:t>Možné nežádoucí účinky</w:t>
      </w:r>
    </w:p>
    <w:p w14:paraId="7BB0299E" w14:textId="77777777" w:rsidR="009640B0" w:rsidRPr="001B4A02" w:rsidRDefault="009640B0" w:rsidP="001D31EF">
      <w:pPr>
        <w:pStyle w:val="EMEANormal"/>
        <w:keepNext/>
        <w:rPr>
          <w:lang w:val="cs-CZ"/>
        </w:rPr>
      </w:pPr>
    </w:p>
    <w:p w14:paraId="30399A2B" w14:textId="77777777" w:rsidR="009640B0" w:rsidRPr="001B4A02" w:rsidRDefault="00000000" w:rsidP="00ED48A3">
      <w:pPr>
        <w:ind w:left="0" w:firstLine="0"/>
        <w:rPr>
          <w:szCs w:val="22"/>
        </w:rPr>
      </w:pPr>
      <w:r w:rsidRPr="001B4A02">
        <w:rPr>
          <w:szCs w:val="22"/>
        </w:rPr>
        <w:t xml:space="preserve">Podobně jako všechny léky může mít i tento přípravek nežádoucí účinky, které se ale nemusí vyskytnout u každého. Většina nežádoucích účinků je </w:t>
      </w:r>
      <w:r w:rsidR="00F56C62" w:rsidRPr="001B4A02">
        <w:rPr>
          <w:szCs w:val="22"/>
        </w:rPr>
        <w:t>lehká</w:t>
      </w:r>
      <w:r w:rsidRPr="001B4A02">
        <w:rPr>
          <w:szCs w:val="22"/>
        </w:rPr>
        <w:t xml:space="preserve"> nebo středn</w:t>
      </w:r>
      <w:r w:rsidR="00F56C62" w:rsidRPr="001B4A02">
        <w:rPr>
          <w:szCs w:val="22"/>
        </w:rPr>
        <w:t>ě těžká</w:t>
      </w:r>
      <w:r w:rsidRPr="001B4A02">
        <w:rPr>
          <w:szCs w:val="22"/>
        </w:rPr>
        <w:t>. Některé však mohou být závažné</w:t>
      </w:r>
      <w:r w:rsidR="002378E0">
        <w:rPr>
          <w:szCs w:val="22"/>
        </w:rPr>
        <w:t xml:space="preserve"> a </w:t>
      </w:r>
      <w:r w:rsidRPr="001B4A02">
        <w:rPr>
          <w:szCs w:val="22"/>
        </w:rPr>
        <w:t>vyžadují léčbu. Nežádoucí účinky se mohou vyskytnout i do 4 měsíců po poslední dávce přípravku Humira.</w:t>
      </w:r>
    </w:p>
    <w:p w14:paraId="2CDC428F" w14:textId="77777777" w:rsidR="009640B0" w:rsidRPr="001B4A02" w:rsidRDefault="009640B0" w:rsidP="00ED48A3"/>
    <w:p w14:paraId="18F220BF" w14:textId="77777777" w:rsidR="009640B0" w:rsidRPr="001B4A02" w:rsidRDefault="00000000" w:rsidP="00ED48A3">
      <w:pPr>
        <w:keepNext/>
        <w:ind w:left="0" w:firstLine="0"/>
        <w:rPr>
          <w:b/>
          <w:szCs w:val="22"/>
        </w:rPr>
      </w:pPr>
      <w:r w:rsidRPr="001B4A02">
        <w:rPr>
          <w:b/>
          <w:szCs w:val="22"/>
        </w:rPr>
        <w:t>Ihned o</w:t>
      </w:r>
      <w:r w:rsidR="00B12121" w:rsidRPr="001B4A02">
        <w:rPr>
          <w:b/>
          <w:szCs w:val="22"/>
        </w:rPr>
        <w:t xml:space="preserve">znamte svému lékaři, pokud </w:t>
      </w:r>
      <w:r w:rsidR="00F81D2C" w:rsidRPr="001B4A02">
        <w:rPr>
          <w:b/>
        </w:rPr>
        <w:t>si všimnete jakýchkoli z následujících účinků</w:t>
      </w:r>
    </w:p>
    <w:p w14:paraId="1BDF0D17" w14:textId="77777777" w:rsidR="009640B0" w:rsidRPr="001B4A02" w:rsidRDefault="009640B0" w:rsidP="00ED48A3">
      <w:pPr>
        <w:keepNext/>
        <w:ind w:left="0" w:firstLine="0"/>
        <w:rPr>
          <w:szCs w:val="22"/>
        </w:rPr>
      </w:pPr>
    </w:p>
    <w:p w14:paraId="5705ECB1" w14:textId="77777777" w:rsidR="009640B0" w:rsidRPr="001B4A02" w:rsidRDefault="00000000" w:rsidP="00ED48A3">
      <w:pPr>
        <w:keepNext/>
        <w:numPr>
          <w:ilvl w:val="0"/>
          <w:numId w:val="19"/>
        </w:numPr>
        <w:tabs>
          <w:tab w:val="clear" w:pos="720"/>
        </w:tabs>
        <w:ind w:left="567" w:hanging="567"/>
        <w:rPr>
          <w:szCs w:val="22"/>
        </w:rPr>
      </w:pPr>
      <w:r w:rsidRPr="001B4A02">
        <w:rPr>
          <w:szCs w:val="22"/>
        </w:rPr>
        <w:t>silná vyrážka, kopřivka nebo jiné známky alergické reakce</w:t>
      </w:r>
    </w:p>
    <w:p w14:paraId="19562B21" w14:textId="77777777" w:rsidR="009640B0" w:rsidRPr="001B4A02" w:rsidRDefault="00000000" w:rsidP="00ED48A3">
      <w:pPr>
        <w:numPr>
          <w:ilvl w:val="0"/>
          <w:numId w:val="19"/>
        </w:numPr>
        <w:tabs>
          <w:tab w:val="clear" w:pos="720"/>
        </w:tabs>
        <w:ind w:left="567" w:hanging="567"/>
        <w:rPr>
          <w:szCs w:val="22"/>
        </w:rPr>
      </w:pPr>
      <w:r>
        <w:rPr>
          <w:szCs w:val="22"/>
        </w:rPr>
        <w:t>otok</w:t>
      </w:r>
      <w:r w:rsidRPr="001B4A02">
        <w:rPr>
          <w:szCs w:val="22"/>
        </w:rPr>
        <w:t xml:space="preserve"> obličej</w:t>
      </w:r>
      <w:r>
        <w:rPr>
          <w:szCs w:val="22"/>
        </w:rPr>
        <w:t>e</w:t>
      </w:r>
      <w:r w:rsidRPr="001B4A02">
        <w:rPr>
          <w:szCs w:val="22"/>
        </w:rPr>
        <w:t>, ru</w:t>
      </w:r>
      <w:r>
        <w:rPr>
          <w:szCs w:val="22"/>
        </w:rPr>
        <w:t>kou</w:t>
      </w:r>
      <w:r w:rsidRPr="001B4A02">
        <w:rPr>
          <w:szCs w:val="22"/>
        </w:rPr>
        <w:t>, noh</w:t>
      </w:r>
      <w:r>
        <w:rPr>
          <w:szCs w:val="22"/>
        </w:rPr>
        <w:t>ou</w:t>
      </w:r>
    </w:p>
    <w:p w14:paraId="19C148E3" w14:textId="77777777" w:rsidR="009640B0" w:rsidRPr="001B4A02" w:rsidRDefault="00000000" w:rsidP="00ED48A3">
      <w:pPr>
        <w:numPr>
          <w:ilvl w:val="0"/>
          <w:numId w:val="19"/>
        </w:numPr>
        <w:tabs>
          <w:tab w:val="clear" w:pos="720"/>
        </w:tabs>
        <w:ind w:left="567" w:hanging="567"/>
        <w:rPr>
          <w:szCs w:val="22"/>
        </w:rPr>
      </w:pPr>
      <w:r w:rsidRPr="001B4A02">
        <w:rPr>
          <w:szCs w:val="22"/>
        </w:rPr>
        <w:t>obtíže s dechem či polykáním</w:t>
      </w:r>
    </w:p>
    <w:p w14:paraId="2715F346" w14:textId="77777777" w:rsidR="009640B0" w:rsidRPr="001B4A02" w:rsidRDefault="00000000" w:rsidP="00ED48A3">
      <w:pPr>
        <w:numPr>
          <w:ilvl w:val="0"/>
          <w:numId w:val="19"/>
        </w:numPr>
        <w:tabs>
          <w:tab w:val="clear" w:pos="720"/>
        </w:tabs>
        <w:ind w:left="567" w:hanging="567"/>
        <w:rPr>
          <w:szCs w:val="22"/>
        </w:rPr>
      </w:pPr>
      <w:r w:rsidRPr="001B4A02">
        <w:rPr>
          <w:szCs w:val="22"/>
        </w:rPr>
        <w:t>zadýchávání při tělesné činnosti nebo v poloze vleže, nebo otoky nohou</w:t>
      </w:r>
    </w:p>
    <w:p w14:paraId="102290DC" w14:textId="77777777" w:rsidR="009640B0" w:rsidRPr="001B4A02" w:rsidRDefault="009640B0" w:rsidP="00ED48A3">
      <w:pPr>
        <w:pStyle w:val="EndnoteText"/>
        <w:ind w:left="0" w:firstLine="0"/>
        <w:rPr>
          <w:szCs w:val="22"/>
          <w:lang w:val="cs-CZ"/>
        </w:rPr>
      </w:pPr>
    </w:p>
    <w:p w14:paraId="191C05E4" w14:textId="77777777" w:rsidR="009640B0" w:rsidRPr="001B4A02" w:rsidRDefault="00000000" w:rsidP="007E416D">
      <w:pPr>
        <w:keepNext/>
        <w:ind w:left="0" w:firstLine="0"/>
        <w:rPr>
          <w:b/>
          <w:szCs w:val="22"/>
        </w:rPr>
      </w:pPr>
      <w:r w:rsidRPr="001B4A02">
        <w:rPr>
          <w:b/>
          <w:szCs w:val="22"/>
        </w:rPr>
        <w:t xml:space="preserve">Oznamte svému lékaři co nejdříve, pokud </w:t>
      </w:r>
      <w:r w:rsidR="00F81D2C" w:rsidRPr="001B4A02">
        <w:rPr>
          <w:b/>
        </w:rPr>
        <w:t>si všimnete jakýchkoli z následujících účinků</w:t>
      </w:r>
    </w:p>
    <w:p w14:paraId="631AB79E" w14:textId="77777777" w:rsidR="009640B0" w:rsidRPr="001B4A02" w:rsidRDefault="009640B0" w:rsidP="007E416D">
      <w:pPr>
        <w:keepNext/>
        <w:ind w:left="0" w:firstLine="0"/>
        <w:rPr>
          <w:szCs w:val="22"/>
        </w:rPr>
      </w:pPr>
    </w:p>
    <w:p w14:paraId="130326A8" w14:textId="77777777" w:rsidR="009640B0" w:rsidRPr="001B4A02" w:rsidRDefault="00000000" w:rsidP="00ED48A3">
      <w:pPr>
        <w:numPr>
          <w:ilvl w:val="0"/>
          <w:numId w:val="20"/>
        </w:numPr>
        <w:tabs>
          <w:tab w:val="clear" w:pos="720"/>
        </w:tabs>
        <w:ind w:left="567" w:hanging="567"/>
        <w:rPr>
          <w:szCs w:val="22"/>
        </w:rPr>
      </w:pPr>
      <w:r w:rsidRPr="001B4A02">
        <w:rPr>
          <w:szCs w:val="22"/>
        </w:rPr>
        <w:t>známky infekce, jako j</w:t>
      </w:r>
      <w:r w:rsidR="00E202BA" w:rsidRPr="001B4A02">
        <w:rPr>
          <w:szCs w:val="22"/>
        </w:rPr>
        <w:t>sou</w:t>
      </w:r>
      <w:r w:rsidRPr="001B4A02">
        <w:rPr>
          <w:szCs w:val="22"/>
        </w:rPr>
        <w:t xml:space="preserve"> horečka, </w:t>
      </w:r>
      <w:r w:rsidR="00F47DB9" w:rsidRPr="00490910">
        <w:t>pocit nemoci</w:t>
      </w:r>
      <w:r w:rsidRPr="001B4A02">
        <w:rPr>
          <w:szCs w:val="22"/>
        </w:rPr>
        <w:t>, zranění, problémy se zuby, pálení při močení</w:t>
      </w:r>
    </w:p>
    <w:p w14:paraId="7AEEB0FA" w14:textId="77777777" w:rsidR="009640B0" w:rsidRPr="001B4A02" w:rsidRDefault="00000000" w:rsidP="00ED48A3">
      <w:pPr>
        <w:numPr>
          <w:ilvl w:val="0"/>
          <w:numId w:val="20"/>
        </w:numPr>
        <w:tabs>
          <w:tab w:val="clear" w:pos="720"/>
        </w:tabs>
        <w:ind w:left="567" w:hanging="567"/>
        <w:rPr>
          <w:szCs w:val="22"/>
        </w:rPr>
      </w:pPr>
      <w:r w:rsidRPr="001B4A02">
        <w:rPr>
          <w:szCs w:val="22"/>
        </w:rPr>
        <w:t>pocit slabosti nebo únavy</w:t>
      </w:r>
    </w:p>
    <w:p w14:paraId="32085EA2" w14:textId="77777777" w:rsidR="009640B0" w:rsidRPr="001B4A02" w:rsidRDefault="00000000" w:rsidP="00ED48A3">
      <w:pPr>
        <w:numPr>
          <w:ilvl w:val="0"/>
          <w:numId w:val="20"/>
        </w:numPr>
        <w:tabs>
          <w:tab w:val="clear" w:pos="720"/>
        </w:tabs>
        <w:ind w:left="567" w:hanging="567"/>
        <w:rPr>
          <w:szCs w:val="22"/>
        </w:rPr>
      </w:pPr>
      <w:r w:rsidRPr="001B4A02">
        <w:rPr>
          <w:szCs w:val="22"/>
        </w:rPr>
        <w:t>kašel</w:t>
      </w:r>
    </w:p>
    <w:p w14:paraId="0623316A" w14:textId="77777777" w:rsidR="009640B0" w:rsidRPr="001B4A02" w:rsidRDefault="00000000" w:rsidP="00ED48A3">
      <w:pPr>
        <w:numPr>
          <w:ilvl w:val="0"/>
          <w:numId w:val="20"/>
        </w:numPr>
        <w:tabs>
          <w:tab w:val="clear" w:pos="720"/>
        </w:tabs>
        <w:ind w:left="567" w:hanging="567"/>
        <w:rPr>
          <w:szCs w:val="22"/>
        </w:rPr>
      </w:pPr>
      <w:r w:rsidRPr="001B4A02">
        <w:rPr>
          <w:szCs w:val="22"/>
        </w:rPr>
        <w:t>brnění</w:t>
      </w:r>
    </w:p>
    <w:p w14:paraId="0F2B6AB4" w14:textId="77777777" w:rsidR="009640B0" w:rsidRPr="001B4A02" w:rsidRDefault="00000000" w:rsidP="00ED48A3">
      <w:pPr>
        <w:numPr>
          <w:ilvl w:val="0"/>
          <w:numId w:val="20"/>
        </w:numPr>
        <w:tabs>
          <w:tab w:val="clear" w:pos="720"/>
        </w:tabs>
        <w:ind w:left="567" w:hanging="567"/>
        <w:rPr>
          <w:szCs w:val="22"/>
        </w:rPr>
      </w:pPr>
      <w:r w:rsidRPr="001B4A02">
        <w:rPr>
          <w:szCs w:val="22"/>
        </w:rPr>
        <w:t>snížená citlivost</w:t>
      </w:r>
    </w:p>
    <w:p w14:paraId="0FA941E7" w14:textId="77777777" w:rsidR="009640B0" w:rsidRPr="001B4A02" w:rsidRDefault="00000000" w:rsidP="00ED48A3">
      <w:pPr>
        <w:numPr>
          <w:ilvl w:val="0"/>
          <w:numId w:val="20"/>
        </w:numPr>
        <w:tabs>
          <w:tab w:val="clear" w:pos="720"/>
        </w:tabs>
        <w:ind w:left="567" w:hanging="567"/>
        <w:rPr>
          <w:szCs w:val="22"/>
        </w:rPr>
      </w:pPr>
      <w:r w:rsidRPr="001B4A02">
        <w:rPr>
          <w:szCs w:val="22"/>
        </w:rPr>
        <w:t>dvojité vidění</w:t>
      </w:r>
    </w:p>
    <w:p w14:paraId="6B51EB78" w14:textId="77777777" w:rsidR="009640B0" w:rsidRPr="001B4A02" w:rsidRDefault="00000000" w:rsidP="00ED48A3">
      <w:pPr>
        <w:numPr>
          <w:ilvl w:val="0"/>
          <w:numId w:val="20"/>
        </w:numPr>
        <w:tabs>
          <w:tab w:val="clear" w:pos="720"/>
        </w:tabs>
        <w:ind w:left="567" w:hanging="567"/>
        <w:rPr>
          <w:szCs w:val="22"/>
        </w:rPr>
      </w:pPr>
      <w:r w:rsidRPr="001B4A02">
        <w:rPr>
          <w:szCs w:val="22"/>
        </w:rPr>
        <w:t>slabost horních nebo dolních končetin</w:t>
      </w:r>
    </w:p>
    <w:p w14:paraId="40C34F68" w14:textId="77777777" w:rsidR="009640B0" w:rsidRPr="001B4A02" w:rsidRDefault="00000000" w:rsidP="00ED48A3">
      <w:pPr>
        <w:numPr>
          <w:ilvl w:val="0"/>
          <w:numId w:val="20"/>
        </w:numPr>
        <w:tabs>
          <w:tab w:val="clear" w:pos="720"/>
        </w:tabs>
        <w:ind w:left="567" w:hanging="567"/>
        <w:rPr>
          <w:szCs w:val="22"/>
        </w:rPr>
      </w:pPr>
      <w:r w:rsidRPr="001B4A02">
        <w:rPr>
          <w:szCs w:val="22"/>
        </w:rPr>
        <w:t>otok (boule) nebo opar, který se nehojí</w:t>
      </w:r>
    </w:p>
    <w:p w14:paraId="1FCA2984" w14:textId="77777777" w:rsidR="009640B0" w:rsidRPr="001B4A02" w:rsidRDefault="00000000" w:rsidP="00ED48A3">
      <w:pPr>
        <w:numPr>
          <w:ilvl w:val="0"/>
          <w:numId w:val="20"/>
        </w:numPr>
        <w:tabs>
          <w:tab w:val="clear" w:pos="720"/>
        </w:tabs>
        <w:ind w:left="567" w:hanging="567"/>
        <w:rPr>
          <w:szCs w:val="22"/>
        </w:rPr>
      </w:pPr>
      <w:r>
        <w:rPr>
          <w:bCs/>
          <w:szCs w:val="22"/>
        </w:rPr>
        <w:t>známky</w:t>
      </w:r>
      <w:r w:rsidR="002378E0">
        <w:rPr>
          <w:bCs/>
          <w:szCs w:val="22"/>
        </w:rPr>
        <w:t xml:space="preserve"> a </w:t>
      </w:r>
      <w:r w:rsidRPr="001B4A02">
        <w:rPr>
          <w:bCs/>
          <w:szCs w:val="22"/>
        </w:rPr>
        <w:t>příznaky podezřelé z krevních poruch, jako j</w:t>
      </w:r>
      <w:r w:rsidR="00E202BA" w:rsidRPr="001B4A02">
        <w:rPr>
          <w:bCs/>
          <w:szCs w:val="22"/>
        </w:rPr>
        <w:t>sou</w:t>
      </w:r>
      <w:r w:rsidRPr="001B4A02">
        <w:rPr>
          <w:bCs/>
          <w:szCs w:val="22"/>
        </w:rPr>
        <w:t xml:space="preserve"> přetrvávající horečka, tvorba modřin, krvácení, bledost</w:t>
      </w:r>
    </w:p>
    <w:p w14:paraId="29A7738A" w14:textId="77777777" w:rsidR="009640B0" w:rsidRPr="001B4A02" w:rsidRDefault="009640B0" w:rsidP="00ED48A3">
      <w:pPr>
        <w:ind w:left="0" w:firstLine="0"/>
        <w:rPr>
          <w:szCs w:val="22"/>
        </w:rPr>
      </w:pPr>
    </w:p>
    <w:p w14:paraId="18082CA8" w14:textId="77777777" w:rsidR="009640B0" w:rsidRPr="001B4A02" w:rsidRDefault="00000000" w:rsidP="00ED48A3">
      <w:pPr>
        <w:ind w:left="0" w:firstLine="0"/>
        <w:rPr>
          <w:szCs w:val="22"/>
        </w:rPr>
      </w:pPr>
      <w:r w:rsidRPr="001B4A02">
        <w:rPr>
          <w:szCs w:val="22"/>
        </w:rPr>
        <w:t>Příznaky popsané výše mohou být známkami níže uvedeného seznamu nežádoucích účinků, které byly popsány při používání přípravku Humira:</w:t>
      </w:r>
    </w:p>
    <w:p w14:paraId="0CA5F35D" w14:textId="77777777" w:rsidR="009640B0" w:rsidRPr="001B4A02" w:rsidRDefault="009640B0" w:rsidP="00ED48A3">
      <w:pPr>
        <w:ind w:left="0" w:firstLine="0"/>
        <w:rPr>
          <w:szCs w:val="22"/>
        </w:rPr>
      </w:pPr>
    </w:p>
    <w:p w14:paraId="5575F174" w14:textId="77777777" w:rsidR="009640B0" w:rsidRPr="001B4A02" w:rsidRDefault="00000000" w:rsidP="00ED48A3">
      <w:pPr>
        <w:keepNext/>
        <w:ind w:left="0" w:firstLine="0"/>
        <w:rPr>
          <w:szCs w:val="22"/>
        </w:rPr>
      </w:pPr>
      <w:r w:rsidRPr="001B4A02">
        <w:rPr>
          <w:b/>
          <w:szCs w:val="22"/>
        </w:rPr>
        <w:t>Velmi časté</w:t>
      </w:r>
      <w:r w:rsidRPr="001B4A02">
        <w:rPr>
          <w:szCs w:val="22"/>
        </w:rPr>
        <w:t xml:space="preserve"> (</w:t>
      </w:r>
      <w:r w:rsidRPr="001B4A02">
        <w:rPr>
          <w:szCs w:val="22"/>
          <w:shd w:val="clear" w:color="auto" w:fill="FFFFFF"/>
        </w:rPr>
        <w:t>mohou postihnout více než 1 z 10 osob</w:t>
      </w:r>
      <w:r w:rsidRPr="001B4A02">
        <w:rPr>
          <w:szCs w:val="22"/>
        </w:rPr>
        <w:t>)</w:t>
      </w:r>
    </w:p>
    <w:p w14:paraId="28BCD199" w14:textId="77777777" w:rsidR="009640B0" w:rsidRPr="001B4A02" w:rsidRDefault="009640B0" w:rsidP="00ED48A3">
      <w:pPr>
        <w:keepNext/>
        <w:ind w:left="0" w:firstLine="0"/>
        <w:rPr>
          <w:szCs w:val="22"/>
        </w:rPr>
      </w:pPr>
    </w:p>
    <w:p w14:paraId="6EC1A7FB" w14:textId="77777777" w:rsidR="009640B0" w:rsidRPr="001B4A02" w:rsidRDefault="00000000" w:rsidP="00ED48A3">
      <w:pPr>
        <w:keepNext/>
        <w:numPr>
          <w:ilvl w:val="0"/>
          <w:numId w:val="75"/>
        </w:numPr>
        <w:tabs>
          <w:tab w:val="clear" w:pos="720"/>
        </w:tabs>
        <w:ind w:left="567" w:hanging="567"/>
        <w:rPr>
          <w:szCs w:val="22"/>
        </w:rPr>
      </w:pPr>
      <w:r w:rsidRPr="001B4A02">
        <w:rPr>
          <w:bCs/>
          <w:szCs w:val="22"/>
        </w:rPr>
        <w:t>reakce v místě injekčního vpichu (včetně bolesti, otoku, zarudnutí nebo svědění)</w:t>
      </w:r>
    </w:p>
    <w:p w14:paraId="16563A61" w14:textId="77777777" w:rsidR="009640B0" w:rsidRPr="001B4A02" w:rsidRDefault="00000000" w:rsidP="00ED48A3">
      <w:pPr>
        <w:numPr>
          <w:ilvl w:val="0"/>
          <w:numId w:val="49"/>
        </w:numPr>
        <w:tabs>
          <w:tab w:val="clear" w:pos="720"/>
        </w:tabs>
        <w:ind w:left="567" w:hanging="567"/>
        <w:rPr>
          <w:bCs/>
          <w:szCs w:val="22"/>
        </w:rPr>
      </w:pPr>
      <w:r w:rsidRPr="001B4A02">
        <w:rPr>
          <w:bCs/>
          <w:szCs w:val="22"/>
        </w:rPr>
        <w:t>infekce dýchacích cest (včetně na</w:t>
      </w:r>
      <w:r w:rsidR="00572055" w:rsidRPr="001B4A02">
        <w:rPr>
          <w:bCs/>
          <w:szCs w:val="22"/>
        </w:rPr>
        <w:t>chlazení</w:t>
      </w:r>
      <w:r w:rsidRPr="001B4A02">
        <w:rPr>
          <w:bCs/>
          <w:szCs w:val="22"/>
        </w:rPr>
        <w:t>, rýmy, infekce vedlejších nosních dutin, zápalu plic)</w:t>
      </w:r>
    </w:p>
    <w:p w14:paraId="050A47D3" w14:textId="77777777" w:rsidR="009640B0" w:rsidRPr="001B4A02" w:rsidRDefault="00000000" w:rsidP="00ED48A3">
      <w:pPr>
        <w:numPr>
          <w:ilvl w:val="0"/>
          <w:numId w:val="49"/>
        </w:numPr>
        <w:tabs>
          <w:tab w:val="clear" w:pos="720"/>
        </w:tabs>
        <w:ind w:left="567" w:hanging="567"/>
        <w:rPr>
          <w:bCs/>
          <w:szCs w:val="22"/>
        </w:rPr>
      </w:pPr>
      <w:r w:rsidRPr="001B4A02">
        <w:rPr>
          <w:bCs/>
          <w:szCs w:val="22"/>
        </w:rPr>
        <w:t>bolest hlavy</w:t>
      </w:r>
    </w:p>
    <w:p w14:paraId="7672200C" w14:textId="77777777" w:rsidR="009640B0" w:rsidRPr="001B4A02" w:rsidRDefault="00000000" w:rsidP="00ED48A3">
      <w:pPr>
        <w:numPr>
          <w:ilvl w:val="0"/>
          <w:numId w:val="49"/>
        </w:numPr>
        <w:tabs>
          <w:tab w:val="clear" w:pos="720"/>
        </w:tabs>
        <w:ind w:left="567" w:hanging="567"/>
        <w:rPr>
          <w:bCs/>
          <w:szCs w:val="22"/>
        </w:rPr>
      </w:pPr>
      <w:r w:rsidRPr="001B4A02">
        <w:rPr>
          <w:bCs/>
          <w:szCs w:val="22"/>
        </w:rPr>
        <w:t>bolest břicha</w:t>
      </w:r>
    </w:p>
    <w:p w14:paraId="1344679F" w14:textId="77777777" w:rsidR="009640B0" w:rsidRPr="001B4A02" w:rsidRDefault="00000000" w:rsidP="00ED48A3">
      <w:pPr>
        <w:numPr>
          <w:ilvl w:val="0"/>
          <w:numId w:val="49"/>
        </w:numPr>
        <w:tabs>
          <w:tab w:val="clear" w:pos="720"/>
        </w:tabs>
        <w:ind w:left="567" w:hanging="567"/>
        <w:rPr>
          <w:bCs/>
          <w:szCs w:val="22"/>
        </w:rPr>
      </w:pPr>
      <w:r w:rsidRPr="001B4A02">
        <w:rPr>
          <w:bCs/>
          <w:szCs w:val="22"/>
        </w:rPr>
        <w:t>pocit na zvracení</w:t>
      </w:r>
      <w:r w:rsidR="002378E0">
        <w:rPr>
          <w:bCs/>
          <w:szCs w:val="22"/>
        </w:rPr>
        <w:t xml:space="preserve"> a </w:t>
      </w:r>
      <w:r w:rsidRPr="001B4A02">
        <w:rPr>
          <w:bCs/>
          <w:szCs w:val="22"/>
        </w:rPr>
        <w:t>zvracení</w:t>
      </w:r>
    </w:p>
    <w:p w14:paraId="4247EA98" w14:textId="77777777" w:rsidR="009640B0" w:rsidRPr="001B4A02" w:rsidRDefault="00000000" w:rsidP="00ED48A3">
      <w:pPr>
        <w:numPr>
          <w:ilvl w:val="0"/>
          <w:numId w:val="49"/>
        </w:numPr>
        <w:tabs>
          <w:tab w:val="clear" w:pos="720"/>
        </w:tabs>
        <w:ind w:left="567" w:hanging="567"/>
        <w:rPr>
          <w:bCs/>
          <w:szCs w:val="22"/>
        </w:rPr>
      </w:pPr>
      <w:r w:rsidRPr="001B4A02">
        <w:rPr>
          <w:bCs/>
          <w:szCs w:val="22"/>
        </w:rPr>
        <w:t>vyrážka</w:t>
      </w:r>
    </w:p>
    <w:p w14:paraId="5BFFAD06" w14:textId="77777777" w:rsidR="009640B0" w:rsidRPr="001B4A02" w:rsidRDefault="00000000" w:rsidP="00ED48A3">
      <w:pPr>
        <w:numPr>
          <w:ilvl w:val="0"/>
          <w:numId w:val="49"/>
        </w:numPr>
        <w:tabs>
          <w:tab w:val="clear" w:pos="720"/>
        </w:tabs>
        <w:ind w:left="567" w:hanging="567"/>
        <w:rPr>
          <w:szCs w:val="22"/>
        </w:rPr>
      </w:pPr>
      <w:r w:rsidRPr="001B4A02">
        <w:rPr>
          <w:bCs/>
          <w:szCs w:val="22"/>
        </w:rPr>
        <w:t>bolest svalů</w:t>
      </w:r>
      <w:r w:rsidR="002378E0">
        <w:rPr>
          <w:bCs/>
          <w:szCs w:val="22"/>
        </w:rPr>
        <w:t xml:space="preserve"> a </w:t>
      </w:r>
      <w:r w:rsidRPr="001B4A02">
        <w:rPr>
          <w:bCs/>
          <w:szCs w:val="22"/>
        </w:rPr>
        <w:t>kloubů</w:t>
      </w:r>
    </w:p>
    <w:p w14:paraId="7A9D96EB" w14:textId="77777777" w:rsidR="009640B0" w:rsidRPr="001B4A02" w:rsidRDefault="009640B0" w:rsidP="00ED48A3">
      <w:pPr>
        <w:ind w:left="0" w:firstLine="0"/>
        <w:rPr>
          <w:szCs w:val="22"/>
        </w:rPr>
      </w:pPr>
    </w:p>
    <w:p w14:paraId="0AB3AA1D" w14:textId="77777777" w:rsidR="009640B0" w:rsidRPr="001B4A02" w:rsidRDefault="00000000" w:rsidP="001D31EF">
      <w:pPr>
        <w:keepNext/>
        <w:tabs>
          <w:tab w:val="left" w:pos="0"/>
        </w:tabs>
        <w:ind w:left="0" w:firstLine="0"/>
        <w:rPr>
          <w:szCs w:val="22"/>
        </w:rPr>
      </w:pPr>
      <w:r w:rsidRPr="001B4A02">
        <w:rPr>
          <w:b/>
          <w:szCs w:val="22"/>
        </w:rPr>
        <w:t>Časté</w:t>
      </w:r>
      <w:r w:rsidRPr="001B4A02">
        <w:rPr>
          <w:szCs w:val="22"/>
        </w:rPr>
        <w:t xml:space="preserve"> (mohou postihnout nejvýše 1 z</w:t>
      </w:r>
      <w:r w:rsidR="000928E6" w:rsidRPr="001B4A02">
        <w:rPr>
          <w:szCs w:val="22"/>
        </w:rPr>
        <w:t> </w:t>
      </w:r>
      <w:r w:rsidRPr="001B4A02">
        <w:rPr>
          <w:szCs w:val="22"/>
        </w:rPr>
        <w:t>10 osob)</w:t>
      </w:r>
    </w:p>
    <w:p w14:paraId="2991CE03" w14:textId="77777777" w:rsidR="009640B0" w:rsidRPr="001B4A02" w:rsidRDefault="009640B0" w:rsidP="001D31EF">
      <w:pPr>
        <w:keepNext/>
        <w:tabs>
          <w:tab w:val="left" w:pos="0"/>
        </w:tabs>
        <w:ind w:left="0" w:firstLine="0"/>
        <w:rPr>
          <w:szCs w:val="22"/>
        </w:rPr>
      </w:pPr>
    </w:p>
    <w:p w14:paraId="59991AC3" w14:textId="77777777" w:rsidR="009640B0" w:rsidRPr="001B4A02" w:rsidRDefault="00000000" w:rsidP="00ED48A3">
      <w:pPr>
        <w:numPr>
          <w:ilvl w:val="0"/>
          <w:numId w:val="49"/>
        </w:numPr>
        <w:tabs>
          <w:tab w:val="clear" w:pos="720"/>
        </w:tabs>
        <w:ind w:left="567" w:hanging="567"/>
        <w:rPr>
          <w:szCs w:val="22"/>
        </w:rPr>
      </w:pPr>
      <w:r>
        <w:rPr>
          <w:bCs/>
          <w:szCs w:val="22"/>
        </w:rPr>
        <w:t>závažné</w:t>
      </w:r>
      <w:r w:rsidRPr="001B4A02">
        <w:rPr>
          <w:bCs/>
          <w:szCs w:val="22"/>
        </w:rPr>
        <w:t xml:space="preserve"> infekce (včetně otravy krve</w:t>
      </w:r>
      <w:r w:rsidR="002378E0">
        <w:rPr>
          <w:bCs/>
          <w:szCs w:val="22"/>
        </w:rPr>
        <w:t xml:space="preserve"> a </w:t>
      </w:r>
      <w:r w:rsidRPr="001B4A02">
        <w:rPr>
          <w:bCs/>
          <w:szCs w:val="22"/>
        </w:rPr>
        <w:t>chřipky)</w:t>
      </w:r>
    </w:p>
    <w:p w14:paraId="61A4843A" w14:textId="77777777" w:rsidR="007B15E0" w:rsidRPr="001B4A02" w:rsidRDefault="00000000" w:rsidP="00ED48A3">
      <w:pPr>
        <w:numPr>
          <w:ilvl w:val="0"/>
          <w:numId w:val="49"/>
        </w:numPr>
        <w:tabs>
          <w:tab w:val="clear" w:pos="720"/>
        </w:tabs>
        <w:ind w:left="567" w:hanging="567"/>
        <w:rPr>
          <w:szCs w:val="22"/>
        </w:rPr>
      </w:pPr>
      <w:r w:rsidRPr="001B4A02">
        <w:rPr>
          <w:bCs/>
          <w:szCs w:val="22"/>
        </w:rPr>
        <w:t>střevní infekce (včetně gastroenteritidy)</w:t>
      </w:r>
    </w:p>
    <w:p w14:paraId="7F7199A8" w14:textId="77777777" w:rsidR="009640B0" w:rsidRPr="001B4A02" w:rsidRDefault="00000000" w:rsidP="00ED48A3">
      <w:pPr>
        <w:numPr>
          <w:ilvl w:val="0"/>
          <w:numId w:val="49"/>
        </w:numPr>
        <w:tabs>
          <w:tab w:val="clear" w:pos="720"/>
        </w:tabs>
        <w:ind w:left="567" w:hanging="567"/>
        <w:rPr>
          <w:szCs w:val="22"/>
        </w:rPr>
      </w:pPr>
      <w:r w:rsidRPr="001B4A02">
        <w:rPr>
          <w:bCs/>
          <w:szCs w:val="22"/>
        </w:rPr>
        <w:t>kožní infekce (včetně celulitidy</w:t>
      </w:r>
      <w:r w:rsidR="002378E0">
        <w:rPr>
          <w:bCs/>
          <w:szCs w:val="22"/>
        </w:rPr>
        <w:t xml:space="preserve"> a </w:t>
      </w:r>
      <w:r w:rsidRPr="001B4A02">
        <w:rPr>
          <w:bCs/>
          <w:szCs w:val="22"/>
        </w:rPr>
        <w:t>pásového oparu)</w:t>
      </w:r>
    </w:p>
    <w:p w14:paraId="4420B426" w14:textId="77777777" w:rsidR="009640B0" w:rsidRPr="001B4A02" w:rsidRDefault="00000000" w:rsidP="00ED48A3">
      <w:pPr>
        <w:numPr>
          <w:ilvl w:val="0"/>
          <w:numId w:val="49"/>
        </w:numPr>
        <w:tabs>
          <w:tab w:val="clear" w:pos="720"/>
        </w:tabs>
        <w:ind w:left="567" w:hanging="567"/>
        <w:rPr>
          <w:szCs w:val="22"/>
        </w:rPr>
      </w:pPr>
      <w:r w:rsidRPr="001B4A02">
        <w:rPr>
          <w:szCs w:val="22"/>
        </w:rPr>
        <w:t>ušní infekce</w:t>
      </w:r>
    </w:p>
    <w:p w14:paraId="35ABE1DC" w14:textId="77777777" w:rsidR="009640B0" w:rsidRPr="001B4A02" w:rsidRDefault="00000000" w:rsidP="00ED48A3">
      <w:pPr>
        <w:numPr>
          <w:ilvl w:val="0"/>
          <w:numId w:val="49"/>
        </w:numPr>
        <w:tabs>
          <w:tab w:val="clear" w:pos="720"/>
        </w:tabs>
        <w:ind w:left="567" w:hanging="567"/>
        <w:rPr>
          <w:szCs w:val="22"/>
        </w:rPr>
      </w:pPr>
      <w:r w:rsidRPr="001B4A02">
        <w:rPr>
          <w:bCs/>
          <w:szCs w:val="22"/>
        </w:rPr>
        <w:t>infekce v ústech (včetně zubních infekcí</w:t>
      </w:r>
      <w:r w:rsidR="002378E0">
        <w:rPr>
          <w:bCs/>
          <w:szCs w:val="22"/>
        </w:rPr>
        <w:t xml:space="preserve"> a </w:t>
      </w:r>
      <w:r w:rsidRPr="001B4A02">
        <w:rPr>
          <w:bCs/>
          <w:szCs w:val="22"/>
        </w:rPr>
        <w:t>oparu na rtu)</w:t>
      </w:r>
    </w:p>
    <w:p w14:paraId="1E047669" w14:textId="77777777" w:rsidR="009640B0" w:rsidRPr="001B4A02" w:rsidRDefault="00000000" w:rsidP="00ED48A3">
      <w:pPr>
        <w:numPr>
          <w:ilvl w:val="0"/>
          <w:numId w:val="49"/>
        </w:numPr>
        <w:tabs>
          <w:tab w:val="clear" w:pos="720"/>
        </w:tabs>
        <w:ind w:left="567" w:hanging="567"/>
        <w:rPr>
          <w:szCs w:val="22"/>
        </w:rPr>
      </w:pPr>
      <w:r w:rsidRPr="001B4A02">
        <w:rPr>
          <w:bCs/>
          <w:szCs w:val="22"/>
        </w:rPr>
        <w:t>infekce pohlavních orgánů</w:t>
      </w:r>
    </w:p>
    <w:p w14:paraId="2C3F6A8B" w14:textId="77777777" w:rsidR="009640B0" w:rsidRPr="001B4A02" w:rsidRDefault="00000000" w:rsidP="00ED48A3">
      <w:pPr>
        <w:numPr>
          <w:ilvl w:val="0"/>
          <w:numId w:val="49"/>
        </w:numPr>
        <w:tabs>
          <w:tab w:val="clear" w:pos="720"/>
        </w:tabs>
        <w:ind w:left="567" w:hanging="567"/>
        <w:rPr>
          <w:szCs w:val="22"/>
        </w:rPr>
      </w:pPr>
      <w:r w:rsidRPr="001B4A02">
        <w:rPr>
          <w:szCs w:val="22"/>
        </w:rPr>
        <w:t>záněty močových cest</w:t>
      </w:r>
    </w:p>
    <w:p w14:paraId="17E72C84" w14:textId="77777777" w:rsidR="009640B0" w:rsidRPr="001B4A02" w:rsidRDefault="00000000" w:rsidP="00ED48A3">
      <w:pPr>
        <w:numPr>
          <w:ilvl w:val="0"/>
          <w:numId w:val="49"/>
        </w:numPr>
        <w:tabs>
          <w:tab w:val="clear" w:pos="720"/>
        </w:tabs>
        <w:ind w:left="567" w:hanging="567"/>
        <w:rPr>
          <w:szCs w:val="22"/>
        </w:rPr>
      </w:pPr>
      <w:r w:rsidRPr="001B4A02">
        <w:rPr>
          <w:bCs/>
          <w:szCs w:val="22"/>
        </w:rPr>
        <w:t>plísňové infekce</w:t>
      </w:r>
    </w:p>
    <w:p w14:paraId="1AA38B83" w14:textId="77777777" w:rsidR="009640B0" w:rsidRPr="001B4A02" w:rsidRDefault="00000000" w:rsidP="00ED48A3">
      <w:pPr>
        <w:numPr>
          <w:ilvl w:val="0"/>
          <w:numId w:val="49"/>
        </w:numPr>
        <w:tabs>
          <w:tab w:val="clear" w:pos="720"/>
        </w:tabs>
        <w:ind w:left="567" w:hanging="567"/>
        <w:rPr>
          <w:szCs w:val="22"/>
        </w:rPr>
      </w:pPr>
      <w:r w:rsidRPr="001B4A02">
        <w:rPr>
          <w:szCs w:val="22"/>
        </w:rPr>
        <w:t>záněty kloubů</w:t>
      </w:r>
    </w:p>
    <w:p w14:paraId="0F2BE5FA" w14:textId="77777777" w:rsidR="009640B0" w:rsidRPr="001B4A02" w:rsidRDefault="00000000" w:rsidP="00ED48A3">
      <w:pPr>
        <w:numPr>
          <w:ilvl w:val="0"/>
          <w:numId w:val="49"/>
        </w:numPr>
        <w:tabs>
          <w:tab w:val="clear" w:pos="720"/>
        </w:tabs>
        <w:ind w:left="567" w:hanging="567"/>
        <w:rPr>
          <w:szCs w:val="22"/>
          <w:shd w:val="clear" w:color="auto" w:fill="FFFF00"/>
        </w:rPr>
      </w:pPr>
      <w:r w:rsidRPr="001B4A02">
        <w:rPr>
          <w:szCs w:val="22"/>
        </w:rPr>
        <w:t>nezhoubné nádory</w:t>
      </w:r>
    </w:p>
    <w:p w14:paraId="222262F1" w14:textId="77777777" w:rsidR="009640B0" w:rsidRPr="001B4A02" w:rsidRDefault="00000000" w:rsidP="00ED48A3">
      <w:pPr>
        <w:numPr>
          <w:ilvl w:val="0"/>
          <w:numId w:val="49"/>
        </w:numPr>
        <w:tabs>
          <w:tab w:val="clear" w:pos="720"/>
        </w:tabs>
        <w:ind w:left="567" w:hanging="567"/>
        <w:rPr>
          <w:szCs w:val="22"/>
          <w:shd w:val="clear" w:color="auto" w:fill="FFFF00"/>
        </w:rPr>
      </w:pPr>
      <w:r w:rsidRPr="001B4A02">
        <w:rPr>
          <w:szCs w:val="22"/>
        </w:rPr>
        <w:t>rakovina kůže</w:t>
      </w:r>
    </w:p>
    <w:p w14:paraId="1C3A7718" w14:textId="77777777" w:rsidR="009640B0" w:rsidRPr="001B4A02" w:rsidRDefault="00000000" w:rsidP="00ED48A3">
      <w:pPr>
        <w:numPr>
          <w:ilvl w:val="0"/>
          <w:numId w:val="49"/>
        </w:numPr>
        <w:tabs>
          <w:tab w:val="clear" w:pos="720"/>
        </w:tabs>
        <w:ind w:left="567" w:hanging="567"/>
        <w:rPr>
          <w:szCs w:val="22"/>
          <w:shd w:val="clear" w:color="auto" w:fill="FFFF00"/>
        </w:rPr>
      </w:pPr>
      <w:r w:rsidRPr="001B4A02">
        <w:rPr>
          <w:szCs w:val="22"/>
        </w:rPr>
        <w:t>alergické reakce (včetně sezónní alergie)</w:t>
      </w:r>
    </w:p>
    <w:p w14:paraId="09F78866" w14:textId="77777777" w:rsidR="009640B0" w:rsidRPr="001B4A02" w:rsidRDefault="00000000" w:rsidP="00ED48A3">
      <w:pPr>
        <w:numPr>
          <w:ilvl w:val="0"/>
          <w:numId w:val="49"/>
        </w:numPr>
        <w:tabs>
          <w:tab w:val="clear" w:pos="720"/>
        </w:tabs>
        <w:ind w:left="567" w:hanging="567"/>
        <w:rPr>
          <w:szCs w:val="22"/>
          <w:shd w:val="clear" w:color="auto" w:fill="FFFF00"/>
        </w:rPr>
      </w:pPr>
      <w:r w:rsidRPr="001B4A02">
        <w:rPr>
          <w:szCs w:val="22"/>
        </w:rPr>
        <w:t>dehydratace</w:t>
      </w:r>
    </w:p>
    <w:p w14:paraId="783858C3" w14:textId="77777777" w:rsidR="009640B0" w:rsidRPr="001B4A02" w:rsidRDefault="00000000" w:rsidP="00ED48A3">
      <w:pPr>
        <w:numPr>
          <w:ilvl w:val="0"/>
          <w:numId w:val="49"/>
        </w:numPr>
        <w:tabs>
          <w:tab w:val="clear" w:pos="720"/>
        </w:tabs>
        <w:ind w:left="567" w:hanging="567"/>
        <w:rPr>
          <w:szCs w:val="22"/>
          <w:shd w:val="clear" w:color="auto" w:fill="FFFF00"/>
        </w:rPr>
      </w:pPr>
      <w:r w:rsidRPr="001B4A02">
        <w:rPr>
          <w:szCs w:val="22"/>
        </w:rPr>
        <w:t>změny nálad (včetně deprese)</w:t>
      </w:r>
    </w:p>
    <w:p w14:paraId="24B23B62" w14:textId="77777777" w:rsidR="009640B0" w:rsidRPr="001B4A02" w:rsidRDefault="00000000" w:rsidP="00ED48A3">
      <w:pPr>
        <w:numPr>
          <w:ilvl w:val="0"/>
          <w:numId w:val="49"/>
        </w:numPr>
        <w:tabs>
          <w:tab w:val="clear" w:pos="720"/>
        </w:tabs>
        <w:ind w:left="567" w:hanging="567"/>
        <w:rPr>
          <w:szCs w:val="22"/>
          <w:shd w:val="clear" w:color="auto" w:fill="FFFF00"/>
        </w:rPr>
      </w:pPr>
      <w:r w:rsidRPr="001B4A02">
        <w:rPr>
          <w:szCs w:val="22"/>
        </w:rPr>
        <w:t>úzkost</w:t>
      </w:r>
    </w:p>
    <w:p w14:paraId="649CF2E5" w14:textId="77777777" w:rsidR="009640B0" w:rsidRPr="001B4A02" w:rsidRDefault="00000000" w:rsidP="00ED48A3">
      <w:pPr>
        <w:numPr>
          <w:ilvl w:val="0"/>
          <w:numId w:val="49"/>
        </w:numPr>
        <w:tabs>
          <w:tab w:val="clear" w:pos="720"/>
        </w:tabs>
        <w:ind w:left="567" w:hanging="567"/>
        <w:rPr>
          <w:szCs w:val="22"/>
          <w:shd w:val="clear" w:color="auto" w:fill="FFFF00"/>
        </w:rPr>
      </w:pPr>
      <w:r w:rsidRPr="001B4A02">
        <w:rPr>
          <w:szCs w:val="22"/>
        </w:rPr>
        <w:t>obtížné usínání</w:t>
      </w:r>
    </w:p>
    <w:p w14:paraId="741F224A" w14:textId="77777777" w:rsidR="009640B0" w:rsidRPr="001B4A02" w:rsidRDefault="00000000" w:rsidP="00ED48A3">
      <w:pPr>
        <w:numPr>
          <w:ilvl w:val="0"/>
          <w:numId w:val="49"/>
        </w:numPr>
        <w:tabs>
          <w:tab w:val="clear" w:pos="720"/>
        </w:tabs>
        <w:ind w:left="567" w:hanging="567"/>
        <w:rPr>
          <w:szCs w:val="22"/>
          <w:shd w:val="clear" w:color="auto" w:fill="FFFF00"/>
        </w:rPr>
      </w:pPr>
      <w:r w:rsidRPr="001B4A02">
        <w:rPr>
          <w:szCs w:val="22"/>
        </w:rPr>
        <w:t>poruchy pocitového vnímání</w:t>
      </w:r>
      <w:r w:rsidR="00A27A27" w:rsidRPr="001B4A02">
        <w:rPr>
          <w:szCs w:val="22"/>
        </w:rPr>
        <w:t>,</w:t>
      </w:r>
      <w:r w:rsidRPr="001B4A02">
        <w:rPr>
          <w:szCs w:val="22"/>
        </w:rPr>
        <w:t xml:space="preserve"> jako j</w:t>
      </w:r>
      <w:r w:rsidR="00E202BA" w:rsidRPr="001B4A02">
        <w:rPr>
          <w:szCs w:val="22"/>
        </w:rPr>
        <w:t>sou</w:t>
      </w:r>
      <w:r w:rsidRPr="001B4A02">
        <w:rPr>
          <w:szCs w:val="22"/>
        </w:rPr>
        <w:t xml:space="preserve"> brnění, svědění nebo znecitlivění</w:t>
      </w:r>
    </w:p>
    <w:p w14:paraId="69736EAF" w14:textId="77777777" w:rsidR="009640B0" w:rsidRPr="001B4A02" w:rsidRDefault="00000000" w:rsidP="00ED48A3">
      <w:pPr>
        <w:numPr>
          <w:ilvl w:val="0"/>
          <w:numId w:val="49"/>
        </w:numPr>
        <w:tabs>
          <w:tab w:val="clear" w:pos="720"/>
        </w:tabs>
        <w:ind w:left="567" w:hanging="567"/>
        <w:rPr>
          <w:szCs w:val="22"/>
          <w:shd w:val="clear" w:color="auto" w:fill="FFFF00"/>
        </w:rPr>
      </w:pPr>
      <w:r w:rsidRPr="001B4A02">
        <w:rPr>
          <w:szCs w:val="22"/>
        </w:rPr>
        <w:t>migréna</w:t>
      </w:r>
    </w:p>
    <w:p w14:paraId="0C6A2EE1" w14:textId="77777777" w:rsidR="009640B0" w:rsidRPr="001B4A02" w:rsidRDefault="00000000" w:rsidP="00ED48A3">
      <w:pPr>
        <w:numPr>
          <w:ilvl w:val="0"/>
          <w:numId w:val="49"/>
        </w:numPr>
        <w:tabs>
          <w:tab w:val="clear" w:pos="720"/>
        </w:tabs>
        <w:ind w:left="567" w:hanging="567"/>
        <w:rPr>
          <w:szCs w:val="22"/>
          <w:shd w:val="clear" w:color="auto" w:fill="FFFF00"/>
        </w:rPr>
      </w:pPr>
      <w:r w:rsidRPr="001B4A02">
        <w:rPr>
          <w:szCs w:val="22"/>
        </w:rPr>
        <w:t>útlak nervových kořenů (včetně bolesti v bedrech</w:t>
      </w:r>
      <w:r w:rsidR="002378E0">
        <w:rPr>
          <w:szCs w:val="22"/>
        </w:rPr>
        <w:t xml:space="preserve"> a </w:t>
      </w:r>
      <w:r w:rsidRPr="001B4A02">
        <w:rPr>
          <w:szCs w:val="22"/>
        </w:rPr>
        <w:t>bolesti dolních končetin)</w:t>
      </w:r>
    </w:p>
    <w:p w14:paraId="60953884" w14:textId="77777777" w:rsidR="009640B0" w:rsidRPr="001B4A02" w:rsidRDefault="00000000" w:rsidP="00ED48A3">
      <w:pPr>
        <w:numPr>
          <w:ilvl w:val="0"/>
          <w:numId w:val="49"/>
        </w:numPr>
        <w:tabs>
          <w:tab w:val="clear" w:pos="720"/>
        </w:tabs>
        <w:ind w:left="567" w:hanging="567"/>
        <w:rPr>
          <w:szCs w:val="22"/>
          <w:shd w:val="clear" w:color="auto" w:fill="FFFF00"/>
        </w:rPr>
      </w:pPr>
      <w:r w:rsidRPr="001B4A02">
        <w:rPr>
          <w:szCs w:val="22"/>
        </w:rPr>
        <w:t>poruchy zraku</w:t>
      </w:r>
    </w:p>
    <w:p w14:paraId="57A6046E" w14:textId="77777777" w:rsidR="009640B0" w:rsidRPr="001B4A02" w:rsidRDefault="00000000" w:rsidP="00ED48A3">
      <w:pPr>
        <w:numPr>
          <w:ilvl w:val="0"/>
          <w:numId w:val="49"/>
        </w:numPr>
        <w:tabs>
          <w:tab w:val="clear" w:pos="720"/>
        </w:tabs>
        <w:ind w:left="567" w:hanging="567"/>
        <w:rPr>
          <w:szCs w:val="22"/>
        </w:rPr>
      </w:pPr>
      <w:r w:rsidRPr="001B4A02">
        <w:rPr>
          <w:szCs w:val="22"/>
        </w:rPr>
        <w:t>oční záněty</w:t>
      </w:r>
    </w:p>
    <w:p w14:paraId="1704E00E" w14:textId="77777777" w:rsidR="009640B0" w:rsidRPr="001B4A02" w:rsidRDefault="00000000" w:rsidP="00ED48A3">
      <w:pPr>
        <w:numPr>
          <w:ilvl w:val="0"/>
          <w:numId w:val="49"/>
        </w:numPr>
        <w:tabs>
          <w:tab w:val="clear" w:pos="720"/>
        </w:tabs>
        <w:ind w:left="567" w:hanging="567"/>
        <w:rPr>
          <w:szCs w:val="22"/>
        </w:rPr>
      </w:pPr>
      <w:r w:rsidRPr="001B4A02">
        <w:rPr>
          <w:szCs w:val="22"/>
        </w:rPr>
        <w:t>záněty očního víčka</w:t>
      </w:r>
      <w:r w:rsidR="002378E0">
        <w:rPr>
          <w:szCs w:val="22"/>
        </w:rPr>
        <w:t xml:space="preserve"> a </w:t>
      </w:r>
      <w:r w:rsidRPr="001B4A02">
        <w:rPr>
          <w:szCs w:val="22"/>
        </w:rPr>
        <w:t>otoky oka</w:t>
      </w:r>
    </w:p>
    <w:p w14:paraId="311448BC" w14:textId="77777777" w:rsidR="009640B0" w:rsidRPr="001B4A02" w:rsidRDefault="00000000" w:rsidP="00ED48A3">
      <w:pPr>
        <w:numPr>
          <w:ilvl w:val="0"/>
          <w:numId w:val="49"/>
        </w:numPr>
        <w:tabs>
          <w:tab w:val="clear" w:pos="720"/>
        </w:tabs>
        <w:ind w:left="567" w:hanging="567"/>
        <w:rPr>
          <w:szCs w:val="22"/>
        </w:rPr>
      </w:pPr>
      <w:r w:rsidRPr="001B4A02">
        <w:rPr>
          <w:szCs w:val="22"/>
        </w:rPr>
        <w:t>vertigo (závrať nebo točení hlavy)</w:t>
      </w:r>
    </w:p>
    <w:p w14:paraId="7237315B"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pocity rychlého bušení srdce</w:t>
      </w:r>
    </w:p>
    <w:p w14:paraId="4A6D60D3"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vysoký krevní tlak</w:t>
      </w:r>
    </w:p>
    <w:p w14:paraId="612866BA"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návaly hork</w:t>
      </w:r>
      <w:r w:rsidR="006D39E6">
        <w:rPr>
          <w:szCs w:val="22"/>
          <w:lang w:val="cs-CZ"/>
        </w:rPr>
        <w:t>a</w:t>
      </w:r>
    </w:p>
    <w:p w14:paraId="65F9D2DF"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krevní podlitiny (nahromadění krve mimo cévy)</w:t>
      </w:r>
    </w:p>
    <w:p w14:paraId="3C1BA508"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kašel</w:t>
      </w:r>
    </w:p>
    <w:p w14:paraId="0B96EC97"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astma</w:t>
      </w:r>
    </w:p>
    <w:p w14:paraId="37FF17AD"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d</w:t>
      </w:r>
      <w:r w:rsidR="001361FB" w:rsidRPr="001B4A02">
        <w:rPr>
          <w:szCs w:val="22"/>
          <w:lang w:val="cs-CZ"/>
        </w:rPr>
        <w:t>ýchavičnost</w:t>
      </w:r>
    </w:p>
    <w:p w14:paraId="503C11E0"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krvácení ze zažívacího ústrojí</w:t>
      </w:r>
    </w:p>
    <w:p w14:paraId="2B86A9E6"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zažívací obtíže (poruchy trávení, nadýmání, pálení žáhy)</w:t>
      </w:r>
    </w:p>
    <w:p w14:paraId="6830A921"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refluxní choroba jícnu</w:t>
      </w:r>
    </w:p>
    <w:p w14:paraId="2DD54941"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sicca syndrom (včetně suchých očí</w:t>
      </w:r>
      <w:r w:rsidR="002378E0">
        <w:rPr>
          <w:szCs w:val="22"/>
          <w:lang w:val="cs-CZ"/>
        </w:rPr>
        <w:t xml:space="preserve"> a </w:t>
      </w:r>
      <w:r w:rsidRPr="001B4A02">
        <w:rPr>
          <w:szCs w:val="22"/>
          <w:lang w:val="cs-CZ"/>
        </w:rPr>
        <w:t>suchosti v</w:t>
      </w:r>
      <w:r w:rsidR="00715D0A" w:rsidRPr="001B4A02">
        <w:rPr>
          <w:szCs w:val="22"/>
          <w:lang w:val="cs-CZ"/>
        </w:rPr>
        <w:t> </w:t>
      </w:r>
      <w:r w:rsidRPr="001B4A02">
        <w:rPr>
          <w:szCs w:val="22"/>
          <w:lang w:val="cs-CZ"/>
        </w:rPr>
        <w:t>ústech)</w:t>
      </w:r>
    </w:p>
    <w:p w14:paraId="6A681C86"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svědění</w:t>
      </w:r>
    </w:p>
    <w:p w14:paraId="371B3FAF"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svědivá vyrážka</w:t>
      </w:r>
    </w:p>
    <w:p w14:paraId="2B66F1D8"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tvorba modřin</w:t>
      </w:r>
    </w:p>
    <w:p w14:paraId="2758BA12"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záněty kůže (jako je ekzém)</w:t>
      </w:r>
    </w:p>
    <w:p w14:paraId="11E70CC6"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lámavost nehtů na prstech rukou</w:t>
      </w:r>
      <w:r w:rsidR="002378E0">
        <w:rPr>
          <w:szCs w:val="22"/>
          <w:lang w:val="cs-CZ"/>
        </w:rPr>
        <w:t xml:space="preserve"> a </w:t>
      </w:r>
      <w:r w:rsidRPr="001B4A02">
        <w:rPr>
          <w:szCs w:val="22"/>
          <w:lang w:val="cs-CZ"/>
        </w:rPr>
        <w:t>nohou</w:t>
      </w:r>
    </w:p>
    <w:p w14:paraId="67E1BF4D"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zvýšené pocení</w:t>
      </w:r>
    </w:p>
    <w:p w14:paraId="5A74CFBA"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vypadávání vlasů</w:t>
      </w:r>
    </w:p>
    <w:p w14:paraId="4E51FBD8"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nový vznik nebo zhoršení psoriázy (lupénky)</w:t>
      </w:r>
    </w:p>
    <w:p w14:paraId="3A376F2D"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svalové křeče</w:t>
      </w:r>
    </w:p>
    <w:p w14:paraId="7BB0E5CA"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krev v moči</w:t>
      </w:r>
    </w:p>
    <w:p w14:paraId="4C6C6B6C"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onemocnění ledvin</w:t>
      </w:r>
    </w:p>
    <w:p w14:paraId="7661DD95"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bolest na hrudi</w:t>
      </w:r>
    </w:p>
    <w:p w14:paraId="237E84AF"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edém (otok)</w:t>
      </w:r>
    </w:p>
    <w:p w14:paraId="47B4E240"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horečka</w:t>
      </w:r>
    </w:p>
    <w:p w14:paraId="01587F54"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shd w:val="clear" w:color="auto" w:fill="FFFF00"/>
          <w:lang w:val="cs-CZ"/>
        </w:rPr>
      </w:pPr>
      <w:r w:rsidRPr="001B4A02">
        <w:rPr>
          <w:szCs w:val="22"/>
          <w:lang w:val="cs-CZ"/>
        </w:rPr>
        <w:t>snížení počtu krevních destiček, což zvyšuje riziko krvácení nebo tvorby modřin</w:t>
      </w:r>
    </w:p>
    <w:p w14:paraId="3B197755" w14:textId="77777777" w:rsidR="009640B0" w:rsidRPr="001B4A02" w:rsidRDefault="00000000" w:rsidP="00ED48A3">
      <w:pPr>
        <w:pStyle w:val="EMEANormal"/>
        <w:numPr>
          <w:ilvl w:val="0"/>
          <w:numId w:val="49"/>
        </w:numPr>
        <w:tabs>
          <w:tab w:val="clear" w:pos="562"/>
          <w:tab w:val="clear" w:pos="720"/>
        </w:tabs>
        <w:suppressAutoHyphens w:val="0"/>
        <w:ind w:left="567" w:hanging="567"/>
        <w:rPr>
          <w:szCs w:val="22"/>
          <w:lang w:val="cs-CZ"/>
        </w:rPr>
      </w:pPr>
      <w:r w:rsidRPr="001B4A02">
        <w:rPr>
          <w:szCs w:val="22"/>
          <w:lang w:val="cs-CZ"/>
        </w:rPr>
        <w:t>poruch</w:t>
      </w:r>
      <w:r w:rsidR="00572055" w:rsidRPr="001B4A02">
        <w:rPr>
          <w:szCs w:val="22"/>
          <w:lang w:val="cs-CZ"/>
        </w:rPr>
        <w:t>a</w:t>
      </w:r>
      <w:r w:rsidRPr="001B4A02">
        <w:rPr>
          <w:szCs w:val="22"/>
          <w:lang w:val="cs-CZ"/>
        </w:rPr>
        <w:t xml:space="preserve"> hojení</w:t>
      </w:r>
    </w:p>
    <w:p w14:paraId="5B03CC19" w14:textId="77777777" w:rsidR="009640B0" w:rsidRPr="001B4A02" w:rsidRDefault="009640B0" w:rsidP="00ED48A3">
      <w:pPr>
        <w:ind w:left="0" w:firstLine="0"/>
        <w:rPr>
          <w:szCs w:val="22"/>
        </w:rPr>
      </w:pPr>
    </w:p>
    <w:p w14:paraId="3BB9C6AE" w14:textId="77777777" w:rsidR="009640B0" w:rsidRPr="001B4A02" w:rsidRDefault="00000000" w:rsidP="00BF6D48">
      <w:pPr>
        <w:keepNext/>
        <w:ind w:left="0" w:firstLine="0"/>
        <w:rPr>
          <w:szCs w:val="22"/>
        </w:rPr>
      </w:pPr>
      <w:r w:rsidRPr="001B4A02">
        <w:rPr>
          <w:b/>
          <w:szCs w:val="22"/>
        </w:rPr>
        <w:t>Méně časté</w:t>
      </w:r>
      <w:r w:rsidRPr="001B4A02">
        <w:rPr>
          <w:szCs w:val="22"/>
        </w:rPr>
        <w:t xml:space="preserve"> (</w:t>
      </w:r>
      <w:r w:rsidRPr="001B4A02">
        <w:rPr>
          <w:szCs w:val="22"/>
          <w:shd w:val="clear" w:color="auto" w:fill="FFFFFF"/>
        </w:rPr>
        <w:t>mohou postihnout nejvýše 1 ze 100 osob</w:t>
      </w:r>
      <w:r w:rsidRPr="001B4A02">
        <w:rPr>
          <w:szCs w:val="22"/>
        </w:rPr>
        <w:t>)</w:t>
      </w:r>
    </w:p>
    <w:p w14:paraId="6107D4C1" w14:textId="77777777" w:rsidR="009640B0" w:rsidRPr="001B4A02" w:rsidRDefault="009640B0" w:rsidP="00BF6D48">
      <w:pPr>
        <w:keepNext/>
        <w:ind w:left="0" w:firstLine="0"/>
        <w:rPr>
          <w:szCs w:val="22"/>
        </w:rPr>
      </w:pPr>
    </w:p>
    <w:p w14:paraId="0479DE43" w14:textId="77777777" w:rsidR="009640B0" w:rsidRPr="001B4A02" w:rsidRDefault="00000000" w:rsidP="00BF6D48">
      <w:pPr>
        <w:pStyle w:val="EMEANormal"/>
        <w:keepNext/>
        <w:numPr>
          <w:ilvl w:val="0"/>
          <w:numId w:val="48"/>
        </w:numPr>
        <w:tabs>
          <w:tab w:val="clear" w:pos="562"/>
          <w:tab w:val="clear" w:pos="720"/>
        </w:tabs>
        <w:suppressAutoHyphens w:val="0"/>
        <w:ind w:left="567" w:hanging="567"/>
        <w:rPr>
          <w:szCs w:val="22"/>
          <w:lang w:val="cs-CZ"/>
        </w:rPr>
      </w:pPr>
      <w:r w:rsidRPr="001B4A02">
        <w:rPr>
          <w:szCs w:val="22"/>
          <w:lang w:val="cs-CZ"/>
        </w:rPr>
        <w:t>oportunní infekce (které zahrnují tuberkulózu</w:t>
      </w:r>
      <w:r w:rsidR="002378E0">
        <w:rPr>
          <w:szCs w:val="22"/>
          <w:lang w:val="cs-CZ"/>
        </w:rPr>
        <w:t xml:space="preserve"> a </w:t>
      </w:r>
      <w:r w:rsidRPr="001B4A02">
        <w:rPr>
          <w:szCs w:val="22"/>
          <w:lang w:val="cs-CZ"/>
        </w:rPr>
        <w:t xml:space="preserve">jiné infekce, které se objevují, když je snížena odolnost vůči </w:t>
      </w:r>
      <w:r w:rsidR="00572055" w:rsidRPr="001B4A02">
        <w:rPr>
          <w:szCs w:val="22"/>
          <w:lang w:val="cs-CZ"/>
        </w:rPr>
        <w:t>nemocem</w:t>
      </w:r>
      <w:r w:rsidRPr="001B4A02">
        <w:rPr>
          <w:szCs w:val="22"/>
          <w:lang w:val="cs-CZ"/>
        </w:rPr>
        <w:t>)</w:t>
      </w:r>
    </w:p>
    <w:p w14:paraId="52506444" w14:textId="77777777" w:rsidR="009640B0" w:rsidRPr="001B4A02" w:rsidRDefault="00000000" w:rsidP="00ED48A3">
      <w:pPr>
        <w:pStyle w:val="EMEANormal"/>
        <w:numPr>
          <w:ilvl w:val="0"/>
          <w:numId w:val="48"/>
        </w:numPr>
        <w:tabs>
          <w:tab w:val="clear" w:pos="562"/>
          <w:tab w:val="clear" w:pos="720"/>
        </w:tabs>
        <w:suppressAutoHyphens w:val="0"/>
        <w:ind w:left="567" w:hanging="567"/>
        <w:rPr>
          <w:szCs w:val="22"/>
          <w:lang w:val="cs-CZ"/>
        </w:rPr>
      </w:pPr>
      <w:r w:rsidRPr="001B4A02">
        <w:rPr>
          <w:szCs w:val="22"/>
          <w:lang w:val="cs-CZ"/>
        </w:rPr>
        <w:t>neurologické infekce (včetně virové</w:t>
      </w:r>
      <w:r w:rsidR="00572055" w:rsidRPr="001B4A02">
        <w:rPr>
          <w:szCs w:val="22"/>
          <w:lang w:val="cs-CZ"/>
        </w:rPr>
        <w:t>ho zánětu mozkových blan</w:t>
      </w:r>
      <w:r w:rsidRPr="001B4A02">
        <w:rPr>
          <w:szCs w:val="22"/>
          <w:lang w:val="cs-CZ"/>
        </w:rPr>
        <w:t>)</w:t>
      </w:r>
    </w:p>
    <w:p w14:paraId="712359D2" w14:textId="77777777" w:rsidR="009640B0" w:rsidRPr="001B4A02" w:rsidRDefault="00000000" w:rsidP="00ED48A3">
      <w:pPr>
        <w:numPr>
          <w:ilvl w:val="0"/>
          <w:numId w:val="50"/>
        </w:numPr>
        <w:tabs>
          <w:tab w:val="clear" w:pos="720"/>
        </w:tabs>
        <w:ind w:left="567" w:hanging="567"/>
        <w:rPr>
          <w:szCs w:val="22"/>
        </w:rPr>
      </w:pPr>
      <w:r w:rsidRPr="001B4A02">
        <w:rPr>
          <w:szCs w:val="22"/>
        </w:rPr>
        <w:t>záněty oka</w:t>
      </w:r>
    </w:p>
    <w:p w14:paraId="7439B450" w14:textId="77777777" w:rsidR="009640B0" w:rsidRPr="001B4A02" w:rsidRDefault="00000000" w:rsidP="00ED48A3">
      <w:pPr>
        <w:numPr>
          <w:ilvl w:val="0"/>
          <w:numId w:val="50"/>
        </w:numPr>
        <w:tabs>
          <w:tab w:val="clear" w:pos="720"/>
        </w:tabs>
        <w:ind w:left="567" w:hanging="567"/>
        <w:rPr>
          <w:szCs w:val="22"/>
        </w:rPr>
      </w:pPr>
      <w:r w:rsidRPr="001B4A02">
        <w:rPr>
          <w:szCs w:val="22"/>
        </w:rPr>
        <w:t>bakteriální infekce</w:t>
      </w:r>
    </w:p>
    <w:p w14:paraId="64C757F9" w14:textId="77777777" w:rsidR="009640B0" w:rsidRPr="001B4A02" w:rsidRDefault="00000000" w:rsidP="00ED48A3">
      <w:pPr>
        <w:numPr>
          <w:ilvl w:val="0"/>
          <w:numId w:val="50"/>
        </w:numPr>
        <w:tabs>
          <w:tab w:val="clear" w:pos="720"/>
        </w:tabs>
        <w:ind w:left="567" w:hanging="567"/>
        <w:rPr>
          <w:szCs w:val="22"/>
        </w:rPr>
      </w:pPr>
      <w:r w:rsidRPr="001B4A02">
        <w:rPr>
          <w:szCs w:val="22"/>
          <w:lang w:eastAsia="de-DE"/>
        </w:rPr>
        <w:t>divertikulitida (zánětlivé onemocnění spojené s</w:t>
      </w:r>
      <w:r w:rsidR="004823B6" w:rsidRPr="001B4A02">
        <w:rPr>
          <w:szCs w:val="22"/>
          <w:lang w:eastAsia="de-DE"/>
        </w:rPr>
        <w:t> </w:t>
      </w:r>
      <w:r w:rsidRPr="001B4A02">
        <w:rPr>
          <w:szCs w:val="22"/>
          <w:lang w:eastAsia="de-DE"/>
        </w:rPr>
        <w:t>infekcí tlustého střeva)</w:t>
      </w:r>
    </w:p>
    <w:p w14:paraId="4E86CF7C" w14:textId="77777777" w:rsidR="009640B0" w:rsidRPr="001B4A02" w:rsidRDefault="00000000" w:rsidP="00ED48A3">
      <w:pPr>
        <w:numPr>
          <w:ilvl w:val="0"/>
          <w:numId w:val="50"/>
        </w:numPr>
        <w:tabs>
          <w:tab w:val="clear" w:pos="720"/>
        </w:tabs>
        <w:ind w:left="567" w:hanging="567"/>
        <w:rPr>
          <w:szCs w:val="22"/>
        </w:rPr>
      </w:pPr>
      <w:r w:rsidRPr="001B4A02">
        <w:rPr>
          <w:szCs w:val="22"/>
        </w:rPr>
        <w:t>rakovina</w:t>
      </w:r>
    </w:p>
    <w:p w14:paraId="24D2B4B2" w14:textId="77777777" w:rsidR="009640B0" w:rsidRPr="001B4A02" w:rsidRDefault="00000000" w:rsidP="00ED48A3">
      <w:pPr>
        <w:numPr>
          <w:ilvl w:val="0"/>
          <w:numId w:val="50"/>
        </w:numPr>
        <w:tabs>
          <w:tab w:val="clear" w:pos="720"/>
        </w:tabs>
        <w:ind w:left="567" w:hanging="567"/>
        <w:rPr>
          <w:szCs w:val="22"/>
        </w:rPr>
      </w:pPr>
      <w:r w:rsidRPr="001B4A02">
        <w:rPr>
          <w:szCs w:val="22"/>
        </w:rPr>
        <w:t>rakovina postihující mízní systém</w:t>
      </w:r>
    </w:p>
    <w:p w14:paraId="426AD2AD" w14:textId="77777777" w:rsidR="009640B0" w:rsidRPr="001B4A02" w:rsidRDefault="00000000" w:rsidP="00ED48A3">
      <w:pPr>
        <w:numPr>
          <w:ilvl w:val="0"/>
          <w:numId w:val="50"/>
        </w:numPr>
        <w:tabs>
          <w:tab w:val="clear" w:pos="720"/>
        </w:tabs>
        <w:ind w:left="567" w:hanging="567"/>
        <w:rPr>
          <w:szCs w:val="22"/>
        </w:rPr>
      </w:pPr>
      <w:r w:rsidRPr="001B4A02">
        <w:rPr>
          <w:szCs w:val="22"/>
        </w:rPr>
        <w:t>melanom</w:t>
      </w:r>
    </w:p>
    <w:p w14:paraId="172111AA" w14:textId="77777777" w:rsidR="009640B0" w:rsidRPr="001B4A02" w:rsidRDefault="00000000" w:rsidP="00ED48A3">
      <w:pPr>
        <w:numPr>
          <w:ilvl w:val="0"/>
          <w:numId w:val="50"/>
        </w:numPr>
        <w:tabs>
          <w:tab w:val="clear" w:pos="720"/>
        </w:tabs>
        <w:ind w:left="567" w:hanging="567"/>
        <w:rPr>
          <w:szCs w:val="22"/>
        </w:rPr>
      </w:pPr>
      <w:r w:rsidRPr="001B4A02">
        <w:rPr>
          <w:szCs w:val="22"/>
        </w:rPr>
        <w:t>poruchy imunitního systému, které mohou postihovat plíce, kůži</w:t>
      </w:r>
      <w:r w:rsidR="002378E0">
        <w:rPr>
          <w:szCs w:val="22"/>
        </w:rPr>
        <w:t xml:space="preserve"> a </w:t>
      </w:r>
      <w:r w:rsidRPr="001B4A02">
        <w:rPr>
          <w:szCs w:val="22"/>
        </w:rPr>
        <w:t>lymfatické uzliny (nejčastěji se projevující jako sarkoidóza)</w:t>
      </w:r>
    </w:p>
    <w:p w14:paraId="6AAF5FED" w14:textId="77777777" w:rsidR="009640B0" w:rsidRPr="001B4A02" w:rsidRDefault="00000000" w:rsidP="00ED48A3">
      <w:pPr>
        <w:numPr>
          <w:ilvl w:val="0"/>
          <w:numId w:val="50"/>
        </w:numPr>
        <w:tabs>
          <w:tab w:val="clear" w:pos="720"/>
        </w:tabs>
        <w:ind w:left="567" w:hanging="567"/>
        <w:rPr>
          <w:szCs w:val="22"/>
        </w:rPr>
      </w:pPr>
      <w:r w:rsidRPr="001B4A02">
        <w:rPr>
          <w:szCs w:val="22"/>
        </w:rPr>
        <w:t>vaskulitida (zánět krevních cév)</w:t>
      </w:r>
    </w:p>
    <w:p w14:paraId="64FFF7A3" w14:textId="77777777" w:rsidR="009640B0" w:rsidRPr="001B4A02" w:rsidRDefault="00000000" w:rsidP="00ED48A3">
      <w:pPr>
        <w:numPr>
          <w:ilvl w:val="0"/>
          <w:numId w:val="50"/>
        </w:numPr>
        <w:tabs>
          <w:tab w:val="clear" w:pos="720"/>
        </w:tabs>
        <w:ind w:left="567" w:hanging="567"/>
        <w:rPr>
          <w:szCs w:val="22"/>
        </w:rPr>
      </w:pPr>
      <w:r w:rsidRPr="001B4A02">
        <w:rPr>
          <w:szCs w:val="22"/>
        </w:rPr>
        <w:t>třes</w:t>
      </w:r>
    </w:p>
    <w:p w14:paraId="4ACC21AC" w14:textId="77777777" w:rsidR="009640B0" w:rsidRPr="001B4A02" w:rsidRDefault="00000000" w:rsidP="00ED48A3">
      <w:pPr>
        <w:numPr>
          <w:ilvl w:val="0"/>
          <w:numId w:val="50"/>
        </w:numPr>
        <w:tabs>
          <w:tab w:val="clear" w:pos="720"/>
        </w:tabs>
        <w:ind w:left="567" w:hanging="567"/>
        <w:rPr>
          <w:szCs w:val="22"/>
        </w:rPr>
      </w:pPr>
      <w:r w:rsidRPr="001B4A02">
        <w:rPr>
          <w:szCs w:val="22"/>
        </w:rPr>
        <w:t>neuropatie (postižení nervů)</w:t>
      </w:r>
    </w:p>
    <w:p w14:paraId="1434AE2F" w14:textId="77777777" w:rsidR="009640B0" w:rsidRPr="001B4A02" w:rsidRDefault="00000000" w:rsidP="00ED48A3">
      <w:pPr>
        <w:numPr>
          <w:ilvl w:val="0"/>
          <w:numId w:val="50"/>
        </w:numPr>
        <w:tabs>
          <w:tab w:val="clear" w:pos="720"/>
        </w:tabs>
        <w:ind w:left="567" w:hanging="567"/>
        <w:rPr>
          <w:szCs w:val="22"/>
        </w:rPr>
      </w:pPr>
      <w:r w:rsidRPr="001B4A02">
        <w:rPr>
          <w:szCs w:val="22"/>
        </w:rPr>
        <w:t>cévní mozková příhoda</w:t>
      </w:r>
    </w:p>
    <w:p w14:paraId="440B0DBA" w14:textId="77777777" w:rsidR="009640B0" w:rsidRPr="001B4A02" w:rsidRDefault="00000000" w:rsidP="00ED48A3">
      <w:pPr>
        <w:numPr>
          <w:ilvl w:val="0"/>
          <w:numId w:val="50"/>
        </w:numPr>
        <w:tabs>
          <w:tab w:val="clear" w:pos="720"/>
        </w:tabs>
        <w:ind w:left="567" w:hanging="567"/>
        <w:rPr>
          <w:szCs w:val="22"/>
        </w:rPr>
      </w:pPr>
      <w:r w:rsidRPr="001B4A02">
        <w:rPr>
          <w:szCs w:val="22"/>
        </w:rPr>
        <w:t xml:space="preserve">ztráta sluchu, </w:t>
      </w:r>
      <w:r w:rsidR="00572055" w:rsidRPr="001B4A02">
        <w:rPr>
          <w:szCs w:val="22"/>
        </w:rPr>
        <w:t>ušní šelest</w:t>
      </w:r>
    </w:p>
    <w:p w14:paraId="771A6B70" w14:textId="77777777" w:rsidR="009640B0" w:rsidRPr="001B4A02" w:rsidRDefault="00000000" w:rsidP="00ED48A3">
      <w:pPr>
        <w:numPr>
          <w:ilvl w:val="0"/>
          <w:numId w:val="50"/>
        </w:numPr>
        <w:tabs>
          <w:tab w:val="clear" w:pos="720"/>
        </w:tabs>
        <w:ind w:left="567" w:hanging="567"/>
        <w:rPr>
          <w:szCs w:val="22"/>
        </w:rPr>
      </w:pPr>
      <w:r w:rsidRPr="001B4A02">
        <w:rPr>
          <w:szCs w:val="22"/>
        </w:rPr>
        <w:t>pocit nepravidelného bušení srdce</w:t>
      </w:r>
      <w:r w:rsidR="00A27A27" w:rsidRPr="001B4A02">
        <w:rPr>
          <w:szCs w:val="22"/>
        </w:rPr>
        <w:t>,</w:t>
      </w:r>
      <w:r w:rsidRPr="001B4A02">
        <w:rPr>
          <w:szCs w:val="22"/>
        </w:rPr>
        <w:t xml:space="preserve"> jako je vynechání tepu</w:t>
      </w:r>
    </w:p>
    <w:p w14:paraId="4B98A3D8" w14:textId="77777777" w:rsidR="009640B0" w:rsidRPr="001B4A02" w:rsidRDefault="00000000" w:rsidP="00ED48A3">
      <w:pPr>
        <w:numPr>
          <w:ilvl w:val="0"/>
          <w:numId w:val="50"/>
        </w:numPr>
        <w:tabs>
          <w:tab w:val="clear" w:pos="720"/>
        </w:tabs>
        <w:ind w:left="567" w:hanging="567"/>
        <w:rPr>
          <w:szCs w:val="22"/>
        </w:rPr>
      </w:pPr>
      <w:r w:rsidRPr="001B4A02">
        <w:rPr>
          <w:szCs w:val="22"/>
        </w:rPr>
        <w:t>srdeční obtíže, které mohou způsobovat zkrácení dechu nebo otékání kotníků</w:t>
      </w:r>
    </w:p>
    <w:p w14:paraId="39D26E8F" w14:textId="77777777" w:rsidR="009640B0" w:rsidRPr="001B4A02" w:rsidRDefault="00000000" w:rsidP="00ED48A3">
      <w:pPr>
        <w:numPr>
          <w:ilvl w:val="0"/>
          <w:numId w:val="50"/>
        </w:numPr>
        <w:tabs>
          <w:tab w:val="clear" w:pos="720"/>
        </w:tabs>
        <w:ind w:left="567" w:hanging="567"/>
        <w:rPr>
          <w:szCs w:val="22"/>
        </w:rPr>
      </w:pPr>
      <w:r w:rsidRPr="001B4A02">
        <w:rPr>
          <w:szCs w:val="22"/>
        </w:rPr>
        <w:t>srdeční příhoda (infarkt)</w:t>
      </w:r>
    </w:p>
    <w:p w14:paraId="58E83CAA" w14:textId="77777777" w:rsidR="009640B0" w:rsidRPr="001B4A02" w:rsidRDefault="00000000" w:rsidP="00ED48A3">
      <w:pPr>
        <w:numPr>
          <w:ilvl w:val="0"/>
          <w:numId w:val="50"/>
        </w:numPr>
        <w:tabs>
          <w:tab w:val="clear" w:pos="720"/>
        </w:tabs>
        <w:ind w:left="567" w:hanging="567"/>
        <w:rPr>
          <w:szCs w:val="22"/>
        </w:rPr>
      </w:pPr>
      <w:r w:rsidRPr="001B4A02">
        <w:rPr>
          <w:szCs w:val="22"/>
        </w:rPr>
        <w:t>výduť ve stěně velkých tepen, zánět žilních městků, blokáda krevních cév</w:t>
      </w:r>
    </w:p>
    <w:p w14:paraId="606C21FE" w14:textId="77777777" w:rsidR="009640B0" w:rsidRPr="001B4A02" w:rsidRDefault="00000000" w:rsidP="00ED48A3">
      <w:pPr>
        <w:numPr>
          <w:ilvl w:val="0"/>
          <w:numId w:val="50"/>
        </w:numPr>
        <w:tabs>
          <w:tab w:val="clear" w:pos="720"/>
        </w:tabs>
        <w:ind w:left="567" w:hanging="567"/>
        <w:rPr>
          <w:szCs w:val="22"/>
        </w:rPr>
      </w:pPr>
      <w:r w:rsidRPr="001B4A02">
        <w:rPr>
          <w:szCs w:val="22"/>
        </w:rPr>
        <w:t>plicní onemocnění způsobující zkrácení dechu (včetně zánětu)</w:t>
      </w:r>
    </w:p>
    <w:p w14:paraId="2F60FE1E" w14:textId="77777777" w:rsidR="009640B0" w:rsidRPr="001B4A02" w:rsidRDefault="00000000" w:rsidP="00ED48A3">
      <w:pPr>
        <w:numPr>
          <w:ilvl w:val="0"/>
          <w:numId w:val="50"/>
        </w:numPr>
        <w:tabs>
          <w:tab w:val="clear" w:pos="720"/>
        </w:tabs>
        <w:ind w:left="567" w:hanging="567"/>
        <w:rPr>
          <w:szCs w:val="22"/>
        </w:rPr>
      </w:pPr>
      <w:r w:rsidRPr="001B4A02">
        <w:rPr>
          <w:szCs w:val="22"/>
          <w:lang w:eastAsia="de-DE"/>
        </w:rPr>
        <w:t>plicní embolie (uzávěr plicní tepny)</w:t>
      </w:r>
    </w:p>
    <w:p w14:paraId="37018D81" w14:textId="77777777" w:rsidR="009640B0" w:rsidRPr="001B4A02" w:rsidRDefault="00000000" w:rsidP="00ED48A3">
      <w:pPr>
        <w:numPr>
          <w:ilvl w:val="0"/>
          <w:numId w:val="50"/>
        </w:numPr>
        <w:tabs>
          <w:tab w:val="clear" w:pos="720"/>
        </w:tabs>
        <w:ind w:left="567" w:hanging="567"/>
        <w:rPr>
          <w:szCs w:val="22"/>
        </w:rPr>
      </w:pPr>
      <w:r w:rsidRPr="001B4A02">
        <w:rPr>
          <w:szCs w:val="22"/>
          <w:lang w:eastAsia="de-DE"/>
        </w:rPr>
        <w:t>pleurální výpotek (neobvyklé nahromadění tekutiny v prostoru pohrudnice)</w:t>
      </w:r>
    </w:p>
    <w:p w14:paraId="519E6814" w14:textId="77777777" w:rsidR="009640B0" w:rsidRPr="001B4A02" w:rsidRDefault="00000000" w:rsidP="00ED48A3">
      <w:pPr>
        <w:numPr>
          <w:ilvl w:val="0"/>
          <w:numId w:val="50"/>
        </w:numPr>
        <w:tabs>
          <w:tab w:val="clear" w:pos="720"/>
        </w:tabs>
        <w:ind w:left="567" w:hanging="567"/>
        <w:rPr>
          <w:szCs w:val="22"/>
        </w:rPr>
      </w:pPr>
      <w:r w:rsidRPr="001B4A02">
        <w:rPr>
          <w:szCs w:val="22"/>
        </w:rPr>
        <w:t>zánět slinivky břišní, způsobující závažné bolesti břicha</w:t>
      </w:r>
      <w:r w:rsidR="002378E0">
        <w:rPr>
          <w:szCs w:val="22"/>
        </w:rPr>
        <w:t xml:space="preserve"> a </w:t>
      </w:r>
      <w:r w:rsidRPr="001B4A02">
        <w:rPr>
          <w:szCs w:val="22"/>
        </w:rPr>
        <w:t>zad</w:t>
      </w:r>
    </w:p>
    <w:p w14:paraId="450B956A" w14:textId="77777777" w:rsidR="009640B0" w:rsidRPr="001B4A02" w:rsidRDefault="00000000" w:rsidP="00ED48A3">
      <w:pPr>
        <w:numPr>
          <w:ilvl w:val="0"/>
          <w:numId w:val="50"/>
        </w:numPr>
        <w:tabs>
          <w:tab w:val="clear" w:pos="720"/>
        </w:tabs>
        <w:ind w:left="567" w:hanging="567"/>
        <w:rPr>
          <w:szCs w:val="22"/>
        </w:rPr>
      </w:pPr>
      <w:r w:rsidRPr="001B4A02">
        <w:rPr>
          <w:szCs w:val="22"/>
        </w:rPr>
        <w:t>potíže s polykáním</w:t>
      </w:r>
    </w:p>
    <w:p w14:paraId="686FEEA7" w14:textId="77777777" w:rsidR="009640B0" w:rsidRPr="001B4A02" w:rsidRDefault="00000000" w:rsidP="00ED48A3">
      <w:pPr>
        <w:numPr>
          <w:ilvl w:val="0"/>
          <w:numId w:val="50"/>
        </w:numPr>
        <w:tabs>
          <w:tab w:val="clear" w:pos="720"/>
        </w:tabs>
        <w:ind w:left="567" w:hanging="567"/>
        <w:rPr>
          <w:szCs w:val="22"/>
        </w:rPr>
      </w:pPr>
      <w:r w:rsidRPr="001B4A02">
        <w:rPr>
          <w:szCs w:val="22"/>
        </w:rPr>
        <w:t xml:space="preserve">edém </w:t>
      </w:r>
      <w:r w:rsidR="00560725">
        <w:rPr>
          <w:szCs w:val="22"/>
        </w:rPr>
        <w:t>obličeje</w:t>
      </w:r>
      <w:r w:rsidR="00560725" w:rsidRPr="001B4A02">
        <w:rPr>
          <w:szCs w:val="22"/>
        </w:rPr>
        <w:t xml:space="preserve"> </w:t>
      </w:r>
      <w:r w:rsidRPr="001B4A02">
        <w:rPr>
          <w:szCs w:val="22"/>
        </w:rPr>
        <w:t xml:space="preserve">(otok </w:t>
      </w:r>
      <w:r w:rsidR="00560725">
        <w:rPr>
          <w:szCs w:val="22"/>
        </w:rPr>
        <w:t>obličeje</w:t>
      </w:r>
      <w:r w:rsidRPr="001B4A02">
        <w:rPr>
          <w:szCs w:val="22"/>
        </w:rPr>
        <w:t>)</w:t>
      </w:r>
    </w:p>
    <w:p w14:paraId="29237322" w14:textId="77777777" w:rsidR="009640B0" w:rsidRPr="001B4A02" w:rsidRDefault="00000000" w:rsidP="00ED48A3">
      <w:pPr>
        <w:numPr>
          <w:ilvl w:val="0"/>
          <w:numId w:val="50"/>
        </w:numPr>
        <w:tabs>
          <w:tab w:val="clear" w:pos="720"/>
        </w:tabs>
        <w:ind w:left="567" w:hanging="567"/>
        <w:rPr>
          <w:szCs w:val="22"/>
        </w:rPr>
      </w:pPr>
      <w:r w:rsidRPr="001B4A02">
        <w:rPr>
          <w:szCs w:val="22"/>
        </w:rPr>
        <w:t>zánět žlučníku, žlučníkové kameny</w:t>
      </w:r>
    </w:p>
    <w:p w14:paraId="5004997F" w14:textId="77777777" w:rsidR="009640B0" w:rsidRPr="001B4A02" w:rsidRDefault="00000000" w:rsidP="00ED48A3">
      <w:pPr>
        <w:numPr>
          <w:ilvl w:val="0"/>
          <w:numId w:val="50"/>
        </w:numPr>
        <w:tabs>
          <w:tab w:val="clear" w:pos="720"/>
        </w:tabs>
        <w:ind w:left="567" w:hanging="567"/>
        <w:rPr>
          <w:szCs w:val="22"/>
        </w:rPr>
      </w:pPr>
      <w:r w:rsidRPr="007815F1">
        <w:t>ztu</w:t>
      </w:r>
      <w:r>
        <w:rPr>
          <w:szCs w:val="22"/>
        </w:rPr>
        <w:t>kovění</w:t>
      </w:r>
      <w:r w:rsidRPr="001B4A02">
        <w:rPr>
          <w:szCs w:val="22"/>
        </w:rPr>
        <w:t xml:space="preserve"> jater</w:t>
      </w:r>
    </w:p>
    <w:p w14:paraId="5B81752D" w14:textId="77777777" w:rsidR="009640B0" w:rsidRPr="001B4A02" w:rsidRDefault="00000000" w:rsidP="00ED48A3">
      <w:pPr>
        <w:numPr>
          <w:ilvl w:val="0"/>
          <w:numId w:val="50"/>
        </w:numPr>
        <w:tabs>
          <w:tab w:val="clear" w:pos="720"/>
        </w:tabs>
        <w:ind w:left="567" w:hanging="567"/>
        <w:rPr>
          <w:szCs w:val="22"/>
        </w:rPr>
      </w:pPr>
      <w:r w:rsidRPr="001B4A02">
        <w:rPr>
          <w:szCs w:val="22"/>
        </w:rPr>
        <w:t>noční pocení</w:t>
      </w:r>
    </w:p>
    <w:p w14:paraId="10792999" w14:textId="77777777" w:rsidR="009640B0" w:rsidRPr="001B4A02" w:rsidRDefault="00000000" w:rsidP="00ED48A3">
      <w:pPr>
        <w:numPr>
          <w:ilvl w:val="0"/>
          <w:numId w:val="50"/>
        </w:numPr>
        <w:tabs>
          <w:tab w:val="clear" w:pos="720"/>
        </w:tabs>
        <w:ind w:left="567" w:hanging="567"/>
        <w:rPr>
          <w:szCs w:val="22"/>
        </w:rPr>
      </w:pPr>
      <w:r w:rsidRPr="001B4A02">
        <w:rPr>
          <w:szCs w:val="22"/>
        </w:rPr>
        <w:t>zjizvení</w:t>
      </w:r>
    </w:p>
    <w:p w14:paraId="133D9BCA" w14:textId="77777777" w:rsidR="009640B0" w:rsidRPr="001B4A02" w:rsidRDefault="00000000" w:rsidP="00ED48A3">
      <w:pPr>
        <w:numPr>
          <w:ilvl w:val="0"/>
          <w:numId w:val="50"/>
        </w:numPr>
        <w:tabs>
          <w:tab w:val="clear" w:pos="720"/>
        </w:tabs>
        <w:ind w:left="567" w:hanging="567"/>
        <w:rPr>
          <w:szCs w:val="22"/>
        </w:rPr>
      </w:pPr>
      <w:r w:rsidRPr="001B4A02">
        <w:rPr>
          <w:szCs w:val="22"/>
        </w:rPr>
        <w:t>neobvyklé poškození svalů</w:t>
      </w:r>
    </w:p>
    <w:p w14:paraId="3D8E599E" w14:textId="77777777" w:rsidR="009640B0" w:rsidRPr="001B4A02" w:rsidRDefault="00000000" w:rsidP="00ED48A3">
      <w:pPr>
        <w:numPr>
          <w:ilvl w:val="0"/>
          <w:numId w:val="50"/>
        </w:numPr>
        <w:tabs>
          <w:tab w:val="clear" w:pos="720"/>
        </w:tabs>
        <w:ind w:left="567" w:hanging="567"/>
        <w:rPr>
          <w:szCs w:val="22"/>
        </w:rPr>
      </w:pPr>
      <w:r w:rsidRPr="001B4A02">
        <w:rPr>
          <w:szCs w:val="22"/>
        </w:rPr>
        <w:t>systémový lupus erythematodes (zahrnující zánět kůže, srdce, plic, kloubů</w:t>
      </w:r>
      <w:r w:rsidR="002378E0">
        <w:rPr>
          <w:szCs w:val="22"/>
        </w:rPr>
        <w:t xml:space="preserve"> a </w:t>
      </w:r>
      <w:r w:rsidRPr="001B4A02">
        <w:rPr>
          <w:szCs w:val="22"/>
        </w:rPr>
        <w:t>jiných orgánových systémů)</w:t>
      </w:r>
    </w:p>
    <w:p w14:paraId="1910D5F2" w14:textId="77777777" w:rsidR="009640B0" w:rsidRPr="001B4A02" w:rsidRDefault="00000000" w:rsidP="00ED48A3">
      <w:pPr>
        <w:numPr>
          <w:ilvl w:val="0"/>
          <w:numId w:val="50"/>
        </w:numPr>
        <w:tabs>
          <w:tab w:val="clear" w:pos="720"/>
        </w:tabs>
        <w:ind w:left="567" w:hanging="567"/>
        <w:rPr>
          <w:szCs w:val="22"/>
        </w:rPr>
      </w:pPr>
      <w:r w:rsidRPr="001B4A02">
        <w:rPr>
          <w:szCs w:val="22"/>
        </w:rPr>
        <w:t>přerušovaný spánek</w:t>
      </w:r>
    </w:p>
    <w:p w14:paraId="35EC6CB2" w14:textId="77777777" w:rsidR="009640B0" w:rsidRPr="001B4A02" w:rsidRDefault="00000000" w:rsidP="00ED48A3">
      <w:pPr>
        <w:numPr>
          <w:ilvl w:val="0"/>
          <w:numId w:val="50"/>
        </w:numPr>
        <w:tabs>
          <w:tab w:val="clear" w:pos="720"/>
        </w:tabs>
        <w:ind w:left="567" w:hanging="567"/>
        <w:rPr>
          <w:szCs w:val="22"/>
        </w:rPr>
      </w:pPr>
      <w:r w:rsidRPr="001B4A02">
        <w:rPr>
          <w:szCs w:val="22"/>
        </w:rPr>
        <w:t>impotence</w:t>
      </w:r>
    </w:p>
    <w:p w14:paraId="4A12C2F4" w14:textId="77777777" w:rsidR="009640B0" w:rsidRPr="001B4A02" w:rsidRDefault="00000000" w:rsidP="00ED48A3">
      <w:pPr>
        <w:numPr>
          <w:ilvl w:val="0"/>
          <w:numId w:val="50"/>
        </w:numPr>
        <w:tabs>
          <w:tab w:val="clear" w:pos="720"/>
        </w:tabs>
        <w:ind w:left="567" w:hanging="567"/>
        <w:rPr>
          <w:szCs w:val="22"/>
        </w:rPr>
      </w:pPr>
      <w:r w:rsidRPr="001B4A02">
        <w:rPr>
          <w:szCs w:val="22"/>
        </w:rPr>
        <w:t>záněty</w:t>
      </w:r>
    </w:p>
    <w:p w14:paraId="4CCDDFC2" w14:textId="77777777" w:rsidR="009640B0" w:rsidRPr="001B4A02" w:rsidRDefault="009640B0" w:rsidP="00ED48A3">
      <w:pPr>
        <w:pStyle w:val="EMEANormal"/>
        <w:tabs>
          <w:tab w:val="clear" w:pos="562"/>
        </w:tabs>
        <w:suppressAutoHyphens w:val="0"/>
        <w:rPr>
          <w:szCs w:val="22"/>
          <w:lang w:val="cs-CZ"/>
        </w:rPr>
      </w:pPr>
    </w:p>
    <w:p w14:paraId="110DFC82" w14:textId="77777777" w:rsidR="009640B0" w:rsidRPr="001B4A02" w:rsidRDefault="00000000" w:rsidP="00ED48A3">
      <w:pPr>
        <w:keepNext/>
        <w:ind w:left="0" w:firstLine="0"/>
        <w:rPr>
          <w:szCs w:val="22"/>
        </w:rPr>
      </w:pPr>
      <w:r w:rsidRPr="001B4A02">
        <w:rPr>
          <w:b/>
          <w:szCs w:val="22"/>
        </w:rPr>
        <w:t>Vzácné</w:t>
      </w:r>
      <w:r w:rsidRPr="001B4A02">
        <w:rPr>
          <w:szCs w:val="22"/>
        </w:rPr>
        <w:t xml:space="preserve"> (mohou postihnout nejvýše 1 z 1 000 osob)</w:t>
      </w:r>
    </w:p>
    <w:p w14:paraId="609CB156" w14:textId="77777777" w:rsidR="009640B0" w:rsidRPr="001B4A02" w:rsidRDefault="009640B0" w:rsidP="00ED48A3">
      <w:pPr>
        <w:keepNext/>
        <w:ind w:left="0" w:firstLine="0"/>
        <w:rPr>
          <w:szCs w:val="22"/>
        </w:rPr>
      </w:pPr>
    </w:p>
    <w:p w14:paraId="764C0D3A" w14:textId="77777777" w:rsidR="009640B0" w:rsidRPr="001B4A02" w:rsidRDefault="00000000" w:rsidP="00ED48A3">
      <w:pPr>
        <w:numPr>
          <w:ilvl w:val="0"/>
          <w:numId w:val="51"/>
        </w:numPr>
        <w:tabs>
          <w:tab w:val="clear" w:pos="720"/>
        </w:tabs>
        <w:ind w:left="567" w:hanging="567"/>
        <w:rPr>
          <w:szCs w:val="22"/>
        </w:rPr>
      </w:pPr>
      <w:r w:rsidRPr="001B4A02">
        <w:rPr>
          <w:szCs w:val="22"/>
        </w:rPr>
        <w:t>leukémie (rakovina postihující krev</w:t>
      </w:r>
      <w:r w:rsidR="002378E0">
        <w:rPr>
          <w:szCs w:val="22"/>
        </w:rPr>
        <w:t xml:space="preserve"> a </w:t>
      </w:r>
      <w:r w:rsidRPr="001B4A02">
        <w:rPr>
          <w:szCs w:val="22"/>
        </w:rPr>
        <w:t>kostní dřeň)</w:t>
      </w:r>
    </w:p>
    <w:p w14:paraId="5EA453DE" w14:textId="77777777" w:rsidR="009640B0" w:rsidRPr="001B4A02" w:rsidRDefault="00000000" w:rsidP="00ED48A3">
      <w:pPr>
        <w:numPr>
          <w:ilvl w:val="0"/>
          <w:numId w:val="51"/>
        </w:numPr>
        <w:tabs>
          <w:tab w:val="clear" w:pos="720"/>
        </w:tabs>
        <w:ind w:left="567" w:hanging="567"/>
        <w:rPr>
          <w:szCs w:val="22"/>
        </w:rPr>
      </w:pPr>
      <w:r w:rsidRPr="001B4A02">
        <w:rPr>
          <w:szCs w:val="22"/>
        </w:rPr>
        <w:t>závažné alergické reakce doprovázené šokem</w:t>
      </w:r>
    </w:p>
    <w:p w14:paraId="613257C5" w14:textId="77777777" w:rsidR="009640B0" w:rsidRPr="001B4A02" w:rsidRDefault="00000000" w:rsidP="00ED48A3">
      <w:pPr>
        <w:numPr>
          <w:ilvl w:val="0"/>
          <w:numId w:val="51"/>
        </w:numPr>
        <w:tabs>
          <w:tab w:val="clear" w:pos="720"/>
        </w:tabs>
        <w:ind w:left="567" w:hanging="567"/>
        <w:rPr>
          <w:szCs w:val="22"/>
        </w:rPr>
      </w:pPr>
      <w:r w:rsidRPr="001B4A02">
        <w:rPr>
          <w:szCs w:val="22"/>
        </w:rPr>
        <w:t>roztroušená skleróza</w:t>
      </w:r>
    </w:p>
    <w:p w14:paraId="635DFE86" w14:textId="77777777" w:rsidR="009640B0" w:rsidRPr="001B4A02" w:rsidRDefault="00000000" w:rsidP="00ED48A3">
      <w:pPr>
        <w:numPr>
          <w:ilvl w:val="0"/>
          <w:numId w:val="51"/>
        </w:numPr>
        <w:tabs>
          <w:tab w:val="clear" w:pos="720"/>
        </w:tabs>
        <w:ind w:left="567" w:hanging="567"/>
        <w:rPr>
          <w:szCs w:val="22"/>
        </w:rPr>
      </w:pPr>
      <w:r w:rsidRPr="001B4A02">
        <w:rPr>
          <w:szCs w:val="22"/>
        </w:rPr>
        <w:t>nervové poruchy (jako záněty očního nervu</w:t>
      </w:r>
      <w:r w:rsidR="002378E0">
        <w:rPr>
          <w:szCs w:val="22"/>
        </w:rPr>
        <w:t xml:space="preserve"> a </w:t>
      </w:r>
      <w:r w:rsidRPr="001B4A02">
        <w:rPr>
          <w:szCs w:val="22"/>
        </w:rPr>
        <w:t>Guillain-Barré syndrom, který může způsobit svalovou slabost, abnormální pocity, brnění v pažích</w:t>
      </w:r>
      <w:r w:rsidR="002378E0">
        <w:rPr>
          <w:szCs w:val="22"/>
        </w:rPr>
        <w:t xml:space="preserve"> a </w:t>
      </w:r>
      <w:r w:rsidRPr="001B4A02">
        <w:rPr>
          <w:szCs w:val="22"/>
        </w:rPr>
        <w:t>horní části těla)</w:t>
      </w:r>
    </w:p>
    <w:p w14:paraId="27FA5258" w14:textId="77777777" w:rsidR="009640B0" w:rsidRPr="001B4A02" w:rsidRDefault="00000000" w:rsidP="00ED48A3">
      <w:pPr>
        <w:numPr>
          <w:ilvl w:val="0"/>
          <w:numId w:val="48"/>
        </w:numPr>
        <w:tabs>
          <w:tab w:val="clear" w:pos="720"/>
        </w:tabs>
        <w:ind w:left="567" w:hanging="567"/>
        <w:rPr>
          <w:szCs w:val="22"/>
        </w:rPr>
      </w:pPr>
      <w:r w:rsidRPr="001B4A02">
        <w:rPr>
          <w:szCs w:val="22"/>
        </w:rPr>
        <w:t>zástava srdečních stahů</w:t>
      </w:r>
    </w:p>
    <w:p w14:paraId="4935B084" w14:textId="77777777" w:rsidR="009640B0" w:rsidRPr="001B4A02" w:rsidRDefault="00000000" w:rsidP="00ED48A3">
      <w:pPr>
        <w:numPr>
          <w:ilvl w:val="0"/>
          <w:numId w:val="48"/>
        </w:numPr>
        <w:tabs>
          <w:tab w:val="clear" w:pos="720"/>
        </w:tabs>
        <w:ind w:left="567" w:hanging="567"/>
        <w:rPr>
          <w:szCs w:val="22"/>
        </w:rPr>
      </w:pPr>
      <w:r w:rsidRPr="001B4A02">
        <w:rPr>
          <w:szCs w:val="22"/>
          <w:lang w:eastAsia="de-DE"/>
        </w:rPr>
        <w:t>plicní fibróza (zjizvení plic)</w:t>
      </w:r>
    </w:p>
    <w:p w14:paraId="2BC19AC9" w14:textId="77777777" w:rsidR="009640B0" w:rsidRPr="001B4A02" w:rsidRDefault="00000000" w:rsidP="00ED48A3">
      <w:pPr>
        <w:numPr>
          <w:ilvl w:val="0"/>
          <w:numId w:val="48"/>
        </w:numPr>
        <w:tabs>
          <w:tab w:val="clear" w:pos="720"/>
        </w:tabs>
        <w:ind w:left="567" w:hanging="567"/>
        <w:rPr>
          <w:szCs w:val="22"/>
        </w:rPr>
      </w:pPr>
      <w:r w:rsidRPr="001B4A02">
        <w:rPr>
          <w:szCs w:val="22"/>
        </w:rPr>
        <w:t>perforace (protržení) střeva</w:t>
      </w:r>
    </w:p>
    <w:p w14:paraId="3D5BDAE6" w14:textId="77777777" w:rsidR="009640B0" w:rsidRPr="001B4A02" w:rsidRDefault="00000000" w:rsidP="00ED48A3">
      <w:pPr>
        <w:numPr>
          <w:ilvl w:val="0"/>
          <w:numId w:val="48"/>
        </w:numPr>
        <w:tabs>
          <w:tab w:val="clear" w:pos="720"/>
        </w:tabs>
        <w:ind w:left="567" w:hanging="567"/>
        <w:rPr>
          <w:szCs w:val="22"/>
        </w:rPr>
      </w:pPr>
      <w:r w:rsidRPr="001B4A02">
        <w:rPr>
          <w:szCs w:val="22"/>
        </w:rPr>
        <w:t>hepatitida</w:t>
      </w:r>
      <w:r w:rsidR="00572055" w:rsidRPr="001B4A02">
        <w:rPr>
          <w:szCs w:val="22"/>
        </w:rPr>
        <w:t xml:space="preserve"> (zánět jater)</w:t>
      </w:r>
    </w:p>
    <w:p w14:paraId="07E98725" w14:textId="77777777" w:rsidR="009640B0" w:rsidRPr="001B4A02" w:rsidRDefault="00000000" w:rsidP="00ED48A3">
      <w:pPr>
        <w:numPr>
          <w:ilvl w:val="0"/>
          <w:numId w:val="48"/>
        </w:numPr>
        <w:tabs>
          <w:tab w:val="clear" w:pos="720"/>
        </w:tabs>
        <w:ind w:left="567" w:hanging="567"/>
        <w:rPr>
          <w:szCs w:val="22"/>
        </w:rPr>
      </w:pPr>
      <w:r w:rsidRPr="001B4A02">
        <w:rPr>
          <w:szCs w:val="22"/>
        </w:rPr>
        <w:t>reaktivace hepatitidy B</w:t>
      </w:r>
    </w:p>
    <w:p w14:paraId="24F244E6" w14:textId="77777777" w:rsidR="009640B0" w:rsidRPr="001B4A02" w:rsidRDefault="00000000" w:rsidP="00ED48A3">
      <w:pPr>
        <w:numPr>
          <w:ilvl w:val="0"/>
          <w:numId w:val="48"/>
        </w:numPr>
        <w:tabs>
          <w:tab w:val="clear" w:pos="720"/>
        </w:tabs>
        <w:ind w:left="567" w:hanging="567"/>
        <w:rPr>
          <w:szCs w:val="22"/>
        </w:rPr>
      </w:pPr>
      <w:r w:rsidRPr="001B4A02">
        <w:rPr>
          <w:szCs w:val="22"/>
        </w:rPr>
        <w:t>autoimunní hepatitida (zánět jater způsobený imunitním systémem vlastního těla)</w:t>
      </w:r>
    </w:p>
    <w:p w14:paraId="7D49F6B4" w14:textId="77777777" w:rsidR="009640B0" w:rsidRPr="001B4A02" w:rsidRDefault="00000000" w:rsidP="00ED48A3">
      <w:pPr>
        <w:numPr>
          <w:ilvl w:val="0"/>
          <w:numId w:val="48"/>
        </w:numPr>
        <w:tabs>
          <w:tab w:val="clear" w:pos="720"/>
        </w:tabs>
        <w:ind w:left="567" w:hanging="567"/>
        <w:rPr>
          <w:szCs w:val="22"/>
        </w:rPr>
      </w:pPr>
      <w:r w:rsidRPr="001B4A02">
        <w:rPr>
          <w:szCs w:val="22"/>
        </w:rPr>
        <w:t>kožní vaskulitida (zánět krevních cév v kůži)</w:t>
      </w:r>
    </w:p>
    <w:p w14:paraId="198A5EB7" w14:textId="77777777" w:rsidR="009640B0" w:rsidRPr="001B4A02" w:rsidRDefault="00000000" w:rsidP="00ED48A3">
      <w:pPr>
        <w:numPr>
          <w:ilvl w:val="0"/>
          <w:numId w:val="48"/>
        </w:numPr>
        <w:tabs>
          <w:tab w:val="clear" w:pos="720"/>
        </w:tabs>
        <w:ind w:left="567" w:hanging="567"/>
        <w:rPr>
          <w:szCs w:val="22"/>
        </w:rPr>
      </w:pPr>
      <w:r w:rsidRPr="001B4A02">
        <w:rPr>
          <w:szCs w:val="22"/>
        </w:rPr>
        <w:t>Stevens</w:t>
      </w:r>
      <w:r w:rsidR="00C43387">
        <w:t>ův</w:t>
      </w:r>
      <w:r w:rsidRPr="001B4A02">
        <w:rPr>
          <w:szCs w:val="22"/>
        </w:rPr>
        <w:t>-Johnsonův syndrom (časné příznaky zahrnují únavu, horečku, bolest hlavy</w:t>
      </w:r>
      <w:r w:rsidR="002378E0">
        <w:rPr>
          <w:szCs w:val="22"/>
        </w:rPr>
        <w:t xml:space="preserve"> a </w:t>
      </w:r>
      <w:r w:rsidRPr="001B4A02">
        <w:rPr>
          <w:szCs w:val="22"/>
        </w:rPr>
        <w:t>vyrážku)</w:t>
      </w:r>
    </w:p>
    <w:p w14:paraId="6C6047C1" w14:textId="77777777" w:rsidR="009640B0" w:rsidRPr="001B4A02" w:rsidRDefault="00000000" w:rsidP="00ED48A3">
      <w:pPr>
        <w:numPr>
          <w:ilvl w:val="0"/>
          <w:numId w:val="48"/>
        </w:numPr>
        <w:tabs>
          <w:tab w:val="clear" w:pos="720"/>
        </w:tabs>
        <w:ind w:left="567" w:hanging="567"/>
        <w:rPr>
          <w:szCs w:val="22"/>
        </w:rPr>
      </w:pPr>
      <w:r w:rsidRPr="001B4A02">
        <w:rPr>
          <w:szCs w:val="22"/>
        </w:rPr>
        <w:t xml:space="preserve">edém </w:t>
      </w:r>
      <w:r w:rsidR="00560725">
        <w:rPr>
          <w:szCs w:val="22"/>
        </w:rPr>
        <w:t>obličeje</w:t>
      </w:r>
      <w:r w:rsidR="00560725" w:rsidRPr="001B4A02">
        <w:rPr>
          <w:szCs w:val="22"/>
        </w:rPr>
        <w:t xml:space="preserve"> </w:t>
      </w:r>
      <w:r w:rsidRPr="001B4A02">
        <w:rPr>
          <w:szCs w:val="22"/>
        </w:rPr>
        <w:t>(otok</w:t>
      </w:r>
      <w:r w:rsidR="00560725">
        <w:rPr>
          <w:szCs w:val="22"/>
        </w:rPr>
        <w:t xml:space="preserve"> obličeje</w:t>
      </w:r>
      <w:r w:rsidRPr="001B4A02">
        <w:rPr>
          <w:szCs w:val="22"/>
        </w:rPr>
        <w:t>) spojený s alergickými reakcemi</w:t>
      </w:r>
    </w:p>
    <w:p w14:paraId="44AD9692" w14:textId="77777777" w:rsidR="009640B0" w:rsidRPr="001B4A02" w:rsidRDefault="00000000" w:rsidP="00ED48A3">
      <w:pPr>
        <w:numPr>
          <w:ilvl w:val="0"/>
          <w:numId w:val="48"/>
        </w:numPr>
        <w:tabs>
          <w:tab w:val="clear" w:pos="720"/>
        </w:tabs>
        <w:ind w:left="567" w:hanging="567"/>
        <w:rPr>
          <w:szCs w:val="22"/>
        </w:rPr>
      </w:pPr>
      <w:r w:rsidRPr="001B4A02">
        <w:rPr>
          <w:szCs w:val="22"/>
        </w:rPr>
        <w:t>erythema multiforme (zánětlivá kožní vyrážka)</w:t>
      </w:r>
    </w:p>
    <w:p w14:paraId="527648C3" w14:textId="77777777" w:rsidR="007B15E0" w:rsidRPr="001B4A02" w:rsidRDefault="00000000" w:rsidP="00ED48A3">
      <w:pPr>
        <w:numPr>
          <w:ilvl w:val="0"/>
          <w:numId w:val="48"/>
        </w:numPr>
        <w:tabs>
          <w:tab w:val="clear" w:pos="720"/>
        </w:tabs>
        <w:ind w:left="567" w:hanging="567"/>
        <w:rPr>
          <w:szCs w:val="22"/>
        </w:rPr>
      </w:pPr>
      <w:r w:rsidRPr="001B4A02">
        <w:rPr>
          <w:szCs w:val="22"/>
        </w:rPr>
        <w:t>onemocnění s příznaky podobnými lupus erythematodes</w:t>
      </w:r>
    </w:p>
    <w:p w14:paraId="1ED245FF" w14:textId="77777777" w:rsidR="007B15E0" w:rsidRPr="001B4A02" w:rsidRDefault="00000000" w:rsidP="002857B1">
      <w:pPr>
        <w:numPr>
          <w:ilvl w:val="0"/>
          <w:numId w:val="48"/>
        </w:numPr>
        <w:tabs>
          <w:tab w:val="clear" w:pos="720"/>
        </w:tabs>
        <w:ind w:left="567" w:hanging="567"/>
        <w:rPr>
          <w:szCs w:val="22"/>
        </w:rPr>
      </w:pPr>
      <w:r w:rsidRPr="001B4A02">
        <w:t>angioedém (lokalizovaný otok kůže)</w:t>
      </w:r>
    </w:p>
    <w:p w14:paraId="03D4035C" w14:textId="77777777" w:rsidR="009A3A57" w:rsidRPr="00490910" w:rsidRDefault="00000000" w:rsidP="009A3A57">
      <w:pPr>
        <w:numPr>
          <w:ilvl w:val="0"/>
          <w:numId w:val="48"/>
        </w:numPr>
        <w:tabs>
          <w:tab w:val="clear" w:pos="720"/>
        </w:tabs>
        <w:ind w:left="567" w:hanging="567"/>
      </w:pPr>
      <w:r>
        <w:t xml:space="preserve">lichenoidní kožní reakce (svědivá </w:t>
      </w:r>
      <w:r w:rsidR="00844B73" w:rsidRPr="00A644C2">
        <w:t>načervenalá až purpurově zbarvená</w:t>
      </w:r>
      <w:r>
        <w:t xml:space="preserve"> vyrážka)</w:t>
      </w:r>
    </w:p>
    <w:p w14:paraId="77918AFA" w14:textId="77777777" w:rsidR="009640B0" w:rsidRPr="001B4A02" w:rsidRDefault="009640B0" w:rsidP="002857B1">
      <w:pPr>
        <w:ind w:left="0" w:right="-29" w:firstLine="0"/>
        <w:rPr>
          <w:szCs w:val="22"/>
        </w:rPr>
      </w:pPr>
    </w:p>
    <w:p w14:paraId="258D9F9E" w14:textId="77777777" w:rsidR="009640B0" w:rsidRPr="001B4A02" w:rsidRDefault="00000000" w:rsidP="001D31EF">
      <w:pPr>
        <w:keepNext/>
        <w:ind w:left="0" w:right="-29" w:firstLine="0"/>
        <w:rPr>
          <w:szCs w:val="22"/>
        </w:rPr>
      </w:pPr>
      <w:r w:rsidRPr="001B4A02">
        <w:rPr>
          <w:b/>
          <w:szCs w:val="22"/>
        </w:rPr>
        <w:t>Není známo</w:t>
      </w:r>
      <w:r w:rsidRPr="001B4A02">
        <w:rPr>
          <w:szCs w:val="22"/>
        </w:rPr>
        <w:t xml:space="preserve"> (frekvenci výskytu nelze z</w:t>
      </w:r>
      <w:r w:rsidR="000928E6" w:rsidRPr="001B4A02">
        <w:rPr>
          <w:szCs w:val="22"/>
        </w:rPr>
        <w:t> </w:t>
      </w:r>
      <w:r w:rsidRPr="001B4A02">
        <w:rPr>
          <w:szCs w:val="22"/>
        </w:rPr>
        <w:t>dostupných údajů určit)</w:t>
      </w:r>
    </w:p>
    <w:p w14:paraId="4531418C" w14:textId="77777777" w:rsidR="009640B0" w:rsidRPr="001B4A02" w:rsidRDefault="009640B0" w:rsidP="001D31EF">
      <w:pPr>
        <w:keepNext/>
        <w:ind w:left="0" w:right="-29" w:firstLine="0"/>
        <w:rPr>
          <w:szCs w:val="22"/>
        </w:rPr>
      </w:pPr>
    </w:p>
    <w:p w14:paraId="0DAC66D6" w14:textId="77777777" w:rsidR="009640B0" w:rsidRPr="001B4A02" w:rsidRDefault="00000000" w:rsidP="00ED48A3">
      <w:pPr>
        <w:numPr>
          <w:ilvl w:val="0"/>
          <w:numId w:val="48"/>
        </w:numPr>
        <w:tabs>
          <w:tab w:val="clear" w:pos="720"/>
        </w:tabs>
        <w:ind w:left="567" w:hanging="567"/>
        <w:rPr>
          <w:szCs w:val="22"/>
        </w:rPr>
      </w:pPr>
      <w:r w:rsidRPr="001B4A02">
        <w:rPr>
          <w:szCs w:val="22"/>
        </w:rPr>
        <w:t xml:space="preserve">hepatosplenický T-buněčný lymfom (vzácný druh rakoviny krve, který obvykle </w:t>
      </w:r>
      <w:r w:rsidR="00572055" w:rsidRPr="001B4A02">
        <w:rPr>
          <w:szCs w:val="22"/>
        </w:rPr>
        <w:t>vede k</w:t>
      </w:r>
      <w:r w:rsidR="00204DEF" w:rsidRPr="001B4A02">
        <w:rPr>
          <w:szCs w:val="22"/>
        </w:rPr>
        <w:t> </w:t>
      </w:r>
      <w:r w:rsidR="00572055" w:rsidRPr="001B4A02">
        <w:rPr>
          <w:szCs w:val="22"/>
        </w:rPr>
        <w:t>úmrtí</w:t>
      </w:r>
      <w:r w:rsidRPr="001B4A02">
        <w:rPr>
          <w:szCs w:val="22"/>
        </w:rPr>
        <w:t>)</w:t>
      </w:r>
    </w:p>
    <w:p w14:paraId="29F1E474" w14:textId="77777777" w:rsidR="009640B0" w:rsidRDefault="00000000" w:rsidP="00ED48A3">
      <w:pPr>
        <w:numPr>
          <w:ilvl w:val="0"/>
          <w:numId w:val="48"/>
        </w:numPr>
        <w:tabs>
          <w:tab w:val="clear" w:pos="720"/>
        </w:tabs>
        <w:ind w:left="567" w:hanging="567"/>
        <w:rPr>
          <w:szCs w:val="22"/>
        </w:rPr>
      </w:pPr>
      <w:r w:rsidRPr="001B4A02">
        <w:rPr>
          <w:szCs w:val="22"/>
        </w:rPr>
        <w:t>karcinom z</w:t>
      </w:r>
      <w:r w:rsidR="000928E6" w:rsidRPr="001B4A02">
        <w:rPr>
          <w:szCs w:val="22"/>
        </w:rPr>
        <w:t> </w:t>
      </w:r>
      <w:r w:rsidRPr="001B4A02">
        <w:rPr>
          <w:szCs w:val="22"/>
        </w:rPr>
        <w:t>Merkelových buněk (typ kožního karcinomu)</w:t>
      </w:r>
    </w:p>
    <w:p w14:paraId="3FD5FF45" w14:textId="77777777" w:rsidR="00B2204A" w:rsidRPr="001B4A02" w:rsidRDefault="00000000" w:rsidP="00ED48A3">
      <w:pPr>
        <w:numPr>
          <w:ilvl w:val="0"/>
          <w:numId w:val="48"/>
        </w:numPr>
        <w:tabs>
          <w:tab w:val="clear" w:pos="720"/>
        </w:tabs>
        <w:ind w:left="567" w:hanging="567"/>
        <w:rPr>
          <w:szCs w:val="22"/>
        </w:rPr>
      </w:pPr>
      <w:r>
        <w:t xml:space="preserve">Kaposiho </w:t>
      </w:r>
      <w:r w:rsidRPr="009A21A5">
        <w:t>sarkom</w:t>
      </w:r>
      <w:r>
        <w:t xml:space="preserve">, vzácné nádorové onemocnění související s infekcí vyvolanou lidským herpesvirem typu 8. Kaposiho </w:t>
      </w:r>
      <w:r w:rsidRPr="009A21A5">
        <w:t>sarkom</w:t>
      </w:r>
      <w:r>
        <w:t xml:space="preserve"> se nejčastěji vyskytuje ve formě fialových skvrn na kůži</w:t>
      </w:r>
    </w:p>
    <w:p w14:paraId="0FAEDEB3" w14:textId="77777777" w:rsidR="009640B0" w:rsidRPr="001B4A02" w:rsidRDefault="00000000" w:rsidP="00ED48A3">
      <w:pPr>
        <w:numPr>
          <w:ilvl w:val="0"/>
          <w:numId w:val="48"/>
        </w:numPr>
        <w:tabs>
          <w:tab w:val="clear" w:pos="720"/>
        </w:tabs>
        <w:ind w:left="567" w:hanging="567"/>
        <w:rPr>
          <w:szCs w:val="22"/>
        </w:rPr>
      </w:pPr>
      <w:r w:rsidRPr="001B4A02">
        <w:rPr>
          <w:szCs w:val="22"/>
        </w:rPr>
        <w:t>selhání jater</w:t>
      </w:r>
    </w:p>
    <w:p w14:paraId="42A22A55" w14:textId="77777777" w:rsidR="009640B0" w:rsidRPr="001B4A02" w:rsidRDefault="00000000" w:rsidP="00ED48A3">
      <w:pPr>
        <w:numPr>
          <w:ilvl w:val="0"/>
          <w:numId w:val="48"/>
        </w:numPr>
        <w:tabs>
          <w:tab w:val="clear" w:pos="720"/>
        </w:tabs>
        <w:ind w:left="567" w:hanging="567"/>
        <w:rPr>
          <w:szCs w:val="22"/>
        </w:rPr>
      </w:pPr>
      <w:r w:rsidRPr="001B4A02">
        <w:rPr>
          <w:szCs w:val="22"/>
        </w:rPr>
        <w:t>zhoršení onemocnění nazývané dermatomyozitida (pozorovatelné jako kožní vyrážka doprovázená svalovou slabostí)</w:t>
      </w:r>
    </w:p>
    <w:p w14:paraId="623EC649" w14:textId="77777777" w:rsidR="00000ECA" w:rsidRPr="001B4A02" w:rsidRDefault="00000000" w:rsidP="00000ECA">
      <w:pPr>
        <w:numPr>
          <w:ilvl w:val="0"/>
          <w:numId w:val="48"/>
        </w:numPr>
        <w:tabs>
          <w:tab w:val="clear" w:pos="720"/>
        </w:tabs>
        <w:ind w:left="567" w:hanging="567"/>
      </w:pPr>
      <w:r w:rsidRPr="000752A7">
        <w:rPr>
          <w:color w:val="000000"/>
          <w:szCs w:val="22"/>
        </w:rPr>
        <w:t>zvýšení tělesné hmotnosti (u</w:t>
      </w:r>
      <w:r w:rsidRPr="000752A7">
        <w:rPr>
          <w:szCs w:val="22"/>
          <w:lang w:eastAsia="cs-CZ"/>
        </w:rPr>
        <w:t> </w:t>
      </w:r>
      <w:r w:rsidRPr="000752A7">
        <w:rPr>
          <w:color w:val="000000"/>
          <w:szCs w:val="22"/>
        </w:rPr>
        <w:t>většiny pacientů byl přírůstek hmotnosti malý)</w:t>
      </w:r>
    </w:p>
    <w:p w14:paraId="1D49BC55" w14:textId="77777777" w:rsidR="009640B0" w:rsidRPr="001B4A02" w:rsidRDefault="009640B0" w:rsidP="00ED48A3">
      <w:pPr>
        <w:ind w:left="0" w:right="-29" w:firstLine="0"/>
        <w:rPr>
          <w:szCs w:val="22"/>
        </w:rPr>
      </w:pPr>
    </w:p>
    <w:p w14:paraId="30CACC3E" w14:textId="77777777" w:rsidR="009640B0" w:rsidRPr="001B4A02" w:rsidRDefault="00000000" w:rsidP="00ED48A3">
      <w:pPr>
        <w:ind w:left="0" w:right="-29" w:firstLine="0"/>
        <w:rPr>
          <w:szCs w:val="22"/>
        </w:rPr>
      </w:pPr>
      <w:r w:rsidRPr="001B4A02">
        <w:rPr>
          <w:szCs w:val="22"/>
        </w:rPr>
        <w:t>Některé nežádoucí účinky pozorované u </w:t>
      </w:r>
      <w:r w:rsidRPr="001B4A02">
        <w:t>přípravku</w:t>
      </w:r>
      <w:r w:rsidRPr="001B4A02">
        <w:rPr>
          <w:szCs w:val="22"/>
        </w:rPr>
        <w:t xml:space="preserve"> Humira mohou probíhat bez příznaků</w:t>
      </w:r>
      <w:r w:rsidR="002378E0">
        <w:rPr>
          <w:szCs w:val="22"/>
        </w:rPr>
        <w:t xml:space="preserve"> a </w:t>
      </w:r>
      <w:r w:rsidRPr="001B4A02">
        <w:rPr>
          <w:szCs w:val="22"/>
        </w:rPr>
        <w:t>mohou být objeveny pouze s pomocí krevních testů. Tyto nežádoucí účinky zahrnují:</w:t>
      </w:r>
    </w:p>
    <w:p w14:paraId="6F0A2550" w14:textId="77777777" w:rsidR="009640B0" w:rsidRPr="001B4A02" w:rsidRDefault="009640B0" w:rsidP="00ED48A3">
      <w:pPr>
        <w:ind w:left="0" w:right="-29" w:firstLine="0"/>
        <w:rPr>
          <w:szCs w:val="22"/>
        </w:rPr>
      </w:pPr>
    </w:p>
    <w:p w14:paraId="73465024" w14:textId="77777777" w:rsidR="009640B0" w:rsidRPr="001B4A02" w:rsidRDefault="00000000" w:rsidP="001D31EF">
      <w:pPr>
        <w:keepNext/>
        <w:ind w:left="0" w:right="-29" w:firstLine="0"/>
        <w:rPr>
          <w:szCs w:val="22"/>
        </w:rPr>
      </w:pPr>
      <w:r w:rsidRPr="001B4A02">
        <w:rPr>
          <w:b/>
          <w:szCs w:val="22"/>
        </w:rPr>
        <w:t>Velmi časté</w:t>
      </w:r>
      <w:r w:rsidRPr="001B4A02">
        <w:rPr>
          <w:szCs w:val="22"/>
        </w:rPr>
        <w:t xml:space="preserve"> </w:t>
      </w:r>
      <w:r w:rsidRPr="001B4A02">
        <w:rPr>
          <w:szCs w:val="22"/>
          <w:shd w:val="clear" w:color="auto" w:fill="FFFFFF"/>
        </w:rPr>
        <w:t>(mohou postihnout více než 1 z 10 osob</w:t>
      </w:r>
      <w:r w:rsidRPr="001B4A02">
        <w:rPr>
          <w:szCs w:val="22"/>
        </w:rPr>
        <w:t>)</w:t>
      </w:r>
    </w:p>
    <w:p w14:paraId="6B7D6C70" w14:textId="77777777" w:rsidR="009640B0" w:rsidRPr="001B4A02" w:rsidRDefault="009640B0" w:rsidP="001D31EF">
      <w:pPr>
        <w:keepNext/>
        <w:ind w:left="0" w:right="-29" w:firstLine="0"/>
        <w:rPr>
          <w:szCs w:val="22"/>
        </w:rPr>
      </w:pPr>
    </w:p>
    <w:p w14:paraId="45B5EC2A" w14:textId="77777777" w:rsidR="009640B0" w:rsidRPr="001B4A02" w:rsidRDefault="00000000" w:rsidP="00ED48A3">
      <w:pPr>
        <w:pStyle w:val="EMEANormal"/>
        <w:numPr>
          <w:ilvl w:val="0"/>
          <w:numId w:val="48"/>
        </w:numPr>
        <w:tabs>
          <w:tab w:val="clear" w:pos="562"/>
          <w:tab w:val="clear" w:pos="720"/>
        </w:tabs>
        <w:suppressAutoHyphens w:val="0"/>
        <w:ind w:left="567" w:hanging="567"/>
        <w:rPr>
          <w:szCs w:val="22"/>
          <w:lang w:val="cs-CZ"/>
        </w:rPr>
      </w:pPr>
      <w:r w:rsidRPr="001B4A02">
        <w:rPr>
          <w:szCs w:val="22"/>
          <w:lang w:val="cs-CZ"/>
        </w:rPr>
        <w:t>nízký počet bílých krvinek</w:t>
      </w:r>
    </w:p>
    <w:p w14:paraId="6F31DB40" w14:textId="77777777" w:rsidR="009640B0" w:rsidRPr="001B4A02" w:rsidRDefault="00000000" w:rsidP="00ED48A3">
      <w:pPr>
        <w:pStyle w:val="EMEANormal"/>
        <w:numPr>
          <w:ilvl w:val="0"/>
          <w:numId w:val="48"/>
        </w:numPr>
        <w:tabs>
          <w:tab w:val="clear" w:pos="562"/>
          <w:tab w:val="clear" w:pos="720"/>
        </w:tabs>
        <w:suppressAutoHyphens w:val="0"/>
        <w:ind w:left="567" w:hanging="567"/>
        <w:rPr>
          <w:szCs w:val="22"/>
          <w:lang w:val="cs-CZ"/>
        </w:rPr>
      </w:pPr>
      <w:r w:rsidRPr="001B4A02">
        <w:rPr>
          <w:szCs w:val="22"/>
          <w:lang w:val="cs-CZ"/>
        </w:rPr>
        <w:t>nízký počet červených krvinek</w:t>
      </w:r>
    </w:p>
    <w:p w14:paraId="66B517D7" w14:textId="77777777" w:rsidR="009640B0" w:rsidRPr="001B4A02" w:rsidRDefault="00000000" w:rsidP="00ED48A3">
      <w:pPr>
        <w:pStyle w:val="EMEANormal"/>
        <w:numPr>
          <w:ilvl w:val="0"/>
          <w:numId w:val="48"/>
        </w:numPr>
        <w:tabs>
          <w:tab w:val="clear" w:pos="562"/>
          <w:tab w:val="clear" w:pos="720"/>
        </w:tabs>
        <w:suppressAutoHyphens w:val="0"/>
        <w:ind w:left="567" w:hanging="567"/>
        <w:rPr>
          <w:szCs w:val="22"/>
          <w:lang w:val="cs-CZ"/>
        </w:rPr>
      </w:pPr>
      <w:r w:rsidRPr="001B4A02">
        <w:rPr>
          <w:szCs w:val="22"/>
          <w:lang w:val="cs-CZ"/>
        </w:rPr>
        <w:t>zvýšení tuků v krvi</w:t>
      </w:r>
    </w:p>
    <w:p w14:paraId="4C607B08" w14:textId="77777777" w:rsidR="009640B0" w:rsidRPr="001B4A02" w:rsidRDefault="00000000" w:rsidP="00ED48A3">
      <w:pPr>
        <w:pStyle w:val="EMEANormal"/>
        <w:numPr>
          <w:ilvl w:val="0"/>
          <w:numId w:val="48"/>
        </w:numPr>
        <w:tabs>
          <w:tab w:val="clear" w:pos="562"/>
          <w:tab w:val="clear" w:pos="720"/>
        </w:tabs>
        <w:suppressAutoHyphens w:val="0"/>
        <w:ind w:left="567" w:hanging="567"/>
        <w:rPr>
          <w:szCs w:val="22"/>
          <w:lang w:val="cs-CZ"/>
        </w:rPr>
      </w:pPr>
      <w:r w:rsidRPr="001B4A02">
        <w:rPr>
          <w:szCs w:val="22"/>
          <w:lang w:val="cs-CZ"/>
        </w:rPr>
        <w:t>zvýšení jaterních enzymů</w:t>
      </w:r>
    </w:p>
    <w:p w14:paraId="2C5CB946" w14:textId="77777777" w:rsidR="009640B0" w:rsidRPr="001B4A02" w:rsidRDefault="009640B0" w:rsidP="00ED48A3">
      <w:pPr>
        <w:pStyle w:val="EMEANormal"/>
        <w:tabs>
          <w:tab w:val="left" w:pos="0"/>
        </w:tabs>
        <w:suppressAutoHyphens w:val="0"/>
        <w:rPr>
          <w:szCs w:val="22"/>
          <w:lang w:val="cs-CZ"/>
        </w:rPr>
      </w:pPr>
    </w:p>
    <w:p w14:paraId="7C3C8453" w14:textId="77777777" w:rsidR="009640B0" w:rsidRPr="001B4A02" w:rsidRDefault="00000000" w:rsidP="00ED48A3">
      <w:pPr>
        <w:keepNext/>
        <w:shd w:val="clear" w:color="auto" w:fill="FFFFFF"/>
        <w:tabs>
          <w:tab w:val="left" w:pos="0"/>
        </w:tabs>
        <w:ind w:left="0" w:firstLine="0"/>
        <w:rPr>
          <w:szCs w:val="22"/>
        </w:rPr>
      </w:pPr>
      <w:r w:rsidRPr="001B4A02">
        <w:rPr>
          <w:b/>
          <w:szCs w:val="22"/>
        </w:rPr>
        <w:t>Časté</w:t>
      </w:r>
      <w:r w:rsidRPr="001B4A02">
        <w:rPr>
          <w:szCs w:val="22"/>
        </w:rPr>
        <w:t xml:space="preserve"> (mohou postihnout nejvýše 1 z</w:t>
      </w:r>
      <w:r w:rsidR="00715D0A" w:rsidRPr="001B4A02">
        <w:rPr>
          <w:szCs w:val="22"/>
        </w:rPr>
        <w:t> </w:t>
      </w:r>
      <w:r w:rsidRPr="001B4A02">
        <w:rPr>
          <w:szCs w:val="22"/>
        </w:rPr>
        <w:t>10 osob)</w:t>
      </w:r>
    </w:p>
    <w:p w14:paraId="38AD5273" w14:textId="77777777" w:rsidR="009640B0" w:rsidRPr="001B4A02" w:rsidRDefault="009640B0" w:rsidP="00ED48A3">
      <w:pPr>
        <w:keepNext/>
        <w:shd w:val="clear" w:color="auto" w:fill="FFFFFF"/>
        <w:tabs>
          <w:tab w:val="left" w:pos="0"/>
        </w:tabs>
        <w:ind w:left="0" w:firstLine="0"/>
        <w:rPr>
          <w:szCs w:val="22"/>
        </w:rPr>
      </w:pPr>
    </w:p>
    <w:p w14:paraId="6C40C7A3" w14:textId="77777777" w:rsidR="009640B0" w:rsidRPr="001B4A02" w:rsidRDefault="00000000" w:rsidP="00ED48A3">
      <w:pPr>
        <w:pStyle w:val="EMEANormal"/>
        <w:numPr>
          <w:ilvl w:val="0"/>
          <w:numId w:val="48"/>
        </w:numPr>
        <w:tabs>
          <w:tab w:val="clear" w:pos="562"/>
          <w:tab w:val="clear" w:pos="720"/>
        </w:tabs>
        <w:suppressAutoHyphens w:val="0"/>
        <w:ind w:left="567" w:hanging="567"/>
        <w:rPr>
          <w:szCs w:val="22"/>
          <w:lang w:val="cs-CZ"/>
        </w:rPr>
      </w:pPr>
      <w:r w:rsidRPr="001B4A02">
        <w:rPr>
          <w:szCs w:val="22"/>
          <w:lang w:val="cs-CZ"/>
        </w:rPr>
        <w:t>vysoký počet bílých krvinek</w:t>
      </w:r>
    </w:p>
    <w:p w14:paraId="0C37AB75" w14:textId="77777777" w:rsidR="009640B0" w:rsidRPr="001B4A02" w:rsidRDefault="00000000" w:rsidP="00ED48A3">
      <w:pPr>
        <w:pStyle w:val="EMEANormal"/>
        <w:numPr>
          <w:ilvl w:val="0"/>
          <w:numId w:val="48"/>
        </w:numPr>
        <w:tabs>
          <w:tab w:val="clear" w:pos="562"/>
          <w:tab w:val="clear" w:pos="720"/>
        </w:tabs>
        <w:suppressAutoHyphens w:val="0"/>
        <w:ind w:left="567" w:hanging="567"/>
        <w:rPr>
          <w:szCs w:val="22"/>
          <w:lang w:val="cs-CZ"/>
        </w:rPr>
      </w:pPr>
      <w:r w:rsidRPr="001B4A02">
        <w:rPr>
          <w:szCs w:val="22"/>
          <w:lang w:val="cs-CZ"/>
        </w:rPr>
        <w:t>nízký počet krevních destiček</w:t>
      </w:r>
    </w:p>
    <w:p w14:paraId="4EB96911" w14:textId="77777777" w:rsidR="009640B0" w:rsidRPr="001B4A02" w:rsidRDefault="00000000" w:rsidP="00ED48A3">
      <w:pPr>
        <w:pStyle w:val="EMEANormal"/>
        <w:numPr>
          <w:ilvl w:val="0"/>
          <w:numId w:val="48"/>
        </w:numPr>
        <w:tabs>
          <w:tab w:val="clear" w:pos="562"/>
          <w:tab w:val="clear" w:pos="720"/>
        </w:tabs>
        <w:suppressAutoHyphens w:val="0"/>
        <w:ind w:left="567" w:hanging="567"/>
        <w:rPr>
          <w:szCs w:val="22"/>
          <w:lang w:val="cs-CZ"/>
        </w:rPr>
      </w:pPr>
      <w:r w:rsidRPr="001B4A02">
        <w:rPr>
          <w:szCs w:val="22"/>
          <w:lang w:val="cs-CZ"/>
        </w:rPr>
        <w:t>zvýšení kyseliny močové v krvi</w:t>
      </w:r>
    </w:p>
    <w:p w14:paraId="3A00888B" w14:textId="77777777" w:rsidR="009640B0" w:rsidRPr="001B4A02" w:rsidRDefault="00000000" w:rsidP="00ED48A3">
      <w:pPr>
        <w:pStyle w:val="EMEANormal"/>
        <w:numPr>
          <w:ilvl w:val="0"/>
          <w:numId w:val="48"/>
        </w:numPr>
        <w:tabs>
          <w:tab w:val="clear" w:pos="562"/>
          <w:tab w:val="clear" w:pos="720"/>
        </w:tabs>
        <w:suppressAutoHyphens w:val="0"/>
        <w:ind w:left="567" w:hanging="567"/>
        <w:rPr>
          <w:szCs w:val="22"/>
          <w:lang w:val="cs-CZ"/>
        </w:rPr>
      </w:pPr>
      <w:r w:rsidRPr="001B4A02">
        <w:rPr>
          <w:szCs w:val="22"/>
          <w:lang w:val="cs-CZ"/>
        </w:rPr>
        <w:t>neobvyklé hodnoty sodíku v krvi</w:t>
      </w:r>
    </w:p>
    <w:p w14:paraId="41830E65" w14:textId="77777777" w:rsidR="009640B0" w:rsidRPr="001B4A02" w:rsidRDefault="00000000" w:rsidP="00ED48A3">
      <w:pPr>
        <w:pStyle w:val="EMEANormal"/>
        <w:numPr>
          <w:ilvl w:val="0"/>
          <w:numId w:val="48"/>
        </w:numPr>
        <w:tabs>
          <w:tab w:val="clear" w:pos="562"/>
          <w:tab w:val="clear" w:pos="720"/>
        </w:tabs>
        <w:suppressAutoHyphens w:val="0"/>
        <w:ind w:left="567" w:hanging="567"/>
        <w:rPr>
          <w:szCs w:val="22"/>
          <w:lang w:val="cs-CZ"/>
        </w:rPr>
      </w:pPr>
      <w:r w:rsidRPr="001B4A02">
        <w:rPr>
          <w:szCs w:val="22"/>
          <w:lang w:val="cs-CZ"/>
        </w:rPr>
        <w:t>nízké hodnoty vápníku v krvi</w:t>
      </w:r>
    </w:p>
    <w:p w14:paraId="5BCC009F" w14:textId="77777777" w:rsidR="009640B0" w:rsidRPr="001B4A02" w:rsidRDefault="00000000" w:rsidP="00ED48A3">
      <w:pPr>
        <w:pStyle w:val="EMEANormal"/>
        <w:numPr>
          <w:ilvl w:val="0"/>
          <w:numId w:val="48"/>
        </w:numPr>
        <w:tabs>
          <w:tab w:val="clear" w:pos="562"/>
          <w:tab w:val="clear" w:pos="720"/>
        </w:tabs>
        <w:suppressAutoHyphens w:val="0"/>
        <w:ind w:left="567" w:hanging="567"/>
        <w:rPr>
          <w:szCs w:val="22"/>
          <w:lang w:val="cs-CZ"/>
        </w:rPr>
      </w:pPr>
      <w:r w:rsidRPr="001B4A02">
        <w:rPr>
          <w:szCs w:val="22"/>
          <w:lang w:val="cs-CZ"/>
        </w:rPr>
        <w:t>nízké hodnoty fosforu v krvi</w:t>
      </w:r>
    </w:p>
    <w:p w14:paraId="3C40BBFD" w14:textId="77777777" w:rsidR="009640B0" w:rsidRPr="001B4A02" w:rsidRDefault="00000000" w:rsidP="00ED48A3">
      <w:pPr>
        <w:pStyle w:val="EMEANormal"/>
        <w:numPr>
          <w:ilvl w:val="0"/>
          <w:numId w:val="48"/>
        </w:numPr>
        <w:tabs>
          <w:tab w:val="clear" w:pos="562"/>
          <w:tab w:val="clear" w:pos="720"/>
        </w:tabs>
        <w:suppressAutoHyphens w:val="0"/>
        <w:ind w:left="567" w:hanging="567"/>
        <w:rPr>
          <w:szCs w:val="22"/>
          <w:lang w:val="cs-CZ"/>
        </w:rPr>
      </w:pPr>
      <w:r w:rsidRPr="001B4A02">
        <w:rPr>
          <w:szCs w:val="22"/>
          <w:lang w:val="cs-CZ"/>
        </w:rPr>
        <w:t>vysoké hladiny krevního cukru</w:t>
      </w:r>
    </w:p>
    <w:p w14:paraId="1A78A5CA" w14:textId="77777777" w:rsidR="009640B0" w:rsidRPr="001B4A02" w:rsidRDefault="00000000" w:rsidP="00ED48A3">
      <w:pPr>
        <w:pStyle w:val="EMEANormal"/>
        <w:numPr>
          <w:ilvl w:val="0"/>
          <w:numId w:val="48"/>
        </w:numPr>
        <w:tabs>
          <w:tab w:val="clear" w:pos="562"/>
          <w:tab w:val="clear" w:pos="720"/>
        </w:tabs>
        <w:suppressAutoHyphens w:val="0"/>
        <w:ind w:left="567" w:hanging="567"/>
        <w:rPr>
          <w:szCs w:val="22"/>
          <w:lang w:val="cs-CZ"/>
        </w:rPr>
      </w:pPr>
      <w:r w:rsidRPr="001B4A02">
        <w:rPr>
          <w:szCs w:val="22"/>
          <w:lang w:val="cs-CZ"/>
        </w:rPr>
        <w:t>vysoké hodnoty laktátdehydrogenázy v krvi</w:t>
      </w:r>
    </w:p>
    <w:p w14:paraId="217CF7CC" w14:textId="77777777" w:rsidR="009640B0" w:rsidRPr="001B4A02" w:rsidRDefault="00000000" w:rsidP="00ED48A3">
      <w:pPr>
        <w:pStyle w:val="EMEANormal"/>
        <w:numPr>
          <w:ilvl w:val="0"/>
          <w:numId w:val="48"/>
        </w:numPr>
        <w:tabs>
          <w:tab w:val="clear" w:pos="562"/>
          <w:tab w:val="clear" w:pos="720"/>
        </w:tabs>
        <w:suppressAutoHyphens w:val="0"/>
        <w:ind w:left="567" w:hanging="567"/>
        <w:rPr>
          <w:szCs w:val="22"/>
          <w:lang w:val="cs-CZ"/>
        </w:rPr>
      </w:pPr>
      <w:r w:rsidRPr="001B4A02">
        <w:rPr>
          <w:szCs w:val="22"/>
          <w:lang w:val="cs-CZ"/>
        </w:rPr>
        <w:t>přítomnost autoprotilátek v</w:t>
      </w:r>
      <w:r w:rsidR="007B15E0" w:rsidRPr="001B4A02">
        <w:rPr>
          <w:szCs w:val="22"/>
          <w:lang w:val="cs-CZ"/>
        </w:rPr>
        <w:t> </w:t>
      </w:r>
      <w:r w:rsidRPr="001B4A02">
        <w:rPr>
          <w:szCs w:val="22"/>
          <w:lang w:val="cs-CZ"/>
        </w:rPr>
        <w:t>krvi</w:t>
      </w:r>
    </w:p>
    <w:p w14:paraId="523B168A" w14:textId="77777777" w:rsidR="007B15E0" w:rsidRPr="001B4A02" w:rsidRDefault="00000000" w:rsidP="007B15E0">
      <w:pPr>
        <w:pStyle w:val="EMEANormal"/>
        <w:numPr>
          <w:ilvl w:val="0"/>
          <w:numId w:val="48"/>
        </w:numPr>
        <w:tabs>
          <w:tab w:val="clear" w:pos="562"/>
          <w:tab w:val="clear" w:pos="720"/>
        </w:tabs>
        <w:suppressAutoHyphens w:val="0"/>
        <w:ind w:left="567" w:hanging="567"/>
        <w:rPr>
          <w:szCs w:val="22"/>
          <w:lang w:val="cs-CZ"/>
        </w:rPr>
      </w:pPr>
      <w:r w:rsidRPr="001B4A02">
        <w:rPr>
          <w:lang w:val="cs-CZ"/>
        </w:rPr>
        <w:t>nízká hladina draslíku v krvi</w:t>
      </w:r>
    </w:p>
    <w:p w14:paraId="3FDC8646" w14:textId="77777777" w:rsidR="009640B0" w:rsidRPr="001B4A02" w:rsidRDefault="009640B0" w:rsidP="00ED48A3">
      <w:pPr>
        <w:pStyle w:val="EMEANormal"/>
        <w:tabs>
          <w:tab w:val="left" w:pos="0"/>
        </w:tabs>
        <w:suppressAutoHyphens w:val="0"/>
        <w:rPr>
          <w:szCs w:val="22"/>
          <w:lang w:val="cs-CZ"/>
        </w:rPr>
      </w:pPr>
    </w:p>
    <w:p w14:paraId="0A17F29D" w14:textId="77777777" w:rsidR="009640B0" w:rsidRPr="001B4A02" w:rsidRDefault="00000000" w:rsidP="001D31EF">
      <w:pPr>
        <w:keepNext/>
        <w:ind w:left="0" w:right="-29" w:firstLine="0"/>
        <w:rPr>
          <w:szCs w:val="22"/>
        </w:rPr>
      </w:pPr>
      <w:r w:rsidRPr="001B4A02">
        <w:rPr>
          <w:b/>
          <w:szCs w:val="22"/>
        </w:rPr>
        <w:t>Méně časté</w:t>
      </w:r>
      <w:r w:rsidRPr="001B4A02">
        <w:rPr>
          <w:szCs w:val="22"/>
        </w:rPr>
        <w:t xml:space="preserve"> (mohou postihnout nejvýše 1 ze 100 osob)</w:t>
      </w:r>
    </w:p>
    <w:p w14:paraId="53C339F1" w14:textId="77777777" w:rsidR="009640B0" w:rsidRPr="001B4A02" w:rsidRDefault="009640B0" w:rsidP="001D31EF">
      <w:pPr>
        <w:keepNext/>
        <w:ind w:left="0" w:right="-29" w:firstLine="0"/>
        <w:rPr>
          <w:szCs w:val="22"/>
        </w:rPr>
      </w:pPr>
    </w:p>
    <w:p w14:paraId="0392A247" w14:textId="77777777" w:rsidR="009640B0" w:rsidRPr="001B4A02" w:rsidRDefault="00000000" w:rsidP="00ED48A3">
      <w:pPr>
        <w:pStyle w:val="EMEANormal"/>
        <w:numPr>
          <w:ilvl w:val="0"/>
          <w:numId w:val="48"/>
        </w:numPr>
        <w:tabs>
          <w:tab w:val="clear" w:pos="562"/>
          <w:tab w:val="clear" w:pos="720"/>
        </w:tabs>
        <w:suppressAutoHyphens w:val="0"/>
        <w:ind w:left="567" w:hanging="567"/>
        <w:rPr>
          <w:szCs w:val="22"/>
          <w:lang w:val="cs-CZ"/>
        </w:rPr>
      </w:pPr>
      <w:r w:rsidRPr="001B4A02">
        <w:rPr>
          <w:lang w:val="cs-CZ"/>
        </w:rPr>
        <w:t>zvýšená hladina bilirubinu (jaterní test z krve)</w:t>
      </w:r>
    </w:p>
    <w:p w14:paraId="2B683B76" w14:textId="77777777" w:rsidR="009640B0" w:rsidRPr="001B4A02" w:rsidRDefault="009640B0" w:rsidP="00ED48A3">
      <w:pPr>
        <w:pStyle w:val="EMEANormal"/>
        <w:tabs>
          <w:tab w:val="left" w:pos="0"/>
        </w:tabs>
        <w:suppressAutoHyphens w:val="0"/>
        <w:rPr>
          <w:szCs w:val="22"/>
          <w:lang w:val="cs-CZ"/>
        </w:rPr>
      </w:pPr>
    </w:p>
    <w:p w14:paraId="58BDE426" w14:textId="77777777" w:rsidR="009640B0" w:rsidRPr="001B4A02" w:rsidRDefault="00000000" w:rsidP="00ED48A3">
      <w:pPr>
        <w:pStyle w:val="EMEANormal"/>
        <w:keepNext/>
        <w:tabs>
          <w:tab w:val="left" w:pos="0"/>
        </w:tabs>
        <w:suppressAutoHyphens w:val="0"/>
        <w:rPr>
          <w:szCs w:val="22"/>
          <w:lang w:val="cs-CZ"/>
        </w:rPr>
      </w:pPr>
      <w:r w:rsidRPr="001B4A02">
        <w:rPr>
          <w:b/>
          <w:szCs w:val="22"/>
          <w:lang w:val="cs-CZ"/>
        </w:rPr>
        <w:t xml:space="preserve">Vzácné </w:t>
      </w:r>
      <w:r w:rsidRPr="001B4A02">
        <w:rPr>
          <w:szCs w:val="22"/>
          <w:lang w:val="cs-CZ"/>
        </w:rPr>
        <w:t>(</w:t>
      </w:r>
      <w:r w:rsidRPr="001B4A02">
        <w:rPr>
          <w:shd w:val="clear" w:color="auto" w:fill="FFFFFF"/>
          <w:lang w:val="cs-CZ"/>
        </w:rPr>
        <w:t>mohou postihnout nejvýše 1 z 1 000 osob</w:t>
      </w:r>
      <w:r w:rsidRPr="001B4A02">
        <w:rPr>
          <w:szCs w:val="22"/>
          <w:lang w:val="cs-CZ"/>
        </w:rPr>
        <w:t>)</w:t>
      </w:r>
    </w:p>
    <w:p w14:paraId="07E66E2F" w14:textId="77777777" w:rsidR="009640B0" w:rsidRPr="001B4A02" w:rsidRDefault="009640B0" w:rsidP="00ED48A3">
      <w:pPr>
        <w:keepNext/>
        <w:numPr>
          <w:ilvl w:val="12"/>
          <w:numId w:val="0"/>
        </w:numPr>
        <w:rPr>
          <w:szCs w:val="22"/>
        </w:rPr>
      </w:pPr>
    </w:p>
    <w:p w14:paraId="2E1DB587" w14:textId="77777777" w:rsidR="009640B0" w:rsidRPr="001B4A02" w:rsidRDefault="00000000" w:rsidP="00ED48A3">
      <w:pPr>
        <w:numPr>
          <w:ilvl w:val="0"/>
          <w:numId w:val="237"/>
        </w:numPr>
        <w:ind w:left="567" w:hanging="567"/>
        <w:rPr>
          <w:szCs w:val="22"/>
        </w:rPr>
      </w:pPr>
      <w:r w:rsidRPr="001B4A02">
        <w:t>nízké počty bílých krvinek, červených krvinek</w:t>
      </w:r>
      <w:r w:rsidR="002378E0">
        <w:t xml:space="preserve"> a </w:t>
      </w:r>
      <w:r w:rsidR="00E26C70" w:rsidRPr="001B4A02">
        <w:t xml:space="preserve">krevních </w:t>
      </w:r>
      <w:r w:rsidRPr="001B4A02">
        <w:t>destiček</w:t>
      </w:r>
    </w:p>
    <w:p w14:paraId="44C9B537" w14:textId="77777777" w:rsidR="009640B0" w:rsidRPr="001B4A02" w:rsidRDefault="009640B0" w:rsidP="0067453A">
      <w:pPr>
        <w:numPr>
          <w:ilvl w:val="12"/>
          <w:numId w:val="0"/>
        </w:numPr>
        <w:rPr>
          <w:szCs w:val="22"/>
        </w:rPr>
      </w:pPr>
    </w:p>
    <w:p w14:paraId="0939C92A" w14:textId="77777777" w:rsidR="009640B0" w:rsidRPr="00BA0A72" w:rsidRDefault="00000000" w:rsidP="0067453A">
      <w:pPr>
        <w:keepNext/>
        <w:numPr>
          <w:ilvl w:val="12"/>
          <w:numId w:val="0"/>
        </w:numPr>
        <w:rPr>
          <w:b/>
          <w:szCs w:val="22"/>
        </w:rPr>
      </w:pPr>
      <w:r w:rsidRPr="00BA0A72">
        <w:rPr>
          <w:b/>
          <w:szCs w:val="22"/>
        </w:rPr>
        <w:t>Hlášení nežádoucích účinků</w:t>
      </w:r>
    </w:p>
    <w:p w14:paraId="08E6FCFE" w14:textId="77777777" w:rsidR="009640B0" w:rsidRPr="001B4A02" w:rsidRDefault="00000000" w:rsidP="0067453A">
      <w:pPr>
        <w:ind w:left="0" w:firstLine="0"/>
      </w:pPr>
      <w:r w:rsidRPr="001B4A02">
        <w:rPr>
          <w:szCs w:val="22"/>
        </w:rPr>
        <w:t>Pokud se u</w:t>
      </w:r>
      <w:r w:rsidR="00063784" w:rsidRPr="001B4A02">
        <w:rPr>
          <w:szCs w:val="22"/>
        </w:rPr>
        <w:t> </w:t>
      </w:r>
      <w:r w:rsidRPr="001B4A02">
        <w:rPr>
          <w:szCs w:val="22"/>
        </w:rPr>
        <w:t>Vás vyskytne kterýkoli z nežádoucích účinků, sdělte to svému lékaři nebo lékárníkovi. Stejně postupujte v</w:t>
      </w:r>
      <w:r w:rsidR="00715D0A" w:rsidRPr="001B4A02">
        <w:rPr>
          <w:szCs w:val="22"/>
        </w:rPr>
        <w:t> </w:t>
      </w:r>
      <w:r w:rsidRPr="001B4A02">
        <w:rPr>
          <w:szCs w:val="22"/>
        </w:rPr>
        <w:t>případě jakýchkoli nežádoucích účinků, které nejsou uvedeny v této příbalové informaci.</w:t>
      </w:r>
      <w:r w:rsidR="003A60C3" w:rsidRPr="001B4A02">
        <w:rPr>
          <w:szCs w:val="22"/>
        </w:rPr>
        <w:t xml:space="preserve"> </w:t>
      </w:r>
      <w:r w:rsidRPr="001B4A02">
        <w:rPr>
          <w:szCs w:val="22"/>
        </w:rPr>
        <w:t xml:space="preserve">Nežádoucí účinky můžete hlásit také přímo prostřednictvím </w:t>
      </w:r>
      <w:r w:rsidRPr="001B4A02">
        <w:rPr>
          <w:szCs w:val="22"/>
          <w:shd w:val="clear" w:color="auto" w:fill="A6A6A6"/>
        </w:rPr>
        <w:t>národního systému hlášení nežádoucích účinků uvedeného v </w:t>
      </w:r>
      <w:hyperlink r:id="rId72" w:history="1">
        <w:r w:rsidR="009640B0" w:rsidRPr="001B4A02">
          <w:rPr>
            <w:rStyle w:val="Hyperlink"/>
            <w:szCs w:val="22"/>
            <w:shd w:val="clear" w:color="auto" w:fill="A6A6A6"/>
          </w:rPr>
          <w:t>Dodatku V</w:t>
        </w:r>
      </w:hyperlink>
      <w:r w:rsidRPr="001B4A02">
        <w:rPr>
          <w:szCs w:val="22"/>
          <w:shd w:val="clear" w:color="auto" w:fill="FFFFFF"/>
        </w:rPr>
        <w:t xml:space="preserve">. </w:t>
      </w:r>
      <w:r w:rsidRPr="001B4A02">
        <w:rPr>
          <w:szCs w:val="22"/>
        </w:rPr>
        <w:t>Nahlášením nežádoucích účinků můžete při</w:t>
      </w:r>
      <w:r w:rsidR="00063784" w:rsidRPr="001B4A02">
        <w:rPr>
          <w:szCs w:val="22"/>
        </w:rPr>
        <w:t>spět k získání více informací o </w:t>
      </w:r>
      <w:r w:rsidRPr="001B4A02">
        <w:rPr>
          <w:szCs w:val="22"/>
        </w:rPr>
        <w:t>bezpečnosti tohoto přípravku.</w:t>
      </w:r>
    </w:p>
    <w:p w14:paraId="2084609C" w14:textId="77777777" w:rsidR="009640B0" w:rsidRPr="001B4A02" w:rsidRDefault="009640B0" w:rsidP="0067453A">
      <w:pPr>
        <w:ind w:left="0" w:firstLine="0"/>
      </w:pPr>
    </w:p>
    <w:p w14:paraId="117B0D54" w14:textId="77777777" w:rsidR="009640B0" w:rsidRPr="001B4A02" w:rsidRDefault="009640B0" w:rsidP="0067453A">
      <w:pPr>
        <w:ind w:left="0" w:firstLine="0"/>
      </w:pPr>
    </w:p>
    <w:p w14:paraId="38BAFC06" w14:textId="77777777" w:rsidR="009640B0" w:rsidRPr="001B4A02" w:rsidRDefault="00000000" w:rsidP="004B14C0">
      <w:pPr>
        <w:keepNext/>
        <w:numPr>
          <w:ilvl w:val="12"/>
          <w:numId w:val="0"/>
        </w:numPr>
        <w:outlineLvl w:val="1"/>
        <w:rPr>
          <w:szCs w:val="22"/>
        </w:rPr>
      </w:pPr>
      <w:r w:rsidRPr="001B4A02">
        <w:rPr>
          <w:b/>
          <w:szCs w:val="22"/>
        </w:rPr>
        <w:t>5.</w:t>
      </w:r>
      <w:r w:rsidRPr="001B4A02">
        <w:rPr>
          <w:b/>
          <w:szCs w:val="22"/>
        </w:rPr>
        <w:tab/>
        <w:t>Jak přípravek Humira uchovávat</w:t>
      </w:r>
    </w:p>
    <w:p w14:paraId="786347F8" w14:textId="77777777" w:rsidR="009640B0" w:rsidRPr="001B4A02" w:rsidRDefault="009640B0" w:rsidP="00715D0A">
      <w:pPr>
        <w:pStyle w:val="EMEANormal"/>
        <w:keepNext/>
        <w:rPr>
          <w:lang w:val="cs-CZ"/>
        </w:rPr>
      </w:pPr>
    </w:p>
    <w:p w14:paraId="13CCF47A" w14:textId="77777777" w:rsidR="009640B0" w:rsidRPr="001B4A02" w:rsidRDefault="00000000" w:rsidP="00ED48A3">
      <w:pPr>
        <w:ind w:left="0" w:firstLine="0"/>
        <w:rPr>
          <w:szCs w:val="22"/>
        </w:rPr>
      </w:pPr>
      <w:r w:rsidRPr="001B4A02">
        <w:rPr>
          <w:szCs w:val="22"/>
        </w:rPr>
        <w:t xml:space="preserve">Uchovávejte </w:t>
      </w:r>
      <w:r w:rsidR="008464C9" w:rsidRPr="001B4A02">
        <w:t xml:space="preserve">tento přípravek </w:t>
      </w:r>
      <w:r w:rsidRPr="001B4A02">
        <w:rPr>
          <w:szCs w:val="22"/>
        </w:rPr>
        <w:t>mimo dohled</w:t>
      </w:r>
      <w:r w:rsidR="002378E0">
        <w:rPr>
          <w:szCs w:val="22"/>
        </w:rPr>
        <w:t xml:space="preserve"> a </w:t>
      </w:r>
      <w:r w:rsidRPr="001B4A02">
        <w:rPr>
          <w:szCs w:val="22"/>
        </w:rPr>
        <w:t>dosah dětí.</w:t>
      </w:r>
    </w:p>
    <w:p w14:paraId="38CB97B4" w14:textId="77777777" w:rsidR="009640B0" w:rsidRPr="001B4A02" w:rsidRDefault="009640B0" w:rsidP="00ED48A3">
      <w:pPr>
        <w:ind w:left="0" w:firstLine="0"/>
        <w:rPr>
          <w:szCs w:val="22"/>
        </w:rPr>
      </w:pPr>
    </w:p>
    <w:p w14:paraId="7587B4BF" w14:textId="77777777" w:rsidR="009640B0" w:rsidRPr="001B4A02" w:rsidRDefault="00000000" w:rsidP="00ED48A3">
      <w:pPr>
        <w:ind w:left="0" w:firstLine="0"/>
        <w:rPr>
          <w:szCs w:val="22"/>
        </w:rPr>
      </w:pPr>
      <w:r w:rsidRPr="001B4A02">
        <w:rPr>
          <w:szCs w:val="22"/>
        </w:rPr>
        <w:t xml:space="preserve">Nepoužívejte </w:t>
      </w:r>
      <w:r w:rsidR="008464C9" w:rsidRPr="001B4A02">
        <w:rPr>
          <w:szCs w:val="22"/>
        </w:rPr>
        <w:t xml:space="preserve">tento </w:t>
      </w:r>
      <w:r w:rsidRPr="001B4A02">
        <w:rPr>
          <w:szCs w:val="22"/>
        </w:rPr>
        <w:t>přípravek po uplynutí doby použitelnosti uvedené na štítku</w:t>
      </w:r>
      <w:r w:rsidR="00D82D7C" w:rsidRPr="001B4A02">
        <w:rPr>
          <w:szCs w:val="22"/>
        </w:rPr>
        <w:t xml:space="preserve">/blistru/krabičce </w:t>
      </w:r>
      <w:r w:rsidRPr="001B4A02">
        <w:rPr>
          <w:szCs w:val="22"/>
        </w:rPr>
        <w:t>za EXP.</w:t>
      </w:r>
    </w:p>
    <w:p w14:paraId="722DF3DA" w14:textId="77777777" w:rsidR="009640B0" w:rsidRPr="001B4A02" w:rsidRDefault="009640B0" w:rsidP="00ED48A3">
      <w:pPr>
        <w:ind w:left="0" w:firstLine="0"/>
        <w:rPr>
          <w:szCs w:val="22"/>
        </w:rPr>
      </w:pPr>
    </w:p>
    <w:p w14:paraId="67F0E4C2" w14:textId="77777777" w:rsidR="009640B0" w:rsidRPr="001B4A02" w:rsidRDefault="00000000" w:rsidP="00ED48A3">
      <w:pPr>
        <w:tabs>
          <w:tab w:val="left" w:pos="567"/>
        </w:tabs>
        <w:ind w:left="0" w:firstLine="0"/>
        <w:rPr>
          <w:szCs w:val="22"/>
        </w:rPr>
      </w:pPr>
      <w:r w:rsidRPr="001B4A02">
        <w:rPr>
          <w:szCs w:val="22"/>
        </w:rPr>
        <w:t>Uchovávejte v chladničce (2 °C</w:t>
      </w:r>
      <w:r w:rsidR="00E640E8">
        <w:rPr>
          <w:szCs w:val="22"/>
        </w:rPr>
        <w:t xml:space="preserve"> </w:t>
      </w:r>
      <w:r w:rsidRPr="001B4A02">
        <w:rPr>
          <w:szCs w:val="22"/>
        </w:rPr>
        <w:t>–</w:t>
      </w:r>
      <w:r w:rsidR="00E640E8">
        <w:rPr>
          <w:szCs w:val="22"/>
        </w:rPr>
        <w:t xml:space="preserve"> </w:t>
      </w:r>
      <w:r w:rsidRPr="001B4A02">
        <w:rPr>
          <w:szCs w:val="22"/>
        </w:rPr>
        <w:t>8 °C). Chraňte před mrazem.</w:t>
      </w:r>
    </w:p>
    <w:p w14:paraId="1F84DC57" w14:textId="77777777" w:rsidR="009640B0" w:rsidRPr="001B4A02" w:rsidRDefault="009640B0" w:rsidP="00ED48A3">
      <w:pPr>
        <w:tabs>
          <w:tab w:val="left" w:pos="567"/>
        </w:tabs>
        <w:ind w:left="0" w:firstLine="0"/>
        <w:rPr>
          <w:szCs w:val="22"/>
        </w:rPr>
      </w:pPr>
    </w:p>
    <w:p w14:paraId="4705C4BB" w14:textId="77777777" w:rsidR="009640B0" w:rsidRPr="001B4A02" w:rsidRDefault="00000000" w:rsidP="00ED48A3">
      <w:pPr>
        <w:tabs>
          <w:tab w:val="left" w:pos="567"/>
        </w:tabs>
        <w:ind w:left="0" w:firstLine="0"/>
        <w:rPr>
          <w:szCs w:val="22"/>
        </w:rPr>
      </w:pPr>
      <w:r w:rsidRPr="001B4A02">
        <w:rPr>
          <w:szCs w:val="22"/>
        </w:rPr>
        <w:t>Uchovávejte předplněn</w:t>
      </w:r>
      <w:r w:rsidR="00D82D7C" w:rsidRPr="001B4A02">
        <w:rPr>
          <w:szCs w:val="22"/>
        </w:rPr>
        <w:t xml:space="preserve">é pero </w:t>
      </w:r>
      <w:r w:rsidRPr="001B4A02">
        <w:rPr>
          <w:szCs w:val="22"/>
        </w:rPr>
        <w:t>v krabičce, aby byl přípravek chráněn před světlem.</w:t>
      </w:r>
    </w:p>
    <w:p w14:paraId="43590C94" w14:textId="77777777" w:rsidR="009640B0" w:rsidRPr="001B4A02" w:rsidRDefault="009640B0" w:rsidP="00ED48A3">
      <w:pPr>
        <w:tabs>
          <w:tab w:val="left" w:pos="708"/>
        </w:tabs>
        <w:autoSpaceDE w:val="0"/>
        <w:autoSpaceDN w:val="0"/>
        <w:adjustRightInd w:val="0"/>
        <w:rPr>
          <w:szCs w:val="22"/>
          <w:lang w:eastAsia="en-GB"/>
        </w:rPr>
      </w:pPr>
    </w:p>
    <w:p w14:paraId="4A447104" w14:textId="77777777" w:rsidR="009640B0" w:rsidRPr="001B4A02" w:rsidRDefault="00000000" w:rsidP="00ED48A3">
      <w:pPr>
        <w:autoSpaceDE w:val="0"/>
        <w:autoSpaceDN w:val="0"/>
        <w:adjustRightInd w:val="0"/>
        <w:rPr>
          <w:szCs w:val="22"/>
          <w:lang w:eastAsia="en-GB"/>
        </w:rPr>
      </w:pPr>
      <w:r w:rsidRPr="001B4A02">
        <w:rPr>
          <w:szCs w:val="22"/>
          <w:lang w:eastAsia="en-GB"/>
        </w:rPr>
        <w:t>Jiná možnost uchovávání:</w:t>
      </w:r>
    </w:p>
    <w:p w14:paraId="3EB08BD5" w14:textId="77777777" w:rsidR="009640B0" w:rsidRPr="001B4A02" w:rsidRDefault="009640B0" w:rsidP="00ED48A3">
      <w:pPr>
        <w:autoSpaceDE w:val="0"/>
        <w:autoSpaceDN w:val="0"/>
        <w:adjustRightInd w:val="0"/>
        <w:rPr>
          <w:szCs w:val="22"/>
          <w:lang w:eastAsia="en-GB"/>
        </w:rPr>
      </w:pPr>
    </w:p>
    <w:p w14:paraId="15F13B01" w14:textId="77777777" w:rsidR="009640B0" w:rsidRPr="001B4A02" w:rsidRDefault="00000000" w:rsidP="00ED48A3">
      <w:pPr>
        <w:tabs>
          <w:tab w:val="left" w:pos="0"/>
        </w:tabs>
        <w:autoSpaceDE w:val="0"/>
        <w:autoSpaceDN w:val="0"/>
        <w:adjustRightInd w:val="0"/>
        <w:ind w:left="0" w:firstLine="0"/>
        <w:rPr>
          <w:szCs w:val="22"/>
          <w:lang w:eastAsia="en-GB"/>
        </w:rPr>
      </w:pPr>
      <w:r w:rsidRPr="001B4A02">
        <w:rPr>
          <w:szCs w:val="22"/>
          <w:lang w:eastAsia="en-GB"/>
        </w:rPr>
        <w:t>Pokud je to potřeba (například pokud cestujete), je možno uchovávat jednotliv</w:t>
      </w:r>
      <w:r w:rsidR="00D82D7C" w:rsidRPr="001B4A02">
        <w:rPr>
          <w:szCs w:val="22"/>
          <w:lang w:eastAsia="en-GB"/>
        </w:rPr>
        <w:t>á předplněná</w:t>
      </w:r>
      <w:r w:rsidRPr="001B4A02">
        <w:rPr>
          <w:szCs w:val="22"/>
          <w:lang w:eastAsia="en-GB"/>
        </w:rPr>
        <w:t xml:space="preserve"> </w:t>
      </w:r>
      <w:r w:rsidR="00D82D7C" w:rsidRPr="001B4A02">
        <w:rPr>
          <w:szCs w:val="22"/>
          <w:lang w:eastAsia="en-GB"/>
        </w:rPr>
        <w:t>pera</w:t>
      </w:r>
      <w:r w:rsidRPr="001B4A02">
        <w:rPr>
          <w:szCs w:val="22"/>
          <w:lang w:eastAsia="en-GB"/>
        </w:rPr>
        <w:t xml:space="preserve"> přípravku Humira při pokojové teplotě (až do 25 °C) po dobu maximálně 14 dní</w:t>
      </w:r>
      <w:r w:rsidR="00D82D7C" w:rsidRPr="001B4A02">
        <w:rPr>
          <w:szCs w:val="22"/>
          <w:lang w:eastAsia="en-GB"/>
        </w:rPr>
        <w:t xml:space="preserve"> </w:t>
      </w:r>
      <w:r w:rsidR="00754AB2" w:rsidRPr="001B4A02">
        <w:rPr>
          <w:szCs w:val="22"/>
          <w:lang w:eastAsia="en-GB"/>
        </w:rPr>
        <w:t>–</w:t>
      </w:r>
      <w:r w:rsidR="00D82D7C" w:rsidRPr="001B4A02">
        <w:rPr>
          <w:szCs w:val="22"/>
          <w:lang w:eastAsia="en-GB"/>
        </w:rPr>
        <w:t xml:space="preserve"> v</w:t>
      </w:r>
      <w:r w:rsidRPr="001B4A02">
        <w:rPr>
          <w:szCs w:val="22"/>
          <w:lang w:eastAsia="en-GB"/>
        </w:rPr>
        <w:t xml:space="preserve">ždy se ujistěte, že je přípravek chráněn před světlem. Jakmile je </w:t>
      </w:r>
      <w:r w:rsidR="00D82D7C" w:rsidRPr="001B4A02">
        <w:rPr>
          <w:szCs w:val="22"/>
          <w:lang w:eastAsia="en-GB"/>
        </w:rPr>
        <w:t xml:space="preserve">pero </w:t>
      </w:r>
      <w:r w:rsidRPr="001B4A02">
        <w:rPr>
          <w:szCs w:val="22"/>
          <w:lang w:eastAsia="en-GB"/>
        </w:rPr>
        <w:t>vyjmut</w:t>
      </w:r>
      <w:r w:rsidR="00D82D7C" w:rsidRPr="001B4A02">
        <w:rPr>
          <w:szCs w:val="22"/>
          <w:lang w:eastAsia="en-GB"/>
        </w:rPr>
        <w:t>o</w:t>
      </w:r>
      <w:r w:rsidRPr="001B4A02">
        <w:rPr>
          <w:szCs w:val="22"/>
          <w:lang w:eastAsia="en-GB"/>
        </w:rPr>
        <w:t xml:space="preserve"> z</w:t>
      </w:r>
      <w:r w:rsidR="000928E6" w:rsidRPr="001B4A02">
        <w:rPr>
          <w:szCs w:val="22"/>
          <w:lang w:eastAsia="en-GB"/>
        </w:rPr>
        <w:t> </w:t>
      </w:r>
      <w:r w:rsidRPr="001B4A02">
        <w:rPr>
          <w:szCs w:val="22"/>
          <w:lang w:eastAsia="en-GB"/>
        </w:rPr>
        <w:t>lednice</w:t>
      </w:r>
      <w:r w:rsidR="002378E0">
        <w:rPr>
          <w:szCs w:val="22"/>
          <w:lang w:eastAsia="en-GB"/>
        </w:rPr>
        <w:t xml:space="preserve"> a </w:t>
      </w:r>
      <w:r w:rsidRPr="001B4A02">
        <w:rPr>
          <w:szCs w:val="22"/>
          <w:lang w:eastAsia="en-GB"/>
        </w:rPr>
        <w:t>ponechán</w:t>
      </w:r>
      <w:r w:rsidR="00D82D7C" w:rsidRPr="001B4A02">
        <w:rPr>
          <w:szCs w:val="22"/>
          <w:lang w:eastAsia="en-GB"/>
        </w:rPr>
        <w:t>o</w:t>
      </w:r>
      <w:r w:rsidRPr="001B4A02">
        <w:rPr>
          <w:szCs w:val="22"/>
          <w:lang w:eastAsia="en-GB"/>
        </w:rPr>
        <w:t xml:space="preserve"> při pokojové teplotě, </w:t>
      </w:r>
      <w:r w:rsidRPr="001B4A02">
        <w:rPr>
          <w:b/>
          <w:szCs w:val="22"/>
          <w:lang w:eastAsia="en-GB"/>
        </w:rPr>
        <w:t>musí být použit</w:t>
      </w:r>
      <w:r w:rsidR="00D82D7C" w:rsidRPr="001B4A02">
        <w:rPr>
          <w:b/>
          <w:szCs w:val="22"/>
          <w:lang w:eastAsia="en-GB"/>
        </w:rPr>
        <w:t>o</w:t>
      </w:r>
      <w:r w:rsidRPr="001B4A02">
        <w:rPr>
          <w:b/>
          <w:szCs w:val="22"/>
          <w:lang w:eastAsia="en-GB"/>
        </w:rPr>
        <w:t xml:space="preserve"> do 14 dní nebo zlikvidován</w:t>
      </w:r>
      <w:r w:rsidR="00D82D7C" w:rsidRPr="001B4A02">
        <w:rPr>
          <w:b/>
          <w:szCs w:val="22"/>
          <w:lang w:eastAsia="en-GB"/>
        </w:rPr>
        <w:t>o</w:t>
      </w:r>
      <w:r w:rsidRPr="001B4A02">
        <w:rPr>
          <w:b/>
          <w:szCs w:val="22"/>
          <w:lang w:eastAsia="en-GB"/>
        </w:rPr>
        <w:t>,</w:t>
      </w:r>
      <w:r w:rsidR="002378E0">
        <w:rPr>
          <w:b/>
          <w:szCs w:val="22"/>
          <w:lang w:eastAsia="en-GB"/>
        </w:rPr>
        <w:t xml:space="preserve"> a </w:t>
      </w:r>
      <w:r w:rsidRPr="001B4A02">
        <w:rPr>
          <w:szCs w:val="22"/>
          <w:lang w:eastAsia="en-GB"/>
        </w:rPr>
        <w:t>to i v</w:t>
      </w:r>
      <w:r w:rsidR="000928E6" w:rsidRPr="001B4A02">
        <w:rPr>
          <w:szCs w:val="22"/>
          <w:lang w:eastAsia="en-GB"/>
        </w:rPr>
        <w:t> </w:t>
      </w:r>
      <w:r w:rsidRPr="001B4A02">
        <w:rPr>
          <w:szCs w:val="22"/>
          <w:lang w:eastAsia="en-GB"/>
        </w:rPr>
        <w:t>situaci, kdy je vrácen</w:t>
      </w:r>
      <w:r w:rsidR="00D82D7C" w:rsidRPr="001B4A02">
        <w:rPr>
          <w:szCs w:val="22"/>
          <w:lang w:eastAsia="en-GB"/>
        </w:rPr>
        <w:t>o</w:t>
      </w:r>
      <w:r w:rsidRPr="001B4A02">
        <w:rPr>
          <w:szCs w:val="22"/>
          <w:lang w:eastAsia="en-GB"/>
        </w:rPr>
        <w:t xml:space="preserve"> zpět do lednice.</w:t>
      </w:r>
    </w:p>
    <w:p w14:paraId="627159EC" w14:textId="77777777" w:rsidR="009640B0" w:rsidRPr="001B4A02" w:rsidRDefault="009640B0" w:rsidP="00ED48A3">
      <w:pPr>
        <w:autoSpaceDE w:val="0"/>
        <w:autoSpaceDN w:val="0"/>
        <w:adjustRightInd w:val="0"/>
        <w:rPr>
          <w:szCs w:val="22"/>
          <w:lang w:eastAsia="en-GB"/>
        </w:rPr>
      </w:pPr>
    </w:p>
    <w:p w14:paraId="3193944B" w14:textId="77777777" w:rsidR="009640B0" w:rsidRPr="001B4A02" w:rsidRDefault="00000000" w:rsidP="00ED48A3">
      <w:pPr>
        <w:ind w:left="0" w:firstLine="0"/>
        <w:rPr>
          <w:b/>
          <w:szCs w:val="22"/>
        </w:rPr>
      </w:pPr>
      <w:r w:rsidRPr="0043226A">
        <w:rPr>
          <w:szCs w:val="22"/>
          <w:lang w:eastAsia="en-GB"/>
        </w:rPr>
        <w:t>Poznamenejte si</w:t>
      </w:r>
      <w:r w:rsidRPr="001B4A02">
        <w:rPr>
          <w:szCs w:val="22"/>
          <w:lang w:eastAsia="en-GB"/>
        </w:rPr>
        <w:t xml:space="preserve"> datum, kdy jste </w:t>
      </w:r>
      <w:r w:rsidR="00D82D7C" w:rsidRPr="001B4A02">
        <w:rPr>
          <w:szCs w:val="22"/>
          <w:lang w:eastAsia="en-GB"/>
        </w:rPr>
        <w:t>pero</w:t>
      </w:r>
      <w:r w:rsidRPr="001B4A02">
        <w:rPr>
          <w:szCs w:val="22"/>
          <w:lang w:eastAsia="en-GB"/>
        </w:rPr>
        <w:t xml:space="preserve"> poprvé vyjmul(a) z</w:t>
      </w:r>
      <w:r w:rsidR="00715D0A" w:rsidRPr="001B4A02">
        <w:rPr>
          <w:szCs w:val="22"/>
          <w:lang w:eastAsia="en-GB"/>
        </w:rPr>
        <w:t> </w:t>
      </w:r>
      <w:r w:rsidRPr="001B4A02">
        <w:rPr>
          <w:szCs w:val="22"/>
          <w:lang w:eastAsia="en-GB"/>
        </w:rPr>
        <w:t>lednice,</w:t>
      </w:r>
      <w:r w:rsidR="002378E0">
        <w:rPr>
          <w:szCs w:val="22"/>
          <w:lang w:eastAsia="en-GB"/>
        </w:rPr>
        <w:t xml:space="preserve"> a </w:t>
      </w:r>
      <w:r w:rsidRPr="001B4A02">
        <w:rPr>
          <w:szCs w:val="22"/>
          <w:lang w:eastAsia="en-GB"/>
        </w:rPr>
        <w:t xml:space="preserve">také datum, kdy je třeba </w:t>
      </w:r>
      <w:r w:rsidR="00D82D7C" w:rsidRPr="001B4A02">
        <w:rPr>
          <w:szCs w:val="22"/>
          <w:lang w:eastAsia="en-GB"/>
        </w:rPr>
        <w:t>jej</w:t>
      </w:r>
      <w:r w:rsidRPr="001B4A02">
        <w:rPr>
          <w:szCs w:val="22"/>
          <w:lang w:eastAsia="en-GB"/>
        </w:rPr>
        <w:t xml:space="preserve"> znehodnotit</w:t>
      </w:r>
      <w:r w:rsidRPr="001B4A02">
        <w:rPr>
          <w:szCs w:val="22"/>
        </w:rPr>
        <w:t>.</w:t>
      </w:r>
    </w:p>
    <w:p w14:paraId="05ACC7C2" w14:textId="77777777" w:rsidR="009640B0" w:rsidRPr="001B4A02" w:rsidRDefault="009640B0" w:rsidP="00ED48A3">
      <w:pPr>
        <w:ind w:left="0" w:firstLine="0"/>
        <w:rPr>
          <w:szCs w:val="22"/>
        </w:rPr>
      </w:pPr>
    </w:p>
    <w:p w14:paraId="50780E08" w14:textId="77777777" w:rsidR="009640B0" w:rsidRPr="001B4A02" w:rsidRDefault="00000000" w:rsidP="00ED48A3">
      <w:pPr>
        <w:numPr>
          <w:ilvl w:val="12"/>
          <w:numId w:val="0"/>
        </w:numPr>
        <w:ind w:right="-2"/>
      </w:pPr>
      <w:r w:rsidRPr="001B4A02">
        <w:rPr>
          <w:szCs w:val="22"/>
        </w:rPr>
        <w:t>Nevyhazujte žádné léčivé přípravky do odpadních vod nebo domácího odpadu. Zeptejte se svého lékárníka, jak naložit s přípravky, které již nepoužíváte. Tato opatření pomáhají chránit životní prostředí.</w:t>
      </w:r>
    </w:p>
    <w:p w14:paraId="28BF175C" w14:textId="77777777" w:rsidR="009640B0" w:rsidRPr="001B4A02" w:rsidRDefault="009640B0" w:rsidP="00ED48A3">
      <w:pPr>
        <w:numPr>
          <w:ilvl w:val="12"/>
          <w:numId w:val="0"/>
        </w:numPr>
        <w:ind w:right="-2"/>
      </w:pPr>
    </w:p>
    <w:p w14:paraId="45EFDEB7" w14:textId="77777777" w:rsidR="009640B0" w:rsidRPr="001B4A02" w:rsidRDefault="009640B0" w:rsidP="00ED48A3">
      <w:pPr>
        <w:numPr>
          <w:ilvl w:val="12"/>
          <w:numId w:val="0"/>
        </w:numPr>
        <w:ind w:right="-2"/>
      </w:pPr>
    </w:p>
    <w:p w14:paraId="1E3FF876" w14:textId="77777777" w:rsidR="009640B0" w:rsidRPr="001B4A02" w:rsidRDefault="00000000" w:rsidP="004B14C0">
      <w:pPr>
        <w:pStyle w:val="EMEAHeading1"/>
        <w:keepNext/>
        <w:spacing w:beforeLines="0" w:afterLines="0"/>
        <w:outlineLvl w:val="1"/>
        <w:rPr>
          <w:rFonts w:ascii="Times New Roman" w:hAnsi="Times New Roman"/>
          <w:caps w:val="0"/>
          <w:szCs w:val="22"/>
          <w:lang w:val="cs-CZ"/>
        </w:rPr>
      </w:pPr>
      <w:r w:rsidRPr="001B4A02">
        <w:rPr>
          <w:rFonts w:ascii="Times New Roman" w:hAnsi="Times New Roman"/>
          <w:caps w:val="0"/>
          <w:szCs w:val="22"/>
          <w:lang w:val="cs-CZ"/>
        </w:rPr>
        <w:t>6.</w:t>
      </w:r>
      <w:r w:rsidRPr="001B4A02">
        <w:rPr>
          <w:rFonts w:ascii="Times New Roman" w:hAnsi="Times New Roman"/>
          <w:caps w:val="0"/>
          <w:szCs w:val="22"/>
          <w:lang w:val="cs-CZ"/>
        </w:rPr>
        <w:tab/>
        <w:t>Obsah balení</w:t>
      </w:r>
      <w:r w:rsidR="002378E0">
        <w:rPr>
          <w:rFonts w:ascii="Times New Roman" w:hAnsi="Times New Roman"/>
          <w:caps w:val="0"/>
          <w:szCs w:val="22"/>
          <w:lang w:val="cs-CZ"/>
        </w:rPr>
        <w:t xml:space="preserve"> a </w:t>
      </w:r>
      <w:r w:rsidRPr="001B4A02">
        <w:rPr>
          <w:rFonts w:ascii="Times New Roman" w:hAnsi="Times New Roman"/>
          <w:caps w:val="0"/>
          <w:szCs w:val="22"/>
          <w:lang w:val="cs-CZ"/>
        </w:rPr>
        <w:t>další informace</w:t>
      </w:r>
    </w:p>
    <w:p w14:paraId="172B8283" w14:textId="77777777" w:rsidR="009640B0" w:rsidRPr="001B4A02" w:rsidRDefault="009640B0" w:rsidP="00ED48A3">
      <w:pPr>
        <w:keepNext/>
        <w:numPr>
          <w:ilvl w:val="12"/>
          <w:numId w:val="0"/>
        </w:numPr>
        <w:ind w:right="-2"/>
      </w:pPr>
    </w:p>
    <w:p w14:paraId="7B3AA58A" w14:textId="77777777" w:rsidR="009640B0" w:rsidRPr="001B4A02" w:rsidRDefault="00000000" w:rsidP="001D31EF">
      <w:pPr>
        <w:keepNext/>
        <w:numPr>
          <w:ilvl w:val="12"/>
          <w:numId w:val="0"/>
        </w:numPr>
        <w:jc w:val="both"/>
        <w:rPr>
          <w:b/>
          <w:bCs/>
          <w:szCs w:val="22"/>
        </w:rPr>
      </w:pPr>
      <w:r w:rsidRPr="001B4A02">
        <w:rPr>
          <w:b/>
          <w:bCs/>
          <w:szCs w:val="22"/>
        </w:rPr>
        <w:t xml:space="preserve">Co </w:t>
      </w:r>
      <w:r w:rsidRPr="001B4A02">
        <w:rPr>
          <w:b/>
        </w:rPr>
        <w:t xml:space="preserve">přípravek </w:t>
      </w:r>
      <w:r w:rsidRPr="001B4A02">
        <w:rPr>
          <w:b/>
          <w:bCs/>
          <w:szCs w:val="22"/>
        </w:rPr>
        <w:t>Humira obsahuje</w:t>
      </w:r>
    </w:p>
    <w:p w14:paraId="13EDAA0E" w14:textId="77777777" w:rsidR="009640B0" w:rsidRPr="001B4A02" w:rsidRDefault="009640B0" w:rsidP="001D31EF">
      <w:pPr>
        <w:keepNext/>
        <w:ind w:left="0" w:firstLine="0"/>
        <w:rPr>
          <w:szCs w:val="22"/>
        </w:rPr>
      </w:pPr>
    </w:p>
    <w:p w14:paraId="1FA18593" w14:textId="77777777" w:rsidR="009640B0" w:rsidRPr="001B4A02" w:rsidRDefault="00000000" w:rsidP="00ED48A3">
      <w:pPr>
        <w:ind w:left="0" w:right="-2" w:firstLine="0"/>
        <w:rPr>
          <w:szCs w:val="22"/>
        </w:rPr>
      </w:pPr>
      <w:r w:rsidRPr="001B4A02">
        <w:rPr>
          <w:szCs w:val="22"/>
        </w:rPr>
        <w:t>Léčivou látkou je adalimumab</w:t>
      </w:r>
      <w:del w:id="13876" w:author="Abbvie02" w:date="2025-05-16T11:51:00Z">
        <w:r w:rsidRPr="001B4A02">
          <w:rPr>
            <w:szCs w:val="22"/>
          </w:rPr>
          <w:delText>um</w:delText>
        </w:r>
      </w:del>
      <w:r w:rsidRPr="001B4A02">
        <w:rPr>
          <w:szCs w:val="22"/>
        </w:rPr>
        <w:t>.</w:t>
      </w:r>
    </w:p>
    <w:p w14:paraId="128E0B82" w14:textId="77777777" w:rsidR="009640B0" w:rsidRPr="001B4A02" w:rsidRDefault="00000000" w:rsidP="00ED48A3">
      <w:pPr>
        <w:ind w:left="0" w:firstLine="0"/>
        <w:rPr>
          <w:szCs w:val="22"/>
        </w:rPr>
      </w:pPr>
      <w:r>
        <w:rPr>
          <w:szCs w:val="22"/>
        </w:rPr>
        <w:t>Pomocnými látkami</w:t>
      </w:r>
      <w:r w:rsidRPr="001B4A02">
        <w:rPr>
          <w:szCs w:val="22"/>
        </w:rPr>
        <w:t xml:space="preserve"> jsou mannitol, polysorbát 80</w:t>
      </w:r>
      <w:r w:rsidR="002378E0">
        <w:rPr>
          <w:szCs w:val="22"/>
        </w:rPr>
        <w:t xml:space="preserve"> a </w:t>
      </w:r>
      <w:r w:rsidRPr="001B4A02">
        <w:rPr>
          <w:szCs w:val="22"/>
        </w:rPr>
        <w:t xml:space="preserve">voda </w:t>
      </w:r>
      <w:r w:rsidR="00202301" w:rsidRPr="001B4A02">
        <w:t>pro</w:t>
      </w:r>
      <w:r w:rsidRPr="001B4A02">
        <w:rPr>
          <w:szCs w:val="22"/>
        </w:rPr>
        <w:t xml:space="preserve"> injekci.</w:t>
      </w:r>
    </w:p>
    <w:p w14:paraId="6E5C290E" w14:textId="77777777" w:rsidR="007F7787" w:rsidRPr="001B4A02" w:rsidRDefault="007F7787" w:rsidP="007F7787">
      <w:pPr>
        <w:ind w:left="0" w:firstLine="0"/>
        <w:rPr>
          <w:b/>
        </w:rPr>
      </w:pPr>
    </w:p>
    <w:p w14:paraId="609FEC14" w14:textId="77777777" w:rsidR="009640B0" w:rsidRPr="001B4A02" w:rsidRDefault="00000000" w:rsidP="001D31EF">
      <w:pPr>
        <w:keepNext/>
        <w:numPr>
          <w:ilvl w:val="12"/>
          <w:numId w:val="0"/>
        </w:numPr>
        <w:ind w:right="-2"/>
        <w:rPr>
          <w:b/>
          <w:bCs/>
        </w:rPr>
      </w:pPr>
      <w:r w:rsidRPr="001B4A02">
        <w:rPr>
          <w:b/>
          <w:bCs/>
          <w:szCs w:val="22"/>
        </w:rPr>
        <w:t>Jak přípravek Humira injekční roztok v</w:t>
      </w:r>
      <w:r w:rsidR="00F237CB" w:rsidRPr="001B4A02">
        <w:rPr>
          <w:b/>
          <w:bCs/>
          <w:szCs w:val="22"/>
        </w:rPr>
        <w:t> </w:t>
      </w:r>
      <w:r w:rsidRPr="001B4A02">
        <w:rPr>
          <w:b/>
          <w:bCs/>
          <w:szCs w:val="22"/>
        </w:rPr>
        <w:t>předplněn</w:t>
      </w:r>
      <w:r w:rsidR="00F237CB" w:rsidRPr="001B4A02">
        <w:rPr>
          <w:b/>
          <w:bCs/>
          <w:szCs w:val="22"/>
        </w:rPr>
        <w:t xml:space="preserve">ém peru </w:t>
      </w:r>
      <w:r w:rsidRPr="001B4A02">
        <w:rPr>
          <w:b/>
          <w:bCs/>
          <w:szCs w:val="22"/>
        </w:rPr>
        <w:t>vypadá</w:t>
      </w:r>
      <w:r w:rsidR="002378E0">
        <w:rPr>
          <w:b/>
          <w:bCs/>
          <w:szCs w:val="22"/>
        </w:rPr>
        <w:t xml:space="preserve"> a </w:t>
      </w:r>
      <w:r w:rsidRPr="001B4A02">
        <w:rPr>
          <w:b/>
          <w:bCs/>
          <w:szCs w:val="22"/>
        </w:rPr>
        <w:t>co obsahuje toto balení</w:t>
      </w:r>
    </w:p>
    <w:p w14:paraId="7230ADFA" w14:textId="77777777" w:rsidR="009640B0" w:rsidRPr="001B4A02" w:rsidRDefault="009640B0" w:rsidP="001D31EF">
      <w:pPr>
        <w:keepNext/>
        <w:numPr>
          <w:ilvl w:val="12"/>
          <w:numId w:val="0"/>
        </w:numPr>
        <w:ind w:right="-2"/>
        <w:rPr>
          <w:b/>
          <w:bCs/>
        </w:rPr>
      </w:pPr>
    </w:p>
    <w:p w14:paraId="508F538B" w14:textId="77777777" w:rsidR="009640B0" w:rsidRPr="001B4A02" w:rsidRDefault="00000000" w:rsidP="00ED48A3">
      <w:pPr>
        <w:ind w:left="0" w:firstLine="0"/>
      </w:pPr>
      <w:r w:rsidRPr="001B4A02">
        <w:rPr>
          <w:szCs w:val="22"/>
        </w:rPr>
        <w:t>Přípravek Humira 80 mg injekční roztok v</w:t>
      </w:r>
      <w:r w:rsidR="00F237CB" w:rsidRPr="001B4A02">
        <w:rPr>
          <w:szCs w:val="22"/>
        </w:rPr>
        <w:t> </w:t>
      </w:r>
      <w:r w:rsidRPr="001B4A02">
        <w:rPr>
          <w:szCs w:val="22"/>
        </w:rPr>
        <w:t>předplněn</w:t>
      </w:r>
      <w:r w:rsidR="00F237CB" w:rsidRPr="001B4A02">
        <w:rPr>
          <w:szCs w:val="22"/>
        </w:rPr>
        <w:t xml:space="preserve">ém peru </w:t>
      </w:r>
      <w:r w:rsidRPr="001B4A02">
        <w:t>je dodáván jako sterilní roztok 80</w:t>
      </w:r>
      <w:r w:rsidR="00D277F3">
        <w:t> mg</w:t>
      </w:r>
      <w:r w:rsidRPr="001B4A02">
        <w:t xml:space="preserve"> adalimumabu</w:t>
      </w:r>
      <w:r w:rsidR="002A321C">
        <w:t>,</w:t>
      </w:r>
      <w:r w:rsidRPr="001B4A02">
        <w:t xml:space="preserve"> rozpuštěného v 0,8</w:t>
      </w:r>
      <w:r w:rsidR="00443CD1" w:rsidRPr="001B4A02">
        <w:t> </w:t>
      </w:r>
      <w:r w:rsidRPr="001B4A02">
        <w:t>ml roztoku.</w:t>
      </w:r>
    </w:p>
    <w:p w14:paraId="2584E1ED" w14:textId="77777777" w:rsidR="009640B0" w:rsidRPr="001B4A02" w:rsidRDefault="009640B0" w:rsidP="00ED48A3">
      <w:pPr>
        <w:numPr>
          <w:ilvl w:val="12"/>
          <w:numId w:val="0"/>
        </w:numPr>
        <w:ind w:right="-2"/>
      </w:pPr>
    </w:p>
    <w:p w14:paraId="75DC002F" w14:textId="77777777" w:rsidR="0085583F" w:rsidRPr="001B4A02" w:rsidRDefault="00000000" w:rsidP="00ED48A3">
      <w:pPr>
        <w:ind w:left="0" w:firstLine="0"/>
      </w:pPr>
      <w:r w:rsidRPr="001B4A02">
        <w:t>Přípravek Humira injekční roztok v předplněném peru je injekční pero šedé</w:t>
      </w:r>
      <w:r w:rsidR="002378E0">
        <w:t xml:space="preserve"> a </w:t>
      </w:r>
      <w:r w:rsidRPr="001B4A02">
        <w:t>vínové barvy pro jednorázové použití, které obsahuje skleněnou injekční stříkačku naplněnou přípravkem Humira. Pero má dva kryty – jeden z nich je šedé barvy</w:t>
      </w:r>
      <w:r w:rsidR="002378E0">
        <w:t xml:space="preserve"> a </w:t>
      </w:r>
      <w:r w:rsidRPr="001B4A02">
        <w:t>je označen „1“</w:t>
      </w:r>
      <w:r w:rsidR="002378E0">
        <w:t xml:space="preserve"> a </w:t>
      </w:r>
      <w:r w:rsidRPr="001B4A02">
        <w:t>druhý kryt je vínové barvy</w:t>
      </w:r>
      <w:r w:rsidR="002378E0">
        <w:t xml:space="preserve"> a </w:t>
      </w:r>
      <w:r w:rsidRPr="001B4A02">
        <w:t>je označen „2“. Na každém boku pera je okénko, kterým lze vidět roztok přípravku Humira uvnitř injekční stříkačky.</w:t>
      </w:r>
    </w:p>
    <w:p w14:paraId="14000908" w14:textId="77777777" w:rsidR="009640B0" w:rsidRPr="001B4A02" w:rsidRDefault="009640B0" w:rsidP="00ED48A3">
      <w:pPr>
        <w:numPr>
          <w:ilvl w:val="12"/>
          <w:numId w:val="0"/>
        </w:numPr>
        <w:ind w:right="-2"/>
      </w:pPr>
    </w:p>
    <w:p w14:paraId="6067386B" w14:textId="77777777" w:rsidR="002004E0" w:rsidRDefault="00000000" w:rsidP="002004E0">
      <w:pPr>
        <w:numPr>
          <w:ilvl w:val="12"/>
          <w:numId w:val="0"/>
        </w:numPr>
        <w:ind w:right="-2"/>
      </w:pPr>
      <w:r w:rsidRPr="001B4A02">
        <w:t>Přípravek Humira injekční roztok v předplněném peru je k dispozici v balení</w:t>
      </w:r>
      <w:r>
        <w:t>ch</w:t>
      </w:r>
      <w:r w:rsidRPr="001B4A02">
        <w:t xml:space="preserve"> obsahující</w:t>
      </w:r>
      <w:r>
        <w:t>ch:</w:t>
      </w:r>
    </w:p>
    <w:p w14:paraId="72EC49C5" w14:textId="77777777" w:rsidR="002004E0" w:rsidRPr="001B4A02" w:rsidRDefault="00000000" w:rsidP="00D41199">
      <w:pPr>
        <w:pStyle w:val="ListParagraph"/>
        <w:numPr>
          <w:ilvl w:val="0"/>
          <w:numId w:val="237"/>
        </w:numPr>
        <w:ind w:left="567" w:hanging="567"/>
      </w:pPr>
      <w:r w:rsidRPr="001B4A02">
        <w:t xml:space="preserve">1 předplněné pero </w:t>
      </w:r>
      <w:r>
        <w:t xml:space="preserve">určené pro použití pacientem </w:t>
      </w:r>
      <w:r w:rsidRPr="001B4A02">
        <w:t>se 2 tamp</w:t>
      </w:r>
      <w:ins w:id="13877" w:author="Abbvie02" w:date="2025-05-16T12:35:00Z">
        <w:r w:rsidR="009165EF">
          <w:t>o</w:t>
        </w:r>
      </w:ins>
      <w:del w:id="13878" w:author="Abbvie02" w:date="2025-05-16T12:35:00Z">
        <w:r w:rsidRPr="001B4A02">
          <w:delText>ó</w:delText>
        </w:r>
      </w:del>
      <w:r w:rsidRPr="001B4A02">
        <w:t>ny napuštěnými alkoholem (1</w:t>
      </w:r>
      <w:r w:rsidR="00443CD1" w:rsidRPr="001B4A02">
        <w:t> </w:t>
      </w:r>
      <w:r w:rsidRPr="001B4A02">
        <w:t>náhradní)</w:t>
      </w:r>
    </w:p>
    <w:p w14:paraId="6DD6EFCB" w14:textId="77777777" w:rsidR="002004E0" w:rsidRDefault="00000000" w:rsidP="002004E0">
      <w:pPr>
        <w:pStyle w:val="ListParagraph"/>
        <w:numPr>
          <w:ilvl w:val="0"/>
          <w:numId w:val="237"/>
        </w:numPr>
        <w:ind w:left="567" w:hanging="567"/>
      </w:pPr>
      <w:r>
        <w:t>3 předplněná pera určená pro použití pacientem se 4 tamp</w:t>
      </w:r>
      <w:ins w:id="13879" w:author="Abbvie02" w:date="2025-05-16T12:35:00Z">
        <w:r w:rsidR="009165EF">
          <w:t>o</w:t>
        </w:r>
      </w:ins>
      <w:del w:id="13880" w:author="Abbvie02" w:date="2025-05-16T12:35:00Z">
        <w:r>
          <w:delText>ó</w:delText>
        </w:r>
      </w:del>
      <w:r>
        <w:t>ny napuštěnými alkoholem (1 náhradní)</w:t>
      </w:r>
    </w:p>
    <w:p w14:paraId="69BA27DE" w14:textId="77777777" w:rsidR="002004E0" w:rsidRDefault="002004E0" w:rsidP="0067453A">
      <w:pPr>
        <w:ind w:left="0" w:firstLine="0"/>
      </w:pPr>
    </w:p>
    <w:p w14:paraId="259869DC" w14:textId="77777777" w:rsidR="002004E0" w:rsidRDefault="00000000" w:rsidP="0067453A">
      <w:pPr>
        <w:numPr>
          <w:ilvl w:val="12"/>
          <w:numId w:val="0"/>
        </w:numPr>
      </w:pPr>
      <w:r>
        <w:t>Na trhu nemusí být všechny velikosti balení.</w:t>
      </w:r>
    </w:p>
    <w:p w14:paraId="6321DA36" w14:textId="77777777" w:rsidR="0085583F" w:rsidRPr="001B4A02" w:rsidRDefault="0085583F" w:rsidP="0067453A">
      <w:pPr>
        <w:numPr>
          <w:ilvl w:val="12"/>
          <w:numId w:val="0"/>
        </w:numPr>
      </w:pPr>
    </w:p>
    <w:p w14:paraId="24BD39C9" w14:textId="77777777" w:rsidR="009640B0" w:rsidRPr="001B4A02" w:rsidRDefault="00000000" w:rsidP="0067453A">
      <w:pPr>
        <w:numPr>
          <w:ilvl w:val="12"/>
          <w:numId w:val="0"/>
        </w:numPr>
      </w:pPr>
      <w:r w:rsidRPr="001B4A02">
        <w:t>Přípravek Humira je k </w:t>
      </w:r>
      <w:r w:rsidR="00C92B1C" w:rsidRPr="001B4A02">
        <w:t>dispozici</w:t>
      </w:r>
      <w:r w:rsidRPr="001B4A02">
        <w:t xml:space="preserve"> jako injekční lahvička, předplněná injekční stříkačka a</w:t>
      </w:r>
      <w:r w:rsidR="0085583F" w:rsidRPr="001B4A02">
        <w:t>/nebo</w:t>
      </w:r>
      <w:r w:rsidRPr="001B4A02">
        <w:t xml:space="preserve"> předplněné pero.</w:t>
      </w:r>
    </w:p>
    <w:p w14:paraId="0A5EAAA4" w14:textId="77777777" w:rsidR="009640B0" w:rsidRPr="001B4A02" w:rsidRDefault="009640B0" w:rsidP="0067453A">
      <w:pPr>
        <w:numPr>
          <w:ilvl w:val="12"/>
          <w:numId w:val="0"/>
        </w:numPr>
      </w:pPr>
    </w:p>
    <w:p w14:paraId="6CC50827" w14:textId="77777777" w:rsidR="009640B0" w:rsidRPr="001B4A02" w:rsidRDefault="00000000" w:rsidP="0067453A">
      <w:pPr>
        <w:keepNext/>
        <w:ind w:left="0" w:firstLine="0"/>
        <w:rPr>
          <w:b/>
        </w:rPr>
      </w:pPr>
      <w:r w:rsidRPr="001B4A02">
        <w:rPr>
          <w:b/>
        </w:rPr>
        <w:t>Držitel rozhodnutí o registraci</w:t>
      </w:r>
    </w:p>
    <w:p w14:paraId="5DD6B14F" w14:textId="77777777" w:rsidR="009640B0" w:rsidRPr="001B4A02" w:rsidRDefault="009640B0" w:rsidP="0067453A">
      <w:pPr>
        <w:keepNext/>
        <w:numPr>
          <w:ilvl w:val="12"/>
          <w:numId w:val="0"/>
        </w:numPr>
      </w:pPr>
    </w:p>
    <w:p w14:paraId="105D0855" w14:textId="77777777" w:rsidR="00E86403" w:rsidRPr="001B4A02" w:rsidRDefault="00000000" w:rsidP="0067453A">
      <w:pPr>
        <w:keepNext/>
        <w:autoSpaceDE w:val="0"/>
        <w:autoSpaceDN w:val="0"/>
        <w:adjustRightInd w:val="0"/>
        <w:ind w:left="0" w:firstLine="0"/>
        <w:rPr>
          <w:szCs w:val="22"/>
          <w:lang w:eastAsia="en-GB"/>
        </w:rPr>
      </w:pPr>
      <w:r w:rsidRPr="001B4A02">
        <w:rPr>
          <w:szCs w:val="22"/>
          <w:lang w:eastAsia="en-GB"/>
        </w:rPr>
        <w:t>AbbVie Deutschland GmbH &amp; Co. KG</w:t>
      </w:r>
    </w:p>
    <w:p w14:paraId="5C15562E" w14:textId="77777777" w:rsidR="00E86403" w:rsidRPr="001B4A02" w:rsidRDefault="00000000" w:rsidP="0067453A">
      <w:pPr>
        <w:keepNext/>
        <w:autoSpaceDE w:val="0"/>
        <w:autoSpaceDN w:val="0"/>
        <w:adjustRightInd w:val="0"/>
        <w:ind w:left="0" w:firstLine="0"/>
        <w:rPr>
          <w:szCs w:val="22"/>
          <w:lang w:eastAsia="en-GB"/>
        </w:rPr>
      </w:pPr>
      <w:r w:rsidRPr="001B4A02">
        <w:rPr>
          <w:szCs w:val="22"/>
          <w:lang w:eastAsia="en-GB"/>
        </w:rPr>
        <w:t>Knollstrasse</w:t>
      </w:r>
    </w:p>
    <w:p w14:paraId="3998107B" w14:textId="77777777" w:rsidR="00E86403" w:rsidRPr="001B4A02" w:rsidRDefault="00000000" w:rsidP="0067453A">
      <w:pPr>
        <w:keepNext/>
        <w:autoSpaceDE w:val="0"/>
        <w:autoSpaceDN w:val="0"/>
        <w:adjustRightInd w:val="0"/>
        <w:ind w:left="0" w:firstLine="0"/>
        <w:rPr>
          <w:szCs w:val="22"/>
          <w:lang w:eastAsia="en-GB"/>
        </w:rPr>
      </w:pPr>
      <w:r w:rsidRPr="001B4A02">
        <w:rPr>
          <w:szCs w:val="22"/>
          <w:lang w:eastAsia="en-GB"/>
        </w:rPr>
        <w:t>67061 Ludwigshafen</w:t>
      </w:r>
    </w:p>
    <w:p w14:paraId="19BD1C7F" w14:textId="77777777" w:rsidR="009640B0" w:rsidRPr="001B4A02" w:rsidRDefault="00000000" w:rsidP="0067453A">
      <w:pPr>
        <w:ind w:left="0" w:firstLine="0"/>
      </w:pPr>
      <w:r w:rsidRPr="001B4A02">
        <w:rPr>
          <w:szCs w:val="22"/>
          <w:lang w:eastAsia="en-GB"/>
        </w:rPr>
        <w:t>Německo</w:t>
      </w:r>
    </w:p>
    <w:p w14:paraId="06FAF780" w14:textId="77777777" w:rsidR="009640B0" w:rsidRPr="001B4A02" w:rsidRDefault="009640B0" w:rsidP="0067453A">
      <w:pPr>
        <w:numPr>
          <w:ilvl w:val="12"/>
          <w:numId w:val="0"/>
        </w:numPr>
      </w:pPr>
    </w:p>
    <w:p w14:paraId="64F5A84A" w14:textId="77777777" w:rsidR="009640B0" w:rsidRPr="001B4A02" w:rsidRDefault="00000000" w:rsidP="0067453A">
      <w:pPr>
        <w:keepNext/>
        <w:ind w:left="0" w:firstLine="0"/>
        <w:rPr>
          <w:b/>
        </w:rPr>
      </w:pPr>
      <w:r w:rsidRPr="001B4A02">
        <w:rPr>
          <w:b/>
        </w:rPr>
        <w:t>Výrobce</w:t>
      </w:r>
    </w:p>
    <w:p w14:paraId="3F4600F7" w14:textId="77777777" w:rsidR="009640B0" w:rsidRPr="001B4A02" w:rsidRDefault="009640B0" w:rsidP="0067453A">
      <w:pPr>
        <w:keepNext/>
        <w:ind w:left="0" w:firstLine="0"/>
      </w:pPr>
    </w:p>
    <w:p w14:paraId="7B9FD4A6" w14:textId="77777777" w:rsidR="009640B0" w:rsidRPr="001B4A02" w:rsidRDefault="00000000" w:rsidP="0067453A">
      <w:pPr>
        <w:keepNext/>
        <w:ind w:left="0" w:firstLine="0"/>
      </w:pPr>
      <w:r w:rsidRPr="001B4A02">
        <w:t>AbbVie Biotechnology GmbH</w:t>
      </w:r>
    </w:p>
    <w:p w14:paraId="3DADEB1A" w14:textId="77777777" w:rsidR="009640B0" w:rsidRPr="001B4A02" w:rsidRDefault="00000000" w:rsidP="0067453A">
      <w:pPr>
        <w:keepNext/>
        <w:numPr>
          <w:ilvl w:val="12"/>
          <w:numId w:val="0"/>
        </w:numPr>
        <w:tabs>
          <w:tab w:val="left" w:pos="720"/>
        </w:tabs>
      </w:pPr>
      <w:r w:rsidRPr="001B4A02">
        <w:t>Knollstrasse</w:t>
      </w:r>
    </w:p>
    <w:p w14:paraId="54211597" w14:textId="77777777" w:rsidR="009640B0" w:rsidRPr="001B4A02" w:rsidRDefault="00000000" w:rsidP="0067453A">
      <w:pPr>
        <w:keepNext/>
        <w:numPr>
          <w:ilvl w:val="12"/>
          <w:numId w:val="0"/>
        </w:numPr>
        <w:tabs>
          <w:tab w:val="left" w:pos="720"/>
        </w:tabs>
      </w:pPr>
      <w:r w:rsidRPr="001B4A02">
        <w:t>67061 Ludwigshafen</w:t>
      </w:r>
    </w:p>
    <w:p w14:paraId="14463732" w14:textId="77777777" w:rsidR="009640B0" w:rsidRPr="001B4A02" w:rsidRDefault="00000000" w:rsidP="00961CF6">
      <w:pPr>
        <w:numPr>
          <w:ilvl w:val="12"/>
          <w:numId w:val="0"/>
        </w:numPr>
        <w:tabs>
          <w:tab w:val="left" w:pos="720"/>
        </w:tabs>
      </w:pPr>
      <w:r w:rsidRPr="001B4A02">
        <w:t>Německo</w:t>
      </w:r>
    </w:p>
    <w:p w14:paraId="64C03DDF" w14:textId="77777777" w:rsidR="009640B0" w:rsidRPr="001B4A02" w:rsidRDefault="009640B0" w:rsidP="00961CF6">
      <w:pPr>
        <w:ind w:left="0" w:firstLine="0"/>
      </w:pPr>
    </w:p>
    <w:p w14:paraId="3E128381" w14:textId="77777777" w:rsidR="009640B0" w:rsidRPr="001B4A02" w:rsidRDefault="00000000" w:rsidP="00961CF6">
      <w:pPr>
        <w:keepNext/>
        <w:numPr>
          <w:ilvl w:val="12"/>
          <w:numId w:val="0"/>
        </w:numPr>
      </w:pPr>
      <w:r w:rsidRPr="001B4A02">
        <w:t>Další informace o tomto přípravku získáte u místního zástupce držitele rozhodnutí o registraci:</w:t>
      </w:r>
    </w:p>
    <w:p w14:paraId="674BD07D" w14:textId="77777777" w:rsidR="009640B0" w:rsidRPr="001B4A02" w:rsidRDefault="009640B0" w:rsidP="00961CF6">
      <w:pPr>
        <w:keepNext/>
        <w:ind w:left="0" w:firstLine="0"/>
        <w:rPr>
          <w:sz w:val="24"/>
        </w:rPr>
      </w:pPr>
    </w:p>
    <w:tbl>
      <w:tblPr>
        <w:tblW w:w="9356" w:type="dxa"/>
        <w:tblInd w:w="-34" w:type="dxa"/>
        <w:tblLayout w:type="fixed"/>
        <w:tblLook w:val="0000" w:firstRow="0" w:lastRow="0" w:firstColumn="0" w:lastColumn="0" w:noHBand="0" w:noVBand="0"/>
      </w:tblPr>
      <w:tblGrid>
        <w:gridCol w:w="34"/>
        <w:gridCol w:w="4610"/>
        <w:gridCol w:w="34"/>
        <w:gridCol w:w="4678"/>
      </w:tblGrid>
      <w:tr w:rsidR="00534A2D" w14:paraId="0F5A1D64" w14:textId="77777777" w:rsidTr="001F79B0">
        <w:tc>
          <w:tcPr>
            <w:tcW w:w="4644" w:type="dxa"/>
            <w:gridSpan w:val="2"/>
          </w:tcPr>
          <w:p w14:paraId="628A4970" w14:textId="77777777" w:rsidR="00622059" w:rsidRPr="00BD646C" w:rsidRDefault="00000000" w:rsidP="001F79B0">
            <w:pPr>
              <w:rPr>
                <w:b/>
                <w:bCs/>
                <w:szCs w:val="22"/>
                <w:lang w:val="fr-BE"/>
              </w:rPr>
            </w:pPr>
            <w:r w:rsidRPr="00BD646C">
              <w:rPr>
                <w:b/>
                <w:bCs/>
                <w:szCs w:val="22"/>
                <w:lang w:val="fr-BE"/>
              </w:rPr>
              <w:t>België/Belgique/Belgien</w:t>
            </w:r>
          </w:p>
          <w:p w14:paraId="6E303B74" w14:textId="77777777" w:rsidR="00622059" w:rsidRPr="00BD646C" w:rsidRDefault="00000000" w:rsidP="001F79B0">
            <w:pPr>
              <w:rPr>
                <w:bCs/>
                <w:szCs w:val="22"/>
                <w:lang w:val="fr-FR"/>
              </w:rPr>
            </w:pPr>
            <w:r w:rsidRPr="00BD646C">
              <w:rPr>
                <w:bCs/>
                <w:szCs w:val="22"/>
                <w:lang w:val="fr-FR"/>
              </w:rPr>
              <w:t>AbbVie SA</w:t>
            </w:r>
          </w:p>
          <w:p w14:paraId="4B65D550" w14:textId="77777777" w:rsidR="00622059" w:rsidRPr="00BD646C" w:rsidRDefault="00000000" w:rsidP="001F79B0">
            <w:pPr>
              <w:rPr>
                <w:szCs w:val="22"/>
                <w:lang w:val="fr-FR"/>
              </w:rPr>
            </w:pPr>
            <w:r w:rsidRPr="00BD646C">
              <w:rPr>
                <w:bCs/>
                <w:szCs w:val="22"/>
                <w:lang w:val="fr-FR"/>
              </w:rPr>
              <w:t xml:space="preserve">Tél/Tel: +32 10 </w:t>
            </w:r>
            <w:r w:rsidRPr="00BD646C">
              <w:rPr>
                <w:szCs w:val="22"/>
                <w:lang w:val="fr-FR"/>
              </w:rPr>
              <w:t>477811</w:t>
            </w:r>
          </w:p>
          <w:p w14:paraId="1CB547CA" w14:textId="77777777" w:rsidR="00622059" w:rsidRPr="00BD646C" w:rsidRDefault="00622059" w:rsidP="001F79B0">
            <w:pPr>
              <w:rPr>
                <w:bCs/>
                <w:szCs w:val="22"/>
                <w:lang w:val="fr-FR"/>
              </w:rPr>
            </w:pPr>
          </w:p>
        </w:tc>
        <w:tc>
          <w:tcPr>
            <w:tcW w:w="4678" w:type="dxa"/>
            <w:gridSpan w:val="2"/>
          </w:tcPr>
          <w:p w14:paraId="718FCF2C" w14:textId="77777777" w:rsidR="00622059" w:rsidRPr="00BD646C" w:rsidRDefault="00000000" w:rsidP="001F79B0">
            <w:pPr>
              <w:rPr>
                <w:b/>
                <w:bCs/>
                <w:szCs w:val="22"/>
                <w:lang w:val="lt-LT"/>
              </w:rPr>
            </w:pPr>
            <w:r w:rsidRPr="00BD646C">
              <w:rPr>
                <w:b/>
                <w:bCs/>
                <w:szCs w:val="22"/>
                <w:lang w:val="lt-LT"/>
              </w:rPr>
              <w:t>Lietuva</w:t>
            </w:r>
          </w:p>
          <w:p w14:paraId="350BAD11" w14:textId="77777777" w:rsidR="00622059" w:rsidRPr="00BD646C" w:rsidRDefault="00000000" w:rsidP="001F79B0">
            <w:pPr>
              <w:rPr>
                <w:bCs/>
                <w:szCs w:val="22"/>
                <w:lang w:val="lv-LV"/>
              </w:rPr>
            </w:pPr>
            <w:r w:rsidRPr="00BD646C">
              <w:rPr>
                <w:bCs/>
                <w:szCs w:val="22"/>
                <w:lang w:val="lv-LV"/>
              </w:rPr>
              <w:t xml:space="preserve">AbbVie UAB </w:t>
            </w:r>
          </w:p>
          <w:p w14:paraId="1BFB362D" w14:textId="77777777" w:rsidR="00622059" w:rsidRPr="00BD646C" w:rsidRDefault="00000000" w:rsidP="001F79B0">
            <w:pPr>
              <w:rPr>
                <w:bCs/>
                <w:szCs w:val="22"/>
                <w:lang w:val="lv-LV"/>
              </w:rPr>
            </w:pPr>
            <w:r w:rsidRPr="00BD646C">
              <w:rPr>
                <w:bCs/>
                <w:szCs w:val="22"/>
                <w:lang w:val="lv-LV"/>
              </w:rPr>
              <w:t>Tel: +370 5 205 3023</w:t>
            </w:r>
          </w:p>
        </w:tc>
      </w:tr>
      <w:tr w:rsidR="00534A2D" w14:paraId="0835E8C2" w14:textId="77777777" w:rsidTr="001F79B0">
        <w:tc>
          <w:tcPr>
            <w:tcW w:w="4644" w:type="dxa"/>
            <w:gridSpan w:val="2"/>
          </w:tcPr>
          <w:p w14:paraId="0F262BEB" w14:textId="77777777" w:rsidR="00622059" w:rsidRPr="00BD646C" w:rsidRDefault="00000000" w:rsidP="001F79B0">
            <w:pPr>
              <w:rPr>
                <w:b/>
                <w:bCs/>
                <w:szCs w:val="22"/>
                <w:lang w:val="bg-BG"/>
              </w:rPr>
            </w:pPr>
            <w:r w:rsidRPr="00BD646C">
              <w:rPr>
                <w:b/>
                <w:bCs/>
                <w:szCs w:val="22"/>
                <w:lang w:val="bg-BG"/>
              </w:rPr>
              <w:t>България</w:t>
            </w:r>
          </w:p>
          <w:p w14:paraId="466F9EC0" w14:textId="77777777" w:rsidR="00622059" w:rsidRPr="00BD646C" w:rsidRDefault="00000000" w:rsidP="001F79B0">
            <w:pPr>
              <w:rPr>
                <w:szCs w:val="22"/>
                <w:lang w:val="da-DK"/>
              </w:rPr>
            </w:pPr>
            <w:r w:rsidRPr="00BD646C">
              <w:rPr>
                <w:szCs w:val="22"/>
                <w:lang w:val="sk-SK"/>
              </w:rPr>
              <w:t>АбВи ЕООД</w:t>
            </w:r>
          </w:p>
          <w:p w14:paraId="432A176C" w14:textId="77777777" w:rsidR="00622059" w:rsidRPr="00BD646C" w:rsidRDefault="00000000" w:rsidP="001F79B0">
            <w:pPr>
              <w:rPr>
                <w:bCs/>
                <w:szCs w:val="22"/>
                <w:lang w:val="da-DK"/>
              </w:rPr>
            </w:pPr>
            <w:r w:rsidRPr="00BD646C">
              <w:rPr>
                <w:szCs w:val="22"/>
                <w:lang w:val="sk-SK"/>
              </w:rPr>
              <w:t>Тел</w:t>
            </w:r>
            <w:r w:rsidRPr="00BD646C">
              <w:rPr>
                <w:szCs w:val="22"/>
                <w:lang w:val="it-IT"/>
              </w:rPr>
              <w:t>.:+359 2 90 30 430</w:t>
            </w:r>
          </w:p>
        </w:tc>
        <w:tc>
          <w:tcPr>
            <w:tcW w:w="4678" w:type="dxa"/>
            <w:gridSpan w:val="2"/>
          </w:tcPr>
          <w:p w14:paraId="40D164BF" w14:textId="77777777" w:rsidR="00622059" w:rsidRPr="00BD646C" w:rsidRDefault="00000000" w:rsidP="001F79B0">
            <w:pPr>
              <w:rPr>
                <w:b/>
                <w:bCs/>
                <w:szCs w:val="22"/>
                <w:lang w:val="de-DE"/>
              </w:rPr>
            </w:pPr>
            <w:r w:rsidRPr="00BD646C">
              <w:rPr>
                <w:b/>
                <w:bCs/>
                <w:szCs w:val="22"/>
                <w:lang w:val="de-DE"/>
              </w:rPr>
              <w:t>Luxembourg/Luxemburg</w:t>
            </w:r>
          </w:p>
          <w:p w14:paraId="3C12DD69" w14:textId="77777777" w:rsidR="00622059" w:rsidRPr="00BD646C" w:rsidRDefault="00000000" w:rsidP="001F79B0">
            <w:pPr>
              <w:rPr>
                <w:bCs/>
                <w:szCs w:val="22"/>
                <w:lang w:val="de-DE"/>
              </w:rPr>
            </w:pPr>
            <w:r w:rsidRPr="00BD646C">
              <w:rPr>
                <w:bCs/>
                <w:szCs w:val="22"/>
                <w:lang w:val="de-DE"/>
              </w:rPr>
              <w:t>AbbVie SA</w:t>
            </w:r>
          </w:p>
          <w:p w14:paraId="3AC4DFCF" w14:textId="77777777" w:rsidR="00622059" w:rsidRPr="00BD646C" w:rsidRDefault="00000000" w:rsidP="001F79B0">
            <w:pPr>
              <w:rPr>
                <w:bCs/>
                <w:szCs w:val="22"/>
                <w:lang w:val="de-DE"/>
              </w:rPr>
            </w:pPr>
            <w:r w:rsidRPr="00BD646C">
              <w:rPr>
                <w:bCs/>
                <w:szCs w:val="22"/>
                <w:lang w:val="de-DE"/>
              </w:rPr>
              <w:t>Belgique/Belgien</w:t>
            </w:r>
          </w:p>
          <w:p w14:paraId="2DCAD9CC" w14:textId="77777777" w:rsidR="00622059" w:rsidRPr="00BD646C" w:rsidRDefault="00000000" w:rsidP="001F79B0">
            <w:pPr>
              <w:rPr>
                <w:bCs/>
                <w:szCs w:val="22"/>
                <w:lang w:val="fr-FR"/>
              </w:rPr>
            </w:pPr>
            <w:r w:rsidRPr="00BD646C">
              <w:rPr>
                <w:bCs/>
                <w:szCs w:val="22"/>
                <w:lang w:val="fr-FR"/>
              </w:rPr>
              <w:t>Tél/Tel: +32 10 477811</w:t>
            </w:r>
          </w:p>
          <w:p w14:paraId="5A123987" w14:textId="77777777" w:rsidR="00622059" w:rsidRPr="00BD646C" w:rsidRDefault="00622059" w:rsidP="001F79B0">
            <w:pPr>
              <w:rPr>
                <w:bCs/>
                <w:szCs w:val="22"/>
                <w:lang w:val="fr-FR"/>
              </w:rPr>
            </w:pPr>
          </w:p>
        </w:tc>
      </w:tr>
      <w:tr w:rsidR="00534A2D" w14:paraId="379E6B79" w14:textId="77777777" w:rsidTr="001F79B0">
        <w:tc>
          <w:tcPr>
            <w:tcW w:w="4644" w:type="dxa"/>
            <w:gridSpan w:val="2"/>
          </w:tcPr>
          <w:p w14:paraId="172EFF7E" w14:textId="77777777" w:rsidR="00622059" w:rsidRPr="00BD646C" w:rsidRDefault="00000000" w:rsidP="001F79B0">
            <w:pPr>
              <w:keepNext/>
              <w:rPr>
                <w:b/>
                <w:bCs/>
                <w:szCs w:val="22"/>
                <w:lang w:val="sk-SK"/>
              </w:rPr>
            </w:pPr>
            <w:r w:rsidRPr="00BD646C">
              <w:rPr>
                <w:b/>
                <w:bCs/>
                <w:szCs w:val="22"/>
                <w:lang w:val="sk-SK"/>
              </w:rPr>
              <w:t>Česká republika</w:t>
            </w:r>
          </w:p>
          <w:p w14:paraId="010C5447" w14:textId="77777777" w:rsidR="00622059" w:rsidRPr="00BD646C" w:rsidRDefault="00000000" w:rsidP="001F79B0">
            <w:pPr>
              <w:keepNext/>
              <w:rPr>
                <w:bCs/>
                <w:szCs w:val="22"/>
                <w:lang w:val="sk-SK"/>
              </w:rPr>
            </w:pPr>
            <w:r w:rsidRPr="00BD646C">
              <w:rPr>
                <w:bCs/>
                <w:szCs w:val="22"/>
                <w:lang w:val="sk-SK"/>
              </w:rPr>
              <w:t xml:space="preserve">AbbVie s.r.o. </w:t>
            </w:r>
          </w:p>
          <w:p w14:paraId="5109D08E" w14:textId="77777777" w:rsidR="00622059" w:rsidRPr="00BD646C" w:rsidRDefault="00000000" w:rsidP="001F79B0">
            <w:pPr>
              <w:keepNext/>
              <w:rPr>
                <w:bCs/>
                <w:szCs w:val="22"/>
                <w:lang w:val="sk-SK"/>
              </w:rPr>
            </w:pPr>
            <w:r w:rsidRPr="00BD646C">
              <w:rPr>
                <w:bCs/>
                <w:szCs w:val="22"/>
                <w:lang w:val="sk-SK"/>
              </w:rPr>
              <w:t>Tel: +420 233 098 111</w:t>
            </w:r>
          </w:p>
        </w:tc>
        <w:tc>
          <w:tcPr>
            <w:tcW w:w="4678" w:type="dxa"/>
            <w:gridSpan w:val="2"/>
          </w:tcPr>
          <w:p w14:paraId="0092AA3D" w14:textId="77777777" w:rsidR="00622059" w:rsidRPr="00BD646C" w:rsidRDefault="00000000" w:rsidP="001F79B0">
            <w:pPr>
              <w:keepNext/>
              <w:rPr>
                <w:b/>
                <w:bCs/>
                <w:szCs w:val="22"/>
                <w:lang w:val="hu-HU"/>
              </w:rPr>
            </w:pPr>
            <w:r w:rsidRPr="00BD646C">
              <w:rPr>
                <w:b/>
                <w:bCs/>
                <w:szCs w:val="22"/>
                <w:lang w:val="hu-HU"/>
              </w:rPr>
              <w:t>Magyarország</w:t>
            </w:r>
          </w:p>
          <w:p w14:paraId="15998C27" w14:textId="77777777" w:rsidR="00622059" w:rsidRPr="00BD646C" w:rsidRDefault="00000000" w:rsidP="001F79B0">
            <w:pPr>
              <w:keepNext/>
              <w:rPr>
                <w:bCs/>
                <w:szCs w:val="22"/>
                <w:lang w:val="hu-HU"/>
              </w:rPr>
            </w:pPr>
            <w:r w:rsidRPr="00BD646C">
              <w:rPr>
                <w:bCs/>
                <w:szCs w:val="22"/>
                <w:lang w:val="hu-HU"/>
              </w:rPr>
              <w:t>AbbVie Kft.</w:t>
            </w:r>
          </w:p>
          <w:p w14:paraId="3EA26B2B" w14:textId="77777777" w:rsidR="00622059" w:rsidRPr="00BD646C" w:rsidRDefault="00000000" w:rsidP="001F79B0">
            <w:pPr>
              <w:keepNext/>
              <w:rPr>
                <w:bCs/>
                <w:szCs w:val="22"/>
                <w:lang w:val="hu-HU"/>
              </w:rPr>
            </w:pPr>
            <w:r w:rsidRPr="00BD646C">
              <w:rPr>
                <w:bCs/>
                <w:szCs w:val="22"/>
                <w:lang w:val="hu-HU"/>
              </w:rPr>
              <w:t>Tel.:+36 1 455 8600</w:t>
            </w:r>
          </w:p>
          <w:p w14:paraId="77F61C09" w14:textId="77777777" w:rsidR="00622059" w:rsidRPr="00BD646C" w:rsidRDefault="00622059" w:rsidP="001F79B0">
            <w:pPr>
              <w:keepNext/>
              <w:rPr>
                <w:bCs/>
                <w:szCs w:val="22"/>
                <w:lang w:val="hu-HU"/>
              </w:rPr>
            </w:pPr>
          </w:p>
        </w:tc>
      </w:tr>
      <w:tr w:rsidR="00534A2D" w14:paraId="2950D021" w14:textId="77777777" w:rsidTr="001F79B0">
        <w:trPr>
          <w:trHeight w:val="737"/>
        </w:trPr>
        <w:tc>
          <w:tcPr>
            <w:tcW w:w="4644" w:type="dxa"/>
            <w:gridSpan w:val="2"/>
          </w:tcPr>
          <w:p w14:paraId="538DD181" w14:textId="77777777" w:rsidR="00622059" w:rsidRPr="00BD646C" w:rsidRDefault="00000000" w:rsidP="001F79B0">
            <w:pPr>
              <w:rPr>
                <w:b/>
                <w:bCs/>
                <w:szCs w:val="22"/>
                <w:lang w:val="en-US"/>
              </w:rPr>
            </w:pPr>
            <w:r w:rsidRPr="00BD646C">
              <w:rPr>
                <w:b/>
                <w:bCs/>
                <w:szCs w:val="22"/>
                <w:lang w:val="en-US"/>
              </w:rPr>
              <w:t>Danmark</w:t>
            </w:r>
          </w:p>
          <w:p w14:paraId="02AB25D2" w14:textId="77777777" w:rsidR="00622059" w:rsidRPr="00BD646C" w:rsidRDefault="00000000" w:rsidP="001F79B0">
            <w:pPr>
              <w:rPr>
                <w:bCs/>
                <w:szCs w:val="22"/>
                <w:lang w:val="en-US"/>
              </w:rPr>
            </w:pPr>
            <w:r w:rsidRPr="00BD646C">
              <w:rPr>
                <w:bCs/>
                <w:szCs w:val="22"/>
                <w:lang w:val="en-US"/>
              </w:rPr>
              <w:t>AbbVie A/S</w:t>
            </w:r>
          </w:p>
          <w:p w14:paraId="7AD6A89A" w14:textId="77777777" w:rsidR="00622059" w:rsidRPr="00BD646C" w:rsidRDefault="00000000" w:rsidP="001F79B0">
            <w:pPr>
              <w:rPr>
                <w:bCs/>
                <w:szCs w:val="22"/>
                <w:lang w:val="sk-SK"/>
              </w:rPr>
            </w:pPr>
            <w:r w:rsidRPr="00BD646C">
              <w:rPr>
                <w:bCs/>
                <w:szCs w:val="22"/>
                <w:lang w:val="en-US"/>
              </w:rPr>
              <w:t>Tlf</w:t>
            </w:r>
            <w:ins w:id="13881" w:author="AbbVie1" w:date="2025-05-13T10:18:00Z">
              <w:r w:rsidR="00FC50CC">
                <w:rPr>
                  <w:bCs/>
                  <w:szCs w:val="22"/>
                  <w:lang w:val="en-US"/>
                </w:rPr>
                <w:t>.</w:t>
              </w:r>
            </w:ins>
            <w:r w:rsidRPr="00BD646C">
              <w:rPr>
                <w:bCs/>
                <w:szCs w:val="22"/>
                <w:lang w:val="en-US"/>
              </w:rPr>
              <w:t>: +45 72 30-20-28</w:t>
            </w:r>
          </w:p>
        </w:tc>
        <w:tc>
          <w:tcPr>
            <w:tcW w:w="4678" w:type="dxa"/>
            <w:gridSpan w:val="2"/>
          </w:tcPr>
          <w:p w14:paraId="180F0872" w14:textId="77777777" w:rsidR="00622059" w:rsidRPr="00BD646C" w:rsidRDefault="00000000" w:rsidP="001F79B0">
            <w:pPr>
              <w:rPr>
                <w:b/>
                <w:bCs/>
                <w:szCs w:val="22"/>
                <w:lang w:val="mt-MT"/>
              </w:rPr>
            </w:pPr>
            <w:r w:rsidRPr="00BD646C">
              <w:rPr>
                <w:b/>
                <w:bCs/>
                <w:szCs w:val="22"/>
                <w:lang w:val="mt-MT"/>
              </w:rPr>
              <w:t>Malta</w:t>
            </w:r>
          </w:p>
          <w:p w14:paraId="13C3C892" w14:textId="77777777" w:rsidR="00622059" w:rsidRPr="00BD646C" w:rsidRDefault="00000000" w:rsidP="001F79B0">
            <w:pPr>
              <w:rPr>
                <w:bCs/>
                <w:szCs w:val="22"/>
                <w:lang w:val="sk-SK"/>
              </w:rPr>
            </w:pPr>
            <w:r w:rsidRPr="00BD646C">
              <w:rPr>
                <w:bCs/>
                <w:szCs w:val="22"/>
                <w:lang w:val="sk-SK"/>
              </w:rPr>
              <w:t xml:space="preserve">V.J.Salomone Pharma Limited </w:t>
            </w:r>
          </w:p>
          <w:p w14:paraId="58F243A2" w14:textId="77777777" w:rsidR="00622059" w:rsidRPr="00BD646C" w:rsidRDefault="00000000" w:rsidP="001F79B0">
            <w:pPr>
              <w:rPr>
                <w:bCs/>
                <w:szCs w:val="22"/>
                <w:lang w:val="sk-SK"/>
              </w:rPr>
            </w:pPr>
            <w:r w:rsidRPr="00BD646C">
              <w:rPr>
                <w:bCs/>
                <w:szCs w:val="22"/>
                <w:lang w:val="sk-SK"/>
              </w:rPr>
              <w:t xml:space="preserve">Tel: </w:t>
            </w:r>
            <w:r>
              <w:rPr>
                <w:bCs/>
                <w:szCs w:val="22"/>
              </w:rPr>
              <w:t>+356 21220174</w:t>
            </w:r>
          </w:p>
          <w:p w14:paraId="61197956" w14:textId="77777777" w:rsidR="00622059" w:rsidRPr="00BD646C" w:rsidRDefault="00622059" w:rsidP="001F79B0">
            <w:pPr>
              <w:rPr>
                <w:bCs/>
                <w:szCs w:val="22"/>
                <w:lang w:val="sk-SK"/>
              </w:rPr>
            </w:pPr>
          </w:p>
        </w:tc>
      </w:tr>
      <w:tr w:rsidR="00534A2D" w14:paraId="56805BC5" w14:textId="77777777" w:rsidTr="001F79B0">
        <w:tc>
          <w:tcPr>
            <w:tcW w:w="4644" w:type="dxa"/>
            <w:gridSpan w:val="2"/>
          </w:tcPr>
          <w:p w14:paraId="1C4D4D72" w14:textId="77777777" w:rsidR="00622059" w:rsidRPr="00BD646C" w:rsidRDefault="00000000" w:rsidP="001F79B0">
            <w:pPr>
              <w:rPr>
                <w:b/>
                <w:bCs/>
                <w:szCs w:val="22"/>
                <w:lang w:val="de-DE"/>
              </w:rPr>
            </w:pPr>
            <w:r w:rsidRPr="00BD646C">
              <w:rPr>
                <w:b/>
                <w:bCs/>
                <w:szCs w:val="22"/>
                <w:lang w:val="de-DE"/>
              </w:rPr>
              <w:t>Deutschland</w:t>
            </w:r>
          </w:p>
          <w:p w14:paraId="5CA0BE84" w14:textId="77777777" w:rsidR="00622059" w:rsidRPr="00BD646C" w:rsidRDefault="00000000" w:rsidP="001F79B0">
            <w:pPr>
              <w:rPr>
                <w:bCs/>
                <w:szCs w:val="22"/>
                <w:lang w:val="de-DE"/>
              </w:rPr>
            </w:pPr>
            <w:r w:rsidRPr="00BD646C">
              <w:rPr>
                <w:szCs w:val="22"/>
                <w:lang w:val="de-DE"/>
              </w:rPr>
              <w:t xml:space="preserve">AbbVie Deutschland </w:t>
            </w:r>
            <w:r w:rsidRPr="00BD646C">
              <w:rPr>
                <w:bCs/>
                <w:szCs w:val="22"/>
                <w:lang w:val="de-DE"/>
              </w:rPr>
              <w:t>GmbH &amp; Co. KG</w:t>
            </w:r>
          </w:p>
          <w:p w14:paraId="1DB9BF52" w14:textId="77777777" w:rsidR="00622059" w:rsidRPr="00BD646C" w:rsidRDefault="00000000" w:rsidP="001F79B0">
            <w:pPr>
              <w:rPr>
                <w:szCs w:val="22"/>
                <w:lang w:val="de-DE"/>
              </w:rPr>
            </w:pPr>
            <w:r w:rsidRPr="00BD646C">
              <w:rPr>
                <w:szCs w:val="22"/>
                <w:lang w:val="de-DE"/>
              </w:rPr>
              <w:t>Tel: 00800 222843 33 (gebührenfrei)</w:t>
            </w:r>
          </w:p>
          <w:p w14:paraId="79ED7FCE" w14:textId="77777777" w:rsidR="00622059" w:rsidRPr="00BD646C" w:rsidRDefault="00000000" w:rsidP="001F79B0">
            <w:pPr>
              <w:rPr>
                <w:szCs w:val="22"/>
                <w:lang w:val="de-DE"/>
              </w:rPr>
            </w:pPr>
            <w:r w:rsidRPr="00BD646C">
              <w:rPr>
                <w:szCs w:val="22"/>
                <w:lang w:val="de-DE"/>
              </w:rPr>
              <w:t>Tel: +49 (0) 611 / 1720-0</w:t>
            </w:r>
          </w:p>
          <w:p w14:paraId="274D0BEE" w14:textId="77777777" w:rsidR="00622059" w:rsidRPr="00BD646C" w:rsidRDefault="00622059" w:rsidP="001F79B0">
            <w:pPr>
              <w:rPr>
                <w:szCs w:val="22"/>
                <w:lang w:val="de-DE"/>
              </w:rPr>
            </w:pPr>
          </w:p>
        </w:tc>
        <w:tc>
          <w:tcPr>
            <w:tcW w:w="4678" w:type="dxa"/>
            <w:gridSpan w:val="2"/>
          </w:tcPr>
          <w:p w14:paraId="51CF7A4F" w14:textId="77777777" w:rsidR="00622059" w:rsidRPr="00BD646C" w:rsidRDefault="00000000" w:rsidP="001F79B0">
            <w:pPr>
              <w:rPr>
                <w:b/>
                <w:bCs/>
                <w:szCs w:val="22"/>
                <w:lang w:val="nl-NL"/>
              </w:rPr>
            </w:pPr>
            <w:r w:rsidRPr="00BD646C">
              <w:rPr>
                <w:b/>
                <w:bCs/>
                <w:szCs w:val="22"/>
                <w:lang w:val="nl-NL"/>
              </w:rPr>
              <w:t>Nederland</w:t>
            </w:r>
          </w:p>
          <w:p w14:paraId="1F94022A" w14:textId="77777777" w:rsidR="00622059" w:rsidRPr="00BD646C" w:rsidRDefault="00000000" w:rsidP="001F79B0">
            <w:pPr>
              <w:rPr>
                <w:bCs/>
                <w:szCs w:val="22"/>
                <w:lang w:val="de-DE"/>
              </w:rPr>
            </w:pPr>
            <w:r w:rsidRPr="00BD646C">
              <w:rPr>
                <w:bCs/>
                <w:szCs w:val="22"/>
                <w:lang w:val="de-DE"/>
              </w:rPr>
              <w:t>AbbVie B.V.</w:t>
            </w:r>
          </w:p>
          <w:p w14:paraId="0C23DA74" w14:textId="77777777" w:rsidR="00622059" w:rsidRPr="00BD646C" w:rsidRDefault="00000000" w:rsidP="001F79B0">
            <w:pPr>
              <w:rPr>
                <w:bCs/>
                <w:szCs w:val="22"/>
                <w:lang w:val="de-DE"/>
              </w:rPr>
            </w:pPr>
            <w:r w:rsidRPr="00BD646C">
              <w:rPr>
                <w:bCs/>
                <w:szCs w:val="22"/>
                <w:lang w:val="de-DE"/>
              </w:rPr>
              <w:t>Tel: +31 (0)88 322 2843</w:t>
            </w:r>
          </w:p>
        </w:tc>
      </w:tr>
      <w:tr w:rsidR="00534A2D" w14:paraId="32B09669" w14:textId="77777777" w:rsidTr="001F79B0">
        <w:tc>
          <w:tcPr>
            <w:tcW w:w="4644" w:type="dxa"/>
            <w:gridSpan w:val="2"/>
          </w:tcPr>
          <w:p w14:paraId="154D8749" w14:textId="77777777" w:rsidR="00622059" w:rsidRPr="00BD646C" w:rsidRDefault="00000000" w:rsidP="001F79B0">
            <w:pPr>
              <w:rPr>
                <w:b/>
                <w:bCs/>
                <w:szCs w:val="22"/>
                <w:lang w:val="et-EE"/>
              </w:rPr>
            </w:pPr>
            <w:r w:rsidRPr="00BD646C">
              <w:rPr>
                <w:b/>
                <w:bCs/>
                <w:szCs w:val="22"/>
                <w:lang w:val="et-EE"/>
              </w:rPr>
              <w:t>Eesti</w:t>
            </w:r>
          </w:p>
          <w:p w14:paraId="5A4BB284" w14:textId="77777777" w:rsidR="00622059" w:rsidRPr="00BD646C" w:rsidRDefault="00000000" w:rsidP="001F79B0">
            <w:pPr>
              <w:rPr>
                <w:bCs/>
                <w:szCs w:val="22"/>
                <w:lang w:val="et-EE"/>
              </w:rPr>
            </w:pPr>
            <w:r w:rsidRPr="00BD646C">
              <w:rPr>
                <w:bCs/>
                <w:szCs w:val="22"/>
                <w:lang w:val="et-EE"/>
              </w:rPr>
              <w:t xml:space="preserve">AbbVie </w:t>
            </w:r>
            <w:r w:rsidRPr="00BD646C">
              <w:rPr>
                <w:bCs/>
                <w:szCs w:val="22"/>
                <w:lang w:val="sk-SK"/>
              </w:rPr>
              <w:t>OÜ</w:t>
            </w:r>
            <w:r w:rsidRPr="00BD646C">
              <w:rPr>
                <w:bCs/>
                <w:szCs w:val="22"/>
                <w:lang w:val="et-EE"/>
              </w:rPr>
              <w:t xml:space="preserve"> </w:t>
            </w:r>
          </w:p>
          <w:p w14:paraId="250C583B" w14:textId="77777777" w:rsidR="00622059" w:rsidRPr="00BD646C" w:rsidRDefault="00000000" w:rsidP="001F79B0">
            <w:pPr>
              <w:rPr>
                <w:bCs/>
                <w:szCs w:val="22"/>
                <w:lang w:val="lv-LV"/>
              </w:rPr>
            </w:pPr>
            <w:r w:rsidRPr="00BD646C">
              <w:rPr>
                <w:bCs/>
                <w:szCs w:val="22"/>
                <w:lang w:val="et-EE"/>
              </w:rPr>
              <w:t>Tel: +372 623 1011</w:t>
            </w:r>
          </w:p>
        </w:tc>
        <w:tc>
          <w:tcPr>
            <w:tcW w:w="4678" w:type="dxa"/>
            <w:gridSpan w:val="2"/>
          </w:tcPr>
          <w:p w14:paraId="65A1A6F3" w14:textId="77777777" w:rsidR="00622059" w:rsidRPr="00BD646C" w:rsidRDefault="00000000" w:rsidP="001F79B0">
            <w:pPr>
              <w:rPr>
                <w:b/>
                <w:bCs/>
                <w:szCs w:val="22"/>
                <w:lang w:val="nb-NO"/>
              </w:rPr>
            </w:pPr>
            <w:r w:rsidRPr="00BD646C">
              <w:rPr>
                <w:b/>
                <w:bCs/>
                <w:szCs w:val="22"/>
                <w:lang w:val="nb-NO"/>
              </w:rPr>
              <w:t>Norge</w:t>
            </w:r>
          </w:p>
          <w:p w14:paraId="058E981D" w14:textId="77777777" w:rsidR="00622059" w:rsidRPr="00BD646C" w:rsidRDefault="00000000" w:rsidP="001F79B0">
            <w:pPr>
              <w:rPr>
                <w:bCs/>
                <w:szCs w:val="22"/>
                <w:lang w:val="sk-SK"/>
              </w:rPr>
            </w:pPr>
            <w:r w:rsidRPr="00BD646C">
              <w:rPr>
                <w:bCs/>
                <w:szCs w:val="22"/>
                <w:lang w:val="sk-SK"/>
              </w:rPr>
              <w:t>AbbVie AS</w:t>
            </w:r>
          </w:p>
          <w:p w14:paraId="4A6E5039" w14:textId="77777777" w:rsidR="00622059" w:rsidRPr="00BD646C" w:rsidRDefault="00000000" w:rsidP="001F79B0">
            <w:pPr>
              <w:rPr>
                <w:bCs/>
                <w:szCs w:val="22"/>
                <w:lang w:val="sk-SK"/>
              </w:rPr>
            </w:pPr>
            <w:r w:rsidRPr="00BD646C">
              <w:rPr>
                <w:bCs/>
                <w:szCs w:val="22"/>
                <w:lang w:val="sk-SK"/>
              </w:rPr>
              <w:t>Tlf: +47 67 81 80 00</w:t>
            </w:r>
          </w:p>
          <w:p w14:paraId="050883AF" w14:textId="77777777" w:rsidR="00622059" w:rsidRPr="00BD646C" w:rsidRDefault="00622059" w:rsidP="001F79B0">
            <w:pPr>
              <w:rPr>
                <w:bCs/>
                <w:szCs w:val="22"/>
                <w:lang w:val="sk-SK"/>
              </w:rPr>
            </w:pPr>
          </w:p>
        </w:tc>
      </w:tr>
      <w:tr w:rsidR="00534A2D" w14:paraId="0AE5B512" w14:textId="77777777" w:rsidTr="001F79B0">
        <w:trPr>
          <w:trHeight w:val="794"/>
        </w:trPr>
        <w:tc>
          <w:tcPr>
            <w:tcW w:w="4644" w:type="dxa"/>
            <w:gridSpan w:val="2"/>
          </w:tcPr>
          <w:p w14:paraId="3B86F8B6" w14:textId="77777777" w:rsidR="00622059" w:rsidRPr="00BD646C" w:rsidRDefault="00000000" w:rsidP="001F79B0">
            <w:pPr>
              <w:rPr>
                <w:b/>
                <w:bCs/>
                <w:szCs w:val="22"/>
                <w:lang w:val="el-GR"/>
              </w:rPr>
            </w:pPr>
            <w:r w:rsidRPr="00BD646C">
              <w:rPr>
                <w:b/>
                <w:bCs/>
                <w:szCs w:val="22"/>
                <w:lang w:val="el-GR"/>
              </w:rPr>
              <w:t>Ελλάδα</w:t>
            </w:r>
          </w:p>
          <w:p w14:paraId="44002B4B" w14:textId="77777777" w:rsidR="00622059" w:rsidRPr="00BD646C" w:rsidRDefault="00000000" w:rsidP="001F79B0">
            <w:pPr>
              <w:rPr>
                <w:bCs/>
                <w:szCs w:val="22"/>
                <w:lang w:val="el-GR"/>
              </w:rPr>
            </w:pPr>
            <w:r w:rsidRPr="00BD646C">
              <w:rPr>
                <w:bCs/>
                <w:szCs w:val="22"/>
                <w:lang w:val="et-EE"/>
              </w:rPr>
              <w:t xml:space="preserve">AbbVie </w:t>
            </w:r>
            <w:r w:rsidRPr="00BD646C">
              <w:rPr>
                <w:szCs w:val="22"/>
                <w:lang w:val="el-GR"/>
              </w:rPr>
              <w:t>ΦΑΡΜΑΚΕΥΤΙΚΗ Α.Ε.</w:t>
            </w:r>
          </w:p>
          <w:p w14:paraId="5589B988" w14:textId="77777777" w:rsidR="00622059" w:rsidRPr="00BD646C" w:rsidRDefault="00000000" w:rsidP="001F79B0">
            <w:pPr>
              <w:rPr>
                <w:bCs/>
                <w:szCs w:val="22"/>
                <w:lang w:val="sk-SK"/>
              </w:rPr>
            </w:pPr>
            <w:r w:rsidRPr="00BD646C">
              <w:rPr>
                <w:bCs/>
                <w:szCs w:val="22"/>
                <w:lang w:val="el-GR"/>
              </w:rPr>
              <w:t xml:space="preserve">Τηλ: +30 </w:t>
            </w:r>
            <w:r w:rsidRPr="00BD646C">
              <w:rPr>
                <w:bCs/>
                <w:szCs w:val="22"/>
                <w:lang w:val="sk-SK"/>
              </w:rPr>
              <w:t>214 4165 555</w:t>
            </w:r>
          </w:p>
        </w:tc>
        <w:tc>
          <w:tcPr>
            <w:tcW w:w="4678" w:type="dxa"/>
            <w:gridSpan w:val="2"/>
          </w:tcPr>
          <w:p w14:paraId="1F9F75B8" w14:textId="77777777" w:rsidR="00622059" w:rsidRPr="00BD646C" w:rsidRDefault="00000000" w:rsidP="001F79B0">
            <w:pPr>
              <w:rPr>
                <w:b/>
                <w:bCs/>
                <w:szCs w:val="22"/>
                <w:lang w:val="de-DE"/>
              </w:rPr>
            </w:pPr>
            <w:r w:rsidRPr="00BD646C">
              <w:rPr>
                <w:b/>
                <w:bCs/>
                <w:szCs w:val="22"/>
                <w:lang w:val="de-DE"/>
              </w:rPr>
              <w:t>Österreich</w:t>
            </w:r>
          </w:p>
          <w:p w14:paraId="4373C91E" w14:textId="77777777" w:rsidR="00622059" w:rsidRPr="00BD646C" w:rsidRDefault="00000000" w:rsidP="001F79B0">
            <w:pPr>
              <w:rPr>
                <w:bCs/>
                <w:szCs w:val="22"/>
                <w:lang w:val="de-DE"/>
              </w:rPr>
            </w:pPr>
            <w:r w:rsidRPr="00BD646C">
              <w:rPr>
                <w:bCs/>
                <w:szCs w:val="22"/>
                <w:lang w:val="de-DE"/>
              </w:rPr>
              <w:t xml:space="preserve">AbbVie GmbH </w:t>
            </w:r>
          </w:p>
          <w:p w14:paraId="4BF7635B" w14:textId="77777777" w:rsidR="00622059" w:rsidRPr="00BD646C" w:rsidRDefault="00000000" w:rsidP="001F79B0">
            <w:pPr>
              <w:rPr>
                <w:bCs/>
                <w:szCs w:val="22"/>
                <w:lang w:val="de-DE"/>
              </w:rPr>
            </w:pPr>
            <w:r w:rsidRPr="00BD646C">
              <w:rPr>
                <w:bCs/>
                <w:szCs w:val="22"/>
                <w:lang w:val="de-DE"/>
              </w:rPr>
              <w:t>Tel: +43 1 20589-0</w:t>
            </w:r>
          </w:p>
          <w:p w14:paraId="6CAB83A1" w14:textId="77777777" w:rsidR="00622059" w:rsidRPr="00BD646C" w:rsidRDefault="00622059" w:rsidP="001F79B0">
            <w:pPr>
              <w:rPr>
                <w:bCs/>
                <w:szCs w:val="22"/>
                <w:lang w:val="de-DE"/>
              </w:rPr>
            </w:pPr>
          </w:p>
        </w:tc>
      </w:tr>
      <w:tr w:rsidR="00534A2D" w14:paraId="18F70F57" w14:textId="77777777" w:rsidTr="001F79B0">
        <w:trPr>
          <w:gridBefore w:val="1"/>
          <w:wBefore w:w="34" w:type="dxa"/>
        </w:trPr>
        <w:tc>
          <w:tcPr>
            <w:tcW w:w="4644" w:type="dxa"/>
            <w:gridSpan w:val="2"/>
          </w:tcPr>
          <w:p w14:paraId="29603780" w14:textId="77777777" w:rsidR="00622059" w:rsidRPr="00BD646C" w:rsidRDefault="00000000" w:rsidP="001F79B0">
            <w:pPr>
              <w:rPr>
                <w:b/>
                <w:bCs/>
                <w:szCs w:val="22"/>
                <w:lang w:val="es-ES"/>
              </w:rPr>
            </w:pPr>
            <w:r w:rsidRPr="00BD646C">
              <w:rPr>
                <w:b/>
                <w:bCs/>
                <w:szCs w:val="22"/>
                <w:lang w:val="es-ES"/>
              </w:rPr>
              <w:t>España</w:t>
            </w:r>
          </w:p>
          <w:p w14:paraId="6B3DF9AC" w14:textId="77777777" w:rsidR="00622059" w:rsidRPr="00BD646C" w:rsidRDefault="00000000" w:rsidP="001F79B0">
            <w:pPr>
              <w:rPr>
                <w:szCs w:val="22"/>
                <w:lang w:val="es-ES"/>
              </w:rPr>
            </w:pPr>
            <w:r w:rsidRPr="00BD646C">
              <w:rPr>
                <w:szCs w:val="22"/>
                <w:lang w:val="es-ES"/>
              </w:rPr>
              <w:t xml:space="preserve">AbbVie </w:t>
            </w:r>
            <w:r w:rsidRPr="00BD646C">
              <w:rPr>
                <w:bCs/>
                <w:szCs w:val="22"/>
                <w:lang w:val="es-ES"/>
              </w:rPr>
              <w:t>Spain</w:t>
            </w:r>
            <w:r w:rsidRPr="00BD646C">
              <w:rPr>
                <w:szCs w:val="22"/>
                <w:lang w:val="es-ES"/>
              </w:rPr>
              <w:t>, S.L.U</w:t>
            </w:r>
            <w:r w:rsidRPr="00BD646C">
              <w:rPr>
                <w:bCs/>
                <w:szCs w:val="22"/>
                <w:lang w:val="es-ES"/>
              </w:rPr>
              <w:t>.</w:t>
            </w:r>
          </w:p>
          <w:p w14:paraId="43A022F6" w14:textId="77777777" w:rsidR="00622059" w:rsidRPr="00BD646C" w:rsidRDefault="00000000" w:rsidP="001F79B0">
            <w:pPr>
              <w:rPr>
                <w:bCs/>
                <w:szCs w:val="22"/>
                <w:lang w:val="pl-PL"/>
              </w:rPr>
            </w:pPr>
            <w:r w:rsidRPr="00BD646C">
              <w:rPr>
                <w:bCs/>
                <w:szCs w:val="22"/>
                <w:lang w:val="pt-PT"/>
              </w:rPr>
              <w:t>Tel: +34 91 384 09 10</w:t>
            </w:r>
          </w:p>
        </w:tc>
        <w:tc>
          <w:tcPr>
            <w:tcW w:w="4678" w:type="dxa"/>
          </w:tcPr>
          <w:p w14:paraId="716A0B5C" w14:textId="77777777" w:rsidR="00622059" w:rsidRPr="00BD646C" w:rsidRDefault="00000000" w:rsidP="001F79B0">
            <w:pPr>
              <w:rPr>
                <w:b/>
                <w:bCs/>
                <w:iCs/>
                <w:szCs w:val="22"/>
                <w:lang w:val="pl-PL"/>
              </w:rPr>
            </w:pPr>
            <w:r w:rsidRPr="00BD646C">
              <w:rPr>
                <w:b/>
                <w:bCs/>
                <w:iCs/>
                <w:szCs w:val="22"/>
                <w:lang w:val="pl-PL"/>
              </w:rPr>
              <w:t>Polska</w:t>
            </w:r>
          </w:p>
          <w:p w14:paraId="0C42BA04" w14:textId="77777777" w:rsidR="00622059" w:rsidRPr="00BD646C" w:rsidRDefault="00000000" w:rsidP="001F79B0">
            <w:pPr>
              <w:rPr>
                <w:bCs/>
                <w:szCs w:val="22"/>
                <w:lang w:val="pl-PL"/>
              </w:rPr>
            </w:pPr>
            <w:r w:rsidRPr="00BD646C">
              <w:rPr>
                <w:bCs/>
                <w:szCs w:val="22"/>
                <w:lang w:val="pl-PL"/>
              </w:rPr>
              <w:t>AbbVie Sp. z o.o.</w:t>
            </w:r>
          </w:p>
          <w:p w14:paraId="76E6ED03" w14:textId="77777777" w:rsidR="00622059" w:rsidRPr="00BD646C" w:rsidRDefault="00000000" w:rsidP="001F79B0">
            <w:pPr>
              <w:rPr>
                <w:bCs/>
                <w:szCs w:val="22"/>
                <w:lang w:val="pl-PL"/>
              </w:rPr>
            </w:pPr>
            <w:r w:rsidRPr="00BD646C">
              <w:rPr>
                <w:szCs w:val="22"/>
                <w:lang w:val="es-ES"/>
              </w:rPr>
              <w:t xml:space="preserve">Tel.: +48 22 </w:t>
            </w:r>
            <w:r w:rsidRPr="00BD646C">
              <w:rPr>
                <w:bCs/>
                <w:szCs w:val="22"/>
                <w:lang w:val="pl-PL"/>
              </w:rPr>
              <w:t xml:space="preserve">372 78 00 </w:t>
            </w:r>
          </w:p>
          <w:p w14:paraId="141F89D3" w14:textId="77777777" w:rsidR="00622059" w:rsidRPr="00BD646C" w:rsidRDefault="00622059" w:rsidP="001F79B0">
            <w:pPr>
              <w:rPr>
                <w:bCs/>
                <w:szCs w:val="22"/>
                <w:lang w:val="pl-PL"/>
              </w:rPr>
            </w:pPr>
          </w:p>
        </w:tc>
      </w:tr>
      <w:tr w:rsidR="00534A2D" w14:paraId="40AFCD34" w14:textId="77777777" w:rsidTr="001F79B0">
        <w:trPr>
          <w:trHeight w:val="734"/>
        </w:trPr>
        <w:tc>
          <w:tcPr>
            <w:tcW w:w="4678" w:type="dxa"/>
            <w:gridSpan w:val="3"/>
          </w:tcPr>
          <w:p w14:paraId="59142C1C" w14:textId="77777777" w:rsidR="00622059" w:rsidRPr="00BD646C" w:rsidRDefault="00000000" w:rsidP="001F79B0">
            <w:pPr>
              <w:rPr>
                <w:b/>
                <w:bCs/>
                <w:szCs w:val="22"/>
                <w:lang w:val="fr-FR"/>
              </w:rPr>
            </w:pPr>
            <w:r w:rsidRPr="00BD646C">
              <w:rPr>
                <w:b/>
                <w:bCs/>
                <w:szCs w:val="22"/>
                <w:lang w:val="fr-FR"/>
              </w:rPr>
              <w:t>France</w:t>
            </w:r>
          </w:p>
          <w:p w14:paraId="75ED0E27" w14:textId="77777777" w:rsidR="00622059" w:rsidRPr="00BD646C" w:rsidRDefault="00000000" w:rsidP="001F79B0">
            <w:pPr>
              <w:rPr>
                <w:bCs/>
                <w:szCs w:val="22"/>
                <w:lang w:val="fr-FR"/>
              </w:rPr>
            </w:pPr>
            <w:r w:rsidRPr="00BD646C">
              <w:rPr>
                <w:bCs/>
                <w:szCs w:val="22"/>
                <w:lang w:val="fr-FR"/>
              </w:rPr>
              <w:t>AbbVie</w:t>
            </w:r>
          </w:p>
          <w:p w14:paraId="2244E229" w14:textId="77777777" w:rsidR="00622059" w:rsidRPr="00BD646C" w:rsidRDefault="00000000" w:rsidP="001F79B0">
            <w:pPr>
              <w:rPr>
                <w:bCs/>
                <w:szCs w:val="22"/>
                <w:lang w:val="fr-FR"/>
              </w:rPr>
            </w:pPr>
            <w:r w:rsidRPr="00BD646C">
              <w:rPr>
                <w:bCs/>
                <w:szCs w:val="22"/>
                <w:lang w:val="fr-FR"/>
              </w:rPr>
              <w:t>Tél: +33 (0) 1 45 60 13 00</w:t>
            </w:r>
          </w:p>
        </w:tc>
        <w:tc>
          <w:tcPr>
            <w:tcW w:w="4678" w:type="dxa"/>
          </w:tcPr>
          <w:p w14:paraId="47A4F943" w14:textId="77777777" w:rsidR="00622059" w:rsidRPr="00BD646C" w:rsidRDefault="00000000" w:rsidP="001F79B0">
            <w:pPr>
              <w:rPr>
                <w:b/>
                <w:bCs/>
                <w:szCs w:val="22"/>
                <w:lang w:val="pt-PT"/>
              </w:rPr>
            </w:pPr>
            <w:r w:rsidRPr="00BD646C">
              <w:rPr>
                <w:b/>
                <w:bCs/>
                <w:szCs w:val="22"/>
                <w:lang w:val="pt-PT"/>
              </w:rPr>
              <w:t>Portugal</w:t>
            </w:r>
          </w:p>
          <w:p w14:paraId="1EFB6C4A" w14:textId="77777777" w:rsidR="00622059" w:rsidRPr="00BD646C" w:rsidRDefault="00000000" w:rsidP="001F79B0">
            <w:pPr>
              <w:rPr>
                <w:bCs/>
                <w:szCs w:val="22"/>
                <w:lang w:val="fr-FR"/>
              </w:rPr>
            </w:pPr>
            <w:r w:rsidRPr="00BD646C">
              <w:rPr>
                <w:bCs/>
                <w:szCs w:val="22"/>
                <w:lang w:val="fr-FR"/>
              </w:rPr>
              <w:t xml:space="preserve">AbbVie, Lda. </w:t>
            </w:r>
          </w:p>
          <w:p w14:paraId="2E760A68" w14:textId="77777777" w:rsidR="00622059" w:rsidRPr="00BD646C" w:rsidRDefault="00000000" w:rsidP="001F79B0">
            <w:pPr>
              <w:rPr>
                <w:szCs w:val="22"/>
                <w:lang w:val="fr-FR"/>
              </w:rPr>
            </w:pPr>
            <w:r w:rsidRPr="00BD646C">
              <w:rPr>
                <w:szCs w:val="22"/>
                <w:lang w:val="fr-FR"/>
              </w:rPr>
              <w:t>Tel: +351 (0)21 1908400</w:t>
            </w:r>
          </w:p>
          <w:p w14:paraId="017A021D" w14:textId="77777777" w:rsidR="00622059" w:rsidRPr="00BD646C" w:rsidRDefault="00622059" w:rsidP="001F79B0">
            <w:pPr>
              <w:rPr>
                <w:szCs w:val="22"/>
                <w:lang w:val="fr-FR"/>
              </w:rPr>
            </w:pPr>
          </w:p>
        </w:tc>
      </w:tr>
      <w:tr w:rsidR="00534A2D" w14:paraId="1061D4F9" w14:textId="77777777" w:rsidTr="001F79B0">
        <w:trPr>
          <w:gridBefore w:val="1"/>
          <w:wBefore w:w="34" w:type="dxa"/>
        </w:trPr>
        <w:tc>
          <w:tcPr>
            <w:tcW w:w="4644" w:type="dxa"/>
            <w:gridSpan w:val="2"/>
          </w:tcPr>
          <w:p w14:paraId="33602659" w14:textId="77777777" w:rsidR="00622059" w:rsidRPr="005B1CF3" w:rsidRDefault="00000000" w:rsidP="001F79B0">
            <w:pPr>
              <w:rPr>
                <w:szCs w:val="22"/>
                <w:rPrChange w:id="13882" w:author="Abbvie02" w:date="2025-05-16T11:17:00Z">
                  <w:rPr>
                    <w:szCs w:val="22"/>
                    <w:lang w:val="en-GB"/>
                  </w:rPr>
                </w:rPrChange>
              </w:rPr>
            </w:pPr>
            <w:r w:rsidRPr="005B1CF3">
              <w:rPr>
                <w:b/>
                <w:bCs/>
                <w:szCs w:val="22"/>
                <w:rPrChange w:id="13883" w:author="Abbvie02" w:date="2025-05-16T11:17:00Z">
                  <w:rPr>
                    <w:b/>
                    <w:bCs/>
                    <w:szCs w:val="22"/>
                    <w:lang w:val="en-GB"/>
                  </w:rPr>
                </w:rPrChange>
              </w:rPr>
              <w:t xml:space="preserve">Hrvatska </w:t>
            </w:r>
          </w:p>
          <w:p w14:paraId="0AABFD33" w14:textId="77777777" w:rsidR="00622059" w:rsidRPr="00BD646C" w:rsidRDefault="00000000" w:rsidP="001F79B0">
            <w:pPr>
              <w:rPr>
                <w:szCs w:val="22"/>
                <w:lang w:val="hr-HR"/>
              </w:rPr>
            </w:pPr>
            <w:r w:rsidRPr="00BD646C">
              <w:rPr>
                <w:szCs w:val="22"/>
                <w:lang w:val="hr-HR"/>
              </w:rPr>
              <w:t>AbbVie d.o.o.</w:t>
            </w:r>
          </w:p>
          <w:p w14:paraId="031D5157" w14:textId="77777777" w:rsidR="00622059" w:rsidRPr="00BD646C" w:rsidRDefault="00000000" w:rsidP="001F79B0">
            <w:pPr>
              <w:rPr>
                <w:bCs/>
                <w:szCs w:val="22"/>
                <w:lang w:val="it-IT"/>
              </w:rPr>
            </w:pPr>
            <w:r w:rsidRPr="00BD646C">
              <w:rPr>
                <w:szCs w:val="22"/>
                <w:lang w:val="hr-HR"/>
              </w:rPr>
              <w:t xml:space="preserve">Tel + 385 (0)1 </w:t>
            </w:r>
            <w:r w:rsidRPr="00BD646C">
              <w:rPr>
                <w:szCs w:val="22"/>
                <w:lang w:val="en-US"/>
              </w:rPr>
              <w:t>5625 501</w:t>
            </w:r>
          </w:p>
        </w:tc>
        <w:tc>
          <w:tcPr>
            <w:tcW w:w="4678" w:type="dxa"/>
          </w:tcPr>
          <w:p w14:paraId="16C638D8" w14:textId="77777777" w:rsidR="00622059" w:rsidRPr="00BD646C" w:rsidRDefault="00000000" w:rsidP="001F79B0">
            <w:pPr>
              <w:rPr>
                <w:b/>
                <w:bCs/>
                <w:szCs w:val="22"/>
                <w:lang w:val="it-IT"/>
              </w:rPr>
            </w:pPr>
            <w:r w:rsidRPr="00BD646C">
              <w:rPr>
                <w:b/>
                <w:bCs/>
                <w:szCs w:val="22"/>
                <w:lang w:val="it-IT"/>
              </w:rPr>
              <w:t>România</w:t>
            </w:r>
          </w:p>
          <w:p w14:paraId="4D7F7FD3" w14:textId="77777777" w:rsidR="00622059" w:rsidRPr="00BD646C" w:rsidRDefault="00000000" w:rsidP="001F79B0">
            <w:pPr>
              <w:rPr>
                <w:szCs w:val="22"/>
                <w:lang w:val="it-IT"/>
              </w:rPr>
            </w:pPr>
            <w:r w:rsidRPr="00BD646C">
              <w:rPr>
                <w:szCs w:val="22"/>
                <w:lang w:val="it-IT"/>
              </w:rPr>
              <w:t>AbbVie S.R.L.</w:t>
            </w:r>
          </w:p>
          <w:p w14:paraId="2F57ABD4" w14:textId="77777777" w:rsidR="00622059" w:rsidRPr="00BD646C" w:rsidRDefault="00000000" w:rsidP="001F79B0">
            <w:pPr>
              <w:rPr>
                <w:szCs w:val="22"/>
                <w:lang w:val="pl-PL"/>
              </w:rPr>
            </w:pPr>
            <w:r w:rsidRPr="00BD646C">
              <w:rPr>
                <w:szCs w:val="22"/>
                <w:lang w:val="pl-PL"/>
              </w:rPr>
              <w:t>Tel: +40 21 529 30 35</w:t>
            </w:r>
          </w:p>
          <w:p w14:paraId="5167A640" w14:textId="77777777" w:rsidR="00622059" w:rsidRPr="00BD646C" w:rsidRDefault="00622059" w:rsidP="001F79B0">
            <w:pPr>
              <w:rPr>
                <w:szCs w:val="22"/>
                <w:lang w:val="pl-PL"/>
              </w:rPr>
            </w:pPr>
          </w:p>
        </w:tc>
      </w:tr>
      <w:tr w:rsidR="00534A2D" w14:paraId="13414AA4" w14:textId="77777777" w:rsidTr="001F79B0">
        <w:trPr>
          <w:gridBefore w:val="1"/>
          <w:wBefore w:w="34" w:type="dxa"/>
        </w:trPr>
        <w:tc>
          <w:tcPr>
            <w:tcW w:w="4644" w:type="dxa"/>
            <w:gridSpan w:val="2"/>
          </w:tcPr>
          <w:p w14:paraId="14340144" w14:textId="77777777" w:rsidR="00622059" w:rsidRPr="00BD646C" w:rsidRDefault="00000000" w:rsidP="001F79B0">
            <w:pPr>
              <w:rPr>
                <w:b/>
                <w:bCs/>
                <w:szCs w:val="22"/>
                <w:lang w:val="sk-SK"/>
              </w:rPr>
            </w:pPr>
            <w:r w:rsidRPr="00BD646C">
              <w:rPr>
                <w:b/>
                <w:bCs/>
                <w:szCs w:val="22"/>
                <w:lang w:val="sk-SK"/>
              </w:rPr>
              <w:t>Ireland</w:t>
            </w:r>
          </w:p>
          <w:p w14:paraId="2A215902" w14:textId="77777777" w:rsidR="00622059" w:rsidRPr="00BD646C" w:rsidRDefault="00000000" w:rsidP="001F79B0">
            <w:pPr>
              <w:rPr>
                <w:bCs/>
                <w:szCs w:val="22"/>
                <w:lang w:val="sk-SK"/>
              </w:rPr>
            </w:pPr>
            <w:r w:rsidRPr="00BD646C">
              <w:rPr>
                <w:bCs/>
                <w:szCs w:val="22"/>
                <w:lang w:val="sk-SK"/>
              </w:rPr>
              <w:t xml:space="preserve">AbbVie Limited </w:t>
            </w:r>
          </w:p>
          <w:p w14:paraId="5C606A41" w14:textId="77777777" w:rsidR="00622059" w:rsidRPr="00BD646C" w:rsidRDefault="00000000" w:rsidP="001F79B0">
            <w:pPr>
              <w:rPr>
                <w:bCs/>
                <w:szCs w:val="22"/>
                <w:lang w:val="sk-SK"/>
              </w:rPr>
            </w:pPr>
            <w:r w:rsidRPr="00BD646C">
              <w:rPr>
                <w:bCs/>
                <w:szCs w:val="22"/>
                <w:lang w:val="pt-PT"/>
              </w:rPr>
              <w:t>Tel: +353 (0)1 42879</w:t>
            </w:r>
            <w:r w:rsidR="00C57483">
              <w:rPr>
                <w:bCs/>
                <w:szCs w:val="22"/>
                <w:lang w:val="pt-PT"/>
              </w:rPr>
              <w:t>0</w:t>
            </w:r>
            <w:r w:rsidRPr="00BD646C">
              <w:rPr>
                <w:bCs/>
                <w:szCs w:val="22"/>
                <w:lang w:val="pt-PT"/>
              </w:rPr>
              <w:t>0</w:t>
            </w:r>
          </w:p>
        </w:tc>
        <w:tc>
          <w:tcPr>
            <w:tcW w:w="4678" w:type="dxa"/>
          </w:tcPr>
          <w:p w14:paraId="79D93938" w14:textId="77777777" w:rsidR="00622059" w:rsidRPr="00BD646C" w:rsidRDefault="00000000" w:rsidP="001F79B0">
            <w:pPr>
              <w:rPr>
                <w:b/>
                <w:bCs/>
                <w:szCs w:val="22"/>
                <w:lang w:val="sl-SI"/>
              </w:rPr>
            </w:pPr>
            <w:r w:rsidRPr="00BD646C">
              <w:rPr>
                <w:b/>
                <w:bCs/>
                <w:szCs w:val="22"/>
                <w:lang w:val="sl-SI"/>
              </w:rPr>
              <w:t>Slovenija</w:t>
            </w:r>
          </w:p>
          <w:p w14:paraId="1D7511FB" w14:textId="77777777" w:rsidR="00622059" w:rsidRPr="00BD646C" w:rsidRDefault="00000000" w:rsidP="001F79B0">
            <w:pPr>
              <w:rPr>
                <w:bCs/>
                <w:szCs w:val="22"/>
                <w:lang w:val="sl-SI"/>
              </w:rPr>
            </w:pPr>
            <w:r w:rsidRPr="00BD646C">
              <w:rPr>
                <w:bCs/>
                <w:szCs w:val="22"/>
                <w:lang w:val="sl-SI"/>
              </w:rPr>
              <w:t xml:space="preserve">AbbVie </w:t>
            </w:r>
            <w:r w:rsidRPr="00BD646C">
              <w:rPr>
                <w:szCs w:val="22"/>
                <w:lang w:val="sl-SI"/>
              </w:rPr>
              <w:t>Biofarmacevtska družba d.o.o.</w:t>
            </w:r>
          </w:p>
          <w:p w14:paraId="2F3F8EBF" w14:textId="77777777" w:rsidR="00622059" w:rsidRPr="00BD646C" w:rsidRDefault="00000000" w:rsidP="001F79B0">
            <w:pPr>
              <w:rPr>
                <w:bCs/>
                <w:szCs w:val="22"/>
                <w:lang w:val="sl-SI"/>
              </w:rPr>
            </w:pPr>
            <w:r w:rsidRPr="00BD646C">
              <w:rPr>
                <w:bCs/>
                <w:szCs w:val="22"/>
                <w:lang w:val="sl-SI"/>
              </w:rPr>
              <w:t>Tel: +386 (1)32 08 060</w:t>
            </w:r>
          </w:p>
          <w:p w14:paraId="3453F095" w14:textId="77777777" w:rsidR="00622059" w:rsidRPr="00BD646C" w:rsidRDefault="00622059" w:rsidP="001F79B0">
            <w:pPr>
              <w:rPr>
                <w:bCs/>
                <w:szCs w:val="22"/>
                <w:lang w:val="sl-SI"/>
              </w:rPr>
            </w:pPr>
          </w:p>
        </w:tc>
      </w:tr>
      <w:tr w:rsidR="00534A2D" w14:paraId="5708858D" w14:textId="77777777" w:rsidTr="001F79B0">
        <w:trPr>
          <w:gridBefore w:val="1"/>
          <w:wBefore w:w="34" w:type="dxa"/>
        </w:trPr>
        <w:tc>
          <w:tcPr>
            <w:tcW w:w="4644" w:type="dxa"/>
            <w:gridSpan w:val="2"/>
          </w:tcPr>
          <w:p w14:paraId="4AD92622" w14:textId="77777777" w:rsidR="00622059" w:rsidRPr="00BD646C" w:rsidRDefault="00000000" w:rsidP="001F79B0">
            <w:pPr>
              <w:rPr>
                <w:b/>
                <w:bCs/>
                <w:szCs w:val="22"/>
                <w:lang w:val="is-IS"/>
              </w:rPr>
            </w:pPr>
            <w:r w:rsidRPr="00BD646C">
              <w:rPr>
                <w:b/>
                <w:bCs/>
                <w:szCs w:val="22"/>
                <w:lang w:val="is-IS"/>
              </w:rPr>
              <w:t>Ísland</w:t>
            </w:r>
          </w:p>
          <w:p w14:paraId="0798B4CE" w14:textId="77777777" w:rsidR="00622059" w:rsidRPr="00BD646C" w:rsidRDefault="00000000" w:rsidP="001F79B0">
            <w:pPr>
              <w:rPr>
                <w:bCs/>
                <w:szCs w:val="22"/>
                <w:lang w:val="sk-SK"/>
              </w:rPr>
            </w:pPr>
            <w:r w:rsidRPr="00BD646C">
              <w:rPr>
                <w:bCs/>
                <w:szCs w:val="22"/>
                <w:lang w:val="sk-SK"/>
              </w:rPr>
              <w:t>Vistor</w:t>
            </w:r>
            <w:del w:id="13884" w:author="AbbVie1" w:date="2025-05-13T10:18:00Z">
              <w:r w:rsidRPr="00BD646C">
                <w:rPr>
                  <w:bCs/>
                  <w:szCs w:val="22"/>
                  <w:lang w:val="sk-SK"/>
                </w:rPr>
                <w:delText xml:space="preserve"> hf.</w:delText>
              </w:r>
            </w:del>
          </w:p>
          <w:p w14:paraId="085CFD22" w14:textId="77777777" w:rsidR="00622059" w:rsidRPr="00BD646C" w:rsidRDefault="00000000" w:rsidP="001F79B0">
            <w:pPr>
              <w:rPr>
                <w:bCs/>
                <w:szCs w:val="22"/>
                <w:lang w:val="sk-SK"/>
              </w:rPr>
            </w:pPr>
            <w:r w:rsidRPr="00BD646C">
              <w:rPr>
                <w:bCs/>
                <w:szCs w:val="22"/>
                <w:lang w:val="sk-SK"/>
              </w:rPr>
              <w:t>Tel: +354 535 7000</w:t>
            </w:r>
          </w:p>
        </w:tc>
        <w:tc>
          <w:tcPr>
            <w:tcW w:w="4678" w:type="dxa"/>
          </w:tcPr>
          <w:p w14:paraId="7267C0F7" w14:textId="77777777" w:rsidR="00622059" w:rsidRPr="00BD646C" w:rsidRDefault="00000000" w:rsidP="001F79B0">
            <w:pPr>
              <w:rPr>
                <w:b/>
                <w:bCs/>
                <w:szCs w:val="22"/>
                <w:lang w:val="sk-SK"/>
              </w:rPr>
            </w:pPr>
            <w:r w:rsidRPr="00BD646C">
              <w:rPr>
                <w:b/>
                <w:bCs/>
                <w:szCs w:val="22"/>
                <w:lang w:val="sk-SK"/>
              </w:rPr>
              <w:t>Slovenská republika</w:t>
            </w:r>
          </w:p>
          <w:p w14:paraId="1162A5BD" w14:textId="77777777" w:rsidR="00622059" w:rsidRPr="00BD646C" w:rsidRDefault="00000000" w:rsidP="001F79B0">
            <w:pPr>
              <w:rPr>
                <w:bCs/>
                <w:szCs w:val="22"/>
                <w:lang w:val="sk-SK"/>
              </w:rPr>
            </w:pPr>
            <w:r w:rsidRPr="00BD646C">
              <w:rPr>
                <w:bCs/>
                <w:szCs w:val="22"/>
                <w:lang w:val="sk-SK"/>
              </w:rPr>
              <w:t>AbbVie s.r.o.</w:t>
            </w:r>
          </w:p>
          <w:p w14:paraId="107D0D9E" w14:textId="77777777" w:rsidR="00622059" w:rsidRPr="00BD646C" w:rsidRDefault="00000000" w:rsidP="001F79B0">
            <w:pPr>
              <w:rPr>
                <w:bCs/>
                <w:szCs w:val="22"/>
                <w:lang w:val="sk-SK"/>
              </w:rPr>
            </w:pPr>
            <w:r w:rsidRPr="00BD646C">
              <w:rPr>
                <w:bCs/>
                <w:szCs w:val="22"/>
                <w:lang w:val="sk-SK"/>
              </w:rPr>
              <w:t>Tel: +421 2 5050 0777</w:t>
            </w:r>
          </w:p>
          <w:p w14:paraId="28802497" w14:textId="77777777" w:rsidR="00622059" w:rsidRPr="00BD646C" w:rsidRDefault="00622059" w:rsidP="001F79B0">
            <w:pPr>
              <w:rPr>
                <w:bCs/>
                <w:szCs w:val="22"/>
                <w:lang w:val="sk-SK"/>
              </w:rPr>
            </w:pPr>
          </w:p>
        </w:tc>
      </w:tr>
      <w:tr w:rsidR="00534A2D" w14:paraId="38D57204" w14:textId="77777777" w:rsidTr="001F79B0">
        <w:trPr>
          <w:gridBefore w:val="1"/>
          <w:wBefore w:w="34" w:type="dxa"/>
        </w:trPr>
        <w:tc>
          <w:tcPr>
            <w:tcW w:w="4644" w:type="dxa"/>
            <w:gridSpan w:val="2"/>
          </w:tcPr>
          <w:p w14:paraId="7CF8641C" w14:textId="77777777" w:rsidR="00622059" w:rsidRPr="00BD646C" w:rsidRDefault="00000000" w:rsidP="001F79B0">
            <w:pPr>
              <w:rPr>
                <w:b/>
                <w:bCs/>
                <w:szCs w:val="22"/>
                <w:lang w:val="it-IT"/>
              </w:rPr>
            </w:pPr>
            <w:r w:rsidRPr="00BD646C">
              <w:rPr>
                <w:b/>
                <w:bCs/>
                <w:szCs w:val="22"/>
                <w:lang w:val="it-IT"/>
              </w:rPr>
              <w:t>Italia</w:t>
            </w:r>
          </w:p>
          <w:p w14:paraId="602589F8" w14:textId="77777777" w:rsidR="00622059" w:rsidRPr="00BD646C" w:rsidRDefault="00000000" w:rsidP="001F79B0">
            <w:pPr>
              <w:rPr>
                <w:bCs/>
                <w:szCs w:val="22"/>
                <w:lang w:val="pt-PT"/>
              </w:rPr>
            </w:pPr>
            <w:r w:rsidRPr="00BD646C">
              <w:rPr>
                <w:bCs/>
                <w:szCs w:val="22"/>
                <w:lang w:val="pt-PT"/>
              </w:rPr>
              <w:t xml:space="preserve">AbbVie S.r.l. </w:t>
            </w:r>
          </w:p>
          <w:p w14:paraId="1B2ADC6B" w14:textId="77777777" w:rsidR="00622059" w:rsidRPr="00BD646C" w:rsidRDefault="00000000" w:rsidP="001F79B0">
            <w:pPr>
              <w:rPr>
                <w:bCs/>
                <w:szCs w:val="22"/>
                <w:lang w:val="fi-FI"/>
              </w:rPr>
            </w:pPr>
            <w:r w:rsidRPr="00BD646C">
              <w:rPr>
                <w:bCs/>
                <w:szCs w:val="22"/>
                <w:lang w:val="fr-FR"/>
              </w:rPr>
              <w:t>Tel: +39 06 928921</w:t>
            </w:r>
          </w:p>
        </w:tc>
        <w:tc>
          <w:tcPr>
            <w:tcW w:w="4678" w:type="dxa"/>
          </w:tcPr>
          <w:p w14:paraId="5656A8DF" w14:textId="77777777" w:rsidR="00622059" w:rsidRPr="00BD646C" w:rsidRDefault="00000000" w:rsidP="001F79B0">
            <w:pPr>
              <w:rPr>
                <w:b/>
                <w:bCs/>
                <w:szCs w:val="22"/>
                <w:lang w:val="fi-FI"/>
              </w:rPr>
            </w:pPr>
            <w:r w:rsidRPr="00BD646C">
              <w:rPr>
                <w:b/>
                <w:bCs/>
                <w:szCs w:val="22"/>
                <w:lang w:val="fi-FI"/>
              </w:rPr>
              <w:t>Suomi/Finland</w:t>
            </w:r>
          </w:p>
          <w:p w14:paraId="55994F19" w14:textId="77777777" w:rsidR="00622059" w:rsidRPr="00BD646C" w:rsidRDefault="00000000" w:rsidP="001F79B0">
            <w:pPr>
              <w:rPr>
                <w:bCs/>
                <w:szCs w:val="22"/>
                <w:lang w:val="de-CH"/>
              </w:rPr>
            </w:pPr>
            <w:r w:rsidRPr="00BD646C">
              <w:rPr>
                <w:bCs/>
                <w:szCs w:val="22"/>
                <w:lang w:val="sk-SK"/>
              </w:rPr>
              <w:t>AbbVie Oy</w:t>
            </w:r>
          </w:p>
          <w:p w14:paraId="757C54FC" w14:textId="77777777" w:rsidR="00622059" w:rsidRPr="00BD646C" w:rsidRDefault="00000000" w:rsidP="001F79B0">
            <w:pPr>
              <w:rPr>
                <w:bCs/>
                <w:szCs w:val="22"/>
                <w:lang w:val="sk-SK"/>
              </w:rPr>
            </w:pPr>
            <w:r w:rsidRPr="00BD646C">
              <w:rPr>
                <w:bCs/>
                <w:szCs w:val="22"/>
                <w:lang w:val="sk-SK"/>
              </w:rPr>
              <w:t>Puh/Tel: +358 (0)10 2411 200</w:t>
            </w:r>
          </w:p>
          <w:p w14:paraId="3DD53EC2" w14:textId="77777777" w:rsidR="00622059" w:rsidRPr="00BD646C" w:rsidRDefault="00622059" w:rsidP="001F79B0">
            <w:pPr>
              <w:rPr>
                <w:szCs w:val="22"/>
                <w:lang w:val="sk-SK"/>
              </w:rPr>
            </w:pPr>
          </w:p>
        </w:tc>
      </w:tr>
      <w:tr w:rsidR="00534A2D" w14:paraId="5D9BB0BA" w14:textId="77777777" w:rsidTr="001F79B0">
        <w:trPr>
          <w:gridBefore w:val="1"/>
          <w:wBefore w:w="34" w:type="dxa"/>
          <w:cantSplit/>
          <w:trHeight w:val="887"/>
        </w:trPr>
        <w:tc>
          <w:tcPr>
            <w:tcW w:w="4644" w:type="dxa"/>
            <w:gridSpan w:val="2"/>
          </w:tcPr>
          <w:p w14:paraId="6F83DF9D" w14:textId="77777777" w:rsidR="00622059" w:rsidRPr="00BD646C" w:rsidRDefault="00000000" w:rsidP="001F79B0">
            <w:pPr>
              <w:rPr>
                <w:b/>
                <w:bCs/>
                <w:szCs w:val="22"/>
                <w:lang w:val="el-GR"/>
              </w:rPr>
            </w:pPr>
            <w:r w:rsidRPr="00BD646C">
              <w:rPr>
                <w:b/>
                <w:bCs/>
                <w:szCs w:val="22"/>
                <w:lang w:val="el-GR"/>
              </w:rPr>
              <w:t>Κύπρος</w:t>
            </w:r>
          </w:p>
          <w:p w14:paraId="312673E9" w14:textId="77777777" w:rsidR="00622059" w:rsidRPr="00BD646C" w:rsidRDefault="00000000" w:rsidP="001F79B0">
            <w:pPr>
              <w:rPr>
                <w:bCs/>
                <w:szCs w:val="22"/>
                <w:lang w:val="el-GR"/>
              </w:rPr>
            </w:pPr>
            <w:r w:rsidRPr="00BD646C">
              <w:rPr>
                <w:bCs/>
                <w:szCs w:val="22"/>
                <w:lang w:val="sk-SK"/>
              </w:rPr>
              <w:t xml:space="preserve">Lifepharma (Z.A.M.) </w:t>
            </w:r>
            <w:r w:rsidRPr="00BD646C">
              <w:rPr>
                <w:bCs/>
                <w:szCs w:val="22"/>
                <w:lang w:val="it-IT"/>
              </w:rPr>
              <w:t>Ltd</w:t>
            </w:r>
          </w:p>
          <w:p w14:paraId="2B397E73" w14:textId="77777777" w:rsidR="00622059" w:rsidRPr="00BD646C" w:rsidRDefault="00000000" w:rsidP="001F79B0">
            <w:pPr>
              <w:rPr>
                <w:bCs/>
                <w:szCs w:val="22"/>
                <w:lang w:val="lv-LV"/>
              </w:rPr>
            </w:pPr>
            <w:r w:rsidRPr="00BD646C">
              <w:rPr>
                <w:bCs/>
                <w:szCs w:val="22"/>
                <w:lang w:val="el-GR"/>
              </w:rPr>
              <w:t>Τηλ.: +357 22 34 74 40</w:t>
            </w:r>
          </w:p>
        </w:tc>
        <w:tc>
          <w:tcPr>
            <w:tcW w:w="4678" w:type="dxa"/>
          </w:tcPr>
          <w:p w14:paraId="57B4BC38" w14:textId="77777777" w:rsidR="00622059" w:rsidRPr="00BD646C" w:rsidRDefault="00000000" w:rsidP="001F79B0">
            <w:pPr>
              <w:rPr>
                <w:b/>
                <w:bCs/>
                <w:szCs w:val="22"/>
                <w:lang w:val="sk-SK"/>
              </w:rPr>
            </w:pPr>
            <w:r w:rsidRPr="00BD646C">
              <w:rPr>
                <w:b/>
                <w:bCs/>
                <w:szCs w:val="22"/>
                <w:lang w:val="sk-SK"/>
              </w:rPr>
              <w:t>Sverige</w:t>
            </w:r>
          </w:p>
          <w:p w14:paraId="4BA5A442" w14:textId="77777777" w:rsidR="00622059" w:rsidRPr="00BD646C" w:rsidRDefault="00000000" w:rsidP="001F79B0">
            <w:pPr>
              <w:rPr>
                <w:bCs/>
                <w:szCs w:val="22"/>
                <w:lang w:val="pt-PT"/>
              </w:rPr>
            </w:pPr>
            <w:r w:rsidRPr="00BD646C">
              <w:rPr>
                <w:bCs/>
                <w:szCs w:val="22"/>
                <w:lang w:val="pt-PT"/>
              </w:rPr>
              <w:t>AbbVie AB</w:t>
            </w:r>
          </w:p>
          <w:p w14:paraId="2C9B51BE" w14:textId="77777777" w:rsidR="00622059" w:rsidRPr="00BD646C" w:rsidRDefault="00000000" w:rsidP="001F79B0">
            <w:pPr>
              <w:rPr>
                <w:bCs/>
                <w:szCs w:val="22"/>
                <w:lang w:val="sk-SK"/>
              </w:rPr>
            </w:pPr>
            <w:r w:rsidRPr="00BD646C">
              <w:rPr>
                <w:bCs/>
                <w:szCs w:val="22"/>
                <w:lang w:val="da-DK"/>
              </w:rPr>
              <w:t>Tel: +46 (0)8 684 44 600</w:t>
            </w:r>
          </w:p>
        </w:tc>
      </w:tr>
      <w:tr w:rsidR="00534A2D" w14:paraId="4BF81580" w14:textId="77777777" w:rsidTr="001F79B0">
        <w:trPr>
          <w:gridBefore w:val="1"/>
          <w:wBefore w:w="34" w:type="dxa"/>
          <w:cantSplit/>
          <w:trHeight w:val="761"/>
        </w:trPr>
        <w:tc>
          <w:tcPr>
            <w:tcW w:w="4644" w:type="dxa"/>
            <w:gridSpan w:val="2"/>
          </w:tcPr>
          <w:p w14:paraId="38D7AD15" w14:textId="77777777" w:rsidR="00622059" w:rsidRPr="00BD646C" w:rsidRDefault="00000000" w:rsidP="001F79B0">
            <w:pPr>
              <w:rPr>
                <w:b/>
                <w:bCs/>
                <w:szCs w:val="22"/>
                <w:lang w:val="lv-LV"/>
              </w:rPr>
            </w:pPr>
            <w:r w:rsidRPr="00BD646C">
              <w:rPr>
                <w:b/>
                <w:bCs/>
                <w:szCs w:val="22"/>
                <w:lang w:val="lv-LV"/>
              </w:rPr>
              <w:t>Latvija</w:t>
            </w:r>
          </w:p>
          <w:p w14:paraId="4517CC7B" w14:textId="77777777" w:rsidR="00622059" w:rsidRPr="00BD646C" w:rsidRDefault="00000000" w:rsidP="001F79B0">
            <w:pPr>
              <w:rPr>
                <w:bCs/>
                <w:szCs w:val="22"/>
                <w:lang w:val="lv-LV"/>
              </w:rPr>
            </w:pPr>
            <w:r w:rsidRPr="00BD646C">
              <w:rPr>
                <w:bCs/>
                <w:szCs w:val="22"/>
                <w:lang w:val="lv-LV"/>
              </w:rPr>
              <w:t xml:space="preserve">AbbVie SIA </w:t>
            </w:r>
          </w:p>
          <w:p w14:paraId="3D0C59F5" w14:textId="77777777" w:rsidR="00622059" w:rsidRPr="00BD646C" w:rsidRDefault="00000000" w:rsidP="001F79B0">
            <w:pPr>
              <w:rPr>
                <w:bCs/>
                <w:szCs w:val="22"/>
                <w:lang w:val="lv-LV"/>
              </w:rPr>
            </w:pPr>
            <w:r w:rsidRPr="00BD646C">
              <w:rPr>
                <w:bCs/>
                <w:szCs w:val="22"/>
                <w:lang w:val="lv-LV"/>
              </w:rPr>
              <w:t>Tel: +371 67605000</w:t>
            </w:r>
          </w:p>
        </w:tc>
        <w:tc>
          <w:tcPr>
            <w:tcW w:w="4678" w:type="dxa"/>
          </w:tcPr>
          <w:p w14:paraId="1DE3EC97" w14:textId="77777777" w:rsidR="00622059" w:rsidRPr="00BD646C" w:rsidRDefault="00622059" w:rsidP="001F79B0">
            <w:pPr>
              <w:rPr>
                <w:b/>
                <w:bCs/>
                <w:szCs w:val="22"/>
                <w:lang w:val="sk-SK"/>
              </w:rPr>
            </w:pPr>
          </w:p>
        </w:tc>
      </w:tr>
    </w:tbl>
    <w:p w14:paraId="075DB5A2" w14:textId="77777777" w:rsidR="009640B0" w:rsidRPr="001B4A02" w:rsidRDefault="009640B0" w:rsidP="00ED48A3">
      <w:pPr>
        <w:numPr>
          <w:ilvl w:val="12"/>
          <w:numId w:val="0"/>
        </w:numPr>
      </w:pPr>
    </w:p>
    <w:p w14:paraId="310DAB12" w14:textId="77777777" w:rsidR="009640B0" w:rsidRPr="001B4A02" w:rsidRDefault="00000000" w:rsidP="00003181">
      <w:pPr>
        <w:keepNext/>
        <w:rPr>
          <w:b/>
        </w:rPr>
      </w:pPr>
      <w:r w:rsidRPr="001B4A02">
        <w:rPr>
          <w:b/>
        </w:rPr>
        <w:t>Tato příbalová informace byla naposledy revidována v</w:t>
      </w:r>
      <w:r w:rsidR="00CD59CE">
        <w:rPr>
          <w:b/>
        </w:rPr>
        <w:t> </w:t>
      </w:r>
    </w:p>
    <w:p w14:paraId="74689340" w14:textId="77777777" w:rsidR="009640B0" w:rsidRPr="001B4A02" w:rsidRDefault="009640B0" w:rsidP="00003181">
      <w:pPr>
        <w:keepNext/>
      </w:pPr>
    </w:p>
    <w:p w14:paraId="6AE5E38D" w14:textId="77777777" w:rsidR="009640B0" w:rsidRPr="001B4A02" w:rsidRDefault="00000000" w:rsidP="00961CF6">
      <w:pPr>
        <w:ind w:left="0" w:firstLine="0"/>
      </w:pPr>
      <w:r w:rsidRPr="001B4A02">
        <w:t>Podrobné informace o</w:t>
      </w:r>
      <w:r w:rsidR="00715D0A" w:rsidRPr="001B4A02">
        <w:t> </w:t>
      </w:r>
      <w:r w:rsidRPr="001B4A02">
        <w:t>tomto léčivém přípravku jsou k</w:t>
      </w:r>
      <w:r w:rsidR="00715D0A" w:rsidRPr="001B4A02">
        <w:t> </w:t>
      </w:r>
      <w:r w:rsidRPr="001B4A02">
        <w:t xml:space="preserve">dispozici na webových stránkách Evropské agentury pro léčivé přípravky </w:t>
      </w:r>
      <w:ins w:id="13885" w:author="AbbVie1" w:date="2025-05-13T10:18:00Z">
        <w:r w:rsidR="00FC50CC">
          <w:fldChar w:fldCharType="begin"/>
        </w:r>
        <w:r w:rsidR="00FC50CC">
          <w:instrText>HYPERLINK "</w:instrText>
        </w:r>
      </w:ins>
      <w:r w:rsidR="00FC50CC" w:rsidRPr="001B4A02">
        <w:instrText>http</w:instrText>
      </w:r>
      <w:ins w:id="13886" w:author="AbbVie1" w:date="2025-05-13T10:18:00Z">
        <w:r w:rsidR="00FC50CC">
          <w:instrText>s</w:instrText>
        </w:r>
      </w:ins>
      <w:r w:rsidR="00FC50CC" w:rsidRPr="001B4A02">
        <w:instrText>://www.ema.europa.eu</w:instrText>
      </w:r>
      <w:ins w:id="13887" w:author="AbbVie1" w:date="2025-05-13T10:18:00Z">
        <w:r w:rsidR="00FC50CC">
          <w:instrText>"</w:instrText>
        </w:r>
        <w:r w:rsidR="00FC50CC">
          <w:fldChar w:fldCharType="separate"/>
        </w:r>
      </w:ins>
      <w:r w:rsidR="00FC50CC" w:rsidRPr="004C0040">
        <w:rPr>
          <w:rStyle w:val="Hyperlink"/>
        </w:rPr>
        <w:t>http</w:t>
      </w:r>
      <w:ins w:id="13888" w:author="AbbVie1" w:date="2025-05-13T10:18:00Z">
        <w:r w:rsidR="00FC50CC" w:rsidRPr="004C0040">
          <w:rPr>
            <w:rStyle w:val="Hyperlink"/>
          </w:rPr>
          <w:t>s</w:t>
        </w:r>
      </w:ins>
      <w:r w:rsidR="00FC50CC" w:rsidRPr="004C0040">
        <w:rPr>
          <w:rStyle w:val="Hyperlink"/>
        </w:rPr>
        <w:t>://www.ema.europa.eu</w:t>
      </w:r>
      <w:ins w:id="13889" w:author="AbbVie1" w:date="2025-05-13T10:18:00Z">
        <w:r w:rsidR="00FC50CC">
          <w:fldChar w:fldCharType="end"/>
        </w:r>
      </w:ins>
      <w:r w:rsidRPr="001B4A02">
        <w:t>.</w:t>
      </w:r>
    </w:p>
    <w:p w14:paraId="1057883E" w14:textId="77777777" w:rsidR="009640B0" w:rsidRPr="001B4A02" w:rsidRDefault="009640B0" w:rsidP="00961CF6">
      <w:pPr>
        <w:numPr>
          <w:ilvl w:val="12"/>
          <w:numId w:val="0"/>
        </w:numPr>
        <w:rPr>
          <w:color w:val="000000"/>
          <w:highlight w:val="yellow"/>
        </w:rPr>
      </w:pPr>
    </w:p>
    <w:p w14:paraId="09127B48" w14:textId="77777777" w:rsidR="00EC1112" w:rsidRPr="001B4A02" w:rsidRDefault="00000000" w:rsidP="00ED48A3">
      <w:pPr>
        <w:ind w:left="0" w:firstLine="0"/>
        <w:rPr>
          <w:b/>
          <w:color w:val="000000"/>
        </w:rPr>
      </w:pPr>
      <w:r w:rsidRPr="001B4A02">
        <w:rPr>
          <w:b/>
          <w:bCs/>
          <w:color w:val="000000"/>
        </w:rPr>
        <w:t>Chcete-li si tuto příbalovou informaci poslechnout, nebo chcete-li si vyžádat její kopii v Braillově písmu, velkým tiskem nebo ve formě audionahrávky,</w:t>
      </w:r>
      <w:r w:rsidRPr="001B4A02">
        <w:rPr>
          <w:b/>
          <w:color w:val="000000"/>
        </w:rPr>
        <w:t xml:space="preserve"> kontaktujte </w:t>
      </w:r>
      <w:r w:rsidR="00876531" w:rsidRPr="001B4A02">
        <w:rPr>
          <w:b/>
          <w:color w:val="000000"/>
        </w:rPr>
        <w:t>místního zástupce</w:t>
      </w:r>
      <w:r w:rsidRPr="001B4A02">
        <w:rPr>
          <w:b/>
          <w:color w:val="000000"/>
        </w:rPr>
        <w:t xml:space="preserve"> držitele rozhodnutí o registraci.</w:t>
      </w:r>
    </w:p>
    <w:p w14:paraId="25103AF2" w14:textId="77777777" w:rsidR="009640B0" w:rsidRPr="001B4A02" w:rsidRDefault="009640B0" w:rsidP="00ED48A3">
      <w:pPr>
        <w:ind w:left="0" w:firstLine="0"/>
      </w:pPr>
    </w:p>
    <w:p w14:paraId="7AB21BD2" w14:textId="77777777" w:rsidR="00633E0F" w:rsidRPr="001B4A02" w:rsidRDefault="00633E0F" w:rsidP="00ED48A3">
      <w:pPr>
        <w:ind w:left="0" w:firstLine="0"/>
      </w:pPr>
    </w:p>
    <w:p w14:paraId="1DE23330" w14:textId="77777777" w:rsidR="00633E0F" w:rsidRPr="001B4A02" w:rsidRDefault="00000000" w:rsidP="0067453A">
      <w:pPr>
        <w:pStyle w:val="No-numheading3Agency"/>
        <w:spacing w:before="0" w:after="0"/>
        <w:outlineLvl w:val="1"/>
        <w:rPr>
          <w:rFonts w:ascii="Times New Roman" w:hAnsi="Times New Roman"/>
          <w:lang w:val="cs-CZ"/>
        </w:rPr>
      </w:pPr>
      <w:r w:rsidRPr="001B4A02">
        <w:rPr>
          <w:rFonts w:ascii="Times New Roman" w:hAnsi="Times New Roman"/>
          <w:lang w:val="cs-CZ"/>
        </w:rPr>
        <w:t>7.</w:t>
      </w:r>
      <w:r w:rsidRPr="001B4A02">
        <w:rPr>
          <w:rFonts w:ascii="Times New Roman" w:hAnsi="Times New Roman"/>
          <w:lang w:val="cs-CZ"/>
        </w:rPr>
        <w:tab/>
      </w:r>
      <w:r w:rsidR="009A3A57">
        <w:rPr>
          <w:rFonts w:ascii="Times New Roman" w:hAnsi="Times New Roman"/>
          <w:lang w:val="cs-CZ"/>
        </w:rPr>
        <w:t>Aplikace injekce přípravku Humira</w:t>
      </w:r>
    </w:p>
    <w:p w14:paraId="09D2817F" w14:textId="77777777" w:rsidR="00633E0F" w:rsidRPr="001B4A02" w:rsidRDefault="00633E0F" w:rsidP="00961CF6">
      <w:pPr>
        <w:pStyle w:val="BodytextAgency"/>
        <w:keepNext/>
        <w:spacing w:after="0" w:line="240" w:lineRule="auto"/>
        <w:rPr>
          <w:rFonts w:ascii="Times New Roman" w:hAnsi="Times New Roman"/>
          <w:sz w:val="22"/>
          <w:szCs w:val="22"/>
          <w:lang w:val="cs-CZ"/>
        </w:rPr>
      </w:pPr>
    </w:p>
    <w:p w14:paraId="6BBE9C6E" w14:textId="77777777" w:rsidR="00633E0F" w:rsidRPr="001B4A02" w:rsidRDefault="00000000" w:rsidP="00ED48A3">
      <w:pPr>
        <w:numPr>
          <w:ilvl w:val="0"/>
          <w:numId w:val="104"/>
        </w:numPr>
        <w:suppressAutoHyphens/>
      </w:pPr>
      <w:r w:rsidRPr="001B4A02">
        <w:t>V</w:t>
      </w:r>
      <w:r w:rsidR="00715D0A" w:rsidRPr="001B4A02">
        <w:t> </w:t>
      </w:r>
      <w:r w:rsidRPr="001B4A02">
        <w:t xml:space="preserve">následujících pokynech je vysvětleno, jak si máte </w:t>
      </w:r>
      <w:r w:rsidR="00A44744" w:rsidRPr="001B4A02">
        <w:t>podat podkožní</w:t>
      </w:r>
      <w:r w:rsidRPr="001B4A02">
        <w:t xml:space="preserve"> injekci přípravku Humira za použití předplněného pera. Nejprve si pokyny pečlivě pročtěte</w:t>
      </w:r>
      <w:r w:rsidR="00A27A27" w:rsidRPr="001B4A02">
        <w:t>,</w:t>
      </w:r>
      <w:r w:rsidR="002378E0">
        <w:t xml:space="preserve"> a </w:t>
      </w:r>
      <w:r w:rsidRPr="001B4A02">
        <w:t>p</w:t>
      </w:r>
      <w:r w:rsidR="00715D0A" w:rsidRPr="001B4A02">
        <w:t xml:space="preserve">ak </w:t>
      </w:r>
      <w:r w:rsidR="00A44744" w:rsidRPr="001B4A02">
        <w:t>podle nich</w:t>
      </w:r>
      <w:r w:rsidR="00715D0A" w:rsidRPr="001B4A02">
        <w:t xml:space="preserve"> krok za krokem </w:t>
      </w:r>
      <w:r w:rsidR="00A44744" w:rsidRPr="001B4A02">
        <w:t>postupujte</w:t>
      </w:r>
      <w:r w:rsidR="00715D0A" w:rsidRPr="001B4A02">
        <w:t>.</w:t>
      </w:r>
    </w:p>
    <w:p w14:paraId="0A842A1D" w14:textId="77777777" w:rsidR="00633E0F" w:rsidRPr="001B4A02" w:rsidRDefault="00633E0F" w:rsidP="00ED48A3">
      <w:pPr>
        <w:ind w:left="720"/>
      </w:pPr>
    </w:p>
    <w:p w14:paraId="0B5061A5" w14:textId="77777777" w:rsidR="00633E0F" w:rsidRPr="001B4A02" w:rsidRDefault="00000000" w:rsidP="00ED48A3">
      <w:pPr>
        <w:numPr>
          <w:ilvl w:val="0"/>
          <w:numId w:val="104"/>
        </w:numPr>
        <w:suppressAutoHyphens/>
      </w:pPr>
      <w:r w:rsidRPr="001B4A02">
        <w:t>Váš lékař, zdravotní sestra nebo lékárník Vás poučí, jak s</w:t>
      </w:r>
      <w:r w:rsidR="00715D0A" w:rsidRPr="001B4A02">
        <w:t xml:space="preserve">i sám (sama) </w:t>
      </w:r>
      <w:r w:rsidR="00444E8A" w:rsidRPr="001B4A02">
        <w:t>podat</w:t>
      </w:r>
      <w:r w:rsidR="00715D0A" w:rsidRPr="001B4A02">
        <w:t xml:space="preserve"> injekci.</w:t>
      </w:r>
    </w:p>
    <w:p w14:paraId="25BEB8E1" w14:textId="77777777" w:rsidR="00633E0F" w:rsidRPr="001B4A02" w:rsidRDefault="00633E0F" w:rsidP="00ED48A3">
      <w:pPr>
        <w:ind w:left="720"/>
      </w:pPr>
    </w:p>
    <w:p w14:paraId="20C76396" w14:textId="77777777" w:rsidR="00633E0F" w:rsidRPr="001B4A02" w:rsidRDefault="00000000" w:rsidP="00ED48A3">
      <w:pPr>
        <w:numPr>
          <w:ilvl w:val="0"/>
          <w:numId w:val="104"/>
        </w:numPr>
        <w:suppressAutoHyphens/>
      </w:pPr>
      <w:r w:rsidRPr="001B4A02">
        <w:t xml:space="preserve">Nepokoušejte si sám (sama) </w:t>
      </w:r>
      <w:r w:rsidR="00444E8A" w:rsidRPr="001B4A02">
        <w:t>podat</w:t>
      </w:r>
      <w:r w:rsidRPr="001B4A02">
        <w:t xml:space="preserve"> injekci, dokud si nebudete jistý(á), že jste pochopil(a), </w:t>
      </w:r>
      <w:r w:rsidR="00715D0A" w:rsidRPr="001B4A02">
        <w:t>jak ji připravovat</w:t>
      </w:r>
      <w:r w:rsidR="002378E0">
        <w:t xml:space="preserve"> a </w:t>
      </w:r>
      <w:r w:rsidR="00444E8A" w:rsidRPr="001B4A02">
        <w:t>podat</w:t>
      </w:r>
      <w:r w:rsidR="00715D0A" w:rsidRPr="001B4A02">
        <w:t>.</w:t>
      </w:r>
    </w:p>
    <w:p w14:paraId="1C442EC9" w14:textId="77777777" w:rsidR="00633E0F" w:rsidRPr="001B4A02" w:rsidRDefault="00633E0F" w:rsidP="00ED48A3">
      <w:pPr>
        <w:ind w:left="720"/>
      </w:pPr>
    </w:p>
    <w:p w14:paraId="7EC39ED2" w14:textId="77777777" w:rsidR="00633E0F" w:rsidRPr="001B4A02" w:rsidRDefault="00000000" w:rsidP="00ED48A3">
      <w:pPr>
        <w:numPr>
          <w:ilvl w:val="0"/>
          <w:numId w:val="104"/>
        </w:numPr>
        <w:suppressAutoHyphens/>
      </w:pPr>
      <w:r w:rsidRPr="001B4A02">
        <w:t xml:space="preserve">Po řádném procvičení si můžete injekci </w:t>
      </w:r>
      <w:r w:rsidR="00444E8A" w:rsidRPr="001B4A02">
        <w:t>podat</w:t>
      </w:r>
      <w:r w:rsidRPr="001B4A02">
        <w:t xml:space="preserve"> sám (sama) nebo to může provádět i jiná osoba, např. člen rodiny nebo přítel či přítelkyně.</w:t>
      </w:r>
    </w:p>
    <w:p w14:paraId="31B0DB45" w14:textId="77777777" w:rsidR="00633E0F" w:rsidRPr="001B4A02" w:rsidRDefault="00633E0F" w:rsidP="00ED48A3">
      <w:pPr>
        <w:ind w:left="720"/>
      </w:pPr>
    </w:p>
    <w:p w14:paraId="68D8BF01" w14:textId="77777777" w:rsidR="00633E0F" w:rsidRPr="001B4A02" w:rsidRDefault="00000000" w:rsidP="00ED48A3">
      <w:pPr>
        <w:pStyle w:val="EMEAHeadingLeaflet"/>
        <w:numPr>
          <w:ilvl w:val="0"/>
          <w:numId w:val="104"/>
        </w:numPr>
        <w:tabs>
          <w:tab w:val="clear" w:pos="562"/>
        </w:tabs>
        <w:spacing w:beforeLines="0" w:afterLines="0"/>
        <w:rPr>
          <w:rFonts w:ascii="Times New Roman" w:hAnsi="Times New Roman"/>
          <w:b w:val="0"/>
          <w:lang w:val="cs-CZ"/>
        </w:rPr>
      </w:pPr>
      <w:r w:rsidRPr="001B4A02">
        <w:rPr>
          <w:rFonts w:ascii="Times New Roman" w:hAnsi="Times New Roman"/>
          <w:b w:val="0"/>
          <w:lang w:val="cs-CZ"/>
        </w:rPr>
        <w:t>Každé předplněné pero použijte jen pro jednu injekci.</w:t>
      </w:r>
    </w:p>
    <w:p w14:paraId="5E247A81" w14:textId="77777777" w:rsidR="00633E0F" w:rsidRPr="001B4A02" w:rsidRDefault="00633E0F" w:rsidP="00ED48A3">
      <w:pPr>
        <w:pStyle w:val="EMEANormal"/>
        <w:rPr>
          <w:lang w:val="cs-CZ"/>
        </w:rPr>
      </w:pPr>
    </w:p>
    <w:p w14:paraId="387C8B58" w14:textId="77777777" w:rsidR="00633E0F" w:rsidRPr="001B4A02" w:rsidRDefault="00000000" w:rsidP="00ED48A3">
      <w:pPr>
        <w:pStyle w:val="EMEANormal"/>
        <w:keepNext/>
        <w:rPr>
          <w:b/>
          <w:lang w:val="cs-CZ"/>
        </w:rPr>
      </w:pPr>
      <w:r w:rsidRPr="001B4A02">
        <w:rPr>
          <w:b/>
          <w:lang w:val="cs-CZ"/>
        </w:rPr>
        <w:t>Předplněné pero Humira</w:t>
      </w:r>
    </w:p>
    <w:p w14:paraId="1CFA78B3" w14:textId="77777777" w:rsidR="00633E0F" w:rsidRPr="001B4A02" w:rsidRDefault="00633E0F" w:rsidP="00ED48A3">
      <w:pPr>
        <w:pStyle w:val="EMEANormal"/>
        <w:keepNext/>
        <w:rPr>
          <w:lang w:val="cs-CZ"/>
        </w:rPr>
      </w:pPr>
    </w:p>
    <w:p w14:paraId="4FF53AAD" w14:textId="77777777" w:rsidR="00633E0F" w:rsidRPr="001B4A02" w:rsidRDefault="00000000" w:rsidP="00ED48A3">
      <w:pPr>
        <w:pStyle w:val="EMEANormal"/>
        <w:keepNext/>
        <w:rPr>
          <w:b/>
          <w:lang w:val="cs-CZ"/>
        </w:rPr>
      </w:pPr>
      <w:r w:rsidRPr="001B4A02">
        <w:rPr>
          <w:b/>
          <w:lang w:val="cs-CZ"/>
        </w:rPr>
        <w:t xml:space="preserve">   Šedý kryt 1     Bílé pouzdro jehly   Bílá šipka                       </w:t>
      </w:r>
      <w:r w:rsidR="00257077" w:rsidRPr="001B4A02">
        <w:rPr>
          <w:b/>
          <w:lang w:val="cs-CZ"/>
        </w:rPr>
        <w:t xml:space="preserve">   </w:t>
      </w:r>
      <w:r w:rsidRPr="001B4A02">
        <w:rPr>
          <w:b/>
          <w:lang w:val="cs-CZ"/>
        </w:rPr>
        <w:t xml:space="preserve">                          Vínový kryt 2</w:t>
      </w:r>
    </w:p>
    <w:p w14:paraId="0DD8DBE9" w14:textId="77777777" w:rsidR="00633E0F" w:rsidRPr="001B4A02" w:rsidRDefault="00000000" w:rsidP="00ED48A3">
      <w:pPr>
        <w:pStyle w:val="EMEANormal"/>
        <w:keepNext/>
        <w:rPr>
          <w:lang w:val="cs-CZ"/>
        </w:rPr>
      </w:pPr>
      <w:r w:rsidRPr="001B4A02">
        <w:rPr>
          <w:noProof/>
        </w:rPr>
        <w:drawing>
          <wp:inline distT="0" distB="0" distL="0" distR="0" wp14:anchorId="6726BEAE" wp14:editId="546E1391">
            <wp:extent cx="5883275" cy="1423670"/>
            <wp:effectExtent l="0" t="0" r="3175" b="5080"/>
            <wp:docPr id="568" name="obrázek 568"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Picture 568" descr="HUMIRAPEN_grey"/>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5883275" cy="1423670"/>
                    </a:xfrm>
                    <a:prstGeom prst="rect">
                      <a:avLst/>
                    </a:prstGeom>
                    <a:noFill/>
                    <a:ln>
                      <a:noFill/>
                    </a:ln>
                  </pic:spPr>
                </pic:pic>
              </a:graphicData>
            </a:graphic>
          </wp:inline>
        </w:drawing>
      </w:r>
    </w:p>
    <w:p w14:paraId="5379440C" w14:textId="77777777" w:rsidR="00633E0F" w:rsidRPr="001B4A02" w:rsidRDefault="00000000" w:rsidP="00ED48A3">
      <w:pPr>
        <w:pStyle w:val="EMEANormal"/>
        <w:rPr>
          <w:b/>
          <w:lang w:val="cs-CZ"/>
        </w:rPr>
      </w:pPr>
      <w:r w:rsidRPr="001B4A02">
        <w:rPr>
          <w:b/>
          <w:lang w:val="cs-CZ"/>
        </w:rPr>
        <w:t xml:space="preserve">                              Jehla             Kontrolní okénko                         Vínové aktivační tlačítko     </w:t>
      </w:r>
    </w:p>
    <w:p w14:paraId="6E34685B" w14:textId="77777777" w:rsidR="00633E0F" w:rsidRPr="001B4A02" w:rsidRDefault="00000000" w:rsidP="00ED48A3">
      <w:pPr>
        <w:pStyle w:val="EMEANormal"/>
        <w:rPr>
          <w:b/>
          <w:lang w:val="cs-CZ"/>
        </w:rPr>
      </w:pPr>
      <w:r w:rsidRPr="001B4A02">
        <w:rPr>
          <w:b/>
          <w:lang w:val="cs-CZ"/>
        </w:rPr>
        <w:t xml:space="preserve">           </w:t>
      </w:r>
    </w:p>
    <w:p w14:paraId="6B946FC1" w14:textId="77777777" w:rsidR="00633E0F" w:rsidRPr="001B4A02" w:rsidRDefault="00000000" w:rsidP="00ED48A3">
      <w:pPr>
        <w:pStyle w:val="EMEAHeadingLeaflet"/>
        <w:keepNext/>
        <w:spacing w:beforeLines="0" w:afterLines="0"/>
        <w:rPr>
          <w:rFonts w:ascii="Times New Roman" w:hAnsi="Times New Roman"/>
          <w:lang w:val="cs-CZ"/>
        </w:rPr>
      </w:pPr>
      <w:r w:rsidRPr="001B4A02">
        <w:rPr>
          <w:rFonts w:ascii="Times New Roman" w:hAnsi="Times New Roman"/>
          <w:lang w:val="cs-CZ"/>
        </w:rPr>
        <w:t>Pero nepoužívejte</w:t>
      </w:r>
      <w:r w:rsidR="002378E0">
        <w:rPr>
          <w:rFonts w:ascii="Times New Roman" w:hAnsi="Times New Roman"/>
          <w:lang w:val="cs-CZ"/>
        </w:rPr>
        <w:t xml:space="preserve"> a </w:t>
      </w:r>
      <w:r w:rsidRPr="001B4A02">
        <w:rPr>
          <w:rFonts w:ascii="Times New Roman" w:hAnsi="Times New Roman"/>
          <w:lang w:val="cs-CZ"/>
        </w:rPr>
        <w:t>zavolejte svému lékaři nebo lékárníkovi, jestliže</w:t>
      </w:r>
    </w:p>
    <w:p w14:paraId="38903354" w14:textId="77777777" w:rsidR="00633E0F" w:rsidRPr="001B4A02" w:rsidRDefault="00633E0F" w:rsidP="00ED48A3">
      <w:pPr>
        <w:pStyle w:val="EMEANormal"/>
        <w:keepNext/>
        <w:rPr>
          <w:lang w:val="cs-CZ"/>
        </w:rPr>
      </w:pPr>
    </w:p>
    <w:p w14:paraId="0F0DECDE" w14:textId="77777777" w:rsidR="00633E0F" w:rsidRPr="001B4A02" w:rsidRDefault="00000000" w:rsidP="00ED48A3">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je roztok zakalený, změnil barvu nebo v</w:t>
      </w:r>
      <w:r w:rsidR="0028371E" w:rsidRPr="001B4A02">
        <w:rPr>
          <w:rFonts w:ascii="Times New Roman" w:hAnsi="Times New Roman"/>
          <w:b w:val="0"/>
          <w:lang w:val="cs-CZ"/>
        </w:rPr>
        <w:t> </w:t>
      </w:r>
      <w:r w:rsidRPr="001B4A02">
        <w:rPr>
          <w:rFonts w:ascii="Times New Roman" w:hAnsi="Times New Roman"/>
          <w:b w:val="0"/>
          <w:lang w:val="cs-CZ"/>
        </w:rPr>
        <w:t>něm jsou patrné vločky či částečky</w:t>
      </w:r>
    </w:p>
    <w:p w14:paraId="2444C1D7" w14:textId="77777777" w:rsidR="00633E0F" w:rsidRPr="001B4A02" w:rsidRDefault="00000000" w:rsidP="00ED48A3">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uplynulo datum použitelnosti (EXP)</w:t>
      </w:r>
    </w:p>
    <w:p w14:paraId="7CCD09A0" w14:textId="77777777" w:rsidR="00633E0F" w:rsidRPr="001B4A02" w:rsidRDefault="00000000" w:rsidP="00ED48A3">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byl roztok zmrazen nebo ponechán na přímém slunečním světle</w:t>
      </w:r>
    </w:p>
    <w:p w14:paraId="60F74BFD" w14:textId="77777777" w:rsidR="00633E0F" w:rsidRPr="001B4A02" w:rsidRDefault="00000000" w:rsidP="00ED48A3">
      <w:pPr>
        <w:pStyle w:val="EMEAHeadingLeaflet"/>
        <w:keepNext/>
        <w:numPr>
          <w:ilvl w:val="0"/>
          <w:numId w:val="105"/>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předplněné pero upadlo nebo prasklo</w:t>
      </w:r>
    </w:p>
    <w:p w14:paraId="0A2B1556" w14:textId="77777777" w:rsidR="00633E0F" w:rsidRPr="001B4A02" w:rsidRDefault="00633E0F" w:rsidP="00ED48A3">
      <w:pPr>
        <w:pStyle w:val="EMEANormal"/>
        <w:rPr>
          <w:lang w:val="cs-CZ"/>
        </w:rPr>
      </w:pPr>
    </w:p>
    <w:p w14:paraId="31DE315A" w14:textId="77777777" w:rsidR="00633E0F" w:rsidRPr="001B4A02" w:rsidRDefault="00000000" w:rsidP="00ED48A3">
      <w:pPr>
        <w:pStyle w:val="EMEAHeadingLeaflet"/>
        <w:keepNext/>
        <w:tabs>
          <w:tab w:val="clear" w:pos="562"/>
          <w:tab w:val="left" w:pos="0"/>
        </w:tabs>
        <w:spacing w:beforeLines="0" w:afterLines="0"/>
        <w:rPr>
          <w:rFonts w:ascii="Times New Roman" w:hAnsi="Times New Roman"/>
          <w:lang w:val="cs-CZ"/>
        </w:rPr>
      </w:pPr>
      <w:r w:rsidRPr="001B4A02">
        <w:rPr>
          <w:rFonts w:ascii="Times New Roman" w:hAnsi="Times New Roman"/>
          <w:lang w:val="cs-CZ"/>
        </w:rPr>
        <w:t xml:space="preserve">Oba kryty odstraňte až bezprostředně před </w:t>
      </w:r>
      <w:r w:rsidR="008464C9" w:rsidRPr="001B4A02">
        <w:rPr>
          <w:rFonts w:ascii="Times New Roman" w:hAnsi="Times New Roman"/>
          <w:lang w:val="cs-CZ"/>
        </w:rPr>
        <w:t xml:space="preserve">podáním </w:t>
      </w:r>
      <w:r w:rsidRPr="001B4A02">
        <w:rPr>
          <w:rFonts w:ascii="Times New Roman" w:hAnsi="Times New Roman"/>
          <w:lang w:val="cs-CZ"/>
        </w:rPr>
        <w:t>injekc</w:t>
      </w:r>
      <w:r w:rsidR="008464C9" w:rsidRPr="001B4A02">
        <w:rPr>
          <w:rFonts w:ascii="Times New Roman" w:hAnsi="Times New Roman"/>
          <w:lang w:val="cs-CZ"/>
        </w:rPr>
        <w:t>e</w:t>
      </w:r>
      <w:r w:rsidRPr="001B4A02">
        <w:rPr>
          <w:rFonts w:ascii="Times New Roman" w:hAnsi="Times New Roman"/>
          <w:lang w:val="cs-CZ"/>
        </w:rPr>
        <w:t xml:space="preserve">. Uchovávejte </w:t>
      </w:r>
      <w:r w:rsidR="008464C9" w:rsidRPr="001B4A02">
        <w:rPr>
          <w:rFonts w:ascii="Times New Roman" w:hAnsi="Times New Roman"/>
          <w:szCs w:val="22"/>
          <w:lang w:val="cs-CZ"/>
        </w:rPr>
        <w:t xml:space="preserve">přípravek Humira </w:t>
      </w:r>
      <w:r w:rsidRPr="001B4A02">
        <w:rPr>
          <w:rFonts w:ascii="Times New Roman" w:hAnsi="Times New Roman"/>
          <w:lang w:val="cs-CZ"/>
        </w:rPr>
        <w:t>mimo dohled</w:t>
      </w:r>
      <w:r w:rsidR="002378E0">
        <w:rPr>
          <w:rFonts w:ascii="Times New Roman" w:hAnsi="Times New Roman"/>
          <w:lang w:val="cs-CZ"/>
        </w:rPr>
        <w:t xml:space="preserve"> a </w:t>
      </w:r>
      <w:r w:rsidRPr="001B4A02">
        <w:rPr>
          <w:rFonts w:ascii="Times New Roman" w:hAnsi="Times New Roman"/>
          <w:lang w:val="cs-CZ"/>
        </w:rPr>
        <w:t>dosah dětí.</w:t>
      </w:r>
    </w:p>
    <w:p w14:paraId="34180A82" w14:textId="77777777" w:rsidR="00633E0F" w:rsidRPr="001B4A02" w:rsidRDefault="00633E0F" w:rsidP="00ED48A3">
      <w:pPr>
        <w:pStyle w:val="EMEANormal"/>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534A2D" w14:paraId="58E4FF86" w14:textId="77777777" w:rsidTr="00B87DF7">
        <w:tc>
          <w:tcPr>
            <w:tcW w:w="9287" w:type="dxa"/>
            <w:gridSpan w:val="2"/>
            <w:tcBorders>
              <w:bottom w:val="single" w:sz="4" w:space="0" w:color="auto"/>
            </w:tcBorders>
            <w:shd w:val="clear" w:color="auto" w:fill="auto"/>
          </w:tcPr>
          <w:p w14:paraId="1957FBA4" w14:textId="77777777" w:rsidR="00633E0F" w:rsidRPr="001B4A02" w:rsidRDefault="00000000" w:rsidP="00970906">
            <w:pPr>
              <w:pStyle w:val="EMEAHeadingLeaflet"/>
              <w:keepNext/>
              <w:spacing w:beforeLines="0" w:afterLines="0"/>
              <w:rPr>
                <w:rFonts w:ascii="Times New Roman" w:hAnsi="Times New Roman"/>
                <w:lang w:val="cs-CZ"/>
              </w:rPr>
            </w:pPr>
            <w:r w:rsidRPr="001B4A02">
              <w:rPr>
                <w:rFonts w:ascii="Times New Roman" w:hAnsi="Times New Roman"/>
                <w:lang w:val="cs-CZ"/>
              </w:rPr>
              <w:t>KROK 1</w:t>
            </w:r>
          </w:p>
          <w:p w14:paraId="5F5D70F5" w14:textId="77777777" w:rsidR="00633E0F" w:rsidRPr="001B4A02" w:rsidRDefault="00633E0F" w:rsidP="00970906">
            <w:pPr>
              <w:pStyle w:val="EMEANormal"/>
              <w:keepNext/>
              <w:rPr>
                <w:lang w:val="cs-CZ"/>
              </w:rPr>
            </w:pPr>
          </w:p>
          <w:p w14:paraId="1EC3518E" w14:textId="77777777" w:rsidR="00633E0F"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Přípravek Humira vyjměte z</w:t>
            </w:r>
            <w:r w:rsidR="00715D0A" w:rsidRPr="001B4A02">
              <w:rPr>
                <w:rFonts w:ascii="Times New Roman" w:hAnsi="Times New Roman"/>
                <w:b w:val="0"/>
                <w:lang w:val="cs-CZ"/>
              </w:rPr>
              <w:t> </w:t>
            </w:r>
            <w:r w:rsidRPr="001B4A02">
              <w:rPr>
                <w:rFonts w:ascii="Times New Roman" w:hAnsi="Times New Roman"/>
                <w:b w:val="0"/>
                <w:lang w:val="cs-CZ"/>
              </w:rPr>
              <w:t>chladničky.</w:t>
            </w:r>
          </w:p>
          <w:p w14:paraId="461C734D" w14:textId="77777777" w:rsidR="00633E0F" w:rsidRPr="001B4A02" w:rsidRDefault="00633E0F" w:rsidP="00970906">
            <w:pPr>
              <w:pStyle w:val="EMEANormal"/>
              <w:keepNext/>
              <w:rPr>
                <w:lang w:val="cs-CZ"/>
              </w:rPr>
            </w:pPr>
          </w:p>
          <w:p w14:paraId="4C802C16" w14:textId="77777777" w:rsidR="00633E0F"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 xml:space="preserve">Přípravek Humira nechte </w:t>
            </w:r>
            <w:r w:rsidRPr="001B4A02">
              <w:rPr>
                <w:rFonts w:ascii="Times New Roman" w:hAnsi="Times New Roman"/>
                <w:lang w:val="cs-CZ"/>
              </w:rPr>
              <w:t>15 až 30 minut</w:t>
            </w:r>
            <w:r w:rsidRPr="001B4A02">
              <w:rPr>
                <w:rFonts w:ascii="Times New Roman" w:hAnsi="Times New Roman"/>
                <w:b w:val="0"/>
                <w:lang w:val="cs-CZ"/>
              </w:rPr>
              <w:t xml:space="preserve"> před </w:t>
            </w:r>
            <w:r w:rsidR="005B52D0" w:rsidRPr="001B4A02">
              <w:rPr>
                <w:rFonts w:ascii="Times New Roman" w:hAnsi="Times New Roman"/>
                <w:b w:val="0"/>
                <w:lang w:val="cs-CZ"/>
              </w:rPr>
              <w:t xml:space="preserve">podáním </w:t>
            </w:r>
            <w:r w:rsidRPr="001B4A02">
              <w:rPr>
                <w:rFonts w:ascii="Times New Roman" w:hAnsi="Times New Roman"/>
                <w:b w:val="0"/>
                <w:lang w:val="cs-CZ"/>
              </w:rPr>
              <w:t>injekc</w:t>
            </w:r>
            <w:r w:rsidR="005B52D0" w:rsidRPr="001B4A02">
              <w:rPr>
                <w:rFonts w:ascii="Times New Roman" w:hAnsi="Times New Roman"/>
                <w:b w:val="0"/>
                <w:lang w:val="cs-CZ"/>
              </w:rPr>
              <w:t>e</w:t>
            </w:r>
            <w:r w:rsidRPr="001B4A02">
              <w:rPr>
                <w:rFonts w:ascii="Times New Roman" w:hAnsi="Times New Roman"/>
                <w:b w:val="0"/>
                <w:lang w:val="cs-CZ"/>
              </w:rPr>
              <w:t xml:space="preserve"> při pokojové teplotě.</w:t>
            </w:r>
          </w:p>
          <w:p w14:paraId="6C281D09" w14:textId="77777777" w:rsidR="00633E0F" w:rsidRPr="001B4A02" w:rsidRDefault="00633E0F" w:rsidP="00970906">
            <w:pPr>
              <w:pStyle w:val="EMEANormal"/>
              <w:keepNext/>
              <w:rPr>
                <w:lang w:val="cs-CZ"/>
              </w:rPr>
            </w:pPr>
          </w:p>
          <w:p w14:paraId="59EEC254" w14:textId="77777777" w:rsidR="00633E0F" w:rsidRPr="001B4A02" w:rsidRDefault="00000000" w:rsidP="00970906">
            <w:pPr>
              <w:pStyle w:val="EMEAHeadingLeaflet"/>
              <w:keepNext/>
              <w:numPr>
                <w:ilvl w:val="0"/>
                <w:numId w:val="106"/>
              </w:numPr>
              <w:tabs>
                <w:tab w:val="clear" w:pos="562"/>
                <w:tab w:val="left" w:pos="720"/>
              </w:tabs>
              <w:spacing w:beforeLines="0" w:afterLines="0"/>
              <w:rPr>
                <w:rFonts w:ascii="Times New Roman" w:hAnsi="Times New Roman"/>
                <w:b w:val="0"/>
                <w:lang w:val="cs-CZ"/>
              </w:rPr>
            </w:pPr>
            <w:r w:rsidRPr="001B4A02">
              <w:rPr>
                <w:rFonts w:ascii="Times New Roman" w:hAnsi="Times New Roman"/>
                <w:b w:val="0"/>
                <w:lang w:val="cs-CZ"/>
              </w:rPr>
              <w:t xml:space="preserve">V době, kdy necháváte přípravek Humira ohřát na teplotu místnosti, </w:t>
            </w:r>
            <w:r w:rsidRPr="001B4A02">
              <w:rPr>
                <w:rFonts w:ascii="Times New Roman" w:hAnsi="Times New Roman"/>
                <w:lang w:val="cs-CZ"/>
              </w:rPr>
              <w:t>nesundávejte</w:t>
            </w:r>
            <w:r w:rsidRPr="001B4A02">
              <w:rPr>
                <w:rFonts w:ascii="Times New Roman" w:hAnsi="Times New Roman"/>
                <w:b w:val="0"/>
                <w:lang w:val="cs-CZ"/>
              </w:rPr>
              <w:t xml:space="preserve"> šedý ani vínový kryt</w:t>
            </w:r>
          </w:p>
          <w:p w14:paraId="37A1E543" w14:textId="77777777" w:rsidR="00633E0F" w:rsidRPr="001B4A02" w:rsidRDefault="00000000" w:rsidP="00970906">
            <w:pPr>
              <w:pStyle w:val="EMEANormal"/>
              <w:keepNext/>
              <w:numPr>
                <w:ilvl w:val="0"/>
                <w:numId w:val="106"/>
              </w:numPr>
              <w:tabs>
                <w:tab w:val="clear" w:pos="562"/>
                <w:tab w:val="left" w:pos="720"/>
              </w:tabs>
              <w:rPr>
                <w:lang w:val="cs-CZ"/>
              </w:rPr>
            </w:pPr>
            <w:r w:rsidRPr="001B4A02">
              <w:rPr>
                <w:lang w:val="cs-CZ"/>
              </w:rPr>
              <w:t xml:space="preserve">Přípravek Humira </w:t>
            </w:r>
            <w:r w:rsidRPr="001B4A02">
              <w:rPr>
                <w:b/>
                <w:lang w:val="cs-CZ"/>
              </w:rPr>
              <w:t>neohřívejte</w:t>
            </w:r>
            <w:r w:rsidRPr="001B4A02">
              <w:rPr>
                <w:lang w:val="cs-CZ"/>
              </w:rPr>
              <w:t xml:space="preserve"> žádným jiným způsobem. </w:t>
            </w:r>
            <w:r w:rsidRPr="001B4A02">
              <w:rPr>
                <w:b/>
                <w:lang w:val="cs-CZ"/>
              </w:rPr>
              <w:t>Neohřívejte</w:t>
            </w:r>
            <w:r w:rsidRPr="001B4A02">
              <w:rPr>
                <w:lang w:val="cs-CZ"/>
              </w:rPr>
              <w:t xml:space="preserve"> jej například v mikrovlnné troubě nebo v</w:t>
            </w:r>
            <w:r w:rsidR="00715D0A" w:rsidRPr="001B4A02">
              <w:rPr>
                <w:lang w:val="cs-CZ"/>
              </w:rPr>
              <w:t> </w:t>
            </w:r>
            <w:r w:rsidRPr="001B4A02">
              <w:rPr>
                <w:lang w:val="cs-CZ"/>
              </w:rPr>
              <w:t>horké vodě</w:t>
            </w:r>
          </w:p>
        </w:tc>
      </w:tr>
      <w:tr w:rsidR="00534A2D" w14:paraId="383663CC" w14:textId="77777777" w:rsidTr="00B87DF7">
        <w:tc>
          <w:tcPr>
            <w:tcW w:w="3708" w:type="dxa"/>
            <w:tcBorders>
              <w:right w:val="nil"/>
            </w:tcBorders>
            <w:shd w:val="clear" w:color="auto" w:fill="auto"/>
          </w:tcPr>
          <w:p w14:paraId="642B9CC2" w14:textId="77777777" w:rsidR="00633E0F" w:rsidRPr="001B4A02" w:rsidRDefault="00000000" w:rsidP="00970906">
            <w:pPr>
              <w:pStyle w:val="EMEANormal"/>
              <w:keepNext/>
              <w:rPr>
                <w:b/>
                <w:lang w:val="cs-CZ"/>
              </w:rPr>
            </w:pPr>
            <w:r w:rsidRPr="001B4A02">
              <w:rPr>
                <w:b/>
                <w:lang w:val="cs-CZ"/>
              </w:rPr>
              <w:t>KROK 2</w:t>
            </w:r>
          </w:p>
          <w:p w14:paraId="78299996" w14:textId="77777777" w:rsidR="00633E0F" w:rsidRPr="001B4A02" w:rsidRDefault="00633E0F" w:rsidP="00970906">
            <w:pPr>
              <w:pStyle w:val="EMEANormal"/>
              <w:keepNext/>
              <w:rPr>
                <w:b/>
                <w:lang w:val="cs-CZ"/>
              </w:rPr>
            </w:pPr>
          </w:p>
          <w:p w14:paraId="6EF60AE6" w14:textId="77777777" w:rsidR="00633E0F" w:rsidRPr="001B4A02" w:rsidRDefault="00000000" w:rsidP="00970906">
            <w:pPr>
              <w:pStyle w:val="EMEANormal"/>
              <w:keepNext/>
              <w:rPr>
                <w:b/>
                <w:lang w:val="cs-CZ"/>
              </w:rPr>
            </w:pPr>
            <w:r w:rsidRPr="001B4A02">
              <w:rPr>
                <w:lang w:val="cs-CZ"/>
              </w:rPr>
              <w:t xml:space="preserve">               </w:t>
            </w:r>
            <w:r w:rsidRPr="001B4A02">
              <w:rPr>
                <w:b/>
                <w:lang w:val="cs-CZ"/>
              </w:rPr>
              <w:t>Pero</w:t>
            </w:r>
          </w:p>
          <w:p w14:paraId="700CF9AF" w14:textId="77777777" w:rsidR="00633E0F" w:rsidRPr="001B4A02" w:rsidRDefault="00000000" w:rsidP="00970906">
            <w:pPr>
              <w:pStyle w:val="EMEANormal"/>
              <w:keepNext/>
              <w:rPr>
                <w:lang w:val="cs-CZ"/>
              </w:rPr>
            </w:pPr>
            <w:r w:rsidRPr="001B4A02">
              <w:rPr>
                <w:noProof/>
              </w:rPr>
              <w:drawing>
                <wp:inline distT="0" distB="0" distL="0" distR="0" wp14:anchorId="1DF19345" wp14:editId="57AB7FA1">
                  <wp:extent cx="2165350" cy="2286000"/>
                  <wp:effectExtent l="0" t="0" r="6350" b="0"/>
                  <wp:docPr id="569" name="obrázek 569"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Picture 569" descr="STEP2_grey"/>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2165350" cy="2286000"/>
                          </a:xfrm>
                          <a:prstGeom prst="rect">
                            <a:avLst/>
                          </a:prstGeom>
                          <a:noFill/>
                          <a:ln>
                            <a:noFill/>
                          </a:ln>
                        </pic:spPr>
                      </pic:pic>
                    </a:graphicData>
                  </a:graphic>
                </wp:inline>
              </w:drawing>
            </w:r>
          </w:p>
          <w:p w14:paraId="3CD3B093" w14:textId="77777777" w:rsidR="00633E0F" w:rsidRPr="001B4A02" w:rsidRDefault="00000000" w:rsidP="00970906">
            <w:pPr>
              <w:pStyle w:val="EMEANormal"/>
              <w:keepNext/>
              <w:rPr>
                <w:b/>
                <w:lang w:val="cs-CZ"/>
              </w:rPr>
            </w:pPr>
            <w:r w:rsidRPr="001B4A02">
              <w:rPr>
                <w:b/>
                <w:lang w:val="cs-CZ"/>
              </w:rPr>
              <w:t xml:space="preserve">                Tamp</w:t>
            </w:r>
            <w:ins w:id="13890" w:author="Abbvie02" w:date="2025-05-16T12:35:00Z">
              <w:r w:rsidR="009165EF">
                <w:rPr>
                  <w:b/>
                  <w:lang w:val="cs-CZ"/>
                </w:rPr>
                <w:t>o</w:t>
              </w:r>
            </w:ins>
            <w:del w:id="13891" w:author="Abbvie02" w:date="2025-05-16T12:35:00Z">
              <w:r w:rsidRPr="001B4A02">
                <w:rPr>
                  <w:b/>
                  <w:lang w:val="cs-CZ"/>
                </w:rPr>
                <w:delText>ó</w:delText>
              </w:r>
            </w:del>
            <w:r w:rsidRPr="001B4A02">
              <w:rPr>
                <w:b/>
                <w:lang w:val="cs-CZ"/>
              </w:rPr>
              <w:t>n</w:t>
            </w:r>
          </w:p>
        </w:tc>
        <w:tc>
          <w:tcPr>
            <w:tcW w:w="5579" w:type="dxa"/>
            <w:tcBorders>
              <w:left w:val="nil"/>
            </w:tcBorders>
            <w:shd w:val="clear" w:color="auto" w:fill="auto"/>
          </w:tcPr>
          <w:p w14:paraId="2029D6F0" w14:textId="77777777" w:rsidR="00633E0F" w:rsidRPr="001B4A02" w:rsidRDefault="00633E0F" w:rsidP="00970906">
            <w:pPr>
              <w:pStyle w:val="EMEAHeadingLeaflet"/>
              <w:keepNext/>
              <w:spacing w:beforeLines="0" w:afterLines="0"/>
              <w:rPr>
                <w:rFonts w:ascii="Times New Roman" w:hAnsi="Times New Roman"/>
                <w:b w:val="0"/>
                <w:lang w:val="cs-CZ"/>
              </w:rPr>
            </w:pPr>
          </w:p>
          <w:p w14:paraId="00277F5F" w14:textId="77777777" w:rsidR="00633E0F"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 xml:space="preserve">Zkontrolujte datum použitelnosti (EXP). Předplněné pero </w:t>
            </w:r>
            <w:r w:rsidRPr="001B4A02">
              <w:rPr>
                <w:rFonts w:ascii="Times New Roman" w:hAnsi="Times New Roman"/>
                <w:lang w:val="cs-CZ"/>
              </w:rPr>
              <w:t>nepoužívejte</w:t>
            </w:r>
            <w:r w:rsidRPr="001B4A02">
              <w:rPr>
                <w:rFonts w:ascii="Times New Roman" w:hAnsi="Times New Roman"/>
                <w:b w:val="0"/>
                <w:lang w:val="cs-CZ"/>
              </w:rPr>
              <w:t>, jestliže datum použitelnosti již uplynulo.</w:t>
            </w:r>
          </w:p>
          <w:p w14:paraId="064E0C3F" w14:textId="77777777" w:rsidR="00633E0F" w:rsidRPr="001B4A02" w:rsidRDefault="00633E0F" w:rsidP="00970906">
            <w:pPr>
              <w:pStyle w:val="EMEANormal"/>
              <w:keepNext/>
              <w:rPr>
                <w:lang w:val="cs-CZ"/>
              </w:rPr>
            </w:pPr>
          </w:p>
          <w:p w14:paraId="7B389138" w14:textId="77777777" w:rsidR="00633E0F"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Na čistý</w:t>
            </w:r>
            <w:r w:rsidR="005B52D0" w:rsidRPr="001B4A02">
              <w:rPr>
                <w:rFonts w:ascii="Times New Roman" w:hAnsi="Times New Roman"/>
                <w:b w:val="0"/>
                <w:lang w:val="cs-CZ"/>
              </w:rPr>
              <w:t>, rovný</w:t>
            </w:r>
            <w:r w:rsidRPr="001B4A02">
              <w:rPr>
                <w:rFonts w:ascii="Times New Roman" w:hAnsi="Times New Roman"/>
                <w:b w:val="0"/>
                <w:lang w:val="cs-CZ"/>
              </w:rPr>
              <w:t xml:space="preserve"> povrch si připravte následující pomůcky</w:t>
            </w:r>
          </w:p>
          <w:p w14:paraId="442812BB" w14:textId="77777777" w:rsidR="00633E0F" w:rsidRPr="001B4A02" w:rsidRDefault="00633E0F" w:rsidP="00970906">
            <w:pPr>
              <w:pStyle w:val="EMEANormal"/>
              <w:keepNext/>
              <w:rPr>
                <w:lang w:val="cs-CZ"/>
              </w:rPr>
            </w:pPr>
          </w:p>
          <w:p w14:paraId="50636D85" w14:textId="77777777" w:rsidR="00633E0F" w:rsidRPr="001B4A02" w:rsidRDefault="00000000" w:rsidP="00970906">
            <w:pPr>
              <w:pStyle w:val="EMEAHeadingLeaflet"/>
              <w:keepNext/>
              <w:numPr>
                <w:ilvl w:val="0"/>
                <w:numId w:val="107"/>
              </w:numPr>
              <w:tabs>
                <w:tab w:val="clear" w:pos="562"/>
              </w:tabs>
              <w:spacing w:beforeLines="0" w:afterLines="0"/>
              <w:ind w:leftChars="357" w:left="1142" w:hanging="357"/>
              <w:rPr>
                <w:rFonts w:ascii="Times New Roman" w:hAnsi="Times New Roman"/>
                <w:b w:val="0"/>
                <w:lang w:val="cs-CZ"/>
              </w:rPr>
            </w:pPr>
            <w:r w:rsidRPr="001B4A02">
              <w:rPr>
                <w:rFonts w:ascii="Times New Roman" w:hAnsi="Times New Roman"/>
                <w:b w:val="0"/>
                <w:lang w:val="cs-CZ"/>
              </w:rPr>
              <w:t xml:space="preserve">1 předplněné pero </w:t>
            </w:r>
            <w:r w:rsidR="005B52D0" w:rsidRPr="001B4A02">
              <w:rPr>
                <w:rFonts w:ascii="Times New Roman" w:hAnsi="Times New Roman"/>
                <w:b w:val="0"/>
                <w:lang w:val="cs-CZ"/>
              </w:rPr>
              <w:t xml:space="preserve">na jedno použití </w:t>
            </w:r>
            <w:r w:rsidRPr="001B4A02">
              <w:rPr>
                <w:rFonts w:ascii="Times New Roman" w:hAnsi="Times New Roman"/>
                <w:b w:val="0"/>
                <w:lang w:val="cs-CZ"/>
              </w:rPr>
              <w:t>a</w:t>
            </w:r>
          </w:p>
          <w:p w14:paraId="116D5C23" w14:textId="77777777" w:rsidR="00633E0F" w:rsidRPr="001B4A02" w:rsidRDefault="00000000" w:rsidP="00970906">
            <w:pPr>
              <w:pStyle w:val="EMEAHeadingLeaflet"/>
              <w:keepNext/>
              <w:numPr>
                <w:ilvl w:val="0"/>
                <w:numId w:val="107"/>
              </w:numPr>
              <w:tabs>
                <w:tab w:val="clear" w:pos="562"/>
              </w:tabs>
              <w:spacing w:beforeLines="0" w:afterLines="0"/>
              <w:ind w:leftChars="357" w:left="1142" w:hanging="357"/>
              <w:rPr>
                <w:rFonts w:ascii="Times New Roman" w:hAnsi="Times New Roman"/>
                <w:b w:val="0"/>
                <w:lang w:val="cs-CZ"/>
              </w:rPr>
            </w:pPr>
            <w:r w:rsidRPr="001B4A02">
              <w:rPr>
                <w:rFonts w:ascii="Times New Roman" w:hAnsi="Times New Roman"/>
                <w:b w:val="0"/>
                <w:lang w:val="cs-CZ"/>
              </w:rPr>
              <w:t>1 tamp</w:t>
            </w:r>
            <w:ins w:id="13892" w:author="Abbvie02" w:date="2025-05-16T12:55:00Z">
              <w:r w:rsidR="00D41389">
                <w:rPr>
                  <w:rFonts w:ascii="Times New Roman" w:hAnsi="Times New Roman"/>
                  <w:b w:val="0"/>
                  <w:lang w:val="cs-CZ"/>
                </w:rPr>
                <w:t>o</w:t>
              </w:r>
            </w:ins>
            <w:del w:id="13893" w:author="Abbvie02" w:date="2025-05-16T12:55:00Z">
              <w:r w:rsidRPr="001B4A02">
                <w:rPr>
                  <w:rFonts w:ascii="Times New Roman" w:hAnsi="Times New Roman"/>
                  <w:b w:val="0"/>
                  <w:lang w:val="cs-CZ"/>
                </w:rPr>
                <w:delText>ó</w:delText>
              </w:r>
            </w:del>
            <w:r w:rsidRPr="001B4A02">
              <w:rPr>
                <w:rFonts w:ascii="Times New Roman" w:hAnsi="Times New Roman"/>
                <w:b w:val="0"/>
                <w:lang w:val="cs-CZ"/>
              </w:rPr>
              <w:t>n s</w:t>
            </w:r>
            <w:r w:rsidR="00715D0A" w:rsidRPr="001B4A02">
              <w:rPr>
                <w:rFonts w:ascii="Times New Roman" w:hAnsi="Times New Roman"/>
                <w:b w:val="0"/>
                <w:lang w:val="cs-CZ"/>
              </w:rPr>
              <w:t> </w:t>
            </w:r>
            <w:r w:rsidRPr="001B4A02">
              <w:rPr>
                <w:rFonts w:ascii="Times New Roman" w:hAnsi="Times New Roman"/>
                <w:b w:val="0"/>
                <w:lang w:val="cs-CZ"/>
              </w:rPr>
              <w:t>alkoholem</w:t>
            </w:r>
          </w:p>
          <w:p w14:paraId="2B7475DF" w14:textId="77777777" w:rsidR="00633E0F" w:rsidRPr="001B4A02" w:rsidRDefault="00633E0F" w:rsidP="00970906">
            <w:pPr>
              <w:pStyle w:val="EMEANormal"/>
              <w:keepNext/>
              <w:rPr>
                <w:lang w:val="cs-CZ"/>
              </w:rPr>
            </w:pPr>
          </w:p>
          <w:p w14:paraId="2DDAA69B" w14:textId="77777777" w:rsidR="00633E0F" w:rsidRPr="001B4A02" w:rsidRDefault="00000000" w:rsidP="00970906">
            <w:pPr>
              <w:pStyle w:val="EMEANormal"/>
              <w:keepNext/>
              <w:rPr>
                <w:lang w:val="cs-CZ"/>
              </w:rPr>
            </w:pPr>
            <w:r w:rsidRPr="001B4A02">
              <w:rPr>
                <w:lang w:val="cs-CZ"/>
              </w:rPr>
              <w:t>Umyjte</w:t>
            </w:r>
            <w:r w:rsidR="002378E0">
              <w:rPr>
                <w:lang w:val="cs-CZ"/>
              </w:rPr>
              <w:t xml:space="preserve"> a </w:t>
            </w:r>
            <w:r w:rsidRPr="001B4A02">
              <w:rPr>
                <w:lang w:val="cs-CZ"/>
              </w:rPr>
              <w:t xml:space="preserve">osušte </w:t>
            </w:r>
            <w:r w:rsidR="009C2686" w:rsidRPr="001B4A02">
              <w:rPr>
                <w:lang w:val="cs-CZ"/>
              </w:rPr>
              <w:t xml:space="preserve">si </w:t>
            </w:r>
            <w:r w:rsidRPr="001B4A02">
              <w:rPr>
                <w:lang w:val="cs-CZ"/>
              </w:rPr>
              <w:t>ruce.</w:t>
            </w:r>
          </w:p>
        </w:tc>
      </w:tr>
      <w:tr w:rsidR="00534A2D" w14:paraId="4FA7F05C" w14:textId="77777777" w:rsidTr="00B87DF7">
        <w:tc>
          <w:tcPr>
            <w:tcW w:w="3708" w:type="dxa"/>
            <w:tcBorders>
              <w:right w:val="nil"/>
            </w:tcBorders>
            <w:shd w:val="clear" w:color="auto" w:fill="auto"/>
          </w:tcPr>
          <w:p w14:paraId="199F5AA2" w14:textId="77777777" w:rsidR="00633E0F" w:rsidRPr="001B4A02" w:rsidRDefault="00000000" w:rsidP="00970906">
            <w:pPr>
              <w:pStyle w:val="EMEANormal"/>
              <w:keepNext/>
              <w:rPr>
                <w:b/>
                <w:lang w:val="cs-CZ"/>
              </w:rPr>
            </w:pPr>
            <w:r w:rsidRPr="001B4A02">
              <w:rPr>
                <w:b/>
                <w:lang w:val="cs-CZ"/>
              </w:rPr>
              <w:t>KROK 3</w:t>
            </w:r>
          </w:p>
          <w:p w14:paraId="1164C44F" w14:textId="77777777" w:rsidR="00633E0F" w:rsidRPr="001B4A02" w:rsidRDefault="00633E0F" w:rsidP="00970906">
            <w:pPr>
              <w:pStyle w:val="EMEANormal"/>
              <w:keepNext/>
              <w:rPr>
                <w:b/>
                <w:lang w:val="cs-CZ"/>
              </w:rPr>
            </w:pPr>
          </w:p>
          <w:p w14:paraId="61CBBACD" w14:textId="77777777" w:rsidR="00633E0F" w:rsidRPr="001B4A02" w:rsidRDefault="00000000" w:rsidP="00970906">
            <w:pPr>
              <w:pStyle w:val="EMEANormal"/>
              <w:keepNext/>
              <w:rPr>
                <w:b/>
                <w:lang w:val="cs-CZ"/>
              </w:rPr>
            </w:pPr>
            <w:r w:rsidRPr="001B4A02">
              <w:rPr>
                <w:b/>
                <w:lang w:val="cs-CZ"/>
              </w:rPr>
              <w:t>Místa pro podání injekce</w:t>
            </w:r>
          </w:p>
          <w:p w14:paraId="5FCA3BD6" w14:textId="77777777" w:rsidR="00633E0F" w:rsidRPr="001B4A02" w:rsidRDefault="00000000" w:rsidP="00970906">
            <w:pPr>
              <w:pStyle w:val="EMEANormal"/>
              <w:keepNext/>
              <w:rPr>
                <w:lang w:val="cs-CZ"/>
              </w:rPr>
            </w:pPr>
            <w:r w:rsidRPr="001B4A02">
              <w:rPr>
                <w:noProof/>
              </w:rPr>
              <w:drawing>
                <wp:inline distT="0" distB="0" distL="0" distR="0" wp14:anchorId="694C1ADA" wp14:editId="27AF1575">
                  <wp:extent cx="2277110" cy="2380615"/>
                  <wp:effectExtent l="0" t="0" r="8890" b="635"/>
                  <wp:docPr id="570" name="obrázek 570"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Picture 570" descr="STEP3_grey"/>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277110" cy="2380615"/>
                          </a:xfrm>
                          <a:prstGeom prst="rect">
                            <a:avLst/>
                          </a:prstGeom>
                          <a:noFill/>
                          <a:ln>
                            <a:noFill/>
                          </a:ln>
                        </pic:spPr>
                      </pic:pic>
                    </a:graphicData>
                  </a:graphic>
                </wp:inline>
              </w:drawing>
            </w:r>
          </w:p>
          <w:p w14:paraId="6C667A20" w14:textId="77777777" w:rsidR="00633E0F" w:rsidRPr="001B4A02" w:rsidRDefault="00000000" w:rsidP="00970906">
            <w:pPr>
              <w:pStyle w:val="EMEANormal"/>
              <w:keepNext/>
              <w:rPr>
                <w:b/>
                <w:lang w:val="cs-CZ"/>
              </w:rPr>
            </w:pPr>
            <w:r w:rsidRPr="001B4A02">
              <w:rPr>
                <w:lang w:val="cs-CZ"/>
              </w:rPr>
              <w:t xml:space="preserve">     </w:t>
            </w:r>
            <w:r w:rsidRPr="001B4A02">
              <w:rPr>
                <w:b/>
                <w:lang w:val="cs-CZ"/>
              </w:rPr>
              <w:t>Místa pro podání injekce</w:t>
            </w:r>
          </w:p>
        </w:tc>
        <w:tc>
          <w:tcPr>
            <w:tcW w:w="5579" w:type="dxa"/>
            <w:tcBorders>
              <w:left w:val="nil"/>
            </w:tcBorders>
            <w:shd w:val="clear" w:color="auto" w:fill="auto"/>
          </w:tcPr>
          <w:p w14:paraId="3268015B" w14:textId="77777777" w:rsidR="00633E0F" w:rsidRPr="001B4A02" w:rsidRDefault="00633E0F" w:rsidP="00970906">
            <w:pPr>
              <w:pStyle w:val="EMEAHeadingLeaflet"/>
              <w:keepNext/>
              <w:spacing w:beforeLines="0" w:afterLines="0"/>
              <w:rPr>
                <w:rFonts w:ascii="Times New Roman" w:hAnsi="Times New Roman"/>
                <w:b w:val="0"/>
                <w:lang w:val="cs-CZ"/>
              </w:rPr>
            </w:pPr>
          </w:p>
          <w:p w14:paraId="5B08D0E8" w14:textId="77777777" w:rsidR="00633E0F"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Vyberte si místo pro podání injekce:</w:t>
            </w:r>
          </w:p>
          <w:p w14:paraId="7C432DBE" w14:textId="77777777" w:rsidR="00633E0F" w:rsidRPr="001B4A02" w:rsidRDefault="00633E0F" w:rsidP="00970906">
            <w:pPr>
              <w:pStyle w:val="EMEANormal"/>
              <w:keepNext/>
              <w:rPr>
                <w:lang w:val="cs-CZ"/>
              </w:rPr>
            </w:pPr>
          </w:p>
          <w:p w14:paraId="383ECD95" w14:textId="77777777" w:rsidR="00633E0F" w:rsidRPr="001B4A02" w:rsidRDefault="00000000" w:rsidP="00970906">
            <w:pPr>
              <w:pStyle w:val="EMEAHeadingLeaflet"/>
              <w:keepNext/>
              <w:numPr>
                <w:ilvl w:val="0"/>
                <w:numId w:val="108"/>
              </w:numPr>
              <w:tabs>
                <w:tab w:val="clear" w:pos="562"/>
              </w:tabs>
              <w:spacing w:beforeLines="0" w:afterLines="0"/>
              <w:ind w:leftChars="357" w:left="1142" w:hanging="357"/>
              <w:rPr>
                <w:rFonts w:ascii="Times New Roman" w:hAnsi="Times New Roman"/>
                <w:b w:val="0"/>
                <w:lang w:val="cs-CZ"/>
              </w:rPr>
            </w:pPr>
            <w:r w:rsidRPr="001B4A02">
              <w:rPr>
                <w:rFonts w:ascii="Times New Roman" w:hAnsi="Times New Roman"/>
                <w:b w:val="0"/>
                <w:caps/>
                <w:lang w:val="cs-CZ"/>
              </w:rPr>
              <w:t>n</w:t>
            </w:r>
            <w:r w:rsidRPr="001B4A02">
              <w:rPr>
                <w:rFonts w:ascii="Times New Roman" w:hAnsi="Times New Roman"/>
                <w:b w:val="0"/>
                <w:lang w:val="cs-CZ"/>
              </w:rPr>
              <w:t>a přední straně stehna nebo</w:t>
            </w:r>
          </w:p>
          <w:p w14:paraId="5C6194D5" w14:textId="77777777" w:rsidR="00633E0F" w:rsidRPr="001B4A02" w:rsidRDefault="00000000" w:rsidP="00970906">
            <w:pPr>
              <w:pStyle w:val="EMEAHeadingLeaflet"/>
              <w:keepNext/>
              <w:numPr>
                <w:ilvl w:val="0"/>
                <w:numId w:val="108"/>
              </w:numPr>
              <w:tabs>
                <w:tab w:val="clear" w:pos="562"/>
              </w:tabs>
              <w:spacing w:beforeLines="0" w:afterLines="0"/>
              <w:ind w:leftChars="357" w:left="1142" w:hanging="357"/>
              <w:rPr>
                <w:rFonts w:ascii="Times New Roman" w:hAnsi="Times New Roman"/>
                <w:b w:val="0"/>
                <w:lang w:val="cs-CZ"/>
              </w:rPr>
            </w:pPr>
            <w:r w:rsidRPr="001B4A02">
              <w:rPr>
                <w:rFonts w:ascii="Times New Roman" w:hAnsi="Times New Roman"/>
                <w:b w:val="0"/>
                <w:caps/>
                <w:lang w:val="cs-CZ"/>
              </w:rPr>
              <w:t>n</w:t>
            </w:r>
            <w:r w:rsidRPr="001B4A02">
              <w:rPr>
                <w:rFonts w:ascii="Times New Roman" w:hAnsi="Times New Roman"/>
                <w:b w:val="0"/>
                <w:lang w:val="cs-CZ"/>
              </w:rPr>
              <w:t>a břiše nejméně 5</w:t>
            </w:r>
            <w:r w:rsidR="00B76F26" w:rsidRPr="00B76F26">
              <w:rPr>
                <w:szCs w:val="22"/>
                <w:lang w:val="cs-CZ"/>
              </w:rPr>
              <w:t> </w:t>
            </w:r>
            <w:r w:rsidRPr="001B4A02">
              <w:rPr>
                <w:rFonts w:ascii="Times New Roman" w:hAnsi="Times New Roman"/>
                <w:b w:val="0"/>
                <w:lang w:val="cs-CZ"/>
              </w:rPr>
              <w:t>cm od pup</w:t>
            </w:r>
            <w:r w:rsidR="001C20BB" w:rsidRPr="001B4A02">
              <w:rPr>
                <w:rFonts w:ascii="Times New Roman" w:hAnsi="Times New Roman"/>
                <w:b w:val="0"/>
                <w:lang w:val="cs-CZ"/>
              </w:rPr>
              <w:t>ku</w:t>
            </w:r>
          </w:p>
          <w:p w14:paraId="2697A910" w14:textId="77777777" w:rsidR="00633E0F" w:rsidRPr="001B4A02" w:rsidRDefault="00000000" w:rsidP="00970906">
            <w:pPr>
              <w:pStyle w:val="EMEAHeadingLeaflet"/>
              <w:keepNext/>
              <w:numPr>
                <w:ilvl w:val="0"/>
                <w:numId w:val="108"/>
              </w:numPr>
              <w:tabs>
                <w:tab w:val="clear" w:pos="562"/>
              </w:tabs>
              <w:spacing w:beforeLines="0" w:afterLines="0"/>
              <w:ind w:leftChars="357" w:left="1142" w:hanging="357"/>
              <w:rPr>
                <w:rFonts w:ascii="Times New Roman" w:hAnsi="Times New Roman"/>
                <w:b w:val="0"/>
                <w:lang w:val="cs-CZ"/>
              </w:rPr>
            </w:pPr>
            <w:r w:rsidRPr="001B4A02">
              <w:rPr>
                <w:rFonts w:ascii="Times New Roman" w:hAnsi="Times New Roman"/>
                <w:b w:val="0"/>
                <w:caps/>
                <w:lang w:val="cs-CZ"/>
              </w:rPr>
              <w:t>n</w:t>
            </w:r>
            <w:r w:rsidRPr="001B4A02">
              <w:rPr>
                <w:rFonts w:ascii="Times New Roman" w:hAnsi="Times New Roman"/>
                <w:b w:val="0"/>
                <w:lang w:val="cs-CZ"/>
              </w:rPr>
              <w:t>ejméně 3</w:t>
            </w:r>
            <w:r w:rsidR="00B76F26" w:rsidRPr="00B76F26">
              <w:rPr>
                <w:szCs w:val="22"/>
                <w:lang w:val="cs-CZ"/>
              </w:rPr>
              <w:t> </w:t>
            </w:r>
            <w:r w:rsidRPr="001B4A02">
              <w:rPr>
                <w:rFonts w:ascii="Times New Roman" w:hAnsi="Times New Roman"/>
                <w:b w:val="0"/>
                <w:lang w:val="cs-CZ"/>
              </w:rPr>
              <w:t>cm od posledního místa vpichu</w:t>
            </w:r>
          </w:p>
          <w:p w14:paraId="233DA40E" w14:textId="77777777" w:rsidR="00633E0F" w:rsidRPr="001B4A02" w:rsidRDefault="00633E0F" w:rsidP="00970906">
            <w:pPr>
              <w:pStyle w:val="EMEANormal"/>
              <w:keepNext/>
              <w:rPr>
                <w:lang w:val="cs-CZ"/>
              </w:rPr>
            </w:pPr>
          </w:p>
          <w:p w14:paraId="0ECB6D61" w14:textId="77777777" w:rsidR="00633E0F"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Otřete krouživými pohyby místo vpichu tamp</w:t>
            </w:r>
            <w:ins w:id="13894" w:author="Abbvie02" w:date="2025-05-16T12:35:00Z">
              <w:r w:rsidR="009165EF">
                <w:rPr>
                  <w:rFonts w:ascii="Times New Roman" w:hAnsi="Times New Roman"/>
                  <w:b w:val="0"/>
                  <w:lang w:val="cs-CZ"/>
                </w:rPr>
                <w:t>o</w:t>
              </w:r>
            </w:ins>
            <w:del w:id="13895" w:author="Abbvie02" w:date="2025-05-16T12:35:00Z">
              <w:r w:rsidRPr="001B4A02">
                <w:rPr>
                  <w:rFonts w:ascii="Times New Roman" w:hAnsi="Times New Roman"/>
                  <w:b w:val="0"/>
                  <w:lang w:val="cs-CZ"/>
                </w:rPr>
                <w:delText>ó</w:delText>
              </w:r>
            </w:del>
            <w:r w:rsidRPr="001B4A02">
              <w:rPr>
                <w:rFonts w:ascii="Times New Roman" w:hAnsi="Times New Roman"/>
                <w:b w:val="0"/>
                <w:lang w:val="cs-CZ"/>
              </w:rPr>
              <w:t>nem s alkoholem.</w:t>
            </w:r>
          </w:p>
          <w:p w14:paraId="2D2FCFDF" w14:textId="77777777" w:rsidR="00633E0F" w:rsidRPr="001B4A02" w:rsidRDefault="00633E0F" w:rsidP="00970906">
            <w:pPr>
              <w:pStyle w:val="EMEANormal"/>
              <w:keepNext/>
              <w:rPr>
                <w:lang w:val="cs-CZ"/>
              </w:rPr>
            </w:pPr>
          </w:p>
          <w:p w14:paraId="1E46693E" w14:textId="77777777" w:rsidR="00633E0F" w:rsidRPr="001B4A02" w:rsidRDefault="00000000" w:rsidP="00970906">
            <w:pPr>
              <w:pStyle w:val="EMEAHeadingLeaflet"/>
              <w:keepNext/>
              <w:numPr>
                <w:ilvl w:val="0"/>
                <w:numId w:val="109"/>
              </w:numPr>
              <w:tabs>
                <w:tab w:val="clear" w:pos="562"/>
              </w:tabs>
              <w:spacing w:beforeLines="0" w:afterLines="0"/>
              <w:ind w:leftChars="357" w:left="1142" w:hanging="357"/>
              <w:rPr>
                <w:rFonts w:ascii="Times New Roman" w:hAnsi="Times New Roman"/>
                <w:b w:val="0"/>
                <w:lang w:val="cs-CZ"/>
              </w:rPr>
            </w:pPr>
            <w:r w:rsidRPr="001B4A02">
              <w:rPr>
                <w:rFonts w:ascii="Times New Roman" w:hAnsi="Times New Roman"/>
                <w:b w:val="0"/>
                <w:lang w:val="cs-CZ"/>
              </w:rPr>
              <w:t xml:space="preserve">Injekci </w:t>
            </w:r>
            <w:r w:rsidRPr="001B4A02">
              <w:rPr>
                <w:rFonts w:ascii="Times New Roman" w:hAnsi="Times New Roman"/>
                <w:lang w:val="cs-CZ"/>
              </w:rPr>
              <w:t>nevpichujte</w:t>
            </w:r>
            <w:r w:rsidRPr="001B4A02">
              <w:rPr>
                <w:rFonts w:ascii="Times New Roman" w:hAnsi="Times New Roman"/>
                <w:b w:val="0"/>
                <w:lang w:val="cs-CZ"/>
              </w:rPr>
              <w:t xml:space="preserve"> přes oděv</w:t>
            </w:r>
          </w:p>
          <w:p w14:paraId="0E403117" w14:textId="77777777" w:rsidR="00633E0F" w:rsidRPr="001B4A02" w:rsidRDefault="00000000" w:rsidP="00970906">
            <w:pPr>
              <w:pStyle w:val="EMEANormal"/>
              <w:keepNext/>
              <w:numPr>
                <w:ilvl w:val="0"/>
                <w:numId w:val="109"/>
              </w:numPr>
              <w:tabs>
                <w:tab w:val="clear" w:pos="562"/>
              </w:tabs>
              <w:ind w:leftChars="357" w:left="1142" w:hanging="357"/>
              <w:rPr>
                <w:lang w:val="cs-CZ"/>
              </w:rPr>
            </w:pPr>
            <w:r w:rsidRPr="001B4A02">
              <w:rPr>
                <w:lang w:val="cs-CZ"/>
              </w:rPr>
              <w:t>Injekci</w:t>
            </w:r>
            <w:r w:rsidRPr="001B4A02">
              <w:rPr>
                <w:b/>
                <w:lang w:val="cs-CZ"/>
              </w:rPr>
              <w:t xml:space="preserve"> nevpichujte</w:t>
            </w:r>
            <w:r w:rsidRPr="001B4A02">
              <w:rPr>
                <w:lang w:val="cs-CZ"/>
              </w:rPr>
              <w:t xml:space="preserve"> do kůže, která je citlivá, zhmožděná, červená, zatvrdlá, zjizvená, se striemi, ani do ložisek psoriázy</w:t>
            </w:r>
          </w:p>
        </w:tc>
      </w:tr>
      <w:tr w:rsidR="00534A2D" w14:paraId="3A8D032A" w14:textId="77777777" w:rsidTr="00B87DF7">
        <w:tc>
          <w:tcPr>
            <w:tcW w:w="3708" w:type="dxa"/>
            <w:tcBorders>
              <w:right w:val="nil"/>
            </w:tcBorders>
            <w:shd w:val="clear" w:color="auto" w:fill="auto"/>
          </w:tcPr>
          <w:p w14:paraId="78BCCB51" w14:textId="77777777" w:rsidR="00633E0F" w:rsidRPr="001B4A02" w:rsidRDefault="00000000" w:rsidP="00970906">
            <w:pPr>
              <w:pStyle w:val="EMEANormal"/>
              <w:keepNext/>
              <w:rPr>
                <w:b/>
                <w:lang w:val="cs-CZ"/>
              </w:rPr>
            </w:pPr>
            <w:r w:rsidRPr="001B4A02">
              <w:rPr>
                <w:b/>
                <w:lang w:val="cs-CZ"/>
              </w:rPr>
              <w:t>KROK 4</w:t>
            </w:r>
          </w:p>
          <w:p w14:paraId="7DD0D0B7" w14:textId="77777777" w:rsidR="00633E0F" w:rsidRPr="001B4A02" w:rsidRDefault="00633E0F" w:rsidP="00970906">
            <w:pPr>
              <w:pStyle w:val="EMEANormal"/>
              <w:keepNext/>
              <w:rPr>
                <w:b/>
                <w:lang w:val="cs-CZ"/>
              </w:rPr>
            </w:pPr>
          </w:p>
          <w:p w14:paraId="4EE40B12" w14:textId="77777777" w:rsidR="00633E0F" w:rsidRPr="001B4A02" w:rsidRDefault="00000000" w:rsidP="00970906">
            <w:pPr>
              <w:pStyle w:val="EMEANormal"/>
              <w:keepNext/>
              <w:rPr>
                <w:lang w:val="cs-CZ"/>
              </w:rPr>
            </w:pPr>
            <w:r w:rsidRPr="001B4A02">
              <w:rPr>
                <w:noProof/>
              </w:rPr>
              <w:drawing>
                <wp:inline distT="0" distB="0" distL="0" distR="0" wp14:anchorId="02D6F170" wp14:editId="0AF9178E">
                  <wp:extent cx="2208530" cy="2044700"/>
                  <wp:effectExtent l="0" t="0" r="1270" b="0"/>
                  <wp:docPr id="571" name="obrázek 571"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Picture 571" descr="STEP4_grey"/>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2208530" cy="2044700"/>
                          </a:xfrm>
                          <a:prstGeom prst="rect">
                            <a:avLst/>
                          </a:prstGeom>
                          <a:noFill/>
                          <a:ln>
                            <a:noFill/>
                          </a:ln>
                        </pic:spPr>
                      </pic:pic>
                    </a:graphicData>
                  </a:graphic>
                </wp:inline>
              </w:drawing>
            </w:r>
          </w:p>
        </w:tc>
        <w:tc>
          <w:tcPr>
            <w:tcW w:w="5579" w:type="dxa"/>
            <w:tcBorders>
              <w:left w:val="nil"/>
            </w:tcBorders>
            <w:shd w:val="clear" w:color="auto" w:fill="auto"/>
          </w:tcPr>
          <w:p w14:paraId="1D897E7E" w14:textId="77777777" w:rsidR="00633E0F" w:rsidRPr="001B4A02" w:rsidRDefault="00633E0F" w:rsidP="00970906">
            <w:pPr>
              <w:pStyle w:val="EMEAHeadingLeaflet"/>
              <w:keepNext/>
              <w:spacing w:beforeLines="0" w:afterLines="0"/>
              <w:rPr>
                <w:rFonts w:ascii="Times New Roman" w:hAnsi="Times New Roman"/>
                <w:b w:val="0"/>
                <w:lang w:val="cs-CZ"/>
              </w:rPr>
            </w:pPr>
          </w:p>
          <w:p w14:paraId="3EC67028" w14:textId="77777777" w:rsidR="00633E0F"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 xml:space="preserve">Předplněné pero držte tak, aby šedý kryt 1 směřoval vzhůru. </w:t>
            </w:r>
          </w:p>
          <w:p w14:paraId="5DC973D7" w14:textId="77777777" w:rsidR="00633E0F" w:rsidRPr="001B4A02" w:rsidRDefault="00633E0F" w:rsidP="00970906">
            <w:pPr>
              <w:pStyle w:val="EMEANormal"/>
              <w:keepNext/>
              <w:rPr>
                <w:lang w:val="cs-CZ"/>
              </w:rPr>
            </w:pPr>
          </w:p>
          <w:p w14:paraId="146DD99F" w14:textId="77777777" w:rsidR="00633E0F"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Zkontrolujte vzhled roztoku přes okénko.</w:t>
            </w:r>
          </w:p>
          <w:p w14:paraId="55426C6C" w14:textId="77777777" w:rsidR="00633E0F" w:rsidRPr="001B4A02" w:rsidRDefault="00633E0F" w:rsidP="00970906">
            <w:pPr>
              <w:pStyle w:val="EMEANormal"/>
              <w:keepNext/>
              <w:rPr>
                <w:lang w:val="cs-CZ"/>
              </w:rPr>
            </w:pPr>
          </w:p>
          <w:p w14:paraId="704645E5" w14:textId="77777777" w:rsidR="00633E0F" w:rsidRPr="001B4A02" w:rsidRDefault="00000000" w:rsidP="00970906">
            <w:pPr>
              <w:pStyle w:val="EMEAHeadingLeaflet"/>
              <w:keepNext/>
              <w:numPr>
                <w:ilvl w:val="0"/>
                <w:numId w:val="110"/>
              </w:numPr>
              <w:tabs>
                <w:tab w:val="clear" w:pos="562"/>
              </w:tabs>
              <w:spacing w:beforeLines="0" w:afterLines="0"/>
              <w:ind w:leftChars="357" w:left="1142" w:hanging="357"/>
              <w:rPr>
                <w:rFonts w:ascii="Times New Roman" w:hAnsi="Times New Roman"/>
                <w:b w:val="0"/>
                <w:lang w:val="cs-CZ"/>
              </w:rPr>
            </w:pPr>
            <w:r w:rsidRPr="001B4A02">
              <w:rPr>
                <w:rFonts w:ascii="Times New Roman" w:hAnsi="Times New Roman"/>
                <w:b w:val="0"/>
                <w:lang w:val="cs-CZ"/>
              </w:rPr>
              <w:t>Výskyt 1 nebo v</w:t>
            </w:r>
            <w:r w:rsidR="00785E3C" w:rsidRPr="001B4A02">
              <w:rPr>
                <w:rFonts w:ascii="Times New Roman" w:hAnsi="Times New Roman"/>
                <w:b w:val="0"/>
                <w:lang w:val="cs-CZ"/>
              </w:rPr>
              <w:t>í</w:t>
            </w:r>
            <w:r w:rsidRPr="001B4A02">
              <w:rPr>
                <w:rFonts w:ascii="Times New Roman" w:hAnsi="Times New Roman"/>
                <w:b w:val="0"/>
                <w:lang w:val="cs-CZ"/>
              </w:rPr>
              <w:t>ce bublin v</w:t>
            </w:r>
            <w:r w:rsidR="00715D0A" w:rsidRPr="001B4A02">
              <w:rPr>
                <w:rFonts w:ascii="Times New Roman" w:hAnsi="Times New Roman"/>
                <w:b w:val="0"/>
                <w:lang w:val="cs-CZ"/>
              </w:rPr>
              <w:t> </w:t>
            </w:r>
            <w:r w:rsidRPr="001B4A02">
              <w:rPr>
                <w:rFonts w:ascii="Times New Roman" w:hAnsi="Times New Roman"/>
                <w:b w:val="0"/>
                <w:lang w:val="cs-CZ"/>
              </w:rPr>
              <w:t>okénku je normální</w:t>
            </w:r>
          </w:p>
          <w:p w14:paraId="52F45A27" w14:textId="77777777" w:rsidR="00633E0F" w:rsidRPr="001B4A02" w:rsidRDefault="00000000" w:rsidP="00970906">
            <w:pPr>
              <w:pStyle w:val="EMEAHeadingLeaflet"/>
              <w:keepNext/>
              <w:numPr>
                <w:ilvl w:val="0"/>
                <w:numId w:val="110"/>
              </w:numPr>
              <w:tabs>
                <w:tab w:val="clear" w:pos="562"/>
              </w:tabs>
              <w:spacing w:beforeLines="0" w:afterLines="0"/>
              <w:ind w:leftChars="357" w:left="1142" w:hanging="357"/>
              <w:rPr>
                <w:rFonts w:ascii="Times New Roman" w:hAnsi="Times New Roman"/>
                <w:b w:val="0"/>
                <w:lang w:val="cs-CZ"/>
              </w:rPr>
            </w:pPr>
            <w:r w:rsidRPr="001B4A02">
              <w:rPr>
                <w:rFonts w:ascii="Times New Roman" w:hAnsi="Times New Roman"/>
                <w:b w:val="0"/>
                <w:lang w:val="cs-CZ"/>
              </w:rPr>
              <w:t>Zkontrolujte, zda je roztok čirý</w:t>
            </w:r>
            <w:r w:rsidR="002378E0">
              <w:rPr>
                <w:rFonts w:ascii="Times New Roman" w:hAnsi="Times New Roman"/>
                <w:b w:val="0"/>
                <w:lang w:val="cs-CZ"/>
              </w:rPr>
              <w:t xml:space="preserve"> a </w:t>
            </w:r>
            <w:r w:rsidRPr="001B4A02">
              <w:rPr>
                <w:rFonts w:ascii="Times New Roman" w:hAnsi="Times New Roman"/>
                <w:b w:val="0"/>
                <w:lang w:val="cs-CZ"/>
              </w:rPr>
              <w:t>bezbarvý</w:t>
            </w:r>
          </w:p>
          <w:p w14:paraId="03335CAB" w14:textId="77777777" w:rsidR="00633E0F" w:rsidRPr="001B4A02" w:rsidRDefault="00000000" w:rsidP="00970906">
            <w:pPr>
              <w:pStyle w:val="EMEAHeadingLeaflet"/>
              <w:keepNext/>
              <w:numPr>
                <w:ilvl w:val="0"/>
                <w:numId w:val="110"/>
              </w:numPr>
              <w:tabs>
                <w:tab w:val="clear" w:pos="562"/>
              </w:tabs>
              <w:spacing w:beforeLines="0" w:afterLines="0"/>
              <w:ind w:leftChars="357" w:left="1142" w:hanging="357"/>
              <w:rPr>
                <w:rFonts w:ascii="Times New Roman" w:hAnsi="Times New Roman"/>
                <w:b w:val="0"/>
                <w:lang w:val="cs-CZ"/>
              </w:rPr>
            </w:pPr>
            <w:r w:rsidRPr="001B4A02">
              <w:rPr>
                <w:rFonts w:ascii="Times New Roman" w:hAnsi="Times New Roman"/>
                <w:b w:val="0"/>
                <w:lang w:val="cs-CZ"/>
              </w:rPr>
              <w:t xml:space="preserve">Předplněné pero </w:t>
            </w:r>
            <w:r w:rsidRPr="001B4A02">
              <w:rPr>
                <w:rFonts w:ascii="Times New Roman" w:hAnsi="Times New Roman"/>
                <w:lang w:val="cs-CZ"/>
              </w:rPr>
              <w:t>nepoužívejte</w:t>
            </w:r>
            <w:r w:rsidRPr="001B4A02">
              <w:rPr>
                <w:rFonts w:ascii="Times New Roman" w:hAnsi="Times New Roman"/>
                <w:b w:val="0"/>
                <w:lang w:val="cs-CZ"/>
              </w:rPr>
              <w:t>, jestliže je roztok zakalený nebo v</w:t>
            </w:r>
            <w:r w:rsidR="0028371E" w:rsidRPr="001B4A02">
              <w:rPr>
                <w:rFonts w:ascii="Times New Roman" w:hAnsi="Times New Roman"/>
                <w:b w:val="0"/>
                <w:lang w:val="cs-CZ"/>
              </w:rPr>
              <w:t> </w:t>
            </w:r>
            <w:r w:rsidRPr="001B4A02">
              <w:rPr>
                <w:rFonts w:ascii="Times New Roman" w:hAnsi="Times New Roman"/>
                <w:b w:val="0"/>
                <w:lang w:val="cs-CZ"/>
              </w:rPr>
              <w:t xml:space="preserve">něm jsou viditelné </w:t>
            </w:r>
            <w:r w:rsidR="008464C9" w:rsidRPr="001B4A02">
              <w:rPr>
                <w:rFonts w:ascii="Times New Roman" w:hAnsi="Times New Roman"/>
                <w:b w:val="0"/>
                <w:lang w:val="cs-CZ"/>
              </w:rPr>
              <w:t>částečky</w:t>
            </w:r>
          </w:p>
          <w:p w14:paraId="6476BF12" w14:textId="77777777" w:rsidR="00633E0F" w:rsidRPr="001B4A02" w:rsidRDefault="00000000" w:rsidP="00970906">
            <w:pPr>
              <w:pStyle w:val="EMEANormal"/>
              <w:keepNext/>
              <w:numPr>
                <w:ilvl w:val="0"/>
                <w:numId w:val="110"/>
              </w:numPr>
              <w:tabs>
                <w:tab w:val="clear" w:pos="562"/>
              </w:tabs>
              <w:ind w:leftChars="357" w:left="1142" w:hanging="357"/>
              <w:rPr>
                <w:lang w:val="cs-CZ"/>
              </w:rPr>
            </w:pPr>
            <w:r w:rsidRPr="001B4A02">
              <w:rPr>
                <w:lang w:val="cs-CZ"/>
              </w:rPr>
              <w:t xml:space="preserve">Předplněné pero </w:t>
            </w:r>
            <w:r w:rsidRPr="001B4A02">
              <w:rPr>
                <w:b/>
                <w:lang w:val="cs-CZ"/>
              </w:rPr>
              <w:t>nepoužívejte</w:t>
            </w:r>
            <w:r w:rsidRPr="001B4A02">
              <w:rPr>
                <w:lang w:val="cs-CZ"/>
              </w:rPr>
              <w:t xml:space="preserve">, jestliže </w:t>
            </w:r>
            <w:r w:rsidR="008464C9" w:rsidRPr="001B4A02">
              <w:rPr>
                <w:lang w:val="cs-CZ"/>
              </w:rPr>
              <w:t>upadlo nebo prasko</w:t>
            </w:r>
          </w:p>
        </w:tc>
      </w:tr>
      <w:tr w:rsidR="00534A2D" w14:paraId="3812C0E6" w14:textId="77777777" w:rsidTr="00B87DF7">
        <w:tc>
          <w:tcPr>
            <w:tcW w:w="3708" w:type="dxa"/>
            <w:tcBorders>
              <w:right w:val="nil"/>
            </w:tcBorders>
            <w:shd w:val="clear" w:color="auto" w:fill="auto"/>
          </w:tcPr>
          <w:p w14:paraId="4EBF22C5" w14:textId="77777777" w:rsidR="00633E0F" w:rsidRPr="001B4A02" w:rsidRDefault="00000000" w:rsidP="00970906">
            <w:pPr>
              <w:pStyle w:val="EMEANormal"/>
              <w:keepNext/>
              <w:rPr>
                <w:lang w:val="cs-CZ"/>
              </w:rPr>
            </w:pPr>
            <w:r w:rsidRPr="001B4A02">
              <w:rPr>
                <w:b/>
                <w:lang w:val="cs-CZ"/>
              </w:rPr>
              <w:t>KROK 5</w:t>
            </w:r>
          </w:p>
          <w:p w14:paraId="15A5C878" w14:textId="77777777" w:rsidR="00633E0F" w:rsidRPr="001B4A02" w:rsidRDefault="00633E0F" w:rsidP="00970906">
            <w:pPr>
              <w:pStyle w:val="EMEANormal"/>
              <w:keepNext/>
              <w:rPr>
                <w:lang w:val="cs-CZ"/>
              </w:rPr>
            </w:pPr>
          </w:p>
          <w:p w14:paraId="14086276" w14:textId="77777777" w:rsidR="00633E0F" w:rsidRPr="001B4A02" w:rsidRDefault="00000000" w:rsidP="00970906">
            <w:pPr>
              <w:pStyle w:val="EMEANormal"/>
              <w:keepNext/>
              <w:rPr>
                <w:b/>
                <w:lang w:val="cs-CZ"/>
              </w:rPr>
            </w:pPr>
            <w:r w:rsidRPr="001B4A02">
              <w:rPr>
                <w:b/>
                <w:lang w:val="cs-CZ"/>
              </w:rPr>
              <w:t>Kryt 1</w:t>
            </w:r>
          </w:p>
          <w:p w14:paraId="20B60B8E" w14:textId="77777777" w:rsidR="00633E0F" w:rsidRPr="001B4A02" w:rsidRDefault="00000000" w:rsidP="00970906">
            <w:pPr>
              <w:pStyle w:val="EMEANormal"/>
              <w:keepNext/>
              <w:rPr>
                <w:lang w:val="cs-CZ"/>
              </w:rPr>
            </w:pPr>
            <w:r w:rsidRPr="001B4A02">
              <w:rPr>
                <w:noProof/>
              </w:rPr>
              <w:drawing>
                <wp:inline distT="0" distB="0" distL="0" distR="0" wp14:anchorId="1109491B" wp14:editId="2C4642DA">
                  <wp:extent cx="2026920" cy="1854835"/>
                  <wp:effectExtent l="0" t="0" r="0" b="0"/>
                  <wp:docPr id="572" name="obrázek 572"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Picture 572" descr="EU_IFU_STEP5_grey"/>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2026920" cy="1854835"/>
                          </a:xfrm>
                          <a:prstGeom prst="rect">
                            <a:avLst/>
                          </a:prstGeom>
                          <a:noFill/>
                          <a:ln>
                            <a:noFill/>
                          </a:ln>
                        </pic:spPr>
                      </pic:pic>
                    </a:graphicData>
                  </a:graphic>
                </wp:inline>
              </w:drawing>
            </w:r>
          </w:p>
          <w:p w14:paraId="02E61364" w14:textId="77777777" w:rsidR="00633E0F" w:rsidRPr="001B4A02" w:rsidRDefault="00000000" w:rsidP="00970906">
            <w:pPr>
              <w:pStyle w:val="EMEANormal"/>
              <w:keepNext/>
              <w:rPr>
                <w:b/>
                <w:lang w:val="cs-CZ"/>
              </w:rPr>
            </w:pPr>
            <w:r w:rsidRPr="001B4A02">
              <w:rPr>
                <w:b/>
                <w:lang w:val="cs-CZ"/>
              </w:rPr>
              <w:t xml:space="preserve">                                            Kryt 2</w:t>
            </w:r>
          </w:p>
        </w:tc>
        <w:tc>
          <w:tcPr>
            <w:tcW w:w="5579" w:type="dxa"/>
            <w:tcBorders>
              <w:left w:val="nil"/>
            </w:tcBorders>
            <w:shd w:val="clear" w:color="auto" w:fill="auto"/>
          </w:tcPr>
          <w:p w14:paraId="4F829DC6" w14:textId="77777777" w:rsidR="00633E0F" w:rsidRPr="001B4A02" w:rsidRDefault="00633E0F" w:rsidP="00970906">
            <w:pPr>
              <w:pStyle w:val="EMEAHeadingLeaflet"/>
              <w:keepNext/>
              <w:spacing w:beforeLines="0" w:afterLines="0"/>
              <w:rPr>
                <w:rFonts w:ascii="Times New Roman" w:hAnsi="Times New Roman"/>
                <w:b w:val="0"/>
                <w:lang w:val="cs-CZ"/>
              </w:rPr>
            </w:pPr>
          </w:p>
          <w:p w14:paraId="60EB827B" w14:textId="77777777" w:rsidR="00633E0F"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Tahem v</w:t>
            </w:r>
            <w:r w:rsidR="00715D0A" w:rsidRPr="001B4A02">
              <w:rPr>
                <w:rFonts w:ascii="Times New Roman" w:hAnsi="Times New Roman"/>
                <w:b w:val="0"/>
                <w:lang w:val="cs-CZ"/>
              </w:rPr>
              <w:t> </w:t>
            </w:r>
            <w:r w:rsidRPr="001B4A02">
              <w:rPr>
                <w:rFonts w:ascii="Times New Roman" w:hAnsi="Times New Roman"/>
                <w:b w:val="0"/>
                <w:lang w:val="cs-CZ"/>
              </w:rPr>
              <w:t xml:space="preserve">přímém směru sejměte šedý kryt 1. Kryt zlikvidujte. </w:t>
            </w:r>
            <w:r w:rsidRPr="00CC12ED">
              <w:rPr>
                <w:rFonts w:ascii="Times New Roman" w:hAnsi="Times New Roman"/>
                <w:lang w:val="cs-CZ"/>
              </w:rPr>
              <w:t>Nenasazujte jej</w:t>
            </w:r>
            <w:r w:rsidRPr="001B4A02">
              <w:rPr>
                <w:rFonts w:ascii="Times New Roman" w:hAnsi="Times New Roman"/>
                <w:b w:val="0"/>
                <w:lang w:val="cs-CZ"/>
              </w:rPr>
              <w:t xml:space="preserve"> znovu.</w:t>
            </w:r>
          </w:p>
          <w:p w14:paraId="45F99973" w14:textId="77777777" w:rsidR="00633E0F" w:rsidRPr="001B4A02" w:rsidRDefault="00633E0F" w:rsidP="00970906">
            <w:pPr>
              <w:pStyle w:val="EMEANormal"/>
              <w:keepNext/>
              <w:rPr>
                <w:lang w:val="cs-CZ"/>
              </w:rPr>
            </w:pPr>
          </w:p>
          <w:p w14:paraId="1380B8C8" w14:textId="77777777" w:rsidR="00633E0F" w:rsidRPr="001B4A02" w:rsidRDefault="00000000" w:rsidP="00970906">
            <w:pPr>
              <w:pStyle w:val="EMEAHeadingLeaflet"/>
              <w:keepNext/>
              <w:numPr>
                <w:ilvl w:val="0"/>
                <w:numId w:val="111"/>
              </w:numPr>
              <w:tabs>
                <w:tab w:val="clear" w:pos="562"/>
              </w:tabs>
              <w:spacing w:beforeLines="0" w:afterLines="0"/>
              <w:ind w:leftChars="357" w:left="1142" w:hanging="357"/>
              <w:rPr>
                <w:rFonts w:ascii="Times New Roman" w:hAnsi="Times New Roman"/>
                <w:b w:val="0"/>
                <w:lang w:val="cs-CZ"/>
              </w:rPr>
            </w:pPr>
            <w:r w:rsidRPr="00A2409E">
              <w:rPr>
                <w:rFonts w:ascii="Times New Roman" w:hAnsi="Times New Roman"/>
                <w:b w:val="0"/>
                <w:lang w:val="cs-CZ"/>
              </w:rPr>
              <w:t xml:space="preserve">Zkontrolujte, </w:t>
            </w:r>
            <w:r w:rsidRPr="00A2409E">
              <w:rPr>
                <w:rFonts w:ascii="Times New Roman" w:hAnsi="Times New Roman" w:hint="eastAsia"/>
                <w:b w:val="0"/>
                <w:lang w:val="cs-CZ"/>
              </w:rPr>
              <w:t>ž</w:t>
            </w:r>
            <w:r w:rsidRPr="00A2409E">
              <w:rPr>
                <w:rFonts w:ascii="Times New Roman" w:hAnsi="Times New Roman"/>
                <w:b w:val="0"/>
                <w:lang w:val="cs-CZ"/>
              </w:rPr>
              <w:t>e mal</w:t>
            </w:r>
            <w:r w:rsidRPr="00A2409E">
              <w:rPr>
                <w:rFonts w:ascii="Times New Roman" w:hAnsi="Times New Roman" w:hint="eastAsia"/>
                <w:b w:val="0"/>
                <w:lang w:val="cs-CZ"/>
              </w:rPr>
              <w:t>ý</w:t>
            </w:r>
            <w:r w:rsidRPr="00A2409E">
              <w:rPr>
                <w:rFonts w:ascii="Times New Roman" w:hAnsi="Times New Roman"/>
                <w:b w:val="0"/>
                <w:lang w:val="cs-CZ"/>
              </w:rPr>
              <w:t xml:space="preserve"> </w:t>
            </w:r>
            <w:r w:rsidRPr="00A2409E">
              <w:rPr>
                <w:rFonts w:ascii="Times New Roman" w:hAnsi="Times New Roman" w:hint="eastAsia"/>
                <w:b w:val="0"/>
                <w:lang w:val="cs-CZ"/>
              </w:rPr>
              <w:t>č</w:t>
            </w:r>
            <w:r w:rsidRPr="00A2409E">
              <w:rPr>
                <w:rFonts w:ascii="Times New Roman" w:hAnsi="Times New Roman"/>
                <w:b w:val="0"/>
                <w:lang w:val="cs-CZ"/>
              </w:rPr>
              <w:t>ern</w:t>
            </w:r>
            <w:r w:rsidRPr="00A2409E">
              <w:rPr>
                <w:rFonts w:ascii="Times New Roman" w:hAnsi="Times New Roman" w:hint="eastAsia"/>
                <w:b w:val="0"/>
                <w:lang w:val="cs-CZ"/>
              </w:rPr>
              <w:t>ý</w:t>
            </w:r>
            <w:r w:rsidRPr="00A2409E">
              <w:rPr>
                <w:rFonts w:ascii="Times New Roman" w:hAnsi="Times New Roman"/>
                <w:b w:val="0"/>
                <w:lang w:val="cs-CZ"/>
              </w:rPr>
              <w:t xml:space="preserve"> kryt jehly byl odstran</w:t>
            </w:r>
            <w:r w:rsidRPr="00A2409E">
              <w:rPr>
                <w:rFonts w:ascii="Times New Roman" w:hAnsi="Times New Roman" w:hint="eastAsia"/>
                <w:b w:val="0"/>
                <w:lang w:val="cs-CZ"/>
              </w:rPr>
              <w:t>ě</w:t>
            </w:r>
            <w:r w:rsidRPr="00A2409E">
              <w:rPr>
                <w:rFonts w:ascii="Times New Roman" w:hAnsi="Times New Roman"/>
                <w:b w:val="0"/>
                <w:lang w:val="cs-CZ"/>
              </w:rPr>
              <w:t>n s</w:t>
            </w:r>
            <w:r w:rsidRPr="00A2409E">
              <w:rPr>
                <w:rFonts w:ascii="Times New Roman" w:hAnsi="Times New Roman" w:hint="eastAsia"/>
                <w:b w:val="0"/>
                <w:lang w:val="cs-CZ"/>
              </w:rPr>
              <w:t> </w:t>
            </w:r>
            <w:r w:rsidRPr="00A2409E">
              <w:rPr>
                <w:rFonts w:ascii="Times New Roman" w:hAnsi="Times New Roman"/>
                <w:b w:val="0"/>
                <w:lang w:val="cs-CZ"/>
              </w:rPr>
              <w:t>horn</w:t>
            </w:r>
            <w:r w:rsidRPr="00A2409E">
              <w:rPr>
                <w:rFonts w:ascii="Times New Roman" w:hAnsi="Times New Roman" w:hint="eastAsia"/>
                <w:b w:val="0"/>
                <w:lang w:val="cs-CZ"/>
              </w:rPr>
              <w:t>í</w:t>
            </w:r>
            <w:r w:rsidRPr="00A2409E">
              <w:rPr>
                <w:rFonts w:ascii="Times New Roman" w:hAnsi="Times New Roman"/>
                <w:b w:val="0"/>
                <w:lang w:val="cs-CZ"/>
              </w:rPr>
              <w:t>m krytem</w:t>
            </w:r>
          </w:p>
          <w:p w14:paraId="4C3D88A1" w14:textId="77777777" w:rsidR="00633E0F" w:rsidRPr="001B4A02" w:rsidRDefault="00000000" w:rsidP="00970906">
            <w:pPr>
              <w:pStyle w:val="EMEAHeadingLeaflet"/>
              <w:keepNext/>
              <w:numPr>
                <w:ilvl w:val="0"/>
                <w:numId w:val="111"/>
              </w:numPr>
              <w:tabs>
                <w:tab w:val="clear" w:pos="562"/>
              </w:tabs>
              <w:spacing w:beforeLines="0" w:afterLines="0"/>
              <w:ind w:leftChars="357" w:left="1142" w:hanging="357"/>
              <w:rPr>
                <w:rFonts w:ascii="Times New Roman" w:hAnsi="Times New Roman"/>
                <w:b w:val="0"/>
                <w:lang w:val="cs-CZ"/>
              </w:rPr>
            </w:pPr>
            <w:r w:rsidRPr="001B4A02">
              <w:rPr>
                <w:rFonts w:ascii="Times New Roman" w:hAnsi="Times New Roman"/>
                <w:b w:val="0"/>
                <w:lang w:val="cs-CZ"/>
              </w:rPr>
              <w:t>Pokud z</w:t>
            </w:r>
            <w:r w:rsidR="00715D0A" w:rsidRPr="001B4A02">
              <w:rPr>
                <w:rFonts w:ascii="Times New Roman" w:hAnsi="Times New Roman"/>
                <w:b w:val="0"/>
                <w:lang w:val="cs-CZ"/>
              </w:rPr>
              <w:t> </w:t>
            </w:r>
            <w:r w:rsidRPr="001B4A02">
              <w:rPr>
                <w:rFonts w:ascii="Times New Roman" w:hAnsi="Times New Roman"/>
                <w:b w:val="0"/>
                <w:lang w:val="cs-CZ"/>
              </w:rPr>
              <w:t>jehly unikne pár drobných kapek tekutiny, je to v</w:t>
            </w:r>
            <w:r w:rsidR="00715D0A" w:rsidRPr="001B4A02">
              <w:rPr>
                <w:rFonts w:ascii="Times New Roman" w:hAnsi="Times New Roman"/>
                <w:b w:val="0"/>
                <w:lang w:val="cs-CZ"/>
              </w:rPr>
              <w:t> </w:t>
            </w:r>
            <w:r w:rsidRPr="001B4A02">
              <w:rPr>
                <w:rFonts w:ascii="Times New Roman" w:hAnsi="Times New Roman"/>
                <w:b w:val="0"/>
                <w:lang w:val="cs-CZ"/>
              </w:rPr>
              <w:t>pořádku</w:t>
            </w:r>
          </w:p>
          <w:p w14:paraId="6FAF5643" w14:textId="77777777" w:rsidR="00633E0F" w:rsidRPr="001B4A02" w:rsidRDefault="00633E0F" w:rsidP="00970906">
            <w:pPr>
              <w:pStyle w:val="EMEANormal"/>
              <w:keepNext/>
              <w:rPr>
                <w:lang w:val="cs-CZ"/>
              </w:rPr>
            </w:pPr>
          </w:p>
          <w:p w14:paraId="348D3703" w14:textId="77777777" w:rsidR="00633E0F"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Tahem v</w:t>
            </w:r>
            <w:r w:rsidR="00715D0A" w:rsidRPr="001B4A02">
              <w:rPr>
                <w:rFonts w:ascii="Times New Roman" w:hAnsi="Times New Roman"/>
                <w:b w:val="0"/>
                <w:lang w:val="cs-CZ"/>
              </w:rPr>
              <w:t> </w:t>
            </w:r>
            <w:r w:rsidRPr="001B4A02">
              <w:rPr>
                <w:rFonts w:ascii="Times New Roman" w:hAnsi="Times New Roman"/>
                <w:b w:val="0"/>
                <w:lang w:val="cs-CZ"/>
              </w:rPr>
              <w:t xml:space="preserve">přímém směru sejměte vínový kryt 2. Kryt zlikvidujte. </w:t>
            </w:r>
            <w:r w:rsidRPr="00CC12ED">
              <w:rPr>
                <w:rFonts w:ascii="Times New Roman" w:hAnsi="Times New Roman"/>
                <w:lang w:val="cs-CZ"/>
              </w:rPr>
              <w:t>Nenasazujte jej</w:t>
            </w:r>
            <w:r w:rsidRPr="001B4A02">
              <w:rPr>
                <w:rFonts w:ascii="Times New Roman" w:hAnsi="Times New Roman"/>
                <w:b w:val="0"/>
                <w:lang w:val="cs-CZ"/>
              </w:rPr>
              <w:t xml:space="preserve"> znovu.</w:t>
            </w:r>
          </w:p>
          <w:p w14:paraId="28842C82" w14:textId="77777777" w:rsidR="00633E0F" w:rsidRPr="001B4A02" w:rsidRDefault="00633E0F" w:rsidP="00970906">
            <w:pPr>
              <w:pStyle w:val="EMEANormal"/>
              <w:keepNext/>
              <w:rPr>
                <w:lang w:val="cs-CZ"/>
              </w:rPr>
            </w:pPr>
          </w:p>
          <w:p w14:paraId="71AC3677" w14:textId="77777777" w:rsidR="00633E0F" w:rsidRPr="001B4A02" w:rsidRDefault="00000000" w:rsidP="00970906">
            <w:pPr>
              <w:pStyle w:val="EMEANormal"/>
              <w:keepNext/>
              <w:rPr>
                <w:lang w:val="cs-CZ"/>
              </w:rPr>
            </w:pPr>
            <w:r w:rsidRPr="001B4A02">
              <w:rPr>
                <w:lang w:val="cs-CZ"/>
              </w:rPr>
              <w:t>Předplněné pero je nyní připraveno k</w:t>
            </w:r>
            <w:r w:rsidR="00715D0A" w:rsidRPr="001B4A02">
              <w:rPr>
                <w:lang w:val="cs-CZ"/>
              </w:rPr>
              <w:t> </w:t>
            </w:r>
            <w:r w:rsidRPr="001B4A02">
              <w:rPr>
                <w:lang w:val="cs-CZ"/>
              </w:rPr>
              <w:t>použití.</w:t>
            </w:r>
          </w:p>
          <w:p w14:paraId="76B258C1" w14:textId="77777777" w:rsidR="00633E0F" w:rsidRPr="001B4A02" w:rsidRDefault="00633E0F" w:rsidP="00970906">
            <w:pPr>
              <w:pStyle w:val="EMEANormal"/>
              <w:keepNext/>
              <w:rPr>
                <w:lang w:val="cs-CZ"/>
              </w:rPr>
            </w:pPr>
          </w:p>
          <w:p w14:paraId="3303E91D" w14:textId="77777777" w:rsidR="00633E0F" w:rsidRPr="001B4A02" w:rsidRDefault="00000000" w:rsidP="00970906">
            <w:pPr>
              <w:pStyle w:val="EMEANormal"/>
              <w:keepNext/>
              <w:rPr>
                <w:lang w:val="cs-CZ"/>
              </w:rPr>
            </w:pPr>
            <w:r w:rsidRPr="001B4A02">
              <w:rPr>
                <w:lang w:val="cs-CZ"/>
              </w:rPr>
              <w:t>Předplněné pero natočte tak, aby bílá šipka směřovala k</w:t>
            </w:r>
            <w:r w:rsidR="00715D0A" w:rsidRPr="001B4A02">
              <w:rPr>
                <w:lang w:val="cs-CZ"/>
              </w:rPr>
              <w:t> </w:t>
            </w:r>
            <w:r w:rsidRPr="001B4A02">
              <w:rPr>
                <w:lang w:val="cs-CZ"/>
              </w:rPr>
              <w:t>místu vpichu.</w:t>
            </w:r>
          </w:p>
        </w:tc>
      </w:tr>
      <w:tr w:rsidR="00534A2D" w14:paraId="05A6D75C" w14:textId="77777777" w:rsidTr="00B87DF7">
        <w:tc>
          <w:tcPr>
            <w:tcW w:w="3708" w:type="dxa"/>
            <w:tcBorders>
              <w:right w:val="nil"/>
            </w:tcBorders>
            <w:shd w:val="clear" w:color="auto" w:fill="auto"/>
          </w:tcPr>
          <w:p w14:paraId="427EF658" w14:textId="77777777" w:rsidR="00633E0F" w:rsidRPr="001B4A02" w:rsidRDefault="00000000" w:rsidP="00970906">
            <w:pPr>
              <w:pStyle w:val="EMEANormal"/>
              <w:keepNext/>
              <w:rPr>
                <w:b/>
                <w:lang w:val="cs-CZ"/>
              </w:rPr>
            </w:pPr>
            <w:r w:rsidRPr="001B4A02">
              <w:rPr>
                <w:b/>
                <w:lang w:val="cs-CZ"/>
              </w:rPr>
              <w:t>KROK 6</w:t>
            </w:r>
          </w:p>
          <w:p w14:paraId="1BBD700D" w14:textId="77777777" w:rsidR="00721A3A" w:rsidRPr="001B4A02" w:rsidRDefault="00721A3A" w:rsidP="00970906">
            <w:pPr>
              <w:pStyle w:val="EMEANormal"/>
              <w:keepNext/>
              <w:rPr>
                <w:b/>
                <w:lang w:val="cs-CZ"/>
              </w:rPr>
            </w:pPr>
          </w:p>
          <w:p w14:paraId="4D8073A5" w14:textId="77777777" w:rsidR="00633E0F" w:rsidRPr="001B4A02" w:rsidRDefault="00000000" w:rsidP="00970906">
            <w:pPr>
              <w:pStyle w:val="EMEANormal"/>
              <w:keepNext/>
              <w:rPr>
                <w:lang w:val="cs-CZ"/>
              </w:rPr>
            </w:pPr>
            <w:r w:rsidRPr="001B4A02">
              <w:rPr>
                <w:noProof/>
              </w:rPr>
              <w:drawing>
                <wp:inline distT="0" distB="0" distL="0" distR="0" wp14:anchorId="1E7F7CAD" wp14:editId="1BDEC205">
                  <wp:extent cx="2259965" cy="2139315"/>
                  <wp:effectExtent l="0" t="0" r="6985" b="0"/>
                  <wp:docPr id="573" name="obrázek 573"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Picture 573" descr="STEP6_grey"/>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2259965" cy="2139315"/>
                          </a:xfrm>
                          <a:prstGeom prst="rect">
                            <a:avLst/>
                          </a:prstGeom>
                          <a:noFill/>
                          <a:ln>
                            <a:noFill/>
                          </a:ln>
                        </pic:spPr>
                      </pic:pic>
                    </a:graphicData>
                  </a:graphic>
                </wp:inline>
              </w:drawing>
            </w:r>
          </w:p>
        </w:tc>
        <w:tc>
          <w:tcPr>
            <w:tcW w:w="5579" w:type="dxa"/>
            <w:tcBorders>
              <w:left w:val="nil"/>
            </w:tcBorders>
            <w:shd w:val="clear" w:color="auto" w:fill="auto"/>
          </w:tcPr>
          <w:p w14:paraId="53E16160" w14:textId="77777777" w:rsidR="00633E0F" w:rsidRPr="001B4A02" w:rsidRDefault="00633E0F" w:rsidP="00970906">
            <w:pPr>
              <w:pStyle w:val="EMEAHeadingLeaflet"/>
              <w:keepNext/>
              <w:spacing w:beforeLines="0" w:afterLines="0"/>
              <w:rPr>
                <w:rFonts w:ascii="Times New Roman" w:hAnsi="Times New Roman"/>
                <w:b w:val="0"/>
                <w:lang w:val="cs-CZ"/>
              </w:rPr>
            </w:pPr>
          </w:p>
          <w:p w14:paraId="086170F3" w14:textId="77777777" w:rsidR="00633E0F" w:rsidRPr="001B4A02" w:rsidRDefault="00000000" w:rsidP="00970906">
            <w:pPr>
              <w:pStyle w:val="EMEAHeadingLeaflet"/>
              <w:keepNext/>
              <w:spacing w:beforeLines="0" w:afterLines="0"/>
              <w:rPr>
                <w:rFonts w:ascii="Times New Roman" w:hAnsi="Times New Roman"/>
                <w:b w:val="0"/>
                <w:lang w:val="cs-CZ"/>
              </w:rPr>
            </w:pPr>
            <w:r w:rsidRPr="00243EC5">
              <w:rPr>
                <w:rFonts w:ascii="Times New Roman" w:hAnsi="Times New Roman"/>
                <w:b w:val="0"/>
                <w:lang w:val="cs-CZ"/>
              </w:rPr>
              <w:t xml:space="preserve">Druhou rukou </w:t>
            </w:r>
            <w:r>
              <w:rPr>
                <w:rFonts w:ascii="Times New Roman" w:hAnsi="Times New Roman"/>
                <w:b w:val="0"/>
                <w:lang w:val="cs-CZ"/>
              </w:rPr>
              <w:t>s</w:t>
            </w:r>
            <w:r w:rsidRPr="001B4A02">
              <w:rPr>
                <w:rFonts w:ascii="Times New Roman" w:hAnsi="Times New Roman"/>
                <w:b w:val="0"/>
                <w:lang w:val="cs-CZ"/>
              </w:rPr>
              <w:t>tiskněte kůži v</w:t>
            </w:r>
            <w:r w:rsidR="00715D0A" w:rsidRPr="001B4A02">
              <w:rPr>
                <w:rFonts w:ascii="Times New Roman" w:hAnsi="Times New Roman"/>
                <w:b w:val="0"/>
                <w:lang w:val="cs-CZ"/>
              </w:rPr>
              <w:t> </w:t>
            </w:r>
            <w:r w:rsidRPr="001B4A02">
              <w:rPr>
                <w:rFonts w:ascii="Times New Roman" w:hAnsi="Times New Roman"/>
                <w:b w:val="0"/>
                <w:lang w:val="cs-CZ"/>
              </w:rPr>
              <w:t>místě vpichu tak</w:t>
            </w:r>
            <w:r w:rsidR="009C2686" w:rsidRPr="001B4A02">
              <w:rPr>
                <w:rFonts w:ascii="Times New Roman" w:hAnsi="Times New Roman"/>
                <w:b w:val="0"/>
                <w:lang w:val="cs-CZ"/>
              </w:rPr>
              <w:t>,</w:t>
            </w:r>
            <w:r w:rsidRPr="001B4A02">
              <w:rPr>
                <w:rFonts w:ascii="Times New Roman" w:hAnsi="Times New Roman"/>
                <w:b w:val="0"/>
                <w:lang w:val="cs-CZ"/>
              </w:rPr>
              <w:t xml:space="preserve"> aby vznikla </w:t>
            </w:r>
            <w:r>
              <w:rPr>
                <w:rFonts w:ascii="Times New Roman" w:hAnsi="Times New Roman"/>
                <w:b w:val="0"/>
                <w:lang w:val="cs-CZ"/>
              </w:rPr>
              <w:t>vy</w:t>
            </w:r>
            <w:r w:rsidRPr="001B4A02">
              <w:rPr>
                <w:rFonts w:ascii="Times New Roman" w:hAnsi="Times New Roman"/>
                <w:b w:val="0"/>
                <w:lang w:val="cs-CZ"/>
              </w:rPr>
              <w:t>výšená plocha,</w:t>
            </w:r>
            <w:r w:rsidR="002378E0">
              <w:rPr>
                <w:rFonts w:ascii="Times New Roman" w:hAnsi="Times New Roman"/>
                <w:b w:val="0"/>
                <w:lang w:val="cs-CZ"/>
              </w:rPr>
              <w:t xml:space="preserve"> a </w:t>
            </w:r>
            <w:r w:rsidRPr="001B4A02">
              <w:rPr>
                <w:rFonts w:ascii="Times New Roman" w:hAnsi="Times New Roman"/>
                <w:b w:val="0"/>
                <w:lang w:val="cs-CZ"/>
              </w:rPr>
              <w:t>pevně ji držte</w:t>
            </w:r>
            <w:r w:rsidR="00C83654">
              <w:rPr>
                <w:rFonts w:ascii="Times New Roman" w:hAnsi="Times New Roman"/>
                <w:b w:val="0"/>
                <w:lang w:val="cs-CZ"/>
              </w:rPr>
              <w:t>, dokud nebude injekce dokončen</w:t>
            </w:r>
            <w:r w:rsidR="003C3D7A">
              <w:rPr>
                <w:rFonts w:ascii="Times New Roman" w:hAnsi="Times New Roman"/>
                <w:b w:val="0"/>
                <w:lang w:val="cs-CZ"/>
              </w:rPr>
              <w:t>a</w:t>
            </w:r>
            <w:r w:rsidRPr="001B4A02">
              <w:rPr>
                <w:rFonts w:ascii="Times New Roman" w:hAnsi="Times New Roman"/>
                <w:b w:val="0"/>
                <w:lang w:val="cs-CZ"/>
              </w:rPr>
              <w:t>.</w:t>
            </w:r>
          </w:p>
          <w:p w14:paraId="1D36E249" w14:textId="77777777" w:rsidR="00633E0F" w:rsidRPr="001B4A02" w:rsidRDefault="00633E0F" w:rsidP="00970906">
            <w:pPr>
              <w:pStyle w:val="EMEANormal"/>
              <w:keepNext/>
              <w:rPr>
                <w:lang w:val="cs-CZ"/>
              </w:rPr>
            </w:pPr>
          </w:p>
          <w:p w14:paraId="5D93D359" w14:textId="77777777" w:rsidR="00633E0F"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Bílou šipku nasměrujte k</w:t>
            </w:r>
            <w:r w:rsidR="00715D0A" w:rsidRPr="001B4A02">
              <w:rPr>
                <w:rFonts w:ascii="Times New Roman" w:hAnsi="Times New Roman"/>
                <w:b w:val="0"/>
                <w:lang w:val="cs-CZ"/>
              </w:rPr>
              <w:t> </w:t>
            </w:r>
            <w:r w:rsidRPr="001B4A02">
              <w:rPr>
                <w:rFonts w:ascii="Times New Roman" w:hAnsi="Times New Roman"/>
                <w:b w:val="0"/>
                <w:lang w:val="cs-CZ"/>
              </w:rPr>
              <w:t>místu vpichu (stehno nebo břicho).</w:t>
            </w:r>
          </w:p>
          <w:p w14:paraId="0B1FEC74" w14:textId="77777777" w:rsidR="00633E0F" w:rsidRPr="001B4A02" w:rsidRDefault="00633E0F" w:rsidP="00970906">
            <w:pPr>
              <w:pStyle w:val="EMEANormal"/>
              <w:keepNext/>
              <w:rPr>
                <w:lang w:val="cs-CZ"/>
              </w:rPr>
            </w:pPr>
          </w:p>
          <w:p w14:paraId="62BEDFED" w14:textId="77777777" w:rsidR="00633E0F"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Přiložte bílé pouzdro jehly k</w:t>
            </w:r>
            <w:r w:rsidR="00715D0A" w:rsidRPr="001B4A02">
              <w:rPr>
                <w:rFonts w:ascii="Times New Roman" w:hAnsi="Times New Roman"/>
                <w:b w:val="0"/>
                <w:lang w:val="cs-CZ"/>
              </w:rPr>
              <w:t> </w:t>
            </w:r>
            <w:r w:rsidRPr="001B4A02">
              <w:rPr>
                <w:rFonts w:ascii="Times New Roman" w:hAnsi="Times New Roman"/>
                <w:b w:val="0"/>
                <w:lang w:val="cs-CZ"/>
              </w:rPr>
              <w:t>místu vpichu pod pravým úhlem (</w:t>
            </w:r>
            <w:r w:rsidRPr="001B4A02">
              <w:rPr>
                <w:rFonts w:ascii="Times New Roman" w:hAnsi="Times New Roman"/>
                <w:lang w:val="cs-CZ"/>
              </w:rPr>
              <w:t>90°</w:t>
            </w:r>
            <w:r w:rsidRPr="001B4A02">
              <w:rPr>
                <w:rFonts w:ascii="Times New Roman" w:hAnsi="Times New Roman"/>
                <w:b w:val="0"/>
                <w:lang w:val="cs-CZ"/>
              </w:rPr>
              <w:t>).</w:t>
            </w:r>
          </w:p>
          <w:p w14:paraId="4FA1735E" w14:textId="77777777" w:rsidR="00633E0F" w:rsidRPr="001B4A02" w:rsidRDefault="00633E0F" w:rsidP="00970906">
            <w:pPr>
              <w:pStyle w:val="EMEANormal"/>
              <w:keepNext/>
              <w:rPr>
                <w:lang w:val="cs-CZ"/>
              </w:rPr>
            </w:pPr>
          </w:p>
          <w:p w14:paraId="7FD3C90B" w14:textId="77777777" w:rsidR="00633E0F" w:rsidRDefault="00000000" w:rsidP="00970906">
            <w:pPr>
              <w:pStyle w:val="EMEANormal"/>
              <w:keepNext/>
              <w:rPr>
                <w:lang w:val="cs-CZ"/>
              </w:rPr>
            </w:pPr>
            <w:r w:rsidRPr="001B4A02">
              <w:rPr>
                <w:lang w:val="cs-CZ"/>
              </w:rPr>
              <w:t>Předplněné pero držte tak, abyste viděl(a) na kontrolní okénko.</w:t>
            </w:r>
          </w:p>
          <w:p w14:paraId="7AD49A69" w14:textId="77777777" w:rsidR="00C83654" w:rsidRDefault="00C83654" w:rsidP="00970906">
            <w:pPr>
              <w:pStyle w:val="EMEANormal"/>
              <w:keepNext/>
              <w:rPr>
                <w:lang w:val="cs-CZ"/>
              </w:rPr>
            </w:pPr>
          </w:p>
          <w:p w14:paraId="4934B23E" w14:textId="77777777" w:rsidR="00C83654" w:rsidRPr="001B4A02" w:rsidRDefault="00000000" w:rsidP="00970906">
            <w:pPr>
              <w:pStyle w:val="EMEANormal"/>
              <w:keepNext/>
              <w:rPr>
                <w:lang w:val="cs-CZ"/>
              </w:rPr>
            </w:pPr>
            <w:r w:rsidRPr="00F261A6">
              <w:rPr>
                <w:b/>
                <w:bCs/>
                <w:lang w:val="cs-CZ"/>
              </w:rPr>
              <w:t>Nestlačujte</w:t>
            </w:r>
            <w:r w:rsidRPr="00C83654">
              <w:rPr>
                <w:lang w:val="cs-CZ"/>
              </w:rPr>
              <w:t xml:space="preserve"> vínové aktivační tlačítko, dokud nebudete připraven(a) na injekc</w:t>
            </w:r>
            <w:r w:rsidR="003C3D7A">
              <w:rPr>
                <w:lang w:val="cs-CZ"/>
              </w:rPr>
              <w:t>i</w:t>
            </w:r>
            <w:r w:rsidRPr="00C83654">
              <w:rPr>
                <w:lang w:val="cs-CZ"/>
              </w:rPr>
              <w:t>.</w:t>
            </w:r>
          </w:p>
        </w:tc>
      </w:tr>
      <w:tr w:rsidR="00534A2D" w14:paraId="5368BFAE" w14:textId="77777777" w:rsidTr="00B87DF7">
        <w:tc>
          <w:tcPr>
            <w:tcW w:w="3708" w:type="dxa"/>
            <w:tcBorders>
              <w:right w:val="nil"/>
            </w:tcBorders>
            <w:shd w:val="clear" w:color="auto" w:fill="auto"/>
          </w:tcPr>
          <w:p w14:paraId="6CA087EF" w14:textId="77777777" w:rsidR="00633E0F" w:rsidRPr="001B4A02" w:rsidRDefault="00000000" w:rsidP="00970906">
            <w:pPr>
              <w:pStyle w:val="EMEANormal"/>
              <w:keepNext/>
              <w:jc w:val="both"/>
              <w:rPr>
                <w:b/>
                <w:lang w:val="cs-CZ"/>
              </w:rPr>
            </w:pPr>
            <w:r w:rsidRPr="001B4A02">
              <w:rPr>
                <w:b/>
                <w:lang w:val="cs-CZ"/>
              </w:rPr>
              <w:t>KROK 7</w:t>
            </w:r>
          </w:p>
          <w:p w14:paraId="658BDFC5" w14:textId="77777777" w:rsidR="00633E0F" w:rsidRPr="001B4A02" w:rsidRDefault="00633E0F" w:rsidP="00970906">
            <w:pPr>
              <w:pStyle w:val="EMEANormal"/>
              <w:keepNext/>
              <w:jc w:val="both"/>
              <w:rPr>
                <w:b/>
                <w:lang w:val="cs-CZ"/>
              </w:rPr>
            </w:pPr>
          </w:p>
          <w:p w14:paraId="421483D3" w14:textId="77777777" w:rsidR="00633E0F" w:rsidRPr="001B4A02" w:rsidRDefault="00000000" w:rsidP="00970906">
            <w:pPr>
              <w:pStyle w:val="EMEANormal"/>
              <w:keepNext/>
              <w:rPr>
                <w:b/>
                <w:lang w:val="cs-CZ"/>
              </w:rPr>
            </w:pPr>
            <w:r w:rsidRPr="001B4A02">
              <w:rPr>
                <w:b/>
                <w:lang w:val="cs-CZ"/>
              </w:rPr>
              <w:t xml:space="preserve">                             1</w:t>
            </w:r>
            <w:r w:rsidR="006159C5" w:rsidRPr="001B4A02">
              <w:rPr>
                <w:b/>
                <w:lang w:val="cs-CZ"/>
              </w:rPr>
              <w:t>5</w:t>
            </w:r>
            <w:r w:rsidRPr="001B4A02">
              <w:rPr>
                <w:b/>
                <w:lang w:val="cs-CZ"/>
              </w:rPr>
              <w:t xml:space="preserve"> sekund                             </w:t>
            </w:r>
          </w:p>
          <w:p w14:paraId="281207C7" w14:textId="77777777" w:rsidR="00633E0F" w:rsidRPr="001B4A02" w:rsidRDefault="00000000" w:rsidP="00970906">
            <w:pPr>
              <w:pStyle w:val="EMEANormal"/>
              <w:keepNext/>
              <w:rPr>
                <w:lang w:val="cs-CZ"/>
              </w:rPr>
            </w:pPr>
            <w:r w:rsidRPr="001B4A02">
              <w:rPr>
                <w:noProof/>
              </w:rPr>
              <w:drawing>
                <wp:inline distT="0" distB="0" distL="0" distR="0" wp14:anchorId="4BC5E862" wp14:editId="0270E065">
                  <wp:extent cx="2208530" cy="2769235"/>
                  <wp:effectExtent l="0" t="0" r="1270" b="0"/>
                  <wp:docPr id="574" name="obrázek 574" descr="STEP7a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Picture 574" descr="STEP7a_grey"/>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2208530" cy="2769235"/>
                          </a:xfrm>
                          <a:prstGeom prst="rect">
                            <a:avLst/>
                          </a:prstGeom>
                          <a:noFill/>
                          <a:ln>
                            <a:noFill/>
                          </a:ln>
                        </pic:spPr>
                      </pic:pic>
                    </a:graphicData>
                  </a:graphic>
                </wp:inline>
              </w:drawing>
            </w:r>
          </w:p>
        </w:tc>
        <w:tc>
          <w:tcPr>
            <w:tcW w:w="5579" w:type="dxa"/>
            <w:tcBorders>
              <w:left w:val="nil"/>
            </w:tcBorders>
            <w:shd w:val="clear" w:color="auto" w:fill="auto"/>
          </w:tcPr>
          <w:p w14:paraId="56C113C4" w14:textId="77777777" w:rsidR="00633E0F" w:rsidRPr="001B4A02" w:rsidRDefault="00633E0F" w:rsidP="00970906">
            <w:pPr>
              <w:pStyle w:val="EMEAHeadingLeaflet"/>
              <w:keepNext/>
              <w:spacing w:beforeLines="0" w:afterLines="0"/>
              <w:rPr>
                <w:rFonts w:ascii="Times New Roman" w:hAnsi="Times New Roman"/>
                <w:lang w:val="cs-CZ"/>
              </w:rPr>
            </w:pPr>
          </w:p>
          <w:p w14:paraId="48202211" w14:textId="77777777" w:rsidR="00937026" w:rsidRDefault="00000000" w:rsidP="00970906">
            <w:pPr>
              <w:pStyle w:val="EMEAHeadingLeaflet"/>
              <w:keepNext/>
              <w:spacing w:beforeLines="0" w:afterLines="0"/>
              <w:rPr>
                <w:rFonts w:ascii="Times New Roman" w:hAnsi="Times New Roman"/>
                <w:lang w:val="cs-CZ"/>
              </w:rPr>
            </w:pPr>
            <w:r>
              <w:rPr>
                <w:rFonts w:ascii="Times New Roman" w:hAnsi="Times New Roman"/>
                <w:b w:val="0"/>
                <w:lang w:val="cs-CZ"/>
              </w:rPr>
              <w:t xml:space="preserve">Před </w:t>
            </w:r>
            <w:r w:rsidR="00FA0236">
              <w:rPr>
                <w:rFonts w:ascii="Times New Roman" w:hAnsi="Times New Roman"/>
                <w:b w:val="0"/>
                <w:lang w:val="cs-CZ"/>
              </w:rPr>
              <w:t xml:space="preserve">podáním </w:t>
            </w:r>
            <w:r w:rsidR="00917EBF">
              <w:rPr>
                <w:rFonts w:ascii="Times New Roman" w:hAnsi="Times New Roman"/>
                <w:b w:val="0"/>
                <w:lang w:val="cs-CZ"/>
              </w:rPr>
              <w:t>injekc</w:t>
            </w:r>
            <w:r w:rsidR="00FA0236">
              <w:rPr>
                <w:rFonts w:ascii="Times New Roman" w:hAnsi="Times New Roman"/>
                <w:b w:val="0"/>
                <w:lang w:val="cs-CZ"/>
              </w:rPr>
              <w:t>e</w:t>
            </w:r>
            <w:r w:rsidR="00917EBF">
              <w:rPr>
                <w:rFonts w:ascii="Times New Roman" w:hAnsi="Times New Roman"/>
                <w:b w:val="0"/>
                <w:lang w:val="cs-CZ"/>
              </w:rPr>
              <w:t xml:space="preserve"> p</w:t>
            </w:r>
            <w:r>
              <w:rPr>
                <w:rFonts w:ascii="Times New Roman" w:hAnsi="Times New Roman"/>
                <w:b w:val="0"/>
                <w:lang w:val="cs-CZ"/>
              </w:rPr>
              <w:t xml:space="preserve">evně </w:t>
            </w:r>
            <w:r w:rsidRPr="001B4A02">
              <w:rPr>
                <w:rFonts w:ascii="Times New Roman" w:hAnsi="Times New Roman"/>
                <w:lang w:val="cs-CZ"/>
              </w:rPr>
              <w:t xml:space="preserve">přitiskněte </w:t>
            </w:r>
            <w:r>
              <w:rPr>
                <w:rFonts w:ascii="Times New Roman" w:hAnsi="Times New Roman"/>
                <w:b w:val="0"/>
                <w:lang w:val="cs-CZ"/>
              </w:rPr>
              <w:t>p</w:t>
            </w:r>
            <w:r w:rsidR="00633E0F" w:rsidRPr="001B4A02">
              <w:rPr>
                <w:rFonts w:ascii="Times New Roman" w:hAnsi="Times New Roman"/>
                <w:b w:val="0"/>
                <w:lang w:val="cs-CZ"/>
              </w:rPr>
              <w:t>ředplněné pero proti místu vpichu</w:t>
            </w:r>
            <w:r>
              <w:rPr>
                <w:rFonts w:ascii="Times New Roman" w:hAnsi="Times New Roman"/>
                <w:lang w:val="cs-CZ"/>
              </w:rPr>
              <w:t>.</w:t>
            </w:r>
            <w:r w:rsidR="00633E0F" w:rsidRPr="001B4A02">
              <w:rPr>
                <w:rFonts w:ascii="Times New Roman" w:hAnsi="Times New Roman"/>
                <w:lang w:val="cs-CZ"/>
              </w:rPr>
              <w:t xml:space="preserve"> </w:t>
            </w:r>
          </w:p>
          <w:p w14:paraId="13C7B42E" w14:textId="77777777" w:rsidR="00633E0F" w:rsidRPr="00B13500" w:rsidRDefault="00000000" w:rsidP="00970906">
            <w:pPr>
              <w:pStyle w:val="EMEAHeadingLeaflet"/>
              <w:keepNext/>
              <w:spacing w:beforeLines="0" w:afterLines="0"/>
              <w:rPr>
                <w:rFonts w:ascii="Times New Roman" w:hAnsi="Times New Roman"/>
                <w:b w:val="0"/>
                <w:bCs/>
                <w:lang w:val="cs-CZ"/>
              </w:rPr>
            </w:pPr>
            <w:r>
              <w:rPr>
                <w:rFonts w:ascii="Times New Roman" w:hAnsi="Times New Roman"/>
                <w:lang w:val="cs-CZ"/>
              </w:rPr>
              <w:t>D</w:t>
            </w:r>
            <w:r w:rsidRPr="001B4A02">
              <w:rPr>
                <w:rFonts w:ascii="Times New Roman" w:hAnsi="Times New Roman"/>
                <w:lang w:val="cs-CZ"/>
              </w:rPr>
              <w:t xml:space="preserve">ržte </w:t>
            </w:r>
            <w:r w:rsidR="00B13500">
              <w:rPr>
                <w:rFonts w:ascii="Times New Roman" w:hAnsi="Times New Roman"/>
                <w:lang w:val="cs-CZ"/>
              </w:rPr>
              <w:t>ho</w:t>
            </w:r>
            <w:r w:rsidRPr="001B4A02">
              <w:rPr>
                <w:rFonts w:ascii="Times New Roman" w:hAnsi="Times New Roman"/>
                <w:lang w:val="cs-CZ"/>
              </w:rPr>
              <w:t xml:space="preserve"> přitisknuté</w:t>
            </w:r>
            <w:r w:rsidR="00B13500">
              <w:rPr>
                <w:rFonts w:ascii="Times New Roman" w:hAnsi="Times New Roman"/>
                <w:lang w:val="cs-CZ"/>
              </w:rPr>
              <w:t xml:space="preserve">, </w:t>
            </w:r>
            <w:r w:rsidR="00B13500" w:rsidRPr="00F261A6">
              <w:rPr>
                <w:rFonts w:ascii="Times New Roman" w:hAnsi="Times New Roman"/>
                <w:b w:val="0"/>
                <w:bCs/>
                <w:lang w:val="cs-CZ"/>
              </w:rPr>
              <w:t>aby nedošlo k</w:t>
            </w:r>
            <w:r w:rsidR="0026211B">
              <w:rPr>
                <w:rFonts w:ascii="Times New Roman" w:hAnsi="Times New Roman"/>
                <w:b w:val="0"/>
                <w:bCs/>
                <w:lang w:val="cs-CZ"/>
              </w:rPr>
              <w:t> </w:t>
            </w:r>
            <w:r w:rsidR="00B13500" w:rsidRPr="00F261A6">
              <w:rPr>
                <w:rFonts w:ascii="Times New Roman" w:hAnsi="Times New Roman"/>
                <w:b w:val="0"/>
                <w:bCs/>
                <w:lang w:val="cs-CZ"/>
              </w:rPr>
              <w:t>jeho sklouznutí z</w:t>
            </w:r>
            <w:r w:rsidR="0026211B">
              <w:rPr>
                <w:rFonts w:ascii="Times New Roman" w:hAnsi="Times New Roman"/>
                <w:b w:val="0"/>
                <w:bCs/>
                <w:lang w:val="cs-CZ"/>
              </w:rPr>
              <w:t> </w:t>
            </w:r>
            <w:r w:rsidR="00B13500" w:rsidRPr="00F261A6">
              <w:rPr>
                <w:rFonts w:ascii="Times New Roman" w:hAnsi="Times New Roman"/>
                <w:b w:val="0"/>
                <w:bCs/>
                <w:lang w:val="cs-CZ"/>
              </w:rPr>
              <w:t xml:space="preserve">pokožky během injekce. </w:t>
            </w:r>
          </w:p>
          <w:p w14:paraId="6F57FF8E" w14:textId="77777777" w:rsidR="00633E0F" w:rsidRPr="00B13500" w:rsidRDefault="00633E0F" w:rsidP="00970906">
            <w:pPr>
              <w:pStyle w:val="EMEANormal"/>
              <w:keepNext/>
              <w:rPr>
                <w:bCs/>
                <w:lang w:val="cs-CZ"/>
              </w:rPr>
            </w:pPr>
          </w:p>
          <w:p w14:paraId="1DF3E94B" w14:textId="77777777" w:rsidR="00633E0F"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lang w:val="cs-CZ"/>
              </w:rPr>
              <w:t>Stiskněte</w:t>
            </w:r>
            <w:r w:rsidRPr="001B4A02">
              <w:rPr>
                <w:rFonts w:ascii="Times New Roman" w:hAnsi="Times New Roman"/>
                <w:b w:val="0"/>
                <w:lang w:val="cs-CZ"/>
              </w:rPr>
              <w:t xml:space="preserve"> vínové aktivační tlačítko</w:t>
            </w:r>
            <w:r w:rsidR="002378E0">
              <w:rPr>
                <w:rFonts w:ascii="Times New Roman" w:hAnsi="Times New Roman"/>
                <w:b w:val="0"/>
                <w:lang w:val="cs-CZ"/>
              </w:rPr>
              <w:t xml:space="preserve"> a </w:t>
            </w:r>
            <w:r w:rsidRPr="001B4A02">
              <w:rPr>
                <w:rFonts w:ascii="Times New Roman" w:hAnsi="Times New Roman"/>
                <w:lang w:val="cs-CZ"/>
              </w:rPr>
              <w:t>1</w:t>
            </w:r>
            <w:r w:rsidR="006159C5" w:rsidRPr="001B4A02">
              <w:rPr>
                <w:rFonts w:ascii="Times New Roman" w:hAnsi="Times New Roman"/>
                <w:lang w:val="cs-CZ"/>
              </w:rPr>
              <w:t>5</w:t>
            </w:r>
            <w:r w:rsidRPr="001B4A02">
              <w:rPr>
                <w:rFonts w:ascii="Times New Roman" w:hAnsi="Times New Roman"/>
                <w:lang w:val="cs-CZ"/>
              </w:rPr>
              <w:t xml:space="preserve"> </w:t>
            </w:r>
            <w:r w:rsidRPr="001B4A02">
              <w:rPr>
                <w:rFonts w:ascii="Times New Roman" w:hAnsi="Times New Roman"/>
                <w:b w:val="0"/>
                <w:lang w:val="cs-CZ"/>
              </w:rPr>
              <w:t>sekund pomalu počítejte.</w:t>
            </w:r>
          </w:p>
          <w:p w14:paraId="31499BB8" w14:textId="77777777" w:rsidR="00633E0F" w:rsidRPr="001B4A02" w:rsidRDefault="00633E0F" w:rsidP="00970906">
            <w:pPr>
              <w:pStyle w:val="EMEANormal"/>
              <w:keepNext/>
              <w:rPr>
                <w:lang w:val="cs-CZ"/>
              </w:rPr>
            </w:pPr>
          </w:p>
          <w:p w14:paraId="6FE7A188" w14:textId="77777777" w:rsidR="00633E0F" w:rsidRPr="001B4A02" w:rsidRDefault="00000000" w:rsidP="00970906">
            <w:pPr>
              <w:pStyle w:val="EMEAHeadingLeaflet"/>
              <w:keepNext/>
              <w:numPr>
                <w:ilvl w:val="0"/>
                <w:numId w:val="112"/>
              </w:numPr>
              <w:tabs>
                <w:tab w:val="clear" w:pos="562"/>
              </w:tabs>
              <w:spacing w:beforeLines="0" w:afterLines="0"/>
              <w:ind w:leftChars="357" w:left="1142" w:hanging="357"/>
              <w:rPr>
                <w:rFonts w:ascii="Times New Roman" w:hAnsi="Times New Roman"/>
                <w:b w:val="0"/>
                <w:lang w:val="cs-CZ"/>
              </w:rPr>
            </w:pPr>
            <w:r w:rsidRPr="001B4A02">
              <w:rPr>
                <w:rFonts w:ascii="Times New Roman" w:hAnsi="Times New Roman"/>
                <w:b w:val="0"/>
                <w:lang w:val="cs-CZ"/>
              </w:rPr>
              <w:t xml:space="preserve">Začátek injekce oznámí hlasité </w:t>
            </w:r>
            <w:r w:rsidRPr="001B4A02">
              <w:rPr>
                <w:rFonts w:ascii="Times New Roman" w:hAnsi="Times New Roman"/>
                <w:lang w:val="cs-CZ"/>
              </w:rPr>
              <w:t>cvaknutí</w:t>
            </w:r>
          </w:p>
          <w:p w14:paraId="242CC762" w14:textId="77777777" w:rsidR="00633E0F" w:rsidRPr="001B4A02" w:rsidRDefault="00000000" w:rsidP="00970906">
            <w:pPr>
              <w:pStyle w:val="EMEAHeadingLeaflet"/>
              <w:keepNext/>
              <w:numPr>
                <w:ilvl w:val="0"/>
                <w:numId w:val="112"/>
              </w:numPr>
              <w:tabs>
                <w:tab w:val="clear" w:pos="562"/>
              </w:tabs>
              <w:spacing w:beforeLines="0" w:afterLines="0"/>
              <w:ind w:leftChars="357" w:left="1142" w:hanging="357"/>
              <w:rPr>
                <w:rFonts w:ascii="Times New Roman" w:hAnsi="Times New Roman"/>
                <w:b w:val="0"/>
                <w:lang w:val="cs-CZ"/>
              </w:rPr>
            </w:pPr>
            <w:r w:rsidRPr="001B4A02">
              <w:rPr>
                <w:rFonts w:ascii="Times New Roman" w:hAnsi="Times New Roman"/>
                <w:b w:val="0"/>
                <w:lang w:val="cs-CZ"/>
              </w:rPr>
              <w:t>Předplněné pero stále</w:t>
            </w:r>
            <w:r w:rsidRPr="001B4A02">
              <w:rPr>
                <w:rFonts w:ascii="Times New Roman" w:hAnsi="Times New Roman"/>
                <w:lang w:val="cs-CZ"/>
              </w:rPr>
              <w:t xml:space="preserve"> držte </w:t>
            </w:r>
            <w:r w:rsidR="00B13500">
              <w:rPr>
                <w:rFonts w:ascii="Times New Roman" w:hAnsi="Times New Roman"/>
                <w:lang w:val="cs-CZ"/>
              </w:rPr>
              <w:t xml:space="preserve">pevně </w:t>
            </w:r>
            <w:r w:rsidRPr="001B4A02">
              <w:rPr>
                <w:rFonts w:ascii="Times New Roman" w:hAnsi="Times New Roman"/>
                <w:lang w:val="cs-CZ"/>
              </w:rPr>
              <w:t>přitisknuté</w:t>
            </w:r>
            <w:r w:rsidRPr="001B4A02">
              <w:rPr>
                <w:rFonts w:ascii="Times New Roman" w:hAnsi="Times New Roman"/>
                <w:b w:val="0"/>
                <w:lang w:val="cs-CZ"/>
              </w:rPr>
              <w:t xml:space="preserve"> na místo vpichu</w:t>
            </w:r>
            <w:r w:rsidR="004F19FE">
              <w:rPr>
                <w:rFonts w:ascii="Times New Roman" w:hAnsi="Times New Roman"/>
                <w:b w:val="0"/>
                <w:lang w:val="cs-CZ"/>
              </w:rPr>
              <w:t>, dokud nebude injekce dokončen</w:t>
            </w:r>
            <w:r w:rsidR="003C3D7A">
              <w:rPr>
                <w:rFonts w:ascii="Times New Roman" w:hAnsi="Times New Roman"/>
                <w:b w:val="0"/>
                <w:lang w:val="cs-CZ"/>
              </w:rPr>
              <w:t>a</w:t>
            </w:r>
            <w:r w:rsidR="004F19FE">
              <w:rPr>
                <w:rFonts w:ascii="Times New Roman" w:hAnsi="Times New Roman"/>
                <w:b w:val="0"/>
                <w:lang w:val="cs-CZ"/>
              </w:rPr>
              <w:t>.</w:t>
            </w:r>
          </w:p>
          <w:p w14:paraId="64E9C082" w14:textId="77777777" w:rsidR="00633E0F" w:rsidRPr="001B4A02" w:rsidRDefault="00633E0F" w:rsidP="00970906">
            <w:pPr>
              <w:pStyle w:val="EMEANormal"/>
              <w:keepNext/>
              <w:rPr>
                <w:lang w:val="cs-CZ"/>
              </w:rPr>
            </w:pPr>
          </w:p>
          <w:p w14:paraId="768B271F" w14:textId="77777777" w:rsidR="00633E0F" w:rsidRPr="001B4A02" w:rsidRDefault="00000000" w:rsidP="00970906">
            <w:pPr>
              <w:pStyle w:val="EMEANormal"/>
              <w:keepNext/>
              <w:rPr>
                <w:lang w:val="cs-CZ"/>
              </w:rPr>
            </w:pPr>
            <w:r w:rsidRPr="001B4A02">
              <w:rPr>
                <w:lang w:val="cs-CZ"/>
              </w:rPr>
              <w:t>Injekce je ukončena, jakmile se žlutý indikátor přestane posouvat.</w:t>
            </w:r>
          </w:p>
        </w:tc>
      </w:tr>
      <w:tr w:rsidR="00534A2D" w14:paraId="1290D5FD" w14:textId="77777777" w:rsidTr="00B87DF7">
        <w:tc>
          <w:tcPr>
            <w:tcW w:w="3708" w:type="dxa"/>
            <w:tcBorders>
              <w:right w:val="nil"/>
            </w:tcBorders>
            <w:shd w:val="clear" w:color="auto" w:fill="auto"/>
          </w:tcPr>
          <w:p w14:paraId="748E53F1" w14:textId="77777777" w:rsidR="00633E0F" w:rsidRPr="001B4A02" w:rsidRDefault="00000000" w:rsidP="00970906">
            <w:pPr>
              <w:pStyle w:val="EMEANormal"/>
              <w:keepNext/>
              <w:rPr>
                <w:b/>
                <w:lang w:val="cs-CZ"/>
              </w:rPr>
            </w:pPr>
            <w:r w:rsidRPr="001B4A02">
              <w:rPr>
                <w:b/>
                <w:lang w:val="cs-CZ"/>
              </w:rPr>
              <w:t>KROK 8</w:t>
            </w:r>
          </w:p>
          <w:p w14:paraId="13374DAC" w14:textId="77777777" w:rsidR="00633E0F" w:rsidRPr="001B4A02" w:rsidRDefault="00633E0F" w:rsidP="00970906">
            <w:pPr>
              <w:pStyle w:val="EMEANormal"/>
              <w:keepNext/>
              <w:rPr>
                <w:b/>
                <w:lang w:val="cs-CZ"/>
              </w:rPr>
            </w:pPr>
          </w:p>
          <w:p w14:paraId="4BAB828B" w14:textId="77777777" w:rsidR="00633E0F" w:rsidRPr="001B4A02" w:rsidRDefault="00000000" w:rsidP="00970906">
            <w:pPr>
              <w:pStyle w:val="EMEANormal"/>
              <w:keepNext/>
              <w:rPr>
                <w:lang w:val="cs-CZ"/>
              </w:rPr>
            </w:pPr>
            <w:r w:rsidRPr="001B4A02">
              <w:rPr>
                <w:noProof/>
              </w:rPr>
              <w:drawing>
                <wp:inline distT="0" distB="0" distL="0" distR="0" wp14:anchorId="3F5D23F6" wp14:editId="733960B8">
                  <wp:extent cx="2026920" cy="1802765"/>
                  <wp:effectExtent l="0" t="0" r="0" b="6985"/>
                  <wp:docPr id="575" name="obrázek 575"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Picture 575" descr="STEP8_grey"/>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2026920" cy="1802765"/>
                          </a:xfrm>
                          <a:prstGeom prst="rect">
                            <a:avLst/>
                          </a:prstGeom>
                          <a:noFill/>
                          <a:ln>
                            <a:noFill/>
                          </a:ln>
                        </pic:spPr>
                      </pic:pic>
                    </a:graphicData>
                  </a:graphic>
                </wp:inline>
              </w:drawing>
            </w:r>
            <w:r w:rsidRPr="001B4A02">
              <w:rPr>
                <w:lang w:val="cs-CZ"/>
              </w:rPr>
              <w:t xml:space="preserve"> </w:t>
            </w:r>
          </w:p>
        </w:tc>
        <w:tc>
          <w:tcPr>
            <w:tcW w:w="5579" w:type="dxa"/>
            <w:tcBorders>
              <w:left w:val="nil"/>
            </w:tcBorders>
            <w:shd w:val="clear" w:color="auto" w:fill="auto"/>
          </w:tcPr>
          <w:p w14:paraId="0DBBFE25" w14:textId="77777777" w:rsidR="00633E0F" w:rsidRPr="001B4A02" w:rsidRDefault="00633E0F" w:rsidP="00970906">
            <w:pPr>
              <w:pStyle w:val="EMEAHeadingLeaflet"/>
              <w:keepNext/>
              <w:spacing w:beforeLines="0" w:afterLines="0"/>
              <w:rPr>
                <w:rFonts w:ascii="Times New Roman" w:hAnsi="Times New Roman"/>
                <w:b w:val="0"/>
                <w:lang w:val="cs-CZ"/>
              </w:rPr>
            </w:pPr>
          </w:p>
          <w:p w14:paraId="00117749" w14:textId="77777777" w:rsidR="00633E0F"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Po ukončení injekce předplněné pero pomalu nadzvedněte z kůže. Bílé pouzdro jehly překryje špičku jehly.</w:t>
            </w:r>
          </w:p>
          <w:p w14:paraId="3919D495" w14:textId="77777777" w:rsidR="00633E0F" w:rsidRPr="004F19FE" w:rsidRDefault="00000000" w:rsidP="00970906">
            <w:pPr>
              <w:pStyle w:val="EMEANormal"/>
              <w:keepNext/>
              <w:numPr>
                <w:ilvl w:val="0"/>
                <w:numId w:val="271"/>
              </w:numPr>
              <w:rPr>
                <w:lang w:val="cs-CZ"/>
              </w:rPr>
            </w:pPr>
            <w:r w:rsidRPr="004F19FE">
              <w:rPr>
                <w:lang w:val="cs-CZ"/>
              </w:rPr>
              <w:t>Malé množství roztoku v</w:t>
            </w:r>
            <w:r w:rsidR="0026211B">
              <w:rPr>
                <w:lang w:val="cs-CZ"/>
              </w:rPr>
              <w:t> </w:t>
            </w:r>
            <w:r w:rsidRPr="004F19FE">
              <w:rPr>
                <w:lang w:val="cs-CZ"/>
              </w:rPr>
              <w:t>místě vpichu je normální</w:t>
            </w:r>
          </w:p>
          <w:p w14:paraId="2EFD204A" w14:textId="77777777" w:rsidR="00633E0F" w:rsidRPr="001B4A02" w:rsidRDefault="00000000" w:rsidP="00970906">
            <w:pPr>
              <w:pStyle w:val="EMEANormal"/>
              <w:keepNext/>
              <w:rPr>
                <w:lang w:val="cs-CZ"/>
              </w:rPr>
            </w:pPr>
            <w:r w:rsidRPr="001B4A02">
              <w:rPr>
                <w:lang w:val="cs-CZ"/>
              </w:rPr>
              <w:t>Pokud je na místě vpichu v</w:t>
            </w:r>
            <w:r w:rsidR="00785E3C" w:rsidRPr="001B4A02">
              <w:rPr>
                <w:lang w:val="cs-CZ"/>
              </w:rPr>
              <w:t>í</w:t>
            </w:r>
            <w:r w:rsidRPr="001B4A02">
              <w:rPr>
                <w:lang w:val="cs-CZ"/>
              </w:rPr>
              <w:t>ce než pár kapek roztoku, kontaktujte svého lékaře, zdravotní sestru nebo lékárníka.</w:t>
            </w:r>
          </w:p>
          <w:p w14:paraId="3FCC74EC" w14:textId="77777777" w:rsidR="00633E0F" w:rsidRPr="001B4A02" w:rsidRDefault="00633E0F" w:rsidP="00970906">
            <w:pPr>
              <w:pStyle w:val="EMEANormal"/>
              <w:keepNext/>
              <w:rPr>
                <w:lang w:val="cs-CZ"/>
              </w:rPr>
            </w:pPr>
          </w:p>
          <w:p w14:paraId="21AE6ADC" w14:textId="77777777" w:rsidR="00633E0F"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Po dokončení injekce přiložte na kůži přes místo vpichu bavlněný tamp</w:t>
            </w:r>
            <w:ins w:id="13896" w:author="Abbvie02" w:date="2025-05-16T12:36:00Z">
              <w:r w:rsidR="009165EF">
                <w:rPr>
                  <w:rFonts w:ascii="Times New Roman" w:hAnsi="Times New Roman"/>
                  <w:b w:val="0"/>
                  <w:lang w:val="cs-CZ"/>
                </w:rPr>
                <w:t>o</w:t>
              </w:r>
            </w:ins>
            <w:del w:id="13897" w:author="Abbvie02" w:date="2025-05-16T12:36:00Z">
              <w:r w:rsidRPr="001B4A02">
                <w:rPr>
                  <w:rFonts w:ascii="Times New Roman" w:hAnsi="Times New Roman"/>
                  <w:b w:val="0"/>
                  <w:lang w:val="cs-CZ"/>
                </w:rPr>
                <w:delText>ó</w:delText>
              </w:r>
            </w:del>
            <w:r w:rsidRPr="001B4A02">
              <w:rPr>
                <w:rFonts w:ascii="Times New Roman" w:hAnsi="Times New Roman"/>
                <w:b w:val="0"/>
                <w:lang w:val="cs-CZ"/>
              </w:rPr>
              <w:t>n nebo gázu.</w:t>
            </w:r>
          </w:p>
          <w:p w14:paraId="3B464DB1" w14:textId="77777777" w:rsidR="00633E0F" w:rsidRPr="001B4A02" w:rsidRDefault="00633E0F" w:rsidP="00970906">
            <w:pPr>
              <w:pStyle w:val="EMEANormal"/>
              <w:keepNext/>
              <w:rPr>
                <w:lang w:val="cs-CZ"/>
              </w:rPr>
            </w:pPr>
          </w:p>
          <w:p w14:paraId="131F5BFD" w14:textId="77777777" w:rsidR="00633E0F" w:rsidRPr="001B4A02" w:rsidRDefault="00000000" w:rsidP="00970906">
            <w:pPr>
              <w:pStyle w:val="EMEAHeadingLeaflet"/>
              <w:keepNext/>
              <w:numPr>
                <w:ilvl w:val="0"/>
                <w:numId w:val="113"/>
              </w:numPr>
              <w:tabs>
                <w:tab w:val="clear" w:pos="562"/>
              </w:tabs>
              <w:spacing w:beforeLines="0" w:afterLines="0"/>
              <w:ind w:leftChars="357" w:left="1142" w:hanging="357"/>
              <w:rPr>
                <w:rFonts w:ascii="Times New Roman" w:hAnsi="Times New Roman"/>
                <w:b w:val="0"/>
                <w:lang w:val="cs-CZ"/>
              </w:rPr>
            </w:pPr>
            <w:r w:rsidRPr="00A2409E">
              <w:rPr>
                <w:rFonts w:ascii="Times New Roman" w:hAnsi="Times New Roman"/>
                <w:lang w:val="cs-CZ"/>
              </w:rPr>
              <w:t>Net</w:t>
            </w:r>
            <w:r w:rsidRPr="00A2409E">
              <w:rPr>
                <w:rFonts w:ascii="Times New Roman" w:hAnsi="Times New Roman" w:hint="eastAsia"/>
                <w:lang w:val="cs-CZ"/>
              </w:rPr>
              <w:t>ř</w:t>
            </w:r>
            <w:r w:rsidRPr="00A2409E">
              <w:rPr>
                <w:rFonts w:ascii="Times New Roman" w:hAnsi="Times New Roman"/>
                <w:lang w:val="cs-CZ"/>
              </w:rPr>
              <w:t>ete</w:t>
            </w:r>
            <w:r w:rsidRPr="00A2409E">
              <w:rPr>
                <w:rFonts w:ascii="Times New Roman" w:hAnsi="Times New Roman"/>
                <w:b w:val="0"/>
                <w:lang w:val="cs-CZ"/>
              </w:rPr>
              <w:t xml:space="preserve"> m</w:t>
            </w:r>
            <w:r w:rsidRPr="00A2409E">
              <w:rPr>
                <w:rFonts w:ascii="Times New Roman" w:hAnsi="Times New Roman" w:hint="eastAsia"/>
                <w:b w:val="0"/>
                <w:lang w:val="cs-CZ"/>
              </w:rPr>
              <w:t>í</w:t>
            </w:r>
            <w:r w:rsidRPr="00A2409E">
              <w:rPr>
                <w:rFonts w:ascii="Times New Roman" w:hAnsi="Times New Roman"/>
                <w:b w:val="0"/>
                <w:lang w:val="cs-CZ"/>
              </w:rPr>
              <w:t>sto vpichu</w:t>
            </w:r>
          </w:p>
          <w:p w14:paraId="3518C6D6" w14:textId="77777777" w:rsidR="00633E0F" w:rsidRPr="001B4A02" w:rsidRDefault="00000000" w:rsidP="00970906">
            <w:pPr>
              <w:pStyle w:val="EMEANormal"/>
              <w:keepNext/>
              <w:numPr>
                <w:ilvl w:val="0"/>
                <w:numId w:val="113"/>
              </w:numPr>
              <w:tabs>
                <w:tab w:val="clear" w:pos="562"/>
              </w:tabs>
              <w:ind w:leftChars="357" w:left="1142" w:hanging="357"/>
              <w:rPr>
                <w:lang w:val="cs-CZ"/>
              </w:rPr>
            </w:pPr>
            <w:r w:rsidRPr="001B4A02">
              <w:rPr>
                <w:lang w:val="cs-CZ"/>
              </w:rPr>
              <w:t>Mírné krvácení v</w:t>
            </w:r>
            <w:r w:rsidR="00715D0A" w:rsidRPr="001B4A02">
              <w:rPr>
                <w:lang w:val="cs-CZ"/>
              </w:rPr>
              <w:t> </w:t>
            </w:r>
            <w:r w:rsidRPr="001B4A02">
              <w:rPr>
                <w:lang w:val="cs-CZ"/>
              </w:rPr>
              <w:t>místě vpichu je normální</w:t>
            </w:r>
          </w:p>
        </w:tc>
      </w:tr>
      <w:tr w:rsidR="00534A2D" w14:paraId="3CF9B39C" w14:textId="77777777" w:rsidTr="00B87DF7">
        <w:tc>
          <w:tcPr>
            <w:tcW w:w="9287" w:type="dxa"/>
            <w:gridSpan w:val="2"/>
            <w:shd w:val="clear" w:color="auto" w:fill="auto"/>
          </w:tcPr>
          <w:p w14:paraId="596E0102" w14:textId="77777777" w:rsidR="00633E0F" w:rsidRPr="001B4A02" w:rsidRDefault="00000000" w:rsidP="00970906">
            <w:pPr>
              <w:keepNext/>
              <w:rPr>
                <w:b/>
              </w:rPr>
            </w:pPr>
            <w:r w:rsidRPr="001B4A02">
              <w:rPr>
                <w:b/>
              </w:rPr>
              <w:t>KROK 9</w:t>
            </w:r>
          </w:p>
          <w:p w14:paraId="6C29891C" w14:textId="77777777" w:rsidR="00633E0F" w:rsidRPr="001B4A02" w:rsidRDefault="00633E0F" w:rsidP="00970906">
            <w:pPr>
              <w:keepNext/>
              <w:rPr>
                <w:b/>
              </w:rPr>
            </w:pPr>
          </w:p>
          <w:p w14:paraId="107DD9C8" w14:textId="77777777" w:rsidR="00633E0F" w:rsidRPr="001B4A02" w:rsidRDefault="00000000" w:rsidP="00970906">
            <w:pPr>
              <w:pStyle w:val="EMEAHeadingLeaflet"/>
              <w:keepNext/>
              <w:spacing w:beforeLines="0" w:afterLines="0"/>
              <w:rPr>
                <w:rFonts w:ascii="Times New Roman" w:hAnsi="Times New Roman"/>
                <w:b w:val="0"/>
                <w:lang w:val="cs-CZ"/>
              </w:rPr>
            </w:pPr>
            <w:r w:rsidRPr="001B4A02">
              <w:rPr>
                <w:rFonts w:ascii="Times New Roman" w:hAnsi="Times New Roman"/>
                <w:b w:val="0"/>
                <w:lang w:val="cs-CZ"/>
              </w:rPr>
              <w:t>Použité předplněné pero vyhoďte do speciální</w:t>
            </w:r>
            <w:r w:rsidR="006159C5" w:rsidRPr="001B4A02">
              <w:rPr>
                <w:rFonts w:ascii="Times New Roman" w:hAnsi="Times New Roman"/>
                <w:b w:val="0"/>
                <w:lang w:val="cs-CZ"/>
              </w:rPr>
              <w:t xml:space="preserve"> odpadní</w:t>
            </w:r>
            <w:r w:rsidRPr="001B4A02">
              <w:rPr>
                <w:rFonts w:ascii="Times New Roman" w:hAnsi="Times New Roman"/>
                <w:b w:val="0"/>
                <w:lang w:val="cs-CZ"/>
              </w:rPr>
              <w:t xml:space="preserve"> nádoby, jak jste byl</w:t>
            </w:r>
            <w:r w:rsidR="00785E3C" w:rsidRPr="001B4A02">
              <w:rPr>
                <w:rFonts w:ascii="Times New Roman" w:hAnsi="Times New Roman"/>
                <w:b w:val="0"/>
                <w:lang w:val="cs-CZ"/>
              </w:rPr>
              <w:t>(a)</w:t>
            </w:r>
            <w:r w:rsidRPr="001B4A02">
              <w:rPr>
                <w:rFonts w:ascii="Times New Roman" w:hAnsi="Times New Roman"/>
                <w:b w:val="0"/>
                <w:lang w:val="cs-CZ"/>
              </w:rPr>
              <w:t xml:space="preserve"> poučen</w:t>
            </w:r>
            <w:r w:rsidR="00785E3C" w:rsidRPr="001B4A02">
              <w:rPr>
                <w:rFonts w:ascii="Times New Roman" w:hAnsi="Times New Roman"/>
                <w:b w:val="0"/>
                <w:lang w:val="cs-CZ"/>
              </w:rPr>
              <w:t>(a)</w:t>
            </w:r>
            <w:r w:rsidRPr="001B4A02">
              <w:rPr>
                <w:rFonts w:ascii="Times New Roman" w:hAnsi="Times New Roman"/>
                <w:b w:val="0"/>
                <w:lang w:val="cs-CZ"/>
              </w:rPr>
              <w:t xml:space="preserve"> lékařem, zdravotní sestrou nebo lékárníkem.</w:t>
            </w:r>
          </w:p>
          <w:p w14:paraId="471882A1" w14:textId="77777777" w:rsidR="00633E0F" w:rsidRPr="001B4A02" w:rsidRDefault="00633E0F" w:rsidP="00970906">
            <w:pPr>
              <w:pStyle w:val="EMEANormal"/>
              <w:keepNext/>
              <w:rPr>
                <w:lang w:val="cs-CZ"/>
              </w:rPr>
            </w:pPr>
          </w:p>
          <w:p w14:paraId="12584471" w14:textId="77777777" w:rsidR="00633E0F" w:rsidRPr="001B4A02" w:rsidRDefault="00000000" w:rsidP="00970906">
            <w:pPr>
              <w:pStyle w:val="EMEAHeadingLeaflet"/>
              <w:keepNext/>
              <w:numPr>
                <w:ilvl w:val="0"/>
                <w:numId w:val="114"/>
              </w:numPr>
              <w:tabs>
                <w:tab w:val="clear" w:pos="562"/>
              </w:tabs>
              <w:spacing w:beforeLines="0" w:afterLines="0"/>
              <w:ind w:leftChars="357" w:left="1142" w:hanging="357"/>
              <w:rPr>
                <w:rFonts w:ascii="Times New Roman" w:hAnsi="Times New Roman"/>
                <w:b w:val="0"/>
                <w:lang w:val="cs-CZ"/>
              </w:rPr>
            </w:pPr>
            <w:r w:rsidRPr="001B4A02">
              <w:rPr>
                <w:rFonts w:ascii="Times New Roman" w:hAnsi="Times New Roman"/>
                <w:b w:val="0"/>
                <w:lang w:val="cs-CZ"/>
              </w:rPr>
              <w:t xml:space="preserve">Předplněné pero </w:t>
            </w:r>
            <w:r w:rsidRPr="001B4A02">
              <w:rPr>
                <w:rFonts w:ascii="Times New Roman" w:hAnsi="Times New Roman"/>
                <w:lang w:val="cs-CZ"/>
              </w:rPr>
              <w:t>nerecyklujte</w:t>
            </w:r>
            <w:r w:rsidRPr="001B4A02">
              <w:rPr>
                <w:rFonts w:ascii="Times New Roman" w:hAnsi="Times New Roman"/>
                <w:b w:val="0"/>
                <w:lang w:val="cs-CZ"/>
              </w:rPr>
              <w:t xml:space="preserve"> ani </w:t>
            </w:r>
            <w:r w:rsidRPr="001B4A02">
              <w:rPr>
                <w:rFonts w:ascii="Times New Roman" w:hAnsi="Times New Roman"/>
                <w:lang w:val="cs-CZ"/>
              </w:rPr>
              <w:t>nevyhazujte</w:t>
            </w:r>
            <w:r w:rsidRPr="001B4A02">
              <w:rPr>
                <w:rFonts w:ascii="Times New Roman" w:hAnsi="Times New Roman"/>
                <w:b w:val="0"/>
                <w:lang w:val="cs-CZ"/>
              </w:rPr>
              <w:t xml:space="preserve"> do domácího odpadu</w:t>
            </w:r>
          </w:p>
          <w:p w14:paraId="5F465061" w14:textId="77777777" w:rsidR="00633E0F" w:rsidRPr="001B4A02" w:rsidRDefault="00000000" w:rsidP="00970906">
            <w:pPr>
              <w:pStyle w:val="EMEANormal"/>
              <w:keepNext/>
              <w:numPr>
                <w:ilvl w:val="0"/>
                <w:numId w:val="114"/>
              </w:numPr>
              <w:tabs>
                <w:tab w:val="clear" w:pos="562"/>
              </w:tabs>
              <w:ind w:leftChars="357" w:left="1142" w:hanging="357"/>
              <w:rPr>
                <w:lang w:val="cs-CZ"/>
              </w:rPr>
            </w:pPr>
            <w:r w:rsidRPr="001B4A02">
              <w:rPr>
                <w:lang w:val="cs-CZ"/>
              </w:rPr>
              <w:t>Předplněné pero</w:t>
            </w:r>
            <w:r w:rsidR="002378E0">
              <w:rPr>
                <w:lang w:val="cs-CZ"/>
              </w:rPr>
              <w:t xml:space="preserve"> a </w:t>
            </w:r>
            <w:r w:rsidRPr="001B4A02">
              <w:rPr>
                <w:lang w:val="cs-CZ"/>
              </w:rPr>
              <w:t xml:space="preserve">speciální odpadní nádobu </w:t>
            </w:r>
            <w:r w:rsidRPr="001B4A02">
              <w:rPr>
                <w:b/>
                <w:lang w:val="cs-CZ"/>
              </w:rPr>
              <w:t xml:space="preserve">vždy </w:t>
            </w:r>
            <w:r w:rsidRPr="001B4A02">
              <w:rPr>
                <w:lang w:val="cs-CZ"/>
              </w:rPr>
              <w:t>uchovávejte mimo dohled</w:t>
            </w:r>
            <w:r w:rsidR="002378E0">
              <w:rPr>
                <w:lang w:val="cs-CZ"/>
              </w:rPr>
              <w:t xml:space="preserve"> a </w:t>
            </w:r>
            <w:r w:rsidRPr="001B4A02">
              <w:rPr>
                <w:lang w:val="cs-CZ"/>
              </w:rPr>
              <w:t>dosah dětí</w:t>
            </w:r>
          </w:p>
          <w:p w14:paraId="27869552" w14:textId="77777777" w:rsidR="00672B36" w:rsidRPr="001B4A02" w:rsidRDefault="00672B36" w:rsidP="00970906">
            <w:pPr>
              <w:pStyle w:val="EMEANormal"/>
              <w:keepNext/>
              <w:rPr>
                <w:szCs w:val="22"/>
                <w:lang w:val="cs-CZ"/>
              </w:rPr>
            </w:pPr>
          </w:p>
          <w:p w14:paraId="711B3CD5" w14:textId="77777777" w:rsidR="00633E0F" w:rsidRPr="001B4A02" w:rsidRDefault="00000000" w:rsidP="00970906">
            <w:pPr>
              <w:pStyle w:val="EMEANormal"/>
              <w:keepNext/>
              <w:rPr>
                <w:lang w:val="cs-CZ"/>
              </w:rPr>
            </w:pPr>
            <w:r w:rsidRPr="001B4A02">
              <w:rPr>
                <w:szCs w:val="22"/>
                <w:lang w:val="cs-CZ"/>
              </w:rPr>
              <w:t>Kryty, tamp</w:t>
            </w:r>
            <w:ins w:id="13898" w:author="Abbvie02" w:date="2025-05-16T12:36:00Z">
              <w:r w:rsidR="00B42DFF">
                <w:rPr>
                  <w:szCs w:val="22"/>
                  <w:lang w:val="cs-CZ"/>
                </w:rPr>
                <w:t>o</w:t>
              </w:r>
            </w:ins>
            <w:del w:id="13899" w:author="Abbvie02" w:date="2025-05-16T12:36:00Z">
              <w:r w:rsidR="00785E3C" w:rsidRPr="001B4A02">
                <w:rPr>
                  <w:szCs w:val="22"/>
                  <w:lang w:val="cs-CZ"/>
                </w:rPr>
                <w:delText>ó</w:delText>
              </w:r>
            </w:del>
            <w:r w:rsidRPr="001B4A02">
              <w:rPr>
                <w:szCs w:val="22"/>
                <w:lang w:val="cs-CZ"/>
              </w:rPr>
              <w:t>n s</w:t>
            </w:r>
            <w:r w:rsidR="00715D0A" w:rsidRPr="001B4A02">
              <w:rPr>
                <w:szCs w:val="22"/>
                <w:lang w:val="cs-CZ"/>
              </w:rPr>
              <w:t> </w:t>
            </w:r>
            <w:r w:rsidRPr="001B4A02">
              <w:rPr>
                <w:szCs w:val="22"/>
                <w:lang w:val="cs-CZ"/>
              </w:rPr>
              <w:t>alkoholem, bavlněný tamp</w:t>
            </w:r>
            <w:ins w:id="13900" w:author="Abbvie02" w:date="2025-05-16T12:36:00Z">
              <w:r w:rsidR="00B42DFF">
                <w:rPr>
                  <w:szCs w:val="22"/>
                  <w:lang w:val="cs-CZ"/>
                </w:rPr>
                <w:t>o</w:t>
              </w:r>
            </w:ins>
            <w:del w:id="13901" w:author="Abbvie02" w:date="2025-05-16T12:36:00Z">
              <w:r w:rsidR="00785E3C" w:rsidRPr="001B4A02">
                <w:rPr>
                  <w:szCs w:val="22"/>
                  <w:lang w:val="cs-CZ"/>
                </w:rPr>
                <w:delText>ó</w:delText>
              </w:r>
            </w:del>
            <w:r w:rsidRPr="001B4A02">
              <w:rPr>
                <w:szCs w:val="22"/>
                <w:lang w:val="cs-CZ"/>
              </w:rPr>
              <w:t>n nebo gáz</w:t>
            </w:r>
            <w:r w:rsidR="009C2686" w:rsidRPr="001B4A02">
              <w:rPr>
                <w:szCs w:val="22"/>
                <w:lang w:val="cs-CZ"/>
              </w:rPr>
              <w:t>u</w:t>
            </w:r>
            <w:r w:rsidRPr="001B4A02">
              <w:rPr>
                <w:szCs w:val="22"/>
                <w:lang w:val="cs-CZ"/>
              </w:rPr>
              <w:t>, blistr</w:t>
            </w:r>
            <w:r w:rsidR="002378E0">
              <w:rPr>
                <w:szCs w:val="22"/>
                <w:lang w:val="cs-CZ"/>
              </w:rPr>
              <w:t xml:space="preserve"> a </w:t>
            </w:r>
            <w:r w:rsidRPr="001B4A02">
              <w:rPr>
                <w:szCs w:val="22"/>
                <w:lang w:val="cs-CZ"/>
              </w:rPr>
              <w:t>obal můžete vyhodit do domácího odpadu.</w:t>
            </w:r>
          </w:p>
        </w:tc>
      </w:tr>
    </w:tbl>
    <w:p w14:paraId="526C47CE" w14:textId="77777777" w:rsidR="00633E0F" w:rsidRPr="001B4A02" w:rsidRDefault="00633E0F" w:rsidP="003A5A1B">
      <w:pPr>
        <w:ind w:left="0" w:firstLine="0"/>
      </w:pPr>
    </w:p>
    <w:p w14:paraId="1F0B8567" w14:textId="77777777" w:rsidR="00A45EAD" w:rsidRPr="001B4A02" w:rsidRDefault="00A45EAD" w:rsidP="002D2D77">
      <w:pPr>
        <w:ind w:left="0" w:firstLine="0"/>
      </w:pPr>
    </w:p>
    <w:sectPr w:rsidR="00A45EAD" w:rsidRPr="001B4A02">
      <w:footerReference w:type="default" r:id="rId74"/>
      <w:footerReference w:type="first" r:id="rId75"/>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618F1" w14:textId="77777777" w:rsidR="00185764" w:rsidRDefault="00185764">
      <w:r>
        <w:separator/>
      </w:r>
    </w:p>
  </w:endnote>
  <w:endnote w:type="continuationSeparator" w:id="0">
    <w:p w14:paraId="54350D07" w14:textId="77777777" w:rsidR="00185764" w:rsidRDefault="00185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TimesNewRoman">
    <w:altName w:val="Yu Gothic"/>
    <w:panose1 w:val="00000000000000000000"/>
    <w:charset w:val="00"/>
    <w:family w:val="roman"/>
    <w:notTrueType/>
    <w:pitch w:val="default"/>
    <w:sig w:usb0="00000083" w:usb1="08070000" w:usb2="00000010"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C193" w14:textId="77777777" w:rsidR="008F1B0E" w:rsidRDefault="00000000">
    <w:pPr>
      <w:pStyle w:val="Footer"/>
      <w:tabs>
        <w:tab w:val="clear" w:pos="8930"/>
        <w:tab w:val="right" w:pos="8931"/>
      </w:tabs>
      <w:ind w:right="96"/>
      <w:jc w:val="center"/>
    </w:pPr>
    <w:r>
      <w:fldChar w:fldCharType="begin"/>
    </w:r>
    <w:r>
      <w:instrText xml:space="preserve"> EQ </w:instrText>
    </w:r>
    <w:r>
      <w:fldChar w:fldCharType="separate"/>
    </w:r>
    <w:r>
      <w:fldChar w:fldCharType="end"/>
    </w:r>
    <w:r w:rsidRPr="00B16FA5">
      <w:rPr>
        <w:rStyle w:val="PageNumber"/>
        <w:rFonts w:ascii="Arial" w:hAnsi="Arial"/>
      </w:rPr>
      <w:fldChar w:fldCharType="begin"/>
    </w:r>
    <w:r w:rsidRPr="00B16FA5">
      <w:rPr>
        <w:rStyle w:val="PageNumber"/>
        <w:rFonts w:ascii="Arial" w:hAnsi="Arial"/>
      </w:rPr>
      <w:instrText xml:space="preserve">PAGE  </w:instrText>
    </w:r>
    <w:r w:rsidRPr="00B16FA5">
      <w:rPr>
        <w:rStyle w:val="PageNumber"/>
        <w:rFonts w:ascii="Arial" w:hAnsi="Arial"/>
      </w:rPr>
      <w:fldChar w:fldCharType="separate"/>
    </w:r>
    <w:r>
      <w:rPr>
        <w:rStyle w:val="PageNumber"/>
        <w:rFonts w:ascii="Arial" w:hAnsi="Arial"/>
        <w:noProof/>
      </w:rPr>
      <w:t>499</w:t>
    </w:r>
    <w:r w:rsidRPr="00B16FA5">
      <w:rPr>
        <w:rStyle w:val="PageNumbe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8C8CA" w14:textId="77777777" w:rsidR="008F1B0E" w:rsidRPr="001725F2" w:rsidRDefault="00000000">
    <w:pPr>
      <w:pStyle w:val="Footer"/>
      <w:tabs>
        <w:tab w:val="clear" w:pos="8930"/>
        <w:tab w:val="right" w:pos="8931"/>
      </w:tabs>
      <w:ind w:right="96"/>
      <w:jc w:val="center"/>
      <w:rPr>
        <w:rFonts w:ascii="Arial" w:hAnsi="Arial" w:cs="Arial"/>
      </w:rPr>
    </w:pPr>
    <w:r w:rsidRPr="001725F2">
      <w:rPr>
        <w:rFonts w:ascii="Arial" w:hAnsi="Arial" w:cs="Arial"/>
      </w:rPr>
      <w:fldChar w:fldCharType="begin"/>
    </w:r>
    <w:r w:rsidRPr="001725F2">
      <w:rPr>
        <w:rFonts w:ascii="Arial" w:hAnsi="Arial" w:cs="Arial"/>
      </w:rPr>
      <w:instrText xml:space="preserve"> EQ </w:instrText>
    </w:r>
    <w:r w:rsidRPr="001725F2">
      <w:rPr>
        <w:rFonts w:ascii="Arial" w:hAnsi="Arial" w:cs="Arial"/>
      </w:rPr>
      <w:fldChar w:fldCharType="separate"/>
    </w:r>
    <w:r w:rsidRPr="001725F2">
      <w:rPr>
        <w:rFonts w:ascii="Arial" w:hAnsi="Arial" w:cs="Arial"/>
      </w:rPr>
      <w:fldChar w:fldCharType="end"/>
    </w:r>
    <w:r w:rsidRPr="001725F2">
      <w:rPr>
        <w:rStyle w:val="PageNumber"/>
        <w:rFonts w:ascii="Arial" w:hAnsi="Arial" w:cs="Arial"/>
      </w:rPr>
      <w:fldChar w:fldCharType="begin"/>
    </w:r>
    <w:r w:rsidRPr="001725F2">
      <w:rPr>
        <w:rStyle w:val="PageNumber"/>
        <w:rFonts w:ascii="Arial" w:hAnsi="Arial" w:cs="Arial"/>
      </w:rPr>
      <w:instrText xml:space="preserve">PAGE  </w:instrText>
    </w:r>
    <w:r w:rsidRPr="001725F2">
      <w:rPr>
        <w:rStyle w:val="PageNumber"/>
        <w:rFonts w:ascii="Arial" w:hAnsi="Arial" w:cs="Arial"/>
      </w:rPr>
      <w:fldChar w:fldCharType="separate"/>
    </w:r>
    <w:r>
      <w:rPr>
        <w:rStyle w:val="PageNumber"/>
        <w:rFonts w:ascii="Arial" w:hAnsi="Arial" w:cs="Arial"/>
        <w:noProof/>
      </w:rPr>
      <w:t>1</w:t>
    </w:r>
    <w:r w:rsidRPr="001725F2">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DEC74" w14:textId="77777777" w:rsidR="00185764" w:rsidRDefault="00185764">
      <w:r>
        <w:separator/>
      </w:r>
    </w:p>
  </w:footnote>
  <w:footnote w:type="continuationSeparator" w:id="0">
    <w:p w14:paraId="589122AB" w14:textId="77777777" w:rsidR="00185764" w:rsidRDefault="00185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6A54C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B098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EA31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9829EE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266735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7E1F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3E89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FC00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F4BF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092A0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E75293"/>
    <w:multiLevelType w:val="hybridMultilevel"/>
    <w:tmpl w:val="3A9E4366"/>
    <w:lvl w:ilvl="0" w:tplc="5954537A">
      <w:start w:val="1"/>
      <w:numFmt w:val="bullet"/>
      <w:lvlText w:val=""/>
      <w:lvlJc w:val="left"/>
      <w:pPr>
        <w:tabs>
          <w:tab w:val="num" w:pos="1574"/>
        </w:tabs>
        <w:ind w:left="1574" w:hanging="567"/>
      </w:pPr>
      <w:rPr>
        <w:rFonts w:ascii="Symbol" w:hAnsi="Symbol" w:hint="default"/>
      </w:rPr>
    </w:lvl>
    <w:lvl w:ilvl="1" w:tplc="FC1429CC" w:tentative="1">
      <w:start w:val="1"/>
      <w:numFmt w:val="bullet"/>
      <w:lvlText w:val="o"/>
      <w:lvlJc w:val="left"/>
      <w:pPr>
        <w:tabs>
          <w:tab w:val="num" w:pos="1880"/>
        </w:tabs>
        <w:ind w:left="1880" w:hanging="360"/>
      </w:pPr>
      <w:rPr>
        <w:rFonts w:ascii="Courier New" w:hAnsi="Courier New" w:hint="default"/>
      </w:rPr>
    </w:lvl>
    <w:lvl w:ilvl="2" w:tplc="05529DBA" w:tentative="1">
      <w:start w:val="1"/>
      <w:numFmt w:val="bullet"/>
      <w:lvlText w:val=""/>
      <w:lvlJc w:val="left"/>
      <w:pPr>
        <w:tabs>
          <w:tab w:val="num" w:pos="2600"/>
        </w:tabs>
        <w:ind w:left="2600" w:hanging="360"/>
      </w:pPr>
      <w:rPr>
        <w:rFonts w:ascii="Wingdings" w:hAnsi="Wingdings" w:hint="default"/>
      </w:rPr>
    </w:lvl>
    <w:lvl w:ilvl="3" w:tplc="86F02658" w:tentative="1">
      <w:start w:val="1"/>
      <w:numFmt w:val="bullet"/>
      <w:lvlText w:val=""/>
      <w:lvlJc w:val="left"/>
      <w:pPr>
        <w:tabs>
          <w:tab w:val="num" w:pos="3320"/>
        </w:tabs>
        <w:ind w:left="3320" w:hanging="360"/>
      </w:pPr>
      <w:rPr>
        <w:rFonts w:ascii="Symbol" w:hAnsi="Symbol" w:hint="default"/>
      </w:rPr>
    </w:lvl>
    <w:lvl w:ilvl="4" w:tplc="77A43AD2" w:tentative="1">
      <w:start w:val="1"/>
      <w:numFmt w:val="bullet"/>
      <w:lvlText w:val="o"/>
      <w:lvlJc w:val="left"/>
      <w:pPr>
        <w:tabs>
          <w:tab w:val="num" w:pos="4040"/>
        </w:tabs>
        <w:ind w:left="4040" w:hanging="360"/>
      </w:pPr>
      <w:rPr>
        <w:rFonts w:ascii="Courier New" w:hAnsi="Courier New" w:hint="default"/>
      </w:rPr>
    </w:lvl>
    <w:lvl w:ilvl="5" w:tplc="179298D0" w:tentative="1">
      <w:start w:val="1"/>
      <w:numFmt w:val="bullet"/>
      <w:lvlText w:val=""/>
      <w:lvlJc w:val="left"/>
      <w:pPr>
        <w:tabs>
          <w:tab w:val="num" w:pos="4760"/>
        </w:tabs>
        <w:ind w:left="4760" w:hanging="360"/>
      </w:pPr>
      <w:rPr>
        <w:rFonts w:ascii="Wingdings" w:hAnsi="Wingdings" w:hint="default"/>
      </w:rPr>
    </w:lvl>
    <w:lvl w:ilvl="6" w:tplc="E550AFAA" w:tentative="1">
      <w:start w:val="1"/>
      <w:numFmt w:val="bullet"/>
      <w:lvlText w:val=""/>
      <w:lvlJc w:val="left"/>
      <w:pPr>
        <w:tabs>
          <w:tab w:val="num" w:pos="5480"/>
        </w:tabs>
        <w:ind w:left="5480" w:hanging="360"/>
      </w:pPr>
      <w:rPr>
        <w:rFonts w:ascii="Symbol" w:hAnsi="Symbol" w:hint="default"/>
      </w:rPr>
    </w:lvl>
    <w:lvl w:ilvl="7" w:tplc="B42475C8" w:tentative="1">
      <w:start w:val="1"/>
      <w:numFmt w:val="bullet"/>
      <w:lvlText w:val="o"/>
      <w:lvlJc w:val="left"/>
      <w:pPr>
        <w:tabs>
          <w:tab w:val="num" w:pos="6200"/>
        </w:tabs>
        <w:ind w:left="6200" w:hanging="360"/>
      </w:pPr>
      <w:rPr>
        <w:rFonts w:ascii="Courier New" w:hAnsi="Courier New" w:hint="default"/>
      </w:rPr>
    </w:lvl>
    <w:lvl w:ilvl="8" w:tplc="FD728D24" w:tentative="1">
      <w:start w:val="1"/>
      <w:numFmt w:val="bullet"/>
      <w:lvlText w:val=""/>
      <w:lvlJc w:val="left"/>
      <w:pPr>
        <w:tabs>
          <w:tab w:val="num" w:pos="6920"/>
        </w:tabs>
        <w:ind w:left="6920" w:hanging="360"/>
      </w:pPr>
      <w:rPr>
        <w:rFonts w:ascii="Wingdings" w:hAnsi="Wingdings" w:hint="default"/>
      </w:rPr>
    </w:lvl>
  </w:abstractNum>
  <w:abstractNum w:abstractNumId="12" w15:restartNumberingAfterBreak="0">
    <w:nsid w:val="01136341"/>
    <w:multiLevelType w:val="multilevel"/>
    <w:tmpl w:val="189EAC7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15A1B42"/>
    <w:multiLevelType w:val="hybridMultilevel"/>
    <w:tmpl w:val="C3345622"/>
    <w:lvl w:ilvl="0" w:tplc="72186E88">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lvl w:ilvl="1" w:tplc="E87A2DE2">
      <w:start w:val="1"/>
      <w:numFmt w:val="lowerLetter"/>
      <w:lvlText w:val="%2."/>
      <w:lvlJc w:val="left"/>
      <w:pPr>
        <w:ind w:left="1440" w:hanging="360"/>
      </w:pPr>
    </w:lvl>
    <w:lvl w:ilvl="2" w:tplc="8D7EB320" w:tentative="1">
      <w:start w:val="1"/>
      <w:numFmt w:val="lowerRoman"/>
      <w:lvlText w:val="%3."/>
      <w:lvlJc w:val="right"/>
      <w:pPr>
        <w:ind w:left="2160" w:hanging="180"/>
      </w:pPr>
    </w:lvl>
    <w:lvl w:ilvl="3" w:tplc="5E30AFEC" w:tentative="1">
      <w:start w:val="1"/>
      <w:numFmt w:val="decimal"/>
      <w:lvlText w:val="%4."/>
      <w:lvlJc w:val="left"/>
      <w:pPr>
        <w:ind w:left="2880" w:hanging="360"/>
      </w:pPr>
    </w:lvl>
    <w:lvl w:ilvl="4" w:tplc="8118005E" w:tentative="1">
      <w:start w:val="1"/>
      <w:numFmt w:val="lowerLetter"/>
      <w:lvlText w:val="%5."/>
      <w:lvlJc w:val="left"/>
      <w:pPr>
        <w:ind w:left="3600" w:hanging="360"/>
      </w:pPr>
    </w:lvl>
    <w:lvl w:ilvl="5" w:tplc="4F16915A" w:tentative="1">
      <w:start w:val="1"/>
      <w:numFmt w:val="lowerRoman"/>
      <w:lvlText w:val="%6."/>
      <w:lvlJc w:val="right"/>
      <w:pPr>
        <w:ind w:left="4320" w:hanging="180"/>
      </w:pPr>
    </w:lvl>
    <w:lvl w:ilvl="6" w:tplc="D2F457B0" w:tentative="1">
      <w:start w:val="1"/>
      <w:numFmt w:val="decimal"/>
      <w:lvlText w:val="%7."/>
      <w:lvlJc w:val="left"/>
      <w:pPr>
        <w:ind w:left="5040" w:hanging="360"/>
      </w:pPr>
    </w:lvl>
    <w:lvl w:ilvl="7" w:tplc="851CF92E" w:tentative="1">
      <w:start w:val="1"/>
      <w:numFmt w:val="lowerLetter"/>
      <w:lvlText w:val="%8."/>
      <w:lvlJc w:val="left"/>
      <w:pPr>
        <w:ind w:left="5760" w:hanging="360"/>
      </w:pPr>
    </w:lvl>
    <w:lvl w:ilvl="8" w:tplc="15443560" w:tentative="1">
      <w:start w:val="1"/>
      <w:numFmt w:val="lowerRoman"/>
      <w:lvlText w:val="%9."/>
      <w:lvlJc w:val="right"/>
      <w:pPr>
        <w:ind w:left="6480" w:hanging="180"/>
      </w:pPr>
    </w:lvl>
  </w:abstractNum>
  <w:abstractNum w:abstractNumId="14" w15:restartNumberingAfterBreak="0">
    <w:nsid w:val="01C0586F"/>
    <w:multiLevelType w:val="hybridMultilevel"/>
    <w:tmpl w:val="D65E557E"/>
    <w:lvl w:ilvl="0" w:tplc="A0A8D7E2">
      <w:start w:val="38"/>
      <w:numFmt w:val="bullet"/>
      <w:lvlText w:val="-"/>
      <w:lvlJc w:val="left"/>
      <w:pPr>
        <w:ind w:left="720" w:hanging="360"/>
      </w:pPr>
      <w:rPr>
        <w:rFonts w:hint="default"/>
      </w:rPr>
    </w:lvl>
    <w:lvl w:ilvl="1" w:tplc="B6CA09EA" w:tentative="1">
      <w:start w:val="1"/>
      <w:numFmt w:val="bullet"/>
      <w:lvlText w:val="o"/>
      <w:lvlJc w:val="left"/>
      <w:pPr>
        <w:ind w:left="1440" w:hanging="360"/>
      </w:pPr>
      <w:rPr>
        <w:rFonts w:ascii="Courier New" w:hAnsi="Courier New" w:cs="Courier New" w:hint="default"/>
      </w:rPr>
    </w:lvl>
    <w:lvl w:ilvl="2" w:tplc="B71C243E" w:tentative="1">
      <w:start w:val="1"/>
      <w:numFmt w:val="bullet"/>
      <w:lvlText w:val=""/>
      <w:lvlJc w:val="left"/>
      <w:pPr>
        <w:ind w:left="2160" w:hanging="360"/>
      </w:pPr>
      <w:rPr>
        <w:rFonts w:ascii="Wingdings" w:hAnsi="Wingdings" w:hint="default"/>
      </w:rPr>
    </w:lvl>
    <w:lvl w:ilvl="3" w:tplc="D9844138" w:tentative="1">
      <w:start w:val="1"/>
      <w:numFmt w:val="bullet"/>
      <w:lvlText w:val=""/>
      <w:lvlJc w:val="left"/>
      <w:pPr>
        <w:ind w:left="2880" w:hanging="360"/>
      </w:pPr>
      <w:rPr>
        <w:rFonts w:ascii="Symbol" w:hAnsi="Symbol" w:hint="default"/>
      </w:rPr>
    </w:lvl>
    <w:lvl w:ilvl="4" w:tplc="6BD65A98" w:tentative="1">
      <w:start w:val="1"/>
      <w:numFmt w:val="bullet"/>
      <w:lvlText w:val="o"/>
      <w:lvlJc w:val="left"/>
      <w:pPr>
        <w:ind w:left="3600" w:hanging="360"/>
      </w:pPr>
      <w:rPr>
        <w:rFonts w:ascii="Courier New" w:hAnsi="Courier New" w:cs="Courier New" w:hint="default"/>
      </w:rPr>
    </w:lvl>
    <w:lvl w:ilvl="5" w:tplc="F634DD96" w:tentative="1">
      <w:start w:val="1"/>
      <w:numFmt w:val="bullet"/>
      <w:lvlText w:val=""/>
      <w:lvlJc w:val="left"/>
      <w:pPr>
        <w:ind w:left="4320" w:hanging="360"/>
      </w:pPr>
      <w:rPr>
        <w:rFonts w:ascii="Wingdings" w:hAnsi="Wingdings" w:hint="default"/>
      </w:rPr>
    </w:lvl>
    <w:lvl w:ilvl="6" w:tplc="713A557C" w:tentative="1">
      <w:start w:val="1"/>
      <w:numFmt w:val="bullet"/>
      <w:lvlText w:val=""/>
      <w:lvlJc w:val="left"/>
      <w:pPr>
        <w:ind w:left="5040" w:hanging="360"/>
      </w:pPr>
      <w:rPr>
        <w:rFonts w:ascii="Symbol" w:hAnsi="Symbol" w:hint="default"/>
      </w:rPr>
    </w:lvl>
    <w:lvl w:ilvl="7" w:tplc="E646A5D6" w:tentative="1">
      <w:start w:val="1"/>
      <w:numFmt w:val="bullet"/>
      <w:lvlText w:val="o"/>
      <w:lvlJc w:val="left"/>
      <w:pPr>
        <w:ind w:left="5760" w:hanging="360"/>
      </w:pPr>
      <w:rPr>
        <w:rFonts w:ascii="Courier New" w:hAnsi="Courier New" w:cs="Courier New" w:hint="default"/>
      </w:rPr>
    </w:lvl>
    <w:lvl w:ilvl="8" w:tplc="B1C20F7E" w:tentative="1">
      <w:start w:val="1"/>
      <w:numFmt w:val="bullet"/>
      <w:lvlText w:val=""/>
      <w:lvlJc w:val="left"/>
      <w:pPr>
        <w:ind w:left="6480" w:hanging="360"/>
      </w:pPr>
      <w:rPr>
        <w:rFonts w:ascii="Wingdings" w:hAnsi="Wingdings" w:hint="default"/>
      </w:rPr>
    </w:lvl>
  </w:abstractNum>
  <w:abstractNum w:abstractNumId="15" w15:restartNumberingAfterBreak="0">
    <w:nsid w:val="02F515ED"/>
    <w:multiLevelType w:val="hybridMultilevel"/>
    <w:tmpl w:val="D3BA27C2"/>
    <w:lvl w:ilvl="0" w:tplc="B0E01EFA">
      <w:start w:val="1"/>
      <w:numFmt w:val="bullet"/>
      <w:lvlText w:val=""/>
      <w:lvlJc w:val="left"/>
      <w:pPr>
        <w:tabs>
          <w:tab w:val="num" w:pos="720"/>
        </w:tabs>
        <w:ind w:left="720" w:hanging="360"/>
      </w:pPr>
      <w:rPr>
        <w:rFonts w:ascii="Symbol" w:hAnsi="Symbol" w:hint="default"/>
      </w:rPr>
    </w:lvl>
    <w:lvl w:ilvl="1" w:tplc="E112F1E2" w:tentative="1">
      <w:start w:val="1"/>
      <w:numFmt w:val="bullet"/>
      <w:lvlText w:val="o"/>
      <w:lvlJc w:val="left"/>
      <w:pPr>
        <w:tabs>
          <w:tab w:val="num" w:pos="1440"/>
        </w:tabs>
        <w:ind w:left="1440" w:hanging="360"/>
      </w:pPr>
      <w:rPr>
        <w:rFonts w:ascii="Courier New" w:hAnsi="Courier New" w:hint="default"/>
      </w:rPr>
    </w:lvl>
    <w:lvl w:ilvl="2" w:tplc="EF2E73B4" w:tentative="1">
      <w:start w:val="1"/>
      <w:numFmt w:val="bullet"/>
      <w:lvlText w:val=""/>
      <w:lvlJc w:val="left"/>
      <w:pPr>
        <w:tabs>
          <w:tab w:val="num" w:pos="2160"/>
        </w:tabs>
        <w:ind w:left="2160" w:hanging="360"/>
      </w:pPr>
      <w:rPr>
        <w:rFonts w:ascii="Wingdings" w:hAnsi="Wingdings" w:hint="default"/>
      </w:rPr>
    </w:lvl>
    <w:lvl w:ilvl="3" w:tplc="651C40F0" w:tentative="1">
      <w:start w:val="1"/>
      <w:numFmt w:val="bullet"/>
      <w:lvlText w:val=""/>
      <w:lvlJc w:val="left"/>
      <w:pPr>
        <w:tabs>
          <w:tab w:val="num" w:pos="2880"/>
        </w:tabs>
        <w:ind w:left="2880" w:hanging="360"/>
      </w:pPr>
      <w:rPr>
        <w:rFonts w:ascii="Symbol" w:hAnsi="Symbol" w:hint="default"/>
      </w:rPr>
    </w:lvl>
    <w:lvl w:ilvl="4" w:tplc="885CA11A" w:tentative="1">
      <w:start w:val="1"/>
      <w:numFmt w:val="bullet"/>
      <w:lvlText w:val="o"/>
      <w:lvlJc w:val="left"/>
      <w:pPr>
        <w:tabs>
          <w:tab w:val="num" w:pos="3600"/>
        </w:tabs>
        <w:ind w:left="3600" w:hanging="360"/>
      </w:pPr>
      <w:rPr>
        <w:rFonts w:ascii="Courier New" w:hAnsi="Courier New" w:hint="default"/>
      </w:rPr>
    </w:lvl>
    <w:lvl w:ilvl="5" w:tplc="0B24D96C" w:tentative="1">
      <w:start w:val="1"/>
      <w:numFmt w:val="bullet"/>
      <w:lvlText w:val=""/>
      <w:lvlJc w:val="left"/>
      <w:pPr>
        <w:tabs>
          <w:tab w:val="num" w:pos="4320"/>
        </w:tabs>
        <w:ind w:left="4320" w:hanging="360"/>
      </w:pPr>
      <w:rPr>
        <w:rFonts w:ascii="Wingdings" w:hAnsi="Wingdings" w:hint="default"/>
      </w:rPr>
    </w:lvl>
    <w:lvl w:ilvl="6" w:tplc="C3B6D6D0" w:tentative="1">
      <w:start w:val="1"/>
      <w:numFmt w:val="bullet"/>
      <w:lvlText w:val=""/>
      <w:lvlJc w:val="left"/>
      <w:pPr>
        <w:tabs>
          <w:tab w:val="num" w:pos="5040"/>
        </w:tabs>
        <w:ind w:left="5040" w:hanging="360"/>
      </w:pPr>
      <w:rPr>
        <w:rFonts w:ascii="Symbol" w:hAnsi="Symbol" w:hint="default"/>
      </w:rPr>
    </w:lvl>
    <w:lvl w:ilvl="7" w:tplc="6C78B81A" w:tentative="1">
      <w:start w:val="1"/>
      <w:numFmt w:val="bullet"/>
      <w:lvlText w:val="o"/>
      <w:lvlJc w:val="left"/>
      <w:pPr>
        <w:tabs>
          <w:tab w:val="num" w:pos="5760"/>
        </w:tabs>
        <w:ind w:left="5760" w:hanging="360"/>
      </w:pPr>
      <w:rPr>
        <w:rFonts w:ascii="Courier New" w:hAnsi="Courier New" w:hint="default"/>
      </w:rPr>
    </w:lvl>
    <w:lvl w:ilvl="8" w:tplc="4468C60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3A51235"/>
    <w:multiLevelType w:val="hybridMultilevel"/>
    <w:tmpl w:val="7E447AB2"/>
    <w:lvl w:ilvl="0" w:tplc="52EEDD88">
      <w:start w:val="1"/>
      <w:numFmt w:val="bullet"/>
      <w:lvlText w:val=""/>
      <w:lvlJc w:val="left"/>
      <w:pPr>
        <w:ind w:left="720" w:hanging="360"/>
      </w:pPr>
      <w:rPr>
        <w:rFonts w:ascii="Symbol" w:hAnsi="Symbol" w:hint="default"/>
        <w:sz w:val="22"/>
      </w:rPr>
    </w:lvl>
    <w:lvl w:ilvl="1" w:tplc="3DA8A8D2" w:tentative="1">
      <w:start w:val="1"/>
      <w:numFmt w:val="bullet"/>
      <w:lvlText w:val="o"/>
      <w:lvlJc w:val="left"/>
      <w:pPr>
        <w:ind w:left="1440" w:hanging="360"/>
      </w:pPr>
      <w:rPr>
        <w:rFonts w:ascii="Courier New" w:hAnsi="Courier New" w:cs="Courier New" w:hint="default"/>
      </w:rPr>
    </w:lvl>
    <w:lvl w:ilvl="2" w:tplc="F3C8DF64" w:tentative="1">
      <w:start w:val="1"/>
      <w:numFmt w:val="bullet"/>
      <w:lvlText w:val=""/>
      <w:lvlJc w:val="left"/>
      <w:pPr>
        <w:ind w:left="2160" w:hanging="360"/>
      </w:pPr>
      <w:rPr>
        <w:rFonts w:ascii="Wingdings" w:hAnsi="Wingdings" w:hint="default"/>
      </w:rPr>
    </w:lvl>
    <w:lvl w:ilvl="3" w:tplc="8166CD08" w:tentative="1">
      <w:start w:val="1"/>
      <w:numFmt w:val="bullet"/>
      <w:lvlText w:val=""/>
      <w:lvlJc w:val="left"/>
      <w:pPr>
        <w:ind w:left="2880" w:hanging="360"/>
      </w:pPr>
      <w:rPr>
        <w:rFonts w:ascii="Symbol" w:hAnsi="Symbol" w:hint="default"/>
      </w:rPr>
    </w:lvl>
    <w:lvl w:ilvl="4" w:tplc="67E8BF2A" w:tentative="1">
      <w:start w:val="1"/>
      <w:numFmt w:val="bullet"/>
      <w:lvlText w:val="o"/>
      <w:lvlJc w:val="left"/>
      <w:pPr>
        <w:ind w:left="3600" w:hanging="360"/>
      </w:pPr>
      <w:rPr>
        <w:rFonts w:ascii="Courier New" w:hAnsi="Courier New" w:cs="Courier New" w:hint="default"/>
      </w:rPr>
    </w:lvl>
    <w:lvl w:ilvl="5" w:tplc="3B62A2B8" w:tentative="1">
      <w:start w:val="1"/>
      <w:numFmt w:val="bullet"/>
      <w:lvlText w:val=""/>
      <w:lvlJc w:val="left"/>
      <w:pPr>
        <w:ind w:left="4320" w:hanging="360"/>
      </w:pPr>
      <w:rPr>
        <w:rFonts w:ascii="Wingdings" w:hAnsi="Wingdings" w:hint="default"/>
      </w:rPr>
    </w:lvl>
    <w:lvl w:ilvl="6" w:tplc="F8F09CAC" w:tentative="1">
      <w:start w:val="1"/>
      <w:numFmt w:val="bullet"/>
      <w:lvlText w:val=""/>
      <w:lvlJc w:val="left"/>
      <w:pPr>
        <w:ind w:left="5040" w:hanging="360"/>
      </w:pPr>
      <w:rPr>
        <w:rFonts w:ascii="Symbol" w:hAnsi="Symbol" w:hint="default"/>
      </w:rPr>
    </w:lvl>
    <w:lvl w:ilvl="7" w:tplc="1B04DA7E" w:tentative="1">
      <w:start w:val="1"/>
      <w:numFmt w:val="bullet"/>
      <w:lvlText w:val="o"/>
      <w:lvlJc w:val="left"/>
      <w:pPr>
        <w:ind w:left="5760" w:hanging="360"/>
      </w:pPr>
      <w:rPr>
        <w:rFonts w:ascii="Courier New" w:hAnsi="Courier New" w:cs="Courier New" w:hint="default"/>
      </w:rPr>
    </w:lvl>
    <w:lvl w:ilvl="8" w:tplc="9F1C76CA" w:tentative="1">
      <w:start w:val="1"/>
      <w:numFmt w:val="bullet"/>
      <w:lvlText w:val=""/>
      <w:lvlJc w:val="left"/>
      <w:pPr>
        <w:ind w:left="6480" w:hanging="360"/>
      </w:pPr>
      <w:rPr>
        <w:rFonts w:ascii="Wingdings" w:hAnsi="Wingdings" w:hint="default"/>
      </w:rPr>
    </w:lvl>
  </w:abstractNum>
  <w:abstractNum w:abstractNumId="17" w15:restartNumberingAfterBreak="0">
    <w:nsid w:val="03BD2723"/>
    <w:multiLevelType w:val="hybridMultilevel"/>
    <w:tmpl w:val="451A4F26"/>
    <w:lvl w:ilvl="0" w:tplc="DEDE69FC">
      <w:start w:val="1"/>
      <w:numFmt w:val="bullet"/>
      <w:lvlText w:val=""/>
      <w:lvlJc w:val="left"/>
      <w:pPr>
        <w:tabs>
          <w:tab w:val="num" w:pos="720"/>
        </w:tabs>
        <w:ind w:left="720" w:hanging="360"/>
      </w:pPr>
      <w:rPr>
        <w:rFonts w:ascii="Symbol" w:hAnsi="Symbol" w:hint="default"/>
      </w:rPr>
    </w:lvl>
    <w:lvl w:ilvl="1" w:tplc="829E7E12">
      <w:start w:val="1"/>
      <w:numFmt w:val="bullet"/>
      <w:lvlText w:val="o"/>
      <w:lvlJc w:val="left"/>
      <w:pPr>
        <w:ind w:left="1440" w:hanging="360"/>
      </w:pPr>
      <w:rPr>
        <w:rFonts w:ascii="Courier New" w:hAnsi="Courier New" w:cs="Courier New" w:hint="default"/>
      </w:rPr>
    </w:lvl>
    <w:lvl w:ilvl="2" w:tplc="035C5432" w:tentative="1">
      <w:start w:val="1"/>
      <w:numFmt w:val="bullet"/>
      <w:lvlText w:val=""/>
      <w:lvlJc w:val="left"/>
      <w:pPr>
        <w:ind w:left="2160" w:hanging="360"/>
      </w:pPr>
      <w:rPr>
        <w:rFonts w:ascii="Wingdings" w:hAnsi="Wingdings" w:hint="default"/>
      </w:rPr>
    </w:lvl>
    <w:lvl w:ilvl="3" w:tplc="74462E4A" w:tentative="1">
      <w:start w:val="1"/>
      <w:numFmt w:val="bullet"/>
      <w:lvlText w:val=""/>
      <w:lvlJc w:val="left"/>
      <w:pPr>
        <w:ind w:left="2880" w:hanging="360"/>
      </w:pPr>
      <w:rPr>
        <w:rFonts w:ascii="Symbol" w:hAnsi="Symbol" w:hint="default"/>
      </w:rPr>
    </w:lvl>
    <w:lvl w:ilvl="4" w:tplc="20363C88" w:tentative="1">
      <w:start w:val="1"/>
      <w:numFmt w:val="bullet"/>
      <w:lvlText w:val="o"/>
      <w:lvlJc w:val="left"/>
      <w:pPr>
        <w:ind w:left="3600" w:hanging="360"/>
      </w:pPr>
      <w:rPr>
        <w:rFonts w:ascii="Courier New" w:hAnsi="Courier New" w:cs="Courier New" w:hint="default"/>
      </w:rPr>
    </w:lvl>
    <w:lvl w:ilvl="5" w:tplc="9E4C6EEA" w:tentative="1">
      <w:start w:val="1"/>
      <w:numFmt w:val="bullet"/>
      <w:lvlText w:val=""/>
      <w:lvlJc w:val="left"/>
      <w:pPr>
        <w:ind w:left="4320" w:hanging="360"/>
      </w:pPr>
      <w:rPr>
        <w:rFonts w:ascii="Wingdings" w:hAnsi="Wingdings" w:hint="default"/>
      </w:rPr>
    </w:lvl>
    <w:lvl w:ilvl="6" w:tplc="6CCADBC2" w:tentative="1">
      <w:start w:val="1"/>
      <w:numFmt w:val="bullet"/>
      <w:lvlText w:val=""/>
      <w:lvlJc w:val="left"/>
      <w:pPr>
        <w:ind w:left="5040" w:hanging="360"/>
      </w:pPr>
      <w:rPr>
        <w:rFonts w:ascii="Symbol" w:hAnsi="Symbol" w:hint="default"/>
      </w:rPr>
    </w:lvl>
    <w:lvl w:ilvl="7" w:tplc="44B2D8E2" w:tentative="1">
      <w:start w:val="1"/>
      <w:numFmt w:val="bullet"/>
      <w:lvlText w:val="o"/>
      <w:lvlJc w:val="left"/>
      <w:pPr>
        <w:ind w:left="5760" w:hanging="360"/>
      </w:pPr>
      <w:rPr>
        <w:rFonts w:ascii="Courier New" w:hAnsi="Courier New" w:cs="Courier New" w:hint="default"/>
      </w:rPr>
    </w:lvl>
    <w:lvl w:ilvl="8" w:tplc="EDF8DE14" w:tentative="1">
      <w:start w:val="1"/>
      <w:numFmt w:val="bullet"/>
      <w:lvlText w:val=""/>
      <w:lvlJc w:val="left"/>
      <w:pPr>
        <w:ind w:left="6480" w:hanging="360"/>
      </w:pPr>
      <w:rPr>
        <w:rFonts w:ascii="Wingdings" w:hAnsi="Wingdings" w:hint="default"/>
      </w:rPr>
    </w:lvl>
  </w:abstractNum>
  <w:abstractNum w:abstractNumId="18" w15:restartNumberingAfterBreak="0">
    <w:nsid w:val="03C72137"/>
    <w:multiLevelType w:val="multilevel"/>
    <w:tmpl w:val="EE76AB02"/>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04277AF3"/>
    <w:multiLevelType w:val="singleLevel"/>
    <w:tmpl w:val="2FDA33E8"/>
    <w:lvl w:ilvl="0">
      <w:start w:val="1"/>
      <w:numFmt w:val="upperLetter"/>
      <w:lvlText w:val="%1."/>
      <w:legacy w:legacy="1" w:legacySpace="0" w:legacyIndent="360"/>
      <w:lvlJc w:val="left"/>
      <w:pPr>
        <w:ind w:left="1494" w:hanging="360"/>
      </w:pPr>
      <w:rPr>
        <w:rFonts w:cs="Times New Roman"/>
      </w:rPr>
    </w:lvl>
  </w:abstractNum>
  <w:abstractNum w:abstractNumId="20" w15:restartNumberingAfterBreak="0">
    <w:nsid w:val="04CF2169"/>
    <w:multiLevelType w:val="hybridMultilevel"/>
    <w:tmpl w:val="EB7C8824"/>
    <w:lvl w:ilvl="0" w:tplc="3A5E7ECC">
      <w:start w:val="1"/>
      <w:numFmt w:val="bullet"/>
      <w:lvlText w:val=""/>
      <w:lvlJc w:val="left"/>
      <w:pPr>
        <w:ind w:left="720" w:hanging="360"/>
      </w:pPr>
      <w:rPr>
        <w:rFonts w:ascii="Symbol" w:hAnsi="Symbol" w:hint="default"/>
      </w:rPr>
    </w:lvl>
    <w:lvl w:ilvl="1" w:tplc="BAD065D0" w:tentative="1">
      <w:start w:val="1"/>
      <w:numFmt w:val="bullet"/>
      <w:lvlText w:val="o"/>
      <w:lvlJc w:val="left"/>
      <w:pPr>
        <w:ind w:left="1440" w:hanging="360"/>
      </w:pPr>
      <w:rPr>
        <w:rFonts w:ascii="Courier New" w:hAnsi="Courier New" w:cs="Courier New" w:hint="default"/>
      </w:rPr>
    </w:lvl>
    <w:lvl w:ilvl="2" w:tplc="52EEE5FA">
      <w:start w:val="1"/>
      <w:numFmt w:val="bullet"/>
      <w:lvlText w:val=""/>
      <w:lvlJc w:val="left"/>
      <w:pPr>
        <w:ind w:left="2160" w:hanging="360"/>
      </w:pPr>
      <w:rPr>
        <w:rFonts w:ascii="Wingdings" w:hAnsi="Wingdings" w:hint="default"/>
      </w:rPr>
    </w:lvl>
    <w:lvl w:ilvl="3" w:tplc="50229602" w:tentative="1">
      <w:start w:val="1"/>
      <w:numFmt w:val="bullet"/>
      <w:lvlText w:val=""/>
      <w:lvlJc w:val="left"/>
      <w:pPr>
        <w:ind w:left="2880" w:hanging="360"/>
      </w:pPr>
      <w:rPr>
        <w:rFonts w:ascii="Symbol" w:hAnsi="Symbol" w:hint="default"/>
      </w:rPr>
    </w:lvl>
    <w:lvl w:ilvl="4" w:tplc="50729684" w:tentative="1">
      <w:start w:val="1"/>
      <w:numFmt w:val="bullet"/>
      <w:lvlText w:val="o"/>
      <w:lvlJc w:val="left"/>
      <w:pPr>
        <w:ind w:left="3600" w:hanging="360"/>
      </w:pPr>
      <w:rPr>
        <w:rFonts w:ascii="Courier New" w:hAnsi="Courier New" w:cs="Courier New" w:hint="default"/>
      </w:rPr>
    </w:lvl>
    <w:lvl w:ilvl="5" w:tplc="B8D65B98" w:tentative="1">
      <w:start w:val="1"/>
      <w:numFmt w:val="bullet"/>
      <w:lvlText w:val=""/>
      <w:lvlJc w:val="left"/>
      <w:pPr>
        <w:ind w:left="4320" w:hanging="360"/>
      </w:pPr>
      <w:rPr>
        <w:rFonts w:ascii="Wingdings" w:hAnsi="Wingdings" w:hint="default"/>
      </w:rPr>
    </w:lvl>
    <w:lvl w:ilvl="6" w:tplc="516037A0" w:tentative="1">
      <w:start w:val="1"/>
      <w:numFmt w:val="bullet"/>
      <w:lvlText w:val=""/>
      <w:lvlJc w:val="left"/>
      <w:pPr>
        <w:ind w:left="5040" w:hanging="360"/>
      </w:pPr>
      <w:rPr>
        <w:rFonts w:ascii="Symbol" w:hAnsi="Symbol" w:hint="default"/>
      </w:rPr>
    </w:lvl>
    <w:lvl w:ilvl="7" w:tplc="7BA606E2" w:tentative="1">
      <w:start w:val="1"/>
      <w:numFmt w:val="bullet"/>
      <w:lvlText w:val="o"/>
      <w:lvlJc w:val="left"/>
      <w:pPr>
        <w:ind w:left="5760" w:hanging="360"/>
      </w:pPr>
      <w:rPr>
        <w:rFonts w:ascii="Courier New" w:hAnsi="Courier New" w:cs="Courier New" w:hint="default"/>
      </w:rPr>
    </w:lvl>
    <w:lvl w:ilvl="8" w:tplc="4B58BF2E" w:tentative="1">
      <w:start w:val="1"/>
      <w:numFmt w:val="bullet"/>
      <w:lvlText w:val=""/>
      <w:lvlJc w:val="left"/>
      <w:pPr>
        <w:ind w:left="6480" w:hanging="360"/>
      </w:pPr>
      <w:rPr>
        <w:rFonts w:ascii="Wingdings" w:hAnsi="Wingdings" w:hint="default"/>
      </w:rPr>
    </w:lvl>
  </w:abstractNum>
  <w:abstractNum w:abstractNumId="21"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5AE1738"/>
    <w:multiLevelType w:val="hybridMultilevel"/>
    <w:tmpl w:val="D7325A14"/>
    <w:lvl w:ilvl="0" w:tplc="FE56C1DA">
      <w:start w:val="1"/>
      <w:numFmt w:val="decimal"/>
      <w:lvlText w:val="%1."/>
      <w:lvlJc w:val="left"/>
      <w:pPr>
        <w:ind w:left="720" w:hanging="360"/>
      </w:pPr>
    </w:lvl>
    <w:lvl w:ilvl="1" w:tplc="4CBA1366" w:tentative="1">
      <w:start w:val="1"/>
      <w:numFmt w:val="lowerLetter"/>
      <w:lvlText w:val="%2."/>
      <w:lvlJc w:val="left"/>
      <w:pPr>
        <w:ind w:left="1440" w:hanging="360"/>
      </w:pPr>
    </w:lvl>
    <w:lvl w:ilvl="2" w:tplc="717865A8" w:tentative="1">
      <w:start w:val="1"/>
      <w:numFmt w:val="lowerRoman"/>
      <w:lvlText w:val="%3."/>
      <w:lvlJc w:val="right"/>
      <w:pPr>
        <w:ind w:left="2160" w:hanging="180"/>
      </w:pPr>
    </w:lvl>
    <w:lvl w:ilvl="3" w:tplc="73A6412C" w:tentative="1">
      <w:start w:val="1"/>
      <w:numFmt w:val="decimal"/>
      <w:lvlText w:val="%4."/>
      <w:lvlJc w:val="left"/>
      <w:pPr>
        <w:ind w:left="2880" w:hanging="360"/>
      </w:pPr>
    </w:lvl>
    <w:lvl w:ilvl="4" w:tplc="AC46941E" w:tentative="1">
      <w:start w:val="1"/>
      <w:numFmt w:val="lowerLetter"/>
      <w:lvlText w:val="%5."/>
      <w:lvlJc w:val="left"/>
      <w:pPr>
        <w:ind w:left="3600" w:hanging="360"/>
      </w:pPr>
    </w:lvl>
    <w:lvl w:ilvl="5" w:tplc="BDACDF5E" w:tentative="1">
      <w:start w:val="1"/>
      <w:numFmt w:val="lowerRoman"/>
      <w:lvlText w:val="%6."/>
      <w:lvlJc w:val="right"/>
      <w:pPr>
        <w:ind w:left="4320" w:hanging="180"/>
      </w:pPr>
    </w:lvl>
    <w:lvl w:ilvl="6" w:tplc="DA6AC8DE" w:tentative="1">
      <w:start w:val="1"/>
      <w:numFmt w:val="decimal"/>
      <w:lvlText w:val="%7."/>
      <w:lvlJc w:val="left"/>
      <w:pPr>
        <w:ind w:left="5040" w:hanging="360"/>
      </w:pPr>
    </w:lvl>
    <w:lvl w:ilvl="7" w:tplc="8BB87CFE" w:tentative="1">
      <w:start w:val="1"/>
      <w:numFmt w:val="lowerLetter"/>
      <w:lvlText w:val="%8."/>
      <w:lvlJc w:val="left"/>
      <w:pPr>
        <w:ind w:left="5760" w:hanging="360"/>
      </w:pPr>
    </w:lvl>
    <w:lvl w:ilvl="8" w:tplc="87CC353E" w:tentative="1">
      <w:start w:val="1"/>
      <w:numFmt w:val="lowerRoman"/>
      <w:lvlText w:val="%9."/>
      <w:lvlJc w:val="right"/>
      <w:pPr>
        <w:ind w:left="6480" w:hanging="180"/>
      </w:pPr>
    </w:lvl>
  </w:abstractNum>
  <w:abstractNum w:abstractNumId="23" w15:restartNumberingAfterBreak="0">
    <w:nsid w:val="05CD4886"/>
    <w:multiLevelType w:val="hybridMultilevel"/>
    <w:tmpl w:val="FBBCF138"/>
    <w:lvl w:ilvl="0" w:tplc="75A2303E">
      <w:start w:val="1"/>
      <w:numFmt w:val="decimal"/>
      <w:lvlText w:val="%1."/>
      <w:lvlJc w:val="left"/>
      <w:pPr>
        <w:ind w:left="720" w:hanging="360"/>
      </w:pPr>
    </w:lvl>
    <w:lvl w:ilvl="1" w:tplc="19C4E06C" w:tentative="1">
      <w:start w:val="1"/>
      <w:numFmt w:val="lowerLetter"/>
      <w:lvlText w:val="%2."/>
      <w:lvlJc w:val="left"/>
      <w:pPr>
        <w:ind w:left="1440" w:hanging="360"/>
      </w:pPr>
    </w:lvl>
    <w:lvl w:ilvl="2" w:tplc="1FCAED28" w:tentative="1">
      <w:start w:val="1"/>
      <w:numFmt w:val="lowerRoman"/>
      <w:lvlText w:val="%3."/>
      <w:lvlJc w:val="right"/>
      <w:pPr>
        <w:ind w:left="2160" w:hanging="180"/>
      </w:pPr>
    </w:lvl>
    <w:lvl w:ilvl="3" w:tplc="C980C7FC" w:tentative="1">
      <w:start w:val="1"/>
      <w:numFmt w:val="decimal"/>
      <w:lvlText w:val="%4."/>
      <w:lvlJc w:val="left"/>
      <w:pPr>
        <w:ind w:left="2880" w:hanging="360"/>
      </w:pPr>
    </w:lvl>
    <w:lvl w:ilvl="4" w:tplc="8E40BFFE" w:tentative="1">
      <w:start w:val="1"/>
      <w:numFmt w:val="lowerLetter"/>
      <w:lvlText w:val="%5."/>
      <w:lvlJc w:val="left"/>
      <w:pPr>
        <w:ind w:left="3600" w:hanging="360"/>
      </w:pPr>
    </w:lvl>
    <w:lvl w:ilvl="5" w:tplc="206E91E6" w:tentative="1">
      <w:start w:val="1"/>
      <w:numFmt w:val="lowerRoman"/>
      <w:lvlText w:val="%6."/>
      <w:lvlJc w:val="right"/>
      <w:pPr>
        <w:ind w:left="4320" w:hanging="180"/>
      </w:pPr>
    </w:lvl>
    <w:lvl w:ilvl="6" w:tplc="AFBE95D2" w:tentative="1">
      <w:start w:val="1"/>
      <w:numFmt w:val="decimal"/>
      <w:lvlText w:val="%7."/>
      <w:lvlJc w:val="left"/>
      <w:pPr>
        <w:ind w:left="5040" w:hanging="360"/>
      </w:pPr>
    </w:lvl>
    <w:lvl w:ilvl="7" w:tplc="1F2E82A4" w:tentative="1">
      <w:start w:val="1"/>
      <w:numFmt w:val="lowerLetter"/>
      <w:lvlText w:val="%8."/>
      <w:lvlJc w:val="left"/>
      <w:pPr>
        <w:ind w:left="5760" w:hanging="360"/>
      </w:pPr>
    </w:lvl>
    <w:lvl w:ilvl="8" w:tplc="55B43128" w:tentative="1">
      <w:start w:val="1"/>
      <w:numFmt w:val="lowerRoman"/>
      <w:lvlText w:val="%9."/>
      <w:lvlJc w:val="right"/>
      <w:pPr>
        <w:ind w:left="6480" w:hanging="180"/>
      </w:pPr>
    </w:lvl>
  </w:abstractNum>
  <w:abstractNum w:abstractNumId="24" w15:restartNumberingAfterBreak="0">
    <w:nsid w:val="060A6573"/>
    <w:multiLevelType w:val="hybridMultilevel"/>
    <w:tmpl w:val="58A0877E"/>
    <w:lvl w:ilvl="0" w:tplc="5F8AB84C">
      <w:start w:val="1"/>
      <w:numFmt w:val="bullet"/>
      <w:lvlText w:val=""/>
      <w:lvlJc w:val="left"/>
      <w:pPr>
        <w:ind w:left="720" w:hanging="360"/>
      </w:pPr>
      <w:rPr>
        <w:rFonts w:ascii="Symbol" w:hAnsi="Symbol" w:hint="default"/>
      </w:rPr>
    </w:lvl>
    <w:lvl w:ilvl="1" w:tplc="C4D46DB0" w:tentative="1">
      <w:start w:val="1"/>
      <w:numFmt w:val="bullet"/>
      <w:lvlText w:val="o"/>
      <w:lvlJc w:val="left"/>
      <w:pPr>
        <w:ind w:left="1440" w:hanging="360"/>
      </w:pPr>
      <w:rPr>
        <w:rFonts w:ascii="Courier New" w:hAnsi="Courier New" w:cs="Courier New" w:hint="default"/>
      </w:rPr>
    </w:lvl>
    <w:lvl w:ilvl="2" w:tplc="792638E6" w:tentative="1">
      <w:start w:val="1"/>
      <w:numFmt w:val="bullet"/>
      <w:lvlText w:val=""/>
      <w:lvlJc w:val="left"/>
      <w:pPr>
        <w:ind w:left="2160" w:hanging="360"/>
      </w:pPr>
      <w:rPr>
        <w:rFonts w:ascii="Wingdings" w:hAnsi="Wingdings" w:hint="default"/>
      </w:rPr>
    </w:lvl>
    <w:lvl w:ilvl="3" w:tplc="5C1AB386" w:tentative="1">
      <w:start w:val="1"/>
      <w:numFmt w:val="bullet"/>
      <w:lvlText w:val=""/>
      <w:lvlJc w:val="left"/>
      <w:pPr>
        <w:ind w:left="2880" w:hanging="360"/>
      </w:pPr>
      <w:rPr>
        <w:rFonts w:ascii="Symbol" w:hAnsi="Symbol" w:hint="default"/>
      </w:rPr>
    </w:lvl>
    <w:lvl w:ilvl="4" w:tplc="CD501BE2" w:tentative="1">
      <w:start w:val="1"/>
      <w:numFmt w:val="bullet"/>
      <w:lvlText w:val="o"/>
      <w:lvlJc w:val="left"/>
      <w:pPr>
        <w:ind w:left="3600" w:hanging="360"/>
      </w:pPr>
      <w:rPr>
        <w:rFonts w:ascii="Courier New" w:hAnsi="Courier New" w:cs="Courier New" w:hint="default"/>
      </w:rPr>
    </w:lvl>
    <w:lvl w:ilvl="5" w:tplc="0C603E22" w:tentative="1">
      <w:start w:val="1"/>
      <w:numFmt w:val="bullet"/>
      <w:lvlText w:val=""/>
      <w:lvlJc w:val="left"/>
      <w:pPr>
        <w:ind w:left="4320" w:hanging="360"/>
      </w:pPr>
      <w:rPr>
        <w:rFonts w:ascii="Wingdings" w:hAnsi="Wingdings" w:hint="default"/>
      </w:rPr>
    </w:lvl>
    <w:lvl w:ilvl="6" w:tplc="023E4344" w:tentative="1">
      <w:start w:val="1"/>
      <w:numFmt w:val="bullet"/>
      <w:lvlText w:val=""/>
      <w:lvlJc w:val="left"/>
      <w:pPr>
        <w:ind w:left="5040" w:hanging="360"/>
      </w:pPr>
      <w:rPr>
        <w:rFonts w:ascii="Symbol" w:hAnsi="Symbol" w:hint="default"/>
      </w:rPr>
    </w:lvl>
    <w:lvl w:ilvl="7" w:tplc="F62CBD60" w:tentative="1">
      <w:start w:val="1"/>
      <w:numFmt w:val="bullet"/>
      <w:lvlText w:val="o"/>
      <w:lvlJc w:val="left"/>
      <w:pPr>
        <w:ind w:left="5760" w:hanging="360"/>
      </w:pPr>
      <w:rPr>
        <w:rFonts w:ascii="Courier New" w:hAnsi="Courier New" w:cs="Courier New" w:hint="default"/>
      </w:rPr>
    </w:lvl>
    <w:lvl w:ilvl="8" w:tplc="B1D6FA72" w:tentative="1">
      <w:start w:val="1"/>
      <w:numFmt w:val="bullet"/>
      <w:lvlText w:val=""/>
      <w:lvlJc w:val="left"/>
      <w:pPr>
        <w:ind w:left="6480" w:hanging="360"/>
      </w:pPr>
      <w:rPr>
        <w:rFonts w:ascii="Wingdings" w:hAnsi="Wingdings" w:hint="default"/>
      </w:rPr>
    </w:lvl>
  </w:abstractNum>
  <w:abstractNum w:abstractNumId="25" w15:restartNumberingAfterBreak="0">
    <w:nsid w:val="068D7F6A"/>
    <w:multiLevelType w:val="hybridMultilevel"/>
    <w:tmpl w:val="9B72E4E4"/>
    <w:lvl w:ilvl="0" w:tplc="9F643EB8">
      <w:start w:val="1"/>
      <w:numFmt w:val="bullet"/>
      <w:lvlText w:val=""/>
      <w:lvlJc w:val="left"/>
      <w:pPr>
        <w:tabs>
          <w:tab w:val="num" w:pos="720"/>
        </w:tabs>
        <w:ind w:left="720" w:hanging="360"/>
      </w:pPr>
      <w:rPr>
        <w:rFonts w:ascii="Symbol" w:hAnsi="Symbol" w:hint="default"/>
      </w:rPr>
    </w:lvl>
    <w:lvl w:ilvl="1" w:tplc="9F4E08CC">
      <w:numFmt w:val="bullet"/>
      <w:lvlText w:val="-"/>
      <w:lvlJc w:val="left"/>
      <w:pPr>
        <w:tabs>
          <w:tab w:val="num" w:pos="1440"/>
        </w:tabs>
        <w:ind w:left="1440" w:hanging="360"/>
      </w:pPr>
      <w:rPr>
        <w:rFonts w:ascii="Times New Roman" w:eastAsia="Times New Roman" w:hAnsi="Times New Roman" w:hint="default"/>
      </w:rPr>
    </w:lvl>
    <w:lvl w:ilvl="2" w:tplc="D6F03774" w:tentative="1">
      <w:start w:val="1"/>
      <w:numFmt w:val="bullet"/>
      <w:lvlText w:val=""/>
      <w:lvlJc w:val="left"/>
      <w:pPr>
        <w:tabs>
          <w:tab w:val="num" w:pos="2160"/>
        </w:tabs>
        <w:ind w:left="2160" w:hanging="360"/>
      </w:pPr>
      <w:rPr>
        <w:rFonts w:ascii="Wingdings" w:hAnsi="Wingdings" w:hint="default"/>
      </w:rPr>
    </w:lvl>
    <w:lvl w:ilvl="3" w:tplc="BACCCCE4" w:tentative="1">
      <w:start w:val="1"/>
      <w:numFmt w:val="bullet"/>
      <w:lvlText w:val=""/>
      <w:lvlJc w:val="left"/>
      <w:pPr>
        <w:tabs>
          <w:tab w:val="num" w:pos="2880"/>
        </w:tabs>
        <w:ind w:left="2880" w:hanging="360"/>
      </w:pPr>
      <w:rPr>
        <w:rFonts w:ascii="Symbol" w:hAnsi="Symbol" w:hint="default"/>
      </w:rPr>
    </w:lvl>
    <w:lvl w:ilvl="4" w:tplc="E2183B6E" w:tentative="1">
      <w:start w:val="1"/>
      <w:numFmt w:val="bullet"/>
      <w:lvlText w:val="o"/>
      <w:lvlJc w:val="left"/>
      <w:pPr>
        <w:tabs>
          <w:tab w:val="num" w:pos="3600"/>
        </w:tabs>
        <w:ind w:left="3600" w:hanging="360"/>
      </w:pPr>
      <w:rPr>
        <w:rFonts w:ascii="Courier New" w:hAnsi="Courier New" w:hint="default"/>
      </w:rPr>
    </w:lvl>
    <w:lvl w:ilvl="5" w:tplc="4E688518" w:tentative="1">
      <w:start w:val="1"/>
      <w:numFmt w:val="bullet"/>
      <w:lvlText w:val=""/>
      <w:lvlJc w:val="left"/>
      <w:pPr>
        <w:tabs>
          <w:tab w:val="num" w:pos="4320"/>
        </w:tabs>
        <w:ind w:left="4320" w:hanging="360"/>
      </w:pPr>
      <w:rPr>
        <w:rFonts w:ascii="Wingdings" w:hAnsi="Wingdings" w:hint="default"/>
      </w:rPr>
    </w:lvl>
    <w:lvl w:ilvl="6" w:tplc="7C321FCC" w:tentative="1">
      <w:start w:val="1"/>
      <w:numFmt w:val="bullet"/>
      <w:lvlText w:val=""/>
      <w:lvlJc w:val="left"/>
      <w:pPr>
        <w:tabs>
          <w:tab w:val="num" w:pos="5040"/>
        </w:tabs>
        <w:ind w:left="5040" w:hanging="360"/>
      </w:pPr>
      <w:rPr>
        <w:rFonts w:ascii="Symbol" w:hAnsi="Symbol" w:hint="default"/>
      </w:rPr>
    </w:lvl>
    <w:lvl w:ilvl="7" w:tplc="3508FC92" w:tentative="1">
      <w:start w:val="1"/>
      <w:numFmt w:val="bullet"/>
      <w:lvlText w:val="o"/>
      <w:lvlJc w:val="left"/>
      <w:pPr>
        <w:tabs>
          <w:tab w:val="num" w:pos="5760"/>
        </w:tabs>
        <w:ind w:left="5760" w:hanging="360"/>
      </w:pPr>
      <w:rPr>
        <w:rFonts w:ascii="Courier New" w:hAnsi="Courier New" w:hint="default"/>
      </w:rPr>
    </w:lvl>
    <w:lvl w:ilvl="8" w:tplc="166A2FA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6C55394"/>
    <w:multiLevelType w:val="hybridMultilevel"/>
    <w:tmpl w:val="5E3EF362"/>
    <w:lvl w:ilvl="0" w:tplc="E2F8FADE">
      <w:start w:val="1"/>
      <w:numFmt w:val="bullet"/>
      <w:lvlText w:val=""/>
      <w:lvlJc w:val="left"/>
      <w:pPr>
        <w:ind w:left="720" w:hanging="360"/>
      </w:pPr>
      <w:rPr>
        <w:rFonts w:ascii="Symbol" w:hAnsi="Symbol" w:hint="default"/>
      </w:rPr>
    </w:lvl>
    <w:lvl w:ilvl="1" w:tplc="985A4C30" w:tentative="1">
      <w:start w:val="1"/>
      <w:numFmt w:val="bullet"/>
      <w:lvlText w:val="o"/>
      <w:lvlJc w:val="left"/>
      <w:pPr>
        <w:ind w:left="1440" w:hanging="360"/>
      </w:pPr>
      <w:rPr>
        <w:rFonts w:ascii="Courier New" w:hAnsi="Courier New" w:cs="Courier New" w:hint="default"/>
      </w:rPr>
    </w:lvl>
    <w:lvl w:ilvl="2" w:tplc="4D9CEAFA" w:tentative="1">
      <w:start w:val="1"/>
      <w:numFmt w:val="bullet"/>
      <w:lvlText w:val=""/>
      <w:lvlJc w:val="left"/>
      <w:pPr>
        <w:ind w:left="2160" w:hanging="360"/>
      </w:pPr>
      <w:rPr>
        <w:rFonts w:ascii="Wingdings" w:hAnsi="Wingdings" w:hint="default"/>
      </w:rPr>
    </w:lvl>
    <w:lvl w:ilvl="3" w:tplc="23E0C850" w:tentative="1">
      <w:start w:val="1"/>
      <w:numFmt w:val="bullet"/>
      <w:lvlText w:val=""/>
      <w:lvlJc w:val="left"/>
      <w:pPr>
        <w:ind w:left="2880" w:hanging="360"/>
      </w:pPr>
      <w:rPr>
        <w:rFonts w:ascii="Symbol" w:hAnsi="Symbol" w:hint="default"/>
      </w:rPr>
    </w:lvl>
    <w:lvl w:ilvl="4" w:tplc="5BCE8A86" w:tentative="1">
      <w:start w:val="1"/>
      <w:numFmt w:val="bullet"/>
      <w:lvlText w:val="o"/>
      <w:lvlJc w:val="left"/>
      <w:pPr>
        <w:ind w:left="3600" w:hanging="360"/>
      </w:pPr>
      <w:rPr>
        <w:rFonts w:ascii="Courier New" w:hAnsi="Courier New" w:cs="Courier New" w:hint="default"/>
      </w:rPr>
    </w:lvl>
    <w:lvl w:ilvl="5" w:tplc="A1CEE846" w:tentative="1">
      <w:start w:val="1"/>
      <w:numFmt w:val="bullet"/>
      <w:lvlText w:val=""/>
      <w:lvlJc w:val="left"/>
      <w:pPr>
        <w:ind w:left="4320" w:hanging="360"/>
      </w:pPr>
      <w:rPr>
        <w:rFonts w:ascii="Wingdings" w:hAnsi="Wingdings" w:hint="default"/>
      </w:rPr>
    </w:lvl>
    <w:lvl w:ilvl="6" w:tplc="7F207F1E" w:tentative="1">
      <w:start w:val="1"/>
      <w:numFmt w:val="bullet"/>
      <w:lvlText w:val=""/>
      <w:lvlJc w:val="left"/>
      <w:pPr>
        <w:ind w:left="5040" w:hanging="360"/>
      </w:pPr>
      <w:rPr>
        <w:rFonts w:ascii="Symbol" w:hAnsi="Symbol" w:hint="default"/>
      </w:rPr>
    </w:lvl>
    <w:lvl w:ilvl="7" w:tplc="27C65DC4" w:tentative="1">
      <w:start w:val="1"/>
      <w:numFmt w:val="bullet"/>
      <w:lvlText w:val="o"/>
      <w:lvlJc w:val="left"/>
      <w:pPr>
        <w:ind w:left="5760" w:hanging="360"/>
      </w:pPr>
      <w:rPr>
        <w:rFonts w:ascii="Courier New" w:hAnsi="Courier New" w:cs="Courier New" w:hint="default"/>
      </w:rPr>
    </w:lvl>
    <w:lvl w:ilvl="8" w:tplc="C0C28BF2" w:tentative="1">
      <w:start w:val="1"/>
      <w:numFmt w:val="bullet"/>
      <w:lvlText w:val=""/>
      <w:lvlJc w:val="left"/>
      <w:pPr>
        <w:ind w:left="6480" w:hanging="360"/>
      </w:pPr>
      <w:rPr>
        <w:rFonts w:ascii="Wingdings" w:hAnsi="Wingdings" w:hint="default"/>
      </w:rPr>
    </w:lvl>
  </w:abstractNum>
  <w:abstractNum w:abstractNumId="27" w15:restartNumberingAfterBreak="0">
    <w:nsid w:val="07254DB4"/>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28" w15:restartNumberingAfterBreak="0">
    <w:nsid w:val="08A2665D"/>
    <w:multiLevelType w:val="hybridMultilevel"/>
    <w:tmpl w:val="FD6E1E80"/>
    <w:lvl w:ilvl="0" w:tplc="0BD41E34">
      <w:start w:val="1"/>
      <w:numFmt w:val="bullet"/>
      <w:lvlText w:val=""/>
      <w:lvlJc w:val="left"/>
      <w:pPr>
        <w:tabs>
          <w:tab w:val="num" w:pos="720"/>
        </w:tabs>
        <w:ind w:left="720" w:hanging="360"/>
      </w:pPr>
      <w:rPr>
        <w:rFonts w:ascii="Symbol" w:hAnsi="Symbol" w:hint="default"/>
      </w:rPr>
    </w:lvl>
    <w:lvl w:ilvl="1" w:tplc="138EA6E4" w:tentative="1">
      <w:start w:val="1"/>
      <w:numFmt w:val="bullet"/>
      <w:lvlText w:val="o"/>
      <w:lvlJc w:val="left"/>
      <w:pPr>
        <w:tabs>
          <w:tab w:val="num" w:pos="1440"/>
        </w:tabs>
        <w:ind w:left="1440" w:hanging="360"/>
      </w:pPr>
      <w:rPr>
        <w:rFonts w:ascii="Courier New" w:hAnsi="Courier New" w:hint="default"/>
      </w:rPr>
    </w:lvl>
    <w:lvl w:ilvl="2" w:tplc="EC02B428" w:tentative="1">
      <w:start w:val="1"/>
      <w:numFmt w:val="bullet"/>
      <w:lvlText w:val=""/>
      <w:lvlJc w:val="left"/>
      <w:pPr>
        <w:tabs>
          <w:tab w:val="num" w:pos="2160"/>
        </w:tabs>
        <w:ind w:left="2160" w:hanging="360"/>
      </w:pPr>
      <w:rPr>
        <w:rFonts w:ascii="Wingdings" w:hAnsi="Wingdings" w:hint="default"/>
      </w:rPr>
    </w:lvl>
    <w:lvl w:ilvl="3" w:tplc="169A8DA0" w:tentative="1">
      <w:start w:val="1"/>
      <w:numFmt w:val="bullet"/>
      <w:lvlText w:val=""/>
      <w:lvlJc w:val="left"/>
      <w:pPr>
        <w:tabs>
          <w:tab w:val="num" w:pos="2880"/>
        </w:tabs>
        <w:ind w:left="2880" w:hanging="360"/>
      </w:pPr>
      <w:rPr>
        <w:rFonts w:ascii="Symbol" w:hAnsi="Symbol" w:hint="default"/>
      </w:rPr>
    </w:lvl>
    <w:lvl w:ilvl="4" w:tplc="BD8A0A0A" w:tentative="1">
      <w:start w:val="1"/>
      <w:numFmt w:val="bullet"/>
      <w:lvlText w:val="o"/>
      <w:lvlJc w:val="left"/>
      <w:pPr>
        <w:tabs>
          <w:tab w:val="num" w:pos="3600"/>
        </w:tabs>
        <w:ind w:left="3600" w:hanging="360"/>
      </w:pPr>
      <w:rPr>
        <w:rFonts w:ascii="Courier New" w:hAnsi="Courier New" w:hint="default"/>
      </w:rPr>
    </w:lvl>
    <w:lvl w:ilvl="5" w:tplc="86D2B4DE" w:tentative="1">
      <w:start w:val="1"/>
      <w:numFmt w:val="bullet"/>
      <w:lvlText w:val=""/>
      <w:lvlJc w:val="left"/>
      <w:pPr>
        <w:tabs>
          <w:tab w:val="num" w:pos="4320"/>
        </w:tabs>
        <w:ind w:left="4320" w:hanging="360"/>
      </w:pPr>
      <w:rPr>
        <w:rFonts w:ascii="Wingdings" w:hAnsi="Wingdings" w:hint="default"/>
      </w:rPr>
    </w:lvl>
    <w:lvl w:ilvl="6" w:tplc="558EB84E" w:tentative="1">
      <w:start w:val="1"/>
      <w:numFmt w:val="bullet"/>
      <w:lvlText w:val=""/>
      <w:lvlJc w:val="left"/>
      <w:pPr>
        <w:tabs>
          <w:tab w:val="num" w:pos="5040"/>
        </w:tabs>
        <w:ind w:left="5040" w:hanging="360"/>
      </w:pPr>
      <w:rPr>
        <w:rFonts w:ascii="Symbol" w:hAnsi="Symbol" w:hint="default"/>
      </w:rPr>
    </w:lvl>
    <w:lvl w:ilvl="7" w:tplc="3BF22442" w:tentative="1">
      <w:start w:val="1"/>
      <w:numFmt w:val="bullet"/>
      <w:lvlText w:val="o"/>
      <w:lvlJc w:val="left"/>
      <w:pPr>
        <w:tabs>
          <w:tab w:val="num" w:pos="5760"/>
        </w:tabs>
        <w:ind w:left="5760" w:hanging="360"/>
      </w:pPr>
      <w:rPr>
        <w:rFonts w:ascii="Courier New" w:hAnsi="Courier New" w:hint="default"/>
      </w:rPr>
    </w:lvl>
    <w:lvl w:ilvl="8" w:tplc="3AC4DF4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8E617CB"/>
    <w:multiLevelType w:val="hybridMultilevel"/>
    <w:tmpl w:val="AB964C7E"/>
    <w:lvl w:ilvl="0" w:tplc="6C8A4FAE">
      <w:start w:val="1"/>
      <w:numFmt w:val="decimal"/>
      <w:lvlText w:val="%1."/>
      <w:lvlJc w:val="left"/>
      <w:pPr>
        <w:ind w:left="720" w:hanging="360"/>
      </w:pPr>
      <w:rPr>
        <w:rFonts w:hint="default"/>
      </w:rPr>
    </w:lvl>
    <w:lvl w:ilvl="1" w:tplc="41CEF19A" w:tentative="1">
      <w:start w:val="1"/>
      <w:numFmt w:val="lowerLetter"/>
      <w:lvlText w:val="%2."/>
      <w:lvlJc w:val="left"/>
      <w:pPr>
        <w:ind w:left="1440" w:hanging="360"/>
      </w:pPr>
    </w:lvl>
    <w:lvl w:ilvl="2" w:tplc="633A1D5A" w:tentative="1">
      <w:start w:val="1"/>
      <w:numFmt w:val="lowerRoman"/>
      <w:lvlText w:val="%3."/>
      <w:lvlJc w:val="right"/>
      <w:pPr>
        <w:ind w:left="2160" w:hanging="180"/>
      </w:pPr>
    </w:lvl>
    <w:lvl w:ilvl="3" w:tplc="77E059B8" w:tentative="1">
      <w:start w:val="1"/>
      <w:numFmt w:val="decimal"/>
      <w:lvlText w:val="%4."/>
      <w:lvlJc w:val="left"/>
      <w:pPr>
        <w:ind w:left="2880" w:hanging="360"/>
      </w:pPr>
    </w:lvl>
    <w:lvl w:ilvl="4" w:tplc="3A6EECE6" w:tentative="1">
      <w:start w:val="1"/>
      <w:numFmt w:val="lowerLetter"/>
      <w:lvlText w:val="%5."/>
      <w:lvlJc w:val="left"/>
      <w:pPr>
        <w:ind w:left="3600" w:hanging="360"/>
      </w:pPr>
    </w:lvl>
    <w:lvl w:ilvl="5" w:tplc="BD4A6586" w:tentative="1">
      <w:start w:val="1"/>
      <w:numFmt w:val="lowerRoman"/>
      <w:lvlText w:val="%6."/>
      <w:lvlJc w:val="right"/>
      <w:pPr>
        <w:ind w:left="4320" w:hanging="180"/>
      </w:pPr>
    </w:lvl>
    <w:lvl w:ilvl="6" w:tplc="1E423D9C" w:tentative="1">
      <w:start w:val="1"/>
      <w:numFmt w:val="decimal"/>
      <w:lvlText w:val="%7."/>
      <w:lvlJc w:val="left"/>
      <w:pPr>
        <w:ind w:left="5040" w:hanging="360"/>
      </w:pPr>
    </w:lvl>
    <w:lvl w:ilvl="7" w:tplc="0F465744" w:tentative="1">
      <w:start w:val="1"/>
      <w:numFmt w:val="lowerLetter"/>
      <w:lvlText w:val="%8."/>
      <w:lvlJc w:val="left"/>
      <w:pPr>
        <w:ind w:left="5760" w:hanging="360"/>
      </w:pPr>
    </w:lvl>
    <w:lvl w:ilvl="8" w:tplc="5B08DF52" w:tentative="1">
      <w:start w:val="1"/>
      <w:numFmt w:val="lowerRoman"/>
      <w:lvlText w:val="%9."/>
      <w:lvlJc w:val="right"/>
      <w:pPr>
        <w:ind w:left="6480" w:hanging="180"/>
      </w:pPr>
    </w:lvl>
  </w:abstractNum>
  <w:abstractNum w:abstractNumId="30" w15:restartNumberingAfterBreak="0">
    <w:nsid w:val="09233C1F"/>
    <w:multiLevelType w:val="hybridMultilevel"/>
    <w:tmpl w:val="675A731A"/>
    <w:lvl w:ilvl="0" w:tplc="1B3E7AF8">
      <w:start w:val="1"/>
      <w:numFmt w:val="bullet"/>
      <w:lvlText w:val=""/>
      <w:lvlJc w:val="left"/>
      <w:pPr>
        <w:tabs>
          <w:tab w:val="num" w:pos="720"/>
        </w:tabs>
        <w:ind w:left="720" w:hanging="360"/>
      </w:pPr>
      <w:rPr>
        <w:rFonts w:ascii="Symbol" w:hAnsi="Symbol" w:hint="default"/>
      </w:rPr>
    </w:lvl>
    <w:lvl w:ilvl="1" w:tplc="D82E0100" w:tentative="1">
      <w:start w:val="1"/>
      <w:numFmt w:val="bullet"/>
      <w:lvlText w:val="o"/>
      <w:lvlJc w:val="left"/>
      <w:pPr>
        <w:tabs>
          <w:tab w:val="num" w:pos="1440"/>
        </w:tabs>
        <w:ind w:left="1440" w:hanging="360"/>
      </w:pPr>
      <w:rPr>
        <w:rFonts w:ascii="Courier New" w:hAnsi="Courier New" w:hint="default"/>
      </w:rPr>
    </w:lvl>
    <w:lvl w:ilvl="2" w:tplc="B7249206" w:tentative="1">
      <w:start w:val="1"/>
      <w:numFmt w:val="bullet"/>
      <w:lvlText w:val=""/>
      <w:lvlJc w:val="left"/>
      <w:pPr>
        <w:tabs>
          <w:tab w:val="num" w:pos="2160"/>
        </w:tabs>
        <w:ind w:left="2160" w:hanging="360"/>
      </w:pPr>
      <w:rPr>
        <w:rFonts w:ascii="Wingdings" w:hAnsi="Wingdings" w:hint="default"/>
      </w:rPr>
    </w:lvl>
    <w:lvl w:ilvl="3" w:tplc="9DFE917E" w:tentative="1">
      <w:start w:val="1"/>
      <w:numFmt w:val="bullet"/>
      <w:lvlText w:val=""/>
      <w:lvlJc w:val="left"/>
      <w:pPr>
        <w:tabs>
          <w:tab w:val="num" w:pos="2880"/>
        </w:tabs>
        <w:ind w:left="2880" w:hanging="360"/>
      </w:pPr>
      <w:rPr>
        <w:rFonts w:ascii="Symbol" w:hAnsi="Symbol" w:hint="default"/>
      </w:rPr>
    </w:lvl>
    <w:lvl w:ilvl="4" w:tplc="174AB44C" w:tentative="1">
      <w:start w:val="1"/>
      <w:numFmt w:val="bullet"/>
      <w:lvlText w:val="o"/>
      <w:lvlJc w:val="left"/>
      <w:pPr>
        <w:tabs>
          <w:tab w:val="num" w:pos="3600"/>
        </w:tabs>
        <w:ind w:left="3600" w:hanging="360"/>
      </w:pPr>
      <w:rPr>
        <w:rFonts w:ascii="Courier New" w:hAnsi="Courier New" w:hint="default"/>
      </w:rPr>
    </w:lvl>
    <w:lvl w:ilvl="5" w:tplc="4588FB3E" w:tentative="1">
      <w:start w:val="1"/>
      <w:numFmt w:val="bullet"/>
      <w:lvlText w:val=""/>
      <w:lvlJc w:val="left"/>
      <w:pPr>
        <w:tabs>
          <w:tab w:val="num" w:pos="4320"/>
        </w:tabs>
        <w:ind w:left="4320" w:hanging="360"/>
      </w:pPr>
      <w:rPr>
        <w:rFonts w:ascii="Wingdings" w:hAnsi="Wingdings" w:hint="default"/>
      </w:rPr>
    </w:lvl>
    <w:lvl w:ilvl="6" w:tplc="26AAAF4E" w:tentative="1">
      <w:start w:val="1"/>
      <w:numFmt w:val="bullet"/>
      <w:lvlText w:val=""/>
      <w:lvlJc w:val="left"/>
      <w:pPr>
        <w:tabs>
          <w:tab w:val="num" w:pos="5040"/>
        </w:tabs>
        <w:ind w:left="5040" w:hanging="360"/>
      </w:pPr>
      <w:rPr>
        <w:rFonts w:ascii="Symbol" w:hAnsi="Symbol" w:hint="default"/>
      </w:rPr>
    </w:lvl>
    <w:lvl w:ilvl="7" w:tplc="D08ADA30" w:tentative="1">
      <w:start w:val="1"/>
      <w:numFmt w:val="bullet"/>
      <w:lvlText w:val="o"/>
      <w:lvlJc w:val="left"/>
      <w:pPr>
        <w:tabs>
          <w:tab w:val="num" w:pos="5760"/>
        </w:tabs>
        <w:ind w:left="5760" w:hanging="360"/>
      </w:pPr>
      <w:rPr>
        <w:rFonts w:ascii="Courier New" w:hAnsi="Courier New" w:hint="default"/>
      </w:rPr>
    </w:lvl>
    <w:lvl w:ilvl="8" w:tplc="FEFEF34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9C44CC1"/>
    <w:multiLevelType w:val="hybridMultilevel"/>
    <w:tmpl w:val="7FF2C56E"/>
    <w:lvl w:ilvl="0" w:tplc="0E54F982">
      <w:start w:val="1"/>
      <w:numFmt w:val="bullet"/>
      <w:lvlText w:val=""/>
      <w:lvlJc w:val="left"/>
      <w:pPr>
        <w:tabs>
          <w:tab w:val="num" w:pos="720"/>
        </w:tabs>
        <w:ind w:left="720" w:hanging="360"/>
      </w:pPr>
      <w:rPr>
        <w:rFonts w:ascii="Symbol" w:hAnsi="Symbol" w:hint="default"/>
      </w:rPr>
    </w:lvl>
    <w:lvl w:ilvl="1" w:tplc="7EE2236C" w:tentative="1">
      <w:start w:val="1"/>
      <w:numFmt w:val="bullet"/>
      <w:lvlText w:val="o"/>
      <w:lvlJc w:val="left"/>
      <w:pPr>
        <w:tabs>
          <w:tab w:val="num" w:pos="1440"/>
        </w:tabs>
        <w:ind w:left="1440" w:hanging="360"/>
      </w:pPr>
      <w:rPr>
        <w:rFonts w:ascii="Courier New" w:hAnsi="Courier New" w:hint="default"/>
      </w:rPr>
    </w:lvl>
    <w:lvl w:ilvl="2" w:tplc="64046E24" w:tentative="1">
      <w:start w:val="1"/>
      <w:numFmt w:val="bullet"/>
      <w:lvlText w:val=""/>
      <w:lvlJc w:val="left"/>
      <w:pPr>
        <w:tabs>
          <w:tab w:val="num" w:pos="2160"/>
        </w:tabs>
        <w:ind w:left="2160" w:hanging="360"/>
      </w:pPr>
      <w:rPr>
        <w:rFonts w:ascii="Wingdings" w:hAnsi="Wingdings" w:hint="default"/>
      </w:rPr>
    </w:lvl>
    <w:lvl w:ilvl="3" w:tplc="BB985274" w:tentative="1">
      <w:start w:val="1"/>
      <w:numFmt w:val="bullet"/>
      <w:lvlText w:val=""/>
      <w:lvlJc w:val="left"/>
      <w:pPr>
        <w:tabs>
          <w:tab w:val="num" w:pos="2880"/>
        </w:tabs>
        <w:ind w:left="2880" w:hanging="360"/>
      </w:pPr>
      <w:rPr>
        <w:rFonts w:ascii="Symbol" w:hAnsi="Symbol" w:hint="default"/>
      </w:rPr>
    </w:lvl>
    <w:lvl w:ilvl="4" w:tplc="C3088CA0" w:tentative="1">
      <w:start w:val="1"/>
      <w:numFmt w:val="bullet"/>
      <w:lvlText w:val="o"/>
      <w:lvlJc w:val="left"/>
      <w:pPr>
        <w:tabs>
          <w:tab w:val="num" w:pos="3600"/>
        </w:tabs>
        <w:ind w:left="3600" w:hanging="360"/>
      </w:pPr>
      <w:rPr>
        <w:rFonts w:ascii="Courier New" w:hAnsi="Courier New" w:hint="default"/>
      </w:rPr>
    </w:lvl>
    <w:lvl w:ilvl="5" w:tplc="3EBAE000" w:tentative="1">
      <w:start w:val="1"/>
      <w:numFmt w:val="bullet"/>
      <w:lvlText w:val=""/>
      <w:lvlJc w:val="left"/>
      <w:pPr>
        <w:tabs>
          <w:tab w:val="num" w:pos="4320"/>
        </w:tabs>
        <w:ind w:left="4320" w:hanging="360"/>
      </w:pPr>
      <w:rPr>
        <w:rFonts w:ascii="Wingdings" w:hAnsi="Wingdings" w:hint="default"/>
      </w:rPr>
    </w:lvl>
    <w:lvl w:ilvl="6" w:tplc="EBCA3130" w:tentative="1">
      <w:start w:val="1"/>
      <w:numFmt w:val="bullet"/>
      <w:lvlText w:val=""/>
      <w:lvlJc w:val="left"/>
      <w:pPr>
        <w:tabs>
          <w:tab w:val="num" w:pos="5040"/>
        </w:tabs>
        <w:ind w:left="5040" w:hanging="360"/>
      </w:pPr>
      <w:rPr>
        <w:rFonts w:ascii="Symbol" w:hAnsi="Symbol" w:hint="default"/>
      </w:rPr>
    </w:lvl>
    <w:lvl w:ilvl="7" w:tplc="605E7B5A" w:tentative="1">
      <w:start w:val="1"/>
      <w:numFmt w:val="bullet"/>
      <w:lvlText w:val="o"/>
      <w:lvlJc w:val="left"/>
      <w:pPr>
        <w:tabs>
          <w:tab w:val="num" w:pos="5760"/>
        </w:tabs>
        <w:ind w:left="5760" w:hanging="360"/>
      </w:pPr>
      <w:rPr>
        <w:rFonts w:ascii="Courier New" w:hAnsi="Courier New" w:hint="default"/>
      </w:rPr>
    </w:lvl>
    <w:lvl w:ilvl="8" w:tplc="AE7C3F4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9E8389A"/>
    <w:multiLevelType w:val="multilevel"/>
    <w:tmpl w:val="D27C9CE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0A0A3FF6"/>
    <w:multiLevelType w:val="hybridMultilevel"/>
    <w:tmpl w:val="F460CC4E"/>
    <w:lvl w:ilvl="0" w:tplc="22AC7EC4">
      <w:start w:val="1"/>
      <w:numFmt w:val="bullet"/>
      <w:lvlText w:val=""/>
      <w:lvlJc w:val="left"/>
      <w:pPr>
        <w:ind w:left="720" w:hanging="360"/>
      </w:pPr>
      <w:rPr>
        <w:rFonts w:ascii="Symbol" w:hAnsi="Symbol" w:hint="default"/>
      </w:rPr>
    </w:lvl>
    <w:lvl w:ilvl="1" w:tplc="C13A793E" w:tentative="1">
      <w:start w:val="1"/>
      <w:numFmt w:val="bullet"/>
      <w:lvlText w:val="o"/>
      <w:lvlJc w:val="left"/>
      <w:pPr>
        <w:ind w:left="1440" w:hanging="360"/>
      </w:pPr>
      <w:rPr>
        <w:rFonts w:ascii="Courier New" w:hAnsi="Courier New" w:cs="Courier New" w:hint="default"/>
      </w:rPr>
    </w:lvl>
    <w:lvl w:ilvl="2" w:tplc="D700A7FA" w:tentative="1">
      <w:start w:val="1"/>
      <w:numFmt w:val="bullet"/>
      <w:lvlText w:val=""/>
      <w:lvlJc w:val="left"/>
      <w:pPr>
        <w:ind w:left="2160" w:hanging="360"/>
      </w:pPr>
      <w:rPr>
        <w:rFonts w:ascii="Wingdings" w:hAnsi="Wingdings" w:hint="default"/>
      </w:rPr>
    </w:lvl>
    <w:lvl w:ilvl="3" w:tplc="B61E1A0E" w:tentative="1">
      <w:start w:val="1"/>
      <w:numFmt w:val="bullet"/>
      <w:lvlText w:val=""/>
      <w:lvlJc w:val="left"/>
      <w:pPr>
        <w:ind w:left="2880" w:hanging="360"/>
      </w:pPr>
      <w:rPr>
        <w:rFonts w:ascii="Symbol" w:hAnsi="Symbol" w:hint="default"/>
      </w:rPr>
    </w:lvl>
    <w:lvl w:ilvl="4" w:tplc="F6081D0E" w:tentative="1">
      <w:start w:val="1"/>
      <w:numFmt w:val="bullet"/>
      <w:lvlText w:val="o"/>
      <w:lvlJc w:val="left"/>
      <w:pPr>
        <w:ind w:left="3600" w:hanging="360"/>
      </w:pPr>
      <w:rPr>
        <w:rFonts w:ascii="Courier New" w:hAnsi="Courier New" w:cs="Courier New" w:hint="default"/>
      </w:rPr>
    </w:lvl>
    <w:lvl w:ilvl="5" w:tplc="152A4900" w:tentative="1">
      <w:start w:val="1"/>
      <w:numFmt w:val="bullet"/>
      <w:lvlText w:val=""/>
      <w:lvlJc w:val="left"/>
      <w:pPr>
        <w:ind w:left="4320" w:hanging="360"/>
      </w:pPr>
      <w:rPr>
        <w:rFonts w:ascii="Wingdings" w:hAnsi="Wingdings" w:hint="default"/>
      </w:rPr>
    </w:lvl>
    <w:lvl w:ilvl="6" w:tplc="FC503216" w:tentative="1">
      <w:start w:val="1"/>
      <w:numFmt w:val="bullet"/>
      <w:lvlText w:val=""/>
      <w:lvlJc w:val="left"/>
      <w:pPr>
        <w:ind w:left="5040" w:hanging="360"/>
      </w:pPr>
      <w:rPr>
        <w:rFonts w:ascii="Symbol" w:hAnsi="Symbol" w:hint="default"/>
      </w:rPr>
    </w:lvl>
    <w:lvl w:ilvl="7" w:tplc="CA5E1ADA" w:tentative="1">
      <w:start w:val="1"/>
      <w:numFmt w:val="bullet"/>
      <w:lvlText w:val="o"/>
      <w:lvlJc w:val="left"/>
      <w:pPr>
        <w:ind w:left="5760" w:hanging="360"/>
      </w:pPr>
      <w:rPr>
        <w:rFonts w:ascii="Courier New" w:hAnsi="Courier New" w:cs="Courier New" w:hint="default"/>
      </w:rPr>
    </w:lvl>
    <w:lvl w:ilvl="8" w:tplc="9B3E472E" w:tentative="1">
      <w:start w:val="1"/>
      <w:numFmt w:val="bullet"/>
      <w:lvlText w:val=""/>
      <w:lvlJc w:val="left"/>
      <w:pPr>
        <w:ind w:left="6480" w:hanging="360"/>
      </w:pPr>
      <w:rPr>
        <w:rFonts w:ascii="Wingdings" w:hAnsi="Wingdings" w:hint="default"/>
      </w:rPr>
    </w:lvl>
  </w:abstractNum>
  <w:abstractNum w:abstractNumId="34" w15:restartNumberingAfterBreak="0">
    <w:nsid w:val="0AA751FC"/>
    <w:multiLevelType w:val="multilevel"/>
    <w:tmpl w:val="FA1CBAF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0B173537"/>
    <w:multiLevelType w:val="multilevel"/>
    <w:tmpl w:val="8FB81BA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0B9F765A"/>
    <w:multiLevelType w:val="hybridMultilevel"/>
    <w:tmpl w:val="1D3CFB76"/>
    <w:lvl w:ilvl="0" w:tplc="8D94F2F4">
      <w:start w:val="1"/>
      <w:numFmt w:val="bullet"/>
      <w:lvlText w:val=""/>
      <w:lvlJc w:val="left"/>
      <w:pPr>
        <w:tabs>
          <w:tab w:val="num" w:pos="1820"/>
        </w:tabs>
        <w:ind w:left="1820" w:hanging="360"/>
      </w:pPr>
      <w:rPr>
        <w:rFonts w:ascii="Symbol" w:hAnsi="Symbol" w:hint="default"/>
      </w:rPr>
    </w:lvl>
    <w:lvl w:ilvl="1" w:tplc="1F7C2B3E" w:tentative="1">
      <w:start w:val="1"/>
      <w:numFmt w:val="bullet"/>
      <w:lvlText w:val="o"/>
      <w:lvlJc w:val="left"/>
      <w:pPr>
        <w:tabs>
          <w:tab w:val="num" w:pos="2540"/>
        </w:tabs>
        <w:ind w:left="2540" w:hanging="360"/>
      </w:pPr>
      <w:rPr>
        <w:rFonts w:ascii="Courier New" w:hAnsi="Courier New" w:hint="default"/>
      </w:rPr>
    </w:lvl>
    <w:lvl w:ilvl="2" w:tplc="4DAE6662" w:tentative="1">
      <w:start w:val="1"/>
      <w:numFmt w:val="bullet"/>
      <w:lvlText w:val=""/>
      <w:lvlJc w:val="left"/>
      <w:pPr>
        <w:tabs>
          <w:tab w:val="num" w:pos="3260"/>
        </w:tabs>
        <w:ind w:left="3260" w:hanging="360"/>
      </w:pPr>
      <w:rPr>
        <w:rFonts w:ascii="Wingdings" w:hAnsi="Wingdings" w:hint="default"/>
      </w:rPr>
    </w:lvl>
    <w:lvl w:ilvl="3" w:tplc="4E88327E" w:tentative="1">
      <w:start w:val="1"/>
      <w:numFmt w:val="bullet"/>
      <w:lvlText w:val=""/>
      <w:lvlJc w:val="left"/>
      <w:pPr>
        <w:tabs>
          <w:tab w:val="num" w:pos="3980"/>
        </w:tabs>
        <w:ind w:left="3980" w:hanging="360"/>
      </w:pPr>
      <w:rPr>
        <w:rFonts w:ascii="Symbol" w:hAnsi="Symbol" w:hint="default"/>
      </w:rPr>
    </w:lvl>
    <w:lvl w:ilvl="4" w:tplc="6956995C" w:tentative="1">
      <w:start w:val="1"/>
      <w:numFmt w:val="bullet"/>
      <w:lvlText w:val="o"/>
      <w:lvlJc w:val="left"/>
      <w:pPr>
        <w:tabs>
          <w:tab w:val="num" w:pos="4700"/>
        </w:tabs>
        <w:ind w:left="4700" w:hanging="360"/>
      </w:pPr>
      <w:rPr>
        <w:rFonts w:ascii="Courier New" w:hAnsi="Courier New" w:hint="default"/>
      </w:rPr>
    </w:lvl>
    <w:lvl w:ilvl="5" w:tplc="EFA8A6B2" w:tentative="1">
      <w:start w:val="1"/>
      <w:numFmt w:val="bullet"/>
      <w:lvlText w:val=""/>
      <w:lvlJc w:val="left"/>
      <w:pPr>
        <w:tabs>
          <w:tab w:val="num" w:pos="5420"/>
        </w:tabs>
        <w:ind w:left="5420" w:hanging="360"/>
      </w:pPr>
      <w:rPr>
        <w:rFonts w:ascii="Wingdings" w:hAnsi="Wingdings" w:hint="default"/>
      </w:rPr>
    </w:lvl>
    <w:lvl w:ilvl="6" w:tplc="68061C40" w:tentative="1">
      <w:start w:val="1"/>
      <w:numFmt w:val="bullet"/>
      <w:lvlText w:val=""/>
      <w:lvlJc w:val="left"/>
      <w:pPr>
        <w:tabs>
          <w:tab w:val="num" w:pos="6140"/>
        </w:tabs>
        <w:ind w:left="6140" w:hanging="360"/>
      </w:pPr>
      <w:rPr>
        <w:rFonts w:ascii="Symbol" w:hAnsi="Symbol" w:hint="default"/>
      </w:rPr>
    </w:lvl>
    <w:lvl w:ilvl="7" w:tplc="1730EBAA" w:tentative="1">
      <w:start w:val="1"/>
      <w:numFmt w:val="bullet"/>
      <w:lvlText w:val="o"/>
      <w:lvlJc w:val="left"/>
      <w:pPr>
        <w:tabs>
          <w:tab w:val="num" w:pos="6860"/>
        </w:tabs>
        <w:ind w:left="6860" w:hanging="360"/>
      </w:pPr>
      <w:rPr>
        <w:rFonts w:ascii="Courier New" w:hAnsi="Courier New" w:hint="default"/>
      </w:rPr>
    </w:lvl>
    <w:lvl w:ilvl="8" w:tplc="9DAA1002" w:tentative="1">
      <w:start w:val="1"/>
      <w:numFmt w:val="bullet"/>
      <w:lvlText w:val=""/>
      <w:lvlJc w:val="left"/>
      <w:pPr>
        <w:tabs>
          <w:tab w:val="num" w:pos="7580"/>
        </w:tabs>
        <w:ind w:left="7580" w:hanging="360"/>
      </w:pPr>
      <w:rPr>
        <w:rFonts w:ascii="Wingdings" w:hAnsi="Wingdings" w:hint="default"/>
      </w:rPr>
    </w:lvl>
  </w:abstractNum>
  <w:abstractNum w:abstractNumId="37" w15:restartNumberingAfterBreak="0">
    <w:nsid w:val="0C0E19AD"/>
    <w:multiLevelType w:val="hybridMultilevel"/>
    <w:tmpl w:val="62F82E72"/>
    <w:lvl w:ilvl="0" w:tplc="B2306EDE">
      <w:start w:val="1"/>
      <w:numFmt w:val="bullet"/>
      <w:lvlText w:val=""/>
      <w:lvlJc w:val="left"/>
      <w:pPr>
        <w:ind w:left="720" w:hanging="360"/>
      </w:pPr>
      <w:rPr>
        <w:rFonts w:ascii="Symbol" w:hAnsi="Symbol" w:hint="default"/>
        <w:sz w:val="22"/>
      </w:rPr>
    </w:lvl>
    <w:lvl w:ilvl="1" w:tplc="A38CC43C" w:tentative="1">
      <w:start w:val="1"/>
      <w:numFmt w:val="bullet"/>
      <w:lvlText w:val="o"/>
      <w:lvlJc w:val="left"/>
      <w:pPr>
        <w:ind w:left="1440" w:hanging="360"/>
      </w:pPr>
      <w:rPr>
        <w:rFonts w:ascii="Courier New" w:hAnsi="Courier New" w:cs="Courier New" w:hint="default"/>
      </w:rPr>
    </w:lvl>
    <w:lvl w:ilvl="2" w:tplc="AA4C9646" w:tentative="1">
      <w:start w:val="1"/>
      <w:numFmt w:val="bullet"/>
      <w:lvlText w:val=""/>
      <w:lvlJc w:val="left"/>
      <w:pPr>
        <w:ind w:left="2160" w:hanging="360"/>
      </w:pPr>
      <w:rPr>
        <w:rFonts w:ascii="Wingdings" w:hAnsi="Wingdings" w:hint="default"/>
      </w:rPr>
    </w:lvl>
    <w:lvl w:ilvl="3" w:tplc="A94C4A1A" w:tentative="1">
      <w:start w:val="1"/>
      <w:numFmt w:val="bullet"/>
      <w:lvlText w:val=""/>
      <w:lvlJc w:val="left"/>
      <w:pPr>
        <w:ind w:left="2880" w:hanging="360"/>
      </w:pPr>
      <w:rPr>
        <w:rFonts w:ascii="Symbol" w:hAnsi="Symbol" w:hint="default"/>
      </w:rPr>
    </w:lvl>
    <w:lvl w:ilvl="4" w:tplc="3014CB70" w:tentative="1">
      <w:start w:val="1"/>
      <w:numFmt w:val="bullet"/>
      <w:lvlText w:val="o"/>
      <w:lvlJc w:val="left"/>
      <w:pPr>
        <w:ind w:left="3600" w:hanging="360"/>
      </w:pPr>
      <w:rPr>
        <w:rFonts w:ascii="Courier New" w:hAnsi="Courier New" w:cs="Courier New" w:hint="default"/>
      </w:rPr>
    </w:lvl>
    <w:lvl w:ilvl="5" w:tplc="0BF06258" w:tentative="1">
      <w:start w:val="1"/>
      <w:numFmt w:val="bullet"/>
      <w:lvlText w:val=""/>
      <w:lvlJc w:val="left"/>
      <w:pPr>
        <w:ind w:left="4320" w:hanging="360"/>
      </w:pPr>
      <w:rPr>
        <w:rFonts w:ascii="Wingdings" w:hAnsi="Wingdings" w:hint="default"/>
      </w:rPr>
    </w:lvl>
    <w:lvl w:ilvl="6" w:tplc="4DFC4500" w:tentative="1">
      <w:start w:val="1"/>
      <w:numFmt w:val="bullet"/>
      <w:lvlText w:val=""/>
      <w:lvlJc w:val="left"/>
      <w:pPr>
        <w:ind w:left="5040" w:hanging="360"/>
      </w:pPr>
      <w:rPr>
        <w:rFonts w:ascii="Symbol" w:hAnsi="Symbol" w:hint="default"/>
      </w:rPr>
    </w:lvl>
    <w:lvl w:ilvl="7" w:tplc="8CD4468E" w:tentative="1">
      <w:start w:val="1"/>
      <w:numFmt w:val="bullet"/>
      <w:lvlText w:val="o"/>
      <w:lvlJc w:val="left"/>
      <w:pPr>
        <w:ind w:left="5760" w:hanging="360"/>
      </w:pPr>
      <w:rPr>
        <w:rFonts w:ascii="Courier New" w:hAnsi="Courier New" w:cs="Courier New" w:hint="default"/>
      </w:rPr>
    </w:lvl>
    <w:lvl w:ilvl="8" w:tplc="2CBA3278" w:tentative="1">
      <w:start w:val="1"/>
      <w:numFmt w:val="bullet"/>
      <w:lvlText w:val=""/>
      <w:lvlJc w:val="left"/>
      <w:pPr>
        <w:ind w:left="6480" w:hanging="360"/>
      </w:pPr>
      <w:rPr>
        <w:rFonts w:ascii="Wingdings" w:hAnsi="Wingdings" w:hint="default"/>
      </w:rPr>
    </w:lvl>
  </w:abstractNum>
  <w:abstractNum w:abstractNumId="38" w15:restartNumberingAfterBreak="0">
    <w:nsid w:val="0CF37C78"/>
    <w:multiLevelType w:val="hybridMultilevel"/>
    <w:tmpl w:val="AB067392"/>
    <w:lvl w:ilvl="0" w:tplc="E1AC1F94">
      <w:start w:val="1"/>
      <w:numFmt w:val="bullet"/>
      <w:lvlText w:val=""/>
      <w:lvlJc w:val="left"/>
      <w:pPr>
        <w:tabs>
          <w:tab w:val="num" w:pos="720"/>
        </w:tabs>
        <w:ind w:left="720" w:hanging="360"/>
      </w:pPr>
      <w:rPr>
        <w:rFonts w:ascii="Symbol" w:hAnsi="Symbol" w:hint="default"/>
      </w:rPr>
    </w:lvl>
    <w:lvl w:ilvl="1" w:tplc="F6A00714">
      <w:start w:val="1"/>
      <w:numFmt w:val="bullet"/>
      <w:lvlText w:val="o"/>
      <w:lvlJc w:val="left"/>
      <w:pPr>
        <w:tabs>
          <w:tab w:val="num" w:pos="1440"/>
        </w:tabs>
        <w:ind w:left="1440" w:hanging="360"/>
      </w:pPr>
      <w:rPr>
        <w:rFonts w:ascii="Courier New" w:hAnsi="Courier New" w:hint="default"/>
      </w:rPr>
    </w:lvl>
    <w:lvl w:ilvl="2" w:tplc="F6AEFB50">
      <w:start w:val="1"/>
      <w:numFmt w:val="bullet"/>
      <w:lvlText w:val=""/>
      <w:lvlJc w:val="left"/>
      <w:pPr>
        <w:tabs>
          <w:tab w:val="num" w:pos="2160"/>
        </w:tabs>
        <w:ind w:left="2160" w:hanging="360"/>
      </w:pPr>
      <w:rPr>
        <w:rFonts w:ascii="Wingdings" w:hAnsi="Wingdings" w:hint="default"/>
      </w:rPr>
    </w:lvl>
    <w:lvl w:ilvl="3" w:tplc="DD3028EC" w:tentative="1">
      <w:start w:val="1"/>
      <w:numFmt w:val="bullet"/>
      <w:lvlText w:val=""/>
      <w:lvlJc w:val="left"/>
      <w:pPr>
        <w:tabs>
          <w:tab w:val="num" w:pos="2880"/>
        </w:tabs>
        <w:ind w:left="2880" w:hanging="360"/>
      </w:pPr>
      <w:rPr>
        <w:rFonts w:ascii="Symbol" w:hAnsi="Symbol" w:hint="default"/>
      </w:rPr>
    </w:lvl>
    <w:lvl w:ilvl="4" w:tplc="7494C1C8" w:tentative="1">
      <w:start w:val="1"/>
      <w:numFmt w:val="bullet"/>
      <w:lvlText w:val="o"/>
      <w:lvlJc w:val="left"/>
      <w:pPr>
        <w:tabs>
          <w:tab w:val="num" w:pos="3600"/>
        </w:tabs>
        <w:ind w:left="3600" w:hanging="360"/>
      </w:pPr>
      <w:rPr>
        <w:rFonts w:ascii="Courier New" w:hAnsi="Courier New" w:hint="default"/>
      </w:rPr>
    </w:lvl>
    <w:lvl w:ilvl="5" w:tplc="AA0E4F94" w:tentative="1">
      <w:start w:val="1"/>
      <w:numFmt w:val="bullet"/>
      <w:lvlText w:val=""/>
      <w:lvlJc w:val="left"/>
      <w:pPr>
        <w:tabs>
          <w:tab w:val="num" w:pos="4320"/>
        </w:tabs>
        <w:ind w:left="4320" w:hanging="360"/>
      </w:pPr>
      <w:rPr>
        <w:rFonts w:ascii="Wingdings" w:hAnsi="Wingdings" w:hint="default"/>
      </w:rPr>
    </w:lvl>
    <w:lvl w:ilvl="6" w:tplc="4C408ED0" w:tentative="1">
      <w:start w:val="1"/>
      <w:numFmt w:val="bullet"/>
      <w:lvlText w:val=""/>
      <w:lvlJc w:val="left"/>
      <w:pPr>
        <w:tabs>
          <w:tab w:val="num" w:pos="5040"/>
        </w:tabs>
        <w:ind w:left="5040" w:hanging="360"/>
      </w:pPr>
      <w:rPr>
        <w:rFonts w:ascii="Symbol" w:hAnsi="Symbol" w:hint="default"/>
      </w:rPr>
    </w:lvl>
    <w:lvl w:ilvl="7" w:tplc="47C4766C" w:tentative="1">
      <w:start w:val="1"/>
      <w:numFmt w:val="bullet"/>
      <w:lvlText w:val="o"/>
      <w:lvlJc w:val="left"/>
      <w:pPr>
        <w:tabs>
          <w:tab w:val="num" w:pos="5760"/>
        </w:tabs>
        <w:ind w:left="5760" w:hanging="360"/>
      </w:pPr>
      <w:rPr>
        <w:rFonts w:ascii="Courier New" w:hAnsi="Courier New" w:hint="default"/>
      </w:rPr>
    </w:lvl>
    <w:lvl w:ilvl="8" w:tplc="A21820C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0D511E19"/>
    <w:multiLevelType w:val="hybridMultilevel"/>
    <w:tmpl w:val="D45C547C"/>
    <w:lvl w:ilvl="0" w:tplc="09DA3EFC">
      <w:start w:val="1"/>
      <w:numFmt w:val="bullet"/>
      <w:lvlText w:val=""/>
      <w:lvlJc w:val="left"/>
      <w:pPr>
        <w:tabs>
          <w:tab w:val="num" w:pos="720"/>
        </w:tabs>
        <w:ind w:left="720" w:hanging="360"/>
      </w:pPr>
      <w:rPr>
        <w:rFonts w:ascii="Symbol" w:hAnsi="Symbol" w:hint="default"/>
      </w:rPr>
    </w:lvl>
    <w:lvl w:ilvl="1" w:tplc="96F01A0A">
      <w:start w:val="1"/>
      <w:numFmt w:val="bullet"/>
      <w:lvlText w:val="o"/>
      <w:lvlJc w:val="left"/>
      <w:pPr>
        <w:tabs>
          <w:tab w:val="num" w:pos="1440"/>
        </w:tabs>
        <w:ind w:left="1440" w:hanging="360"/>
      </w:pPr>
      <w:rPr>
        <w:rFonts w:ascii="Courier New" w:hAnsi="Courier New" w:hint="default"/>
      </w:rPr>
    </w:lvl>
    <w:lvl w:ilvl="2" w:tplc="789EE1D0" w:tentative="1">
      <w:start w:val="1"/>
      <w:numFmt w:val="bullet"/>
      <w:lvlText w:val=""/>
      <w:lvlJc w:val="left"/>
      <w:pPr>
        <w:tabs>
          <w:tab w:val="num" w:pos="2160"/>
        </w:tabs>
        <w:ind w:left="2160" w:hanging="360"/>
      </w:pPr>
      <w:rPr>
        <w:rFonts w:ascii="Wingdings" w:hAnsi="Wingdings" w:hint="default"/>
      </w:rPr>
    </w:lvl>
    <w:lvl w:ilvl="3" w:tplc="680E7D00" w:tentative="1">
      <w:start w:val="1"/>
      <w:numFmt w:val="bullet"/>
      <w:lvlText w:val=""/>
      <w:lvlJc w:val="left"/>
      <w:pPr>
        <w:tabs>
          <w:tab w:val="num" w:pos="2880"/>
        </w:tabs>
        <w:ind w:left="2880" w:hanging="360"/>
      </w:pPr>
      <w:rPr>
        <w:rFonts w:ascii="Symbol" w:hAnsi="Symbol" w:hint="default"/>
      </w:rPr>
    </w:lvl>
    <w:lvl w:ilvl="4" w:tplc="E7D44A4A" w:tentative="1">
      <w:start w:val="1"/>
      <w:numFmt w:val="bullet"/>
      <w:lvlText w:val="o"/>
      <w:lvlJc w:val="left"/>
      <w:pPr>
        <w:tabs>
          <w:tab w:val="num" w:pos="3600"/>
        </w:tabs>
        <w:ind w:left="3600" w:hanging="360"/>
      </w:pPr>
      <w:rPr>
        <w:rFonts w:ascii="Courier New" w:hAnsi="Courier New" w:hint="default"/>
      </w:rPr>
    </w:lvl>
    <w:lvl w:ilvl="5" w:tplc="8A94D98A" w:tentative="1">
      <w:start w:val="1"/>
      <w:numFmt w:val="bullet"/>
      <w:lvlText w:val=""/>
      <w:lvlJc w:val="left"/>
      <w:pPr>
        <w:tabs>
          <w:tab w:val="num" w:pos="4320"/>
        </w:tabs>
        <w:ind w:left="4320" w:hanging="360"/>
      </w:pPr>
      <w:rPr>
        <w:rFonts w:ascii="Wingdings" w:hAnsi="Wingdings" w:hint="default"/>
      </w:rPr>
    </w:lvl>
    <w:lvl w:ilvl="6" w:tplc="FF2824BC" w:tentative="1">
      <w:start w:val="1"/>
      <w:numFmt w:val="bullet"/>
      <w:lvlText w:val=""/>
      <w:lvlJc w:val="left"/>
      <w:pPr>
        <w:tabs>
          <w:tab w:val="num" w:pos="5040"/>
        </w:tabs>
        <w:ind w:left="5040" w:hanging="360"/>
      </w:pPr>
      <w:rPr>
        <w:rFonts w:ascii="Symbol" w:hAnsi="Symbol" w:hint="default"/>
      </w:rPr>
    </w:lvl>
    <w:lvl w:ilvl="7" w:tplc="ADAC4A56" w:tentative="1">
      <w:start w:val="1"/>
      <w:numFmt w:val="bullet"/>
      <w:lvlText w:val="o"/>
      <w:lvlJc w:val="left"/>
      <w:pPr>
        <w:tabs>
          <w:tab w:val="num" w:pos="5760"/>
        </w:tabs>
        <w:ind w:left="5760" w:hanging="360"/>
      </w:pPr>
      <w:rPr>
        <w:rFonts w:ascii="Courier New" w:hAnsi="Courier New" w:hint="default"/>
      </w:rPr>
    </w:lvl>
    <w:lvl w:ilvl="8" w:tplc="4D66A79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E312C9F"/>
    <w:multiLevelType w:val="multilevel"/>
    <w:tmpl w:val="985ED0C2"/>
    <w:lvl w:ilvl="0">
      <w:start w:val="1"/>
      <w:numFmt w:val="bullet"/>
      <w:lvlText w:val=""/>
      <w:lvlJc w:val="left"/>
      <w:pPr>
        <w:ind w:left="720" w:hanging="360"/>
      </w:pPr>
      <w:rPr>
        <w:rFonts w:ascii="Symbol" w:hAnsi="Symbol" w:hint="default"/>
        <w:b w:val="0"/>
        <w:i w:val="0"/>
        <w:color w:val="auto"/>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41" w15:restartNumberingAfterBreak="0">
    <w:nsid w:val="0E8F4516"/>
    <w:multiLevelType w:val="hybridMultilevel"/>
    <w:tmpl w:val="86A872A4"/>
    <w:lvl w:ilvl="0" w:tplc="E79A838C">
      <w:start w:val="1"/>
      <w:numFmt w:val="lowerLetter"/>
      <w:lvlText w:val="%1"/>
      <w:lvlJc w:val="left"/>
      <w:pPr>
        <w:ind w:left="720" w:hanging="360"/>
      </w:pPr>
      <w:rPr>
        <w:rFonts w:hint="default"/>
        <w:sz w:val="16"/>
        <w:szCs w:val="16"/>
        <w:vertAlign w:val="superscript"/>
      </w:rPr>
    </w:lvl>
    <w:lvl w:ilvl="1" w:tplc="EF6A6282" w:tentative="1">
      <w:start w:val="1"/>
      <w:numFmt w:val="lowerLetter"/>
      <w:lvlText w:val="%2."/>
      <w:lvlJc w:val="left"/>
      <w:pPr>
        <w:ind w:left="1440" w:hanging="360"/>
      </w:pPr>
    </w:lvl>
    <w:lvl w:ilvl="2" w:tplc="A4746A70" w:tentative="1">
      <w:start w:val="1"/>
      <w:numFmt w:val="lowerRoman"/>
      <w:lvlText w:val="%3."/>
      <w:lvlJc w:val="right"/>
      <w:pPr>
        <w:ind w:left="2160" w:hanging="180"/>
      </w:pPr>
    </w:lvl>
    <w:lvl w:ilvl="3" w:tplc="D2083A24" w:tentative="1">
      <w:start w:val="1"/>
      <w:numFmt w:val="decimal"/>
      <w:lvlText w:val="%4."/>
      <w:lvlJc w:val="left"/>
      <w:pPr>
        <w:ind w:left="2880" w:hanging="360"/>
      </w:pPr>
    </w:lvl>
    <w:lvl w:ilvl="4" w:tplc="E2B25C1E" w:tentative="1">
      <w:start w:val="1"/>
      <w:numFmt w:val="lowerLetter"/>
      <w:lvlText w:val="%5."/>
      <w:lvlJc w:val="left"/>
      <w:pPr>
        <w:ind w:left="3600" w:hanging="360"/>
      </w:pPr>
    </w:lvl>
    <w:lvl w:ilvl="5" w:tplc="660AE360" w:tentative="1">
      <w:start w:val="1"/>
      <w:numFmt w:val="lowerRoman"/>
      <w:lvlText w:val="%6."/>
      <w:lvlJc w:val="right"/>
      <w:pPr>
        <w:ind w:left="4320" w:hanging="180"/>
      </w:pPr>
    </w:lvl>
    <w:lvl w:ilvl="6" w:tplc="7234A44E" w:tentative="1">
      <w:start w:val="1"/>
      <w:numFmt w:val="decimal"/>
      <w:lvlText w:val="%7."/>
      <w:lvlJc w:val="left"/>
      <w:pPr>
        <w:ind w:left="5040" w:hanging="360"/>
      </w:pPr>
    </w:lvl>
    <w:lvl w:ilvl="7" w:tplc="D17C0518" w:tentative="1">
      <w:start w:val="1"/>
      <w:numFmt w:val="lowerLetter"/>
      <w:lvlText w:val="%8."/>
      <w:lvlJc w:val="left"/>
      <w:pPr>
        <w:ind w:left="5760" w:hanging="360"/>
      </w:pPr>
    </w:lvl>
    <w:lvl w:ilvl="8" w:tplc="D6D4097A" w:tentative="1">
      <w:start w:val="1"/>
      <w:numFmt w:val="lowerRoman"/>
      <w:lvlText w:val="%9."/>
      <w:lvlJc w:val="right"/>
      <w:pPr>
        <w:ind w:left="6480" w:hanging="180"/>
      </w:pPr>
    </w:lvl>
  </w:abstractNum>
  <w:abstractNum w:abstractNumId="42" w15:restartNumberingAfterBreak="0">
    <w:nsid w:val="0E9175C1"/>
    <w:multiLevelType w:val="hybridMultilevel"/>
    <w:tmpl w:val="C48E00B8"/>
    <w:lvl w:ilvl="0" w:tplc="24845E82">
      <w:start w:val="1"/>
      <w:numFmt w:val="bullet"/>
      <w:lvlText w:val=""/>
      <w:lvlJc w:val="left"/>
      <w:pPr>
        <w:ind w:left="720" w:hanging="360"/>
      </w:pPr>
      <w:rPr>
        <w:rFonts w:ascii="Symbol" w:hAnsi="Symbol" w:hint="default"/>
        <w:sz w:val="22"/>
      </w:rPr>
    </w:lvl>
    <w:lvl w:ilvl="1" w:tplc="28EC63BA" w:tentative="1">
      <w:start w:val="1"/>
      <w:numFmt w:val="bullet"/>
      <w:lvlText w:val="o"/>
      <w:lvlJc w:val="left"/>
      <w:pPr>
        <w:ind w:left="1440" w:hanging="360"/>
      </w:pPr>
      <w:rPr>
        <w:rFonts w:ascii="Courier New" w:hAnsi="Courier New" w:cs="Courier New" w:hint="default"/>
      </w:rPr>
    </w:lvl>
    <w:lvl w:ilvl="2" w:tplc="5F2ECF82" w:tentative="1">
      <w:start w:val="1"/>
      <w:numFmt w:val="bullet"/>
      <w:lvlText w:val=""/>
      <w:lvlJc w:val="left"/>
      <w:pPr>
        <w:ind w:left="2160" w:hanging="360"/>
      </w:pPr>
      <w:rPr>
        <w:rFonts w:ascii="Wingdings" w:hAnsi="Wingdings" w:hint="default"/>
      </w:rPr>
    </w:lvl>
    <w:lvl w:ilvl="3" w:tplc="4E740E68" w:tentative="1">
      <w:start w:val="1"/>
      <w:numFmt w:val="bullet"/>
      <w:lvlText w:val=""/>
      <w:lvlJc w:val="left"/>
      <w:pPr>
        <w:ind w:left="2880" w:hanging="360"/>
      </w:pPr>
      <w:rPr>
        <w:rFonts w:ascii="Symbol" w:hAnsi="Symbol" w:hint="default"/>
      </w:rPr>
    </w:lvl>
    <w:lvl w:ilvl="4" w:tplc="22A09C26" w:tentative="1">
      <w:start w:val="1"/>
      <w:numFmt w:val="bullet"/>
      <w:lvlText w:val="o"/>
      <w:lvlJc w:val="left"/>
      <w:pPr>
        <w:ind w:left="3600" w:hanging="360"/>
      </w:pPr>
      <w:rPr>
        <w:rFonts w:ascii="Courier New" w:hAnsi="Courier New" w:cs="Courier New" w:hint="default"/>
      </w:rPr>
    </w:lvl>
    <w:lvl w:ilvl="5" w:tplc="07DCD1A8" w:tentative="1">
      <w:start w:val="1"/>
      <w:numFmt w:val="bullet"/>
      <w:lvlText w:val=""/>
      <w:lvlJc w:val="left"/>
      <w:pPr>
        <w:ind w:left="4320" w:hanging="360"/>
      </w:pPr>
      <w:rPr>
        <w:rFonts w:ascii="Wingdings" w:hAnsi="Wingdings" w:hint="default"/>
      </w:rPr>
    </w:lvl>
    <w:lvl w:ilvl="6" w:tplc="AD0C2510" w:tentative="1">
      <w:start w:val="1"/>
      <w:numFmt w:val="bullet"/>
      <w:lvlText w:val=""/>
      <w:lvlJc w:val="left"/>
      <w:pPr>
        <w:ind w:left="5040" w:hanging="360"/>
      </w:pPr>
      <w:rPr>
        <w:rFonts w:ascii="Symbol" w:hAnsi="Symbol" w:hint="default"/>
      </w:rPr>
    </w:lvl>
    <w:lvl w:ilvl="7" w:tplc="4BCE94DA" w:tentative="1">
      <w:start w:val="1"/>
      <w:numFmt w:val="bullet"/>
      <w:lvlText w:val="o"/>
      <w:lvlJc w:val="left"/>
      <w:pPr>
        <w:ind w:left="5760" w:hanging="360"/>
      </w:pPr>
      <w:rPr>
        <w:rFonts w:ascii="Courier New" w:hAnsi="Courier New" w:cs="Courier New" w:hint="default"/>
      </w:rPr>
    </w:lvl>
    <w:lvl w:ilvl="8" w:tplc="E000E298" w:tentative="1">
      <w:start w:val="1"/>
      <w:numFmt w:val="bullet"/>
      <w:lvlText w:val=""/>
      <w:lvlJc w:val="left"/>
      <w:pPr>
        <w:ind w:left="6480" w:hanging="360"/>
      </w:pPr>
      <w:rPr>
        <w:rFonts w:ascii="Wingdings" w:hAnsi="Wingdings" w:hint="default"/>
      </w:rPr>
    </w:lvl>
  </w:abstractNum>
  <w:abstractNum w:abstractNumId="43" w15:restartNumberingAfterBreak="0">
    <w:nsid w:val="10A53695"/>
    <w:multiLevelType w:val="hybridMultilevel"/>
    <w:tmpl w:val="3E34AF3C"/>
    <w:lvl w:ilvl="0" w:tplc="374E36D6">
      <w:start w:val="1"/>
      <w:numFmt w:val="bullet"/>
      <w:lvlText w:val=""/>
      <w:lvlJc w:val="left"/>
      <w:pPr>
        <w:ind w:left="720" w:hanging="360"/>
      </w:pPr>
      <w:rPr>
        <w:rFonts w:ascii="Symbol" w:hAnsi="Symbol" w:hint="default"/>
      </w:rPr>
    </w:lvl>
    <w:lvl w:ilvl="1" w:tplc="22FEEDA8" w:tentative="1">
      <w:start w:val="1"/>
      <w:numFmt w:val="bullet"/>
      <w:lvlText w:val="o"/>
      <w:lvlJc w:val="left"/>
      <w:pPr>
        <w:ind w:left="1440" w:hanging="360"/>
      </w:pPr>
      <w:rPr>
        <w:rFonts w:ascii="Courier New" w:hAnsi="Courier New" w:cs="Courier New" w:hint="default"/>
      </w:rPr>
    </w:lvl>
    <w:lvl w:ilvl="2" w:tplc="DCB6C99C" w:tentative="1">
      <w:start w:val="1"/>
      <w:numFmt w:val="bullet"/>
      <w:lvlText w:val=""/>
      <w:lvlJc w:val="left"/>
      <w:pPr>
        <w:ind w:left="2160" w:hanging="360"/>
      </w:pPr>
      <w:rPr>
        <w:rFonts w:ascii="Wingdings" w:hAnsi="Wingdings" w:hint="default"/>
      </w:rPr>
    </w:lvl>
    <w:lvl w:ilvl="3" w:tplc="F5624D7A" w:tentative="1">
      <w:start w:val="1"/>
      <w:numFmt w:val="bullet"/>
      <w:lvlText w:val=""/>
      <w:lvlJc w:val="left"/>
      <w:pPr>
        <w:ind w:left="2880" w:hanging="360"/>
      </w:pPr>
      <w:rPr>
        <w:rFonts w:ascii="Symbol" w:hAnsi="Symbol" w:hint="default"/>
      </w:rPr>
    </w:lvl>
    <w:lvl w:ilvl="4" w:tplc="A81A7DAE" w:tentative="1">
      <w:start w:val="1"/>
      <w:numFmt w:val="bullet"/>
      <w:lvlText w:val="o"/>
      <w:lvlJc w:val="left"/>
      <w:pPr>
        <w:ind w:left="3600" w:hanging="360"/>
      </w:pPr>
      <w:rPr>
        <w:rFonts w:ascii="Courier New" w:hAnsi="Courier New" w:cs="Courier New" w:hint="default"/>
      </w:rPr>
    </w:lvl>
    <w:lvl w:ilvl="5" w:tplc="F7FE903E" w:tentative="1">
      <w:start w:val="1"/>
      <w:numFmt w:val="bullet"/>
      <w:lvlText w:val=""/>
      <w:lvlJc w:val="left"/>
      <w:pPr>
        <w:ind w:left="4320" w:hanging="360"/>
      </w:pPr>
      <w:rPr>
        <w:rFonts w:ascii="Wingdings" w:hAnsi="Wingdings" w:hint="default"/>
      </w:rPr>
    </w:lvl>
    <w:lvl w:ilvl="6" w:tplc="1D165726" w:tentative="1">
      <w:start w:val="1"/>
      <w:numFmt w:val="bullet"/>
      <w:lvlText w:val=""/>
      <w:lvlJc w:val="left"/>
      <w:pPr>
        <w:ind w:left="5040" w:hanging="360"/>
      </w:pPr>
      <w:rPr>
        <w:rFonts w:ascii="Symbol" w:hAnsi="Symbol" w:hint="default"/>
      </w:rPr>
    </w:lvl>
    <w:lvl w:ilvl="7" w:tplc="D632D5F8" w:tentative="1">
      <w:start w:val="1"/>
      <w:numFmt w:val="bullet"/>
      <w:lvlText w:val="o"/>
      <w:lvlJc w:val="left"/>
      <w:pPr>
        <w:ind w:left="5760" w:hanging="360"/>
      </w:pPr>
      <w:rPr>
        <w:rFonts w:ascii="Courier New" w:hAnsi="Courier New" w:cs="Courier New" w:hint="default"/>
      </w:rPr>
    </w:lvl>
    <w:lvl w:ilvl="8" w:tplc="4A0AF82C" w:tentative="1">
      <w:start w:val="1"/>
      <w:numFmt w:val="bullet"/>
      <w:lvlText w:val=""/>
      <w:lvlJc w:val="left"/>
      <w:pPr>
        <w:ind w:left="6480" w:hanging="360"/>
      </w:pPr>
      <w:rPr>
        <w:rFonts w:ascii="Wingdings" w:hAnsi="Wingdings" w:hint="default"/>
      </w:rPr>
    </w:lvl>
  </w:abstractNum>
  <w:abstractNum w:abstractNumId="44" w15:restartNumberingAfterBreak="0">
    <w:nsid w:val="117615F6"/>
    <w:multiLevelType w:val="hybridMultilevel"/>
    <w:tmpl w:val="53EC11D0"/>
    <w:lvl w:ilvl="0" w:tplc="0332DE14">
      <w:start w:val="1"/>
      <w:numFmt w:val="bullet"/>
      <w:lvlText w:val=""/>
      <w:lvlJc w:val="left"/>
      <w:pPr>
        <w:ind w:left="1854" w:hanging="360"/>
      </w:pPr>
      <w:rPr>
        <w:rFonts w:ascii="Symbol" w:hAnsi="Symbol" w:hint="default"/>
      </w:rPr>
    </w:lvl>
    <w:lvl w:ilvl="1" w:tplc="67B28804" w:tentative="1">
      <w:start w:val="1"/>
      <w:numFmt w:val="bullet"/>
      <w:lvlText w:val="o"/>
      <w:lvlJc w:val="left"/>
      <w:pPr>
        <w:ind w:left="2574" w:hanging="360"/>
      </w:pPr>
      <w:rPr>
        <w:rFonts w:ascii="Courier New" w:hAnsi="Courier New" w:cs="Courier New" w:hint="default"/>
      </w:rPr>
    </w:lvl>
    <w:lvl w:ilvl="2" w:tplc="8F5E6E88" w:tentative="1">
      <w:start w:val="1"/>
      <w:numFmt w:val="bullet"/>
      <w:lvlText w:val=""/>
      <w:lvlJc w:val="left"/>
      <w:pPr>
        <w:ind w:left="3294" w:hanging="360"/>
      </w:pPr>
      <w:rPr>
        <w:rFonts w:ascii="Wingdings" w:hAnsi="Wingdings" w:hint="default"/>
      </w:rPr>
    </w:lvl>
    <w:lvl w:ilvl="3" w:tplc="D9366A8A" w:tentative="1">
      <w:start w:val="1"/>
      <w:numFmt w:val="bullet"/>
      <w:lvlText w:val=""/>
      <w:lvlJc w:val="left"/>
      <w:pPr>
        <w:ind w:left="4014" w:hanging="360"/>
      </w:pPr>
      <w:rPr>
        <w:rFonts w:ascii="Symbol" w:hAnsi="Symbol" w:hint="default"/>
      </w:rPr>
    </w:lvl>
    <w:lvl w:ilvl="4" w:tplc="8ADEF9E2" w:tentative="1">
      <w:start w:val="1"/>
      <w:numFmt w:val="bullet"/>
      <w:lvlText w:val="o"/>
      <w:lvlJc w:val="left"/>
      <w:pPr>
        <w:ind w:left="4734" w:hanging="360"/>
      </w:pPr>
      <w:rPr>
        <w:rFonts w:ascii="Courier New" w:hAnsi="Courier New" w:cs="Courier New" w:hint="default"/>
      </w:rPr>
    </w:lvl>
    <w:lvl w:ilvl="5" w:tplc="EEE68BFC" w:tentative="1">
      <w:start w:val="1"/>
      <w:numFmt w:val="bullet"/>
      <w:lvlText w:val=""/>
      <w:lvlJc w:val="left"/>
      <w:pPr>
        <w:ind w:left="5454" w:hanging="360"/>
      </w:pPr>
      <w:rPr>
        <w:rFonts w:ascii="Wingdings" w:hAnsi="Wingdings" w:hint="default"/>
      </w:rPr>
    </w:lvl>
    <w:lvl w:ilvl="6" w:tplc="B10A818C" w:tentative="1">
      <w:start w:val="1"/>
      <w:numFmt w:val="bullet"/>
      <w:lvlText w:val=""/>
      <w:lvlJc w:val="left"/>
      <w:pPr>
        <w:ind w:left="6174" w:hanging="360"/>
      </w:pPr>
      <w:rPr>
        <w:rFonts w:ascii="Symbol" w:hAnsi="Symbol" w:hint="default"/>
      </w:rPr>
    </w:lvl>
    <w:lvl w:ilvl="7" w:tplc="6FD6088E" w:tentative="1">
      <w:start w:val="1"/>
      <w:numFmt w:val="bullet"/>
      <w:lvlText w:val="o"/>
      <w:lvlJc w:val="left"/>
      <w:pPr>
        <w:ind w:left="6894" w:hanging="360"/>
      </w:pPr>
      <w:rPr>
        <w:rFonts w:ascii="Courier New" w:hAnsi="Courier New" w:cs="Courier New" w:hint="default"/>
      </w:rPr>
    </w:lvl>
    <w:lvl w:ilvl="8" w:tplc="827E99CC" w:tentative="1">
      <w:start w:val="1"/>
      <w:numFmt w:val="bullet"/>
      <w:lvlText w:val=""/>
      <w:lvlJc w:val="left"/>
      <w:pPr>
        <w:ind w:left="7614" w:hanging="360"/>
      </w:pPr>
      <w:rPr>
        <w:rFonts w:ascii="Wingdings" w:hAnsi="Wingdings" w:hint="default"/>
      </w:rPr>
    </w:lvl>
  </w:abstractNum>
  <w:abstractNum w:abstractNumId="45" w15:restartNumberingAfterBreak="0">
    <w:nsid w:val="136D6451"/>
    <w:multiLevelType w:val="singleLevel"/>
    <w:tmpl w:val="130E436E"/>
    <w:lvl w:ilvl="0">
      <w:start w:val="1"/>
      <w:numFmt w:val="lowerLetter"/>
      <w:lvlText w:val="%1"/>
      <w:lvlJc w:val="left"/>
      <w:pPr>
        <w:ind w:left="360" w:hanging="360"/>
      </w:pPr>
      <w:rPr>
        <w:rFonts w:ascii="Times New Roman" w:hAnsi="Times New Roman" w:cs="Times New Roman" w:hint="default"/>
        <w:b w:val="0"/>
        <w:i w:val="0"/>
        <w:caps w:val="0"/>
        <w:sz w:val="22"/>
        <w:szCs w:val="22"/>
        <w:u w:val="none"/>
        <w:vertAlign w:val="superscript"/>
      </w:rPr>
    </w:lvl>
  </w:abstractNum>
  <w:abstractNum w:abstractNumId="46" w15:restartNumberingAfterBreak="0">
    <w:nsid w:val="13F9596B"/>
    <w:multiLevelType w:val="hybridMultilevel"/>
    <w:tmpl w:val="39C6BA0C"/>
    <w:lvl w:ilvl="0" w:tplc="A1386B38">
      <w:start w:val="1"/>
      <w:numFmt w:val="bullet"/>
      <w:lvlText w:val=""/>
      <w:lvlJc w:val="left"/>
      <w:pPr>
        <w:tabs>
          <w:tab w:val="num" w:pos="1287"/>
        </w:tabs>
        <w:ind w:left="1287" w:hanging="360"/>
      </w:pPr>
      <w:rPr>
        <w:rFonts w:ascii="Symbol" w:hAnsi="Symbol" w:hint="default"/>
      </w:rPr>
    </w:lvl>
    <w:lvl w:ilvl="1" w:tplc="C23E6DE2">
      <w:start w:val="1"/>
      <w:numFmt w:val="bullet"/>
      <w:lvlText w:val="o"/>
      <w:lvlJc w:val="left"/>
      <w:pPr>
        <w:tabs>
          <w:tab w:val="num" w:pos="2007"/>
        </w:tabs>
        <w:ind w:left="2007" w:hanging="360"/>
      </w:pPr>
      <w:rPr>
        <w:rFonts w:ascii="Courier New" w:hAnsi="Courier New" w:cs="Courier New" w:hint="default"/>
      </w:rPr>
    </w:lvl>
    <w:lvl w:ilvl="2" w:tplc="E292785C" w:tentative="1">
      <w:start w:val="1"/>
      <w:numFmt w:val="bullet"/>
      <w:lvlText w:val=""/>
      <w:lvlJc w:val="left"/>
      <w:pPr>
        <w:tabs>
          <w:tab w:val="num" w:pos="2727"/>
        </w:tabs>
        <w:ind w:left="2727" w:hanging="360"/>
      </w:pPr>
      <w:rPr>
        <w:rFonts w:ascii="Wingdings" w:hAnsi="Wingdings" w:hint="default"/>
      </w:rPr>
    </w:lvl>
    <w:lvl w:ilvl="3" w:tplc="E3364060" w:tentative="1">
      <w:start w:val="1"/>
      <w:numFmt w:val="bullet"/>
      <w:lvlText w:val=""/>
      <w:lvlJc w:val="left"/>
      <w:pPr>
        <w:tabs>
          <w:tab w:val="num" w:pos="3447"/>
        </w:tabs>
        <w:ind w:left="3447" w:hanging="360"/>
      </w:pPr>
      <w:rPr>
        <w:rFonts w:ascii="Symbol" w:hAnsi="Symbol" w:hint="default"/>
      </w:rPr>
    </w:lvl>
    <w:lvl w:ilvl="4" w:tplc="F6C6B430" w:tentative="1">
      <w:start w:val="1"/>
      <w:numFmt w:val="bullet"/>
      <w:lvlText w:val="o"/>
      <w:lvlJc w:val="left"/>
      <w:pPr>
        <w:tabs>
          <w:tab w:val="num" w:pos="4167"/>
        </w:tabs>
        <w:ind w:left="4167" w:hanging="360"/>
      </w:pPr>
      <w:rPr>
        <w:rFonts w:ascii="Courier New" w:hAnsi="Courier New" w:cs="Courier New" w:hint="default"/>
      </w:rPr>
    </w:lvl>
    <w:lvl w:ilvl="5" w:tplc="42BA593A" w:tentative="1">
      <w:start w:val="1"/>
      <w:numFmt w:val="bullet"/>
      <w:lvlText w:val=""/>
      <w:lvlJc w:val="left"/>
      <w:pPr>
        <w:tabs>
          <w:tab w:val="num" w:pos="4887"/>
        </w:tabs>
        <w:ind w:left="4887" w:hanging="360"/>
      </w:pPr>
      <w:rPr>
        <w:rFonts w:ascii="Wingdings" w:hAnsi="Wingdings" w:hint="default"/>
      </w:rPr>
    </w:lvl>
    <w:lvl w:ilvl="6" w:tplc="9634C924" w:tentative="1">
      <w:start w:val="1"/>
      <w:numFmt w:val="bullet"/>
      <w:lvlText w:val=""/>
      <w:lvlJc w:val="left"/>
      <w:pPr>
        <w:tabs>
          <w:tab w:val="num" w:pos="5607"/>
        </w:tabs>
        <w:ind w:left="5607" w:hanging="360"/>
      </w:pPr>
      <w:rPr>
        <w:rFonts w:ascii="Symbol" w:hAnsi="Symbol" w:hint="default"/>
      </w:rPr>
    </w:lvl>
    <w:lvl w:ilvl="7" w:tplc="05D04824" w:tentative="1">
      <w:start w:val="1"/>
      <w:numFmt w:val="bullet"/>
      <w:lvlText w:val="o"/>
      <w:lvlJc w:val="left"/>
      <w:pPr>
        <w:tabs>
          <w:tab w:val="num" w:pos="6327"/>
        </w:tabs>
        <w:ind w:left="6327" w:hanging="360"/>
      </w:pPr>
      <w:rPr>
        <w:rFonts w:ascii="Courier New" w:hAnsi="Courier New" w:cs="Courier New" w:hint="default"/>
      </w:rPr>
    </w:lvl>
    <w:lvl w:ilvl="8" w:tplc="1BE814A0" w:tentative="1">
      <w:start w:val="1"/>
      <w:numFmt w:val="bullet"/>
      <w:lvlText w:val=""/>
      <w:lvlJc w:val="left"/>
      <w:pPr>
        <w:tabs>
          <w:tab w:val="num" w:pos="7047"/>
        </w:tabs>
        <w:ind w:left="7047" w:hanging="360"/>
      </w:pPr>
      <w:rPr>
        <w:rFonts w:ascii="Wingdings" w:hAnsi="Wingdings" w:hint="default"/>
      </w:rPr>
    </w:lvl>
  </w:abstractNum>
  <w:abstractNum w:abstractNumId="47" w15:restartNumberingAfterBreak="0">
    <w:nsid w:val="152C6FA0"/>
    <w:multiLevelType w:val="hybridMultilevel"/>
    <w:tmpl w:val="37DC5F10"/>
    <w:lvl w:ilvl="0" w:tplc="B9E2B208">
      <w:start w:val="1"/>
      <w:numFmt w:val="bullet"/>
      <w:lvlText w:val=""/>
      <w:lvlJc w:val="left"/>
      <w:pPr>
        <w:ind w:left="720" w:hanging="360"/>
      </w:pPr>
      <w:rPr>
        <w:rFonts w:ascii="Symbol" w:hAnsi="Symbol" w:hint="default"/>
      </w:rPr>
    </w:lvl>
    <w:lvl w:ilvl="1" w:tplc="58784802" w:tentative="1">
      <w:start w:val="1"/>
      <w:numFmt w:val="bullet"/>
      <w:lvlText w:val="o"/>
      <w:lvlJc w:val="left"/>
      <w:pPr>
        <w:ind w:left="1440" w:hanging="360"/>
      </w:pPr>
      <w:rPr>
        <w:rFonts w:ascii="Courier New" w:hAnsi="Courier New" w:cs="Courier New" w:hint="default"/>
      </w:rPr>
    </w:lvl>
    <w:lvl w:ilvl="2" w:tplc="CFC4353E" w:tentative="1">
      <w:start w:val="1"/>
      <w:numFmt w:val="bullet"/>
      <w:lvlText w:val=""/>
      <w:lvlJc w:val="left"/>
      <w:pPr>
        <w:ind w:left="2160" w:hanging="360"/>
      </w:pPr>
      <w:rPr>
        <w:rFonts w:ascii="Wingdings" w:hAnsi="Wingdings" w:hint="default"/>
      </w:rPr>
    </w:lvl>
    <w:lvl w:ilvl="3" w:tplc="FD901238" w:tentative="1">
      <w:start w:val="1"/>
      <w:numFmt w:val="bullet"/>
      <w:lvlText w:val=""/>
      <w:lvlJc w:val="left"/>
      <w:pPr>
        <w:ind w:left="2880" w:hanging="360"/>
      </w:pPr>
      <w:rPr>
        <w:rFonts w:ascii="Symbol" w:hAnsi="Symbol" w:hint="default"/>
      </w:rPr>
    </w:lvl>
    <w:lvl w:ilvl="4" w:tplc="4C443D6E" w:tentative="1">
      <w:start w:val="1"/>
      <w:numFmt w:val="bullet"/>
      <w:lvlText w:val="o"/>
      <w:lvlJc w:val="left"/>
      <w:pPr>
        <w:ind w:left="3600" w:hanging="360"/>
      </w:pPr>
      <w:rPr>
        <w:rFonts w:ascii="Courier New" w:hAnsi="Courier New" w:cs="Courier New" w:hint="default"/>
      </w:rPr>
    </w:lvl>
    <w:lvl w:ilvl="5" w:tplc="F96E8208" w:tentative="1">
      <w:start w:val="1"/>
      <w:numFmt w:val="bullet"/>
      <w:lvlText w:val=""/>
      <w:lvlJc w:val="left"/>
      <w:pPr>
        <w:ind w:left="4320" w:hanging="360"/>
      </w:pPr>
      <w:rPr>
        <w:rFonts w:ascii="Wingdings" w:hAnsi="Wingdings" w:hint="default"/>
      </w:rPr>
    </w:lvl>
    <w:lvl w:ilvl="6" w:tplc="E5F21D84" w:tentative="1">
      <w:start w:val="1"/>
      <w:numFmt w:val="bullet"/>
      <w:lvlText w:val=""/>
      <w:lvlJc w:val="left"/>
      <w:pPr>
        <w:ind w:left="5040" w:hanging="360"/>
      </w:pPr>
      <w:rPr>
        <w:rFonts w:ascii="Symbol" w:hAnsi="Symbol" w:hint="default"/>
      </w:rPr>
    </w:lvl>
    <w:lvl w:ilvl="7" w:tplc="BD76CD6C" w:tentative="1">
      <w:start w:val="1"/>
      <w:numFmt w:val="bullet"/>
      <w:lvlText w:val="o"/>
      <w:lvlJc w:val="left"/>
      <w:pPr>
        <w:ind w:left="5760" w:hanging="360"/>
      </w:pPr>
      <w:rPr>
        <w:rFonts w:ascii="Courier New" w:hAnsi="Courier New" w:cs="Courier New" w:hint="default"/>
      </w:rPr>
    </w:lvl>
    <w:lvl w:ilvl="8" w:tplc="1FDA5C4E" w:tentative="1">
      <w:start w:val="1"/>
      <w:numFmt w:val="bullet"/>
      <w:lvlText w:val=""/>
      <w:lvlJc w:val="left"/>
      <w:pPr>
        <w:ind w:left="6480" w:hanging="360"/>
      </w:pPr>
      <w:rPr>
        <w:rFonts w:ascii="Wingdings" w:hAnsi="Wingdings" w:hint="default"/>
      </w:rPr>
    </w:lvl>
  </w:abstractNum>
  <w:abstractNum w:abstractNumId="48" w15:restartNumberingAfterBreak="0">
    <w:nsid w:val="15F64126"/>
    <w:multiLevelType w:val="hybridMultilevel"/>
    <w:tmpl w:val="0F24328A"/>
    <w:lvl w:ilvl="0" w:tplc="9A08B6E4">
      <w:start w:val="1"/>
      <w:numFmt w:val="bullet"/>
      <w:lvlText w:val=""/>
      <w:lvlJc w:val="left"/>
      <w:pPr>
        <w:tabs>
          <w:tab w:val="num" w:pos="720"/>
        </w:tabs>
        <w:ind w:left="720" w:hanging="360"/>
      </w:pPr>
      <w:rPr>
        <w:rFonts w:ascii="Symbol" w:hAnsi="Symbol" w:hint="default"/>
      </w:rPr>
    </w:lvl>
    <w:lvl w:ilvl="1" w:tplc="D00E50E0">
      <w:start w:val="1"/>
      <w:numFmt w:val="bullet"/>
      <w:lvlText w:val="o"/>
      <w:lvlJc w:val="left"/>
      <w:pPr>
        <w:tabs>
          <w:tab w:val="num" w:pos="1440"/>
        </w:tabs>
        <w:ind w:left="1440" w:hanging="360"/>
      </w:pPr>
      <w:rPr>
        <w:rFonts w:ascii="Courier New" w:hAnsi="Courier New" w:hint="default"/>
      </w:rPr>
    </w:lvl>
    <w:lvl w:ilvl="2" w:tplc="033456EC" w:tentative="1">
      <w:start w:val="1"/>
      <w:numFmt w:val="bullet"/>
      <w:lvlText w:val=""/>
      <w:lvlJc w:val="left"/>
      <w:pPr>
        <w:tabs>
          <w:tab w:val="num" w:pos="2160"/>
        </w:tabs>
        <w:ind w:left="2160" w:hanging="360"/>
      </w:pPr>
      <w:rPr>
        <w:rFonts w:ascii="Wingdings" w:hAnsi="Wingdings" w:hint="default"/>
      </w:rPr>
    </w:lvl>
    <w:lvl w:ilvl="3" w:tplc="0F50F000" w:tentative="1">
      <w:start w:val="1"/>
      <w:numFmt w:val="bullet"/>
      <w:lvlText w:val=""/>
      <w:lvlJc w:val="left"/>
      <w:pPr>
        <w:tabs>
          <w:tab w:val="num" w:pos="2880"/>
        </w:tabs>
        <w:ind w:left="2880" w:hanging="360"/>
      </w:pPr>
      <w:rPr>
        <w:rFonts w:ascii="Symbol" w:hAnsi="Symbol" w:hint="default"/>
      </w:rPr>
    </w:lvl>
    <w:lvl w:ilvl="4" w:tplc="F70E895C" w:tentative="1">
      <w:start w:val="1"/>
      <w:numFmt w:val="bullet"/>
      <w:lvlText w:val="o"/>
      <w:lvlJc w:val="left"/>
      <w:pPr>
        <w:tabs>
          <w:tab w:val="num" w:pos="3600"/>
        </w:tabs>
        <w:ind w:left="3600" w:hanging="360"/>
      </w:pPr>
      <w:rPr>
        <w:rFonts w:ascii="Courier New" w:hAnsi="Courier New" w:hint="default"/>
      </w:rPr>
    </w:lvl>
    <w:lvl w:ilvl="5" w:tplc="206A08B8" w:tentative="1">
      <w:start w:val="1"/>
      <w:numFmt w:val="bullet"/>
      <w:lvlText w:val=""/>
      <w:lvlJc w:val="left"/>
      <w:pPr>
        <w:tabs>
          <w:tab w:val="num" w:pos="4320"/>
        </w:tabs>
        <w:ind w:left="4320" w:hanging="360"/>
      </w:pPr>
      <w:rPr>
        <w:rFonts w:ascii="Wingdings" w:hAnsi="Wingdings" w:hint="default"/>
      </w:rPr>
    </w:lvl>
    <w:lvl w:ilvl="6" w:tplc="CFEC0E90" w:tentative="1">
      <w:start w:val="1"/>
      <w:numFmt w:val="bullet"/>
      <w:lvlText w:val=""/>
      <w:lvlJc w:val="left"/>
      <w:pPr>
        <w:tabs>
          <w:tab w:val="num" w:pos="5040"/>
        </w:tabs>
        <w:ind w:left="5040" w:hanging="360"/>
      </w:pPr>
      <w:rPr>
        <w:rFonts w:ascii="Symbol" w:hAnsi="Symbol" w:hint="default"/>
      </w:rPr>
    </w:lvl>
    <w:lvl w:ilvl="7" w:tplc="279863AA" w:tentative="1">
      <w:start w:val="1"/>
      <w:numFmt w:val="bullet"/>
      <w:lvlText w:val="o"/>
      <w:lvlJc w:val="left"/>
      <w:pPr>
        <w:tabs>
          <w:tab w:val="num" w:pos="5760"/>
        </w:tabs>
        <w:ind w:left="5760" w:hanging="360"/>
      </w:pPr>
      <w:rPr>
        <w:rFonts w:ascii="Courier New" w:hAnsi="Courier New" w:hint="default"/>
      </w:rPr>
    </w:lvl>
    <w:lvl w:ilvl="8" w:tplc="F2622646"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6DC2E74"/>
    <w:multiLevelType w:val="hybridMultilevel"/>
    <w:tmpl w:val="A0EACD7A"/>
    <w:lvl w:ilvl="0" w:tplc="F15877A6">
      <w:start w:val="1"/>
      <w:numFmt w:val="bullet"/>
      <w:lvlText w:val=""/>
      <w:lvlJc w:val="left"/>
      <w:pPr>
        <w:ind w:left="720" w:hanging="360"/>
      </w:pPr>
      <w:rPr>
        <w:rFonts w:ascii="Symbol" w:hAnsi="Symbol" w:hint="default"/>
        <w:sz w:val="22"/>
      </w:rPr>
    </w:lvl>
    <w:lvl w:ilvl="1" w:tplc="8FFC17FC" w:tentative="1">
      <w:start w:val="1"/>
      <w:numFmt w:val="bullet"/>
      <w:lvlText w:val="o"/>
      <w:lvlJc w:val="left"/>
      <w:pPr>
        <w:ind w:left="1440" w:hanging="360"/>
      </w:pPr>
      <w:rPr>
        <w:rFonts w:ascii="Courier New" w:hAnsi="Courier New" w:cs="Courier New" w:hint="default"/>
      </w:rPr>
    </w:lvl>
    <w:lvl w:ilvl="2" w:tplc="74848F5E" w:tentative="1">
      <w:start w:val="1"/>
      <w:numFmt w:val="bullet"/>
      <w:lvlText w:val=""/>
      <w:lvlJc w:val="left"/>
      <w:pPr>
        <w:ind w:left="2160" w:hanging="360"/>
      </w:pPr>
      <w:rPr>
        <w:rFonts w:ascii="Wingdings" w:hAnsi="Wingdings" w:hint="default"/>
      </w:rPr>
    </w:lvl>
    <w:lvl w:ilvl="3" w:tplc="6AE4266A" w:tentative="1">
      <w:start w:val="1"/>
      <w:numFmt w:val="bullet"/>
      <w:lvlText w:val=""/>
      <w:lvlJc w:val="left"/>
      <w:pPr>
        <w:ind w:left="2880" w:hanging="360"/>
      </w:pPr>
      <w:rPr>
        <w:rFonts w:ascii="Symbol" w:hAnsi="Symbol" w:hint="default"/>
      </w:rPr>
    </w:lvl>
    <w:lvl w:ilvl="4" w:tplc="F4CA8102" w:tentative="1">
      <w:start w:val="1"/>
      <w:numFmt w:val="bullet"/>
      <w:lvlText w:val="o"/>
      <w:lvlJc w:val="left"/>
      <w:pPr>
        <w:ind w:left="3600" w:hanging="360"/>
      </w:pPr>
      <w:rPr>
        <w:rFonts w:ascii="Courier New" w:hAnsi="Courier New" w:cs="Courier New" w:hint="default"/>
      </w:rPr>
    </w:lvl>
    <w:lvl w:ilvl="5" w:tplc="AB94DDB6" w:tentative="1">
      <w:start w:val="1"/>
      <w:numFmt w:val="bullet"/>
      <w:lvlText w:val=""/>
      <w:lvlJc w:val="left"/>
      <w:pPr>
        <w:ind w:left="4320" w:hanging="360"/>
      </w:pPr>
      <w:rPr>
        <w:rFonts w:ascii="Wingdings" w:hAnsi="Wingdings" w:hint="default"/>
      </w:rPr>
    </w:lvl>
    <w:lvl w:ilvl="6" w:tplc="2A602E80" w:tentative="1">
      <w:start w:val="1"/>
      <w:numFmt w:val="bullet"/>
      <w:lvlText w:val=""/>
      <w:lvlJc w:val="left"/>
      <w:pPr>
        <w:ind w:left="5040" w:hanging="360"/>
      </w:pPr>
      <w:rPr>
        <w:rFonts w:ascii="Symbol" w:hAnsi="Symbol" w:hint="default"/>
      </w:rPr>
    </w:lvl>
    <w:lvl w:ilvl="7" w:tplc="31609E54" w:tentative="1">
      <w:start w:val="1"/>
      <w:numFmt w:val="bullet"/>
      <w:lvlText w:val="o"/>
      <w:lvlJc w:val="left"/>
      <w:pPr>
        <w:ind w:left="5760" w:hanging="360"/>
      </w:pPr>
      <w:rPr>
        <w:rFonts w:ascii="Courier New" w:hAnsi="Courier New" w:cs="Courier New" w:hint="default"/>
      </w:rPr>
    </w:lvl>
    <w:lvl w:ilvl="8" w:tplc="7B04E86A" w:tentative="1">
      <w:start w:val="1"/>
      <w:numFmt w:val="bullet"/>
      <w:lvlText w:val=""/>
      <w:lvlJc w:val="left"/>
      <w:pPr>
        <w:ind w:left="6480" w:hanging="360"/>
      </w:pPr>
      <w:rPr>
        <w:rFonts w:ascii="Wingdings" w:hAnsi="Wingdings" w:hint="default"/>
      </w:rPr>
    </w:lvl>
  </w:abstractNum>
  <w:abstractNum w:abstractNumId="50" w15:restartNumberingAfterBreak="0">
    <w:nsid w:val="171F3F74"/>
    <w:multiLevelType w:val="hybridMultilevel"/>
    <w:tmpl w:val="08AC1A84"/>
    <w:lvl w:ilvl="0" w:tplc="0A78DD8E">
      <w:start w:val="1"/>
      <w:numFmt w:val="bullet"/>
      <w:lvlText w:val=""/>
      <w:lvlJc w:val="left"/>
      <w:pPr>
        <w:ind w:left="720" w:hanging="360"/>
      </w:pPr>
      <w:rPr>
        <w:rFonts w:ascii="Symbol" w:hAnsi="Symbol" w:hint="default"/>
      </w:rPr>
    </w:lvl>
    <w:lvl w:ilvl="1" w:tplc="51940CE2" w:tentative="1">
      <w:start w:val="1"/>
      <w:numFmt w:val="bullet"/>
      <w:lvlText w:val="o"/>
      <w:lvlJc w:val="left"/>
      <w:pPr>
        <w:ind w:left="1440" w:hanging="360"/>
      </w:pPr>
      <w:rPr>
        <w:rFonts w:ascii="Courier New" w:hAnsi="Courier New" w:cs="Courier New" w:hint="default"/>
      </w:rPr>
    </w:lvl>
    <w:lvl w:ilvl="2" w:tplc="A1920006" w:tentative="1">
      <w:start w:val="1"/>
      <w:numFmt w:val="bullet"/>
      <w:lvlText w:val=""/>
      <w:lvlJc w:val="left"/>
      <w:pPr>
        <w:ind w:left="2160" w:hanging="360"/>
      </w:pPr>
      <w:rPr>
        <w:rFonts w:ascii="Wingdings" w:hAnsi="Wingdings" w:hint="default"/>
      </w:rPr>
    </w:lvl>
    <w:lvl w:ilvl="3" w:tplc="2F32FA82" w:tentative="1">
      <w:start w:val="1"/>
      <w:numFmt w:val="bullet"/>
      <w:lvlText w:val=""/>
      <w:lvlJc w:val="left"/>
      <w:pPr>
        <w:ind w:left="2880" w:hanging="360"/>
      </w:pPr>
      <w:rPr>
        <w:rFonts w:ascii="Symbol" w:hAnsi="Symbol" w:hint="default"/>
      </w:rPr>
    </w:lvl>
    <w:lvl w:ilvl="4" w:tplc="DF6A7EBA" w:tentative="1">
      <w:start w:val="1"/>
      <w:numFmt w:val="bullet"/>
      <w:lvlText w:val="o"/>
      <w:lvlJc w:val="left"/>
      <w:pPr>
        <w:ind w:left="3600" w:hanging="360"/>
      </w:pPr>
      <w:rPr>
        <w:rFonts w:ascii="Courier New" w:hAnsi="Courier New" w:cs="Courier New" w:hint="default"/>
      </w:rPr>
    </w:lvl>
    <w:lvl w:ilvl="5" w:tplc="0CB82956" w:tentative="1">
      <w:start w:val="1"/>
      <w:numFmt w:val="bullet"/>
      <w:lvlText w:val=""/>
      <w:lvlJc w:val="left"/>
      <w:pPr>
        <w:ind w:left="4320" w:hanging="360"/>
      </w:pPr>
      <w:rPr>
        <w:rFonts w:ascii="Wingdings" w:hAnsi="Wingdings" w:hint="default"/>
      </w:rPr>
    </w:lvl>
    <w:lvl w:ilvl="6" w:tplc="220EB69E" w:tentative="1">
      <w:start w:val="1"/>
      <w:numFmt w:val="bullet"/>
      <w:lvlText w:val=""/>
      <w:lvlJc w:val="left"/>
      <w:pPr>
        <w:ind w:left="5040" w:hanging="360"/>
      </w:pPr>
      <w:rPr>
        <w:rFonts w:ascii="Symbol" w:hAnsi="Symbol" w:hint="default"/>
      </w:rPr>
    </w:lvl>
    <w:lvl w:ilvl="7" w:tplc="642AFE32" w:tentative="1">
      <w:start w:val="1"/>
      <w:numFmt w:val="bullet"/>
      <w:lvlText w:val="o"/>
      <w:lvlJc w:val="left"/>
      <w:pPr>
        <w:ind w:left="5760" w:hanging="360"/>
      </w:pPr>
      <w:rPr>
        <w:rFonts w:ascii="Courier New" w:hAnsi="Courier New" w:cs="Courier New" w:hint="default"/>
      </w:rPr>
    </w:lvl>
    <w:lvl w:ilvl="8" w:tplc="61C68908" w:tentative="1">
      <w:start w:val="1"/>
      <w:numFmt w:val="bullet"/>
      <w:lvlText w:val=""/>
      <w:lvlJc w:val="left"/>
      <w:pPr>
        <w:ind w:left="6480" w:hanging="360"/>
      </w:pPr>
      <w:rPr>
        <w:rFonts w:ascii="Wingdings" w:hAnsi="Wingdings" w:hint="default"/>
      </w:rPr>
    </w:lvl>
  </w:abstractNum>
  <w:abstractNum w:abstractNumId="51" w15:restartNumberingAfterBreak="0">
    <w:nsid w:val="17235740"/>
    <w:multiLevelType w:val="hybridMultilevel"/>
    <w:tmpl w:val="E51E2BB4"/>
    <w:lvl w:ilvl="0" w:tplc="A3DA5C44">
      <w:start w:val="1"/>
      <w:numFmt w:val="bullet"/>
      <w:lvlText w:val=""/>
      <w:lvlJc w:val="left"/>
      <w:pPr>
        <w:ind w:left="1050" w:hanging="360"/>
      </w:pPr>
      <w:rPr>
        <w:rFonts w:ascii="Symbol" w:hAnsi="Symbol" w:hint="default"/>
      </w:rPr>
    </w:lvl>
    <w:lvl w:ilvl="1" w:tplc="F84ACD56" w:tentative="1">
      <w:start w:val="1"/>
      <w:numFmt w:val="bullet"/>
      <w:lvlText w:val="o"/>
      <w:lvlJc w:val="left"/>
      <w:pPr>
        <w:ind w:left="1770" w:hanging="360"/>
      </w:pPr>
      <w:rPr>
        <w:rFonts w:ascii="Courier New" w:hAnsi="Courier New" w:cs="Courier New" w:hint="default"/>
      </w:rPr>
    </w:lvl>
    <w:lvl w:ilvl="2" w:tplc="F734404E" w:tentative="1">
      <w:start w:val="1"/>
      <w:numFmt w:val="bullet"/>
      <w:lvlText w:val=""/>
      <w:lvlJc w:val="left"/>
      <w:pPr>
        <w:ind w:left="2490" w:hanging="360"/>
      </w:pPr>
      <w:rPr>
        <w:rFonts w:ascii="Wingdings" w:hAnsi="Wingdings" w:hint="default"/>
      </w:rPr>
    </w:lvl>
    <w:lvl w:ilvl="3" w:tplc="75FA7A0E" w:tentative="1">
      <w:start w:val="1"/>
      <w:numFmt w:val="bullet"/>
      <w:lvlText w:val=""/>
      <w:lvlJc w:val="left"/>
      <w:pPr>
        <w:ind w:left="3210" w:hanging="360"/>
      </w:pPr>
      <w:rPr>
        <w:rFonts w:ascii="Symbol" w:hAnsi="Symbol" w:hint="default"/>
      </w:rPr>
    </w:lvl>
    <w:lvl w:ilvl="4" w:tplc="F11C4ADA" w:tentative="1">
      <w:start w:val="1"/>
      <w:numFmt w:val="bullet"/>
      <w:lvlText w:val="o"/>
      <w:lvlJc w:val="left"/>
      <w:pPr>
        <w:ind w:left="3930" w:hanging="360"/>
      </w:pPr>
      <w:rPr>
        <w:rFonts w:ascii="Courier New" w:hAnsi="Courier New" w:cs="Courier New" w:hint="default"/>
      </w:rPr>
    </w:lvl>
    <w:lvl w:ilvl="5" w:tplc="10722AD4" w:tentative="1">
      <w:start w:val="1"/>
      <w:numFmt w:val="bullet"/>
      <w:lvlText w:val=""/>
      <w:lvlJc w:val="left"/>
      <w:pPr>
        <w:ind w:left="4650" w:hanging="360"/>
      </w:pPr>
      <w:rPr>
        <w:rFonts w:ascii="Wingdings" w:hAnsi="Wingdings" w:hint="default"/>
      </w:rPr>
    </w:lvl>
    <w:lvl w:ilvl="6" w:tplc="8EC833FC" w:tentative="1">
      <w:start w:val="1"/>
      <w:numFmt w:val="bullet"/>
      <w:lvlText w:val=""/>
      <w:lvlJc w:val="left"/>
      <w:pPr>
        <w:ind w:left="5370" w:hanging="360"/>
      </w:pPr>
      <w:rPr>
        <w:rFonts w:ascii="Symbol" w:hAnsi="Symbol" w:hint="default"/>
      </w:rPr>
    </w:lvl>
    <w:lvl w:ilvl="7" w:tplc="CFCA0B7A" w:tentative="1">
      <w:start w:val="1"/>
      <w:numFmt w:val="bullet"/>
      <w:lvlText w:val="o"/>
      <w:lvlJc w:val="left"/>
      <w:pPr>
        <w:ind w:left="6090" w:hanging="360"/>
      </w:pPr>
      <w:rPr>
        <w:rFonts w:ascii="Courier New" w:hAnsi="Courier New" w:cs="Courier New" w:hint="default"/>
      </w:rPr>
    </w:lvl>
    <w:lvl w:ilvl="8" w:tplc="B23AE002" w:tentative="1">
      <w:start w:val="1"/>
      <w:numFmt w:val="bullet"/>
      <w:lvlText w:val=""/>
      <w:lvlJc w:val="left"/>
      <w:pPr>
        <w:ind w:left="6810" w:hanging="360"/>
      </w:pPr>
      <w:rPr>
        <w:rFonts w:ascii="Wingdings" w:hAnsi="Wingdings" w:hint="default"/>
      </w:rPr>
    </w:lvl>
  </w:abstractNum>
  <w:abstractNum w:abstractNumId="52" w15:restartNumberingAfterBreak="0">
    <w:nsid w:val="174613E3"/>
    <w:multiLevelType w:val="hybridMultilevel"/>
    <w:tmpl w:val="57C46F8E"/>
    <w:lvl w:ilvl="0" w:tplc="C56421A8">
      <w:start w:val="1"/>
      <w:numFmt w:val="bullet"/>
      <w:lvlText w:val=""/>
      <w:lvlJc w:val="left"/>
      <w:pPr>
        <w:tabs>
          <w:tab w:val="num" w:pos="720"/>
        </w:tabs>
        <w:ind w:left="720" w:hanging="360"/>
      </w:pPr>
      <w:rPr>
        <w:rFonts w:ascii="Symbol" w:hAnsi="Symbol" w:hint="default"/>
      </w:rPr>
    </w:lvl>
    <w:lvl w:ilvl="1" w:tplc="969A20E2">
      <w:start w:val="1"/>
      <w:numFmt w:val="bullet"/>
      <w:lvlText w:val="o"/>
      <w:lvlJc w:val="left"/>
      <w:pPr>
        <w:tabs>
          <w:tab w:val="num" w:pos="1440"/>
        </w:tabs>
        <w:ind w:left="1440" w:hanging="360"/>
      </w:pPr>
      <w:rPr>
        <w:rFonts w:ascii="Courier New" w:hAnsi="Courier New" w:hint="default"/>
      </w:rPr>
    </w:lvl>
    <w:lvl w:ilvl="2" w:tplc="E23C9D44">
      <w:start w:val="1"/>
      <w:numFmt w:val="bullet"/>
      <w:lvlText w:val=""/>
      <w:lvlJc w:val="left"/>
      <w:pPr>
        <w:tabs>
          <w:tab w:val="num" w:pos="2160"/>
        </w:tabs>
        <w:ind w:left="2160" w:hanging="360"/>
      </w:pPr>
      <w:rPr>
        <w:rFonts w:ascii="Wingdings" w:hAnsi="Wingdings" w:hint="default"/>
      </w:rPr>
    </w:lvl>
    <w:lvl w:ilvl="3" w:tplc="A0BE4BD8" w:tentative="1">
      <w:start w:val="1"/>
      <w:numFmt w:val="bullet"/>
      <w:lvlText w:val=""/>
      <w:lvlJc w:val="left"/>
      <w:pPr>
        <w:tabs>
          <w:tab w:val="num" w:pos="2880"/>
        </w:tabs>
        <w:ind w:left="2880" w:hanging="360"/>
      </w:pPr>
      <w:rPr>
        <w:rFonts w:ascii="Symbol" w:hAnsi="Symbol" w:hint="default"/>
      </w:rPr>
    </w:lvl>
    <w:lvl w:ilvl="4" w:tplc="2D86C462" w:tentative="1">
      <w:start w:val="1"/>
      <w:numFmt w:val="bullet"/>
      <w:lvlText w:val="o"/>
      <w:lvlJc w:val="left"/>
      <w:pPr>
        <w:tabs>
          <w:tab w:val="num" w:pos="3600"/>
        </w:tabs>
        <w:ind w:left="3600" w:hanging="360"/>
      </w:pPr>
      <w:rPr>
        <w:rFonts w:ascii="Courier New" w:hAnsi="Courier New" w:hint="default"/>
      </w:rPr>
    </w:lvl>
    <w:lvl w:ilvl="5" w:tplc="8E42EC7A" w:tentative="1">
      <w:start w:val="1"/>
      <w:numFmt w:val="bullet"/>
      <w:lvlText w:val=""/>
      <w:lvlJc w:val="left"/>
      <w:pPr>
        <w:tabs>
          <w:tab w:val="num" w:pos="4320"/>
        </w:tabs>
        <w:ind w:left="4320" w:hanging="360"/>
      </w:pPr>
      <w:rPr>
        <w:rFonts w:ascii="Wingdings" w:hAnsi="Wingdings" w:hint="default"/>
      </w:rPr>
    </w:lvl>
    <w:lvl w:ilvl="6" w:tplc="B776C042" w:tentative="1">
      <w:start w:val="1"/>
      <w:numFmt w:val="bullet"/>
      <w:lvlText w:val=""/>
      <w:lvlJc w:val="left"/>
      <w:pPr>
        <w:tabs>
          <w:tab w:val="num" w:pos="5040"/>
        </w:tabs>
        <w:ind w:left="5040" w:hanging="360"/>
      </w:pPr>
      <w:rPr>
        <w:rFonts w:ascii="Symbol" w:hAnsi="Symbol" w:hint="default"/>
      </w:rPr>
    </w:lvl>
    <w:lvl w:ilvl="7" w:tplc="31B08960" w:tentative="1">
      <w:start w:val="1"/>
      <w:numFmt w:val="bullet"/>
      <w:lvlText w:val="o"/>
      <w:lvlJc w:val="left"/>
      <w:pPr>
        <w:tabs>
          <w:tab w:val="num" w:pos="5760"/>
        </w:tabs>
        <w:ind w:left="5760" w:hanging="360"/>
      </w:pPr>
      <w:rPr>
        <w:rFonts w:ascii="Courier New" w:hAnsi="Courier New" w:hint="default"/>
      </w:rPr>
    </w:lvl>
    <w:lvl w:ilvl="8" w:tplc="9C6A2472"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7623BA3"/>
    <w:multiLevelType w:val="hybridMultilevel"/>
    <w:tmpl w:val="4F2EF702"/>
    <w:lvl w:ilvl="0" w:tplc="5238A3E0">
      <w:start w:val="1"/>
      <w:numFmt w:val="bullet"/>
      <w:lvlText w:val=""/>
      <w:lvlJc w:val="left"/>
      <w:pPr>
        <w:ind w:left="360" w:hanging="360"/>
      </w:pPr>
      <w:rPr>
        <w:rFonts w:ascii="Symbol" w:hAnsi="Symbol" w:hint="default"/>
      </w:rPr>
    </w:lvl>
    <w:lvl w:ilvl="1" w:tplc="37180BA8">
      <w:start w:val="1"/>
      <w:numFmt w:val="bullet"/>
      <w:lvlText w:val="o"/>
      <w:lvlJc w:val="left"/>
      <w:pPr>
        <w:ind w:left="1080" w:hanging="360"/>
      </w:pPr>
      <w:rPr>
        <w:rFonts w:ascii="Courier New" w:hAnsi="Courier New" w:hint="default"/>
      </w:rPr>
    </w:lvl>
    <w:lvl w:ilvl="2" w:tplc="A2DC46DE" w:tentative="1">
      <w:start w:val="1"/>
      <w:numFmt w:val="bullet"/>
      <w:lvlText w:val=""/>
      <w:lvlJc w:val="left"/>
      <w:pPr>
        <w:ind w:left="1800" w:hanging="360"/>
      </w:pPr>
      <w:rPr>
        <w:rFonts w:ascii="Wingdings" w:hAnsi="Wingdings" w:hint="default"/>
      </w:rPr>
    </w:lvl>
    <w:lvl w:ilvl="3" w:tplc="3B70CB7C" w:tentative="1">
      <w:start w:val="1"/>
      <w:numFmt w:val="bullet"/>
      <w:lvlText w:val=""/>
      <w:lvlJc w:val="left"/>
      <w:pPr>
        <w:ind w:left="2520" w:hanging="360"/>
      </w:pPr>
      <w:rPr>
        <w:rFonts w:ascii="Symbol" w:hAnsi="Symbol" w:hint="default"/>
      </w:rPr>
    </w:lvl>
    <w:lvl w:ilvl="4" w:tplc="DC483B26" w:tentative="1">
      <w:start w:val="1"/>
      <w:numFmt w:val="bullet"/>
      <w:lvlText w:val="o"/>
      <w:lvlJc w:val="left"/>
      <w:pPr>
        <w:ind w:left="3240" w:hanging="360"/>
      </w:pPr>
      <w:rPr>
        <w:rFonts w:ascii="Courier New" w:hAnsi="Courier New" w:hint="default"/>
      </w:rPr>
    </w:lvl>
    <w:lvl w:ilvl="5" w:tplc="8C8EB43A" w:tentative="1">
      <w:start w:val="1"/>
      <w:numFmt w:val="bullet"/>
      <w:lvlText w:val=""/>
      <w:lvlJc w:val="left"/>
      <w:pPr>
        <w:ind w:left="3960" w:hanging="360"/>
      </w:pPr>
      <w:rPr>
        <w:rFonts w:ascii="Wingdings" w:hAnsi="Wingdings" w:hint="default"/>
      </w:rPr>
    </w:lvl>
    <w:lvl w:ilvl="6" w:tplc="A4A490BA" w:tentative="1">
      <w:start w:val="1"/>
      <w:numFmt w:val="bullet"/>
      <w:lvlText w:val=""/>
      <w:lvlJc w:val="left"/>
      <w:pPr>
        <w:ind w:left="4680" w:hanging="360"/>
      </w:pPr>
      <w:rPr>
        <w:rFonts w:ascii="Symbol" w:hAnsi="Symbol" w:hint="default"/>
      </w:rPr>
    </w:lvl>
    <w:lvl w:ilvl="7" w:tplc="BB4AA806" w:tentative="1">
      <w:start w:val="1"/>
      <w:numFmt w:val="bullet"/>
      <w:lvlText w:val="o"/>
      <w:lvlJc w:val="left"/>
      <w:pPr>
        <w:ind w:left="5400" w:hanging="360"/>
      </w:pPr>
      <w:rPr>
        <w:rFonts w:ascii="Courier New" w:hAnsi="Courier New" w:hint="default"/>
      </w:rPr>
    </w:lvl>
    <w:lvl w:ilvl="8" w:tplc="97540FFE" w:tentative="1">
      <w:start w:val="1"/>
      <w:numFmt w:val="bullet"/>
      <w:lvlText w:val=""/>
      <w:lvlJc w:val="left"/>
      <w:pPr>
        <w:ind w:left="6120" w:hanging="360"/>
      </w:pPr>
      <w:rPr>
        <w:rFonts w:ascii="Wingdings" w:hAnsi="Wingdings" w:hint="default"/>
      </w:rPr>
    </w:lvl>
  </w:abstractNum>
  <w:abstractNum w:abstractNumId="54" w15:restartNumberingAfterBreak="0">
    <w:nsid w:val="178746CB"/>
    <w:multiLevelType w:val="hybridMultilevel"/>
    <w:tmpl w:val="1E6469F0"/>
    <w:lvl w:ilvl="0" w:tplc="BE1CE898">
      <w:start w:val="1"/>
      <w:numFmt w:val="bullet"/>
      <w:lvlText w:val=""/>
      <w:lvlJc w:val="left"/>
      <w:pPr>
        <w:tabs>
          <w:tab w:val="num" w:pos="1134"/>
        </w:tabs>
        <w:ind w:left="1134" w:hanging="567"/>
      </w:pPr>
      <w:rPr>
        <w:rFonts w:ascii="Symbol" w:hAnsi="Symbol" w:hint="default"/>
      </w:rPr>
    </w:lvl>
    <w:lvl w:ilvl="1" w:tplc="93325ABC" w:tentative="1">
      <w:start w:val="1"/>
      <w:numFmt w:val="bullet"/>
      <w:lvlText w:val="o"/>
      <w:lvlJc w:val="left"/>
      <w:pPr>
        <w:tabs>
          <w:tab w:val="num" w:pos="1440"/>
        </w:tabs>
        <w:ind w:left="1440" w:hanging="360"/>
      </w:pPr>
      <w:rPr>
        <w:rFonts w:ascii="Courier New" w:hAnsi="Courier New" w:hint="default"/>
      </w:rPr>
    </w:lvl>
    <w:lvl w:ilvl="2" w:tplc="3800A71C" w:tentative="1">
      <w:start w:val="1"/>
      <w:numFmt w:val="bullet"/>
      <w:lvlText w:val=""/>
      <w:lvlJc w:val="left"/>
      <w:pPr>
        <w:tabs>
          <w:tab w:val="num" w:pos="2160"/>
        </w:tabs>
        <w:ind w:left="2160" w:hanging="360"/>
      </w:pPr>
      <w:rPr>
        <w:rFonts w:ascii="Wingdings" w:hAnsi="Wingdings" w:hint="default"/>
      </w:rPr>
    </w:lvl>
    <w:lvl w:ilvl="3" w:tplc="51C42C32" w:tentative="1">
      <w:start w:val="1"/>
      <w:numFmt w:val="bullet"/>
      <w:lvlText w:val=""/>
      <w:lvlJc w:val="left"/>
      <w:pPr>
        <w:tabs>
          <w:tab w:val="num" w:pos="2880"/>
        </w:tabs>
        <w:ind w:left="2880" w:hanging="360"/>
      </w:pPr>
      <w:rPr>
        <w:rFonts w:ascii="Symbol" w:hAnsi="Symbol" w:hint="default"/>
      </w:rPr>
    </w:lvl>
    <w:lvl w:ilvl="4" w:tplc="C7F6C1A6" w:tentative="1">
      <w:start w:val="1"/>
      <w:numFmt w:val="bullet"/>
      <w:lvlText w:val="o"/>
      <w:lvlJc w:val="left"/>
      <w:pPr>
        <w:tabs>
          <w:tab w:val="num" w:pos="3600"/>
        </w:tabs>
        <w:ind w:left="3600" w:hanging="360"/>
      </w:pPr>
      <w:rPr>
        <w:rFonts w:ascii="Courier New" w:hAnsi="Courier New" w:hint="default"/>
      </w:rPr>
    </w:lvl>
    <w:lvl w:ilvl="5" w:tplc="84F2BC1C" w:tentative="1">
      <w:start w:val="1"/>
      <w:numFmt w:val="bullet"/>
      <w:lvlText w:val=""/>
      <w:lvlJc w:val="left"/>
      <w:pPr>
        <w:tabs>
          <w:tab w:val="num" w:pos="4320"/>
        </w:tabs>
        <w:ind w:left="4320" w:hanging="360"/>
      </w:pPr>
      <w:rPr>
        <w:rFonts w:ascii="Wingdings" w:hAnsi="Wingdings" w:hint="default"/>
      </w:rPr>
    </w:lvl>
    <w:lvl w:ilvl="6" w:tplc="025E1DCC" w:tentative="1">
      <w:start w:val="1"/>
      <w:numFmt w:val="bullet"/>
      <w:lvlText w:val=""/>
      <w:lvlJc w:val="left"/>
      <w:pPr>
        <w:tabs>
          <w:tab w:val="num" w:pos="5040"/>
        </w:tabs>
        <w:ind w:left="5040" w:hanging="360"/>
      </w:pPr>
      <w:rPr>
        <w:rFonts w:ascii="Symbol" w:hAnsi="Symbol" w:hint="default"/>
      </w:rPr>
    </w:lvl>
    <w:lvl w:ilvl="7" w:tplc="5D68B686" w:tentative="1">
      <w:start w:val="1"/>
      <w:numFmt w:val="bullet"/>
      <w:lvlText w:val="o"/>
      <w:lvlJc w:val="left"/>
      <w:pPr>
        <w:tabs>
          <w:tab w:val="num" w:pos="5760"/>
        </w:tabs>
        <w:ind w:left="5760" w:hanging="360"/>
      </w:pPr>
      <w:rPr>
        <w:rFonts w:ascii="Courier New" w:hAnsi="Courier New" w:hint="default"/>
      </w:rPr>
    </w:lvl>
    <w:lvl w:ilvl="8" w:tplc="DBA4B52A"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8384935"/>
    <w:multiLevelType w:val="hybridMultilevel"/>
    <w:tmpl w:val="473AEC0E"/>
    <w:lvl w:ilvl="0" w:tplc="7FC2B0B6">
      <w:start w:val="1"/>
      <w:numFmt w:val="bullet"/>
      <w:lvlText w:val=""/>
      <w:lvlJc w:val="left"/>
      <w:pPr>
        <w:ind w:left="927" w:hanging="360"/>
      </w:pPr>
      <w:rPr>
        <w:rFonts w:ascii="Symbol" w:hAnsi="Symbol" w:hint="default"/>
      </w:rPr>
    </w:lvl>
    <w:lvl w:ilvl="1" w:tplc="CF0C9024" w:tentative="1">
      <w:start w:val="1"/>
      <w:numFmt w:val="bullet"/>
      <w:lvlText w:val="o"/>
      <w:lvlJc w:val="left"/>
      <w:pPr>
        <w:ind w:left="1647" w:hanging="360"/>
      </w:pPr>
      <w:rPr>
        <w:rFonts w:ascii="Courier New" w:hAnsi="Courier New" w:cs="Courier New" w:hint="default"/>
      </w:rPr>
    </w:lvl>
    <w:lvl w:ilvl="2" w:tplc="3686422C" w:tentative="1">
      <w:start w:val="1"/>
      <w:numFmt w:val="bullet"/>
      <w:lvlText w:val=""/>
      <w:lvlJc w:val="left"/>
      <w:pPr>
        <w:ind w:left="2367" w:hanging="360"/>
      </w:pPr>
      <w:rPr>
        <w:rFonts w:ascii="Wingdings" w:hAnsi="Wingdings" w:hint="default"/>
      </w:rPr>
    </w:lvl>
    <w:lvl w:ilvl="3" w:tplc="1CB6CE3E" w:tentative="1">
      <w:start w:val="1"/>
      <w:numFmt w:val="bullet"/>
      <w:lvlText w:val=""/>
      <w:lvlJc w:val="left"/>
      <w:pPr>
        <w:ind w:left="3087" w:hanging="360"/>
      </w:pPr>
      <w:rPr>
        <w:rFonts w:ascii="Symbol" w:hAnsi="Symbol" w:hint="default"/>
      </w:rPr>
    </w:lvl>
    <w:lvl w:ilvl="4" w:tplc="CBB43636" w:tentative="1">
      <w:start w:val="1"/>
      <w:numFmt w:val="bullet"/>
      <w:lvlText w:val="o"/>
      <w:lvlJc w:val="left"/>
      <w:pPr>
        <w:ind w:left="3807" w:hanging="360"/>
      </w:pPr>
      <w:rPr>
        <w:rFonts w:ascii="Courier New" w:hAnsi="Courier New" w:cs="Courier New" w:hint="default"/>
      </w:rPr>
    </w:lvl>
    <w:lvl w:ilvl="5" w:tplc="24008A22" w:tentative="1">
      <w:start w:val="1"/>
      <w:numFmt w:val="bullet"/>
      <w:lvlText w:val=""/>
      <w:lvlJc w:val="left"/>
      <w:pPr>
        <w:ind w:left="4527" w:hanging="360"/>
      </w:pPr>
      <w:rPr>
        <w:rFonts w:ascii="Wingdings" w:hAnsi="Wingdings" w:hint="default"/>
      </w:rPr>
    </w:lvl>
    <w:lvl w:ilvl="6" w:tplc="D82ED79C" w:tentative="1">
      <w:start w:val="1"/>
      <w:numFmt w:val="bullet"/>
      <w:lvlText w:val=""/>
      <w:lvlJc w:val="left"/>
      <w:pPr>
        <w:ind w:left="5247" w:hanging="360"/>
      </w:pPr>
      <w:rPr>
        <w:rFonts w:ascii="Symbol" w:hAnsi="Symbol" w:hint="default"/>
      </w:rPr>
    </w:lvl>
    <w:lvl w:ilvl="7" w:tplc="007019F4" w:tentative="1">
      <w:start w:val="1"/>
      <w:numFmt w:val="bullet"/>
      <w:lvlText w:val="o"/>
      <w:lvlJc w:val="left"/>
      <w:pPr>
        <w:ind w:left="5967" w:hanging="360"/>
      </w:pPr>
      <w:rPr>
        <w:rFonts w:ascii="Courier New" w:hAnsi="Courier New" w:cs="Courier New" w:hint="default"/>
      </w:rPr>
    </w:lvl>
    <w:lvl w:ilvl="8" w:tplc="FEA81F68" w:tentative="1">
      <w:start w:val="1"/>
      <w:numFmt w:val="bullet"/>
      <w:lvlText w:val=""/>
      <w:lvlJc w:val="left"/>
      <w:pPr>
        <w:ind w:left="6687" w:hanging="360"/>
      </w:pPr>
      <w:rPr>
        <w:rFonts w:ascii="Wingdings" w:hAnsi="Wingdings" w:hint="default"/>
      </w:rPr>
    </w:lvl>
  </w:abstractNum>
  <w:abstractNum w:abstractNumId="56" w15:restartNumberingAfterBreak="0">
    <w:nsid w:val="18411BD5"/>
    <w:multiLevelType w:val="hybridMultilevel"/>
    <w:tmpl w:val="DC9492E4"/>
    <w:lvl w:ilvl="0" w:tplc="1FFED96C">
      <w:start w:val="1"/>
      <w:numFmt w:val="bullet"/>
      <w:lvlText w:val=""/>
      <w:lvlJc w:val="left"/>
      <w:pPr>
        <w:tabs>
          <w:tab w:val="num" w:pos="720"/>
        </w:tabs>
        <w:ind w:left="720" w:hanging="360"/>
      </w:pPr>
      <w:rPr>
        <w:rFonts w:ascii="Symbol" w:hAnsi="Symbol" w:hint="default"/>
      </w:rPr>
    </w:lvl>
    <w:lvl w:ilvl="1" w:tplc="84CE69F2" w:tentative="1">
      <w:start w:val="1"/>
      <w:numFmt w:val="bullet"/>
      <w:lvlText w:val="o"/>
      <w:lvlJc w:val="left"/>
      <w:pPr>
        <w:tabs>
          <w:tab w:val="num" w:pos="1440"/>
        </w:tabs>
        <w:ind w:left="1440" w:hanging="360"/>
      </w:pPr>
      <w:rPr>
        <w:rFonts w:ascii="Courier New" w:hAnsi="Courier New" w:hint="default"/>
      </w:rPr>
    </w:lvl>
    <w:lvl w:ilvl="2" w:tplc="FE687450" w:tentative="1">
      <w:start w:val="1"/>
      <w:numFmt w:val="bullet"/>
      <w:lvlText w:val=""/>
      <w:lvlJc w:val="left"/>
      <w:pPr>
        <w:tabs>
          <w:tab w:val="num" w:pos="2160"/>
        </w:tabs>
        <w:ind w:left="2160" w:hanging="360"/>
      </w:pPr>
      <w:rPr>
        <w:rFonts w:ascii="Wingdings" w:hAnsi="Wingdings" w:hint="default"/>
      </w:rPr>
    </w:lvl>
    <w:lvl w:ilvl="3" w:tplc="AD24C9A4" w:tentative="1">
      <w:start w:val="1"/>
      <w:numFmt w:val="bullet"/>
      <w:lvlText w:val=""/>
      <w:lvlJc w:val="left"/>
      <w:pPr>
        <w:tabs>
          <w:tab w:val="num" w:pos="2880"/>
        </w:tabs>
        <w:ind w:left="2880" w:hanging="360"/>
      </w:pPr>
      <w:rPr>
        <w:rFonts w:ascii="Symbol" w:hAnsi="Symbol" w:hint="default"/>
      </w:rPr>
    </w:lvl>
    <w:lvl w:ilvl="4" w:tplc="10CCD878" w:tentative="1">
      <w:start w:val="1"/>
      <w:numFmt w:val="bullet"/>
      <w:lvlText w:val="o"/>
      <w:lvlJc w:val="left"/>
      <w:pPr>
        <w:tabs>
          <w:tab w:val="num" w:pos="3600"/>
        </w:tabs>
        <w:ind w:left="3600" w:hanging="360"/>
      </w:pPr>
      <w:rPr>
        <w:rFonts w:ascii="Courier New" w:hAnsi="Courier New" w:hint="default"/>
      </w:rPr>
    </w:lvl>
    <w:lvl w:ilvl="5" w:tplc="220EE054" w:tentative="1">
      <w:start w:val="1"/>
      <w:numFmt w:val="bullet"/>
      <w:lvlText w:val=""/>
      <w:lvlJc w:val="left"/>
      <w:pPr>
        <w:tabs>
          <w:tab w:val="num" w:pos="4320"/>
        </w:tabs>
        <w:ind w:left="4320" w:hanging="360"/>
      </w:pPr>
      <w:rPr>
        <w:rFonts w:ascii="Wingdings" w:hAnsi="Wingdings" w:hint="default"/>
      </w:rPr>
    </w:lvl>
    <w:lvl w:ilvl="6" w:tplc="74A420E6" w:tentative="1">
      <w:start w:val="1"/>
      <w:numFmt w:val="bullet"/>
      <w:lvlText w:val=""/>
      <w:lvlJc w:val="left"/>
      <w:pPr>
        <w:tabs>
          <w:tab w:val="num" w:pos="5040"/>
        </w:tabs>
        <w:ind w:left="5040" w:hanging="360"/>
      </w:pPr>
      <w:rPr>
        <w:rFonts w:ascii="Symbol" w:hAnsi="Symbol" w:hint="default"/>
      </w:rPr>
    </w:lvl>
    <w:lvl w:ilvl="7" w:tplc="91888E34" w:tentative="1">
      <w:start w:val="1"/>
      <w:numFmt w:val="bullet"/>
      <w:lvlText w:val="o"/>
      <w:lvlJc w:val="left"/>
      <w:pPr>
        <w:tabs>
          <w:tab w:val="num" w:pos="5760"/>
        </w:tabs>
        <w:ind w:left="5760" w:hanging="360"/>
      </w:pPr>
      <w:rPr>
        <w:rFonts w:ascii="Courier New" w:hAnsi="Courier New" w:hint="default"/>
      </w:rPr>
    </w:lvl>
    <w:lvl w:ilvl="8" w:tplc="C7860594"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9C71633"/>
    <w:multiLevelType w:val="hybridMultilevel"/>
    <w:tmpl w:val="C736F24C"/>
    <w:lvl w:ilvl="0" w:tplc="9EFA823E">
      <w:start w:val="1"/>
      <w:numFmt w:val="bullet"/>
      <w:lvlText w:val=""/>
      <w:lvlJc w:val="left"/>
      <w:pPr>
        <w:ind w:left="720" w:hanging="360"/>
      </w:pPr>
      <w:rPr>
        <w:rFonts w:ascii="Symbol" w:hAnsi="Symbol" w:hint="default"/>
        <w:sz w:val="22"/>
      </w:rPr>
    </w:lvl>
    <w:lvl w:ilvl="1" w:tplc="2444A364" w:tentative="1">
      <w:start w:val="1"/>
      <w:numFmt w:val="bullet"/>
      <w:lvlText w:val="o"/>
      <w:lvlJc w:val="left"/>
      <w:pPr>
        <w:ind w:left="1440" w:hanging="360"/>
      </w:pPr>
      <w:rPr>
        <w:rFonts w:ascii="Courier New" w:hAnsi="Courier New" w:cs="Courier New" w:hint="default"/>
      </w:rPr>
    </w:lvl>
    <w:lvl w:ilvl="2" w:tplc="D610C344" w:tentative="1">
      <w:start w:val="1"/>
      <w:numFmt w:val="bullet"/>
      <w:lvlText w:val=""/>
      <w:lvlJc w:val="left"/>
      <w:pPr>
        <w:ind w:left="2160" w:hanging="360"/>
      </w:pPr>
      <w:rPr>
        <w:rFonts w:ascii="Wingdings" w:hAnsi="Wingdings" w:hint="default"/>
      </w:rPr>
    </w:lvl>
    <w:lvl w:ilvl="3" w:tplc="BC9C3FE2" w:tentative="1">
      <w:start w:val="1"/>
      <w:numFmt w:val="bullet"/>
      <w:lvlText w:val=""/>
      <w:lvlJc w:val="left"/>
      <w:pPr>
        <w:ind w:left="2880" w:hanging="360"/>
      </w:pPr>
      <w:rPr>
        <w:rFonts w:ascii="Symbol" w:hAnsi="Symbol" w:hint="default"/>
      </w:rPr>
    </w:lvl>
    <w:lvl w:ilvl="4" w:tplc="3B5A383E" w:tentative="1">
      <w:start w:val="1"/>
      <w:numFmt w:val="bullet"/>
      <w:lvlText w:val="o"/>
      <w:lvlJc w:val="left"/>
      <w:pPr>
        <w:ind w:left="3600" w:hanging="360"/>
      </w:pPr>
      <w:rPr>
        <w:rFonts w:ascii="Courier New" w:hAnsi="Courier New" w:cs="Courier New" w:hint="default"/>
      </w:rPr>
    </w:lvl>
    <w:lvl w:ilvl="5" w:tplc="256614B0" w:tentative="1">
      <w:start w:val="1"/>
      <w:numFmt w:val="bullet"/>
      <w:lvlText w:val=""/>
      <w:lvlJc w:val="left"/>
      <w:pPr>
        <w:ind w:left="4320" w:hanging="360"/>
      </w:pPr>
      <w:rPr>
        <w:rFonts w:ascii="Wingdings" w:hAnsi="Wingdings" w:hint="default"/>
      </w:rPr>
    </w:lvl>
    <w:lvl w:ilvl="6" w:tplc="21C6FB6A" w:tentative="1">
      <w:start w:val="1"/>
      <w:numFmt w:val="bullet"/>
      <w:lvlText w:val=""/>
      <w:lvlJc w:val="left"/>
      <w:pPr>
        <w:ind w:left="5040" w:hanging="360"/>
      </w:pPr>
      <w:rPr>
        <w:rFonts w:ascii="Symbol" w:hAnsi="Symbol" w:hint="default"/>
      </w:rPr>
    </w:lvl>
    <w:lvl w:ilvl="7" w:tplc="9EB4E140" w:tentative="1">
      <w:start w:val="1"/>
      <w:numFmt w:val="bullet"/>
      <w:lvlText w:val="o"/>
      <w:lvlJc w:val="left"/>
      <w:pPr>
        <w:ind w:left="5760" w:hanging="360"/>
      </w:pPr>
      <w:rPr>
        <w:rFonts w:ascii="Courier New" w:hAnsi="Courier New" w:cs="Courier New" w:hint="default"/>
      </w:rPr>
    </w:lvl>
    <w:lvl w:ilvl="8" w:tplc="FE6C2056" w:tentative="1">
      <w:start w:val="1"/>
      <w:numFmt w:val="bullet"/>
      <w:lvlText w:val=""/>
      <w:lvlJc w:val="left"/>
      <w:pPr>
        <w:ind w:left="6480" w:hanging="360"/>
      </w:pPr>
      <w:rPr>
        <w:rFonts w:ascii="Wingdings" w:hAnsi="Wingdings" w:hint="default"/>
      </w:rPr>
    </w:lvl>
  </w:abstractNum>
  <w:abstractNum w:abstractNumId="58" w15:restartNumberingAfterBreak="0">
    <w:nsid w:val="1AFA0C37"/>
    <w:multiLevelType w:val="hybridMultilevel"/>
    <w:tmpl w:val="B7A6F28E"/>
    <w:lvl w:ilvl="0" w:tplc="41D869D8">
      <w:start w:val="1"/>
      <w:numFmt w:val="bullet"/>
      <w:lvlText w:val=""/>
      <w:lvlJc w:val="left"/>
      <w:pPr>
        <w:ind w:left="720" w:hanging="360"/>
      </w:pPr>
      <w:rPr>
        <w:rFonts w:ascii="Symbol" w:hAnsi="Symbol" w:hint="default"/>
        <w:sz w:val="22"/>
      </w:rPr>
    </w:lvl>
    <w:lvl w:ilvl="1" w:tplc="0EA40E16" w:tentative="1">
      <w:start w:val="1"/>
      <w:numFmt w:val="bullet"/>
      <w:lvlText w:val="o"/>
      <w:lvlJc w:val="left"/>
      <w:pPr>
        <w:ind w:left="1440" w:hanging="360"/>
      </w:pPr>
      <w:rPr>
        <w:rFonts w:ascii="Courier New" w:hAnsi="Courier New" w:cs="Courier New" w:hint="default"/>
      </w:rPr>
    </w:lvl>
    <w:lvl w:ilvl="2" w:tplc="9E4C511C" w:tentative="1">
      <w:start w:val="1"/>
      <w:numFmt w:val="bullet"/>
      <w:lvlText w:val=""/>
      <w:lvlJc w:val="left"/>
      <w:pPr>
        <w:ind w:left="2160" w:hanging="360"/>
      </w:pPr>
      <w:rPr>
        <w:rFonts w:ascii="Wingdings" w:hAnsi="Wingdings" w:hint="default"/>
      </w:rPr>
    </w:lvl>
    <w:lvl w:ilvl="3" w:tplc="1F6A85C8" w:tentative="1">
      <w:start w:val="1"/>
      <w:numFmt w:val="bullet"/>
      <w:lvlText w:val=""/>
      <w:lvlJc w:val="left"/>
      <w:pPr>
        <w:ind w:left="2880" w:hanging="360"/>
      </w:pPr>
      <w:rPr>
        <w:rFonts w:ascii="Symbol" w:hAnsi="Symbol" w:hint="default"/>
      </w:rPr>
    </w:lvl>
    <w:lvl w:ilvl="4" w:tplc="E6D2CBF8" w:tentative="1">
      <w:start w:val="1"/>
      <w:numFmt w:val="bullet"/>
      <w:lvlText w:val="o"/>
      <w:lvlJc w:val="left"/>
      <w:pPr>
        <w:ind w:left="3600" w:hanging="360"/>
      </w:pPr>
      <w:rPr>
        <w:rFonts w:ascii="Courier New" w:hAnsi="Courier New" w:cs="Courier New" w:hint="default"/>
      </w:rPr>
    </w:lvl>
    <w:lvl w:ilvl="5" w:tplc="798C4B74" w:tentative="1">
      <w:start w:val="1"/>
      <w:numFmt w:val="bullet"/>
      <w:lvlText w:val=""/>
      <w:lvlJc w:val="left"/>
      <w:pPr>
        <w:ind w:left="4320" w:hanging="360"/>
      </w:pPr>
      <w:rPr>
        <w:rFonts w:ascii="Wingdings" w:hAnsi="Wingdings" w:hint="default"/>
      </w:rPr>
    </w:lvl>
    <w:lvl w:ilvl="6" w:tplc="F4AAB5A0" w:tentative="1">
      <w:start w:val="1"/>
      <w:numFmt w:val="bullet"/>
      <w:lvlText w:val=""/>
      <w:lvlJc w:val="left"/>
      <w:pPr>
        <w:ind w:left="5040" w:hanging="360"/>
      </w:pPr>
      <w:rPr>
        <w:rFonts w:ascii="Symbol" w:hAnsi="Symbol" w:hint="default"/>
      </w:rPr>
    </w:lvl>
    <w:lvl w:ilvl="7" w:tplc="2FC4B9A6" w:tentative="1">
      <w:start w:val="1"/>
      <w:numFmt w:val="bullet"/>
      <w:lvlText w:val="o"/>
      <w:lvlJc w:val="left"/>
      <w:pPr>
        <w:ind w:left="5760" w:hanging="360"/>
      </w:pPr>
      <w:rPr>
        <w:rFonts w:ascii="Courier New" w:hAnsi="Courier New" w:cs="Courier New" w:hint="default"/>
      </w:rPr>
    </w:lvl>
    <w:lvl w:ilvl="8" w:tplc="C874C3D2" w:tentative="1">
      <w:start w:val="1"/>
      <w:numFmt w:val="bullet"/>
      <w:lvlText w:val=""/>
      <w:lvlJc w:val="left"/>
      <w:pPr>
        <w:ind w:left="6480" w:hanging="360"/>
      </w:pPr>
      <w:rPr>
        <w:rFonts w:ascii="Wingdings" w:hAnsi="Wingdings" w:hint="default"/>
      </w:rPr>
    </w:lvl>
  </w:abstractNum>
  <w:abstractNum w:abstractNumId="59" w15:restartNumberingAfterBreak="0">
    <w:nsid w:val="1B595148"/>
    <w:multiLevelType w:val="hybridMultilevel"/>
    <w:tmpl w:val="0CF0AE2C"/>
    <w:lvl w:ilvl="0" w:tplc="61D6CB20">
      <w:start w:val="1"/>
      <w:numFmt w:val="bullet"/>
      <w:lvlText w:val=""/>
      <w:lvlJc w:val="left"/>
      <w:pPr>
        <w:tabs>
          <w:tab w:val="num" w:pos="720"/>
        </w:tabs>
        <w:ind w:left="720" w:hanging="360"/>
      </w:pPr>
      <w:rPr>
        <w:rFonts w:ascii="Symbol" w:hAnsi="Symbol" w:hint="default"/>
      </w:rPr>
    </w:lvl>
    <w:lvl w:ilvl="1" w:tplc="12FC8A0E" w:tentative="1">
      <w:start w:val="1"/>
      <w:numFmt w:val="bullet"/>
      <w:lvlText w:val="o"/>
      <w:lvlJc w:val="left"/>
      <w:pPr>
        <w:tabs>
          <w:tab w:val="num" w:pos="1440"/>
        </w:tabs>
        <w:ind w:left="1440" w:hanging="360"/>
      </w:pPr>
      <w:rPr>
        <w:rFonts w:ascii="Courier New" w:hAnsi="Courier New" w:hint="default"/>
      </w:rPr>
    </w:lvl>
    <w:lvl w:ilvl="2" w:tplc="BB24C454" w:tentative="1">
      <w:start w:val="1"/>
      <w:numFmt w:val="bullet"/>
      <w:lvlText w:val=""/>
      <w:lvlJc w:val="left"/>
      <w:pPr>
        <w:tabs>
          <w:tab w:val="num" w:pos="2160"/>
        </w:tabs>
        <w:ind w:left="2160" w:hanging="360"/>
      </w:pPr>
      <w:rPr>
        <w:rFonts w:ascii="Wingdings" w:hAnsi="Wingdings" w:hint="default"/>
      </w:rPr>
    </w:lvl>
    <w:lvl w:ilvl="3" w:tplc="630C2E6E" w:tentative="1">
      <w:start w:val="1"/>
      <w:numFmt w:val="bullet"/>
      <w:lvlText w:val=""/>
      <w:lvlJc w:val="left"/>
      <w:pPr>
        <w:tabs>
          <w:tab w:val="num" w:pos="2880"/>
        </w:tabs>
        <w:ind w:left="2880" w:hanging="360"/>
      </w:pPr>
      <w:rPr>
        <w:rFonts w:ascii="Symbol" w:hAnsi="Symbol" w:hint="default"/>
      </w:rPr>
    </w:lvl>
    <w:lvl w:ilvl="4" w:tplc="9692DD82" w:tentative="1">
      <w:start w:val="1"/>
      <w:numFmt w:val="bullet"/>
      <w:lvlText w:val="o"/>
      <w:lvlJc w:val="left"/>
      <w:pPr>
        <w:tabs>
          <w:tab w:val="num" w:pos="3600"/>
        </w:tabs>
        <w:ind w:left="3600" w:hanging="360"/>
      </w:pPr>
      <w:rPr>
        <w:rFonts w:ascii="Courier New" w:hAnsi="Courier New" w:hint="default"/>
      </w:rPr>
    </w:lvl>
    <w:lvl w:ilvl="5" w:tplc="3E34B26E" w:tentative="1">
      <w:start w:val="1"/>
      <w:numFmt w:val="bullet"/>
      <w:lvlText w:val=""/>
      <w:lvlJc w:val="left"/>
      <w:pPr>
        <w:tabs>
          <w:tab w:val="num" w:pos="4320"/>
        </w:tabs>
        <w:ind w:left="4320" w:hanging="360"/>
      </w:pPr>
      <w:rPr>
        <w:rFonts w:ascii="Wingdings" w:hAnsi="Wingdings" w:hint="default"/>
      </w:rPr>
    </w:lvl>
    <w:lvl w:ilvl="6" w:tplc="DD9AEC66" w:tentative="1">
      <w:start w:val="1"/>
      <w:numFmt w:val="bullet"/>
      <w:lvlText w:val=""/>
      <w:lvlJc w:val="left"/>
      <w:pPr>
        <w:tabs>
          <w:tab w:val="num" w:pos="5040"/>
        </w:tabs>
        <w:ind w:left="5040" w:hanging="360"/>
      </w:pPr>
      <w:rPr>
        <w:rFonts w:ascii="Symbol" w:hAnsi="Symbol" w:hint="default"/>
      </w:rPr>
    </w:lvl>
    <w:lvl w:ilvl="7" w:tplc="AE2EC908" w:tentative="1">
      <w:start w:val="1"/>
      <w:numFmt w:val="bullet"/>
      <w:lvlText w:val="o"/>
      <w:lvlJc w:val="left"/>
      <w:pPr>
        <w:tabs>
          <w:tab w:val="num" w:pos="5760"/>
        </w:tabs>
        <w:ind w:left="5760" w:hanging="360"/>
      </w:pPr>
      <w:rPr>
        <w:rFonts w:ascii="Courier New" w:hAnsi="Courier New" w:hint="default"/>
      </w:rPr>
    </w:lvl>
    <w:lvl w:ilvl="8" w:tplc="D402F63C"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BDC6BD0"/>
    <w:multiLevelType w:val="hybridMultilevel"/>
    <w:tmpl w:val="B0262940"/>
    <w:lvl w:ilvl="0" w:tplc="F030FB00">
      <w:start w:val="1"/>
      <w:numFmt w:val="bullet"/>
      <w:lvlText w:val=""/>
      <w:lvlJc w:val="left"/>
      <w:pPr>
        <w:tabs>
          <w:tab w:val="num" w:pos="720"/>
        </w:tabs>
        <w:ind w:left="720" w:hanging="360"/>
      </w:pPr>
      <w:rPr>
        <w:rFonts w:ascii="Symbol" w:hAnsi="Symbol" w:hint="default"/>
      </w:rPr>
    </w:lvl>
    <w:lvl w:ilvl="1" w:tplc="D23A7ECC" w:tentative="1">
      <w:start w:val="1"/>
      <w:numFmt w:val="bullet"/>
      <w:lvlText w:val="o"/>
      <w:lvlJc w:val="left"/>
      <w:pPr>
        <w:tabs>
          <w:tab w:val="num" w:pos="1440"/>
        </w:tabs>
        <w:ind w:left="1440" w:hanging="360"/>
      </w:pPr>
      <w:rPr>
        <w:rFonts w:ascii="Courier New" w:hAnsi="Courier New" w:hint="default"/>
      </w:rPr>
    </w:lvl>
    <w:lvl w:ilvl="2" w:tplc="E786B19C" w:tentative="1">
      <w:start w:val="1"/>
      <w:numFmt w:val="bullet"/>
      <w:lvlText w:val=""/>
      <w:lvlJc w:val="left"/>
      <w:pPr>
        <w:tabs>
          <w:tab w:val="num" w:pos="2160"/>
        </w:tabs>
        <w:ind w:left="2160" w:hanging="360"/>
      </w:pPr>
      <w:rPr>
        <w:rFonts w:ascii="Wingdings" w:hAnsi="Wingdings" w:hint="default"/>
      </w:rPr>
    </w:lvl>
    <w:lvl w:ilvl="3" w:tplc="4D2A9E26" w:tentative="1">
      <w:start w:val="1"/>
      <w:numFmt w:val="bullet"/>
      <w:lvlText w:val=""/>
      <w:lvlJc w:val="left"/>
      <w:pPr>
        <w:tabs>
          <w:tab w:val="num" w:pos="2880"/>
        </w:tabs>
        <w:ind w:left="2880" w:hanging="360"/>
      </w:pPr>
      <w:rPr>
        <w:rFonts w:ascii="Symbol" w:hAnsi="Symbol" w:hint="default"/>
      </w:rPr>
    </w:lvl>
    <w:lvl w:ilvl="4" w:tplc="917CAC8C" w:tentative="1">
      <w:start w:val="1"/>
      <w:numFmt w:val="bullet"/>
      <w:lvlText w:val="o"/>
      <w:lvlJc w:val="left"/>
      <w:pPr>
        <w:tabs>
          <w:tab w:val="num" w:pos="3600"/>
        </w:tabs>
        <w:ind w:left="3600" w:hanging="360"/>
      </w:pPr>
      <w:rPr>
        <w:rFonts w:ascii="Courier New" w:hAnsi="Courier New" w:hint="default"/>
      </w:rPr>
    </w:lvl>
    <w:lvl w:ilvl="5" w:tplc="FF6452B2" w:tentative="1">
      <w:start w:val="1"/>
      <w:numFmt w:val="bullet"/>
      <w:lvlText w:val=""/>
      <w:lvlJc w:val="left"/>
      <w:pPr>
        <w:tabs>
          <w:tab w:val="num" w:pos="4320"/>
        </w:tabs>
        <w:ind w:left="4320" w:hanging="360"/>
      </w:pPr>
      <w:rPr>
        <w:rFonts w:ascii="Wingdings" w:hAnsi="Wingdings" w:hint="default"/>
      </w:rPr>
    </w:lvl>
    <w:lvl w:ilvl="6" w:tplc="FEB85E5E" w:tentative="1">
      <w:start w:val="1"/>
      <w:numFmt w:val="bullet"/>
      <w:lvlText w:val=""/>
      <w:lvlJc w:val="left"/>
      <w:pPr>
        <w:tabs>
          <w:tab w:val="num" w:pos="5040"/>
        </w:tabs>
        <w:ind w:left="5040" w:hanging="360"/>
      </w:pPr>
      <w:rPr>
        <w:rFonts w:ascii="Symbol" w:hAnsi="Symbol" w:hint="default"/>
      </w:rPr>
    </w:lvl>
    <w:lvl w:ilvl="7" w:tplc="C958A944" w:tentative="1">
      <w:start w:val="1"/>
      <w:numFmt w:val="bullet"/>
      <w:lvlText w:val="o"/>
      <w:lvlJc w:val="left"/>
      <w:pPr>
        <w:tabs>
          <w:tab w:val="num" w:pos="5760"/>
        </w:tabs>
        <w:ind w:left="5760" w:hanging="360"/>
      </w:pPr>
      <w:rPr>
        <w:rFonts w:ascii="Courier New" w:hAnsi="Courier New" w:hint="default"/>
      </w:rPr>
    </w:lvl>
    <w:lvl w:ilvl="8" w:tplc="30E8A8E2"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BDF7E71"/>
    <w:multiLevelType w:val="hybridMultilevel"/>
    <w:tmpl w:val="1B6C7746"/>
    <w:lvl w:ilvl="0" w:tplc="B0C03C04">
      <w:start w:val="1"/>
      <w:numFmt w:val="bullet"/>
      <w:lvlText w:val=""/>
      <w:lvlJc w:val="left"/>
      <w:pPr>
        <w:tabs>
          <w:tab w:val="num" w:pos="720"/>
        </w:tabs>
        <w:ind w:left="720" w:hanging="360"/>
      </w:pPr>
      <w:rPr>
        <w:rFonts w:ascii="Symbol" w:hAnsi="Symbol" w:hint="default"/>
      </w:rPr>
    </w:lvl>
    <w:lvl w:ilvl="1" w:tplc="EA72C284">
      <w:start w:val="1"/>
      <w:numFmt w:val="bullet"/>
      <w:lvlText w:val="o"/>
      <w:lvlJc w:val="left"/>
      <w:pPr>
        <w:tabs>
          <w:tab w:val="num" w:pos="1440"/>
        </w:tabs>
        <w:ind w:left="1440" w:hanging="360"/>
      </w:pPr>
      <w:rPr>
        <w:rFonts w:ascii="Courier New" w:hAnsi="Courier New" w:hint="default"/>
      </w:rPr>
    </w:lvl>
    <w:lvl w:ilvl="2" w:tplc="CEC02100">
      <w:start w:val="1"/>
      <w:numFmt w:val="bullet"/>
      <w:lvlText w:val=""/>
      <w:lvlJc w:val="left"/>
      <w:pPr>
        <w:tabs>
          <w:tab w:val="num" w:pos="2160"/>
        </w:tabs>
        <w:ind w:left="2160" w:hanging="360"/>
      </w:pPr>
      <w:rPr>
        <w:rFonts w:ascii="Symbol" w:hAnsi="Symbol" w:hint="default"/>
      </w:rPr>
    </w:lvl>
    <w:lvl w:ilvl="3" w:tplc="56927266" w:tentative="1">
      <w:start w:val="1"/>
      <w:numFmt w:val="bullet"/>
      <w:lvlText w:val=""/>
      <w:lvlJc w:val="left"/>
      <w:pPr>
        <w:tabs>
          <w:tab w:val="num" w:pos="2880"/>
        </w:tabs>
        <w:ind w:left="2880" w:hanging="360"/>
      </w:pPr>
      <w:rPr>
        <w:rFonts w:ascii="Symbol" w:hAnsi="Symbol" w:hint="default"/>
      </w:rPr>
    </w:lvl>
    <w:lvl w:ilvl="4" w:tplc="1DC6B40A" w:tentative="1">
      <w:start w:val="1"/>
      <w:numFmt w:val="bullet"/>
      <w:lvlText w:val="o"/>
      <w:lvlJc w:val="left"/>
      <w:pPr>
        <w:tabs>
          <w:tab w:val="num" w:pos="3600"/>
        </w:tabs>
        <w:ind w:left="3600" w:hanging="360"/>
      </w:pPr>
      <w:rPr>
        <w:rFonts w:ascii="Courier New" w:hAnsi="Courier New" w:hint="default"/>
      </w:rPr>
    </w:lvl>
    <w:lvl w:ilvl="5" w:tplc="5E2AE298" w:tentative="1">
      <w:start w:val="1"/>
      <w:numFmt w:val="bullet"/>
      <w:lvlText w:val=""/>
      <w:lvlJc w:val="left"/>
      <w:pPr>
        <w:tabs>
          <w:tab w:val="num" w:pos="4320"/>
        </w:tabs>
        <w:ind w:left="4320" w:hanging="360"/>
      </w:pPr>
      <w:rPr>
        <w:rFonts w:ascii="Wingdings" w:hAnsi="Wingdings" w:hint="default"/>
      </w:rPr>
    </w:lvl>
    <w:lvl w:ilvl="6" w:tplc="8D406D06" w:tentative="1">
      <w:start w:val="1"/>
      <w:numFmt w:val="bullet"/>
      <w:lvlText w:val=""/>
      <w:lvlJc w:val="left"/>
      <w:pPr>
        <w:tabs>
          <w:tab w:val="num" w:pos="5040"/>
        </w:tabs>
        <w:ind w:left="5040" w:hanging="360"/>
      </w:pPr>
      <w:rPr>
        <w:rFonts w:ascii="Symbol" w:hAnsi="Symbol" w:hint="default"/>
      </w:rPr>
    </w:lvl>
    <w:lvl w:ilvl="7" w:tplc="210065AC" w:tentative="1">
      <w:start w:val="1"/>
      <w:numFmt w:val="bullet"/>
      <w:lvlText w:val="o"/>
      <w:lvlJc w:val="left"/>
      <w:pPr>
        <w:tabs>
          <w:tab w:val="num" w:pos="5760"/>
        </w:tabs>
        <w:ind w:left="5760" w:hanging="360"/>
      </w:pPr>
      <w:rPr>
        <w:rFonts w:ascii="Courier New" w:hAnsi="Courier New" w:hint="default"/>
      </w:rPr>
    </w:lvl>
    <w:lvl w:ilvl="8" w:tplc="D9D4432E"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C1C1DB2"/>
    <w:multiLevelType w:val="hybridMultilevel"/>
    <w:tmpl w:val="1DA218D8"/>
    <w:lvl w:ilvl="0" w:tplc="8C341884">
      <w:start w:val="1"/>
      <w:numFmt w:val="bullet"/>
      <w:lvlText w:val=""/>
      <w:lvlJc w:val="left"/>
      <w:pPr>
        <w:ind w:left="720" w:hanging="360"/>
      </w:pPr>
      <w:rPr>
        <w:rFonts w:ascii="Symbol" w:hAnsi="Symbol" w:hint="default"/>
      </w:rPr>
    </w:lvl>
    <w:lvl w:ilvl="1" w:tplc="C30C5802" w:tentative="1">
      <w:start w:val="1"/>
      <w:numFmt w:val="bullet"/>
      <w:lvlText w:val="o"/>
      <w:lvlJc w:val="left"/>
      <w:pPr>
        <w:ind w:left="1440" w:hanging="360"/>
      </w:pPr>
      <w:rPr>
        <w:rFonts w:ascii="Courier New" w:hAnsi="Courier New" w:cs="Courier New" w:hint="default"/>
      </w:rPr>
    </w:lvl>
    <w:lvl w:ilvl="2" w:tplc="A5DA301C" w:tentative="1">
      <w:start w:val="1"/>
      <w:numFmt w:val="bullet"/>
      <w:lvlText w:val=""/>
      <w:lvlJc w:val="left"/>
      <w:pPr>
        <w:ind w:left="2160" w:hanging="360"/>
      </w:pPr>
      <w:rPr>
        <w:rFonts w:ascii="Wingdings" w:hAnsi="Wingdings" w:hint="default"/>
      </w:rPr>
    </w:lvl>
    <w:lvl w:ilvl="3" w:tplc="F0EADB5A" w:tentative="1">
      <w:start w:val="1"/>
      <w:numFmt w:val="bullet"/>
      <w:lvlText w:val=""/>
      <w:lvlJc w:val="left"/>
      <w:pPr>
        <w:ind w:left="2880" w:hanging="360"/>
      </w:pPr>
      <w:rPr>
        <w:rFonts w:ascii="Symbol" w:hAnsi="Symbol" w:hint="default"/>
      </w:rPr>
    </w:lvl>
    <w:lvl w:ilvl="4" w:tplc="9D5C59A6" w:tentative="1">
      <w:start w:val="1"/>
      <w:numFmt w:val="bullet"/>
      <w:lvlText w:val="o"/>
      <w:lvlJc w:val="left"/>
      <w:pPr>
        <w:ind w:left="3600" w:hanging="360"/>
      </w:pPr>
      <w:rPr>
        <w:rFonts w:ascii="Courier New" w:hAnsi="Courier New" w:cs="Courier New" w:hint="default"/>
      </w:rPr>
    </w:lvl>
    <w:lvl w:ilvl="5" w:tplc="8806CFBE" w:tentative="1">
      <w:start w:val="1"/>
      <w:numFmt w:val="bullet"/>
      <w:lvlText w:val=""/>
      <w:lvlJc w:val="left"/>
      <w:pPr>
        <w:ind w:left="4320" w:hanging="360"/>
      </w:pPr>
      <w:rPr>
        <w:rFonts w:ascii="Wingdings" w:hAnsi="Wingdings" w:hint="default"/>
      </w:rPr>
    </w:lvl>
    <w:lvl w:ilvl="6" w:tplc="2C7E6482" w:tentative="1">
      <w:start w:val="1"/>
      <w:numFmt w:val="bullet"/>
      <w:lvlText w:val=""/>
      <w:lvlJc w:val="left"/>
      <w:pPr>
        <w:ind w:left="5040" w:hanging="360"/>
      </w:pPr>
      <w:rPr>
        <w:rFonts w:ascii="Symbol" w:hAnsi="Symbol" w:hint="default"/>
      </w:rPr>
    </w:lvl>
    <w:lvl w:ilvl="7" w:tplc="5F6E755E" w:tentative="1">
      <w:start w:val="1"/>
      <w:numFmt w:val="bullet"/>
      <w:lvlText w:val="o"/>
      <w:lvlJc w:val="left"/>
      <w:pPr>
        <w:ind w:left="5760" w:hanging="360"/>
      </w:pPr>
      <w:rPr>
        <w:rFonts w:ascii="Courier New" w:hAnsi="Courier New" w:cs="Courier New" w:hint="default"/>
      </w:rPr>
    </w:lvl>
    <w:lvl w:ilvl="8" w:tplc="247E7744" w:tentative="1">
      <w:start w:val="1"/>
      <w:numFmt w:val="bullet"/>
      <w:lvlText w:val=""/>
      <w:lvlJc w:val="left"/>
      <w:pPr>
        <w:ind w:left="6480" w:hanging="360"/>
      </w:pPr>
      <w:rPr>
        <w:rFonts w:ascii="Wingdings" w:hAnsi="Wingdings" w:hint="default"/>
      </w:rPr>
    </w:lvl>
  </w:abstractNum>
  <w:abstractNum w:abstractNumId="63" w15:restartNumberingAfterBreak="0">
    <w:nsid w:val="1C2F005E"/>
    <w:multiLevelType w:val="hybridMultilevel"/>
    <w:tmpl w:val="6EAC22DA"/>
    <w:lvl w:ilvl="0" w:tplc="EA80C426">
      <w:start w:val="1"/>
      <w:numFmt w:val="bullet"/>
      <w:lvlText w:val=""/>
      <w:lvlJc w:val="left"/>
      <w:pPr>
        <w:tabs>
          <w:tab w:val="num" w:pos="720"/>
        </w:tabs>
        <w:ind w:left="720" w:hanging="360"/>
      </w:pPr>
      <w:rPr>
        <w:rFonts w:ascii="Symbol" w:hAnsi="Symbol" w:hint="default"/>
      </w:rPr>
    </w:lvl>
    <w:lvl w:ilvl="1" w:tplc="6F660554" w:tentative="1">
      <w:start w:val="1"/>
      <w:numFmt w:val="bullet"/>
      <w:lvlText w:val="o"/>
      <w:lvlJc w:val="left"/>
      <w:pPr>
        <w:tabs>
          <w:tab w:val="num" w:pos="1440"/>
        </w:tabs>
        <w:ind w:left="1440" w:hanging="360"/>
      </w:pPr>
      <w:rPr>
        <w:rFonts w:ascii="Courier New" w:hAnsi="Courier New" w:hint="default"/>
      </w:rPr>
    </w:lvl>
    <w:lvl w:ilvl="2" w:tplc="B0C621A0" w:tentative="1">
      <w:start w:val="1"/>
      <w:numFmt w:val="bullet"/>
      <w:lvlText w:val=""/>
      <w:lvlJc w:val="left"/>
      <w:pPr>
        <w:tabs>
          <w:tab w:val="num" w:pos="2160"/>
        </w:tabs>
        <w:ind w:left="2160" w:hanging="360"/>
      </w:pPr>
      <w:rPr>
        <w:rFonts w:ascii="Wingdings" w:hAnsi="Wingdings" w:hint="default"/>
      </w:rPr>
    </w:lvl>
    <w:lvl w:ilvl="3" w:tplc="74B6C8D2" w:tentative="1">
      <w:start w:val="1"/>
      <w:numFmt w:val="bullet"/>
      <w:lvlText w:val=""/>
      <w:lvlJc w:val="left"/>
      <w:pPr>
        <w:tabs>
          <w:tab w:val="num" w:pos="2880"/>
        </w:tabs>
        <w:ind w:left="2880" w:hanging="360"/>
      </w:pPr>
      <w:rPr>
        <w:rFonts w:ascii="Symbol" w:hAnsi="Symbol" w:hint="default"/>
      </w:rPr>
    </w:lvl>
    <w:lvl w:ilvl="4" w:tplc="C6F4F4A4" w:tentative="1">
      <w:start w:val="1"/>
      <w:numFmt w:val="bullet"/>
      <w:lvlText w:val="o"/>
      <w:lvlJc w:val="left"/>
      <w:pPr>
        <w:tabs>
          <w:tab w:val="num" w:pos="3600"/>
        </w:tabs>
        <w:ind w:left="3600" w:hanging="360"/>
      </w:pPr>
      <w:rPr>
        <w:rFonts w:ascii="Courier New" w:hAnsi="Courier New" w:hint="default"/>
      </w:rPr>
    </w:lvl>
    <w:lvl w:ilvl="5" w:tplc="D9D45776" w:tentative="1">
      <w:start w:val="1"/>
      <w:numFmt w:val="bullet"/>
      <w:lvlText w:val=""/>
      <w:lvlJc w:val="left"/>
      <w:pPr>
        <w:tabs>
          <w:tab w:val="num" w:pos="4320"/>
        </w:tabs>
        <w:ind w:left="4320" w:hanging="360"/>
      </w:pPr>
      <w:rPr>
        <w:rFonts w:ascii="Wingdings" w:hAnsi="Wingdings" w:hint="default"/>
      </w:rPr>
    </w:lvl>
    <w:lvl w:ilvl="6" w:tplc="B8C86238" w:tentative="1">
      <w:start w:val="1"/>
      <w:numFmt w:val="bullet"/>
      <w:lvlText w:val=""/>
      <w:lvlJc w:val="left"/>
      <w:pPr>
        <w:tabs>
          <w:tab w:val="num" w:pos="5040"/>
        </w:tabs>
        <w:ind w:left="5040" w:hanging="360"/>
      </w:pPr>
      <w:rPr>
        <w:rFonts w:ascii="Symbol" w:hAnsi="Symbol" w:hint="default"/>
      </w:rPr>
    </w:lvl>
    <w:lvl w:ilvl="7" w:tplc="63D07ACE" w:tentative="1">
      <w:start w:val="1"/>
      <w:numFmt w:val="bullet"/>
      <w:lvlText w:val="o"/>
      <w:lvlJc w:val="left"/>
      <w:pPr>
        <w:tabs>
          <w:tab w:val="num" w:pos="5760"/>
        </w:tabs>
        <w:ind w:left="5760" w:hanging="360"/>
      </w:pPr>
      <w:rPr>
        <w:rFonts w:ascii="Courier New" w:hAnsi="Courier New" w:hint="default"/>
      </w:rPr>
    </w:lvl>
    <w:lvl w:ilvl="8" w:tplc="D132142E"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1C8E35C4"/>
    <w:multiLevelType w:val="hybridMultilevel"/>
    <w:tmpl w:val="D578ED54"/>
    <w:lvl w:ilvl="0" w:tplc="8594262E">
      <w:start w:val="1"/>
      <w:numFmt w:val="bullet"/>
      <w:lvlText w:val=""/>
      <w:lvlJc w:val="left"/>
      <w:pPr>
        <w:tabs>
          <w:tab w:val="num" w:pos="720"/>
        </w:tabs>
        <w:ind w:left="720" w:hanging="360"/>
      </w:pPr>
      <w:rPr>
        <w:rFonts w:ascii="Symbol" w:hAnsi="Symbol" w:hint="default"/>
      </w:rPr>
    </w:lvl>
    <w:lvl w:ilvl="1" w:tplc="353C9FAC" w:tentative="1">
      <w:start w:val="1"/>
      <w:numFmt w:val="bullet"/>
      <w:lvlText w:val="o"/>
      <w:lvlJc w:val="left"/>
      <w:pPr>
        <w:tabs>
          <w:tab w:val="num" w:pos="1440"/>
        </w:tabs>
        <w:ind w:left="1440" w:hanging="360"/>
      </w:pPr>
      <w:rPr>
        <w:rFonts w:ascii="Courier New" w:hAnsi="Courier New" w:hint="default"/>
      </w:rPr>
    </w:lvl>
    <w:lvl w:ilvl="2" w:tplc="132A7482" w:tentative="1">
      <w:start w:val="1"/>
      <w:numFmt w:val="bullet"/>
      <w:lvlText w:val=""/>
      <w:lvlJc w:val="left"/>
      <w:pPr>
        <w:tabs>
          <w:tab w:val="num" w:pos="2160"/>
        </w:tabs>
        <w:ind w:left="2160" w:hanging="360"/>
      </w:pPr>
      <w:rPr>
        <w:rFonts w:ascii="Wingdings" w:hAnsi="Wingdings" w:hint="default"/>
      </w:rPr>
    </w:lvl>
    <w:lvl w:ilvl="3" w:tplc="FCF4DCBA" w:tentative="1">
      <w:start w:val="1"/>
      <w:numFmt w:val="bullet"/>
      <w:lvlText w:val=""/>
      <w:lvlJc w:val="left"/>
      <w:pPr>
        <w:tabs>
          <w:tab w:val="num" w:pos="2880"/>
        </w:tabs>
        <w:ind w:left="2880" w:hanging="360"/>
      </w:pPr>
      <w:rPr>
        <w:rFonts w:ascii="Symbol" w:hAnsi="Symbol" w:hint="default"/>
      </w:rPr>
    </w:lvl>
    <w:lvl w:ilvl="4" w:tplc="459CBF36" w:tentative="1">
      <w:start w:val="1"/>
      <w:numFmt w:val="bullet"/>
      <w:lvlText w:val="o"/>
      <w:lvlJc w:val="left"/>
      <w:pPr>
        <w:tabs>
          <w:tab w:val="num" w:pos="3600"/>
        </w:tabs>
        <w:ind w:left="3600" w:hanging="360"/>
      </w:pPr>
      <w:rPr>
        <w:rFonts w:ascii="Courier New" w:hAnsi="Courier New" w:hint="default"/>
      </w:rPr>
    </w:lvl>
    <w:lvl w:ilvl="5" w:tplc="039E21C8" w:tentative="1">
      <w:start w:val="1"/>
      <w:numFmt w:val="bullet"/>
      <w:lvlText w:val=""/>
      <w:lvlJc w:val="left"/>
      <w:pPr>
        <w:tabs>
          <w:tab w:val="num" w:pos="4320"/>
        </w:tabs>
        <w:ind w:left="4320" w:hanging="360"/>
      </w:pPr>
      <w:rPr>
        <w:rFonts w:ascii="Wingdings" w:hAnsi="Wingdings" w:hint="default"/>
      </w:rPr>
    </w:lvl>
    <w:lvl w:ilvl="6" w:tplc="57525A70" w:tentative="1">
      <w:start w:val="1"/>
      <w:numFmt w:val="bullet"/>
      <w:lvlText w:val=""/>
      <w:lvlJc w:val="left"/>
      <w:pPr>
        <w:tabs>
          <w:tab w:val="num" w:pos="5040"/>
        </w:tabs>
        <w:ind w:left="5040" w:hanging="360"/>
      </w:pPr>
      <w:rPr>
        <w:rFonts w:ascii="Symbol" w:hAnsi="Symbol" w:hint="default"/>
      </w:rPr>
    </w:lvl>
    <w:lvl w:ilvl="7" w:tplc="108E5468" w:tentative="1">
      <w:start w:val="1"/>
      <w:numFmt w:val="bullet"/>
      <w:lvlText w:val="o"/>
      <w:lvlJc w:val="left"/>
      <w:pPr>
        <w:tabs>
          <w:tab w:val="num" w:pos="5760"/>
        </w:tabs>
        <w:ind w:left="5760" w:hanging="360"/>
      </w:pPr>
      <w:rPr>
        <w:rFonts w:ascii="Courier New" w:hAnsi="Courier New" w:hint="default"/>
      </w:rPr>
    </w:lvl>
    <w:lvl w:ilvl="8" w:tplc="ACCA343C"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1C940C9A"/>
    <w:multiLevelType w:val="hybridMultilevel"/>
    <w:tmpl w:val="44861A10"/>
    <w:lvl w:ilvl="0" w:tplc="C6E4C8EC">
      <w:start w:val="1"/>
      <w:numFmt w:val="bullet"/>
      <w:lvlText w:val=""/>
      <w:lvlJc w:val="left"/>
      <w:pPr>
        <w:tabs>
          <w:tab w:val="num" w:pos="720"/>
        </w:tabs>
        <w:ind w:left="720" w:hanging="360"/>
      </w:pPr>
      <w:rPr>
        <w:rFonts w:ascii="Symbol" w:hAnsi="Symbol" w:hint="default"/>
      </w:rPr>
    </w:lvl>
    <w:lvl w:ilvl="1" w:tplc="AA1EDDCE" w:tentative="1">
      <w:start w:val="1"/>
      <w:numFmt w:val="bullet"/>
      <w:lvlText w:val="o"/>
      <w:lvlJc w:val="left"/>
      <w:pPr>
        <w:tabs>
          <w:tab w:val="num" w:pos="1440"/>
        </w:tabs>
        <w:ind w:left="1440" w:hanging="360"/>
      </w:pPr>
      <w:rPr>
        <w:rFonts w:ascii="Courier New" w:hAnsi="Courier New" w:hint="default"/>
      </w:rPr>
    </w:lvl>
    <w:lvl w:ilvl="2" w:tplc="A300BE8E" w:tentative="1">
      <w:start w:val="1"/>
      <w:numFmt w:val="bullet"/>
      <w:lvlText w:val=""/>
      <w:lvlJc w:val="left"/>
      <w:pPr>
        <w:tabs>
          <w:tab w:val="num" w:pos="2160"/>
        </w:tabs>
        <w:ind w:left="2160" w:hanging="360"/>
      </w:pPr>
      <w:rPr>
        <w:rFonts w:ascii="Wingdings" w:hAnsi="Wingdings" w:hint="default"/>
      </w:rPr>
    </w:lvl>
    <w:lvl w:ilvl="3" w:tplc="F56272F0" w:tentative="1">
      <w:start w:val="1"/>
      <w:numFmt w:val="bullet"/>
      <w:lvlText w:val=""/>
      <w:lvlJc w:val="left"/>
      <w:pPr>
        <w:tabs>
          <w:tab w:val="num" w:pos="2880"/>
        </w:tabs>
        <w:ind w:left="2880" w:hanging="360"/>
      </w:pPr>
      <w:rPr>
        <w:rFonts w:ascii="Symbol" w:hAnsi="Symbol" w:hint="default"/>
      </w:rPr>
    </w:lvl>
    <w:lvl w:ilvl="4" w:tplc="CAF008E8" w:tentative="1">
      <w:start w:val="1"/>
      <w:numFmt w:val="bullet"/>
      <w:lvlText w:val="o"/>
      <w:lvlJc w:val="left"/>
      <w:pPr>
        <w:tabs>
          <w:tab w:val="num" w:pos="3600"/>
        </w:tabs>
        <w:ind w:left="3600" w:hanging="360"/>
      </w:pPr>
      <w:rPr>
        <w:rFonts w:ascii="Courier New" w:hAnsi="Courier New" w:hint="default"/>
      </w:rPr>
    </w:lvl>
    <w:lvl w:ilvl="5" w:tplc="0E42778E" w:tentative="1">
      <w:start w:val="1"/>
      <w:numFmt w:val="bullet"/>
      <w:lvlText w:val=""/>
      <w:lvlJc w:val="left"/>
      <w:pPr>
        <w:tabs>
          <w:tab w:val="num" w:pos="4320"/>
        </w:tabs>
        <w:ind w:left="4320" w:hanging="360"/>
      </w:pPr>
      <w:rPr>
        <w:rFonts w:ascii="Wingdings" w:hAnsi="Wingdings" w:hint="default"/>
      </w:rPr>
    </w:lvl>
    <w:lvl w:ilvl="6" w:tplc="F738D7DA" w:tentative="1">
      <w:start w:val="1"/>
      <w:numFmt w:val="bullet"/>
      <w:lvlText w:val=""/>
      <w:lvlJc w:val="left"/>
      <w:pPr>
        <w:tabs>
          <w:tab w:val="num" w:pos="5040"/>
        </w:tabs>
        <w:ind w:left="5040" w:hanging="360"/>
      </w:pPr>
      <w:rPr>
        <w:rFonts w:ascii="Symbol" w:hAnsi="Symbol" w:hint="default"/>
      </w:rPr>
    </w:lvl>
    <w:lvl w:ilvl="7" w:tplc="742E89C6" w:tentative="1">
      <w:start w:val="1"/>
      <w:numFmt w:val="bullet"/>
      <w:lvlText w:val="o"/>
      <w:lvlJc w:val="left"/>
      <w:pPr>
        <w:tabs>
          <w:tab w:val="num" w:pos="5760"/>
        </w:tabs>
        <w:ind w:left="5760" w:hanging="360"/>
      </w:pPr>
      <w:rPr>
        <w:rFonts w:ascii="Courier New" w:hAnsi="Courier New" w:hint="default"/>
      </w:rPr>
    </w:lvl>
    <w:lvl w:ilvl="8" w:tplc="F5F0C104"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1D807E72"/>
    <w:multiLevelType w:val="hybridMultilevel"/>
    <w:tmpl w:val="612C56EC"/>
    <w:lvl w:ilvl="0" w:tplc="F2541D58">
      <w:start w:val="1"/>
      <w:numFmt w:val="lowerLetter"/>
      <w:lvlText w:val="%1"/>
      <w:lvlJc w:val="left"/>
      <w:pPr>
        <w:ind w:left="720" w:hanging="360"/>
      </w:pPr>
      <w:rPr>
        <w:rFonts w:hint="default"/>
        <w:vertAlign w:val="superscript"/>
      </w:rPr>
    </w:lvl>
    <w:lvl w:ilvl="1" w:tplc="12B2B596" w:tentative="1">
      <w:start w:val="1"/>
      <w:numFmt w:val="lowerLetter"/>
      <w:lvlText w:val="%2."/>
      <w:lvlJc w:val="left"/>
      <w:pPr>
        <w:ind w:left="1440" w:hanging="360"/>
      </w:pPr>
    </w:lvl>
    <w:lvl w:ilvl="2" w:tplc="CC94C7E0" w:tentative="1">
      <w:start w:val="1"/>
      <w:numFmt w:val="lowerRoman"/>
      <w:lvlText w:val="%3."/>
      <w:lvlJc w:val="right"/>
      <w:pPr>
        <w:ind w:left="2160" w:hanging="180"/>
      </w:pPr>
    </w:lvl>
    <w:lvl w:ilvl="3" w:tplc="898054AE" w:tentative="1">
      <w:start w:val="1"/>
      <w:numFmt w:val="decimal"/>
      <w:lvlText w:val="%4."/>
      <w:lvlJc w:val="left"/>
      <w:pPr>
        <w:ind w:left="2880" w:hanging="360"/>
      </w:pPr>
    </w:lvl>
    <w:lvl w:ilvl="4" w:tplc="E88CFE34" w:tentative="1">
      <w:start w:val="1"/>
      <w:numFmt w:val="lowerLetter"/>
      <w:lvlText w:val="%5."/>
      <w:lvlJc w:val="left"/>
      <w:pPr>
        <w:ind w:left="3600" w:hanging="360"/>
      </w:pPr>
    </w:lvl>
    <w:lvl w:ilvl="5" w:tplc="D0C0EEC2" w:tentative="1">
      <w:start w:val="1"/>
      <w:numFmt w:val="lowerRoman"/>
      <w:lvlText w:val="%6."/>
      <w:lvlJc w:val="right"/>
      <w:pPr>
        <w:ind w:left="4320" w:hanging="180"/>
      </w:pPr>
    </w:lvl>
    <w:lvl w:ilvl="6" w:tplc="2AF45B26" w:tentative="1">
      <w:start w:val="1"/>
      <w:numFmt w:val="decimal"/>
      <w:lvlText w:val="%7."/>
      <w:lvlJc w:val="left"/>
      <w:pPr>
        <w:ind w:left="5040" w:hanging="360"/>
      </w:pPr>
    </w:lvl>
    <w:lvl w:ilvl="7" w:tplc="13E0E14C" w:tentative="1">
      <w:start w:val="1"/>
      <w:numFmt w:val="lowerLetter"/>
      <w:lvlText w:val="%8."/>
      <w:lvlJc w:val="left"/>
      <w:pPr>
        <w:ind w:left="5760" w:hanging="360"/>
      </w:pPr>
    </w:lvl>
    <w:lvl w:ilvl="8" w:tplc="D1C05B92" w:tentative="1">
      <w:start w:val="1"/>
      <w:numFmt w:val="lowerRoman"/>
      <w:lvlText w:val="%9."/>
      <w:lvlJc w:val="right"/>
      <w:pPr>
        <w:ind w:left="6480" w:hanging="180"/>
      </w:pPr>
    </w:lvl>
  </w:abstractNum>
  <w:abstractNum w:abstractNumId="67" w15:restartNumberingAfterBreak="0">
    <w:nsid w:val="203D0B61"/>
    <w:multiLevelType w:val="hybridMultilevel"/>
    <w:tmpl w:val="5F4ED130"/>
    <w:lvl w:ilvl="0" w:tplc="68BC7F46">
      <w:start w:val="38"/>
      <w:numFmt w:val="bullet"/>
      <w:lvlText w:val="-"/>
      <w:lvlJc w:val="left"/>
      <w:pPr>
        <w:ind w:left="720" w:hanging="360"/>
      </w:pPr>
      <w:rPr>
        <w:rFonts w:hint="default"/>
      </w:rPr>
    </w:lvl>
    <w:lvl w:ilvl="1" w:tplc="3FC6DAAE" w:tentative="1">
      <w:start w:val="1"/>
      <w:numFmt w:val="bullet"/>
      <w:lvlText w:val="o"/>
      <w:lvlJc w:val="left"/>
      <w:pPr>
        <w:ind w:left="1440" w:hanging="360"/>
      </w:pPr>
      <w:rPr>
        <w:rFonts w:ascii="Courier New" w:hAnsi="Courier New" w:cs="Courier New" w:hint="default"/>
      </w:rPr>
    </w:lvl>
    <w:lvl w:ilvl="2" w:tplc="D1121E92" w:tentative="1">
      <w:start w:val="1"/>
      <w:numFmt w:val="bullet"/>
      <w:lvlText w:val=""/>
      <w:lvlJc w:val="left"/>
      <w:pPr>
        <w:ind w:left="2160" w:hanging="360"/>
      </w:pPr>
      <w:rPr>
        <w:rFonts w:ascii="Wingdings" w:hAnsi="Wingdings" w:hint="default"/>
      </w:rPr>
    </w:lvl>
    <w:lvl w:ilvl="3" w:tplc="17C8A464" w:tentative="1">
      <w:start w:val="1"/>
      <w:numFmt w:val="bullet"/>
      <w:lvlText w:val=""/>
      <w:lvlJc w:val="left"/>
      <w:pPr>
        <w:ind w:left="2880" w:hanging="360"/>
      </w:pPr>
      <w:rPr>
        <w:rFonts w:ascii="Symbol" w:hAnsi="Symbol" w:hint="default"/>
      </w:rPr>
    </w:lvl>
    <w:lvl w:ilvl="4" w:tplc="39189FD8" w:tentative="1">
      <w:start w:val="1"/>
      <w:numFmt w:val="bullet"/>
      <w:lvlText w:val="o"/>
      <w:lvlJc w:val="left"/>
      <w:pPr>
        <w:ind w:left="3600" w:hanging="360"/>
      </w:pPr>
      <w:rPr>
        <w:rFonts w:ascii="Courier New" w:hAnsi="Courier New" w:cs="Courier New" w:hint="default"/>
      </w:rPr>
    </w:lvl>
    <w:lvl w:ilvl="5" w:tplc="C4D22FDE" w:tentative="1">
      <w:start w:val="1"/>
      <w:numFmt w:val="bullet"/>
      <w:lvlText w:val=""/>
      <w:lvlJc w:val="left"/>
      <w:pPr>
        <w:ind w:left="4320" w:hanging="360"/>
      </w:pPr>
      <w:rPr>
        <w:rFonts w:ascii="Wingdings" w:hAnsi="Wingdings" w:hint="default"/>
      </w:rPr>
    </w:lvl>
    <w:lvl w:ilvl="6" w:tplc="E7FEAEF8" w:tentative="1">
      <w:start w:val="1"/>
      <w:numFmt w:val="bullet"/>
      <w:lvlText w:val=""/>
      <w:lvlJc w:val="left"/>
      <w:pPr>
        <w:ind w:left="5040" w:hanging="360"/>
      </w:pPr>
      <w:rPr>
        <w:rFonts w:ascii="Symbol" w:hAnsi="Symbol" w:hint="default"/>
      </w:rPr>
    </w:lvl>
    <w:lvl w:ilvl="7" w:tplc="F1886DFA" w:tentative="1">
      <w:start w:val="1"/>
      <w:numFmt w:val="bullet"/>
      <w:lvlText w:val="o"/>
      <w:lvlJc w:val="left"/>
      <w:pPr>
        <w:ind w:left="5760" w:hanging="360"/>
      </w:pPr>
      <w:rPr>
        <w:rFonts w:ascii="Courier New" w:hAnsi="Courier New" w:cs="Courier New" w:hint="default"/>
      </w:rPr>
    </w:lvl>
    <w:lvl w:ilvl="8" w:tplc="AD648A12" w:tentative="1">
      <w:start w:val="1"/>
      <w:numFmt w:val="bullet"/>
      <w:lvlText w:val=""/>
      <w:lvlJc w:val="left"/>
      <w:pPr>
        <w:ind w:left="6480" w:hanging="360"/>
      </w:pPr>
      <w:rPr>
        <w:rFonts w:ascii="Wingdings" w:hAnsi="Wingdings" w:hint="default"/>
      </w:rPr>
    </w:lvl>
  </w:abstractNum>
  <w:abstractNum w:abstractNumId="68" w15:restartNumberingAfterBreak="0">
    <w:nsid w:val="20744756"/>
    <w:multiLevelType w:val="hybridMultilevel"/>
    <w:tmpl w:val="D8ACFC92"/>
    <w:lvl w:ilvl="0" w:tplc="220C9F5C">
      <w:start w:val="1"/>
      <w:numFmt w:val="lowerLetter"/>
      <w:lvlText w:val="%1"/>
      <w:lvlJc w:val="left"/>
      <w:pPr>
        <w:ind w:left="360" w:hanging="360"/>
      </w:pPr>
      <w:rPr>
        <w:rFonts w:ascii="Times New Roman" w:hAnsi="Times New Roman" w:cs="Times New Roman" w:hint="default"/>
        <w:b w:val="0"/>
        <w:i w:val="0"/>
        <w:caps w:val="0"/>
        <w:sz w:val="22"/>
        <w:szCs w:val="22"/>
        <w:u w:val="none"/>
        <w:vertAlign w:val="superscript"/>
      </w:rPr>
    </w:lvl>
    <w:lvl w:ilvl="1" w:tplc="23980930" w:tentative="1">
      <w:start w:val="1"/>
      <w:numFmt w:val="lowerLetter"/>
      <w:lvlText w:val="%2."/>
      <w:lvlJc w:val="left"/>
      <w:pPr>
        <w:ind w:left="1440" w:hanging="360"/>
      </w:pPr>
    </w:lvl>
    <w:lvl w:ilvl="2" w:tplc="E326AD52" w:tentative="1">
      <w:start w:val="1"/>
      <w:numFmt w:val="lowerRoman"/>
      <w:lvlText w:val="%3."/>
      <w:lvlJc w:val="right"/>
      <w:pPr>
        <w:ind w:left="2160" w:hanging="180"/>
      </w:pPr>
    </w:lvl>
    <w:lvl w:ilvl="3" w:tplc="C3A40238" w:tentative="1">
      <w:start w:val="1"/>
      <w:numFmt w:val="decimal"/>
      <w:lvlText w:val="%4."/>
      <w:lvlJc w:val="left"/>
      <w:pPr>
        <w:ind w:left="2880" w:hanging="360"/>
      </w:pPr>
    </w:lvl>
    <w:lvl w:ilvl="4" w:tplc="749011FE" w:tentative="1">
      <w:start w:val="1"/>
      <w:numFmt w:val="lowerLetter"/>
      <w:lvlText w:val="%5."/>
      <w:lvlJc w:val="left"/>
      <w:pPr>
        <w:ind w:left="3600" w:hanging="360"/>
      </w:pPr>
    </w:lvl>
    <w:lvl w:ilvl="5" w:tplc="BFC20264" w:tentative="1">
      <w:start w:val="1"/>
      <w:numFmt w:val="lowerRoman"/>
      <w:lvlText w:val="%6."/>
      <w:lvlJc w:val="right"/>
      <w:pPr>
        <w:ind w:left="4320" w:hanging="180"/>
      </w:pPr>
    </w:lvl>
    <w:lvl w:ilvl="6" w:tplc="3782059E" w:tentative="1">
      <w:start w:val="1"/>
      <w:numFmt w:val="decimal"/>
      <w:lvlText w:val="%7."/>
      <w:lvlJc w:val="left"/>
      <w:pPr>
        <w:ind w:left="5040" w:hanging="360"/>
      </w:pPr>
    </w:lvl>
    <w:lvl w:ilvl="7" w:tplc="FAA09644" w:tentative="1">
      <w:start w:val="1"/>
      <w:numFmt w:val="lowerLetter"/>
      <w:lvlText w:val="%8."/>
      <w:lvlJc w:val="left"/>
      <w:pPr>
        <w:ind w:left="5760" w:hanging="360"/>
      </w:pPr>
    </w:lvl>
    <w:lvl w:ilvl="8" w:tplc="2CA04084" w:tentative="1">
      <w:start w:val="1"/>
      <w:numFmt w:val="lowerRoman"/>
      <w:lvlText w:val="%9."/>
      <w:lvlJc w:val="right"/>
      <w:pPr>
        <w:ind w:left="6480" w:hanging="180"/>
      </w:pPr>
    </w:lvl>
  </w:abstractNum>
  <w:abstractNum w:abstractNumId="69" w15:restartNumberingAfterBreak="0">
    <w:nsid w:val="20840D25"/>
    <w:multiLevelType w:val="hybridMultilevel"/>
    <w:tmpl w:val="FB06D78A"/>
    <w:lvl w:ilvl="0" w:tplc="E24E632E">
      <w:start w:val="1"/>
      <w:numFmt w:val="bullet"/>
      <w:lvlText w:val=""/>
      <w:lvlJc w:val="left"/>
      <w:pPr>
        <w:ind w:left="1854" w:hanging="360"/>
      </w:pPr>
      <w:rPr>
        <w:rFonts w:ascii="Symbol" w:hAnsi="Symbol" w:hint="default"/>
      </w:rPr>
    </w:lvl>
    <w:lvl w:ilvl="1" w:tplc="6E0E9658" w:tentative="1">
      <w:start w:val="1"/>
      <w:numFmt w:val="bullet"/>
      <w:lvlText w:val="o"/>
      <w:lvlJc w:val="left"/>
      <w:pPr>
        <w:ind w:left="2574" w:hanging="360"/>
      </w:pPr>
      <w:rPr>
        <w:rFonts w:ascii="Courier New" w:hAnsi="Courier New" w:cs="Courier New" w:hint="default"/>
      </w:rPr>
    </w:lvl>
    <w:lvl w:ilvl="2" w:tplc="541C18A0" w:tentative="1">
      <w:start w:val="1"/>
      <w:numFmt w:val="bullet"/>
      <w:lvlText w:val=""/>
      <w:lvlJc w:val="left"/>
      <w:pPr>
        <w:ind w:left="3294" w:hanging="360"/>
      </w:pPr>
      <w:rPr>
        <w:rFonts w:ascii="Wingdings" w:hAnsi="Wingdings" w:hint="default"/>
      </w:rPr>
    </w:lvl>
    <w:lvl w:ilvl="3" w:tplc="04545DCA" w:tentative="1">
      <w:start w:val="1"/>
      <w:numFmt w:val="bullet"/>
      <w:lvlText w:val=""/>
      <w:lvlJc w:val="left"/>
      <w:pPr>
        <w:ind w:left="4014" w:hanging="360"/>
      </w:pPr>
      <w:rPr>
        <w:rFonts w:ascii="Symbol" w:hAnsi="Symbol" w:hint="default"/>
      </w:rPr>
    </w:lvl>
    <w:lvl w:ilvl="4" w:tplc="6EC891AC" w:tentative="1">
      <w:start w:val="1"/>
      <w:numFmt w:val="bullet"/>
      <w:lvlText w:val="o"/>
      <w:lvlJc w:val="left"/>
      <w:pPr>
        <w:ind w:left="4734" w:hanging="360"/>
      </w:pPr>
      <w:rPr>
        <w:rFonts w:ascii="Courier New" w:hAnsi="Courier New" w:cs="Courier New" w:hint="default"/>
      </w:rPr>
    </w:lvl>
    <w:lvl w:ilvl="5" w:tplc="19E4C18C" w:tentative="1">
      <w:start w:val="1"/>
      <w:numFmt w:val="bullet"/>
      <w:lvlText w:val=""/>
      <w:lvlJc w:val="left"/>
      <w:pPr>
        <w:ind w:left="5454" w:hanging="360"/>
      </w:pPr>
      <w:rPr>
        <w:rFonts w:ascii="Wingdings" w:hAnsi="Wingdings" w:hint="default"/>
      </w:rPr>
    </w:lvl>
    <w:lvl w:ilvl="6" w:tplc="B5D65E90" w:tentative="1">
      <w:start w:val="1"/>
      <w:numFmt w:val="bullet"/>
      <w:lvlText w:val=""/>
      <w:lvlJc w:val="left"/>
      <w:pPr>
        <w:ind w:left="6174" w:hanging="360"/>
      </w:pPr>
      <w:rPr>
        <w:rFonts w:ascii="Symbol" w:hAnsi="Symbol" w:hint="default"/>
      </w:rPr>
    </w:lvl>
    <w:lvl w:ilvl="7" w:tplc="4E740B26" w:tentative="1">
      <w:start w:val="1"/>
      <w:numFmt w:val="bullet"/>
      <w:lvlText w:val="o"/>
      <w:lvlJc w:val="left"/>
      <w:pPr>
        <w:ind w:left="6894" w:hanging="360"/>
      </w:pPr>
      <w:rPr>
        <w:rFonts w:ascii="Courier New" w:hAnsi="Courier New" w:cs="Courier New" w:hint="default"/>
      </w:rPr>
    </w:lvl>
    <w:lvl w:ilvl="8" w:tplc="FC887F14" w:tentative="1">
      <w:start w:val="1"/>
      <w:numFmt w:val="bullet"/>
      <w:lvlText w:val=""/>
      <w:lvlJc w:val="left"/>
      <w:pPr>
        <w:ind w:left="7614" w:hanging="360"/>
      </w:pPr>
      <w:rPr>
        <w:rFonts w:ascii="Wingdings" w:hAnsi="Wingdings" w:hint="default"/>
      </w:rPr>
    </w:lvl>
  </w:abstractNum>
  <w:abstractNum w:abstractNumId="70" w15:restartNumberingAfterBreak="0">
    <w:nsid w:val="2126668C"/>
    <w:multiLevelType w:val="hybridMultilevel"/>
    <w:tmpl w:val="055E54AE"/>
    <w:lvl w:ilvl="0" w:tplc="D3C839DA">
      <w:start w:val="1"/>
      <w:numFmt w:val="lowerLetter"/>
      <w:lvlText w:val="%1"/>
      <w:lvlJc w:val="left"/>
      <w:pPr>
        <w:ind w:left="720" w:hanging="360"/>
      </w:pPr>
      <w:rPr>
        <w:rFonts w:hint="default"/>
        <w:sz w:val="16"/>
        <w:szCs w:val="16"/>
        <w:vertAlign w:val="superscript"/>
      </w:rPr>
    </w:lvl>
    <w:lvl w:ilvl="1" w:tplc="E482CA7A" w:tentative="1">
      <w:start w:val="1"/>
      <w:numFmt w:val="lowerLetter"/>
      <w:lvlText w:val="%2."/>
      <w:lvlJc w:val="left"/>
      <w:pPr>
        <w:ind w:left="1440" w:hanging="360"/>
      </w:pPr>
    </w:lvl>
    <w:lvl w:ilvl="2" w:tplc="3FCAA612" w:tentative="1">
      <w:start w:val="1"/>
      <w:numFmt w:val="lowerRoman"/>
      <w:lvlText w:val="%3."/>
      <w:lvlJc w:val="right"/>
      <w:pPr>
        <w:ind w:left="2160" w:hanging="180"/>
      </w:pPr>
    </w:lvl>
    <w:lvl w:ilvl="3" w:tplc="ABD46B2A" w:tentative="1">
      <w:start w:val="1"/>
      <w:numFmt w:val="decimal"/>
      <w:lvlText w:val="%4."/>
      <w:lvlJc w:val="left"/>
      <w:pPr>
        <w:ind w:left="2880" w:hanging="360"/>
      </w:pPr>
    </w:lvl>
    <w:lvl w:ilvl="4" w:tplc="C8AE378E" w:tentative="1">
      <w:start w:val="1"/>
      <w:numFmt w:val="lowerLetter"/>
      <w:lvlText w:val="%5."/>
      <w:lvlJc w:val="left"/>
      <w:pPr>
        <w:ind w:left="3600" w:hanging="360"/>
      </w:pPr>
    </w:lvl>
    <w:lvl w:ilvl="5" w:tplc="CA8E3D74" w:tentative="1">
      <w:start w:val="1"/>
      <w:numFmt w:val="lowerRoman"/>
      <w:lvlText w:val="%6."/>
      <w:lvlJc w:val="right"/>
      <w:pPr>
        <w:ind w:left="4320" w:hanging="180"/>
      </w:pPr>
    </w:lvl>
    <w:lvl w:ilvl="6" w:tplc="FE801AEA" w:tentative="1">
      <w:start w:val="1"/>
      <w:numFmt w:val="decimal"/>
      <w:lvlText w:val="%7."/>
      <w:lvlJc w:val="left"/>
      <w:pPr>
        <w:ind w:left="5040" w:hanging="360"/>
      </w:pPr>
    </w:lvl>
    <w:lvl w:ilvl="7" w:tplc="D0A869FE" w:tentative="1">
      <w:start w:val="1"/>
      <w:numFmt w:val="lowerLetter"/>
      <w:lvlText w:val="%8."/>
      <w:lvlJc w:val="left"/>
      <w:pPr>
        <w:ind w:left="5760" w:hanging="360"/>
      </w:pPr>
    </w:lvl>
    <w:lvl w:ilvl="8" w:tplc="CE449A6E" w:tentative="1">
      <w:start w:val="1"/>
      <w:numFmt w:val="lowerRoman"/>
      <w:lvlText w:val="%9."/>
      <w:lvlJc w:val="right"/>
      <w:pPr>
        <w:ind w:left="6480" w:hanging="180"/>
      </w:pPr>
    </w:lvl>
  </w:abstractNum>
  <w:abstractNum w:abstractNumId="71" w15:restartNumberingAfterBreak="0">
    <w:nsid w:val="22556153"/>
    <w:multiLevelType w:val="hybridMultilevel"/>
    <w:tmpl w:val="DC8ED282"/>
    <w:lvl w:ilvl="0" w:tplc="8402DD0C">
      <w:start w:val="1"/>
      <w:numFmt w:val="decimal"/>
      <w:lvlText w:val="%1."/>
      <w:lvlJc w:val="left"/>
      <w:pPr>
        <w:tabs>
          <w:tab w:val="num" w:pos="720"/>
        </w:tabs>
        <w:ind w:left="720" w:hanging="360"/>
      </w:pPr>
      <w:rPr>
        <w:rFonts w:hint="default"/>
      </w:rPr>
    </w:lvl>
    <w:lvl w:ilvl="1" w:tplc="D304EAD4">
      <w:start w:val="1"/>
      <w:numFmt w:val="lowerLetter"/>
      <w:lvlText w:val="%2."/>
      <w:lvlJc w:val="left"/>
      <w:pPr>
        <w:tabs>
          <w:tab w:val="num" w:pos="1440"/>
        </w:tabs>
        <w:ind w:left="1440" w:hanging="360"/>
      </w:pPr>
    </w:lvl>
    <w:lvl w:ilvl="2" w:tplc="5D38AD4A">
      <w:start w:val="1"/>
      <w:numFmt w:val="lowerRoman"/>
      <w:lvlText w:val="%3."/>
      <w:lvlJc w:val="right"/>
      <w:pPr>
        <w:tabs>
          <w:tab w:val="num" w:pos="2160"/>
        </w:tabs>
        <w:ind w:left="2160" w:hanging="180"/>
      </w:pPr>
    </w:lvl>
    <w:lvl w:ilvl="3" w:tplc="A16880C8" w:tentative="1">
      <w:start w:val="1"/>
      <w:numFmt w:val="decimal"/>
      <w:lvlText w:val="%4."/>
      <w:lvlJc w:val="left"/>
      <w:pPr>
        <w:tabs>
          <w:tab w:val="num" w:pos="2880"/>
        </w:tabs>
        <w:ind w:left="2880" w:hanging="360"/>
      </w:pPr>
    </w:lvl>
    <w:lvl w:ilvl="4" w:tplc="E4F07FAC" w:tentative="1">
      <w:start w:val="1"/>
      <w:numFmt w:val="lowerLetter"/>
      <w:lvlText w:val="%5."/>
      <w:lvlJc w:val="left"/>
      <w:pPr>
        <w:tabs>
          <w:tab w:val="num" w:pos="3600"/>
        </w:tabs>
        <w:ind w:left="3600" w:hanging="360"/>
      </w:pPr>
    </w:lvl>
    <w:lvl w:ilvl="5" w:tplc="8878FF86" w:tentative="1">
      <w:start w:val="1"/>
      <w:numFmt w:val="lowerRoman"/>
      <w:lvlText w:val="%6."/>
      <w:lvlJc w:val="right"/>
      <w:pPr>
        <w:tabs>
          <w:tab w:val="num" w:pos="4320"/>
        </w:tabs>
        <w:ind w:left="4320" w:hanging="180"/>
      </w:pPr>
    </w:lvl>
    <w:lvl w:ilvl="6" w:tplc="7A8CF20E" w:tentative="1">
      <w:start w:val="1"/>
      <w:numFmt w:val="decimal"/>
      <w:lvlText w:val="%7."/>
      <w:lvlJc w:val="left"/>
      <w:pPr>
        <w:tabs>
          <w:tab w:val="num" w:pos="5040"/>
        </w:tabs>
        <w:ind w:left="5040" w:hanging="360"/>
      </w:pPr>
    </w:lvl>
    <w:lvl w:ilvl="7" w:tplc="C9704DC6" w:tentative="1">
      <w:start w:val="1"/>
      <w:numFmt w:val="lowerLetter"/>
      <w:lvlText w:val="%8."/>
      <w:lvlJc w:val="left"/>
      <w:pPr>
        <w:tabs>
          <w:tab w:val="num" w:pos="5760"/>
        </w:tabs>
        <w:ind w:left="5760" w:hanging="360"/>
      </w:pPr>
    </w:lvl>
    <w:lvl w:ilvl="8" w:tplc="2B468304" w:tentative="1">
      <w:start w:val="1"/>
      <w:numFmt w:val="lowerRoman"/>
      <w:lvlText w:val="%9."/>
      <w:lvlJc w:val="right"/>
      <w:pPr>
        <w:tabs>
          <w:tab w:val="num" w:pos="6480"/>
        </w:tabs>
        <w:ind w:left="6480" w:hanging="180"/>
      </w:pPr>
    </w:lvl>
  </w:abstractNum>
  <w:abstractNum w:abstractNumId="72" w15:restartNumberingAfterBreak="0">
    <w:nsid w:val="234A7A67"/>
    <w:multiLevelType w:val="hybridMultilevel"/>
    <w:tmpl w:val="12A0DC4C"/>
    <w:lvl w:ilvl="0" w:tplc="19C04C02">
      <w:start w:val="1"/>
      <w:numFmt w:val="bullet"/>
      <w:lvlText w:val=""/>
      <w:lvlJc w:val="left"/>
      <w:pPr>
        <w:tabs>
          <w:tab w:val="num" w:pos="720"/>
        </w:tabs>
        <w:ind w:left="720" w:hanging="360"/>
      </w:pPr>
      <w:rPr>
        <w:rFonts w:ascii="Symbol" w:hAnsi="Symbol" w:hint="default"/>
        <w:sz w:val="22"/>
      </w:rPr>
    </w:lvl>
    <w:lvl w:ilvl="1" w:tplc="5072B298">
      <w:start w:val="1"/>
      <w:numFmt w:val="bullet"/>
      <w:lvlText w:val="o"/>
      <w:lvlJc w:val="left"/>
      <w:pPr>
        <w:tabs>
          <w:tab w:val="num" w:pos="1440"/>
        </w:tabs>
        <w:ind w:left="1440" w:hanging="360"/>
      </w:pPr>
      <w:rPr>
        <w:rFonts w:ascii="Courier New" w:hAnsi="Courier New" w:hint="default"/>
      </w:rPr>
    </w:lvl>
    <w:lvl w:ilvl="2" w:tplc="E91C9870" w:tentative="1">
      <w:start w:val="1"/>
      <w:numFmt w:val="bullet"/>
      <w:lvlText w:val=""/>
      <w:lvlJc w:val="left"/>
      <w:pPr>
        <w:tabs>
          <w:tab w:val="num" w:pos="2160"/>
        </w:tabs>
        <w:ind w:left="2160" w:hanging="360"/>
      </w:pPr>
      <w:rPr>
        <w:rFonts w:ascii="Wingdings" w:hAnsi="Wingdings" w:hint="default"/>
      </w:rPr>
    </w:lvl>
    <w:lvl w:ilvl="3" w:tplc="66CAC348" w:tentative="1">
      <w:start w:val="1"/>
      <w:numFmt w:val="bullet"/>
      <w:lvlText w:val=""/>
      <w:lvlJc w:val="left"/>
      <w:pPr>
        <w:tabs>
          <w:tab w:val="num" w:pos="2880"/>
        </w:tabs>
        <w:ind w:left="2880" w:hanging="360"/>
      </w:pPr>
      <w:rPr>
        <w:rFonts w:ascii="Symbol" w:hAnsi="Symbol" w:hint="default"/>
      </w:rPr>
    </w:lvl>
    <w:lvl w:ilvl="4" w:tplc="3ACABA64" w:tentative="1">
      <w:start w:val="1"/>
      <w:numFmt w:val="bullet"/>
      <w:lvlText w:val="o"/>
      <w:lvlJc w:val="left"/>
      <w:pPr>
        <w:tabs>
          <w:tab w:val="num" w:pos="3600"/>
        </w:tabs>
        <w:ind w:left="3600" w:hanging="360"/>
      </w:pPr>
      <w:rPr>
        <w:rFonts w:ascii="Courier New" w:hAnsi="Courier New" w:hint="default"/>
      </w:rPr>
    </w:lvl>
    <w:lvl w:ilvl="5" w:tplc="44B8A980" w:tentative="1">
      <w:start w:val="1"/>
      <w:numFmt w:val="bullet"/>
      <w:lvlText w:val=""/>
      <w:lvlJc w:val="left"/>
      <w:pPr>
        <w:tabs>
          <w:tab w:val="num" w:pos="4320"/>
        </w:tabs>
        <w:ind w:left="4320" w:hanging="360"/>
      </w:pPr>
      <w:rPr>
        <w:rFonts w:ascii="Wingdings" w:hAnsi="Wingdings" w:hint="default"/>
      </w:rPr>
    </w:lvl>
    <w:lvl w:ilvl="6" w:tplc="197E8070" w:tentative="1">
      <w:start w:val="1"/>
      <w:numFmt w:val="bullet"/>
      <w:lvlText w:val=""/>
      <w:lvlJc w:val="left"/>
      <w:pPr>
        <w:tabs>
          <w:tab w:val="num" w:pos="5040"/>
        </w:tabs>
        <w:ind w:left="5040" w:hanging="360"/>
      </w:pPr>
      <w:rPr>
        <w:rFonts w:ascii="Symbol" w:hAnsi="Symbol" w:hint="default"/>
      </w:rPr>
    </w:lvl>
    <w:lvl w:ilvl="7" w:tplc="EE66539C" w:tentative="1">
      <w:start w:val="1"/>
      <w:numFmt w:val="bullet"/>
      <w:lvlText w:val="o"/>
      <w:lvlJc w:val="left"/>
      <w:pPr>
        <w:tabs>
          <w:tab w:val="num" w:pos="5760"/>
        </w:tabs>
        <w:ind w:left="5760" w:hanging="360"/>
      </w:pPr>
      <w:rPr>
        <w:rFonts w:ascii="Courier New" w:hAnsi="Courier New" w:hint="default"/>
      </w:rPr>
    </w:lvl>
    <w:lvl w:ilvl="8" w:tplc="DDE8C842"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24760441"/>
    <w:multiLevelType w:val="hybridMultilevel"/>
    <w:tmpl w:val="3CBAF4F6"/>
    <w:lvl w:ilvl="0" w:tplc="9842A584">
      <w:start w:val="39"/>
      <w:numFmt w:val="decimal"/>
      <w:lvlText w:val="%1"/>
      <w:lvlJc w:val="left"/>
      <w:pPr>
        <w:ind w:left="720" w:hanging="360"/>
      </w:pPr>
      <w:rPr>
        <w:rFonts w:hint="default"/>
      </w:rPr>
    </w:lvl>
    <w:lvl w:ilvl="1" w:tplc="2166A09E" w:tentative="1">
      <w:start w:val="1"/>
      <w:numFmt w:val="lowerLetter"/>
      <w:lvlText w:val="%2."/>
      <w:lvlJc w:val="left"/>
      <w:pPr>
        <w:ind w:left="1440" w:hanging="360"/>
      </w:pPr>
    </w:lvl>
    <w:lvl w:ilvl="2" w:tplc="61C403F4" w:tentative="1">
      <w:start w:val="1"/>
      <w:numFmt w:val="lowerRoman"/>
      <w:lvlText w:val="%3."/>
      <w:lvlJc w:val="right"/>
      <w:pPr>
        <w:ind w:left="2160" w:hanging="180"/>
      </w:pPr>
    </w:lvl>
    <w:lvl w:ilvl="3" w:tplc="E834D33E" w:tentative="1">
      <w:start w:val="1"/>
      <w:numFmt w:val="decimal"/>
      <w:lvlText w:val="%4."/>
      <w:lvlJc w:val="left"/>
      <w:pPr>
        <w:ind w:left="2880" w:hanging="360"/>
      </w:pPr>
    </w:lvl>
    <w:lvl w:ilvl="4" w:tplc="A5D21476" w:tentative="1">
      <w:start w:val="1"/>
      <w:numFmt w:val="lowerLetter"/>
      <w:lvlText w:val="%5."/>
      <w:lvlJc w:val="left"/>
      <w:pPr>
        <w:ind w:left="3600" w:hanging="360"/>
      </w:pPr>
    </w:lvl>
    <w:lvl w:ilvl="5" w:tplc="4D8EB9CE" w:tentative="1">
      <w:start w:val="1"/>
      <w:numFmt w:val="lowerRoman"/>
      <w:lvlText w:val="%6."/>
      <w:lvlJc w:val="right"/>
      <w:pPr>
        <w:ind w:left="4320" w:hanging="180"/>
      </w:pPr>
    </w:lvl>
    <w:lvl w:ilvl="6" w:tplc="BE4E2D36" w:tentative="1">
      <w:start w:val="1"/>
      <w:numFmt w:val="decimal"/>
      <w:lvlText w:val="%7."/>
      <w:lvlJc w:val="left"/>
      <w:pPr>
        <w:ind w:left="5040" w:hanging="360"/>
      </w:pPr>
    </w:lvl>
    <w:lvl w:ilvl="7" w:tplc="C9A8C614" w:tentative="1">
      <w:start w:val="1"/>
      <w:numFmt w:val="lowerLetter"/>
      <w:lvlText w:val="%8."/>
      <w:lvlJc w:val="left"/>
      <w:pPr>
        <w:ind w:left="5760" w:hanging="360"/>
      </w:pPr>
    </w:lvl>
    <w:lvl w:ilvl="8" w:tplc="9DFC59C8" w:tentative="1">
      <w:start w:val="1"/>
      <w:numFmt w:val="lowerRoman"/>
      <w:lvlText w:val="%9."/>
      <w:lvlJc w:val="right"/>
      <w:pPr>
        <w:ind w:left="6480" w:hanging="180"/>
      </w:pPr>
    </w:lvl>
  </w:abstractNum>
  <w:abstractNum w:abstractNumId="74" w15:restartNumberingAfterBreak="0">
    <w:nsid w:val="24A176A9"/>
    <w:multiLevelType w:val="hybridMultilevel"/>
    <w:tmpl w:val="0C464340"/>
    <w:lvl w:ilvl="0" w:tplc="2A820A4E">
      <w:start w:val="1"/>
      <w:numFmt w:val="decimal"/>
      <w:lvlText w:val="%1."/>
      <w:lvlJc w:val="left"/>
      <w:pPr>
        <w:ind w:left="720" w:hanging="360"/>
      </w:pPr>
    </w:lvl>
    <w:lvl w:ilvl="1" w:tplc="BD1C8FE8" w:tentative="1">
      <w:start w:val="1"/>
      <w:numFmt w:val="lowerLetter"/>
      <w:lvlText w:val="%2."/>
      <w:lvlJc w:val="left"/>
      <w:pPr>
        <w:ind w:left="1440" w:hanging="360"/>
      </w:pPr>
    </w:lvl>
    <w:lvl w:ilvl="2" w:tplc="1BB20164" w:tentative="1">
      <w:start w:val="1"/>
      <w:numFmt w:val="lowerRoman"/>
      <w:lvlText w:val="%3."/>
      <w:lvlJc w:val="right"/>
      <w:pPr>
        <w:ind w:left="2160" w:hanging="180"/>
      </w:pPr>
    </w:lvl>
    <w:lvl w:ilvl="3" w:tplc="ABEAD964" w:tentative="1">
      <w:start w:val="1"/>
      <w:numFmt w:val="decimal"/>
      <w:lvlText w:val="%4."/>
      <w:lvlJc w:val="left"/>
      <w:pPr>
        <w:ind w:left="2880" w:hanging="360"/>
      </w:pPr>
    </w:lvl>
    <w:lvl w:ilvl="4" w:tplc="5742EAC4" w:tentative="1">
      <w:start w:val="1"/>
      <w:numFmt w:val="lowerLetter"/>
      <w:lvlText w:val="%5."/>
      <w:lvlJc w:val="left"/>
      <w:pPr>
        <w:ind w:left="3600" w:hanging="360"/>
      </w:pPr>
    </w:lvl>
    <w:lvl w:ilvl="5" w:tplc="2232570A" w:tentative="1">
      <w:start w:val="1"/>
      <w:numFmt w:val="lowerRoman"/>
      <w:lvlText w:val="%6."/>
      <w:lvlJc w:val="right"/>
      <w:pPr>
        <w:ind w:left="4320" w:hanging="180"/>
      </w:pPr>
    </w:lvl>
    <w:lvl w:ilvl="6" w:tplc="6C1625C0" w:tentative="1">
      <w:start w:val="1"/>
      <w:numFmt w:val="decimal"/>
      <w:lvlText w:val="%7."/>
      <w:lvlJc w:val="left"/>
      <w:pPr>
        <w:ind w:left="5040" w:hanging="360"/>
      </w:pPr>
    </w:lvl>
    <w:lvl w:ilvl="7" w:tplc="7BEC6A92" w:tentative="1">
      <w:start w:val="1"/>
      <w:numFmt w:val="lowerLetter"/>
      <w:lvlText w:val="%8."/>
      <w:lvlJc w:val="left"/>
      <w:pPr>
        <w:ind w:left="5760" w:hanging="360"/>
      </w:pPr>
    </w:lvl>
    <w:lvl w:ilvl="8" w:tplc="CAEC6F1A" w:tentative="1">
      <w:start w:val="1"/>
      <w:numFmt w:val="lowerRoman"/>
      <w:lvlText w:val="%9."/>
      <w:lvlJc w:val="right"/>
      <w:pPr>
        <w:ind w:left="6480" w:hanging="180"/>
      </w:pPr>
    </w:lvl>
  </w:abstractNum>
  <w:abstractNum w:abstractNumId="75" w15:restartNumberingAfterBreak="0">
    <w:nsid w:val="24E51A91"/>
    <w:multiLevelType w:val="hybridMultilevel"/>
    <w:tmpl w:val="D5F4A7CE"/>
    <w:lvl w:ilvl="0" w:tplc="6CDCBA12">
      <w:start w:val="1"/>
      <w:numFmt w:val="bullet"/>
      <w:lvlText w:val=""/>
      <w:lvlJc w:val="left"/>
      <w:pPr>
        <w:tabs>
          <w:tab w:val="num" w:pos="720"/>
        </w:tabs>
        <w:ind w:left="720" w:hanging="360"/>
      </w:pPr>
      <w:rPr>
        <w:rFonts w:ascii="Wingdings" w:hAnsi="Wingdings" w:hint="default"/>
      </w:rPr>
    </w:lvl>
    <w:lvl w:ilvl="1" w:tplc="BA6667E2">
      <w:start w:val="1"/>
      <w:numFmt w:val="bullet"/>
      <w:lvlText w:val="o"/>
      <w:lvlJc w:val="left"/>
      <w:pPr>
        <w:tabs>
          <w:tab w:val="num" w:pos="1440"/>
        </w:tabs>
        <w:ind w:left="1440" w:hanging="360"/>
      </w:pPr>
      <w:rPr>
        <w:rFonts w:ascii="Courier New" w:hAnsi="Courier New" w:hint="default"/>
      </w:rPr>
    </w:lvl>
    <w:lvl w:ilvl="2" w:tplc="C73E15E8" w:tentative="1">
      <w:start w:val="1"/>
      <w:numFmt w:val="bullet"/>
      <w:lvlText w:val=""/>
      <w:lvlJc w:val="left"/>
      <w:pPr>
        <w:tabs>
          <w:tab w:val="num" w:pos="2160"/>
        </w:tabs>
        <w:ind w:left="2160" w:hanging="360"/>
      </w:pPr>
      <w:rPr>
        <w:rFonts w:ascii="Wingdings" w:hAnsi="Wingdings" w:hint="default"/>
      </w:rPr>
    </w:lvl>
    <w:lvl w:ilvl="3" w:tplc="BB24E13E" w:tentative="1">
      <w:start w:val="1"/>
      <w:numFmt w:val="bullet"/>
      <w:lvlText w:val=""/>
      <w:lvlJc w:val="left"/>
      <w:pPr>
        <w:tabs>
          <w:tab w:val="num" w:pos="2880"/>
        </w:tabs>
        <w:ind w:left="2880" w:hanging="360"/>
      </w:pPr>
      <w:rPr>
        <w:rFonts w:ascii="Symbol" w:hAnsi="Symbol" w:hint="default"/>
      </w:rPr>
    </w:lvl>
    <w:lvl w:ilvl="4" w:tplc="92A669EC" w:tentative="1">
      <w:start w:val="1"/>
      <w:numFmt w:val="bullet"/>
      <w:lvlText w:val="o"/>
      <w:lvlJc w:val="left"/>
      <w:pPr>
        <w:tabs>
          <w:tab w:val="num" w:pos="3600"/>
        </w:tabs>
        <w:ind w:left="3600" w:hanging="360"/>
      </w:pPr>
      <w:rPr>
        <w:rFonts w:ascii="Courier New" w:hAnsi="Courier New" w:hint="default"/>
      </w:rPr>
    </w:lvl>
    <w:lvl w:ilvl="5" w:tplc="1EA4BF8A" w:tentative="1">
      <w:start w:val="1"/>
      <w:numFmt w:val="bullet"/>
      <w:lvlText w:val=""/>
      <w:lvlJc w:val="left"/>
      <w:pPr>
        <w:tabs>
          <w:tab w:val="num" w:pos="4320"/>
        </w:tabs>
        <w:ind w:left="4320" w:hanging="360"/>
      </w:pPr>
      <w:rPr>
        <w:rFonts w:ascii="Wingdings" w:hAnsi="Wingdings" w:hint="default"/>
      </w:rPr>
    </w:lvl>
    <w:lvl w:ilvl="6" w:tplc="8F0A1A0C" w:tentative="1">
      <w:start w:val="1"/>
      <w:numFmt w:val="bullet"/>
      <w:lvlText w:val=""/>
      <w:lvlJc w:val="left"/>
      <w:pPr>
        <w:tabs>
          <w:tab w:val="num" w:pos="5040"/>
        </w:tabs>
        <w:ind w:left="5040" w:hanging="360"/>
      </w:pPr>
      <w:rPr>
        <w:rFonts w:ascii="Symbol" w:hAnsi="Symbol" w:hint="default"/>
      </w:rPr>
    </w:lvl>
    <w:lvl w:ilvl="7" w:tplc="8CB0D086" w:tentative="1">
      <w:start w:val="1"/>
      <w:numFmt w:val="bullet"/>
      <w:lvlText w:val="o"/>
      <w:lvlJc w:val="left"/>
      <w:pPr>
        <w:tabs>
          <w:tab w:val="num" w:pos="5760"/>
        </w:tabs>
        <w:ind w:left="5760" w:hanging="360"/>
      </w:pPr>
      <w:rPr>
        <w:rFonts w:ascii="Courier New" w:hAnsi="Courier New" w:hint="default"/>
      </w:rPr>
    </w:lvl>
    <w:lvl w:ilvl="8" w:tplc="64EE8678"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4F204C3"/>
    <w:multiLevelType w:val="multilevel"/>
    <w:tmpl w:val="9D3C9712"/>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7" w15:restartNumberingAfterBreak="0">
    <w:nsid w:val="24FE61FA"/>
    <w:multiLevelType w:val="hybridMultilevel"/>
    <w:tmpl w:val="172AF570"/>
    <w:lvl w:ilvl="0" w:tplc="D8606746">
      <w:start w:val="1"/>
      <w:numFmt w:val="bullet"/>
      <w:lvlText w:val=""/>
      <w:lvlJc w:val="left"/>
      <w:pPr>
        <w:tabs>
          <w:tab w:val="num" w:pos="690"/>
        </w:tabs>
        <w:ind w:left="690" w:hanging="360"/>
      </w:pPr>
      <w:rPr>
        <w:rFonts w:ascii="Symbol" w:hAnsi="Symbol" w:hint="default"/>
      </w:rPr>
    </w:lvl>
    <w:lvl w:ilvl="1" w:tplc="79A8BF40">
      <w:start w:val="1"/>
      <w:numFmt w:val="bullet"/>
      <w:lvlText w:val=""/>
      <w:lvlJc w:val="left"/>
      <w:pPr>
        <w:tabs>
          <w:tab w:val="num" w:pos="1440"/>
        </w:tabs>
        <w:ind w:left="1440" w:hanging="360"/>
      </w:pPr>
      <w:rPr>
        <w:rFonts w:ascii="Symbol" w:hAnsi="Symbol" w:hint="default"/>
        <w:sz w:val="22"/>
      </w:rPr>
    </w:lvl>
    <w:lvl w:ilvl="2" w:tplc="92D680A6" w:tentative="1">
      <w:start w:val="1"/>
      <w:numFmt w:val="bullet"/>
      <w:lvlText w:val=""/>
      <w:lvlJc w:val="left"/>
      <w:pPr>
        <w:tabs>
          <w:tab w:val="num" w:pos="2160"/>
        </w:tabs>
        <w:ind w:left="2160" w:hanging="360"/>
      </w:pPr>
      <w:rPr>
        <w:rFonts w:ascii="Wingdings" w:hAnsi="Wingdings" w:hint="default"/>
      </w:rPr>
    </w:lvl>
    <w:lvl w:ilvl="3" w:tplc="02CED77A" w:tentative="1">
      <w:start w:val="1"/>
      <w:numFmt w:val="bullet"/>
      <w:lvlText w:val=""/>
      <w:lvlJc w:val="left"/>
      <w:pPr>
        <w:tabs>
          <w:tab w:val="num" w:pos="2880"/>
        </w:tabs>
        <w:ind w:left="2880" w:hanging="360"/>
      </w:pPr>
      <w:rPr>
        <w:rFonts w:ascii="Symbol" w:hAnsi="Symbol" w:hint="default"/>
      </w:rPr>
    </w:lvl>
    <w:lvl w:ilvl="4" w:tplc="1E945B7A" w:tentative="1">
      <w:start w:val="1"/>
      <w:numFmt w:val="bullet"/>
      <w:lvlText w:val="o"/>
      <w:lvlJc w:val="left"/>
      <w:pPr>
        <w:tabs>
          <w:tab w:val="num" w:pos="3600"/>
        </w:tabs>
        <w:ind w:left="3600" w:hanging="360"/>
      </w:pPr>
      <w:rPr>
        <w:rFonts w:ascii="Courier New" w:hAnsi="Courier New" w:hint="default"/>
      </w:rPr>
    </w:lvl>
    <w:lvl w:ilvl="5" w:tplc="BF1E92DA" w:tentative="1">
      <w:start w:val="1"/>
      <w:numFmt w:val="bullet"/>
      <w:lvlText w:val=""/>
      <w:lvlJc w:val="left"/>
      <w:pPr>
        <w:tabs>
          <w:tab w:val="num" w:pos="4320"/>
        </w:tabs>
        <w:ind w:left="4320" w:hanging="360"/>
      </w:pPr>
      <w:rPr>
        <w:rFonts w:ascii="Wingdings" w:hAnsi="Wingdings" w:hint="default"/>
      </w:rPr>
    </w:lvl>
    <w:lvl w:ilvl="6" w:tplc="31B8E2D4" w:tentative="1">
      <w:start w:val="1"/>
      <w:numFmt w:val="bullet"/>
      <w:lvlText w:val=""/>
      <w:lvlJc w:val="left"/>
      <w:pPr>
        <w:tabs>
          <w:tab w:val="num" w:pos="5040"/>
        </w:tabs>
        <w:ind w:left="5040" w:hanging="360"/>
      </w:pPr>
      <w:rPr>
        <w:rFonts w:ascii="Symbol" w:hAnsi="Symbol" w:hint="default"/>
      </w:rPr>
    </w:lvl>
    <w:lvl w:ilvl="7" w:tplc="92A8CE78" w:tentative="1">
      <w:start w:val="1"/>
      <w:numFmt w:val="bullet"/>
      <w:lvlText w:val="o"/>
      <w:lvlJc w:val="left"/>
      <w:pPr>
        <w:tabs>
          <w:tab w:val="num" w:pos="5760"/>
        </w:tabs>
        <w:ind w:left="5760" w:hanging="360"/>
      </w:pPr>
      <w:rPr>
        <w:rFonts w:ascii="Courier New" w:hAnsi="Courier New" w:hint="default"/>
      </w:rPr>
    </w:lvl>
    <w:lvl w:ilvl="8" w:tplc="56B6132E"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5166AB6"/>
    <w:multiLevelType w:val="hybridMultilevel"/>
    <w:tmpl w:val="E49837FC"/>
    <w:lvl w:ilvl="0" w:tplc="26F042B0">
      <w:start w:val="1"/>
      <w:numFmt w:val="lowerLetter"/>
      <w:lvlText w:val="%1"/>
      <w:lvlJc w:val="left"/>
      <w:pPr>
        <w:ind w:left="720" w:hanging="360"/>
      </w:pPr>
      <w:rPr>
        <w:rFonts w:hint="default"/>
        <w:sz w:val="22"/>
        <w:szCs w:val="22"/>
        <w:vertAlign w:val="superscript"/>
      </w:rPr>
    </w:lvl>
    <w:lvl w:ilvl="1" w:tplc="E0E094A6" w:tentative="1">
      <w:start w:val="1"/>
      <w:numFmt w:val="lowerLetter"/>
      <w:lvlText w:val="%2."/>
      <w:lvlJc w:val="left"/>
      <w:pPr>
        <w:ind w:left="1440" w:hanging="360"/>
      </w:pPr>
    </w:lvl>
    <w:lvl w:ilvl="2" w:tplc="467422F0" w:tentative="1">
      <w:start w:val="1"/>
      <w:numFmt w:val="lowerRoman"/>
      <w:lvlText w:val="%3."/>
      <w:lvlJc w:val="right"/>
      <w:pPr>
        <w:ind w:left="2160" w:hanging="180"/>
      </w:pPr>
    </w:lvl>
    <w:lvl w:ilvl="3" w:tplc="96CA4AAC" w:tentative="1">
      <w:start w:val="1"/>
      <w:numFmt w:val="decimal"/>
      <w:lvlText w:val="%4."/>
      <w:lvlJc w:val="left"/>
      <w:pPr>
        <w:ind w:left="2880" w:hanging="360"/>
      </w:pPr>
    </w:lvl>
    <w:lvl w:ilvl="4" w:tplc="2488DB26" w:tentative="1">
      <w:start w:val="1"/>
      <w:numFmt w:val="lowerLetter"/>
      <w:lvlText w:val="%5."/>
      <w:lvlJc w:val="left"/>
      <w:pPr>
        <w:ind w:left="3600" w:hanging="360"/>
      </w:pPr>
    </w:lvl>
    <w:lvl w:ilvl="5" w:tplc="C02AC556" w:tentative="1">
      <w:start w:val="1"/>
      <w:numFmt w:val="lowerRoman"/>
      <w:lvlText w:val="%6."/>
      <w:lvlJc w:val="right"/>
      <w:pPr>
        <w:ind w:left="4320" w:hanging="180"/>
      </w:pPr>
    </w:lvl>
    <w:lvl w:ilvl="6" w:tplc="F5FEA14C" w:tentative="1">
      <w:start w:val="1"/>
      <w:numFmt w:val="decimal"/>
      <w:lvlText w:val="%7."/>
      <w:lvlJc w:val="left"/>
      <w:pPr>
        <w:ind w:left="5040" w:hanging="360"/>
      </w:pPr>
    </w:lvl>
    <w:lvl w:ilvl="7" w:tplc="5BEE43F0" w:tentative="1">
      <w:start w:val="1"/>
      <w:numFmt w:val="lowerLetter"/>
      <w:lvlText w:val="%8."/>
      <w:lvlJc w:val="left"/>
      <w:pPr>
        <w:ind w:left="5760" w:hanging="360"/>
      </w:pPr>
    </w:lvl>
    <w:lvl w:ilvl="8" w:tplc="DC38E720" w:tentative="1">
      <w:start w:val="1"/>
      <w:numFmt w:val="lowerRoman"/>
      <w:lvlText w:val="%9."/>
      <w:lvlJc w:val="right"/>
      <w:pPr>
        <w:ind w:left="6480" w:hanging="180"/>
      </w:pPr>
    </w:lvl>
  </w:abstractNum>
  <w:abstractNum w:abstractNumId="79" w15:restartNumberingAfterBreak="0">
    <w:nsid w:val="266F34E0"/>
    <w:multiLevelType w:val="hybridMultilevel"/>
    <w:tmpl w:val="60365AD8"/>
    <w:lvl w:ilvl="0" w:tplc="70B41462">
      <w:start w:val="1"/>
      <w:numFmt w:val="bullet"/>
      <w:lvlText w:val=""/>
      <w:lvlJc w:val="left"/>
      <w:pPr>
        <w:tabs>
          <w:tab w:val="num" w:pos="720"/>
        </w:tabs>
        <w:ind w:left="720" w:hanging="360"/>
      </w:pPr>
      <w:rPr>
        <w:rFonts w:ascii="Symbol" w:hAnsi="Symbol" w:hint="default"/>
        <w:sz w:val="18"/>
      </w:rPr>
    </w:lvl>
    <w:lvl w:ilvl="1" w:tplc="47AA9D6C" w:tentative="1">
      <w:start w:val="1"/>
      <w:numFmt w:val="bullet"/>
      <w:lvlText w:val="o"/>
      <w:lvlJc w:val="left"/>
      <w:pPr>
        <w:tabs>
          <w:tab w:val="num" w:pos="1440"/>
        </w:tabs>
        <w:ind w:left="1440" w:hanging="360"/>
      </w:pPr>
      <w:rPr>
        <w:rFonts w:ascii="Courier New" w:hAnsi="Courier New" w:hint="default"/>
      </w:rPr>
    </w:lvl>
    <w:lvl w:ilvl="2" w:tplc="A94650D0" w:tentative="1">
      <w:start w:val="1"/>
      <w:numFmt w:val="bullet"/>
      <w:lvlText w:val=""/>
      <w:lvlJc w:val="left"/>
      <w:pPr>
        <w:tabs>
          <w:tab w:val="num" w:pos="2160"/>
        </w:tabs>
        <w:ind w:left="2160" w:hanging="360"/>
      </w:pPr>
      <w:rPr>
        <w:rFonts w:ascii="Wingdings" w:hAnsi="Wingdings" w:hint="default"/>
      </w:rPr>
    </w:lvl>
    <w:lvl w:ilvl="3" w:tplc="D664525E" w:tentative="1">
      <w:start w:val="1"/>
      <w:numFmt w:val="bullet"/>
      <w:lvlText w:val=""/>
      <w:lvlJc w:val="left"/>
      <w:pPr>
        <w:tabs>
          <w:tab w:val="num" w:pos="2880"/>
        </w:tabs>
        <w:ind w:left="2880" w:hanging="360"/>
      </w:pPr>
      <w:rPr>
        <w:rFonts w:ascii="Symbol" w:hAnsi="Symbol" w:hint="default"/>
      </w:rPr>
    </w:lvl>
    <w:lvl w:ilvl="4" w:tplc="51DCE380" w:tentative="1">
      <w:start w:val="1"/>
      <w:numFmt w:val="bullet"/>
      <w:lvlText w:val="o"/>
      <w:lvlJc w:val="left"/>
      <w:pPr>
        <w:tabs>
          <w:tab w:val="num" w:pos="3600"/>
        </w:tabs>
        <w:ind w:left="3600" w:hanging="360"/>
      </w:pPr>
      <w:rPr>
        <w:rFonts w:ascii="Courier New" w:hAnsi="Courier New" w:hint="default"/>
      </w:rPr>
    </w:lvl>
    <w:lvl w:ilvl="5" w:tplc="6C72E156" w:tentative="1">
      <w:start w:val="1"/>
      <w:numFmt w:val="bullet"/>
      <w:lvlText w:val=""/>
      <w:lvlJc w:val="left"/>
      <w:pPr>
        <w:tabs>
          <w:tab w:val="num" w:pos="4320"/>
        </w:tabs>
        <w:ind w:left="4320" w:hanging="360"/>
      </w:pPr>
      <w:rPr>
        <w:rFonts w:ascii="Wingdings" w:hAnsi="Wingdings" w:hint="default"/>
      </w:rPr>
    </w:lvl>
    <w:lvl w:ilvl="6" w:tplc="541C13D2" w:tentative="1">
      <w:start w:val="1"/>
      <w:numFmt w:val="bullet"/>
      <w:lvlText w:val=""/>
      <w:lvlJc w:val="left"/>
      <w:pPr>
        <w:tabs>
          <w:tab w:val="num" w:pos="5040"/>
        </w:tabs>
        <w:ind w:left="5040" w:hanging="360"/>
      </w:pPr>
      <w:rPr>
        <w:rFonts w:ascii="Symbol" w:hAnsi="Symbol" w:hint="default"/>
      </w:rPr>
    </w:lvl>
    <w:lvl w:ilvl="7" w:tplc="D0EED326" w:tentative="1">
      <w:start w:val="1"/>
      <w:numFmt w:val="bullet"/>
      <w:lvlText w:val="o"/>
      <w:lvlJc w:val="left"/>
      <w:pPr>
        <w:tabs>
          <w:tab w:val="num" w:pos="5760"/>
        </w:tabs>
        <w:ind w:left="5760" w:hanging="360"/>
      </w:pPr>
      <w:rPr>
        <w:rFonts w:ascii="Courier New" w:hAnsi="Courier New" w:hint="default"/>
      </w:rPr>
    </w:lvl>
    <w:lvl w:ilvl="8" w:tplc="EBB6235A"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6AE153D"/>
    <w:multiLevelType w:val="hybridMultilevel"/>
    <w:tmpl w:val="0C86E138"/>
    <w:lvl w:ilvl="0" w:tplc="3F786FEA">
      <w:start w:val="1"/>
      <w:numFmt w:val="bullet"/>
      <w:lvlText w:val=""/>
      <w:lvlJc w:val="left"/>
      <w:pPr>
        <w:tabs>
          <w:tab w:val="num" w:pos="720"/>
        </w:tabs>
        <w:ind w:left="720" w:hanging="360"/>
      </w:pPr>
      <w:rPr>
        <w:rFonts w:ascii="Symbol" w:hAnsi="Symbol" w:hint="default"/>
      </w:rPr>
    </w:lvl>
    <w:lvl w:ilvl="1" w:tplc="E788E44E" w:tentative="1">
      <w:start w:val="1"/>
      <w:numFmt w:val="bullet"/>
      <w:lvlText w:val="o"/>
      <w:lvlJc w:val="left"/>
      <w:pPr>
        <w:tabs>
          <w:tab w:val="num" w:pos="1440"/>
        </w:tabs>
        <w:ind w:left="1440" w:hanging="360"/>
      </w:pPr>
      <w:rPr>
        <w:rFonts w:ascii="Courier New" w:hAnsi="Courier New" w:hint="default"/>
      </w:rPr>
    </w:lvl>
    <w:lvl w:ilvl="2" w:tplc="0AEEB5C8" w:tentative="1">
      <w:start w:val="1"/>
      <w:numFmt w:val="bullet"/>
      <w:lvlText w:val=""/>
      <w:lvlJc w:val="left"/>
      <w:pPr>
        <w:tabs>
          <w:tab w:val="num" w:pos="2160"/>
        </w:tabs>
        <w:ind w:left="2160" w:hanging="360"/>
      </w:pPr>
      <w:rPr>
        <w:rFonts w:ascii="Wingdings" w:hAnsi="Wingdings" w:hint="default"/>
      </w:rPr>
    </w:lvl>
    <w:lvl w:ilvl="3" w:tplc="65388C48" w:tentative="1">
      <w:start w:val="1"/>
      <w:numFmt w:val="bullet"/>
      <w:lvlText w:val=""/>
      <w:lvlJc w:val="left"/>
      <w:pPr>
        <w:tabs>
          <w:tab w:val="num" w:pos="2880"/>
        </w:tabs>
        <w:ind w:left="2880" w:hanging="360"/>
      </w:pPr>
      <w:rPr>
        <w:rFonts w:ascii="Symbol" w:hAnsi="Symbol" w:hint="default"/>
      </w:rPr>
    </w:lvl>
    <w:lvl w:ilvl="4" w:tplc="245AD696" w:tentative="1">
      <w:start w:val="1"/>
      <w:numFmt w:val="bullet"/>
      <w:lvlText w:val="o"/>
      <w:lvlJc w:val="left"/>
      <w:pPr>
        <w:tabs>
          <w:tab w:val="num" w:pos="3600"/>
        </w:tabs>
        <w:ind w:left="3600" w:hanging="360"/>
      </w:pPr>
      <w:rPr>
        <w:rFonts w:ascii="Courier New" w:hAnsi="Courier New" w:hint="default"/>
      </w:rPr>
    </w:lvl>
    <w:lvl w:ilvl="5" w:tplc="ED00C4AE" w:tentative="1">
      <w:start w:val="1"/>
      <w:numFmt w:val="bullet"/>
      <w:lvlText w:val=""/>
      <w:lvlJc w:val="left"/>
      <w:pPr>
        <w:tabs>
          <w:tab w:val="num" w:pos="4320"/>
        </w:tabs>
        <w:ind w:left="4320" w:hanging="360"/>
      </w:pPr>
      <w:rPr>
        <w:rFonts w:ascii="Wingdings" w:hAnsi="Wingdings" w:hint="default"/>
      </w:rPr>
    </w:lvl>
    <w:lvl w:ilvl="6" w:tplc="C9321386" w:tentative="1">
      <w:start w:val="1"/>
      <w:numFmt w:val="bullet"/>
      <w:lvlText w:val=""/>
      <w:lvlJc w:val="left"/>
      <w:pPr>
        <w:tabs>
          <w:tab w:val="num" w:pos="5040"/>
        </w:tabs>
        <w:ind w:left="5040" w:hanging="360"/>
      </w:pPr>
      <w:rPr>
        <w:rFonts w:ascii="Symbol" w:hAnsi="Symbol" w:hint="default"/>
      </w:rPr>
    </w:lvl>
    <w:lvl w:ilvl="7" w:tplc="7DB886C4" w:tentative="1">
      <w:start w:val="1"/>
      <w:numFmt w:val="bullet"/>
      <w:lvlText w:val="o"/>
      <w:lvlJc w:val="left"/>
      <w:pPr>
        <w:tabs>
          <w:tab w:val="num" w:pos="5760"/>
        </w:tabs>
        <w:ind w:left="5760" w:hanging="360"/>
      </w:pPr>
      <w:rPr>
        <w:rFonts w:ascii="Courier New" w:hAnsi="Courier New" w:hint="default"/>
      </w:rPr>
    </w:lvl>
    <w:lvl w:ilvl="8" w:tplc="7F2ACB7C"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6D61BD7"/>
    <w:multiLevelType w:val="multilevel"/>
    <w:tmpl w:val="5B3A46E0"/>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2" w15:restartNumberingAfterBreak="0">
    <w:nsid w:val="26E01931"/>
    <w:multiLevelType w:val="hybridMultilevel"/>
    <w:tmpl w:val="E81E5138"/>
    <w:lvl w:ilvl="0" w:tplc="DE1C6F26">
      <w:numFmt w:val="bullet"/>
      <w:lvlText w:val=""/>
      <w:lvlJc w:val="left"/>
      <w:pPr>
        <w:tabs>
          <w:tab w:val="num" w:pos="4275"/>
        </w:tabs>
        <w:ind w:left="4275" w:hanging="360"/>
      </w:pPr>
      <w:rPr>
        <w:rFonts w:ascii="Symbol" w:hAnsi="Symbol" w:hint="default"/>
        <w:sz w:val="18"/>
      </w:rPr>
    </w:lvl>
    <w:lvl w:ilvl="1" w:tplc="699E52F2">
      <w:numFmt w:val="bullet"/>
      <w:lvlText w:val=""/>
      <w:lvlJc w:val="left"/>
      <w:pPr>
        <w:tabs>
          <w:tab w:val="num" w:pos="1440"/>
        </w:tabs>
        <w:ind w:left="1440" w:hanging="360"/>
      </w:pPr>
      <w:rPr>
        <w:rFonts w:ascii="Symbol" w:hAnsi="Symbol" w:hint="default"/>
        <w:sz w:val="18"/>
      </w:rPr>
    </w:lvl>
    <w:lvl w:ilvl="2" w:tplc="6778D0EE" w:tentative="1">
      <w:start w:val="1"/>
      <w:numFmt w:val="bullet"/>
      <w:lvlText w:val=""/>
      <w:lvlJc w:val="left"/>
      <w:pPr>
        <w:tabs>
          <w:tab w:val="num" w:pos="2160"/>
        </w:tabs>
        <w:ind w:left="2160" w:hanging="360"/>
      </w:pPr>
      <w:rPr>
        <w:rFonts w:ascii="Wingdings" w:hAnsi="Wingdings" w:hint="default"/>
      </w:rPr>
    </w:lvl>
    <w:lvl w:ilvl="3" w:tplc="B36224B4" w:tentative="1">
      <w:start w:val="1"/>
      <w:numFmt w:val="bullet"/>
      <w:lvlText w:val=""/>
      <w:lvlJc w:val="left"/>
      <w:pPr>
        <w:tabs>
          <w:tab w:val="num" w:pos="2880"/>
        </w:tabs>
        <w:ind w:left="2880" w:hanging="360"/>
      </w:pPr>
      <w:rPr>
        <w:rFonts w:ascii="Symbol" w:hAnsi="Symbol" w:hint="default"/>
      </w:rPr>
    </w:lvl>
    <w:lvl w:ilvl="4" w:tplc="76842186" w:tentative="1">
      <w:start w:val="1"/>
      <w:numFmt w:val="bullet"/>
      <w:lvlText w:val="o"/>
      <w:lvlJc w:val="left"/>
      <w:pPr>
        <w:tabs>
          <w:tab w:val="num" w:pos="3600"/>
        </w:tabs>
        <w:ind w:left="3600" w:hanging="360"/>
      </w:pPr>
      <w:rPr>
        <w:rFonts w:ascii="Courier New" w:hAnsi="Courier New" w:hint="default"/>
      </w:rPr>
    </w:lvl>
    <w:lvl w:ilvl="5" w:tplc="9A38F2B2" w:tentative="1">
      <w:start w:val="1"/>
      <w:numFmt w:val="bullet"/>
      <w:lvlText w:val=""/>
      <w:lvlJc w:val="left"/>
      <w:pPr>
        <w:tabs>
          <w:tab w:val="num" w:pos="4320"/>
        </w:tabs>
        <w:ind w:left="4320" w:hanging="360"/>
      </w:pPr>
      <w:rPr>
        <w:rFonts w:ascii="Wingdings" w:hAnsi="Wingdings" w:hint="default"/>
      </w:rPr>
    </w:lvl>
    <w:lvl w:ilvl="6" w:tplc="5B761694" w:tentative="1">
      <w:start w:val="1"/>
      <w:numFmt w:val="bullet"/>
      <w:lvlText w:val=""/>
      <w:lvlJc w:val="left"/>
      <w:pPr>
        <w:tabs>
          <w:tab w:val="num" w:pos="5040"/>
        </w:tabs>
        <w:ind w:left="5040" w:hanging="360"/>
      </w:pPr>
      <w:rPr>
        <w:rFonts w:ascii="Symbol" w:hAnsi="Symbol" w:hint="default"/>
      </w:rPr>
    </w:lvl>
    <w:lvl w:ilvl="7" w:tplc="8A880934" w:tentative="1">
      <w:start w:val="1"/>
      <w:numFmt w:val="bullet"/>
      <w:lvlText w:val="o"/>
      <w:lvlJc w:val="left"/>
      <w:pPr>
        <w:tabs>
          <w:tab w:val="num" w:pos="5760"/>
        </w:tabs>
        <w:ind w:left="5760" w:hanging="360"/>
      </w:pPr>
      <w:rPr>
        <w:rFonts w:ascii="Courier New" w:hAnsi="Courier New" w:hint="default"/>
      </w:rPr>
    </w:lvl>
    <w:lvl w:ilvl="8" w:tplc="50B0DF1C"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27812AA0"/>
    <w:multiLevelType w:val="hybridMultilevel"/>
    <w:tmpl w:val="ED6E1DFE"/>
    <w:lvl w:ilvl="0" w:tplc="0718A7AE">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lvl w:ilvl="1" w:tplc="4462B020" w:tentative="1">
      <w:start w:val="1"/>
      <w:numFmt w:val="lowerLetter"/>
      <w:lvlText w:val="%2."/>
      <w:lvlJc w:val="left"/>
      <w:pPr>
        <w:ind w:left="1440" w:hanging="360"/>
      </w:pPr>
    </w:lvl>
    <w:lvl w:ilvl="2" w:tplc="2BD6F61C" w:tentative="1">
      <w:start w:val="1"/>
      <w:numFmt w:val="lowerRoman"/>
      <w:lvlText w:val="%3."/>
      <w:lvlJc w:val="right"/>
      <w:pPr>
        <w:ind w:left="2160" w:hanging="180"/>
      </w:pPr>
    </w:lvl>
    <w:lvl w:ilvl="3" w:tplc="34D667BE" w:tentative="1">
      <w:start w:val="1"/>
      <w:numFmt w:val="decimal"/>
      <w:lvlText w:val="%4."/>
      <w:lvlJc w:val="left"/>
      <w:pPr>
        <w:ind w:left="2880" w:hanging="360"/>
      </w:pPr>
    </w:lvl>
    <w:lvl w:ilvl="4" w:tplc="5BB0EC86" w:tentative="1">
      <w:start w:val="1"/>
      <w:numFmt w:val="lowerLetter"/>
      <w:lvlText w:val="%5."/>
      <w:lvlJc w:val="left"/>
      <w:pPr>
        <w:ind w:left="3600" w:hanging="360"/>
      </w:pPr>
    </w:lvl>
    <w:lvl w:ilvl="5" w:tplc="59685284" w:tentative="1">
      <w:start w:val="1"/>
      <w:numFmt w:val="lowerRoman"/>
      <w:lvlText w:val="%6."/>
      <w:lvlJc w:val="right"/>
      <w:pPr>
        <w:ind w:left="4320" w:hanging="180"/>
      </w:pPr>
    </w:lvl>
    <w:lvl w:ilvl="6" w:tplc="01323DB2" w:tentative="1">
      <w:start w:val="1"/>
      <w:numFmt w:val="decimal"/>
      <w:lvlText w:val="%7."/>
      <w:lvlJc w:val="left"/>
      <w:pPr>
        <w:ind w:left="5040" w:hanging="360"/>
      </w:pPr>
    </w:lvl>
    <w:lvl w:ilvl="7" w:tplc="49CC855E" w:tentative="1">
      <w:start w:val="1"/>
      <w:numFmt w:val="lowerLetter"/>
      <w:lvlText w:val="%8."/>
      <w:lvlJc w:val="left"/>
      <w:pPr>
        <w:ind w:left="5760" w:hanging="360"/>
      </w:pPr>
    </w:lvl>
    <w:lvl w:ilvl="8" w:tplc="DFBCB038" w:tentative="1">
      <w:start w:val="1"/>
      <w:numFmt w:val="lowerRoman"/>
      <w:lvlText w:val="%9."/>
      <w:lvlJc w:val="right"/>
      <w:pPr>
        <w:ind w:left="6480" w:hanging="180"/>
      </w:pPr>
    </w:lvl>
  </w:abstractNum>
  <w:abstractNum w:abstractNumId="84" w15:restartNumberingAfterBreak="0">
    <w:nsid w:val="27AF2FF9"/>
    <w:multiLevelType w:val="hybridMultilevel"/>
    <w:tmpl w:val="4B80FED8"/>
    <w:lvl w:ilvl="0" w:tplc="55F646A2">
      <w:start w:val="1"/>
      <w:numFmt w:val="lowerLetter"/>
      <w:lvlText w:val="%1"/>
      <w:lvlJc w:val="left"/>
      <w:pPr>
        <w:ind w:left="360" w:hanging="360"/>
      </w:pPr>
      <w:rPr>
        <w:rFonts w:ascii="Times New Roman" w:hAnsi="Times New Roman" w:cs="Times New Roman" w:hint="default"/>
        <w:b w:val="0"/>
        <w:i w:val="0"/>
        <w:caps w:val="0"/>
        <w:sz w:val="22"/>
        <w:szCs w:val="22"/>
        <w:u w:val="none"/>
        <w:vertAlign w:val="superscript"/>
      </w:rPr>
    </w:lvl>
    <w:lvl w:ilvl="1" w:tplc="18CED97C" w:tentative="1">
      <w:start w:val="1"/>
      <w:numFmt w:val="lowerLetter"/>
      <w:lvlText w:val="%2."/>
      <w:lvlJc w:val="left"/>
      <w:pPr>
        <w:ind w:left="1440" w:hanging="360"/>
      </w:pPr>
    </w:lvl>
    <w:lvl w:ilvl="2" w:tplc="1076EF7C" w:tentative="1">
      <w:start w:val="1"/>
      <w:numFmt w:val="lowerRoman"/>
      <w:lvlText w:val="%3."/>
      <w:lvlJc w:val="right"/>
      <w:pPr>
        <w:ind w:left="2160" w:hanging="180"/>
      </w:pPr>
    </w:lvl>
    <w:lvl w:ilvl="3" w:tplc="F574F4D4" w:tentative="1">
      <w:start w:val="1"/>
      <w:numFmt w:val="decimal"/>
      <w:lvlText w:val="%4."/>
      <w:lvlJc w:val="left"/>
      <w:pPr>
        <w:ind w:left="2880" w:hanging="360"/>
      </w:pPr>
    </w:lvl>
    <w:lvl w:ilvl="4" w:tplc="0CD0D4DC" w:tentative="1">
      <w:start w:val="1"/>
      <w:numFmt w:val="lowerLetter"/>
      <w:lvlText w:val="%5."/>
      <w:lvlJc w:val="left"/>
      <w:pPr>
        <w:ind w:left="3600" w:hanging="360"/>
      </w:pPr>
    </w:lvl>
    <w:lvl w:ilvl="5" w:tplc="7662F156" w:tentative="1">
      <w:start w:val="1"/>
      <w:numFmt w:val="lowerRoman"/>
      <w:lvlText w:val="%6."/>
      <w:lvlJc w:val="right"/>
      <w:pPr>
        <w:ind w:left="4320" w:hanging="180"/>
      </w:pPr>
    </w:lvl>
    <w:lvl w:ilvl="6" w:tplc="2CC4CEB2" w:tentative="1">
      <w:start w:val="1"/>
      <w:numFmt w:val="decimal"/>
      <w:lvlText w:val="%7."/>
      <w:lvlJc w:val="left"/>
      <w:pPr>
        <w:ind w:left="5040" w:hanging="360"/>
      </w:pPr>
    </w:lvl>
    <w:lvl w:ilvl="7" w:tplc="0F905398" w:tentative="1">
      <w:start w:val="1"/>
      <w:numFmt w:val="lowerLetter"/>
      <w:lvlText w:val="%8."/>
      <w:lvlJc w:val="left"/>
      <w:pPr>
        <w:ind w:left="5760" w:hanging="360"/>
      </w:pPr>
    </w:lvl>
    <w:lvl w:ilvl="8" w:tplc="4560F81C" w:tentative="1">
      <w:start w:val="1"/>
      <w:numFmt w:val="lowerRoman"/>
      <w:lvlText w:val="%9."/>
      <w:lvlJc w:val="right"/>
      <w:pPr>
        <w:ind w:left="6480" w:hanging="180"/>
      </w:pPr>
    </w:lvl>
  </w:abstractNum>
  <w:abstractNum w:abstractNumId="85" w15:restartNumberingAfterBreak="0">
    <w:nsid w:val="280F0748"/>
    <w:multiLevelType w:val="multilevel"/>
    <w:tmpl w:val="4BEAAAF6"/>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6" w15:restartNumberingAfterBreak="0">
    <w:nsid w:val="288357B7"/>
    <w:multiLevelType w:val="hybridMultilevel"/>
    <w:tmpl w:val="AB300588"/>
    <w:lvl w:ilvl="0" w:tplc="BADC0610">
      <w:start w:val="1"/>
      <w:numFmt w:val="lowerLetter"/>
      <w:lvlText w:val="%1"/>
      <w:lvlJc w:val="left"/>
      <w:pPr>
        <w:ind w:left="360" w:hanging="360"/>
      </w:pPr>
      <w:rPr>
        <w:rFonts w:ascii="Times New Roman" w:hAnsi="Times New Roman" w:cs="Times New Roman" w:hint="default"/>
        <w:b w:val="0"/>
        <w:i w:val="0"/>
        <w:caps w:val="0"/>
        <w:sz w:val="22"/>
        <w:szCs w:val="22"/>
        <w:u w:val="none"/>
        <w:vertAlign w:val="superscript"/>
      </w:rPr>
    </w:lvl>
    <w:lvl w:ilvl="1" w:tplc="FC04D370" w:tentative="1">
      <w:start w:val="1"/>
      <w:numFmt w:val="lowerLetter"/>
      <w:lvlText w:val="%2."/>
      <w:lvlJc w:val="left"/>
      <w:pPr>
        <w:ind w:left="1440" w:hanging="360"/>
      </w:pPr>
    </w:lvl>
    <w:lvl w:ilvl="2" w:tplc="E79CDDC4" w:tentative="1">
      <w:start w:val="1"/>
      <w:numFmt w:val="lowerRoman"/>
      <w:lvlText w:val="%3."/>
      <w:lvlJc w:val="right"/>
      <w:pPr>
        <w:ind w:left="2160" w:hanging="180"/>
      </w:pPr>
    </w:lvl>
    <w:lvl w:ilvl="3" w:tplc="2D8A7F4C" w:tentative="1">
      <w:start w:val="1"/>
      <w:numFmt w:val="decimal"/>
      <w:lvlText w:val="%4."/>
      <w:lvlJc w:val="left"/>
      <w:pPr>
        <w:ind w:left="2880" w:hanging="360"/>
      </w:pPr>
    </w:lvl>
    <w:lvl w:ilvl="4" w:tplc="E9645182" w:tentative="1">
      <w:start w:val="1"/>
      <w:numFmt w:val="lowerLetter"/>
      <w:lvlText w:val="%5."/>
      <w:lvlJc w:val="left"/>
      <w:pPr>
        <w:ind w:left="3600" w:hanging="360"/>
      </w:pPr>
    </w:lvl>
    <w:lvl w:ilvl="5" w:tplc="468E3CA6" w:tentative="1">
      <w:start w:val="1"/>
      <w:numFmt w:val="lowerRoman"/>
      <w:lvlText w:val="%6."/>
      <w:lvlJc w:val="right"/>
      <w:pPr>
        <w:ind w:left="4320" w:hanging="180"/>
      </w:pPr>
    </w:lvl>
    <w:lvl w:ilvl="6" w:tplc="26D052EA" w:tentative="1">
      <w:start w:val="1"/>
      <w:numFmt w:val="decimal"/>
      <w:lvlText w:val="%7."/>
      <w:lvlJc w:val="left"/>
      <w:pPr>
        <w:ind w:left="5040" w:hanging="360"/>
      </w:pPr>
    </w:lvl>
    <w:lvl w:ilvl="7" w:tplc="5E3218A0" w:tentative="1">
      <w:start w:val="1"/>
      <w:numFmt w:val="lowerLetter"/>
      <w:lvlText w:val="%8."/>
      <w:lvlJc w:val="left"/>
      <w:pPr>
        <w:ind w:left="5760" w:hanging="360"/>
      </w:pPr>
    </w:lvl>
    <w:lvl w:ilvl="8" w:tplc="1384EE36" w:tentative="1">
      <w:start w:val="1"/>
      <w:numFmt w:val="lowerRoman"/>
      <w:lvlText w:val="%9."/>
      <w:lvlJc w:val="right"/>
      <w:pPr>
        <w:ind w:left="6480" w:hanging="180"/>
      </w:pPr>
    </w:lvl>
  </w:abstractNum>
  <w:abstractNum w:abstractNumId="87" w15:restartNumberingAfterBreak="0">
    <w:nsid w:val="290C6D72"/>
    <w:multiLevelType w:val="hybridMultilevel"/>
    <w:tmpl w:val="A8765E80"/>
    <w:lvl w:ilvl="0" w:tplc="FFD2A3A4">
      <w:numFmt w:val="bullet"/>
      <w:lvlText w:val="•"/>
      <w:lvlJc w:val="left"/>
      <w:pPr>
        <w:ind w:left="930" w:hanging="570"/>
      </w:pPr>
      <w:rPr>
        <w:rFonts w:ascii="Times New Roman" w:eastAsia="Times New Roman" w:hAnsi="Times New Roman" w:cs="Times New Roman" w:hint="default"/>
      </w:rPr>
    </w:lvl>
    <w:lvl w:ilvl="1" w:tplc="3AB6A39E" w:tentative="1">
      <w:start w:val="1"/>
      <w:numFmt w:val="bullet"/>
      <w:lvlText w:val="o"/>
      <w:lvlJc w:val="left"/>
      <w:pPr>
        <w:ind w:left="1440" w:hanging="360"/>
      </w:pPr>
      <w:rPr>
        <w:rFonts w:ascii="Courier New" w:hAnsi="Courier New" w:cs="Courier New" w:hint="default"/>
      </w:rPr>
    </w:lvl>
    <w:lvl w:ilvl="2" w:tplc="75A60596" w:tentative="1">
      <w:start w:val="1"/>
      <w:numFmt w:val="bullet"/>
      <w:lvlText w:val=""/>
      <w:lvlJc w:val="left"/>
      <w:pPr>
        <w:ind w:left="2160" w:hanging="360"/>
      </w:pPr>
      <w:rPr>
        <w:rFonts w:ascii="Wingdings" w:hAnsi="Wingdings" w:hint="default"/>
      </w:rPr>
    </w:lvl>
    <w:lvl w:ilvl="3" w:tplc="A3E05EBA" w:tentative="1">
      <w:start w:val="1"/>
      <w:numFmt w:val="bullet"/>
      <w:lvlText w:val=""/>
      <w:lvlJc w:val="left"/>
      <w:pPr>
        <w:ind w:left="2880" w:hanging="360"/>
      </w:pPr>
      <w:rPr>
        <w:rFonts w:ascii="Symbol" w:hAnsi="Symbol" w:hint="default"/>
      </w:rPr>
    </w:lvl>
    <w:lvl w:ilvl="4" w:tplc="8AB27ABA" w:tentative="1">
      <w:start w:val="1"/>
      <w:numFmt w:val="bullet"/>
      <w:lvlText w:val="o"/>
      <w:lvlJc w:val="left"/>
      <w:pPr>
        <w:ind w:left="3600" w:hanging="360"/>
      </w:pPr>
      <w:rPr>
        <w:rFonts w:ascii="Courier New" w:hAnsi="Courier New" w:cs="Courier New" w:hint="default"/>
      </w:rPr>
    </w:lvl>
    <w:lvl w:ilvl="5" w:tplc="BF3E5D92" w:tentative="1">
      <w:start w:val="1"/>
      <w:numFmt w:val="bullet"/>
      <w:lvlText w:val=""/>
      <w:lvlJc w:val="left"/>
      <w:pPr>
        <w:ind w:left="4320" w:hanging="360"/>
      </w:pPr>
      <w:rPr>
        <w:rFonts w:ascii="Wingdings" w:hAnsi="Wingdings" w:hint="default"/>
      </w:rPr>
    </w:lvl>
    <w:lvl w:ilvl="6" w:tplc="0B586B36" w:tentative="1">
      <w:start w:val="1"/>
      <w:numFmt w:val="bullet"/>
      <w:lvlText w:val=""/>
      <w:lvlJc w:val="left"/>
      <w:pPr>
        <w:ind w:left="5040" w:hanging="360"/>
      </w:pPr>
      <w:rPr>
        <w:rFonts w:ascii="Symbol" w:hAnsi="Symbol" w:hint="default"/>
      </w:rPr>
    </w:lvl>
    <w:lvl w:ilvl="7" w:tplc="6D9684C2" w:tentative="1">
      <w:start w:val="1"/>
      <w:numFmt w:val="bullet"/>
      <w:lvlText w:val="o"/>
      <w:lvlJc w:val="left"/>
      <w:pPr>
        <w:ind w:left="5760" w:hanging="360"/>
      </w:pPr>
      <w:rPr>
        <w:rFonts w:ascii="Courier New" w:hAnsi="Courier New" w:cs="Courier New" w:hint="default"/>
      </w:rPr>
    </w:lvl>
    <w:lvl w:ilvl="8" w:tplc="99FE5232" w:tentative="1">
      <w:start w:val="1"/>
      <w:numFmt w:val="bullet"/>
      <w:lvlText w:val=""/>
      <w:lvlJc w:val="left"/>
      <w:pPr>
        <w:ind w:left="6480" w:hanging="360"/>
      </w:pPr>
      <w:rPr>
        <w:rFonts w:ascii="Wingdings" w:hAnsi="Wingdings" w:hint="default"/>
      </w:rPr>
    </w:lvl>
  </w:abstractNum>
  <w:abstractNum w:abstractNumId="88" w15:restartNumberingAfterBreak="0">
    <w:nsid w:val="292939E6"/>
    <w:multiLevelType w:val="hybridMultilevel"/>
    <w:tmpl w:val="F894DC08"/>
    <w:lvl w:ilvl="0" w:tplc="CFA44110">
      <w:start w:val="1"/>
      <w:numFmt w:val="bullet"/>
      <w:lvlText w:val=""/>
      <w:lvlJc w:val="left"/>
      <w:pPr>
        <w:ind w:left="720" w:hanging="360"/>
      </w:pPr>
      <w:rPr>
        <w:rFonts w:ascii="Symbol" w:hAnsi="Symbol" w:hint="default"/>
      </w:rPr>
    </w:lvl>
    <w:lvl w:ilvl="1" w:tplc="5396F46C" w:tentative="1">
      <w:start w:val="1"/>
      <w:numFmt w:val="bullet"/>
      <w:lvlText w:val="o"/>
      <w:lvlJc w:val="left"/>
      <w:pPr>
        <w:ind w:left="1440" w:hanging="360"/>
      </w:pPr>
      <w:rPr>
        <w:rFonts w:ascii="Courier New" w:hAnsi="Courier New" w:cs="Courier New" w:hint="default"/>
      </w:rPr>
    </w:lvl>
    <w:lvl w:ilvl="2" w:tplc="593820C8" w:tentative="1">
      <w:start w:val="1"/>
      <w:numFmt w:val="bullet"/>
      <w:lvlText w:val=""/>
      <w:lvlJc w:val="left"/>
      <w:pPr>
        <w:ind w:left="2160" w:hanging="360"/>
      </w:pPr>
      <w:rPr>
        <w:rFonts w:ascii="Wingdings" w:hAnsi="Wingdings" w:hint="default"/>
      </w:rPr>
    </w:lvl>
    <w:lvl w:ilvl="3" w:tplc="FAEE2278" w:tentative="1">
      <w:start w:val="1"/>
      <w:numFmt w:val="bullet"/>
      <w:lvlText w:val=""/>
      <w:lvlJc w:val="left"/>
      <w:pPr>
        <w:ind w:left="2880" w:hanging="360"/>
      </w:pPr>
      <w:rPr>
        <w:rFonts w:ascii="Symbol" w:hAnsi="Symbol" w:hint="default"/>
      </w:rPr>
    </w:lvl>
    <w:lvl w:ilvl="4" w:tplc="ADAC1DD8" w:tentative="1">
      <w:start w:val="1"/>
      <w:numFmt w:val="bullet"/>
      <w:lvlText w:val="o"/>
      <w:lvlJc w:val="left"/>
      <w:pPr>
        <w:ind w:left="3600" w:hanging="360"/>
      </w:pPr>
      <w:rPr>
        <w:rFonts w:ascii="Courier New" w:hAnsi="Courier New" w:cs="Courier New" w:hint="default"/>
      </w:rPr>
    </w:lvl>
    <w:lvl w:ilvl="5" w:tplc="3B021F78" w:tentative="1">
      <w:start w:val="1"/>
      <w:numFmt w:val="bullet"/>
      <w:lvlText w:val=""/>
      <w:lvlJc w:val="left"/>
      <w:pPr>
        <w:ind w:left="4320" w:hanging="360"/>
      </w:pPr>
      <w:rPr>
        <w:rFonts w:ascii="Wingdings" w:hAnsi="Wingdings" w:hint="default"/>
      </w:rPr>
    </w:lvl>
    <w:lvl w:ilvl="6" w:tplc="9DCAFB4A" w:tentative="1">
      <w:start w:val="1"/>
      <w:numFmt w:val="bullet"/>
      <w:lvlText w:val=""/>
      <w:lvlJc w:val="left"/>
      <w:pPr>
        <w:ind w:left="5040" w:hanging="360"/>
      </w:pPr>
      <w:rPr>
        <w:rFonts w:ascii="Symbol" w:hAnsi="Symbol" w:hint="default"/>
      </w:rPr>
    </w:lvl>
    <w:lvl w:ilvl="7" w:tplc="EB96971C" w:tentative="1">
      <w:start w:val="1"/>
      <w:numFmt w:val="bullet"/>
      <w:lvlText w:val="o"/>
      <w:lvlJc w:val="left"/>
      <w:pPr>
        <w:ind w:left="5760" w:hanging="360"/>
      </w:pPr>
      <w:rPr>
        <w:rFonts w:ascii="Courier New" w:hAnsi="Courier New" w:cs="Courier New" w:hint="default"/>
      </w:rPr>
    </w:lvl>
    <w:lvl w:ilvl="8" w:tplc="7AA0BC00" w:tentative="1">
      <w:start w:val="1"/>
      <w:numFmt w:val="bullet"/>
      <w:lvlText w:val=""/>
      <w:lvlJc w:val="left"/>
      <w:pPr>
        <w:ind w:left="6480" w:hanging="360"/>
      </w:pPr>
      <w:rPr>
        <w:rFonts w:ascii="Wingdings" w:hAnsi="Wingdings" w:hint="default"/>
      </w:rPr>
    </w:lvl>
  </w:abstractNum>
  <w:abstractNum w:abstractNumId="89" w15:restartNumberingAfterBreak="0">
    <w:nsid w:val="292B108E"/>
    <w:multiLevelType w:val="hybridMultilevel"/>
    <w:tmpl w:val="A95A5BC2"/>
    <w:lvl w:ilvl="0" w:tplc="49A4910E">
      <w:start w:val="1"/>
      <w:numFmt w:val="bullet"/>
      <w:lvlText w:val=""/>
      <w:lvlJc w:val="left"/>
      <w:pPr>
        <w:tabs>
          <w:tab w:val="num" w:pos="720"/>
        </w:tabs>
        <w:ind w:left="720" w:hanging="360"/>
      </w:pPr>
      <w:rPr>
        <w:rFonts w:ascii="Symbol" w:hAnsi="Symbol" w:hint="default"/>
      </w:rPr>
    </w:lvl>
    <w:lvl w:ilvl="1" w:tplc="468A8C76" w:tentative="1">
      <w:start w:val="1"/>
      <w:numFmt w:val="bullet"/>
      <w:lvlText w:val="o"/>
      <w:lvlJc w:val="left"/>
      <w:pPr>
        <w:tabs>
          <w:tab w:val="num" w:pos="1440"/>
        </w:tabs>
        <w:ind w:left="1440" w:hanging="360"/>
      </w:pPr>
      <w:rPr>
        <w:rFonts w:ascii="Courier New" w:hAnsi="Courier New" w:hint="default"/>
      </w:rPr>
    </w:lvl>
    <w:lvl w:ilvl="2" w:tplc="0E1CB0DC" w:tentative="1">
      <w:start w:val="1"/>
      <w:numFmt w:val="bullet"/>
      <w:lvlText w:val=""/>
      <w:lvlJc w:val="left"/>
      <w:pPr>
        <w:tabs>
          <w:tab w:val="num" w:pos="2160"/>
        </w:tabs>
        <w:ind w:left="2160" w:hanging="360"/>
      </w:pPr>
      <w:rPr>
        <w:rFonts w:ascii="Wingdings" w:hAnsi="Wingdings" w:hint="default"/>
      </w:rPr>
    </w:lvl>
    <w:lvl w:ilvl="3" w:tplc="5756F7C2" w:tentative="1">
      <w:start w:val="1"/>
      <w:numFmt w:val="bullet"/>
      <w:lvlText w:val=""/>
      <w:lvlJc w:val="left"/>
      <w:pPr>
        <w:tabs>
          <w:tab w:val="num" w:pos="2880"/>
        </w:tabs>
        <w:ind w:left="2880" w:hanging="360"/>
      </w:pPr>
      <w:rPr>
        <w:rFonts w:ascii="Symbol" w:hAnsi="Symbol" w:hint="default"/>
      </w:rPr>
    </w:lvl>
    <w:lvl w:ilvl="4" w:tplc="859410EA" w:tentative="1">
      <w:start w:val="1"/>
      <w:numFmt w:val="bullet"/>
      <w:lvlText w:val="o"/>
      <w:lvlJc w:val="left"/>
      <w:pPr>
        <w:tabs>
          <w:tab w:val="num" w:pos="3600"/>
        </w:tabs>
        <w:ind w:left="3600" w:hanging="360"/>
      </w:pPr>
      <w:rPr>
        <w:rFonts w:ascii="Courier New" w:hAnsi="Courier New" w:hint="default"/>
      </w:rPr>
    </w:lvl>
    <w:lvl w:ilvl="5" w:tplc="28CA199A" w:tentative="1">
      <w:start w:val="1"/>
      <w:numFmt w:val="bullet"/>
      <w:lvlText w:val=""/>
      <w:lvlJc w:val="left"/>
      <w:pPr>
        <w:tabs>
          <w:tab w:val="num" w:pos="4320"/>
        </w:tabs>
        <w:ind w:left="4320" w:hanging="360"/>
      </w:pPr>
      <w:rPr>
        <w:rFonts w:ascii="Wingdings" w:hAnsi="Wingdings" w:hint="default"/>
      </w:rPr>
    </w:lvl>
    <w:lvl w:ilvl="6" w:tplc="8A3A4A48" w:tentative="1">
      <w:start w:val="1"/>
      <w:numFmt w:val="bullet"/>
      <w:lvlText w:val=""/>
      <w:lvlJc w:val="left"/>
      <w:pPr>
        <w:tabs>
          <w:tab w:val="num" w:pos="5040"/>
        </w:tabs>
        <w:ind w:left="5040" w:hanging="360"/>
      </w:pPr>
      <w:rPr>
        <w:rFonts w:ascii="Symbol" w:hAnsi="Symbol" w:hint="default"/>
      </w:rPr>
    </w:lvl>
    <w:lvl w:ilvl="7" w:tplc="17BCCDE0" w:tentative="1">
      <w:start w:val="1"/>
      <w:numFmt w:val="bullet"/>
      <w:lvlText w:val="o"/>
      <w:lvlJc w:val="left"/>
      <w:pPr>
        <w:tabs>
          <w:tab w:val="num" w:pos="5760"/>
        </w:tabs>
        <w:ind w:left="5760" w:hanging="360"/>
      </w:pPr>
      <w:rPr>
        <w:rFonts w:ascii="Courier New" w:hAnsi="Courier New" w:hint="default"/>
      </w:rPr>
    </w:lvl>
    <w:lvl w:ilvl="8" w:tplc="C14AE408"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2A7C0606"/>
    <w:multiLevelType w:val="hybridMultilevel"/>
    <w:tmpl w:val="1BCE33FC"/>
    <w:lvl w:ilvl="0" w:tplc="32660378">
      <w:start w:val="1"/>
      <w:numFmt w:val="bullet"/>
      <w:lvlText w:val=""/>
      <w:lvlJc w:val="left"/>
      <w:pPr>
        <w:ind w:left="720" w:hanging="360"/>
      </w:pPr>
      <w:rPr>
        <w:rFonts w:ascii="Symbol" w:hAnsi="Symbol" w:hint="default"/>
      </w:rPr>
    </w:lvl>
    <w:lvl w:ilvl="1" w:tplc="781669F2" w:tentative="1">
      <w:start w:val="1"/>
      <w:numFmt w:val="bullet"/>
      <w:lvlText w:val="o"/>
      <w:lvlJc w:val="left"/>
      <w:pPr>
        <w:ind w:left="1440" w:hanging="360"/>
      </w:pPr>
      <w:rPr>
        <w:rFonts w:ascii="Courier New" w:hAnsi="Courier New" w:cs="Courier New" w:hint="default"/>
      </w:rPr>
    </w:lvl>
    <w:lvl w:ilvl="2" w:tplc="C9820A9C" w:tentative="1">
      <w:start w:val="1"/>
      <w:numFmt w:val="bullet"/>
      <w:lvlText w:val=""/>
      <w:lvlJc w:val="left"/>
      <w:pPr>
        <w:ind w:left="2160" w:hanging="360"/>
      </w:pPr>
      <w:rPr>
        <w:rFonts w:ascii="Wingdings" w:hAnsi="Wingdings" w:hint="default"/>
      </w:rPr>
    </w:lvl>
    <w:lvl w:ilvl="3" w:tplc="87A8DB82" w:tentative="1">
      <w:start w:val="1"/>
      <w:numFmt w:val="bullet"/>
      <w:lvlText w:val=""/>
      <w:lvlJc w:val="left"/>
      <w:pPr>
        <w:ind w:left="2880" w:hanging="360"/>
      </w:pPr>
      <w:rPr>
        <w:rFonts w:ascii="Symbol" w:hAnsi="Symbol" w:hint="default"/>
      </w:rPr>
    </w:lvl>
    <w:lvl w:ilvl="4" w:tplc="B5842BC6" w:tentative="1">
      <w:start w:val="1"/>
      <w:numFmt w:val="bullet"/>
      <w:lvlText w:val="o"/>
      <w:lvlJc w:val="left"/>
      <w:pPr>
        <w:ind w:left="3600" w:hanging="360"/>
      </w:pPr>
      <w:rPr>
        <w:rFonts w:ascii="Courier New" w:hAnsi="Courier New" w:cs="Courier New" w:hint="default"/>
      </w:rPr>
    </w:lvl>
    <w:lvl w:ilvl="5" w:tplc="B99E830E" w:tentative="1">
      <w:start w:val="1"/>
      <w:numFmt w:val="bullet"/>
      <w:lvlText w:val=""/>
      <w:lvlJc w:val="left"/>
      <w:pPr>
        <w:ind w:left="4320" w:hanging="360"/>
      </w:pPr>
      <w:rPr>
        <w:rFonts w:ascii="Wingdings" w:hAnsi="Wingdings" w:hint="default"/>
      </w:rPr>
    </w:lvl>
    <w:lvl w:ilvl="6" w:tplc="55F05AEA" w:tentative="1">
      <w:start w:val="1"/>
      <w:numFmt w:val="bullet"/>
      <w:lvlText w:val=""/>
      <w:lvlJc w:val="left"/>
      <w:pPr>
        <w:ind w:left="5040" w:hanging="360"/>
      </w:pPr>
      <w:rPr>
        <w:rFonts w:ascii="Symbol" w:hAnsi="Symbol" w:hint="default"/>
      </w:rPr>
    </w:lvl>
    <w:lvl w:ilvl="7" w:tplc="2938A362" w:tentative="1">
      <w:start w:val="1"/>
      <w:numFmt w:val="bullet"/>
      <w:lvlText w:val="o"/>
      <w:lvlJc w:val="left"/>
      <w:pPr>
        <w:ind w:left="5760" w:hanging="360"/>
      </w:pPr>
      <w:rPr>
        <w:rFonts w:ascii="Courier New" w:hAnsi="Courier New" w:cs="Courier New" w:hint="default"/>
      </w:rPr>
    </w:lvl>
    <w:lvl w:ilvl="8" w:tplc="7C9CF938" w:tentative="1">
      <w:start w:val="1"/>
      <w:numFmt w:val="bullet"/>
      <w:lvlText w:val=""/>
      <w:lvlJc w:val="left"/>
      <w:pPr>
        <w:ind w:left="6480" w:hanging="360"/>
      </w:pPr>
      <w:rPr>
        <w:rFonts w:ascii="Wingdings" w:hAnsi="Wingdings" w:hint="default"/>
      </w:rPr>
    </w:lvl>
  </w:abstractNum>
  <w:abstractNum w:abstractNumId="91" w15:restartNumberingAfterBreak="0">
    <w:nsid w:val="2AB05BED"/>
    <w:multiLevelType w:val="hybridMultilevel"/>
    <w:tmpl w:val="DC8ED282"/>
    <w:lvl w:ilvl="0" w:tplc="49B05368">
      <w:start w:val="1"/>
      <w:numFmt w:val="decimal"/>
      <w:lvlText w:val="%1."/>
      <w:lvlJc w:val="left"/>
      <w:pPr>
        <w:tabs>
          <w:tab w:val="num" w:pos="720"/>
        </w:tabs>
        <w:ind w:left="720" w:hanging="360"/>
      </w:pPr>
      <w:rPr>
        <w:rFonts w:hint="default"/>
      </w:rPr>
    </w:lvl>
    <w:lvl w:ilvl="1" w:tplc="2D5C87CA">
      <w:start w:val="1"/>
      <w:numFmt w:val="lowerLetter"/>
      <w:lvlText w:val="%2."/>
      <w:lvlJc w:val="left"/>
      <w:pPr>
        <w:tabs>
          <w:tab w:val="num" w:pos="1440"/>
        </w:tabs>
        <w:ind w:left="1440" w:hanging="360"/>
      </w:pPr>
    </w:lvl>
    <w:lvl w:ilvl="2" w:tplc="D13EF682">
      <w:start w:val="1"/>
      <w:numFmt w:val="lowerRoman"/>
      <w:lvlText w:val="%3."/>
      <w:lvlJc w:val="right"/>
      <w:pPr>
        <w:tabs>
          <w:tab w:val="num" w:pos="2160"/>
        </w:tabs>
        <w:ind w:left="2160" w:hanging="180"/>
      </w:pPr>
    </w:lvl>
    <w:lvl w:ilvl="3" w:tplc="9460C312" w:tentative="1">
      <w:start w:val="1"/>
      <w:numFmt w:val="decimal"/>
      <w:lvlText w:val="%4."/>
      <w:lvlJc w:val="left"/>
      <w:pPr>
        <w:tabs>
          <w:tab w:val="num" w:pos="2880"/>
        </w:tabs>
        <w:ind w:left="2880" w:hanging="360"/>
      </w:pPr>
    </w:lvl>
    <w:lvl w:ilvl="4" w:tplc="3BA0ED3C" w:tentative="1">
      <w:start w:val="1"/>
      <w:numFmt w:val="lowerLetter"/>
      <w:lvlText w:val="%5."/>
      <w:lvlJc w:val="left"/>
      <w:pPr>
        <w:tabs>
          <w:tab w:val="num" w:pos="3600"/>
        </w:tabs>
        <w:ind w:left="3600" w:hanging="360"/>
      </w:pPr>
    </w:lvl>
    <w:lvl w:ilvl="5" w:tplc="BB2888D6" w:tentative="1">
      <w:start w:val="1"/>
      <w:numFmt w:val="lowerRoman"/>
      <w:lvlText w:val="%6."/>
      <w:lvlJc w:val="right"/>
      <w:pPr>
        <w:tabs>
          <w:tab w:val="num" w:pos="4320"/>
        </w:tabs>
        <w:ind w:left="4320" w:hanging="180"/>
      </w:pPr>
    </w:lvl>
    <w:lvl w:ilvl="6" w:tplc="0EEAA484" w:tentative="1">
      <w:start w:val="1"/>
      <w:numFmt w:val="decimal"/>
      <w:lvlText w:val="%7."/>
      <w:lvlJc w:val="left"/>
      <w:pPr>
        <w:tabs>
          <w:tab w:val="num" w:pos="5040"/>
        </w:tabs>
        <w:ind w:left="5040" w:hanging="360"/>
      </w:pPr>
    </w:lvl>
    <w:lvl w:ilvl="7" w:tplc="DE585C94" w:tentative="1">
      <w:start w:val="1"/>
      <w:numFmt w:val="lowerLetter"/>
      <w:lvlText w:val="%8."/>
      <w:lvlJc w:val="left"/>
      <w:pPr>
        <w:tabs>
          <w:tab w:val="num" w:pos="5760"/>
        </w:tabs>
        <w:ind w:left="5760" w:hanging="360"/>
      </w:pPr>
    </w:lvl>
    <w:lvl w:ilvl="8" w:tplc="0FBCEC00" w:tentative="1">
      <w:start w:val="1"/>
      <w:numFmt w:val="lowerRoman"/>
      <w:lvlText w:val="%9."/>
      <w:lvlJc w:val="right"/>
      <w:pPr>
        <w:tabs>
          <w:tab w:val="num" w:pos="6480"/>
        </w:tabs>
        <w:ind w:left="6480" w:hanging="180"/>
      </w:pPr>
    </w:lvl>
  </w:abstractNum>
  <w:abstractNum w:abstractNumId="92" w15:restartNumberingAfterBreak="0">
    <w:nsid w:val="2B010F89"/>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93" w15:restartNumberingAfterBreak="0">
    <w:nsid w:val="2B227CBC"/>
    <w:multiLevelType w:val="hybridMultilevel"/>
    <w:tmpl w:val="FB2ED7D0"/>
    <w:lvl w:ilvl="0" w:tplc="90A6A13C">
      <w:start w:val="1"/>
      <w:numFmt w:val="bullet"/>
      <w:lvlText w:val=""/>
      <w:lvlJc w:val="left"/>
      <w:pPr>
        <w:ind w:left="720" w:hanging="360"/>
      </w:pPr>
      <w:rPr>
        <w:rFonts w:ascii="Symbol" w:hAnsi="Symbol" w:hint="default"/>
        <w:sz w:val="22"/>
      </w:rPr>
    </w:lvl>
    <w:lvl w:ilvl="1" w:tplc="04080336" w:tentative="1">
      <w:start w:val="1"/>
      <w:numFmt w:val="bullet"/>
      <w:lvlText w:val="o"/>
      <w:lvlJc w:val="left"/>
      <w:pPr>
        <w:ind w:left="1440" w:hanging="360"/>
      </w:pPr>
      <w:rPr>
        <w:rFonts w:ascii="Courier New" w:hAnsi="Courier New" w:cs="Courier New" w:hint="default"/>
      </w:rPr>
    </w:lvl>
    <w:lvl w:ilvl="2" w:tplc="8FDA0FC8" w:tentative="1">
      <w:start w:val="1"/>
      <w:numFmt w:val="bullet"/>
      <w:lvlText w:val=""/>
      <w:lvlJc w:val="left"/>
      <w:pPr>
        <w:ind w:left="2160" w:hanging="360"/>
      </w:pPr>
      <w:rPr>
        <w:rFonts w:ascii="Wingdings" w:hAnsi="Wingdings" w:hint="default"/>
      </w:rPr>
    </w:lvl>
    <w:lvl w:ilvl="3" w:tplc="EFF40ECE" w:tentative="1">
      <w:start w:val="1"/>
      <w:numFmt w:val="bullet"/>
      <w:lvlText w:val=""/>
      <w:lvlJc w:val="left"/>
      <w:pPr>
        <w:ind w:left="2880" w:hanging="360"/>
      </w:pPr>
      <w:rPr>
        <w:rFonts w:ascii="Symbol" w:hAnsi="Symbol" w:hint="default"/>
      </w:rPr>
    </w:lvl>
    <w:lvl w:ilvl="4" w:tplc="33F0F540" w:tentative="1">
      <w:start w:val="1"/>
      <w:numFmt w:val="bullet"/>
      <w:lvlText w:val="o"/>
      <w:lvlJc w:val="left"/>
      <w:pPr>
        <w:ind w:left="3600" w:hanging="360"/>
      </w:pPr>
      <w:rPr>
        <w:rFonts w:ascii="Courier New" w:hAnsi="Courier New" w:cs="Courier New" w:hint="default"/>
      </w:rPr>
    </w:lvl>
    <w:lvl w:ilvl="5" w:tplc="1F464480" w:tentative="1">
      <w:start w:val="1"/>
      <w:numFmt w:val="bullet"/>
      <w:lvlText w:val=""/>
      <w:lvlJc w:val="left"/>
      <w:pPr>
        <w:ind w:left="4320" w:hanging="360"/>
      </w:pPr>
      <w:rPr>
        <w:rFonts w:ascii="Wingdings" w:hAnsi="Wingdings" w:hint="default"/>
      </w:rPr>
    </w:lvl>
    <w:lvl w:ilvl="6" w:tplc="654A4734" w:tentative="1">
      <w:start w:val="1"/>
      <w:numFmt w:val="bullet"/>
      <w:lvlText w:val=""/>
      <w:lvlJc w:val="left"/>
      <w:pPr>
        <w:ind w:left="5040" w:hanging="360"/>
      </w:pPr>
      <w:rPr>
        <w:rFonts w:ascii="Symbol" w:hAnsi="Symbol" w:hint="default"/>
      </w:rPr>
    </w:lvl>
    <w:lvl w:ilvl="7" w:tplc="03484498" w:tentative="1">
      <w:start w:val="1"/>
      <w:numFmt w:val="bullet"/>
      <w:lvlText w:val="o"/>
      <w:lvlJc w:val="left"/>
      <w:pPr>
        <w:ind w:left="5760" w:hanging="360"/>
      </w:pPr>
      <w:rPr>
        <w:rFonts w:ascii="Courier New" w:hAnsi="Courier New" w:cs="Courier New" w:hint="default"/>
      </w:rPr>
    </w:lvl>
    <w:lvl w:ilvl="8" w:tplc="DF463370" w:tentative="1">
      <w:start w:val="1"/>
      <w:numFmt w:val="bullet"/>
      <w:lvlText w:val=""/>
      <w:lvlJc w:val="left"/>
      <w:pPr>
        <w:ind w:left="6480" w:hanging="360"/>
      </w:pPr>
      <w:rPr>
        <w:rFonts w:ascii="Wingdings" w:hAnsi="Wingdings" w:hint="default"/>
      </w:rPr>
    </w:lvl>
  </w:abstractNum>
  <w:abstractNum w:abstractNumId="94" w15:restartNumberingAfterBreak="0">
    <w:nsid w:val="2C15555F"/>
    <w:multiLevelType w:val="hybridMultilevel"/>
    <w:tmpl w:val="B728078E"/>
    <w:lvl w:ilvl="0" w:tplc="89727502">
      <w:start w:val="1"/>
      <w:numFmt w:val="lowerLetter"/>
      <w:lvlText w:val="%1"/>
      <w:lvlJc w:val="left"/>
      <w:pPr>
        <w:ind w:left="360" w:hanging="360"/>
      </w:pPr>
      <w:rPr>
        <w:rFonts w:ascii="Times New Roman" w:hAnsi="Times New Roman" w:cs="Times New Roman" w:hint="default"/>
        <w:b w:val="0"/>
        <w:i w:val="0"/>
        <w:caps w:val="0"/>
        <w:sz w:val="22"/>
        <w:szCs w:val="22"/>
        <w:u w:val="none"/>
        <w:vertAlign w:val="superscript"/>
      </w:rPr>
    </w:lvl>
    <w:lvl w:ilvl="1" w:tplc="403EE8FA" w:tentative="1">
      <w:start w:val="1"/>
      <w:numFmt w:val="lowerLetter"/>
      <w:lvlText w:val="%2."/>
      <w:lvlJc w:val="left"/>
      <w:pPr>
        <w:ind w:left="1440" w:hanging="360"/>
      </w:pPr>
    </w:lvl>
    <w:lvl w:ilvl="2" w:tplc="3E70B9F8" w:tentative="1">
      <w:start w:val="1"/>
      <w:numFmt w:val="lowerRoman"/>
      <w:lvlText w:val="%3."/>
      <w:lvlJc w:val="right"/>
      <w:pPr>
        <w:ind w:left="2160" w:hanging="180"/>
      </w:pPr>
    </w:lvl>
    <w:lvl w:ilvl="3" w:tplc="DC3EC5F4" w:tentative="1">
      <w:start w:val="1"/>
      <w:numFmt w:val="decimal"/>
      <w:lvlText w:val="%4."/>
      <w:lvlJc w:val="left"/>
      <w:pPr>
        <w:ind w:left="2880" w:hanging="360"/>
      </w:pPr>
    </w:lvl>
    <w:lvl w:ilvl="4" w:tplc="A684C3C6" w:tentative="1">
      <w:start w:val="1"/>
      <w:numFmt w:val="lowerLetter"/>
      <w:lvlText w:val="%5."/>
      <w:lvlJc w:val="left"/>
      <w:pPr>
        <w:ind w:left="3600" w:hanging="360"/>
      </w:pPr>
    </w:lvl>
    <w:lvl w:ilvl="5" w:tplc="0298EB8A" w:tentative="1">
      <w:start w:val="1"/>
      <w:numFmt w:val="lowerRoman"/>
      <w:lvlText w:val="%6."/>
      <w:lvlJc w:val="right"/>
      <w:pPr>
        <w:ind w:left="4320" w:hanging="180"/>
      </w:pPr>
    </w:lvl>
    <w:lvl w:ilvl="6" w:tplc="B3B6DBD0" w:tentative="1">
      <w:start w:val="1"/>
      <w:numFmt w:val="decimal"/>
      <w:lvlText w:val="%7."/>
      <w:lvlJc w:val="left"/>
      <w:pPr>
        <w:ind w:left="5040" w:hanging="360"/>
      </w:pPr>
    </w:lvl>
    <w:lvl w:ilvl="7" w:tplc="516037DE" w:tentative="1">
      <w:start w:val="1"/>
      <w:numFmt w:val="lowerLetter"/>
      <w:lvlText w:val="%8."/>
      <w:lvlJc w:val="left"/>
      <w:pPr>
        <w:ind w:left="5760" w:hanging="360"/>
      </w:pPr>
    </w:lvl>
    <w:lvl w:ilvl="8" w:tplc="C400C20C" w:tentative="1">
      <w:start w:val="1"/>
      <w:numFmt w:val="lowerRoman"/>
      <w:lvlText w:val="%9."/>
      <w:lvlJc w:val="right"/>
      <w:pPr>
        <w:ind w:left="6480" w:hanging="180"/>
      </w:pPr>
    </w:lvl>
  </w:abstractNum>
  <w:abstractNum w:abstractNumId="95" w15:restartNumberingAfterBreak="0">
    <w:nsid w:val="2C1E3967"/>
    <w:multiLevelType w:val="multilevel"/>
    <w:tmpl w:val="BD6C7D78"/>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6" w15:restartNumberingAfterBreak="0">
    <w:nsid w:val="2CAD1E3D"/>
    <w:multiLevelType w:val="hybridMultilevel"/>
    <w:tmpl w:val="69206C96"/>
    <w:lvl w:ilvl="0" w:tplc="BC9ADB08">
      <w:start w:val="1"/>
      <w:numFmt w:val="bullet"/>
      <w:lvlText w:val=""/>
      <w:lvlJc w:val="left"/>
      <w:pPr>
        <w:ind w:left="720" w:hanging="360"/>
      </w:pPr>
      <w:rPr>
        <w:rFonts w:ascii="Symbol" w:hAnsi="Symbol" w:hint="default"/>
      </w:rPr>
    </w:lvl>
    <w:lvl w:ilvl="1" w:tplc="3D2ABEF4">
      <w:start w:val="1"/>
      <w:numFmt w:val="bullet"/>
      <w:lvlText w:val="o"/>
      <w:lvlJc w:val="left"/>
      <w:pPr>
        <w:ind w:left="1440" w:hanging="360"/>
      </w:pPr>
      <w:rPr>
        <w:rFonts w:ascii="Courier New" w:hAnsi="Courier New" w:cs="Courier New" w:hint="default"/>
      </w:rPr>
    </w:lvl>
    <w:lvl w:ilvl="2" w:tplc="1A883A8C" w:tentative="1">
      <w:start w:val="1"/>
      <w:numFmt w:val="bullet"/>
      <w:lvlText w:val=""/>
      <w:lvlJc w:val="left"/>
      <w:pPr>
        <w:ind w:left="2160" w:hanging="360"/>
      </w:pPr>
      <w:rPr>
        <w:rFonts w:ascii="Wingdings" w:hAnsi="Wingdings" w:hint="default"/>
      </w:rPr>
    </w:lvl>
    <w:lvl w:ilvl="3" w:tplc="87F2E402" w:tentative="1">
      <w:start w:val="1"/>
      <w:numFmt w:val="bullet"/>
      <w:lvlText w:val=""/>
      <w:lvlJc w:val="left"/>
      <w:pPr>
        <w:ind w:left="2880" w:hanging="360"/>
      </w:pPr>
      <w:rPr>
        <w:rFonts w:ascii="Symbol" w:hAnsi="Symbol" w:hint="default"/>
      </w:rPr>
    </w:lvl>
    <w:lvl w:ilvl="4" w:tplc="E1DAF352" w:tentative="1">
      <w:start w:val="1"/>
      <w:numFmt w:val="bullet"/>
      <w:lvlText w:val="o"/>
      <w:lvlJc w:val="left"/>
      <w:pPr>
        <w:ind w:left="3600" w:hanging="360"/>
      </w:pPr>
      <w:rPr>
        <w:rFonts w:ascii="Courier New" w:hAnsi="Courier New" w:cs="Courier New" w:hint="default"/>
      </w:rPr>
    </w:lvl>
    <w:lvl w:ilvl="5" w:tplc="25F23542" w:tentative="1">
      <w:start w:val="1"/>
      <w:numFmt w:val="bullet"/>
      <w:lvlText w:val=""/>
      <w:lvlJc w:val="left"/>
      <w:pPr>
        <w:ind w:left="4320" w:hanging="360"/>
      </w:pPr>
      <w:rPr>
        <w:rFonts w:ascii="Wingdings" w:hAnsi="Wingdings" w:hint="default"/>
      </w:rPr>
    </w:lvl>
    <w:lvl w:ilvl="6" w:tplc="953A3BAA" w:tentative="1">
      <w:start w:val="1"/>
      <w:numFmt w:val="bullet"/>
      <w:lvlText w:val=""/>
      <w:lvlJc w:val="left"/>
      <w:pPr>
        <w:ind w:left="5040" w:hanging="360"/>
      </w:pPr>
      <w:rPr>
        <w:rFonts w:ascii="Symbol" w:hAnsi="Symbol" w:hint="default"/>
      </w:rPr>
    </w:lvl>
    <w:lvl w:ilvl="7" w:tplc="6B4A8102" w:tentative="1">
      <w:start w:val="1"/>
      <w:numFmt w:val="bullet"/>
      <w:lvlText w:val="o"/>
      <w:lvlJc w:val="left"/>
      <w:pPr>
        <w:ind w:left="5760" w:hanging="360"/>
      </w:pPr>
      <w:rPr>
        <w:rFonts w:ascii="Courier New" w:hAnsi="Courier New" w:cs="Courier New" w:hint="default"/>
      </w:rPr>
    </w:lvl>
    <w:lvl w:ilvl="8" w:tplc="B90A6564" w:tentative="1">
      <w:start w:val="1"/>
      <w:numFmt w:val="bullet"/>
      <w:lvlText w:val=""/>
      <w:lvlJc w:val="left"/>
      <w:pPr>
        <w:ind w:left="6480" w:hanging="360"/>
      </w:pPr>
      <w:rPr>
        <w:rFonts w:ascii="Wingdings" w:hAnsi="Wingdings" w:hint="default"/>
      </w:rPr>
    </w:lvl>
  </w:abstractNum>
  <w:abstractNum w:abstractNumId="97" w15:restartNumberingAfterBreak="0">
    <w:nsid w:val="2D0E21FD"/>
    <w:multiLevelType w:val="hybridMultilevel"/>
    <w:tmpl w:val="16924E6A"/>
    <w:lvl w:ilvl="0" w:tplc="A9AEF818">
      <w:numFmt w:val="bullet"/>
      <w:lvlText w:val="•"/>
      <w:lvlJc w:val="left"/>
      <w:pPr>
        <w:ind w:left="930" w:hanging="570"/>
      </w:pPr>
      <w:rPr>
        <w:rFonts w:ascii="Times New Roman" w:eastAsia="Times New Roman" w:hAnsi="Times New Roman" w:cs="Times New Roman" w:hint="default"/>
      </w:rPr>
    </w:lvl>
    <w:lvl w:ilvl="1" w:tplc="5BB472F0" w:tentative="1">
      <w:start w:val="1"/>
      <w:numFmt w:val="bullet"/>
      <w:lvlText w:val="o"/>
      <w:lvlJc w:val="left"/>
      <w:pPr>
        <w:ind w:left="1440" w:hanging="360"/>
      </w:pPr>
      <w:rPr>
        <w:rFonts w:ascii="Courier New" w:hAnsi="Courier New" w:cs="Courier New" w:hint="default"/>
      </w:rPr>
    </w:lvl>
    <w:lvl w:ilvl="2" w:tplc="05F63276" w:tentative="1">
      <w:start w:val="1"/>
      <w:numFmt w:val="bullet"/>
      <w:lvlText w:val=""/>
      <w:lvlJc w:val="left"/>
      <w:pPr>
        <w:ind w:left="2160" w:hanging="360"/>
      </w:pPr>
      <w:rPr>
        <w:rFonts w:ascii="Wingdings" w:hAnsi="Wingdings" w:hint="default"/>
      </w:rPr>
    </w:lvl>
    <w:lvl w:ilvl="3" w:tplc="37EA5B76" w:tentative="1">
      <w:start w:val="1"/>
      <w:numFmt w:val="bullet"/>
      <w:lvlText w:val=""/>
      <w:lvlJc w:val="left"/>
      <w:pPr>
        <w:ind w:left="2880" w:hanging="360"/>
      </w:pPr>
      <w:rPr>
        <w:rFonts w:ascii="Symbol" w:hAnsi="Symbol" w:hint="default"/>
      </w:rPr>
    </w:lvl>
    <w:lvl w:ilvl="4" w:tplc="45BEE9D0" w:tentative="1">
      <w:start w:val="1"/>
      <w:numFmt w:val="bullet"/>
      <w:lvlText w:val="o"/>
      <w:lvlJc w:val="left"/>
      <w:pPr>
        <w:ind w:left="3600" w:hanging="360"/>
      </w:pPr>
      <w:rPr>
        <w:rFonts w:ascii="Courier New" w:hAnsi="Courier New" w:cs="Courier New" w:hint="default"/>
      </w:rPr>
    </w:lvl>
    <w:lvl w:ilvl="5" w:tplc="74869D3A" w:tentative="1">
      <w:start w:val="1"/>
      <w:numFmt w:val="bullet"/>
      <w:lvlText w:val=""/>
      <w:lvlJc w:val="left"/>
      <w:pPr>
        <w:ind w:left="4320" w:hanging="360"/>
      </w:pPr>
      <w:rPr>
        <w:rFonts w:ascii="Wingdings" w:hAnsi="Wingdings" w:hint="default"/>
      </w:rPr>
    </w:lvl>
    <w:lvl w:ilvl="6" w:tplc="4642B8B8" w:tentative="1">
      <w:start w:val="1"/>
      <w:numFmt w:val="bullet"/>
      <w:lvlText w:val=""/>
      <w:lvlJc w:val="left"/>
      <w:pPr>
        <w:ind w:left="5040" w:hanging="360"/>
      </w:pPr>
      <w:rPr>
        <w:rFonts w:ascii="Symbol" w:hAnsi="Symbol" w:hint="default"/>
      </w:rPr>
    </w:lvl>
    <w:lvl w:ilvl="7" w:tplc="0C709FAA" w:tentative="1">
      <w:start w:val="1"/>
      <w:numFmt w:val="bullet"/>
      <w:lvlText w:val="o"/>
      <w:lvlJc w:val="left"/>
      <w:pPr>
        <w:ind w:left="5760" w:hanging="360"/>
      </w:pPr>
      <w:rPr>
        <w:rFonts w:ascii="Courier New" w:hAnsi="Courier New" w:cs="Courier New" w:hint="default"/>
      </w:rPr>
    </w:lvl>
    <w:lvl w:ilvl="8" w:tplc="E38AB78A" w:tentative="1">
      <w:start w:val="1"/>
      <w:numFmt w:val="bullet"/>
      <w:lvlText w:val=""/>
      <w:lvlJc w:val="left"/>
      <w:pPr>
        <w:ind w:left="6480" w:hanging="360"/>
      </w:pPr>
      <w:rPr>
        <w:rFonts w:ascii="Wingdings" w:hAnsi="Wingdings" w:hint="default"/>
      </w:rPr>
    </w:lvl>
  </w:abstractNum>
  <w:abstractNum w:abstractNumId="98" w15:restartNumberingAfterBreak="0">
    <w:nsid w:val="2D59692A"/>
    <w:multiLevelType w:val="hybridMultilevel"/>
    <w:tmpl w:val="70587ECA"/>
    <w:lvl w:ilvl="0" w:tplc="BC4C5374">
      <w:start w:val="1"/>
      <w:numFmt w:val="bullet"/>
      <w:lvlText w:val=""/>
      <w:lvlJc w:val="left"/>
      <w:pPr>
        <w:tabs>
          <w:tab w:val="num" w:pos="690"/>
        </w:tabs>
        <w:ind w:left="690" w:hanging="360"/>
      </w:pPr>
      <w:rPr>
        <w:rFonts w:ascii="Symbol" w:hAnsi="Symbol" w:hint="default"/>
      </w:rPr>
    </w:lvl>
    <w:lvl w:ilvl="1" w:tplc="00B0DFA2">
      <w:start w:val="1"/>
      <w:numFmt w:val="bullet"/>
      <w:lvlText w:val=""/>
      <w:lvlJc w:val="left"/>
      <w:pPr>
        <w:tabs>
          <w:tab w:val="num" w:pos="1440"/>
        </w:tabs>
        <w:ind w:left="1440" w:hanging="360"/>
      </w:pPr>
      <w:rPr>
        <w:rFonts w:ascii="Symbol" w:hAnsi="Symbol" w:hint="default"/>
      </w:rPr>
    </w:lvl>
    <w:lvl w:ilvl="2" w:tplc="E342E79C" w:tentative="1">
      <w:start w:val="1"/>
      <w:numFmt w:val="bullet"/>
      <w:lvlText w:val=""/>
      <w:lvlJc w:val="left"/>
      <w:pPr>
        <w:tabs>
          <w:tab w:val="num" w:pos="2160"/>
        </w:tabs>
        <w:ind w:left="2160" w:hanging="360"/>
      </w:pPr>
      <w:rPr>
        <w:rFonts w:ascii="Wingdings" w:hAnsi="Wingdings" w:hint="default"/>
      </w:rPr>
    </w:lvl>
    <w:lvl w:ilvl="3" w:tplc="E90C1412" w:tentative="1">
      <w:start w:val="1"/>
      <w:numFmt w:val="bullet"/>
      <w:lvlText w:val=""/>
      <w:lvlJc w:val="left"/>
      <w:pPr>
        <w:tabs>
          <w:tab w:val="num" w:pos="2880"/>
        </w:tabs>
        <w:ind w:left="2880" w:hanging="360"/>
      </w:pPr>
      <w:rPr>
        <w:rFonts w:ascii="Symbol" w:hAnsi="Symbol" w:hint="default"/>
      </w:rPr>
    </w:lvl>
    <w:lvl w:ilvl="4" w:tplc="786A19D6" w:tentative="1">
      <w:start w:val="1"/>
      <w:numFmt w:val="bullet"/>
      <w:lvlText w:val="o"/>
      <w:lvlJc w:val="left"/>
      <w:pPr>
        <w:tabs>
          <w:tab w:val="num" w:pos="3600"/>
        </w:tabs>
        <w:ind w:left="3600" w:hanging="360"/>
      </w:pPr>
      <w:rPr>
        <w:rFonts w:ascii="Courier New" w:hAnsi="Courier New" w:hint="default"/>
      </w:rPr>
    </w:lvl>
    <w:lvl w:ilvl="5" w:tplc="885A4726" w:tentative="1">
      <w:start w:val="1"/>
      <w:numFmt w:val="bullet"/>
      <w:lvlText w:val=""/>
      <w:lvlJc w:val="left"/>
      <w:pPr>
        <w:tabs>
          <w:tab w:val="num" w:pos="4320"/>
        </w:tabs>
        <w:ind w:left="4320" w:hanging="360"/>
      </w:pPr>
      <w:rPr>
        <w:rFonts w:ascii="Wingdings" w:hAnsi="Wingdings" w:hint="default"/>
      </w:rPr>
    </w:lvl>
    <w:lvl w:ilvl="6" w:tplc="033EBA8A" w:tentative="1">
      <w:start w:val="1"/>
      <w:numFmt w:val="bullet"/>
      <w:lvlText w:val=""/>
      <w:lvlJc w:val="left"/>
      <w:pPr>
        <w:tabs>
          <w:tab w:val="num" w:pos="5040"/>
        </w:tabs>
        <w:ind w:left="5040" w:hanging="360"/>
      </w:pPr>
      <w:rPr>
        <w:rFonts w:ascii="Symbol" w:hAnsi="Symbol" w:hint="default"/>
      </w:rPr>
    </w:lvl>
    <w:lvl w:ilvl="7" w:tplc="F628E9DC" w:tentative="1">
      <w:start w:val="1"/>
      <w:numFmt w:val="bullet"/>
      <w:lvlText w:val="o"/>
      <w:lvlJc w:val="left"/>
      <w:pPr>
        <w:tabs>
          <w:tab w:val="num" w:pos="5760"/>
        </w:tabs>
        <w:ind w:left="5760" w:hanging="360"/>
      </w:pPr>
      <w:rPr>
        <w:rFonts w:ascii="Courier New" w:hAnsi="Courier New" w:hint="default"/>
      </w:rPr>
    </w:lvl>
    <w:lvl w:ilvl="8" w:tplc="32C61D06"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2DB07087"/>
    <w:multiLevelType w:val="hybridMultilevel"/>
    <w:tmpl w:val="7B108DCC"/>
    <w:lvl w:ilvl="0" w:tplc="0A4EB0B8">
      <w:start w:val="1"/>
      <w:numFmt w:val="lowerLetter"/>
      <w:lvlText w:val="%1"/>
      <w:lvlJc w:val="left"/>
      <w:pPr>
        <w:ind w:left="360" w:hanging="360"/>
      </w:pPr>
      <w:rPr>
        <w:rFonts w:hint="default"/>
        <w:b w:val="0"/>
        <w:i w:val="0"/>
        <w:caps w:val="0"/>
        <w:sz w:val="16"/>
        <w:szCs w:val="16"/>
        <w:u w:val="none"/>
        <w:vertAlign w:val="superscript"/>
      </w:rPr>
    </w:lvl>
    <w:lvl w:ilvl="1" w:tplc="F1481C3A" w:tentative="1">
      <w:start w:val="1"/>
      <w:numFmt w:val="lowerLetter"/>
      <w:lvlText w:val="%2."/>
      <w:lvlJc w:val="left"/>
      <w:pPr>
        <w:ind w:left="1440" w:hanging="360"/>
      </w:pPr>
    </w:lvl>
    <w:lvl w:ilvl="2" w:tplc="42B2F60E" w:tentative="1">
      <w:start w:val="1"/>
      <w:numFmt w:val="lowerRoman"/>
      <w:lvlText w:val="%3."/>
      <w:lvlJc w:val="right"/>
      <w:pPr>
        <w:ind w:left="2160" w:hanging="180"/>
      </w:pPr>
    </w:lvl>
    <w:lvl w:ilvl="3" w:tplc="38604248" w:tentative="1">
      <w:start w:val="1"/>
      <w:numFmt w:val="decimal"/>
      <w:lvlText w:val="%4."/>
      <w:lvlJc w:val="left"/>
      <w:pPr>
        <w:ind w:left="2880" w:hanging="360"/>
      </w:pPr>
    </w:lvl>
    <w:lvl w:ilvl="4" w:tplc="56705818" w:tentative="1">
      <w:start w:val="1"/>
      <w:numFmt w:val="lowerLetter"/>
      <w:lvlText w:val="%5."/>
      <w:lvlJc w:val="left"/>
      <w:pPr>
        <w:ind w:left="3600" w:hanging="360"/>
      </w:pPr>
    </w:lvl>
    <w:lvl w:ilvl="5" w:tplc="0866A34C" w:tentative="1">
      <w:start w:val="1"/>
      <w:numFmt w:val="lowerRoman"/>
      <w:lvlText w:val="%6."/>
      <w:lvlJc w:val="right"/>
      <w:pPr>
        <w:ind w:left="4320" w:hanging="180"/>
      </w:pPr>
    </w:lvl>
    <w:lvl w:ilvl="6" w:tplc="143ECEBA" w:tentative="1">
      <w:start w:val="1"/>
      <w:numFmt w:val="decimal"/>
      <w:lvlText w:val="%7."/>
      <w:lvlJc w:val="left"/>
      <w:pPr>
        <w:ind w:left="5040" w:hanging="360"/>
      </w:pPr>
    </w:lvl>
    <w:lvl w:ilvl="7" w:tplc="4C1A1608" w:tentative="1">
      <w:start w:val="1"/>
      <w:numFmt w:val="lowerLetter"/>
      <w:lvlText w:val="%8."/>
      <w:lvlJc w:val="left"/>
      <w:pPr>
        <w:ind w:left="5760" w:hanging="360"/>
      </w:pPr>
    </w:lvl>
    <w:lvl w:ilvl="8" w:tplc="990874EC" w:tentative="1">
      <w:start w:val="1"/>
      <w:numFmt w:val="lowerRoman"/>
      <w:lvlText w:val="%9."/>
      <w:lvlJc w:val="right"/>
      <w:pPr>
        <w:ind w:left="6480" w:hanging="180"/>
      </w:pPr>
    </w:lvl>
  </w:abstractNum>
  <w:abstractNum w:abstractNumId="100" w15:restartNumberingAfterBreak="0">
    <w:nsid w:val="2DE430A6"/>
    <w:multiLevelType w:val="hybridMultilevel"/>
    <w:tmpl w:val="2D1C16EE"/>
    <w:lvl w:ilvl="0" w:tplc="B4D4C944">
      <w:start w:val="1"/>
      <w:numFmt w:val="bullet"/>
      <w:lvlText w:val=""/>
      <w:lvlJc w:val="left"/>
      <w:pPr>
        <w:tabs>
          <w:tab w:val="num" w:pos="720"/>
        </w:tabs>
        <w:ind w:left="720" w:hanging="360"/>
      </w:pPr>
      <w:rPr>
        <w:rFonts w:ascii="Symbol" w:hAnsi="Symbol" w:hint="default"/>
      </w:rPr>
    </w:lvl>
    <w:lvl w:ilvl="1" w:tplc="DBFCE7D6">
      <w:start w:val="1"/>
      <w:numFmt w:val="bullet"/>
      <w:lvlText w:val="•"/>
      <w:lvlJc w:val="left"/>
      <w:pPr>
        <w:tabs>
          <w:tab w:val="num" w:pos="1437"/>
        </w:tabs>
        <w:ind w:left="1437" w:hanging="357"/>
      </w:pPr>
      <w:rPr>
        <w:rFonts w:ascii="Arial" w:hAnsi="Arial" w:hint="default"/>
      </w:rPr>
    </w:lvl>
    <w:lvl w:ilvl="2" w:tplc="BB60D5D4" w:tentative="1">
      <w:start w:val="1"/>
      <w:numFmt w:val="bullet"/>
      <w:lvlText w:val=""/>
      <w:lvlJc w:val="left"/>
      <w:pPr>
        <w:tabs>
          <w:tab w:val="num" w:pos="2160"/>
        </w:tabs>
        <w:ind w:left="2160" w:hanging="360"/>
      </w:pPr>
      <w:rPr>
        <w:rFonts w:ascii="Wingdings" w:hAnsi="Wingdings" w:hint="default"/>
      </w:rPr>
    </w:lvl>
    <w:lvl w:ilvl="3" w:tplc="9EACDB32" w:tentative="1">
      <w:start w:val="1"/>
      <w:numFmt w:val="bullet"/>
      <w:lvlText w:val=""/>
      <w:lvlJc w:val="left"/>
      <w:pPr>
        <w:tabs>
          <w:tab w:val="num" w:pos="2880"/>
        </w:tabs>
        <w:ind w:left="2880" w:hanging="360"/>
      </w:pPr>
      <w:rPr>
        <w:rFonts w:ascii="Symbol" w:hAnsi="Symbol" w:hint="default"/>
      </w:rPr>
    </w:lvl>
    <w:lvl w:ilvl="4" w:tplc="CB2264F6" w:tentative="1">
      <w:start w:val="1"/>
      <w:numFmt w:val="bullet"/>
      <w:lvlText w:val="o"/>
      <w:lvlJc w:val="left"/>
      <w:pPr>
        <w:tabs>
          <w:tab w:val="num" w:pos="3600"/>
        </w:tabs>
        <w:ind w:left="3600" w:hanging="360"/>
      </w:pPr>
      <w:rPr>
        <w:rFonts w:ascii="Courier New" w:hAnsi="Courier New" w:hint="default"/>
      </w:rPr>
    </w:lvl>
    <w:lvl w:ilvl="5" w:tplc="B30EA5E2" w:tentative="1">
      <w:start w:val="1"/>
      <w:numFmt w:val="bullet"/>
      <w:lvlText w:val=""/>
      <w:lvlJc w:val="left"/>
      <w:pPr>
        <w:tabs>
          <w:tab w:val="num" w:pos="4320"/>
        </w:tabs>
        <w:ind w:left="4320" w:hanging="360"/>
      </w:pPr>
      <w:rPr>
        <w:rFonts w:ascii="Wingdings" w:hAnsi="Wingdings" w:hint="default"/>
      </w:rPr>
    </w:lvl>
    <w:lvl w:ilvl="6" w:tplc="73B2F666" w:tentative="1">
      <w:start w:val="1"/>
      <w:numFmt w:val="bullet"/>
      <w:lvlText w:val=""/>
      <w:lvlJc w:val="left"/>
      <w:pPr>
        <w:tabs>
          <w:tab w:val="num" w:pos="5040"/>
        </w:tabs>
        <w:ind w:left="5040" w:hanging="360"/>
      </w:pPr>
      <w:rPr>
        <w:rFonts w:ascii="Symbol" w:hAnsi="Symbol" w:hint="default"/>
      </w:rPr>
    </w:lvl>
    <w:lvl w:ilvl="7" w:tplc="5128FEDC" w:tentative="1">
      <w:start w:val="1"/>
      <w:numFmt w:val="bullet"/>
      <w:lvlText w:val="o"/>
      <w:lvlJc w:val="left"/>
      <w:pPr>
        <w:tabs>
          <w:tab w:val="num" w:pos="5760"/>
        </w:tabs>
        <w:ind w:left="5760" w:hanging="360"/>
      </w:pPr>
      <w:rPr>
        <w:rFonts w:ascii="Courier New" w:hAnsi="Courier New" w:hint="default"/>
      </w:rPr>
    </w:lvl>
    <w:lvl w:ilvl="8" w:tplc="C58C3340"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2E4B1CF2"/>
    <w:multiLevelType w:val="singleLevel"/>
    <w:tmpl w:val="94F644A4"/>
    <w:lvl w:ilvl="0">
      <w:start w:val="1"/>
      <w:numFmt w:val="lowerLetter"/>
      <w:lvlText w:val="%1"/>
      <w:lvlJc w:val="left"/>
      <w:pPr>
        <w:ind w:left="360" w:hanging="360"/>
      </w:pPr>
      <w:rPr>
        <w:rFonts w:ascii="Times New Roman" w:hAnsi="Times New Roman" w:cs="Times New Roman" w:hint="default"/>
        <w:b w:val="0"/>
        <w:i w:val="0"/>
        <w:caps w:val="0"/>
        <w:sz w:val="22"/>
        <w:szCs w:val="22"/>
        <w:u w:val="none"/>
        <w:vertAlign w:val="superscript"/>
      </w:rPr>
    </w:lvl>
  </w:abstractNum>
  <w:abstractNum w:abstractNumId="102" w15:restartNumberingAfterBreak="0">
    <w:nsid w:val="2E522925"/>
    <w:multiLevelType w:val="hybridMultilevel"/>
    <w:tmpl w:val="5388004C"/>
    <w:lvl w:ilvl="0" w:tplc="DFBCD962">
      <w:start w:val="1"/>
      <w:numFmt w:val="lowerLetter"/>
      <w:lvlText w:val="%1"/>
      <w:lvlJc w:val="left"/>
      <w:pPr>
        <w:ind w:left="720" w:hanging="360"/>
      </w:pPr>
      <w:rPr>
        <w:rFonts w:hint="default"/>
        <w:sz w:val="16"/>
        <w:szCs w:val="16"/>
        <w:vertAlign w:val="superscript"/>
      </w:rPr>
    </w:lvl>
    <w:lvl w:ilvl="1" w:tplc="1316A282" w:tentative="1">
      <w:start w:val="1"/>
      <w:numFmt w:val="lowerLetter"/>
      <w:lvlText w:val="%2."/>
      <w:lvlJc w:val="left"/>
      <w:pPr>
        <w:ind w:left="1440" w:hanging="360"/>
      </w:pPr>
    </w:lvl>
    <w:lvl w:ilvl="2" w:tplc="CF56988C" w:tentative="1">
      <w:start w:val="1"/>
      <w:numFmt w:val="lowerRoman"/>
      <w:lvlText w:val="%3."/>
      <w:lvlJc w:val="right"/>
      <w:pPr>
        <w:ind w:left="2160" w:hanging="180"/>
      </w:pPr>
    </w:lvl>
    <w:lvl w:ilvl="3" w:tplc="B4780D0E" w:tentative="1">
      <w:start w:val="1"/>
      <w:numFmt w:val="decimal"/>
      <w:lvlText w:val="%4."/>
      <w:lvlJc w:val="left"/>
      <w:pPr>
        <w:ind w:left="2880" w:hanging="360"/>
      </w:pPr>
    </w:lvl>
    <w:lvl w:ilvl="4" w:tplc="462C9910" w:tentative="1">
      <w:start w:val="1"/>
      <w:numFmt w:val="lowerLetter"/>
      <w:lvlText w:val="%5."/>
      <w:lvlJc w:val="left"/>
      <w:pPr>
        <w:ind w:left="3600" w:hanging="360"/>
      </w:pPr>
    </w:lvl>
    <w:lvl w:ilvl="5" w:tplc="7214CB9A" w:tentative="1">
      <w:start w:val="1"/>
      <w:numFmt w:val="lowerRoman"/>
      <w:lvlText w:val="%6."/>
      <w:lvlJc w:val="right"/>
      <w:pPr>
        <w:ind w:left="4320" w:hanging="180"/>
      </w:pPr>
    </w:lvl>
    <w:lvl w:ilvl="6" w:tplc="66509BA0" w:tentative="1">
      <w:start w:val="1"/>
      <w:numFmt w:val="decimal"/>
      <w:lvlText w:val="%7."/>
      <w:lvlJc w:val="left"/>
      <w:pPr>
        <w:ind w:left="5040" w:hanging="360"/>
      </w:pPr>
    </w:lvl>
    <w:lvl w:ilvl="7" w:tplc="F3E2DCC0" w:tentative="1">
      <w:start w:val="1"/>
      <w:numFmt w:val="lowerLetter"/>
      <w:lvlText w:val="%8."/>
      <w:lvlJc w:val="left"/>
      <w:pPr>
        <w:ind w:left="5760" w:hanging="360"/>
      </w:pPr>
    </w:lvl>
    <w:lvl w:ilvl="8" w:tplc="6EFC324E" w:tentative="1">
      <w:start w:val="1"/>
      <w:numFmt w:val="lowerRoman"/>
      <w:lvlText w:val="%9."/>
      <w:lvlJc w:val="right"/>
      <w:pPr>
        <w:ind w:left="6480" w:hanging="180"/>
      </w:pPr>
    </w:lvl>
  </w:abstractNum>
  <w:abstractNum w:abstractNumId="103" w15:restartNumberingAfterBreak="0">
    <w:nsid w:val="2F1873C4"/>
    <w:multiLevelType w:val="hybridMultilevel"/>
    <w:tmpl w:val="0C14D6A4"/>
    <w:lvl w:ilvl="0" w:tplc="55D8B878">
      <w:start w:val="1"/>
      <w:numFmt w:val="bullet"/>
      <w:lvlText w:val=""/>
      <w:lvlJc w:val="left"/>
      <w:pPr>
        <w:tabs>
          <w:tab w:val="num" w:pos="720"/>
        </w:tabs>
        <w:ind w:left="720" w:hanging="360"/>
      </w:pPr>
      <w:rPr>
        <w:rFonts w:ascii="Symbol" w:hAnsi="Symbol" w:hint="default"/>
      </w:rPr>
    </w:lvl>
    <w:lvl w:ilvl="1" w:tplc="717C04A8" w:tentative="1">
      <w:start w:val="1"/>
      <w:numFmt w:val="bullet"/>
      <w:lvlText w:val="o"/>
      <w:lvlJc w:val="left"/>
      <w:pPr>
        <w:tabs>
          <w:tab w:val="num" w:pos="1440"/>
        </w:tabs>
        <w:ind w:left="1440" w:hanging="360"/>
      </w:pPr>
      <w:rPr>
        <w:rFonts w:ascii="Courier New" w:hAnsi="Courier New" w:hint="default"/>
      </w:rPr>
    </w:lvl>
    <w:lvl w:ilvl="2" w:tplc="F4F4ECE6" w:tentative="1">
      <w:start w:val="1"/>
      <w:numFmt w:val="bullet"/>
      <w:lvlText w:val=""/>
      <w:lvlJc w:val="left"/>
      <w:pPr>
        <w:tabs>
          <w:tab w:val="num" w:pos="2160"/>
        </w:tabs>
        <w:ind w:left="2160" w:hanging="360"/>
      </w:pPr>
      <w:rPr>
        <w:rFonts w:ascii="Wingdings" w:hAnsi="Wingdings" w:hint="default"/>
      </w:rPr>
    </w:lvl>
    <w:lvl w:ilvl="3" w:tplc="B170BF50" w:tentative="1">
      <w:start w:val="1"/>
      <w:numFmt w:val="bullet"/>
      <w:lvlText w:val=""/>
      <w:lvlJc w:val="left"/>
      <w:pPr>
        <w:tabs>
          <w:tab w:val="num" w:pos="2880"/>
        </w:tabs>
        <w:ind w:left="2880" w:hanging="360"/>
      </w:pPr>
      <w:rPr>
        <w:rFonts w:ascii="Symbol" w:hAnsi="Symbol" w:hint="default"/>
      </w:rPr>
    </w:lvl>
    <w:lvl w:ilvl="4" w:tplc="FB602B30" w:tentative="1">
      <w:start w:val="1"/>
      <w:numFmt w:val="bullet"/>
      <w:lvlText w:val="o"/>
      <w:lvlJc w:val="left"/>
      <w:pPr>
        <w:tabs>
          <w:tab w:val="num" w:pos="3600"/>
        </w:tabs>
        <w:ind w:left="3600" w:hanging="360"/>
      </w:pPr>
      <w:rPr>
        <w:rFonts w:ascii="Courier New" w:hAnsi="Courier New" w:hint="default"/>
      </w:rPr>
    </w:lvl>
    <w:lvl w:ilvl="5" w:tplc="523C23EE" w:tentative="1">
      <w:start w:val="1"/>
      <w:numFmt w:val="bullet"/>
      <w:lvlText w:val=""/>
      <w:lvlJc w:val="left"/>
      <w:pPr>
        <w:tabs>
          <w:tab w:val="num" w:pos="4320"/>
        </w:tabs>
        <w:ind w:left="4320" w:hanging="360"/>
      </w:pPr>
      <w:rPr>
        <w:rFonts w:ascii="Wingdings" w:hAnsi="Wingdings" w:hint="default"/>
      </w:rPr>
    </w:lvl>
    <w:lvl w:ilvl="6" w:tplc="EB12CB20" w:tentative="1">
      <w:start w:val="1"/>
      <w:numFmt w:val="bullet"/>
      <w:lvlText w:val=""/>
      <w:lvlJc w:val="left"/>
      <w:pPr>
        <w:tabs>
          <w:tab w:val="num" w:pos="5040"/>
        </w:tabs>
        <w:ind w:left="5040" w:hanging="360"/>
      </w:pPr>
      <w:rPr>
        <w:rFonts w:ascii="Symbol" w:hAnsi="Symbol" w:hint="default"/>
      </w:rPr>
    </w:lvl>
    <w:lvl w:ilvl="7" w:tplc="464A0654" w:tentative="1">
      <w:start w:val="1"/>
      <w:numFmt w:val="bullet"/>
      <w:lvlText w:val="o"/>
      <w:lvlJc w:val="left"/>
      <w:pPr>
        <w:tabs>
          <w:tab w:val="num" w:pos="5760"/>
        </w:tabs>
        <w:ind w:left="5760" w:hanging="360"/>
      </w:pPr>
      <w:rPr>
        <w:rFonts w:ascii="Courier New" w:hAnsi="Courier New" w:hint="default"/>
      </w:rPr>
    </w:lvl>
    <w:lvl w:ilvl="8" w:tplc="11CAB92E"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2F2E4535"/>
    <w:multiLevelType w:val="hybridMultilevel"/>
    <w:tmpl w:val="9F0C1040"/>
    <w:lvl w:ilvl="0" w:tplc="12861AA8">
      <w:start w:val="1"/>
      <w:numFmt w:val="bullet"/>
      <w:lvlText w:val=""/>
      <w:lvlJc w:val="left"/>
      <w:pPr>
        <w:tabs>
          <w:tab w:val="num" w:pos="720"/>
        </w:tabs>
        <w:ind w:left="720" w:hanging="360"/>
      </w:pPr>
      <w:rPr>
        <w:rFonts w:ascii="Symbol" w:hAnsi="Symbol" w:hint="default"/>
      </w:rPr>
    </w:lvl>
    <w:lvl w:ilvl="1" w:tplc="17F0D970" w:tentative="1">
      <w:start w:val="1"/>
      <w:numFmt w:val="bullet"/>
      <w:lvlText w:val="o"/>
      <w:lvlJc w:val="left"/>
      <w:pPr>
        <w:tabs>
          <w:tab w:val="num" w:pos="1440"/>
        </w:tabs>
        <w:ind w:left="1440" w:hanging="360"/>
      </w:pPr>
      <w:rPr>
        <w:rFonts w:ascii="Courier New" w:hAnsi="Courier New" w:hint="default"/>
      </w:rPr>
    </w:lvl>
    <w:lvl w:ilvl="2" w:tplc="5464F44C" w:tentative="1">
      <w:start w:val="1"/>
      <w:numFmt w:val="bullet"/>
      <w:lvlText w:val=""/>
      <w:lvlJc w:val="left"/>
      <w:pPr>
        <w:tabs>
          <w:tab w:val="num" w:pos="2160"/>
        </w:tabs>
        <w:ind w:left="2160" w:hanging="360"/>
      </w:pPr>
      <w:rPr>
        <w:rFonts w:ascii="Wingdings" w:hAnsi="Wingdings" w:hint="default"/>
      </w:rPr>
    </w:lvl>
    <w:lvl w:ilvl="3" w:tplc="9CAA9AC0" w:tentative="1">
      <w:start w:val="1"/>
      <w:numFmt w:val="bullet"/>
      <w:lvlText w:val=""/>
      <w:lvlJc w:val="left"/>
      <w:pPr>
        <w:tabs>
          <w:tab w:val="num" w:pos="2880"/>
        </w:tabs>
        <w:ind w:left="2880" w:hanging="360"/>
      </w:pPr>
      <w:rPr>
        <w:rFonts w:ascii="Symbol" w:hAnsi="Symbol" w:hint="default"/>
      </w:rPr>
    </w:lvl>
    <w:lvl w:ilvl="4" w:tplc="66CC0686" w:tentative="1">
      <w:start w:val="1"/>
      <w:numFmt w:val="bullet"/>
      <w:lvlText w:val="o"/>
      <w:lvlJc w:val="left"/>
      <w:pPr>
        <w:tabs>
          <w:tab w:val="num" w:pos="3600"/>
        </w:tabs>
        <w:ind w:left="3600" w:hanging="360"/>
      </w:pPr>
      <w:rPr>
        <w:rFonts w:ascii="Courier New" w:hAnsi="Courier New" w:hint="default"/>
      </w:rPr>
    </w:lvl>
    <w:lvl w:ilvl="5" w:tplc="C6D6868A" w:tentative="1">
      <w:start w:val="1"/>
      <w:numFmt w:val="bullet"/>
      <w:lvlText w:val=""/>
      <w:lvlJc w:val="left"/>
      <w:pPr>
        <w:tabs>
          <w:tab w:val="num" w:pos="4320"/>
        </w:tabs>
        <w:ind w:left="4320" w:hanging="360"/>
      </w:pPr>
      <w:rPr>
        <w:rFonts w:ascii="Wingdings" w:hAnsi="Wingdings" w:hint="default"/>
      </w:rPr>
    </w:lvl>
    <w:lvl w:ilvl="6" w:tplc="CC068C70" w:tentative="1">
      <w:start w:val="1"/>
      <w:numFmt w:val="bullet"/>
      <w:lvlText w:val=""/>
      <w:lvlJc w:val="left"/>
      <w:pPr>
        <w:tabs>
          <w:tab w:val="num" w:pos="5040"/>
        </w:tabs>
        <w:ind w:left="5040" w:hanging="360"/>
      </w:pPr>
      <w:rPr>
        <w:rFonts w:ascii="Symbol" w:hAnsi="Symbol" w:hint="default"/>
      </w:rPr>
    </w:lvl>
    <w:lvl w:ilvl="7" w:tplc="3D2AC574" w:tentative="1">
      <w:start w:val="1"/>
      <w:numFmt w:val="bullet"/>
      <w:lvlText w:val="o"/>
      <w:lvlJc w:val="left"/>
      <w:pPr>
        <w:tabs>
          <w:tab w:val="num" w:pos="5760"/>
        </w:tabs>
        <w:ind w:left="5760" w:hanging="360"/>
      </w:pPr>
      <w:rPr>
        <w:rFonts w:ascii="Courier New" w:hAnsi="Courier New" w:hint="default"/>
      </w:rPr>
    </w:lvl>
    <w:lvl w:ilvl="8" w:tplc="B10C96E2"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30FF5920"/>
    <w:multiLevelType w:val="hybridMultilevel"/>
    <w:tmpl w:val="B2144E34"/>
    <w:lvl w:ilvl="0" w:tplc="64F0C5AC">
      <w:start w:val="1"/>
      <w:numFmt w:val="bullet"/>
      <w:lvlText w:val=""/>
      <w:lvlJc w:val="left"/>
      <w:pPr>
        <w:tabs>
          <w:tab w:val="num" w:pos="720"/>
        </w:tabs>
        <w:ind w:left="720" w:hanging="360"/>
      </w:pPr>
      <w:rPr>
        <w:rFonts w:ascii="Symbol" w:hAnsi="Symbol" w:hint="default"/>
      </w:rPr>
    </w:lvl>
    <w:lvl w:ilvl="1" w:tplc="CF849EC4">
      <w:start w:val="1"/>
      <w:numFmt w:val="bullet"/>
      <w:lvlText w:val="o"/>
      <w:lvlJc w:val="left"/>
      <w:pPr>
        <w:tabs>
          <w:tab w:val="num" w:pos="1440"/>
        </w:tabs>
        <w:ind w:left="1440" w:hanging="360"/>
      </w:pPr>
      <w:rPr>
        <w:rFonts w:ascii="Courier New" w:hAnsi="Courier New" w:hint="default"/>
      </w:rPr>
    </w:lvl>
    <w:lvl w:ilvl="2" w:tplc="5DBA2188" w:tentative="1">
      <w:start w:val="1"/>
      <w:numFmt w:val="bullet"/>
      <w:lvlText w:val=""/>
      <w:lvlJc w:val="left"/>
      <w:pPr>
        <w:tabs>
          <w:tab w:val="num" w:pos="2160"/>
        </w:tabs>
        <w:ind w:left="2160" w:hanging="360"/>
      </w:pPr>
      <w:rPr>
        <w:rFonts w:ascii="Wingdings" w:hAnsi="Wingdings" w:hint="default"/>
      </w:rPr>
    </w:lvl>
    <w:lvl w:ilvl="3" w:tplc="CF8E2ACA" w:tentative="1">
      <w:start w:val="1"/>
      <w:numFmt w:val="bullet"/>
      <w:lvlText w:val=""/>
      <w:lvlJc w:val="left"/>
      <w:pPr>
        <w:tabs>
          <w:tab w:val="num" w:pos="2880"/>
        </w:tabs>
        <w:ind w:left="2880" w:hanging="360"/>
      </w:pPr>
      <w:rPr>
        <w:rFonts w:ascii="Symbol" w:hAnsi="Symbol" w:hint="default"/>
      </w:rPr>
    </w:lvl>
    <w:lvl w:ilvl="4" w:tplc="D3FE6C00" w:tentative="1">
      <w:start w:val="1"/>
      <w:numFmt w:val="bullet"/>
      <w:lvlText w:val="o"/>
      <w:lvlJc w:val="left"/>
      <w:pPr>
        <w:tabs>
          <w:tab w:val="num" w:pos="3600"/>
        </w:tabs>
        <w:ind w:left="3600" w:hanging="360"/>
      </w:pPr>
      <w:rPr>
        <w:rFonts w:ascii="Courier New" w:hAnsi="Courier New" w:hint="default"/>
      </w:rPr>
    </w:lvl>
    <w:lvl w:ilvl="5" w:tplc="DF2C25A2" w:tentative="1">
      <w:start w:val="1"/>
      <w:numFmt w:val="bullet"/>
      <w:lvlText w:val=""/>
      <w:lvlJc w:val="left"/>
      <w:pPr>
        <w:tabs>
          <w:tab w:val="num" w:pos="4320"/>
        </w:tabs>
        <w:ind w:left="4320" w:hanging="360"/>
      </w:pPr>
      <w:rPr>
        <w:rFonts w:ascii="Wingdings" w:hAnsi="Wingdings" w:hint="default"/>
      </w:rPr>
    </w:lvl>
    <w:lvl w:ilvl="6" w:tplc="4198CB12" w:tentative="1">
      <w:start w:val="1"/>
      <w:numFmt w:val="bullet"/>
      <w:lvlText w:val=""/>
      <w:lvlJc w:val="left"/>
      <w:pPr>
        <w:tabs>
          <w:tab w:val="num" w:pos="5040"/>
        </w:tabs>
        <w:ind w:left="5040" w:hanging="360"/>
      </w:pPr>
      <w:rPr>
        <w:rFonts w:ascii="Symbol" w:hAnsi="Symbol" w:hint="default"/>
      </w:rPr>
    </w:lvl>
    <w:lvl w:ilvl="7" w:tplc="1B807A3C" w:tentative="1">
      <w:start w:val="1"/>
      <w:numFmt w:val="bullet"/>
      <w:lvlText w:val="o"/>
      <w:lvlJc w:val="left"/>
      <w:pPr>
        <w:tabs>
          <w:tab w:val="num" w:pos="5760"/>
        </w:tabs>
        <w:ind w:left="5760" w:hanging="360"/>
      </w:pPr>
      <w:rPr>
        <w:rFonts w:ascii="Courier New" w:hAnsi="Courier New" w:hint="default"/>
      </w:rPr>
    </w:lvl>
    <w:lvl w:ilvl="8" w:tplc="C074C73E"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3223334F"/>
    <w:multiLevelType w:val="hybridMultilevel"/>
    <w:tmpl w:val="3492524A"/>
    <w:lvl w:ilvl="0" w:tplc="CDDC17B4">
      <w:start w:val="1"/>
      <w:numFmt w:val="bullet"/>
      <w:lvlText w:val=""/>
      <w:lvlJc w:val="left"/>
      <w:pPr>
        <w:tabs>
          <w:tab w:val="num" w:pos="720"/>
        </w:tabs>
        <w:ind w:left="720" w:hanging="360"/>
      </w:pPr>
      <w:rPr>
        <w:rFonts w:ascii="Symbol" w:hAnsi="Symbol" w:hint="default"/>
      </w:rPr>
    </w:lvl>
    <w:lvl w:ilvl="1" w:tplc="B23422FA" w:tentative="1">
      <w:start w:val="1"/>
      <w:numFmt w:val="bullet"/>
      <w:lvlText w:val="o"/>
      <w:lvlJc w:val="left"/>
      <w:pPr>
        <w:tabs>
          <w:tab w:val="num" w:pos="1440"/>
        </w:tabs>
        <w:ind w:left="1440" w:hanging="360"/>
      </w:pPr>
      <w:rPr>
        <w:rFonts w:ascii="Courier New" w:hAnsi="Courier New" w:hint="default"/>
      </w:rPr>
    </w:lvl>
    <w:lvl w:ilvl="2" w:tplc="3B0CCFC0" w:tentative="1">
      <w:start w:val="1"/>
      <w:numFmt w:val="bullet"/>
      <w:lvlText w:val=""/>
      <w:lvlJc w:val="left"/>
      <w:pPr>
        <w:tabs>
          <w:tab w:val="num" w:pos="2160"/>
        </w:tabs>
        <w:ind w:left="2160" w:hanging="360"/>
      </w:pPr>
      <w:rPr>
        <w:rFonts w:ascii="Wingdings" w:hAnsi="Wingdings" w:hint="default"/>
      </w:rPr>
    </w:lvl>
    <w:lvl w:ilvl="3" w:tplc="9A52E778" w:tentative="1">
      <w:start w:val="1"/>
      <w:numFmt w:val="bullet"/>
      <w:lvlText w:val=""/>
      <w:lvlJc w:val="left"/>
      <w:pPr>
        <w:tabs>
          <w:tab w:val="num" w:pos="2880"/>
        </w:tabs>
        <w:ind w:left="2880" w:hanging="360"/>
      </w:pPr>
      <w:rPr>
        <w:rFonts w:ascii="Symbol" w:hAnsi="Symbol" w:hint="default"/>
      </w:rPr>
    </w:lvl>
    <w:lvl w:ilvl="4" w:tplc="9D4A8534" w:tentative="1">
      <w:start w:val="1"/>
      <w:numFmt w:val="bullet"/>
      <w:lvlText w:val="o"/>
      <w:lvlJc w:val="left"/>
      <w:pPr>
        <w:tabs>
          <w:tab w:val="num" w:pos="3600"/>
        </w:tabs>
        <w:ind w:left="3600" w:hanging="360"/>
      </w:pPr>
      <w:rPr>
        <w:rFonts w:ascii="Courier New" w:hAnsi="Courier New" w:hint="default"/>
      </w:rPr>
    </w:lvl>
    <w:lvl w:ilvl="5" w:tplc="986A92CE" w:tentative="1">
      <w:start w:val="1"/>
      <w:numFmt w:val="bullet"/>
      <w:lvlText w:val=""/>
      <w:lvlJc w:val="left"/>
      <w:pPr>
        <w:tabs>
          <w:tab w:val="num" w:pos="4320"/>
        </w:tabs>
        <w:ind w:left="4320" w:hanging="360"/>
      </w:pPr>
      <w:rPr>
        <w:rFonts w:ascii="Wingdings" w:hAnsi="Wingdings" w:hint="default"/>
      </w:rPr>
    </w:lvl>
    <w:lvl w:ilvl="6" w:tplc="88909C28" w:tentative="1">
      <w:start w:val="1"/>
      <w:numFmt w:val="bullet"/>
      <w:lvlText w:val=""/>
      <w:lvlJc w:val="left"/>
      <w:pPr>
        <w:tabs>
          <w:tab w:val="num" w:pos="5040"/>
        </w:tabs>
        <w:ind w:left="5040" w:hanging="360"/>
      </w:pPr>
      <w:rPr>
        <w:rFonts w:ascii="Symbol" w:hAnsi="Symbol" w:hint="default"/>
      </w:rPr>
    </w:lvl>
    <w:lvl w:ilvl="7" w:tplc="25DCE894" w:tentative="1">
      <w:start w:val="1"/>
      <w:numFmt w:val="bullet"/>
      <w:lvlText w:val="o"/>
      <w:lvlJc w:val="left"/>
      <w:pPr>
        <w:tabs>
          <w:tab w:val="num" w:pos="5760"/>
        </w:tabs>
        <w:ind w:left="5760" w:hanging="360"/>
      </w:pPr>
      <w:rPr>
        <w:rFonts w:ascii="Courier New" w:hAnsi="Courier New" w:hint="default"/>
      </w:rPr>
    </w:lvl>
    <w:lvl w:ilvl="8" w:tplc="3516D894"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3341726F"/>
    <w:multiLevelType w:val="hybridMultilevel"/>
    <w:tmpl w:val="612C56EC"/>
    <w:lvl w:ilvl="0" w:tplc="3DE0256A">
      <w:start w:val="1"/>
      <w:numFmt w:val="lowerLetter"/>
      <w:lvlText w:val="%1"/>
      <w:lvlJc w:val="left"/>
      <w:pPr>
        <w:ind w:left="720" w:hanging="360"/>
      </w:pPr>
      <w:rPr>
        <w:rFonts w:hint="default"/>
        <w:vertAlign w:val="superscript"/>
      </w:rPr>
    </w:lvl>
    <w:lvl w:ilvl="1" w:tplc="BC5248C4" w:tentative="1">
      <w:start w:val="1"/>
      <w:numFmt w:val="lowerLetter"/>
      <w:lvlText w:val="%2."/>
      <w:lvlJc w:val="left"/>
      <w:pPr>
        <w:ind w:left="1440" w:hanging="360"/>
      </w:pPr>
    </w:lvl>
    <w:lvl w:ilvl="2" w:tplc="E320FB5C" w:tentative="1">
      <w:start w:val="1"/>
      <w:numFmt w:val="lowerRoman"/>
      <w:lvlText w:val="%3."/>
      <w:lvlJc w:val="right"/>
      <w:pPr>
        <w:ind w:left="2160" w:hanging="180"/>
      </w:pPr>
    </w:lvl>
    <w:lvl w:ilvl="3" w:tplc="7BB06C22" w:tentative="1">
      <w:start w:val="1"/>
      <w:numFmt w:val="decimal"/>
      <w:lvlText w:val="%4."/>
      <w:lvlJc w:val="left"/>
      <w:pPr>
        <w:ind w:left="2880" w:hanging="360"/>
      </w:pPr>
    </w:lvl>
    <w:lvl w:ilvl="4" w:tplc="B6CAD1DC" w:tentative="1">
      <w:start w:val="1"/>
      <w:numFmt w:val="lowerLetter"/>
      <w:lvlText w:val="%5."/>
      <w:lvlJc w:val="left"/>
      <w:pPr>
        <w:ind w:left="3600" w:hanging="360"/>
      </w:pPr>
    </w:lvl>
    <w:lvl w:ilvl="5" w:tplc="639CD67A" w:tentative="1">
      <w:start w:val="1"/>
      <w:numFmt w:val="lowerRoman"/>
      <w:lvlText w:val="%6."/>
      <w:lvlJc w:val="right"/>
      <w:pPr>
        <w:ind w:left="4320" w:hanging="180"/>
      </w:pPr>
    </w:lvl>
    <w:lvl w:ilvl="6" w:tplc="9318866C" w:tentative="1">
      <w:start w:val="1"/>
      <w:numFmt w:val="decimal"/>
      <w:lvlText w:val="%7."/>
      <w:lvlJc w:val="left"/>
      <w:pPr>
        <w:ind w:left="5040" w:hanging="360"/>
      </w:pPr>
    </w:lvl>
    <w:lvl w:ilvl="7" w:tplc="4B940310" w:tentative="1">
      <w:start w:val="1"/>
      <w:numFmt w:val="lowerLetter"/>
      <w:lvlText w:val="%8."/>
      <w:lvlJc w:val="left"/>
      <w:pPr>
        <w:ind w:left="5760" w:hanging="360"/>
      </w:pPr>
    </w:lvl>
    <w:lvl w:ilvl="8" w:tplc="E384C89A" w:tentative="1">
      <w:start w:val="1"/>
      <w:numFmt w:val="lowerRoman"/>
      <w:lvlText w:val="%9."/>
      <w:lvlJc w:val="right"/>
      <w:pPr>
        <w:ind w:left="6480" w:hanging="180"/>
      </w:pPr>
    </w:lvl>
  </w:abstractNum>
  <w:abstractNum w:abstractNumId="108" w15:restartNumberingAfterBreak="0">
    <w:nsid w:val="33FD2524"/>
    <w:multiLevelType w:val="hybridMultilevel"/>
    <w:tmpl w:val="0FFEF822"/>
    <w:lvl w:ilvl="0" w:tplc="47FCF720">
      <w:start w:val="1"/>
      <w:numFmt w:val="bullet"/>
      <w:lvlText w:val=""/>
      <w:lvlJc w:val="left"/>
      <w:pPr>
        <w:ind w:left="720" w:hanging="360"/>
      </w:pPr>
      <w:rPr>
        <w:rFonts w:ascii="Symbol" w:hAnsi="Symbol" w:hint="default"/>
      </w:rPr>
    </w:lvl>
    <w:lvl w:ilvl="1" w:tplc="4E5A3376" w:tentative="1">
      <w:start w:val="1"/>
      <w:numFmt w:val="bullet"/>
      <w:lvlText w:val="o"/>
      <w:lvlJc w:val="left"/>
      <w:pPr>
        <w:ind w:left="1440" w:hanging="360"/>
      </w:pPr>
      <w:rPr>
        <w:rFonts w:ascii="Courier New" w:hAnsi="Courier New" w:cs="Courier New" w:hint="default"/>
      </w:rPr>
    </w:lvl>
    <w:lvl w:ilvl="2" w:tplc="C066B64C" w:tentative="1">
      <w:start w:val="1"/>
      <w:numFmt w:val="bullet"/>
      <w:lvlText w:val=""/>
      <w:lvlJc w:val="left"/>
      <w:pPr>
        <w:ind w:left="2160" w:hanging="360"/>
      </w:pPr>
      <w:rPr>
        <w:rFonts w:ascii="Wingdings" w:hAnsi="Wingdings" w:hint="default"/>
      </w:rPr>
    </w:lvl>
    <w:lvl w:ilvl="3" w:tplc="15CA34E0" w:tentative="1">
      <w:start w:val="1"/>
      <w:numFmt w:val="bullet"/>
      <w:lvlText w:val=""/>
      <w:lvlJc w:val="left"/>
      <w:pPr>
        <w:ind w:left="2880" w:hanging="360"/>
      </w:pPr>
      <w:rPr>
        <w:rFonts w:ascii="Symbol" w:hAnsi="Symbol" w:hint="default"/>
      </w:rPr>
    </w:lvl>
    <w:lvl w:ilvl="4" w:tplc="D21AC092" w:tentative="1">
      <w:start w:val="1"/>
      <w:numFmt w:val="bullet"/>
      <w:lvlText w:val="o"/>
      <w:lvlJc w:val="left"/>
      <w:pPr>
        <w:ind w:left="3600" w:hanging="360"/>
      </w:pPr>
      <w:rPr>
        <w:rFonts w:ascii="Courier New" w:hAnsi="Courier New" w:cs="Courier New" w:hint="default"/>
      </w:rPr>
    </w:lvl>
    <w:lvl w:ilvl="5" w:tplc="19D6732C" w:tentative="1">
      <w:start w:val="1"/>
      <w:numFmt w:val="bullet"/>
      <w:lvlText w:val=""/>
      <w:lvlJc w:val="left"/>
      <w:pPr>
        <w:ind w:left="4320" w:hanging="360"/>
      </w:pPr>
      <w:rPr>
        <w:rFonts w:ascii="Wingdings" w:hAnsi="Wingdings" w:hint="default"/>
      </w:rPr>
    </w:lvl>
    <w:lvl w:ilvl="6" w:tplc="C7FC96FA" w:tentative="1">
      <w:start w:val="1"/>
      <w:numFmt w:val="bullet"/>
      <w:lvlText w:val=""/>
      <w:lvlJc w:val="left"/>
      <w:pPr>
        <w:ind w:left="5040" w:hanging="360"/>
      </w:pPr>
      <w:rPr>
        <w:rFonts w:ascii="Symbol" w:hAnsi="Symbol" w:hint="default"/>
      </w:rPr>
    </w:lvl>
    <w:lvl w:ilvl="7" w:tplc="79A8828E" w:tentative="1">
      <w:start w:val="1"/>
      <w:numFmt w:val="bullet"/>
      <w:lvlText w:val="o"/>
      <w:lvlJc w:val="left"/>
      <w:pPr>
        <w:ind w:left="5760" w:hanging="360"/>
      </w:pPr>
      <w:rPr>
        <w:rFonts w:ascii="Courier New" w:hAnsi="Courier New" w:cs="Courier New" w:hint="default"/>
      </w:rPr>
    </w:lvl>
    <w:lvl w:ilvl="8" w:tplc="00C6207E" w:tentative="1">
      <w:start w:val="1"/>
      <w:numFmt w:val="bullet"/>
      <w:lvlText w:val=""/>
      <w:lvlJc w:val="left"/>
      <w:pPr>
        <w:ind w:left="6480" w:hanging="360"/>
      </w:pPr>
      <w:rPr>
        <w:rFonts w:ascii="Wingdings" w:hAnsi="Wingdings" w:hint="default"/>
      </w:rPr>
    </w:lvl>
  </w:abstractNum>
  <w:abstractNum w:abstractNumId="109" w15:restartNumberingAfterBreak="0">
    <w:nsid w:val="346E2BA6"/>
    <w:multiLevelType w:val="hybridMultilevel"/>
    <w:tmpl w:val="6B2E34DE"/>
    <w:lvl w:ilvl="0" w:tplc="AD26242C">
      <w:start w:val="1"/>
      <w:numFmt w:val="bullet"/>
      <w:lvlText w:val=""/>
      <w:lvlJc w:val="left"/>
      <w:pPr>
        <w:tabs>
          <w:tab w:val="num" w:pos="1347"/>
        </w:tabs>
        <w:ind w:left="1347" w:hanging="360"/>
      </w:pPr>
      <w:rPr>
        <w:rFonts w:ascii="Symbol" w:hAnsi="Symbol" w:hint="default"/>
      </w:rPr>
    </w:lvl>
    <w:lvl w:ilvl="1" w:tplc="FF702E42" w:tentative="1">
      <w:start w:val="1"/>
      <w:numFmt w:val="bullet"/>
      <w:lvlText w:val="o"/>
      <w:lvlJc w:val="left"/>
      <w:pPr>
        <w:tabs>
          <w:tab w:val="num" w:pos="2067"/>
        </w:tabs>
        <w:ind w:left="2067" w:hanging="360"/>
      </w:pPr>
      <w:rPr>
        <w:rFonts w:ascii="Courier New" w:hAnsi="Courier New" w:hint="default"/>
      </w:rPr>
    </w:lvl>
    <w:lvl w:ilvl="2" w:tplc="EDE060C4" w:tentative="1">
      <w:start w:val="1"/>
      <w:numFmt w:val="bullet"/>
      <w:lvlText w:val=""/>
      <w:lvlJc w:val="left"/>
      <w:pPr>
        <w:tabs>
          <w:tab w:val="num" w:pos="2787"/>
        </w:tabs>
        <w:ind w:left="2787" w:hanging="360"/>
      </w:pPr>
      <w:rPr>
        <w:rFonts w:ascii="Wingdings" w:hAnsi="Wingdings" w:hint="default"/>
      </w:rPr>
    </w:lvl>
    <w:lvl w:ilvl="3" w:tplc="B13266AE" w:tentative="1">
      <w:start w:val="1"/>
      <w:numFmt w:val="bullet"/>
      <w:lvlText w:val=""/>
      <w:lvlJc w:val="left"/>
      <w:pPr>
        <w:tabs>
          <w:tab w:val="num" w:pos="3507"/>
        </w:tabs>
        <w:ind w:left="3507" w:hanging="360"/>
      </w:pPr>
      <w:rPr>
        <w:rFonts w:ascii="Symbol" w:hAnsi="Symbol" w:hint="default"/>
      </w:rPr>
    </w:lvl>
    <w:lvl w:ilvl="4" w:tplc="BEFA13A2" w:tentative="1">
      <w:start w:val="1"/>
      <w:numFmt w:val="bullet"/>
      <w:lvlText w:val="o"/>
      <w:lvlJc w:val="left"/>
      <w:pPr>
        <w:tabs>
          <w:tab w:val="num" w:pos="4227"/>
        </w:tabs>
        <w:ind w:left="4227" w:hanging="360"/>
      </w:pPr>
      <w:rPr>
        <w:rFonts w:ascii="Courier New" w:hAnsi="Courier New" w:hint="default"/>
      </w:rPr>
    </w:lvl>
    <w:lvl w:ilvl="5" w:tplc="86E43D68" w:tentative="1">
      <w:start w:val="1"/>
      <w:numFmt w:val="bullet"/>
      <w:lvlText w:val=""/>
      <w:lvlJc w:val="left"/>
      <w:pPr>
        <w:tabs>
          <w:tab w:val="num" w:pos="4947"/>
        </w:tabs>
        <w:ind w:left="4947" w:hanging="360"/>
      </w:pPr>
      <w:rPr>
        <w:rFonts w:ascii="Wingdings" w:hAnsi="Wingdings" w:hint="default"/>
      </w:rPr>
    </w:lvl>
    <w:lvl w:ilvl="6" w:tplc="3B2C7396" w:tentative="1">
      <w:start w:val="1"/>
      <w:numFmt w:val="bullet"/>
      <w:lvlText w:val=""/>
      <w:lvlJc w:val="left"/>
      <w:pPr>
        <w:tabs>
          <w:tab w:val="num" w:pos="5667"/>
        </w:tabs>
        <w:ind w:left="5667" w:hanging="360"/>
      </w:pPr>
      <w:rPr>
        <w:rFonts w:ascii="Symbol" w:hAnsi="Symbol" w:hint="default"/>
      </w:rPr>
    </w:lvl>
    <w:lvl w:ilvl="7" w:tplc="DFB0EDA4" w:tentative="1">
      <w:start w:val="1"/>
      <w:numFmt w:val="bullet"/>
      <w:lvlText w:val="o"/>
      <w:lvlJc w:val="left"/>
      <w:pPr>
        <w:tabs>
          <w:tab w:val="num" w:pos="6387"/>
        </w:tabs>
        <w:ind w:left="6387" w:hanging="360"/>
      </w:pPr>
      <w:rPr>
        <w:rFonts w:ascii="Courier New" w:hAnsi="Courier New" w:hint="default"/>
      </w:rPr>
    </w:lvl>
    <w:lvl w:ilvl="8" w:tplc="331412CA" w:tentative="1">
      <w:start w:val="1"/>
      <w:numFmt w:val="bullet"/>
      <w:lvlText w:val=""/>
      <w:lvlJc w:val="left"/>
      <w:pPr>
        <w:tabs>
          <w:tab w:val="num" w:pos="7107"/>
        </w:tabs>
        <w:ind w:left="7107" w:hanging="360"/>
      </w:pPr>
      <w:rPr>
        <w:rFonts w:ascii="Wingdings" w:hAnsi="Wingdings" w:hint="default"/>
      </w:rPr>
    </w:lvl>
  </w:abstractNum>
  <w:abstractNum w:abstractNumId="110" w15:restartNumberingAfterBreak="0">
    <w:nsid w:val="347F3586"/>
    <w:multiLevelType w:val="hybridMultilevel"/>
    <w:tmpl w:val="04B4A85E"/>
    <w:lvl w:ilvl="0" w:tplc="9294A6BC">
      <w:start w:val="1"/>
      <w:numFmt w:val="bullet"/>
      <w:lvlText w:val=""/>
      <w:lvlJc w:val="left"/>
      <w:pPr>
        <w:ind w:left="720" w:hanging="360"/>
      </w:pPr>
      <w:rPr>
        <w:rFonts w:ascii="Symbol" w:hAnsi="Symbol" w:hint="default"/>
      </w:rPr>
    </w:lvl>
    <w:lvl w:ilvl="1" w:tplc="24C2823C" w:tentative="1">
      <w:start w:val="1"/>
      <w:numFmt w:val="bullet"/>
      <w:lvlText w:val="o"/>
      <w:lvlJc w:val="left"/>
      <w:pPr>
        <w:ind w:left="1440" w:hanging="360"/>
      </w:pPr>
      <w:rPr>
        <w:rFonts w:ascii="Courier New" w:hAnsi="Courier New" w:cs="Courier New" w:hint="default"/>
      </w:rPr>
    </w:lvl>
    <w:lvl w:ilvl="2" w:tplc="AA9CD192" w:tentative="1">
      <w:start w:val="1"/>
      <w:numFmt w:val="bullet"/>
      <w:lvlText w:val=""/>
      <w:lvlJc w:val="left"/>
      <w:pPr>
        <w:ind w:left="2160" w:hanging="360"/>
      </w:pPr>
      <w:rPr>
        <w:rFonts w:ascii="Wingdings" w:hAnsi="Wingdings" w:hint="default"/>
      </w:rPr>
    </w:lvl>
    <w:lvl w:ilvl="3" w:tplc="4BEE6ED4" w:tentative="1">
      <w:start w:val="1"/>
      <w:numFmt w:val="bullet"/>
      <w:lvlText w:val=""/>
      <w:lvlJc w:val="left"/>
      <w:pPr>
        <w:ind w:left="2880" w:hanging="360"/>
      </w:pPr>
      <w:rPr>
        <w:rFonts w:ascii="Symbol" w:hAnsi="Symbol" w:hint="default"/>
      </w:rPr>
    </w:lvl>
    <w:lvl w:ilvl="4" w:tplc="4A02A168" w:tentative="1">
      <w:start w:val="1"/>
      <w:numFmt w:val="bullet"/>
      <w:lvlText w:val="o"/>
      <w:lvlJc w:val="left"/>
      <w:pPr>
        <w:ind w:left="3600" w:hanging="360"/>
      </w:pPr>
      <w:rPr>
        <w:rFonts w:ascii="Courier New" w:hAnsi="Courier New" w:cs="Courier New" w:hint="default"/>
      </w:rPr>
    </w:lvl>
    <w:lvl w:ilvl="5" w:tplc="9F366B18" w:tentative="1">
      <w:start w:val="1"/>
      <w:numFmt w:val="bullet"/>
      <w:lvlText w:val=""/>
      <w:lvlJc w:val="left"/>
      <w:pPr>
        <w:ind w:left="4320" w:hanging="360"/>
      </w:pPr>
      <w:rPr>
        <w:rFonts w:ascii="Wingdings" w:hAnsi="Wingdings" w:hint="default"/>
      </w:rPr>
    </w:lvl>
    <w:lvl w:ilvl="6" w:tplc="13F8773A" w:tentative="1">
      <w:start w:val="1"/>
      <w:numFmt w:val="bullet"/>
      <w:lvlText w:val=""/>
      <w:lvlJc w:val="left"/>
      <w:pPr>
        <w:ind w:left="5040" w:hanging="360"/>
      </w:pPr>
      <w:rPr>
        <w:rFonts w:ascii="Symbol" w:hAnsi="Symbol" w:hint="default"/>
      </w:rPr>
    </w:lvl>
    <w:lvl w:ilvl="7" w:tplc="66B825B4" w:tentative="1">
      <w:start w:val="1"/>
      <w:numFmt w:val="bullet"/>
      <w:lvlText w:val="o"/>
      <w:lvlJc w:val="left"/>
      <w:pPr>
        <w:ind w:left="5760" w:hanging="360"/>
      </w:pPr>
      <w:rPr>
        <w:rFonts w:ascii="Courier New" w:hAnsi="Courier New" w:cs="Courier New" w:hint="default"/>
      </w:rPr>
    </w:lvl>
    <w:lvl w:ilvl="8" w:tplc="C3A4FBD6" w:tentative="1">
      <w:start w:val="1"/>
      <w:numFmt w:val="bullet"/>
      <w:lvlText w:val=""/>
      <w:lvlJc w:val="left"/>
      <w:pPr>
        <w:ind w:left="6480" w:hanging="360"/>
      </w:pPr>
      <w:rPr>
        <w:rFonts w:ascii="Wingdings" w:hAnsi="Wingdings" w:hint="default"/>
      </w:rPr>
    </w:lvl>
  </w:abstractNum>
  <w:abstractNum w:abstractNumId="111" w15:restartNumberingAfterBreak="0">
    <w:nsid w:val="348D5496"/>
    <w:multiLevelType w:val="hybridMultilevel"/>
    <w:tmpl w:val="1DA4816C"/>
    <w:lvl w:ilvl="0" w:tplc="A1025CBE">
      <w:start w:val="1"/>
      <w:numFmt w:val="bullet"/>
      <w:lvlText w:val=""/>
      <w:lvlJc w:val="left"/>
      <w:pPr>
        <w:tabs>
          <w:tab w:val="num" w:pos="720"/>
        </w:tabs>
        <w:ind w:left="720" w:hanging="360"/>
      </w:pPr>
      <w:rPr>
        <w:rFonts w:ascii="Symbol" w:hAnsi="Symbol" w:hint="default"/>
      </w:rPr>
    </w:lvl>
    <w:lvl w:ilvl="1" w:tplc="5A423036">
      <w:start w:val="1"/>
      <w:numFmt w:val="bullet"/>
      <w:lvlText w:val="o"/>
      <w:lvlJc w:val="left"/>
      <w:pPr>
        <w:tabs>
          <w:tab w:val="num" w:pos="1440"/>
        </w:tabs>
        <w:ind w:left="1440" w:hanging="360"/>
      </w:pPr>
      <w:rPr>
        <w:rFonts w:ascii="Courier New" w:hAnsi="Courier New" w:hint="default"/>
      </w:rPr>
    </w:lvl>
    <w:lvl w:ilvl="2" w:tplc="1180CCC2" w:tentative="1">
      <w:start w:val="1"/>
      <w:numFmt w:val="bullet"/>
      <w:lvlText w:val=""/>
      <w:lvlJc w:val="left"/>
      <w:pPr>
        <w:tabs>
          <w:tab w:val="num" w:pos="2160"/>
        </w:tabs>
        <w:ind w:left="2160" w:hanging="360"/>
      </w:pPr>
      <w:rPr>
        <w:rFonts w:ascii="Wingdings" w:hAnsi="Wingdings" w:hint="default"/>
      </w:rPr>
    </w:lvl>
    <w:lvl w:ilvl="3" w:tplc="AE1632A8" w:tentative="1">
      <w:start w:val="1"/>
      <w:numFmt w:val="bullet"/>
      <w:lvlText w:val=""/>
      <w:lvlJc w:val="left"/>
      <w:pPr>
        <w:tabs>
          <w:tab w:val="num" w:pos="2880"/>
        </w:tabs>
        <w:ind w:left="2880" w:hanging="360"/>
      </w:pPr>
      <w:rPr>
        <w:rFonts w:ascii="Symbol" w:hAnsi="Symbol" w:hint="default"/>
      </w:rPr>
    </w:lvl>
    <w:lvl w:ilvl="4" w:tplc="D7380E2E" w:tentative="1">
      <w:start w:val="1"/>
      <w:numFmt w:val="bullet"/>
      <w:lvlText w:val="o"/>
      <w:lvlJc w:val="left"/>
      <w:pPr>
        <w:tabs>
          <w:tab w:val="num" w:pos="3600"/>
        </w:tabs>
        <w:ind w:left="3600" w:hanging="360"/>
      </w:pPr>
      <w:rPr>
        <w:rFonts w:ascii="Courier New" w:hAnsi="Courier New" w:hint="default"/>
      </w:rPr>
    </w:lvl>
    <w:lvl w:ilvl="5" w:tplc="6A967286" w:tentative="1">
      <w:start w:val="1"/>
      <w:numFmt w:val="bullet"/>
      <w:lvlText w:val=""/>
      <w:lvlJc w:val="left"/>
      <w:pPr>
        <w:tabs>
          <w:tab w:val="num" w:pos="4320"/>
        </w:tabs>
        <w:ind w:left="4320" w:hanging="360"/>
      </w:pPr>
      <w:rPr>
        <w:rFonts w:ascii="Wingdings" w:hAnsi="Wingdings" w:hint="default"/>
      </w:rPr>
    </w:lvl>
    <w:lvl w:ilvl="6" w:tplc="FCD6375C" w:tentative="1">
      <w:start w:val="1"/>
      <w:numFmt w:val="bullet"/>
      <w:lvlText w:val=""/>
      <w:lvlJc w:val="left"/>
      <w:pPr>
        <w:tabs>
          <w:tab w:val="num" w:pos="5040"/>
        </w:tabs>
        <w:ind w:left="5040" w:hanging="360"/>
      </w:pPr>
      <w:rPr>
        <w:rFonts w:ascii="Symbol" w:hAnsi="Symbol" w:hint="default"/>
      </w:rPr>
    </w:lvl>
    <w:lvl w:ilvl="7" w:tplc="358C9314" w:tentative="1">
      <w:start w:val="1"/>
      <w:numFmt w:val="bullet"/>
      <w:lvlText w:val="o"/>
      <w:lvlJc w:val="left"/>
      <w:pPr>
        <w:tabs>
          <w:tab w:val="num" w:pos="5760"/>
        </w:tabs>
        <w:ind w:left="5760" w:hanging="360"/>
      </w:pPr>
      <w:rPr>
        <w:rFonts w:ascii="Courier New" w:hAnsi="Courier New" w:hint="default"/>
      </w:rPr>
    </w:lvl>
    <w:lvl w:ilvl="8" w:tplc="E70658EC"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35025375"/>
    <w:multiLevelType w:val="hybridMultilevel"/>
    <w:tmpl w:val="11C61572"/>
    <w:lvl w:ilvl="0" w:tplc="E0640D04">
      <w:start w:val="1"/>
      <w:numFmt w:val="bullet"/>
      <w:lvlText w:val=""/>
      <w:lvlJc w:val="left"/>
      <w:pPr>
        <w:tabs>
          <w:tab w:val="num" w:pos="720"/>
        </w:tabs>
        <w:ind w:left="720" w:hanging="360"/>
      </w:pPr>
      <w:rPr>
        <w:rFonts w:ascii="Symbol" w:hAnsi="Symbol" w:hint="default"/>
      </w:rPr>
    </w:lvl>
    <w:lvl w:ilvl="1" w:tplc="D2FC8492" w:tentative="1">
      <w:start w:val="1"/>
      <w:numFmt w:val="bullet"/>
      <w:lvlText w:val="o"/>
      <w:lvlJc w:val="left"/>
      <w:pPr>
        <w:tabs>
          <w:tab w:val="num" w:pos="1440"/>
        </w:tabs>
        <w:ind w:left="1440" w:hanging="360"/>
      </w:pPr>
      <w:rPr>
        <w:rFonts w:ascii="Courier New" w:hAnsi="Courier New" w:hint="default"/>
      </w:rPr>
    </w:lvl>
    <w:lvl w:ilvl="2" w:tplc="38C8E20C" w:tentative="1">
      <w:start w:val="1"/>
      <w:numFmt w:val="bullet"/>
      <w:lvlText w:val=""/>
      <w:lvlJc w:val="left"/>
      <w:pPr>
        <w:tabs>
          <w:tab w:val="num" w:pos="2160"/>
        </w:tabs>
        <w:ind w:left="2160" w:hanging="360"/>
      </w:pPr>
      <w:rPr>
        <w:rFonts w:ascii="Wingdings" w:hAnsi="Wingdings" w:hint="default"/>
      </w:rPr>
    </w:lvl>
    <w:lvl w:ilvl="3" w:tplc="6C9880A8" w:tentative="1">
      <w:start w:val="1"/>
      <w:numFmt w:val="bullet"/>
      <w:lvlText w:val=""/>
      <w:lvlJc w:val="left"/>
      <w:pPr>
        <w:tabs>
          <w:tab w:val="num" w:pos="2880"/>
        </w:tabs>
        <w:ind w:left="2880" w:hanging="360"/>
      </w:pPr>
      <w:rPr>
        <w:rFonts w:ascii="Symbol" w:hAnsi="Symbol" w:hint="default"/>
      </w:rPr>
    </w:lvl>
    <w:lvl w:ilvl="4" w:tplc="2DE2AFCA" w:tentative="1">
      <w:start w:val="1"/>
      <w:numFmt w:val="bullet"/>
      <w:lvlText w:val="o"/>
      <w:lvlJc w:val="left"/>
      <w:pPr>
        <w:tabs>
          <w:tab w:val="num" w:pos="3600"/>
        </w:tabs>
        <w:ind w:left="3600" w:hanging="360"/>
      </w:pPr>
      <w:rPr>
        <w:rFonts w:ascii="Courier New" w:hAnsi="Courier New" w:hint="default"/>
      </w:rPr>
    </w:lvl>
    <w:lvl w:ilvl="5" w:tplc="7B2A9102" w:tentative="1">
      <w:start w:val="1"/>
      <w:numFmt w:val="bullet"/>
      <w:lvlText w:val=""/>
      <w:lvlJc w:val="left"/>
      <w:pPr>
        <w:tabs>
          <w:tab w:val="num" w:pos="4320"/>
        </w:tabs>
        <w:ind w:left="4320" w:hanging="360"/>
      </w:pPr>
      <w:rPr>
        <w:rFonts w:ascii="Wingdings" w:hAnsi="Wingdings" w:hint="default"/>
      </w:rPr>
    </w:lvl>
    <w:lvl w:ilvl="6" w:tplc="A2589FDC" w:tentative="1">
      <w:start w:val="1"/>
      <w:numFmt w:val="bullet"/>
      <w:lvlText w:val=""/>
      <w:lvlJc w:val="left"/>
      <w:pPr>
        <w:tabs>
          <w:tab w:val="num" w:pos="5040"/>
        </w:tabs>
        <w:ind w:left="5040" w:hanging="360"/>
      </w:pPr>
      <w:rPr>
        <w:rFonts w:ascii="Symbol" w:hAnsi="Symbol" w:hint="default"/>
      </w:rPr>
    </w:lvl>
    <w:lvl w:ilvl="7" w:tplc="396A0B6C" w:tentative="1">
      <w:start w:val="1"/>
      <w:numFmt w:val="bullet"/>
      <w:lvlText w:val="o"/>
      <w:lvlJc w:val="left"/>
      <w:pPr>
        <w:tabs>
          <w:tab w:val="num" w:pos="5760"/>
        </w:tabs>
        <w:ind w:left="5760" w:hanging="360"/>
      </w:pPr>
      <w:rPr>
        <w:rFonts w:ascii="Courier New" w:hAnsi="Courier New" w:hint="default"/>
      </w:rPr>
    </w:lvl>
    <w:lvl w:ilvl="8" w:tplc="B2F25F0C"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7D81FC4"/>
    <w:multiLevelType w:val="hybridMultilevel"/>
    <w:tmpl w:val="AF98D73C"/>
    <w:lvl w:ilvl="0" w:tplc="212E5F74">
      <w:start w:val="1"/>
      <w:numFmt w:val="bullet"/>
      <w:lvlText w:val=""/>
      <w:lvlJc w:val="left"/>
      <w:pPr>
        <w:ind w:left="720" w:hanging="360"/>
      </w:pPr>
      <w:rPr>
        <w:rFonts w:ascii="Symbol" w:hAnsi="Symbol" w:hint="default"/>
      </w:rPr>
    </w:lvl>
    <w:lvl w:ilvl="1" w:tplc="4F5E50D0" w:tentative="1">
      <w:start w:val="1"/>
      <w:numFmt w:val="lowerLetter"/>
      <w:lvlText w:val="%2."/>
      <w:lvlJc w:val="left"/>
      <w:pPr>
        <w:ind w:left="1440" w:hanging="360"/>
      </w:pPr>
    </w:lvl>
    <w:lvl w:ilvl="2" w:tplc="9CCCC108" w:tentative="1">
      <w:start w:val="1"/>
      <w:numFmt w:val="lowerRoman"/>
      <w:lvlText w:val="%3."/>
      <w:lvlJc w:val="right"/>
      <w:pPr>
        <w:ind w:left="2160" w:hanging="180"/>
      </w:pPr>
    </w:lvl>
    <w:lvl w:ilvl="3" w:tplc="D5C0D820" w:tentative="1">
      <w:start w:val="1"/>
      <w:numFmt w:val="decimal"/>
      <w:lvlText w:val="%4."/>
      <w:lvlJc w:val="left"/>
      <w:pPr>
        <w:ind w:left="2880" w:hanging="360"/>
      </w:pPr>
    </w:lvl>
    <w:lvl w:ilvl="4" w:tplc="FE7A2F92" w:tentative="1">
      <w:start w:val="1"/>
      <w:numFmt w:val="lowerLetter"/>
      <w:lvlText w:val="%5."/>
      <w:lvlJc w:val="left"/>
      <w:pPr>
        <w:ind w:left="3600" w:hanging="360"/>
      </w:pPr>
    </w:lvl>
    <w:lvl w:ilvl="5" w:tplc="6A9A3678" w:tentative="1">
      <w:start w:val="1"/>
      <w:numFmt w:val="lowerRoman"/>
      <w:lvlText w:val="%6."/>
      <w:lvlJc w:val="right"/>
      <w:pPr>
        <w:ind w:left="4320" w:hanging="180"/>
      </w:pPr>
    </w:lvl>
    <w:lvl w:ilvl="6" w:tplc="0BA61F74" w:tentative="1">
      <w:start w:val="1"/>
      <w:numFmt w:val="decimal"/>
      <w:lvlText w:val="%7."/>
      <w:lvlJc w:val="left"/>
      <w:pPr>
        <w:ind w:left="5040" w:hanging="360"/>
      </w:pPr>
    </w:lvl>
    <w:lvl w:ilvl="7" w:tplc="092E6586" w:tentative="1">
      <w:start w:val="1"/>
      <w:numFmt w:val="lowerLetter"/>
      <w:lvlText w:val="%8."/>
      <w:lvlJc w:val="left"/>
      <w:pPr>
        <w:ind w:left="5760" w:hanging="360"/>
      </w:pPr>
    </w:lvl>
    <w:lvl w:ilvl="8" w:tplc="3F70F5FC" w:tentative="1">
      <w:start w:val="1"/>
      <w:numFmt w:val="lowerRoman"/>
      <w:lvlText w:val="%9."/>
      <w:lvlJc w:val="right"/>
      <w:pPr>
        <w:ind w:left="6480" w:hanging="180"/>
      </w:pPr>
    </w:lvl>
  </w:abstractNum>
  <w:abstractNum w:abstractNumId="114" w15:restartNumberingAfterBreak="0">
    <w:nsid w:val="37DB18EF"/>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15" w15:restartNumberingAfterBreak="0">
    <w:nsid w:val="38B369E9"/>
    <w:multiLevelType w:val="hybridMultilevel"/>
    <w:tmpl w:val="C1FA1F78"/>
    <w:lvl w:ilvl="0" w:tplc="1F7A041C">
      <w:start w:val="1"/>
      <w:numFmt w:val="bullet"/>
      <w:lvlText w:val=""/>
      <w:lvlJc w:val="left"/>
      <w:pPr>
        <w:ind w:left="720" w:hanging="360"/>
      </w:pPr>
      <w:rPr>
        <w:rFonts w:ascii="Symbol" w:hAnsi="Symbol" w:hint="default"/>
        <w:b w:val="0"/>
        <w:i w:val="0"/>
        <w:sz w:val="20"/>
      </w:rPr>
    </w:lvl>
    <w:lvl w:ilvl="1" w:tplc="FF806F1E" w:tentative="1">
      <w:start w:val="1"/>
      <w:numFmt w:val="bullet"/>
      <w:lvlText w:val="o"/>
      <w:lvlJc w:val="left"/>
      <w:pPr>
        <w:ind w:left="1440" w:hanging="360"/>
      </w:pPr>
      <w:rPr>
        <w:rFonts w:ascii="Courier New" w:hAnsi="Courier New" w:cs="Courier New" w:hint="default"/>
      </w:rPr>
    </w:lvl>
    <w:lvl w:ilvl="2" w:tplc="2FFE922C" w:tentative="1">
      <w:start w:val="1"/>
      <w:numFmt w:val="bullet"/>
      <w:lvlText w:val=""/>
      <w:lvlJc w:val="left"/>
      <w:pPr>
        <w:ind w:left="2160" w:hanging="360"/>
      </w:pPr>
      <w:rPr>
        <w:rFonts w:ascii="Wingdings" w:hAnsi="Wingdings" w:hint="default"/>
      </w:rPr>
    </w:lvl>
    <w:lvl w:ilvl="3" w:tplc="222088B4" w:tentative="1">
      <w:start w:val="1"/>
      <w:numFmt w:val="bullet"/>
      <w:lvlText w:val=""/>
      <w:lvlJc w:val="left"/>
      <w:pPr>
        <w:ind w:left="2880" w:hanging="360"/>
      </w:pPr>
      <w:rPr>
        <w:rFonts w:ascii="Symbol" w:hAnsi="Symbol" w:hint="default"/>
      </w:rPr>
    </w:lvl>
    <w:lvl w:ilvl="4" w:tplc="EB5E21DA" w:tentative="1">
      <w:start w:val="1"/>
      <w:numFmt w:val="bullet"/>
      <w:lvlText w:val="o"/>
      <w:lvlJc w:val="left"/>
      <w:pPr>
        <w:ind w:left="3600" w:hanging="360"/>
      </w:pPr>
      <w:rPr>
        <w:rFonts w:ascii="Courier New" w:hAnsi="Courier New" w:cs="Courier New" w:hint="default"/>
      </w:rPr>
    </w:lvl>
    <w:lvl w:ilvl="5" w:tplc="EA80BD34" w:tentative="1">
      <w:start w:val="1"/>
      <w:numFmt w:val="bullet"/>
      <w:lvlText w:val=""/>
      <w:lvlJc w:val="left"/>
      <w:pPr>
        <w:ind w:left="4320" w:hanging="360"/>
      </w:pPr>
      <w:rPr>
        <w:rFonts w:ascii="Wingdings" w:hAnsi="Wingdings" w:hint="default"/>
      </w:rPr>
    </w:lvl>
    <w:lvl w:ilvl="6" w:tplc="2956353E" w:tentative="1">
      <w:start w:val="1"/>
      <w:numFmt w:val="bullet"/>
      <w:lvlText w:val=""/>
      <w:lvlJc w:val="left"/>
      <w:pPr>
        <w:ind w:left="5040" w:hanging="360"/>
      </w:pPr>
      <w:rPr>
        <w:rFonts w:ascii="Symbol" w:hAnsi="Symbol" w:hint="default"/>
      </w:rPr>
    </w:lvl>
    <w:lvl w:ilvl="7" w:tplc="1A2C4DA6" w:tentative="1">
      <w:start w:val="1"/>
      <w:numFmt w:val="bullet"/>
      <w:lvlText w:val="o"/>
      <w:lvlJc w:val="left"/>
      <w:pPr>
        <w:ind w:left="5760" w:hanging="360"/>
      </w:pPr>
      <w:rPr>
        <w:rFonts w:ascii="Courier New" w:hAnsi="Courier New" w:cs="Courier New" w:hint="default"/>
      </w:rPr>
    </w:lvl>
    <w:lvl w:ilvl="8" w:tplc="65D8A2D0" w:tentative="1">
      <w:start w:val="1"/>
      <w:numFmt w:val="bullet"/>
      <w:lvlText w:val=""/>
      <w:lvlJc w:val="left"/>
      <w:pPr>
        <w:ind w:left="6480" w:hanging="360"/>
      </w:pPr>
      <w:rPr>
        <w:rFonts w:ascii="Wingdings" w:hAnsi="Wingdings" w:hint="default"/>
      </w:rPr>
    </w:lvl>
  </w:abstractNum>
  <w:abstractNum w:abstractNumId="116" w15:restartNumberingAfterBreak="0">
    <w:nsid w:val="39D1528E"/>
    <w:multiLevelType w:val="multilevel"/>
    <w:tmpl w:val="B3E0269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502"/>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7" w15:restartNumberingAfterBreak="0">
    <w:nsid w:val="39F93665"/>
    <w:multiLevelType w:val="hybridMultilevel"/>
    <w:tmpl w:val="FF4A5924"/>
    <w:lvl w:ilvl="0" w:tplc="35264682">
      <w:start w:val="1"/>
      <w:numFmt w:val="bullet"/>
      <w:lvlText w:val=""/>
      <w:lvlJc w:val="left"/>
      <w:pPr>
        <w:tabs>
          <w:tab w:val="num" w:pos="720"/>
        </w:tabs>
        <w:ind w:left="720" w:hanging="360"/>
      </w:pPr>
      <w:rPr>
        <w:rFonts w:ascii="Symbol" w:hAnsi="Symbol" w:hint="default"/>
      </w:rPr>
    </w:lvl>
    <w:lvl w:ilvl="1" w:tplc="63A2C2F8" w:tentative="1">
      <w:start w:val="1"/>
      <w:numFmt w:val="bullet"/>
      <w:lvlText w:val="o"/>
      <w:lvlJc w:val="left"/>
      <w:pPr>
        <w:tabs>
          <w:tab w:val="num" w:pos="1440"/>
        </w:tabs>
        <w:ind w:left="1440" w:hanging="360"/>
      </w:pPr>
      <w:rPr>
        <w:rFonts w:ascii="Courier New" w:hAnsi="Courier New" w:hint="default"/>
      </w:rPr>
    </w:lvl>
    <w:lvl w:ilvl="2" w:tplc="1A1E7082" w:tentative="1">
      <w:start w:val="1"/>
      <w:numFmt w:val="bullet"/>
      <w:lvlText w:val=""/>
      <w:lvlJc w:val="left"/>
      <w:pPr>
        <w:tabs>
          <w:tab w:val="num" w:pos="2160"/>
        </w:tabs>
        <w:ind w:left="2160" w:hanging="360"/>
      </w:pPr>
      <w:rPr>
        <w:rFonts w:ascii="Wingdings" w:hAnsi="Wingdings" w:hint="default"/>
      </w:rPr>
    </w:lvl>
    <w:lvl w:ilvl="3" w:tplc="AD506D18" w:tentative="1">
      <w:start w:val="1"/>
      <w:numFmt w:val="bullet"/>
      <w:lvlText w:val=""/>
      <w:lvlJc w:val="left"/>
      <w:pPr>
        <w:tabs>
          <w:tab w:val="num" w:pos="2880"/>
        </w:tabs>
        <w:ind w:left="2880" w:hanging="360"/>
      </w:pPr>
      <w:rPr>
        <w:rFonts w:ascii="Symbol" w:hAnsi="Symbol" w:hint="default"/>
      </w:rPr>
    </w:lvl>
    <w:lvl w:ilvl="4" w:tplc="C9C632A0" w:tentative="1">
      <w:start w:val="1"/>
      <w:numFmt w:val="bullet"/>
      <w:lvlText w:val="o"/>
      <w:lvlJc w:val="left"/>
      <w:pPr>
        <w:tabs>
          <w:tab w:val="num" w:pos="3600"/>
        </w:tabs>
        <w:ind w:left="3600" w:hanging="360"/>
      </w:pPr>
      <w:rPr>
        <w:rFonts w:ascii="Courier New" w:hAnsi="Courier New" w:hint="default"/>
      </w:rPr>
    </w:lvl>
    <w:lvl w:ilvl="5" w:tplc="A78E6D2A" w:tentative="1">
      <w:start w:val="1"/>
      <w:numFmt w:val="bullet"/>
      <w:lvlText w:val=""/>
      <w:lvlJc w:val="left"/>
      <w:pPr>
        <w:tabs>
          <w:tab w:val="num" w:pos="4320"/>
        </w:tabs>
        <w:ind w:left="4320" w:hanging="360"/>
      </w:pPr>
      <w:rPr>
        <w:rFonts w:ascii="Wingdings" w:hAnsi="Wingdings" w:hint="default"/>
      </w:rPr>
    </w:lvl>
    <w:lvl w:ilvl="6" w:tplc="443ADA3A" w:tentative="1">
      <w:start w:val="1"/>
      <w:numFmt w:val="bullet"/>
      <w:lvlText w:val=""/>
      <w:lvlJc w:val="left"/>
      <w:pPr>
        <w:tabs>
          <w:tab w:val="num" w:pos="5040"/>
        </w:tabs>
        <w:ind w:left="5040" w:hanging="360"/>
      </w:pPr>
      <w:rPr>
        <w:rFonts w:ascii="Symbol" w:hAnsi="Symbol" w:hint="default"/>
      </w:rPr>
    </w:lvl>
    <w:lvl w:ilvl="7" w:tplc="9C62FD52" w:tentative="1">
      <w:start w:val="1"/>
      <w:numFmt w:val="bullet"/>
      <w:lvlText w:val="o"/>
      <w:lvlJc w:val="left"/>
      <w:pPr>
        <w:tabs>
          <w:tab w:val="num" w:pos="5760"/>
        </w:tabs>
        <w:ind w:left="5760" w:hanging="360"/>
      </w:pPr>
      <w:rPr>
        <w:rFonts w:ascii="Courier New" w:hAnsi="Courier New" w:hint="default"/>
      </w:rPr>
    </w:lvl>
    <w:lvl w:ilvl="8" w:tplc="00727AEE"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3A4932AD"/>
    <w:multiLevelType w:val="hybridMultilevel"/>
    <w:tmpl w:val="94DC2838"/>
    <w:lvl w:ilvl="0" w:tplc="73F020BA">
      <w:start w:val="1"/>
      <w:numFmt w:val="bullet"/>
      <w:lvlText w:val=""/>
      <w:lvlJc w:val="left"/>
      <w:pPr>
        <w:ind w:left="720" w:hanging="360"/>
      </w:pPr>
      <w:rPr>
        <w:rFonts w:ascii="Symbol" w:hAnsi="Symbol" w:hint="default"/>
      </w:rPr>
    </w:lvl>
    <w:lvl w:ilvl="1" w:tplc="E92CFFAE" w:tentative="1">
      <w:start w:val="1"/>
      <w:numFmt w:val="bullet"/>
      <w:lvlText w:val="o"/>
      <w:lvlJc w:val="left"/>
      <w:pPr>
        <w:ind w:left="1440" w:hanging="360"/>
      </w:pPr>
      <w:rPr>
        <w:rFonts w:ascii="Courier New" w:hAnsi="Courier New" w:cs="Courier New" w:hint="default"/>
      </w:rPr>
    </w:lvl>
    <w:lvl w:ilvl="2" w:tplc="6DE0C522">
      <w:start w:val="1"/>
      <w:numFmt w:val="bullet"/>
      <w:lvlText w:val=""/>
      <w:lvlJc w:val="left"/>
      <w:pPr>
        <w:ind w:left="2160" w:hanging="360"/>
      </w:pPr>
      <w:rPr>
        <w:rFonts w:ascii="Wingdings" w:hAnsi="Wingdings" w:hint="default"/>
      </w:rPr>
    </w:lvl>
    <w:lvl w:ilvl="3" w:tplc="27C287BA" w:tentative="1">
      <w:start w:val="1"/>
      <w:numFmt w:val="bullet"/>
      <w:lvlText w:val=""/>
      <w:lvlJc w:val="left"/>
      <w:pPr>
        <w:ind w:left="2880" w:hanging="360"/>
      </w:pPr>
      <w:rPr>
        <w:rFonts w:ascii="Symbol" w:hAnsi="Symbol" w:hint="default"/>
      </w:rPr>
    </w:lvl>
    <w:lvl w:ilvl="4" w:tplc="5636CA5A" w:tentative="1">
      <w:start w:val="1"/>
      <w:numFmt w:val="bullet"/>
      <w:lvlText w:val="o"/>
      <w:lvlJc w:val="left"/>
      <w:pPr>
        <w:ind w:left="3600" w:hanging="360"/>
      </w:pPr>
      <w:rPr>
        <w:rFonts w:ascii="Courier New" w:hAnsi="Courier New" w:cs="Courier New" w:hint="default"/>
      </w:rPr>
    </w:lvl>
    <w:lvl w:ilvl="5" w:tplc="7B0E252A" w:tentative="1">
      <w:start w:val="1"/>
      <w:numFmt w:val="bullet"/>
      <w:lvlText w:val=""/>
      <w:lvlJc w:val="left"/>
      <w:pPr>
        <w:ind w:left="4320" w:hanging="360"/>
      </w:pPr>
      <w:rPr>
        <w:rFonts w:ascii="Wingdings" w:hAnsi="Wingdings" w:hint="default"/>
      </w:rPr>
    </w:lvl>
    <w:lvl w:ilvl="6" w:tplc="0A048BA4" w:tentative="1">
      <w:start w:val="1"/>
      <w:numFmt w:val="bullet"/>
      <w:lvlText w:val=""/>
      <w:lvlJc w:val="left"/>
      <w:pPr>
        <w:ind w:left="5040" w:hanging="360"/>
      </w:pPr>
      <w:rPr>
        <w:rFonts w:ascii="Symbol" w:hAnsi="Symbol" w:hint="default"/>
      </w:rPr>
    </w:lvl>
    <w:lvl w:ilvl="7" w:tplc="75BABD1C" w:tentative="1">
      <w:start w:val="1"/>
      <w:numFmt w:val="bullet"/>
      <w:lvlText w:val="o"/>
      <w:lvlJc w:val="left"/>
      <w:pPr>
        <w:ind w:left="5760" w:hanging="360"/>
      </w:pPr>
      <w:rPr>
        <w:rFonts w:ascii="Courier New" w:hAnsi="Courier New" w:cs="Courier New" w:hint="default"/>
      </w:rPr>
    </w:lvl>
    <w:lvl w:ilvl="8" w:tplc="73C855A4" w:tentative="1">
      <w:start w:val="1"/>
      <w:numFmt w:val="bullet"/>
      <w:lvlText w:val=""/>
      <w:lvlJc w:val="left"/>
      <w:pPr>
        <w:ind w:left="6480" w:hanging="360"/>
      </w:pPr>
      <w:rPr>
        <w:rFonts w:ascii="Wingdings" w:hAnsi="Wingdings" w:hint="default"/>
      </w:rPr>
    </w:lvl>
  </w:abstractNum>
  <w:abstractNum w:abstractNumId="119" w15:restartNumberingAfterBreak="0">
    <w:nsid w:val="3A796B36"/>
    <w:multiLevelType w:val="hybridMultilevel"/>
    <w:tmpl w:val="9AFC240A"/>
    <w:lvl w:ilvl="0" w:tplc="71207348">
      <w:start w:val="1"/>
      <w:numFmt w:val="bullet"/>
      <w:lvlText w:val=""/>
      <w:lvlJc w:val="left"/>
      <w:pPr>
        <w:ind w:left="720" w:hanging="360"/>
      </w:pPr>
      <w:rPr>
        <w:rFonts w:ascii="Symbol" w:hAnsi="Symbol" w:hint="default"/>
      </w:rPr>
    </w:lvl>
    <w:lvl w:ilvl="1" w:tplc="22BCE43C" w:tentative="1">
      <w:start w:val="1"/>
      <w:numFmt w:val="bullet"/>
      <w:lvlText w:val="o"/>
      <w:lvlJc w:val="left"/>
      <w:pPr>
        <w:ind w:left="1440" w:hanging="360"/>
      </w:pPr>
      <w:rPr>
        <w:rFonts w:ascii="Courier New" w:hAnsi="Courier New" w:cs="Courier New" w:hint="default"/>
      </w:rPr>
    </w:lvl>
    <w:lvl w:ilvl="2" w:tplc="4DE601CC" w:tentative="1">
      <w:start w:val="1"/>
      <w:numFmt w:val="bullet"/>
      <w:lvlText w:val=""/>
      <w:lvlJc w:val="left"/>
      <w:pPr>
        <w:ind w:left="2160" w:hanging="360"/>
      </w:pPr>
      <w:rPr>
        <w:rFonts w:ascii="Wingdings" w:hAnsi="Wingdings" w:hint="default"/>
      </w:rPr>
    </w:lvl>
    <w:lvl w:ilvl="3" w:tplc="39EEF07E" w:tentative="1">
      <w:start w:val="1"/>
      <w:numFmt w:val="bullet"/>
      <w:lvlText w:val=""/>
      <w:lvlJc w:val="left"/>
      <w:pPr>
        <w:ind w:left="2880" w:hanging="360"/>
      </w:pPr>
      <w:rPr>
        <w:rFonts w:ascii="Symbol" w:hAnsi="Symbol" w:hint="default"/>
      </w:rPr>
    </w:lvl>
    <w:lvl w:ilvl="4" w:tplc="AFA6E02A" w:tentative="1">
      <w:start w:val="1"/>
      <w:numFmt w:val="bullet"/>
      <w:lvlText w:val="o"/>
      <w:lvlJc w:val="left"/>
      <w:pPr>
        <w:ind w:left="3600" w:hanging="360"/>
      </w:pPr>
      <w:rPr>
        <w:rFonts w:ascii="Courier New" w:hAnsi="Courier New" w:cs="Courier New" w:hint="default"/>
      </w:rPr>
    </w:lvl>
    <w:lvl w:ilvl="5" w:tplc="3B56B56A" w:tentative="1">
      <w:start w:val="1"/>
      <w:numFmt w:val="bullet"/>
      <w:lvlText w:val=""/>
      <w:lvlJc w:val="left"/>
      <w:pPr>
        <w:ind w:left="4320" w:hanging="360"/>
      </w:pPr>
      <w:rPr>
        <w:rFonts w:ascii="Wingdings" w:hAnsi="Wingdings" w:hint="default"/>
      </w:rPr>
    </w:lvl>
    <w:lvl w:ilvl="6" w:tplc="47CE2272" w:tentative="1">
      <w:start w:val="1"/>
      <w:numFmt w:val="bullet"/>
      <w:lvlText w:val=""/>
      <w:lvlJc w:val="left"/>
      <w:pPr>
        <w:ind w:left="5040" w:hanging="360"/>
      </w:pPr>
      <w:rPr>
        <w:rFonts w:ascii="Symbol" w:hAnsi="Symbol" w:hint="default"/>
      </w:rPr>
    </w:lvl>
    <w:lvl w:ilvl="7" w:tplc="D1D67F14" w:tentative="1">
      <w:start w:val="1"/>
      <w:numFmt w:val="bullet"/>
      <w:lvlText w:val="o"/>
      <w:lvlJc w:val="left"/>
      <w:pPr>
        <w:ind w:left="5760" w:hanging="360"/>
      </w:pPr>
      <w:rPr>
        <w:rFonts w:ascii="Courier New" w:hAnsi="Courier New" w:cs="Courier New" w:hint="default"/>
      </w:rPr>
    </w:lvl>
    <w:lvl w:ilvl="8" w:tplc="91A049F4" w:tentative="1">
      <w:start w:val="1"/>
      <w:numFmt w:val="bullet"/>
      <w:lvlText w:val=""/>
      <w:lvlJc w:val="left"/>
      <w:pPr>
        <w:ind w:left="6480" w:hanging="360"/>
      </w:pPr>
      <w:rPr>
        <w:rFonts w:ascii="Wingdings" w:hAnsi="Wingdings" w:hint="default"/>
      </w:rPr>
    </w:lvl>
  </w:abstractNum>
  <w:abstractNum w:abstractNumId="120" w15:restartNumberingAfterBreak="0">
    <w:nsid w:val="3B2E19D9"/>
    <w:multiLevelType w:val="hybridMultilevel"/>
    <w:tmpl w:val="85F0B224"/>
    <w:lvl w:ilvl="0" w:tplc="1D3CE09C">
      <w:start w:val="1"/>
      <w:numFmt w:val="bullet"/>
      <w:lvlText w:val=""/>
      <w:lvlJc w:val="left"/>
      <w:pPr>
        <w:tabs>
          <w:tab w:val="num" w:pos="720"/>
        </w:tabs>
        <w:ind w:left="720" w:hanging="360"/>
      </w:pPr>
      <w:rPr>
        <w:rFonts w:ascii="Symbol" w:hAnsi="Symbol" w:hint="default"/>
      </w:rPr>
    </w:lvl>
    <w:lvl w:ilvl="1" w:tplc="4E28D726" w:tentative="1">
      <w:start w:val="1"/>
      <w:numFmt w:val="bullet"/>
      <w:lvlText w:val="o"/>
      <w:lvlJc w:val="left"/>
      <w:pPr>
        <w:tabs>
          <w:tab w:val="num" w:pos="1440"/>
        </w:tabs>
        <w:ind w:left="1440" w:hanging="360"/>
      </w:pPr>
      <w:rPr>
        <w:rFonts w:ascii="Courier New" w:hAnsi="Courier New" w:hint="default"/>
      </w:rPr>
    </w:lvl>
    <w:lvl w:ilvl="2" w:tplc="80467826" w:tentative="1">
      <w:start w:val="1"/>
      <w:numFmt w:val="bullet"/>
      <w:lvlText w:val=""/>
      <w:lvlJc w:val="left"/>
      <w:pPr>
        <w:tabs>
          <w:tab w:val="num" w:pos="2160"/>
        </w:tabs>
        <w:ind w:left="2160" w:hanging="360"/>
      </w:pPr>
      <w:rPr>
        <w:rFonts w:ascii="Wingdings" w:hAnsi="Wingdings" w:hint="default"/>
      </w:rPr>
    </w:lvl>
    <w:lvl w:ilvl="3" w:tplc="D7F8D864" w:tentative="1">
      <w:start w:val="1"/>
      <w:numFmt w:val="bullet"/>
      <w:lvlText w:val=""/>
      <w:lvlJc w:val="left"/>
      <w:pPr>
        <w:tabs>
          <w:tab w:val="num" w:pos="2880"/>
        </w:tabs>
        <w:ind w:left="2880" w:hanging="360"/>
      </w:pPr>
      <w:rPr>
        <w:rFonts w:ascii="Symbol" w:hAnsi="Symbol" w:hint="default"/>
      </w:rPr>
    </w:lvl>
    <w:lvl w:ilvl="4" w:tplc="2E8AE66A" w:tentative="1">
      <w:start w:val="1"/>
      <w:numFmt w:val="bullet"/>
      <w:lvlText w:val="o"/>
      <w:lvlJc w:val="left"/>
      <w:pPr>
        <w:tabs>
          <w:tab w:val="num" w:pos="3600"/>
        </w:tabs>
        <w:ind w:left="3600" w:hanging="360"/>
      </w:pPr>
      <w:rPr>
        <w:rFonts w:ascii="Courier New" w:hAnsi="Courier New" w:hint="default"/>
      </w:rPr>
    </w:lvl>
    <w:lvl w:ilvl="5" w:tplc="1EF2847E" w:tentative="1">
      <w:start w:val="1"/>
      <w:numFmt w:val="bullet"/>
      <w:lvlText w:val=""/>
      <w:lvlJc w:val="left"/>
      <w:pPr>
        <w:tabs>
          <w:tab w:val="num" w:pos="4320"/>
        </w:tabs>
        <w:ind w:left="4320" w:hanging="360"/>
      </w:pPr>
      <w:rPr>
        <w:rFonts w:ascii="Wingdings" w:hAnsi="Wingdings" w:hint="default"/>
      </w:rPr>
    </w:lvl>
    <w:lvl w:ilvl="6" w:tplc="3E9E8074" w:tentative="1">
      <w:start w:val="1"/>
      <w:numFmt w:val="bullet"/>
      <w:lvlText w:val=""/>
      <w:lvlJc w:val="left"/>
      <w:pPr>
        <w:tabs>
          <w:tab w:val="num" w:pos="5040"/>
        </w:tabs>
        <w:ind w:left="5040" w:hanging="360"/>
      </w:pPr>
      <w:rPr>
        <w:rFonts w:ascii="Symbol" w:hAnsi="Symbol" w:hint="default"/>
      </w:rPr>
    </w:lvl>
    <w:lvl w:ilvl="7" w:tplc="5BE6D8C6" w:tentative="1">
      <w:start w:val="1"/>
      <w:numFmt w:val="bullet"/>
      <w:lvlText w:val="o"/>
      <w:lvlJc w:val="left"/>
      <w:pPr>
        <w:tabs>
          <w:tab w:val="num" w:pos="5760"/>
        </w:tabs>
        <w:ind w:left="5760" w:hanging="360"/>
      </w:pPr>
      <w:rPr>
        <w:rFonts w:ascii="Courier New" w:hAnsi="Courier New" w:hint="default"/>
      </w:rPr>
    </w:lvl>
    <w:lvl w:ilvl="8" w:tplc="DF30F192"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3B403F1B"/>
    <w:multiLevelType w:val="hybridMultilevel"/>
    <w:tmpl w:val="CB26EEC6"/>
    <w:lvl w:ilvl="0" w:tplc="B9349CE8">
      <w:start w:val="1"/>
      <w:numFmt w:val="lowerLetter"/>
      <w:lvlText w:val="%1"/>
      <w:lvlJc w:val="left"/>
      <w:pPr>
        <w:ind w:left="720" w:hanging="360"/>
      </w:pPr>
      <w:rPr>
        <w:rFonts w:hint="default"/>
        <w:sz w:val="22"/>
        <w:szCs w:val="22"/>
        <w:vertAlign w:val="superscript"/>
      </w:rPr>
    </w:lvl>
    <w:lvl w:ilvl="1" w:tplc="06925B36" w:tentative="1">
      <w:start w:val="1"/>
      <w:numFmt w:val="lowerLetter"/>
      <w:lvlText w:val="%2."/>
      <w:lvlJc w:val="left"/>
      <w:pPr>
        <w:ind w:left="1440" w:hanging="360"/>
      </w:pPr>
    </w:lvl>
    <w:lvl w:ilvl="2" w:tplc="B5DC2C12" w:tentative="1">
      <w:start w:val="1"/>
      <w:numFmt w:val="lowerRoman"/>
      <w:lvlText w:val="%3."/>
      <w:lvlJc w:val="right"/>
      <w:pPr>
        <w:ind w:left="2160" w:hanging="180"/>
      </w:pPr>
    </w:lvl>
    <w:lvl w:ilvl="3" w:tplc="2F46ED62" w:tentative="1">
      <w:start w:val="1"/>
      <w:numFmt w:val="decimal"/>
      <w:lvlText w:val="%4."/>
      <w:lvlJc w:val="left"/>
      <w:pPr>
        <w:ind w:left="2880" w:hanging="360"/>
      </w:pPr>
    </w:lvl>
    <w:lvl w:ilvl="4" w:tplc="6C72D5B6" w:tentative="1">
      <w:start w:val="1"/>
      <w:numFmt w:val="lowerLetter"/>
      <w:lvlText w:val="%5."/>
      <w:lvlJc w:val="left"/>
      <w:pPr>
        <w:ind w:left="3600" w:hanging="360"/>
      </w:pPr>
    </w:lvl>
    <w:lvl w:ilvl="5" w:tplc="5D8672DC" w:tentative="1">
      <w:start w:val="1"/>
      <w:numFmt w:val="lowerRoman"/>
      <w:lvlText w:val="%6."/>
      <w:lvlJc w:val="right"/>
      <w:pPr>
        <w:ind w:left="4320" w:hanging="180"/>
      </w:pPr>
    </w:lvl>
    <w:lvl w:ilvl="6" w:tplc="EAC08EC0" w:tentative="1">
      <w:start w:val="1"/>
      <w:numFmt w:val="decimal"/>
      <w:lvlText w:val="%7."/>
      <w:lvlJc w:val="left"/>
      <w:pPr>
        <w:ind w:left="5040" w:hanging="360"/>
      </w:pPr>
    </w:lvl>
    <w:lvl w:ilvl="7" w:tplc="D7F441B6" w:tentative="1">
      <w:start w:val="1"/>
      <w:numFmt w:val="lowerLetter"/>
      <w:lvlText w:val="%8."/>
      <w:lvlJc w:val="left"/>
      <w:pPr>
        <w:ind w:left="5760" w:hanging="360"/>
      </w:pPr>
    </w:lvl>
    <w:lvl w:ilvl="8" w:tplc="5A46840E" w:tentative="1">
      <w:start w:val="1"/>
      <w:numFmt w:val="lowerRoman"/>
      <w:lvlText w:val="%9."/>
      <w:lvlJc w:val="right"/>
      <w:pPr>
        <w:ind w:left="6480" w:hanging="180"/>
      </w:pPr>
    </w:lvl>
  </w:abstractNum>
  <w:abstractNum w:abstractNumId="122" w15:restartNumberingAfterBreak="0">
    <w:nsid w:val="3BA26AF1"/>
    <w:multiLevelType w:val="hybridMultilevel"/>
    <w:tmpl w:val="E4B69C84"/>
    <w:lvl w:ilvl="0" w:tplc="1F5670AC">
      <w:start w:val="1"/>
      <w:numFmt w:val="bullet"/>
      <w:lvlText w:val=""/>
      <w:lvlJc w:val="left"/>
      <w:pPr>
        <w:ind w:left="360" w:hanging="360"/>
      </w:pPr>
      <w:rPr>
        <w:rFonts w:ascii="Symbol" w:hAnsi="Symbol" w:hint="default"/>
      </w:rPr>
    </w:lvl>
    <w:lvl w:ilvl="1" w:tplc="FC88ABA4" w:tentative="1">
      <w:start w:val="1"/>
      <w:numFmt w:val="bullet"/>
      <w:lvlText w:val="o"/>
      <w:lvlJc w:val="left"/>
      <w:pPr>
        <w:ind w:left="1080" w:hanging="360"/>
      </w:pPr>
      <w:rPr>
        <w:rFonts w:ascii="Courier New" w:hAnsi="Courier New" w:cs="Courier New" w:hint="default"/>
      </w:rPr>
    </w:lvl>
    <w:lvl w:ilvl="2" w:tplc="3A682EEA" w:tentative="1">
      <w:start w:val="1"/>
      <w:numFmt w:val="bullet"/>
      <w:lvlText w:val=""/>
      <w:lvlJc w:val="left"/>
      <w:pPr>
        <w:ind w:left="1800" w:hanging="360"/>
      </w:pPr>
      <w:rPr>
        <w:rFonts w:ascii="Wingdings" w:hAnsi="Wingdings" w:hint="default"/>
      </w:rPr>
    </w:lvl>
    <w:lvl w:ilvl="3" w:tplc="1C068346" w:tentative="1">
      <w:start w:val="1"/>
      <w:numFmt w:val="bullet"/>
      <w:lvlText w:val=""/>
      <w:lvlJc w:val="left"/>
      <w:pPr>
        <w:ind w:left="2520" w:hanging="360"/>
      </w:pPr>
      <w:rPr>
        <w:rFonts w:ascii="Symbol" w:hAnsi="Symbol" w:hint="default"/>
      </w:rPr>
    </w:lvl>
    <w:lvl w:ilvl="4" w:tplc="7298CE92" w:tentative="1">
      <w:start w:val="1"/>
      <w:numFmt w:val="bullet"/>
      <w:lvlText w:val="o"/>
      <w:lvlJc w:val="left"/>
      <w:pPr>
        <w:ind w:left="3240" w:hanging="360"/>
      </w:pPr>
      <w:rPr>
        <w:rFonts w:ascii="Courier New" w:hAnsi="Courier New" w:cs="Courier New" w:hint="default"/>
      </w:rPr>
    </w:lvl>
    <w:lvl w:ilvl="5" w:tplc="444EAF60" w:tentative="1">
      <w:start w:val="1"/>
      <w:numFmt w:val="bullet"/>
      <w:lvlText w:val=""/>
      <w:lvlJc w:val="left"/>
      <w:pPr>
        <w:ind w:left="3960" w:hanging="360"/>
      </w:pPr>
      <w:rPr>
        <w:rFonts w:ascii="Wingdings" w:hAnsi="Wingdings" w:hint="default"/>
      </w:rPr>
    </w:lvl>
    <w:lvl w:ilvl="6" w:tplc="629A249C" w:tentative="1">
      <w:start w:val="1"/>
      <w:numFmt w:val="bullet"/>
      <w:lvlText w:val=""/>
      <w:lvlJc w:val="left"/>
      <w:pPr>
        <w:ind w:left="4680" w:hanging="360"/>
      </w:pPr>
      <w:rPr>
        <w:rFonts w:ascii="Symbol" w:hAnsi="Symbol" w:hint="default"/>
      </w:rPr>
    </w:lvl>
    <w:lvl w:ilvl="7" w:tplc="BE0A295E" w:tentative="1">
      <w:start w:val="1"/>
      <w:numFmt w:val="bullet"/>
      <w:lvlText w:val="o"/>
      <w:lvlJc w:val="left"/>
      <w:pPr>
        <w:ind w:left="5400" w:hanging="360"/>
      </w:pPr>
      <w:rPr>
        <w:rFonts w:ascii="Courier New" w:hAnsi="Courier New" w:cs="Courier New" w:hint="default"/>
      </w:rPr>
    </w:lvl>
    <w:lvl w:ilvl="8" w:tplc="71DA32C0" w:tentative="1">
      <w:start w:val="1"/>
      <w:numFmt w:val="bullet"/>
      <w:lvlText w:val=""/>
      <w:lvlJc w:val="left"/>
      <w:pPr>
        <w:ind w:left="6120" w:hanging="360"/>
      </w:pPr>
      <w:rPr>
        <w:rFonts w:ascii="Wingdings" w:hAnsi="Wingdings" w:hint="default"/>
      </w:rPr>
    </w:lvl>
  </w:abstractNum>
  <w:abstractNum w:abstractNumId="123" w15:restartNumberingAfterBreak="0">
    <w:nsid w:val="3BC06592"/>
    <w:multiLevelType w:val="hybridMultilevel"/>
    <w:tmpl w:val="9F2E3156"/>
    <w:lvl w:ilvl="0" w:tplc="50E48BA6">
      <w:start w:val="1"/>
      <w:numFmt w:val="bullet"/>
      <w:lvlText w:val=""/>
      <w:lvlJc w:val="left"/>
      <w:pPr>
        <w:tabs>
          <w:tab w:val="num" w:pos="690"/>
        </w:tabs>
        <w:ind w:left="690" w:hanging="360"/>
      </w:pPr>
      <w:rPr>
        <w:rFonts w:ascii="Symbol" w:hAnsi="Symbol" w:hint="default"/>
      </w:rPr>
    </w:lvl>
    <w:lvl w:ilvl="1" w:tplc="F1642072" w:tentative="1">
      <w:start w:val="1"/>
      <w:numFmt w:val="bullet"/>
      <w:lvlText w:val="o"/>
      <w:lvlJc w:val="left"/>
      <w:pPr>
        <w:tabs>
          <w:tab w:val="num" w:pos="1440"/>
        </w:tabs>
        <w:ind w:left="1440" w:hanging="360"/>
      </w:pPr>
      <w:rPr>
        <w:rFonts w:ascii="Courier New" w:hAnsi="Courier New" w:hint="default"/>
      </w:rPr>
    </w:lvl>
    <w:lvl w:ilvl="2" w:tplc="036C7F6A" w:tentative="1">
      <w:start w:val="1"/>
      <w:numFmt w:val="bullet"/>
      <w:lvlText w:val=""/>
      <w:lvlJc w:val="left"/>
      <w:pPr>
        <w:tabs>
          <w:tab w:val="num" w:pos="2160"/>
        </w:tabs>
        <w:ind w:left="2160" w:hanging="360"/>
      </w:pPr>
      <w:rPr>
        <w:rFonts w:ascii="Wingdings" w:hAnsi="Wingdings" w:hint="default"/>
      </w:rPr>
    </w:lvl>
    <w:lvl w:ilvl="3" w:tplc="AE848944" w:tentative="1">
      <w:start w:val="1"/>
      <w:numFmt w:val="bullet"/>
      <w:lvlText w:val=""/>
      <w:lvlJc w:val="left"/>
      <w:pPr>
        <w:tabs>
          <w:tab w:val="num" w:pos="2880"/>
        </w:tabs>
        <w:ind w:left="2880" w:hanging="360"/>
      </w:pPr>
      <w:rPr>
        <w:rFonts w:ascii="Symbol" w:hAnsi="Symbol" w:hint="default"/>
      </w:rPr>
    </w:lvl>
    <w:lvl w:ilvl="4" w:tplc="7FF08CD6" w:tentative="1">
      <w:start w:val="1"/>
      <w:numFmt w:val="bullet"/>
      <w:lvlText w:val="o"/>
      <w:lvlJc w:val="left"/>
      <w:pPr>
        <w:tabs>
          <w:tab w:val="num" w:pos="3600"/>
        </w:tabs>
        <w:ind w:left="3600" w:hanging="360"/>
      </w:pPr>
      <w:rPr>
        <w:rFonts w:ascii="Courier New" w:hAnsi="Courier New" w:hint="default"/>
      </w:rPr>
    </w:lvl>
    <w:lvl w:ilvl="5" w:tplc="7AB2A3A4" w:tentative="1">
      <w:start w:val="1"/>
      <w:numFmt w:val="bullet"/>
      <w:lvlText w:val=""/>
      <w:lvlJc w:val="left"/>
      <w:pPr>
        <w:tabs>
          <w:tab w:val="num" w:pos="4320"/>
        </w:tabs>
        <w:ind w:left="4320" w:hanging="360"/>
      </w:pPr>
      <w:rPr>
        <w:rFonts w:ascii="Wingdings" w:hAnsi="Wingdings" w:hint="default"/>
      </w:rPr>
    </w:lvl>
    <w:lvl w:ilvl="6" w:tplc="555AB124" w:tentative="1">
      <w:start w:val="1"/>
      <w:numFmt w:val="bullet"/>
      <w:lvlText w:val=""/>
      <w:lvlJc w:val="left"/>
      <w:pPr>
        <w:tabs>
          <w:tab w:val="num" w:pos="5040"/>
        </w:tabs>
        <w:ind w:left="5040" w:hanging="360"/>
      </w:pPr>
      <w:rPr>
        <w:rFonts w:ascii="Symbol" w:hAnsi="Symbol" w:hint="default"/>
      </w:rPr>
    </w:lvl>
    <w:lvl w:ilvl="7" w:tplc="47584E80" w:tentative="1">
      <w:start w:val="1"/>
      <w:numFmt w:val="bullet"/>
      <w:lvlText w:val="o"/>
      <w:lvlJc w:val="left"/>
      <w:pPr>
        <w:tabs>
          <w:tab w:val="num" w:pos="5760"/>
        </w:tabs>
        <w:ind w:left="5760" w:hanging="360"/>
      </w:pPr>
      <w:rPr>
        <w:rFonts w:ascii="Courier New" w:hAnsi="Courier New" w:hint="default"/>
      </w:rPr>
    </w:lvl>
    <w:lvl w:ilvl="8" w:tplc="058AE378"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3BC77894"/>
    <w:multiLevelType w:val="hybridMultilevel"/>
    <w:tmpl w:val="7AAE017E"/>
    <w:lvl w:ilvl="0" w:tplc="427E3958">
      <w:start w:val="1"/>
      <w:numFmt w:val="bullet"/>
      <w:lvlText w:val=""/>
      <w:lvlJc w:val="left"/>
      <w:pPr>
        <w:ind w:left="1350" w:hanging="360"/>
      </w:pPr>
      <w:rPr>
        <w:rFonts w:ascii="Symbol" w:hAnsi="Symbol" w:hint="default"/>
      </w:rPr>
    </w:lvl>
    <w:lvl w:ilvl="1" w:tplc="64F0DF16" w:tentative="1">
      <w:start w:val="1"/>
      <w:numFmt w:val="bullet"/>
      <w:lvlText w:val="o"/>
      <w:lvlJc w:val="left"/>
      <w:pPr>
        <w:ind w:left="2070" w:hanging="360"/>
      </w:pPr>
      <w:rPr>
        <w:rFonts w:ascii="Courier New" w:hAnsi="Courier New" w:cs="Courier New" w:hint="default"/>
      </w:rPr>
    </w:lvl>
    <w:lvl w:ilvl="2" w:tplc="126899B6" w:tentative="1">
      <w:start w:val="1"/>
      <w:numFmt w:val="bullet"/>
      <w:lvlText w:val=""/>
      <w:lvlJc w:val="left"/>
      <w:pPr>
        <w:ind w:left="2790" w:hanging="360"/>
      </w:pPr>
      <w:rPr>
        <w:rFonts w:ascii="Wingdings" w:hAnsi="Wingdings" w:hint="default"/>
      </w:rPr>
    </w:lvl>
    <w:lvl w:ilvl="3" w:tplc="43C096B8" w:tentative="1">
      <w:start w:val="1"/>
      <w:numFmt w:val="bullet"/>
      <w:lvlText w:val=""/>
      <w:lvlJc w:val="left"/>
      <w:pPr>
        <w:ind w:left="3510" w:hanging="360"/>
      </w:pPr>
      <w:rPr>
        <w:rFonts w:ascii="Symbol" w:hAnsi="Symbol" w:hint="default"/>
      </w:rPr>
    </w:lvl>
    <w:lvl w:ilvl="4" w:tplc="B7F855DC" w:tentative="1">
      <w:start w:val="1"/>
      <w:numFmt w:val="bullet"/>
      <w:lvlText w:val="o"/>
      <w:lvlJc w:val="left"/>
      <w:pPr>
        <w:ind w:left="4230" w:hanging="360"/>
      </w:pPr>
      <w:rPr>
        <w:rFonts w:ascii="Courier New" w:hAnsi="Courier New" w:cs="Courier New" w:hint="default"/>
      </w:rPr>
    </w:lvl>
    <w:lvl w:ilvl="5" w:tplc="48E25F66" w:tentative="1">
      <w:start w:val="1"/>
      <w:numFmt w:val="bullet"/>
      <w:lvlText w:val=""/>
      <w:lvlJc w:val="left"/>
      <w:pPr>
        <w:ind w:left="4950" w:hanging="360"/>
      </w:pPr>
      <w:rPr>
        <w:rFonts w:ascii="Wingdings" w:hAnsi="Wingdings" w:hint="default"/>
      </w:rPr>
    </w:lvl>
    <w:lvl w:ilvl="6" w:tplc="39C2242E" w:tentative="1">
      <w:start w:val="1"/>
      <w:numFmt w:val="bullet"/>
      <w:lvlText w:val=""/>
      <w:lvlJc w:val="left"/>
      <w:pPr>
        <w:ind w:left="5670" w:hanging="360"/>
      </w:pPr>
      <w:rPr>
        <w:rFonts w:ascii="Symbol" w:hAnsi="Symbol" w:hint="default"/>
      </w:rPr>
    </w:lvl>
    <w:lvl w:ilvl="7" w:tplc="3EFCAE26" w:tentative="1">
      <w:start w:val="1"/>
      <w:numFmt w:val="bullet"/>
      <w:lvlText w:val="o"/>
      <w:lvlJc w:val="left"/>
      <w:pPr>
        <w:ind w:left="6390" w:hanging="360"/>
      </w:pPr>
      <w:rPr>
        <w:rFonts w:ascii="Courier New" w:hAnsi="Courier New" w:cs="Courier New" w:hint="default"/>
      </w:rPr>
    </w:lvl>
    <w:lvl w:ilvl="8" w:tplc="6186E530" w:tentative="1">
      <w:start w:val="1"/>
      <w:numFmt w:val="bullet"/>
      <w:lvlText w:val=""/>
      <w:lvlJc w:val="left"/>
      <w:pPr>
        <w:ind w:left="7110" w:hanging="360"/>
      </w:pPr>
      <w:rPr>
        <w:rFonts w:ascii="Wingdings" w:hAnsi="Wingdings" w:hint="default"/>
      </w:rPr>
    </w:lvl>
  </w:abstractNum>
  <w:abstractNum w:abstractNumId="125" w15:restartNumberingAfterBreak="0">
    <w:nsid w:val="3C542FEE"/>
    <w:multiLevelType w:val="hybridMultilevel"/>
    <w:tmpl w:val="513619DC"/>
    <w:lvl w:ilvl="0" w:tplc="5A806410">
      <w:start w:val="1"/>
      <w:numFmt w:val="bullet"/>
      <w:lvlText w:val=""/>
      <w:lvlJc w:val="left"/>
      <w:pPr>
        <w:ind w:left="720" w:hanging="360"/>
      </w:pPr>
      <w:rPr>
        <w:rFonts w:ascii="Symbol" w:hAnsi="Symbol" w:hint="default"/>
        <w:sz w:val="22"/>
      </w:rPr>
    </w:lvl>
    <w:lvl w:ilvl="1" w:tplc="3B3CD6AA" w:tentative="1">
      <w:start w:val="1"/>
      <w:numFmt w:val="bullet"/>
      <w:lvlText w:val="o"/>
      <w:lvlJc w:val="left"/>
      <w:pPr>
        <w:ind w:left="1440" w:hanging="360"/>
      </w:pPr>
      <w:rPr>
        <w:rFonts w:ascii="Courier New" w:hAnsi="Courier New" w:cs="Courier New" w:hint="default"/>
      </w:rPr>
    </w:lvl>
    <w:lvl w:ilvl="2" w:tplc="F44A8244" w:tentative="1">
      <w:start w:val="1"/>
      <w:numFmt w:val="bullet"/>
      <w:lvlText w:val=""/>
      <w:lvlJc w:val="left"/>
      <w:pPr>
        <w:ind w:left="2160" w:hanging="360"/>
      </w:pPr>
      <w:rPr>
        <w:rFonts w:ascii="Wingdings" w:hAnsi="Wingdings" w:hint="default"/>
      </w:rPr>
    </w:lvl>
    <w:lvl w:ilvl="3" w:tplc="C88EA132" w:tentative="1">
      <w:start w:val="1"/>
      <w:numFmt w:val="bullet"/>
      <w:lvlText w:val=""/>
      <w:lvlJc w:val="left"/>
      <w:pPr>
        <w:ind w:left="2880" w:hanging="360"/>
      </w:pPr>
      <w:rPr>
        <w:rFonts w:ascii="Symbol" w:hAnsi="Symbol" w:hint="default"/>
      </w:rPr>
    </w:lvl>
    <w:lvl w:ilvl="4" w:tplc="7BB2F5C2" w:tentative="1">
      <w:start w:val="1"/>
      <w:numFmt w:val="bullet"/>
      <w:lvlText w:val="o"/>
      <w:lvlJc w:val="left"/>
      <w:pPr>
        <w:ind w:left="3600" w:hanging="360"/>
      </w:pPr>
      <w:rPr>
        <w:rFonts w:ascii="Courier New" w:hAnsi="Courier New" w:cs="Courier New" w:hint="default"/>
      </w:rPr>
    </w:lvl>
    <w:lvl w:ilvl="5" w:tplc="C0F29CDC" w:tentative="1">
      <w:start w:val="1"/>
      <w:numFmt w:val="bullet"/>
      <w:lvlText w:val=""/>
      <w:lvlJc w:val="left"/>
      <w:pPr>
        <w:ind w:left="4320" w:hanging="360"/>
      </w:pPr>
      <w:rPr>
        <w:rFonts w:ascii="Wingdings" w:hAnsi="Wingdings" w:hint="default"/>
      </w:rPr>
    </w:lvl>
    <w:lvl w:ilvl="6" w:tplc="45F8B59A" w:tentative="1">
      <w:start w:val="1"/>
      <w:numFmt w:val="bullet"/>
      <w:lvlText w:val=""/>
      <w:lvlJc w:val="left"/>
      <w:pPr>
        <w:ind w:left="5040" w:hanging="360"/>
      </w:pPr>
      <w:rPr>
        <w:rFonts w:ascii="Symbol" w:hAnsi="Symbol" w:hint="default"/>
      </w:rPr>
    </w:lvl>
    <w:lvl w:ilvl="7" w:tplc="8774DCB8" w:tentative="1">
      <w:start w:val="1"/>
      <w:numFmt w:val="bullet"/>
      <w:lvlText w:val="o"/>
      <w:lvlJc w:val="left"/>
      <w:pPr>
        <w:ind w:left="5760" w:hanging="360"/>
      </w:pPr>
      <w:rPr>
        <w:rFonts w:ascii="Courier New" w:hAnsi="Courier New" w:cs="Courier New" w:hint="default"/>
      </w:rPr>
    </w:lvl>
    <w:lvl w:ilvl="8" w:tplc="FD788104" w:tentative="1">
      <w:start w:val="1"/>
      <w:numFmt w:val="bullet"/>
      <w:lvlText w:val=""/>
      <w:lvlJc w:val="left"/>
      <w:pPr>
        <w:ind w:left="6480" w:hanging="360"/>
      </w:pPr>
      <w:rPr>
        <w:rFonts w:ascii="Wingdings" w:hAnsi="Wingdings" w:hint="default"/>
      </w:rPr>
    </w:lvl>
  </w:abstractNum>
  <w:abstractNum w:abstractNumId="126" w15:restartNumberingAfterBreak="0">
    <w:nsid w:val="3C6A785B"/>
    <w:multiLevelType w:val="hybridMultilevel"/>
    <w:tmpl w:val="D9D41E0E"/>
    <w:lvl w:ilvl="0" w:tplc="3918A6F8">
      <w:start w:val="1"/>
      <w:numFmt w:val="decimal"/>
      <w:lvlText w:val="%1."/>
      <w:lvlJc w:val="left"/>
      <w:pPr>
        <w:tabs>
          <w:tab w:val="num" w:pos="720"/>
        </w:tabs>
        <w:ind w:left="720" w:hanging="360"/>
      </w:pPr>
      <w:rPr>
        <w:rFonts w:hint="default"/>
      </w:rPr>
    </w:lvl>
    <w:lvl w:ilvl="1" w:tplc="1C9009C2">
      <w:start w:val="1"/>
      <w:numFmt w:val="bullet"/>
      <w:lvlText w:val=""/>
      <w:lvlJc w:val="left"/>
      <w:pPr>
        <w:tabs>
          <w:tab w:val="num" w:pos="1440"/>
        </w:tabs>
        <w:ind w:left="1440" w:hanging="360"/>
      </w:pPr>
      <w:rPr>
        <w:rFonts w:ascii="Symbol" w:hAnsi="Symbol" w:hint="default"/>
      </w:rPr>
    </w:lvl>
    <w:lvl w:ilvl="2" w:tplc="B724752E">
      <w:start w:val="1"/>
      <w:numFmt w:val="lowerRoman"/>
      <w:lvlText w:val="%3."/>
      <w:lvlJc w:val="right"/>
      <w:pPr>
        <w:tabs>
          <w:tab w:val="num" w:pos="2160"/>
        </w:tabs>
        <w:ind w:left="2160" w:hanging="180"/>
      </w:pPr>
    </w:lvl>
    <w:lvl w:ilvl="3" w:tplc="099055AC" w:tentative="1">
      <w:start w:val="1"/>
      <w:numFmt w:val="decimal"/>
      <w:lvlText w:val="%4."/>
      <w:lvlJc w:val="left"/>
      <w:pPr>
        <w:tabs>
          <w:tab w:val="num" w:pos="2880"/>
        </w:tabs>
        <w:ind w:left="2880" w:hanging="360"/>
      </w:pPr>
    </w:lvl>
    <w:lvl w:ilvl="4" w:tplc="3D7C5090" w:tentative="1">
      <w:start w:val="1"/>
      <w:numFmt w:val="lowerLetter"/>
      <w:lvlText w:val="%5."/>
      <w:lvlJc w:val="left"/>
      <w:pPr>
        <w:tabs>
          <w:tab w:val="num" w:pos="3600"/>
        </w:tabs>
        <w:ind w:left="3600" w:hanging="360"/>
      </w:pPr>
    </w:lvl>
    <w:lvl w:ilvl="5" w:tplc="0F7457A8" w:tentative="1">
      <w:start w:val="1"/>
      <w:numFmt w:val="lowerRoman"/>
      <w:lvlText w:val="%6."/>
      <w:lvlJc w:val="right"/>
      <w:pPr>
        <w:tabs>
          <w:tab w:val="num" w:pos="4320"/>
        </w:tabs>
        <w:ind w:left="4320" w:hanging="180"/>
      </w:pPr>
    </w:lvl>
    <w:lvl w:ilvl="6" w:tplc="2D0EDF94" w:tentative="1">
      <w:start w:val="1"/>
      <w:numFmt w:val="decimal"/>
      <w:lvlText w:val="%7."/>
      <w:lvlJc w:val="left"/>
      <w:pPr>
        <w:tabs>
          <w:tab w:val="num" w:pos="5040"/>
        </w:tabs>
        <w:ind w:left="5040" w:hanging="360"/>
      </w:pPr>
    </w:lvl>
    <w:lvl w:ilvl="7" w:tplc="C9BEFD84" w:tentative="1">
      <w:start w:val="1"/>
      <w:numFmt w:val="lowerLetter"/>
      <w:lvlText w:val="%8."/>
      <w:lvlJc w:val="left"/>
      <w:pPr>
        <w:tabs>
          <w:tab w:val="num" w:pos="5760"/>
        </w:tabs>
        <w:ind w:left="5760" w:hanging="360"/>
      </w:pPr>
    </w:lvl>
    <w:lvl w:ilvl="8" w:tplc="6E7C12F2" w:tentative="1">
      <w:start w:val="1"/>
      <w:numFmt w:val="lowerRoman"/>
      <w:lvlText w:val="%9."/>
      <w:lvlJc w:val="right"/>
      <w:pPr>
        <w:tabs>
          <w:tab w:val="num" w:pos="6480"/>
        </w:tabs>
        <w:ind w:left="6480" w:hanging="180"/>
      </w:pPr>
    </w:lvl>
  </w:abstractNum>
  <w:abstractNum w:abstractNumId="127" w15:restartNumberingAfterBreak="0">
    <w:nsid w:val="3CCC1616"/>
    <w:multiLevelType w:val="hybridMultilevel"/>
    <w:tmpl w:val="E4DEC2F8"/>
    <w:lvl w:ilvl="0" w:tplc="DD6ADE26">
      <w:start w:val="1"/>
      <w:numFmt w:val="bullet"/>
      <w:lvlText w:val=""/>
      <w:lvlJc w:val="left"/>
      <w:pPr>
        <w:ind w:left="720" w:hanging="360"/>
      </w:pPr>
      <w:rPr>
        <w:rFonts w:ascii="Symbol" w:hAnsi="Symbol" w:hint="default"/>
      </w:rPr>
    </w:lvl>
    <w:lvl w:ilvl="1" w:tplc="12FE0C0E" w:tentative="1">
      <w:start w:val="1"/>
      <w:numFmt w:val="bullet"/>
      <w:lvlText w:val="o"/>
      <w:lvlJc w:val="left"/>
      <w:pPr>
        <w:ind w:left="1440" w:hanging="360"/>
      </w:pPr>
      <w:rPr>
        <w:rFonts w:ascii="Courier New" w:hAnsi="Courier New" w:cs="Courier New" w:hint="default"/>
      </w:rPr>
    </w:lvl>
    <w:lvl w:ilvl="2" w:tplc="E02484C2" w:tentative="1">
      <w:start w:val="1"/>
      <w:numFmt w:val="bullet"/>
      <w:lvlText w:val=""/>
      <w:lvlJc w:val="left"/>
      <w:pPr>
        <w:ind w:left="2160" w:hanging="360"/>
      </w:pPr>
      <w:rPr>
        <w:rFonts w:ascii="Wingdings" w:hAnsi="Wingdings" w:hint="default"/>
      </w:rPr>
    </w:lvl>
    <w:lvl w:ilvl="3" w:tplc="6A5A729E" w:tentative="1">
      <w:start w:val="1"/>
      <w:numFmt w:val="bullet"/>
      <w:lvlText w:val=""/>
      <w:lvlJc w:val="left"/>
      <w:pPr>
        <w:ind w:left="2880" w:hanging="360"/>
      </w:pPr>
      <w:rPr>
        <w:rFonts w:ascii="Symbol" w:hAnsi="Symbol" w:hint="default"/>
      </w:rPr>
    </w:lvl>
    <w:lvl w:ilvl="4" w:tplc="A314B9FA" w:tentative="1">
      <w:start w:val="1"/>
      <w:numFmt w:val="bullet"/>
      <w:lvlText w:val="o"/>
      <w:lvlJc w:val="left"/>
      <w:pPr>
        <w:ind w:left="3600" w:hanging="360"/>
      </w:pPr>
      <w:rPr>
        <w:rFonts w:ascii="Courier New" w:hAnsi="Courier New" w:cs="Courier New" w:hint="default"/>
      </w:rPr>
    </w:lvl>
    <w:lvl w:ilvl="5" w:tplc="59EC2270" w:tentative="1">
      <w:start w:val="1"/>
      <w:numFmt w:val="bullet"/>
      <w:lvlText w:val=""/>
      <w:lvlJc w:val="left"/>
      <w:pPr>
        <w:ind w:left="4320" w:hanging="360"/>
      </w:pPr>
      <w:rPr>
        <w:rFonts w:ascii="Wingdings" w:hAnsi="Wingdings" w:hint="default"/>
      </w:rPr>
    </w:lvl>
    <w:lvl w:ilvl="6" w:tplc="A7BAF642" w:tentative="1">
      <w:start w:val="1"/>
      <w:numFmt w:val="bullet"/>
      <w:lvlText w:val=""/>
      <w:lvlJc w:val="left"/>
      <w:pPr>
        <w:ind w:left="5040" w:hanging="360"/>
      </w:pPr>
      <w:rPr>
        <w:rFonts w:ascii="Symbol" w:hAnsi="Symbol" w:hint="default"/>
      </w:rPr>
    </w:lvl>
    <w:lvl w:ilvl="7" w:tplc="FA8A2590" w:tentative="1">
      <w:start w:val="1"/>
      <w:numFmt w:val="bullet"/>
      <w:lvlText w:val="o"/>
      <w:lvlJc w:val="left"/>
      <w:pPr>
        <w:ind w:left="5760" w:hanging="360"/>
      </w:pPr>
      <w:rPr>
        <w:rFonts w:ascii="Courier New" w:hAnsi="Courier New" w:cs="Courier New" w:hint="default"/>
      </w:rPr>
    </w:lvl>
    <w:lvl w:ilvl="8" w:tplc="4BC0792C" w:tentative="1">
      <w:start w:val="1"/>
      <w:numFmt w:val="bullet"/>
      <w:lvlText w:val=""/>
      <w:lvlJc w:val="left"/>
      <w:pPr>
        <w:ind w:left="6480" w:hanging="360"/>
      </w:pPr>
      <w:rPr>
        <w:rFonts w:ascii="Wingdings" w:hAnsi="Wingdings" w:hint="default"/>
      </w:rPr>
    </w:lvl>
  </w:abstractNum>
  <w:abstractNum w:abstractNumId="128" w15:restartNumberingAfterBreak="0">
    <w:nsid w:val="3DCD1E0F"/>
    <w:multiLevelType w:val="hybridMultilevel"/>
    <w:tmpl w:val="C98A6100"/>
    <w:lvl w:ilvl="0" w:tplc="05F266B4">
      <w:start w:val="1"/>
      <w:numFmt w:val="bullet"/>
      <w:lvlText w:val=""/>
      <w:lvlJc w:val="left"/>
      <w:pPr>
        <w:tabs>
          <w:tab w:val="num" w:pos="720"/>
        </w:tabs>
        <w:ind w:left="720" w:hanging="360"/>
      </w:pPr>
      <w:rPr>
        <w:rFonts w:ascii="Symbol" w:hAnsi="Symbol" w:hint="default"/>
      </w:rPr>
    </w:lvl>
    <w:lvl w:ilvl="1" w:tplc="5E6843F8" w:tentative="1">
      <w:start w:val="1"/>
      <w:numFmt w:val="bullet"/>
      <w:lvlText w:val="o"/>
      <w:lvlJc w:val="left"/>
      <w:pPr>
        <w:tabs>
          <w:tab w:val="num" w:pos="1440"/>
        </w:tabs>
        <w:ind w:left="1440" w:hanging="360"/>
      </w:pPr>
      <w:rPr>
        <w:rFonts w:ascii="Courier New" w:hAnsi="Courier New" w:hint="default"/>
      </w:rPr>
    </w:lvl>
    <w:lvl w:ilvl="2" w:tplc="DC9E2E7C" w:tentative="1">
      <w:start w:val="1"/>
      <w:numFmt w:val="bullet"/>
      <w:lvlText w:val=""/>
      <w:lvlJc w:val="left"/>
      <w:pPr>
        <w:tabs>
          <w:tab w:val="num" w:pos="2160"/>
        </w:tabs>
        <w:ind w:left="2160" w:hanging="360"/>
      </w:pPr>
      <w:rPr>
        <w:rFonts w:ascii="Wingdings" w:hAnsi="Wingdings" w:hint="default"/>
      </w:rPr>
    </w:lvl>
    <w:lvl w:ilvl="3" w:tplc="D444D1C6" w:tentative="1">
      <w:start w:val="1"/>
      <w:numFmt w:val="bullet"/>
      <w:lvlText w:val=""/>
      <w:lvlJc w:val="left"/>
      <w:pPr>
        <w:tabs>
          <w:tab w:val="num" w:pos="2880"/>
        </w:tabs>
        <w:ind w:left="2880" w:hanging="360"/>
      </w:pPr>
      <w:rPr>
        <w:rFonts w:ascii="Symbol" w:hAnsi="Symbol" w:hint="default"/>
      </w:rPr>
    </w:lvl>
    <w:lvl w:ilvl="4" w:tplc="29BC60A6" w:tentative="1">
      <w:start w:val="1"/>
      <w:numFmt w:val="bullet"/>
      <w:lvlText w:val="o"/>
      <w:lvlJc w:val="left"/>
      <w:pPr>
        <w:tabs>
          <w:tab w:val="num" w:pos="3600"/>
        </w:tabs>
        <w:ind w:left="3600" w:hanging="360"/>
      </w:pPr>
      <w:rPr>
        <w:rFonts w:ascii="Courier New" w:hAnsi="Courier New" w:hint="default"/>
      </w:rPr>
    </w:lvl>
    <w:lvl w:ilvl="5" w:tplc="2F1CCB76" w:tentative="1">
      <w:start w:val="1"/>
      <w:numFmt w:val="bullet"/>
      <w:lvlText w:val=""/>
      <w:lvlJc w:val="left"/>
      <w:pPr>
        <w:tabs>
          <w:tab w:val="num" w:pos="4320"/>
        </w:tabs>
        <w:ind w:left="4320" w:hanging="360"/>
      </w:pPr>
      <w:rPr>
        <w:rFonts w:ascii="Wingdings" w:hAnsi="Wingdings" w:hint="default"/>
      </w:rPr>
    </w:lvl>
    <w:lvl w:ilvl="6" w:tplc="2CE6E660" w:tentative="1">
      <w:start w:val="1"/>
      <w:numFmt w:val="bullet"/>
      <w:lvlText w:val=""/>
      <w:lvlJc w:val="left"/>
      <w:pPr>
        <w:tabs>
          <w:tab w:val="num" w:pos="5040"/>
        </w:tabs>
        <w:ind w:left="5040" w:hanging="360"/>
      </w:pPr>
      <w:rPr>
        <w:rFonts w:ascii="Symbol" w:hAnsi="Symbol" w:hint="default"/>
      </w:rPr>
    </w:lvl>
    <w:lvl w:ilvl="7" w:tplc="AB764306" w:tentative="1">
      <w:start w:val="1"/>
      <w:numFmt w:val="bullet"/>
      <w:lvlText w:val="o"/>
      <w:lvlJc w:val="left"/>
      <w:pPr>
        <w:tabs>
          <w:tab w:val="num" w:pos="5760"/>
        </w:tabs>
        <w:ind w:left="5760" w:hanging="360"/>
      </w:pPr>
      <w:rPr>
        <w:rFonts w:ascii="Courier New" w:hAnsi="Courier New" w:hint="default"/>
      </w:rPr>
    </w:lvl>
    <w:lvl w:ilvl="8" w:tplc="9ADEDD10"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3EF03C4F"/>
    <w:multiLevelType w:val="hybridMultilevel"/>
    <w:tmpl w:val="D8F0EBE0"/>
    <w:lvl w:ilvl="0" w:tplc="66D8CCF8">
      <w:start w:val="1"/>
      <w:numFmt w:val="bullet"/>
      <w:lvlText w:val=""/>
      <w:lvlJc w:val="left"/>
      <w:pPr>
        <w:ind w:left="720" w:hanging="360"/>
      </w:pPr>
      <w:rPr>
        <w:rFonts w:ascii="Symbol" w:hAnsi="Symbol" w:hint="default"/>
      </w:rPr>
    </w:lvl>
    <w:lvl w:ilvl="1" w:tplc="DC2E64F0" w:tentative="1">
      <w:start w:val="1"/>
      <w:numFmt w:val="bullet"/>
      <w:lvlText w:val="o"/>
      <w:lvlJc w:val="left"/>
      <w:pPr>
        <w:ind w:left="1440" w:hanging="360"/>
      </w:pPr>
      <w:rPr>
        <w:rFonts w:ascii="Courier New" w:hAnsi="Courier New" w:cs="Courier New" w:hint="default"/>
      </w:rPr>
    </w:lvl>
    <w:lvl w:ilvl="2" w:tplc="E466A6EE" w:tentative="1">
      <w:start w:val="1"/>
      <w:numFmt w:val="bullet"/>
      <w:lvlText w:val=""/>
      <w:lvlJc w:val="left"/>
      <w:pPr>
        <w:ind w:left="2160" w:hanging="360"/>
      </w:pPr>
      <w:rPr>
        <w:rFonts w:ascii="Wingdings" w:hAnsi="Wingdings" w:hint="default"/>
      </w:rPr>
    </w:lvl>
    <w:lvl w:ilvl="3" w:tplc="683A030E" w:tentative="1">
      <w:start w:val="1"/>
      <w:numFmt w:val="bullet"/>
      <w:lvlText w:val=""/>
      <w:lvlJc w:val="left"/>
      <w:pPr>
        <w:ind w:left="2880" w:hanging="360"/>
      </w:pPr>
      <w:rPr>
        <w:rFonts w:ascii="Symbol" w:hAnsi="Symbol" w:hint="default"/>
      </w:rPr>
    </w:lvl>
    <w:lvl w:ilvl="4" w:tplc="98649834" w:tentative="1">
      <w:start w:val="1"/>
      <w:numFmt w:val="bullet"/>
      <w:lvlText w:val="o"/>
      <w:lvlJc w:val="left"/>
      <w:pPr>
        <w:ind w:left="3600" w:hanging="360"/>
      </w:pPr>
      <w:rPr>
        <w:rFonts w:ascii="Courier New" w:hAnsi="Courier New" w:cs="Courier New" w:hint="default"/>
      </w:rPr>
    </w:lvl>
    <w:lvl w:ilvl="5" w:tplc="B2C000EA" w:tentative="1">
      <w:start w:val="1"/>
      <w:numFmt w:val="bullet"/>
      <w:lvlText w:val=""/>
      <w:lvlJc w:val="left"/>
      <w:pPr>
        <w:ind w:left="4320" w:hanging="360"/>
      </w:pPr>
      <w:rPr>
        <w:rFonts w:ascii="Wingdings" w:hAnsi="Wingdings" w:hint="default"/>
      </w:rPr>
    </w:lvl>
    <w:lvl w:ilvl="6" w:tplc="84A8A5E8" w:tentative="1">
      <w:start w:val="1"/>
      <w:numFmt w:val="bullet"/>
      <w:lvlText w:val=""/>
      <w:lvlJc w:val="left"/>
      <w:pPr>
        <w:ind w:left="5040" w:hanging="360"/>
      </w:pPr>
      <w:rPr>
        <w:rFonts w:ascii="Symbol" w:hAnsi="Symbol" w:hint="default"/>
      </w:rPr>
    </w:lvl>
    <w:lvl w:ilvl="7" w:tplc="3DD43E5E" w:tentative="1">
      <w:start w:val="1"/>
      <w:numFmt w:val="bullet"/>
      <w:lvlText w:val="o"/>
      <w:lvlJc w:val="left"/>
      <w:pPr>
        <w:ind w:left="5760" w:hanging="360"/>
      </w:pPr>
      <w:rPr>
        <w:rFonts w:ascii="Courier New" w:hAnsi="Courier New" w:cs="Courier New" w:hint="default"/>
      </w:rPr>
    </w:lvl>
    <w:lvl w:ilvl="8" w:tplc="12FA6BAA" w:tentative="1">
      <w:start w:val="1"/>
      <w:numFmt w:val="bullet"/>
      <w:lvlText w:val=""/>
      <w:lvlJc w:val="left"/>
      <w:pPr>
        <w:ind w:left="6480" w:hanging="360"/>
      </w:pPr>
      <w:rPr>
        <w:rFonts w:ascii="Wingdings" w:hAnsi="Wingdings" w:hint="default"/>
      </w:rPr>
    </w:lvl>
  </w:abstractNum>
  <w:abstractNum w:abstractNumId="130" w15:restartNumberingAfterBreak="0">
    <w:nsid w:val="3F711E55"/>
    <w:multiLevelType w:val="hybridMultilevel"/>
    <w:tmpl w:val="D680642E"/>
    <w:lvl w:ilvl="0" w:tplc="2A8A4594">
      <w:start w:val="38"/>
      <w:numFmt w:val="bullet"/>
      <w:lvlText w:val="-"/>
      <w:lvlJc w:val="left"/>
      <w:pPr>
        <w:tabs>
          <w:tab w:val="num" w:pos="567"/>
        </w:tabs>
        <w:ind w:left="567" w:hanging="567"/>
      </w:pPr>
      <w:rPr>
        <w:rFonts w:hint="default"/>
      </w:rPr>
    </w:lvl>
    <w:lvl w:ilvl="1" w:tplc="D0E80EA6" w:tentative="1">
      <w:start w:val="1"/>
      <w:numFmt w:val="bullet"/>
      <w:lvlText w:val="o"/>
      <w:lvlJc w:val="left"/>
      <w:pPr>
        <w:tabs>
          <w:tab w:val="num" w:pos="1440"/>
        </w:tabs>
        <w:ind w:left="1440" w:hanging="360"/>
      </w:pPr>
      <w:rPr>
        <w:rFonts w:ascii="Courier New" w:hAnsi="Courier New" w:hint="default"/>
      </w:rPr>
    </w:lvl>
    <w:lvl w:ilvl="2" w:tplc="6114BB6A" w:tentative="1">
      <w:start w:val="1"/>
      <w:numFmt w:val="bullet"/>
      <w:lvlText w:val=""/>
      <w:lvlJc w:val="left"/>
      <w:pPr>
        <w:tabs>
          <w:tab w:val="num" w:pos="2160"/>
        </w:tabs>
        <w:ind w:left="2160" w:hanging="360"/>
      </w:pPr>
      <w:rPr>
        <w:rFonts w:ascii="Wingdings" w:hAnsi="Wingdings" w:hint="default"/>
      </w:rPr>
    </w:lvl>
    <w:lvl w:ilvl="3" w:tplc="58DC7AB4" w:tentative="1">
      <w:start w:val="1"/>
      <w:numFmt w:val="bullet"/>
      <w:lvlText w:val=""/>
      <w:lvlJc w:val="left"/>
      <w:pPr>
        <w:tabs>
          <w:tab w:val="num" w:pos="2880"/>
        </w:tabs>
        <w:ind w:left="2880" w:hanging="360"/>
      </w:pPr>
      <w:rPr>
        <w:rFonts w:ascii="Symbol" w:hAnsi="Symbol" w:hint="default"/>
      </w:rPr>
    </w:lvl>
    <w:lvl w:ilvl="4" w:tplc="C33433C6" w:tentative="1">
      <w:start w:val="1"/>
      <w:numFmt w:val="bullet"/>
      <w:lvlText w:val="o"/>
      <w:lvlJc w:val="left"/>
      <w:pPr>
        <w:tabs>
          <w:tab w:val="num" w:pos="3600"/>
        </w:tabs>
        <w:ind w:left="3600" w:hanging="360"/>
      </w:pPr>
      <w:rPr>
        <w:rFonts w:ascii="Courier New" w:hAnsi="Courier New" w:hint="default"/>
      </w:rPr>
    </w:lvl>
    <w:lvl w:ilvl="5" w:tplc="8BACB27A" w:tentative="1">
      <w:start w:val="1"/>
      <w:numFmt w:val="bullet"/>
      <w:lvlText w:val=""/>
      <w:lvlJc w:val="left"/>
      <w:pPr>
        <w:tabs>
          <w:tab w:val="num" w:pos="4320"/>
        </w:tabs>
        <w:ind w:left="4320" w:hanging="360"/>
      </w:pPr>
      <w:rPr>
        <w:rFonts w:ascii="Wingdings" w:hAnsi="Wingdings" w:hint="default"/>
      </w:rPr>
    </w:lvl>
    <w:lvl w:ilvl="6" w:tplc="8D488FA0" w:tentative="1">
      <w:start w:val="1"/>
      <w:numFmt w:val="bullet"/>
      <w:lvlText w:val=""/>
      <w:lvlJc w:val="left"/>
      <w:pPr>
        <w:tabs>
          <w:tab w:val="num" w:pos="5040"/>
        </w:tabs>
        <w:ind w:left="5040" w:hanging="360"/>
      </w:pPr>
      <w:rPr>
        <w:rFonts w:ascii="Symbol" w:hAnsi="Symbol" w:hint="default"/>
      </w:rPr>
    </w:lvl>
    <w:lvl w:ilvl="7" w:tplc="622A5094" w:tentative="1">
      <w:start w:val="1"/>
      <w:numFmt w:val="bullet"/>
      <w:lvlText w:val="o"/>
      <w:lvlJc w:val="left"/>
      <w:pPr>
        <w:tabs>
          <w:tab w:val="num" w:pos="5760"/>
        </w:tabs>
        <w:ind w:left="5760" w:hanging="360"/>
      </w:pPr>
      <w:rPr>
        <w:rFonts w:ascii="Courier New" w:hAnsi="Courier New" w:hint="default"/>
      </w:rPr>
    </w:lvl>
    <w:lvl w:ilvl="8" w:tplc="D7649B98"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3FB30087"/>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32" w15:restartNumberingAfterBreak="0">
    <w:nsid w:val="408144C0"/>
    <w:multiLevelType w:val="hybridMultilevel"/>
    <w:tmpl w:val="649E9D3C"/>
    <w:lvl w:ilvl="0" w:tplc="29E6ACD8">
      <w:start w:val="1"/>
      <w:numFmt w:val="bullet"/>
      <w:lvlText w:val=""/>
      <w:lvlJc w:val="left"/>
      <w:pPr>
        <w:ind w:left="720" w:hanging="360"/>
      </w:pPr>
      <w:rPr>
        <w:rFonts w:ascii="Symbol" w:hAnsi="Symbol" w:hint="default"/>
      </w:rPr>
    </w:lvl>
    <w:lvl w:ilvl="1" w:tplc="67CA4F28" w:tentative="1">
      <w:start w:val="1"/>
      <w:numFmt w:val="bullet"/>
      <w:lvlText w:val="o"/>
      <w:lvlJc w:val="left"/>
      <w:pPr>
        <w:ind w:left="1440" w:hanging="360"/>
      </w:pPr>
      <w:rPr>
        <w:rFonts w:ascii="Courier New" w:hAnsi="Courier New" w:cs="Courier New" w:hint="default"/>
      </w:rPr>
    </w:lvl>
    <w:lvl w:ilvl="2" w:tplc="3DAA15A4" w:tentative="1">
      <w:start w:val="1"/>
      <w:numFmt w:val="bullet"/>
      <w:lvlText w:val=""/>
      <w:lvlJc w:val="left"/>
      <w:pPr>
        <w:ind w:left="2160" w:hanging="360"/>
      </w:pPr>
      <w:rPr>
        <w:rFonts w:ascii="Wingdings" w:hAnsi="Wingdings" w:hint="default"/>
      </w:rPr>
    </w:lvl>
    <w:lvl w:ilvl="3" w:tplc="7ACC5442" w:tentative="1">
      <w:start w:val="1"/>
      <w:numFmt w:val="bullet"/>
      <w:lvlText w:val=""/>
      <w:lvlJc w:val="left"/>
      <w:pPr>
        <w:ind w:left="2880" w:hanging="360"/>
      </w:pPr>
      <w:rPr>
        <w:rFonts w:ascii="Symbol" w:hAnsi="Symbol" w:hint="default"/>
      </w:rPr>
    </w:lvl>
    <w:lvl w:ilvl="4" w:tplc="E73C844E" w:tentative="1">
      <w:start w:val="1"/>
      <w:numFmt w:val="bullet"/>
      <w:lvlText w:val="o"/>
      <w:lvlJc w:val="left"/>
      <w:pPr>
        <w:ind w:left="3600" w:hanging="360"/>
      </w:pPr>
      <w:rPr>
        <w:rFonts w:ascii="Courier New" w:hAnsi="Courier New" w:cs="Courier New" w:hint="default"/>
      </w:rPr>
    </w:lvl>
    <w:lvl w:ilvl="5" w:tplc="394C667E" w:tentative="1">
      <w:start w:val="1"/>
      <w:numFmt w:val="bullet"/>
      <w:lvlText w:val=""/>
      <w:lvlJc w:val="left"/>
      <w:pPr>
        <w:ind w:left="4320" w:hanging="360"/>
      </w:pPr>
      <w:rPr>
        <w:rFonts w:ascii="Wingdings" w:hAnsi="Wingdings" w:hint="default"/>
      </w:rPr>
    </w:lvl>
    <w:lvl w:ilvl="6" w:tplc="62B064FA" w:tentative="1">
      <w:start w:val="1"/>
      <w:numFmt w:val="bullet"/>
      <w:lvlText w:val=""/>
      <w:lvlJc w:val="left"/>
      <w:pPr>
        <w:ind w:left="5040" w:hanging="360"/>
      </w:pPr>
      <w:rPr>
        <w:rFonts w:ascii="Symbol" w:hAnsi="Symbol" w:hint="default"/>
      </w:rPr>
    </w:lvl>
    <w:lvl w:ilvl="7" w:tplc="3C54E9B6" w:tentative="1">
      <w:start w:val="1"/>
      <w:numFmt w:val="bullet"/>
      <w:lvlText w:val="o"/>
      <w:lvlJc w:val="left"/>
      <w:pPr>
        <w:ind w:left="5760" w:hanging="360"/>
      </w:pPr>
      <w:rPr>
        <w:rFonts w:ascii="Courier New" w:hAnsi="Courier New" w:cs="Courier New" w:hint="default"/>
      </w:rPr>
    </w:lvl>
    <w:lvl w:ilvl="8" w:tplc="99ACDA36" w:tentative="1">
      <w:start w:val="1"/>
      <w:numFmt w:val="bullet"/>
      <w:lvlText w:val=""/>
      <w:lvlJc w:val="left"/>
      <w:pPr>
        <w:ind w:left="6480" w:hanging="360"/>
      </w:pPr>
      <w:rPr>
        <w:rFonts w:ascii="Wingdings" w:hAnsi="Wingdings" w:hint="default"/>
      </w:rPr>
    </w:lvl>
  </w:abstractNum>
  <w:abstractNum w:abstractNumId="133" w15:restartNumberingAfterBreak="0">
    <w:nsid w:val="40E54B09"/>
    <w:multiLevelType w:val="hybridMultilevel"/>
    <w:tmpl w:val="998CFE4E"/>
    <w:lvl w:ilvl="0" w:tplc="BE289700">
      <w:start w:val="1"/>
      <w:numFmt w:val="bullet"/>
      <w:pStyle w:val="EMEABullet2"/>
      <w:lvlText w:val=""/>
      <w:lvlJc w:val="left"/>
      <w:pPr>
        <w:tabs>
          <w:tab w:val="num" w:pos="690"/>
        </w:tabs>
        <w:ind w:left="690" w:hanging="360"/>
      </w:pPr>
      <w:rPr>
        <w:rFonts w:ascii="Symbol" w:hAnsi="Symbol" w:hint="default"/>
      </w:rPr>
    </w:lvl>
    <w:lvl w:ilvl="1" w:tplc="76D8A302">
      <w:start w:val="1"/>
      <w:numFmt w:val="bullet"/>
      <w:lvlText w:val=""/>
      <w:lvlJc w:val="left"/>
      <w:pPr>
        <w:tabs>
          <w:tab w:val="num" w:pos="1440"/>
        </w:tabs>
        <w:ind w:left="1440" w:hanging="360"/>
      </w:pPr>
      <w:rPr>
        <w:rFonts w:ascii="Symbol" w:hAnsi="Symbol" w:hint="default"/>
      </w:rPr>
    </w:lvl>
    <w:lvl w:ilvl="2" w:tplc="1A941096">
      <w:start w:val="1"/>
      <w:numFmt w:val="decimal"/>
      <w:lvlText w:val="%3."/>
      <w:lvlJc w:val="left"/>
      <w:pPr>
        <w:tabs>
          <w:tab w:val="num" w:pos="2160"/>
        </w:tabs>
        <w:ind w:left="2160" w:hanging="360"/>
      </w:pPr>
    </w:lvl>
    <w:lvl w:ilvl="3" w:tplc="B59811EC">
      <w:start w:val="1"/>
      <w:numFmt w:val="decimal"/>
      <w:lvlText w:val="%4."/>
      <w:lvlJc w:val="left"/>
      <w:pPr>
        <w:tabs>
          <w:tab w:val="num" w:pos="2880"/>
        </w:tabs>
        <w:ind w:left="2880" w:hanging="360"/>
      </w:pPr>
    </w:lvl>
    <w:lvl w:ilvl="4" w:tplc="E3BC226C">
      <w:start w:val="1"/>
      <w:numFmt w:val="decimal"/>
      <w:lvlText w:val="%5."/>
      <w:lvlJc w:val="left"/>
      <w:pPr>
        <w:tabs>
          <w:tab w:val="num" w:pos="3600"/>
        </w:tabs>
        <w:ind w:left="3600" w:hanging="360"/>
      </w:pPr>
    </w:lvl>
    <w:lvl w:ilvl="5" w:tplc="EB5E1DE4">
      <w:start w:val="1"/>
      <w:numFmt w:val="decimal"/>
      <w:lvlText w:val="%6."/>
      <w:lvlJc w:val="left"/>
      <w:pPr>
        <w:tabs>
          <w:tab w:val="num" w:pos="4320"/>
        </w:tabs>
        <w:ind w:left="4320" w:hanging="360"/>
      </w:pPr>
    </w:lvl>
    <w:lvl w:ilvl="6" w:tplc="15FEF9E2">
      <w:start w:val="1"/>
      <w:numFmt w:val="decimal"/>
      <w:lvlText w:val="%7."/>
      <w:lvlJc w:val="left"/>
      <w:pPr>
        <w:tabs>
          <w:tab w:val="num" w:pos="5040"/>
        </w:tabs>
        <w:ind w:left="5040" w:hanging="360"/>
      </w:pPr>
    </w:lvl>
    <w:lvl w:ilvl="7" w:tplc="02A266C4">
      <w:start w:val="1"/>
      <w:numFmt w:val="decimal"/>
      <w:lvlText w:val="%8."/>
      <w:lvlJc w:val="left"/>
      <w:pPr>
        <w:tabs>
          <w:tab w:val="num" w:pos="5760"/>
        </w:tabs>
        <w:ind w:left="5760" w:hanging="360"/>
      </w:pPr>
    </w:lvl>
    <w:lvl w:ilvl="8" w:tplc="FAEE3CAC">
      <w:start w:val="1"/>
      <w:numFmt w:val="decimal"/>
      <w:lvlText w:val="%9."/>
      <w:lvlJc w:val="left"/>
      <w:pPr>
        <w:tabs>
          <w:tab w:val="num" w:pos="6480"/>
        </w:tabs>
        <w:ind w:left="6480" w:hanging="360"/>
      </w:pPr>
    </w:lvl>
  </w:abstractNum>
  <w:abstractNum w:abstractNumId="134" w15:restartNumberingAfterBreak="0">
    <w:nsid w:val="41410A6A"/>
    <w:multiLevelType w:val="hybridMultilevel"/>
    <w:tmpl w:val="7EF291B4"/>
    <w:lvl w:ilvl="0" w:tplc="EE46A5CC">
      <w:start w:val="1"/>
      <w:numFmt w:val="bullet"/>
      <w:lvlText w:val="-"/>
      <w:lvlJc w:val="left"/>
      <w:pPr>
        <w:ind w:left="720" w:hanging="360"/>
      </w:pPr>
    </w:lvl>
    <w:lvl w:ilvl="1" w:tplc="16F4FA40" w:tentative="1">
      <w:start w:val="1"/>
      <w:numFmt w:val="bullet"/>
      <w:lvlText w:val="o"/>
      <w:lvlJc w:val="left"/>
      <w:pPr>
        <w:ind w:left="1440" w:hanging="360"/>
      </w:pPr>
      <w:rPr>
        <w:rFonts w:ascii="Courier New" w:hAnsi="Courier New" w:cs="Courier New" w:hint="default"/>
      </w:rPr>
    </w:lvl>
    <w:lvl w:ilvl="2" w:tplc="FABCC190" w:tentative="1">
      <w:start w:val="1"/>
      <w:numFmt w:val="bullet"/>
      <w:lvlText w:val=""/>
      <w:lvlJc w:val="left"/>
      <w:pPr>
        <w:ind w:left="2160" w:hanging="360"/>
      </w:pPr>
      <w:rPr>
        <w:rFonts w:ascii="Wingdings" w:hAnsi="Wingdings" w:hint="default"/>
      </w:rPr>
    </w:lvl>
    <w:lvl w:ilvl="3" w:tplc="4508B35E" w:tentative="1">
      <w:start w:val="1"/>
      <w:numFmt w:val="bullet"/>
      <w:lvlText w:val=""/>
      <w:lvlJc w:val="left"/>
      <w:pPr>
        <w:ind w:left="2880" w:hanging="360"/>
      </w:pPr>
      <w:rPr>
        <w:rFonts w:ascii="Symbol" w:hAnsi="Symbol" w:hint="default"/>
      </w:rPr>
    </w:lvl>
    <w:lvl w:ilvl="4" w:tplc="C4102B64" w:tentative="1">
      <w:start w:val="1"/>
      <w:numFmt w:val="bullet"/>
      <w:lvlText w:val="o"/>
      <w:lvlJc w:val="left"/>
      <w:pPr>
        <w:ind w:left="3600" w:hanging="360"/>
      </w:pPr>
      <w:rPr>
        <w:rFonts w:ascii="Courier New" w:hAnsi="Courier New" w:cs="Courier New" w:hint="default"/>
      </w:rPr>
    </w:lvl>
    <w:lvl w:ilvl="5" w:tplc="05CCDCC4" w:tentative="1">
      <w:start w:val="1"/>
      <w:numFmt w:val="bullet"/>
      <w:lvlText w:val=""/>
      <w:lvlJc w:val="left"/>
      <w:pPr>
        <w:ind w:left="4320" w:hanging="360"/>
      </w:pPr>
      <w:rPr>
        <w:rFonts w:ascii="Wingdings" w:hAnsi="Wingdings" w:hint="default"/>
      </w:rPr>
    </w:lvl>
    <w:lvl w:ilvl="6" w:tplc="CDC0C836" w:tentative="1">
      <w:start w:val="1"/>
      <w:numFmt w:val="bullet"/>
      <w:lvlText w:val=""/>
      <w:lvlJc w:val="left"/>
      <w:pPr>
        <w:ind w:left="5040" w:hanging="360"/>
      </w:pPr>
      <w:rPr>
        <w:rFonts w:ascii="Symbol" w:hAnsi="Symbol" w:hint="default"/>
      </w:rPr>
    </w:lvl>
    <w:lvl w:ilvl="7" w:tplc="3F9E0634" w:tentative="1">
      <w:start w:val="1"/>
      <w:numFmt w:val="bullet"/>
      <w:lvlText w:val="o"/>
      <w:lvlJc w:val="left"/>
      <w:pPr>
        <w:ind w:left="5760" w:hanging="360"/>
      </w:pPr>
      <w:rPr>
        <w:rFonts w:ascii="Courier New" w:hAnsi="Courier New" w:cs="Courier New" w:hint="default"/>
      </w:rPr>
    </w:lvl>
    <w:lvl w:ilvl="8" w:tplc="715A27B0" w:tentative="1">
      <w:start w:val="1"/>
      <w:numFmt w:val="bullet"/>
      <w:lvlText w:val=""/>
      <w:lvlJc w:val="left"/>
      <w:pPr>
        <w:ind w:left="6480" w:hanging="360"/>
      </w:pPr>
      <w:rPr>
        <w:rFonts w:ascii="Wingdings" w:hAnsi="Wingdings" w:hint="default"/>
      </w:rPr>
    </w:lvl>
  </w:abstractNum>
  <w:abstractNum w:abstractNumId="135" w15:restartNumberingAfterBreak="0">
    <w:nsid w:val="41BC16A8"/>
    <w:multiLevelType w:val="hybridMultilevel"/>
    <w:tmpl w:val="CFE28A00"/>
    <w:lvl w:ilvl="0" w:tplc="8BE676D8">
      <w:start w:val="1"/>
      <w:numFmt w:val="bullet"/>
      <w:lvlText w:val=""/>
      <w:lvlJc w:val="left"/>
      <w:pPr>
        <w:ind w:left="720" w:hanging="360"/>
      </w:pPr>
      <w:rPr>
        <w:rFonts w:ascii="Symbol" w:hAnsi="Symbol" w:hint="default"/>
      </w:rPr>
    </w:lvl>
    <w:lvl w:ilvl="1" w:tplc="ACBE81A2" w:tentative="1">
      <w:start w:val="1"/>
      <w:numFmt w:val="bullet"/>
      <w:lvlText w:val="o"/>
      <w:lvlJc w:val="left"/>
      <w:pPr>
        <w:ind w:left="1440" w:hanging="360"/>
      </w:pPr>
      <w:rPr>
        <w:rFonts w:ascii="Courier New" w:hAnsi="Courier New" w:cs="Courier New" w:hint="default"/>
      </w:rPr>
    </w:lvl>
    <w:lvl w:ilvl="2" w:tplc="9F6EACF8" w:tentative="1">
      <w:start w:val="1"/>
      <w:numFmt w:val="bullet"/>
      <w:lvlText w:val=""/>
      <w:lvlJc w:val="left"/>
      <w:pPr>
        <w:ind w:left="2160" w:hanging="360"/>
      </w:pPr>
      <w:rPr>
        <w:rFonts w:ascii="Wingdings" w:hAnsi="Wingdings" w:hint="default"/>
      </w:rPr>
    </w:lvl>
    <w:lvl w:ilvl="3" w:tplc="1BC81774" w:tentative="1">
      <w:start w:val="1"/>
      <w:numFmt w:val="bullet"/>
      <w:lvlText w:val=""/>
      <w:lvlJc w:val="left"/>
      <w:pPr>
        <w:ind w:left="2880" w:hanging="360"/>
      </w:pPr>
      <w:rPr>
        <w:rFonts w:ascii="Symbol" w:hAnsi="Symbol" w:hint="default"/>
      </w:rPr>
    </w:lvl>
    <w:lvl w:ilvl="4" w:tplc="25CA2A06" w:tentative="1">
      <w:start w:val="1"/>
      <w:numFmt w:val="bullet"/>
      <w:lvlText w:val="o"/>
      <w:lvlJc w:val="left"/>
      <w:pPr>
        <w:ind w:left="3600" w:hanging="360"/>
      </w:pPr>
      <w:rPr>
        <w:rFonts w:ascii="Courier New" w:hAnsi="Courier New" w:cs="Courier New" w:hint="default"/>
      </w:rPr>
    </w:lvl>
    <w:lvl w:ilvl="5" w:tplc="746E3BAA" w:tentative="1">
      <w:start w:val="1"/>
      <w:numFmt w:val="bullet"/>
      <w:lvlText w:val=""/>
      <w:lvlJc w:val="left"/>
      <w:pPr>
        <w:ind w:left="4320" w:hanging="360"/>
      </w:pPr>
      <w:rPr>
        <w:rFonts w:ascii="Wingdings" w:hAnsi="Wingdings" w:hint="default"/>
      </w:rPr>
    </w:lvl>
    <w:lvl w:ilvl="6" w:tplc="759668A8" w:tentative="1">
      <w:start w:val="1"/>
      <w:numFmt w:val="bullet"/>
      <w:lvlText w:val=""/>
      <w:lvlJc w:val="left"/>
      <w:pPr>
        <w:ind w:left="5040" w:hanging="360"/>
      </w:pPr>
      <w:rPr>
        <w:rFonts w:ascii="Symbol" w:hAnsi="Symbol" w:hint="default"/>
      </w:rPr>
    </w:lvl>
    <w:lvl w:ilvl="7" w:tplc="6C5A24F0" w:tentative="1">
      <w:start w:val="1"/>
      <w:numFmt w:val="bullet"/>
      <w:lvlText w:val="o"/>
      <w:lvlJc w:val="left"/>
      <w:pPr>
        <w:ind w:left="5760" w:hanging="360"/>
      </w:pPr>
      <w:rPr>
        <w:rFonts w:ascii="Courier New" w:hAnsi="Courier New" w:cs="Courier New" w:hint="default"/>
      </w:rPr>
    </w:lvl>
    <w:lvl w:ilvl="8" w:tplc="573AD64E" w:tentative="1">
      <w:start w:val="1"/>
      <w:numFmt w:val="bullet"/>
      <w:lvlText w:val=""/>
      <w:lvlJc w:val="left"/>
      <w:pPr>
        <w:ind w:left="6480" w:hanging="360"/>
      </w:pPr>
      <w:rPr>
        <w:rFonts w:ascii="Wingdings" w:hAnsi="Wingdings" w:hint="default"/>
      </w:rPr>
    </w:lvl>
  </w:abstractNum>
  <w:abstractNum w:abstractNumId="136" w15:restartNumberingAfterBreak="0">
    <w:nsid w:val="42410736"/>
    <w:multiLevelType w:val="hybridMultilevel"/>
    <w:tmpl w:val="19E48ED0"/>
    <w:lvl w:ilvl="0" w:tplc="14323454">
      <w:start w:val="1"/>
      <w:numFmt w:val="bullet"/>
      <w:lvlText w:val=""/>
      <w:lvlJc w:val="left"/>
      <w:pPr>
        <w:ind w:left="720" w:hanging="360"/>
      </w:pPr>
      <w:rPr>
        <w:rFonts w:ascii="Symbol" w:hAnsi="Symbol" w:hint="default"/>
        <w:sz w:val="22"/>
      </w:rPr>
    </w:lvl>
    <w:lvl w:ilvl="1" w:tplc="F82EA9CA" w:tentative="1">
      <w:start w:val="1"/>
      <w:numFmt w:val="bullet"/>
      <w:lvlText w:val="o"/>
      <w:lvlJc w:val="left"/>
      <w:pPr>
        <w:ind w:left="1440" w:hanging="360"/>
      </w:pPr>
      <w:rPr>
        <w:rFonts w:ascii="Courier New" w:hAnsi="Courier New" w:cs="Courier New" w:hint="default"/>
      </w:rPr>
    </w:lvl>
    <w:lvl w:ilvl="2" w:tplc="4F48E808" w:tentative="1">
      <w:start w:val="1"/>
      <w:numFmt w:val="bullet"/>
      <w:lvlText w:val=""/>
      <w:lvlJc w:val="left"/>
      <w:pPr>
        <w:ind w:left="2160" w:hanging="360"/>
      </w:pPr>
      <w:rPr>
        <w:rFonts w:ascii="Wingdings" w:hAnsi="Wingdings" w:hint="default"/>
      </w:rPr>
    </w:lvl>
    <w:lvl w:ilvl="3" w:tplc="2C8675A6" w:tentative="1">
      <w:start w:val="1"/>
      <w:numFmt w:val="bullet"/>
      <w:lvlText w:val=""/>
      <w:lvlJc w:val="left"/>
      <w:pPr>
        <w:ind w:left="2880" w:hanging="360"/>
      </w:pPr>
      <w:rPr>
        <w:rFonts w:ascii="Symbol" w:hAnsi="Symbol" w:hint="default"/>
      </w:rPr>
    </w:lvl>
    <w:lvl w:ilvl="4" w:tplc="C35ACD2C" w:tentative="1">
      <w:start w:val="1"/>
      <w:numFmt w:val="bullet"/>
      <w:lvlText w:val="o"/>
      <w:lvlJc w:val="left"/>
      <w:pPr>
        <w:ind w:left="3600" w:hanging="360"/>
      </w:pPr>
      <w:rPr>
        <w:rFonts w:ascii="Courier New" w:hAnsi="Courier New" w:cs="Courier New" w:hint="default"/>
      </w:rPr>
    </w:lvl>
    <w:lvl w:ilvl="5" w:tplc="BA0AAAF2" w:tentative="1">
      <w:start w:val="1"/>
      <w:numFmt w:val="bullet"/>
      <w:lvlText w:val=""/>
      <w:lvlJc w:val="left"/>
      <w:pPr>
        <w:ind w:left="4320" w:hanging="360"/>
      </w:pPr>
      <w:rPr>
        <w:rFonts w:ascii="Wingdings" w:hAnsi="Wingdings" w:hint="default"/>
      </w:rPr>
    </w:lvl>
    <w:lvl w:ilvl="6" w:tplc="85BCDCD0" w:tentative="1">
      <w:start w:val="1"/>
      <w:numFmt w:val="bullet"/>
      <w:lvlText w:val=""/>
      <w:lvlJc w:val="left"/>
      <w:pPr>
        <w:ind w:left="5040" w:hanging="360"/>
      </w:pPr>
      <w:rPr>
        <w:rFonts w:ascii="Symbol" w:hAnsi="Symbol" w:hint="default"/>
      </w:rPr>
    </w:lvl>
    <w:lvl w:ilvl="7" w:tplc="D8D89156" w:tentative="1">
      <w:start w:val="1"/>
      <w:numFmt w:val="bullet"/>
      <w:lvlText w:val="o"/>
      <w:lvlJc w:val="left"/>
      <w:pPr>
        <w:ind w:left="5760" w:hanging="360"/>
      </w:pPr>
      <w:rPr>
        <w:rFonts w:ascii="Courier New" w:hAnsi="Courier New" w:cs="Courier New" w:hint="default"/>
      </w:rPr>
    </w:lvl>
    <w:lvl w:ilvl="8" w:tplc="3154F138" w:tentative="1">
      <w:start w:val="1"/>
      <w:numFmt w:val="bullet"/>
      <w:lvlText w:val=""/>
      <w:lvlJc w:val="left"/>
      <w:pPr>
        <w:ind w:left="6480" w:hanging="360"/>
      </w:pPr>
      <w:rPr>
        <w:rFonts w:ascii="Wingdings" w:hAnsi="Wingdings" w:hint="default"/>
      </w:rPr>
    </w:lvl>
  </w:abstractNum>
  <w:abstractNum w:abstractNumId="137" w15:restartNumberingAfterBreak="0">
    <w:nsid w:val="425C08F9"/>
    <w:multiLevelType w:val="hybridMultilevel"/>
    <w:tmpl w:val="BC7EDAD4"/>
    <w:lvl w:ilvl="0" w:tplc="6EFC2A6E">
      <w:start w:val="1"/>
      <w:numFmt w:val="bullet"/>
      <w:lvlText w:val=""/>
      <w:lvlJc w:val="left"/>
      <w:pPr>
        <w:ind w:left="720" w:hanging="360"/>
      </w:pPr>
      <w:rPr>
        <w:rFonts w:ascii="Symbol" w:hAnsi="Symbol" w:hint="default"/>
      </w:rPr>
    </w:lvl>
    <w:lvl w:ilvl="1" w:tplc="2996D0AA" w:tentative="1">
      <w:start w:val="1"/>
      <w:numFmt w:val="bullet"/>
      <w:lvlText w:val="o"/>
      <w:lvlJc w:val="left"/>
      <w:pPr>
        <w:ind w:left="1440" w:hanging="360"/>
      </w:pPr>
      <w:rPr>
        <w:rFonts w:ascii="Courier New" w:hAnsi="Courier New" w:cs="Courier New" w:hint="default"/>
      </w:rPr>
    </w:lvl>
    <w:lvl w:ilvl="2" w:tplc="82383D80" w:tentative="1">
      <w:start w:val="1"/>
      <w:numFmt w:val="bullet"/>
      <w:lvlText w:val=""/>
      <w:lvlJc w:val="left"/>
      <w:pPr>
        <w:ind w:left="2160" w:hanging="360"/>
      </w:pPr>
      <w:rPr>
        <w:rFonts w:ascii="Wingdings" w:hAnsi="Wingdings" w:hint="default"/>
      </w:rPr>
    </w:lvl>
    <w:lvl w:ilvl="3" w:tplc="C8B2DD30" w:tentative="1">
      <w:start w:val="1"/>
      <w:numFmt w:val="bullet"/>
      <w:lvlText w:val=""/>
      <w:lvlJc w:val="left"/>
      <w:pPr>
        <w:ind w:left="2880" w:hanging="360"/>
      </w:pPr>
      <w:rPr>
        <w:rFonts w:ascii="Symbol" w:hAnsi="Symbol" w:hint="default"/>
      </w:rPr>
    </w:lvl>
    <w:lvl w:ilvl="4" w:tplc="0CFEB80A" w:tentative="1">
      <w:start w:val="1"/>
      <w:numFmt w:val="bullet"/>
      <w:lvlText w:val="o"/>
      <w:lvlJc w:val="left"/>
      <w:pPr>
        <w:ind w:left="3600" w:hanging="360"/>
      </w:pPr>
      <w:rPr>
        <w:rFonts w:ascii="Courier New" w:hAnsi="Courier New" w:cs="Courier New" w:hint="default"/>
      </w:rPr>
    </w:lvl>
    <w:lvl w:ilvl="5" w:tplc="F32EE00E" w:tentative="1">
      <w:start w:val="1"/>
      <w:numFmt w:val="bullet"/>
      <w:lvlText w:val=""/>
      <w:lvlJc w:val="left"/>
      <w:pPr>
        <w:ind w:left="4320" w:hanging="360"/>
      </w:pPr>
      <w:rPr>
        <w:rFonts w:ascii="Wingdings" w:hAnsi="Wingdings" w:hint="default"/>
      </w:rPr>
    </w:lvl>
    <w:lvl w:ilvl="6" w:tplc="3D0410AC" w:tentative="1">
      <w:start w:val="1"/>
      <w:numFmt w:val="bullet"/>
      <w:lvlText w:val=""/>
      <w:lvlJc w:val="left"/>
      <w:pPr>
        <w:ind w:left="5040" w:hanging="360"/>
      </w:pPr>
      <w:rPr>
        <w:rFonts w:ascii="Symbol" w:hAnsi="Symbol" w:hint="default"/>
      </w:rPr>
    </w:lvl>
    <w:lvl w:ilvl="7" w:tplc="D460131E" w:tentative="1">
      <w:start w:val="1"/>
      <w:numFmt w:val="bullet"/>
      <w:lvlText w:val="o"/>
      <w:lvlJc w:val="left"/>
      <w:pPr>
        <w:ind w:left="5760" w:hanging="360"/>
      </w:pPr>
      <w:rPr>
        <w:rFonts w:ascii="Courier New" w:hAnsi="Courier New" w:cs="Courier New" w:hint="default"/>
      </w:rPr>
    </w:lvl>
    <w:lvl w:ilvl="8" w:tplc="E9B2F062" w:tentative="1">
      <w:start w:val="1"/>
      <w:numFmt w:val="bullet"/>
      <w:lvlText w:val=""/>
      <w:lvlJc w:val="left"/>
      <w:pPr>
        <w:ind w:left="6480" w:hanging="360"/>
      </w:pPr>
      <w:rPr>
        <w:rFonts w:ascii="Wingdings" w:hAnsi="Wingdings" w:hint="default"/>
      </w:rPr>
    </w:lvl>
  </w:abstractNum>
  <w:abstractNum w:abstractNumId="138" w15:restartNumberingAfterBreak="0">
    <w:nsid w:val="425D334C"/>
    <w:multiLevelType w:val="hybridMultilevel"/>
    <w:tmpl w:val="2C8EA9C6"/>
    <w:lvl w:ilvl="0" w:tplc="89EA62C6">
      <w:start w:val="1"/>
      <w:numFmt w:val="bullet"/>
      <w:lvlText w:val=""/>
      <w:lvlJc w:val="left"/>
      <w:pPr>
        <w:ind w:left="720" w:hanging="360"/>
      </w:pPr>
      <w:rPr>
        <w:rFonts w:ascii="Symbol" w:hAnsi="Symbol" w:hint="default"/>
        <w:sz w:val="22"/>
      </w:rPr>
    </w:lvl>
    <w:lvl w:ilvl="1" w:tplc="C3A4DCF6" w:tentative="1">
      <w:start w:val="1"/>
      <w:numFmt w:val="bullet"/>
      <w:lvlText w:val="o"/>
      <w:lvlJc w:val="left"/>
      <w:pPr>
        <w:ind w:left="1440" w:hanging="360"/>
      </w:pPr>
      <w:rPr>
        <w:rFonts w:ascii="Courier New" w:hAnsi="Courier New" w:cs="Courier New" w:hint="default"/>
      </w:rPr>
    </w:lvl>
    <w:lvl w:ilvl="2" w:tplc="7EB68CAC" w:tentative="1">
      <w:start w:val="1"/>
      <w:numFmt w:val="bullet"/>
      <w:lvlText w:val=""/>
      <w:lvlJc w:val="left"/>
      <w:pPr>
        <w:ind w:left="2160" w:hanging="360"/>
      </w:pPr>
      <w:rPr>
        <w:rFonts w:ascii="Wingdings" w:hAnsi="Wingdings" w:hint="default"/>
      </w:rPr>
    </w:lvl>
    <w:lvl w:ilvl="3" w:tplc="3A9C02B6" w:tentative="1">
      <w:start w:val="1"/>
      <w:numFmt w:val="bullet"/>
      <w:lvlText w:val=""/>
      <w:lvlJc w:val="left"/>
      <w:pPr>
        <w:ind w:left="2880" w:hanging="360"/>
      </w:pPr>
      <w:rPr>
        <w:rFonts w:ascii="Symbol" w:hAnsi="Symbol" w:hint="default"/>
      </w:rPr>
    </w:lvl>
    <w:lvl w:ilvl="4" w:tplc="68308270" w:tentative="1">
      <w:start w:val="1"/>
      <w:numFmt w:val="bullet"/>
      <w:lvlText w:val="o"/>
      <w:lvlJc w:val="left"/>
      <w:pPr>
        <w:ind w:left="3600" w:hanging="360"/>
      </w:pPr>
      <w:rPr>
        <w:rFonts w:ascii="Courier New" w:hAnsi="Courier New" w:cs="Courier New" w:hint="default"/>
      </w:rPr>
    </w:lvl>
    <w:lvl w:ilvl="5" w:tplc="918AE788" w:tentative="1">
      <w:start w:val="1"/>
      <w:numFmt w:val="bullet"/>
      <w:lvlText w:val=""/>
      <w:lvlJc w:val="left"/>
      <w:pPr>
        <w:ind w:left="4320" w:hanging="360"/>
      </w:pPr>
      <w:rPr>
        <w:rFonts w:ascii="Wingdings" w:hAnsi="Wingdings" w:hint="default"/>
      </w:rPr>
    </w:lvl>
    <w:lvl w:ilvl="6" w:tplc="E6642B92" w:tentative="1">
      <w:start w:val="1"/>
      <w:numFmt w:val="bullet"/>
      <w:lvlText w:val=""/>
      <w:lvlJc w:val="left"/>
      <w:pPr>
        <w:ind w:left="5040" w:hanging="360"/>
      </w:pPr>
      <w:rPr>
        <w:rFonts w:ascii="Symbol" w:hAnsi="Symbol" w:hint="default"/>
      </w:rPr>
    </w:lvl>
    <w:lvl w:ilvl="7" w:tplc="F78EC5FA" w:tentative="1">
      <w:start w:val="1"/>
      <w:numFmt w:val="bullet"/>
      <w:lvlText w:val="o"/>
      <w:lvlJc w:val="left"/>
      <w:pPr>
        <w:ind w:left="5760" w:hanging="360"/>
      </w:pPr>
      <w:rPr>
        <w:rFonts w:ascii="Courier New" w:hAnsi="Courier New" w:cs="Courier New" w:hint="default"/>
      </w:rPr>
    </w:lvl>
    <w:lvl w:ilvl="8" w:tplc="981CF372" w:tentative="1">
      <w:start w:val="1"/>
      <w:numFmt w:val="bullet"/>
      <w:lvlText w:val=""/>
      <w:lvlJc w:val="left"/>
      <w:pPr>
        <w:ind w:left="6480" w:hanging="360"/>
      </w:pPr>
      <w:rPr>
        <w:rFonts w:ascii="Wingdings" w:hAnsi="Wingdings" w:hint="default"/>
      </w:rPr>
    </w:lvl>
  </w:abstractNum>
  <w:abstractNum w:abstractNumId="139" w15:restartNumberingAfterBreak="0">
    <w:nsid w:val="42A03F1C"/>
    <w:multiLevelType w:val="hybridMultilevel"/>
    <w:tmpl w:val="A606DC20"/>
    <w:lvl w:ilvl="0" w:tplc="448049A4">
      <w:start w:val="1"/>
      <w:numFmt w:val="decimal"/>
      <w:lvlText w:val="%1."/>
      <w:lvlJc w:val="left"/>
      <w:pPr>
        <w:ind w:left="720" w:hanging="360"/>
      </w:pPr>
    </w:lvl>
    <w:lvl w:ilvl="1" w:tplc="90EC5ABE" w:tentative="1">
      <w:start w:val="1"/>
      <w:numFmt w:val="lowerLetter"/>
      <w:lvlText w:val="%2."/>
      <w:lvlJc w:val="left"/>
      <w:pPr>
        <w:ind w:left="1440" w:hanging="360"/>
      </w:pPr>
    </w:lvl>
    <w:lvl w:ilvl="2" w:tplc="C8969C9C" w:tentative="1">
      <w:start w:val="1"/>
      <w:numFmt w:val="lowerRoman"/>
      <w:lvlText w:val="%3."/>
      <w:lvlJc w:val="right"/>
      <w:pPr>
        <w:ind w:left="2160" w:hanging="180"/>
      </w:pPr>
    </w:lvl>
    <w:lvl w:ilvl="3" w:tplc="BDA625B4" w:tentative="1">
      <w:start w:val="1"/>
      <w:numFmt w:val="decimal"/>
      <w:lvlText w:val="%4."/>
      <w:lvlJc w:val="left"/>
      <w:pPr>
        <w:ind w:left="2880" w:hanging="360"/>
      </w:pPr>
    </w:lvl>
    <w:lvl w:ilvl="4" w:tplc="C57CC38E" w:tentative="1">
      <w:start w:val="1"/>
      <w:numFmt w:val="lowerLetter"/>
      <w:lvlText w:val="%5."/>
      <w:lvlJc w:val="left"/>
      <w:pPr>
        <w:ind w:left="3600" w:hanging="360"/>
      </w:pPr>
    </w:lvl>
    <w:lvl w:ilvl="5" w:tplc="A7109288" w:tentative="1">
      <w:start w:val="1"/>
      <w:numFmt w:val="lowerRoman"/>
      <w:lvlText w:val="%6."/>
      <w:lvlJc w:val="right"/>
      <w:pPr>
        <w:ind w:left="4320" w:hanging="180"/>
      </w:pPr>
    </w:lvl>
    <w:lvl w:ilvl="6" w:tplc="F920C224" w:tentative="1">
      <w:start w:val="1"/>
      <w:numFmt w:val="decimal"/>
      <w:lvlText w:val="%7."/>
      <w:lvlJc w:val="left"/>
      <w:pPr>
        <w:ind w:left="5040" w:hanging="360"/>
      </w:pPr>
    </w:lvl>
    <w:lvl w:ilvl="7" w:tplc="9BB88F24" w:tentative="1">
      <w:start w:val="1"/>
      <w:numFmt w:val="lowerLetter"/>
      <w:lvlText w:val="%8."/>
      <w:lvlJc w:val="left"/>
      <w:pPr>
        <w:ind w:left="5760" w:hanging="360"/>
      </w:pPr>
    </w:lvl>
    <w:lvl w:ilvl="8" w:tplc="DFF680EA" w:tentative="1">
      <w:start w:val="1"/>
      <w:numFmt w:val="lowerRoman"/>
      <w:lvlText w:val="%9."/>
      <w:lvlJc w:val="right"/>
      <w:pPr>
        <w:ind w:left="6480" w:hanging="180"/>
      </w:pPr>
    </w:lvl>
  </w:abstractNum>
  <w:abstractNum w:abstractNumId="140" w15:restartNumberingAfterBreak="0">
    <w:nsid w:val="42DC2865"/>
    <w:multiLevelType w:val="hybridMultilevel"/>
    <w:tmpl w:val="A0A8D2B0"/>
    <w:lvl w:ilvl="0" w:tplc="DEBC80DA">
      <w:start w:val="1"/>
      <w:numFmt w:val="decimal"/>
      <w:lvlText w:val="%1."/>
      <w:lvlJc w:val="left"/>
      <w:pPr>
        <w:ind w:left="930" w:hanging="570"/>
      </w:pPr>
      <w:rPr>
        <w:rFonts w:hint="default"/>
      </w:rPr>
    </w:lvl>
    <w:lvl w:ilvl="1" w:tplc="ABD6AD0E" w:tentative="1">
      <w:start w:val="1"/>
      <w:numFmt w:val="lowerLetter"/>
      <w:lvlText w:val="%2."/>
      <w:lvlJc w:val="left"/>
      <w:pPr>
        <w:ind w:left="1440" w:hanging="360"/>
      </w:pPr>
    </w:lvl>
    <w:lvl w:ilvl="2" w:tplc="667C17CA" w:tentative="1">
      <w:start w:val="1"/>
      <w:numFmt w:val="lowerRoman"/>
      <w:lvlText w:val="%3."/>
      <w:lvlJc w:val="right"/>
      <w:pPr>
        <w:ind w:left="2160" w:hanging="180"/>
      </w:pPr>
    </w:lvl>
    <w:lvl w:ilvl="3" w:tplc="F2A2F2E2" w:tentative="1">
      <w:start w:val="1"/>
      <w:numFmt w:val="decimal"/>
      <w:lvlText w:val="%4."/>
      <w:lvlJc w:val="left"/>
      <w:pPr>
        <w:ind w:left="2880" w:hanging="360"/>
      </w:pPr>
    </w:lvl>
    <w:lvl w:ilvl="4" w:tplc="80EA1382" w:tentative="1">
      <w:start w:val="1"/>
      <w:numFmt w:val="lowerLetter"/>
      <w:lvlText w:val="%5."/>
      <w:lvlJc w:val="left"/>
      <w:pPr>
        <w:ind w:left="3600" w:hanging="360"/>
      </w:pPr>
    </w:lvl>
    <w:lvl w:ilvl="5" w:tplc="D3261792" w:tentative="1">
      <w:start w:val="1"/>
      <w:numFmt w:val="lowerRoman"/>
      <w:lvlText w:val="%6."/>
      <w:lvlJc w:val="right"/>
      <w:pPr>
        <w:ind w:left="4320" w:hanging="180"/>
      </w:pPr>
    </w:lvl>
    <w:lvl w:ilvl="6" w:tplc="7D3E4B96" w:tentative="1">
      <w:start w:val="1"/>
      <w:numFmt w:val="decimal"/>
      <w:lvlText w:val="%7."/>
      <w:lvlJc w:val="left"/>
      <w:pPr>
        <w:ind w:left="5040" w:hanging="360"/>
      </w:pPr>
    </w:lvl>
    <w:lvl w:ilvl="7" w:tplc="476A2746" w:tentative="1">
      <w:start w:val="1"/>
      <w:numFmt w:val="lowerLetter"/>
      <w:lvlText w:val="%8."/>
      <w:lvlJc w:val="left"/>
      <w:pPr>
        <w:ind w:left="5760" w:hanging="360"/>
      </w:pPr>
    </w:lvl>
    <w:lvl w:ilvl="8" w:tplc="F5B83CB0" w:tentative="1">
      <w:start w:val="1"/>
      <w:numFmt w:val="lowerRoman"/>
      <w:lvlText w:val="%9."/>
      <w:lvlJc w:val="right"/>
      <w:pPr>
        <w:ind w:left="6480" w:hanging="180"/>
      </w:pPr>
    </w:lvl>
  </w:abstractNum>
  <w:abstractNum w:abstractNumId="141" w15:restartNumberingAfterBreak="0">
    <w:nsid w:val="430D0E95"/>
    <w:multiLevelType w:val="multilevel"/>
    <w:tmpl w:val="A3383FCE"/>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42" w15:restartNumberingAfterBreak="0">
    <w:nsid w:val="43AE2F73"/>
    <w:multiLevelType w:val="hybridMultilevel"/>
    <w:tmpl w:val="2228D93C"/>
    <w:lvl w:ilvl="0" w:tplc="454AB388">
      <w:start w:val="1"/>
      <w:numFmt w:val="bullet"/>
      <w:lvlText w:val=""/>
      <w:lvlJc w:val="left"/>
      <w:pPr>
        <w:ind w:left="720" w:hanging="360"/>
      </w:pPr>
      <w:rPr>
        <w:rFonts w:ascii="Symbol" w:hAnsi="Symbol" w:hint="default"/>
      </w:rPr>
    </w:lvl>
    <w:lvl w:ilvl="1" w:tplc="DDDE3036" w:tentative="1">
      <w:start w:val="1"/>
      <w:numFmt w:val="bullet"/>
      <w:lvlText w:val="o"/>
      <w:lvlJc w:val="left"/>
      <w:pPr>
        <w:ind w:left="1440" w:hanging="360"/>
      </w:pPr>
      <w:rPr>
        <w:rFonts w:ascii="Courier New" w:hAnsi="Courier New" w:cs="Courier New" w:hint="default"/>
      </w:rPr>
    </w:lvl>
    <w:lvl w:ilvl="2" w:tplc="D8A272C2" w:tentative="1">
      <w:start w:val="1"/>
      <w:numFmt w:val="bullet"/>
      <w:lvlText w:val=""/>
      <w:lvlJc w:val="left"/>
      <w:pPr>
        <w:ind w:left="2160" w:hanging="360"/>
      </w:pPr>
      <w:rPr>
        <w:rFonts w:ascii="Wingdings" w:hAnsi="Wingdings" w:hint="default"/>
      </w:rPr>
    </w:lvl>
    <w:lvl w:ilvl="3" w:tplc="10DAF77E" w:tentative="1">
      <w:start w:val="1"/>
      <w:numFmt w:val="bullet"/>
      <w:lvlText w:val=""/>
      <w:lvlJc w:val="left"/>
      <w:pPr>
        <w:ind w:left="2880" w:hanging="360"/>
      </w:pPr>
      <w:rPr>
        <w:rFonts w:ascii="Symbol" w:hAnsi="Symbol" w:hint="default"/>
      </w:rPr>
    </w:lvl>
    <w:lvl w:ilvl="4" w:tplc="41FA7D5E" w:tentative="1">
      <w:start w:val="1"/>
      <w:numFmt w:val="bullet"/>
      <w:lvlText w:val="o"/>
      <w:lvlJc w:val="left"/>
      <w:pPr>
        <w:ind w:left="3600" w:hanging="360"/>
      </w:pPr>
      <w:rPr>
        <w:rFonts w:ascii="Courier New" w:hAnsi="Courier New" w:cs="Courier New" w:hint="default"/>
      </w:rPr>
    </w:lvl>
    <w:lvl w:ilvl="5" w:tplc="F4A4F482" w:tentative="1">
      <w:start w:val="1"/>
      <w:numFmt w:val="bullet"/>
      <w:lvlText w:val=""/>
      <w:lvlJc w:val="left"/>
      <w:pPr>
        <w:ind w:left="4320" w:hanging="360"/>
      </w:pPr>
      <w:rPr>
        <w:rFonts w:ascii="Wingdings" w:hAnsi="Wingdings" w:hint="default"/>
      </w:rPr>
    </w:lvl>
    <w:lvl w:ilvl="6" w:tplc="D9F2BA9E" w:tentative="1">
      <w:start w:val="1"/>
      <w:numFmt w:val="bullet"/>
      <w:lvlText w:val=""/>
      <w:lvlJc w:val="left"/>
      <w:pPr>
        <w:ind w:left="5040" w:hanging="360"/>
      </w:pPr>
      <w:rPr>
        <w:rFonts w:ascii="Symbol" w:hAnsi="Symbol" w:hint="default"/>
      </w:rPr>
    </w:lvl>
    <w:lvl w:ilvl="7" w:tplc="BC3CC40C" w:tentative="1">
      <w:start w:val="1"/>
      <w:numFmt w:val="bullet"/>
      <w:lvlText w:val="o"/>
      <w:lvlJc w:val="left"/>
      <w:pPr>
        <w:ind w:left="5760" w:hanging="360"/>
      </w:pPr>
      <w:rPr>
        <w:rFonts w:ascii="Courier New" w:hAnsi="Courier New" w:cs="Courier New" w:hint="default"/>
      </w:rPr>
    </w:lvl>
    <w:lvl w:ilvl="8" w:tplc="A3407250" w:tentative="1">
      <w:start w:val="1"/>
      <w:numFmt w:val="bullet"/>
      <w:lvlText w:val=""/>
      <w:lvlJc w:val="left"/>
      <w:pPr>
        <w:ind w:left="6480" w:hanging="360"/>
      </w:pPr>
      <w:rPr>
        <w:rFonts w:ascii="Wingdings" w:hAnsi="Wingdings" w:hint="default"/>
      </w:rPr>
    </w:lvl>
  </w:abstractNum>
  <w:abstractNum w:abstractNumId="143" w15:restartNumberingAfterBreak="0">
    <w:nsid w:val="43F24B90"/>
    <w:multiLevelType w:val="hybridMultilevel"/>
    <w:tmpl w:val="1A5A50CA"/>
    <w:lvl w:ilvl="0" w:tplc="83D60A1A">
      <w:start w:val="1"/>
      <w:numFmt w:val="bullet"/>
      <w:lvlText w:val=""/>
      <w:lvlJc w:val="left"/>
      <w:pPr>
        <w:tabs>
          <w:tab w:val="num" w:pos="720"/>
        </w:tabs>
        <w:ind w:left="720" w:hanging="360"/>
      </w:pPr>
      <w:rPr>
        <w:rFonts w:ascii="Symbol" w:hAnsi="Symbol" w:hint="default"/>
      </w:rPr>
    </w:lvl>
    <w:lvl w:ilvl="1" w:tplc="F5C2B3FE" w:tentative="1">
      <w:start w:val="1"/>
      <w:numFmt w:val="bullet"/>
      <w:lvlText w:val="o"/>
      <w:lvlJc w:val="left"/>
      <w:pPr>
        <w:tabs>
          <w:tab w:val="num" w:pos="1440"/>
        </w:tabs>
        <w:ind w:left="1440" w:hanging="360"/>
      </w:pPr>
      <w:rPr>
        <w:rFonts w:ascii="Courier New" w:hAnsi="Courier New" w:hint="default"/>
      </w:rPr>
    </w:lvl>
    <w:lvl w:ilvl="2" w:tplc="CE74E556" w:tentative="1">
      <w:start w:val="1"/>
      <w:numFmt w:val="bullet"/>
      <w:lvlText w:val=""/>
      <w:lvlJc w:val="left"/>
      <w:pPr>
        <w:tabs>
          <w:tab w:val="num" w:pos="2160"/>
        </w:tabs>
        <w:ind w:left="2160" w:hanging="360"/>
      </w:pPr>
      <w:rPr>
        <w:rFonts w:ascii="Wingdings" w:hAnsi="Wingdings" w:hint="default"/>
      </w:rPr>
    </w:lvl>
    <w:lvl w:ilvl="3" w:tplc="C06A2608" w:tentative="1">
      <w:start w:val="1"/>
      <w:numFmt w:val="bullet"/>
      <w:lvlText w:val=""/>
      <w:lvlJc w:val="left"/>
      <w:pPr>
        <w:tabs>
          <w:tab w:val="num" w:pos="2880"/>
        </w:tabs>
        <w:ind w:left="2880" w:hanging="360"/>
      </w:pPr>
      <w:rPr>
        <w:rFonts w:ascii="Symbol" w:hAnsi="Symbol" w:hint="default"/>
      </w:rPr>
    </w:lvl>
    <w:lvl w:ilvl="4" w:tplc="42D8B39E" w:tentative="1">
      <w:start w:val="1"/>
      <w:numFmt w:val="bullet"/>
      <w:lvlText w:val="o"/>
      <w:lvlJc w:val="left"/>
      <w:pPr>
        <w:tabs>
          <w:tab w:val="num" w:pos="3600"/>
        </w:tabs>
        <w:ind w:left="3600" w:hanging="360"/>
      </w:pPr>
      <w:rPr>
        <w:rFonts w:ascii="Courier New" w:hAnsi="Courier New" w:hint="default"/>
      </w:rPr>
    </w:lvl>
    <w:lvl w:ilvl="5" w:tplc="4C0AB188" w:tentative="1">
      <w:start w:val="1"/>
      <w:numFmt w:val="bullet"/>
      <w:lvlText w:val=""/>
      <w:lvlJc w:val="left"/>
      <w:pPr>
        <w:tabs>
          <w:tab w:val="num" w:pos="4320"/>
        </w:tabs>
        <w:ind w:left="4320" w:hanging="360"/>
      </w:pPr>
      <w:rPr>
        <w:rFonts w:ascii="Wingdings" w:hAnsi="Wingdings" w:hint="default"/>
      </w:rPr>
    </w:lvl>
    <w:lvl w:ilvl="6" w:tplc="59FA53AE" w:tentative="1">
      <w:start w:val="1"/>
      <w:numFmt w:val="bullet"/>
      <w:lvlText w:val=""/>
      <w:lvlJc w:val="left"/>
      <w:pPr>
        <w:tabs>
          <w:tab w:val="num" w:pos="5040"/>
        </w:tabs>
        <w:ind w:left="5040" w:hanging="360"/>
      </w:pPr>
      <w:rPr>
        <w:rFonts w:ascii="Symbol" w:hAnsi="Symbol" w:hint="default"/>
      </w:rPr>
    </w:lvl>
    <w:lvl w:ilvl="7" w:tplc="9D0A107E" w:tentative="1">
      <w:start w:val="1"/>
      <w:numFmt w:val="bullet"/>
      <w:lvlText w:val="o"/>
      <w:lvlJc w:val="left"/>
      <w:pPr>
        <w:tabs>
          <w:tab w:val="num" w:pos="5760"/>
        </w:tabs>
        <w:ind w:left="5760" w:hanging="360"/>
      </w:pPr>
      <w:rPr>
        <w:rFonts w:ascii="Courier New" w:hAnsi="Courier New" w:hint="default"/>
      </w:rPr>
    </w:lvl>
    <w:lvl w:ilvl="8" w:tplc="EDA8FDE8"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44302E4E"/>
    <w:multiLevelType w:val="multilevel"/>
    <w:tmpl w:val="68A881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5" w15:restartNumberingAfterBreak="0">
    <w:nsid w:val="44744D88"/>
    <w:multiLevelType w:val="hybridMultilevel"/>
    <w:tmpl w:val="9BD6D404"/>
    <w:lvl w:ilvl="0" w:tplc="6B40F8C2">
      <w:start w:val="1"/>
      <w:numFmt w:val="bullet"/>
      <w:lvlText w:val=""/>
      <w:lvlJc w:val="left"/>
      <w:pPr>
        <w:tabs>
          <w:tab w:val="num" w:pos="720"/>
        </w:tabs>
        <w:ind w:left="720" w:hanging="360"/>
      </w:pPr>
      <w:rPr>
        <w:rFonts w:ascii="Wingdings" w:hAnsi="Wingdings" w:hint="default"/>
      </w:rPr>
    </w:lvl>
    <w:lvl w:ilvl="1" w:tplc="D4A8B52E" w:tentative="1">
      <w:start w:val="1"/>
      <w:numFmt w:val="bullet"/>
      <w:lvlText w:val="o"/>
      <w:lvlJc w:val="left"/>
      <w:pPr>
        <w:tabs>
          <w:tab w:val="num" w:pos="1440"/>
        </w:tabs>
        <w:ind w:left="1440" w:hanging="360"/>
      </w:pPr>
      <w:rPr>
        <w:rFonts w:ascii="Courier New" w:hAnsi="Courier New" w:hint="default"/>
      </w:rPr>
    </w:lvl>
    <w:lvl w:ilvl="2" w:tplc="206055EA" w:tentative="1">
      <w:start w:val="1"/>
      <w:numFmt w:val="bullet"/>
      <w:lvlText w:val=""/>
      <w:lvlJc w:val="left"/>
      <w:pPr>
        <w:tabs>
          <w:tab w:val="num" w:pos="2160"/>
        </w:tabs>
        <w:ind w:left="2160" w:hanging="360"/>
      </w:pPr>
      <w:rPr>
        <w:rFonts w:ascii="Wingdings" w:hAnsi="Wingdings" w:hint="default"/>
      </w:rPr>
    </w:lvl>
    <w:lvl w:ilvl="3" w:tplc="8826A57E" w:tentative="1">
      <w:start w:val="1"/>
      <w:numFmt w:val="bullet"/>
      <w:lvlText w:val=""/>
      <w:lvlJc w:val="left"/>
      <w:pPr>
        <w:tabs>
          <w:tab w:val="num" w:pos="2880"/>
        </w:tabs>
        <w:ind w:left="2880" w:hanging="360"/>
      </w:pPr>
      <w:rPr>
        <w:rFonts w:ascii="Symbol" w:hAnsi="Symbol" w:hint="default"/>
      </w:rPr>
    </w:lvl>
    <w:lvl w:ilvl="4" w:tplc="746E4296" w:tentative="1">
      <w:start w:val="1"/>
      <w:numFmt w:val="bullet"/>
      <w:lvlText w:val="o"/>
      <w:lvlJc w:val="left"/>
      <w:pPr>
        <w:tabs>
          <w:tab w:val="num" w:pos="3600"/>
        </w:tabs>
        <w:ind w:left="3600" w:hanging="360"/>
      </w:pPr>
      <w:rPr>
        <w:rFonts w:ascii="Courier New" w:hAnsi="Courier New" w:hint="default"/>
      </w:rPr>
    </w:lvl>
    <w:lvl w:ilvl="5" w:tplc="D2686F5A" w:tentative="1">
      <w:start w:val="1"/>
      <w:numFmt w:val="bullet"/>
      <w:lvlText w:val=""/>
      <w:lvlJc w:val="left"/>
      <w:pPr>
        <w:tabs>
          <w:tab w:val="num" w:pos="4320"/>
        </w:tabs>
        <w:ind w:left="4320" w:hanging="360"/>
      </w:pPr>
      <w:rPr>
        <w:rFonts w:ascii="Wingdings" w:hAnsi="Wingdings" w:hint="default"/>
      </w:rPr>
    </w:lvl>
    <w:lvl w:ilvl="6" w:tplc="43662CBE" w:tentative="1">
      <w:start w:val="1"/>
      <w:numFmt w:val="bullet"/>
      <w:lvlText w:val=""/>
      <w:lvlJc w:val="left"/>
      <w:pPr>
        <w:tabs>
          <w:tab w:val="num" w:pos="5040"/>
        </w:tabs>
        <w:ind w:left="5040" w:hanging="360"/>
      </w:pPr>
      <w:rPr>
        <w:rFonts w:ascii="Symbol" w:hAnsi="Symbol" w:hint="default"/>
      </w:rPr>
    </w:lvl>
    <w:lvl w:ilvl="7" w:tplc="E9CAA682" w:tentative="1">
      <w:start w:val="1"/>
      <w:numFmt w:val="bullet"/>
      <w:lvlText w:val="o"/>
      <w:lvlJc w:val="left"/>
      <w:pPr>
        <w:tabs>
          <w:tab w:val="num" w:pos="5760"/>
        </w:tabs>
        <w:ind w:left="5760" w:hanging="360"/>
      </w:pPr>
      <w:rPr>
        <w:rFonts w:ascii="Courier New" w:hAnsi="Courier New" w:hint="default"/>
      </w:rPr>
    </w:lvl>
    <w:lvl w:ilvl="8" w:tplc="39FA7C52"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45006142"/>
    <w:multiLevelType w:val="hybridMultilevel"/>
    <w:tmpl w:val="EDE29AE6"/>
    <w:lvl w:ilvl="0" w:tplc="3D706F54">
      <w:start w:val="1"/>
      <w:numFmt w:val="bullet"/>
      <w:lvlText w:val=""/>
      <w:lvlJc w:val="left"/>
      <w:pPr>
        <w:tabs>
          <w:tab w:val="num" w:pos="720"/>
        </w:tabs>
        <w:ind w:left="720" w:hanging="360"/>
      </w:pPr>
      <w:rPr>
        <w:rFonts w:ascii="Symbol" w:hAnsi="Symbol" w:hint="default"/>
      </w:rPr>
    </w:lvl>
    <w:lvl w:ilvl="1" w:tplc="6DFE1BA4" w:tentative="1">
      <w:start w:val="1"/>
      <w:numFmt w:val="bullet"/>
      <w:lvlText w:val="o"/>
      <w:lvlJc w:val="left"/>
      <w:pPr>
        <w:tabs>
          <w:tab w:val="num" w:pos="1440"/>
        </w:tabs>
        <w:ind w:left="1440" w:hanging="360"/>
      </w:pPr>
      <w:rPr>
        <w:rFonts w:ascii="Courier New" w:hAnsi="Courier New" w:hint="default"/>
      </w:rPr>
    </w:lvl>
    <w:lvl w:ilvl="2" w:tplc="EAECE724" w:tentative="1">
      <w:start w:val="1"/>
      <w:numFmt w:val="bullet"/>
      <w:lvlText w:val=""/>
      <w:lvlJc w:val="left"/>
      <w:pPr>
        <w:tabs>
          <w:tab w:val="num" w:pos="2160"/>
        </w:tabs>
        <w:ind w:left="2160" w:hanging="360"/>
      </w:pPr>
      <w:rPr>
        <w:rFonts w:ascii="Wingdings" w:hAnsi="Wingdings" w:hint="default"/>
      </w:rPr>
    </w:lvl>
    <w:lvl w:ilvl="3" w:tplc="D1727A98" w:tentative="1">
      <w:start w:val="1"/>
      <w:numFmt w:val="bullet"/>
      <w:lvlText w:val=""/>
      <w:lvlJc w:val="left"/>
      <w:pPr>
        <w:tabs>
          <w:tab w:val="num" w:pos="2880"/>
        </w:tabs>
        <w:ind w:left="2880" w:hanging="360"/>
      </w:pPr>
      <w:rPr>
        <w:rFonts w:ascii="Symbol" w:hAnsi="Symbol" w:hint="default"/>
      </w:rPr>
    </w:lvl>
    <w:lvl w:ilvl="4" w:tplc="B9C89D42" w:tentative="1">
      <w:start w:val="1"/>
      <w:numFmt w:val="bullet"/>
      <w:lvlText w:val="o"/>
      <w:lvlJc w:val="left"/>
      <w:pPr>
        <w:tabs>
          <w:tab w:val="num" w:pos="3600"/>
        </w:tabs>
        <w:ind w:left="3600" w:hanging="360"/>
      </w:pPr>
      <w:rPr>
        <w:rFonts w:ascii="Courier New" w:hAnsi="Courier New" w:hint="default"/>
      </w:rPr>
    </w:lvl>
    <w:lvl w:ilvl="5" w:tplc="60ECA566" w:tentative="1">
      <w:start w:val="1"/>
      <w:numFmt w:val="bullet"/>
      <w:lvlText w:val=""/>
      <w:lvlJc w:val="left"/>
      <w:pPr>
        <w:tabs>
          <w:tab w:val="num" w:pos="4320"/>
        </w:tabs>
        <w:ind w:left="4320" w:hanging="360"/>
      </w:pPr>
      <w:rPr>
        <w:rFonts w:ascii="Wingdings" w:hAnsi="Wingdings" w:hint="default"/>
      </w:rPr>
    </w:lvl>
    <w:lvl w:ilvl="6" w:tplc="B4BC080E" w:tentative="1">
      <w:start w:val="1"/>
      <w:numFmt w:val="bullet"/>
      <w:lvlText w:val=""/>
      <w:lvlJc w:val="left"/>
      <w:pPr>
        <w:tabs>
          <w:tab w:val="num" w:pos="5040"/>
        </w:tabs>
        <w:ind w:left="5040" w:hanging="360"/>
      </w:pPr>
      <w:rPr>
        <w:rFonts w:ascii="Symbol" w:hAnsi="Symbol" w:hint="default"/>
      </w:rPr>
    </w:lvl>
    <w:lvl w:ilvl="7" w:tplc="5B8C7BD0" w:tentative="1">
      <w:start w:val="1"/>
      <w:numFmt w:val="bullet"/>
      <w:lvlText w:val="o"/>
      <w:lvlJc w:val="left"/>
      <w:pPr>
        <w:tabs>
          <w:tab w:val="num" w:pos="5760"/>
        </w:tabs>
        <w:ind w:left="5760" w:hanging="360"/>
      </w:pPr>
      <w:rPr>
        <w:rFonts w:ascii="Courier New" w:hAnsi="Courier New" w:hint="default"/>
      </w:rPr>
    </w:lvl>
    <w:lvl w:ilvl="8" w:tplc="78EEE546"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5505BBA"/>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48" w15:restartNumberingAfterBreak="0">
    <w:nsid w:val="4570209C"/>
    <w:multiLevelType w:val="hybridMultilevel"/>
    <w:tmpl w:val="86BC7430"/>
    <w:lvl w:ilvl="0" w:tplc="8E3CFFDC">
      <w:start w:val="1"/>
      <w:numFmt w:val="bullet"/>
      <w:lvlText w:val=""/>
      <w:lvlJc w:val="left"/>
      <w:pPr>
        <w:tabs>
          <w:tab w:val="num" w:pos="720"/>
        </w:tabs>
        <w:ind w:left="720" w:hanging="360"/>
      </w:pPr>
      <w:rPr>
        <w:rFonts w:ascii="Symbol" w:hAnsi="Symbol" w:hint="default"/>
      </w:rPr>
    </w:lvl>
    <w:lvl w:ilvl="1" w:tplc="646C20B2">
      <w:start w:val="1"/>
      <w:numFmt w:val="bullet"/>
      <w:lvlText w:val="o"/>
      <w:lvlJc w:val="left"/>
      <w:pPr>
        <w:tabs>
          <w:tab w:val="num" w:pos="1440"/>
        </w:tabs>
        <w:ind w:left="1440" w:hanging="360"/>
      </w:pPr>
      <w:rPr>
        <w:rFonts w:ascii="Courier New" w:hAnsi="Courier New" w:hint="default"/>
      </w:rPr>
    </w:lvl>
    <w:lvl w:ilvl="2" w:tplc="D40E95A2" w:tentative="1">
      <w:start w:val="1"/>
      <w:numFmt w:val="bullet"/>
      <w:lvlText w:val=""/>
      <w:lvlJc w:val="left"/>
      <w:pPr>
        <w:tabs>
          <w:tab w:val="num" w:pos="2160"/>
        </w:tabs>
        <w:ind w:left="2160" w:hanging="360"/>
      </w:pPr>
      <w:rPr>
        <w:rFonts w:ascii="Wingdings" w:hAnsi="Wingdings" w:hint="default"/>
      </w:rPr>
    </w:lvl>
    <w:lvl w:ilvl="3" w:tplc="D8641A48" w:tentative="1">
      <w:start w:val="1"/>
      <w:numFmt w:val="bullet"/>
      <w:lvlText w:val=""/>
      <w:lvlJc w:val="left"/>
      <w:pPr>
        <w:tabs>
          <w:tab w:val="num" w:pos="2880"/>
        </w:tabs>
        <w:ind w:left="2880" w:hanging="360"/>
      </w:pPr>
      <w:rPr>
        <w:rFonts w:ascii="Symbol" w:hAnsi="Symbol" w:hint="default"/>
      </w:rPr>
    </w:lvl>
    <w:lvl w:ilvl="4" w:tplc="C1044DB6" w:tentative="1">
      <w:start w:val="1"/>
      <w:numFmt w:val="bullet"/>
      <w:lvlText w:val="o"/>
      <w:lvlJc w:val="left"/>
      <w:pPr>
        <w:tabs>
          <w:tab w:val="num" w:pos="3600"/>
        </w:tabs>
        <w:ind w:left="3600" w:hanging="360"/>
      </w:pPr>
      <w:rPr>
        <w:rFonts w:ascii="Courier New" w:hAnsi="Courier New" w:hint="default"/>
      </w:rPr>
    </w:lvl>
    <w:lvl w:ilvl="5" w:tplc="A87E9B20" w:tentative="1">
      <w:start w:val="1"/>
      <w:numFmt w:val="bullet"/>
      <w:lvlText w:val=""/>
      <w:lvlJc w:val="left"/>
      <w:pPr>
        <w:tabs>
          <w:tab w:val="num" w:pos="4320"/>
        </w:tabs>
        <w:ind w:left="4320" w:hanging="360"/>
      </w:pPr>
      <w:rPr>
        <w:rFonts w:ascii="Wingdings" w:hAnsi="Wingdings" w:hint="default"/>
      </w:rPr>
    </w:lvl>
    <w:lvl w:ilvl="6" w:tplc="9476021C" w:tentative="1">
      <w:start w:val="1"/>
      <w:numFmt w:val="bullet"/>
      <w:lvlText w:val=""/>
      <w:lvlJc w:val="left"/>
      <w:pPr>
        <w:tabs>
          <w:tab w:val="num" w:pos="5040"/>
        </w:tabs>
        <w:ind w:left="5040" w:hanging="360"/>
      </w:pPr>
      <w:rPr>
        <w:rFonts w:ascii="Symbol" w:hAnsi="Symbol" w:hint="default"/>
      </w:rPr>
    </w:lvl>
    <w:lvl w:ilvl="7" w:tplc="5A22438E" w:tentative="1">
      <w:start w:val="1"/>
      <w:numFmt w:val="bullet"/>
      <w:lvlText w:val="o"/>
      <w:lvlJc w:val="left"/>
      <w:pPr>
        <w:tabs>
          <w:tab w:val="num" w:pos="5760"/>
        </w:tabs>
        <w:ind w:left="5760" w:hanging="360"/>
      </w:pPr>
      <w:rPr>
        <w:rFonts w:ascii="Courier New" w:hAnsi="Courier New" w:hint="default"/>
      </w:rPr>
    </w:lvl>
    <w:lvl w:ilvl="8" w:tplc="FA0890D8"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46282785"/>
    <w:multiLevelType w:val="hybridMultilevel"/>
    <w:tmpl w:val="C4A0B562"/>
    <w:lvl w:ilvl="0" w:tplc="8BF0DD5E">
      <w:start w:val="1"/>
      <w:numFmt w:val="bullet"/>
      <w:lvlText w:val=""/>
      <w:lvlJc w:val="left"/>
      <w:pPr>
        <w:ind w:left="927" w:hanging="360"/>
      </w:pPr>
      <w:rPr>
        <w:rFonts w:ascii="Symbol" w:hAnsi="Symbol" w:hint="default"/>
      </w:rPr>
    </w:lvl>
    <w:lvl w:ilvl="1" w:tplc="01E63802" w:tentative="1">
      <w:start w:val="1"/>
      <w:numFmt w:val="bullet"/>
      <w:lvlText w:val="o"/>
      <w:lvlJc w:val="left"/>
      <w:pPr>
        <w:ind w:left="1647" w:hanging="360"/>
      </w:pPr>
      <w:rPr>
        <w:rFonts w:ascii="Courier New" w:hAnsi="Courier New" w:cs="Courier New" w:hint="default"/>
      </w:rPr>
    </w:lvl>
    <w:lvl w:ilvl="2" w:tplc="FB823E4A" w:tentative="1">
      <w:start w:val="1"/>
      <w:numFmt w:val="bullet"/>
      <w:lvlText w:val=""/>
      <w:lvlJc w:val="left"/>
      <w:pPr>
        <w:ind w:left="2367" w:hanging="360"/>
      </w:pPr>
      <w:rPr>
        <w:rFonts w:ascii="Wingdings" w:hAnsi="Wingdings" w:hint="default"/>
      </w:rPr>
    </w:lvl>
    <w:lvl w:ilvl="3" w:tplc="25E2D314" w:tentative="1">
      <w:start w:val="1"/>
      <w:numFmt w:val="bullet"/>
      <w:lvlText w:val=""/>
      <w:lvlJc w:val="left"/>
      <w:pPr>
        <w:ind w:left="3087" w:hanging="360"/>
      </w:pPr>
      <w:rPr>
        <w:rFonts w:ascii="Symbol" w:hAnsi="Symbol" w:hint="default"/>
      </w:rPr>
    </w:lvl>
    <w:lvl w:ilvl="4" w:tplc="685870A2" w:tentative="1">
      <w:start w:val="1"/>
      <w:numFmt w:val="bullet"/>
      <w:lvlText w:val="o"/>
      <w:lvlJc w:val="left"/>
      <w:pPr>
        <w:ind w:left="3807" w:hanging="360"/>
      </w:pPr>
      <w:rPr>
        <w:rFonts w:ascii="Courier New" w:hAnsi="Courier New" w:cs="Courier New" w:hint="default"/>
      </w:rPr>
    </w:lvl>
    <w:lvl w:ilvl="5" w:tplc="6338CDD0" w:tentative="1">
      <w:start w:val="1"/>
      <w:numFmt w:val="bullet"/>
      <w:lvlText w:val=""/>
      <w:lvlJc w:val="left"/>
      <w:pPr>
        <w:ind w:left="4527" w:hanging="360"/>
      </w:pPr>
      <w:rPr>
        <w:rFonts w:ascii="Wingdings" w:hAnsi="Wingdings" w:hint="default"/>
      </w:rPr>
    </w:lvl>
    <w:lvl w:ilvl="6" w:tplc="4D122690" w:tentative="1">
      <w:start w:val="1"/>
      <w:numFmt w:val="bullet"/>
      <w:lvlText w:val=""/>
      <w:lvlJc w:val="left"/>
      <w:pPr>
        <w:ind w:left="5247" w:hanging="360"/>
      </w:pPr>
      <w:rPr>
        <w:rFonts w:ascii="Symbol" w:hAnsi="Symbol" w:hint="default"/>
      </w:rPr>
    </w:lvl>
    <w:lvl w:ilvl="7" w:tplc="B24244A2" w:tentative="1">
      <w:start w:val="1"/>
      <w:numFmt w:val="bullet"/>
      <w:lvlText w:val="o"/>
      <w:lvlJc w:val="left"/>
      <w:pPr>
        <w:ind w:left="5967" w:hanging="360"/>
      </w:pPr>
      <w:rPr>
        <w:rFonts w:ascii="Courier New" w:hAnsi="Courier New" w:cs="Courier New" w:hint="default"/>
      </w:rPr>
    </w:lvl>
    <w:lvl w:ilvl="8" w:tplc="612ADD12" w:tentative="1">
      <w:start w:val="1"/>
      <w:numFmt w:val="bullet"/>
      <w:lvlText w:val=""/>
      <w:lvlJc w:val="left"/>
      <w:pPr>
        <w:ind w:left="6687" w:hanging="360"/>
      </w:pPr>
      <w:rPr>
        <w:rFonts w:ascii="Wingdings" w:hAnsi="Wingdings" w:hint="default"/>
      </w:rPr>
    </w:lvl>
  </w:abstractNum>
  <w:abstractNum w:abstractNumId="150" w15:restartNumberingAfterBreak="0">
    <w:nsid w:val="474E38E5"/>
    <w:multiLevelType w:val="hybridMultilevel"/>
    <w:tmpl w:val="2BBAD4C4"/>
    <w:lvl w:ilvl="0" w:tplc="01628298">
      <w:start w:val="1"/>
      <w:numFmt w:val="bullet"/>
      <w:lvlText w:val=""/>
      <w:lvlJc w:val="left"/>
      <w:pPr>
        <w:tabs>
          <w:tab w:val="num" w:pos="720"/>
        </w:tabs>
        <w:ind w:left="720" w:hanging="360"/>
      </w:pPr>
      <w:rPr>
        <w:rFonts w:ascii="Symbol" w:hAnsi="Symbol" w:hint="default"/>
      </w:rPr>
    </w:lvl>
    <w:lvl w:ilvl="1" w:tplc="9B106228">
      <w:start w:val="1"/>
      <w:numFmt w:val="bullet"/>
      <w:lvlText w:val=""/>
      <w:lvlJc w:val="left"/>
      <w:pPr>
        <w:tabs>
          <w:tab w:val="num" w:pos="1440"/>
        </w:tabs>
        <w:ind w:left="1440" w:hanging="360"/>
      </w:pPr>
      <w:rPr>
        <w:rFonts w:ascii="Symbol" w:hAnsi="Symbol" w:hint="default"/>
      </w:rPr>
    </w:lvl>
    <w:lvl w:ilvl="2" w:tplc="03CC096E">
      <w:numFmt w:val="bullet"/>
      <w:lvlText w:val="•"/>
      <w:lvlJc w:val="left"/>
      <w:pPr>
        <w:ind w:left="2370" w:hanging="570"/>
      </w:pPr>
      <w:rPr>
        <w:rFonts w:ascii="Times New Roman" w:eastAsia="Times New Roman" w:hAnsi="Times New Roman" w:cs="Times New Roman" w:hint="default"/>
      </w:rPr>
    </w:lvl>
    <w:lvl w:ilvl="3" w:tplc="3B56B266" w:tentative="1">
      <w:start w:val="1"/>
      <w:numFmt w:val="bullet"/>
      <w:lvlText w:val=""/>
      <w:lvlJc w:val="left"/>
      <w:pPr>
        <w:tabs>
          <w:tab w:val="num" w:pos="2880"/>
        </w:tabs>
        <w:ind w:left="2880" w:hanging="360"/>
      </w:pPr>
      <w:rPr>
        <w:rFonts w:ascii="Symbol" w:hAnsi="Symbol" w:hint="default"/>
      </w:rPr>
    </w:lvl>
    <w:lvl w:ilvl="4" w:tplc="A8625F86" w:tentative="1">
      <w:start w:val="1"/>
      <w:numFmt w:val="bullet"/>
      <w:lvlText w:val="o"/>
      <w:lvlJc w:val="left"/>
      <w:pPr>
        <w:tabs>
          <w:tab w:val="num" w:pos="3600"/>
        </w:tabs>
        <w:ind w:left="3600" w:hanging="360"/>
      </w:pPr>
      <w:rPr>
        <w:rFonts w:ascii="Courier New" w:hAnsi="Courier New" w:hint="default"/>
      </w:rPr>
    </w:lvl>
    <w:lvl w:ilvl="5" w:tplc="ECECC3CA" w:tentative="1">
      <w:start w:val="1"/>
      <w:numFmt w:val="bullet"/>
      <w:lvlText w:val=""/>
      <w:lvlJc w:val="left"/>
      <w:pPr>
        <w:tabs>
          <w:tab w:val="num" w:pos="4320"/>
        </w:tabs>
        <w:ind w:left="4320" w:hanging="360"/>
      </w:pPr>
      <w:rPr>
        <w:rFonts w:ascii="Wingdings" w:hAnsi="Wingdings" w:hint="default"/>
      </w:rPr>
    </w:lvl>
    <w:lvl w:ilvl="6" w:tplc="9A5E9656" w:tentative="1">
      <w:start w:val="1"/>
      <w:numFmt w:val="bullet"/>
      <w:lvlText w:val=""/>
      <w:lvlJc w:val="left"/>
      <w:pPr>
        <w:tabs>
          <w:tab w:val="num" w:pos="5040"/>
        </w:tabs>
        <w:ind w:left="5040" w:hanging="360"/>
      </w:pPr>
      <w:rPr>
        <w:rFonts w:ascii="Symbol" w:hAnsi="Symbol" w:hint="default"/>
      </w:rPr>
    </w:lvl>
    <w:lvl w:ilvl="7" w:tplc="F71C6EF0" w:tentative="1">
      <w:start w:val="1"/>
      <w:numFmt w:val="bullet"/>
      <w:lvlText w:val="o"/>
      <w:lvlJc w:val="left"/>
      <w:pPr>
        <w:tabs>
          <w:tab w:val="num" w:pos="5760"/>
        </w:tabs>
        <w:ind w:left="5760" w:hanging="360"/>
      </w:pPr>
      <w:rPr>
        <w:rFonts w:ascii="Courier New" w:hAnsi="Courier New" w:hint="default"/>
      </w:rPr>
    </w:lvl>
    <w:lvl w:ilvl="8" w:tplc="691CBF54"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47524F62"/>
    <w:multiLevelType w:val="hybridMultilevel"/>
    <w:tmpl w:val="2BEA27DE"/>
    <w:lvl w:ilvl="0" w:tplc="EA50948C">
      <w:start w:val="1"/>
      <w:numFmt w:val="bullet"/>
      <w:lvlText w:val=""/>
      <w:lvlJc w:val="left"/>
      <w:pPr>
        <w:ind w:left="720" w:hanging="360"/>
      </w:pPr>
      <w:rPr>
        <w:rFonts w:ascii="Symbol" w:hAnsi="Symbol" w:hint="default"/>
        <w:b w:val="0"/>
        <w:i w:val="0"/>
        <w:sz w:val="20"/>
      </w:rPr>
    </w:lvl>
    <w:lvl w:ilvl="1" w:tplc="3E8039C6" w:tentative="1">
      <w:start w:val="1"/>
      <w:numFmt w:val="bullet"/>
      <w:lvlText w:val="o"/>
      <w:lvlJc w:val="left"/>
      <w:pPr>
        <w:ind w:left="1440" w:hanging="360"/>
      </w:pPr>
      <w:rPr>
        <w:rFonts w:ascii="Courier New" w:hAnsi="Courier New" w:cs="Courier New" w:hint="default"/>
      </w:rPr>
    </w:lvl>
    <w:lvl w:ilvl="2" w:tplc="AD1EC7E0" w:tentative="1">
      <w:start w:val="1"/>
      <w:numFmt w:val="bullet"/>
      <w:lvlText w:val=""/>
      <w:lvlJc w:val="left"/>
      <w:pPr>
        <w:ind w:left="2160" w:hanging="360"/>
      </w:pPr>
      <w:rPr>
        <w:rFonts w:ascii="Wingdings" w:hAnsi="Wingdings" w:hint="default"/>
      </w:rPr>
    </w:lvl>
    <w:lvl w:ilvl="3" w:tplc="593813BE" w:tentative="1">
      <w:start w:val="1"/>
      <w:numFmt w:val="bullet"/>
      <w:lvlText w:val=""/>
      <w:lvlJc w:val="left"/>
      <w:pPr>
        <w:ind w:left="2880" w:hanging="360"/>
      </w:pPr>
      <w:rPr>
        <w:rFonts w:ascii="Symbol" w:hAnsi="Symbol" w:hint="default"/>
      </w:rPr>
    </w:lvl>
    <w:lvl w:ilvl="4" w:tplc="C8A84E66" w:tentative="1">
      <w:start w:val="1"/>
      <w:numFmt w:val="bullet"/>
      <w:lvlText w:val="o"/>
      <w:lvlJc w:val="left"/>
      <w:pPr>
        <w:ind w:left="3600" w:hanging="360"/>
      </w:pPr>
      <w:rPr>
        <w:rFonts w:ascii="Courier New" w:hAnsi="Courier New" w:cs="Courier New" w:hint="default"/>
      </w:rPr>
    </w:lvl>
    <w:lvl w:ilvl="5" w:tplc="17487C4A" w:tentative="1">
      <w:start w:val="1"/>
      <w:numFmt w:val="bullet"/>
      <w:lvlText w:val=""/>
      <w:lvlJc w:val="left"/>
      <w:pPr>
        <w:ind w:left="4320" w:hanging="360"/>
      </w:pPr>
      <w:rPr>
        <w:rFonts w:ascii="Wingdings" w:hAnsi="Wingdings" w:hint="default"/>
      </w:rPr>
    </w:lvl>
    <w:lvl w:ilvl="6" w:tplc="BC5C849C" w:tentative="1">
      <w:start w:val="1"/>
      <w:numFmt w:val="bullet"/>
      <w:lvlText w:val=""/>
      <w:lvlJc w:val="left"/>
      <w:pPr>
        <w:ind w:left="5040" w:hanging="360"/>
      </w:pPr>
      <w:rPr>
        <w:rFonts w:ascii="Symbol" w:hAnsi="Symbol" w:hint="default"/>
      </w:rPr>
    </w:lvl>
    <w:lvl w:ilvl="7" w:tplc="BE08CDE6" w:tentative="1">
      <w:start w:val="1"/>
      <w:numFmt w:val="bullet"/>
      <w:lvlText w:val="o"/>
      <w:lvlJc w:val="left"/>
      <w:pPr>
        <w:ind w:left="5760" w:hanging="360"/>
      </w:pPr>
      <w:rPr>
        <w:rFonts w:ascii="Courier New" w:hAnsi="Courier New" w:cs="Courier New" w:hint="default"/>
      </w:rPr>
    </w:lvl>
    <w:lvl w:ilvl="8" w:tplc="714AC310" w:tentative="1">
      <w:start w:val="1"/>
      <w:numFmt w:val="bullet"/>
      <w:lvlText w:val=""/>
      <w:lvlJc w:val="left"/>
      <w:pPr>
        <w:ind w:left="6480" w:hanging="360"/>
      </w:pPr>
      <w:rPr>
        <w:rFonts w:ascii="Wingdings" w:hAnsi="Wingdings" w:hint="default"/>
      </w:rPr>
    </w:lvl>
  </w:abstractNum>
  <w:abstractNum w:abstractNumId="152" w15:restartNumberingAfterBreak="0">
    <w:nsid w:val="47C4009E"/>
    <w:multiLevelType w:val="hybridMultilevel"/>
    <w:tmpl w:val="CDE20CF2"/>
    <w:lvl w:ilvl="0" w:tplc="492ED320">
      <w:start w:val="1"/>
      <w:numFmt w:val="bullet"/>
      <w:lvlText w:val=""/>
      <w:lvlJc w:val="left"/>
      <w:pPr>
        <w:tabs>
          <w:tab w:val="num" w:pos="720"/>
        </w:tabs>
        <w:ind w:left="720" w:hanging="360"/>
      </w:pPr>
      <w:rPr>
        <w:rFonts w:ascii="Symbol" w:hAnsi="Symbol" w:hint="default"/>
      </w:rPr>
    </w:lvl>
    <w:lvl w:ilvl="1" w:tplc="FB8CE914" w:tentative="1">
      <w:start w:val="1"/>
      <w:numFmt w:val="bullet"/>
      <w:lvlText w:val="o"/>
      <w:lvlJc w:val="left"/>
      <w:pPr>
        <w:tabs>
          <w:tab w:val="num" w:pos="1440"/>
        </w:tabs>
        <w:ind w:left="1440" w:hanging="360"/>
      </w:pPr>
      <w:rPr>
        <w:rFonts w:ascii="Courier New" w:hAnsi="Courier New" w:hint="default"/>
      </w:rPr>
    </w:lvl>
    <w:lvl w:ilvl="2" w:tplc="60C4B078" w:tentative="1">
      <w:start w:val="1"/>
      <w:numFmt w:val="bullet"/>
      <w:lvlText w:val=""/>
      <w:lvlJc w:val="left"/>
      <w:pPr>
        <w:tabs>
          <w:tab w:val="num" w:pos="2160"/>
        </w:tabs>
        <w:ind w:left="2160" w:hanging="360"/>
      </w:pPr>
      <w:rPr>
        <w:rFonts w:ascii="Wingdings" w:hAnsi="Wingdings" w:hint="default"/>
      </w:rPr>
    </w:lvl>
    <w:lvl w:ilvl="3" w:tplc="6D3E3C36" w:tentative="1">
      <w:start w:val="1"/>
      <w:numFmt w:val="bullet"/>
      <w:lvlText w:val=""/>
      <w:lvlJc w:val="left"/>
      <w:pPr>
        <w:tabs>
          <w:tab w:val="num" w:pos="2880"/>
        </w:tabs>
        <w:ind w:left="2880" w:hanging="360"/>
      </w:pPr>
      <w:rPr>
        <w:rFonts w:ascii="Symbol" w:hAnsi="Symbol" w:hint="default"/>
      </w:rPr>
    </w:lvl>
    <w:lvl w:ilvl="4" w:tplc="469AFAEE" w:tentative="1">
      <w:start w:val="1"/>
      <w:numFmt w:val="bullet"/>
      <w:lvlText w:val="o"/>
      <w:lvlJc w:val="left"/>
      <w:pPr>
        <w:tabs>
          <w:tab w:val="num" w:pos="3600"/>
        </w:tabs>
        <w:ind w:left="3600" w:hanging="360"/>
      </w:pPr>
      <w:rPr>
        <w:rFonts w:ascii="Courier New" w:hAnsi="Courier New" w:hint="default"/>
      </w:rPr>
    </w:lvl>
    <w:lvl w:ilvl="5" w:tplc="0A0829A4" w:tentative="1">
      <w:start w:val="1"/>
      <w:numFmt w:val="bullet"/>
      <w:lvlText w:val=""/>
      <w:lvlJc w:val="left"/>
      <w:pPr>
        <w:tabs>
          <w:tab w:val="num" w:pos="4320"/>
        </w:tabs>
        <w:ind w:left="4320" w:hanging="360"/>
      </w:pPr>
      <w:rPr>
        <w:rFonts w:ascii="Wingdings" w:hAnsi="Wingdings" w:hint="default"/>
      </w:rPr>
    </w:lvl>
    <w:lvl w:ilvl="6" w:tplc="C62285EA" w:tentative="1">
      <w:start w:val="1"/>
      <w:numFmt w:val="bullet"/>
      <w:lvlText w:val=""/>
      <w:lvlJc w:val="left"/>
      <w:pPr>
        <w:tabs>
          <w:tab w:val="num" w:pos="5040"/>
        </w:tabs>
        <w:ind w:left="5040" w:hanging="360"/>
      </w:pPr>
      <w:rPr>
        <w:rFonts w:ascii="Symbol" w:hAnsi="Symbol" w:hint="default"/>
      </w:rPr>
    </w:lvl>
    <w:lvl w:ilvl="7" w:tplc="C9C4F744" w:tentative="1">
      <w:start w:val="1"/>
      <w:numFmt w:val="bullet"/>
      <w:lvlText w:val="o"/>
      <w:lvlJc w:val="left"/>
      <w:pPr>
        <w:tabs>
          <w:tab w:val="num" w:pos="5760"/>
        </w:tabs>
        <w:ind w:left="5760" w:hanging="360"/>
      </w:pPr>
      <w:rPr>
        <w:rFonts w:ascii="Courier New" w:hAnsi="Courier New" w:hint="default"/>
      </w:rPr>
    </w:lvl>
    <w:lvl w:ilvl="8" w:tplc="6C3E21E4"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483156A8"/>
    <w:multiLevelType w:val="hybridMultilevel"/>
    <w:tmpl w:val="1930A146"/>
    <w:lvl w:ilvl="0" w:tplc="C8F4AC6C">
      <w:start w:val="1"/>
      <w:numFmt w:val="lowerLetter"/>
      <w:pStyle w:val="TableFootnoteLetter"/>
      <w:lvlText w:val="%1"/>
      <w:lvlJc w:val="left"/>
      <w:pPr>
        <w:ind w:left="360" w:hanging="360"/>
      </w:pPr>
      <w:rPr>
        <w:rFonts w:ascii="Times New Roman" w:hAnsi="Times New Roman" w:cs="Times New Roman" w:hint="default"/>
        <w:b w:val="0"/>
        <w:i w:val="0"/>
        <w:caps w:val="0"/>
        <w:sz w:val="16"/>
        <w:u w:val="none"/>
        <w:vertAlign w:val="superscript"/>
      </w:rPr>
    </w:lvl>
    <w:lvl w:ilvl="1" w:tplc="58484172" w:tentative="1">
      <w:start w:val="1"/>
      <w:numFmt w:val="lowerLetter"/>
      <w:lvlText w:val="%2."/>
      <w:lvlJc w:val="left"/>
      <w:pPr>
        <w:ind w:left="1440" w:hanging="360"/>
      </w:pPr>
    </w:lvl>
    <w:lvl w:ilvl="2" w:tplc="3A0A2052" w:tentative="1">
      <w:start w:val="1"/>
      <w:numFmt w:val="lowerRoman"/>
      <w:lvlText w:val="%3."/>
      <w:lvlJc w:val="right"/>
      <w:pPr>
        <w:ind w:left="2160" w:hanging="180"/>
      </w:pPr>
    </w:lvl>
    <w:lvl w:ilvl="3" w:tplc="6B5E7FF2" w:tentative="1">
      <w:start w:val="1"/>
      <w:numFmt w:val="decimal"/>
      <w:lvlText w:val="%4."/>
      <w:lvlJc w:val="left"/>
      <w:pPr>
        <w:ind w:left="2880" w:hanging="360"/>
      </w:pPr>
    </w:lvl>
    <w:lvl w:ilvl="4" w:tplc="D5EA338C" w:tentative="1">
      <w:start w:val="1"/>
      <w:numFmt w:val="lowerLetter"/>
      <w:lvlText w:val="%5."/>
      <w:lvlJc w:val="left"/>
      <w:pPr>
        <w:ind w:left="3600" w:hanging="360"/>
      </w:pPr>
    </w:lvl>
    <w:lvl w:ilvl="5" w:tplc="EBE8D670" w:tentative="1">
      <w:start w:val="1"/>
      <w:numFmt w:val="lowerRoman"/>
      <w:lvlText w:val="%6."/>
      <w:lvlJc w:val="right"/>
      <w:pPr>
        <w:ind w:left="4320" w:hanging="180"/>
      </w:pPr>
    </w:lvl>
    <w:lvl w:ilvl="6" w:tplc="025AB310" w:tentative="1">
      <w:start w:val="1"/>
      <w:numFmt w:val="decimal"/>
      <w:lvlText w:val="%7."/>
      <w:lvlJc w:val="left"/>
      <w:pPr>
        <w:ind w:left="5040" w:hanging="360"/>
      </w:pPr>
    </w:lvl>
    <w:lvl w:ilvl="7" w:tplc="DDFEEA0A" w:tentative="1">
      <w:start w:val="1"/>
      <w:numFmt w:val="lowerLetter"/>
      <w:lvlText w:val="%8."/>
      <w:lvlJc w:val="left"/>
      <w:pPr>
        <w:ind w:left="5760" w:hanging="360"/>
      </w:pPr>
    </w:lvl>
    <w:lvl w:ilvl="8" w:tplc="3F40D7CC" w:tentative="1">
      <w:start w:val="1"/>
      <w:numFmt w:val="lowerRoman"/>
      <w:lvlText w:val="%9."/>
      <w:lvlJc w:val="right"/>
      <w:pPr>
        <w:ind w:left="6480" w:hanging="180"/>
      </w:pPr>
    </w:lvl>
  </w:abstractNum>
  <w:abstractNum w:abstractNumId="154" w15:restartNumberingAfterBreak="0">
    <w:nsid w:val="49686147"/>
    <w:multiLevelType w:val="hybridMultilevel"/>
    <w:tmpl w:val="7B1C780C"/>
    <w:lvl w:ilvl="0" w:tplc="4BCA1C68">
      <w:start w:val="1"/>
      <w:numFmt w:val="bullet"/>
      <w:lvlText w:val=""/>
      <w:lvlJc w:val="left"/>
      <w:pPr>
        <w:ind w:left="360" w:hanging="360"/>
      </w:pPr>
      <w:rPr>
        <w:rFonts w:ascii="Symbol" w:hAnsi="Symbol" w:hint="default"/>
      </w:rPr>
    </w:lvl>
    <w:lvl w:ilvl="1" w:tplc="0F7454AE" w:tentative="1">
      <w:start w:val="1"/>
      <w:numFmt w:val="bullet"/>
      <w:lvlText w:val="o"/>
      <w:lvlJc w:val="left"/>
      <w:pPr>
        <w:ind w:left="1080" w:hanging="360"/>
      </w:pPr>
      <w:rPr>
        <w:rFonts w:ascii="Courier New" w:hAnsi="Courier New" w:cs="Courier New" w:hint="default"/>
      </w:rPr>
    </w:lvl>
    <w:lvl w:ilvl="2" w:tplc="07767F38" w:tentative="1">
      <w:start w:val="1"/>
      <w:numFmt w:val="bullet"/>
      <w:lvlText w:val=""/>
      <w:lvlJc w:val="left"/>
      <w:pPr>
        <w:ind w:left="1800" w:hanging="360"/>
      </w:pPr>
      <w:rPr>
        <w:rFonts w:ascii="Wingdings" w:hAnsi="Wingdings" w:hint="default"/>
      </w:rPr>
    </w:lvl>
    <w:lvl w:ilvl="3" w:tplc="E88605EC" w:tentative="1">
      <w:start w:val="1"/>
      <w:numFmt w:val="bullet"/>
      <w:lvlText w:val=""/>
      <w:lvlJc w:val="left"/>
      <w:pPr>
        <w:ind w:left="2520" w:hanging="360"/>
      </w:pPr>
      <w:rPr>
        <w:rFonts w:ascii="Symbol" w:hAnsi="Symbol" w:hint="default"/>
      </w:rPr>
    </w:lvl>
    <w:lvl w:ilvl="4" w:tplc="8BEC4D84" w:tentative="1">
      <w:start w:val="1"/>
      <w:numFmt w:val="bullet"/>
      <w:lvlText w:val="o"/>
      <w:lvlJc w:val="left"/>
      <w:pPr>
        <w:ind w:left="3240" w:hanging="360"/>
      </w:pPr>
      <w:rPr>
        <w:rFonts w:ascii="Courier New" w:hAnsi="Courier New" w:cs="Courier New" w:hint="default"/>
      </w:rPr>
    </w:lvl>
    <w:lvl w:ilvl="5" w:tplc="14D6D540" w:tentative="1">
      <w:start w:val="1"/>
      <w:numFmt w:val="bullet"/>
      <w:lvlText w:val=""/>
      <w:lvlJc w:val="left"/>
      <w:pPr>
        <w:ind w:left="3960" w:hanging="360"/>
      </w:pPr>
      <w:rPr>
        <w:rFonts w:ascii="Wingdings" w:hAnsi="Wingdings" w:hint="default"/>
      </w:rPr>
    </w:lvl>
    <w:lvl w:ilvl="6" w:tplc="82267098" w:tentative="1">
      <w:start w:val="1"/>
      <w:numFmt w:val="bullet"/>
      <w:lvlText w:val=""/>
      <w:lvlJc w:val="left"/>
      <w:pPr>
        <w:ind w:left="4680" w:hanging="360"/>
      </w:pPr>
      <w:rPr>
        <w:rFonts w:ascii="Symbol" w:hAnsi="Symbol" w:hint="default"/>
      </w:rPr>
    </w:lvl>
    <w:lvl w:ilvl="7" w:tplc="08C27054" w:tentative="1">
      <w:start w:val="1"/>
      <w:numFmt w:val="bullet"/>
      <w:lvlText w:val="o"/>
      <w:lvlJc w:val="left"/>
      <w:pPr>
        <w:ind w:left="5400" w:hanging="360"/>
      </w:pPr>
      <w:rPr>
        <w:rFonts w:ascii="Courier New" w:hAnsi="Courier New" w:cs="Courier New" w:hint="default"/>
      </w:rPr>
    </w:lvl>
    <w:lvl w:ilvl="8" w:tplc="DCDA4636" w:tentative="1">
      <w:start w:val="1"/>
      <w:numFmt w:val="bullet"/>
      <w:lvlText w:val=""/>
      <w:lvlJc w:val="left"/>
      <w:pPr>
        <w:ind w:left="6120" w:hanging="360"/>
      </w:pPr>
      <w:rPr>
        <w:rFonts w:ascii="Wingdings" w:hAnsi="Wingdings" w:hint="default"/>
      </w:rPr>
    </w:lvl>
  </w:abstractNum>
  <w:abstractNum w:abstractNumId="155" w15:restartNumberingAfterBreak="0">
    <w:nsid w:val="4ADA5A5D"/>
    <w:multiLevelType w:val="hybridMultilevel"/>
    <w:tmpl w:val="E3DE4486"/>
    <w:lvl w:ilvl="0" w:tplc="563A6C0C">
      <w:start w:val="1"/>
      <w:numFmt w:val="bullet"/>
      <w:lvlText w:val=""/>
      <w:lvlJc w:val="left"/>
      <w:pPr>
        <w:ind w:left="720" w:hanging="360"/>
      </w:pPr>
      <w:rPr>
        <w:rFonts w:ascii="Symbol" w:hAnsi="Symbol" w:hint="default"/>
      </w:rPr>
    </w:lvl>
    <w:lvl w:ilvl="1" w:tplc="7B68DBB6" w:tentative="1">
      <w:start w:val="1"/>
      <w:numFmt w:val="bullet"/>
      <w:lvlText w:val="o"/>
      <w:lvlJc w:val="left"/>
      <w:pPr>
        <w:ind w:left="1440" w:hanging="360"/>
      </w:pPr>
      <w:rPr>
        <w:rFonts w:ascii="Courier New" w:hAnsi="Courier New" w:cs="Courier New" w:hint="default"/>
      </w:rPr>
    </w:lvl>
    <w:lvl w:ilvl="2" w:tplc="96D88490" w:tentative="1">
      <w:start w:val="1"/>
      <w:numFmt w:val="bullet"/>
      <w:lvlText w:val=""/>
      <w:lvlJc w:val="left"/>
      <w:pPr>
        <w:ind w:left="2160" w:hanging="360"/>
      </w:pPr>
      <w:rPr>
        <w:rFonts w:ascii="Wingdings" w:hAnsi="Wingdings" w:hint="default"/>
      </w:rPr>
    </w:lvl>
    <w:lvl w:ilvl="3" w:tplc="F304AAC0" w:tentative="1">
      <w:start w:val="1"/>
      <w:numFmt w:val="bullet"/>
      <w:lvlText w:val=""/>
      <w:lvlJc w:val="left"/>
      <w:pPr>
        <w:ind w:left="2880" w:hanging="360"/>
      </w:pPr>
      <w:rPr>
        <w:rFonts w:ascii="Symbol" w:hAnsi="Symbol" w:hint="default"/>
      </w:rPr>
    </w:lvl>
    <w:lvl w:ilvl="4" w:tplc="1FDED128" w:tentative="1">
      <w:start w:val="1"/>
      <w:numFmt w:val="bullet"/>
      <w:lvlText w:val="o"/>
      <w:lvlJc w:val="left"/>
      <w:pPr>
        <w:ind w:left="3600" w:hanging="360"/>
      </w:pPr>
      <w:rPr>
        <w:rFonts w:ascii="Courier New" w:hAnsi="Courier New" w:cs="Courier New" w:hint="default"/>
      </w:rPr>
    </w:lvl>
    <w:lvl w:ilvl="5" w:tplc="9B882980" w:tentative="1">
      <w:start w:val="1"/>
      <w:numFmt w:val="bullet"/>
      <w:lvlText w:val=""/>
      <w:lvlJc w:val="left"/>
      <w:pPr>
        <w:ind w:left="4320" w:hanging="360"/>
      </w:pPr>
      <w:rPr>
        <w:rFonts w:ascii="Wingdings" w:hAnsi="Wingdings" w:hint="default"/>
      </w:rPr>
    </w:lvl>
    <w:lvl w:ilvl="6" w:tplc="8EB64D8C" w:tentative="1">
      <w:start w:val="1"/>
      <w:numFmt w:val="bullet"/>
      <w:lvlText w:val=""/>
      <w:lvlJc w:val="left"/>
      <w:pPr>
        <w:ind w:left="5040" w:hanging="360"/>
      </w:pPr>
      <w:rPr>
        <w:rFonts w:ascii="Symbol" w:hAnsi="Symbol" w:hint="default"/>
      </w:rPr>
    </w:lvl>
    <w:lvl w:ilvl="7" w:tplc="46A0CEE8" w:tentative="1">
      <w:start w:val="1"/>
      <w:numFmt w:val="bullet"/>
      <w:lvlText w:val="o"/>
      <w:lvlJc w:val="left"/>
      <w:pPr>
        <w:ind w:left="5760" w:hanging="360"/>
      </w:pPr>
      <w:rPr>
        <w:rFonts w:ascii="Courier New" w:hAnsi="Courier New" w:cs="Courier New" w:hint="default"/>
      </w:rPr>
    </w:lvl>
    <w:lvl w:ilvl="8" w:tplc="10E68612" w:tentative="1">
      <w:start w:val="1"/>
      <w:numFmt w:val="bullet"/>
      <w:lvlText w:val=""/>
      <w:lvlJc w:val="left"/>
      <w:pPr>
        <w:ind w:left="6480" w:hanging="360"/>
      </w:pPr>
      <w:rPr>
        <w:rFonts w:ascii="Wingdings" w:hAnsi="Wingdings" w:hint="default"/>
      </w:rPr>
    </w:lvl>
  </w:abstractNum>
  <w:abstractNum w:abstractNumId="156" w15:restartNumberingAfterBreak="0">
    <w:nsid w:val="4C826BA4"/>
    <w:multiLevelType w:val="hybridMultilevel"/>
    <w:tmpl w:val="6212C7F6"/>
    <w:lvl w:ilvl="0" w:tplc="363E62B2">
      <w:start w:val="1"/>
      <w:numFmt w:val="bullet"/>
      <w:lvlText w:val=""/>
      <w:lvlJc w:val="left"/>
      <w:pPr>
        <w:ind w:left="720" w:hanging="360"/>
      </w:pPr>
      <w:rPr>
        <w:rFonts w:ascii="Symbol" w:hAnsi="Symbol" w:hint="default"/>
      </w:rPr>
    </w:lvl>
    <w:lvl w:ilvl="1" w:tplc="B0007B7E" w:tentative="1">
      <w:start w:val="1"/>
      <w:numFmt w:val="bullet"/>
      <w:lvlText w:val="o"/>
      <w:lvlJc w:val="left"/>
      <w:pPr>
        <w:ind w:left="1440" w:hanging="360"/>
      </w:pPr>
      <w:rPr>
        <w:rFonts w:ascii="Courier New" w:hAnsi="Courier New" w:cs="Courier New" w:hint="default"/>
      </w:rPr>
    </w:lvl>
    <w:lvl w:ilvl="2" w:tplc="EC6EEBCE" w:tentative="1">
      <w:start w:val="1"/>
      <w:numFmt w:val="bullet"/>
      <w:lvlText w:val=""/>
      <w:lvlJc w:val="left"/>
      <w:pPr>
        <w:ind w:left="2160" w:hanging="360"/>
      </w:pPr>
      <w:rPr>
        <w:rFonts w:ascii="Wingdings" w:hAnsi="Wingdings" w:hint="default"/>
      </w:rPr>
    </w:lvl>
    <w:lvl w:ilvl="3" w:tplc="EAD0ED50" w:tentative="1">
      <w:start w:val="1"/>
      <w:numFmt w:val="bullet"/>
      <w:lvlText w:val=""/>
      <w:lvlJc w:val="left"/>
      <w:pPr>
        <w:ind w:left="2880" w:hanging="360"/>
      </w:pPr>
      <w:rPr>
        <w:rFonts w:ascii="Symbol" w:hAnsi="Symbol" w:hint="default"/>
      </w:rPr>
    </w:lvl>
    <w:lvl w:ilvl="4" w:tplc="9A8ED282" w:tentative="1">
      <w:start w:val="1"/>
      <w:numFmt w:val="bullet"/>
      <w:lvlText w:val="o"/>
      <w:lvlJc w:val="left"/>
      <w:pPr>
        <w:ind w:left="3600" w:hanging="360"/>
      </w:pPr>
      <w:rPr>
        <w:rFonts w:ascii="Courier New" w:hAnsi="Courier New" w:cs="Courier New" w:hint="default"/>
      </w:rPr>
    </w:lvl>
    <w:lvl w:ilvl="5" w:tplc="48484FEA" w:tentative="1">
      <w:start w:val="1"/>
      <w:numFmt w:val="bullet"/>
      <w:lvlText w:val=""/>
      <w:lvlJc w:val="left"/>
      <w:pPr>
        <w:ind w:left="4320" w:hanging="360"/>
      </w:pPr>
      <w:rPr>
        <w:rFonts w:ascii="Wingdings" w:hAnsi="Wingdings" w:hint="default"/>
      </w:rPr>
    </w:lvl>
    <w:lvl w:ilvl="6" w:tplc="4A08A434" w:tentative="1">
      <w:start w:val="1"/>
      <w:numFmt w:val="bullet"/>
      <w:lvlText w:val=""/>
      <w:lvlJc w:val="left"/>
      <w:pPr>
        <w:ind w:left="5040" w:hanging="360"/>
      </w:pPr>
      <w:rPr>
        <w:rFonts w:ascii="Symbol" w:hAnsi="Symbol" w:hint="default"/>
      </w:rPr>
    </w:lvl>
    <w:lvl w:ilvl="7" w:tplc="D24C6D6E" w:tentative="1">
      <w:start w:val="1"/>
      <w:numFmt w:val="bullet"/>
      <w:lvlText w:val="o"/>
      <w:lvlJc w:val="left"/>
      <w:pPr>
        <w:ind w:left="5760" w:hanging="360"/>
      </w:pPr>
      <w:rPr>
        <w:rFonts w:ascii="Courier New" w:hAnsi="Courier New" w:cs="Courier New" w:hint="default"/>
      </w:rPr>
    </w:lvl>
    <w:lvl w:ilvl="8" w:tplc="71C4E718" w:tentative="1">
      <w:start w:val="1"/>
      <w:numFmt w:val="bullet"/>
      <w:lvlText w:val=""/>
      <w:lvlJc w:val="left"/>
      <w:pPr>
        <w:ind w:left="6480" w:hanging="360"/>
      </w:pPr>
      <w:rPr>
        <w:rFonts w:ascii="Wingdings" w:hAnsi="Wingdings" w:hint="default"/>
      </w:rPr>
    </w:lvl>
  </w:abstractNum>
  <w:abstractNum w:abstractNumId="157" w15:restartNumberingAfterBreak="0">
    <w:nsid w:val="4CAF10E2"/>
    <w:multiLevelType w:val="hybridMultilevel"/>
    <w:tmpl w:val="7ED8C2A6"/>
    <w:lvl w:ilvl="0" w:tplc="019AD2BE">
      <w:start w:val="1"/>
      <w:numFmt w:val="bullet"/>
      <w:lvlText w:val=""/>
      <w:lvlJc w:val="left"/>
      <w:pPr>
        <w:tabs>
          <w:tab w:val="num" w:pos="470"/>
        </w:tabs>
        <w:ind w:left="470" w:hanging="360"/>
      </w:pPr>
      <w:rPr>
        <w:rFonts w:ascii="Symbol" w:hAnsi="Symbol" w:hint="default"/>
      </w:rPr>
    </w:lvl>
    <w:lvl w:ilvl="1" w:tplc="7C0435D0">
      <w:start w:val="1"/>
      <w:numFmt w:val="bullet"/>
      <w:lvlText w:val="o"/>
      <w:lvlJc w:val="left"/>
      <w:pPr>
        <w:tabs>
          <w:tab w:val="num" w:pos="2520"/>
        </w:tabs>
        <w:ind w:left="2520" w:hanging="360"/>
      </w:pPr>
      <w:rPr>
        <w:rFonts w:ascii="Courier New" w:hAnsi="Courier New" w:hint="default"/>
      </w:rPr>
    </w:lvl>
    <w:lvl w:ilvl="2" w:tplc="E9C0FE0A">
      <w:start w:val="1"/>
      <w:numFmt w:val="bullet"/>
      <w:lvlText w:val=""/>
      <w:lvlJc w:val="left"/>
      <w:pPr>
        <w:tabs>
          <w:tab w:val="num" w:pos="3240"/>
        </w:tabs>
        <w:ind w:left="3240" w:hanging="360"/>
      </w:pPr>
      <w:rPr>
        <w:rFonts w:ascii="Symbol" w:hAnsi="Symbol" w:hint="default"/>
      </w:rPr>
    </w:lvl>
    <w:lvl w:ilvl="3" w:tplc="69D4607C" w:tentative="1">
      <w:start w:val="1"/>
      <w:numFmt w:val="bullet"/>
      <w:lvlText w:val=""/>
      <w:lvlJc w:val="left"/>
      <w:pPr>
        <w:tabs>
          <w:tab w:val="num" w:pos="3960"/>
        </w:tabs>
        <w:ind w:left="3960" w:hanging="360"/>
      </w:pPr>
      <w:rPr>
        <w:rFonts w:ascii="Symbol" w:hAnsi="Symbol" w:hint="default"/>
      </w:rPr>
    </w:lvl>
    <w:lvl w:ilvl="4" w:tplc="F33022E8" w:tentative="1">
      <w:start w:val="1"/>
      <w:numFmt w:val="bullet"/>
      <w:lvlText w:val="o"/>
      <w:lvlJc w:val="left"/>
      <w:pPr>
        <w:tabs>
          <w:tab w:val="num" w:pos="4680"/>
        </w:tabs>
        <w:ind w:left="4680" w:hanging="360"/>
      </w:pPr>
      <w:rPr>
        <w:rFonts w:ascii="Courier New" w:hAnsi="Courier New" w:hint="default"/>
      </w:rPr>
    </w:lvl>
    <w:lvl w:ilvl="5" w:tplc="650C1646" w:tentative="1">
      <w:start w:val="1"/>
      <w:numFmt w:val="bullet"/>
      <w:lvlText w:val=""/>
      <w:lvlJc w:val="left"/>
      <w:pPr>
        <w:tabs>
          <w:tab w:val="num" w:pos="5400"/>
        </w:tabs>
        <w:ind w:left="5400" w:hanging="360"/>
      </w:pPr>
      <w:rPr>
        <w:rFonts w:ascii="Wingdings" w:hAnsi="Wingdings" w:hint="default"/>
      </w:rPr>
    </w:lvl>
    <w:lvl w:ilvl="6" w:tplc="B896D0BA" w:tentative="1">
      <w:start w:val="1"/>
      <w:numFmt w:val="bullet"/>
      <w:lvlText w:val=""/>
      <w:lvlJc w:val="left"/>
      <w:pPr>
        <w:tabs>
          <w:tab w:val="num" w:pos="6120"/>
        </w:tabs>
        <w:ind w:left="6120" w:hanging="360"/>
      </w:pPr>
      <w:rPr>
        <w:rFonts w:ascii="Symbol" w:hAnsi="Symbol" w:hint="default"/>
      </w:rPr>
    </w:lvl>
    <w:lvl w:ilvl="7" w:tplc="12548AB0" w:tentative="1">
      <w:start w:val="1"/>
      <w:numFmt w:val="bullet"/>
      <w:lvlText w:val="o"/>
      <w:lvlJc w:val="left"/>
      <w:pPr>
        <w:tabs>
          <w:tab w:val="num" w:pos="6840"/>
        </w:tabs>
        <w:ind w:left="6840" w:hanging="360"/>
      </w:pPr>
      <w:rPr>
        <w:rFonts w:ascii="Courier New" w:hAnsi="Courier New" w:hint="default"/>
      </w:rPr>
    </w:lvl>
    <w:lvl w:ilvl="8" w:tplc="087CD350" w:tentative="1">
      <w:start w:val="1"/>
      <w:numFmt w:val="bullet"/>
      <w:lvlText w:val=""/>
      <w:lvlJc w:val="left"/>
      <w:pPr>
        <w:tabs>
          <w:tab w:val="num" w:pos="7560"/>
        </w:tabs>
        <w:ind w:left="7560" w:hanging="360"/>
      </w:pPr>
      <w:rPr>
        <w:rFonts w:ascii="Wingdings" w:hAnsi="Wingdings" w:hint="default"/>
      </w:rPr>
    </w:lvl>
  </w:abstractNum>
  <w:abstractNum w:abstractNumId="158" w15:restartNumberingAfterBreak="0">
    <w:nsid w:val="4D823463"/>
    <w:multiLevelType w:val="hybridMultilevel"/>
    <w:tmpl w:val="FCF615BE"/>
    <w:lvl w:ilvl="0" w:tplc="A3743054">
      <w:start w:val="1"/>
      <w:numFmt w:val="bullet"/>
      <w:lvlText w:val=""/>
      <w:lvlJc w:val="left"/>
      <w:pPr>
        <w:ind w:left="720" w:hanging="360"/>
      </w:pPr>
      <w:rPr>
        <w:rFonts w:ascii="Symbol" w:hAnsi="Symbol" w:hint="default"/>
      </w:rPr>
    </w:lvl>
    <w:lvl w:ilvl="1" w:tplc="61E4F0D0" w:tentative="1">
      <w:start w:val="1"/>
      <w:numFmt w:val="bullet"/>
      <w:lvlText w:val="o"/>
      <w:lvlJc w:val="left"/>
      <w:pPr>
        <w:ind w:left="1440" w:hanging="360"/>
      </w:pPr>
      <w:rPr>
        <w:rFonts w:ascii="Courier New" w:hAnsi="Courier New" w:cs="Courier New" w:hint="default"/>
      </w:rPr>
    </w:lvl>
    <w:lvl w:ilvl="2" w:tplc="23664958" w:tentative="1">
      <w:start w:val="1"/>
      <w:numFmt w:val="bullet"/>
      <w:lvlText w:val=""/>
      <w:lvlJc w:val="left"/>
      <w:pPr>
        <w:ind w:left="2160" w:hanging="360"/>
      </w:pPr>
      <w:rPr>
        <w:rFonts w:ascii="Wingdings" w:hAnsi="Wingdings" w:hint="default"/>
      </w:rPr>
    </w:lvl>
    <w:lvl w:ilvl="3" w:tplc="3EB2C3D4" w:tentative="1">
      <w:start w:val="1"/>
      <w:numFmt w:val="bullet"/>
      <w:lvlText w:val=""/>
      <w:lvlJc w:val="left"/>
      <w:pPr>
        <w:ind w:left="2880" w:hanging="360"/>
      </w:pPr>
      <w:rPr>
        <w:rFonts w:ascii="Symbol" w:hAnsi="Symbol" w:hint="default"/>
      </w:rPr>
    </w:lvl>
    <w:lvl w:ilvl="4" w:tplc="4F94573C" w:tentative="1">
      <w:start w:val="1"/>
      <w:numFmt w:val="bullet"/>
      <w:lvlText w:val="o"/>
      <w:lvlJc w:val="left"/>
      <w:pPr>
        <w:ind w:left="3600" w:hanging="360"/>
      </w:pPr>
      <w:rPr>
        <w:rFonts w:ascii="Courier New" w:hAnsi="Courier New" w:cs="Courier New" w:hint="default"/>
      </w:rPr>
    </w:lvl>
    <w:lvl w:ilvl="5" w:tplc="312CE22C" w:tentative="1">
      <w:start w:val="1"/>
      <w:numFmt w:val="bullet"/>
      <w:lvlText w:val=""/>
      <w:lvlJc w:val="left"/>
      <w:pPr>
        <w:ind w:left="4320" w:hanging="360"/>
      </w:pPr>
      <w:rPr>
        <w:rFonts w:ascii="Wingdings" w:hAnsi="Wingdings" w:hint="default"/>
      </w:rPr>
    </w:lvl>
    <w:lvl w:ilvl="6" w:tplc="4F2844AC" w:tentative="1">
      <w:start w:val="1"/>
      <w:numFmt w:val="bullet"/>
      <w:lvlText w:val=""/>
      <w:lvlJc w:val="left"/>
      <w:pPr>
        <w:ind w:left="5040" w:hanging="360"/>
      </w:pPr>
      <w:rPr>
        <w:rFonts w:ascii="Symbol" w:hAnsi="Symbol" w:hint="default"/>
      </w:rPr>
    </w:lvl>
    <w:lvl w:ilvl="7" w:tplc="F0EA003C" w:tentative="1">
      <w:start w:val="1"/>
      <w:numFmt w:val="bullet"/>
      <w:lvlText w:val="o"/>
      <w:lvlJc w:val="left"/>
      <w:pPr>
        <w:ind w:left="5760" w:hanging="360"/>
      </w:pPr>
      <w:rPr>
        <w:rFonts w:ascii="Courier New" w:hAnsi="Courier New" w:cs="Courier New" w:hint="default"/>
      </w:rPr>
    </w:lvl>
    <w:lvl w:ilvl="8" w:tplc="71DC785A" w:tentative="1">
      <w:start w:val="1"/>
      <w:numFmt w:val="bullet"/>
      <w:lvlText w:val=""/>
      <w:lvlJc w:val="left"/>
      <w:pPr>
        <w:ind w:left="6480" w:hanging="360"/>
      </w:pPr>
      <w:rPr>
        <w:rFonts w:ascii="Wingdings" w:hAnsi="Wingdings" w:hint="default"/>
      </w:rPr>
    </w:lvl>
  </w:abstractNum>
  <w:abstractNum w:abstractNumId="159" w15:restartNumberingAfterBreak="0">
    <w:nsid w:val="4DD232A0"/>
    <w:multiLevelType w:val="hybridMultilevel"/>
    <w:tmpl w:val="D9D41E0E"/>
    <w:lvl w:ilvl="0" w:tplc="15D63044">
      <w:start w:val="1"/>
      <w:numFmt w:val="decimal"/>
      <w:lvlText w:val="%1."/>
      <w:lvlJc w:val="left"/>
      <w:pPr>
        <w:tabs>
          <w:tab w:val="num" w:pos="720"/>
        </w:tabs>
        <w:ind w:left="720" w:hanging="360"/>
      </w:pPr>
      <w:rPr>
        <w:rFonts w:hint="default"/>
      </w:rPr>
    </w:lvl>
    <w:lvl w:ilvl="1" w:tplc="FDE6FB16">
      <w:start w:val="1"/>
      <w:numFmt w:val="bullet"/>
      <w:lvlText w:val=""/>
      <w:lvlJc w:val="left"/>
      <w:pPr>
        <w:tabs>
          <w:tab w:val="num" w:pos="1440"/>
        </w:tabs>
        <w:ind w:left="1440" w:hanging="360"/>
      </w:pPr>
      <w:rPr>
        <w:rFonts w:ascii="Symbol" w:hAnsi="Symbol" w:hint="default"/>
      </w:rPr>
    </w:lvl>
    <w:lvl w:ilvl="2" w:tplc="0EECB9BC">
      <w:start w:val="1"/>
      <w:numFmt w:val="lowerRoman"/>
      <w:lvlText w:val="%3."/>
      <w:lvlJc w:val="right"/>
      <w:pPr>
        <w:tabs>
          <w:tab w:val="num" w:pos="2160"/>
        </w:tabs>
        <w:ind w:left="2160" w:hanging="180"/>
      </w:pPr>
    </w:lvl>
    <w:lvl w:ilvl="3" w:tplc="0E703DCC" w:tentative="1">
      <w:start w:val="1"/>
      <w:numFmt w:val="decimal"/>
      <w:lvlText w:val="%4."/>
      <w:lvlJc w:val="left"/>
      <w:pPr>
        <w:tabs>
          <w:tab w:val="num" w:pos="2880"/>
        </w:tabs>
        <w:ind w:left="2880" w:hanging="360"/>
      </w:pPr>
    </w:lvl>
    <w:lvl w:ilvl="4" w:tplc="0A20A7CA" w:tentative="1">
      <w:start w:val="1"/>
      <w:numFmt w:val="lowerLetter"/>
      <w:lvlText w:val="%5."/>
      <w:lvlJc w:val="left"/>
      <w:pPr>
        <w:tabs>
          <w:tab w:val="num" w:pos="3600"/>
        </w:tabs>
        <w:ind w:left="3600" w:hanging="360"/>
      </w:pPr>
    </w:lvl>
    <w:lvl w:ilvl="5" w:tplc="5BFC26B4" w:tentative="1">
      <w:start w:val="1"/>
      <w:numFmt w:val="lowerRoman"/>
      <w:lvlText w:val="%6."/>
      <w:lvlJc w:val="right"/>
      <w:pPr>
        <w:tabs>
          <w:tab w:val="num" w:pos="4320"/>
        </w:tabs>
        <w:ind w:left="4320" w:hanging="180"/>
      </w:pPr>
    </w:lvl>
    <w:lvl w:ilvl="6" w:tplc="1FB2344C" w:tentative="1">
      <w:start w:val="1"/>
      <w:numFmt w:val="decimal"/>
      <w:lvlText w:val="%7."/>
      <w:lvlJc w:val="left"/>
      <w:pPr>
        <w:tabs>
          <w:tab w:val="num" w:pos="5040"/>
        </w:tabs>
        <w:ind w:left="5040" w:hanging="360"/>
      </w:pPr>
    </w:lvl>
    <w:lvl w:ilvl="7" w:tplc="B7827614" w:tentative="1">
      <w:start w:val="1"/>
      <w:numFmt w:val="lowerLetter"/>
      <w:lvlText w:val="%8."/>
      <w:lvlJc w:val="left"/>
      <w:pPr>
        <w:tabs>
          <w:tab w:val="num" w:pos="5760"/>
        </w:tabs>
        <w:ind w:left="5760" w:hanging="360"/>
      </w:pPr>
    </w:lvl>
    <w:lvl w:ilvl="8" w:tplc="466AC56A" w:tentative="1">
      <w:start w:val="1"/>
      <w:numFmt w:val="lowerRoman"/>
      <w:lvlText w:val="%9."/>
      <w:lvlJc w:val="right"/>
      <w:pPr>
        <w:tabs>
          <w:tab w:val="num" w:pos="6480"/>
        </w:tabs>
        <w:ind w:left="6480" w:hanging="180"/>
      </w:pPr>
    </w:lvl>
  </w:abstractNum>
  <w:abstractNum w:abstractNumId="160" w15:restartNumberingAfterBreak="0">
    <w:nsid w:val="4DE20E23"/>
    <w:multiLevelType w:val="multilevel"/>
    <w:tmpl w:val="F1C6D286"/>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1" w15:restartNumberingAfterBreak="0">
    <w:nsid w:val="4DE214CE"/>
    <w:multiLevelType w:val="hybridMultilevel"/>
    <w:tmpl w:val="612C56EC"/>
    <w:lvl w:ilvl="0" w:tplc="3F341F1A">
      <w:start w:val="1"/>
      <w:numFmt w:val="lowerLetter"/>
      <w:lvlText w:val="%1"/>
      <w:lvlJc w:val="left"/>
      <w:pPr>
        <w:ind w:left="720" w:hanging="360"/>
      </w:pPr>
      <w:rPr>
        <w:rFonts w:hint="default"/>
        <w:vertAlign w:val="superscript"/>
      </w:rPr>
    </w:lvl>
    <w:lvl w:ilvl="1" w:tplc="855A6C12" w:tentative="1">
      <w:start w:val="1"/>
      <w:numFmt w:val="lowerLetter"/>
      <w:lvlText w:val="%2."/>
      <w:lvlJc w:val="left"/>
      <w:pPr>
        <w:ind w:left="1440" w:hanging="360"/>
      </w:pPr>
    </w:lvl>
    <w:lvl w:ilvl="2" w:tplc="8E00FCAC" w:tentative="1">
      <w:start w:val="1"/>
      <w:numFmt w:val="lowerRoman"/>
      <w:lvlText w:val="%3."/>
      <w:lvlJc w:val="right"/>
      <w:pPr>
        <w:ind w:left="2160" w:hanging="180"/>
      </w:pPr>
    </w:lvl>
    <w:lvl w:ilvl="3" w:tplc="050CEA7A" w:tentative="1">
      <w:start w:val="1"/>
      <w:numFmt w:val="decimal"/>
      <w:lvlText w:val="%4."/>
      <w:lvlJc w:val="left"/>
      <w:pPr>
        <w:ind w:left="2880" w:hanging="360"/>
      </w:pPr>
    </w:lvl>
    <w:lvl w:ilvl="4" w:tplc="115C31E8" w:tentative="1">
      <w:start w:val="1"/>
      <w:numFmt w:val="lowerLetter"/>
      <w:lvlText w:val="%5."/>
      <w:lvlJc w:val="left"/>
      <w:pPr>
        <w:ind w:left="3600" w:hanging="360"/>
      </w:pPr>
    </w:lvl>
    <w:lvl w:ilvl="5" w:tplc="174E5C9C" w:tentative="1">
      <w:start w:val="1"/>
      <w:numFmt w:val="lowerRoman"/>
      <w:lvlText w:val="%6."/>
      <w:lvlJc w:val="right"/>
      <w:pPr>
        <w:ind w:left="4320" w:hanging="180"/>
      </w:pPr>
    </w:lvl>
    <w:lvl w:ilvl="6" w:tplc="24E0F518" w:tentative="1">
      <w:start w:val="1"/>
      <w:numFmt w:val="decimal"/>
      <w:lvlText w:val="%7."/>
      <w:lvlJc w:val="left"/>
      <w:pPr>
        <w:ind w:left="5040" w:hanging="360"/>
      </w:pPr>
    </w:lvl>
    <w:lvl w:ilvl="7" w:tplc="2B441A4C" w:tentative="1">
      <w:start w:val="1"/>
      <w:numFmt w:val="lowerLetter"/>
      <w:lvlText w:val="%8."/>
      <w:lvlJc w:val="left"/>
      <w:pPr>
        <w:ind w:left="5760" w:hanging="360"/>
      </w:pPr>
    </w:lvl>
    <w:lvl w:ilvl="8" w:tplc="1F04570C" w:tentative="1">
      <w:start w:val="1"/>
      <w:numFmt w:val="lowerRoman"/>
      <w:lvlText w:val="%9."/>
      <w:lvlJc w:val="right"/>
      <w:pPr>
        <w:ind w:left="6480" w:hanging="180"/>
      </w:pPr>
    </w:lvl>
  </w:abstractNum>
  <w:abstractNum w:abstractNumId="162" w15:restartNumberingAfterBreak="0">
    <w:nsid w:val="4E543493"/>
    <w:multiLevelType w:val="multilevel"/>
    <w:tmpl w:val="5750F620"/>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3" w15:restartNumberingAfterBreak="0">
    <w:nsid w:val="4E5B4C5C"/>
    <w:multiLevelType w:val="hybridMultilevel"/>
    <w:tmpl w:val="5B403C28"/>
    <w:lvl w:ilvl="0" w:tplc="29FE50B0">
      <w:start w:val="1"/>
      <w:numFmt w:val="bullet"/>
      <w:lvlText w:val=""/>
      <w:lvlJc w:val="left"/>
      <w:pPr>
        <w:tabs>
          <w:tab w:val="num" w:pos="690"/>
        </w:tabs>
        <w:ind w:left="690" w:hanging="360"/>
      </w:pPr>
      <w:rPr>
        <w:rFonts w:ascii="Symbol" w:hAnsi="Symbol" w:hint="default"/>
      </w:rPr>
    </w:lvl>
    <w:lvl w:ilvl="1" w:tplc="FE406B8E">
      <w:start w:val="1"/>
      <w:numFmt w:val="bullet"/>
      <w:lvlText w:val=""/>
      <w:lvlJc w:val="left"/>
      <w:pPr>
        <w:tabs>
          <w:tab w:val="num" w:pos="1440"/>
        </w:tabs>
        <w:ind w:left="1440" w:hanging="360"/>
      </w:pPr>
      <w:rPr>
        <w:rFonts w:ascii="Symbol" w:hAnsi="Symbol" w:hint="default"/>
        <w:sz w:val="22"/>
      </w:rPr>
    </w:lvl>
    <w:lvl w:ilvl="2" w:tplc="C9461CEC" w:tentative="1">
      <w:start w:val="1"/>
      <w:numFmt w:val="bullet"/>
      <w:lvlText w:val=""/>
      <w:lvlJc w:val="left"/>
      <w:pPr>
        <w:tabs>
          <w:tab w:val="num" w:pos="2160"/>
        </w:tabs>
        <w:ind w:left="2160" w:hanging="360"/>
      </w:pPr>
      <w:rPr>
        <w:rFonts w:ascii="Wingdings" w:hAnsi="Wingdings" w:hint="default"/>
      </w:rPr>
    </w:lvl>
    <w:lvl w:ilvl="3" w:tplc="D2ACA856" w:tentative="1">
      <w:start w:val="1"/>
      <w:numFmt w:val="bullet"/>
      <w:lvlText w:val=""/>
      <w:lvlJc w:val="left"/>
      <w:pPr>
        <w:tabs>
          <w:tab w:val="num" w:pos="2880"/>
        </w:tabs>
        <w:ind w:left="2880" w:hanging="360"/>
      </w:pPr>
      <w:rPr>
        <w:rFonts w:ascii="Symbol" w:hAnsi="Symbol" w:hint="default"/>
      </w:rPr>
    </w:lvl>
    <w:lvl w:ilvl="4" w:tplc="843EA364" w:tentative="1">
      <w:start w:val="1"/>
      <w:numFmt w:val="bullet"/>
      <w:lvlText w:val="o"/>
      <w:lvlJc w:val="left"/>
      <w:pPr>
        <w:tabs>
          <w:tab w:val="num" w:pos="3600"/>
        </w:tabs>
        <w:ind w:left="3600" w:hanging="360"/>
      </w:pPr>
      <w:rPr>
        <w:rFonts w:ascii="Courier New" w:hAnsi="Courier New" w:hint="default"/>
      </w:rPr>
    </w:lvl>
    <w:lvl w:ilvl="5" w:tplc="C46AB6B6" w:tentative="1">
      <w:start w:val="1"/>
      <w:numFmt w:val="bullet"/>
      <w:lvlText w:val=""/>
      <w:lvlJc w:val="left"/>
      <w:pPr>
        <w:tabs>
          <w:tab w:val="num" w:pos="4320"/>
        </w:tabs>
        <w:ind w:left="4320" w:hanging="360"/>
      </w:pPr>
      <w:rPr>
        <w:rFonts w:ascii="Wingdings" w:hAnsi="Wingdings" w:hint="default"/>
      </w:rPr>
    </w:lvl>
    <w:lvl w:ilvl="6" w:tplc="E99478E2" w:tentative="1">
      <w:start w:val="1"/>
      <w:numFmt w:val="bullet"/>
      <w:lvlText w:val=""/>
      <w:lvlJc w:val="left"/>
      <w:pPr>
        <w:tabs>
          <w:tab w:val="num" w:pos="5040"/>
        </w:tabs>
        <w:ind w:left="5040" w:hanging="360"/>
      </w:pPr>
      <w:rPr>
        <w:rFonts w:ascii="Symbol" w:hAnsi="Symbol" w:hint="default"/>
      </w:rPr>
    </w:lvl>
    <w:lvl w:ilvl="7" w:tplc="F3BC3422" w:tentative="1">
      <w:start w:val="1"/>
      <w:numFmt w:val="bullet"/>
      <w:lvlText w:val="o"/>
      <w:lvlJc w:val="left"/>
      <w:pPr>
        <w:tabs>
          <w:tab w:val="num" w:pos="5760"/>
        </w:tabs>
        <w:ind w:left="5760" w:hanging="360"/>
      </w:pPr>
      <w:rPr>
        <w:rFonts w:ascii="Courier New" w:hAnsi="Courier New" w:hint="default"/>
      </w:rPr>
    </w:lvl>
    <w:lvl w:ilvl="8" w:tplc="47D88868"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4E73541E"/>
    <w:multiLevelType w:val="hybridMultilevel"/>
    <w:tmpl w:val="9FCA7C3A"/>
    <w:lvl w:ilvl="0" w:tplc="A2A2C10E">
      <w:start w:val="1"/>
      <w:numFmt w:val="bullet"/>
      <w:lvlText w:val=""/>
      <w:lvlJc w:val="left"/>
      <w:pPr>
        <w:ind w:left="720" w:hanging="360"/>
      </w:pPr>
      <w:rPr>
        <w:rFonts w:ascii="Symbol" w:hAnsi="Symbol" w:hint="default"/>
      </w:rPr>
    </w:lvl>
    <w:lvl w:ilvl="1" w:tplc="AB44F526" w:tentative="1">
      <w:start w:val="1"/>
      <w:numFmt w:val="bullet"/>
      <w:lvlText w:val="o"/>
      <w:lvlJc w:val="left"/>
      <w:pPr>
        <w:ind w:left="1440" w:hanging="360"/>
      </w:pPr>
      <w:rPr>
        <w:rFonts w:ascii="Courier New" w:hAnsi="Courier New" w:cs="Courier New" w:hint="default"/>
      </w:rPr>
    </w:lvl>
    <w:lvl w:ilvl="2" w:tplc="393882EA" w:tentative="1">
      <w:start w:val="1"/>
      <w:numFmt w:val="bullet"/>
      <w:lvlText w:val=""/>
      <w:lvlJc w:val="left"/>
      <w:pPr>
        <w:ind w:left="2160" w:hanging="360"/>
      </w:pPr>
      <w:rPr>
        <w:rFonts w:ascii="Wingdings" w:hAnsi="Wingdings" w:hint="default"/>
      </w:rPr>
    </w:lvl>
    <w:lvl w:ilvl="3" w:tplc="AEFEDA3C" w:tentative="1">
      <w:start w:val="1"/>
      <w:numFmt w:val="bullet"/>
      <w:lvlText w:val=""/>
      <w:lvlJc w:val="left"/>
      <w:pPr>
        <w:ind w:left="2880" w:hanging="360"/>
      </w:pPr>
      <w:rPr>
        <w:rFonts w:ascii="Symbol" w:hAnsi="Symbol" w:hint="default"/>
      </w:rPr>
    </w:lvl>
    <w:lvl w:ilvl="4" w:tplc="A78E8ABC" w:tentative="1">
      <w:start w:val="1"/>
      <w:numFmt w:val="bullet"/>
      <w:lvlText w:val="o"/>
      <w:lvlJc w:val="left"/>
      <w:pPr>
        <w:ind w:left="3600" w:hanging="360"/>
      </w:pPr>
      <w:rPr>
        <w:rFonts w:ascii="Courier New" w:hAnsi="Courier New" w:cs="Courier New" w:hint="default"/>
      </w:rPr>
    </w:lvl>
    <w:lvl w:ilvl="5" w:tplc="D2745E30" w:tentative="1">
      <w:start w:val="1"/>
      <w:numFmt w:val="bullet"/>
      <w:lvlText w:val=""/>
      <w:lvlJc w:val="left"/>
      <w:pPr>
        <w:ind w:left="4320" w:hanging="360"/>
      </w:pPr>
      <w:rPr>
        <w:rFonts w:ascii="Wingdings" w:hAnsi="Wingdings" w:hint="default"/>
      </w:rPr>
    </w:lvl>
    <w:lvl w:ilvl="6" w:tplc="DC94CFE8" w:tentative="1">
      <w:start w:val="1"/>
      <w:numFmt w:val="bullet"/>
      <w:lvlText w:val=""/>
      <w:lvlJc w:val="left"/>
      <w:pPr>
        <w:ind w:left="5040" w:hanging="360"/>
      </w:pPr>
      <w:rPr>
        <w:rFonts w:ascii="Symbol" w:hAnsi="Symbol" w:hint="default"/>
      </w:rPr>
    </w:lvl>
    <w:lvl w:ilvl="7" w:tplc="8A6E0870" w:tentative="1">
      <w:start w:val="1"/>
      <w:numFmt w:val="bullet"/>
      <w:lvlText w:val="o"/>
      <w:lvlJc w:val="left"/>
      <w:pPr>
        <w:ind w:left="5760" w:hanging="360"/>
      </w:pPr>
      <w:rPr>
        <w:rFonts w:ascii="Courier New" w:hAnsi="Courier New" w:cs="Courier New" w:hint="default"/>
      </w:rPr>
    </w:lvl>
    <w:lvl w:ilvl="8" w:tplc="267E1E0C" w:tentative="1">
      <w:start w:val="1"/>
      <w:numFmt w:val="bullet"/>
      <w:lvlText w:val=""/>
      <w:lvlJc w:val="left"/>
      <w:pPr>
        <w:ind w:left="6480" w:hanging="360"/>
      </w:pPr>
      <w:rPr>
        <w:rFonts w:ascii="Wingdings" w:hAnsi="Wingdings" w:hint="default"/>
      </w:rPr>
    </w:lvl>
  </w:abstractNum>
  <w:abstractNum w:abstractNumId="165" w15:restartNumberingAfterBreak="0">
    <w:nsid w:val="4E8E7181"/>
    <w:multiLevelType w:val="hybridMultilevel"/>
    <w:tmpl w:val="7D187A44"/>
    <w:lvl w:ilvl="0" w:tplc="660AFDAA">
      <w:start w:val="1"/>
      <w:numFmt w:val="decimal"/>
      <w:lvlText w:val="%1."/>
      <w:lvlJc w:val="left"/>
      <w:pPr>
        <w:ind w:left="720" w:hanging="360"/>
      </w:pPr>
      <w:rPr>
        <w:rFonts w:hint="default"/>
      </w:rPr>
    </w:lvl>
    <w:lvl w:ilvl="1" w:tplc="0AA6CF40" w:tentative="1">
      <w:start w:val="1"/>
      <w:numFmt w:val="lowerLetter"/>
      <w:lvlText w:val="%2."/>
      <w:lvlJc w:val="left"/>
      <w:pPr>
        <w:ind w:left="1440" w:hanging="360"/>
      </w:pPr>
    </w:lvl>
    <w:lvl w:ilvl="2" w:tplc="54F24306" w:tentative="1">
      <w:start w:val="1"/>
      <w:numFmt w:val="lowerRoman"/>
      <w:lvlText w:val="%3."/>
      <w:lvlJc w:val="right"/>
      <w:pPr>
        <w:ind w:left="2160" w:hanging="180"/>
      </w:pPr>
    </w:lvl>
    <w:lvl w:ilvl="3" w:tplc="A1EED80E" w:tentative="1">
      <w:start w:val="1"/>
      <w:numFmt w:val="decimal"/>
      <w:lvlText w:val="%4."/>
      <w:lvlJc w:val="left"/>
      <w:pPr>
        <w:ind w:left="2880" w:hanging="360"/>
      </w:pPr>
    </w:lvl>
    <w:lvl w:ilvl="4" w:tplc="2C02C8CC" w:tentative="1">
      <w:start w:val="1"/>
      <w:numFmt w:val="lowerLetter"/>
      <w:lvlText w:val="%5."/>
      <w:lvlJc w:val="left"/>
      <w:pPr>
        <w:ind w:left="3600" w:hanging="360"/>
      </w:pPr>
    </w:lvl>
    <w:lvl w:ilvl="5" w:tplc="C4F8DF90" w:tentative="1">
      <w:start w:val="1"/>
      <w:numFmt w:val="lowerRoman"/>
      <w:lvlText w:val="%6."/>
      <w:lvlJc w:val="right"/>
      <w:pPr>
        <w:ind w:left="4320" w:hanging="180"/>
      </w:pPr>
    </w:lvl>
    <w:lvl w:ilvl="6" w:tplc="2AF2E8A8" w:tentative="1">
      <w:start w:val="1"/>
      <w:numFmt w:val="decimal"/>
      <w:lvlText w:val="%7."/>
      <w:lvlJc w:val="left"/>
      <w:pPr>
        <w:ind w:left="5040" w:hanging="360"/>
      </w:pPr>
    </w:lvl>
    <w:lvl w:ilvl="7" w:tplc="140EB30C" w:tentative="1">
      <w:start w:val="1"/>
      <w:numFmt w:val="lowerLetter"/>
      <w:lvlText w:val="%8."/>
      <w:lvlJc w:val="left"/>
      <w:pPr>
        <w:ind w:left="5760" w:hanging="360"/>
      </w:pPr>
    </w:lvl>
    <w:lvl w:ilvl="8" w:tplc="4EDCA5FC" w:tentative="1">
      <w:start w:val="1"/>
      <w:numFmt w:val="lowerRoman"/>
      <w:lvlText w:val="%9."/>
      <w:lvlJc w:val="right"/>
      <w:pPr>
        <w:ind w:left="6480" w:hanging="180"/>
      </w:pPr>
    </w:lvl>
  </w:abstractNum>
  <w:abstractNum w:abstractNumId="166" w15:restartNumberingAfterBreak="0">
    <w:nsid w:val="4EBB2C34"/>
    <w:multiLevelType w:val="hybridMultilevel"/>
    <w:tmpl w:val="4112E3FA"/>
    <w:lvl w:ilvl="0" w:tplc="BCF45594">
      <w:start w:val="2"/>
      <w:numFmt w:val="upperLetter"/>
      <w:lvlText w:val="%1."/>
      <w:lvlJc w:val="left"/>
      <w:pPr>
        <w:tabs>
          <w:tab w:val="num" w:pos="1689"/>
        </w:tabs>
        <w:ind w:left="1689" w:hanging="555"/>
      </w:pPr>
      <w:rPr>
        <w:rFonts w:hint="default"/>
        <w:b/>
      </w:rPr>
    </w:lvl>
    <w:lvl w:ilvl="1" w:tplc="71682CF6">
      <w:start w:val="1"/>
      <w:numFmt w:val="lowerLetter"/>
      <w:lvlText w:val="%2."/>
      <w:lvlJc w:val="left"/>
      <w:pPr>
        <w:tabs>
          <w:tab w:val="num" w:pos="2214"/>
        </w:tabs>
        <w:ind w:left="2214" w:hanging="360"/>
      </w:pPr>
    </w:lvl>
    <w:lvl w:ilvl="2" w:tplc="282EF114" w:tentative="1">
      <w:start w:val="1"/>
      <w:numFmt w:val="lowerRoman"/>
      <w:lvlText w:val="%3."/>
      <w:lvlJc w:val="right"/>
      <w:pPr>
        <w:tabs>
          <w:tab w:val="num" w:pos="2934"/>
        </w:tabs>
        <w:ind w:left="2934" w:hanging="180"/>
      </w:pPr>
    </w:lvl>
    <w:lvl w:ilvl="3" w:tplc="4AD894FE" w:tentative="1">
      <w:start w:val="1"/>
      <w:numFmt w:val="decimal"/>
      <w:lvlText w:val="%4."/>
      <w:lvlJc w:val="left"/>
      <w:pPr>
        <w:tabs>
          <w:tab w:val="num" w:pos="3654"/>
        </w:tabs>
        <w:ind w:left="3654" w:hanging="360"/>
      </w:pPr>
    </w:lvl>
    <w:lvl w:ilvl="4" w:tplc="7EB6B2FC" w:tentative="1">
      <w:start w:val="1"/>
      <w:numFmt w:val="lowerLetter"/>
      <w:lvlText w:val="%5."/>
      <w:lvlJc w:val="left"/>
      <w:pPr>
        <w:tabs>
          <w:tab w:val="num" w:pos="4374"/>
        </w:tabs>
        <w:ind w:left="4374" w:hanging="360"/>
      </w:pPr>
    </w:lvl>
    <w:lvl w:ilvl="5" w:tplc="0F6CF8B4" w:tentative="1">
      <w:start w:val="1"/>
      <w:numFmt w:val="lowerRoman"/>
      <w:lvlText w:val="%6."/>
      <w:lvlJc w:val="right"/>
      <w:pPr>
        <w:tabs>
          <w:tab w:val="num" w:pos="5094"/>
        </w:tabs>
        <w:ind w:left="5094" w:hanging="180"/>
      </w:pPr>
    </w:lvl>
    <w:lvl w:ilvl="6" w:tplc="C666B6C0" w:tentative="1">
      <w:start w:val="1"/>
      <w:numFmt w:val="decimal"/>
      <w:lvlText w:val="%7."/>
      <w:lvlJc w:val="left"/>
      <w:pPr>
        <w:tabs>
          <w:tab w:val="num" w:pos="5814"/>
        </w:tabs>
        <w:ind w:left="5814" w:hanging="360"/>
      </w:pPr>
    </w:lvl>
    <w:lvl w:ilvl="7" w:tplc="8E12AE66" w:tentative="1">
      <w:start w:val="1"/>
      <w:numFmt w:val="lowerLetter"/>
      <w:lvlText w:val="%8."/>
      <w:lvlJc w:val="left"/>
      <w:pPr>
        <w:tabs>
          <w:tab w:val="num" w:pos="6534"/>
        </w:tabs>
        <w:ind w:left="6534" w:hanging="360"/>
      </w:pPr>
    </w:lvl>
    <w:lvl w:ilvl="8" w:tplc="EF3C7D92" w:tentative="1">
      <w:start w:val="1"/>
      <w:numFmt w:val="lowerRoman"/>
      <w:lvlText w:val="%9."/>
      <w:lvlJc w:val="right"/>
      <w:pPr>
        <w:tabs>
          <w:tab w:val="num" w:pos="7254"/>
        </w:tabs>
        <w:ind w:left="7254" w:hanging="180"/>
      </w:pPr>
    </w:lvl>
  </w:abstractNum>
  <w:abstractNum w:abstractNumId="167" w15:restartNumberingAfterBreak="0">
    <w:nsid w:val="4F164A4A"/>
    <w:multiLevelType w:val="hybridMultilevel"/>
    <w:tmpl w:val="2C32CBC2"/>
    <w:lvl w:ilvl="0" w:tplc="1B54C390">
      <w:start w:val="1"/>
      <w:numFmt w:val="bullet"/>
      <w:lvlText w:val=""/>
      <w:lvlJc w:val="left"/>
      <w:pPr>
        <w:tabs>
          <w:tab w:val="num" w:pos="690"/>
        </w:tabs>
        <w:ind w:left="690" w:hanging="360"/>
      </w:pPr>
      <w:rPr>
        <w:rFonts w:ascii="Symbol" w:hAnsi="Symbol" w:hint="default"/>
      </w:rPr>
    </w:lvl>
    <w:lvl w:ilvl="1" w:tplc="DEACE78E" w:tentative="1">
      <w:start w:val="1"/>
      <w:numFmt w:val="bullet"/>
      <w:lvlText w:val="o"/>
      <w:lvlJc w:val="left"/>
      <w:pPr>
        <w:tabs>
          <w:tab w:val="num" w:pos="1440"/>
        </w:tabs>
        <w:ind w:left="1440" w:hanging="360"/>
      </w:pPr>
      <w:rPr>
        <w:rFonts w:ascii="Courier New" w:hAnsi="Courier New" w:hint="default"/>
      </w:rPr>
    </w:lvl>
    <w:lvl w:ilvl="2" w:tplc="C8A27ABA" w:tentative="1">
      <w:start w:val="1"/>
      <w:numFmt w:val="bullet"/>
      <w:lvlText w:val=""/>
      <w:lvlJc w:val="left"/>
      <w:pPr>
        <w:tabs>
          <w:tab w:val="num" w:pos="2160"/>
        </w:tabs>
        <w:ind w:left="2160" w:hanging="360"/>
      </w:pPr>
      <w:rPr>
        <w:rFonts w:ascii="Wingdings" w:hAnsi="Wingdings" w:hint="default"/>
      </w:rPr>
    </w:lvl>
    <w:lvl w:ilvl="3" w:tplc="B33ED148" w:tentative="1">
      <w:start w:val="1"/>
      <w:numFmt w:val="bullet"/>
      <w:lvlText w:val=""/>
      <w:lvlJc w:val="left"/>
      <w:pPr>
        <w:tabs>
          <w:tab w:val="num" w:pos="2880"/>
        </w:tabs>
        <w:ind w:left="2880" w:hanging="360"/>
      </w:pPr>
      <w:rPr>
        <w:rFonts w:ascii="Symbol" w:hAnsi="Symbol" w:hint="default"/>
      </w:rPr>
    </w:lvl>
    <w:lvl w:ilvl="4" w:tplc="75AA9938" w:tentative="1">
      <w:start w:val="1"/>
      <w:numFmt w:val="bullet"/>
      <w:lvlText w:val="o"/>
      <w:lvlJc w:val="left"/>
      <w:pPr>
        <w:tabs>
          <w:tab w:val="num" w:pos="3600"/>
        </w:tabs>
        <w:ind w:left="3600" w:hanging="360"/>
      </w:pPr>
      <w:rPr>
        <w:rFonts w:ascii="Courier New" w:hAnsi="Courier New" w:hint="default"/>
      </w:rPr>
    </w:lvl>
    <w:lvl w:ilvl="5" w:tplc="A36E5518" w:tentative="1">
      <w:start w:val="1"/>
      <w:numFmt w:val="bullet"/>
      <w:lvlText w:val=""/>
      <w:lvlJc w:val="left"/>
      <w:pPr>
        <w:tabs>
          <w:tab w:val="num" w:pos="4320"/>
        </w:tabs>
        <w:ind w:left="4320" w:hanging="360"/>
      </w:pPr>
      <w:rPr>
        <w:rFonts w:ascii="Wingdings" w:hAnsi="Wingdings" w:hint="default"/>
      </w:rPr>
    </w:lvl>
    <w:lvl w:ilvl="6" w:tplc="F73ED0AC" w:tentative="1">
      <w:start w:val="1"/>
      <w:numFmt w:val="bullet"/>
      <w:lvlText w:val=""/>
      <w:lvlJc w:val="left"/>
      <w:pPr>
        <w:tabs>
          <w:tab w:val="num" w:pos="5040"/>
        </w:tabs>
        <w:ind w:left="5040" w:hanging="360"/>
      </w:pPr>
      <w:rPr>
        <w:rFonts w:ascii="Symbol" w:hAnsi="Symbol" w:hint="default"/>
      </w:rPr>
    </w:lvl>
    <w:lvl w:ilvl="7" w:tplc="CCB268CE" w:tentative="1">
      <w:start w:val="1"/>
      <w:numFmt w:val="bullet"/>
      <w:lvlText w:val="o"/>
      <w:lvlJc w:val="left"/>
      <w:pPr>
        <w:tabs>
          <w:tab w:val="num" w:pos="5760"/>
        </w:tabs>
        <w:ind w:left="5760" w:hanging="360"/>
      </w:pPr>
      <w:rPr>
        <w:rFonts w:ascii="Courier New" w:hAnsi="Courier New" w:hint="default"/>
      </w:rPr>
    </w:lvl>
    <w:lvl w:ilvl="8" w:tplc="269229F4"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4F7F04E4"/>
    <w:multiLevelType w:val="hybridMultilevel"/>
    <w:tmpl w:val="9AFA1766"/>
    <w:lvl w:ilvl="0" w:tplc="B7DA9C60">
      <w:start w:val="1"/>
      <w:numFmt w:val="bullet"/>
      <w:lvlText w:val=""/>
      <w:lvlJc w:val="left"/>
      <w:pPr>
        <w:ind w:left="720" w:hanging="360"/>
      </w:pPr>
      <w:rPr>
        <w:rFonts w:ascii="Symbol" w:hAnsi="Symbol" w:hint="default"/>
      </w:rPr>
    </w:lvl>
    <w:lvl w:ilvl="1" w:tplc="B87AB84E" w:tentative="1">
      <w:start w:val="1"/>
      <w:numFmt w:val="bullet"/>
      <w:lvlText w:val="o"/>
      <w:lvlJc w:val="left"/>
      <w:pPr>
        <w:ind w:left="1440" w:hanging="360"/>
      </w:pPr>
      <w:rPr>
        <w:rFonts w:ascii="Courier New" w:hAnsi="Courier New" w:cs="Courier New" w:hint="default"/>
      </w:rPr>
    </w:lvl>
    <w:lvl w:ilvl="2" w:tplc="21DEC4E8" w:tentative="1">
      <w:start w:val="1"/>
      <w:numFmt w:val="bullet"/>
      <w:lvlText w:val=""/>
      <w:lvlJc w:val="left"/>
      <w:pPr>
        <w:ind w:left="2160" w:hanging="360"/>
      </w:pPr>
      <w:rPr>
        <w:rFonts w:ascii="Wingdings" w:hAnsi="Wingdings" w:hint="default"/>
      </w:rPr>
    </w:lvl>
    <w:lvl w:ilvl="3" w:tplc="7242ACD4" w:tentative="1">
      <w:start w:val="1"/>
      <w:numFmt w:val="bullet"/>
      <w:lvlText w:val=""/>
      <w:lvlJc w:val="left"/>
      <w:pPr>
        <w:ind w:left="2880" w:hanging="360"/>
      </w:pPr>
      <w:rPr>
        <w:rFonts w:ascii="Symbol" w:hAnsi="Symbol" w:hint="default"/>
      </w:rPr>
    </w:lvl>
    <w:lvl w:ilvl="4" w:tplc="B08EEC94" w:tentative="1">
      <w:start w:val="1"/>
      <w:numFmt w:val="bullet"/>
      <w:lvlText w:val="o"/>
      <w:lvlJc w:val="left"/>
      <w:pPr>
        <w:ind w:left="3600" w:hanging="360"/>
      </w:pPr>
      <w:rPr>
        <w:rFonts w:ascii="Courier New" w:hAnsi="Courier New" w:cs="Courier New" w:hint="default"/>
      </w:rPr>
    </w:lvl>
    <w:lvl w:ilvl="5" w:tplc="923A54D8" w:tentative="1">
      <w:start w:val="1"/>
      <w:numFmt w:val="bullet"/>
      <w:lvlText w:val=""/>
      <w:lvlJc w:val="left"/>
      <w:pPr>
        <w:ind w:left="4320" w:hanging="360"/>
      </w:pPr>
      <w:rPr>
        <w:rFonts w:ascii="Wingdings" w:hAnsi="Wingdings" w:hint="default"/>
      </w:rPr>
    </w:lvl>
    <w:lvl w:ilvl="6" w:tplc="789431F0" w:tentative="1">
      <w:start w:val="1"/>
      <w:numFmt w:val="bullet"/>
      <w:lvlText w:val=""/>
      <w:lvlJc w:val="left"/>
      <w:pPr>
        <w:ind w:left="5040" w:hanging="360"/>
      </w:pPr>
      <w:rPr>
        <w:rFonts w:ascii="Symbol" w:hAnsi="Symbol" w:hint="default"/>
      </w:rPr>
    </w:lvl>
    <w:lvl w:ilvl="7" w:tplc="34FAD830" w:tentative="1">
      <w:start w:val="1"/>
      <w:numFmt w:val="bullet"/>
      <w:lvlText w:val="o"/>
      <w:lvlJc w:val="left"/>
      <w:pPr>
        <w:ind w:left="5760" w:hanging="360"/>
      </w:pPr>
      <w:rPr>
        <w:rFonts w:ascii="Courier New" w:hAnsi="Courier New" w:cs="Courier New" w:hint="default"/>
      </w:rPr>
    </w:lvl>
    <w:lvl w:ilvl="8" w:tplc="3C32CCEA" w:tentative="1">
      <w:start w:val="1"/>
      <w:numFmt w:val="bullet"/>
      <w:lvlText w:val=""/>
      <w:lvlJc w:val="left"/>
      <w:pPr>
        <w:ind w:left="6480" w:hanging="360"/>
      </w:pPr>
      <w:rPr>
        <w:rFonts w:ascii="Wingdings" w:hAnsi="Wingdings" w:hint="default"/>
      </w:rPr>
    </w:lvl>
  </w:abstractNum>
  <w:abstractNum w:abstractNumId="169" w15:restartNumberingAfterBreak="0">
    <w:nsid w:val="507A2C9C"/>
    <w:multiLevelType w:val="hybridMultilevel"/>
    <w:tmpl w:val="139ED722"/>
    <w:lvl w:ilvl="0" w:tplc="BC94158E">
      <w:start w:val="1"/>
      <w:numFmt w:val="bullet"/>
      <w:lvlText w:val=""/>
      <w:lvlJc w:val="left"/>
      <w:pPr>
        <w:ind w:left="720" w:hanging="360"/>
      </w:pPr>
      <w:rPr>
        <w:rFonts w:ascii="Symbol" w:hAnsi="Symbol" w:hint="default"/>
      </w:rPr>
    </w:lvl>
    <w:lvl w:ilvl="1" w:tplc="2C7CED4E" w:tentative="1">
      <w:start w:val="1"/>
      <w:numFmt w:val="bullet"/>
      <w:lvlText w:val="o"/>
      <w:lvlJc w:val="left"/>
      <w:pPr>
        <w:ind w:left="1440" w:hanging="360"/>
      </w:pPr>
      <w:rPr>
        <w:rFonts w:ascii="Courier New" w:hAnsi="Courier New" w:cs="Courier New" w:hint="default"/>
      </w:rPr>
    </w:lvl>
    <w:lvl w:ilvl="2" w:tplc="4DD2D486" w:tentative="1">
      <w:start w:val="1"/>
      <w:numFmt w:val="bullet"/>
      <w:lvlText w:val=""/>
      <w:lvlJc w:val="left"/>
      <w:pPr>
        <w:ind w:left="2160" w:hanging="360"/>
      </w:pPr>
      <w:rPr>
        <w:rFonts w:ascii="Wingdings" w:hAnsi="Wingdings" w:hint="default"/>
      </w:rPr>
    </w:lvl>
    <w:lvl w:ilvl="3" w:tplc="D9CABCB6" w:tentative="1">
      <w:start w:val="1"/>
      <w:numFmt w:val="bullet"/>
      <w:lvlText w:val=""/>
      <w:lvlJc w:val="left"/>
      <w:pPr>
        <w:ind w:left="2880" w:hanging="360"/>
      </w:pPr>
      <w:rPr>
        <w:rFonts w:ascii="Symbol" w:hAnsi="Symbol" w:hint="default"/>
      </w:rPr>
    </w:lvl>
    <w:lvl w:ilvl="4" w:tplc="21DE81FA" w:tentative="1">
      <w:start w:val="1"/>
      <w:numFmt w:val="bullet"/>
      <w:lvlText w:val="o"/>
      <w:lvlJc w:val="left"/>
      <w:pPr>
        <w:ind w:left="3600" w:hanging="360"/>
      </w:pPr>
      <w:rPr>
        <w:rFonts w:ascii="Courier New" w:hAnsi="Courier New" w:cs="Courier New" w:hint="default"/>
      </w:rPr>
    </w:lvl>
    <w:lvl w:ilvl="5" w:tplc="CA1667C6" w:tentative="1">
      <w:start w:val="1"/>
      <w:numFmt w:val="bullet"/>
      <w:lvlText w:val=""/>
      <w:lvlJc w:val="left"/>
      <w:pPr>
        <w:ind w:left="4320" w:hanging="360"/>
      </w:pPr>
      <w:rPr>
        <w:rFonts w:ascii="Wingdings" w:hAnsi="Wingdings" w:hint="default"/>
      </w:rPr>
    </w:lvl>
    <w:lvl w:ilvl="6" w:tplc="9DAAF426" w:tentative="1">
      <w:start w:val="1"/>
      <w:numFmt w:val="bullet"/>
      <w:lvlText w:val=""/>
      <w:lvlJc w:val="left"/>
      <w:pPr>
        <w:ind w:left="5040" w:hanging="360"/>
      </w:pPr>
      <w:rPr>
        <w:rFonts w:ascii="Symbol" w:hAnsi="Symbol" w:hint="default"/>
      </w:rPr>
    </w:lvl>
    <w:lvl w:ilvl="7" w:tplc="DB06284A" w:tentative="1">
      <w:start w:val="1"/>
      <w:numFmt w:val="bullet"/>
      <w:lvlText w:val="o"/>
      <w:lvlJc w:val="left"/>
      <w:pPr>
        <w:ind w:left="5760" w:hanging="360"/>
      </w:pPr>
      <w:rPr>
        <w:rFonts w:ascii="Courier New" w:hAnsi="Courier New" w:cs="Courier New" w:hint="default"/>
      </w:rPr>
    </w:lvl>
    <w:lvl w:ilvl="8" w:tplc="2CEE2806" w:tentative="1">
      <w:start w:val="1"/>
      <w:numFmt w:val="bullet"/>
      <w:lvlText w:val=""/>
      <w:lvlJc w:val="left"/>
      <w:pPr>
        <w:ind w:left="6480" w:hanging="360"/>
      </w:pPr>
      <w:rPr>
        <w:rFonts w:ascii="Wingdings" w:hAnsi="Wingdings" w:hint="default"/>
      </w:rPr>
    </w:lvl>
  </w:abstractNum>
  <w:abstractNum w:abstractNumId="170" w15:restartNumberingAfterBreak="0">
    <w:nsid w:val="50A74FB5"/>
    <w:multiLevelType w:val="hybridMultilevel"/>
    <w:tmpl w:val="243445FE"/>
    <w:lvl w:ilvl="0" w:tplc="8B748A18">
      <w:start w:val="1"/>
      <w:numFmt w:val="bullet"/>
      <w:lvlText w:val=""/>
      <w:lvlJc w:val="left"/>
      <w:pPr>
        <w:tabs>
          <w:tab w:val="num" w:pos="720"/>
        </w:tabs>
        <w:ind w:left="720" w:hanging="360"/>
      </w:pPr>
      <w:rPr>
        <w:rFonts w:ascii="Wingdings" w:hAnsi="Wingdings" w:hint="default"/>
      </w:rPr>
    </w:lvl>
    <w:lvl w:ilvl="1" w:tplc="61FA0D3A" w:tentative="1">
      <w:start w:val="1"/>
      <w:numFmt w:val="bullet"/>
      <w:lvlText w:val="o"/>
      <w:lvlJc w:val="left"/>
      <w:pPr>
        <w:tabs>
          <w:tab w:val="num" w:pos="1440"/>
        </w:tabs>
        <w:ind w:left="1440" w:hanging="360"/>
      </w:pPr>
      <w:rPr>
        <w:rFonts w:ascii="Courier New" w:hAnsi="Courier New" w:hint="default"/>
      </w:rPr>
    </w:lvl>
    <w:lvl w:ilvl="2" w:tplc="BD2005EA" w:tentative="1">
      <w:start w:val="1"/>
      <w:numFmt w:val="bullet"/>
      <w:lvlText w:val=""/>
      <w:lvlJc w:val="left"/>
      <w:pPr>
        <w:tabs>
          <w:tab w:val="num" w:pos="2160"/>
        </w:tabs>
        <w:ind w:left="2160" w:hanging="360"/>
      </w:pPr>
      <w:rPr>
        <w:rFonts w:ascii="Wingdings" w:hAnsi="Wingdings" w:hint="default"/>
      </w:rPr>
    </w:lvl>
    <w:lvl w:ilvl="3" w:tplc="49D00774" w:tentative="1">
      <w:start w:val="1"/>
      <w:numFmt w:val="bullet"/>
      <w:lvlText w:val=""/>
      <w:lvlJc w:val="left"/>
      <w:pPr>
        <w:tabs>
          <w:tab w:val="num" w:pos="2880"/>
        </w:tabs>
        <w:ind w:left="2880" w:hanging="360"/>
      </w:pPr>
      <w:rPr>
        <w:rFonts w:ascii="Symbol" w:hAnsi="Symbol" w:hint="default"/>
      </w:rPr>
    </w:lvl>
    <w:lvl w:ilvl="4" w:tplc="4726D106" w:tentative="1">
      <w:start w:val="1"/>
      <w:numFmt w:val="bullet"/>
      <w:lvlText w:val="o"/>
      <w:lvlJc w:val="left"/>
      <w:pPr>
        <w:tabs>
          <w:tab w:val="num" w:pos="3600"/>
        </w:tabs>
        <w:ind w:left="3600" w:hanging="360"/>
      </w:pPr>
      <w:rPr>
        <w:rFonts w:ascii="Courier New" w:hAnsi="Courier New" w:hint="default"/>
      </w:rPr>
    </w:lvl>
    <w:lvl w:ilvl="5" w:tplc="56D461E2" w:tentative="1">
      <w:start w:val="1"/>
      <w:numFmt w:val="bullet"/>
      <w:lvlText w:val=""/>
      <w:lvlJc w:val="left"/>
      <w:pPr>
        <w:tabs>
          <w:tab w:val="num" w:pos="4320"/>
        </w:tabs>
        <w:ind w:left="4320" w:hanging="360"/>
      </w:pPr>
      <w:rPr>
        <w:rFonts w:ascii="Wingdings" w:hAnsi="Wingdings" w:hint="default"/>
      </w:rPr>
    </w:lvl>
    <w:lvl w:ilvl="6" w:tplc="9B545B0A" w:tentative="1">
      <w:start w:val="1"/>
      <w:numFmt w:val="bullet"/>
      <w:lvlText w:val=""/>
      <w:lvlJc w:val="left"/>
      <w:pPr>
        <w:tabs>
          <w:tab w:val="num" w:pos="5040"/>
        </w:tabs>
        <w:ind w:left="5040" w:hanging="360"/>
      </w:pPr>
      <w:rPr>
        <w:rFonts w:ascii="Symbol" w:hAnsi="Symbol" w:hint="default"/>
      </w:rPr>
    </w:lvl>
    <w:lvl w:ilvl="7" w:tplc="203877CE" w:tentative="1">
      <w:start w:val="1"/>
      <w:numFmt w:val="bullet"/>
      <w:lvlText w:val="o"/>
      <w:lvlJc w:val="left"/>
      <w:pPr>
        <w:tabs>
          <w:tab w:val="num" w:pos="5760"/>
        </w:tabs>
        <w:ind w:left="5760" w:hanging="360"/>
      </w:pPr>
      <w:rPr>
        <w:rFonts w:ascii="Courier New" w:hAnsi="Courier New" w:hint="default"/>
      </w:rPr>
    </w:lvl>
    <w:lvl w:ilvl="8" w:tplc="8F68FF88"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50C61320"/>
    <w:multiLevelType w:val="hybridMultilevel"/>
    <w:tmpl w:val="B3DA4762"/>
    <w:lvl w:ilvl="0" w:tplc="F2D0CAC8">
      <w:start w:val="1"/>
      <w:numFmt w:val="bullet"/>
      <w:lvlText w:val=""/>
      <w:lvlJc w:val="left"/>
      <w:pPr>
        <w:ind w:left="720" w:hanging="360"/>
      </w:pPr>
      <w:rPr>
        <w:rFonts w:ascii="Symbol" w:hAnsi="Symbol" w:hint="default"/>
      </w:rPr>
    </w:lvl>
    <w:lvl w:ilvl="1" w:tplc="D8365290" w:tentative="1">
      <w:start w:val="1"/>
      <w:numFmt w:val="bullet"/>
      <w:lvlText w:val="o"/>
      <w:lvlJc w:val="left"/>
      <w:pPr>
        <w:ind w:left="1440" w:hanging="360"/>
      </w:pPr>
      <w:rPr>
        <w:rFonts w:ascii="Courier New" w:hAnsi="Courier New" w:cs="Courier New" w:hint="default"/>
      </w:rPr>
    </w:lvl>
    <w:lvl w:ilvl="2" w:tplc="BA1A058A" w:tentative="1">
      <w:start w:val="1"/>
      <w:numFmt w:val="bullet"/>
      <w:lvlText w:val=""/>
      <w:lvlJc w:val="left"/>
      <w:pPr>
        <w:ind w:left="2160" w:hanging="360"/>
      </w:pPr>
      <w:rPr>
        <w:rFonts w:ascii="Wingdings" w:hAnsi="Wingdings" w:hint="default"/>
      </w:rPr>
    </w:lvl>
    <w:lvl w:ilvl="3" w:tplc="FCBA0122" w:tentative="1">
      <w:start w:val="1"/>
      <w:numFmt w:val="bullet"/>
      <w:lvlText w:val=""/>
      <w:lvlJc w:val="left"/>
      <w:pPr>
        <w:ind w:left="2880" w:hanging="360"/>
      </w:pPr>
      <w:rPr>
        <w:rFonts w:ascii="Symbol" w:hAnsi="Symbol" w:hint="default"/>
      </w:rPr>
    </w:lvl>
    <w:lvl w:ilvl="4" w:tplc="B5982ABA" w:tentative="1">
      <w:start w:val="1"/>
      <w:numFmt w:val="bullet"/>
      <w:lvlText w:val="o"/>
      <w:lvlJc w:val="left"/>
      <w:pPr>
        <w:ind w:left="3600" w:hanging="360"/>
      </w:pPr>
      <w:rPr>
        <w:rFonts w:ascii="Courier New" w:hAnsi="Courier New" w:cs="Courier New" w:hint="default"/>
      </w:rPr>
    </w:lvl>
    <w:lvl w:ilvl="5" w:tplc="7128A53A" w:tentative="1">
      <w:start w:val="1"/>
      <w:numFmt w:val="bullet"/>
      <w:lvlText w:val=""/>
      <w:lvlJc w:val="left"/>
      <w:pPr>
        <w:ind w:left="4320" w:hanging="360"/>
      </w:pPr>
      <w:rPr>
        <w:rFonts w:ascii="Wingdings" w:hAnsi="Wingdings" w:hint="default"/>
      </w:rPr>
    </w:lvl>
    <w:lvl w:ilvl="6" w:tplc="3BF46610" w:tentative="1">
      <w:start w:val="1"/>
      <w:numFmt w:val="bullet"/>
      <w:lvlText w:val=""/>
      <w:lvlJc w:val="left"/>
      <w:pPr>
        <w:ind w:left="5040" w:hanging="360"/>
      </w:pPr>
      <w:rPr>
        <w:rFonts w:ascii="Symbol" w:hAnsi="Symbol" w:hint="default"/>
      </w:rPr>
    </w:lvl>
    <w:lvl w:ilvl="7" w:tplc="F5C07992" w:tentative="1">
      <w:start w:val="1"/>
      <w:numFmt w:val="bullet"/>
      <w:lvlText w:val="o"/>
      <w:lvlJc w:val="left"/>
      <w:pPr>
        <w:ind w:left="5760" w:hanging="360"/>
      </w:pPr>
      <w:rPr>
        <w:rFonts w:ascii="Courier New" w:hAnsi="Courier New" w:cs="Courier New" w:hint="default"/>
      </w:rPr>
    </w:lvl>
    <w:lvl w:ilvl="8" w:tplc="67DE0CEA" w:tentative="1">
      <w:start w:val="1"/>
      <w:numFmt w:val="bullet"/>
      <w:lvlText w:val=""/>
      <w:lvlJc w:val="left"/>
      <w:pPr>
        <w:ind w:left="6480" w:hanging="360"/>
      </w:pPr>
      <w:rPr>
        <w:rFonts w:ascii="Wingdings" w:hAnsi="Wingdings" w:hint="default"/>
      </w:rPr>
    </w:lvl>
  </w:abstractNum>
  <w:abstractNum w:abstractNumId="172" w15:restartNumberingAfterBreak="0">
    <w:nsid w:val="50E94E03"/>
    <w:multiLevelType w:val="hybridMultilevel"/>
    <w:tmpl w:val="07186D48"/>
    <w:lvl w:ilvl="0" w:tplc="A1C2FE40">
      <w:start w:val="1"/>
      <w:numFmt w:val="bullet"/>
      <w:lvlText w:val=""/>
      <w:lvlJc w:val="left"/>
      <w:pPr>
        <w:tabs>
          <w:tab w:val="num" w:pos="720"/>
        </w:tabs>
        <w:ind w:left="720" w:hanging="360"/>
      </w:pPr>
      <w:rPr>
        <w:rFonts w:ascii="Symbol" w:hAnsi="Symbol" w:hint="default"/>
      </w:rPr>
    </w:lvl>
    <w:lvl w:ilvl="1" w:tplc="AC0CBC6E" w:tentative="1">
      <w:start w:val="1"/>
      <w:numFmt w:val="bullet"/>
      <w:lvlText w:val="o"/>
      <w:lvlJc w:val="left"/>
      <w:pPr>
        <w:tabs>
          <w:tab w:val="num" w:pos="1440"/>
        </w:tabs>
        <w:ind w:left="1440" w:hanging="360"/>
      </w:pPr>
      <w:rPr>
        <w:rFonts w:ascii="Courier New" w:hAnsi="Courier New" w:cs="Courier New" w:hint="default"/>
      </w:rPr>
    </w:lvl>
    <w:lvl w:ilvl="2" w:tplc="5F2CB760" w:tentative="1">
      <w:start w:val="1"/>
      <w:numFmt w:val="bullet"/>
      <w:lvlText w:val=""/>
      <w:lvlJc w:val="left"/>
      <w:pPr>
        <w:tabs>
          <w:tab w:val="num" w:pos="2160"/>
        </w:tabs>
        <w:ind w:left="2160" w:hanging="360"/>
      </w:pPr>
      <w:rPr>
        <w:rFonts w:ascii="Wingdings" w:hAnsi="Wingdings" w:hint="default"/>
      </w:rPr>
    </w:lvl>
    <w:lvl w:ilvl="3" w:tplc="78DAD082" w:tentative="1">
      <w:start w:val="1"/>
      <w:numFmt w:val="bullet"/>
      <w:lvlText w:val=""/>
      <w:lvlJc w:val="left"/>
      <w:pPr>
        <w:tabs>
          <w:tab w:val="num" w:pos="2880"/>
        </w:tabs>
        <w:ind w:left="2880" w:hanging="360"/>
      </w:pPr>
      <w:rPr>
        <w:rFonts w:ascii="Symbol" w:hAnsi="Symbol" w:hint="default"/>
      </w:rPr>
    </w:lvl>
    <w:lvl w:ilvl="4" w:tplc="B270E4D4" w:tentative="1">
      <w:start w:val="1"/>
      <w:numFmt w:val="bullet"/>
      <w:lvlText w:val="o"/>
      <w:lvlJc w:val="left"/>
      <w:pPr>
        <w:tabs>
          <w:tab w:val="num" w:pos="3600"/>
        </w:tabs>
        <w:ind w:left="3600" w:hanging="360"/>
      </w:pPr>
      <w:rPr>
        <w:rFonts w:ascii="Courier New" w:hAnsi="Courier New" w:cs="Courier New" w:hint="default"/>
      </w:rPr>
    </w:lvl>
    <w:lvl w:ilvl="5" w:tplc="163C576A" w:tentative="1">
      <w:start w:val="1"/>
      <w:numFmt w:val="bullet"/>
      <w:lvlText w:val=""/>
      <w:lvlJc w:val="left"/>
      <w:pPr>
        <w:tabs>
          <w:tab w:val="num" w:pos="4320"/>
        </w:tabs>
        <w:ind w:left="4320" w:hanging="360"/>
      </w:pPr>
      <w:rPr>
        <w:rFonts w:ascii="Wingdings" w:hAnsi="Wingdings" w:hint="default"/>
      </w:rPr>
    </w:lvl>
    <w:lvl w:ilvl="6" w:tplc="D2F21E6A" w:tentative="1">
      <w:start w:val="1"/>
      <w:numFmt w:val="bullet"/>
      <w:lvlText w:val=""/>
      <w:lvlJc w:val="left"/>
      <w:pPr>
        <w:tabs>
          <w:tab w:val="num" w:pos="5040"/>
        </w:tabs>
        <w:ind w:left="5040" w:hanging="360"/>
      </w:pPr>
      <w:rPr>
        <w:rFonts w:ascii="Symbol" w:hAnsi="Symbol" w:hint="default"/>
      </w:rPr>
    </w:lvl>
    <w:lvl w:ilvl="7" w:tplc="3726373A" w:tentative="1">
      <w:start w:val="1"/>
      <w:numFmt w:val="bullet"/>
      <w:lvlText w:val="o"/>
      <w:lvlJc w:val="left"/>
      <w:pPr>
        <w:tabs>
          <w:tab w:val="num" w:pos="5760"/>
        </w:tabs>
        <w:ind w:left="5760" w:hanging="360"/>
      </w:pPr>
      <w:rPr>
        <w:rFonts w:ascii="Courier New" w:hAnsi="Courier New" w:cs="Courier New" w:hint="default"/>
      </w:rPr>
    </w:lvl>
    <w:lvl w:ilvl="8" w:tplc="0D5AB684"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510D1801"/>
    <w:multiLevelType w:val="hybridMultilevel"/>
    <w:tmpl w:val="34E6B848"/>
    <w:lvl w:ilvl="0" w:tplc="FAD21300">
      <w:start w:val="1"/>
      <w:numFmt w:val="bullet"/>
      <w:lvlText w:val=""/>
      <w:lvlJc w:val="left"/>
      <w:pPr>
        <w:ind w:left="780" w:hanging="360"/>
      </w:pPr>
      <w:rPr>
        <w:rFonts w:ascii="Symbol" w:hAnsi="Symbol" w:hint="default"/>
      </w:rPr>
    </w:lvl>
    <w:lvl w:ilvl="1" w:tplc="637C222C" w:tentative="1">
      <w:start w:val="1"/>
      <w:numFmt w:val="bullet"/>
      <w:lvlText w:val="o"/>
      <w:lvlJc w:val="left"/>
      <w:pPr>
        <w:ind w:left="1500" w:hanging="360"/>
      </w:pPr>
      <w:rPr>
        <w:rFonts w:ascii="Courier New" w:hAnsi="Courier New" w:cs="Courier New" w:hint="default"/>
      </w:rPr>
    </w:lvl>
    <w:lvl w:ilvl="2" w:tplc="5EA0809C" w:tentative="1">
      <w:start w:val="1"/>
      <w:numFmt w:val="bullet"/>
      <w:lvlText w:val=""/>
      <w:lvlJc w:val="left"/>
      <w:pPr>
        <w:ind w:left="2220" w:hanging="360"/>
      </w:pPr>
      <w:rPr>
        <w:rFonts w:ascii="Wingdings" w:hAnsi="Wingdings" w:hint="default"/>
      </w:rPr>
    </w:lvl>
    <w:lvl w:ilvl="3" w:tplc="626C2694" w:tentative="1">
      <w:start w:val="1"/>
      <w:numFmt w:val="bullet"/>
      <w:lvlText w:val=""/>
      <w:lvlJc w:val="left"/>
      <w:pPr>
        <w:ind w:left="2940" w:hanging="360"/>
      </w:pPr>
      <w:rPr>
        <w:rFonts w:ascii="Symbol" w:hAnsi="Symbol" w:hint="default"/>
      </w:rPr>
    </w:lvl>
    <w:lvl w:ilvl="4" w:tplc="3EB62A74" w:tentative="1">
      <w:start w:val="1"/>
      <w:numFmt w:val="bullet"/>
      <w:lvlText w:val="o"/>
      <w:lvlJc w:val="left"/>
      <w:pPr>
        <w:ind w:left="3660" w:hanging="360"/>
      </w:pPr>
      <w:rPr>
        <w:rFonts w:ascii="Courier New" w:hAnsi="Courier New" w:cs="Courier New" w:hint="default"/>
      </w:rPr>
    </w:lvl>
    <w:lvl w:ilvl="5" w:tplc="E7646F38" w:tentative="1">
      <w:start w:val="1"/>
      <w:numFmt w:val="bullet"/>
      <w:lvlText w:val=""/>
      <w:lvlJc w:val="left"/>
      <w:pPr>
        <w:ind w:left="4380" w:hanging="360"/>
      </w:pPr>
      <w:rPr>
        <w:rFonts w:ascii="Wingdings" w:hAnsi="Wingdings" w:hint="default"/>
      </w:rPr>
    </w:lvl>
    <w:lvl w:ilvl="6" w:tplc="2110B632" w:tentative="1">
      <w:start w:val="1"/>
      <w:numFmt w:val="bullet"/>
      <w:lvlText w:val=""/>
      <w:lvlJc w:val="left"/>
      <w:pPr>
        <w:ind w:left="5100" w:hanging="360"/>
      </w:pPr>
      <w:rPr>
        <w:rFonts w:ascii="Symbol" w:hAnsi="Symbol" w:hint="default"/>
      </w:rPr>
    </w:lvl>
    <w:lvl w:ilvl="7" w:tplc="0FE05322" w:tentative="1">
      <w:start w:val="1"/>
      <w:numFmt w:val="bullet"/>
      <w:lvlText w:val="o"/>
      <w:lvlJc w:val="left"/>
      <w:pPr>
        <w:ind w:left="5820" w:hanging="360"/>
      </w:pPr>
      <w:rPr>
        <w:rFonts w:ascii="Courier New" w:hAnsi="Courier New" w:cs="Courier New" w:hint="default"/>
      </w:rPr>
    </w:lvl>
    <w:lvl w:ilvl="8" w:tplc="CA885FBE" w:tentative="1">
      <w:start w:val="1"/>
      <w:numFmt w:val="bullet"/>
      <w:lvlText w:val=""/>
      <w:lvlJc w:val="left"/>
      <w:pPr>
        <w:ind w:left="6540" w:hanging="360"/>
      </w:pPr>
      <w:rPr>
        <w:rFonts w:ascii="Wingdings" w:hAnsi="Wingdings" w:hint="default"/>
      </w:rPr>
    </w:lvl>
  </w:abstractNum>
  <w:abstractNum w:abstractNumId="174" w15:restartNumberingAfterBreak="0">
    <w:nsid w:val="529908E3"/>
    <w:multiLevelType w:val="hybridMultilevel"/>
    <w:tmpl w:val="386C06D0"/>
    <w:lvl w:ilvl="0" w:tplc="06DC906A">
      <w:start w:val="1"/>
      <w:numFmt w:val="bullet"/>
      <w:lvlText w:val=""/>
      <w:lvlJc w:val="left"/>
      <w:pPr>
        <w:tabs>
          <w:tab w:val="num" w:pos="720"/>
        </w:tabs>
        <w:ind w:left="720" w:hanging="360"/>
      </w:pPr>
      <w:rPr>
        <w:rFonts w:ascii="Symbol" w:hAnsi="Symbol" w:hint="default"/>
        <w:sz w:val="22"/>
      </w:rPr>
    </w:lvl>
    <w:lvl w:ilvl="1" w:tplc="DEDAEB46">
      <w:start w:val="1"/>
      <w:numFmt w:val="bullet"/>
      <w:lvlText w:val="o"/>
      <w:lvlJc w:val="left"/>
      <w:pPr>
        <w:tabs>
          <w:tab w:val="num" w:pos="1440"/>
        </w:tabs>
        <w:ind w:left="1440" w:hanging="360"/>
      </w:pPr>
      <w:rPr>
        <w:rFonts w:ascii="Courier New" w:hAnsi="Courier New" w:hint="default"/>
      </w:rPr>
    </w:lvl>
    <w:lvl w:ilvl="2" w:tplc="7FD22ED0" w:tentative="1">
      <w:start w:val="1"/>
      <w:numFmt w:val="bullet"/>
      <w:lvlText w:val=""/>
      <w:lvlJc w:val="left"/>
      <w:pPr>
        <w:tabs>
          <w:tab w:val="num" w:pos="2160"/>
        </w:tabs>
        <w:ind w:left="2160" w:hanging="360"/>
      </w:pPr>
      <w:rPr>
        <w:rFonts w:ascii="Wingdings" w:hAnsi="Wingdings" w:hint="default"/>
      </w:rPr>
    </w:lvl>
    <w:lvl w:ilvl="3" w:tplc="6936D878" w:tentative="1">
      <w:start w:val="1"/>
      <w:numFmt w:val="bullet"/>
      <w:lvlText w:val=""/>
      <w:lvlJc w:val="left"/>
      <w:pPr>
        <w:tabs>
          <w:tab w:val="num" w:pos="2880"/>
        </w:tabs>
        <w:ind w:left="2880" w:hanging="360"/>
      </w:pPr>
      <w:rPr>
        <w:rFonts w:ascii="Symbol" w:hAnsi="Symbol" w:hint="default"/>
      </w:rPr>
    </w:lvl>
    <w:lvl w:ilvl="4" w:tplc="F7285016" w:tentative="1">
      <w:start w:val="1"/>
      <w:numFmt w:val="bullet"/>
      <w:lvlText w:val="o"/>
      <w:lvlJc w:val="left"/>
      <w:pPr>
        <w:tabs>
          <w:tab w:val="num" w:pos="3600"/>
        </w:tabs>
        <w:ind w:left="3600" w:hanging="360"/>
      </w:pPr>
      <w:rPr>
        <w:rFonts w:ascii="Courier New" w:hAnsi="Courier New" w:hint="default"/>
      </w:rPr>
    </w:lvl>
    <w:lvl w:ilvl="5" w:tplc="BE2AD2CE" w:tentative="1">
      <w:start w:val="1"/>
      <w:numFmt w:val="bullet"/>
      <w:lvlText w:val=""/>
      <w:lvlJc w:val="left"/>
      <w:pPr>
        <w:tabs>
          <w:tab w:val="num" w:pos="4320"/>
        </w:tabs>
        <w:ind w:left="4320" w:hanging="360"/>
      </w:pPr>
      <w:rPr>
        <w:rFonts w:ascii="Wingdings" w:hAnsi="Wingdings" w:hint="default"/>
      </w:rPr>
    </w:lvl>
    <w:lvl w:ilvl="6" w:tplc="D7D6DC26" w:tentative="1">
      <w:start w:val="1"/>
      <w:numFmt w:val="bullet"/>
      <w:lvlText w:val=""/>
      <w:lvlJc w:val="left"/>
      <w:pPr>
        <w:tabs>
          <w:tab w:val="num" w:pos="5040"/>
        </w:tabs>
        <w:ind w:left="5040" w:hanging="360"/>
      </w:pPr>
      <w:rPr>
        <w:rFonts w:ascii="Symbol" w:hAnsi="Symbol" w:hint="default"/>
      </w:rPr>
    </w:lvl>
    <w:lvl w:ilvl="7" w:tplc="62527A28" w:tentative="1">
      <w:start w:val="1"/>
      <w:numFmt w:val="bullet"/>
      <w:lvlText w:val="o"/>
      <w:lvlJc w:val="left"/>
      <w:pPr>
        <w:tabs>
          <w:tab w:val="num" w:pos="5760"/>
        </w:tabs>
        <w:ind w:left="5760" w:hanging="360"/>
      </w:pPr>
      <w:rPr>
        <w:rFonts w:ascii="Courier New" w:hAnsi="Courier New" w:hint="default"/>
      </w:rPr>
    </w:lvl>
    <w:lvl w:ilvl="8" w:tplc="C262D6F2"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76" w15:restartNumberingAfterBreak="0">
    <w:nsid w:val="53E116CA"/>
    <w:multiLevelType w:val="hybridMultilevel"/>
    <w:tmpl w:val="13B8DF7E"/>
    <w:lvl w:ilvl="0" w:tplc="18D866F4">
      <w:start w:val="1"/>
      <w:numFmt w:val="bullet"/>
      <w:lvlText w:val=""/>
      <w:lvlJc w:val="left"/>
      <w:pPr>
        <w:ind w:left="720" w:hanging="360"/>
      </w:pPr>
      <w:rPr>
        <w:rFonts w:ascii="Symbol" w:hAnsi="Symbol" w:hint="default"/>
      </w:rPr>
    </w:lvl>
    <w:lvl w:ilvl="1" w:tplc="3D9E419E" w:tentative="1">
      <w:start w:val="1"/>
      <w:numFmt w:val="bullet"/>
      <w:lvlText w:val="o"/>
      <w:lvlJc w:val="left"/>
      <w:pPr>
        <w:ind w:left="1440" w:hanging="360"/>
      </w:pPr>
      <w:rPr>
        <w:rFonts w:ascii="Courier New" w:hAnsi="Courier New" w:cs="Courier New" w:hint="default"/>
      </w:rPr>
    </w:lvl>
    <w:lvl w:ilvl="2" w:tplc="C610CD7C" w:tentative="1">
      <w:start w:val="1"/>
      <w:numFmt w:val="bullet"/>
      <w:lvlText w:val=""/>
      <w:lvlJc w:val="left"/>
      <w:pPr>
        <w:ind w:left="2160" w:hanging="360"/>
      </w:pPr>
      <w:rPr>
        <w:rFonts w:ascii="Wingdings" w:hAnsi="Wingdings" w:hint="default"/>
      </w:rPr>
    </w:lvl>
    <w:lvl w:ilvl="3" w:tplc="83DCF880" w:tentative="1">
      <w:start w:val="1"/>
      <w:numFmt w:val="bullet"/>
      <w:lvlText w:val=""/>
      <w:lvlJc w:val="left"/>
      <w:pPr>
        <w:ind w:left="2880" w:hanging="360"/>
      </w:pPr>
      <w:rPr>
        <w:rFonts w:ascii="Symbol" w:hAnsi="Symbol" w:hint="default"/>
      </w:rPr>
    </w:lvl>
    <w:lvl w:ilvl="4" w:tplc="0004F1F4" w:tentative="1">
      <w:start w:val="1"/>
      <w:numFmt w:val="bullet"/>
      <w:lvlText w:val="o"/>
      <w:lvlJc w:val="left"/>
      <w:pPr>
        <w:ind w:left="3600" w:hanging="360"/>
      </w:pPr>
      <w:rPr>
        <w:rFonts w:ascii="Courier New" w:hAnsi="Courier New" w:cs="Courier New" w:hint="default"/>
      </w:rPr>
    </w:lvl>
    <w:lvl w:ilvl="5" w:tplc="BCFE13DA" w:tentative="1">
      <w:start w:val="1"/>
      <w:numFmt w:val="bullet"/>
      <w:lvlText w:val=""/>
      <w:lvlJc w:val="left"/>
      <w:pPr>
        <w:ind w:left="4320" w:hanging="360"/>
      </w:pPr>
      <w:rPr>
        <w:rFonts w:ascii="Wingdings" w:hAnsi="Wingdings" w:hint="default"/>
      </w:rPr>
    </w:lvl>
    <w:lvl w:ilvl="6" w:tplc="036CBE7E" w:tentative="1">
      <w:start w:val="1"/>
      <w:numFmt w:val="bullet"/>
      <w:lvlText w:val=""/>
      <w:lvlJc w:val="left"/>
      <w:pPr>
        <w:ind w:left="5040" w:hanging="360"/>
      </w:pPr>
      <w:rPr>
        <w:rFonts w:ascii="Symbol" w:hAnsi="Symbol" w:hint="default"/>
      </w:rPr>
    </w:lvl>
    <w:lvl w:ilvl="7" w:tplc="643A6582" w:tentative="1">
      <w:start w:val="1"/>
      <w:numFmt w:val="bullet"/>
      <w:lvlText w:val="o"/>
      <w:lvlJc w:val="left"/>
      <w:pPr>
        <w:ind w:left="5760" w:hanging="360"/>
      </w:pPr>
      <w:rPr>
        <w:rFonts w:ascii="Courier New" w:hAnsi="Courier New" w:cs="Courier New" w:hint="default"/>
      </w:rPr>
    </w:lvl>
    <w:lvl w:ilvl="8" w:tplc="B1EAF636" w:tentative="1">
      <w:start w:val="1"/>
      <w:numFmt w:val="bullet"/>
      <w:lvlText w:val=""/>
      <w:lvlJc w:val="left"/>
      <w:pPr>
        <w:ind w:left="6480" w:hanging="360"/>
      </w:pPr>
      <w:rPr>
        <w:rFonts w:ascii="Wingdings" w:hAnsi="Wingdings" w:hint="default"/>
      </w:rPr>
    </w:lvl>
  </w:abstractNum>
  <w:abstractNum w:abstractNumId="177" w15:restartNumberingAfterBreak="0">
    <w:nsid w:val="544227C9"/>
    <w:multiLevelType w:val="hybridMultilevel"/>
    <w:tmpl w:val="260AAE46"/>
    <w:lvl w:ilvl="0" w:tplc="4C944A5E">
      <w:start w:val="1"/>
      <w:numFmt w:val="bullet"/>
      <w:lvlText w:val=""/>
      <w:lvlJc w:val="left"/>
      <w:pPr>
        <w:tabs>
          <w:tab w:val="num" w:pos="720"/>
        </w:tabs>
        <w:ind w:left="720" w:hanging="360"/>
      </w:pPr>
      <w:rPr>
        <w:rFonts w:ascii="Symbol" w:hAnsi="Symbol" w:hint="default"/>
      </w:rPr>
    </w:lvl>
    <w:lvl w:ilvl="1" w:tplc="58A8B69C">
      <w:start w:val="1"/>
      <w:numFmt w:val="bullet"/>
      <w:lvlText w:val="o"/>
      <w:lvlJc w:val="left"/>
      <w:pPr>
        <w:tabs>
          <w:tab w:val="num" w:pos="1440"/>
        </w:tabs>
        <w:ind w:left="1440" w:hanging="360"/>
      </w:pPr>
      <w:rPr>
        <w:rFonts w:ascii="Courier New" w:hAnsi="Courier New" w:hint="default"/>
      </w:rPr>
    </w:lvl>
    <w:lvl w:ilvl="2" w:tplc="2FB46C2C" w:tentative="1">
      <w:start w:val="1"/>
      <w:numFmt w:val="bullet"/>
      <w:lvlText w:val=""/>
      <w:lvlJc w:val="left"/>
      <w:pPr>
        <w:tabs>
          <w:tab w:val="num" w:pos="2160"/>
        </w:tabs>
        <w:ind w:left="2160" w:hanging="360"/>
      </w:pPr>
      <w:rPr>
        <w:rFonts w:ascii="Wingdings" w:hAnsi="Wingdings" w:hint="default"/>
      </w:rPr>
    </w:lvl>
    <w:lvl w:ilvl="3" w:tplc="3B1AAD14" w:tentative="1">
      <w:start w:val="1"/>
      <w:numFmt w:val="bullet"/>
      <w:lvlText w:val=""/>
      <w:lvlJc w:val="left"/>
      <w:pPr>
        <w:tabs>
          <w:tab w:val="num" w:pos="2880"/>
        </w:tabs>
        <w:ind w:left="2880" w:hanging="360"/>
      </w:pPr>
      <w:rPr>
        <w:rFonts w:ascii="Symbol" w:hAnsi="Symbol" w:hint="default"/>
      </w:rPr>
    </w:lvl>
    <w:lvl w:ilvl="4" w:tplc="69C4E326" w:tentative="1">
      <w:start w:val="1"/>
      <w:numFmt w:val="bullet"/>
      <w:lvlText w:val="o"/>
      <w:lvlJc w:val="left"/>
      <w:pPr>
        <w:tabs>
          <w:tab w:val="num" w:pos="3600"/>
        </w:tabs>
        <w:ind w:left="3600" w:hanging="360"/>
      </w:pPr>
      <w:rPr>
        <w:rFonts w:ascii="Courier New" w:hAnsi="Courier New" w:hint="default"/>
      </w:rPr>
    </w:lvl>
    <w:lvl w:ilvl="5" w:tplc="C0B2187C" w:tentative="1">
      <w:start w:val="1"/>
      <w:numFmt w:val="bullet"/>
      <w:lvlText w:val=""/>
      <w:lvlJc w:val="left"/>
      <w:pPr>
        <w:tabs>
          <w:tab w:val="num" w:pos="4320"/>
        </w:tabs>
        <w:ind w:left="4320" w:hanging="360"/>
      </w:pPr>
      <w:rPr>
        <w:rFonts w:ascii="Wingdings" w:hAnsi="Wingdings" w:hint="default"/>
      </w:rPr>
    </w:lvl>
    <w:lvl w:ilvl="6" w:tplc="A442ED06" w:tentative="1">
      <w:start w:val="1"/>
      <w:numFmt w:val="bullet"/>
      <w:lvlText w:val=""/>
      <w:lvlJc w:val="left"/>
      <w:pPr>
        <w:tabs>
          <w:tab w:val="num" w:pos="5040"/>
        </w:tabs>
        <w:ind w:left="5040" w:hanging="360"/>
      </w:pPr>
      <w:rPr>
        <w:rFonts w:ascii="Symbol" w:hAnsi="Symbol" w:hint="default"/>
      </w:rPr>
    </w:lvl>
    <w:lvl w:ilvl="7" w:tplc="994A3024" w:tentative="1">
      <w:start w:val="1"/>
      <w:numFmt w:val="bullet"/>
      <w:lvlText w:val="o"/>
      <w:lvlJc w:val="left"/>
      <w:pPr>
        <w:tabs>
          <w:tab w:val="num" w:pos="5760"/>
        </w:tabs>
        <w:ind w:left="5760" w:hanging="360"/>
      </w:pPr>
      <w:rPr>
        <w:rFonts w:ascii="Courier New" w:hAnsi="Courier New" w:hint="default"/>
      </w:rPr>
    </w:lvl>
    <w:lvl w:ilvl="8" w:tplc="58FC186C"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544B0B7F"/>
    <w:multiLevelType w:val="hybridMultilevel"/>
    <w:tmpl w:val="5A7C9CE8"/>
    <w:lvl w:ilvl="0" w:tplc="3886E140">
      <w:start w:val="1"/>
      <w:numFmt w:val="bullet"/>
      <w:lvlText w:val=""/>
      <w:lvlJc w:val="left"/>
      <w:pPr>
        <w:ind w:left="720" w:hanging="360"/>
      </w:pPr>
      <w:rPr>
        <w:rFonts w:ascii="Symbol" w:hAnsi="Symbol" w:hint="default"/>
      </w:rPr>
    </w:lvl>
    <w:lvl w:ilvl="1" w:tplc="108E89EE" w:tentative="1">
      <w:start w:val="1"/>
      <w:numFmt w:val="bullet"/>
      <w:lvlText w:val="o"/>
      <w:lvlJc w:val="left"/>
      <w:pPr>
        <w:ind w:left="1440" w:hanging="360"/>
      </w:pPr>
      <w:rPr>
        <w:rFonts w:ascii="Courier New" w:hAnsi="Courier New" w:cs="Courier New" w:hint="default"/>
      </w:rPr>
    </w:lvl>
    <w:lvl w:ilvl="2" w:tplc="F12015FC">
      <w:start w:val="1"/>
      <w:numFmt w:val="bullet"/>
      <w:lvlText w:val=""/>
      <w:lvlJc w:val="left"/>
      <w:pPr>
        <w:ind w:left="2160" w:hanging="360"/>
      </w:pPr>
      <w:rPr>
        <w:rFonts w:ascii="Wingdings" w:hAnsi="Wingdings" w:hint="default"/>
      </w:rPr>
    </w:lvl>
    <w:lvl w:ilvl="3" w:tplc="B6E890DC" w:tentative="1">
      <w:start w:val="1"/>
      <w:numFmt w:val="bullet"/>
      <w:lvlText w:val=""/>
      <w:lvlJc w:val="left"/>
      <w:pPr>
        <w:ind w:left="2880" w:hanging="360"/>
      </w:pPr>
      <w:rPr>
        <w:rFonts w:ascii="Symbol" w:hAnsi="Symbol" w:hint="default"/>
      </w:rPr>
    </w:lvl>
    <w:lvl w:ilvl="4" w:tplc="DC30DD4C" w:tentative="1">
      <w:start w:val="1"/>
      <w:numFmt w:val="bullet"/>
      <w:lvlText w:val="o"/>
      <w:lvlJc w:val="left"/>
      <w:pPr>
        <w:ind w:left="3600" w:hanging="360"/>
      </w:pPr>
      <w:rPr>
        <w:rFonts w:ascii="Courier New" w:hAnsi="Courier New" w:cs="Courier New" w:hint="default"/>
      </w:rPr>
    </w:lvl>
    <w:lvl w:ilvl="5" w:tplc="368292AC" w:tentative="1">
      <w:start w:val="1"/>
      <w:numFmt w:val="bullet"/>
      <w:lvlText w:val=""/>
      <w:lvlJc w:val="left"/>
      <w:pPr>
        <w:ind w:left="4320" w:hanging="360"/>
      </w:pPr>
      <w:rPr>
        <w:rFonts w:ascii="Wingdings" w:hAnsi="Wingdings" w:hint="default"/>
      </w:rPr>
    </w:lvl>
    <w:lvl w:ilvl="6" w:tplc="7F36AF98" w:tentative="1">
      <w:start w:val="1"/>
      <w:numFmt w:val="bullet"/>
      <w:lvlText w:val=""/>
      <w:lvlJc w:val="left"/>
      <w:pPr>
        <w:ind w:left="5040" w:hanging="360"/>
      </w:pPr>
      <w:rPr>
        <w:rFonts w:ascii="Symbol" w:hAnsi="Symbol" w:hint="default"/>
      </w:rPr>
    </w:lvl>
    <w:lvl w:ilvl="7" w:tplc="00003930" w:tentative="1">
      <w:start w:val="1"/>
      <w:numFmt w:val="bullet"/>
      <w:lvlText w:val="o"/>
      <w:lvlJc w:val="left"/>
      <w:pPr>
        <w:ind w:left="5760" w:hanging="360"/>
      </w:pPr>
      <w:rPr>
        <w:rFonts w:ascii="Courier New" w:hAnsi="Courier New" w:cs="Courier New" w:hint="default"/>
      </w:rPr>
    </w:lvl>
    <w:lvl w:ilvl="8" w:tplc="5B16D906" w:tentative="1">
      <w:start w:val="1"/>
      <w:numFmt w:val="bullet"/>
      <w:lvlText w:val=""/>
      <w:lvlJc w:val="left"/>
      <w:pPr>
        <w:ind w:left="6480" w:hanging="360"/>
      </w:pPr>
      <w:rPr>
        <w:rFonts w:ascii="Wingdings" w:hAnsi="Wingdings" w:hint="default"/>
      </w:rPr>
    </w:lvl>
  </w:abstractNum>
  <w:abstractNum w:abstractNumId="179" w15:restartNumberingAfterBreak="0">
    <w:nsid w:val="54BF6644"/>
    <w:multiLevelType w:val="hybridMultilevel"/>
    <w:tmpl w:val="09705B4E"/>
    <w:lvl w:ilvl="0" w:tplc="BF0822F2">
      <w:start w:val="38"/>
      <w:numFmt w:val="bullet"/>
      <w:lvlText w:val="-"/>
      <w:lvlJc w:val="left"/>
      <w:pPr>
        <w:tabs>
          <w:tab w:val="num" w:pos="567"/>
        </w:tabs>
        <w:ind w:left="567" w:hanging="567"/>
      </w:pPr>
      <w:rPr>
        <w:rFonts w:hint="default"/>
      </w:rPr>
    </w:lvl>
    <w:lvl w:ilvl="1" w:tplc="0CB24F06" w:tentative="1">
      <w:start w:val="1"/>
      <w:numFmt w:val="bullet"/>
      <w:lvlText w:val="o"/>
      <w:lvlJc w:val="left"/>
      <w:pPr>
        <w:tabs>
          <w:tab w:val="num" w:pos="1440"/>
        </w:tabs>
        <w:ind w:left="1440" w:hanging="360"/>
      </w:pPr>
      <w:rPr>
        <w:rFonts w:ascii="Courier New" w:hAnsi="Courier New" w:hint="default"/>
      </w:rPr>
    </w:lvl>
    <w:lvl w:ilvl="2" w:tplc="F7A2A406" w:tentative="1">
      <w:start w:val="1"/>
      <w:numFmt w:val="bullet"/>
      <w:lvlText w:val=""/>
      <w:lvlJc w:val="left"/>
      <w:pPr>
        <w:tabs>
          <w:tab w:val="num" w:pos="2160"/>
        </w:tabs>
        <w:ind w:left="2160" w:hanging="360"/>
      </w:pPr>
      <w:rPr>
        <w:rFonts w:ascii="Wingdings" w:hAnsi="Wingdings" w:hint="default"/>
      </w:rPr>
    </w:lvl>
    <w:lvl w:ilvl="3" w:tplc="267E0D0E" w:tentative="1">
      <w:start w:val="1"/>
      <w:numFmt w:val="bullet"/>
      <w:lvlText w:val=""/>
      <w:lvlJc w:val="left"/>
      <w:pPr>
        <w:tabs>
          <w:tab w:val="num" w:pos="2880"/>
        </w:tabs>
        <w:ind w:left="2880" w:hanging="360"/>
      </w:pPr>
      <w:rPr>
        <w:rFonts w:ascii="Symbol" w:hAnsi="Symbol" w:hint="default"/>
      </w:rPr>
    </w:lvl>
    <w:lvl w:ilvl="4" w:tplc="2A6E0EFE" w:tentative="1">
      <w:start w:val="1"/>
      <w:numFmt w:val="bullet"/>
      <w:lvlText w:val="o"/>
      <w:lvlJc w:val="left"/>
      <w:pPr>
        <w:tabs>
          <w:tab w:val="num" w:pos="3600"/>
        </w:tabs>
        <w:ind w:left="3600" w:hanging="360"/>
      </w:pPr>
      <w:rPr>
        <w:rFonts w:ascii="Courier New" w:hAnsi="Courier New" w:hint="default"/>
      </w:rPr>
    </w:lvl>
    <w:lvl w:ilvl="5" w:tplc="80641F80" w:tentative="1">
      <w:start w:val="1"/>
      <w:numFmt w:val="bullet"/>
      <w:lvlText w:val=""/>
      <w:lvlJc w:val="left"/>
      <w:pPr>
        <w:tabs>
          <w:tab w:val="num" w:pos="4320"/>
        </w:tabs>
        <w:ind w:left="4320" w:hanging="360"/>
      </w:pPr>
      <w:rPr>
        <w:rFonts w:ascii="Wingdings" w:hAnsi="Wingdings" w:hint="default"/>
      </w:rPr>
    </w:lvl>
    <w:lvl w:ilvl="6" w:tplc="D3641D1A" w:tentative="1">
      <w:start w:val="1"/>
      <w:numFmt w:val="bullet"/>
      <w:lvlText w:val=""/>
      <w:lvlJc w:val="left"/>
      <w:pPr>
        <w:tabs>
          <w:tab w:val="num" w:pos="5040"/>
        </w:tabs>
        <w:ind w:left="5040" w:hanging="360"/>
      </w:pPr>
      <w:rPr>
        <w:rFonts w:ascii="Symbol" w:hAnsi="Symbol" w:hint="default"/>
      </w:rPr>
    </w:lvl>
    <w:lvl w:ilvl="7" w:tplc="E892B64C" w:tentative="1">
      <w:start w:val="1"/>
      <w:numFmt w:val="bullet"/>
      <w:lvlText w:val="o"/>
      <w:lvlJc w:val="left"/>
      <w:pPr>
        <w:tabs>
          <w:tab w:val="num" w:pos="5760"/>
        </w:tabs>
        <w:ind w:left="5760" w:hanging="360"/>
      </w:pPr>
      <w:rPr>
        <w:rFonts w:ascii="Courier New" w:hAnsi="Courier New" w:hint="default"/>
      </w:rPr>
    </w:lvl>
    <w:lvl w:ilvl="8" w:tplc="10C6EDE8"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54C959EC"/>
    <w:multiLevelType w:val="hybridMultilevel"/>
    <w:tmpl w:val="03E8318A"/>
    <w:lvl w:ilvl="0" w:tplc="FA702AB0">
      <w:start w:val="1"/>
      <w:numFmt w:val="bullet"/>
      <w:lvlText w:val=""/>
      <w:lvlJc w:val="left"/>
      <w:pPr>
        <w:tabs>
          <w:tab w:val="num" w:pos="690"/>
        </w:tabs>
        <w:ind w:left="690" w:hanging="360"/>
      </w:pPr>
      <w:rPr>
        <w:rFonts w:ascii="Symbol" w:hAnsi="Symbol" w:hint="default"/>
      </w:rPr>
    </w:lvl>
    <w:lvl w:ilvl="1" w:tplc="1B8298AA">
      <w:start w:val="1"/>
      <w:numFmt w:val="bullet"/>
      <w:lvlText w:val=""/>
      <w:lvlJc w:val="left"/>
      <w:pPr>
        <w:tabs>
          <w:tab w:val="num" w:pos="1440"/>
        </w:tabs>
        <w:ind w:left="1440" w:hanging="360"/>
      </w:pPr>
      <w:rPr>
        <w:rFonts w:ascii="Symbol" w:hAnsi="Symbol" w:hint="default"/>
        <w:sz w:val="22"/>
      </w:rPr>
    </w:lvl>
    <w:lvl w:ilvl="2" w:tplc="3DC4EACA" w:tentative="1">
      <w:start w:val="1"/>
      <w:numFmt w:val="bullet"/>
      <w:lvlText w:val=""/>
      <w:lvlJc w:val="left"/>
      <w:pPr>
        <w:tabs>
          <w:tab w:val="num" w:pos="2160"/>
        </w:tabs>
        <w:ind w:left="2160" w:hanging="360"/>
      </w:pPr>
      <w:rPr>
        <w:rFonts w:ascii="Wingdings" w:hAnsi="Wingdings" w:hint="default"/>
      </w:rPr>
    </w:lvl>
    <w:lvl w:ilvl="3" w:tplc="CF626B68" w:tentative="1">
      <w:start w:val="1"/>
      <w:numFmt w:val="bullet"/>
      <w:lvlText w:val=""/>
      <w:lvlJc w:val="left"/>
      <w:pPr>
        <w:tabs>
          <w:tab w:val="num" w:pos="2880"/>
        </w:tabs>
        <w:ind w:left="2880" w:hanging="360"/>
      </w:pPr>
      <w:rPr>
        <w:rFonts w:ascii="Symbol" w:hAnsi="Symbol" w:hint="default"/>
      </w:rPr>
    </w:lvl>
    <w:lvl w:ilvl="4" w:tplc="15CEE1C0" w:tentative="1">
      <w:start w:val="1"/>
      <w:numFmt w:val="bullet"/>
      <w:lvlText w:val="o"/>
      <w:lvlJc w:val="left"/>
      <w:pPr>
        <w:tabs>
          <w:tab w:val="num" w:pos="3600"/>
        </w:tabs>
        <w:ind w:left="3600" w:hanging="360"/>
      </w:pPr>
      <w:rPr>
        <w:rFonts w:ascii="Courier New" w:hAnsi="Courier New" w:hint="default"/>
      </w:rPr>
    </w:lvl>
    <w:lvl w:ilvl="5" w:tplc="07E4350A" w:tentative="1">
      <w:start w:val="1"/>
      <w:numFmt w:val="bullet"/>
      <w:lvlText w:val=""/>
      <w:lvlJc w:val="left"/>
      <w:pPr>
        <w:tabs>
          <w:tab w:val="num" w:pos="4320"/>
        </w:tabs>
        <w:ind w:left="4320" w:hanging="360"/>
      </w:pPr>
      <w:rPr>
        <w:rFonts w:ascii="Wingdings" w:hAnsi="Wingdings" w:hint="default"/>
      </w:rPr>
    </w:lvl>
    <w:lvl w:ilvl="6" w:tplc="52BA13C8" w:tentative="1">
      <w:start w:val="1"/>
      <w:numFmt w:val="bullet"/>
      <w:lvlText w:val=""/>
      <w:lvlJc w:val="left"/>
      <w:pPr>
        <w:tabs>
          <w:tab w:val="num" w:pos="5040"/>
        </w:tabs>
        <w:ind w:left="5040" w:hanging="360"/>
      </w:pPr>
      <w:rPr>
        <w:rFonts w:ascii="Symbol" w:hAnsi="Symbol" w:hint="default"/>
      </w:rPr>
    </w:lvl>
    <w:lvl w:ilvl="7" w:tplc="39DE88DE" w:tentative="1">
      <w:start w:val="1"/>
      <w:numFmt w:val="bullet"/>
      <w:lvlText w:val="o"/>
      <w:lvlJc w:val="left"/>
      <w:pPr>
        <w:tabs>
          <w:tab w:val="num" w:pos="5760"/>
        </w:tabs>
        <w:ind w:left="5760" w:hanging="360"/>
      </w:pPr>
      <w:rPr>
        <w:rFonts w:ascii="Courier New" w:hAnsi="Courier New" w:hint="default"/>
      </w:rPr>
    </w:lvl>
    <w:lvl w:ilvl="8" w:tplc="50A8D018"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54D11AA7"/>
    <w:multiLevelType w:val="hybridMultilevel"/>
    <w:tmpl w:val="621C33D8"/>
    <w:lvl w:ilvl="0" w:tplc="4E045070">
      <w:start w:val="8"/>
      <w:numFmt w:val="decimal"/>
      <w:lvlText w:val="%1."/>
      <w:lvlJc w:val="left"/>
      <w:pPr>
        <w:tabs>
          <w:tab w:val="num" w:pos="930"/>
        </w:tabs>
        <w:ind w:left="930" w:hanging="570"/>
      </w:pPr>
      <w:rPr>
        <w:rFonts w:hint="default"/>
      </w:rPr>
    </w:lvl>
    <w:lvl w:ilvl="1" w:tplc="5A725778" w:tentative="1">
      <w:start w:val="1"/>
      <w:numFmt w:val="lowerLetter"/>
      <w:lvlText w:val="%2."/>
      <w:lvlJc w:val="left"/>
      <w:pPr>
        <w:tabs>
          <w:tab w:val="num" w:pos="1440"/>
        </w:tabs>
        <w:ind w:left="1440" w:hanging="360"/>
      </w:pPr>
    </w:lvl>
    <w:lvl w:ilvl="2" w:tplc="13B45BF2" w:tentative="1">
      <w:start w:val="1"/>
      <w:numFmt w:val="lowerRoman"/>
      <w:lvlText w:val="%3."/>
      <w:lvlJc w:val="right"/>
      <w:pPr>
        <w:tabs>
          <w:tab w:val="num" w:pos="2160"/>
        </w:tabs>
        <w:ind w:left="2160" w:hanging="180"/>
      </w:pPr>
    </w:lvl>
    <w:lvl w:ilvl="3" w:tplc="DDB4E0C4" w:tentative="1">
      <w:start w:val="1"/>
      <w:numFmt w:val="decimal"/>
      <w:lvlText w:val="%4."/>
      <w:lvlJc w:val="left"/>
      <w:pPr>
        <w:tabs>
          <w:tab w:val="num" w:pos="2880"/>
        </w:tabs>
        <w:ind w:left="2880" w:hanging="360"/>
      </w:pPr>
    </w:lvl>
    <w:lvl w:ilvl="4" w:tplc="83723388" w:tentative="1">
      <w:start w:val="1"/>
      <w:numFmt w:val="lowerLetter"/>
      <w:lvlText w:val="%5."/>
      <w:lvlJc w:val="left"/>
      <w:pPr>
        <w:tabs>
          <w:tab w:val="num" w:pos="3600"/>
        </w:tabs>
        <w:ind w:left="3600" w:hanging="360"/>
      </w:pPr>
    </w:lvl>
    <w:lvl w:ilvl="5" w:tplc="6DAA8338" w:tentative="1">
      <w:start w:val="1"/>
      <w:numFmt w:val="lowerRoman"/>
      <w:lvlText w:val="%6."/>
      <w:lvlJc w:val="right"/>
      <w:pPr>
        <w:tabs>
          <w:tab w:val="num" w:pos="4320"/>
        </w:tabs>
        <w:ind w:left="4320" w:hanging="180"/>
      </w:pPr>
    </w:lvl>
    <w:lvl w:ilvl="6" w:tplc="629429CA" w:tentative="1">
      <w:start w:val="1"/>
      <w:numFmt w:val="decimal"/>
      <w:lvlText w:val="%7."/>
      <w:lvlJc w:val="left"/>
      <w:pPr>
        <w:tabs>
          <w:tab w:val="num" w:pos="5040"/>
        </w:tabs>
        <w:ind w:left="5040" w:hanging="360"/>
      </w:pPr>
    </w:lvl>
    <w:lvl w:ilvl="7" w:tplc="975ACDB0" w:tentative="1">
      <w:start w:val="1"/>
      <w:numFmt w:val="lowerLetter"/>
      <w:lvlText w:val="%8."/>
      <w:lvlJc w:val="left"/>
      <w:pPr>
        <w:tabs>
          <w:tab w:val="num" w:pos="5760"/>
        </w:tabs>
        <w:ind w:left="5760" w:hanging="360"/>
      </w:pPr>
    </w:lvl>
    <w:lvl w:ilvl="8" w:tplc="6624064A" w:tentative="1">
      <w:start w:val="1"/>
      <w:numFmt w:val="lowerRoman"/>
      <w:lvlText w:val="%9."/>
      <w:lvlJc w:val="right"/>
      <w:pPr>
        <w:tabs>
          <w:tab w:val="num" w:pos="6480"/>
        </w:tabs>
        <w:ind w:left="6480" w:hanging="180"/>
      </w:pPr>
    </w:lvl>
  </w:abstractNum>
  <w:abstractNum w:abstractNumId="182" w15:restartNumberingAfterBreak="0">
    <w:nsid w:val="55212069"/>
    <w:multiLevelType w:val="hybridMultilevel"/>
    <w:tmpl w:val="1BAAA5F6"/>
    <w:lvl w:ilvl="0" w:tplc="FE2A19F8">
      <w:start w:val="1"/>
      <w:numFmt w:val="bullet"/>
      <w:lvlText w:val=""/>
      <w:lvlJc w:val="left"/>
      <w:pPr>
        <w:ind w:left="720" w:hanging="360"/>
      </w:pPr>
      <w:rPr>
        <w:rFonts w:ascii="Symbol" w:hAnsi="Symbol" w:hint="default"/>
        <w:sz w:val="22"/>
      </w:rPr>
    </w:lvl>
    <w:lvl w:ilvl="1" w:tplc="A13C2996" w:tentative="1">
      <w:start w:val="1"/>
      <w:numFmt w:val="bullet"/>
      <w:lvlText w:val="o"/>
      <w:lvlJc w:val="left"/>
      <w:pPr>
        <w:ind w:left="1440" w:hanging="360"/>
      </w:pPr>
      <w:rPr>
        <w:rFonts w:ascii="Courier New" w:hAnsi="Courier New" w:cs="Courier New" w:hint="default"/>
      </w:rPr>
    </w:lvl>
    <w:lvl w:ilvl="2" w:tplc="DF6A60C4" w:tentative="1">
      <w:start w:val="1"/>
      <w:numFmt w:val="bullet"/>
      <w:lvlText w:val=""/>
      <w:lvlJc w:val="left"/>
      <w:pPr>
        <w:ind w:left="2160" w:hanging="360"/>
      </w:pPr>
      <w:rPr>
        <w:rFonts w:ascii="Wingdings" w:hAnsi="Wingdings" w:hint="default"/>
      </w:rPr>
    </w:lvl>
    <w:lvl w:ilvl="3" w:tplc="DEF63440" w:tentative="1">
      <w:start w:val="1"/>
      <w:numFmt w:val="bullet"/>
      <w:lvlText w:val=""/>
      <w:lvlJc w:val="left"/>
      <w:pPr>
        <w:ind w:left="2880" w:hanging="360"/>
      </w:pPr>
      <w:rPr>
        <w:rFonts w:ascii="Symbol" w:hAnsi="Symbol" w:hint="default"/>
      </w:rPr>
    </w:lvl>
    <w:lvl w:ilvl="4" w:tplc="D6F2B69E" w:tentative="1">
      <w:start w:val="1"/>
      <w:numFmt w:val="bullet"/>
      <w:lvlText w:val="o"/>
      <w:lvlJc w:val="left"/>
      <w:pPr>
        <w:ind w:left="3600" w:hanging="360"/>
      </w:pPr>
      <w:rPr>
        <w:rFonts w:ascii="Courier New" w:hAnsi="Courier New" w:cs="Courier New" w:hint="default"/>
      </w:rPr>
    </w:lvl>
    <w:lvl w:ilvl="5" w:tplc="3CFCF736" w:tentative="1">
      <w:start w:val="1"/>
      <w:numFmt w:val="bullet"/>
      <w:lvlText w:val=""/>
      <w:lvlJc w:val="left"/>
      <w:pPr>
        <w:ind w:left="4320" w:hanging="360"/>
      </w:pPr>
      <w:rPr>
        <w:rFonts w:ascii="Wingdings" w:hAnsi="Wingdings" w:hint="default"/>
      </w:rPr>
    </w:lvl>
    <w:lvl w:ilvl="6" w:tplc="9076A5BC" w:tentative="1">
      <w:start w:val="1"/>
      <w:numFmt w:val="bullet"/>
      <w:lvlText w:val=""/>
      <w:lvlJc w:val="left"/>
      <w:pPr>
        <w:ind w:left="5040" w:hanging="360"/>
      </w:pPr>
      <w:rPr>
        <w:rFonts w:ascii="Symbol" w:hAnsi="Symbol" w:hint="default"/>
      </w:rPr>
    </w:lvl>
    <w:lvl w:ilvl="7" w:tplc="85DCB596" w:tentative="1">
      <w:start w:val="1"/>
      <w:numFmt w:val="bullet"/>
      <w:lvlText w:val="o"/>
      <w:lvlJc w:val="left"/>
      <w:pPr>
        <w:ind w:left="5760" w:hanging="360"/>
      </w:pPr>
      <w:rPr>
        <w:rFonts w:ascii="Courier New" w:hAnsi="Courier New" w:cs="Courier New" w:hint="default"/>
      </w:rPr>
    </w:lvl>
    <w:lvl w:ilvl="8" w:tplc="C2A6FEBA" w:tentative="1">
      <w:start w:val="1"/>
      <w:numFmt w:val="bullet"/>
      <w:lvlText w:val=""/>
      <w:lvlJc w:val="left"/>
      <w:pPr>
        <w:ind w:left="6480" w:hanging="360"/>
      </w:pPr>
      <w:rPr>
        <w:rFonts w:ascii="Wingdings" w:hAnsi="Wingdings" w:hint="default"/>
      </w:rPr>
    </w:lvl>
  </w:abstractNum>
  <w:abstractNum w:abstractNumId="183" w15:restartNumberingAfterBreak="0">
    <w:nsid w:val="55EF795E"/>
    <w:multiLevelType w:val="hybridMultilevel"/>
    <w:tmpl w:val="C12EA324"/>
    <w:lvl w:ilvl="0" w:tplc="330EFED4">
      <w:start w:val="1"/>
      <w:numFmt w:val="bullet"/>
      <w:lvlText w:val=""/>
      <w:lvlJc w:val="left"/>
      <w:pPr>
        <w:ind w:left="720" w:hanging="360"/>
      </w:pPr>
      <w:rPr>
        <w:rFonts w:ascii="Symbol" w:hAnsi="Symbol" w:hint="default"/>
        <w:sz w:val="22"/>
      </w:rPr>
    </w:lvl>
    <w:lvl w:ilvl="1" w:tplc="8F6E02EC">
      <w:start w:val="1"/>
      <w:numFmt w:val="bullet"/>
      <w:lvlText w:val="o"/>
      <w:lvlJc w:val="left"/>
      <w:pPr>
        <w:ind w:left="1440" w:hanging="360"/>
      </w:pPr>
      <w:rPr>
        <w:rFonts w:ascii="Courier New" w:hAnsi="Courier New" w:hint="default"/>
      </w:rPr>
    </w:lvl>
    <w:lvl w:ilvl="2" w:tplc="875E8DC8" w:tentative="1">
      <w:start w:val="1"/>
      <w:numFmt w:val="bullet"/>
      <w:lvlText w:val=""/>
      <w:lvlJc w:val="left"/>
      <w:pPr>
        <w:ind w:left="2160" w:hanging="360"/>
      </w:pPr>
      <w:rPr>
        <w:rFonts w:ascii="Wingdings" w:hAnsi="Wingdings" w:hint="default"/>
      </w:rPr>
    </w:lvl>
    <w:lvl w:ilvl="3" w:tplc="CA12AA6E" w:tentative="1">
      <w:start w:val="1"/>
      <w:numFmt w:val="bullet"/>
      <w:lvlText w:val=""/>
      <w:lvlJc w:val="left"/>
      <w:pPr>
        <w:ind w:left="2880" w:hanging="360"/>
      </w:pPr>
      <w:rPr>
        <w:rFonts w:ascii="Symbol" w:hAnsi="Symbol" w:hint="default"/>
      </w:rPr>
    </w:lvl>
    <w:lvl w:ilvl="4" w:tplc="D67AA3A0" w:tentative="1">
      <w:start w:val="1"/>
      <w:numFmt w:val="bullet"/>
      <w:lvlText w:val="o"/>
      <w:lvlJc w:val="left"/>
      <w:pPr>
        <w:ind w:left="3600" w:hanging="360"/>
      </w:pPr>
      <w:rPr>
        <w:rFonts w:ascii="Courier New" w:hAnsi="Courier New" w:hint="default"/>
      </w:rPr>
    </w:lvl>
    <w:lvl w:ilvl="5" w:tplc="D4CAC2A6" w:tentative="1">
      <w:start w:val="1"/>
      <w:numFmt w:val="bullet"/>
      <w:lvlText w:val=""/>
      <w:lvlJc w:val="left"/>
      <w:pPr>
        <w:ind w:left="4320" w:hanging="360"/>
      </w:pPr>
      <w:rPr>
        <w:rFonts w:ascii="Wingdings" w:hAnsi="Wingdings" w:hint="default"/>
      </w:rPr>
    </w:lvl>
    <w:lvl w:ilvl="6" w:tplc="162AC058" w:tentative="1">
      <w:start w:val="1"/>
      <w:numFmt w:val="bullet"/>
      <w:lvlText w:val=""/>
      <w:lvlJc w:val="left"/>
      <w:pPr>
        <w:ind w:left="5040" w:hanging="360"/>
      </w:pPr>
      <w:rPr>
        <w:rFonts w:ascii="Symbol" w:hAnsi="Symbol" w:hint="default"/>
      </w:rPr>
    </w:lvl>
    <w:lvl w:ilvl="7" w:tplc="7D26ACF4" w:tentative="1">
      <w:start w:val="1"/>
      <w:numFmt w:val="bullet"/>
      <w:lvlText w:val="o"/>
      <w:lvlJc w:val="left"/>
      <w:pPr>
        <w:ind w:left="5760" w:hanging="360"/>
      </w:pPr>
      <w:rPr>
        <w:rFonts w:ascii="Courier New" w:hAnsi="Courier New" w:hint="default"/>
      </w:rPr>
    </w:lvl>
    <w:lvl w:ilvl="8" w:tplc="97006A84" w:tentative="1">
      <w:start w:val="1"/>
      <w:numFmt w:val="bullet"/>
      <w:lvlText w:val=""/>
      <w:lvlJc w:val="left"/>
      <w:pPr>
        <w:ind w:left="6480" w:hanging="360"/>
      </w:pPr>
      <w:rPr>
        <w:rFonts w:ascii="Wingdings" w:hAnsi="Wingdings" w:hint="default"/>
      </w:rPr>
    </w:lvl>
  </w:abstractNum>
  <w:abstractNum w:abstractNumId="184" w15:restartNumberingAfterBreak="0">
    <w:nsid w:val="56007351"/>
    <w:multiLevelType w:val="hybridMultilevel"/>
    <w:tmpl w:val="6A9C6E94"/>
    <w:lvl w:ilvl="0" w:tplc="5D3ACE36">
      <w:start w:val="1"/>
      <w:numFmt w:val="bullet"/>
      <w:lvlText w:val=""/>
      <w:lvlJc w:val="left"/>
      <w:pPr>
        <w:ind w:left="720" w:hanging="360"/>
      </w:pPr>
      <w:rPr>
        <w:rFonts w:ascii="Symbol" w:hAnsi="Symbol" w:hint="default"/>
        <w:sz w:val="22"/>
      </w:rPr>
    </w:lvl>
    <w:lvl w:ilvl="1" w:tplc="61A2FE74" w:tentative="1">
      <w:start w:val="1"/>
      <w:numFmt w:val="bullet"/>
      <w:lvlText w:val="o"/>
      <w:lvlJc w:val="left"/>
      <w:pPr>
        <w:ind w:left="1440" w:hanging="360"/>
      </w:pPr>
      <w:rPr>
        <w:rFonts w:ascii="Courier New" w:hAnsi="Courier New" w:cs="Courier New" w:hint="default"/>
      </w:rPr>
    </w:lvl>
    <w:lvl w:ilvl="2" w:tplc="690434EE" w:tentative="1">
      <w:start w:val="1"/>
      <w:numFmt w:val="bullet"/>
      <w:lvlText w:val=""/>
      <w:lvlJc w:val="left"/>
      <w:pPr>
        <w:ind w:left="2160" w:hanging="360"/>
      </w:pPr>
      <w:rPr>
        <w:rFonts w:ascii="Wingdings" w:hAnsi="Wingdings" w:hint="default"/>
      </w:rPr>
    </w:lvl>
    <w:lvl w:ilvl="3" w:tplc="DC5A0860" w:tentative="1">
      <w:start w:val="1"/>
      <w:numFmt w:val="bullet"/>
      <w:lvlText w:val=""/>
      <w:lvlJc w:val="left"/>
      <w:pPr>
        <w:ind w:left="2880" w:hanging="360"/>
      </w:pPr>
      <w:rPr>
        <w:rFonts w:ascii="Symbol" w:hAnsi="Symbol" w:hint="default"/>
      </w:rPr>
    </w:lvl>
    <w:lvl w:ilvl="4" w:tplc="B7363F0A" w:tentative="1">
      <w:start w:val="1"/>
      <w:numFmt w:val="bullet"/>
      <w:lvlText w:val="o"/>
      <w:lvlJc w:val="left"/>
      <w:pPr>
        <w:ind w:left="3600" w:hanging="360"/>
      </w:pPr>
      <w:rPr>
        <w:rFonts w:ascii="Courier New" w:hAnsi="Courier New" w:cs="Courier New" w:hint="default"/>
      </w:rPr>
    </w:lvl>
    <w:lvl w:ilvl="5" w:tplc="D94CD53A" w:tentative="1">
      <w:start w:val="1"/>
      <w:numFmt w:val="bullet"/>
      <w:lvlText w:val=""/>
      <w:lvlJc w:val="left"/>
      <w:pPr>
        <w:ind w:left="4320" w:hanging="360"/>
      </w:pPr>
      <w:rPr>
        <w:rFonts w:ascii="Wingdings" w:hAnsi="Wingdings" w:hint="default"/>
      </w:rPr>
    </w:lvl>
    <w:lvl w:ilvl="6" w:tplc="A2CCFD70" w:tentative="1">
      <w:start w:val="1"/>
      <w:numFmt w:val="bullet"/>
      <w:lvlText w:val=""/>
      <w:lvlJc w:val="left"/>
      <w:pPr>
        <w:ind w:left="5040" w:hanging="360"/>
      </w:pPr>
      <w:rPr>
        <w:rFonts w:ascii="Symbol" w:hAnsi="Symbol" w:hint="default"/>
      </w:rPr>
    </w:lvl>
    <w:lvl w:ilvl="7" w:tplc="35A6A71C" w:tentative="1">
      <w:start w:val="1"/>
      <w:numFmt w:val="bullet"/>
      <w:lvlText w:val="o"/>
      <w:lvlJc w:val="left"/>
      <w:pPr>
        <w:ind w:left="5760" w:hanging="360"/>
      </w:pPr>
      <w:rPr>
        <w:rFonts w:ascii="Courier New" w:hAnsi="Courier New" w:cs="Courier New" w:hint="default"/>
      </w:rPr>
    </w:lvl>
    <w:lvl w:ilvl="8" w:tplc="771024B0" w:tentative="1">
      <w:start w:val="1"/>
      <w:numFmt w:val="bullet"/>
      <w:lvlText w:val=""/>
      <w:lvlJc w:val="left"/>
      <w:pPr>
        <w:ind w:left="6480" w:hanging="360"/>
      </w:pPr>
      <w:rPr>
        <w:rFonts w:ascii="Wingdings" w:hAnsi="Wingdings" w:hint="default"/>
      </w:rPr>
    </w:lvl>
  </w:abstractNum>
  <w:abstractNum w:abstractNumId="185" w15:restartNumberingAfterBreak="0">
    <w:nsid w:val="566C254E"/>
    <w:multiLevelType w:val="hybridMultilevel"/>
    <w:tmpl w:val="D3923336"/>
    <w:lvl w:ilvl="0" w:tplc="DC8CA758">
      <w:start w:val="1"/>
      <w:numFmt w:val="bullet"/>
      <w:lvlText w:val=""/>
      <w:lvlJc w:val="left"/>
      <w:pPr>
        <w:ind w:left="720" w:hanging="360"/>
      </w:pPr>
      <w:rPr>
        <w:rFonts w:ascii="Symbol" w:hAnsi="Symbol" w:hint="default"/>
      </w:rPr>
    </w:lvl>
    <w:lvl w:ilvl="1" w:tplc="63CAB196" w:tentative="1">
      <w:start w:val="1"/>
      <w:numFmt w:val="bullet"/>
      <w:lvlText w:val="o"/>
      <w:lvlJc w:val="left"/>
      <w:pPr>
        <w:ind w:left="1440" w:hanging="360"/>
      </w:pPr>
      <w:rPr>
        <w:rFonts w:ascii="Courier New" w:hAnsi="Courier New" w:cs="Courier New" w:hint="default"/>
      </w:rPr>
    </w:lvl>
    <w:lvl w:ilvl="2" w:tplc="3F2E1C5E" w:tentative="1">
      <w:start w:val="1"/>
      <w:numFmt w:val="bullet"/>
      <w:lvlText w:val=""/>
      <w:lvlJc w:val="left"/>
      <w:pPr>
        <w:ind w:left="2160" w:hanging="360"/>
      </w:pPr>
      <w:rPr>
        <w:rFonts w:ascii="Wingdings" w:hAnsi="Wingdings" w:hint="default"/>
      </w:rPr>
    </w:lvl>
    <w:lvl w:ilvl="3" w:tplc="9A5EA604" w:tentative="1">
      <w:start w:val="1"/>
      <w:numFmt w:val="bullet"/>
      <w:lvlText w:val=""/>
      <w:lvlJc w:val="left"/>
      <w:pPr>
        <w:ind w:left="2880" w:hanging="360"/>
      </w:pPr>
      <w:rPr>
        <w:rFonts w:ascii="Symbol" w:hAnsi="Symbol" w:hint="default"/>
      </w:rPr>
    </w:lvl>
    <w:lvl w:ilvl="4" w:tplc="5F4C7042" w:tentative="1">
      <w:start w:val="1"/>
      <w:numFmt w:val="bullet"/>
      <w:lvlText w:val="o"/>
      <w:lvlJc w:val="left"/>
      <w:pPr>
        <w:ind w:left="3600" w:hanging="360"/>
      </w:pPr>
      <w:rPr>
        <w:rFonts w:ascii="Courier New" w:hAnsi="Courier New" w:cs="Courier New" w:hint="default"/>
      </w:rPr>
    </w:lvl>
    <w:lvl w:ilvl="5" w:tplc="28A6F038" w:tentative="1">
      <w:start w:val="1"/>
      <w:numFmt w:val="bullet"/>
      <w:lvlText w:val=""/>
      <w:lvlJc w:val="left"/>
      <w:pPr>
        <w:ind w:left="4320" w:hanging="360"/>
      </w:pPr>
      <w:rPr>
        <w:rFonts w:ascii="Wingdings" w:hAnsi="Wingdings" w:hint="default"/>
      </w:rPr>
    </w:lvl>
    <w:lvl w:ilvl="6" w:tplc="1EC48C08" w:tentative="1">
      <w:start w:val="1"/>
      <w:numFmt w:val="bullet"/>
      <w:lvlText w:val=""/>
      <w:lvlJc w:val="left"/>
      <w:pPr>
        <w:ind w:left="5040" w:hanging="360"/>
      </w:pPr>
      <w:rPr>
        <w:rFonts w:ascii="Symbol" w:hAnsi="Symbol" w:hint="default"/>
      </w:rPr>
    </w:lvl>
    <w:lvl w:ilvl="7" w:tplc="83DE3F3A" w:tentative="1">
      <w:start w:val="1"/>
      <w:numFmt w:val="bullet"/>
      <w:lvlText w:val="o"/>
      <w:lvlJc w:val="left"/>
      <w:pPr>
        <w:ind w:left="5760" w:hanging="360"/>
      </w:pPr>
      <w:rPr>
        <w:rFonts w:ascii="Courier New" w:hAnsi="Courier New" w:cs="Courier New" w:hint="default"/>
      </w:rPr>
    </w:lvl>
    <w:lvl w:ilvl="8" w:tplc="F8B24B20" w:tentative="1">
      <w:start w:val="1"/>
      <w:numFmt w:val="bullet"/>
      <w:lvlText w:val=""/>
      <w:lvlJc w:val="left"/>
      <w:pPr>
        <w:ind w:left="6480" w:hanging="360"/>
      </w:pPr>
      <w:rPr>
        <w:rFonts w:ascii="Wingdings" w:hAnsi="Wingdings" w:hint="default"/>
      </w:rPr>
    </w:lvl>
  </w:abstractNum>
  <w:abstractNum w:abstractNumId="186" w15:restartNumberingAfterBreak="0">
    <w:nsid w:val="573D0500"/>
    <w:multiLevelType w:val="hybridMultilevel"/>
    <w:tmpl w:val="18D85D76"/>
    <w:lvl w:ilvl="0" w:tplc="C504BB40">
      <w:start w:val="1"/>
      <w:numFmt w:val="bullet"/>
      <w:lvlText w:val=""/>
      <w:lvlJc w:val="left"/>
      <w:pPr>
        <w:ind w:left="780" w:hanging="360"/>
      </w:pPr>
      <w:rPr>
        <w:rFonts w:ascii="Symbol" w:hAnsi="Symbol" w:hint="default"/>
      </w:rPr>
    </w:lvl>
    <w:lvl w:ilvl="1" w:tplc="01EC3184" w:tentative="1">
      <w:start w:val="1"/>
      <w:numFmt w:val="bullet"/>
      <w:lvlText w:val="o"/>
      <w:lvlJc w:val="left"/>
      <w:pPr>
        <w:ind w:left="1500" w:hanging="360"/>
      </w:pPr>
      <w:rPr>
        <w:rFonts w:ascii="Courier New" w:hAnsi="Courier New" w:cs="Courier New" w:hint="default"/>
      </w:rPr>
    </w:lvl>
    <w:lvl w:ilvl="2" w:tplc="24C62C10" w:tentative="1">
      <w:start w:val="1"/>
      <w:numFmt w:val="bullet"/>
      <w:lvlText w:val=""/>
      <w:lvlJc w:val="left"/>
      <w:pPr>
        <w:ind w:left="2220" w:hanging="360"/>
      </w:pPr>
      <w:rPr>
        <w:rFonts w:ascii="Wingdings" w:hAnsi="Wingdings" w:hint="default"/>
      </w:rPr>
    </w:lvl>
    <w:lvl w:ilvl="3" w:tplc="DA0A740E" w:tentative="1">
      <w:start w:val="1"/>
      <w:numFmt w:val="bullet"/>
      <w:lvlText w:val=""/>
      <w:lvlJc w:val="left"/>
      <w:pPr>
        <w:ind w:left="2940" w:hanging="360"/>
      </w:pPr>
      <w:rPr>
        <w:rFonts w:ascii="Symbol" w:hAnsi="Symbol" w:hint="default"/>
      </w:rPr>
    </w:lvl>
    <w:lvl w:ilvl="4" w:tplc="CED07BBE" w:tentative="1">
      <w:start w:val="1"/>
      <w:numFmt w:val="bullet"/>
      <w:lvlText w:val="o"/>
      <w:lvlJc w:val="left"/>
      <w:pPr>
        <w:ind w:left="3660" w:hanging="360"/>
      </w:pPr>
      <w:rPr>
        <w:rFonts w:ascii="Courier New" w:hAnsi="Courier New" w:cs="Courier New" w:hint="default"/>
      </w:rPr>
    </w:lvl>
    <w:lvl w:ilvl="5" w:tplc="9FF857A0" w:tentative="1">
      <w:start w:val="1"/>
      <w:numFmt w:val="bullet"/>
      <w:lvlText w:val=""/>
      <w:lvlJc w:val="left"/>
      <w:pPr>
        <w:ind w:left="4380" w:hanging="360"/>
      </w:pPr>
      <w:rPr>
        <w:rFonts w:ascii="Wingdings" w:hAnsi="Wingdings" w:hint="default"/>
      </w:rPr>
    </w:lvl>
    <w:lvl w:ilvl="6" w:tplc="045EFD74" w:tentative="1">
      <w:start w:val="1"/>
      <w:numFmt w:val="bullet"/>
      <w:lvlText w:val=""/>
      <w:lvlJc w:val="left"/>
      <w:pPr>
        <w:ind w:left="5100" w:hanging="360"/>
      </w:pPr>
      <w:rPr>
        <w:rFonts w:ascii="Symbol" w:hAnsi="Symbol" w:hint="default"/>
      </w:rPr>
    </w:lvl>
    <w:lvl w:ilvl="7" w:tplc="D2443496" w:tentative="1">
      <w:start w:val="1"/>
      <w:numFmt w:val="bullet"/>
      <w:lvlText w:val="o"/>
      <w:lvlJc w:val="left"/>
      <w:pPr>
        <w:ind w:left="5820" w:hanging="360"/>
      </w:pPr>
      <w:rPr>
        <w:rFonts w:ascii="Courier New" w:hAnsi="Courier New" w:cs="Courier New" w:hint="default"/>
      </w:rPr>
    </w:lvl>
    <w:lvl w:ilvl="8" w:tplc="DCC2B330" w:tentative="1">
      <w:start w:val="1"/>
      <w:numFmt w:val="bullet"/>
      <w:lvlText w:val=""/>
      <w:lvlJc w:val="left"/>
      <w:pPr>
        <w:ind w:left="6540" w:hanging="360"/>
      </w:pPr>
      <w:rPr>
        <w:rFonts w:ascii="Wingdings" w:hAnsi="Wingdings" w:hint="default"/>
      </w:rPr>
    </w:lvl>
  </w:abstractNum>
  <w:abstractNum w:abstractNumId="187" w15:restartNumberingAfterBreak="0">
    <w:nsid w:val="57C15E3F"/>
    <w:multiLevelType w:val="hybridMultilevel"/>
    <w:tmpl w:val="612C56EC"/>
    <w:lvl w:ilvl="0" w:tplc="32844CFA">
      <w:start w:val="1"/>
      <w:numFmt w:val="lowerLetter"/>
      <w:lvlText w:val="%1"/>
      <w:lvlJc w:val="left"/>
      <w:pPr>
        <w:ind w:left="720" w:hanging="360"/>
      </w:pPr>
      <w:rPr>
        <w:rFonts w:hint="default"/>
        <w:vertAlign w:val="superscript"/>
      </w:rPr>
    </w:lvl>
    <w:lvl w:ilvl="1" w:tplc="7ED89B76" w:tentative="1">
      <w:start w:val="1"/>
      <w:numFmt w:val="lowerLetter"/>
      <w:lvlText w:val="%2."/>
      <w:lvlJc w:val="left"/>
      <w:pPr>
        <w:ind w:left="1440" w:hanging="360"/>
      </w:pPr>
    </w:lvl>
    <w:lvl w:ilvl="2" w:tplc="A3D829DA" w:tentative="1">
      <w:start w:val="1"/>
      <w:numFmt w:val="lowerRoman"/>
      <w:lvlText w:val="%3."/>
      <w:lvlJc w:val="right"/>
      <w:pPr>
        <w:ind w:left="2160" w:hanging="180"/>
      </w:pPr>
    </w:lvl>
    <w:lvl w:ilvl="3" w:tplc="1BC234A4" w:tentative="1">
      <w:start w:val="1"/>
      <w:numFmt w:val="decimal"/>
      <w:lvlText w:val="%4."/>
      <w:lvlJc w:val="left"/>
      <w:pPr>
        <w:ind w:left="2880" w:hanging="360"/>
      </w:pPr>
    </w:lvl>
    <w:lvl w:ilvl="4" w:tplc="F45AA8EA" w:tentative="1">
      <w:start w:val="1"/>
      <w:numFmt w:val="lowerLetter"/>
      <w:lvlText w:val="%5."/>
      <w:lvlJc w:val="left"/>
      <w:pPr>
        <w:ind w:left="3600" w:hanging="360"/>
      </w:pPr>
    </w:lvl>
    <w:lvl w:ilvl="5" w:tplc="8B7A3C34" w:tentative="1">
      <w:start w:val="1"/>
      <w:numFmt w:val="lowerRoman"/>
      <w:lvlText w:val="%6."/>
      <w:lvlJc w:val="right"/>
      <w:pPr>
        <w:ind w:left="4320" w:hanging="180"/>
      </w:pPr>
    </w:lvl>
    <w:lvl w:ilvl="6" w:tplc="EE56F9EC" w:tentative="1">
      <w:start w:val="1"/>
      <w:numFmt w:val="decimal"/>
      <w:lvlText w:val="%7."/>
      <w:lvlJc w:val="left"/>
      <w:pPr>
        <w:ind w:left="5040" w:hanging="360"/>
      </w:pPr>
    </w:lvl>
    <w:lvl w:ilvl="7" w:tplc="759072D6" w:tentative="1">
      <w:start w:val="1"/>
      <w:numFmt w:val="lowerLetter"/>
      <w:lvlText w:val="%8."/>
      <w:lvlJc w:val="left"/>
      <w:pPr>
        <w:ind w:left="5760" w:hanging="360"/>
      </w:pPr>
    </w:lvl>
    <w:lvl w:ilvl="8" w:tplc="DBFE3884" w:tentative="1">
      <w:start w:val="1"/>
      <w:numFmt w:val="lowerRoman"/>
      <w:lvlText w:val="%9."/>
      <w:lvlJc w:val="right"/>
      <w:pPr>
        <w:ind w:left="6480" w:hanging="180"/>
      </w:pPr>
    </w:lvl>
  </w:abstractNum>
  <w:abstractNum w:abstractNumId="188" w15:restartNumberingAfterBreak="0">
    <w:nsid w:val="58225ADF"/>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89" w15:restartNumberingAfterBreak="0">
    <w:nsid w:val="589F2068"/>
    <w:multiLevelType w:val="hybridMultilevel"/>
    <w:tmpl w:val="92E85228"/>
    <w:lvl w:ilvl="0" w:tplc="0A5A8B1A">
      <w:start w:val="1"/>
      <w:numFmt w:val="bullet"/>
      <w:lvlText w:val=""/>
      <w:lvlJc w:val="left"/>
      <w:pPr>
        <w:tabs>
          <w:tab w:val="num" w:pos="720"/>
        </w:tabs>
        <w:ind w:left="720" w:hanging="360"/>
      </w:pPr>
      <w:rPr>
        <w:rFonts w:ascii="Symbol" w:hAnsi="Symbol" w:hint="default"/>
      </w:rPr>
    </w:lvl>
    <w:lvl w:ilvl="1" w:tplc="FD624178">
      <w:start w:val="1"/>
      <w:numFmt w:val="bullet"/>
      <w:lvlText w:val="o"/>
      <w:lvlJc w:val="left"/>
      <w:pPr>
        <w:tabs>
          <w:tab w:val="num" w:pos="1440"/>
        </w:tabs>
        <w:ind w:left="1440" w:hanging="360"/>
      </w:pPr>
      <w:rPr>
        <w:rFonts w:ascii="Courier New" w:hAnsi="Courier New" w:hint="default"/>
      </w:rPr>
    </w:lvl>
    <w:lvl w:ilvl="2" w:tplc="FBE6742A">
      <w:start w:val="1"/>
      <w:numFmt w:val="bullet"/>
      <w:lvlText w:val=""/>
      <w:lvlJc w:val="left"/>
      <w:pPr>
        <w:tabs>
          <w:tab w:val="num" w:pos="2160"/>
        </w:tabs>
        <w:ind w:left="2160" w:hanging="360"/>
      </w:pPr>
      <w:rPr>
        <w:rFonts w:ascii="Symbol" w:hAnsi="Symbol" w:hint="default"/>
      </w:rPr>
    </w:lvl>
    <w:lvl w:ilvl="3" w:tplc="0C987AF2" w:tentative="1">
      <w:start w:val="1"/>
      <w:numFmt w:val="bullet"/>
      <w:lvlText w:val=""/>
      <w:lvlJc w:val="left"/>
      <w:pPr>
        <w:tabs>
          <w:tab w:val="num" w:pos="2880"/>
        </w:tabs>
        <w:ind w:left="2880" w:hanging="360"/>
      </w:pPr>
      <w:rPr>
        <w:rFonts w:ascii="Symbol" w:hAnsi="Symbol" w:hint="default"/>
      </w:rPr>
    </w:lvl>
    <w:lvl w:ilvl="4" w:tplc="1CE6EBA4" w:tentative="1">
      <w:start w:val="1"/>
      <w:numFmt w:val="bullet"/>
      <w:lvlText w:val="o"/>
      <w:lvlJc w:val="left"/>
      <w:pPr>
        <w:tabs>
          <w:tab w:val="num" w:pos="3600"/>
        </w:tabs>
        <w:ind w:left="3600" w:hanging="360"/>
      </w:pPr>
      <w:rPr>
        <w:rFonts w:ascii="Courier New" w:hAnsi="Courier New" w:hint="default"/>
      </w:rPr>
    </w:lvl>
    <w:lvl w:ilvl="5" w:tplc="86F031B0" w:tentative="1">
      <w:start w:val="1"/>
      <w:numFmt w:val="bullet"/>
      <w:lvlText w:val=""/>
      <w:lvlJc w:val="left"/>
      <w:pPr>
        <w:tabs>
          <w:tab w:val="num" w:pos="4320"/>
        </w:tabs>
        <w:ind w:left="4320" w:hanging="360"/>
      </w:pPr>
      <w:rPr>
        <w:rFonts w:ascii="Wingdings" w:hAnsi="Wingdings" w:hint="default"/>
      </w:rPr>
    </w:lvl>
    <w:lvl w:ilvl="6" w:tplc="8C287C76" w:tentative="1">
      <w:start w:val="1"/>
      <w:numFmt w:val="bullet"/>
      <w:lvlText w:val=""/>
      <w:lvlJc w:val="left"/>
      <w:pPr>
        <w:tabs>
          <w:tab w:val="num" w:pos="5040"/>
        </w:tabs>
        <w:ind w:left="5040" w:hanging="360"/>
      </w:pPr>
      <w:rPr>
        <w:rFonts w:ascii="Symbol" w:hAnsi="Symbol" w:hint="default"/>
      </w:rPr>
    </w:lvl>
    <w:lvl w:ilvl="7" w:tplc="5C468050" w:tentative="1">
      <w:start w:val="1"/>
      <w:numFmt w:val="bullet"/>
      <w:lvlText w:val="o"/>
      <w:lvlJc w:val="left"/>
      <w:pPr>
        <w:tabs>
          <w:tab w:val="num" w:pos="5760"/>
        </w:tabs>
        <w:ind w:left="5760" w:hanging="360"/>
      </w:pPr>
      <w:rPr>
        <w:rFonts w:ascii="Courier New" w:hAnsi="Courier New" w:hint="default"/>
      </w:rPr>
    </w:lvl>
    <w:lvl w:ilvl="8" w:tplc="EDD82D22"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592A5F67"/>
    <w:multiLevelType w:val="hybridMultilevel"/>
    <w:tmpl w:val="E220911C"/>
    <w:lvl w:ilvl="0" w:tplc="6E646A8A">
      <w:start w:val="1"/>
      <w:numFmt w:val="lowerLetter"/>
      <w:lvlText w:val="%1"/>
      <w:lvlJc w:val="left"/>
      <w:pPr>
        <w:ind w:left="720" w:hanging="360"/>
      </w:pPr>
      <w:rPr>
        <w:rFonts w:hint="default"/>
        <w:sz w:val="22"/>
        <w:szCs w:val="22"/>
        <w:vertAlign w:val="superscript"/>
      </w:rPr>
    </w:lvl>
    <w:lvl w:ilvl="1" w:tplc="A838DC72" w:tentative="1">
      <w:start w:val="1"/>
      <w:numFmt w:val="lowerLetter"/>
      <w:lvlText w:val="%2."/>
      <w:lvlJc w:val="left"/>
      <w:pPr>
        <w:ind w:left="1440" w:hanging="360"/>
      </w:pPr>
    </w:lvl>
    <w:lvl w:ilvl="2" w:tplc="91C6056A" w:tentative="1">
      <w:start w:val="1"/>
      <w:numFmt w:val="lowerRoman"/>
      <w:lvlText w:val="%3."/>
      <w:lvlJc w:val="right"/>
      <w:pPr>
        <w:ind w:left="2160" w:hanging="180"/>
      </w:pPr>
    </w:lvl>
    <w:lvl w:ilvl="3" w:tplc="2EB8A938" w:tentative="1">
      <w:start w:val="1"/>
      <w:numFmt w:val="decimal"/>
      <w:lvlText w:val="%4."/>
      <w:lvlJc w:val="left"/>
      <w:pPr>
        <w:ind w:left="2880" w:hanging="360"/>
      </w:pPr>
    </w:lvl>
    <w:lvl w:ilvl="4" w:tplc="7CAAF752" w:tentative="1">
      <w:start w:val="1"/>
      <w:numFmt w:val="lowerLetter"/>
      <w:lvlText w:val="%5."/>
      <w:lvlJc w:val="left"/>
      <w:pPr>
        <w:ind w:left="3600" w:hanging="360"/>
      </w:pPr>
    </w:lvl>
    <w:lvl w:ilvl="5" w:tplc="AFAABA92" w:tentative="1">
      <w:start w:val="1"/>
      <w:numFmt w:val="lowerRoman"/>
      <w:lvlText w:val="%6."/>
      <w:lvlJc w:val="right"/>
      <w:pPr>
        <w:ind w:left="4320" w:hanging="180"/>
      </w:pPr>
    </w:lvl>
    <w:lvl w:ilvl="6" w:tplc="2CF2C08C" w:tentative="1">
      <w:start w:val="1"/>
      <w:numFmt w:val="decimal"/>
      <w:lvlText w:val="%7."/>
      <w:lvlJc w:val="left"/>
      <w:pPr>
        <w:ind w:left="5040" w:hanging="360"/>
      </w:pPr>
    </w:lvl>
    <w:lvl w:ilvl="7" w:tplc="41129DD6" w:tentative="1">
      <w:start w:val="1"/>
      <w:numFmt w:val="lowerLetter"/>
      <w:lvlText w:val="%8."/>
      <w:lvlJc w:val="left"/>
      <w:pPr>
        <w:ind w:left="5760" w:hanging="360"/>
      </w:pPr>
    </w:lvl>
    <w:lvl w:ilvl="8" w:tplc="9118C94C" w:tentative="1">
      <w:start w:val="1"/>
      <w:numFmt w:val="lowerRoman"/>
      <w:lvlText w:val="%9."/>
      <w:lvlJc w:val="right"/>
      <w:pPr>
        <w:ind w:left="6480" w:hanging="180"/>
      </w:pPr>
    </w:lvl>
  </w:abstractNum>
  <w:abstractNum w:abstractNumId="191" w15:restartNumberingAfterBreak="0">
    <w:nsid w:val="5A0C471D"/>
    <w:multiLevelType w:val="hybridMultilevel"/>
    <w:tmpl w:val="9F0C1040"/>
    <w:lvl w:ilvl="0" w:tplc="B1E4205E">
      <w:start w:val="1"/>
      <w:numFmt w:val="decimal"/>
      <w:lvlText w:val="%1."/>
      <w:lvlJc w:val="left"/>
      <w:pPr>
        <w:tabs>
          <w:tab w:val="num" w:pos="360"/>
        </w:tabs>
        <w:ind w:left="360" w:hanging="360"/>
      </w:pPr>
    </w:lvl>
    <w:lvl w:ilvl="1" w:tplc="31285C6A" w:tentative="1">
      <w:start w:val="1"/>
      <w:numFmt w:val="bullet"/>
      <w:lvlText w:val="o"/>
      <w:lvlJc w:val="left"/>
      <w:pPr>
        <w:tabs>
          <w:tab w:val="num" w:pos="1440"/>
        </w:tabs>
        <w:ind w:left="1440" w:hanging="360"/>
      </w:pPr>
      <w:rPr>
        <w:rFonts w:ascii="Courier New" w:hAnsi="Courier New" w:hint="default"/>
      </w:rPr>
    </w:lvl>
    <w:lvl w:ilvl="2" w:tplc="A498E3FE" w:tentative="1">
      <w:start w:val="1"/>
      <w:numFmt w:val="bullet"/>
      <w:lvlText w:val=""/>
      <w:lvlJc w:val="left"/>
      <w:pPr>
        <w:tabs>
          <w:tab w:val="num" w:pos="2160"/>
        </w:tabs>
        <w:ind w:left="2160" w:hanging="360"/>
      </w:pPr>
      <w:rPr>
        <w:rFonts w:ascii="Wingdings" w:hAnsi="Wingdings" w:hint="default"/>
      </w:rPr>
    </w:lvl>
    <w:lvl w:ilvl="3" w:tplc="290637A8" w:tentative="1">
      <w:start w:val="1"/>
      <w:numFmt w:val="bullet"/>
      <w:lvlText w:val=""/>
      <w:lvlJc w:val="left"/>
      <w:pPr>
        <w:tabs>
          <w:tab w:val="num" w:pos="2880"/>
        </w:tabs>
        <w:ind w:left="2880" w:hanging="360"/>
      </w:pPr>
      <w:rPr>
        <w:rFonts w:ascii="Symbol" w:hAnsi="Symbol" w:hint="default"/>
      </w:rPr>
    </w:lvl>
    <w:lvl w:ilvl="4" w:tplc="8676F504" w:tentative="1">
      <w:start w:val="1"/>
      <w:numFmt w:val="bullet"/>
      <w:lvlText w:val="o"/>
      <w:lvlJc w:val="left"/>
      <w:pPr>
        <w:tabs>
          <w:tab w:val="num" w:pos="3600"/>
        </w:tabs>
        <w:ind w:left="3600" w:hanging="360"/>
      </w:pPr>
      <w:rPr>
        <w:rFonts w:ascii="Courier New" w:hAnsi="Courier New" w:hint="default"/>
      </w:rPr>
    </w:lvl>
    <w:lvl w:ilvl="5" w:tplc="65B68E5C" w:tentative="1">
      <w:start w:val="1"/>
      <w:numFmt w:val="bullet"/>
      <w:lvlText w:val=""/>
      <w:lvlJc w:val="left"/>
      <w:pPr>
        <w:tabs>
          <w:tab w:val="num" w:pos="4320"/>
        </w:tabs>
        <w:ind w:left="4320" w:hanging="360"/>
      </w:pPr>
      <w:rPr>
        <w:rFonts w:ascii="Wingdings" w:hAnsi="Wingdings" w:hint="default"/>
      </w:rPr>
    </w:lvl>
    <w:lvl w:ilvl="6" w:tplc="C38C7F00" w:tentative="1">
      <w:start w:val="1"/>
      <w:numFmt w:val="bullet"/>
      <w:lvlText w:val=""/>
      <w:lvlJc w:val="left"/>
      <w:pPr>
        <w:tabs>
          <w:tab w:val="num" w:pos="5040"/>
        </w:tabs>
        <w:ind w:left="5040" w:hanging="360"/>
      </w:pPr>
      <w:rPr>
        <w:rFonts w:ascii="Symbol" w:hAnsi="Symbol" w:hint="default"/>
      </w:rPr>
    </w:lvl>
    <w:lvl w:ilvl="7" w:tplc="90743EB4" w:tentative="1">
      <w:start w:val="1"/>
      <w:numFmt w:val="bullet"/>
      <w:lvlText w:val="o"/>
      <w:lvlJc w:val="left"/>
      <w:pPr>
        <w:tabs>
          <w:tab w:val="num" w:pos="5760"/>
        </w:tabs>
        <w:ind w:left="5760" w:hanging="360"/>
      </w:pPr>
      <w:rPr>
        <w:rFonts w:ascii="Courier New" w:hAnsi="Courier New" w:hint="default"/>
      </w:rPr>
    </w:lvl>
    <w:lvl w:ilvl="8" w:tplc="D192487E"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5A2B6617"/>
    <w:multiLevelType w:val="multilevel"/>
    <w:tmpl w:val="ECEA525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3" w15:restartNumberingAfterBreak="0">
    <w:nsid w:val="5C817D49"/>
    <w:multiLevelType w:val="hybridMultilevel"/>
    <w:tmpl w:val="C2D8649A"/>
    <w:lvl w:ilvl="0" w:tplc="DC901390">
      <w:start w:val="1"/>
      <w:numFmt w:val="decimal"/>
      <w:lvlText w:val="%1."/>
      <w:lvlJc w:val="left"/>
      <w:pPr>
        <w:ind w:left="720" w:hanging="360"/>
      </w:pPr>
      <w:rPr>
        <w:rFonts w:hint="default"/>
      </w:rPr>
    </w:lvl>
    <w:lvl w:ilvl="1" w:tplc="ED72DEE2" w:tentative="1">
      <w:start w:val="1"/>
      <w:numFmt w:val="lowerLetter"/>
      <w:lvlText w:val="%2."/>
      <w:lvlJc w:val="left"/>
      <w:pPr>
        <w:ind w:left="1440" w:hanging="360"/>
      </w:pPr>
    </w:lvl>
    <w:lvl w:ilvl="2" w:tplc="4538C606" w:tentative="1">
      <w:start w:val="1"/>
      <w:numFmt w:val="lowerRoman"/>
      <w:lvlText w:val="%3."/>
      <w:lvlJc w:val="right"/>
      <w:pPr>
        <w:ind w:left="2160" w:hanging="180"/>
      </w:pPr>
    </w:lvl>
    <w:lvl w:ilvl="3" w:tplc="8934330C" w:tentative="1">
      <w:start w:val="1"/>
      <w:numFmt w:val="decimal"/>
      <w:lvlText w:val="%4."/>
      <w:lvlJc w:val="left"/>
      <w:pPr>
        <w:ind w:left="2880" w:hanging="360"/>
      </w:pPr>
    </w:lvl>
    <w:lvl w:ilvl="4" w:tplc="C41E5276" w:tentative="1">
      <w:start w:val="1"/>
      <w:numFmt w:val="lowerLetter"/>
      <w:lvlText w:val="%5."/>
      <w:lvlJc w:val="left"/>
      <w:pPr>
        <w:ind w:left="3600" w:hanging="360"/>
      </w:pPr>
    </w:lvl>
    <w:lvl w:ilvl="5" w:tplc="C940108E" w:tentative="1">
      <w:start w:val="1"/>
      <w:numFmt w:val="lowerRoman"/>
      <w:lvlText w:val="%6."/>
      <w:lvlJc w:val="right"/>
      <w:pPr>
        <w:ind w:left="4320" w:hanging="180"/>
      </w:pPr>
    </w:lvl>
    <w:lvl w:ilvl="6" w:tplc="7AF8FC90" w:tentative="1">
      <w:start w:val="1"/>
      <w:numFmt w:val="decimal"/>
      <w:lvlText w:val="%7."/>
      <w:lvlJc w:val="left"/>
      <w:pPr>
        <w:ind w:left="5040" w:hanging="360"/>
      </w:pPr>
    </w:lvl>
    <w:lvl w:ilvl="7" w:tplc="C55839A8" w:tentative="1">
      <w:start w:val="1"/>
      <w:numFmt w:val="lowerLetter"/>
      <w:lvlText w:val="%8."/>
      <w:lvlJc w:val="left"/>
      <w:pPr>
        <w:ind w:left="5760" w:hanging="360"/>
      </w:pPr>
    </w:lvl>
    <w:lvl w:ilvl="8" w:tplc="580AD566" w:tentative="1">
      <w:start w:val="1"/>
      <w:numFmt w:val="lowerRoman"/>
      <w:lvlText w:val="%9."/>
      <w:lvlJc w:val="right"/>
      <w:pPr>
        <w:ind w:left="6480" w:hanging="180"/>
      </w:pPr>
    </w:lvl>
  </w:abstractNum>
  <w:abstractNum w:abstractNumId="194" w15:restartNumberingAfterBreak="0">
    <w:nsid w:val="5D1C4FF1"/>
    <w:multiLevelType w:val="hybridMultilevel"/>
    <w:tmpl w:val="1CAE9B24"/>
    <w:lvl w:ilvl="0" w:tplc="33F6DC7E">
      <w:start w:val="1"/>
      <w:numFmt w:val="bullet"/>
      <w:lvlText w:val=""/>
      <w:lvlJc w:val="left"/>
      <w:pPr>
        <w:tabs>
          <w:tab w:val="num" w:pos="720"/>
        </w:tabs>
        <w:ind w:left="720" w:hanging="360"/>
      </w:pPr>
      <w:rPr>
        <w:rFonts w:ascii="Symbol" w:hAnsi="Symbol" w:hint="default"/>
      </w:rPr>
    </w:lvl>
    <w:lvl w:ilvl="1" w:tplc="534E2F2A" w:tentative="1">
      <w:start w:val="1"/>
      <w:numFmt w:val="bullet"/>
      <w:lvlText w:val="o"/>
      <w:lvlJc w:val="left"/>
      <w:pPr>
        <w:tabs>
          <w:tab w:val="num" w:pos="1440"/>
        </w:tabs>
        <w:ind w:left="1440" w:hanging="360"/>
      </w:pPr>
      <w:rPr>
        <w:rFonts w:ascii="Courier New" w:hAnsi="Courier New" w:hint="default"/>
      </w:rPr>
    </w:lvl>
    <w:lvl w:ilvl="2" w:tplc="AA3EB598" w:tentative="1">
      <w:start w:val="1"/>
      <w:numFmt w:val="bullet"/>
      <w:lvlText w:val=""/>
      <w:lvlJc w:val="left"/>
      <w:pPr>
        <w:tabs>
          <w:tab w:val="num" w:pos="2160"/>
        </w:tabs>
        <w:ind w:left="2160" w:hanging="360"/>
      </w:pPr>
      <w:rPr>
        <w:rFonts w:ascii="Wingdings" w:hAnsi="Wingdings" w:hint="default"/>
      </w:rPr>
    </w:lvl>
    <w:lvl w:ilvl="3" w:tplc="3C084B16" w:tentative="1">
      <w:start w:val="1"/>
      <w:numFmt w:val="bullet"/>
      <w:lvlText w:val=""/>
      <w:lvlJc w:val="left"/>
      <w:pPr>
        <w:tabs>
          <w:tab w:val="num" w:pos="2880"/>
        </w:tabs>
        <w:ind w:left="2880" w:hanging="360"/>
      </w:pPr>
      <w:rPr>
        <w:rFonts w:ascii="Symbol" w:hAnsi="Symbol" w:hint="default"/>
      </w:rPr>
    </w:lvl>
    <w:lvl w:ilvl="4" w:tplc="0DDAAB6E" w:tentative="1">
      <w:start w:val="1"/>
      <w:numFmt w:val="bullet"/>
      <w:lvlText w:val="o"/>
      <w:lvlJc w:val="left"/>
      <w:pPr>
        <w:tabs>
          <w:tab w:val="num" w:pos="3600"/>
        </w:tabs>
        <w:ind w:left="3600" w:hanging="360"/>
      </w:pPr>
      <w:rPr>
        <w:rFonts w:ascii="Courier New" w:hAnsi="Courier New" w:hint="default"/>
      </w:rPr>
    </w:lvl>
    <w:lvl w:ilvl="5" w:tplc="19D2F2D2" w:tentative="1">
      <w:start w:val="1"/>
      <w:numFmt w:val="bullet"/>
      <w:lvlText w:val=""/>
      <w:lvlJc w:val="left"/>
      <w:pPr>
        <w:tabs>
          <w:tab w:val="num" w:pos="4320"/>
        </w:tabs>
        <w:ind w:left="4320" w:hanging="360"/>
      </w:pPr>
      <w:rPr>
        <w:rFonts w:ascii="Wingdings" w:hAnsi="Wingdings" w:hint="default"/>
      </w:rPr>
    </w:lvl>
    <w:lvl w:ilvl="6" w:tplc="1CD6A316" w:tentative="1">
      <w:start w:val="1"/>
      <w:numFmt w:val="bullet"/>
      <w:lvlText w:val=""/>
      <w:lvlJc w:val="left"/>
      <w:pPr>
        <w:tabs>
          <w:tab w:val="num" w:pos="5040"/>
        </w:tabs>
        <w:ind w:left="5040" w:hanging="360"/>
      </w:pPr>
      <w:rPr>
        <w:rFonts w:ascii="Symbol" w:hAnsi="Symbol" w:hint="default"/>
      </w:rPr>
    </w:lvl>
    <w:lvl w:ilvl="7" w:tplc="FC60721E" w:tentative="1">
      <w:start w:val="1"/>
      <w:numFmt w:val="bullet"/>
      <w:lvlText w:val="o"/>
      <w:lvlJc w:val="left"/>
      <w:pPr>
        <w:tabs>
          <w:tab w:val="num" w:pos="5760"/>
        </w:tabs>
        <w:ind w:left="5760" w:hanging="360"/>
      </w:pPr>
      <w:rPr>
        <w:rFonts w:ascii="Courier New" w:hAnsi="Courier New" w:hint="default"/>
      </w:rPr>
    </w:lvl>
    <w:lvl w:ilvl="8" w:tplc="7D6C08BE"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5D4E3933"/>
    <w:multiLevelType w:val="multilevel"/>
    <w:tmpl w:val="55367D84"/>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196" w15:restartNumberingAfterBreak="0">
    <w:nsid w:val="5D6C3706"/>
    <w:multiLevelType w:val="hybridMultilevel"/>
    <w:tmpl w:val="63485398"/>
    <w:lvl w:ilvl="0" w:tplc="D3503F76">
      <w:start w:val="1"/>
      <w:numFmt w:val="bullet"/>
      <w:lvlText w:val=""/>
      <w:lvlJc w:val="left"/>
      <w:pPr>
        <w:ind w:left="720" w:hanging="360"/>
      </w:pPr>
      <w:rPr>
        <w:rFonts w:ascii="Symbol" w:hAnsi="Symbol" w:hint="default"/>
      </w:rPr>
    </w:lvl>
    <w:lvl w:ilvl="1" w:tplc="DE2E3292" w:tentative="1">
      <w:start w:val="1"/>
      <w:numFmt w:val="bullet"/>
      <w:lvlText w:val="o"/>
      <w:lvlJc w:val="left"/>
      <w:pPr>
        <w:ind w:left="1440" w:hanging="360"/>
      </w:pPr>
      <w:rPr>
        <w:rFonts w:ascii="Courier New" w:hAnsi="Courier New" w:cs="Courier New" w:hint="default"/>
      </w:rPr>
    </w:lvl>
    <w:lvl w:ilvl="2" w:tplc="7E702F82" w:tentative="1">
      <w:start w:val="1"/>
      <w:numFmt w:val="bullet"/>
      <w:lvlText w:val=""/>
      <w:lvlJc w:val="left"/>
      <w:pPr>
        <w:ind w:left="2160" w:hanging="360"/>
      </w:pPr>
      <w:rPr>
        <w:rFonts w:ascii="Wingdings" w:hAnsi="Wingdings" w:hint="default"/>
      </w:rPr>
    </w:lvl>
    <w:lvl w:ilvl="3" w:tplc="EEBC59E0" w:tentative="1">
      <w:start w:val="1"/>
      <w:numFmt w:val="bullet"/>
      <w:lvlText w:val=""/>
      <w:lvlJc w:val="left"/>
      <w:pPr>
        <w:ind w:left="2880" w:hanging="360"/>
      </w:pPr>
      <w:rPr>
        <w:rFonts w:ascii="Symbol" w:hAnsi="Symbol" w:hint="default"/>
      </w:rPr>
    </w:lvl>
    <w:lvl w:ilvl="4" w:tplc="7C2E9354" w:tentative="1">
      <w:start w:val="1"/>
      <w:numFmt w:val="bullet"/>
      <w:lvlText w:val="o"/>
      <w:lvlJc w:val="left"/>
      <w:pPr>
        <w:ind w:left="3600" w:hanging="360"/>
      </w:pPr>
      <w:rPr>
        <w:rFonts w:ascii="Courier New" w:hAnsi="Courier New" w:cs="Courier New" w:hint="default"/>
      </w:rPr>
    </w:lvl>
    <w:lvl w:ilvl="5" w:tplc="6B8C555E" w:tentative="1">
      <w:start w:val="1"/>
      <w:numFmt w:val="bullet"/>
      <w:lvlText w:val=""/>
      <w:lvlJc w:val="left"/>
      <w:pPr>
        <w:ind w:left="4320" w:hanging="360"/>
      </w:pPr>
      <w:rPr>
        <w:rFonts w:ascii="Wingdings" w:hAnsi="Wingdings" w:hint="default"/>
      </w:rPr>
    </w:lvl>
    <w:lvl w:ilvl="6" w:tplc="4C049600" w:tentative="1">
      <w:start w:val="1"/>
      <w:numFmt w:val="bullet"/>
      <w:lvlText w:val=""/>
      <w:lvlJc w:val="left"/>
      <w:pPr>
        <w:ind w:left="5040" w:hanging="360"/>
      </w:pPr>
      <w:rPr>
        <w:rFonts w:ascii="Symbol" w:hAnsi="Symbol" w:hint="default"/>
      </w:rPr>
    </w:lvl>
    <w:lvl w:ilvl="7" w:tplc="0F4641B6" w:tentative="1">
      <w:start w:val="1"/>
      <w:numFmt w:val="bullet"/>
      <w:lvlText w:val="o"/>
      <w:lvlJc w:val="left"/>
      <w:pPr>
        <w:ind w:left="5760" w:hanging="360"/>
      </w:pPr>
      <w:rPr>
        <w:rFonts w:ascii="Courier New" w:hAnsi="Courier New" w:cs="Courier New" w:hint="default"/>
      </w:rPr>
    </w:lvl>
    <w:lvl w:ilvl="8" w:tplc="5D308E36" w:tentative="1">
      <w:start w:val="1"/>
      <w:numFmt w:val="bullet"/>
      <w:lvlText w:val=""/>
      <w:lvlJc w:val="left"/>
      <w:pPr>
        <w:ind w:left="6480" w:hanging="360"/>
      </w:pPr>
      <w:rPr>
        <w:rFonts w:ascii="Wingdings" w:hAnsi="Wingdings" w:hint="default"/>
      </w:rPr>
    </w:lvl>
  </w:abstractNum>
  <w:abstractNum w:abstractNumId="197" w15:restartNumberingAfterBreak="0">
    <w:nsid w:val="5DDB6D3E"/>
    <w:multiLevelType w:val="hybridMultilevel"/>
    <w:tmpl w:val="5A4EDCDC"/>
    <w:lvl w:ilvl="0" w:tplc="24124886">
      <w:start w:val="1"/>
      <w:numFmt w:val="bullet"/>
      <w:lvlText w:val=""/>
      <w:lvlJc w:val="left"/>
      <w:pPr>
        <w:tabs>
          <w:tab w:val="num" w:pos="720"/>
        </w:tabs>
        <w:ind w:left="720" w:hanging="360"/>
      </w:pPr>
      <w:rPr>
        <w:rFonts w:ascii="Symbol" w:hAnsi="Symbol" w:hint="default"/>
      </w:rPr>
    </w:lvl>
    <w:lvl w:ilvl="1" w:tplc="992A5BEE" w:tentative="1">
      <w:start w:val="1"/>
      <w:numFmt w:val="bullet"/>
      <w:lvlText w:val="o"/>
      <w:lvlJc w:val="left"/>
      <w:pPr>
        <w:tabs>
          <w:tab w:val="num" w:pos="1440"/>
        </w:tabs>
        <w:ind w:left="1440" w:hanging="360"/>
      </w:pPr>
      <w:rPr>
        <w:rFonts w:ascii="Courier New" w:hAnsi="Courier New" w:hint="default"/>
      </w:rPr>
    </w:lvl>
    <w:lvl w:ilvl="2" w:tplc="1E30A00E" w:tentative="1">
      <w:start w:val="1"/>
      <w:numFmt w:val="bullet"/>
      <w:lvlText w:val=""/>
      <w:lvlJc w:val="left"/>
      <w:pPr>
        <w:tabs>
          <w:tab w:val="num" w:pos="2160"/>
        </w:tabs>
        <w:ind w:left="2160" w:hanging="360"/>
      </w:pPr>
      <w:rPr>
        <w:rFonts w:ascii="Wingdings" w:hAnsi="Wingdings" w:hint="default"/>
      </w:rPr>
    </w:lvl>
    <w:lvl w:ilvl="3" w:tplc="C6C27DF2" w:tentative="1">
      <w:start w:val="1"/>
      <w:numFmt w:val="bullet"/>
      <w:lvlText w:val=""/>
      <w:lvlJc w:val="left"/>
      <w:pPr>
        <w:tabs>
          <w:tab w:val="num" w:pos="2880"/>
        </w:tabs>
        <w:ind w:left="2880" w:hanging="360"/>
      </w:pPr>
      <w:rPr>
        <w:rFonts w:ascii="Symbol" w:hAnsi="Symbol" w:hint="default"/>
      </w:rPr>
    </w:lvl>
    <w:lvl w:ilvl="4" w:tplc="3F24AA26" w:tentative="1">
      <w:start w:val="1"/>
      <w:numFmt w:val="bullet"/>
      <w:lvlText w:val="o"/>
      <w:lvlJc w:val="left"/>
      <w:pPr>
        <w:tabs>
          <w:tab w:val="num" w:pos="3600"/>
        </w:tabs>
        <w:ind w:left="3600" w:hanging="360"/>
      </w:pPr>
      <w:rPr>
        <w:rFonts w:ascii="Courier New" w:hAnsi="Courier New" w:hint="default"/>
      </w:rPr>
    </w:lvl>
    <w:lvl w:ilvl="5" w:tplc="0E8EA2CE" w:tentative="1">
      <w:start w:val="1"/>
      <w:numFmt w:val="bullet"/>
      <w:lvlText w:val=""/>
      <w:lvlJc w:val="left"/>
      <w:pPr>
        <w:tabs>
          <w:tab w:val="num" w:pos="4320"/>
        </w:tabs>
        <w:ind w:left="4320" w:hanging="360"/>
      </w:pPr>
      <w:rPr>
        <w:rFonts w:ascii="Wingdings" w:hAnsi="Wingdings" w:hint="default"/>
      </w:rPr>
    </w:lvl>
    <w:lvl w:ilvl="6" w:tplc="20D0103C" w:tentative="1">
      <w:start w:val="1"/>
      <w:numFmt w:val="bullet"/>
      <w:lvlText w:val=""/>
      <w:lvlJc w:val="left"/>
      <w:pPr>
        <w:tabs>
          <w:tab w:val="num" w:pos="5040"/>
        </w:tabs>
        <w:ind w:left="5040" w:hanging="360"/>
      </w:pPr>
      <w:rPr>
        <w:rFonts w:ascii="Symbol" w:hAnsi="Symbol" w:hint="default"/>
      </w:rPr>
    </w:lvl>
    <w:lvl w:ilvl="7" w:tplc="363871F2" w:tentative="1">
      <w:start w:val="1"/>
      <w:numFmt w:val="bullet"/>
      <w:lvlText w:val="o"/>
      <w:lvlJc w:val="left"/>
      <w:pPr>
        <w:tabs>
          <w:tab w:val="num" w:pos="5760"/>
        </w:tabs>
        <w:ind w:left="5760" w:hanging="360"/>
      </w:pPr>
      <w:rPr>
        <w:rFonts w:ascii="Courier New" w:hAnsi="Courier New" w:hint="default"/>
      </w:rPr>
    </w:lvl>
    <w:lvl w:ilvl="8" w:tplc="D83635C8"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5E6634A8"/>
    <w:multiLevelType w:val="multilevel"/>
    <w:tmpl w:val="A1F481F2"/>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9" w15:restartNumberingAfterBreak="0">
    <w:nsid w:val="5EE002CB"/>
    <w:multiLevelType w:val="hybridMultilevel"/>
    <w:tmpl w:val="A75636A2"/>
    <w:lvl w:ilvl="0" w:tplc="0D4EB67E">
      <w:start w:val="1"/>
      <w:numFmt w:val="bullet"/>
      <w:lvlText w:val=""/>
      <w:lvlJc w:val="left"/>
      <w:pPr>
        <w:tabs>
          <w:tab w:val="num" w:pos="720"/>
        </w:tabs>
        <w:ind w:left="720" w:hanging="360"/>
      </w:pPr>
      <w:rPr>
        <w:rFonts w:ascii="Symbol" w:hAnsi="Symbol" w:hint="default"/>
      </w:rPr>
    </w:lvl>
    <w:lvl w:ilvl="1" w:tplc="8BCA3EFC" w:tentative="1">
      <w:start w:val="1"/>
      <w:numFmt w:val="bullet"/>
      <w:lvlText w:val="o"/>
      <w:lvlJc w:val="left"/>
      <w:pPr>
        <w:tabs>
          <w:tab w:val="num" w:pos="1440"/>
        </w:tabs>
        <w:ind w:left="1440" w:hanging="360"/>
      </w:pPr>
      <w:rPr>
        <w:rFonts w:ascii="Courier New" w:hAnsi="Courier New" w:hint="default"/>
      </w:rPr>
    </w:lvl>
    <w:lvl w:ilvl="2" w:tplc="D04CA808" w:tentative="1">
      <w:start w:val="1"/>
      <w:numFmt w:val="bullet"/>
      <w:lvlText w:val=""/>
      <w:lvlJc w:val="left"/>
      <w:pPr>
        <w:tabs>
          <w:tab w:val="num" w:pos="2160"/>
        </w:tabs>
        <w:ind w:left="2160" w:hanging="360"/>
      </w:pPr>
      <w:rPr>
        <w:rFonts w:ascii="Wingdings" w:hAnsi="Wingdings" w:hint="default"/>
      </w:rPr>
    </w:lvl>
    <w:lvl w:ilvl="3" w:tplc="B0088ED8" w:tentative="1">
      <w:start w:val="1"/>
      <w:numFmt w:val="bullet"/>
      <w:lvlText w:val=""/>
      <w:lvlJc w:val="left"/>
      <w:pPr>
        <w:tabs>
          <w:tab w:val="num" w:pos="2880"/>
        </w:tabs>
        <w:ind w:left="2880" w:hanging="360"/>
      </w:pPr>
      <w:rPr>
        <w:rFonts w:ascii="Symbol" w:hAnsi="Symbol" w:hint="default"/>
      </w:rPr>
    </w:lvl>
    <w:lvl w:ilvl="4" w:tplc="7AEE737E" w:tentative="1">
      <w:start w:val="1"/>
      <w:numFmt w:val="bullet"/>
      <w:lvlText w:val="o"/>
      <w:lvlJc w:val="left"/>
      <w:pPr>
        <w:tabs>
          <w:tab w:val="num" w:pos="3600"/>
        </w:tabs>
        <w:ind w:left="3600" w:hanging="360"/>
      </w:pPr>
      <w:rPr>
        <w:rFonts w:ascii="Courier New" w:hAnsi="Courier New" w:hint="default"/>
      </w:rPr>
    </w:lvl>
    <w:lvl w:ilvl="5" w:tplc="0A2C97BA" w:tentative="1">
      <w:start w:val="1"/>
      <w:numFmt w:val="bullet"/>
      <w:lvlText w:val=""/>
      <w:lvlJc w:val="left"/>
      <w:pPr>
        <w:tabs>
          <w:tab w:val="num" w:pos="4320"/>
        </w:tabs>
        <w:ind w:left="4320" w:hanging="360"/>
      </w:pPr>
      <w:rPr>
        <w:rFonts w:ascii="Wingdings" w:hAnsi="Wingdings" w:hint="default"/>
      </w:rPr>
    </w:lvl>
    <w:lvl w:ilvl="6" w:tplc="3DC63578" w:tentative="1">
      <w:start w:val="1"/>
      <w:numFmt w:val="bullet"/>
      <w:lvlText w:val=""/>
      <w:lvlJc w:val="left"/>
      <w:pPr>
        <w:tabs>
          <w:tab w:val="num" w:pos="5040"/>
        </w:tabs>
        <w:ind w:left="5040" w:hanging="360"/>
      </w:pPr>
      <w:rPr>
        <w:rFonts w:ascii="Symbol" w:hAnsi="Symbol" w:hint="default"/>
      </w:rPr>
    </w:lvl>
    <w:lvl w:ilvl="7" w:tplc="8A820104" w:tentative="1">
      <w:start w:val="1"/>
      <w:numFmt w:val="bullet"/>
      <w:lvlText w:val="o"/>
      <w:lvlJc w:val="left"/>
      <w:pPr>
        <w:tabs>
          <w:tab w:val="num" w:pos="5760"/>
        </w:tabs>
        <w:ind w:left="5760" w:hanging="360"/>
      </w:pPr>
      <w:rPr>
        <w:rFonts w:ascii="Courier New" w:hAnsi="Courier New" w:hint="default"/>
      </w:rPr>
    </w:lvl>
    <w:lvl w:ilvl="8" w:tplc="795E98A6"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5F660D44"/>
    <w:multiLevelType w:val="hybridMultilevel"/>
    <w:tmpl w:val="29921A50"/>
    <w:lvl w:ilvl="0" w:tplc="F57C1BFE">
      <w:start w:val="1"/>
      <w:numFmt w:val="bullet"/>
      <w:lvlText w:val=""/>
      <w:lvlJc w:val="left"/>
      <w:pPr>
        <w:ind w:left="720" w:hanging="360"/>
      </w:pPr>
      <w:rPr>
        <w:rFonts w:ascii="Symbol" w:hAnsi="Symbol" w:hint="default"/>
      </w:rPr>
    </w:lvl>
    <w:lvl w:ilvl="1" w:tplc="508C6FBE" w:tentative="1">
      <w:start w:val="1"/>
      <w:numFmt w:val="bullet"/>
      <w:lvlText w:val="o"/>
      <w:lvlJc w:val="left"/>
      <w:pPr>
        <w:ind w:left="1440" w:hanging="360"/>
      </w:pPr>
      <w:rPr>
        <w:rFonts w:ascii="Courier New" w:hAnsi="Courier New" w:cs="Courier New" w:hint="default"/>
      </w:rPr>
    </w:lvl>
    <w:lvl w:ilvl="2" w:tplc="6B5E806E" w:tentative="1">
      <w:start w:val="1"/>
      <w:numFmt w:val="bullet"/>
      <w:lvlText w:val=""/>
      <w:lvlJc w:val="left"/>
      <w:pPr>
        <w:ind w:left="2160" w:hanging="360"/>
      </w:pPr>
      <w:rPr>
        <w:rFonts w:ascii="Wingdings" w:hAnsi="Wingdings" w:hint="default"/>
      </w:rPr>
    </w:lvl>
    <w:lvl w:ilvl="3" w:tplc="83AA9D2E" w:tentative="1">
      <w:start w:val="1"/>
      <w:numFmt w:val="bullet"/>
      <w:lvlText w:val=""/>
      <w:lvlJc w:val="left"/>
      <w:pPr>
        <w:ind w:left="2880" w:hanging="360"/>
      </w:pPr>
      <w:rPr>
        <w:rFonts w:ascii="Symbol" w:hAnsi="Symbol" w:hint="default"/>
      </w:rPr>
    </w:lvl>
    <w:lvl w:ilvl="4" w:tplc="55AC0B26" w:tentative="1">
      <w:start w:val="1"/>
      <w:numFmt w:val="bullet"/>
      <w:lvlText w:val="o"/>
      <w:lvlJc w:val="left"/>
      <w:pPr>
        <w:ind w:left="3600" w:hanging="360"/>
      </w:pPr>
      <w:rPr>
        <w:rFonts w:ascii="Courier New" w:hAnsi="Courier New" w:cs="Courier New" w:hint="default"/>
      </w:rPr>
    </w:lvl>
    <w:lvl w:ilvl="5" w:tplc="365CF940" w:tentative="1">
      <w:start w:val="1"/>
      <w:numFmt w:val="bullet"/>
      <w:lvlText w:val=""/>
      <w:lvlJc w:val="left"/>
      <w:pPr>
        <w:ind w:left="4320" w:hanging="360"/>
      </w:pPr>
      <w:rPr>
        <w:rFonts w:ascii="Wingdings" w:hAnsi="Wingdings" w:hint="default"/>
      </w:rPr>
    </w:lvl>
    <w:lvl w:ilvl="6" w:tplc="C30054A8" w:tentative="1">
      <w:start w:val="1"/>
      <w:numFmt w:val="bullet"/>
      <w:lvlText w:val=""/>
      <w:lvlJc w:val="left"/>
      <w:pPr>
        <w:ind w:left="5040" w:hanging="360"/>
      </w:pPr>
      <w:rPr>
        <w:rFonts w:ascii="Symbol" w:hAnsi="Symbol" w:hint="default"/>
      </w:rPr>
    </w:lvl>
    <w:lvl w:ilvl="7" w:tplc="49FCB806" w:tentative="1">
      <w:start w:val="1"/>
      <w:numFmt w:val="bullet"/>
      <w:lvlText w:val="o"/>
      <w:lvlJc w:val="left"/>
      <w:pPr>
        <w:ind w:left="5760" w:hanging="360"/>
      </w:pPr>
      <w:rPr>
        <w:rFonts w:ascii="Courier New" w:hAnsi="Courier New" w:cs="Courier New" w:hint="default"/>
      </w:rPr>
    </w:lvl>
    <w:lvl w:ilvl="8" w:tplc="750A5D9C" w:tentative="1">
      <w:start w:val="1"/>
      <w:numFmt w:val="bullet"/>
      <w:lvlText w:val=""/>
      <w:lvlJc w:val="left"/>
      <w:pPr>
        <w:ind w:left="6480" w:hanging="360"/>
      </w:pPr>
      <w:rPr>
        <w:rFonts w:ascii="Wingdings" w:hAnsi="Wingdings" w:hint="default"/>
      </w:rPr>
    </w:lvl>
  </w:abstractNum>
  <w:abstractNum w:abstractNumId="201" w15:restartNumberingAfterBreak="0">
    <w:nsid w:val="6092125F"/>
    <w:multiLevelType w:val="hybridMultilevel"/>
    <w:tmpl w:val="0A7EF946"/>
    <w:lvl w:ilvl="0" w:tplc="8BEC86E4">
      <w:start w:val="1"/>
      <w:numFmt w:val="bullet"/>
      <w:lvlText w:val=""/>
      <w:lvlJc w:val="left"/>
      <w:pPr>
        <w:tabs>
          <w:tab w:val="num" w:pos="720"/>
        </w:tabs>
        <w:ind w:left="720" w:hanging="360"/>
      </w:pPr>
      <w:rPr>
        <w:rFonts w:ascii="Symbol" w:hAnsi="Symbol" w:hint="default"/>
      </w:rPr>
    </w:lvl>
    <w:lvl w:ilvl="1" w:tplc="55F865F8">
      <w:start w:val="1"/>
      <w:numFmt w:val="bullet"/>
      <w:lvlText w:val="o"/>
      <w:lvlJc w:val="left"/>
      <w:pPr>
        <w:tabs>
          <w:tab w:val="num" w:pos="1440"/>
        </w:tabs>
        <w:ind w:left="1440" w:hanging="360"/>
      </w:pPr>
      <w:rPr>
        <w:rFonts w:ascii="Courier New" w:hAnsi="Courier New" w:hint="default"/>
      </w:rPr>
    </w:lvl>
    <w:lvl w:ilvl="2" w:tplc="3C2CAE1C" w:tentative="1">
      <w:start w:val="1"/>
      <w:numFmt w:val="bullet"/>
      <w:lvlText w:val=""/>
      <w:lvlJc w:val="left"/>
      <w:pPr>
        <w:tabs>
          <w:tab w:val="num" w:pos="2160"/>
        </w:tabs>
        <w:ind w:left="2160" w:hanging="360"/>
      </w:pPr>
      <w:rPr>
        <w:rFonts w:ascii="Wingdings" w:hAnsi="Wingdings" w:hint="default"/>
      </w:rPr>
    </w:lvl>
    <w:lvl w:ilvl="3" w:tplc="0E7060A2" w:tentative="1">
      <w:start w:val="1"/>
      <w:numFmt w:val="bullet"/>
      <w:lvlText w:val=""/>
      <w:lvlJc w:val="left"/>
      <w:pPr>
        <w:tabs>
          <w:tab w:val="num" w:pos="2880"/>
        </w:tabs>
        <w:ind w:left="2880" w:hanging="360"/>
      </w:pPr>
      <w:rPr>
        <w:rFonts w:ascii="Symbol" w:hAnsi="Symbol" w:hint="default"/>
      </w:rPr>
    </w:lvl>
    <w:lvl w:ilvl="4" w:tplc="86864C68" w:tentative="1">
      <w:start w:val="1"/>
      <w:numFmt w:val="bullet"/>
      <w:lvlText w:val="o"/>
      <w:lvlJc w:val="left"/>
      <w:pPr>
        <w:tabs>
          <w:tab w:val="num" w:pos="3600"/>
        </w:tabs>
        <w:ind w:left="3600" w:hanging="360"/>
      </w:pPr>
      <w:rPr>
        <w:rFonts w:ascii="Courier New" w:hAnsi="Courier New" w:hint="default"/>
      </w:rPr>
    </w:lvl>
    <w:lvl w:ilvl="5" w:tplc="C4BE5D7C" w:tentative="1">
      <w:start w:val="1"/>
      <w:numFmt w:val="bullet"/>
      <w:lvlText w:val=""/>
      <w:lvlJc w:val="left"/>
      <w:pPr>
        <w:tabs>
          <w:tab w:val="num" w:pos="4320"/>
        </w:tabs>
        <w:ind w:left="4320" w:hanging="360"/>
      </w:pPr>
      <w:rPr>
        <w:rFonts w:ascii="Wingdings" w:hAnsi="Wingdings" w:hint="default"/>
      </w:rPr>
    </w:lvl>
    <w:lvl w:ilvl="6" w:tplc="DB7CC148" w:tentative="1">
      <w:start w:val="1"/>
      <w:numFmt w:val="bullet"/>
      <w:lvlText w:val=""/>
      <w:lvlJc w:val="left"/>
      <w:pPr>
        <w:tabs>
          <w:tab w:val="num" w:pos="5040"/>
        </w:tabs>
        <w:ind w:left="5040" w:hanging="360"/>
      </w:pPr>
      <w:rPr>
        <w:rFonts w:ascii="Symbol" w:hAnsi="Symbol" w:hint="default"/>
      </w:rPr>
    </w:lvl>
    <w:lvl w:ilvl="7" w:tplc="7B9472F2" w:tentative="1">
      <w:start w:val="1"/>
      <w:numFmt w:val="bullet"/>
      <w:lvlText w:val="o"/>
      <w:lvlJc w:val="left"/>
      <w:pPr>
        <w:tabs>
          <w:tab w:val="num" w:pos="5760"/>
        </w:tabs>
        <w:ind w:left="5760" w:hanging="360"/>
      </w:pPr>
      <w:rPr>
        <w:rFonts w:ascii="Courier New" w:hAnsi="Courier New" w:hint="default"/>
      </w:rPr>
    </w:lvl>
    <w:lvl w:ilvl="8" w:tplc="318067A2"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60CE194D"/>
    <w:multiLevelType w:val="hybridMultilevel"/>
    <w:tmpl w:val="B5CE3BA2"/>
    <w:lvl w:ilvl="0" w:tplc="58820604">
      <w:start w:val="1"/>
      <w:numFmt w:val="bullet"/>
      <w:lvlText w:val=""/>
      <w:lvlJc w:val="left"/>
      <w:pPr>
        <w:ind w:left="720" w:hanging="360"/>
      </w:pPr>
      <w:rPr>
        <w:rFonts w:ascii="Symbol" w:hAnsi="Symbol" w:hint="default"/>
        <w:b w:val="0"/>
        <w:i w:val="0"/>
        <w:sz w:val="20"/>
      </w:rPr>
    </w:lvl>
    <w:lvl w:ilvl="1" w:tplc="0DE2D9A2" w:tentative="1">
      <w:start w:val="1"/>
      <w:numFmt w:val="bullet"/>
      <w:lvlText w:val="o"/>
      <w:lvlJc w:val="left"/>
      <w:pPr>
        <w:ind w:left="1440" w:hanging="360"/>
      </w:pPr>
      <w:rPr>
        <w:rFonts w:ascii="Courier New" w:hAnsi="Courier New" w:cs="Courier New" w:hint="default"/>
      </w:rPr>
    </w:lvl>
    <w:lvl w:ilvl="2" w:tplc="B212FABA" w:tentative="1">
      <w:start w:val="1"/>
      <w:numFmt w:val="bullet"/>
      <w:lvlText w:val=""/>
      <w:lvlJc w:val="left"/>
      <w:pPr>
        <w:ind w:left="2160" w:hanging="360"/>
      </w:pPr>
      <w:rPr>
        <w:rFonts w:ascii="Wingdings" w:hAnsi="Wingdings" w:hint="default"/>
      </w:rPr>
    </w:lvl>
    <w:lvl w:ilvl="3" w:tplc="63B82A54" w:tentative="1">
      <w:start w:val="1"/>
      <w:numFmt w:val="bullet"/>
      <w:lvlText w:val=""/>
      <w:lvlJc w:val="left"/>
      <w:pPr>
        <w:ind w:left="2880" w:hanging="360"/>
      </w:pPr>
      <w:rPr>
        <w:rFonts w:ascii="Symbol" w:hAnsi="Symbol" w:hint="default"/>
      </w:rPr>
    </w:lvl>
    <w:lvl w:ilvl="4" w:tplc="34561AF6" w:tentative="1">
      <w:start w:val="1"/>
      <w:numFmt w:val="bullet"/>
      <w:lvlText w:val="o"/>
      <w:lvlJc w:val="left"/>
      <w:pPr>
        <w:ind w:left="3600" w:hanging="360"/>
      </w:pPr>
      <w:rPr>
        <w:rFonts w:ascii="Courier New" w:hAnsi="Courier New" w:cs="Courier New" w:hint="default"/>
      </w:rPr>
    </w:lvl>
    <w:lvl w:ilvl="5" w:tplc="CF962C44" w:tentative="1">
      <w:start w:val="1"/>
      <w:numFmt w:val="bullet"/>
      <w:lvlText w:val=""/>
      <w:lvlJc w:val="left"/>
      <w:pPr>
        <w:ind w:left="4320" w:hanging="360"/>
      </w:pPr>
      <w:rPr>
        <w:rFonts w:ascii="Wingdings" w:hAnsi="Wingdings" w:hint="default"/>
      </w:rPr>
    </w:lvl>
    <w:lvl w:ilvl="6" w:tplc="7C8A2F90" w:tentative="1">
      <w:start w:val="1"/>
      <w:numFmt w:val="bullet"/>
      <w:lvlText w:val=""/>
      <w:lvlJc w:val="left"/>
      <w:pPr>
        <w:ind w:left="5040" w:hanging="360"/>
      </w:pPr>
      <w:rPr>
        <w:rFonts w:ascii="Symbol" w:hAnsi="Symbol" w:hint="default"/>
      </w:rPr>
    </w:lvl>
    <w:lvl w:ilvl="7" w:tplc="FAEAA1BE" w:tentative="1">
      <w:start w:val="1"/>
      <w:numFmt w:val="bullet"/>
      <w:lvlText w:val="o"/>
      <w:lvlJc w:val="left"/>
      <w:pPr>
        <w:ind w:left="5760" w:hanging="360"/>
      </w:pPr>
      <w:rPr>
        <w:rFonts w:ascii="Courier New" w:hAnsi="Courier New" w:cs="Courier New" w:hint="default"/>
      </w:rPr>
    </w:lvl>
    <w:lvl w:ilvl="8" w:tplc="A37A2832" w:tentative="1">
      <w:start w:val="1"/>
      <w:numFmt w:val="bullet"/>
      <w:lvlText w:val=""/>
      <w:lvlJc w:val="left"/>
      <w:pPr>
        <w:ind w:left="6480" w:hanging="360"/>
      </w:pPr>
      <w:rPr>
        <w:rFonts w:ascii="Wingdings" w:hAnsi="Wingdings" w:hint="default"/>
      </w:rPr>
    </w:lvl>
  </w:abstractNum>
  <w:abstractNum w:abstractNumId="203" w15:restartNumberingAfterBreak="0">
    <w:nsid w:val="613152A6"/>
    <w:multiLevelType w:val="hybridMultilevel"/>
    <w:tmpl w:val="0010C3EC"/>
    <w:lvl w:ilvl="0" w:tplc="A394FAEA">
      <w:start w:val="1"/>
      <w:numFmt w:val="bullet"/>
      <w:lvlText w:val=""/>
      <w:lvlJc w:val="left"/>
      <w:pPr>
        <w:ind w:left="720" w:hanging="360"/>
      </w:pPr>
      <w:rPr>
        <w:rFonts w:ascii="Symbol" w:hAnsi="Symbol" w:hint="default"/>
      </w:rPr>
    </w:lvl>
    <w:lvl w:ilvl="1" w:tplc="68DE9D70" w:tentative="1">
      <w:start w:val="1"/>
      <w:numFmt w:val="bullet"/>
      <w:lvlText w:val="o"/>
      <w:lvlJc w:val="left"/>
      <w:pPr>
        <w:ind w:left="1440" w:hanging="360"/>
      </w:pPr>
      <w:rPr>
        <w:rFonts w:ascii="Courier New" w:hAnsi="Courier New" w:cs="Courier New" w:hint="default"/>
      </w:rPr>
    </w:lvl>
    <w:lvl w:ilvl="2" w:tplc="68920BCC" w:tentative="1">
      <w:start w:val="1"/>
      <w:numFmt w:val="bullet"/>
      <w:lvlText w:val=""/>
      <w:lvlJc w:val="left"/>
      <w:pPr>
        <w:ind w:left="2160" w:hanging="360"/>
      </w:pPr>
      <w:rPr>
        <w:rFonts w:ascii="Wingdings" w:hAnsi="Wingdings" w:hint="default"/>
      </w:rPr>
    </w:lvl>
    <w:lvl w:ilvl="3" w:tplc="CF22C624" w:tentative="1">
      <w:start w:val="1"/>
      <w:numFmt w:val="bullet"/>
      <w:lvlText w:val=""/>
      <w:lvlJc w:val="left"/>
      <w:pPr>
        <w:ind w:left="2880" w:hanging="360"/>
      </w:pPr>
      <w:rPr>
        <w:rFonts w:ascii="Symbol" w:hAnsi="Symbol" w:hint="default"/>
      </w:rPr>
    </w:lvl>
    <w:lvl w:ilvl="4" w:tplc="C546A908" w:tentative="1">
      <w:start w:val="1"/>
      <w:numFmt w:val="bullet"/>
      <w:lvlText w:val="o"/>
      <w:lvlJc w:val="left"/>
      <w:pPr>
        <w:ind w:left="3600" w:hanging="360"/>
      </w:pPr>
      <w:rPr>
        <w:rFonts w:ascii="Courier New" w:hAnsi="Courier New" w:cs="Courier New" w:hint="default"/>
      </w:rPr>
    </w:lvl>
    <w:lvl w:ilvl="5" w:tplc="4A5E49FC" w:tentative="1">
      <w:start w:val="1"/>
      <w:numFmt w:val="bullet"/>
      <w:lvlText w:val=""/>
      <w:lvlJc w:val="left"/>
      <w:pPr>
        <w:ind w:left="4320" w:hanging="360"/>
      </w:pPr>
      <w:rPr>
        <w:rFonts w:ascii="Wingdings" w:hAnsi="Wingdings" w:hint="default"/>
      </w:rPr>
    </w:lvl>
    <w:lvl w:ilvl="6" w:tplc="C9182C68" w:tentative="1">
      <w:start w:val="1"/>
      <w:numFmt w:val="bullet"/>
      <w:lvlText w:val=""/>
      <w:lvlJc w:val="left"/>
      <w:pPr>
        <w:ind w:left="5040" w:hanging="360"/>
      </w:pPr>
      <w:rPr>
        <w:rFonts w:ascii="Symbol" w:hAnsi="Symbol" w:hint="default"/>
      </w:rPr>
    </w:lvl>
    <w:lvl w:ilvl="7" w:tplc="0052A8BA" w:tentative="1">
      <w:start w:val="1"/>
      <w:numFmt w:val="bullet"/>
      <w:lvlText w:val="o"/>
      <w:lvlJc w:val="left"/>
      <w:pPr>
        <w:ind w:left="5760" w:hanging="360"/>
      </w:pPr>
      <w:rPr>
        <w:rFonts w:ascii="Courier New" w:hAnsi="Courier New" w:cs="Courier New" w:hint="default"/>
      </w:rPr>
    </w:lvl>
    <w:lvl w:ilvl="8" w:tplc="68C601F0" w:tentative="1">
      <w:start w:val="1"/>
      <w:numFmt w:val="bullet"/>
      <w:lvlText w:val=""/>
      <w:lvlJc w:val="left"/>
      <w:pPr>
        <w:ind w:left="6480" w:hanging="360"/>
      </w:pPr>
      <w:rPr>
        <w:rFonts w:ascii="Wingdings" w:hAnsi="Wingdings" w:hint="default"/>
      </w:rPr>
    </w:lvl>
  </w:abstractNum>
  <w:abstractNum w:abstractNumId="204" w15:restartNumberingAfterBreak="0">
    <w:nsid w:val="61C80929"/>
    <w:multiLevelType w:val="hybridMultilevel"/>
    <w:tmpl w:val="30688B70"/>
    <w:lvl w:ilvl="0" w:tplc="A0DE0C70">
      <w:start w:val="1"/>
      <w:numFmt w:val="bullet"/>
      <w:lvlText w:val=""/>
      <w:lvlJc w:val="left"/>
      <w:pPr>
        <w:ind w:left="720" w:hanging="360"/>
      </w:pPr>
      <w:rPr>
        <w:rFonts w:ascii="Symbol" w:hAnsi="Symbol" w:hint="default"/>
      </w:rPr>
    </w:lvl>
    <w:lvl w:ilvl="1" w:tplc="8EB65FC6" w:tentative="1">
      <w:start w:val="1"/>
      <w:numFmt w:val="bullet"/>
      <w:lvlText w:val="o"/>
      <w:lvlJc w:val="left"/>
      <w:pPr>
        <w:ind w:left="1440" w:hanging="360"/>
      </w:pPr>
      <w:rPr>
        <w:rFonts w:ascii="Courier New" w:hAnsi="Courier New" w:cs="Courier New" w:hint="default"/>
      </w:rPr>
    </w:lvl>
    <w:lvl w:ilvl="2" w:tplc="A0BCE738" w:tentative="1">
      <w:start w:val="1"/>
      <w:numFmt w:val="bullet"/>
      <w:lvlText w:val=""/>
      <w:lvlJc w:val="left"/>
      <w:pPr>
        <w:ind w:left="2160" w:hanging="360"/>
      </w:pPr>
      <w:rPr>
        <w:rFonts w:ascii="Wingdings" w:hAnsi="Wingdings" w:hint="default"/>
      </w:rPr>
    </w:lvl>
    <w:lvl w:ilvl="3" w:tplc="CB889528" w:tentative="1">
      <w:start w:val="1"/>
      <w:numFmt w:val="bullet"/>
      <w:lvlText w:val=""/>
      <w:lvlJc w:val="left"/>
      <w:pPr>
        <w:ind w:left="2880" w:hanging="360"/>
      </w:pPr>
      <w:rPr>
        <w:rFonts w:ascii="Symbol" w:hAnsi="Symbol" w:hint="default"/>
      </w:rPr>
    </w:lvl>
    <w:lvl w:ilvl="4" w:tplc="8960B972" w:tentative="1">
      <w:start w:val="1"/>
      <w:numFmt w:val="bullet"/>
      <w:lvlText w:val="o"/>
      <w:lvlJc w:val="left"/>
      <w:pPr>
        <w:ind w:left="3600" w:hanging="360"/>
      </w:pPr>
      <w:rPr>
        <w:rFonts w:ascii="Courier New" w:hAnsi="Courier New" w:cs="Courier New" w:hint="default"/>
      </w:rPr>
    </w:lvl>
    <w:lvl w:ilvl="5" w:tplc="ECECC0AE" w:tentative="1">
      <w:start w:val="1"/>
      <w:numFmt w:val="bullet"/>
      <w:lvlText w:val=""/>
      <w:lvlJc w:val="left"/>
      <w:pPr>
        <w:ind w:left="4320" w:hanging="360"/>
      </w:pPr>
      <w:rPr>
        <w:rFonts w:ascii="Wingdings" w:hAnsi="Wingdings" w:hint="default"/>
      </w:rPr>
    </w:lvl>
    <w:lvl w:ilvl="6" w:tplc="58F881FE" w:tentative="1">
      <w:start w:val="1"/>
      <w:numFmt w:val="bullet"/>
      <w:lvlText w:val=""/>
      <w:lvlJc w:val="left"/>
      <w:pPr>
        <w:ind w:left="5040" w:hanging="360"/>
      </w:pPr>
      <w:rPr>
        <w:rFonts w:ascii="Symbol" w:hAnsi="Symbol" w:hint="default"/>
      </w:rPr>
    </w:lvl>
    <w:lvl w:ilvl="7" w:tplc="6A48D42C" w:tentative="1">
      <w:start w:val="1"/>
      <w:numFmt w:val="bullet"/>
      <w:lvlText w:val="o"/>
      <w:lvlJc w:val="left"/>
      <w:pPr>
        <w:ind w:left="5760" w:hanging="360"/>
      </w:pPr>
      <w:rPr>
        <w:rFonts w:ascii="Courier New" w:hAnsi="Courier New" w:cs="Courier New" w:hint="default"/>
      </w:rPr>
    </w:lvl>
    <w:lvl w:ilvl="8" w:tplc="161A5E5A" w:tentative="1">
      <w:start w:val="1"/>
      <w:numFmt w:val="bullet"/>
      <w:lvlText w:val=""/>
      <w:lvlJc w:val="left"/>
      <w:pPr>
        <w:ind w:left="6480" w:hanging="360"/>
      </w:pPr>
      <w:rPr>
        <w:rFonts w:ascii="Wingdings" w:hAnsi="Wingdings" w:hint="default"/>
      </w:rPr>
    </w:lvl>
  </w:abstractNum>
  <w:abstractNum w:abstractNumId="205" w15:restartNumberingAfterBreak="0">
    <w:nsid w:val="622A269A"/>
    <w:multiLevelType w:val="hybridMultilevel"/>
    <w:tmpl w:val="1DBACEC2"/>
    <w:lvl w:ilvl="0" w:tplc="5CE88BC2">
      <w:start w:val="1"/>
      <w:numFmt w:val="bullet"/>
      <w:lvlText w:val=""/>
      <w:lvlJc w:val="left"/>
      <w:pPr>
        <w:ind w:left="720" w:hanging="360"/>
      </w:pPr>
      <w:rPr>
        <w:rFonts w:ascii="Symbol" w:hAnsi="Symbol" w:hint="default"/>
      </w:rPr>
    </w:lvl>
    <w:lvl w:ilvl="1" w:tplc="F4841A24">
      <w:start w:val="1"/>
      <w:numFmt w:val="bullet"/>
      <w:lvlText w:val="o"/>
      <w:lvlJc w:val="left"/>
      <w:pPr>
        <w:ind w:left="1440" w:hanging="360"/>
      </w:pPr>
      <w:rPr>
        <w:rFonts w:ascii="Courier New" w:hAnsi="Courier New" w:hint="default"/>
      </w:rPr>
    </w:lvl>
    <w:lvl w:ilvl="2" w:tplc="1F50B3FC" w:tentative="1">
      <w:start w:val="1"/>
      <w:numFmt w:val="bullet"/>
      <w:lvlText w:val=""/>
      <w:lvlJc w:val="left"/>
      <w:pPr>
        <w:ind w:left="2160" w:hanging="360"/>
      </w:pPr>
      <w:rPr>
        <w:rFonts w:ascii="Wingdings" w:hAnsi="Wingdings" w:hint="default"/>
      </w:rPr>
    </w:lvl>
    <w:lvl w:ilvl="3" w:tplc="5BB6A902" w:tentative="1">
      <w:start w:val="1"/>
      <w:numFmt w:val="bullet"/>
      <w:lvlText w:val=""/>
      <w:lvlJc w:val="left"/>
      <w:pPr>
        <w:ind w:left="2880" w:hanging="360"/>
      </w:pPr>
      <w:rPr>
        <w:rFonts w:ascii="Symbol" w:hAnsi="Symbol" w:hint="default"/>
      </w:rPr>
    </w:lvl>
    <w:lvl w:ilvl="4" w:tplc="5A3AF4C8" w:tentative="1">
      <w:start w:val="1"/>
      <w:numFmt w:val="bullet"/>
      <w:lvlText w:val="o"/>
      <w:lvlJc w:val="left"/>
      <w:pPr>
        <w:ind w:left="3600" w:hanging="360"/>
      </w:pPr>
      <w:rPr>
        <w:rFonts w:ascii="Courier New" w:hAnsi="Courier New" w:hint="default"/>
      </w:rPr>
    </w:lvl>
    <w:lvl w:ilvl="5" w:tplc="36B05800" w:tentative="1">
      <w:start w:val="1"/>
      <w:numFmt w:val="bullet"/>
      <w:lvlText w:val=""/>
      <w:lvlJc w:val="left"/>
      <w:pPr>
        <w:ind w:left="4320" w:hanging="360"/>
      </w:pPr>
      <w:rPr>
        <w:rFonts w:ascii="Wingdings" w:hAnsi="Wingdings" w:hint="default"/>
      </w:rPr>
    </w:lvl>
    <w:lvl w:ilvl="6" w:tplc="6F28DF4E" w:tentative="1">
      <w:start w:val="1"/>
      <w:numFmt w:val="bullet"/>
      <w:lvlText w:val=""/>
      <w:lvlJc w:val="left"/>
      <w:pPr>
        <w:ind w:left="5040" w:hanging="360"/>
      </w:pPr>
      <w:rPr>
        <w:rFonts w:ascii="Symbol" w:hAnsi="Symbol" w:hint="default"/>
      </w:rPr>
    </w:lvl>
    <w:lvl w:ilvl="7" w:tplc="68366D4A" w:tentative="1">
      <w:start w:val="1"/>
      <w:numFmt w:val="bullet"/>
      <w:lvlText w:val="o"/>
      <w:lvlJc w:val="left"/>
      <w:pPr>
        <w:ind w:left="5760" w:hanging="360"/>
      </w:pPr>
      <w:rPr>
        <w:rFonts w:ascii="Courier New" w:hAnsi="Courier New" w:hint="default"/>
      </w:rPr>
    </w:lvl>
    <w:lvl w:ilvl="8" w:tplc="35F45E9C" w:tentative="1">
      <w:start w:val="1"/>
      <w:numFmt w:val="bullet"/>
      <w:lvlText w:val=""/>
      <w:lvlJc w:val="left"/>
      <w:pPr>
        <w:ind w:left="6480" w:hanging="360"/>
      </w:pPr>
      <w:rPr>
        <w:rFonts w:ascii="Wingdings" w:hAnsi="Wingdings" w:hint="default"/>
      </w:rPr>
    </w:lvl>
  </w:abstractNum>
  <w:abstractNum w:abstractNumId="206" w15:restartNumberingAfterBreak="0">
    <w:nsid w:val="62517C77"/>
    <w:multiLevelType w:val="hybridMultilevel"/>
    <w:tmpl w:val="4B80FED8"/>
    <w:lvl w:ilvl="0" w:tplc="4A4C97B6">
      <w:start w:val="1"/>
      <w:numFmt w:val="lowerLetter"/>
      <w:lvlText w:val="%1"/>
      <w:lvlJc w:val="left"/>
      <w:pPr>
        <w:ind w:left="360" w:hanging="360"/>
      </w:pPr>
      <w:rPr>
        <w:rFonts w:ascii="Times New Roman" w:hAnsi="Times New Roman" w:cs="Times New Roman" w:hint="default"/>
        <w:b w:val="0"/>
        <w:i w:val="0"/>
        <w:caps w:val="0"/>
        <w:sz w:val="22"/>
        <w:szCs w:val="22"/>
        <w:u w:val="none"/>
        <w:vertAlign w:val="superscript"/>
      </w:rPr>
    </w:lvl>
    <w:lvl w:ilvl="1" w:tplc="CE0889A4" w:tentative="1">
      <w:start w:val="1"/>
      <w:numFmt w:val="lowerLetter"/>
      <w:lvlText w:val="%2."/>
      <w:lvlJc w:val="left"/>
      <w:pPr>
        <w:ind w:left="1440" w:hanging="360"/>
      </w:pPr>
    </w:lvl>
    <w:lvl w:ilvl="2" w:tplc="BE68138C" w:tentative="1">
      <w:start w:val="1"/>
      <w:numFmt w:val="lowerRoman"/>
      <w:lvlText w:val="%3."/>
      <w:lvlJc w:val="right"/>
      <w:pPr>
        <w:ind w:left="2160" w:hanging="180"/>
      </w:pPr>
    </w:lvl>
    <w:lvl w:ilvl="3" w:tplc="370E6A9E" w:tentative="1">
      <w:start w:val="1"/>
      <w:numFmt w:val="decimal"/>
      <w:lvlText w:val="%4."/>
      <w:lvlJc w:val="left"/>
      <w:pPr>
        <w:ind w:left="2880" w:hanging="360"/>
      </w:pPr>
    </w:lvl>
    <w:lvl w:ilvl="4" w:tplc="8F74EFEC" w:tentative="1">
      <w:start w:val="1"/>
      <w:numFmt w:val="lowerLetter"/>
      <w:lvlText w:val="%5."/>
      <w:lvlJc w:val="left"/>
      <w:pPr>
        <w:ind w:left="3600" w:hanging="360"/>
      </w:pPr>
    </w:lvl>
    <w:lvl w:ilvl="5" w:tplc="E3BC1E90" w:tentative="1">
      <w:start w:val="1"/>
      <w:numFmt w:val="lowerRoman"/>
      <w:lvlText w:val="%6."/>
      <w:lvlJc w:val="right"/>
      <w:pPr>
        <w:ind w:left="4320" w:hanging="180"/>
      </w:pPr>
    </w:lvl>
    <w:lvl w:ilvl="6" w:tplc="BF665842" w:tentative="1">
      <w:start w:val="1"/>
      <w:numFmt w:val="decimal"/>
      <w:lvlText w:val="%7."/>
      <w:lvlJc w:val="left"/>
      <w:pPr>
        <w:ind w:left="5040" w:hanging="360"/>
      </w:pPr>
    </w:lvl>
    <w:lvl w:ilvl="7" w:tplc="3836CCC0" w:tentative="1">
      <w:start w:val="1"/>
      <w:numFmt w:val="lowerLetter"/>
      <w:lvlText w:val="%8."/>
      <w:lvlJc w:val="left"/>
      <w:pPr>
        <w:ind w:left="5760" w:hanging="360"/>
      </w:pPr>
    </w:lvl>
    <w:lvl w:ilvl="8" w:tplc="5D0400D6" w:tentative="1">
      <w:start w:val="1"/>
      <w:numFmt w:val="lowerRoman"/>
      <w:lvlText w:val="%9."/>
      <w:lvlJc w:val="right"/>
      <w:pPr>
        <w:ind w:left="6480" w:hanging="180"/>
      </w:pPr>
    </w:lvl>
  </w:abstractNum>
  <w:abstractNum w:abstractNumId="207" w15:restartNumberingAfterBreak="0">
    <w:nsid w:val="62A77A51"/>
    <w:multiLevelType w:val="multilevel"/>
    <w:tmpl w:val="B44AF21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8" w15:restartNumberingAfterBreak="0">
    <w:nsid w:val="62E7044C"/>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209" w15:restartNumberingAfterBreak="0">
    <w:nsid w:val="6480540D"/>
    <w:multiLevelType w:val="hybridMultilevel"/>
    <w:tmpl w:val="5E36BD18"/>
    <w:lvl w:ilvl="0" w:tplc="8D66262E">
      <w:start w:val="1"/>
      <w:numFmt w:val="bullet"/>
      <w:lvlText w:val=""/>
      <w:lvlJc w:val="left"/>
      <w:pPr>
        <w:tabs>
          <w:tab w:val="num" w:pos="720"/>
        </w:tabs>
        <w:ind w:left="720" w:hanging="360"/>
      </w:pPr>
      <w:rPr>
        <w:rFonts w:ascii="Symbol" w:hAnsi="Symbol" w:hint="default"/>
        <w:sz w:val="22"/>
      </w:rPr>
    </w:lvl>
    <w:lvl w:ilvl="1" w:tplc="0F86E7F8">
      <w:start w:val="1"/>
      <w:numFmt w:val="bullet"/>
      <w:lvlText w:val="o"/>
      <w:lvlJc w:val="left"/>
      <w:pPr>
        <w:tabs>
          <w:tab w:val="num" w:pos="1440"/>
        </w:tabs>
        <w:ind w:left="1440" w:hanging="360"/>
      </w:pPr>
      <w:rPr>
        <w:rFonts w:ascii="Courier New" w:hAnsi="Courier New" w:hint="default"/>
      </w:rPr>
    </w:lvl>
    <w:lvl w:ilvl="2" w:tplc="96862C04" w:tentative="1">
      <w:start w:val="1"/>
      <w:numFmt w:val="bullet"/>
      <w:lvlText w:val=""/>
      <w:lvlJc w:val="left"/>
      <w:pPr>
        <w:tabs>
          <w:tab w:val="num" w:pos="2160"/>
        </w:tabs>
        <w:ind w:left="2160" w:hanging="360"/>
      </w:pPr>
      <w:rPr>
        <w:rFonts w:ascii="Wingdings" w:hAnsi="Wingdings" w:hint="default"/>
      </w:rPr>
    </w:lvl>
    <w:lvl w:ilvl="3" w:tplc="01EC07A4" w:tentative="1">
      <w:start w:val="1"/>
      <w:numFmt w:val="bullet"/>
      <w:lvlText w:val=""/>
      <w:lvlJc w:val="left"/>
      <w:pPr>
        <w:tabs>
          <w:tab w:val="num" w:pos="2880"/>
        </w:tabs>
        <w:ind w:left="2880" w:hanging="360"/>
      </w:pPr>
      <w:rPr>
        <w:rFonts w:ascii="Symbol" w:hAnsi="Symbol" w:hint="default"/>
      </w:rPr>
    </w:lvl>
    <w:lvl w:ilvl="4" w:tplc="A330E4D6" w:tentative="1">
      <w:start w:val="1"/>
      <w:numFmt w:val="bullet"/>
      <w:lvlText w:val="o"/>
      <w:lvlJc w:val="left"/>
      <w:pPr>
        <w:tabs>
          <w:tab w:val="num" w:pos="3600"/>
        </w:tabs>
        <w:ind w:left="3600" w:hanging="360"/>
      </w:pPr>
      <w:rPr>
        <w:rFonts w:ascii="Courier New" w:hAnsi="Courier New" w:hint="default"/>
      </w:rPr>
    </w:lvl>
    <w:lvl w:ilvl="5" w:tplc="891EB5F6" w:tentative="1">
      <w:start w:val="1"/>
      <w:numFmt w:val="bullet"/>
      <w:lvlText w:val=""/>
      <w:lvlJc w:val="left"/>
      <w:pPr>
        <w:tabs>
          <w:tab w:val="num" w:pos="4320"/>
        </w:tabs>
        <w:ind w:left="4320" w:hanging="360"/>
      </w:pPr>
      <w:rPr>
        <w:rFonts w:ascii="Wingdings" w:hAnsi="Wingdings" w:hint="default"/>
      </w:rPr>
    </w:lvl>
    <w:lvl w:ilvl="6" w:tplc="52783654" w:tentative="1">
      <w:start w:val="1"/>
      <w:numFmt w:val="bullet"/>
      <w:lvlText w:val=""/>
      <w:lvlJc w:val="left"/>
      <w:pPr>
        <w:tabs>
          <w:tab w:val="num" w:pos="5040"/>
        </w:tabs>
        <w:ind w:left="5040" w:hanging="360"/>
      </w:pPr>
      <w:rPr>
        <w:rFonts w:ascii="Symbol" w:hAnsi="Symbol" w:hint="default"/>
      </w:rPr>
    </w:lvl>
    <w:lvl w:ilvl="7" w:tplc="BC6CF880" w:tentative="1">
      <w:start w:val="1"/>
      <w:numFmt w:val="bullet"/>
      <w:lvlText w:val="o"/>
      <w:lvlJc w:val="left"/>
      <w:pPr>
        <w:tabs>
          <w:tab w:val="num" w:pos="5760"/>
        </w:tabs>
        <w:ind w:left="5760" w:hanging="360"/>
      </w:pPr>
      <w:rPr>
        <w:rFonts w:ascii="Courier New" w:hAnsi="Courier New" w:hint="default"/>
      </w:rPr>
    </w:lvl>
    <w:lvl w:ilvl="8" w:tplc="EEE692EA" w:tentative="1">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64A31922"/>
    <w:multiLevelType w:val="hybridMultilevel"/>
    <w:tmpl w:val="15C8F16E"/>
    <w:lvl w:ilvl="0" w:tplc="3732092A">
      <w:start w:val="1"/>
      <w:numFmt w:val="bullet"/>
      <w:lvlText w:val=""/>
      <w:lvlJc w:val="left"/>
      <w:pPr>
        <w:tabs>
          <w:tab w:val="num" w:pos="357"/>
        </w:tabs>
        <w:ind w:left="357" w:hanging="357"/>
      </w:pPr>
      <w:rPr>
        <w:rFonts w:ascii="Symbol" w:hAnsi="Symbol" w:hint="default"/>
        <w:b w:val="0"/>
        <w:i w:val="0"/>
        <w:sz w:val="20"/>
      </w:rPr>
    </w:lvl>
    <w:lvl w:ilvl="1" w:tplc="079A0DFA" w:tentative="1">
      <w:start w:val="1"/>
      <w:numFmt w:val="bullet"/>
      <w:lvlText w:val="o"/>
      <w:lvlJc w:val="left"/>
      <w:pPr>
        <w:tabs>
          <w:tab w:val="num" w:pos="1440"/>
        </w:tabs>
        <w:ind w:left="1440" w:hanging="360"/>
      </w:pPr>
      <w:rPr>
        <w:rFonts w:ascii="Courier New" w:hAnsi="Courier New" w:hint="default"/>
      </w:rPr>
    </w:lvl>
    <w:lvl w:ilvl="2" w:tplc="7C927B64" w:tentative="1">
      <w:start w:val="1"/>
      <w:numFmt w:val="bullet"/>
      <w:lvlText w:val=""/>
      <w:lvlJc w:val="left"/>
      <w:pPr>
        <w:tabs>
          <w:tab w:val="num" w:pos="2160"/>
        </w:tabs>
        <w:ind w:left="2160" w:hanging="360"/>
      </w:pPr>
      <w:rPr>
        <w:rFonts w:ascii="Wingdings" w:hAnsi="Wingdings" w:hint="default"/>
      </w:rPr>
    </w:lvl>
    <w:lvl w:ilvl="3" w:tplc="51FC827A" w:tentative="1">
      <w:start w:val="1"/>
      <w:numFmt w:val="bullet"/>
      <w:lvlText w:val=""/>
      <w:lvlJc w:val="left"/>
      <w:pPr>
        <w:tabs>
          <w:tab w:val="num" w:pos="2880"/>
        </w:tabs>
        <w:ind w:left="2880" w:hanging="360"/>
      </w:pPr>
      <w:rPr>
        <w:rFonts w:ascii="Symbol" w:hAnsi="Symbol" w:hint="default"/>
      </w:rPr>
    </w:lvl>
    <w:lvl w:ilvl="4" w:tplc="F78071F4" w:tentative="1">
      <w:start w:val="1"/>
      <w:numFmt w:val="bullet"/>
      <w:lvlText w:val="o"/>
      <w:lvlJc w:val="left"/>
      <w:pPr>
        <w:tabs>
          <w:tab w:val="num" w:pos="3600"/>
        </w:tabs>
        <w:ind w:left="3600" w:hanging="360"/>
      </w:pPr>
      <w:rPr>
        <w:rFonts w:ascii="Courier New" w:hAnsi="Courier New" w:hint="default"/>
      </w:rPr>
    </w:lvl>
    <w:lvl w:ilvl="5" w:tplc="26249C70" w:tentative="1">
      <w:start w:val="1"/>
      <w:numFmt w:val="bullet"/>
      <w:lvlText w:val=""/>
      <w:lvlJc w:val="left"/>
      <w:pPr>
        <w:tabs>
          <w:tab w:val="num" w:pos="4320"/>
        </w:tabs>
        <w:ind w:left="4320" w:hanging="360"/>
      </w:pPr>
      <w:rPr>
        <w:rFonts w:ascii="Wingdings" w:hAnsi="Wingdings" w:hint="default"/>
      </w:rPr>
    </w:lvl>
    <w:lvl w:ilvl="6" w:tplc="EED85392" w:tentative="1">
      <w:start w:val="1"/>
      <w:numFmt w:val="bullet"/>
      <w:lvlText w:val=""/>
      <w:lvlJc w:val="left"/>
      <w:pPr>
        <w:tabs>
          <w:tab w:val="num" w:pos="5040"/>
        </w:tabs>
        <w:ind w:left="5040" w:hanging="360"/>
      </w:pPr>
      <w:rPr>
        <w:rFonts w:ascii="Symbol" w:hAnsi="Symbol" w:hint="default"/>
      </w:rPr>
    </w:lvl>
    <w:lvl w:ilvl="7" w:tplc="90A46128" w:tentative="1">
      <w:start w:val="1"/>
      <w:numFmt w:val="bullet"/>
      <w:lvlText w:val="o"/>
      <w:lvlJc w:val="left"/>
      <w:pPr>
        <w:tabs>
          <w:tab w:val="num" w:pos="5760"/>
        </w:tabs>
        <w:ind w:left="5760" w:hanging="360"/>
      </w:pPr>
      <w:rPr>
        <w:rFonts w:ascii="Courier New" w:hAnsi="Courier New" w:hint="default"/>
      </w:rPr>
    </w:lvl>
    <w:lvl w:ilvl="8" w:tplc="978EB8DA"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64D348A5"/>
    <w:multiLevelType w:val="hybridMultilevel"/>
    <w:tmpl w:val="3A74F194"/>
    <w:lvl w:ilvl="0" w:tplc="499408BA">
      <w:start w:val="1"/>
      <w:numFmt w:val="bullet"/>
      <w:lvlText w:val=""/>
      <w:lvlJc w:val="left"/>
      <w:pPr>
        <w:ind w:left="360" w:hanging="360"/>
      </w:pPr>
      <w:rPr>
        <w:rFonts w:ascii="Symbol" w:hAnsi="Symbol" w:hint="default"/>
      </w:rPr>
    </w:lvl>
    <w:lvl w:ilvl="1" w:tplc="166CABFE" w:tentative="1">
      <w:start w:val="1"/>
      <w:numFmt w:val="bullet"/>
      <w:lvlText w:val="o"/>
      <w:lvlJc w:val="left"/>
      <w:pPr>
        <w:ind w:left="1080" w:hanging="360"/>
      </w:pPr>
      <w:rPr>
        <w:rFonts w:ascii="Courier New" w:hAnsi="Courier New" w:hint="default"/>
      </w:rPr>
    </w:lvl>
    <w:lvl w:ilvl="2" w:tplc="BD9C95CE" w:tentative="1">
      <w:start w:val="1"/>
      <w:numFmt w:val="bullet"/>
      <w:lvlText w:val=""/>
      <w:lvlJc w:val="left"/>
      <w:pPr>
        <w:ind w:left="1800" w:hanging="360"/>
      </w:pPr>
      <w:rPr>
        <w:rFonts w:ascii="Wingdings" w:hAnsi="Wingdings" w:hint="default"/>
      </w:rPr>
    </w:lvl>
    <w:lvl w:ilvl="3" w:tplc="8F08A4BE" w:tentative="1">
      <w:start w:val="1"/>
      <w:numFmt w:val="bullet"/>
      <w:lvlText w:val=""/>
      <w:lvlJc w:val="left"/>
      <w:pPr>
        <w:ind w:left="2520" w:hanging="360"/>
      </w:pPr>
      <w:rPr>
        <w:rFonts w:ascii="Symbol" w:hAnsi="Symbol" w:hint="default"/>
      </w:rPr>
    </w:lvl>
    <w:lvl w:ilvl="4" w:tplc="AAC4A52A" w:tentative="1">
      <w:start w:val="1"/>
      <w:numFmt w:val="bullet"/>
      <w:lvlText w:val="o"/>
      <w:lvlJc w:val="left"/>
      <w:pPr>
        <w:ind w:left="3240" w:hanging="360"/>
      </w:pPr>
      <w:rPr>
        <w:rFonts w:ascii="Courier New" w:hAnsi="Courier New" w:hint="default"/>
      </w:rPr>
    </w:lvl>
    <w:lvl w:ilvl="5" w:tplc="CD129F3C" w:tentative="1">
      <w:start w:val="1"/>
      <w:numFmt w:val="bullet"/>
      <w:lvlText w:val=""/>
      <w:lvlJc w:val="left"/>
      <w:pPr>
        <w:ind w:left="3960" w:hanging="360"/>
      </w:pPr>
      <w:rPr>
        <w:rFonts w:ascii="Wingdings" w:hAnsi="Wingdings" w:hint="default"/>
      </w:rPr>
    </w:lvl>
    <w:lvl w:ilvl="6" w:tplc="35DA57F6" w:tentative="1">
      <w:start w:val="1"/>
      <w:numFmt w:val="bullet"/>
      <w:lvlText w:val=""/>
      <w:lvlJc w:val="left"/>
      <w:pPr>
        <w:ind w:left="4680" w:hanging="360"/>
      </w:pPr>
      <w:rPr>
        <w:rFonts w:ascii="Symbol" w:hAnsi="Symbol" w:hint="default"/>
      </w:rPr>
    </w:lvl>
    <w:lvl w:ilvl="7" w:tplc="0B52B1B0" w:tentative="1">
      <w:start w:val="1"/>
      <w:numFmt w:val="bullet"/>
      <w:lvlText w:val="o"/>
      <w:lvlJc w:val="left"/>
      <w:pPr>
        <w:ind w:left="5400" w:hanging="360"/>
      </w:pPr>
      <w:rPr>
        <w:rFonts w:ascii="Courier New" w:hAnsi="Courier New" w:hint="default"/>
      </w:rPr>
    </w:lvl>
    <w:lvl w:ilvl="8" w:tplc="60E82F86" w:tentative="1">
      <w:start w:val="1"/>
      <w:numFmt w:val="bullet"/>
      <w:lvlText w:val=""/>
      <w:lvlJc w:val="left"/>
      <w:pPr>
        <w:ind w:left="6120" w:hanging="360"/>
      </w:pPr>
      <w:rPr>
        <w:rFonts w:ascii="Wingdings" w:hAnsi="Wingdings" w:hint="default"/>
      </w:rPr>
    </w:lvl>
  </w:abstractNum>
  <w:abstractNum w:abstractNumId="212" w15:restartNumberingAfterBreak="0">
    <w:nsid w:val="654B3632"/>
    <w:multiLevelType w:val="hybridMultilevel"/>
    <w:tmpl w:val="5388004C"/>
    <w:lvl w:ilvl="0" w:tplc="579A0E58">
      <w:start w:val="1"/>
      <w:numFmt w:val="lowerLetter"/>
      <w:lvlText w:val="%1"/>
      <w:lvlJc w:val="left"/>
      <w:pPr>
        <w:ind w:left="720" w:hanging="360"/>
      </w:pPr>
      <w:rPr>
        <w:rFonts w:hint="default"/>
        <w:sz w:val="16"/>
        <w:szCs w:val="16"/>
        <w:vertAlign w:val="superscript"/>
      </w:rPr>
    </w:lvl>
    <w:lvl w:ilvl="1" w:tplc="9F5E757A" w:tentative="1">
      <w:start w:val="1"/>
      <w:numFmt w:val="lowerLetter"/>
      <w:lvlText w:val="%2."/>
      <w:lvlJc w:val="left"/>
      <w:pPr>
        <w:ind w:left="1440" w:hanging="360"/>
      </w:pPr>
    </w:lvl>
    <w:lvl w:ilvl="2" w:tplc="2708DCBC" w:tentative="1">
      <w:start w:val="1"/>
      <w:numFmt w:val="lowerRoman"/>
      <w:lvlText w:val="%3."/>
      <w:lvlJc w:val="right"/>
      <w:pPr>
        <w:ind w:left="2160" w:hanging="180"/>
      </w:pPr>
    </w:lvl>
    <w:lvl w:ilvl="3" w:tplc="A8F6614A" w:tentative="1">
      <w:start w:val="1"/>
      <w:numFmt w:val="decimal"/>
      <w:lvlText w:val="%4."/>
      <w:lvlJc w:val="left"/>
      <w:pPr>
        <w:ind w:left="2880" w:hanging="360"/>
      </w:pPr>
    </w:lvl>
    <w:lvl w:ilvl="4" w:tplc="DAE41EC0" w:tentative="1">
      <w:start w:val="1"/>
      <w:numFmt w:val="lowerLetter"/>
      <w:lvlText w:val="%5."/>
      <w:lvlJc w:val="left"/>
      <w:pPr>
        <w:ind w:left="3600" w:hanging="360"/>
      </w:pPr>
    </w:lvl>
    <w:lvl w:ilvl="5" w:tplc="29948AF2" w:tentative="1">
      <w:start w:val="1"/>
      <w:numFmt w:val="lowerRoman"/>
      <w:lvlText w:val="%6."/>
      <w:lvlJc w:val="right"/>
      <w:pPr>
        <w:ind w:left="4320" w:hanging="180"/>
      </w:pPr>
    </w:lvl>
    <w:lvl w:ilvl="6" w:tplc="FCEEC020" w:tentative="1">
      <w:start w:val="1"/>
      <w:numFmt w:val="decimal"/>
      <w:lvlText w:val="%7."/>
      <w:lvlJc w:val="left"/>
      <w:pPr>
        <w:ind w:left="5040" w:hanging="360"/>
      </w:pPr>
    </w:lvl>
    <w:lvl w:ilvl="7" w:tplc="0F4C32D6" w:tentative="1">
      <w:start w:val="1"/>
      <w:numFmt w:val="lowerLetter"/>
      <w:lvlText w:val="%8."/>
      <w:lvlJc w:val="left"/>
      <w:pPr>
        <w:ind w:left="5760" w:hanging="360"/>
      </w:pPr>
    </w:lvl>
    <w:lvl w:ilvl="8" w:tplc="8C8415F2" w:tentative="1">
      <w:start w:val="1"/>
      <w:numFmt w:val="lowerRoman"/>
      <w:lvlText w:val="%9."/>
      <w:lvlJc w:val="right"/>
      <w:pPr>
        <w:ind w:left="6480" w:hanging="180"/>
      </w:pPr>
    </w:lvl>
  </w:abstractNum>
  <w:abstractNum w:abstractNumId="213" w15:restartNumberingAfterBreak="0">
    <w:nsid w:val="65A81FF7"/>
    <w:multiLevelType w:val="hybridMultilevel"/>
    <w:tmpl w:val="1C4E33BE"/>
    <w:lvl w:ilvl="0" w:tplc="771E3EB6">
      <w:start w:val="1"/>
      <w:numFmt w:val="bullet"/>
      <w:lvlText w:val=""/>
      <w:lvlJc w:val="left"/>
      <w:pPr>
        <w:ind w:left="720" w:hanging="360"/>
      </w:pPr>
      <w:rPr>
        <w:rFonts w:ascii="Symbol" w:hAnsi="Symbol" w:hint="default"/>
      </w:rPr>
    </w:lvl>
    <w:lvl w:ilvl="1" w:tplc="37E4827C" w:tentative="1">
      <w:start w:val="1"/>
      <w:numFmt w:val="bullet"/>
      <w:lvlText w:val="o"/>
      <w:lvlJc w:val="left"/>
      <w:pPr>
        <w:ind w:left="1440" w:hanging="360"/>
      </w:pPr>
      <w:rPr>
        <w:rFonts w:ascii="Courier New" w:hAnsi="Courier New" w:cs="Courier New" w:hint="default"/>
      </w:rPr>
    </w:lvl>
    <w:lvl w:ilvl="2" w:tplc="678CDE1E" w:tentative="1">
      <w:start w:val="1"/>
      <w:numFmt w:val="bullet"/>
      <w:lvlText w:val=""/>
      <w:lvlJc w:val="left"/>
      <w:pPr>
        <w:ind w:left="2160" w:hanging="360"/>
      </w:pPr>
      <w:rPr>
        <w:rFonts w:ascii="Wingdings" w:hAnsi="Wingdings" w:hint="default"/>
      </w:rPr>
    </w:lvl>
    <w:lvl w:ilvl="3" w:tplc="AE823480" w:tentative="1">
      <w:start w:val="1"/>
      <w:numFmt w:val="bullet"/>
      <w:lvlText w:val=""/>
      <w:lvlJc w:val="left"/>
      <w:pPr>
        <w:ind w:left="2880" w:hanging="360"/>
      </w:pPr>
      <w:rPr>
        <w:rFonts w:ascii="Symbol" w:hAnsi="Symbol" w:hint="default"/>
      </w:rPr>
    </w:lvl>
    <w:lvl w:ilvl="4" w:tplc="6290BC68" w:tentative="1">
      <w:start w:val="1"/>
      <w:numFmt w:val="bullet"/>
      <w:lvlText w:val="o"/>
      <w:lvlJc w:val="left"/>
      <w:pPr>
        <w:ind w:left="3600" w:hanging="360"/>
      </w:pPr>
      <w:rPr>
        <w:rFonts w:ascii="Courier New" w:hAnsi="Courier New" w:cs="Courier New" w:hint="default"/>
      </w:rPr>
    </w:lvl>
    <w:lvl w:ilvl="5" w:tplc="79C4C5CE" w:tentative="1">
      <w:start w:val="1"/>
      <w:numFmt w:val="bullet"/>
      <w:lvlText w:val=""/>
      <w:lvlJc w:val="left"/>
      <w:pPr>
        <w:ind w:left="4320" w:hanging="360"/>
      </w:pPr>
      <w:rPr>
        <w:rFonts w:ascii="Wingdings" w:hAnsi="Wingdings" w:hint="default"/>
      </w:rPr>
    </w:lvl>
    <w:lvl w:ilvl="6" w:tplc="FE769984" w:tentative="1">
      <w:start w:val="1"/>
      <w:numFmt w:val="bullet"/>
      <w:lvlText w:val=""/>
      <w:lvlJc w:val="left"/>
      <w:pPr>
        <w:ind w:left="5040" w:hanging="360"/>
      </w:pPr>
      <w:rPr>
        <w:rFonts w:ascii="Symbol" w:hAnsi="Symbol" w:hint="default"/>
      </w:rPr>
    </w:lvl>
    <w:lvl w:ilvl="7" w:tplc="05FAC65A" w:tentative="1">
      <w:start w:val="1"/>
      <w:numFmt w:val="bullet"/>
      <w:lvlText w:val="o"/>
      <w:lvlJc w:val="left"/>
      <w:pPr>
        <w:ind w:left="5760" w:hanging="360"/>
      </w:pPr>
      <w:rPr>
        <w:rFonts w:ascii="Courier New" w:hAnsi="Courier New" w:cs="Courier New" w:hint="default"/>
      </w:rPr>
    </w:lvl>
    <w:lvl w:ilvl="8" w:tplc="E16A3BC4" w:tentative="1">
      <w:start w:val="1"/>
      <w:numFmt w:val="bullet"/>
      <w:lvlText w:val=""/>
      <w:lvlJc w:val="left"/>
      <w:pPr>
        <w:ind w:left="6480" w:hanging="360"/>
      </w:pPr>
      <w:rPr>
        <w:rFonts w:ascii="Wingdings" w:hAnsi="Wingdings" w:hint="default"/>
      </w:rPr>
    </w:lvl>
  </w:abstractNum>
  <w:abstractNum w:abstractNumId="214" w15:restartNumberingAfterBreak="0">
    <w:nsid w:val="65B06D5E"/>
    <w:multiLevelType w:val="hybridMultilevel"/>
    <w:tmpl w:val="5388004C"/>
    <w:lvl w:ilvl="0" w:tplc="632AB7E4">
      <w:start w:val="1"/>
      <w:numFmt w:val="lowerLetter"/>
      <w:lvlText w:val="%1"/>
      <w:lvlJc w:val="left"/>
      <w:pPr>
        <w:ind w:left="720" w:hanging="360"/>
      </w:pPr>
      <w:rPr>
        <w:rFonts w:hint="default"/>
        <w:sz w:val="16"/>
        <w:szCs w:val="16"/>
        <w:vertAlign w:val="superscript"/>
      </w:rPr>
    </w:lvl>
    <w:lvl w:ilvl="1" w:tplc="59DA8B8A" w:tentative="1">
      <w:start w:val="1"/>
      <w:numFmt w:val="lowerLetter"/>
      <w:lvlText w:val="%2."/>
      <w:lvlJc w:val="left"/>
      <w:pPr>
        <w:ind w:left="1440" w:hanging="360"/>
      </w:pPr>
    </w:lvl>
    <w:lvl w:ilvl="2" w:tplc="CB02809E" w:tentative="1">
      <w:start w:val="1"/>
      <w:numFmt w:val="lowerRoman"/>
      <w:lvlText w:val="%3."/>
      <w:lvlJc w:val="right"/>
      <w:pPr>
        <w:ind w:left="2160" w:hanging="180"/>
      </w:pPr>
    </w:lvl>
    <w:lvl w:ilvl="3" w:tplc="A1386614" w:tentative="1">
      <w:start w:val="1"/>
      <w:numFmt w:val="decimal"/>
      <w:lvlText w:val="%4."/>
      <w:lvlJc w:val="left"/>
      <w:pPr>
        <w:ind w:left="2880" w:hanging="360"/>
      </w:pPr>
    </w:lvl>
    <w:lvl w:ilvl="4" w:tplc="A1CC7C80" w:tentative="1">
      <w:start w:val="1"/>
      <w:numFmt w:val="lowerLetter"/>
      <w:lvlText w:val="%5."/>
      <w:lvlJc w:val="left"/>
      <w:pPr>
        <w:ind w:left="3600" w:hanging="360"/>
      </w:pPr>
    </w:lvl>
    <w:lvl w:ilvl="5" w:tplc="AB2EB0CE" w:tentative="1">
      <w:start w:val="1"/>
      <w:numFmt w:val="lowerRoman"/>
      <w:lvlText w:val="%6."/>
      <w:lvlJc w:val="right"/>
      <w:pPr>
        <w:ind w:left="4320" w:hanging="180"/>
      </w:pPr>
    </w:lvl>
    <w:lvl w:ilvl="6" w:tplc="854AE812" w:tentative="1">
      <w:start w:val="1"/>
      <w:numFmt w:val="decimal"/>
      <w:lvlText w:val="%7."/>
      <w:lvlJc w:val="left"/>
      <w:pPr>
        <w:ind w:left="5040" w:hanging="360"/>
      </w:pPr>
    </w:lvl>
    <w:lvl w:ilvl="7" w:tplc="A9047ADA" w:tentative="1">
      <w:start w:val="1"/>
      <w:numFmt w:val="lowerLetter"/>
      <w:lvlText w:val="%8."/>
      <w:lvlJc w:val="left"/>
      <w:pPr>
        <w:ind w:left="5760" w:hanging="360"/>
      </w:pPr>
    </w:lvl>
    <w:lvl w:ilvl="8" w:tplc="64D847E0" w:tentative="1">
      <w:start w:val="1"/>
      <w:numFmt w:val="lowerRoman"/>
      <w:lvlText w:val="%9."/>
      <w:lvlJc w:val="right"/>
      <w:pPr>
        <w:ind w:left="6480" w:hanging="180"/>
      </w:pPr>
    </w:lvl>
  </w:abstractNum>
  <w:abstractNum w:abstractNumId="215" w15:restartNumberingAfterBreak="0">
    <w:nsid w:val="677F4E81"/>
    <w:multiLevelType w:val="hybridMultilevel"/>
    <w:tmpl w:val="C7F497CA"/>
    <w:lvl w:ilvl="0" w:tplc="2F92408C">
      <w:start w:val="1"/>
      <w:numFmt w:val="bullet"/>
      <w:lvlText w:val=""/>
      <w:lvlJc w:val="left"/>
      <w:pPr>
        <w:tabs>
          <w:tab w:val="num" w:pos="720"/>
        </w:tabs>
        <w:ind w:left="720" w:hanging="360"/>
      </w:pPr>
      <w:rPr>
        <w:rFonts w:ascii="Symbol" w:hAnsi="Symbol" w:hint="default"/>
      </w:rPr>
    </w:lvl>
    <w:lvl w:ilvl="1" w:tplc="852EDF24" w:tentative="1">
      <w:start w:val="1"/>
      <w:numFmt w:val="bullet"/>
      <w:lvlText w:val="o"/>
      <w:lvlJc w:val="left"/>
      <w:pPr>
        <w:tabs>
          <w:tab w:val="num" w:pos="1440"/>
        </w:tabs>
        <w:ind w:left="1440" w:hanging="360"/>
      </w:pPr>
      <w:rPr>
        <w:rFonts w:ascii="Courier New" w:hAnsi="Courier New" w:cs="Courier New" w:hint="default"/>
      </w:rPr>
    </w:lvl>
    <w:lvl w:ilvl="2" w:tplc="FF6A312E" w:tentative="1">
      <w:start w:val="1"/>
      <w:numFmt w:val="bullet"/>
      <w:lvlText w:val=""/>
      <w:lvlJc w:val="left"/>
      <w:pPr>
        <w:tabs>
          <w:tab w:val="num" w:pos="2160"/>
        </w:tabs>
        <w:ind w:left="2160" w:hanging="360"/>
      </w:pPr>
      <w:rPr>
        <w:rFonts w:ascii="Wingdings" w:hAnsi="Wingdings" w:hint="default"/>
      </w:rPr>
    </w:lvl>
    <w:lvl w:ilvl="3" w:tplc="3C9A7246" w:tentative="1">
      <w:start w:val="1"/>
      <w:numFmt w:val="bullet"/>
      <w:lvlText w:val=""/>
      <w:lvlJc w:val="left"/>
      <w:pPr>
        <w:tabs>
          <w:tab w:val="num" w:pos="2880"/>
        </w:tabs>
        <w:ind w:left="2880" w:hanging="360"/>
      </w:pPr>
      <w:rPr>
        <w:rFonts w:ascii="Symbol" w:hAnsi="Symbol" w:hint="default"/>
      </w:rPr>
    </w:lvl>
    <w:lvl w:ilvl="4" w:tplc="5BBE080E" w:tentative="1">
      <w:start w:val="1"/>
      <w:numFmt w:val="bullet"/>
      <w:lvlText w:val="o"/>
      <w:lvlJc w:val="left"/>
      <w:pPr>
        <w:tabs>
          <w:tab w:val="num" w:pos="3600"/>
        </w:tabs>
        <w:ind w:left="3600" w:hanging="360"/>
      </w:pPr>
      <w:rPr>
        <w:rFonts w:ascii="Courier New" w:hAnsi="Courier New" w:cs="Courier New" w:hint="default"/>
      </w:rPr>
    </w:lvl>
    <w:lvl w:ilvl="5" w:tplc="3EC8129A" w:tentative="1">
      <w:start w:val="1"/>
      <w:numFmt w:val="bullet"/>
      <w:lvlText w:val=""/>
      <w:lvlJc w:val="left"/>
      <w:pPr>
        <w:tabs>
          <w:tab w:val="num" w:pos="4320"/>
        </w:tabs>
        <w:ind w:left="4320" w:hanging="360"/>
      </w:pPr>
      <w:rPr>
        <w:rFonts w:ascii="Wingdings" w:hAnsi="Wingdings" w:hint="default"/>
      </w:rPr>
    </w:lvl>
    <w:lvl w:ilvl="6" w:tplc="140E9E18" w:tentative="1">
      <w:start w:val="1"/>
      <w:numFmt w:val="bullet"/>
      <w:lvlText w:val=""/>
      <w:lvlJc w:val="left"/>
      <w:pPr>
        <w:tabs>
          <w:tab w:val="num" w:pos="5040"/>
        </w:tabs>
        <w:ind w:left="5040" w:hanging="360"/>
      </w:pPr>
      <w:rPr>
        <w:rFonts w:ascii="Symbol" w:hAnsi="Symbol" w:hint="default"/>
      </w:rPr>
    </w:lvl>
    <w:lvl w:ilvl="7" w:tplc="8470290E" w:tentative="1">
      <w:start w:val="1"/>
      <w:numFmt w:val="bullet"/>
      <w:lvlText w:val="o"/>
      <w:lvlJc w:val="left"/>
      <w:pPr>
        <w:tabs>
          <w:tab w:val="num" w:pos="5760"/>
        </w:tabs>
        <w:ind w:left="5760" w:hanging="360"/>
      </w:pPr>
      <w:rPr>
        <w:rFonts w:ascii="Courier New" w:hAnsi="Courier New" w:cs="Courier New" w:hint="default"/>
      </w:rPr>
    </w:lvl>
    <w:lvl w:ilvl="8" w:tplc="49325FC2"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67D80634"/>
    <w:multiLevelType w:val="multilevel"/>
    <w:tmpl w:val="60261B7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7" w15:restartNumberingAfterBreak="0">
    <w:nsid w:val="696F17A7"/>
    <w:multiLevelType w:val="multilevel"/>
    <w:tmpl w:val="3BC8D8D8"/>
    <w:lvl w:ilvl="0">
      <w:start w:val="6"/>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8" w15:restartNumberingAfterBreak="0">
    <w:nsid w:val="69855039"/>
    <w:multiLevelType w:val="hybridMultilevel"/>
    <w:tmpl w:val="B4B4F488"/>
    <w:lvl w:ilvl="0" w:tplc="CF9ACBBA">
      <w:start w:val="1"/>
      <w:numFmt w:val="bullet"/>
      <w:lvlText w:val=""/>
      <w:lvlJc w:val="left"/>
      <w:pPr>
        <w:tabs>
          <w:tab w:val="num" w:pos="720"/>
        </w:tabs>
        <w:ind w:left="720" w:hanging="360"/>
      </w:pPr>
      <w:rPr>
        <w:rFonts w:ascii="Symbol" w:hAnsi="Symbol" w:hint="default"/>
      </w:rPr>
    </w:lvl>
    <w:lvl w:ilvl="1" w:tplc="20D00D44" w:tentative="1">
      <w:start w:val="1"/>
      <w:numFmt w:val="bullet"/>
      <w:lvlText w:val="o"/>
      <w:lvlJc w:val="left"/>
      <w:pPr>
        <w:tabs>
          <w:tab w:val="num" w:pos="1440"/>
        </w:tabs>
        <w:ind w:left="1440" w:hanging="360"/>
      </w:pPr>
      <w:rPr>
        <w:rFonts w:ascii="Courier New" w:hAnsi="Courier New" w:hint="default"/>
      </w:rPr>
    </w:lvl>
    <w:lvl w:ilvl="2" w:tplc="2D58F52A" w:tentative="1">
      <w:start w:val="1"/>
      <w:numFmt w:val="bullet"/>
      <w:lvlText w:val=""/>
      <w:lvlJc w:val="left"/>
      <w:pPr>
        <w:tabs>
          <w:tab w:val="num" w:pos="2160"/>
        </w:tabs>
        <w:ind w:left="2160" w:hanging="360"/>
      </w:pPr>
      <w:rPr>
        <w:rFonts w:ascii="Wingdings" w:hAnsi="Wingdings" w:hint="default"/>
      </w:rPr>
    </w:lvl>
    <w:lvl w:ilvl="3" w:tplc="EB887954" w:tentative="1">
      <w:start w:val="1"/>
      <w:numFmt w:val="bullet"/>
      <w:lvlText w:val=""/>
      <w:lvlJc w:val="left"/>
      <w:pPr>
        <w:tabs>
          <w:tab w:val="num" w:pos="2880"/>
        </w:tabs>
        <w:ind w:left="2880" w:hanging="360"/>
      </w:pPr>
      <w:rPr>
        <w:rFonts w:ascii="Symbol" w:hAnsi="Symbol" w:hint="default"/>
      </w:rPr>
    </w:lvl>
    <w:lvl w:ilvl="4" w:tplc="1D5E0F5E" w:tentative="1">
      <w:start w:val="1"/>
      <w:numFmt w:val="bullet"/>
      <w:lvlText w:val="o"/>
      <w:lvlJc w:val="left"/>
      <w:pPr>
        <w:tabs>
          <w:tab w:val="num" w:pos="3600"/>
        </w:tabs>
        <w:ind w:left="3600" w:hanging="360"/>
      </w:pPr>
      <w:rPr>
        <w:rFonts w:ascii="Courier New" w:hAnsi="Courier New" w:hint="default"/>
      </w:rPr>
    </w:lvl>
    <w:lvl w:ilvl="5" w:tplc="F634EACC" w:tentative="1">
      <w:start w:val="1"/>
      <w:numFmt w:val="bullet"/>
      <w:lvlText w:val=""/>
      <w:lvlJc w:val="left"/>
      <w:pPr>
        <w:tabs>
          <w:tab w:val="num" w:pos="4320"/>
        </w:tabs>
        <w:ind w:left="4320" w:hanging="360"/>
      </w:pPr>
      <w:rPr>
        <w:rFonts w:ascii="Wingdings" w:hAnsi="Wingdings" w:hint="default"/>
      </w:rPr>
    </w:lvl>
    <w:lvl w:ilvl="6" w:tplc="1C0C7828" w:tentative="1">
      <w:start w:val="1"/>
      <w:numFmt w:val="bullet"/>
      <w:lvlText w:val=""/>
      <w:lvlJc w:val="left"/>
      <w:pPr>
        <w:tabs>
          <w:tab w:val="num" w:pos="5040"/>
        </w:tabs>
        <w:ind w:left="5040" w:hanging="360"/>
      </w:pPr>
      <w:rPr>
        <w:rFonts w:ascii="Symbol" w:hAnsi="Symbol" w:hint="default"/>
      </w:rPr>
    </w:lvl>
    <w:lvl w:ilvl="7" w:tplc="25301672" w:tentative="1">
      <w:start w:val="1"/>
      <w:numFmt w:val="bullet"/>
      <w:lvlText w:val="o"/>
      <w:lvlJc w:val="left"/>
      <w:pPr>
        <w:tabs>
          <w:tab w:val="num" w:pos="5760"/>
        </w:tabs>
        <w:ind w:left="5760" w:hanging="360"/>
      </w:pPr>
      <w:rPr>
        <w:rFonts w:ascii="Courier New" w:hAnsi="Courier New" w:hint="default"/>
      </w:rPr>
    </w:lvl>
    <w:lvl w:ilvl="8" w:tplc="57F6E812"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6A5B653F"/>
    <w:multiLevelType w:val="multilevel"/>
    <w:tmpl w:val="E2F2F0F8"/>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0" w15:restartNumberingAfterBreak="0">
    <w:nsid w:val="6B4929E6"/>
    <w:multiLevelType w:val="hybridMultilevel"/>
    <w:tmpl w:val="03B22344"/>
    <w:lvl w:ilvl="0" w:tplc="9F2E3CDE">
      <w:start w:val="1"/>
      <w:numFmt w:val="bullet"/>
      <w:lvlText w:val=""/>
      <w:lvlJc w:val="left"/>
      <w:pPr>
        <w:ind w:left="720" w:hanging="360"/>
      </w:pPr>
      <w:rPr>
        <w:rFonts w:ascii="Symbol" w:hAnsi="Symbol" w:hint="default"/>
      </w:rPr>
    </w:lvl>
    <w:lvl w:ilvl="1" w:tplc="91AAA900" w:tentative="1">
      <w:start w:val="1"/>
      <w:numFmt w:val="bullet"/>
      <w:lvlText w:val="o"/>
      <w:lvlJc w:val="left"/>
      <w:pPr>
        <w:ind w:left="1440" w:hanging="360"/>
      </w:pPr>
      <w:rPr>
        <w:rFonts w:ascii="Courier New" w:hAnsi="Courier New" w:cs="Courier New" w:hint="default"/>
      </w:rPr>
    </w:lvl>
    <w:lvl w:ilvl="2" w:tplc="F79C9D10" w:tentative="1">
      <w:start w:val="1"/>
      <w:numFmt w:val="bullet"/>
      <w:lvlText w:val=""/>
      <w:lvlJc w:val="left"/>
      <w:pPr>
        <w:ind w:left="2160" w:hanging="360"/>
      </w:pPr>
      <w:rPr>
        <w:rFonts w:ascii="Wingdings" w:hAnsi="Wingdings" w:hint="default"/>
      </w:rPr>
    </w:lvl>
    <w:lvl w:ilvl="3" w:tplc="F434FE2C" w:tentative="1">
      <w:start w:val="1"/>
      <w:numFmt w:val="bullet"/>
      <w:lvlText w:val=""/>
      <w:lvlJc w:val="left"/>
      <w:pPr>
        <w:ind w:left="2880" w:hanging="360"/>
      </w:pPr>
      <w:rPr>
        <w:rFonts w:ascii="Symbol" w:hAnsi="Symbol" w:hint="default"/>
      </w:rPr>
    </w:lvl>
    <w:lvl w:ilvl="4" w:tplc="98D0FABE" w:tentative="1">
      <w:start w:val="1"/>
      <w:numFmt w:val="bullet"/>
      <w:lvlText w:val="o"/>
      <w:lvlJc w:val="left"/>
      <w:pPr>
        <w:ind w:left="3600" w:hanging="360"/>
      </w:pPr>
      <w:rPr>
        <w:rFonts w:ascii="Courier New" w:hAnsi="Courier New" w:cs="Courier New" w:hint="default"/>
      </w:rPr>
    </w:lvl>
    <w:lvl w:ilvl="5" w:tplc="F3CC741E" w:tentative="1">
      <w:start w:val="1"/>
      <w:numFmt w:val="bullet"/>
      <w:lvlText w:val=""/>
      <w:lvlJc w:val="left"/>
      <w:pPr>
        <w:ind w:left="4320" w:hanging="360"/>
      </w:pPr>
      <w:rPr>
        <w:rFonts w:ascii="Wingdings" w:hAnsi="Wingdings" w:hint="default"/>
      </w:rPr>
    </w:lvl>
    <w:lvl w:ilvl="6" w:tplc="3D704656" w:tentative="1">
      <w:start w:val="1"/>
      <w:numFmt w:val="bullet"/>
      <w:lvlText w:val=""/>
      <w:lvlJc w:val="left"/>
      <w:pPr>
        <w:ind w:left="5040" w:hanging="360"/>
      </w:pPr>
      <w:rPr>
        <w:rFonts w:ascii="Symbol" w:hAnsi="Symbol" w:hint="default"/>
      </w:rPr>
    </w:lvl>
    <w:lvl w:ilvl="7" w:tplc="D6588940" w:tentative="1">
      <w:start w:val="1"/>
      <w:numFmt w:val="bullet"/>
      <w:lvlText w:val="o"/>
      <w:lvlJc w:val="left"/>
      <w:pPr>
        <w:ind w:left="5760" w:hanging="360"/>
      </w:pPr>
      <w:rPr>
        <w:rFonts w:ascii="Courier New" w:hAnsi="Courier New" w:cs="Courier New" w:hint="default"/>
      </w:rPr>
    </w:lvl>
    <w:lvl w:ilvl="8" w:tplc="F7C4DD8A" w:tentative="1">
      <w:start w:val="1"/>
      <w:numFmt w:val="bullet"/>
      <w:lvlText w:val=""/>
      <w:lvlJc w:val="left"/>
      <w:pPr>
        <w:ind w:left="6480" w:hanging="360"/>
      </w:pPr>
      <w:rPr>
        <w:rFonts w:ascii="Wingdings" w:hAnsi="Wingdings" w:hint="default"/>
      </w:rPr>
    </w:lvl>
  </w:abstractNum>
  <w:abstractNum w:abstractNumId="221" w15:restartNumberingAfterBreak="0">
    <w:nsid w:val="6C147FEE"/>
    <w:multiLevelType w:val="hybridMultilevel"/>
    <w:tmpl w:val="3BBAB462"/>
    <w:lvl w:ilvl="0" w:tplc="5510D24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lvl w:ilvl="1" w:tplc="8460CF36">
      <w:start w:val="1"/>
      <w:numFmt w:val="lowerLetter"/>
      <w:lvlText w:val="%2."/>
      <w:lvlJc w:val="left"/>
      <w:pPr>
        <w:ind w:left="1440" w:hanging="360"/>
      </w:pPr>
    </w:lvl>
    <w:lvl w:ilvl="2" w:tplc="DF52CF54" w:tentative="1">
      <w:start w:val="1"/>
      <w:numFmt w:val="lowerRoman"/>
      <w:lvlText w:val="%3."/>
      <w:lvlJc w:val="right"/>
      <w:pPr>
        <w:ind w:left="2160" w:hanging="180"/>
      </w:pPr>
    </w:lvl>
    <w:lvl w:ilvl="3" w:tplc="47CE3468" w:tentative="1">
      <w:start w:val="1"/>
      <w:numFmt w:val="decimal"/>
      <w:lvlText w:val="%4."/>
      <w:lvlJc w:val="left"/>
      <w:pPr>
        <w:ind w:left="2880" w:hanging="360"/>
      </w:pPr>
    </w:lvl>
    <w:lvl w:ilvl="4" w:tplc="C4488628" w:tentative="1">
      <w:start w:val="1"/>
      <w:numFmt w:val="lowerLetter"/>
      <w:lvlText w:val="%5."/>
      <w:lvlJc w:val="left"/>
      <w:pPr>
        <w:ind w:left="3600" w:hanging="360"/>
      </w:pPr>
    </w:lvl>
    <w:lvl w:ilvl="5" w:tplc="18143474" w:tentative="1">
      <w:start w:val="1"/>
      <w:numFmt w:val="lowerRoman"/>
      <w:lvlText w:val="%6."/>
      <w:lvlJc w:val="right"/>
      <w:pPr>
        <w:ind w:left="4320" w:hanging="180"/>
      </w:pPr>
    </w:lvl>
    <w:lvl w:ilvl="6" w:tplc="B43869A2" w:tentative="1">
      <w:start w:val="1"/>
      <w:numFmt w:val="decimal"/>
      <w:lvlText w:val="%7."/>
      <w:lvlJc w:val="left"/>
      <w:pPr>
        <w:ind w:left="5040" w:hanging="360"/>
      </w:pPr>
    </w:lvl>
    <w:lvl w:ilvl="7" w:tplc="C41A8DFC" w:tentative="1">
      <w:start w:val="1"/>
      <w:numFmt w:val="lowerLetter"/>
      <w:lvlText w:val="%8."/>
      <w:lvlJc w:val="left"/>
      <w:pPr>
        <w:ind w:left="5760" w:hanging="360"/>
      </w:pPr>
    </w:lvl>
    <w:lvl w:ilvl="8" w:tplc="63309768" w:tentative="1">
      <w:start w:val="1"/>
      <w:numFmt w:val="lowerRoman"/>
      <w:lvlText w:val="%9."/>
      <w:lvlJc w:val="right"/>
      <w:pPr>
        <w:ind w:left="6480" w:hanging="180"/>
      </w:pPr>
    </w:lvl>
  </w:abstractNum>
  <w:abstractNum w:abstractNumId="222" w15:restartNumberingAfterBreak="0">
    <w:nsid w:val="6C636220"/>
    <w:multiLevelType w:val="hybridMultilevel"/>
    <w:tmpl w:val="6D26AB8C"/>
    <w:lvl w:ilvl="0" w:tplc="8BD01BD0">
      <w:start w:val="1"/>
      <w:numFmt w:val="bullet"/>
      <w:lvlText w:val=""/>
      <w:lvlJc w:val="left"/>
      <w:pPr>
        <w:ind w:left="780" w:hanging="360"/>
      </w:pPr>
      <w:rPr>
        <w:rFonts w:ascii="Symbol" w:hAnsi="Symbol" w:hint="default"/>
      </w:rPr>
    </w:lvl>
    <w:lvl w:ilvl="1" w:tplc="728E3406" w:tentative="1">
      <w:start w:val="1"/>
      <w:numFmt w:val="bullet"/>
      <w:lvlText w:val="o"/>
      <w:lvlJc w:val="left"/>
      <w:pPr>
        <w:ind w:left="1500" w:hanging="360"/>
      </w:pPr>
      <w:rPr>
        <w:rFonts w:ascii="Courier New" w:hAnsi="Courier New" w:cs="Courier New" w:hint="default"/>
      </w:rPr>
    </w:lvl>
    <w:lvl w:ilvl="2" w:tplc="1B388A8E" w:tentative="1">
      <w:start w:val="1"/>
      <w:numFmt w:val="bullet"/>
      <w:lvlText w:val=""/>
      <w:lvlJc w:val="left"/>
      <w:pPr>
        <w:ind w:left="2220" w:hanging="360"/>
      </w:pPr>
      <w:rPr>
        <w:rFonts w:ascii="Wingdings" w:hAnsi="Wingdings" w:hint="default"/>
      </w:rPr>
    </w:lvl>
    <w:lvl w:ilvl="3" w:tplc="E3AA8230" w:tentative="1">
      <w:start w:val="1"/>
      <w:numFmt w:val="bullet"/>
      <w:lvlText w:val=""/>
      <w:lvlJc w:val="left"/>
      <w:pPr>
        <w:ind w:left="2940" w:hanging="360"/>
      </w:pPr>
      <w:rPr>
        <w:rFonts w:ascii="Symbol" w:hAnsi="Symbol" w:hint="default"/>
      </w:rPr>
    </w:lvl>
    <w:lvl w:ilvl="4" w:tplc="D52C8A80" w:tentative="1">
      <w:start w:val="1"/>
      <w:numFmt w:val="bullet"/>
      <w:lvlText w:val="o"/>
      <w:lvlJc w:val="left"/>
      <w:pPr>
        <w:ind w:left="3660" w:hanging="360"/>
      </w:pPr>
      <w:rPr>
        <w:rFonts w:ascii="Courier New" w:hAnsi="Courier New" w:cs="Courier New" w:hint="default"/>
      </w:rPr>
    </w:lvl>
    <w:lvl w:ilvl="5" w:tplc="CFBCF318" w:tentative="1">
      <w:start w:val="1"/>
      <w:numFmt w:val="bullet"/>
      <w:lvlText w:val=""/>
      <w:lvlJc w:val="left"/>
      <w:pPr>
        <w:ind w:left="4380" w:hanging="360"/>
      </w:pPr>
      <w:rPr>
        <w:rFonts w:ascii="Wingdings" w:hAnsi="Wingdings" w:hint="default"/>
      </w:rPr>
    </w:lvl>
    <w:lvl w:ilvl="6" w:tplc="993AAF90" w:tentative="1">
      <w:start w:val="1"/>
      <w:numFmt w:val="bullet"/>
      <w:lvlText w:val=""/>
      <w:lvlJc w:val="left"/>
      <w:pPr>
        <w:ind w:left="5100" w:hanging="360"/>
      </w:pPr>
      <w:rPr>
        <w:rFonts w:ascii="Symbol" w:hAnsi="Symbol" w:hint="default"/>
      </w:rPr>
    </w:lvl>
    <w:lvl w:ilvl="7" w:tplc="BAAE4810" w:tentative="1">
      <w:start w:val="1"/>
      <w:numFmt w:val="bullet"/>
      <w:lvlText w:val="o"/>
      <w:lvlJc w:val="left"/>
      <w:pPr>
        <w:ind w:left="5820" w:hanging="360"/>
      </w:pPr>
      <w:rPr>
        <w:rFonts w:ascii="Courier New" w:hAnsi="Courier New" w:cs="Courier New" w:hint="default"/>
      </w:rPr>
    </w:lvl>
    <w:lvl w:ilvl="8" w:tplc="DF7AEBE4" w:tentative="1">
      <w:start w:val="1"/>
      <w:numFmt w:val="bullet"/>
      <w:lvlText w:val=""/>
      <w:lvlJc w:val="left"/>
      <w:pPr>
        <w:ind w:left="6540" w:hanging="360"/>
      </w:pPr>
      <w:rPr>
        <w:rFonts w:ascii="Wingdings" w:hAnsi="Wingdings" w:hint="default"/>
      </w:rPr>
    </w:lvl>
  </w:abstractNum>
  <w:abstractNum w:abstractNumId="223" w15:restartNumberingAfterBreak="0">
    <w:nsid w:val="6C641404"/>
    <w:multiLevelType w:val="hybridMultilevel"/>
    <w:tmpl w:val="FD30A0AC"/>
    <w:lvl w:ilvl="0" w:tplc="8F424160">
      <w:start w:val="1"/>
      <w:numFmt w:val="bullet"/>
      <w:lvlText w:val=""/>
      <w:lvlJc w:val="left"/>
      <w:pPr>
        <w:tabs>
          <w:tab w:val="num" w:pos="720"/>
        </w:tabs>
        <w:ind w:left="720" w:hanging="360"/>
      </w:pPr>
      <w:rPr>
        <w:rFonts w:ascii="Symbol" w:hAnsi="Symbol" w:hint="default"/>
      </w:rPr>
    </w:lvl>
    <w:lvl w:ilvl="1" w:tplc="74F09516" w:tentative="1">
      <w:start w:val="1"/>
      <w:numFmt w:val="bullet"/>
      <w:lvlText w:val="o"/>
      <w:lvlJc w:val="left"/>
      <w:pPr>
        <w:tabs>
          <w:tab w:val="num" w:pos="1440"/>
        </w:tabs>
        <w:ind w:left="1440" w:hanging="360"/>
      </w:pPr>
      <w:rPr>
        <w:rFonts w:ascii="Courier New" w:hAnsi="Courier New" w:hint="default"/>
      </w:rPr>
    </w:lvl>
    <w:lvl w:ilvl="2" w:tplc="0FC2CD4C" w:tentative="1">
      <w:start w:val="1"/>
      <w:numFmt w:val="bullet"/>
      <w:lvlText w:val=""/>
      <w:lvlJc w:val="left"/>
      <w:pPr>
        <w:tabs>
          <w:tab w:val="num" w:pos="2160"/>
        </w:tabs>
        <w:ind w:left="2160" w:hanging="360"/>
      </w:pPr>
      <w:rPr>
        <w:rFonts w:ascii="Wingdings" w:hAnsi="Wingdings" w:hint="default"/>
      </w:rPr>
    </w:lvl>
    <w:lvl w:ilvl="3" w:tplc="7054C574" w:tentative="1">
      <w:start w:val="1"/>
      <w:numFmt w:val="bullet"/>
      <w:lvlText w:val=""/>
      <w:lvlJc w:val="left"/>
      <w:pPr>
        <w:tabs>
          <w:tab w:val="num" w:pos="2880"/>
        </w:tabs>
        <w:ind w:left="2880" w:hanging="360"/>
      </w:pPr>
      <w:rPr>
        <w:rFonts w:ascii="Symbol" w:hAnsi="Symbol" w:hint="default"/>
      </w:rPr>
    </w:lvl>
    <w:lvl w:ilvl="4" w:tplc="75C224A8" w:tentative="1">
      <w:start w:val="1"/>
      <w:numFmt w:val="bullet"/>
      <w:lvlText w:val="o"/>
      <w:lvlJc w:val="left"/>
      <w:pPr>
        <w:tabs>
          <w:tab w:val="num" w:pos="3600"/>
        </w:tabs>
        <w:ind w:left="3600" w:hanging="360"/>
      </w:pPr>
      <w:rPr>
        <w:rFonts w:ascii="Courier New" w:hAnsi="Courier New" w:hint="default"/>
      </w:rPr>
    </w:lvl>
    <w:lvl w:ilvl="5" w:tplc="A09E7894" w:tentative="1">
      <w:start w:val="1"/>
      <w:numFmt w:val="bullet"/>
      <w:lvlText w:val=""/>
      <w:lvlJc w:val="left"/>
      <w:pPr>
        <w:tabs>
          <w:tab w:val="num" w:pos="4320"/>
        </w:tabs>
        <w:ind w:left="4320" w:hanging="360"/>
      </w:pPr>
      <w:rPr>
        <w:rFonts w:ascii="Wingdings" w:hAnsi="Wingdings" w:hint="default"/>
      </w:rPr>
    </w:lvl>
    <w:lvl w:ilvl="6" w:tplc="4DDED3D2" w:tentative="1">
      <w:start w:val="1"/>
      <w:numFmt w:val="bullet"/>
      <w:lvlText w:val=""/>
      <w:lvlJc w:val="left"/>
      <w:pPr>
        <w:tabs>
          <w:tab w:val="num" w:pos="5040"/>
        </w:tabs>
        <w:ind w:left="5040" w:hanging="360"/>
      </w:pPr>
      <w:rPr>
        <w:rFonts w:ascii="Symbol" w:hAnsi="Symbol" w:hint="default"/>
      </w:rPr>
    </w:lvl>
    <w:lvl w:ilvl="7" w:tplc="B792D290" w:tentative="1">
      <w:start w:val="1"/>
      <w:numFmt w:val="bullet"/>
      <w:lvlText w:val="o"/>
      <w:lvlJc w:val="left"/>
      <w:pPr>
        <w:tabs>
          <w:tab w:val="num" w:pos="5760"/>
        </w:tabs>
        <w:ind w:left="5760" w:hanging="360"/>
      </w:pPr>
      <w:rPr>
        <w:rFonts w:ascii="Courier New" w:hAnsi="Courier New" w:hint="default"/>
      </w:rPr>
    </w:lvl>
    <w:lvl w:ilvl="8" w:tplc="70E4488E"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6C6D4D57"/>
    <w:multiLevelType w:val="hybridMultilevel"/>
    <w:tmpl w:val="8F925F84"/>
    <w:lvl w:ilvl="0" w:tplc="726C080E">
      <w:start w:val="1"/>
      <w:numFmt w:val="decimal"/>
      <w:lvlText w:val="%1."/>
      <w:lvlJc w:val="left"/>
      <w:pPr>
        <w:ind w:left="720" w:hanging="360"/>
      </w:pPr>
    </w:lvl>
    <w:lvl w:ilvl="1" w:tplc="3F285780" w:tentative="1">
      <w:start w:val="1"/>
      <w:numFmt w:val="lowerLetter"/>
      <w:lvlText w:val="%2."/>
      <w:lvlJc w:val="left"/>
      <w:pPr>
        <w:ind w:left="1440" w:hanging="360"/>
      </w:pPr>
    </w:lvl>
    <w:lvl w:ilvl="2" w:tplc="457AD4C8" w:tentative="1">
      <w:start w:val="1"/>
      <w:numFmt w:val="lowerRoman"/>
      <w:lvlText w:val="%3."/>
      <w:lvlJc w:val="right"/>
      <w:pPr>
        <w:ind w:left="2160" w:hanging="180"/>
      </w:pPr>
    </w:lvl>
    <w:lvl w:ilvl="3" w:tplc="B90A2A76" w:tentative="1">
      <w:start w:val="1"/>
      <w:numFmt w:val="decimal"/>
      <w:lvlText w:val="%4."/>
      <w:lvlJc w:val="left"/>
      <w:pPr>
        <w:ind w:left="2880" w:hanging="360"/>
      </w:pPr>
    </w:lvl>
    <w:lvl w:ilvl="4" w:tplc="4EFEF41A" w:tentative="1">
      <w:start w:val="1"/>
      <w:numFmt w:val="lowerLetter"/>
      <w:lvlText w:val="%5."/>
      <w:lvlJc w:val="left"/>
      <w:pPr>
        <w:ind w:left="3600" w:hanging="360"/>
      </w:pPr>
    </w:lvl>
    <w:lvl w:ilvl="5" w:tplc="4EA684BE" w:tentative="1">
      <w:start w:val="1"/>
      <w:numFmt w:val="lowerRoman"/>
      <w:lvlText w:val="%6."/>
      <w:lvlJc w:val="right"/>
      <w:pPr>
        <w:ind w:left="4320" w:hanging="180"/>
      </w:pPr>
    </w:lvl>
    <w:lvl w:ilvl="6" w:tplc="03BEFCE4" w:tentative="1">
      <w:start w:val="1"/>
      <w:numFmt w:val="decimal"/>
      <w:lvlText w:val="%7."/>
      <w:lvlJc w:val="left"/>
      <w:pPr>
        <w:ind w:left="5040" w:hanging="360"/>
      </w:pPr>
    </w:lvl>
    <w:lvl w:ilvl="7" w:tplc="562AE71E" w:tentative="1">
      <w:start w:val="1"/>
      <w:numFmt w:val="lowerLetter"/>
      <w:lvlText w:val="%8."/>
      <w:lvlJc w:val="left"/>
      <w:pPr>
        <w:ind w:left="5760" w:hanging="360"/>
      </w:pPr>
    </w:lvl>
    <w:lvl w:ilvl="8" w:tplc="284C57EA" w:tentative="1">
      <w:start w:val="1"/>
      <w:numFmt w:val="lowerRoman"/>
      <w:lvlText w:val="%9."/>
      <w:lvlJc w:val="right"/>
      <w:pPr>
        <w:ind w:left="6480" w:hanging="180"/>
      </w:pPr>
    </w:lvl>
  </w:abstractNum>
  <w:abstractNum w:abstractNumId="225" w15:restartNumberingAfterBreak="0">
    <w:nsid w:val="6CC509E8"/>
    <w:multiLevelType w:val="hybridMultilevel"/>
    <w:tmpl w:val="6F9410E0"/>
    <w:lvl w:ilvl="0" w:tplc="A0DA350E">
      <w:start w:val="1"/>
      <w:numFmt w:val="bullet"/>
      <w:lvlText w:val=""/>
      <w:lvlJc w:val="left"/>
      <w:pPr>
        <w:tabs>
          <w:tab w:val="num" w:pos="360"/>
        </w:tabs>
        <w:ind w:left="360" w:hanging="360"/>
      </w:pPr>
      <w:rPr>
        <w:rFonts w:ascii="Symbol" w:hAnsi="Symbol" w:hint="default"/>
      </w:rPr>
    </w:lvl>
    <w:lvl w:ilvl="1" w:tplc="B37879EA" w:tentative="1">
      <w:start w:val="1"/>
      <w:numFmt w:val="bullet"/>
      <w:lvlText w:val="o"/>
      <w:lvlJc w:val="left"/>
      <w:pPr>
        <w:tabs>
          <w:tab w:val="num" w:pos="1440"/>
        </w:tabs>
        <w:ind w:left="1440" w:hanging="360"/>
      </w:pPr>
      <w:rPr>
        <w:rFonts w:ascii="Courier New" w:hAnsi="Courier New" w:hint="default"/>
      </w:rPr>
    </w:lvl>
    <w:lvl w:ilvl="2" w:tplc="83222AF8" w:tentative="1">
      <w:start w:val="1"/>
      <w:numFmt w:val="bullet"/>
      <w:lvlText w:val=""/>
      <w:lvlJc w:val="left"/>
      <w:pPr>
        <w:tabs>
          <w:tab w:val="num" w:pos="2160"/>
        </w:tabs>
        <w:ind w:left="2160" w:hanging="360"/>
      </w:pPr>
      <w:rPr>
        <w:rFonts w:ascii="Wingdings" w:hAnsi="Wingdings" w:hint="default"/>
      </w:rPr>
    </w:lvl>
    <w:lvl w:ilvl="3" w:tplc="FA740174" w:tentative="1">
      <w:start w:val="1"/>
      <w:numFmt w:val="bullet"/>
      <w:lvlText w:val=""/>
      <w:lvlJc w:val="left"/>
      <w:pPr>
        <w:tabs>
          <w:tab w:val="num" w:pos="2880"/>
        </w:tabs>
        <w:ind w:left="2880" w:hanging="360"/>
      </w:pPr>
      <w:rPr>
        <w:rFonts w:ascii="Symbol" w:hAnsi="Symbol" w:hint="default"/>
      </w:rPr>
    </w:lvl>
    <w:lvl w:ilvl="4" w:tplc="1CEAC60E" w:tentative="1">
      <w:start w:val="1"/>
      <w:numFmt w:val="bullet"/>
      <w:lvlText w:val="o"/>
      <w:lvlJc w:val="left"/>
      <w:pPr>
        <w:tabs>
          <w:tab w:val="num" w:pos="3600"/>
        </w:tabs>
        <w:ind w:left="3600" w:hanging="360"/>
      </w:pPr>
      <w:rPr>
        <w:rFonts w:ascii="Courier New" w:hAnsi="Courier New" w:hint="default"/>
      </w:rPr>
    </w:lvl>
    <w:lvl w:ilvl="5" w:tplc="BB3440FA" w:tentative="1">
      <w:start w:val="1"/>
      <w:numFmt w:val="bullet"/>
      <w:lvlText w:val=""/>
      <w:lvlJc w:val="left"/>
      <w:pPr>
        <w:tabs>
          <w:tab w:val="num" w:pos="4320"/>
        </w:tabs>
        <w:ind w:left="4320" w:hanging="360"/>
      </w:pPr>
      <w:rPr>
        <w:rFonts w:ascii="Wingdings" w:hAnsi="Wingdings" w:hint="default"/>
      </w:rPr>
    </w:lvl>
    <w:lvl w:ilvl="6" w:tplc="3D6A68B4" w:tentative="1">
      <w:start w:val="1"/>
      <w:numFmt w:val="bullet"/>
      <w:lvlText w:val=""/>
      <w:lvlJc w:val="left"/>
      <w:pPr>
        <w:tabs>
          <w:tab w:val="num" w:pos="5040"/>
        </w:tabs>
        <w:ind w:left="5040" w:hanging="360"/>
      </w:pPr>
      <w:rPr>
        <w:rFonts w:ascii="Symbol" w:hAnsi="Symbol" w:hint="default"/>
      </w:rPr>
    </w:lvl>
    <w:lvl w:ilvl="7" w:tplc="5B80A234" w:tentative="1">
      <w:start w:val="1"/>
      <w:numFmt w:val="bullet"/>
      <w:lvlText w:val="o"/>
      <w:lvlJc w:val="left"/>
      <w:pPr>
        <w:tabs>
          <w:tab w:val="num" w:pos="5760"/>
        </w:tabs>
        <w:ind w:left="5760" w:hanging="360"/>
      </w:pPr>
      <w:rPr>
        <w:rFonts w:ascii="Courier New" w:hAnsi="Courier New" w:hint="default"/>
      </w:rPr>
    </w:lvl>
    <w:lvl w:ilvl="8" w:tplc="427026B8" w:tentative="1">
      <w:start w:val="1"/>
      <w:numFmt w:val="bullet"/>
      <w:lvlText w:val=""/>
      <w:lvlJc w:val="left"/>
      <w:pPr>
        <w:tabs>
          <w:tab w:val="num" w:pos="6480"/>
        </w:tabs>
        <w:ind w:left="6480" w:hanging="360"/>
      </w:pPr>
      <w:rPr>
        <w:rFonts w:ascii="Wingdings" w:hAnsi="Wingdings" w:hint="default"/>
      </w:rPr>
    </w:lvl>
  </w:abstractNum>
  <w:abstractNum w:abstractNumId="226" w15:restartNumberingAfterBreak="0">
    <w:nsid w:val="6D2D18E7"/>
    <w:multiLevelType w:val="hybridMultilevel"/>
    <w:tmpl w:val="F2DC88E4"/>
    <w:lvl w:ilvl="0" w:tplc="54801070">
      <w:start w:val="1"/>
      <w:numFmt w:val="bullet"/>
      <w:lvlText w:val=""/>
      <w:lvlJc w:val="left"/>
      <w:pPr>
        <w:ind w:left="720" w:hanging="360"/>
      </w:pPr>
      <w:rPr>
        <w:rFonts w:ascii="Symbol" w:hAnsi="Symbol" w:hint="default"/>
      </w:rPr>
    </w:lvl>
    <w:lvl w:ilvl="1" w:tplc="14742E5E" w:tentative="1">
      <w:start w:val="1"/>
      <w:numFmt w:val="bullet"/>
      <w:lvlText w:val="o"/>
      <w:lvlJc w:val="left"/>
      <w:pPr>
        <w:ind w:left="1440" w:hanging="360"/>
      </w:pPr>
      <w:rPr>
        <w:rFonts w:ascii="Courier New" w:hAnsi="Courier New" w:cs="Courier New" w:hint="default"/>
      </w:rPr>
    </w:lvl>
    <w:lvl w:ilvl="2" w:tplc="53F67300" w:tentative="1">
      <w:start w:val="1"/>
      <w:numFmt w:val="bullet"/>
      <w:lvlText w:val=""/>
      <w:lvlJc w:val="left"/>
      <w:pPr>
        <w:ind w:left="2160" w:hanging="360"/>
      </w:pPr>
      <w:rPr>
        <w:rFonts w:ascii="Wingdings" w:hAnsi="Wingdings" w:hint="default"/>
      </w:rPr>
    </w:lvl>
    <w:lvl w:ilvl="3" w:tplc="429CE6DA" w:tentative="1">
      <w:start w:val="1"/>
      <w:numFmt w:val="bullet"/>
      <w:lvlText w:val=""/>
      <w:lvlJc w:val="left"/>
      <w:pPr>
        <w:ind w:left="2880" w:hanging="360"/>
      </w:pPr>
      <w:rPr>
        <w:rFonts w:ascii="Symbol" w:hAnsi="Symbol" w:hint="default"/>
      </w:rPr>
    </w:lvl>
    <w:lvl w:ilvl="4" w:tplc="BBB6B81E" w:tentative="1">
      <w:start w:val="1"/>
      <w:numFmt w:val="bullet"/>
      <w:lvlText w:val="o"/>
      <w:lvlJc w:val="left"/>
      <w:pPr>
        <w:ind w:left="3600" w:hanging="360"/>
      </w:pPr>
      <w:rPr>
        <w:rFonts w:ascii="Courier New" w:hAnsi="Courier New" w:cs="Courier New" w:hint="default"/>
      </w:rPr>
    </w:lvl>
    <w:lvl w:ilvl="5" w:tplc="E6FCF07C" w:tentative="1">
      <w:start w:val="1"/>
      <w:numFmt w:val="bullet"/>
      <w:lvlText w:val=""/>
      <w:lvlJc w:val="left"/>
      <w:pPr>
        <w:ind w:left="4320" w:hanging="360"/>
      </w:pPr>
      <w:rPr>
        <w:rFonts w:ascii="Wingdings" w:hAnsi="Wingdings" w:hint="default"/>
      </w:rPr>
    </w:lvl>
    <w:lvl w:ilvl="6" w:tplc="77127F42" w:tentative="1">
      <w:start w:val="1"/>
      <w:numFmt w:val="bullet"/>
      <w:lvlText w:val=""/>
      <w:lvlJc w:val="left"/>
      <w:pPr>
        <w:ind w:left="5040" w:hanging="360"/>
      </w:pPr>
      <w:rPr>
        <w:rFonts w:ascii="Symbol" w:hAnsi="Symbol" w:hint="default"/>
      </w:rPr>
    </w:lvl>
    <w:lvl w:ilvl="7" w:tplc="7B8E765A" w:tentative="1">
      <w:start w:val="1"/>
      <w:numFmt w:val="bullet"/>
      <w:lvlText w:val="o"/>
      <w:lvlJc w:val="left"/>
      <w:pPr>
        <w:ind w:left="5760" w:hanging="360"/>
      </w:pPr>
      <w:rPr>
        <w:rFonts w:ascii="Courier New" w:hAnsi="Courier New" w:cs="Courier New" w:hint="default"/>
      </w:rPr>
    </w:lvl>
    <w:lvl w:ilvl="8" w:tplc="F43AE878" w:tentative="1">
      <w:start w:val="1"/>
      <w:numFmt w:val="bullet"/>
      <w:lvlText w:val=""/>
      <w:lvlJc w:val="left"/>
      <w:pPr>
        <w:ind w:left="6480" w:hanging="360"/>
      </w:pPr>
      <w:rPr>
        <w:rFonts w:ascii="Wingdings" w:hAnsi="Wingdings" w:hint="default"/>
      </w:rPr>
    </w:lvl>
  </w:abstractNum>
  <w:abstractNum w:abstractNumId="227" w15:restartNumberingAfterBreak="0">
    <w:nsid w:val="6D56537E"/>
    <w:multiLevelType w:val="hybridMultilevel"/>
    <w:tmpl w:val="A4909E62"/>
    <w:lvl w:ilvl="0" w:tplc="2C2E411A">
      <w:start w:val="1"/>
      <w:numFmt w:val="lowerLetter"/>
      <w:lvlText w:val="%1"/>
      <w:lvlJc w:val="left"/>
      <w:pPr>
        <w:ind w:left="720" w:hanging="360"/>
      </w:pPr>
      <w:rPr>
        <w:rFonts w:hint="default"/>
        <w:sz w:val="16"/>
        <w:szCs w:val="16"/>
        <w:vertAlign w:val="superscript"/>
      </w:rPr>
    </w:lvl>
    <w:lvl w:ilvl="1" w:tplc="D274360C" w:tentative="1">
      <w:start w:val="1"/>
      <w:numFmt w:val="lowerLetter"/>
      <w:lvlText w:val="%2."/>
      <w:lvlJc w:val="left"/>
      <w:pPr>
        <w:ind w:left="1440" w:hanging="360"/>
      </w:pPr>
    </w:lvl>
    <w:lvl w:ilvl="2" w:tplc="B98EF960" w:tentative="1">
      <w:start w:val="1"/>
      <w:numFmt w:val="lowerRoman"/>
      <w:lvlText w:val="%3."/>
      <w:lvlJc w:val="right"/>
      <w:pPr>
        <w:ind w:left="2160" w:hanging="180"/>
      </w:pPr>
    </w:lvl>
    <w:lvl w:ilvl="3" w:tplc="9DDECC44" w:tentative="1">
      <w:start w:val="1"/>
      <w:numFmt w:val="decimal"/>
      <w:lvlText w:val="%4."/>
      <w:lvlJc w:val="left"/>
      <w:pPr>
        <w:ind w:left="2880" w:hanging="360"/>
      </w:pPr>
    </w:lvl>
    <w:lvl w:ilvl="4" w:tplc="D7321DF8" w:tentative="1">
      <w:start w:val="1"/>
      <w:numFmt w:val="lowerLetter"/>
      <w:lvlText w:val="%5."/>
      <w:lvlJc w:val="left"/>
      <w:pPr>
        <w:ind w:left="3600" w:hanging="360"/>
      </w:pPr>
    </w:lvl>
    <w:lvl w:ilvl="5" w:tplc="FD98447A" w:tentative="1">
      <w:start w:val="1"/>
      <w:numFmt w:val="lowerRoman"/>
      <w:lvlText w:val="%6."/>
      <w:lvlJc w:val="right"/>
      <w:pPr>
        <w:ind w:left="4320" w:hanging="180"/>
      </w:pPr>
    </w:lvl>
    <w:lvl w:ilvl="6" w:tplc="8C40E488" w:tentative="1">
      <w:start w:val="1"/>
      <w:numFmt w:val="decimal"/>
      <w:lvlText w:val="%7."/>
      <w:lvlJc w:val="left"/>
      <w:pPr>
        <w:ind w:left="5040" w:hanging="360"/>
      </w:pPr>
    </w:lvl>
    <w:lvl w:ilvl="7" w:tplc="F49E0CE8" w:tentative="1">
      <w:start w:val="1"/>
      <w:numFmt w:val="lowerLetter"/>
      <w:lvlText w:val="%8."/>
      <w:lvlJc w:val="left"/>
      <w:pPr>
        <w:ind w:left="5760" w:hanging="360"/>
      </w:pPr>
    </w:lvl>
    <w:lvl w:ilvl="8" w:tplc="6174FCFA" w:tentative="1">
      <w:start w:val="1"/>
      <w:numFmt w:val="lowerRoman"/>
      <w:lvlText w:val="%9."/>
      <w:lvlJc w:val="right"/>
      <w:pPr>
        <w:ind w:left="6480" w:hanging="180"/>
      </w:pPr>
    </w:lvl>
  </w:abstractNum>
  <w:abstractNum w:abstractNumId="228" w15:restartNumberingAfterBreak="0">
    <w:nsid w:val="6DF239F9"/>
    <w:multiLevelType w:val="hybridMultilevel"/>
    <w:tmpl w:val="77E4FC92"/>
    <w:lvl w:ilvl="0" w:tplc="3D4AD0D2">
      <w:start w:val="1"/>
      <w:numFmt w:val="bullet"/>
      <w:lvlText w:val=""/>
      <w:lvlJc w:val="left"/>
      <w:pPr>
        <w:ind w:left="2880" w:hanging="360"/>
      </w:pPr>
      <w:rPr>
        <w:rFonts w:ascii="Symbol" w:hAnsi="Symbol" w:hint="default"/>
        <w:sz w:val="22"/>
      </w:rPr>
    </w:lvl>
    <w:lvl w:ilvl="1" w:tplc="C3ECB496">
      <w:start w:val="1"/>
      <w:numFmt w:val="bullet"/>
      <w:lvlText w:val="o"/>
      <w:lvlJc w:val="left"/>
      <w:pPr>
        <w:ind w:left="1440" w:hanging="360"/>
      </w:pPr>
      <w:rPr>
        <w:rFonts w:ascii="Courier New" w:hAnsi="Courier New" w:cs="Courier New" w:hint="default"/>
      </w:rPr>
    </w:lvl>
    <w:lvl w:ilvl="2" w:tplc="7D72098A" w:tentative="1">
      <w:start w:val="1"/>
      <w:numFmt w:val="bullet"/>
      <w:lvlText w:val=""/>
      <w:lvlJc w:val="left"/>
      <w:pPr>
        <w:ind w:left="2160" w:hanging="360"/>
      </w:pPr>
      <w:rPr>
        <w:rFonts w:ascii="Wingdings" w:hAnsi="Wingdings" w:hint="default"/>
      </w:rPr>
    </w:lvl>
    <w:lvl w:ilvl="3" w:tplc="7556DEE8" w:tentative="1">
      <w:start w:val="1"/>
      <w:numFmt w:val="bullet"/>
      <w:lvlText w:val=""/>
      <w:lvlJc w:val="left"/>
      <w:pPr>
        <w:ind w:left="2880" w:hanging="360"/>
      </w:pPr>
      <w:rPr>
        <w:rFonts w:ascii="Symbol" w:hAnsi="Symbol" w:hint="default"/>
      </w:rPr>
    </w:lvl>
    <w:lvl w:ilvl="4" w:tplc="288E4FB0" w:tentative="1">
      <w:start w:val="1"/>
      <w:numFmt w:val="bullet"/>
      <w:lvlText w:val="o"/>
      <w:lvlJc w:val="left"/>
      <w:pPr>
        <w:ind w:left="3600" w:hanging="360"/>
      </w:pPr>
      <w:rPr>
        <w:rFonts w:ascii="Courier New" w:hAnsi="Courier New" w:cs="Courier New" w:hint="default"/>
      </w:rPr>
    </w:lvl>
    <w:lvl w:ilvl="5" w:tplc="A6FEFD98" w:tentative="1">
      <w:start w:val="1"/>
      <w:numFmt w:val="bullet"/>
      <w:lvlText w:val=""/>
      <w:lvlJc w:val="left"/>
      <w:pPr>
        <w:ind w:left="4320" w:hanging="360"/>
      </w:pPr>
      <w:rPr>
        <w:rFonts w:ascii="Wingdings" w:hAnsi="Wingdings" w:hint="default"/>
      </w:rPr>
    </w:lvl>
    <w:lvl w:ilvl="6" w:tplc="5D526DC8" w:tentative="1">
      <w:start w:val="1"/>
      <w:numFmt w:val="bullet"/>
      <w:lvlText w:val=""/>
      <w:lvlJc w:val="left"/>
      <w:pPr>
        <w:ind w:left="5040" w:hanging="360"/>
      </w:pPr>
      <w:rPr>
        <w:rFonts w:ascii="Symbol" w:hAnsi="Symbol" w:hint="default"/>
      </w:rPr>
    </w:lvl>
    <w:lvl w:ilvl="7" w:tplc="2B48B072" w:tentative="1">
      <w:start w:val="1"/>
      <w:numFmt w:val="bullet"/>
      <w:lvlText w:val="o"/>
      <w:lvlJc w:val="left"/>
      <w:pPr>
        <w:ind w:left="5760" w:hanging="360"/>
      </w:pPr>
      <w:rPr>
        <w:rFonts w:ascii="Courier New" w:hAnsi="Courier New" w:cs="Courier New" w:hint="default"/>
      </w:rPr>
    </w:lvl>
    <w:lvl w:ilvl="8" w:tplc="A6AC8516" w:tentative="1">
      <w:start w:val="1"/>
      <w:numFmt w:val="bullet"/>
      <w:lvlText w:val=""/>
      <w:lvlJc w:val="left"/>
      <w:pPr>
        <w:ind w:left="6480" w:hanging="360"/>
      </w:pPr>
      <w:rPr>
        <w:rFonts w:ascii="Wingdings" w:hAnsi="Wingdings" w:hint="default"/>
      </w:rPr>
    </w:lvl>
  </w:abstractNum>
  <w:abstractNum w:abstractNumId="229" w15:restartNumberingAfterBreak="0">
    <w:nsid w:val="6E1910E6"/>
    <w:multiLevelType w:val="hybridMultilevel"/>
    <w:tmpl w:val="F3DC098C"/>
    <w:lvl w:ilvl="0" w:tplc="DEE24220">
      <w:start w:val="1"/>
      <w:numFmt w:val="bullet"/>
      <w:lvlText w:val=""/>
      <w:lvlJc w:val="left"/>
      <w:pPr>
        <w:ind w:left="720" w:hanging="360"/>
      </w:pPr>
      <w:rPr>
        <w:rFonts w:ascii="Symbol" w:hAnsi="Symbol" w:hint="default"/>
      </w:rPr>
    </w:lvl>
    <w:lvl w:ilvl="1" w:tplc="44D63D34" w:tentative="1">
      <w:start w:val="1"/>
      <w:numFmt w:val="bullet"/>
      <w:lvlText w:val="o"/>
      <w:lvlJc w:val="left"/>
      <w:pPr>
        <w:ind w:left="1440" w:hanging="360"/>
      </w:pPr>
      <w:rPr>
        <w:rFonts w:ascii="Courier New" w:hAnsi="Courier New" w:cs="Courier New" w:hint="default"/>
      </w:rPr>
    </w:lvl>
    <w:lvl w:ilvl="2" w:tplc="528659C4" w:tentative="1">
      <w:start w:val="1"/>
      <w:numFmt w:val="bullet"/>
      <w:lvlText w:val=""/>
      <w:lvlJc w:val="left"/>
      <w:pPr>
        <w:ind w:left="2160" w:hanging="360"/>
      </w:pPr>
      <w:rPr>
        <w:rFonts w:ascii="Wingdings" w:hAnsi="Wingdings" w:hint="default"/>
      </w:rPr>
    </w:lvl>
    <w:lvl w:ilvl="3" w:tplc="1820ED00" w:tentative="1">
      <w:start w:val="1"/>
      <w:numFmt w:val="bullet"/>
      <w:lvlText w:val=""/>
      <w:lvlJc w:val="left"/>
      <w:pPr>
        <w:ind w:left="2880" w:hanging="360"/>
      </w:pPr>
      <w:rPr>
        <w:rFonts w:ascii="Symbol" w:hAnsi="Symbol" w:hint="default"/>
      </w:rPr>
    </w:lvl>
    <w:lvl w:ilvl="4" w:tplc="AEC08874" w:tentative="1">
      <w:start w:val="1"/>
      <w:numFmt w:val="bullet"/>
      <w:lvlText w:val="o"/>
      <w:lvlJc w:val="left"/>
      <w:pPr>
        <w:ind w:left="3600" w:hanging="360"/>
      </w:pPr>
      <w:rPr>
        <w:rFonts w:ascii="Courier New" w:hAnsi="Courier New" w:cs="Courier New" w:hint="default"/>
      </w:rPr>
    </w:lvl>
    <w:lvl w:ilvl="5" w:tplc="3DF2CE7C" w:tentative="1">
      <w:start w:val="1"/>
      <w:numFmt w:val="bullet"/>
      <w:lvlText w:val=""/>
      <w:lvlJc w:val="left"/>
      <w:pPr>
        <w:ind w:left="4320" w:hanging="360"/>
      </w:pPr>
      <w:rPr>
        <w:rFonts w:ascii="Wingdings" w:hAnsi="Wingdings" w:hint="default"/>
      </w:rPr>
    </w:lvl>
    <w:lvl w:ilvl="6" w:tplc="08A292BE" w:tentative="1">
      <w:start w:val="1"/>
      <w:numFmt w:val="bullet"/>
      <w:lvlText w:val=""/>
      <w:lvlJc w:val="left"/>
      <w:pPr>
        <w:ind w:left="5040" w:hanging="360"/>
      </w:pPr>
      <w:rPr>
        <w:rFonts w:ascii="Symbol" w:hAnsi="Symbol" w:hint="default"/>
      </w:rPr>
    </w:lvl>
    <w:lvl w:ilvl="7" w:tplc="265AAE9A" w:tentative="1">
      <w:start w:val="1"/>
      <w:numFmt w:val="bullet"/>
      <w:lvlText w:val="o"/>
      <w:lvlJc w:val="left"/>
      <w:pPr>
        <w:ind w:left="5760" w:hanging="360"/>
      </w:pPr>
      <w:rPr>
        <w:rFonts w:ascii="Courier New" w:hAnsi="Courier New" w:cs="Courier New" w:hint="default"/>
      </w:rPr>
    </w:lvl>
    <w:lvl w:ilvl="8" w:tplc="F83E1716" w:tentative="1">
      <w:start w:val="1"/>
      <w:numFmt w:val="bullet"/>
      <w:lvlText w:val=""/>
      <w:lvlJc w:val="left"/>
      <w:pPr>
        <w:ind w:left="6480" w:hanging="360"/>
      </w:pPr>
      <w:rPr>
        <w:rFonts w:ascii="Wingdings" w:hAnsi="Wingdings" w:hint="default"/>
      </w:rPr>
    </w:lvl>
  </w:abstractNum>
  <w:abstractNum w:abstractNumId="230" w15:restartNumberingAfterBreak="0">
    <w:nsid w:val="6E5F0A47"/>
    <w:multiLevelType w:val="multilevel"/>
    <w:tmpl w:val="E14844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1" w15:restartNumberingAfterBreak="0">
    <w:nsid w:val="6E770C00"/>
    <w:multiLevelType w:val="hybridMultilevel"/>
    <w:tmpl w:val="3FFE4ABC"/>
    <w:lvl w:ilvl="0" w:tplc="FAF066D8">
      <w:start w:val="1"/>
      <w:numFmt w:val="bullet"/>
      <w:lvlText w:val=""/>
      <w:lvlJc w:val="left"/>
      <w:pPr>
        <w:tabs>
          <w:tab w:val="num" w:pos="720"/>
        </w:tabs>
        <w:ind w:left="720" w:hanging="360"/>
      </w:pPr>
      <w:rPr>
        <w:rFonts w:ascii="Symbol" w:hAnsi="Symbol" w:hint="default"/>
      </w:rPr>
    </w:lvl>
    <w:lvl w:ilvl="1" w:tplc="D6481518" w:tentative="1">
      <w:start w:val="1"/>
      <w:numFmt w:val="bullet"/>
      <w:lvlText w:val="o"/>
      <w:lvlJc w:val="left"/>
      <w:pPr>
        <w:tabs>
          <w:tab w:val="num" w:pos="1440"/>
        </w:tabs>
        <w:ind w:left="1440" w:hanging="360"/>
      </w:pPr>
      <w:rPr>
        <w:rFonts w:ascii="Courier New" w:hAnsi="Courier New" w:hint="default"/>
      </w:rPr>
    </w:lvl>
    <w:lvl w:ilvl="2" w:tplc="99BC4C52" w:tentative="1">
      <w:start w:val="1"/>
      <w:numFmt w:val="bullet"/>
      <w:lvlText w:val=""/>
      <w:lvlJc w:val="left"/>
      <w:pPr>
        <w:tabs>
          <w:tab w:val="num" w:pos="2160"/>
        </w:tabs>
        <w:ind w:left="2160" w:hanging="360"/>
      </w:pPr>
      <w:rPr>
        <w:rFonts w:ascii="Wingdings" w:hAnsi="Wingdings" w:hint="default"/>
      </w:rPr>
    </w:lvl>
    <w:lvl w:ilvl="3" w:tplc="547A20CA" w:tentative="1">
      <w:start w:val="1"/>
      <w:numFmt w:val="bullet"/>
      <w:lvlText w:val=""/>
      <w:lvlJc w:val="left"/>
      <w:pPr>
        <w:tabs>
          <w:tab w:val="num" w:pos="2880"/>
        </w:tabs>
        <w:ind w:left="2880" w:hanging="360"/>
      </w:pPr>
      <w:rPr>
        <w:rFonts w:ascii="Symbol" w:hAnsi="Symbol" w:hint="default"/>
      </w:rPr>
    </w:lvl>
    <w:lvl w:ilvl="4" w:tplc="322AD44E" w:tentative="1">
      <w:start w:val="1"/>
      <w:numFmt w:val="bullet"/>
      <w:lvlText w:val="o"/>
      <w:lvlJc w:val="left"/>
      <w:pPr>
        <w:tabs>
          <w:tab w:val="num" w:pos="3600"/>
        </w:tabs>
        <w:ind w:left="3600" w:hanging="360"/>
      </w:pPr>
      <w:rPr>
        <w:rFonts w:ascii="Courier New" w:hAnsi="Courier New" w:hint="default"/>
      </w:rPr>
    </w:lvl>
    <w:lvl w:ilvl="5" w:tplc="67466A56" w:tentative="1">
      <w:start w:val="1"/>
      <w:numFmt w:val="bullet"/>
      <w:lvlText w:val=""/>
      <w:lvlJc w:val="left"/>
      <w:pPr>
        <w:tabs>
          <w:tab w:val="num" w:pos="4320"/>
        </w:tabs>
        <w:ind w:left="4320" w:hanging="360"/>
      </w:pPr>
      <w:rPr>
        <w:rFonts w:ascii="Wingdings" w:hAnsi="Wingdings" w:hint="default"/>
      </w:rPr>
    </w:lvl>
    <w:lvl w:ilvl="6" w:tplc="C00ADBBE" w:tentative="1">
      <w:start w:val="1"/>
      <w:numFmt w:val="bullet"/>
      <w:lvlText w:val=""/>
      <w:lvlJc w:val="left"/>
      <w:pPr>
        <w:tabs>
          <w:tab w:val="num" w:pos="5040"/>
        </w:tabs>
        <w:ind w:left="5040" w:hanging="360"/>
      </w:pPr>
      <w:rPr>
        <w:rFonts w:ascii="Symbol" w:hAnsi="Symbol" w:hint="default"/>
      </w:rPr>
    </w:lvl>
    <w:lvl w:ilvl="7" w:tplc="A33EE8E4" w:tentative="1">
      <w:start w:val="1"/>
      <w:numFmt w:val="bullet"/>
      <w:lvlText w:val="o"/>
      <w:lvlJc w:val="left"/>
      <w:pPr>
        <w:tabs>
          <w:tab w:val="num" w:pos="5760"/>
        </w:tabs>
        <w:ind w:left="5760" w:hanging="360"/>
      </w:pPr>
      <w:rPr>
        <w:rFonts w:ascii="Courier New" w:hAnsi="Courier New" w:hint="default"/>
      </w:rPr>
    </w:lvl>
    <w:lvl w:ilvl="8" w:tplc="2B26C4D0"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6ED65076"/>
    <w:multiLevelType w:val="hybridMultilevel"/>
    <w:tmpl w:val="ED6E1DFE"/>
    <w:lvl w:ilvl="0" w:tplc="E65AB5EE">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lvl w:ilvl="1" w:tplc="1E2A9470" w:tentative="1">
      <w:start w:val="1"/>
      <w:numFmt w:val="lowerLetter"/>
      <w:lvlText w:val="%2."/>
      <w:lvlJc w:val="left"/>
      <w:pPr>
        <w:ind w:left="1440" w:hanging="360"/>
      </w:pPr>
    </w:lvl>
    <w:lvl w:ilvl="2" w:tplc="1ECE2EB6" w:tentative="1">
      <w:start w:val="1"/>
      <w:numFmt w:val="lowerRoman"/>
      <w:lvlText w:val="%3."/>
      <w:lvlJc w:val="right"/>
      <w:pPr>
        <w:ind w:left="2160" w:hanging="180"/>
      </w:pPr>
    </w:lvl>
    <w:lvl w:ilvl="3" w:tplc="79342D3A" w:tentative="1">
      <w:start w:val="1"/>
      <w:numFmt w:val="decimal"/>
      <w:lvlText w:val="%4."/>
      <w:lvlJc w:val="left"/>
      <w:pPr>
        <w:ind w:left="2880" w:hanging="360"/>
      </w:pPr>
    </w:lvl>
    <w:lvl w:ilvl="4" w:tplc="8B1C21FA" w:tentative="1">
      <w:start w:val="1"/>
      <w:numFmt w:val="lowerLetter"/>
      <w:lvlText w:val="%5."/>
      <w:lvlJc w:val="left"/>
      <w:pPr>
        <w:ind w:left="3600" w:hanging="360"/>
      </w:pPr>
    </w:lvl>
    <w:lvl w:ilvl="5" w:tplc="C090F1F2" w:tentative="1">
      <w:start w:val="1"/>
      <w:numFmt w:val="lowerRoman"/>
      <w:lvlText w:val="%6."/>
      <w:lvlJc w:val="right"/>
      <w:pPr>
        <w:ind w:left="4320" w:hanging="180"/>
      </w:pPr>
    </w:lvl>
    <w:lvl w:ilvl="6" w:tplc="94E45748" w:tentative="1">
      <w:start w:val="1"/>
      <w:numFmt w:val="decimal"/>
      <w:lvlText w:val="%7."/>
      <w:lvlJc w:val="left"/>
      <w:pPr>
        <w:ind w:left="5040" w:hanging="360"/>
      </w:pPr>
    </w:lvl>
    <w:lvl w:ilvl="7" w:tplc="CD8AB8AA" w:tentative="1">
      <w:start w:val="1"/>
      <w:numFmt w:val="lowerLetter"/>
      <w:lvlText w:val="%8."/>
      <w:lvlJc w:val="left"/>
      <w:pPr>
        <w:ind w:left="5760" w:hanging="360"/>
      </w:pPr>
    </w:lvl>
    <w:lvl w:ilvl="8" w:tplc="F530CE96" w:tentative="1">
      <w:start w:val="1"/>
      <w:numFmt w:val="lowerRoman"/>
      <w:lvlText w:val="%9."/>
      <w:lvlJc w:val="right"/>
      <w:pPr>
        <w:ind w:left="6480" w:hanging="180"/>
      </w:pPr>
    </w:lvl>
  </w:abstractNum>
  <w:abstractNum w:abstractNumId="233" w15:restartNumberingAfterBreak="0">
    <w:nsid w:val="6ED70176"/>
    <w:multiLevelType w:val="hybridMultilevel"/>
    <w:tmpl w:val="93ACD08A"/>
    <w:lvl w:ilvl="0" w:tplc="B17EC2FA">
      <w:start w:val="1"/>
      <w:numFmt w:val="bullet"/>
      <w:lvlText w:val=""/>
      <w:lvlJc w:val="left"/>
      <w:pPr>
        <w:tabs>
          <w:tab w:val="num" w:pos="720"/>
        </w:tabs>
        <w:ind w:left="720" w:hanging="360"/>
      </w:pPr>
      <w:rPr>
        <w:rFonts w:ascii="Symbol" w:hAnsi="Symbol" w:hint="default"/>
      </w:rPr>
    </w:lvl>
    <w:lvl w:ilvl="1" w:tplc="7D34C4C4">
      <w:start w:val="1"/>
      <w:numFmt w:val="bullet"/>
      <w:lvlText w:val=""/>
      <w:lvlJc w:val="left"/>
      <w:pPr>
        <w:tabs>
          <w:tab w:val="num" w:pos="1440"/>
        </w:tabs>
        <w:ind w:left="1440" w:hanging="360"/>
      </w:pPr>
      <w:rPr>
        <w:rFonts w:ascii="Symbol" w:hAnsi="Symbol" w:hint="default"/>
      </w:rPr>
    </w:lvl>
    <w:lvl w:ilvl="2" w:tplc="108ADE1A" w:tentative="1">
      <w:start w:val="1"/>
      <w:numFmt w:val="bullet"/>
      <w:lvlText w:val=""/>
      <w:lvlJc w:val="left"/>
      <w:pPr>
        <w:tabs>
          <w:tab w:val="num" w:pos="2160"/>
        </w:tabs>
        <w:ind w:left="2160" w:hanging="360"/>
      </w:pPr>
      <w:rPr>
        <w:rFonts w:ascii="Wingdings" w:hAnsi="Wingdings" w:hint="default"/>
      </w:rPr>
    </w:lvl>
    <w:lvl w:ilvl="3" w:tplc="11C4018C" w:tentative="1">
      <w:start w:val="1"/>
      <w:numFmt w:val="bullet"/>
      <w:lvlText w:val=""/>
      <w:lvlJc w:val="left"/>
      <w:pPr>
        <w:tabs>
          <w:tab w:val="num" w:pos="2880"/>
        </w:tabs>
        <w:ind w:left="2880" w:hanging="360"/>
      </w:pPr>
      <w:rPr>
        <w:rFonts w:ascii="Symbol" w:hAnsi="Symbol" w:hint="default"/>
      </w:rPr>
    </w:lvl>
    <w:lvl w:ilvl="4" w:tplc="AE382CE4" w:tentative="1">
      <w:start w:val="1"/>
      <w:numFmt w:val="bullet"/>
      <w:lvlText w:val="o"/>
      <w:lvlJc w:val="left"/>
      <w:pPr>
        <w:tabs>
          <w:tab w:val="num" w:pos="3600"/>
        </w:tabs>
        <w:ind w:left="3600" w:hanging="360"/>
      </w:pPr>
      <w:rPr>
        <w:rFonts w:ascii="Courier New" w:hAnsi="Courier New" w:hint="default"/>
      </w:rPr>
    </w:lvl>
    <w:lvl w:ilvl="5" w:tplc="98461B1A" w:tentative="1">
      <w:start w:val="1"/>
      <w:numFmt w:val="bullet"/>
      <w:lvlText w:val=""/>
      <w:lvlJc w:val="left"/>
      <w:pPr>
        <w:tabs>
          <w:tab w:val="num" w:pos="4320"/>
        </w:tabs>
        <w:ind w:left="4320" w:hanging="360"/>
      </w:pPr>
      <w:rPr>
        <w:rFonts w:ascii="Wingdings" w:hAnsi="Wingdings" w:hint="default"/>
      </w:rPr>
    </w:lvl>
    <w:lvl w:ilvl="6" w:tplc="07E07844" w:tentative="1">
      <w:start w:val="1"/>
      <w:numFmt w:val="bullet"/>
      <w:lvlText w:val=""/>
      <w:lvlJc w:val="left"/>
      <w:pPr>
        <w:tabs>
          <w:tab w:val="num" w:pos="5040"/>
        </w:tabs>
        <w:ind w:left="5040" w:hanging="360"/>
      </w:pPr>
      <w:rPr>
        <w:rFonts w:ascii="Symbol" w:hAnsi="Symbol" w:hint="default"/>
      </w:rPr>
    </w:lvl>
    <w:lvl w:ilvl="7" w:tplc="2EDAD22E" w:tentative="1">
      <w:start w:val="1"/>
      <w:numFmt w:val="bullet"/>
      <w:lvlText w:val="o"/>
      <w:lvlJc w:val="left"/>
      <w:pPr>
        <w:tabs>
          <w:tab w:val="num" w:pos="5760"/>
        </w:tabs>
        <w:ind w:left="5760" w:hanging="360"/>
      </w:pPr>
      <w:rPr>
        <w:rFonts w:ascii="Courier New" w:hAnsi="Courier New" w:hint="default"/>
      </w:rPr>
    </w:lvl>
    <w:lvl w:ilvl="8" w:tplc="D1843524" w:tentative="1">
      <w:start w:val="1"/>
      <w:numFmt w:val="bullet"/>
      <w:lvlText w:val=""/>
      <w:lvlJc w:val="left"/>
      <w:pPr>
        <w:tabs>
          <w:tab w:val="num" w:pos="6480"/>
        </w:tabs>
        <w:ind w:left="6480" w:hanging="360"/>
      </w:pPr>
      <w:rPr>
        <w:rFonts w:ascii="Wingdings" w:hAnsi="Wingdings" w:hint="default"/>
      </w:rPr>
    </w:lvl>
  </w:abstractNum>
  <w:abstractNum w:abstractNumId="234" w15:restartNumberingAfterBreak="0">
    <w:nsid w:val="6F683254"/>
    <w:multiLevelType w:val="hybridMultilevel"/>
    <w:tmpl w:val="DF601004"/>
    <w:lvl w:ilvl="0" w:tplc="19E4CA1E">
      <w:start w:val="17"/>
      <w:numFmt w:val="bullet"/>
      <w:lvlText w:val="-"/>
      <w:lvlJc w:val="left"/>
      <w:pPr>
        <w:ind w:left="720" w:hanging="360"/>
      </w:pPr>
      <w:rPr>
        <w:rFonts w:ascii="Times New Roman" w:eastAsia="Times New Roman" w:hAnsi="Times New Roman" w:cs="Times New Roman" w:hint="default"/>
        <w:b/>
      </w:rPr>
    </w:lvl>
    <w:lvl w:ilvl="1" w:tplc="9E768D54" w:tentative="1">
      <w:start w:val="1"/>
      <w:numFmt w:val="bullet"/>
      <w:lvlText w:val="o"/>
      <w:lvlJc w:val="left"/>
      <w:pPr>
        <w:ind w:left="1440" w:hanging="360"/>
      </w:pPr>
      <w:rPr>
        <w:rFonts w:ascii="Courier New" w:hAnsi="Courier New" w:cs="Courier New" w:hint="default"/>
      </w:rPr>
    </w:lvl>
    <w:lvl w:ilvl="2" w:tplc="45D8ED96" w:tentative="1">
      <w:start w:val="1"/>
      <w:numFmt w:val="bullet"/>
      <w:lvlText w:val=""/>
      <w:lvlJc w:val="left"/>
      <w:pPr>
        <w:ind w:left="2160" w:hanging="360"/>
      </w:pPr>
      <w:rPr>
        <w:rFonts w:ascii="Wingdings" w:hAnsi="Wingdings" w:hint="default"/>
      </w:rPr>
    </w:lvl>
    <w:lvl w:ilvl="3" w:tplc="1CDA3E66" w:tentative="1">
      <w:start w:val="1"/>
      <w:numFmt w:val="bullet"/>
      <w:lvlText w:val=""/>
      <w:lvlJc w:val="left"/>
      <w:pPr>
        <w:ind w:left="2880" w:hanging="360"/>
      </w:pPr>
      <w:rPr>
        <w:rFonts w:ascii="Symbol" w:hAnsi="Symbol" w:hint="default"/>
      </w:rPr>
    </w:lvl>
    <w:lvl w:ilvl="4" w:tplc="448E82B4" w:tentative="1">
      <w:start w:val="1"/>
      <w:numFmt w:val="bullet"/>
      <w:lvlText w:val="o"/>
      <w:lvlJc w:val="left"/>
      <w:pPr>
        <w:ind w:left="3600" w:hanging="360"/>
      </w:pPr>
      <w:rPr>
        <w:rFonts w:ascii="Courier New" w:hAnsi="Courier New" w:cs="Courier New" w:hint="default"/>
      </w:rPr>
    </w:lvl>
    <w:lvl w:ilvl="5" w:tplc="A036D23E" w:tentative="1">
      <w:start w:val="1"/>
      <w:numFmt w:val="bullet"/>
      <w:lvlText w:val=""/>
      <w:lvlJc w:val="left"/>
      <w:pPr>
        <w:ind w:left="4320" w:hanging="360"/>
      </w:pPr>
      <w:rPr>
        <w:rFonts w:ascii="Wingdings" w:hAnsi="Wingdings" w:hint="default"/>
      </w:rPr>
    </w:lvl>
    <w:lvl w:ilvl="6" w:tplc="45C62990" w:tentative="1">
      <w:start w:val="1"/>
      <w:numFmt w:val="bullet"/>
      <w:lvlText w:val=""/>
      <w:lvlJc w:val="left"/>
      <w:pPr>
        <w:ind w:left="5040" w:hanging="360"/>
      </w:pPr>
      <w:rPr>
        <w:rFonts w:ascii="Symbol" w:hAnsi="Symbol" w:hint="default"/>
      </w:rPr>
    </w:lvl>
    <w:lvl w:ilvl="7" w:tplc="CDDC189C" w:tentative="1">
      <w:start w:val="1"/>
      <w:numFmt w:val="bullet"/>
      <w:lvlText w:val="o"/>
      <w:lvlJc w:val="left"/>
      <w:pPr>
        <w:ind w:left="5760" w:hanging="360"/>
      </w:pPr>
      <w:rPr>
        <w:rFonts w:ascii="Courier New" w:hAnsi="Courier New" w:cs="Courier New" w:hint="default"/>
      </w:rPr>
    </w:lvl>
    <w:lvl w:ilvl="8" w:tplc="7382DB54" w:tentative="1">
      <w:start w:val="1"/>
      <w:numFmt w:val="bullet"/>
      <w:lvlText w:val=""/>
      <w:lvlJc w:val="left"/>
      <w:pPr>
        <w:ind w:left="6480" w:hanging="360"/>
      </w:pPr>
      <w:rPr>
        <w:rFonts w:ascii="Wingdings" w:hAnsi="Wingdings" w:hint="default"/>
      </w:rPr>
    </w:lvl>
  </w:abstractNum>
  <w:abstractNum w:abstractNumId="235" w15:restartNumberingAfterBreak="0">
    <w:nsid w:val="6F9337D0"/>
    <w:multiLevelType w:val="hybridMultilevel"/>
    <w:tmpl w:val="B6C885E6"/>
    <w:lvl w:ilvl="0" w:tplc="882205E4">
      <w:start w:val="1"/>
      <w:numFmt w:val="bullet"/>
      <w:lvlText w:val=""/>
      <w:lvlJc w:val="left"/>
      <w:pPr>
        <w:tabs>
          <w:tab w:val="num" w:pos="720"/>
        </w:tabs>
        <w:ind w:left="720" w:hanging="360"/>
      </w:pPr>
      <w:rPr>
        <w:rFonts w:ascii="Symbol" w:hAnsi="Symbol" w:hint="default"/>
      </w:rPr>
    </w:lvl>
    <w:lvl w:ilvl="1" w:tplc="4DBC86E4">
      <w:start w:val="1"/>
      <w:numFmt w:val="bullet"/>
      <w:lvlText w:val="o"/>
      <w:lvlJc w:val="left"/>
      <w:pPr>
        <w:tabs>
          <w:tab w:val="num" w:pos="1440"/>
        </w:tabs>
        <w:ind w:left="1440" w:hanging="360"/>
      </w:pPr>
      <w:rPr>
        <w:rFonts w:ascii="Courier New" w:hAnsi="Courier New" w:hint="default"/>
      </w:rPr>
    </w:lvl>
    <w:lvl w:ilvl="2" w:tplc="5734D286" w:tentative="1">
      <w:start w:val="1"/>
      <w:numFmt w:val="bullet"/>
      <w:lvlText w:val=""/>
      <w:lvlJc w:val="left"/>
      <w:pPr>
        <w:tabs>
          <w:tab w:val="num" w:pos="2160"/>
        </w:tabs>
        <w:ind w:left="2160" w:hanging="360"/>
      </w:pPr>
      <w:rPr>
        <w:rFonts w:ascii="Wingdings" w:hAnsi="Wingdings" w:hint="default"/>
      </w:rPr>
    </w:lvl>
    <w:lvl w:ilvl="3" w:tplc="17765AE2" w:tentative="1">
      <w:start w:val="1"/>
      <w:numFmt w:val="bullet"/>
      <w:lvlText w:val=""/>
      <w:lvlJc w:val="left"/>
      <w:pPr>
        <w:tabs>
          <w:tab w:val="num" w:pos="2880"/>
        </w:tabs>
        <w:ind w:left="2880" w:hanging="360"/>
      </w:pPr>
      <w:rPr>
        <w:rFonts w:ascii="Symbol" w:hAnsi="Symbol" w:hint="default"/>
      </w:rPr>
    </w:lvl>
    <w:lvl w:ilvl="4" w:tplc="EF24E23E" w:tentative="1">
      <w:start w:val="1"/>
      <w:numFmt w:val="bullet"/>
      <w:lvlText w:val="o"/>
      <w:lvlJc w:val="left"/>
      <w:pPr>
        <w:tabs>
          <w:tab w:val="num" w:pos="3600"/>
        </w:tabs>
        <w:ind w:left="3600" w:hanging="360"/>
      </w:pPr>
      <w:rPr>
        <w:rFonts w:ascii="Courier New" w:hAnsi="Courier New" w:hint="default"/>
      </w:rPr>
    </w:lvl>
    <w:lvl w:ilvl="5" w:tplc="23ACEE94" w:tentative="1">
      <w:start w:val="1"/>
      <w:numFmt w:val="bullet"/>
      <w:lvlText w:val=""/>
      <w:lvlJc w:val="left"/>
      <w:pPr>
        <w:tabs>
          <w:tab w:val="num" w:pos="4320"/>
        </w:tabs>
        <w:ind w:left="4320" w:hanging="360"/>
      </w:pPr>
      <w:rPr>
        <w:rFonts w:ascii="Wingdings" w:hAnsi="Wingdings" w:hint="default"/>
      </w:rPr>
    </w:lvl>
    <w:lvl w:ilvl="6" w:tplc="4370B57A" w:tentative="1">
      <w:start w:val="1"/>
      <w:numFmt w:val="bullet"/>
      <w:lvlText w:val=""/>
      <w:lvlJc w:val="left"/>
      <w:pPr>
        <w:tabs>
          <w:tab w:val="num" w:pos="5040"/>
        </w:tabs>
        <w:ind w:left="5040" w:hanging="360"/>
      </w:pPr>
      <w:rPr>
        <w:rFonts w:ascii="Symbol" w:hAnsi="Symbol" w:hint="default"/>
      </w:rPr>
    </w:lvl>
    <w:lvl w:ilvl="7" w:tplc="75FA7294" w:tentative="1">
      <w:start w:val="1"/>
      <w:numFmt w:val="bullet"/>
      <w:lvlText w:val="o"/>
      <w:lvlJc w:val="left"/>
      <w:pPr>
        <w:tabs>
          <w:tab w:val="num" w:pos="5760"/>
        </w:tabs>
        <w:ind w:left="5760" w:hanging="360"/>
      </w:pPr>
      <w:rPr>
        <w:rFonts w:ascii="Courier New" w:hAnsi="Courier New" w:hint="default"/>
      </w:rPr>
    </w:lvl>
    <w:lvl w:ilvl="8" w:tplc="F97000A0" w:tentative="1">
      <w:start w:val="1"/>
      <w:numFmt w:val="bullet"/>
      <w:lvlText w:val=""/>
      <w:lvlJc w:val="left"/>
      <w:pPr>
        <w:tabs>
          <w:tab w:val="num" w:pos="6480"/>
        </w:tabs>
        <w:ind w:left="6480" w:hanging="360"/>
      </w:pPr>
      <w:rPr>
        <w:rFonts w:ascii="Wingdings" w:hAnsi="Wingdings" w:hint="default"/>
      </w:rPr>
    </w:lvl>
  </w:abstractNum>
  <w:abstractNum w:abstractNumId="236" w15:restartNumberingAfterBreak="0">
    <w:nsid w:val="6F9921B3"/>
    <w:multiLevelType w:val="hybridMultilevel"/>
    <w:tmpl w:val="A126D7BA"/>
    <w:lvl w:ilvl="0" w:tplc="154EAF06">
      <w:start w:val="1"/>
      <w:numFmt w:val="bullet"/>
      <w:lvlText w:val=""/>
      <w:lvlJc w:val="left"/>
      <w:pPr>
        <w:tabs>
          <w:tab w:val="num" w:pos="720"/>
        </w:tabs>
        <w:ind w:left="720" w:hanging="360"/>
      </w:pPr>
      <w:rPr>
        <w:rFonts w:ascii="Symbol" w:hAnsi="Symbol" w:hint="default"/>
      </w:rPr>
    </w:lvl>
    <w:lvl w:ilvl="1" w:tplc="20023024">
      <w:start w:val="1"/>
      <w:numFmt w:val="bullet"/>
      <w:lvlText w:val=""/>
      <w:lvlJc w:val="left"/>
      <w:pPr>
        <w:tabs>
          <w:tab w:val="num" w:pos="1440"/>
        </w:tabs>
        <w:ind w:left="1440" w:hanging="360"/>
      </w:pPr>
      <w:rPr>
        <w:rFonts w:ascii="Symbol" w:hAnsi="Symbol" w:hint="default"/>
      </w:rPr>
    </w:lvl>
    <w:lvl w:ilvl="2" w:tplc="537AE9BA" w:tentative="1">
      <w:start w:val="1"/>
      <w:numFmt w:val="bullet"/>
      <w:lvlText w:val=""/>
      <w:lvlJc w:val="left"/>
      <w:pPr>
        <w:tabs>
          <w:tab w:val="num" w:pos="2160"/>
        </w:tabs>
        <w:ind w:left="2160" w:hanging="360"/>
      </w:pPr>
      <w:rPr>
        <w:rFonts w:ascii="Wingdings" w:hAnsi="Wingdings" w:hint="default"/>
      </w:rPr>
    </w:lvl>
    <w:lvl w:ilvl="3" w:tplc="21842EA0" w:tentative="1">
      <w:start w:val="1"/>
      <w:numFmt w:val="bullet"/>
      <w:lvlText w:val=""/>
      <w:lvlJc w:val="left"/>
      <w:pPr>
        <w:tabs>
          <w:tab w:val="num" w:pos="2880"/>
        </w:tabs>
        <w:ind w:left="2880" w:hanging="360"/>
      </w:pPr>
      <w:rPr>
        <w:rFonts w:ascii="Symbol" w:hAnsi="Symbol" w:hint="default"/>
      </w:rPr>
    </w:lvl>
    <w:lvl w:ilvl="4" w:tplc="258CC022" w:tentative="1">
      <w:start w:val="1"/>
      <w:numFmt w:val="bullet"/>
      <w:lvlText w:val="o"/>
      <w:lvlJc w:val="left"/>
      <w:pPr>
        <w:tabs>
          <w:tab w:val="num" w:pos="3600"/>
        </w:tabs>
        <w:ind w:left="3600" w:hanging="360"/>
      </w:pPr>
      <w:rPr>
        <w:rFonts w:ascii="Courier New" w:hAnsi="Courier New" w:hint="default"/>
      </w:rPr>
    </w:lvl>
    <w:lvl w:ilvl="5" w:tplc="50F89C1E" w:tentative="1">
      <w:start w:val="1"/>
      <w:numFmt w:val="bullet"/>
      <w:lvlText w:val=""/>
      <w:lvlJc w:val="left"/>
      <w:pPr>
        <w:tabs>
          <w:tab w:val="num" w:pos="4320"/>
        </w:tabs>
        <w:ind w:left="4320" w:hanging="360"/>
      </w:pPr>
      <w:rPr>
        <w:rFonts w:ascii="Wingdings" w:hAnsi="Wingdings" w:hint="default"/>
      </w:rPr>
    </w:lvl>
    <w:lvl w:ilvl="6" w:tplc="CA862EB0" w:tentative="1">
      <w:start w:val="1"/>
      <w:numFmt w:val="bullet"/>
      <w:lvlText w:val=""/>
      <w:lvlJc w:val="left"/>
      <w:pPr>
        <w:tabs>
          <w:tab w:val="num" w:pos="5040"/>
        </w:tabs>
        <w:ind w:left="5040" w:hanging="360"/>
      </w:pPr>
      <w:rPr>
        <w:rFonts w:ascii="Symbol" w:hAnsi="Symbol" w:hint="default"/>
      </w:rPr>
    </w:lvl>
    <w:lvl w:ilvl="7" w:tplc="62CEFBB0" w:tentative="1">
      <w:start w:val="1"/>
      <w:numFmt w:val="bullet"/>
      <w:lvlText w:val="o"/>
      <w:lvlJc w:val="left"/>
      <w:pPr>
        <w:tabs>
          <w:tab w:val="num" w:pos="5760"/>
        </w:tabs>
        <w:ind w:left="5760" w:hanging="360"/>
      </w:pPr>
      <w:rPr>
        <w:rFonts w:ascii="Courier New" w:hAnsi="Courier New" w:hint="default"/>
      </w:rPr>
    </w:lvl>
    <w:lvl w:ilvl="8" w:tplc="484AC056" w:tentative="1">
      <w:start w:val="1"/>
      <w:numFmt w:val="bullet"/>
      <w:lvlText w:val=""/>
      <w:lvlJc w:val="left"/>
      <w:pPr>
        <w:tabs>
          <w:tab w:val="num" w:pos="6480"/>
        </w:tabs>
        <w:ind w:left="6480" w:hanging="360"/>
      </w:pPr>
      <w:rPr>
        <w:rFonts w:ascii="Wingdings" w:hAnsi="Wingdings" w:hint="default"/>
      </w:rPr>
    </w:lvl>
  </w:abstractNum>
  <w:abstractNum w:abstractNumId="237" w15:restartNumberingAfterBreak="0">
    <w:nsid w:val="6FCA5DFF"/>
    <w:multiLevelType w:val="multilevel"/>
    <w:tmpl w:val="D5D4E1B0"/>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8" w15:restartNumberingAfterBreak="0">
    <w:nsid w:val="6FDB021C"/>
    <w:multiLevelType w:val="singleLevel"/>
    <w:tmpl w:val="6DE45B50"/>
    <w:lvl w:ilvl="0">
      <w:start w:val="1"/>
      <w:numFmt w:val="lowerLetter"/>
      <w:lvlText w:val="%1"/>
      <w:lvlJc w:val="left"/>
      <w:pPr>
        <w:ind w:left="360" w:hanging="360"/>
      </w:pPr>
      <w:rPr>
        <w:rFonts w:ascii="Times New Roman" w:hAnsi="Times New Roman" w:cs="Times New Roman" w:hint="default"/>
        <w:b w:val="0"/>
        <w:i w:val="0"/>
        <w:caps w:val="0"/>
        <w:sz w:val="22"/>
        <w:szCs w:val="22"/>
        <w:u w:val="none"/>
        <w:vertAlign w:val="superscript"/>
      </w:rPr>
    </w:lvl>
  </w:abstractNum>
  <w:abstractNum w:abstractNumId="239" w15:restartNumberingAfterBreak="0">
    <w:nsid w:val="71AE7ADD"/>
    <w:multiLevelType w:val="hybridMultilevel"/>
    <w:tmpl w:val="21D67F22"/>
    <w:lvl w:ilvl="0" w:tplc="851270BC">
      <w:start w:val="1"/>
      <w:numFmt w:val="decimal"/>
      <w:lvlText w:val="%1."/>
      <w:lvlJc w:val="left"/>
      <w:pPr>
        <w:ind w:left="930" w:hanging="570"/>
      </w:pPr>
      <w:rPr>
        <w:rFonts w:hint="default"/>
      </w:rPr>
    </w:lvl>
    <w:lvl w:ilvl="1" w:tplc="7AAEF54A" w:tentative="1">
      <w:start w:val="1"/>
      <w:numFmt w:val="lowerLetter"/>
      <w:lvlText w:val="%2."/>
      <w:lvlJc w:val="left"/>
      <w:pPr>
        <w:ind w:left="1440" w:hanging="360"/>
      </w:pPr>
    </w:lvl>
    <w:lvl w:ilvl="2" w:tplc="D47A02DE" w:tentative="1">
      <w:start w:val="1"/>
      <w:numFmt w:val="lowerRoman"/>
      <w:lvlText w:val="%3."/>
      <w:lvlJc w:val="right"/>
      <w:pPr>
        <w:ind w:left="2160" w:hanging="180"/>
      </w:pPr>
    </w:lvl>
    <w:lvl w:ilvl="3" w:tplc="4530D110" w:tentative="1">
      <w:start w:val="1"/>
      <w:numFmt w:val="decimal"/>
      <w:lvlText w:val="%4."/>
      <w:lvlJc w:val="left"/>
      <w:pPr>
        <w:ind w:left="2880" w:hanging="360"/>
      </w:pPr>
    </w:lvl>
    <w:lvl w:ilvl="4" w:tplc="0F58E318" w:tentative="1">
      <w:start w:val="1"/>
      <w:numFmt w:val="lowerLetter"/>
      <w:lvlText w:val="%5."/>
      <w:lvlJc w:val="left"/>
      <w:pPr>
        <w:ind w:left="3600" w:hanging="360"/>
      </w:pPr>
    </w:lvl>
    <w:lvl w:ilvl="5" w:tplc="D586FC92" w:tentative="1">
      <w:start w:val="1"/>
      <w:numFmt w:val="lowerRoman"/>
      <w:lvlText w:val="%6."/>
      <w:lvlJc w:val="right"/>
      <w:pPr>
        <w:ind w:left="4320" w:hanging="180"/>
      </w:pPr>
    </w:lvl>
    <w:lvl w:ilvl="6" w:tplc="F698A592" w:tentative="1">
      <w:start w:val="1"/>
      <w:numFmt w:val="decimal"/>
      <w:lvlText w:val="%7."/>
      <w:lvlJc w:val="left"/>
      <w:pPr>
        <w:ind w:left="5040" w:hanging="360"/>
      </w:pPr>
    </w:lvl>
    <w:lvl w:ilvl="7" w:tplc="66ECF7DC" w:tentative="1">
      <w:start w:val="1"/>
      <w:numFmt w:val="lowerLetter"/>
      <w:lvlText w:val="%8."/>
      <w:lvlJc w:val="left"/>
      <w:pPr>
        <w:ind w:left="5760" w:hanging="360"/>
      </w:pPr>
    </w:lvl>
    <w:lvl w:ilvl="8" w:tplc="7AF80078" w:tentative="1">
      <w:start w:val="1"/>
      <w:numFmt w:val="lowerRoman"/>
      <w:lvlText w:val="%9."/>
      <w:lvlJc w:val="right"/>
      <w:pPr>
        <w:ind w:left="6480" w:hanging="180"/>
      </w:pPr>
    </w:lvl>
  </w:abstractNum>
  <w:abstractNum w:abstractNumId="240" w15:restartNumberingAfterBreak="0">
    <w:nsid w:val="7248012F"/>
    <w:multiLevelType w:val="hybridMultilevel"/>
    <w:tmpl w:val="F4086056"/>
    <w:lvl w:ilvl="0" w:tplc="3134FA5A">
      <w:start w:val="1"/>
      <w:numFmt w:val="decimal"/>
      <w:lvlText w:val="%1."/>
      <w:lvlJc w:val="left"/>
      <w:pPr>
        <w:ind w:left="915" w:hanging="555"/>
      </w:pPr>
      <w:rPr>
        <w:rFonts w:hint="default"/>
      </w:rPr>
    </w:lvl>
    <w:lvl w:ilvl="1" w:tplc="06D0DB5A" w:tentative="1">
      <w:start w:val="1"/>
      <w:numFmt w:val="lowerLetter"/>
      <w:lvlText w:val="%2."/>
      <w:lvlJc w:val="left"/>
      <w:pPr>
        <w:ind w:left="1440" w:hanging="360"/>
      </w:pPr>
    </w:lvl>
    <w:lvl w:ilvl="2" w:tplc="902C8A08" w:tentative="1">
      <w:start w:val="1"/>
      <w:numFmt w:val="lowerRoman"/>
      <w:lvlText w:val="%3."/>
      <w:lvlJc w:val="right"/>
      <w:pPr>
        <w:ind w:left="2160" w:hanging="180"/>
      </w:pPr>
    </w:lvl>
    <w:lvl w:ilvl="3" w:tplc="BAF6EEDC" w:tentative="1">
      <w:start w:val="1"/>
      <w:numFmt w:val="decimal"/>
      <w:lvlText w:val="%4."/>
      <w:lvlJc w:val="left"/>
      <w:pPr>
        <w:ind w:left="2880" w:hanging="360"/>
      </w:pPr>
    </w:lvl>
    <w:lvl w:ilvl="4" w:tplc="37E6D1CC" w:tentative="1">
      <w:start w:val="1"/>
      <w:numFmt w:val="lowerLetter"/>
      <w:lvlText w:val="%5."/>
      <w:lvlJc w:val="left"/>
      <w:pPr>
        <w:ind w:left="3600" w:hanging="360"/>
      </w:pPr>
    </w:lvl>
    <w:lvl w:ilvl="5" w:tplc="FC02A2CC" w:tentative="1">
      <w:start w:val="1"/>
      <w:numFmt w:val="lowerRoman"/>
      <w:lvlText w:val="%6."/>
      <w:lvlJc w:val="right"/>
      <w:pPr>
        <w:ind w:left="4320" w:hanging="180"/>
      </w:pPr>
    </w:lvl>
    <w:lvl w:ilvl="6" w:tplc="EA4AB9A4" w:tentative="1">
      <w:start w:val="1"/>
      <w:numFmt w:val="decimal"/>
      <w:lvlText w:val="%7."/>
      <w:lvlJc w:val="left"/>
      <w:pPr>
        <w:ind w:left="5040" w:hanging="360"/>
      </w:pPr>
    </w:lvl>
    <w:lvl w:ilvl="7" w:tplc="6C7072D8" w:tentative="1">
      <w:start w:val="1"/>
      <w:numFmt w:val="lowerLetter"/>
      <w:lvlText w:val="%8."/>
      <w:lvlJc w:val="left"/>
      <w:pPr>
        <w:ind w:left="5760" w:hanging="360"/>
      </w:pPr>
    </w:lvl>
    <w:lvl w:ilvl="8" w:tplc="3F4A6AB6" w:tentative="1">
      <w:start w:val="1"/>
      <w:numFmt w:val="lowerRoman"/>
      <w:lvlText w:val="%9."/>
      <w:lvlJc w:val="right"/>
      <w:pPr>
        <w:ind w:left="6480" w:hanging="180"/>
      </w:pPr>
    </w:lvl>
  </w:abstractNum>
  <w:abstractNum w:abstractNumId="241" w15:restartNumberingAfterBreak="0">
    <w:nsid w:val="73357CAB"/>
    <w:multiLevelType w:val="hybridMultilevel"/>
    <w:tmpl w:val="1682E7C2"/>
    <w:lvl w:ilvl="0" w:tplc="2BE2008C">
      <w:start w:val="1"/>
      <w:numFmt w:val="bullet"/>
      <w:lvlText w:val=""/>
      <w:lvlJc w:val="left"/>
      <w:pPr>
        <w:ind w:left="870" w:hanging="360"/>
      </w:pPr>
      <w:rPr>
        <w:rFonts w:ascii="Symbol" w:hAnsi="Symbol" w:hint="default"/>
      </w:rPr>
    </w:lvl>
    <w:lvl w:ilvl="1" w:tplc="5254ED92" w:tentative="1">
      <w:start w:val="1"/>
      <w:numFmt w:val="bullet"/>
      <w:lvlText w:val="o"/>
      <w:lvlJc w:val="left"/>
      <w:pPr>
        <w:ind w:left="1590" w:hanging="360"/>
      </w:pPr>
      <w:rPr>
        <w:rFonts w:ascii="Courier New" w:hAnsi="Courier New" w:cs="Courier New" w:hint="default"/>
      </w:rPr>
    </w:lvl>
    <w:lvl w:ilvl="2" w:tplc="B114C0F0" w:tentative="1">
      <w:start w:val="1"/>
      <w:numFmt w:val="bullet"/>
      <w:lvlText w:val=""/>
      <w:lvlJc w:val="left"/>
      <w:pPr>
        <w:ind w:left="2310" w:hanging="360"/>
      </w:pPr>
      <w:rPr>
        <w:rFonts w:ascii="Wingdings" w:hAnsi="Wingdings" w:hint="default"/>
      </w:rPr>
    </w:lvl>
    <w:lvl w:ilvl="3" w:tplc="30B61A38" w:tentative="1">
      <w:start w:val="1"/>
      <w:numFmt w:val="bullet"/>
      <w:lvlText w:val=""/>
      <w:lvlJc w:val="left"/>
      <w:pPr>
        <w:ind w:left="3030" w:hanging="360"/>
      </w:pPr>
      <w:rPr>
        <w:rFonts w:ascii="Symbol" w:hAnsi="Symbol" w:hint="default"/>
      </w:rPr>
    </w:lvl>
    <w:lvl w:ilvl="4" w:tplc="4EAEFC50" w:tentative="1">
      <w:start w:val="1"/>
      <w:numFmt w:val="bullet"/>
      <w:lvlText w:val="o"/>
      <w:lvlJc w:val="left"/>
      <w:pPr>
        <w:ind w:left="3750" w:hanging="360"/>
      </w:pPr>
      <w:rPr>
        <w:rFonts w:ascii="Courier New" w:hAnsi="Courier New" w:cs="Courier New" w:hint="default"/>
      </w:rPr>
    </w:lvl>
    <w:lvl w:ilvl="5" w:tplc="517EB0D2" w:tentative="1">
      <w:start w:val="1"/>
      <w:numFmt w:val="bullet"/>
      <w:lvlText w:val=""/>
      <w:lvlJc w:val="left"/>
      <w:pPr>
        <w:ind w:left="4470" w:hanging="360"/>
      </w:pPr>
      <w:rPr>
        <w:rFonts w:ascii="Wingdings" w:hAnsi="Wingdings" w:hint="default"/>
      </w:rPr>
    </w:lvl>
    <w:lvl w:ilvl="6" w:tplc="E02C9A34" w:tentative="1">
      <w:start w:val="1"/>
      <w:numFmt w:val="bullet"/>
      <w:lvlText w:val=""/>
      <w:lvlJc w:val="left"/>
      <w:pPr>
        <w:ind w:left="5190" w:hanging="360"/>
      </w:pPr>
      <w:rPr>
        <w:rFonts w:ascii="Symbol" w:hAnsi="Symbol" w:hint="default"/>
      </w:rPr>
    </w:lvl>
    <w:lvl w:ilvl="7" w:tplc="39F6FF80" w:tentative="1">
      <w:start w:val="1"/>
      <w:numFmt w:val="bullet"/>
      <w:lvlText w:val="o"/>
      <w:lvlJc w:val="left"/>
      <w:pPr>
        <w:ind w:left="5910" w:hanging="360"/>
      </w:pPr>
      <w:rPr>
        <w:rFonts w:ascii="Courier New" w:hAnsi="Courier New" w:cs="Courier New" w:hint="default"/>
      </w:rPr>
    </w:lvl>
    <w:lvl w:ilvl="8" w:tplc="88BE4AA8" w:tentative="1">
      <w:start w:val="1"/>
      <w:numFmt w:val="bullet"/>
      <w:lvlText w:val=""/>
      <w:lvlJc w:val="left"/>
      <w:pPr>
        <w:ind w:left="6630" w:hanging="360"/>
      </w:pPr>
      <w:rPr>
        <w:rFonts w:ascii="Wingdings" w:hAnsi="Wingdings" w:hint="default"/>
      </w:rPr>
    </w:lvl>
  </w:abstractNum>
  <w:abstractNum w:abstractNumId="242" w15:restartNumberingAfterBreak="0">
    <w:nsid w:val="73426BA8"/>
    <w:multiLevelType w:val="hybridMultilevel"/>
    <w:tmpl w:val="CF74137E"/>
    <w:lvl w:ilvl="0" w:tplc="652CC208">
      <w:start w:val="1"/>
      <w:numFmt w:val="bullet"/>
      <w:lvlText w:val=""/>
      <w:lvlJc w:val="left"/>
      <w:pPr>
        <w:tabs>
          <w:tab w:val="num" w:pos="720"/>
        </w:tabs>
        <w:ind w:left="720" w:hanging="360"/>
      </w:pPr>
      <w:rPr>
        <w:rFonts w:ascii="Symbol" w:hAnsi="Symbol" w:hint="default"/>
      </w:rPr>
    </w:lvl>
    <w:lvl w:ilvl="1" w:tplc="233C2D30">
      <w:start w:val="1"/>
      <w:numFmt w:val="bullet"/>
      <w:lvlText w:val="o"/>
      <w:lvlJc w:val="left"/>
      <w:pPr>
        <w:tabs>
          <w:tab w:val="num" w:pos="1440"/>
        </w:tabs>
        <w:ind w:left="1440" w:hanging="360"/>
      </w:pPr>
      <w:rPr>
        <w:rFonts w:ascii="Courier New" w:hAnsi="Courier New" w:hint="default"/>
      </w:rPr>
    </w:lvl>
    <w:lvl w:ilvl="2" w:tplc="14181F52" w:tentative="1">
      <w:start w:val="1"/>
      <w:numFmt w:val="bullet"/>
      <w:lvlText w:val=""/>
      <w:lvlJc w:val="left"/>
      <w:pPr>
        <w:tabs>
          <w:tab w:val="num" w:pos="2160"/>
        </w:tabs>
        <w:ind w:left="2160" w:hanging="360"/>
      </w:pPr>
      <w:rPr>
        <w:rFonts w:ascii="Wingdings" w:hAnsi="Wingdings" w:hint="default"/>
      </w:rPr>
    </w:lvl>
    <w:lvl w:ilvl="3" w:tplc="0AC0D000" w:tentative="1">
      <w:start w:val="1"/>
      <w:numFmt w:val="bullet"/>
      <w:lvlText w:val=""/>
      <w:lvlJc w:val="left"/>
      <w:pPr>
        <w:tabs>
          <w:tab w:val="num" w:pos="2880"/>
        </w:tabs>
        <w:ind w:left="2880" w:hanging="360"/>
      </w:pPr>
      <w:rPr>
        <w:rFonts w:ascii="Symbol" w:hAnsi="Symbol" w:hint="default"/>
      </w:rPr>
    </w:lvl>
    <w:lvl w:ilvl="4" w:tplc="450C40F8" w:tentative="1">
      <w:start w:val="1"/>
      <w:numFmt w:val="bullet"/>
      <w:lvlText w:val="o"/>
      <w:lvlJc w:val="left"/>
      <w:pPr>
        <w:tabs>
          <w:tab w:val="num" w:pos="3600"/>
        </w:tabs>
        <w:ind w:left="3600" w:hanging="360"/>
      </w:pPr>
      <w:rPr>
        <w:rFonts w:ascii="Courier New" w:hAnsi="Courier New" w:hint="default"/>
      </w:rPr>
    </w:lvl>
    <w:lvl w:ilvl="5" w:tplc="C7CA3D58" w:tentative="1">
      <w:start w:val="1"/>
      <w:numFmt w:val="bullet"/>
      <w:lvlText w:val=""/>
      <w:lvlJc w:val="left"/>
      <w:pPr>
        <w:tabs>
          <w:tab w:val="num" w:pos="4320"/>
        </w:tabs>
        <w:ind w:left="4320" w:hanging="360"/>
      </w:pPr>
      <w:rPr>
        <w:rFonts w:ascii="Wingdings" w:hAnsi="Wingdings" w:hint="default"/>
      </w:rPr>
    </w:lvl>
    <w:lvl w:ilvl="6" w:tplc="D97611EE" w:tentative="1">
      <w:start w:val="1"/>
      <w:numFmt w:val="bullet"/>
      <w:lvlText w:val=""/>
      <w:lvlJc w:val="left"/>
      <w:pPr>
        <w:tabs>
          <w:tab w:val="num" w:pos="5040"/>
        </w:tabs>
        <w:ind w:left="5040" w:hanging="360"/>
      </w:pPr>
      <w:rPr>
        <w:rFonts w:ascii="Symbol" w:hAnsi="Symbol" w:hint="default"/>
      </w:rPr>
    </w:lvl>
    <w:lvl w:ilvl="7" w:tplc="4D5E6780" w:tentative="1">
      <w:start w:val="1"/>
      <w:numFmt w:val="bullet"/>
      <w:lvlText w:val="o"/>
      <w:lvlJc w:val="left"/>
      <w:pPr>
        <w:tabs>
          <w:tab w:val="num" w:pos="5760"/>
        </w:tabs>
        <w:ind w:left="5760" w:hanging="360"/>
      </w:pPr>
      <w:rPr>
        <w:rFonts w:ascii="Courier New" w:hAnsi="Courier New" w:hint="default"/>
      </w:rPr>
    </w:lvl>
    <w:lvl w:ilvl="8" w:tplc="3A205340" w:tentative="1">
      <w:start w:val="1"/>
      <w:numFmt w:val="bullet"/>
      <w:lvlText w:val=""/>
      <w:lvlJc w:val="left"/>
      <w:pPr>
        <w:tabs>
          <w:tab w:val="num" w:pos="6480"/>
        </w:tabs>
        <w:ind w:left="6480" w:hanging="360"/>
      </w:pPr>
      <w:rPr>
        <w:rFonts w:ascii="Wingdings" w:hAnsi="Wingdings" w:hint="default"/>
      </w:rPr>
    </w:lvl>
  </w:abstractNum>
  <w:abstractNum w:abstractNumId="243" w15:restartNumberingAfterBreak="0">
    <w:nsid w:val="73665593"/>
    <w:multiLevelType w:val="hybridMultilevel"/>
    <w:tmpl w:val="60AC420E"/>
    <w:lvl w:ilvl="0" w:tplc="B316E3DE">
      <w:start w:val="1"/>
      <w:numFmt w:val="bullet"/>
      <w:lvlText w:val=""/>
      <w:lvlJc w:val="left"/>
      <w:pPr>
        <w:ind w:left="720" w:hanging="360"/>
      </w:pPr>
      <w:rPr>
        <w:rFonts w:ascii="Symbol" w:hAnsi="Symbol" w:hint="default"/>
      </w:rPr>
    </w:lvl>
    <w:lvl w:ilvl="1" w:tplc="56009240" w:tentative="1">
      <w:start w:val="1"/>
      <w:numFmt w:val="bullet"/>
      <w:lvlText w:val="o"/>
      <w:lvlJc w:val="left"/>
      <w:pPr>
        <w:ind w:left="1440" w:hanging="360"/>
      </w:pPr>
      <w:rPr>
        <w:rFonts w:ascii="Courier New" w:hAnsi="Courier New" w:cs="Courier New" w:hint="default"/>
      </w:rPr>
    </w:lvl>
    <w:lvl w:ilvl="2" w:tplc="47969FD0">
      <w:start w:val="1"/>
      <w:numFmt w:val="bullet"/>
      <w:lvlText w:val=""/>
      <w:lvlJc w:val="left"/>
      <w:pPr>
        <w:ind w:left="2160" w:hanging="360"/>
      </w:pPr>
      <w:rPr>
        <w:rFonts w:ascii="Wingdings" w:hAnsi="Wingdings" w:hint="default"/>
      </w:rPr>
    </w:lvl>
    <w:lvl w:ilvl="3" w:tplc="6010E096" w:tentative="1">
      <w:start w:val="1"/>
      <w:numFmt w:val="bullet"/>
      <w:lvlText w:val=""/>
      <w:lvlJc w:val="left"/>
      <w:pPr>
        <w:ind w:left="2880" w:hanging="360"/>
      </w:pPr>
      <w:rPr>
        <w:rFonts w:ascii="Symbol" w:hAnsi="Symbol" w:hint="default"/>
      </w:rPr>
    </w:lvl>
    <w:lvl w:ilvl="4" w:tplc="5BD4699A" w:tentative="1">
      <w:start w:val="1"/>
      <w:numFmt w:val="bullet"/>
      <w:lvlText w:val="o"/>
      <w:lvlJc w:val="left"/>
      <w:pPr>
        <w:ind w:left="3600" w:hanging="360"/>
      </w:pPr>
      <w:rPr>
        <w:rFonts w:ascii="Courier New" w:hAnsi="Courier New" w:cs="Courier New" w:hint="default"/>
      </w:rPr>
    </w:lvl>
    <w:lvl w:ilvl="5" w:tplc="CF5C98AA" w:tentative="1">
      <w:start w:val="1"/>
      <w:numFmt w:val="bullet"/>
      <w:lvlText w:val=""/>
      <w:lvlJc w:val="left"/>
      <w:pPr>
        <w:ind w:left="4320" w:hanging="360"/>
      </w:pPr>
      <w:rPr>
        <w:rFonts w:ascii="Wingdings" w:hAnsi="Wingdings" w:hint="default"/>
      </w:rPr>
    </w:lvl>
    <w:lvl w:ilvl="6" w:tplc="2A984E92" w:tentative="1">
      <w:start w:val="1"/>
      <w:numFmt w:val="bullet"/>
      <w:lvlText w:val=""/>
      <w:lvlJc w:val="left"/>
      <w:pPr>
        <w:ind w:left="5040" w:hanging="360"/>
      </w:pPr>
      <w:rPr>
        <w:rFonts w:ascii="Symbol" w:hAnsi="Symbol" w:hint="default"/>
      </w:rPr>
    </w:lvl>
    <w:lvl w:ilvl="7" w:tplc="C8A4B79C" w:tentative="1">
      <w:start w:val="1"/>
      <w:numFmt w:val="bullet"/>
      <w:lvlText w:val="o"/>
      <w:lvlJc w:val="left"/>
      <w:pPr>
        <w:ind w:left="5760" w:hanging="360"/>
      </w:pPr>
      <w:rPr>
        <w:rFonts w:ascii="Courier New" w:hAnsi="Courier New" w:cs="Courier New" w:hint="default"/>
      </w:rPr>
    </w:lvl>
    <w:lvl w:ilvl="8" w:tplc="76147122" w:tentative="1">
      <w:start w:val="1"/>
      <w:numFmt w:val="bullet"/>
      <w:lvlText w:val=""/>
      <w:lvlJc w:val="left"/>
      <w:pPr>
        <w:ind w:left="6480" w:hanging="360"/>
      </w:pPr>
      <w:rPr>
        <w:rFonts w:ascii="Wingdings" w:hAnsi="Wingdings" w:hint="default"/>
      </w:rPr>
    </w:lvl>
  </w:abstractNum>
  <w:abstractNum w:abstractNumId="244" w15:restartNumberingAfterBreak="0">
    <w:nsid w:val="737B0BE8"/>
    <w:multiLevelType w:val="singleLevel"/>
    <w:tmpl w:val="130E436E"/>
    <w:lvl w:ilvl="0">
      <w:start w:val="1"/>
      <w:numFmt w:val="lowerLetter"/>
      <w:lvlText w:val="%1"/>
      <w:lvlJc w:val="left"/>
      <w:pPr>
        <w:ind w:left="360" w:hanging="360"/>
      </w:pPr>
      <w:rPr>
        <w:rFonts w:ascii="Times New Roman" w:hAnsi="Times New Roman" w:cs="Times New Roman" w:hint="default"/>
        <w:b w:val="0"/>
        <w:i w:val="0"/>
        <w:caps w:val="0"/>
        <w:sz w:val="22"/>
        <w:szCs w:val="22"/>
        <w:u w:val="none"/>
        <w:vertAlign w:val="superscript"/>
      </w:rPr>
    </w:lvl>
  </w:abstractNum>
  <w:abstractNum w:abstractNumId="245" w15:restartNumberingAfterBreak="0">
    <w:nsid w:val="73E86B5D"/>
    <w:multiLevelType w:val="hybridMultilevel"/>
    <w:tmpl w:val="477CCD46"/>
    <w:lvl w:ilvl="0" w:tplc="872C321E">
      <w:start w:val="1"/>
      <w:numFmt w:val="bullet"/>
      <w:lvlText w:val=""/>
      <w:lvlJc w:val="left"/>
      <w:pPr>
        <w:tabs>
          <w:tab w:val="num" w:pos="720"/>
        </w:tabs>
        <w:ind w:left="720" w:hanging="360"/>
      </w:pPr>
      <w:rPr>
        <w:rFonts w:ascii="Symbol" w:hAnsi="Symbol" w:hint="default"/>
      </w:rPr>
    </w:lvl>
    <w:lvl w:ilvl="1" w:tplc="1F847834" w:tentative="1">
      <w:start w:val="1"/>
      <w:numFmt w:val="bullet"/>
      <w:lvlText w:val="o"/>
      <w:lvlJc w:val="left"/>
      <w:pPr>
        <w:tabs>
          <w:tab w:val="num" w:pos="1440"/>
        </w:tabs>
        <w:ind w:left="1440" w:hanging="360"/>
      </w:pPr>
      <w:rPr>
        <w:rFonts w:ascii="Courier New" w:hAnsi="Courier New" w:hint="default"/>
      </w:rPr>
    </w:lvl>
    <w:lvl w:ilvl="2" w:tplc="D0D4EF4A" w:tentative="1">
      <w:start w:val="1"/>
      <w:numFmt w:val="bullet"/>
      <w:lvlText w:val=""/>
      <w:lvlJc w:val="left"/>
      <w:pPr>
        <w:tabs>
          <w:tab w:val="num" w:pos="2160"/>
        </w:tabs>
        <w:ind w:left="2160" w:hanging="360"/>
      </w:pPr>
      <w:rPr>
        <w:rFonts w:ascii="Wingdings" w:hAnsi="Wingdings" w:hint="default"/>
      </w:rPr>
    </w:lvl>
    <w:lvl w:ilvl="3" w:tplc="7038782A" w:tentative="1">
      <w:start w:val="1"/>
      <w:numFmt w:val="bullet"/>
      <w:lvlText w:val=""/>
      <w:lvlJc w:val="left"/>
      <w:pPr>
        <w:tabs>
          <w:tab w:val="num" w:pos="2880"/>
        </w:tabs>
        <w:ind w:left="2880" w:hanging="360"/>
      </w:pPr>
      <w:rPr>
        <w:rFonts w:ascii="Symbol" w:hAnsi="Symbol" w:hint="default"/>
      </w:rPr>
    </w:lvl>
    <w:lvl w:ilvl="4" w:tplc="51FA586A" w:tentative="1">
      <w:start w:val="1"/>
      <w:numFmt w:val="bullet"/>
      <w:lvlText w:val="o"/>
      <w:lvlJc w:val="left"/>
      <w:pPr>
        <w:tabs>
          <w:tab w:val="num" w:pos="3600"/>
        </w:tabs>
        <w:ind w:left="3600" w:hanging="360"/>
      </w:pPr>
      <w:rPr>
        <w:rFonts w:ascii="Courier New" w:hAnsi="Courier New" w:hint="default"/>
      </w:rPr>
    </w:lvl>
    <w:lvl w:ilvl="5" w:tplc="3A568672" w:tentative="1">
      <w:start w:val="1"/>
      <w:numFmt w:val="bullet"/>
      <w:lvlText w:val=""/>
      <w:lvlJc w:val="left"/>
      <w:pPr>
        <w:tabs>
          <w:tab w:val="num" w:pos="4320"/>
        </w:tabs>
        <w:ind w:left="4320" w:hanging="360"/>
      </w:pPr>
      <w:rPr>
        <w:rFonts w:ascii="Wingdings" w:hAnsi="Wingdings" w:hint="default"/>
      </w:rPr>
    </w:lvl>
    <w:lvl w:ilvl="6" w:tplc="64B85FAC" w:tentative="1">
      <w:start w:val="1"/>
      <w:numFmt w:val="bullet"/>
      <w:lvlText w:val=""/>
      <w:lvlJc w:val="left"/>
      <w:pPr>
        <w:tabs>
          <w:tab w:val="num" w:pos="5040"/>
        </w:tabs>
        <w:ind w:left="5040" w:hanging="360"/>
      </w:pPr>
      <w:rPr>
        <w:rFonts w:ascii="Symbol" w:hAnsi="Symbol" w:hint="default"/>
      </w:rPr>
    </w:lvl>
    <w:lvl w:ilvl="7" w:tplc="D632CD70" w:tentative="1">
      <w:start w:val="1"/>
      <w:numFmt w:val="bullet"/>
      <w:lvlText w:val="o"/>
      <w:lvlJc w:val="left"/>
      <w:pPr>
        <w:tabs>
          <w:tab w:val="num" w:pos="5760"/>
        </w:tabs>
        <w:ind w:left="5760" w:hanging="360"/>
      </w:pPr>
      <w:rPr>
        <w:rFonts w:ascii="Courier New" w:hAnsi="Courier New" w:hint="default"/>
      </w:rPr>
    </w:lvl>
    <w:lvl w:ilvl="8" w:tplc="C88C46BE" w:tentative="1">
      <w:start w:val="1"/>
      <w:numFmt w:val="bullet"/>
      <w:lvlText w:val=""/>
      <w:lvlJc w:val="left"/>
      <w:pPr>
        <w:tabs>
          <w:tab w:val="num" w:pos="6480"/>
        </w:tabs>
        <w:ind w:left="6480" w:hanging="360"/>
      </w:pPr>
      <w:rPr>
        <w:rFonts w:ascii="Wingdings" w:hAnsi="Wingdings" w:hint="default"/>
      </w:rPr>
    </w:lvl>
  </w:abstractNum>
  <w:abstractNum w:abstractNumId="246" w15:restartNumberingAfterBreak="0">
    <w:nsid w:val="73EC728A"/>
    <w:multiLevelType w:val="multilevel"/>
    <w:tmpl w:val="E45EAA0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7" w15:restartNumberingAfterBreak="0">
    <w:nsid w:val="74BC0E6C"/>
    <w:multiLevelType w:val="hybridMultilevel"/>
    <w:tmpl w:val="11203F2C"/>
    <w:lvl w:ilvl="0" w:tplc="BFD25BA2">
      <w:numFmt w:val="bullet"/>
      <w:lvlText w:val=""/>
      <w:lvlJc w:val="left"/>
      <w:pPr>
        <w:tabs>
          <w:tab w:val="num" w:pos="720"/>
        </w:tabs>
        <w:ind w:left="720" w:hanging="360"/>
      </w:pPr>
      <w:rPr>
        <w:rFonts w:ascii="Symbol" w:eastAsia="Times New Roman" w:hAnsi="Symbol" w:hint="default"/>
      </w:rPr>
    </w:lvl>
    <w:lvl w:ilvl="1" w:tplc="D102F064" w:tentative="1">
      <w:start w:val="1"/>
      <w:numFmt w:val="bullet"/>
      <w:lvlText w:val="o"/>
      <w:lvlJc w:val="left"/>
      <w:pPr>
        <w:tabs>
          <w:tab w:val="num" w:pos="1440"/>
        </w:tabs>
        <w:ind w:left="1440" w:hanging="360"/>
      </w:pPr>
      <w:rPr>
        <w:rFonts w:ascii="Courier New" w:hAnsi="Courier New" w:hint="default"/>
      </w:rPr>
    </w:lvl>
    <w:lvl w:ilvl="2" w:tplc="B0EAA014" w:tentative="1">
      <w:start w:val="1"/>
      <w:numFmt w:val="bullet"/>
      <w:lvlText w:val=""/>
      <w:lvlJc w:val="left"/>
      <w:pPr>
        <w:tabs>
          <w:tab w:val="num" w:pos="2160"/>
        </w:tabs>
        <w:ind w:left="2160" w:hanging="360"/>
      </w:pPr>
      <w:rPr>
        <w:rFonts w:ascii="Wingdings" w:hAnsi="Wingdings" w:hint="default"/>
      </w:rPr>
    </w:lvl>
    <w:lvl w:ilvl="3" w:tplc="A43C30A8" w:tentative="1">
      <w:start w:val="1"/>
      <w:numFmt w:val="bullet"/>
      <w:lvlText w:val=""/>
      <w:lvlJc w:val="left"/>
      <w:pPr>
        <w:tabs>
          <w:tab w:val="num" w:pos="2880"/>
        </w:tabs>
        <w:ind w:left="2880" w:hanging="360"/>
      </w:pPr>
      <w:rPr>
        <w:rFonts w:ascii="Symbol" w:hAnsi="Symbol" w:hint="default"/>
      </w:rPr>
    </w:lvl>
    <w:lvl w:ilvl="4" w:tplc="1CAA1C1C" w:tentative="1">
      <w:start w:val="1"/>
      <w:numFmt w:val="bullet"/>
      <w:lvlText w:val="o"/>
      <w:lvlJc w:val="left"/>
      <w:pPr>
        <w:tabs>
          <w:tab w:val="num" w:pos="3600"/>
        </w:tabs>
        <w:ind w:left="3600" w:hanging="360"/>
      </w:pPr>
      <w:rPr>
        <w:rFonts w:ascii="Courier New" w:hAnsi="Courier New" w:hint="default"/>
      </w:rPr>
    </w:lvl>
    <w:lvl w:ilvl="5" w:tplc="B8AC57A8" w:tentative="1">
      <w:start w:val="1"/>
      <w:numFmt w:val="bullet"/>
      <w:lvlText w:val=""/>
      <w:lvlJc w:val="left"/>
      <w:pPr>
        <w:tabs>
          <w:tab w:val="num" w:pos="4320"/>
        </w:tabs>
        <w:ind w:left="4320" w:hanging="360"/>
      </w:pPr>
      <w:rPr>
        <w:rFonts w:ascii="Wingdings" w:hAnsi="Wingdings" w:hint="default"/>
      </w:rPr>
    </w:lvl>
    <w:lvl w:ilvl="6" w:tplc="1B12C618" w:tentative="1">
      <w:start w:val="1"/>
      <w:numFmt w:val="bullet"/>
      <w:lvlText w:val=""/>
      <w:lvlJc w:val="left"/>
      <w:pPr>
        <w:tabs>
          <w:tab w:val="num" w:pos="5040"/>
        </w:tabs>
        <w:ind w:left="5040" w:hanging="360"/>
      </w:pPr>
      <w:rPr>
        <w:rFonts w:ascii="Symbol" w:hAnsi="Symbol" w:hint="default"/>
      </w:rPr>
    </w:lvl>
    <w:lvl w:ilvl="7" w:tplc="0F5EF23A" w:tentative="1">
      <w:start w:val="1"/>
      <w:numFmt w:val="bullet"/>
      <w:lvlText w:val="o"/>
      <w:lvlJc w:val="left"/>
      <w:pPr>
        <w:tabs>
          <w:tab w:val="num" w:pos="5760"/>
        </w:tabs>
        <w:ind w:left="5760" w:hanging="360"/>
      </w:pPr>
      <w:rPr>
        <w:rFonts w:ascii="Courier New" w:hAnsi="Courier New" w:hint="default"/>
      </w:rPr>
    </w:lvl>
    <w:lvl w:ilvl="8" w:tplc="2F1CD1F8"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74DB4655"/>
    <w:multiLevelType w:val="hybridMultilevel"/>
    <w:tmpl w:val="FE906A1C"/>
    <w:lvl w:ilvl="0" w:tplc="DC84680A">
      <w:start w:val="1"/>
      <w:numFmt w:val="bullet"/>
      <w:lvlText w:val=""/>
      <w:lvlJc w:val="left"/>
      <w:pPr>
        <w:tabs>
          <w:tab w:val="num" w:pos="720"/>
        </w:tabs>
        <w:ind w:left="720" w:hanging="360"/>
      </w:pPr>
      <w:rPr>
        <w:rFonts w:ascii="Symbol" w:hAnsi="Symbol" w:hint="default"/>
      </w:rPr>
    </w:lvl>
    <w:lvl w:ilvl="1" w:tplc="D12AC1A8" w:tentative="1">
      <w:start w:val="1"/>
      <w:numFmt w:val="bullet"/>
      <w:lvlText w:val="o"/>
      <w:lvlJc w:val="left"/>
      <w:pPr>
        <w:ind w:left="1440" w:hanging="360"/>
      </w:pPr>
      <w:rPr>
        <w:rFonts w:ascii="Courier New" w:hAnsi="Courier New" w:cs="Courier New" w:hint="default"/>
      </w:rPr>
    </w:lvl>
    <w:lvl w:ilvl="2" w:tplc="D35E440E" w:tentative="1">
      <w:start w:val="1"/>
      <w:numFmt w:val="bullet"/>
      <w:lvlText w:val=""/>
      <w:lvlJc w:val="left"/>
      <w:pPr>
        <w:ind w:left="2160" w:hanging="360"/>
      </w:pPr>
      <w:rPr>
        <w:rFonts w:ascii="Wingdings" w:hAnsi="Wingdings" w:hint="default"/>
      </w:rPr>
    </w:lvl>
    <w:lvl w:ilvl="3" w:tplc="530C4DA8" w:tentative="1">
      <w:start w:val="1"/>
      <w:numFmt w:val="bullet"/>
      <w:lvlText w:val=""/>
      <w:lvlJc w:val="left"/>
      <w:pPr>
        <w:ind w:left="2880" w:hanging="360"/>
      </w:pPr>
      <w:rPr>
        <w:rFonts w:ascii="Symbol" w:hAnsi="Symbol" w:hint="default"/>
      </w:rPr>
    </w:lvl>
    <w:lvl w:ilvl="4" w:tplc="7CB225EC" w:tentative="1">
      <w:start w:val="1"/>
      <w:numFmt w:val="bullet"/>
      <w:lvlText w:val="o"/>
      <w:lvlJc w:val="left"/>
      <w:pPr>
        <w:ind w:left="3600" w:hanging="360"/>
      </w:pPr>
      <w:rPr>
        <w:rFonts w:ascii="Courier New" w:hAnsi="Courier New" w:cs="Courier New" w:hint="default"/>
      </w:rPr>
    </w:lvl>
    <w:lvl w:ilvl="5" w:tplc="4BB00460" w:tentative="1">
      <w:start w:val="1"/>
      <w:numFmt w:val="bullet"/>
      <w:lvlText w:val=""/>
      <w:lvlJc w:val="left"/>
      <w:pPr>
        <w:ind w:left="4320" w:hanging="360"/>
      </w:pPr>
      <w:rPr>
        <w:rFonts w:ascii="Wingdings" w:hAnsi="Wingdings" w:hint="default"/>
      </w:rPr>
    </w:lvl>
    <w:lvl w:ilvl="6" w:tplc="463E0CDA" w:tentative="1">
      <w:start w:val="1"/>
      <w:numFmt w:val="bullet"/>
      <w:lvlText w:val=""/>
      <w:lvlJc w:val="left"/>
      <w:pPr>
        <w:ind w:left="5040" w:hanging="360"/>
      </w:pPr>
      <w:rPr>
        <w:rFonts w:ascii="Symbol" w:hAnsi="Symbol" w:hint="default"/>
      </w:rPr>
    </w:lvl>
    <w:lvl w:ilvl="7" w:tplc="5B008136" w:tentative="1">
      <w:start w:val="1"/>
      <w:numFmt w:val="bullet"/>
      <w:lvlText w:val="o"/>
      <w:lvlJc w:val="left"/>
      <w:pPr>
        <w:ind w:left="5760" w:hanging="360"/>
      </w:pPr>
      <w:rPr>
        <w:rFonts w:ascii="Courier New" w:hAnsi="Courier New" w:cs="Courier New" w:hint="default"/>
      </w:rPr>
    </w:lvl>
    <w:lvl w:ilvl="8" w:tplc="963AA92C" w:tentative="1">
      <w:start w:val="1"/>
      <w:numFmt w:val="bullet"/>
      <w:lvlText w:val=""/>
      <w:lvlJc w:val="left"/>
      <w:pPr>
        <w:ind w:left="6480" w:hanging="360"/>
      </w:pPr>
      <w:rPr>
        <w:rFonts w:ascii="Wingdings" w:hAnsi="Wingdings" w:hint="default"/>
      </w:rPr>
    </w:lvl>
  </w:abstractNum>
  <w:abstractNum w:abstractNumId="249" w15:restartNumberingAfterBreak="0">
    <w:nsid w:val="74E07E94"/>
    <w:multiLevelType w:val="hybridMultilevel"/>
    <w:tmpl w:val="A4280814"/>
    <w:lvl w:ilvl="0" w:tplc="D818A9C6">
      <w:start w:val="1"/>
      <w:numFmt w:val="bullet"/>
      <w:lvlText w:val=""/>
      <w:lvlJc w:val="left"/>
      <w:pPr>
        <w:ind w:left="720" w:hanging="360"/>
      </w:pPr>
      <w:rPr>
        <w:rFonts w:ascii="Symbol" w:hAnsi="Symbol" w:hint="default"/>
      </w:rPr>
    </w:lvl>
    <w:lvl w:ilvl="1" w:tplc="8766E6DC" w:tentative="1">
      <w:start w:val="1"/>
      <w:numFmt w:val="bullet"/>
      <w:lvlText w:val="o"/>
      <w:lvlJc w:val="left"/>
      <w:pPr>
        <w:ind w:left="1440" w:hanging="360"/>
      </w:pPr>
      <w:rPr>
        <w:rFonts w:ascii="Courier New" w:hAnsi="Courier New" w:cs="Courier New" w:hint="default"/>
      </w:rPr>
    </w:lvl>
    <w:lvl w:ilvl="2" w:tplc="0CBAAC1E" w:tentative="1">
      <w:start w:val="1"/>
      <w:numFmt w:val="bullet"/>
      <w:lvlText w:val=""/>
      <w:lvlJc w:val="left"/>
      <w:pPr>
        <w:ind w:left="2160" w:hanging="360"/>
      </w:pPr>
      <w:rPr>
        <w:rFonts w:ascii="Wingdings" w:hAnsi="Wingdings" w:hint="default"/>
      </w:rPr>
    </w:lvl>
    <w:lvl w:ilvl="3" w:tplc="A55AF638" w:tentative="1">
      <w:start w:val="1"/>
      <w:numFmt w:val="bullet"/>
      <w:lvlText w:val=""/>
      <w:lvlJc w:val="left"/>
      <w:pPr>
        <w:ind w:left="2880" w:hanging="360"/>
      </w:pPr>
      <w:rPr>
        <w:rFonts w:ascii="Symbol" w:hAnsi="Symbol" w:hint="default"/>
      </w:rPr>
    </w:lvl>
    <w:lvl w:ilvl="4" w:tplc="62BAFA30" w:tentative="1">
      <w:start w:val="1"/>
      <w:numFmt w:val="bullet"/>
      <w:lvlText w:val="o"/>
      <w:lvlJc w:val="left"/>
      <w:pPr>
        <w:ind w:left="3600" w:hanging="360"/>
      </w:pPr>
      <w:rPr>
        <w:rFonts w:ascii="Courier New" w:hAnsi="Courier New" w:cs="Courier New" w:hint="default"/>
      </w:rPr>
    </w:lvl>
    <w:lvl w:ilvl="5" w:tplc="8F9A6DA4" w:tentative="1">
      <w:start w:val="1"/>
      <w:numFmt w:val="bullet"/>
      <w:lvlText w:val=""/>
      <w:lvlJc w:val="left"/>
      <w:pPr>
        <w:ind w:left="4320" w:hanging="360"/>
      </w:pPr>
      <w:rPr>
        <w:rFonts w:ascii="Wingdings" w:hAnsi="Wingdings" w:hint="default"/>
      </w:rPr>
    </w:lvl>
    <w:lvl w:ilvl="6" w:tplc="B5980F64" w:tentative="1">
      <w:start w:val="1"/>
      <w:numFmt w:val="bullet"/>
      <w:lvlText w:val=""/>
      <w:lvlJc w:val="left"/>
      <w:pPr>
        <w:ind w:left="5040" w:hanging="360"/>
      </w:pPr>
      <w:rPr>
        <w:rFonts w:ascii="Symbol" w:hAnsi="Symbol" w:hint="default"/>
      </w:rPr>
    </w:lvl>
    <w:lvl w:ilvl="7" w:tplc="C6180796" w:tentative="1">
      <w:start w:val="1"/>
      <w:numFmt w:val="bullet"/>
      <w:lvlText w:val="o"/>
      <w:lvlJc w:val="left"/>
      <w:pPr>
        <w:ind w:left="5760" w:hanging="360"/>
      </w:pPr>
      <w:rPr>
        <w:rFonts w:ascii="Courier New" w:hAnsi="Courier New" w:cs="Courier New" w:hint="default"/>
      </w:rPr>
    </w:lvl>
    <w:lvl w:ilvl="8" w:tplc="8222C20C" w:tentative="1">
      <w:start w:val="1"/>
      <w:numFmt w:val="bullet"/>
      <w:lvlText w:val=""/>
      <w:lvlJc w:val="left"/>
      <w:pPr>
        <w:ind w:left="6480" w:hanging="360"/>
      </w:pPr>
      <w:rPr>
        <w:rFonts w:ascii="Wingdings" w:hAnsi="Wingdings" w:hint="default"/>
      </w:rPr>
    </w:lvl>
  </w:abstractNum>
  <w:abstractNum w:abstractNumId="250" w15:restartNumberingAfterBreak="0">
    <w:nsid w:val="75673ECB"/>
    <w:multiLevelType w:val="hybridMultilevel"/>
    <w:tmpl w:val="9176D010"/>
    <w:lvl w:ilvl="0" w:tplc="43C43026">
      <w:start w:val="1"/>
      <w:numFmt w:val="lowerLetter"/>
      <w:lvlText w:val="%1"/>
      <w:lvlJc w:val="left"/>
      <w:pPr>
        <w:ind w:left="720" w:hanging="720"/>
      </w:pPr>
      <w:rPr>
        <w:rFonts w:ascii="Times New Roman" w:hAnsi="Times New Roman" w:cs="Times New Roman" w:hint="default"/>
        <w:b w:val="0"/>
        <w:i w:val="0"/>
        <w:caps w:val="0"/>
        <w:sz w:val="16"/>
        <w:szCs w:val="16"/>
        <w:u w:val="none"/>
        <w:vertAlign w:val="superscript"/>
      </w:rPr>
    </w:lvl>
    <w:lvl w:ilvl="1" w:tplc="7A0A4ED2" w:tentative="1">
      <w:start w:val="1"/>
      <w:numFmt w:val="lowerLetter"/>
      <w:lvlText w:val="%2."/>
      <w:lvlJc w:val="left"/>
      <w:pPr>
        <w:ind w:left="1440" w:hanging="360"/>
      </w:pPr>
    </w:lvl>
    <w:lvl w:ilvl="2" w:tplc="48AEA0E4" w:tentative="1">
      <w:start w:val="1"/>
      <w:numFmt w:val="lowerRoman"/>
      <w:lvlText w:val="%3."/>
      <w:lvlJc w:val="right"/>
      <w:pPr>
        <w:ind w:left="2160" w:hanging="180"/>
      </w:pPr>
    </w:lvl>
    <w:lvl w:ilvl="3" w:tplc="D6A64754" w:tentative="1">
      <w:start w:val="1"/>
      <w:numFmt w:val="decimal"/>
      <w:lvlText w:val="%4."/>
      <w:lvlJc w:val="left"/>
      <w:pPr>
        <w:ind w:left="2880" w:hanging="360"/>
      </w:pPr>
    </w:lvl>
    <w:lvl w:ilvl="4" w:tplc="CA047B6E" w:tentative="1">
      <w:start w:val="1"/>
      <w:numFmt w:val="lowerLetter"/>
      <w:lvlText w:val="%5."/>
      <w:lvlJc w:val="left"/>
      <w:pPr>
        <w:ind w:left="3600" w:hanging="360"/>
      </w:pPr>
    </w:lvl>
    <w:lvl w:ilvl="5" w:tplc="8BA6F6AE" w:tentative="1">
      <w:start w:val="1"/>
      <w:numFmt w:val="lowerRoman"/>
      <w:lvlText w:val="%6."/>
      <w:lvlJc w:val="right"/>
      <w:pPr>
        <w:ind w:left="4320" w:hanging="180"/>
      </w:pPr>
    </w:lvl>
    <w:lvl w:ilvl="6" w:tplc="2F6A5674" w:tentative="1">
      <w:start w:val="1"/>
      <w:numFmt w:val="decimal"/>
      <w:lvlText w:val="%7."/>
      <w:lvlJc w:val="left"/>
      <w:pPr>
        <w:ind w:left="5040" w:hanging="360"/>
      </w:pPr>
    </w:lvl>
    <w:lvl w:ilvl="7" w:tplc="031EDECA" w:tentative="1">
      <w:start w:val="1"/>
      <w:numFmt w:val="lowerLetter"/>
      <w:lvlText w:val="%8."/>
      <w:lvlJc w:val="left"/>
      <w:pPr>
        <w:ind w:left="5760" w:hanging="360"/>
      </w:pPr>
    </w:lvl>
    <w:lvl w:ilvl="8" w:tplc="A3BE5296" w:tentative="1">
      <w:start w:val="1"/>
      <w:numFmt w:val="lowerRoman"/>
      <w:lvlText w:val="%9."/>
      <w:lvlJc w:val="right"/>
      <w:pPr>
        <w:ind w:left="6480" w:hanging="180"/>
      </w:pPr>
    </w:lvl>
  </w:abstractNum>
  <w:abstractNum w:abstractNumId="251" w15:restartNumberingAfterBreak="0">
    <w:nsid w:val="7593606E"/>
    <w:multiLevelType w:val="hybridMultilevel"/>
    <w:tmpl w:val="44E227DE"/>
    <w:lvl w:ilvl="0" w:tplc="242ADBE2">
      <w:start w:val="1"/>
      <w:numFmt w:val="bullet"/>
      <w:lvlText w:val=""/>
      <w:lvlJc w:val="left"/>
      <w:pPr>
        <w:tabs>
          <w:tab w:val="num" w:pos="720"/>
        </w:tabs>
        <w:ind w:left="720" w:hanging="360"/>
      </w:pPr>
      <w:rPr>
        <w:rFonts w:ascii="Symbol" w:hAnsi="Symbol" w:hint="default"/>
      </w:rPr>
    </w:lvl>
    <w:lvl w:ilvl="1" w:tplc="0FCAF6F2" w:tentative="1">
      <w:start w:val="1"/>
      <w:numFmt w:val="bullet"/>
      <w:lvlText w:val="o"/>
      <w:lvlJc w:val="left"/>
      <w:pPr>
        <w:tabs>
          <w:tab w:val="num" w:pos="1440"/>
        </w:tabs>
        <w:ind w:left="1440" w:hanging="360"/>
      </w:pPr>
      <w:rPr>
        <w:rFonts w:ascii="Courier New" w:hAnsi="Courier New" w:hint="default"/>
      </w:rPr>
    </w:lvl>
    <w:lvl w:ilvl="2" w:tplc="6CC66BC8" w:tentative="1">
      <w:start w:val="1"/>
      <w:numFmt w:val="bullet"/>
      <w:lvlText w:val=""/>
      <w:lvlJc w:val="left"/>
      <w:pPr>
        <w:tabs>
          <w:tab w:val="num" w:pos="2160"/>
        </w:tabs>
        <w:ind w:left="2160" w:hanging="360"/>
      </w:pPr>
      <w:rPr>
        <w:rFonts w:ascii="Wingdings" w:hAnsi="Wingdings" w:hint="default"/>
      </w:rPr>
    </w:lvl>
    <w:lvl w:ilvl="3" w:tplc="4C18993E" w:tentative="1">
      <w:start w:val="1"/>
      <w:numFmt w:val="bullet"/>
      <w:lvlText w:val=""/>
      <w:lvlJc w:val="left"/>
      <w:pPr>
        <w:tabs>
          <w:tab w:val="num" w:pos="2880"/>
        </w:tabs>
        <w:ind w:left="2880" w:hanging="360"/>
      </w:pPr>
      <w:rPr>
        <w:rFonts w:ascii="Symbol" w:hAnsi="Symbol" w:hint="default"/>
      </w:rPr>
    </w:lvl>
    <w:lvl w:ilvl="4" w:tplc="60900F22" w:tentative="1">
      <w:start w:val="1"/>
      <w:numFmt w:val="bullet"/>
      <w:lvlText w:val="o"/>
      <w:lvlJc w:val="left"/>
      <w:pPr>
        <w:tabs>
          <w:tab w:val="num" w:pos="3600"/>
        </w:tabs>
        <w:ind w:left="3600" w:hanging="360"/>
      </w:pPr>
      <w:rPr>
        <w:rFonts w:ascii="Courier New" w:hAnsi="Courier New" w:hint="default"/>
      </w:rPr>
    </w:lvl>
    <w:lvl w:ilvl="5" w:tplc="E5E4F2B4" w:tentative="1">
      <w:start w:val="1"/>
      <w:numFmt w:val="bullet"/>
      <w:lvlText w:val=""/>
      <w:lvlJc w:val="left"/>
      <w:pPr>
        <w:tabs>
          <w:tab w:val="num" w:pos="4320"/>
        </w:tabs>
        <w:ind w:left="4320" w:hanging="360"/>
      </w:pPr>
      <w:rPr>
        <w:rFonts w:ascii="Wingdings" w:hAnsi="Wingdings" w:hint="default"/>
      </w:rPr>
    </w:lvl>
    <w:lvl w:ilvl="6" w:tplc="67A46A78" w:tentative="1">
      <w:start w:val="1"/>
      <w:numFmt w:val="bullet"/>
      <w:lvlText w:val=""/>
      <w:lvlJc w:val="left"/>
      <w:pPr>
        <w:tabs>
          <w:tab w:val="num" w:pos="5040"/>
        </w:tabs>
        <w:ind w:left="5040" w:hanging="360"/>
      </w:pPr>
      <w:rPr>
        <w:rFonts w:ascii="Symbol" w:hAnsi="Symbol" w:hint="default"/>
      </w:rPr>
    </w:lvl>
    <w:lvl w:ilvl="7" w:tplc="DBBC3CEA" w:tentative="1">
      <w:start w:val="1"/>
      <w:numFmt w:val="bullet"/>
      <w:lvlText w:val="o"/>
      <w:lvlJc w:val="left"/>
      <w:pPr>
        <w:tabs>
          <w:tab w:val="num" w:pos="5760"/>
        </w:tabs>
        <w:ind w:left="5760" w:hanging="360"/>
      </w:pPr>
      <w:rPr>
        <w:rFonts w:ascii="Courier New" w:hAnsi="Courier New" w:hint="default"/>
      </w:rPr>
    </w:lvl>
    <w:lvl w:ilvl="8" w:tplc="3E4E9FE2" w:tentative="1">
      <w:start w:val="1"/>
      <w:numFmt w:val="bullet"/>
      <w:lvlText w:val=""/>
      <w:lvlJc w:val="left"/>
      <w:pPr>
        <w:tabs>
          <w:tab w:val="num" w:pos="6480"/>
        </w:tabs>
        <w:ind w:left="6480" w:hanging="360"/>
      </w:pPr>
      <w:rPr>
        <w:rFonts w:ascii="Wingdings" w:hAnsi="Wingdings" w:hint="default"/>
      </w:rPr>
    </w:lvl>
  </w:abstractNum>
  <w:abstractNum w:abstractNumId="252" w15:restartNumberingAfterBreak="0">
    <w:nsid w:val="7673672F"/>
    <w:multiLevelType w:val="hybridMultilevel"/>
    <w:tmpl w:val="72ACC65A"/>
    <w:lvl w:ilvl="0" w:tplc="FC0A9A98">
      <w:start w:val="1"/>
      <w:numFmt w:val="bullet"/>
      <w:lvlText w:val=""/>
      <w:lvlJc w:val="left"/>
      <w:pPr>
        <w:ind w:left="720" w:hanging="360"/>
      </w:pPr>
      <w:rPr>
        <w:rFonts w:ascii="Symbol" w:hAnsi="Symbol" w:hint="default"/>
      </w:rPr>
    </w:lvl>
    <w:lvl w:ilvl="1" w:tplc="2D1AA4AA" w:tentative="1">
      <w:start w:val="1"/>
      <w:numFmt w:val="bullet"/>
      <w:lvlText w:val="o"/>
      <w:lvlJc w:val="left"/>
      <w:pPr>
        <w:ind w:left="1440" w:hanging="360"/>
      </w:pPr>
      <w:rPr>
        <w:rFonts w:ascii="Courier New" w:hAnsi="Courier New" w:hint="default"/>
      </w:rPr>
    </w:lvl>
    <w:lvl w:ilvl="2" w:tplc="AC24893C" w:tentative="1">
      <w:start w:val="1"/>
      <w:numFmt w:val="bullet"/>
      <w:lvlText w:val=""/>
      <w:lvlJc w:val="left"/>
      <w:pPr>
        <w:ind w:left="2160" w:hanging="360"/>
      </w:pPr>
      <w:rPr>
        <w:rFonts w:ascii="Wingdings" w:hAnsi="Wingdings" w:hint="default"/>
      </w:rPr>
    </w:lvl>
    <w:lvl w:ilvl="3" w:tplc="55D8C94A" w:tentative="1">
      <w:start w:val="1"/>
      <w:numFmt w:val="bullet"/>
      <w:lvlText w:val=""/>
      <w:lvlJc w:val="left"/>
      <w:pPr>
        <w:ind w:left="2880" w:hanging="360"/>
      </w:pPr>
      <w:rPr>
        <w:rFonts w:ascii="Symbol" w:hAnsi="Symbol" w:hint="default"/>
      </w:rPr>
    </w:lvl>
    <w:lvl w:ilvl="4" w:tplc="A38CBF32" w:tentative="1">
      <w:start w:val="1"/>
      <w:numFmt w:val="bullet"/>
      <w:lvlText w:val="o"/>
      <w:lvlJc w:val="left"/>
      <w:pPr>
        <w:ind w:left="3600" w:hanging="360"/>
      </w:pPr>
      <w:rPr>
        <w:rFonts w:ascii="Courier New" w:hAnsi="Courier New" w:hint="default"/>
      </w:rPr>
    </w:lvl>
    <w:lvl w:ilvl="5" w:tplc="8B0CEE5A" w:tentative="1">
      <w:start w:val="1"/>
      <w:numFmt w:val="bullet"/>
      <w:lvlText w:val=""/>
      <w:lvlJc w:val="left"/>
      <w:pPr>
        <w:ind w:left="4320" w:hanging="360"/>
      </w:pPr>
      <w:rPr>
        <w:rFonts w:ascii="Wingdings" w:hAnsi="Wingdings" w:hint="default"/>
      </w:rPr>
    </w:lvl>
    <w:lvl w:ilvl="6" w:tplc="BB86879A" w:tentative="1">
      <w:start w:val="1"/>
      <w:numFmt w:val="bullet"/>
      <w:lvlText w:val=""/>
      <w:lvlJc w:val="left"/>
      <w:pPr>
        <w:ind w:left="5040" w:hanging="360"/>
      </w:pPr>
      <w:rPr>
        <w:rFonts w:ascii="Symbol" w:hAnsi="Symbol" w:hint="default"/>
      </w:rPr>
    </w:lvl>
    <w:lvl w:ilvl="7" w:tplc="8A52F086" w:tentative="1">
      <w:start w:val="1"/>
      <w:numFmt w:val="bullet"/>
      <w:lvlText w:val="o"/>
      <w:lvlJc w:val="left"/>
      <w:pPr>
        <w:ind w:left="5760" w:hanging="360"/>
      </w:pPr>
      <w:rPr>
        <w:rFonts w:ascii="Courier New" w:hAnsi="Courier New" w:hint="default"/>
      </w:rPr>
    </w:lvl>
    <w:lvl w:ilvl="8" w:tplc="D38662D4" w:tentative="1">
      <w:start w:val="1"/>
      <w:numFmt w:val="bullet"/>
      <w:lvlText w:val=""/>
      <w:lvlJc w:val="left"/>
      <w:pPr>
        <w:ind w:left="6480" w:hanging="360"/>
      </w:pPr>
      <w:rPr>
        <w:rFonts w:ascii="Wingdings" w:hAnsi="Wingdings" w:hint="default"/>
      </w:rPr>
    </w:lvl>
  </w:abstractNum>
  <w:abstractNum w:abstractNumId="253" w15:restartNumberingAfterBreak="0">
    <w:nsid w:val="774D1A38"/>
    <w:multiLevelType w:val="hybridMultilevel"/>
    <w:tmpl w:val="316C5FA6"/>
    <w:lvl w:ilvl="0" w:tplc="D38887D8">
      <w:start w:val="1"/>
      <w:numFmt w:val="bullet"/>
      <w:lvlText w:val=""/>
      <w:lvlJc w:val="left"/>
      <w:pPr>
        <w:ind w:left="720" w:hanging="360"/>
      </w:pPr>
      <w:rPr>
        <w:rFonts w:ascii="Symbol" w:hAnsi="Symbol" w:hint="default"/>
      </w:rPr>
    </w:lvl>
    <w:lvl w:ilvl="1" w:tplc="0792BD64" w:tentative="1">
      <w:start w:val="1"/>
      <w:numFmt w:val="bullet"/>
      <w:lvlText w:val="o"/>
      <w:lvlJc w:val="left"/>
      <w:pPr>
        <w:ind w:left="1440" w:hanging="360"/>
      </w:pPr>
      <w:rPr>
        <w:rFonts w:ascii="Courier New" w:hAnsi="Courier New" w:cs="Courier New" w:hint="default"/>
      </w:rPr>
    </w:lvl>
    <w:lvl w:ilvl="2" w:tplc="3594F66C" w:tentative="1">
      <w:start w:val="1"/>
      <w:numFmt w:val="bullet"/>
      <w:lvlText w:val=""/>
      <w:lvlJc w:val="left"/>
      <w:pPr>
        <w:ind w:left="2160" w:hanging="360"/>
      </w:pPr>
      <w:rPr>
        <w:rFonts w:ascii="Wingdings" w:hAnsi="Wingdings" w:hint="default"/>
      </w:rPr>
    </w:lvl>
    <w:lvl w:ilvl="3" w:tplc="5492F5B4" w:tentative="1">
      <w:start w:val="1"/>
      <w:numFmt w:val="bullet"/>
      <w:lvlText w:val=""/>
      <w:lvlJc w:val="left"/>
      <w:pPr>
        <w:ind w:left="2880" w:hanging="360"/>
      </w:pPr>
      <w:rPr>
        <w:rFonts w:ascii="Symbol" w:hAnsi="Symbol" w:hint="default"/>
      </w:rPr>
    </w:lvl>
    <w:lvl w:ilvl="4" w:tplc="9F96DD26" w:tentative="1">
      <w:start w:val="1"/>
      <w:numFmt w:val="bullet"/>
      <w:lvlText w:val="o"/>
      <w:lvlJc w:val="left"/>
      <w:pPr>
        <w:ind w:left="3600" w:hanging="360"/>
      </w:pPr>
      <w:rPr>
        <w:rFonts w:ascii="Courier New" w:hAnsi="Courier New" w:cs="Courier New" w:hint="default"/>
      </w:rPr>
    </w:lvl>
    <w:lvl w:ilvl="5" w:tplc="8DC422C8" w:tentative="1">
      <w:start w:val="1"/>
      <w:numFmt w:val="bullet"/>
      <w:lvlText w:val=""/>
      <w:lvlJc w:val="left"/>
      <w:pPr>
        <w:ind w:left="4320" w:hanging="360"/>
      </w:pPr>
      <w:rPr>
        <w:rFonts w:ascii="Wingdings" w:hAnsi="Wingdings" w:hint="default"/>
      </w:rPr>
    </w:lvl>
    <w:lvl w:ilvl="6" w:tplc="BB369FB6" w:tentative="1">
      <w:start w:val="1"/>
      <w:numFmt w:val="bullet"/>
      <w:lvlText w:val=""/>
      <w:lvlJc w:val="left"/>
      <w:pPr>
        <w:ind w:left="5040" w:hanging="360"/>
      </w:pPr>
      <w:rPr>
        <w:rFonts w:ascii="Symbol" w:hAnsi="Symbol" w:hint="default"/>
      </w:rPr>
    </w:lvl>
    <w:lvl w:ilvl="7" w:tplc="B4D4DC32" w:tentative="1">
      <w:start w:val="1"/>
      <w:numFmt w:val="bullet"/>
      <w:lvlText w:val="o"/>
      <w:lvlJc w:val="left"/>
      <w:pPr>
        <w:ind w:left="5760" w:hanging="360"/>
      </w:pPr>
      <w:rPr>
        <w:rFonts w:ascii="Courier New" w:hAnsi="Courier New" w:cs="Courier New" w:hint="default"/>
      </w:rPr>
    </w:lvl>
    <w:lvl w:ilvl="8" w:tplc="F01855AA" w:tentative="1">
      <w:start w:val="1"/>
      <w:numFmt w:val="bullet"/>
      <w:lvlText w:val=""/>
      <w:lvlJc w:val="left"/>
      <w:pPr>
        <w:ind w:left="6480" w:hanging="360"/>
      </w:pPr>
      <w:rPr>
        <w:rFonts w:ascii="Wingdings" w:hAnsi="Wingdings" w:hint="default"/>
      </w:rPr>
    </w:lvl>
  </w:abstractNum>
  <w:abstractNum w:abstractNumId="254" w15:restartNumberingAfterBreak="0">
    <w:nsid w:val="777F1186"/>
    <w:multiLevelType w:val="multilevel"/>
    <w:tmpl w:val="D27C9CE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5" w15:restartNumberingAfterBreak="0">
    <w:nsid w:val="78133C82"/>
    <w:multiLevelType w:val="hybridMultilevel"/>
    <w:tmpl w:val="9F0C1040"/>
    <w:lvl w:ilvl="0" w:tplc="9DBCD4D6">
      <w:start w:val="1"/>
      <w:numFmt w:val="decimal"/>
      <w:lvlText w:val="%1."/>
      <w:lvlJc w:val="left"/>
      <w:pPr>
        <w:tabs>
          <w:tab w:val="num" w:pos="360"/>
        </w:tabs>
        <w:ind w:left="360" w:hanging="360"/>
      </w:pPr>
    </w:lvl>
    <w:lvl w:ilvl="1" w:tplc="D3D41B9A" w:tentative="1">
      <w:start w:val="1"/>
      <w:numFmt w:val="bullet"/>
      <w:lvlText w:val="o"/>
      <w:lvlJc w:val="left"/>
      <w:pPr>
        <w:tabs>
          <w:tab w:val="num" w:pos="1440"/>
        </w:tabs>
        <w:ind w:left="1440" w:hanging="360"/>
      </w:pPr>
      <w:rPr>
        <w:rFonts w:ascii="Courier New" w:hAnsi="Courier New" w:hint="default"/>
      </w:rPr>
    </w:lvl>
    <w:lvl w:ilvl="2" w:tplc="6BF03442" w:tentative="1">
      <w:start w:val="1"/>
      <w:numFmt w:val="bullet"/>
      <w:lvlText w:val=""/>
      <w:lvlJc w:val="left"/>
      <w:pPr>
        <w:tabs>
          <w:tab w:val="num" w:pos="2160"/>
        </w:tabs>
        <w:ind w:left="2160" w:hanging="360"/>
      </w:pPr>
      <w:rPr>
        <w:rFonts w:ascii="Wingdings" w:hAnsi="Wingdings" w:hint="default"/>
      </w:rPr>
    </w:lvl>
    <w:lvl w:ilvl="3" w:tplc="269EC55A" w:tentative="1">
      <w:start w:val="1"/>
      <w:numFmt w:val="bullet"/>
      <w:lvlText w:val=""/>
      <w:lvlJc w:val="left"/>
      <w:pPr>
        <w:tabs>
          <w:tab w:val="num" w:pos="2880"/>
        </w:tabs>
        <w:ind w:left="2880" w:hanging="360"/>
      </w:pPr>
      <w:rPr>
        <w:rFonts w:ascii="Symbol" w:hAnsi="Symbol" w:hint="default"/>
      </w:rPr>
    </w:lvl>
    <w:lvl w:ilvl="4" w:tplc="AB7AEC28" w:tentative="1">
      <w:start w:val="1"/>
      <w:numFmt w:val="bullet"/>
      <w:lvlText w:val="o"/>
      <w:lvlJc w:val="left"/>
      <w:pPr>
        <w:tabs>
          <w:tab w:val="num" w:pos="3600"/>
        </w:tabs>
        <w:ind w:left="3600" w:hanging="360"/>
      </w:pPr>
      <w:rPr>
        <w:rFonts w:ascii="Courier New" w:hAnsi="Courier New" w:hint="default"/>
      </w:rPr>
    </w:lvl>
    <w:lvl w:ilvl="5" w:tplc="530A2EB0" w:tentative="1">
      <w:start w:val="1"/>
      <w:numFmt w:val="bullet"/>
      <w:lvlText w:val=""/>
      <w:lvlJc w:val="left"/>
      <w:pPr>
        <w:tabs>
          <w:tab w:val="num" w:pos="4320"/>
        </w:tabs>
        <w:ind w:left="4320" w:hanging="360"/>
      </w:pPr>
      <w:rPr>
        <w:rFonts w:ascii="Wingdings" w:hAnsi="Wingdings" w:hint="default"/>
      </w:rPr>
    </w:lvl>
    <w:lvl w:ilvl="6" w:tplc="994ED640" w:tentative="1">
      <w:start w:val="1"/>
      <w:numFmt w:val="bullet"/>
      <w:lvlText w:val=""/>
      <w:lvlJc w:val="left"/>
      <w:pPr>
        <w:tabs>
          <w:tab w:val="num" w:pos="5040"/>
        </w:tabs>
        <w:ind w:left="5040" w:hanging="360"/>
      </w:pPr>
      <w:rPr>
        <w:rFonts w:ascii="Symbol" w:hAnsi="Symbol" w:hint="default"/>
      </w:rPr>
    </w:lvl>
    <w:lvl w:ilvl="7" w:tplc="DFD470A4" w:tentative="1">
      <w:start w:val="1"/>
      <w:numFmt w:val="bullet"/>
      <w:lvlText w:val="o"/>
      <w:lvlJc w:val="left"/>
      <w:pPr>
        <w:tabs>
          <w:tab w:val="num" w:pos="5760"/>
        </w:tabs>
        <w:ind w:left="5760" w:hanging="360"/>
      </w:pPr>
      <w:rPr>
        <w:rFonts w:ascii="Courier New" w:hAnsi="Courier New" w:hint="default"/>
      </w:rPr>
    </w:lvl>
    <w:lvl w:ilvl="8" w:tplc="D796490C"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79CD7F37"/>
    <w:multiLevelType w:val="multilevel"/>
    <w:tmpl w:val="905201FA"/>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257" w15:restartNumberingAfterBreak="0">
    <w:nsid w:val="7A0B4405"/>
    <w:multiLevelType w:val="hybridMultilevel"/>
    <w:tmpl w:val="5388004C"/>
    <w:lvl w:ilvl="0" w:tplc="9884650A">
      <w:start w:val="1"/>
      <w:numFmt w:val="lowerLetter"/>
      <w:lvlText w:val="%1"/>
      <w:lvlJc w:val="left"/>
      <w:pPr>
        <w:ind w:left="720" w:hanging="360"/>
      </w:pPr>
      <w:rPr>
        <w:rFonts w:hint="default"/>
        <w:sz w:val="16"/>
        <w:szCs w:val="16"/>
        <w:vertAlign w:val="superscript"/>
      </w:rPr>
    </w:lvl>
    <w:lvl w:ilvl="1" w:tplc="9C1C6C98" w:tentative="1">
      <w:start w:val="1"/>
      <w:numFmt w:val="lowerLetter"/>
      <w:lvlText w:val="%2."/>
      <w:lvlJc w:val="left"/>
      <w:pPr>
        <w:ind w:left="1440" w:hanging="360"/>
      </w:pPr>
    </w:lvl>
    <w:lvl w:ilvl="2" w:tplc="6958C6F0" w:tentative="1">
      <w:start w:val="1"/>
      <w:numFmt w:val="lowerRoman"/>
      <w:lvlText w:val="%3."/>
      <w:lvlJc w:val="right"/>
      <w:pPr>
        <w:ind w:left="2160" w:hanging="180"/>
      </w:pPr>
    </w:lvl>
    <w:lvl w:ilvl="3" w:tplc="80C480EE" w:tentative="1">
      <w:start w:val="1"/>
      <w:numFmt w:val="decimal"/>
      <w:lvlText w:val="%4."/>
      <w:lvlJc w:val="left"/>
      <w:pPr>
        <w:ind w:left="2880" w:hanging="360"/>
      </w:pPr>
    </w:lvl>
    <w:lvl w:ilvl="4" w:tplc="993887CE" w:tentative="1">
      <w:start w:val="1"/>
      <w:numFmt w:val="lowerLetter"/>
      <w:lvlText w:val="%5."/>
      <w:lvlJc w:val="left"/>
      <w:pPr>
        <w:ind w:left="3600" w:hanging="360"/>
      </w:pPr>
    </w:lvl>
    <w:lvl w:ilvl="5" w:tplc="695C6420" w:tentative="1">
      <w:start w:val="1"/>
      <w:numFmt w:val="lowerRoman"/>
      <w:lvlText w:val="%6."/>
      <w:lvlJc w:val="right"/>
      <w:pPr>
        <w:ind w:left="4320" w:hanging="180"/>
      </w:pPr>
    </w:lvl>
    <w:lvl w:ilvl="6" w:tplc="B7C49310" w:tentative="1">
      <w:start w:val="1"/>
      <w:numFmt w:val="decimal"/>
      <w:lvlText w:val="%7."/>
      <w:lvlJc w:val="left"/>
      <w:pPr>
        <w:ind w:left="5040" w:hanging="360"/>
      </w:pPr>
    </w:lvl>
    <w:lvl w:ilvl="7" w:tplc="486EFBD8" w:tentative="1">
      <w:start w:val="1"/>
      <w:numFmt w:val="lowerLetter"/>
      <w:lvlText w:val="%8."/>
      <w:lvlJc w:val="left"/>
      <w:pPr>
        <w:ind w:left="5760" w:hanging="360"/>
      </w:pPr>
    </w:lvl>
    <w:lvl w:ilvl="8" w:tplc="328A5DD8" w:tentative="1">
      <w:start w:val="1"/>
      <w:numFmt w:val="lowerRoman"/>
      <w:lvlText w:val="%9."/>
      <w:lvlJc w:val="right"/>
      <w:pPr>
        <w:ind w:left="6480" w:hanging="180"/>
      </w:pPr>
    </w:lvl>
  </w:abstractNum>
  <w:abstractNum w:abstractNumId="258" w15:restartNumberingAfterBreak="0">
    <w:nsid w:val="7A2C2E7C"/>
    <w:multiLevelType w:val="hybridMultilevel"/>
    <w:tmpl w:val="FE26A320"/>
    <w:lvl w:ilvl="0" w:tplc="DC6CB60E">
      <w:start w:val="1"/>
      <w:numFmt w:val="bullet"/>
      <w:lvlText w:val=""/>
      <w:lvlJc w:val="left"/>
      <w:pPr>
        <w:tabs>
          <w:tab w:val="num" w:pos="720"/>
        </w:tabs>
        <w:ind w:left="720" w:hanging="360"/>
      </w:pPr>
      <w:rPr>
        <w:rFonts w:ascii="Symbol" w:hAnsi="Symbol" w:hint="default"/>
      </w:rPr>
    </w:lvl>
    <w:lvl w:ilvl="1" w:tplc="E724ECD4" w:tentative="1">
      <w:start w:val="1"/>
      <w:numFmt w:val="bullet"/>
      <w:lvlText w:val="o"/>
      <w:lvlJc w:val="left"/>
      <w:pPr>
        <w:tabs>
          <w:tab w:val="num" w:pos="1440"/>
        </w:tabs>
        <w:ind w:left="1440" w:hanging="360"/>
      </w:pPr>
      <w:rPr>
        <w:rFonts w:ascii="Courier New" w:hAnsi="Courier New" w:hint="default"/>
      </w:rPr>
    </w:lvl>
    <w:lvl w:ilvl="2" w:tplc="0520DCC8" w:tentative="1">
      <w:start w:val="1"/>
      <w:numFmt w:val="bullet"/>
      <w:lvlText w:val=""/>
      <w:lvlJc w:val="left"/>
      <w:pPr>
        <w:tabs>
          <w:tab w:val="num" w:pos="2160"/>
        </w:tabs>
        <w:ind w:left="2160" w:hanging="360"/>
      </w:pPr>
      <w:rPr>
        <w:rFonts w:ascii="Wingdings" w:hAnsi="Wingdings" w:hint="default"/>
      </w:rPr>
    </w:lvl>
    <w:lvl w:ilvl="3" w:tplc="804C8AAE" w:tentative="1">
      <w:start w:val="1"/>
      <w:numFmt w:val="bullet"/>
      <w:lvlText w:val=""/>
      <w:lvlJc w:val="left"/>
      <w:pPr>
        <w:tabs>
          <w:tab w:val="num" w:pos="2880"/>
        </w:tabs>
        <w:ind w:left="2880" w:hanging="360"/>
      </w:pPr>
      <w:rPr>
        <w:rFonts w:ascii="Symbol" w:hAnsi="Symbol" w:hint="default"/>
      </w:rPr>
    </w:lvl>
    <w:lvl w:ilvl="4" w:tplc="E056065A" w:tentative="1">
      <w:start w:val="1"/>
      <w:numFmt w:val="bullet"/>
      <w:lvlText w:val="o"/>
      <w:lvlJc w:val="left"/>
      <w:pPr>
        <w:tabs>
          <w:tab w:val="num" w:pos="3600"/>
        </w:tabs>
        <w:ind w:left="3600" w:hanging="360"/>
      </w:pPr>
      <w:rPr>
        <w:rFonts w:ascii="Courier New" w:hAnsi="Courier New" w:hint="default"/>
      </w:rPr>
    </w:lvl>
    <w:lvl w:ilvl="5" w:tplc="EAEAB434" w:tentative="1">
      <w:start w:val="1"/>
      <w:numFmt w:val="bullet"/>
      <w:lvlText w:val=""/>
      <w:lvlJc w:val="left"/>
      <w:pPr>
        <w:tabs>
          <w:tab w:val="num" w:pos="4320"/>
        </w:tabs>
        <w:ind w:left="4320" w:hanging="360"/>
      </w:pPr>
      <w:rPr>
        <w:rFonts w:ascii="Wingdings" w:hAnsi="Wingdings" w:hint="default"/>
      </w:rPr>
    </w:lvl>
    <w:lvl w:ilvl="6" w:tplc="B4C0D9D2" w:tentative="1">
      <w:start w:val="1"/>
      <w:numFmt w:val="bullet"/>
      <w:lvlText w:val=""/>
      <w:lvlJc w:val="left"/>
      <w:pPr>
        <w:tabs>
          <w:tab w:val="num" w:pos="5040"/>
        </w:tabs>
        <w:ind w:left="5040" w:hanging="360"/>
      </w:pPr>
      <w:rPr>
        <w:rFonts w:ascii="Symbol" w:hAnsi="Symbol" w:hint="default"/>
      </w:rPr>
    </w:lvl>
    <w:lvl w:ilvl="7" w:tplc="F14EFBB4" w:tentative="1">
      <w:start w:val="1"/>
      <w:numFmt w:val="bullet"/>
      <w:lvlText w:val="o"/>
      <w:lvlJc w:val="left"/>
      <w:pPr>
        <w:tabs>
          <w:tab w:val="num" w:pos="5760"/>
        </w:tabs>
        <w:ind w:left="5760" w:hanging="360"/>
      </w:pPr>
      <w:rPr>
        <w:rFonts w:ascii="Courier New" w:hAnsi="Courier New" w:hint="default"/>
      </w:rPr>
    </w:lvl>
    <w:lvl w:ilvl="8" w:tplc="D310C3D4" w:tentative="1">
      <w:start w:val="1"/>
      <w:numFmt w:val="bullet"/>
      <w:lvlText w:val=""/>
      <w:lvlJc w:val="left"/>
      <w:pPr>
        <w:tabs>
          <w:tab w:val="num" w:pos="6480"/>
        </w:tabs>
        <w:ind w:left="6480" w:hanging="360"/>
      </w:pPr>
      <w:rPr>
        <w:rFonts w:ascii="Wingdings" w:hAnsi="Wingdings" w:hint="default"/>
      </w:rPr>
    </w:lvl>
  </w:abstractNum>
  <w:abstractNum w:abstractNumId="259" w15:restartNumberingAfterBreak="0">
    <w:nsid w:val="7A561A6F"/>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260" w15:restartNumberingAfterBreak="0">
    <w:nsid w:val="7A711277"/>
    <w:multiLevelType w:val="multilevel"/>
    <w:tmpl w:val="AA0E75B2"/>
    <w:lvl w:ilvl="0">
      <w:start w:val="1"/>
      <w:numFmt w:val="bullet"/>
      <w:pStyle w:val="EMEA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left"/>
      <w:pPr>
        <w:tabs>
          <w:tab w:val="num" w:pos="144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1" w15:restartNumberingAfterBreak="0">
    <w:nsid w:val="7B5F46CE"/>
    <w:multiLevelType w:val="hybridMultilevel"/>
    <w:tmpl w:val="3856A488"/>
    <w:lvl w:ilvl="0" w:tplc="F00EEBEA">
      <w:start w:val="1"/>
      <w:numFmt w:val="bullet"/>
      <w:lvlText w:val=""/>
      <w:lvlJc w:val="left"/>
      <w:pPr>
        <w:tabs>
          <w:tab w:val="num" w:pos="720"/>
        </w:tabs>
        <w:ind w:left="720" w:hanging="360"/>
      </w:pPr>
      <w:rPr>
        <w:rFonts w:ascii="Symbol" w:hAnsi="Symbol" w:hint="default"/>
      </w:rPr>
    </w:lvl>
    <w:lvl w:ilvl="1" w:tplc="067C0DBC" w:tentative="1">
      <w:start w:val="1"/>
      <w:numFmt w:val="bullet"/>
      <w:lvlText w:val="o"/>
      <w:lvlJc w:val="left"/>
      <w:pPr>
        <w:tabs>
          <w:tab w:val="num" w:pos="1440"/>
        </w:tabs>
        <w:ind w:left="1440" w:hanging="360"/>
      </w:pPr>
      <w:rPr>
        <w:rFonts w:ascii="Courier New" w:hAnsi="Courier New" w:hint="default"/>
      </w:rPr>
    </w:lvl>
    <w:lvl w:ilvl="2" w:tplc="30406EEA" w:tentative="1">
      <w:start w:val="1"/>
      <w:numFmt w:val="bullet"/>
      <w:lvlText w:val=""/>
      <w:lvlJc w:val="left"/>
      <w:pPr>
        <w:tabs>
          <w:tab w:val="num" w:pos="2160"/>
        </w:tabs>
        <w:ind w:left="2160" w:hanging="360"/>
      </w:pPr>
      <w:rPr>
        <w:rFonts w:ascii="Wingdings" w:hAnsi="Wingdings" w:hint="default"/>
      </w:rPr>
    </w:lvl>
    <w:lvl w:ilvl="3" w:tplc="8C38A720" w:tentative="1">
      <w:start w:val="1"/>
      <w:numFmt w:val="bullet"/>
      <w:lvlText w:val=""/>
      <w:lvlJc w:val="left"/>
      <w:pPr>
        <w:tabs>
          <w:tab w:val="num" w:pos="2880"/>
        </w:tabs>
        <w:ind w:left="2880" w:hanging="360"/>
      </w:pPr>
      <w:rPr>
        <w:rFonts w:ascii="Symbol" w:hAnsi="Symbol" w:hint="default"/>
      </w:rPr>
    </w:lvl>
    <w:lvl w:ilvl="4" w:tplc="FB78D6CE" w:tentative="1">
      <w:start w:val="1"/>
      <w:numFmt w:val="bullet"/>
      <w:lvlText w:val="o"/>
      <w:lvlJc w:val="left"/>
      <w:pPr>
        <w:tabs>
          <w:tab w:val="num" w:pos="3600"/>
        </w:tabs>
        <w:ind w:left="3600" w:hanging="360"/>
      </w:pPr>
      <w:rPr>
        <w:rFonts w:ascii="Courier New" w:hAnsi="Courier New" w:hint="default"/>
      </w:rPr>
    </w:lvl>
    <w:lvl w:ilvl="5" w:tplc="2B1679F2" w:tentative="1">
      <w:start w:val="1"/>
      <w:numFmt w:val="bullet"/>
      <w:lvlText w:val=""/>
      <w:lvlJc w:val="left"/>
      <w:pPr>
        <w:tabs>
          <w:tab w:val="num" w:pos="4320"/>
        </w:tabs>
        <w:ind w:left="4320" w:hanging="360"/>
      </w:pPr>
      <w:rPr>
        <w:rFonts w:ascii="Wingdings" w:hAnsi="Wingdings" w:hint="default"/>
      </w:rPr>
    </w:lvl>
    <w:lvl w:ilvl="6" w:tplc="CBC60356" w:tentative="1">
      <w:start w:val="1"/>
      <w:numFmt w:val="bullet"/>
      <w:lvlText w:val=""/>
      <w:lvlJc w:val="left"/>
      <w:pPr>
        <w:tabs>
          <w:tab w:val="num" w:pos="5040"/>
        </w:tabs>
        <w:ind w:left="5040" w:hanging="360"/>
      </w:pPr>
      <w:rPr>
        <w:rFonts w:ascii="Symbol" w:hAnsi="Symbol" w:hint="default"/>
      </w:rPr>
    </w:lvl>
    <w:lvl w:ilvl="7" w:tplc="6C7C6BB6" w:tentative="1">
      <w:start w:val="1"/>
      <w:numFmt w:val="bullet"/>
      <w:lvlText w:val="o"/>
      <w:lvlJc w:val="left"/>
      <w:pPr>
        <w:tabs>
          <w:tab w:val="num" w:pos="5760"/>
        </w:tabs>
        <w:ind w:left="5760" w:hanging="360"/>
      </w:pPr>
      <w:rPr>
        <w:rFonts w:ascii="Courier New" w:hAnsi="Courier New" w:hint="default"/>
      </w:rPr>
    </w:lvl>
    <w:lvl w:ilvl="8" w:tplc="82A0A7F0"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7B6A60FD"/>
    <w:multiLevelType w:val="hybridMultilevel"/>
    <w:tmpl w:val="2F149742"/>
    <w:lvl w:ilvl="0" w:tplc="6D8C229E">
      <w:start w:val="1"/>
      <w:numFmt w:val="bullet"/>
      <w:lvlText w:val=""/>
      <w:lvlJc w:val="left"/>
      <w:pPr>
        <w:tabs>
          <w:tab w:val="num" w:pos="720"/>
        </w:tabs>
        <w:ind w:left="720" w:hanging="360"/>
      </w:pPr>
      <w:rPr>
        <w:rFonts w:ascii="Symbol" w:hAnsi="Symbol" w:hint="default"/>
      </w:rPr>
    </w:lvl>
    <w:lvl w:ilvl="1" w:tplc="504A943E" w:tentative="1">
      <w:start w:val="1"/>
      <w:numFmt w:val="bullet"/>
      <w:lvlText w:val="o"/>
      <w:lvlJc w:val="left"/>
      <w:pPr>
        <w:tabs>
          <w:tab w:val="num" w:pos="1440"/>
        </w:tabs>
        <w:ind w:left="1440" w:hanging="360"/>
      </w:pPr>
      <w:rPr>
        <w:rFonts w:ascii="Courier New" w:hAnsi="Courier New" w:hint="default"/>
      </w:rPr>
    </w:lvl>
    <w:lvl w:ilvl="2" w:tplc="72BCF1A8" w:tentative="1">
      <w:start w:val="1"/>
      <w:numFmt w:val="bullet"/>
      <w:lvlText w:val=""/>
      <w:lvlJc w:val="left"/>
      <w:pPr>
        <w:tabs>
          <w:tab w:val="num" w:pos="2160"/>
        </w:tabs>
        <w:ind w:left="2160" w:hanging="360"/>
      </w:pPr>
      <w:rPr>
        <w:rFonts w:ascii="Wingdings" w:hAnsi="Wingdings" w:hint="default"/>
      </w:rPr>
    </w:lvl>
    <w:lvl w:ilvl="3" w:tplc="390A83C0" w:tentative="1">
      <w:start w:val="1"/>
      <w:numFmt w:val="bullet"/>
      <w:lvlText w:val=""/>
      <w:lvlJc w:val="left"/>
      <w:pPr>
        <w:tabs>
          <w:tab w:val="num" w:pos="2880"/>
        </w:tabs>
        <w:ind w:left="2880" w:hanging="360"/>
      </w:pPr>
      <w:rPr>
        <w:rFonts w:ascii="Symbol" w:hAnsi="Symbol" w:hint="default"/>
      </w:rPr>
    </w:lvl>
    <w:lvl w:ilvl="4" w:tplc="D1261426" w:tentative="1">
      <w:start w:val="1"/>
      <w:numFmt w:val="bullet"/>
      <w:lvlText w:val="o"/>
      <w:lvlJc w:val="left"/>
      <w:pPr>
        <w:tabs>
          <w:tab w:val="num" w:pos="3600"/>
        </w:tabs>
        <w:ind w:left="3600" w:hanging="360"/>
      </w:pPr>
      <w:rPr>
        <w:rFonts w:ascii="Courier New" w:hAnsi="Courier New" w:hint="default"/>
      </w:rPr>
    </w:lvl>
    <w:lvl w:ilvl="5" w:tplc="76F88A4E" w:tentative="1">
      <w:start w:val="1"/>
      <w:numFmt w:val="bullet"/>
      <w:lvlText w:val=""/>
      <w:lvlJc w:val="left"/>
      <w:pPr>
        <w:tabs>
          <w:tab w:val="num" w:pos="4320"/>
        </w:tabs>
        <w:ind w:left="4320" w:hanging="360"/>
      </w:pPr>
      <w:rPr>
        <w:rFonts w:ascii="Wingdings" w:hAnsi="Wingdings" w:hint="default"/>
      </w:rPr>
    </w:lvl>
    <w:lvl w:ilvl="6" w:tplc="61A2F06A" w:tentative="1">
      <w:start w:val="1"/>
      <w:numFmt w:val="bullet"/>
      <w:lvlText w:val=""/>
      <w:lvlJc w:val="left"/>
      <w:pPr>
        <w:tabs>
          <w:tab w:val="num" w:pos="5040"/>
        </w:tabs>
        <w:ind w:left="5040" w:hanging="360"/>
      </w:pPr>
      <w:rPr>
        <w:rFonts w:ascii="Symbol" w:hAnsi="Symbol" w:hint="default"/>
      </w:rPr>
    </w:lvl>
    <w:lvl w:ilvl="7" w:tplc="9B023914" w:tentative="1">
      <w:start w:val="1"/>
      <w:numFmt w:val="bullet"/>
      <w:lvlText w:val="o"/>
      <w:lvlJc w:val="left"/>
      <w:pPr>
        <w:tabs>
          <w:tab w:val="num" w:pos="5760"/>
        </w:tabs>
        <w:ind w:left="5760" w:hanging="360"/>
      </w:pPr>
      <w:rPr>
        <w:rFonts w:ascii="Courier New" w:hAnsi="Courier New" w:hint="default"/>
      </w:rPr>
    </w:lvl>
    <w:lvl w:ilvl="8" w:tplc="04B26B34" w:tentative="1">
      <w:start w:val="1"/>
      <w:numFmt w:val="bullet"/>
      <w:lvlText w:val=""/>
      <w:lvlJc w:val="left"/>
      <w:pPr>
        <w:tabs>
          <w:tab w:val="num" w:pos="6480"/>
        </w:tabs>
        <w:ind w:left="6480" w:hanging="360"/>
      </w:pPr>
      <w:rPr>
        <w:rFonts w:ascii="Wingdings" w:hAnsi="Wingdings" w:hint="default"/>
      </w:rPr>
    </w:lvl>
  </w:abstractNum>
  <w:abstractNum w:abstractNumId="263" w15:restartNumberingAfterBreak="0">
    <w:nsid w:val="7B931915"/>
    <w:multiLevelType w:val="multilevel"/>
    <w:tmpl w:val="023E70EC"/>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4" w15:restartNumberingAfterBreak="0">
    <w:nsid w:val="7C395717"/>
    <w:multiLevelType w:val="hybridMultilevel"/>
    <w:tmpl w:val="86028708"/>
    <w:lvl w:ilvl="0" w:tplc="B53C56DC">
      <w:start w:val="1"/>
      <w:numFmt w:val="bullet"/>
      <w:lvlText w:val=""/>
      <w:lvlJc w:val="left"/>
      <w:pPr>
        <w:tabs>
          <w:tab w:val="num" w:pos="720"/>
        </w:tabs>
        <w:ind w:left="720" w:hanging="360"/>
      </w:pPr>
      <w:rPr>
        <w:rFonts w:ascii="Symbol" w:hAnsi="Symbol" w:hint="default"/>
        <w:sz w:val="22"/>
      </w:rPr>
    </w:lvl>
    <w:lvl w:ilvl="1" w:tplc="D0AA9D56">
      <w:start w:val="1"/>
      <w:numFmt w:val="bullet"/>
      <w:lvlText w:val="o"/>
      <w:lvlJc w:val="left"/>
      <w:pPr>
        <w:tabs>
          <w:tab w:val="num" w:pos="1440"/>
        </w:tabs>
        <w:ind w:left="1440" w:hanging="360"/>
      </w:pPr>
      <w:rPr>
        <w:rFonts w:ascii="Courier New" w:hAnsi="Courier New" w:hint="default"/>
      </w:rPr>
    </w:lvl>
    <w:lvl w:ilvl="2" w:tplc="94842C58" w:tentative="1">
      <w:start w:val="1"/>
      <w:numFmt w:val="bullet"/>
      <w:lvlText w:val=""/>
      <w:lvlJc w:val="left"/>
      <w:pPr>
        <w:tabs>
          <w:tab w:val="num" w:pos="2160"/>
        </w:tabs>
        <w:ind w:left="2160" w:hanging="360"/>
      </w:pPr>
      <w:rPr>
        <w:rFonts w:ascii="Wingdings" w:hAnsi="Wingdings" w:hint="default"/>
      </w:rPr>
    </w:lvl>
    <w:lvl w:ilvl="3" w:tplc="8A707A0A" w:tentative="1">
      <w:start w:val="1"/>
      <w:numFmt w:val="bullet"/>
      <w:lvlText w:val=""/>
      <w:lvlJc w:val="left"/>
      <w:pPr>
        <w:tabs>
          <w:tab w:val="num" w:pos="2880"/>
        </w:tabs>
        <w:ind w:left="2880" w:hanging="360"/>
      </w:pPr>
      <w:rPr>
        <w:rFonts w:ascii="Symbol" w:hAnsi="Symbol" w:hint="default"/>
      </w:rPr>
    </w:lvl>
    <w:lvl w:ilvl="4" w:tplc="5EFA332E" w:tentative="1">
      <w:start w:val="1"/>
      <w:numFmt w:val="bullet"/>
      <w:lvlText w:val="o"/>
      <w:lvlJc w:val="left"/>
      <w:pPr>
        <w:tabs>
          <w:tab w:val="num" w:pos="3600"/>
        </w:tabs>
        <w:ind w:left="3600" w:hanging="360"/>
      </w:pPr>
      <w:rPr>
        <w:rFonts w:ascii="Courier New" w:hAnsi="Courier New" w:hint="default"/>
      </w:rPr>
    </w:lvl>
    <w:lvl w:ilvl="5" w:tplc="DBF02AE8" w:tentative="1">
      <w:start w:val="1"/>
      <w:numFmt w:val="bullet"/>
      <w:lvlText w:val=""/>
      <w:lvlJc w:val="left"/>
      <w:pPr>
        <w:tabs>
          <w:tab w:val="num" w:pos="4320"/>
        </w:tabs>
        <w:ind w:left="4320" w:hanging="360"/>
      </w:pPr>
      <w:rPr>
        <w:rFonts w:ascii="Wingdings" w:hAnsi="Wingdings" w:hint="default"/>
      </w:rPr>
    </w:lvl>
    <w:lvl w:ilvl="6" w:tplc="86BC7F72" w:tentative="1">
      <w:start w:val="1"/>
      <w:numFmt w:val="bullet"/>
      <w:lvlText w:val=""/>
      <w:lvlJc w:val="left"/>
      <w:pPr>
        <w:tabs>
          <w:tab w:val="num" w:pos="5040"/>
        </w:tabs>
        <w:ind w:left="5040" w:hanging="360"/>
      </w:pPr>
      <w:rPr>
        <w:rFonts w:ascii="Symbol" w:hAnsi="Symbol" w:hint="default"/>
      </w:rPr>
    </w:lvl>
    <w:lvl w:ilvl="7" w:tplc="AD369C18" w:tentative="1">
      <w:start w:val="1"/>
      <w:numFmt w:val="bullet"/>
      <w:lvlText w:val="o"/>
      <w:lvlJc w:val="left"/>
      <w:pPr>
        <w:tabs>
          <w:tab w:val="num" w:pos="5760"/>
        </w:tabs>
        <w:ind w:left="5760" w:hanging="360"/>
      </w:pPr>
      <w:rPr>
        <w:rFonts w:ascii="Courier New" w:hAnsi="Courier New" w:hint="default"/>
      </w:rPr>
    </w:lvl>
    <w:lvl w:ilvl="8" w:tplc="A99C751A" w:tentative="1">
      <w:start w:val="1"/>
      <w:numFmt w:val="bullet"/>
      <w:lvlText w:val=""/>
      <w:lvlJc w:val="left"/>
      <w:pPr>
        <w:tabs>
          <w:tab w:val="num" w:pos="6480"/>
        </w:tabs>
        <w:ind w:left="6480" w:hanging="360"/>
      </w:pPr>
      <w:rPr>
        <w:rFonts w:ascii="Wingdings" w:hAnsi="Wingdings" w:hint="default"/>
      </w:rPr>
    </w:lvl>
  </w:abstractNum>
  <w:abstractNum w:abstractNumId="265" w15:restartNumberingAfterBreak="0">
    <w:nsid w:val="7CB57E45"/>
    <w:multiLevelType w:val="hybridMultilevel"/>
    <w:tmpl w:val="50484814"/>
    <w:lvl w:ilvl="0" w:tplc="9DA68500">
      <w:start w:val="1"/>
      <w:numFmt w:val="lowerLetter"/>
      <w:lvlText w:val="%1"/>
      <w:lvlJc w:val="left"/>
      <w:pPr>
        <w:ind w:left="360" w:hanging="360"/>
      </w:pPr>
      <w:rPr>
        <w:rFonts w:ascii="Times New Roman" w:hAnsi="Times New Roman" w:cs="Times New Roman" w:hint="default"/>
        <w:b w:val="0"/>
        <w:i w:val="0"/>
        <w:caps w:val="0"/>
        <w:sz w:val="22"/>
        <w:szCs w:val="22"/>
        <w:u w:val="none"/>
        <w:vertAlign w:val="superscript"/>
      </w:rPr>
    </w:lvl>
    <w:lvl w:ilvl="1" w:tplc="E2A2EF04" w:tentative="1">
      <w:start w:val="1"/>
      <w:numFmt w:val="lowerLetter"/>
      <w:lvlText w:val="%2."/>
      <w:lvlJc w:val="left"/>
      <w:pPr>
        <w:ind w:left="1440" w:hanging="360"/>
      </w:pPr>
    </w:lvl>
    <w:lvl w:ilvl="2" w:tplc="287A1454" w:tentative="1">
      <w:start w:val="1"/>
      <w:numFmt w:val="lowerRoman"/>
      <w:lvlText w:val="%3."/>
      <w:lvlJc w:val="right"/>
      <w:pPr>
        <w:ind w:left="2160" w:hanging="180"/>
      </w:pPr>
    </w:lvl>
    <w:lvl w:ilvl="3" w:tplc="4D1CAC7A" w:tentative="1">
      <w:start w:val="1"/>
      <w:numFmt w:val="decimal"/>
      <w:lvlText w:val="%4."/>
      <w:lvlJc w:val="left"/>
      <w:pPr>
        <w:ind w:left="2880" w:hanging="360"/>
      </w:pPr>
    </w:lvl>
    <w:lvl w:ilvl="4" w:tplc="53BE1CE6" w:tentative="1">
      <w:start w:val="1"/>
      <w:numFmt w:val="lowerLetter"/>
      <w:lvlText w:val="%5."/>
      <w:lvlJc w:val="left"/>
      <w:pPr>
        <w:ind w:left="3600" w:hanging="360"/>
      </w:pPr>
    </w:lvl>
    <w:lvl w:ilvl="5" w:tplc="2D601394" w:tentative="1">
      <w:start w:val="1"/>
      <w:numFmt w:val="lowerRoman"/>
      <w:lvlText w:val="%6."/>
      <w:lvlJc w:val="right"/>
      <w:pPr>
        <w:ind w:left="4320" w:hanging="180"/>
      </w:pPr>
    </w:lvl>
    <w:lvl w:ilvl="6" w:tplc="5B72A600" w:tentative="1">
      <w:start w:val="1"/>
      <w:numFmt w:val="decimal"/>
      <w:lvlText w:val="%7."/>
      <w:lvlJc w:val="left"/>
      <w:pPr>
        <w:ind w:left="5040" w:hanging="360"/>
      </w:pPr>
    </w:lvl>
    <w:lvl w:ilvl="7" w:tplc="E2486168" w:tentative="1">
      <w:start w:val="1"/>
      <w:numFmt w:val="lowerLetter"/>
      <w:lvlText w:val="%8."/>
      <w:lvlJc w:val="left"/>
      <w:pPr>
        <w:ind w:left="5760" w:hanging="360"/>
      </w:pPr>
    </w:lvl>
    <w:lvl w:ilvl="8" w:tplc="437AF48A" w:tentative="1">
      <w:start w:val="1"/>
      <w:numFmt w:val="lowerRoman"/>
      <w:lvlText w:val="%9."/>
      <w:lvlJc w:val="right"/>
      <w:pPr>
        <w:ind w:left="6480" w:hanging="180"/>
      </w:pPr>
    </w:lvl>
  </w:abstractNum>
  <w:abstractNum w:abstractNumId="266" w15:restartNumberingAfterBreak="0">
    <w:nsid w:val="7E863B6C"/>
    <w:multiLevelType w:val="hybridMultilevel"/>
    <w:tmpl w:val="B030B2BA"/>
    <w:lvl w:ilvl="0" w:tplc="70608AAE">
      <w:start w:val="1"/>
      <w:numFmt w:val="bullet"/>
      <w:lvlText w:val=""/>
      <w:lvlJc w:val="left"/>
      <w:pPr>
        <w:tabs>
          <w:tab w:val="num" w:pos="720"/>
        </w:tabs>
        <w:ind w:left="720" w:hanging="360"/>
      </w:pPr>
      <w:rPr>
        <w:rFonts w:ascii="Symbol" w:hAnsi="Symbol" w:hint="default"/>
      </w:rPr>
    </w:lvl>
    <w:lvl w:ilvl="1" w:tplc="C96A7D86">
      <w:start w:val="1"/>
      <w:numFmt w:val="bullet"/>
      <w:lvlText w:val="o"/>
      <w:lvlJc w:val="left"/>
      <w:pPr>
        <w:tabs>
          <w:tab w:val="num" w:pos="1440"/>
        </w:tabs>
        <w:ind w:left="1440" w:hanging="360"/>
      </w:pPr>
      <w:rPr>
        <w:rFonts w:ascii="Courier New" w:hAnsi="Courier New" w:hint="default"/>
      </w:rPr>
    </w:lvl>
    <w:lvl w:ilvl="2" w:tplc="1AB4BE7E" w:tentative="1">
      <w:start w:val="1"/>
      <w:numFmt w:val="bullet"/>
      <w:lvlText w:val=""/>
      <w:lvlJc w:val="left"/>
      <w:pPr>
        <w:tabs>
          <w:tab w:val="num" w:pos="2160"/>
        </w:tabs>
        <w:ind w:left="2160" w:hanging="360"/>
      </w:pPr>
      <w:rPr>
        <w:rFonts w:ascii="Wingdings" w:hAnsi="Wingdings" w:hint="default"/>
      </w:rPr>
    </w:lvl>
    <w:lvl w:ilvl="3" w:tplc="669CEE30" w:tentative="1">
      <w:start w:val="1"/>
      <w:numFmt w:val="bullet"/>
      <w:lvlText w:val=""/>
      <w:lvlJc w:val="left"/>
      <w:pPr>
        <w:tabs>
          <w:tab w:val="num" w:pos="2880"/>
        </w:tabs>
        <w:ind w:left="2880" w:hanging="360"/>
      </w:pPr>
      <w:rPr>
        <w:rFonts w:ascii="Symbol" w:hAnsi="Symbol" w:hint="default"/>
      </w:rPr>
    </w:lvl>
    <w:lvl w:ilvl="4" w:tplc="260857EC" w:tentative="1">
      <w:start w:val="1"/>
      <w:numFmt w:val="bullet"/>
      <w:lvlText w:val="o"/>
      <w:lvlJc w:val="left"/>
      <w:pPr>
        <w:tabs>
          <w:tab w:val="num" w:pos="3600"/>
        </w:tabs>
        <w:ind w:left="3600" w:hanging="360"/>
      </w:pPr>
      <w:rPr>
        <w:rFonts w:ascii="Courier New" w:hAnsi="Courier New" w:hint="default"/>
      </w:rPr>
    </w:lvl>
    <w:lvl w:ilvl="5" w:tplc="84264196" w:tentative="1">
      <w:start w:val="1"/>
      <w:numFmt w:val="bullet"/>
      <w:lvlText w:val=""/>
      <w:lvlJc w:val="left"/>
      <w:pPr>
        <w:tabs>
          <w:tab w:val="num" w:pos="4320"/>
        </w:tabs>
        <w:ind w:left="4320" w:hanging="360"/>
      </w:pPr>
      <w:rPr>
        <w:rFonts w:ascii="Wingdings" w:hAnsi="Wingdings" w:hint="default"/>
      </w:rPr>
    </w:lvl>
    <w:lvl w:ilvl="6" w:tplc="670830F4" w:tentative="1">
      <w:start w:val="1"/>
      <w:numFmt w:val="bullet"/>
      <w:lvlText w:val=""/>
      <w:lvlJc w:val="left"/>
      <w:pPr>
        <w:tabs>
          <w:tab w:val="num" w:pos="5040"/>
        </w:tabs>
        <w:ind w:left="5040" w:hanging="360"/>
      </w:pPr>
      <w:rPr>
        <w:rFonts w:ascii="Symbol" w:hAnsi="Symbol" w:hint="default"/>
      </w:rPr>
    </w:lvl>
    <w:lvl w:ilvl="7" w:tplc="4E3CBD26" w:tentative="1">
      <w:start w:val="1"/>
      <w:numFmt w:val="bullet"/>
      <w:lvlText w:val="o"/>
      <w:lvlJc w:val="left"/>
      <w:pPr>
        <w:tabs>
          <w:tab w:val="num" w:pos="5760"/>
        </w:tabs>
        <w:ind w:left="5760" w:hanging="360"/>
      </w:pPr>
      <w:rPr>
        <w:rFonts w:ascii="Courier New" w:hAnsi="Courier New" w:hint="default"/>
      </w:rPr>
    </w:lvl>
    <w:lvl w:ilvl="8" w:tplc="CBBECEC8" w:tentative="1">
      <w:start w:val="1"/>
      <w:numFmt w:val="bullet"/>
      <w:lvlText w:val=""/>
      <w:lvlJc w:val="left"/>
      <w:pPr>
        <w:tabs>
          <w:tab w:val="num" w:pos="6480"/>
        </w:tabs>
        <w:ind w:left="6480" w:hanging="360"/>
      </w:pPr>
      <w:rPr>
        <w:rFonts w:ascii="Wingdings" w:hAnsi="Wingdings" w:hint="default"/>
      </w:rPr>
    </w:lvl>
  </w:abstractNum>
  <w:abstractNum w:abstractNumId="267" w15:restartNumberingAfterBreak="0">
    <w:nsid w:val="7EFE1CA6"/>
    <w:multiLevelType w:val="hybridMultilevel"/>
    <w:tmpl w:val="7A30E92C"/>
    <w:lvl w:ilvl="0" w:tplc="5738989E">
      <w:start w:val="1"/>
      <w:numFmt w:val="bullet"/>
      <w:lvlText w:val=""/>
      <w:lvlJc w:val="left"/>
      <w:pPr>
        <w:ind w:left="720" w:hanging="360"/>
      </w:pPr>
      <w:rPr>
        <w:rFonts w:ascii="Symbol" w:hAnsi="Symbol" w:hint="default"/>
      </w:rPr>
    </w:lvl>
    <w:lvl w:ilvl="1" w:tplc="8F46179A" w:tentative="1">
      <w:start w:val="1"/>
      <w:numFmt w:val="bullet"/>
      <w:lvlText w:val="o"/>
      <w:lvlJc w:val="left"/>
      <w:pPr>
        <w:ind w:left="1440" w:hanging="360"/>
      </w:pPr>
      <w:rPr>
        <w:rFonts w:ascii="Courier New" w:hAnsi="Courier New" w:cs="Courier New" w:hint="default"/>
      </w:rPr>
    </w:lvl>
    <w:lvl w:ilvl="2" w:tplc="C53C3C76" w:tentative="1">
      <w:start w:val="1"/>
      <w:numFmt w:val="bullet"/>
      <w:lvlText w:val=""/>
      <w:lvlJc w:val="left"/>
      <w:pPr>
        <w:ind w:left="2160" w:hanging="360"/>
      </w:pPr>
      <w:rPr>
        <w:rFonts w:ascii="Wingdings" w:hAnsi="Wingdings" w:hint="default"/>
      </w:rPr>
    </w:lvl>
    <w:lvl w:ilvl="3" w:tplc="D34C8A38" w:tentative="1">
      <w:start w:val="1"/>
      <w:numFmt w:val="bullet"/>
      <w:lvlText w:val=""/>
      <w:lvlJc w:val="left"/>
      <w:pPr>
        <w:ind w:left="2880" w:hanging="360"/>
      </w:pPr>
      <w:rPr>
        <w:rFonts w:ascii="Symbol" w:hAnsi="Symbol" w:hint="default"/>
      </w:rPr>
    </w:lvl>
    <w:lvl w:ilvl="4" w:tplc="21007CD0" w:tentative="1">
      <w:start w:val="1"/>
      <w:numFmt w:val="bullet"/>
      <w:lvlText w:val="o"/>
      <w:lvlJc w:val="left"/>
      <w:pPr>
        <w:ind w:left="3600" w:hanging="360"/>
      </w:pPr>
      <w:rPr>
        <w:rFonts w:ascii="Courier New" w:hAnsi="Courier New" w:cs="Courier New" w:hint="default"/>
      </w:rPr>
    </w:lvl>
    <w:lvl w:ilvl="5" w:tplc="AA9210E8" w:tentative="1">
      <w:start w:val="1"/>
      <w:numFmt w:val="bullet"/>
      <w:lvlText w:val=""/>
      <w:lvlJc w:val="left"/>
      <w:pPr>
        <w:ind w:left="4320" w:hanging="360"/>
      </w:pPr>
      <w:rPr>
        <w:rFonts w:ascii="Wingdings" w:hAnsi="Wingdings" w:hint="default"/>
      </w:rPr>
    </w:lvl>
    <w:lvl w:ilvl="6" w:tplc="E70EC548" w:tentative="1">
      <w:start w:val="1"/>
      <w:numFmt w:val="bullet"/>
      <w:lvlText w:val=""/>
      <w:lvlJc w:val="left"/>
      <w:pPr>
        <w:ind w:left="5040" w:hanging="360"/>
      </w:pPr>
      <w:rPr>
        <w:rFonts w:ascii="Symbol" w:hAnsi="Symbol" w:hint="default"/>
      </w:rPr>
    </w:lvl>
    <w:lvl w:ilvl="7" w:tplc="1422CFB2" w:tentative="1">
      <w:start w:val="1"/>
      <w:numFmt w:val="bullet"/>
      <w:lvlText w:val="o"/>
      <w:lvlJc w:val="left"/>
      <w:pPr>
        <w:ind w:left="5760" w:hanging="360"/>
      </w:pPr>
      <w:rPr>
        <w:rFonts w:ascii="Courier New" w:hAnsi="Courier New" w:cs="Courier New" w:hint="default"/>
      </w:rPr>
    </w:lvl>
    <w:lvl w:ilvl="8" w:tplc="91665C70" w:tentative="1">
      <w:start w:val="1"/>
      <w:numFmt w:val="bullet"/>
      <w:lvlText w:val=""/>
      <w:lvlJc w:val="left"/>
      <w:pPr>
        <w:ind w:left="6480" w:hanging="360"/>
      </w:pPr>
      <w:rPr>
        <w:rFonts w:ascii="Wingdings" w:hAnsi="Wingdings" w:hint="default"/>
      </w:rPr>
    </w:lvl>
  </w:abstractNum>
  <w:abstractNum w:abstractNumId="268" w15:restartNumberingAfterBreak="0">
    <w:nsid w:val="7FBC159C"/>
    <w:multiLevelType w:val="hybridMultilevel"/>
    <w:tmpl w:val="7062FD8E"/>
    <w:lvl w:ilvl="0" w:tplc="8A46347C">
      <w:start w:val="1"/>
      <w:numFmt w:val="bullet"/>
      <w:lvlText w:val=""/>
      <w:lvlJc w:val="left"/>
      <w:pPr>
        <w:ind w:left="720" w:hanging="360"/>
      </w:pPr>
      <w:rPr>
        <w:rFonts w:ascii="Symbol" w:hAnsi="Symbol" w:hint="default"/>
      </w:rPr>
    </w:lvl>
    <w:lvl w:ilvl="1" w:tplc="C9149328" w:tentative="1">
      <w:start w:val="1"/>
      <w:numFmt w:val="bullet"/>
      <w:lvlText w:val="o"/>
      <w:lvlJc w:val="left"/>
      <w:pPr>
        <w:ind w:left="1440" w:hanging="360"/>
      </w:pPr>
      <w:rPr>
        <w:rFonts w:ascii="Courier New" w:hAnsi="Courier New" w:cs="Courier New" w:hint="default"/>
      </w:rPr>
    </w:lvl>
    <w:lvl w:ilvl="2" w:tplc="EB2EEDC4" w:tentative="1">
      <w:start w:val="1"/>
      <w:numFmt w:val="bullet"/>
      <w:lvlText w:val=""/>
      <w:lvlJc w:val="left"/>
      <w:pPr>
        <w:ind w:left="2160" w:hanging="360"/>
      </w:pPr>
      <w:rPr>
        <w:rFonts w:ascii="Wingdings" w:hAnsi="Wingdings" w:hint="default"/>
      </w:rPr>
    </w:lvl>
    <w:lvl w:ilvl="3" w:tplc="2E6C5F18" w:tentative="1">
      <w:start w:val="1"/>
      <w:numFmt w:val="bullet"/>
      <w:lvlText w:val=""/>
      <w:lvlJc w:val="left"/>
      <w:pPr>
        <w:ind w:left="2880" w:hanging="360"/>
      </w:pPr>
      <w:rPr>
        <w:rFonts w:ascii="Symbol" w:hAnsi="Symbol" w:hint="default"/>
      </w:rPr>
    </w:lvl>
    <w:lvl w:ilvl="4" w:tplc="9DE4D10C" w:tentative="1">
      <w:start w:val="1"/>
      <w:numFmt w:val="bullet"/>
      <w:lvlText w:val="o"/>
      <w:lvlJc w:val="left"/>
      <w:pPr>
        <w:ind w:left="3600" w:hanging="360"/>
      </w:pPr>
      <w:rPr>
        <w:rFonts w:ascii="Courier New" w:hAnsi="Courier New" w:cs="Courier New" w:hint="default"/>
      </w:rPr>
    </w:lvl>
    <w:lvl w:ilvl="5" w:tplc="34A4CBEE" w:tentative="1">
      <w:start w:val="1"/>
      <w:numFmt w:val="bullet"/>
      <w:lvlText w:val=""/>
      <w:lvlJc w:val="left"/>
      <w:pPr>
        <w:ind w:left="4320" w:hanging="360"/>
      </w:pPr>
      <w:rPr>
        <w:rFonts w:ascii="Wingdings" w:hAnsi="Wingdings" w:hint="default"/>
      </w:rPr>
    </w:lvl>
    <w:lvl w:ilvl="6" w:tplc="1BC0DF32" w:tentative="1">
      <w:start w:val="1"/>
      <w:numFmt w:val="bullet"/>
      <w:lvlText w:val=""/>
      <w:lvlJc w:val="left"/>
      <w:pPr>
        <w:ind w:left="5040" w:hanging="360"/>
      </w:pPr>
      <w:rPr>
        <w:rFonts w:ascii="Symbol" w:hAnsi="Symbol" w:hint="default"/>
      </w:rPr>
    </w:lvl>
    <w:lvl w:ilvl="7" w:tplc="45D8FED6" w:tentative="1">
      <w:start w:val="1"/>
      <w:numFmt w:val="bullet"/>
      <w:lvlText w:val="o"/>
      <w:lvlJc w:val="left"/>
      <w:pPr>
        <w:ind w:left="5760" w:hanging="360"/>
      </w:pPr>
      <w:rPr>
        <w:rFonts w:ascii="Courier New" w:hAnsi="Courier New" w:cs="Courier New" w:hint="default"/>
      </w:rPr>
    </w:lvl>
    <w:lvl w:ilvl="8" w:tplc="DF8EF7C2" w:tentative="1">
      <w:start w:val="1"/>
      <w:numFmt w:val="bullet"/>
      <w:lvlText w:val=""/>
      <w:lvlJc w:val="left"/>
      <w:pPr>
        <w:ind w:left="6480" w:hanging="360"/>
      </w:pPr>
      <w:rPr>
        <w:rFonts w:ascii="Wingdings" w:hAnsi="Wingdings" w:hint="default"/>
      </w:rPr>
    </w:lvl>
  </w:abstractNum>
  <w:num w:numId="1" w16cid:durableId="281766559">
    <w:abstractNumId w:val="10"/>
    <w:lvlOverride w:ilvl="0">
      <w:lvl w:ilvl="0">
        <w:start w:val="1"/>
        <w:numFmt w:val="bullet"/>
        <w:lvlText w:val="-"/>
        <w:legacy w:legacy="1" w:legacySpace="0" w:legacyIndent="360"/>
        <w:lvlJc w:val="left"/>
        <w:pPr>
          <w:ind w:left="360" w:hanging="360"/>
        </w:pPr>
      </w:lvl>
    </w:lvlOverride>
  </w:num>
  <w:num w:numId="2" w16cid:durableId="1156188515">
    <w:abstractNumId w:val="21"/>
  </w:num>
  <w:num w:numId="3" w16cid:durableId="481890582">
    <w:abstractNumId w:val="162"/>
  </w:num>
  <w:num w:numId="4" w16cid:durableId="1037969742">
    <w:abstractNumId w:val="216"/>
  </w:num>
  <w:num w:numId="5" w16cid:durableId="564024702">
    <w:abstractNumId w:val="217"/>
  </w:num>
  <w:num w:numId="6" w16cid:durableId="352657279">
    <w:abstractNumId w:val="144"/>
  </w:num>
  <w:num w:numId="7" w16cid:durableId="1679189613">
    <w:abstractNumId w:val="111"/>
  </w:num>
  <w:num w:numId="8" w16cid:durableId="1245846179">
    <w:abstractNumId w:val="150"/>
  </w:num>
  <w:num w:numId="9" w16cid:durableId="385031834">
    <w:abstractNumId w:val="105"/>
  </w:num>
  <w:num w:numId="10" w16cid:durableId="1829403238">
    <w:abstractNumId w:val="177"/>
  </w:num>
  <w:num w:numId="11" w16cid:durableId="575169547">
    <w:abstractNumId w:val="104"/>
  </w:num>
  <w:num w:numId="12" w16cid:durableId="296377817">
    <w:abstractNumId w:val="225"/>
  </w:num>
  <w:num w:numId="13" w16cid:durableId="1488206051">
    <w:abstractNumId w:val="231"/>
  </w:num>
  <w:num w:numId="14" w16cid:durableId="1850371303">
    <w:abstractNumId w:val="152"/>
  </w:num>
  <w:num w:numId="15" w16cid:durableId="53162123">
    <w:abstractNumId w:val="236"/>
  </w:num>
  <w:num w:numId="16" w16cid:durableId="538278454">
    <w:abstractNumId w:val="148"/>
  </w:num>
  <w:num w:numId="17" w16cid:durableId="2134983085">
    <w:abstractNumId w:val="189"/>
  </w:num>
  <w:num w:numId="18" w16cid:durableId="252781062">
    <w:abstractNumId w:val="38"/>
  </w:num>
  <w:num w:numId="19" w16cid:durableId="1511602679">
    <w:abstractNumId w:val="64"/>
  </w:num>
  <w:num w:numId="20" w16cid:durableId="323436244">
    <w:abstractNumId w:val="112"/>
  </w:num>
  <w:num w:numId="21" w16cid:durableId="1327783026">
    <w:abstractNumId w:val="56"/>
  </w:num>
  <w:num w:numId="22" w16cid:durableId="498620160">
    <w:abstractNumId w:val="233"/>
  </w:num>
  <w:num w:numId="23" w16cid:durableId="1677033131">
    <w:abstractNumId w:val="242"/>
  </w:num>
  <w:num w:numId="24" w16cid:durableId="1435324869">
    <w:abstractNumId w:val="61"/>
  </w:num>
  <w:num w:numId="25" w16cid:durableId="138617274">
    <w:abstractNumId w:val="52"/>
  </w:num>
  <w:num w:numId="26" w16cid:durableId="1135218366">
    <w:abstractNumId w:val="15"/>
  </w:num>
  <w:num w:numId="27" w16cid:durableId="912197625">
    <w:abstractNumId w:val="143"/>
  </w:num>
  <w:num w:numId="28" w16cid:durableId="705567484">
    <w:abstractNumId w:val="30"/>
  </w:num>
  <w:num w:numId="29" w16cid:durableId="1916090343">
    <w:abstractNumId w:val="81"/>
  </w:num>
  <w:num w:numId="30" w16cid:durableId="25955218">
    <w:abstractNumId w:val="95"/>
  </w:num>
  <w:num w:numId="31" w16cid:durableId="1424377784">
    <w:abstractNumId w:val="39"/>
  </w:num>
  <w:num w:numId="32" w16cid:durableId="398215109">
    <w:abstractNumId w:val="219"/>
  </w:num>
  <w:num w:numId="33" w16cid:durableId="41711130">
    <w:abstractNumId w:val="254"/>
  </w:num>
  <w:num w:numId="34" w16cid:durableId="1795294124">
    <w:abstractNumId w:val="34"/>
  </w:num>
  <w:num w:numId="35" w16cid:durableId="1349676027">
    <w:abstractNumId w:val="198"/>
  </w:num>
  <w:num w:numId="36" w16cid:durableId="530341728">
    <w:abstractNumId w:val="207"/>
  </w:num>
  <w:num w:numId="37" w16cid:durableId="943806911">
    <w:abstractNumId w:val="166"/>
  </w:num>
  <w:num w:numId="38" w16cid:durableId="1534728712">
    <w:abstractNumId w:val="181"/>
  </w:num>
  <w:num w:numId="39" w16cid:durableId="853688074">
    <w:abstractNumId w:val="145"/>
  </w:num>
  <w:num w:numId="40" w16cid:durableId="820777426">
    <w:abstractNumId w:val="170"/>
  </w:num>
  <w:num w:numId="41" w16cid:durableId="757754938">
    <w:abstractNumId w:val="160"/>
  </w:num>
  <w:num w:numId="42" w16cid:durableId="781729067">
    <w:abstractNumId w:val="12"/>
  </w:num>
  <w:num w:numId="43" w16cid:durableId="1290361470">
    <w:abstractNumId w:val="76"/>
  </w:num>
  <w:num w:numId="44" w16cid:durableId="342050661">
    <w:abstractNumId w:val="126"/>
  </w:num>
  <w:num w:numId="45" w16cid:durableId="820148516">
    <w:abstractNumId w:val="71"/>
  </w:num>
  <w:num w:numId="46" w16cid:durableId="1442410668">
    <w:abstractNumId w:val="255"/>
  </w:num>
  <w:num w:numId="47" w16cid:durableId="2110080506">
    <w:abstractNumId w:val="35"/>
  </w:num>
  <w:num w:numId="48" w16cid:durableId="444931958">
    <w:abstractNumId w:val="266"/>
  </w:num>
  <w:num w:numId="49" w16cid:durableId="634213479">
    <w:abstractNumId w:val="60"/>
  </w:num>
  <w:num w:numId="50" w16cid:durableId="506868682">
    <w:abstractNumId w:val="223"/>
  </w:num>
  <w:num w:numId="51" w16cid:durableId="1155754108">
    <w:abstractNumId w:val="261"/>
  </w:num>
  <w:num w:numId="52" w16cid:durableId="242614307">
    <w:abstractNumId w:val="106"/>
  </w:num>
  <w:num w:numId="53" w16cid:durableId="1234702528">
    <w:abstractNumId w:val="59"/>
  </w:num>
  <w:num w:numId="54" w16cid:durableId="165413186">
    <w:abstractNumId w:val="65"/>
  </w:num>
  <w:num w:numId="55" w16cid:durableId="1752658187">
    <w:abstractNumId w:val="89"/>
  </w:num>
  <w:num w:numId="56" w16cid:durableId="1086071832">
    <w:abstractNumId w:val="266"/>
  </w:num>
  <w:num w:numId="57" w16cid:durableId="2101832381">
    <w:abstractNumId w:val="266"/>
  </w:num>
  <w:num w:numId="58" w16cid:durableId="1521579604">
    <w:abstractNumId w:val="266"/>
  </w:num>
  <w:num w:numId="59" w16cid:durableId="172232610">
    <w:abstractNumId w:val="266"/>
  </w:num>
  <w:num w:numId="60" w16cid:durableId="1902670840">
    <w:abstractNumId w:val="46"/>
  </w:num>
  <w:num w:numId="61" w16cid:durableId="1599941506">
    <w:abstractNumId w:val="172"/>
  </w:num>
  <w:num w:numId="62" w16cid:durableId="414473278">
    <w:abstractNumId w:val="215"/>
  </w:num>
  <w:num w:numId="63" w16cid:durableId="454829758">
    <w:abstractNumId w:val="1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686096717">
    <w:abstractNumId w:val="17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20603131">
    <w:abstractNumId w:val="9"/>
  </w:num>
  <w:num w:numId="66" w16cid:durableId="381370143">
    <w:abstractNumId w:val="7"/>
  </w:num>
  <w:num w:numId="67" w16cid:durableId="963728208">
    <w:abstractNumId w:val="6"/>
  </w:num>
  <w:num w:numId="68" w16cid:durableId="130372555">
    <w:abstractNumId w:val="5"/>
  </w:num>
  <w:num w:numId="69" w16cid:durableId="1127940681">
    <w:abstractNumId w:val="4"/>
  </w:num>
  <w:num w:numId="70" w16cid:durableId="494686737">
    <w:abstractNumId w:val="8"/>
  </w:num>
  <w:num w:numId="71" w16cid:durableId="2084138927">
    <w:abstractNumId w:val="3"/>
  </w:num>
  <w:num w:numId="72" w16cid:durableId="226652031">
    <w:abstractNumId w:val="2"/>
  </w:num>
  <w:num w:numId="73" w16cid:durableId="1393196963">
    <w:abstractNumId w:val="1"/>
  </w:num>
  <w:num w:numId="74" w16cid:durableId="931594262">
    <w:abstractNumId w:val="0"/>
  </w:num>
  <w:num w:numId="75" w16cid:durableId="204239292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72258526">
    <w:abstractNumId w:val="55"/>
  </w:num>
  <w:num w:numId="77" w16cid:durableId="1119690293">
    <w:abstractNumId w:val="267"/>
  </w:num>
  <w:num w:numId="78" w16cid:durableId="209924832">
    <w:abstractNumId w:val="244"/>
  </w:num>
  <w:num w:numId="79" w16cid:durableId="806969974">
    <w:abstractNumId w:val="121"/>
  </w:num>
  <w:num w:numId="80" w16cid:durableId="307249330">
    <w:abstractNumId w:val="32"/>
  </w:num>
  <w:num w:numId="81" w16cid:durableId="603466341">
    <w:abstractNumId w:val="116"/>
  </w:num>
  <w:num w:numId="82" w16cid:durableId="2069837356">
    <w:abstractNumId w:val="191"/>
  </w:num>
  <w:num w:numId="83" w16cid:durableId="495417776">
    <w:abstractNumId w:val="85"/>
  </w:num>
  <w:num w:numId="84" w16cid:durableId="279843926">
    <w:abstractNumId w:val="192"/>
  </w:num>
  <w:num w:numId="85" w16cid:durableId="1838692772">
    <w:abstractNumId w:val="230"/>
  </w:num>
  <w:num w:numId="86" w16cid:durableId="1876842363">
    <w:abstractNumId w:val="159"/>
  </w:num>
  <w:num w:numId="87" w16cid:durableId="966082988">
    <w:abstractNumId w:val="91"/>
  </w:num>
  <w:num w:numId="88" w16cid:durableId="1041590818">
    <w:abstractNumId w:val="18"/>
  </w:num>
  <w:num w:numId="89" w16cid:durableId="523903486">
    <w:abstractNumId w:val="212"/>
  </w:num>
  <w:num w:numId="90" w16cid:durableId="1742019171">
    <w:abstractNumId w:val="238"/>
  </w:num>
  <w:num w:numId="91" w16cid:durableId="1185481037">
    <w:abstractNumId w:val="190"/>
  </w:num>
  <w:num w:numId="92" w16cid:durableId="1130050663">
    <w:abstractNumId w:val="27"/>
  </w:num>
  <w:num w:numId="93" w16cid:durableId="1580872197">
    <w:abstractNumId w:val="102"/>
  </w:num>
  <w:num w:numId="94" w16cid:durableId="116068188">
    <w:abstractNumId w:val="96"/>
  </w:num>
  <w:num w:numId="95" w16cid:durableId="1887599410">
    <w:abstractNumId w:val="244"/>
    <w:lvlOverride w:ilvl="0">
      <w:startOverride w:val="1"/>
    </w:lvlOverride>
  </w:num>
  <w:num w:numId="96" w16cid:durableId="1160774051">
    <w:abstractNumId w:val="84"/>
  </w:num>
  <w:num w:numId="97" w16cid:durableId="417794052">
    <w:abstractNumId w:val="221"/>
  </w:num>
  <w:num w:numId="98" w16cid:durableId="1775785629">
    <w:abstractNumId w:val="13"/>
  </w:num>
  <w:num w:numId="99" w16cid:durableId="1658918861">
    <w:abstractNumId w:val="237"/>
  </w:num>
  <w:num w:numId="100" w16cid:durableId="754863491">
    <w:abstractNumId w:val="58"/>
  </w:num>
  <w:num w:numId="101" w16cid:durableId="1402873162">
    <w:abstractNumId w:val="182"/>
  </w:num>
  <w:num w:numId="102" w16cid:durableId="120612572">
    <w:abstractNumId w:val="228"/>
  </w:num>
  <w:num w:numId="103" w16cid:durableId="95642383">
    <w:abstractNumId w:val="209"/>
  </w:num>
  <w:num w:numId="104" w16cid:durableId="1127626807">
    <w:abstractNumId w:val="264"/>
  </w:num>
  <w:num w:numId="105" w16cid:durableId="744301819">
    <w:abstractNumId w:val="138"/>
  </w:num>
  <w:num w:numId="106" w16cid:durableId="1979921484">
    <w:abstractNumId w:val="16"/>
  </w:num>
  <w:num w:numId="107" w16cid:durableId="540555979">
    <w:abstractNumId w:val="93"/>
  </w:num>
  <w:num w:numId="108" w16cid:durableId="1696736053">
    <w:abstractNumId w:val="49"/>
  </w:num>
  <w:num w:numId="109" w16cid:durableId="360936060">
    <w:abstractNumId w:val="125"/>
  </w:num>
  <w:num w:numId="110" w16cid:durableId="1068917507">
    <w:abstractNumId w:val="42"/>
  </w:num>
  <w:num w:numId="111" w16cid:durableId="1986659043">
    <w:abstractNumId w:val="37"/>
  </w:num>
  <w:num w:numId="112" w16cid:durableId="1133328702">
    <w:abstractNumId w:val="57"/>
  </w:num>
  <w:num w:numId="113" w16cid:durableId="910894206">
    <w:abstractNumId w:val="136"/>
  </w:num>
  <w:num w:numId="114" w16cid:durableId="1132594369">
    <w:abstractNumId w:val="184"/>
  </w:num>
  <w:num w:numId="115" w16cid:durableId="1519809658">
    <w:abstractNumId w:val="153"/>
  </w:num>
  <w:num w:numId="116" w16cid:durableId="1002438835">
    <w:abstractNumId w:val="101"/>
  </w:num>
  <w:num w:numId="117" w16cid:durableId="2009752121">
    <w:abstractNumId w:val="257"/>
  </w:num>
  <w:num w:numId="118" w16cid:durableId="1644308893">
    <w:abstractNumId w:val="208"/>
  </w:num>
  <w:num w:numId="119" w16cid:durableId="1955017789">
    <w:abstractNumId w:val="78"/>
  </w:num>
  <w:num w:numId="120" w16cid:durableId="1220942057">
    <w:abstractNumId w:val="147"/>
  </w:num>
  <w:num w:numId="121" w16cid:durableId="38167653">
    <w:abstractNumId w:val="120"/>
  </w:num>
  <w:num w:numId="122" w16cid:durableId="283124487">
    <w:abstractNumId w:val="157"/>
  </w:num>
  <w:num w:numId="123" w16cid:durableId="1629358741">
    <w:abstractNumId w:val="133"/>
  </w:num>
  <w:num w:numId="124" w16cid:durableId="1975408768">
    <w:abstractNumId w:val="19"/>
    <w:lvlOverride w:ilvl="0">
      <w:startOverride w:val="1"/>
    </w:lvlOverride>
  </w:num>
  <w:num w:numId="125" w16cid:durableId="732387736">
    <w:abstractNumId w:val="260"/>
  </w:num>
  <w:num w:numId="126" w16cid:durableId="1819027643">
    <w:abstractNumId w:val="75"/>
  </w:num>
  <w:num w:numId="127" w16cid:durableId="1569145313">
    <w:abstractNumId w:val="247"/>
  </w:num>
  <w:num w:numId="128" w16cid:durableId="1022707096">
    <w:abstractNumId w:val="82"/>
  </w:num>
  <w:num w:numId="129" w16cid:durableId="1275405635">
    <w:abstractNumId w:val="103"/>
  </w:num>
  <w:num w:numId="130" w16cid:durableId="472407339">
    <w:abstractNumId w:val="245"/>
  </w:num>
  <w:num w:numId="131" w16cid:durableId="1065494178">
    <w:abstractNumId w:val="146"/>
  </w:num>
  <w:num w:numId="132" w16cid:durableId="1025525449">
    <w:abstractNumId w:val="36"/>
  </w:num>
  <w:num w:numId="133" w16cid:durableId="375006376">
    <w:abstractNumId w:val="100"/>
  </w:num>
  <w:num w:numId="134" w16cid:durableId="1760716107">
    <w:abstractNumId w:val="258"/>
  </w:num>
  <w:num w:numId="135" w16cid:durableId="953825178">
    <w:abstractNumId w:val="262"/>
  </w:num>
  <w:num w:numId="136" w16cid:durableId="1432627731">
    <w:abstractNumId w:val="80"/>
  </w:num>
  <w:num w:numId="137" w16cid:durableId="655381878">
    <w:abstractNumId w:val="201"/>
  </w:num>
  <w:num w:numId="138" w16cid:durableId="1928028322">
    <w:abstractNumId w:val="199"/>
  </w:num>
  <w:num w:numId="139" w16cid:durableId="713191286">
    <w:abstractNumId w:val="63"/>
  </w:num>
  <w:num w:numId="140" w16cid:durableId="941913875">
    <w:abstractNumId w:val="117"/>
  </w:num>
  <w:num w:numId="141" w16cid:durableId="828987488">
    <w:abstractNumId w:val="130"/>
  </w:num>
  <w:num w:numId="142" w16cid:durableId="282466217">
    <w:abstractNumId w:val="210"/>
  </w:num>
  <w:num w:numId="143" w16cid:durableId="817499206">
    <w:abstractNumId w:val="167"/>
  </w:num>
  <w:num w:numId="144" w16cid:durableId="1480999467">
    <w:abstractNumId w:val="28"/>
  </w:num>
  <w:num w:numId="145" w16cid:durableId="15010182">
    <w:abstractNumId w:val="251"/>
  </w:num>
  <w:num w:numId="146" w16cid:durableId="55052222">
    <w:abstractNumId w:val="25"/>
  </w:num>
  <w:num w:numId="147" w16cid:durableId="1271745967">
    <w:abstractNumId w:val="218"/>
  </w:num>
  <w:num w:numId="148" w16cid:durableId="731270429">
    <w:abstractNumId w:val="48"/>
  </w:num>
  <w:num w:numId="149" w16cid:durableId="81411730">
    <w:abstractNumId w:val="11"/>
  </w:num>
  <w:num w:numId="150" w16cid:durableId="481969201">
    <w:abstractNumId w:val="54"/>
  </w:num>
  <w:num w:numId="151" w16cid:durableId="465002637">
    <w:abstractNumId w:val="128"/>
  </w:num>
  <w:num w:numId="152" w16cid:durableId="655037134">
    <w:abstractNumId w:val="194"/>
  </w:num>
  <w:num w:numId="153" w16cid:durableId="1513489189">
    <w:abstractNumId w:val="123"/>
  </w:num>
  <w:num w:numId="154" w16cid:durableId="723411015">
    <w:abstractNumId w:val="211"/>
  </w:num>
  <w:num w:numId="155" w16cid:durableId="233200324">
    <w:abstractNumId w:val="197"/>
  </w:num>
  <w:num w:numId="156" w16cid:durableId="928781878">
    <w:abstractNumId w:val="252"/>
  </w:num>
  <w:num w:numId="157" w16cid:durableId="1094084289">
    <w:abstractNumId w:val="205"/>
  </w:num>
  <w:num w:numId="158" w16cid:durableId="22438151">
    <w:abstractNumId w:val="109"/>
  </w:num>
  <w:num w:numId="159" w16cid:durableId="1144738136">
    <w:abstractNumId w:val="31"/>
  </w:num>
  <w:num w:numId="160" w16cid:durableId="960305627">
    <w:abstractNumId w:val="235"/>
  </w:num>
  <w:num w:numId="161" w16cid:durableId="2065523872">
    <w:abstractNumId w:val="53"/>
  </w:num>
  <w:num w:numId="162" w16cid:durableId="1618096093">
    <w:abstractNumId w:val="70"/>
  </w:num>
  <w:num w:numId="163" w16cid:durableId="2089423907">
    <w:abstractNumId w:val="232"/>
  </w:num>
  <w:num w:numId="164" w16cid:durableId="598368088">
    <w:abstractNumId w:val="250"/>
  </w:num>
  <w:num w:numId="165" w16cid:durableId="1023483986">
    <w:abstractNumId w:val="187"/>
  </w:num>
  <w:num w:numId="166" w16cid:durableId="231235048">
    <w:abstractNumId w:val="265"/>
  </w:num>
  <w:num w:numId="167" w16cid:durableId="1730377612">
    <w:abstractNumId w:val="107"/>
  </w:num>
  <w:num w:numId="168" w16cid:durableId="721368215">
    <w:abstractNumId w:val="83"/>
  </w:num>
  <w:num w:numId="169" w16cid:durableId="898517652">
    <w:abstractNumId w:val="161"/>
  </w:num>
  <w:num w:numId="170" w16cid:durableId="225720973">
    <w:abstractNumId w:val="108"/>
  </w:num>
  <w:num w:numId="171" w16cid:durableId="133568296">
    <w:abstractNumId w:val="188"/>
  </w:num>
  <w:num w:numId="172" w16cid:durableId="1785034996">
    <w:abstractNumId w:val="259"/>
  </w:num>
  <w:num w:numId="173" w16cid:durableId="1948075738">
    <w:abstractNumId w:val="131"/>
  </w:num>
  <w:num w:numId="174" w16cid:durableId="64453359">
    <w:abstractNumId w:val="114"/>
  </w:num>
  <w:num w:numId="175" w16cid:durableId="1320580307">
    <w:abstractNumId w:val="98"/>
  </w:num>
  <w:num w:numId="176" w16cid:durableId="1416628078">
    <w:abstractNumId w:val="79"/>
  </w:num>
  <w:num w:numId="177" w16cid:durableId="1809857591">
    <w:abstractNumId w:val="77"/>
  </w:num>
  <w:num w:numId="178" w16cid:durableId="438960872">
    <w:abstractNumId w:val="180"/>
  </w:num>
  <w:num w:numId="179" w16cid:durableId="760949071">
    <w:abstractNumId w:val="174"/>
  </w:num>
  <w:num w:numId="180" w16cid:durableId="1198275174">
    <w:abstractNumId w:val="72"/>
  </w:num>
  <w:num w:numId="181" w16cid:durableId="854810614">
    <w:abstractNumId w:val="163"/>
  </w:num>
  <w:num w:numId="182" w16cid:durableId="1640959696">
    <w:abstractNumId w:val="183"/>
  </w:num>
  <w:num w:numId="183" w16cid:durableId="1521163692">
    <w:abstractNumId w:val="253"/>
  </w:num>
  <w:num w:numId="184" w16cid:durableId="2101413702">
    <w:abstractNumId w:val="171"/>
  </w:num>
  <w:num w:numId="185" w16cid:durableId="1383092898">
    <w:abstractNumId w:val="248"/>
  </w:num>
  <w:num w:numId="186" w16cid:durableId="238100159">
    <w:abstractNumId w:val="17"/>
  </w:num>
  <w:num w:numId="187" w16cid:durableId="538125979">
    <w:abstractNumId w:val="209"/>
    <w:lvlOverride w:ilvl="0">
      <w:startOverride w:val="1"/>
    </w:lvlOverride>
  </w:num>
  <w:num w:numId="188" w16cid:durableId="130832050">
    <w:abstractNumId w:val="209"/>
    <w:lvlOverride w:ilvl="0">
      <w:startOverride w:val="1"/>
    </w:lvlOverride>
  </w:num>
  <w:num w:numId="189" w16cid:durableId="1213228037">
    <w:abstractNumId w:val="119"/>
  </w:num>
  <w:num w:numId="190" w16cid:durableId="1820607636">
    <w:abstractNumId w:val="222"/>
  </w:num>
  <w:num w:numId="191" w16cid:durableId="2123380869">
    <w:abstractNumId w:val="268"/>
  </w:num>
  <w:num w:numId="192" w16cid:durableId="569972210">
    <w:abstractNumId w:val="137"/>
  </w:num>
  <w:num w:numId="193" w16cid:durableId="1671718344">
    <w:abstractNumId w:val="200"/>
  </w:num>
  <w:num w:numId="194" w16cid:durableId="902177604">
    <w:abstractNumId w:val="26"/>
  </w:num>
  <w:num w:numId="195" w16cid:durableId="1539581882">
    <w:abstractNumId w:val="179"/>
  </w:num>
  <w:num w:numId="196" w16cid:durableId="438988175">
    <w:abstractNumId w:val="66"/>
  </w:num>
  <w:num w:numId="197" w16cid:durableId="176628122">
    <w:abstractNumId w:val="186"/>
  </w:num>
  <w:num w:numId="198" w16cid:durableId="1714764768">
    <w:abstractNumId w:val="47"/>
  </w:num>
  <w:num w:numId="199" w16cid:durableId="1054432198">
    <w:abstractNumId w:val="142"/>
  </w:num>
  <w:num w:numId="200" w16cid:durableId="557084408">
    <w:abstractNumId w:val="33"/>
  </w:num>
  <w:num w:numId="201" w16cid:durableId="485365233">
    <w:abstractNumId w:val="176"/>
  </w:num>
  <w:num w:numId="202" w16cid:durableId="1747724908">
    <w:abstractNumId w:val="74"/>
  </w:num>
  <w:num w:numId="203" w16cid:durableId="2092193616">
    <w:abstractNumId w:val="122"/>
  </w:num>
  <w:num w:numId="204" w16cid:durableId="195775906">
    <w:abstractNumId w:val="139"/>
  </w:num>
  <w:num w:numId="205" w16cid:durableId="1704860809">
    <w:abstractNumId w:val="154"/>
  </w:num>
  <w:num w:numId="206" w16cid:durableId="589198044">
    <w:abstractNumId w:val="23"/>
  </w:num>
  <w:num w:numId="207" w16cid:durableId="641931148">
    <w:abstractNumId w:val="113"/>
  </w:num>
  <w:num w:numId="208" w16cid:durableId="38282923">
    <w:abstractNumId w:val="204"/>
  </w:num>
  <w:num w:numId="209" w16cid:durableId="1771579722">
    <w:abstractNumId w:val="156"/>
  </w:num>
  <w:num w:numId="210" w16cid:durableId="89355173">
    <w:abstractNumId w:val="165"/>
  </w:num>
  <w:num w:numId="211" w16cid:durableId="2092311964">
    <w:abstractNumId w:val="127"/>
  </w:num>
  <w:num w:numId="212" w16cid:durableId="2090610767">
    <w:abstractNumId w:val="62"/>
  </w:num>
  <w:num w:numId="213" w16cid:durableId="1520776838">
    <w:abstractNumId w:val="99"/>
  </w:num>
  <w:num w:numId="214" w16cid:durableId="1902714411">
    <w:abstractNumId w:val="227"/>
  </w:num>
  <w:num w:numId="215" w16cid:durableId="664435777">
    <w:abstractNumId w:val="41"/>
  </w:num>
  <w:num w:numId="216" w16cid:durableId="1643120172">
    <w:abstractNumId w:val="234"/>
  </w:num>
  <w:num w:numId="217" w16cid:durableId="1392387780">
    <w:abstractNumId w:val="73"/>
  </w:num>
  <w:num w:numId="218" w16cid:durableId="2095318931">
    <w:abstractNumId w:val="249"/>
  </w:num>
  <w:num w:numId="219" w16cid:durableId="941960896">
    <w:abstractNumId w:val="169"/>
  </w:num>
  <w:num w:numId="220" w16cid:durableId="1276055617">
    <w:abstractNumId w:val="92"/>
  </w:num>
  <w:num w:numId="221" w16cid:durableId="1261452917">
    <w:abstractNumId w:val="214"/>
  </w:num>
  <w:num w:numId="222" w16cid:durableId="2125465929">
    <w:abstractNumId w:val="51"/>
  </w:num>
  <w:num w:numId="223" w16cid:durableId="1557008716">
    <w:abstractNumId w:val="86"/>
  </w:num>
  <w:num w:numId="224" w16cid:durableId="2081244091">
    <w:abstractNumId w:val="206"/>
  </w:num>
  <w:num w:numId="225" w16cid:durableId="1468553199">
    <w:abstractNumId w:val="178"/>
  </w:num>
  <w:num w:numId="226" w16cid:durableId="1286153367">
    <w:abstractNumId w:val="97"/>
  </w:num>
  <w:num w:numId="227" w16cid:durableId="694422720">
    <w:abstractNumId w:val="243"/>
  </w:num>
  <w:num w:numId="228" w16cid:durableId="1593199435">
    <w:abstractNumId w:val="87"/>
  </w:num>
  <w:num w:numId="229" w16cid:durableId="2109349819">
    <w:abstractNumId w:val="20"/>
  </w:num>
  <w:num w:numId="230" w16cid:durableId="310911895">
    <w:abstractNumId w:val="118"/>
  </w:num>
  <w:num w:numId="231" w16cid:durableId="352458414">
    <w:abstractNumId w:val="110"/>
  </w:num>
  <w:num w:numId="232" w16cid:durableId="912160440">
    <w:abstractNumId w:val="213"/>
  </w:num>
  <w:num w:numId="233" w16cid:durableId="1133135992">
    <w:abstractNumId w:val="203"/>
  </w:num>
  <w:num w:numId="234" w16cid:durableId="1202551380">
    <w:abstractNumId w:val="67"/>
  </w:num>
  <w:num w:numId="235" w16cid:durableId="400910880">
    <w:abstractNumId w:val="22"/>
  </w:num>
  <w:num w:numId="236" w16cid:durableId="256449434">
    <w:abstractNumId w:val="239"/>
  </w:num>
  <w:num w:numId="237" w16cid:durableId="2104378473">
    <w:abstractNumId w:val="50"/>
  </w:num>
  <w:num w:numId="238" w16cid:durableId="1880121979">
    <w:abstractNumId w:val="149"/>
  </w:num>
  <w:num w:numId="239" w16cid:durableId="8526643">
    <w:abstractNumId w:val="88"/>
  </w:num>
  <w:num w:numId="240" w16cid:durableId="1195658777">
    <w:abstractNumId w:val="24"/>
  </w:num>
  <w:num w:numId="241" w16cid:durableId="14430383">
    <w:abstractNumId w:val="45"/>
  </w:num>
  <w:num w:numId="242" w16cid:durableId="358161223">
    <w:abstractNumId w:val="141"/>
  </w:num>
  <w:num w:numId="243" w16cid:durableId="437020396">
    <w:abstractNumId w:val="124"/>
  </w:num>
  <w:num w:numId="244" w16cid:durableId="675838732">
    <w:abstractNumId w:val="241"/>
  </w:num>
  <w:num w:numId="245" w16cid:durableId="403455945">
    <w:abstractNumId w:val="40"/>
  </w:num>
  <w:num w:numId="246" w16cid:durableId="1971814158">
    <w:abstractNumId w:val="196"/>
  </w:num>
  <w:num w:numId="247" w16cid:durableId="1440492870">
    <w:abstractNumId w:val="135"/>
  </w:num>
  <w:num w:numId="248" w16cid:durableId="1486316965">
    <w:abstractNumId w:val="240"/>
  </w:num>
  <w:num w:numId="249" w16cid:durableId="265890505">
    <w:abstractNumId w:val="246"/>
  </w:num>
  <w:num w:numId="250" w16cid:durableId="1751190988">
    <w:abstractNumId w:val="263"/>
  </w:num>
  <w:num w:numId="251" w16cid:durableId="1270553476">
    <w:abstractNumId w:val="193"/>
  </w:num>
  <w:num w:numId="252" w16cid:durableId="1627080989">
    <w:abstractNumId w:val="220"/>
  </w:num>
  <w:num w:numId="253" w16cid:durableId="1258639262">
    <w:abstractNumId w:val="158"/>
  </w:num>
  <w:num w:numId="254" w16cid:durableId="847216357">
    <w:abstractNumId w:val="226"/>
  </w:num>
  <w:num w:numId="255" w16cid:durableId="370500440">
    <w:abstractNumId w:val="44"/>
  </w:num>
  <w:num w:numId="256" w16cid:durableId="1102070698">
    <w:abstractNumId w:val="29"/>
  </w:num>
  <w:num w:numId="257" w16cid:durableId="52585424">
    <w:abstractNumId w:val="94"/>
  </w:num>
  <w:num w:numId="258" w16cid:durableId="1457026108">
    <w:abstractNumId w:val="68"/>
  </w:num>
  <w:num w:numId="259" w16cid:durableId="8266568">
    <w:abstractNumId w:val="129"/>
  </w:num>
  <w:num w:numId="260" w16cid:durableId="705566673">
    <w:abstractNumId w:val="173"/>
  </w:num>
  <w:num w:numId="261" w16cid:durableId="162818671">
    <w:abstractNumId w:val="69"/>
  </w:num>
  <w:num w:numId="262" w16cid:durableId="2010674250">
    <w:abstractNumId w:val="164"/>
  </w:num>
  <w:num w:numId="263" w16cid:durableId="1881433621">
    <w:abstractNumId w:val="14"/>
  </w:num>
  <w:num w:numId="264" w16cid:durableId="1224752489">
    <w:abstractNumId w:val="224"/>
  </w:num>
  <w:num w:numId="265" w16cid:durableId="906957862">
    <w:abstractNumId w:val="140"/>
  </w:num>
  <w:num w:numId="266" w16cid:durableId="433091981">
    <w:abstractNumId w:val="202"/>
  </w:num>
  <w:num w:numId="267" w16cid:durableId="371154460">
    <w:abstractNumId w:val="115"/>
  </w:num>
  <w:num w:numId="268" w16cid:durableId="205263021">
    <w:abstractNumId w:val="151"/>
  </w:num>
  <w:num w:numId="269" w16cid:durableId="1445153688">
    <w:abstractNumId w:val="155"/>
  </w:num>
  <w:num w:numId="270" w16cid:durableId="595865230">
    <w:abstractNumId w:val="134"/>
  </w:num>
  <w:num w:numId="271" w16cid:durableId="966659850">
    <w:abstractNumId w:val="43"/>
  </w:num>
  <w:num w:numId="272" w16cid:durableId="1236745828">
    <w:abstractNumId w:val="175"/>
  </w:num>
  <w:num w:numId="273" w16cid:durableId="183129114">
    <w:abstractNumId w:val="256"/>
  </w:num>
  <w:num w:numId="274" w16cid:durableId="1581671280">
    <w:abstractNumId w:val="195"/>
  </w:num>
  <w:num w:numId="275" w16cid:durableId="174656803">
    <w:abstractNumId w:val="132"/>
  </w:num>
  <w:num w:numId="276" w16cid:durableId="1486749778">
    <w:abstractNumId w:val="168"/>
  </w:num>
  <w:num w:numId="277" w16cid:durableId="51199099">
    <w:abstractNumId w:val="229"/>
  </w:num>
  <w:num w:numId="278" w16cid:durableId="1314524589">
    <w:abstractNumId w:val="185"/>
  </w:num>
  <w:num w:numId="279" w16cid:durableId="835802799">
    <w:abstractNumId w:val="90"/>
  </w:num>
  <w:numIdMacAtCleanup w:val="2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vie02">
    <w15:presenceInfo w15:providerId="None" w15:userId="Abbvie02"/>
  </w15:person>
  <w15:person w15:author="AbbVie1">
    <w15:presenceInfo w15:providerId="None" w15:userId="AbbVi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9D1E9A"/>
    <w:rsid w:val="00000010"/>
    <w:rsid w:val="00000ECA"/>
    <w:rsid w:val="000018EF"/>
    <w:rsid w:val="00001C7B"/>
    <w:rsid w:val="00002187"/>
    <w:rsid w:val="00002934"/>
    <w:rsid w:val="00003181"/>
    <w:rsid w:val="00003540"/>
    <w:rsid w:val="0000361B"/>
    <w:rsid w:val="00003B7E"/>
    <w:rsid w:val="00003F5D"/>
    <w:rsid w:val="00004A73"/>
    <w:rsid w:val="00004D8A"/>
    <w:rsid w:val="00004F05"/>
    <w:rsid w:val="00005E17"/>
    <w:rsid w:val="00005EC2"/>
    <w:rsid w:val="00006313"/>
    <w:rsid w:val="00006F38"/>
    <w:rsid w:val="0000709D"/>
    <w:rsid w:val="0000714E"/>
    <w:rsid w:val="000077E1"/>
    <w:rsid w:val="00010AD1"/>
    <w:rsid w:val="000110FA"/>
    <w:rsid w:val="000113A3"/>
    <w:rsid w:val="0001183F"/>
    <w:rsid w:val="00011DDB"/>
    <w:rsid w:val="00012335"/>
    <w:rsid w:val="000125BE"/>
    <w:rsid w:val="00012979"/>
    <w:rsid w:val="00012A1D"/>
    <w:rsid w:val="00012C3F"/>
    <w:rsid w:val="00013321"/>
    <w:rsid w:val="0001354E"/>
    <w:rsid w:val="000141C6"/>
    <w:rsid w:val="00014E92"/>
    <w:rsid w:val="00015A80"/>
    <w:rsid w:val="00015DFE"/>
    <w:rsid w:val="00016B96"/>
    <w:rsid w:val="00017038"/>
    <w:rsid w:val="00017826"/>
    <w:rsid w:val="000203D5"/>
    <w:rsid w:val="00020984"/>
    <w:rsid w:val="0002144B"/>
    <w:rsid w:val="0002213F"/>
    <w:rsid w:val="0002246D"/>
    <w:rsid w:val="00022A37"/>
    <w:rsid w:val="00022A9A"/>
    <w:rsid w:val="00022B39"/>
    <w:rsid w:val="00023BC4"/>
    <w:rsid w:val="00025179"/>
    <w:rsid w:val="000251D8"/>
    <w:rsid w:val="00025A45"/>
    <w:rsid w:val="000270E1"/>
    <w:rsid w:val="000275CA"/>
    <w:rsid w:val="00027ACA"/>
    <w:rsid w:val="00030274"/>
    <w:rsid w:val="000303B9"/>
    <w:rsid w:val="00030E59"/>
    <w:rsid w:val="00032D6F"/>
    <w:rsid w:val="00032F16"/>
    <w:rsid w:val="00033527"/>
    <w:rsid w:val="000336BC"/>
    <w:rsid w:val="00033BCD"/>
    <w:rsid w:val="00033EDE"/>
    <w:rsid w:val="00034FC1"/>
    <w:rsid w:val="0003500B"/>
    <w:rsid w:val="000354B2"/>
    <w:rsid w:val="000361D0"/>
    <w:rsid w:val="00036BE2"/>
    <w:rsid w:val="00037745"/>
    <w:rsid w:val="00037EDB"/>
    <w:rsid w:val="00040A66"/>
    <w:rsid w:val="00040F17"/>
    <w:rsid w:val="00040F3F"/>
    <w:rsid w:val="00041599"/>
    <w:rsid w:val="0004196D"/>
    <w:rsid w:val="00041A5E"/>
    <w:rsid w:val="00041B48"/>
    <w:rsid w:val="0004200D"/>
    <w:rsid w:val="00043C57"/>
    <w:rsid w:val="000447EA"/>
    <w:rsid w:val="00044E44"/>
    <w:rsid w:val="000522FE"/>
    <w:rsid w:val="00053B74"/>
    <w:rsid w:val="000541FF"/>
    <w:rsid w:val="00054917"/>
    <w:rsid w:val="00055E2A"/>
    <w:rsid w:val="000576DC"/>
    <w:rsid w:val="00057A14"/>
    <w:rsid w:val="00057C7A"/>
    <w:rsid w:val="00057FF5"/>
    <w:rsid w:val="000602EB"/>
    <w:rsid w:val="00061526"/>
    <w:rsid w:val="00062315"/>
    <w:rsid w:val="0006269A"/>
    <w:rsid w:val="00063076"/>
    <w:rsid w:val="0006352B"/>
    <w:rsid w:val="00063784"/>
    <w:rsid w:val="00063AF5"/>
    <w:rsid w:val="00063CB5"/>
    <w:rsid w:val="00063F34"/>
    <w:rsid w:val="0006455B"/>
    <w:rsid w:val="000654D2"/>
    <w:rsid w:val="00066147"/>
    <w:rsid w:val="00066715"/>
    <w:rsid w:val="000670D4"/>
    <w:rsid w:val="0006722D"/>
    <w:rsid w:val="0006776B"/>
    <w:rsid w:val="000702A9"/>
    <w:rsid w:val="00070D57"/>
    <w:rsid w:val="00071168"/>
    <w:rsid w:val="000711A3"/>
    <w:rsid w:val="00071794"/>
    <w:rsid w:val="00071D5E"/>
    <w:rsid w:val="00072B03"/>
    <w:rsid w:val="00072C2B"/>
    <w:rsid w:val="00073E27"/>
    <w:rsid w:val="00073F8F"/>
    <w:rsid w:val="000743F8"/>
    <w:rsid w:val="00075234"/>
    <w:rsid w:val="00075281"/>
    <w:rsid w:val="000752A7"/>
    <w:rsid w:val="00075749"/>
    <w:rsid w:val="00076012"/>
    <w:rsid w:val="00076CDE"/>
    <w:rsid w:val="00077963"/>
    <w:rsid w:val="00077F80"/>
    <w:rsid w:val="00080C1B"/>
    <w:rsid w:val="000812C0"/>
    <w:rsid w:val="00081CCD"/>
    <w:rsid w:val="00084DA1"/>
    <w:rsid w:val="00085F34"/>
    <w:rsid w:val="00086C66"/>
    <w:rsid w:val="00087616"/>
    <w:rsid w:val="000878B0"/>
    <w:rsid w:val="00087927"/>
    <w:rsid w:val="00087EA5"/>
    <w:rsid w:val="00087F76"/>
    <w:rsid w:val="00090145"/>
    <w:rsid w:val="00090407"/>
    <w:rsid w:val="00090724"/>
    <w:rsid w:val="0009084E"/>
    <w:rsid w:val="00090E66"/>
    <w:rsid w:val="00090F16"/>
    <w:rsid w:val="00091412"/>
    <w:rsid w:val="00091620"/>
    <w:rsid w:val="00091AD1"/>
    <w:rsid w:val="000928E6"/>
    <w:rsid w:val="00093EBF"/>
    <w:rsid w:val="00094D20"/>
    <w:rsid w:val="000957E6"/>
    <w:rsid w:val="00095C2F"/>
    <w:rsid w:val="000961E7"/>
    <w:rsid w:val="000967B0"/>
    <w:rsid w:val="00096FA6"/>
    <w:rsid w:val="000974A3"/>
    <w:rsid w:val="000A0172"/>
    <w:rsid w:val="000A0781"/>
    <w:rsid w:val="000A116E"/>
    <w:rsid w:val="000A1236"/>
    <w:rsid w:val="000A1542"/>
    <w:rsid w:val="000A158D"/>
    <w:rsid w:val="000A2071"/>
    <w:rsid w:val="000A3E41"/>
    <w:rsid w:val="000A47EA"/>
    <w:rsid w:val="000A4909"/>
    <w:rsid w:val="000A5426"/>
    <w:rsid w:val="000A6944"/>
    <w:rsid w:val="000A76EF"/>
    <w:rsid w:val="000A79CD"/>
    <w:rsid w:val="000A7DD1"/>
    <w:rsid w:val="000B0409"/>
    <w:rsid w:val="000B08CB"/>
    <w:rsid w:val="000B0F99"/>
    <w:rsid w:val="000B1F0F"/>
    <w:rsid w:val="000B33C2"/>
    <w:rsid w:val="000B3707"/>
    <w:rsid w:val="000B4753"/>
    <w:rsid w:val="000B4C3D"/>
    <w:rsid w:val="000B5460"/>
    <w:rsid w:val="000B5567"/>
    <w:rsid w:val="000B55EC"/>
    <w:rsid w:val="000B678F"/>
    <w:rsid w:val="000B6EE4"/>
    <w:rsid w:val="000B6F42"/>
    <w:rsid w:val="000B75A4"/>
    <w:rsid w:val="000B77FE"/>
    <w:rsid w:val="000B7C84"/>
    <w:rsid w:val="000C0120"/>
    <w:rsid w:val="000C0B0A"/>
    <w:rsid w:val="000C0D01"/>
    <w:rsid w:val="000C196B"/>
    <w:rsid w:val="000C215B"/>
    <w:rsid w:val="000C2302"/>
    <w:rsid w:val="000C2348"/>
    <w:rsid w:val="000C258A"/>
    <w:rsid w:val="000C26B2"/>
    <w:rsid w:val="000C293E"/>
    <w:rsid w:val="000C29B0"/>
    <w:rsid w:val="000C3781"/>
    <w:rsid w:val="000C4D18"/>
    <w:rsid w:val="000C4DB9"/>
    <w:rsid w:val="000C5AAF"/>
    <w:rsid w:val="000C5D23"/>
    <w:rsid w:val="000C65C1"/>
    <w:rsid w:val="000C6846"/>
    <w:rsid w:val="000C70DB"/>
    <w:rsid w:val="000C7B3D"/>
    <w:rsid w:val="000D080B"/>
    <w:rsid w:val="000D0854"/>
    <w:rsid w:val="000D0CB0"/>
    <w:rsid w:val="000D1F8F"/>
    <w:rsid w:val="000D3307"/>
    <w:rsid w:val="000D3314"/>
    <w:rsid w:val="000D3422"/>
    <w:rsid w:val="000D3EA7"/>
    <w:rsid w:val="000D4191"/>
    <w:rsid w:val="000D427E"/>
    <w:rsid w:val="000D4B6E"/>
    <w:rsid w:val="000D509B"/>
    <w:rsid w:val="000D52AC"/>
    <w:rsid w:val="000D5BEF"/>
    <w:rsid w:val="000D5FA4"/>
    <w:rsid w:val="000D630C"/>
    <w:rsid w:val="000D65C1"/>
    <w:rsid w:val="000D6934"/>
    <w:rsid w:val="000E191B"/>
    <w:rsid w:val="000E20CA"/>
    <w:rsid w:val="000E29F4"/>
    <w:rsid w:val="000E342D"/>
    <w:rsid w:val="000E3459"/>
    <w:rsid w:val="000E356B"/>
    <w:rsid w:val="000E3758"/>
    <w:rsid w:val="000E3D89"/>
    <w:rsid w:val="000E41FF"/>
    <w:rsid w:val="000E4F95"/>
    <w:rsid w:val="000E500D"/>
    <w:rsid w:val="000E5C0E"/>
    <w:rsid w:val="000E5CFA"/>
    <w:rsid w:val="000E65F4"/>
    <w:rsid w:val="000E6605"/>
    <w:rsid w:val="000E6B23"/>
    <w:rsid w:val="000E6EA0"/>
    <w:rsid w:val="000E7BC5"/>
    <w:rsid w:val="000E7F39"/>
    <w:rsid w:val="000F03F0"/>
    <w:rsid w:val="000F04DB"/>
    <w:rsid w:val="000F0B77"/>
    <w:rsid w:val="000F1E90"/>
    <w:rsid w:val="000F23A7"/>
    <w:rsid w:val="000F3075"/>
    <w:rsid w:val="000F34C1"/>
    <w:rsid w:val="000F3C00"/>
    <w:rsid w:val="000F3C15"/>
    <w:rsid w:val="000F462C"/>
    <w:rsid w:val="000F4A03"/>
    <w:rsid w:val="000F4D3D"/>
    <w:rsid w:val="000F656B"/>
    <w:rsid w:val="000F6D9E"/>
    <w:rsid w:val="0010061E"/>
    <w:rsid w:val="00100BBC"/>
    <w:rsid w:val="00100EC6"/>
    <w:rsid w:val="0010228D"/>
    <w:rsid w:val="0010415A"/>
    <w:rsid w:val="00104714"/>
    <w:rsid w:val="00104D71"/>
    <w:rsid w:val="0010544E"/>
    <w:rsid w:val="00105485"/>
    <w:rsid w:val="00105CA7"/>
    <w:rsid w:val="00105D71"/>
    <w:rsid w:val="00105F02"/>
    <w:rsid w:val="0010616A"/>
    <w:rsid w:val="00106371"/>
    <w:rsid w:val="001066FB"/>
    <w:rsid w:val="00106AC1"/>
    <w:rsid w:val="00106DC9"/>
    <w:rsid w:val="00106DD5"/>
    <w:rsid w:val="00106EFE"/>
    <w:rsid w:val="0010784B"/>
    <w:rsid w:val="00107A9D"/>
    <w:rsid w:val="00110425"/>
    <w:rsid w:val="00111D5F"/>
    <w:rsid w:val="0011294F"/>
    <w:rsid w:val="0011392F"/>
    <w:rsid w:val="001143FE"/>
    <w:rsid w:val="001147CE"/>
    <w:rsid w:val="00114CA2"/>
    <w:rsid w:val="00114D52"/>
    <w:rsid w:val="001155CE"/>
    <w:rsid w:val="00115A04"/>
    <w:rsid w:val="001165D4"/>
    <w:rsid w:val="00116ECE"/>
    <w:rsid w:val="001170D8"/>
    <w:rsid w:val="00120B63"/>
    <w:rsid w:val="00121113"/>
    <w:rsid w:val="00121610"/>
    <w:rsid w:val="0012179D"/>
    <w:rsid w:val="00121AA4"/>
    <w:rsid w:val="00123BDB"/>
    <w:rsid w:val="00123FBF"/>
    <w:rsid w:val="00124819"/>
    <w:rsid w:val="001251EB"/>
    <w:rsid w:val="00125E13"/>
    <w:rsid w:val="00126498"/>
    <w:rsid w:val="001266BF"/>
    <w:rsid w:val="00126AE9"/>
    <w:rsid w:val="00126B69"/>
    <w:rsid w:val="00126EBE"/>
    <w:rsid w:val="00127309"/>
    <w:rsid w:val="00130B36"/>
    <w:rsid w:val="00130D43"/>
    <w:rsid w:val="00130F24"/>
    <w:rsid w:val="00131693"/>
    <w:rsid w:val="001317FD"/>
    <w:rsid w:val="0013186E"/>
    <w:rsid w:val="00131F60"/>
    <w:rsid w:val="00131F6C"/>
    <w:rsid w:val="00132803"/>
    <w:rsid w:val="00132BB3"/>
    <w:rsid w:val="001339FE"/>
    <w:rsid w:val="00134573"/>
    <w:rsid w:val="001347EA"/>
    <w:rsid w:val="00134F0E"/>
    <w:rsid w:val="001360B3"/>
    <w:rsid w:val="001361FB"/>
    <w:rsid w:val="00136B62"/>
    <w:rsid w:val="00136DF3"/>
    <w:rsid w:val="00136FCD"/>
    <w:rsid w:val="00140066"/>
    <w:rsid w:val="00140CFE"/>
    <w:rsid w:val="00140D08"/>
    <w:rsid w:val="001428BA"/>
    <w:rsid w:val="00143798"/>
    <w:rsid w:val="00143FF7"/>
    <w:rsid w:val="001449CD"/>
    <w:rsid w:val="00145203"/>
    <w:rsid w:val="001454DE"/>
    <w:rsid w:val="0014577B"/>
    <w:rsid w:val="00146D4E"/>
    <w:rsid w:val="00146D69"/>
    <w:rsid w:val="00146EE8"/>
    <w:rsid w:val="001503F8"/>
    <w:rsid w:val="00150DC1"/>
    <w:rsid w:val="0015154B"/>
    <w:rsid w:val="00151785"/>
    <w:rsid w:val="00151CAD"/>
    <w:rsid w:val="00152025"/>
    <w:rsid w:val="00153468"/>
    <w:rsid w:val="00153E60"/>
    <w:rsid w:val="001541C6"/>
    <w:rsid w:val="00154836"/>
    <w:rsid w:val="00154F04"/>
    <w:rsid w:val="0015524F"/>
    <w:rsid w:val="00155745"/>
    <w:rsid w:val="0015576B"/>
    <w:rsid w:val="00155D9D"/>
    <w:rsid w:val="001567E8"/>
    <w:rsid w:val="001603F8"/>
    <w:rsid w:val="00161F6C"/>
    <w:rsid w:val="0016288A"/>
    <w:rsid w:val="00163087"/>
    <w:rsid w:val="00163499"/>
    <w:rsid w:val="001635E1"/>
    <w:rsid w:val="00164B4F"/>
    <w:rsid w:val="00164C95"/>
    <w:rsid w:val="00165C6F"/>
    <w:rsid w:val="00166B22"/>
    <w:rsid w:val="00167D69"/>
    <w:rsid w:val="0017017D"/>
    <w:rsid w:val="00170D84"/>
    <w:rsid w:val="001711D4"/>
    <w:rsid w:val="00171291"/>
    <w:rsid w:val="00171627"/>
    <w:rsid w:val="0017164D"/>
    <w:rsid w:val="00172532"/>
    <w:rsid w:val="001725F2"/>
    <w:rsid w:val="001728A9"/>
    <w:rsid w:val="00172AB5"/>
    <w:rsid w:val="00173D50"/>
    <w:rsid w:val="00174239"/>
    <w:rsid w:val="00174894"/>
    <w:rsid w:val="00174A18"/>
    <w:rsid w:val="0017500A"/>
    <w:rsid w:val="00175085"/>
    <w:rsid w:val="001753CA"/>
    <w:rsid w:val="00175AA1"/>
    <w:rsid w:val="00175AEE"/>
    <w:rsid w:val="00175BF6"/>
    <w:rsid w:val="00176DF5"/>
    <w:rsid w:val="00177137"/>
    <w:rsid w:val="00177AFD"/>
    <w:rsid w:val="00177C89"/>
    <w:rsid w:val="0018074F"/>
    <w:rsid w:val="00180DE0"/>
    <w:rsid w:val="00181641"/>
    <w:rsid w:val="00181ED8"/>
    <w:rsid w:val="00182314"/>
    <w:rsid w:val="001823EB"/>
    <w:rsid w:val="00182F70"/>
    <w:rsid w:val="001835FF"/>
    <w:rsid w:val="0018373F"/>
    <w:rsid w:val="001849E8"/>
    <w:rsid w:val="00184D2E"/>
    <w:rsid w:val="001850B1"/>
    <w:rsid w:val="00185764"/>
    <w:rsid w:val="00185EA8"/>
    <w:rsid w:val="00186D56"/>
    <w:rsid w:val="001870C5"/>
    <w:rsid w:val="001877BE"/>
    <w:rsid w:val="00187CC8"/>
    <w:rsid w:val="00187D55"/>
    <w:rsid w:val="00187E4D"/>
    <w:rsid w:val="001901A3"/>
    <w:rsid w:val="00190499"/>
    <w:rsid w:val="00190A26"/>
    <w:rsid w:val="00190C8D"/>
    <w:rsid w:val="00190DCB"/>
    <w:rsid w:val="00191073"/>
    <w:rsid w:val="00191882"/>
    <w:rsid w:val="00191E38"/>
    <w:rsid w:val="00191ECB"/>
    <w:rsid w:val="0019337B"/>
    <w:rsid w:val="00193AB5"/>
    <w:rsid w:val="00193BA2"/>
    <w:rsid w:val="001956D6"/>
    <w:rsid w:val="00195C23"/>
    <w:rsid w:val="00196227"/>
    <w:rsid w:val="001971A7"/>
    <w:rsid w:val="00197458"/>
    <w:rsid w:val="001A0950"/>
    <w:rsid w:val="001A1135"/>
    <w:rsid w:val="001A1CDA"/>
    <w:rsid w:val="001A5DCE"/>
    <w:rsid w:val="001A71CC"/>
    <w:rsid w:val="001B0FFA"/>
    <w:rsid w:val="001B2068"/>
    <w:rsid w:val="001B2A79"/>
    <w:rsid w:val="001B32A0"/>
    <w:rsid w:val="001B3721"/>
    <w:rsid w:val="001B38C5"/>
    <w:rsid w:val="001B3C49"/>
    <w:rsid w:val="001B43D6"/>
    <w:rsid w:val="001B4520"/>
    <w:rsid w:val="001B4A02"/>
    <w:rsid w:val="001B54AE"/>
    <w:rsid w:val="001B560A"/>
    <w:rsid w:val="001B6017"/>
    <w:rsid w:val="001B7249"/>
    <w:rsid w:val="001B78B4"/>
    <w:rsid w:val="001C0166"/>
    <w:rsid w:val="001C113C"/>
    <w:rsid w:val="001C14A5"/>
    <w:rsid w:val="001C1BFF"/>
    <w:rsid w:val="001C1CEE"/>
    <w:rsid w:val="001C2019"/>
    <w:rsid w:val="001C20BB"/>
    <w:rsid w:val="001C22A2"/>
    <w:rsid w:val="001C232B"/>
    <w:rsid w:val="001C33AA"/>
    <w:rsid w:val="001C3C2E"/>
    <w:rsid w:val="001C3D4F"/>
    <w:rsid w:val="001C4173"/>
    <w:rsid w:val="001C46DB"/>
    <w:rsid w:val="001C4D1F"/>
    <w:rsid w:val="001C561A"/>
    <w:rsid w:val="001C5A66"/>
    <w:rsid w:val="001C5AB2"/>
    <w:rsid w:val="001C5DD4"/>
    <w:rsid w:val="001C611B"/>
    <w:rsid w:val="001C63B9"/>
    <w:rsid w:val="001C6DD1"/>
    <w:rsid w:val="001C6E18"/>
    <w:rsid w:val="001C7AED"/>
    <w:rsid w:val="001D0946"/>
    <w:rsid w:val="001D0EA8"/>
    <w:rsid w:val="001D176D"/>
    <w:rsid w:val="001D2137"/>
    <w:rsid w:val="001D21CB"/>
    <w:rsid w:val="001D2B8E"/>
    <w:rsid w:val="001D31EF"/>
    <w:rsid w:val="001D3D7D"/>
    <w:rsid w:val="001D46D6"/>
    <w:rsid w:val="001D5342"/>
    <w:rsid w:val="001D562D"/>
    <w:rsid w:val="001D5E1C"/>
    <w:rsid w:val="001D645A"/>
    <w:rsid w:val="001D6EE4"/>
    <w:rsid w:val="001D6F43"/>
    <w:rsid w:val="001D7017"/>
    <w:rsid w:val="001D76B9"/>
    <w:rsid w:val="001D778F"/>
    <w:rsid w:val="001E00E8"/>
    <w:rsid w:val="001E099C"/>
    <w:rsid w:val="001E10EB"/>
    <w:rsid w:val="001E143C"/>
    <w:rsid w:val="001E1456"/>
    <w:rsid w:val="001E1918"/>
    <w:rsid w:val="001E213A"/>
    <w:rsid w:val="001E2436"/>
    <w:rsid w:val="001E2C2A"/>
    <w:rsid w:val="001E322F"/>
    <w:rsid w:val="001E4077"/>
    <w:rsid w:val="001E41BF"/>
    <w:rsid w:val="001E4433"/>
    <w:rsid w:val="001E50E9"/>
    <w:rsid w:val="001E5DBB"/>
    <w:rsid w:val="001E5F86"/>
    <w:rsid w:val="001E61B8"/>
    <w:rsid w:val="001E61C3"/>
    <w:rsid w:val="001E6390"/>
    <w:rsid w:val="001E63CB"/>
    <w:rsid w:val="001E6A76"/>
    <w:rsid w:val="001E6B54"/>
    <w:rsid w:val="001E6DA3"/>
    <w:rsid w:val="001E7469"/>
    <w:rsid w:val="001E77C0"/>
    <w:rsid w:val="001E7A23"/>
    <w:rsid w:val="001F039F"/>
    <w:rsid w:val="001F03C6"/>
    <w:rsid w:val="001F094B"/>
    <w:rsid w:val="001F169A"/>
    <w:rsid w:val="001F18C4"/>
    <w:rsid w:val="001F18E9"/>
    <w:rsid w:val="001F1B80"/>
    <w:rsid w:val="001F231E"/>
    <w:rsid w:val="001F238E"/>
    <w:rsid w:val="001F29A6"/>
    <w:rsid w:val="001F3896"/>
    <w:rsid w:val="001F435E"/>
    <w:rsid w:val="001F4D3C"/>
    <w:rsid w:val="001F501D"/>
    <w:rsid w:val="001F57A4"/>
    <w:rsid w:val="001F5EAC"/>
    <w:rsid w:val="001F602D"/>
    <w:rsid w:val="001F6C51"/>
    <w:rsid w:val="001F76BF"/>
    <w:rsid w:val="001F79B0"/>
    <w:rsid w:val="002004E0"/>
    <w:rsid w:val="002006B8"/>
    <w:rsid w:val="002009DF"/>
    <w:rsid w:val="00200B58"/>
    <w:rsid w:val="00202301"/>
    <w:rsid w:val="002030EC"/>
    <w:rsid w:val="00203792"/>
    <w:rsid w:val="00204371"/>
    <w:rsid w:val="00204535"/>
    <w:rsid w:val="00204DEF"/>
    <w:rsid w:val="00205996"/>
    <w:rsid w:val="0020612C"/>
    <w:rsid w:val="00206C8B"/>
    <w:rsid w:val="00207C0B"/>
    <w:rsid w:val="00210474"/>
    <w:rsid w:val="00211B70"/>
    <w:rsid w:val="002136D5"/>
    <w:rsid w:val="002138B9"/>
    <w:rsid w:val="00213F4A"/>
    <w:rsid w:val="00214AE3"/>
    <w:rsid w:val="0021513C"/>
    <w:rsid w:val="00220238"/>
    <w:rsid w:val="0022057B"/>
    <w:rsid w:val="00220665"/>
    <w:rsid w:val="00220E0E"/>
    <w:rsid w:val="00220EB7"/>
    <w:rsid w:val="00221096"/>
    <w:rsid w:val="002216AB"/>
    <w:rsid w:val="00221860"/>
    <w:rsid w:val="00222D01"/>
    <w:rsid w:val="002230AE"/>
    <w:rsid w:val="00224877"/>
    <w:rsid w:val="00225A0A"/>
    <w:rsid w:val="00225CD1"/>
    <w:rsid w:val="00225D61"/>
    <w:rsid w:val="00230B60"/>
    <w:rsid w:val="0023175E"/>
    <w:rsid w:val="002317A3"/>
    <w:rsid w:val="00231DFA"/>
    <w:rsid w:val="00232A6C"/>
    <w:rsid w:val="0023327B"/>
    <w:rsid w:val="0023396A"/>
    <w:rsid w:val="00233C6D"/>
    <w:rsid w:val="00233DD7"/>
    <w:rsid w:val="0023438F"/>
    <w:rsid w:val="002346A9"/>
    <w:rsid w:val="00234FDF"/>
    <w:rsid w:val="00235B93"/>
    <w:rsid w:val="00235DBB"/>
    <w:rsid w:val="002363CB"/>
    <w:rsid w:val="0023656C"/>
    <w:rsid w:val="002365B1"/>
    <w:rsid w:val="00236D4C"/>
    <w:rsid w:val="002375C9"/>
    <w:rsid w:val="002378E0"/>
    <w:rsid w:val="00237DC5"/>
    <w:rsid w:val="002404B3"/>
    <w:rsid w:val="00240790"/>
    <w:rsid w:val="00240AC1"/>
    <w:rsid w:val="00242420"/>
    <w:rsid w:val="0024278A"/>
    <w:rsid w:val="002433F4"/>
    <w:rsid w:val="00243E55"/>
    <w:rsid w:val="00243EC5"/>
    <w:rsid w:val="00244116"/>
    <w:rsid w:val="002447C1"/>
    <w:rsid w:val="002448E5"/>
    <w:rsid w:val="00244AD5"/>
    <w:rsid w:val="00245623"/>
    <w:rsid w:val="00245B07"/>
    <w:rsid w:val="00246CE7"/>
    <w:rsid w:val="002472F8"/>
    <w:rsid w:val="002478D5"/>
    <w:rsid w:val="00247B0D"/>
    <w:rsid w:val="00247FB5"/>
    <w:rsid w:val="002511E1"/>
    <w:rsid w:val="00251CED"/>
    <w:rsid w:val="00252102"/>
    <w:rsid w:val="002525FD"/>
    <w:rsid w:val="002528FB"/>
    <w:rsid w:val="002536CB"/>
    <w:rsid w:val="0025371F"/>
    <w:rsid w:val="00253723"/>
    <w:rsid w:val="00253ABE"/>
    <w:rsid w:val="0025465A"/>
    <w:rsid w:val="002548FB"/>
    <w:rsid w:val="00254B9C"/>
    <w:rsid w:val="00254C37"/>
    <w:rsid w:val="002558CB"/>
    <w:rsid w:val="00255A0A"/>
    <w:rsid w:val="00255DE4"/>
    <w:rsid w:val="00256221"/>
    <w:rsid w:val="00256F99"/>
    <w:rsid w:val="00257077"/>
    <w:rsid w:val="00257E7B"/>
    <w:rsid w:val="0026085F"/>
    <w:rsid w:val="00260E15"/>
    <w:rsid w:val="0026142B"/>
    <w:rsid w:val="00261668"/>
    <w:rsid w:val="00261FAC"/>
    <w:rsid w:val="0026211B"/>
    <w:rsid w:val="00262E54"/>
    <w:rsid w:val="00262FFF"/>
    <w:rsid w:val="002633A0"/>
    <w:rsid w:val="00263A56"/>
    <w:rsid w:val="00264669"/>
    <w:rsid w:val="0026481E"/>
    <w:rsid w:val="00265031"/>
    <w:rsid w:val="00265593"/>
    <w:rsid w:val="00265599"/>
    <w:rsid w:val="0026588C"/>
    <w:rsid w:val="00265A66"/>
    <w:rsid w:val="00266D31"/>
    <w:rsid w:val="002700A9"/>
    <w:rsid w:val="00270D28"/>
    <w:rsid w:val="002710F8"/>
    <w:rsid w:val="0027162A"/>
    <w:rsid w:val="00271A71"/>
    <w:rsid w:val="00272620"/>
    <w:rsid w:val="0027342E"/>
    <w:rsid w:val="00274451"/>
    <w:rsid w:val="002744BF"/>
    <w:rsid w:val="002746D0"/>
    <w:rsid w:val="00275822"/>
    <w:rsid w:val="00275B76"/>
    <w:rsid w:val="00276302"/>
    <w:rsid w:val="002767FC"/>
    <w:rsid w:val="00276EB8"/>
    <w:rsid w:val="0027760D"/>
    <w:rsid w:val="00277A15"/>
    <w:rsid w:val="00280581"/>
    <w:rsid w:val="002809C6"/>
    <w:rsid w:val="00281C02"/>
    <w:rsid w:val="00282295"/>
    <w:rsid w:val="00283310"/>
    <w:rsid w:val="002834AE"/>
    <w:rsid w:val="0028371E"/>
    <w:rsid w:val="00283D91"/>
    <w:rsid w:val="002844B6"/>
    <w:rsid w:val="0028456C"/>
    <w:rsid w:val="00284713"/>
    <w:rsid w:val="002857B1"/>
    <w:rsid w:val="00286A54"/>
    <w:rsid w:val="0028776E"/>
    <w:rsid w:val="0029088C"/>
    <w:rsid w:val="00290966"/>
    <w:rsid w:val="00290A8C"/>
    <w:rsid w:val="00290BEB"/>
    <w:rsid w:val="00290F84"/>
    <w:rsid w:val="0029248A"/>
    <w:rsid w:val="00292D72"/>
    <w:rsid w:val="0029339E"/>
    <w:rsid w:val="002938E4"/>
    <w:rsid w:val="00293D5C"/>
    <w:rsid w:val="00294685"/>
    <w:rsid w:val="00294902"/>
    <w:rsid w:val="00295D4C"/>
    <w:rsid w:val="00296740"/>
    <w:rsid w:val="00296F56"/>
    <w:rsid w:val="00297911"/>
    <w:rsid w:val="002A01B7"/>
    <w:rsid w:val="002A029A"/>
    <w:rsid w:val="002A02EE"/>
    <w:rsid w:val="002A0506"/>
    <w:rsid w:val="002A0AEB"/>
    <w:rsid w:val="002A1485"/>
    <w:rsid w:val="002A2EDA"/>
    <w:rsid w:val="002A3068"/>
    <w:rsid w:val="002A321C"/>
    <w:rsid w:val="002A4012"/>
    <w:rsid w:val="002A406B"/>
    <w:rsid w:val="002A47F9"/>
    <w:rsid w:val="002A4842"/>
    <w:rsid w:val="002A5304"/>
    <w:rsid w:val="002A5B81"/>
    <w:rsid w:val="002A639A"/>
    <w:rsid w:val="002A67C1"/>
    <w:rsid w:val="002A6A9A"/>
    <w:rsid w:val="002A6DBA"/>
    <w:rsid w:val="002A7B16"/>
    <w:rsid w:val="002A7C84"/>
    <w:rsid w:val="002A7ED4"/>
    <w:rsid w:val="002B053D"/>
    <w:rsid w:val="002B14DF"/>
    <w:rsid w:val="002B1661"/>
    <w:rsid w:val="002B28FC"/>
    <w:rsid w:val="002B32CF"/>
    <w:rsid w:val="002B46AE"/>
    <w:rsid w:val="002B4707"/>
    <w:rsid w:val="002B4E4A"/>
    <w:rsid w:val="002B50F4"/>
    <w:rsid w:val="002B5258"/>
    <w:rsid w:val="002B588D"/>
    <w:rsid w:val="002B71A2"/>
    <w:rsid w:val="002B7424"/>
    <w:rsid w:val="002B742C"/>
    <w:rsid w:val="002B7613"/>
    <w:rsid w:val="002B78B3"/>
    <w:rsid w:val="002B7ECE"/>
    <w:rsid w:val="002C0232"/>
    <w:rsid w:val="002C0499"/>
    <w:rsid w:val="002C058E"/>
    <w:rsid w:val="002C0FE8"/>
    <w:rsid w:val="002C1822"/>
    <w:rsid w:val="002C1B35"/>
    <w:rsid w:val="002C2478"/>
    <w:rsid w:val="002C27DB"/>
    <w:rsid w:val="002C4337"/>
    <w:rsid w:val="002C5113"/>
    <w:rsid w:val="002C6175"/>
    <w:rsid w:val="002C65B9"/>
    <w:rsid w:val="002C68E8"/>
    <w:rsid w:val="002C7149"/>
    <w:rsid w:val="002C7B91"/>
    <w:rsid w:val="002D0BC3"/>
    <w:rsid w:val="002D0CDA"/>
    <w:rsid w:val="002D2089"/>
    <w:rsid w:val="002D292A"/>
    <w:rsid w:val="002D2D77"/>
    <w:rsid w:val="002D2DB9"/>
    <w:rsid w:val="002D2DC6"/>
    <w:rsid w:val="002D345C"/>
    <w:rsid w:val="002D3B20"/>
    <w:rsid w:val="002D4ABC"/>
    <w:rsid w:val="002D5668"/>
    <w:rsid w:val="002D74C7"/>
    <w:rsid w:val="002D7B20"/>
    <w:rsid w:val="002D7B6C"/>
    <w:rsid w:val="002E01CC"/>
    <w:rsid w:val="002E0A57"/>
    <w:rsid w:val="002E20B8"/>
    <w:rsid w:val="002E2333"/>
    <w:rsid w:val="002E275C"/>
    <w:rsid w:val="002E30BF"/>
    <w:rsid w:val="002E38BD"/>
    <w:rsid w:val="002E38E9"/>
    <w:rsid w:val="002E4A36"/>
    <w:rsid w:val="002E4EDB"/>
    <w:rsid w:val="002E5F9D"/>
    <w:rsid w:val="002E6533"/>
    <w:rsid w:val="002E6AA8"/>
    <w:rsid w:val="002E6E7A"/>
    <w:rsid w:val="002E78E2"/>
    <w:rsid w:val="002E7B2A"/>
    <w:rsid w:val="002F02FC"/>
    <w:rsid w:val="002F1E3E"/>
    <w:rsid w:val="002F2C3D"/>
    <w:rsid w:val="002F33B1"/>
    <w:rsid w:val="002F38C7"/>
    <w:rsid w:val="002F3954"/>
    <w:rsid w:val="002F4004"/>
    <w:rsid w:val="002F4790"/>
    <w:rsid w:val="002F4FFA"/>
    <w:rsid w:val="002F53F4"/>
    <w:rsid w:val="002F57EB"/>
    <w:rsid w:val="002F6522"/>
    <w:rsid w:val="002F6B1C"/>
    <w:rsid w:val="002F6B94"/>
    <w:rsid w:val="003004E9"/>
    <w:rsid w:val="0030056D"/>
    <w:rsid w:val="00300BB5"/>
    <w:rsid w:val="00301A37"/>
    <w:rsid w:val="00302A46"/>
    <w:rsid w:val="00302E51"/>
    <w:rsid w:val="00303AC4"/>
    <w:rsid w:val="00303BE0"/>
    <w:rsid w:val="00303FCB"/>
    <w:rsid w:val="00304E9A"/>
    <w:rsid w:val="0030586A"/>
    <w:rsid w:val="003060EC"/>
    <w:rsid w:val="003072DD"/>
    <w:rsid w:val="003075B3"/>
    <w:rsid w:val="003079AE"/>
    <w:rsid w:val="00312063"/>
    <w:rsid w:val="003121CF"/>
    <w:rsid w:val="003128FB"/>
    <w:rsid w:val="00312D7D"/>
    <w:rsid w:val="00313F9A"/>
    <w:rsid w:val="00314211"/>
    <w:rsid w:val="003143F8"/>
    <w:rsid w:val="00314612"/>
    <w:rsid w:val="0031470C"/>
    <w:rsid w:val="00314C17"/>
    <w:rsid w:val="00315FB3"/>
    <w:rsid w:val="00316257"/>
    <w:rsid w:val="0031641E"/>
    <w:rsid w:val="00316C76"/>
    <w:rsid w:val="00320049"/>
    <w:rsid w:val="003200DF"/>
    <w:rsid w:val="00320619"/>
    <w:rsid w:val="003206D5"/>
    <w:rsid w:val="00321625"/>
    <w:rsid w:val="003218D1"/>
    <w:rsid w:val="00321D5C"/>
    <w:rsid w:val="003224F7"/>
    <w:rsid w:val="00323101"/>
    <w:rsid w:val="00323325"/>
    <w:rsid w:val="003236FD"/>
    <w:rsid w:val="00323B34"/>
    <w:rsid w:val="003242C9"/>
    <w:rsid w:val="003245EC"/>
    <w:rsid w:val="00325854"/>
    <w:rsid w:val="003266A0"/>
    <w:rsid w:val="00327C8B"/>
    <w:rsid w:val="00330327"/>
    <w:rsid w:val="00330D72"/>
    <w:rsid w:val="00331308"/>
    <w:rsid w:val="003315BB"/>
    <w:rsid w:val="00332340"/>
    <w:rsid w:val="0033267F"/>
    <w:rsid w:val="0033328D"/>
    <w:rsid w:val="00333851"/>
    <w:rsid w:val="0033448E"/>
    <w:rsid w:val="003344E4"/>
    <w:rsid w:val="00334F6D"/>
    <w:rsid w:val="00335A38"/>
    <w:rsid w:val="00335EB2"/>
    <w:rsid w:val="00335FC3"/>
    <w:rsid w:val="0033628A"/>
    <w:rsid w:val="003366EB"/>
    <w:rsid w:val="00336B48"/>
    <w:rsid w:val="00337035"/>
    <w:rsid w:val="003370DA"/>
    <w:rsid w:val="003377B0"/>
    <w:rsid w:val="003403C0"/>
    <w:rsid w:val="00340670"/>
    <w:rsid w:val="003408CC"/>
    <w:rsid w:val="003426C8"/>
    <w:rsid w:val="00343131"/>
    <w:rsid w:val="00344A1F"/>
    <w:rsid w:val="00344DF8"/>
    <w:rsid w:val="0034629B"/>
    <w:rsid w:val="00346C34"/>
    <w:rsid w:val="003470AE"/>
    <w:rsid w:val="003472B2"/>
    <w:rsid w:val="003473BE"/>
    <w:rsid w:val="003473D0"/>
    <w:rsid w:val="00347436"/>
    <w:rsid w:val="00347A28"/>
    <w:rsid w:val="00347B84"/>
    <w:rsid w:val="0035018C"/>
    <w:rsid w:val="003516D6"/>
    <w:rsid w:val="00351E94"/>
    <w:rsid w:val="00351EB6"/>
    <w:rsid w:val="00354218"/>
    <w:rsid w:val="00355655"/>
    <w:rsid w:val="00355761"/>
    <w:rsid w:val="003559BE"/>
    <w:rsid w:val="00355F73"/>
    <w:rsid w:val="003578CA"/>
    <w:rsid w:val="003600BE"/>
    <w:rsid w:val="003600F1"/>
    <w:rsid w:val="00360B2B"/>
    <w:rsid w:val="003615A3"/>
    <w:rsid w:val="00361B67"/>
    <w:rsid w:val="00361E07"/>
    <w:rsid w:val="0036225A"/>
    <w:rsid w:val="003623FF"/>
    <w:rsid w:val="00363AA3"/>
    <w:rsid w:val="00363E52"/>
    <w:rsid w:val="00364B38"/>
    <w:rsid w:val="0036522D"/>
    <w:rsid w:val="00365EBA"/>
    <w:rsid w:val="00366114"/>
    <w:rsid w:val="00366ABE"/>
    <w:rsid w:val="00366EEC"/>
    <w:rsid w:val="003672A5"/>
    <w:rsid w:val="003672CA"/>
    <w:rsid w:val="00367E6D"/>
    <w:rsid w:val="0037183A"/>
    <w:rsid w:val="00371B37"/>
    <w:rsid w:val="00371DA4"/>
    <w:rsid w:val="00372350"/>
    <w:rsid w:val="003726E5"/>
    <w:rsid w:val="00372B60"/>
    <w:rsid w:val="00372E74"/>
    <w:rsid w:val="003735C0"/>
    <w:rsid w:val="0037494F"/>
    <w:rsid w:val="003749A5"/>
    <w:rsid w:val="00374BDB"/>
    <w:rsid w:val="00374D8F"/>
    <w:rsid w:val="00374FC3"/>
    <w:rsid w:val="00375B03"/>
    <w:rsid w:val="003763D7"/>
    <w:rsid w:val="003776FC"/>
    <w:rsid w:val="00377787"/>
    <w:rsid w:val="0038091E"/>
    <w:rsid w:val="00380A2E"/>
    <w:rsid w:val="00381666"/>
    <w:rsid w:val="00381C4E"/>
    <w:rsid w:val="00381D76"/>
    <w:rsid w:val="00382363"/>
    <w:rsid w:val="00382986"/>
    <w:rsid w:val="003831B0"/>
    <w:rsid w:val="00384AEC"/>
    <w:rsid w:val="003858B5"/>
    <w:rsid w:val="00385CE1"/>
    <w:rsid w:val="003901D8"/>
    <w:rsid w:val="00390719"/>
    <w:rsid w:val="00390971"/>
    <w:rsid w:val="00390F17"/>
    <w:rsid w:val="003914A7"/>
    <w:rsid w:val="0039290E"/>
    <w:rsid w:val="003937A6"/>
    <w:rsid w:val="00393D8B"/>
    <w:rsid w:val="003941F6"/>
    <w:rsid w:val="00394845"/>
    <w:rsid w:val="00394FD5"/>
    <w:rsid w:val="003952D6"/>
    <w:rsid w:val="00395D00"/>
    <w:rsid w:val="0039660A"/>
    <w:rsid w:val="003966BE"/>
    <w:rsid w:val="0039684E"/>
    <w:rsid w:val="00396CCC"/>
    <w:rsid w:val="0039759D"/>
    <w:rsid w:val="003A0495"/>
    <w:rsid w:val="003A0DF6"/>
    <w:rsid w:val="003A1724"/>
    <w:rsid w:val="003A216B"/>
    <w:rsid w:val="003A228B"/>
    <w:rsid w:val="003A2401"/>
    <w:rsid w:val="003A279D"/>
    <w:rsid w:val="003A2A97"/>
    <w:rsid w:val="003A2B27"/>
    <w:rsid w:val="003A2C15"/>
    <w:rsid w:val="003A2D01"/>
    <w:rsid w:val="003A3145"/>
    <w:rsid w:val="003A54E9"/>
    <w:rsid w:val="003A5A1B"/>
    <w:rsid w:val="003A60C3"/>
    <w:rsid w:val="003A6633"/>
    <w:rsid w:val="003A6A97"/>
    <w:rsid w:val="003A7991"/>
    <w:rsid w:val="003B01F1"/>
    <w:rsid w:val="003B0274"/>
    <w:rsid w:val="003B04B6"/>
    <w:rsid w:val="003B07AB"/>
    <w:rsid w:val="003B0C97"/>
    <w:rsid w:val="003B0EB3"/>
    <w:rsid w:val="003B1843"/>
    <w:rsid w:val="003B190C"/>
    <w:rsid w:val="003B225F"/>
    <w:rsid w:val="003B22C6"/>
    <w:rsid w:val="003B271A"/>
    <w:rsid w:val="003B2878"/>
    <w:rsid w:val="003B2D93"/>
    <w:rsid w:val="003B4CAA"/>
    <w:rsid w:val="003B5630"/>
    <w:rsid w:val="003B56DF"/>
    <w:rsid w:val="003B5EBF"/>
    <w:rsid w:val="003B610F"/>
    <w:rsid w:val="003B6669"/>
    <w:rsid w:val="003B671B"/>
    <w:rsid w:val="003C0008"/>
    <w:rsid w:val="003C08EC"/>
    <w:rsid w:val="003C0D57"/>
    <w:rsid w:val="003C132C"/>
    <w:rsid w:val="003C3D7A"/>
    <w:rsid w:val="003C4477"/>
    <w:rsid w:val="003C4772"/>
    <w:rsid w:val="003C4CCF"/>
    <w:rsid w:val="003C5C03"/>
    <w:rsid w:val="003C624D"/>
    <w:rsid w:val="003C6654"/>
    <w:rsid w:val="003C7A03"/>
    <w:rsid w:val="003D0521"/>
    <w:rsid w:val="003D0D26"/>
    <w:rsid w:val="003D1B55"/>
    <w:rsid w:val="003D1BA5"/>
    <w:rsid w:val="003D1E40"/>
    <w:rsid w:val="003D272F"/>
    <w:rsid w:val="003D32C7"/>
    <w:rsid w:val="003D32E9"/>
    <w:rsid w:val="003D3BC2"/>
    <w:rsid w:val="003D3D59"/>
    <w:rsid w:val="003D4082"/>
    <w:rsid w:val="003D4615"/>
    <w:rsid w:val="003D4981"/>
    <w:rsid w:val="003D4C31"/>
    <w:rsid w:val="003D4C5A"/>
    <w:rsid w:val="003D4F16"/>
    <w:rsid w:val="003D5529"/>
    <w:rsid w:val="003D67C0"/>
    <w:rsid w:val="003D77DA"/>
    <w:rsid w:val="003E0134"/>
    <w:rsid w:val="003E092A"/>
    <w:rsid w:val="003E15FF"/>
    <w:rsid w:val="003E2768"/>
    <w:rsid w:val="003E27EB"/>
    <w:rsid w:val="003E2AAF"/>
    <w:rsid w:val="003E2D3D"/>
    <w:rsid w:val="003E5437"/>
    <w:rsid w:val="003E6CB5"/>
    <w:rsid w:val="003E6E02"/>
    <w:rsid w:val="003E702B"/>
    <w:rsid w:val="003E75AF"/>
    <w:rsid w:val="003E780C"/>
    <w:rsid w:val="003E78D9"/>
    <w:rsid w:val="003E79DF"/>
    <w:rsid w:val="003E7A5D"/>
    <w:rsid w:val="003E7CE1"/>
    <w:rsid w:val="003E7D7A"/>
    <w:rsid w:val="003F0EE3"/>
    <w:rsid w:val="003F14A8"/>
    <w:rsid w:val="003F1951"/>
    <w:rsid w:val="003F1CAC"/>
    <w:rsid w:val="003F258E"/>
    <w:rsid w:val="003F2FD8"/>
    <w:rsid w:val="003F3865"/>
    <w:rsid w:val="003F3934"/>
    <w:rsid w:val="003F477E"/>
    <w:rsid w:val="003F4B5B"/>
    <w:rsid w:val="003F4D19"/>
    <w:rsid w:val="003F517F"/>
    <w:rsid w:val="003F5845"/>
    <w:rsid w:val="003F7A25"/>
    <w:rsid w:val="00400D97"/>
    <w:rsid w:val="00401F33"/>
    <w:rsid w:val="0040291D"/>
    <w:rsid w:val="00403B97"/>
    <w:rsid w:val="00404700"/>
    <w:rsid w:val="00404AFD"/>
    <w:rsid w:val="00405167"/>
    <w:rsid w:val="00405235"/>
    <w:rsid w:val="00405C65"/>
    <w:rsid w:val="00405FDA"/>
    <w:rsid w:val="004064CF"/>
    <w:rsid w:val="0040755C"/>
    <w:rsid w:val="00407D56"/>
    <w:rsid w:val="00407F34"/>
    <w:rsid w:val="004105C4"/>
    <w:rsid w:val="00411984"/>
    <w:rsid w:val="00411C2F"/>
    <w:rsid w:val="0041288D"/>
    <w:rsid w:val="0041401B"/>
    <w:rsid w:val="00414626"/>
    <w:rsid w:val="004174C4"/>
    <w:rsid w:val="00420129"/>
    <w:rsid w:val="0042042B"/>
    <w:rsid w:val="00420556"/>
    <w:rsid w:val="004205D5"/>
    <w:rsid w:val="00420696"/>
    <w:rsid w:val="00421BD2"/>
    <w:rsid w:val="0042408C"/>
    <w:rsid w:val="004252CD"/>
    <w:rsid w:val="004256FE"/>
    <w:rsid w:val="00425CAC"/>
    <w:rsid w:val="004263A8"/>
    <w:rsid w:val="0042706B"/>
    <w:rsid w:val="004306D8"/>
    <w:rsid w:val="00430721"/>
    <w:rsid w:val="00430B1D"/>
    <w:rsid w:val="004316EA"/>
    <w:rsid w:val="00431A12"/>
    <w:rsid w:val="0043226A"/>
    <w:rsid w:val="0043233B"/>
    <w:rsid w:val="004330FB"/>
    <w:rsid w:val="00433BF2"/>
    <w:rsid w:val="00433E97"/>
    <w:rsid w:val="004343F9"/>
    <w:rsid w:val="004347CE"/>
    <w:rsid w:val="00435107"/>
    <w:rsid w:val="00435644"/>
    <w:rsid w:val="004358E4"/>
    <w:rsid w:val="00435BB5"/>
    <w:rsid w:val="00435E33"/>
    <w:rsid w:val="00436638"/>
    <w:rsid w:val="00436CE4"/>
    <w:rsid w:val="00437935"/>
    <w:rsid w:val="00440F03"/>
    <w:rsid w:val="00441C00"/>
    <w:rsid w:val="00441F9E"/>
    <w:rsid w:val="004424ED"/>
    <w:rsid w:val="00442B4D"/>
    <w:rsid w:val="00443CD1"/>
    <w:rsid w:val="00443E64"/>
    <w:rsid w:val="00444943"/>
    <w:rsid w:val="00444E8A"/>
    <w:rsid w:val="00445712"/>
    <w:rsid w:val="00445AF6"/>
    <w:rsid w:val="00446862"/>
    <w:rsid w:val="00447137"/>
    <w:rsid w:val="00447563"/>
    <w:rsid w:val="0044764C"/>
    <w:rsid w:val="00447970"/>
    <w:rsid w:val="00450963"/>
    <w:rsid w:val="00450EA5"/>
    <w:rsid w:val="00450EA6"/>
    <w:rsid w:val="0045106E"/>
    <w:rsid w:val="00451F21"/>
    <w:rsid w:val="00451F59"/>
    <w:rsid w:val="00452697"/>
    <w:rsid w:val="00452FFE"/>
    <w:rsid w:val="0045439B"/>
    <w:rsid w:val="00454636"/>
    <w:rsid w:val="00454682"/>
    <w:rsid w:val="00454E16"/>
    <w:rsid w:val="0045502F"/>
    <w:rsid w:val="00455627"/>
    <w:rsid w:val="004558D2"/>
    <w:rsid w:val="004563B5"/>
    <w:rsid w:val="00456B0C"/>
    <w:rsid w:val="00456B73"/>
    <w:rsid w:val="0045752D"/>
    <w:rsid w:val="00457856"/>
    <w:rsid w:val="00457FE9"/>
    <w:rsid w:val="004600D9"/>
    <w:rsid w:val="00460CA6"/>
    <w:rsid w:val="0046126C"/>
    <w:rsid w:val="00461AAA"/>
    <w:rsid w:val="00461B02"/>
    <w:rsid w:val="00461DB2"/>
    <w:rsid w:val="00461F06"/>
    <w:rsid w:val="0046268D"/>
    <w:rsid w:val="004629A3"/>
    <w:rsid w:val="00463AD9"/>
    <w:rsid w:val="00463F4A"/>
    <w:rsid w:val="004645E7"/>
    <w:rsid w:val="00464781"/>
    <w:rsid w:val="00464B15"/>
    <w:rsid w:val="004657C2"/>
    <w:rsid w:val="004675E7"/>
    <w:rsid w:val="004713BE"/>
    <w:rsid w:val="00472647"/>
    <w:rsid w:val="00472728"/>
    <w:rsid w:val="00473D22"/>
    <w:rsid w:val="00473EB3"/>
    <w:rsid w:val="00473F4B"/>
    <w:rsid w:val="00473FBD"/>
    <w:rsid w:val="004742DD"/>
    <w:rsid w:val="00474EF2"/>
    <w:rsid w:val="004755BF"/>
    <w:rsid w:val="004760B3"/>
    <w:rsid w:val="004763AE"/>
    <w:rsid w:val="00476513"/>
    <w:rsid w:val="00476FBF"/>
    <w:rsid w:val="004771E5"/>
    <w:rsid w:val="0047766A"/>
    <w:rsid w:val="00477CAC"/>
    <w:rsid w:val="00480581"/>
    <w:rsid w:val="004809BB"/>
    <w:rsid w:val="00480E5C"/>
    <w:rsid w:val="00481452"/>
    <w:rsid w:val="004816C0"/>
    <w:rsid w:val="004819A6"/>
    <w:rsid w:val="004823B6"/>
    <w:rsid w:val="0048253C"/>
    <w:rsid w:val="00483076"/>
    <w:rsid w:val="00484021"/>
    <w:rsid w:val="00484064"/>
    <w:rsid w:val="00484217"/>
    <w:rsid w:val="004842BF"/>
    <w:rsid w:val="004863E7"/>
    <w:rsid w:val="0048700C"/>
    <w:rsid w:val="004877C8"/>
    <w:rsid w:val="00487AFC"/>
    <w:rsid w:val="00490910"/>
    <w:rsid w:val="00490F69"/>
    <w:rsid w:val="00492C50"/>
    <w:rsid w:val="00493611"/>
    <w:rsid w:val="004936E1"/>
    <w:rsid w:val="00493F4B"/>
    <w:rsid w:val="00494B64"/>
    <w:rsid w:val="00494BDB"/>
    <w:rsid w:val="004950AA"/>
    <w:rsid w:val="00495B0B"/>
    <w:rsid w:val="00495CF4"/>
    <w:rsid w:val="00496866"/>
    <w:rsid w:val="00496DE4"/>
    <w:rsid w:val="004970F6"/>
    <w:rsid w:val="004977D4"/>
    <w:rsid w:val="004A00AF"/>
    <w:rsid w:val="004A0378"/>
    <w:rsid w:val="004A0D2A"/>
    <w:rsid w:val="004A1680"/>
    <w:rsid w:val="004A21D8"/>
    <w:rsid w:val="004A2E43"/>
    <w:rsid w:val="004A3A99"/>
    <w:rsid w:val="004A45BD"/>
    <w:rsid w:val="004A5347"/>
    <w:rsid w:val="004A5BC9"/>
    <w:rsid w:val="004A6980"/>
    <w:rsid w:val="004A6DB1"/>
    <w:rsid w:val="004A7732"/>
    <w:rsid w:val="004B054B"/>
    <w:rsid w:val="004B0AA5"/>
    <w:rsid w:val="004B14C0"/>
    <w:rsid w:val="004B3812"/>
    <w:rsid w:val="004B3D4E"/>
    <w:rsid w:val="004B4725"/>
    <w:rsid w:val="004B4810"/>
    <w:rsid w:val="004B4C5D"/>
    <w:rsid w:val="004B5012"/>
    <w:rsid w:val="004B5188"/>
    <w:rsid w:val="004B5655"/>
    <w:rsid w:val="004B60C1"/>
    <w:rsid w:val="004B61D1"/>
    <w:rsid w:val="004B7C04"/>
    <w:rsid w:val="004B7DA6"/>
    <w:rsid w:val="004C0040"/>
    <w:rsid w:val="004C14A6"/>
    <w:rsid w:val="004C1C00"/>
    <w:rsid w:val="004C2FD7"/>
    <w:rsid w:val="004C300E"/>
    <w:rsid w:val="004C35C2"/>
    <w:rsid w:val="004C36D5"/>
    <w:rsid w:val="004C3799"/>
    <w:rsid w:val="004C4D5B"/>
    <w:rsid w:val="004C58C9"/>
    <w:rsid w:val="004C59D6"/>
    <w:rsid w:val="004C629D"/>
    <w:rsid w:val="004C6621"/>
    <w:rsid w:val="004C7A1B"/>
    <w:rsid w:val="004C7D19"/>
    <w:rsid w:val="004D0686"/>
    <w:rsid w:val="004D102B"/>
    <w:rsid w:val="004D1100"/>
    <w:rsid w:val="004D12F5"/>
    <w:rsid w:val="004D22A5"/>
    <w:rsid w:val="004D2E6D"/>
    <w:rsid w:val="004D39F2"/>
    <w:rsid w:val="004D42A7"/>
    <w:rsid w:val="004D43B2"/>
    <w:rsid w:val="004D5701"/>
    <w:rsid w:val="004D5AAE"/>
    <w:rsid w:val="004D5D33"/>
    <w:rsid w:val="004D63C5"/>
    <w:rsid w:val="004D6480"/>
    <w:rsid w:val="004D7E24"/>
    <w:rsid w:val="004E0495"/>
    <w:rsid w:val="004E10EB"/>
    <w:rsid w:val="004E2192"/>
    <w:rsid w:val="004E266D"/>
    <w:rsid w:val="004E3832"/>
    <w:rsid w:val="004E3EA5"/>
    <w:rsid w:val="004E5BEB"/>
    <w:rsid w:val="004E5C7E"/>
    <w:rsid w:val="004E6CA4"/>
    <w:rsid w:val="004E71EE"/>
    <w:rsid w:val="004E785E"/>
    <w:rsid w:val="004E7B71"/>
    <w:rsid w:val="004E7C2A"/>
    <w:rsid w:val="004F0025"/>
    <w:rsid w:val="004F026A"/>
    <w:rsid w:val="004F05D9"/>
    <w:rsid w:val="004F1632"/>
    <w:rsid w:val="004F16D0"/>
    <w:rsid w:val="004F19FE"/>
    <w:rsid w:val="004F218A"/>
    <w:rsid w:val="004F321D"/>
    <w:rsid w:val="004F336F"/>
    <w:rsid w:val="004F3D67"/>
    <w:rsid w:val="004F3DCB"/>
    <w:rsid w:val="004F3E1F"/>
    <w:rsid w:val="004F5226"/>
    <w:rsid w:val="004F591B"/>
    <w:rsid w:val="004F62C7"/>
    <w:rsid w:val="004F7370"/>
    <w:rsid w:val="005008B0"/>
    <w:rsid w:val="00500F17"/>
    <w:rsid w:val="00501696"/>
    <w:rsid w:val="00501D7A"/>
    <w:rsid w:val="0050201F"/>
    <w:rsid w:val="0050236F"/>
    <w:rsid w:val="00502F7D"/>
    <w:rsid w:val="00503067"/>
    <w:rsid w:val="00504E2E"/>
    <w:rsid w:val="0050527C"/>
    <w:rsid w:val="0050645A"/>
    <w:rsid w:val="0050658F"/>
    <w:rsid w:val="00506683"/>
    <w:rsid w:val="005079AD"/>
    <w:rsid w:val="00507DAA"/>
    <w:rsid w:val="00507E16"/>
    <w:rsid w:val="0051013A"/>
    <w:rsid w:val="00510AAA"/>
    <w:rsid w:val="005114AF"/>
    <w:rsid w:val="005124D6"/>
    <w:rsid w:val="00512EBE"/>
    <w:rsid w:val="005132DE"/>
    <w:rsid w:val="00513D06"/>
    <w:rsid w:val="00513FC8"/>
    <w:rsid w:val="0051408F"/>
    <w:rsid w:val="00514100"/>
    <w:rsid w:val="0051425F"/>
    <w:rsid w:val="005157E0"/>
    <w:rsid w:val="00515A21"/>
    <w:rsid w:val="005166A6"/>
    <w:rsid w:val="00516F82"/>
    <w:rsid w:val="00516FE4"/>
    <w:rsid w:val="0051746B"/>
    <w:rsid w:val="0051758E"/>
    <w:rsid w:val="00520F62"/>
    <w:rsid w:val="0052113D"/>
    <w:rsid w:val="005216E9"/>
    <w:rsid w:val="00521B75"/>
    <w:rsid w:val="00521F02"/>
    <w:rsid w:val="00523088"/>
    <w:rsid w:val="00523124"/>
    <w:rsid w:val="00523E4D"/>
    <w:rsid w:val="00525073"/>
    <w:rsid w:val="00526C9A"/>
    <w:rsid w:val="005273FB"/>
    <w:rsid w:val="005274AC"/>
    <w:rsid w:val="005279D3"/>
    <w:rsid w:val="00527B4A"/>
    <w:rsid w:val="00530130"/>
    <w:rsid w:val="005308E3"/>
    <w:rsid w:val="005308FD"/>
    <w:rsid w:val="005310F9"/>
    <w:rsid w:val="005313E8"/>
    <w:rsid w:val="0053229C"/>
    <w:rsid w:val="00532A9D"/>
    <w:rsid w:val="00532EFE"/>
    <w:rsid w:val="005333A3"/>
    <w:rsid w:val="00533423"/>
    <w:rsid w:val="005346F6"/>
    <w:rsid w:val="00534A2D"/>
    <w:rsid w:val="00535D09"/>
    <w:rsid w:val="005363C8"/>
    <w:rsid w:val="00536474"/>
    <w:rsid w:val="005365F7"/>
    <w:rsid w:val="00536A1C"/>
    <w:rsid w:val="0053769D"/>
    <w:rsid w:val="005401D7"/>
    <w:rsid w:val="005404C1"/>
    <w:rsid w:val="005423A7"/>
    <w:rsid w:val="00542C78"/>
    <w:rsid w:val="00543CCF"/>
    <w:rsid w:val="00544990"/>
    <w:rsid w:val="005449DA"/>
    <w:rsid w:val="00545474"/>
    <w:rsid w:val="00545DA8"/>
    <w:rsid w:val="00545FBD"/>
    <w:rsid w:val="0054630E"/>
    <w:rsid w:val="00546324"/>
    <w:rsid w:val="00547285"/>
    <w:rsid w:val="0054798E"/>
    <w:rsid w:val="00547E2D"/>
    <w:rsid w:val="00550DBC"/>
    <w:rsid w:val="00550F6D"/>
    <w:rsid w:val="00551DE7"/>
    <w:rsid w:val="005521ED"/>
    <w:rsid w:val="00552EDD"/>
    <w:rsid w:val="00552F26"/>
    <w:rsid w:val="005536C4"/>
    <w:rsid w:val="00554600"/>
    <w:rsid w:val="00554CBC"/>
    <w:rsid w:val="00555938"/>
    <w:rsid w:val="00555979"/>
    <w:rsid w:val="00555A50"/>
    <w:rsid w:val="00555DED"/>
    <w:rsid w:val="00556385"/>
    <w:rsid w:val="00556964"/>
    <w:rsid w:val="00556E01"/>
    <w:rsid w:val="00557275"/>
    <w:rsid w:val="0055742A"/>
    <w:rsid w:val="00557B58"/>
    <w:rsid w:val="00560725"/>
    <w:rsid w:val="00561AEB"/>
    <w:rsid w:val="00561F41"/>
    <w:rsid w:val="00561F56"/>
    <w:rsid w:val="00562444"/>
    <w:rsid w:val="00562A3E"/>
    <w:rsid w:val="00563486"/>
    <w:rsid w:val="00563D1C"/>
    <w:rsid w:val="00564F47"/>
    <w:rsid w:val="005655F3"/>
    <w:rsid w:val="00565F07"/>
    <w:rsid w:val="00566318"/>
    <w:rsid w:val="00566437"/>
    <w:rsid w:val="0056671C"/>
    <w:rsid w:val="00567329"/>
    <w:rsid w:val="0057058E"/>
    <w:rsid w:val="0057117D"/>
    <w:rsid w:val="0057164F"/>
    <w:rsid w:val="005717AE"/>
    <w:rsid w:val="00572055"/>
    <w:rsid w:val="00572C3C"/>
    <w:rsid w:val="00573404"/>
    <w:rsid w:val="0057422D"/>
    <w:rsid w:val="00574480"/>
    <w:rsid w:val="00574986"/>
    <w:rsid w:val="0057664D"/>
    <w:rsid w:val="00576B2A"/>
    <w:rsid w:val="005772E6"/>
    <w:rsid w:val="005776E1"/>
    <w:rsid w:val="00577841"/>
    <w:rsid w:val="005804CE"/>
    <w:rsid w:val="005804D1"/>
    <w:rsid w:val="00580630"/>
    <w:rsid w:val="005808C4"/>
    <w:rsid w:val="00581A3A"/>
    <w:rsid w:val="00581A78"/>
    <w:rsid w:val="00581BC5"/>
    <w:rsid w:val="00582B58"/>
    <w:rsid w:val="00582C20"/>
    <w:rsid w:val="00583129"/>
    <w:rsid w:val="0058384C"/>
    <w:rsid w:val="00584451"/>
    <w:rsid w:val="0058488B"/>
    <w:rsid w:val="00584B90"/>
    <w:rsid w:val="00584C05"/>
    <w:rsid w:val="00584C17"/>
    <w:rsid w:val="00584E6D"/>
    <w:rsid w:val="0058519F"/>
    <w:rsid w:val="00585646"/>
    <w:rsid w:val="005858A7"/>
    <w:rsid w:val="00585B72"/>
    <w:rsid w:val="00585DD0"/>
    <w:rsid w:val="00585F5D"/>
    <w:rsid w:val="0058679A"/>
    <w:rsid w:val="00586B05"/>
    <w:rsid w:val="00587D90"/>
    <w:rsid w:val="00590132"/>
    <w:rsid w:val="00590CAB"/>
    <w:rsid w:val="00591197"/>
    <w:rsid w:val="005911EE"/>
    <w:rsid w:val="005923C0"/>
    <w:rsid w:val="005928C5"/>
    <w:rsid w:val="00592960"/>
    <w:rsid w:val="005933A4"/>
    <w:rsid w:val="0059344A"/>
    <w:rsid w:val="00593956"/>
    <w:rsid w:val="00594008"/>
    <w:rsid w:val="0059538A"/>
    <w:rsid w:val="00595ACC"/>
    <w:rsid w:val="00596AAF"/>
    <w:rsid w:val="00596B06"/>
    <w:rsid w:val="005A0298"/>
    <w:rsid w:val="005A0A1B"/>
    <w:rsid w:val="005A253B"/>
    <w:rsid w:val="005A2758"/>
    <w:rsid w:val="005A3123"/>
    <w:rsid w:val="005A3629"/>
    <w:rsid w:val="005A4AD8"/>
    <w:rsid w:val="005A5BF3"/>
    <w:rsid w:val="005A64E0"/>
    <w:rsid w:val="005A675D"/>
    <w:rsid w:val="005A6D66"/>
    <w:rsid w:val="005A6F5C"/>
    <w:rsid w:val="005A7654"/>
    <w:rsid w:val="005A7E8C"/>
    <w:rsid w:val="005B1CF3"/>
    <w:rsid w:val="005B2E23"/>
    <w:rsid w:val="005B3472"/>
    <w:rsid w:val="005B3846"/>
    <w:rsid w:val="005B3CB8"/>
    <w:rsid w:val="005B52D0"/>
    <w:rsid w:val="005B52E8"/>
    <w:rsid w:val="005B6D2C"/>
    <w:rsid w:val="005B762A"/>
    <w:rsid w:val="005C0B4E"/>
    <w:rsid w:val="005C2685"/>
    <w:rsid w:val="005C30BE"/>
    <w:rsid w:val="005C34F7"/>
    <w:rsid w:val="005C3967"/>
    <w:rsid w:val="005C4302"/>
    <w:rsid w:val="005C4498"/>
    <w:rsid w:val="005C4751"/>
    <w:rsid w:val="005C5343"/>
    <w:rsid w:val="005C5359"/>
    <w:rsid w:val="005C5767"/>
    <w:rsid w:val="005C5FBA"/>
    <w:rsid w:val="005C64A8"/>
    <w:rsid w:val="005C6897"/>
    <w:rsid w:val="005C68D5"/>
    <w:rsid w:val="005C74D0"/>
    <w:rsid w:val="005D027B"/>
    <w:rsid w:val="005D1257"/>
    <w:rsid w:val="005D1D1D"/>
    <w:rsid w:val="005D214C"/>
    <w:rsid w:val="005D2535"/>
    <w:rsid w:val="005D2B18"/>
    <w:rsid w:val="005D2EB7"/>
    <w:rsid w:val="005D324E"/>
    <w:rsid w:val="005D45B7"/>
    <w:rsid w:val="005D5238"/>
    <w:rsid w:val="005D54EB"/>
    <w:rsid w:val="005D563B"/>
    <w:rsid w:val="005D5F1F"/>
    <w:rsid w:val="005D5F75"/>
    <w:rsid w:val="005D6C66"/>
    <w:rsid w:val="005E06AB"/>
    <w:rsid w:val="005E08AB"/>
    <w:rsid w:val="005E10F5"/>
    <w:rsid w:val="005E14DF"/>
    <w:rsid w:val="005E15A8"/>
    <w:rsid w:val="005E22A6"/>
    <w:rsid w:val="005E24C4"/>
    <w:rsid w:val="005E4D79"/>
    <w:rsid w:val="005E4F2B"/>
    <w:rsid w:val="005E5B98"/>
    <w:rsid w:val="005E5C1A"/>
    <w:rsid w:val="005E5C28"/>
    <w:rsid w:val="005E6DCE"/>
    <w:rsid w:val="005E7627"/>
    <w:rsid w:val="005E7EB2"/>
    <w:rsid w:val="005F00F3"/>
    <w:rsid w:val="005F06D8"/>
    <w:rsid w:val="005F2397"/>
    <w:rsid w:val="005F2971"/>
    <w:rsid w:val="005F2B6A"/>
    <w:rsid w:val="005F2B86"/>
    <w:rsid w:val="005F2D6E"/>
    <w:rsid w:val="005F36BE"/>
    <w:rsid w:val="005F3847"/>
    <w:rsid w:val="005F3B4B"/>
    <w:rsid w:val="005F3D01"/>
    <w:rsid w:val="005F41D3"/>
    <w:rsid w:val="005F4842"/>
    <w:rsid w:val="005F5587"/>
    <w:rsid w:val="005F59C4"/>
    <w:rsid w:val="005F5C04"/>
    <w:rsid w:val="005F5E75"/>
    <w:rsid w:val="005F6783"/>
    <w:rsid w:val="005F7115"/>
    <w:rsid w:val="006000CD"/>
    <w:rsid w:val="0060069F"/>
    <w:rsid w:val="006008CB"/>
    <w:rsid w:val="00601217"/>
    <w:rsid w:val="006014DF"/>
    <w:rsid w:val="00601F04"/>
    <w:rsid w:val="00602025"/>
    <w:rsid w:val="00602C5F"/>
    <w:rsid w:val="00602FAE"/>
    <w:rsid w:val="00603F6E"/>
    <w:rsid w:val="006047F9"/>
    <w:rsid w:val="006049B5"/>
    <w:rsid w:val="00604B8C"/>
    <w:rsid w:val="006050EF"/>
    <w:rsid w:val="006060C5"/>
    <w:rsid w:val="006068FA"/>
    <w:rsid w:val="0060714E"/>
    <w:rsid w:val="00607A13"/>
    <w:rsid w:val="00607B73"/>
    <w:rsid w:val="00607D04"/>
    <w:rsid w:val="00607E4B"/>
    <w:rsid w:val="00607F5E"/>
    <w:rsid w:val="00610431"/>
    <w:rsid w:val="006105BD"/>
    <w:rsid w:val="00610AFF"/>
    <w:rsid w:val="00611394"/>
    <w:rsid w:val="00611BA1"/>
    <w:rsid w:val="00612E9B"/>
    <w:rsid w:val="0061314B"/>
    <w:rsid w:val="00613402"/>
    <w:rsid w:val="006152AE"/>
    <w:rsid w:val="006156EE"/>
    <w:rsid w:val="006159C5"/>
    <w:rsid w:val="006172D0"/>
    <w:rsid w:val="00617C2D"/>
    <w:rsid w:val="006212C3"/>
    <w:rsid w:val="00622059"/>
    <w:rsid w:val="00622136"/>
    <w:rsid w:val="00622633"/>
    <w:rsid w:val="006236E2"/>
    <w:rsid w:val="0062437D"/>
    <w:rsid w:val="00624807"/>
    <w:rsid w:val="00624DFB"/>
    <w:rsid w:val="006255D3"/>
    <w:rsid w:val="00626120"/>
    <w:rsid w:val="00626A99"/>
    <w:rsid w:val="00626C4C"/>
    <w:rsid w:val="006307E1"/>
    <w:rsid w:val="006308CA"/>
    <w:rsid w:val="00631040"/>
    <w:rsid w:val="0063113A"/>
    <w:rsid w:val="006313F0"/>
    <w:rsid w:val="00631967"/>
    <w:rsid w:val="00631D31"/>
    <w:rsid w:val="00631DB5"/>
    <w:rsid w:val="00632E0B"/>
    <w:rsid w:val="00632E57"/>
    <w:rsid w:val="0063317A"/>
    <w:rsid w:val="006332B3"/>
    <w:rsid w:val="00633DC8"/>
    <w:rsid w:val="00633E0F"/>
    <w:rsid w:val="00634C67"/>
    <w:rsid w:val="00635E3F"/>
    <w:rsid w:val="006369F0"/>
    <w:rsid w:val="00636A15"/>
    <w:rsid w:val="00640A9F"/>
    <w:rsid w:val="00641161"/>
    <w:rsid w:val="006413D6"/>
    <w:rsid w:val="00641423"/>
    <w:rsid w:val="00641B32"/>
    <w:rsid w:val="00641EDE"/>
    <w:rsid w:val="00642D41"/>
    <w:rsid w:val="00642F60"/>
    <w:rsid w:val="00643433"/>
    <w:rsid w:val="0064361C"/>
    <w:rsid w:val="0064463C"/>
    <w:rsid w:val="00645041"/>
    <w:rsid w:val="00645A20"/>
    <w:rsid w:val="00645B94"/>
    <w:rsid w:val="00646476"/>
    <w:rsid w:val="00646513"/>
    <w:rsid w:val="00646701"/>
    <w:rsid w:val="00647C4F"/>
    <w:rsid w:val="00650AC8"/>
    <w:rsid w:val="0065151D"/>
    <w:rsid w:val="00651A10"/>
    <w:rsid w:val="00652016"/>
    <w:rsid w:val="00652A18"/>
    <w:rsid w:val="00653460"/>
    <w:rsid w:val="00656A1D"/>
    <w:rsid w:val="00656B89"/>
    <w:rsid w:val="006571D2"/>
    <w:rsid w:val="00660012"/>
    <w:rsid w:val="00660711"/>
    <w:rsid w:val="006618BF"/>
    <w:rsid w:val="00661974"/>
    <w:rsid w:val="006619F4"/>
    <w:rsid w:val="00661A68"/>
    <w:rsid w:val="00661D40"/>
    <w:rsid w:val="00662841"/>
    <w:rsid w:val="00662E9B"/>
    <w:rsid w:val="00663EB1"/>
    <w:rsid w:val="006641FB"/>
    <w:rsid w:val="00664E8D"/>
    <w:rsid w:val="006654AF"/>
    <w:rsid w:val="006666B3"/>
    <w:rsid w:val="006673C1"/>
    <w:rsid w:val="00670387"/>
    <w:rsid w:val="00670463"/>
    <w:rsid w:val="00670F80"/>
    <w:rsid w:val="00671A4E"/>
    <w:rsid w:val="006726DF"/>
    <w:rsid w:val="00672AB1"/>
    <w:rsid w:val="00672B36"/>
    <w:rsid w:val="00672BF9"/>
    <w:rsid w:val="00672E2B"/>
    <w:rsid w:val="00672EE6"/>
    <w:rsid w:val="00672F13"/>
    <w:rsid w:val="00673B39"/>
    <w:rsid w:val="00673D53"/>
    <w:rsid w:val="0067409B"/>
    <w:rsid w:val="0067453A"/>
    <w:rsid w:val="0067459F"/>
    <w:rsid w:val="00674722"/>
    <w:rsid w:val="00674B42"/>
    <w:rsid w:val="00674B48"/>
    <w:rsid w:val="00674C0D"/>
    <w:rsid w:val="00675899"/>
    <w:rsid w:val="00675DCE"/>
    <w:rsid w:val="00675E2D"/>
    <w:rsid w:val="006764B2"/>
    <w:rsid w:val="00680946"/>
    <w:rsid w:val="00680B2E"/>
    <w:rsid w:val="00680EF3"/>
    <w:rsid w:val="006825CF"/>
    <w:rsid w:val="0068316D"/>
    <w:rsid w:val="0068379B"/>
    <w:rsid w:val="00684C2B"/>
    <w:rsid w:val="00684C85"/>
    <w:rsid w:val="00684CEE"/>
    <w:rsid w:val="00684FEF"/>
    <w:rsid w:val="006855DE"/>
    <w:rsid w:val="006875B3"/>
    <w:rsid w:val="00690F45"/>
    <w:rsid w:val="0069125D"/>
    <w:rsid w:val="0069159A"/>
    <w:rsid w:val="00691DB0"/>
    <w:rsid w:val="00691EDA"/>
    <w:rsid w:val="006922DD"/>
    <w:rsid w:val="00692C6F"/>
    <w:rsid w:val="00692F8B"/>
    <w:rsid w:val="0069434B"/>
    <w:rsid w:val="00694632"/>
    <w:rsid w:val="006948D0"/>
    <w:rsid w:val="0069543E"/>
    <w:rsid w:val="0069573E"/>
    <w:rsid w:val="0069579C"/>
    <w:rsid w:val="0069593B"/>
    <w:rsid w:val="00696488"/>
    <w:rsid w:val="0069682D"/>
    <w:rsid w:val="00696C39"/>
    <w:rsid w:val="00696DE8"/>
    <w:rsid w:val="00697F7A"/>
    <w:rsid w:val="006A0089"/>
    <w:rsid w:val="006A00AE"/>
    <w:rsid w:val="006A036C"/>
    <w:rsid w:val="006A13EA"/>
    <w:rsid w:val="006A1440"/>
    <w:rsid w:val="006A1718"/>
    <w:rsid w:val="006A3279"/>
    <w:rsid w:val="006A3EE9"/>
    <w:rsid w:val="006A45C0"/>
    <w:rsid w:val="006A4890"/>
    <w:rsid w:val="006A4E19"/>
    <w:rsid w:val="006A5325"/>
    <w:rsid w:val="006A63B6"/>
    <w:rsid w:val="006A7528"/>
    <w:rsid w:val="006A7B6C"/>
    <w:rsid w:val="006B0663"/>
    <w:rsid w:val="006B2DDF"/>
    <w:rsid w:val="006B2F32"/>
    <w:rsid w:val="006B379F"/>
    <w:rsid w:val="006B3BC6"/>
    <w:rsid w:val="006B3BEF"/>
    <w:rsid w:val="006B4557"/>
    <w:rsid w:val="006B4A05"/>
    <w:rsid w:val="006B561F"/>
    <w:rsid w:val="006B5C67"/>
    <w:rsid w:val="006B5FAC"/>
    <w:rsid w:val="006B64F3"/>
    <w:rsid w:val="006B6963"/>
    <w:rsid w:val="006B6D93"/>
    <w:rsid w:val="006B7244"/>
    <w:rsid w:val="006B72BE"/>
    <w:rsid w:val="006B77BF"/>
    <w:rsid w:val="006B793E"/>
    <w:rsid w:val="006C03AF"/>
    <w:rsid w:val="006C0AD7"/>
    <w:rsid w:val="006C0D6D"/>
    <w:rsid w:val="006C0E27"/>
    <w:rsid w:val="006C0E70"/>
    <w:rsid w:val="006C1EAF"/>
    <w:rsid w:val="006C2839"/>
    <w:rsid w:val="006C3094"/>
    <w:rsid w:val="006C3FFF"/>
    <w:rsid w:val="006C4A01"/>
    <w:rsid w:val="006C50E0"/>
    <w:rsid w:val="006C5A6B"/>
    <w:rsid w:val="006C5D05"/>
    <w:rsid w:val="006C668A"/>
    <w:rsid w:val="006C66A6"/>
    <w:rsid w:val="006C6C14"/>
    <w:rsid w:val="006D050B"/>
    <w:rsid w:val="006D071D"/>
    <w:rsid w:val="006D09C0"/>
    <w:rsid w:val="006D0CB0"/>
    <w:rsid w:val="006D11BE"/>
    <w:rsid w:val="006D1214"/>
    <w:rsid w:val="006D243A"/>
    <w:rsid w:val="006D26F7"/>
    <w:rsid w:val="006D2C3E"/>
    <w:rsid w:val="006D325E"/>
    <w:rsid w:val="006D3940"/>
    <w:rsid w:val="006D39E6"/>
    <w:rsid w:val="006D5647"/>
    <w:rsid w:val="006D58B7"/>
    <w:rsid w:val="006D751C"/>
    <w:rsid w:val="006D7B9A"/>
    <w:rsid w:val="006E04F0"/>
    <w:rsid w:val="006E06A9"/>
    <w:rsid w:val="006E0B50"/>
    <w:rsid w:val="006E1746"/>
    <w:rsid w:val="006E17E8"/>
    <w:rsid w:val="006E2C1B"/>
    <w:rsid w:val="006E2D76"/>
    <w:rsid w:val="006E3312"/>
    <w:rsid w:val="006E4A9E"/>
    <w:rsid w:val="006E4C26"/>
    <w:rsid w:val="006E5057"/>
    <w:rsid w:val="006E64A1"/>
    <w:rsid w:val="006E6F2A"/>
    <w:rsid w:val="006E75F4"/>
    <w:rsid w:val="006E7A5C"/>
    <w:rsid w:val="006E7ECF"/>
    <w:rsid w:val="006F031F"/>
    <w:rsid w:val="006F04BD"/>
    <w:rsid w:val="006F09FB"/>
    <w:rsid w:val="006F0EF4"/>
    <w:rsid w:val="006F15D9"/>
    <w:rsid w:val="006F1731"/>
    <w:rsid w:val="006F1E1D"/>
    <w:rsid w:val="006F206B"/>
    <w:rsid w:val="006F21AC"/>
    <w:rsid w:val="006F2326"/>
    <w:rsid w:val="006F280B"/>
    <w:rsid w:val="006F2ECF"/>
    <w:rsid w:val="006F341D"/>
    <w:rsid w:val="006F3AAD"/>
    <w:rsid w:val="006F42E4"/>
    <w:rsid w:val="006F63C6"/>
    <w:rsid w:val="006F677F"/>
    <w:rsid w:val="006F6F16"/>
    <w:rsid w:val="006F7AD3"/>
    <w:rsid w:val="00700074"/>
    <w:rsid w:val="00700A72"/>
    <w:rsid w:val="00700DFC"/>
    <w:rsid w:val="00701345"/>
    <w:rsid w:val="007014FD"/>
    <w:rsid w:val="00701677"/>
    <w:rsid w:val="007018DC"/>
    <w:rsid w:val="00701BE3"/>
    <w:rsid w:val="00701C65"/>
    <w:rsid w:val="00702577"/>
    <w:rsid w:val="007027B5"/>
    <w:rsid w:val="00702A71"/>
    <w:rsid w:val="00702AEB"/>
    <w:rsid w:val="00703C4C"/>
    <w:rsid w:val="00704077"/>
    <w:rsid w:val="007040EB"/>
    <w:rsid w:val="007050DE"/>
    <w:rsid w:val="007051D8"/>
    <w:rsid w:val="00705DA2"/>
    <w:rsid w:val="00705E48"/>
    <w:rsid w:val="00706381"/>
    <w:rsid w:val="007069AA"/>
    <w:rsid w:val="00706CEF"/>
    <w:rsid w:val="007076E2"/>
    <w:rsid w:val="00707B4A"/>
    <w:rsid w:val="00707F2C"/>
    <w:rsid w:val="007108D9"/>
    <w:rsid w:val="00710A15"/>
    <w:rsid w:val="00710A27"/>
    <w:rsid w:val="00710CD0"/>
    <w:rsid w:val="00711407"/>
    <w:rsid w:val="007116EC"/>
    <w:rsid w:val="007128A7"/>
    <w:rsid w:val="00714CD3"/>
    <w:rsid w:val="00714CFB"/>
    <w:rsid w:val="00714ED9"/>
    <w:rsid w:val="00715A34"/>
    <w:rsid w:val="00715D0A"/>
    <w:rsid w:val="00717309"/>
    <w:rsid w:val="007174FB"/>
    <w:rsid w:val="00717647"/>
    <w:rsid w:val="00720577"/>
    <w:rsid w:val="00720799"/>
    <w:rsid w:val="00721A29"/>
    <w:rsid w:val="00721A3A"/>
    <w:rsid w:val="00721A81"/>
    <w:rsid w:val="0072223B"/>
    <w:rsid w:val="007225D6"/>
    <w:rsid w:val="007226E8"/>
    <w:rsid w:val="007234D6"/>
    <w:rsid w:val="0072374C"/>
    <w:rsid w:val="00723C11"/>
    <w:rsid w:val="00723C41"/>
    <w:rsid w:val="00723D64"/>
    <w:rsid w:val="00723F1D"/>
    <w:rsid w:val="00724D25"/>
    <w:rsid w:val="007250BE"/>
    <w:rsid w:val="00725802"/>
    <w:rsid w:val="00725E2F"/>
    <w:rsid w:val="00725F5C"/>
    <w:rsid w:val="00730202"/>
    <w:rsid w:val="00730867"/>
    <w:rsid w:val="007309B5"/>
    <w:rsid w:val="0073152E"/>
    <w:rsid w:val="00733430"/>
    <w:rsid w:val="00733CAA"/>
    <w:rsid w:val="00733E64"/>
    <w:rsid w:val="0073413B"/>
    <w:rsid w:val="0073620E"/>
    <w:rsid w:val="007375A0"/>
    <w:rsid w:val="0073772F"/>
    <w:rsid w:val="00737BE3"/>
    <w:rsid w:val="0074048A"/>
    <w:rsid w:val="00740B5E"/>
    <w:rsid w:val="007410B8"/>
    <w:rsid w:val="0074124A"/>
    <w:rsid w:val="00743767"/>
    <w:rsid w:val="00744B46"/>
    <w:rsid w:val="007451B2"/>
    <w:rsid w:val="0074593B"/>
    <w:rsid w:val="007462B8"/>
    <w:rsid w:val="00746304"/>
    <w:rsid w:val="00746C61"/>
    <w:rsid w:val="00746D90"/>
    <w:rsid w:val="0074704A"/>
    <w:rsid w:val="00747067"/>
    <w:rsid w:val="0074757B"/>
    <w:rsid w:val="007515FC"/>
    <w:rsid w:val="00751A4E"/>
    <w:rsid w:val="00751C4F"/>
    <w:rsid w:val="00751C86"/>
    <w:rsid w:val="00754AB2"/>
    <w:rsid w:val="00754BB2"/>
    <w:rsid w:val="00754BF8"/>
    <w:rsid w:val="00755EEA"/>
    <w:rsid w:val="00757881"/>
    <w:rsid w:val="00757CB8"/>
    <w:rsid w:val="00757FF1"/>
    <w:rsid w:val="00760095"/>
    <w:rsid w:val="00761827"/>
    <w:rsid w:val="0076194E"/>
    <w:rsid w:val="00762223"/>
    <w:rsid w:val="00762C49"/>
    <w:rsid w:val="007633DC"/>
    <w:rsid w:val="007636F9"/>
    <w:rsid w:val="00764394"/>
    <w:rsid w:val="0076554D"/>
    <w:rsid w:val="00765B2C"/>
    <w:rsid w:val="00766415"/>
    <w:rsid w:val="00766431"/>
    <w:rsid w:val="0076650A"/>
    <w:rsid w:val="007665AC"/>
    <w:rsid w:val="00766F95"/>
    <w:rsid w:val="00767360"/>
    <w:rsid w:val="0076777A"/>
    <w:rsid w:val="00767E79"/>
    <w:rsid w:val="00770678"/>
    <w:rsid w:val="00770FB4"/>
    <w:rsid w:val="00771305"/>
    <w:rsid w:val="007714F6"/>
    <w:rsid w:val="00772903"/>
    <w:rsid w:val="00772FA5"/>
    <w:rsid w:val="00773524"/>
    <w:rsid w:val="00773959"/>
    <w:rsid w:val="00773F5C"/>
    <w:rsid w:val="00773FF6"/>
    <w:rsid w:val="00774007"/>
    <w:rsid w:val="0077404D"/>
    <w:rsid w:val="00775976"/>
    <w:rsid w:val="007760E0"/>
    <w:rsid w:val="007765D2"/>
    <w:rsid w:val="00776828"/>
    <w:rsid w:val="00777D77"/>
    <w:rsid w:val="00780B41"/>
    <w:rsid w:val="0078139F"/>
    <w:rsid w:val="007815F1"/>
    <w:rsid w:val="00781656"/>
    <w:rsid w:val="00781AEE"/>
    <w:rsid w:val="00781C1E"/>
    <w:rsid w:val="00781EAA"/>
    <w:rsid w:val="0078257F"/>
    <w:rsid w:val="00783121"/>
    <w:rsid w:val="00783FD1"/>
    <w:rsid w:val="007840E5"/>
    <w:rsid w:val="0078424E"/>
    <w:rsid w:val="007852FF"/>
    <w:rsid w:val="00785E3C"/>
    <w:rsid w:val="0078603E"/>
    <w:rsid w:val="007863F2"/>
    <w:rsid w:val="0078647D"/>
    <w:rsid w:val="00790694"/>
    <w:rsid w:val="00790AE1"/>
    <w:rsid w:val="00790DEF"/>
    <w:rsid w:val="007928B5"/>
    <w:rsid w:val="007930C0"/>
    <w:rsid w:val="00793BE4"/>
    <w:rsid w:val="00794453"/>
    <w:rsid w:val="007948F4"/>
    <w:rsid w:val="00794B35"/>
    <w:rsid w:val="00795C30"/>
    <w:rsid w:val="007978AF"/>
    <w:rsid w:val="00797B97"/>
    <w:rsid w:val="007A019D"/>
    <w:rsid w:val="007A05C1"/>
    <w:rsid w:val="007A0824"/>
    <w:rsid w:val="007A1087"/>
    <w:rsid w:val="007A11FF"/>
    <w:rsid w:val="007A245C"/>
    <w:rsid w:val="007A273F"/>
    <w:rsid w:val="007A2FB7"/>
    <w:rsid w:val="007A3507"/>
    <w:rsid w:val="007A3E3B"/>
    <w:rsid w:val="007A4774"/>
    <w:rsid w:val="007A4DEE"/>
    <w:rsid w:val="007A4EC2"/>
    <w:rsid w:val="007A6548"/>
    <w:rsid w:val="007A7DFB"/>
    <w:rsid w:val="007A7EB0"/>
    <w:rsid w:val="007B04D0"/>
    <w:rsid w:val="007B06BB"/>
    <w:rsid w:val="007B0E03"/>
    <w:rsid w:val="007B1382"/>
    <w:rsid w:val="007B15E0"/>
    <w:rsid w:val="007B1728"/>
    <w:rsid w:val="007B2668"/>
    <w:rsid w:val="007B2C87"/>
    <w:rsid w:val="007B2CEB"/>
    <w:rsid w:val="007B354B"/>
    <w:rsid w:val="007B48AE"/>
    <w:rsid w:val="007B57D3"/>
    <w:rsid w:val="007B64F6"/>
    <w:rsid w:val="007B72A5"/>
    <w:rsid w:val="007B7963"/>
    <w:rsid w:val="007C053E"/>
    <w:rsid w:val="007C0B97"/>
    <w:rsid w:val="007C0CB8"/>
    <w:rsid w:val="007C1ACC"/>
    <w:rsid w:val="007C1DA0"/>
    <w:rsid w:val="007C20B4"/>
    <w:rsid w:val="007C3379"/>
    <w:rsid w:val="007C35FF"/>
    <w:rsid w:val="007C4618"/>
    <w:rsid w:val="007C5563"/>
    <w:rsid w:val="007C574E"/>
    <w:rsid w:val="007C5EA6"/>
    <w:rsid w:val="007C6213"/>
    <w:rsid w:val="007C69ED"/>
    <w:rsid w:val="007C6A7F"/>
    <w:rsid w:val="007C7F07"/>
    <w:rsid w:val="007D0D2B"/>
    <w:rsid w:val="007D1465"/>
    <w:rsid w:val="007D1E4A"/>
    <w:rsid w:val="007D2251"/>
    <w:rsid w:val="007D2484"/>
    <w:rsid w:val="007D24DF"/>
    <w:rsid w:val="007D2CA3"/>
    <w:rsid w:val="007D2F3C"/>
    <w:rsid w:val="007D3420"/>
    <w:rsid w:val="007D3EA6"/>
    <w:rsid w:val="007D438D"/>
    <w:rsid w:val="007D47A7"/>
    <w:rsid w:val="007D4850"/>
    <w:rsid w:val="007D5B67"/>
    <w:rsid w:val="007D6483"/>
    <w:rsid w:val="007D6AE9"/>
    <w:rsid w:val="007D7551"/>
    <w:rsid w:val="007D76EF"/>
    <w:rsid w:val="007E02A3"/>
    <w:rsid w:val="007E078C"/>
    <w:rsid w:val="007E1237"/>
    <w:rsid w:val="007E12C8"/>
    <w:rsid w:val="007E1540"/>
    <w:rsid w:val="007E18F5"/>
    <w:rsid w:val="007E1D0D"/>
    <w:rsid w:val="007E2009"/>
    <w:rsid w:val="007E2143"/>
    <w:rsid w:val="007E2192"/>
    <w:rsid w:val="007E226E"/>
    <w:rsid w:val="007E2F50"/>
    <w:rsid w:val="007E3374"/>
    <w:rsid w:val="007E3412"/>
    <w:rsid w:val="007E3FAA"/>
    <w:rsid w:val="007E416D"/>
    <w:rsid w:val="007E4A18"/>
    <w:rsid w:val="007E570A"/>
    <w:rsid w:val="007E5C1D"/>
    <w:rsid w:val="007E5C3A"/>
    <w:rsid w:val="007E6384"/>
    <w:rsid w:val="007E657E"/>
    <w:rsid w:val="007E6829"/>
    <w:rsid w:val="007E6C9B"/>
    <w:rsid w:val="007E6E27"/>
    <w:rsid w:val="007E7024"/>
    <w:rsid w:val="007E7D1B"/>
    <w:rsid w:val="007F05EF"/>
    <w:rsid w:val="007F0C5E"/>
    <w:rsid w:val="007F0EC2"/>
    <w:rsid w:val="007F2490"/>
    <w:rsid w:val="007F2B58"/>
    <w:rsid w:val="007F3056"/>
    <w:rsid w:val="007F3292"/>
    <w:rsid w:val="007F3301"/>
    <w:rsid w:val="007F37D9"/>
    <w:rsid w:val="007F388F"/>
    <w:rsid w:val="007F40BF"/>
    <w:rsid w:val="007F412A"/>
    <w:rsid w:val="007F4B70"/>
    <w:rsid w:val="007F56A2"/>
    <w:rsid w:val="007F5AA6"/>
    <w:rsid w:val="007F71E6"/>
    <w:rsid w:val="007F754C"/>
    <w:rsid w:val="007F7787"/>
    <w:rsid w:val="00800747"/>
    <w:rsid w:val="00800860"/>
    <w:rsid w:val="00800D25"/>
    <w:rsid w:val="008010E2"/>
    <w:rsid w:val="008019A6"/>
    <w:rsid w:val="0080265D"/>
    <w:rsid w:val="00802B40"/>
    <w:rsid w:val="00803191"/>
    <w:rsid w:val="008037D7"/>
    <w:rsid w:val="00803C7B"/>
    <w:rsid w:val="00804AA2"/>
    <w:rsid w:val="00804FC4"/>
    <w:rsid w:val="00805020"/>
    <w:rsid w:val="00805125"/>
    <w:rsid w:val="00805938"/>
    <w:rsid w:val="00806E5B"/>
    <w:rsid w:val="00806F8A"/>
    <w:rsid w:val="00807516"/>
    <w:rsid w:val="008076DE"/>
    <w:rsid w:val="008102BE"/>
    <w:rsid w:val="00810596"/>
    <w:rsid w:val="008137D1"/>
    <w:rsid w:val="00813C80"/>
    <w:rsid w:val="00813D93"/>
    <w:rsid w:val="008140FF"/>
    <w:rsid w:val="00814E3F"/>
    <w:rsid w:val="00815AFD"/>
    <w:rsid w:val="008177B2"/>
    <w:rsid w:val="00820C5D"/>
    <w:rsid w:val="008217E4"/>
    <w:rsid w:val="00821C39"/>
    <w:rsid w:val="00822085"/>
    <w:rsid w:val="00823097"/>
    <w:rsid w:val="00823B8A"/>
    <w:rsid w:val="00824742"/>
    <w:rsid w:val="00824D63"/>
    <w:rsid w:val="00825BF6"/>
    <w:rsid w:val="00825FA2"/>
    <w:rsid w:val="00826DD5"/>
    <w:rsid w:val="00826FA0"/>
    <w:rsid w:val="00827431"/>
    <w:rsid w:val="00827851"/>
    <w:rsid w:val="00827A44"/>
    <w:rsid w:val="00827B64"/>
    <w:rsid w:val="00830027"/>
    <w:rsid w:val="00830A1F"/>
    <w:rsid w:val="00830C75"/>
    <w:rsid w:val="00831C68"/>
    <w:rsid w:val="00832044"/>
    <w:rsid w:val="008322C3"/>
    <w:rsid w:val="008333D3"/>
    <w:rsid w:val="00833CD1"/>
    <w:rsid w:val="00833F50"/>
    <w:rsid w:val="008349B2"/>
    <w:rsid w:val="00836790"/>
    <w:rsid w:val="00836BB1"/>
    <w:rsid w:val="00836D92"/>
    <w:rsid w:val="00837511"/>
    <w:rsid w:val="00837826"/>
    <w:rsid w:val="00837C7C"/>
    <w:rsid w:val="008401F1"/>
    <w:rsid w:val="00840619"/>
    <w:rsid w:val="00840794"/>
    <w:rsid w:val="00840FC7"/>
    <w:rsid w:val="00841CD0"/>
    <w:rsid w:val="00842AF2"/>
    <w:rsid w:val="00842E10"/>
    <w:rsid w:val="0084322A"/>
    <w:rsid w:val="008435FD"/>
    <w:rsid w:val="00843CCB"/>
    <w:rsid w:val="00843E47"/>
    <w:rsid w:val="00843FD2"/>
    <w:rsid w:val="0084402B"/>
    <w:rsid w:val="00844212"/>
    <w:rsid w:val="00844B73"/>
    <w:rsid w:val="00844F0E"/>
    <w:rsid w:val="0084566C"/>
    <w:rsid w:val="00845A64"/>
    <w:rsid w:val="00845CC2"/>
    <w:rsid w:val="0084647B"/>
    <w:rsid w:val="008464C9"/>
    <w:rsid w:val="00846F9C"/>
    <w:rsid w:val="008475C2"/>
    <w:rsid w:val="00847AB2"/>
    <w:rsid w:val="00847CC2"/>
    <w:rsid w:val="00850312"/>
    <w:rsid w:val="0085069A"/>
    <w:rsid w:val="008506F3"/>
    <w:rsid w:val="00851518"/>
    <w:rsid w:val="0085179A"/>
    <w:rsid w:val="00851839"/>
    <w:rsid w:val="008519C1"/>
    <w:rsid w:val="00851A17"/>
    <w:rsid w:val="0085285E"/>
    <w:rsid w:val="00852DE0"/>
    <w:rsid w:val="00852F60"/>
    <w:rsid w:val="008534AD"/>
    <w:rsid w:val="008538E9"/>
    <w:rsid w:val="00854195"/>
    <w:rsid w:val="008546C2"/>
    <w:rsid w:val="00854F48"/>
    <w:rsid w:val="0085501C"/>
    <w:rsid w:val="0085583F"/>
    <w:rsid w:val="00855C0E"/>
    <w:rsid w:val="00856CB7"/>
    <w:rsid w:val="00856F35"/>
    <w:rsid w:val="00857E45"/>
    <w:rsid w:val="00857F0D"/>
    <w:rsid w:val="0086098A"/>
    <w:rsid w:val="00861EF0"/>
    <w:rsid w:val="0086254D"/>
    <w:rsid w:val="00863664"/>
    <w:rsid w:val="00863ADF"/>
    <w:rsid w:val="008640F2"/>
    <w:rsid w:val="00864963"/>
    <w:rsid w:val="008649A4"/>
    <w:rsid w:val="00865367"/>
    <w:rsid w:val="00865C42"/>
    <w:rsid w:val="00866FAD"/>
    <w:rsid w:val="00867744"/>
    <w:rsid w:val="00867D37"/>
    <w:rsid w:val="00870856"/>
    <w:rsid w:val="008717C9"/>
    <w:rsid w:val="008731AD"/>
    <w:rsid w:val="008731AE"/>
    <w:rsid w:val="008738EE"/>
    <w:rsid w:val="00873C18"/>
    <w:rsid w:val="008746FF"/>
    <w:rsid w:val="00874C8D"/>
    <w:rsid w:val="00874DE1"/>
    <w:rsid w:val="008757B1"/>
    <w:rsid w:val="00875A06"/>
    <w:rsid w:val="00875B54"/>
    <w:rsid w:val="00875BF6"/>
    <w:rsid w:val="00875CE2"/>
    <w:rsid w:val="00875E9F"/>
    <w:rsid w:val="008762B8"/>
    <w:rsid w:val="00876531"/>
    <w:rsid w:val="00876B03"/>
    <w:rsid w:val="00876CC3"/>
    <w:rsid w:val="00876E7C"/>
    <w:rsid w:val="008774A8"/>
    <w:rsid w:val="00877E11"/>
    <w:rsid w:val="00877E6A"/>
    <w:rsid w:val="0088128B"/>
    <w:rsid w:val="008816C0"/>
    <w:rsid w:val="00881F26"/>
    <w:rsid w:val="008828B2"/>
    <w:rsid w:val="00883A75"/>
    <w:rsid w:val="0088409F"/>
    <w:rsid w:val="00884BD6"/>
    <w:rsid w:val="008859AF"/>
    <w:rsid w:val="00885B1E"/>
    <w:rsid w:val="00886844"/>
    <w:rsid w:val="008870AD"/>
    <w:rsid w:val="008876AA"/>
    <w:rsid w:val="00887DB4"/>
    <w:rsid w:val="008912FA"/>
    <w:rsid w:val="00892469"/>
    <w:rsid w:val="008931F3"/>
    <w:rsid w:val="0089378D"/>
    <w:rsid w:val="00893938"/>
    <w:rsid w:val="008943E7"/>
    <w:rsid w:val="00894D8B"/>
    <w:rsid w:val="00895870"/>
    <w:rsid w:val="00896037"/>
    <w:rsid w:val="0089655A"/>
    <w:rsid w:val="0089668C"/>
    <w:rsid w:val="00897970"/>
    <w:rsid w:val="00897A31"/>
    <w:rsid w:val="008A0763"/>
    <w:rsid w:val="008A0779"/>
    <w:rsid w:val="008A0FCC"/>
    <w:rsid w:val="008A0FDE"/>
    <w:rsid w:val="008A261E"/>
    <w:rsid w:val="008A4562"/>
    <w:rsid w:val="008A4B8B"/>
    <w:rsid w:val="008A513F"/>
    <w:rsid w:val="008A549A"/>
    <w:rsid w:val="008A5AB1"/>
    <w:rsid w:val="008A5E18"/>
    <w:rsid w:val="008A5EF5"/>
    <w:rsid w:val="008A637C"/>
    <w:rsid w:val="008A6404"/>
    <w:rsid w:val="008A6486"/>
    <w:rsid w:val="008A6A30"/>
    <w:rsid w:val="008A6BF5"/>
    <w:rsid w:val="008A7657"/>
    <w:rsid w:val="008B0D08"/>
    <w:rsid w:val="008B115F"/>
    <w:rsid w:val="008B1569"/>
    <w:rsid w:val="008B1808"/>
    <w:rsid w:val="008B3392"/>
    <w:rsid w:val="008B36B9"/>
    <w:rsid w:val="008B384C"/>
    <w:rsid w:val="008B43B1"/>
    <w:rsid w:val="008B4A22"/>
    <w:rsid w:val="008B4B57"/>
    <w:rsid w:val="008B54B8"/>
    <w:rsid w:val="008B623D"/>
    <w:rsid w:val="008B671F"/>
    <w:rsid w:val="008B7415"/>
    <w:rsid w:val="008C0294"/>
    <w:rsid w:val="008C03A3"/>
    <w:rsid w:val="008C11C5"/>
    <w:rsid w:val="008C1A57"/>
    <w:rsid w:val="008C1AB8"/>
    <w:rsid w:val="008C1F31"/>
    <w:rsid w:val="008C2BA0"/>
    <w:rsid w:val="008C32DF"/>
    <w:rsid w:val="008C3E23"/>
    <w:rsid w:val="008C4930"/>
    <w:rsid w:val="008C5210"/>
    <w:rsid w:val="008C6606"/>
    <w:rsid w:val="008C775C"/>
    <w:rsid w:val="008C7A01"/>
    <w:rsid w:val="008C7D86"/>
    <w:rsid w:val="008D0189"/>
    <w:rsid w:val="008D07B8"/>
    <w:rsid w:val="008D09B9"/>
    <w:rsid w:val="008D0E93"/>
    <w:rsid w:val="008D0FEF"/>
    <w:rsid w:val="008D112A"/>
    <w:rsid w:val="008D18C2"/>
    <w:rsid w:val="008D1953"/>
    <w:rsid w:val="008D2E61"/>
    <w:rsid w:val="008D3C8C"/>
    <w:rsid w:val="008D4256"/>
    <w:rsid w:val="008D4729"/>
    <w:rsid w:val="008D4CF8"/>
    <w:rsid w:val="008D562B"/>
    <w:rsid w:val="008D5AE4"/>
    <w:rsid w:val="008D60D2"/>
    <w:rsid w:val="008D6442"/>
    <w:rsid w:val="008D6A35"/>
    <w:rsid w:val="008D783A"/>
    <w:rsid w:val="008E1242"/>
    <w:rsid w:val="008E20E7"/>
    <w:rsid w:val="008E23F0"/>
    <w:rsid w:val="008E2588"/>
    <w:rsid w:val="008E347B"/>
    <w:rsid w:val="008E3E40"/>
    <w:rsid w:val="008E3F98"/>
    <w:rsid w:val="008E4193"/>
    <w:rsid w:val="008E44CD"/>
    <w:rsid w:val="008E495E"/>
    <w:rsid w:val="008E5C77"/>
    <w:rsid w:val="008E6252"/>
    <w:rsid w:val="008E65C9"/>
    <w:rsid w:val="008E7C99"/>
    <w:rsid w:val="008E7EDF"/>
    <w:rsid w:val="008F0064"/>
    <w:rsid w:val="008F00FF"/>
    <w:rsid w:val="008F0161"/>
    <w:rsid w:val="008F0704"/>
    <w:rsid w:val="008F0EA5"/>
    <w:rsid w:val="008F17CD"/>
    <w:rsid w:val="008F1B0E"/>
    <w:rsid w:val="008F2FAB"/>
    <w:rsid w:val="008F3F72"/>
    <w:rsid w:val="008F46CE"/>
    <w:rsid w:val="008F4B91"/>
    <w:rsid w:val="008F4F47"/>
    <w:rsid w:val="008F5664"/>
    <w:rsid w:val="008F59DC"/>
    <w:rsid w:val="008F609A"/>
    <w:rsid w:val="008F65F8"/>
    <w:rsid w:val="008F6FE1"/>
    <w:rsid w:val="008F7439"/>
    <w:rsid w:val="00901ADD"/>
    <w:rsid w:val="00902268"/>
    <w:rsid w:val="00902272"/>
    <w:rsid w:val="00902761"/>
    <w:rsid w:val="009030A2"/>
    <w:rsid w:val="0090314A"/>
    <w:rsid w:val="00903723"/>
    <w:rsid w:val="009038AE"/>
    <w:rsid w:val="009054FE"/>
    <w:rsid w:val="00905F20"/>
    <w:rsid w:val="00910336"/>
    <w:rsid w:val="00910615"/>
    <w:rsid w:val="00910B96"/>
    <w:rsid w:val="00910C97"/>
    <w:rsid w:val="00910DB5"/>
    <w:rsid w:val="00910F04"/>
    <w:rsid w:val="00911165"/>
    <w:rsid w:val="009112FD"/>
    <w:rsid w:val="00911DBC"/>
    <w:rsid w:val="009142FA"/>
    <w:rsid w:val="00914D06"/>
    <w:rsid w:val="00914EC4"/>
    <w:rsid w:val="00914F9D"/>
    <w:rsid w:val="0091521C"/>
    <w:rsid w:val="009158A6"/>
    <w:rsid w:val="00915D47"/>
    <w:rsid w:val="009163F7"/>
    <w:rsid w:val="009165EF"/>
    <w:rsid w:val="00917B48"/>
    <w:rsid w:val="00917D7B"/>
    <w:rsid w:val="00917EBF"/>
    <w:rsid w:val="00921392"/>
    <w:rsid w:val="009219DB"/>
    <w:rsid w:val="009227A9"/>
    <w:rsid w:val="00922BE6"/>
    <w:rsid w:val="0092323D"/>
    <w:rsid w:val="00923691"/>
    <w:rsid w:val="00923E9D"/>
    <w:rsid w:val="00924833"/>
    <w:rsid w:val="009249EA"/>
    <w:rsid w:val="009258C5"/>
    <w:rsid w:val="00925FDF"/>
    <w:rsid w:val="0092645D"/>
    <w:rsid w:val="00926578"/>
    <w:rsid w:val="00926B7B"/>
    <w:rsid w:val="009271A3"/>
    <w:rsid w:val="00927B56"/>
    <w:rsid w:val="009303EB"/>
    <w:rsid w:val="00931393"/>
    <w:rsid w:val="00931737"/>
    <w:rsid w:val="00931D5C"/>
    <w:rsid w:val="00932997"/>
    <w:rsid w:val="009329BC"/>
    <w:rsid w:val="00932C6F"/>
    <w:rsid w:val="00932F07"/>
    <w:rsid w:val="0093374E"/>
    <w:rsid w:val="0093390C"/>
    <w:rsid w:val="00934209"/>
    <w:rsid w:val="00934FD3"/>
    <w:rsid w:val="009355A5"/>
    <w:rsid w:val="009367EA"/>
    <w:rsid w:val="00936A40"/>
    <w:rsid w:val="00936E7B"/>
    <w:rsid w:val="00936F09"/>
    <w:rsid w:val="00937026"/>
    <w:rsid w:val="00937A56"/>
    <w:rsid w:val="00937BB3"/>
    <w:rsid w:val="00937FCB"/>
    <w:rsid w:val="009406D7"/>
    <w:rsid w:val="00940B2F"/>
    <w:rsid w:val="00942846"/>
    <w:rsid w:val="009428F1"/>
    <w:rsid w:val="00943958"/>
    <w:rsid w:val="009441F7"/>
    <w:rsid w:val="00945E05"/>
    <w:rsid w:val="00945EE9"/>
    <w:rsid w:val="009466D6"/>
    <w:rsid w:val="009467EE"/>
    <w:rsid w:val="00946C26"/>
    <w:rsid w:val="009472EF"/>
    <w:rsid w:val="0094731F"/>
    <w:rsid w:val="0095027B"/>
    <w:rsid w:val="0095055E"/>
    <w:rsid w:val="00950839"/>
    <w:rsid w:val="00950929"/>
    <w:rsid w:val="00950D86"/>
    <w:rsid w:val="009521C3"/>
    <w:rsid w:val="0095325F"/>
    <w:rsid w:val="009538FF"/>
    <w:rsid w:val="009541CE"/>
    <w:rsid w:val="00954927"/>
    <w:rsid w:val="00955862"/>
    <w:rsid w:val="00957123"/>
    <w:rsid w:val="009575E9"/>
    <w:rsid w:val="00957DD9"/>
    <w:rsid w:val="00957E75"/>
    <w:rsid w:val="00957F50"/>
    <w:rsid w:val="009601DC"/>
    <w:rsid w:val="00960237"/>
    <w:rsid w:val="00961CF6"/>
    <w:rsid w:val="0096238D"/>
    <w:rsid w:val="009624CB"/>
    <w:rsid w:val="00962673"/>
    <w:rsid w:val="009629A1"/>
    <w:rsid w:val="00963493"/>
    <w:rsid w:val="0096356D"/>
    <w:rsid w:val="00963F06"/>
    <w:rsid w:val="009640B0"/>
    <w:rsid w:val="009643A6"/>
    <w:rsid w:val="00964428"/>
    <w:rsid w:val="00964A97"/>
    <w:rsid w:val="00964F4E"/>
    <w:rsid w:val="00965038"/>
    <w:rsid w:val="00965320"/>
    <w:rsid w:val="00965ECB"/>
    <w:rsid w:val="009663D1"/>
    <w:rsid w:val="00966A49"/>
    <w:rsid w:val="0096721F"/>
    <w:rsid w:val="00970906"/>
    <w:rsid w:val="00970F19"/>
    <w:rsid w:val="0097128F"/>
    <w:rsid w:val="009718A0"/>
    <w:rsid w:val="00973092"/>
    <w:rsid w:val="009734C4"/>
    <w:rsid w:val="00973753"/>
    <w:rsid w:val="00974576"/>
    <w:rsid w:val="00974DF6"/>
    <w:rsid w:val="00974EB9"/>
    <w:rsid w:val="00975013"/>
    <w:rsid w:val="009755D7"/>
    <w:rsid w:val="009759E1"/>
    <w:rsid w:val="00977638"/>
    <w:rsid w:val="00977D2C"/>
    <w:rsid w:val="00977D5D"/>
    <w:rsid w:val="00977D6A"/>
    <w:rsid w:val="00980035"/>
    <w:rsid w:val="0098036C"/>
    <w:rsid w:val="0098168D"/>
    <w:rsid w:val="009818EE"/>
    <w:rsid w:val="00981A5A"/>
    <w:rsid w:val="00982002"/>
    <w:rsid w:val="00982466"/>
    <w:rsid w:val="009832C4"/>
    <w:rsid w:val="009835D5"/>
    <w:rsid w:val="00983F01"/>
    <w:rsid w:val="009847F2"/>
    <w:rsid w:val="00984A88"/>
    <w:rsid w:val="00984AD9"/>
    <w:rsid w:val="00985700"/>
    <w:rsid w:val="00985B43"/>
    <w:rsid w:val="00985BBB"/>
    <w:rsid w:val="009862AA"/>
    <w:rsid w:val="00986502"/>
    <w:rsid w:val="009865EB"/>
    <w:rsid w:val="00986E88"/>
    <w:rsid w:val="009874EF"/>
    <w:rsid w:val="009875C2"/>
    <w:rsid w:val="009900ED"/>
    <w:rsid w:val="0099064E"/>
    <w:rsid w:val="00990D20"/>
    <w:rsid w:val="00990E1D"/>
    <w:rsid w:val="0099102B"/>
    <w:rsid w:val="009912ED"/>
    <w:rsid w:val="009919FB"/>
    <w:rsid w:val="0099366B"/>
    <w:rsid w:val="00993BA7"/>
    <w:rsid w:val="0099428A"/>
    <w:rsid w:val="009947C6"/>
    <w:rsid w:val="00995407"/>
    <w:rsid w:val="009954F1"/>
    <w:rsid w:val="009967A7"/>
    <w:rsid w:val="00996822"/>
    <w:rsid w:val="00996970"/>
    <w:rsid w:val="00996DDE"/>
    <w:rsid w:val="00997347"/>
    <w:rsid w:val="009973B3"/>
    <w:rsid w:val="00997A9C"/>
    <w:rsid w:val="009A0443"/>
    <w:rsid w:val="009A0D54"/>
    <w:rsid w:val="009A0FD0"/>
    <w:rsid w:val="009A18C8"/>
    <w:rsid w:val="009A1A2E"/>
    <w:rsid w:val="009A1B2D"/>
    <w:rsid w:val="009A21A5"/>
    <w:rsid w:val="009A2D6E"/>
    <w:rsid w:val="009A2FF4"/>
    <w:rsid w:val="009A326B"/>
    <w:rsid w:val="009A36FA"/>
    <w:rsid w:val="009A37CC"/>
    <w:rsid w:val="009A38A3"/>
    <w:rsid w:val="009A39E6"/>
    <w:rsid w:val="009A3A47"/>
    <w:rsid w:val="009A3A57"/>
    <w:rsid w:val="009A3BFD"/>
    <w:rsid w:val="009A4C02"/>
    <w:rsid w:val="009A58F2"/>
    <w:rsid w:val="009A5AE4"/>
    <w:rsid w:val="009A5D18"/>
    <w:rsid w:val="009A62DF"/>
    <w:rsid w:val="009A62F8"/>
    <w:rsid w:val="009A65BD"/>
    <w:rsid w:val="009A6BEE"/>
    <w:rsid w:val="009A7932"/>
    <w:rsid w:val="009A7B98"/>
    <w:rsid w:val="009B02BB"/>
    <w:rsid w:val="009B0359"/>
    <w:rsid w:val="009B0C0F"/>
    <w:rsid w:val="009B0CFB"/>
    <w:rsid w:val="009B1148"/>
    <w:rsid w:val="009B1373"/>
    <w:rsid w:val="009B1EAF"/>
    <w:rsid w:val="009B2C8D"/>
    <w:rsid w:val="009B2E74"/>
    <w:rsid w:val="009B2EE4"/>
    <w:rsid w:val="009B4886"/>
    <w:rsid w:val="009B4E64"/>
    <w:rsid w:val="009B527A"/>
    <w:rsid w:val="009B56B1"/>
    <w:rsid w:val="009B5C64"/>
    <w:rsid w:val="009B5F69"/>
    <w:rsid w:val="009B61F3"/>
    <w:rsid w:val="009B7C59"/>
    <w:rsid w:val="009C0168"/>
    <w:rsid w:val="009C0822"/>
    <w:rsid w:val="009C0D06"/>
    <w:rsid w:val="009C1385"/>
    <w:rsid w:val="009C17E6"/>
    <w:rsid w:val="009C1892"/>
    <w:rsid w:val="009C1B46"/>
    <w:rsid w:val="009C2686"/>
    <w:rsid w:val="009C31F6"/>
    <w:rsid w:val="009C33E6"/>
    <w:rsid w:val="009C346D"/>
    <w:rsid w:val="009C3E7F"/>
    <w:rsid w:val="009C4763"/>
    <w:rsid w:val="009C5EAC"/>
    <w:rsid w:val="009C64B2"/>
    <w:rsid w:val="009C6AE1"/>
    <w:rsid w:val="009C794B"/>
    <w:rsid w:val="009C7AC1"/>
    <w:rsid w:val="009C7B8B"/>
    <w:rsid w:val="009C7E88"/>
    <w:rsid w:val="009D0EC8"/>
    <w:rsid w:val="009D158B"/>
    <w:rsid w:val="009D19A0"/>
    <w:rsid w:val="009D1E9A"/>
    <w:rsid w:val="009D219A"/>
    <w:rsid w:val="009D27A7"/>
    <w:rsid w:val="009D2A3C"/>
    <w:rsid w:val="009D2DE7"/>
    <w:rsid w:val="009D397F"/>
    <w:rsid w:val="009D400E"/>
    <w:rsid w:val="009D4366"/>
    <w:rsid w:val="009D5C49"/>
    <w:rsid w:val="009E024F"/>
    <w:rsid w:val="009E07CB"/>
    <w:rsid w:val="009E142E"/>
    <w:rsid w:val="009E1608"/>
    <w:rsid w:val="009E16E4"/>
    <w:rsid w:val="009E16ED"/>
    <w:rsid w:val="009E188F"/>
    <w:rsid w:val="009E300D"/>
    <w:rsid w:val="009E3625"/>
    <w:rsid w:val="009E36E4"/>
    <w:rsid w:val="009E3804"/>
    <w:rsid w:val="009E3F66"/>
    <w:rsid w:val="009E5A29"/>
    <w:rsid w:val="009E5E10"/>
    <w:rsid w:val="009E60BF"/>
    <w:rsid w:val="009E6275"/>
    <w:rsid w:val="009E6400"/>
    <w:rsid w:val="009E64E6"/>
    <w:rsid w:val="009E65D5"/>
    <w:rsid w:val="009E65DC"/>
    <w:rsid w:val="009E6A02"/>
    <w:rsid w:val="009E6B0F"/>
    <w:rsid w:val="009E6E5A"/>
    <w:rsid w:val="009E76F6"/>
    <w:rsid w:val="009E7786"/>
    <w:rsid w:val="009F16DC"/>
    <w:rsid w:val="009F16FA"/>
    <w:rsid w:val="009F1BE2"/>
    <w:rsid w:val="009F20F8"/>
    <w:rsid w:val="009F2DCF"/>
    <w:rsid w:val="009F3B60"/>
    <w:rsid w:val="009F4123"/>
    <w:rsid w:val="009F4706"/>
    <w:rsid w:val="009F51BC"/>
    <w:rsid w:val="009F584E"/>
    <w:rsid w:val="009F6226"/>
    <w:rsid w:val="009F66C3"/>
    <w:rsid w:val="009F68E9"/>
    <w:rsid w:val="009F7767"/>
    <w:rsid w:val="009F7891"/>
    <w:rsid w:val="009F7CB7"/>
    <w:rsid w:val="00A00D48"/>
    <w:rsid w:val="00A01296"/>
    <w:rsid w:val="00A01443"/>
    <w:rsid w:val="00A014FC"/>
    <w:rsid w:val="00A02C29"/>
    <w:rsid w:val="00A02FA4"/>
    <w:rsid w:val="00A03600"/>
    <w:rsid w:val="00A03C8E"/>
    <w:rsid w:val="00A044DD"/>
    <w:rsid w:val="00A04A29"/>
    <w:rsid w:val="00A05542"/>
    <w:rsid w:val="00A05A61"/>
    <w:rsid w:val="00A05B57"/>
    <w:rsid w:val="00A05F1F"/>
    <w:rsid w:val="00A06249"/>
    <w:rsid w:val="00A064BB"/>
    <w:rsid w:val="00A065DD"/>
    <w:rsid w:val="00A065E2"/>
    <w:rsid w:val="00A06641"/>
    <w:rsid w:val="00A07220"/>
    <w:rsid w:val="00A0797D"/>
    <w:rsid w:val="00A07C2C"/>
    <w:rsid w:val="00A10518"/>
    <w:rsid w:val="00A12588"/>
    <w:rsid w:val="00A12685"/>
    <w:rsid w:val="00A12A04"/>
    <w:rsid w:val="00A12D8B"/>
    <w:rsid w:val="00A13869"/>
    <w:rsid w:val="00A1457F"/>
    <w:rsid w:val="00A14E7D"/>
    <w:rsid w:val="00A15B7A"/>
    <w:rsid w:val="00A15EFF"/>
    <w:rsid w:val="00A16023"/>
    <w:rsid w:val="00A17301"/>
    <w:rsid w:val="00A17976"/>
    <w:rsid w:val="00A17CBE"/>
    <w:rsid w:val="00A17DC6"/>
    <w:rsid w:val="00A203D9"/>
    <w:rsid w:val="00A20953"/>
    <w:rsid w:val="00A21671"/>
    <w:rsid w:val="00A21739"/>
    <w:rsid w:val="00A218FA"/>
    <w:rsid w:val="00A21B90"/>
    <w:rsid w:val="00A21F62"/>
    <w:rsid w:val="00A23DAB"/>
    <w:rsid w:val="00A2409E"/>
    <w:rsid w:val="00A245F1"/>
    <w:rsid w:val="00A24E67"/>
    <w:rsid w:val="00A252BC"/>
    <w:rsid w:val="00A26369"/>
    <w:rsid w:val="00A26519"/>
    <w:rsid w:val="00A2661F"/>
    <w:rsid w:val="00A268B1"/>
    <w:rsid w:val="00A27A27"/>
    <w:rsid w:val="00A30301"/>
    <w:rsid w:val="00A31163"/>
    <w:rsid w:val="00A31F94"/>
    <w:rsid w:val="00A322A3"/>
    <w:rsid w:val="00A332EC"/>
    <w:rsid w:val="00A33863"/>
    <w:rsid w:val="00A33B8B"/>
    <w:rsid w:val="00A34070"/>
    <w:rsid w:val="00A344EA"/>
    <w:rsid w:val="00A34706"/>
    <w:rsid w:val="00A35043"/>
    <w:rsid w:val="00A350B4"/>
    <w:rsid w:val="00A35D4D"/>
    <w:rsid w:val="00A35E93"/>
    <w:rsid w:val="00A36427"/>
    <w:rsid w:val="00A367AA"/>
    <w:rsid w:val="00A3722F"/>
    <w:rsid w:val="00A37254"/>
    <w:rsid w:val="00A37316"/>
    <w:rsid w:val="00A40BFD"/>
    <w:rsid w:val="00A417AC"/>
    <w:rsid w:val="00A4182B"/>
    <w:rsid w:val="00A4197D"/>
    <w:rsid w:val="00A42EA1"/>
    <w:rsid w:val="00A43DB3"/>
    <w:rsid w:val="00A44744"/>
    <w:rsid w:val="00A44EE1"/>
    <w:rsid w:val="00A455EE"/>
    <w:rsid w:val="00A45ABF"/>
    <w:rsid w:val="00A45EAD"/>
    <w:rsid w:val="00A463DA"/>
    <w:rsid w:val="00A4656A"/>
    <w:rsid w:val="00A469B5"/>
    <w:rsid w:val="00A46EC6"/>
    <w:rsid w:val="00A4785B"/>
    <w:rsid w:val="00A47E5D"/>
    <w:rsid w:val="00A50409"/>
    <w:rsid w:val="00A50632"/>
    <w:rsid w:val="00A5079C"/>
    <w:rsid w:val="00A507B3"/>
    <w:rsid w:val="00A50B5C"/>
    <w:rsid w:val="00A50CBB"/>
    <w:rsid w:val="00A5191B"/>
    <w:rsid w:val="00A51D8E"/>
    <w:rsid w:val="00A51E2C"/>
    <w:rsid w:val="00A539C8"/>
    <w:rsid w:val="00A546B8"/>
    <w:rsid w:val="00A54831"/>
    <w:rsid w:val="00A55132"/>
    <w:rsid w:val="00A553CE"/>
    <w:rsid w:val="00A557AC"/>
    <w:rsid w:val="00A5592A"/>
    <w:rsid w:val="00A559E1"/>
    <w:rsid w:val="00A55BDF"/>
    <w:rsid w:val="00A56563"/>
    <w:rsid w:val="00A57100"/>
    <w:rsid w:val="00A57E74"/>
    <w:rsid w:val="00A57F08"/>
    <w:rsid w:val="00A623D0"/>
    <w:rsid w:val="00A624BD"/>
    <w:rsid w:val="00A625E3"/>
    <w:rsid w:val="00A628A7"/>
    <w:rsid w:val="00A62B6F"/>
    <w:rsid w:val="00A63105"/>
    <w:rsid w:val="00A640F9"/>
    <w:rsid w:val="00A644C2"/>
    <w:rsid w:val="00A64779"/>
    <w:rsid w:val="00A64BD8"/>
    <w:rsid w:val="00A6574C"/>
    <w:rsid w:val="00A659E3"/>
    <w:rsid w:val="00A6761B"/>
    <w:rsid w:val="00A67A78"/>
    <w:rsid w:val="00A67B50"/>
    <w:rsid w:val="00A70760"/>
    <w:rsid w:val="00A7085F"/>
    <w:rsid w:val="00A70C5F"/>
    <w:rsid w:val="00A72314"/>
    <w:rsid w:val="00A723B3"/>
    <w:rsid w:val="00A72D03"/>
    <w:rsid w:val="00A72F5C"/>
    <w:rsid w:val="00A745D1"/>
    <w:rsid w:val="00A7483D"/>
    <w:rsid w:val="00A75150"/>
    <w:rsid w:val="00A7544E"/>
    <w:rsid w:val="00A75551"/>
    <w:rsid w:val="00A75627"/>
    <w:rsid w:val="00A76801"/>
    <w:rsid w:val="00A76B75"/>
    <w:rsid w:val="00A7708C"/>
    <w:rsid w:val="00A7712A"/>
    <w:rsid w:val="00A7791A"/>
    <w:rsid w:val="00A80190"/>
    <w:rsid w:val="00A80450"/>
    <w:rsid w:val="00A80744"/>
    <w:rsid w:val="00A80E04"/>
    <w:rsid w:val="00A815CA"/>
    <w:rsid w:val="00A81D12"/>
    <w:rsid w:val="00A845B1"/>
    <w:rsid w:val="00A84F4F"/>
    <w:rsid w:val="00A858EA"/>
    <w:rsid w:val="00A8685F"/>
    <w:rsid w:val="00A86BA6"/>
    <w:rsid w:val="00A86E73"/>
    <w:rsid w:val="00A876E9"/>
    <w:rsid w:val="00A90937"/>
    <w:rsid w:val="00A909D3"/>
    <w:rsid w:val="00A91620"/>
    <w:rsid w:val="00A9166E"/>
    <w:rsid w:val="00A916DC"/>
    <w:rsid w:val="00A933AF"/>
    <w:rsid w:val="00A93B82"/>
    <w:rsid w:val="00A93B8E"/>
    <w:rsid w:val="00A945E6"/>
    <w:rsid w:val="00A94BD7"/>
    <w:rsid w:val="00A9550F"/>
    <w:rsid w:val="00A959D4"/>
    <w:rsid w:val="00A95C20"/>
    <w:rsid w:val="00A963C5"/>
    <w:rsid w:val="00A96464"/>
    <w:rsid w:val="00A96A8F"/>
    <w:rsid w:val="00A96BEC"/>
    <w:rsid w:val="00A96EE8"/>
    <w:rsid w:val="00A97963"/>
    <w:rsid w:val="00AA000A"/>
    <w:rsid w:val="00AA0131"/>
    <w:rsid w:val="00AA0FD9"/>
    <w:rsid w:val="00AA1CF3"/>
    <w:rsid w:val="00AA1DD8"/>
    <w:rsid w:val="00AA22D8"/>
    <w:rsid w:val="00AA283F"/>
    <w:rsid w:val="00AA2879"/>
    <w:rsid w:val="00AA3490"/>
    <w:rsid w:val="00AA3D24"/>
    <w:rsid w:val="00AA40BE"/>
    <w:rsid w:val="00AA419E"/>
    <w:rsid w:val="00AA4399"/>
    <w:rsid w:val="00AA4833"/>
    <w:rsid w:val="00AA4C8D"/>
    <w:rsid w:val="00AA4D99"/>
    <w:rsid w:val="00AA4ED4"/>
    <w:rsid w:val="00AA5267"/>
    <w:rsid w:val="00AA6666"/>
    <w:rsid w:val="00AB0656"/>
    <w:rsid w:val="00AB1161"/>
    <w:rsid w:val="00AB19B5"/>
    <w:rsid w:val="00AB282F"/>
    <w:rsid w:val="00AB2989"/>
    <w:rsid w:val="00AB61E7"/>
    <w:rsid w:val="00AB64AA"/>
    <w:rsid w:val="00AB657C"/>
    <w:rsid w:val="00AB6A06"/>
    <w:rsid w:val="00AB6D0E"/>
    <w:rsid w:val="00AB7EB1"/>
    <w:rsid w:val="00AC0379"/>
    <w:rsid w:val="00AC0F38"/>
    <w:rsid w:val="00AC111A"/>
    <w:rsid w:val="00AC1E14"/>
    <w:rsid w:val="00AC2326"/>
    <w:rsid w:val="00AC290C"/>
    <w:rsid w:val="00AC29BB"/>
    <w:rsid w:val="00AC2B34"/>
    <w:rsid w:val="00AC2BE5"/>
    <w:rsid w:val="00AC34BF"/>
    <w:rsid w:val="00AC37F4"/>
    <w:rsid w:val="00AC40EA"/>
    <w:rsid w:val="00AC41B9"/>
    <w:rsid w:val="00AC4204"/>
    <w:rsid w:val="00AC4985"/>
    <w:rsid w:val="00AC4D6C"/>
    <w:rsid w:val="00AC4FC8"/>
    <w:rsid w:val="00AC7C58"/>
    <w:rsid w:val="00AC7C92"/>
    <w:rsid w:val="00AD0764"/>
    <w:rsid w:val="00AD1600"/>
    <w:rsid w:val="00AD16E3"/>
    <w:rsid w:val="00AD19FD"/>
    <w:rsid w:val="00AD1D65"/>
    <w:rsid w:val="00AD1E07"/>
    <w:rsid w:val="00AD23B9"/>
    <w:rsid w:val="00AD2446"/>
    <w:rsid w:val="00AD2B60"/>
    <w:rsid w:val="00AD3DCC"/>
    <w:rsid w:val="00AD3FC6"/>
    <w:rsid w:val="00AD6614"/>
    <w:rsid w:val="00AD6F48"/>
    <w:rsid w:val="00AD7C75"/>
    <w:rsid w:val="00AE0647"/>
    <w:rsid w:val="00AE2AED"/>
    <w:rsid w:val="00AE2D33"/>
    <w:rsid w:val="00AE2D78"/>
    <w:rsid w:val="00AE404C"/>
    <w:rsid w:val="00AE412C"/>
    <w:rsid w:val="00AE42DE"/>
    <w:rsid w:val="00AE4305"/>
    <w:rsid w:val="00AE574B"/>
    <w:rsid w:val="00AE57C8"/>
    <w:rsid w:val="00AE7CA4"/>
    <w:rsid w:val="00AF03BB"/>
    <w:rsid w:val="00AF0CE5"/>
    <w:rsid w:val="00AF0FC0"/>
    <w:rsid w:val="00AF1039"/>
    <w:rsid w:val="00AF2155"/>
    <w:rsid w:val="00AF34B1"/>
    <w:rsid w:val="00AF3A15"/>
    <w:rsid w:val="00AF3A9A"/>
    <w:rsid w:val="00AF4859"/>
    <w:rsid w:val="00AF4D3B"/>
    <w:rsid w:val="00AF57BA"/>
    <w:rsid w:val="00AF57C0"/>
    <w:rsid w:val="00AF57EA"/>
    <w:rsid w:val="00AF598B"/>
    <w:rsid w:val="00AF5BDC"/>
    <w:rsid w:val="00AF5F02"/>
    <w:rsid w:val="00AF67F2"/>
    <w:rsid w:val="00AF6A99"/>
    <w:rsid w:val="00AF7212"/>
    <w:rsid w:val="00AF7D27"/>
    <w:rsid w:val="00B009C3"/>
    <w:rsid w:val="00B00EA5"/>
    <w:rsid w:val="00B0158A"/>
    <w:rsid w:val="00B015D7"/>
    <w:rsid w:val="00B01759"/>
    <w:rsid w:val="00B02196"/>
    <w:rsid w:val="00B031E3"/>
    <w:rsid w:val="00B031EE"/>
    <w:rsid w:val="00B03270"/>
    <w:rsid w:val="00B0333D"/>
    <w:rsid w:val="00B03483"/>
    <w:rsid w:val="00B034AC"/>
    <w:rsid w:val="00B04837"/>
    <w:rsid w:val="00B04A4B"/>
    <w:rsid w:val="00B04C1D"/>
    <w:rsid w:val="00B052F2"/>
    <w:rsid w:val="00B0574A"/>
    <w:rsid w:val="00B0584C"/>
    <w:rsid w:val="00B05A51"/>
    <w:rsid w:val="00B05F61"/>
    <w:rsid w:val="00B0639E"/>
    <w:rsid w:val="00B07D10"/>
    <w:rsid w:val="00B07F2E"/>
    <w:rsid w:val="00B07F54"/>
    <w:rsid w:val="00B102AD"/>
    <w:rsid w:val="00B104CE"/>
    <w:rsid w:val="00B10C47"/>
    <w:rsid w:val="00B12121"/>
    <w:rsid w:val="00B12143"/>
    <w:rsid w:val="00B12569"/>
    <w:rsid w:val="00B12BFC"/>
    <w:rsid w:val="00B13500"/>
    <w:rsid w:val="00B14511"/>
    <w:rsid w:val="00B1470B"/>
    <w:rsid w:val="00B148BE"/>
    <w:rsid w:val="00B14CF7"/>
    <w:rsid w:val="00B15A56"/>
    <w:rsid w:val="00B15F73"/>
    <w:rsid w:val="00B16FA5"/>
    <w:rsid w:val="00B176EA"/>
    <w:rsid w:val="00B17997"/>
    <w:rsid w:val="00B204D5"/>
    <w:rsid w:val="00B20827"/>
    <w:rsid w:val="00B20F5B"/>
    <w:rsid w:val="00B2204A"/>
    <w:rsid w:val="00B222D9"/>
    <w:rsid w:val="00B22740"/>
    <w:rsid w:val="00B22F28"/>
    <w:rsid w:val="00B2623D"/>
    <w:rsid w:val="00B2627A"/>
    <w:rsid w:val="00B26A1C"/>
    <w:rsid w:val="00B26A59"/>
    <w:rsid w:val="00B2774A"/>
    <w:rsid w:val="00B3062D"/>
    <w:rsid w:val="00B30C47"/>
    <w:rsid w:val="00B317CA"/>
    <w:rsid w:val="00B32419"/>
    <w:rsid w:val="00B32510"/>
    <w:rsid w:val="00B33041"/>
    <w:rsid w:val="00B337D9"/>
    <w:rsid w:val="00B343AA"/>
    <w:rsid w:val="00B3450D"/>
    <w:rsid w:val="00B34B6D"/>
    <w:rsid w:val="00B350BA"/>
    <w:rsid w:val="00B35332"/>
    <w:rsid w:val="00B360D0"/>
    <w:rsid w:val="00B369DD"/>
    <w:rsid w:val="00B378D1"/>
    <w:rsid w:val="00B41C59"/>
    <w:rsid w:val="00B41EBB"/>
    <w:rsid w:val="00B42DFF"/>
    <w:rsid w:val="00B43B56"/>
    <w:rsid w:val="00B4460E"/>
    <w:rsid w:val="00B46C13"/>
    <w:rsid w:val="00B47250"/>
    <w:rsid w:val="00B4761D"/>
    <w:rsid w:val="00B50434"/>
    <w:rsid w:val="00B516C5"/>
    <w:rsid w:val="00B5178C"/>
    <w:rsid w:val="00B518A5"/>
    <w:rsid w:val="00B51D73"/>
    <w:rsid w:val="00B51E74"/>
    <w:rsid w:val="00B52459"/>
    <w:rsid w:val="00B52F15"/>
    <w:rsid w:val="00B55983"/>
    <w:rsid w:val="00B56199"/>
    <w:rsid w:val="00B56877"/>
    <w:rsid w:val="00B56BD5"/>
    <w:rsid w:val="00B57221"/>
    <w:rsid w:val="00B602F2"/>
    <w:rsid w:val="00B60555"/>
    <w:rsid w:val="00B61909"/>
    <w:rsid w:val="00B620B2"/>
    <w:rsid w:val="00B625EC"/>
    <w:rsid w:val="00B62AE6"/>
    <w:rsid w:val="00B6347F"/>
    <w:rsid w:val="00B636FE"/>
    <w:rsid w:val="00B63768"/>
    <w:rsid w:val="00B639B0"/>
    <w:rsid w:val="00B64064"/>
    <w:rsid w:val="00B64154"/>
    <w:rsid w:val="00B6421B"/>
    <w:rsid w:val="00B6431E"/>
    <w:rsid w:val="00B64FF0"/>
    <w:rsid w:val="00B6510E"/>
    <w:rsid w:val="00B65390"/>
    <w:rsid w:val="00B657DD"/>
    <w:rsid w:val="00B66B89"/>
    <w:rsid w:val="00B67174"/>
    <w:rsid w:val="00B67415"/>
    <w:rsid w:val="00B674E9"/>
    <w:rsid w:val="00B67724"/>
    <w:rsid w:val="00B67D3D"/>
    <w:rsid w:val="00B706C7"/>
    <w:rsid w:val="00B70F64"/>
    <w:rsid w:val="00B71749"/>
    <w:rsid w:val="00B720E8"/>
    <w:rsid w:val="00B724C3"/>
    <w:rsid w:val="00B72887"/>
    <w:rsid w:val="00B734C7"/>
    <w:rsid w:val="00B73639"/>
    <w:rsid w:val="00B73E65"/>
    <w:rsid w:val="00B74377"/>
    <w:rsid w:val="00B74923"/>
    <w:rsid w:val="00B75D77"/>
    <w:rsid w:val="00B76231"/>
    <w:rsid w:val="00B76866"/>
    <w:rsid w:val="00B76E70"/>
    <w:rsid w:val="00B76F26"/>
    <w:rsid w:val="00B77085"/>
    <w:rsid w:val="00B77B48"/>
    <w:rsid w:val="00B77BC4"/>
    <w:rsid w:val="00B77EEE"/>
    <w:rsid w:val="00B80AFC"/>
    <w:rsid w:val="00B80D4F"/>
    <w:rsid w:val="00B81849"/>
    <w:rsid w:val="00B81991"/>
    <w:rsid w:val="00B82FC6"/>
    <w:rsid w:val="00B83B0E"/>
    <w:rsid w:val="00B83D78"/>
    <w:rsid w:val="00B83E65"/>
    <w:rsid w:val="00B84763"/>
    <w:rsid w:val="00B84C9F"/>
    <w:rsid w:val="00B8528E"/>
    <w:rsid w:val="00B85453"/>
    <w:rsid w:val="00B8574F"/>
    <w:rsid w:val="00B858C2"/>
    <w:rsid w:val="00B862BD"/>
    <w:rsid w:val="00B8665E"/>
    <w:rsid w:val="00B86AAF"/>
    <w:rsid w:val="00B86D3A"/>
    <w:rsid w:val="00B878B6"/>
    <w:rsid w:val="00B87CB8"/>
    <w:rsid w:val="00B87DF7"/>
    <w:rsid w:val="00B87ECD"/>
    <w:rsid w:val="00B904A0"/>
    <w:rsid w:val="00B90B5A"/>
    <w:rsid w:val="00B910AB"/>
    <w:rsid w:val="00B912D0"/>
    <w:rsid w:val="00B913E6"/>
    <w:rsid w:val="00B91AA9"/>
    <w:rsid w:val="00B91C50"/>
    <w:rsid w:val="00B91C56"/>
    <w:rsid w:val="00B91FF7"/>
    <w:rsid w:val="00B92186"/>
    <w:rsid w:val="00B929B1"/>
    <w:rsid w:val="00B92C18"/>
    <w:rsid w:val="00B92C1F"/>
    <w:rsid w:val="00B93621"/>
    <w:rsid w:val="00B9475A"/>
    <w:rsid w:val="00B947E9"/>
    <w:rsid w:val="00B952F4"/>
    <w:rsid w:val="00B96879"/>
    <w:rsid w:val="00B96B11"/>
    <w:rsid w:val="00B96BC4"/>
    <w:rsid w:val="00B96C16"/>
    <w:rsid w:val="00B976E2"/>
    <w:rsid w:val="00B97C66"/>
    <w:rsid w:val="00BA0A72"/>
    <w:rsid w:val="00BA17F9"/>
    <w:rsid w:val="00BA2549"/>
    <w:rsid w:val="00BA2AF8"/>
    <w:rsid w:val="00BA3861"/>
    <w:rsid w:val="00BA3B20"/>
    <w:rsid w:val="00BA45BB"/>
    <w:rsid w:val="00BA4840"/>
    <w:rsid w:val="00BA55E0"/>
    <w:rsid w:val="00BA5B29"/>
    <w:rsid w:val="00BA5B8B"/>
    <w:rsid w:val="00BA5CF8"/>
    <w:rsid w:val="00BA5D9B"/>
    <w:rsid w:val="00BA5FBA"/>
    <w:rsid w:val="00BA621F"/>
    <w:rsid w:val="00BA6708"/>
    <w:rsid w:val="00BB06AE"/>
    <w:rsid w:val="00BB0E02"/>
    <w:rsid w:val="00BB1309"/>
    <w:rsid w:val="00BB19FD"/>
    <w:rsid w:val="00BB1FE9"/>
    <w:rsid w:val="00BB2E3C"/>
    <w:rsid w:val="00BB348E"/>
    <w:rsid w:val="00BB38AA"/>
    <w:rsid w:val="00BB38F6"/>
    <w:rsid w:val="00BB401D"/>
    <w:rsid w:val="00BB44EA"/>
    <w:rsid w:val="00BB47FA"/>
    <w:rsid w:val="00BB4EAF"/>
    <w:rsid w:val="00BB6D31"/>
    <w:rsid w:val="00BB6F68"/>
    <w:rsid w:val="00BB73B9"/>
    <w:rsid w:val="00BB76A0"/>
    <w:rsid w:val="00BB7890"/>
    <w:rsid w:val="00BC0E7E"/>
    <w:rsid w:val="00BC1100"/>
    <w:rsid w:val="00BC1FE9"/>
    <w:rsid w:val="00BC3036"/>
    <w:rsid w:val="00BC3547"/>
    <w:rsid w:val="00BC3604"/>
    <w:rsid w:val="00BC3C3A"/>
    <w:rsid w:val="00BC3D9B"/>
    <w:rsid w:val="00BC4614"/>
    <w:rsid w:val="00BC482C"/>
    <w:rsid w:val="00BC55D2"/>
    <w:rsid w:val="00BC5B44"/>
    <w:rsid w:val="00BC5CBC"/>
    <w:rsid w:val="00BC69CD"/>
    <w:rsid w:val="00BC6AA5"/>
    <w:rsid w:val="00BC73B2"/>
    <w:rsid w:val="00BC753D"/>
    <w:rsid w:val="00BC7C3A"/>
    <w:rsid w:val="00BC7EA6"/>
    <w:rsid w:val="00BC7EFC"/>
    <w:rsid w:val="00BD03EE"/>
    <w:rsid w:val="00BD1419"/>
    <w:rsid w:val="00BD1E10"/>
    <w:rsid w:val="00BD245F"/>
    <w:rsid w:val="00BD3B1D"/>
    <w:rsid w:val="00BD3CC8"/>
    <w:rsid w:val="00BD4A3E"/>
    <w:rsid w:val="00BD4EAC"/>
    <w:rsid w:val="00BD5616"/>
    <w:rsid w:val="00BD646C"/>
    <w:rsid w:val="00BD6ED4"/>
    <w:rsid w:val="00BD7627"/>
    <w:rsid w:val="00BD7B86"/>
    <w:rsid w:val="00BD7D1E"/>
    <w:rsid w:val="00BD7DF6"/>
    <w:rsid w:val="00BE2249"/>
    <w:rsid w:val="00BE2F59"/>
    <w:rsid w:val="00BE3107"/>
    <w:rsid w:val="00BE44F4"/>
    <w:rsid w:val="00BE457D"/>
    <w:rsid w:val="00BE47E0"/>
    <w:rsid w:val="00BE49CD"/>
    <w:rsid w:val="00BE4FF0"/>
    <w:rsid w:val="00BE5DD9"/>
    <w:rsid w:val="00BE6BDE"/>
    <w:rsid w:val="00BE7000"/>
    <w:rsid w:val="00BF09F2"/>
    <w:rsid w:val="00BF1837"/>
    <w:rsid w:val="00BF19E8"/>
    <w:rsid w:val="00BF1BC5"/>
    <w:rsid w:val="00BF2361"/>
    <w:rsid w:val="00BF2A0D"/>
    <w:rsid w:val="00BF34B1"/>
    <w:rsid w:val="00BF3683"/>
    <w:rsid w:val="00BF3CC2"/>
    <w:rsid w:val="00BF3D5E"/>
    <w:rsid w:val="00BF3F1F"/>
    <w:rsid w:val="00BF40EA"/>
    <w:rsid w:val="00BF4426"/>
    <w:rsid w:val="00BF4E7D"/>
    <w:rsid w:val="00BF5B99"/>
    <w:rsid w:val="00BF6529"/>
    <w:rsid w:val="00BF6D48"/>
    <w:rsid w:val="00BF77BB"/>
    <w:rsid w:val="00BF7E19"/>
    <w:rsid w:val="00C02956"/>
    <w:rsid w:val="00C0398B"/>
    <w:rsid w:val="00C03E1F"/>
    <w:rsid w:val="00C03F27"/>
    <w:rsid w:val="00C043FC"/>
    <w:rsid w:val="00C048C3"/>
    <w:rsid w:val="00C04DF8"/>
    <w:rsid w:val="00C052DC"/>
    <w:rsid w:val="00C05425"/>
    <w:rsid w:val="00C057C9"/>
    <w:rsid w:val="00C06757"/>
    <w:rsid w:val="00C068B4"/>
    <w:rsid w:val="00C06ED4"/>
    <w:rsid w:val="00C07722"/>
    <w:rsid w:val="00C079B4"/>
    <w:rsid w:val="00C10CEB"/>
    <w:rsid w:val="00C10F7D"/>
    <w:rsid w:val="00C11184"/>
    <w:rsid w:val="00C114D7"/>
    <w:rsid w:val="00C11652"/>
    <w:rsid w:val="00C12259"/>
    <w:rsid w:val="00C12370"/>
    <w:rsid w:val="00C130D5"/>
    <w:rsid w:val="00C1362E"/>
    <w:rsid w:val="00C148A1"/>
    <w:rsid w:val="00C14B2F"/>
    <w:rsid w:val="00C14B8F"/>
    <w:rsid w:val="00C15D63"/>
    <w:rsid w:val="00C17239"/>
    <w:rsid w:val="00C17BF6"/>
    <w:rsid w:val="00C207A7"/>
    <w:rsid w:val="00C212D6"/>
    <w:rsid w:val="00C21CB6"/>
    <w:rsid w:val="00C22099"/>
    <w:rsid w:val="00C223B0"/>
    <w:rsid w:val="00C22CBF"/>
    <w:rsid w:val="00C23D48"/>
    <w:rsid w:val="00C242C5"/>
    <w:rsid w:val="00C245AB"/>
    <w:rsid w:val="00C255FF"/>
    <w:rsid w:val="00C26B85"/>
    <w:rsid w:val="00C3156D"/>
    <w:rsid w:val="00C318F8"/>
    <w:rsid w:val="00C3238F"/>
    <w:rsid w:val="00C327D5"/>
    <w:rsid w:val="00C33082"/>
    <w:rsid w:val="00C33C19"/>
    <w:rsid w:val="00C33C7C"/>
    <w:rsid w:val="00C34661"/>
    <w:rsid w:val="00C3472D"/>
    <w:rsid w:val="00C34792"/>
    <w:rsid w:val="00C347FC"/>
    <w:rsid w:val="00C3486C"/>
    <w:rsid w:val="00C34DC2"/>
    <w:rsid w:val="00C35206"/>
    <w:rsid w:val="00C3561B"/>
    <w:rsid w:val="00C356F0"/>
    <w:rsid w:val="00C35ACC"/>
    <w:rsid w:val="00C36115"/>
    <w:rsid w:val="00C365E3"/>
    <w:rsid w:val="00C36636"/>
    <w:rsid w:val="00C36CE1"/>
    <w:rsid w:val="00C37009"/>
    <w:rsid w:val="00C37135"/>
    <w:rsid w:val="00C4044E"/>
    <w:rsid w:val="00C4059F"/>
    <w:rsid w:val="00C40E8C"/>
    <w:rsid w:val="00C4111E"/>
    <w:rsid w:val="00C41659"/>
    <w:rsid w:val="00C416F7"/>
    <w:rsid w:val="00C42032"/>
    <w:rsid w:val="00C43387"/>
    <w:rsid w:val="00C44693"/>
    <w:rsid w:val="00C44A38"/>
    <w:rsid w:val="00C4529C"/>
    <w:rsid w:val="00C45C38"/>
    <w:rsid w:val="00C465CA"/>
    <w:rsid w:val="00C468CD"/>
    <w:rsid w:val="00C47DA8"/>
    <w:rsid w:val="00C47EBC"/>
    <w:rsid w:val="00C5165D"/>
    <w:rsid w:val="00C52D63"/>
    <w:rsid w:val="00C53372"/>
    <w:rsid w:val="00C535F1"/>
    <w:rsid w:val="00C5365D"/>
    <w:rsid w:val="00C53B70"/>
    <w:rsid w:val="00C54220"/>
    <w:rsid w:val="00C54917"/>
    <w:rsid w:val="00C54BA3"/>
    <w:rsid w:val="00C550A9"/>
    <w:rsid w:val="00C55157"/>
    <w:rsid w:val="00C55EB8"/>
    <w:rsid w:val="00C562C8"/>
    <w:rsid w:val="00C56618"/>
    <w:rsid w:val="00C56A15"/>
    <w:rsid w:val="00C5707D"/>
    <w:rsid w:val="00C57483"/>
    <w:rsid w:val="00C60763"/>
    <w:rsid w:val="00C60C06"/>
    <w:rsid w:val="00C61048"/>
    <w:rsid w:val="00C61534"/>
    <w:rsid w:val="00C616D0"/>
    <w:rsid w:val="00C62FD2"/>
    <w:rsid w:val="00C64A37"/>
    <w:rsid w:val="00C64A9D"/>
    <w:rsid w:val="00C66830"/>
    <w:rsid w:val="00C669DB"/>
    <w:rsid w:val="00C670F4"/>
    <w:rsid w:val="00C67AB9"/>
    <w:rsid w:val="00C70AF4"/>
    <w:rsid w:val="00C7213A"/>
    <w:rsid w:val="00C721EE"/>
    <w:rsid w:val="00C7254B"/>
    <w:rsid w:val="00C72C25"/>
    <w:rsid w:val="00C72FF7"/>
    <w:rsid w:val="00C735ED"/>
    <w:rsid w:val="00C73AF6"/>
    <w:rsid w:val="00C73BEC"/>
    <w:rsid w:val="00C7419D"/>
    <w:rsid w:val="00C75B3B"/>
    <w:rsid w:val="00C766D3"/>
    <w:rsid w:val="00C76852"/>
    <w:rsid w:val="00C769FB"/>
    <w:rsid w:val="00C76DCD"/>
    <w:rsid w:val="00C80191"/>
    <w:rsid w:val="00C802AC"/>
    <w:rsid w:val="00C806C1"/>
    <w:rsid w:val="00C81A7C"/>
    <w:rsid w:val="00C81EEA"/>
    <w:rsid w:val="00C82DF8"/>
    <w:rsid w:val="00C835C6"/>
    <w:rsid w:val="00C83654"/>
    <w:rsid w:val="00C83D12"/>
    <w:rsid w:val="00C83DE9"/>
    <w:rsid w:val="00C8433F"/>
    <w:rsid w:val="00C85A53"/>
    <w:rsid w:val="00C85FC8"/>
    <w:rsid w:val="00C86311"/>
    <w:rsid w:val="00C90048"/>
    <w:rsid w:val="00C901AD"/>
    <w:rsid w:val="00C90203"/>
    <w:rsid w:val="00C9140D"/>
    <w:rsid w:val="00C914B5"/>
    <w:rsid w:val="00C91653"/>
    <w:rsid w:val="00C919E8"/>
    <w:rsid w:val="00C92394"/>
    <w:rsid w:val="00C92650"/>
    <w:rsid w:val="00C92B1C"/>
    <w:rsid w:val="00C93136"/>
    <w:rsid w:val="00C936AB"/>
    <w:rsid w:val="00C93D41"/>
    <w:rsid w:val="00C94554"/>
    <w:rsid w:val="00C94C39"/>
    <w:rsid w:val="00C94D6E"/>
    <w:rsid w:val="00C956AA"/>
    <w:rsid w:val="00C95A11"/>
    <w:rsid w:val="00C9646C"/>
    <w:rsid w:val="00C96A5A"/>
    <w:rsid w:val="00C96C73"/>
    <w:rsid w:val="00C979B6"/>
    <w:rsid w:val="00CA1991"/>
    <w:rsid w:val="00CA1BF2"/>
    <w:rsid w:val="00CA1F06"/>
    <w:rsid w:val="00CA2697"/>
    <w:rsid w:val="00CA329D"/>
    <w:rsid w:val="00CA32C1"/>
    <w:rsid w:val="00CA36AC"/>
    <w:rsid w:val="00CA3763"/>
    <w:rsid w:val="00CA3B45"/>
    <w:rsid w:val="00CA4765"/>
    <w:rsid w:val="00CA501A"/>
    <w:rsid w:val="00CA53B3"/>
    <w:rsid w:val="00CA598C"/>
    <w:rsid w:val="00CA651F"/>
    <w:rsid w:val="00CA6ADE"/>
    <w:rsid w:val="00CA7157"/>
    <w:rsid w:val="00CA72CE"/>
    <w:rsid w:val="00CA7391"/>
    <w:rsid w:val="00CA75B1"/>
    <w:rsid w:val="00CB0037"/>
    <w:rsid w:val="00CB040C"/>
    <w:rsid w:val="00CB04A0"/>
    <w:rsid w:val="00CB0C63"/>
    <w:rsid w:val="00CB175E"/>
    <w:rsid w:val="00CB2BEA"/>
    <w:rsid w:val="00CB3F2F"/>
    <w:rsid w:val="00CB41F2"/>
    <w:rsid w:val="00CB45E4"/>
    <w:rsid w:val="00CB4850"/>
    <w:rsid w:val="00CB4B53"/>
    <w:rsid w:val="00CB523F"/>
    <w:rsid w:val="00CB52E0"/>
    <w:rsid w:val="00CB575B"/>
    <w:rsid w:val="00CB6ECE"/>
    <w:rsid w:val="00CB6FEA"/>
    <w:rsid w:val="00CB76B1"/>
    <w:rsid w:val="00CC02BB"/>
    <w:rsid w:val="00CC0661"/>
    <w:rsid w:val="00CC0D55"/>
    <w:rsid w:val="00CC12ED"/>
    <w:rsid w:val="00CC1858"/>
    <w:rsid w:val="00CC19D8"/>
    <w:rsid w:val="00CC1B29"/>
    <w:rsid w:val="00CC2071"/>
    <w:rsid w:val="00CC2298"/>
    <w:rsid w:val="00CC2427"/>
    <w:rsid w:val="00CC24DC"/>
    <w:rsid w:val="00CC2F88"/>
    <w:rsid w:val="00CC333F"/>
    <w:rsid w:val="00CC3451"/>
    <w:rsid w:val="00CC37C0"/>
    <w:rsid w:val="00CC4311"/>
    <w:rsid w:val="00CC48C6"/>
    <w:rsid w:val="00CC4B41"/>
    <w:rsid w:val="00CC5973"/>
    <w:rsid w:val="00CC5B58"/>
    <w:rsid w:val="00CC627F"/>
    <w:rsid w:val="00CC6A09"/>
    <w:rsid w:val="00CC72C2"/>
    <w:rsid w:val="00CD0193"/>
    <w:rsid w:val="00CD039D"/>
    <w:rsid w:val="00CD0DE8"/>
    <w:rsid w:val="00CD1448"/>
    <w:rsid w:val="00CD2293"/>
    <w:rsid w:val="00CD2909"/>
    <w:rsid w:val="00CD2F67"/>
    <w:rsid w:val="00CD3EF5"/>
    <w:rsid w:val="00CD48DD"/>
    <w:rsid w:val="00CD492A"/>
    <w:rsid w:val="00CD4D0C"/>
    <w:rsid w:val="00CD59CE"/>
    <w:rsid w:val="00CD6D96"/>
    <w:rsid w:val="00CD6DC2"/>
    <w:rsid w:val="00CD70A5"/>
    <w:rsid w:val="00CD775B"/>
    <w:rsid w:val="00CE2214"/>
    <w:rsid w:val="00CE28BB"/>
    <w:rsid w:val="00CE2BDB"/>
    <w:rsid w:val="00CE4384"/>
    <w:rsid w:val="00CE4530"/>
    <w:rsid w:val="00CE5DAE"/>
    <w:rsid w:val="00CE65DE"/>
    <w:rsid w:val="00CE7108"/>
    <w:rsid w:val="00CE7BC5"/>
    <w:rsid w:val="00CF1266"/>
    <w:rsid w:val="00CF1618"/>
    <w:rsid w:val="00CF1B21"/>
    <w:rsid w:val="00CF3185"/>
    <w:rsid w:val="00CF3348"/>
    <w:rsid w:val="00CF3384"/>
    <w:rsid w:val="00CF374B"/>
    <w:rsid w:val="00CF3E15"/>
    <w:rsid w:val="00CF3E3F"/>
    <w:rsid w:val="00CF43F4"/>
    <w:rsid w:val="00CF468E"/>
    <w:rsid w:val="00CF47EB"/>
    <w:rsid w:val="00CF4A90"/>
    <w:rsid w:val="00CF566D"/>
    <w:rsid w:val="00CF572F"/>
    <w:rsid w:val="00CF6366"/>
    <w:rsid w:val="00CF729E"/>
    <w:rsid w:val="00D00732"/>
    <w:rsid w:val="00D0073C"/>
    <w:rsid w:val="00D00B9C"/>
    <w:rsid w:val="00D00F8F"/>
    <w:rsid w:val="00D011E8"/>
    <w:rsid w:val="00D013E8"/>
    <w:rsid w:val="00D01607"/>
    <w:rsid w:val="00D019FF"/>
    <w:rsid w:val="00D01AB4"/>
    <w:rsid w:val="00D01D69"/>
    <w:rsid w:val="00D0259F"/>
    <w:rsid w:val="00D02B9F"/>
    <w:rsid w:val="00D031C9"/>
    <w:rsid w:val="00D03D34"/>
    <w:rsid w:val="00D043B8"/>
    <w:rsid w:val="00D045DE"/>
    <w:rsid w:val="00D04D35"/>
    <w:rsid w:val="00D0533F"/>
    <w:rsid w:val="00D05DC7"/>
    <w:rsid w:val="00D06278"/>
    <w:rsid w:val="00D0678B"/>
    <w:rsid w:val="00D06F2F"/>
    <w:rsid w:val="00D06F6A"/>
    <w:rsid w:val="00D07281"/>
    <w:rsid w:val="00D07471"/>
    <w:rsid w:val="00D076C5"/>
    <w:rsid w:val="00D07A2A"/>
    <w:rsid w:val="00D07D7A"/>
    <w:rsid w:val="00D1049D"/>
    <w:rsid w:val="00D10A79"/>
    <w:rsid w:val="00D114FD"/>
    <w:rsid w:val="00D11EC5"/>
    <w:rsid w:val="00D122B0"/>
    <w:rsid w:val="00D122C9"/>
    <w:rsid w:val="00D125AF"/>
    <w:rsid w:val="00D13129"/>
    <w:rsid w:val="00D138A3"/>
    <w:rsid w:val="00D14060"/>
    <w:rsid w:val="00D14447"/>
    <w:rsid w:val="00D1485E"/>
    <w:rsid w:val="00D149F4"/>
    <w:rsid w:val="00D1567C"/>
    <w:rsid w:val="00D15A04"/>
    <w:rsid w:val="00D16856"/>
    <w:rsid w:val="00D1714F"/>
    <w:rsid w:val="00D20AE9"/>
    <w:rsid w:val="00D21269"/>
    <w:rsid w:val="00D21536"/>
    <w:rsid w:val="00D2183E"/>
    <w:rsid w:val="00D2197F"/>
    <w:rsid w:val="00D21AB4"/>
    <w:rsid w:val="00D22850"/>
    <w:rsid w:val="00D22A5D"/>
    <w:rsid w:val="00D230C3"/>
    <w:rsid w:val="00D236B1"/>
    <w:rsid w:val="00D23A7A"/>
    <w:rsid w:val="00D23E5C"/>
    <w:rsid w:val="00D243A6"/>
    <w:rsid w:val="00D24CCD"/>
    <w:rsid w:val="00D259AA"/>
    <w:rsid w:val="00D26920"/>
    <w:rsid w:val="00D27680"/>
    <w:rsid w:val="00D277F3"/>
    <w:rsid w:val="00D2784C"/>
    <w:rsid w:val="00D279BC"/>
    <w:rsid w:val="00D27DBE"/>
    <w:rsid w:val="00D27E98"/>
    <w:rsid w:val="00D305D8"/>
    <w:rsid w:val="00D3072B"/>
    <w:rsid w:val="00D3167C"/>
    <w:rsid w:val="00D31DE5"/>
    <w:rsid w:val="00D32374"/>
    <w:rsid w:val="00D326AC"/>
    <w:rsid w:val="00D328B9"/>
    <w:rsid w:val="00D32AC5"/>
    <w:rsid w:val="00D34700"/>
    <w:rsid w:val="00D34F6F"/>
    <w:rsid w:val="00D35031"/>
    <w:rsid w:val="00D35C22"/>
    <w:rsid w:val="00D35E48"/>
    <w:rsid w:val="00D36439"/>
    <w:rsid w:val="00D36F02"/>
    <w:rsid w:val="00D37C4E"/>
    <w:rsid w:val="00D40765"/>
    <w:rsid w:val="00D40A5A"/>
    <w:rsid w:val="00D40DF7"/>
    <w:rsid w:val="00D4115E"/>
    <w:rsid w:val="00D41199"/>
    <w:rsid w:val="00D41389"/>
    <w:rsid w:val="00D41811"/>
    <w:rsid w:val="00D4194D"/>
    <w:rsid w:val="00D41AC6"/>
    <w:rsid w:val="00D41BD0"/>
    <w:rsid w:val="00D41D1A"/>
    <w:rsid w:val="00D4220B"/>
    <w:rsid w:val="00D423FA"/>
    <w:rsid w:val="00D425B1"/>
    <w:rsid w:val="00D427E8"/>
    <w:rsid w:val="00D42D9E"/>
    <w:rsid w:val="00D42E99"/>
    <w:rsid w:val="00D42F1E"/>
    <w:rsid w:val="00D43307"/>
    <w:rsid w:val="00D4341F"/>
    <w:rsid w:val="00D438A4"/>
    <w:rsid w:val="00D43959"/>
    <w:rsid w:val="00D43B94"/>
    <w:rsid w:val="00D43DA2"/>
    <w:rsid w:val="00D44B3E"/>
    <w:rsid w:val="00D4580A"/>
    <w:rsid w:val="00D45BC2"/>
    <w:rsid w:val="00D4606D"/>
    <w:rsid w:val="00D46F1D"/>
    <w:rsid w:val="00D47359"/>
    <w:rsid w:val="00D473C2"/>
    <w:rsid w:val="00D47999"/>
    <w:rsid w:val="00D500DE"/>
    <w:rsid w:val="00D50109"/>
    <w:rsid w:val="00D508F6"/>
    <w:rsid w:val="00D50DF8"/>
    <w:rsid w:val="00D525E1"/>
    <w:rsid w:val="00D527DA"/>
    <w:rsid w:val="00D52993"/>
    <w:rsid w:val="00D530FE"/>
    <w:rsid w:val="00D532C1"/>
    <w:rsid w:val="00D54C0A"/>
    <w:rsid w:val="00D56C9C"/>
    <w:rsid w:val="00D610AB"/>
    <w:rsid w:val="00D61165"/>
    <w:rsid w:val="00D611EF"/>
    <w:rsid w:val="00D61202"/>
    <w:rsid w:val="00D614F4"/>
    <w:rsid w:val="00D6171D"/>
    <w:rsid w:val="00D61849"/>
    <w:rsid w:val="00D61DE4"/>
    <w:rsid w:val="00D62EBC"/>
    <w:rsid w:val="00D639F8"/>
    <w:rsid w:val="00D63B63"/>
    <w:rsid w:val="00D64214"/>
    <w:rsid w:val="00D6542D"/>
    <w:rsid w:val="00D655A1"/>
    <w:rsid w:val="00D65FBD"/>
    <w:rsid w:val="00D6657C"/>
    <w:rsid w:val="00D676AF"/>
    <w:rsid w:val="00D67A17"/>
    <w:rsid w:val="00D67B1D"/>
    <w:rsid w:val="00D705E0"/>
    <w:rsid w:val="00D70909"/>
    <w:rsid w:val="00D70A2D"/>
    <w:rsid w:val="00D70D7A"/>
    <w:rsid w:val="00D718D2"/>
    <w:rsid w:val="00D71992"/>
    <w:rsid w:val="00D723FF"/>
    <w:rsid w:val="00D72725"/>
    <w:rsid w:val="00D72C0A"/>
    <w:rsid w:val="00D72CC2"/>
    <w:rsid w:val="00D72E8F"/>
    <w:rsid w:val="00D73060"/>
    <w:rsid w:val="00D739E0"/>
    <w:rsid w:val="00D73F51"/>
    <w:rsid w:val="00D74096"/>
    <w:rsid w:val="00D74726"/>
    <w:rsid w:val="00D74EDA"/>
    <w:rsid w:val="00D750B9"/>
    <w:rsid w:val="00D76799"/>
    <w:rsid w:val="00D76F68"/>
    <w:rsid w:val="00D802E2"/>
    <w:rsid w:val="00D804E7"/>
    <w:rsid w:val="00D80BCE"/>
    <w:rsid w:val="00D80CCA"/>
    <w:rsid w:val="00D8118A"/>
    <w:rsid w:val="00D812BD"/>
    <w:rsid w:val="00D8146E"/>
    <w:rsid w:val="00D81470"/>
    <w:rsid w:val="00D81774"/>
    <w:rsid w:val="00D81A88"/>
    <w:rsid w:val="00D8211A"/>
    <w:rsid w:val="00D827B1"/>
    <w:rsid w:val="00D82D7C"/>
    <w:rsid w:val="00D8398E"/>
    <w:rsid w:val="00D84336"/>
    <w:rsid w:val="00D84340"/>
    <w:rsid w:val="00D84F68"/>
    <w:rsid w:val="00D8741F"/>
    <w:rsid w:val="00D87CB2"/>
    <w:rsid w:val="00D90818"/>
    <w:rsid w:val="00D90EEF"/>
    <w:rsid w:val="00D90FAC"/>
    <w:rsid w:val="00D911D1"/>
    <w:rsid w:val="00D9158E"/>
    <w:rsid w:val="00D916C2"/>
    <w:rsid w:val="00D91992"/>
    <w:rsid w:val="00D91AC6"/>
    <w:rsid w:val="00D91AF1"/>
    <w:rsid w:val="00D91CD3"/>
    <w:rsid w:val="00D929F1"/>
    <w:rsid w:val="00D938BF"/>
    <w:rsid w:val="00D93D18"/>
    <w:rsid w:val="00D94EB1"/>
    <w:rsid w:val="00D959D9"/>
    <w:rsid w:val="00D95B4A"/>
    <w:rsid w:val="00D95B9A"/>
    <w:rsid w:val="00D96CB3"/>
    <w:rsid w:val="00D96FBC"/>
    <w:rsid w:val="00D97455"/>
    <w:rsid w:val="00D974FA"/>
    <w:rsid w:val="00D975AC"/>
    <w:rsid w:val="00D97F68"/>
    <w:rsid w:val="00DA1744"/>
    <w:rsid w:val="00DA1F84"/>
    <w:rsid w:val="00DA2D61"/>
    <w:rsid w:val="00DA3B29"/>
    <w:rsid w:val="00DA40F2"/>
    <w:rsid w:val="00DA4D97"/>
    <w:rsid w:val="00DA51D1"/>
    <w:rsid w:val="00DA6955"/>
    <w:rsid w:val="00DA73B0"/>
    <w:rsid w:val="00DA75B1"/>
    <w:rsid w:val="00DA7650"/>
    <w:rsid w:val="00DB0AFF"/>
    <w:rsid w:val="00DB1449"/>
    <w:rsid w:val="00DB18A6"/>
    <w:rsid w:val="00DB19A2"/>
    <w:rsid w:val="00DB24E0"/>
    <w:rsid w:val="00DB2A0C"/>
    <w:rsid w:val="00DB2F5F"/>
    <w:rsid w:val="00DB313C"/>
    <w:rsid w:val="00DB3652"/>
    <w:rsid w:val="00DB3F69"/>
    <w:rsid w:val="00DB4D75"/>
    <w:rsid w:val="00DB5134"/>
    <w:rsid w:val="00DB5270"/>
    <w:rsid w:val="00DB5996"/>
    <w:rsid w:val="00DB5C44"/>
    <w:rsid w:val="00DB5F84"/>
    <w:rsid w:val="00DB677C"/>
    <w:rsid w:val="00DB6E84"/>
    <w:rsid w:val="00DB71B8"/>
    <w:rsid w:val="00DB743C"/>
    <w:rsid w:val="00DB7A60"/>
    <w:rsid w:val="00DB7D9B"/>
    <w:rsid w:val="00DB7E3B"/>
    <w:rsid w:val="00DB7FE2"/>
    <w:rsid w:val="00DC006A"/>
    <w:rsid w:val="00DC0BA7"/>
    <w:rsid w:val="00DC1BAC"/>
    <w:rsid w:val="00DC1D1A"/>
    <w:rsid w:val="00DC1FBD"/>
    <w:rsid w:val="00DC250F"/>
    <w:rsid w:val="00DC3C41"/>
    <w:rsid w:val="00DC3D3D"/>
    <w:rsid w:val="00DC4232"/>
    <w:rsid w:val="00DC4AB1"/>
    <w:rsid w:val="00DC4C7E"/>
    <w:rsid w:val="00DC4E60"/>
    <w:rsid w:val="00DC5B4B"/>
    <w:rsid w:val="00DC6392"/>
    <w:rsid w:val="00DC6541"/>
    <w:rsid w:val="00DC6609"/>
    <w:rsid w:val="00DC6AFE"/>
    <w:rsid w:val="00DC709C"/>
    <w:rsid w:val="00DD02A9"/>
    <w:rsid w:val="00DD03B9"/>
    <w:rsid w:val="00DD0787"/>
    <w:rsid w:val="00DD0CF9"/>
    <w:rsid w:val="00DD106C"/>
    <w:rsid w:val="00DD1650"/>
    <w:rsid w:val="00DD18C5"/>
    <w:rsid w:val="00DD1AC4"/>
    <w:rsid w:val="00DD1D59"/>
    <w:rsid w:val="00DD32CC"/>
    <w:rsid w:val="00DD3461"/>
    <w:rsid w:val="00DD463A"/>
    <w:rsid w:val="00DD4705"/>
    <w:rsid w:val="00DD47EA"/>
    <w:rsid w:val="00DD4CF8"/>
    <w:rsid w:val="00DD5773"/>
    <w:rsid w:val="00DD65FF"/>
    <w:rsid w:val="00DD663C"/>
    <w:rsid w:val="00DD687E"/>
    <w:rsid w:val="00DD6A2B"/>
    <w:rsid w:val="00DD7154"/>
    <w:rsid w:val="00DD7440"/>
    <w:rsid w:val="00DD7824"/>
    <w:rsid w:val="00DD7974"/>
    <w:rsid w:val="00DD7D41"/>
    <w:rsid w:val="00DE00DB"/>
    <w:rsid w:val="00DE03B1"/>
    <w:rsid w:val="00DE0AE6"/>
    <w:rsid w:val="00DE0BBC"/>
    <w:rsid w:val="00DE0F78"/>
    <w:rsid w:val="00DE13AB"/>
    <w:rsid w:val="00DE1627"/>
    <w:rsid w:val="00DE1901"/>
    <w:rsid w:val="00DE24DF"/>
    <w:rsid w:val="00DE2C85"/>
    <w:rsid w:val="00DE2CB3"/>
    <w:rsid w:val="00DE2F51"/>
    <w:rsid w:val="00DE31FA"/>
    <w:rsid w:val="00DE3467"/>
    <w:rsid w:val="00DE36BA"/>
    <w:rsid w:val="00DE3E78"/>
    <w:rsid w:val="00DE4138"/>
    <w:rsid w:val="00DE4325"/>
    <w:rsid w:val="00DE5AC6"/>
    <w:rsid w:val="00DE73F2"/>
    <w:rsid w:val="00DE7456"/>
    <w:rsid w:val="00DE7CD9"/>
    <w:rsid w:val="00DE7DB9"/>
    <w:rsid w:val="00DF1363"/>
    <w:rsid w:val="00DF1B81"/>
    <w:rsid w:val="00DF2093"/>
    <w:rsid w:val="00DF2670"/>
    <w:rsid w:val="00DF3369"/>
    <w:rsid w:val="00DF36F6"/>
    <w:rsid w:val="00DF3F8B"/>
    <w:rsid w:val="00DF4146"/>
    <w:rsid w:val="00DF4973"/>
    <w:rsid w:val="00DF4EAF"/>
    <w:rsid w:val="00DF4F27"/>
    <w:rsid w:val="00DF54CF"/>
    <w:rsid w:val="00DF565B"/>
    <w:rsid w:val="00DF5D12"/>
    <w:rsid w:val="00DF6452"/>
    <w:rsid w:val="00DF6C3B"/>
    <w:rsid w:val="00DF6D95"/>
    <w:rsid w:val="00DF74AE"/>
    <w:rsid w:val="00DF7C66"/>
    <w:rsid w:val="00DF7E75"/>
    <w:rsid w:val="00E0127A"/>
    <w:rsid w:val="00E0129D"/>
    <w:rsid w:val="00E0136A"/>
    <w:rsid w:val="00E01A94"/>
    <w:rsid w:val="00E01AD4"/>
    <w:rsid w:val="00E01DA8"/>
    <w:rsid w:val="00E0208C"/>
    <w:rsid w:val="00E0271A"/>
    <w:rsid w:val="00E02A22"/>
    <w:rsid w:val="00E0311C"/>
    <w:rsid w:val="00E0359C"/>
    <w:rsid w:val="00E03AC6"/>
    <w:rsid w:val="00E03B01"/>
    <w:rsid w:val="00E03D2C"/>
    <w:rsid w:val="00E0457F"/>
    <w:rsid w:val="00E046AF"/>
    <w:rsid w:val="00E04AA7"/>
    <w:rsid w:val="00E04CE2"/>
    <w:rsid w:val="00E0519F"/>
    <w:rsid w:val="00E056CE"/>
    <w:rsid w:val="00E05D71"/>
    <w:rsid w:val="00E062A8"/>
    <w:rsid w:val="00E068F9"/>
    <w:rsid w:val="00E07239"/>
    <w:rsid w:val="00E077BC"/>
    <w:rsid w:val="00E07E66"/>
    <w:rsid w:val="00E10577"/>
    <w:rsid w:val="00E1057E"/>
    <w:rsid w:val="00E109B4"/>
    <w:rsid w:val="00E10D44"/>
    <w:rsid w:val="00E11B4A"/>
    <w:rsid w:val="00E12206"/>
    <w:rsid w:val="00E12C0D"/>
    <w:rsid w:val="00E13124"/>
    <w:rsid w:val="00E132A5"/>
    <w:rsid w:val="00E136AE"/>
    <w:rsid w:val="00E138D0"/>
    <w:rsid w:val="00E14781"/>
    <w:rsid w:val="00E148AC"/>
    <w:rsid w:val="00E15847"/>
    <w:rsid w:val="00E15F90"/>
    <w:rsid w:val="00E16257"/>
    <w:rsid w:val="00E16A3D"/>
    <w:rsid w:val="00E16F37"/>
    <w:rsid w:val="00E17AD4"/>
    <w:rsid w:val="00E17D4A"/>
    <w:rsid w:val="00E200CA"/>
    <w:rsid w:val="00E202BA"/>
    <w:rsid w:val="00E20D48"/>
    <w:rsid w:val="00E210C6"/>
    <w:rsid w:val="00E217C7"/>
    <w:rsid w:val="00E2355B"/>
    <w:rsid w:val="00E2366A"/>
    <w:rsid w:val="00E23DF0"/>
    <w:rsid w:val="00E2410C"/>
    <w:rsid w:val="00E26C70"/>
    <w:rsid w:val="00E27405"/>
    <w:rsid w:val="00E27BD0"/>
    <w:rsid w:val="00E30112"/>
    <w:rsid w:val="00E3075D"/>
    <w:rsid w:val="00E30D47"/>
    <w:rsid w:val="00E310EE"/>
    <w:rsid w:val="00E316F8"/>
    <w:rsid w:val="00E31A6A"/>
    <w:rsid w:val="00E331EB"/>
    <w:rsid w:val="00E334F2"/>
    <w:rsid w:val="00E338A7"/>
    <w:rsid w:val="00E33A67"/>
    <w:rsid w:val="00E33E36"/>
    <w:rsid w:val="00E346A9"/>
    <w:rsid w:val="00E34A7C"/>
    <w:rsid w:val="00E36C76"/>
    <w:rsid w:val="00E375BA"/>
    <w:rsid w:val="00E406F7"/>
    <w:rsid w:val="00E407A4"/>
    <w:rsid w:val="00E40A64"/>
    <w:rsid w:val="00E411FD"/>
    <w:rsid w:val="00E424F6"/>
    <w:rsid w:val="00E4333C"/>
    <w:rsid w:val="00E43CB4"/>
    <w:rsid w:val="00E44302"/>
    <w:rsid w:val="00E44436"/>
    <w:rsid w:val="00E4463C"/>
    <w:rsid w:val="00E44A0D"/>
    <w:rsid w:val="00E44CC0"/>
    <w:rsid w:val="00E44CD4"/>
    <w:rsid w:val="00E4539E"/>
    <w:rsid w:val="00E45929"/>
    <w:rsid w:val="00E473E5"/>
    <w:rsid w:val="00E501B6"/>
    <w:rsid w:val="00E50C54"/>
    <w:rsid w:val="00E50EF2"/>
    <w:rsid w:val="00E512C4"/>
    <w:rsid w:val="00E52941"/>
    <w:rsid w:val="00E534D4"/>
    <w:rsid w:val="00E5443D"/>
    <w:rsid w:val="00E54D7E"/>
    <w:rsid w:val="00E5578E"/>
    <w:rsid w:val="00E55C0B"/>
    <w:rsid w:val="00E571F5"/>
    <w:rsid w:val="00E57EC4"/>
    <w:rsid w:val="00E60CF9"/>
    <w:rsid w:val="00E6117F"/>
    <w:rsid w:val="00E618C0"/>
    <w:rsid w:val="00E61DFD"/>
    <w:rsid w:val="00E62D2E"/>
    <w:rsid w:val="00E640E8"/>
    <w:rsid w:val="00E6478E"/>
    <w:rsid w:val="00E6484B"/>
    <w:rsid w:val="00E64F28"/>
    <w:rsid w:val="00E65030"/>
    <w:rsid w:val="00E6522C"/>
    <w:rsid w:val="00E65B22"/>
    <w:rsid w:val="00E65BCE"/>
    <w:rsid w:val="00E662F3"/>
    <w:rsid w:val="00E6698B"/>
    <w:rsid w:val="00E66E92"/>
    <w:rsid w:val="00E67CC2"/>
    <w:rsid w:val="00E67D2B"/>
    <w:rsid w:val="00E7011D"/>
    <w:rsid w:val="00E704EE"/>
    <w:rsid w:val="00E7081B"/>
    <w:rsid w:val="00E70AAA"/>
    <w:rsid w:val="00E71018"/>
    <w:rsid w:val="00E71F34"/>
    <w:rsid w:val="00E72016"/>
    <w:rsid w:val="00E72527"/>
    <w:rsid w:val="00E73787"/>
    <w:rsid w:val="00E73ED9"/>
    <w:rsid w:val="00E7413A"/>
    <w:rsid w:val="00E7478F"/>
    <w:rsid w:val="00E74DDF"/>
    <w:rsid w:val="00E7542A"/>
    <w:rsid w:val="00E75D56"/>
    <w:rsid w:val="00E75FEC"/>
    <w:rsid w:val="00E7724C"/>
    <w:rsid w:val="00E803D0"/>
    <w:rsid w:val="00E81078"/>
    <w:rsid w:val="00E8203A"/>
    <w:rsid w:val="00E8231F"/>
    <w:rsid w:val="00E82959"/>
    <w:rsid w:val="00E83257"/>
    <w:rsid w:val="00E83A98"/>
    <w:rsid w:val="00E83E9E"/>
    <w:rsid w:val="00E843FD"/>
    <w:rsid w:val="00E84EBF"/>
    <w:rsid w:val="00E853C2"/>
    <w:rsid w:val="00E85CC6"/>
    <w:rsid w:val="00E85D4E"/>
    <w:rsid w:val="00E863A7"/>
    <w:rsid w:val="00E86403"/>
    <w:rsid w:val="00E86F2F"/>
    <w:rsid w:val="00E8748E"/>
    <w:rsid w:val="00E8788C"/>
    <w:rsid w:val="00E87DE7"/>
    <w:rsid w:val="00E90A5B"/>
    <w:rsid w:val="00E90FB2"/>
    <w:rsid w:val="00E91197"/>
    <w:rsid w:val="00E91405"/>
    <w:rsid w:val="00E9148B"/>
    <w:rsid w:val="00E91C20"/>
    <w:rsid w:val="00E91CB6"/>
    <w:rsid w:val="00E91D00"/>
    <w:rsid w:val="00E924DA"/>
    <w:rsid w:val="00E9256F"/>
    <w:rsid w:val="00E9294A"/>
    <w:rsid w:val="00E93420"/>
    <w:rsid w:val="00E94DB3"/>
    <w:rsid w:val="00E95F82"/>
    <w:rsid w:val="00E962BF"/>
    <w:rsid w:val="00E96B72"/>
    <w:rsid w:val="00E96DCB"/>
    <w:rsid w:val="00E97118"/>
    <w:rsid w:val="00E97653"/>
    <w:rsid w:val="00E97D9C"/>
    <w:rsid w:val="00EA0F5B"/>
    <w:rsid w:val="00EA192B"/>
    <w:rsid w:val="00EA26DE"/>
    <w:rsid w:val="00EA2A6C"/>
    <w:rsid w:val="00EA3688"/>
    <w:rsid w:val="00EA3C35"/>
    <w:rsid w:val="00EA3ECD"/>
    <w:rsid w:val="00EA48B2"/>
    <w:rsid w:val="00EA4DAD"/>
    <w:rsid w:val="00EA5026"/>
    <w:rsid w:val="00EA5277"/>
    <w:rsid w:val="00EA5714"/>
    <w:rsid w:val="00EA5E2D"/>
    <w:rsid w:val="00EA6697"/>
    <w:rsid w:val="00EA6C92"/>
    <w:rsid w:val="00EA777C"/>
    <w:rsid w:val="00EA78B1"/>
    <w:rsid w:val="00EA7A5F"/>
    <w:rsid w:val="00EB0659"/>
    <w:rsid w:val="00EB109F"/>
    <w:rsid w:val="00EB17C4"/>
    <w:rsid w:val="00EB2CB3"/>
    <w:rsid w:val="00EB32F5"/>
    <w:rsid w:val="00EB5C82"/>
    <w:rsid w:val="00EB6025"/>
    <w:rsid w:val="00EB648E"/>
    <w:rsid w:val="00EB681C"/>
    <w:rsid w:val="00EB6928"/>
    <w:rsid w:val="00EB7240"/>
    <w:rsid w:val="00EB7443"/>
    <w:rsid w:val="00EB7DFA"/>
    <w:rsid w:val="00EB7F8F"/>
    <w:rsid w:val="00EC0A70"/>
    <w:rsid w:val="00EC1112"/>
    <w:rsid w:val="00EC191D"/>
    <w:rsid w:val="00EC1BC2"/>
    <w:rsid w:val="00EC1C8F"/>
    <w:rsid w:val="00EC26FD"/>
    <w:rsid w:val="00EC2A2E"/>
    <w:rsid w:val="00EC2DEB"/>
    <w:rsid w:val="00EC2E5F"/>
    <w:rsid w:val="00EC31FC"/>
    <w:rsid w:val="00EC391C"/>
    <w:rsid w:val="00EC3F21"/>
    <w:rsid w:val="00EC61F9"/>
    <w:rsid w:val="00EC661C"/>
    <w:rsid w:val="00EC6752"/>
    <w:rsid w:val="00ED0277"/>
    <w:rsid w:val="00ED138E"/>
    <w:rsid w:val="00ED141D"/>
    <w:rsid w:val="00ED1ABF"/>
    <w:rsid w:val="00ED20B4"/>
    <w:rsid w:val="00ED240F"/>
    <w:rsid w:val="00ED2868"/>
    <w:rsid w:val="00ED29BE"/>
    <w:rsid w:val="00ED3511"/>
    <w:rsid w:val="00ED3736"/>
    <w:rsid w:val="00ED4266"/>
    <w:rsid w:val="00ED4297"/>
    <w:rsid w:val="00ED48A3"/>
    <w:rsid w:val="00ED54DD"/>
    <w:rsid w:val="00ED5CFE"/>
    <w:rsid w:val="00ED5D7C"/>
    <w:rsid w:val="00ED6170"/>
    <w:rsid w:val="00ED6B3B"/>
    <w:rsid w:val="00ED7F1A"/>
    <w:rsid w:val="00EE07EB"/>
    <w:rsid w:val="00EE07F4"/>
    <w:rsid w:val="00EE0CCE"/>
    <w:rsid w:val="00EE29B4"/>
    <w:rsid w:val="00EE3101"/>
    <w:rsid w:val="00EE3ADC"/>
    <w:rsid w:val="00EE3B74"/>
    <w:rsid w:val="00EE5808"/>
    <w:rsid w:val="00EE5B9A"/>
    <w:rsid w:val="00EE5BAE"/>
    <w:rsid w:val="00EE5E68"/>
    <w:rsid w:val="00EE607C"/>
    <w:rsid w:val="00EE6989"/>
    <w:rsid w:val="00EE6ABF"/>
    <w:rsid w:val="00EF01C8"/>
    <w:rsid w:val="00EF06C7"/>
    <w:rsid w:val="00EF07B3"/>
    <w:rsid w:val="00EF089C"/>
    <w:rsid w:val="00EF0AF7"/>
    <w:rsid w:val="00EF1473"/>
    <w:rsid w:val="00EF1DFF"/>
    <w:rsid w:val="00EF2398"/>
    <w:rsid w:val="00EF26EE"/>
    <w:rsid w:val="00EF2E2E"/>
    <w:rsid w:val="00EF3E53"/>
    <w:rsid w:val="00EF4BCB"/>
    <w:rsid w:val="00EF503C"/>
    <w:rsid w:val="00EF6DD3"/>
    <w:rsid w:val="00EF70CA"/>
    <w:rsid w:val="00EF75C3"/>
    <w:rsid w:val="00EF7CC4"/>
    <w:rsid w:val="00EF7D7E"/>
    <w:rsid w:val="00F00303"/>
    <w:rsid w:val="00F00D10"/>
    <w:rsid w:val="00F024AF"/>
    <w:rsid w:val="00F0294E"/>
    <w:rsid w:val="00F0333B"/>
    <w:rsid w:val="00F03A6D"/>
    <w:rsid w:val="00F04160"/>
    <w:rsid w:val="00F062ED"/>
    <w:rsid w:val="00F06BE3"/>
    <w:rsid w:val="00F0754B"/>
    <w:rsid w:val="00F0767E"/>
    <w:rsid w:val="00F07891"/>
    <w:rsid w:val="00F10307"/>
    <w:rsid w:val="00F126E9"/>
    <w:rsid w:val="00F12A15"/>
    <w:rsid w:val="00F13032"/>
    <w:rsid w:val="00F13344"/>
    <w:rsid w:val="00F13E40"/>
    <w:rsid w:val="00F13F07"/>
    <w:rsid w:val="00F14ACE"/>
    <w:rsid w:val="00F15373"/>
    <w:rsid w:val="00F1595B"/>
    <w:rsid w:val="00F15CA5"/>
    <w:rsid w:val="00F16240"/>
    <w:rsid w:val="00F163FA"/>
    <w:rsid w:val="00F164C4"/>
    <w:rsid w:val="00F16931"/>
    <w:rsid w:val="00F16B07"/>
    <w:rsid w:val="00F16E4D"/>
    <w:rsid w:val="00F1755A"/>
    <w:rsid w:val="00F2041E"/>
    <w:rsid w:val="00F2080A"/>
    <w:rsid w:val="00F20E23"/>
    <w:rsid w:val="00F225B1"/>
    <w:rsid w:val="00F23025"/>
    <w:rsid w:val="00F23230"/>
    <w:rsid w:val="00F237CB"/>
    <w:rsid w:val="00F23BB2"/>
    <w:rsid w:val="00F24A2D"/>
    <w:rsid w:val="00F24B19"/>
    <w:rsid w:val="00F24C86"/>
    <w:rsid w:val="00F25EE4"/>
    <w:rsid w:val="00F26064"/>
    <w:rsid w:val="00F261A6"/>
    <w:rsid w:val="00F26478"/>
    <w:rsid w:val="00F26878"/>
    <w:rsid w:val="00F26916"/>
    <w:rsid w:val="00F273B2"/>
    <w:rsid w:val="00F274CD"/>
    <w:rsid w:val="00F27B13"/>
    <w:rsid w:val="00F309A2"/>
    <w:rsid w:val="00F309A7"/>
    <w:rsid w:val="00F309AD"/>
    <w:rsid w:val="00F30DA9"/>
    <w:rsid w:val="00F31107"/>
    <w:rsid w:val="00F318D0"/>
    <w:rsid w:val="00F31D59"/>
    <w:rsid w:val="00F32B86"/>
    <w:rsid w:val="00F33E4D"/>
    <w:rsid w:val="00F34089"/>
    <w:rsid w:val="00F345EC"/>
    <w:rsid w:val="00F347DC"/>
    <w:rsid w:val="00F34B7F"/>
    <w:rsid w:val="00F354EC"/>
    <w:rsid w:val="00F35B0A"/>
    <w:rsid w:val="00F35EA6"/>
    <w:rsid w:val="00F365E7"/>
    <w:rsid w:val="00F406FC"/>
    <w:rsid w:val="00F410E1"/>
    <w:rsid w:val="00F413FA"/>
    <w:rsid w:val="00F416D0"/>
    <w:rsid w:val="00F4170C"/>
    <w:rsid w:val="00F422CC"/>
    <w:rsid w:val="00F436F8"/>
    <w:rsid w:val="00F4379D"/>
    <w:rsid w:val="00F43873"/>
    <w:rsid w:val="00F43DB9"/>
    <w:rsid w:val="00F43FCF"/>
    <w:rsid w:val="00F44677"/>
    <w:rsid w:val="00F44940"/>
    <w:rsid w:val="00F45092"/>
    <w:rsid w:val="00F451CC"/>
    <w:rsid w:val="00F45492"/>
    <w:rsid w:val="00F456DA"/>
    <w:rsid w:val="00F460A2"/>
    <w:rsid w:val="00F4667B"/>
    <w:rsid w:val="00F4668F"/>
    <w:rsid w:val="00F46B08"/>
    <w:rsid w:val="00F46CFA"/>
    <w:rsid w:val="00F474D6"/>
    <w:rsid w:val="00F47DB9"/>
    <w:rsid w:val="00F507F0"/>
    <w:rsid w:val="00F50EFC"/>
    <w:rsid w:val="00F51027"/>
    <w:rsid w:val="00F513E0"/>
    <w:rsid w:val="00F51CFB"/>
    <w:rsid w:val="00F51DC4"/>
    <w:rsid w:val="00F5240B"/>
    <w:rsid w:val="00F528A2"/>
    <w:rsid w:val="00F52C1B"/>
    <w:rsid w:val="00F52F29"/>
    <w:rsid w:val="00F53BA7"/>
    <w:rsid w:val="00F53F39"/>
    <w:rsid w:val="00F55893"/>
    <w:rsid w:val="00F55A10"/>
    <w:rsid w:val="00F55EB2"/>
    <w:rsid w:val="00F565BA"/>
    <w:rsid w:val="00F568D3"/>
    <w:rsid w:val="00F56C62"/>
    <w:rsid w:val="00F57E8E"/>
    <w:rsid w:val="00F60B29"/>
    <w:rsid w:val="00F60F71"/>
    <w:rsid w:val="00F61411"/>
    <w:rsid w:val="00F61571"/>
    <w:rsid w:val="00F6219F"/>
    <w:rsid w:val="00F62286"/>
    <w:rsid w:val="00F62725"/>
    <w:rsid w:val="00F6282C"/>
    <w:rsid w:val="00F628C8"/>
    <w:rsid w:val="00F62A73"/>
    <w:rsid w:val="00F62C69"/>
    <w:rsid w:val="00F631BB"/>
    <w:rsid w:val="00F63AAA"/>
    <w:rsid w:val="00F63C34"/>
    <w:rsid w:val="00F6422F"/>
    <w:rsid w:val="00F64602"/>
    <w:rsid w:val="00F64AC4"/>
    <w:rsid w:val="00F64B72"/>
    <w:rsid w:val="00F64D00"/>
    <w:rsid w:val="00F656F9"/>
    <w:rsid w:val="00F661CF"/>
    <w:rsid w:val="00F66613"/>
    <w:rsid w:val="00F66757"/>
    <w:rsid w:val="00F66AB9"/>
    <w:rsid w:val="00F66BC1"/>
    <w:rsid w:val="00F6710A"/>
    <w:rsid w:val="00F6729A"/>
    <w:rsid w:val="00F67928"/>
    <w:rsid w:val="00F707ED"/>
    <w:rsid w:val="00F71FE4"/>
    <w:rsid w:val="00F72301"/>
    <w:rsid w:val="00F72780"/>
    <w:rsid w:val="00F72B0F"/>
    <w:rsid w:val="00F750B2"/>
    <w:rsid w:val="00F7513B"/>
    <w:rsid w:val="00F756EF"/>
    <w:rsid w:val="00F75DA8"/>
    <w:rsid w:val="00F7624C"/>
    <w:rsid w:val="00F76291"/>
    <w:rsid w:val="00F767A1"/>
    <w:rsid w:val="00F76A8D"/>
    <w:rsid w:val="00F76BD7"/>
    <w:rsid w:val="00F76D5E"/>
    <w:rsid w:val="00F77906"/>
    <w:rsid w:val="00F77B93"/>
    <w:rsid w:val="00F77FEE"/>
    <w:rsid w:val="00F80B20"/>
    <w:rsid w:val="00F8139F"/>
    <w:rsid w:val="00F81D2C"/>
    <w:rsid w:val="00F81EE5"/>
    <w:rsid w:val="00F82C79"/>
    <w:rsid w:val="00F82FEE"/>
    <w:rsid w:val="00F83AA8"/>
    <w:rsid w:val="00F843B7"/>
    <w:rsid w:val="00F850FE"/>
    <w:rsid w:val="00F851BD"/>
    <w:rsid w:val="00F8647A"/>
    <w:rsid w:val="00F86ED9"/>
    <w:rsid w:val="00F87035"/>
    <w:rsid w:val="00F8749E"/>
    <w:rsid w:val="00F875CD"/>
    <w:rsid w:val="00F87C34"/>
    <w:rsid w:val="00F87D0E"/>
    <w:rsid w:val="00F900AD"/>
    <w:rsid w:val="00F901CB"/>
    <w:rsid w:val="00F903F7"/>
    <w:rsid w:val="00F905F0"/>
    <w:rsid w:val="00F928F6"/>
    <w:rsid w:val="00F93152"/>
    <w:rsid w:val="00F9384F"/>
    <w:rsid w:val="00F942BA"/>
    <w:rsid w:val="00F9434B"/>
    <w:rsid w:val="00F9477C"/>
    <w:rsid w:val="00F94A82"/>
    <w:rsid w:val="00F94AEF"/>
    <w:rsid w:val="00F9593F"/>
    <w:rsid w:val="00F96338"/>
    <w:rsid w:val="00F968BA"/>
    <w:rsid w:val="00F96A18"/>
    <w:rsid w:val="00F9716C"/>
    <w:rsid w:val="00FA0236"/>
    <w:rsid w:val="00FA04EC"/>
    <w:rsid w:val="00FA0529"/>
    <w:rsid w:val="00FA069A"/>
    <w:rsid w:val="00FA1345"/>
    <w:rsid w:val="00FA140B"/>
    <w:rsid w:val="00FA18CA"/>
    <w:rsid w:val="00FA2628"/>
    <w:rsid w:val="00FA2D69"/>
    <w:rsid w:val="00FA356C"/>
    <w:rsid w:val="00FA3A05"/>
    <w:rsid w:val="00FA3A9A"/>
    <w:rsid w:val="00FA3CE6"/>
    <w:rsid w:val="00FA4CFB"/>
    <w:rsid w:val="00FA5048"/>
    <w:rsid w:val="00FA561D"/>
    <w:rsid w:val="00FA5EC8"/>
    <w:rsid w:val="00FA5EFC"/>
    <w:rsid w:val="00FA6F46"/>
    <w:rsid w:val="00FB15D6"/>
    <w:rsid w:val="00FB1E29"/>
    <w:rsid w:val="00FB1E93"/>
    <w:rsid w:val="00FB1EB7"/>
    <w:rsid w:val="00FB3018"/>
    <w:rsid w:val="00FB3069"/>
    <w:rsid w:val="00FB31DD"/>
    <w:rsid w:val="00FB32B8"/>
    <w:rsid w:val="00FB3526"/>
    <w:rsid w:val="00FB3D72"/>
    <w:rsid w:val="00FB407F"/>
    <w:rsid w:val="00FB4CCA"/>
    <w:rsid w:val="00FB54A8"/>
    <w:rsid w:val="00FB6A38"/>
    <w:rsid w:val="00FB7302"/>
    <w:rsid w:val="00FB7649"/>
    <w:rsid w:val="00FB7C20"/>
    <w:rsid w:val="00FB7D53"/>
    <w:rsid w:val="00FB7F23"/>
    <w:rsid w:val="00FC0231"/>
    <w:rsid w:val="00FC073C"/>
    <w:rsid w:val="00FC09B8"/>
    <w:rsid w:val="00FC0FD0"/>
    <w:rsid w:val="00FC100A"/>
    <w:rsid w:val="00FC14B8"/>
    <w:rsid w:val="00FC156C"/>
    <w:rsid w:val="00FC1691"/>
    <w:rsid w:val="00FC187E"/>
    <w:rsid w:val="00FC295D"/>
    <w:rsid w:val="00FC375C"/>
    <w:rsid w:val="00FC3967"/>
    <w:rsid w:val="00FC39A6"/>
    <w:rsid w:val="00FC3FCA"/>
    <w:rsid w:val="00FC418B"/>
    <w:rsid w:val="00FC4306"/>
    <w:rsid w:val="00FC4517"/>
    <w:rsid w:val="00FC46A0"/>
    <w:rsid w:val="00FC4848"/>
    <w:rsid w:val="00FC48B5"/>
    <w:rsid w:val="00FC50CC"/>
    <w:rsid w:val="00FC6A43"/>
    <w:rsid w:val="00FC7479"/>
    <w:rsid w:val="00FC7725"/>
    <w:rsid w:val="00FC7BA4"/>
    <w:rsid w:val="00FD0BBC"/>
    <w:rsid w:val="00FD0F9B"/>
    <w:rsid w:val="00FD16F0"/>
    <w:rsid w:val="00FD2A2A"/>
    <w:rsid w:val="00FD3F0F"/>
    <w:rsid w:val="00FD4726"/>
    <w:rsid w:val="00FD5FBE"/>
    <w:rsid w:val="00FD6531"/>
    <w:rsid w:val="00FD6A84"/>
    <w:rsid w:val="00FD6C12"/>
    <w:rsid w:val="00FD6C45"/>
    <w:rsid w:val="00FD6C86"/>
    <w:rsid w:val="00FD7017"/>
    <w:rsid w:val="00FD74AE"/>
    <w:rsid w:val="00FD7A46"/>
    <w:rsid w:val="00FE093B"/>
    <w:rsid w:val="00FE0D7F"/>
    <w:rsid w:val="00FE191F"/>
    <w:rsid w:val="00FE1AFD"/>
    <w:rsid w:val="00FE1F92"/>
    <w:rsid w:val="00FE2785"/>
    <w:rsid w:val="00FE2BD2"/>
    <w:rsid w:val="00FE3367"/>
    <w:rsid w:val="00FE3564"/>
    <w:rsid w:val="00FE35C8"/>
    <w:rsid w:val="00FE4CC5"/>
    <w:rsid w:val="00FE537F"/>
    <w:rsid w:val="00FE5560"/>
    <w:rsid w:val="00FE5873"/>
    <w:rsid w:val="00FE5DA9"/>
    <w:rsid w:val="00FE735A"/>
    <w:rsid w:val="00FE7E03"/>
    <w:rsid w:val="00FF003B"/>
    <w:rsid w:val="00FF0160"/>
    <w:rsid w:val="00FF1468"/>
    <w:rsid w:val="00FF1C6E"/>
    <w:rsid w:val="00FF1CB8"/>
    <w:rsid w:val="00FF1D36"/>
    <w:rsid w:val="00FF288D"/>
    <w:rsid w:val="00FF2A22"/>
    <w:rsid w:val="00FF328B"/>
    <w:rsid w:val="00FF502E"/>
    <w:rsid w:val="00FF608E"/>
    <w:rsid w:val="00FF681D"/>
    <w:rsid w:val="00FF6D96"/>
    <w:rsid w:val="00FF7346"/>
    <w:rsid w:val="00FF7F2B"/>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B7067A"/>
  <w15:docId w15:val="{E960BDB8-DD56-4D46-A680-CFD776850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4E0"/>
    <w:pPr>
      <w:ind w:left="567" w:hanging="567"/>
    </w:pPr>
    <w:rPr>
      <w:sz w:val="22"/>
      <w:lang w:eastAsia="en-US"/>
    </w:rPr>
  </w:style>
  <w:style w:type="paragraph" w:styleId="Heading1">
    <w:name w:val="heading 1"/>
    <w:aliases w:val="D70AR,Info rubrik 1,titel 1"/>
    <w:basedOn w:val="Normal"/>
    <w:next w:val="Normal"/>
    <w:link w:val="Heading1Char"/>
    <w:qFormat/>
    <w:pPr>
      <w:spacing w:before="240" w:after="120"/>
      <w:ind w:left="357" w:hanging="357"/>
      <w:outlineLvl w:val="0"/>
    </w:pPr>
    <w:rPr>
      <w:b/>
      <w:caps/>
      <w:sz w:val="26"/>
      <w:lang w:val="en-US"/>
    </w:rPr>
  </w:style>
  <w:style w:type="paragraph" w:styleId="Heading2">
    <w:name w:val="heading 2"/>
    <w:basedOn w:val="Normal"/>
    <w:next w:val="Normal"/>
    <w:link w:val="Heading2Char"/>
    <w:qFormat/>
    <w:pPr>
      <w:keepNext/>
      <w:spacing w:before="240" w:after="60"/>
      <w:outlineLvl w:val="1"/>
    </w:pPr>
    <w:rPr>
      <w:rFonts w:ascii="Helvetica" w:hAnsi="Helvetica"/>
      <w:b/>
      <w:i/>
      <w:sz w:val="24"/>
      <w:lang w:val="x-none"/>
    </w:rPr>
  </w:style>
  <w:style w:type="paragraph" w:styleId="Heading3">
    <w:name w:val="heading 3"/>
    <w:basedOn w:val="Normal"/>
    <w:next w:val="Normal"/>
    <w:link w:val="Heading3Char"/>
    <w:qFormat/>
    <w:pPr>
      <w:keepNext/>
      <w:keepLines/>
      <w:spacing w:before="120" w:after="80"/>
      <w:outlineLvl w:val="2"/>
    </w:pPr>
    <w:rPr>
      <w:b/>
      <w:kern w:val="28"/>
      <w:sz w:val="24"/>
      <w:lang w:val="en-US"/>
    </w:rPr>
  </w:style>
  <w:style w:type="paragraph" w:styleId="Heading4">
    <w:name w:val="heading 4"/>
    <w:basedOn w:val="Normal"/>
    <w:next w:val="Normal"/>
    <w:link w:val="Heading4Char"/>
    <w:qFormat/>
    <w:pPr>
      <w:keepNext/>
      <w:jc w:val="both"/>
      <w:outlineLvl w:val="3"/>
    </w:pPr>
    <w:rPr>
      <w:b/>
      <w:noProof/>
      <w:lang w:val="x-none"/>
    </w:rPr>
  </w:style>
  <w:style w:type="paragraph" w:styleId="Heading5">
    <w:name w:val="heading 5"/>
    <w:basedOn w:val="Normal"/>
    <w:next w:val="Normal"/>
    <w:link w:val="Heading5Char"/>
    <w:qFormat/>
    <w:pPr>
      <w:keepNext/>
      <w:jc w:val="both"/>
      <w:outlineLvl w:val="4"/>
    </w:pPr>
    <w:rPr>
      <w:noProof/>
      <w:lang w:val="x-none"/>
    </w:rPr>
  </w:style>
  <w:style w:type="paragraph" w:styleId="Heading6">
    <w:name w:val="heading 6"/>
    <w:basedOn w:val="Normal"/>
    <w:next w:val="Normal"/>
    <w:link w:val="Heading6Char"/>
    <w:qFormat/>
    <w:pPr>
      <w:keepNext/>
      <w:tabs>
        <w:tab w:val="left" w:pos="-720"/>
        <w:tab w:val="left" w:pos="4536"/>
      </w:tabs>
      <w:suppressAutoHyphens/>
      <w:outlineLvl w:val="5"/>
    </w:pPr>
    <w:rPr>
      <w:i/>
      <w:lang w:val="x-none"/>
    </w:rPr>
  </w:style>
  <w:style w:type="paragraph" w:styleId="Heading7">
    <w:name w:val="heading 7"/>
    <w:basedOn w:val="Normal"/>
    <w:next w:val="Normal"/>
    <w:link w:val="Heading7Char"/>
    <w:qFormat/>
    <w:pPr>
      <w:keepNext/>
      <w:tabs>
        <w:tab w:val="left" w:pos="-720"/>
        <w:tab w:val="left" w:pos="4536"/>
      </w:tabs>
      <w:suppressAutoHyphens/>
      <w:jc w:val="both"/>
      <w:outlineLvl w:val="6"/>
    </w:pPr>
    <w:rPr>
      <w:i/>
      <w:lang w:val="x-none"/>
    </w:rPr>
  </w:style>
  <w:style w:type="paragraph" w:styleId="Heading8">
    <w:name w:val="heading 8"/>
    <w:basedOn w:val="Normal"/>
    <w:next w:val="Normal"/>
    <w:link w:val="Heading8Char"/>
    <w:qFormat/>
    <w:pPr>
      <w:keepNext/>
      <w:jc w:val="both"/>
      <w:outlineLvl w:val="7"/>
    </w:pPr>
    <w:rPr>
      <w:b/>
      <w:i/>
      <w:lang w:val="x-none"/>
    </w:rPr>
  </w:style>
  <w:style w:type="paragraph" w:styleId="Heading9">
    <w:name w:val="heading 9"/>
    <w:basedOn w:val="Normal"/>
    <w:next w:val="Normal"/>
    <w:link w:val="Heading9Char"/>
    <w:qFormat/>
    <w:pPr>
      <w:keepNext/>
      <w:jc w:val="both"/>
      <w:outlineLvl w:val="8"/>
    </w:pPr>
    <w:rPr>
      <w:b/>
      <w:i/>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
    <w:link w:val="Heading1"/>
    <w:locked/>
    <w:rsid w:val="00E7724C"/>
    <w:rPr>
      <w:b/>
      <w:caps/>
      <w:sz w:val="26"/>
      <w:lang w:val="en-US" w:eastAsia="en-US"/>
    </w:rPr>
  </w:style>
  <w:style w:type="character" w:customStyle="1" w:styleId="Heading2Char">
    <w:name w:val="Heading 2 Char"/>
    <w:link w:val="Heading2"/>
    <w:locked/>
    <w:rsid w:val="00E7724C"/>
    <w:rPr>
      <w:rFonts w:ascii="Helvetica" w:hAnsi="Helvetica"/>
      <w:b/>
      <w:i/>
      <w:sz w:val="24"/>
      <w:lang w:eastAsia="en-US"/>
    </w:rPr>
  </w:style>
  <w:style w:type="character" w:customStyle="1" w:styleId="Heading3Char">
    <w:name w:val="Heading 3 Char"/>
    <w:link w:val="Heading3"/>
    <w:locked/>
    <w:rsid w:val="00E7724C"/>
    <w:rPr>
      <w:b/>
      <w:kern w:val="28"/>
      <w:sz w:val="24"/>
      <w:lang w:val="en-US" w:eastAsia="en-US"/>
    </w:rPr>
  </w:style>
  <w:style w:type="character" w:customStyle="1" w:styleId="Heading4Char">
    <w:name w:val="Heading 4 Char"/>
    <w:link w:val="Heading4"/>
    <w:locked/>
    <w:rsid w:val="00E7724C"/>
    <w:rPr>
      <w:b/>
      <w:noProof/>
      <w:sz w:val="22"/>
      <w:lang w:eastAsia="en-US"/>
    </w:rPr>
  </w:style>
  <w:style w:type="character" w:customStyle="1" w:styleId="Heading5Char">
    <w:name w:val="Heading 5 Char"/>
    <w:link w:val="Heading5"/>
    <w:locked/>
    <w:rsid w:val="00E7724C"/>
    <w:rPr>
      <w:noProof/>
      <w:sz w:val="22"/>
      <w:lang w:eastAsia="en-US"/>
    </w:rPr>
  </w:style>
  <w:style w:type="character" w:customStyle="1" w:styleId="Heading6Char">
    <w:name w:val="Heading 6 Char"/>
    <w:link w:val="Heading6"/>
    <w:locked/>
    <w:rsid w:val="00E7724C"/>
    <w:rPr>
      <w:i/>
      <w:sz w:val="22"/>
      <w:lang w:eastAsia="en-US"/>
    </w:rPr>
  </w:style>
  <w:style w:type="character" w:customStyle="1" w:styleId="Heading7Char">
    <w:name w:val="Heading 7 Char"/>
    <w:link w:val="Heading7"/>
    <w:locked/>
    <w:rsid w:val="00E7724C"/>
    <w:rPr>
      <w:i/>
      <w:sz w:val="22"/>
      <w:lang w:eastAsia="en-US"/>
    </w:rPr>
  </w:style>
  <w:style w:type="character" w:customStyle="1" w:styleId="Heading8Char">
    <w:name w:val="Heading 8 Char"/>
    <w:link w:val="Heading8"/>
    <w:locked/>
    <w:rsid w:val="00E7724C"/>
    <w:rPr>
      <w:b/>
      <w:i/>
      <w:sz w:val="22"/>
      <w:lang w:eastAsia="en-US"/>
    </w:rPr>
  </w:style>
  <w:style w:type="character" w:customStyle="1" w:styleId="Heading9Char">
    <w:name w:val="Heading 9 Char"/>
    <w:link w:val="Heading9"/>
    <w:locked/>
    <w:rsid w:val="00E7724C"/>
    <w:rPr>
      <w:b/>
      <w:i/>
      <w:sz w:val="22"/>
      <w:lang w:eastAsia="en-US"/>
    </w:rPr>
  </w:style>
  <w:style w:type="paragraph" w:styleId="Header">
    <w:name w:val="header"/>
    <w:basedOn w:val="Normal"/>
    <w:link w:val="HeaderChar"/>
    <w:pPr>
      <w:tabs>
        <w:tab w:val="center" w:pos="4153"/>
        <w:tab w:val="right" w:pos="8306"/>
      </w:tabs>
    </w:pPr>
    <w:rPr>
      <w:rFonts w:ascii="Helvetica" w:hAnsi="Helvetica"/>
      <w:sz w:val="20"/>
      <w:lang w:val="x-none"/>
    </w:rPr>
  </w:style>
  <w:style w:type="character" w:customStyle="1" w:styleId="HeaderChar">
    <w:name w:val="Header Char"/>
    <w:link w:val="Header"/>
    <w:locked/>
    <w:rsid w:val="00E7724C"/>
    <w:rPr>
      <w:rFonts w:ascii="Helvetica" w:hAnsi="Helvetica"/>
      <w:lang w:eastAsia="en-US"/>
    </w:rPr>
  </w:style>
  <w:style w:type="paragraph" w:styleId="Footer">
    <w:name w:val="footer"/>
    <w:basedOn w:val="Normal"/>
    <w:link w:val="FooterChar"/>
    <w:pPr>
      <w:tabs>
        <w:tab w:val="center" w:pos="4536"/>
        <w:tab w:val="center" w:pos="8930"/>
      </w:tabs>
    </w:pPr>
    <w:rPr>
      <w:rFonts w:ascii="Helvetica" w:hAnsi="Helvetica"/>
      <w:sz w:val="16"/>
    </w:rPr>
  </w:style>
  <w:style w:type="character" w:customStyle="1" w:styleId="FooterChar">
    <w:name w:val="Footer Char"/>
    <w:link w:val="Footer"/>
    <w:locked/>
    <w:rsid w:val="000E3758"/>
    <w:rPr>
      <w:rFonts w:ascii="Helvetica" w:hAnsi="Helvetica"/>
      <w:sz w:val="16"/>
      <w:lang w:val="cs-CZ" w:eastAsia="en-US" w:bidi="ar-SA"/>
    </w:rPr>
  </w:style>
  <w:style w:type="character" w:styleId="PageNumber">
    <w:name w:val="page number"/>
    <w:basedOn w:val="DefaultParagraphFont"/>
  </w:style>
  <w:style w:type="paragraph" w:styleId="EndnoteText">
    <w:name w:val="endnote text"/>
    <w:basedOn w:val="Normal"/>
    <w:next w:val="Normal"/>
    <w:link w:val="EndnoteTextChar"/>
    <w:semiHidden/>
    <w:rPr>
      <w:lang w:val="x-none"/>
    </w:rPr>
  </w:style>
  <w:style w:type="character" w:customStyle="1" w:styleId="EndnoteTextChar">
    <w:name w:val="Endnote Text Char"/>
    <w:link w:val="EndnoteText"/>
    <w:semiHidden/>
    <w:rsid w:val="00401F33"/>
    <w:rPr>
      <w:sz w:val="22"/>
      <w:lang w:eastAsia="en-US"/>
    </w:rPr>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aliases w:val="Comment Text Char Char Char,Comment Text Char1,Comment Text Char1 Char"/>
    <w:basedOn w:val="Normal"/>
    <w:link w:val="CommentTextChar"/>
    <w:rPr>
      <w:sz w:val="20"/>
      <w:lang w:val="x-none"/>
    </w:rPr>
  </w:style>
  <w:style w:type="character" w:customStyle="1" w:styleId="CommentTextChar">
    <w:name w:val="Comment Text Char"/>
    <w:aliases w:val="Comment Text Char Char Char Char,Comment Text Char1 Char1,Comment Text Char1 Char Char"/>
    <w:link w:val="CommentText"/>
    <w:locked/>
    <w:rsid w:val="00E7724C"/>
    <w:rPr>
      <w:lang w:eastAsia="en-US"/>
    </w:rPr>
  </w:style>
  <w:style w:type="paragraph" w:styleId="BodyText2">
    <w:name w:val="Body Text 2"/>
    <w:basedOn w:val="Normal"/>
    <w:link w:val="BodyText2Char"/>
    <w:rPr>
      <w:b/>
      <w:lang w:val="x-none"/>
    </w:rPr>
  </w:style>
  <w:style w:type="paragraph" w:styleId="BodyText">
    <w:name w:val="Body Text"/>
    <w:basedOn w:val="Normal"/>
    <w:link w:val="BodyTextChar"/>
    <w:rPr>
      <w:b/>
      <w:i/>
      <w:lang w:val="x-none"/>
    </w:rPr>
  </w:style>
  <w:style w:type="character" w:customStyle="1" w:styleId="BodyTextChar">
    <w:name w:val="Body Text Char"/>
    <w:link w:val="BodyText"/>
    <w:locked/>
    <w:rsid w:val="00E7724C"/>
    <w:rPr>
      <w:b/>
      <w:i/>
      <w:sz w:val="22"/>
      <w:lang w:eastAsia="en-US"/>
    </w:rPr>
  </w:style>
  <w:style w:type="paragraph" w:styleId="BodyText3">
    <w:name w:val="Body Text 3"/>
    <w:basedOn w:val="Normal"/>
    <w:link w:val="BodyText3Char"/>
    <w:pPr>
      <w:jc w:val="both"/>
    </w:pPr>
    <w:rPr>
      <w:b/>
      <w:i/>
      <w:lang w:val="x-none"/>
    </w:rPr>
  </w:style>
  <w:style w:type="character" w:customStyle="1" w:styleId="BodyText3Char">
    <w:name w:val="Body Text 3 Char"/>
    <w:link w:val="BodyText3"/>
    <w:locked/>
    <w:rsid w:val="00E7724C"/>
    <w:rPr>
      <w:b/>
      <w:i/>
      <w:sz w:val="22"/>
      <w:lang w:eastAsia="en-US"/>
    </w:rPr>
  </w:style>
  <w:style w:type="paragraph" w:styleId="BodyTextIndent2">
    <w:name w:val="Body Text Indent 2"/>
    <w:basedOn w:val="Normal"/>
    <w:link w:val="BodyTextIndent2Char"/>
    <w:pPr>
      <w:jc w:val="both"/>
    </w:pPr>
    <w:rPr>
      <w:b/>
      <w:lang w:val="x-none"/>
    </w:rPr>
  </w:style>
  <w:style w:type="character" w:customStyle="1" w:styleId="BodyTextIndent2Char">
    <w:name w:val="Body Text Indent 2 Char"/>
    <w:link w:val="BodyTextIndent2"/>
    <w:locked/>
    <w:rsid w:val="00E7724C"/>
    <w:rPr>
      <w:b/>
      <w:sz w:val="22"/>
      <w:lang w:eastAsia="en-US"/>
    </w:rPr>
  </w:style>
  <w:style w:type="paragraph" w:styleId="FootnoteText">
    <w:name w:val="footnote text"/>
    <w:basedOn w:val="Normal"/>
    <w:link w:val="FootnoteTextChar"/>
    <w:semiHidden/>
    <w:rPr>
      <w:sz w:val="20"/>
      <w:lang w:val="x-none"/>
    </w:rPr>
  </w:style>
  <w:style w:type="character" w:customStyle="1" w:styleId="FootnoteTextChar">
    <w:name w:val="Footnote Text Char"/>
    <w:link w:val="FootnoteText"/>
    <w:semiHidden/>
    <w:locked/>
    <w:rsid w:val="00294685"/>
    <w:rPr>
      <w:lang w:eastAsia="en-US"/>
    </w:rPr>
  </w:style>
  <w:style w:type="character" w:styleId="FootnoteReference">
    <w:name w:val="footnote reference"/>
    <w:semiHidden/>
    <w:rPr>
      <w:vertAlign w:val="superscript"/>
    </w:rPr>
  </w:style>
  <w:style w:type="paragraph" w:styleId="BodyTextIndent3">
    <w:name w:val="Body Text Indent 3"/>
    <w:basedOn w:val="Normal"/>
    <w:link w:val="BodyTextIndent3Char"/>
    <w:rPr>
      <w:i/>
      <w:color w:val="008000"/>
      <w:lang w:val="x-none"/>
    </w:rPr>
  </w:style>
  <w:style w:type="character" w:customStyle="1" w:styleId="BodyTextIndent3Char">
    <w:name w:val="Body Text Indent 3 Char"/>
    <w:link w:val="BodyTextIndent3"/>
    <w:locked/>
    <w:rsid w:val="00E7724C"/>
    <w:rPr>
      <w:i/>
      <w:color w:val="008000"/>
      <w:sz w:val="22"/>
      <w:lang w:eastAsia="en-US"/>
    </w:rPr>
  </w:style>
  <w:style w:type="character" w:customStyle="1" w:styleId="BodyText2Char">
    <w:name w:val="Body Text 2 Char"/>
    <w:link w:val="BodyText2"/>
    <w:locked/>
    <w:rsid w:val="00E7724C"/>
    <w:rPr>
      <w:b/>
      <w:sz w:val="22"/>
      <w:lang w:eastAsia="en-US"/>
    </w:rPr>
  </w:style>
  <w:style w:type="paragraph" w:styleId="BlockText">
    <w:name w:val="Block Text"/>
    <w:basedOn w:val="Normal"/>
    <w:pPr>
      <w:tabs>
        <w:tab w:val="left" w:pos="2657"/>
      </w:tabs>
      <w:spacing w:before="120"/>
      <w:ind w:left="-37" w:right="-28"/>
    </w:pPr>
  </w:style>
  <w:style w:type="paragraph" w:styleId="BodyTextIndent">
    <w:name w:val="Body Text Indent"/>
    <w:basedOn w:val="Normal"/>
    <w:link w:val="BodyTextIndentChar"/>
    <w:rPr>
      <w:b/>
      <w:color w:val="808080"/>
      <w:lang w:val="x-none"/>
    </w:rPr>
  </w:style>
  <w:style w:type="character" w:customStyle="1" w:styleId="BodyTextIndentChar">
    <w:name w:val="Body Text Indent Char"/>
    <w:link w:val="BodyTextIndent"/>
    <w:locked/>
    <w:rsid w:val="00E7724C"/>
    <w:rPr>
      <w:b/>
      <w:color w:val="808080"/>
      <w:sz w:val="22"/>
      <w:lang w:eastAsia="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link w:val="DocumentMapChar"/>
    <w:semiHidden/>
    <w:pPr>
      <w:shd w:val="clear" w:color="auto" w:fill="000080"/>
    </w:pPr>
    <w:rPr>
      <w:rFonts w:ascii="Tahoma" w:hAnsi="Tahoma"/>
      <w:lang w:val="x-none"/>
    </w:rPr>
  </w:style>
  <w:style w:type="character" w:customStyle="1" w:styleId="DocumentMapChar">
    <w:name w:val="Document Map Char"/>
    <w:link w:val="DocumentMap"/>
    <w:semiHidden/>
    <w:locked/>
    <w:rsid w:val="00E7724C"/>
    <w:rPr>
      <w:rFonts w:ascii="Tahoma" w:hAnsi="Tahoma"/>
      <w:sz w:val="22"/>
      <w:shd w:val="clear" w:color="auto" w:fill="000080"/>
      <w:lang w:eastAsia="en-US"/>
    </w:rPr>
  </w:style>
  <w:style w:type="paragraph" w:customStyle="1" w:styleId="Zkladntext1">
    <w:name w:val="Základní text1"/>
    <w:pPr>
      <w:tabs>
        <w:tab w:val="left" w:pos="1152"/>
        <w:tab w:val="left" w:pos="1872"/>
      </w:tabs>
      <w:overflowPunct w:val="0"/>
      <w:autoSpaceDE w:val="0"/>
      <w:autoSpaceDN w:val="0"/>
      <w:adjustRightInd w:val="0"/>
      <w:spacing w:after="240" w:line="288" w:lineRule="auto"/>
      <w:ind w:left="1151"/>
      <w:jc w:val="both"/>
      <w:textAlignment w:val="baseline"/>
    </w:pPr>
    <w:rPr>
      <w:sz w:val="24"/>
      <w:lang w:val="en-US" w:eastAsia="en-US"/>
    </w:rPr>
  </w:style>
  <w:style w:type="paragraph" w:customStyle="1" w:styleId="In-texttable">
    <w:name w:val="In-text table"/>
    <w:basedOn w:val="Normal"/>
    <w:pPr>
      <w:keepNext/>
      <w:overflowPunct w:val="0"/>
      <w:autoSpaceDE w:val="0"/>
      <w:autoSpaceDN w:val="0"/>
      <w:adjustRightInd w:val="0"/>
      <w:spacing w:line="288" w:lineRule="auto"/>
      <w:ind w:left="0" w:firstLine="0"/>
      <w:textAlignment w:val="baseline"/>
    </w:pPr>
    <w:rPr>
      <w:rFonts w:ascii="Arial" w:hAnsi="Arial"/>
      <w:sz w:val="16"/>
      <w:lang w:val="en-US"/>
    </w:rPr>
  </w:style>
  <w:style w:type="paragraph" w:customStyle="1" w:styleId="In-textfootnote">
    <w:name w:val="In-text footnote"/>
    <w:basedOn w:val="In-texttable"/>
    <w:pPr>
      <w:tabs>
        <w:tab w:val="left" w:pos="142"/>
      </w:tabs>
      <w:spacing w:before="40"/>
      <w:ind w:left="142" w:hanging="142"/>
    </w:pPr>
  </w:style>
  <w:style w:type="paragraph" w:styleId="BalloonText">
    <w:name w:val="Balloon Text"/>
    <w:basedOn w:val="Normal"/>
    <w:link w:val="BalloonTextChar"/>
    <w:semiHidden/>
    <w:pPr>
      <w:ind w:left="0" w:firstLine="0"/>
    </w:pPr>
    <w:rPr>
      <w:rFonts w:ascii="Tahoma" w:hAnsi="Tahoma"/>
      <w:sz w:val="16"/>
      <w:szCs w:val="16"/>
      <w:lang w:val="x-none"/>
    </w:rPr>
  </w:style>
  <w:style w:type="character" w:customStyle="1" w:styleId="BalloonTextChar">
    <w:name w:val="Balloon Text Char"/>
    <w:link w:val="BalloonText"/>
    <w:semiHidden/>
    <w:locked/>
    <w:rsid w:val="00E7724C"/>
    <w:rPr>
      <w:rFonts w:ascii="Tahoma" w:hAnsi="Tahoma" w:cs="Tahoma"/>
      <w:sz w:val="16"/>
      <w:szCs w:val="16"/>
      <w:lang w:eastAsia="en-US"/>
    </w:rPr>
  </w:style>
  <w:style w:type="paragraph" w:styleId="Title">
    <w:name w:val="Title"/>
    <w:basedOn w:val="Normal"/>
    <w:link w:val="TitleChar"/>
    <w:qFormat/>
    <w:pPr>
      <w:ind w:left="0" w:firstLine="0"/>
      <w:jc w:val="center"/>
    </w:pPr>
    <w:rPr>
      <w:b/>
      <w:sz w:val="24"/>
      <w:u w:val="single"/>
      <w:lang w:val="fr-FR" w:eastAsia="sv-SE"/>
    </w:rPr>
  </w:style>
  <w:style w:type="character" w:customStyle="1" w:styleId="TitleChar">
    <w:name w:val="Title Char"/>
    <w:link w:val="Title"/>
    <w:locked/>
    <w:rsid w:val="00E7724C"/>
    <w:rPr>
      <w:b/>
      <w:sz w:val="24"/>
      <w:u w:val="single"/>
      <w:lang w:val="fr-FR" w:eastAsia="sv-SE"/>
    </w:rPr>
  </w:style>
  <w:style w:type="paragraph" w:styleId="Subtitle">
    <w:name w:val="Subtitle"/>
    <w:basedOn w:val="Normal"/>
    <w:link w:val="SubtitleChar"/>
    <w:qFormat/>
    <w:pPr>
      <w:ind w:left="0" w:firstLine="0"/>
    </w:pPr>
    <w:rPr>
      <w:b/>
      <w:bCs/>
      <w:szCs w:val="24"/>
      <w:lang w:val="x-none"/>
    </w:rPr>
  </w:style>
  <w:style w:type="character" w:customStyle="1" w:styleId="SubtitleChar">
    <w:name w:val="Subtitle Char"/>
    <w:link w:val="Subtitle"/>
    <w:locked/>
    <w:rsid w:val="00E7724C"/>
    <w:rPr>
      <w:b/>
      <w:bCs/>
      <w:sz w:val="22"/>
      <w:szCs w:val="24"/>
      <w:lang w:eastAsia="en-US"/>
    </w:rPr>
  </w:style>
  <w:style w:type="paragraph" w:customStyle="1" w:styleId="EMEAHeadingUnderline">
    <w:name w:val="EMEA Heading Underline"/>
    <w:next w:val="EMEANormal"/>
    <w:pPr>
      <w:tabs>
        <w:tab w:val="left" w:pos="562"/>
      </w:tabs>
      <w:suppressAutoHyphens/>
      <w:spacing w:beforeLines="100" w:before="100" w:afterLines="100" w:after="100"/>
    </w:pPr>
    <w:rPr>
      <w:sz w:val="22"/>
      <w:u w:val="single"/>
      <w:lang w:val="en-US" w:eastAsia="en-US"/>
    </w:rPr>
  </w:style>
  <w:style w:type="paragraph" w:customStyle="1" w:styleId="EMEANormal">
    <w:name w:val="EMEA Normal"/>
    <w:link w:val="EMEANormalChar"/>
    <w:pPr>
      <w:tabs>
        <w:tab w:val="left" w:pos="562"/>
      </w:tabs>
      <w:suppressAutoHyphens/>
    </w:pPr>
    <w:rPr>
      <w:sz w:val="22"/>
      <w:lang w:val="en-US" w:eastAsia="en-US"/>
    </w:rPr>
  </w:style>
  <w:style w:type="character" w:customStyle="1" w:styleId="EMEANormalChar">
    <w:name w:val="EMEA Normal Char"/>
    <w:link w:val="EMEANormal"/>
    <w:locked/>
    <w:rsid w:val="003D3BC2"/>
    <w:rPr>
      <w:sz w:val="22"/>
      <w:lang w:val="en-US" w:eastAsia="en-US" w:bidi="ar-SA"/>
    </w:rPr>
  </w:style>
  <w:style w:type="paragraph" w:customStyle="1" w:styleId="EMEAFigureTitle">
    <w:name w:val="EMEA Figure Title"/>
    <w:basedOn w:val="EMEANormal"/>
    <w:next w:val="EMEANormal"/>
  </w:style>
  <w:style w:type="paragraph" w:customStyle="1" w:styleId="DefaultText">
    <w:name w:val="Default Text"/>
    <w:basedOn w:val="Normal"/>
    <w:pPr>
      <w:overflowPunct w:val="0"/>
      <w:autoSpaceDE w:val="0"/>
      <w:autoSpaceDN w:val="0"/>
      <w:adjustRightInd w:val="0"/>
      <w:ind w:left="0" w:firstLine="0"/>
      <w:textAlignment w:val="baseline"/>
    </w:pPr>
    <w:rPr>
      <w:rFonts w:ascii="Arial" w:hAnsi="Arial"/>
      <w:bCs/>
      <w:iCs/>
      <w:lang w:val="en-US"/>
    </w:rPr>
  </w:style>
  <w:style w:type="character" w:customStyle="1" w:styleId="hps">
    <w:name w:val="hps"/>
    <w:basedOn w:val="DefaultParagraphFont"/>
    <w:rsid w:val="00EE3ADC"/>
  </w:style>
  <w:style w:type="paragraph" w:customStyle="1" w:styleId="EMEABullet2">
    <w:name w:val="EMEA Bullet 2"/>
    <w:basedOn w:val="Normal"/>
    <w:next w:val="Normal"/>
    <w:rsid w:val="007E12C8"/>
    <w:pPr>
      <w:numPr>
        <w:numId w:val="63"/>
      </w:numPr>
      <w:tabs>
        <w:tab w:val="left" w:pos="567"/>
      </w:tabs>
      <w:suppressAutoHyphens/>
    </w:pPr>
    <w:rPr>
      <w:lang w:val="en-US"/>
    </w:rPr>
  </w:style>
  <w:style w:type="paragraph" w:customStyle="1" w:styleId="BMCENTRED">
    <w:name w:val="BM CENTRED"/>
    <w:basedOn w:val="Normal"/>
    <w:qFormat/>
    <w:rsid w:val="009967A7"/>
    <w:pPr>
      <w:jc w:val="center"/>
      <w:outlineLvl w:val="0"/>
    </w:pPr>
    <w:rPr>
      <w:b/>
    </w:rPr>
  </w:style>
  <w:style w:type="paragraph" w:customStyle="1" w:styleId="BMLeftAligned">
    <w:name w:val="BM Left Aligned"/>
    <w:basedOn w:val="Normal"/>
    <w:rsid w:val="009967A7"/>
    <w:pPr>
      <w:ind w:right="1416"/>
    </w:pPr>
    <w:rPr>
      <w:b/>
    </w:rPr>
  </w:style>
  <w:style w:type="paragraph" w:styleId="BodyTextFirstIndent">
    <w:name w:val="Body Text First Indent"/>
    <w:basedOn w:val="BodyText"/>
    <w:link w:val="BodyTextFirstIndentChar"/>
    <w:rsid w:val="00847CC2"/>
    <w:pPr>
      <w:spacing w:after="120"/>
      <w:ind w:firstLine="210"/>
    </w:pPr>
    <w:rPr>
      <w:b w:val="0"/>
      <w:i w:val="0"/>
    </w:rPr>
  </w:style>
  <w:style w:type="character" w:customStyle="1" w:styleId="BodyTextFirstIndentChar">
    <w:name w:val="Body Text First Indent Char"/>
    <w:link w:val="BodyTextFirstIndent"/>
    <w:locked/>
    <w:rsid w:val="00E7724C"/>
    <w:rPr>
      <w:sz w:val="22"/>
      <w:lang w:eastAsia="en-US"/>
    </w:rPr>
  </w:style>
  <w:style w:type="paragraph" w:styleId="BodyTextFirstIndent2">
    <w:name w:val="Body Text First Indent 2"/>
    <w:basedOn w:val="BodyTextIndent"/>
    <w:link w:val="BodyTextFirstIndent2Char"/>
    <w:rsid w:val="00847CC2"/>
    <w:pPr>
      <w:spacing w:after="120"/>
      <w:ind w:left="283" w:firstLine="210"/>
    </w:pPr>
    <w:rPr>
      <w:b w:val="0"/>
      <w:color w:val="auto"/>
    </w:rPr>
  </w:style>
  <w:style w:type="character" w:customStyle="1" w:styleId="BodyTextFirstIndent2Char">
    <w:name w:val="Body Text First Indent 2 Char"/>
    <w:link w:val="BodyTextFirstIndent2"/>
    <w:locked/>
    <w:rsid w:val="00E7724C"/>
    <w:rPr>
      <w:sz w:val="22"/>
      <w:lang w:eastAsia="en-US"/>
    </w:rPr>
  </w:style>
  <w:style w:type="paragraph" w:styleId="Caption">
    <w:name w:val="caption"/>
    <w:basedOn w:val="Normal"/>
    <w:next w:val="Normal"/>
    <w:qFormat/>
    <w:rsid w:val="00847CC2"/>
    <w:rPr>
      <w:b/>
      <w:bCs/>
      <w:sz w:val="20"/>
    </w:rPr>
  </w:style>
  <w:style w:type="paragraph" w:styleId="Closing">
    <w:name w:val="Closing"/>
    <w:basedOn w:val="Normal"/>
    <w:link w:val="ClosingChar"/>
    <w:rsid w:val="00847CC2"/>
    <w:pPr>
      <w:ind w:left="4252"/>
    </w:pPr>
    <w:rPr>
      <w:lang w:val="x-none"/>
    </w:rPr>
  </w:style>
  <w:style w:type="character" w:customStyle="1" w:styleId="ClosingChar">
    <w:name w:val="Closing Char"/>
    <w:link w:val="Closing"/>
    <w:locked/>
    <w:rsid w:val="00E7724C"/>
    <w:rPr>
      <w:sz w:val="22"/>
      <w:lang w:eastAsia="en-US"/>
    </w:rPr>
  </w:style>
  <w:style w:type="paragraph" w:styleId="CommentSubject">
    <w:name w:val="annotation subject"/>
    <w:basedOn w:val="CommentText"/>
    <w:next w:val="CommentText"/>
    <w:link w:val="CommentSubjectChar"/>
    <w:semiHidden/>
    <w:rsid w:val="00847CC2"/>
    <w:rPr>
      <w:b/>
      <w:bCs/>
    </w:rPr>
  </w:style>
  <w:style w:type="character" w:customStyle="1" w:styleId="CommentSubjectChar">
    <w:name w:val="Comment Subject Char"/>
    <w:link w:val="CommentSubject"/>
    <w:semiHidden/>
    <w:locked/>
    <w:rsid w:val="00E7724C"/>
    <w:rPr>
      <w:b/>
      <w:bCs/>
      <w:lang w:eastAsia="en-US"/>
    </w:rPr>
  </w:style>
  <w:style w:type="paragraph" w:styleId="Date">
    <w:name w:val="Date"/>
    <w:basedOn w:val="Normal"/>
    <w:next w:val="Normal"/>
    <w:link w:val="DateChar"/>
    <w:rsid w:val="00847CC2"/>
    <w:rPr>
      <w:lang w:val="x-none"/>
    </w:rPr>
  </w:style>
  <w:style w:type="character" w:customStyle="1" w:styleId="DateChar">
    <w:name w:val="Date Char"/>
    <w:link w:val="Date"/>
    <w:locked/>
    <w:rsid w:val="00E7724C"/>
    <w:rPr>
      <w:sz w:val="22"/>
      <w:lang w:eastAsia="en-US"/>
    </w:rPr>
  </w:style>
  <w:style w:type="paragraph" w:styleId="E-mailSignature">
    <w:name w:val="E-mail Signature"/>
    <w:basedOn w:val="Normal"/>
    <w:link w:val="E-mailSignatureChar"/>
    <w:rsid w:val="00847CC2"/>
    <w:rPr>
      <w:lang w:val="x-none"/>
    </w:rPr>
  </w:style>
  <w:style w:type="character" w:customStyle="1" w:styleId="E-mailSignatureChar">
    <w:name w:val="E-mail Signature Char"/>
    <w:link w:val="E-mailSignature"/>
    <w:locked/>
    <w:rsid w:val="00E7724C"/>
    <w:rPr>
      <w:sz w:val="22"/>
      <w:lang w:eastAsia="en-US"/>
    </w:rPr>
  </w:style>
  <w:style w:type="paragraph" w:styleId="EnvelopeAddress">
    <w:name w:val="envelope address"/>
    <w:basedOn w:val="Normal"/>
    <w:rsid w:val="00847CC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847CC2"/>
    <w:rPr>
      <w:rFonts w:ascii="Arial" w:hAnsi="Arial" w:cs="Arial"/>
      <w:sz w:val="20"/>
    </w:rPr>
  </w:style>
  <w:style w:type="paragraph" w:styleId="HTMLAddress">
    <w:name w:val="HTML Address"/>
    <w:basedOn w:val="Normal"/>
    <w:link w:val="HTMLAddressChar"/>
    <w:rsid w:val="00847CC2"/>
    <w:rPr>
      <w:i/>
      <w:iCs/>
      <w:lang w:val="x-none"/>
    </w:rPr>
  </w:style>
  <w:style w:type="character" w:customStyle="1" w:styleId="HTMLAddressChar">
    <w:name w:val="HTML Address Char"/>
    <w:link w:val="HTMLAddress"/>
    <w:locked/>
    <w:rsid w:val="00E7724C"/>
    <w:rPr>
      <w:i/>
      <w:iCs/>
      <w:sz w:val="22"/>
      <w:lang w:eastAsia="en-US"/>
    </w:rPr>
  </w:style>
  <w:style w:type="paragraph" w:styleId="HTMLPreformatted">
    <w:name w:val="HTML Preformatted"/>
    <w:basedOn w:val="Normal"/>
    <w:link w:val="HTMLPreformattedChar"/>
    <w:rsid w:val="00847CC2"/>
    <w:rPr>
      <w:rFonts w:ascii="Courier New" w:hAnsi="Courier New"/>
      <w:sz w:val="20"/>
      <w:lang w:val="x-none"/>
    </w:rPr>
  </w:style>
  <w:style w:type="character" w:customStyle="1" w:styleId="HTMLPreformattedChar">
    <w:name w:val="HTML Preformatted Char"/>
    <w:link w:val="HTMLPreformatted"/>
    <w:locked/>
    <w:rsid w:val="00E7724C"/>
    <w:rPr>
      <w:rFonts w:ascii="Courier New" w:hAnsi="Courier New" w:cs="Courier New"/>
      <w:lang w:eastAsia="en-US"/>
    </w:rPr>
  </w:style>
  <w:style w:type="paragraph" w:styleId="Index1">
    <w:name w:val="index 1"/>
    <w:basedOn w:val="Normal"/>
    <w:next w:val="Normal"/>
    <w:autoRedefine/>
    <w:semiHidden/>
    <w:rsid w:val="00847CC2"/>
    <w:pPr>
      <w:ind w:left="220" w:hanging="220"/>
    </w:pPr>
  </w:style>
  <w:style w:type="paragraph" w:styleId="Index2">
    <w:name w:val="index 2"/>
    <w:basedOn w:val="Normal"/>
    <w:next w:val="Normal"/>
    <w:autoRedefine/>
    <w:semiHidden/>
    <w:rsid w:val="00847CC2"/>
    <w:pPr>
      <w:ind w:left="440" w:hanging="220"/>
    </w:pPr>
  </w:style>
  <w:style w:type="paragraph" w:styleId="Index3">
    <w:name w:val="index 3"/>
    <w:basedOn w:val="Normal"/>
    <w:next w:val="Normal"/>
    <w:autoRedefine/>
    <w:semiHidden/>
    <w:rsid w:val="00847CC2"/>
    <w:pPr>
      <w:ind w:left="660" w:hanging="220"/>
    </w:pPr>
  </w:style>
  <w:style w:type="paragraph" w:styleId="Index4">
    <w:name w:val="index 4"/>
    <w:basedOn w:val="Normal"/>
    <w:next w:val="Normal"/>
    <w:autoRedefine/>
    <w:semiHidden/>
    <w:rsid w:val="00847CC2"/>
    <w:pPr>
      <w:ind w:left="880" w:hanging="220"/>
    </w:pPr>
  </w:style>
  <w:style w:type="paragraph" w:styleId="Index5">
    <w:name w:val="index 5"/>
    <w:basedOn w:val="Normal"/>
    <w:next w:val="Normal"/>
    <w:autoRedefine/>
    <w:semiHidden/>
    <w:rsid w:val="00847CC2"/>
    <w:pPr>
      <w:ind w:left="1100" w:hanging="220"/>
    </w:pPr>
  </w:style>
  <w:style w:type="paragraph" w:styleId="Index6">
    <w:name w:val="index 6"/>
    <w:basedOn w:val="Normal"/>
    <w:next w:val="Normal"/>
    <w:autoRedefine/>
    <w:semiHidden/>
    <w:rsid w:val="00847CC2"/>
    <w:pPr>
      <w:ind w:left="1320" w:hanging="220"/>
    </w:pPr>
  </w:style>
  <w:style w:type="paragraph" w:styleId="Index7">
    <w:name w:val="index 7"/>
    <w:basedOn w:val="Normal"/>
    <w:next w:val="Normal"/>
    <w:autoRedefine/>
    <w:semiHidden/>
    <w:rsid w:val="00847CC2"/>
    <w:pPr>
      <w:ind w:left="1540" w:hanging="220"/>
    </w:pPr>
  </w:style>
  <w:style w:type="paragraph" w:styleId="Index8">
    <w:name w:val="index 8"/>
    <w:basedOn w:val="Normal"/>
    <w:next w:val="Normal"/>
    <w:autoRedefine/>
    <w:semiHidden/>
    <w:rsid w:val="00847CC2"/>
    <w:pPr>
      <w:ind w:left="1760" w:hanging="220"/>
    </w:pPr>
  </w:style>
  <w:style w:type="paragraph" w:styleId="Index9">
    <w:name w:val="index 9"/>
    <w:basedOn w:val="Normal"/>
    <w:next w:val="Normal"/>
    <w:autoRedefine/>
    <w:semiHidden/>
    <w:rsid w:val="00847CC2"/>
    <w:pPr>
      <w:ind w:left="1980" w:hanging="220"/>
    </w:pPr>
  </w:style>
  <w:style w:type="paragraph" w:styleId="IndexHeading">
    <w:name w:val="index heading"/>
    <w:basedOn w:val="Normal"/>
    <w:next w:val="Index1"/>
    <w:semiHidden/>
    <w:rsid w:val="00847CC2"/>
    <w:rPr>
      <w:rFonts w:ascii="Arial" w:hAnsi="Arial" w:cs="Arial"/>
      <w:b/>
      <w:bCs/>
    </w:rPr>
  </w:style>
  <w:style w:type="paragraph" w:styleId="List">
    <w:name w:val="List"/>
    <w:basedOn w:val="Normal"/>
    <w:rsid w:val="00847CC2"/>
    <w:pPr>
      <w:ind w:left="283" w:hanging="283"/>
    </w:pPr>
  </w:style>
  <w:style w:type="paragraph" w:styleId="List2">
    <w:name w:val="List 2"/>
    <w:basedOn w:val="Normal"/>
    <w:rsid w:val="00847CC2"/>
    <w:pPr>
      <w:ind w:left="566" w:hanging="283"/>
    </w:pPr>
  </w:style>
  <w:style w:type="paragraph" w:styleId="List3">
    <w:name w:val="List 3"/>
    <w:basedOn w:val="Normal"/>
    <w:rsid w:val="00847CC2"/>
    <w:pPr>
      <w:ind w:left="849" w:hanging="283"/>
    </w:pPr>
  </w:style>
  <w:style w:type="paragraph" w:styleId="List4">
    <w:name w:val="List 4"/>
    <w:basedOn w:val="Normal"/>
    <w:rsid w:val="00847CC2"/>
    <w:pPr>
      <w:ind w:left="1132" w:hanging="283"/>
    </w:pPr>
  </w:style>
  <w:style w:type="paragraph" w:styleId="List5">
    <w:name w:val="List 5"/>
    <w:basedOn w:val="Normal"/>
    <w:rsid w:val="00847CC2"/>
    <w:pPr>
      <w:ind w:left="1415" w:hanging="283"/>
    </w:pPr>
  </w:style>
  <w:style w:type="paragraph" w:styleId="ListBullet">
    <w:name w:val="List Bullet"/>
    <w:basedOn w:val="Normal"/>
    <w:rsid w:val="00847CC2"/>
    <w:pPr>
      <w:numPr>
        <w:numId w:val="65"/>
      </w:numPr>
    </w:pPr>
  </w:style>
  <w:style w:type="paragraph" w:styleId="ListBullet2">
    <w:name w:val="List Bullet 2"/>
    <w:basedOn w:val="Normal"/>
    <w:rsid w:val="00847CC2"/>
    <w:pPr>
      <w:numPr>
        <w:numId w:val="66"/>
      </w:numPr>
    </w:pPr>
  </w:style>
  <w:style w:type="paragraph" w:styleId="ListBullet3">
    <w:name w:val="List Bullet 3"/>
    <w:basedOn w:val="Normal"/>
    <w:rsid w:val="00847CC2"/>
    <w:pPr>
      <w:numPr>
        <w:numId w:val="67"/>
      </w:numPr>
    </w:pPr>
  </w:style>
  <w:style w:type="paragraph" w:styleId="ListBullet4">
    <w:name w:val="List Bullet 4"/>
    <w:basedOn w:val="Normal"/>
    <w:rsid w:val="00847CC2"/>
    <w:pPr>
      <w:numPr>
        <w:numId w:val="68"/>
      </w:numPr>
    </w:pPr>
  </w:style>
  <w:style w:type="paragraph" w:styleId="ListBullet5">
    <w:name w:val="List Bullet 5"/>
    <w:basedOn w:val="Normal"/>
    <w:rsid w:val="00847CC2"/>
    <w:pPr>
      <w:numPr>
        <w:numId w:val="69"/>
      </w:numPr>
    </w:pPr>
  </w:style>
  <w:style w:type="paragraph" w:styleId="ListContinue">
    <w:name w:val="List Continue"/>
    <w:basedOn w:val="Normal"/>
    <w:rsid w:val="00847CC2"/>
    <w:pPr>
      <w:spacing w:after="120"/>
      <w:ind w:left="283"/>
    </w:pPr>
  </w:style>
  <w:style w:type="paragraph" w:styleId="ListContinue2">
    <w:name w:val="List Continue 2"/>
    <w:basedOn w:val="Normal"/>
    <w:rsid w:val="00847CC2"/>
    <w:pPr>
      <w:spacing w:after="120"/>
      <w:ind w:left="566"/>
    </w:pPr>
  </w:style>
  <w:style w:type="paragraph" w:styleId="ListContinue3">
    <w:name w:val="List Continue 3"/>
    <w:basedOn w:val="Normal"/>
    <w:rsid w:val="00847CC2"/>
    <w:pPr>
      <w:spacing w:after="120"/>
      <w:ind w:left="849"/>
    </w:pPr>
  </w:style>
  <w:style w:type="paragraph" w:styleId="ListContinue4">
    <w:name w:val="List Continue 4"/>
    <w:basedOn w:val="Normal"/>
    <w:rsid w:val="00847CC2"/>
    <w:pPr>
      <w:spacing w:after="120"/>
      <w:ind w:left="1132"/>
    </w:pPr>
  </w:style>
  <w:style w:type="paragraph" w:styleId="ListContinue5">
    <w:name w:val="List Continue 5"/>
    <w:basedOn w:val="Normal"/>
    <w:rsid w:val="00847CC2"/>
    <w:pPr>
      <w:spacing w:after="120"/>
      <w:ind w:left="1415"/>
    </w:pPr>
  </w:style>
  <w:style w:type="paragraph" w:styleId="ListNumber">
    <w:name w:val="List Number"/>
    <w:basedOn w:val="Normal"/>
    <w:rsid w:val="00847CC2"/>
    <w:pPr>
      <w:numPr>
        <w:numId w:val="70"/>
      </w:numPr>
    </w:pPr>
  </w:style>
  <w:style w:type="paragraph" w:styleId="ListNumber2">
    <w:name w:val="List Number 2"/>
    <w:basedOn w:val="Normal"/>
    <w:rsid w:val="00847CC2"/>
    <w:pPr>
      <w:numPr>
        <w:numId w:val="71"/>
      </w:numPr>
    </w:pPr>
  </w:style>
  <w:style w:type="paragraph" w:styleId="ListNumber3">
    <w:name w:val="List Number 3"/>
    <w:basedOn w:val="Normal"/>
    <w:rsid w:val="00847CC2"/>
    <w:pPr>
      <w:numPr>
        <w:numId w:val="72"/>
      </w:numPr>
    </w:pPr>
  </w:style>
  <w:style w:type="paragraph" w:styleId="ListNumber4">
    <w:name w:val="List Number 4"/>
    <w:basedOn w:val="Normal"/>
    <w:rsid w:val="00847CC2"/>
    <w:pPr>
      <w:numPr>
        <w:numId w:val="73"/>
      </w:numPr>
    </w:pPr>
  </w:style>
  <w:style w:type="paragraph" w:styleId="ListNumber5">
    <w:name w:val="List Number 5"/>
    <w:basedOn w:val="Normal"/>
    <w:rsid w:val="00847CC2"/>
    <w:pPr>
      <w:numPr>
        <w:numId w:val="74"/>
      </w:numPr>
    </w:pPr>
  </w:style>
  <w:style w:type="paragraph" w:styleId="MacroText">
    <w:name w:val="macro"/>
    <w:link w:val="MacroTextChar"/>
    <w:semiHidden/>
    <w:rsid w:val="00847CC2"/>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en-US" w:eastAsia="en-US"/>
    </w:rPr>
  </w:style>
  <w:style w:type="character" w:customStyle="1" w:styleId="MacroTextChar">
    <w:name w:val="Macro Text Char"/>
    <w:link w:val="MacroText"/>
    <w:semiHidden/>
    <w:locked/>
    <w:rsid w:val="00E7724C"/>
    <w:rPr>
      <w:rFonts w:ascii="Courier New" w:hAnsi="Courier New" w:cs="Courier New"/>
      <w:lang w:eastAsia="en-US" w:bidi="ar-SA"/>
    </w:rPr>
  </w:style>
  <w:style w:type="paragraph" w:styleId="MessageHeader">
    <w:name w:val="Message Header"/>
    <w:basedOn w:val="Normal"/>
    <w:link w:val="MessageHeaderChar"/>
    <w:rsid w:val="00847C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x-none"/>
    </w:rPr>
  </w:style>
  <w:style w:type="character" w:customStyle="1" w:styleId="MessageHeaderChar">
    <w:name w:val="Message Header Char"/>
    <w:link w:val="MessageHeader"/>
    <w:locked/>
    <w:rsid w:val="00E7724C"/>
    <w:rPr>
      <w:rFonts w:ascii="Arial" w:hAnsi="Arial" w:cs="Arial"/>
      <w:sz w:val="24"/>
      <w:szCs w:val="24"/>
      <w:shd w:val="pct20" w:color="auto" w:fill="auto"/>
      <w:lang w:eastAsia="en-US"/>
    </w:rPr>
  </w:style>
  <w:style w:type="paragraph" w:styleId="NormalWeb">
    <w:name w:val="Normal (Web)"/>
    <w:basedOn w:val="Normal"/>
    <w:rsid w:val="00847CC2"/>
    <w:rPr>
      <w:sz w:val="24"/>
      <w:szCs w:val="24"/>
    </w:rPr>
  </w:style>
  <w:style w:type="paragraph" w:styleId="NormalIndent">
    <w:name w:val="Normal Indent"/>
    <w:basedOn w:val="Normal"/>
    <w:rsid w:val="00847CC2"/>
    <w:pPr>
      <w:ind w:left="720"/>
    </w:pPr>
  </w:style>
  <w:style w:type="paragraph" w:styleId="NoteHeading">
    <w:name w:val="Note Heading"/>
    <w:basedOn w:val="Normal"/>
    <w:next w:val="Normal"/>
    <w:link w:val="NoteHeadingChar"/>
    <w:rsid w:val="00847CC2"/>
    <w:rPr>
      <w:lang w:val="x-none"/>
    </w:rPr>
  </w:style>
  <w:style w:type="character" w:customStyle="1" w:styleId="NoteHeadingChar">
    <w:name w:val="Note Heading Char"/>
    <w:link w:val="NoteHeading"/>
    <w:locked/>
    <w:rsid w:val="00E7724C"/>
    <w:rPr>
      <w:sz w:val="22"/>
      <w:lang w:eastAsia="en-US"/>
    </w:rPr>
  </w:style>
  <w:style w:type="paragraph" w:styleId="PlainText">
    <w:name w:val="Plain Text"/>
    <w:basedOn w:val="Normal"/>
    <w:link w:val="PlainTextChar"/>
    <w:rsid w:val="00847CC2"/>
    <w:rPr>
      <w:rFonts w:ascii="Courier New" w:hAnsi="Courier New"/>
      <w:sz w:val="20"/>
      <w:lang w:val="x-none"/>
    </w:rPr>
  </w:style>
  <w:style w:type="character" w:customStyle="1" w:styleId="PlainTextChar">
    <w:name w:val="Plain Text Char"/>
    <w:link w:val="PlainText"/>
    <w:locked/>
    <w:rsid w:val="00E7724C"/>
    <w:rPr>
      <w:rFonts w:ascii="Courier New" w:hAnsi="Courier New" w:cs="Courier New"/>
      <w:lang w:eastAsia="en-US"/>
    </w:rPr>
  </w:style>
  <w:style w:type="paragraph" w:styleId="Salutation">
    <w:name w:val="Salutation"/>
    <w:basedOn w:val="Normal"/>
    <w:next w:val="Normal"/>
    <w:link w:val="SalutationChar"/>
    <w:rsid w:val="00847CC2"/>
    <w:rPr>
      <w:lang w:val="x-none"/>
    </w:rPr>
  </w:style>
  <w:style w:type="character" w:customStyle="1" w:styleId="SalutationChar">
    <w:name w:val="Salutation Char"/>
    <w:link w:val="Salutation"/>
    <w:locked/>
    <w:rsid w:val="00E7724C"/>
    <w:rPr>
      <w:sz w:val="22"/>
      <w:lang w:eastAsia="en-US"/>
    </w:rPr>
  </w:style>
  <w:style w:type="paragraph" w:styleId="Signature">
    <w:name w:val="Signature"/>
    <w:basedOn w:val="Normal"/>
    <w:link w:val="SignatureChar"/>
    <w:rsid w:val="00847CC2"/>
    <w:pPr>
      <w:ind w:left="4252"/>
    </w:pPr>
    <w:rPr>
      <w:lang w:val="x-none"/>
    </w:rPr>
  </w:style>
  <w:style w:type="character" w:customStyle="1" w:styleId="SignatureChar">
    <w:name w:val="Signature Char"/>
    <w:link w:val="Signature"/>
    <w:locked/>
    <w:rsid w:val="00E7724C"/>
    <w:rPr>
      <w:sz w:val="22"/>
      <w:lang w:eastAsia="en-US"/>
    </w:rPr>
  </w:style>
  <w:style w:type="paragraph" w:styleId="TableofAuthorities">
    <w:name w:val="table of authorities"/>
    <w:basedOn w:val="Normal"/>
    <w:next w:val="Normal"/>
    <w:semiHidden/>
    <w:rsid w:val="00847CC2"/>
    <w:pPr>
      <w:ind w:left="220" w:hanging="220"/>
    </w:pPr>
  </w:style>
  <w:style w:type="paragraph" w:styleId="TableofFigures">
    <w:name w:val="table of figures"/>
    <w:basedOn w:val="Normal"/>
    <w:next w:val="Normal"/>
    <w:semiHidden/>
    <w:rsid w:val="00847CC2"/>
    <w:pPr>
      <w:ind w:left="0"/>
    </w:pPr>
  </w:style>
  <w:style w:type="paragraph" w:styleId="TOAHeading">
    <w:name w:val="toa heading"/>
    <w:basedOn w:val="Normal"/>
    <w:next w:val="Normal"/>
    <w:semiHidden/>
    <w:rsid w:val="00847CC2"/>
    <w:pPr>
      <w:spacing w:before="120"/>
    </w:pPr>
    <w:rPr>
      <w:rFonts w:ascii="Arial" w:hAnsi="Arial" w:cs="Arial"/>
      <w:b/>
      <w:bCs/>
      <w:sz w:val="24"/>
      <w:szCs w:val="24"/>
    </w:rPr>
  </w:style>
  <w:style w:type="paragraph" w:styleId="TOC1">
    <w:name w:val="toc 1"/>
    <w:basedOn w:val="Normal"/>
    <w:next w:val="Normal"/>
    <w:autoRedefine/>
    <w:semiHidden/>
    <w:rsid w:val="00847CC2"/>
    <w:pPr>
      <w:ind w:left="0"/>
    </w:pPr>
  </w:style>
  <w:style w:type="paragraph" w:styleId="TOC2">
    <w:name w:val="toc 2"/>
    <w:basedOn w:val="Normal"/>
    <w:next w:val="Normal"/>
    <w:autoRedefine/>
    <w:semiHidden/>
    <w:rsid w:val="00847CC2"/>
    <w:pPr>
      <w:ind w:left="220"/>
    </w:pPr>
  </w:style>
  <w:style w:type="paragraph" w:styleId="TOC3">
    <w:name w:val="toc 3"/>
    <w:basedOn w:val="Normal"/>
    <w:next w:val="Normal"/>
    <w:autoRedefine/>
    <w:semiHidden/>
    <w:rsid w:val="00847CC2"/>
    <w:pPr>
      <w:ind w:left="440"/>
    </w:pPr>
  </w:style>
  <w:style w:type="paragraph" w:styleId="TOC4">
    <w:name w:val="toc 4"/>
    <w:basedOn w:val="Normal"/>
    <w:next w:val="Normal"/>
    <w:autoRedefine/>
    <w:semiHidden/>
    <w:rsid w:val="00847CC2"/>
    <w:pPr>
      <w:ind w:left="660"/>
    </w:pPr>
  </w:style>
  <w:style w:type="paragraph" w:styleId="TOC5">
    <w:name w:val="toc 5"/>
    <w:basedOn w:val="Normal"/>
    <w:next w:val="Normal"/>
    <w:autoRedefine/>
    <w:semiHidden/>
    <w:rsid w:val="00847CC2"/>
    <w:pPr>
      <w:ind w:left="880"/>
    </w:pPr>
  </w:style>
  <w:style w:type="paragraph" w:styleId="TOC6">
    <w:name w:val="toc 6"/>
    <w:basedOn w:val="Normal"/>
    <w:next w:val="Normal"/>
    <w:autoRedefine/>
    <w:semiHidden/>
    <w:rsid w:val="00847CC2"/>
    <w:pPr>
      <w:ind w:left="1100"/>
    </w:pPr>
  </w:style>
  <w:style w:type="paragraph" w:styleId="TOC7">
    <w:name w:val="toc 7"/>
    <w:basedOn w:val="Normal"/>
    <w:next w:val="Normal"/>
    <w:autoRedefine/>
    <w:semiHidden/>
    <w:rsid w:val="00847CC2"/>
    <w:pPr>
      <w:ind w:left="1320"/>
    </w:pPr>
  </w:style>
  <w:style w:type="paragraph" w:styleId="TOC8">
    <w:name w:val="toc 8"/>
    <w:basedOn w:val="Normal"/>
    <w:next w:val="Normal"/>
    <w:autoRedefine/>
    <w:semiHidden/>
    <w:rsid w:val="00847CC2"/>
    <w:pPr>
      <w:ind w:left="1540"/>
    </w:pPr>
  </w:style>
  <w:style w:type="paragraph" w:styleId="TOC9">
    <w:name w:val="toc 9"/>
    <w:basedOn w:val="Normal"/>
    <w:next w:val="Normal"/>
    <w:autoRedefine/>
    <w:semiHidden/>
    <w:rsid w:val="00847CC2"/>
    <w:pPr>
      <w:ind w:left="1760"/>
    </w:pPr>
  </w:style>
  <w:style w:type="table" w:styleId="TableGrid">
    <w:name w:val="Table Grid"/>
    <w:basedOn w:val="TableNormal"/>
    <w:rsid w:val="0006722D"/>
    <w:pPr>
      <w:ind w:left="567"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al"/>
    <w:uiPriority w:val="34"/>
    <w:qFormat/>
    <w:rsid w:val="00DB0AFF"/>
    <w:pPr>
      <w:spacing w:line="240" w:lineRule="atLeast"/>
      <w:ind w:left="708" w:firstLine="0"/>
    </w:pPr>
    <w:rPr>
      <w:szCs w:val="22"/>
    </w:rPr>
  </w:style>
  <w:style w:type="paragraph" w:customStyle="1" w:styleId="Default">
    <w:name w:val="Default"/>
    <w:rsid w:val="000E3758"/>
    <w:pPr>
      <w:autoSpaceDE w:val="0"/>
      <w:autoSpaceDN w:val="0"/>
      <w:adjustRightInd w:val="0"/>
    </w:pPr>
    <w:rPr>
      <w:rFonts w:eastAsia="MS Mincho"/>
      <w:color w:val="000000"/>
      <w:sz w:val="24"/>
      <w:szCs w:val="24"/>
      <w:lang w:val="en-GB" w:eastAsia="ja-JP"/>
    </w:rPr>
  </w:style>
  <w:style w:type="paragraph" w:styleId="Bibliography">
    <w:name w:val="Bibliography"/>
    <w:basedOn w:val="Normal"/>
    <w:next w:val="Normal"/>
    <w:uiPriority w:val="37"/>
    <w:semiHidden/>
    <w:unhideWhenUsed/>
    <w:rsid w:val="0059344A"/>
  </w:style>
  <w:style w:type="paragraph" w:styleId="IntenseQuote">
    <w:name w:val="Intense Quote"/>
    <w:basedOn w:val="Normal"/>
    <w:next w:val="Normal"/>
    <w:link w:val="IntenseQuoteChar"/>
    <w:uiPriority w:val="30"/>
    <w:qFormat/>
    <w:rsid w:val="0059344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9344A"/>
    <w:rPr>
      <w:b/>
      <w:bCs/>
      <w:i/>
      <w:iCs/>
      <w:color w:val="4F81BD"/>
      <w:sz w:val="22"/>
      <w:lang w:val="cs-CZ" w:eastAsia="en-US"/>
    </w:rPr>
  </w:style>
  <w:style w:type="paragraph" w:styleId="ListParagraph">
    <w:name w:val="List Paragraph"/>
    <w:basedOn w:val="Normal"/>
    <w:uiPriority w:val="34"/>
    <w:qFormat/>
    <w:rsid w:val="0059344A"/>
    <w:pPr>
      <w:ind w:left="720"/>
    </w:pPr>
  </w:style>
  <w:style w:type="paragraph" w:styleId="NoSpacing">
    <w:name w:val="No Spacing"/>
    <w:uiPriority w:val="1"/>
    <w:qFormat/>
    <w:rsid w:val="0059344A"/>
    <w:pPr>
      <w:ind w:left="567" w:hanging="567"/>
    </w:pPr>
    <w:rPr>
      <w:sz w:val="22"/>
      <w:lang w:eastAsia="en-US"/>
    </w:rPr>
  </w:style>
  <w:style w:type="paragraph" w:styleId="Quote">
    <w:name w:val="Quote"/>
    <w:basedOn w:val="Normal"/>
    <w:next w:val="Normal"/>
    <w:link w:val="QuoteChar"/>
    <w:uiPriority w:val="29"/>
    <w:qFormat/>
    <w:rsid w:val="0059344A"/>
    <w:rPr>
      <w:i/>
      <w:iCs/>
      <w:color w:val="000000"/>
    </w:rPr>
  </w:style>
  <w:style w:type="character" w:customStyle="1" w:styleId="QuoteChar">
    <w:name w:val="Quote Char"/>
    <w:link w:val="Quote"/>
    <w:uiPriority w:val="29"/>
    <w:rsid w:val="0059344A"/>
    <w:rPr>
      <w:i/>
      <w:iCs/>
      <w:color w:val="000000"/>
      <w:sz w:val="22"/>
      <w:lang w:val="cs-CZ" w:eastAsia="en-US"/>
    </w:rPr>
  </w:style>
  <w:style w:type="paragraph" w:styleId="TOCHeading">
    <w:name w:val="TOC Heading"/>
    <w:basedOn w:val="Heading1"/>
    <w:next w:val="Normal"/>
    <w:uiPriority w:val="39"/>
    <w:semiHidden/>
    <w:unhideWhenUsed/>
    <w:qFormat/>
    <w:rsid w:val="0059344A"/>
    <w:pPr>
      <w:keepNext/>
      <w:spacing w:after="60"/>
      <w:ind w:left="567" w:hanging="567"/>
      <w:outlineLvl w:val="9"/>
    </w:pPr>
    <w:rPr>
      <w:rFonts w:ascii="Cambria" w:hAnsi="Cambria"/>
      <w:bCs/>
      <w:caps w:val="0"/>
      <w:kern w:val="32"/>
      <w:sz w:val="32"/>
      <w:szCs w:val="32"/>
      <w:lang w:val="cs-CZ"/>
    </w:rPr>
  </w:style>
  <w:style w:type="paragraph" w:customStyle="1" w:styleId="BodytextAgency">
    <w:name w:val="Body text (Agency)"/>
    <w:basedOn w:val="Normal"/>
    <w:link w:val="BodytextAgencyChar"/>
    <w:uiPriority w:val="99"/>
    <w:qFormat/>
    <w:rsid w:val="003A279D"/>
    <w:pPr>
      <w:spacing w:after="140" w:line="280" w:lineRule="atLeast"/>
      <w:ind w:left="0" w:firstLine="0"/>
    </w:pPr>
    <w:rPr>
      <w:rFonts w:ascii="Verdana" w:hAnsi="Verdana"/>
      <w:snapToGrid w:val="0"/>
      <w:sz w:val="18"/>
      <w:lang w:val="en-GB" w:eastAsia="fr-LU"/>
    </w:rPr>
  </w:style>
  <w:style w:type="character" w:customStyle="1" w:styleId="BodytextAgencyChar">
    <w:name w:val="Body text (Agency) Char"/>
    <w:link w:val="BodytextAgency"/>
    <w:uiPriority w:val="99"/>
    <w:rsid w:val="0069125D"/>
    <w:rPr>
      <w:rFonts w:ascii="Verdana" w:hAnsi="Verdana"/>
      <w:snapToGrid w:val="0"/>
      <w:sz w:val="18"/>
      <w:lang w:val="en-GB" w:eastAsia="fr-LU"/>
    </w:rPr>
  </w:style>
  <w:style w:type="paragraph" w:customStyle="1" w:styleId="No-numheading3Agency">
    <w:name w:val="No-num heading 3 (Agency)"/>
    <w:link w:val="No-numheading3AgencyChar"/>
    <w:rsid w:val="003A279D"/>
    <w:pPr>
      <w:keepNext/>
      <w:spacing w:before="280" w:after="220"/>
      <w:outlineLvl w:val="2"/>
    </w:pPr>
    <w:rPr>
      <w:rFonts w:ascii="Verdana" w:hAnsi="Verdana"/>
      <w:b/>
      <w:snapToGrid w:val="0"/>
      <w:kern w:val="32"/>
      <w:sz w:val="22"/>
      <w:lang w:val="en-GB" w:eastAsia="fr-LU"/>
    </w:rPr>
  </w:style>
  <w:style w:type="character" w:customStyle="1" w:styleId="No-numheading3AgencyChar">
    <w:name w:val="No-num heading 3 (Agency) Char"/>
    <w:link w:val="No-numheading3Agency"/>
    <w:rsid w:val="0069125D"/>
    <w:rPr>
      <w:rFonts w:ascii="Verdana" w:hAnsi="Verdana"/>
      <w:b/>
      <w:snapToGrid w:val="0"/>
      <w:kern w:val="32"/>
      <w:sz w:val="22"/>
      <w:lang w:val="en-GB" w:eastAsia="fr-LU" w:bidi="ar-SA"/>
    </w:rPr>
  </w:style>
  <w:style w:type="character" w:customStyle="1" w:styleId="gtcbold9">
    <w:name w:val="gtcbold9"/>
    <w:rsid w:val="00131F60"/>
    <w:rPr>
      <w:b/>
      <w:bCs/>
    </w:rPr>
  </w:style>
  <w:style w:type="paragraph" w:customStyle="1" w:styleId="gtcbodytext">
    <w:name w:val="gtcbodytext"/>
    <w:basedOn w:val="Normal"/>
    <w:rsid w:val="00ED3736"/>
    <w:pPr>
      <w:spacing w:before="240" w:after="240" w:line="300" w:lineRule="auto"/>
      <w:ind w:left="0" w:firstLine="0"/>
    </w:pPr>
    <w:rPr>
      <w:sz w:val="24"/>
      <w:szCs w:val="24"/>
      <w:lang w:val="en-US"/>
    </w:rPr>
  </w:style>
  <w:style w:type="paragraph" w:styleId="Revision">
    <w:name w:val="Revision"/>
    <w:hidden/>
    <w:uiPriority w:val="99"/>
    <w:semiHidden/>
    <w:rsid w:val="00C41659"/>
    <w:rPr>
      <w:sz w:val="22"/>
      <w:lang w:eastAsia="en-US"/>
    </w:rPr>
  </w:style>
  <w:style w:type="paragraph" w:customStyle="1" w:styleId="EMEAHeadingBoxedTitle">
    <w:name w:val="EMEA Heading Boxed Title"/>
    <w:basedOn w:val="Normal"/>
    <w:rsid w:val="006C4A01"/>
    <w:pPr>
      <w:pBdr>
        <w:top w:val="single" w:sz="4" w:space="1" w:color="auto"/>
        <w:left w:val="single" w:sz="4" w:space="4" w:color="auto"/>
        <w:bottom w:val="single" w:sz="4" w:space="1" w:color="auto"/>
        <w:right w:val="single" w:sz="4" w:space="4" w:color="auto"/>
      </w:pBdr>
      <w:tabs>
        <w:tab w:val="left" w:pos="562"/>
      </w:tabs>
      <w:suppressAutoHyphens/>
      <w:ind w:left="561" w:hanging="561"/>
    </w:pPr>
    <w:rPr>
      <w:rFonts w:ascii="Times New Roman Bold" w:hAnsi="Times New Roman Bold"/>
      <w:caps/>
      <w:lang w:val="en-GB"/>
    </w:rPr>
  </w:style>
  <w:style w:type="paragraph" w:customStyle="1" w:styleId="EMEAHeadingLeaflet">
    <w:name w:val="EMEA Heading Leaflet"/>
    <w:next w:val="EMEANormal"/>
    <w:rsid w:val="0069125D"/>
    <w:pPr>
      <w:tabs>
        <w:tab w:val="left" w:pos="562"/>
      </w:tabs>
      <w:suppressAutoHyphens/>
      <w:spacing w:beforeLines="100" w:afterLines="100"/>
    </w:pPr>
    <w:rPr>
      <w:rFonts w:ascii="Times New Roman Bold" w:hAnsi="Times New Roman Bold"/>
      <w:b/>
      <w:sz w:val="22"/>
      <w:lang w:val="en-US" w:eastAsia="en-US"/>
    </w:rPr>
  </w:style>
  <w:style w:type="paragraph" w:customStyle="1" w:styleId="TableLeft">
    <w:name w:val="Table Left"/>
    <w:basedOn w:val="Normal"/>
    <w:link w:val="TableLeftChar"/>
    <w:rsid w:val="00294685"/>
    <w:pPr>
      <w:keepNext/>
      <w:spacing w:before="40" w:after="40" w:line="240" w:lineRule="exact"/>
      <w:ind w:left="0" w:firstLine="0"/>
    </w:pPr>
    <w:rPr>
      <w:rFonts w:eastAsia="Calibri"/>
      <w:sz w:val="20"/>
      <w:lang w:val="en-US" w:eastAsia="ja-JP"/>
    </w:rPr>
  </w:style>
  <w:style w:type="paragraph" w:customStyle="1" w:styleId="TableFootnoteLetter">
    <w:name w:val="Table Footnote Letter"/>
    <w:rsid w:val="00294685"/>
    <w:pPr>
      <w:keepLines/>
      <w:numPr>
        <w:numId w:val="115"/>
      </w:numPr>
      <w:spacing w:before="40" w:line="240" w:lineRule="exact"/>
    </w:pPr>
    <w:rPr>
      <w:rFonts w:ascii="Verdana" w:eastAsia="MS Mincho" w:hAnsi="Verdana"/>
      <w:sz w:val="16"/>
      <w:szCs w:val="18"/>
      <w:lang w:val="en-US" w:eastAsia="ja-JP"/>
    </w:rPr>
  </w:style>
  <w:style w:type="paragraph" w:customStyle="1" w:styleId="Paragraph">
    <w:name w:val="Paragraph"/>
    <w:rsid w:val="00294685"/>
    <w:pPr>
      <w:spacing w:after="240" w:line="360" w:lineRule="exact"/>
    </w:pPr>
    <w:rPr>
      <w:rFonts w:eastAsia="MS Mincho"/>
      <w:sz w:val="24"/>
      <w:szCs w:val="24"/>
      <w:lang w:val="en-US" w:eastAsia="ja-JP"/>
    </w:rPr>
  </w:style>
  <w:style w:type="paragraph" w:customStyle="1" w:styleId="BodyText1">
    <w:name w:val="Body Text1"/>
    <w:rsid w:val="00E7724C"/>
    <w:pPr>
      <w:tabs>
        <w:tab w:val="left" w:pos="1152"/>
        <w:tab w:val="left" w:pos="1872"/>
      </w:tabs>
      <w:overflowPunct w:val="0"/>
      <w:autoSpaceDE w:val="0"/>
      <w:autoSpaceDN w:val="0"/>
      <w:adjustRightInd w:val="0"/>
      <w:spacing w:after="240" w:line="288" w:lineRule="auto"/>
      <w:ind w:left="1151"/>
      <w:jc w:val="both"/>
      <w:textAlignment w:val="baseline"/>
    </w:pPr>
    <w:rPr>
      <w:sz w:val="24"/>
      <w:lang w:val="en-US" w:eastAsia="en-US"/>
    </w:rPr>
  </w:style>
  <w:style w:type="paragraph" w:customStyle="1" w:styleId="EMEABullet">
    <w:name w:val="EMEA Bullet"/>
    <w:rsid w:val="00E7724C"/>
    <w:pPr>
      <w:numPr>
        <w:numId w:val="125"/>
      </w:numPr>
      <w:suppressAutoHyphens/>
    </w:pPr>
    <w:rPr>
      <w:sz w:val="22"/>
      <w:lang w:val="en-US" w:eastAsia="en-US"/>
    </w:rPr>
  </w:style>
  <w:style w:type="paragraph" w:customStyle="1" w:styleId="EMEAHeading1">
    <w:name w:val="EMEA Heading 1"/>
    <w:next w:val="EMEANormal"/>
    <w:rsid w:val="00E7724C"/>
    <w:pPr>
      <w:tabs>
        <w:tab w:val="left" w:pos="562"/>
      </w:tabs>
      <w:suppressAutoHyphens/>
      <w:spacing w:beforeLines="200" w:afterLines="100"/>
      <w:outlineLvl w:val="0"/>
    </w:pPr>
    <w:rPr>
      <w:rFonts w:ascii="Times New Roman Bold" w:hAnsi="Times New Roman Bold"/>
      <w:b/>
      <w:caps/>
      <w:sz w:val="22"/>
      <w:lang w:val="en-US" w:eastAsia="en-US"/>
    </w:rPr>
  </w:style>
  <w:style w:type="paragraph" w:customStyle="1" w:styleId="EMEAHeading2SPC">
    <w:name w:val="EMEA Heading 2 SPC"/>
    <w:next w:val="EMEANormal"/>
    <w:rsid w:val="00E7724C"/>
    <w:pPr>
      <w:tabs>
        <w:tab w:val="left" w:pos="562"/>
      </w:tabs>
      <w:spacing w:beforeLines="100" w:afterLines="100"/>
      <w:outlineLvl w:val="1"/>
    </w:pPr>
    <w:rPr>
      <w:rFonts w:ascii="Times New Roman Bold" w:hAnsi="Times New Roman Bold"/>
      <w:b/>
      <w:sz w:val="22"/>
      <w:lang w:val="en-US" w:eastAsia="en-US"/>
    </w:rPr>
  </w:style>
  <w:style w:type="paragraph" w:customStyle="1" w:styleId="EMEAHeadingBoxed">
    <w:name w:val="EMEA Heading Boxed"/>
    <w:next w:val="EMEANormal"/>
    <w:rsid w:val="00E7724C"/>
    <w:pPr>
      <w:pBdr>
        <w:top w:val="single" w:sz="4" w:space="1" w:color="auto"/>
        <w:left w:val="single" w:sz="4" w:space="4" w:color="auto"/>
        <w:bottom w:val="single" w:sz="4" w:space="1" w:color="auto"/>
        <w:right w:val="single" w:sz="4" w:space="4" w:color="auto"/>
      </w:pBdr>
      <w:tabs>
        <w:tab w:val="left" w:pos="562"/>
      </w:tabs>
      <w:suppressAutoHyphens/>
      <w:spacing w:beforeLines="200" w:afterLines="100"/>
      <w:ind w:left="562" w:hanging="562"/>
    </w:pPr>
    <w:rPr>
      <w:rFonts w:ascii="Times New Roman Bold" w:hAnsi="Times New Roman Bold"/>
      <w:b/>
      <w:caps/>
      <w:sz w:val="22"/>
      <w:lang w:val="en-US" w:eastAsia="en-US"/>
    </w:rPr>
  </w:style>
  <w:style w:type="paragraph" w:customStyle="1" w:styleId="EMEAHeadingItalic">
    <w:name w:val="EMEA Heading Italic"/>
    <w:next w:val="EMEANormal"/>
    <w:rsid w:val="00E7724C"/>
    <w:pPr>
      <w:tabs>
        <w:tab w:val="left" w:pos="562"/>
      </w:tabs>
      <w:suppressAutoHyphens/>
      <w:spacing w:beforeLines="100" w:afterLines="100"/>
    </w:pPr>
    <w:rPr>
      <w:i/>
      <w:sz w:val="22"/>
      <w:lang w:val="en-US" w:eastAsia="en-US"/>
    </w:rPr>
  </w:style>
  <w:style w:type="paragraph" w:customStyle="1" w:styleId="EMEAHeadingUI">
    <w:name w:val="EMEA Heading UI"/>
    <w:next w:val="EMEANormal"/>
    <w:rsid w:val="00E7724C"/>
    <w:pPr>
      <w:tabs>
        <w:tab w:val="left" w:pos="562"/>
      </w:tabs>
      <w:suppressAutoHyphens/>
      <w:spacing w:beforeLines="100" w:afterLines="100"/>
    </w:pPr>
    <w:rPr>
      <w:i/>
      <w:sz w:val="22"/>
      <w:u w:val="single"/>
      <w:lang w:val="en-US" w:eastAsia="en-US"/>
    </w:rPr>
  </w:style>
  <w:style w:type="paragraph" w:customStyle="1" w:styleId="EMEAHint">
    <w:name w:val="EMEA Hint"/>
    <w:next w:val="EMEANormal"/>
    <w:rsid w:val="00E7724C"/>
    <w:pPr>
      <w:tabs>
        <w:tab w:val="left" w:pos="562"/>
      </w:tabs>
      <w:suppressAutoHyphens/>
    </w:pPr>
    <w:rPr>
      <w:i/>
      <w:color w:val="008000"/>
      <w:sz w:val="22"/>
      <w:lang w:val="en-US" w:eastAsia="en-US"/>
    </w:rPr>
  </w:style>
  <w:style w:type="paragraph" w:customStyle="1" w:styleId="EMEATitle">
    <w:name w:val="EMEA Title"/>
    <w:rsid w:val="00E7724C"/>
    <w:pPr>
      <w:tabs>
        <w:tab w:val="left" w:pos="562"/>
      </w:tabs>
      <w:suppressAutoHyphens/>
      <w:jc w:val="center"/>
    </w:pPr>
    <w:rPr>
      <w:rFonts w:ascii="Times New Roman Bold" w:hAnsi="Times New Roman Bold"/>
      <w:b/>
      <w:caps/>
      <w:sz w:val="22"/>
      <w:lang w:val="en-US" w:eastAsia="en-US"/>
    </w:rPr>
  </w:style>
  <w:style w:type="paragraph" w:customStyle="1" w:styleId="EMEAFooter">
    <w:name w:val="EMEA Footer"/>
    <w:rsid w:val="00E7724C"/>
    <w:pPr>
      <w:suppressAutoHyphens/>
      <w:jc w:val="center"/>
    </w:pPr>
    <w:rPr>
      <w:rFonts w:ascii="Helvetica" w:hAnsi="Helvetica"/>
      <w:sz w:val="16"/>
      <w:lang w:val="en-US" w:eastAsia="en-US"/>
    </w:rPr>
  </w:style>
  <w:style w:type="paragraph" w:customStyle="1" w:styleId="EMEAHeading2SPCEmpty">
    <w:name w:val="EMEA Heading 2 SPC Empty"/>
    <w:basedOn w:val="EMEAHeading2SPC"/>
    <w:next w:val="EMEANormal"/>
    <w:rsid w:val="00E7724C"/>
    <w:pPr>
      <w:spacing w:beforeLines="0"/>
    </w:pPr>
  </w:style>
  <w:style w:type="paragraph" w:customStyle="1" w:styleId="EMEAHeading1Para1">
    <w:name w:val="EMEA Heading 1 Para 1"/>
    <w:basedOn w:val="EMEAHeading1"/>
    <w:next w:val="EMEANormal"/>
    <w:rsid w:val="00E7724C"/>
    <w:pPr>
      <w:spacing w:beforeLines="0"/>
    </w:pPr>
  </w:style>
  <w:style w:type="paragraph" w:customStyle="1" w:styleId="EMEAHeadingBoxedEmpty">
    <w:name w:val="EMEA Heading Boxed Empty"/>
    <w:basedOn w:val="EMEAHeadingBoxed"/>
    <w:next w:val="EMEANormal"/>
    <w:rsid w:val="00E7724C"/>
    <w:pPr>
      <w:spacing w:afterLines="0"/>
    </w:pPr>
  </w:style>
  <w:style w:type="paragraph" w:customStyle="1" w:styleId="EMEAHeadingBoxed1">
    <w:name w:val="EMEA Heading Boxed 1"/>
    <w:basedOn w:val="EMEAHeadingBoxed"/>
    <w:rsid w:val="00E7724C"/>
    <w:pPr>
      <w:spacing w:beforeLines="100" w:after="240"/>
      <w:ind w:left="561" w:hanging="561"/>
    </w:pPr>
    <w:rPr>
      <w:lang w:val="en-GB"/>
    </w:rPr>
  </w:style>
  <w:style w:type="paragraph" w:customStyle="1" w:styleId="a">
    <w:name w:val="_"/>
    <w:rsid w:val="00E7724C"/>
    <w:pPr>
      <w:widowControl w:val="0"/>
    </w:pPr>
    <w:rPr>
      <w:rFonts w:ascii="Roman" w:hAnsi="Roman"/>
      <w:sz w:val="24"/>
      <w:lang w:val="en-US" w:eastAsia="en-US"/>
    </w:rPr>
  </w:style>
  <w:style w:type="paragraph" w:customStyle="1" w:styleId="TableText">
    <w:name w:val="Table Text"/>
    <w:rsid w:val="00E7724C"/>
    <w:pPr>
      <w:keepNext/>
      <w:keepLines/>
      <w:tabs>
        <w:tab w:val="left" w:pos="360"/>
      </w:tabs>
      <w:suppressAutoHyphens/>
      <w:spacing w:before="40" w:after="40" w:line="240" w:lineRule="exact"/>
    </w:pPr>
    <w:rPr>
      <w:lang w:val="en-US" w:eastAsia="en-US"/>
    </w:rPr>
  </w:style>
  <w:style w:type="character" w:customStyle="1" w:styleId="bold4">
    <w:name w:val="bold4"/>
    <w:rsid w:val="00E7724C"/>
    <w:rPr>
      <w:rFonts w:cs="Times New Roman"/>
      <w:b/>
      <w:bCs/>
    </w:rPr>
  </w:style>
  <w:style w:type="character" w:customStyle="1" w:styleId="italics5">
    <w:name w:val="italics5"/>
    <w:rsid w:val="00E7724C"/>
    <w:rPr>
      <w:rFonts w:cs="Times New Roman"/>
      <w:i/>
      <w:iCs/>
    </w:rPr>
  </w:style>
  <w:style w:type="character" w:customStyle="1" w:styleId="sup1">
    <w:name w:val="sup1"/>
    <w:rsid w:val="00E7724C"/>
    <w:rPr>
      <w:rFonts w:cs="Times New Roman"/>
      <w:sz w:val="19"/>
      <w:szCs w:val="19"/>
    </w:rPr>
  </w:style>
  <w:style w:type="character" w:customStyle="1" w:styleId="gtcsuperscript">
    <w:name w:val="gtcsuperscript"/>
    <w:rsid w:val="00E7724C"/>
  </w:style>
  <w:style w:type="paragraph" w:customStyle="1" w:styleId="DraftingNotesAgency">
    <w:name w:val="Drafting Notes (Agency)"/>
    <w:basedOn w:val="Normal"/>
    <w:next w:val="BodytextAgency"/>
    <w:link w:val="DraftingNotesAgencyChar"/>
    <w:rsid w:val="00E7724C"/>
    <w:pPr>
      <w:spacing w:after="140" w:line="280" w:lineRule="atLeast"/>
      <w:ind w:left="0" w:firstLine="0"/>
    </w:pPr>
    <w:rPr>
      <w:rFonts w:ascii="Courier New" w:eastAsia="Verdana" w:hAnsi="Courier New"/>
      <w:i/>
      <w:color w:val="339966"/>
      <w:szCs w:val="18"/>
      <w:lang w:val="x-none" w:eastAsia="x-none"/>
    </w:rPr>
  </w:style>
  <w:style w:type="character" w:customStyle="1" w:styleId="DraftingNotesAgencyChar">
    <w:name w:val="Drafting Notes (Agency) Char"/>
    <w:link w:val="DraftingNotesAgency"/>
    <w:rsid w:val="00E7724C"/>
    <w:rPr>
      <w:rFonts w:ascii="Courier New" w:eastAsia="Verdana" w:hAnsi="Courier New"/>
      <w:i/>
      <w:color w:val="339966"/>
      <w:sz w:val="22"/>
      <w:szCs w:val="18"/>
      <w:lang w:val="x-none" w:eastAsia="x-none"/>
    </w:rPr>
  </w:style>
  <w:style w:type="paragraph" w:customStyle="1" w:styleId="TableTitle">
    <w:name w:val="Table Title"/>
    <w:next w:val="TableLeft"/>
    <w:rsid w:val="00E7724C"/>
    <w:pPr>
      <w:keepNext/>
      <w:keepLines/>
      <w:tabs>
        <w:tab w:val="left" w:pos="1728"/>
      </w:tabs>
      <w:spacing w:after="240" w:line="280" w:lineRule="exact"/>
      <w:ind w:left="1728" w:hanging="1728"/>
    </w:pPr>
    <w:rPr>
      <w:rFonts w:eastAsia="MS Mincho"/>
      <w:b/>
      <w:bCs/>
      <w:sz w:val="24"/>
      <w:szCs w:val="24"/>
      <w:lang w:val="en-US" w:eastAsia="ja-JP"/>
    </w:rPr>
  </w:style>
  <w:style w:type="character" w:styleId="Emphasis">
    <w:name w:val="Emphasis"/>
    <w:qFormat/>
    <w:rsid w:val="00E7724C"/>
    <w:rPr>
      <w:i/>
      <w:iCs/>
    </w:rPr>
  </w:style>
  <w:style w:type="paragraph" w:customStyle="1" w:styleId="Zkladntext10">
    <w:name w:val="Základní text1_0"/>
    <w:rsid w:val="00E7724C"/>
    <w:pPr>
      <w:tabs>
        <w:tab w:val="left" w:pos="1152"/>
        <w:tab w:val="left" w:pos="1872"/>
      </w:tabs>
      <w:overflowPunct w:val="0"/>
      <w:autoSpaceDE w:val="0"/>
      <w:autoSpaceDN w:val="0"/>
      <w:adjustRightInd w:val="0"/>
      <w:spacing w:after="240" w:line="288" w:lineRule="auto"/>
      <w:ind w:left="1151"/>
      <w:jc w:val="both"/>
      <w:textAlignment w:val="baseline"/>
    </w:pPr>
    <w:rPr>
      <w:sz w:val="24"/>
      <w:lang w:val="en-US" w:eastAsia="en-US"/>
    </w:rPr>
  </w:style>
  <w:style w:type="paragraph" w:customStyle="1" w:styleId="gtctabletitleotherwise">
    <w:name w:val="gtctabletitleotherwise"/>
    <w:basedOn w:val="Normal"/>
    <w:rsid w:val="00181ED8"/>
    <w:pPr>
      <w:spacing w:before="120"/>
      <w:ind w:left="0" w:firstLine="0"/>
      <w:jc w:val="center"/>
    </w:pPr>
    <w:rPr>
      <w:b/>
      <w:bCs/>
      <w:sz w:val="24"/>
      <w:szCs w:val="24"/>
      <w:lang w:val="en-US"/>
    </w:rPr>
  </w:style>
  <w:style w:type="paragraph" w:customStyle="1" w:styleId="gtctablespaceafter">
    <w:name w:val="gtctablespaceafter"/>
    <w:basedOn w:val="Normal"/>
    <w:rsid w:val="00181ED8"/>
    <w:pPr>
      <w:spacing w:after="280"/>
      <w:ind w:left="0" w:firstLine="0"/>
    </w:pPr>
    <w:rPr>
      <w:sz w:val="2"/>
      <w:szCs w:val="2"/>
      <w:lang w:val="en-US"/>
    </w:rPr>
  </w:style>
  <w:style w:type="character" w:customStyle="1" w:styleId="TableLeftChar">
    <w:name w:val="Table Left Char"/>
    <w:link w:val="TableLeft"/>
    <w:locked/>
    <w:rsid w:val="00E14781"/>
    <w:rPr>
      <w:rFonts w:eastAsia="Calibri"/>
      <w:lang w:val="en-US" w:eastAsia="ja-JP"/>
    </w:rPr>
  </w:style>
  <w:style w:type="character" w:customStyle="1" w:styleId="normaltextrun">
    <w:name w:val="normaltextrun"/>
    <w:basedOn w:val="DefaultParagraphFont"/>
    <w:rsid w:val="00D76799"/>
  </w:style>
  <w:style w:type="paragraph" w:customStyle="1" w:styleId="paragraph0">
    <w:name w:val="paragraph"/>
    <w:basedOn w:val="Normal"/>
    <w:rsid w:val="00AB282F"/>
    <w:pPr>
      <w:spacing w:before="100" w:beforeAutospacing="1" w:after="100" w:afterAutospacing="1"/>
      <w:ind w:left="0" w:firstLine="0"/>
    </w:pPr>
    <w:rPr>
      <w:sz w:val="24"/>
      <w:szCs w:val="24"/>
    </w:rPr>
  </w:style>
  <w:style w:type="character" w:customStyle="1" w:styleId="spellingerror">
    <w:name w:val="spellingerror"/>
    <w:basedOn w:val="DefaultParagraphFont"/>
    <w:rsid w:val="00AB282F"/>
  </w:style>
  <w:style w:type="character" w:customStyle="1" w:styleId="eop">
    <w:name w:val="eop"/>
    <w:basedOn w:val="DefaultParagraphFont"/>
    <w:rsid w:val="00AB282F"/>
  </w:style>
  <w:style w:type="paragraph" w:customStyle="1" w:styleId="Normln1">
    <w:name w:val="Normální1"/>
    <w:qFormat/>
    <w:rsid w:val="00D2183E"/>
    <w:pPr>
      <w:tabs>
        <w:tab w:val="left" w:pos="567"/>
      </w:tabs>
      <w:spacing w:line="260" w:lineRule="exact"/>
    </w:pPr>
    <w:rPr>
      <w:sz w:val="22"/>
    </w:rPr>
  </w:style>
  <w:style w:type="table" w:customStyle="1" w:styleId="TablegridAgencyblack">
    <w:name w:val="Table grid (Agency) black"/>
    <w:basedOn w:val="TableNormal"/>
    <w:semiHidden/>
    <w:rsid w:val="00653460"/>
    <w:rPr>
      <w:rFonts w:ascii="Verdana" w:eastAsia="SimSun" w:hAnsi="Verdana"/>
      <w:sz w:val="18"/>
      <w:lang w:bidi="cs-CZ"/>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customStyle="1" w:styleId="UnresolvedMention1">
    <w:name w:val="Unresolved Mention1"/>
    <w:basedOn w:val="DefaultParagraphFont"/>
    <w:rsid w:val="00964A97"/>
    <w:rPr>
      <w:color w:val="605E5C"/>
      <w:shd w:val="clear" w:color="auto" w:fill="E1DFDD"/>
    </w:rPr>
  </w:style>
  <w:style w:type="character" w:styleId="UnresolvedMention">
    <w:name w:val="Unresolved Mention"/>
    <w:basedOn w:val="DefaultParagraphFont"/>
    <w:rsid w:val="00607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29.emf"/><Relationship Id="rId47" Type="http://schemas.openxmlformats.org/officeDocument/2006/relationships/image" Target="media/image34.emf"/><Relationship Id="rId63" Type="http://schemas.openxmlformats.org/officeDocument/2006/relationships/hyperlink" Target="http://www.ema.europa.eu/docs/en_GB/document_library/Template_or_form/2013/03/WC500139752.doc" TargetMode="External"/><Relationship Id="rId68" Type="http://schemas.openxmlformats.org/officeDocument/2006/relationships/image" Target="media/image52.jpeg"/><Relationship Id="rId16" Type="http://schemas.openxmlformats.org/officeDocument/2006/relationships/image" Target="media/image6.jpeg"/><Relationship Id="rId11" Type="http://schemas.openxmlformats.org/officeDocument/2006/relationships/image" Target="media/image1.jpeg"/><Relationship Id="rId32" Type="http://schemas.openxmlformats.org/officeDocument/2006/relationships/image" Target="media/image19.emf"/><Relationship Id="rId37" Type="http://schemas.openxmlformats.org/officeDocument/2006/relationships/image" Target="media/image24.emf"/><Relationship Id="rId53" Type="http://schemas.openxmlformats.org/officeDocument/2006/relationships/image" Target="media/image39.emf"/><Relationship Id="rId58" Type="http://schemas.openxmlformats.org/officeDocument/2006/relationships/image" Target="media/image44.emf"/><Relationship Id="rId74" Type="http://schemas.openxmlformats.org/officeDocument/2006/relationships/footer" Target="footer1.xml"/><Relationship Id="rId79"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hyperlink" Target="http://www.ema.europa.eu/docs/en_GB/document_library/Template_or_form/2013/03/WC500139752.doc" TargetMode="External"/><Relationship Id="rId82" Type="http://schemas.openxmlformats.org/officeDocument/2006/relationships/customXml" Target="../customXml/item5.xml"/><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image" Target="media/image42.emf"/><Relationship Id="rId64" Type="http://schemas.openxmlformats.org/officeDocument/2006/relationships/image" Target="media/image48.jpeg"/><Relationship Id="rId69" Type="http://schemas.openxmlformats.org/officeDocument/2006/relationships/image" Target="media/image53.jpeg"/><Relationship Id="rId77" Type="http://schemas.microsoft.com/office/2011/relationships/people" Target="people.xml"/><Relationship Id="rId8" Type="http://schemas.openxmlformats.org/officeDocument/2006/relationships/hyperlink" Target="https://www.ema.europa.eu/en/medicines/human/EPAR/Humira" TargetMode="External"/><Relationship Id="rId51" Type="http://schemas.openxmlformats.org/officeDocument/2006/relationships/image" Target="media/image38.png"/><Relationship Id="rId72" Type="http://schemas.openxmlformats.org/officeDocument/2006/relationships/hyperlink" Target="http://www.ema.europa.eu/docs/en_GB/document_library/Template_or_form/2013/03/WC500139752.doc" TargetMode="External"/><Relationship Id="rId80"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image" Target="media/image45.emf"/><Relationship Id="rId67" Type="http://schemas.openxmlformats.org/officeDocument/2006/relationships/image" Target="media/image51.jpeg"/><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28.emf"/><Relationship Id="rId54" Type="http://schemas.openxmlformats.org/officeDocument/2006/relationships/image" Target="media/image40.emf"/><Relationship Id="rId62" Type="http://schemas.openxmlformats.org/officeDocument/2006/relationships/image" Target="media/image47.jpeg"/><Relationship Id="rId70" Type="http://schemas.openxmlformats.org/officeDocument/2006/relationships/image" Target="media/image54.jpe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emf"/><Relationship Id="rId49" Type="http://schemas.openxmlformats.org/officeDocument/2006/relationships/image" Target="media/image36.emf"/><Relationship Id="rId57" Type="http://schemas.openxmlformats.org/officeDocument/2006/relationships/image" Target="media/image43.emf"/><Relationship Id="rId10"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oleObject" Target="embeddings/oleObject1.bin"/><Relationship Id="rId60" Type="http://schemas.openxmlformats.org/officeDocument/2006/relationships/image" Target="media/image46.emf"/><Relationship Id="rId65" Type="http://schemas.openxmlformats.org/officeDocument/2006/relationships/image" Target="media/image49.jpeg"/><Relationship Id="rId73" Type="http://schemas.openxmlformats.org/officeDocument/2006/relationships/image" Target="media/image55.jpeg"/><Relationship Id="rId78" Type="http://schemas.openxmlformats.org/officeDocument/2006/relationships/theme" Target="theme/theme1.xml"/><Relationship Id="rId8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en/medicines/human/EPAR/Humira" TargetMode="Externa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6.png"/><Relationship Id="rId34" Type="http://schemas.openxmlformats.org/officeDocument/2006/relationships/image" Target="media/image21.emf"/><Relationship Id="rId50" Type="http://schemas.openxmlformats.org/officeDocument/2006/relationships/image" Target="media/image37.png"/><Relationship Id="rId55" Type="http://schemas.openxmlformats.org/officeDocument/2006/relationships/image" Target="media/image41.e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ema.europa.eu/docs/en_GB/document_library/Template_or_form/2013/03/WC500139752.doc" TargetMode="External"/><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emf"/><Relationship Id="rId45" Type="http://schemas.openxmlformats.org/officeDocument/2006/relationships/image" Target="media/image32.emf"/><Relationship Id="rId66" Type="http://schemas.openxmlformats.org/officeDocument/2006/relationships/image" Target="media/image50.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EMADOC-1700519818-2508144</_dlc_DocId>
    <_dlc_DocIdUrl xmlns="a034c160-bfb7-45f5-8632-2eb7e0508071">
      <Url>https://euema.sharepoint.com/sites/CRM/_layouts/15/DocIdRedir.aspx?ID=EMADOC-1700519818-2508144</Url>
      <Description>EMADOC-1700519818-2508144</Description>
    </_dlc_DocIdUrl>
  </documentManagement>
</p:properties>
</file>

<file path=customXml/itemProps1.xml><?xml version="1.0" encoding="utf-8"?>
<ds:datastoreItem xmlns:ds="http://schemas.openxmlformats.org/officeDocument/2006/customXml" ds:itemID="{4DCCDC07-AE78-4B93-A618-E4055C6A3FF1}">
  <ds:schemaRefs>
    <ds:schemaRef ds:uri="http://schemas.openxmlformats.org/officeDocument/2006/bibliography"/>
  </ds:schemaRefs>
</ds:datastoreItem>
</file>

<file path=customXml/itemProps2.xml><?xml version="1.0" encoding="utf-8"?>
<ds:datastoreItem xmlns:ds="http://schemas.openxmlformats.org/officeDocument/2006/customXml" ds:itemID="{44C2D8D4-9F87-4EF9-B9A6-9CBE30991041}"/>
</file>

<file path=customXml/itemProps3.xml><?xml version="1.0" encoding="utf-8"?>
<ds:datastoreItem xmlns:ds="http://schemas.openxmlformats.org/officeDocument/2006/customXml" ds:itemID="{8E5BFE1B-8925-4F39-A89B-C33CE3152B36}"/>
</file>

<file path=customXml/itemProps4.xml><?xml version="1.0" encoding="utf-8"?>
<ds:datastoreItem xmlns:ds="http://schemas.openxmlformats.org/officeDocument/2006/customXml" ds:itemID="{E691160C-1FC1-408B-93C2-E622410E28C8}"/>
</file>

<file path=customXml/itemProps5.xml><?xml version="1.0" encoding="utf-8"?>
<ds:datastoreItem xmlns:ds="http://schemas.openxmlformats.org/officeDocument/2006/customXml" ds:itemID="{E2C9DC81-1D8B-4D34-A911-9A5AEB9E4382}"/>
</file>

<file path=docProps/app.xml><?xml version="1.0" encoding="utf-8"?>
<Properties xmlns="http://schemas.openxmlformats.org/officeDocument/2006/extended-properties" xmlns:vt="http://schemas.openxmlformats.org/officeDocument/2006/docPropsVTypes">
  <Template>Normal</Template>
  <TotalTime>314</TotalTime>
  <Pages>8</Pages>
  <Words>155581</Words>
  <Characters>886818</Characters>
  <Application>Microsoft Office Word</Application>
  <DocSecurity>0</DocSecurity>
  <Lines>7390</Lines>
  <Paragraphs>2080</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Humira: EPAR – Product information – tracked changes</vt:lpstr>
      <vt:lpstr>Humira, INN-adalimumab</vt:lpstr>
      <vt:lpstr>Humira, INN-adalimumab</vt:lpstr>
    </vt:vector>
  </TitlesOfParts>
  <Company>AbbVie Inc</Company>
  <LinksUpToDate>false</LinksUpToDate>
  <CharactersWithSpaces>1040319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Humira: EPAR – Product information – tracked changes</dc:title>
  <dc:subject>EPAR</dc:subject>
  <dc:creator>CHMP</dc:creator>
  <cp:keywords>Humira, INN-adalimumab</cp:keywords>
  <cp:lastModifiedBy>AbbVie19</cp:lastModifiedBy>
  <cp:revision>95</cp:revision>
  <cp:lastPrinted>2017-07-26T14:54:00Z</cp:lastPrinted>
  <dcterms:created xsi:type="dcterms:W3CDTF">2021-08-04T15:54:00Z</dcterms:created>
  <dcterms:modified xsi:type="dcterms:W3CDTF">2025-09-12T12:18:00Z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s">
    <vt:lpwstr/>
  </property>
  <property fmtid="{D5CDD505-2E9C-101B-9397-08002B2CF9AE}" pid="4" name="DM_Creation_Date">
    <vt:lpwstr>26/02/2007 11:09:44</vt:lpwstr>
  </property>
  <property fmtid="{D5CDD505-2E9C-101B-9397-08002B2CF9AE}" pid="5" name="DM_Creator_Name">
    <vt:lpwstr>Fratczak Ganpatsingh Magdalena</vt:lpwstr>
  </property>
  <property fmtid="{D5CDD505-2E9C-101B-9397-08002B2CF9AE}" pid="6" name="DM_emea_bcc">
    <vt:lpwstr/>
  </property>
  <property fmtid="{D5CDD505-2E9C-101B-9397-08002B2CF9AE}" pid="7" name="DM_emea_cc">
    <vt:lpwstr/>
  </property>
  <property fmtid="{D5CDD505-2E9C-101B-9397-08002B2CF9AE}" pid="8" name="DM_emea_doc_category">
    <vt:lpwstr>Product Information</vt:lpwstr>
  </property>
  <property fmtid="{D5CDD505-2E9C-101B-9397-08002B2CF9AE}" pid="9" name="DM_emea_doc_lang">
    <vt:lpwstr/>
  </property>
  <property fmtid="{D5CDD505-2E9C-101B-9397-08002B2CF9AE}" pid="10" name="DM_emea_doc_number">
    <vt:lpwstr>89231</vt:lpwstr>
  </property>
  <property fmtid="{D5CDD505-2E9C-101B-9397-08002B2CF9AE}" pid="11" name="DM_emea_doc_ref_id">
    <vt:lpwstr>EMEA/89231/2007</vt:lpwstr>
  </property>
  <property fmtid="{D5CDD505-2E9C-101B-9397-08002B2CF9AE}" pid="12" name="DM_emea_domain">
    <vt:lpwstr>H</vt:lpwstr>
  </property>
  <property fmtid="{D5CDD505-2E9C-101B-9397-08002B2CF9AE}" pid="13" name="DM_emea_from">
    <vt:lpwstr/>
  </property>
  <property fmtid="{D5CDD505-2E9C-101B-9397-08002B2CF9AE}" pid="14" name="DM_emea_internal_label">
    <vt:lpwstr>EMEA</vt:lpwstr>
  </property>
  <property fmtid="{D5CDD505-2E9C-101B-9397-08002B2CF9AE}" pid="15" name="DM_emea_legal_date">
    <vt:lpwstr>nulldate</vt:lpwstr>
  </property>
  <property fmtid="{D5CDD505-2E9C-101B-9397-08002B2CF9AE}" pid="16" name="DM_emea_meeting_action">
    <vt:lpwstr/>
  </property>
  <property fmtid="{D5CDD505-2E9C-101B-9397-08002B2CF9AE}" pid="17" name="DM_emea_meeting_status">
    <vt:lpwstr/>
  </property>
  <property fmtid="{D5CDD505-2E9C-101B-9397-08002B2CF9AE}" pid="18" name="DM_emea_message_subject">
    <vt:lpwstr/>
  </property>
  <property fmtid="{D5CDD505-2E9C-101B-9397-08002B2CF9AE}" pid="19" name="DM_emea_module">
    <vt:lpwstr/>
  </property>
  <property fmtid="{D5CDD505-2E9C-101B-9397-08002B2CF9AE}" pid="20" name="DM_emea_par_dist">
    <vt:lpwstr/>
  </property>
  <property fmtid="{D5CDD505-2E9C-101B-9397-08002B2CF9AE}" pid="21" name="DM_emea_procedure">
    <vt:lpwstr>C</vt:lpwstr>
  </property>
  <property fmtid="{D5CDD505-2E9C-101B-9397-08002B2CF9AE}" pid="22" name="DM_emea_procedure_number">
    <vt:lpwstr/>
  </property>
  <property fmtid="{D5CDD505-2E9C-101B-9397-08002B2CF9AE}" pid="23" name="DM_emea_procedure_ref">
    <vt:lpwstr>EMEA/H/C/000481</vt:lpwstr>
  </property>
  <property fmtid="{D5CDD505-2E9C-101B-9397-08002B2CF9AE}" pid="24" name="DM_emea_procedure_type">
    <vt:lpwstr/>
  </property>
  <property fmtid="{D5CDD505-2E9C-101B-9397-08002B2CF9AE}" pid="25" name="DM_emea_product_number">
    <vt:lpwstr>000481</vt:lpwstr>
  </property>
  <property fmtid="{D5CDD505-2E9C-101B-9397-08002B2CF9AE}" pid="26" name="DM_emea_product_substance">
    <vt:lpwstr>Humira</vt:lpwstr>
  </property>
  <property fmtid="{D5CDD505-2E9C-101B-9397-08002B2CF9AE}" pid="27" name="DM_emea_received_date">
    <vt:lpwstr>nulldate</vt:lpwstr>
  </property>
  <property fmtid="{D5CDD505-2E9C-101B-9397-08002B2CF9AE}" pid="28" name="DM_emea_resp_body">
    <vt:lpwstr/>
  </property>
  <property fmtid="{D5CDD505-2E9C-101B-9397-08002B2CF9AE}" pid="29" name="DM_emea_revision_label">
    <vt:lpwstr/>
  </property>
  <property fmtid="{D5CDD505-2E9C-101B-9397-08002B2CF9AE}" pid="30" name="DM_emea_sent_date">
    <vt:lpwstr>nulldate</vt:lpwstr>
  </property>
  <property fmtid="{D5CDD505-2E9C-101B-9397-08002B2CF9AE}" pid="31" name="DM_emea_to">
    <vt:lpwstr/>
  </property>
  <property fmtid="{D5CDD505-2E9C-101B-9397-08002B2CF9AE}" pid="32" name="DM_emea_year">
    <vt:lpwstr>2007</vt:lpwstr>
  </property>
  <property fmtid="{D5CDD505-2E9C-101B-9397-08002B2CF9AE}" pid="33" name="DM_Keywords">
    <vt:lpwstr/>
  </property>
  <property fmtid="{D5CDD505-2E9C-101B-9397-08002B2CF9AE}" pid="34" name="DM_Language">
    <vt:lpwstr/>
  </property>
  <property fmtid="{D5CDD505-2E9C-101B-9397-08002B2CF9AE}" pid="35" name="DM_Modifer_Name">
    <vt:lpwstr>Fratczak Ganpatsingh Magdalena</vt:lpwstr>
  </property>
  <property fmtid="{D5CDD505-2E9C-101B-9397-08002B2CF9AE}" pid="36" name="DM_Modified_Date">
    <vt:lpwstr>26/02/2007 11:09:44</vt:lpwstr>
  </property>
  <property fmtid="{D5CDD505-2E9C-101B-9397-08002B2CF9AE}" pid="37" name="DM_Name">
    <vt:lpwstr>Humira-H-481-II-34&amp;35-PI-cs</vt:lpwstr>
  </property>
  <property fmtid="{D5CDD505-2E9C-101B-9397-08002B2CF9AE}" pid="38" name="DM_Owner">
    <vt:lpwstr>Fratczak Ganpatsingh Magdalena</vt:lpwstr>
  </property>
  <property fmtid="{D5CDD505-2E9C-101B-9397-08002B2CF9AE}" pid="39" name="DM_Status">
    <vt:lpwstr/>
  </property>
  <property fmtid="{D5CDD505-2E9C-101B-9397-08002B2CF9AE}" pid="40" name="DM_Subject">
    <vt:lpwstr>Product Information-EMEA/89231/2007</vt:lpwstr>
  </property>
  <property fmtid="{D5CDD505-2E9C-101B-9397-08002B2CF9AE}" pid="41" name="DM_Title">
    <vt:lpwstr/>
  </property>
  <property fmtid="{D5CDD505-2E9C-101B-9397-08002B2CF9AE}" pid="42" name="DM_Type">
    <vt:lpwstr>emea_product_document</vt:lpwstr>
  </property>
  <property fmtid="{D5CDD505-2E9C-101B-9397-08002B2CF9AE}" pid="43" name="DM_Version">
    <vt:lpwstr>0.2, CURRENT</vt:lpwstr>
  </property>
  <property fmtid="{D5CDD505-2E9C-101B-9397-08002B2CF9AE}" pid="44" name="_dlc_DocIdItemGuid">
    <vt:lpwstr>bee28ebc-f000-44b9-afc3-7854229b0fbc</vt:lpwstr>
  </property>
  <property fmtid="{D5CDD505-2E9C-101B-9397-08002B2CF9AE}" pid="45" name="MediaServiceImageTags">
    <vt:lpwstr/>
  </property>
</Properties>
</file>